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E18F" w14:textId="03C9CC67" w:rsidR="00764BDA" w:rsidRDefault="00BA3AF4" w:rsidP="00A53CD7">
      <w:pPr>
        <w:spacing w:line="480" w:lineRule="auto"/>
        <w:jc w:val="center"/>
      </w:pPr>
      <w:r>
        <w:t>Supplementary Materials</w:t>
      </w:r>
      <w:r w:rsidR="00A53CD7">
        <w:t xml:space="preserve"> for “</w:t>
      </w:r>
      <w:r w:rsidR="00A53CD7">
        <w:t>Early Life Stress</w:t>
      </w:r>
      <w:r w:rsidR="00A53CD7" w:rsidRPr="00022BA4">
        <w:t xml:space="preserve"> and Functional Network Topology in Children</w:t>
      </w:r>
      <w:r w:rsidR="00A53CD7">
        <w:t>”</w:t>
      </w:r>
    </w:p>
    <w:sdt>
      <w:sdtPr>
        <w:rPr>
          <w:rFonts w:ascii="Times New Roman" w:eastAsia="Times New Roman" w:hAnsi="Times New Roman" w:cs="Times New Roman"/>
          <w:b w:val="0"/>
          <w:bCs w:val="0"/>
          <w:color w:val="auto"/>
          <w:sz w:val="24"/>
          <w:szCs w:val="24"/>
          <w:lang w:eastAsia="ko-KR"/>
        </w:rPr>
        <w:id w:val="1750232297"/>
        <w:docPartObj>
          <w:docPartGallery w:val="Table of Contents"/>
          <w:docPartUnique/>
        </w:docPartObj>
      </w:sdtPr>
      <w:sdtEndPr>
        <w:rPr>
          <w:noProof/>
          <w:sz w:val="22"/>
          <w:szCs w:val="22"/>
        </w:rPr>
      </w:sdtEndPr>
      <w:sdtContent>
        <w:p w14:paraId="68AD46A3" w14:textId="5A7BCDA1" w:rsidR="004076F2" w:rsidRPr="006F78CC" w:rsidRDefault="0053537E" w:rsidP="004076F2">
          <w:pPr>
            <w:pStyle w:val="TOCHeading"/>
            <w:rPr>
              <w:rFonts w:ascii="Times New Roman" w:hAnsi="Times New Roman" w:cs="Times New Roman"/>
              <w:color w:val="000000" w:themeColor="text1"/>
              <w:sz w:val="24"/>
              <w:szCs w:val="24"/>
            </w:rPr>
          </w:pPr>
          <w:r w:rsidRPr="006F78CC">
            <w:rPr>
              <w:rFonts w:ascii="Times New Roman" w:hAnsi="Times New Roman" w:cs="Times New Roman"/>
              <w:color w:val="000000" w:themeColor="text1"/>
              <w:sz w:val="24"/>
              <w:szCs w:val="24"/>
            </w:rPr>
            <w:t>Table of Contents</w:t>
          </w:r>
        </w:p>
        <w:p w14:paraId="0722CDD7" w14:textId="5C42E7B9" w:rsidR="00FD256A" w:rsidRDefault="0053537E">
          <w:pPr>
            <w:pStyle w:val="TOC1"/>
            <w:rPr>
              <w:rFonts w:asciiTheme="minorHAnsi" w:eastAsiaTheme="minorEastAsia" w:hAnsiTheme="minorHAnsi" w:cstheme="minorBidi"/>
              <w:b w:val="0"/>
              <w:bCs w:val="0"/>
              <w:caps w:val="0"/>
              <w:kern w:val="2"/>
              <w:sz w:val="24"/>
              <w:szCs w:val="24"/>
              <w:lang w:eastAsia="en-US"/>
              <w14:ligatures w14:val="standardContextual"/>
            </w:rPr>
          </w:pPr>
          <w:r w:rsidRPr="006F78CC">
            <w:rPr>
              <w:noProof w:val="0"/>
              <w:sz w:val="22"/>
              <w:szCs w:val="22"/>
            </w:rPr>
            <w:fldChar w:fldCharType="begin"/>
          </w:r>
          <w:r w:rsidRPr="003D68E2">
            <w:rPr>
              <w:sz w:val="22"/>
              <w:szCs w:val="22"/>
            </w:rPr>
            <w:instrText xml:space="preserve"> TOC \o "1-3" \h \z \u </w:instrText>
          </w:r>
          <w:r w:rsidRPr="006F78CC">
            <w:rPr>
              <w:noProof w:val="0"/>
              <w:sz w:val="22"/>
              <w:szCs w:val="22"/>
            </w:rPr>
            <w:fldChar w:fldCharType="separate"/>
          </w:r>
          <w:hyperlink w:anchor="_Toc155817669" w:history="1">
            <w:r w:rsidR="00FD256A" w:rsidRPr="00A627AC">
              <w:rPr>
                <w:rStyle w:val="Hyperlink"/>
              </w:rPr>
              <w:t>Representativeness of the ABCD Sample and Accounting for Dependencies</w:t>
            </w:r>
            <w:r w:rsidR="00FD256A">
              <w:rPr>
                <w:webHidden/>
              </w:rPr>
              <w:tab/>
            </w:r>
            <w:r w:rsidR="00FD256A">
              <w:rPr>
                <w:webHidden/>
              </w:rPr>
              <w:fldChar w:fldCharType="begin"/>
            </w:r>
            <w:r w:rsidR="00FD256A">
              <w:rPr>
                <w:webHidden/>
              </w:rPr>
              <w:instrText xml:space="preserve"> PAGEREF _Toc155817669 \h </w:instrText>
            </w:r>
            <w:r w:rsidR="00FD256A">
              <w:rPr>
                <w:webHidden/>
              </w:rPr>
            </w:r>
            <w:r w:rsidR="00FD256A">
              <w:rPr>
                <w:webHidden/>
              </w:rPr>
              <w:fldChar w:fldCharType="separate"/>
            </w:r>
            <w:r w:rsidR="00FD256A">
              <w:rPr>
                <w:webHidden/>
              </w:rPr>
              <w:t>7</w:t>
            </w:r>
            <w:r w:rsidR="00FD256A">
              <w:rPr>
                <w:webHidden/>
              </w:rPr>
              <w:fldChar w:fldCharType="end"/>
            </w:r>
          </w:hyperlink>
        </w:p>
        <w:p w14:paraId="5D3F7151" w14:textId="32738C68"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0" w:history="1">
            <w:r w:rsidRPr="00A627AC">
              <w:rPr>
                <w:rStyle w:val="Hyperlink"/>
              </w:rPr>
              <w:t>Stressor measures</w:t>
            </w:r>
            <w:r>
              <w:rPr>
                <w:webHidden/>
              </w:rPr>
              <w:tab/>
            </w:r>
            <w:r>
              <w:rPr>
                <w:webHidden/>
              </w:rPr>
              <w:fldChar w:fldCharType="begin"/>
            </w:r>
            <w:r>
              <w:rPr>
                <w:webHidden/>
              </w:rPr>
              <w:instrText xml:space="preserve"> PAGEREF _Toc155817670 \h </w:instrText>
            </w:r>
            <w:r>
              <w:rPr>
                <w:webHidden/>
              </w:rPr>
            </w:r>
            <w:r>
              <w:rPr>
                <w:webHidden/>
              </w:rPr>
              <w:fldChar w:fldCharType="separate"/>
            </w:r>
            <w:r>
              <w:rPr>
                <w:webHidden/>
              </w:rPr>
              <w:t>8</w:t>
            </w:r>
            <w:r>
              <w:rPr>
                <w:webHidden/>
              </w:rPr>
              <w:fldChar w:fldCharType="end"/>
            </w:r>
          </w:hyperlink>
        </w:p>
        <w:p w14:paraId="65EB23D0" w14:textId="0C3FEF23"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1" w:history="1">
            <w:r w:rsidRPr="00A627AC">
              <w:rPr>
                <w:rStyle w:val="Hyperlink"/>
              </w:rPr>
              <w:t>Hierarchical Models of Environmental Stress</w:t>
            </w:r>
            <w:r>
              <w:rPr>
                <w:webHidden/>
              </w:rPr>
              <w:tab/>
            </w:r>
            <w:r>
              <w:rPr>
                <w:webHidden/>
              </w:rPr>
              <w:fldChar w:fldCharType="begin"/>
            </w:r>
            <w:r>
              <w:rPr>
                <w:webHidden/>
              </w:rPr>
              <w:instrText xml:space="preserve"> PAGEREF _Toc155817671 \h </w:instrText>
            </w:r>
            <w:r>
              <w:rPr>
                <w:webHidden/>
              </w:rPr>
            </w:r>
            <w:r>
              <w:rPr>
                <w:webHidden/>
              </w:rPr>
              <w:fldChar w:fldCharType="separate"/>
            </w:r>
            <w:r>
              <w:rPr>
                <w:webHidden/>
              </w:rPr>
              <w:t>10</w:t>
            </w:r>
            <w:r>
              <w:rPr>
                <w:webHidden/>
              </w:rPr>
              <w:fldChar w:fldCharType="end"/>
            </w:r>
          </w:hyperlink>
        </w:p>
        <w:p w14:paraId="08C9D847" w14:textId="7391556B"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2" w:history="1">
            <w:r w:rsidRPr="00A627AC">
              <w:rPr>
                <w:rStyle w:val="Hyperlink"/>
              </w:rPr>
              <w:t>Hierarchical Models of Psychopathology</w:t>
            </w:r>
            <w:r>
              <w:rPr>
                <w:webHidden/>
              </w:rPr>
              <w:tab/>
            </w:r>
            <w:r>
              <w:rPr>
                <w:webHidden/>
              </w:rPr>
              <w:fldChar w:fldCharType="begin"/>
            </w:r>
            <w:r>
              <w:rPr>
                <w:webHidden/>
              </w:rPr>
              <w:instrText xml:space="preserve"> PAGEREF _Toc155817672 \h </w:instrText>
            </w:r>
            <w:r>
              <w:rPr>
                <w:webHidden/>
              </w:rPr>
            </w:r>
            <w:r>
              <w:rPr>
                <w:webHidden/>
              </w:rPr>
              <w:fldChar w:fldCharType="separate"/>
            </w:r>
            <w:r>
              <w:rPr>
                <w:webHidden/>
              </w:rPr>
              <w:t>12</w:t>
            </w:r>
            <w:r>
              <w:rPr>
                <w:webHidden/>
              </w:rPr>
              <w:fldChar w:fldCharType="end"/>
            </w:r>
          </w:hyperlink>
        </w:p>
        <w:p w14:paraId="427ADCFB" w14:textId="0D35D00D"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3" w:history="1">
            <w:r w:rsidRPr="00A627AC">
              <w:rPr>
                <w:rStyle w:val="Hyperlink"/>
              </w:rPr>
              <w:t>Image Acquisition, Processing, and Quality Assurance</w:t>
            </w:r>
            <w:r>
              <w:rPr>
                <w:webHidden/>
              </w:rPr>
              <w:tab/>
            </w:r>
            <w:r>
              <w:rPr>
                <w:webHidden/>
              </w:rPr>
              <w:fldChar w:fldCharType="begin"/>
            </w:r>
            <w:r>
              <w:rPr>
                <w:webHidden/>
              </w:rPr>
              <w:instrText xml:space="preserve"> PAGEREF _Toc155817673 \h </w:instrText>
            </w:r>
            <w:r>
              <w:rPr>
                <w:webHidden/>
              </w:rPr>
            </w:r>
            <w:r>
              <w:rPr>
                <w:webHidden/>
              </w:rPr>
              <w:fldChar w:fldCharType="separate"/>
            </w:r>
            <w:r>
              <w:rPr>
                <w:webHidden/>
              </w:rPr>
              <w:t>13</w:t>
            </w:r>
            <w:r>
              <w:rPr>
                <w:webHidden/>
              </w:rPr>
              <w:fldChar w:fldCharType="end"/>
            </w:r>
          </w:hyperlink>
        </w:p>
        <w:p w14:paraId="7E7C6411" w14:textId="7ACC3D34"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4" w:history="1">
            <w:r w:rsidRPr="00A627AC">
              <w:rPr>
                <w:rStyle w:val="Hyperlink"/>
              </w:rPr>
              <w:t>Graph Theory Metric Calculation</w:t>
            </w:r>
            <w:r>
              <w:rPr>
                <w:webHidden/>
              </w:rPr>
              <w:tab/>
            </w:r>
            <w:r>
              <w:rPr>
                <w:webHidden/>
              </w:rPr>
              <w:fldChar w:fldCharType="begin"/>
            </w:r>
            <w:r>
              <w:rPr>
                <w:webHidden/>
              </w:rPr>
              <w:instrText xml:space="preserve"> PAGEREF _Toc155817674 \h </w:instrText>
            </w:r>
            <w:r>
              <w:rPr>
                <w:webHidden/>
              </w:rPr>
            </w:r>
            <w:r>
              <w:rPr>
                <w:webHidden/>
              </w:rPr>
              <w:fldChar w:fldCharType="separate"/>
            </w:r>
            <w:r>
              <w:rPr>
                <w:webHidden/>
              </w:rPr>
              <w:t>15</w:t>
            </w:r>
            <w:r>
              <w:rPr>
                <w:webHidden/>
              </w:rPr>
              <w:fldChar w:fldCharType="end"/>
            </w:r>
          </w:hyperlink>
        </w:p>
        <w:p w14:paraId="0517ED0B" w14:textId="133166D2"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5" w:history="1">
            <w:r w:rsidRPr="00A627AC">
              <w:rPr>
                <w:rStyle w:val="Hyperlink"/>
              </w:rPr>
              <w:t>Equations for each model</w:t>
            </w:r>
            <w:r>
              <w:rPr>
                <w:webHidden/>
              </w:rPr>
              <w:tab/>
            </w:r>
            <w:r>
              <w:rPr>
                <w:webHidden/>
              </w:rPr>
              <w:fldChar w:fldCharType="begin"/>
            </w:r>
            <w:r>
              <w:rPr>
                <w:webHidden/>
              </w:rPr>
              <w:instrText xml:space="preserve"> PAGEREF _Toc155817675 \h </w:instrText>
            </w:r>
            <w:r>
              <w:rPr>
                <w:webHidden/>
              </w:rPr>
            </w:r>
            <w:r>
              <w:rPr>
                <w:webHidden/>
              </w:rPr>
              <w:fldChar w:fldCharType="separate"/>
            </w:r>
            <w:r>
              <w:rPr>
                <w:webHidden/>
              </w:rPr>
              <w:t>17</w:t>
            </w:r>
            <w:r>
              <w:rPr>
                <w:webHidden/>
              </w:rPr>
              <w:fldChar w:fldCharType="end"/>
            </w:r>
          </w:hyperlink>
        </w:p>
        <w:p w14:paraId="01ED850F" w14:textId="29426F8C"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6" w:history="1">
            <w:r w:rsidRPr="00A627AC">
              <w:rPr>
                <w:rStyle w:val="Hyperlink"/>
              </w:rPr>
              <w:t>References</w:t>
            </w:r>
            <w:r>
              <w:rPr>
                <w:webHidden/>
              </w:rPr>
              <w:tab/>
            </w:r>
            <w:r>
              <w:rPr>
                <w:webHidden/>
              </w:rPr>
              <w:fldChar w:fldCharType="begin"/>
            </w:r>
            <w:r>
              <w:rPr>
                <w:webHidden/>
              </w:rPr>
              <w:instrText xml:space="preserve"> PAGEREF _Toc155817676 \h </w:instrText>
            </w:r>
            <w:r>
              <w:rPr>
                <w:webHidden/>
              </w:rPr>
            </w:r>
            <w:r>
              <w:rPr>
                <w:webHidden/>
              </w:rPr>
              <w:fldChar w:fldCharType="separate"/>
            </w:r>
            <w:r>
              <w:rPr>
                <w:webHidden/>
              </w:rPr>
              <w:t>18</w:t>
            </w:r>
            <w:r>
              <w:rPr>
                <w:webHidden/>
              </w:rPr>
              <w:fldChar w:fldCharType="end"/>
            </w:r>
          </w:hyperlink>
        </w:p>
        <w:p w14:paraId="10163D8F" w14:textId="0A1BE55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7" w:history="1">
            <w:r w:rsidRPr="00A627AC">
              <w:rPr>
                <w:rStyle w:val="Hyperlink"/>
              </w:rPr>
              <w:t>Table 1a. Comparison of included and excluded subjects for the resting state</w:t>
            </w:r>
            <w:r>
              <w:rPr>
                <w:webHidden/>
              </w:rPr>
              <w:tab/>
            </w:r>
            <w:r>
              <w:rPr>
                <w:webHidden/>
              </w:rPr>
              <w:fldChar w:fldCharType="begin"/>
            </w:r>
            <w:r>
              <w:rPr>
                <w:webHidden/>
              </w:rPr>
              <w:instrText xml:space="preserve"> PAGEREF _Toc155817677 \h </w:instrText>
            </w:r>
            <w:r>
              <w:rPr>
                <w:webHidden/>
              </w:rPr>
            </w:r>
            <w:r>
              <w:rPr>
                <w:webHidden/>
              </w:rPr>
              <w:fldChar w:fldCharType="separate"/>
            </w:r>
            <w:r>
              <w:rPr>
                <w:webHidden/>
              </w:rPr>
              <w:t>24</w:t>
            </w:r>
            <w:r>
              <w:rPr>
                <w:webHidden/>
              </w:rPr>
              <w:fldChar w:fldCharType="end"/>
            </w:r>
          </w:hyperlink>
        </w:p>
        <w:p w14:paraId="404457C4" w14:textId="06989491"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8" w:history="1">
            <w:r w:rsidRPr="00A627AC">
              <w:rPr>
                <w:rStyle w:val="Hyperlink"/>
              </w:rPr>
              <w:t>Table 1b. Comparison of included and excluded subjects for the emotional n-back task</w:t>
            </w:r>
            <w:r>
              <w:rPr>
                <w:webHidden/>
              </w:rPr>
              <w:tab/>
            </w:r>
            <w:r>
              <w:rPr>
                <w:webHidden/>
              </w:rPr>
              <w:fldChar w:fldCharType="begin"/>
            </w:r>
            <w:r>
              <w:rPr>
                <w:webHidden/>
              </w:rPr>
              <w:instrText xml:space="preserve"> PAGEREF _Toc155817678 \h </w:instrText>
            </w:r>
            <w:r>
              <w:rPr>
                <w:webHidden/>
              </w:rPr>
            </w:r>
            <w:r>
              <w:rPr>
                <w:webHidden/>
              </w:rPr>
              <w:fldChar w:fldCharType="separate"/>
            </w:r>
            <w:r>
              <w:rPr>
                <w:webHidden/>
              </w:rPr>
              <w:t>25</w:t>
            </w:r>
            <w:r>
              <w:rPr>
                <w:webHidden/>
              </w:rPr>
              <w:fldChar w:fldCharType="end"/>
            </w:r>
          </w:hyperlink>
        </w:p>
        <w:p w14:paraId="18E7C941" w14:textId="771EABAB"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79" w:history="1">
            <w:r w:rsidRPr="00A627AC">
              <w:rPr>
                <w:rStyle w:val="Hyperlink"/>
              </w:rPr>
              <w:t>Table 1c. Comparison of included and excluded subjects for the monetary incentive delay task</w:t>
            </w:r>
            <w:r>
              <w:rPr>
                <w:webHidden/>
              </w:rPr>
              <w:tab/>
            </w:r>
            <w:r>
              <w:rPr>
                <w:webHidden/>
              </w:rPr>
              <w:fldChar w:fldCharType="begin"/>
            </w:r>
            <w:r>
              <w:rPr>
                <w:webHidden/>
              </w:rPr>
              <w:instrText xml:space="preserve"> PAGEREF _Toc155817679 \h </w:instrText>
            </w:r>
            <w:r>
              <w:rPr>
                <w:webHidden/>
              </w:rPr>
            </w:r>
            <w:r>
              <w:rPr>
                <w:webHidden/>
              </w:rPr>
              <w:fldChar w:fldCharType="separate"/>
            </w:r>
            <w:r>
              <w:rPr>
                <w:webHidden/>
              </w:rPr>
              <w:t>26</w:t>
            </w:r>
            <w:r>
              <w:rPr>
                <w:webHidden/>
              </w:rPr>
              <w:fldChar w:fldCharType="end"/>
            </w:r>
          </w:hyperlink>
        </w:p>
        <w:p w14:paraId="0F208E4B" w14:textId="0B57C6CC"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0" w:history="1">
            <w:r w:rsidRPr="00A627AC">
              <w:rPr>
                <w:rStyle w:val="Hyperlink"/>
              </w:rPr>
              <w:t>Table 1d. Comparison of included and excluded subjects for the stop signal task</w:t>
            </w:r>
            <w:r>
              <w:rPr>
                <w:webHidden/>
              </w:rPr>
              <w:tab/>
            </w:r>
            <w:r>
              <w:rPr>
                <w:webHidden/>
              </w:rPr>
              <w:fldChar w:fldCharType="begin"/>
            </w:r>
            <w:r>
              <w:rPr>
                <w:webHidden/>
              </w:rPr>
              <w:instrText xml:space="preserve"> PAGEREF _Toc155817680 \h </w:instrText>
            </w:r>
            <w:r>
              <w:rPr>
                <w:webHidden/>
              </w:rPr>
            </w:r>
            <w:r>
              <w:rPr>
                <w:webHidden/>
              </w:rPr>
              <w:fldChar w:fldCharType="separate"/>
            </w:r>
            <w:r>
              <w:rPr>
                <w:webHidden/>
              </w:rPr>
              <w:t>27</w:t>
            </w:r>
            <w:r>
              <w:rPr>
                <w:webHidden/>
              </w:rPr>
              <w:fldChar w:fldCharType="end"/>
            </w:r>
          </w:hyperlink>
        </w:p>
        <w:p w14:paraId="6EFF9841" w14:textId="20B2A667"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1" w:history="1">
            <w:r w:rsidRPr="00A627AC">
              <w:rPr>
                <w:rStyle w:val="Hyperlink"/>
              </w:rPr>
              <w:t>Table 2a. Results examining the relationship between environmental stressor factors obtained from bifactor modeling and whole-brain Shen modularity</w:t>
            </w:r>
            <w:r>
              <w:rPr>
                <w:webHidden/>
              </w:rPr>
              <w:tab/>
            </w:r>
            <w:r>
              <w:rPr>
                <w:webHidden/>
              </w:rPr>
              <w:fldChar w:fldCharType="begin"/>
            </w:r>
            <w:r>
              <w:rPr>
                <w:webHidden/>
              </w:rPr>
              <w:instrText xml:space="preserve"> PAGEREF _Toc155817681 \h </w:instrText>
            </w:r>
            <w:r>
              <w:rPr>
                <w:webHidden/>
              </w:rPr>
            </w:r>
            <w:r>
              <w:rPr>
                <w:webHidden/>
              </w:rPr>
              <w:fldChar w:fldCharType="separate"/>
            </w:r>
            <w:r>
              <w:rPr>
                <w:webHidden/>
              </w:rPr>
              <w:t>28</w:t>
            </w:r>
            <w:r>
              <w:rPr>
                <w:webHidden/>
              </w:rPr>
              <w:fldChar w:fldCharType="end"/>
            </w:r>
          </w:hyperlink>
        </w:p>
        <w:p w14:paraId="5E80DA9D" w14:textId="0B186A63"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2" w:history="1">
            <w:r w:rsidRPr="00A627AC">
              <w:rPr>
                <w:rStyle w:val="Hyperlink"/>
              </w:rPr>
              <w:t>Table 2b. Results examining the relationship between environmental stressor factors obtained from higher-order modeling and whole-brain Shen modularity</w:t>
            </w:r>
            <w:r>
              <w:rPr>
                <w:webHidden/>
              </w:rPr>
              <w:tab/>
            </w:r>
            <w:r>
              <w:rPr>
                <w:webHidden/>
              </w:rPr>
              <w:fldChar w:fldCharType="begin"/>
            </w:r>
            <w:r>
              <w:rPr>
                <w:webHidden/>
              </w:rPr>
              <w:instrText xml:space="preserve"> PAGEREF _Toc155817682 \h </w:instrText>
            </w:r>
            <w:r>
              <w:rPr>
                <w:webHidden/>
              </w:rPr>
            </w:r>
            <w:r>
              <w:rPr>
                <w:webHidden/>
              </w:rPr>
              <w:fldChar w:fldCharType="separate"/>
            </w:r>
            <w:r>
              <w:rPr>
                <w:webHidden/>
              </w:rPr>
              <w:t>29</w:t>
            </w:r>
            <w:r>
              <w:rPr>
                <w:webHidden/>
              </w:rPr>
              <w:fldChar w:fldCharType="end"/>
            </w:r>
          </w:hyperlink>
        </w:p>
        <w:p w14:paraId="104FB38C" w14:textId="3C2D5A3C"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3" w:history="1">
            <w:r w:rsidRPr="00A627AC">
              <w:rPr>
                <w:rStyle w:val="Hyperlink"/>
              </w:rPr>
              <w:t>Table 3a. Results examining the relationship between environmental stress factors obtained from bifactor modeling and Shen-268 network average shortest path length during rest</w:t>
            </w:r>
            <w:r>
              <w:rPr>
                <w:webHidden/>
              </w:rPr>
              <w:tab/>
            </w:r>
            <w:r>
              <w:rPr>
                <w:webHidden/>
              </w:rPr>
              <w:fldChar w:fldCharType="begin"/>
            </w:r>
            <w:r>
              <w:rPr>
                <w:webHidden/>
              </w:rPr>
              <w:instrText xml:space="preserve"> PAGEREF _Toc155817683 \h </w:instrText>
            </w:r>
            <w:r>
              <w:rPr>
                <w:webHidden/>
              </w:rPr>
            </w:r>
            <w:r>
              <w:rPr>
                <w:webHidden/>
              </w:rPr>
              <w:fldChar w:fldCharType="separate"/>
            </w:r>
            <w:r>
              <w:rPr>
                <w:webHidden/>
              </w:rPr>
              <w:t>30</w:t>
            </w:r>
            <w:r>
              <w:rPr>
                <w:webHidden/>
              </w:rPr>
              <w:fldChar w:fldCharType="end"/>
            </w:r>
          </w:hyperlink>
        </w:p>
        <w:p w14:paraId="5CA7B4A9" w14:textId="7F193F4B"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4" w:history="1">
            <w:r w:rsidRPr="00A627AC">
              <w:rPr>
                <w:rStyle w:val="Hyperlink"/>
              </w:rPr>
              <w:t>Table 3b. Results examining the relationship between environmental stress factors obtained from higher-order modeling and Shen-268 network average shortest path length during rest</w:t>
            </w:r>
            <w:r>
              <w:rPr>
                <w:webHidden/>
              </w:rPr>
              <w:tab/>
            </w:r>
            <w:r>
              <w:rPr>
                <w:webHidden/>
              </w:rPr>
              <w:fldChar w:fldCharType="begin"/>
            </w:r>
            <w:r>
              <w:rPr>
                <w:webHidden/>
              </w:rPr>
              <w:instrText xml:space="preserve"> PAGEREF _Toc155817684 \h </w:instrText>
            </w:r>
            <w:r>
              <w:rPr>
                <w:webHidden/>
              </w:rPr>
            </w:r>
            <w:r>
              <w:rPr>
                <w:webHidden/>
              </w:rPr>
              <w:fldChar w:fldCharType="separate"/>
            </w:r>
            <w:r>
              <w:rPr>
                <w:webHidden/>
              </w:rPr>
              <w:t>32</w:t>
            </w:r>
            <w:r>
              <w:rPr>
                <w:webHidden/>
              </w:rPr>
              <w:fldChar w:fldCharType="end"/>
            </w:r>
          </w:hyperlink>
        </w:p>
        <w:p w14:paraId="28CA9714" w14:textId="7BD07D4D"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5" w:history="1">
            <w:r w:rsidRPr="00A627AC">
              <w:rPr>
                <w:rStyle w:val="Hyperlink"/>
              </w:rPr>
              <w:t>Table 4a. Results examining the relationship between environmental stress factors obtained from bifactor modeling and Shen-268 network small world omega during rest</w:t>
            </w:r>
            <w:r>
              <w:rPr>
                <w:webHidden/>
              </w:rPr>
              <w:tab/>
            </w:r>
            <w:r>
              <w:rPr>
                <w:webHidden/>
              </w:rPr>
              <w:fldChar w:fldCharType="begin"/>
            </w:r>
            <w:r>
              <w:rPr>
                <w:webHidden/>
              </w:rPr>
              <w:instrText xml:space="preserve"> PAGEREF _Toc155817685 \h </w:instrText>
            </w:r>
            <w:r>
              <w:rPr>
                <w:webHidden/>
              </w:rPr>
            </w:r>
            <w:r>
              <w:rPr>
                <w:webHidden/>
              </w:rPr>
              <w:fldChar w:fldCharType="separate"/>
            </w:r>
            <w:r>
              <w:rPr>
                <w:webHidden/>
              </w:rPr>
              <w:t>34</w:t>
            </w:r>
            <w:r>
              <w:rPr>
                <w:webHidden/>
              </w:rPr>
              <w:fldChar w:fldCharType="end"/>
            </w:r>
          </w:hyperlink>
        </w:p>
        <w:p w14:paraId="7F12B261" w14:textId="7087DE84"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6" w:history="1">
            <w:r w:rsidRPr="00A627AC">
              <w:rPr>
                <w:rStyle w:val="Hyperlink"/>
              </w:rPr>
              <w:t>Table 4b. Results examining the relationship between environmental stress factors obtained from higher-order modeling and Shen-268 network small world omega during rest</w:t>
            </w:r>
            <w:r>
              <w:rPr>
                <w:webHidden/>
              </w:rPr>
              <w:tab/>
            </w:r>
            <w:r>
              <w:rPr>
                <w:webHidden/>
              </w:rPr>
              <w:fldChar w:fldCharType="begin"/>
            </w:r>
            <w:r>
              <w:rPr>
                <w:webHidden/>
              </w:rPr>
              <w:instrText xml:space="preserve"> PAGEREF _Toc155817686 \h </w:instrText>
            </w:r>
            <w:r>
              <w:rPr>
                <w:webHidden/>
              </w:rPr>
            </w:r>
            <w:r>
              <w:rPr>
                <w:webHidden/>
              </w:rPr>
              <w:fldChar w:fldCharType="separate"/>
            </w:r>
            <w:r>
              <w:rPr>
                <w:webHidden/>
              </w:rPr>
              <w:t>36</w:t>
            </w:r>
            <w:r>
              <w:rPr>
                <w:webHidden/>
              </w:rPr>
              <w:fldChar w:fldCharType="end"/>
            </w:r>
          </w:hyperlink>
        </w:p>
        <w:p w14:paraId="0B522475" w14:textId="32C81516"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7" w:history="1">
            <w:r w:rsidRPr="00A627AC">
              <w:rPr>
                <w:rStyle w:val="Hyperlink"/>
              </w:rPr>
              <w:t>Table 5a. Results examining the relationship between environmental stress factors obtained from bifactor modeling and Shen-268 network diameter during rest</w:t>
            </w:r>
            <w:r>
              <w:rPr>
                <w:webHidden/>
              </w:rPr>
              <w:tab/>
            </w:r>
            <w:r>
              <w:rPr>
                <w:webHidden/>
              </w:rPr>
              <w:fldChar w:fldCharType="begin"/>
            </w:r>
            <w:r>
              <w:rPr>
                <w:webHidden/>
              </w:rPr>
              <w:instrText xml:space="preserve"> PAGEREF _Toc155817687 \h </w:instrText>
            </w:r>
            <w:r>
              <w:rPr>
                <w:webHidden/>
              </w:rPr>
            </w:r>
            <w:r>
              <w:rPr>
                <w:webHidden/>
              </w:rPr>
              <w:fldChar w:fldCharType="separate"/>
            </w:r>
            <w:r>
              <w:rPr>
                <w:webHidden/>
              </w:rPr>
              <w:t>38</w:t>
            </w:r>
            <w:r>
              <w:rPr>
                <w:webHidden/>
              </w:rPr>
              <w:fldChar w:fldCharType="end"/>
            </w:r>
          </w:hyperlink>
        </w:p>
        <w:p w14:paraId="694D61A9" w14:textId="373604C3"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8" w:history="1">
            <w:r w:rsidRPr="00A627AC">
              <w:rPr>
                <w:rStyle w:val="Hyperlink"/>
              </w:rPr>
              <w:t>Table 5b. Results examining the relationship between environmental stress factors obtained from higher-order modeling and Shen-268 network diameter during rest</w:t>
            </w:r>
            <w:r>
              <w:rPr>
                <w:webHidden/>
              </w:rPr>
              <w:tab/>
            </w:r>
            <w:r>
              <w:rPr>
                <w:webHidden/>
              </w:rPr>
              <w:fldChar w:fldCharType="begin"/>
            </w:r>
            <w:r>
              <w:rPr>
                <w:webHidden/>
              </w:rPr>
              <w:instrText xml:space="preserve"> PAGEREF _Toc155817688 \h </w:instrText>
            </w:r>
            <w:r>
              <w:rPr>
                <w:webHidden/>
              </w:rPr>
            </w:r>
            <w:r>
              <w:rPr>
                <w:webHidden/>
              </w:rPr>
              <w:fldChar w:fldCharType="separate"/>
            </w:r>
            <w:r>
              <w:rPr>
                <w:webHidden/>
              </w:rPr>
              <w:t>40</w:t>
            </w:r>
            <w:r>
              <w:rPr>
                <w:webHidden/>
              </w:rPr>
              <w:fldChar w:fldCharType="end"/>
            </w:r>
          </w:hyperlink>
        </w:p>
        <w:p w14:paraId="58A88355" w14:textId="035FB4BA"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89" w:history="1">
            <w:r w:rsidRPr="00A627AC">
              <w:rPr>
                <w:rStyle w:val="Hyperlink"/>
              </w:rPr>
              <w:t>Table 6a. Results examining the relationship between environmental stress factors obtained from bifactor modeling and Shen-268 network local efficiency during rest</w:t>
            </w:r>
            <w:r>
              <w:rPr>
                <w:webHidden/>
              </w:rPr>
              <w:tab/>
            </w:r>
            <w:r>
              <w:rPr>
                <w:webHidden/>
              </w:rPr>
              <w:fldChar w:fldCharType="begin"/>
            </w:r>
            <w:r>
              <w:rPr>
                <w:webHidden/>
              </w:rPr>
              <w:instrText xml:space="preserve"> PAGEREF _Toc155817689 \h </w:instrText>
            </w:r>
            <w:r>
              <w:rPr>
                <w:webHidden/>
              </w:rPr>
            </w:r>
            <w:r>
              <w:rPr>
                <w:webHidden/>
              </w:rPr>
              <w:fldChar w:fldCharType="separate"/>
            </w:r>
            <w:r>
              <w:rPr>
                <w:webHidden/>
              </w:rPr>
              <w:t>42</w:t>
            </w:r>
            <w:r>
              <w:rPr>
                <w:webHidden/>
              </w:rPr>
              <w:fldChar w:fldCharType="end"/>
            </w:r>
          </w:hyperlink>
        </w:p>
        <w:p w14:paraId="53C34625" w14:textId="6C7BCC6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0" w:history="1">
            <w:r w:rsidRPr="00A627AC">
              <w:rPr>
                <w:rStyle w:val="Hyperlink"/>
              </w:rPr>
              <w:t>Table 6b. Results examining the relationship between environmental stress factors obtained from higher-order modeling and Shen-268 network local efficiency during rest</w:t>
            </w:r>
            <w:r>
              <w:rPr>
                <w:webHidden/>
              </w:rPr>
              <w:tab/>
            </w:r>
            <w:r>
              <w:rPr>
                <w:webHidden/>
              </w:rPr>
              <w:fldChar w:fldCharType="begin"/>
            </w:r>
            <w:r>
              <w:rPr>
                <w:webHidden/>
              </w:rPr>
              <w:instrText xml:space="preserve"> PAGEREF _Toc155817690 \h </w:instrText>
            </w:r>
            <w:r>
              <w:rPr>
                <w:webHidden/>
              </w:rPr>
            </w:r>
            <w:r>
              <w:rPr>
                <w:webHidden/>
              </w:rPr>
              <w:fldChar w:fldCharType="separate"/>
            </w:r>
            <w:r>
              <w:rPr>
                <w:webHidden/>
              </w:rPr>
              <w:t>44</w:t>
            </w:r>
            <w:r>
              <w:rPr>
                <w:webHidden/>
              </w:rPr>
              <w:fldChar w:fldCharType="end"/>
            </w:r>
          </w:hyperlink>
        </w:p>
        <w:p w14:paraId="0566D35C" w14:textId="4398AA51"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1" w:history="1">
            <w:r w:rsidRPr="00A627AC">
              <w:rPr>
                <w:rStyle w:val="Hyperlink"/>
              </w:rPr>
              <w:t>Table 7a. Results examining the relationship between environmental stress factors obtained from bifactor modeling and Shen-268 network average shortest path length during emotional n-back task</w:t>
            </w:r>
            <w:r>
              <w:rPr>
                <w:webHidden/>
              </w:rPr>
              <w:tab/>
            </w:r>
            <w:r>
              <w:rPr>
                <w:webHidden/>
              </w:rPr>
              <w:fldChar w:fldCharType="begin"/>
            </w:r>
            <w:r>
              <w:rPr>
                <w:webHidden/>
              </w:rPr>
              <w:instrText xml:space="preserve"> PAGEREF _Toc155817691 \h </w:instrText>
            </w:r>
            <w:r>
              <w:rPr>
                <w:webHidden/>
              </w:rPr>
            </w:r>
            <w:r>
              <w:rPr>
                <w:webHidden/>
              </w:rPr>
              <w:fldChar w:fldCharType="separate"/>
            </w:r>
            <w:r>
              <w:rPr>
                <w:webHidden/>
              </w:rPr>
              <w:t>46</w:t>
            </w:r>
            <w:r>
              <w:rPr>
                <w:webHidden/>
              </w:rPr>
              <w:fldChar w:fldCharType="end"/>
            </w:r>
          </w:hyperlink>
        </w:p>
        <w:p w14:paraId="54C722B3" w14:textId="48F678E4"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2" w:history="1">
            <w:r w:rsidRPr="00A627AC">
              <w:rPr>
                <w:rStyle w:val="Hyperlink"/>
              </w:rPr>
              <w:t>Table 7b. Results examining the relationship between environmental stress factors obtained from higher-order modeling and Shen-268 network average shortest path length during emotional n-back task</w:t>
            </w:r>
            <w:r>
              <w:rPr>
                <w:webHidden/>
              </w:rPr>
              <w:tab/>
            </w:r>
            <w:r>
              <w:rPr>
                <w:webHidden/>
              </w:rPr>
              <w:fldChar w:fldCharType="begin"/>
            </w:r>
            <w:r>
              <w:rPr>
                <w:webHidden/>
              </w:rPr>
              <w:instrText xml:space="preserve"> PAGEREF _Toc155817692 \h </w:instrText>
            </w:r>
            <w:r>
              <w:rPr>
                <w:webHidden/>
              </w:rPr>
            </w:r>
            <w:r>
              <w:rPr>
                <w:webHidden/>
              </w:rPr>
              <w:fldChar w:fldCharType="separate"/>
            </w:r>
            <w:r>
              <w:rPr>
                <w:webHidden/>
              </w:rPr>
              <w:t>48</w:t>
            </w:r>
            <w:r>
              <w:rPr>
                <w:webHidden/>
              </w:rPr>
              <w:fldChar w:fldCharType="end"/>
            </w:r>
          </w:hyperlink>
        </w:p>
        <w:p w14:paraId="768B024B" w14:textId="7BB76B36"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3" w:history="1">
            <w:r w:rsidRPr="00A627AC">
              <w:rPr>
                <w:rStyle w:val="Hyperlink"/>
              </w:rPr>
              <w:t>Table 8a. Results examining the relationship between environmental stress factors obtained from bifactor modeling and Shen-268 network small world omega during emotional n-back task</w:t>
            </w:r>
            <w:r>
              <w:rPr>
                <w:webHidden/>
              </w:rPr>
              <w:tab/>
            </w:r>
            <w:r>
              <w:rPr>
                <w:webHidden/>
              </w:rPr>
              <w:fldChar w:fldCharType="begin"/>
            </w:r>
            <w:r>
              <w:rPr>
                <w:webHidden/>
              </w:rPr>
              <w:instrText xml:space="preserve"> PAGEREF _Toc155817693 \h </w:instrText>
            </w:r>
            <w:r>
              <w:rPr>
                <w:webHidden/>
              </w:rPr>
            </w:r>
            <w:r>
              <w:rPr>
                <w:webHidden/>
              </w:rPr>
              <w:fldChar w:fldCharType="separate"/>
            </w:r>
            <w:r>
              <w:rPr>
                <w:webHidden/>
              </w:rPr>
              <w:t>50</w:t>
            </w:r>
            <w:r>
              <w:rPr>
                <w:webHidden/>
              </w:rPr>
              <w:fldChar w:fldCharType="end"/>
            </w:r>
          </w:hyperlink>
        </w:p>
        <w:p w14:paraId="4DE3EC35" w14:textId="1A1935FA"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4" w:history="1">
            <w:r w:rsidRPr="00A627AC">
              <w:rPr>
                <w:rStyle w:val="Hyperlink"/>
              </w:rPr>
              <w:t>Table 8b. Results examining the relationship between environmental stress factors obtained from higher-order modeling and Shen-268 network small world omega during emotional n-back task</w:t>
            </w:r>
            <w:r>
              <w:rPr>
                <w:webHidden/>
              </w:rPr>
              <w:tab/>
            </w:r>
            <w:r>
              <w:rPr>
                <w:webHidden/>
              </w:rPr>
              <w:fldChar w:fldCharType="begin"/>
            </w:r>
            <w:r>
              <w:rPr>
                <w:webHidden/>
              </w:rPr>
              <w:instrText xml:space="preserve"> PAGEREF _Toc155817694 \h </w:instrText>
            </w:r>
            <w:r>
              <w:rPr>
                <w:webHidden/>
              </w:rPr>
            </w:r>
            <w:r>
              <w:rPr>
                <w:webHidden/>
              </w:rPr>
              <w:fldChar w:fldCharType="separate"/>
            </w:r>
            <w:r>
              <w:rPr>
                <w:webHidden/>
              </w:rPr>
              <w:t>52</w:t>
            </w:r>
            <w:r>
              <w:rPr>
                <w:webHidden/>
              </w:rPr>
              <w:fldChar w:fldCharType="end"/>
            </w:r>
          </w:hyperlink>
        </w:p>
        <w:p w14:paraId="3BE99BEC" w14:textId="758DD03C"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5" w:history="1">
            <w:r w:rsidRPr="00A627AC">
              <w:rPr>
                <w:rStyle w:val="Hyperlink"/>
              </w:rPr>
              <w:t>Table 9a. Results examining the relationship between environmental stress factors obtained from bifactor modeling and Shen-268 network diameter during emotional n-back task</w:t>
            </w:r>
            <w:r>
              <w:rPr>
                <w:webHidden/>
              </w:rPr>
              <w:tab/>
            </w:r>
            <w:r>
              <w:rPr>
                <w:webHidden/>
              </w:rPr>
              <w:fldChar w:fldCharType="begin"/>
            </w:r>
            <w:r>
              <w:rPr>
                <w:webHidden/>
              </w:rPr>
              <w:instrText xml:space="preserve"> PAGEREF _Toc155817695 \h </w:instrText>
            </w:r>
            <w:r>
              <w:rPr>
                <w:webHidden/>
              </w:rPr>
            </w:r>
            <w:r>
              <w:rPr>
                <w:webHidden/>
              </w:rPr>
              <w:fldChar w:fldCharType="separate"/>
            </w:r>
            <w:r>
              <w:rPr>
                <w:webHidden/>
              </w:rPr>
              <w:t>54</w:t>
            </w:r>
            <w:r>
              <w:rPr>
                <w:webHidden/>
              </w:rPr>
              <w:fldChar w:fldCharType="end"/>
            </w:r>
          </w:hyperlink>
        </w:p>
        <w:p w14:paraId="0C0F9171" w14:textId="15F7B145"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6" w:history="1">
            <w:r w:rsidRPr="00A627AC">
              <w:rPr>
                <w:rStyle w:val="Hyperlink"/>
              </w:rPr>
              <w:t>Table 9b. Results examining the relationship between environmental stress factors obtained from higher-order modeling and Shen-268 network diameter during emotional n-back task</w:t>
            </w:r>
            <w:r>
              <w:rPr>
                <w:webHidden/>
              </w:rPr>
              <w:tab/>
            </w:r>
            <w:r>
              <w:rPr>
                <w:webHidden/>
              </w:rPr>
              <w:fldChar w:fldCharType="begin"/>
            </w:r>
            <w:r>
              <w:rPr>
                <w:webHidden/>
              </w:rPr>
              <w:instrText xml:space="preserve"> PAGEREF _Toc155817696 \h </w:instrText>
            </w:r>
            <w:r>
              <w:rPr>
                <w:webHidden/>
              </w:rPr>
            </w:r>
            <w:r>
              <w:rPr>
                <w:webHidden/>
              </w:rPr>
              <w:fldChar w:fldCharType="separate"/>
            </w:r>
            <w:r>
              <w:rPr>
                <w:webHidden/>
              </w:rPr>
              <w:t>56</w:t>
            </w:r>
            <w:r>
              <w:rPr>
                <w:webHidden/>
              </w:rPr>
              <w:fldChar w:fldCharType="end"/>
            </w:r>
          </w:hyperlink>
        </w:p>
        <w:p w14:paraId="4C4B5452" w14:textId="54480AEB"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7" w:history="1">
            <w:r w:rsidRPr="00A627AC">
              <w:rPr>
                <w:rStyle w:val="Hyperlink"/>
              </w:rPr>
              <w:t>Table 10a. Results examining the relationship between environmental stress factors obtained from bifactor modeling and Shen-268 network local efficiency during emotional n-back task</w:t>
            </w:r>
            <w:r>
              <w:rPr>
                <w:webHidden/>
              </w:rPr>
              <w:tab/>
            </w:r>
            <w:r>
              <w:rPr>
                <w:webHidden/>
              </w:rPr>
              <w:fldChar w:fldCharType="begin"/>
            </w:r>
            <w:r>
              <w:rPr>
                <w:webHidden/>
              </w:rPr>
              <w:instrText xml:space="preserve"> PAGEREF _Toc155817697 \h </w:instrText>
            </w:r>
            <w:r>
              <w:rPr>
                <w:webHidden/>
              </w:rPr>
            </w:r>
            <w:r>
              <w:rPr>
                <w:webHidden/>
              </w:rPr>
              <w:fldChar w:fldCharType="separate"/>
            </w:r>
            <w:r>
              <w:rPr>
                <w:webHidden/>
              </w:rPr>
              <w:t>58</w:t>
            </w:r>
            <w:r>
              <w:rPr>
                <w:webHidden/>
              </w:rPr>
              <w:fldChar w:fldCharType="end"/>
            </w:r>
          </w:hyperlink>
        </w:p>
        <w:p w14:paraId="00EEB771" w14:textId="00E7B1D5"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8" w:history="1">
            <w:r w:rsidRPr="00A627AC">
              <w:rPr>
                <w:rStyle w:val="Hyperlink"/>
              </w:rPr>
              <w:t>Table 10b. Results examining the relationship between environmental stress factors obtained from higher-order modeling and Shen-268 network local efficiency during emotional n-back task</w:t>
            </w:r>
            <w:r>
              <w:rPr>
                <w:webHidden/>
              </w:rPr>
              <w:tab/>
            </w:r>
            <w:r>
              <w:rPr>
                <w:webHidden/>
              </w:rPr>
              <w:fldChar w:fldCharType="begin"/>
            </w:r>
            <w:r>
              <w:rPr>
                <w:webHidden/>
              </w:rPr>
              <w:instrText xml:space="preserve"> PAGEREF _Toc155817698 \h </w:instrText>
            </w:r>
            <w:r>
              <w:rPr>
                <w:webHidden/>
              </w:rPr>
            </w:r>
            <w:r>
              <w:rPr>
                <w:webHidden/>
              </w:rPr>
              <w:fldChar w:fldCharType="separate"/>
            </w:r>
            <w:r>
              <w:rPr>
                <w:webHidden/>
              </w:rPr>
              <w:t>60</w:t>
            </w:r>
            <w:r>
              <w:rPr>
                <w:webHidden/>
              </w:rPr>
              <w:fldChar w:fldCharType="end"/>
            </w:r>
          </w:hyperlink>
        </w:p>
        <w:p w14:paraId="610021DF" w14:textId="72FDDA60"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699" w:history="1">
            <w:r w:rsidRPr="00A627AC">
              <w:rPr>
                <w:rStyle w:val="Hyperlink"/>
              </w:rPr>
              <w:t>Table 11a. Results examining the relationship between environmental stress factors obtained from bifactor modeling and Shen-268 network average shortest path length during the monetary incentive delay task</w:t>
            </w:r>
            <w:r>
              <w:rPr>
                <w:webHidden/>
              </w:rPr>
              <w:tab/>
            </w:r>
            <w:r>
              <w:rPr>
                <w:webHidden/>
              </w:rPr>
              <w:fldChar w:fldCharType="begin"/>
            </w:r>
            <w:r>
              <w:rPr>
                <w:webHidden/>
              </w:rPr>
              <w:instrText xml:space="preserve"> PAGEREF _Toc155817699 \h </w:instrText>
            </w:r>
            <w:r>
              <w:rPr>
                <w:webHidden/>
              </w:rPr>
            </w:r>
            <w:r>
              <w:rPr>
                <w:webHidden/>
              </w:rPr>
              <w:fldChar w:fldCharType="separate"/>
            </w:r>
            <w:r>
              <w:rPr>
                <w:webHidden/>
              </w:rPr>
              <w:t>62</w:t>
            </w:r>
            <w:r>
              <w:rPr>
                <w:webHidden/>
              </w:rPr>
              <w:fldChar w:fldCharType="end"/>
            </w:r>
          </w:hyperlink>
        </w:p>
        <w:p w14:paraId="5D204E37" w14:textId="34AD9A92"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0" w:history="1">
            <w:r w:rsidRPr="00A627AC">
              <w:rPr>
                <w:rStyle w:val="Hyperlink"/>
              </w:rPr>
              <w:t>Table 11b. Results examining the relationship between environmental stress factors obtained from higher-order modeling and Shen-268 network average shortest path length during the monetary incentive delay task</w:t>
            </w:r>
            <w:r>
              <w:rPr>
                <w:webHidden/>
              </w:rPr>
              <w:tab/>
            </w:r>
            <w:r>
              <w:rPr>
                <w:webHidden/>
              </w:rPr>
              <w:fldChar w:fldCharType="begin"/>
            </w:r>
            <w:r>
              <w:rPr>
                <w:webHidden/>
              </w:rPr>
              <w:instrText xml:space="preserve"> PAGEREF _Toc155817700 \h </w:instrText>
            </w:r>
            <w:r>
              <w:rPr>
                <w:webHidden/>
              </w:rPr>
            </w:r>
            <w:r>
              <w:rPr>
                <w:webHidden/>
              </w:rPr>
              <w:fldChar w:fldCharType="separate"/>
            </w:r>
            <w:r>
              <w:rPr>
                <w:webHidden/>
              </w:rPr>
              <w:t>64</w:t>
            </w:r>
            <w:r>
              <w:rPr>
                <w:webHidden/>
              </w:rPr>
              <w:fldChar w:fldCharType="end"/>
            </w:r>
          </w:hyperlink>
        </w:p>
        <w:p w14:paraId="3B656FFE" w14:textId="52AD231E"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1" w:history="1">
            <w:r w:rsidRPr="00A627AC">
              <w:rPr>
                <w:rStyle w:val="Hyperlink"/>
              </w:rPr>
              <w:t>Table 12a. Results examining the relationship between environmental stress factors obtained from bifactor modeling and Shen-268 network small world omega during the monetary incentive delay task</w:t>
            </w:r>
            <w:r>
              <w:rPr>
                <w:webHidden/>
              </w:rPr>
              <w:tab/>
            </w:r>
            <w:r>
              <w:rPr>
                <w:webHidden/>
              </w:rPr>
              <w:fldChar w:fldCharType="begin"/>
            </w:r>
            <w:r>
              <w:rPr>
                <w:webHidden/>
              </w:rPr>
              <w:instrText xml:space="preserve"> PAGEREF _Toc155817701 \h </w:instrText>
            </w:r>
            <w:r>
              <w:rPr>
                <w:webHidden/>
              </w:rPr>
            </w:r>
            <w:r>
              <w:rPr>
                <w:webHidden/>
              </w:rPr>
              <w:fldChar w:fldCharType="separate"/>
            </w:r>
            <w:r>
              <w:rPr>
                <w:webHidden/>
              </w:rPr>
              <w:t>66</w:t>
            </w:r>
            <w:r>
              <w:rPr>
                <w:webHidden/>
              </w:rPr>
              <w:fldChar w:fldCharType="end"/>
            </w:r>
          </w:hyperlink>
        </w:p>
        <w:p w14:paraId="3D863F36" w14:textId="415F766F"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2" w:history="1">
            <w:r w:rsidRPr="00A627AC">
              <w:rPr>
                <w:rStyle w:val="Hyperlink"/>
              </w:rPr>
              <w:t>Table 12b. Results examining the relationship between environmental stress factors obtained from higher-order modeling and Shen-268 network small world omega during the monetary incentive delay task</w:t>
            </w:r>
            <w:r>
              <w:rPr>
                <w:webHidden/>
              </w:rPr>
              <w:tab/>
            </w:r>
            <w:r>
              <w:rPr>
                <w:webHidden/>
              </w:rPr>
              <w:fldChar w:fldCharType="begin"/>
            </w:r>
            <w:r>
              <w:rPr>
                <w:webHidden/>
              </w:rPr>
              <w:instrText xml:space="preserve"> PAGEREF _Toc155817702 \h </w:instrText>
            </w:r>
            <w:r>
              <w:rPr>
                <w:webHidden/>
              </w:rPr>
            </w:r>
            <w:r>
              <w:rPr>
                <w:webHidden/>
              </w:rPr>
              <w:fldChar w:fldCharType="separate"/>
            </w:r>
            <w:r>
              <w:rPr>
                <w:webHidden/>
              </w:rPr>
              <w:t>68</w:t>
            </w:r>
            <w:r>
              <w:rPr>
                <w:webHidden/>
              </w:rPr>
              <w:fldChar w:fldCharType="end"/>
            </w:r>
          </w:hyperlink>
        </w:p>
        <w:p w14:paraId="6233CF96" w14:textId="18F2F954"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3" w:history="1">
            <w:r w:rsidRPr="00A627AC">
              <w:rPr>
                <w:rStyle w:val="Hyperlink"/>
              </w:rPr>
              <w:t>Table 13a. Results examining the relationship between environmental stress factors obtained from bifactor modeling and Shen-268 network diameter during the monetary incentive delay task</w:t>
            </w:r>
            <w:r>
              <w:rPr>
                <w:webHidden/>
              </w:rPr>
              <w:tab/>
            </w:r>
            <w:r>
              <w:rPr>
                <w:webHidden/>
              </w:rPr>
              <w:fldChar w:fldCharType="begin"/>
            </w:r>
            <w:r>
              <w:rPr>
                <w:webHidden/>
              </w:rPr>
              <w:instrText xml:space="preserve"> PAGEREF _Toc155817703 \h </w:instrText>
            </w:r>
            <w:r>
              <w:rPr>
                <w:webHidden/>
              </w:rPr>
            </w:r>
            <w:r>
              <w:rPr>
                <w:webHidden/>
              </w:rPr>
              <w:fldChar w:fldCharType="separate"/>
            </w:r>
            <w:r>
              <w:rPr>
                <w:webHidden/>
              </w:rPr>
              <w:t>70</w:t>
            </w:r>
            <w:r>
              <w:rPr>
                <w:webHidden/>
              </w:rPr>
              <w:fldChar w:fldCharType="end"/>
            </w:r>
          </w:hyperlink>
        </w:p>
        <w:p w14:paraId="78AF8694" w14:textId="088260B1"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4" w:history="1">
            <w:r w:rsidRPr="00A627AC">
              <w:rPr>
                <w:rStyle w:val="Hyperlink"/>
              </w:rPr>
              <w:t>Table 13b. Results examining the relationship between environmental stress factors obtained from higher-order modeling and Shen-268 network diameter during the monetary incentive delay task</w:t>
            </w:r>
            <w:r>
              <w:rPr>
                <w:webHidden/>
              </w:rPr>
              <w:tab/>
            </w:r>
            <w:r>
              <w:rPr>
                <w:webHidden/>
              </w:rPr>
              <w:fldChar w:fldCharType="begin"/>
            </w:r>
            <w:r>
              <w:rPr>
                <w:webHidden/>
              </w:rPr>
              <w:instrText xml:space="preserve"> PAGEREF _Toc155817704 \h </w:instrText>
            </w:r>
            <w:r>
              <w:rPr>
                <w:webHidden/>
              </w:rPr>
            </w:r>
            <w:r>
              <w:rPr>
                <w:webHidden/>
              </w:rPr>
              <w:fldChar w:fldCharType="separate"/>
            </w:r>
            <w:r>
              <w:rPr>
                <w:webHidden/>
              </w:rPr>
              <w:t>72</w:t>
            </w:r>
            <w:r>
              <w:rPr>
                <w:webHidden/>
              </w:rPr>
              <w:fldChar w:fldCharType="end"/>
            </w:r>
          </w:hyperlink>
        </w:p>
        <w:p w14:paraId="00CADAD9" w14:textId="0A592BD7"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5" w:history="1">
            <w:r w:rsidRPr="00A627AC">
              <w:rPr>
                <w:rStyle w:val="Hyperlink"/>
              </w:rPr>
              <w:t>Table 14a. Results examining the relationship between environmental stress factors obtained from bifactor modeling and Shen-268 network local efficiency during the monetary incentive delay task</w:t>
            </w:r>
            <w:r>
              <w:rPr>
                <w:webHidden/>
              </w:rPr>
              <w:tab/>
            </w:r>
            <w:r>
              <w:rPr>
                <w:webHidden/>
              </w:rPr>
              <w:fldChar w:fldCharType="begin"/>
            </w:r>
            <w:r>
              <w:rPr>
                <w:webHidden/>
              </w:rPr>
              <w:instrText xml:space="preserve"> PAGEREF _Toc155817705 \h </w:instrText>
            </w:r>
            <w:r>
              <w:rPr>
                <w:webHidden/>
              </w:rPr>
            </w:r>
            <w:r>
              <w:rPr>
                <w:webHidden/>
              </w:rPr>
              <w:fldChar w:fldCharType="separate"/>
            </w:r>
            <w:r>
              <w:rPr>
                <w:webHidden/>
              </w:rPr>
              <w:t>74</w:t>
            </w:r>
            <w:r>
              <w:rPr>
                <w:webHidden/>
              </w:rPr>
              <w:fldChar w:fldCharType="end"/>
            </w:r>
          </w:hyperlink>
        </w:p>
        <w:p w14:paraId="013A6CB6" w14:textId="06F25968"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6" w:history="1">
            <w:r w:rsidRPr="00A627AC">
              <w:rPr>
                <w:rStyle w:val="Hyperlink"/>
              </w:rPr>
              <w:t>Table 14b. Results examining the relationship between environmental stress factors obtained from higher-order modeling and Shen-268 network local efficiency during the monetary incentive delay task</w:t>
            </w:r>
            <w:r>
              <w:rPr>
                <w:webHidden/>
              </w:rPr>
              <w:tab/>
            </w:r>
            <w:r>
              <w:rPr>
                <w:webHidden/>
              </w:rPr>
              <w:fldChar w:fldCharType="begin"/>
            </w:r>
            <w:r>
              <w:rPr>
                <w:webHidden/>
              </w:rPr>
              <w:instrText xml:space="preserve"> PAGEREF _Toc155817706 \h </w:instrText>
            </w:r>
            <w:r>
              <w:rPr>
                <w:webHidden/>
              </w:rPr>
            </w:r>
            <w:r>
              <w:rPr>
                <w:webHidden/>
              </w:rPr>
              <w:fldChar w:fldCharType="separate"/>
            </w:r>
            <w:r>
              <w:rPr>
                <w:webHidden/>
              </w:rPr>
              <w:t>76</w:t>
            </w:r>
            <w:r>
              <w:rPr>
                <w:webHidden/>
              </w:rPr>
              <w:fldChar w:fldCharType="end"/>
            </w:r>
          </w:hyperlink>
        </w:p>
        <w:p w14:paraId="3969263C" w14:textId="26BDEA64"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7" w:history="1">
            <w:r w:rsidRPr="00A627AC">
              <w:rPr>
                <w:rStyle w:val="Hyperlink"/>
              </w:rPr>
              <w:t>Table 15a. Results examining the relationship between environmental stress factors obtained from bifactor modeling and Shen-268 network average shortest path length during the stop signal task</w:t>
            </w:r>
            <w:r>
              <w:rPr>
                <w:webHidden/>
              </w:rPr>
              <w:tab/>
            </w:r>
            <w:r>
              <w:rPr>
                <w:webHidden/>
              </w:rPr>
              <w:fldChar w:fldCharType="begin"/>
            </w:r>
            <w:r>
              <w:rPr>
                <w:webHidden/>
              </w:rPr>
              <w:instrText xml:space="preserve"> PAGEREF _Toc155817707 \h </w:instrText>
            </w:r>
            <w:r>
              <w:rPr>
                <w:webHidden/>
              </w:rPr>
            </w:r>
            <w:r>
              <w:rPr>
                <w:webHidden/>
              </w:rPr>
              <w:fldChar w:fldCharType="separate"/>
            </w:r>
            <w:r>
              <w:rPr>
                <w:webHidden/>
              </w:rPr>
              <w:t>78</w:t>
            </w:r>
            <w:r>
              <w:rPr>
                <w:webHidden/>
              </w:rPr>
              <w:fldChar w:fldCharType="end"/>
            </w:r>
          </w:hyperlink>
        </w:p>
        <w:p w14:paraId="11EC9FE8" w14:textId="3BF2AAE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8" w:history="1">
            <w:r w:rsidRPr="00A627AC">
              <w:rPr>
                <w:rStyle w:val="Hyperlink"/>
              </w:rPr>
              <w:t>Table 15b. Results examining the relationship between environmental stress factors obtained from higher-order modeling and Shen-268 network average shortest path length during the stop signal task</w:t>
            </w:r>
            <w:r>
              <w:rPr>
                <w:webHidden/>
              </w:rPr>
              <w:tab/>
            </w:r>
            <w:r>
              <w:rPr>
                <w:webHidden/>
              </w:rPr>
              <w:fldChar w:fldCharType="begin"/>
            </w:r>
            <w:r>
              <w:rPr>
                <w:webHidden/>
              </w:rPr>
              <w:instrText xml:space="preserve"> PAGEREF _Toc155817708 \h </w:instrText>
            </w:r>
            <w:r>
              <w:rPr>
                <w:webHidden/>
              </w:rPr>
            </w:r>
            <w:r>
              <w:rPr>
                <w:webHidden/>
              </w:rPr>
              <w:fldChar w:fldCharType="separate"/>
            </w:r>
            <w:r>
              <w:rPr>
                <w:webHidden/>
              </w:rPr>
              <w:t>80</w:t>
            </w:r>
            <w:r>
              <w:rPr>
                <w:webHidden/>
              </w:rPr>
              <w:fldChar w:fldCharType="end"/>
            </w:r>
          </w:hyperlink>
        </w:p>
        <w:p w14:paraId="3DBF32D1" w14:textId="5D315D98"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09" w:history="1">
            <w:r w:rsidRPr="00A627AC">
              <w:rPr>
                <w:rStyle w:val="Hyperlink"/>
              </w:rPr>
              <w:t>Table 16a. Results examining the relationship between environmental stress factors obtained from bifactor modeling and Shen-268 network small world omega during the stop signal task</w:t>
            </w:r>
            <w:r>
              <w:rPr>
                <w:webHidden/>
              </w:rPr>
              <w:tab/>
            </w:r>
            <w:r>
              <w:rPr>
                <w:webHidden/>
              </w:rPr>
              <w:fldChar w:fldCharType="begin"/>
            </w:r>
            <w:r>
              <w:rPr>
                <w:webHidden/>
              </w:rPr>
              <w:instrText xml:space="preserve"> PAGEREF _Toc155817709 \h </w:instrText>
            </w:r>
            <w:r>
              <w:rPr>
                <w:webHidden/>
              </w:rPr>
            </w:r>
            <w:r>
              <w:rPr>
                <w:webHidden/>
              </w:rPr>
              <w:fldChar w:fldCharType="separate"/>
            </w:r>
            <w:r>
              <w:rPr>
                <w:webHidden/>
              </w:rPr>
              <w:t>82</w:t>
            </w:r>
            <w:r>
              <w:rPr>
                <w:webHidden/>
              </w:rPr>
              <w:fldChar w:fldCharType="end"/>
            </w:r>
          </w:hyperlink>
        </w:p>
        <w:p w14:paraId="6B0D43DB" w14:textId="53892B6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0" w:history="1">
            <w:r w:rsidRPr="00A627AC">
              <w:rPr>
                <w:rStyle w:val="Hyperlink"/>
              </w:rPr>
              <w:t>Table 16b. Results examining the relationship between environmental stress factors obtained from higher-order modeling and Shen-268 network small world omega during the stop signal task</w:t>
            </w:r>
            <w:r>
              <w:rPr>
                <w:webHidden/>
              </w:rPr>
              <w:tab/>
            </w:r>
            <w:r>
              <w:rPr>
                <w:webHidden/>
              </w:rPr>
              <w:fldChar w:fldCharType="begin"/>
            </w:r>
            <w:r>
              <w:rPr>
                <w:webHidden/>
              </w:rPr>
              <w:instrText xml:space="preserve"> PAGEREF _Toc155817710 \h </w:instrText>
            </w:r>
            <w:r>
              <w:rPr>
                <w:webHidden/>
              </w:rPr>
            </w:r>
            <w:r>
              <w:rPr>
                <w:webHidden/>
              </w:rPr>
              <w:fldChar w:fldCharType="separate"/>
            </w:r>
            <w:r>
              <w:rPr>
                <w:webHidden/>
              </w:rPr>
              <w:t>84</w:t>
            </w:r>
            <w:r>
              <w:rPr>
                <w:webHidden/>
              </w:rPr>
              <w:fldChar w:fldCharType="end"/>
            </w:r>
          </w:hyperlink>
        </w:p>
        <w:p w14:paraId="76F110C8" w14:textId="5511E270"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1" w:history="1">
            <w:r w:rsidRPr="00A627AC">
              <w:rPr>
                <w:rStyle w:val="Hyperlink"/>
              </w:rPr>
              <w:t>Table 17a. Results examining the relationship between environmental stress factors obtained from bifactor modeling and Shen-268 network diameter during the stop signal task</w:t>
            </w:r>
            <w:r>
              <w:rPr>
                <w:webHidden/>
              </w:rPr>
              <w:tab/>
            </w:r>
            <w:r>
              <w:rPr>
                <w:webHidden/>
              </w:rPr>
              <w:fldChar w:fldCharType="begin"/>
            </w:r>
            <w:r>
              <w:rPr>
                <w:webHidden/>
              </w:rPr>
              <w:instrText xml:space="preserve"> PAGEREF _Toc155817711 \h </w:instrText>
            </w:r>
            <w:r>
              <w:rPr>
                <w:webHidden/>
              </w:rPr>
            </w:r>
            <w:r>
              <w:rPr>
                <w:webHidden/>
              </w:rPr>
              <w:fldChar w:fldCharType="separate"/>
            </w:r>
            <w:r>
              <w:rPr>
                <w:webHidden/>
              </w:rPr>
              <w:t>86</w:t>
            </w:r>
            <w:r>
              <w:rPr>
                <w:webHidden/>
              </w:rPr>
              <w:fldChar w:fldCharType="end"/>
            </w:r>
          </w:hyperlink>
        </w:p>
        <w:p w14:paraId="191DBBF9" w14:textId="44F88F56"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2" w:history="1">
            <w:r w:rsidRPr="00A627AC">
              <w:rPr>
                <w:rStyle w:val="Hyperlink"/>
              </w:rPr>
              <w:t>Table 17b. Results examining the relationship between environmental stress factors obtained from higher-order modeling and Shen-268 network diameter during the stop signal task</w:t>
            </w:r>
            <w:r>
              <w:rPr>
                <w:webHidden/>
              </w:rPr>
              <w:tab/>
            </w:r>
            <w:r>
              <w:rPr>
                <w:webHidden/>
              </w:rPr>
              <w:fldChar w:fldCharType="begin"/>
            </w:r>
            <w:r>
              <w:rPr>
                <w:webHidden/>
              </w:rPr>
              <w:instrText xml:space="preserve"> PAGEREF _Toc155817712 \h </w:instrText>
            </w:r>
            <w:r>
              <w:rPr>
                <w:webHidden/>
              </w:rPr>
            </w:r>
            <w:r>
              <w:rPr>
                <w:webHidden/>
              </w:rPr>
              <w:fldChar w:fldCharType="separate"/>
            </w:r>
            <w:r>
              <w:rPr>
                <w:webHidden/>
              </w:rPr>
              <w:t>88</w:t>
            </w:r>
            <w:r>
              <w:rPr>
                <w:webHidden/>
              </w:rPr>
              <w:fldChar w:fldCharType="end"/>
            </w:r>
          </w:hyperlink>
        </w:p>
        <w:p w14:paraId="24C107EA" w14:textId="0494FA8F"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3" w:history="1">
            <w:r w:rsidRPr="00A627AC">
              <w:rPr>
                <w:rStyle w:val="Hyperlink"/>
              </w:rPr>
              <w:t>Table 18a. Results examining the relationship between environmental stress factors obtained from bifactor modeling and Shen-268 network local efficiency during the stop signal task</w:t>
            </w:r>
            <w:r>
              <w:rPr>
                <w:webHidden/>
              </w:rPr>
              <w:tab/>
            </w:r>
            <w:r>
              <w:rPr>
                <w:webHidden/>
              </w:rPr>
              <w:fldChar w:fldCharType="begin"/>
            </w:r>
            <w:r>
              <w:rPr>
                <w:webHidden/>
              </w:rPr>
              <w:instrText xml:space="preserve"> PAGEREF _Toc155817713 \h </w:instrText>
            </w:r>
            <w:r>
              <w:rPr>
                <w:webHidden/>
              </w:rPr>
            </w:r>
            <w:r>
              <w:rPr>
                <w:webHidden/>
              </w:rPr>
              <w:fldChar w:fldCharType="separate"/>
            </w:r>
            <w:r>
              <w:rPr>
                <w:webHidden/>
              </w:rPr>
              <w:t>90</w:t>
            </w:r>
            <w:r>
              <w:rPr>
                <w:webHidden/>
              </w:rPr>
              <w:fldChar w:fldCharType="end"/>
            </w:r>
          </w:hyperlink>
        </w:p>
        <w:p w14:paraId="1C59684A" w14:textId="3AEB9E58"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4" w:history="1">
            <w:r w:rsidRPr="00A627AC">
              <w:rPr>
                <w:rStyle w:val="Hyperlink"/>
              </w:rPr>
              <w:t>Table 18b. Results examining the relationship between environmental stress factors obtained from higher-order modeling and Shen-268 network local efficiency during the stop signal task</w:t>
            </w:r>
            <w:r>
              <w:rPr>
                <w:webHidden/>
              </w:rPr>
              <w:tab/>
            </w:r>
            <w:r>
              <w:rPr>
                <w:webHidden/>
              </w:rPr>
              <w:fldChar w:fldCharType="begin"/>
            </w:r>
            <w:r>
              <w:rPr>
                <w:webHidden/>
              </w:rPr>
              <w:instrText xml:space="preserve"> PAGEREF _Toc155817714 \h </w:instrText>
            </w:r>
            <w:r>
              <w:rPr>
                <w:webHidden/>
              </w:rPr>
            </w:r>
            <w:r>
              <w:rPr>
                <w:webHidden/>
              </w:rPr>
              <w:fldChar w:fldCharType="separate"/>
            </w:r>
            <w:r>
              <w:rPr>
                <w:webHidden/>
              </w:rPr>
              <w:t>92</w:t>
            </w:r>
            <w:r>
              <w:rPr>
                <w:webHidden/>
              </w:rPr>
              <w:fldChar w:fldCharType="end"/>
            </w:r>
          </w:hyperlink>
        </w:p>
        <w:p w14:paraId="2D028EEA" w14:textId="66882BCB"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5" w:history="1">
            <w:r w:rsidRPr="00A627AC">
              <w:rPr>
                <w:rStyle w:val="Hyperlink"/>
              </w:rPr>
              <w:t>Table 19a. Results Examining the Relationship Between Environmental Stress Factors Obtained from Bifactor Modeling and Behavioral Performance</w:t>
            </w:r>
            <w:r>
              <w:rPr>
                <w:webHidden/>
              </w:rPr>
              <w:tab/>
            </w:r>
            <w:r>
              <w:rPr>
                <w:webHidden/>
              </w:rPr>
              <w:fldChar w:fldCharType="begin"/>
            </w:r>
            <w:r>
              <w:rPr>
                <w:webHidden/>
              </w:rPr>
              <w:instrText xml:space="preserve"> PAGEREF _Toc155817715 \h </w:instrText>
            </w:r>
            <w:r>
              <w:rPr>
                <w:webHidden/>
              </w:rPr>
            </w:r>
            <w:r>
              <w:rPr>
                <w:webHidden/>
              </w:rPr>
              <w:fldChar w:fldCharType="separate"/>
            </w:r>
            <w:r>
              <w:rPr>
                <w:webHidden/>
              </w:rPr>
              <w:t>94</w:t>
            </w:r>
            <w:r>
              <w:rPr>
                <w:webHidden/>
              </w:rPr>
              <w:fldChar w:fldCharType="end"/>
            </w:r>
          </w:hyperlink>
        </w:p>
        <w:p w14:paraId="56316B0B" w14:textId="75B2D3A6"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6" w:history="1">
            <w:r w:rsidRPr="00A627AC">
              <w:rPr>
                <w:rStyle w:val="Hyperlink"/>
              </w:rPr>
              <w:t>Table 19b. Results Examining the Relationship Between Environmental Stress Factors Obtained from Higher-Order Modeling and Behavioral Performance</w:t>
            </w:r>
            <w:r>
              <w:rPr>
                <w:webHidden/>
              </w:rPr>
              <w:tab/>
            </w:r>
            <w:r>
              <w:rPr>
                <w:webHidden/>
              </w:rPr>
              <w:fldChar w:fldCharType="begin"/>
            </w:r>
            <w:r>
              <w:rPr>
                <w:webHidden/>
              </w:rPr>
              <w:instrText xml:space="preserve"> PAGEREF _Toc155817716 \h </w:instrText>
            </w:r>
            <w:r>
              <w:rPr>
                <w:webHidden/>
              </w:rPr>
            </w:r>
            <w:r>
              <w:rPr>
                <w:webHidden/>
              </w:rPr>
              <w:fldChar w:fldCharType="separate"/>
            </w:r>
            <w:r>
              <w:rPr>
                <w:webHidden/>
              </w:rPr>
              <w:t>95</w:t>
            </w:r>
            <w:r>
              <w:rPr>
                <w:webHidden/>
              </w:rPr>
              <w:fldChar w:fldCharType="end"/>
            </w:r>
          </w:hyperlink>
        </w:p>
        <w:p w14:paraId="40E45C23" w14:textId="6BA611AE"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7" w:history="1">
            <w:r w:rsidRPr="00A627AC">
              <w:rPr>
                <w:rStyle w:val="Hyperlink"/>
              </w:rPr>
              <w:t>Table 20a. Results examining the relationship between environmental stressor factors obtained from bifactor modeling and whole-brain Shen modularity during rest, emotional n-back task, and stop signal task controlling for medication</w:t>
            </w:r>
            <w:r>
              <w:rPr>
                <w:webHidden/>
              </w:rPr>
              <w:tab/>
            </w:r>
            <w:r>
              <w:rPr>
                <w:webHidden/>
              </w:rPr>
              <w:fldChar w:fldCharType="begin"/>
            </w:r>
            <w:r>
              <w:rPr>
                <w:webHidden/>
              </w:rPr>
              <w:instrText xml:space="preserve"> PAGEREF _Toc155817717 \h </w:instrText>
            </w:r>
            <w:r>
              <w:rPr>
                <w:webHidden/>
              </w:rPr>
            </w:r>
            <w:r>
              <w:rPr>
                <w:webHidden/>
              </w:rPr>
              <w:fldChar w:fldCharType="separate"/>
            </w:r>
            <w:r>
              <w:rPr>
                <w:webHidden/>
              </w:rPr>
              <w:t>96</w:t>
            </w:r>
            <w:r>
              <w:rPr>
                <w:webHidden/>
              </w:rPr>
              <w:fldChar w:fldCharType="end"/>
            </w:r>
          </w:hyperlink>
        </w:p>
        <w:p w14:paraId="13AF8E13" w14:textId="26DB2617"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8" w:history="1">
            <w:r w:rsidRPr="00A627AC">
              <w:rPr>
                <w:rStyle w:val="Hyperlink"/>
              </w:rPr>
              <w:t>Table 20b. Results examining the relationship between environmental stressor factors obtained from higher-order modeling and whole-brain Shen modularity during rest, emotional n-back task, and stop signal task controlling for medication</w:t>
            </w:r>
            <w:r>
              <w:rPr>
                <w:webHidden/>
              </w:rPr>
              <w:tab/>
            </w:r>
            <w:r>
              <w:rPr>
                <w:webHidden/>
              </w:rPr>
              <w:fldChar w:fldCharType="begin"/>
            </w:r>
            <w:r>
              <w:rPr>
                <w:webHidden/>
              </w:rPr>
              <w:instrText xml:space="preserve"> PAGEREF _Toc155817718 \h </w:instrText>
            </w:r>
            <w:r>
              <w:rPr>
                <w:webHidden/>
              </w:rPr>
            </w:r>
            <w:r>
              <w:rPr>
                <w:webHidden/>
              </w:rPr>
              <w:fldChar w:fldCharType="separate"/>
            </w:r>
            <w:r>
              <w:rPr>
                <w:webHidden/>
              </w:rPr>
              <w:t>97</w:t>
            </w:r>
            <w:r>
              <w:rPr>
                <w:webHidden/>
              </w:rPr>
              <w:fldChar w:fldCharType="end"/>
            </w:r>
          </w:hyperlink>
        </w:p>
        <w:p w14:paraId="50EA1CD5" w14:textId="11FF2FB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19" w:history="1">
            <w:r w:rsidRPr="00A627AC">
              <w:rPr>
                <w:rStyle w:val="Hyperlink"/>
              </w:rPr>
              <w:t>Table 21a. Results examining the relationship between environmental stress factors obtained from bifactor modeling and Shen-268 network average shortest path during rest controlling for medication</w:t>
            </w:r>
            <w:r>
              <w:rPr>
                <w:webHidden/>
              </w:rPr>
              <w:tab/>
            </w:r>
            <w:r>
              <w:rPr>
                <w:webHidden/>
              </w:rPr>
              <w:fldChar w:fldCharType="begin"/>
            </w:r>
            <w:r>
              <w:rPr>
                <w:webHidden/>
              </w:rPr>
              <w:instrText xml:space="preserve"> PAGEREF _Toc155817719 \h </w:instrText>
            </w:r>
            <w:r>
              <w:rPr>
                <w:webHidden/>
              </w:rPr>
            </w:r>
            <w:r>
              <w:rPr>
                <w:webHidden/>
              </w:rPr>
              <w:fldChar w:fldCharType="separate"/>
            </w:r>
            <w:r>
              <w:rPr>
                <w:webHidden/>
              </w:rPr>
              <w:t>98</w:t>
            </w:r>
            <w:r>
              <w:rPr>
                <w:webHidden/>
              </w:rPr>
              <w:fldChar w:fldCharType="end"/>
            </w:r>
          </w:hyperlink>
        </w:p>
        <w:p w14:paraId="4060FE7B" w14:textId="7F0B755B"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0" w:history="1">
            <w:r w:rsidRPr="00A627AC">
              <w:rPr>
                <w:rStyle w:val="Hyperlink"/>
              </w:rPr>
              <w:t>Table 21b. Results examining the relationship between environmental stress factors obtained from higher-order modeling and Shen-268 network average shortest path during rest controlling for medication</w:t>
            </w:r>
            <w:r>
              <w:rPr>
                <w:webHidden/>
              </w:rPr>
              <w:tab/>
            </w:r>
            <w:r>
              <w:rPr>
                <w:webHidden/>
              </w:rPr>
              <w:fldChar w:fldCharType="begin"/>
            </w:r>
            <w:r>
              <w:rPr>
                <w:webHidden/>
              </w:rPr>
              <w:instrText xml:space="preserve"> PAGEREF _Toc155817720 \h </w:instrText>
            </w:r>
            <w:r>
              <w:rPr>
                <w:webHidden/>
              </w:rPr>
            </w:r>
            <w:r>
              <w:rPr>
                <w:webHidden/>
              </w:rPr>
              <w:fldChar w:fldCharType="separate"/>
            </w:r>
            <w:r>
              <w:rPr>
                <w:webHidden/>
              </w:rPr>
              <w:t>100</w:t>
            </w:r>
            <w:r>
              <w:rPr>
                <w:webHidden/>
              </w:rPr>
              <w:fldChar w:fldCharType="end"/>
            </w:r>
          </w:hyperlink>
        </w:p>
        <w:p w14:paraId="640F8C1F" w14:textId="5B86BA52"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1" w:history="1">
            <w:r w:rsidRPr="00A627AC">
              <w:rPr>
                <w:rStyle w:val="Hyperlink"/>
              </w:rPr>
              <w:t>Table 22a. Results examining the relationship between environmental stress factors obtained from bifactor modeling and Shen-268 network small world omega during rest controlling for medication</w:t>
            </w:r>
            <w:r>
              <w:rPr>
                <w:webHidden/>
              </w:rPr>
              <w:tab/>
            </w:r>
            <w:r>
              <w:rPr>
                <w:webHidden/>
              </w:rPr>
              <w:fldChar w:fldCharType="begin"/>
            </w:r>
            <w:r>
              <w:rPr>
                <w:webHidden/>
              </w:rPr>
              <w:instrText xml:space="preserve"> PAGEREF _Toc155817721 \h </w:instrText>
            </w:r>
            <w:r>
              <w:rPr>
                <w:webHidden/>
              </w:rPr>
            </w:r>
            <w:r>
              <w:rPr>
                <w:webHidden/>
              </w:rPr>
              <w:fldChar w:fldCharType="separate"/>
            </w:r>
            <w:r>
              <w:rPr>
                <w:webHidden/>
              </w:rPr>
              <w:t>102</w:t>
            </w:r>
            <w:r>
              <w:rPr>
                <w:webHidden/>
              </w:rPr>
              <w:fldChar w:fldCharType="end"/>
            </w:r>
          </w:hyperlink>
        </w:p>
        <w:p w14:paraId="437F807D" w14:textId="3CABC9E6"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2" w:history="1">
            <w:r w:rsidRPr="00A627AC">
              <w:rPr>
                <w:rStyle w:val="Hyperlink"/>
              </w:rPr>
              <w:t>Table 22b. Results examining the relationship between environmental stress factors obtained from higher-order modeling and Shen-268 network small world omega during rest controlling for medication</w:t>
            </w:r>
            <w:r>
              <w:rPr>
                <w:webHidden/>
              </w:rPr>
              <w:tab/>
            </w:r>
            <w:r>
              <w:rPr>
                <w:webHidden/>
              </w:rPr>
              <w:fldChar w:fldCharType="begin"/>
            </w:r>
            <w:r>
              <w:rPr>
                <w:webHidden/>
              </w:rPr>
              <w:instrText xml:space="preserve"> PAGEREF _Toc155817722 \h </w:instrText>
            </w:r>
            <w:r>
              <w:rPr>
                <w:webHidden/>
              </w:rPr>
            </w:r>
            <w:r>
              <w:rPr>
                <w:webHidden/>
              </w:rPr>
              <w:fldChar w:fldCharType="separate"/>
            </w:r>
            <w:r>
              <w:rPr>
                <w:webHidden/>
              </w:rPr>
              <w:t>104</w:t>
            </w:r>
            <w:r>
              <w:rPr>
                <w:webHidden/>
              </w:rPr>
              <w:fldChar w:fldCharType="end"/>
            </w:r>
          </w:hyperlink>
        </w:p>
        <w:p w14:paraId="0D712596" w14:textId="0305E52F"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3" w:history="1">
            <w:r w:rsidRPr="00A627AC">
              <w:rPr>
                <w:rStyle w:val="Hyperlink"/>
              </w:rPr>
              <w:t>Table 23a. Results examining the relationship between environmental stress factors obtained from bifactor modeling and Shen-268 network local efficiency during rest controlling for medication</w:t>
            </w:r>
            <w:r>
              <w:rPr>
                <w:webHidden/>
              </w:rPr>
              <w:tab/>
            </w:r>
            <w:r>
              <w:rPr>
                <w:webHidden/>
              </w:rPr>
              <w:fldChar w:fldCharType="begin"/>
            </w:r>
            <w:r>
              <w:rPr>
                <w:webHidden/>
              </w:rPr>
              <w:instrText xml:space="preserve"> PAGEREF _Toc155817723 \h </w:instrText>
            </w:r>
            <w:r>
              <w:rPr>
                <w:webHidden/>
              </w:rPr>
            </w:r>
            <w:r>
              <w:rPr>
                <w:webHidden/>
              </w:rPr>
              <w:fldChar w:fldCharType="separate"/>
            </w:r>
            <w:r>
              <w:rPr>
                <w:webHidden/>
              </w:rPr>
              <w:t>106</w:t>
            </w:r>
            <w:r>
              <w:rPr>
                <w:webHidden/>
              </w:rPr>
              <w:fldChar w:fldCharType="end"/>
            </w:r>
          </w:hyperlink>
        </w:p>
        <w:p w14:paraId="48BBADBB" w14:textId="4E15116D"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4" w:history="1">
            <w:r w:rsidRPr="00A627AC">
              <w:rPr>
                <w:rStyle w:val="Hyperlink"/>
              </w:rPr>
              <w:t>Table 23b. Results examining the relationship between environmental stress factors obtained from higher-order modeling and Shen-268 network local efficiency during rest controlling for medication</w:t>
            </w:r>
            <w:r>
              <w:rPr>
                <w:webHidden/>
              </w:rPr>
              <w:tab/>
            </w:r>
            <w:r>
              <w:rPr>
                <w:webHidden/>
              </w:rPr>
              <w:fldChar w:fldCharType="begin"/>
            </w:r>
            <w:r>
              <w:rPr>
                <w:webHidden/>
              </w:rPr>
              <w:instrText xml:space="preserve"> PAGEREF _Toc155817724 \h </w:instrText>
            </w:r>
            <w:r>
              <w:rPr>
                <w:webHidden/>
              </w:rPr>
            </w:r>
            <w:r>
              <w:rPr>
                <w:webHidden/>
              </w:rPr>
              <w:fldChar w:fldCharType="separate"/>
            </w:r>
            <w:r>
              <w:rPr>
                <w:webHidden/>
              </w:rPr>
              <w:t>108</w:t>
            </w:r>
            <w:r>
              <w:rPr>
                <w:webHidden/>
              </w:rPr>
              <w:fldChar w:fldCharType="end"/>
            </w:r>
          </w:hyperlink>
        </w:p>
        <w:p w14:paraId="6304A849" w14:textId="44BA7D01"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5" w:history="1">
            <w:r w:rsidRPr="00A627AC">
              <w:rPr>
                <w:rStyle w:val="Hyperlink"/>
              </w:rPr>
              <w:t>Table 24a. Results examining the relationship between environmental stress factors obtained from bifactor modeling and Shen-268 network local efficiency during emotional n-back task controlling for medication</w:t>
            </w:r>
            <w:r>
              <w:rPr>
                <w:webHidden/>
              </w:rPr>
              <w:tab/>
            </w:r>
            <w:r>
              <w:rPr>
                <w:webHidden/>
              </w:rPr>
              <w:fldChar w:fldCharType="begin"/>
            </w:r>
            <w:r>
              <w:rPr>
                <w:webHidden/>
              </w:rPr>
              <w:instrText xml:space="preserve"> PAGEREF _Toc155817725 \h </w:instrText>
            </w:r>
            <w:r>
              <w:rPr>
                <w:webHidden/>
              </w:rPr>
            </w:r>
            <w:r>
              <w:rPr>
                <w:webHidden/>
              </w:rPr>
              <w:fldChar w:fldCharType="separate"/>
            </w:r>
            <w:r>
              <w:rPr>
                <w:webHidden/>
              </w:rPr>
              <w:t>110</w:t>
            </w:r>
            <w:r>
              <w:rPr>
                <w:webHidden/>
              </w:rPr>
              <w:fldChar w:fldCharType="end"/>
            </w:r>
          </w:hyperlink>
        </w:p>
        <w:p w14:paraId="44B8F20E" w14:textId="325A0297"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6" w:history="1">
            <w:r w:rsidRPr="00A627AC">
              <w:rPr>
                <w:rStyle w:val="Hyperlink"/>
              </w:rPr>
              <w:t>Table 24b. Results examining the relationship between environmental stress factors obtained from higher-order modeling and Shen-268 network local efficiency during emotional n-back task controlling for medication</w:t>
            </w:r>
            <w:r>
              <w:rPr>
                <w:webHidden/>
              </w:rPr>
              <w:tab/>
            </w:r>
            <w:r>
              <w:rPr>
                <w:webHidden/>
              </w:rPr>
              <w:fldChar w:fldCharType="begin"/>
            </w:r>
            <w:r>
              <w:rPr>
                <w:webHidden/>
              </w:rPr>
              <w:instrText xml:space="preserve"> PAGEREF _Toc155817726 \h </w:instrText>
            </w:r>
            <w:r>
              <w:rPr>
                <w:webHidden/>
              </w:rPr>
            </w:r>
            <w:r>
              <w:rPr>
                <w:webHidden/>
              </w:rPr>
              <w:fldChar w:fldCharType="separate"/>
            </w:r>
            <w:r>
              <w:rPr>
                <w:webHidden/>
              </w:rPr>
              <w:t>112</w:t>
            </w:r>
            <w:r>
              <w:rPr>
                <w:webHidden/>
              </w:rPr>
              <w:fldChar w:fldCharType="end"/>
            </w:r>
          </w:hyperlink>
        </w:p>
        <w:p w14:paraId="062ACE65" w14:textId="0DEE5908"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7" w:history="1">
            <w:r w:rsidRPr="00A627AC">
              <w:rPr>
                <w:rStyle w:val="Hyperlink"/>
              </w:rPr>
              <w:t>Table 25a. Results examining the relationship between environmental stress factors obtained from bifactor modeling and Shen-268 network small world omega during stop signal task controlling for medication</w:t>
            </w:r>
            <w:r>
              <w:rPr>
                <w:webHidden/>
              </w:rPr>
              <w:tab/>
            </w:r>
            <w:r>
              <w:rPr>
                <w:webHidden/>
              </w:rPr>
              <w:fldChar w:fldCharType="begin"/>
            </w:r>
            <w:r>
              <w:rPr>
                <w:webHidden/>
              </w:rPr>
              <w:instrText xml:space="preserve"> PAGEREF _Toc155817727 \h </w:instrText>
            </w:r>
            <w:r>
              <w:rPr>
                <w:webHidden/>
              </w:rPr>
            </w:r>
            <w:r>
              <w:rPr>
                <w:webHidden/>
              </w:rPr>
              <w:fldChar w:fldCharType="separate"/>
            </w:r>
            <w:r>
              <w:rPr>
                <w:webHidden/>
              </w:rPr>
              <w:t>114</w:t>
            </w:r>
            <w:r>
              <w:rPr>
                <w:webHidden/>
              </w:rPr>
              <w:fldChar w:fldCharType="end"/>
            </w:r>
          </w:hyperlink>
        </w:p>
        <w:p w14:paraId="333C9ADC" w14:textId="19A8CDCE"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8" w:history="1">
            <w:r w:rsidRPr="00A627AC">
              <w:rPr>
                <w:rStyle w:val="Hyperlink"/>
              </w:rPr>
              <w:t>Table 25b. Results examining the relationship between environmental stress factors obtained from higher-order modeling and Shen-268 network small world omega during stop signal task controlling for medication</w:t>
            </w:r>
            <w:r>
              <w:rPr>
                <w:webHidden/>
              </w:rPr>
              <w:tab/>
            </w:r>
            <w:r>
              <w:rPr>
                <w:webHidden/>
              </w:rPr>
              <w:fldChar w:fldCharType="begin"/>
            </w:r>
            <w:r>
              <w:rPr>
                <w:webHidden/>
              </w:rPr>
              <w:instrText xml:space="preserve"> PAGEREF _Toc155817728 \h </w:instrText>
            </w:r>
            <w:r>
              <w:rPr>
                <w:webHidden/>
              </w:rPr>
            </w:r>
            <w:r>
              <w:rPr>
                <w:webHidden/>
              </w:rPr>
              <w:fldChar w:fldCharType="separate"/>
            </w:r>
            <w:r>
              <w:rPr>
                <w:webHidden/>
              </w:rPr>
              <w:t>116</w:t>
            </w:r>
            <w:r>
              <w:rPr>
                <w:webHidden/>
              </w:rPr>
              <w:fldChar w:fldCharType="end"/>
            </w:r>
          </w:hyperlink>
        </w:p>
        <w:p w14:paraId="370DBD2B" w14:textId="4D048CB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29" w:history="1">
            <w:r w:rsidRPr="00A627AC">
              <w:rPr>
                <w:rStyle w:val="Hyperlink"/>
              </w:rPr>
              <w:t>Table 26a. Results examining the relationship between environmental stress factors obtained from bifactor modeling and Shen-268 network diameter during stop signal task controlling for medication</w:t>
            </w:r>
            <w:r>
              <w:rPr>
                <w:webHidden/>
              </w:rPr>
              <w:tab/>
            </w:r>
            <w:r>
              <w:rPr>
                <w:webHidden/>
              </w:rPr>
              <w:fldChar w:fldCharType="begin"/>
            </w:r>
            <w:r>
              <w:rPr>
                <w:webHidden/>
              </w:rPr>
              <w:instrText xml:space="preserve"> PAGEREF _Toc155817729 \h </w:instrText>
            </w:r>
            <w:r>
              <w:rPr>
                <w:webHidden/>
              </w:rPr>
            </w:r>
            <w:r>
              <w:rPr>
                <w:webHidden/>
              </w:rPr>
              <w:fldChar w:fldCharType="separate"/>
            </w:r>
            <w:r>
              <w:rPr>
                <w:webHidden/>
              </w:rPr>
              <w:t>118</w:t>
            </w:r>
            <w:r>
              <w:rPr>
                <w:webHidden/>
              </w:rPr>
              <w:fldChar w:fldCharType="end"/>
            </w:r>
          </w:hyperlink>
        </w:p>
        <w:p w14:paraId="251EECE5" w14:textId="32CB594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0" w:history="1">
            <w:r w:rsidRPr="00A627AC">
              <w:rPr>
                <w:rStyle w:val="Hyperlink"/>
              </w:rPr>
              <w:t>Table 26b. Results examining the relationship between environmental stress factors obtained from higher-order modeling and Shen-268 network diameter during stop signal task controlling for medication</w:t>
            </w:r>
            <w:r>
              <w:rPr>
                <w:webHidden/>
              </w:rPr>
              <w:tab/>
            </w:r>
            <w:r>
              <w:rPr>
                <w:webHidden/>
              </w:rPr>
              <w:fldChar w:fldCharType="begin"/>
            </w:r>
            <w:r>
              <w:rPr>
                <w:webHidden/>
              </w:rPr>
              <w:instrText xml:space="preserve"> PAGEREF _Toc155817730 \h </w:instrText>
            </w:r>
            <w:r>
              <w:rPr>
                <w:webHidden/>
              </w:rPr>
            </w:r>
            <w:r>
              <w:rPr>
                <w:webHidden/>
              </w:rPr>
              <w:fldChar w:fldCharType="separate"/>
            </w:r>
            <w:r>
              <w:rPr>
                <w:webHidden/>
              </w:rPr>
              <w:t>120</w:t>
            </w:r>
            <w:r>
              <w:rPr>
                <w:webHidden/>
              </w:rPr>
              <w:fldChar w:fldCharType="end"/>
            </w:r>
          </w:hyperlink>
        </w:p>
        <w:p w14:paraId="2E72D19A" w14:textId="4D3AF2F8"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1" w:history="1">
            <w:r w:rsidRPr="00A627AC">
              <w:rPr>
                <w:rStyle w:val="Hyperlink"/>
              </w:rPr>
              <w:t>Table 27a. Results examining the relationship between whole-brain Shen modularity and neighborhood SES deprivation obtained from bifactor modeling and neighborhood median income during rest</w:t>
            </w:r>
            <w:r>
              <w:rPr>
                <w:webHidden/>
              </w:rPr>
              <w:tab/>
            </w:r>
            <w:r>
              <w:rPr>
                <w:webHidden/>
              </w:rPr>
              <w:fldChar w:fldCharType="begin"/>
            </w:r>
            <w:r>
              <w:rPr>
                <w:webHidden/>
              </w:rPr>
              <w:instrText xml:space="preserve"> PAGEREF _Toc155817731 \h </w:instrText>
            </w:r>
            <w:r>
              <w:rPr>
                <w:webHidden/>
              </w:rPr>
            </w:r>
            <w:r>
              <w:rPr>
                <w:webHidden/>
              </w:rPr>
              <w:fldChar w:fldCharType="separate"/>
            </w:r>
            <w:r>
              <w:rPr>
                <w:webHidden/>
              </w:rPr>
              <w:t>122</w:t>
            </w:r>
            <w:r>
              <w:rPr>
                <w:webHidden/>
              </w:rPr>
              <w:fldChar w:fldCharType="end"/>
            </w:r>
          </w:hyperlink>
        </w:p>
        <w:p w14:paraId="05DFD492" w14:textId="601B19DA"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2" w:history="1">
            <w:r w:rsidRPr="00A627AC">
              <w:rPr>
                <w:rStyle w:val="Hyperlink"/>
              </w:rPr>
              <w:t>Table 27b. Results examining the relationship between Shen-268 network average shortest path and neighborhood SES deprivation obtained from bifactor modeling and neighborhood median income during rest</w:t>
            </w:r>
            <w:r>
              <w:rPr>
                <w:webHidden/>
              </w:rPr>
              <w:tab/>
            </w:r>
            <w:r>
              <w:rPr>
                <w:webHidden/>
              </w:rPr>
              <w:fldChar w:fldCharType="begin"/>
            </w:r>
            <w:r>
              <w:rPr>
                <w:webHidden/>
              </w:rPr>
              <w:instrText xml:space="preserve"> PAGEREF _Toc155817732 \h </w:instrText>
            </w:r>
            <w:r>
              <w:rPr>
                <w:webHidden/>
              </w:rPr>
            </w:r>
            <w:r>
              <w:rPr>
                <w:webHidden/>
              </w:rPr>
              <w:fldChar w:fldCharType="separate"/>
            </w:r>
            <w:r>
              <w:rPr>
                <w:webHidden/>
              </w:rPr>
              <w:t>123</w:t>
            </w:r>
            <w:r>
              <w:rPr>
                <w:webHidden/>
              </w:rPr>
              <w:fldChar w:fldCharType="end"/>
            </w:r>
          </w:hyperlink>
        </w:p>
        <w:p w14:paraId="76EA8D6C" w14:textId="579D3C8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3" w:history="1">
            <w:r w:rsidRPr="00A627AC">
              <w:rPr>
                <w:rStyle w:val="Hyperlink"/>
              </w:rPr>
              <w:t>Table 27c. Results examining the relationship between Shen-268 network small world omega and neighborhood SES deprivation obtained from bifactor modeling and neighborhood median income during rest</w:t>
            </w:r>
            <w:r>
              <w:rPr>
                <w:webHidden/>
              </w:rPr>
              <w:tab/>
            </w:r>
            <w:r>
              <w:rPr>
                <w:webHidden/>
              </w:rPr>
              <w:fldChar w:fldCharType="begin"/>
            </w:r>
            <w:r>
              <w:rPr>
                <w:webHidden/>
              </w:rPr>
              <w:instrText xml:space="preserve"> PAGEREF _Toc155817733 \h </w:instrText>
            </w:r>
            <w:r>
              <w:rPr>
                <w:webHidden/>
              </w:rPr>
            </w:r>
            <w:r>
              <w:rPr>
                <w:webHidden/>
              </w:rPr>
              <w:fldChar w:fldCharType="separate"/>
            </w:r>
            <w:r>
              <w:rPr>
                <w:webHidden/>
              </w:rPr>
              <w:t>125</w:t>
            </w:r>
            <w:r>
              <w:rPr>
                <w:webHidden/>
              </w:rPr>
              <w:fldChar w:fldCharType="end"/>
            </w:r>
          </w:hyperlink>
        </w:p>
        <w:p w14:paraId="1F4064C4" w14:textId="460FEB47"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4" w:history="1">
            <w:r w:rsidRPr="00A627AC">
              <w:rPr>
                <w:rStyle w:val="Hyperlink"/>
              </w:rPr>
              <w:t>Table 27d. Results examining the relationship between Shen-268 network diameter and neighborhood SES deprivation obtained from bifactor modeling and neighborhood median income during rest</w:t>
            </w:r>
            <w:r>
              <w:rPr>
                <w:webHidden/>
              </w:rPr>
              <w:tab/>
            </w:r>
            <w:r>
              <w:rPr>
                <w:webHidden/>
              </w:rPr>
              <w:fldChar w:fldCharType="begin"/>
            </w:r>
            <w:r>
              <w:rPr>
                <w:webHidden/>
              </w:rPr>
              <w:instrText xml:space="preserve"> PAGEREF _Toc155817734 \h </w:instrText>
            </w:r>
            <w:r>
              <w:rPr>
                <w:webHidden/>
              </w:rPr>
            </w:r>
            <w:r>
              <w:rPr>
                <w:webHidden/>
              </w:rPr>
              <w:fldChar w:fldCharType="separate"/>
            </w:r>
            <w:r>
              <w:rPr>
                <w:webHidden/>
              </w:rPr>
              <w:t>127</w:t>
            </w:r>
            <w:r>
              <w:rPr>
                <w:webHidden/>
              </w:rPr>
              <w:fldChar w:fldCharType="end"/>
            </w:r>
          </w:hyperlink>
        </w:p>
        <w:p w14:paraId="046688DA" w14:textId="341AFBCA"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5" w:history="1">
            <w:r w:rsidRPr="00A627AC">
              <w:rPr>
                <w:rStyle w:val="Hyperlink"/>
              </w:rPr>
              <w:t>Table 27e. Results examining the relationship between Shen-268 network local efficiency and neighborhood SES deprivation obtained from bifactor modeling and neighborhood median income during rest</w:t>
            </w:r>
            <w:r>
              <w:rPr>
                <w:webHidden/>
              </w:rPr>
              <w:tab/>
            </w:r>
            <w:r>
              <w:rPr>
                <w:webHidden/>
              </w:rPr>
              <w:fldChar w:fldCharType="begin"/>
            </w:r>
            <w:r>
              <w:rPr>
                <w:webHidden/>
              </w:rPr>
              <w:instrText xml:space="preserve"> PAGEREF _Toc155817735 \h </w:instrText>
            </w:r>
            <w:r>
              <w:rPr>
                <w:webHidden/>
              </w:rPr>
            </w:r>
            <w:r>
              <w:rPr>
                <w:webHidden/>
              </w:rPr>
              <w:fldChar w:fldCharType="separate"/>
            </w:r>
            <w:r>
              <w:rPr>
                <w:webHidden/>
              </w:rPr>
              <w:t>129</w:t>
            </w:r>
            <w:r>
              <w:rPr>
                <w:webHidden/>
              </w:rPr>
              <w:fldChar w:fldCharType="end"/>
            </w:r>
          </w:hyperlink>
        </w:p>
        <w:p w14:paraId="6C9CB7E8" w14:textId="714B4F0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6" w:history="1">
            <w:r w:rsidRPr="00A627AC">
              <w:rPr>
                <w:rStyle w:val="Hyperlink"/>
              </w:rPr>
              <w:t xml:space="preserve">Table 27f. Results examining the relationship between Shen-268 network average shortest path and neighborhood SES deprivation obtained from </w:t>
            </w:r>
            <w:r w:rsidRPr="00A627AC">
              <w:rPr>
                <w:rStyle w:val="Hyperlink"/>
              </w:rPr>
              <w:lastRenderedPageBreak/>
              <w:t>bifactor modeling and neighborhood median income during emotional n-back task</w:t>
            </w:r>
            <w:r>
              <w:rPr>
                <w:webHidden/>
              </w:rPr>
              <w:tab/>
            </w:r>
            <w:r>
              <w:rPr>
                <w:webHidden/>
              </w:rPr>
              <w:fldChar w:fldCharType="begin"/>
            </w:r>
            <w:r>
              <w:rPr>
                <w:webHidden/>
              </w:rPr>
              <w:instrText xml:space="preserve"> PAGEREF _Toc155817736 \h </w:instrText>
            </w:r>
            <w:r>
              <w:rPr>
                <w:webHidden/>
              </w:rPr>
            </w:r>
            <w:r>
              <w:rPr>
                <w:webHidden/>
              </w:rPr>
              <w:fldChar w:fldCharType="separate"/>
            </w:r>
            <w:r>
              <w:rPr>
                <w:webHidden/>
              </w:rPr>
              <w:t>131</w:t>
            </w:r>
            <w:r>
              <w:rPr>
                <w:webHidden/>
              </w:rPr>
              <w:fldChar w:fldCharType="end"/>
            </w:r>
          </w:hyperlink>
        </w:p>
        <w:p w14:paraId="53483FA2" w14:textId="1D8413E1"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7" w:history="1">
            <w:r w:rsidRPr="00A627AC">
              <w:rPr>
                <w:rStyle w:val="Hyperlink"/>
              </w:rPr>
              <w:t>Table 27g. Results examining the relationship between Shen-268 network small world omega and neighborhood SES deprivation obtained from bifactor modeling and neighborhood median income during emotional n-back task</w:t>
            </w:r>
            <w:r>
              <w:rPr>
                <w:webHidden/>
              </w:rPr>
              <w:tab/>
            </w:r>
            <w:r>
              <w:rPr>
                <w:webHidden/>
              </w:rPr>
              <w:fldChar w:fldCharType="begin"/>
            </w:r>
            <w:r>
              <w:rPr>
                <w:webHidden/>
              </w:rPr>
              <w:instrText xml:space="preserve"> PAGEREF _Toc155817737 \h </w:instrText>
            </w:r>
            <w:r>
              <w:rPr>
                <w:webHidden/>
              </w:rPr>
            </w:r>
            <w:r>
              <w:rPr>
                <w:webHidden/>
              </w:rPr>
              <w:fldChar w:fldCharType="separate"/>
            </w:r>
            <w:r>
              <w:rPr>
                <w:webHidden/>
              </w:rPr>
              <w:t>133</w:t>
            </w:r>
            <w:r>
              <w:rPr>
                <w:webHidden/>
              </w:rPr>
              <w:fldChar w:fldCharType="end"/>
            </w:r>
          </w:hyperlink>
        </w:p>
        <w:p w14:paraId="15BE098A" w14:textId="009D4B3F"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8" w:history="1">
            <w:r w:rsidRPr="00A627AC">
              <w:rPr>
                <w:rStyle w:val="Hyperlink"/>
              </w:rPr>
              <w:t>Table 27h. Results examining the relationship between Shen-268 network diameter and neighborhood SES deprivation obtained from bifactor modeling and neighborhood median income during emotional n-back task</w:t>
            </w:r>
            <w:r>
              <w:rPr>
                <w:webHidden/>
              </w:rPr>
              <w:tab/>
            </w:r>
            <w:r>
              <w:rPr>
                <w:webHidden/>
              </w:rPr>
              <w:fldChar w:fldCharType="begin"/>
            </w:r>
            <w:r>
              <w:rPr>
                <w:webHidden/>
              </w:rPr>
              <w:instrText xml:space="preserve"> PAGEREF _Toc155817738 \h </w:instrText>
            </w:r>
            <w:r>
              <w:rPr>
                <w:webHidden/>
              </w:rPr>
            </w:r>
            <w:r>
              <w:rPr>
                <w:webHidden/>
              </w:rPr>
              <w:fldChar w:fldCharType="separate"/>
            </w:r>
            <w:r>
              <w:rPr>
                <w:webHidden/>
              </w:rPr>
              <w:t>135</w:t>
            </w:r>
            <w:r>
              <w:rPr>
                <w:webHidden/>
              </w:rPr>
              <w:fldChar w:fldCharType="end"/>
            </w:r>
          </w:hyperlink>
        </w:p>
        <w:p w14:paraId="3680A4E3" w14:textId="3FAF8EB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39" w:history="1">
            <w:r w:rsidRPr="00A627AC">
              <w:rPr>
                <w:rStyle w:val="Hyperlink"/>
              </w:rPr>
              <w:t>Table 27i. Results examining the relationship between Shen-268 network local efficiency and neighborhood SES deprivation obtained from bifactor modeling and neighborhood median income during emotional n-back task</w:t>
            </w:r>
            <w:r>
              <w:rPr>
                <w:webHidden/>
              </w:rPr>
              <w:tab/>
            </w:r>
            <w:r>
              <w:rPr>
                <w:webHidden/>
              </w:rPr>
              <w:fldChar w:fldCharType="begin"/>
            </w:r>
            <w:r>
              <w:rPr>
                <w:webHidden/>
              </w:rPr>
              <w:instrText xml:space="preserve"> PAGEREF _Toc155817739 \h </w:instrText>
            </w:r>
            <w:r>
              <w:rPr>
                <w:webHidden/>
              </w:rPr>
            </w:r>
            <w:r>
              <w:rPr>
                <w:webHidden/>
              </w:rPr>
              <w:fldChar w:fldCharType="separate"/>
            </w:r>
            <w:r>
              <w:rPr>
                <w:webHidden/>
              </w:rPr>
              <w:t>137</w:t>
            </w:r>
            <w:r>
              <w:rPr>
                <w:webHidden/>
              </w:rPr>
              <w:fldChar w:fldCharType="end"/>
            </w:r>
          </w:hyperlink>
        </w:p>
        <w:p w14:paraId="00426353" w14:textId="6B6D9D8C"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0" w:history="1">
            <w:r w:rsidRPr="00A627AC">
              <w:rPr>
                <w:rStyle w:val="Hyperlink"/>
              </w:rPr>
              <w:t>Table 27j. Results examining the relationship between Shen-268 network average shortest path and neighborhood SES deprivation obtained from bifactor modeling and neighborhood median income during monetary incentive delay task</w:t>
            </w:r>
            <w:r>
              <w:rPr>
                <w:webHidden/>
              </w:rPr>
              <w:tab/>
            </w:r>
            <w:r>
              <w:rPr>
                <w:webHidden/>
              </w:rPr>
              <w:fldChar w:fldCharType="begin"/>
            </w:r>
            <w:r>
              <w:rPr>
                <w:webHidden/>
              </w:rPr>
              <w:instrText xml:space="preserve"> PAGEREF _Toc155817740 \h </w:instrText>
            </w:r>
            <w:r>
              <w:rPr>
                <w:webHidden/>
              </w:rPr>
            </w:r>
            <w:r>
              <w:rPr>
                <w:webHidden/>
              </w:rPr>
              <w:fldChar w:fldCharType="separate"/>
            </w:r>
            <w:r>
              <w:rPr>
                <w:webHidden/>
              </w:rPr>
              <w:t>139</w:t>
            </w:r>
            <w:r>
              <w:rPr>
                <w:webHidden/>
              </w:rPr>
              <w:fldChar w:fldCharType="end"/>
            </w:r>
          </w:hyperlink>
        </w:p>
        <w:p w14:paraId="0DE905E0" w14:textId="7FC18B95"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1" w:history="1">
            <w:r w:rsidRPr="00A627AC">
              <w:rPr>
                <w:rStyle w:val="Hyperlink"/>
              </w:rPr>
              <w:t>Table 27k. Results examining the relationship between Shen-268 network small world omega and neighborhood SES deprivation obtained from bifactor modeling and neighborhood median income during monetary incentive delay task</w:t>
            </w:r>
            <w:r>
              <w:rPr>
                <w:webHidden/>
              </w:rPr>
              <w:tab/>
            </w:r>
            <w:r>
              <w:rPr>
                <w:webHidden/>
              </w:rPr>
              <w:fldChar w:fldCharType="begin"/>
            </w:r>
            <w:r>
              <w:rPr>
                <w:webHidden/>
              </w:rPr>
              <w:instrText xml:space="preserve"> PAGEREF _Toc155817741 \h </w:instrText>
            </w:r>
            <w:r>
              <w:rPr>
                <w:webHidden/>
              </w:rPr>
            </w:r>
            <w:r>
              <w:rPr>
                <w:webHidden/>
              </w:rPr>
              <w:fldChar w:fldCharType="separate"/>
            </w:r>
            <w:r>
              <w:rPr>
                <w:webHidden/>
              </w:rPr>
              <w:t>141</w:t>
            </w:r>
            <w:r>
              <w:rPr>
                <w:webHidden/>
              </w:rPr>
              <w:fldChar w:fldCharType="end"/>
            </w:r>
          </w:hyperlink>
        </w:p>
        <w:p w14:paraId="3F9327FC" w14:textId="346C9DDA"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2" w:history="1">
            <w:r w:rsidRPr="00A627AC">
              <w:rPr>
                <w:rStyle w:val="Hyperlink"/>
              </w:rPr>
              <w:t>Table 27l. Results examining the relationship between Shen-268 network diameter and neighborhood SES deprivation obtained from bifactor modeling and neighborhood median income during monetary incentive delay task</w:t>
            </w:r>
            <w:r>
              <w:rPr>
                <w:webHidden/>
              </w:rPr>
              <w:tab/>
            </w:r>
            <w:r>
              <w:rPr>
                <w:webHidden/>
              </w:rPr>
              <w:fldChar w:fldCharType="begin"/>
            </w:r>
            <w:r>
              <w:rPr>
                <w:webHidden/>
              </w:rPr>
              <w:instrText xml:space="preserve"> PAGEREF _Toc155817742 \h </w:instrText>
            </w:r>
            <w:r>
              <w:rPr>
                <w:webHidden/>
              </w:rPr>
            </w:r>
            <w:r>
              <w:rPr>
                <w:webHidden/>
              </w:rPr>
              <w:fldChar w:fldCharType="separate"/>
            </w:r>
            <w:r>
              <w:rPr>
                <w:webHidden/>
              </w:rPr>
              <w:t>143</w:t>
            </w:r>
            <w:r>
              <w:rPr>
                <w:webHidden/>
              </w:rPr>
              <w:fldChar w:fldCharType="end"/>
            </w:r>
          </w:hyperlink>
        </w:p>
        <w:p w14:paraId="0B71CCF1" w14:textId="4B20F5C8"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3" w:history="1">
            <w:r w:rsidRPr="00A627AC">
              <w:rPr>
                <w:rStyle w:val="Hyperlink"/>
              </w:rPr>
              <w:t>Table 27m. Results examining the relationship between Shen-268 network local efficiency and neighborhood SES deprivation obtained from bifactor modeling and neighborhood median income during monetary incentive delay task</w:t>
            </w:r>
            <w:r>
              <w:rPr>
                <w:webHidden/>
              </w:rPr>
              <w:tab/>
            </w:r>
            <w:r>
              <w:rPr>
                <w:webHidden/>
              </w:rPr>
              <w:fldChar w:fldCharType="begin"/>
            </w:r>
            <w:r>
              <w:rPr>
                <w:webHidden/>
              </w:rPr>
              <w:instrText xml:space="preserve"> PAGEREF _Toc155817743 \h </w:instrText>
            </w:r>
            <w:r>
              <w:rPr>
                <w:webHidden/>
              </w:rPr>
            </w:r>
            <w:r>
              <w:rPr>
                <w:webHidden/>
              </w:rPr>
              <w:fldChar w:fldCharType="separate"/>
            </w:r>
            <w:r>
              <w:rPr>
                <w:webHidden/>
              </w:rPr>
              <w:t>145</w:t>
            </w:r>
            <w:r>
              <w:rPr>
                <w:webHidden/>
              </w:rPr>
              <w:fldChar w:fldCharType="end"/>
            </w:r>
          </w:hyperlink>
        </w:p>
        <w:p w14:paraId="27CFEFCD" w14:textId="3E1943C5"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4" w:history="1">
            <w:r w:rsidRPr="00A627AC">
              <w:rPr>
                <w:rStyle w:val="Hyperlink"/>
              </w:rPr>
              <w:t>Table 27n. Results examining the relationship between Shen-268 network average shortest path and neighborhood SES deprivation obtained from bifactor modeling and neighborhood median income during stop signal task</w:t>
            </w:r>
            <w:r>
              <w:rPr>
                <w:webHidden/>
              </w:rPr>
              <w:tab/>
            </w:r>
            <w:r>
              <w:rPr>
                <w:webHidden/>
              </w:rPr>
              <w:fldChar w:fldCharType="begin"/>
            </w:r>
            <w:r>
              <w:rPr>
                <w:webHidden/>
              </w:rPr>
              <w:instrText xml:space="preserve"> PAGEREF _Toc155817744 \h </w:instrText>
            </w:r>
            <w:r>
              <w:rPr>
                <w:webHidden/>
              </w:rPr>
            </w:r>
            <w:r>
              <w:rPr>
                <w:webHidden/>
              </w:rPr>
              <w:fldChar w:fldCharType="separate"/>
            </w:r>
            <w:r>
              <w:rPr>
                <w:webHidden/>
              </w:rPr>
              <w:t>147</w:t>
            </w:r>
            <w:r>
              <w:rPr>
                <w:webHidden/>
              </w:rPr>
              <w:fldChar w:fldCharType="end"/>
            </w:r>
          </w:hyperlink>
        </w:p>
        <w:p w14:paraId="6F2F526D" w14:textId="60DD5957"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5" w:history="1">
            <w:r w:rsidRPr="00A627AC">
              <w:rPr>
                <w:rStyle w:val="Hyperlink"/>
              </w:rPr>
              <w:t>Table 27o. Results examining the relationship between Shen-268 network small world omega and neighborhood SES deprivation obtained from bifactor modeling and neighborhood median income during stop signal task</w:t>
            </w:r>
            <w:r>
              <w:rPr>
                <w:webHidden/>
              </w:rPr>
              <w:tab/>
            </w:r>
            <w:r>
              <w:rPr>
                <w:webHidden/>
              </w:rPr>
              <w:fldChar w:fldCharType="begin"/>
            </w:r>
            <w:r>
              <w:rPr>
                <w:webHidden/>
              </w:rPr>
              <w:instrText xml:space="preserve"> PAGEREF _Toc155817745 \h </w:instrText>
            </w:r>
            <w:r>
              <w:rPr>
                <w:webHidden/>
              </w:rPr>
            </w:r>
            <w:r>
              <w:rPr>
                <w:webHidden/>
              </w:rPr>
              <w:fldChar w:fldCharType="separate"/>
            </w:r>
            <w:r>
              <w:rPr>
                <w:webHidden/>
              </w:rPr>
              <w:t>149</w:t>
            </w:r>
            <w:r>
              <w:rPr>
                <w:webHidden/>
              </w:rPr>
              <w:fldChar w:fldCharType="end"/>
            </w:r>
          </w:hyperlink>
        </w:p>
        <w:p w14:paraId="057A2054" w14:textId="56AAB367"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6" w:history="1">
            <w:r w:rsidRPr="00A627AC">
              <w:rPr>
                <w:rStyle w:val="Hyperlink"/>
              </w:rPr>
              <w:t>Table 27p. Results examining the relationship between Shen-268 network diameter and neighborhood SES deprivation obtained from bifactor modeling and neighborhood median income during stop signal task</w:t>
            </w:r>
            <w:r>
              <w:rPr>
                <w:webHidden/>
              </w:rPr>
              <w:tab/>
            </w:r>
            <w:r>
              <w:rPr>
                <w:webHidden/>
              </w:rPr>
              <w:fldChar w:fldCharType="begin"/>
            </w:r>
            <w:r>
              <w:rPr>
                <w:webHidden/>
              </w:rPr>
              <w:instrText xml:space="preserve"> PAGEREF _Toc155817746 \h </w:instrText>
            </w:r>
            <w:r>
              <w:rPr>
                <w:webHidden/>
              </w:rPr>
            </w:r>
            <w:r>
              <w:rPr>
                <w:webHidden/>
              </w:rPr>
              <w:fldChar w:fldCharType="separate"/>
            </w:r>
            <w:r>
              <w:rPr>
                <w:webHidden/>
              </w:rPr>
              <w:t>151</w:t>
            </w:r>
            <w:r>
              <w:rPr>
                <w:webHidden/>
              </w:rPr>
              <w:fldChar w:fldCharType="end"/>
            </w:r>
          </w:hyperlink>
        </w:p>
        <w:p w14:paraId="3936EC64" w14:textId="4A7EBCBA"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7" w:history="1">
            <w:r w:rsidRPr="00A627AC">
              <w:rPr>
                <w:rStyle w:val="Hyperlink"/>
              </w:rPr>
              <w:t>Table 27q. Results examining the relationship between Shen-268 network local efficiency and neighborhood SES deprivation obtained from bifactor modeling and neighborhood median income during stop signal task</w:t>
            </w:r>
            <w:r>
              <w:rPr>
                <w:webHidden/>
              </w:rPr>
              <w:tab/>
            </w:r>
            <w:r>
              <w:rPr>
                <w:webHidden/>
              </w:rPr>
              <w:fldChar w:fldCharType="begin"/>
            </w:r>
            <w:r>
              <w:rPr>
                <w:webHidden/>
              </w:rPr>
              <w:instrText xml:space="preserve"> PAGEREF _Toc155817747 \h </w:instrText>
            </w:r>
            <w:r>
              <w:rPr>
                <w:webHidden/>
              </w:rPr>
            </w:r>
            <w:r>
              <w:rPr>
                <w:webHidden/>
              </w:rPr>
              <w:fldChar w:fldCharType="separate"/>
            </w:r>
            <w:r>
              <w:rPr>
                <w:webHidden/>
              </w:rPr>
              <w:t>153</w:t>
            </w:r>
            <w:r>
              <w:rPr>
                <w:webHidden/>
              </w:rPr>
              <w:fldChar w:fldCharType="end"/>
            </w:r>
          </w:hyperlink>
        </w:p>
        <w:p w14:paraId="0B1782CF" w14:textId="07806E80"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8" w:history="1">
            <w:r w:rsidRPr="00A627AC">
              <w:rPr>
                <w:rStyle w:val="Hyperlink"/>
              </w:rPr>
              <w:t>Table 28a. Results examining the relationship between whole-brain Shen modularity and urbanicity obtained from bifactor modeling and pollution (NO2 level)</w:t>
            </w:r>
            <w:r>
              <w:rPr>
                <w:webHidden/>
              </w:rPr>
              <w:tab/>
            </w:r>
            <w:r>
              <w:rPr>
                <w:webHidden/>
              </w:rPr>
              <w:fldChar w:fldCharType="begin"/>
            </w:r>
            <w:r>
              <w:rPr>
                <w:webHidden/>
              </w:rPr>
              <w:instrText xml:space="preserve"> PAGEREF _Toc155817748 \h </w:instrText>
            </w:r>
            <w:r>
              <w:rPr>
                <w:webHidden/>
              </w:rPr>
            </w:r>
            <w:r>
              <w:rPr>
                <w:webHidden/>
              </w:rPr>
              <w:fldChar w:fldCharType="separate"/>
            </w:r>
            <w:r>
              <w:rPr>
                <w:webHidden/>
              </w:rPr>
              <w:t>155</w:t>
            </w:r>
            <w:r>
              <w:rPr>
                <w:webHidden/>
              </w:rPr>
              <w:fldChar w:fldCharType="end"/>
            </w:r>
          </w:hyperlink>
        </w:p>
        <w:p w14:paraId="200207CF" w14:textId="250C667F"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49" w:history="1">
            <w:r w:rsidRPr="00A627AC">
              <w:rPr>
                <w:rStyle w:val="Hyperlink"/>
              </w:rPr>
              <w:t>Table 28b. Results examining the relationship between Shen-268 network average shortest path and urbanicity obtained from bifactor modeling and pollution (NO2 level) during rest</w:t>
            </w:r>
            <w:r>
              <w:rPr>
                <w:webHidden/>
              </w:rPr>
              <w:tab/>
            </w:r>
            <w:r>
              <w:rPr>
                <w:webHidden/>
              </w:rPr>
              <w:fldChar w:fldCharType="begin"/>
            </w:r>
            <w:r>
              <w:rPr>
                <w:webHidden/>
              </w:rPr>
              <w:instrText xml:space="preserve"> PAGEREF _Toc155817749 \h </w:instrText>
            </w:r>
            <w:r>
              <w:rPr>
                <w:webHidden/>
              </w:rPr>
            </w:r>
            <w:r>
              <w:rPr>
                <w:webHidden/>
              </w:rPr>
              <w:fldChar w:fldCharType="separate"/>
            </w:r>
            <w:r>
              <w:rPr>
                <w:webHidden/>
              </w:rPr>
              <w:t>156</w:t>
            </w:r>
            <w:r>
              <w:rPr>
                <w:webHidden/>
              </w:rPr>
              <w:fldChar w:fldCharType="end"/>
            </w:r>
          </w:hyperlink>
        </w:p>
        <w:p w14:paraId="08F2440E" w14:textId="6725FE89"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0" w:history="1">
            <w:r w:rsidRPr="00A627AC">
              <w:rPr>
                <w:rStyle w:val="Hyperlink"/>
              </w:rPr>
              <w:t>Table 28c. Results examining the relationship between Shen-268 network small world omega and urbanicity obtained from bifactor modeling and pollution (NO2 level) during rest</w:t>
            </w:r>
            <w:r>
              <w:rPr>
                <w:webHidden/>
              </w:rPr>
              <w:tab/>
            </w:r>
            <w:r>
              <w:rPr>
                <w:webHidden/>
              </w:rPr>
              <w:fldChar w:fldCharType="begin"/>
            </w:r>
            <w:r>
              <w:rPr>
                <w:webHidden/>
              </w:rPr>
              <w:instrText xml:space="preserve"> PAGEREF _Toc155817750 \h </w:instrText>
            </w:r>
            <w:r>
              <w:rPr>
                <w:webHidden/>
              </w:rPr>
            </w:r>
            <w:r>
              <w:rPr>
                <w:webHidden/>
              </w:rPr>
              <w:fldChar w:fldCharType="separate"/>
            </w:r>
            <w:r>
              <w:rPr>
                <w:webHidden/>
              </w:rPr>
              <w:t>158</w:t>
            </w:r>
            <w:r>
              <w:rPr>
                <w:webHidden/>
              </w:rPr>
              <w:fldChar w:fldCharType="end"/>
            </w:r>
          </w:hyperlink>
        </w:p>
        <w:p w14:paraId="512974DF" w14:textId="54DB4331"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1" w:history="1">
            <w:r w:rsidRPr="00A627AC">
              <w:rPr>
                <w:rStyle w:val="Hyperlink"/>
              </w:rPr>
              <w:t>Table 28d. Results examining the relationship between Shen-268 network diameter and urbanicity obtained from bifactor modeling and pollution (NO2 level) during rest</w:t>
            </w:r>
            <w:r>
              <w:rPr>
                <w:webHidden/>
              </w:rPr>
              <w:tab/>
            </w:r>
            <w:r>
              <w:rPr>
                <w:webHidden/>
              </w:rPr>
              <w:fldChar w:fldCharType="begin"/>
            </w:r>
            <w:r>
              <w:rPr>
                <w:webHidden/>
              </w:rPr>
              <w:instrText xml:space="preserve"> PAGEREF _Toc155817751 \h </w:instrText>
            </w:r>
            <w:r>
              <w:rPr>
                <w:webHidden/>
              </w:rPr>
            </w:r>
            <w:r>
              <w:rPr>
                <w:webHidden/>
              </w:rPr>
              <w:fldChar w:fldCharType="separate"/>
            </w:r>
            <w:r>
              <w:rPr>
                <w:webHidden/>
              </w:rPr>
              <w:t>160</w:t>
            </w:r>
            <w:r>
              <w:rPr>
                <w:webHidden/>
              </w:rPr>
              <w:fldChar w:fldCharType="end"/>
            </w:r>
          </w:hyperlink>
        </w:p>
        <w:p w14:paraId="3E757A29" w14:textId="1D538CAC"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2" w:history="1">
            <w:r w:rsidRPr="00A627AC">
              <w:rPr>
                <w:rStyle w:val="Hyperlink"/>
              </w:rPr>
              <w:t>Table 28e. Results examining the relationship between Shen-268 network local efficiency and urbanicity obtained from bifactor modeling and pollution (NO2 level) during rest</w:t>
            </w:r>
            <w:r>
              <w:rPr>
                <w:webHidden/>
              </w:rPr>
              <w:tab/>
            </w:r>
            <w:r>
              <w:rPr>
                <w:webHidden/>
              </w:rPr>
              <w:fldChar w:fldCharType="begin"/>
            </w:r>
            <w:r>
              <w:rPr>
                <w:webHidden/>
              </w:rPr>
              <w:instrText xml:space="preserve"> PAGEREF _Toc155817752 \h </w:instrText>
            </w:r>
            <w:r>
              <w:rPr>
                <w:webHidden/>
              </w:rPr>
            </w:r>
            <w:r>
              <w:rPr>
                <w:webHidden/>
              </w:rPr>
              <w:fldChar w:fldCharType="separate"/>
            </w:r>
            <w:r>
              <w:rPr>
                <w:webHidden/>
              </w:rPr>
              <w:t>162</w:t>
            </w:r>
            <w:r>
              <w:rPr>
                <w:webHidden/>
              </w:rPr>
              <w:fldChar w:fldCharType="end"/>
            </w:r>
          </w:hyperlink>
        </w:p>
        <w:p w14:paraId="3BDC46FE" w14:textId="48A24BE7"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3" w:history="1">
            <w:r w:rsidRPr="00A627AC">
              <w:rPr>
                <w:rStyle w:val="Hyperlink"/>
              </w:rPr>
              <w:t>Table 28f. Results examining the relationship between Shen-268 network average shortest path and urbanicity obtained from bifactor modeling and pollution (NO2 level) during emotional n-back task</w:t>
            </w:r>
            <w:r>
              <w:rPr>
                <w:webHidden/>
              </w:rPr>
              <w:tab/>
            </w:r>
            <w:r>
              <w:rPr>
                <w:webHidden/>
              </w:rPr>
              <w:fldChar w:fldCharType="begin"/>
            </w:r>
            <w:r>
              <w:rPr>
                <w:webHidden/>
              </w:rPr>
              <w:instrText xml:space="preserve"> PAGEREF _Toc155817753 \h </w:instrText>
            </w:r>
            <w:r>
              <w:rPr>
                <w:webHidden/>
              </w:rPr>
            </w:r>
            <w:r>
              <w:rPr>
                <w:webHidden/>
              </w:rPr>
              <w:fldChar w:fldCharType="separate"/>
            </w:r>
            <w:r>
              <w:rPr>
                <w:webHidden/>
              </w:rPr>
              <w:t>164</w:t>
            </w:r>
            <w:r>
              <w:rPr>
                <w:webHidden/>
              </w:rPr>
              <w:fldChar w:fldCharType="end"/>
            </w:r>
          </w:hyperlink>
        </w:p>
        <w:p w14:paraId="0C9C5EC9" w14:textId="07978E86"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4" w:history="1">
            <w:r w:rsidRPr="00A627AC">
              <w:rPr>
                <w:rStyle w:val="Hyperlink"/>
              </w:rPr>
              <w:t>Table 28g. Results examining the relationship between Shen-268 network small world omega and urbanicity obtained from bifactor modeling and pollution (NO2 level) during emotional n-back task</w:t>
            </w:r>
            <w:r>
              <w:rPr>
                <w:webHidden/>
              </w:rPr>
              <w:tab/>
            </w:r>
            <w:r>
              <w:rPr>
                <w:webHidden/>
              </w:rPr>
              <w:fldChar w:fldCharType="begin"/>
            </w:r>
            <w:r>
              <w:rPr>
                <w:webHidden/>
              </w:rPr>
              <w:instrText xml:space="preserve"> PAGEREF _Toc155817754 \h </w:instrText>
            </w:r>
            <w:r>
              <w:rPr>
                <w:webHidden/>
              </w:rPr>
            </w:r>
            <w:r>
              <w:rPr>
                <w:webHidden/>
              </w:rPr>
              <w:fldChar w:fldCharType="separate"/>
            </w:r>
            <w:r>
              <w:rPr>
                <w:webHidden/>
              </w:rPr>
              <w:t>166</w:t>
            </w:r>
            <w:r>
              <w:rPr>
                <w:webHidden/>
              </w:rPr>
              <w:fldChar w:fldCharType="end"/>
            </w:r>
          </w:hyperlink>
        </w:p>
        <w:p w14:paraId="65ECF6B2" w14:textId="05221BE1"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5" w:history="1">
            <w:r w:rsidRPr="00A627AC">
              <w:rPr>
                <w:rStyle w:val="Hyperlink"/>
              </w:rPr>
              <w:t>Table 28h. Results examining the relationship between Shen-268 network diameter and urbanicity obtained from bifactor modeling and pollution (NO2 level) during emotional n-back task</w:t>
            </w:r>
            <w:r>
              <w:rPr>
                <w:webHidden/>
              </w:rPr>
              <w:tab/>
            </w:r>
            <w:r>
              <w:rPr>
                <w:webHidden/>
              </w:rPr>
              <w:fldChar w:fldCharType="begin"/>
            </w:r>
            <w:r>
              <w:rPr>
                <w:webHidden/>
              </w:rPr>
              <w:instrText xml:space="preserve"> PAGEREF _Toc155817755 \h </w:instrText>
            </w:r>
            <w:r>
              <w:rPr>
                <w:webHidden/>
              </w:rPr>
            </w:r>
            <w:r>
              <w:rPr>
                <w:webHidden/>
              </w:rPr>
              <w:fldChar w:fldCharType="separate"/>
            </w:r>
            <w:r>
              <w:rPr>
                <w:webHidden/>
              </w:rPr>
              <w:t>168</w:t>
            </w:r>
            <w:r>
              <w:rPr>
                <w:webHidden/>
              </w:rPr>
              <w:fldChar w:fldCharType="end"/>
            </w:r>
          </w:hyperlink>
        </w:p>
        <w:p w14:paraId="4EC0F4E9" w14:textId="20D93FFB"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6" w:history="1">
            <w:r w:rsidRPr="00A627AC">
              <w:rPr>
                <w:rStyle w:val="Hyperlink"/>
              </w:rPr>
              <w:t>Table 28i. Results examining the relationship between Shen-268 network local efficiency and urbanicity obtained from bifactor modeling and pollution (NO2 level) during emotional n-back task</w:t>
            </w:r>
            <w:r>
              <w:rPr>
                <w:webHidden/>
              </w:rPr>
              <w:tab/>
            </w:r>
            <w:r>
              <w:rPr>
                <w:webHidden/>
              </w:rPr>
              <w:fldChar w:fldCharType="begin"/>
            </w:r>
            <w:r>
              <w:rPr>
                <w:webHidden/>
              </w:rPr>
              <w:instrText xml:space="preserve"> PAGEREF _Toc155817756 \h </w:instrText>
            </w:r>
            <w:r>
              <w:rPr>
                <w:webHidden/>
              </w:rPr>
            </w:r>
            <w:r>
              <w:rPr>
                <w:webHidden/>
              </w:rPr>
              <w:fldChar w:fldCharType="separate"/>
            </w:r>
            <w:r>
              <w:rPr>
                <w:webHidden/>
              </w:rPr>
              <w:t>170</w:t>
            </w:r>
            <w:r>
              <w:rPr>
                <w:webHidden/>
              </w:rPr>
              <w:fldChar w:fldCharType="end"/>
            </w:r>
          </w:hyperlink>
        </w:p>
        <w:p w14:paraId="5B807E36" w14:textId="77BE7B21"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7" w:history="1">
            <w:r w:rsidRPr="00A627AC">
              <w:rPr>
                <w:rStyle w:val="Hyperlink"/>
              </w:rPr>
              <w:t>Table 28j. Results examining the relationship between Shen-268 network average shortest path and urbanicity obtained from bifactor modeling and pollution (NO2 level) during monetary incentive delay task</w:t>
            </w:r>
            <w:r>
              <w:rPr>
                <w:webHidden/>
              </w:rPr>
              <w:tab/>
            </w:r>
            <w:r>
              <w:rPr>
                <w:webHidden/>
              </w:rPr>
              <w:fldChar w:fldCharType="begin"/>
            </w:r>
            <w:r>
              <w:rPr>
                <w:webHidden/>
              </w:rPr>
              <w:instrText xml:space="preserve"> PAGEREF _Toc155817757 \h </w:instrText>
            </w:r>
            <w:r>
              <w:rPr>
                <w:webHidden/>
              </w:rPr>
            </w:r>
            <w:r>
              <w:rPr>
                <w:webHidden/>
              </w:rPr>
              <w:fldChar w:fldCharType="separate"/>
            </w:r>
            <w:r>
              <w:rPr>
                <w:webHidden/>
              </w:rPr>
              <w:t>172</w:t>
            </w:r>
            <w:r>
              <w:rPr>
                <w:webHidden/>
              </w:rPr>
              <w:fldChar w:fldCharType="end"/>
            </w:r>
          </w:hyperlink>
        </w:p>
        <w:p w14:paraId="6B76C936" w14:textId="022C641E"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8" w:history="1">
            <w:r w:rsidRPr="00A627AC">
              <w:rPr>
                <w:rStyle w:val="Hyperlink"/>
              </w:rPr>
              <w:t>Table 28k. Results examining the relationship between Shen-268 network small world omega and urbanicity obtained from bifactor modeling and pollution (NO2 level) during monetary incentive delay task</w:t>
            </w:r>
            <w:r>
              <w:rPr>
                <w:webHidden/>
              </w:rPr>
              <w:tab/>
            </w:r>
            <w:r>
              <w:rPr>
                <w:webHidden/>
              </w:rPr>
              <w:fldChar w:fldCharType="begin"/>
            </w:r>
            <w:r>
              <w:rPr>
                <w:webHidden/>
              </w:rPr>
              <w:instrText xml:space="preserve"> PAGEREF _Toc155817758 \h </w:instrText>
            </w:r>
            <w:r>
              <w:rPr>
                <w:webHidden/>
              </w:rPr>
            </w:r>
            <w:r>
              <w:rPr>
                <w:webHidden/>
              </w:rPr>
              <w:fldChar w:fldCharType="separate"/>
            </w:r>
            <w:r>
              <w:rPr>
                <w:webHidden/>
              </w:rPr>
              <w:t>174</w:t>
            </w:r>
            <w:r>
              <w:rPr>
                <w:webHidden/>
              </w:rPr>
              <w:fldChar w:fldCharType="end"/>
            </w:r>
          </w:hyperlink>
        </w:p>
        <w:p w14:paraId="47121687" w14:textId="0AE16E1B"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59" w:history="1">
            <w:r w:rsidRPr="00A627AC">
              <w:rPr>
                <w:rStyle w:val="Hyperlink"/>
              </w:rPr>
              <w:t>Table 28l. Results examining the relationship between Shen-268 network diameter and urbanicity obtained from bifactor modeling and pollution (NO2 level) during monetary incentive delay task</w:t>
            </w:r>
            <w:r>
              <w:rPr>
                <w:webHidden/>
              </w:rPr>
              <w:tab/>
            </w:r>
            <w:r>
              <w:rPr>
                <w:webHidden/>
              </w:rPr>
              <w:fldChar w:fldCharType="begin"/>
            </w:r>
            <w:r>
              <w:rPr>
                <w:webHidden/>
              </w:rPr>
              <w:instrText xml:space="preserve"> PAGEREF _Toc155817759 \h </w:instrText>
            </w:r>
            <w:r>
              <w:rPr>
                <w:webHidden/>
              </w:rPr>
            </w:r>
            <w:r>
              <w:rPr>
                <w:webHidden/>
              </w:rPr>
              <w:fldChar w:fldCharType="separate"/>
            </w:r>
            <w:r>
              <w:rPr>
                <w:webHidden/>
              </w:rPr>
              <w:t>176</w:t>
            </w:r>
            <w:r>
              <w:rPr>
                <w:webHidden/>
              </w:rPr>
              <w:fldChar w:fldCharType="end"/>
            </w:r>
          </w:hyperlink>
        </w:p>
        <w:p w14:paraId="1BF700E7" w14:textId="2206B21C"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60" w:history="1">
            <w:r w:rsidRPr="00A627AC">
              <w:rPr>
                <w:rStyle w:val="Hyperlink"/>
              </w:rPr>
              <w:t>Table 28m. Results examining the relationship between Shen-268 network local efficiency and urbanicity obtained from bifactor modeling and pollution (NO2 level) during monetary incentive delay task</w:t>
            </w:r>
            <w:r>
              <w:rPr>
                <w:webHidden/>
              </w:rPr>
              <w:tab/>
            </w:r>
            <w:r>
              <w:rPr>
                <w:webHidden/>
              </w:rPr>
              <w:fldChar w:fldCharType="begin"/>
            </w:r>
            <w:r>
              <w:rPr>
                <w:webHidden/>
              </w:rPr>
              <w:instrText xml:space="preserve"> PAGEREF _Toc155817760 \h </w:instrText>
            </w:r>
            <w:r>
              <w:rPr>
                <w:webHidden/>
              </w:rPr>
            </w:r>
            <w:r>
              <w:rPr>
                <w:webHidden/>
              </w:rPr>
              <w:fldChar w:fldCharType="separate"/>
            </w:r>
            <w:r>
              <w:rPr>
                <w:webHidden/>
              </w:rPr>
              <w:t>178</w:t>
            </w:r>
            <w:r>
              <w:rPr>
                <w:webHidden/>
              </w:rPr>
              <w:fldChar w:fldCharType="end"/>
            </w:r>
          </w:hyperlink>
        </w:p>
        <w:p w14:paraId="6DEA58CF" w14:textId="50CDE8EF"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61" w:history="1">
            <w:r w:rsidRPr="00A627AC">
              <w:rPr>
                <w:rStyle w:val="Hyperlink"/>
              </w:rPr>
              <w:t>Table 28n. Results examining the relationship between Shen-268 network average shortest path and urbanicity obtained from bifactor modeling and pollution (NO2 level) during stop signal task</w:t>
            </w:r>
            <w:r>
              <w:rPr>
                <w:webHidden/>
              </w:rPr>
              <w:tab/>
            </w:r>
            <w:r>
              <w:rPr>
                <w:webHidden/>
              </w:rPr>
              <w:fldChar w:fldCharType="begin"/>
            </w:r>
            <w:r>
              <w:rPr>
                <w:webHidden/>
              </w:rPr>
              <w:instrText xml:space="preserve"> PAGEREF _Toc155817761 \h </w:instrText>
            </w:r>
            <w:r>
              <w:rPr>
                <w:webHidden/>
              </w:rPr>
            </w:r>
            <w:r>
              <w:rPr>
                <w:webHidden/>
              </w:rPr>
              <w:fldChar w:fldCharType="separate"/>
            </w:r>
            <w:r>
              <w:rPr>
                <w:webHidden/>
              </w:rPr>
              <w:t>180</w:t>
            </w:r>
            <w:r>
              <w:rPr>
                <w:webHidden/>
              </w:rPr>
              <w:fldChar w:fldCharType="end"/>
            </w:r>
          </w:hyperlink>
        </w:p>
        <w:p w14:paraId="525DF48F" w14:textId="650D91AA"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62" w:history="1">
            <w:r w:rsidRPr="00A627AC">
              <w:rPr>
                <w:rStyle w:val="Hyperlink"/>
              </w:rPr>
              <w:t>Table 28o. Results examining the relationship between Shen-268 network small world omega and urbanicity obtained from bifactor modeling and pollution (NO2 level) during stop signal task</w:t>
            </w:r>
            <w:r>
              <w:rPr>
                <w:webHidden/>
              </w:rPr>
              <w:tab/>
            </w:r>
            <w:r>
              <w:rPr>
                <w:webHidden/>
              </w:rPr>
              <w:fldChar w:fldCharType="begin"/>
            </w:r>
            <w:r>
              <w:rPr>
                <w:webHidden/>
              </w:rPr>
              <w:instrText xml:space="preserve"> PAGEREF _Toc155817762 \h </w:instrText>
            </w:r>
            <w:r>
              <w:rPr>
                <w:webHidden/>
              </w:rPr>
            </w:r>
            <w:r>
              <w:rPr>
                <w:webHidden/>
              </w:rPr>
              <w:fldChar w:fldCharType="separate"/>
            </w:r>
            <w:r>
              <w:rPr>
                <w:webHidden/>
              </w:rPr>
              <w:t>182</w:t>
            </w:r>
            <w:r>
              <w:rPr>
                <w:webHidden/>
              </w:rPr>
              <w:fldChar w:fldCharType="end"/>
            </w:r>
          </w:hyperlink>
        </w:p>
        <w:p w14:paraId="797BF96C" w14:textId="773CC588"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63" w:history="1">
            <w:r w:rsidRPr="00A627AC">
              <w:rPr>
                <w:rStyle w:val="Hyperlink"/>
              </w:rPr>
              <w:t>Table 28p. Results examining the relationship between Shen-268 network diameter and urbanicity obtained from bifactor modeling and pollution (NO2 level) during stop signal task</w:t>
            </w:r>
            <w:r>
              <w:rPr>
                <w:webHidden/>
              </w:rPr>
              <w:tab/>
            </w:r>
            <w:r>
              <w:rPr>
                <w:webHidden/>
              </w:rPr>
              <w:fldChar w:fldCharType="begin"/>
            </w:r>
            <w:r>
              <w:rPr>
                <w:webHidden/>
              </w:rPr>
              <w:instrText xml:space="preserve"> PAGEREF _Toc155817763 \h </w:instrText>
            </w:r>
            <w:r>
              <w:rPr>
                <w:webHidden/>
              </w:rPr>
            </w:r>
            <w:r>
              <w:rPr>
                <w:webHidden/>
              </w:rPr>
              <w:fldChar w:fldCharType="separate"/>
            </w:r>
            <w:r>
              <w:rPr>
                <w:webHidden/>
              </w:rPr>
              <w:t>184</w:t>
            </w:r>
            <w:r>
              <w:rPr>
                <w:webHidden/>
              </w:rPr>
              <w:fldChar w:fldCharType="end"/>
            </w:r>
          </w:hyperlink>
        </w:p>
        <w:p w14:paraId="241C9E85" w14:textId="3B24D1D5" w:rsidR="00FD256A" w:rsidRDefault="00FD256A">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55817764" w:history="1">
            <w:r w:rsidRPr="00A627AC">
              <w:rPr>
                <w:rStyle w:val="Hyperlink"/>
              </w:rPr>
              <w:t>Table 28q. Results examining the relationship between Shen-268 network local efficiency and urbanicity obtained from bifactor modeling and pollution (NO2 level) during stop signal task</w:t>
            </w:r>
            <w:r>
              <w:rPr>
                <w:webHidden/>
              </w:rPr>
              <w:tab/>
            </w:r>
            <w:r>
              <w:rPr>
                <w:webHidden/>
              </w:rPr>
              <w:fldChar w:fldCharType="begin"/>
            </w:r>
            <w:r>
              <w:rPr>
                <w:webHidden/>
              </w:rPr>
              <w:instrText xml:space="preserve"> PAGEREF _Toc155817764 \h </w:instrText>
            </w:r>
            <w:r>
              <w:rPr>
                <w:webHidden/>
              </w:rPr>
            </w:r>
            <w:r>
              <w:rPr>
                <w:webHidden/>
              </w:rPr>
              <w:fldChar w:fldCharType="separate"/>
            </w:r>
            <w:r>
              <w:rPr>
                <w:webHidden/>
              </w:rPr>
              <w:t>186</w:t>
            </w:r>
            <w:r>
              <w:rPr>
                <w:webHidden/>
              </w:rPr>
              <w:fldChar w:fldCharType="end"/>
            </w:r>
          </w:hyperlink>
        </w:p>
        <w:p w14:paraId="2147F447" w14:textId="78FA1893" w:rsidR="0053537E" w:rsidRPr="006B6D3A" w:rsidRDefault="0053537E">
          <w:pPr>
            <w:rPr>
              <w:sz w:val="22"/>
              <w:szCs w:val="22"/>
            </w:rPr>
          </w:pPr>
          <w:r w:rsidRPr="006F78CC">
            <w:rPr>
              <w:b/>
              <w:bCs/>
              <w:noProof/>
              <w:sz w:val="22"/>
              <w:szCs w:val="22"/>
            </w:rPr>
            <w:fldChar w:fldCharType="end"/>
          </w:r>
        </w:p>
      </w:sdtContent>
    </w:sdt>
    <w:p w14:paraId="120A7CA2" w14:textId="77777777" w:rsidR="006D0B73" w:rsidRDefault="006D0B73">
      <w:pPr>
        <w:rPr>
          <w:rFonts w:eastAsiaTheme="majorEastAsia"/>
          <w:b/>
          <w:bCs/>
          <w:color w:val="000000" w:themeColor="text1"/>
        </w:rPr>
      </w:pPr>
      <w:bookmarkStart w:id="0" w:name="_Toc82951139"/>
      <w:r>
        <w:rPr>
          <w:b/>
          <w:bCs/>
          <w:color w:val="000000" w:themeColor="text1"/>
        </w:rPr>
        <w:br w:type="page"/>
      </w:r>
    </w:p>
    <w:p w14:paraId="2CD4F669" w14:textId="32340E04" w:rsidR="00BA3AF4" w:rsidRPr="004673D8" w:rsidRDefault="00BA3AF4" w:rsidP="004673D8">
      <w:pPr>
        <w:pStyle w:val="Heading1"/>
        <w:rPr>
          <w:rFonts w:ascii="Times New Roman" w:eastAsia="Batang" w:hAnsi="Times New Roman" w:cs="Times New Roman"/>
          <w:b/>
          <w:bCs/>
          <w:color w:val="000000" w:themeColor="text1"/>
          <w:sz w:val="24"/>
          <w:szCs w:val="24"/>
        </w:rPr>
      </w:pPr>
      <w:bookmarkStart w:id="1" w:name="_Toc155817669"/>
      <w:r w:rsidRPr="004673D8">
        <w:rPr>
          <w:rFonts w:ascii="Times New Roman" w:hAnsi="Times New Roman" w:cs="Times New Roman"/>
          <w:b/>
          <w:bCs/>
          <w:color w:val="000000" w:themeColor="text1"/>
          <w:sz w:val="24"/>
          <w:szCs w:val="24"/>
        </w:rPr>
        <w:lastRenderedPageBreak/>
        <w:t xml:space="preserve">Representativeness of the ABCD </w:t>
      </w:r>
      <w:r w:rsidR="00DF1BE8" w:rsidRPr="004673D8">
        <w:rPr>
          <w:rFonts w:ascii="Times New Roman" w:hAnsi="Times New Roman" w:cs="Times New Roman"/>
          <w:b/>
          <w:bCs/>
          <w:color w:val="000000" w:themeColor="text1"/>
          <w:sz w:val="24"/>
          <w:szCs w:val="24"/>
        </w:rPr>
        <w:t>S</w:t>
      </w:r>
      <w:r w:rsidRPr="004673D8">
        <w:rPr>
          <w:rFonts w:ascii="Times New Roman" w:hAnsi="Times New Roman" w:cs="Times New Roman"/>
          <w:b/>
          <w:bCs/>
          <w:color w:val="000000" w:themeColor="text1"/>
          <w:sz w:val="24"/>
          <w:szCs w:val="24"/>
        </w:rPr>
        <w:t>ample</w:t>
      </w:r>
      <w:bookmarkEnd w:id="0"/>
      <w:r w:rsidR="00256CD5" w:rsidRPr="004673D8">
        <w:rPr>
          <w:rFonts w:ascii="Times New Roman" w:hAnsi="Times New Roman" w:cs="Times New Roman"/>
          <w:b/>
          <w:bCs/>
          <w:color w:val="000000" w:themeColor="text1"/>
          <w:sz w:val="24"/>
          <w:szCs w:val="24"/>
        </w:rPr>
        <w:t xml:space="preserve"> and Accounting for Dependencies</w:t>
      </w:r>
      <w:bookmarkEnd w:id="1"/>
    </w:p>
    <w:p w14:paraId="501CAF48" w14:textId="77777777" w:rsidR="00E70C26" w:rsidRDefault="00E70C26" w:rsidP="005C0A30"/>
    <w:p w14:paraId="05C44ABD" w14:textId="77777777" w:rsidR="00D174A1" w:rsidRDefault="00063E84" w:rsidP="00806532">
      <w:pPr>
        <w:ind w:firstLine="720"/>
      </w:pPr>
      <w:r w:rsidRPr="00063E84">
        <w:t xml:space="preserve">Garavan et al. </w:t>
      </w:r>
      <w:r w:rsidR="003964DF">
        <w:fldChar w:fldCharType="begin" w:fldLock="1"/>
      </w:r>
      <w:r w:rsidR="00AB411A">
        <w:instrText>ADDIN CSL_CITATION {"citationItems":[{"id":"ITEM-1","itemData":{"DOI":"10.1016/j.dcn.2018.04.004","ISSN":"18789307","PMID":"29703560","abstract":"The ABCD study is a new and ongoing project of very substantial size and scale involving 21 data acquisition sites. It aims to recruit 11,500 children and follow them for ten years with extensive assessments at multiple timepoints. To deliver on its potential to adequately describe adolescent development, it is essential that it adopt recruitment procedures that are efficient and effective and will yield a sample that reflects the nation's diversity in an epidemiologically informed manner. Here, we describe the sampling plans and recruitment procedures of this study. Participants are largely recruited through the school systems with school selection informed by gender, race and ethnicity, socioeconomic status, and urbanicity. Procedures for school selection designed to mitigate selection biases, dynamic monitoring of the accumulating sample to correct deviations from recruitment targets, and a description of the recruitment procedures designed to foster a collaborative attitude between the researchers, the schools and the local communities, are provided.","author":[{"dropping-particle":"","family":"Garavan","given":"H.","non-dropping-particle":"","parse-names":false,"suffix":""},{"dropping-particle":"","family":"Bartsch","given":"H.","non-dropping-particle":"","parse-names":false,"suffix":""},{"dropping-particle":"","family":"Conway","given":"K.","non-dropping-particle":"","parse-names":false,"suffix":""},{"dropping-particle":"","family":"Decastro","given":"A.","non-dropping-particle":"","parse-names":false,"suffix":""},{"dropping-particle":"","family":"Goldstein","given":"R. Z.","non-dropping-particle":"","parse-names":false,"suffix":""},{"dropping-particle":"","family":"Heeringa","given":"S.","non-dropping-particle":"","parse-names":false,"suffix":""},{"dropping-particle":"","family":"Jernigan","given":"T.","non-dropping-particle":"","parse-names":false,"suffix":""},{"dropping-particle":"","family":"Potter","given":"A.","non-dropping-particle":"","parse-names":false,"suffix":""},{"dropping-particle":"","family":"Thompson","given":"W.","non-dropping-particle":"","parse-names":false,"suffix":""},{"dropping-particle":"","family":"Zahs","given":"D.","non-dropping-particle":"","parse-names":false,"suffix":""}],"container-title":"Developmental Cognitive Neuroscience","id":"ITEM-1","issue":"August 2017","issued":{"date-parts":[["2018"]]},"page":"16-22","publisher":"Elsevier","title":"Recruiting the ABCD sample: Design considerations and procedures","type":"article-journal","volume":"32"},"uris":["http://www.mendeley.com/documents/?uuid=a52940ce-10a9-4d90-b93c-df441d8f5809"]}],"mendeley":{"formattedCitation":"(Garavan et al., 2018)","manualFormatting":"(2018)","plainTextFormattedCitation":"(Garavan et al., 2018)","previouslyFormattedCitation":"(Garavan et al., 2018)"},"properties":{"noteIndex":0},"schema":"https://github.com/citation-style-language/schema/raw/master/csl-citation.json"}</w:instrText>
      </w:r>
      <w:r w:rsidR="003964DF">
        <w:fldChar w:fldCharType="separate"/>
      </w:r>
      <w:r w:rsidR="003964DF" w:rsidRPr="003964DF">
        <w:rPr>
          <w:noProof/>
        </w:rPr>
        <w:t>(2018)</w:t>
      </w:r>
      <w:r w:rsidR="003964DF">
        <w:fldChar w:fldCharType="end"/>
      </w:r>
      <w:r w:rsidRPr="00063E84">
        <w:t xml:space="preserve"> provide a detailed explanation of the process used to recruit participants for the ABCD Study. In summary, 21 sites across the United States were designated for the study, each with specific catchment areas. Probability sampling was used to select eligible children from schools within each catchment area. Various sociodemographic factors such as age, gender, race/ethnicity, socioeconomic status, and urbanicity were taken into account during sample recruitment. The target numbers for each of these factors were determined from the American Community Survey (ACS) and National Center for Education Statistics’ school enrollment data. Although the individual study sites did not perfectly reflect the U.S. population, the recruitment process utilized the same unbiased methods.</w:t>
      </w:r>
      <w:r w:rsidR="00C25F0D">
        <w:t xml:space="preserve"> S</w:t>
      </w:r>
      <w:r w:rsidR="00762EEC">
        <w:t xml:space="preserve">everal steps were taken </w:t>
      </w:r>
      <w:r w:rsidR="00C0146E">
        <w:t xml:space="preserve">by the ABCD group </w:t>
      </w:r>
      <w:r w:rsidR="00762EEC">
        <w:t>to adjust the sample and make it more representative of the U.S. population</w:t>
      </w:r>
      <w:r w:rsidR="007B0979">
        <w:t xml:space="preserve"> </w:t>
      </w:r>
      <w:r w:rsidR="0091462D">
        <w:t xml:space="preserve">including applying post-stratification weights </w:t>
      </w:r>
      <w:r w:rsidR="00CD3FE7">
        <w:fldChar w:fldCharType="begin" w:fldLock="1"/>
      </w:r>
      <w:r w:rsidR="00096CB8">
        <w:instrText>ADDIN CSL_CITATION {"citationItems":[{"id":"ITEM-1","itemData":{"DOI":"10.1016/j.dcn.2018.04.004","ISSN":"18789307","PMID":"29703560","abstract":"The ABCD study is a new and ongoing project of very substantial size and scale involving 21 data acquisition sites. It aims to recruit 11,500 children and follow them for ten years with extensive assessments at multiple timepoints. To deliver on its potential to adequately describe adolescent development, it is essential that it adopt recruitment procedures that are efficient and effective and will yield a sample that reflects the nation's diversity in an epidemiologically informed manner. Here, we describe the sampling plans and recruitment procedures of this study. Participants are largely recruited through the school systems with school selection informed by gender, race and ethnicity, socioeconomic status, and urbanicity. Procedures for school selection designed to mitigate selection biases, dynamic monitoring of the accumulating sample to correct deviations from recruitment targets, and a description of the recruitment procedures designed to foster a collaborative attitude between the researchers, the schools and the local communities, are provided.","author":[{"dropping-particle":"","family":"Garavan","given":"H.","non-dropping-particle":"","parse-names":false,"suffix":""},{"dropping-particle":"","family":"Bartsch","given":"H.","non-dropping-particle":"","parse-names":false,"suffix":""},{"dropping-particle":"","family":"Conway","given":"K.","non-dropping-particle":"","parse-names":false,"suffix":""},{"dropping-particle":"","family":"Decastro","given":"A.","non-dropping-particle":"","parse-names":false,"suffix":""},{"dropping-particle":"","family":"Goldstein","given":"R. Z.","non-dropping-particle":"","parse-names":false,"suffix":""},{"dropping-particle":"","family":"Heeringa","given":"S.","non-dropping-particle":"","parse-names":false,"suffix":""},{"dropping-particle":"","family":"Jernigan","given":"T.","non-dropping-particle":"","parse-names":false,"suffix":""},{"dropping-particle":"","family":"Potter","given":"A.","non-dropping-particle":"","parse-names":false,"suffix":""},{"dropping-particle":"","family":"Thompson","given":"W.","non-dropping-particle":"","parse-names":false,"suffix":""},{"dropping-particle":"","family":"Zahs","given":"D.","non-dropping-particle":"","parse-names":false,"suffix":""}],"container-title":"Developmental Cognitive Neuroscience","id":"ITEM-1","issue":"August 2017","issued":{"date-parts":[["2018"]]},"page":"16-22","publisher":"Elsevier","title":"Recruiting the ABCD sample: Design considerations and procedures","type":"article-journal","volume":"32"},"uris":["http://www.mendeley.com/documents/?uuid=a52940ce-10a9-4d90-b93c-df441d8f5809"]}],"mendeley":{"formattedCitation":"(Garavan et al., 2018)","plainTextFormattedCitation":"(Garavan et al., 2018)","previouslyFormattedCitation":"(Garavan et al., 2018)"},"properties":{"noteIndex":0},"schema":"https://github.com/citation-style-language/schema/raw/master/csl-citation.json"}</w:instrText>
      </w:r>
      <w:r w:rsidR="00CD3FE7">
        <w:fldChar w:fldCharType="separate"/>
      </w:r>
      <w:r w:rsidR="00CD3FE7" w:rsidRPr="00CD3FE7">
        <w:rPr>
          <w:noProof/>
        </w:rPr>
        <w:t>(Garavan et al., 2018)</w:t>
      </w:r>
      <w:r w:rsidR="00CD3FE7">
        <w:fldChar w:fldCharType="end"/>
      </w:r>
      <w:r w:rsidR="00CD3FE7">
        <w:t>.</w:t>
      </w:r>
      <w:r w:rsidR="00762EEC">
        <w:t xml:space="preserve"> </w:t>
      </w:r>
    </w:p>
    <w:p w14:paraId="35C8BDCF" w14:textId="2D8AD13B" w:rsidR="00BE2A32" w:rsidRPr="00BA39EA" w:rsidRDefault="00D174A1" w:rsidP="00B60662">
      <w:pPr>
        <w:ind w:firstLine="720"/>
      </w:pPr>
      <w:r w:rsidRPr="00D174A1">
        <w:t xml:space="preserve">The </w:t>
      </w:r>
      <w:r>
        <w:t xml:space="preserve">ABCD </w:t>
      </w:r>
      <w:r w:rsidRPr="00D174A1">
        <w:t xml:space="preserve">study uses complicated survey data, with </w:t>
      </w:r>
      <w:r w:rsidR="00130F5E">
        <w:t xml:space="preserve">dependencies such as </w:t>
      </w:r>
      <w:r w:rsidRPr="00D174A1">
        <w:t xml:space="preserve">siblings and multiple births from the same family, and families nested </w:t>
      </w:r>
      <w:r w:rsidR="00B5298E">
        <w:t xml:space="preserve">within sites </w:t>
      </w:r>
      <w:r w:rsidRPr="00D174A1">
        <w:t xml:space="preserve">throughout the US. To address the </w:t>
      </w:r>
      <w:r w:rsidR="0010058B">
        <w:t>relatedness</w:t>
      </w:r>
      <w:r w:rsidR="00AA2951">
        <w:t xml:space="preserve"> between participants</w:t>
      </w:r>
      <w:r w:rsidRPr="00D174A1">
        <w:t xml:space="preserve"> and nesting</w:t>
      </w:r>
      <w:r w:rsidR="00F76153">
        <w:t xml:space="preserve"> within sites</w:t>
      </w:r>
      <w:r w:rsidRPr="00D174A1">
        <w:t xml:space="preserve">, </w:t>
      </w:r>
      <w:r w:rsidR="00296882">
        <w:t xml:space="preserve">we </w:t>
      </w:r>
      <w:r w:rsidRPr="00D174A1">
        <w:t xml:space="preserve">utilized </w:t>
      </w:r>
      <w:r w:rsidR="009A6D3C">
        <w:t xml:space="preserve">methods </w:t>
      </w:r>
      <w:r w:rsidR="00F33E6C">
        <w:t xml:space="preserve">to cluster </w:t>
      </w:r>
      <w:r w:rsidR="00231287">
        <w:t>by family ID and</w:t>
      </w:r>
      <w:r w:rsidR="00B34B87">
        <w:t xml:space="preserve"> stratify by </w:t>
      </w:r>
      <w:r w:rsidR="00446B7F">
        <w:t xml:space="preserve">site </w:t>
      </w:r>
      <w:r w:rsidR="00A96F57">
        <w:t xml:space="preserve">which </w:t>
      </w:r>
      <w:r w:rsidR="004A5F54">
        <w:t xml:space="preserve">are </w:t>
      </w:r>
      <w:r w:rsidR="0098143E">
        <w:t>recommended</w:t>
      </w:r>
      <w:r w:rsidR="007D30BE">
        <w:t xml:space="preserve"> by </w:t>
      </w:r>
      <w:r w:rsidR="008F1EEC">
        <w:t xml:space="preserve">Mplus </w:t>
      </w:r>
      <w:r w:rsidR="00A6285E">
        <w:t xml:space="preserve">when analyzing complex data with the SEM framework. </w:t>
      </w:r>
      <w:r w:rsidR="00CF3004">
        <w:t xml:space="preserve">All relevant </w:t>
      </w:r>
      <w:r w:rsidR="00067B37">
        <w:t>effects in the present</w:t>
      </w:r>
      <w:r w:rsidR="00947D9C">
        <w:t xml:space="preserve"> study were estimated using this approach.</w:t>
      </w:r>
    </w:p>
    <w:p w14:paraId="60B70722" w14:textId="77777777" w:rsidR="00BE2A32" w:rsidRDefault="00BE2A32" w:rsidP="00806532">
      <w:pPr>
        <w:ind w:firstLine="720"/>
      </w:pPr>
    </w:p>
    <w:p w14:paraId="66B95EBA" w14:textId="77777777" w:rsidR="00C00F22" w:rsidRDefault="00C00F22">
      <w:r>
        <w:br w:type="page"/>
      </w:r>
    </w:p>
    <w:p w14:paraId="79F18F4A" w14:textId="119F3E7A" w:rsidR="00906DFA" w:rsidRDefault="00906DFA" w:rsidP="00007D35">
      <w:pPr>
        <w:pStyle w:val="Heading1"/>
        <w:rPr>
          <w:rFonts w:ascii="Times New Roman" w:hAnsi="Times New Roman" w:cs="Times New Roman"/>
          <w:b/>
          <w:bCs/>
          <w:color w:val="000000" w:themeColor="text1"/>
          <w:sz w:val="24"/>
          <w:szCs w:val="24"/>
        </w:rPr>
      </w:pPr>
      <w:bookmarkStart w:id="2" w:name="_Toc155817670"/>
      <w:r w:rsidRPr="004851BA">
        <w:rPr>
          <w:rFonts w:ascii="Times New Roman" w:hAnsi="Times New Roman" w:cs="Times New Roman"/>
          <w:b/>
          <w:bCs/>
          <w:color w:val="000000" w:themeColor="text1"/>
          <w:sz w:val="24"/>
          <w:szCs w:val="24"/>
        </w:rPr>
        <w:lastRenderedPageBreak/>
        <w:t>Stressor measures</w:t>
      </w:r>
      <w:bookmarkEnd w:id="2"/>
    </w:p>
    <w:p w14:paraId="252C8A44" w14:textId="77777777" w:rsidR="004851BA" w:rsidRPr="004851BA" w:rsidRDefault="004851BA" w:rsidP="004851BA"/>
    <w:p w14:paraId="43130298" w14:textId="77777777" w:rsidR="00906DFA" w:rsidRPr="0050394F" w:rsidRDefault="00906DFA" w:rsidP="00906DFA">
      <w:r>
        <w:tab/>
        <w:t>We performed</w:t>
      </w:r>
      <w:r w:rsidRPr="00627D71">
        <w:t xml:space="preserve"> a comprehensive </w:t>
      </w:r>
      <w:r>
        <w:t>review of the data available in the ABCD Study to identify</w:t>
      </w:r>
      <w:r w:rsidRPr="00627D71">
        <w:t xml:space="preserve"> items covering aspect</w:t>
      </w:r>
      <w:r>
        <w:t>s</w:t>
      </w:r>
      <w:r w:rsidRPr="00627D71">
        <w:t xml:space="preserve"> of the child’s environment including neglect, abuse, resource availability, attributes of the physical environment such as density and pollution, and interpersonal factors such as the availability of supportive relationships.</w:t>
      </w:r>
      <w:r>
        <w:t xml:space="preserve"> Additional details on item selection can be found in our prior work </w:t>
      </w:r>
      <w:r w:rsidRPr="00022BA4">
        <w:fldChar w:fldCharType="begin" w:fldLock="1"/>
      </w:r>
      <w:r w:rsidRPr="00022BA4">
        <w:instrText>ADDIN CSL_CITATION {"citationItems":[{"id":"ITEM-1","itemData":{"DOI":"10.1016/j.bpsgos.2022.04.004","ISSN":"26671743","abstract":"ABSTRACT Background Early life stressors can adversely affect the developing brain. While hierarchical modeling has established the existence of a general factor of psychopathology, no studies have modeled a general factor of environmental stress and related this factor to brain development. Using a large sample of children from the Adolescent Brain Cognitive DevelopmentSM Study (ABCD Study®), the current study aimed to identify general and specific factors of environmental stress and test their associations with brain structure and psychopathology. Methods Bifactor modeling and higher-order (second-order) modeling identified general and specific factors of environmental stress: family dynamics, interpersonal support, neighborhood SES deprivation, and urbanicity in a sample of 11,878 children. Structural equation modeling was performed to examine associations between these factors and regional gray matter volume (GMV) and cortical thickness as well as general and specific factors of psychopathology. Results The general environmental stress factor was associated with globally smaller cortical and subcortical GMV, as well as thinner cortices across widespread regions. Family dynamics and neighborhood SES deprivation were associated with smaller GMV in focal regions. Urbanicity was associated with larger cortical and subcortical GMV and thicker cortices in frontotemporal regions. The environmental factors were associated with psychopathology in the expected directions. The general factors of environmental stress and psychopathology were both predictors of smaller GMV in children, while remaining distinct from each other. Conclusions This study reveals a unifying model of environmental influences that illustrates the inherent organization of environmental stressors and their relationship to brain structure and psychopathology.","author":[{"dropping-particle":"","family":"Jeong","given":"Hee Jung","non-dropping-particle":"","parse-names":false,"suffix":""},{"dropping-particle":"","family":"Moore","given":"Tyler M.","non-dropping-particle":"","parse-names":false,"suffix":""},{"dropping-particle":"","family":"Durham","given":"E. Leighton","non-dropping-particle":"","parse-names":false,"suffix":""},{"dropping-particle":"","family":"Reimann","given":"Gabrielle E.","non-dropping-particle":"","parse-names":false,"suffix":""},{"dropping-particle":"","family":"Dupont","given":"Randolph M.","non-dropping-particle":"","parse-names":false,"suffix":""},{"dropping-particle":"","family":"Cardenas-Iniguez","given":"Carlos","non-dropping-particle":"","parse-names":false,"suffix":""},{"dropping-particle":"","family":"Berman","given":"Marc G.","non-dropping-particle":"","parse-names":false,"suffix":""},{"dropping-particle":"","family":"Lahey","given":"Benjamin B.","non-dropping-particle":"","parse-names":false,"suffix":""},{"dropping-particle":"","family":"Kaczkurkin","given":"Antonia N.","non-dropping-particle":"","parse-names":false,"suffix":""}],"container-title":"Biological Psychiatry Global Open Science","id":"ITEM-1","issued":{"date-parts":[["2022"]]},"page":"1-10","publisher":"The Authors","title":"General and Specific Factors of Environmental Stress and their Associations with Brain Structure and Dimensions of Psychopathology","type":"article-journal"},"uris":["http://www.mendeley.com/documents/?uuid=b785a911-7f09-4698-9186-0fc5b139bd99"]}],"mendeley":{"formattedCitation":"(Jeong et al., 2022)","plainTextFormattedCitation":"(Jeong et al., 2022)","previouslyFormattedCitation":"(Jeong et al., 2022)"},"properties":{"noteIndex":0},"schema":"https://github.com/citation-style-language/schema/raw/master/csl-citation.json"}</w:instrText>
      </w:r>
      <w:r w:rsidRPr="00022BA4">
        <w:fldChar w:fldCharType="separate"/>
      </w:r>
      <w:r w:rsidRPr="00022BA4">
        <w:rPr>
          <w:noProof/>
        </w:rPr>
        <w:t>(Jeong et al., 2022)</w:t>
      </w:r>
      <w:r w:rsidRPr="00022BA4">
        <w:fldChar w:fldCharType="end"/>
      </w:r>
      <w:r w:rsidRPr="00022BA4">
        <w:t>.</w:t>
      </w:r>
    </w:p>
    <w:p w14:paraId="4B574CAC" w14:textId="77777777" w:rsidR="00906DFA" w:rsidRPr="00022BA4" w:rsidRDefault="00906DFA" w:rsidP="00906DFA">
      <w:pPr>
        <w:autoSpaceDE w:val="0"/>
        <w:autoSpaceDN w:val="0"/>
        <w:adjustRightInd w:val="0"/>
        <w:ind w:firstLine="720"/>
        <w:rPr>
          <w:color w:val="000000" w:themeColor="text1"/>
        </w:rPr>
      </w:pPr>
      <w:r w:rsidRPr="000A16E1">
        <w:rPr>
          <w:i/>
          <w:iCs/>
          <w:color w:val="000000" w:themeColor="text1"/>
        </w:rPr>
        <w:t xml:space="preserve">Kiddie Schedule for Affective Disorders and Schizophrenia (K-SADS). </w:t>
      </w:r>
      <w:r w:rsidRPr="00022BA4">
        <w:t xml:space="preserve">Traumatic events during </w:t>
      </w:r>
      <w:r>
        <w:t xml:space="preserve">a </w:t>
      </w:r>
      <w:r w:rsidRPr="00022BA4">
        <w:t>child’s lifetime were measured using the posttraumatic stress disorder traumatic events checklist from the KSADS</w:t>
      </w:r>
      <w:r w:rsidRPr="00022BA4">
        <w:rPr>
          <w:color w:val="000000" w:themeColor="text1"/>
        </w:rPr>
        <w:t xml:space="preserve"> </w:t>
      </w:r>
      <w:r w:rsidRPr="00022BA4">
        <w:rPr>
          <w:color w:val="000000" w:themeColor="text1"/>
        </w:rPr>
        <w:fldChar w:fldCharType="begin" w:fldLock="1"/>
      </w:r>
      <w:r w:rsidRPr="00022BA4">
        <w:rPr>
          <w:color w:val="000000" w:themeColor="text1"/>
        </w:rPr>
        <w:instrText>ADDIN CSL_CITATION {"citationItems":[{"id":"ITEM-1","itemData":{"DOI":"10.1097/00004583-199707000-00021","ISSN":"08908567","PMID":"9204677","abstract":"Objective: To describe the psychometric properties of the Schedule for Affective Disorders and Schizophrenia for School-Age Children-Present and Lifetime version (K-SADS-PL) interview, which surveys additional disorders not assessed in prior K-SADS, contains improved probes and anchor points, includes diagnosis-specific impairment ratings, generates DSM-III-R and DSM- IV diagnoses, and divides symptoms surveyed into a screening interview and five diagnostic supplements. Method: Subjects were 55 psychiatric outpatients and 11 normal controls (aged 7 through 17 years). Both parents and children were used as informants. Concurrent validity of the screen criteria and the K-SADS-PL diagnoses was assessed against standard self-report scales. Interrater (n = 15) and test-retest (n = 20) reliability data were also collected (mean retest interval: 18 days; range: 2 to 38 days). Results: Rating scale data support the concurrent validity of screens and K-SADS-PL diagnoses. Interrater agreement in scoring screens and diagnoses was high (range: 93% to 100%). Test-retest reliability κ coefficients were in the excellent range for present and/or lifetime diagnoses of major depression, any bipolar, generalized anxiety, conduct, and oppositional defiant disorder (.77 to 1.00) and in the good range for present diagnoses of posttraumatic stress disorder and attention-deficit hyperactivity disorder (.63 to 67). Conclusion: Results suggest the K-SADS-PL generates reliable and valid child psychiatric diagnoses.","author":[{"dropping-particle":"","family":"Kaufman","given":"Joan","non-dropping-particle":"","parse-names":false,"suffix":""},{"dropping-particle":"","family":"Birmaher","given":"Boris","non-dropping-particle":"","parse-names":false,"suffix":""},{"dropping-particle":"","family":"Brent","given":"David","non-dropping-particle":"","parse-names":false,"suffix":""},{"dropping-particle":"","family":"Rao","given":"Uma","non-dropping-particle":"","parse-names":false,"suffix":""},{"dropping-particle":"","family":"Flynn","given":"Cynthia","non-dropping-particle":"","parse-names":false,"suffix":""},{"dropping-particle":"","family":"Moreci","given":"Paula","non-dropping-particle":"","parse-names":false,"suffix":""},{"dropping-particle":"","family":"Williamson","given":"Douglas","non-dropping-particle":"","parse-names":false,"suffix":""},{"dropping-particle":"","family":"Ryan","given":"Neal","non-dropping-particle":"","parse-names":false,"suffix":""}],"container-title":"Journal of the American Academy of Child and Adolescent Psychiatry","id":"ITEM-1","issue":"7","issued":{"date-parts":[["1997"]]},"page":"980-988","publisher":"The American Academy of Child and Adolescent Psychiatry","title":"Schedule for affective disorders and schizophrenia for school-age children-present and lifetime version (K-SADS-PL): Initial reliability and validity data","type":"article-journal","volume":"36"},"uris":["http://www.mendeley.com/documents/?uuid=1b030a4e-5338-4d61-b85f-466f38e80f90"]}],"mendeley":{"formattedCitation":"(Kaufman et al., 1997)","plainTextFormattedCitation":"(Kaufman et al., 1997)","previouslyFormattedCitation":"(Kaufman et al., 1997)"},"properties":{"noteIndex":0},"schema":"https://github.com/citation-style-language/schema/raw/master/csl-citation.json"}</w:instrText>
      </w:r>
      <w:r w:rsidRPr="00022BA4">
        <w:rPr>
          <w:color w:val="000000" w:themeColor="text1"/>
        </w:rPr>
        <w:fldChar w:fldCharType="separate"/>
      </w:r>
      <w:r w:rsidRPr="00022BA4">
        <w:rPr>
          <w:noProof/>
          <w:color w:val="000000" w:themeColor="text1"/>
        </w:rPr>
        <w:t>(Kaufman et al., 1997)</w:t>
      </w:r>
      <w:r w:rsidRPr="00022BA4">
        <w:rPr>
          <w:color w:val="000000" w:themeColor="text1"/>
        </w:rPr>
        <w:fldChar w:fldCharType="end"/>
      </w:r>
      <w:r w:rsidRPr="00022BA4">
        <w:rPr>
          <w:color w:val="000000" w:themeColor="text1"/>
        </w:rPr>
        <w:t xml:space="preserve">. </w:t>
      </w:r>
      <w:r w:rsidRPr="00022BA4">
        <w:t>Primary caregivers indicated whether their child had experienced any of 17 traumatic events</w:t>
      </w:r>
      <w:r w:rsidRPr="00022BA4">
        <w:rPr>
          <w:color w:val="000000" w:themeColor="text1"/>
        </w:rPr>
        <w:t xml:space="preserve"> based on a binary response (1 = </w:t>
      </w:r>
      <w:r w:rsidRPr="000A16E1">
        <w:rPr>
          <w:i/>
          <w:iCs/>
          <w:color w:val="000000" w:themeColor="text1"/>
        </w:rPr>
        <w:t>True</w:t>
      </w:r>
      <w:r w:rsidRPr="00022BA4">
        <w:rPr>
          <w:color w:val="000000" w:themeColor="text1"/>
        </w:rPr>
        <w:t xml:space="preserve">, 0 = </w:t>
      </w:r>
      <w:r w:rsidRPr="000A16E1">
        <w:rPr>
          <w:i/>
          <w:iCs/>
          <w:color w:val="000000" w:themeColor="text1"/>
        </w:rPr>
        <w:t>False</w:t>
      </w:r>
      <w:r w:rsidRPr="00022BA4">
        <w:rPr>
          <w:color w:val="000000" w:themeColor="text1"/>
        </w:rPr>
        <w:t xml:space="preserve">). An additional 17 items assessing the child’s relationship with his/her caregiver, peer relationships, school performance, and placement in any special services were included from the K-SADS background items. </w:t>
      </w:r>
    </w:p>
    <w:p w14:paraId="6F2538F3" w14:textId="77777777" w:rsidR="00906DFA" w:rsidRPr="00022BA4" w:rsidRDefault="00906DFA" w:rsidP="00906DFA">
      <w:pPr>
        <w:autoSpaceDE w:val="0"/>
        <w:autoSpaceDN w:val="0"/>
        <w:adjustRightInd w:val="0"/>
        <w:ind w:firstLine="720"/>
        <w:rPr>
          <w:color w:val="000000" w:themeColor="text1"/>
        </w:rPr>
      </w:pPr>
      <w:r w:rsidRPr="00022BA4">
        <w:rPr>
          <w:i/>
          <w:iCs/>
          <w:color w:val="000000" w:themeColor="text1"/>
        </w:rPr>
        <w:t xml:space="preserve">Family Environment Scale – Family Conflict Subscale. </w:t>
      </w:r>
      <w:r w:rsidRPr="00022BA4">
        <w:rPr>
          <w:color w:val="000000" w:themeColor="text1"/>
        </w:rPr>
        <w:t xml:space="preserve">The Family Conflict Subscale from the Moos Family Environment Scale </w:t>
      </w:r>
      <w:r w:rsidRPr="00022BA4">
        <w:rPr>
          <w:color w:val="000000" w:themeColor="text1"/>
        </w:rPr>
        <w:fldChar w:fldCharType="begin" w:fldLock="1"/>
      </w:r>
      <w:r w:rsidRPr="00022BA4">
        <w:rPr>
          <w:color w:val="000000" w:themeColor="text1"/>
        </w:rPr>
        <w:instrText>ADDIN CSL_CITATION {"citationItems":[{"id":"ITEM-1","itemData":{"author":[{"dropping-particle":"","family":"Moos","given":"Rudolf H","non-dropping-particle":"","parse-names":false,"suffix":""},{"dropping-particle":"","family":"Moos","given":"Bernice S","non-dropping-particle":"","parse-names":false,"suffix":""}],"id":"ITEM-1","issued":{"date-parts":[["1994"]]},"publisher":"Consulting Psychologists Press","publisher-place":"Palo Alto, CA","title":"Family Environment Scale Manual.","type":"book"},"uris":["http://www.mendeley.com/documents/?uuid=42caccd6-dc11-4dfa-91f3-4f9ef2d5a386"]}],"mendeley":{"formattedCitation":"(Moos &amp; Moos, 1994)","plainTextFormattedCitation":"(Moos &amp; Moos, 1994)","previouslyFormattedCitation":"(Moos &amp; Moos, 1994)"},"properties":{"noteIndex":0},"schema":"https://github.com/citation-style-language/schema/raw/master/csl-citation.json"}</w:instrText>
      </w:r>
      <w:r w:rsidRPr="00022BA4">
        <w:rPr>
          <w:color w:val="000000" w:themeColor="text1"/>
        </w:rPr>
        <w:fldChar w:fldCharType="separate"/>
      </w:r>
      <w:r w:rsidRPr="00022BA4">
        <w:rPr>
          <w:noProof/>
          <w:color w:val="000000" w:themeColor="text1"/>
        </w:rPr>
        <w:t>(Moos &amp; Moos, 1994)</w:t>
      </w:r>
      <w:r w:rsidRPr="00022BA4">
        <w:rPr>
          <w:color w:val="000000" w:themeColor="text1"/>
        </w:rPr>
        <w:fldChar w:fldCharType="end"/>
      </w:r>
      <w:r w:rsidRPr="00022BA4">
        <w:rPr>
          <w:color w:val="000000" w:themeColor="text1"/>
        </w:rPr>
        <w:t xml:space="preserve"> was used to assess for family </w:t>
      </w:r>
      <w:r>
        <w:rPr>
          <w:color w:val="000000" w:themeColor="text1"/>
        </w:rPr>
        <w:t>conflict</w:t>
      </w:r>
      <w:r w:rsidRPr="00022BA4">
        <w:rPr>
          <w:color w:val="000000" w:themeColor="text1"/>
        </w:rPr>
        <w:t xml:space="preserve">. This subscale was modified from the PhenX toolkit </w:t>
      </w:r>
      <w:r w:rsidRPr="00022BA4">
        <w:rPr>
          <w:color w:val="000000" w:themeColor="text1"/>
        </w:rPr>
        <w:fldChar w:fldCharType="begin" w:fldLock="1"/>
      </w:r>
      <w:r>
        <w:rPr>
          <w:color w:val="000000" w:themeColor="text1"/>
        </w:rPr>
        <w:instrText>ADDIN CSL_CITATION {"citationItems":[{"id":"ITEM-1","itemData":{"DOI":"10.1016/j.dcn.2018.03.004","ISSN":"18789307","PMID":"29627333","abstract":"Neurodevelopmental maturation takes place in a social environment in addition to a neurobiological one. Characterization of social environmental factors that influence this process is therefore an essential component in developing an accurate model of adolescent brain and neurocognitive development, as well as susceptibility to change with the use of marijuana and other drugs. The creation of the Culture and Environment (CE) measurement component of the ABCD protocol was guided by this understanding. Three areas were identified by the CE Work Group as central to this process: influences relating to CE Group membership, influences created by the proximal social environment, influences stemming from social interactions. Eleven measures assess these influences, and by time of publication, will have been administered to well over 7,000 9–10 year-old children and one of their parents. Our report presents baseline data on psychometric characteristics (mean, standard deviation, range, skewness, coefficient alpha) of all measures within the battery. Effectiveness of the battery in differentiating 9–10 year olds who were classified as at higher and lower risk for marijuana use in adolescence was also evaluated. Psychometric characteristics on all measures were good to excellent; higher vs. lower risk contrasts were significant in areas where risk differentiation would be anticipated.","author":[{"dropping-particle":"","family":"Zucker","given":"Robert A.","non-dropping-particle":"","parse-names":false,"suffix":""},{"dropping-particle":"","family":"Gonzalez","given":"Raul","non-dropping-particle":"","parse-names":false,"suffix":""},{"dropping-particle":"","family":"Feldstein Ewing","given":"Sarah W.","non-dropping-particle":"","parse-names":false,"suffix":""},{"dropping-particle":"","family":"Paulus","given":"Martin P.","non-dropping-particle":"","parse-names":false,"suffix":""},{"dropping-particle":"","family":"Arroyo","given":"Judith","non-dropping-particle":"","parse-names":false,"suffix":""},{"dropping-particle":"","family":"Fuligni","given":"Andrew","non-dropping-particle":"","parse-names":false,"suffix":""},{"dropping-particle":"","family":"Morris","given":"Amanda Sheffield","non-dropping-particle":"","parse-names":false,"suffix":""},{"dropping-particle":"","family":"Sanchez","given":"Mariana","non-dropping-particle":"","parse-names":false,"suffix":""},{"dropping-particle":"","family":"Wills","given":"Thomas","non-dropping-particle":"","parse-names":false,"suffix":""}],"container-title":"Developmental Cognitive Neuroscience","id":"ITEM-1","issue":"May 2017","issued":{"date-parts":[["2018"]]},"page":"107-120","title":"Assessment of culture and environment in the Adolescent Brain and Cognitive Development Study: Rationale, description of measures, and early data","type":"article-journal","volume":"32"},"uris":["http://www.mendeley.com/documents/?uuid=ffb42aec-0389-4103-8261-1d61567376f7"]},{"id":"ITEM-2","itemData":{"DOI":"10.1037/a0019156","ISSN":"19429681","abstract":"Exposure to violence and potentially traumatic events (PTEs) is a common experience among children and youth. The assessment of necessary intervention relies upon parental acknowledgment of exposure and recognition of their child's distress. Early interventions and treatment are most effective when parents are aware of the nature of the traumatic exposure, understand their child's symptomatic response, and are intimately involved in the treatment process. The present study investigated concordance between parents and exposed children on child trauma history, the subjective report of the impact of the traumas experienced, and presence of posttraumatic stress disorder (PTSD) symptoms. Agreement between parent and child report of traumas experienced was nonsignificant for serious accidents, separation from significant others, and physical assaults. Nonsignificant agreement was also found for avoidance and hyperarousal symptoms of PTSD. Correlations were not significant between parent and child report of the impact of traumas both at the time of the incident and at the time of the interview. Recommendations are suggested for helping parents improve their capacity to understand the potential impact of exposure on the child's psychological functioning. © 2010 American Psychological Association.","author":[{"dropping-particle":"","family":"Stover","given":"Carla Smith","non-dropping-particle":"","parse-names":false,"suffix":""},{"dropping-particle":"","family":"Hahn","given":"Hilary","non-dropping-particle":"","parse-names":false,"suffix":""},{"dropping-particle":"","family":"Berkowitz","given":"Steven","non-dropping-particle":"","parse-names":false,"suffix":""},{"dropping-particle":"","family":"Im","given":"Jamie J.Y.","non-dropping-particle":"","parse-names":false,"suffix":""}],"container-title":"Psychological Trauma: Theory, Research, Practice, and Policy","id":"ITEM-2","issue":"3","issued":{"date-parts":[["2010"]]},"page":"159-168","title":"Agreement of parent and child reports of trauma exposure and symptoms in the early aftermath of a traumatic event","type":"article-journal","volume":"2"},"uris":["http://www.mendeley.com/documents/?uuid=1137d58f-3c5e-4aab-9464-0f21ad35d55c"]}],"mendeley":{"formattedCitation":"(C. S. Stover, Hahn, Berkowitz, &amp; Im, 2010; Zucker et al., 2018)","plainTextFormattedCitation":"(C. S. Stover, Hahn, Berkowitz, &amp; Im, 2010; Zucker et al., 2018)","previouslyFormattedCitation":"(C. S. Stover, Hahn, Berkowitz, &amp; Im, 2010; Zucker et al., 2018)"},"properties":{"noteIndex":0},"schema":"https://github.com/citation-style-language/schema/raw/master/csl-citation.json"}</w:instrText>
      </w:r>
      <w:r w:rsidRPr="00022BA4">
        <w:rPr>
          <w:color w:val="000000" w:themeColor="text1"/>
        </w:rPr>
        <w:fldChar w:fldCharType="separate"/>
      </w:r>
      <w:r w:rsidRPr="00B97A22">
        <w:rPr>
          <w:noProof/>
          <w:color w:val="000000" w:themeColor="text1"/>
        </w:rPr>
        <w:t>(C. S. Stover, Hahn, Berkowitz, &amp; Im, 2010; Zucker et al., 2018)</w:t>
      </w:r>
      <w:r w:rsidRPr="00022BA4">
        <w:rPr>
          <w:color w:val="000000" w:themeColor="text1"/>
        </w:rPr>
        <w:fldChar w:fldCharType="end"/>
      </w:r>
      <w:r>
        <w:rPr>
          <w:color w:val="000000" w:themeColor="text1"/>
        </w:rPr>
        <w:t>. It</w:t>
      </w:r>
      <w:r w:rsidRPr="00022BA4">
        <w:rPr>
          <w:color w:val="000000" w:themeColor="text1"/>
        </w:rPr>
        <w:t xml:space="preserve"> is comp</w:t>
      </w:r>
      <w:r>
        <w:rPr>
          <w:color w:val="000000" w:themeColor="text1"/>
        </w:rPr>
        <w:t>o</w:t>
      </w:r>
      <w:r w:rsidRPr="00022BA4">
        <w:rPr>
          <w:color w:val="000000" w:themeColor="text1"/>
        </w:rPr>
        <w:t xml:space="preserve">sed of 9 items rated by primary caregivers </w:t>
      </w:r>
      <w:r>
        <w:rPr>
          <w:color w:val="000000" w:themeColor="text1"/>
        </w:rPr>
        <w:t xml:space="preserve">and is </w:t>
      </w:r>
      <w:r w:rsidRPr="00022BA4">
        <w:rPr>
          <w:color w:val="000000" w:themeColor="text1"/>
        </w:rPr>
        <w:t xml:space="preserve">based on a binary response (1 = </w:t>
      </w:r>
      <w:r w:rsidRPr="000A16E1">
        <w:rPr>
          <w:i/>
          <w:iCs/>
          <w:color w:val="000000" w:themeColor="text1"/>
        </w:rPr>
        <w:t>True</w:t>
      </w:r>
      <w:r w:rsidRPr="00022BA4">
        <w:rPr>
          <w:color w:val="000000" w:themeColor="text1"/>
        </w:rPr>
        <w:t xml:space="preserve">, 0 = </w:t>
      </w:r>
      <w:r w:rsidRPr="000A16E1">
        <w:rPr>
          <w:i/>
          <w:iCs/>
          <w:color w:val="000000" w:themeColor="text1"/>
        </w:rPr>
        <w:t>False</w:t>
      </w:r>
      <w:r w:rsidRPr="00022BA4">
        <w:rPr>
          <w:color w:val="000000" w:themeColor="text1"/>
        </w:rPr>
        <w:t>). Four items were reverse coded, so that higher scores reflect greater conflict.</w:t>
      </w:r>
    </w:p>
    <w:p w14:paraId="0206B3A6" w14:textId="77777777" w:rsidR="00906DFA" w:rsidRPr="00022BA4" w:rsidRDefault="00906DFA" w:rsidP="00906DFA">
      <w:pPr>
        <w:autoSpaceDE w:val="0"/>
        <w:autoSpaceDN w:val="0"/>
        <w:adjustRightInd w:val="0"/>
        <w:ind w:firstLine="720"/>
        <w:rPr>
          <w:color w:val="000000" w:themeColor="text1"/>
        </w:rPr>
      </w:pPr>
      <w:r w:rsidRPr="00022BA4">
        <w:rPr>
          <w:i/>
          <w:iCs/>
          <w:color w:val="000000" w:themeColor="text1"/>
        </w:rPr>
        <w:t xml:space="preserve">Demographics Survey – Family Experience. </w:t>
      </w:r>
      <w:r w:rsidRPr="00022BA4">
        <w:rPr>
          <w:color w:val="000000" w:themeColor="text1"/>
        </w:rPr>
        <w:t xml:space="preserve">Stress related to financial problems was assessed </w:t>
      </w:r>
      <w:r>
        <w:rPr>
          <w:color w:val="000000" w:themeColor="text1"/>
        </w:rPr>
        <w:t xml:space="preserve">through a demographics survey modified from the PhenX toolkit </w:t>
      </w:r>
      <w:r>
        <w:rPr>
          <w:color w:val="000000" w:themeColor="text1"/>
        </w:rPr>
        <w:fldChar w:fldCharType="begin" w:fldLock="1"/>
      </w:r>
      <w:r>
        <w:rPr>
          <w:color w:val="000000" w:themeColor="text1"/>
        </w:rPr>
        <w:instrText>ADDIN CSL_CITATION {"citationItems":[{"id":"ITEM-1","itemData":{"DOI":"10.1016/j.dcn.2017.10.010","ISSN":"18789307","PMID":"29113758","abstract":"The Adolescent Brain and Cognitive Development (ABCD) Study incorporates a comprehensive range of measures assessing predictors and outcomes related to both mental and physical health across childhood and adolescence. The workgroup developed a battery that would assess a comprehensive range of domains that address study aims while minimizing participant and family burden. We review the major considerations that went into deciding what constructs to cover in the demographics, physical health and mental health domains, as well as the process of selecting measures, piloting and refining the originally proposed battery. We present a description of the baseline battery, as well as the six-month interim assessments and the one-year follow-up assessments. This battery includes assessments from the perspectives of both the parent and the target youth, as well as teacher reports. This battery will provide a foundational baseline assessment of the youth's current function so as to permit characterization of stability and change in key domains over time. The findings from this battery will also be utilized to identify both resilience markers that predict healthy development and risk factors for later adverse outcomes in physical health, mental health, and substance use and abuse.","author":[{"dropping-particle":"","family":"Barch","given":"Deanna M.","non-dropping-particle":"","parse-names":false,"suffix":""},{"dropping-particle":"","family":"Albaugh","given":"Matthew D.","non-dropping-particle":"","parse-names":false,"suffix":""},{"dropping-particle":"","family":"Avenevoli","given":"Shelli","non-dropping-particle":"","parse-names":false,"suffix":""},{"dropping-particle":"","family":"Chang","given":"Linda","non-dropping-particle":"","parse-names":false,"suffix":""},{"dropping-particle":"","family":"Clark","given":"Duncan B.","non-dropping-particle":"","parse-names":false,"suffix":""},{"dropping-particle":"","family":"Glantz","given":"Meyer D.","non-dropping-particle":"","parse-names":false,"suffix":""},{"dropping-particle":"","family":"Hudziak","given":"James J.","non-dropping-particle":"","parse-names":false,"suffix":""},{"dropping-particle":"","family":"Jernigan","given":"Terry L.","non-dropping-particle":"","parse-names":false,"suffix":""},{"dropping-particle":"","family":"Tapert","given":"Susan F.","non-dropping-particle":"","parse-names":false,"suffix":""},{"dropping-particle":"","family":"Yurgelun-Todd","given":"Debbie","non-dropping-particle":"","parse-names":false,"suffix":""},{"dropping-particle":"","family":"Alia-Klein","given":"Nelly","non-dropping-particle":"","parse-names":false,"suffix":""},{"dropping-particle":"","family":"Potter","given":"Alexandra S.","non-dropping-particle":"","parse-names":false,"suffix":""},{"dropping-particle":"","family":"Paulus","given":"Martin P.","non-dropping-particle":"","parse-names":false,"suffix":""},{"dropping-particle":"","family":"Prouty","given":"Devin","non-dropping-particle":"","parse-names":false,"suffix":""},{"dropping-particle":"","family":"Zucker","given":"Robert A.","non-dropping-particle":"","parse-names":false,"suffix":""},{"dropping-particle":"","family":"Sher","given":"Kenneth J.","non-dropping-particle":"","parse-names":false,"suffix":""}],"container-title":"Developmental Cognitive Neuroscience","id":"ITEM-1","issue":"October 2017","issued":{"date-parts":[["2018"]]},"page":"55-66","publisher":"Elsevier","title":"Demographic, physical and mental health assessments in the adolescent brain and cognitive development study: Rationale and description","type":"article-journal","volume":"32"},"uris":["http://www.mendeley.com/documents/?uuid=82330a25-76fa-409c-9294-ea35051db321"]},{"id":"ITEM-2","itemData":{"DOI":"10.1053/j.gastro.2016.08.014.CagY","ISBN":"8586542555","abstract":"Physiotherapy practice aims to optimize movement in order to improve functional abilities within peoples' lives. Effective com-munication between patient and therapist is central to achieving these aims. The biopsychosocial model and patient-centred care are two established approaches to health communication and are promoted as frameworks to inform physiotherapy practice. In this chapter, we use empirically derived examples of communication in practice to explore whether and how these approaches are related to communication in physiotherapy. We draw data from two sepa-rate qualitative studies of communicative interactions in primary practice physiotherapy settings. Findings from these two studies demonstrated that physiotherapy clinical communication is struc-tured and physiotherapist-directed, and is adaptive and responsive","author":[{"dropping-particle":"","family":"Stover","given":"P. J.","non-dropping-particle":"","parse-names":false,"suffix":""},{"dropping-particle":"","family":"Harlan","given":"W. R.","non-dropping-particle":"","parse-names":false,"suffix":""},{"dropping-particle":"","family":"Hammond","given":"J. A.","non-dropping-particle":"","parse-names":false,"suffix":""},{"dropping-particle":"","family":"Hendershot","given":"T.","non-dropping-particle":"","parse-names":false,"suffix":""},{"dropping-particle":"","family":"Hamilton","given":"C. M.","non-dropping-particle":"","parse-names":false,"suffix":""}],"container-title":"Current opinion in lipidology","id":"ITEM-2","issue":"2","issued":{"date-parts":[["2010"]]},"page":"136-140","title":"PhenX: a toolkit for interdisciplinary genetics research","type":"article-journal","volume":"21"},"uris":["http://www.mendeley.com/documents/?uuid=3a86418e-4fa5-4a3b-8a04-9e18f6b46a28"]}],"mendeley":{"formattedCitation":"(Barch et al., 2018; P. J. Stover, Harlan, Hammond, Hendershot, &amp; Hamilton, 2010)","plainTextFormattedCitation":"(Barch et al., 2018; P. J. Stover, Harlan, Hammond, Hendershot, &amp; Hamilton, 2010)","previouslyFormattedCitation":"(Barch et al., 2018; P. J. Stover, Harlan, Hammond, Hendershot, &amp; Hamilton, 2010)"},"properties":{"noteIndex":0},"schema":"https://github.com/citation-style-language/schema/raw/master/csl-citation.json"}</w:instrText>
      </w:r>
      <w:r>
        <w:rPr>
          <w:color w:val="000000" w:themeColor="text1"/>
        </w:rPr>
        <w:fldChar w:fldCharType="separate"/>
      </w:r>
      <w:r w:rsidRPr="00B97A22">
        <w:rPr>
          <w:noProof/>
          <w:color w:val="000000" w:themeColor="text1"/>
        </w:rPr>
        <w:t>(Barch et al., 2018; P. J. Stover, Harlan, Hammond, Hendershot, &amp; Hamilton, 2010)</w:t>
      </w:r>
      <w:r>
        <w:rPr>
          <w:color w:val="000000" w:themeColor="text1"/>
        </w:rPr>
        <w:fldChar w:fldCharType="end"/>
      </w:r>
      <w:r>
        <w:rPr>
          <w:color w:val="000000" w:themeColor="text1"/>
        </w:rPr>
        <w:t>. The items measure</w:t>
      </w:r>
      <w:r w:rsidRPr="00022BA4">
        <w:rPr>
          <w:color w:val="000000" w:themeColor="text1"/>
        </w:rPr>
        <w:t xml:space="preserve"> primary caregivers’ responses to 7 items about financial difficulty in the past 12 months based on a binary response (1 = </w:t>
      </w:r>
      <w:r w:rsidRPr="000A16E1">
        <w:rPr>
          <w:i/>
          <w:iCs/>
          <w:color w:val="000000" w:themeColor="text1"/>
        </w:rPr>
        <w:t>Yes</w:t>
      </w:r>
      <w:r w:rsidRPr="00022BA4">
        <w:rPr>
          <w:color w:val="000000" w:themeColor="text1"/>
        </w:rPr>
        <w:t xml:space="preserve">, 0 = </w:t>
      </w:r>
      <w:r w:rsidRPr="000A16E1">
        <w:rPr>
          <w:i/>
          <w:iCs/>
          <w:color w:val="000000" w:themeColor="text1"/>
        </w:rPr>
        <w:t>No</w:t>
      </w:r>
      <w:r w:rsidRPr="00022BA4">
        <w:rPr>
          <w:color w:val="000000" w:themeColor="text1"/>
        </w:rPr>
        <w:t>). This survey also collects data on the number of people living in the child’s home.</w:t>
      </w:r>
      <w:r>
        <w:rPr>
          <w:color w:val="000000" w:themeColor="text1"/>
        </w:rPr>
        <w:t xml:space="preserve"> </w:t>
      </w:r>
    </w:p>
    <w:p w14:paraId="56269409" w14:textId="77777777" w:rsidR="00906DFA" w:rsidRPr="00022BA4" w:rsidRDefault="00906DFA" w:rsidP="00906DFA">
      <w:pPr>
        <w:autoSpaceDE w:val="0"/>
        <w:autoSpaceDN w:val="0"/>
        <w:adjustRightInd w:val="0"/>
        <w:ind w:firstLine="720"/>
        <w:rPr>
          <w:color w:val="000000" w:themeColor="text1"/>
        </w:rPr>
      </w:pPr>
      <w:r w:rsidRPr="00022BA4">
        <w:rPr>
          <w:i/>
          <w:iCs/>
          <w:color w:val="000000" w:themeColor="text1"/>
        </w:rPr>
        <w:t xml:space="preserve">Family History Assessment. </w:t>
      </w:r>
      <w:r w:rsidRPr="00022BA4">
        <w:rPr>
          <w:color w:val="000000" w:themeColor="text1"/>
        </w:rPr>
        <w:t xml:space="preserve">Family history of mental health issues was assessed using questions </w:t>
      </w:r>
      <w:r>
        <w:rPr>
          <w:color w:val="000000" w:themeColor="text1"/>
        </w:rPr>
        <w:t xml:space="preserve">modified from the Family History Assessment Module Screener (FHAM-S) </w:t>
      </w:r>
      <w:r>
        <w:rPr>
          <w:color w:val="000000" w:themeColor="text1"/>
        </w:rPr>
        <w:fldChar w:fldCharType="begin" w:fldLock="1"/>
      </w:r>
      <w:r>
        <w:rPr>
          <w:color w:val="000000" w:themeColor="text1"/>
        </w:rPr>
        <w:instrText>ADDIN CSL_CITATION {"citationItems":[{"id":"ITEM-1","itemData":{"author":[{"dropping-particle":"","family":"Rice","given":"John P","non-dropping-particle":"","parse-names":false,"suffix":""},{"dropping-particle":"","family":"Reich","given":"Theodore","non-dropping-particle":"","parse-names":false,"suffix":""},{"dropping-particle":"","family":"Bucholz","given":"Kathleen K","non-dropping-particle":"","parse-names":false,"suffix":""},{"dropping-particle":"","family":"Neurnan","given":"Rosalind J","non-dropping-particle":"","parse-names":false,"suffix":""},{"dropping-particle":"","family":"Fishman","given":"Roberta","non-dropping-particle":"","parse-names":false,"suffix":""},{"dropping-particle":"","family":"Rochberg","given":"Nanette","non-dropping-particle":"","parse-names":false,"suffix":""},{"dropping-particle":"","family":"Hesselbrock","given":"Victor M","non-dropping-particle":"","parse-names":false,"suffix":""},{"dropping-particle":"","family":"Nurnberger","given":"John I","non-dropping-particle":"","parse-names":false,"suffix":""},{"dropping-particle":"","family":"Schuckit","given":"Marc a","non-dropping-particle":"","parse-names":false,"suffix":""},{"dropping-particle":"","family":"Begleiter","given":"Henri","non-dropping-particle":"","parse-names":false,"suffix":""}],"container-title":"Direct","id":"ITEM-1","issue":"4","issued":{"date-parts":[["1995"]]},"page":"1018-1023","title":"Diagnoses of Alcohol Dependence","type":"article-journal","volume":"19"},"uris":["http://www.mendeley.com/documents/?uuid=3e728ba1-8253-4b44-aab6-f47457c17b00"]}],"mendeley":{"formattedCitation":"(Rice et al., 1995)","plainTextFormattedCitation":"(Rice et al., 1995)","previouslyFormattedCitation":"(Rice et al., 1995)"},"properties":{"noteIndex":0},"schema":"https://github.com/citation-style-language/schema/raw/master/csl-citation.json"}</w:instrText>
      </w:r>
      <w:r>
        <w:rPr>
          <w:color w:val="000000" w:themeColor="text1"/>
        </w:rPr>
        <w:fldChar w:fldCharType="separate"/>
      </w:r>
      <w:r w:rsidRPr="00BB7B51">
        <w:rPr>
          <w:noProof/>
          <w:color w:val="000000" w:themeColor="text1"/>
        </w:rPr>
        <w:t>(Rice et al., 1995)</w:t>
      </w:r>
      <w:r>
        <w:rPr>
          <w:color w:val="000000" w:themeColor="text1"/>
        </w:rPr>
        <w:fldChar w:fldCharType="end"/>
      </w:r>
      <w:r w:rsidRPr="00022BA4">
        <w:rPr>
          <w:color w:val="000000" w:themeColor="text1"/>
        </w:rPr>
        <w:t xml:space="preserve">. Primary caregivers were asked to report </w:t>
      </w:r>
      <w:r>
        <w:rPr>
          <w:color w:val="000000" w:themeColor="text1"/>
        </w:rPr>
        <w:t>on any</w:t>
      </w:r>
      <w:r w:rsidRPr="00022BA4">
        <w:rPr>
          <w:color w:val="000000" w:themeColor="text1"/>
        </w:rPr>
        <w:t xml:space="preserve"> history of mental health problems in blood relative</w:t>
      </w:r>
      <w:r>
        <w:rPr>
          <w:color w:val="000000" w:themeColor="text1"/>
        </w:rPr>
        <w:t>s</w:t>
      </w:r>
      <w:r w:rsidRPr="00022BA4">
        <w:rPr>
          <w:color w:val="000000" w:themeColor="text1"/>
        </w:rPr>
        <w:t xml:space="preserve"> of their child (biological father, biological mother, paternal/maternal grandfather, paternal/maternal grandmother, paternal/maternal uncle, paternal/maternal aunt, younger/older full sibling, younger/older half sibling, or same age full sibling) based on a binary response (1 = </w:t>
      </w:r>
      <w:r w:rsidRPr="000A16E1">
        <w:rPr>
          <w:i/>
          <w:iCs/>
          <w:color w:val="000000" w:themeColor="text1"/>
        </w:rPr>
        <w:t>Yes</w:t>
      </w:r>
      <w:r w:rsidRPr="00022BA4">
        <w:rPr>
          <w:color w:val="000000" w:themeColor="text1"/>
        </w:rPr>
        <w:t xml:space="preserve">, 0 = </w:t>
      </w:r>
      <w:r w:rsidRPr="000A16E1">
        <w:rPr>
          <w:i/>
          <w:iCs/>
          <w:color w:val="000000" w:themeColor="text1"/>
        </w:rPr>
        <w:t>No</w:t>
      </w:r>
      <w:r w:rsidRPr="00022BA4">
        <w:rPr>
          <w:color w:val="000000" w:themeColor="text1"/>
        </w:rPr>
        <w:t>). Items ask whether relatives have experienced the following: a history of receiving psychiatric services or hospitalization, attempted or com</w:t>
      </w:r>
      <w:r>
        <w:rPr>
          <w:color w:val="000000" w:themeColor="text1"/>
        </w:rPr>
        <w:t>pleted</w:t>
      </w:r>
      <w:r w:rsidRPr="00022BA4">
        <w:rPr>
          <w:color w:val="000000" w:themeColor="text1"/>
        </w:rPr>
        <w:t xml:space="preserve"> suicide, depression, mania, psychosis, nervous breakdowns, antisocial behaviors, and/or problems related to alcohol or drug use.</w:t>
      </w:r>
    </w:p>
    <w:p w14:paraId="210A07F9" w14:textId="77777777" w:rsidR="00906DFA" w:rsidRPr="00022BA4" w:rsidRDefault="00906DFA" w:rsidP="00906DFA">
      <w:pPr>
        <w:autoSpaceDE w:val="0"/>
        <w:autoSpaceDN w:val="0"/>
        <w:adjustRightInd w:val="0"/>
        <w:ind w:firstLine="720"/>
        <w:rPr>
          <w:iCs/>
          <w:color w:val="000000" w:themeColor="text1"/>
        </w:rPr>
      </w:pPr>
      <w:r w:rsidRPr="00022BA4">
        <w:rPr>
          <w:i/>
          <w:color w:val="000000" w:themeColor="text1"/>
        </w:rPr>
        <w:t xml:space="preserve">Child Report of Parental Behavioral Inventory (CRPBI), short form. </w:t>
      </w:r>
      <w:r w:rsidRPr="00022BA4">
        <w:rPr>
          <w:iCs/>
          <w:color w:val="000000" w:themeColor="text1"/>
        </w:rPr>
        <w:t xml:space="preserve">Youths reported perceptions of their caregiver’s warmth, acceptance, and responsiveness based on five of the original 10 items from the CRPBI </w:t>
      </w:r>
      <w:r w:rsidRPr="00022BA4">
        <w:rPr>
          <w:iCs/>
          <w:color w:val="000000" w:themeColor="text1"/>
        </w:rPr>
        <w:fldChar w:fldCharType="begin" w:fldLock="1"/>
      </w:r>
      <w:r w:rsidRPr="00022BA4">
        <w:rPr>
          <w:iCs/>
          <w:color w:val="000000" w:themeColor="text1"/>
        </w:rPr>
        <w:instrText>ADDIN CSL_CITATION {"citationItems":[{"id":"ITEM-1","itemData":{"DOI":"ttps://doi.org/10.2307/1126465","abstract":"The development of a set of scales designed to collect children's reports of parental behavior is reported. Previous researches on inventory measures of children's perceptions of parental behavior and on their validity are noted. 26 concepts such as ignoring, possessiveness, and lax discipline were selected that were hypothesized to sample all sectors of a conceptual model for parental behavior. A 10-item scale was developed for each concept from items that describe specific, observable behaviors. Internal-consistency reliabilities of the scales are reported for normal boys, normal girls, and delinquent boys. The discriminative power of the scales is demonstrated by an analysis of differences between normal and delinquent boys. (37 ref.) (PsycINFO Database Record (c) 2016 APA, all rights reserved)","author":[{"dropping-particle":"","family":"Schaefer","given":"Earl S.","non-dropping-particle":"","parse-names":false,"suffix":""}],"container-title":"Child Development","id":"ITEM-1","issue":"2","issued":{"date-parts":[["1965"]]},"page":"413-424","title":"Children's reports of parental behavior: An inventory.","type":"article-journal","volume":"36"},"uris":["http://www.mendeley.com/documents/?uuid=bbdd0379-50a6-4a46-baba-7f879679e843"]},{"id":"ITEM-2","itemData":{"DOI":"10.1016/j.dcn.2018.03.004","ISSN":"18789307","PMID":"29627333","abstract":"Neurodevelopmental maturation takes place in a social environment in addition to a neurobiological one. Characterization of social environmental factors that influence this process is therefore an essential component in developing an accurate model of adolescent brain and neurocognitive development, as well as susceptibility to change with the use of marijuana and other drugs. The creation of the Culture and Environment (CE) measurement component of the ABCD protocol was guided by this understanding. Three areas were identified by the CE Work Group as central to this process: influences relating to CE Group membership, influences created by the proximal social environment, influences stemming from social interactions. Eleven measures assess these influences, and by time of publication, will have been administered to well over 7,000 9–10 year-old children and one of their parents. Our report presents baseline data on psychometric characteristics (mean, standard deviation, range, skewness, coefficient alpha) of all measures within the battery. Effectiveness of the battery in differentiating 9–10 year olds who were classified as at higher and lower risk for marijuana use in adolescence was also evaluated. Psychometric characteristics on all measures were good to excellent; higher vs. lower risk contrasts were significant in areas where risk differentiation would be anticipated.","author":[{"dropping-particle":"","family":"Zucker","given":"Robert A.","non-dropping-particle":"","parse-names":false,"suffix":""},{"dropping-particle":"","family":"Gonzalez","given":"Raul","non-dropping-particle":"","parse-names":false,"suffix":""},{"dropping-particle":"","family":"Feldstein Ewing","given":"Sarah W.","non-dropping-particle":"","parse-names":false,"suffix":""},{"dropping-particle":"","family":"Paulus","given":"Martin P.","non-dropping-particle":"","parse-names":false,"suffix":""},{"dropping-particle":"","family":"Arroyo","given":"Judith","non-dropping-particle":"","parse-names":false,"suffix":""},{"dropping-particle":"","family":"Fuligni","given":"Andrew","non-dropping-particle":"","parse-names":false,"suffix":""},{"dropping-particle":"","family":"Morris","given":"Amanda Sheffield","non-dropping-particle":"","parse-names":false,"suffix":""},{"dropping-particle":"","family":"Sanchez","given":"Mariana","non-dropping-particle":"","parse-names":false,"suffix":""},{"dropping-particle":"","family":"Wills","given":"Thomas","non-dropping-particle":"","parse-names":false,"suffix":""}],"container-title":"Developmental Cognitive Neuroscience","id":"ITEM-2","issue":"May 2017","issued":{"date-parts":[["2018"]]},"page":"107-120","title":"Assessment of culture and environment in the Adolescent Brain and Cognitive Development Study: Rationale, description of measures, and early data","type":"article-journal","volume":"32"},"uris":["http://www.mendeley.com/documents/?uuid=ffb42aec-0389-4103-8261-1d61567376f7"]}],"mendeley":{"formattedCitation":"(Schaefer, 1965; Zucker et al., 2018)","plainTextFormattedCitation":"(Schaefer, 1965; Zucker et al., 2018)","previouslyFormattedCitation":"(Schaefer, 1965; Zucker et al., 2018)"},"properties":{"noteIndex":0},"schema":"https://github.com/citation-style-language/schema/raw/master/csl-citation.json"}</w:instrText>
      </w:r>
      <w:r w:rsidRPr="00022BA4">
        <w:rPr>
          <w:iCs/>
          <w:color w:val="000000" w:themeColor="text1"/>
        </w:rPr>
        <w:fldChar w:fldCharType="separate"/>
      </w:r>
      <w:r w:rsidRPr="00022BA4">
        <w:rPr>
          <w:iCs/>
          <w:noProof/>
          <w:color w:val="000000" w:themeColor="text1"/>
        </w:rPr>
        <w:t>(Schaefer, 1965; Zucker et al., 2018)</w:t>
      </w:r>
      <w:r w:rsidRPr="00022BA4">
        <w:rPr>
          <w:iCs/>
          <w:color w:val="000000" w:themeColor="text1"/>
        </w:rPr>
        <w:fldChar w:fldCharType="end"/>
      </w:r>
      <w:r w:rsidRPr="00022BA4">
        <w:rPr>
          <w:iCs/>
          <w:color w:val="000000" w:themeColor="text1"/>
        </w:rPr>
        <w:t xml:space="preserve">. Items describing the primary caregiver’s behavior were assessed using a three-point Likert scale (1 = </w:t>
      </w:r>
      <w:r w:rsidRPr="000A16E1">
        <w:rPr>
          <w:i/>
          <w:color w:val="000000" w:themeColor="text1"/>
        </w:rPr>
        <w:t>Not like him/her</w:t>
      </w:r>
      <w:r w:rsidRPr="00022BA4">
        <w:rPr>
          <w:iCs/>
          <w:color w:val="000000" w:themeColor="text1"/>
        </w:rPr>
        <w:t xml:space="preserve">, 2 = </w:t>
      </w:r>
      <w:r w:rsidRPr="000A16E1">
        <w:rPr>
          <w:i/>
          <w:color w:val="000000" w:themeColor="text1"/>
        </w:rPr>
        <w:t>Somewhat like him/her</w:t>
      </w:r>
      <w:r w:rsidRPr="00022BA4">
        <w:rPr>
          <w:iCs/>
          <w:color w:val="000000" w:themeColor="text1"/>
        </w:rPr>
        <w:t xml:space="preserve">, 3 = </w:t>
      </w:r>
      <w:r w:rsidRPr="000A16E1">
        <w:rPr>
          <w:i/>
          <w:color w:val="000000" w:themeColor="text1"/>
        </w:rPr>
        <w:t>A lot like him/her</w:t>
      </w:r>
      <w:r w:rsidRPr="00022BA4">
        <w:rPr>
          <w:iCs/>
          <w:color w:val="000000" w:themeColor="text1"/>
        </w:rPr>
        <w:t>).</w:t>
      </w:r>
    </w:p>
    <w:p w14:paraId="18E098C0" w14:textId="77777777" w:rsidR="00906DFA" w:rsidRPr="00022BA4" w:rsidRDefault="00906DFA" w:rsidP="00906DFA">
      <w:pPr>
        <w:autoSpaceDE w:val="0"/>
        <w:autoSpaceDN w:val="0"/>
        <w:adjustRightInd w:val="0"/>
        <w:ind w:firstLine="720"/>
        <w:rPr>
          <w:color w:val="000000" w:themeColor="text1"/>
        </w:rPr>
      </w:pPr>
      <w:r w:rsidRPr="00022BA4">
        <w:rPr>
          <w:i/>
          <w:iCs/>
          <w:color w:val="000000" w:themeColor="text1"/>
        </w:rPr>
        <w:t>School Risk and Protective Factors Survey.</w:t>
      </w:r>
      <w:r w:rsidRPr="00022BA4">
        <w:rPr>
          <w:color w:val="000000" w:themeColor="text1"/>
        </w:rPr>
        <w:t xml:space="preserve"> The school social environment section from the PhenX Toolkit was used to assess for the child’s perceived connectedness to his or her school and teachers </w:t>
      </w:r>
      <w:r w:rsidRPr="00022BA4">
        <w:rPr>
          <w:color w:val="000000" w:themeColor="text1"/>
        </w:rPr>
        <w:fldChar w:fldCharType="begin" w:fldLock="1"/>
      </w:r>
      <w:r w:rsidRPr="00022BA4">
        <w:rPr>
          <w:color w:val="000000" w:themeColor="text1"/>
        </w:rPr>
        <w:instrText>ADDIN CSL_CITATION {"citationItems":[{"id":"ITEM-1","itemData":{"DOI":"10.1016/j.dcn.2018.03.004","ISSN":"18789307","PMID":"29627333","abstract":"Neurodevelopmental maturation takes place in a social environment in addition to a neurobiological one. Characterization of social environmental factors that influence this process is therefore an essential component in developing an accurate model of adolescent brain and neurocognitive development, as well as susceptibility to change with the use of marijuana and other drugs. The creation of the Culture and Environment (CE) measurement component of the ABCD protocol was guided by this understanding. Three areas were identified by the CE Work Group as central to this process: influences relating to CE Group membership, influences created by the proximal social environment, influences stemming from social interactions. Eleven measures assess these influences, and by time of publication, will have been administered to well over 7,000 9–10 year-old children and one of their parents. Our report presents baseline data on psychometric characteristics (mean, standard deviation, range, skewness, coefficient alpha) of all measures within the battery. Effectiveness of the battery in differentiating 9–10 year olds who were classified as at higher and lower risk for marijuana use in adolescence was also evaluated. Psychometric characteristics on all measures were good to excellent; higher vs. lower risk contrasts were significant in areas where risk differentiation would be anticipated.","author":[{"dropping-particle":"","family":"Zucker","given":"Robert A.","non-dropping-particle":"","parse-names":false,"suffix":""},{"dropping-particle":"","family":"Gonzalez","given":"Raul","non-dropping-particle":"","parse-names":false,"suffix":""},{"dropping-particle":"","family":"Feldstein Ewing","given":"Sarah W.","non-dropping-particle":"","parse-names":false,"suffix":""},{"dropping-particle":"","family":"Paulus","given":"Martin P.","non-dropping-particle":"","parse-names":false,"suffix":""},{"dropping-particle":"","family":"Arroyo","given":"Judith","non-dropping-particle":"","parse-names":false,"suffix":""},{"dropping-particle":"","family":"Fuligni","given":"Andrew","non-dropping-particle":"","parse-names":false,"suffix":""},{"dropping-particle":"","family":"Morris","given":"Amanda Sheffield","non-dropping-particle":"","parse-names":false,"suffix":""},{"dropping-particle":"","family":"Sanchez","given":"Mariana","non-dropping-particle":"","parse-names":false,"suffix":""},{"dropping-particle":"","family":"Wills","given":"Thomas","non-dropping-particle":"","parse-names":false,"suffix":""}],"container-title":"Developmental Cognitive Neuroscience","id":"ITEM-1","issue":"May 2017","issued":{"date-parts":[["2018"]]},"page":"107-120","title":"Assessment of culture and environment in the Adolescent Brain and Cognitive Development Study: Rationale, description of measures, and early data","type":"article-journal","volume":"32"},"uris":["http://www.mendeley.com/documents/?uuid=ffb42aec-0389-4103-8261-1d61567376f7"]}],"mendeley":{"formattedCitation":"(Zucker et al., 2018)","plainTextFormattedCitation":"(Zucker et al., 2018)","previouslyFormattedCitation":"(Zucker et al., 2018)"},"properties":{"noteIndex":0},"schema":"https://github.com/citation-style-language/schema/raw/master/csl-citation.json"}</w:instrText>
      </w:r>
      <w:r w:rsidRPr="00022BA4">
        <w:rPr>
          <w:color w:val="000000" w:themeColor="text1"/>
        </w:rPr>
        <w:fldChar w:fldCharType="separate"/>
      </w:r>
      <w:r w:rsidRPr="00022BA4">
        <w:rPr>
          <w:noProof/>
          <w:color w:val="000000" w:themeColor="text1"/>
        </w:rPr>
        <w:t>(Zucker et al., 2018)</w:t>
      </w:r>
      <w:r w:rsidRPr="00022BA4">
        <w:rPr>
          <w:color w:val="000000" w:themeColor="text1"/>
        </w:rPr>
        <w:fldChar w:fldCharType="end"/>
      </w:r>
      <w:r w:rsidRPr="00022BA4">
        <w:rPr>
          <w:color w:val="000000" w:themeColor="text1"/>
        </w:rPr>
        <w:t xml:space="preserve">. Items assessed interactions with teachers, perceptions of the classroom environment, involvement in school, and feelings of alienation from academic goals. </w:t>
      </w:r>
      <w:r w:rsidRPr="00022BA4">
        <w:rPr>
          <w:color w:val="000000" w:themeColor="text1"/>
        </w:rPr>
        <w:lastRenderedPageBreak/>
        <w:t xml:space="preserve">Items were assessed based on </w:t>
      </w:r>
      <w:r>
        <w:rPr>
          <w:color w:val="000000" w:themeColor="text1"/>
        </w:rPr>
        <w:t xml:space="preserve">a </w:t>
      </w:r>
      <w:r w:rsidRPr="00022BA4">
        <w:rPr>
          <w:color w:val="000000" w:themeColor="text1"/>
        </w:rPr>
        <w:t xml:space="preserve">four-point Likert scale (1 = </w:t>
      </w:r>
      <w:r w:rsidRPr="000A16E1">
        <w:rPr>
          <w:i/>
          <w:iCs/>
          <w:color w:val="000000" w:themeColor="text1"/>
        </w:rPr>
        <w:t>NO!</w:t>
      </w:r>
      <w:r w:rsidRPr="00022BA4">
        <w:rPr>
          <w:color w:val="000000" w:themeColor="text1"/>
        </w:rPr>
        <w:t xml:space="preserve"> (it is definitely not true), 2 = </w:t>
      </w:r>
      <w:r w:rsidRPr="000A16E1">
        <w:rPr>
          <w:i/>
          <w:iCs/>
          <w:color w:val="000000" w:themeColor="text1"/>
        </w:rPr>
        <w:t>no</w:t>
      </w:r>
      <w:r w:rsidRPr="00022BA4">
        <w:rPr>
          <w:color w:val="000000" w:themeColor="text1"/>
        </w:rPr>
        <w:t xml:space="preserve"> (it is mostly not true), 3 = </w:t>
      </w:r>
      <w:r w:rsidRPr="000A16E1">
        <w:rPr>
          <w:i/>
          <w:iCs/>
          <w:color w:val="000000" w:themeColor="text1"/>
        </w:rPr>
        <w:t>yes</w:t>
      </w:r>
      <w:r w:rsidRPr="00022BA4">
        <w:rPr>
          <w:color w:val="000000" w:themeColor="text1"/>
        </w:rPr>
        <w:t xml:space="preserve"> (it is mostly true), 4 = </w:t>
      </w:r>
      <w:r w:rsidRPr="000A16E1">
        <w:rPr>
          <w:i/>
          <w:iCs/>
          <w:color w:val="000000" w:themeColor="text1"/>
        </w:rPr>
        <w:t>YES!</w:t>
      </w:r>
      <w:r w:rsidRPr="00022BA4">
        <w:rPr>
          <w:color w:val="000000" w:themeColor="text1"/>
        </w:rPr>
        <w:t xml:space="preserve"> (it is definitely true)).</w:t>
      </w:r>
    </w:p>
    <w:p w14:paraId="7B50C78D" w14:textId="77777777" w:rsidR="00906DFA" w:rsidRPr="00022BA4" w:rsidRDefault="00906DFA" w:rsidP="00906DFA">
      <w:pPr>
        <w:autoSpaceDE w:val="0"/>
        <w:autoSpaceDN w:val="0"/>
        <w:adjustRightInd w:val="0"/>
        <w:ind w:firstLine="720"/>
        <w:rPr>
          <w:color w:val="000000" w:themeColor="text1"/>
        </w:rPr>
      </w:pPr>
      <w:r w:rsidRPr="00022BA4">
        <w:rPr>
          <w:i/>
          <w:iCs/>
          <w:color w:val="000000" w:themeColor="text1"/>
        </w:rPr>
        <w:t>Peer Relationships.</w:t>
      </w:r>
      <w:r w:rsidRPr="00022BA4">
        <w:rPr>
          <w:color w:val="000000" w:themeColor="text1"/>
        </w:rPr>
        <w:t xml:space="preserve"> Peer relationships were measured using questions that assess the </w:t>
      </w:r>
      <w:r>
        <w:rPr>
          <w:color w:val="000000" w:themeColor="text1"/>
        </w:rPr>
        <w:t xml:space="preserve">child’s </w:t>
      </w:r>
      <w:r w:rsidRPr="00022BA4">
        <w:rPr>
          <w:color w:val="000000" w:themeColor="text1"/>
        </w:rPr>
        <w:t xml:space="preserve">number of friends. </w:t>
      </w:r>
      <w:r>
        <w:rPr>
          <w:color w:val="000000" w:themeColor="text1"/>
        </w:rPr>
        <w:t>Friends</w:t>
      </w:r>
      <w:r w:rsidRPr="00022BA4">
        <w:rPr>
          <w:color w:val="000000" w:themeColor="text1"/>
        </w:rPr>
        <w:t xml:space="preserve"> were assessed separately</w:t>
      </w:r>
      <w:r>
        <w:rPr>
          <w:color w:val="000000" w:themeColor="text1"/>
        </w:rPr>
        <w:t xml:space="preserve"> by gender</w:t>
      </w:r>
      <w:r w:rsidRPr="00022BA4">
        <w:rPr>
          <w:color w:val="000000" w:themeColor="text1"/>
        </w:rPr>
        <w:t xml:space="preserve">. </w:t>
      </w:r>
      <w:r>
        <w:rPr>
          <w:color w:val="000000" w:themeColor="text1"/>
        </w:rPr>
        <w:t>In addition, the child is asked how many close friends they have that are boys or girls.</w:t>
      </w:r>
    </w:p>
    <w:p w14:paraId="65046933" w14:textId="77777777" w:rsidR="00906DFA" w:rsidRPr="00022BA4" w:rsidRDefault="00906DFA" w:rsidP="00906DFA">
      <w:pPr>
        <w:autoSpaceDE w:val="0"/>
        <w:autoSpaceDN w:val="0"/>
        <w:adjustRightInd w:val="0"/>
        <w:ind w:firstLine="720"/>
        <w:rPr>
          <w:color w:val="000000" w:themeColor="text1"/>
        </w:rPr>
      </w:pPr>
      <w:r w:rsidRPr="00022BA4">
        <w:rPr>
          <w:i/>
          <w:iCs/>
          <w:color w:val="000000" w:themeColor="text1"/>
        </w:rPr>
        <w:t>Neighborhood Safety/Crime Survey.</w:t>
      </w:r>
      <w:r w:rsidRPr="00022BA4">
        <w:rPr>
          <w:color w:val="000000" w:themeColor="text1"/>
        </w:rPr>
        <w:t xml:space="preserve"> Perceptions of neighborhood safety were assessed using items from the PhenX Toolkit </w:t>
      </w:r>
      <w:r w:rsidRPr="00022BA4">
        <w:rPr>
          <w:color w:val="000000" w:themeColor="text1"/>
        </w:rPr>
        <w:fldChar w:fldCharType="begin" w:fldLock="1"/>
      </w:r>
      <w:r>
        <w:rPr>
          <w:color w:val="000000" w:themeColor="text1"/>
        </w:rPr>
        <w:instrText>ADDIN CSL_CITATION {"citationItems":[{"id":"ITEM-1","itemData":{"DOI":"10.1093/jurban/jth151","ISSN":"10993460","PMID":"15466849","abstract":"The majority of studies examining the relation between neighborhood environments and health have used census-based indicators to characterize neighborhoods. These studies have shown that neighborhood socioeconomic characteristics are associated with a range of health outcomes. Establishing if these associations reflect causal relations requires testing hypotheses regarding how specific features of neighborhoods are related to specific health outcomes. However, there is little information on the reliability of neighborhood measures. The purpose of this study was to estimate the reliability of a questionnaire measuring various self-reported measures of the neighborhood environment of possible relevance to cardiovascular disease. The study consisted of a face-to-face and telephone interview administered twice to 48 participants over a 2-week period. The face-to-face and telephone portions of the interview lasted an average of 5 and 11 minutes, respectively. The questionnaire was piloted among a largely Latino and African American study sample recruited from a public hospital setting in New York City. Scales were used to assess six neighborhood domains: aesthetic quality, walking/exercise environment, safety from crime, violence, access to healthy foods, and social cohesion. Cronbach's α's ranged from .77 to .94 for the scales corresponding to these domains, with test-retest correlations ranging from 0.78 to 0.91. In addition, neighborhood indices for presence of recreational facilities, quality of recreational facilities, neighborhood participation, and neighborhood problems were examined. Test-retest reliability measures for these indices ranged from 0.73 to 0.91. The results from this study suggested that self-reported neighborhood characteristics can be reliably measured.","author":[{"dropping-particle":"","family":"Echeverria","given":"Sandra E.","non-dropping-particle":"","parse-names":false,"suffix":""},{"dropping-particle":"V.","family":"Diez-Roux","given":"Ana","non-dropping-particle":"","parse-names":false,"suffix":""},{"dropping-particle":"","family":"Link","given":"Bruce G.","non-dropping-particle":"","parse-names":false,"suffix":""}],"container-title":"Journal of Urban Health","id":"ITEM-1","issue":"4","issued":{"date-parts":[["2004"]]},"page":"682-701","title":"Reliability of self-reported neighborhood characteristics","type":"article-journal","volume":"81"},"uris":["http://www.mendeley.com/documents/?uuid=c3e9a0af-2051-4fa0-b44c-dc048851d7f5"]},{"id":"ITEM-2","itemData":{"DOI":"10.1093/aje/kwm040","ISSN":"00029262","PMID":"17329713","abstract":"Most studies examining the relation between residential environment and health have used census-derived measures of neighborhood socioeconomic position (SEP). There is a need to identify specific features of neighborhoods relevant to disease risk, but few measures of these features exist, and their measurement properties are understudied. In this paper, the authors 1) develop measures (scales) of neighborhood environment that are important in cardiovascular disease risk, 2) assess the psychometric and ecometric properties of these measures, and 3) examine individual- and neighborhood-level predictors of these measures. In 2004, data on neighborhood conditions were collected from a telephone survey of 5,988 residents at three US study sites (Baltimore, Maryland; Forsyth County, North Carolina; and New York, New York). Information collected covered seven dimensions of neighborhood environment (aesthetic quality, walking environment, availability of healthy foods, safety, violence, social cohesion, and activities with neighbors). Neighborhoods were defined as census tracts or census clusters. Cronbach's alpha coefficient ranged from 0.73 to 0.83, with test-retest reliabilities of 0.60-0.88. Intraneighborhood correlations were 0.28-0.51, and neighborhood reliabilities were 0.64-0.78 for census tracts for most scales. The neighborhood scales were strongly associated with neighborhood SEP but also provided information distinct from neighborhood SEP. These results illustrate a methodological approach for assessing the measurement properties of neighborhood-level constructs and show that these constructs can be measured reliably. Copyright © 2007 by the Johns Hopkins Bloomberg School of Public Health All rights reserved.","author":[{"dropping-particle":"","family":"Mujahid","given":"Mahasin S.","non-dropping-particle":"","parse-names":false,"suffix":""},{"dropping-particle":"V.","family":"Diez Roux","given":"Ana","non-dropping-particle":"","parse-names":false,"suffix":""},{"dropping-particle":"","family":"Morenoff","given":"Jeffrey D.","non-dropping-particle":"","parse-names":false,"suffix":""},{"dropping-particle":"","family":"Raghunathan","given":"Trivellore","non-dropping-particle":"","parse-names":false,"suffix":""}],"container-title":"American Journal of Epidemiology","id":"ITEM-2","issue":"8","issued":{"date-parts":[["2007"]]},"page":"858-867","title":"Assessing the measurement properties of neighborhood scales: From psychometrics to ecometrics","type":"article-journal","volume":"165"},"uris":["http://www.mendeley.com/documents/?uuid=0e4ae670-acb5-470a-a701-402878ea215d"]},{"id":"ITEM-3","itemData":{"DOI":"10.1016/j.dcn.2018.03.004","ISSN":"18789307","PMID":"29627333","abstract":"Neurodevelopmental maturation takes place in a social environment in addition to a neurobiological one. Characterization of social environmental factors that influence this process is therefore an essential component in developing an accurate model of adolescent brain and neurocognitive development, as well as susceptibility to change with the use of marijuana and other drugs. The creation of the Culture and Environment (CE) measurement component of the ABCD protocol was guided by this understanding. Three areas were identified by the CE Work Group as central to this process: influences relating to CE Group membership, influences created by the proximal social environment, influences stemming from social interactions. Eleven measures assess these influences, and by time of publication, will have been administered to well over 7,000 9–10 year-old children and one of their parents. Our report presents baseline data on psychometric characteristics (mean, standard deviation, range, skewness, coefficient alpha) of all measures within the battery. Effectiveness of the battery in differentiating 9–10 year olds who were classified as at higher and lower risk for marijuana use in adolescence was also evaluated. Psychometric characteristics on all measures were good to excellent; higher vs. lower risk contrasts were significant in areas where risk differentiation would be anticipated.","author":[{"dropping-particle":"","family":"Zucker","given":"Robert A.","non-dropping-particle":"","parse-names":false,"suffix":""},{"dropping-particle":"","family":"Gonzalez","given":"Raul","non-dropping-particle":"","parse-names":false,"suffix":""},{"dropping-particle":"","family":"Feldstein Ewing","given":"Sarah W.","non-dropping-particle":"","parse-names":false,"suffix":""},{"dropping-particle":"","family":"Paulus","given":"Martin P.","non-dropping-particle":"","parse-names":false,"suffix":""},{"dropping-particle":"","family":"Arroyo","given":"Judith","non-dropping-particle":"","parse-names":false,"suffix":""},{"dropping-particle":"","family":"Fuligni","given":"Andrew","non-dropping-particle":"","parse-names":false,"suffix":""},{"dropping-particle":"","family":"Morris","given":"Amanda Sheffield","non-dropping-particle":"","parse-names":false,"suffix":""},{"dropping-particle":"","family":"Sanchez","given":"Mariana","non-dropping-particle":"","parse-names":false,"suffix":""},{"dropping-particle":"","family":"Wills","given":"Thomas","non-dropping-particle":"","parse-names":false,"suffix":""}],"container-title":"Developmental Cognitive Neuroscience","id":"ITEM-3","issue":"May 2017","issued":{"date-parts":[["2018"]]},"page":"107-120","title":"Assessment of culture and environment in the Adolescent Brain and Cognitive Development Study: Rationale, description of measures, and early data","type":"article-journal","volume":"32"},"uris":["http://www.mendeley.com/documents/?uuid=ffb42aec-0389-4103-8261-1d61567376f7"]}],"mendeley":{"formattedCitation":"(Echeverria, Diez-Roux, &amp; Link, 2004; Mujahid, Diez Roux, Morenoff, &amp; Raghunathan, 2007; Zucker et al., 2018)","plainTextFormattedCitation":"(Echeverria, Diez-Roux, &amp; Link, 2004; Mujahid, Diez Roux, Morenoff, &amp; Raghunathan, 2007; Zucker et al., 2018)","previouslyFormattedCitation":"(Echeverria, Diez-Roux, &amp; Link, 2004; Mujahid, Diez Roux, Morenoff, &amp; Raghunathan, 2007; Zucker et al., 2018)"},"properties":{"noteIndex":0},"schema":"https://github.com/citation-style-language/schema/raw/master/csl-citation.json"}</w:instrText>
      </w:r>
      <w:r w:rsidRPr="00022BA4">
        <w:rPr>
          <w:color w:val="000000" w:themeColor="text1"/>
        </w:rPr>
        <w:fldChar w:fldCharType="separate"/>
      </w:r>
      <w:r w:rsidRPr="00B97A22">
        <w:rPr>
          <w:noProof/>
          <w:color w:val="000000" w:themeColor="text1"/>
        </w:rPr>
        <w:t>(Echeverria, Diez-Roux, &amp; Link, 2004; Mujahid, Diez Roux, Morenoff, &amp; Raghunathan, 2007; Zucker et al., 2018)</w:t>
      </w:r>
      <w:r w:rsidRPr="00022BA4">
        <w:rPr>
          <w:color w:val="000000" w:themeColor="text1"/>
        </w:rPr>
        <w:fldChar w:fldCharType="end"/>
      </w:r>
      <w:r w:rsidRPr="00022BA4">
        <w:rPr>
          <w:color w:val="000000" w:themeColor="text1"/>
        </w:rPr>
        <w:t xml:space="preserve">. Three items were administered to caregivers to determine perceptions of safety and the presence of crime in their neighborhoods based on a five-point Likert scale (1 = </w:t>
      </w:r>
      <w:r w:rsidRPr="000A16E1">
        <w:rPr>
          <w:i/>
          <w:iCs/>
          <w:color w:val="000000" w:themeColor="text1"/>
        </w:rPr>
        <w:t>Strongly Disagree</w:t>
      </w:r>
      <w:r w:rsidRPr="00022BA4">
        <w:rPr>
          <w:color w:val="000000" w:themeColor="text1"/>
        </w:rPr>
        <w:t xml:space="preserve">, 2 = </w:t>
      </w:r>
      <w:r w:rsidRPr="000A16E1">
        <w:rPr>
          <w:i/>
          <w:iCs/>
          <w:color w:val="000000" w:themeColor="text1"/>
        </w:rPr>
        <w:t>Disagree</w:t>
      </w:r>
      <w:r w:rsidRPr="00022BA4">
        <w:rPr>
          <w:color w:val="000000" w:themeColor="text1"/>
        </w:rPr>
        <w:t xml:space="preserve">, 3 = </w:t>
      </w:r>
      <w:r w:rsidRPr="000A16E1">
        <w:rPr>
          <w:i/>
          <w:iCs/>
          <w:color w:val="000000" w:themeColor="text1"/>
        </w:rPr>
        <w:t>Neutral</w:t>
      </w:r>
      <w:r w:rsidRPr="00022BA4">
        <w:rPr>
          <w:color w:val="000000" w:themeColor="text1"/>
        </w:rPr>
        <w:t xml:space="preserve">, 4 = </w:t>
      </w:r>
      <w:r w:rsidRPr="000A16E1">
        <w:rPr>
          <w:i/>
          <w:iCs/>
          <w:color w:val="000000" w:themeColor="text1"/>
        </w:rPr>
        <w:t>Agree</w:t>
      </w:r>
      <w:r w:rsidRPr="00022BA4">
        <w:rPr>
          <w:color w:val="000000" w:themeColor="text1"/>
        </w:rPr>
        <w:t xml:space="preserve">, 5 = </w:t>
      </w:r>
      <w:r w:rsidRPr="000A16E1">
        <w:rPr>
          <w:i/>
          <w:iCs/>
          <w:color w:val="000000" w:themeColor="text1"/>
        </w:rPr>
        <w:t>Strongly Agree</w:t>
      </w:r>
      <w:r w:rsidRPr="00022BA4">
        <w:rPr>
          <w:color w:val="000000" w:themeColor="text1"/>
        </w:rPr>
        <w:t xml:space="preserve">). The child responded to a single item </w:t>
      </w:r>
      <w:r>
        <w:rPr>
          <w:color w:val="000000" w:themeColor="text1"/>
        </w:rPr>
        <w:t>on</w:t>
      </w:r>
      <w:r w:rsidRPr="00022BA4">
        <w:rPr>
          <w:color w:val="000000" w:themeColor="text1"/>
        </w:rPr>
        <w:t xml:space="preserve"> their perception of neighborhood safety. </w:t>
      </w:r>
    </w:p>
    <w:p w14:paraId="7544C8D4" w14:textId="77777777" w:rsidR="00906DFA" w:rsidRPr="00022BA4" w:rsidRDefault="00906DFA" w:rsidP="00906DFA">
      <w:pPr>
        <w:autoSpaceDE w:val="0"/>
        <w:autoSpaceDN w:val="0"/>
        <w:adjustRightInd w:val="0"/>
        <w:ind w:firstLine="720"/>
        <w:rPr>
          <w:color w:val="000000" w:themeColor="text1"/>
        </w:rPr>
      </w:pPr>
      <w:r w:rsidRPr="00022BA4">
        <w:rPr>
          <w:i/>
          <w:iCs/>
          <w:color w:val="000000" w:themeColor="text1"/>
        </w:rPr>
        <w:t xml:space="preserve">Community Risk and Protective Factors. </w:t>
      </w:r>
      <w:r w:rsidRPr="00022BA4">
        <w:rPr>
          <w:color w:val="000000" w:themeColor="text1"/>
        </w:rPr>
        <w:t xml:space="preserve">The availability of substances in the community was assessed using 9 items from the PhenX Community Risk and Protective Factors questionnaire </w:t>
      </w:r>
      <w:r w:rsidRPr="00022BA4">
        <w:rPr>
          <w:color w:val="000000" w:themeColor="text1"/>
        </w:rPr>
        <w:fldChar w:fldCharType="begin" w:fldLock="1"/>
      </w:r>
      <w:r w:rsidRPr="00022BA4">
        <w:rPr>
          <w:color w:val="000000" w:themeColor="text1"/>
        </w:rPr>
        <w:instrText>ADDIN CSL_CITATION {"citationItems":[{"id":"ITEM-1","itemData":{"DOI":"10.1016/j.dcn.2018.02.007","ISSN":"18789307","PMID":"29559216","abstract":"One of the objectives of the Adolescent Brain Cognitive Development (ABCD) Study (https://abcdstudy.org/) is to establish a national longitudinal cohort of 9 and 10 year olds that will be followed for 10 years in order to prospectively study the risk and protective factors influencing substance use and its consequences, examine the impact of substance use on neurocognitive, health and psychosocial outcomes, and to understand the relationship between substance use and psychopathology. This article provides an overview of the ABCD Study Substance Use Workgroup, provides the goals for the workgroup, rationale for the substance use battery, and includes details on the substance use module methods and measurement tools used during baseline, 6-month and 1-year follow-up assessment time-points. Prospective, longitudinal assessment of these substance use domains over a period of ten years in a nationwide sample of youth presents an unprecedented opportunity to further understand the timing and interactive relationships between substance use and neurocognitive, health, and psychopathology outcomes in youth living in the United States.","author":[{"dropping-particle":"","family":"Lisdahl","given":"Krista M.","non-dropping-particle":"","parse-names":false,"suffix":""},{"dropping-particle":"","family":"Sher","given":"Kenneth J.","non-dropping-particle":"","parse-names":false,"suffix":""},{"dropping-particle":"","family":"Conway","given":"Kevin P.","non-dropping-particle":"","parse-names":false,"suffix":""},{"dropping-particle":"","family":"Gonzalez","given":"Raul","non-dropping-particle":"","parse-names":false,"suffix":""},{"dropping-particle":"","family":"Feldstein Ewing","given":"Sarah W.","non-dropping-particle":"","parse-names":false,"suffix":""},{"dropping-particle":"","family":"Nixon","given":"Sara Jo","non-dropping-particle":"","parse-names":false,"suffix":""},{"dropping-particle":"","family":"Tapert","given":"Susan","non-dropping-particle":"","parse-names":false,"suffix":""},{"dropping-particle":"","family":"Bartsch","given":"Hauke","non-dropping-particle":"","parse-names":false,"suffix":""},{"dropping-particle":"","family":"Goldstein","given":"Rita Z.","non-dropping-particle":"","parse-names":false,"suffix":""},{"dropping-particle":"","family":"Heitzeg","given":"Mary","non-dropping-particle":"","parse-names":false,"suffix":""}],"container-title":"Developmental Cognitive Neuroscience","id":"ITEM-1","issue":"April 2017","issued":{"date-parts":[["2018"]]},"page":"80-96","publisher":"Elsevier","title":"Adolescent brain cognitive development (ABCD) study: Overview of substance use assessment methods","type":"article-journal","volume":"32"},"uris":["http://www.mendeley.com/documents/?uuid=d77b92cd-9c83-4c64-a512-018f6cc05f7f"]}],"mendeley":{"formattedCitation":"(Lisdahl et al., 2018)","plainTextFormattedCitation":"(Lisdahl et al., 2018)","previouslyFormattedCitation":"(Lisdahl et al., 2018)"},"properties":{"noteIndex":0},"schema":"https://github.com/citation-style-language/schema/raw/master/csl-citation.json"}</w:instrText>
      </w:r>
      <w:r w:rsidRPr="00022BA4">
        <w:rPr>
          <w:color w:val="000000" w:themeColor="text1"/>
        </w:rPr>
        <w:fldChar w:fldCharType="separate"/>
      </w:r>
      <w:r w:rsidRPr="00022BA4">
        <w:rPr>
          <w:noProof/>
          <w:color w:val="000000" w:themeColor="text1"/>
        </w:rPr>
        <w:t>(Lisdahl et al., 2018)</w:t>
      </w:r>
      <w:r w:rsidRPr="00022BA4">
        <w:rPr>
          <w:color w:val="000000" w:themeColor="text1"/>
        </w:rPr>
        <w:fldChar w:fldCharType="end"/>
      </w:r>
      <w:r w:rsidRPr="00022BA4">
        <w:rPr>
          <w:color w:val="000000" w:themeColor="text1"/>
        </w:rPr>
        <w:t xml:space="preserve"> based on the Monitoring the Future Study </w:t>
      </w:r>
      <w:r w:rsidRPr="00022BA4">
        <w:rPr>
          <w:color w:val="000000" w:themeColor="text1"/>
        </w:rPr>
        <w:fldChar w:fldCharType="begin" w:fldLock="1"/>
      </w:r>
      <w:r w:rsidRPr="00022BA4">
        <w:rPr>
          <w:color w:val="000000" w:themeColor="text1"/>
        </w:rPr>
        <w:instrText>ADDIN CSL_CITATION {"citationItems":[{"id":"ITEM-1","itemData":{"DOI":"10.1016/j.evalprogplan.2007.01.009","ISSN":"01497189","PMID":"17689325","abstract":"The Communities That Care Youth Survey measures risk and protective factors shown in prior studies to predict adolescent problem behaviors such as drug use, delinquency, and violence. This paper describes the development and validation of cut points for the risk and protective factor scales in the Communities That Care Youth Survey that distinguish youths at higher risk for involvement in problem behaviors from those at lower risk. Using these cut points, populations surveyed with this instrument can be described in terms of the proportions of youths experiencing risk and the proportions experiencing protection on each predictor. This facilitates communities' prioritization of specific factors for attention. This paper compares different cut points, and evaluates the discriminant validity of selected cut points. Results indicate that cut points with sufficient sensitivity and selectivity can be established for each of the scales, and that risk and protective factors can be profiled as prevalence rates. Implications of these findings for prevention planning are discussed. © 2007 Elsevier Ltd. All rights reserved.","author":[{"dropping-particle":"","family":"Arthur","given":"Michael W.","non-dropping-particle":"","parse-names":false,"suffix":""},{"dropping-particle":"","family":"Briney","given":"John S.","non-dropping-particle":"","parse-names":false,"suffix":""},{"dropping-particle":"","family":"Hawkins","given":"J. David","non-dropping-particle":"","parse-names":false,"suffix":""},{"dropping-particle":"","family":"Abbott","given":"Robert D.","non-dropping-particle":"","parse-names":false,"suffix":""},{"dropping-particle":"","family":"Brooke-Weiss","given":"Blair L.","non-dropping-particle":"","parse-names":false,"suffix":""},{"dropping-particle":"","family":"Catalano","given":"Richard F.","non-dropping-particle":"","parse-names":false,"suffix":""}],"container-title":"Evaluation and Program Planning","id":"ITEM-1","issue":"2","issued":{"date-parts":[["2007"]]},"page":"197-211","title":"Measuring risk and protection in communities using the Communities That Care Youth Survey","type":"article-journal","volume":"30"},"uris":["http://www.mendeley.com/documents/?uuid=bd6d74ee-faee-4947-9dd1-bf2e174ad319"]}],"mendeley":{"formattedCitation":"(Arthur et al., 2007)","plainTextFormattedCitation":"(Arthur et al., 2007)","previouslyFormattedCitation":"(Arthur et al., 2007)"},"properties":{"noteIndex":0},"schema":"https://github.com/citation-style-language/schema/raw/master/csl-citation.json"}</w:instrText>
      </w:r>
      <w:r w:rsidRPr="00022BA4">
        <w:rPr>
          <w:color w:val="000000" w:themeColor="text1"/>
        </w:rPr>
        <w:fldChar w:fldCharType="separate"/>
      </w:r>
      <w:r w:rsidRPr="00022BA4">
        <w:rPr>
          <w:noProof/>
          <w:color w:val="000000" w:themeColor="text1"/>
        </w:rPr>
        <w:t>(Arthur et al., 2007)</w:t>
      </w:r>
      <w:r w:rsidRPr="00022BA4">
        <w:rPr>
          <w:color w:val="000000" w:themeColor="text1"/>
        </w:rPr>
        <w:fldChar w:fldCharType="end"/>
      </w:r>
      <w:r w:rsidRPr="00022BA4">
        <w:rPr>
          <w:color w:val="000000" w:themeColor="text1"/>
        </w:rPr>
        <w:t xml:space="preserve">. Caregivers were asked how easily their child could access substances including alcohol, cigarettes, marijuana, and other drugs. Items were rated on a four-point Likert scale (0 = </w:t>
      </w:r>
      <w:r w:rsidRPr="000A16E1">
        <w:rPr>
          <w:i/>
          <w:iCs/>
          <w:color w:val="000000" w:themeColor="text1"/>
        </w:rPr>
        <w:t>Very hard</w:t>
      </w:r>
      <w:r w:rsidRPr="00022BA4">
        <w:rPr>
          <w:color w:val="000000" w:themeColor="text1"/>
        </w:rPr>
        <w:t xml:space="preserve">, 1 = </w:t>
      </w:r>
      <w:r w:rsidRPr="000A16E1">
        <w:rPr>
          <w:i/>
          <w:iCs/>
          <w:color w:val="000000" w:themeColor="text1"/>
        </w:rPr>
        <w:t>Sort of hard</w:t>
      </w:r>
      <w:r w:rsidRPr="00022BA4">
        <w:rPr>
          <w:color w:val="000000" w:themeColor="text1"/>
        </w:rPr>
        <w:t xml:space="preserve">, 2 = </w:t>
      </w:r>
      <w:r w:rsidRPr="000A16E1">
        <w:rPr>
          <w:i/>
          <w:iCs/>
          <w:color w:val="000000" w:themeColor="text1"/>
        </w:rPr>
        <w:t>Sort of easy</w:t>
      </w:r>
      <w:r w:rsidRPr="00022BA4">
        <w:rPr>
          <w:color w:val="000000" w:themeColor="text1"/>
        </w:rPr>
        <w:t xml:space="preserve">, 3 = </w:t>
      </w:r>
      <w:r w:rsidRPr="000A16E1">
        <w:rPr>
          <w:i/>
          <w:iCs/>
          <w:color w:val="000000" w:themeColor="text1"/>
        </w:rPr>
        <w:t>Very easy</w:t>
      </w:r>
      <w:r w:rsidRPr="00022BA4">
        <w:rPr>
          <w:color w:val="000000" w:themeColor="text1"/>
        </w:rPr>
        <w:t xml:space="preserve">). </w:t>
      </w:r>
    </w:p>
    <w:p w14:paraId="212EA899" w14:textId="1606B0DA" w:rsidR="00906DFA" w:rsidRPr="00022BA4" w:rsidRDefault="00906DFA" w:rsidP="00906DFA">
      <w:pPr>
        <w:autoSpaceDE w:val="0"/>
        <w:autoSpaceDN w:val="0"/>
        <w:adjustRightInd w:val="0"/>
        <w:ind w:firstLine="720"/>
        <w:rPr>
          <w:color w:val="000000" w:themeColor="text1"/>
        </w:rPr>
      </w:pPr>
      <w:r w:rsidRPr="00022BA4">
        <w:rPr>
          <w:i/>
          <w:iCs/>
          <w:color w:val="000000" w:themeColor="text1"/>
        </w:rPr>
        <w:t>Parental Monitoring.</w:t>
      </w:r>
      <w:r w:rsidRPr="00022BA4">
        <w:rPr>
          <w:color w:val="000000" w:themeColor="text1"/>
        </w:rPr>
        <w:t xml:space="preserve"> Parental monitoring, or the caregiver’s efforts to keep track of their child’s whereabouts, was assessed using a subset of items from the Parental Monitoring questionnaire </w:t>
      </w:r>
      <w:r w:rsidRPr="00022BA4">
        <w:rPr>
          <w:color w:val="000000" w:themeColor="text1"/>
        </w:rPr>
        <w:fldChar w:fldCharType="begin" w:fldLock="1"/>
      </w:r>
      <w:r w:rsidRPr="00022BA4">
        <w:rPr>
          <w:color w:val="000000" w:themeColor="text1"/>
        </w:rPr>
        <w:instrText>ADDIN CSL_CITATION {"citationItems":[{"id":"ITEM-1","itemData":{"DOI":"10.1097/00004583-199601000-00017","ISSN":"08908567","PMID":"8567618","abstract":"Objective: To examine whether parental supervision and monitoring in middle childhood might have a sustained impact on risk of drug use later in childhood and adolescence. Method: An epidemiological sample of 926 urban- dwelling youths were individually interviewed annually, beginning in 1989 when the children were 8 to 10 years old, continuing through 1992. Standardized questions measured drug use, parenting behaviors, and other suspected determinants of drug use. Results: Survival analysis estimates indicated that children in the lowest quartile of parent monitoring initiated drug use at earlier ages. The contrast in risk of initiating alcohol, tobacco, or other drug use across levels of parent monitoring was greatest when children were under 11 years old; at older ages there was no difference in risk. However, in analyses focused specifically on marijuana, cocaine, and inhalant drugs, we observed a sustained higher risk of starting to use these drugs among youths who had been monitored at the lowest levels in middle childhood. Conclusion: These results add to the chain of inference that affective supervision and monitoring in middle childhood by parents or guardians might induce a delay or prevent onset of drug use among youths living in urban areas, a hypothesis that now ought to be tested in rigorous field experiments.","author":[{"dropping-particle":"","family":"Chilcoat","given":"Howard D.","non-dropping-particle":"","parse-names":false,"suffix":""},{"dropping-particle":"","family":"Anthony","given":"James C.","non-dropping-particle":"","parse-names":false,"suffix":""}],"container-title":"Journal of the American Academy of Child and Adolescent Psychiatry","id":"ITEM-1","issue":"1","issued":{"date-parts":[["1996"]]},"page":"91-100","publisher":"The American Academy of Child and Adolescent Psychiatry","title":"Impact of parent monitoring on initiation of drug use through late childhood","type":"article-journal","volume":"35"},"uris":["http://www.mendeley.com/documents/?uuid=562dabbb-9cc8-4d71-a989-a4c38c9867f6"]},{"id":"ITEM-2","itemData":{"DOI":"10.1016/j.dcn.2018.03.004","ISSN":"18789307","PMID":"29627333","abstract":"Neurodevelopmental maturation takes place in a social environment in addition to a neurobiological one. Characterization of social environmental factors that influence this process is therefore an essential component in developing an accurate model of adolescent brain and neurocognitive development, as well as susceptibility to change with the use of marijuana and other drugs. The creation of the Culture and Environment (CE) measurement component of the ABCD protocol was guided by this understanding. Three areas were identified by the CE Work Group as central to this process: influences relating to CE Group membership, influences created by the proximal social environment, influences stemming from social interactions. Eleven measures assess these influences, and by time of publication, will have been administered to well over 7,000 9–10 year-old children and one of their parents. Our report presents baseline data on psychometric characteristics (mean, standard deviation, range, skewness, coefficient alpha) of all measures within the battery. Effectiveness of the battery in differentiating 9–10 year olds who were classified as at higher and lower risk for marijuana use in adolescence was also evaluated. Psychometric characteristics on all measures were good to excellent; higher vs. lower risk contrasts were significant in areas where risk differentiation would be anticipated.","author":[{"dropping-particle":"","family":"Zucker","given":"Robert A.","non-dropping-particle":"","parse-names":false,"suffix":""},{"dropping-particle":"","family":"Gonzalez","given":"Raul","non-dropping-particle":"","parse-names":false,"suffix":""},{"dropping-particle":"","family":"Feldstein Ewing","given":"Sarah W.","non-dropping-particle":"","parse-names":false,"suffix":""},{"dropping-particle":"","family":"Paulus","given":"Martin P.","non-dropping-particle":"","parse-names":false,"suffix":""},{"dropping-particle":"","family":"Arroyo","given":"Judith","non-dropping-particle":"","parse-names":false,"suffix":""},{"dropping-particle":"","family":"Fuligni","given":"Andrew","non-dropping-particle":"","parse-names":false,"suffix":""},{"dropping-particle":"","family":"Morris","given":"Amanda Sheffield","non-dropping-particle":"","parse-names":false,"suffix":""},{"dropping-particle":"","family":"Sanchez","given":"Mariana","non-dropping-particle":"","parse-names":false,"suffix":""},{"dropping-particle":"","family":"Wills","given":"Thomas","non-dropping-particle":"","parse-names":false,"suffix":""}],"container-title":"Developmental Cognitive Neuroscience","id":"ITEM-2","issue":"May 2017","issued":{"date-parts":[["2018"]]},"page":"107-120","title":"Assessment of culture and environment in the Adolescent Brain and Cognitive Development Study: Rationale, description of measures, and early data","type":"article-journal","volume":"32"},"uris":["http://www.mendeley.com/documents/?uuid=ffb42aec-0389-4103-8261-1d61567376f7"]}],"mendeley":{"formattedCitation":"(Chilcoat &amp; Anthony, 1996; Zucker et al., 2018)","plainTextFormattedCitation":"(Chilcoat &amp; Anthony, 1996; Zucker et al., 2018)","previouslyFormattedCitation":"(Chilcoat &amp; Anthony, 1996; Zucker et al., 2018)"},"properties":{"noteIndex":0},"schema":"https://github.com/citation-style-language/schema/raw/master/csl-citation.json"}</w:instrText>
      </w:r>
      <w:r w:rsidRPr="00022BA4">
        <w:rPr>
          <w:color w:val="000000" w:themeColor="text1"/>
        </w:rPr>
        <w:fldChar w:fldCharType="separate"/>
      </w:r>
      <w:r w:rsidRPr="00022BA4">
        <w:rPr>
          <w:noProof/>
          <w:color w:val="000000" w:themeColor="text1"/>
        </w:rPr>
        <w:t>(Chilcoat &amp; Anthony, 1996; Zucker et al., 2018)</w:t>
      </w:r>
      <w:r w:rsidRPr="00022BA4">
        <w:rPr>
          <w:color w:val="000000" w:themeColor="text1"/>
        </w:rPr>
        <w:fldChar w:fldCharType="end"/>
      </w:r>
      <w:r w:rsidRPr="00022BA4">
        <w:rPr>
          <w:color w:val="000000" w:themeColor="text1"/>
        </w:rPr>
        <w:t xml:space="preserve">. The child reported on 5 items assessing parental monitoring of their location, whom they spend time with, whether they know how to get in touch with their parents, whether they tell their parents their plans, and family dinner frequency based on a five-point Likert scale (1 = </w:t>
      </w:r>
      <w:r w:rsidRPr="000A16E1">
        <w:rPr>
          <w:i/>
          <w:iCs/>
          <w:color w:val="000000" w:themeColor="text1"/>
        </w:rPr>
        <w:t>Never</w:t>
      </w:r>
      <w:r w:rsidRPr="00022BA4">
        <w:rPr>
          <w:color w:val="000000" w:themeColor="text1"/>
        </w:rPr>
        <w:t xml:space="preserve">, 2 = </w:t>
      </w:r>
      <w:r w:rsidRPr="000A16E1">
        <w:rPr>
          <w:i/>
          <w:iCs/>
          <w:color w:val="000000" w:themeColor="text1"/>
        </w:rPr>
        <w:t>Almost never</w:t>
      </w:r>
      <w:r w:rsidRPr="00022BA4">
        <w:rPr>
          <w:color w:val="000000" w:themeColor="text1"/>
        </w:rPr>
        <w:t xml:space="preserve">, 3 = </w:t>
      </w:r>
      <w:r w:rsidRPr="000A16E1">
        <w:rPr>
          <w:i/>
          <w:iCs/>
          <w:color w:val="000000" w:themeColor="text1"/>
        </w:rPr>
        <w:t>Sometimes</w:t>
      </w:r>
      <w:r w:rsidRPr="00022BA4">
        <w:rPr>
          <w:color w:val="000000" w:themeColor="text1"/>
        </w:rPr>
        <w:t xml:space="preserve">, 4 = </w:t>
      </w:r>
      <w:r w:rsidRPr="000A16E1">
        <w:rPr>
          <w:i/>
          <w:iCs/>
          <w:color w:val="000000" w:themeColor="text1"/>
        </w:rPr>
        <w:t>Often</w:t>
      </w:r>
      <w:r w:rsidRPr="00022BA4">
        <w:rPr>
          <w:color w:val="000000" w:themeColor="text1"/>
        </w:rPr>
        <w:t xml:space="preserve">, 5 = </w:t>
      </w:r>
      <w:r w:rsidRPr="000A16E1">
        <w:rPr>
          <w:i/>
          <w:iCs/>
          <w:color w:val="000000" w:themeColor="text1"/>
        </w:rPr>
        <w:t>Always or almost always</w:t>
      </w:r>
      <w:r w:rsidRPr="00022BA4">
        <w:rPr>
          <w:color w:val="000000" w:themeColor="text1"/>
        </w:rPr>
        <w:t>).</w:t>
      </w:r>
    </w:p>
    <w:p w14:paraId="2FFE0929" w14:textId="4DE0B22B" w:rsidR="00906DFA" w:rsidRPr="000A16E1" w:rsidRDefault="00906DFA" w:rsidP="00906DFA">
      <w:pPr>
        <w:autoSpaceDE w:val="0"/>
        <w:autoSpaceDN w:val="0"/>
        <w:adjustRightInd w:val="0"/>
        <w:ind w:firstLine="720"/>
        <w:rPr>
          <w:color w:val="000000" w:themeColor="text1"/>
        </w:rPr>
      </w:pPr>
      <w:r w:rsidRPr="000A16E1">
        <w:rPr>
          <w:i/>
          <w:iCs/>
          <w:color w:val="000000" w:themeColor="text1"/>
        </w:rPr>
        <w:t>Geocoded residential history derived scores.</w:t>
      </w:r>
      <w:r w:rsidRPr="00022BA4">
        <w:rPr>
          <w:color w:val="000000" w:themeColor="text1"/>
        </w:rPr>
        <w:t xml:space="preserve"> Geocoding of the family’s address was used to derive a number of metrics describing the child’s residential environment</w:t>
      </w:r>
      <w:r>
        <w:rPr>
          <w:color w:val="000000" w:themeColor="text1"/>
        </w:rPr>
        <w:t xml:space="preserve"> </w:t>
      </w:r>
      <w:r>
        <w:rPr>
          <w:color w:val="000000" w:themeColor="text1"/>
        </w:rPr>
        <w:fldChar w:fldCharType="begin" w:fldLock="1"/>
      </w:r>
      <w:r w:rsidR="00DE156A">
        <w:rPr>
          <w:color w:val="000000" w:themeColor="text1"/>
        </w:rPr>
        <w:instrText>ADDIN CSL_CITATION {"citationItems":[{"id":"ITEM-1","itemData":{"DOI":"10.1016/j.dcn.2021.101030","ISSN":"18789307","PMID":"34891080","abstract":"Our brain is constantly shaped by our immediate environments, and while some effects are transient, some have long-term consequences. Therefore, it is critical to identify which environmental risks have evident and long-term impact on brain development. To expand our understanding of the environmental context of each child, the Adolescent Brain Cognitive Development (ABCD) Study® incorporates the use of geospatial location data to capture a range of individual, neighborhood, and state level data based on the child's residential location in order to elucidate the physical environmental contexts in which today's youth are growing up. We review the major considerations and types of geocoded information incorporated by the Linked External Data Environmental (LED) workgroup to expand on the built and natural environmental constructs in the existing and future ABCD Study data releases. Understanding the environmental context of each youth furthers the consortium's mission to understand factors that may influence individual differences in brain development, providing the opportunity to inform public policy and health organization guidelines for child and adolescent health.","author":[{"dropping-particle":"","family":"Fan","given":"Chun Chieh","non-dropping-particle":"","parse-names":false,"suffix":""},{"dropping-particle":"","family":"Marshall","given":"Andrew","non-dropping-particle":"","parse-names":false,"suffix":""},{"dropping-particle":"","family":"Smolker","given":"Harry","non-dropping-particle":"","parse-names":false,"suffix":""},{"dropping-particle":"","family":"Gonzalez","given":"Marybel R.","non-dropping-particle":"","parse-names":false,"suffix":""},{"dropping-particle":"","family":"Tapert","given":"Susan F.","non-dropping-particle":"","parse-names":false,"suffix":""},{"dropping-particle":"","family":"Barch","given":"Deanna M.","non-dropping-particle":"","parse-names":false,"suffix":""},{"dropping-particle":"","family":"Sowell","given":"Elizabeth","non-dropping-particle":"","parse-names":false,"suffix":""},{"dropping-particle":"","family":"Dowling","given":"Gayathri J.","non-dropping-particle":"","parse-names":false,"suffix":""},{"dropping-particle":"","family":"Cardenas-Iniguez","given":"Carlos","non-dropping-particle":"","parse-names":false,"suffix":""},{"dropping-particle":"","family":"Ross","given":"Jessica","non-dropping-particle":"","parse-names":false,"suffix":""},{"dropping-particle":"","family":"Thompson","given":"Wesley K.","non-dropping-particle":"","parse-names":false,"suffix":""},{"dropping-particle":"","family":"Herting","given":"Megan M.","non-dropping-particle":"","parse-names":false,"suffix":""}],"container-title":"Developmental Cognitive Neuroscience","id":"ITEM-1","issued":{"date-parts":[["2021"]]},"page":"101030","publisher":"Elsevier Ltd","title":"Adolescent Brain Cognitive Development (ABCD) study Linked External Data (LED): Protocol and practices for geocoding and assignment of environmental data","type":"article-journal","volume":"52"},"uris":["http://www.mendeley.com/documents/?uuid=fce1c627-9f87-4aa0-8983-4b7599c174eb"]}],"mendeley":{"formattedCitation":"(Fan et al., 2021)","manualFormatting":"(Fan et al., 2021)","plainTextFormattedCitation":"(Fan et al., 2021)","previouslyFormattedCitation":"(Fan et al., 2021)"},"properties":{"noteIndex":0},"schema":"https://github.com/citation-style-language/schema/raw/master/csl-citation.json"}</w:instrText>
      </w:r>
      <w:r>
        <w:rPr>
          <w:color w:val="000000" w:themeColor="text1"/>
        </w:rPr>
        <w:fldChar w:fldCharType="separate"/>
      </w:r>
      <w:r w:rsidRPr="005025B1">
        <w:rPr>
          <w:noProof/>
          <w:color w:val="000000" w:themeColor="text1"/>
        </w:rPr>
        <w:t>(Fan et al., 2021)</w:t>
      </w:r>
      <w:r>
        <w:rPr>
          <w:color w:val="000000" w:themeColor="text1"/>
        </w:rPr>
        <w:fldChar w:fldCharType="end"/>
      </w:r>
      <w:r w:rsidRPr="00022BA4">
        <w:rPr>
          <w:color w:val="000000" w:themeColor="text1"/>
        </w:rPr>
        <w:t xml:space="preserve">. Data on </w:t>
      </w:r>
      <w:r>
        <w:rPr>
          <w:color w:val="000000" w:themeColor="text1"/>
        </w:rPr>
        <w:t>attributes</w:t>
      </w:r>
      <w:r w:rsidRPr="00022BA4">
        <w:rPr>
          <w:color w:val="000000" w:themeColor="text1"/>
        </w:rPr>
        <w:t xml:space="preserve"> such as population density, poverty levels, crime rates, pollution levels, lead exposure, and walkability were retrieved from the digital archives of the federal government or other publicly available data repositories. For a detailed description of each residential metric, see</w:t>
      </w:r>
      <w:r>
        <w:rPr>
          <w:color w:val="000000" w:themeColor="text1"/>
        </w:rPr>
        <w:t xml:space="preserve"> Jeong et al. 2022</w:t>
      </w:r>
      <w:r w:rsidRPr="00022BA4">
        <w:rPr>
          <w:color w:val="000000" w:themeColor="text1"/>
        </w:rPr>
        <w:t>.</w:t>
      </w:r>
    </w:p>
    <w:p w14:paraId="18A9914A" w14:textId="77777777" w:rsidR="00906DFA" w:rsidRDefault="00906DFA" w:rsidP="004673D8">
      <w:pPr>
        <w:pStyle w:val="Heading1"/>
        <w:rPr>
          <w:rFonts w:ascii="Times New Roman" w:hAnsi="Times New Roman" w:cs="Times New Roman"/>
          <w:b/>
          <w:bCs/>
          <w:color w:val="000000" w:themeColor="text1"/>
          <w:sz w:val="24"/>
          <w:szCs w:val="24"/>
        </w:rPr>
      </w:pPr>
    </w:p>
    <w:p w14:paraId="37E4EAD8" w14:textId="77777777" w:rsidR="00906DFA" w:rsidRDefault="00906DFA">
      <w:pPr>
        <w:rPr>
          <w:rFonts w:eastAsiaTheme="majorEastAsia"/>
          <w:b/>
          <w:bCs/>
          <w:color w:val="000000" w:themeColor="text1"/>
        </w:rPr>
      </w:pPr>
      <w:r>
        <w:rPr>
          <w:b/>
          <w:bCs/>
          <w:color w:val="000000" w:themeColor="text1"/>
        </w:rPr>
        <w:br w:type="page"/>
      </w:r>
    </w:p>
    <w:p w14:paraId="1F6314B5" w14:textId="3C377DE1" w:rsidR="00A66060" w:rsidRPr="004673D8" w:rsidRDefault="0017179F" w:rsidP="004673D8">
      <w:pPr>
        <w:pStyle w:val="Heading1"/>
        <w:rPr>
          <w:rFonts w:ascii="Times New Roman" w:hAnsi="Times New Roman" w:cs="Times New Roman"/>
          <w:b/>
          <w:bCs/>
          <w:color w:val="000000" w:themeColor="text1"/>
          <w:sz w:val="24"/>
          <w:szCs w:val="24"/>
        </w:rPr>
      </w:pPr>
      <w:bookmarkStart w:id="3" w:name="_Toc155817671"/>
      <w:r w:rsidRPr="004673D8">
        <w:rPr>
          <w:rFonts w:ascii="Times New Roman" w:hAnsi="Times New Roman" w:cs="Times New Roman"/>
          <w:b/>
          <w:bCs/>
          <w:color w:val="000000" w:themeColor="text1"/>
          <w:sz w:val="24"/>
          <w:szCs w:val="24"/>
        </w:rPr>
        <w:lastRenderedPageBreak/>
        <w:t xml:space="preserve">Hierarchical </w:t>
      </w:r>
      <w:r w:rsidR="0012524F">
        <w:rPr>
          <w:rFonts w:ascii="Times New Roman" w:hAnsi="Times New Roman" w:cs="Times New Roman"/>
          <w:b/>
          <w:bCs/>
          <w:color w:val="000000" w:themeColor="text1"/>
          <w:sz w:val="24"/>
          <w:szCs w:val="24"/>
        </w:rPr>
        <w:t>M</w:t>
      </w:r>
      <w:r w:rsidRPr="004673D8">
        <w:rPr>
          <w:rFonts w:ascii="Times New Roman" w:hAnsi="Times New Roman" w:cs="Times New Roman"/>
          <w:b/>
          <w:bCs/>
          <w:color w:val="000000" w:themeColor="text1"/>
          <w:sz w:val="24"/>
          <w:szCs w:val="24"/>
        </w:rPr>
        <w:t xml:space="preserve">odels of </w:t>
      </w:r>
      <w:r w:rsidR="00EF1BFD" w:rsidRPr="004673D8">
        <w:rPr>
          <w:rFonts w:ascii="Times New Roman" w:hAnsi="Times New Roman" w:cs="Times New Roman"/>
          <w:b/>
          <w:bCs/>
          <w:color w:val="000000" w:themeColor="text1"/>
          <w:sz w:val="24"/>
          <w:szCs w:val="24"/>
        </w:rPr>
        <w:t>Environmental Stress</w:t>
      </w:r>
      <w:bookmarkEnd w:id="3"/>
    </w:p>
    <w:p w14:paraId="403BD7B3" w14:textId="77777777" w:rsidR="000702D3" w:rsidRDefault="000702D3" w:rsidP="000702D3">
      <w:pPr>
        <w:rPr>
          <w:color w:val="000000" w:themeColor="text1"/>
        </w:rPr>
      </w:pPr>
    </w:p>
    <w:p w14:paraId="578ABAB1" w14:textId="1385867F" w:rsidR="001B57AC" w:rsidRDefault="00DA7A30" w:rsidP="0045495B">
      <w:pPr>
        <w:ind w:firstLine="720"/>
        <w:rPr>
          <w:color w:val="000000" w:themeColor="text1"/>
        </w:rPr>
      </w:pPr>
      <w:r>
        <w:rPr>
          <w:color w:val="000000" w:themeColor="text1"/>
        </w:rPr>
        <w:t xml:space="preserve">Details on item selection and adjustment are provided in our previous work </w:t>
      </w:r>
      <w:r w:rsidR="00AB411A">
        <w:rPr>
          <w:color w:val="000000" w:themeColor="text1"/>
        </w:rPr>
        <w:fldChar w:fldCharType="begin" w:fldLock="1"/>
      </w:r>
      <w:r w:rsidR="008C7D8D">
        <w:rPr>
          <w:color w:val="000000" w:themeColor="text1"/>
        </w:rPr>
        <w:instrText>ADDIN CSL_CITATION {"citationItems":[{"id":"ITEM-1","itemData":{"DOI":"10.1016/j.bpsgos.2022.04.004","ISSN":"26671743","abstract":"ABSTRACT Background Early life stressors can adversely affect the developing brain. While hierarchical modeling has established the existence of a general factor of psychopathology, no studies have modeled a general factor of environmental stress and related this factor to brain development. Using a large sample of children from the Adolescent Brain Cognitive DevelopmentSM Study (ABCD Study®), the current study aimed to identify general and specific factors of environmental stress and test their associations with brain structure and psychopathology. Methods Bifactor modeling and higher-order (second-order) modeling identified general and specific factors of environmental stress: family dynamics, interpersonal support, neighborhood SES deprivation, and urbanicity in a sample of 11,878 children. Structural equation modeling was performed to examine associations between these factors and regional gray matter volume (GMV) and cortical thickness as well as general and specific factors of psychopathology. Results The general environmental stress factor was associated with globally smaller cortical and subcortical GMV, as well as thinner cortices across widespread regions. Family dynamics and neighborhood SES deprivation were associated with smaller GMV in focal regions. Urbanicity was associated with larger cortical and subcortical GMV and thicker cortices in frontotemporal regions. The environmental factors were associated with psychopathology in the expected directions. The general factors of environmental stress and psychopathology were both predictors of smaller GMV in children, while remaining distinct from each other. Conclusions This study reveals a unifying model of environmental influences that illustrates the inherent organization of environmental stressors and their relationship to brain structure and psychopathology.","author":[{"dropping-particle":"","family":"Jeong","given":"Hee Jung","non-dropping-particle":"","parse-names":false,"suffix":""},{"dropping-particle":"","family":"Moore","given":"Tyler M.","non-dropping-particle":"","parse-names":false,"suffix":""},{"dropping-particle":"","family":"Durham","given":"E. Leighton","non-dropping-particle":"","parse-names":false,"suffix":""},{"dropping-particle":"","family":"Reimann","given":"Gabrielle E.","non-dropping-particle":"","parse-names":false,"suffix":""},{"dropping-particle":"","family":"Dupont","given":"Randolph M.","non-dropping-particle":"","parse-names":false,"suffix":""},{"dropping-particle":"","family":"Cardenas-Iniguez","given":"Carlos","non-dropping-particle":"","parse-names":false,"suffix":""},{"dropping-particle":"","family":"Berman","given":"Marc G.","non-dropping-particle":"","parse-names":false,"suffix":""},{"dropping-particle":"","family":"Lahey","given":"Benjamin B.","non-dropping-particle":"","parse-names":false,"suffix":""},{"dropping-particle":"","family":"Kaczkurkin","given":"Antonia N.","non-dropping-particle":"","parse-names":false,"suffix":""}],"container-title":"Biological Psychiatry Global Open Science","id":"ITEM-1","issued":{"date-parts":[["2022"]]},"page":"1-10","publisher":"The Authors","title":"General and Specific Factors of Environmental Stress and their Associations with Brain Structure and Dimensions of Psychopathology","type":"article-journal"},"uris":["http://www.mendeley.com/documents/?uuid=b785a911-7f09-4698-9186-0fc5b139bd99"]}],"mendeley":{"formattedCitation":"(Jeong et al., 2022)","plainTextFormattedCitation":"(Jeong et al., 2022)","previouslyFormattedCitation":"(Jeong et al., 2022)"},"properties":{"noteIndex":0},"schema":"https://github.com/citation-style-language/schema/raw/master/csl-citation.json"}</w:instrText>
      </w:r>
      <w:r w:rsidR="00AB411A">
        <w:rPr>
          <w:color w:val="000000" w:themeColor="text1"/>
        </w:rPr>
        <w:fldChar w:fldCharType="separate"/>
      </w:r>
      <w:r w:rsidR="00AB411A" w:rsidRPr="00AB411A">
        <w:rPr>
          <w:noProof/>
          <w:color w:val="000000" w:themeColor="text1"/>
        </w:rPr>
        <w:t>(Jeong et al., 2022)</w:t>
      </w:r>
      <w:r w:rsidR="00AB411A">
        <w:rPr>
          <w:color w:val="000000" w:themeColor="text1"/>
        </w:rPr>
        <w:fldChar w:fldCharType="end"/>
      </w:r>
      <w:r w:rsidR="00AB411A">
        <w:rPr>
          <w:color w:val="000000" w:themeColor="text1"/>
        </w:rPr>
        <w:t xml:space="preserve">. Briefly, </w:t>
      </w:r>
      <w:r w:rsidR="0012524F">
        <w:rPr>
          <w:color w:val="000000" w:themeColor="text1"/>
        </w:rPr>
        <w:t xml:space="preserve">we selected </w:t>
      </w:r>
      <w:r w:rsidR="00AB411A">
        <w:rPr>
          <w:color w:val="000000" w:themeColor="text1"/>
        </w:rPr>
        <w:t>i</w:t>
      </w:r>
      <w:r w:rsidR="00442ECA">
        <w:rPr>
          <w:color w:val="000000" w:themeColor="text1"/>
        </w:rPr>
        <w:t xml:space="preserve">tems related to </w:t>
      </w:r>
      <w:r w:rsidR="00267EEF">
        <w:rPr>
          <w:color w:val="000000" w:themeColor="text1"/>
        </w:rPr>
        <w:t>environmental stress from the ABCD Study</w:t>
      </w:r>
      <w:r w:rsidR="0012524F">
        <w:rPr>
          <w:color w:val="000000" w:themeColor="text1"/>
        </w:rPr>
        <w:t xml:space="preserve"> data based on</w:t>
      </w:r>
      <w:r w:rsidR="005B694E">
        <w:rPr>
          <w:color w:val="000000" w:themeColor="text1"/>
        </w:rPr>
        <w:t xml:space="preserve"> Urie Bronfenbrenner’s ecological systems</w:t>
      </w:r>
      <w:r w:rsidR="0012524F">
        <w:rPr>
          <w:color w:val="000000" w:themeColor="text1"/>
        </w:rPr>
        <w:t xml:space="preserve"> theory</w:t>
      </w:r>
      <w:r w:rsidR="005B694E">
        <w:rPr>
          <w:color w:val="000000" w:themeColor="text1"/>
        </w:rPr>
        <w:t xml:space="preserve"> </w:t>
      </w:r>
      <w:r w:rsidR="008C7D8D">
        <w:rPr>
          <w:color w:val="000000" w:themeColor="text1"/>
        </w:rPr>
        <w:fldChar w:fldCharType="begin" w:fldLock="1"/>
      </w:r>
      <w:r w:rsidR="00136037">
        <w:rPr>
          <w:color w:val="000000" w:themeColor="text1"/>
        </w:rPr>
        <w:instrText>ADDIN CSL_CITATION {"citationItems":[{"id":"ITEM-1","itemData":{"author":[{"dropping-particle":"","family":"Bronfenbrenner","given":"Urie","non-dropping-particle":"","parse-names":false,"suffix":""}],"id":"ITEM-1","issued":{"date-parts":[["1979"]]},"publisher":"Harvard University Press","publisher-place":"Cambridge, MA","title":"The Ecology of Human Development: Experiments by Nature and Design","type":"book"},"uris":["http://www.mendeley.com/documents/?uuid=81d5d1cd-71f7-446d-b9c4-56d2940e00ef"]}],"mendeley":{"formattedCitation":"(Bronfenbrenner, 1979)","plainTextFormattedCitation":"(Bronfenbrenner, 1979)","previouslyFormattedCitation":"(Bronfenbrenner, 1979)"},"properties":{"noteIndex":0},"schema":"https://github.com/citation-style-language/schema/raw/master/csl-citation.json"}</w:instrText>
      </w:r>
      <w:r w:rsidR="008C7D8D">
        <w:rPr>
          <w:color w:val="000000" w:themeColor="text1"/>
        </w:rPr>
        <w:fldChar w:fldCharType="separate"/>
      </w:r>
      <w:r w:rsidR="008C7D8D" w:rsidRPr="008C7D8D">
        <w:rPr>
          <w:noProof/>
          <w:color w:val="000000" w:themeColor="text1"/>
        </w:rPr>
        <w:t>(Bronfenbrenner, 1979)</w:t>
      </w:r>
      <w:r w:rsidR="008C7D8D">
        <w:rPr>
          <w:color w:val="000000" w:themeColor="text1"/>
        </w:rPr>
        <w:fldChar w:fldCharType="end"/>
      </w:r>
      <w:r w:rsidR="008C7D8D">
        <w:rPr>
          <w:color w:val="000000" w:themeColor="text1"/>
        </w:rPr>
        <w:t xml:space="preserve">, which posits </w:t>
      </w:r>
      <w:r w:rsidR="005803CA">
        <w:rPr>
          <w:color w:val="000000" w:themeColor="text1"/>
        </w:rPr>
        <w:t xml:space="preserve">that </w:t>
      </w:r>
      <w:r w:rsidR="003514A7">
        <w:rPr>
          <w:color w:val="000000" w:themeColor="text1"/>
        </w:rPr>
        <w:t xml:space="preserve">child development occurs </w:t>
      </w:r>
      <w:r w:rsidR="007F6AC7">
        <w:rPr>
          <w:color w:val="000000" w:themeColor="text1"/>
        </w:rPr>
        <w:t>within a complex, multi-level system of influences</w:t>
      </w:r>
      <w:r w:rsidR="0064282F">
        <w:rPr>
          <w:color w:val="000000" w:themeColor="text1"/>
        </w:rPr>
        <w:t xml:space="preserve">. </w:t>
      </w:r>
      <w:r w:rsidR="007D2BB6">
        <w:rPr>
          <w:color w:val="000000" w:themeColor="text1"/>
        </w:rPr>
        <w:t xml:space="preserve">We </w:t>
      </w:r>
      <w:r w:rsidR="0064282F" w:rsidRPr="0064282F">
        <w:rPr>
          <w:color w:val="000000" w:themeColor="text1"/>
        </w:rPr>
        <w:t>thoroughly examined the ABCD Study data to identify all the variables that could potentially affect the environment of the child at any of the</w:t>
      </w:r>
      <w:r w:rsidR="0012524F">
        <w:rPr>
          <w:color w:val="000000" w:themeColor="text1"/>
        </w:rPr>
        <w:t>se</w:t>
      </w:r>
      <w:r w:rsidR="0064282F" w:rsidRPr="0064282F">
        <w:rPr>
          <w:color w:val="000000" w:themeColor="text1"/>
        </w:rPr>
        <w:t xml:space="preserve"> levels.</w:t>
      </w:r>
      <w:r w:rsidR="0064282F">
        <w:rPr>
          <w:color w:val="000000" w:themeColor="text1"/>
        </w:rPr>
        <w:t xml:space="preserve"> </w:t>
      </w:r>
      <w:r w:rsidR="00764617">
        <w:rPr>
          <w:color w:val="000000" w:themeColor="text1"/>
        </w:rPr>
        <w:t xml:space="preserve">Items that were not </w:t>
      </w:r>
      <w:r w:rsidR="00921030">
        <w:rPr>
          <w:color w:val="000000" w:themeColor="text1"/>
        </w:rPr>
        <w:t xml:space="preserve">administered to most participants were removed. </w:t>
      </w:r>
      <w:r w:rsidR="00636EF4">
        <w:rPr>
          <w:color w:val="000000" w:themeColor="text1"/>
        </w:rPr>
        <w:t xml:space="preserve">Items with low endorsement were removed or </w:t>
      </w:r>
      <w:r w:rsidR="000102A7">
        <w:rPr>
          <w:color w:val="000000" w:themeColor="text1"/>
        </w:rPr>
        <w:t xml:space="preserve">combined with the nearest response category to preserve items. </w:t>
      </w:r>
      <w:r w:rsidR="004821CD">
        <w:rPr>
          <w:color w:val="000000" w:themeColor="text1"/>
        </w:rPr>
        <w:t xml:space="preserve">Continuous items with high </w:t>
      </w:r>
      <w:r w:rsidR="00F1159E">
        <w:rPr>
          <w:color w:val="000000" w:themeColor="text1"/>
        </w:rPr>
        <w:t xml:space="preserve">skewness were </w:t>
      </w:r>
      <w:r w:rsidR="0012524F">
        <w:rPr>
          <w:color w:val="000000" w:themeColor="text1"/>
        </w:rPr>
        <w:t>adjusted using a log transformation</w:t>
      </w:r>
      <w:r w:rsidR="00F1159E">
        <w:rPr>
          <w:color w:val="000000" w:themeColor="text1"/>
        </w:rPr>
        <w:t xml:space="preserve">. </w:t>
      </w:r>
      <w:r w:rsidR="007E55D2">
        <w:rPr>
          <w:color w:val="000000" w:themeColor="text1"/>
        </w:rPr>
        <w:t xml:space="preserve">When items had high correlations with each other, suggesting </w:t>
      </w:r>
      <w:r w:rsidR="007517E4">
        <w:rPr>
          <w:color w:val="000000" w:themeColor="text1"/>
        </w:rPr>
        <w:t>the</w:t>
      </w:r>
      <w:r w:rsidR="007E55D2">
        <w:rPr>
          <w:color w:val="000000" w:themeColor="text1"/>
        </w:rPr>
        <w:t xml:space="preserve"> items are redundant, the items were either combined or only one item was retained if </w:t>
      </w:r>
      <w:r w:rsidR="00D93564">
        <w:rPr>
          <w:color w:val="000000" w:themeColor="text1"/>
        </w:rPr>
        <w:t xml:space="preserve">they could not be combined. </w:t>
      </w:r>
      <w:r w:rsidR="007655B6">
        <w:rPr>
          <w:color w:val="000000" w:themeColor="text1"/>
        </w:rPr>
        <w:t>Following item selection and adjustment, 107 variables were include</w:t>
      </w:r>
      <w:r w:rsidR="005C2E2F">
        <w:rPr>
          <w:color w:val="000000" w:themeColor="text1"/>
        </w:rPr>
        <w:t>d for the ESEM analysis</w:t>
      </w:r>
      <w:r w:rsidR="00404833">
        <w:rPr>
          <w:color w:val="000000" w:themeColor="text1"/>
        </w:rPr>
        <w:t xml:space="preserve"> to identify latent factors </w:t>
      </w:r>
      <w:r w:rsidR="00526EAF">
        <w:rPr>
          <w:color w:val="000000" w:themeColor="text1"/>
        </w:rPr>
        <w:t xml:space="preserve">representing a wide </w:t>
      </w:r>
      <w:r w:rsidR="00E22F32">
        <w:rPr>
          <w:color w:val="000000" w:themeColor="text1"/>
        </w:rPr>
        <w:t>array of environmental stressors</w:t>
      </w:r>
      <w:r w:rsidR="00F33DC8">
        <w:rPr>
          <w:color w:val="000000" w:themeColor="text1"/>
        </w:rPr>
        <w:t xml:space="preserve">. </w:t>
      </w:r>
      <w:r w:rsidR="006C4083">
        <w:rPr>
          <w:color w:val="000000" w:themeColor="text1"/>
        </w:rPr>
        <w:t>About</w:t>
      </w:r>
      <w:r w:rsidR="00E528FA">
        <w:rPr>
          <w:color w:val="000000" w:themeColor="text1"/>
        </w:rPr>
        <w:t xml:space="preserve"> </w:t>
      </w:r>
      <w:r w:rsidR="006C4083">
        <w:rPr>
          <w:color w:val="000000" w:themeColor="text1"/>
        </w:rPr>
        <w:t xml:space="preserve">2/3 of the participants were </w:t>
      </w:r>
      <w:r w:rsidR="0028740C">
        <w:rPr>
          <w:color w:val="000000" w:themeColor="text1"/>
        </w:rPr>
        <w:t xml:space="preserve">randomly selected for the ESEM analysis. A parallel analysis </w:t>
      </w:r>
      <w:r w:rsidR="005A4C5A">
        <w:rPr>
          <w:color w:val="000000" w:themeColor="text1"/>
        </w:rPr>
        <w:t xml:space="preserve">with Glorfeld correction </w:t>
      </w:r>
      <w:r w:rsidR="0028740C">
        <w:rPr>
          <w:color w:val="000000" w:themeColor="text1"/>
        </w:rPr>
        <w:t xml:space="preserve">indicated that 4 factors </w:t>
      </w:r>
      <w:r w:rsidR="00AC6E34">
        <w:rPr>
          <w:color w:val="000000" w:themeColor="text1"/>
        </w:rPr>
        <w:t>could</w:t>
      </w:r>
      <w:r w:rsidR="0028740C">
        <w:rPr>
          <w:color w:val="000000" w:themeColor="text1"/>
        </w:rPr>
        <w:t xml:space="preserve"> be extracted.</w:t>
      </w:r>
      <w:r w:rsidR="0076795D">
        <w:rPr>
          <w:color w:val="000000" w:themeColor="text1"/>
        </w:rPr>
        <w:t xml:space="preserve"> The ESEM analysis was conducted with </w:t>
      </w:r>
      <w:r w:rsidR="00812044">
        <w:rPr>
          <w:color w:val="000000" w:themeColor="text1"/>
        </w:rPr>
        <w:t xml:space="preserve">the WLSMV estimator and OBLIMIN rotation. </w:t>
      </w:r>
      <w:r w:rsidR="008860B8">
        <w:rPr>
          <w:color w:val="000000" w:themeColor="text1"/>
        </w:rPr>
        <w:t xml:space="preserve">Variables with </w:t>
      </w:r>
      <w:r w:rsidR="00DB3D91">
        <w:rPr>
          <w:color w:val="000000" w:themeColor="text1"/>
        </w:rPr>
        <w:t xml:space="preserve">a loading of </w:t>
      </w:r>
      <w:r w:rsidR="0086270A" w:rsidRPr="0086270A">
        <w:rPr>
          <w:color w:val="000000" w:themeColor="text1"/>
        </w:rPr>
        <w:t>≥ 0.4</w:t>
      </w:r>
      <w:r w:rsidR="0086270A">
        <w:rPr>
          <w:color w:val="000000" w:themeColor="text1"/>
        </w:rPr>
        <w:t xml:space="preserve"> were retained for </w:t>
      </w:r>
      <w:r w:rsidR="00B24EDE">
        <w:rPr>
          <w:color w:val="000000" w:themeColor="text1"/>
        </w:rPr>
        <w:t xml:space="preserve">confirmatory </w:t>
      </w:r>
      <w:r w:rsidR="00DA5A16">
        <w:rPr>
          <w:color w:val="000000" w:themeColor="text1"/>
        </w:rPr>
        <w:t>modeling</w:t>
      </w:r>
      <w:r w:rsidR="0086270A">
        <w:rPr>
          <w:color w:val="000000" w:themeColor="text1"/>
        </w:rPr>
        <w:t>.</w:t>
      </w:r>
    </w:p>
    <w:p w14:paraId="4B858107" w14:textId="2B02AFC7" w:rsidR="0033418F" w:rsidRDefault="00C01CEB" w:rsidP="00901537">
      <w:pPr>
        <w:ind w:firstLine="720"/>
        <w:rPr>
          <w:color w:val="000000" w:themeColor="text1"/>
        </w:rPr>
      </w:pPr>
      <w:r>
        <w:rPr>
          <w:color w:val="000000" w:themeColor="text1"/>
        </w:rPr>
        <w:t xml:space="preserve">Results </w:t>
      </w:r>
      <w:r w:rsidR="0033418F">
        <w:rPr>
          <w:color w:val="000000" w:themeColor="text1"/>
        </w:rPr>
        <w:t>from</w:t>
      </w:r>
      <w:r>
        <w:rPr>
          <w:color w:val="000000" w:themeColor="text1"/>
        </w:rPr>
        <w:t xml:space="preserve"> the ESEM indicate</w:t>
      </w:r>
      <w:r w:rsidR="0033418F">
        <w:rPr>
          <w:color w:val="000000" w:themeColor="text1"/>
        </w:rPr>
        <w:t>d</w:t>
      </w:r>
      <w:r>
        <w:rPr>
          <w:color w:val="000000" w:themeColor="text1"/>
        </w:rPr>
        <w:t xml:space="preserve"> that 4 factors could be extracted from items reflecting environmental stressors. Factor 1 mainly consisted of items that were associated with the child’s family environment dynamics. These included </w:t>
      </w:r>
      <w:r w:rsidR="0045495B">
        <w:rPr>
          <w:color w:val="000000" w:themeColor="text1"/>
        </w:rPr>
        <w:t xml:space="preserve">variables </w:t>
      </w:r>
      <w:r>
        <w:rPr>
          <w:color w:val="000000" w:themeColor="text1"/>
        </w:rPr>
        <w:t>such as a history of mental illness in any close family member, experiencing traumatic events such as physical or sexual abuse, presence of family conflict, and financial difficulties such as inability to pay for basic necessities like food, rent, and hospital services. Factor 1</w:t>
      </w:r>
      <w:r w:rsidR="0045495B">
        <w:rPr>
          <w:color w:val="000000" w:themeColor="text1"/>
        </w:rPr>
        <w:t xml:space="preserve"> was named</w:t>
      </w:r>
      <w:r>
        <w:rPr>
          <w:color w:val="000000" w:themeColor="text1"/>
        </w:rPr>
        <w:t xml:space="preserve"> “family dynamics</w:t>
      </w:r>
      <w:r w:rsidR="0045495B">
        <w:rPr>
          <w:color w:val="000000" w:themeColor="text1"/>
        </w:rPr>
        <w:t>.</w:t>
      </w:r>
      <w:r>
        <w:rPr>
          <w:color w:val="000000" w:themeColor="text1"/>
        </w:rPr>
        <w:t>” Factor 2 was made up of items that were associated with the child’s perception of interpersonal support in both the</w:t>
      </w:r>
      <w:r w:rsidR="0045495B">
        <w:rPr>
          <w:color w:val="000000" w:themeColor="text1"/>
        </w:rPr>
        <w:t>ir</w:t>
      </w:r>
      <w:r>
        <w:rPr>
          <w:color w:val="000000" w:themeColor="text1"/>
        </w:rPr>
        <w:t xml:space="preserve"> school and home environments. This included the child’s relationships with teachers, their engagement with school activities, and any feelings of disconnection with academic goals. Along with this, the child’s perception of their caregiver’s support including warmth</w:t>
      </w:r>
      <w:r w:rsidR="0045495B">
        <w:rPr>
          <w:color w:val="000000" w:themeColor="text1"/>
        </w:rPr>
        <w:t xml:space="preserve"> and</w:t>
      </w:r>
      <w:r>
        <w:rPr>
          <w:color w:val="000000" w:themeColor="text1"/>
        </w:rPr>
        <w:t xml:space="preserve"> acceptance and </w:t>
      </w:r>
      <w:r w:rsidR="0045495B">
        <w:rPr>
          <w:color w:val="000000" w:themeColor="text1"/>
        </w:rPr>
        <w:t xml:space="preserve">the child’s report of parental </w:t>
      </w:r>
      <w:r>
        <w:rPr>
          <w:color w:val="000000" w:themeColor="text1"/>
        </w:rPr>
        <w:t>monitoring loaded onto Factor 2. This factor was named “interpersonal support</w:t>
      </w:r>
      <w:r w:rsidR="0045495B">
        <w:rPr>
          <w:color w:val="000000" w:themeColor="text1"/>
        </w:rPr>
        <w:t>.</w:t>
      </w:r>
      <w:r>
        <w:rPr>
          <w:color w:val="000000" w:themeColor="text1"/>
        </w:rPr>
        <w:t xml:space="preserve">” Factor 3 mainly consisted of items that were associated with the availability of resources in the neighborhood where the child lives. These items included </w:t>
      </w:r>
      <w:r w:rsidR="0045495B">
        <w:rPr>
          <w:color w:val="000000" w:themeColor="text1"/>
        </w:rPr>
        <w:t xml:space="preserve">variables </w:t>
      </w:r>
      <w:r>
        <w:rPr>
          <w:color w:val="000000" w:themeColor="text1"/>
        </w:rPr>
        <w:t xml:space="preserve">such as income levels, the percentage of families living in poverty, and the percentage of people with a high school diploma. These </w:t>
      </w:r>
      <w:r w:rsidR="0045495B">
        <w:rPr>
          <w:color w:val="000000" w:themeColor="text1"/>
        </w:rPr>
        <w:t xml:space="preserve">variables are </w:t>
      </w:r>
      <w:r>
        <w:rPr>
          <w:color w:val="000000" w:themeColor="text1"/>
        </w:rPr>
        <w:t>indicative of the socioeconomic disadvantage in the neighborhood where the child resides</w:t>
      </w:r>
      <w:r w:rsidR="0045495B">
        <w:rPr>
          <w:color w:val="000000" w:themeColor="text1"/>
        </w:rPr>
        <w:t>, thus,</w:t>
      </w:r>
      <w:r>
        <w:rPr>
          <w:color w:val="000000" w:themeColor="text1"/>
        </w:rPr>
        <w:t xml:space="preserve"> </w:t>
      </w:r>
      <w:r w:rsidR="00EE2610">
        <w:rPr>
          <w:color w:val="000000" w:themeColor="text1"/>
        </w:rPr>
        <w:t>F</w:t>
      </w:r>
      <w:r>
        <w:rPr>
          <w:color w:val="000000" w:themeColor="text1"/>
        </w:rPr>
        <w:t>actor 3 was named “neighborhood SES deprivation.</w:t>
      </w:r>
      <w:r w:rsidR="0045495B">
        <w:rPr>
          <w:color w:val="000000" w:themeColor="text1"/>
        </w:rPr>
        <w:t>”</w:t>
      </w:r>
      <w:r>
        <w:rPr>
          <w:color w:val="000000" w:themeColor="text1"/>
        </w:rPr>
        <w:t xml:space="preserve"> Lastly, Factor 4 was composed of items that </w:t>
      </w:r>
      <w:r w:rsidR="00EE2610">
        <w:rPr>
          <w:color w:val="000000" w:themeColor="text1"/>
        </w:rPr>
        <w:t xml:space="preserve">reflected </w:t>
      </w:r>
      <w:r>
        <w:rPr>
          <w:color w:val="000000" w:themeColor="text1"/>
        </w:rPr>
        <w:t>the quality of the child’s physical environment</w:t>
      </w:r>
      <w:r w:rsidR="00EE2610">
        <w:rPr>
          <w:color w:val="000000" w:themeColor="text1"/>
        </w:rPr>
        <w:t xml:space="preserve">, most of which </w:t>
      </w:r>
      <w:r>
        <w:rPr>
          <w:color w:val="000000" w:themeColor="text1"/>
        </w:rPr>
        <w:t xml:space="preserve">were linked to urban living. These consisted of items that measured features of the physical environment such as pollution levels, population density, walkability, and the possibility of lead exposure. Additionally, items </w:t>
      </w:r>
      <w:r w:rsidR="00EE2610">
        <w:rPr>
          <w:color w:val="000000" w:themeColor="text1"/>
        </w:rPr>
        <w:t xml:space="preserve">related </w:t>
      </w:r>
      <w:r>
        <w:rPr>
          <w:color w:val="000000" w:themeColor="text1"/>
        </w:rPr>
        <w:t>to safety also loaded onto Factor 4 which included crime rates and the parents’ perception of neighborhood safety. Factor 4 was named “</w:t>
      </w:r>
      <w:r w:rsidR="002B7BAC">
        <w:rPr>
          <w:color w:val="000000" w:themeColor="text1"/>
        </w:rPr>
        <w:t>urbanicity</w:t>
      </w:r>
      <w:r w:rsidR="00EE2610">
        <w:rPr>
          <w:color w:val="000000" w:themeColor="text1"/>
        </w:rPr>
        <w:t>.</w:t>
      </w:r>
      <w:r>
        <w:rPr>
          <w:color w:val="000000" w:themeColor="text1"/>
        </w:rPr>
        <w:t xml:space="preserve">” </w:t>
      </w:r>
    </w:p>
    <w:p w14:paraId="5AD04781" w14:textId="2B2FB5F5" w:rsidR="00901537" w:rsidRPr="00493F45" w:rsidRDefault="0033418F" w:rsidP="00EE2610">
      <w:pPr>
        <w:ind w:firstLine="720"/>
        <w:rPr>
          <w:color w:val="000000" w:themeColor="text1"/>
        </w:rPr>
      </w:pPr>
      <w:r>
        <w:rPr>
          <w:color w:val="000000" w:themeColor="text1"/>
        </w:rPr>
        <w:t>For confirmatory analyses, a bifactor model was used with the remaining</w:t>
      </w:r>
      <w:r w:rsidR="00EE2610">
        <w:rPr>
          <w:color w:val="000000" w:themeColor="text1"/>
        </w:rPr>
        <w:t xml:space="preserve"> hold-out </w:t>
      </w:r>
      <w:r>
        <w:rPr>
          <w:color w:val="000000" w:themeColor="text1"/>
        </w:rPr>
        <w:t>participants</w:t>
      </w:r>
      <w:r w:rsidR="00EE2610">
        <w:rPr>
          <w:color w:val="000000" w:themeColor="text1"/>
        </w:rPr>
        <w:t xml:space="preserve"> (approximately one-third of the sample)</w:t>
      </w:r>
      <w:r>
        <w:rPr>
          <w:color w:val="000000" w:themeColor="text1"/>
        </w:rPr>
        <w:t xml:space="preserve"> to model the four factors identified from the ESEM results, plus a general factor that captures the variance common across all the environmental stressors. Each item loaded onto the general factor and one specific factor. All factors in the bifactor model were specified to be uncorrelated. Additionally, a confirmatory higher-order model with the same participants was performed. The higher-order model </w:t>
      </w:r>
      <w:r w:rsidR="00EE2610">
        <w:rPr>
          <w:color w:val="000000" w:themeColor="text1"/>
        </w:rPr>
        <w:t xml:space="preserve">first </w:t>
      </w:r>
      <w:r>
        <w:rPr>
          <w:color w:val="000000" w:themeColor="text1"/>
        </w:rPr>
        <w:lastRenderedPageBreak/>
        <w:t>defin</w:t>
      </w:r>
      <w:r w:rsidR="00EE2610">
        <w:rPr>
          <w:color w:val="000000" w:themeColor="text1"/>
        </w:rPr>
        <w:t>es</w:t>
      </w:r>
      <w:r>
        <w:rPr>
          <w:color w:val="000000" w:themeColor="text1"/>
        </w:rPr>
        <w:t xml:space="preserve"> the four factors identified from the ESEM results</w:t>
      </w:r>
      <w:r w:rsidR="00EE2610">
        <w:rPr>
          <w:color w:val="000000" w:themeColor="text1"/>
        </w:rPr>
        <w:t xml:space="preserve"> and the creates a general factor from the four lower-order factors</w:t>
      </w:r>
      <w:r>
        <w:rPr>
          <w:color w:val="000000" w:themeColor="text1"/>
        </w:rPr>
        <w:t>. In a higher-order model, the factors are allowed to correlate</w:t>
      </w:r>
      <w:r w:rsidR="00EE2610">
        <w:rPr>
          <w:color w:val="000000" w:themeColor="text1"/>
        </w:rPr>
        <w:t xml:space="preserve"> (the general factor is dependent on the lower-order factors)</w:t>
      </w:r>
      <w:r>
        <w:rPr>
          <w:color w:val="000000" w:themeColor="text1"/>
        </w:rPr>
        <w:t>.</w:t>
      </w:r>
      <w:r w:rsidR="00EE2610">
        <w:rPr>
          <w:color w:val="000000" w:themeColor="text1"/>
        </w:rPr>
        <w:t xml:space="preserve"> </w:t>
      </w:r>
      <w:r w:rsidR="00D84032">
        <w:rPr>
          <w:color w:val="000000" w:themeColor="text1"/>
        </w:rPr>
        <w:t xml:space="preserve">A schematic representation of the bifactor model </w:t>
      </w:r>
      <w:r w:rsidR="00B46026">
        <w:rPr>
          <w:color w:val="000000" w:themeColor="text1"/>
        </w:rPr>
        <w:t xml:space="preserve">is presented in Figure 1b </w:t>
      </w:r>
      <w:r w:rsidR="00D84032">
        <w:rPr>
          <w:color w:val="000000" w:themeColor="text1"/>
        </w:rPr>
        <w:t xml:space="preserve">and </w:t>
      </w:r>
      <w:r w:rsidR="005833B9">
        <w:rPr>
          <w:color w:val="000000" w:themeColor="text1"/>
        </w:rPr>
        <w:t>the</w:t>
      </w:r>
      <w:r w:rsidR="00D84032">
        <w:rPr>
          <w:color w:val="000000" w:themeColor="text1"/>
        </w:rPr>
        <w:t xml:space="preserve"> higher-order model </w:t>
      </w:r>
      <w:r w:rsidR="00660E36">
        <w:rPr>
          <w:color w:val="000000" w:themeColor="text1"/>
        </w:rPr>
        <w:t>is presented in Figure 1c</w:t>
      </w:r>
      <w:r w:rsidR="004B7E02">
        <w:rPr>
          <w:color w:val="000000" w:themeColor="text1"/>
        </w:rPr>
        <w:t xml:space="preserve">. </w:t>
      </w:r>
      <w:r w:rsidR="00156098">
        <w:rPr>
          <w:color w:val="000000" w:themeColor="text1"/>
        </w:rPr>
        <w:t>Model f</w:t>
      </w:r>
      <w:r w:rsidR="004C16B4">
        <w:rPr>
          <w:color w:val="000000" w:themeColor="text1"/>
        </w:rPr>
        <w:t>it indices were</w:t>
      </w:r>
      <w:r w:rsidR="00CD215E">
        <w:rPr>
          <w:color w:val="000000" w:themeColor="text1"/>
        </w:rPr>
        <w:t xml:space="preserve"> as follows for bifactor modeling: root mean </w:t>
      </w:r>
      <w:r w:rsidR="008F3B4D">
        <w:rPr>
          <w:color w:val="000000" w:themeColor="text1"/>
        </w:rPr>
        <w:t>square error of approximation = 0.029</w:t>
      </w:r>
      <w:r w:rsidR="00951C8B">
        <w:rPr>
          <w:color w:val="000000" w:themeColor="text1"/>
        </w:rPr>
        <w:t>, 90% CI = 0.023-0.030</w:t>
      </w:r>
      <w:r w:rsidR="00EC463F">
        <w:rPr>
          <w:color w:val="000000" w:themeColor="text1"/>
        </w:rPr>
        <w:t>, comparative fit index = 0.902, and standardized root mean square residual = 0.080</w:t>
      </w:r>
      <w:r w:rsidR="00930594">
        <w:rPr>
          <w:color w:val="000000" w:themeColor="text1"/>
        </w:rPr>
        <w:t xml:space="preserve">. </w:t>
      </w:r>
      <w:r w:rsidR="00156098">
        <w:rPr>
          <w:color w:val="000000" w:themeColor="text1"/>
        </w:rPr>
        <w:t>Fit indices for the</w:t>
      </w:r>
      <w:r w:rsidR="00D56BB9">
        <w:rPr>
          <w:color w:val="000000" w:themeColor="text1"/>
        </w:rPr>
        <w:t xml:space="preserve"> </w:t>
      </w:r>
      <w:r w:rsidR="001C6477">
        <w:rPr>
          <w:color w:val="000000" w:themeColor="text1"/>
        </w:rPr>
        <w:t xml:space="preserve">higher-order modeling were as follows: </w:t>
      </w:r>
      <w:r w:rsidR="00F06719">
        <w:rPr>
          <w:color w:val="000000" w:themeColor="text1"/>
        </w:rPr>
        <w:t>root mean square error of approximation = 0.0</w:t>
      </w:r>
      <w:r w:rsidR="00361A99">
        <w:rPr>
          <w:color w:val="000000" w:themeColor="text1"/>
        </w:rPr>
        <w:t>38</w:t>
      </w:r>
      <w:r w:rsidR="00F06719">
        <w:rPr>
          <w:color w:val="000000" w:themeColor="text1"/>
        </w:rPr>
        <w:t>, 90% CI = 0.0</w:t>
      </w:r>
      <w:r w:rsidR="00013A99">
        <w:rPr>
          <w:color w:val="000000" w:themeColor="text1"/>
        </w:rPr>
        <w:t>37</w:t>
      </w:r>
      <w:r w:rsidR="00F06719">
        <w:rPr>
          <w:color w:val="000000" w:themeColor="text1"/>
        </w:rPr>
        <w:t>-0.03</w:t>
      </w:r>
      <w:r w:rsidR="00BE0AE0">
        <w:rPr>
          <w:color w:val="000000" w:themeColor="text1"/>
        </w:rPr>
        <w:t>9</w:t>
      </w:r>
      <w:r w:rsidR="00F06719">
        <w:rPr>
          <w:color w:val="000000" w:themeColor="text1"/>
        </w:rPr>
        <w:t>, comparative fit index = 0.</w:t>
      </w:r>
      <w:r w:rsidR="006B4E58">
        <w:rPr>
          <w:color w:val="000000" w:themeColor="text1"/>
        </w:rPr>
        <w:t>8</w:t>
      </w:r>
      <w:r w:rsidR="00F06719">
        <w:rPr>
          <w:color w:val="000000" w:themeColor="text1"/>
        </w:rPr>
        <w:t>2</w:t>
      </w:r>
      <w:r w:rsidR="006B4E58">
        <w:rPr>
          <w:color w:val="000000" w:themeColor="text1"/>
        </w:rPr>
        <w:t>9</w:t>
      </w:r>
      <w:r w:rsidR="00F06719">
        <w:rPr>
          <w:color w:val="000000" w:themeColor="text1"/>
        </w:rPr>
        <w:t>, and standardized root mean square residual = 0.</w:t>
      </w:r>
      <w:r w:rsidR="00D53CD1">
        <w:rPr>
          <w:color w:val="000000" w:themeColor="text1"/>
        </w:rPr>
        <w:t>1</w:t>
      </w:r>
      <w:r w:rsidR="00F06719">
        <w:rPr>
          <w:color w:val="000000" w:themeColor="text1"/>
        </w:rPr>
        <w:t>0</w:t>
      </w:r>
      <w:r w:rsidR="00D53CD1">
        <w:rPr>
          <w:color w:val="000000" w:themeColor="text1"/>
        </w:rPr>
        <w:t>2</w:t>
      </w:r>
      <w:r w:rsidR="00440941">
        <w:rPr>
          <w:color w:val="000000" w:themeColor="text1"/>
        </w:rPr>
        <w:t xml:space="preserve">. </w:t>
      </w:r>
      <w:r w:rsidR="005858A2" w:rsidRPr="00493F45">
        <w:rPr>
          <w:color w:val="000000" w:themeColor="text1"/>
        </w:rPr>
        <w:t>The</w:t>
      </w:r>
      <w:r w:rsidR="00156098">
        <w:rPr>
          <w:color w:val="000000" w:themeColor="text1"/>
        </w:rPr>
        <w:t xml:space="preserve"> details of the</w:t>
      </w:r>
      <w:r w:rsidR="005858A2" w:rsidRPr="00493F45">
        <w:rPr>
          <w:color w:val="000000" w:themeColor="text1"/>
        </w:rPr>
        <w:t xml:space="preserve"> calculation of the model as well as the validity and reliability of the </w:t>
      </w:r>
      <w:r w:rsidR="00427678">
        <w:rPr>
          <w:color w:val="000000" w:themeColor="text1"/>
        </w:rPr>
        <w:t xml:space="preserve">environmental stress factors </w:t>
      </w:r>
      <w:r w:rsidR="00156098">
        <w:rPr>
          <w:color w:val="000000" w:themeColor="text1"/>
        </w:rPr>
        <w:t>are discussed in</w:t>
      </w:r>
      <w:r w:rsidR="00AB548D">
        <w:rPr>
          <w:color w:val="000000" w:themeColor="text1"/>
        </w:rPr>
        <w:t xml:space="preserve"> our previous </w:t>
      </w:r>
      <w:r w:rsidR="00862F37">
        <w:rPr>
          <w:color w:val="000000" w:themeColor="text1"/>
        </w:rPr>
        <w:t xml:space="preserve">work </w:t>
      </w:r>
      <w:r w:rsidR="0003615E">
        <w:rPr>
          <w:color w:val="000000" w:themeColor="text1"/>
        </w:rPr>
        <w:fldChar w:fldCharType="begin" w:fldLock="1"/>
      </w:r>
      <w:r w:rsidR="003368C2">
        <w:rPr>
          <w:color w:val="000000" w:themeColor="text1"/>
        </w:rPr>
        <w:instrText>ADDIN CSL_CITATION {"citationItems":[{"id":"ITEM-1","itemData":{"DOI":"10.1016/j.bpsgos.2022.04.004","ISSN":"26671743","abstract":"ABSTRACT Background Early life stressors can adversely affect the developing brain. While hierarchical modeling has established the existence of a general factor of psychopathology, no studies have modeled a general factor of environmental stress and related this factor to brain development. Using a large sample of children from the Adolescent Brain Cognitive DevelopmentSM Study (ABCD Study®), the current study aimed to identify general and specific factors of environmental stress and test their associations with brain structure and psychopathology. Methods Bifactor modeling and higher-order (second-order) modeling identified general and specific factors of environmental stress: family dynamics, interpersonal support, neighborhood SES deprivation, and urbanicity in a sample of 11,878 children. Structural equation modeling was performed to examine associations between these factors and regional gray matter volume (GMV) and cortical thickness as well as general and specific factors of psychopathology. Results The general environmental stress factor was associated with globally smaller cortical and subcortical GMV, as well as thinner cortices across widespread regions. Family dynamics and neighborhood SES deprivation were associated with smaller GMV in focal regions. Urbanicity was associated with larger cortical and subcortical GMV and thicker cortices in frontotemporal regions. The environmental factors were associated with psychopathology in the expected directions. The general factors of environmental stress and psychopathology were both predictors of smaller GMV in children, while remaining distinct from each other. Conclusions This study reveals a unifying model of environmental influences that illustrates the inherent organization of environmental stressors and their relationship to brain structure and psychopathology.","author":[{"dropping-particle":"","family":"Jeong","given":"Hee Jung","non-dropping-particle":"","parse-names":false,"suffix":""},{"dropping-particle":"","family":"Moore","given":"Tyler M.","non-dropping-particle":"","parse-names":false,"suffix":""},{"dropping-particle":"","family":"Durham","given":"E. Leighton","non-dropping-particle":"","parse-names":false,"suffix":""},{"dropping-particle":"","family":"Reimann","given":"Gabrielle E.","non-dropping-particle":"","parse-names":false,"suffix":""},{"dropping-particle":"","family":"Dupont","given":"Randolph M.","non-dropping-particle":"","parse-names":false,"suffix":""},{"dropping-particle":"","family":"Cardenas-Iniguez","given":"Carlos","non-dropping-particle":"","parse-names":false,"suffix":""},{"dropping-particle":"","family":"Berman","given":"Marc G.","non-dropping-particle":"","parse-names":false,"suffix":""},{"dropping-particle":"","family":"Lahey","given":"Benjamin B.","non-dropping-particle":"","parse-names":false,"suffix":""},{"dropping-particle":"","family":"Kaczkurkin","given":"Antonia N.","non-dropping-particle":"","parse-names":false,"suffix":""}],"container-title":"Biological Psychiatry Global Open Science","id":"ITEM-1","issued":{"date-parts":[["2022"]]},"page":"1-10","publisher":"The Authors","title":"General and Specific Factors of Environmental Stress and their Associations with Brain Structure and Dimensions of Psychopathology","type":"article-journal"},"uris":["http://www.mendeley.com/documents/?uuid=b785a911-7f09-4698-9186-0fc5b139bd99"]}],"mendeley":{"formattedCitation":"(Jeong et al., 2022)","plainTextFormattedCitation":"(Jeong et al., 2022)","previouslyFormattedCitation":"(Jeong et al., 2022)"},"properties":{"noteIndex":0},"schema":"https://github.com/citation-style-language/schema/raw/master/csl-citation.json"}</w:instrText>
      </w:r>
      <w:r w:rsidR="0003615E">
        <w:rPr>
          <w:color w:val="000000" w:themeColor="text1"/>
        </w:rPr>
        <w:fldChar w:fldCharType="separate"/>
      </w:r>
      <w:r w:rsidR="0003615E" w:rsidRPr="0003615E">
        <w:rPr>
          <w:noProof/>
          <w:color w:val="000000" w:themeColor="text1"/>
        </w:rPr>
        <w:t>(Jeong et al., 2022)</w:t>
      </w:r>
      <w:r w:rsidR="0003615E">
        <w:rPr>
          <w:color w:val="000000" w:themeColor="text1"/>
        </w:rPr>
        <w:fldChar w:fldCharType="end"/>
      </w:r>
      <w:r w:rsidR="0003615E">
        <w:rPr>
          <w:color w:val="000000" w:themeColor="text1"/>
        </w:rPr>
        <w:t>.</w:t>
      </w:r>
    </w:p>
    <w:p w14:paraId="698B394C" w14:textId="0A9CA150" w:rsidR="00653231" w:rsidRPr="00493F45" w:rsidRDefault="00653231" w:rsidP="00653231">
      <w:pPr>
        <w:rPr>
          <w:color w:val="000000" w:themeColor="text1"/>
        </w:rPr>
        <w:sectPr w:rsidR="00653231" w:rsidRPr="00493F45" w:rsidSect="00F46342">
          <w:pgSz w:w="12240" w:h="15840"/>
          <w:pgMar w:top="1440" w:right="1440" w:bottom="1440" w:left="1440" w:header="720" w:footer="720" w:gutter="0"/>
          <w:cols w:space="720"/>
          <w:docGrid w:linePitch="360"/>
        </w:sectPr>
      </w:pPr>
    </w:p>
    <w:p w14:paraId="6F6905EC" w14:textId="19A20243" w:rsidR="00063E84" w:rsidRPr="009512C7" w:rsidRDefault="00226DF8" w:rsidP="009512C7">
      <w:pPr>
        <w:pStyle w:val="Heading1"/>
        <w:rPr>
          <w:rFonts w:ascii="Times New Roman" w:hAnsi="Times New Roman" w:cs="Times New Roman"/>
          <w:b/>
          <w:bCs/>
          <w:color w:val="000000" w:themeColor="text1"/>
          <w:sz w:val="24"/>
          <w:szCs w:val="24"/>
        </w:rPr>
      </w:pPr>
      <w:bookmarkStart w:id="4" w:name="_Toc155817672"/>
      <w:r w:rsidRPr="009512C7">
        <w:rPr>
          <w:rFonts w:ascii="Times New Roman" w:hAnsi="Times New Roman" w:cs="Times New Roman"/>
          <w:b/>
          <w:bCs/>
          <w:color w:val="000000" w:themeColor="text1"/>
          <w:sz w:val="24"/>
          <w:szCs w:val="24"/>
        </w:rPr>
        <w:lastRenderedPageBreak/>
        <w:t xml:space="preserve">Hierarchical </w:t>
      </w:r>
      <w:r w:rsidR="00030824" w:rsidRPr="009512C7">
        <w:rPr>
          <w:rFonts w:ascii="Times New Roman" w:hAnsi="Times New Roman" w:cs="Times New Roman"/>
          <w:b/>
          <w:bCs/>
          <w:color w:val="000000" w:themeColor="text1"/>
          <w:sz w:val="24"/>
          <w:szCs w:val="24"/>
        </w:rPr>
        <w:t>M</w:t>
      </w:r>
      <w:r w:rsidRPr="009512C7">
        <w:rPr>
          <w:rFonts w:ascii="Times New Roman" w:hAnsi="Times New Roman" w:cs="Times New Roman"/>
          <w:b/>
          <w:bCs/>
          <w:color w:val="000000" w:themeColor="text1"/>
          <w:sz w:val="24"/>
          <w:szCs w:val="24"/>
        </w:rPr>
        <w:t xml:space="preserve">odels of </w:t>
      </w:r>
      <w:r w:rsidR="00F73AF9" w:rsidRPr="009512C7">
        <w:rPr>
          <w:rFonts w:ascii="Times New Roman" w:hAnsi="Times New Roman" w:cs="Times New Roman"/>
          <w:b/>
          <w:bCs/>
          <w:color w:val="000000" w:themeColor="text1"/>
          <w:sz w:val="24"/>
          <w:szCs w:val="24"/>
        </w:rPr>
        <w:t>P</w:t>
      </w:r>
      <w:r w:rsidRPr="009512C7">
        <w:rPr>
          <w:rFonts w:ascii="Times New Roman" w:hAnsi="Times New Roman" w:cs="Times New Roman"/>
          <w:b/>
          <w:bCs/>
          <w:color w:val="000000" w:themeColor="text1"/>
          <w:sz w:val="24"/>
          <w:szCs w:val="24"/>
        </w:rPr>
        <w:t>sychopathology</w:t>
      </w:r>
      <w:bookmarkEnd w:id="4"/>
    </w:p>
    <w:p w14:paraId="4C258086" w14:textId="77777777" w:rsidR="009512C7" w:rsidRDefault="009512C7" w:rsidP="0062677D">
      <w:pPr>
        <w:ind w:firstLine="720"/>
      </w:pPr>
    </w:p>
    <w:p w14:paraId="5FB725CD" w14:textId="77777777" w:rsidR="00DE156A" w:rsidRDefault="0087057D" w:rsidP="00DE156A">
      <w:pPr>
        <w:ind w:firstLine="720"/>
      </w:pPr>
      <w:r>
        <w:t>Our</w:t>
      </w:r>
      <w:r w:rsidRPr="0087057D">
        <w:t xml:space="preserve"> previous study utilized the Child Behavior Checklist (CBCL)</w:t>
      </w:r>
      <w:r w:rsidR="00DE156A">
        <w:t xml:space="preserve"> </w:t>
      </w:r>
      <w:r w:rsidR="00DE156A">
        <w:fldChar w:fldCharType="begin" w:fldLock="1"/>
      </w:r>
      <w:r w:rsidR="00DE156A">
        <w:instrText>ADDIN CSL_CITATION {"citationItems":[{"id":"ITEM-1","itemData":{"author":[{"dropping-particle":"","family":"Achenbach","given":"T. M.","non-dropping-particle":"","parse-names":false,"suffix":""}],"id":"ITEM-1","issued":{"date-parts":[["2009"]]},"publisher":"Burlington, VT: University of Vermont Research Center for Children, Youth, and Families","publisher-place":"Burlington, VT","title":"The Achenbach system of empirically based assessment (ASEBA): Development, findings, theory, and applications.","type":"book"},"uris":["http://www.mendeley.com/documents/?uuid=6fd33748-a23e-4ce2-9f49-e93b0c6e3e50"]}],"mendeley":{"formattedCitation":"(Achenbach, 2009)","plainTextFormattedCitation":"(Achenbach, 2009)"},"properties":{"noteIndex":0},"schema":"https://github.com/citation-style-language/schema/raw/master/csl-citation.json"}</w:instrText>
      </w:r>
      <w:r w:rsidR="00DE156A">
        <w:fldChar w:fldCharType="separate"/>
      </w:r>
      <w:r w:rsidR="00DE156A" w:rsidRPr="00DE156A">
        <w:rPr>
          <w:noProof/>
        </w:rPr>
        <w:t>(Achenbach, 2009)</w:t>
      </w:r>
      <w:r w:rsidR="00DE156A">
        <w:fldChar w:fldCharType="end"/>
      </w:r>
      <w:r w:rsidRPr="0087057D">
        <w:t xml:space="preserve"> to derive psychopathology factors based on baseline data from the ABCD Study</w:t>
      </w:r>
      <w:r>
        <w:t xml:space="preserve"> </w:t>
      </w:r>
      <w:r w:rsidR="00096CB8">
        <w:fldChar w:fldCharType="begin" w:fldLock="1"/>
      </w:r>
      <w:r w:rsidR="003046B2">
        <w:instrText>ADDIN CSL_CITATION {"citationItems":[{"id":"ITEM-1","itemData":{"author":[{"dropping-particle":"","family":"Moore","given":"Tyler M.","non-dropping-particle":"","parse-names":false,"suffix":""},{"dropping-particle":"","family":"Kaczkurkin","given":"A.N.","non-dropping-particle":"","parse-names":false,"suffix":""},{"dropping-particle":"","family":"Durham","given":"E.L.","non-dropping-particle":"","parse-names":false,"suffix":""},{"dropping-particle":"","family":"Jeong","given":"H.J.","non-dropping-particle":"","parse-names":false,"suffix":""},{"dropping-particle":"","family":"McDowell","given":"M.G.","non-dropping-particle":"","parse-names":false,"suffix":""},{"dropping-particle":"","family":"Dupont","given":"R.M.","non-dropping-particle":"","parse-names":false,"suffix":""},{"dropping-particle":"","family":"Applegate","given":"B.","non-dropping-particle":"","parse-names":false,"suffix":""},{"dropping-particle":"","family":"Tackett","given":"J.L.","non-dropping-particle":"","parse-names":false,"suffix":""},{"dropping-particle":"","family":"Cardenas-Iniguez","given":"C.","non-dropping-particle":"","parse-names":false,"suffix":""},{"dropping-particle":"","family":"Kardan","given":"O.","non-dropping-particle":"","parse-names":false,"suffix":""},{"dropping-particle":"","family":"Akcelik","given":"G.N.","non-dropping-particle":"","parse-names":false,"suffix":""},{"dropping-particle":"","family":"Stier","given":"A.","non-dropping-particle":"","parse-names":false,"suffix":""},{"dropping-particle":"","family":"Rosenberg","given":"M.D.","non-dropping-particle":"","parse-names":false,"suffix":""},{"dropping-particle":"","family":"Hedeker","given":"D.","non-dropping-particle":"","parse-names":false,"suffix":""},{"dropping-particle":"","family":"Bernman","given":"M.G.","non-dropping-particle":"","parse-names":false,"suffix":""},{"dropping-particle":"","family":"Lahey","given":"B.B.","non-dropping-particle":"","parse-names":false,"suffix":""}],"container-title":"Journal of Abnormal Psychology","id":"ITEM-1","issued":{"date-parts":[["2020"]]},"page":"677-688","title":"Criterion Validity and Relationships between Alternative Hierarchical Dimensional Models of General and Specific Psychopathology","type":"article-journal","volume":"129"},"uris":["http://www.mendeley.com/documents/?uuid=9010c572-b0bb-41fd-9bdb-1e7f018cc06e"]}],"mendeley":{"formattedCitation":"(Moore et al., 2020)","plainTextFormattedCitation":"(Moore et al., 2020)","previouslyFormattedCitation":"(Moore et al., 2020)"},"properties":{"noteIndex":0},"schema":"https://github.com/citation-style-language/schema/raw/master/csl-citation.json"}</w:instrText>
      </w:r>
      <w:r w:rsidR="00096CB8">
        <w:fldChar w:fldCharType="separate"/>
      </w:r>
      <w:r w:rsidR="00096CB8" w:rsidRPr="00096CB8">
        <w:rPr>
          <w:noProof/>
        </w:rPr>
        <w:t>(Moore et al., 2020)</w:t>
      </w:r>
      <w:r w:rsidR="00096CB8">
        <w:fldChar w:fldCharType="end"/>
      </w:r>
      <w:r w:rsidRPr="0087057D">
        <w:t xml:space="preserve">. </w:t>
      </w:r>
      <w:r w:rsidR="00DE156A" w:rsidRPr="00022BA4">
        <w:t>The CBCL consists of 11</w:t>
      </w:r>
      <w:r w:rsidR="00DE156A">
        <w:t>2</w:t>
      </w:r>
      <w:r w:rsidR="00DE156A" w:rsidRPr="00022BA4">
        <w:t xml:space="preserve"> items </w:t>
      </w:r>
      <w:r w:rsidR="00DE156A">
        <w:t xml:space="preserve">with </w:t>
      </w:r>
      <w:r w:rsidR="00DE156A" w:rsidRPr="00022BA4">
        <w:t xml:space="preserve">related to various emotions and behaviors rated on a 3-point scale: 0 = </w:t>
      </w:r>
      <w:r w:rsidR="00DE156A" w:rsidRPr="000A16E1">
        <w:rPr>
          <w:i/>
          <w:iCs/>
        </w:rPr>
        <w:t>not true (as far as you know)</w:t>
      </w:r>
      <w:r w:rsidR="00DE156A" w:rsidRPr="00022BA4">
        <w:t xml:space="preserve">, 1 = </w:t>
      </w:r>
      <w:r w:rsidR="00DE156A" w:rsidRPr="000A16E1">
        <w:rPr>
          <w:i/>
          <w:iCs/>
        </w:rPr>
        <w:t>somewhat or sometimes true</w:t>
      </w:r>
      <w:r w:rsidR="00DE156A" w:rsidRPr="00022BA4">
        <w:t xml:space="preserve">, and 2 = </w:t>
      </w:r>
      <w:r w:rsidR="00DE156A" w:rsidRPr="000A16E1">
        <w:rPr>
          <w:i/>
          <w:iCs/>
        </w:rPr>
        <w:t>very true or often true</w:t>
      </w:r>
      <w:r w:rsidR="00DE156A" w:rsidRPr="00022BA4">
        <w:t xml:space="preserve">. </w:t>
      </w:r>
      <w:r w:rsidR="00DE156A">
        <w:t xml:space="preserve">The CBCL shows excellent reliability (test-retest and inter-rater), adequate internal consistency, and good construct validity with other scales and with the DSM criteria </w:t>
      </w:r>
      <w:r w:rsidR="00DE156A">
        <w:fldChar w:fldCharType="begin" w:fldLock="1"/>
      </w:r>
      <w:r w:rsidR="00DE156A">
        <w:instrText>ADDIN CSL_CITATION {"citationItems":[{"id":"ITEM-1","itemData":{"author":[{"dropping-particle":"","family":"Achenbach","given":"T. M.","non-dropping-particle":"","parse-names":false,"suffix":""}],"id":"ITEM-1","issued":{"date-parts":[["2009"]]},"publisher":"Burlington, VT: University of Vermont Research Center for Children, Youth, and Families","publisher-place":"Burlington, VT","title":"The Achenbach system of empirically based assessment (ASEBA): Development, findings, theory, and applications.","type":"book"},"uris":["http://www.mendeley.com/documents/?uuid=6fd33748-a23e-4ce2-9f49-e93b0c6e3e50"]}],"mendeley":{"formattedCitation":"(Achenbach, 2009)","plainTextFormattedCitation":"(Achenbach, 2009)","previouslyFormattedCitation":"(Achenbach, 2009)"},"properties":{"noteIndex":0},"schema":"https://github.com/citation-style-language/schema/raw/master/csl-citation.json"}</w:instrText>
      </w:r>
      <w:r w:rsidR="00DE156A">
        <w:fldChar w:fldCharType="separate"/>
      </w:r>
      <w:r w:rsidR="00DE156A" w:rsidRPr="00174DDE">
        <w:rPr>
          <w:noProof/>
        </w:rPr>
        <w:t>(Achenbach, 2009)</w:t>
      </w:r>
      <w:r w:rsidR="00DE156A">
        <w:fldChar w:fldCharType="end"/>
      </w:r>
      <w:r w:rsidR="00DE156A">
        <w:t>.</w:t>
      </w:r>
    </w:p>
    <w:p w14:paraId="0821A666" w14:textId="10322602" w:rsidR="00A66060" w:rsidRDefault="0087057D" w:rsidP="00DE156A">
      <w:pPr>
        <w:ind w:firstLine="720"/>
      </w:pPr>
      <w:r w:rsidRPr="0087057D">
        <w:t xml:space="preserve">The data was split into two samples for analysis: an </w:t>
      </w:r>
      <w:r w:rsidR="00156098">
        <w:t>ESEM</w:t>
      </w:r>
      <w:r w:rsidRPr="0087057D">
        <w:t xml:space="preserve"> analysis and a confirmatory bifactor analysis. Items that did not reflect symptoms of psychopathology or were not age-appropriate were removed, and a composite was created for redundant items. The analyses identified three factors of psychopathology: internalizing problems, attention-deficit/hyperactivity disorder (ADHD) symptoms, and conduct problems. A general psychopathology factor was also identified, representing psychopathology symptoms shared across all </w:t>
      </w:r>
      <w:r w:rsidR="00156098">
        <w:t>dimensions</w:t>
      </w:r>
      <w:r w:rsidRPr="0087057D">
        <w:t xml:space="preserve">. Each CBCL item loaded onto the general psychopathology factor and one of the specific factors, and the factors were </w:t>
      </w:r>
      <w:r w:rsidR="00156098">
        <w:t>orthogonal (uncorrelated) to each other</w:t>
      </w:r>
      <w:r w:rsidRPr="0087057D">
        <w:t xml:space="preserve">. The </w:t>
      </w:r>
      <w:r w:rsidR="0003615E">
        <w:t xml:space="preserve">validity and reliability of </w:t>
      </w:r>
      <w:r w:rsidR="00156098">
        <w:t xml:space="preserve">the </w:t>
      </w:r>
      <w:r w:rsidR="0003615E">
        <w:t xml:space="preserve">psychopathology dimensions </w:t>
      </w:r>
      <w:r w:rsidR="00AF3C75">
        <w:t>are published in our previous w</w:t>
      </w:r>
      <w:r w:rsidR="00876730">
        <w:t xml:space="preserve">ork </w:t>
      </w:r>
      <w:r w:rsidR="003046B2">
        <w:fldChar w:fldCharType="begin" w:fldLock="1"/>
      </w:r>
      <w:r w:rsidR="007531EC">
        <w:instrText>ADDIN CSL_CITATION {"citationItems":[{"id":"ITEM-1","itemData":{"author":[{"dropping-particle":"","family":"Moore","given":"Tyler M.","non-dropping-particle":"","parse-names":false,"suffix":""},{"dropping-particle":"","family":"Kaczkurkin","given":"A.N.","non-dropping-particle":"","parse-names":false,"suffix":""},{"dropping-particle":"","family":"Durham","given":"E.L.","non-dropping-particle":"","parse-names":false,"suffix":""},{"dropping-particle":"","family":"Jeong","given":"H.J.","non-dropping-particle":"","parse-names":false,"suffix":""},{"dropping-particle":"","family":"McDowell","given":"M.G.","non-dropping-particle":"","parse-names":false,"suffix":""},{"dropping-particle":"","family":"Dupont","given":"R.M.","non-dropping-particle":"","parse-names":false,"suffix":""},{"dropping-particle":"","family":"Applegate","given":"B.","non-dropping-particle":"","parse-names":false,"suffix":""},{"dropping-particle":"","family":"Tackett","given":"J.L.","non-dropping-particle":"","parse-names":false,"suffix":""},{"dropping-particle":"","family":"Cardenas-Iniguez","given":"C.","non-dropping-particle":"","parse-names":false,"suffix":""},{"dropping-particle":"","family":"Kardan","given":"O.","non-dropping-particle":"","parse-names":false,"suffix":""},{"dropping-particle":"","family":"Akcelik","given":"G.N.","non-dropping-particle":"","parse-names":false,"suffix":""},{"dropping-particle":"","family":"Stier","given":"A.","non-dropping-particle":"","parse-names":false,"suffix":""},{"dropping-particle":"","family":"Rosenberg","given":"M.D.","non-dropping-particle":"","parse-names":false,"suffix":""},{"dropping-particle":"","family":"Hedeker","given":"D.","non-dropping-particle":"","parse-names":false,"suffix":""},{"dropping-particle":"","family":"Bernman","given":"M.G.","non-dropping-particle":"","parse-names":false,"suffix":""},{"dropping-particle":"","family":"Lahey","given":"B.B.","non-dropping-particle":"","parse-names":false,"suffix":""}],"container-title":"Journal of Abnormal Psychology","id":"ITEM-1","issued":{"date-parts":[["2020"]]},"page":"677-688","title":"Criterion Validity and Relationships between Alternative Hierarchical Dimensional Models of General and Specific Psychopathology","type":"article-journal","volume":"129"},"uris":["http://www.mendeley.com/documents/?uuid=9010c572-b0bb-41fd-9bdb-1e7f018cc06e"]}],"mendeley":{"formattedCitation":"(Moore et al., 2020)","plainTextFormattedCitation":"(Moore et al., 2020)","previouslyFormattedCitation":"(Moore et al., 2020)"},"properties":{"noteIndex":0},"schema":"https://github.com/citation-style-language/schema/raw/master/csl-citation.json"}</w:instrText>
      </w:r>
      <w:r w:rsidR="003046B2">
        <w:fldChar w:fldCharType="separate"/>
      </w:r>
      <w:r w:rsidR="003046B2" w:rsidRPr="003046B2">
        <w:rPr>
          <w:noProof/>
        </w:rPr>
        <w:t>(Moore et al., 2020)</w:t>
      </w:r>
      <w:r w:rsidR="003046B2">
        <w:fldChar w:fldCharType="end"/>
      </w:r>
      <w:r w:rsidRPr="0087057D">
        <w:t>.</w:t>
      </w:r>
    </w:p>
    <w:p w14:paraId="433946F2" w14:textId="77777777" w:rsidR="00A66060" w:rsidRDefault="00A66060">
      <w:r>
        <w:br w:type="page"/>
      </w:r>
    </w:p>
    <w:p w14:paraId="0DFA73AE" w14:textId="31C752FC" w:rsidR="003716F4" w:rsidRDefault="003716F4" w:rsidP="003716F4">
      <w:pPr>
        <w:pStyle w:val="Heading1"/>
        <w:rPr>
          <w:rFonts w:ascii="Times New Roman" w:hAnsi="Times New Roman" w:cs="Times New Roman"/>
          <w:b/>
          <w:bCs/>
          <w:color w:val="000000" w:themeColor="text1"/>
          <w:sz w:val="24"/>
          <w:szCs w:val="24"/>
        </w:rPr>
      </w:pPr>
      <w:bookmarkStart w:id="5" w:name="_Toc100238103"/>
      <w:bookmarkStart w:id="6" w:name="_Toc155817673"/>
      <w:r w:rsidRPr="00493F45">
        <w:rPr>
          <w:rFonts w:ascii="Times New Roman" w:hAnsi="Times New Roman" w:cs="Times New Roman"/>
          <w:b/>
          <w:bCs/>
          <w:color w:val="000000" w:themeColor="text1"/>
          <w:sz w:val="24"/>
          <w:szCs w:val="24"/>
        </w:rPr>
        <w:lastRenderedPageBreak/>
        <w:t>Image Acquisition, Processing, and Quality Assurance</w:t>
      </w:r>
      <w:bookmarkEnd w:id="5"/>
      <w:bookmarkEnd w:id="6"/>
      <w:r w:rsidRPr="00493F45">
        <w:rPr>
          <w:rFonts w:ascii="Times New Roman" w:hAnsi="Times New Roman" w:cs="Times New Roman"/>
          <w:b/>
          <w:bCs/>
          <w:color w:val="000000" w:themeColor="text1"/>
          <w:sz w:val="24"/>
          <w:szCs w:val="24"/>
        </w:rPr>
        <w:t xml:space="preserve"> </w:t>
      </w:r>
    </w:p>
    <w:p w14:paraId="46C74F2F" w14:textId="77777777" w:rsidR="00E44E7F" w:rsidRPr="00E44E7F" w:rsidRDefault="00E44E7F" w:rsidP="00E44E7F"/>
    <w:p w14:paraId="33858129" w14:textId="6BADB8EB" w:rsidR="0045590D" w:rsidRDefault="003716F4" w:rsidP="00AF0669">
      <w:pPr>
        <w:ind w:firstLine="720"/>
        <w:rPr>
          <w:color w:val="000000" w:themeColor="text1"/>
        </w:rPr>
      </w:pPr>
      <w:r w:rsidRPr="003716F4">
        <w:rPr>
          <w:color w:val="000000" w:themeColor="text1"/>
        </w:rPr>
        <w:t>Imaging data was collected from 21 different data collection sites using a standardized</w:t>
      </w:r>
      <w:r w:rsidR="000F7A5A">
        <w:rPr>
          <w:color w:val="000000" w:themeColor="text1"/>
        </w:rPr>
        <w:t xml:space="preserve"> </w:t>
      </w:r>
      <w:r w:rsidRPr="003716F4">
        <w:rPr>
          <w:color w:val="000000" w:themeColor="text1"/>
        </w:rPr>
        <w:t>imaging protocol created by the ABCD Data Analysis and Informatics Center (DAIC) and the</w:t>
      </w:r>
      <w:r w:rsidR="000F7A5A">
        <w:rPr>
          <w:color w:val="000000" w:themeColor="text1"/>
        </w:rPr>
        <w:t xml:space="preserve"> </w:t>
      </w:r>
      <w:r w:rsidRPr="003716F4">
        <w:rPr>
          <w:color w:val="000000" w:themeColor="text1"/>
        </w:rPr>
        <w:t>ABCD Imaging Acquisition Workgroup to ensure consistency across multiple 3T scanner</w:t>
      </w:r>
      <w:r w:rsidR="000F7A5A">
        <w:rPr>
          <w:color w:val="000000" w:themeColor="text1"/>
        </w:rPr>
        <w:t xml:space="preserve"> </w:t>
      </w:r>
      <w:r w:rsidRPr="003716F4">
        <w:rPr>
          <w:color w:val="000000" w:themeColor="text1"/>
        </w:rPr>
        <w:t>platforms (Siemens Prisma, General Electric (GE) 750, and Phillips)</w:t>
      </w:r>
      <w:r w:rsidR="00136037">
        <w:rPr>
          <w:color w:val="000000" w:themeColor="text1"/>
        </w:rPr>
        <w:t xml:space="preserve"> </w:t>
      </w:r>
      <w:r w:rsidR="00136037">
        <w:rPr>
          <w:color w:val="000000" w:themeColor="text1"/>
        </w:rPr>
        <w:fldChar w:fldCharType="begin" w:fldLock="1"/>
      </w:r>
      <w:r w:rsidR="00EF507A">
        <w:rPr>
          <w:color w:val="000000" w:themeColor="text1"/>
        </w:rPr>
        <w:instrText>ADDIN CSL_CITATION {"citationItems":[{"id":"ITEM-1","itemData":{"DOI":"10.1016/j.dcn.2018.03.001","ISSN":"18789307","PMID":"29567376","abstract":"The ABCD study is recruiting and following the brain development and health of over 10,000 9–10 year olds through adolescence. The imaging component of the study was developed by the ABCD Data Analysis and Informatics Center (DAIC) and the ABCD Imaging Acquisition Workgroup. Imaging methods and assessments were selected, optimized and harmonized across all 21 sites to measure brain structure and function relevant to adolescent development and addiction. This article provides an overview of the imaging procedures of the ABCD study, the basis for their selection and preliminary quality assurance and results that provide evidence for the feasibility and age-appropriateness of procedures and generalizability of findings to the existent literature.","author":[{"dropping-particle":"","family":"Casey","given":"B. J.","non-dropping-particle":"","parse-names":false,"suffix":""},{"dropping-particle":"","family":"Cannonier","given":"Tariq","non-dropping-particle":"","parse-names":false,"suffix":""},{"dropping-particle":"","family":"Conley","given":"May I.","non-dropping-particle":"","parse-names":false,"suffix":""},{"dropping-particle":"","family":"Cohen","given":"Alexandra O.","non-dropping-particle":"","parse-names":false,"suffix":""},{"dropping-particle":"","family":"Barch","given":"Deanna M.","non-dropping-particle":"","parse-names":false,"suffix":""},{"dropping-particle":"","family":"Heitzeg","given":"Mary M.","non-dropping-particle":"","parse-names":false,"suffix":""},{"dropping-particle":"","family":"Soules","given":"Mary E.","non-dropping-particle":"","parse-names":false,"suffix":""},{"dropping-particle":"","family":"Teslovich","given":"Theresa","non-dropping-particle":"","parse-names":false,"suffix":""},{"dropping-particle":"V.","family":"Dellarco","given":"Danielle","non-dropping-particle":"","parse-names":false,"suffix":""},{"dropping-particle":"","family":"Garavan","given":"Hugh","non-dropping-particle":"","parse-names":false,"suffix":""},{"dropping-particle":"","family":"Orr","given":"Catherine A.","non-dropping-particle":"","parse-names":false,"suffix":""},{"dropping-particle":"","family":"Wager","given":"Tor D.","non-dropping-particle":"","parse-names":false,"suffix":""},{"dropping-particle":"","family":"Banich","given":"Marie T.","non-dropping-particle":"","parse-names":false,"suffix":""},{"dropping-particle":"","family":"Speer","given":"Nicole K.","non-dropping-particle":"","parse-names":false,"suffix":""},{"dropping-particle":"","family":"Sutherland","given":"Matthew T.","non-dropping-particle":"","parse-names":false,"suffix":""},{"dropping-particle":"","family":"Riedel","given":"Michael C.","non-dropping-particle":"","parse-names":false,"suffix":""},{"dropping-particle":"","family":"Dick","given":"Anthony S.","non-dropping-particle":"","parse-names":false,"suffix":""},{"dropping-particle":"","family":"Bjork","given":"James M.","non-dropping-particle":"","parse-names":false,"suffix":""},{"dropping-particle":"","family":"Thomas","given":"Kathleen M.","non-dropping-particle":"","parse-names":false,"suffix":""},{"dropping-particle":"","family":"Chaarani","given":"Bader","non-dropping-particle":"","parse-names":false,"suffix":""},{"dropping-particle":"","family":"Mejia","given":"Margie H.","non-dropping-particle":"","parse-names":false,"suffix":""},{"dropping-particle":"","family":"Hagler","given":"Donald J.","non-dropping-particle":"","parse-names":false,"suffix":""},{"dropping-particle":"","family":"Daniela Cornejo","given":"M.","non-dropping-particle":"","parse-names":false,"suffix":""},{"dropping-particle":"","family":"Sicat","given":"Chelsea S.","non-dropping-particle":"","parse-names":false,"suffix":""},{"dropping-particle":"","family":"Harms","given":"Michael P.","non-dropping-particle":"","parse-names":false,"suffix":""},{"dropping-particle":"","family":"Dosenbach","given":"Nico U.F.","non-dropping-particle":"","parse-names":false,"suffix":""},{"dropping-particle":"","family":"Rosenberg","given":"Monica","non-dropping-particle":"","parse-names":false,"suffix":""},{"dropping-particle":"","family":"Earl","given":"Eric","non-dropping-particle":"","parse-names":false,"suffix":""},{"dropping-particle":"","family":"Bartsch","given":"Hauke","non-dropping-particle":"","parse-names":false,"suffix":""},{"dropping-particle":"","family":"Watts","given":"Richard","non-dropping-particle":"","parse-names":false,"suffix":""},{"dropping-particle":"","family":"Polimeni","given":"Jonathan R.","non-dropping-particle":"","parse-names":false,"suffix":""},{"dropping-particle":"","family":"Kuperman","given":"Joshua M.","non-dropping-particle":"","parse-names":false,"suffix":""},{"dropping-particle":"","family":"Fair","given":"Damien A.","non-dropping-particle":"","parse-names":false,"suffix":""},{"dropping-particle":"","family":"Dale","given":"Anders M.","non-dropping-particle":"","parse-names":false,"suffix":""}],"container-title":"Developmental Cognitive Neuroscience","id":"ITEM-1","issue":"March","issued":{"date-parts":[["2018"]]},"page":"43-54","publisher":"Elsevier","title":"The Adolescent Brain Cognitive Development (ABCD) study: Imaging acquisition across 21 sites","type":"article-journal","volume":"32"},"uris":["http://www.mendeley.com/documents/?uuid=be09257d-f65f-43ae-818a-65d088b0d517"]}],"mendeley":{"formattedCitation":"(Casey et al., 2018)","plainTextFormattedCitation":"(Casey et al., 2018)","previouslyFormattedCitation":"(Casey et al., 2018)"},"properties":{"noteIndex":0},"schema":"https://github.com/citation-style-language/schema/raw/master/csl-citation.json"}</w:instrText>
      </w:r>
      <w:r w:rsidR="00136037">
        <w:rPr>
          <w:color w:val="000000" w:themeColor="text1"/>
        </w:rPr>
        <w:fldChar w:fldCharType="separate"/>
      </w:r>
      <w:r w:rsidR="00136037" w:rsidRPr="00136037">
        <w:rPr>
          <w:noProof/>
          <w:color w:val="000000" w:themeColor="text1"/>
        </w:rPr>
        <w:t>(Casey et al., 2018)</w:t>
      </w:r>
      <w:r w:rsidR="00136037">
        <w:rPr>
          <w:color w:val="000000" w:themeColor="text1"/>
        </w:rPr>
        <w:fldChar w:fldCharType="end"/>
      </w:r>
      <w:r w:rsidRPr="003716F4">
        <w:rPr>
          <w:color w:val="000000" w:themeColor="text1"/>
        </w:rPr>
        <w:t xml:space="preserve">. </w:t>
      </w:r>
      <w:r w:rsidR="00A41DFC" w:rsidRPr="00A41DFC">
        <w:rPr>
          <w:color w:val="000000" w:themeColor="text1"/>
        </w:rPr>
        <w:t>We</w:t>
      </w:r>
      <w:r w:rsidR="000F7A5A">
        <w:rPr>
          <w:color w:val="000000" w:themeColor="text1"/>
        </w:rPr>
        <w:t xml:space="preserve"> </w:t>
      </w:r>
      <w:r w:rsidR="00A41DFC" w:rsidRPr="00A41DFC">
        <w:rPr>
          <w:color w:val="000000" w:themeColor="text1"/>
        </w:rPr>
        <w:t>adjust for differences among scanners by adding scanner model as a covariate in all analyses.</w:t>
      </w:r>
      <w:r w:rsidR="000F7A5A">
        <w:rPr>
          <w:color w:val="000000" w:themeColor="text1"/>
        </w:rPr>
        <w:t xml:space="preserve"> </w:t>
      </w:r>
      <w:r w:rsidR="00E2652E">
        <w:rPr>
          <w:color w:val="000000" w:themeColor="text1"/>
        </w:rPr>
        <w:t>Resting state data was acquired with four rs-fMRI series and task-based data was acquired with</w:t>
      </w:r>
      <w:r w:rsidR="000F7A5A">
        <w:rPr>
          <w:color w:val="000000" w:themeColor="text1"/>
        </w:rPr>
        <w:t xml:space="preserve"> </w:t>
      </w:r>
      <w:r w:rsidR="00E2652E">
        <w:rPr>
          <w:color w:val="000000" w:themeColor="text1"/>
        </w:rPr>
        <w:t xml:space="preserve">two fMRI series for each of the three tasks. </w:t>
      </w:r>
      <w:r w:rsidR="00843648">
        <w:rPr>
          <w:color w:val="000000" w:themeColor="text1"/>
        </w:rPr>
        <w:t xml:space="preserve">All </w:t>
      </w:r>
      <w:r w:rsidR="00E864E4">
        <w:rPr>
          <w:color w:val="000000" w:themeColor="text1"/>
        </w:rPr>
        <w:t xml:space="preserve">fMRI acquisitions </w:t>
      </w:r>
      <w:r w:rsidR="00391C91">
        <w:rPr>
          <w:color w:val="000000" w:themeColor="text1"/>
        </w:rPr>
        <w:t>utilized multiband EPI</w:t>
      </w:r>
      <w:r w:rsidR="000F7A5A">
        <w:rPr>
          <w:color w:val="000000" w:themeColor="text1"/>
        </w:rPr>
        <w:t xml:space="preserve"> </w:t>
      </w:r>
      <w:r w:rsidR="00CE5AC0">
        <w:rPr>
          <w:color w:val="000000" w:themeColor="text1"/>
        </w:rPr>
        <w:t xml:space="preserve">sequences </w:t>
      </w:r>
      <w:r w:rsidR="00391C91">
        <w:rPr>
          <w:color w:val="000000" w:themeColor="text1"/>
        </w:rPr>
        <w:t xml:space="preserve">(2.4 mm isotropic, TR = 800ms, </w:t>
      </w:r>
      <w:r w:rsidR="00C12164">
        <w:rPr>
          <w:color w:val="000000" w:themeColor="text1"/>
        </w:rPr>
        <w:t>slice acceleration factor 6</w:t>
      </w:r>
      <w:r w:rsidR="00391C91">
        <w:rPr>
          <w:color w:val="000000" w:themeColor="text1"/>
        </w:rPr>
        <w:t>)</w:t>
      </w:r>
      <w:r w:rsidR="00BF2C36">
        <w:rPr>
          <w:color w:val="000000" w:themeColor="text1"/>
        </w:rPr>
        <w:t xml:space="preserve"> and included fieldmap</w:t>
      </w:r>
      <w:r w:rsidR="000F7A5A">
        <w:rPr>
          <w:color w:val="000000" w:themeColor="text1"/>
        </w:rPr>
        <w:t xml:space="preserve"> </w:t>
      </w:r>
      <w:r w:rsidR="00BF2C36">
        <w:rPr>
          <w:color w:val="000000" w:themeColor="text1"/>
        </w:rPr>
        <w:t xml:space="preserve">scans </w:t>
      </w:r>
      <w:r w:rsidR="00542710">
        <w:rPr>
          <w:color w:val="000000" w:themeColor="text1"/>
        </w:rPr>
        <w:t>to correct B0 distortion.</w:t>
      </w:r>
    </w:p>
    <w:p w14:paraId="43AF4A79" w14:textId="76F66315" w:rsidR="00076540" w:rsidRDefault="00663F9F" w:rsidP="00076540">
      <w:pPr>
        <w:ind w:firstLine="720"/>
        <w:rPr>
          <w:color w:val="000000" w:themeColor="text1"/>
        </w:rPr>
      </w:pPr>
      <w:r>
        <w:rPr>
          <w:color w:val="000000" w:themeColor="text1"/>
        </w:rPr>
        <w:t xml:space="preserve">Subjects underwent scanning in one or two sessions. Scans comprised </w:t>
      </w:r>
      <w:r w:rsidR="00C947A1">
        <w:rPr>
          <w:color w:val="000000" w:themeColor="text1"/>
        </w:rPr>
        <w:t>3D T1- and 3D</w:t>
      </w:r>
      <w:r w:rsidR="000F7A5A">
        <w:rPr>
          <w:color w:val="000000" w:themeColor="text1"/>
        </w:rPr>
        <w:t>-</w:t>
      </w:r>
      <w:r w:rsidR="00C947A1">
        <w:rPr>
          <w:color w:val="000000" w:themeColor="text1"/>
        </w:rPr>
        <w:t>T</w:t>
      </w:r>
      <w:r w:rsidR="00EF7ED8">
        <w:rPr>
          <w:color w:val="000000" w:themeColor="text1"/>
        </w:rPr>
        <w:t xml:space="preserve">2-weighted </w:t>
      </w:r>
      <w:r w:rsidR="00C947A1">
        <w:rPr>
          <w:color w:val="000000" w:themeColor="text1"/>
        </w:rPr>
        <w:t xml:space="preserve">images of brain structure, </w:t>
      </w:r>
      <w:r w:rsidR="006268FD">
        <w:rPr>
          <w:color w:val="000000" w:themeColor="text1"/>
        </w:rPr>
        <w:t xml:space="preserve">a localizer, </w:t>
      </w:r>
      <w:r w:rsidR="00690E42">
        <w:rPr>
          <w:color w:val="000000" w:themeColor="text1"/>
        </w:rPr>
        <w:t>resting state scan, diffusion tensor imaging</w:t>
      </w:r>
      <w:r w:rsidR="000F7A5A">
        <w:rPr>
          <w:color w:val="000000" w:themeColor="text1"/>
        </w:rPr>
        <w:t xml:space="preserve"> </w:t>
      </w:r>
      <w:r w:rsidR="00690E42">
        <w:rPr>
          <w:color w:val="000000" w:themeColor="text1"/>
        </w:rPr>
        <w:t>(</w:t>
      </w:r>
      <w:r w:rsidR="00F540C7">
        <w:rPr>
          <w:color w:val="000000" w:themeColor="text1"/>
        </w:rPr>
        <w:t>DTI</w:t>
      </w:r>
      <w:r w:rsidR="00690E42">
        <w:rPr>
          <w:color w:val="000000" w:themeColor="text1"/>
        </w:rPr>
        <w:t>)</w:t>
      </w:r>
      <w:r w:rsidR="00D80775">
        <w:rPr>
          <w:color w:val="000000" w:themeColor="text1"/>
        </w:rPr>
        <w:t>, and task-based scans</w:t>
      </w:r>
      <w:r w:rsidR="00D01AE4">
        <w:rPr>
          <w:color w:val="000000" w:themeColor="text1"/>
        </w:rPr>
        <w:t xml:space="preserve">. Task-based scans included </w:t>
      </w:r>
      <w:r w:rsidR="00CE5AC0">
        <w:rPr>
          <w:color w:val="000000" w:themeColor="text1"/>
        </w:rPr>
        <w:t xml:space="preserve">an </w:t>
      </w:r>
      <w:r w:rsidR="00CA7C9D">
        <w:rPr>
          <w:color w:val="000000" w:themeColor="text1"/>
        </w:rPr>
        <w:t>emotional n-back</w:t>
      </w:r>
      <w:r w:rsidR="00CE5AC0">
        <w:rPr>
          <w:color w:val="000000" w:themeColor="text1"/>
        </w:rPr>
        <w:t xml:space="preserve"> task</w:t>
      </w:r>
      <w:r w:rsidR="00CA7C9D">
        <w:rPr>
          <w:color w:val="000000" w:themeColor="text1"/>
        </w:rPr>
        <w:t xml:space="preserve"> (two runs, ~</w:t>
      </w:r>
      <w:r w:rsidR="000F7A5A">
        <w:rPr>
          <w:color w:val="000000" w:themeColor="text1"/>
        </w:rPr>
        <w:t xml:space="preserve"> </w:t>
      </w:r>
      <w:r w:rsidR="00CA7C9D">
        <w:rPr>
          <w:color w:val="000000" w:themeColor="text1"/>
        </w:rPr>
        <w:t xml:space="preserve">five minutes each), </w:t>
      </w:r>
      <w:r w:rsidR="00CE5AC0">
        <w:rPr>
          <w:color w:val="000000" w:themeColor="text1"/>
        </w:rPr>
        <w:t xml:space="preserve">a </w:t>
      </w:r>
      <w:r w:rsidR="00CA7C9D">
        <w:rPr>
          <w:color w:val="000000" w:themeColor="text1"/>
        </w:rPr>
        <w:t>monetary incentive delay</w:t>
      </w:r>
      <w:r w:rsidR="00CE5AC0">
        <w:rPr>
          <w:color w:val="000000" w:themeColor="text1"/>
        </w:rPr>
        <w:t xml:space="preserve"> task</w:t>
      </w:r>
      <w:r w:rsidR="00CA7C9D">
        <w:rPr>
          <w:color w:val="000000" w:themeColor="text1"/>
        </w:rPr>
        <w:t xml:space="preserve"> (two runs, ~</w:t>
      </w:r>
      <w:r w:rsidR="00CE5AC0">
        <w:rPr>
          <w:color w:val="000000" w:themeColor="text1"/>
        </w:rPr>
        <w:t xml:space="preserve"> </w:t>
      </w:r>
      <w:r w:rsidR="00CA7C9D">
        <w:rPr>
          <w:color w:val="000000" w:themeColor="text1"/>
        </w:rPr>
        <w:t>5.5 minutes each)</w:t>
      </w:r>
      <w:r w:rsidR="00AF6B96">
        <w:rPr>
          <w:color w:val="000000" w:themeColor="text1"/>
        </w:rPr>
        <w:t xml:space="preserve">, and </w:t>
      </w:r>
      <w:r w:rsidR="00CE5AC0">
        <w:rPr>
          <w:color w:val="000000" w:themeColor="text1"/>
        </w:rPr>
        <w:t xml:space="preserve">a </w:t>
      </w:r>
      <w:r w:rsidR="00AF6B96">
        <w:rPr>
          <w:color w:val="000000" w:themeColor="text1"/>
        </w:rPr>
        <w:t>stop</w:t>
      </w:r>
      <w:r w:rsidR="000F7A5A">
        <w:rPr>
          <w:color w:val="000000" w:themeColor="text1"/>
        </w:rPr>
        <w:t xml:space="preserve"> </w:t>
      </w:r>
      <w:r w:rsidR="00AF6B96">
        <w:rPr>
          <w:color w:val="000000" w:themeColor="text1"/>
        </w:rPr>
        <w:t xml:space="preserve">signal task </w:t>
      </w:r>
      <w:r w:rsidR="00557228">
        <w:rPr>
          <w:color w:val="000000" w:themeColor="text1"/>
        </w:rPr>
        <w:t>(</w:t>
      </w:r>
      <w:r w:rsidR="002E55DE">
        <w:rPr>
          <w:color w:val="000000" w:themeColor="text1"/>
        </w:rPr>
        <w:t>two runs, ~ six minutes each</w:t>
      </w:r>
      <w:r w:rsidR="00557228">
        <w:rPr>
          <w:color w:val="000000" w:themeColor="text1"/>
        </w:rPr>
        <w:t>)</w:t>
      </w:r>
      <w:r w:rsidR="00D02FFA">
        <w:rPr>
          <w:color w:val="000000" w:themeColor="text1"/>
        </w:rPr>
        <w:t xml:space="preserve">. Imaging parameters are described in detail in </w:t>
      </w:r>
      <w:r w:rsidR="002B7D9A">
        <w:rPr>
          <w:color w:val="000000" w:themeColor="text1"/>
        </w:rPr>
        <w:t>Casey et</w:t>
      </w:r>
      <w:r w:rsidR="000F7A5A">
        <w:rPr>
          <w:color w:val="000000" w:themeColor="text1"/>
        </w:rPr>
        <w:t xml:space="preserve"> </w:t>
      </w:r>
      <w:r w:rsidR="002B7D9A">
        <w:rPr>
          <w:color w:val="000000" w:themeColor="text1"/>
        </w:rPr>
        <w:t xml:space="preserve">al. </w:t>
      </w:r>
      <w:r w:rsidR="00442F93">
        <w:rPr>
          <w:color w:val="000000" w:themeColor="text1"/>
        </w:rPr>
        <w:t xml:space="preserve">(2018). </w:t>
      </w:r>
    </w:p>
    <w:p w14:paraId="376148B0" w14:textId="6F03CB22" w:rsidR="00076540" w:rsidRDefault="003C1A8D" w:rsidP="00B46A29">
      <w:pPr>
        <w:autoSpaceDE w:val="0"/>
        <w:autoSpaceDN w:val="0"/>
        <w:adjustRightInd w:val="0"/>
        <w:ind w:firstLine="720"/>
      </w:pPr>
      <w:r w:rsidRPr="003C1A8D">
        <w:rPr>
          <w:color w:val="000000" w:themeColor="text1"/>
        </w:rPr>
        <w:t xml:space="preserve">Individuals who underwent scanning using the Phillips scanner were </w:t>
      </w:r>
      <w:r>
        <w:rPr>
          <w:color w:val="000000" w:themeColor="text1"/>
        </w:rPr>
        <w:t xml:space="preserve">excluded </w:t>
      </w:r>
      <w:r w:rsidRPr="003C1A8D">
        <w:rPr>
          <w:color w:val="000000" w:themeColor="text1"/>
        </w:rPr>
        <w:t>in the</w:t>
      </w:r>
      <w:r w:rsidR="000F7A5A">
        <w:rPr>
          <w:color w:val="000000" w:themeColor="text1"/>
        </w:rPr>
        <w:t xml:space="preserve"> </w:t>
      </w:r>
      <w:r w:rsidRPr="003C1A8D">
        <w:rPr>
          <w:color w:val="000000" w:themeColor="text1"/>
        </w:rPr>
        <w:t>analysis due to an error in the phase encoding direction during the conversion process from</w:t>
      </w:r>
      <w:r w:rsidR="000F7A5A">
        <w:rPr>
          <w:color w:val="000000" w:themeColor="text1"/>
        </w:rPr>
        <w:t xml:space="preserve"> </w:t>
      </w:r>
      <w:r w:rsidRPr="003C1A8D">
        <w:rPr>
          <w:color w:val="000000" w:themeColor="text1"/>
        </w:rPr>
        <w:t>DICOM to NIFTI files.</w:t>
      </w:r>
      <w:r w:rsidR="00076540">
        <w:rPr>
          <w:color w:val="000000" w:themeColor="text1"/>
        </w:rPr>
        <w:t xml:space="preserve"> </w:t>
      </w:r>
      <w:r w:rsidR="00076540" w:rsidRPr="00076540">
        <w:rPr>
          <w:color w:val="000000" w:themeColor="text1"/>
        </w:rPr>
        <w:t>The structural and functional MRI scans were obtained from the ABCD</w:t>
      </w:r>
      <w:r w:rsidR="000F7A5A">
        <w:rPr>
          <w:color w:val="000000" w:themeColor="text1"/>
        </w:rPr>
        <w:t xml:space="preserve"> </w:t>
      </w:r>
      <w:r w:rsidR="00076540" w:rsidRPr="00076540">
        <w:rPr>
          <w:color w:val="000000" w:themeColor="text1"/>
        </w:rPr>
        <w:t xml:space="preserve">study data portal (https://nda.nih.gov/abcd) and </w:t>
      </w:r>
      <w:r w:rsidR="003A09C4">
        <w:rPr>
          <w:color w:val="000000" w:themeColor="text1"/>
        </w:rPr>
        <w:t>went through minimal processing</w:t>
      </w:r>
      <w:r w:rsidR="00CE5AC0">
        <w:rPr>
          <w:color w:val="000000" w:themeColor="text1"/>
        </w:rPr>
        <w:t xml:space="preserve"> by the ABCD</w:t>
      </w:r>
      <w:r w:rsidR="000F7A5A">
        <w:rPr>
          <w:color w:val="000000" w:themeColor="text1"/>
        </w:rPr>
        <w:t xml:space="preserve"> </w:t>
      </w:r>
      <w:r w:rsidR="00CE5AC0">
        <w:rPr>
          <w:color w:val="000000" w:themeColor="text1"/>
        </w:rPr>
        <w:t>DAIC</w:t>
      </w:r>
      <w:r w:rsidR="00076540" w:rsidRPr="00076540">
        <w:rPr>
          <w:color w:val="000000" w:themeColor="text1"/>
        </w:rPr>
        <w:t>, including correcting for motion, B0 distortion, gradient warping, and resampling to an</w:t>
      </w:r>
      <w:r w:rsidR="000F7A5A">
        <w:rPr>
          <w:color w:val="000000" w:themeColor="text1"/>
        </w:rPr>
        <w:t xml:space="preserve"> </w:t>
      </w:r>
      <w:r w:rsidR="00076540" w:rsidRPr="00076540">
        <w:rPr>
          <w:color w:val="000000" w:themeColor="text1"/>
        </w:rPr>
        <w:t>isotropic space</w:t>
      </w:r>
      <w:r w:rsidR="00EF507A">
        <w:rPr>
          <w:color w:val="000000" w:themeColor="text1"/>
        </w:rPr>
        <w:t xml:space="preserve"> </w:t>
      </w:r>
      <w:r w:rsidR="00EF507A">
        <w:rPr>
          <w:color w:val="000000" w:themeColor="text1"/>
        </w:rPr>
        <w:fldChar w:fldCharType="begin" w:fldLock="1"/>
      </w:r>
      <w:r w:rsidR="00337206">
        <w:rPr>
          <w:color w:val="000000" w:themeColor="text1"/>
        </w:rPr>
        <w:instrText>ADDIN CSL_CITATION {"citationItems":[{"id":"ITEM-1","itemData":{"ISSN":"10538119","author":[{"dropping-particle":"","family":"Hagler","given":"Donald J.","non-dropping-particle":"","parse-names":false,"suffix":""},{"dropping-particle":"","family":"Hatton","given":"SeanN.","non-dropping-particle":"","parse-names":false,"suffix":""},{"dropping-particle":"","family":"Cornejo","given":"M. Daniela","non-dropping-particle":"","parse-names":false,"suffix":""},{"dropping-particle":"","family":"Makowski","given":"Carolina","non-dropping-particle":"","parse-names":false,"suffix":""},{"dropping-particle":"","family":"Fair","given":"Damien A.","non-dropping-particle":"","parse-names":false,"suffix":""},{"dropping-particle":"","family":"Dick","given":"Anthony Steven","non-dropping-particle":"","parse-names":false,"suffix":""},{"dropping-particle":"","family":"Sutherland","given":"Matthew T.","non-dropping-particle":"","parse-names":false,"suffix":""},{"dropping-particle":"","family":"Casey","given":"B.J.","non-dropping-particle":"","parse-names":false,"suffix":""},{"dropping-particle":"","family":"Barch","given":"Deanna M.","non-dropping-particle":"","parse-names":false,"suffix":""},{"dropping-particle":"","family":"Harms","given":"Michael P.","non-dropping-particle":"","parse-names":false,"suffix":""},{"dropping-particle":"","family":"Watts","given":"Richard","non-dropping-particle":"","parse-names":false,"suffix":""},{"dropping-particle":"","family":"Bjork","given":"James M.","non-dropping-particle":"","parse-names":false,"suffix":""},{"dropping-particle":"","family":"Garavan","given":"Hugh P.","non-dropping-particle":"","parse-names":false,"suffix":""},{"dropping-particle":"","family":"Hilmer","given":"Laura","non-dropping-particle":"","parse-names":false,"suffix":""},{"dropping-particle":"","family":"Pung","given":"Christopher J.","non-dropping-particle":"","parse-names":false,"suffix":""},{"dropping-particle":"","family":"Sicat","given":"Chelsea S.","non-dropping-particle":"","parse-names":false,"suffix":""},{"dropping-particle":"","family":"Kuperman","given":"Joshua","non-dropping-particle":"","parse-names":false,"suffix":""},{"dropping-particle":"","family":"Bartsch","given":"Hauke","non-dropping-particle":"","parse-names":false,"suffix":""},{"dropping-particle":"","family":"Xue","given":"Feng","non-dropping-particle":"","parse-names":false,"suffix":""},{"dropping-particle":"","family":"Heitzeg","given":"Mary M.","non-dropping-particle":"","parse-names":false,"suffix":""},{"dropping-particle":"","family":"Laird","given":"Angela R.","non-dropping-particle":"","parse-names":false,"suffix":""},{"dropping-particle":"","family":"Trinh","given":"Thanh T.","non-dropping-particle":"","parse-names":false,"suffix":""},{"dropping-particle":"","family":"Gonzalez","given":"Raul","non-dropping-particle":"","parse-names":false,"suffix":""},{"dropping-particle":"","family":"Tapert","given":"Susan F.","non-dropping-particle":"","parse-names":false,"suffix":""},{"dropping-particle":"","family":"Riedel","given":"Michael C.","non-dropping-particle":"","parse-names":false,"suffix":""},{"dropping-particle":"","family":"Squeglia","given":"Lindsay M.","non-dropping-particle":"","parse-names":false,"suffix":""},{"dropping-particle":"","family":"Hyde","given":"Luke W.","non-dropping-particle":"","parse-names":false,"suffix":""},{"dropping-particle":"","family":"Rosenberg","given":"Monica D.","non-dropping-particle":"","parse-names":false,"suffix":""},{"dropping-particle":"","family":"Earl","given":"Eric A.","non-dropping-particle":"","parse-names":false,"suffix":""},{"dropping-particle":"","family":"Howlett","given":"Katia D.","non-dropping-particle":"","parse-names":false,"suffix":""},{"dropping-particle":"","family":"Baker","given":"Fiona C.","non-dropping-particle":"","parse-names":false,"suffix":""},{"dropping-particle":"","family":"Soules","given":"Mary","non-dropping-particle":"","parse-names":false,"suffix":""},{"dropping-particle":"","family":"Diaz","given":"Jazmin","non-dropping-particle":"","parse-names":false,"suffix":""},{"dropping-particle":"","family":"Leon","given":"Octavio Ruiz","non-dropping-particle":"de","parse-names":false,"suffix":""},{"dropping-particle":"","family":"Thompson","given":"Wesley K.","non-dropping-particle":"","parse-names":false,"suffix":""},{"dropping-particle":"","family":"Neale","given":"Michael C.","non-dropping-particle":"","parse-names":false,"suffix":""},{"dropping-particle":"","family":"Herting","given":"Megan","non-dropping-particle":"","parse-names":false,"suffix":""},{"dropping-particle":"","family":"Sowell","given":"Elizabeth R.","non-dropping-particle":"","parse-names":false,"suffix":""},{"dropping-particle":"","family":"Alvarez","given":"Ruben P.","non-dropping-particle":"","parse-names":false,"suffix":""},{"dropping-particle":"","family":"Hawes","given":"Samuel W.","non-dropping-particle":"","parse-names":false,"suffix":""},{"dropping-particle":"","family":"Sanchez","given":"Mariana","non-dropping-particle":"","parse-names":false,"suffix":""},{"dropping-particle":"","family":"Bodurka","given":"Jerzy","non-dropping-particle":"","parse-names":false,"suffix":""},{"dropping-particle":"","family":"Breslin","given":"Florence J.","non-dropping-particle":"","parse-names":false,"suffix":""},{"dropping-particle":"","family":"Morris","given":"Amanda Sheffield","non-dropping-particle":"","parse-names":false,"suffix":""},{"dropping-particle":"","family":"Paulus","given":"Martin P.","non-dropping-particle":"","parse-names":false,"suffix":""},{"dropping-particle":"","family":"Simmons","given":"W. Kyle","non-dropping-particle":"","parse-names":false,"suffix":""},{"dropping-particle":"","family":"Polimeni","given":"Jonathan R.","non-dropping-particle":"","parse-names":false,"suffix":""},{"dropping-particle":"","family":"Kouwe","given":"Andre","non-dropping-particle":"van der","parse-names":false,"suffix":""},{"dropping-particle":"","family":"Nencka","given":"Andrew S.","non-dropping-particle":"","parse-names":false,"suffix":""},{"dropping-particle":"","family":"Gray","given":"Kevin M.","non-dropping-particle":"","parse-names":false,"suffix":""},{"dropping-particle":"","family":"Pierpaoli","given":"Carlo","non-dropping-particle":"","parse-names":false,"suffix":""},{"dropping-particle":"","family":"Matochik","given":"John A.","non-dropping-particle":"","parse-names":false,"suffix":""},{"dropping-particle":"","family":"Noronha","given":"Antonio","non-dropping-particle":"","parse-names":false,"suffix":""},{"dropping-particle":"","family":"Aklin","given":"Will M.","non-dropping-particle":"","parse-names":false,"suffix":""},{"dropping-particle":"","family":"Conway","given":"Kevin","non-dropping-particle":"","parse-names":false,"suffix":""},{"dropping-particle":"","family":"Glantz","given":"Meyer","non-dropping-particle":"","parse-names":false,"suffix":""},{"dropping-particle":"","family":"Hoffman","given":"Elizabeth","non-dropping-particle":"","parse-names":false,"suffix":""},{"dropping-particle":"","family":"Little","given":"Roger","non-dropping-particle":"","parse-names":false,"suffix":""},{"dropping-particle":"","family":"Lopez","given":"Marsha","non-dropping-particle":"","parse-names":false,"suffix":""},{"dropping-particle":"","family":"Pariyadath","given":"Vani","non-dropping-particle":"","parse-names":false,"suffix":""},{"dropping-particle":"","family":"Weiss","given":"Susan RB.","non-dropping-particle":"","parse-names":false,"suffix":""},{"dropping-particle":"","family":"Wolff-Hughes","given":"Dana L.","non-dropping-particle":"","parse-names":false,"suffix":""},{"dropping-particle":"","family":"DelCarmen-Wiggins","given":"Rebecca","non-dropping-particle":"","parse-names":false,"suffix":""},{"dropping-particle":"","family":"Feldstein Ewing","given":"Sarah W.","non-dropping-particle":"","parse-names":false,"suffix":""},{"dropping-particle":"","family":"Miranda-Dominguez","given":"Oscar","non-dropping-particle":"","parse-names":false,"suffix":""},{"dropping-particle":"","family":"Nagel","given":"Bonnie J.","non-dropping-particle":"","parse-names":false,"suffix":""},{"dropping-particle":"","family":"Perrone","given":"Anders J.","non-dropping-particle":"","parse-names":false,"suffix":""},{"dropping-particle":"","family":"Sturgeon","given":"Darrick T.","non-dropping-particle":"","parse-names":false,"suffix":""},{"dropping-particle":"","family":"Goldstone","given":"Aimee","non-dropping-particle":"","parse-names":false,"suffix":""},{"dropping-particle":"","family":"Pfefferbaum","given":"Adolf","non-dropping-particle":"","parse-names":false,"suffix":""},{"dropping-particle":"","family":"Pohl","given":"Kilian M.","non-dropping-particle":"","parse-names":false,"suffix":""},{"dropping-particle":"","family":"Prouty","given":"Devin","non-dropping-particle":"","parse-names":false,"suffix":""},{"dropping-particle":"","family":"Uban","given":"Kristina","non-dropping-particle":"","parse-names":false,"suffix":""},{"dropping-particle":"","family":"Bookheimer","given":"Susan Y.","non-dropping-particle":"","parse-names":false,"suffix":""},{"dropping-particle":"","family":"Dapretto","given":"Mirella","non-dropping-particle":"","parse-names":false,"suffix":""},{"dropping-particle":"","family":"Galvan","given":"Adriana","non-dropping-particle":"","parse-names":false,"suffix":""},{"dropping-particle":"","family":"Bagot","given":"Kara","non-dropping-particle":"","parse-names":false,"suffix":""},{"dropping-particle":"","family":"Giedd","given":"Jay","non-dropping-particle":"","parse-names":false,"suffix":""},{"dropping-particle":"","family":"Infante","given":"M. Alejandra","non-dropping-particle":"","parse-names":false,"suffix":""},{"dropping-particle":"","family":"Jacobus","given":"Joanna","non-dropping-particle":"","parse-names":false,"suffix":""},{"dropping-particle":"","family":"Patrick","given":"Kevin","non-dropping-particle":"","parse-names":false,"suffix":""},{"dropping-particle":"","family":"Shilling","given":"Paul D.","non-dropping-particle":"","parse-names":false,"suffix":""},{"dropping-particle":"","family":"Desikan","given":"Rahul","non-dropping-particle":"","parse-names":false,"suffix":""},{"dropping-particle":"","family":"Li","given":"Yi","non-dropping-particle":"","parse-names":false,"suffix":""},{"dropping-particle":"","family":"Sugrue","given":"Leo","non-dropping-particle":"","parse-names":false,"suffix":""},{"dropping-particle":"","family":"Banich","given":"Marie T.","non-dropping-particle":"","parse-names":false,"suffix":""},{"dropping-particle":"","family":"Friedman","given":"Naomi","non-dropping-particle":"","parse-names":false,"suffix":""},{"dropping-particle":"","family":"Hewitt","given":"John K.","non-dropping-particle":"","parse-names":false,"suffix":""},{"dropping-particle":"","family":"Hopfer","given":"Christian","non-dropping-particle":"","parse-names":false,"suffix":""},{"dropping-particle":"","family":"Sakai","given":"Joseph","non-dropping-particle":"","parse-names":false,"suffix":""},{"dropping-particle":"","family":"Tanabe","given":"Jody","non-dropping-particle":"","parse-names":false,"suffix":""},{"dropping-particle":"","family":"Cottler","given":"Linda B.","non-dropping-particle":"","parse-names":false,"suffix":""},{"dropping-particle":"","family":"Nixon","given":"Sara Jo","non-dropping-particle":"","parse-names":false,"suffix":""},{"dropping-particle":"","family":"Chang","given":"Linda","non-dropping-particle":"","parse-names":false,"suffix":""},{"dropping-particle":"","family":"Cloak","given":"Christine","non-dropping-particle":"","parse-names":false,"suffix":""},{"dropping-particle":"","family":"Ernst","given":"Thomas","non-dropping-particle":"","parse-names":false,"suffix":""},{"dropping-particle":"","family":"Reeves","given":"Gloria","non-dropping-particle":"","parse-names":false,"suffix":""},{"dropping-particle":"","family":"Kennedy","given":"David N.","non-dropping-particle":"","parse-names":false,"suffix":""},{"dropping-particle":"","family":"Heeringa","given":"Steve","non-dropping-particle":"","parse-names":false,"suffix":""},{"dropping-particle":"","family":"Peltier","given":"Scott","non-dropping-particle":"","parse-names":false,"suffix":""},{"dropping-particle":"","family":"Schulenberg","given":"John","non-dropping-particle":"","parse-names":false,"suffix":""},{"dropping-particle":"","family":"Sripada","given":"Chandra","non-dropping-particle":"","parse-names":false,"suffix":""},{"dropping-particle":"","family":"Zucker","given":"Robert A.","non-dropping-particle":"","parse-names":false,"suffix":""},{"dropping-particle":"","family":"Iacono","given":"William G.","non-dropping-particle":"","parse-names":false,"suffix":""},{"dropping-particle":"","family":"Luciana","given":"Monica","non-dropping-particle":"","parse-names":false,"suffix":""},{"dropping-particle":"","family":"Calabro","given":"Finnegan J.","non-dropping-particle":"","parse-names":false,"suffix":""},{"dropping-particle":"","family":"Clark","given":"Duncan B.","non-dropping-particle":"","parse-names":false,"suffix":""},{"dropping-particle":"","family":"Lewis","given":"David A.","non-dropping-particle":"","parse-names":false,"suffix":""},{"dropping-particle":"","family":"Luna","given":"Beatriz","non-dropping-particle":"","parse-names":false,"suffix":""},{"dropping-particle":"","family":"Schirda","given":"Claudiu","non-dropping-particle":"","parse-names":false,"suffix":""},{"dropping-particle":"","family":"Brima","given":"Tufikameni","non-dropping-particle":"","parse-names":false,"suffix":""},{"dropping-particle":"","family":"Foxe","given":"John J.","non-dropping-particle":"","parse-names":false,"suffix":""},{"dropping-particle":"","family":"Freedman","given":"Edward G.","non-dropping-particle":"","parse-names":false,"suffix":""},{"dropping-particle":"","family":"Mruzek","given":"Daniel W.","non-dropping-particle":"","parse-names":false,"suffix":""},{"dropping-particle":"","family":"Mason","given":"Michael J.","non-dropping-particle":"","parse-names":false,"suffix":""},{"dropping-particle":"","family":"Huber","given":"Rebekah","non-dropping-particle":"","parse-names":false,"suffix":""},{"dropping-particle":"","family":"McGlade","given":"Erin","non-dropping-particle":"","parse-names":false,"suffix":""},{"dropping-particle":"","family":"Prescot","given":"Andrew","non-dropping-particle":"","parse-names":false,"suffix":""},{"dropping-particle":"","family":"Renshaw","given":"Perry F.","non-dropping-particle":"","parse-names":false,"suffix":""},{"dropping-particle":"","family":"Yurgelun-Todd","given":"Deborah A.","non-dropping-particle":"","parse-names":false,"suffix":""},{"dropping-particle":"","family":"Allgaier","given":"Nicholas A.","non-dropping-particle":"","parse-names":false,"suffix":""},{"dropping-particle":"","family":"Dumas","given":"Julie A.","non-dropping-particle":"","parse-names":false,"suffix":""},{"dropping-particle":"","family":"Ivanova","given":"Masha","non-dropping-particle":"","parse-names":false,"suffix":""},{"dropping-particle":"","family":"Potter","given":"Alexandra","non-dropping-particle":"","parse-names":false,"suffix":""},{"dropping-particle":"","family":"Florsheim","given":"Paul","non-dropping-particle":"","parse-names":false,"suffix":""},{"dropping-particle":"","family":"Larson","given":"Christine","non-dropping-particle":"","parse-names":false,"suffix":""},{"dropping-particle":"","family":"Lisdahl","given":"Krista","non-dropping-particle":"","parse-names":false,"suffix":""},{"dropping-particle":"","family":"Charness","given":"Michael E.","non-dropping-particle":"","parse-names":false,"suffix":""},{"dropping-particle":"","family":"Fuemmeler","given":"Bernard","non-dropping-particle":"","parse-names":false,"suffix":""},{"dropping-particle":"","family":"Hettema","given":"John M.","non-dropping-particle":"","parse-names":false,"suffix":""},{"dropping-particle":"","family":"Maes","given":"Hermine H.","non-dropping-particle":"","parse-names":false,"suffix":""},{"dropping-particle":"","family":"Steinberg","given":"Joel","non-dropping-particle":"","parse-names":false,"suffix":""},{"dropping-particle":"","family":"Anokhin","given":"Andrey P.","non-dropping-particle":"","parse-names":false,"suffix":""},{"dropping-particle":"","family":"Glaser","given":"Paul","non-dropping-particle":"","parse-names":false,"suffix":""},{"dropping-particle":"","family":"Heath","given":"Andrew C.","non-dropping-particle":"","parse-names":false,"suffix":""},{"dropping-particle":"","family":"Madden","given":"Pamela A.","non-dropping-particle":"","parse-names":false,"suffix":""},{"dropping-particle":"","family":"Baskin-Sommers","given":"Arielle","non-dropping-particle":"","parse-names":false,"suffix":""},{"dropping-particle":"","family":"Constable","given":"R. Todd","non-dropping-particle":"","parse-names":false,"suffix":""},{"dropping-particle":"","family":"Grant","given":"Steven J.","non-dropping-particle":"","parse-names":false,"suffix":""},{"dropping-particle":"","family":"Dowling","given":"Gayathri J.","non-dropping-particle":"","parse-names":false,"suffix":""},{"dropping-particle":"","family":"Brown","given":"Sandra A.","non-dropping-particle":"","parse-names":false,"suffix":""},{"dropping-particle":"","family":"Jernigan","given":"Terry L.","non-dropping-particle":"","parse-names":false,"suffix":""},{"dropping-particle":"","family":"Dale","given":"Anders M.","non-dropping-particle":"","parse-names":false,"suffix":""}],"container-title":"NeuroImage","id":"ITEM-1","issued":{"date-parts":[["2019"]]},"page":"https://doi.org/10.1016/j.neuroimage.2019.116091","title":"Image processing and analysis methods for the Adolescent Brain Cognitive Development Study","type":"article-journal","volume":"202"},"uris":["http://www.mendeley.com/documents/?uuid=df3869db-56b1-438b-a7cf-24c9afe529df"]},{"id":"ITEM-2","itemData":{"DOI":"10.1371/journal.pbio.3001938","ISBN":"1111111111","ISSN":"15457885","PMID":"36542658","abstract":"Sustained attention (SA) and working memory (WM) are critical processes, but the brain networks supporting these abilities in development are unknown. We characterized the functional brain architecture of SA and WM in 9- to 11-year-old children and adults. First, we found that adult network predictors of SA generalized to predict individual differences and fluctuations in SA in youth. A WM model predicted WM performance both across and within children—and captured individual differences in later recognition memory—but underperformed in youth relative to adults. We next characterized functional connections differentially related to SA and WM in youth compared to adults. Results revealed 2 network configurations: a dominant architecture predicting performance in both age groups and a secondary architecture, more prominent for WM than SA, predicting performance in each age group differently. Thus, functional connectivity (FC) predicts SA and WM in youth, with networks predicting WM performance differing more between youths and adults than those predicting SA.","author":[{"dropping-particle":"","family":"Kardan","given":"Omid","non-dropping-particle":"","parse-names":false,"suffix":""},{"dropping-particle":"","family":"Stier","given":"Andrew J.","non-dropping-particle":"","parse-names":false,"suffix":""},{"dropping-particle":"","family":"Cardenas-Iniguez","given":"Carlos","non-dropping-particle":"","parse-names":false,"suffix":""},{"dropping-particle":"","family":"Schertz","given":"Kathryn E.","non-dropping-particle":"","parse-names":false,"suffix":""},{"dropping-particle":"","family":"Pruin","given":"Julia C.","non-dropping-particle":"","parse-names":false,"suffix":""},{"dropping-particle":"","family":"Deng","given":"Yuting","non-dropping-particle":"","parse-names":false,"suffix":""},{"dropping-particle":"","family":"Chamberlain","given":"Taylor","non-dropping-particle":"","parse-names":false,"suffix":""},{"dropping-particle":"","family":"Meredith","given":"Wesley J.","non-dropping-particle":"","parse-names":false,"suffix":""},{"dropping-particle":"","family":"Zhang","given":"Xihan","non-dropping-particle":"","parse-names":false,"suffix":""},{"dropping-particle":"","family":"Bowman","given":"Jillian E.","non-dropping-particle":"","parse-names":false,"suffix":""},{"dropping-particle":"","family":"Lakhtakia","given":"Tanvi","non-dropping-particle":"","parse-names":false,"suffix":""},{"dropping-particle":"","family":"Tindel","given":"Lucy","non-dropping-particle":"","parse-names":false,"suffix":""},{"dropping-particle":"","family":"Avery","given":"Emily W.","non-dropping-particle":"","parse-names":false,"suffix":""},{"dropping-particle":"","family":"Lin","given":"Qi","non-dropping-particle":"","parse-names":false,"suffix":""},{"dropping-particle":"","family":"Yoo","given":"Kwangsun","non-dropping-particle":"","parse-names":false,"suffix":""},{"dropping-particle":"","family":"Chun","given":"Marvin M.","non-dropping-particle":"","parse-names":false,"suffix":""},{"dropping-particle":"","family":"Berman","given":"Marc G.","non-dropping-particle":"","parse-names":false,"suffix":""},{"dropping-particle":"","family":"Rosenberg","given":"Monica D.","non-dropping-particle":"","parse-names":false,"suffix":""}],"container-title":"PLoS Biology","id":"ITEM-2","issue":"12","issued":{"date-parts":[["2022"]]},"number-of-pages":"1-33","title":"Differences in the functional brain architecture of sustained attention and working memory in youth and adults","type":"book","volume":"20"},"uris":["http://www.mendeley.com/documents/?uuid=b78f7b67-8eea-43ce-8ac5-bec5d54516b7"]},{"id":"ITEM-3","itemData":{"DOI":"10.1162/netn_a_00322","author":[{"dropping-particle":"","family":"Stier","given":"Andrew J.","non-dropping-particle":"","parse-names":false,"suffix":""},{"dropping-particle":"","family":"Cardenas-Iniguez","given":"Carlos","non-dropping-particle":"","parse-names":false,"suffix":""},{"dropping-particle":"","family":"Kardan","given":"Omid","non-dropping-particle":"","parse-names":false,"suffix":""},{"dropping-particle":"","family":"Moore","given":"Tyler M.","non-dropping-particle":"","parse-names":false,"suffix":""},{"dropping-particle":"","family":"Meyer","given":"Francisco A. C.","non-dropping-particle":"","parse-names":false,"suffix":""},{"dropping-particle":"","family":"Rosenberg","given":"Monica D.","non-dropping-particle":"","parse-names":false,"suffix":""},{"dropping-particle":"","family":"Kaczkurkin","given":"Antonia N.","non-dropping-particle":"","parse-names":false,"suffix":""},{"dropping-particle":"","family":"Lahey","given":"Benjamin B.","non-dropping-particle":"","parse-names":false,"suffix":""},{"dropping-particle":"","family":"Berman","given":"Marc G.","non-dropping-particle":"","parse-names":false,"suffix":""}],"container-title":"Network Neuroscience","id":"ITEM-3","issued":{"date-parts":[["2023"]]},"page":"1-28","title":"A pattern of cognitive resource disruptions in childhood psychopathology","type":"article-journal"},"uris":["http://www.mendeley.com/documents/?uuid=67d20b8e-af18-41e3-ba04-6ab91857e97c"]}],"mendeley":{"formattedCitation":"(Hagler et al., 2019; Kardan et al., 2022; Stier et al., 2023)","plainTextFormattedCitation":"(Hagler et al., 2019; Kardan et al., 2022; Stier et al., 2023)","previouslyFormattedCitation":"(Hagler et al., 2019; Kardan et al., 2022; Stier et al., 2023)"},"properties":{"noteIndex":0},"schema":"https://github.com/citation-style-language/schema/raw/master/csl-citation.json"}</w:instrText>
      </w:r>
      <w:r w:rsidR="00EF507A">
        <w:rPr>
          <w:color w:val="000000" w:themeColor="text1"/>
        </w:rPr>
        <w:fldChar w:fldCharType="separate"/>
      </w:r>
      <w:r w:rsidR="003368C2" w:rsidRPr="003368C2">
        <w:rPr>
          <w:noProof/>
          <w:color w:val="000000" w:themeColor="text1"/>
        </w:rPr>
        <w:t>(Hagler et al., 2019; Kardan et al., 2022; Stier et al., 2023)</w:t>
      </w:r>
      <w:r w:rsidR="00EF507A">
        <w:rPr>
          <w:color w:val="000000" w:themeColor="text1"/>
        </w:rPr>
        <w:fldChar w:fldCharType="end"/>
      </w:r>
      <w:r w:rsidR="00EF507A">
        <w:rPr>
          <w:color w:val="000000" w:themeColor="text1"/>
        </w:rPr>
        <w:t xml:space="preserve">. </w:t>
      </w:r>
      <w:r w:rsidR="0019576E" w:rsidRPr="0019576E">
        <w:rPr>
          <w:color w:val="000000" w:themeColor="text1"/>
        </w:rPr>
        <w:t>Data underwent preprocessing using a modified edition of FMRIPREP, which is a tool based on Nipype</w:t>
      </w:r>
      <w:r w:rsidR="00B27616">
        <w:rPr>
          <w:color w:val="000000" w:themeColor="text1"/>
        </w:rPr>
        <w:t xml:space="preserve"> </w:t>
      </w:r>
      <w:r w:rsidR="006170D0">
        <w:rPr>
          <w:color w:val="000000" w:themeColor="text1"/>
        </w:rPr>
        <w:fldChar w:fldCharType="begin" w:fldLock="1"/>
      </w:r>
      <w:r w:rsidR="00337206">
        <w:rPr>
          <w:color w:val="000000" w:themeColor="text1"/>
        </w:rPr>
        <w:instrText>ADDIN CSL_CITATION {"citationItems":[{"id":"ITEM-1","itemData":{"DOI":"10.1371/journal.pbio.3001938","ISBN":"1111111111","ISSN":"15457885","PMID":"36542658","abstract":"Sustained attention (SA) and working memory (WM) are critical processes, but the brain networks supporting these abilities in development are unknown. We characterized the functional brain architecture of SA and WM in 9- to 11-year-old children and adults. First, we found that adult network predictors of SA generalized to predict individual differences and fluctuations in SA in youth. A WM model predicted WM performance both across and within children—and captured individual differences in later recognition memory—but underperformed in youth relative to adults. We next characterized functional connections differentially related to SA and WM in youth compared to adults. Results revealed 2 network configurations: a dominant architecture predicting performance in both age groups and a secondary architecture, more prominent for WM than SA, predicting performance in each age group differently. Thus, functional connectivity (FC) predicts SA and WM in youth, with networks predicting WM performance differing more between youths and adults than those predicting SA.","author":[{"dropping-particle":"","family":"Kardan","given":"Omid","non-dropping-particle":"","parse-names":false,"suffix":""},{"dropping-particle":"","family":"Stier","given":"Andrew J.","non-dropping-particle":"","parse-names":false,"suffix":""},{"dropping-particle":"","family":"Cardenas-Iniguez","given":"Carlos","non-dropping-particle":"","parse-names":false,"suffix":""},{"dropping-particle":"","family":"Schertz","given":"Kathryn E.","non-dropping-particle":"","parse-names":false,"suffix":""},{"dropping-particle":"","family":"Pruin","given":"Julia C.","non-dropping-particle":"","parse-names":false,"suffix":""},{"dropping-particle":"","family":"Deng","given":"Yuting","non-dropping-particle":"","parse-names":false,"suffix":""},{"dropping-particle":"","family":"Chamberlain","given":"Taylor","non-dropping-particle":"","parse-names":false,"suffix":""},{"dropping-particle":"","family":"Meredith","given":"Wesley J.","non-dropping-particle":"","parse-names":false,"suffix":""},{"dropping-particle":"","family":"Zhang","given":"Xihan","non-dropping-particle":"","parse-names":false,"suffix":""},{"dropping-particle":"","family":"Bowman","given":"Jillian E.","non-dropping-particle":"","parse-names":false,"suffix":""},{"dropping-particle":"","family":"Lakhtakia","given":"Tanvi","non-dropping-particle":"","parse-names":false,"suffix":""},{"dropping-particle":"","family":"Tindel","given":"Lucy","non-dropping-particle":"","parse-names":false,"suffix":""},{"dropping-particle":"","family":"Avery","given":"Emily W.","non-dropping-particle":"","parse-names":false,"suffix":""},{"dropping-particle":"","family":"Lin","given":"Qi","non-dropping-particle":"","parse-names":false,"suffix":""},{"dropping-particle":"","family":"Yoo","given":"Kwangsun","non-dropping-particle":"","parse-names":false,"suffix":""},{"dropping-particle":"","family":"Chun","given":"Marvin M.","non-dropping-particle":"","parse-names":false,"suffix":""},{"dropping-particle":"","family":"Berman","given":"Marc G.","non-dropping-particle":"","parse-names":false,"suffix":""},{"dropping-particle":"","family":"Rosenberg","given":"Monica D.","non-dropping-particle":"","parse-names":false,"suffix":""}],"container-title":"PLoS Biology","id":"ITEM-1","issue":"12","issued":{"date-parts":[["2022"]]},"number-of-pages":"1-33","title":"Differences in the functional brain architecture of sustained attention and working memory in youth and adults","type":"book","volume":"20"},"uris":["http://www.mendeley.com/documents/?uuid=b78f7b67-8eea-43ce-8ac5-bec5d54516b7"]},{"id":"ITEM-2","itemData":{"DOI":"10.1162/netn_a_00322","author":[{"dropping-particle":"","family":"Stier","given":"Andrew J.","non-dropping-particle":"","parse-names":false,"suffix":""},{"dropping-particle":"","family":"Cardenas-Iniguez","given":"Carlos","non-dropping-particle":"","parse-names":false,"suffix":""},{"dropping-particle":"","family":"Kardan","given":"Omid","non-dropping-particle":"","parse-names":false,"suffix":""},{"dropping-particle":"","family":"Moore","given":"Tyler M.","non-dropping-particle":"","parse-names":false,"suffix":""},{"dropping-particle":"","family":"Meyer","given":"Francisco A. C.","non-dropping-particle":"","parse-names":false,"suffix":""},{"dropping-particle":"","family":"Rosenberg","given":"Monica D.","non-dropping-particle":"","parse-names":false,"suffix":""},{"dropping-particle":"","family":"Kaczkurkin","given":"Antonia N.","non-dropping-particle":"","parse-names":false,"suffix":""},{"dropping-particle":"","family":"Lahey","given":"Benjamin B.","non-dropping-particle":"","parse-names":false,"suffix":""},{"dropping-particle":"","family":"Berman","given":"Marc G.","non-dropping-particle":"","parse-names":false,"suffix":""}],"container-title":"Network Neuroscience","id":"ITEM-2","issued":{"date-parts":[["2023"]]},"page":"1-28","title":"A pattern of cognitive resource disruptions in childhood psychopathology","type":"article-journal"},"uris":["http://www.mendeley.com/documents/?uuid=67d20b8e-af18-41e3-ba04-6ab91857e97c"]},{"id":"ITEM-3","itemData":{"DOI":"10.3389/fninf.2011.00013","ISSN":"16625196","abstract":"Current neuroimaging software offer users an incredible opportunity to analyze their data in different ways, with different underlying assumptions. Several sophisticated software packages (e.g., AFNI, BrainVoyager, FSL, FreeSurfer, Nipy, R, SPM) are used to process and analyze large and often diverse (highly multi-dimensional) data. However, this heterogeneous collection of specialized applications creates several issues that hinder replicable, efficient, and optimal use of neuroimaging analysis approaches: (1) No uniform access to neuroimaging analysis software and usage information; (2) No framework for comparative algorithm development and dissemination; (3) Personnel turnover in laboratories often limits methodological continuity and training new personnel takes time; (4) Neuroimaging software packages do not address computational efficiency; and (5) Methods sections in journal articles are inadequate for reproducing results. To address these issues, we present Nipype (Neuroimaging in Python: Pipelines and Interfaces; http://nipy.org/nipype), an open-source, community-developed, software package, and scriptable library. Nipype solves the issues by providing Interfaces to existing neuroimaging software with uniform usage semantics and by facilitating interaction between these packages using Workflows. Nipype provides an environment that encourages interactive exploration of algorithms, eases the design of Workflows within and between packages, allows rapid comparative development of algorithms and reduces the learning curve necessary to use different packages. Nipype supports both local and remote execution on multi-core machines and clusters, without additional scripting. Nipype is Berkeley Software Distribution licensed, allowing anyone unrestricted usage. An open, community-driven development philosophy allows the software to quickly adapt and address the varied needs of the evolving neuroimaging community, especially in the context of increasing demand for reproducible research.","author":[{"dropping-particle":"","family":"Gorgolewski","given":"Krzysztof","non-dropping-particle":"","parse-names":false,"suffix":""},{"dropping-particle":"","family":"Burns","given":"Christopher D.","non-dropping-particle":"","parse-names":false,"suffix":""},{"dropping-particle":"","family":"Madison","given":"Cindee","non-dropping-particle":"","parse-names":false,"suffix":""},{"dropping-particle":"","family":"Clark","given":"Dav","non-dropping-particle":"","parse-names":false,"suffix":""},{"dropping-particle":"","family":"Halchenko","given":"Yaroslav O.","non-dropping-particle":"","parse-names":false,"suffix":""},{"dropping-particle":"","family":"Waskom","given":"Michael L.","non-dropping-particle":"","parse-names":false,"suffix":""},{"dropping-particle":"","family":"Ghosh","given":"Satrajit S.","non-dropping-particle":"","parse-names":false,"suffix":""}],"container-title":"Frontiers in Neuroinformatics","id":"ITEM-3","issued":{"date-parts":[["2011"]]},"title":"Nipype: A flexible, lightweight and extensible neuroimaging data processing framework in Python","type":"article-journal","volume":"5"},"uris":["http://www.mendeley.com/documents/?uuid=a69d2686-f38d-4b12-84ff-8797c24bcff8"]},{"id":"ITEM-4","itemData":{"DOI":"10.1038/s41592-018-0235-4","ISSN":"15487105","PMID":"30532080","abstract":"Preprocessing of functional magnetic resonance imaging (fMRI) involves numerous steps to clean and standardize the data before statistical analysis. Generally, researchers create ad hoc preprocessing workflows for each dataset, building upon a large inventory of available tools. The complexity of these workflows has snowballed with rapid advances in acquisition and processing. We introduce fMRIPrep, an analysis-agnostic tool that addresses the challenge of robust and reproducible preprocessing for fMRI data. fMRIPrep automatically adapts a best-in-breed workflow to the idiosyncrasies of virtually any dataset, ensuring high-quality preprocessing without manual intervention. By introducing visual assessment checkpoints into an iterative integration framework for software testing, we show that fMRIPrep robustly produces high-quality results on a diverse fMRI data collection. Additionally, fMRIPrep introduces less uncontrolled spatial smoothness than observed with commonly used preprocessing tools. fMRIPrep equips neuroscientists with an easy-to-use and transparent preprocessing workflow, which can help ensure the validity of inference and the interpretability of results.","author":[{"dropping-particle":"","family":"Esteban","given":"Oscar","non-dropping-particle":"","parse-names":false,"suffix":""},{"dropping-particle":"","family":"Markiewicz","given":"Christopher J.","non-dropping-particle":"","parse-names":false,"suffix":""},{"dropping-particle":"","family":"Blair","given":"Ross W.","non-dropping-particle":"","parse-names":false,"suffix":""},{"dropping-particle":"","family":"Moodie","given":"Craig A.","non-dropping-particle":"","parse-names":false,"suffix":""},{"dropping-particle":"","family":"Isik","given":"A. Ilkay","non-dropping-particle":"","parse-names":false,"suffix":""},{"dropping-particle":"","family":"Erramuzpe","given":"Asier","non-dropping-particle":"","parse-names":false,"suffix":""},{"dropping-particle":"","family":"Kent","given":"James D.","non-dropping-particle":"","parse-names":false,"suffix":""},{"dropping-particle":"","family":"Goncalves","given":"Mathias","non-dropping-particle":"","parse-names":false,"suffix":""},{"dropping-particle":"","family":"DuPre","given":"Elizabeth","non-dropping-particle":"","parse-names":false,"suffix":""},{"dropping-particle":"","family":"Snyder","given":"Madeleine","non-dropping-particle":"","parse-names":false,"suffix":""},{"dropping-particle":"","family":"Oya","given":"Hiroyuki","non-dropping-particle":"","parse-names":false,"suffix":""},{"dropping-particle":"","family":"Ghosh","given":"Satrajit S.","non-dropping-particle":"","parse-names":false,"suffix":""},{"dropping-particle":"","family":"Wright","given":"Jessey","non-dropping-particle":"","parse-names":false,"suffix":""},{"dropping-particle":"","family":"Durnez","given":"Joke","non-dropping-particle":"","parse-names":false,"suffix":""},{"dropping-particle":"","family":"Poldrack","given":"Russell A.","non-dropping-particle":"","parse-names":false,"suffix":""},{"dropping-particle":"","family":"Gorgolewski","given":"Krzysztof J.","non-dropping-particle":"","parse-names":false,"suffix":""}],"container-title":"Nature Methods","id":"ITEM-4","issue":"1","issued":{"date-parts":[["2019"]]},"page":"111-116","publisher":"Springer US","title":"fMRIPrep: a robust preprocessing pipeline for functional MRI","type":"article-journal","volume":"16"},"uris":["http://www.mendeley.com/documents/?uuid=995063db-18e4-41c0-8ed2-34d900f3abb4"]}],"mendeley":{"formattedCitation":"(Esteban et al., 2019; Gorgolewski et al., 2011; Kardan et al., 2022; Stier et al., 2023)","plainTextFormattedCitation":"(Esteban et al., 2019; Gorgolewski et al., 2011; Kardan et al., 2022; Stier et al., 2023)","previouslyFormattedCitation":"(Esteban et al., 2019; Gorgolewski et al., 2011; Kardan et al., 2022; Stier et al., 2023)"},"properties":{"noteIndex":0},"schema":"https://github.com/citation-style-language/schema/raw/master/csl-citation.json"}</w:instrText>
      </w:r>
      <w:r w:rsidR="006170D0">
        <w:rPr>
          <w:color w:val="000000" w:themeColor="text1"/>
        </w:rPr>
        <w:fldChar w:fldCharType="separate"/>
      </w:r>
      <w:r w:rsidR="003368C2" w:rsidRPr="003368C2">
        <w:rPr>
          <w:noProof/>
          <w:color w:val="000000" w:themeColor="text1"/>
        </w:rPr>
        <w:t>(Esteban et al., 2019; Gorgolewski et al., 2011; Kardan et al., 2022; Stier et al., 2023)</w:t>
      </w:r>
      <w:r w:rsidR="006170D0">
        <w:rPr>
          <w:color w:val="000000" w:themeColor="text1"/>
        </w:rPr>
        <w:fldChar w:fldCharType="end"/>
      </w:r>
      <w:r w:rsidR="007F7443">
        <w:rPr>
          <w:color w:val="000000" w:themeColor="text1"/>
        </w:rPr>
        <w:t xml:space="preserve">. </w:t>
      </w:r>
      <w:r w:rsidR="00D12302">
        <w:rPr>
          <w:color w:val="000000" w:themeColor="text1"/>
        </w:rPr>
        <w:t>E</w:t>
      </w:r>
      <w:r w:rsidR="00D12302" w:rsidRPr="00D12302">
        <w:rPr>
          <w:color w:val="000000" w:themeColor="text1"/>
        </w:rPr>
        <w:t>very structural T1w (T1 weighted) scan was initially defaced using pydeface</w:t>
      </w:r>
      <w:r w:rsidR="00424661">
        <w:rPr>
          <w:color w:val="000000" w:themeColor="text1"/>
        </w:rPr>
        <w:t xml:space="preserve"> </w:t>
      </w:r>
      <w:r w:rsidR="003368C2">
        <w:rPr>
          <w:color w:val="000000" w:themeColor="text1"/>
        </w:rPr>
        <w:fldChar w:fldCharType="begin" w:fldLock="1"/>
      </w:r>
      <w:r w:rsidR="00337206">
        <w:rPr>
          <w:color w:val="000000" w:themeColor="text1"/>
        </w:rPr>
        <w:instrText>ADDIN CSL_CITATION {"citationItems":[{"id":"ITEM-1","itemData":{"DOI":"https://doi.org/10.5281/zenodo.3524401","author":[{"dropping-particle":"","family":"Gulban","given":"Omer Faruk","non-dropping-particle":"","parse-names":false,"suffix":""},{"dropping-particle":"","family":"Nielson","given":"Dylan","non-dropping-particle":"","parse-names":false,"suffix":""},{"dropping-particle":"","family":"Poldrack","given":"Russ","non-dropping-particle":"","parse-names":false,"suffix":""},{"dropping-particle":"","family":"Lee","given":"John","non-dropping-particle":"","parse-names":false,"suffix":""},{"dropping-particle":"","family":"Gorgolewski","given":"Chris","non-dropping-particle":"","parse-names":false,"suffix":""},{"dropping-particle":"","family":"Vanessasaurus","given":"","non-dropping-particle":"","parse-names":false,"suffix":""},{"dropping-particle":"","family":"Ghosh","given":"Satrajit","non-dropping-particle":"","parse-names":false,"suffix":""}],"id":"ITEM-1","issued":{"date-parts":[["2019"]]},"publisher":"Zenodo","title":"poldracklab/pydeface: v2.0.0.","type":"article"},"uris":["http://www.mendeley.com/documents/?uuid=204c66bb-ee4b-4903-9bba-99c49ad1b32e"]}],"mendeley":{"formattedCitation":"(Gulban et al., 2019)","plainTextFormattedCitation":"(Gulban et al., 2019)","previouslyFormattedCitation":"(Gulban et al., 2019)"},"properties":{"noteIndex":0},"schema":"https://github.com/citation-style-language/schema/raw/master/csl-citation.json"}</w:instrText>
      </w:r>
      <w:r w:rsidR="003368C2">
        <w:rPr>
          <w:color w:val="000000" w:themeColor="text1"/>
        </w:rPr>
        <w:fldChar w:fldCharType="separate"/>
      </w:r>
      <w:r w:rsidR="003368C2" w:rsidRPr="003368C2">
        <w:rPr>
          <w:noProof/>
          <w:color w:val="000000" w:themeColor="text1"/>
        </w:rPr>
        <w:t>(Gulban et al., 2019)</w:t>
      </w:r>
      <w:r w:rsidR="003368C2">
        <w:rPr>
          <w:color w:val="000000" w:themeColor="text1"/>
        </w:rPr>
        <w:fldChar w:fldCharType="end"/>
      </w:r>
      <w:r w:rsidR="00F2383A">
        <w:rPr>
          <w:color w:val="000000" w:themeColor="text1"/>
        </w:rPr>
        <w:t>.</w:t>
      </w:r>
      <w:r w:rsidR="00A54B6C">
        <w:rPr>
          <w:color w:val="000000" w:themeColor="text1"/>
        </w:rPr>
        <w:t xml:space="preserve"> </w:t>
      </w:r>
      <w:r w:rsidR="00A00CCD">
        <w:rPr>
          <w:color w:val="000000" w:themeColor="text1"/>
        </w:rPr>
        <w:t>T</w:t>
      </w:r>
      <w:r w:rsidR="00DE7859">
        <w:rPr>
          <w:color w:val="000000" w:themeColor="text1"/>
        </w:rPr>
        <w:t xml:space="preserve">he T1w volume of </w:t>
      </w:r>
      <w:r w:rsidR="00AA7D55">
        <w:rPr>
          <w:color w:val="000000" w:themeColor="text1"/>
        </w:rPr>
        <w:t xml:space="preserve">each participant had undergone </w:t>
      </w:r>
      <w:r w:rsidR="00DF638A">
        <w:rPr>
          <w:color w:val="000000" w:themeColor="text1"/>
        </w:rPr>
        <w:t xml:space="preserve">skull-stripping and </w:t>
      </w:r>
      <w:r w:rsidR="00E548CF">
        <w:rPr>
          <w:color w:val="000000" w:themeColor="text1"/>
        </w:rPr>
        <w:t xml:space="preserve">was then </w:t>
      </w:r>
      <w:r w:rsidR="007F0835">
        <w:rPr>
          <w:color w:val="000000" w:themeColor="text1"/>
        </w:rPr>
        <w:t xml:space="preserve">corrected for </w:t>
      </w:r>
      <w:r w:rsidR="00F87F87">
        <w:rPr>
          <w:color w:val="000000" w:themeColor="text1"/>
        </w:rPr>
        <w:t xml:space="preserve">intensity non-uniformity </w:t>
      </w:r>
      <w:r w:rsidR="00F446FB">
        <w:rPr>
          <w:color w:val="000000" w:themeColor="text1"/>
        </w:rPr>
        <w:t xml:space="preserve">(INU) using </w:t>
      </w:r>
      <w:r w:rsidR="00F87199">
        <w:t xml:space="preserve">N4BiasFieldCorrection v2.1.0 </w:t>
      </w:r>
      <w:r w:rsidR="00337206">
        <w:fldChar w:fldCharType="begin" w:fldLock="1"/>
      </w:r>
      <w:r w:rsidR="006D49A9">
        <w:instrText>ADDIN CSL_CITATION {"citationItems":[{"id":"ITEM-1","itemData":{"DOI":"10.1109/TMI.2010.2046908","ISSN":"02780062","abstract":"A variant of the popular nonparametric nonuniform intensity normalization (N3) algorithm is proposed for bias field correction. Given the superb performance of N3 and its public availability, it has been the subject of several evaluation studies. These studies have demonstrated the importance of certain parameters associated with the B-spline least-squares fitting. We propose the substitution of a recently developed fast and robust B-spline approximation routine and a modified hierarchical optimization scheme for improved bias field correction over the original N3 algorithm. Similar to the N3 algorithm, we also make the source code, testing, and technical documentation of our contribution, which we denote as N4ITK, available to the public through the Insight Toolkit of the National Institutes of Health. Performance assessment is demonstrated using simulated data from the publicly available Brainweb database, hyperpolarized 3He lung image data, and 9.4T postmortem hippocampus data. © 2006 IEEE.","author":[{"dropping-particle":"","family":"Tustison","given":"Nicholas J.","non-dropping-particle":"","parse-names":false,"suffix":""},{"dropping-particle":"","family":"Avants","given":"Brian B.","non-dropping-particle":"","parse-names":false,"suffix":""},{"dropping-particle":"","family":"Cook","given":"Philip A.","non-dropping-particle":"","parse-names":false,"suffix":""},{"dropping-particle":"","family":"Zheng","given":"Yuanjie","non-dropping-particle":"","parse-names":false,"suffix":""},{"dropping-particle":"","family":"Egan","given":"Alexander","non-dropping-particle":"","parse-names":false,"suffix":""},{"dropping-particle":"","family":"Yushkevich","given":"Paul A.","non-dropping-particle":"","parse-names":false,"suffix":""},{"dropping-particle":"","family":"Gee","given":"James C.","non-dropping-particle":"","parse-names":false,"suffix":""}],"container-title":"IEEE Transactions on Medical Imaging","id":"ITEM-1","issue":"6","issued":{"date-parts":[["2010"]]},"title":"N4ITK: Improved N3 bias correction","type":"article-journal","volume":"29"},"uris":["http://www.mendeley.com/documents/?uuid=feca1500-ede8-45a7-bd21-62aae2759b68"]}],"mendeley":{"formattedCitation":"(Tustison et al., 2010)","plainTextFormattedCitation":"(Tustison et al., 2010)","previouslyFormattedCitation":"(Tustison et al., 2010)"},"properties":{"noteIndex":0},"schema":"https://github.com/citation-style-language/schema/raw/master/csl-citation.json"}</w:instrText>
      </w:r>
      <w:r w:rsidR="00337206">
        <w:fldChar w:fldCharType="separate"/>
      </w:r>
      <w:r w:rsidR="00337206" w:rsidRPr="00337206">
        <w:rPr>
          <w:noProof/>
        </w:rPr>
        <w:t>(Tustison et al., 2010)</w:t>
      </w:r>
      <w:r w:rsidR="00337206">
        <w:fldChar w:fldCharType="end"/>
      </w:r>
      <w:r w:rsidR="00337206">
        <w:t>. The process of spatial normalization to the standard MNI template provided by FSL, specifically the</w:t>
      </w:r>
      <w:r w:rsidR="00985D82">
        <w:t xml:space="preserve"> MNI152 non-linear 6</w:t>
      </w:r>
      <w:r w:rsidR="00985D82" w:rsidRPr="00985D82">
        <w:rPr>
          <w:vertAlign w:val="superscript"/>
        </w:rPr>
        <w:t>th</w:t>
      </w:r>
      <w:r w:rsidR="00985D82">
        <w:t xml:space="preserve"> generation template, was carried out using nonlinear registration through the antsRegistration tool </w:t>
      </w:r>
      <w:r w:rsidR="002B1350">
        <w:t xml:space="preserve">from ANTs v2.1.0. This involved </w:t>
      </w:r>
      <w:r w:rsidR="001F40F0">
        <w:t xml:space="preserve">using brain-extracted versions </w:t>
      </w:r>
      <w:r w:rsidR="00FF1AB2">
        <w:t xml:space="preserve">of the T1w volume </w:t>
      </w:r>
      <w:r w:rsidR="002E02DC">
        <w:t>and template</w:t>
      </w:r>
      <w:r w:rsidR="009F7C69">
        <w:t xml:space="preserve"> </w:t>
      </w:r>
      <w:r w:rsidR="006D49A9">
        <w:fldChar w:fldCharType="begin" w:fldLock="1"/>
      </w:r>
      <w:r w:rsidR="007B6AC8">
        <w:instrText>ADDIN CSL_CITATION {"citationItems":[{"id":"ITEM-1","itemData":{"DOI":"10.1016/j.media.2007.06.004","ISSN":"13618415","abstract":"One of the most challenging problems in modern neuroimaging is detailed characterization of neurodegeneration. Quantifying spatial and longitudinal atrophy patterns is an important component of this process. These spatiotemporal signals will aid in discriminating between related diseases, such as frontotemporal dementia (FTD) and Alzheimer's disease (AD), which manifest themselves in the same at-risk population. Here, we develop a novel symmetric image normalization method (SyN) for maximizing the cross-correlation within the space of diffeomorphic maps and provide the Euler-Lagrange equations necessary for this optimization. We then turn to a careful evaluation of our method. Our evaluation uses gold standard, human cortical segmentation to contrast SyN's performance with a related elastic method and with the standard ITK implementation of Thirion's Demons algorithm. The new method compares favorably with both approaches, in particular when the distance between the template brain and the target brain is large. We then report the correlation of volumes gained by algorithmic cortical labelings of FTD and control subjects with those gained by the manual rater. This comparison shows that, of the three methods tested, SyN's volume measurements are the most strongly correlated with volume measurements gained by expert labeling. This study indicates that SyN, with cross-correlation, is a reliable method for normalizing and making anatomical measurements in volumetric MRI of patients and at-risk elderly individuals.","author":[{"dropping-particle":"","family":"Avants","given":"B. B.","non-dropping-particle":"","parse-names":false,"suffix":""},{"dropping-particle":"","family":"Epstein","given":"C. L.","non-dropping-particle":"","parse-names":false,"suffix":""},{"dropping-particle":"","family":"Grossman","given":"M.","non-dropping-particle":"","parse-names":false,"suffix":""},{"dropping-particle":"","family":"Gee","given":"J. C.","non-dropping-particle":"","parse-names":false,"suffix":""}],"container-title":"Medical Image Analysis","id":"ITEM-1","issue":"1","issued":{"date-parts":[["2008"]]},"title":"Symmetric diffeomorphic image registration with cross-correlation: Evaluating automated labeling of elderly and neurodegenerative brain","type":"article-journal","volume":"12"},"uris":["http://www.mendeley.com/documents/?uuid=a44ee2bf-9599-4f2f-919c-dafae58c2c12"]}],"mendeley":{"formattedCitation":"(Avants, Epstein, Grossman, &amp; Gee, 2008)","plainTextFormattedCitation":"(Avants, Epstein, Grossman, &amp; Gee, 2008)","previouslyFormattedCitation":"(Avants, Epstein, Grossman, &amp; Gee, 2008)"},"properties":{"noteIndex":0},"schema":"https://github.com/citation-style-language/schema/raw/master/csl-citation.json"}</w:instrText>
      </w:r>
      <w:r w:rsidR="006D49A9">
        <w:fldChar w:fldCharType="separate"/>
      </w:r>
      <w:r w:rsidR="006D49A9" w:rsidRPr="006D49A9">
        <w:rPr>
          <w:noProof/>
        </w:rPr>
        <w:t>(Avants, Epstein, Grossman, &amp; Gee, 2008)</w:t>
      </w:r>
      <w:r w:rsidR="006D49A9">
        <w:fldChar w:fldCharType="end"/>
      </w:r>
      <w:r w:rsidR="006D49A9">
        <w:t xml:space="preserve">. The </w:t>
      </w:r>
      <w:r w:rsidR="007B6AC8">
        <w:t>T</w:t>
      </w:r>
      <w:r w:rsidR="001E1751">
        <w:t xml:space="preserve">1w image underwent brain tissue segmentation to </w:t>
      </w:r>
      <w:r w:rsidR="00D12A74">
        <w:t xml:space="preserve">identify cerebrospinal fluid </w:t>
      </w:r>
      <w:r w:rsidR="000322F2">
        <w:t>(CSF0, white matter (WM) and gray matter (GM) using FSL v5.0.9’s FAST (</w:t>
      </w:r>
      <w:r w:rsidR="001F02BE">
        <w:t>FMRIB’s Automated Segmentation Tool</w:t>
      </w:r>
      <w:r w:rsidR="000322F2">
        <w:t>)</w:t>
      </w:r>
      <w:r w:rsidR="00B26DCA">
        <w:t xml:space="preserve"> </w:t>
      </w:r>
      <w:r w:rsidR="00452F8B">
        <w:t>algorithm</w:t>
      </w:r>
      <w:r w:rsidR="0073750B">
        <w:t xml:space="preserve"> </w:t>
      </w:r>
      <w:r w:rsidR="007B6AC8">
        <w:fldChar w:fldCharType="begin" w:fldLock="1"/>
      </w:r>
      <w:r w:rsidR="003E3E8F">
        <w:instrText>ADDIN CSL_CITATION {"citationItems":[{"id":"ITEM-1","itemData":{"DOI":"10.1109/42.906424","ISSN":"02780062","abstract":"The finite mixture (FM) model is the most commonly used model for statistical segmentation of brain magnetic resonance (MR) images because of its simple mathematical form and the piecewise constant nature of ideal brain MR images. However, being a histogram-based model, the FM has an intrinsic limitation-no spatial information is taken into account. This causes the FM model to work only on well-defined images with low levels of noise; unfortunately, this is often not the case due to artifacts such as partial volume effect and bias field distortion. Under these conditions, FM model-based methods produce unreliable results. In this paper, we propose a novel hidden Markov random field (HMRF) model, which is a stochastic process generated by a MRF whose state sequence cannot be observed directly but which can be indirectly estimated through observations. Mathematically, it can be shown that the FM model is a degenerate version of the HMRF model. The advantage of the HMRF model derives from the way in which the spatial information is encoded through the mutual influences of neighboring sites. Although MRF modeling has been employed in MR image segmentation by other researchers, most reported methods are limited to using MRF as a general prior in an FM model-based approach. To fit the HMRF model, an EM algorithm is used. We show that by incorporating both the HMRF model and the EM algorithm into a HMRF-EM framework, an accurate and robust segmentation can be achieved. More importantly, the HMRF-EM framework can easily be combined with other techniques. As an example, we show how the bias field correction algorithm of Guillemaud and Brady (1997) can be incorporated into this framework to achieve a three-dimensional fully automated approach for brain MR image segmentation.","author":[{"dropping-particle":"","family":"Zhang","given":"Yongyue","non-dropping-particle":"","parse-names":false,"suffix":""},{"dropping-particle":"","family":"Brady","given":"Michael","non-dropping-particle":"","parse-names":false,"suffix":""},{"dropping-particle":"","family":"Smith","given":"Stephen","non-dropping-particle":"","parse-names":false,"suffix":""}],"container-title":"IEEE Transactions on Medical Imaging","id":"ITEM-1","issue":"1","issued":{"date-parts":[["2001"]]},"title":"Segmentation of brain MR images through a hidden Markov random field model and the expectation-maximization algorithm","type":"article-journal","volume":"20"},"uris":["http://www.mendeley.com/documents/?uuid=c9bea429-c88a-44b9-b3ea-a17b8a199453"]}],"mendeley":{"formattedCitation":"(Zhang, Brady, &amp; Smith, 2001)","plainTextFormattedCitation":"(Zhang, Brady, &amp; Smith, 2001)","previouslyFormattedCitation":"(Zhang, Brady, &amp; Smith, 2001)"},"properties":{"noteIndex":0},"schema":"https://github.com/citation-style-language/schema/raw/master/csl-citation.json"}</w:instrText>
      </w:r>
      <w:r w:rsidR="007B6AC8">
        <w:fldChar w:fldCharType="separate"/>
      </w:r>
      <w:r w:rsidR="007B6AC8" w:rsidRPr="007B6AC8">
        <w:rPr>
          <w:noProof/>
        </w:rPr>
        <w:t>(Zhang, Brady, &amp; Smith, 2001)</w:t>
      </w:r>
      <w:r w:rsidR="007B6AC8">
        <w:fldChar w:fldCharType="end"/>
      </w:r>
      <w:r w:rsidR="007B6AC8">
        <w:t xml:space="preserve">. </w:t>
      </w:r>
      <w:r w:rsidR="00C5717D">
        <w:t xml:space="preserve">The functional data was </w:t>
      </w:r>
      <w:r w:rsidR="00877A00">
        <w:t xml:space="preserve">aligned with the corresponding </w:t>
      </w:r>
      <w:r w:rsidR="00030CDD">
        <w:t xml:space="preserve">T1w anatomical image using FSL’s flirt </w:t>
      </w:r>
      <w:r w:rsidR="00D85B63">
        <w:t xml:space="preserve">boundary-based registration method, </w:t>
      </w:r>
      <w:r w:rsidR="006E63B2">
        <w:t xml:space="preserve">which allows for </w:t>
      </w:r>
      <w:r w:rsidR="005A3040">
        <w:t xml:space="preserve">six degrees of freedom </w:t>
      </w:r>
      <w:r w:rsidR="003E3E8F">
        <w:fldChar w:fldCharType="begin" w:fldLock="1"/>
      </w:r>
      <w:r w:rsidR="00C569BB">
        <w:instrText>ADDIN CSL_CITATION {"citationItems":[{"id":"ITEM-1","itemData":{"DOI":"10.1016/j.neuroimage.2009.06.060.Accurate","author":[{"dropping-particle":"","family":"Greve","given":"Douglas N","non-dropping-particle":"","parse-names":false,"suffix":""},{"dropping-particle":"","family":"Fischl","given":"Bruce","non-dropping-particle":"","parse-names":false,"suffix":""}],"container-title":"NeuroImage","id":"ITEM-1","issue":"1","issued":{"date-parts":[["2009"]]},"page":"63-72","title":"based Registration","type":"article-journal","volume":"48"},"uris":["http://www.mendeley.com/documents/?uuid=4a800e54-656d-4c1b-9dba-24a18752d05f"]}],"mendeley":{"formattedCitation":"(Greve &amp; Fischl, 2009)","plainTextFormattedCitation":"(Greve &amp; Fischl, 2009)","previouslyFormattedCitation":"(Greve &amp; Fischl, 2009)"},"properties":{"noteIndex":0},"schema":"https://github.com/citation-style-language/schema/raw/master/csl-citation.json"}</w:instrText>
      </w:r>
      <w:r w:rsidR="003E3E8F">
        <w:fldChar w:fldCharType="separate"/>
      </w:r>
      <w:r w:rsidR="003E3E8F" w:rsidRPr="003E3E8F">
        <w:rPr>
          <w:noProof/>
        </w:rPr>
        <w:t>(Greve &amp; Fischl, 2009)</w:t>
      </w:r>
      <w:r w:rsidR="003E3E8F">
        <w:fldChar w:fldCharType="end"/>
      </w:r>
      <w:r w:rsidR="003E3E8F">
        <w:t xml:space="preserve">. </w:t>
      </w:r>
      <w:r w:rsidR="0049548A">
        <w:t>The motion correcting transformations</w:t>
      </w:r>
      <w:r w:rsidR="007810AE">
        <w:t xml:space="preserve"> (using the motion parameters from the minimally processed data)</w:t>
      </w:r>
      <w:r w:rsidR="00B03BC6">
        <w:t>,</w:t>
      </w:r>
      <w:r w:rsidR="000123CC">
        <w:t xml:space="preserve"> </w:t>
      </w:r>
      <w:r w:rsidR="005F5C83">
        <w:t xml:space="preserve">BOLD-to-T1w transformation, and T1w-to-template (MNI) warp were combined and applied in one step using </w:t>
      </w:r>
      <w:r w:rsidR="00305778">
        <w:t xml:space="preserve">ANTs v2.1.0’s antsApplyTransforms with Lanczos interpolation </w:t>
      </w:r>
      <w:r w:rsidR="00DC5E59">
        <w:fldChar w:fldCharType="begin" w:fldLock="1"/>
      </w:r>
      <w:r w:rsidR="000A1A87">
        <w:instrText>ADDIN CSL_CITATION {"citationItems":[{"id":"ITEM-1","itemData":{"author":[{"dropping-particle":"","family":"Lanczos","given":"Cornelius","non-dropping-particle":"","parse-names":false,"suffix":""}],"container-title":"Journal of the Society for Industrial and Applied Mathematics","id":"ITEM-1","issue":"1","issued":{"date-parts":[["1964"]]},"page":"76-85","title":"Evaluation of noisy data","type":"article-journal","volume":"1"},"uris":["http://www.mendeley.com/documents/?uuid=bfab79a9-9e75-4c25-bd68-4837a5cc2124"]}],"mendeley":{"formattedCitation":"(Lanczos, 1964)","plainTextFormattedCitation":"(Lanczos, 1964)","previouslyFormattedCitation":"(Lanczos, 1964)"},"properties":{"noteIndex":0},"schema":"https://github.com/citation-style-language/schema/raw/master/csl-citation.json"}</w:instrText>
      </w:r>
      <w:r w:rsidR="00DC5E59">
        <w:fldChar w:fldCharType="separate"/>
      </w:r>
      <w:r w:rsidR="00DC5E59" w:rsidRPr="00DC5E59">
        <w:rPr>
          <w:noProof/>
        </w:rPr>
        <w:t>(Lanczos, 1964)</w:t>
      </w:r>
      <w:r w:rsidR="00DC5E59">
        <w:fldChar w:fldCharType="end"/>
      </w:r>
      <w:r w:rsidR="00DC5E59">
        <w:t xml:space="preserve">. </w:t>
      </w:r>
      <w:r w:rsidR="000A0703">
        <w:t xml:space="preserve">Physiological noise regressors were obtained and then applied from tissue masks </w:t>
      </w:r>
      <w:r w:rsidR="000A1A87">
        <w:fldChar w:fldCharType="begin" w:fldLock="1"/>
      </w:r>
      <w:r w:rsidR="00774270">
        <w:instrText>ADDIN CSL_CITATION {"citationItems":[{"id":"ITEM-1","itemData":{"DOI":"10.1016/j.neuroimage.2013.08.048","ISSN":"10538119","abstract":"Head motion systematically alters correlations in resting state functional connectivity fMRI (RSFC). In this report we examine impact of motion on signal intensity and RSFC correlations. We find that motion-induced signal changes (1) are often complex and variable waveforms, (2) are often shared across nearly all brain voxels, and (3) often persist more than 10. s after motion ceases. These signal changes, both during and after motion, increase observed RSFC correlations in a distance-dependent manner. Motion-related signal changes are not removed by a variety of motion-based regressors, but are effectively reduced by global signal regression. We link several measures of data quality to motion, changes in signal intensity, and changes in RSFC correlations. We demonstrate that improvements in data quality measures during processing may represent cosmetic improvements rather than true correction of the data. We demonstrate a within-subject, censoring-based artifact removal strategy based on volume censoring that reduces group differences due to motion to chance levels. We note conditions under which group-level regressions do and do not correct motion-related effects. © 2013 Elsevier Inc.","author":[{"dropping-particle":"","family":"Power","given":"Jonathan D.","non-dropping-particle":"","parse-names":false,"suffix":""},{"dropping-particle":"","family":"Mitra","given":"Anish","non-dropping-particle":"","parse-names":false,"suffix":""},{"dropping-particle":"","family":"Laumann","given":"Timothy O.","non-dropping-particle":"","parse-names":false,"suffix":""},{"dropping-particle":"","family":"Snyder","given":"Abraham Z.","non-dropping-particle":"","parse-names":false,"suffix":""},{"dropping-particle":"","family":"Schlaggar","given":"Bradley L.","non-dropping-particle":"","parse-names":false,"suffix":""},{"dropping-particle":"","family":"Petersen","given":"Steven E.","non-dropping-particle":"","parse-names":false,"suffix":""}],"container-title":"NeuroImage","id":"ITEM-1","issued":{"date-parts":[["2014"]]},"title":"Methods to detect, characterize, and remove motion artifact in resting state fMRI","type":"article-journal","volume":"84"},"uris":["http://www.mendeley.com/documents/?uuid=c7ba01b7-a6c0-4870-919b-60f037532d34"]}],"mendeley":{"formattedCitation":"(Power et al., 2014)","plainTextFormattedCitation":"(Power et al., 2014)","previouslyFormattedCitation":"(Power et al., 2014)"},"properties":{"noteIndex":0},"schema":"https://github.com/citation-style-language/schema/raw/master/csl-citation.json"}</w:instrText>
      </w:r>
      <w:r w:rsidR="000A1A87">
        <w:fldChar w:fldCharType="separate"/>
      </w:r>
      <w:r w:rsidR="000A1A87" w:rsidRPr="000A1A87">
        <w:rPr>
          <w:noProof/>
        </w:rPr>
        <w:t>(Power et al., 2014)</w:t>
      </w:r>
      <w:r w:rsidR="000A1A87">
        <w:fldChar w:fldCharType="end"/>
      </w:r>
      <w:r w:rsidR="000A1A87">
        <w:t xml:space="preserve">. The implementation of </w:t>
      </w:r>
      <w:r w:rsidR="003A70DC">
        <w:t>Nipype was used to calculate framewise displacement for each functional run</w:t>
      </w:r>
      <w:r w:rsidR="00331E1E">
        <w:t xml:space="preserve">. </w:t>
      </w:r>
      <w:r w:rsidR="00017729">
        <w:t xml:space="preserve">For </w:t>
      </w:r>
      <w:r w:rsidR="00F9638D">
        <w:t>more</w:t>
      </w:r>
      <w:r w:rsidR="008E41AC">
        <w:t xml:space="preserve"> detailed information about the pipeline</w:t>
      </w:r>
      <w:r w:rsidR="000A7DE8">
        <w:t xml:space="preserve">, see </w:t>
      </w:r>
      <w:hyperlink r:id="rId7" w:history="1">
        <w:r w:rsidR="00E3759B" w:rsidRPr="000F4961">
          <w:rPr>
            <w:rStyle w:val="Hyperlink"/>
          </w:rPr>
          <w:t>https://fmriprep.readthedocs.io</w:t>
        </w:r>
      </w:hyperlink>
      <w:r w:rsidR="00E3759B">
        <w:t xml:space="preserve">. </w:t>
      </w:r>
    </w:p>
    <w:p w14:paraId="47DAF1D9" w14:textId="42E84108" w:rsidR="00CC34E0" w:rsidRDefault="00E3759B" w:rsidP="002665CF">
      <w:pPr>
        <w:autoSpaceDE w:val="0"/>
        <w:autoSpaceDN w:val="0"/>
        <w:adjustRightInd w:val="0"/>
        <w:ind w:firstLine="720"/>
      </w:pPr>
      <w:r>
        <w:t xml:space="preserve">Additionally, 36 parameter confound regressions were conducted, which included the time courses of mean CSF signal, mean </w:t>
      </w:r>
      <w:r w:rsidR="00FA3646">
        <w:t xml:space="preserve">global signal, </w:t>
      </w:r>
      <w:r w:rsidR="00292A6A">
        <w:t>mean WM signal, the 6 standard affine motion parameters</w:t>
      </w:r>
      <w:r w:rsidR="00183BB5">
        <w:t xml:space="preserve"> (x, y, z, pitch, roll, and yaw), their squares, their derivatives, </w:t>
      </w:r>
      <w:r w:rsidR="00852B14">
        <w:t xml:space="preserve">and the squared </w:t>
      </w:r>
      <w:r w:rsidR="00852B14">
        <w:lastRenderedPageBreak/>
        <w:t xml:space="preserve">derivatives </w:t>
      </w:r>
      <w:r w:rsidR="00CB34BF">
        <w:t>of these signals</w:t>
      </w:r>
      <w:r w:rsidR="00625B27">
        <w:t xml:space="preserve">. </w:t>
      </w:r>
      <w:r w:rsidR="00DB518C">
        <w:t xml:space="preserve">To remove drift-related signals, </w:t>
      </w:r>
      <w:r w:rsidR="000F74B0">
        <w:t xml:space="preserve">linear and quadratic trends were regressed out simultaneously. </w:t>
      </w:r>
      <w:r w:rsidR="00277A7F">
        <w:t xml:space="preserve">A bandpass filter was then applied using the 3dBandpass command in AFNI </w:t>
      </w:r>
      <w:r w:rsidR="00774270">
        <w:fldChar w:fldCharType="begin" w:fldLock="1"/>
      </w:r>
      <w:r w:rsidR="002665CF">
        <w:instrText>ADDIN CSL_CITATION {"citationItems":[{"id":"ITEM-1","itemData":{"DOI":"10.1006/cbmr.1996.0014","ISSN":"00104809","abstract":"A package of computer programs for analysis and visualization of three- dimensional human brain functional magnetic resonance imaging (FMRI) results is described. The software can color overlay neural maps onto higher resolution anatomical scans. Slices in catch cardinal plane call be viewed simultaneously. Manual placement of markers tin anatomical landmarks allows transformation anatomical and functional scans into stereotaxic (Talairach- Tournoux) coordinates. The techniques for automatically generating transformed functional data sets from manually labeled anatomical data sets are described. Facilities are provided for several types of statistical analyses of multiple 3D functional data sets. The programs are written in ANSI C and Motif 1.2 to run on Unix workstations.","author":[{"dropping-particle":"","family":"Cox","given":"Robert W.","non-dropping-particle":"","parse-names":false,"suffix":""}],"container-title":"Computers and Biomedical Research","id":"ITEM-1","issue":"3","issued":{"date-parts":[["1996"]]},"title":"AFNI: Software for analysis and visualization of functional magnetic resonance neuroimages","type":"article-journal","volume":"29"},"uris":["http://www.mendeley.com/documents/?uuid=89172c30-3ac1-4613-a67e-0aaf081b3313"]}],"mendeley":{"formattedCitation":"(Cox, 1996)","plainTextFormattedCitation":"(Cox, 1996)","previouslyFormattedCitation":"(Cox, 1996)"},"properties":{"noteIndex":0},"schema":"https://github.com/citation-style-language/schema/raw/master/csl-citation.json"}</w:instrText>
      </w:r>
      <w:r w:rsidR="00774270">
        <w:fldChar w:fldCharType="separate"/>
      </w:r>
      <w:r w:rsidR="00774270" w:rsidRPr="00774270">
        <w:rPr>
          <w:noProof/>
        </w:rPr>
        <w:t>(Cox, 1996)</w:t>
      </w:r>
      <w:r w:rsidR="00774270">
        <w:fldChar w:fldCharType="end"/>
      </w:r>
      <w:r w:rsidR="00774270">
        <w:t xml:space="preserve">. </w:t>
      </w:r>
      <w:r w:rsidR="00185105">
        <w:t xml:space="preserve">The processed volumetric BOLD images were spatially </w:t>
      </w:r>
      <w:r w:rsidR="009160C0">
        <w:t xml:space="preserve">averaged into the Shen-268 atlas. </w:t>
      </w:r>
      <w:r w:rsidR="00B57FDA">
        <w:t xml:space="preserve">The first eight volumes were excluded for Siemens scanners as they were utilized as the multiband reference. </w:t>
      </w:r>
      <w:r w:rsidR="00C35BCB">
        <w:t xml:space="preserve">For GE scanners using </w:t>
      </w:r>
      <w:r w:rsidR="00507EB2">
        <w:t xml:space="preserve">DV25 software, a total of five volumes were excluded. The first 12 volumes were utilized as the multiband reference and then merged into a single volume, which was saved as the initial TR. </w:t>
      </w:r>
      <w:r w:rsidR="0009629D">
        <w:t xml:space="preserve">This led to </w:t>
      </w:r>
      <w:r w:rsidR="0060508C">
        <w:t xml:space="preserve">a total of five frames </w:t>
      </w:r>
      <w:r w:rsidR="00D57549">
        <w:t xml:space="preserve">removed. </w:t>
      </w:r>
      <w:r w:rsidR="007564AC">
        <w:t xml:space="preserve">For GE scanners using DV26 software, a total of 16 volumes were excluded </w:t>
      </w:r>
      <w:r w:rsidR="002665CF">
        <w:fldChar w:fldCharType="begin" w:fldLock="1"/>
      </w:r>
      <w:r w:rsidR="00F04F5A">
        <w:instrText>ADDIN CSL_CITATION {"citationItems":[{"id":"ITEM-1","itemData":{"DOI":"10.1523/JNEUROSCI.2841-19.2020","ISSN":"15292401","abstract":"Working memory function changes across development and varies across individuals. The patterns of behavior and brain function that track individual differences in working memory during human development, however, are not well understood. Here, we establish associations between working memory, other cognitive abilities, and functional MRI (fMRI) activation in data from over 11,500 9- to 10-year-old children (both sexes) enrolled in the Adolescent Brain Cognitive Development (ABCD) Study, an ongoing longitudinal study in the United States. Behavioral analyses reveal robust relationships between working memory, short-term memory, language skills, and fluid intelligence. Analyses relating out-of-scanner working memory performance to memory-related fMRI activation in an emotional n-back task demonstrate that frontoparietal activity during a working memory challenge indexes working memory performance. This relationship is domain specific, such that fMRI activation related to emotion processing during the emotional n-back task, inhibitory control during a stop-signal task (SST), and reward processing during a monetary incentive delay (MID) task does not track memory abilities. Together, these results inform our understanding of individual differences in working memory in childhood and lay the groundwork for characterizing the ways in which they change across adolescence.","author":[{"dropping-particle":"","family":"Rosenberg","given":"Monica D.","non-dropping-particle":"","parse-names":false,"suffix":""},{"dropping-particle":"","family":"Martinez","given":"Steven A.","non-dropping-particle":"","parse-names":false,"suffix":""},{"dropping-particle":"","family":"Rapuano","given":"Kristina M.","non-dropping-particle":"","parse-names":false,"suffix":""},{"dropping-particle":"","family":"Conley","given":"May I.","non-dropping-particle":"","parse-names":false,"suffix":""},{"dropping-particle":"","family":"Cohen","given":"Alexandra O.","non-dropping-particle":"","parse-names":false,"suffix":""},{"dropping-particle":"","family":"Daniela Cornejo","given":"M.","non-dropping-particle":"","parse-names":false,"suffix":""},{"dropping-particle":"","family":"Hagler","given":"Donald J.","non-dropping-particle":"","parse-names":false,"suffix":""},{"dropping-particle":"","family":"Meredith","given":"Wesley J.","non-dropping-particle":"","parse-names":false,"suffix":""},{"dropping-particle":"","family":"Anderson","given":"Kevin M.","non-dropping-particle":"","parse-names":false,"suffix":""},{"dropping-particle":"","family":"Wager","given":"Tor D.","non-dropping-particle":"","parse-names":false,"suffix":""},{"dropping-particle":"","family":"Feczko","given":"Eric","non-dropping-particle":"","parse-names":false,"suffix":""},{"dropping-particle":"","family":"Earl","given":"Eric","non-dropping-particle":"","parse-names":false,"suffix":""},{"dropping-particle":"","family":"Fair","given":"Damien A.","non-dropping-particle":"","parse-names":false,"suffix":""},{"dropping-particle":"","family":"Barch","given":"Deanna M.","non-dropping-particle":"","parse-names":false,"suffix":""},{"dropping-particle":"","family":"Watts","given":"Richard","non-dropping-particle":"","parse-names":false,"suffix":""},{"dropping-particle":"","family":"Casey","given":"B. J.","non-dropping-particle":"","parse-names":false,"suffix":""}],"container-title":"Journal of Neuroscience","id":"ITEM-1","issue":"26","issued":{"date-parts":[["2020"]]},"title":"Behavioral and Neural Signatures of Working Memory in Childhood","type":"article-journal","volume":"40"},"uris":["http://www.mendeley.com/documents/?uuid=c1793938-d106-4852-9fb9-7082ca248ac9"]}],"mendeley":{"formattedCitation":"(Rosenberg et al., 2020)","plainTextFormattedCitation":"(Rosenberg et al., 2020)","previouslyFormattedCitation":"(Rosenberg et al., 2020)"},"properties":{"noteIndex":0},"schema":"https://github.com/citation-style-language/schema/raw/master/csl-citation.json"}</w:instrText>
      </w:r>
      <w:r w:rsidR="002665CF">
        <w:fldChar w:fldCharType="separate"/>
      </w:r>
      <w:r w:rsidR="002665CF" w:rsidRPr="002665CF">
        <w:rPr>
          <w:noProof/>
        </w:rPr>
        <w:t>(Rosenberg et al., 2020)</w:t>
      </w:r>
      <w:r w:rsidR="002665CF">
        <w:fldChar w:fldCharType="end"/>
      </w:r>
      <w:r w:rsidR="002665CF">
        <w:t>.</w:t>
      </w:r>
      <w:r w:rsidR="00CC34E0">
        <w:t xml:space="preserve"> </w:t>
      </w:r>
      <w:r w:rsidR="002665CF">
        <w:t>After discarding these acquisitions, the runs consisted of a total of 362 whole-brain volumes.</w:t>
      </w:r>
    </w:p>
    <w:p w14:paraId="2A2E50C5" w14:textId="42A0D116" w:rsidR="00076540" w:rsidRDefault="00262BF0" w:rsidP="00F57546">
      <w:pPr>
        <w:autoSpaceDE w:val="0"/>
        <w:autoSpaceDN w:val="0"/>
        <w:adjustRightInd w:val="0"/>
        <w:ind w:firstLine="720"/>
      </w:pPr>
      <w:r>
        <w:t xml:space="preserve">To ensure the accuracy of the registration and tissue segmentation processes, all structural and functional scans were visually examined for any abnormalities specific to the scanner. In order to be included in the analysis, participants needed to have structural scans that passed the inspection and at least one </w:t>
      </w:r>
      <w:r w:rsidR="00E24BBF">
        <w:t>functional scan that also passed the inspection.</w:t>
      </w:r>
    </w:p>
    <w:p w14:paraId="4F412121" w14:textId="404F9E08" w:rsidR="00B61604" w:rsidRDefault="00B61604">
      <w:r>
        <w:br w:type="page"/>
      </w:r>
    </w:p>
    <w:p w14:paraId="7BABCDC9" w14:textId="4211F18D" w:rsidR="003C1A8D" w:rsidRPr="000E5DB5" w:rsidRDefault="00B477F6" w:rsidP="000E5DB5">
      <w:pPr>
        <w:pStyle w:val="Heading1"/>
        <w:rPr>
          <w:rFonts w:ascii="Times New Roman" w:hAnsi="Times New Roman" w:cs="Times New Roman"/>
          <w:b/>
          <w:bCs/>
          <w:color w:val="000000" w:themeColor="text1"/>
          <w:sz w:val="24"/>
          <w:szCs w:val="24"/>
        </w:rPr>
      </w:pPr>
      <w:bookmarkStart w:id="7" w:name="_Toc155817674"/>
      <w:r w:rsidRPr="000E5DB5">
        <w:rPr>
          <w:rFonts w:ascii="Times New Roman" w:hAnsi="Times New Roman" w:cs="Times New Roman"/>
          <w:b/>
          <w:bCs/>
          <w:color w:val="000000" w:themeColor="text1"/>
          <w:sz w:val="24"/>
          <w:szCs w:val="24"/>
        </w:rPr>
        <w:lastRenderedPageBreak/>
        <w:t>Graph Theory Metric Calculation</w:t>
      </w:r>
      <w:bookmarkEnd w:id="7"/>
    </w:p>
    <w:p w14:paraId="456C9852" w14:textId="77777777" w:rsidR="000E5DB5" w:rsidRDefault="000E5DB5" w:rsidP="005C0A30">
      <w:pPr>
        <w:rPr>
          <w:b/>
          <w:bCs/>
          <w:color w:val="000000" w:themeColor="text1"/>
        </w:rPr>
      </w:pPr>
    </w:p>
    <w:p w14:paraId="19B76E66" w14:textId="7BF61B6C" w:rsidR="00EE5BBF" w:rsidRDefault="006610EC" w:rsidP="005C0A30">
      <w:pPr>
        <w:rPr>
          <w:color w:val="000000" w:themeColor="text1"/>
        </w:rPr>
      </w:pPr>
      <w:r>
        <w:rPr>
          <w:b/>
          <w:bCs/>
          <w:color w:val="000000" w:themeColor="text1"/>
        </w:rPr>
        <w:tab/>
      </w:r>
      <w:r>
        <w:rPr>
          <w:color w:val="000000" w:themeColor="text1"/>
        </w:rPr>
        <w:t xml:space="preserve">A network can be graphically displayed </w:t>
      </w:r>
      <w:r w:rsidR="00EF3347">
        <w:rPr>
          <w:color w:val="000000" w:themeColor="text1"/>
        </w:rPr>
        <w:t xml:space="preserve">as </w:t>
      </w:r>
      <w:r w:rsidR="00872FD2">
        <w:rPr>
          <w:i/>
          <w:iCs/>
          <w:color w:val="000000" w:themeColor="text1"/>
        </w:rPr>
        <w:t xml:space="preserve">G(N, K), </w:t>
      </w:r>
      <w:r w:rsidR="00872FD2">
        <w:rPr>
          <w:color w:val="000000" w:themeColor="text1"/>
        </w:rPr>
        <w:t xml:space="preserve">where </w:t>
      </w:r>
      <w:r w:rsidR="00623346">
        <w:rPr>
          <w:i/>
          <w:iCs/>
          <w:color w:val="000000" w:themeColor="text1"/>
        </w:rPr>
        <w:t>N</w:t>
      </w:r>
      <w:r w:rsidR="00872FD2">
        <w:rPr>
          <w:color w:val="000000" w:themeColor="text1"/>
        </w:rPr>
        <w:t xml:space="preserve"> represents the number of nodes and </w:t>
      </w:r>
      <w:r w:rsidR="00872FD2" w:rsidRPr="00742B65">
        <w:rPr>
          <w:i/>
          <w:iCs/>
          <w:color w:val="000000" w:themeColor="text1"/>
        </w:rPr>
        <w:t>K</w:t>
      </w:r>
      <w:r w:rsidR="00872FD2">
        <w:rPr>
          <w:color w:val="000000" w:themeColor="text1"/>
        </w:rPr>
        <w:t xml:space="preserve"> represents the number of edges. Previous studies have shown that attributes of the network as a whole, </w:t>
      </w:r>
      <w:r w:rsidR="000240BE">
        <w:rPr>
          <w:color w:val="000000" w:themeColor="text1"/>
        </w:rPr>
        <w:t xml:space="preserve">like path length and efficiency, can be analyzed by measuring </w:t>
      </w:r>
      <w:r w:rsidR="00710BCB">
        <w:rPr>
          <w:color w:val="000000" w:themeColor="text1"/>
        </w:rPr>
        <w:t>the diameter</w:t>
      </w:r>
      <w:r w:rsidR="00C663E8">
        <w:rPr>
          <w:color w:val="000000" w:themeColor="text1"/>
        </w:rPr>
        <w:t xml:space="preserve"> of the </w:t>
      </w:r>
      <w:r w:rsidR="008734A4">
        <w:rPr>
          <w:color w:val="000000" w:themeColor="text1"/>
        </w:rPr>
        <w:t xml:space="preserve">network, as well as local efficiency, </w:t>
      </w:r>
      <w:r w:rsidR="00FF4A9B">
        <w:rPr>
          <w:color w:val="000000" w:themeColor="text1"/>
        </w:rPr>
        <w:t>small world efficiency, and modularity metrics</w:t>
      </w:r>
      <w:r w:rsidR="003B286C">
        <w:rPr>
          <w:color w:val="000000" w:themeColor="text1"/>
        </w:rPr>
        <w:t xml:space="preserve"> </w:t>
      </w:r>
      <w:r w:rsidR="00CD5A50">
        <w:rPr>
          <w:color w:val="000000" w:themeColor="text1"/>
        </w:rPr>
        <w:fldChar w:fldCharType="begin" w:fldLock="1"/>
      </w:r>
      <w:r w:rsidR="00CD3FE7">
        <w:rPr>
          <w:color w:val="000000" w:themeColor="text1"/>
        </w:rPr>
        <w:instrText>ADDIN CSL_CITATION {"citationItems":[{"id":"ITEM-1","itemData":{"DOI":"10.31887/DCNS.2018.20.2/OSPORNS","ISSN":"12948322","PMID":"30250388","abstract":"Network neuroscience is a thriving and rapidly expanding field. Empirical data on brain networks, from molecular to behavioral scales, are ever increasing in size and complexity. These developments lead to a strong demand for appropriate tools and methods that model and analyze brain network data, such as those provided by graph theory. This brief review surveys some of the most commonly used and neurobiologically insightful graph measures and techniques. Among these, the detection of network communities or modules, and the identification of central network elements that facilitate communication and signal transfer, are particularly salient. A number of emerging trends are the growing use of generative models, dynamic (time-varying) and multilayer networks, as well as the application of algebraic topology. Overall, graph theory methods are centrally important to understanding the architecture, development, and evolution of brain networks.","author":[{"dropping-particle":"","family":"Sporns","given":"Olaf","non-dropping-particle":"","parse-names":false,"suffix":""}],"container-title":"Dialogues in Clinical Neuroscience","id":"ITEM-1","issue":"2","issued":{"date-parts":[["2018"]]},"page":"111-120","title":"Graph theory methods: Applications in brain networks","type":"article-journal","volume":"20"},"uris":["http://www.mendeley.com/documents/?uuid=b3750fe1-f0c1-4816-9210-2b75f786597d"]},{"id":"ITEM-2","itemData":{"DOI":"10.1016/j.neuroimage.2009.10.003","ISSN":"10538119","abstract":"Brain connectivity datasets comprise networks of brain regions connected by anatomical tracts or by functional associations. Complex network analysis-a new multidisciplinary approach to the study of complex systems-aims to characterize these brain networks with a small number of neurobiologically meaningful and easily computable measures. In this article, we discuss construction of brain networks from connectivity data and describe the most commonly used network measures of structural and functional connectivity. We describe measures that variously detect functional integration and segregation, quantify centrality of individual brain regions or pathways, characterize patterns of local anatomical circuitry, and test resilience of networks to insult. We discuss the issues surrounding comparison of structural and functional network connectivity, as well as comparison of networks across subjects. Finally, we describe a Matlab toolbox (http://www.brain-connectivity-toolbox.net) accompanying this article and containing a collection of complex network measures and large-scale neuroanatomical connectivity datasets. © 2009 Elsevier Inc.","author":[{"dropping-particle":"","family":"Rubinov","given":"Mikail","non-dropping-particle":"","parse-names":false,"suffix":""},{"dropping-particle":"","family":"Sporns","given":"Olaf","non-dropping-particle":"","parse-names":false,"suffix":""}],"container-title":"NeuroImage","id":"ITEM-2","issue":"3","issued":{"date-parts":[["2010"]]},"title":"Complex network measures of brain connectivity: Uses and interpretations","type":"article-journal","volume":"52"},"uris":["http://www.mendeley.com/documents/?uuid=b45f7ec1-ca9e-4852-863a-0a30d8ed5e4e"]},{"id":"ITEM-3","itemData":{"DOI":"10.1088/1742-5468/2008/10/P10008","ISSN":"17425468","abstract":"We propose a simple method to extract the community structure of large networks. Our method is a heuristic method that is based on modularity optimization. It is shown to outperform all other known community detection methods in terms of computation time. Moreover, the quality of the communities detected is very good, as measured by the so-called modularity. This is shown first by identifying language communities in a Belgian mobile phone network of 2 million customers and by analysing a web graph of 118 million nodes and more than one billion links. The accuracy of our algorithm is also verified on ad hoc modular networks. © 2008 IOP Publishing Ltd.","author":[{"dropping-particle":"","family":"Blondel","given":"Vincent D.","non-dropping-particle":"","parse-names":false,"suffix":""},{"dropping-particle":"","family":"Guillaume","given":"Jean Loup","non-dropping-particle":"","parse-names":false,"suffix":""},{"dropping-particle":"","family":"Lambiotte","given":"Renaud","non-dropping-particle":"","parse-names":false,"suffix":""},{"dropping-particle":"","family":"Lefebvre","given":"Etienne","non-dropping-particle":"","parse-names":false,"suffix":""}],"container-title":"Journal of Statistical Mechanics: Theory and Experiment","id":"ITEM-3","issue":"10","issued":{"date-parts":[["2008"]]},"title":"Fast unfolding of communities in large networks","type":"article-journal","volume":"2008"},"uris":["http://www.mendeley.com/documents/?uuid=416222f0-4cc1-417f-8500-5485c339cf8c"]}],"mendeley":{"formattedCitation":"(Blondel, Guillaume, Lambiotte, &amp; Lefebvre, 2008; Rubinov &amp; Sporns, 2010; Sporns, 2018)","plainTextFormattedCitation":"(Blondel, Guillaume, Lambiotte, &amp; Lefebvre, 2008; Rubinov &amp; Sporns, 2010; Sporns, 2018)","previouslyFormattedCitation":"(Blondel, Guillaume, Lambiotte, &amp; Lefebvre, 2008; Rubinov &amp; Sporns, 2010; Sporns, 2018)"},"properties":{"noteIndex":0},"schema":"https://github.com/citation-style-language/schema/raw/master/csl-citation.json"}</w:instrText>
      </w:r>
      <w:r w:rsidR="00CD5A50">
        <w:rPr>
          <w:color w:val="000000" w:themeColor="text1"/>
        </w:rPr>
        <w:fldChar w:fldCharType="separate"/>
      </w:r>
      <w:r w:rsidR="00CD5A50" w:rsidRPr="00CD5A50">
        <w:rPr>
          <w:noProof/>
          <w:color w:val="000000" w:themeColor="text1"/>
        </w:rPr>
        <w:t>(Blondel, Guillaume, Lambiotte, &amp; Lefebvre, 2008; Rubinov &amp; Sporns, 2010; Sporns, 2018)</w:t>
      </w:r>
      <w:r w:rsidR="00CD5A50">
        <w:rPr>
          <w:color w:val="000000" w:themeColor="text1"/>
        </w:rPr>
        <w:fldChar w:fldCharType="end"/>
      </w:r>
      <w:r w:rsidR="00EE5BBF">
        <w:rPr>
          <w:color w:val="000000" w:themeColor="text1"/>
        </w:rPr>
        <w:t xml:space="preserve">. </w:t>
      </w:r>
    </w:p>
    <w:p w14:paraId="221F9DB4" w14:textId="77777777" w:rsidR="009B078F" w:rsidRDefault="009B078F" w:rsidP="005C0A30">
      <w:pPr>
        <w:rPr>
          <w:color w:val="000000" w:themeColor="text1"/>
        </w:rPr>
      </w:pPr>
    </w:p>
    <w:p w14:paraId="1D81B8BA" w14:textId="076AA694" w:rsidR="00612F62" w:rsidRDefault="00EE5BBF" w:rsidP="009B078F">
      <w:pPr>
        <w:ind w:firstLine="720"/>
        <w:rPr>
          <w:color w:val="000000" w:themeColor="text1"/>
        </w:rPr>
      </w:pPr>
      <w:r w:rsidRPr="00EE5BBF">
        <w:rPr>
          <w:color w:val="000000" w:themeColor="text1"/>
        </w:rPr>
        <w:t xml:space="preserve">The average shortest path length refers to the average number of edges that exist along the shortest pathway between any two pairs of nodes in a graph. </w:t>
      </w:r>
      <w:r w:rsidR="00CC0222">
        <w:rPr>
          <w:color w:val="000000" w:themeColor="text1"/>
        </w:rPr>
        <w:t xml:space="preserve">It should be noted </w:t>
      </w:r>
      <w:r w:rsidRPr="00EE5BBF">
        <w:rPr>
          <w:color w:val="000000" w:themeColor="text1"/>
        </w:rPr>
        <w:t>that in graph theory, efficiency is a mathematical concept. Even though the most optimal path is identified, it is possible that signals may not necessarily follow this path.</w:t>
      </w:r>
      <w:r w:rsidR="00581853">
        <w:rPr>
          <w:color w:val="000000" w:themeColor="text1"/>
        </w:rPr>
        <w:t xml:space="preserve"> The equation for the average shortest path is as follows: </w:t>
      </w:r>
    </w:p>
    <w:p w14:paraId="1F0E238B" w14:textId="409EF1E6" w:rsidR="00542A14" w:rsidRDefault="00614C94" w:rsidP="00424208">
      <w:pPr>
        <w:ind w:firstLine="720"/>
        <w:rPr>
          <w:color w:val="000000" w:themeColor="text1"/>
        </w:rPr>
      </w:pPr>
      <m:oMath>
        <m:r>
          <w:rPr>
            <w:rFonts w:ascii="Cambria Math" w:hAnsi="Cambria Math"/>
          </w:rPr>
          <m:t xml:space="preserve">L= </m:t>
        </m:r>
        <m:f>
          <m:fPr>
            <m:ctrlPr>
              <w:rPr>
                <w:rFonts w:ascii="Cambria Math" w:eastAsiaTheme="minorEastAsia" w:hAnsi="Cambria Math"/>
                <w:i/>
                <w:iCs/>
              </w:rPr>
            </m:ctrlPr>
          </m:fPr>
          <m:num>
            <m:r>
              <w:rPr>
                <w:rFonts w:ascii="Cambria Math" w:hAnsi="Cambria Math"/>
              </w:rPr>
              <m:t>1</m:t>
            </m:r>
          </m:num>
          <m:den>
            <m:r>
              <w:rPr>
                <w:rFonts w:ascii="Cambria Math" w:hAnsi="Cambria Math"/>
              </w:rPr>
              <m:t>N*</m:t>
            </m:r>
            <m:d>
              <m:dPr>
                <m:ctrlPr>
                  <w:rPr>
                    <w:rFonts w:ascii="Cambria Math" w:hAnsi="Cambria Math"/>
                    <w:i/>
                    <w:iCs/>
                  </w:rPr>
                </m:ctrlPr>
              </m:dPr>
              <m:e>
                <m:r>
                  <w:rPr>
                    <w:rFonts w:ascii="Cambria Math" w:hAnsi="Cambria Math"/>
                  </w:rPr>
                  <m:t>N-1</m:t>
                </m:r>
              </m:e>
            </m:d>
          </m:den>
        </m:f>
        <m:r>
          <w:rPr>
            <w:rFonts w:ascii="Cambria Math" w:hAnsi="Cambria Math" w:cs="ÍníÕ˛"/>
          </w:rPr>
          <m:t>*∑</m:t>
        </m:r>
      </m:oMath>
      <w:r w:rsidR="00B75B3E">
        <w:rPr>
          <w:i/>
          <w:iCs/>
          <w:color w:val="000000" w:themeColor="text1"/>
          <w:vertAlign w:val="subscript"/>
        </w:rPr>
        <w:t>i</w:t>
      </w:r>
      <w:r>
        <w:rPr>
          <w:i/>
          <w:iCs/>
          <w:color w:val="000000" w:themeColor="text1"/>
          <w:vertAlign w:val="subscript"/>
        </w:rPr>
        <w:t xml:space="preserve"> </w:t>
      </w:r>
      <w:r w:rsidRPr="00614C94">
        <w:rPr>
          <w:i/>
          <w:iCs/>
          <w:color w:val="000000" w:themeColor="text1"/>
          <w:vertAlign w:val="subscript"/>
        </w:rPr>
        <w:sym w:font="Symbol" w:char="F0B9"/>
      </w:r>
      <w:r>
        <w:rPr>
          <w:i/>
          <w:iCs/>
          <w:color w:val="000000" w:themeColor="text1"/>
          <w:vertAlign w:val="subscript"/>
        </w:rPr>
        <w:t xml:space="preserve"> </w:t>
      </w:r>
      <w:r w:rsidRPr="00614C94">
        <w:rPr>
          <w:i/>
          <w:iCs/>
          <w:color w:val="000000" w:themeColor="text1"/>
          <w:vertAlign w:val="subscript"/>
        </w:rPr>
        <w:t>j</w:t>
      </w:r>
      <w:r>
        <w:rPr>
          <w:i/>
          <w:iCs/>
          <w:color w:val="000000" w:themeColor="text1"/>
          <w:vertAlign w:val="subscript"/>
        </w:rPr>
        <w:t xml:space="preserve"> </w:t>
      </w:r>
      <w:r w:rsidRPr="00614C94">
        <w:rPr>
          <w:i/>
          <w:iCs/>
          <w:color w:val="000000" w:themeColor="text1"/>
        </w:rPr>
        <w:t>d</w:t>
      </w:r>
      <w:r>
        <w:rPr>
          <w:i/>
          <w:iCs/>
          <w:color w:val="000000" w:themeColor="text1"/>
        </w:rPr>
        <w:t>(i, j)</w:t>
      </w:r>
      <w:r w:rsidRPr="00614C94">
        <w:rPr>
          <w:color w:val="000000" w:themeColor="text1"/>
        </w:rPr>
        <w:t xml:space="preserve">, </w:t>
      </w:r>
      <w:r>
        <w:rPr>
          <w:color w:val="000000" w:themeColor="text1"/>
        </w:rPr>
        <w:t xml:space="preserve">where </w:t>
      </w:r>
      <w:r>
        <w:rPr>
          <w:i/>
          <w:iCs/>
          <w:color w:val="000000" w:themeColor="text1"/>
        </w:rPr>
        <w:t xml:space="preserve">d(i, j) </w:t>
      </w:r>
      <w:r>
        <w:rPr>
          <w:color w:val="000000" w:themeColor="text1"/>
        </w:rPr>
        <w:t xml:space="preserve">represents </w:t>
      </w:r>
      <w:r w:rsidR="00312A75">
        <w:rPr>
          <w:color w:val="000000" w:themeColor="text1"/>
        </w:rPr>
        <w:t>the shortest path between two vertices of the graph.</w:t>
      </w:r>
      <w:r>
        <w:rPr>
          <w:i/>
          <w:iCs/>
          <w:color w:val="000000" w:themeColor="text1"/>
        </w:rPr>
        <w:t xml:space="preserve"> </w:t>
      </w:r>
    </w:p>
    <w:p w14:paraId="1A5048A3" w14:textId="39495D91" w:rsidR="00E04F2D" w:rsidRPr="00E04F2D" w:rsidRDefault="00E04F2D" w:rsidP="00E04F2D">
      <w:pPr>
        <w:rPr>
          <w:color w:val="000000" w:themeColor="text1"/>
        </w:rPr>
      </w:pPr>
      <w:r>
        <w:rPr>
          <w:color w:val="000000" w:themeColor="text1"/>
        </w:rPr>
        <w:tab/>
      </w:r>
    </w:p>
    <w:p w14:paraId="211AC3BA" w14:textId="3D73DF81" w:rsidR="001C7F8C" w:rsidRDefault="005E400E" w:rsidP="001C7F8C">
      <w:r>
        <w:tab/>
      </w:r>
      <w:r w:rsidR="001C7F8C">
        <w:t xml:space="preserve">Local efficiency refers to the ability of </w:t>
      </w:r>
      <w:r w:rsidR="007E7556">
        <w:t xml:space="preserve">a group of neighborhood nodes to withstand </w:t>
      </w:r>
      <w:r w:rsidR="00C465EE">
        <w:t>a local fault</w:t>
      </w:r>
      <w:r w:rsidR="006A10C0">
        <w:t xml:space="preserve">. </w:t>
      </w:r>
      <w:r w:rsidR="00A96018">
        <w:t>Local efficiency is determined by observing how effectively information is transmitted by these nodes when one of them (</w:t>
      </w:r>
      <w:r w:rsidR="00F92D22">
        <w:t>i.e.,</w:t>
      </w:r>
      <w:r w:rsidR="00436824">
        <w:t xml:space="preserve"> </w:t>
      </w:r>
      <w:r w:rsidR="00A96018">
        <w:t xml:space="preserve">node </w:t>
      </w:r>
      <w:r w:rsidR="00A96018">
        <w:rPr>
          <w:i/>
          <w:iCs/>
        </w:rPr>
        <w:t>i</w:t>
      </w:r>
      <w:r w:rsidR="00A96018">
        <w:t xml:space="preserve">) is removed. </w:t>
      </w:r>
      <w:r w:rsidR="00424208">
        <w:t xml:space="preserve">Local efficiency is calculated by: </w:t>
      </w:r>
    </w:p>
    <w:p w14:paraId="0F1E0527" w14:textId="092D181C" w:rsidR="00B75B3E" w:rsidRDefault="00000000" w:rsidP="003716F4">
      <m:oMath>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loc</m:t>
            </m:r>
          </m:sub>
        </m:sSub>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i∈N</m:t>
            </m:r>
          </m:sub>
        </m:sSub>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loc,i</m:t>
            </m:r>
          </m:sub>
        </m:sSub>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i∈N</m:t>
            </m:r>
          </m:sub>
        </m:sSub>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j,h∈N,j≠i</m:t>
                </m:r>
              </m:sub>
            </m:sSub>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ij</m:t>
                </m:r>
              </m:sub>
            </m:sSub>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ih</m:t>
                </m:r>
              </m:sub>
            </m:sSub>
            <m:sSup>
              <m:sSupPr>
                <m:ctrlPr>
                  <w:rPr>
                    <w:rFonts w:ascii="Cambria Math" w:hAnsi="Cambria Math"/>
                    <w:color w:val="000000" w:themeColor="text1"/>
                  </w:rPr>
                </m:ctrlPr>
              </m:sSup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jh</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N</m:t>
                        </m:r>
                      </m:e>
                      <m:sub>
                        <m:r>
                          <w:rPr>
                            <w:rFonts w:ascii="Cambria Math" w:hAnsi="Cambria Math"/>
                            <w:color w:val="000000" w:themeColor="text1"/>
                          </w:rPr>
                          <m:t>i</m:t>
                        </m:r>
                      </m:sub>
                    </m:sSub>
                    <m:r>
                      <m:rPr>
                        <m:sty m:val="p"/>
                      </m:rPr>
                      <w:rPr>
                        <w:rFonts w:ascii="Cambria Math" w:hAnsi="Cambria Math"/>
                        <w:color w:val="000000" w:themeColor="text1"/>
                      </w:rPr>
                      <m:t>)</m:t>
                    </m:r>
                  </m:e>
                </m:d>
              </m:e>
              <m:sup>
                <m:r>
                  <w:rPr>
                    <w:rFonts w:ascii="Cambria Math" w:hAnsi="Cambria Math"/>
                    <w:color w:val="000000" w:themeColor="text1"/>
                  </w:rPr>
                  <m:t>-1</m:t>
                </m:r>
              </m:sup>
            </m:sSup>
          </m:num>
          <m:den>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r>
                  <w:rPr>
                    <w:rFonts w:ascii="Cambria Math" w:hAnsi="Cambria Math"/>
                    <w:color w:val="000000" w:themeColor="text1"/>
                  </w:rPr>
                  <m:t>-1</m:t>
                </m:r>
              </m:e>
            </m:d>
          </m:den>
        </m:f>
      </m:oMath>
      <w:r w:rsidR="000006AA">
        <w:rPr>
          <w:color w:val="000000" w:themeColor="text1"/>
        </w:rPr>
        <w:t xml:space="preserve">, </w:t>
      </w:r>
      <w:r w:rsidR="008157AB" w:rsidRPr="008157AB">
        <w:rPr>
          <w:color w:val="000000" w:themeColor="text1"/>
        </w:rPr>
        <w:t xml:space="preserve">where </w:t>
      </w:r>
      <w:r w:rsidR="008157AB" w:rsidRPr="008157AB">
        <w:rPr>
          <w:i/>
          <w:color w:val="000000" w:themeColor="text1"/>
        </w:rPr>
        <w:t>E</w:t>
      </w:r>
      <w:r w:rsidR="008157AB" w:rsidRPr="008157AB">
        <w:rPr>
          <w:i/>
          <w:color w:val="000000" w:themeColor="text1"/>
          <w:vertAlign w:val="subscript"/>
        </w:rPr>
        <w:t>loc,i</w:t>
      </w:r>
      <w:r w:rsidR="008157AB" w:rsidRPr="008157AB">
        <w:rPr>
          <w:color w:val="000000" w:themeColor="text1"/>
        </w:rPr>
        <w:t xml:space="preserve"> is the efficiency of node </w:t>
      </w:r>
      <w:r w:rsidR="008157AB" w:rsidRPr="008157AB">
        <w:rPr>
          <w:i/>
          <w:color w:val="000000" w:themeColor="text1"/>
        </w:rPr>
        <w:t>i</w:t>
      </w:r>
      <w:r w:rsidR="008157AB" w:rsidRPr="008157AB">
        <w:rPr>
          <w:color w:val="000000" w:themeColor="text1"/>
        </w:rPr>
        <w:t xml:space="preserve">, </w:t>
      </w:r>
      <w:r w:rsidR="008157AB" w:rsidRPr="008157AB">
        <w:rPr>
          <w:i/>
          <w:color w:val="000000" w:themeColor="text1"/>
        </w:rPr>
        <w:t>d</w:t>
      </w:r>
      <w:r w:rsidR="008157AB" w:rsidRPr="008157AB">
        <w:rPr>
          <w:i/>
          <w:color w:val="000000" w:themeColor="text1"/>
          <w:vertAlign w:val="subscript"/>
        </w:rPr>
        <w:t>jh</w:t>
      </w:r>
      <w:r w:rsidR="008157AB" w:rsidRPr="008157AB">
        <w:rPr>
          <w:i/>
          <w:color w:val="000000" w:themeColor="text1"/>
        </w:rPr>
        <w:t>(N</w:t>
      </w:r>
      <w:r w:rsidR="008157AB" w:rsidRPr="008157AB">
        <w:rPr>
          <w:i/>
          <w:color w:val="000000" w:themeColor="text1"/>
          <w:vertAlign w:val="subscript"/>
        </w:rPr>
        <w:t>i</w:t>
      </w:r>
      <w:r w:rsidR="008157AB" w:rsidRPr="008157AB">
        <w:rPr>
          <w:i/>
          <w:color w:val="000000" w:themeColor="text1"/>
        </w:rPr>
        <w:t>)</w:t>
      </w:r>
      <w:r w:rsidR="008157AB" w:rsidRPr="008157AB">
        <w:rPr>
          <w:color w:val="000000" w:themeColor="text1"/>
        </w:rPr>
        <w:t xml:space="preserve"> is the length of the shortest path between </w:t>
      </w:r>
      <w:r w:rsidR="008157AB" w:rsidRPr="008157AB">
        <w:rPr>
          <w:i/>
          <w:color w:val="000000" w:themeColor="text1"/>
        </w:rPr>
        <w:t>j</w:t>
      </w:r>
      <w:r w:rsidR="008157AB" w:rsidRPr="008157AB">
        <w:rPr>
          <w:color w:val="000000" w:themeColor="text1"/>
        </w:rPr>
        <w:t xml:space="preserve"> and </w:t>
      </w:r>
      <w:r w:rsidR="008157AB" w:rsidRPr="008157AB">
        <w:rPr>
          <w:i/>
          <w:color w:val="000000" w:themeColor="text1"/>
        </w:rPr>
        <w:t>h</w:t>
      </w:r>
      <w:r w:rsidR="008157AB" w:rsidRPr="008157AB">
        <w:rPr>
          <w:color w:val="000000" w:themeColor="text1"/>
        </w:rPr>
        <w:t xml:space="preserve"> that contains only neighbors of node </w:t>
      </w:r>
      <w:r w:rsidR="008157AB" w:rsidRPr="008157AB">
        <w:rPr>
          <w:i/>
          <w:color w:val="000000" w:themeColor="text1"/>
        </w:rPr>
        <w:t xml:space="preserve">i, </w:t>
      </w:r>
      <w:r w:rsidR="008157AB" w:rsidRPr="008157AB">
        <w:rPr>
          <w:iCs/>
          <w:color w:val="000000" w:themeColor="text1"/>
        </w:rPr>
        <w:t xml:space="preserve">and </w:t>
      </w:r>
      <w:r w:rsidR="008157AB" w:rsidRPr="008157AB">
        <w:rPr>
          <w:i/>
          <w:color w:val="000000" w:themeColor="text1"/>
        </w:rPr>
        <w:t>a</w:t>
      </w:r>
      <w:r w:rsidR="008157AB" w:rsidRPr="00DE6EE0">
        <w:rPr>
          <w:i/>
          <w:color w:val="000000" w:themeColor="text1"/>
          <w:vertAlign w:val="subscript"/>
        </w:rPr>
        <w:t>ij</w:t>
      </w:r>
      <w:r w:rsidR="008157AB" w:rsidRPr="008157AB">
        <w:rPr>
          <w:iCs/>
          <w:color w:val="000000" w:themeColor="text1"/>
        </w:rPr>
        <w:t xml:space="preserve"> is the </w:t>
      </w:r>
      <w:r w:rsidR="008157AB" w:rsidRPr="008157AB">
        <w:rPr>
          <w:i/>
          <w:color w:val="000000" w:themeColor="text1"/>
        </w:rPr>
        <w:t>i</w:t>
      </w:r>
      <w:r w:rsidR="008157AB" w:rsidRPr="008157AB">
        <w:rPr>
          <w:iCs/>
          <w:color w:val="000000" w:themeColor="text1"/>
        </w:rPr>
        <w:t xml:space="preserve">th row and </w:t>
      </w:r>
      <w:r w:rsidR="008157AB" w:rsidRPr="008157AB">
        <w:rPr>
          <w:i/>
          <w:color w:val="000000" w:themeColor="text1"/>
        </w:rPr>
        <w:t>j</w:t>
      </w:r>
      <w:r w:rsidR="008157AB" w:rsidRPr="008157AB">
        <w:rPr>
          <w:iCs/>
          <w:color w:val="000000" w:themeColor="text1"/>
        </w:rPr>
        <w:t xml:space="preserve">th column element of adjacency matrix </w:t>
      </w:r>
      <w:r w:rsidR="008157AB" w:rsidRPr="008157AB">
        <w:rPr>
          <w:i/>
          <w:color w:val="000000" w:themeColor="text1"/>
        </w:rPr>
        <w:t>A.</w:t>
      </w:r>
      <w:r w:rsidR="00002260">
        <w:tab/>
      </w:r>
    </w:p>
    <w:p w14:paraId="69026C8F" w14:textId="77777777" w:rsidR="009B078F" w:rsidRDefault="009B078F" w:rsidP="003716F4"/>
    <w:p w14:paraId="6B3FACEB" w14:textId="436D2BEB" w:rsidR="00EB5C24" w:rsidRDefault="00EB5C24" w:rsidP="00612F62">
      <w:pPr>
        <w:ind w:firstLine="720"/>
      </w:pPr>
      <w:r w:rsidRPr="00EB5C24">
        <w:t>The diameter of a graph is determined by finding the largest distance between any two nodes, which is also known as the eccentricity. To calculate the diameter, the maximum eccentricity for all nodes in the graph is considered.</w:t>
      </w:r>
    </w:p>
    <w:p w14:paraId="4E3A9D07" w14:textId="77777777" w:rsidR="00612F62" w:rsidRPr="00EB5C24" w:rsidRDefault="00612F62" w:rsidP="00612F62">
      <w:pPr>
        <w:ind w:firstLine="720"/>
      </w:pPr>
    </w:p>
    <w:p w14:paraId="6F548B11" w14:textId="58868510" w:rsidR="00CB4AD8" w:rsidRDefault="001A197C" w:rsidP="008F7411">
      <w:pPr>
        <w:ind w:firstLine="720"/>
      </w:pPr>
      <w:r>
        <w:rPr>
          <w:i/>
          <w:iCs/>
        </w:rPr>
        <w:t xml:space="preserve">D </w:t>
      </w:r>
      <w:r>
        <w:t xml:space="preserve">= </w:t>
      </w:r>
      <w:r w:rsidRPr="00DC6266">
        <w:rPr>
          <w:i/>
          <w:iCs/>
        </w:rPr>
        <w:t>max</w:t>
      </w:r>
      <w:r w:rsidR="00DC6266" w:rsidRPr="00DC6266">
        <w:rPr>
          <w:i/>
          <w:iCs/>
          <w:vertAlign w:val="subscript"/>
        </w:rPr>
        <w:t>j</w:t>
      </w:r>
      <w:r w:rsidR="00DC6266" w:rsidRPr="00DC6266">
        <w:rPr>
          <w:i/>
          <w:iCs/>
        </w:rPr>
        <w:t>max</w:t>
      </w:r>
      <w:r w:rsidR="00DC6266" w:rsidRPr="00DC6266">
        <w:rPr>
          <w:i/>
          <w:iCs/>
          <w:vertAlign w:val="subscript"/>
        </w:rPr>
        <w:t>i</w:t>
      </w:r>
      <w:r w:rsidR="00DC6266">
        <w:t>(</w:t>
      </w:r>
      <w:r w:rsidR="00DC6266">
        <w:rPr>
          <w:i/>
          <w:iCs/>
        </w:rPr>
        <w:t>d</w:t>
      </w:r>
      <w:r w:rsidR="00DC6266">
        <w:t>(</w:t>
      </w:r>
      <w:r w:rsidR="00DC6266" w:rsidRPr="00DC6266">
        <w:rPr>
          <w:i/>
          <w:iCs/>
        </w:rPr>
        <w:t>i,j</w:t>
      </w:r>
      <w:r w:rsidR="00DC6266">
        <w:t xml:space="preserve">)), where </w:t>
      </w:r>
      <w:r w:rsidR="0009441E">
        <w:rPr>
          <w:i/>
          <w:iCs/>
        </w:rPr>
        <w:t>d</w:t>
      </w:r>
      <w:r w:rsidR="0009441E">
        <w:t>(</w:t>
      </w:r>
      <w:r w:rsidR="0009441E" w:rsidRPr="00DC6266">
        <w:rPr>
          <w:i/>
          <w:iCs/>
        </w:rPr>
        <w:t>i,j</w:t>
      </w:r>
      <w:r w:rsidR="0009441E">
        <w:t xml:space="preserve">) is the shortest distance between nodes </w:t>
      </w:r>
      <w:r w:rsidR="00612F62">
        <w:t>i</w:t>
      </w:r>
      <w:r w:rsidR="0009441E">
        <w:t xml:space="preserve"> and j.</w:t>
      </w:r>
    </w:p>
    <w:p w14:paraId="2C0C8653" w14:textId="7789D6F2" w:rsidR="00612F62" w:rsidRDefault="00612F62" w:rsidP="008F7411">
      <w:pPr>
        <w:ind w:firstLine="720"/>
      </w:pPr>
    </w:p>
    <w:p w14:paraId="7E07F5F9" w14:textId="3BAB9EBD" w:rsidR="00612F62" w:rsidRDefault="00FB3542" w:rsidP="008F7411">
      <w:pPr>
        <w:ind w:firstLine="720"/>
      </w:pPr>
      <w:r>
        <w:t xml:space="preserve">Small world omega measures the balance between local clustering and long-range connections, where small world graphs are characterized by a high degree of local </w:t>
      </w:r>
      <w:r w:rsidR="00887F59">
        <w:t xml:space="preserve">clustering but short path lengths, the latter thanks to a small number of long-range connections between clusters. </w:t>
      </w:r>
      <w:r w:rsidR="005C5A9B">
        <w:t xml:space="preserve">Omega metrics benchmark </w:t>
      </w:r>
      <w:r w:rsidR="0043591E">
        <w:t xml:space="preserve">clustering against a reference lattice </w:t>
      </w:r>
      <w:r w:rsidR="00285A4A">
        <w:t xml:space="preserve">graph </w:t>
      </w:r>
      <w:r w:rsidR="00E65E84">
        <w:t xml:space="preserve">but shortest path length </w:t>
      </w:r>
      <w:r w:rsidR="009B078F">
        <w:t xml:space="preserve">is benchmarked </w:t>
      </w:r>
      <w:r w:rsidR="00E65E84">
        <w:t>against a random reference graph. Thus</w:t>
      </w:r>
      <w:r w:rsidR="00BB12E4">
        <w:t>, omega metrics further allow the characterization of whether graphs are more random or more lattice</w:t>
      </w:r>
      <w:r w:rsidR="00070D4C">
        <w:t xml:space="preserve">-like </w:t>
      </w:r>
      <w:r w:rsidR="00E24D67">
        <w:t xml:space="preserve">in their deviation from small-worldness. </w:t>
      </w:r>
    </w:p>
    <w:p w14:paraId="652F7A0C" w14:textId="3A5F483E" w:rsidR="00272023" w:rsidRDefault="00272023" w:rsidP="008F7411">
      <w:pPr>
        <w:ind w:firstLine="720"/>
      </w:pPr>
      <w:r>
        <w:t>Omega is defined as:</w:t>
      </w:r>
    </w:p>
    <w:p w14:paraId="746354AD" w14:textId="5E9F09C9" w:rsidR="00272023" w:rsidRDefault="0057439F" w:rsidP="008F7411">
      <w:pPr>
        <w:ind w:firstLine="720"/>
      </w:pPr>
      <m:oMath>
        <m:r>
          <w:rPr>
            <w:rFonts w:ascii="Cambria Math" w:hAnsi="Cambria Math"/>
          </w:rPr>
          <m:t xml:space="preserve">ω= </m:t>
        </m:r>
        <m:f>
          <m:fPr>
            <m:ctrlPr>
              <w:rPr>
                <w:rFonts w:ascii="Cambria Math" w:hAnsi="Cambria Math"/>
                <w:i/>
              </w:rPr>
            </m:ctrlPr>
          </m:fPr>
          <m:num>
            <m:r>
              <w:rPr>
                <w:rFonts w:ascii="Cambria Math" w:hAnsi="Cambria Math"/>
              </w:rPr>
              <m:t>L</m:t>
            </m:r>
          </m:num>
          <m:den>
            <m:sSub>
              <m:sSubPr>
                <m:ctrlPr>
                  <w:rPr>
                    <w:rFonts w:ascii="Cambria Math" w:hAnsi="Cambria Math"/>
                    <w:i/>
                  </w:rPr>
                </m:ctrlPr>
              </m:sSubPr>
              <m:e>
                <m:r>
                  <w:rPr>
                    <w:rFonts w:ascii="Cambria Math" w:hAnsi="Cambria Math"/>
                  </w:rPr>
                  <m:t>L</m:t>
                </m:r>
              </m:e>
              <m:sub>
                <m:r>
                  <w:rPr>
                    <w:rFonts w:ascii="Cambria Math" w:hAnsi="Cambria Math"/>
                  </w:rPr>
                  <m:t>r</m:t>
                </m:r>
              </m:sub>
            </m:sSub>
          </m:den>
        </m:f>
        <m:r>
          <w:rPr>
            <w:rFonts w:ascii="Cambria Math" w:hAnsi="Cambria Math"/>
          </w:rPr>
          <m:t>-</m:t>
        </m:r>
        <m:f>
          <m:fPr>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C</m:t>
                </m:r>
              </m:e>
              <m:sub>
                <m:r>
                  <w:rPr>
                    <w:rFonts w:ascii="Cambria Math" w:hAnsi="Cambria Math"/>
                  </w:rPr>
                  <m:t>l</m:t>
                </m:r>
              </m:sub>
            </m:sSub>
          </m:den>
        </m:f>
      </m:oMath>
      <w:r w:rsidR="001E498C">
        <w:t xml:space="preserve">, where </w:t>
      </w:r>
      <w:r w:rsidR="00BD2180" w:rsidRPr="00DE6EE0">
        <w:rPr>
          <w:i/>
          <w:iCs/>
        </w:rPr>
        <w:t>C</w:t>
      </w:r>
      <w:r w:rsidR="00BD2180">
        <w:t xml:space="preserve"> and </w:t>
      </w:r>
      <w:r w:rsidR="00BD2180" w:rsidRPr="00DE6EE0">
        <w:rPr>
          <w:i/>
          <w:iCs/>
        </w:rPr>
        <w:t>L</w:t>
      </w:r>
      <w:r w:rsidR="00BD2180">
        <w:t xml:space="preserve"> </w:t>
      </w:r>
      <w:r w:rsidR="008343F4">
        <w:t>are the clustering coefficient and shortest path length</w:t>
      </w:r>
      <w:r w:rsidR="009B078F">
        <w:t>,</w:t>
      </w:r>
      <w:r w:rsidR="008343F4">
        <w:t xml:space="preserve"> respectively</w:t>
      </w:r>
      <w:r w:rsidR="009B078F">
        <w:t>,</w:t>
      </w:r>
      <w:r w:rsidR="008343F4">
        <w:t xml:space="preserve"> and </w:t>
      </w:r>
      <w:r w:rsidR="009C5B9C" w:rsidRPr="00F41225">
        <w:rPr>
          <w:i/>
          <w:iCs/>
        </w:rPr>
        <w:t>C</w:t>
      </w:r>
      <w:r w:rsidR="00B3508E" w:rsidRPr="00F41225">
        <w:rPr>
          <w:i/>
          <w:iCs/>
          <w:vertAlign w:val="subscript"/>
        </w:rPr>
        <w:t>l</w:t>
      </w:r>
      <w:r w:rsidR="00B3508E">
        <w:rPr>
          <w:vertAlign w:val="subscript"/>
        </w:rPr>
        <w:t xml:space="preserve"> </w:t>
      </w:r>
      <w:r w:rsidR="00B3508E">
        <w:t xml:space="preserve">and </w:t>
      </w:r>
      <w:r w:rsidR="00B3508E" w:rsidRPr="008B4A7C">
        <w:rPr>
          <w:i/>
          <w:iCs/>
        </w:rPr>
        <w:t>L</w:t>
      </w:r>
      <w:r w:rsidR="00B3508E" w:rsidRPr="008B4A7C">
        <w:rPr>
          <w:i/>
          <w:iCs/>
          <w:vertAlign w:val="subscript"/>
        </w:rPr>
        <w:t>r</w:t>
      </w:r>
      <w:r w:rsidR="00B3508E">
        <w:t xml:space="preserve"> are the same for the lattice</w:t>
      </w:r>
      <w:r w:rsidR="0007125D">
        <w:t xml:space="preserve"> reference graph and the random reference graph, respectively. </w:t>
      </w:r>
    </w:p>
    <w:p w14:paraId="10E06601" w14:textId="77777777" w:rsidR="009B078F" w:rsidRDefault="009B078F" w:rsidP="00805452">
      <w:pPr>
        <w:ind w:firstLine="720"/>
      </w:pPr>
    </w:p>
    <w:p w14:paraId="5E7193CE" w14:textId="7969B971" w:rsidR="007212FF" w:rsidRDefault="00091CD0" w:rsidP="00805452">
      <w:pPr>
        <w:ind w:firstLine="720"/>
      </w:pPr>
      <w:r>
        <w:t>In network analysis, modularity refers to the way a system is organized with regards to its internal connections</w:t>
      </w:r>
      <w:r w:rsidR="009B078F">
        <w:t xml:space="preserve"> (within-module)</w:t>
      </w:r>
      <w:r>
        <w:t xml:space="preserve"> and connections between different </w:t>
      </w:r>
      <w:r w:rsidR="009B078F">
        <w:t>parts (between-module)</w:t>
      </w:r>
      <w:r>
        <w:t xml:space="preserve">. </w:t>
      </w:r>
      <w:r w:rsidR="00640C63">
        <w:lastRenderedPageBreak/>
        <w:t xml:space="preserve">Specifically, it assesses </w:t>
      </w:r>
      <w:r w:rsidR="00DA68C8">
        <w:t>how</w:t>
      </w:r>
      <w:r w:rsidR="00700B97">
        <w:t xml:space="preserve"> much a network can be divided into </w:t>
      </w:r>
      <w:r w:rsidR="00B3465F">
        <w:t xml:space="preserve">separate and distinguishable </w:t>
      </w:r>
      <w:r w:rsidR="00F13FA6">
        <w:t xml:space="preserve">communities based on the balance between </w:t>
      </w:r>
      <w:r w:rsidR="007A0B3B">
        <w:t>connections within these communities and those between them.</w:t>
      </w:r>
      <w:r w:rsidR="00891CDB">
        <w:t xml:space="preserve"> Essentially, modularity measures the strength of the division of a network into modules. </w:t>
      </w:r>
    </w:p>
    <w:p w14:paraId="71D6A477" w14:textId="3135F86C" w:rsidR="00805452" w:rsidRPr="00805452" w:rsidRDefault="00805452" w:rsidP="00805452">
      <w:pPr>
        <w:ind w:firstLine="720"/>
      </w:pPr>
    </w:p>
    <w:p w14:paraId="32924B55" w14:textId="6BA58EC4" w:rsidR="00B036CB" w:rsidRPr="00432927" w:rsidRDefault="00646D40" w:rsidP="00B036CB">
      <m:oMath>
        <m:r>
          <w:rPr>
            <w:rFonts w:ascii="Cambria Math" w:hAnsi="Cambria Math"/>
            <w:color w:val="000000" w:themeColor="text1"/>
          </w:rPr>
          <m:t>Q=</m:t>
        </m:r>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c=1</m:t>
            </m:r>
          </m:sub>
          <m:sup>
            <m:r>
              <w:rPr>
                <w:rFonts w:ascii="Cambria Math" w:hAnsi="Cambria Math"/>
                <w:color w:val="000000" w:themeColor="text1"/>
              </w:rPr>
              <m:t>n</m:t>
            </m:r>
          </m:sup>
        </m:sSubSup>
        <m:d>
          <m:dPr>
            <m:begChr m:val="["/>
            <m:endChr m:val="]"/>
            <m:ctrlPr>
              <w:rPr>
                <w:rFonts w:ascii="Cambria Math" w:hAnsi="Cambria Math"/>
                <w:color w:val="000000" w:themeColor="text1"/>
              </w:rPr>
            </m:ctrlPr>
          </m:dPr>
          <m:e>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L</m:t>
                    </m:r>
                  </m:e>
                  <m:sub>
                    <m:r>
                      <w:rPr>
                        <w:rFonts w:ascii="Cambria Math" w:hAnsi="Cambria Math"/>
                        <w:color w:val="000000" w:themeColor="text1"/>
                      </w:rPr>
                      <m:t>c</m:t>
                    </m:r>
                  </m:sub>
                </m:sSub>
              </m:num>
              <m:den>
                <m:r>
                  <w:rPr>
                    <w:rFonts w:ascii="Cambria Math" w:hAnsi="Cambria Math"/>
                    <w:color w:val="000000" w:themeColor="text1"/>
                  </w:rPr>
                  <m:t>m</m:t>
                </m:r>
              </m:den>
            </m:f>
            <m: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c</m:t>
                            </m:r>
                          </m:sub>
                        </m:sSub>
                      </m:num>
                      <m:den>
                        <m:r>
                          <w:rPr>
                            <w:rFonts w:ascii="Cambria Math" w:hAnsi="Cambria Math"/>
                            <w:color w:val="000000" w:themeColor="text1"/>
                          </w:rPr>
                          <m:t>2m</m:t>
                        </m:r>
                      </m:den>
                    </m:f>
                  </m:e>
                </m:d>
              </m:e>
              <m:sup>
                <m:r>
                  <w:rPr>
                    <w:rFonts w:ascii="Cambria Math" w:hAnsi="Cambria Math"/>
                    <w:color w:val="000000" w:themeColor="text1"/>
                  </w:rPr>
                  <m:t>2</m:t>
                </m:r>
              </m:sup>
            </m:sSup>
          </m:e>
        </m:d>
      </m:oMath>
      <w:r w:rsidRPr="00876425">
        <w:rPr>
          <w:color w:val="000000" w:themeColor="text1"/>
        </w:rPr>
        <w:t xml:space="preserve">, </w:t>
      </w:r>
      <w:r w:rsidR="0070196F">
        <w:t xml:space="preserve">where </w:t>
      </w:r>
      <w:r w:rsidR="00E158CD" w:rsidRPr="00DE6EE0">
        <w:rPr>
          <w:i/>
          <w:iCs/>
        </w:rPr>
        <w:t>m</w:t>
      </w:r>
      <w:r w:rsidR="00E158CD">
        <w:t xml:space="preserve"> is the total number of </w:t>
      </w:r>
      <w:r w:rsidR="00052D4D">
        <w:t xml:space="preserve">edges in the graph, </w:t>
      </w:r>
      <w:r w:rsidR="00851700">
        <w:rPr>
          <w:i/>
          <w:iCs/>
        </w:rPr>
        <w:t>L</w:t>
      </w:r>
      <w:r w:rsidR="00432927">
        <w:rPr>
          <w:i/>
          <w:iCs/>
          <w:vertAlign w:val="subscript"/>
        </w:rPr>
        <w:t xml:space="preserve">C </w:t>
      </w:r>
      <w:r w:rsidR="00432927">
        <w:t xml:space="preserve">is the number of intra-community edges for community </w:t>
      </w:r>
      <w:r w:rsidR="00432927">
        <w:rPr>
          <w:i/>
          <w:iCs/>
        </w:rPr>
        <w:t>c</w:t>
      </w:r>
      <w:r w:rsidR="00432927">
        <w:t xml:space="preserve">, </w:t>
      </w:r>
      <w:r w:rsidR="00432927">
        <w:rPr>
          <w:i/>
          <w:iCs/>
        </w:rPr>
        <w:t>k</w:t>
      </w:r>
      <w:r w:rsidR="00432927">
        <w:rPr>
          <w:i/>
          <w:iCs/>
          <w:vertAlign w:val="subscript"/>
        </w:rPr>
        <w:t xml:space="preserve">c </w:t>
      </w:r>
      <w:r w:rsidR="00432927">
        <w:t xml:space="preserve">is the sum of degrees of nodes in community c, and </w:t>
      </w:r>
      <w:r w:rsidR="00432927">
        <w:rPr>
          <w:i/>
          <w:iCs/>
        </w:rPr>
        <w:t xml:space="preserve">n </w:t>
      </w:r>
      <w:r w:rsidR="00432927">
        <w:t xml:space="preserve">is the total number of communities in the partition. </w:t>
      </w:r>
    </w:p>
    <w:p w14:paraId="7163417D" w14:textId="28F4E0D4" w:rsidR="00704A67" w:rsidRPr="00BB673B" w:rsidRDefault="00704A67" w:rsidP="00704A67">
      <w:pPr>
        <w:rPr>
          <w:i/>
          <w:iCs/>
          <w:color w:val="000000" w:themeColor="text1"/>
          <w:vertAlign w:val="subscript"/>
        </w:rPr>
      </w:pPr>
    </w:p>
    <w:p w14:paraId="4557CA5D" w14:textId="77777777" w:rsidR="00B823CB" w:rsidRDefault="00B823CB">
      <w:pPr>
        <w:rPr>
          <w:b/>
          <w:bCs/>
        </w:rPr>
      </w:pPr>
      <w:r>
        <w:rPr>
          <w:b/>
          <w:bCs/>
        </w:rPr>
        <w:br w:type="page"/>
      </w:r>
    </w:p>
    <w:p w14:paraId="42362160" w14:textId="24C21978" w:rsidR="00B823CB" w:rsidRPr="00B32BD7" w:rsidRDefault="00B823CB" w:rsidP="00B32BD7">
      <w:pPr>
        <w:pStyle w:val="Heading1"/>
        <w:rPr>
          <w:rFonts w:ascii="Times New Roman" w:hAnsi="Times New Roman" w:cs="Times New Roman"/>
          <w:b/>
          <w:bCs/>
          <w:color w:val="auto"/>
          <w:sz w:val="24"/>
          <w:szCs w:val="24"/>
        </w:rPr>
      </w:pPr>
      <w:bookmarkStart w:id="8" w:name="_Toc155817675"/>
      <w:r w:rsidRPr="00B32BD7">
        <w:rPr>
          <w:rFonts w:ascii="Times New Roman" w:hAnsi="Times New Roman" w:cs="Times New Roman"/>
          <w:b/>
          <w:bCs/>
          <w:color w:val="auto"/>
          <w:sz w:val="24"/>
          <w:szCs w:val="24"/>
        </w:rPr>
        <w:lastRenderedPageBreak/>
        <w:t>Equations for each model</w:t>
      </w:r>
      <w:bookmarkEnd w:id="8"/>
      <w:r w:rsidRPr="00B32BD7">
        <w:rPr>
          <w:rFonts w:ascii="Times New Roman" w:hAnsi="Times New Roman" w:cs="Times New Roman"/>
          <w:b/>
          <w:bCs/>
          <w:color w:val="auto"/>
          <w:sz w:val="24"/>
          <w:szCs w:val="24"/>
        </w:rPr>
        <w:t xml:space="preserve"> </w:t>
      </w:r>
    </w:p>
    <w:p w14:paraId="31AB2EC7" w14:textId="77777777" w:rsidR="00B823CB" w:rsidRPr="00022BA4" w:rsidRDefault="00B823CB" w:rsidP="00B823CB">
      <w:pPr>
        <w:spacing w:line="480" w:lineRule="auto"/>
        <w:rPr>
          <w:i/>
          <w:iCs/>
        </w:rPr>
      </w:pPr>
      <w:r w:rsidRPr="00022BA4">
        <w:rPr>
          <w:i/>
          <w:iCs/>
        </w:rPr>
        <w:t xml:space="preserve">Bifactor </w:t>
      </w:r>
      <w:r>
        <w:rPr>
          <w:i/>
          <w:iCs/>
        </w:rPr>
        <w:t>m</w:t>
      </w:r>
      <w:r w:rsidRPr="00022BA4">
        <w:rPr>
          <w:i/>
          <w:iCs/>
        </w:rPr>
        <w:t>odel</w:t>
      </w:r>
    </w:p>
    <w:p w14:paraId="0F2E460A" w14:textId="77777777" w:rsidR="00B823CB" w:rsidRPr="00022BA4" w:rsidRDefault="00B823CB" w:rsidP="00B823CB">
      <w:pPr>
        <w:spacing w:line="480" w:lineRule="auto"/>
        <w:ind w:left="720"/>
      </w:pPr>
      <w:r w:rsidRPr="00022BA4">
        <w:t>Network</w:t>
      </w:r>
      <w:r w:rsidRPr="00022BA4">
        <w:rPr>
          <w:vertAlign w:val="subscript"/>
        </w:rPr>
        <w:t xml:space="preserve"> Task, threshold, metric</w:t>
      </w:r>
      <w:r w:rsidRPr="00022BA4">
        <w:t> = β</w:t>
      </w:r>
      <w:r w:rsidRPr="00022BA4">
        <w:rPr>
          <w:vertAlign w:val="subscript"/>
        </w:rPr>
        <w:t>0</w:t>
      </w:r>
      <w:r w:rsidRPr="00022BA4">
        <w:t> + β</w:t>
      </w:r>
      <w:r w:rsidRPr="00022BA4">
        <w:rPr>
          <w:vertAlign w:val="subscript"/>
        </w:rPr>
        <w:t>1</w:t>
      </w:r>
      <w:r w:rsidRPr="00022BA4">
        <w:t xml:space="preserve"> × age + β</w:t>
      </w:r>
      <w:r w:rsidRPr="00022BA4">
        <w:rPr>
          <w:vertAlign w:val="subscript"/>
        </w:rPr>
        <w:t>2</w:t>
      </w:r>
      <w:r w:rsidRPr="00022BA4">
        <w:t> × sex + β</w:t>
      </w:r>
      <w:r w:rsidRPr="00022BA4">
        <w:rPr>
          <w:vertAlign w:val="subscript"/>
        </w:rPr>
        <w:t>3</w:t>
      </w:r>
      <w:r w:rsidRPr="00022BA4">
        <w:t xml:space="preserve"> × race/ethnicity +  </w:t>
      </w:r>
    </w:p>
    <w:p w14:paraId="7D419484" w14:textId="77777777" w:rsidR="00B823CB" w:rsidRDefault="00B823CB" w:rsidP="00B823CB">
      <w:pPr>
        <w:spacing w:line="480" w:lineRule="auto"/>
        <w:ind w:left="720"/>
      </w:pPr>
      <w:r w:rsidRPr="00022BA4">
        <w:t>β</w:t>
      </w:r>
      <w:r w:rsidRPr="00022BA4">
        <w:rPr>
          <w:vertAlign w:val="subscript"/>
        </w:rPr>
        <w:t>4</w:t>
      </w:r>
      <w:r w:rsidRPr="00022BA4">
        <w:t> × MRI scanner model + β</w:t>
      </w:r>
      <w:r w:rsidRPr="00022BA4">
        <w:rPr>
          <w:vertAlign w:val="subscript"/>
        </w:rPr>
        <w:t>5</w:t>
      </w:r>
      <w:r w:rsidRPr="00022BA4">
        <w:t> × general psychopathology + β</w:t>
      </w:r>
      <w:r w:rsidRPr="00022BA4">
        <w:rPr>
          <w:vertAlign w:val="subscript"/>
        </w:rPr>
        <w:t>6</w:t>
      </w:r>
      <w:r w:rsidRPr="00022BA4">
        <w:t xml:space="preserve"> × internalizing + </w:t>
      </w:r>
    </w:p>
    <w:p w14:paraId="57EB9692" w14:textId="77777777" w:rsidR="00B823CB" w:rsidRDefault="00B823CB" w:rsidP="00B823CB">
      <w:pPr>
        <w:spacing w:line="480" w:lineRule="auto"/>
        <w:ind w:left="720"/>
      </w:pPr>
      <w:r w:rsidRPr="00022BA4">
        <w:t>β</w:t>
      </w:r>
      <w:r w:rsidRPr="00022BA4">
        <w:rPr>
          <w:vertAlign w:val="subscript"/>
        </w:rPr>
        <w:t>7</w:t>
      </w:r>
      <w:r w:rsidRPr="00022BA4">
        <w:t> × ADHD + β</w:t>
      </w:r>
      <w:r w:rsidRPr="00022BA4">
        <w:rPr>
          <w:vertAlign w:val="subscript"/>
        </w:rPr>
        <w:t>8</w:t>
      </w:r>
      <w:r w:rsidRPr="00022BA4">
        <w:t> × conduct problems + β</w:t>
      </w:r>
      <w:r w:rsidRPr="00022BA4">
        <w:rPr>
          <w:vertAlign w:val="subscript"/>
        </w:rPr>
        <w:t>9</w:t>
      </w:r>
      <w:r w:rsidRPr="00022BA4">
        <w:t xml:space="preserve"> × general environmental </w:t>
      </w:r>
      <w:r>
        <w:t>s</w:t>
      </w:r>
      <w:r w:rsidRPr="00022BA4">
        <w:t xml:space="preserve">tress +  </w:t>
      </w:r>
    </w:p>
    <w:p w14:paraId="03FC3A61" w14:textId="77777777" w:rsidR="00B823CB" w:rsidRPr="00022BA4" w:rsidRDefault="00B823CB" w:rsidP="00B823CB">
      <w:pPr>
        <w:spacing w:line="480" w:lineRule="auto"/>
        <w:ind w:left="720"/>
      </w:pPr>
      <w:r w:rsidRPr="00022BA4">
        <w:t>β</w:t>
      </w:r>
      <w:r w:rsidRPr="00022BA4">
        <w:rPr>
          <w:vertAlign w:val="subscript"/>
        </w:rPr>
        <w:t>10</w:t>
      </w:r>
      <w:r w:rsidRPr="00022BA4">
        <w:t> × family dynamics + β</w:t>
      </w:r>
      <w:r w:rsidRPr="00022BA4">
        <w:rPr>
          <w:vertAlign w:val="subscript"/>
        </w:rPr>
        <w:t>11</w:t>
      </w:r>
      <w:r w:rsidRPr="00022BA4">
        <w:t> × interpersonal support + β</w:t>
      </w:r>
      <w:r w:rsidRPr="00022BA4">
        <w:rPr>
          <w:vertAlign w:val="subscript"/>
        </w:rPr>
        <w:t>12</w:t>
      </w:r>
      <w:r w:rsidRPr="00022BA4">
        <w:t> × neighborhood SES deprivation + β</w:t>
      </w:r>
      <w:r w:rsidRPr="00022BA4">
        <w:rPr>
          <w:vertAlign w:val="subscript"/>
        </w:rPr>
        <w:t>13</w:t>
      </w:r>
      <w:r w:rsidRPr="00022BA4">
        <w:t> × urbanicity</w:t>
      </w:r>
    </w:p>
    <w:p w14:paraId="7E585ED2" w14:textId="77777777" w:rsidR="00B823CB" w:rsidRPr="00022BA4" w:rsidRDefault="00B823CB" w:rsidP="00B823CB">
      <w:pPr>
        <w:spacing w:line="480" w:lineRule="auto"/>
        <w:rPr>
          <w:i/>
          <w:iCs/>
        </w:rPr>
      </w:pPr>
      <w:r>
        <w:rPr>
          <w:i/>
          <w:iCs/>
        </w:rPr>
        <w:t>Higher-o</w:t>
      </w:r>
      <w:r w:rsidRPr="00022BA4">
        <w:rPr>
          <w:i/>
          <w:iCs/>
        </w:rPr>
        <w:t xml:space="preserve">rder </w:t>
      </w:r>
      <w:r>
        <w:rPr>
          <w:i/>
          <w:iCs/>
        </w:rPr>
        <w:t>m</w:t>
      </w:r>
      <w:r w:rsidRPr="00022BA4">
        <w:rPr>
          <w:i/>
          <w:iCs/>
        </w:rPr>
        <w:t xml:space="preserve">odel – General </w:t>
      </w:r>
      <w:r>
        <w:rPr>
          <w:i/>
          <w:iCs/>
        </w:rPr>
        <w:t>f</w:t>
      </w:r>
      <w:r w:rsidRPr="00022BA4">
        <w:rPr>
          <w:i/>
          <w:iCs/>
        </w:rPr>
        <w:t>actor</w:t>
      </w:r>
    </w:p>
    <w:p w14:paraId="1F3A9859" w14:textId="77777777" w:rsidR="00B823CB" w:rsidRPr="00022BA4" w:rsidRDefault="00B823CB" w:rsidP="00B823CB">
      <w:pPr>
        <w:spacing w:line="480" w:lineRule="auto"/>
        <w:ind w:left="720"/>
      </w:pPr>
      <w:r w:rsidRPr="00022BA4">
        <w:t>Network</w:t>
      </w:r>
      <w:r w:rsidRPr="00022BA4">
        <w:rPr>
          <w:vertAlign w:val="subscript"/>
        </w:rPr>
        <w:t xml:space="preserve"> Task, threshold, metric</w:t>
      </w:r>
      <w:r w:rsidRPr="00022BA4">
        <w:t> = β</w:t>
      </w:r>
      <w:r w:rsidRPr="00022BA4">
        <w:rPr>
          <w:vertAlign w:val="subscript"/>
        </w:rPr>
        <w:t xml:space="preserve">0 </w:t>
      </w:r>
      <w:r w:rsidRPr="00022BA4">
        <w:t>+ β</w:t>
      </w:r>
      <w:r w:rsidRPr="00022BA4">
        <w:rPr>
          <w:vertAlign w:val="subscript"/>
        </w:rPr>
        <w:t>1</w:t>
      </w:r>
      <w:r w:rsidRPr="00022BA4">
        <w:t xml:space="preserve"> × age + β</w:t>
      </w:r>
      <w:r w:rsidRPr="00022BA4">
        <w:rPr>
          <w:vertAlign w:val="subscript"/>
        </w:rPr>
        <w:t>2</w:t>
      </w:r>
      <w:r w:rsidRPr="00022BA4">
        <w:t> × sex + β</w:t>
      </w:r>
      <w:r w:rsidRPr="00022BA4">
        <w:rPr>
          <w:vertAlign w:val="subscript"/>
        </w:rPr>
        <w:t>3</w:t>
      </w:r>
      <w:r w:rsidRPr="00022BA4">
        <w:t xml:space="preserve"> × race/ethnicity +  </w:t>
      </w:r>
    </w:p>
    <w:p w14:paraId="25F36420" w14:textId="77777777" w:rsidR="00B823CB" w:rsidRDefault="00B823CB" w:rsidP="00B823CB">
      <w:pPr>
        <w:spacing w:line="480" w:lineRule="auto"/>
        <w:ind w:left="720"/>
      </w:pPr>
      <w:r w:rsidRPr="00022BA4">
        <w:t>β</w:t>
      </w:r>
      <w:r w:rsidRPr="00022BA4">
        <w:rPr>
          <w:vertAlign w:val="subscript"/>
        </w:rPr>
        <w:t>4</w:t>
      </w:r>
      <w:r w:rsidRPr="00022BA4">
        <w:t> × MRI scanner model + β</w:t>
      </w:r>
      <w:r w:rsidRPr="00022BA4">
        <w:rPr>
          <w:vertAlign w:val="subscript"/>
        </w:rPr>
        <w:t>5</w:t>
      </w:r>
      <w:r w:rsidRPr="00022BA4">
        <w:t> × general psychopathology + β</w:t>
      </w:r>
      <w:r w:rsidRPr="00022BA4">
        <w:rPr>
          <w:vertAlign w:val="subscript"/>
        </w:rPr>
        <w:t>6</w:t>
      </w:r>
      <w:r w:rsidRPr="00022BA4">
        <w:t> × internalizing + </w:t>
      </w:r>
    </w:p>
    <w:p w14:paraId="0554F8A5" w14:textId="77777777" w:rsidR="00B823CB" w:rsidRPr="00022BA4" w:rsidRDefault="00B823CB" w:rsidP="00B823CB">
      <w:pPr>
        <w:spacing w:line="480" w:lineRule="auto"/>
        <w:ind w:left="720"/>
      </w:pPr>
      <w:r w:rsidRPr="00022BA4">
        <w:t>β</w:t>
      </w:r>
      <w:r w:rsidRPr="00022BA4">
        <w:rPr>
          <w:vertAlign w:val="subscript"/>
        </w:rPr>
        <w:t>7</w:t>
      </w:r>
      <w:r w:rsidRPr="00022BA4">
        <w:t> × ADHD + β</w:t>
      </w:r>
      <w:r w:rsidRPr="00022BA4">
        <w:rPr>
          <w:vertAlign w:val="subscript"/>
        </w:rPr>
        <w:t>8</w:t>
      </w:r>
      <w:r w:rsidRPr="00022BA4">
        <w:t> × conduct problems + β</w:t>
      </w:r>
      <w:r w:rsidRPr="00022BA4">
        <w:rPr>
          <w:vertAlign w:val="subscript"/>
        </w:rPr>
        <w:t>9</w:t>
      </w:r>
      <w:r w:rsidRPr="00022BA4">
        <w:t> × general environmental stress</w:t>
      </w:r>
    </w:p>
    <w:p w14:paraId="27D37D54" w14:textId="77777777" w:rsidR="00B823CB" w:rsidRPr="00022BA4" w:rsidRDefault="00B823CB" w:rsidP="00B823CB">
      <w:pPr>
        <w:spacing w:line="480" w:lineRule="auto"/>
        <w:rPr>
          <w:i/>
          <w:iCs/>
        </w:rPr>
      </w:pPr>
      <w:r>
        <w:rPr>
          <w:i/>
          <w:iCs/>
        </w:rPr>
        <w:t>Higher-o</w:t>
      </w:r>
      <w:r w:rsidRPr="00022BA4">
        <w:rPr>
          <w:i/>
          <w:iCs/>
        </w:rPr>
        <w:t xml:space="preserve">rder </w:t>
      </w:r>
      <w:r>
        <w:rPr>
          <w:i/>
          <w:iCs/>
        </w:rPr>
        <w:t>m</w:t>
      </w:r>
      <w:r w:rsidRPr="00022BA4">
        <w:rPr>
          <w:i/>
          <w:iCs/>
        </w:rPr>
        <w:t xml:space="preserve">odel – Lower-order </w:t>
      </w:r>
      <w:r>
        <w:rPr>
          <w:i/>
          <w:iCs/>
        </w:rPr>
        <w:t>f</w:t>
      </w:r>
      <w:r w:rsidRPr="00022BA4">
        <w:rPr>
          <w:i/>
          <w:iCs/>
        </w:rPr>
        <w:t>actors</w:t>
      </w:r>
    </w:p>
    <w:p w14:paraId="777BB982" w14:textId="77777777" w:rsidR="00B823CB" w:rsidRPr="00022BA4" w:rsidRDefault="00B823CB" w:rsidP="00B823CB">
      <w:pPr>
        <w:spacing w:line="480" w:lineRule="auto"/>
        <w:ind w:left="720"/>
      </w:pPr>
      <w:r w:rsidRPr="00022BA4">
        <w:t>Network</w:t>
      </w:r>
      <w:r w:rsidRPr="00022BA4">
        <w:rPr>
          <w:vertAlign w:val="subscript"/>
        </w:rPr>
        <w:t xml:space="preserve"> Task, threshold, metric</w:t>
      </w:r>
      <w:r w:rsidRPr="00022BA4">
        <w:t> = β</w:t>
      </w:r>
      <w:r w:rsidRPr="00022BA4">
        <w:rPr>
          <w:vertAlign w:val="subscript"/>
        </w:rPr>
        <w:t xml:space="preserve">0 </w:t>
      </w:r>
      <w:r w:rsidRPr="00022BA4">
        <w:t>+ β</w:t>
      </w:r>
      <w:r w:rsidRPr="00022BA4">
        <w:rPr>
          <w:vertAlign w:val="subscript"/>
        </w:rPr>
        <w:t>1</w:t>
      </w:r>
      <w:r w:rsidRPr="00022BA4">
        <w:t xml:space="preserve"> × age + β</w:t>
      </w:r>
      <w:r w:rsidRPr="00022BA4">
        <w:rPr>
          <w:vertAlign w:val="subscript"/>
        </w:rPr>
        <w:t>2</w:t>
      </w:r>
      <w:r w:rsidRPr="00022BA4">
        <w:t> × sex + β</w:t>
      </w:r>
      <w:r w:rsidRPr="00022BA4">
        <w:rPr>
          <w:vertAlign w:val="subscript"/>
        </w:rPr>
        <w:t>3</w:t>
      </w:r>
      <w:r w:rsidRPr="00022BA4">
        <w:t xml:space="preserve"> × race/ethnicity +  </w:t>
      </w:r>
    </w:p>
    <w:p w14:paraId="6088A0B1" w14:textId="77777777" w:rsidR="00B823CB" w:rsidRDefault="00B823CB" w:rsidP="00B823CB">
      <w:pPr>
        <w:spacing w:line="480" w:lineRule="auto"/>
        <w:ind w:left="720"/>
      </w:pPr>
      <w:r w:rsidRPr="00022BA4">
        <w:t>β</w:t>
      </w:r>
      <w:r w:rsidRPr="00022BA4">
        <w:rPr>
          <w:vertAlign w:val="subscript"/>
        </w:rPr>
        <w:t>4</w:t>
      </w:r>
      <w:r w:rsidRPr="00022BA4">
        <w:t> × MRI scanner model + β</w:t>
      </w:r>
      <w:r w:rsidRPr="00022BA4">
        <w:rPr>
          <w:vertAlign w:val="subscript"/>
        </w:rPr>
        <w:t>5</w:t>
      </w:r>
      <w:r w:rsidRPr="00022BA4">
        <w:t> × general psychopathology + β</w:t>
      </w:r>
      <w:r w:rsidRPr="00022BA4">
        <w:rPr>
          <w:vertAlign w:val="subscript"/>
        </w:rPr>
        <w:t>6</w:t>
      </w:r>
      <w:r w:rsidRPr="00022BA4">
        <w:t> × internalizing + </w:t>
      </w:r>
    </w:p>
    <w:p w14:paraId="748998DD" w14:textId="77777777" w:rsidR="00B823CB" w:rsidRPr="00022BA4" w:rsidRDefault="00B823CB" w:rsidP="00B823CB">
      <w:pPr>
        <w:spacing w:line="480" w:lineRule="auto"/>
        <w:ind w:left="720"/>
      </w:pPr>
      <w:r w:rsidRPr="00022BA4">
        <w:t>β</w:t>
      </w:r>
      <w:r w:rsidRPr="00022BA4">
        <w:rPr>
          <w:vertAlign w:val="subscript"/>
        </w:rPr>
        <w:t>7</w:t>
      </w:r>
      <w:r w:rsidRPr="00022BA4">
        <w:t> × ADHD + β</w:t>
      </w:r>
      <w:r w:rsidRPr="00022BA4">
        <w:rPr>
          <w:vertAlign w:val="subscript"/>
        </w:rPr>
        <w:t>8</w:t>
      </w:r>
      <w:r w:rsidRPr="00022BA4">
        <w:t> × conduct problems + β</w:t>
      </w:r>
      <w:r w:rsidRPr="00022BA4">
        <w:rPr>
          <w:vertAlign w:val="subscript"/>
        </w:rPr>
        <w:t>9</w:t>
      </w:r>
      <w:r w:rsidRPr="00022BA4">
        <w:t> × family dynamics + β</w:t>
      </w:r>
      <w:r w:rsidRPr="00022BA4">
        <w:rPr>
          <w:vertAlign w:val="subscript"/>
        </w:rPr>
        <w:t>10</w:t>
      </w:r>
      <w:r w:rsidRPr="00022BA4">
        <w:t> × interpersonal support + β</w:t>
      </w:r>
      <w:r w:rsidRPr="00022BA4">
        <w:rPr>
          <w:vertAlign w:val="subscript"/>
        </w:rPr>
        <w:t>11</w:t>
      </w:r>
      <w:r w:rsidRPr="00022BA4">
        <w:t> × neighborhood SES deprivation + β</w:t>
      </w:r>
      <w:r w:rsidRPr="00022BA4">
        <w:rPr>
          <w:vertAlign w:val="subscript"/>
        </w:rPr>
        <w:t>12</w:t>
      </w:r>
      <w:r w:rsidRPr="00022BA4">
        <w:t> × urbanicity</w:t>
      </w:r>
    </w:p>
    <w:p w14:paraId="38149666" w14:textId="77777777" w:rsidR="0087057D" w:rsidRPr="0087057D" w:rsidRDefault="0087057D" w:rsidP="0087057D"/>
    <w:p w14:paraId="0DF9466A" w14:textId="77777777" w:rsidR="0087057D" w:rsidRPr="0087057D" w:rsidRDefault="0087057D" w:rsidP="0087057D">
      <w:pPr>
        <w:spacing w:line="480" w:lineRule="auto"/>
        <w:rPr>
          <w:b/>
          <w:bCs/>
        </w:rPr>
      </w:pPr>
    </w:p>
    <w:p w14:paraId="5AA04CDD" w14:textId="77777777" w:rsidR="00226DF8" w:rsidRPr="00063E84" w:rsidRDefault="00226DF8" w:rsidP="00063E84">
      <w:pPr>
        <w:spacing w:line="480" w:lineRule="auto"/>
        <w:rPr>
          <w:b/>
          <w:bCs/>
        </w:rPr>
      </w:pPr>
    </w:p>
    <w:p w14:paraId="0AC4BB98" w14:textId="77777777" w:rsidR="00063E84" w:rsidRPr="00063E84" w:rsidRDefault="00063E84" w:rsidP="00063E84">
      <w:pPr>
        <w:spacing w:line="480" w:lineRule="auto"/>
      </w:pPr>
    </w:p>
    <w:p w14:paraId="179C74F5" w14:textId="77777777" w:rsidR="00063E84" w:rsidRPr="00025325" w:rsidRDefault="00063E84" w:rsidP="00025325">
      <w:pPr>
        <w:spacing w:line="480" w:lineRule="auto"/>
      </w:pPr>
    </w:p>
    <w:p w14:paraId="3A0CCB86" w14:textId="77777777" w:rsidR="00025325" w:rsidRPr="00025325" w:rsidRDefault="00025325" w:rsidP="00025325">
      <w:pPr>
        <w:spacing w:line="480" w:lineRule="auto"/>
      </w:pPr>
    </w:p>
    <w:p w14:paraId="1DD32A31" w14:textId="77777777" w:rsidR="00BA39EA" w:rsidRPr="00BA39EA" w:rsidRDefault="00BA39EA" w:rsidP="00BA39EA">
      <w:pPr>
        <w:spacing w:line="480" w:lineRule="auto"/>
      </w:pPr>
    </w:p>
    <w:p w14:paraId="7010ED5C" w14:textId="2AB3499F" w:rsidR="00C91C7D" w:rsidRDefault="00C91C7D">
      <w:r>
        <w:br w:type="page"/>
      </w:r>
    </w:p>
    <w:p w14:paraId="5915216C" w14:textId="1CDD364C" w:rsidR="00A60C9F" w:rsidRDefault="00A60C9F" w:rsidP="000E5DB5">
      <w:pPr>
        <w:pStyle w:val="Heading1"/>
        <w:rPr>
          <w:rFonts w:ascii="Times New Roman" w:hAnsi="Times New Roman" w:cs="Times New Roman"/>
          <w:b/>
          <w:bCs/>
          <w:color w:val="000000" w:themeColor="text1"/>
          <w:sz w:val="24"/>
          <w:szCs w:val="24"/>
        </w:rPr>
      </w:pPr>
      <w:bookmarkStart w:id="9" w:name="_Toc155817676"/>
      <w:r w:rsidRPr="000E5DB5">
        <w:rPr>
          <w:rFonts w:ascii="Times New Roman" w:hAnsi="Times New Roman" w:cs="Times New Roman"/>
          <w:b/>
          <w:bCs/>
          <w:color w:val="000000" w:themeColor="text1"/>
          <w:sz w:val="24"/>
          <w:szCs w:val="24"/>
        </w:rPr>
        <w:lastRenderedPageBreak/>
        <w:t>References</w:t>
      </w:r>
      <w:bookmarkEnd w:id="9"/>
    </w:p>
    <w:p w14:paraId="6D78D3BA" w14:textId="77777777" w:rsidR="000E5DB5" w:rsidRPr="000E5DB5" w:rsidRDefault="000E5DB5" w:rsidP="000E5DB5"/>
    <w:p w14:paraId="7C506778" w14:textId="11791BA6" w:rsidR="00DE156A" w:rsidRPr="00DE156A" w:rsidRDefault="00C91C7D" w:rsidP="00DE156A">
      <w:pPr>
        <w:widowControl w:val="0"/>
        <w:autoSpaceDE w:val="0"/>
        <w:autoSpaceDN w:val="0"/>
        <w:adjustRightInd w:val="0"/>
        <w:spacing w:line="480" w:lineRule="auto"/>
        <w:ind w:left="480" w:hanging="480"/>
        <w:rPr>
          <w:noProof/>
        </w:rPr>
      </w:pPr>
      <w:r>
        <w:fldChar w:fldCharType="begin" w:fldLock="1"/>
      </w:r>
      <w:r>
        <w:instrText xml:space="preserve">ADDIN Mendeley Bibliography CSL_BIBLIOGRAPHY </w:instrText>
      </w:r>
      <w:r>
        <w:fldChar w:fldCharType="separate"/>
      </w:r>
      <w:r w:rsidR="00DE156A" w:rsidRPr="00DE156A">
        <w:rPr>
          <w:noProof/>
        </w:rPr>
        <w:t xml:space="preserve">Achenbach, T. M. (2009). </w:t>
      </w:r>
      <w:r w:rsidR="00DE156A" w:rsidRPr="00DE156A">
        <w:rPr>
          <w:i/>
          <w:iCs/>
          <w:noProof/>
        </w:rPr>
        <w:t>The Achenbach system of empirically based assessment (ASEBA): Development, findings, theory, and applications.</w:t>
      </w:r>
      <w:r w:rsidR="00DE156A" w:rsidRPr="00DE156A">
        <w:rPr>
          <w:noProof/>
        </w:rPr>
        <w:t xml:space="preserve"> Burlington, VT: Burlington, VT: University of Vermont Research Center for Children, Youth, and Families.</w:t>
      </w:r>
    </w:p>
    <w:p w14:paraId="339E6573"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Arthur, M. W., Briney, J. S., Hawkins, J. D., Abbott, R. D., Brooke-Weiss, B. L., &amp; Catalano, R. F. (2007). Measuring risk and protection in communities using the Communities That Care Youth Survey. </w:t>
      </w:r>
      <w:r w:rsidRPr="00DE156A">
        <w:rPr>
          <w:i/>
          <w:iCs/>
          <w:noProof/>
        </w:rPr>
        <w:t>Evaluation and Program Planning</w:t>
      </w:r>
      <w:r w:rsidRPr="00DE156A">
        <w:rPr>
          <w:noProof/>
        </w:rPr>
        <w:t xml:space="preserve">, </w:t>
      </w:r>
      <w:r w:rsidRPr="00DE156A">
        <w:rPr>
          <w:i/>
          <w:iCs/>
          <w:noProof/>
        </w:rPr>
        <w:t>30</w:t>
      </w:r>
      <w:r w:rsidRPr="00DE156A">
        <w:rPr>
          <w:noProof/>
        </w:rPr>
        <w:t>(2), 197–211. https://doi.org/10.1016/j.evalprogplan.2007.01.009</w:t>
      </w:r>
    </w:p>
    <w:p w14:paraId="5EA6B42F"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Avants, B. B., Epstein, C. L., Grossman, M., &amp; Gee, J. C. (2008). Symmetric diffeomorphic image registration with cross-correlation: Evaluating automated labeling of elderly and neurodegenerative brain. </w:t>
      </w:r>
      <w:r w:rsidRPr="00DE156A">
        <w:rPr>
          <w:i/>
          <w:iCs/>
          <w:noProof/>
        </w:rPr>
        <w:t>Medical Image Analysis</w:t>
      </w:r>
      <w:r w:rsidRPr="00DE156A">
        <w:rPr>
          <w:noProof/>
        </w:rPr>
        <w:t xml:space="preserve">, </w:t>
      </w:r>
      <w:r w:rsidRPr="00DE156A">
        <w:rPr>
          <w:i/>
          <w:iCs/>
          <w:noProof/>
        </w:rPr>
        <w:t>12</w:t>
      </w:r>
      <w:r w:rsidRPr="00DE156A">
        <w:rPr>
          <w:noProof/>
        </w:rPr>
        <w:t>(1). https://doi.org/10.1016/j.media.2007.06.004</w:t>
      </w:r>
    </w:p>
    <w:p w14:paraId="3C5B4CE3"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Barch, D. M., Albaugh, M. D., Avenevoli, S., Chang, L., Clark, D. B., Glantz, M. D., … Sher, K. J. (2018). Demographic, physical and mental health assessments in the adolescent brain and cognitive development study: Rationale and description. </w:t>
      </w:r>
      <w:r w:rsidRPr="00DE156A">
        <w:rPr>
          <w:i/>
          <w:iCs/>
          <w:noProof/>
        </w:rPr>
        <w:t>Developmental Cognitive Neuroscience</w:t>
      </w:r>
      <w:r w:rsidRPr="00DE156A">
        <w:rPr>
          <w:noProof/>
        </w:rPr>
        <w:t xml:space="preserve">, </w:t>
      </w:r>
      <w:r w:rsidRPr="00DE156A">
        <w:rPr>
          <w:i/>
          <w:iCs/>
          <w:noProof/>
        </w:rPr>
        <w:t>32</w:t>
      </w:r>
      <w:r w:rsidRPr="00DE156A">
        <w:rPr>
          <w:noProof/>
        </w:rPr>
        <w:t>(October 2017), 55–66. https://doi.org/10.1016/j.dcn.2017.10.010</w:t>
      </w:r>
    </w:p>
    <w:p w14:paraId="15A163D4"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Blondel, V. D., Guillaume, J. L., Lambiotte, R., &amp; Lefebvre, E. (2008). Fast unfolding of communities in large networks. </w:t>
      </w:r>
      <w:r w:rsidRPr="00DE156A">
        <w:rPr>
          <w:i/>
          <w:iCs/>
          <w:noProof/>
        </w:rPr>
        <w:t>Journal of Statistical Mechanics: Theory and Experiment</w:t>
      </w:r>
      <w:r w:rsidRPr="00DE156A">
        <w:rPr>
          <w:noProof/>
        </w:rPr>
        <w:t xml:space="preserve">, </w:t>
      </w:r>
      <w:r w:rsidRPr="00DE156A">
        <w:rPr>
          <w:i/>
          <w:iCs/>
          <w:noProof/>
        </w:rPr>
        <w:t>2008</w:t>
      </w:r>
      <w:r w:rsidRPr="00DE156A">
        <w:rPr>
          <w:noProof/>
        </w:rPr>
        <w:t>(10). https://doi.org/10.1088/1742-5468/2008/10/P10008</w:t>
      </w:r>
    </w:p>
    <w:p w14:paraId="6B7F7ACE"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Bronfenbrenner, U. (1979). </w:t>
      </w:r>
      <w:r w:rsidRPr="00DE156A">
        <w:rPr>
          <w:i/>
          <w:iCs/>
          <w:noProof/>
        </w:rPr>
        <w:t>The Ecology of Human Development: Experiments by Nature and Design</w:t>
      </w:r>
      <w:r w:rsidRPr="00DE156A">
        <w:rPr>
          <w:noProof/>
        </w:rPr>
        <w:t>. Cambridge, MA: Harvard University Press.</w:t>
      </w:r>
    </w:p>
    <w:p w14:paraId="149712EC"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Casey, B. J., Cannonier, T., Conley, M. I., Cohen, A. O., Barch, D. M., Heitzeg, M. M., … Dale, A. M. (2018). The Adolescent Brain Cognitive Development (ABCD) study: Imaging </w:t>
      </w:r>
      <w:r w:rsidRPr="00DE156A">
        <w:rPr>
          <w:noProof/>
        </w:rPr>
        <w:lastRenderedPageBreak/>
        <w:t xml:space="preserve">acquisition across 21 sites. </w:t>
      </w:r>
      <w:r w:rsidRPr="00DE156A">
        <w:rPr>
          <w:i/>
          <w:iCs/>
          <w:noProof/>
        </w:rPr>
        <w:t>Developmental Cognitive Neuroscience</w:t>
      </w:r>
      <w:r w:rsidRPr="00DE156A">
        <w:rPr>
          <w:noProof/>
        </w:rPr>
        <w:t xml:space="preserve">, </w:t>
      </w:r>
      <w:r w:rsidRPr="00DE156A">
        <w:rPr>
          <w:i/>
          <w:iCs/>
          <w:noProof/>
        </w:rPr>
        <w:t>32</w:t>
      </w:r>
      <w:r w:rsidRPr="00DE156A">
        <w:rPr>
          <w:noProof/>
        </w:rPr>
        <w:t>(March), 43–54. https://doi.org/10.1016/j.dcn.2018.03.001</w:t>
      </w:r>
    </w:p>
    <w:p w14:paraId="02BD925F"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Chilcoat, H. D., &amp; Anthony, J. C. (1996). Impact of parent monitoring on initiation of drug use through late childhood. </w:t>
      </w:r>
      <w:r w:rsidRPr="00DE156A">
        <w:rPr>
          <w:i/>
          <w:iCs/>
          <w:noProof/>
        </w:rPr>
        <w:t>Journal of the American Academy of Child and Adolescent Psychiatry</w:t>
      </w:r>
      <w:r w:rsidRPr="00DE156A">
        <w:rPr>
          <w:noProof/>
        </w:rPr>
        <w:t xml:space="preserve">, </w:t>
      </w:r>
      <w:r w:rsidRPr="00DE156A">
        <w:rPr>
          <w:i/>
          <w:iCs/>
          <w:noProof/>
        </w:rPr>
        <w:t>35</w:t>
      </w:r>
      <w:r w:rsidRPr="00DE156A">
        <w:rPr>
          <w:noProof/>
        </w:rPr>
        <w:t>(1), 91–100. https://doi.org/10.1097/00004583-199601000-00017</w:t>
      </w:r>
    </w:p>
    <w:p w14:paraId="3DA5078D"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Cox, R. W. (1996). AFNI: Software for analysis and visualization of functional magnetic resonance neuroimages. </w:t>
      </w:r>
      <w:r w:rsidRPr="00DE156A">
        <w:rPr>
          <w:i/>
          <w:iCs/>
          <w:noProof/>
        </w:rPr>
        <w:t>Computers and Biomedical Research</w:t>
      </w:r>
      <w:r w:rsidRPr="00DE156A">
        <w:rPr>
          <w:noProof/>
        </w:rPr>
        <w:t xml:space="preserve">, </w:t>
      </w:r>
      <w:r w:rsidRPr="00DE156A">
        <w:rPr>
          <w:i/>
          <w:iCs/>
          <w:noProof/>
        </w:rPr>
        <w:t>29</w:t>
      </w:r>
      <w:r w:rsidRPr="00DE156A">
        <w:rPr>
          <w:noProof/>
        </w:rPr>
        <w:t>(3). https://doi.org/10.1006/cbmr.1996.0014</w:t>
      </w:r>
    </w:p>
    <w:p w14:paraId="7F1F792C"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Echeverria, S. E., Diez-Roux, A. V., &amp; Link, B. G. (2004). Reliability of self-reported neighborhood characteristics. </w:t>
      </w:r>
      <w:r w:rsidRPr="00DE156A">
        <w:rPr>
          <w:i/>
          <w:iCs/>
          <w:noProof/>
        </w:rPr>
        <w:t>Journal of Urban Health</w:t>
      </w:r>
      <w:r w:rsidRPr="00DE156A">
        <w:rPr>
          <w:noProof/>
        </w:rPr>
        <w:t xml:space="preserve">, </w:t>
      </w:r>
      <w:r w:rsidRPr="00DE156A">
        <w:rPr>
          <w:i/>
          <w:iCs/>
          <w:noProof/>
        </w:rPr>
        <w:t>81</w:t>
      </w:r>
      <w:r w:rsidRPr="00DE156A">
        <w:rPr>
          <w:noProof/>
        </w:rPr>
        <w:t>(4), 682–701. https://doi.org/10.1093/jurban/jth151</w:t>
      </w:r>
    </w:p>
    <w:p w14:paraId="757892BA"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Esteban, O., Markiewicz, C. J., Blair, R. W., Moodie, C. A., Isik, A. I., Erramuzpe, A., … Gorgolewski, K. J. (2019). fMRIPrep: a robust preprocessing pipeline for functional MRI. </w:t>
      </w:r>
      <w:r w:rsidRPr="00DE156A">
        <w:rPr>
          <w:i/>
          <w:iCs/>
          <w:noProof/>
        </w:rPr>
        <w:t>Nature Methods</w:t>
      </w:r>
      <w:r w:rsidRPr="00DE156A">
        <w:rPr>
          <w:noProof/>
        </w:rPr>
        <w:t xml:space="preserve">, </w:t>
      </w:r>
      <w:r w:rsidRPr="00DE156A">
        <w:rPr>
          <w:i/>
          <w:iCs/>
          <w:noProof/>
        </w:rPr>
        <w:t>16</w:t>
      </w:r>
      <w:r w:rsidRPr="00DE156A">
        <w:rPr>
          <w:noProof/>
        </w:rPr>
        <w:t>(1), 111–116. https://doi.org/10.1038/s41592-018-0235-4</w:t>
      </w:r>
    </w:p>
    <w:p w14:paraId="2DA1F29E"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Fan, C. C., Marshall, A., Smolker, H., Gonzalez, M. R., Tapert, S. F., Barch, D. M., … Herting, M. M. (2021). Adolescent Brain Cognitive Development (ABCD) study Linked External Data (LED): Protocol and practices for geocoding and assignment of environmental data. </w:t>
      </w:r>
      <w:r w:rsidRPr="00DE156A">
        <w:rPr>
          <w:i/>
          <w:iCs/>
          <w:noProof/>
        </w:rPr>
        <w:t>Developmental Cognitive Neuroscience</w:t>
      </w:r>
      <w:r w:rsidRPr="00DE156A">
        <w:rPr>
          <w:noProof/>
        </w:rPr>
        <w:t xml:space="preserve">, </w:t>
      </w:r>
      <w:r w:rsidRPr="00DE156A">
        <w:rPr>
          <w:i/>
          <w:iCs/>
          <w:noProof/>
        </w:rPr>
        <w:t>52</w:t>
      </w:r>
      <w:r w:rsidRPr="00DE156A">
        <w:rPr>
          <w:noProof/>
        </w:rPr>
        <w:t>, 101030. https://doi.org/10.1016/j.dcn.2021.101030</w:t>
      </w:r>
    </w:p>
    <w:p w14:paraId="38E5536B"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Garavan, H., Bartsch, H., Conway, K., Decastro, A., Goldstein, R. Z., Heeringa, S., … Zahs, D. (2018). Recruiting the ABCD sample: Design considerations and procedures. </w:t>
      </w:r>
      <w:r w:rsidRPr="00DE156A">
        <w:rPr>
          <w:i/>
          <w:iCs/>
          <w:noProof/>
        </w:rPr>
        <w:t>Developmental Cognitive Neuroscience</w:t>
      </w:r>
      <w:r w:rsidRPr="00DE156A">
        <w:rPr>
          <w:noProof/>
        </w:rPr>
        <w:t xml:space="preserve">, </w:t>
      </w:r>
      <w:r w:rsidRPr="00DE156A">
        <w:rPr>
          <w:i/>
          <w:iCs/>
          <w:noProof/>
        </w:rPr>
        <w:t>32</w:t>
      </w:r>
      <w:r w:rsidRPr="00DE156A">
        <w:rPr>
          <w:noProof/>
        </w:rPr>
        <w:t>(August 2017), 16–22. https://doi.org/10.1016/j.dcn.2018.04.004</w:t>
      </w:r>
    </w:p>
    <w:p w14:paraId="50BDF64E"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lastRenderedPageBreak/>
        <w:t xml:space="preserve">Gorgolewski, K., Burns, C. D., Madison, C., Clark, D., Halchenko, Y. O., Waskom, M. L., &amp; Ghosh, S. S. (2011). Nipype: A flexible, lightweight and extensible neuroimaging data processing framework in Python. </w:t>
      </w:r>
      <w:r w:rsidRPr="00DE156A">
        <w:rPr>
          <w:i/>
          <w:iCs/>
          <w:noProof/>
        </w:rPr>
        <w:t>Frontiers in Neuroinformatics</w:t>
      </w:r>
      <w:r w:rsidRPr="00DE156A">
        <w:rPr>
          <w:noProof/>
        </w:rPr>
        <w:t xml:space="preserve">, </w:t>
      </w:r>
      <w:r w:rsidRPr="00DE156A">
        <w:rPr>
          <w:i/>
          <w:iCs/>
          <w:noProof/>
        </w:rPr>
        <w:t>5</w:t>
      </w:r>
      <w:r w:rsidRPr="00DE156A">
        <w:rPr>
          <w:noProof/>
        </w:rPr>
        <w:t>. https://doi.org/10.3389/fninf.2011.00013</w:t>
      </w:r>
    </w:p>
    <w:p w14:paraId="229EDE49"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Greve, D. N., &amp; Fischl, B. (2009). based Registration. </w:t>
      </w:r>
      <w:r w:rsidRPr="00DE156A">
        <w:rPr>
          <w:i/>
          <w:iCs/>
          <w:noProof/>
        </w:rPr>
        <w:t>NeuroImage</w:t>
      </w:r>
      <w:r w:rsidRPr="00DE156A">
        <w:rPr>
          <w:noProof/>
        </w:rPr>
        <w:t xml:space="preserve">, </w:t>
      </w:r>
      <w:r w:rsidRPr="00DE156A">
        <w:rPr>
          <w:i/>
          <w:iCs/>
          <w:noProof/>
        </w:rPr>
        <w:t>48</w:t>
      </w:r>
      <w:r w:rsidRPr="00DE156A">
        <w:rPr>
          <w:noProof/>
        </w:rPr>
        <w:t>(1), 63–72. https://doi.org/10.1016/j.neuroimage.2009.06.060.Accurate</w:t>
      </w:r>
    </w:p>
    <w:p w14:paraId="43C26917"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Gulban, O. F., Nielson, D., Poldrack, R., Lee, J., Gorgolewski, C., Vanessasaurus, &amp; Ghosh, S. (2019). </w:t>
      </w:r>
      <w:r w:rsidRPr="00DE156A">
        <w:rPr>
          <w:i/>
          <w:iCs/>
          <w:noProof/>
        </w:rPr>
        <w:t>poldracklab/pydeface: v2.0.0.</w:t>
      </w:r>
      <w:r w:rsidRPr="00DE156A">
        <w:rPr>
          <w:noProof/>
        </w:rPr>
        <w:t xml:space="preserve"> https://doi.org/https://doi.org/10.5281/zenodo.3524401</w:t>
      </w:r>
    </w:p>
    <w:p w14:paraId="144677A4"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Hagler, D. J., Hatton, S., Cornejo, M. D., Makowski, C., Fair, D. A., Dick, A. S., … Dale, A. M. (2019). Image processing and analysis methods for the Adolescent Brain Cognitive Development Study. </w:t>
      </w:r>
      <w:r w:rsidRPr="00DE156A">
        <w:rPr>
          <w:i/>
          <w:iCs/>
          <w:noProof/>
        </w:rPr>
        <w:t>NeuroImage</w:t>
      </w:r>
      <w:r w:rsidRPr="00DE156A">
        <w:rPr>
          <w:noProof/>
        </w:rPr>
        <w:t xml:space="preserve">, </w:t>
      </w:r>
      <w:r w:rsidRPr="00DE156A">
        <w:rPr>
          <w:i/>
          <w:iCs/>
          <w:noProof/>
        </w:rPr>
        <w:t>202</w:t>
      </w:r>
      <w:r w:rsidRPr="00DE156A">
        <w:rPr>
          <w:noProof/>
        </w:rPr>
        <w:t>, https://doi.org/10.1016/j.neuroimage.2019.116091.</w:t>
      </w:r>
    </w:p>
    <w:p w14:paraId="6E6891B6"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Jeong, H. J., Moore, T. M., Durham, E. L., Reimann, G. E., Dupont, R. M., Cardenas-Iniguez, C., … Kaczkurkin, A. N. (2022). General and Specific Factors of Environmental Stress and their Associations with Brain Structure and Dimensions of Psychopathology. </w:t>
      </w:r>
      <w:r w:rsidRPr="00DE156A">
        <w:rPr>
          <w:i/>
          <w:iCs/>
          <w:noProof/>
        </w:rPr>
        <w:t>Biological Psychiatry Global Open Science</w:t>
      </w:r>
      <w:r w:rsidRPr="00DE156A">
        <w:rPr>
          <w:noProof/>
        </w:rPr>
        <w:t>, 1–10. https://doi.org/10.1016/j.bpsgos.2022.04.004</w:t>
      </w:r>
    </w:p>
    <w:p w14:paraId="3CAAE9BB"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Kardan, O., Stier, A. J., Cardenas-Iniguez, C., Schertz, K. E., Pruin, J. C., Deng, Y., … Rosenberg, M. D. (2022). Differences in the functional brain architecture of sustained attention and working memory in youth and adults. In </w:t>
      </w:r>
      <w:r w:rsidRPr="00DE156A">
        <w:rPr>
          <w:i/>
          <w:iCs/>
          <w:noProof/>
        </w:rPr>
        <w:t>PLoS Biology</w:t>
      </w:r>
      <w:r w:rsidRPr="00DE156A">
        <w:rPr>
          <w:noProof/>
        </w:rPr>
        <w:t xml:space="preserve"> (Vol. 20). https://doi.org/10.1371/journal.pbio.3001938</w:t>
      </w:r>
    </w:p>
    <w:p w14:paraId="03D57318"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Kaufman, J., Birmaher, B., Brent, D., Rao, U., Flynn, C., Moreci, P., … Ryan, N. (1997). Schedule for affective disorders and schizophrenia for school-age children-present and lifetime version (K-SADS-PL): Initial reliability and validity data. </w:t>
      </w:r>
      <w:r w:rsidRPr="00DE156A">
        <w:rPr>
          <w:i/>
          <w:iCs/>
          <w:noProof/>
        </w:rPr>
        <w:t xml:space="preserve">Journal of the American </w:t>
      </w:r>
      <w:r w:rsidRPr="00DE156A">
        <w:rPr>
          <w:i/>
          <w:iCs/>
          <w:noProof/>
        </w:rPr>
        <w:lastRenderedPageBreak/>
        <w:t>Academy of Child and Adolescent Psychiatry</w:t>
      </w:r>
      <w:r w:rsidRPr="00DE156A">
        <w:rPr>
          <w:noProof/>
        </w:rPr>
        <w:t xml:space="preserve">, </w:t>
      </w:r>
      <w:r w:rsidRPr="00DE156A">
        <w:rPr>
          <w:i/>
          <w:iCs/>
          <w:noProof/>
        </w:rPr>
        <w:t>36</w:t>
      </w:r>
      <w:r w:rsidRPr="00DE156A">
        <w:rPr>
          <w:noProof/>
        </w:rPr>
        <w:t>(7), 980–988. https://doi.org/10.1097/00004583-199707000-00021</w:t>
      </w:r>
    </w:p>
    <w:p w14:paraId="2EAD1020"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Lanczos, C. (1964). Evaluation of noisy data. </w:t>
      </w:r>
      <w:r w:rsidRPr="00DE156A">
        <w:rPr>
          <w:i/>
          <w:iCs/>
          <w:noProof/>
        </w:rPr>
        <w:t>Journal of the Society for Industrial and Applied Mathematics</w:t>
      </w:r>
      <w:r w:rsidRPr="00DE156A">
        <w:rPr>
          <w:noProof/>
        </w:rPr>
        <w:t xml:space="preserve">, </w:t>
      </w:r>
      <w:r w:rsidRPr="00DE156A">
        <w:rPr>
          <w:i/>
          <w:iCs/>
          <w:noProof/>
        </w:rPr>
        <w:t>1</w:t>
      </w:r>
      <w:r w:rsidRPr="00DE156A">
        <w:rPr>
          <w:noProof/>
        </w:rPr>
        <w:t>(1), 76–85.</w:t>
      </w:r>
    </w:p>
    <w:p w14:paraId="40505C23"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Lisdahl, K. M., Sher, K. J., Conway, K. P., Gonzalez, R., Feldstein Ewing, S. W., Nixon, S. J., … Heitzeg, M. (2018). Adolescent brain cognitive development (ABCD) study: Overview of substance use assessment methods. </w:t>
      </w:r>
      <w:r w:rsidRPr="00DE156A">
        <w:rPr>
          <w:i/>
          <w:iCs/>
          <w:noProof/>
        </w:rPr>
        <w:t>Developmental Cognitive Neuroscience</w:t>
      </w:r>
      <w:r w:rsidRPr="00DE156A">
        <w:rPr>
          <w:noProof/>
        </w:rPr>
        <w:t xml:space="preserve">, </w:t>
      </w:r>
      <w:r w:rsidRPr="00DE156A">
        <w:rPr>
          <w:i/>
          <w:iCs/>
          <w:noProof/>
        </w:rPr>
        <w:t>32</w:t>
      </w:r>
      <w:r w:rsidRPr="00DE156A">
        <w:rPr>
          <w:noProof/>
        </w:rPr>
        <w:t>(April 2017), 80–96. https://doi.org/10.1016/j.dcn.2018.02.007</w:t>
      </w:r>
    </w:p>
    <w:p w14:paraId="65EB939D"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Moore, T. M., Kaczkurkin, A. N., Durham, E. L., Jeong, H. J., McDowell, M. G., Dupont, R. M., … Lahey, B. B. (2020). Criterion Validity and Relationships between Alternative Hierarchical Dimensional Models of General and Specific Psychopathology. </w:t>
      </w:r>
      <w:r w:rsidRPr="00DE156A">
        <w:rPr>
          <w:i/>
          <w:iCs/>
          <w:noProof/>
        </w:rPr>
        <w:t>Journal of Abnormal Psychology</w:t>
      </w:r>
      <w:r w:rsidRPr="00DE156A">
        <w:rPr>
          <w:noProof/>
        </w:rPr>
        <w:t xml:space="preserve">, </w:t>
      </w:r>
      <w:r w:rsidRPr="00DE156A">
        <w:rPr>
          <w:i/>
          <w:iCs/>
          <w:noProof/>
        </w:rPr>
        <w:t>129</w:t>
      </w:r>
      <w:r w:rsidRPr="00DE156A">
        <w:rPr>
          <w:noProof/>
        </w:rPr>
        <w:t>, 677–688.</w:t>
      </w:r>
    </w:p>
    <w:p w14:paraId="198AD344"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Moos, R. H., &amp; Moos, B. S. (1994). </w:t>
      </w:r>
      <w:r w:rsidRPr="00DE156A">
        <w:rPr>
          <w:i/>
          <w:iCs/>
          <w:noProof/>
        </w:rPr>
        <w:t>Family Environment Scale Manual.</w:t>
      </w:r>
      <w:r w:rsidRPr="00DE156A">
        <w:rPr>
          <w:noProof/>
        </w:rPr>
        <w:t xml:space="preserve"> Palo Alto, CA: Consulting Psychologists Press.</w:t>
      </w:r>
    </w:p>
    <w:p w14:paraId="7DD79A63"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Mujahid, M. S., Diez Roux, A. V., Morenoff, J. D., &amp; Raghunathan, T. (2007). Assessing the measurement properties of neighborhood scales: From psychometrics to ecometrics. </w:t>
      </w:r>
      <w:r w:rsidRPr="00DE156A">
        <w:rPr>
          <w:i/>
          <w:iCs/>
          <w:noProof/>
        </w:rPr>
        <w:t>American Journal of Epidemiology</w:t>
      </w:r>
      <w:r w:rsidRPr="00DE156A">
        <w:rPr>
          <w:noProof/>
        </w:rPr>
        <w:t xml:space="preserve">, </w:t>
      </w:r>
      <w:r w:rsidRPr="00DE156A">
        <w:rPr>
          <w:i/>
          <w:iCs/>
          <w:noProof/>
        </w:rPr>
        <w:t>165</w:t>
      </w:r>
      <w:r w:rsidRPr="00DE156A">
        <w:rPr>
          <w:noProof/>
        </w:rPr>
        <w:t>(8), 858–867. https://doi.org/10.1093/aje/kwm040</w:t>
      </w:r>
    </w:p>
    <w:p w14:paraId="534ABB21"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Power, J. D., Mitra, A., Laumann, T. O., Snyder, A. Z., Schlaggar, B. L., &amp; Petersen, S. E. (2014). Methods to detect, characterize, and remove motion artifact in resting state fMRI. </w:t>
      </w:r>
      <w:r w:rsidRPr="00DE156A">
        <w:rPr>
          <w:i/>
          <w:iCs/>
          <w:noProof/>
        </w:rPr>
        <w:t>NeuroImage</w:t>
      </w:r>
      <w:r w:rsidRPr="00DE156A">
        <w:rPr>
          <w:noProof/>
        </w:rPr>
        <w:t xml:space="preserve">, </w:t>
      </w:r>
      <w:r w:rsidRPr="00DE156A">
        <w:rPr>
          <w:i/>
          <w:iCs/>
          <w:noProof/>
        </w:rPr>
        <w:t>84</w:t>
      </w:r>
      <w:r w:rsidRPr="00DE156A">
        <w:rPr>
          <w:noProof/>
        </w:rPr>
        <w:t>. https://doi.org/10.1016/j.neuroimage.2013.08.048</w:t>
      </w:r>
    </w:p>
    <w:p w14:paraId="74F9C1DE"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Rice, J. P., Reich, T., Bucholz, K. K., Neurnan, R. J., Fishman, R., Rochberg, N., … Begleiter, H. (1995). Diagnoses of Alcohol Dependence. </w:t>
      </w:r>
      <w:r w:rsidRPr="00DE156A">
        <w:rPr>
          <w:i/>
          <w:iCs/>
          <w:noProof/>
        </w:rPr>
        <w:t>Direct</w:t>
      </w:r>
      <w:r w:rsidRPr="00DE156A">
        <w:rPr>
          <w:noProof/>
        </w:rPr>
        <w:t xml:space="preserve">, </w:t>
      </w:r>
      <w:r w:rsidRPr="00DE156A">
        <w:rPr>
          <w:i/>
          <w:iCs/>
          <w:noProof/>
        </w:rPr>
        <w:t>19</w:t>
      </w:r>
      <w:r w:rsidRPr="00DE156A">
        <w:rPr>
          <w:noProof/>
        </w:rPr>
        <w:t>(4), 1018–1023.</w:t>
      </w:r>
    </w:p>
    <w:p w14:paraId="2C8F5C88"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Rosenberg, M. D., Martinez, S. A., Rapuano, K. M., Conley, M. I., Cohen, A. O., Daniela </w:t>
      </w:r>
      <w:r w:rsidRPr="00DE156A">
        <w:rPr>
          <w:noProof/>
        </w:rPr>
        <w:lastRenderedPageBreak/>
        <w:t xml:space="preserve">Cornejo, M., … Casey, B. J. (2020). Behavioral and Neural Signatures of Working Memory in Childhood. </w:t>
      </w:r>
      <w:r w:rsidRPr="00DE156A">
        <w:rPr>
          <w:i/>
          <w:iCs/>
          <w:noProof/>
        </w:rPr>
        <w:t>Journal of Neuroscience</w:t>
      </w:r>
      <w:r w:rsidRPr="00DE156A">
        <w:rPr>
          <w:noProof/>
        </w:rPr>
        <w:t xml:space="preserve">, </w:t>
      </w:r>
      <w:r w:rsidRPr="00DE156A">
        <w:rPr>
          <w:i/>
          <w:iCs/>
          <w:noProof/>
        </w:rPr>
        <w:t>40</w:t>
      </w:r>
      <w:r w:rsidRPr="00DE156A">
        <w:rPr>
          <w:noProof/>
        </w:rPr>
        <w:t>(26). https://doi.org/10.1523/JNEUROSCI.2841-19.2020</w:t>
      </w:r>
    </w:p>
    <w:p w14:paraId="12DDA30D"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Rubinov, M., &amp; Sporns, O. (2010). Complex network measures of brain connectivity: Uses and interpretations. </w:t>
      </w:r>
      <w:r w:rsidRPr="00DE156A">
        <w:rPr>
          <w:i/>
          <w:iCs/>
          <w:noProof/>
        </w:rPr>
        <w:t>NeuroImage</w:t>
      </w:r>
      <w:r w:rsidRPr="00DE156A">
        <w:rPr>
          <w:noProof/>
        </w:rPr>
        <w:t xml:space="preserve">, </w:t>
      </w:r>
      <w:r w:rsidRPr="00DE156A">
        <w:rPr>
          <w:i/>
          <w:iCs/>
          <w:noProof/>
        </w:rPr>
        <w:t>52</w:t>
      </w:r>
      <w:r w:rsidRPr="00DE156A">
        <w:rPr>
          <w:noProof/>
        </w:rPr>
        <w:t>(3). https://doi.org/10.1016/j.neuroimage.2009.10.003</w:t>
      </w:r>
    </w:p>
    <w:p w14:paraId="5BC4F4CD"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Schaefer, E. S. (1965). Children’s reports of parental behavior: An inventory. </w:t>
      </w:r>
      <w:r w:rsidRPr="00DE156A">
        <w:rPr>
          <w:i/>
          <w:iCs/>
          <w:noProof/>
        </w:rPr>
        <w:t>Child Development</w:t>
      </w:r>
      <w:r w:rsidRPr="00DE156A">
        <w:rPr>
          <w:noProof/>
        </w:rPr>
        <w:t xml:space="preserve">, </w:t>
      </w:r>
      <w:r w:rsidRPr="00DE156A">
        <w:rPr>
          <w:i/>
          <w:iCs/>
          <w:noProof/>
        </w:rPr>
        <w:t>36</w:t>
      </w:r>
      <w:r w:rsidRPr="00DE156A">
        <w:rPr>
          <w:noProof/>
        </w:rPr>
        <w:t>(2), 413–424. https://doi.org/ttps://doi.org/10.2307/1126465</w:t>
      </w:r>
    </w:p>
    <w:p w14:paraId="2DF03677"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Sporns, O. (2018). Graph theory methods: Applications in brain networks. </w:t>
      </w:r>
      <w:r w:rsidRPr="00DE156A">
        <w:rPr>
          <w:i/>
          <w:iCs/>
          <w:noProof/>
        </w:rPr>
        <w:t>Dialogues in Clinical Neuroscience</w:t>
      </w:r>
      <w:r w:rsidRPr="00DE156A">
        <w:rPr>
          <w:noProof/>
        </w:rPr>
        <w:t xml:space="preserve">, </w:t>
      </w:r>
      <w:r w:rsidRPr="00DE156A">
        <w:rPr>
          <w:i/>
          <w:iCs/>
          <w:noProof/>
        </w:rPr>
        <w:t>20</w:t>
      </w:r>
      <w:r w:rsidRPr="00DE156A">
        <w:rPr>
          <w:noProof/>
        </w:rPr>
        <w:t>(2), 111–120. https://doi.org/10.31887/DCNS.2018.20.2/OSPORNS</w:t>
      </w:r>
    </w:p>
    <w:p w14:paraId="73662C79"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Stier, A. J., Cardenas-Iniguez, C., Kardan, O., Moore, T. M., Meyer, F. A. C., Rosenberg, M. D., … Berman, M. G. (2023). A pattern of cognitive resource disruptions in childhood psychopathology. </w:t>
      </w:r>
      <w:r w:rsidRPr="00DE156A">
        <w:rPr>
          <w:i/>
          <w:iCs/>
          <w:noProof/>
        </w:rPr>
        <w:t>Network Neuroscience</w:t>
      </w:r>
      <w:r w:rsidRPr="00DE156A">
        <w:rPr>
          <w:noProof/>
        </w:rPr>
        <w:t>, 1–28. https://doi.org/10.1162/netn_a_00322</w:t>
      </w:r>
    </w:p>
    <w:p w14:paraId="31C51578"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Stover, C. S., Hahn, H., Berkowitz, S., &amp; Im, J. J. Y. (2010). Agreement of parent and child reports of trauma exposure and symptoms in the early aftermath of a traumatic event. </w:t>
      </w:r>
      <w:r w:rsidRPr="00DE156A">
        <w:rPr>
          <w:i/>
          <w:iCs/>
          <w:noProof/>
        </w:rPr>
        <w:t>Psychological Trauma: Theory, Research, Practice, and Policy</w:t>
      </w:r>
      <w:r w:rsidRPr="00DE156A">
        <w:rPr>
          <w:noProof/>
        </w:rPr>
        <w:t xml:space="preserve">, </w:t>
      </w:r>
      <w:r w:rsidRPr="00DE156A">
        <w:rPr>
          <w:i/>
          <w:iCs/>
          <w:noProof/>
        </w:rPr>
        <w:t>2</w:t>
      </w:r>
      <w:r w:rsidRPr="00DE156A">
        <w:rPr>
          <w:noProof/>
        </w:rPr>
        <w:t>(3), 159–168. https://doi.org/10.1037/a0019156</w:t>
      </w:r>
    </w:p>
    <w:p w14:paraId="70D56BA4"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Stover, P. J., Harlan, W. R., Hammond, J. A., Hendershot, T., &amp; Hamilton, C. M. (2010). PhenX: a toolkit for interdisciplinary genetics research. </w:t>
      </w:r>
      <w:r w:rsidRPr="00DE156A">
        <w:rPr>
          <w:i/>
          <w:iCs/>
          <w:noProof/>
        </w:rPr>
        <w:t>Current Opinion in Lipidology</w:t>
      </w:r>
      <w:r w:rsidRPr="00DE156A">
        <w:rPr>
          <w:noProof/>
        </w:rPr>
        <w:t xml:space="preserve">, </w:t>
      </w:r>
      <w:r w:rsidRPr="00DE156A">
        <w:rPr>
          <w:i/>
          <w:iCs/>
          <w:noProof/>
        </w:rPr>
        <w:t>21</w:t>
      </w:r>
      <w:r w:rsidRPr="00DE156A">
        <w:rPr>
          <w:noProof/>
        </w:rPr>
        <w:t>(2), 136–140. https://doi.org/10.1053/j.gastro.2016.08.014.CagY</w:t>
      </w:r>
    </w:p>
    <w:p w14:paraId="468F649E"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Tustison, N. J., Avants, B. B., Cook, P. A., Zheng, Y., Egan, A., Yushkevich, P. A., &amp; Gee, J. C. (2010). N4ITK: Improved N3 bias correction. </w:t>
      </w:r>
      <w:r w:rsidRPr="00DE156A">
        <w:rPr>
          <w:i/>
          <w:iCs/>
          <w:noProof/>
        </w:rPr>
        <w:t>IEEE Transactions on Medical Imaging</w:t>
      </w:r>
      <w:r w:rsidRPr="00DE156A">
        <w:rPr>
          <w:noProof/>
        </w:rPr>
        <w:t xml:space="preserve">, </w:t>
      </w:r>
      <w:r w:rsidRPr="00DE156A">
        <w:rPr>
          <w:i/>
          <w:iCs/>
          <w:noProof/>
        </w:rPr>
        <w:t>29</w:t>
      </w:r>
      <w:r w:rsidRPr="00DE156A">
        <w:rPr>
          <w:noProof/>
        </w:rPr>
        <w:t>(6). https://doi.org/10.1109/TMI.2010.2046908</w:t>
      </w:r>
    </w:p>
    <w:p w14:paraId="0613ECED"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Zhang, Y., Brady, M., &amp; Smith, S. (2001). Segmentation of brain MR images through a hidden </w:t>
      </w:r>
      <w:r w:rsidRPr="00DE156A">
        <w:rPr>
          <w:noProof/>
        </w:rPr>
        <w:lastRenderedPageBreak/>
        <w:t xml:space="preserve">Markov random field model and the expectation-maximization algorithm. </w:t>
      </w:r>
      <w:r w:rsidRPr="00DE156A">
        <w:rPr>
          <w:i/>
          <w:iCs/>
          <w:noProof/>
        </w:rPr>
        <w:t>IEEE Transactions on Medical Imaging</w:t>
      </w:r>
      <w:r w:rsidRPr="00DE156A">
        <w:rPr>
          <w:noProof/>
        </w:rPr>
        <w:t xml:space="preserve">, </w:t>
      </w:r>
      <w:r w:rsidRPr="00DE156A">
        <w:rPr>
          <w:i/>
          <w:iCs/>
          <w:noProof/>
        </w:rPr>
        <w:t>20</w:t>
      </w:r>
      <w:r w:rsidRPr="00DE156A">
        <w:rPr>
          <w:noProof/>
        </w:rPr>
        <w:t>(1). https://doi.org/10.1109/42.906424</w:t>
      </w:r>
    </w:p>
    <w:p w14:paraId="4574E650" w14:textId="77777777" w:rsidR="00DE156A" w:rsidRPr="00DE156A" w:rsidRDefault="00DE156A" w:rsidP="00DE156A">
      <w:pPr>
        <w:widowControl w:val="0"/>
        <w:autoSpaceDE w:val="0"/>
        <w:autoSpaceDN w:val="0"/>
        <w:adjustRightInd w:val="0"/>
        <w:spacing w:line="480" w:lineRule="auto"/>
        <w:ind w:left="480" w:hanging="480"/>
        <w:rPr>
          <w:noProof/>
        </w:rPr>
      </w:pPr>
      <w:r w:rsidRPr="00DE156A">
        <w:rPr>
          <w:noProof/>
        </w:rPr>
        <w:t xml:space="preserve">Zucker, R. A., Gonzalez, R., Feldstein Ewing, S. W., Paulus, M. P., Arroyo, J., Fuligni, A., … Wills, T. (2018). Assessment of culture and environment in the Adolescent Brain and Cognitive Development Study: Rationale, description of measures, and early data. </w:t>
      </w:r>
      <w:r w:rsidRPr="00DE156A">
        <w:rPr>
          <w:i/>
          <w:iCs/>
          <w:noProof/>
        </w:rPr>
        <w:t>Developmental Cognitive Neuroscience</w:t>
      </w:r>
      <w:r w:rsidRPr="00DE156A">
        <w:rPr>
          <w:noProof/>
        </w:rPr>
        <w:t xml:space="preserve">, </w:t>
      </w:r>
      <w:r w:rsidRPr="00DE156A">
        <w:rPr>
          <w:i/>
          <w:iCs/>
          <w:noProof/>
        </w:rPr>
        <w:t>32</w:t>
      </w:r>
      <w:r w:rsidRPr="00DE156A">
        <w:rPr>
          <w:noProof/>
        </w:rPr>
        <w:t>(May 2017), 107–120. https://doi.org/10.1016/j.dcn.2018.03.004</w:t>
      </w:r>
    </w:p>
    <w:p w14:paraId="0763B6EF" w14:textId="77777777" w:rsidR="00DE156A" w:rsidRDefault="00C91C7D" w:rsidP="00DE156A">
      <w:pPr>
        <w:widowControl w:val="0"/>
        <w:autoSpaceDE w:val="0"/>
        <w:autoSpaceDN w:val="0"/>
        <w:adjustRightInd w:val="0"/>
        <w:spacing w:line="480" w:lineRule="auto"/>
        <w:ind w:left="480" w:hanging="480"/>
      </w:pPr>
      <w:r>
        <w:fldChar w:fldCharType="end"/>
      </w:r>
    </w:p>
    <w:p w14:paraId="64C44C76" w14:textId="77777777" w:rsidR="00DE156A" w:rsidRDefault="00DE156A">
      <w:r>
        <w:br w:type="page"/>
      </w:r>
    </w:p>
    <w:p w14:paraId="11B1206D" w14:textId="59B63291" w:rsidR="00B50D71" w:rsidRDefault="00432B71" w:rsidP="00FE7732">
      <w:pPr>
        <w:pStyle w:val="Heading1"/>
        <w:rPr>
          <w:rFonts w:ascii="Times New Roman" w:hAnsi="Times New Roman" w:cs="Times New Roman"/>
          <w:color w:val="auto"/>
          <w:sz w:val="24"/>
          <w:szCs w:val="24"/>
        </w:rPr>
      </w:pPr>
      <w:bookmarkStart w:id="10" w:name="_Toc155817677"/>
      <w:r w:rsidRPr="00FE7732">
        <w:rPr>
          <w:rFonts w:ascii="Times New Roman" w:hAnsi="Times New Roman" w:cs="Times New Roman"/>
          <w:b/>
          <w:bCs/>
          <w:color w:val="auto"/>
          <w:sz w:val="24"/>
          <w:szCs w:val="24"/>
        </w:rPr>
        <w:lastRenderedPageBreak/>
        <w:t xml:space="preserve">Table </w:t>
      </w:r>
      <w:r w:rsidR="00B50D71" w:rsidRPr="00FE7732">
        <w:rPr>
          <w:rFonts w:ascii="Times New Roman" w:hAnsi="Times New Roman" w:cs="Times New Roman"/>
          <w:b/>
          <w:bCs/>
          <w:color w:val="auto"/>
          <w:sz w:val="24"/>
          <w:szCs w:val="24"/>
        </w:rPr>
        <w:t>1a.</w:t>
      </w:r>
      <w:r w:rsidR="00B50D71" w:rsidRPr="00FE7732">
        <w:rPr>
          <w:rFonts w:ascii="Times New Roman" w:hAnsi="Times New Roman" w:cs="Times New Roman"/>
          <w:color w:val="auto"/>
          <w:sz w:val="24"/>
          <w:szCs w:val="24"/>
        </w:rPr>
        <w:t xml:space="preserve"> Comparison of included and excluded subjects for the resting state</w:t>
      </w:r>
      <w:bookmarkEnd w:id="10"/>
    </w:p>
    <w:p w14:paraId="0D8B397E" w14:textId="77777777" w:rsidR="00FE7732" w:rsidRPr="00FE7732" w:rsidRDefault="00FE7732" w:rsidP="00FE7732"/>
    <w:tbl>
      <w:tblPr>
        <w:tblW w:w="6210" w:type="dxa"/>
        <w:tblLook w:val="04A0" w:firstRow="1" w:lastRow="0" w:firstColumn="1" w:lastColumn="0" w:noHBand="0" w:noVBand="1"/>
      </w:tblPr>
      <w:tblGrid>
        <w:gridCol w:w="1732"/>
        <w:gridCol w:w="1058"/>
        <w:gridCol w:w="1170"/>
        <w:gridCol w:w="2250"/>
      </w:tblGrid>
      <w:tr w:rsidR="00B50D71" w:rsidRPr="00235E0F" w14:paraId="4DB5234A" w14:textId="77777777" w:rsidTr="002807AA">
        <w:trPr>
          <w:trHeight w:val="320"/>
        </w:trPr>
        <w:tc>
          <w:tcPr>
            <w:tcW w:w="6210" w:type="dxa"/>
            <w:gridSpan w:val="4"/>
            <w:tcBorders>
              <w:top w:val="single" w:sz="18" w:space="0" w:color="auto"/>
              <w:left w:val="nil"/>
              <w:right w:val="nil"/>
            </w:tcBorders>
            <w:shd w:val="clear" w:color="auto" w:fill="auto"/>
            <w:noWrap/>
            <w:vAlign w:val="center"/>
            <w:hideMark/>
          </w:tcPr>
          <w:p w14:paraId="5335B031" w14:textId="77777777" w:rsidR="00B50D71" w:rsidRPr="00F50B1A" w:rsidRDefault="00B50D71" w:rsidP="002807AA">
            <w:pPr>
              <w:jc w:val="center"/>
              <w:rPr>
                <w:color w:val="000000" w:themeColor="text1"/>
                <w:sz w:val="22"/>
                <w:szCs w:val="22"/>
              </w:rPr>
            </w:pPr>
            <w:r w:rsidRPr="00F50B1A">
              <w:rPr>
                <w:color w:val="000000" w:themeColor="text1"/>
                <w:sz w:val="22"/>
                <w:szCs w:val="22"/>
              </w:rPr>
              <w:t>Rest</w:t>
            </w:r>
          </w:p>
        </w:tc>
      </w:tr>
      <w:tr w:rsidR="00B50D71" w:rsidRPr="00235E0F" w14:paraId="0D0249C7" w14:textId="77777777" w:rsidTr="002807AA">
        <w:trPr>
          <w:trHeight w:val="340"/>
        </w:trPr>
        <w:tc>
          <w:tcPr>
            <w:tcW w:w="1732" w:type="dxa"/>
            <w:tcBorders>
              <w:top w:val="single" w:sz="18" w:space="0" w:color="auto"/>
              <w:left w:val="nil"/>
              <w:right w:val="nil"/>
            </w:tcBorders>
            <w:shd w:val="clear" w:color="auto" w:fill="auto"/>
            <w:vAlign w:val="center"/>
            <w:hideMark/>
          </w:tcPr>
          <w:p w14:paraId="39179F68" w14:textId="77777777" w:rsidR="00B50D71" w:rsidRPr="00F50B1A" w:rsidRDefault="00B50D71" w:rsidP="002807AA">
            <w:pPr>
              <w:rPr>
                <w:color w:val="000000" w:themeColor="text1"/>
                <w:sz w:val="22"/>
                <w:szCs w:val="22"/>
              </w:rPr>
            </w:pPr>
            <w:r w:rsidRPr="00F50B1A">
              <w:rPr>
                <w:color w:val="000000" w:themeColor="text1"/>
                <w:sz w:val="22"/>
                <w:szCs w:val="22"/>
              </w:rPr>
              <w:t xml:space="preserve">       </w:t>
            </w:r>
          </w:p>
        </w:tc>
        <w:tc>
          <w:tcPr>
            <w:tcW w:w="1058" w:type="dxa"/>
            <w:tcBorders>
              <w:top w:val="single" w:sz="18" w:space="0" w:color="auto"/>
              <w:left w:val="nil"/>
              <w:bottom w:val="single" w:sz="8" w:space="0" w:color="auto"/>
              <w:right w:val="nil"/>
            </w:tcBorders>
            <w:shd w:val="clear" w:color="auto" w:fill="auto"/>
            <w:noWrap/>
            <w:vAlign w:val="center"/>
            <w:hideMark/>
          </w:tcPr>
          <w:p w14:paraId="5A4B243C" w14:textId="77777777" w:rsidR="00B50D71" w:rsidRPr="00F50B1A" w:rsidRDefault="00B50D71" w:rsidP="002807AA">
            <w:pPr>
              <w:jc w:val="center"/>
              <w:rPr>
                <w:color w:val="000000" w:themeColor="text1"/>
                <w:sz w:val="22"/>
                <w:szCs w:val="22"/>
              </w:rPr>
            </w:pPr>
            <w:r w:rsidRPr="00F50B1A">
              <w:rPr>
                <w:color w:val="000000" w:themeColor="text1"/>
                <w:sz w:val="22"/>
                <w:szCs w:val="22"/>
              </w:rPr>
              <w:t>Included</w:t>
            </w:r>
          </w:p>
        </w:tc>
        <w:tc>
          <w:tcPr>
            <w:tcW w:w="1170" w:type="dxa"/>
            <w:tcBorders>
              <w:top w:val="single" w:sz="18" w:space="0" w:color="auto"/>
              <w:left w:val="nil"/>
              <w:bottom w:val="single" w:sz="8" w:space="0" w:color="auto"/>
              <w:right w:val="nil"/>
            </w:tcBorders>
            <w:vAlign w:val="center"/>
          </w:tcPr>
          <w:p w14:paraId="0FB9E844" w14:textId="77777777" w:rsidR="00B50D71" w:rsidRPr="00F50B1A" w:rsidRDefault="00B50D71" w:rsidP="002807AA">
            <w:pPr>
              <w:jc w:val="center"/>
              <w:rPr>
                <w:color w:val="000000" w:themeColor="text1"/>
                <w:sz w:val="22"/>
                <w:szCs w:val="22"/>
              </w:rPr>
            </w:pPr>
            <w:r w:rsidRPr="00F50B1A">
              <w:rPr>
                <w:color w:val="000000" w:themeColor="text1"/>
                <w:sz w:val="22"/>
                <w:szCs w:val="22"/>
              </w:rPr>
              <w:t>Excluded</w:t>
            </w:r>
          </w:p>
        </w:tc>
        <w:tc>
          <w:tcPr>
            <w:tcW w:w="2246" w:type="dxa"/>
            <w:tcBorders>
              <w:top w:val="single" w:sz="18" w:space="0" w:color="auto"/>
              <w:left w:val="nil"/>
              <w:bottom w:val="single" w:sz="8" w:space="0" w:color="auto"/>
              <w:right w:val="nil"/>
            </w:tcBorders>
            <w:shd w:val="clear" w:color="auto" w:fill="auto"/>
            <w:noWrap/>
            <w:vAlign w:val="center"/>
            <w:hideMark/>
          </w:tcPr>
          <w:p w14:paraId="6A1043B4" w14:textId="77777777" w:rsidR="00B50D71" w:rsidRPr="00F50B1A" w:rsidRDefault="00B50D71" w:rsidP="002807AA">
            <w:pPr>
              <w:jc w:val="center"/>
              <w:rPr>
                <w:color w:val="000000" w:themeColor="text1"/>
                <w:sz w:val="22"/>
                <w:szCs w:val="22"/>
              </w:rPr>
            </w:pPr>
            <w:r w:rsidRPr="00F50B1A">
              <w:rPr>
                <w:color w:val="000000" w:themeColor="text1"/>
                <w:sz w:val="22"/>
                <w:szCs w:val="22"/>
              </w:rPr>
              <w:t>Difference</w:t>
            </w:r>
          </w:p>
        </w:tc>
      </w:tr>
      <w:tr w:rsidR="00B50D71" w:rsidRPr="00235E0F" w14:paraId="7178B436" w14:textId="77777777" w:rsidTr="002807AA">
        <w:trPr>
          <w:trHeight w:val="340"/>
        </w:trPr>
        <w:tc>
          <w:tcPr>
            <w:tcW w:w="1732" w:type="dxa"/>
            <w:tcBorders>
              <w:left w:val="nil"/>
              <w:right w:val="nil"/>
            </w:tcBorders>
            <w:shd w:val="clear" w:color="auto" w:fill="auto"/>
            <w:vAlign w:val="center"/>
          </w:tcPr>
          <w:p w14:paraId="2BD514A9" w14:textId="77777777" w:rsidR="00B50D71" w:rsidRPr="00F50B1A" w:rsidRDefault="00B50D71" w:rsidP="002807AA">
            <w:pPr>
              <w:rPr>
                <w:color w:val="000000" w:themeColor="text1"/>
                <w:sz w:val="22"/>
                <w:szCs w:val="22"/>
              </w:rPr>
            </w:pPr>
          </w:p>
        </w:tc>
        <w:tc>
          <w:tcPr>
            <w:tcW w:w="2228" w:type="dxa"/>
            <w:gridSpan w:val="2"/>
            <w:tcBorders>
              <w:left w:val="nil"/>
              <w:right w:val="nil"/>
            </w:tcBorders>
            <w:shd w:val="clear" w:color="auto" w:fill="auto"/>
            <w:noWrap/>
            <w:vAlign w:val="center"/>
          </w:tcPr>
          <w:p w14:paraId="2886682B" w14:textId="77777777" w:rsidR="00B50D71" w:rsidRPr="00F50B1A" w:rsidRDefault="00B50D71" w:rsidP="002807AA">
            <w:pPr>
              <w:jc w:val="center"/>
              <w:rPr>
                <w:color w:val="000000" w:themeColor="text1"/>
                <w:sz w:val="22"/>
                <w:szCs w:val="22"/>
              </w:rPr>
            </w:pPr>
            <w:r w:rsidRPr="00F50B1A">
              <w:rPr>
                <w:color w:val="000000" w:themeColor="text1"/>
                <w:sz w:val="22"/>
                <w:szCs w:val="22"/>
              </w:rPr>
              <w:t>Mean</w:t>
            </w:r>
          </w:p>
        </w:tc>
        <w:tc>
          <w:tcPr>
            <w:tcW w:w="2250" w:type="dxa"/>
            <w:tcBorders>
              <w:top w:val="single" w:sz="8" w:space="0" w:color="auto"/>
              <w:left w:val="nil"/>
              <w:bottom w:val="single" w:sz="8" w:space="0" w:color="auto"/>
              <w:right w:val="nil"/>
            </w:tcBorders>
            <w:shd w:val="clear" w:color="auto" w:fill="auto"/>
            <w:noWrap/>
            <w:vAlign w:val="center"/>
          </w:tcPr>
          <w:p w14:paraId="47570C1E" w14:textId="77777777" w:rsidR="00B50D71" w:rsidRPr="00F50B1A" w:rsidRDefault="00B50D71" w:rsidP="002807AA">
            <w:pPr>
              <w:jc w:val="center"/>
              <w:rPr>
                <w:color w:val="000000" w:themeColor="text1"/>
                <w:sz w:val="22"/>
                <w:szCs w:val="22"/>
              </w:rPr>
            </w:pPr>
            <w:r w:rsidRPr="00F50B1A">
              <w:rPr>
                <w:color w:val="000000" w:themeColor="text1"/>
                <w:sz w:val="22"/>
                <w:szCs w:val="22"/>
              </w:rPr>
              <w:t>t-test</w:t>
            </w:r>
          </w:p>
        </w:tc>
      </w:tr>
      <w:tr w:rsidR="00B50D71" w:rsidRPr="00235E0F" w14:paraId="6CCC8FD5" w14:textId="77777777" w:rsidTr="002807AA">
        <w:trPr>
          <w:trHeight w:val="340"/>
        </w:trPr>
        <w:tc>
          <w:tcPr>
            <w:tcW w:w="1732" w:type="dxa"/>
            <w:tcBorders>
              <w:left w:val="nil"/>
              <w:right w:val="nil"/>
            </w:tcBorders>
            <w:shd w:val="clear" w:color="auto" w:fill="auto"/>
            <w:vAlign w:val="center"/>
            <w:hideMark/>
          </w:tcPr>
          <w:p w14:paraId="3EA6693D" w14:textId="77777777" w:rsidR="00B50D71" w:rsidRPr="00F50B1A" w:rsidRDefault="00B50D71" w:rsidP="002807AA">
            <w:pPr>
              <w:rPr>
                <w:color w:val="000000" w:themeColor="text1"/>
                <w:sz w:val="22"/>
                <w:szCs w:val="22"/>
              </w:rPr>
            </w:pPr>
            <w:r w:rsidRPr="00F50B1A">
              <w:rPr>
                <w:color w:val="000000" w:themeColor="text1"/>
                <w:sz w:val="22"/>
                <w:szCs w:val="22"/>
              </w:rPr>
              <w:t>Age (years)</w:t>
            </w:r>
          </w:p>
        </w:tc>
        <w:tc>
          <w:tcPr>
            <w:tcW w:w="1058" w:type="dxa"/>
            <w:tcBorders>
              <w:top w:val="single" w:sz="8" w:space="0" w:color="auto"/>
              <w:left w:val="nil"/>
              <w:right w:val="nil"/>
            </w:tcBorders>
            <w:shd w:val="clear" w:color="auto" w:fill="auto"/>
            <w:noWrap/>
            <w:vAlign w:val="center"/>
            <w:hideMark/>
          </w:tcPr>
          <w:p w14:paraId="1120191D" w14:textId="77777777" w:rsidR="00B50D71" w:rsidRPr="00F50B1A" w:rsidRDefault="00B50D71" w:rsidP="002807AA">
            <w:pPr>
              <w:jc w:val="center"/>
              <w:rPr>
                <w:color w:val="000000" w:themeColor="text1"/>
                <w:sz w:val="22"/>
                <w:szCs w:val="22"/>
              </w:rPr>
            </w:pPr>
            <w:r w:rsidRPr="00F50B1A">
              <w:rPr>
                <w:color w:val="000000" w:themeColor="text1"/>
                <w:sz w:val="22"/>
                <w:szCs w:val="22"/>
              </w:rPr>
              <w:t>9.96</w:t>
            </w:r>
          </w:p>
        </w:tc>
        <w:tc>
          <w:tcPr>
            <w:tcW w:w="1170" w:type="dxa"/>
            <w:tcBorders>
              <w:top w:val="single" w:sz="8" w:space="0" w:color="auto"/>
              <w:left w:val="nil"/>
              <w:right w:val="nil"/>
            </w:tcBorders>
            <w:vAlign w:val="center"/>
          </w:tcPr>
          <w:p w14:paraId="177019BF" w14:textId="77777777" w:rsidR="00B50D71" w:rsidRPr="00F50B1A" w:rsidRDefault="00B50D71" w:rsidP="002807AA">
            <w:pPr>
              <w:jc w:val="center"/>
              <w:rPr>
                <w:color w:val="000000" w:themeColor="text1"/>
                <w:sz w:val="22"/>
                <w:szCs w:val="22"/>
              </w:rPr>
            </w:pPr>
            <w:r w:rsidRPr="00F50B1A">
              <w:rPr>
                <w:color w:val="000000" w:themeColor="text1"/>
                <w:sz w:val="22"/>
                <w:szCs w:val="22"/>
              </w:rPr>
              <w:t>9.89</w:t>
            </w:r>
          </w:p>
        </w:tc>
        <w:tc>
          <w:tcPr>
            <w:tcW w:w="2246" w:type="dxa"/>
            <w:tcBorders>
              <w:top w:val="single" w:sz="8" w:space="0" w:color="auto"/>
              <w:left w:val="nil"/>
              <w:right w:val="nil"/>
            </w:tcBorders>
            <w:shd w:val="clear" w:color="auto" w:fill="auto"/>
            <w:noWrap/>
            <w:vAlign w:val="center"/>
            <w:hideMark/>
          </w:tcPr>
          <w:p w14:paraId="42986E4E" w14:textId="77777777" w:rsidR="00B50D71" w:rsidRPr="00F50B1A" w:rsidRDefault="00B50D71" w:rsidP="002807AA">
            <w:pPr>
              <w:jc w:val="center"/>
              <w:rPr>
                <w:color w:val="000000" w:themeColor="text1"/>
                <w:sz w:val="22"/>
                <w:szCs w:val="22"/>
                <w:vertAlign w:val="superscript"/>
              </w:rPr>
            </w:pPr>
            <w:r w:rsidRPr="00F50B1A">
              <w:rPr>
                <w:i/>
                <w:iCs/>
                <w:color w:val="000000" w:themeColor="text1"/>
                <w:sz w:val="22"/>
                <w:szCs w:val="22"/>
              </w:rPr>
              <w:t>t</w:t>
            </w:r>
            <w:r w:rsidRPr="00F50B1A">
              <w:rPr>
                <w:color w:val="000000" w:themeColor="text1"/>
                <w:sz w:val="22"/>
                <w:szCs w:val="22"/>
              </w:rPr>
              <w:t>(7830) = 5.66</w:t>
            </w:r>
            <w:r w:rsidRPr="00F50B1A">
              <w:rPr>
                <w:color w:val="000000" w:themeColor="text1"/>
                <w:sz w:val="22"/>
                <w:szCs w:val="22"/>
                <w:vertAlign w:val="superscript"/>
              </w:rPr>
              <w:t>***</w:t>
            </w:r>
          </w:p>
        </w:tc>
      </w:tr>
      <w:tr w:rsidR="00B50D71" w:rsidRPr="00235E0F" w14:paraId="5D750434" w14:textId="77777777" w:rsidTr="002807AA">
        <w:trPr>
          <w:trHeight w:val="288"/>
        </w:trPr>
        <w:tc>
          <w:tcPr>
            <w:tcW w:w="1732" w:type="dxa"/>
            <w:tcBorders>
              <w:left w:val="nil"/>
              <w:bottom w:val="nil"/>
              <w:right w:val="nil"/>
            </w:tcBorders>
            <w:shd w:val="clear" w:color="auto" w:fill="auto"/>
            <w:vAlign w:val="center"/>
          </w:tcPr>
          <w:p w14:paraId="7EB6D4FD" w14:textId="77777777" w:rsidR="00B50D71" w:rsidRPr="00F50B1A" w:rsidRDefault="00B50D71" w:rsidP="002807AA">
            <w:pPr>
              <w:rPr>
                <w:color w:val="000000" w:themeColor="text1"/>
                <w:sz w:val="22"/>
                <w:szCs w:val="22"/>
              </w:rPr>
            </w:pPr>
            <w:r w:rsidRPr="00F50B1A">
              <w:rPr>
                <w:color w:val="000000" w:themeColor="text1"/>
                <w:sz w:val="22"/>
                <w:szCs w:val="22"/>
              </w:rPr>
              <w:t xml:space="preserve">Household Annual Income </w:t>
            </w:r>
          </w:p>
        </w:tc>
        <w:tc>
          <w:tcPr>
            <w:tcW w:w="1058" w:type="dxa"/>
            <w:tcBorders>
              <w:left w:val="nil"/>
              <w:right w:val="nil"/>
            </w:tcBorders>
            <w:shd w:val="clear" w:color="auto" w:fill="auto"/>
            <w:noWrap/>
            <w:vAlign w:val="center"/>
          </w:tcPr>
          <w:p w14:paraId="4715DC6E" w14:textId="77777777" w:rsidR="00B50D71" w:rsidRPr="00F50B1A" w:rsidRDefault="00B50D71" w:rsidP="002807AA">
            <w:pPr>
              <w:jc w:val="center"/>
              <w:rPr>
                <w:color w:val="000000" w:themeColor="text1"/>
                <w:sz w:val="22"/>
                <w:szCs w:val="22"/>
              </w:rPr>
            </w:pPr>
            <w:r w:rsidRPr="00F50B1A">
              <w:rPr>
                <w:color w:val="000000" w:themeColor="text1"/>
                <w:sz w:val="22"/>
                <w:szCs w:val="22"/>
              </w:rPr>
              <w:t>7.50</w:t>
            </w:r>
          </w:p>
        </w:tc>
        <w:tc>
          <w:tcPr>
            <w:tcW w:w="1170" w:type="dxa"/>
            <w:tcBorders>
              <w:left w:val="nil"/>
              <w:right w:val="nil"/>
            </w:tcBorders>
            <w:vAlign w:val="center"/>
          </w:tcPr>
          <w:p w14:paraId="2CB63ECE" w14:textId="77777777" w:rsidR="00B50D71" w:rsidRPr="00F50B1A" w:rsidRDefault="00B50D71" w:rsidP="002807AA">
            <w:pPr>
              <w:jc w:val="center"/>
              <w:rPr>
                <w:color w:val="000000" w:themeColor="text1"/>
                <w:sz w:val="22"/>
                <w:szCs w:val="22"/>
              </w:rPr>
            </w:pPr>
            <w:r w:rsidRPr="00F50B1A">
              <w:rPr>
                <w:color w:val="000000" w:themeColor="text1"/>
                <w:sz w:val="22"/>
                <w:szCs w:val="22"/>
              </w:rPr>
              <w:t>7.09</w:t>
            </w:r>
          </w:p>
        </w:tc>
        <w:tc>
          <w:tcPr>
            <w:tcW w:w="2246" w:type="dxa"/>
            <w:tcBorders>
              <w:left w:val="nil"/>
              <w:bottom w:val="nil"/>
              <w:right w:val="nil"/>
            </w:tcBorders>
            <w:shd w:val="clear" w:color="auto" w:fill="auto"/>
            <w:noWrap/>
            <w:vAlign w:val="center"/>
          </w:tcPr>
          <w:p w14:paraId="66942C51" w14:textId="77777777" w:rsidR="00B50D71" w:rsidRPr="00F50B1A" w:rsidRDefault="00B50D71" w:rsidP="002807AA">
            <w:pPr>
              <w:jc w:val="center"/>
              <w:rPr>
                <w:color w:val="000000" w:themeColor="text1"/>
                <w:sz w:val="22"/>
                <w:szCs w:val="22"/>
              </w:rPr>
            </w:pPr>
            <w:r w:rsidRPr="00F50B1A">
              <w:rPr>
                <w:i/>
                <w:iCs/>
                <w:color w:val="000000" w:themeColor="text1"/>
                <w:sz w:val="22"/>
                <w:szCs w:val="22"/>
              </w:rPr>
              <w:t>t</w:t>
            </w:r>
            <w:r w:rsidRPr="00F50B1A">
              <w:rPr>
                <w:color w:val="000000" w:themeColor="text1"/>
                <w:sz w:val="22"/>
                <w:szCs w:val="22"/>
              </w:rPr>
              <w:t>(8535) = 8.71</w:t>
            </w:r>
            <w:r w:rsidRPr="00F50B1A">
              <w:rPr>
                <w:color w:val="000000" w:themeColor="text1"/>
                <w:sz w:val="22"/>
                <w:szCs w:val="22"/>
                <w:vertAlign w:val="superscript"/>
              </w:rPr>
              <w:t>***</w:t>
            </w:r>
          </w:p>
        </w:tc>
      </w:tr>
      <w:tr w:rsidR="00B50D71" w:rsidRPr="00235E0F" w14:paraId="32853B31" w14:textId="77777777" w:rsidTr="002807AA">
        <w:trPr>
          <w:trHeight w:val="288"/>
        </w:trPr>
        <w:tc>
          <w:tcPr>
            <w:tcW w:w="1732" w:type="dxa"/>
            <w:tcBorders>
              <w:left w:val="nil"/>
              <w:bottom w:val="nil"/>
              <w:right w:val="nil"/>
            </w:tcBorders>
            <w:shd w:val="clear" w:color="auto" w:fill="auto"/>
            <w:vAlign w:val="center"/>
          </w:tcPr>
          <w:p w14:paraId="6D2F247E" w14:textId="77777777" w:rsidR="00B50D71" w:rsidRPr="00F50B1A" w:rsidRDefault="00B50D71" w:rsidP="002807AA">
            <w:pPr>
              <w:rPr>
                <w:color w:val="000000" w:themeColor="text1"/>
                <w:sz w:val="22"/>
                <w:szCs w:val="22"/>
              </w:rPr>
            </w:pPr>
            <w:r w:rsidRPr="00F50B1A">
              <w:rPr>
                <w:color w:val="000000" w:themeColor="text1"/>
                <w:sz w:val="22"/>
                <w:szCs w:val="22"/>
              </w:rPr>
              <w:t>Parental Education</w:t>
            </w:r>
          </w:p>
        </w:tc>
        <w:tc>
          <w:tcPr>
            <w:tcW w:w="1058" w:type="dxa"/>
            <w:tcBorders>
              <w:left w:val="nil"/>
              <w:bottom w:val="nil"/>
            </w:tcBorders>
            <w:shd w:val="clear" w:color="auto" w:fill="auto"/>
            <w:noWrap/>
            <w:vAlign w:val="center"/>
          </w:tcPr>
          <w:p w14:paraId="4497DB4D" w14:textId="77777777" w:rsidR="00B50D71" w:rsidRPr="00F50B1A" w:rsidRDefault="00B50D71" w:rsidP="002807AA">
            <w:pPr>
              <w:jc w:val="center"/>
              <w:rPr>
                <w:color w:val="000000" w:themeColor="text1"/>
                <w:sz w:val="22"/>
                <w:szCs w:val="22"/>
              </w:rPr>
            </w:pPr>
            <w:r w:rsidRPr="00F50B1A">
              <w:rPr>
                <w:color w:val="000000" w:themeColor="text1"/>
                <w:sz w:val="22"/>
                <w:szCs w:val="22"/>
              </w:rPr>
              <w:t>15.25</w:t>
            </w:r>
          </w:p>
        </w:tc>
        <w:tc>
          <w:tcPr>
            <w:tcW w:w="1170" w:type="dxa"/>
            <w:tcBorders>
              <w:bottom w:val="nil"/>
              <w:right w:val="nil"/>
            </w:tcBorders>
            <w:vAlign w:val="center"/>
          </w:tcPr>
          <w:p w14:paraId="10C4F79C" w14:textId="77777777" w:rsidR="00B50D71" w:rsidRPr="00F50B1A" w:rsidRDefault="00B50D71" w:rsidP="002807AA">
            <w:pPr>
              <w:jc w:val="center"/>
              <w:rPr>
                <w:color w:val="000000" w:themeColor="text1"/>
                <w:sz w:val="22"/>
                <w:szCs w:val="22"/>
              </w:rPr>
            </w:pPr>
            <w:r w:rsidRPr="00F50B1A">
              <w:rPr>
                <w:color w:val="000000" w:themeColor="text1"/>
                <w:sz w:val="22"/>
                <w:szCs w:val="22"/>
              </w:rPr>
              <w:t>14.94</w:t>
            </w:r>
          </w:p>
        </w:tc>
        <w:tc>
          <w:tcPr>
            <w:tcW w:w="2246" w:type="dxa"/>
            <w:tcBorders>
              <w:left w:val="nil"/>
              <w:bottom w:val="nil"/>
              <w:right w:val="nil"/>
            </w:tcBorders>
            <w:shd w:val="clear" w:color="auto" w:fill="auto"/>
            <w:noWrap/>
            <w:vAlign w:val="center"/>
          </w:tcPr>
          <w:p w14:paraId="6F5BDEF4" w14:textId="77777777" w:rsidR="00B50D71" w:rsidRPr="00F50B1A" w:rsidRDefault="00B50D71" w:rsidP="002807AA">
            <w:pPr>
              <w:jc w:val="center"/>
              <w:rPr>
                <w:color w:val="000000" w:themeColor="text1"/>
                <w:sz w:val="22"/>
                <w:szCs w:val="22"/>
              </w:rPr>
            </w:pPr>
            <w:r w:rsidRPr="00F50B1A">
              <w:rPr>
                <w:i/>
                <w:iCs/>
                <w:color w:val="000000" w:themeColor="text1"/>
                <w:sz w:val="22"/>
                <w:szCs w:val="22"/>
              </w:rPr>
              <w:t>t</w:t>
            </w:r>
            <w:r w:rsidRPr="00F50B1A">
              <w:rPr>
                <w:color w:val="000000" w:themeColor="text1"/>
                <w:sz w:val="22"/>
                <w:szCs w:val="22"/>
              </w:rPr>
              <w:t>(8492) = 6.03</w:t>
            </w:r>
            <w:r w:rsidRPr="00F50B1A">
              <w:rPr>
                <w:color w:val="000000" w:themeColor="text1"/>
                <w:sz w:val="22"/>
                <w:szCs w:val="22"/>
                <w:vertAlign w:val="superscript"/>
              </w:rPr>
              <w:t>***</w:t>
            </w:r>
          </w:p>
        </w:tc>
      </w:tr>
      <w:tr w:rsidR="00B50D71" w:rsidRPr="00235E0F" w14:paraId="03953ACA" w14:textId="77777777" w:rsidTr="002807AA">
        <w:trPr>
          <w:trHeight w:val="288"/>
        </w:trPr>
        <w:tc>
          <w:tcPr>
            <w:tcW w:w="1732" w:type="dxa"/>
            <w:tcBorders>
              <w:left w:val="nil"/>
              <w:bottom w:val="nil"/>
              <w:right w:val="nil"/>
            </w:tcBorders>
            <w:shd w:val="clear" w:color="auto" w:fill="auto"/>
            <w:vAlign w:val="center"/>
          </w:tcPr>
          <w:p w14:paraId="3C3C86B7" w14:textId="77777777" w:rsidR="00B50D71" w:rsidRPr="00F50B1A" w:rsidRDefault="00B50D71" w:rsidP="002807AA">
            <w:pPr>
              <w:rPr>
                <w:color w:val="000000" w:themeColor="text1"/>
                <w:sz w:val="22"/>
                <w:szCs w:val="22"/>
              </w:rPr>
            </w:pPr>
            <w:r w:rsidRPr="00F50B1A">
              <w:rPr>
                <w:color w:val="000000" w:themeColor="text1"/>
                <w:sz w:val="22"/>
                <w:szCs w:val="22"/>
              </w:rPr>
              <w:t>General Psychopathology</w:t>
            </w:r>
          </w:p>
        </w:tc>
        <w:tc>
          <w:tcPr>
            <w:tcW w:w="1058" w:type="dxa"/>
            <w:tcBorders>
              <w:left w:val="nil"/>
              <w:bottom w:val="nil"/>
              <w:right w:val="nil"/>
            </w:tcBorders>
            <w:shd w:val="clear" w:color="auto" w:fill="auto"/>
            <w:noWrap/>
            <w:vAlign w:val="center"/>
          </w:tcPr>
          <w:p w14:paraId="7908F1FE" w14:textId="77777777" w:rsidR="00B50D71" w:rsidRPr="00F50B1A" w:rsidRDefault="00B50D71" w:rsidP="002807AA">
            <w:pPr>
              <w:jc w:val="center"/>
              <w:rPr>
                <w:color w:val="000000" w:themeColor="text1"/>
                <w:sz w:val="22"/>
                <w:szCs w:val="22"/>
              </w:rPr>
            </w:pPr>
            <w:r w:rsidRPr="00F50B1A">
              <w:rPr>
                <w:color w:val="000000" w:themeColor="text1"/>
                <w:sz w:val="22"/>
                <w:szCs w:val="22"/>
              </w:rPr>
              <w:t>0.002</w:t>
            </w:r>
          </w:p>
        </w:tc>
        <w:tc>
          <w:tcPr>
            <w:tcW w:w="1170" w:type="dxa"/>
            <w:tcBorders>
              <w:left w:val="nil"/>
              <w:bottom w:val="nil"/>
              <w:right w:val="nil"/>
            </w:tcBorders>
            <w:shd w:val="clear" w:color="auto" w:fill="auto"/>
            <w:vAlign w:val="center"/>
          </w:tcPr>
          <w:p w14:paraId="6738A378" w14:textId="77777777" w:rsidR="00B50D71" w:rsidRPr="00F50B1A" w:rsidRDefault="00B50D71" w:rsidP="002807AA">
            <w:pPr>
              <w:jc w:val="center"/>
              <w:rPr>
                <w:color w:val="000000" w:themeColor="text1"/>
                <w:sz w:val="22"/>
                <w:szCs w:val="22"/>
              </w:rPr>
            </w:pPr>
            <w:r w:rsidRPr="00F50B1A">
              <w:rPr>
                <w:color w:val="000000" w:themeColor="text1"/>
                <w:sz w:val="22"/>
                <w:szCs w:val="22"/>
              </w:rPr>
              <w:t>0.065</w:t>
            </w:r>
          </w:p>
        </w:tc>
        <w:tc>
          <w:tcPr>
            <w:tcW w:w="2246" w:type="dxa"/>
            <w:tcBorders>
              <w:left w:val="nil"/>
              <w:bottom w:val="nil"/>
              <w:right w:val="nil"/>
            </w:tcBorders>
            <w:shd w:val="clear" w:color="auto" w:fill="auto"/>
            <w:noWrap/>
            <w:vAlign w:val="center"/>
          </w:tcPr>
          <w:p w14:paraId="02E418BA" w14:textId="77777777" w:rsidR="00B50D71" w:rsidRPr="00F50B1A" w:rsidRDefault="00B50D71" w:rsidP="002807AA">
            <w:pPr>
              <w:jc w:val="center"/>
              <w:rPr>
                <w:color w:val="000000" w:themeColor="text1"/>
                <w:sz w:val="22"/>
                <w:szCs w:val="22"/>
              </w:rPr>
            </w:pPr>
            <w:r w:rsidRPr="00F50B1A">
              <w:rPr>
                <w:i/>
                <w:iCs/>
                <w:color w:val="000000" w:themeColor="text1"/>
                <w:sz w:val="22"/>
                <w:szCs w:val="22"/>
              </w:rPr>
              <w:t>t</w:t>
            </w:r>
            <w:r w:rsidRPr="00F50B1A">
              <w:rPr>
                <w:color w:val="000000" w:themeColor="text1"/>
                <w:sz w:val="22"/>
                <w:szCs w:val="22"/>
              </w:rPr>
              <w:t>(8368) = 3.91</w:t>
            </w:r>
            <w:r w:rsidRPr="00F50B1A">
              <w:rPr>
                <w:color w:val="000000" w:themeColor="text1"/>
                <w:sz w:val="22"/>
                <w:szCs w:val="22"/>
                <w:vertAlign w:val="superscript"/>
              </w:rPr>
              <w:t>***</w:t>
            </w:r>
          </w:p>
        </w:tc>
      </w:tr>
      <w:tr w:rsidR="00B50D71" w:rsidRPr="00235E0F" w14:paraId="330BF9E1" w14:textId="77777777" w:rsidTr="002807AA">
        <w:trPr>
          <w:trHeight w:val="288"/>
        </w:trPr>
        <w:tc>
          <w:tcPr>
            <w:tcW w:w="1732" w:type="dxa"/>
            <w:tcBorders>
              <w:left w:val="nil"/>
              <w:bottom w:val="nil"/>
              <w:right w:val="nil"/>
            </w:tcBorders>
            <w:shd w:val="clear" w:color="auto" w:fill="auto"/>
            <w:vAlign w:val="center"/>
          </w:tcPr>
          <w:p w14:paraId="0EFD191A" w14:textId="77777777" w:rsidR="00B50D71" w:rsidRPr="00F50B1A" w:rsidRDefault="00B50D71" w:rsidP="002807AA">
            <w:pPr>
              <w:rPr>
                <w:color w:val="000000" w:themeColor="text1"/>
                <w:sz w:val="22"/>
                <w:szCs w:val="22"/>
              </w:rPr>
            </w:pPr>
            <w:r w:rsidRPr="00F50B1A">
              <w:rPr>
                <w:color w:val="000000" w:themeColor="text1"/>
                <w:sz w:val="22"/>
                <w:szCs w:val="22"/>
              </w:rPr>
              <w:t>General Environmental Stressor</w:t>
            </w:r>
          </w:p>
        </w:tc>
        <w:tc>
          <w:tcPr>
            <w:tcW w:w="1058" w:type="dxa"/>
            <w:tcBorders>
              <w:left w:val="nil"/>
              <w:bottom w:val="single" w:sz="8" w:space="0" w:color="auto"/>
              <w:right w:val="nil"/>
            </w:tcBorders>
            <w:shd w:val="clear" w:color="auto" w:fill="auto"/>
            <w:noWrap/>
            <w:vAlign w:val="center"/>
          </w:tcPr>
          <w:p w14:paraId="1EB8AA05" w14:textId="77777777" w:rsidR="00B50D71" w:rsidRPr="00F50B1A" w:rsidRDefault="00B50D71" w:rsidP="002807AA">
            <w:pPr>
              <w:jc w:val="center"/>
              <w:rPr>
                <w:color w:val="000000" w:themeColor="text1"/>
                <w:sz w:val="22"/>
                <w:szCs w:val="22"/>
              </w:rPr>
            </w:pPr>
            <w:r w:rsidRPr="00F50B1A">
              <w:rPr>
                <w:color w:val="000000" w:themeColor="text1"/>
                <w:sz w:val="22"/>
                <w:szCs w:val="22"/>
              </w:rPr>
              <w:t>-0.499</w:t>
            </w:r>
          </w:p>
        </w:tc>
        <w:tc>
          <w:tcPr>
            <w:tcW w:w="1170" w:type="dxa"/>
            <w:tcBorders>
              <w:left w:val="nil"/>
              <w:bottom w:val="single" w:sz="8" w:space="0" w:color="auto"/>
              <w:right w:val="nil"/>
            </w:tcBorders>
            <w:shd w:val="clear" w:color="auto" w:fill="auto"/>
            <w:vAlign w:val="center"/>
          </w:tcPr>
          <w:p w14:paraId="2D5F3328" w14:textId="77777777" w:rsidR="00B50D71" w:rsidRPr="00F50B1A" w:rsidRDefault="00B50D71" w:rsidP="002807AA">
            <w:pPr>
              <w:jc w:val="center"/>
              <w:rPr>
                <w:color w:val="000000" w:themeColor="text1"/>
                <w:sz w:val="22"/>
                <w:szCs w:val="22"/>
              </w:rPr>
            </w:pPr>
            <w:r w:rsidRPr="00F50B1A">
              <w:rPr>
                <w:color w:val="000000" w:themeColor="text1"/>
                <w:sz w:val="22"/>
                <w:szCs w:val="22"/>
              </w:rPr>
              <w:t>-0.283</w:t>
            </w:r>
          </w:p>
        </w:tc>
        <w:tc>
          <w:tcPr>
            <w:tcW w:w="2246" w:type="dxa"/>
            <w:tcBorders>
              <w:left w:val="nil"/>
              <w:bottom w:val="single" w:sz="8" w:space="0" w:color="auto"/>
              <w:right w:val="nil"/>
            </w:tcBorders>
            <w:shd w:val="clear" w:color="auto" w:fill="auto"/>
            <w:noWrap/>
            <w:vAlign w:val="center"/>
          </w:tcPr>
          <w:p w14:paraId="383A639B" w14:textId="77777777" w:rsidR="00B50D71" w:rsidRPr="00F50B1A" w:rsidRDefault="00B50D71" w:rsidP="002807AA">
            <w:pPr>
              <w:jc w:val="center"/>
              <w:rPr>
                <w:color w:val="000000" w:themeColor="text1"/>
                <w:sz w:val="22"/>
                <w:szCs w:val="22"/>
              </w:rPr>
            </w:pPr>
            <w:r w:rsidRPr="00F50B1A">
              <w:rPr>
                <w:i/>
                <w:iCs/>
                <w:color w:val="000000" w:themeColor="text1"/>
                <w:sz w:val="22"/>
                <w:szCs w:val="22"/>
              </w:rPr>
              <w:t>t</w:t>
            </w:r>
            <w:r w:rsidRPr="00F50B1A">
              <w:rPr>
                <w:color w:val="000000" w:themeColor="text1"/>
                <w:sz w:val="22"/>
                <w:szCs w:val="22"/>
              </w:rPr>
              <w:t>(8358) = 10.06</w:t>
            </w:r>
            <w:r w:rsidRPr="00F50B1A">
              <w:rPr>
                <w:color w:val="000000" w:themeColor="text1"/>
                <w:sz w:val="22"/>
                <w:szCs w:val="22"/>
                <w:vertAlign w:val="superscript"/>
              </w:rPr>
              <w:t>***</w:t>
            </w:r>
          </w:p>
        </w:tc>
      </w:tr>
      <w:tr w:rsidR="00B50D71" w:rsidRPr="00235E0F" w14:paraId="773CD023" w14:textId="77777777" w:rsidTr="002807AA">
        <w:trPr>
          <w:trHeight w:val="288"/>
        </w:trPr>
        <w:tc>
          <w:tcPr>
            <w:tcW w:w="1732" w:type="dxa"/>
            <w:tcBorders>
              <w:left w:val="nil"/>
              <w:bottom w:val="nil"/>
              <w:right w:val="nil"/>
            </w:tcBorders>
            <w:shd w:val="clear" w:color="auto" w:fill="auto"/>
            <w:vAlign w:val="center"/>
          </w:tcPr>
          <w:p w14:paraId="6D7DF052" w14:textId="77777777" w:rsidR="00B50D71" w:rsidRPr="00F50B1A" w:rsidRDefault="00B50D71" w:rsidP="002807AA">
            <w:pPr>
              <w:rPr>
                <w:color w:val="000000" w:themeColor="text1"/>
                <w:sz w:val="22"/>
                <w:szCs w:val="22"/>
                <w:u w:val="single"/>
              </w:rPr>
            </w:pPr>
          </w:p>
        </w:tc>
        <w:tc>
          <w:tcPr>
            <w:tcW w:w="2228" w:type="dxa"/>
            <w:gridSpan w:val="2"/>
            <w:tcBorders>
              <w:left w:val="nil"/>
              <w:bottom w:val="nil"/>
              <w:right w:val="nil"/>
            </w:tcBorders>
            <w:shd w:val="clear" w:color="auto" w:fill="auto"/>
            <w:noWrap/>
            <w:vAlign w:val="center"/>
          </w:tcPr>
          <w:p w14:paraId="137973DA" w14:textId="77777777" w:rsidR="00B50D71" w:rsidRPr="00F50B1A" w:rsidRDefault="00B50D71" w:rsidP="002807AA">
            <w:pPr>
              <w:jc w:val="center"/>
              <w:rPr>
                <w:i/>
                <w:iCs/>
                <w:color w:val="000000" w:themeColor="text1"/>
                <w:sz w:val="22"/>
                <w:szCs w:val="22"/>
              </w:rPr>
            </w:pPr>
            <w:r w:rsidRPr="00F50B1A">
              <w:rPr>
                <w:i/>
                <w:iCs/>
                <w:color w:val="000000" w:themeColor="text1"/>
                <w:sz w:val="22"/>
                <w:szCs w:val="22"/>
              </w:rPr>
              <w:t>N</w:t>
            </w:r>
          </w:p>
        </w:tc>
        <w:tc>
          <w:tcPr>
            <w:tcW w:w="2250" w:type="dxa"/>
            <w:tcBorders>
              <w:top w:val="single" w:sz="8" w:space="0" w:color="auto"/>
              <w:left w:val="nil"/>
              <w:bottom w:val="single" w:sz="8" w:space="0" w:color="auto"/>
              <w:right w:val="nil"/>
            </w:tcBorders>
            <w:shd w:val="clear" w:color="auto" w:fill="auto"/>
            <w:noWrap/>
            <w:vAlign w:val="center"/>
          </w:tcPr>
          <w:p w14:paraId="355E21A0" w14:textId="77777777" w:rsidR="00B50D71" w:rsidRPr="00F50B1A" w:rsidRDefault="00B50D71" w:rsidP="002807AA">
            <w:pPr>
              <w:jc w:val="center"/>
              <w:rPr>
                <w:color w:val="000000" w:themeColor="text1"/>
                <w:sz w:val="22"/>
                <w:szCs w:val="22"/>
              </w:rPr>
            </w:pPr>
            <w:r w:rsidRPr="00F50B1A">
              <w:rPr>
                <w:color w:val="000000" w:themeColor="text1"/>
                <w:sz w:val="22"/>
                <w:szCs w:val="22"/>
              </w:rPr>
              <w:t>chi-squared test</w:t>
            </w:r>
          </w:p>
        </w:tc>
      </w:tr>
      <w:tr w:rsidR="00B50D71" w:rsidRPr="00235E0F" w14:paraId="7E2EA7CB" w14:textId="77777777" w:rsidTr="002807AA">
        <w:trPr>
          <w:trHeight w:val="288"/>
        </w:trPr>
        <w:tc>
          <w:tcPr>
            <w:tcW w:w="1732" w:type="dxa"/>
            <w:tcBorders>
              <w:left w:val="nil"/>
              <w:bottom w:val="nil"/>
              <w:right w:val="nil"/>
            </w:tcBorders>
            <w:shd w:val="clear" w:color="auto" w:fill="auto"/>
            <w:vAlign w:val="center"/>
            <w:hideMark/>
          </w:tcPr>
          <w:p w14:paraId="7309C6D2" w14:textId="77777777" w:rsidR="00B50D71" w:rsidRPr="00F50B1A" w:rsidRDefault="00B50D71" w:rsidP="002807AA">
            <w:pPr>
              <w:rPr>
                <w:color w:val="000000" w:themeColor="text1"/>
                <w:sz w:val="22"/>
                <w:szCs w:val="22"/>
                <w:u w:val="single"/>
              </w:rPr>
            </w:pPr>
            <w:r w:rsidRPr="00F50B1A">
              <w:rPr>
                <w:color w:val="000000" w:themeColor="text1"/>
                <w:sz w:val="22"/>
                <w:szCs w:val="22"/>
                <w:u w:val="single"/>
              </w:rPr>
              <w:t xml:space="preserve">Sex </w:t>
            </w:r>
          </w:p>
        </w:tc>
        <w:tc>
          <w:tcPr>
            <w:tcW w:w="1058" w:type="dxa"/>
            <w:tcBorders>
              <w:top w:val="single" w:sz="8" w:space="0" w:color="auto"/>
              <w:left w:val="nil"/>
              <w:bottom w:val="nil"/>
              <w:right w:val="nil"/>
            </w:tcBorders>
            <w:shd w:val="clear" w:color="auto" w:fill="auto"/>
            <w:noWrap/>
            <w:vAlign w:val="center"/>
            <w:hideMark/>
          </w:tcPr>
          <w:p w14:paraId="591D6D15" w14:textId="77777777" w:rsidR="00B50D71" w:rsidRPr="00F50B1A" w:rsidRDefault="00B50D71" w:rsidP="002807AA">
            <w:pPr>
              <w:jc w:val="center"/>
              <w:rPr>
                <w:color w:val="000000" w:themeColor="text1"/>
                <w:sz w:val="22"/>
                <w:szCs w:val="22"/>
                <w:u w:val="single"/>
              </w:rPr>
            </w:pPr>
          </w:p>
        </w:tc>
        <w:tc>
          <w:tcPr>
            <w:tcW w:w="1170" w:type="dxa"/>
            <w:tcBorders>
              <w:top w:val="single" w:sz="8" w:space="0" w:color="auto"/>
              <w:left w:val="nil"/>
              <w:bottom w:val="nil"/>
              <w:right w:val="nil"/>
            </w:tcBorders>
            <w:vAlign w:val="center"/>
          </w:tcPr>
          <w:p w14:paraId="58EEB623" w14:textId="77777777" w:rsidR="00B50D71" w:rsidRPr="00F50B1A" w:rsidRDefault="00B50D71" w:rsidP="002807AA">
            <w:pPr>
              <w:jc w:val="center"/>
              <w:rPr>
                <w:color w:val="000000" w:themeColor="text1"/>
                <w:sz w:val="22"/>
                <w:szCs w:val="22"/>
              </w:rPr>
            </w:pPr>
          </w:p>
        </w:tc>
        <w:tc>
          <w:tcPr>
            <w:tcW w:w="2246" w:type="dxa"/>
            <w:tcBorders>
              <w:top w:val="single" w:sz="8" w:space="0" w:color="auto"/>
              <w:left w:val="nil"/>
              <w:bottom w:val="nil"/>
              <w:right w:val="nil"/>
            </w:tcBorders>
            <w:shd w:val="clear" w:color="auto" w:fill="auto"/>
            <w:noWrap/>
            <w:vAlign w:val="center"/>
            <w:hideMark/>
          </w:tcPr>
          <w:p w14:paraId="58CE520D" w14:textId="77777777" w:rsidR="00B50D71" w:rsidRPr="00F50B1A" w:rsidRDefault="00B50D71" w:rsidP="002807AA">
            <w:pPr>
              <w:jc w:val="center"/>
              <w:rPr>
                <w:color w:val="000000" w:themeColor="text1"/>
                <w:sz w:val="22"/>
                <w:szCs w:val="22"/>
              </w:rPr>
            </w:pPr>
          </w:p>
        </w:tc>
      </w:tr>
      <w:tr w:rsidR="00B50D71" w:rsidRPr="00235E0F" w14:paraId="56CF34CD" w14:textId="77777777" w:rsidTr="002807AA">
        <w:trPr>
          <w:trHeight w:val="288"/>
        </w:trPr>
        <w:tc>
          <w:tcPr>
            <w:tcW w:w="1732" w:type="dxa"/>
            <w:tcBorders>
              <w:top w:val="nil"/>
              <w:left w:val="nil"/>
              <w:bottom w:val="nil"/>
              <w:right w:val="nil"/>
            </w:tcBorders>
            <w:shd w:val="clear" w:color="auto" w:fill="auto"/>
            <w:vAlign w:val="center"/>
            <w:hideMark/>
          </w:tcPr>
          <w:p w14:paraId="5EE8063D" w14:textId="77777777" w:rsidR="00B50D71" w:rsidRPr="00F50B1A" w:rsidRDefault="00B50D71" w:rsidP="002807AA">
            <w:pPr>
              <w:rPr>
                <w:color w:val="000000" w:themeColor="text1"/>
                <w:sz w:val="22"/>
                <w:szCs w:val="22"/>
              </w:rPr>
            </w:pPr>
            <w:r w:rsidRPr="00F50B1A">
              <w:rPr>
                <w:color w:val="000000" w:themeColor="text1"/>
                <w:sz w:val="22"/>
                <w:szCs w:val="22"/>
              </w:rPr>
              <w:t xml:space="preserve">     Female</w:t>
            </w:r>
          </w:p>
        </w:tc>
        <w:tc>
          <w:tcPr>
            <w:tcW w:w="1058" w:type="dxa"/>
            <w:tcBorders>
              <w:top w:val="nil"/>
              <w:left w:val="nil"/>
              <w:bottom w:val="nil"/>
              <w:right w:val="nil"/>
            </w:tcBorders>
            <w:shd w:val="clear" w:color="auto" w:fill="auto"/>
            <w:noWrap/>
            <w:vAlign w:val="center"/>
            <w:hideMark/>
          </w:tcPr>
          <w:p w14:paraId="064436CB" w14:textId="77777777" w:rsidR="00B50D71" w:rsidRPr="00F50B1A" w:rsidRDefault="00B50D71" w:rsidP="002807AA">
            <w:pPr>
              <w:jc w:val="center"/>
              <w:rPr>
                <w:color w:val="000000" w:themeColor="text1"/>
                <w:sz w:val="22"/>
                <w:szCs w:val="22"/>
              </w:rPr>
            </w:pPr>
            <w:r w:rsidRPr="00F50B1A">
              <w:rPr>
                <w:color w:val="000000" w:themeColor="text1"/>
                <w:sz w:val="22"/>
                <w:szCs w:val="22"/>
              </w:rPr>
              <w:t>2,061</w:t>
            </w:r>
          </w:p>
        </w:tc>
        <w:tc>
          <w:tcPr>
            <w:tcW w:w="1170" w:type="dxa"/>
            <w:tcBorders>
              <w:top w:val="nil"/>
              <w:left w:val="nil"/>
              <w:bottom w:val="nil"/>
              <w:right w:val="nil"/>
            </w:tcBorders>
            <w:vAlign w:val="center"/>
          </w:tcPr>
          <w:p w14:paraId="01F6BB0E" w14:textId="77777777" w:rsidR="00B50D71" w:rsidRPr="00F50B1A" w:rsidRDefault="00B50D71" w:rsidP="002807AA">
            <w:pPr>
              <w:jc w:val="center"/>
              <w:rPr>
                <w:color w:val="000000" w:themeColor="text1"/>
                <w:sz w:val="22"/>
                <w:szCs w:val="22"/>
              </w:rPr>
            </w:pPr>
            <w:r w:rsidRPr="00F50B1A">
              <w:rPr>
                <w:color w:val="000000" w:themeColor="text1"/>
                <w:sz w:val="22"/>
                <w:szCs w:val="22"/>
              </w:rPr>
              <w:t>3,573</w:t>
            </w:r>
          </w:p>
        </w:tc>
        <w:tc>
          <w:tcPr>
            <w:tcW w:w="2246" w:type="dxa"/>
            <w:vMerge w:val="restart"/>
            <w:tcBorders>
              <w:top w:val="nil"/>
              <w:left w:val="nil"/>
              <w:right w:val="nil"/>
            </w:tcBorders>
            <w:shd w:val="clear" w:color="auto" w:fill="auto"/>
            <w:noWrap/>
            <w:vAlign w:val="center"/>
            <w:hideMark/>
          </w:tcPr>
          <w:p w14:paraId="7172A920" w14:textId="77777777" w:rsidR="00B50D71" w:rsidRPr="00F50B1A" w:rsidRDefault="00B50D71" w:rsidP="002807AA">
            <w:pPr>
              <w:jc w:val="center"/>
              <w:rPr>
                <w:color w:val="000000" w:themeColor="text1"/>
                <w:sz w:val="22"/>
                <w:szCs w:val="22"/>
                <w:vertAlign w:val="superscript"/>
              </w:rPr>
            </w:pPr>
            <w:r w:rsidRPr="00F50B1A">
              <w:rPr>
                <w:color w:val="000000" w:themeColor="text1"/>
                <w:sz w:val="22"/>
                <w:szCs w:val="22"/>
              </w:rPr>
              <w:t>χ</w:t>
            </w:r>
            <w:r w:rsidRPr="00F50B1A">
              <w:rPr>
                <w:color w:val="000000" w:themeColor="text1"/>
                <w:sz w:val="22"/>
                <w:szCs w:val="22"/>
                <w:vertAlign w:val="superscript"/>
              </w:rPr>
              <w:t>2</w:t>
            </w:r>
            <w:r w:rsidRPr="00F50B1A">
              <w:rPr>
                <w:color w:val="000000" w:themeColor="text1"/>
                <w:sz w:val="22"/>
                <w:szCs w:val="22"/>
              </w:rPr>
              <w:t>(1, 11794) = 34.64</w:t>
            </w:r>
            <w:r w:rsidRPr="00F50B1A">
              <w:rPr>
                <w:color w:val="000000" w:themeColor="text1"/>
                <w:sz w:val="22"/>
                <w:szCs w:val="22"/>
                <w:vertAlign w:val="superscript"/>
              </w:rPr>
              <w:t>***</w:t>
            </w:r>
          </w:p>
        </w:tc>
      </w:tr>
      <w:tr w:rsidR="00B50D71" w:rsidRPr="00235E0F" w14:paraId="5DCED0F6" w14:textId="77777777" w:rsidTr="002807AA">
        <w:trPr>
          <w:trHeight w:val="288"/>
        </w:trPr>
        <w:tc>
          <w:tcPr>
            <w:tcW w:w="1732" w:type="dxa"/>
            <w:tcBorders>
              <w:top w:val="nil"/>
              <w:left w:val="nil"/>
              <w:bottom w:val="nil"/>
              <w:right w:val="nil"/>
            </w:tcBorders>
            <w:shd w:val="clear" w:color="auto" w:fill="auto"/>
            <w:vAlign w:val="center"/>
            <w:hideMark/>
          </w:tcPr>
          <w:p w14:paraId="662976E9" w14:textId="77777777" w:rsidR="00B50D71" w:rsidRPr="00F50B1A" w:rsidRDefault="00B50D71" w:rsidP="002807AA">
            <w:pPr>
              <w:rPr>
                <w:color w:val="000000" w:themeColor="text1"/>
                <w:sz w:val="22"/>
                <w:szCs w:val="22"/>
              </w:rPr>
            </w:pPr>
            <w:r w:rsidRPr="00F50B1A">
              <w:rPr>
                <w:color w:val="000000" w:themeColor="text1"/>
                <w:sz w:val="22"/>
                <w:szCs w:val="22"/>
              </w:rPr>
              <w:t xml:space="preserve">     Male</w:t>
            </w:r>
          </w:p>
        </w:tc>
        <w:tc>
          <w:tcPr>
            <w:tcW w:w="1058" w:type="dxa"/>
            <w:tcBorders>
              <w:top w:val="nil"/>
              <w:left w:val="nil"/>
              <w:bottom w:val="nil"/>
              <w:right w:val="nil"/>
            </w:tcBorders>
            <w:shd w:val="clear" w:color="auto" w:fill="auto"/>
            <w:noWrap/>
            <w:vAlign w:val="center"/>
            <w:hideMark/>
          </w:tcPr>
          <w:p w14:paraId="5FC3ABB3" w14:textId="77777777" w:rsidR="00B50D71" w:rsidRPr="00F50B1A" w:rsidRDefault="00B50D71" w:rsidP="002807AA">
            <w:pPr>
              <w:jc w:val="center"/>
              <w:rPr>
                <w:color w:val="000000" w:themeColor="text1"/>
                <w:sz w:val="22"/>
                <w:szCs w:val="22"/>
              </w:rPr>
            </w:pPr>
            <w:r w:rsidRPr="00F50B1A">
              <w:rPr>
                <w:color w:val="000000" w:themeColor="text1"/>
                <w:sz w:val="22"/>
                <w:szCs w:val="22"/>
              </w:rPr>
              <w:t>1,936</w:t>
            </w:r>
          </w:p>
        </w:tc>
        <w:tc>
          <w:tcPr>
            <w:tcW w:w="1170" w:type="dxa"/>
            <w:tcBorders>
              <w:top w:val="nil"/>
              <w:left w:val="nil"/>
              <w:bottom w:val="nil"/>
              <w:right w:val="nil"/>
            </w:tcBorders>
            <w:vAlign w:val="center"/>
          </w:tcPr>
          <w:p w14:paraId="709ED0CF" w14:textId="77777777" w:rsidR="00B50D71" w:rsidRPr="00F50B1A" w:rsidRDefault="00B50D71" w:rsidP="002807AA">
            <w:pPr>
              <w:jc w:val="center"/>
              <w:rPr>
                <w:color w:val="000000" w:themeColor="text1"/>
                <w:sz w:val="22"/>
                <w:szCs w:val="22"/>
              </w:rPr>
            </w:pPr>
            <w:r w:rsidRPr="00F50B1A">
              <w:rPr>
                <w:color w:val="000000" w:themeColor="text1"/>
                <w:sz w:val="22"/>
                <w:szCs w:val="22"/>
              </w:rPr>
              <w:t>4,224</w:t>
            </w:r>
          </w:p>
        </w:tc>
        <w:tc>
          <w:tcPr>
            <w:tcW w:w="2246" w:type="dxa"/>
            <w:vMerge/>
            <w:tcBorders>
              <w:left w:val="nil"/>
              <w:bottom w:val="nil"/>
              <w:right w:val="nil"/>
            </w:tcBorders>
            <w:shd w:val="clear" w:color="auto" w:fill="auto"/>
            <w:noWrap/>
            <w:vAlign w:val="center"/>
            <w:hideMark/>
          </w:tcPr>
          <w:p w14:paraId="17BD8CCA" w14:textId="77777777" w:rsidR="00B50D71" w:rsidRPr="00F50B1A" w:rsidRDefault="00B50D71" w:rsidP="002807AA">
            <w:pPr>
              <w:jc w:val="center"/>
              <w:rPr>
                <w:color w:val="000000" w:themeColor="text1"/>
                <w:sz w:val="22"/>
                <w:szCs w:val="22"/>
              </w:rPr>
            </w:pPr>
          </w:p>
        </w:tc>
      </w:tr>
      <w:tr w:rsidR="00B50D71" w:rsidRPr="00235E0F" w14:paraId="6EEAFD8A" w14:textId="77777777" w:rsidTr="002807AA">
        <w:trPr>
          <w:trHeight w:val="288"/>
        </w:trPr>
        <w:tc>
          <w:tcPr>
            <w:tcW w:w="1732" w:type="dxa"/>
            <w:tcBorders>
              <w:top w:val="nil"/>
              <w:left w:val="nil"/>
              <w:bottom w:val="nil"/>
              <w:right w:val="nil"/>
            </w:tcBorders>
            <w:shd w:val="clear" w:color="auto" w:fill="auto"/>
            <w:vAlign w:val="center"/>
            <w:hideMark/>
          </w:tcPr>
          <w:p w14:paraId="62335451" w14:textId="77777777" w:rsidR="00B50D71" w:rsidRPr="00F50B1A" w:rsidRDefault="00B50D71" w:rsidP="002807AA">
            <w:pPr>
              <w:rPr>
                <w:color w:val="000000" w:themeColor="text1"/>
                <w:sz w:val="22"/>
                <w:szCs w:val="22"/>
                <w:u w:val="single"/>
              </w:rPr>
            </w:pPr>
            <w:r w:rsidRPr="00F50B1A">
              <w:rPr>
                <w:color w:val="000000" w:themeColor="text1"/>
                <w:sz w:val="22"/>
                <w:szCs w:val="22"/>
                <w:u w:val="single"/>
              </w:rPr>
              <w:t>Race-Ethnicity</w:t>
            </w:r>
          </w:p>
        </w:tc>
        <w:tc>
          <w:tcPr>
            <w:tcW w:w="1058" w:type="dxa"/>
            <w:tcBorders>
              <w:top w:val="nil"/>
              <w:left w:val="nil"/>
              <w:bottom w:val="nil"/>
              <w:right w:val="nil"/>
            </w:tcBorders>
            <w:shd w:val="clear" w:color="auto" w:fill="auto"/>
            <w:noWrap/>
            <w:vAlign w:val="center"/>
            <w:hideMark/>
          </w:tcPr>
          <w:p w14:paraId="6636974B" w14:textId="77777777" w:rsidR="00B50D71" w:rsidRPr="00F50B1A" w:rsidRDefault="00B50D71" w:rsidP="002807AA">
            <w:pPr>
              <w:jc w:val="center"/>
              <w:rPr>
                <w:color w:val="000000" w:themeColor="text1"/>
                <w:sz w:val="22"/>
                <w:szCs w:val="22"/>
                <w:u w:val="single"/>
              </w:rPr>
            </w:pPr>
          </w:p>
        </w:tc>
        <w:tc>
          <w:tcPr>
            <w:tcW w:w="1170" w:type="dxa"/>
            <w:tcBorders>
              <w:top w:val="nil"/>
              <w:left w:val="nil"/>
              <w:bottom w:val="nil"/>
              <w:right w:val="nil"/>
            </w:tcBorders>
            <w:vAlign w:val="center"/>
          </w:tcPr>
          <w:p w14:paraId="5756F95A" w14:textId="77777777" w:rsidR="00B50D71" w:rsidRPr="00F50B1A" w:rsidRDefault="00B50D71" w:rsidP="002807AA">
            <w:pPr>
              <w:jc w:val="center"/>
              <w:rPr>
                <w:color w:val="000000" w:themeColor="text1"/>
                <w:sz w:val="22"/>
                <w:szCs w:val="22"/>
              </w:rPr>
            </w:pPr>
          </w:p>
        </w:tc>
        <w:tc>
          <w:tcPr>
            <w:tcW w:w="2246" w:type="dxa"/>
            <w:tcBorders>
              <w:top w:val="nil"/>
              <w:left w:val="nil"/>
              <w:bottom w:val="nil"/>
              <w:right w:val="nil"/>
            </w:tcBorders>
            <w:shd w:val="clear" w:color="auto" w:fill="auto"/>
            <w:noWrap/>
            <w:vAlign w:val="center"/>
            <w:hideMark/>
          </w:tcPr>
          <w:p w14:paraId="3EA8DB1F" w14:textId="77777777" w:rsidR="00B50D71" w:rsidRPr="00F50B1A" w:rsidRDefault="00B50D71" w:rsidP="002807AA">
            <w:pPr>
              <w:jc w:val="center"/>
              <w:rPr>
                <w:color w:val="000000" w:themeColor="text1"/>
                <w:sz w:val="22"/>
                <w:szCs w:val="22"/>
              </w:rPr>
            </w:pPr>
          </w:p>
        </w:tc>
      </w:tr>
      <w:tr w:rsidR="00B50D71" w:rsidRPr="00235E0F" w14:paraId="5E03A8F4" w14:textId="77777777" w:rsidTr="002807AA">
        <w:trPr>
          <w:trHeight w:val="288"/>
        </w:trPr>
        <w:tc>
          <w:tcPr>
            <w:tcW w:w="1732" w:type="dxa"/>
            <w:tcBorders>
              <w:top w:val="nil"/>
              <w:left w:val="nil"/>
              <w:bottom w:val="nil"/>
              <w:right w:val="nil"/>
            </w:tcBorders>
            <w:shd w:val="clear" w:color="auto" w:fill="auto"/>
            <w:vAlign w:val="center"/>
            <w:hideMark/>
          </w:tcPr>
          <w:p w14:paraId="480D89B3" w14:textId="77777777" w:rsidR="00B50D71" w:rsidRPr="00F50B1A" w:rsidRDefault="00B50D71" w:rsidP="002807AA">
            <w:pPr>
              <w:rPr>
                <w:color w:val="000000" w:themeColor="text1"/>
                <w:sz w:val="22"/>
                <w:szCs w:val="22"/>
              </w:rPr>
            </w:pPr>
            <w:r w:rsidRPr="00F50B1A">
              <w:rPr>
                <w:color w:val="000000" w:themeColor="text1"/>
                <w:sz w:val="22"/>
                <w:szCs w:val="22"/>
              </w:rPr>
              <w:t xml:space="preserve">     White</w:t>
            </w:r>
          </w:p>
        </w:tc>
        <w:tc>
          <w:tcPr>
            <w:tcW w:w="1058" w:type="dxa"/>
            <w:tcBorders>
              <w:top w:val="nil"/>
              <w:left w:val="nil"/>
              <w:bottom w:val="nil"/>
              <w:right w:val="nil"/>
            </w:tcBorders>
            <w:shd w:val="clear" w:color="auto" w:fill="auto"/>
            <w:noWrap/>
            <w:vAlign w:val="center"/>
            <w:hideMark/>
          </w:tcPr>
          <w:p w14:paraId="4A686787" w14:textId="77777777" w:rsidR="00B50D71" w:rsidRPr="00F50B1A" w:rsidRDefault="00B50D71" w:rsidP="002807AA">
            <w:pPr>
              <w:jc w:val="center"/>
              <w:rPr>
                <w:color w:val="000000" w:themeColor="text1"/>
                <w:sz w:val="22"/>
                <w:szCs w:val="22"/>
              </w:rPr>
            </w:pPr>
            <w:r w:rsidRPr="00F50B1A">
              <w:rPr>
                <w:color w:val="000000" w:themeColor="text1"/>
                <w:sz w:val="22"/>
                <w:szCs w:val="22"/>
              </w:rPr>
              <w:t>2,301</w:t>
            </w:r>
          </w:p>
        </w:tc>
        <w:tc>
          <w:tcPr>
            <w:tcW w:w="1170" w:type="dxa"/>
            <w:tcBorders>
              <w:top w:val="nil"/>
              <w:left w:val="nil"/>
              <w:bottom w:val="nil"/>
              <w:right w:val="nil"/>
            </w:tcBorders>
            <w:vAlign w:val="center"/>
          </w:tcPr>
          <w:p w14:paraId="2258752B" w14:textId="77777777" w:rsidR="00B50D71" w:rsidRPr="00F50B1A" w:rsidRDefault="00B50D71" w:rsidP="002807AA">
            <w:pPr>
              <w:jc w:val="center"/>
              <w:rPr>
                <w:color w:val="000000" w:themeColor="text1"/>
                <w:sz w:val="22"/>
                <w:szCs w:val="22"/>
              </w:rPr>
            </w:pPr>
            <w:r w:rsidRPr="00F50B1A">
              <w:rPr>
                <w:color w:val="000000" w:themeColor="text1"/>
                <w:sz w:val="22"/>
                <w:szCs w:val="22"/>
              </w:rPr>
              <w:t>1,696</w:t>
            </w:r>
          </w:p>
        </w:tc>
        <w:tc>
          <w:tcPr>
            <w:tcW w:w="2246" w:type="dxa"/>
            <w:tcBorders>
              <w:top w:val="nil"/>
              <w:left w:val="nil"/>
              <w:bottom w:val="nil"/>
              <w:right w:val="nil"/>
            </w:tcBorders>
            <w:shd w:val="clear" w:color="auto" w:fill="auto"/>
            <w:noWrap/>
            <w:vAlign w:val="center"/>
            <w:hideMark/>
          </w:tcPr>
          <w:p w14:paraId="3693C545" w14:textId="77777777" w:rsidR="00B50D71" w:rsidRPr="00F50B1A" w:rsidRDefault="00B50D71" w:rsidP="002807AA">
            <w:pPr>
              <w:jc w:val="center"/>
              <w:rPr>
                <w:color w:val="000000" w:themeColor="text1"/>
                <w:sz w:val="22"/>
                <w:szCs w:val="22"/>
                <w:vertAlign w:val="superscript"/>
              </w:rPr>
            </w:pPr>
            <w:r w:rsidRPr="00F50B1A">
              <w:rPr>
                <w:color w:val="000000" w:themeColor="text1"/>
                <w:sz w:val="22"/>
                <w:szCs w:val="22"/>
              </w:rPr>
              <w:t>χ</w:t>
            </w:r>
            <w:r w:rsidRPr="00F50B1A">
              <w:rPr>
                <w:color w:val="000000" w:themeColor="text1"/>
                <w:sz w:val="22"/>
                <w:szCs w:val="22"/>
                <w:vertAlign w:val="superscript"/>
              </w:rPr>
              <w:t>2</w:t>
            </w:r>
            <w:r w:rsidRPr="00F50B1A">
              <w:rPr>
                <w:color w:val="000000" w:themeColor="text1"/>
                <w:sz w:val="22"/>
                <w:szCs w:val="22"/>
              </w:rPr>
              <w:t>(1, 11794) = 71.37</w:t>
            </w:r>
            <w:r w:rsidRPr="00F50B1A">
              <w:rPr>
                <w:color w:val="000000" w:themeColor="text1"/>
                <w:sz w:val="22"/>
                <w:szCs w:val="22"/>
                <w:vertAlign w:val="superscript"/>
              </w:rPr>
              <w:t>***</w:t>
            </w:r>
          </w:p>
        </w:tc>
      </w:tr>
      <w:tr w:rsidR="00B50D71" w:rsidRPr="00235E0F" w14:paraId="2FE7D0F1" w14:textId="77777777" w:rsidTr="002807AA">
        <w:trPr>
          <w:trHeight w:val="288"/>
        </w:trPr>
        <w:tc>
          <w:tcPr>
            <w:tcW w:w="1732" w:type="dxa"/>
            <w:tcBorders>
              <w:top w:val="nil"/>
              <w:left w:val="nil"/>
              <w:bottom w:val="nil"/>
              <w:right w:val="nil"/>
            </w:tcBorders>
            <w:shd w:val="clear" w:color="auto" w:fill="auto"/>
            <w:vAlign w:val="center"/>
            <w:hideMark/>
          </w:tcPr>
          <w:p w14:paraId="4D757E05" w14:textId="77777777" w:rsidR="00B50D71" w:rsidRPr="00F50B1A" w:rsidRDefault="00B50D71" w:rsidP="002807AA">
            <w:pPr>
              <w:rPr>
                <w:color w:val="000000" w:themeColor="text1"/>
                <w:sz w:val="22"/>
                <w:szCs w:val="22"/>
              </w:rPr>
            </w:pPr>
            <w:r w:rsidRPr="00F50B1A">
              <w:rPr>
                <w:color w:val="000000" w:themeColor="text1"/>
                <w:sz w:val="22"/>
                <w:szCs w:val="22"/>
              </w:rPr>
              <w:t xml:space="preserve">     Hispanic</w:t>
            </w:r>
          </w:p>
        </w:tc>
        <w:tc>
          <w:tcPr>
            <w:tcW w:w="1058" w:type="dxa"/>
            <w:tcBorders>
              <w:top w:val="nil"/>
              <w:left w:val="nil"/>
              <w:bottom w:val="nil"/>
              <w:right w:val="nil"/>
            </w:tcBorders>
            <w:shd w:val="clear" w:color="auto" w:fill="auto"/>
            <w:noWrap/>
            <w:vAlign w:val="center"/>
            <w:hideMark/>
          </w:tcPr>
          <w:p w14:paraId="2F705671" w14:textId="77777777" w:rsidR="00B50D71" w:rsidRPr="00F50B1A" w:rsidRDefault="00B50D71" w:rsidP="002807AA">
            <w:pPr>
              <w:jc w:val="center"/>
              <w:rPr>
                <w:color w:val="000000" w:themeColor="text1"/>
                <w:sz w:val="22"/>
                <w:szCs w:val="22"/>
              </w:rPr>
            </w:pPr>
            <w:r w:rsidRPr="00F50B1A">
              <w:rPr>
                <w:color w:val="000000" w:themeColor="text1"/>
                <w:sz w:val="22"/>
                <w:szCs w:val="22"/>
              </w:rPr>
              <w:t>789</w:t>
            </w:r>
          </w:p>
        </w:tc>
        <w:tc>
          <w:tcPr>
            <w:tcW w:w="1170" w:type="dxa"/>
            <w:tcBorders>
              <w:top w:val="nil"/>
              <w:left w:val="nil"/>
              <w:bottom w:val="nil"/>
              <w:right w:val="nil"/>
            </w:tcBorders>
            <w:vAlign w:val="center"/>
          </w:tcPr>
          <w:p w14:paraId="03B0F19D" w14:textId="77777777" w:rsidR="00B50D71" w:rsidRPr="00F50B1A" w:rsidRDefault="00B50D71" w:rsidP="002807AA">
            <w:pPr>
              <w:jc w:val="center"/>
              <w:rPr>
                <w:color w:val="000000" w:themeColor="text1"/>
                <w:sz w:val="22"/>
                <w:szCs w:val="22"/>
              </w:rPr>
            </w:pPr>
            <w:r w:rsidRPr="00F50B1A">
              <w:rPr>
                <w:color w:val="000000" w:themeColor="text1"/>
                <w:sz w:val="22"/>
                <w:szCs w:val="22"/>
              </w:rPr>
              <w:t>3,208</w:t>
            </w:r>
          </w:p>
        </w:tc>
        <w:tc>
          <w:tcPr>
            <w:tcW w:w="2246" w:type="dxa"/>
            <w:tcBorders>
              <w:top w:val="nil"/>
              <w:left w:val="nil"/>
              <w:bottom w:val="nil"/>
              <w:right w:val="nil"/>
            </w:tcBorders>
            <w:shd w:val="clear" w:color="auto" w:fill="auto"/>
            <w:noWrap/>
            <w:vAlign w:val="center"/>
            <w:hideMark/>
          </w:tcPr>
          <w:p w14:paraId="3631CF3B" w14:textId="77777777" w:rsidR="00B50D71" w:rsidRPr="00F50B1A" w:rsidRDefault="00B50D71" w:rsidP="002807AA">
            <w:pPr>
              <w:jc w:val="center"/>
              <w:rPr>
                <w:i/>
                <w:iCs/>
                <w:color w:val="000000" w:themeColor="text1"/>
                <w:sz w:val="22"/>
                <w:szCs w:val="22"/>
                <w:vertAlign w:val="superscript"/>
              </w:rPr>
            </w:pPr>
            <w:r w:rsidRPr="00F50B1A">
              <w:rPr>
                <w:color w:val="000000" w:themeColor="text1"/>
                <w:sz w:val="22"/>
                <w:szCs w:val="22"/>
              </w:rPr>
              <w:t>χ</w:t>
            </w:r>
            <w:r w:rsidRPr="00F50B1A">
              <w:rPr>
                <w:color w:val="000000" w:themeColor="text1"/>
                <w:sz w:val="22"/>
                <w:szCs w:val="22"/>
                <w:vertAlign w:val="superscript"/>
              </w:rPr>
              <w:t>2</w:t>
            </w:r>
            <w:r w:rsidRPr="00F50B1A">
              <w:rPr>
                <w:color w:val="000000" w:themeColor="text1"/>
                <w:sz w:val="22"/>
                <w:szCs w:val="22"/>
              </w:rPr>
              <w:t>(1, 11794) = 1.33</w:t>
            </w:r>
            <w:r w:rsidRPr="00F50B1A">
              <w:rPr>
                <w:i/>
                <w:iCs/>
                <w:color w:val="000000" w:themeColor="text1"/>
                <w:sz w:val="22"/>
                <w:szCs w:val="22"/>
                <w:vertAlign w:val="superscript"/>
              </w:rPr>
              <w:t>ns</w:t>
            </w:r>
          </w:p>
        </w:tc>
      </w:tr>
      <w:tr w:rsidR="00B50D71" w:rsidRPr="00235E0F" w14:paraId="6778ADD6" w14:textId="77777777" w:rsidTr="002807AA">
        <w:trPr>
          <w:trHeight w:val="288"/>
        </w:trPr>
        <w:tc>
          <w:tcPr>
            <w:tcW w:w="1732" w:type="dxa"/>
            <w:tcBorders>
              <w:top w:val="nil"/>
              <w:left w:val="nil"/>
              <w:right w:val="nil"/>
            </w:tcBorders>
            <w:shd w:val="clear" w:color="auto" w:fill="auto"/>
            <w:vAlign w:val="center"/>
            <w:hideMark/>
          </w:tcPr>
          <w:p w14:paraId="6B478477" w14:textId="77777777" w:rsidR="00B50D71" w:rsidRPr="00F50B1A" w:rsidRDefault="00B50D71" w:rsidP="002807AA">
            <w:pPr>
              <w:rPr>
                <w:color w:val="000000" w:themeColor="text1"/>
                <w:sz w:val="22"/>
                <w:szCs w:val="22"/>
              </w:rPr>
            </w:pPr>
            <w:r w:rsidRPr="00F50B1A">
              <w:rPr>
                <w:color w:val="000000" w:themeColor="text1"/>
                <w:sz w:val="22"/>
                <w:szCs w:val="22"/>
              </w:rPr>
              <w:t xml:space="preserve">     Black</w:t>
            </w:r>
          </w:p>
        </w:tc>
        <w:tc>
          <w:tcPr>
            <w:tcW w:w="1058" w:type="dxa"/>
            <w:tcBorders>
              <w:top w:val="nil"/>
              <w:left w:val="nil"/>
              <w:right w:val="nil"/>
            </w:tcBorders>
            <w:shd w:val="clear" w:color="auto" w:fill="auto"/>
            <w:noWrap/>
            <w:vAlign w:val="center"/>
            <w:hideMark/>
          </w:tcPr>
          <w:p w14:paraId="31B1BE0B" w14:textId="77777777" w:rsidR="00B50D71" w:rsidRPr="00F50B1A" w:rsidRDefault="00B50D71" w:rsidP="002807AA">
            <w:pPr>
              <w:jc w:val="center"/>
              <w:rPr>
                <w:color w:val="000000" w:themeColor="text1"/>
                <w:sz w:val="22"/>
                <w:szCs w:val="22"/>
              </w:rPr>
            </w:pPr>
            <w:r w:rsidRPr="00F50B1A">
              <w:rPr>
                <w:color w:val="000000" w:themeColor="text1"/>
                <w:sz w:val="22"/>
                <w:szCs w:val="22"/>
              </w:rPr>
              <w:t>411</w:t>
            </w:r>
          </w:p>
        </w:tc>
        <w:tc>
          <w:tcPr>
            <w:tcW w:w="1170" w:type="dxa"/>
            <w:tcBorders>
              <w:top w:val="nil"/>
              <w:left w:val="nil"/>
              <w:right w:val="nil"/>
            </w:tcBorders>
            <w:vAlign w:val="center"/>
          </w:tcPr>
          <w:p w14:paraId="0AD48CBB" w14:textId="77777777" w:rsidR="00B50D71" w:rsidRPr="00F50B1A" w:rsidRDefault="00B50D71" w:rsidP="002807AA">
            <w:pPr>
              <w:jc w:val="center"/>
              <w:rPr>
                <w:color w:val="000000" w:themeColor="text1"/>
                <w:sz w:val="22"/>
                <w:szCs w:val="22"/>
              </w:rPr>
            </w:pPr>
            <w:r w:rsidRPr="00F50B1A">
              <w:rPr>
                <w:color w:val="000000" w:themeColor="text1"/>
                <w:sz w:val="22"/>
                <w:szCs w:val="22"/>
              </w:rPr>
              <w:t>3,586</w:t>
            </w:r>
          </w:p>
        </w:tc>
        <w:tc>
          <w:tcPr>
            <w:tcW w:w="2246" w:type="dxa"/>
            <w:tcBorders>
              <w:top w:val="nil"/>
              <w:left w:val="nil"/>
              <w:right w:val="nil"/>
            </w:tcBorders>
            <w:shd w:val="clear" w:color="auto" w:fill="auto"/>
            <w:noWrap/>
            <w:vAlign w:val="center"/>
            <w:hideMark/>
          </w:tcPr>
          <w:p w14:paraId="1727A885" w14:textId="77777777" w:rsidR="00B50D71" w:rsidRPr="00F50B1A" w:rsidRDefault="00B50D71" w:rsidP="002807AA">
            <w:pPr>
              <w:jc w:val="center"/>
              <w:rPr>
                <w:color w:val="000000" w:themeColor="text1"/>
                <w:sz w:val="22"/>
                <w:szCs w:val="22"/>
                <w:vertAlign w:val="superscript"/>
              </w:rPr>
            </w:pPr>
            <w:r w:rsidRPr="00F50B1A">
              <w:rPr>
                <w:color w:val="000000" w:themeColor="text1"/>
                <w:sz w:val="22"/>
                <w:szCs w:val="22"/>
              </w:rPr>
              <w:t>χ</w:t>
            </w:r>
            <w:r w:rsidRPr="00F50B1A">
              <w:rPr>
                <w:color w:val="000000" w:themeColor="text1"/>
                <w:sz w:val="22"/>
                <w:szCs w:val="22"/>
                <w:vertAlign w:val="superscript"/>
              </w:rPr>
              <w:t>2</w:t>
            </w:r>
            <w:r w:rsidRPr="00F50B1A">
              <w:rPr>
                <w:color w:val="000000" w:themeColor="text1"/>
                <w:sz w:val="22"/>
                <w:szCs w:val="22"/>
              </w:rPr>
              <w:t>(1, 11794) = 99.71</w:t>
            </w:r>
            <w:r w:rsidRPr="00F50B1A">
              <w:rPr>
                <w:color w:val="000000" w:themeColor="text1"/>
                <w:sz w:val="22"/>
                <w:szCs w:val="22"/>
                <w:vertAlign w:val="superscript"/>
              </w:rPr>
              <w:t>***</w:t>
            </w:r>
          </w:p>
        </w:tc>
      </w:tr>
      <w:tr w:rsidR="00B50D71" w:rsidRPr="00235E0F" w14:paraId="7D4E56E2" w14:textId="77777777" w:rsidTr="002807AA">
        <w:trPr>
          <w:trHeight w:val="288"/>
        </w:trPr>
        <w:tc>
          <w:tcPr>
            <w:tcW w:w="1732" w:type="dxa"/>
            <w:tcBorders>
              <w:top w:val="nil"/>
              <w:left w:val="nil"/>
              <w:bottom w:val="single" w:sz="18" w:space="0" w:color="auto"/>
              <w:right w:val="nil"/>
            </w:tcBorders>
            <w:shd w:val="clear" w:color="auto" w:fill="auto"/>
            <w:vAlign w:val="center"/>
            <w:hideMark/>
          </w:tcPr>
          <w:p w14:paraId="1BB1DB70" w14:textId="77777777" w:rsidR="00B50D71" w:rsidRPr="00F50B1A" w:rsidRDefault="00B50D71" w:rsidP="002807AA">
            <w:pPr>
              <w:rPr>
                <w:color w:val="000000" w:themeColor="text1"/>
                <w:sz w:val="22"/>
                <w:szCs w:val="22"/>
              </w:rPr>
            </w:pPr>
            <w:r w:rsidRPr="00F50B1A">
              <w:rPr>
                <w:color w:val="000000" w:themeColor="text1"/>
                <w:sz w:val="22"/>
                <w:szCs w:val="22"/>
              </w:rPr>
              <w:t xml:space="preserve">     Other</w:t>
            </w:r>
          </w:p>
        </w:tc>
        <w:tc>
          <w:tcPr>
            <w:tcW w:w="1058" w:type="dxa"/>
            <w:tcBorders>
              <w:top w:val="nil"/>
              <w:left w:val="nil"/>
              <w:bottom w:val="single" w:sz="18" w:space="0" w:color="auto"/>
              <w:right w:val="nil"/>
            </w:tcBorders>
            <w:shd w:val="clear" w:color="auto" w:fill="auto"/>
            <w:noWrap/>
            <w:vAlign w:val="center"/>
            <w:hideMark/>
          </w:tcPr>
          <w:p w14:paraId="113C125C" w14:textId="77777777" w:rsidR="00B50D71" w:rsidRPr="00F50B1A" w:rsidRDefault="00B50D71" w:rsidP="002807AA">
            <w:pPr>
              <w:jc w:val="center"/>
              <w:rPr>
                <w:color w:val="000000" w:themeColor="text1"/>
                <w:sz w:val="22"/>
                <w:szCs w:val="22"/>
              </w:rPr>
            </w:pPr>
            <w:r w:rsidRPr="00F50B1A">
              <w:rPr>
                <w:color w:val="000000" w:themeColor="text1"/>
                <w:sz w:val="22"/>
                <w:szCs w:val="22"/>
              </w:rPr>
              <w:t>496</w:t>
            </w:r>
          </w:p>
        </w:tc>
        <w:tc>
          <w:tcPr>
            <w:tcW w:w="1170" w:type="dxa"/>
            <w:tcBorders>
              <w:top w:val="nil"/>
              <w:left w:val="nil"/>
              <w:bottom w:val="single" w:sz="18" w:space="0" w:color="auto"/>
              <w:right w:val="nil"/>
            </w:tcBorders>
            <w:vAlign w:val="center"/>
          </w:tcPr>
          <w:p w14:paraId="48990F84" w14:textId="77777777" w:rsidR="00B50D71" w:rsidRPr="00F50B1A" w:rsidRDefault="00B50D71" w:rsidP="002807AA">
            <w:pPr>
              <w:jc w:val="center"/>
              <w:rPr>
                <w:color w:val="000000" w:themeColor="text1"/>
                <w:sz w:val="22"/>
                <w:szCs w:val="22"/>
              </w:rPr>
            </w:pPr>
            <w:r w:rsidRPr="00F50B1A">
              <w:rPr>
                <w:color w:val="000000" w:themeColor="text1"/>
                <w:sz w:val="22"/>
                <w:szCs w:val="22"/>
              </w:rPr>
              <w:t>3,501</w:t>
            </w:r>
          </w:p>
        </w:tc>
        <w:tc>
          <w:tcPr>
            <w:tcW w:w="2246" w:type="dxa"/>
            <w:tcBorders>
              <w:top w:val="nil"/>
              <w:left w:val="nil"/>
              <w:bottom w:val="single" w:sz="18" w:space="0" w:color="auto"/>
              <w:right w:val="nil"/>
            </w:tcBorders>
            <w:shd w:val="clear" w:color="auto" w:fill="auto"/>
            <w:noWrap/>
            <w:vAlign w:val="center"/>
            <w:hideMark/>
          </w:tcPr>
          <w:p w14:paraId="32F5085B" w14:textId="77777777" w:rsidR="00B50D71" w:rsidRPr="00F50B1A" w:rsidRDefault="00B50D71" w:rsidP="002807AA">
            <w:pPr>
              <w:jc w:val="center"/>
              <w:rPr>
                <w:i/>
                <w:iCs/>
                <w:color w:val="000000" w:themeColor="text1"/>
                <w:sz w:val="22"/>
                <w:szCs w:val="22"/>
              </w:rPr>
            </w:pPr>
            <w:r w:rsidRPr="00F50B1A">
              <w:rPr>
                <w:color w:val="000000" w:themeColor="text1"/>
                <w:sz w:val="22"/>
                <w:szCs w:val="22"/>
              </w:rPr>
              <w:t>χ</w:t>
            </w:r>
            <w:r w:rsidRPr="00F50B1A">
              <w:rPr>
                <w:color w:val="000000" w:themeColor="text1"/>
                <w:sz w:val="22"/>
                <w:szCs w:val="22"/>
                <w:vertAlign w:val="superscript"/>
              </w:rPr>
              <w:t>2</w:t>
            </w:r>
            <w:r w:rsidRPr="00F50B1A">
              <w:rPr>
                <w:color w:val="000000" w:themeColor="text1"/>
                <w:sz w:val="22"/>
                <w:szCs w:val="22"/>
              </w:rPr>
              <w:t>(1, 11794) = 0.31</w:t>
            </w:r>
            <w:r w:rsidRPr="00F50B1A">
              <w:rPr>
                <w:i/>
                <w:iCs/>
                <w:color w:val="000000" w:themeColor="text1"/>
                <w:sz w:val="22"/>
                <w:szCs w:val="22"/>
                <w:vertAlign w:val="superscript"/>
              </w:rPr>
              <w:t>ns</w:t>
            </w:r>
          </w:p>
        </w:tc>
      </w:tr>
    </w:tbl>
    <w:p w14:paraId="41681569" w14:textId="77777777" w:rsidR="00B50D71" w:rsidRDefault="00B50D71" w:rsidP="00B50D71">
      <w:pPr>
        <w:rPr>
          <w:sz w:val="22"/>
          <w:szCs w:val="22"/>
        </w:rPr>
      </w:pPr>
    </w:p>
    <w:p w14:paraId="510A39FB" w14:textId="77777777" w:rsidR="00B50D71" w:rsidRDefault="00B50D71" w:rsidP="00B50D71">
      <w:pPr>
        <w:rPr>
          <w:sz w:val="22"/>
          <w:szCs w:val="22"/>
        </w:rPr>
      </w:pPr>
      <w:r>
        <w:rPr>
          <w:sz w:val="22"/>
          <w:szCs w:val="22"/>
        </w:rPr>
        <w:br w:type="page"/>
      </w:r>
    </w:p>
    <w:p w14:paraId="105F2E0D" w14:textId="5659FC47" w:rsidR="00B50D71" w:rsidRPr="00F50B1A" w:rsidRDefault="00432B71" w:rsidP="00B50D71">
      <w:pPr>
        <w:pStyle w:val="Heading1"/>
        <w:rPr>
          <w:rFonts w:ascii="Times New Roman" w:hAnsi="Times New Roman" w:cs="Times New Roman"/>
          <w:color w:val="000000" w:themeColor="text1"/>
          <w:sz w:val="24"/>
          <w:szCs w:val="24"/>
        </w:rPr>
      </w:pPr>
      <w:bookmarkStart w:id="11" w:name="_Toc155817678"/>
      <w:r>
        <w:rPr>
          <w:rFonts w:ascii="Times New Roman" w:hAnsi="Times New Roman" w:cs="Times New Roman"/>
          <w:b/>
          <w:bCs/>
          <w:color w:val="000000" w:themeColor="text1"/>
          <w:sz w:val="24"/>
          <w:szCs w:val="24"/>
        </w:rPr>
        <w:lastRenderedPageBreak/>
        <w:t xml:space="preserve">Table </w:t>
      </w:r>
      <w:r w:rsidR="00B50D71" w:rsidRPr="00F50B1A">
        <w:rPr>
          <w:rFonts w:ascii="Times New Roman" w:hAnsi="Times New Roman" w:cs="Times New Roman"/>
          <w:b/>
          <w:bCs/>
          <w:color w:val="000000" w:themeColor="text1"/>
          <w:sz w:val="24"/>
          <w:szCs w:val="24"/>
        </w:rPr>
        <w:t>1b.</w:t>
      </w:r>
      <w:r w:rsidR="00B50D71" w:rsidRPr="00F50B1A">
        <w:rPr>
          <w:rFonts w:ascii="Times New Roman" w:hAnsi="Times New Roman" w:cs="Times New Roman"/>
          <w:color w:val="000000" w:themeColor="text1"/>
          <w:sz w:val="24"/>
          <w:szCs w:val="24"/>
        </w:rPr>
        <w:t xml:space="preserve"> Comparison of included and excluded subjects for the emotional n-back task</w:t>
      </w:r>
      <w:bookmarkEnd w:id="11"/>
    </w:p>
    <w:p w14:paraId="2E76505C" w14:textId="77777777" w:rsidR="00B50D71" w:rsidRDefault="00B50D71" w:rsidP="00B50D71">
      <w:pPr>
        <w:rPr>
          <w:sz w:val="22"/>
          <w:szCs w:val="22"/>
        </w:rPr>
      </w:pPr>
    </w:p>
    <w:tbl>
      <w:tblPr>
        <w:tblW w:w="6011" w:type="dxa"/>
        <w:tblLook w:val="04A0" w:firstRow="1" w:lastRow="0" w:firstColumn="1" w:lastColumn="0" w:noHBand="0" w:noVBand="1"/>
      </w:tblPr>
      <w:tblGrid>
        <w:gridCol w:w="1732"/>
        <w:gridCol w:w="986"/>
        <w:gridCol w:w="1047"/>
        <w:gridCol w:w="2246"/>
      </w:tblGrid>
      <w:tr w:rsidR="00B50D71" w:rsidRPr="00235E0F" w14:paraId="6C6C3D31" w14:textId="77777777" w:rsidTr="002807AA">
        <w:trPr>
          <w:trHeight w:val="320"/>
        </w:trPr>
        <w:tc>
          <w:tcPr>
            <w:tcW w:w="6011" w:type="dxa"/>
            <w:gridSpan w:val="4"/>
            <w:tcBorders>
              <w:top w:val="single" w:sz="18" w:space="0" w:color="auto"/>
              <w:left w:val="nil"/>
              <w:bottom w:val="single" w:sz="18" w:space="0" w:color="auto"/>
              <w:right w:val="nil"/>
            </w:tcBorders>
            <w:shd w:val="clear" w:color="auto" w:fill="auto"/>
            <w:noWrap/>
            <w:vAlign w:val="center"/>
            <w:hideMark/>
          </w:tcPr>
          <w:p w14:paraId="0BF5B6A3" w14:textId="77777777" w:rsidR="00B50D71" w:rsidRPr="009C186D" w:rsidRDefault="00B50D71" w:rsidP="002807AA">
            <w:pPr>
              <w:jc w:val="center"/>
              <w:rPr>
                <w:color w:val="000000" w:themeColor="text1"/>
                <w:sz w:val="22"/>
                <w:szCs w:val="22"/>
              </w:rPr>
            </w:pPr>
            <w:r w:rsidRPr="009C186D">
              <w:rPr>
                <w:color w:val="000000" w:themeColor="text1"/>
                <w:sz w:val="22"/>
                <w:szCs w:val="22"/>
              </w:rPr>
              <w:t>EN-Back</w:t>
            </w:r>
          </w:p>
        </w:tc>
      </w:tr>
      <w:tr w:rsidR="00B50D71" w:rsidRPr="00235E0F" w14:paraId="278B20E3" w14:textId="77777777" w:rsidTr="002807AA">
        <w:trPr>
          <w:trHeight w:val="340"/>
        </w:trPr>
        <w:tc>
          <w:tcPr>
            <w:tcW w:w="1732" w:type="dxa"/>
            <w:tcBorders>
              <w:top w:val="single" w:sz="18" w:space="0" w:color="auto"/>
              <w:left w:val="nil"/>
              <w:right w:val="nil"/>
            </w:tcBorders>
            <w:shd w:val="clear" w:color="auto" w:fill="auto"/>
            <w:vAlign w:val="center"/>
            <w:hideMark/>
          </w:tcPr>
          <w:p w14:paraId="0F746090" w14:textId="77777777" w:rsidR="00B50D71" w:rsidRPr="009C186D" w:rsidRDefault="00B50D71" w:rsidP="002807AA">
            <w:pPr>
              <w:rPr>
                <w:color w:val="000000" w:themeColor="text1"/>
                <w:sz w:val="22"/>
                <w:szCs w:val="22"/>
              </w:rPr>
            </w:pPr>
            <w:r w:rsidRPr="009C186D">
              <w:rPr>
                <w:color w:val="000000" w:themeColor="text1"/>
                <w:sz w:val="22"/>
                <w:szCs w:val="22"/>
              </w:rPr>
              <w:t xml:space="preserve">       </w:t>
            </w:r>
          </w:p>
        </w:tc>
        <w:tc>
          <w:tcPr>
            <w:tcW w:w="986" w:type="dxa"/>
            <w:tcBorders>
              <w:top w:val="single" w:sz="18" w:space="0" w:color="auto"/>
              <w:left w:val="nil"/>
              <w:bottom w:val="single" w:sz="8" w:space="0" w:color="auto"/>
              <w:right w:val="nil"/>
            </w:tcBorders>
            <w:shd w:val="clear" w:color="auto" w:fill="auto"/>
            <w:noWrap/>
            <w:vAlign w:val="center"/>
            <w:hideMark/>
          </w:tcPr>
          <w:p w14:paraId="7EA92D2E" w14:textId="77777777" w:rsidR="00B50D71" w:rsidRPr="009C186D" w:rsidRDefault="00B50D71" w:rsidP="002807AA">
            <w:pPr>
              <w:jc w:val="center"/>
              <w:rPr>
                <w:color w:val="000000" w:themeColor="text1"/>
                <w:sz w:val="22"/>
                <w:szCs w:val="22"/>
              </w:rPr>
            </w:pPr>
            <w:r w:rsidRPr="009C186D">
              <w:rPr>
                <w:color w:val="000000" w:themeColor="text1"/>
                <w:sz w:val="22"/>
                <w:szCs w:val="22"/>
              </w:rPr>
              <w:t>Included</w:t>
            </w:r>
          </w:p>
        </w:tc>
        <w:tc>
          <w:tcPr>
            <w:tcW w:w="1047" w:type="dxa"/>
            <w:tcBorders>
              <w:top w:val="single" w:sz="18" w:space="0" w:color="auto"/>
              <w:left w:val="nil"/>
              <w:bottom w:val="single" w:sz="8" w:space="0" w:color="auto"/>
              <w:right w:val="nil"/>
            </w:tcBorders>
            <w:vAlign w:val="center"/>
          </w:tcPr>
          <w:p w14:paraId="3B3738BE" w14:textId="77777777" w:rsidR="00B50D71" w:rsidRPr="009C186D" w:rsidRDefault="00B50D71" w:rsidP="002807AA">
            <w:pPr>
              <w:jc w:val="center"/>
              <w:rPr>
                <w:color w:val="000000" w:themeColor="text1"/>
                <w:sz w:val="22"/>
                <w:szCs w:val="22"/>
              </w:rPr>
            </w:pPr>
            <w:r w:rsidRPr="009C186D">
              <w:rPr>
                <w:color w:val="000000" w:themeColor="text1"/>
                <w:sz w:val="22"/>
                <w:szCs w:val="22"/>
              </w:rPr>
              <w:t>Excluded</w:t>
            </w:r>
          </w:p>
        </w:tc>
        <w:tc>
          <w:tcPr>
            <w:tcW w:w="2246" w:type="dxa"/>
            <w:tcBorders>
              <w:top w:val="single" w:sz="18" w:space="0" w:color="auto"/>
              <w:left w:val="nil"/>
              <w:bottom w:val="single" w:sz="8" w:space="0" w:color="auto"/>
              <w:right w:val="nil"/>
            </w:tcBorders>
            <w:shd w:val="clear" w:color="auto" w:fill="auto"/>
            <w:noWrap/>
            <w:vAlign w:val="center"/>
            <w:hideMark/>
          </w:tcPr>
          <w:p w14:paraId="5088B4C1" w14:textId="77777777" w:rsidR="00B50D71" w:rsidRPr="009C186D" w:rsidRDefault="00B50D71" w:rsidP="002807AA">
            <w:pPr>
              <w:jc w:val="center"/>
              <w:rPr>
                <w:color w:val="000000" w:themeColor="text1"/>
                <w:sz w:val="22"/>
                <w:szCs w:val="22"/>
              </w:rPr>
            </w:pPr>
            <w:r w:rsidRPr="009C186D">
              <w:rPr>
                <w:color w:val="000000" w:themeColor="text1"/>
                <w:sz w:val="22"/>
                <w:szCs w:val="22"/>
              </w:rPr>
              <w:t>Difference</w:t>
            </w:r>
          </w:p>
        </w:tc>
      </w:tr>
      <w:tr w:rsidR="00B50D71" w:rsidRPr="00235E0F" w14:paraId="5D4CEF40" w14:textId="77777777" w:rsidTr="002807AA">
        <w:trPr>
          <w:trHeight w:val="340"/>
        </w:trPr>
        <w:tc>
          <w:tcPr>
            <w:tcW w:w="1732" w:type="dxa"/>
            <w:tcBorders>
              <w:left w:val="nil"/>
              <w:right w:val="nil"/>
            </w:tcBorders>
            <w:shd w:val="clear" w:color="auto" w:fill="auto"/>
            <w:vAlign w:val="center"/>
          </w:tcPr>
          <w:p w14:paraId="1F7976F7" w14:textId="77777777" w:rsidR="00B50D71" w:rsidRPr="009C186D" w:rsidRDefault="00B50D71" w:rsidP="002807AA">
            <w:pPr>
              <w:rPr>
                <w:color w:val="000000" w:themeColor="text1"/>
                <w:sz w:val="22"/>
                <w:szCs w:val="22"/>
              </w:rPr>
            </w:pPr>
          </w:p>
        </w:tc>
        <w:tc>
          <w:tcPr>
            <w:tcW w:w="2033" w:type="dxa"/>
            <w:gridSpan w:val="2"/>
            <w:tcBorders>
              <w:left w:val="nil"/>
              <w:right w:val="nil"/>
            </w:tcBorders>
            <w:shd w:val="clear" w:color="auto" w:fill="auto"/>
            <w:noWrap/>
            <w:vAlign w:val="center"/>
          </w:tcPr>
          <w:p w14:paraId="11D594AF" w14:textId="77777777" w:rsidR="00B50D71" w:rsidRPr="009C186D" w:rsidRDefault="00B50D71" w:rsidP="002807AA">
            <w:pPr>
              <w:jc w:val="center"/>
              <w:rPr>
                <w:color w:val="000000" w:themeColor="text1"/>
                <w:sz w:val="22"/>
                <w:szCs w:val="22"/>
              </w:rPr>
            </w:pPr>
            <w:r w:rsidRPr="009C186D">
              <w:rPr>
                <w:color w:val="000000" w:themeColor="text1"/>
                <w:sz w:val="22"/>
                <w:szCs w:val="22"/>
              </w:rPr>
              <w:t>Mean</w:t>
            </w:r>
          </w:p>
        </w:tc>
        <w:tc>
          <w:tcPr>
            <w:tcW w:w="2246" w:type="dxa"/>
            <w:tcBorders>
              <w:top w:val="single" w:sz="8" w:space="0" w:color="auto"/>
              <w:left w:val="nil"/>
              <w:bottom w:val="single" w:sz="8" w:space="0" w:color="auto"/>
              <w:right w:val="nil"/>
            </w:tcBorders>
            <w:shd w:val="clear" w:color="auto" w:fill="auto"/>
            <w:noWrap/>
            <w:vAlign w:val="center"/>
          </w:tcPr>
          <w:p w14:paraId="49B5C4D5" w14:textId="77777777" w:rsidR="00B50D71" w:rsidRPr="009C186D" w:rsidRDefault="00B50D71" w:rsidP="002807AA">
            <w:pPr>
              <w:jc w:val="center"/>
              <w:rPr>
                <w:color w:val="000000" w:themeColor="text1"/>
                <w:sz w:val="22"/>
                <w:szCs w:val="22"/>
              </w:rPr>
            </w:pPr>
            <w:r w:rsidRPr="009C186D">
              <w:rPr>
                <w:color w:val="000000" w:themeColor="text1"/>
                <w:sz w:val="22"/>
                <w:szCs w:val="22"/>
              </w:rPr>
              <w:t>t-test</w:t>
            </w:r>
          </w:p>
        </w:tc>
      </w:tr>
      <w:tr w:rsidR="00B50D71" w:rsidRPr="00235E0F" w14:paraId="43930B4B" w14:textId="77777777" w:rsidTr="002807AA">
        <w:trPr>
          <w:trHeight w:val="340"/>
        </w:trPr>
        <w:tc>
          <w:tcPr>
            <w:tcW w:w="1732" w:type="dxa"/>
            <w:tcBorders>
              <w:left w:val="nil"/>
              <w:right w:val="nil"/>
            </w:tcBorders>
            <w:shd w:val="clear" w:color="auto" w:fill="auto"/>
            <w:vAlign w:val="center"/>
            <w:hideMark/>
          </w:tcPr>
          <w:p w14:paraId="6B835C37" w14:textId="77777777" w:rsidR="00B50D71" w:rsidRPr="009C186D" w:rsidRDefault="00B50D71" w:rsidP="002807AA">
            <w:pPr>
              <w:rPr>
                <w:color w:val="000000" w:themeColor="text1"/>
                <w:sz w:val="22"/>
                <w:szCs w:val="22"/>
              </w:rPr>
            </w:pPr>
            <w:r w:rsidRPr="009C186D">
              <w:rPr>
                <w:color w:val="000000" w:themeColor="text1"/>
                <w:sz w:val="22"/>
                <w:szCs w:val="22"/>
              </w:rPr>
              <w:t>Age (years)</w:t>
            </w:r>
          </w:p>
        </w:tc>
        <w:tc>
          <w:tcPr>
            <w:tcW w:w="986" w:type="dxa"/>
            <w:tcBorders>
              <w:top w:val="single" w:sz="8" w:space="0" w:color="auto"/>
              <w:left w:val="nil"/>
              <w:right w:val="nil"/>
            </w:tcBorders>
            <w:shd w:val="clear" w:color="auto" w:fill="auto"/>
            <w:noWrap/>
            <w:vAlign w:val="center"/>
            <w:hideMark/>
          </w:tcPr>
          <w:p w14:paraId="29758E63" w14:textId="77777777" w:rsidR="00B50D71" w:rsidRPr="009C186D" w:rsidRDefault="00B50D71" w:rsidP="002807AA">
            <w:pPr>
              <w:jc w:val="center"/>
              <w:rPr>
                <w:color w:val="000000" w:themeColor="text1"/>
                <w:sz w:val="22"/>
                <w:szCs w:val="22"/>
              </w:rPr>
            </w:pPr>
            <w:r w:rsidRPr="009C186D">
              <w:rPr>
                <w:color w:val="000000" w:themeColor="text1"/>
                <w:sz w:val="22"/>
                <w:szCs w:val="22"/>
              </w:rPr>
              <w:t>10.03</w:t>
            </w:r>
          </w:p>
        </w:tc>
        <w:tc>
          <w:tcPr>
            <w:tcW w:w="1047" w:type="dxa"/>
            <w:tcBorders>
              <w:top w:val="single" w:sz="8" w:space="0" w:color="auto"/>
              <w:left w:val="nil"/>
              <w:right w:val="nil"/>
            </w:tcBorders>
            <w:vAlign w:val="center"/>
          </w:tcPr>
          <w:p w14:paraId="1DE42EBA" w14:textId="77777777" w:rsidR="00B50D71" w:rsidRPr="009C186D" w:rsidRDefault="00B50D71" w:rsidP="002807AA">
            <w:pPr>
              <w:jc w:val="center"/>
              <w:rPr>
                <w:color w:val="000000" w:themeColor="text1"/>
                <w:sz w:val="22"/>
                <w:szCs w:val="22"/>
              </w:rPr>
            </w:pPr>
            <w:r w:rsidRPr="009C186D">
              <w:rPr>
                <w:color w:val="000000" w:themeColor="text1"/>
                <w:sz w:val="22"/>
                <w:szCs w:val="22"/>
              </w:rPr>
              <w:t>9.89</w:t>
            </w:r>
          </w:p>
        </w:tc>
        <w:tc>
          <w:tcPr>
            <w:tcW w:w="2246" w:type="dxa"/>
            <w:tcBorders>
              <w:top w:val="single" w:sz="8" w:space="0" w:color="auto"/>
              <w:left w:val="nil"/>
              <w:right w:val="nil"/>
            </w:tcBorders>
            <w:shd w:val="clear" w:color="auto" w:fill="auto"/>
            <w:noWrap/>
            <w:vAlign w:val="center"/>
            <w:hideMark/>
          </w:tcPr>
          <w:p w14:paraId="55E16957" w14:textId="77777777" w:rsidR="00B50D71" w:rsidRPr="009C186D" w:rsidRDefault="00B50D71" w:rsidP="002807AA">
            <w:pPr>
              <w:jc w:val="center"/>
              <w:rPr>
                <w:color w:val="000000" w:themeColor="text1"/>
                <w:sz w:val="22"/>
                <w:szCs w:val="22"/>
                <w:vertAlign w:val="superscript"/>
              </w:rPr>
            </w:pPr>
            <w:r w:rsidRPr="009C186D">
              <w:rPr>
                <w:i/>
                <w:iCs/>
                <w:color w:val="000000" w:themeColor="text1"/>
                <w:sz w:val="22"/>
                <w:szCs w:val="22"/>
              </w:rPr>
              <w:t>t</w:t>
            </w:r>
            <w:r w:rsidRPr="009C186D">
              <w:rPr>
                <w:color w:val="000000" w:themeColor="text1"/>
                <w:sz w:val="22"/>
                <w:szCs w:val="22"/>
              </w:rPr>
              <w:t>(2533) = 5.66</w:t>
            </w:r>
            <w:r w:rsidRPr="009C186D">
              <w:rPr>
                <w:color w:val="000000" w:themeColor="text1"/>
                <w:sz w:val="22"/>
                <w:szCs w:val="22"/>
                <w:vertAlign w:val="superscript"/>
              </w:rPr>
              <w:t>***</w:t>
            </w:r>
          </w:p>
        </w:tc>
      </w:tr>
      <w:tr w:rsidR="00B50D71" w:rsidRPr="00235E0F" w14:paraId="439ED6E1" w14:textId="77777777" w:rsidTr="002807AA">
        <w:trPr>
          <w:trHeight w:val="288"/>
        </w:trPr>
        <w:tc>
          <w:tcPr>
            <w:tcW w:w="1732" w:type="dxa"/>
            <w:tcBorders>
              <w:left w:val="nil"/>
              <w:bottom w:val="nil"/>
              <w:right w:val="nil"/>
            </w:tcBorders>
            <w:shd w:val="clear" w:color="auto" w:fill="auto"/>
            <w:vAlign w:val="center"/>
          </w:tcPr>
          <w:p w14:paraId="7B250A2B" w14:textId="77777777" w:rsidR="00B50D71" w:rsidRPr="009C186D" w:rsidRDefault="00B50D71" w:rsidP="002807AA">
            <w:pPr>
              <w:rPr>
                <w:color w:val="000000" w:themeColor="text1"/>
                <w:sz w:val="22"/>
                <w:szCs w:val="22"/>
              </w:rPr>
            </w:pPr>
            <w:r w:rsidRPr="009C186D">
              <w:rPr>
                <w:color w:val="000000" w:themeColor="text1"/>
                <w:sz w:val="22"/>
                <w:szCs w:val="22"/>
              </w:rPr>
              <w:t xml:space="preserve">Household Annual Income </w:t>
            </w:r>
          </w:p>
        </w:tc>
        <w:tc>
          <w:tcPr>
            <w:tcW w:w="986" w:type="dxa"/>
            <w:tcBorders>
              <w:left w:val="nil"/>
              <w:right w:val="nil"/>
            </w:tcBorders>
            <w:shd w:val="clear" w:color="auto" w:fill="auto"/>
            <w:noWrap/>
            <w:vAlign w:val="center"/>
          </w:tcPr>
          <w:p w14:paraId="5704103A" w14:textId="77777777" w:rsidR="00B50D71" w:rsidRPr="009C186D" w:rsidRDefault="00B50D71" w:rsidP="002807AA">
            <w:pPr>
              <w:jc w:val="center"/>
              <w:rPr>
                <w:color w:val="000000" w:themeColor="text1"/>
                <w:sz w:val="22"/>
                <w:szCs w:val="22"/>
              </w:rPr>
            </w:pPr>
            <w:r w:rsidRPr="009C186D">
              <w:rPr>
                <w:color w:val="000000" w:themeColor="text1"/>
                <w:sz w:val="22"/>
                <w:szCs w:val="22"/>
              </w:rPr>
              <w:t>7.74</w:t>
            </w:r>
          </w:p>
        </w:tc>
        <w:tc>
          <w:tcPr>
            <w:tcW w:w="1047" w:type="dxa"/>
            <w:tcBorders>
              <w:left w:val="nil"/>
              <w:right w:val="nil"/>
            </w:tcBorders>
            <w:vAlign w:val="center"/>
          </w:tcPr>
          <w:p w14:paraId="51EF5D9B" w14:textId="77777777" w:rsidR="00B50D71" w:rsidRPr="009C186D" w:rsidRDefault="00B50D71" w:rsidP="002807AA">
            <w:pPr>
              <w:jc w:val="center"/>
              <w:rPr>
                <w:color w:val="000000" w:themeColor="text1"/>
                <w:sz w:val="22"/>
                <w:szCs w:val="22"/>
              </w:rPr>
            </w:pPr>
            <w:r w:rsidRPr="009C186D">
              <w:rPr>
                <w:color w:val="000000" w:themeColor="text1"/>
                <w:sz w:val="22"/>
                <w:szCs w:val="22"/>
              </w:rPr>
              <w:t>7.13</w:t>
            </w:r>
          </w:p>
        </w:tc>
        <w:tc>
          <w:tcPr>
            <w:tcW w:w="2246" w:type="dxa"/>
            <w:tcBorders>
              <w:left w:val="nil"/>
              <w:bottom w:val="nil"/>
              <w:right w:val="nil"/>
            </w:tcBorders>
            <w:shd w:val="clear" w:color="auto" w:fill="auto"/>
            <w:noWrap/>
            <w:vAlign w:val="center"/>
          </w:tcPr>
          <w:p w14:paraId="66E6E9A9"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(2843) = 11.24</w:t>
            </w:r>
            <w:r w:rsidRPr="009C186D">
              <w:rPr>
                <w:color w:val="000000" w:themeColor="text1"/>
                <w:sz w:val="22"/>
                <w:szCs w:val="22"/>
                <w:vertAlign w:val="superscript"/>
              </w:rPr>
              <w:t>***</w:t>
            </w:r>
          </w:p>
        </w:tc>
      </w:tr>
      <w:tr w:rsidR="00B50D71" w:rsidRPr="00235E0F" w14:paraId="4354DAC0" w14:textId="77777777" w:rsidTr="002807AA">
        <w:trPr>
          <w:trHeight w:val="288"/>
        </w:trPr>
        <w:tc>
          <w:tcPr>
            <w:tcW w:w="1732" w:type="dxa"/>
            <w:tcBorders>
              <w:left w:val="nil"/>
              <w:bottom w:val="nil"/>
              <w:right w:val="nil"/>
            </w:tcBorders>
            <w:shd w:val="clear" w:color="auto" w:fill="auto"/>
            <w:vAlign w:val="center"/>
          </w:tcPr>
          <w:p w14:paraId="3FA65173" w14:textId="77777777" w:rsidR="00B50D71" w:rsidRPr="009C186D" w:rsidRDefault="00B50D71" w:rsidP="002807AA">
            <w:pPr>
              <w:rPr>
                <w:color w:val="000000" w:themeColor="text1"/>
                <w:sz w:val="22"/>
                <w:szCs w:val="22"/>
              </w:rPr>
            </w:pPr>
            <w:r w:rsidRPr="009C186D">
              <w:rPr>
                <w:color w:val="000000" w:themeColor="text1"/>
                <w:sz w:val="22"/>
                <w:szCs w:val="22"/>
              </w:rPr>
              <w:t>Parental Education</w:t>
            </w:r>
          </w:p>
        </w:tc>
        <w:tc>
          <w:tcPr>
            <w:tcW w:w="986" w:type="dxa"/>
            <w:tcBorders>
              <w:left w:val="nil"/>
              <w:bottom w:val="nil"/>
            </w:tcBorders>
            <w:shd w:val="clear" w:color="auto" w:fill="auto"/>
            <w:noWrap/>
            <w:vAlign w:val="center"/>
          </w:tcPr>
          <w:p w14:paraId="6A8F8F34" w14:textId="77777777" w:rsidR="00B50D71" w:rsidRPr="009C186D" w:rsidRDefault="00B50D71" w:rsidP="002807AA">
            <w:pPr>
              <w:jc w:val="center"/>
              <w:rPr>
                <w:color w:val="000000" w:themeColor="text1"/>
                <w:sz w:val="22"/>
                <w:szCs w:val="22"/>
              </w:rPr>
            </w:pPr>
            <w:r w:rsidRPr="009C186D">
              <w:rPr>
                <w:color w:val="000000" w:themeColor="text1"/>
                <w:sz w:val="22"/>
                <w:szCs w:val="22"/>
              </w:rPr>
              <w:t>15.48</w:t>
            </w:r>
          </w:p>
        </w:tc>
        <w:tc>
          <w:tcPr>
            <w:tcW w:w="1047" w:type="dxa"/>
            <w:tcBorders>
              <w:bottom w:val="nil"/>
              <w:right w:val="nil"/>
            </w:tcBorders>
            <w:vAlign w:val="center"/>
          </w:tcPr>
          <w:p w14:paraId="2075A359" w14:textId="77777777" w:rsidR="00B50D71" w:rsidRPr="009C186D" w:rsidRDefault="00B50D71" w:rsidP="002807AA">
            <w:pPr>
              <w:jc w:val="center"/>
              <w:rPr>
                <w:color w:val="000000" w:themeColor="text1"/>
                <w:sz w:val="22"/>
                <w:szCs w:val="22"/>
              </w:rPr>
            </w:pPr>
            <w:r w:rsidRPr="009C186D">
              <w:rPr>
                <w:color w:val="000000" w:themeColor="text1"/>
                <w:sz w:val="22"/>
                <w:szCs w:val="22"/>
              </w:rPr>
              <w:t>14.96</w:t>
            </w:r>
          </w:p>
        </w:tc>
        <w:tc>
          <w:tcPr>
            <w:tcW w:w="2246" w:type="dxa"/>
            <w:tcBorders>
              <w:left w:val="nil"/>
              <w:bottom w:val="nil"/>
              <w:right w:val="nil"/>
            </w:tcBorders>
            <w:shd w:val="clear" w:color="auto" w:fill="auto"/>
            <w:noWrap/>
            <w:vAlign w:val="center"/>
          </w:tcPr>
          <w:p w14:paraId="5C083E8F"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(2754) = 8.23</w:t>
            </w:r>
            <w:r w:rsidRPr="009C186D">
              <w:rPr>
                <w:color w:val="000000" w:themeColor="text1"/>
                <w:sz w:val="22"/>
                <w:szCs w:val="22"/>
                <w:vertAlign w:val="superscript"/>
              </w:rPr>
              <w:t>***</w:t>
            </w:r>
          </w:p>
        </w:tc>
      </w:tr>
      <w:tr w:rsidR="00B50D71" w:rsidRPr="00235E0F" w14:paraId="106607D4" w14:textId="77777777" w:rsidTr="002807AA">
        <w:trPr>
          <w:trHeight w:val="288"/>
        </w:trPr>
        <w:tc>
          <w:tcPr>
            <w:tcW w:w="1732" w:type="dxa"/>
            <w:tcBorders>
              <w:left w:val="nil"/>
              <w:bottom w:val="nil"/>
              <w:right w:val="nil"/>
            </w:tcBorders>
            <w:shd w:val="clear" w:color="auto" w:fill="auto"/>
            <w:vAlign w:val="center"/>
          </w:tcPr>
          <w:p w14:paraId="2958D9AF" w14:textId="77777777" w:rsidR="00B50D71" w:rsidRPr="009C186D" w:rsidRDefault="00B50D71" w:rsidP="002807AA">
            <w:pPr>
              <w:rPr>
                <w:color w:val="000000" w:themeColor="text1"/>
                <w:sz w:val="22"/>
                <w:szCs w:val="22"/>
              </w:rPr>
            </w:pPr>
            <w:r w:rsidRPr="009C186D">
              <w:rPr>
                <w:color w:val="000000" w:themeColor="text1"/>
                <w:sz w:val="22"/>
                <w:szCs w:val="22"/>
              </w:rPr>
              <w:t>General Psychopathology</w:t>
            </w:r>
          </w:p>
        </w:tc>
        <w:tc>
          <w:tcPr>
            <w:tcW w:w="986" w:type="dxa"/>
            <w:tcBorders>
              <w:left w:val="nil"/>
              <w:bottom w:val="nil"/>
              <w:right w:val="nil"/>
            </w:tcBorders>
            <w:shd w:val="clear" w:color="auto" w:fill="auto"/>
            <w:noWrap/>
            <w:vAlign w:val="center"/>
          </w:tcPr>
          <w:p w14:paraId="50A3D18F" w14:textId="77777777" w:rsidR="00B50D71" w:rsidRPr="009C186D" w:rsidRDefault="00B50D71" w:rsidP="002807AA">
            <w:pPr>
              <w:jc w:val="center"/>
              <w:rPr>
                <w:color w:val="000000" w:themeColor="text1"/>
                <w:sz w:val="22"/>
                <w:szCs w:val="22"/>
              </w:rPr>
            </w:pPr>
            <w:r w:rsidRPr="009C186D">
              <w:rPr>
                <w:color w:val="000000" w:themeColor="text1"/>
                <w:sz w:val="22"/>
                <w:szCs w:val="22"/>
              </w:rPr>
              <w:t>-0.037</w:t>
            </w:r>
          </w:p>
        </w:tc>
        <w:tc>
          <w:tcPr>
            <w:tcW w:w="1047" w:type="dxa"/>
            <w:tcBorders>
              <w:left w:val="nil"/>
              <w:bottom w:val="nil"/>
              <w:right w:val="nil"/>
            </w:tcBorders>
            <w:shd w:val="clear" w:color="auto" w:fill="auto"/>
            <w:vAlign w:val="center"/>
          </w:tcPr>
          <w:p w14:paraId="37AB43A0" w14:textId="77777777" w:rsidR="00B50D71" w:rsidRPr="009C186D" w:rsidRDefault="00B50D71" w:rsidP="002807AA">
            <w:pPr>
              <w:jc w:val="center"/>
              <w:rPr>
                <w:color w:val="000000" w:themeColor="text1"/>
                <w:sz w:val="22"/>
                <w:szCs w:val="22"/>
              </w:rPr>
            </w:pPr>
            <w:r w:rsidRPr="009C186D">
              <w:rPr>
                <w:color w:val="000000" w:themeColor="text1"/>
                <w:sz w:val="22"/>
                <w:szCs w:val="22"/>
              </w:rPr>
              <w:t>0.059</w:t>
            </w:r>
          </w:p>
        </w:tc>
        <w:tc>
          <w:tcPr>
            <w:tcW w:w="2246" w:type="dxa"/>
            <w:tcBorders>
              <w:left w:val="nil"/>
              <w:bottom w:val="nil"/>
              <w:right w:val="nil"/>
            </w:tcBorders>
            <w:shd w:val="clear" w:color="auto" w:fill="auto"/>
            <w:noWrap/>
            <w:vAlign w:val="center"/>
          </w:tcPr>
          <w:p w14:paraId="404E2173"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(2661) = 4.71</w:t>
            </w:r>
            <w:r w:rsidRPr="009C186D">
              <w:rPr>
                <w:color w:val="000000" w:themeColor="text1"/>
                <w:sz w:val="22"/>
                <w:szCs w:val="22"/>
                <w:vertAlign w:val="superscript"/>
              </w:rPr>
              <w:t>***</w:t>
            </w:r>
          </w:p>
        </w:tc>
      </w:tr>
      <w:tr w:rsidR="00B50D71" w:rsidRPr="00235E0F" w14:paraId="0D6596C1" w14:textId="77777777" w:rsidTr="002807AA">
        <w:trPr>
          <w:trHeight w:val="288"/>
        </w:trPr>
        <w:tc>
          <w:tcPr>
            <w:tcW w:w="1732" w:type="dxa"/>
            <w:tcBorders>
              <w:left w:val="nil"/>
              <w:bottom w:val="nil"/>
              <w:right w:val="nil"/>
            </w:tcBorders>
            <w:shd w:val="clear" w:color="auto" w:fill="auto"/>
            <w:vAlign w:val="center"/>
          </w:tcPr>
          <w:p w14:paraId="35471BB2" w14:textId="77777777" w:rsidR="00B50D71" w:rsidRPr="009C186D" w:rsidRDefault="00B50D71" w:rsidP="002807AA">
            <w:pPr>
              <w:rPr>
                <w:color w:val="000000" w:themeColor="text1"/>
                <w:sz w:val="22"/>
                <w:szCs w:val="22"/>
              </w:rPr>
            </w:pPr>
            <w:r w:rsidRPr="009C186D">
              <w:rPr>
                <w:color w:val="000000" w:themeColor="text1"/>
                <w:sz w:val="22"/>
                <w:szCs w:val="22"/>
              </w:rPr>
              <w:t>General Environmental Stressor</w:t>
            </w:r>
          </w:p>
        </w:tc>
        <w:tc>
          <w:tcPr>
            <w:tcW w:w="986" w:type="dxa"/>
            <w:tcBorders>
              <w:left w:val="nil"/>
              <w:bottom w:val="single" w:sz="8" w:space="0" w:color="auto"/>
              <w:right w:val="nil"/>
            </w:tcBorders>
            <w:shd w:val="clear" w:color="auto" w:fill="auto"/>
            <w:noWrap/>
            <w:vAlign w:val="center"/>
          </w:tcPr>
          <w:p w14:paraId="03FE40AD" w14:textId="77777777" w:rsidR="00B50D71" w:rsidRPr="009C186D" w:rsidRDefault="00B50D71" w:rsidP="002807AA">
            <w:pPr>
              <w:jc w:val="center"/>
              <w:rPr>
                <w:color w:val="000000" w:themeColor="text1"/>
                <w:sz w:val="22"/>
                <w:szCs w:val="22"/>
              </w:rPr>
            </w:pPr>
            <w:r w:rsidRPr="009C186D">
              <w:rPr>
                <w:color w:val="000000" w:themeColor="text1"/>
                <w:sz w:val="22"/>
                <w:szCs w:val="22"/>
              </w:rPr>
              <w:t>-0.608</w:t>
            </w:r>
          </w:p>
        </w:tc>
        <w:tc>
          <w:tcPr>
            <w:tcW w:w="1047" w:type="dxa"/>
            <w:tcBorders>
              <w:left w:val="nil"/>
              <w:bottom w:val="single" w:sz="8" w:space="0" w:color="auto"/>
              <w:right w:val="nil"/>
            </w:tcBorders>
            <w:shd w:val="clear" w:color="auto" w:fill="auto"/>
            <w:vAlign w:val="center"/>
          </w:tcPr>
          <w:p w14:paraId="4C03EB7D" w14:textId="77777777" w:rsidR="00B50D71" w:rsidRPr="009C186D" w:rsidRDefault="00B50D71" w:rsidP="002807AA">
            <w:pPr>
              <w:jc w:val="center"/>
              <w:rPr>
                <w:color w:val="000000" w:themeColor="text1"/>
                <w:sz w:val="22"/>
                <w:szCs w:val="22"/>
              </w:rPr>
            </w:pPr>
            <w:r w:rsidRPr="009C186D">
              <w:rPr>
                <w:color w:val="000000" w:themeColor="text1"/>
                <w:sz w:val="22"/>
                <w:szCs w:val="22"/>
              </w:rPr>
              <w:t>-0.310</w:t>
            </w:r>
          </w:p>
        </w:tc>
        <w:tc>
          <w:tcPr>
            <w:tcW w:w="2246" w:type="dxa"/>
            <w:tcBorders>
              <w:left w:val="nil"/>
              <w:bottom w:val="single" w:sz="8" w:space="0" w:color="auto"/>
              <w:right w:val="nil"/>
            </w:tcBorders>
            <w:shd w:val="clear" w:color="auto" w:fill="auto"/>
            <w:noWrap/>
            <w:vAlign w:val="center"/>
          </w:tcPr>
          <w:p w14:paraId="4D6DEE8E"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(2667) = 10.97</w:t>
            </w:r>
            <w:r w:rsidRPr="009C186D">
              <w:rPr>
                <w:color w:val="000000" w:themeColor="text1"/>
                <w:sz w:val="22"/>
                <w:szCs w:val="22"/>
                <w:vertAlign w:val="superscript"/>
              </w:rPr>
              <w:t>***</w:t>
            </w:r>
          </w:p>
        </w:tc>
      </w:tr>
      <w:tr w:rsidR="00B50D71" w:rsidRPr="00235E0F" w14:paraId="10AA375E" w14:textId="77777777" w:rsidTr="002807AA">
        <w:trPr>
          <w:trHeight w:val="288"/>
        </w:trPr>
        <w:tc>
          <w:tcPr>
            <w:tcW w:w="1732" w:type="dxa"/>
            <w:tcBorders>
              <w:left w:val="nil"/>
              <w:bottom w:val="nil"/>
              <w:right w:val="nil"/>
            </w:tcBorders>
            <w:shd w:val="clear" w:color="auto" w:fill="auto"/>
            <w:vAlign w:val="center"/>
          </w:tcPr>
          <w:p w14:paraId="0D552370" w14:textId="77777777" w:rsidR="00B50D71" w:rsidRPr="009C186D" w:rsidRDefault="00B50D71" w:rsidP="002807AA">
            <w:pPr>
              <w:rPr>
                <w:color w:val="000000" w:themeColor="text1"/>
                <w:sz w:val="22"/>
                <w:szCs w:val="22"/>
                <w:u w:val="single"/>
              </w:rPr>
            </w:pPr>
          </w:p>
        </w:tc>
        <w:tc>
          <w:tcPr>
            <w:tcW w:w="2033" w:type="dxa"/>
            <w:gridSpan w:val="2"/>
            <w:tcBorders>
              <w:left w:val="nil"/>
              <w:bottom w:val="nil"/>
              <w:right w:val="nil"/>
            </w:tcBorders>
            <w:shd w:val="clear" w:color="auto" w:fill="auto"/>
            <w:noWrap/>
            <w:vAlign w:val="center"/>
          </w:tcPr>
          <w:p w14:paraId="163D3171" w14:textId="77777777" w:rsidR="00B50D71" w:rsidRPr="009C186D" w:rsidRDefault="00B50D71" w:rsidP="002807AA">
            <w:pPr>
              <w:jc w:val="center"/>
              <w:rPr>
                <w:i/>
                <w:iCs/>
                <w:color w:val="000000" w:themeColor="text1"/>
                <w:sz w:val="22"/>
                <w:szCs w:val="22"/>
              </w:rPr>
            </w:pPr>
            <w:r w:rsidRPr="009C186D">
              <w:rPr>
                <w:i/>
                <w:iCs/>
                <w:color w:val="000000" w:themeColor="text1"/>
                <w:sz w:val="22"/>
                <w:szCs w:val="22"/>
              </w:rPr>
              <w:t>N</w:t>
            </w:r>
          </w:p>
        </w:tc>
        <w:tc>
          <w:tcPr>
            <w:tcW w:w="2246" w:type="dxa"/>
            <w:tcBorders>
              <w:top w:val="single" w:sz="8" w:space="0" w:color="auto"/>
              <w:left w:val="nil"/>
              <w:bottom w:val="single" w:sz="8" w:space="0" w:color="auto"/>
              <w:right w:val="nil"/>
            </w:tcBorders>
            <w:shd w:val="clear" w:color="auto" w:fill="auto"/>
            <w:noWrap/>
            <w:vAlign w:val="center"/>
          </w:tcPr>
          <w:p w14:paraId="449E86E7" w14:textId="77777777" w:rsidR="00B50D71" w:rsidRPr="009C186D" w:rsidRDefault="00B50D71" w:rsidP="002807AA">
            <w:pPr>
              <w:jc w:val="center"/>
              <w:rPr>
                <w:color w:val="000000" w:themeColor="text1"/>
                <w:sz w:val="22"/>
                <w:szCs w:val="22"/>
              </w:rPr>
            </w:pPr>
            <w:r w:rsidRPr="009C186D">
              <w:rPr>
                <w:color w:val="000000" w:themeColor="text1"/>
                <w:sz w:val="22"/>
                <w:szCs w:val="22"/>
              </w:rPr>
              <w:t>chi-squared test</w:t>
            </w:r>
          </w:p>
        </w:tc>
      </w:tr>
      <w:tr w:rsidR="00B50D71" w:rsidRPr="00235E0F" w14:paraId="2056CC9F" w14:textId="77777777" w:rsidTr="002807AA">
        <w:trPr>
          <w:trHeight w:val="288"/>
        </w:trPr>
        <w:tc>
          <w:tcPr>
            <w:tcW w:w="1732" w:type="dxa"/>
            <w:tcBorders>
              <w:left w:val="nil"/>
              <w:bottom w:val="nil"/>
              <w:right w:val="nil"/>
            </w:tcBorders>
            <w:shd w:val="clear" w:color="auto" w:fill="auto"/>
            <w:vAlign w:val="center"/>
            <w:hideMark/>
          </w:tcPr>
          <w:p w14:paraId="6D1AD6C1" w14:textId="77777777" w:rsidR="00B50D71" w:rsidRPr="009C186D" w:rsidRDefault="00B50D71" w:rsidP="002807AA">
            <w:pPr>
              <w:rPr>
                <w:color w:val="000000" w:themeColor="text1"/>
                <w:sz w:val="22"/>
                <w:szCs w:val="22"/>
                <w:u w:val="single"/>
              </w:rPr>
            </w:pPr>
            <w:r w:rsidRPr="009C186D">
              <w:rPr>
                <w:color w:val="000000" w:themeColor="text1"/>
                <w:sz w:val="22"/>
                <w:szCs w:val="22"/>
                <w:u w:val="single"/>
              </w:rPr>
              <w:t xml:space="preserve">Sex </w:t>
            </w:r>
          </w:p>
        </w:tc>
        <w:tc>
          <w:tcPr>
            <w:tcW w:w="986" w:type="dxa"/>
            <w:tcBorders>
              <w:top w:val="single" w:sz="8" w:space="0" w:color="auto"/>
              <w:left w:val="nil"/>
              <w:bottom w:val="nil"/>
              <w:right w:val="nil"/>
            </w:tcBorders>
            <w:shd w:val="clear" w:color="auto" w:fill="auto"/>
            <w:noWrap/>
            <w:vAlign w:val="center"/>
            <w:hideMark/>
          </w:tcPr>
          <w:p w14:paraId="39ADA080" w14:textId="77777777" w:rsidR="00B50D71" w:rsidRPr="009C186D" w:rsidRDefault="00B50D71" w:rsidP="002807AA">
            <w:pPr>
              <w:jc w:val="center"/>
              <w:rPr>
                <w:color w:val="000000" w:themeColor="text1"/>
                <w:sz w:val="22"/>
                <w:szCs w:val="22"/>
                <w:u w:val="single"/>
              </w:rPr>
            </w:pPr>
          </w:p>
        </w:tc>
        <w:tc>
          <w:tcPr>
            <w:tcW w:w="1047" w:type="dxa"/>
            <w:tcBorders>
              <w:top w:val="single" w:sz="8" w:space="0" w:color="auto"/>
              <w:left w:val="nil"/>
              <w:bottom w:val="nil"/>
              <w:right w:val="nil"/>
            </w:tcBorders>
            <w:vAlign w:val="center"/>
          </w:tcPr>
          <w:p w14:paraId="54F3280A" w14:textId="77777777" w:rsidR="00B50D71" w:rsidRPr="009C186D" w:rsidRDefault="00B50D71" w:rsidP="002807AA">
            <w:pPr>
              <w:jc w:val="center"/>
              <w:rPr>
                <w:color w:val="000000" w:themeColor="text1"/>
                <w:sz w:val="22"/>
                <w:szCs w:val="22"/>
              </w:rPr>
            </w:pPr>
          </w:p>
        </w:tc>
        <w:tc>
          <w:tcPr>
            <w:tcW w:w="2246" w:type="dxa"/>
            <w:tcBorders>
              <w:top w:val="single" w:sz="8" w:space="0" w:color="auto"/>
              <w:left w:val="nil"/>
              <w:bottom w:val="nil"/>
              <w:right w:val="nil"/>
            </w:tcBorders>
            <w:shd w:val="clear" w:color="auto" w:fill="auto"/>
            <w:noWrap/>
            <w:vAlign w:val="center"/>
            <w:hideMark/>
          </w:tcPr>
          <w:p w14:paraId="0F53E3CC" w14:textId="77777777" w:rsidR="00B50D71" w:rsidRPr="009C186D" w:rsidRDefault="00B50D71" w:rsidP="002807AA">
            <w:pPr>
              <w:jc w:val="center"/>
              <w:rPr>
                <w:color w:val="000000" w:themeColor="text1"/>
                <w:sz w:val="22"/>
                <w:szCs w:val="22"/>
              </w:rPr>
            </w:pPr>
          </w:p>
        </w:tc>
      </w:tr>
      <w:tr w:rsidR="00B50D71" w:rsidRPr="00235E0F" w14:paraId="4996A1ED" w14:textId="77777777" w:rsidTr="002807AA">
        <w:trPr>
          <w:trHeight w:val="288"/>
        </w:trPr>
        <w:tc>
          <w:tcPr>
            <w:tcW w:w="1732" w:type="dxa"/>
            <w:tcBorders>
              <w:top w:val="nil"/>
              <w:left w:val="nil"/>
              <w:bottom w:val="nil"/>
              <w:right w:val="nil"/>
            </w:tcBorders>
            <w:shd w:val="clear" w:color="auto" w:fill="auto"/>
            <w:vAlign w:val="center"/>
            <w:hideMark/>
          </w:tcPr>
          <w:p w14:paraId="3CF4BC7D" w14:textId="77777777" w:rsidR="00B50D71" w:rsidRPr="009C186D" w:rsidRDefault="00B50D71" w:rsidP="002807AA">
            <w:pPr>
              <w:rPr>
                <w:color w:val="000000" w:themeColor="text1"/>
                <w:sz w:val="22"/>
                <w:szCs w:val="22"/>
              </w:rPr>
            </w:pPr>
            <w:r w:rsidRPr="009C186D">
              <w:rPr>
                <w:color w:val="000000" w:themeColor="text1"/>
                <w:sz w:val="22"/>
                <w:szCs w:val="22"/>
              </w:rPr>
              <w:t xml:space="preserve">     Female</w:t>
            </w:r>
          </w:p>
        </w:tc>
        <w:tc>
          <w:tcPr>
            <w:tcW w:w="986" w:type="dxa"/>
            <w:tcBorders>
              <w:top w:val="nil"/>
              <w:left w:val="nil"/>
              <w:bottom w:val="nil"/>
              <w:right w:val="nil"/>
            </w:tcBorders>
            <w:shd w:val="clear" w:color="auto" w:fill="auto"/>
            <w:noWrap/>
            <w:vAlign w:val="center"/>
            <w:hideMark/>
          </w:tcPr>
          <w:p w14:paraId="13EFE141" w14:textId="77777777" w:rsidR="00B50D71" w:rsidRPr="009C186D" w:rsidRDefault="00B50D71" w:rsidP="002807AA">
            <w:pPr>
              <w:jc w:val="center"/>
              <w:rPr>
                <w:color w:val="000000" w:themeColor="text1"/>
                <w:sz w:val="22"/>
                <w:szCs w:val="22"/>
              </w:rPr>
            </w:pPr>
            <w:r w:rsidRPr="009C186D">
              <w:rPr>
                <w:color w:val="000000" w:themeColor="text1"/>
                <w:sz w:val="22"/>
                <w:szCs w:val="22"/>
              </w:rPr>
              <w:t>1,013</w:t>
            </w:r>
          </w:p>
        </w:tc>
        <w:tc>
          <w:tcPr>
            <w:tcW w:w="1047" w:type="dxa"/>
            <w:tcBorders>
              <w:top w:val="nil"/>
              <w:left w:val="nil"/>
              <w:bottom w:val="nil"/>
              <w:right w:val="nil"/>
            </w:tcBorders>
            <w:vAlign w:val="center"/>
          </w:tcPr>
          <w:p w14:paraId="74A125EB" w14:textId="77777777" w:rsidR="00B50D71" w:rsidRPr="009C186D" w:rsidRDefault="00B50D71" w:rsidP="002807AA">
            <w:pPr>
              <w:jc w:val="center"/>
              <w:rPr>
                <w:color w:val="000000" w:themeColor="text1"/>
                <w:sz w:val="22"/>
                <w:szCs w:val="22"/>
              </w:rPr>
            </w:pPr>
            <w:r w:rsidRPr="009C186D">
              <w:rPr>
                <w:color w:val="000000" w:themeColor="text1"/>
                <w:sz w:val="22"/>
                <w:szCs w:val="22"/>
              </w:rPr>
              <w:t>4,621</w:t>
            </w:r>
          </w:p>
        </w:tc>
        <w:tc>
          <w:tcPr>
            <w:tcW w:w="2246" w:type="dxa"/>
            <w:vMerge w:val="restart"/>
            <w:tcBorders>
              <w:top w:val="nil"/>
              <w:left w:val="nil"/>
              <w:right w:val="nil"/>
            </w:tcBorders>
            <w:shd w:val="clear" w:color="auto" w:fill="auto"/>
            <w:noWrap/>
            <w:vAlign w:val="center"/>
            <w:hideMark/>
          </w:tcPr>
          <w:p w14:paraId="6538A81F" w14:textId="77777777" w:rsidR="00B50D71" w:rsidRPr="009C186D" w:rsidRDefault="00B50D71" w:rsidP="002807AA">
            <w:pPr>
              <w:jc w:val="center"/>
              <w:rPr>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47.43</w:t>
            </w:r>
            <w:r w:rsidRPr="009C186D">
              <w:rPr>
                <w:color w:val="000000" w:themeColor="text1"/>
                <w:sz w:val="22"/>
                <w:szCs w:val="22"/>
                <w:vertAlign w:val="superscript"/>
              </w:rPr>
              <w:t>***</w:t>
            </w:r>
          </w:p>
        </w:tc>
      </w:tr>
      <w:tr w:rsidR="00B50D71" w:rsidRPr="00235E0F" w14:paraId="359BB095" w14:textId="77777777" w:rsidTr="002807AA">
        <w:trPr>
          <w:trHeight w:val="288"/>
        </w:trPr>
        <w:tc>
          <w:tcPr>
            <w:tcW w:w="1732" w:type="dxa"/>
            <w:tcBorders>
              <w:top w:val="nil"/>
              <w:left w:val="nil"/>
              <w:bottom w:val="nil"/>
              <w:right w:val="nil"/>
            </w:tcBorders>
            <w:shd w:val="clear" w:color="auto" w:fill="auto"/>
            <w:vAlign w:val="center"/>
            <w:hideMark/>
          </w:tcPr>
          <w:p w14:paraId="32CED3D2" w14:textId="77777777" w:rsidR="00B50D71" w:rsidRPr="009C186D" w:rsidRDefault="00B50D71" w:rsidP="002807AA">
            <w:pPr>
              <w:rPr>
                <w:color w:val="000000" w:themeColor="text1"/>
                <w:sz w:val="22"/>
                <w:szCs w:val="22"/>
              </w:rPr>
            </w:pPr>
            <w:r w:rsidRPr="009C186D">
              <w:rPr>
                <w:color w:val="000000" w:themeColor="text1"/>
                <w:sz w:val="22"/>
                <w:szCs w:val="22"/>
              </w:rPr>
              <w:t xml:space="preserve">     Male</w:t>
            </w:r>
          </w:p>
        </w:tc>
        <w:tc>
          <w:tcPr>
            <w:tcW w:w="986" w:type="dxa"/>
            <w:tcBorders>
              <w:top w:val="nil"/>
              <w:left w:val="nil"/>
              <w:bottom w:val="nil"/>
              <w:right w:val="nil"/>
            </w:tcBorders>
            <w:shd w:val="clear" w:color="auto" w:fill="auto"/>
            <w:noWrap/>
            <w:vAlign w:val="center"/>
            <w:hideMark/>
          </w:tcPr>
          <w:p w14:paraId="43A0E725" w14:textId="77777777" w:rsidR="00B50D71" w:rsidRPr="009C186D" w:rsidRDefault="00B50D71" w:rsidP="002807AA">
            <w:pPr>
              <w:jc w:val="center"/>
              <w:rPr>
                <w:color w:val="000000" w:themeColor="text1"/>
                <w:sz w:val="22"/>
                <w:szCs w:val="22"/>
              </w:rPr>
            </w:pPr>
            <w:r w:rsidRPr="009C186D">
              <w:rPr>
                <w:color w:val="000000" w:themeColor="text1"/>
                <w:sz w:val="22"/>
                <w:szCs w:val="22"/>
              </w:rPr>
              <w:t>823</w:t>
            </w:r>
          </w:p>
        </w:tc>
        <w:tc>
          <w:tcPr>
            <w:tcW w:w="1047" w:type="dxa"/>
            <w:tcBorders>
              <w:top w:val="nil"/>
              <w:left w:val="nil"/>
              <w:bottom w:val="nil"/>
              <w:right w:val="nil"/>
            </w:tcBorders>
            <w:vAlign w:val="center"/>
          </w:tcPr>
          <w:p w14:paraId="0ED057B4" w14:textId="77777777" w:rsidR="00B50D71" w:rsidRPr="009C186D" w:rsidRDefault="00B50D71" w:rsidP="002807AA">
            <w:pPr>
              <w:jc w:val="center"/>
              <w:rPr>
                <w:color w:val="000000" w:themeColor="text1"/>
                <w:sz w:val="22"/>
                <w:szCs w:val="22"/>
              </w:rPr>
            </w:pPr>
            <w:r w:rsidRPr="009C186D">
              <w:rPr>
                <w:color w:val="000000" w:themeColor="text1"/>
                <w:sz w:val="22"/>
                <w:szCs w:val="22"/>
              </w:rPr>
              <w:t>5,337</w:t>
            </w:r>
          </w:p>
        </w:tc>
        <w:tc>
          <w:tcPr>
            <w:tcW w:w="2246" w:type="dxa"/>
            <w:vMerge/>
            <w:tcBorders>
              <w:left w:val="nil"/>
              <w:bottom w:val="nil"/>
              <w:right w:val="nil"/>
            </w:tcBorders>
            <w:shd w:val="clear" w:color="auto" w:fill="auto"/>
            <w:noWrap/>
            <w:vAlign w:val="center"/>
            <w:hideMark/>
          </w:tcPr>
          <w:p w14:paraId="69C13F06" w14:textId="77777777" w:rsidR="00B50D71" w:rsidRPr="009C186D" w:rsidRDefault="00B50D71" w:rsidP="002807AA">
            <w:pPr>
              <w:jc w:val="center"/>
              <w:rPr>
                <w:color w:val="000000" w:themeColor="text1"/>
                <w:sz w:val="22"/>
                <w:szCs w:val="22"/>
              </w:rPr>
            </w:pPr>
          </w:p>
        </w:tc>
      </w:tr>
      <w:tr w:rsidR="00B50D71" w:rsidRPr="00235E0F" w14:paraId="0CDCDAB4" w14:textId="77777777" w:rsidTr="002807AA">
        <w:trPr>
          <w:trHeight w:val="288"/>
        </w:trPr>
        <w:tc>
          <w:tcPr>
            <w:tcW w:w="1732" w:type="dxa"/>
            <w:tcBorders>
              <w:top w:val="nil"/>
              <w:left w:val="nil"/>
              <w:bottom w:val="nil"/>
              <w:right w:val="nil"/>
            </w:tcBorders>
            <w:shd w:val="clear" w:color="auto" w:fill="auto"/>
            <w:vAlign w:val="center"/>
            <w:hideMark/>
          </w:tcPr>
          <w:p w14:paraId="30D21115" w14:textId="77777777" w:rsidR="00B50D71" w:rsidRPr="009C186D" w:rsidRDefault="00B50D71" w:rsidP="002807AA">
            <w:pPr>
              <w:rPr>
                <w:color w:val="000000" w:themeColor="text1"/>
                <w:sz w:val="22"/>
                <w:szCs w:val="22"/>
                <w:u w:val="single"/>
              </w:rPr>
            </w:pPr>
            <w:r w:rsidRPr="009C186D">
              <w:rPr>
                <w:color w:val="000000" w:themeColor="text1"/>
                <w:sz w:val="22"/>
                <w:szCs w:val="22"/>
                <w:u w:val="single"/>
              </w:rPr>
              <w:t>Race-Ethnicity</w:t>
            </w:r>
          </w:p>
        </w:tc>
        <w:tc>
          <w:tcPr>
            <w:tcW w:w="986" w:type="dxa"/>
            <w:tcBorders>
              <w:top w:val="nil"/>
              <w:left w:val="nil"/>
              <w:bottom w:val="nil"/>
              <w:right w:val="nil"/>
            </w:tcBorders>
            <w:shd w:val="clear" w:color="auto" w:fill="auto"/>
            <w:noWrap/>
            <w:vAlign w:val="center"/>
            <w:hideMark/>
          </w:tcPr>
          <w:p w14:paraId="05E61B03" w14:textId="77777777" w:rsidR="00B50D71" w:rsidRPr="009C186D" w:rsidRDefault="00B50D71" w:rsidP="002807AA">
            <w:pPr>
              <w:jc w:val="center"/>
              <w:rPr>
                <w:color w:val="000000" w:themeColor="text1"/>
                <w:sz w:val="22"/>
                <w:szCs w:val="22"/>
                <w:u w:val="single"/>
              </w:rPr>
            </w:pPr>
          </w:p>
        </w:tc>
        <w:tc>
          <w:tcPr>
            <w:tcW w:w="1047" w:type="dxa"/>
            <w:tcBorders>
              <w:top w:val="nil"/>
              <w:left w:val="nil"/>
              <w:bottom w:val="nil"/>
              <w:right w:val="nil"/>
            </w:tcBorders>
            <w:vAlign w:val="center"/>
          </w:tcPr>
          <w:p w14:paraId="67A70765" w14:textId="77777777" w:rsidR="00B50D71" w:rsidRPr="009C186D" w:rsidRDefault="00B50D71" w:rsidP="002807AA">
            <w:pPr>
              <w:jc w:val="center"/>
              <w:rPr>
                <w:color w:val="000000" w:themeColor="text1"/>
                <w:sz w:val="22"/>
                <w:szCs w:val="22"/>
              </w:rPr>
            </w:pPr>
          </w:p>
        </w:tc>
        <w:tc>
          <w:tcPr>
            <w:tcW w:w="2246" w:type="dxa"/>
            <w:tcBorders>
              <w:top w:val="nil"/>
              <w:left w:val="nil"/>
              <w:bottom w:val="nil"/>
              <w:right w:val="nil"/>
            </w:tcBorders>
            <w:shd w:val="clear" w:color="auto" w:fill="auto"/>
            <w:noWrap/>
            <w:vAlign w:val="center"/>
            <w:hideMark/>
          </w:tcPr>
          <w:p w14:paraId="0DD3AE92" w14:textId="77777777" w:rsidR="00B50D71" w:rsidRPr="009C186D" w:rsidRDefault="00B50D71" w:rsidP="002807AA">
            <w:pPr>
              <w:jc w:val="center"/>
              <w:rPr>
                <w:color w:val="000000" w:themeColor="text1"/>
                <w:sz w:val="22"/>
                <w:szCs w:val="22"/>
              </w:rPr>
            </w:pPr>
          </w:p>
        </w:tc>
      </w:tr>
      <w:tr w:rsidR="00B50D71" w:rsidRPr="00235E0F" w14:paraId="2A7CD513" w14:textId="77777777" w:rsidTr="002807AA">
        <w:trPr>
          <w:trHeight w:val="288"/>
        </w:trPr>
        <w:tc>
          <w:tcPr>
            <w:tcW w:w="1732" w:type="dxa"/>
            <w:tcBorders>
              <w:top w:val="nil"/>
              <w:left w:val="nil"/>
              <w:bottom w:val="nil"/>
              <w:right w:val="nil"/>
            </w:tcBorders>
            <w:shd w:val="clear" w:color="auto" w:fill="auto"/>
            <w:vAlign w:val="center"/>
            <w:hideMark/>
          </w:tcPr>
          <w:p w14:paraId="0FBEDFB2" w14:textId="77777777" w:rsidR="00B50D71" w:rsidRPr="009C186D" w:rsidRDefault="00B50D71" w:rsidP="002807AA">
            <w:pPr>
              <w:rPr>
                <w:color w:val="000000" w:themeColor="text1"/>
                <w:sz w:val="22"/>
                <w:szCs w:val="22"/>
              </w:rPr>
            </w:pPr>
            <w:r w:rsidRPr="009C186D">
              <w:rPr>
                <w:color w:val="000000" w:themeColor="text1"/>
                <w:sz w:val="22"/>
                <w:szCs w:val="22"/>
              </w:rPr>
              <w:t xml:space="preserve">     White</w:t>
            </w:r>
          </w:p>
        </w:tc>
        <w:tc>
          <w:tcPr>
            <w:tcW w:w="986" w:type="dxa"/>
            <w:tcBorders>
              <w:top w:val="nil"/>
              <w:left w:val="nil"/>
              <w:bottom w:val="nil"/>
              <w:right w:val="nil"/>
            </w:tcBorders>
            <w:shd w:val="clear" w:color="auto" w:fill="auto"/>
            <w:noWrap/>
            <w:vAlign w:val="center"/>
            <w:hideMark/>
          </w:tcPr>
          <w:p w14:paraId="28985AE6" w14:textId="77777777" w:rsidR="00B50D71" w:rsidRPr="009C186D" w:rsidRDefault="00B50D71" w:rsidP="002807AA">
            <w:pPr>
              <w:jc w:val="center"/>
              <w:rPr>
                <w:color w:val="000000" w:themeColor="text1"/>
                <w:sz w:val="22"/>
                <w:szCs w:val="22"/>
              </w:rPr>
            </w:pPr>
            <w:r w:rsidRPr="009C186D">
              <w:rPr>
                <w:color w:val="000000" w:themeColor="text1"/>
                <w:sz w:val="22"/>
                <w:szCs w:val="22"/>
              </w:rPr>
              <w:t>1,157</w:t>
            </w:r>
          </w:p>
        </w:tc>
        <w:tc>
          <w:tcPr>
            <w:tcW w:w="1047" w:type="dxa"/>
            <w:tcBorders>
              <w:top w:val="nil"/>
              <w:left w:val="nil"/>
              <w:bottom w:val="nil"/>
              <w:right w:val="nil"/>
            </w:tcBorders>
            <w:vAlign w:val="center"/>
          </w:tcPr>
          <w:p w14:paraId="77E3FBF9" w14:textId="77777777" w:rsidR="00B50D71" w:rsidRPr="009C186D" w:rsidRDefault="00B50D71" w:rsidP="002807AA">
            <w:pPr>
              <w:jc w:val="center"/>
              <w:rPr>
                <w:color w:val="000000" w:themeColor="text1"/>
                <w:sz w:val="22"/>
                <w:szCs w:val="22"/>
              </w:rPr>
            </w:pPr>
            <w:r w:rsidRPr="009C186D">
              <w:rPr>
                <w:color w:val="000000" w:themeColor="text1"/>
                <w:sz w:val="22"/>
                <w:szCs w:val="22"/>
              </w:rPr>
              <w:t>679</w:t>
            </w:r>
          </w:p>
        </w:tc>
        <w:tc>
          <w:tcPr>
            <w:tcW w:w="2246" w:type="dxa"/>
            <w:tcBorders>
              <w:top w:val="nil"/>
              <w:left w:val="nil"/>
              <w:bottom w:val="nil"/>
              <w:right w:val="nil"/>
            </w:tcBorders>
            <w:shd w:val="clear" w:color="auto" w:fill="auto"/>
            <w:noWrap/>
            <w:vAlign w:val="center"/>
            <w:hideMark/>
          </w:tcPr>
          <w:p w14:paraId="0046782C" w14:textId="77777777" w:rsidR="00B50D71" w:rsidRPr="009C186D" w:rsidRDefault="00B50D71" w:rsidP="002807AA">
            <w:pPr>
              <w:jc w:val="center"/>
              <w:rPr>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102.81</w:t>
            </w:r>
            <w:r w:rsidRPr="009C186D">
              <w:rPr>
                <w:color w:val="000000" w:themeColor="text1"/>
                <w:sz w:val="22"/>
                <w:szCs w:val="22"/>
                <w:vertAlign w:val="superscript"/>
              </w:rPr>
              <w:t>***</w:t>
            </w:r>
          </w:p>
        </w:tc>
      </w:tr>
      <w:tr w:rsidR="00B50D71" w:rsidRPr="00235E0F" w14:paraId="26C32A25" w14:textId="77777777" w:rsidTr="002807AA">
        <w:trPr>
          <w:trHeight w:val="288"/>
        </w:trPr>
        <w:tc>
          <w:tcPr>
            <w:tcW w:w="1732" w:type="dxa"/>
            <w:tcBorders>
              <w:top w:val="nil"/>
              <w:left w:val="nil"/>
              <w:bottom w:val="nil"/>
              <w:right w:val="nil"/>
            </w:tcBorders>
            <w:shd w:val="clear" w:color="auto" w:fill="auto"/>
            <w:vAlign w:val="center"/>
            <w:hideMark/>
          </w:tcPr>
          <w:p w14:paraId="12071060" w14:textId="77777777" w:rsidR="00B50D71" w:rsidRPr="009C186D" w:rsidRDefault="00B50D71" w:rsidP="002807AA">
            <w:pPr>
              <w:rPr>
                <w:color w:val="000000" w:themeColor="text1"/>
                <w:sz w:val="22"/>
                <w:szCs w:val="22"/>
              </w:rPr>
            </w:pPr>
            <w:r w:rsidRPr="009C186D">
              <w:rPr>
                <w:color w:val="000000" w:themeColor="text1"/>
                <w:sz w:val="22"/>
                <w:szCs w:val="22"/>
              </w:rPr>
              <w:t xml:space="preserve">     Hispanic</w:t>
            </w:r>
          </w:p>
        </w:tc>
        <w:tc>
          <w:tcPr>
            <w:tcW w:w="986" w:type="dxa"/>
            <w:tcBorders>
              <w:top w:val="nil"/>
              <w:left w:val="nil"/>
              <w:bottom w:val="nil"/>
              <w:right w:val="nil"/>
            </w:tcBorders>
            <w:shd w:val="clear" w:color="auto" w:fill="auto"/>
            <w:noWrap/>
            <w:vAlign w:val="center"/>
            <w:hideMark/>
          </w:tcPr>
          <w:p w14:paraId="340BE5E7" w14:textId="77777777" w:rsidR="00B50D71" w:rsidRPr="009C186D" w:rsidRDefault="00B50D71" w:rsidP="002807AA">
            <w:pPr>
              <w:jc w:val="center"/>
              <w:rPr>
                <w:color w:val="000000" w:themeColor="text1"/>
                <w:sz w:val="22"/>
                <w:szCs w:val="22"/>
              </w:rPr>
            </w:pPr>
            <w:r w:rsidRPr="009C186D">
              <w:rPr>
                <w:color w:val="000000" w:themeColor="text1"/>
                <w:sz w:val="22"/>
                <w:szCs w:val="22"/>
              </w:rPr>
              <w:t>323</w:t>
            </w:r>
          </w:p>
        </w:tc>
        <w:tc>
          <w:tcPr>
            <w:tcW w:w="1047" w:type="dxa"/>
            <w:tcBorders>
              <w:top w:val="nil"/>
              <w:left w:val="nil"/>
              <w:bottom w:val="nil"/>
              <w:right w:val="nil"/>
            </w:tcBorders>
            <w:vAlign w:val="center"/>
          </w:tcPr>
          <w:p w14:paraId="477F9D25" w14:textId="77777777" w:rsidR="00B50D71" w:rsidRPr="009C186D" w:rsidRDefault="00B50D71" w:rsidP="002807AA">
            <w:pPr>
              <w:jc w:val="center"/>
              <w:rPr>
                <w:color w:val="000000" w:themeColor="text1"/>
                <w:sz w:val="22"/>
                <w:szCs w:val="22"/>
              </w:rPr>
            </w:pPr>
            <w:r w:rsidRPr="009C186D">
              <w:rPr>
                <w:color w:val="000000" w:themeColor="text1"/>
                <w:sz w:val="22"/>
                <w:szCs w:val="22"/>
              </w:rPr>
              <w:t>1,513</w:t>
            </w:r>
          </w:p>
        </w:tc>
        <w:tc>
          <w:tcPr>
            <w:tcW w:w="2246" w:type="dxa"/>
            <w:tcBorders>
              <w:top w:val="nil"/>
              <w:left w:val="nil"/>
              <w:bottom w:val="nil"/>
              <w:right w:val="nil"/>
            </w:tcBorders>
            <w:shd w:val="clear" w:color="auto" w:fill="auto"/>
            <w:noWrap/>
            <w:vAlign w:val="center"/>
            <w:hideMark/>
          </w:tcPr>
          <w:p w14:paraId="05BC6033" w14:textId="77777777" w:rsidR="00B50D71" w:rsidRPr="009C186D" w:rsidRDefault="00B50D71" w:rsidP="002807AA">
            <w:pPr>
              <w:jc w:val="center"/>
              <w:rPr>
                <w:i/>
                <w:iCs/>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10.00</w:t>
            </w:r>
            <w:r w:rsidRPr="009C186D">
              <w:rPr>
                <w:color w:val="000000" w:themeColor="text1"/>
                <w:sz w:val="22"/>
                <w:szCs w:val="22"/>
                <w:vertAlign w:val="superscript"/>
              </w:rPr>
              <w:t>**</w:t>
            </w:r>
          </w:p>
        </w:tc>
      </w:tr>
      <w:tr w:rsidR="00B50D71" w:rsidRPr="00235E0F" w14:paraId="1CFF4752" w14:textId="77777777" w:rsidTr="002807AA">
        <w:trPr>
          <w:trHeight w:val="288"/>
        </w:trPr>
        <w:tc>
          <w:tcPr>
            <w:tcW w:w="1732" w:type="dxa"/>
            <w:tcBorders>
              <w:top w:val="nil"/>
              <w:left w:val="nil"/>
              <w:right w:val="nil"/>
            </w:tcBorders>
            <w:shd w:val="clear" w:color="auto" w:fill="auto"/>
            <w:vAlign w:val="center"/>
            <w:hideMark/>
          </w:tcPr>
          <w:p w14:paraId="283487F6" w14:textId="77777777" w:rsidR="00B50D71" w:rsidRPr="009C186D" w:rsidRDefault="00B50D71" w:rsidP="002807AA">
            <w:pPr>
              <w:rPr>
                <w:color w:val="000000" w:themeColor="text1"/>
                <w:sz w:val="22"/>
                <w:szCs w:val="22"/>
              </w:rPr>
            </w:pPr>
            <w:r w:rsidRPr="009C186D">
              <w:rPr>
                <w:color w:val="000000" w:themeColor="text1"/>
                <w:sz w:val="22"/>
                <w:szCs w:val="22"/>
              </w:rPr>
              <w:t xml:space="preserve">     Black</w:t>
            </w:r>
          </w:p>
        </w:tc>
        <w:tc>
          <w:tcPr>
            <w:tcW w:w="986" w:type="dxa"/>
            <w:tcBorders>
              <w:top w:val="nil"/>
              <w:left w:val="nil"/>
              <w:right w:val="nil"/>
            </w:tcBorders>
            <w:shd w:val="clear" w:color="auto" w:fill="auto"/>
            <w:noWrap/>
            <w:vAlign w:val="center"/>
            <w:hideMark/>
          </w:tcPr>
          <w:p w14:paraId="0250BCE4" w14:textId="77777777" w:rsidR="00B50D71" w:rsidRPr="009C186D" w:rsidRDefault="00B50D71" w:rsidP="002807AA">
            <w:pPr>
              <w:jc w:val="center"/>
              <w:rPr>
                <w:color w:val="000000" w:themeColor="text1"/>
                <w:sz w:val="22"/>
                <w:szCs w:val="22"/>
              </w:rPr>
            </w:pPr>
            <w:r w:rsidRPr="009C186D">
              <w:rPr>
                <w:color w:val="000000" w:themeColor="text1"/>
                <w:sz w:val="22"/>
                <w:szCs w:val="22"/>
              </w:rPr>
              <w:t>146</w:t>
            </w:r>
          </w:p>
        </w:tc>
        <w:tc>
          <w:tcPr>
            <w:tcW w:w="1047" w:type="dxa"/>
            <w:tcBorders>
              <w:top w:val="nil"/>
              <w:left w:val="nil"/>
              <w:right w:val="nil"/>
            </w:tcBorders>
            <w:vAlign w:val="center"/>
          </w:tcPr>
          <w:p w14:paraId="6E6B261B" w14:textId="77777777" w:rsidR="00B50D71" w:rsidRPr="009C186D" w:rsidRDefault="00B50D71" w:rsidP="002807AA">
            <w:pPr>
              <w:jc w:val="center"/>
              <w:rPr>
                <w:color w:val="000000" w:themeColor="text1"/>
                <w:sz w:val="22"/>
                <w:szCs w:val="22"/>
              </w:rPr>
            </w:pPr>
            <w:r w:rsidRPr="009C186D">
              <w:rPr>
                <w:color w:val="000000" w:themeColor="text1"/>
                <w:sz w:val="22"/>
                <w:szCs w:val="22"/>
              </w:rPr>
              <w:t>1,690</w:t>
            </w:r>
          </w:p>
        </w:tc>
        <w:tc>
          <w:tcPr>
            <w:tcW w:w="2246" w:type="dxa"/>
            <w:tcBorders>
              <w:top w:val="nil"/>
              <w:left w:val="nil"/>
              <w:right w:val="nil"/>
            </w:tcBorders>
            <w:shd w:val="clear" w:color="auto" w:fill="auto"/>
            <w:noWrap/>
            <w:vAlign w:val="center"/>
            <w:hideMark/>
          </w:tcPr>
          <w:p w14:paraId="1FA1CB41" w14:textId="77777777" w:rsidR="00B50D71" w:rsidRPr="009C186D" w:rsidRDefault="00B50D71" w:rsidP="002807AA">
            <w:pPr>
              <w:jc w:val="center"/>
              <w:rPr>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81.44</w:t>
            </w:r>
            <w:r w:rsidRPr="009C186D">
              <w:rPr>
                <w:color w:val="000000" w:themeColor="text1"/>
                <w:sz w:val="22"/>
                <w:szCs w:val="22"/>
                <w:vertAlign w:val="superscript"/>
              </w:rPr>
              <w:t>***</w:t>
            </w:r>
          </w:p>
        </w:tc>
      </w:tr>
      <w:tr w:rsidR="00B50D71" w:rsidRPr="00235E0F" w14:paraId="4F63635E" w14:textId="77777777" w:rsidTr="002807AA">
        <w:trPr>
          <w:trHeight w:val="288"/>
        </w:trPr>
        <w:tc>
          <w:tcPr>
            <w:tcW w:w="1732" w:type="dxa"/>
            <w:tcBorders>
              <w:top w:val="nil"/>
              <w:left w:val="nil"/>
              <w:bottom w:val="single" w:sz="18" w:space="0" w:color="auto"/>
              <w:right w:val="nil"/>
            </w:tcBorders>
            <w:shd w:val="clear" w:color="auto" w:fill="auto"/>
            <w:vAlign w:val="center"/>
            <w:hideMark/>
          </w:tcPr>
          <w:p w14:paraId="085FCBF1" w14:textId="77777777" w:rsidR="00B50D71" w:rsidRPr="009C186D" w:rsidRDefault="00B50D71" w:rsidP="002807AA">
            <w:pPr>
              <w:rPr>
                <w:color w:val="000000" w:themeColor="text1"/>
                <w:sz w:val="22"/>
                <w:szCs w:val="22"/>
              </w:rPr>
            </w:pPr>
            <w:r w:rsidRPr="009C186D">
              <w:rPr>
                <w:color w:val="000000" w:themeColor="text1"/>
                <w:sz w:val="22"/>
                <w:szCs w:val="22"/>
              </w:rPr>
              <w:t xml:space="preserve">     Other</w:t>
            </w:r>
          </w:p>
        </w:tc>
        <w:tc>
          <w:tcPr>
            <w:tcW w:w="986" w:type="dxa"/>
            <w:tcBorders>
              <w:top w:val="nil"/>
              <w:left w:val="nil"/>
              <w:bottom w:val="single" w:sz="18" w:space="0" w:color="auto"/>
              <w:right w:val="nil"/>
            </w:tcBorders>
            <w:shd w:val="clear" w:color="auto" w:fill="auto"/>
            <w:noWrap/>
            <w:vAlign w:val="center"/>
            <w:hideMark/>
          </w:tcPr>
          <w:p w14:paraId="5E1F8409" w14:textId="77777777" w:rsidR="00B50D71" w:rsidRPr="009C186D" w:rsidRDefault="00B50D71" w:rsidP="002807AA">
            <w:pPr>
              <w:jc w:val="center"/>
              <w:rPr>
                <w:color w:val="000000" w:themeColor="text1"/>
                <w:sz w:val="22"/>
                <w:szCs w:val="22"/>
              </w:rPr>
            </w:pPr>
            <w:r w:rsidRPr="009C186D">
              <w:rPr>
                <w:color w:val="000000" w:themeColor="text1"/>
                <w:sz w:val="22"/>
                <w:szCs w:val="22"/>
              </w:rPr>
              <w:t>210</w:t>
            </w:r>
          </w:p>
        </w:tc>
        <w:tc>
          <w:tcPr>
            <w:tcW w:w="1047" w:type="dxa"/>
            <w:tcBorders>
              <w:top w:val="nil"/>
              <w:left w:val="nil"/>
              <w:bottom w:val="single" w:sz="18" w:space="0" w:color="auto"/>
              <w:right w:val="nil"/>
            </w:tcBorders>
            <w:vAlign w:val="center"/>
          </w:tcPr>
          <w:p w14:paraId="7A1942E7" w14:textId="77777777" w:rsidR="00B50D71" w:rsidRPr="009C186D" w:rsidRDefault="00B50D71" w:rsidP="002807AA">
            <w:pPr>
              <w:jc w:val="center"/>
              <w:rPr>
                <w:color w:val="000000" w:themeColor="text1"/>
                <w:sz w:val="22"/>
                <w:szCs w:val="22"/>
              </w:rPr>
            </w:pPr>
            <w:r w:rsidRPr="009C186D">
              <w:rPr>
                <w:color w:val="000000" w:themeColor="text1"/>
                <w:sz w:val="22"/>
                <w:szCs w:val="22"/>
              </w:rPr>
              <w:t>1,626</w:t>
            </w:r>
          </w:p>
        </w:tc>
        <w:tc>
          <w:tcPr>
            <w:tcW w:w="2246" w:type="dxa"/>
            <w:tcBorders>
              <w:top w:val="nil"/>
              <w:left w:val="nil"/>
              <w:bottom w:val="single" w:sz="18" w:space="0" w:color="auto"/>
              <w:right w:val="nil"/>
            </w:tcBorders>
            <w:shd w:val="clear" w:color="auto" w:fill="auto"/>
            <w:noWrap/>
            <w:vAlign w:val="center"/>
            <w:hideMark/>
          </w:tcPr>
          <w:p w14:paraId="36289EDD" w14:textId="77777777" w:rsidR="00B50D71" w:rsidRPr="009C186D" w:rsidRDefault="00B50D71" w:rsidP="002807AA">
            <w:pPr>
              <w:jc w:val="center"/>
              <w:rPr>
                <w:i/>
                <w:iCs/>
                <w:color w:val="000000" w:themeColor="text1"/>
                <w:sz w:val="22"/>
                <w:szCs w:val="22"/>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2.80</w:t>
            </w:r>
            <w:r w:rsidRPr="009C186D">
              <w:rPr>
                <w:i/>
                <w:iCs/>
                <w:color w:val="000000" w:themeColor="text1"/>
                <w:sz w:val="22"/>
                <w:szCs w:val="22"/>
                <w:vertAlign w:val="superscript"/>
              </w:rPr>
              <w:t>ns</w:t>
            </w:r>
          </w:p>
        </w:tc>
      </w:tr>
    </w:tbl>
    <w:p w14:paraId="32E7FA3F" w14:textId="77777777" w:rsidR="00B50D71" w:rsidRDefault="00B50D71" w:rsidP="00B50D71">
      <w:pPr>
        <w:rPr>
          <w:sz w:val="22"/>
          <w:szCs w:val="22"/>
        </w:rPr>
      </w:pPr>
    </w:p>
    <w:p w14:paraId="08780859" w14:textId="77777777" w:rsidR="00B50D71" w:rsidRDefault="00B50D71" w:rsidP="00B50D71">
      <w:pPr>
        <w:rPr>
          <w:sz w:val="22"/>
          <w:szCs w:val="22"/>
        </w:rPr>
      </w:pPr>
      <w:r>
        <w:rPr>
          <w:sz w:val="22"/>
          <w:szCs w:val="22"/>
        </w:rPr>
        <w:br w:type="page"/>
      </w:r>
    </w:p>
    <w:p w14:paraId="7FE5006A" w14:textId="31DF7BA4" w:rsidR="00B50D71" w:rsidRPr="00F50B1A" w:rsidRDefault="00432B71" w:rsidP="00B50D71">
      <w:pPr>
        <w:pStyle w:val="Heading1"/>
        <w:rPr>
          <w:rFonts w:ascii="Times New Roman" w:hAnsi="Times New Roman" w:cs="Times New Roman"/>
          <w:color w:val="000000" w:themeColor="text1"/>
          <w:sz w:val="24"/>
          <w:szCs w:val="24"/>
        </w:rPr>
      </w:pPr>
      <w:bookmarkStart w:id="12" w:name="_Toc155817679"/>
      <w:r>
        <w:rPr>
          <w:rFonts w:ascii="Times New Roman" w:hAnsi="Times New Roman" w:cs="Times New Roman"/>
          <w:b/>
          <w:bCs/>
          <w:color w:val="000000" w:themeColor="text1"/>
          <w:sz w:val="24"/>
          <w:szCs w:val="24"/>
        </w:rPr>
        <w:lastRenderedPageBreak/>
        <w:t xml:space="preserve">Table </w:t>
      </w:r>
      <w:r w:rsidR="00B50D71" w:rsidRPr="00F50B1A">
        <w:rPr>
          <w:rFonts w:ascii="Times New Roman" w:hAnsi="Times New Roman" w:cs="Times New Roman"/>
          <w:b/>
          <w:bCs/>
          <w:color w:val="000000" w:themeColor="text1"/>
          <w:sz w:val="24"/>
          <w:szCs w:val="24"/>
        </w:rPr>
        <w:t>1c.</w:t>
      </w:r>
      <w:r w:rsidR="00B50D71" w:rsidRPr="00F50B1A">
        <w:rPr>
          <w:rFonts w:ascii="Times New Roman" w:hAnsi="Times New Roman" w:cs="Times New Roman"/>
          <w:color w:val="000000" w:themeColor="text1"/>
          <w:sz w:val="24"/>
          <w:szCs w:val="24"/>
        </w:rPr>
        <w:t xml:space="preserve"> Comparison of included and excluded subjects for the monetary incentive delay task</w:t>
      </w:r>
      <w:bookmarkEnd w:id="12"/>
    </w:p>
    <w:p w14:paraId="0F4DEAA8" w14:textId="77777777" w:rsidR="00B50D71" w:rsidRPr="00171F44" w:rsidRDefault="00B50D71" w:rsidP="00B50D71">
      <w:pPr>
        <w:rPr>
          <w:sz w:val="22"/>
          <w:szCs w:val="22"/>
        </w:rPr>
      </w:pPr>
    </w:p>
    <w:tbl>
      <w:tblPr>
        <w:tblW w:w="6120" w:type="dxa"/>
        <w:tblLook w:val="04A0" w:firstRow="1" w:lastRow="0" w:firstColumn="1" w:lastColumn="0" w:noHBand="0" w:noVBand="1"/>
      </w:tblPr>
      <w:tblGrid>
        <w:gridCol w:w="1732"/>
        <w:gridCol w:w="986"/>
        <w:gridCol w:w="1047"/>
        <w:gridCol w:w="2355"/>
      </w:tblGrid>
      <w:tr w:rsidR="00B50D71" w:rsidRPr="009C186D" w14:paraId="3750A40E" w14:textId="77777777" w:rsidTr="002807AA">
        <w:trPr>
          <w:trHeight w:val="320"/>
        </w:trPr>
        <w:tc>
          <w:tcPr>
            <w:tcW w:w="6120" w:type="dxa"/>
            <w:gridSpan w:val="4"/>
            <w:tcBorders>
              <w:top w:val="single" w:sz="18" w:space="0" w:color="auto"/>
              <w:left w:val="nil"/>
              <w:right w:val="nil"/>
            </w:tcBorders>
            <w:shd w:val="clear" w:color="auto" w:fill="auto"/>
            <w:noWrap/>
            <w:vAlign w:val="center"/>
            <w:hideMark/>
          </w:tcPr>
          <w:p w14:paraId="3B2FE428" w14:textId="77777777" w:rsidR="00B50D71" w:rsidRPr="009C186D" w:rsidRDefault="00B50D71" w:rsidP="002807AA">
            <w:pPr>
              <w:jc w:val="center"/>
              <w:rPr>
                <w:color w:val="000000" w:themeColor="text1"/>
                <w:sz w:val="22"/>
                <w:szCs w:val="22"/>
              </w:rPr>
            </w:pPr>
            <w:r w:rsidRPr="009C186D">
              <w:rPr>
                <w:color w:val="000000" w:themeColor="text1"/>
                <w:sz w:val="22"/>
                <w:szCs w:val="22"/>
              </w:rPr>
              <w:t>MID</w:t>
            </w:r>
          </w:p>
        </w:tc>
      </w:tr>
      <w:tr w:rsidR="00B50D71" w:rsidRPr="009C186D" w14:paraId="34DF2A36" w14:textId="77777777" w:rsidTr="002807AA">
        <w:trPr>
          <w:trHeight w:val="340"/>
        </w:trPr>
        <w:tc>
          <w:tcPr>
            <w:tcW w:w="1732" w:type="dxa"/>
            <w:tcBorders>
              <w:top w:val="single" w:sz="18" w:space="0" w:color="auto"/>
              <w:left w:val="nil"/>
              <w:right w:val="nil"/>
            </w:tcBorders>
            <w:shd w:val="clear" w:color="auto" w:fill="auto"/>
            <w:vAlign w:val="center"/>
            <w:hideMark/>
          </w:tcPr>
          <w:p w14:paraId="2BB2788A" w14:textId="77777777" w:rsidR="00B50D71" w:rsidRPr="009C186D" w:rsidRDefault="00B50D71" w:rsidP="002807AA">
            <w:pPr>
              <w:rPr>
                <w:color w:val="000000" w:themeColor="text1"/>
                <w:sz w:val="22"/>
                <w:szCs w:val="22"/>
              </w:rPr>
            </w:pPr>
            <w:r w:rsidRPr="009C186D">
              <w:rPr>
                <w:color w:val="000000" w:themeColor="text1"/>
                <w:sz w:val="22"/>
                <w:szCs w:val="22"/>
              </w:rPr>
              <w:t xml:space="preserve">       </w:t>
            </w:r>
          </w:p>
        </w:tc>
        <w:tc>
          <w:tcPr>
            <w:tcW w:w="986" w:type="dxa"/>
            <w:tcBorders>
              <w:top w:val="single" w:sz="18" w:space="0" w:color="auto"/>
              <w:left w:val="nil"/>
              <w:bottom w:val="single" w:sz="8" w:space="0" w:color="auto"/>
              <w:right w:val="nil"/>
            </w:tcBorders>
            <w:shd w:val="clear" w:color="auto" w:fill="auto"/>
            <w:noWrap/>
            <w:vAlign w:val="center"/>
            <w:hideMark/>
          </w:tcPr>
          <w:p w14:paraId="78C71C99" w14:textId="77777777" w:rsidR="00B50D71" w:rsidRPr="009C186D" w:rsidRDefault="00B50D71" w:rsidP="002807AA">
            <w:pPr>
              <w:jc w:val="center"/>
              <w:rPr>
                <w:color w:val="000000" w:themeColor="text1"/>
                <w:sz w:val="22"/>
                <w:szCs w:val="22"/>
              </w:rPr>
            </w:pPr>
            <w:r w:rsidRPr="009C186D">
              <w:rPr>
                <w:color w:val="000000" w:themeColor="text1"/>
                <w:sz w:val="22"/>
                <w:szCs w:val="22"/>
              </w:rPr>
              <w:t>Included</w:t>
            </w:r>
          </w:p>
        </w:tc>
        <w:tc>
          <w:tcPr>
            <w:tcW w:w="1047" w:type="dxa"/>
            <w:tcBorders>
              <w:top w:val="single" w:sz="18" w:space="0" w:color="auto"/>
              <w:left w:val="nil"/>
              <w:bottom w:val="single" w:sz="8" w:space="0" w:color="auto"/>
              <w:right w:val="nil"/>
            </w:tcBorders>
            <w:vAlign w:val="center"/>
          </w:tcPr>
          <w:p w14:paraId="09A10AF4" w14:textId="77777777" w:rsidR="00B50D71" w:rsidRPr="009C186D" w:rsidRDefault="00B50D71" w:rsidP="002807AA">
            <w:pPr>
              <w:jc w:val="center"/>
              <w:rPr>
                <w:color w:val="000000" w:themeColor="text1"/>
                <w:sz w:val="22"/>
                <w:szCs w:val="22"/>
              </w:rPr>
            </w:pPr>
            <w:r w:rsidRPr="009C186D">
              <w:rPr>
                <w:color w:val="000000" w:themeColor="text1"/>
                <w:sz w:val="22"/>
                <w:szCs w:val="22"/>
              </w:rPr>
              <w:t>Excluded</w:t>
            </w:r>
          </w:p>
        </w:tc>
        <w:tc>
          <w:tcPr>
            <w:tcW w:w="2355" w:type="dxa"/>
            <w:tcBorders>
              <w:top w:val="single" w:sz="18" w:space="0" w:color="auto"/>
              <w:left w:val="nil"/>
              <w:bottom w:val="single" w:sz="8" w:space="0" w:color="auto"/>
              <w:right w:val="nil"/>
            </w:tcBorders>
            <w:shd w:val="clear" w:color="auto" w:fill="auto"/>
            <w:noWrap/>
            <w:vAlign w:val="center"/>
            <w:hideMark/>
          </w:tcPr>
          <w:p w14:paraId="022DDF60" w14:textId="77777777" w:rsidR="00B50D71" w:rsidRPr="009C186D" w:rsidRDefault="00B50D71" w:rsidP="002807AA">
            <w:pPr>
              <w:jc w:val="center"/>
              <w:rPr>
                <w:color w:val="000000" w:themeColor="text1"/>
                <w:sz w:val="22"/>
                <w:szCs w:val="22"/>
              </w:rPr>
            </w:pPr>
            <w:r w:rsidRPr="009C186D">
              <w:rPr>
                <w:color w:val="000000" w:themeColor="text1"/>
                <w:sz w:val="22"/>
                <w:szCs w:val="22"/>
              </w:rPr>
              <w:t>Difference</w:t>
            </w:r>
          </w:p>
        </w:tc>
      </w:tr>
      <w:tr w:rsidR="00B50D71" w:rsidRPr="009C186D" w14:paraId="67BC5D80" w14:textId="77777777" w:rsidTr="002807AA">
        <w:trPr>
          <w:trHeight w:val="340"/>
        </w:trPr>
        <w:tc>
          <w:tcPr>
            <w:tcW w:w="1732" w:type="dxa"/>
            <w:tcBorders>
              <w:left w:val="nil"/>
              <w:right w:val="nil"/>
            </w:tcBorders>
            <w:shd w:val="clear" w:color="auto" w:fill="auto"/>
            <w:vAlign w:val="center"/>
          </w:tcPr>
          <w:p w14:paraId="70632645" w14:textId="77777777" w:rsidR="00B50D71" w:rsidRPr="009C186D" w:rsidRDefault="00B50D71" w:rsidP="002807AA">
            <w:pPr>
              <w:rPr>
                <w:color w:val="000000" w:themeColor="text1"/>
                <w:sz w:val="22"/>
                <w:szCs w:val="22"/>
              </w:rPr>
            </w:pPr>
          </w:p>
        </w:tc>
        <w:tc>
          <w:tcPr>
            <w:tcW w:w="2033" w:type="dxa"/>
            <w:gridSpan w:val="2"/>
            <w:tcBorders>
              <w:left w:val="nil"/>
              <w:right w:val="nil"/>
            </w:tcBorders>
            <w:shd w:val="clear" w:color="auto" w:fill="auto"/>
            <w:noWrap/>
            <w:vAlign w:val="center"/>
          </w:tcPr>
          <w:p w14:paraId="26C00EF1" w14:textId="77777777" w:rsidR="00B50D71" w:rsidRPr="009C186D" w:rsidRDefault="00B50D71" w:rsidP="002807AA">
            <w:pPr>
              <w:jc w:val="center"/>
              <w:rPr>
                <w:color w:val="000000" w:themeColor="text1"/>
                <w:sz w:val="22"/>
                <w:szCs w:val="22"/>
              </w:rPr>
            </w:pPr>
            <w:r w:rsidRPr="009C186D">
              <w:rPr>
                <w:color w:val="000000" w:themeColor="text1"/>
                <w:sz w:val="22"/>
                <w:szCs w:val="22"/>
              </w:rPr>
              <w:t>Mean</w:t>
            </w:r>
          </w:p>
        </w:tc>
        <w:tc>
          <w:tcPr>
            <w:tcW w:w="2355" w:type="dxa"/>
            <w:tcBorders>
              <w:top w:val="single" w:sz="8" w:space="0" w:color="auto"/>
              <w:left w:val="nil"/>
              <w:bottom w:val="single" w:sz="8" w:space="0" w:color="auto"/>
              <w:right w:val="nil"/>
            </w:tcBorders>
            <w:shd w:val="clear" w:color="auto" w:fill="auto"/>
            <w:noWrap/>
            <w:vAlign w:val="center"/>
          </w:tcPr>
          <w:p w14:paraId="310A005B" w14:textId="77777777" w:rsidR="00B50D71" w:rsidRPr="009C186D" w:rsidRDefault="00B50D71" w:rsidP="002807AA">
            <w:pPr>
              <w:jc w:val="center"/>
              <w:rPr>
                <w:color w:val="000000" w:themeColor="text1"/>
                <w:sz w:val="22"/>
                <w:szCs w:val="22"/>
              </w:rPr>
            </w:pPr>
            <w:r w:rsidRPr="009C186D">
              <w:rPr>
                <w:color w:val="000000" w:themeColor="text1"/>
                <w:sz w:val="22"/>
                <w:szCs w:val="22"/>
              </w:rPr>
              <w:t>t-test</w:t>
            </w:r>
          </w:p>
        </w:tc>
      </w:tr>
      <w:tr w:rsidR="00B50D71" w:rsidRPr="009C186D" w14:paraId="1D88FC23" w14:textId="77777777" w:rsidTr="002807AA">
        <w:trPr>
          <w:trHeight w:val="340"/>
        </w:trPr>
        <w:tc>
          <w:tcPr>
            <w:tcW w:w="1732" w:type="dxa"/>
            <w:tcBorders>
              <w:left w:val="nil"/>
              <w:right w:val="nil"/>
            </w:tcBorders>
            <w:shd w:val="clear" w:color="auto" w:fill="auto"/>
            <w:vAlign w:val="center"/>
            <w:hideMark/>
          </w:tcPr>
          <w:p w14:paraId="405BEB6A" w14:textId="77777777" w:rsidR="00B50D71" w:rsidRPr="009C186D" w:rsidRDefault="00B50D71" w:rsidP="002807AA">
            <w:pPr>
              <w:rPr>
                <w:color w:val="000000" w:themeColor="text1"/>
                <w:sz w:val="22"/>
                <w:szCs w:val="22"/>
              </w:rPr>
            </w:pPr>
            <w:r w:rsidRPr="009C186D">
              <w:rPr>
                <w:color w:val="000000" w:themeColor="text1"/>
                <w:sz w:val="22"/>
                <w:szCs w:val="22"/>
              </w:rPr>
              <w:t>Age (years)</w:t>
            </w:r>
          </w:p>
        </w:tc>
        <w:tc>
          <w:tcPr>
            <w:tcW w:w="986" w:type="dxa"/>
            <w:tcBorders>
              <w:top w:val="single" w:sz="8" w:space="0" w:color="auto"/>
              <w:left w:val="nil"/>
              <w:right w:val="nil"/>
            </w:tcBorders>
            <w:shd w:val="clear" w:color="auto" w:fill="auto"/>
            <w:noWrap/>
            <w:vAlign w:val="center"/>
            <w:hideMark/>
          </w:tcPr>
          <w:p w14:paraId="21631B46" w14:textId="77777777" w:rsidR="00B50D71" w:rsidRPr="009C186D" w:rsidRDefault="00B50D71" w:rsidP="002807AA">
            <w:pPr>
              <w:jc w:val="center"/>
              <w:rPr>
                <w:color w:val="000000" w:themeColor="text1"/>
                <w:sz w:val="22"/>
                <w:szCs w:val="22"/>
              </w:rPr>
            </w:pPr>
            <w:r w:rsidRPr="009C186D">
              <w:rPr>
                <w:color w:val="000000" w:themeColor="text1"/>
                <w:sz w:val="22"/>
                <w:szCs w:val="22"/>
              </w:rPr>
              <w:t>10.02</w:t>
            </w:r>
          </w:p>
        </w:tc>
        <w:tc>
          <w:tcPr>
            <w:tcW w:w="1047" w:type="dxa"/>
            <w:tcBorders>
              <w:top w:val="single" w:sz="8" w:space="0" w:color="auto"/>
              <w:left w:val="nil"/>
              <w:right w:val="nil"/>
            </w:tcBorders>
            <w:vAlign w:val="center"/>
          </w:tcPr>
          <w:p w14:paraId="721A1721" w14:textId="77777777" w:rsidR="00B50D71" w:rsidRPr="009C186D" w:rsidRDefault="00B50D71" w:rsidP="002807AA">
            <w:pPr>
              <w:jc w:val="center"/>
              <w:rPr>
                <w:color w:val="000000" w:themeColor="text1"/>
                <w:sz w:val="22"/>
                <w:szCs w:val="22"/>
              </w:rPr>
            </w:pPr>
            <w:r w:rsidRPr="009C186D">
              <w:rPr>
                <w:color w:val="000000" w:themeColor="text1"/>
                <w:sz w:val="22"/>
                <w:szCs w:val="22"/>
              </w:rPr>
              <w:t>9.90</w:t>
            </w:r>
          </w:p>
        </w:tc>
        <w:tc>
          <w:tcPr>
            <w:tcW w:w="2355" w:type="dxa"/>
            <w:tcBorders>
              <w:top w:val="single" w:sz="8" w:space="0" w:color="auto"/>
              <w:left w:val="nil"/>
              <w:right w:val="nil"/>
            </w:tcBorders>
            <w:shd w:val="clear" w:color="auto" w:fill="auto"/>
            <w:noWrap/>
            <w:vAlign w:val="center"/>
            <w:hideMark/>
          </w:tcPr>
          <w:p w14:paraId="6DF650DC" w14:textId="77777777" w:rsidR="00B50D71" w:rsidRPr="009C186D" w:rsidRDefault="00B50D71" w:rsidP="002807AA">
            <w:pPr>
              <w:jc w:val="center"/>
              <w:rPr>
                <w:color w:val="000000" w:themeColor="text1"/>
                <w:sz w:val="22"/>
                <w:szCs w:val="22"/>
                <w:vertAlign w:val="superscript"/>
              </w:rPr>
            </w:pPr>
            <w:r w:rsidRPr="009C186D">
              <w:rPr>
                <w:i/>
                <w:iCs/>
                <w:color w:val="000000" w:themeColor="text1"/>
                <w:sz w:val="22"/>
                <w:szCs w:val="22"/>
              </w:rPr>
              <w:t>t</w:t>
            </w:r>
            <w:r w:rsidRPr="009C186D">
              <w:rPr>
                <w:color w:val="000000" w:themeColor="text1"/>
                <w:sz w:val="22"/>
                <w:szCs w:val="22"/>
              </w:rPr>
              <w:t>(2601) = 7.63</w:t>
            </w:r>
            <w:r w:rsidRPr="009C186D">
              <w:rPr>
                <w:color w:val="000000" w:themeColor="text1"/>
                <w:sz w:val="22"/>
                <w:szCs w:val="22"/>
                <w:vertAlign w:val="superscript"/>
              </w:rPr>
              <w:t>***</w:t>
            </w:r>
          </w:p>
        </w:tc>
      </w:tr>
      <w:tr w:rsidR="00B50D71" w:rsidRPr="009C186D" w14:paraId="43A9E0D7" w14:textId="77777777" w:rsidTr="002807AA">
        <w:trPr>
          <w:trHeight w:val="288"/>
        </w:trPr>
        <w:tc>
          <w:tcPr>
            <w:tcW w:w="1732" w:type="dxa"/>
            <w:tcBorders>
              <w:left w:val="nil"/>
              <w:bottom w:val="nil"/>
              <w:right w:val="nil"/>
            </w:tcBorders>
            <w:shd w:val="clear" w:color="auto" w:fill="auto"/>
            <w:vAlign w:val="center"/>
          </w:tcPr>
          <w:p w14:paraId="2B3D9A11" w14:textId="77777777" w:rsidR="00B50D71" w:rsidRPr="009C186D" w:rsidRDefault="00B50D71" w:rsidP="002807AA">
            <w:pPr>
              <w:rPr>
                <w:color w:val="000000" w:themeColor="text1"/>
                <w:sz w:val="22"/>
                <w:szCs w:val="22"/>
              </w:rPr>
            </w:pPr>
            <w:r w:rsidRPr="009C186D">
              <w:rPr>
                <w:color w:val="000000" w:themeColor="text1"/>
                <w:sz w:val="22"/>
                <w:szCs w:val="22"/>
              </w:rPr>
              <w:t xml:space="preserve">Household Annual Income </w:t>
            </w:r>
          </w:p>
        </w:tc>
        <w:tc>
          <w:tcPr>
            <w:tcW w:w="986" w:type="dxa"/>
            <w:tcBorders>
              <w:left w:val="nil"/>
              <w:right w:val="nil"/>
            </w:tcBorders>
            <w:shd w:val="clear" w:color="auto" w:fill="auto"/>
            <w:noWrap/>
            <w:vAlign w:val="center"/>
          </w:tcPr>
          <w:p w14:paraId="754C3F5C" w14:textId="77777777" w:rsidR="00B50D71" w:rsidRPr="009C186D" w:rsidRDefault="00B50D71" w:rsidP="002807AA">
            <w:pPr>
              <w:jc w:val="center"/>
              <w:rPr>
                <w:color w:val="000000" w:themeColor="text1"/>
                <w:sz w:val="22"/>
                <w:szCs w:val="22"/>
              </w:rPr>
            </w:pPr>
            <w:r w:rsidRPr="009C186D">
              <w:rPr>
                <w:color w:val="000000" w:themeColor="text1"/>
                <w:sz w:val="22"/>
                <w:szCs w:val="22"/>
              </w:rPr>
              <w:t>7.75</w:t>
            </w:r>
          </w:p>
        </w:tc>
        <w:tc>
          <w:tcPr>
            <w:tcW w:w="1047" w:type="dxa"/>
            <w:tcBorders>
              <w:left w:val="nil"/>
              <w:right w:val="nil"/>
            </w:tcBorders>
            <w:vAlign w:val="center"/>
          </w:tcPr>
          <w:p w14:paraId="0927ADAD" w14:textId="77777777" w:rsidR="00B50D71" w:rsidRPr="009C186D" w:rsidRDefault="00B50D71" w:rsidP="002807AA">
            <w:pPr>
              <w:jc w:val="center"/>
              <w:rPr>
                <w:color w:val="000000" w:themeColor="text1"/>
                <w:sz w:val="22"/>
                <w:szCs w:val="22"/>
              </w:rPr>
            </w:pPr>
            <w:r w:rsidRPr="009C186D">
              <w:rPr>
                <w:color w:val="000000" w:themeColor="text1"/>
                <w:sz w:val="22"/>
                <w:szCs w:val="22"/>
              </w:rPr>
              <w:t>7.13</w:t>
            </w:r>
          </w:p>
        </w:tc>
        <w:tc>
          <w:tcPr>
            <w:tcW w:w="2355" w:type="dxa"/>
            <w:tcBorders>
              <w:left w:val="nil"/>
              <w:bottom w:val="nil"/>
              <w:right w:val="nil"/>
            </w:tcBorders>
            <w:shd w:val="clear" w:color="auto" w:fill="auto"/>
            <w:noWrap/>
            <w:vAlign w:val="center"/>
          </w:tcPr>
          <w:p w14:paraId="523E860F"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(2901) = 11.31</w:t>
            </w:r>
            <w:r w:rsidRPr="009C186D">
              <w:rPr>
                <w:color w:val="000000" w:themeColor="text1"/>
                <w:sz w:val="22"/>
                <w:szCs w:val="22"/>
                <w:vertAlign w:val="superscript"/>
              </w:rPr>
              <w:t>***</w:t>
            </w:r>
          </w:p>
        </w:tc>
      </w:tr>
      <w:tr w:rsidR="00B50D71" w:rsidRPr="009C186D" w14:paraId="2D699338" w14:textId="77777777" w:rsidTr="002807AA">
        <w:trPr>
          <w:trHeight w:val="288"/>
        </w:trPr>
        <w:tc>
          <w:tcPr>
            <w:tcW w:w="1732" w:type="dxa"/>
            <w:tcBorders>
              <w:left w:val="nil"/>
              <w:bottom w:val="nil"/>
              <w:right w:val="nil"/>
            </w:tcBorders>
            <w:shd w:val="clear" w:color="auto" w:fill="auto"/>
            <w:vAlign w:val="center"/>
          </w:tcPr>
          <w:p w14:paraId="67236774" w14:textId="77777777" w:rsidR="00B50D71" w:rsidRPr="009C186D" w:rsidRDefault="00B50D71" w:rsidP="002807AA">
            <w:pPr>
              <w:rPr>
                <w:color w:val="000000" w:themeColor="text1"/>
                <w:sz w:val="22"/>
                <w:szCs w:val="22"/>
              </w:rPr>
            </w:pPr>
            <w:r w:rsidRPr="009C186D">
              <w:rPr>
                <w:color w:val="000000" w:themeColor="text1"/>
                <w:sz w:val="22"/>
                <w:szCs w:val="22"/>
              </w:rPr>
              <w:t>Parental Education</w:t>
            </w:r>
          </w:p>
        </w:tc>
        <w:tc>
          <w:tcPr>
            <w:tcW w:w="986" w:type="dxa"/>
            <w:tcBorders>
              <w:left w:val="nil"/>
              <w:bottom w:val="nil"/>
            </w:tcBorders>
            <w:shd w:val="clear" w:color="auto" w:fill="auto"/>
            <w:noWrap/>
            <w:vAlign w:val="center"/>
          </w:tcPr>
          <w:p w14:paraId="5444B4B1" w14:textId="77777777" w:rsidR="00B50D71" w:rsidRPr="009C186D" w:rsidRDefault="00B50D71" w:rsidP="002807AA">
            <w:pPr>
              <w:jc w:val="center"/>
              <w:rPr>
                <w:color w:val="000000" w:themeColor="text1"/>
                <w:sz w:val="22"/>
                <w:szCs w:val="22"/>
              </w:rPr>
            </w:pPr>
            <w:r w:rsidRPr="009C186D">
              <w:rPr>
                <w:color w:val="000000" w:themeColor="text1"/>
                <w:sz w:val="22"/>
                <w:szCs w:val="22"/>
              </w:rPr>
              <w:t>15.45</w:t>
            </w:r>
          </w:p>
        </w:tc>
        <w:tc>
          <w:tcPr>
            <w:tcW w:w="1047" w:type="dxa"/>
            <w:tcBorders>
              <w:bottom w:val="nil"/>
              <w:right w:val="nil"/>
            </w:tcBorders>
            <w:vAlign w:val="center"/>
          </w:tcPr>
          <w:p w14:paraId="6AD4C530" w14:textId="77777777" w:rsidR="00B50D71" w:rsidRPr="009C186D" w:rsidRDefault="00B50D71" w:rsidP="002807AA">
            <w:pPr>
              <w:jc w:val="center"/>
              <w:rPr>
                <w:color w:val="000000" w:themeColor="text1"/>
                <w:sz w:val="22"/>
                <w:szCs w:val="22"/>
              </w:rPr>
            </w:pPr>
            <w:r w:rsidRPr="009C186D">
              <w:rPr>
                <w:color w:val="000000" w:themeColor="text1"/>
                <w:sz w:val="22"/>
                <w:szCs w:val="22"/>
              </w:rPr>
              <w:t>14.97</w:t>
            </w:r>
          </w:p>
        </w:tc>
        <w:tc>
          <w:tcPr>
            <w:tcW w:w="2355" w:type="dxa"/>
            <w:tcBorders>
              <w:left w:val="nil"/>
              <w:bottom w:val="nil"/>
              <w:right w:val="nil"/>
            </w:tcBorders>
            <w:shd w:val="clear" w:color="auto" w:fill="auto"/>
            <w:noWrap/>
            <w:vAlign w:val="center"/>
          </w:tcPr>
          <w:p w14:paraId="7F9DA8F0"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 xml:space="preserve">(2778) = </w:t>
            </w:r>
          </w:p>
          <w:p w14:paraId="5E66EB9B" w14:textId="77777777" w:rsidR="00B50D71" w:rsidRPr="009C186D" w:rsidRDefault="00B50D71" w:rsidP="002807AA">
            <w:pPr>
              <w:jc w:val="center"/>
              <w:rPr>
                <w:color w:val="000000" w:themeColor="text1"/>
                <w:sz w:val="22"/>
                <w:szCs w:val="22"/>
              </w:rPr>
            </w:pPr>
            <w:r w:rsidRPr="009C186D">
              <w:rPr>
                <w:color w:val="000000" w:themeColor="text1"/>
                <w:sz w:val="22"/>
                <w:szCs w:val="22"/>
              </w:rPr>
              <w:t>7.5</w:t>
            </w:r>
            <w:r w:rsidRPr="009C186D">
              <w:rPr>
                <w:color w:val="000000" w:themeColor="text1"/>
                <w:sz w:val="22"/>
                <w:szCs w:val="22"/>
                <w:vertAlign w:val="superscript"/>
              </w:rPr>
              <w:t>***</w:t>
            </w:r>
          </w:p>
        </w:tc>
      </w:tr>
      <w:tr w:rsidR="00B50D71" w:rsidRPr="009C186D" w14:paraId="4D575324" w14:textId="77777777" w:rsidTr="002807AA">
        <w:trPr>
          <w:trHeight w:val="288"/>
        </w:trPr>
        <w:tc>
          <w:tcPr>
            <w:tcW w:w="1732" w:type="dxa"/>
            <w:tcBorders>
              <w:left w:val="nil"/>
              <w:bottom w:val="nil"/>
              <w:right w:val="nil"/>
            </w:tcBorders>
            <w:shd w:val="clear" w:color="auto" w:fill="auto"/>
            <w:vAlign w:val="center"/>
          </w:tcPr>
          <w:p w14:paraId="46419320" w14:textId="77777777" w:rsidR="00B50D71" w:rsidRPr="009C186D" w:rsidRDefault="00B50D71" w:rsidP="002807AA">
            <w:pPr>
              <w:rPr>
                <w:color w:val="000000" w:themeColor="text1"/>
                <w:sz w:val="22"/>
                <w:szCs w:val="22"/>
              </w:rPr>
            </w:pPr>
            <w:r w:rsidRPr="009C186D">
              <w:rPr>
                <w:color w:val="000000" w:themeColor="text1"/>
                <w:sz w:val="22"/>
                <w:szCs w:val="22"/>
              </w:rPr>
              <w:t>General Psychopathology</w:t>
            </w:r>
          </w:p>
        </w:tc>
        <w:tc>
          <w:tcPr>
            <w:tcW w:w="986" w:type="dxa"/>
            <w:tcBorders>
              <w:left w:val="nil"/>
              <w:bottom w:val="nil"/>
              <w:right w:val="nil"/>
            </w:tcBorders>
            <w:shd w:val="clear" w:color="auto" w:fill="auto"/>
            <w:noWrap/>
            <w:vAlign w:val="center"/>
          </w:tcPr>
          <w:p w14:paraId="5CB60CEA" w14:textId="77777777" w:rsidR="00B50D71" w:rsidRPr="009C186D" w:rsidRDefault="00B50D71" w:rsidP="002807AA">
            <w:pPr>
              <w:jc w:val="center"/>
              <w:rPr>
                <w:color w:val="000000" w:themeColor="text1"/>
                <w:sz w:val="22"/>
                <w:szCs w:val="22"/>
              </w:rPr>
            </w:pPr>
            <w:r w:rsidRPr="009C186D">
              <w:rPr>
                <w:color w:val="000000" w:themeColor="text1"/>
                <w:sz w:val="22"/>
                <w:szCs w:val="22"/>
              </w:rPr>
              <w:t>-0.036</w:t>
            </w:r>
          </w:p>
        </w:tc>
        <w:tc>
          <w:tcPr>
            <w:tcW w:w="1047" w:type="dxa"/>
            <w:tcBorders>
              <w:left w:val="nil"/>
              <w:bottom w:val="nil"/>
              <w:right w:val="nil"/>
            </w:tcBorders>
            <w:shd w:val="clear" w:color="auto" w:fill="auto"/>
            <w:vAlign w:val="center"/>
          </w:tcPr>
          <w:p w14:paraId="4F1A4220" w14:textId="77777777" w:rsidR="00B50D71" w:rsidRPr="009C186D" w:rsidRDefault="00B50D71" w:rsidP="002807AA">
            <w:pPr>
              <w:jc w:val="center"/>
              <w:rPr>
                <w:color w:val="000000" w:themeColor="text1"/>
                <w:sz w:val="22"/>
                <w:szCs w:val="22"/>
              </w:rPr>
            </w:pPr>
            <w:r w:rsidRPr="009C186D">
              <w:rPr>
                <w:color w:val="000000" w:themeColor="text1"/>
                <w:sz w:val="22"/>
                <w:szCs w:val="22"/>
              </w:rPr>
              <w:t>0.059</w:t>
            </w:r>
          </w:p>
        </w:tc>
        <w:tc>
          <w:tcPr>
            <w:tcW w:w="2355" w:type="dxa"/>
            <w:tcBorders>
              <w:left w:val="nil"/>
              <w:bottom w:val="nil"/>
              <w:right w:val="nil"/>
            </w:tcBorders>
            <w:shd w:val="clear" w:color="auto" w:fill="auto"/>
            <w:noWrap/>
            <w:vAlign w:val="center"/>
          </w:tcPr>
          <w:p w14:paraId="3D67ACA7"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(2678) = 4.59</w:t>
            </w:r>
            <w:r w:rsidRPr="009C186D">
              <w:rPr>
                <w:color w:val="000000" w:themeColor="text1"/>
                <w:sz w:val="22"/>
                <w:szCs w:val="22"/>
                <w:vertAlign w:val="superscript"/>
              </w:rPr>
              <w:t>***</w:t>
            </w:r>
          </w:p>
        </w:tc>
      </w:tr>
      <w:tr w:rsidR="00B50D71" w:rsidRPr="009C186D" w14:paraId="2799660E" w14:textId="77777777" w:rsidTr="002807AA">
        <w:trPr>
          <w:trHeight w:val="288"/>
        </w:trPr>
        <w:tc>
          <w:tcPr>
            <w:tcW w:w="1732" w:type="dxa"/>
            <w:tcBorders>
              <w:left w:val="nil"/>
              <w:bottom w:val="nil"/>
              <w:right w:val="nil"/>
            </w:tcBorders>
            <w:shd w:val="clear" w:color="auto" w:fill="auto"/>
            <w:vAlign w:val="center"/>
          </w:tcPr>
          <w:p w14:paraId="2A1D6911" w14:textId="77777777" w:rsidR="00B50D71" w:rsidRPr="009C186D" w:rsidRDefault="00B50D71" w:rsidP="002807AA">
            <w:pPr>
              <w:rPr>
                <w:color w:val="000000" w:themeColor="text1"/>
                <w:sz w:val="22"/>
                <w:szCs w:val="22"/>
              </w:rPr>
            </w:pPr>
            <w:r w:rsidRPr="009C186D">
              <w:rPr>
                <w:color w:val="000000" w:themeColor="text1"/>
                <w:sz w:val="22"/>
                <w:szCs w:val="22"/>
              </w:rPr>
              <w:t>General Environmental Stressor</w:t>
            </w:r>
          </w:p>
        </w:tc>
        <w:tc>
          <w:tcPr>
            <w:tcW w:w="986" w:type="dxa"/>
            <w:tcBorders>
              <w:left w:val="nil"/>
              <w:bottom w:val="single" w:sz="8" w:space="0" w:color="auto"/>
              <w:right w:val="nil"/>
            </w:tcBorders>
            <w:shd w:val="clear" w:color="auto" w:fill="auto"/>
            <w:noWrap/>
            <w:vAlign w:val="center"/>
          </w:tcPr>
          <w:p w14:paraId="4554749C" w14:textId="77777777" w:rsidR="00B50D71" w:rsidRPr="009C186D" w:rsidRDefault="00B50D71" w:rsidP="002807AA">
            <w:pPr>
              <w:jc w:val="center"/>
              <w:rPr>
                <w:color w:val="000000" w:themeColor="text1"/>
                <w:sz w:val="22"/>
                <w:szCs w:val="22"/>
              </w:rPr>
            </w:pPr>
            <w:r w:rsidRPr="009C186D">
              <w:rPr>
                <w:color w:val="000000" w:themeColor="text1"/>
                <w:sz w:val="22"/>
                <w:szCs w:val="22"/>
              </w:rPr>
              <w:t>-0.583</w:t>
            </w:r>
          </w:p>
        </w:tc>
        <w:tc>
          <w:tcPr>
            <w:tcW w:w="1047" w:type="dxa"/>
            <w:tcBorders>
              <w:left w:val="nil"/>
              <w:bottom w:val="nil"/>
              <w:right w:val="nil"/>
            </w:tcBorders>
            <w:shd w:val="clear" w:color="auto" w:fill="auto"/>
            <w:vAlign w:val="center"/>
          </w:tcPr>
          <w:p w14:paraId="540A70CB" w14:textId="77777777" w:rsidR="00B50D71" w:rsidRPr="009C186D" w:rsidRDefault="00B50D71" w:rsidP="002807AA">
            <w:pPr>
              <w:jc w:val="center"/>
              <w:rPr>
                <w:color w:val="000000" w:themeColor="text1"/>
                <w:sz w:val="22"/>
                <w:szCs w:val="22"/>
              </w:rPr>
            </w:pPr>
            <w:r w:rsidRPr="009C186D">
              <w:rPr>
                <w:color w:val="000000" w:themeColor="text1"/>
                <w:sz w:val="22"/>
                <w:szCs w:val="22"/>
              </w:rPr>
              <w:t>-0.314</w:t>
            </w:r>
          </w:p>
        </w:tc>
        <w:tc>
          <w:tcPr>
            <w:tcW w:w="2355" w:type="dxa"/>
            <w:tcBorders>
              <w:left w:val="nil"/>
              <w:bottom w:val="single" w:sz="8" w:space="0" w:color="auto"/>
              <w:right w:val="nil"/>
            </w:tcBorders>
            <w:shd w:val="clear" w:color="auto" w:fill="auto"/>
            <w:noWrap/>
            <w:vAlign w:val="center"/>
          </w:tcPr>
          <w:p w14:paraId="2F95F9B5"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(2750) = 10.00</w:t>
            </w:r>
            <w:r w:rsidRPr="009C186D">
              <w:rPr>
                <w:color w:val="000000" w:themeColor="text1"/>
                <w:sz w:val="22"/>
                <w:szCs w:val="22"/>
                <w:vertAlign w:val="superscript"/>
              </w:rPr>
              <w:t>***</w:t>
            </w:r>
          </w:p>
        </w:tc>
      </w:tr>
      <w:tr w:rsidR="00B50D71" w:rsidRPr="009C186D" w14:paraId="1B76D8BB" w14:textId="77777777" w:rsidTr="002807AA">
        <w:trPr>
          <w:trHeight w:val="288"/>
        </w:trPr>
        <w:tc>
          <w:tcPr>
            <w:tcW w:w="1732" w:type="dxa"/>
            <w:tcBorders>
              <w:left w:val="nil"/>
              <w:bottom w:val="nil"/>
              <w:right w:val="nil"/>
            </w:tcBorders>
            <w:shd w:val="clear" w:color="auto" w:fill="auto"/>
            <w:vAlign w:val="center"/>
          </w:tcPr>
          <w:p w14:paraId="42ECDDA2" w14:textId="77777777" w:rsidR="00B50D71" w:rsidRPr="009C186D" w:rsidRDefault="00B50D71" w:rsidP="002807AA">
            <w:pPr>
              <w:rPr>
                <w:color w:val="000000" w:themeColor="text1"/>
                <w:sz w:val="22"/>
                <w:szCs w:val="22"/>
                <w:u w:val="single"/>
              </w:rPr>
            </w:pPr>
          </w:p>
        </w:tc>
        <w:tc>
          <w:tcPr>
            <w:tcW w:w="2033" w:type="dxa"/>
            <w:gridSpan w:val="2"/>
            <w:tcBorders>
              <w:top w:val="single" w:sz="8" w:space="0" w:color="auto"/>
              <w:left w:val="nil"/>
              <w:bottom w:val="nil"/>
              <w:right w:val="nil"/>
            </w:tcBorders>
            <w:shd w:val="clear" w:color="auto" w:fill="auto"/>
            <w:noWrap/>
            <w:vAlign w:val="center"/>
          </w:tcPr>
          <w:p w14:paraId="13FF72AF" w14:textId="77777777" w:rsidR="00B50D71" w:rsidRPr="009C186D" w:rsidRDefault="00B50D71" w:rsidP="002807AA">
            <w:pPr>
              <w:jc w:val="center"/>
              <w:rPr>
                <w:i/>
                <w:iCs/>
                <w:color w:val="000000" w:themeColor="text1"/>
                <w:sz w:val="22"/>
                <w:szCs w:val="22"/>
              </w:rPr>
            </w:pPr>
            <w:r w:rsidRPr="009C186D">
              <w:rPr>
                <w:i/>
                <w:iCs/>
                <w:color w:val="000000" w:themeColor="text1"/>
                <w:sz w:val="22"/>
                <w:szCs w:val="22"/>
              </w:rPr>
              <w:t>N</w:t>
            </w:r>
          </w:p>
        </w:tc>
        <w:tc>
          <w:tcPr>
            <w:tcW w:w="2355" w:type="dxa"/>
            <w:tcBorders>
              <w:top w:val="single" w:sz="8" w:space="0" w:color="auto"/>
              <w:left w:val="nil"/>
              <w:bottom w:val="single" w:sz="8" w:space="0" w:color="auto"/>
              <w:right w:val="nil"/>
            </w:tcBorders>
            <w:shd w:val="clear" w:color="auto" w:fill="auto"/>
            <w:noWrap/>
            <w:vAlign w:val="center"/>
          </w:tcPr>
          <w:p w14:paraId="49DF6D74" w14:textId="77777777" w:rsidR="00B50D71" w:rsidRPr="009C186D" w:rsidRDefault="00B50D71" w:rsidP="002807AA">
            <w:pPr>
              <w:jc w:val="center"/>
              <w:rPr>
                <w:color w:val="000000" w:themeColor="text1"/>
                <w:sz w:val="22"/>
                <w:szCs w:val="22"/>
              </w:rPr>
            </w:pPr>
            <w:r w:rsidRPr="009C186D">
              <w:rPr>
                <w:color w:val="000000" w:themeColor="text1"/>
                <w:sz w:val="22"/>
                <w:szCs w:val="22"/>
              </w:rPr>
              <w:t>chi-squared test</w:t>
            </w:r>
          </w:p>
        </w:tc>
      </w:tr>
      <w:tr w:rsidR="00B50D71" w:rsidRPr="009C186D" w14:paraId="30604671" w14:textId="77777777" w:rsidTr="002807AA">
        <w:trPr>
          <w:trHeight w:val="288"/>
        </w:trPr>
        <w:tc>
          <w:tcPr>
            <w:tcW w:w="1732" w:type="dxa"/>
            <w:tcBorders>
              <w:left w:val="nil"/>
              <w:bottom w:val="nil"/>
              <w:right w:val="nil"/>
            </w:tcBorders>
            <w:shd w:val="clear" w:color="auto" w:fill="auto"/>
            <w:vAlign w:val="center"/>
            <w:hideMark/>
          </w:tcPr>
          <w:p w14:paraId="39652C64" w14:textId="77777777" w:rsidR="00B50D71" w:rsidRPr="009C186D" w:rsidRDefault="00B50D71" w:rsidP="002807AA">
            <w:pPr>
              <w:rPr>
                <w:color w:val="000000" w:themeColor="text1"/>
                <w:sz w:val="22"/>
                <w:szCs w:val="22"/>
                <w:u w:val="single"/>
              </w:rPr>
            </w:pPr>
            <w:r w:rsidRPr="009C186D">
              <w:rPr>
                <w:color w:val="000000" w:themeColor="text1"/>
                <w:sz w:val="22"/>
                <w:szCs w:val="22"/>
                <w:u w:val="single"/>
              </w:rPr>
              <w:t xml:space="preserve">Sex </w:t>
            </w:r>
          </w:p>
        </w:tc>
        <w:tc>
          <w:tcPr>
            <w:tcW w:w="986" w:type="dxa"/>
            <w:tcBorders>
              <w:top w:val="single" w:sz="8" w:space="0" w:color="auto"/>
              <w:left w:val="nil"/>
              <w:bottom w:val="nil"/>
              <w:right w:val="nil"/>
            </w:tcBorders>
            <w:shd w:val="clear" w:color="auto" w:fill="auto"/>
            <w:noWrap/>
            <w:vAlign w:val="center"/>
            <w:hideMark/>
          </w:tcPr>
          <w:p w14:paraId="7964C37A" w14:textId="77777777" w:rsidR="00B50D71" w:rsidRPr="009C186D" w:rsidRDefault="00B50D71" w:rsidP="002807AA">
            <w:pPr>
              <w:jc w:val="center"/>
              <w:rPr>
                <w:color w:val="000000" w:themeColor="text1"/>
                <w:sz w:val="22"/>
                <w:szCs w:val="22"/>
                <w:u w:val="single"/>
              </w:rPr>
            </w:pPr>
          </w:p>
        </w:tc>
        <w:tc>
          <w:tcPr>
            <w:tcW w:w="1047" w:type="dxa"/>
            <w:tcBorders>
              <w:top w:val="single" w:sz="8" w:space="0" w:color="auto"/>
              <w:left w:val="nil"/>
              <w:bottom w:val="nil"/>
              <w:right w:val="nil"/>
            </w:tcBorders>
            <w:vAlign w:val="center"/>
          </w:tcPr>
          <w:p w14:paraId="29AC26A4" w14:textId="77777777" w:rsidR="00B50D71" w:rsidRPr="009C186D" w:rsidRDefault="00B50D71" w:rsidP="002807AA">
            <w:pPr>
              <w:jc w:val="center"/>
              <w:rPr>
                <w:color w:val="000000" w:themeColor="text1"/>
                <w:sz w:val="22"/>
                <w:szCs w:val="22"/>
              </w:rPr>
            </w:pPr>
          </w:p>
        </w:tc>
        <w:tc>
          <w:tcPr>
            <w:tcW w:w="2355" w:type="dxa"/>
            <w:tcBorders>
              <w:top w:val="single" w:sz="8" w:space="0" w:color="auto"/>
              <w:left w:val="nil"/>
              <w:bottom w:val="nil"/>
              <w:right w:val="nil"/>
            </w:tcBorders>
            <w:shd w:val="clear" w:color="auto" w:fill="auto"/>
            <w:noWrap/>
            <w:vAlign w:val="center"/>
            <w:hideMark/>
          </w:tcPr>
          <w:p w14:paraId="4C533D37" w14:textId="77777777" w:rsidR="00B50D71" w:rsidRPr="009C186D" w:rsidRDefault="00B50D71" w:rsidP="002807AA">
            <w:pPr>
              <w:jc w:val="center"/>
              <w:rPr>
                <w:color w:val="000000" w:themeColor="text1"/>
                <w:sz w:val="22"/>
                <w:szCs w:val="22"/>
              </w:rPr>
            </w:pPr>
          </w:p>
        </w:tc>
      </w:tr>
      <w:tr w:rsidR="00B50D71" w:rsidRPr="009C186D" w14:paraId="6CC3C966" w14:textId="77777777" w:rsidTr="002807AA">
        <w:trPr>
          <w:trHeight w:val="288"/>
        </w:trPr>
        <w:tc>
          <w:tcPr>
            <w:tcW w:w="1732" w:type="dxa"/>
            <w:tcBorders>
              <w:top w:val="nil"/>
              <w:left w:val="nil"/>
              <w:bottom w:val="nil"/>
              <w:right w:val="nil"/>
            </w:tcBorders>
            <w:shd w:val="clear" w:color="auto" w:fill="auto"/>
            <w:vAlign w:val="center"/>
            <w:hideMark/>
          </w:tcPr>
          <w:p w14:paraId="787B2042" w14:textId="77777777" w:rsidR="00B50D71" w:rsidRPr="009C186D" w:rsidRDefault="00B50D71" w:rsidP="002807AA">
            <w:pPr>
              <w:rPr>
                <w:color w:val="000000" w:themeColor="text1"/>
                <w:sz w:val="22"/>
                <w:szCs w:val="22"/>
              </w:rPr>
            </w:pPr>
            <w:r w:rsidRPr="009C186D">
              <w:rPr>
                <w:color w:val="000000" w:themeColor="text1"/>
                <w:sz w:val="22"/>
                <w:szCs w:val="22"/>
              </w:rPr>
              <w:t xml:space="preserve">     Female</w:t>
            </w:r>
          </w:p>
        </w:tc>
        <w:tc>
          <w:tcPr>
            <w:tcW w:w="986" w:type="dxa"/>
            <w:tcBorders>
              <w:top w:val="nil"/>
              <w:left w:val="nil"/>
              <w:bottom w:val="nil"/>
              <w:right w:val="nil"/>
            </w:tcBorders>
            <w:shd w:val="clear" w:color="auto" w:fill="auto"/>
            <w:noWrap/>
            <w:vAlign w:val="center"/>
            <w:hideMark/>
          </w:tcPr>
          <w:p w14:paraId="2691818F" w14:textId="77777777" w:rsidR="00B50D71" w:rsidRPr="009C186D" w:rsidRDefault="00B50D71" w:rsidP="002807AA">
            <w:pPr>
              <w:jc w:val="center"/>
              <w:rPr>
                <w:color w:val="000000" w:themeColor="text1"/>
                <w:sz w:val="22"/>
                <w:szCs w:val="22"/>
              </w:rPr>
            </w:pPr>
            <w:r w:rsidRPr="009C186D">
              <w:rPr>
                <w:color w:val="000000" w:themeColor="text1"/>
                <w:sz w:val="22"/>
                <w:szCs w:val="22"/>
              </w:rPr>
              <w:t>1,061</w:t>
            </w:r>
          </w:p>
        </w:tc>
        <w:tc>
          <w:tcPr>
            <w:tcW w:w="1047" w:type="dxa"/>
            <w:tcBorders>
              <w:top w:val="nil"/>
              <w:left w:val="nil"/>
              <w:bottom w:val="nil"/>
              <w:right w:val="nil"/>
            </w:tcBorders>
            <w:vAlign w:val="center"/>
          </w:tcPr>
          <w:p w14:paraId="37240EE9" w14:textId="77777777" w:rsidR="00B50D71" w:rsidRPr="009C186D" w:rsidRDefault="00B50D71" w:rsidP="002807AA">
            <w:pPr>
              <w:jc w:val="center"/>
              <w:rPr>
                <w:color w:val="000000" w:themeColor="text1"/>
                <w:sz w:val="22"/>
                <w:szCs w:val="22"/>
              </w:rPr>
            </w:pPr>
            <w:r w:rsidRPr="009C186D">
              <w:rPr>
                <w:color w:val="000000" w:themeColor="text1"/>
                <w:sz w:val="22"/>
                <w:szCs w:val="22"/>
              </w:rPr>
              <w:t>4,573</w:t>
            </w:r>
          </w:p>
        </w:tc>
        <w:tc>
          <w:tcPr>
            <w:tcW w:w="2355" w:type="dxa"/>
            <w:vMerge w:val="restart"/>
            <w:tcBorders>
              <w:top w:val="nil"/>
              <w:left w:val="nil"/>
              <w:right w:val="nil"/>
            </w:tcBorders>
            <w:shd w:val="clear" w:color="auto" w:fill="auto"/>
            <w:noWrap/>
            <w:vAlign w:val="center"/>
            <w:hideMark/>
          </w:tcPr>
          <w:p w14:paraId="7D5CD0D0" w14:textId="77777777" w:rsidR="00B50D71" w:rsidRPr="009C186D" w:rsidRDefault="00B50D71" w:rsidP="002807AA">
            <w:pPr>
              <w:jc w:val="center"/>
              <w:rPr>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70.34</w:t>
            </w:r>
            <w:r w:rsidRPr="009C186D">
              <w:rPr>
                <w:color w:val="000000" w:themeColor="text1"/>
                <w:sz w:val="22"/>
                <w:szCs w:val="22"/>
                <w:vertAlign w:val="superscript"/>
              </w:rPr>
              <w:t>***</w:t>
            </w:r>
          </w:p>
        </w:tc>
      </w:tr>
      <w:tr w:rsidR="00B50D71" w:rsidRPr="009C186D" w14:paraId="324D7201" w14:textId="77777777" w:rsidTr="002807AA">
        <w:trPr>
          <w:trHeight w:val="288"/>
        </w:trPr>
        <w:tc>
          <w:tcPr>
            <w:tcW w:w="1732" w:type="dxa"/>
            <w:tcBorders>
              <w:top w:val="nil"/>
              <w:left w:val="nil"/>
              <w:bottom w:val="nil"/>
              <w:right w:val="nil"/>
            </w:tcBorders>
            <w:shd w:val="clear" w:color="auto" w:fill="auto"/>
            <w:vAlign w:val="center"/>
            <w:hideMark/>
          </w:tcPr>
          <w:p w14:paraId="2E12486A" w14:textId="77777777" w:rsidR="00B50D71" w:rsidRPr="009C186D" w:rsidRDefault="00B50D71" w:rsidP="002807AA">
            <w:pPr>
              <w:rPr>
                <w:color w:val="000000" w:themeColor="text1"/>
                <w:sz w:val="22"/>
                <w:szCs w:val="22"/>
              </w:rPr>
            </w:pPr>
            <w:r w:rsidRPr="009C186D">
              <w:rPr>
                <w:color w:val="000000" w:themeColor="text1"/>
                <w:sz w:val="22"/>
                <w:szCs w:val="22"/>
              </w:rPr>
              <w:t xml:space="preserve">     Male</w:t>
            </w:r>
          </w:p>
        </w:tc>
        <w:tc>
          <w:tcPr>
            <w:tcW w:w="986" w:type="dxa"/>
            <w:tcBorders>
              <w:top w:val="nil"/>
              <w:left w:val="nil"/>
              <w:bottom w:val="nil"/>
              <w:right w:val="nil"/>
            </w:tcBorders>
            <w:shd w:val="clear" w:color="auto" w:fill="auto"/>
            <w:noWrap/>
            <w:vAlign w:val="center"/>
            <w:hideMark/>
          </w:tcPr>
          <w:p w14:paraId="0E70D5D0" w14:textId="77777777" w:rsidR="00B50D71" w:rsidRPr="009C186D" w:rsidRDefault="00B50D71" w:rsidP="002807AA">
            <w:pPr>
              <w:jc w:val="center"/>
              <w:rPr>
                <w:color w:val="000000" w:themeColor="text1"/>
                <w:sz w:val="22"/>
                <w:szCs w:val="22"/>
              </w:rPr>
            </w:pPr>
            <w:r w:rsidRPr="009C186D">
              <w:rPr>
                <w:color w:val="000000" w:themeColor="text1"/>
                <w:sz w:val="22"/>
                <w:szCs w:val="22"/>
              </w:rPr>
              <w:t>811</w:t>
            </w:r>
          </w:p>
        </w:tc>
        <w:tc>
          <w:tcPr>
            <w:tcW w:w="1047" w:type="dxa"/>
            <w:tcBorders>
              <w:top w:val="nil"/>
              <w:left w:val="nil"/>
              <w:bottom w:val="nil"/>
              <w:right w:val="nil"/>
            </w:tcBorders>
            <w:vAlign w:val="center"/>
          </w:tcPr>
          <w:p w14:paraId="19C75519" w14:textId="77777777" w:rsidR="00B50D71" w:rsidRPr="009C186D" w:rsidRDefault="00B50D71" w:rsidP="002807AA">
            <w:pPr>
              <w:jc w:val="center"/>
              <w:rPr>
                <w:color w:val="000000" w:themeColor="text1"/>
                <w:sz w:val="22"/>
                <w:szCs w:val="22"/>
              </w:rPr>
            </w:pPr>
            <w:r w:rsidRPr="009C186D">
              <w:rPr>
                <w:color w:val="000000" w:themeColor="text1"/>
                <w:sz w:val="22"/>
                <w:szCs w:val="22"/>
              </w:rPr>
              <w:t>5,349</w:t>
            </w:r>
          </w:p>
        </w:tc>
        <w:tc>
          <w:tcPr>
            <w:tcW w:w="2355" w:type="dxa"/>
            <w:vMerge/>
            <w:tcBorders>
              <w:left w:val="nil"/>
              <w:bottom w:val="nil"/>
              <w:right w:val="nil"/>
            </w:tcBorders>
            <w:shd w:val="clear" w:color="auto" w:fill="auto"/>
            <w:noWrap/>
            <w:vAlign w:val="center"/>
            <w:hideMark/>
          </w:tcPr>
          <w:p w14:paraId="0F184CF8" w14:textId="77777777" w:rsidR="00B50D71" w:rsidRPr="009C186D" w:rsidRDefault="00B50D71" w:rsidP="002807AA">
            <w:pPr>
              <w:jc w:val="center"/>
              <w:rPr>
                <w:color w:val="000000" w:themeColor="text1"/>
                <w:sz w:val="22"/>
                <w:szCs w:val="22"/>
              </w:rPr>
            </w:pPr>
          </w:p>
        </w:tc>
      </w:tr>
      <w:tr w:rsidR="00B50D71" w:rsidRPr="009C186D" w14:paraId="7740539D" w14:textId="77777777" w:rsidTr="002807AA">
        <w:trPr>
          <w:trHeight w:val="288"/>
        </w:trPr>
        <w:tc>
          <w:tcPr>
            <w:tcW w:w="1732" w:type="dxa"/>
            <w:tcBorders>
              <w:top w:val="nil"/>
              <w:left w:val="nil"/>
              <w:bottom w:val="nil"/>
              <w:right w:val="nil"/>
            </w:tcBorders>
            <w:shd w:val="clear" w:color="auto" w:fill="auto"/>
            <w:vAlign w:val="center"/>
            <w:hideMark/>
          </w:tcPr>
          <w:p w14:paraId="601B54C5" w14:textId="77777777" w:rsidR="00B50D71" w:rsidRPr="009C186D" w:rsidRDefault="00B50D71" w:rsidP="002807AA">
            <w:pPr>
              <w:rPr>
                <w:color w:val="000000" w:themeColor="text1"/>
                <w:sz w:val="22"/>
                <w:szCs w:val="22"/>
                <w:u w:val="single"/>
              </w:rPr>
            </w:pPr>
            <w:r w:rsidRPr="009C186D">
              <w:rPr>
                <w:color w:val="000000" w:themeColor="text1"/>
                <w:sz w:val="22"/>
                <w:szCs w:val="22"/>
                <w:u w:val="single"/>
              </w:rPr>
              <w:t>Race-Ethnicity</w:t>
            </w:r>
          </w:p>
        </w:tc>
        <w:tc>
          <w:tcPr>
            <w:tcW w:w="986" w:type="dxa"/>
            <w:tcBorders>
              <w:top w:val="nil"/>
              <w:left w:val="nil"/>
              <w:bottom w:val="nil"/>
              <w:right w:val="nil"/>
            </w:tcBorders>
            <w:shd w:val="clear" w:color="auto" w:fill="auto"/>
            <w:noWrap/>
            <w:vAlign w:val="center"/>
            <w:hideMark/>
          </w:tcPr>
          <w:p w14:paraId="1390038D" w14:textId="77777777" w:rsidR="00B50D71" w:rsidRPr="009C186D" w:rsidRDefault="00B50D71" w:rsidP="002807AA">
            <w:pPr>
              <w:jc w:val="center"/>
              <w:rPr>
                <w:color w:val="000000" w:themeColor="text1"/>
                <w:sz w:val="22"/>
                <w:szCs w:val="22"/>
                <w:u w:val="single"/>
              </w:rPr>
            </w:pPr>
          </w:p>
        </w:tc>
        <w:tc>
          <w:tcPr>
            <w:tcW w:w="1047" w:type="dxa"/>
            <w:tcBorders>
              <w:top w:val="nil"/>
              <w:left w:val="nil"/>
              <w:bottom w:val="nil"/>
              <w:right w:val="nil"/>
            </w:tcBorders>
            <w:vAlign w:val="center"/>
          </w:tcPr>
          <w:p w14:paraId="16E506FA" w14:textId="77777777" w:rsidR="00B50D71" w:rsidRPr="009C186D" w:rsidRDefault="00B50D71" w:rsidP="002807AA">
            <w:pPr>
              <w:jc w:val="center"/>
              <w:rPr>
                <w:color w:val="000000" w:themeColor="text1"/>
                <w:sz w:val="22"/>
                <w:szCs w:val="22"/>
              </w:rPr>
            </w:pPr>
          </w:p>
        </w:tc>
        <w:tc>
          <w:tcPr>
            <w:tcW w:w="2355" w:type="dxa"/>
            <w:tcBorders>
              <w:top w:val="nil"/>
              <w:left w:val="nil"/>
              <w:bottom w:val="nil"/>
              <w:right w:val="nil"/>
            </w:tcBorders>
            <w:shd w:val="clear" w:color="auto" w:fill="auto"/>
            <w:noWrap/>
            <w:vAlign w:val="center"/>
            <w:hideMark/>
          </w:tcPr>
          <w:p w14:paraId="6B49549F" w14:textId="77777777" w:rsidR="00B50D71" w:rsidRPr="009C186D" w:rsidRDefault="00B50D71" w:rsidP="002807AA">
            <w:pPr>
              <w:jc w:val="center"/>
              <w:rPr>
                <w:color w:val="000000" w:themeColor="text1"/>
                <w:sz w:val="22"/>
                <w:szCs w:val="22"/>
              </w:rPr>
            </w:pPr>
          </w:p>
        </w:tc>
      </w:tr>
      <w:tr w:rsidR="00B50D71" w:rsidRPr="009C186D" w14:paraId="1674116F" w14:textId="77777777" w:rsidTr="002807AA">
        <w:trPr>
          <w:trHeight w:val="288"/>
        </w:trPr>
        <w:tc>
          <w:tcPr>
            <w:tcW w:w="1732" w:type="dxa"/>
            <w:tcBorders>
              <w:top w:val="nil"/>
              <w:left w:val="nil"/>
              <w:bottom w:val="nil"/>
              <w:right w:val="nil"/>
            </w:tcBorders>
            <w:shd w:val="clear" w:color="auto" w:fill="auto"/>
            <w:vAlign w:val="center"/>
            <w:hideMark/>
          </w:tcPr>
          <w:p w14:paraId="79D4B7FA" w14:textId="77777777" w:rsidR="00B50D71" w:rsidRPr="009C186D" w:rsidRDefault="00B50D71" w:rsidP="002807AA">
            <w:pPr>
              <w:rPr>
                <w:color w:val="000000" w:themeColor="text1"/>
                <w:sz w:val="22"/>
                <w:szCs w:val="22"/>
              </w:rPr>
            </w:pPr>
            <w:r w:rsidRPr="009C186D">
              <w:rPr>
                <w:color w:val="000000" w:themeColor="text1"/>
                <w:sz w:val="22"/>
                <w:szCs w:val="22"/>
              </w:rPr>
              <w:t xml:space="preserve">     White</w:t>
            </w:r>
          </w:p>
        </w:tc>
        <w:tc>
          <w:tcPr>
            <w:tcW w:w="986" w:type="dxa"/>
            <w:tcBorders>
              <w:top w:val="nil"/>
              <w:left w:val="nil"/>
              <w:bottom w:val="nil"/>
              <w:right w:val="nil"/>
            </w:tcBorders>
            <w:shd w:val="clear" w:color="auto" w:fill="auto"/>
            <w:noWrap/>
            <w:vAlign w:val="center"/>
            <w:hideMark/>
          </w:tcPr>
          <w:p w14:paraId="70A2DB18" w14:textId="77777777" w:rsidR="00B50D71" w:rsidRPr="009C186D" w:rsidRDefault="00B50D71" w:rsidP="002807AA">
            <w:pPr>
              <w:jc w:val="center"/>
              <w:rPr>
                <w:color w:val="000000" w:themeColor="text1"/>
                <w:sz w:val="22"/>
                <w:szCs w:val="22"/>
              </w:rPr>
            </w:pPr>
            <w:r w:rsidRPr="009C186D">
              <w:rPr>
                <w:color w:val="000000" w:themeColor="text1"/>
                <w:sz w:val="22"/>
                <w:szCs w:val="22"/>
              </w:rPr>
              <w:t>1,145</w:t>
            </w:r>
          </w:p>
        </w:tc>
        <w:tc>
          <w:tcPr>
            <w:tcW w:w="1047" w:type="dxa"/>
            <w:tcBorders>
              <w:top w:val="nil"/>
              <w:left w:val="nil"/>
              <w:bottom w:val="nil"/>
              <w:right w:val="nil"/>
            </w:tcBorders>
            <w:vAlign w:val="center"/>
          </w:tcPr>
          <w:p w14:paraId="32BC0980" w14:textId="77777777" w:rsidR="00B50D71" w:rsidRPr="009C186D" w:rsidRDefault="00B50D71" w:rsidP="002807AA">
            <w:pPr>
              <w:jc w:val="center"/>
              <w:rPr>
                <w:color w:val="000000" w:themeColor="text1"/>
                <w:sz w:val="22"/>
                <w:szCs w:val="22"/>
              </w:rPr>
            </w:pPr>
            <w:r w:rsidRPr="009C186D">
              <w:rPr>
                <w:color w:val="000000" w:themeColor="text1"/>
                <w:sz w:val="22"/>
                <w:szCs w:val="22"/>
              </w:rPr>
              <w:t>727</w:t>
            </w:r>
          </w:p>
        </w:tc>
        <w:tc>
          <w:tcPr>
            <w:tcW w:w="2355" w:type="dxa"/>
            <w:tcBorders>
              <w:top w:val="nil"/>
              <w:left w:val="nil"/>
              <w:bottom w:val="nil"/>
              <w:right w:val="nil"/>
            </w:tcBorders>
            <w:shd w:val="clear" w:color="auto" w:fill="auto"/>
            <w:noWrap/>
            <w:vAlign w:val="center"/>
            <w:hideMark/>
          </w:tcPr>
          <w:p w14:paraId="72C54EFC" w14:textId="77777777" w:rsidR="00B50D71" w:rsidRPr="009C186D" w:rsidRDefault="00B50D71" w:rsidP="002807AA">
            <w:pPr>
              <w:jc w:val="center"/>
              <w:rPr>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72.38</w:t>
            </w:r>
            <w:r w:rsidRPr="009C186D">
              <w:rPr>
                <w:color w:val="000000" w:themeColor="text1"/>
                <w:sz w:val="22"/>
                <w:szCs w:val="22"/>
                <w:vertAlign w:val="superscript"/>
              </w:rPr>
              <w:t>***</w:t>
            </w:r>
          </w:p>
        </w:tc>
      </w:tr>
      <w:tr w:rsidR="00B50D71" w:rsidRPr="009C186D" w14:paraId="22769CEC" w14:textId="77777777" w:rsidTr="002807AA">
        <w:trPr>
          <w:trHeight w:val="288"/>
        </w:trPr>
        <w:tc>
          <w:tcPr>
            <w:tcW w:w="1732" w:type="dxa"/>
            <w:tcBorders>
              <w:top w:val="nil"/>
              <w:left w:val="nil"/>
              <w:bottom w:val="nil"/>
              <w:right w:val="nil"/>
            </w:tcBorders>
            <w:shd w:val="clear" w:color="auto" w:fill="auto"/>
            <w:vAlign w:val="center"/>
            <w:hideMark/>
          </w:tcPr>
          <w:p w14:paraId="7DCD9AC6" w14:textId="77777777" w:rsidR="00B50D71" w:rsidRPr="009C186D" w:rsidRDefault="00B50D71" w:rsidP="002807AA">
            <w:pPr>
              <w:rPr>
                <w:color w:val="000000" w:themeColor="text1"/>
                <w:sz w:val="22"/>
                <w:szCs w:val="22"/>
              </w:rPr>
            </w:pPr>
            <w:r w:rsidRPr="009C186D">
              <w:rPr>
                <w:color w:val="000000" w:themeColor="text1"/>
                <w:sz w:val="22"/>
                <w:szCs w:val="22"/>
              </w:rPr>
              <w:t xml:space="preserve">     Hispanic</w:t>
            </w:r>
          </w:p>
        </w:tc>
        <w:tc>
          <w:tcPr>
            <w:tcW w:w="986" w:type="dxa"/>
            <w:tcBorders>
              <w:top w:val="nil"/>
              <w:left w:val="nil"/>
              <w:bottom w:val="nil"/>
              <w:right w:val="nil"/>
            </w:tcBorders>
            <w:shd w:val="clear" w:color="auto" w:fill="auto"/>
            <w:noWrap/>
            <w:vAlign w:val="center"/>
            <w:hideMark/>
          </w:tcPr>
          <w:p w14:paraId="53B79AC2" w14:textId="77777777" w:rsidR="00B50D71" w:rsidRPr="009C186D" w:rsidRDefault="00B50D71" w:rsidP="002807AA">
            <w:pPr>
              <w:jc w:val="center"/>
              <w:rPr>
                <w:color w:val="000000" w:themeColor="text1"/>
                <w:sz w:val="22"/>
                <w:szCs w:val="22"/>
              </w:rPr>
            </w:pPr>
            <w:r w:rsidRPr="009C186D">
              <w:rPr>
                <w:color w:val="000000" w:themeColor="text1"/>
                <w:sz w:val="22"/>
                <w:szCs w:val="22"/>
              </w:rPr>
              <w:t>327</w:t>
            </w:r>
          </w:p>
        </w:tc>
        <w:tc>
          <w:tcPr>
            <w:tcW w:w="1047" w:type="dxa"/>
            <w:tcBorders>
              <w:top w:val="nil"/>
              <w:left w:val="nil"/>
              <w:bottom w:val="nil"/>
              <w:right w:val="nil"/>
            </w:tcBorders>
            <w:vAlign w:val="center"/>
          </w:tcPr>
          <w:p w14:paraId="45B8F5FE" w14:textId="77777777" w:rsidR="00B50D71" w:rsidRPr="009C186D" w:rsidRDefault="00B50D71" w:rsidP="002807AA">
            <w:pPr>
              <w:jc w:val="center"/>
              <w:rPr>
                <w:color w:val="000000" w:themeColor="text1"/>
                <w:sz w:val="22"/>
                <w:szCs w:val="22"/>
              </w:rPr>
            </w:pPr>
            <w:r w:rsidRPr="009C186D">
              <w:rPr>
                <w:color w:val="000000" w:themeColor="text1"/>
                <w:sz w:val="22"/>
                <w:szCs w:val="22"/>
              </w:rPr>
              <w:t>1,545</w:t>
            </w:r>
          </w:p>
        </w:tc>
        <w:tc>
          <w:tcPr>
            <w:tcW w:w="2355" w:type="dxa"/>
            <w:tcBorders>
              <w:top w:val="nil"/>
              <w:left w:val="nil"/>
              <w:bottom w:val="nil"/>
              <w:right w:val="nil"/>
            </w:tcBorders>
            <w:shd w:val="clear" w:color="auto" w:fill="auto"/>
            <w:noWrap/>
            <w:vAlign w:val="center"/>
            <w:hideMark/>
          </w:tcPr>
          <w:p w14:paraId="63C1F23B" w14:textId="77777777" w:rsidR="00B50D71" w:rsidRPr="009C186D" w:rsidRDefault="00B50D71" w:rsidP="002807AA">
            <w:pPr>
              <w:jc w:val="center"/>
              <w:rPr>
                <w:i/>
                <w:iCs/>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11.19</w:t>
            </w:r>
            <w:r w:rsidRPr="009C186D">
              <w:rPr>
                <w:i/>
                <w:iCs/>
                <w:color w:val="000000" w:themeColor="text1"/>
                <w:sz w:val="22"/>
                <w:szCs w:val="22"/>
                <w:vertAlign w:val="superscript"/>
              </w:rPr>
              <w:t>***</w:t>
            </w:r>
          </w:p>
        </w:tc>
      </w:tr>
      <w:tr w:rsidR="00B50D71" w:rsidRPr="009C186D" w14:paraId="678EDCC0" w14:textId="77777777" w:rsidTr="002807AA">
        <w:trPr>
          <w:trHeight w:val="288"/>
        </w:trPr>
        <w:tc>
          <w:tcPr>
            <w:tcW w:w="1732" w:type="dxa"/>
            <w:tcBorders>
              <w:top w:val="nil"/>
              <w:left w:val="nil"/>
              <w:right w:val="nil"/>
            </w:tcBorders>
            <w:shd w:val="clear" w:color="auto" w:fill="auto"/>
            <w:vAlign w:val="center"/>
            <w:hideMark/>
          </w:tcPr>
          <w:p w14:paraId="3B6EDB42" w14:textId="77777777" w:rsidR="00B50D71" w:rsidRPr="009C186D" w:rsidRDefault="00B50D71" w:rsidP="002807AA">
            <w:pPr>
              <w:rPr>
                <w:color w:val="000000" w:themeColor="text1"/>
                <w:sz w:val="22"/>
                <w:szCs w:val="22"/>
              </w:rPr>
            </w:pPr>
            <w:r w:rsidRPr="009C186D">
              <w:rPr>
                <w:color w:val="000000" w:themeColor="text1"/>
                <w:sz w:val="22"/>
                <w:szCs w:val="22"/>
              </w:rPr>
              <w:t xml:space="preserve">     Black</w:t>
            </w:r>
          </w:p>
        </w:tc>
        <w:tc>
          <w:tcPr>
            <w:tcW w:w="986" w:type="dxa"/>
            <w:tcBorders>
              <w:top w:val="nil"/>
              <w:left w:val="nil"/>
              <w:right w:val="nil"/>
            </w:tcBorders>
            <w:shd w:val="clear" w:color="auto" w:fill="auto"/>
            <w:noWrap/>
            <w:vAlign w:val="center"/>
            <w:hideMark/>
          </w:tcPr>
          <w:p w14:paraId="26DE3E6E" w14:textId="77777777" w:rsidR="00B50D71" w:rsidRPr="009C186D" w:rsidRDefault="00B50D71" w:rsidP="002807AA">
            <w:pPr>
              <w:jc w:val="center"/>
              <w:rPr>
                <w:color w:val="000000" w:themeColor="text1"/>
                <w:sz w:val="22"/>
                <w:szCs w:val="22"/>
              </w:rPr>
            </w:pPr>
            <w:r w:rsidRPr="009C186D">
              <w:rPr>
                <w:color w:val="000000" w:themeColor="text1"/>
                <w:sz w:val="22"/>
                <w:szCs w:val="22"/>
              </w:rPr>
              <w:t>163</w:t>
            </w:r>
          </w:p>
        </w:tc>
        <w:tc>
          <w:tcPr>
            <w:tcW w:w="1047" w:type="dxa"/>
            <w:tcBorders>
              <w:top w:val="nil"/>
              <w:left w:val="nil"/>
              <w:right w:val="nil"/>
            </w:tcBorders>
            <w:vAlign w:val="center"/>
          </w:tcPr>
          <w:p w14:paraId="370DD86E" w14:textId="77777777" w:rsidR="00B50D71" w:rsidRPr="009C186D" w:rsidRDefault="00B50D71" w:rsidP="002807AA">
            <w:pPr>
              <w:jc w:val="center"/>
              <w:rPr>
                <w:color w:val="000000" w:themeColor="text1"/>
                <w:sz w:val="22"/>
                <w:szCs w:val="22"/>
              </w:rPr>
            </w:pPr>
            <w:r w:rsidRPr="009C186D">
              <w:rPr>
                <w:color w:val="000000" w:themeColor="text1"/>
                <w:sz w:val="22"/>
                <w:szCs w:val="22"/>
              </w:rPr>
              <w:t>1,709</w:t>
            </w:r>
          </w:p>
        </w:tc>
        <w:tc>
          <w:tcPr>
            <w:tcW w:w="2355" w:type="dxa"/>
            <w:tcBorders>
              <w:top w:val="nil"/>
              <w:left w:val="nil"/>
              <w:right w:val="nil"/>
            </w:tcBorders>
            <w:shd w:val="clear" w:color="auto" w:fill="auto"/>
            <w:noWrap/>
            <w:vAlign w:val="center"/>
            <w:hideMark/>
          </w:tcPr>
          <w:p w14:paraId="2934BEF7" w14:textId="77777777" w:rsidR="00B50D71" w:rsidRPr="009C186D" w:rsidRDefault="00B50D71" w:rsidP="002807AA">
            <w:pPr>
              <w:jc w:val="center"/>
              <w:rPr>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66.07</w:t>
            </w:r>
            <w:r w:rsidRPr="009C186D">
              <w:rPr>
                <w:color w:val="000000" w:themeColor="text1"/>
                <w:sz w:val="22"/>
                <w:szCs w:val="22"/>
                <w:vertAlign w:val="superscript"/>
              </w:rPr>
              <w:t>***</w:t>
            </w:r>
          </w:p>
        </w:tc>
      </w:tr>
      <w:tr w:rsidR="00B50D71" w:rsidRPr="009C186D" w14:paraId="0B32E678" w14:textId="77777777" w:rsidTr="002807AA">
        <w:trPr>
          <w:trHeight w:val="288"/>
        </w:trPr>
        <w:tc>
          <w:tcPr>
            <w:tcW w:w="1732" w:type="dxa"/>
            <w:tcBorders>
              <w:top w:val="nil"/>
              <w:left w:val="nil"/>
              <w:bottom w:val="single" w:sz="18" w:space="0" w:color="auto"/>
              <w:right w:val="nil"/>
            </w:tcBorders>
            <w:shd w:val="clear" w:color="auto" w:fill="auto"/>
            <w:vAlign w:val="center"/>
            <w:hideMark/>
          </w:tcPr>
          <w:p w14:paraId="6EB7957A" w14:textId="77777777" w:rsidR="00B50D71" w:rsidRPr="009C186D" w:rsidRDefault="00B50D71" w:rsidP="002807AA">
            <w:pPr>
              <w:rPr>
                <w:color w:val="000000" w:themeColor="text1"/>
                <w:sz w:val="22"/>
                <w:szCs w:val="22"/>
              </w:rPr>
            </w:pPr>
            <w:r w:rsidRPr="009C186D">
              <w:rPr>
                <w:color w:val="000000" w:themeColor="text1"/>
                <w:sz w:val="22"/>
                <w:szCs w:val="22"/>
              </w:rPr>
              <w:t xml:space="preserve">     Other</w:t>
            </w:r>
          </w:p>
        </w:tc>
        <w:tc>
          <w:tcPr>
            <w:tcW w:w="986" w:type="dxa"/>
            <w:tcBorders>
              <w:top w:val="nil"/>
              <w:left w:val="nil"/>
              <w:bottom w:val="single" w:sz="18" w:space="0" w:color="auto"/>
              <w:right w:val="nil"/>
            </w:tcBorders>
            <w:shd w:val="clear" w:color="auto" w:fill="auto"/>
            <w:noWrap/>
            <w:vAlign w:val="center"/>
            <w:hideMark/>
          </w:tcPr>
          <w:p w14:paraId="13EE6076" w14:textId="77777777" w:rsidR="00B50D71" w:rsidRPr="009C186D" w:rsidRDefault="00B50D71" w:rsidP="002807AA">
            <w:pPr>
              <w:jc w:val="center"/>
              <w:rPr>
                <w:color w:val="000000" w:themeColor="text1"/>
                <w:sz w:val="22"/>
                <w:szCs w:val="22"/>
              </w:rPr>
            </w:pPr>
            <w:r w:rsidRPr="009C186D">
              <w:rPr>
                <w:color w:val="000000" w:themeColor="text1"/>
                <w:sz w:val="22"/>
                <w:szCs w:val="22"/>
              </w:rPr>
              <w:t>237</w:t>
            </w:r>
          </w:p>
        </w:tc>
        <w:tc>
          <w:tcPr>
            <w:tcW w:w="1047" w:type="dxa"/>
            <w:tcBorders>
              <w:top w:val="nil"/>
              <w:left w:val="nil"/>
              <w:bottom w:val="single" w:sz="18" w:space="0" w:color="auto"/>
              <w:right w:val="nil"/>
            </w:tcBorders>
            <w:vAlign w:val="center"/>
          </w:tcPr>
          <w:p w14:paraId="3AF73B27" w14:textId="77777777" w:rsidR="00B50D71" w:rsidRPr="009C186D" w:rsidRDefault="00B50D71" w:rsidP="002807AA">
            <w:pPr>
              <w:jc w:val="center"/>
              <w:rPr>
                <w:color w:val="000000" w:themeColor="text1"/>
                <w:sz w:val="22"/>
                <w:szCs w:val="22"/>
              </w:rPr>
            </w:pPr>
            <w:r w:rsidRPr="009C186D">
              <w:rPr>
                <w:color w:val="000000" w:themeColor="text1"/>
                <w:sz w:val="22"/>
                <w:szCs w:val="22"/>
              </w:rPr>
              <w:t>1,635</w:t>
            </w:r>
          </w:p>
        </w:tc>
        <w:tc>
          <w:tcPr>
            <w:tcW w:w="2355" w:type="dxa"/>
            <w:tcBorders>
              <w:top w:val="nil"/>
              <w:left w:val="nil"/>
              <w:bottom w:val="single" w:sz="18" w:space="0" w:color="auto"/>
              <w:right w:val="nil"/>
            </w:tcBorders>
            <w:shd w:val="clear" w:color="auto" w:fill="auto"/>
            <w:noWrap/>
            <w:vAlign w:val="center"/>
            <w:hideMark/>
          </w:tcPr>
          <w:p w14:paraId="39A5080E" w14:textId="77777777" w:rsidR="00B50D71" w:rsidRPr="009C186D" w:rsidRDefault="00B50D71" w:rsidP="002807AA">
            <w:pPr>
              <w:jc w:val="center"/>
              <w:rPr>
                <w:i/>
                <w:iCs/>
                <w:color w:val="000000" w:themeColor="text1"/>
                <w:sz w:val="22"/>
                <w:szCs w:val="22"/>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0.00</w:t>
            </w:r>
            <w:r w:rsidRPr="009C186D">
              <w:rPr>
                <w:i/>
                <w:iCs/>
                <w:color w:val="000000" w:themeColor="text1"/>
                <w:sz w:val="22"/>
                <w:szCs w:val="22"/>
                <w:vertAlign w:val="superscript"/>
              </w:rPr>
              <w:t>ns</w:t>
            </w:r>
          </w:p>
        </w:tc>
      </w:tr>
    </w:tbl>
    <w:p w14:paraId="3AC033DB" w14:textId="77777777" w:rsidR="00B50D71" w:rsidRPr="009C186D" w:rsidRDefault="00B50D71" w:rsidP="00B50D71">
      <w:pPr>
        <w:rPr>
          <w:sz w:val="22"/>
          <w:szCs w:val="22"/>
        </w:rPr>
      </w:pPr>
    </w:p>
    <w:p w14:paraId="7A921D1D" w14:textId="77777777" w:rsidR="00B50D71" w:rsidRDefault="00B50D71" w:rsidP="00B50D71">
      <w:pPr>
        <w:rPr>
          <w:sz w:val="22"/>
          <w:szCs w:val="22"/>
        </w:rPr>
      </w:pPr>
      <w:r>
        <w:rPr>
          <w:sz w:val="22"/>
          <w:szCs w:val="22"/>
        </w:rPr>
        <w:br w:type="page"/>
      </w:r>
    </w:p>
    <w:p w14:paraId="5273E974" w14:textId="704410E3" w:rsidR="00B50D71" w:rsidRPr="00F50B1A" w:rsidRDefault="00432B71" w:rsidP="00B50D71">
      <w:pPr>
        <w:pStyle w:val="Heading1"/>
        <w:rPr>
          <w:rFonts w:ascii="Times New Roman" w:hAnsi="Times New Roman" w:cs="Times New Roman"/>
          <w:color w:val="000000" w:themeColor="text1"/>
          <w:sz w:val="24"/>
          <w:szCs w:val="24"/>
        </w:rPr>
      </w:pPr>
      <w:bookmarkStart w:id="13" w:name="_Toc155817680"/>
      <w:r>
        <w:rPr>
          <w:rFonts w:ascii="Times New Roman" w:hAnsi="Times New Roman" w:cs="Times New Roman"/>
          <w:b/>
          <w:bCs/>
          <w:color w:val="000000" w:themeColor="text1"/>
          <w:sz w:val="24"/>
          <w:szCs w:val="24"/>
        </w:rPr>
        <w:lastRenderedPageBreak/>
        <w:t xml:space="preserve">Table </w:t>
      </w:r>
      <w:r w:rsidR="00B50D71" w:rsidRPr="00F50B1A">
        <w:rPr>
          <w:rFonts w:ascii="Times New Roman" w:hAnsi="Times New Roman" w:cs="Times New Roman"/>
          <w:b/>
          <w:bCs/>
          <w:color w:val="000000" w:themeColor="text1"/>
          <w:sz w:val="24"/>
          <w:szCs w:val="24"/>
        </w:rPr>
        <w:t>1d.</w:t>
      </w:r>
      <w:r w:rsidR="00B50D71" w:rsidRPr="00F50B1A">
        <w:rPr>
          <w:rFonts w:ascii="Times New Roman" w:hAnsi="Times New Roman" w:cs="Times New Roman"/>
          <w:color w:val="000000" w:themeColor="text1"/>
          <w:sz w:val="24"/>
          <w:szCs w:val="24"/>
        </w:rPr>
        <w:t xml:space="preserve"> Comparison of included and excluded subjects for the stop signal task</w:t>
      </w:r>
      <w:bookmarkEnd w:id="13"/>
    </w:p>
    <w:p w14:paraId="43CFF429" w14:textId="77777777" w:rsidR="00B50D71" w:rsidRDefault="00B50D71" w:rsidP="00B50D71">
      <w:pPr>
        <w:rPr>
          <w:sz w:val="22"/>
          <w:szCs w:val="22"/>
        </w:rPr>
      </w:pPr>
    </w:p>
    <w:tbl>
      <w:tblPr>
        <w:tblW w:w="6120" w:type="dxa"/>
        <w:tblLook w:val="04A0" w:firstRow="1" w:lastRow="0" w:firstColumn="1" w:lastColumn="0" w:noHBand="0" w:noVBand="1"/>
      </w:tblPr>
      <w:tblGrid>
        <w:gridCol w:w="1732"/>
        <w:gridCol w:w="986"/>
        <w:gridCol w:w="1047"/>
        <w:gridCol w:w="2355"/>
      </w:tblGrid>
      <w:tr w:rsidR="00B50D71" w:rsidRPr="00235E0F" w14:paraId="15D464F6" w14:textId="77777777" w:rsidTr="002807AA">
        <w:trPr>
          <w:trHeight w:val="320"/>
        </w:trPr>
        <w:tc>
          <w:tcPr>
            <w:tcW w:w="6120" w:type="dxa"/>
            <w:gridSpan w:val="4"/>
            <w:tcBorders>
              <w:top w:val="single" w:sz="18" w:space="0" w:color="auto"/>
              <w:left w:val="nil"/>
              <w:right w:val="nil"/>
            </w:tcBorders>
            <w:shd w:val="clear" w:color="auto" w:fill="auto"/>
            <w:noWrap/>
            <w:vAlign w:val="center"/>
            <w:hideMark/>
          </w:tcPr>
          <w:p w14:paraId="1BD6ADC0" w14:textId="77777777" w:rsidR="00B50D71" w:rsidRPr="009C186D" w:rsidRDefault="00B50D71" w:rsidP="002807AA">
            <w:pPr>
              <w:jc w:val="center"/>
              <w:rPr>
                <w:color w:val="000000" w:themeColor="text1"/>
                <w:sz w:val="22"/>
                <w:szCs w:val="22"/>
              </w:rPr>
            </w:pPr>
            <w:r w:rsidRPr="009C186D">
              <w:rPr>
                <w:color w:val="000000" w:themeColor="text1"/>
                <w:sz w:val="22"/>
                <w:szCs w:val="22"/>
              </w:rPr>
              <w:t>SST</w:t>
            </w:r>
          </w:p>
        </w:tc>
      </w:tr>
      <w:tr w:rsidR="00B50D71" w:rsidRPr="00791BC2" w14:paraId="5098034F" w14:textId="77777777" w:rsidTr="002807AA">
        <w:trPr>
          <w:trHeight w:val="340"/>
        </w:trPr>
        <w:tc>
          <w:tcPr>
            <w:tcW w:w="1732" w:type="dxa"/>
            <w:tcBorders>
              <w:top w:val="single" w:sz="18" w:space="0" w:color="auto"/>
              <w:left w:val="nil"/>
              <w:right w:val="nil"/>
            </w:tcBorders>
            <w:shd w:val="clear" w:color="auto" w:fill="auto"/>
            <w:vAlign w:val="center"/>
            <w:hideMark/>
          </w:tcPr>
          <w:p w14:paraId="1031EC6A" w14:textId="77777777" w:rsidR="00B50D71" w:rsidRPr="009C186D" w:rsidRDefault="00B50D71" w:rsidP="002807AA">
            <w:pPr>
              <w:rPr>
                <w:color w:val="000000" w:themeColor="text1"/>
                <w:sz w:val="22"/>
                <w:szCs w:val="22"/>
              </w:rPr>
            </w:pPr>
            <w:r w:rsidRPr="009C186D">
              <w:rPr>
                <w:color w:val="000000" w:themeColor="text1"/>
                <w:sz w:val="22"/>
                <w:szCs w:val="22"/>
              </w:rPr>
              <w:t xml:space="preserve">       </w:t>
            </w:r>
          </w:p>
        </w:tc>
        <w:tc>
          <w:tcPr>
            <w:tcW w:w="986" w:type="dxa"/>
            <w:tcBorders>
              <w:top w:val="single" w:sz="18" w:space="0" w:color="auto"/>
              <w:left w:val="nil"/>
              <w:bottom w:val="single" w:sz="8" w:space="0" w:color="auto"/>
              <w:right w:val="nil"/>
            </w:tcBorders>
            <w:shd w:val="clear" w:color="auto" w:fill="auto"/>
            <w:noWrap/>
            <w:vAlign w:val="center"/>
            <w:hideMark/>
          </w:tcPr>
          <w:p w14:paraId="66475714" w14:textId="77777777" w:rsidR="00B50D71" w:rsidRPr="009C186D" w:rsidRDefault="00B50D71" w:rsidP="002807AA">
            <w:pPr>
              <w:jc w:val="center"/>
              <w:rPr>
                <w:color w:val="000000" w:themeColor="text1"/>
                <w:sz w:val="22"/>
                <w:szCs w:val="22"/>
              </w:rPr>
            </w:pPr>
            <w:r w:rsidRPr="009C186D">
              <w:rPr>
                <w:color w:val="000000" w:themeColor="text1"/>
                <w:sz w:val="22"/>
                <w:szCs w:val="22"/>
              </w:rPr>
              <w:t>Included</w:t>
            </w:r>
          </w:p>
        </w:tc>
        <w:tc>
          <w:tcPr>
            <w:tcW w:w="1047" w:type="dxa"/>
            <w:tcBorders>
              <w:top w:val="single" w:sz="18" w:space="0" w:color="auto"/>
              <w:left w:val="nil"/>
              <w:bottom w:val="single" w:sz="8" w:space="0" w:color="auto"/>
              <w:right w:val="nil"/>
            </w:tcBorders>
            <w:vAlign w:val="center"/>
          </w:tcPr>
          <w:p w14:paraId="59E4796C" w14:textId="77777777" w:rsidR="00B50D71" w:rsidRPr="009C186D" w:rsidRDefault="00B50D71" w:rsidP="002807AA">
            <w:pPr>
              <w:jc w:val="center"/>
              <w:rPr>
                <w:color w:val="000000" w:themeColor="text1"/>
                <w:sz w:val="22"/>
                <w:szCs w:val="22"/>
              </w:rPr>
            </w:pPr>
            <w:r w:rsidRPr="009C186D">
              <w:rPr>
                <w:color w:val="000000" w:themeColor="text1"/>
                <w:sz w:val="22"/>
                <w:szCs w:val="22"/>
              </w:rPr>
              <w:t>Excluded</w:t>
            </w:r>
          </w:p>
        </w:tc>
        <w:tc>
          <w:tcPr>
            <w:tcW w:w="2355" w:type="dxa"/>
            <w:tcBorders>
              <w:top w:val="single" w:sz="18" w:space="0" w:color="auto"/>
              <w:left w:val="nil"/>
              <w:bottom w:val="single" w:sz="8" w:space="0" w:color="auto"/>
              <w:right w:val="nil"/>
            </w:tcBorders>
            <w:shd w:val="clear" w:color="auto" w:fill="auto"/>
            <w:noWrap/>
            <w:vAlign w:val="center"/>
            <w:hideMark/>
          </w:tcPr>
          <w:p w14:paraId="2D13184D" w14:textId="77777777" w:rsidR="00B50D71" w:rsidRPr="009C186D" w:rsidRDefault="00B50D71" w:rsidP="002807AA">
            <w:pPr>
              <w:jc w:val="center"/>
              <w:rPr>
                <w:color w:val="000000" w:themeColor="text1"/>
                <w:sz w:val="22"/>
                <w:szCs w:val="22"/>
              </w:rPr>
            </w:pPr>
            <w:r w:rsidRPr="009C186D">
              <w:rPr>
                <w:color w:val="000000" w:themeColor="text1"/>
                <w:sz w:val="22"/>
                <w:szCs w:val="22"/>
              </w:rPr>
              <w:t>Difference</w:t>
            </w:r>
          </w:p>
        </w:tc>
      </w:tr>
      <w:tr w:rsidR="00B50D71" w:rsidRPr="00E962FB" w14:paraId="0A465998" w14:textId="77777777" w:rsidTr="002807AA">
        <w:trPr>
          <w:trHeight w:val="340"/>
        </w:trPr>
        <w:tc>
          <w:tcPr>
            <w:tcW w:w="1732" w:type="dxa"/>
            <w:tcBorders>
              <w:left w:val="nil"/>
              <w:right w:val="nil"/>
            </w:tcBorders>
            <w:shd w:val="clear" w:color="auto" w:fill="auto"/>
            <w:vAlign w:val="center"/>
          </w:tcPr>
          <w:p w14:paraId="72C3D685" w14:textId="77777777" w:rsidR="00B50D71" w:rsidRPr="009C186D" w:rsidRDefault="00B50D71" w:rsidP="002807AA">
            <w:pPr>
              <w:rPr>
                <w:color w:val="000000" w:themeColor="text1"/>
                <w:sz w:val="22"/>
                <w:szCs w:val="22"/>
              </w:rPr>
            </w:pPr>
          </w:p>
        </w:tc>
        <w:tc>
          <w:tcPr>
            <w:tcW w:w="2033" w:type="dxa"/>
            <w:gridSpan w:val="2"/>
            <w:tcBorders>
              <w:left w:val="nil"/>
              <w:right w:val="nil"/>
            </w:tcBorders>
            <w:shd w:val="clear" w:color="auto" w:fill="auto"/>
            <w:noWrap/>
            <w:vAlign w:val="center"/>
          </w:tcPr>
          <w:p w14:paraId="5E09B0F0" w14:textId="77777777" w:rsidR="00B50D71" w:rsidRPr="009C186D" w:rsidRDefault="00B50D71" w:rsidP="002807AA">
            <w:pPr>
              <w:jc w:val="center"/>
              <w:rPr>
                <w:color w:val="000000" w:themeColor="text1"/>
                <w:sz w:val="22"/>
                <w:szCs w:val="22"/>
              </w:rPr>
            </w:pPr>
            <w:r w:rsidRPr="009C186D">
              <w:rPr>
                <w:color w:val="000000" w:themeColor="text1"/>
                <w:sz w:val="22"/>
                <w:szCs w:val="22"/>
              </w:rPr>
              <w:t>Mean</w:t>
            </w:r>
          </w:p>
        </w:tc>
        <w:tc>
          <w:tcPr>
            <w:tcW w:w="2355" w:type="dxa"/>
            <w:tcBorders>
              <w:top w:val="single" w:sz="8" w:space="0" w:color="auto"/>
              <w:left w:val="nil"/>
              <w:bottom w:val="single" w:sz="8" w:space="0" w:color="auto"/>
              <w:right w:val="nil"/>
            </w:tcBorders>
            <w:shd w:val="clear" w:color="auto" w:fill="auto"/>
            <w:noWrap/>
            <w:vAlign w:val="center"/>
          </w:tcPr>
          <w:p w14:paraId="34D5D482" w14:textId="77777777" w:rsidR="00B50D71" w:rsidRPr="009C186D" w:rsidRDefault="00B50D71" w:rsidP="002807AA">
            <w:pPr>
              <w:jc w:val="center"/>
              <w:rPr>
                <w:color w:val="000000" w:themeColor="text1"/>
                <w:sz w:val="22"/>
                <w:szCs w:val="22"/>
              </w:rPr>
            </w:pPr>
            <w:r w:rsidRPr="009C186D">
              <w:rPr>
                <w:color w:val="000000" w:themeColor="text1"/>
                <w:sz w:val="22"/>
                <w:szCs w:val="22"/>
              </w:rPr>
              <w:t>t-test</w:t>
            </w:r>
          </w:p>
        </w:tc>
      </w:tr>
      <w:tr w:rsidR="00B50D71" w:rsidRPr="00E63C81" w14:paraId="5F3EBA16" w14:textId="77777777" w:rsidTr="002807AA">
        <w:trPr>
          <w:trHeight w:val="340"/>
        </w:trPr>
        <w:tc>
          <w:tcPr>
            <w:tcW w:w="1732" w:type="dxa"/>
            <w:tcBorders>
              <w:left w:val="nil"/>
              <w:right w:val="nil"/>
            </w:tcBorders>
            <w:shd w:val="clear" w:color="auto" w:fill="auto"/>
            <w:vAlign w:val="center"/>
            <w:hideMark/>
          </w:tcPr>
          <w:p w14:paraId="47E7D1F1" w14:textId="77777777" w:rsidR="00B50D71" w:rsidRPr="009C186D" w:rsidRDefault="00B50D71" w:rsidP="002807AA">
            <w:pPr>
              <w:rPr>
                <w:color w:val="000000" w:themeColor="text1"/>
                <w:sz w:val="22"/>
                <w:szCs w:val="22"/>
              </w:rPr>
            </w:pPr>
            <w:r w:rsidRPr="009C186D">
              <w:rPr>
                <w:color w:val="000000" w:themeColor="text1"/>
                <w:sz w:val="22"/>
                <w:szCs w:val="22"/>
              </w:rPr>
              <w:t>Age (years)</w:t>
            </w:r>
          </w:p>
        </w:tc>
        <w:tc>
          <w:tcPr>
            <w:tcW w:w="986" w:type="dxa"/>
            <w:tcBorders>
              <w:top w:val="single" w:sz="8" w:space="0" w:color="auto"/>
              <w:left w:val="nil"/>
              <w:right w:val="nil"/>
            </w:tcBorders>
            <w:shd w:val="clear" w:color="auto" w:fill="auto"/>
            <w:noWrap/>
            <w:vAlign w:val="center"/>
            <w:hideMark/>
          </w:tcPr>
          <w:p w14:paraId="236DED75" w14:textId="77777777" w:rsidR="00B50D71" w:rsidRPr="009C186D" w:rsidRDefault="00B50D71" w:rsidP="002807AA">
            <w:pPr>
              <w:jc w:val="center"/>
              <w:rPr>
                <w:color w:val="000000" w:themeColor="text1"/>
                <w:sz w:val="22"/>
                <w:szCs w:val="22"/>
              </w:rPr>
            </w:pPr>
            <w:r w:rsidRPr="009C186D">
              <w:rPr>
                <w:color w:val="000000" w:themeColor="text1"/>
                <w:sz w:val="22"/>
                <w:szCs w:val="22"/>
              </w:rPr>
              <w:t>10.01</w:t>
            </w:r>
          </w:p>
        </w:tc>
        <w:tc>
          <w:tcPr>
            <w:tcW w:w="1047" w:type="dxa"/>
            <w:tcBorders>
              <w:top w:val="single" w:sz="8" w:space="0" w:color="auto"/>
              <w:left w:val="nil"/>
              <w:right w:val="nil"/>
            </w:tcBorders>
            <w:vAlign w:val="center"/>
          </w:tcPr>
          <w:p w14:paraId="4B3B725A" w14:textId="77777777" w:rsidR="00B50D71" w:rsidRPr="009C186D" w:rsidRDefault="00B50D71" w:rsidP="002807AA">
            <w:pPr>
              <w:jc w:val="center"/>
              <w:rPr>
                <w:color w:val="000000" w:themeColor="text1"/>
                <w:sz w:val="22"/>
                <w:szCs w:val="22"/>
              </w:rPr>
            </w:pPr>
            <w:r w:rsidRPr="009C186D">
              <w:rPr>
                <w:color w:val="000000" w:themeColor="text1"/>
                <w:sz w:val="22"/>
                <w:szCs w:val="22"/>
              </w:rPr>
              <w:t>9.90</w:t>
            </w:r>
          </w:p>
        </w:tc>
        <w:tc>
          <w:tcPr>
            <w:tcW w:w="2355" w:type="dxa"/>
            <w:tcBorders>
              <w:top w:val="single" w:sz="8" w:space="0" w:color="auto"/>
              <w:left w:val="nil"/>
              <w:right w:val="nil"/>
            </w:tcBorders>
            <w:shd w:val="clear" w:color="auto" w:fill="auto"/>
            <w:noWrap/>
            <w:vAlign w:val="center"/>
            <w:hideMark/>
          </w:tcPr>
          <w:p w14:paraId="429EC029" w14:textId="77777777" w:rsidR="00B50D71" w:rsidRPr="009C186D" w:rsidRDefault="00B50D71" w:rsidP="002807AA">
            <w:pPr>
              <w:jc w:val="center"/>
              <w:rPr>
                <w:color w:val="000000" w:themeColor="text1"/>
                <w:sz w:val="22"/>
                <w:szCs w:val="22"/>
                <w:vertAlign w:val="superscript"/>
              </w:rPr>
            </w:pPr>
            <w:r w:rsidRPr="009C186D">
              <w:rPr>
                <w:i/>
                <w:iCs/>
                <w:color w:val="000000" w:themeColor="text1"/>
                <w:sz w:val="22"/>
                <w:szCs w:val="22"/>
              </w:rPr>
              <w:t>t</w:t>
            </w:r>
            <w:r w:rsidRPr="009C186D">
              <w:rPr>
                <w:color w:val="000000" w:themeColor="text1"/>
                <w:sz w:val="22"/>
                <w:szCs w:val="22"/>
              </w:rPr>
              <w:t>(2593) = 6.88</w:t>
            </w:r>
            <w:r w:rsidRPr="009C186D">
              <w:rPr>
                <w:color w:val="000000" w:themeColor="text1"/>
                <w:sz w:val="22"/>
                <w:szCs w:val="22"/>
                <w:vertAlign w:val="superscript"/>
              </w:rPr>
              <w:t>***</w:t>
            </w:r>
          </w:p>
        </w:tc>
      </w:tr>
      <w:tr w:rsidR="00B50D71" w:rsidRPr="00235E0F" w14:paraId="758864ED" w14:textId="77777777" w:rsidTr="002807AA">
        <w:trPr>
          <w:trHeight w:val="288"/>
        </w:trPr>
        <w:tc>
          <w:tcPr>
            <w:tcW w:w="1732" w:type="dxa"/>
            <w:tcBorders>
              <w:left w:val="nil"/>
              <w:bottom w:val="nil"/>
              <w:right w:val="nil"/>
            </w:tcBorders>
            <w:shd w:val="clear" w:color="auto" w:fill="auto"/>
            <w:vAlign w:val="center"/>
          </w:tcPr>
          <w:p w14:paraId="0475CBFE" w14:textId="77777777" w:rsidR="00B50D71" w:rsidRPr="009C186D" w:rsidRDefault="00B50D71" w:rsidP="002807AA">
            <w:pPr>
              <w:rPr>
                <w:color w:val="000000" w:themeColor="text1"/>
                <w:sz w:val="22"/>
                <w:szCs w:val="22"/>
              </w:rPr>
            </w:pPr>
            <w:r w:rsidRPr="009C186D">
              <w:rPr>
                <w:color w:val="000000" w:themeColor="text1"/>
                <w:sz w:val="22"/>
                <w:szCs w:val="22"/>
              </w:rPr>
              <w:t xml:space="preserve">Household Annual Income </w:t>
            </w:r>
          </w:p>
        </w:tc>
        <w:tc>
          <w:tcPr>
            <w:tcW w:w="986" w:type="dxa"/>
            <w:tcBorders>
              <w:left w:val="nil"/>
              <w:right w:val="nil"/>
            </w:tcBorders>
            <w:shd w:val="clear" w:color="auto" w:fill="auto"/>
            <w:noWrap/>
            <w:vAlign w:val="center"/>
          </w:tcPr>
          <w:p w14:paraId="361F7543" w14:textId="77777777" w:rsidR="00B50D71" w:rsidRPr="009C186D" w:rsidRDefault="00B50D71" w:rsidP="002807AA">
            <w:pPr>
              <w:jc w:val="center"/>
              <w:rPr>
                <w:color w:val="000000" w:themeColor="text1"/>
                <w:sz w:val="22"/>
                <w:szCs w:val="22"/>
              </w:rPr>
            </w:pPr>
            <w:r w:rsidRPr="009C186D">
              <w:rPr>
                <w:color w:val="000000" w:themeColor="text1"/>
                <w:sz w:val="22"/>
                <w:szCs w:val="22"/>
              </w:rPr>
              <w:t>7.72</w:t>
            </w:r>
          </w:p>
        </w:tc>
        <w:tc>
          <w:tcPr>
            <w:tcW w:w="1047" w:type="dxa"/>
            <w:tcBorders>
              <w:left w:val="nil"/>
              <w:right w:val="nil"/>
            </w:tcBorders>
            <w:vAlign w:val="center"/>
          </w:tcPr>
          <w:p w14:paraId="6FE268B3" w14:textId="77777777" w:rsidR="00B50D71" w:rsidRPr="009C186D" w:rsidRDefault="00B50D71" w:rsidP="002807AA">
            <w:pPr>
              <w:jc w:val="center"/>
              <w:rPr>
                <w:color w:val="000000" w:themeColor="text1"/>
                <w:sz w:val="22"/>
                <w:szCs w:val="22"/>
              </w:rPr>
            </w:pPr>
            <w:r w:rsidRPr="009C186D">
              <w:rPr>
                <w:color w:val="000000" w:themeColor="text1"/>
                <w:sz w:val="22"/>
                <w:szCs w:val="22"/>
              </w:rPr>
              <w:t>7.13</w:t>
            </w:r>
          </w:p>
        </w:tc>
        <w:tc>
          <w:tcPr>
            <w:tcW w:w="2355" w:type="dxa"/>
            <w:tcBorders>
              <w:left w:val="nil"/>
              <w:bottom w:val="nil"/>
              <w:right w:val="nil"/>
            </w:tcBorders>
            <w:shd w:val="clear" w:color="auto" w:fill="auto"/>
            <w:noWrap/>
            <w:vAlign w:val="center"/>
          </w:tcPr>
          <w:p w14:paraId="5BD7814E"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(2787) = 10.46</w:t>
            </w:r>
            <w:r w:rsidRPr="009C186D">
              <w:rPr>
                <w:color w:val="000000" w:themeColor="text1"/>
                <w:sz w:val="22"/>
                <w:szCs w:val="22"/>
                <w:vertAlign w:val="superscript"/>
              </w:rPr>
              <w:t>***</w:t>
            </w:r>
          </w:p>
        </w:tc>
      </w:tr>
      <w:tr w:rsidR="00B50D71" w:rsidRPr="00235E0F" w14:paraId="6A02AE8B" w14:textId="77777777" w:rsidTr="002807AA">
        <w:trPr>
          <w:trHeight w:val="288"/>
        </w:trPr>
        <w:tc>
          <w:tcPr>
            <w:tcW w:w="1732" w:type="dxa"/>
            <w:tcBorders>
              <w:left w:val="nil"/>
              <w:bottom w:val="nil"/>
              <w:right w:val="nil"/>
            </w:tcBorders>
            <w:shd w:val="clear" w:color="auto" w:fill="auto"/>
            <w:vAlign w:val="center"/>
          </w:tcPr>
          <w:p w14:paraId="0C94BEE7" w14:textId="77777777" w:rsidR="00B50D71" w:rsidRPr="009C186D" w:rsidRDefault="00B50D71" w:rsidP="002807AA">
            <w:pPr>
              <w:rPr>
                <w:color w:val="000000" w:themeColor="text1"/>
                <w:sz w:val="22"/>
                <w:szCs w:val="22"/>
              </w:rPr>
            </w:pPr>
            <w:r w:rsidRPr="009C186D">
              <w:rPr>
                <w:color w:val="000000" w:themeColor="text1"/>
                <w:sz w:val="22"/>
                <w:szCs w:val="22"/>
              </w:rPr>
              <w:t>Parental Education</w:t>
            </w:r>
          </w:p>
        </w:tc>
        <w:tc>
          <w:tcPr>
            <w:tcW w:w="986" w:type="dxa"/>
            <w:tcBorders>
              <w:left w:val="nil"/>
              <w:bottom w:val="nil"/>
            </w:tcBorders>
            <w:shd w:val="clear" w:color="auto" w:fill="auto"/>
            <w:noWrap/>
            <w:vAlign w:val="center"/>
          </w:tcPr>
          <w:p w14:paraId="416C5F7C" w14:textId="77777777" w:rsidR="00B50D71" w:rsidRPr="009C186D" w:rsidRDefault="00B50D71" w:rsidP="002807AA">
            <w:pPr>
              <w:jc w:val="center"/>
              <w:rPr>
                <w:color w:val="000000" w:themeColor="text1"/>
                <w:sz w:val="22"/>
                <w:szCs w:val="22"/>
              </w:rPr>
            </w:pPr>
            <w:r w:rsidRPr="009C186D">
              <w:rPr>
                <w:color w:val="000000" w:themeColor="text1"/>
                <w:sz w:val="22"/>
                <w:szCs w:val="22"/>
              </w:rPr>
              <w:t>15.48</w:t>
            </w:r>
          </w:p>
        </w:tc>
        <w:tc>
          <w:tcPr>
            <w:tcW w:w="1047" w:type="dxa"/>
            <w:tcBorders>
              <w:bottom w:val="nil"/>
              <w:right w:val="nil"/>
            </w:tcBorders>
            <w:vAlign w:val="center"/>
          </w:tcPr>
          <w:p w14:paraId="75980165" w14:textId="77777777" w:rsidR="00B50D71" w:rsidRPr="009C186D" w:rsidRDefault="00B50D71" w:rsidP="002807AA">
            <w:pPr>
              <w:jc w:val="center"/>
              <w:rPr>
                <w:color w:val="000000" w:themeColor="text1"/>
                <w:sz w:val="22"/>
                <w:szCs w:val="22"/>
              </w:rPr>
            </w:pPr>
            <w:r w:rsidRPr="009C186D">
              <w:rPr>
                <w:color w:val="000000" w:themeColor="text1"/>
                <w:sz w:val="22"/>
                <w:szCs w:val="22"/>
              </w:rPr>
              <w:t>14.96</w:t>
            </w:r>
          </w:p>
        </w:tc>
        <w:tc>
          <w:tcPr>
            <w:tcW w:w="2355" w:type="dxa"/>
            <w:tcBorders>
              <w:left w:val="nil"/>
              <w:bottom w:val="nil"/>
              <w:right w:val="nil"/>
            </w:tcBorders>
            <w:shd w:val="clear" w:color="auto" w:fill="auto"/>
            <w:noWrap/>
            <w:vAlign w:val="center"/>
          </w:tcPr>
          <w:p w14:paraId="637A685D"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(2716) = 7.89</w:t>
            </w:r>
            <w:r w:rsidRPr="009C186D">
              <w:rPr>
                <w:color w:val="000000" w:themeColor="text1"/>
                <w:sz w:val="22"/>
                <w:szCs w:val="22"/>
                <w:vertAlign w:val="superscript"/>
              </w:rPr>
              <w:t>***</w:t>
            </w:r>
          </w:p>
        </w:tc>
      </w:tr>
      <w:tr w:rsidR="00B50D71" w14:paraId="299F2804" w14:textId="77777777" w:rsidTr="002807AA">
        <w:trPr>
          <w:trHeight w:val="288"/>
        </w:trPr>
        <w:tc>
          <w:tcPr>
            <w:tcW w:w="1732" w:type="dxa"/>
            <w:tcBorders>
              <w:left w:val="nil"/>
              <w:bottom w:val="nil"/>
              <w:right w:val="nil"/>
            </w:tcBorders>
            <w:shd w:val="clear" w:color="auto" w:fill="auto"/>
            <w:vAlign w:val="center"/>
          </w:tcPr>
          <w:p w14:paraId="03EF06E2" w14:textId="77777777" w:rsidR="00B50D71" w:rsidRPr="009C186D" w:rsidRDefault="00B50D71" w:rsidP="002807AA">
            <w:pPr>
              <w:rPr>
                <w:color w:val="000000" w:themeColor="text1"/>
                <w:sz w:val="22"/>
                <w:szCs w:val="22"/>
              </w:rPr>
            </w:pPr>
            <w:r w:rsidRPr="009C186D">
              <w:rPr>
                <w:color w:val="000000" w:themeColor="text1"/>
                <w:sz w:val="22"/>
                <w:szCs w:val="22"/>
              </w:rPr>
              <w:t>General Psychopathology</w:t>
            </w:r>
          </w:p>
        </w:tc>
        <w:tc>
          <w:tcPr>
            <w:tcW w:w="986" w:type="dxa"/>
            <w:tcBorders>
              <w:left w:val="nil"/>
              <w:bottom w:val="nil"/>
              <w:right w:val="nil"/>
            </w:tcBorders>
            <w:shd w:val="clear" w:color="auto" w:fill="auto"/>
            <w:noWrap/>
            <w:vAlign w:val="center"/>
          </w:tcPr>
          <w:p w14:paraId="03E7AD4C" w14:textId="77777777" w:rsidR="00B50D71" w:rsidRPr="009C186D" w:rsidRDefault="00B50D71" w:rsidP="002807AA">
            <w:pPr>
              <w:jc w:val="center"/>
              <w:rPr>
                <w:color w:val="000000" w:themeColor="text1"/>
                <w:sz w:val="22"/>
                <w:szCs w:val="22"/>
              </w:rPr>
            </w:pPr>
            <w:r w:rsidRPr="009C186D">
              <w:rPr>
                <w:color w:val="000000" w:themeColor="text1"/>
                <w:sz w:val="22"/>
                <w:szCs w:val="22"/>
              </w:rPr>
              <w:t>-0.019</w:t>
            </w:r>
          </w:p>
        </w:tc>
        <w:tc>
          <w:tcPr>
            <w:tcW w:w="1047" w:type="dxa"/>
            <w:tcBorders>
              <w:left w:val="nil"/>
              <w:bottom w:val="nil"/>
              <w:right w:val="nil"/>
            </w:tcBorders>
            <w:shd w:val="clear" w:color="auto" w:fill="auto"/>
            <w:vAlign w:val="center"/>
          </w:tcPr>
          <w:p w14:paraId="69F001FE" w14:textId="77777777" w:rsidR="00B50D71" w:rsidRPr="009C186D" w:rsidRDefault="00B50D71" w:rsidP="002807AA">
            <w:pPr>
              <w:jc w:val="center"/>
              <w:rPr>
                <w:color w:val="000000" w:themeColor="text1"/>
                <w:sz w:val="22"/>
                <w:szCs w:val="22"/>
              </w:rPr>
            </w:pPr>
            <w:r w:rsidRPr="009C186D">
              <w:rPr>
                <w:color w:val="000000" w:themeColor="text1"/>
                <w:sz w:val="22"/>
                <w:szCs w:val="22"/>
              </w:rPr>
              <w:t>0.056</w:t>
            </w:r>
          </w:p>
        </w:tc>
        <w:tc>
          <w:tcPr>
            <w:tcW w:w="2355" w:type="dxa"/>
            <w:tcBorders>
              <w:left w:val="nil"/>
              <w:bottom w:val="nil"/>
              <w:right w:val="nil"/>
            </w:tcBorders>
            <w:shd w:val="clear" w:color="auto" w:fill="auto"/>
            <w:noWrap/>
            <w:vAlign w:val="center"/>
          </w:tcPr>
          <w:p w14:paraId="37894EC2"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(2642) = 3.55</w:t>
            </w:r>
            <w:r w:rsidRPr="009C186D">
              <w:rPr>
                <w:color w:val="000000" w:themeColor="text1"/>
                <w:sz w:val="22"/>
                <w:szCs w:val="22"/>
                <w:vertAlign w:val="superscript"/>
              </w:rPr>
              <w:t>***</w:t>
            </w:r>
          </w:p>
        </w:tc>
      </w:tr>
      <w:tr w:rsidR="00B50D71" w14:paraId="3A5AF9B4" w14:textId="77777777" w:rsidTr="002807AA">
        <w:trPr>
          <w:trHeight w:val="288"/>
        </w:trPr>
        <w:tc>
          <w:tcPr>
            <w:tcW w:w="1732" w:type="dxa"/>
            <w:tcBorders>
              <w:left w:val="nil"/>
              <w:bottom w:val="nil"/>
              <w:right w:val="nil"/>
            </w:tcBorders>
            <w:shd w:val="clear" w:color="auto" w:fill="auto"/>
            <w:vAlign w:val="center"/>
          </w:tcPr>
          <w:p w14:paraId="59CEFC7D" w14:textId="77777777" w:rsidR="00B50D71" w:rsidRPr="009C186D" w:rsidRDefault="00B50D71" w:rsidP="002807AA">
            <w:pPr>
              <w:rPr>
                <w:color w:val="000000" w:themeColor="text1"/>
                <w:sz w:val="22"/>
                <w:szCs w:val="22"/>
              </w:rPr>
            </w:pPr>
            <w:r w:rsidRPr="009C186D">
              <w:rPr>
                <w:color w:val="000000" w:themeColor="text1"/>
                <w:sz w:val="22"/>
                <w:szCs w:val="22"/>
              </w:rPr>
              <w:t>General Environmental Stressor</w:t>
            </w:r>
          </w:p>
        </w:tc>
        <w:tc>
          <w:tcPr>
            <w:tcW w:w="986" w:type="dxa"/>
            <w:tcBorders>
              <w:left w:val="nil"/>
              <w:bottom w:val="single" w:sz="8" w:space="0" w:color="auto"/>
              <w:right w:val="nil"/>
            </w:tcBorders>
            <w:shd w:val="clear" w:color="auto" w:fill="auto"/>
            <w:noWrap/>
            <w:vAlign w:val="center"/>
          </w:tcPr>
          <w:p w14:paraId="74B93BD9" w14:textId="77777777" w:rsidR="00B50D71" w:rsidRPr="009C186D" w:rsidRDefault="00B50D71" w:rsidP="002807AA">
            <w:pPr>
              <w:jc w:val="center"/>
              <w:rPr>
                <w:color w:val="000000" w:themeColor="text1"/>
                <w:sz w:val="22"/>
                <w:szCs w:val="22"/>
              </w:rPr>
            </w:pPr>
            <w:r w:rsidRPr="009C186D">
              <w:rPr>
                <w:color w:val="000000" w:themeColor="text1"/>
                <w:sz w:val="22"/>
                <w:szCs w:val="22"/>
              </w:rPr>
              <w:t>-0.592</w:t>
            </w:r>
          </w:p>
        </w:tc>
        <w:tc>
          <w:tcPr>
            <w:tcW w:w="1047" w:type="dxa"/>
            <w:tcBorders>
              <w:left w:val="nil"/>
              <w:bottom w:val="single" w:sz="8" w:space="0" w:color="auto"/>
              <w:right w:val="nil"/>
            </w:tcBorders>
            <w:shd w:val="clear" w:color="auto" w:fill="auto"/>
            <w:vAlign w:val="center"/>
          </w:tcPr>
          <w:p w14:paraId="0139D804" w14:textId="77777777" w:rsidR="00B50D71" w:rsidRPr="009C186D" w:rsidRDefault="00B50D71" w:rsidP="002807AA">
            <w:pPr>
              <w:jc w:val="center"/>
              <w:rPr>
                <w:color w:val="000000" w:themeColor="text1"/>
                <w:sz w:val="22"/>
                <w:szCs w:val="22"/>
              </w:rPr>
            </w:pPr>
            <w:r w:rsidRPr="009C186D">
              <w:rPr>
                <w:color w:val="000000" w:themeColor="text1"/>
                <w:sz w:val="22"/>
                <w:szCs w:val="22"/>
              </w:rPr>
              <w:t>-0.312</w:t>
            </w:r>
          </w:p>
        </w:tc>
        <w:tc>
          <w:tcPr>
            <w:tcW w:w="2355" w:type="dxa"/>
            <w:tcBorders>
              <w:left w:val="nil"/>
              <w:bottom w:val="single" w:sz="8" w:space="0" w:color="auto"/>
              <w:right w:val="nil"/>
            </w:tcBorders>
            <w:shd w:val="clear" w:color="auto" w:fill="auto"/>
            <w:noWrap/>
            <w:vAlign w:val="center"/>
          </w:tcPr>
          <w:p w14:paraId="2320BF63" w14:textId="77777777" w:rsidR="00B50D71" w:rsidRPr="009C186D" w:rsidRDefault="00B50D71" w:rsidP="002807AA">
            <w:pPr>
              <w:jc w:val="center"/>
              <w:rPr>
                <w:color w:val="000000" w:themeColor="text1"/>
                <w:sz w:val="22"/>
                <w:szCs w:val="22"/>
              </w:rPr>
            </w:pPr>
            <w:r w:rsidRPr="009C186D">
              <w:rPr>
                <w:i/>
                <w:iCs/>
                <w:color w:val="000000" w:themeColor="text1"/>
                <w:sz w:val="22"/>
                <w:szCs w:val="22"/>
              </w:rPr>
              <w:t>t</w:t>
            </w:r>
            <w:r w:rsidRPr="009C186D">
              <w:rPr>
                <w:color w:val="000000" w:themeColor="text1"/>
                <w:sz w:val="22"/>
                <w:szCs w:val="22"/>
              </w:rPr>
              <w:t>(2702) = 10.26</w:t>
            </w:r>
            <w:r w:rsidRPr="009C186D">
              <w:rPr>
                <w:color w:val="000000" w:themeColor="text1"/>
                <w:sz w:val="22"/>
                <w:szCs w:val="22"/>
                <w:vertAlign w:val="superscript"/>
              </w:rPr>
              <w:t>***</w:t>
            </w:r>
          </w:p>
        </w:tc>
      </w:tr>
      <w:tr w:rsidR="00B50D71" w:rsidRPr="00235E0F" w14:paraId="3EEB0256" w14:textId="77777777" w:rsidTr="002807AA">
        <w:trPr>
          <w:trHeight w:val="288"/>
        </w:trPr>
        <w:tc>
          <w:tcPr>
            <w:tcW w:w="1732" w:type="dxa"/>
            <w:tcBorders>
              <w:left w:val="nil"/>
              <w:bottom w:val="nil"/>
              <w:right w:val="nil"/>
            </w:tcBorders>
            <w:shd w:val="clear" w:color="auto" w:fill="auto"/>
            <w:vAlign w:val="center"/>
          </w:tcPr>
          <w:p w14:paraId="4F2A5155" w14:textId="77777777" w:rsidR="00B50D71" w:rsidRPr="009C186D" w:rsidRDefault="00B50D71" w:rsidP="002807AA">
            <w:pPr>
              <w:rPr>
                <w:color w:val="000000" w:themeColor="text1"/>
                <w:sz w:val="22"/>
                <w:szCs w:val="22"/>
                <w:u w:val="single"/>
              </w:rPr>
            </w:pPr>
          </w:p>
        </w:tc>
        <w:tc>
          <w:tcPr>
            <w:tcW w:w="2033" w:type="dxa"/>
            <w:gridSpan w:val="2"/>
            <w:tcBorders>
              <w:left w:val="nil"/>
              <w:bottom w:val="nil"/>
              <w:right w:val="nil"/>
            </w:tcBorders>
            <w:shd w:val="clear" w:color="auto" w:fill="auto"/>
            <w:noWrap/>
            <w:vAlign w:val="center"/>
          </w:tcPr>
          <w:p w14:paraId="257F116F" w14:textId="77777777" w:rsidR="00B50D71" w:rsidRPr="009C186D" w:rsidRDefault="00B50D71" w:rsidP="002807AA">
            <w:pPr>
              <w:jc w:val="center"/>
              <w:rPr>
                <w:i/>
                <w:iCs/>
                <w:color w:val="000000" w:themeColor="text1"/>
                <w:sz w:val="22"/>
                <w:szCs w:val="22"/>
              </w:rPr>
            </w:pPr>
            <w:r w:rsidRPr="009C186D">
              <w:rPr>
                <w:i/>
                <w:iCs/>
                <w:color w:val="000000" w:themeColor="text1"/>
                <w:sz w:val="22"/>
                <w:szCs w:val="22"/>
              </w:rPr>
              <w:t>N</w:t>
            </w:r>
          </w:p>
        </w:tc>
        <w:tc>
          <w:tcPr>
            <w:tcW w:w="2355" w:type="dxa"/>
            <w:tcBorders>
              <w:top w:val="single" w:sz="8" w:space="0" w:color="auto"/>
              <w:left w:val="nil"/>
              <w:bottom w:val="single" w:sz="8" w:space="0" w:color="auto"/>
              <w:right w:val="nil"/>
            </w:tcBorders>
            <w:shd w:val="clear" w:color="auto" w:fill="auto"/>
            <w:noWrap/>
            <w:vAlign w:val="center"/>
          </w:tcPr>
          <w:p w14:paraId="16CC83DA" w14:textId="77777777" w:rsidR="00B50D71" w:rsidRPr="009C186D" w:rsidRDefault="00B50D71" w:rsidP="002807AA">
            <w:pPr>
              <w:jc w:val="center"/>
              <w:rPr>
                <w:color w:val="000000" w:themeColor="text1"/>
                <w:sz w:val="22"/>
                <w:szCs w:val="22"/>
              </w:rPr>
            </w:pPr>
            <w:r w:rsidRPr="009C186D">
              <w:rPr>
                <w:color w:val="000000" w:themeColor="text1"/>
                <w:sz w:val="22"/>
                <w:szCs w:val="22"/>
              </w:rPr>
              <w:t>chi-squared test</w:t>
            </w:r>
          </w:p>
        </w:tc>
      </w:tr>
      <w:tr w:rsidR="00B50D71" w:rsidRPr="00235E0F" w14:paraId="1BB5E06E" w14:textId="77777777" w:rsidTr="002807AA">
        <w:trPr>
          <w:trHeight w:val="288"/>
        </w:trPr>
        <w:tc>
          <w:tcPr>
            <w:tcW w:w="1732" w:type="dxa"/>
            <w:tcBorders>
              <w:left w:val="nil"/>
              <w:bottom w:val="nil"/>
              <w:right w:val="nil"/>
            </w:tcBorders>
            <w:shd w:val="clear" w:color="auto" w:fill="auto"/>
            <w:vAlign w:val="center"/>
            <w:hideMark/>
          </w:tcPr>
          <w:p w14:paraId="58C5634D" w14:textId="77777777" w:rsidR="00B50D71" w:rsidRPr="009C186D" w:rsidRDefault="00B50D71" w:rsidP="002807AA">
            <w:pPr>
              <w:rPr>
                <w:color w:val="000000" w:themeColor="text1"/>
                <w:sz w:val="22"/>
                <w:szCs w:val="22"/>
                <w:u w:val="single"/>
              </w:rPr>
            </w:pPr>
            <w:r w:rsidRPr="009C186D">
              <w:rPr>
                <w:color w:val="000000" w:themeColor="text1"/>
                <w:sz w:val="22"/>
                <w:szCs w:val="22"/>
                <w:u w:val="single"/>
              </w:rPr>
              <w:t xml:space="preserve">Sex </w:t>
            </w:r>
          </w:p>
        </w:tc>
        <w:tc>
          <w:tcPr>
            <w:tcW w:w="986" w:type="dxa"/>
            <w:tcBorders>
              <w:top w:val="single" w:sz="8" w:space="0" w:color="auto"/>
              <w:left w:val="nil"/>
              <w:bottom w:val="nil"/>
              <w:right w:val="nil"/>
            </w:tcBorders>
            <w:shd w:val="clear" w:color="auto" w:fill="auto"/>
            <w:noWrap/>
            <w:vAlign w:val="center"/>
            <w:hideMark/>
          </w:tcPr>
          <w:p w14:paraId="277F5472" w14:textId="77777777" w:rsidR="00B50D71" w:rsidRPr="009C186D" w:rsidRDefault="00B50D71" w:rsidP="002807AA">
            <w:pPr>
              <w:jc w:val="center"/>
              <w:rPr>
                <w:color w:val="000000" w:themeColor="text1"/>
                <w:sz w:val="22"/>
                <w:szCs w:val="22"/>
                <w:u w:val="single"/>
              </w:rPr>
            </w:pPr>
          </w:p>
        </w:tc>
        <w:tc>
          <w:tcPr>
            <w:tcW w:w="1047" w:type="dxa"/>
            <w:tcBorders>
              <w:top w:val="single" w:sz="8" w:space="0" w:color="auto"/>
              <w:left w:val="nil"/>
              <w:bottom w:val="nil"/>
              <w:right w:val="nil"/>
            </w:tcBorders>
            <w:vAlign w:val="center"/>
          </w:tcPr>
          <w:p w14:paraId="5AD75A3A" w14:textId="77777777" w:rsidR="00B50D71" w:rsidRPr="009C186D" w:rsidRDefault="00B50D71" w:rsidP="002807AA">
            <w:pPr>
              <w:jc w:val="center"/>
              <w:rPr>
                <w:color w:val="000000" w:themeColor="text1"/>
                <w:sz w:val="22"/>
                <w:szCs w:val="22"/>
              </w:rPr>
            </w:pPr>
          </w:p>
        </w:tc>
        <w:tc>
          <w:tcPr>
            <w:tcW w:w="2355" w:type="dxa"/>
            <w:tcBorders>
              <w:top w:val="single" w:sz="8" w:space="0" w:color="auto"/>
              <w:left w:val="nil"/>
              <w:bottom w:val="nil"/>
              <w:right w:val="nil"/>
            </w:tcBorders>
            <w:shd w:val="clear" w:color="auto" w:fill="auto"/>
            <w:noWrap/>
            <w:vAlign w:val="center"/>
            <w:hideMark/>
          </w:tcPr>
          <w:p w14:paraId="12AD417C" w14:textId="77777777" w:rsidR="00B50D71" w:rsidRPr="009C186D" w:rsidRDefault="00B50D71" w:rsidP="002807AA">
            <w:pPr>
              <w:jc w:val="center"/>
              <w:rPr>
                <w:color w:val="000000" w:themeColor="text1"/>
                <w:sz w:val="22"/>
                <w:szCs w:val="22"/>
              </w:rPr>
            </w:pPr>
          </w:p>
        </w:tc>
      </w:tr>
      <w:tr w:rsidR="00B50D71" w:rsidRPr="00B1654F" w14:paraId="653A146B" w14:textId="77777777" w:rsidTr="002807AA">
        <w:trPr>
          <w:trHeight w:val="288"/>
        </w:trPr>
        <w:tc>
          <w:tcPr>
            <w:tcW w:w="1732" w:type="dxa"/>
            <w:tcBorders>
              <w:top w:val="nil"/>
              <w:left w:val="nil"/>
              <w:bottom w:val="nil"/>
              <w:right w:val="nil"/>
            </w:tcBorders>
            <w:shd w:val="clear" w:color="auto" w:fill="auto"/>
            <w:vAlign w:val="center"/>
            <w:hideMark/>
          </w:tcPr>
          <w:p w14:paraId="2B6FA026" w14:textId="77777777" w:rsidR="00B50D71" w:rsidRPr="009C186D" w:rsidRDefault="00B50D71" w:rsidP="002807AA">
            <w:pPr>
              <w:rPr>
                <w:color w:val="000000" w:themeColor="text1"/>
                <w:sz w:val="22"/>
                <w:szCs w:val="22"/>
              </w:rPr>
            </w:pPr>
            <w:r w:rsidRPr="009C186D">
              <w:rPr>
                <w:color w:val="000000" w:themeColor="text1"/>
                <w:sz w:val="22"/>
                <w:szCs w:val="22"/>
              </w:rPr>
              <w:t xml:space="preserve">     Female</w:t>
            </w:r>
          </w:p>
        </w:tc>
        <w:tc>
          <w:tcPr>
            <w:tcW w:w="986" w:type="dxa"/>
            <w:tcBorders>
              <w:top w:val="nil"/>
              <w:left w:val="nil"/>
              <w:bottom w:val="nil"/>
              <w:right w:val="nil"/>
            </w:tcBorders>
            <w:shd w:val="clear" w:color="auto" w:fill="auto"/>
            <w:noWrap/>
            <w:vAlign w:val="center"/>
            <w:hideMark/>
          </w:tcPr>
          <w:p w14:paraId="745F9084" w14:textId="77777777" w:rsidR="00B50D71" w:rsidRPr="009C186D" w:rsidRDefault="00B50D71" w:rsidP="002807AA">
            <w:pPr>
              <w:jc w:val="center"/>
              <w:rPr>
                <w:color w:val="000000" w:themeColor="text1"/>
                <w:sz w:val="22"/>
                <w:szCs w:val="22"/>
              </w:rPr>
            </w:pPr>
            <w:r w:rsidRPr="009C186D">
              <w:rPr>
                <w:color w:val="000000" w:themeColor="text1"/>
                <w:sz w:val="22"/>
                <w:szCs w:val="22"/>
              </w:rPr>
              <w:t>1,034</w:t>
            </w:r>
          </w:p>
        </w:tc>
        <w:tc>
          <w:tcPr>
            <w:tcW w:w="1047" w:type="dxa"/>
            <w:tcBorders>
              <w:top w:val="nil"/>
              <w:left w:val="nil"/>
              <w:bottom w:val="nil"/>
              <w:right w:val="nil"/>
            </w:tcBorders>
            <w:vAlign w:val="center"/>
          </w:tcPr>
          <w:p w14:paraId="1138196F" w14:textId="77777777" w:rsidR="00B50D71" w:rsidRPr="009C186D" w:rsidRDefault="00B50D71" w:rsidP="002807AA">
            <w:pPr>
              <w:jc w:val="center"/>
              <w:rPr>
                <w:color w:val="000000" w:themeColor="text1"/>
                <w:sz w:val="22"/>
                <w:szCs w:val="22"/>
              </w:rPr>
            </w:pPr>
            <w:r w:rsidRPr="009C186D">
              <w:rPr>
                <w:color w:val="000000" w:themeColor="text1"/>
                <w:sz w:val="22"/>
                <w:szCs w:val="22"/>
              </w:rPr>
              <w:t>4,600</w:t>
            </w:r>
          </w:p>
        </w:tc>
        <w:tc>
          <w:tcPr>
            <w:tcW w:w="2355" w:type="dxa"/>
            <w:vMerge w:val="restart"/>
            <w:tcBorders>
              <w:top w:val="nil"/>
              <w:left w:val="nil"/>
              <w:right w:val="nil"/>
            </w:tcBorders>
            <w:shd w:val="clear" w:color="auto" w:fill="auto"/>
            <w:noWrap/>
            <w:vAlign w:val="center"/>
            <w:hideMark/>
          </w:tcPr>
          <w:p w14:paraId="30346601" w14:textId="77777777" w:rsidR="00B50D71" w:rsidRPr="009C186D" w:rsidRDefault="00B50D71" w:rsidP="002807AA">
            <w:pPr>
              <w:jc w:val="center"/>
              <w:rPr>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52.27</w:t>
            </w:r>
            <w:r w:rsidRPr="009C186D">
              <w:rPr>
                <w:color w:val="000000" w:themeColor="text1"/>
                <w:sz w:val="22"/>
                <w:szCs w:val="22"/>
                <w:vertAlign w:val="superscript"/>
              </w:rPr>
              <w:t>***</w:t>
            </w:r>
          </w:p>
        </w:tc>
      </w:tr>
      <w:tr w:rsidR="00B50D71" w:rsidRPr="00235E0F" w14:paraId="0D30878A" w14:textId="77777777" w:rsidTr="002807AA">
        <w:trPr>
          <w:trHeight w:val="288"/>
        </w:trPr>
        <w:tc>
          <w:tcPr>
            <w:tcW w:w="1732" w:type="dxa"/>
            <w:tcBorders>
              <w:top w:val="nil"/>
              <w:left w:val="nil"/>
              <w:bottom w:val="nil"/>
              <w:right w:val="nil"/>
            </w:tcBorders>
            <w:shd w:val="clear" w:color="auto" w:fill="auto"/>
            <w:vAlign w:val="center"/>
            <w:hideMark/>
          </w:tcPr>
          <w:p w14:paraId="002E47D5" w14:textId="77777777" w:rsidR="00B50D71" w:rsidRPr="009C186D" w:rsidRDefault="00B50D71" w:rsidP="002807AA">
            <w:pPr>
              <w:rPr>
                <w:color w:val="000000" w:themeColor="text1"/>
                <w:sz w:val="22"/>
                <w:szCs w:val="22"/>
              </w:rPr>
            </w:pPr>
            <w:r w:rsidRPr="009C186D">
              <w:rPr>
                <w:color w:val="000000" w:themeColor="text1"/>
                <w:sz w:val="22"/>
                <w:szCs w:val="22"/>
              </w:rPr>
              <w:t xml:space="preserve">     Male</w:t>
            </w:r>
          </w:p>
        </w:tc>
        <w:tc>
          <w:tcPr>
            <w:tcW w:w="986" w:type="dxa"/>
            <w:tcBorders>
              <w:top w:val="nil"/>
              <w:left w:val="nil"/>
              <w:bottom w:val="nil"/>
              <w:right w:val="nil"/>
            </w:tcBorders>
            <w:shd w:val="clear" w:color="auto" w:fill="auto"/>
            <w:noWrap/>
            <w:vAlign w:val="center"/>
            <w:hideMark/>
          </w:tcPr>
          <w:p w14:paraId="0A866CA1" w14:textId="77777777" w:rsidR="00B50D71" w:rsidRPr="009C186D" w:rsidRDefault="00B50D71" w:rsidP="002807AA">
            <w:pPr>
              <w:jc w:val="center"/>
              <w:rPr>
                <w:color w:val="000000" w:themeColor="text1"/>
                <w:sz w:val="22"/>
                <w:szCs w:val="22"/>
              </w:rPr>
            </w:pPr>
            <w:r w:rsidRPr="009C186D">
              <w:rPr>
                <w:color w:val="000000" w:themeColor="text1"/>
                <w:sz w:val="22"/>
                <w:szCs w:val="22"/>
              </w:rPr>
              <w:t>830</w:t>
            </w:r>
          </w:p>
        </w:tc>
        <w:tc>
          <w:tcPr>
            <w:tcW w:w="1047" w:type="dxa"/>
            <w:tcBorders>
              <w:top w:val="nil"/>
              <w:left w:val="nil"/>
              <w:bottom w:val="nil"/>
              <w:right w:val="nil"/>
            </w:tcBorders>
            <w:vAlign w:val="center"/>
          </w:tcPr>
          <w:p w14:paraId="62022372" w14:textId="77777777" w:rsidR="00B50D71" w:rsidRPr="009C186D" w:rsidRDefault="00B50D71" w:rsidP="002807AA">
            <w:pPr>
              <w:jc w:val="center"/>
              <w:rPr>
                <w:color w:val="000000" w:themeColor="text1"/>
                <w:sz w:val="22"/>
                <w:szCs w:val="22"/>
              </w:rPr>
            </w:pPr>
            <w:r w:rsidRPr="009C186D">
              <w:rPr>
                <w:color w:val="000000" w:themeColor="text1"/>
                <w:sz w:val="22"/>
                <w:szCs w:val="22"/>
              </w:rPr>
              <w:t>5,330</w:t>
            </w:r>
          </w:p>
        </w:tc>
        <w:tc>
          <w:tcPr>
            <w:tcW w:w="2355" w:type="dxa"/>
            <w:vMerge/>
            <w:tcBorders>
              <w:left w:val="nil"/>
              <w:bottom w:val="nil"/>
              <w:right w:val="nil"/>
            </w:tcBorders>
            <w:shd w:val="clear" w:color="auto" w:fill="auto"/>
            <w:noWrap/>
            <w:vAlign w:val="center"/>
            <w:hideMark/>
          </w:tcPr>
          <w:p w14:paraId="0716B529" w14:textId="77777777" w:rsidR="00B50D71" w:rsidRPr="009C186D" w:rsidRDefault="00B50D71" w:rsidP="002807AA">
            <w:pPr>
              <w:jc w:val="center"/>
              <w:rPr>
                <w:color w:val="000000" w:themeColor="text1"/>
                <w:sz w:val="22"/>
                <w:szCs w:val="22"/>
              </w:rPr>
            </w:pPr>
          </w:p>
        </w:tc>
      </w:tr>
      <w:tr w:rsidR="00B50D71" w:rsidRPr="00235E0F" w14:paraId="527B8238" w14:textId="77777777" w:rsidTr="002807AA">
        <w:trPr>
          <w:trHeight w:val="288"/>
        </w:trPr>
        <w:tc>
          <w:tcPr>
            <w:tcW w:w="1732" w:type="dxa"/>
            <w:tcBorders>
              <w:top w:val="nil"/>
              <w:left w:val="nil"/>
              <w:bottom w:val="nil"/>
              <w:right w:val="nil"/>
            </w:tcBorders>
            <w:shd w:val="clear" w:color="auto" w:fill="auto"/>
            <w:vAlign w:val="center"/>
            <w:hideMark/>
          </w:tcPr>
          <w:p w14:paraId="19CC81F7" w14:textId="77777777" w:rsidR="00B50D71" w:rsidRPr="009C186D" w:rsidRDefault="00B50D71" w:rsidP="002807AA">
            <w:pPr>
              <w:rPr>
                <w:color w:val="000000" w:themeColor="text1"/>
                <w:sz w:val="22"/>
                <w:szCs w:val="22"/>
                <w:u w:val="single"/>
              </w:rPr>
            </w:pPr>
            <w:r w:rsidRPr="009C186D">
              <w:rPr>
                <w:color w:val="000000" w:themeColor="text1"/>
                <w:sz w:val="22"/>
                <w:szCs w:val="22"/>
                <w:u w:val="single"/>
              </w:rPr>
              <w:t>Race-Ethnicity</w:t>
            </w:r>
          </w:p>
        </w:tc>
        <w:tc>
          <w:tcPr>
            <w:tcW w:w="986" w:type="dxa"/>
            <w:tcBorders>
              <w:top w:val="nil"/>
              <w:left w:val="nil"/>
              <w:bottom w:val="nil"/>
              <w:right w:val="nil"/>
            </w:tcBorders>
            <w:shd w:val="clear" w:color="auto" w:fill="auto"/>
            <w:noWrap/>
            <w:vAlign w:val="center"/>
            <w:hideMark/>
          </w:tcPr>
          <w:p w14:paraId="55A2A97C" w14:textId="77777777" w:rsidR="00B50D71" w:rsidRPr="009C186D" w:rsidRDefault="00B50D71" w:rsidP="002807AA">
            <w:pPr>
              <w:jc w:val="center"/>
              <w:rPr>
                <w:color w:val="000000" w:themeColor="text1"/>
                <w:sz w:val="22"/>
                <w:szCs w:val="22"/>
                <w:u w:val="single"/>
              </w:rPr>
            </w:pPr>
          </w:p>
        </w:tc>
        <w:tc>
          <w:tcPr>
            <w:tcW w:w="1047" w:type="dxa"/>
            <w:tcBorders>
              <w:top w:val="nil"/>
              <w:left w:val="nil"/>
              <w:bottom w:val="nil"/>
              <w:right w:val="nil"/>
            </w:tcBorders>
            <w:vAlign w:val="center"/>
          </w:tcPr>
          <w:p w14:paraId="5C4CE232" w14:textId="77777777" w:rsidR="00B50D71" w:rsidRPr="009C186D" w:rsidRDefault="00B50D71" w:rsidP="002807AA">
            <w:pPr>
              <w:jc w:val="center"/>
              <w:rPr>
                <w:color w:val="000000" w:themeColor="text1"/>
                <w:sz w:val="22"/>
                <w:szCs w:val="22"/>
              </w:rPr>
            </w:pPr>
          </w:p>
        </w:tc>
        <w:tc>
          <w:tcPr>
            <w:tcW w:w="2355" w:type="dxa"/>
            <w:tcBorders>
              <w:top w:val="nil"/>
              <w:left w:val="nil"/>
              <w:bottom w:val="nil"/>
              <w:right w:val="nil"/>
            </w:tcBorders>
            <w:shd w:val="clear" w:color="auto" w:fill="auto"/>
            <w:noWrap/>
            <w:vAlign w:val="center"/>
            <w:hideMark/>
          </w:tcPr>
          <w:p w14:paraId="0C8E8470" w14:textId="77777777" w:rsidR="00B50D71" w:rsidRPr="009C186D" w:rsidRDefault="00B50D71" w:rsidP="002807AA">
            <w:pPr>
              <w:jc w:val="center"/>
              <w:rPr>
                <w:color w:val="000000" w:themeColor="text1"/>
                <w:sz w:val="22"/>
                <w:szCs w:val="22"/>
              </w:rPr>
            </w:pPr>
          </w:p>
        </w:tc>
      </w:tr>
      <w:tr w:rsidR="00B50D71" w:rsidRPr="00B1654F" w14:paraId="6ED2A056" w14:textId="77777777" w:rsidTr="002807AA">
        <w:trPr>
          <w:trHeight w:val="288"/>
        </w:trPr>
        <w:tc>
          <w:tcPr>
            <w:tcW w:w="1732" w:type="dxa"/>
            <w:tcBorders>
              <w:top w:val="nil"/>
              <w:left w:val="nil"/>
              <w:bottom w:val="nil"/>
              <w:right w:val="nil"/>
            </w:tcBorders>
            <w:shd w:val="clear" w:color="auto" w:fill="auto"/>
            <w:vAlign w:val="center"/>
            <w:hideMark/>
          </w:tcPr>
          <w:p w14:paraId="673F8DC3" w14:textId="77777777" w:rsidR="00B50D71" w:rsidRPr="009C186D" w:rsidRDefault="00B50D71" w:rsidP="002807AA">
            <w:pPr>
              <w:rPr>
                <w:color w:val="000000" w:themeColor="text1"/>
                <w:sz w:val="22"/>
                <w:szCs w:val="22"/>
              </w:rPr>
            </w:pPr>
            <w:r w:rsidRPr="009C186D">
              <w:rPr>
                <w:color w:val="000000" w:themeColor="text1"/>
                <w:sz w:val="22"/>
                <w:szCs w:val="22"/>
              </w:rPr>
              <w:t xml:space="preserve">     White</w:t>
            </w:r>
          </w:p>
        </w:tc>
        <w:tc>
          <w:tcPr>
            <w:tcW w:w="986" w:type="dxa"/>
            <w:tcBorders>
              <w:top w:val="nil"/>
              <w:left w:val="nil"/>
              <w:bottom w:val="nil"/>
              <w:right w:val="nil"/>
            </w:tcBorders>
            <w:shd w:val="clear" w:color="auto" w:fill="auto"/>
            <w:noWrap/>
            <w:vAlign w:val="center"/>
            <w:hideMark/>
          </w:tcPr>
          <w:p w14:paraId="0C2E4F81" w14:textId="77777777" w:rsidR="00B50D71" w:rsidRPr="009C186D" w:rsidRDefault="00B50D71" w:rsidP="002807AA">
            <w:pPr>
              <w:jc w:val="center"/>
              <w:rPr>
                <w:color w:val="000000" w:themeColor="text1"/>
                <w:sz w:val="22"/>
                <w:szCs w:val="22"/>
              </w:rPr>
            </w:pPr>
            <w:r w:rsidRPr="009C186D">
              <w:rPr>
                <w:color w:val="000000" w:themeColor="text1"/>
                <w:sz w:val="22"/>
                <w:szCs w:val="22"/>
              </w:rPr>
              <w:t>1,139</w:t>
            </w:r>
          </w:p>
        </w:tc>
        <w:tc>
          <w:tcPr>
            <w:tcW w:w="1047" w:type="dxa"/>
            <w:tcBorders>
              <w:top w:val="nil"/>
              <w:left w:val="nil"/>
              <w:bottom w:val="nil"/>
              <w:right w:val="nil"/>
            </w:tcBorders>
            <w:vAlign w:val="center"/>
          </w:tcPr>
          <w:p w14:paraId="67ACBD49" w14:textId="77777777" w:rsidR="00B50D71" w:rsidRPr="009C186D" w:rsidRDefault="00B50D71" w:rsidP="002807AA">
            <w:pPr>
              <w:jc w:val="center"/>
              <w:rPr>
                <w:color w:val="000000" w:themeColor="text1"/>
                <w:sz w:val="22"/>
                <w:szCs w:val="22"/>
              </w:rPr>
            </w:pPr>
            <w:r w:rsidRPr="009C186D">
              <w:rPr>
                <w:color w:val="000000" w:themeColor="text1"/>
                <w:sz w:val="22"/>
                <w:szCs w:val="22"/>
              </w:rPr>
              <w:t>725</w:t>
            </w:r>
          </w:p>
        </w:tc>
        <w:tc>
          <w:tcPr>
            <w:tcW w:w="2355" w:type="dxa"/>
            <w:tcBorders>
              <w:top w:val="nil"/>
              <w:left w:val="nil"/>
              <w:bottom w:val="nil"/>
              <w:right w:val="nil"/>
            </w:tcBorders>
            <w:shd w:val="clear" w:color="auto" w:fill="auto"/>
            <w:noWrap/>
            <w:vAlign w:val="center"/>
            <w:hideMark/>
          </w:tcPr>
          <w:p w14:paraId="68E686EA" w14:textId="77777777" w:rsidR="00B50D71" w:rsidRPr="009C186D" w:rsidRDefault="00B50D71" w:rsidP="002807AA">
            <w:pPr>
              <w:jc w:val="center"/>
              <w:rPr>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71.07</w:t>
            </w:r>
            <w:r w:rsidRPr="009C186D">
              <w:rPr>
                <w:color w:val="000000" w:themeColor="text1"/>
                <w:sz w:val="22"/>
                <w:szCs w:val="22"/>
                <w:vertAlign w:val="superscript"/>
              </w:rPr>
              <w:t>***</w:t>
            </w:r>
          </w:p>
        </w:tc>
      </w:tr>
      <w:tr w:rsidR="00B50D71" w:rsidRPr="00B1654F" w14:paraId="699B9506" w14:textId="77777777" w:rsidTr="002807AA">
        <w:trPr>
          <w:trHeight w:val="288"/>
        </w:trPr>
        <w:tc>
          <w:tcPr>
            <w:tcW w:w="1732" w:type="dxa"/>
            <w:tcBorders>
              <w:top w:val="nil"/>
              <w:left w:val="nil"/>
              <w:bottom w:val="nil"/>
              <w:right w:val="nil"/>
            </w:tcBorders>
            <w:shd w:val="clear" w:color="auto" w:fill="auto"/>
            <w:vAlign w:val="center"/>
            <w:hideMark/>
          </w:tcPr>
          <w:p w14:paraId="215E0193" w14:textId="77777777" w:rsidR="00B50D71" w:rsidRPr="009C186D" w:rsidRDefault="00B50D71" w:rsidP="002807AA">
            <w:pPr>
              <w:rPr>
                <w:color w:val="000000" w:themeColor="text1"/>
                <w:sz w:val="22"/>
                <w:szCs w:val="22"/>
              </w:rPr>
            </w:pPr>
            <w:r w:rsidRPr="009C186D">
              <w:rPr>
                <w:color w:val="000000" w:themeColor="text1"/>
                <w:sz w:val="22"/>
                <w:szCs w:val="22"/>
              </w:rPr>
              <w:t xml:space="preserve">     Hispanic</w:t>
            </w:r>
          </w:p>
        </w:tc>
        <w:tc>
          <w:tcPr>
            <w:tcW w:w="986" w:type="dxa"/>
            <w:tcBorders>
              <w:top w:val="nil"/>
              <w:left w:val="nil"/>
              <w:bottom w:val="nil"/>
              <w:right w:val="nil"/>
            </w:tcBorders>
            <w:shd w:val="clear" w:color="auto" w:fill="auto"/>
            <w:noWrap/>
            <w:vAlign w:val="center"/>
            <w:hideMark/>
          </w:tcPr>
          <w:p w14:paraId="2E6F2178" w14:textId="77777777" w:rsidR="00B50D71" w:rsidRPr="009C186D" w:rsidRDefault="00B50D71" w:rsidP="002807AA">
            <w:pPr>
              <w:jc w:val="center"/>
              <w:rPr>
                <w:color w:val="000000" w:themeColor="text1"/>
                <w:sz w:val="22"/>
                <w:szCs w:val="22"/>
              </w:rPr>
            </w:pPr>
            <w:r w:rsidRPr="009C186D">
              <w:rPr>
                <w:color w:val="000000" w:themeColor="text1"/>
                <w:sz w:val="22"/>
                <w:szCs w:val="22"/>
              </w:rPr>
              <w:t>330</w:t>
            </w:r>
          </w:p>
        </w:tc>
        <w:tc>
          <w:tcPr>
            <w:tcW w:w="1047" w:type="dxa"/>
            <w:tcBorders>
              <w:top w:val="nil"/>
              <w:left w:val="nil"/>
              <w:bottom w:val="nil"/>
              <w:right w:val="nil"/>
            </w:tcBorders>
            <w:vAlign w:val="center"/>
          </w:tcPr>
          <w:p w14:paraId="7863D3DA" w14:textId="77777777" w:rsidR="00B50D71" w:rsidRPr="009C186D" w:rsidRDefault="00B50D71" w:rsidP="002807AA">
            <w:pPr>
              <w:jc w:val="center"/>
              <w:rPr>
                <w:color w:val="000000" w:themeColor="text1"/>
                <w:sz w:val="22"/>
                <w:szCs w:val="22"/>
              </w:rPr>
            </w:pPr>
            <w:r w:rsidRPr="009C186D">
              <w:rPr>
                <w:color w:val="000000" w:themeColor="text1"/>
                <w:sz w:val="22"/>
                <w:szCs w:val="22"/>
              </w:rPr>
              <w:t>1,534</w:t>
            </w:r>
          </w:p>
        </w:tc>
        <w:tc>
          <w:tcPr>
            <w:tcW w:w="2355" w:type="dxa"/>
            <w:tcBorders>
              <w:top w:val="nil"/>
              <w:left w:val="nil"/>
              <w:bottom w:val="nil"/>
              <w:right w:val="nil"/>
            </w:tcBorders>
            <w:shd w:val="clear" w:color="auto" w:fill="auto"/>
            <w:noWrap/>
            <w:vAlign w:val="center"/>
            <w:hideMark/>
          </w:tcPr>
          <w:p w14:paraId="28C35B8A" w14:textId="77777777" w:rsidR="00B50D71" w:rsidRPr="009C186D" w:rsidRDefault="00B50D71" w:rsidP="002807AA">
            <w:pPr>
              <w:jc w:val="center"/>
              <w:rPr>
                <w:i/>
                <w:iCs/>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9.37</w:t>
            </w:r>
            <w:r w:rsidRPr="009C186D">
              <w:rPr>
                <w:i/>
                <w:iCs/>
                <w:color w:val="000000" w:themeColor="text1"/>
                <w:sz w:val="22"/>
                <w:szCs w:val="22"/>
                <w:vertAlign w:val="superscript"/>
              </w:rPr>
              <w:t>***</w:t>
            </w:r>
          </w:p>
        </w:tc>
      </w:tr>
      <w:tr w:rsidR="00B50D71" w:rsidRPr="00B1654F" w14:paraId="612689B2" w14:textId="77777777" w:rsidTr="002807AA">
        <w:trPr>
          <w:trHeight w:val="288"/>
        </w:trPr>
        <w:tc>
          <w:tcPr>
            <w:tcW w:w="1732" w:type="dxa"/>
            <w:tcBorders>
              <w:top w:val="nil"/>
              <w:left w:val="nil"/>
              <w:right w:val="nil"/>
            </w:tcBorders>
            <w:shd w:val="clear" w:color="auto" w:fill="auto"/>
            <w:vAlign w:val="center"/>
            <w:hideMark/>
          </w:tcPr>
          <w:p w14:paraId="10B0E37F" w14:textId="77777777" w:rsidR="00B50D71" w:rsidRPr="009C186D" w:rsidRDefault="00B50D71" w:rsidP="002807AA">
            <w:pPr>
              <w:rPr>
                <w:color w:val="000000" w:themeColor="text1"/>
                <w:sz w:val="22"/>
                <w:szCs w:val="22"/>
              </w:rPr>
            </w:pPr>
            <w:r w:rsidRPr="009C186D">
              <w:rPr>
                <w:color w:val="000000" w:themeColor="text1"/>
                <w:sz w:val="22"/>
                <w:szCs w:val="22"/>
              </w:rPr>
              <w:t xml:space="preserve">     Black</w:t>
            </w:r>
          </w:p>
        </w:tc>
        <w:tc>
          <w:tcPr>
            <w:tcW w:w="986" w:type="dxa"/>
            <w:tcBorders>
              <w:top w:val="nil"/>
              <w:left w:val="nil"/>
              <w:right w:val="nil"/>
            </w:tcBorders>
            <w:shd w:val="clear" w:color="auto" w:fill="auto"/>
            <w:noWrap/>
            <w:vAlign w:val="center"/>
            <w:hideMark/>
          </w:tcPr>
          <w:p w14:paraId="6D142A38" w14:textId="77777777" w:rsidR="00B50D71" w:rsidRPr="009C186D" w:rsidRDefault="00B50D71" w:rsidP="002807AA">
            <w:pPr>
              <w:jc w:val="center"/>
              <w:rPr>
                <w:color w:val="000000" w:themeColor="text1"/>
                <w:sz w:val="22"/>
                <w:szCs w:val="22"/>
              </w:rPr>
            </w:pPr>
            <w:r w:rsidRPr="009C186D">
              <w:rPr>
                <w:color w:val="000000" w:themeColor="text1"/>
                <w:sz w:val="22"/>
                <w:szCs w:val="22"/>
              </w:rPr>
              <w:t>163</w:t>
            </w:r>
          </w:p>
        </w:tc>
        <w:tc>
          <w:tcPr>
            <w:tcW w:w="1047" w:type="dxa"/>
            <w:tcBorders>
              <w:top w:val="nil"/>
              <w:left w:val="nil"/>
              <w:right w:val="nil"/>
            </w:tcBorders>
            <w:vAlign w:val="center"/>
          </w:tcPr>
          <w:p w14:paraId="39A49131" w14:textId="77777777" w:rsidR="00B50D71" w:rsidRPr="009C186D" w:rsidRDefault="00B50D71" w:rsidP="002807AA">
            <w:pPr>
              <w:jc w:val="center"/>
              <w:rPr>
                <w:color w:val="000000" w:themeColor="text1"/>
                <w:sz w:val="22"/>
                <w:szCs w:val="22"/>
              </w:rPr>
            </w:pPr>
            <w:r w:rsidRPr="009C186D">
              <w:rPr>
                <w:color w:val="000000" w:themeColor="text1"/>
                <w:sz w:val="22"/>
                <w:szCs w:val="22"/>
              </w:rPr>
              <w:t>1,701</w:t>
            </w:r>
          </w:p>
        </w:tc>
        <w:tc>
          <w:tcPr>
            <w:tcW w:w="2355" w:type="dxa"/>
            <w:tcBorders>
              <w:top w:val="nil"/>
              <w:left w:val="nil"/>
              <w:right w:val="nil"/>
            </w:tcBorders>
            <w:shd w:val="clear" w:color="auto" w:fill="auto"/>
            <w:noWrap/>
            <w:vAlign w:val="center"/>
            <w:hideMark/>
          </w:tcPr>
          <w:p w14:paraId="7962DF89" w14:textId="77777777" w:rsidR="00B50D71" w:rsidRPr="009C186D" w:rsidRDefault="00B50D71" w:rsidP="002807AA">
            <w:pPr>
              <w:jc w:val="center"/>
              <w:rPr>
                <w:color w:val="000000" w:themeColor="text1"/>
                <w:sz w:val="22"/>
                <w:szCs w:val="22"/>
                <w:vertAlign w:val="superscript"/>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64.93</w:t>
            </w:r>
            <w:r w:rsidRPr="009C186D">
              <w:rPr>
                <w:color w:val="000000" w:themeColor="text1"/>
                <w:sz w:val="22"/>
                <w:szCs w:val="22"/>
                <w:vertAlign w:val="superscript"/>
              </w:rPr>
              <w:t>***</w:t>
            </w:r>
          </w:p>
        </w:tc>
      </w:tr>
      <w:tr w:rsidR="00B50D71" w:rsidRPr="008E79A8" w14:paraId="08CEB6DB" w14:textId="77777777" w:rsidTr="002807AA">
        <w:trPr>
          <w:trHeight w:val="288"/>
        </w:trPr>
        <w:tc>
          <w:tcPr>
            <w:tcW w:w="1732" w:type="dxa"/>
            <w:tcBorders>
              <w:top w:val="nil"/>
              <w:left w:val="nil"/>
              <w:bottom w:val="single" w:sz="18" w:space="0" w:color="auto"/>
              <w:right w:val="nil"/>
            </w:tcBorders>
            <w:shd w:val="clear" w:color="auto" w:fill="auto"/>
            <w:vAlign w:val="center"/>
            <w:hideMark/>
          </w:tcPr>
          <w:p w14:paraId="1E7D667B" w14:textId="77777777" w:rsidR="00B50D71" w:rsidRPr="009C186D" w:rsidRDefault="00B50D71" w:rsidP="002807AA">
            <w:pPr>
              <w:rPr>
                <w:color w:val="000000" w:themeColor="text1"/>
                <w:sz w:val="22"/>
                <w:szCs w:val="22"/>
              </w:rPr>
            </w:pPr>
            <w:r w:rsidRPr="009C186D">
              <w:rPr>
                <w:color w:val="000000" w:themeColor="text1"/>
                <w:sz w:val="22"/>
                <w:szCs w:val="22"/>
              </w:rPr>
              <w:t xml:space="preserve">     Other</w:t>
            </w:r>
          </w:p>
        </w:tc>
        <w:tc>
          <w:tcPr>
            <w:tcW w:w="986" w:type="dxa"/>
            <w:tcBorders>
              <w:top w:val="nil"/>
              <w:left w:val="nil"/>
              <w:bottom w:val="single" w:sz="18" w:space="0" w:color="auto"/>
              <w:right w:val="nil"/>
            </w:tcBorders>
            <w:shd w:val="clear" w:color="auto" w:fill="auto"/>
            <w:noWrap/>
            <w:vAlign w:val="center"/>
            <w:hideMark/>
          </w:tcPr>
          <w:p w14:paraId="4BD136FA" w14:textId="77777777" w:rsidR="00B50D71" w:rsidRPr="009C186D" w:rsidRDefault="00B50D71" w:rsidP="002807AA">
            <w:pPr>
              <w:jc w:val="center"/>
              <w:rPr>
                <w:color w:val="000000" w:themeColor="text1"/>
                <w:sz w:val="22"/>
                <w:szCs w:val="22"/>
              </w:rPr>
            </w:pPr>
            <w:r w:rsidRPr="009C186D">
              <w:rPr>
                <w:color w:val="000000" w:themeColor="text1"/>
                <w:sz w:val="22"/>
                <w:szCs w:val="22"/>
              </w:rPr>
              <w:t>232</w:t>
            </w:r>
          </w:p>
        </w:tc>
        <w:tc>
          <w:tcPr>
            <w:tcW w:w="1047" w:type="dxa"/>
            <w:tcBorders>
              <w:top w:val="nil"/>
              <w:left w:val="nil"/>
              <w:bottom w:val="single" w:sz="18" w:space="0" w:color="auto"/>
              <w:right w:val="nil"/>
            </w:tcBorders>
            <w:vAlign w:val="center"/>
          </w:tcPr>
          <w:p w14:paraId="3436FACC" w14:textId="77777777" w:rsidR="00B50D71" w:rsidRPr="009C186D" w:rsidRDefault="00B50D71" w:rsidP="002807AA">
            <w:pPr>
              <w:jc w:val="center"/>
              <w:rPr>
                <w:color w:val="000000" w:themeColor="text1"/>
                <w:sz w:val="22"/>
                <w:szCs w:val="22"/>
              </w:rPr>
            </w:pPr>
            <w:r w:rsidRPr="009C186D">
              <w:rPr>
                <w:color w:val="000000" w:themeColor="text1"/>
                <w:sz w:val="22"/>
                <w:szCs w:val="22"/>
              </w:rPr>
              <w:t>1,632</w:t>
            </w:r>
          </w:p>
        </w:tc>
        <w:tc>
          <w:tcPr>
            <w:tcW w:w="2355" w:type="dxa"/>
            <w:tcBorders>
              <w:top w:val="nil"/>
              <w:left w:val="nil"/>
              <w:bottom w:val="single" w:sz="18" w:space="0" w:color="auto"/>
              <w:right w:val="nil"/>
            </w:tcBorders>
            <w:shd w:val="clear" w:color="auto" w:fill="auto"/>
            <w:noWrap/>
            <w:vAlign w:val="center"/>
            <w:hideMark/>
          </w:tcPr>
          <w:p w14:paraId="3C40461E" w14:textId="77777777" w:rsidR="00B50D71" w:rsidRPr="009C186D" w:rsidRDefault="00B50D71" w:rsidP="002807AA">
            <w:pPr>
              <w:jc w:val="center"/>
              <w:rPr>
                <w:i/>
                <w:iCs/>
                <w:color w:val="000000" w:themeColor="text1"/>
                <w:sz w:val="22"/>
                <w:szCs w:val="22"/>
              </w:rPr>
            </w:pPr>
            <w:r w:rsidRPr="009C186D">
              <w:rPr>
                <w:color w:val="000000" w:themeColor="text1"/>
                <w:sz w:val="22"/>
                <w:szCs w:val="22"/>
              </w:rPr>
              <w:t>χ</w:t>
            </w:r>
            <w:r w:rsidRPr="009C186D">
              <w:rPr>
                <w:color w:val="000000" w:themeColor="text1"/>
                <w:sz w:val="22"/>
                <w:szCs w:val="22"/>
                <w:vertAlign w:val="superscript"/>
              </w:rPr>
              <w:t>2</w:t>
            </w:r>
            <w:r w:rsidRPr="009C186D">
              <w:rPr>
                <w:color w:val="000000" w:themeColor="text1"/>
                <w:sz w:val="22"/>
                <w:szCs w:val="22"/>
              </w:rPr>
              <w:t>(1, 11794) = 0.07</w:t>
            </w:r>
            <w:r w:rsidRPr="009C186D">
              <w:rPr>
                <w:i/>
                <w:iCs/>
                <w:color w:val="000000" w:themeColor="text1"/>
                <w:sz w:val="22"/>
                <w:szCs w:val="22"/>
                <w:vertAlign w:val="superscript"/>
              </w:rPr>
              <w:t>ns</w:t>
            </w:r>
          </w:p>
        </w:tc>
      </w:tr>
    </w:tbl>
    <w:p w14:paraId="7D49ADBF" w14:textId="77777777" w:rsidR="00B50D71" w:rsidRPr="00BA3AF4" w:rsidRDefault="00B50D71" w:rsidP="00B50D71"/>
    <w:p w14:paraId="6897B181" w14:textId="0E9B6F73" w:rsidR="00761ACF" w:rsidRPr="00DE6EE0" w:rsidRDefault="00761ACF" w:rsidP="00F04F5A">
      <w:pPr>
        <w:widowControl w:val="0"/>
        <w:autoSpaceDE w:val="0"/>
        <w:autoSpaceDN w:val="0"/>
        <w:adjustRightInd w:val="0"/>
        <w:spacing w:line="480" w:lineRule="auto"/>
        <w:ind w:left="480" w:hanging="480"/>
        <w:rPr>
          <w:rFonts w:eastAsiaTheme="majorEastAsia"/>
          <w:b/>
          <w:bCs/>
          <w:color w:val="000000" w:themeColor="text1"/>
        </w:rPr>
        <w:sectPr w:rsidR="00761ACF" w:rsidRPr="00DE6EE0" w:rsidSect="00F46342">
          <w:pgSz w:w="12240" w:h="15840"/>
          <w:pgMar w:top="1440" w:right="1440" w:bottom="1440" w:left="1440" w:header="720" w:footer="720" w:gutter="0"/>
          <w:cols w:space="720"/>
          <w:docGrid w:linePitch="360"/>
        </w:sectPr>
      </w:pPr>
    </w:p>
    <w:p w14:paraId="1C75D5FF" w14:textId="48AC518B" w:rsidR="0031427C" w:rsidRPr="002E5DD5" w:rsidRDefault="00432B71" w:rsidP="002E5DD5">
      <w:pPr>
        <w:pStyle w:val="Heading1"/>
        <w:rPr>
          <w:rFonts w:ascii="Times New Roman" w:hAnsi="Times New Roman" w:cs="Times New Roman"/>
          <w:color w:val="000000" w:themeColor="text1"/>
          <w:sz w:val="24"/>
          <w:szCs w:val="24"/>
        </w:rPr>
      </w:pPr>
      <w:bookmarkStart w:id="14" w:name="_Toc155817681"/>
      <w:r>
        <w:rPr>
          <w:rFonts w:ascii="Times New Roman" w:hAnsi="Times New Roman" w:cs="Times New Roman"/>
          <w:b/>
          <w:bCs/>
          <w:color w:val="000000" w:themeColor="text1"/>
          <w:sz w:val="24"/>
          <w:szCs w:val="24"/>
        </w:rPr>
        <w:lastRenderedPageBreak/>
        <w:t xml:space="preserve">Table </w:t>
      </w:r>
      <w:r w:rsidR="00452DF8">
        <w:rPr>
          <w:rFonts w:ascii="Times New Roman" w:hAnsi="Times New Roman" w:cs="Times New Roman"/>
          <w:b/>
          <w:bCs/>
          <w:color w:val="000000" w:themeColor="text1"/>
          <w:sz w:val="24"/>
          <w:szCs w:val="24"/>
        </w:rPr>
        <w:t>2</w:t>
      </w:r>
      <w:r w:rsidR="0031427C" w:rsidRPr="002E5DD5">
        <w:rPr>
          <w:rFonts w:ascii="Times New Roman" w:hAnsi="Times New Roman" w:cs="Times New Roman"/>
          <w:b/>
          <w:bCs/>
          <w:color w:val="000000" w:themeColor="text1"/>
          <w:sz w:val="24"/>
          <w:szCs w:val="24"/>
        </w:rPr>
        <w:t>a.</w:t>
      </w:r>
      <w:r w:rsidR="0031427C" w:rsidRPr="002E5DD5">
        <w:rPr>
          <w:rFonts w:ascii="Times New Roman" w:hAnsi="Times New Roman" w:cs="Times New Roman"/>
          <w:color w:val="000000" w:themeColor="text1"/>
          <w:sz w:val="24"/>
          <w:szCs w:val="24"/>
        </w:rPr>
        <w:t xml:space="preserve"> Results </w:t>
      </w:r>
      <w:r w:rsidR="00570F63">
        <w:rPr>
          <w:rFonts w:ascii="Times New Roman" w:hAnsi="Times New Roman" w:cs="Times New Roman"/>
          <w:color w:val="000000" w:themeColor="text1"/>
          <w:sz w:val="24"/>
          <w:szCs w:val="24"/>
        </w:rPr>
        <w:t>e</w:t>
      </w:r>
      <w:r w:rsidR="0031427C" w:rsidRPr="002E5DD5">
        <w:rPr>
          <w:rFonts w:ascii="Times New Roman" w:hAnsi="Times New Roman" w:cs="Times New Roman"/>
          <w:color w:val="000000" w:themeColor="text1"/>
          <w:sz w:val="24"/>
          <w:szCs w:val="24"/>
        </w:rPr>
        <w:t xml:space="preserve">xamining the </w:t>
      </w:r>
      <w:r w:rsidR="00570F63">
        <w:rPr>
          <w:rFonts w:ascii="Times New Roman" w:hAnsi="Times New Roman" w:cs="Times New Roman"/>
          <w:color w:val="000000" w:themeColor="text1"/>
          <w:sz w:val="24"/>
          <w:szCs w:val="24"/>
        </w:rPr>
        <w:t>r</w:t>
      </w:r>
      <w:r w:rsidR="0031427C" w:rsidRPr="002E5DD5">
        <w:rPr>
          <w:rFonts w:ascii="Times New Roman" w:hAnsi="Times New Roman" w:cs="Times New Roman"/>
          <w:color w:val="000000" w:themeColor="text1"/>
          <w:sz w:val="24"/>
          <w:szCs w:val="24"/>
        </w:rPr>
        <w:t xml:space="preserve">elationship </w:t>
      </w:r>
      <w:r w:rsidR="00570F63">
        <w:rPr>
          <w:rFonts w:ascii="Times New Roman" w:hAnsi="Times New Roman" w:cs="Times New Roman"/>
          <w:color w:val="000000" w:themeColor="text1"/>
          <w:sz w:val="24"/>
          <w:szCs w:val="24"/>
        </w:rPr>
        <w:t>b</w:t>
      </w:r>
      <w:r w:rsidR="0031427C" w:rsidRPr="002E5DD5">
        <w:rPr>
          <w:rFonts w:ascii="Times New Roman" w:hAnsi="Times New Roman" w:cs="Times New Roman"/>
          <w:color w:val="000000" w:themeColor="text1"/>
          <w:sz w:val="24"/>
          <w:szCs w:val="24"/>
        </w:rPr>
        <w:t xml:space="preserve">etween </w:t>
      </w:r>
      <w:r w:rsidR="00570F63">
        <w:rPr>
          <w:rFonts w:ascii="Times New Roman" w:hAnsi="Times New Roman" w:cs="Times New Roman"/>
          <w:color w:val="000000" w:themeColor="text1"/>
          <w:sz w:val="24"/>
          <w:szCs w:val="24"/>
        </w:rPr>
        <w:t>e</w:t>
      </w:r>
      <w:r w:rsidR="0031427C" w:rsidRPr="002E5DD5">
        <w:rPr>
          <w:rFonts w:ascii="Times New Roman" w:hAnsi="Times New Roman" w:cs="Times New Roman"/>
          <w:color w:val="000000" w:themeColor="text1"/>
          <w:sz w:val="24"/>
          <w:szCs w:val="24"/>
        </w:rPr>
        <w:t xml:space="preserve">nvironmental </w:t>
      </w:r>
      <w:r w:rsidR="00570F63">
        <w:rPr>
          <w:rFonts w:ascii="Times New Roman" w:hAnsi="Times New Roman" w:cs="Times New Roman"/>
          <w:color w:val="000000" w:themeColor="text1"/>
          <w:sz w:val="24"/>
          <w:szCs w:val="24"/>
        </w:rPr>
        <w:t>s</w:t>
      </w:r>
      <w:r w:rsidR="0031427C" w:rsidRPr="002E5DD5">
        <w:rPr>
          <w:rFonts w:ascii="Times New Roman" w:hAnsi="Times New Roman" w:cs="Times New Roman"/>
          <w:color w:val="000000" w:themeColor="text1"/>
          <w:sz w:val="24"/>
          <w:szCs w:val="24"/>
        </w:rPr>
        <w:t xml:space="preserve">tressor </w:t>
      </w:r>
      <w:r w:rsidR="00570F63">
        <w:rPr>
          <w:rFonts w:ascii="Times New Roman" w:hAnsi="Times New Roman" w:cs="Times New Roman"/>
          <w:color w:val="000000" w:themeColor="text1"/>
          <w:sz w:val="24"/>
          <w:szCs w:val="24"/>
        </w:rPr>
        <w:t>f</w:t>
      </w:r>
      <w:r w:rsidR="0031427C" w:rsidRPr="002E5DD5">
        <w:rPr>
          <w:rFonts w:ascii="Times New Roman" w:hAnsi="Times New Roman" w:cs="Times New Roman"/>
          <w:color w:val="000000" w:themeColor="text1"/>
          <w:sz w:val="24"/>
          <w:szCs w:val="24"/>
        </w:rPr>
        <w:t xml:space="preserve">actors </w:t>
      </w:r>
      <w:r w:rsidR="00570F63">
        <w:rPr>
          <w:rFonts w:ascii="Times New Roman" w:hAnsi="Times New Roman" w:cs="Times New Roman"/>
          <w:color w:val="000000" w:themeColor="text1"/>
          <w:sz w:val="24"/>
          <w:szCs w:val="24"/>
        </w:rPr>
        <w:t>o</w:t>
      </w:r>
      <w:r w:rsidR="0031427C" w:rsidRPr="002E5DD5">
        <w:rPr>
          <w:rFonts w:ascii="Times New Roman" w:hAnsi="Times New Roman" w:cs="Times New Roman"/>
          <w:color w:val="000000" w:themeColor="text1"/>
          <w:sz w:val="24"/>
          <w:szCs w:val="24"/>
        </w:rPr>
        <w:t xml:space="preserve">btained from </w:t>
      </w:r>
      <w:r w:rsidR="00570F63">
        <w:rPr>
          <w:rFonts w:ascii="Times New Roman" w:hAnsi="Times New Roman" w:cs="Times New Roman"/>
          <w:color w:val="000000" w:themeColor="text1"/>
          <w:sz w:val="24"/>
          <w:szCs w:val="24"/>
        </w:rPr>
        <w:t>b</w:t>
      </w:r>
      <w:r w:rsidR="0031427C" w:rsidRPr="002E5DD5">
        <w:rPr>
          <w:rFonts w:ascii="Times New Roman" w:hAnsi="Times New Roman" w:cs="Times New Roman"/>
          <w:color w:val="000000" w:themeColor="text1"/>
          <w:sz w:val="24"/>
          <w:szCs w:val="24"/>
        </w:rPr>
        <w:t xml:space="preserve">ifactor </w:t>
      </w:r>
      <w:r w:rsidR="00570F63">
        <w:rPr>
          <w:rFonts w:ascii="Times New Roman" w:hAnsi="Times New Roman" w:cs="Times New Roman"/>
          <w:color w:val="000000" w:themeColor="text1"/>
          <w:sz w:val="24"/>
          <w:szCs w:val="24"/>
        </w:rPr>
        <w:t>m</w:t>
      </w:r>
      <w:r w:rsidR="0031427C" w:rsidRPr="002E5DD5">
        <w:rPr>
          <w:rFonts w:ascii="Times New Roman" w:hAnsi="Times New Roman" w:cs="Times New Roman"/>
          <w:color w:val="000000" w:themeColor="text1"/>
          <w:sz w:val="24"/>
          <w:szCs w:val="24"/>
        </w:rPr>
        <w:t xml:space="preserve">odeling and </w:t>
      </w:r>
      <w:r w:rsidR="00570F63">
        <w:rPr>
          <w:rFonts w:ascii="Times New Roman" w:hAnsi="Times New Roman" w:cs="Times New Roman"/>
          <w:color w:val="000000" w:themeColor="text1"/>
          <w:sz w:val="24"/>
          <w:szCs w:val="24"/>
        </w:rPr>
        <w:t>w</w:t>
      </w:r>
      <w:r w:rsidR="0031427C" w:rsidRPr="002E5DD5">
        <w:rPr>
          <w:rFonts w:ascii="Times New Roman" w:hAnsi="Times New Roman" w:cs="Times New Roman"/>
          <w:color w:val="000000" w:themeColor="text1"/>
          <w:sz w:val="24"/>
          <w:szCs w:val="24"/>
        </w:rPr>
        <w:t>hole-</w:t>
      </w:r>
      <w:r w:rsidR="00570F63">
        <w:rPr>
          <w:rFonts w:ascii="Times New Roman" w:hAnsi="Times New Roman" w:cs="Times New Roman"/>
          <w:color w:val="000000" w:themeColor="text1"/>
          <w:sz w:val="24"/>
          <w:szCs w:val="24"/>
        </w:rPr>
        <w:t>b</w:t>
      </w:r>
      <w:r w:rsidR="0031427C" w:rsidRPr="002E5DD5">
        <w:rPr>
          <w:rFonts w:ascii="Times New Roman" w:hAnsi="Times New Roman" w:cs="Times New Roman"/>
          <w:color w:val="000000" w:themeColor="text1"/>
          <w:sz w:val="24"/>
          <w:szCs w:val="24"/>
        </w:rPr>
        <w:t xml:space="preserve">rain Shen </w:t>
      </w:r>
      <w:r w:rsidR="00570F63">
        <w:rPr>
          <w:rFonts w:ascii="Times New Roman" w:hAnsi="Times New Roman" w:cs="Times New Roman"/>
          <w:color w:val="000000" w:themeColor="text1"/>
          <w:sz w:val="24"/>
          <w:szCs w:val="24"/>
        </w:rPr>
        <w:t>m</w:t>
      </w:r>
      <w:r w:rsidR="0031427C" w:rsidRPr="002E5DD5">
        <w:rPr>
          <w:rFonts w:ascii="Times New Roman" w:hAnsi="Times New Roman" w:cs="Times New Roman"/>
          <w:color w:val="000000" w:themeColor="text1"/>
          <w:sz w:val="24"/>
          <w:szCs w:val="24"/>
        </w:rPr>
        <w:t>odularity</w:t>
      </w:r>
      <w:bookmarkEnd w:id="14"/>
      <w:r w:rsidR="0031427C" w:rsidRPr="002E5DD5">
        <w:rPr>
          <w:rFonts w:ascii="Times New Roman" w:hAnsi="Times New Roman" w:cs="Times New Roman"/>
          <w:color w:val="000000" w:themeColor="text1"/>
          <w:sz w:val="24"/>
          <w:szCs w:val="24"/>
        </w:rPr>
        <w:t xml:space="preserve"> </w:t>
      </w:r>
    </w:p>
    <w:p w14:paraId="6F9F4CB9" w14:textId="77777777" w:rsidR="0031427C" w:rsidRDefault="0031427C" w:rsidP="0031427C">
      <w:pPr>
        <w:rPr>
          <w:color w:val="000000"/>
        </w:rPr>
      </w:pPr>
    </w:p>
    <w:tbl>
      <w:tblPr>
        <w:tblW w:w="14152" w:type="dxa"/>
        <w:tblLook w:val="04A0" w:firstRow="1" w:lastRow="0" w:firstColumn="1" w:lastColumn="0" w:noHBand="0" w:noVBand="1"/>
      </w:tblPr>
      <w:tblGrid>
        <w:gridCol w:w="820"/>
        <w:gridCol w:w="1027"/>
        <w:gridCol w:w="893"/>
        <w:gridCol w:w="784"/>
        <w:gridCol w:w="784"/>
        <w:gridCol w:w="893"/>
        <w:gridCol w:w="784"/>
        <w:gridCol w:w="784"/>
        <w:gridCol w:w="893"/>
        <w:gridCol w:w="784"/>
        <w:gridCol w:w="784"/>
        <w:gridCol w:w="893"/>
        <w:gridCol w:w="784"/>
        <w:gridCol w:w="784"/>
        <w:gridCol w:w="893"/>
        <w:gridCol w:w="784"/>
        <w:gridCol w:w="784"/>
      </w:tblGrid>
      <w:tr w:rsidR="00A57DD9" w14:paraId="7F4AB500" w14:textId="77777777" w:rsidTr="00DE6EE0">
        <w:trPr>
          <w:trHeight w:val="340"/>
        </w:trPr>
        <w:tc>
          <w:tcPr>
            <w:tcW w:w="820" w:type="dxa"/>
            <w:tcBorders>
              <w:top w:val="single" w:sz="12" w:space="0" w:color="auto"/>
              <w:left w:val="nil"/>
              <w:right w:val="nil"/>
            </w:tcBorders>
            <w:shd w:val="clear" w:color="auto" w:fill="auto"/>
            <w:noWrap/>
            <w:vAlign w:val="bottom"/>
            <w:hideMark/>
          </w:tcPr>
          <w:p w14:paraId="4D4F366D" w14:textId="5E87EEB8" w:rsidR="00A57DD9" w:rsidRDefault="00A57DD9" w:rsidP="00A57DD9">
            <w:pPr>
              <w:rPr>
                <w:color w:val="000000"/>
                <w:sz w:val="20"/>
                <w:szCs w:val="20"/>
              </w:rPr>
            </w:pPr>
            <w:r>
              <w:rPr>
                <w:color w:val="000000"/>
                <w:sz w:val="20"/>
                <w:szCs w:val="20"/>
              </w:rPr>
              <w:t>Task</w:t>
            </w:r>
          </w:p>
        </w:tc>
        <w:tc>
          <w:tcPr>
            <w:tcW w:w="1027" w:type="dxa"/>
            <w:tcBorders>
              <w:top w:val="single" w:sz="12" w:space="0" w:color="auto"/>
              <w:left w:val="nil"/>
              <w:right w:val="nil"/>
            </w:tcBorders>
            <w:shd w:val="clear" w:color="auto" w:fill="auto"/>
            <w:noWrap/>
            <w:vAlign w:val="bottom"/>
            <w:hideMark/>
          </w:tcPr>
          <w:p w14:paraId="72E7D454" w14:textId="200BB134" w:rsidR="00A57DD9" w:rsidRDefault="00A57DD9" w:rsidP="00A57DD9">
            <w:pPr>
              <w:rPr>
                <w:color w:val="000000"/>
                <w:sz w:val="20"/>
                <w:szCs w:val="20"/>
              </w:rPr>
            </w:pPr>
            <w:r>
              <w:rPr>
                <w:color w:val="000000"/>
                <w:sz w:val="20"/>
                <w:szCs w:val="20"/>
              </w:rPr>
              <w:t>Threshold</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42C98776" w14:textId="580CF072" w:rsidR="00A57DD9" w:rsidRDefault="00A57DD9" w:rsidP="00587B4A">
            <w:pPr>
              <w:jc w:val="center"/>
              <w:rPr>
                <w:color w:val="000000"/>
                <w:sz w:val="20"/>
                <w:szCs w:val="20"/>
              </w:rPr>
            </w:pPr>
            <w:r>
              <w:rPr>
                <w:color w:val="000000"/>
                <w:sz w:val="20"/>
                <w:szCs w:val="20"/>
              </w:rPr>
              <w:t>General Environmental Stress</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485E97E7" w14:textId="281EB763" w:rsidR="00A57DD9" w:rsidRDefault="00A57DD9" w:rsidP="00587B4A">
            <w:pPr>
              <w:jc w:val="center"/>
              <w:rPr>
                <w:color w:val="000000"/>
                <w:sz w:val="20"/>
                <w:szCs w:val="20"/>
              </w:rPr>
            </w:pPr>
            <w:r>
              <w:rPr>
                <w:color w:val="000000"/>
                <w:sz w:val="20"/>
                <w:szCs w:val="20"/>
              </w:rPr>
              <w:t>Family Dynamics</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6FF6512E" w14:textId="4461CA0C" w:rsidR="00A57DD9" w:rsidRDefault="00A57DD9" w:rsidP="00587B4A">
            <w:pPr>
              <w:jc w:val="center"/>
              <w:rPr>
                <w:color w:val="000000"/>
                <w:sz w:val="20"/>
                <w:szCs w:val="20"/>
              </w:rPr>
            </w:pPr>
            <w:r>
              <w:rPr>
                <w:color w:val="000000"/>
                <w:sz w:val="20"/>
                <w:szCs w:val="20"/>
              </w:rPr>
              <w:t>Interpersonal Support</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579550DD" w14:textId="324DFCB9" w:rsidR="00A57DD9" w:rsidRDefault="00A57DD9" w:rsidP="00587B4A">
            <w:pPr>
              <w:jc w:val="center"/>
              <w:rPr>
                <w:color w:val="000000"/>
                <w:sz w:val="20"/>
                <w:szCs w:val="20"/>
              </w:rPr>
            </w:pPr>
            <w:r>
              <w:rPr>
                <w:color w:val="000000"/>
                <w:sz w:val="20"/>
                <w:szCs w:val="20"/>
              </w:rPr>
              <w:t>Neighborhood SES Deprivation</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164C1191" w14:textId="111F0C7D" w:rsidR="00A57DD9" w:rsidRDefault="00A57DD9" w:rsidP="00587B4A">
            <w:pPr>
              <w:jc w:val="center"/>
              <w:rPr>
                <w:color w:val="000000"/>
                <w:sz w:val="20"/>
                <w:szCs w:val="20"/>
              </w:rPr>
            </w:pPr>
            <w:r>
              <w:rPr>
                <w:color w:val="000000"/>
                <w:sz w:val="20"/>
                <w:szCs w:val="20"/>
              </w:rPr>
              <w:t>Urbanicity</w:t>
            </w:r>
          </w:p>
        </w:tc>
      </w:tr>
      <w:tr w:rsidR="0031427C" w14:paraId="7045E7E7" w14:textId="77777777" w:rsidTr="00DE6EE0">
        <w:trPr>
          <w:trHeight w:val="340"/>
        </w:trPr>
        <w:tc>
          <w:tcPr>
            <w:tcW w:w="820" w:type="dxa"/>
            <w:tcBorders>
              <w:left w:val="nil"/>
              <w:bottom w:val="single" w:sz="12" w:space="0" w:color="auto"/>
              <w:right w:val="nil"/>
            </w:tcBorders>
            <w:shd w:val="clear" w:color="auto" w:fill="auto"/>
            <w:noWrap/>
            <w:vAlign w:val="center"/>
            <w:hideMark/>
          </w:tcPr>
          <w:p w14:paraId="700EAC38" w14:textId="04CB751E" w:rsidR="0031427C" w:rsidRPr="00DE6EE0" w:rsidRDefault="0031427C" w:rsidP="00DE6EE0">
            <w:pPr>
              <w:jc w:val="center"/>
              <w:rPr>
                <w:i/>
                <w:iCs/>
                <w:color w:val="000000"/>
                <w:sz w:val="20"/>
                <w:szCs w:val="20"/>
              </w:rPr>
            </w:pPr>
          </w:p>
        </w:tc>
        <w:tc>
          <w:tcPr>
            <w:tcW w:w="1027" w:type="dxa"/>
            <w:tcBorders>
              <w:left w:val="nil"/>
              <w:bottom w:val="single" w:sz="12" w:space="0" w:color="auto"/>
              <w:right w:val="nil"/>
            </w:tcBorders>
            <w:shd w:val="clear" w:color="auto" w:fill="auto"/>
            <w:noWrap/>
            <w:vAlign w:val="center"/>
            <w:hideMark/>
          </w:tcPr>
          <w:p w14:paraId="7DF1DDD8" w14:textId="0C58B6C0" w:rsidR="0031427C" w:rsidRPr="00DE6EE0" w:rsidRDefault="0031427C" w:rsidP="00DE6EE0">
            <w:pPr>
              <w:jc w:val="center"/>
              <w:rPr>
                <w:i/>
                <w:iCs/>
                <w:color w:val="000000"/>
                <w:sz w:val="20"/>
                <w:szCs w:val="20"/>
              </w:rPr>
            </w:pPr>
          </w:p>
        </w:tc>
        <w:tc>
          <w:tcPr>
            <w:tcW w:w="893" w:type="dxa"/>
            <w:tcBorders>
              <w:top w:val="single" w:sz="12" w:space="0" w:color="auto"/>
              <w:left w:val="nil"/>
              <w:bottom w:val="single" w:sz="12" w:space="0" w:color="auto"/>
              <w:right w:val="nil"/>
            </w:tcBorders>
            <w:shd w:val="clear" w:color="auto" w:fill="auto"/>
            <w:noWrap/>
            <w:vAlign w:val="center"/>
            <w:hideMark/>
          </w:tcPr>
          <w:p w14:paraId="42D8B143" w14:textId="77777777" w:rsidR="0031427C" w:rsidRPr="00DE6EE0" w:rsidRDefault="0031427C" w:rsidP="00A57DD9">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0E1532AE" w14:textId="77777777" w:rsidR="0031427C" w:rsidRPr="00DE6EE0" w:rsidRDefault="0031427C" w:rsidP="00A57DD9">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5E4600CB" w14:textId="77777777" w:rsidR="0031427C" w:rsidRPr="00DE6EE0" w:rsidRDefault="0031427C" w:rsidP="00A57DD9">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c>
          <w:tcPr>
            <w:tcW w:w="893" w:type="dxa"/>
            <w:tcBorders>
              <w:top w:val="single" w:sz="12" w:space="0" w:color="auto"/>
              <w:left w:val="nil"/>
              <w:bottom w:val="single" w:sz="12" w:space="0" w:color="auto"/>
              <w:right w:val="nil"/>
            </w:tcBorders>
            <w:shd w:val="clear" w:color="auto" w:fill="auto"/>
            <w:noWrap/>
            <w:vAlign w:val="center"/>
            <w:hideMark/>
          </w:tcPr>
          <w:p w14:paraId="3E9965CE" w14:textId="77777777" w:rsidR="0031427C" w:rsidRPr="00DE6EE0" w:rsidRDefault="0031427C" w:rsidP="00A57DD9">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1DE3658E" w14:textId="77777777" w:rsidR="0031427C" w:rsidRPr="00DE6EE0" w:rsidRDefault="0031427C" w:rsidP="00A57DD9">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37BBCAA2" w14:textId="77777777" w:rsidR="0031427C" w:rsidRPr="00DE6EE0" w:rsidRDefault="0031427C" w:rsidP="00A57DD9">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c>
          <w:tcPr>
            <w:tcW w:w="893" w:type="dxa"/>
            <w:tcBorders>
              <w:top w:val="single" w:sz="12" w:space="0" w:color="auto"/>
              <w:left w:val="nil"/>
              <w:bottom w:val="single" w:sz="12" w:space="0" w:color="auto"/>
              <w:right w:val="nil"/>
            </w:tcBorders>
            <w:shd w:val="clear" w:color="auto" w:fill="auto"/>
            <w:noWrap/>
            <w:vAlign w:val="center"/>
            <w:hideMark/>
          </w:tcPr>
          <w:p w14:paraId="3A597EB8" w14:textId="77777777" w:rsidR="0031427C" w:rsidRPr="00DE6EE0" w:rsidRDefault="0031427C" w:rsidP="00A57DD9">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165F38D4" w14:textId="77777777" w:rsidR="0031427C" w:rsidRPr="00DE6EE0" w:rsidRDefault="0031427C" w:rsidP="00A57DD9">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5E13EAA4" w14:textId="77777777" w:rsidR="0031427C" w:rsidRPr="00DE6EE0" w:rsidRDefault="0031427C" w:rsidP="00A57DD9">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c>
          <w:tcPr>
            <w:tcW w:w="893" w:type="dxa"/>
            <w:tcBorders>
              <w:top w:val="single" w:sz="12" w:space="0" w:color="auto"/>
              <w:left w:val="nil"/>
              <w:bottom w:val="single" w:sz="12" w:space="0" w:color="auto"/>
              <w:right w:val="nil"/>
            </w:tcBorders>
            <w:shd w:val="clear" w:color="auto" w:fill="auto"/>
            <w:noWrap/>
            <w:vAlign w:val="center"/>
            <w:hideMark/>
          </w:tcPr>
          <w:p w14:paraId="3D1D7650" w14:textId="77777777" w:rsidR="0031427C" w:rsidRPr="00DE6EE0" w:rsidRDefault="0031427C" w:rsidP="00A57DD9">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2E50A1A5" w14:textId="77777777" w:rsidR="0031427C" w:rsidRPr="00DE6EE0" w:rsidRDefault="0031427C" w:rsidP="00A57DD9">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665614D3" w14:textId="77777777" w:rsidR="0031427C" w:rsidRPr="00DE6EE0" w:rsidRDefault="0031427C" w:rsidP="00A57DD9">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c>
          <w:tcPr>
            <w:tcW w:w="893" w:type="dxa"/>
            <w:tcBorders>
              <w:top w:val="single" w:sz="12" w:space="0" w:color="auto"/>
              <w:left w:val="nil"/>
              <w:bottom w:val="single" w:sz="12" w:space="0" w:color="auto"/>
              <w:right w:val="nil"/>
            </w:tcBorders>
            <w:shd w:val="clear" w:color="auto" w:fill="auto"/>
            <w:noWrap/>
            <w:vAlign w:val="center"/>
            <w:hideMark/>
          </w:tcPr>
          <w:p w14:paraId="0F69D359" w14:textId="77777777" w:rsidR="0031427C" w:rsidRPr="00DE6EE0" w:rsidRDefault="0031427C" w:rsidP="00A57DD9">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69DDB800" w14:textId="77777777" w:rsidR="0031427C" w:rsidRPr="00DE6EE0" w:rsidRDefault="0031427C" w:rsidP="00A57DD9">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79E8BA74" w14:textId="77777777" w:rsidR="0031427C" w:rsidRPr="00DE6EE0" w:rsidRDefault="0031427C" w:rsidP="00A57DD9">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r>
      <w:tr w:rsidR="00E01EA5" w14:paraId="268D7483" w14:textId="77777777" w:rsidTr="00DE6EE0">
        <w:trPr>
          <w:trHeight w:val="320"/>
        </w:trPr>
        <w:tc>
          <w:tcPr>
            <w:tcW w:w="820" w:type="dxa"/>
            <w:tcBorders>
              <w:top w:val="single" w:sz="12" w:space="0" w:color="auto"/>
              <w:left w:val="nil"/>
              <w:bottom w:val="nil"/>
              <w:right w:val="nil"/>
            </w:tcBorders>
            <w:shd w:val="clear" w:color="auto" w:fill="auto"/>
            <w:noWrap/>
            <w:vAlign w:val="bottom"/>
            <w:hideMark/>
          </w:tcPr>
          <w:p w14:paraId="44DE7B2F" w14:textId="77777777" w:rsidR="00E01EA5" w:rsidRDefault="00E01EA5" w:rsidP="00E01EA5">
            <w:pPr>
              <w:rPr>
                <w:color w:val="000000"/>
                <w:sz w:val="20"/>
                <w:szCs w:val="20"/>
              </w:rPr>
            </w:pPr>
            <w:r>
              <w:rPr>
                <w:color w:val="000000"/>
                <w:sz w:val="20"/>
                <w:szCs w:val="20"/>
              </w:rPr>
              <w:t>Rest</w:t>
            </w:r>
          </w:p>
        </w:tc>
        <w:tc>
          <w:tcPr>
            <w:tcW w:w="1027" w:type="dxa"/>
            <w:tcBorders>
              <w:top w:val="single" w:sz="12" w:space="0" w:color="auto"/>
              <w:left w:val="nil"/>
              <w:bottom w:val="nil"/>
              <w:right w:val="nil"/>
            </w:tcBorders>
            <w:shd w:val="clear" w:color="auto" w:fill="auto"/>
            <w:noWrap/>
            <w:vAlign w:val="bottom"/>
            <w:hideMark/>
          </w:tcPr>
          <w:p w14:paraId="26289411" w14:textId="77777777" w:rsidR="00E01EA5" w:rsidRDefault="00E01EA5" w:rsidP="00E01EA5">
            <w:pPr>
              <w:rPr>
                <w:color w:val="000000"/>
                <w:sz w:val="20"/>
                <w:szCs w:val="20"/>
              </w:rPr>
            </w:pPr>
            <w:r>
              <w:rPr>
                <w:color w:val="000000"/>
                <w:sz w:val="20"/>
                <w:szCs w:val="20"/>
              </w:rPr>
              <w:t>10%</w:t>
            </w:r>
          </w:p>
        </w:tc>
        <w:tc>
          <w:tcPr>
            <w:tcW w:w="893" w:type="dxa"/>
            <w:tcBorders>
              <w:top w:val="single" w:sz="12" w:space="0" w:color="auto"/>
              <w:left w:val="nil"/>
              <w:bottom w:val="nil"/>
              <w:right w:val="nil"/>
            </w:tcBorders>
            <w:shd w:val="clear" w:color="auto" w:fill="auto"/>
            <w:noWrap/>
            <w:vAlign w:val="bottom"/>
            <w:hideMark/>
          </w:tcPr>
          <w:p w14:paraId="7DC5096B" w14:textId="6C14F92D" w:rsidR="00E01EA5" w:rsidRDefault="00E01EA5" w:rsidP="00E01EA5">
            <w:pPr>
              <w:jc w:val="right"/>
              <w:rPr>
                <w:b/>
                <w:bCs/>
                <w:color w:val="000000"/>
                <w:sz w:val="20"/>
                <w:szCs w:val="20"/>
              </w:rPr>
            </w:pPr>
            <w:r>
              <w:rPr>
                <w:b/>
                <w:bCs/>
                <w:color w:val="000000"/>
                <w:sz w:val="20"/>
                <w:szCs w:val="20"/>
              </w:rPr>
              <w:t>-0.057</w:t>
            </w:r>
          </w:p>
        </w:tc>
        <w:tc>
          <w:tcPr>
            <w:tcW w:w="784" w:type="dxa"/>
            <w:tcBorders>
              <w:top w:val="single" w:sz="12" w:space="0" w:color="auto"/>
              <w:left w:val="nil"/>
              <w:bottom w:val="nil"/>
              <w:right w:val="nil"/>
            </w:tcBorders>
            <w:shd w:val="clear" w:color="auto" w:fill="auto"/>
            <w:noWrap/>
            <w:vAlign w:val="bottom"/>
            <w:hideMark/>
          </w:tcPr>
          <w:p w14:paraId="0B074563" w14:textId="7CFCCEEB" w:rsidR="00E01EA5" w:rsidRDefault="00E01EA5" w:rsidP="00E01EA5">
            <w:pPr>
              <w:jc w:val="right"/>
              <w:rPr>
                <w:b/>
                <w:bCs/>
                <w:color w:val="000000"/>
                <w:sz w:val="20"/>
                <w:szCs w:val="20"/>
              </w:rPr>
            </w:pPr>
            <w:r>
              <w:rPr>
                <w:b/>
                <w:bCs/>
                <w:color w:val="000000"/>
                <w:sz w:val="20"/>
                <w:szCs w:val="20"/>
              </w:rPr>
              <w:t>0.008</w:t>
            </w:r>
          </w:p>
        </w:tc>
        <w:tc>
          <w:tcPr>
            <w:tcW w:w="784" w:type="dxa"/>
            <w:tcBorders>
              <w:top w:val="single" w:sz="12" w:space="0" w:color="auto"/>
              <w:left w:val="nil"/>
              <w:bottom w:val="nil"/>
              <w:right w:val="nil"/>
            </w:tcBorders>
            <w:shd w:val="clear" w:color="auto" w:fill="auto"/>
            <w:noWrap/>
            <w:vAlign w:val="bottom"/>
            <w:hideMark/>
          </w:tcPr>
          <w:p w14:paraId="30FD8FA7" w14:textId="19F1EE58" w:rsidR="00E01EA5" w:rsidRDefault="00E01EA5" w:rsidP="00E01EA5">
            <w:pPr>
              <w:jc w:val="right"/>
              <w:rPr>
                <w:b/>
                <w:bCs/>
                <w:color w:val="000000"/>
                <w:sz w:val="20"/>
                <w:szCs w:val="20"/>
              </w:rPr>
            </w:pPr>
            <w:r>
              <w:rPr>
                <w:b/>
                <w:bCs/>
                <w:color w:val="000000"/>
                <w:sz w:val="20"/>
                <w:szCs w:val="20"/>
              </w:rPr>
              <w:t>0.003</w:t>
            </w:r>
          </w:p>
        </w:tc>
        <w:tc>
          <w:tcPr>
            <w:tcW w:w="893" w:type="dxa"/>
            <w:tcBorders>
              <w:top w:val="single" w:sz="12" w:space="0" w:color="auto"/>
              <w:left w:val="nil"/>
              <w:bottom w:val="nil"/>
              <w:right w:val="nil"/>
            </w:tcBorders>
            <w:shd w:val="clear" w:color="auto" w:fill="auto"/>
            <w:noWrap/>
            <w:vAlign w:val="bottom"/>
            <w:hideMark/>
          </w:tcPr>
          <w:p w14:paraId="0A7CC559" w14:textId="5C427528" w:rsidR="00E01EA5" w:rsidRDefault="00E01EA5" w:rsidP="00E01EA5">
            <w:pPr>
              <w:jc w:val="right"/>
              <w:rPr>
                <w:color w:val="000000"/>
                <w:sz w:val="20"/>
                <w:szCs w:val="20"/>
              </w:rPr>
            </w:pPr>
            <w:r>
              <w:rPr>
                <w:color w:val="000000"/>
                <w:sz w:val="20"/>
                <w:szCs w:val="20"/>
              </w:rPr>
              <w:t>-0.021</w:t>
            </w:r>
          </w:p>
        </w:tc>
        <w:tc>
          <w:tcPr>
            <w:tcW w:w="784" w:type="dxa"/>
            <w:tcBorders>
              <w:top w:val="single" w:sz="12" w:space="0" w:color="auto"/>
              <w:left w:val="nil"/>
              <w:bottom w:val="nil"/>
              <w:right w:val="nil"/>
            </w:tcBorders>
            <w:shd w:val="clear" w:color="auto" w:fill="auto"/>
            <w:noWrap/>
            <w:vAlign w:val="bottom"/>
            <w:hideMark/>
          </w:tcPr>
          <w:p w14:paraId="6FABAC57" w14:textId="0C5837BC" w:rsidR="00E01EA5" w:rsidRDefault="00E01EA5" w:rsidP="00E01EA5">
            <w:pPr>
              <w:jc w:val="right"/>
              <w:rPr>
                <w:color w:val="000000"/>
                <w:sz w:val="20"/>
                <w:szCs w:val="20"/>
              </w:rPr>
            </w:pPr>
            <w:r>
              <w:rPr>
                <w:color w:val="000000"/>
                <w:sz w:val="20"/>
                <w:szCs w:val="20"/>
              </w:rPr>
              <w:t>0.321</w:t>
            </w:r>
          </w:p>
        </w:tc>
        <w:tc>
          <w:tcPr>
            <w:tcW w:w="784" w:type="dxa"/>
            <w:tcBorders>
              <w:top w:val="single" w:sz="12" w:space="0" w:color="auto"/>
              <w:left w:val="nil"/>
              <w:bottom w:val="nil"/>
              <w:right w:val="nil"/>
            </w:tcBorders>
            <w:shd w:val="clear" w:color="auto" w:fill="auto"/>
            <w:noWrap/>
            <w:vAlign w:val="bottom"/>
            <w:hideMark/>
          </w:tcPr>
          <w:p w14:paraId="27FF6A9C" w14:textId="64663653" w:rsidR="00E01EA5" w:rsidRDefault="00E01EA5" w:rsidP="00E01EA5">
            <w:pPr>
              <w:jc w:val="right"/>
              <w:rPr>
                <w:color w:val="000000"/>
                <w:sz w:val="20"/>
                <w:szCs w:val="20"/>
              </w:rPr>
            </w:pPr>
            <w:r>
              <w:rPr>
                <w:color w:val="000000"/>
                <w:sz w:val="20"/>
                <w:szCs w:val="20"/>
              </w:rPr>
              <w:t>0.000</w:t>
            </w:r>
          </w:p>
        </w:tc>
        <w:tc>
          <w:tcPr>
            <w:tcW w:w="893" w:type="dxa"/>
            <w:tcBorders>
              <w:top w:val="single" w:sz="12" w:space="0" w:color="auto"/>
              <w:left w:val="nil"/>
              <w:bottom w:val="nil"/>
              <w:right w:val="nil"/>
            </w:tcBorders>
            <w:shd w:val="clear" w:color="auto" w:fill="auto"/>
            <w:noWrap/>
            <w:vAlign w:val="bottom"/>
            <w:hideMark/>
          </w:tcPr>
          <w:p w14:paraId="0CA9B6D2" w14:textId="4BA3E6EC" w:rsidR="00E01EA5" w:rsidRDefault="00E01EA5" w:rsidP="00E01EA5">
            <w:pPr>
              <w:jc w:val="right"/>
              <w:rPr>
                <w:color w:val="000000"/>
                <w:sz w:val="20"/>
                <w:szCs w:val="20"/>
              </w:rPr>
            </w:pPr>
            <w:r>
              <w:rPr>
                <w:color w:val="000000"/>
                <w:sz w:val="20"/>
                <w:szCs w:val="20"/>
              </w:rPr>
              <w:t>-0.010</w:t>
            </w:r>
          </w:p>
        </w:tc>
        <w:tc>
          <w:tcPr>
            <w:tcW w:w="784" w:type="dxa"/>
            <w:tcBorders>
              <w:top w:val="single" w:sz="12" w:space="0" w:color="auto"/>
              <w:left w:val="nil"/>
              <w:bottom w:val="nil"/>
              <w:right w:val="nil"/>
            </w:tcBorders>
            <w:shd w:val="clear" w:color="auto" w:fill="auto"/>
            <w:noWrap/>
            <w:vAlign w:val="bottom"/>
            <w:hideMark/>
          </w:tcPr>
          <w:p w14:paraId="65D74917" w14:textId="24A44F2D" w:rsidR="00E01EA5" w:rsidRDefault="00E01EA5" w:rsidP="00E01EA5">
            <w:pPr>
              <w:jc w:val="right"/>
              <w:rPr>
                <w:color w:val="000000"/>
                <w:sz w:val="20"/>
                <w:szCs w:val="20"/>
              </w:rPr>
            </w:pPr>
            <w:r>
              <w:rPr>
                <w:color w:val="000000"/>
                <w:sz w:val="20"/>
                <w:szCs w:val="20"/>
              </w:rPr>
              <w:t>0.911</w:t>
            </w:r>
          </w:p>
        </w:tc>
        <w:tc>
          <w:tcPr>
            <w:tcW w:w="784" w:type="dxa"/>
            <w:tcBorders>
              <w:top w:val="single" w:sz="12" w:space="0" w:color="auto"/>
              <w:left w:val="nil"/>
              <w:bottom w:val="nil"/>
              <w:right w:val="nil"/>
            </w:tcBorders>
            <w:shd w:val="clear" w:color="auto" w:fill="auto"/>
            <w:noWrap/>
            <w:vAlign w:val="bottom"/>
            <w:hideMark/>
          </w:tcPr>
          <w:p w14:paraId="0F1BD70B" w14:textId="5C0C19A5" w:rsidR="00E01EA5" w:rsidRDefault="00E01EA5" w:rsidP="00E01EA5">
            <w:pPr>
              <w:jc w:val="right"/>
              <w:rPr>
                <w:color w:val="000000"/>
                <w:sz w:val="20"/>
                <w:szCs w:val="20"/>
              </w:rPr>
            </w:pPr>
            <w:r>
              <w:rPr>
                <w:color w:val="000000"/>
                <w:sz w:val="20"/>
                <w:szCs w:val="20"/>
              </w:rPr>
              <w:t>0.000</w:t>
            </w:r>
          </w:p>
        </w:tc>
        <w:tc>
          <w:tcPr>
            <w:tcW w:w="893" w:type="dxa"/>
            <w:tcBorders>
              <w:top w:val="single" w:sz="12" w:space="0" w:color="auto"/>
              <w:left w:val="nil"/>
              <w:bottom w:val="nil"/>
              <w:right w:val="nil"/>
            </w:tcBorders>
            <w:shd w:val="clear" w:color="auto" w:fill="auto"/>
            <w:noWrap/>
            <w:vAlign w:val="bottom"/>
            <w:hideMark/>
          </w:tcPr>
          <w:p w14:paraId="3A1572C0" w14:textId="69B12EA2" w:rsidR="00E01EA5" w:rsidRDefault="00E01EA5" w:rsidP="00E01EA5">
            <w:pPr>
              <w:jc w:val="right"/>
              <w:rPr>
                <w:color w:val="000000"/>
                <w:sz w:val="20"/>
                <w:szCs w:val="20"/>
              </w:rPr>
            </w:pPr>
            <w:r>
              <w:rPr>
                <w:color w:val="000000"/>
                <w:sz w:val="20"/>
                <w:szCs w:val="20"/>
              </w:rPr>
              <w:t>0.022</w:t>
            </w:r>
          </w:p>
        </w:tc>
        <w:tc>
          <w:tcPr>
            <w:tcW w:w="784" w:type="dxa"/>
            <w:tcBorders>
              <w:top w:val="single" w:sz="12" w:space="0" w:color="auto"/>
              <w:left w:val="nil"/>
              <w:bottom w:val="nil"/>
              <w:right w:val="nil"/>
            </w:tcBorders>
            <w:shd w:val="clear" w:color="auto" w:fill="auto"/>
            <w:noWrap/>
            <w:vAlign w:val="bottom"/>
            <w:hideMark/>
          </w:tcPr>
          <w:p w14:paraId="63DFFA9A" w14:textId="196B3F79" w:rsidR="00E01EA5" w:rsidRDefault="00E01EA5" w:rsidP="00E01EA5">
            <w:pPr>
              <w:jc w:val="right"/>
              <w:rPr>
                <w:color w:val="000000"/>
                <w:sz w:val="20"/>
                <w:szCs w:val="20"/>
              </w:rPr>
            </w:pPr>
            <w:r>
              <w:rPr>
                <w:color w:val="000000"/>
                <w:sz w:val="20"/>
                <w:szCs w:val="20"/>
              </w:rPr>
              <w:t>0.290</w:t>
            </w:r>
          </w:p>
        </w:tc>
        <w:tc>
          <w:tcPr>
            <w:tcW w:w="784" w:type="dxa"/>
            <w:tcBorders>
              <w:top w:val="single" w:sz="12" w:space="0" w:color="auto"/>
              <w:left w:val="nil"/>
              <w:bottom w:val="nil"/>
              <w:right w:val="nil"/>
            </w:tcBorders>
            <w:shd w:val="clear" w:color="auto" w:fill="auto"/>
            <w:noWrap/>
            <w:vAlign w:val="bottom"/>
            <w:hideMark/>
          </w:tcPr>
          <w:p w14:paraId="229DD165" w14:textId="2E5B3857" w:rsidR="00E01EA5" w:rsidRDefault="00E01EA5" w:rsidP="00E01EA5">
            <w:pPr>
              <w:jc w:val="right"/>
              <w:rPr>
                <w:color w:val="000000"/>
                <w:sz w:val="20"/>
                <w:szCs w:val="20"/>
              </w:rPr>
            </w:pPr>
            <w:r>
              <w:rPr>
                <w:color w:val="000000"/>
                <w:sz w:val="20"/>
                <w:szCs w:val="20"/>
              </w:rPr>
              <w:t>0.000</w:t>
            </w:r>
          </w:p>
        </w:tc>
        <w:tc>
          <w:tcPr>
            <w:tcW w:w="893" w:type="dxa"/>
            <w:tcBorders>
              <w:top w:val="single" w:sz="12" w:space="0" w:color="auto"/>
              <w:left w:val="nil"/>
              <w:bottom w:val="nil"/>
              <w:right w:val="nil"/>
            </w:tcBorders>
            <w:shd w:val="clear" w:color="auto" w:fill="auto"/>
            <w:noWrap/>
            <w:vAlign w:val="bottom"/>
            <w:hideMark/>
          </w:tcPr>
          <w:p w14:paraId="1B76D54D" w14:textId="4F3A2C97" w:rsidR="00E01EA5" w:rsidRDefault="00E01EA5" w:rsidP="00E01EA5">
            <w:pPr>
              <w:jc w:val="right"/>
              <w:rPr>
                <w:b/>
                <w:bCs/>
                <w:color w:val="000000"/>
                <w:sz w:val="20"/>
                <w:szCs w:val="20"/>
              </w:rPr>
            </w:pPr>
            <w:r>
              <w:rPr>
                <w:b/>
                <w:bCs/>
                <w:color w:val="000000"/>
                <w:sz w:val="20"/>
                <w:szCs w:val="20"/>
              </w:rPr>
              <w:t>-0.069</w:t>
            </w:r>
          </w:p>
        </w:tc>
        <w:tc>
          <w:tcPr>
            <w:tcW w:w="784" w:type="dxa"/>
            <w:tcBorders>
              <w:top w:val="single" w:sz="12" w:space="0" w:color="auto"/>
              <w:left w:val="nil"/>
              <w:bottom w:val="nil"/>
              <w:right w:val="nil"/>
            </w:tcBorders>
            <w:shd w:val="clear" w:color="auto" w:fill="auto"/>
            <w:noWrap/>
            <w:vAlign w:val="bottom"/>
            <w:hideMark/>
          </w:tcPr>
          <w:p w14:paraId="38E1BAFF" w14:textId="3477F18C" w:rsidR="00E01EA5" w:rsidRDefault="00E01EA5" w:rsidP="00E01EA5">
            <w:pPr>
              <w:jc w:val="right"/>
              <w:rPr>
                <w:b/>
                <w:bCs/>
                <w:color w:val="000000"/>
                <w:sz w:val="20"/>
                <w:szCs w:val="20"/>
              </w:rPr>
            </w:pPr>
            <w:r>
              <w:rPr>
                <w:b/>
                <w:bCs/>
                <w:color w:val="000000"/>
                <w:sz w:val="20"/>
                <w:szCs w:val="20"/>
              </w:rPr>
              <w:t>0.004</w:t>
            </w:r>
          </w:p>
        </w:tc>
        <w:tc>
          <w:tcPr>
            <w:tcW w:w="784" w:type="dxa"/>
            <w:tcBorders>
              <w:top w:val="single" w:sz="12" w:space="0" w:color="auto"/>
              <w:left w:val="nil"/>
              <w:bottom w:val="nil"/>
              <w:right w:val="nil"/>
            </w:tcBorders>
            <w:shd w:val="clear" w:color="auto" w:fill="auto"/>
            <w:noWrap/>
            <w:vAlign w:val="bottom"/>
            <w:hideMark/>
          </w:tcPr>
          <w:p w14:paraId="46CFA22D" w14:textId="07BE3BD4" w:rsidR="00E01EA5" w:rsidRDefault="00E01EA5" w:rsidP="00E01EA5">
            <w:pPr>
              <w:jc w:val="right"/>
              <w:rPr>
                <w:b/>
                <w:bCs/>
                <w:color w:val="000000"/>
                <w:sz w:val="20"/>
                <w:szCs w:val="20"/>
              </w:rPr>
            </w:pPr>
            <w:r>
              <w:rPr>
                <w:b/>
                <w:bCs/>
                <w:color w:val="000000"/>
                <w:sz w:val="20"/>
                <w:szCs w:val="20"/>
              </w:rPr>
              <w:t>0.005</w:t>
            </w:r>
          </w:p>
        </w:tc>
      </w:tr>
      <w:tr w:rsidR="00E01EA5" w14:paraId="5AFB6C24" w14:textId="77777777" w:rsidTr="00A57DD9">
        <w:trPr>
          <w:trHeight w:val="320"/>
        </w:trPr>
        <w:tc>
          <w:tcPr>
            <w:tcW w:w="820" w:type="dxa"/>
            <w:tcBorders>
              <w:top w:val="nil"/>
              <w:left w:val="nil"/>
              <w:bottom w:val="nil"/>
              <w:right w:val="nil"/>
            </w:tcBorders>
            <w:shd w:val="clear" w:color="auto" w:fill="auto"/>
            <w:noWrap/>
            <w:vAlign w:val="bottom"/>
            <w:hideMark/>
          </w:tcPr>
          <w:p w14:paraId="1BBB891A" w14:textId="77777777" w:rsidR="00E01EA5" w:rsidRDefault="00E01EA5" w:rsidP="00E01EA5">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0487772D" w14:textId="77777777" w:rsidR="00E01EA5" w:rsidRDefault="00E01EA5" w:rsidP="00E01EA5">
            <w:pPr>
              <w:rPr>
                <w:color w:val="000000"/>
                <w:sz w:val="20"/>
                <w:szCs w:val="20"/>
              </w:rPr>
            </w:pPr>
            <w:r>
              <w:rPr>
                <w:color w:val="000000"/>
                <w:sz w:val="20"/>
                <w:szCs w:val="20"/>
              </w:rPr>
              <w:t>17%</w:t>
            </w:r>
          </w:p>
        </w:tc>
        <w:tc>
          <w:tcPr>
            <w:tcW w:w="893" w:type="dxa"/>
            <w:tcBorders>
              <w:top w:val="nil"/>
              <w:left w:val="nil"/>
              <w:bottom w:val="nil"/>
              <w:right w:val="nil"/>
            </w:tcBorders>
            <w:shd w:val="clear" w:color="auto" w:fill="auto"/>
            <w:noWrap/>
            <w:vAlign w:val="bottom"/>
            <w:hideMark/>
          </w:tcPr>
          <w:p w14:paraId="5BF3ACD2" w14:textId="1D36B324" w:rsidR="00E01EA5" w:rsidRDefault="00E01EA5" w:rsidP="00E01EA5">
            <w:pPr>
              <w:jc w:val="right"/>
              <w:rPr>
                <w:b/>
                <w:bCs/>
                <w:color w:val="000000"/>
                <w:sz w:val="20"/>
                <w:szCs w:val="20"/>
              </w:rPr>
            </w:pPr>
            <w:r>
              <w:rPr>
                <w:b/>
                <w:bCs/>
                <w:color w:val="000000"/>
                <w:sz w:val="20"/>
                <w:szCs w:val="20"/>
              </w:rPr>
              <w:t>-0.060</w:t>
            </w:r>
          </w:p>
        </w:tc>
        <w:tc>
          <w:tcPr>
            <w:tcW w:w="784" w:type="dxa"/>
            <w:tcBorders>
              <w:top w:val="nil"/>
              <w:left w:val="nil"/>
              <w:bottom w:val="nil"/>
              <w:right w:val="nil"/>
            </w:tcBorders>
            <w:shd w:val="clear" w:color="auto" w:fill="auto"/>
            <w:noWrap/>
            <w:vAlign w:val="bottom"/>
            <w:hideMark/>
          </w:tcPr>
          <w:p w14:paraId="2E39EC53" w14:textId="0061109F" w:rsidR="00E01EA5" w:rsidRDefault="00E01EA5" w:rsidP="00E01EA5">
            <w:pPr>
              <w:jc w:val="right"/>
              <w:rPr>
                <w:b/>
                <w:bCs/>
                <w:color w:val="000000"/>
                <w:sz w:val="20"/>
                <w:szCs w:val="20"/>
              </w:rPr>
            </w:pPr>
            <w:r>
              <w:rPr>
                <w:b/>
                <w:bCs/>
                <w:color w:val="000000"/>
                <w:sz w:val="20"/>
                <w:szCs w:val="20"/>
              </w:rPr>
              <w:t>0.007</w:t>
            </w:r>
          </w:p>
        </w:tc>
        <w:tc>
          <w:tcPr>
            <w:tcW w:w="784" w:type="dxa"/>
            <w:tcBorders>
              <w:top w:val="nil"/>
              <w:left w:val="nil"/>
              <w:bottom w:val="nil"/>
              <w:right w:val="nil"/>
            </w:tcBorders>
            <w:shd w:val="clear" w:color="auto" w:fill="auto"/>
            <w:noWrap/>
            <w:vAlign w:val="bottom"/>
            <w:hideMark/>
          </w:tcPr>
          <w:p w14:paraId="7F2C058A" w14:textId="4A41FBA0" w:rsidR="00E01EA5" w:rsidRDefault="00E01EA5" w:rsidP="00E01EA5">
            <w:pPr>
              <w:jc w:val="right"/>
              <w:rPr>
                <w:b/>
                <w:bCs/>
                <w:color w:val="000000"/>
                <w:sz w:val="20"/>
                <w:szCs w:val="20"/>
              </w:rPr>
            </w:pPr>
            <w:r>
              <w:rPr>
                <w:b/>
                <w:bCs/>
                <w:color w:val="000000"/>
                <w:sz w:val="20"/>
                <w:szCs w:val="20"/>
              </w:rPr>
              <w:t>0.004</w:t>
            </w:r>
          </w:p>
        </w:tc>
        <w:tc>
          <w:tcPr>
            <w:tcW w:w="893" w:type="dxa"/>
            <w:tcBorders>
              <w:top w:val="nil"/>
              <w:left w:val="nil"/>
              <w:bottom w:val="nil"/>
              <w:right w:val="nil"/>
            </w:tcBorders>
            <w:shd w:val="clear" w:color="auto" w:fill="auto"/>
            <w:noWrap/>
            <w:vAlign w:val="bottom"/>
            <w:hideMark/>
          </w:tcPr>
          <w:p w14:paraId="56DD73B8" w14:textId="368BE037" w:rsidR="00E01EA5" w:rsidRDefault="00E01EA5" w:rsidP="00E01EA5">
            <w:pPr>
              <w:jc w:val="right"/>
              <w:rPr>
                <w:color w:val="000000"/>
                <w:sz w:val="20"/>
                <w:szCs w:val="20"/>
              </w:rPr>
            </w:pPr>
            <w:r>
              <w:rPr>
                <w:color w:val="000000"/>
                <w:sz w:val="20"/>
                <w:szCs w:val="20"/>
              </w:rPr>
              <w:t>-0.023</w:t>
            </w:r>
          </w:p>
        </w:tc>
        <w:tc>
          <w:tcPr>
            <w:tcW w:w="784" w:type="dxa"/>
            <w:tcBorders>
              <w:top w:val="nil"/>
              <w:left w:val="nil"/>
              <w:bottom w:val="nil"/>
              <w:right w:val="nil"/>
            </w:tcBorders>
            <w:shd w:val="clear" w:color="auto" w:fill="auto"/>
            <w:noWrap/>
            <w:vAlign w:val="bottom"/>
            <w:hideMark/>
          </w:tcPr>
          <w:p w14:paraId="08AD4BF7" w14:textId="4B2D8810" w:rsidR="00E01EA5" w:rsidRDefault="00E01EA5" w:rsidP="00E01EA5">
            <w:pPr>
              <w:jc w:val="right"/>
              <w:rPr>
                <w:color w:val="000000"/>
                <w:sz w:val="20"/>
                <w:szCs w:val="20"/>
              </w:rPr>
            </w:pPr>
            <w:r>
              <w:rPr>
                <w:color w:val="000000"/>
                <w:sz w:val="20"/>
                <w:szCs w:val="20"/>
              </w:rPr>
              <w:t>0.321</w:t>
            </w:r>
          </w:p>
        </w:tc>
        <w:tc>
          <w:tcPr>
            <w:tcW w:w="784" w:type="dxa"/>
            <w:tcBorders>
              <w:top w:val="nil"/>
              <w:left w:val="nil"/>
              <w:bottom w:val="nil"/>
              <w:right w:val="nil"/>
            </w:tcBorders>
            <w:shd w:val="clear" w:color="auto" w:fill="auto"/>
            <w:noWrap/>
            <w:vAlign w:val="bottom"/>
            <w:hideMark/>
          </w:tcPr>
          <w:p w14:paraId="7B47E857" w14:textId="52731DD6"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10A958DB" w14:textId="002FD4AB" w:rsidR="00E01EA5" w:rsidRDefault="00E01EA5" w:rsidP="00E01EA5">
            <w:pPr>
              <w:jc w:val="right"/>
              <w:rPr>
                <w:color w:val="000000"/>
                <w:sz w:val="20"/>
                <w:szCs w:val="20"/>
              </w:rPr>
            </w:pPr>
            <w:r>
              <w:rPr>
                <w:color w:val="000000"/>
                <w:sz w:val="20"/>
                <w:szCs w:val="20"/>
              </w:rPr>
              <w:t>-0.007</w:t>
            </w:r>
          </w:p>
        </w:tc>
        <w:tc>
          <w:tcPr>
            <w:tcW w:w="784" w:type="dxa"/>
            <w:tcBorders>
              <w:top w:val="nil"/>
              <w:left w:val="nil"/>
              <w:bottom w:val="nil"/>
              <w:right w:val="nil"/>
            </w:tcBorders>
            <w:shd w:val="clear" w:color="auto" w:fill="auto"/>
            <w:noWrap/>
            <w:vAlign w:val="bottom"/>
            <w:hideMark/>
          </w:tcPr>
          <w:p w14:paraId="4BC277CA" w14:textId="4984997B" w:rsidR="00E01EA5" w:rsidRDefault="00E01EA5" w:rsidP="00E01EA5">
            <w:pPr>
              <w:jc w:val="right"/>
              <w:rPr>
                <w:color w:val="000000"/>
                <w:sz w:val="20"/>
                <w:szCs w:val="20"/>
              </w:rPr>
            </w:pPr>
            <w:r>
              <w:rPr>
                <w:color w:val="000000"/>
                <w:sz w:val="20"/>
                <w:szCs w:val="20"/>
              </w:rPr>
              <w:t>0.911</w:t>
            </w:r>
          </w:p>
        </w:tc>
        <w:tc>
          <w:tcPr>
            <w:tcW w:w="784" w:type="dxa"/>
            <w:tcBorders>
              <w:top w:val="nil"/>
              <w:left w:val="nil"/>
              <w:bottom w:val="nil"/>
              <w:right w:val="nil"/>
            </w:tcBorders>
            <w:shd w:val="clear" w:color="auto" w:fill="auto"/>
            <w:noWrap/>
            <w:vAlign w:val="bottom"/>
            <w:hideMark/>
          </w:tcPr>
          <w:p w14:paraId="7E7A5CFE" w14:textId="5DA141F9"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374E6998" w14:textId="00CCE1C4" w:rsidR="00E01EA5" w:rsidRPr="00DE6EE0" w:rsidRDefault="00E01EA5" w:rsidP="00E01EA5">
            <w:pPr>
              <w:jc w:val="right"/>
              <w:rPr>
                <w:color w:val="000000"/>
                <w:sz w:val="20"/>
                <w:szCs w:val="20"/>
                <w:highlight w:val="yellow"/>
              </w:rPr>
            </w:pPr>
            <w:r>
              <w:rPr>
                <w:color w:val="000000"/>
                <w:sz w:val="20"/>
                <w:szCs w:val="20"/>
              </w:rPr>
              <w:t>0.021</w:t>
            </w:r>
          </w:p>
        </w:tc>
        <w:tc>
          <w:tcPr>
            <w:tcW w:w="784" w:type="dxa"/>
            <w:tcBorders>
              <w:top w:val="nil"/>
              <w:left w:val="nil"/>
              <w:bottom w:val="nil"/>
              <w:right w:val="nil"/>
            </w:tcBorders>
            <w:shd w:val="clear" w:color="auto" w:fill="auto"/>
            <w:noWrap/>
            <w:vAlign w:val="bottom"/>
            <w:hideMark/>
          </w:tcPr>
          <w:p w14:paraId="5635C6A8" w14:textId="77FE6FEF" w:rsidR="00E01EA5" w:rsidRDefault="00E01EA5" w:rsidP="00E01EA5">
            <w:pPr>
              <w:jc w:val="right"/>
              <w:rPr>
                <w:color w:val="000000"/>
                <w:sz w:val="20"/>
                <w:szCs w:val="20"/>
              </w:rPr>
            </w:pPr>
            <w:r>
              <w:rPr>
                <w:color w:val="000000"/>
                <w:sz w:val="20"/>
                <w:szCs w:val="20"/>
              </w:rPr>
              <w:t>0.290</w:t>
            </w:r>
          </w:p>
        </w:tc>
        <w:tc>
          <w:tcPr>
            <w:tcW w:w="784" w:type="dxa"/>
            <w:tcBorders>
              <w:top w:val="nil"/>
              <w:left w:val="nil"/>
              <w:bottom w:val="nil"/>
              <w:right w:val="nil"/>
            </w:tcBorders>
            <w:shd w:val="clear" w:color="auto" w:fill="auto"/>
            <w:noWrap/>
            <w:vAlign w:val="bottom"/>
            <w:hideMark/>
          </w:tcPr>
          <w:p w14:paraId="6812FE16" w14:textId="1C11C080"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3BAA70C7" w14:textId="176F3364" w:rsidR="00E01EA5" w:rsidRDefault="00E01EA5" w:rsidP="00E01EA5">
            <w:pPr>
              <w:jc w:val="right"/>
              <w:rPr>
                <w:b/>
                <w:bCs/>
                <w:color w:val="000000"/>
                <w:sz w:val="20"/>
                <w:szCs w:val="20"/>
              </w:rPr>
            </w:pPr>
            <w:r>
              <w:rPr>
                <w:b/>
                <w:bCs/>
                <w:color w:val="000000"/>
                <w:sz w:val="20"/>
                <w:szCs w:val="20"/>
              </w:rPr>
              <w:t>-0.067</w:t>
            </w:r>
          </w:p>
        </w:tc>
        <w:tc>
          <w:tcPr>
            <w:tcW w:w="784" w:type="dxa"/>
            <w:tcBorders>
              <w:top w:val="nil"/>
              <w:left w:val="nil"/>
              <w:bottom w:val="nil"/>
              <w:right w:val="nil"/>
            </w:tcBorders>
            <w:shd w:val="clear" w:color="auto" w:fill="auto"/>
            <w:noWrap/>
            <w:vAlign w:val="bottom"/>
            <w:hideMark/>
          </w:tcPr>
          <w:p w14:paraId="14B55385" w14:textId="1BE5519D" w:rsidR="00E01EA5" w:rsidRDefault="00E01EA5" w:rsidP="00E01EA5">
            <w:pPr>
              <w:jc w:val="right"/>
              <w:rPr>
                <w:b/>
                <w:bCs/>
                <w:color w:val="000000"/>
                <w:sz w:val="20"/>
                <w:szCs w:val="20"/>
              </w:rPr>
            </w:pPr>
            <w:r>
              <w:rPr>
                <w:b/>
                <w:bCs/>
                <w:color w:val="000000"/>
                <w:sz w:val="20"/>
                <w:szCs w:val="20"/>
              </w:rPr>
              <w:t>0.004</w:t>
            </w:r>
          </w:p>
        </w:tc>
        <w:tc>
          <w:tcPr>
            <w:tcW w:w="784" w:type="dxa"/>
            <w:tcBorders>
              <w:top w:val="nil"/>
              <w:left w:val="nil"/>
              <w:bottom w:val="nil"/>
              <w:right w:val="nil"/>
            </w:tcBorders>
            <w:shd w:val="clear" w:color="auto" w:fill="auto"/>
            <w:noWrap/>
            <w:vAlign w:val="bottom"/>
            <w:hideMark/>
          </w:tcPr>
          <w:p w14:paraId="0B51C4E6" w14:textId="7E00B8C1" w:rsidR="00E01EA5" w:rsidRDefault="00E01EA5" w:rsidP="00E01EA5">
            <w:pPr>
              <w:jc w:val="right"/>
              <w:rPr>
                <w:b/>
                <w:bCs/>
                <w:color w:val="000000"/>
                <w:sz w:val="20"/>
                <w:szCs w:val="20"/>
              </w:rPr>
            </w:pPr>
            <w:r>
              <w:rPr>
                <w:b/>
                <w:bCs/>
                <w:color w:val="000000"/>
                <w:sz w:val="20"/>
                <w:szCs w:val="20"/>
              </w:rPr>
              <w:t>0.004</w:t>
            </w:r>
          </w:p>
        </w:tc>
      </w:tr>
      <w:tr w:rsidR="00E01EA5" w14:paraId="3451B0F0" w14:textId="77777777" w:rsidTr="00A57DD9">
        <w:trPr>
          <w:trHeight w:val="320"/>
        </w:trPr>
        <w:tc>
          <w:tcPr>
            <w:tcW w:w="820" w:type="dxa"/>
            <w:tcBorders>
              <w:top w:val="nil"/>
              <w:left w:val="nil"/>
              <w:bottom w:val="nil"/>
              <w:right w:val="nil"/>
            </w:tcBorders>
            <w:shd w:val="clear" w:color="auto" w:fill="auto"/>
            <w:noWrap/>
            <w:vAlign w:val="bottom"/>
            <w:hideMark/>
          </w:tcPr>
          <w:p w14:paraId="7A7090F1" w14:textId="77777777" w:rsidR="00E01EA5" w:rsidRDefault="00E01EA5" w:rsidP="00E01EA5">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4B757505" w14:textId="77777777" w:rsidR="00E01EA5" w:rsidRDefault="00E01EA5" w:rsidP="00E01EA5">
            <w:pPr>
              <w:rPr>
                <w:color w:val="000000"/>
                <w:sz w:val="20"/>
                <w:szCs w:val="20"/>
              </w:rPr>
            </w:pPr>
            <w:r>
              <w:rPr>
                <w:color w:val="000000"/>
                <w:sz w:val="20"/>
                <w:szCs w:val="20"/>
              </w:rPr>
              <w:t>23%</w:t>
            </w:r>
          </w:p>
        </w:tc>
        <w:tc>
          <w:tcPr>
            <w:tcW w:w="893" w:type="dxa"/>
            <w:tcBorders>
              <w:top w:val="nil"/>
              <w:left w:val="nil"/>
              <w:bottom w:val="nil"/>
              <w:right w:val="nil"/>
            </w:tcBorders>
            <w:shd w:val="clear" w:color="auto" w:fill="auto"/>
            <w:noWrap/>
            <w:vAlign w:val="bottom"/>
            <w:hideMark/>
          </w:tcPr>
          <w:p w14:paraId="74172A3D" w14:textId="6FD2B409" w:rsidR="00E01EA5" w:rsidRDefault="00E01EA5" w:rsidP="00E01EA5">
            <w:pPr>
              <w:jc w:val="right"/>
              <w:rPr>
                <w:b/>
                <w:bCs/>
                <w:color w:val="000000"/>
                <w:sz w:val="20"/>
                <w:szCs w:val="20"/>
              </w:rPr>
            </w:pPr>
            <w:r>
              <w:rPr>
                <w:b/>
                <w:bCs/>
                <w:color w:val="000000"/>
                <w:sz w:val="20"/>
                <w:szCs w:val="20"/>
              </w:rPr>
              <w:t>-0.063</w:t>
            </w:r>
          </w:p>
        </w:tc>
        <w:tc>
          <w:tcPr>
            <w:tcW w:w="784" w:type="dxa"/>
            <w:tcBorders>
              <w:top w:val="nil"/>
              <w:left w:val="nil"/>
              <w:bottom w:val="nil"/>
              <w:right w:val="nil"/>
            </w:tcBorders>
            <w:shd w:val="clear" w:color="auto" w:fill="auto"/>
            <w:noWrap/>
            <w:vAlign w:val="bottom"/>
            <w:hideMark/>
          </w:tcPr>
          <w:p w14:paraId="37BC55CE" w14:textId="333E51FD" w:rsidR="00E01EA5" w:rsidRDefault="00E01EA5" w:rsidP="00E01EA5">
            <w:pPr>
              <w:jc w:val="right"/>
              <w:rPr>
                <w:b/>
                <w:bCs/>
                <w:color w:val="000000"/>
                <w:sz w:val="20"/>
                <w:szCs w:val="20"/>
              </w:rPr>
            </w:pPr>
            <w:r>
              <w:rPr>
                <w:b/>
                <w:bCs/>
                <w:color w:val="000000"/>
                <w:sz w:val="20"/>
                <w:szCs w:val="20"/>
              </w:rPr>
              <w:t>0.006</w:t>
            </w:r>
          </w:p>
        </w:tc>
        <w:tc>
          <w:tcPr>
            <w:tcW w:w="784" w:type="dxa"/>
            <w:tcBorders>
              <w:top w:val="nil"/>
              <w:left w:val="nil"/>
              <w:bottom w:val="nil"/>
              <w:right w:val="nil"/>
            </w:tcBorders>
            <w:shd w:val="clear" w:color="auto" w:fill="auto"/>
            <w:noWrap/>
            <w:vAlign w:val="bottom"/>
            <w:hideMark/>
          </w:tcPr>
          <w:p w14:paraId="4F348C30" w14:textId="2EFCD8D1" w:rsidR="00E01EA5" w:rsidRDefault="00E01EA5" w:rsidP="00E01EA5">
            <w:pPr>
              <w:jc w:val="right"/>
              <w:rPr>
                <w:b/>
                <w:bCs/>
                <w:color w:val="000000"/>
                <w:sz w:val="20"/>
                <w:szCs w:val="20"/>
              </w:rPr>
            </w:pPr>
            <w:r>
              <w:rPr>
                <w:b/>
                <w:bCs/>
                <w:color w:val="000000"/>
                <w:sz w:val="20"/>
                <w:szCs w:val="20"/>
              </w:rPr>
              <w:t>0.004</w:t>
            </w:r>
          </w:p>
        </w:tc>
        <w:tc>
          <w:tcPr>
            <w:tcW w:w="893" w:type="dxa"/>
            <w:tcBorders>
              <w:top w:val="nil"/>
              <w:left w:val="nil"/>
              <w:bottom w:val="nil"/>
              <w:right w:val="nil"/>
            </w:tcBorders>
            <w:shd w:val="clear" w:color="auto" w:fill="auto"/>
            <w:noWrap/>
            <w:vAlign w:val="bottom"/>
            <w:hideMark/>
          </w:tcPr>
          <w:p w14:paraId="2DF2EACD" w14:textId="3FB531F6" w:rsidR="00E01EA5" w:rsidRDefault="00E01EA5" w:rsidP="00E01EA5">
            <w:pPr>
              <w:jc w:val="right"/>
              <w:rPr>
                <w:color w:val="000000"/>
                <w:sz w:val="20"/>
                <w:szCs w:val="20"/>
              </w:rPr>
            </w:pPr>
            <w:r>
              <w:rPr>
                <w:color w:val="000000"/>
                <w:sz w:val="20"/>
                <w:szCs w:val="20"/>
              </w:rPr>
              <w:t>-0.023</w:t>
            </w:r>
          </w:p>
        </w:tc>
        <w:tc>
          <w:tcPr>
            <w:tcW w:w="784" w:type="dxa"/>
            <w:tcBorders>
              <w:top w:val="nil"/>
              <w:left w:val="nil"/>
              <w:bottom w:val="nil"/>
              <w:right w:val="nil"/>
            </w:tcBorders>
            <w:shd w:val="clear" w:color="auto" w:fill="auto"/>
            <w:noWrap/>
            <w:vAlign w:val="bottom"/>
            <w:hideMark/>
          </w:tcPr>
          <w:p w14:paraId="5B267A63" w14:textId="38DB1E9D" w:rsidR="00E01EA5" w:rsidRDefault="00E01EA5" w:rsidP="00E01EA5">
            <w:pPr>
              <w:jc w:val="right"/>
              <w:rPr>
                <w:color w:val="000000"/>
                <w:sz w:val="20"/>
                <w:szCs w:val="20"/>
              </w:rPr>
            </w:pPr>
            <w:r>
              <w:rPr>
                <w:color w:val="000000"/>
                <w:sz w:val="20"/>
                <w:szCs w:val="20"/>
              </w:rPr>
              <w:t>0.321</w:t>
            </w:r>
          </w:p>
        </w:tc>
        <w:tc>
          <w:tcPr>
            <w:tcW w:w="784" w:type="dxa"/>
            <w:tcBorders>
              <w:top w:val="nil"/>
              <w:left w:val="nil"/>
              <w:bottom w:val="nil"/>
              <w:right w:val="nil"/>
            </w:tcBorders>
            <w:shd w:val="clear" w:color="auto" w:fill="auto"/>
            <w:noWrap/>
            <w:vAlign w:val="bottom"/>
            <w:hideMark/>
          </w:tcPr>
          <w:p w14:paraId="6E31FF7B" w14:textId="27A51EC2"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0F22F185" w14:textId="188E687C" w:rsidR="00E01EA5" w:rsidRDefault="00E01EA5" w:rsidP="00E01EA5">
            <w:pPr>
              <w:jc w:val="right"/>
              <w:rPr>
                <w:color w:val="000000"/>
                <w:sz w:val="20"/>
                <w:szCs w:val="20"/>
              </w:rPr>
            </w:pPr>
            <w:r>
              <w:rPr>
                <w:color w:val="000000"/>
                <w:sz w:val="20"/>
                <w:szCs w:val="20"/>
              </w:rPr>
              <w:t>-0.004</w:t>
            </w:r>
          </w:p>
        </w:tc>
        <w:tc>
          <w:tcPr>
            <w:tcW w:w="784" w:type="dxa"/>
            <w:tcBorders>
              <w:top w:val="nil"/>
              <w:left w:val="nil"/>
              <w:bottom w:val="nil"/>
              <w:right w:val="nil"/>
            </w:tcBorders>
            <w:shd w:val="clear" w:color="auto" w:fill="auto"/>
            <w:noWrap/>
            <w:vAlign w:val="bottom"/>
            <w:hideMark/>
          </w:tcPr>
          <w:p w14:paraId="4A983B14" w14:textId="1EDC5E4D" w:rsidR="00E01EA5" w:rsidRDefault="00E01EA5" w:rsidP="00E01EA5">
            <w:pPr>
              <w:jc w:val="right"/>
              <w:rPr>
                <w:color w:val="000000"/>
                <w:sz w:val="20"/>
                <w:szCs w:val="20"/>
              </w:rPr>
            </w:pPr>
            <w:r>
              <w:rPr>
                <w:color w:val="000000"/>
                <w:sz w:val="20"/>
                <w:szCs w:val="20"/>
              </w:rPr>
              <w:t>0.911</w:t>
            </w:r>
          </w:p>
        </w:tc>
        <w:tc>
          <w:tcPr>
            <w:tcW w:w="784" w:type="dxa"/>
            <w:tcBorders>
              <w:top w:val="nil"/>
              <w:left w:val="nil"/>
              <w:bottom w:val="nil"/>
              <w:right w:val="nil"/>
            </w:tcBorders>
            <w:shd w:val="clear" w:color="auto" w:fill="auto"/>
            <w:noWrap/>
            <w:vAlign w:val="bottom"/>
            <w:hideMark/>
          </w:tcPr>
          <w:p w14:paraId="4D1F5E35" w14:textId="1A7183EF"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476DFF54" w14:textId="005D45A9" w:rsidR="00E01EA5" w:rsidRPr="00DE6EE0" w:rsidRDefault="00E01EA5" w:rsidP="00E01EA5">
            <w:pPr>
              <w:jc w:val="right"/>
              <w:rPr>
                <w:color w:val="000000"/>
                <w:sz w:val="20"/>
                <w:szCs w:val="20"/>
                <w:highlight w:val="yellow"/>
              </w:rPr>
            </w:pPr>
            <w:r>
              <w:rPr>
                <w:color w:val="000000"/>
                <w:sz w:val="20"/>
                <w:szCs w:val="20"/>
              </w:rPr>
              <w:t>0.020</w:t>
            </w:r>
          </w:p>
        </w:tc>
        <w:tc>
          <w:tcPr>
            <w:tcW w:w="784" w:type="dxa"/>
            <w:tcBorders>
              <w:top w:val="nil"/>
              <w:left w:val="nil"/>
              <w:bottom w:val="nil"/>
              <w:right w:val="nil"/>
            </w:tcBorders>
            <w:shd w:val="clear" w:color="auto" w:fill="auto"/>
            <w:noWrap/>
            <w:vAlign w:val="bottom"/>
            <w:hideMark/>
          </w:tcPr>
          <w:p w14:paraId="61E91ED1" w14:textId="3E958619" w:rsidR="00E01EA5" w:rsidRDefault="00E01EA5" w:rsidP="00E01EA5">
            <w:pPr>
              <w:jc w:val="right"/>
              <w:rPr>
                <w:color w:val="000000"/>
                <w:sz w:val="20"/>
                <w:szCs w:val="20"/>
              </w:rPr>
            </w:pPr>
            <w:r>
              <w:rPr>
                <w:color w:val="000000"/>
                <w:sz w:val="20"/>
                <w:szCs w:val="20"/>
              </w:rPr>
              <w:t>0.290</w:t>
            </w:r>
          </w:p>
        </w:tc>
        <w:tc>
          <w:tcPr>
            <w:tcW w:w="784" w:type="dxa"/>
            <w:tcBorders>
              <w:top w:val="nil"/>
              <w:left w:val="nil"/>
              <w:bottom w:val="nil"/>
              <w:right w:val="nil"/>
            </w:tcBorders>
            <w:shd w:val="clear" w:color="auto" w:fill="auto"/>
            <w:noWrap/>
            <w:vAlign w:val="bottom"/>
            <w:hideMark/>
          </w:tcPr>
          <w:p w14:paraId="475027F2" w14:textId="66B0B5C0"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69193798" w14:textId="4BA80B15" w:rsidR="00E01EA5" w:rsidRDefault="00E01EA5" w:rsidP="00E01EA5">
            <w:pPr>
              <w:jc w:val="right"/>
              <w:rPr>
                <w:b/>
                <w:bCs/>
                <w:color w:val="000000"/>
                <w:sz w:val="20"/>
                <w:szCs w:val="20"/>
              </w:rPr>
            </w:pPr>
            <w:r>
              <w:rPr>
                <w:b/>
                <w:bCs/>
                <w:color w:val="000000"/>
                <w:sz w:val="20"/>
                <w:szCs w:val="20"/>
              </w:rPr>
              <w:t>-0.066</w:t>
            </w:r>
          </w:p>
        </w:tc>
        <w:tc>
          <w:tcPr>
            <w:tcW w:w="784" w:type="dxa"/>
            <w:tcBorders>
              <w:top w:val="nil"/>
              <w:left w:val="nil"/>
              <w:bottom w:val="nil"/>
              <w:right w:val="nil"/>
            </w:tcBorders>
            <w:shd w:val="clear" w:color="auto" w:fill="auto"/>
            <w:noWrap/>
            <w:vAlign w:val="bottom"/>
            <w:hideMark/>
          </w:tcPr>
          <w:p w14:paraId="0776A368" w14:textId="7D22A464" w:rsidR="00E01EA5" w:rsidRDefault="00E01EA5" w:rsidP="00E01EA5">
            <w:pPr>
              <w:jc w:val="right"/>
              <w:rPr>
                <w:b/>
                <w:bCs/>
                <w:color w:val="000000"/>
                <w:sz w:val="20"/>
                <w:szCs w:val="20"/>
              </w:rPr>
            </w:pPr>
            <w:r>
              <w:rPr>
                <w:b/>
                <w:bCs/>
                <w:color w:val="000000"/>
                <w:sz w:val="20"/>
                <w:szCs w:val="20"/>
              </w:rPr>
              <w:t>0.004</w:t>
            </w:r>
          </w:p>
        </w:tc>
        <w:tc>
          <w:tcPr>
            <w:tcW w:w="784" w:type="dxa"/>
            <w:tcBorders>
              <w:top w:val="nil"/>
              <w:left w:val="nil"/>
              <w:bottom w:val="nil"/>
              <w:right w:val="nil"/>
            </w:tcBorders>
            <w:shd w:val="clear" w:color="auto" w:fill="auto"/>
            <w:noWrap/>
            <w:vAlign w:val="bottom"/>
            <w:hideMark/>
          </w:tcPr>
          <w:p w14:paraId="6D677072" w14:textId="48E0FB43" w:rsidR="00E01EA5" w:rsidRDefault="00E01EA5" w:rsidP="00E01EA5">
            <w:pPr>
              <w:jc w:val="right"/>
              <w:rPr>
                <w:b/>
                <w:bCs/>
                <w:color w:val="000000"/>
                <w:sz w:val="20"/>
                <w:szCs w:val="20"/>
              </w:rPr>
            </w:pPr>
            <w:r>
              <w:rPr>
                <w:b/>
                <w:bCs/>
                <w:color w:val="000000"/>
                <w:sz w:val="20"/>
                <w:szCs w:val="20"/>
              </w:rPr>
              <w:t>0.004</w:t>
            </w:r>
          </w:p>
        </w:tc>
      </w:tr>
      <w:tr w:rsidR="00E01EA5" w14:paraId="24D66BAD" w14:textId="77777777" w:rsidTr="00A57DD9">
        <w:trPr>
          <w:trHeight w:val="340"/>
        </w:trPr>
        <w:tc>
          <w:tcPr>
            <w:tcW w:w="820" w:type="dxa"/>
            <w:tcBorders>
              <w:top w:val="nil"/>
              <w:left w:val="nil"/>
              <w:bottom w:val="single" w:sz="8" w:space="0" w:color="auto"/>
              <w:right w:val="nil"/>
            </w:tcBorders>
            <w:shd w:val="clear" w:color="auto" w:fill="auto"/>
            <w:noWrap/>
            <w:vAlign w:val="bottom"/>
            <w:hideMark/>
          </w:tcPr>
          <w:p w14:paraId="3CFDB3D7" w14:textId="77777777" w:rsidR="00E01EA5" w:rsidRDefault="00E01EA5" w:rsidP="00E01EA5">
            <w:pPr>
              <w:rPr>
                <w:color w:val="000000"/>
                <w:sz w:val="20"/>
                <w:szCs w:val="20"/>
              </w:rPr>
            </w:pPr>
            <w:r>
              <w:rPr>
                <w:color w:val="000000"/>
                <w:sz w:val="20"/>
                <w:szCs w:val="20"/>
              </w:rPr>
              <w:t> </w:t>
            </w:r>
          </w:p>
        </w:tc>
        <w:tc>
          <w:tcPr>
            <w:tcW w:w="1027" w:type="dxa"/>
            <w:tcBorders>
              <w:top w:val="nil"/>
              <w:left w:val="nil"/>
              <w:bottom w:val="single" w:sz="8" w:space="0" w:color="auto"/>
              <w:right w:val="nil"/>
            </w:tcBorders>
            <w:shd w:val="clear" w:color="auto" w:fill="auto"/>
            <w:noWrap/>
            <w:vAlign w:val="bottom"/>
            <w:hideMark/>
          </w:tcPr>
          <w:p w14:paraId="6BE911F9" w14:textId="77777777" w:rsidR="00E01EA5" w:rsidRDefault="00E01EA5" w:rsidP="00E01EA5">
            <w:pPr>
              <w:rPr>
                <w:color w:val="000000"/>
                <w:sz w:val="20"/>
                <w:szCs w:val="20"/>
              </w:rPr>
            </w:pPr>
            <w:r>
              <w:rPr>
                <w:color w:val="000000"/>
                <w:sz w:val="20"/>
                <w:szCs w:val="20"/>
              </w:rPr>
              <w:t>30%</w:t>
            </w:r>
          </w:p>
        </w:tc>
        <w:tc>
          <w:tcPr>
            <w:tcW w:w="893" w:type="dxa"/>
            <w:tcBorders>
              <w:top w:val="nil"/>
              <w:left w:val="nil"/>
              <w:bottom w:val="single" w:sz="8" w:space="0" w:color="auto"/>
              <w:right w:val="nil"/>
            </w:tcBorders>
            <w:shd w:val="clear" w:color="auto" w:fill="auto"/>
            <w:noWrap/>
            <w:vAlign w:val="bottom"/>
            <w:hideMark/>
          </w:tcPr>
          <w:p w14:paraId="6763799C" w14:textId="6FA0B856" w:rsidR="00E01EA5" w:rsidRDefault="00E01EA5" w:rsidP="00E01EA5">
            <w:pPr>
              <w:jc w:val="right"/>
              <w:rPr>
                <w:b/>
                <w:bCs/>
                <w:color w:val="000000"/>
                <w:sz w:val="20"/>
                <w:szCs w:val="20"/>
              </w:rPr>
            </w:pPr>
            <w:r>
              <w:rPr>
                <w:b/>
                <w:bCs/>
                <w:color w:val="000000"/>
                <w:sz w:val="20"/>
                <w:szCs w:val="20"/>
              </w:rPr>
              <w:t>-0.066</w:t>
            </w:r>
          </w:p>
        </w:tc>
        <w:tc>
          <w:tcPr>
            <w:tcW w:w="784" w:type="dxa"/>
            <w:tcBorders>
              <w:top w:val="nil"/>
              <w:left w:val="nil"/>
              <w:bottom w:val="single" w:sz="8" w:space="0" w:color="auto"/>
              <w:right w:val="nil"/>
            </w:tcBorders>
            <w:shd w:val="clear" w:color="auto" w:fill="auto"/>
            <w:noWrap/>
            <w:vAlign w:val="bottom"/>
            <w:hideMark/>
          </w:tcPr>
          <w:p w14:paraId="6E3D551F" w14:textId="5F1AA35A" w:rsidR="00E01EA5" w:rsidRDefault="00E01EA5" w:rsidP="00E01EA5">
            <w:pPr>
              <w:jc w:val="right"/>
              <w:rPr>
                <w:b/>
                <w:bCs/>
                <w:color w:val="000000"/>
                <w:sz w:val="20"/>
                <w:szCs w:val="20"/>
              </w:rPr>
            </w:pPr>
            <w:r>
              <w:rPr>
                <w:b/>
                <w:bCs/>
                <w:color w:val="000000"/>
                <w:sz w:val="20"/>
                <w:szCs w:val="20"/>
              </w:rPr>
              <w:t>0.006</w:t>
            </w:r>
          </w:p>
        </w:tc>
        <w:tc>
          <w:tcPr>
            <w:tcW w:w="784" w:type="dxa"/>
            <w:tcBorders>
              <w:top w:val="nil"/>
              <w:left w:val="nil"/>
              <w:bottom w:val="single" w:sz="8" w:space="0" w:color="auto"/>
              <w:right w:val="nil"/>
            </w:tcBorders>
            <w:shd w:val="clear" w:color="auto" w:fill="auto"/>
            <w:noWrap/>
            <w:vAlign w:val="bottom"/>
            <w:hideMark/>
          </w:tcPr>
          <w:p w14:paraId="41F78557" w14:textId="50726A09" w:rsidR="00E01EA5" w:rsidRDefault="00E01EA5" w:rsidP="00E01EA5">
            <w:pPr>
              <w:jc w:val="right"/>
              <w:rPr>
                <w:b/>
                <w:bCs/>
                <w:color w:val="000000"/>
                <w:sz w:val="20"/>
                <w:szCs w:val="20"/>
              </w:rPr>
            </w:pPr>
            <w:r>
              <w:rPr>
                <w:b/>
                <w:bCs/>
                <w:color w:val="000000"/>
                <w:sz w:val="20"/>
                <w:szCs w:val="20"/>
              </w:rPr>
              <w:t>0.004</w:t>
            </w:r>
          </w:p>
        </w:tc>
        <w:tc>
          <w:tcPr>
            <w:tcW w:w="893" w:type="dxa"/>
            <w:tcBorders>
              <w:top w:val="nil"/>
              <w:left w:val="nil"/>
              <w:bottom w:val="single" w:sz="8" w:space="0" w:color="auto"/>
              <w:right w:val="nil"/>
            </w:tcBorders>
            <w:shd w:val="clear" w:color="auto" w:fill="auto"/>
            <w:noWrap/>
            <w:vAlign w:val="bottom"/>
            <w:hideMark/>
          </w:tcPr>
          <w:p w14:paraId="4FC336D7" w14:textId="42EB6475" w:rsidR="00E01EA5" w:rsidRDefault="00E01EA5" w:rsidP="00E01EA5">
            <w:pPr>
              <w:jc w:val="right"/>
              <w:rPr>
                <w:color w:val="000000"/>
                <w:sz w:val="20"/>
                <w:szCs w:val="20"/>
              </w:rPr>
            </w:pPr>
            <w:r>
              <w:rPr>
                <w:color w:val="000000"/>
                <w:sz w:val="20"/>
                <w:szCs w:val="20"/>
              </w:rPr>
              <w:t>-0.022</w:t>
            </w:r>
          </w:p>
        </w:tc>
        <w:tc>
          <w:tcPr>
            <w:tcW w:w="784" w:type="dxa"/>
            <w:tcBorders>
              <w:top w:val="nil"/>
              <w:left w:val="nil"/>
              <w:bottom w:val="single" w:sz="8" w:space="0" w:color="auto"/>
              <w:right w:val="nil"/>
            </w:tcBorders>
            <w:shd w:val="clear" w:color="auto" w:fill="auto"/>
            <w:noWrap/>
            <w:vAlign w:val="bottom"/>
            <w:hideMark/>
          </w:tcPr>
          <w:p w14:paraId="0F1BC6F3" w14:textId="656995C1" w:rsidR="00E01EA5" w:rsidRDefault="00E01EA5" w:rsidP="00E01EA5">
            <w:pPr>
              <w:jc w:val="right"/>
              <w:rPr>
                <w:color w:val="000000"/>
                <w:sz w:val="20"/>
                <w:szCs w:val="20"/>
              </w:rPr>
            </w:pPr>
            <w:r>
              <w:rPr>
                <w:color w:val="000000"/>
                <w:sz w:val="20"/>
                <w:szCs w:val="20"/>
              </w:rPr>
              <w:t>0.321</w:t>
            </w:r>
          </w:p>
        </w:tc>
        <w:tc>
          <w:tcPr>
            <w:tcW w:w="784" w:type="dxa"/>
            <w:tcBorders>
              <w:top w:val="nil"/>
              <w:left w:val="nil"/>
              <w:bottom w:val="single" w:sz="8" w:space="0" w:color="auto"/>
              <w:right w:val="nil"/>
            </w:tcBorders>
            <w:shd w:val="clear" w:color="auto" w:fill="auto"/>
            <w:noWrap/>
            <w:vAlign w:val="bottom"/>
            <w:hideMark/>
          </w:tcPr>
          <w:p w14:paraId="37AC20E2" w14:textId="6C90F8A5"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61765850" w14:textId="5A73B379" w:rsidR="00E01EA5" w:rsidRDefault="00E01EA5" w:rsidP="00E01EA5">
            <w:pPr>
              <w:jc w:val="right"/>
              <w:rPr>
                <w:color w:val="000000"/>
                <w:sz w:val="20"/>
                <w:szCs w:val="20"/>
              </w:rPr>
            </w:pPr>
            <w:r>
              <w:rPr>
                <w:color w:val="000000"/>
                <w:sz w:val="20"/>
                <w:szCs w:val="20"/>
              </w:rPr>
              <w:t>-0.002</w:t>
            </w:r>
          </w:p>
        </w:tc>
        <w:tc>
          <w:tcPr>
            <w:tcW w:w="784" w:type="dxa"/>
            <w:tcBorders>
              <w:top w:val="nil"/>
              <w:left w:val="nil"/>
              <w:bottom w:val="single" w:sz="8" w:space="0" w:color="auto"/>
              <w:right w:val="nil"/>
            </w:tcBorders>
            <w:shd w:val="clear" w:color="auto" w:fill="auto"/>
            <w:noWrap/>
            <w:vAlign w:val="bottom"/>
            <w:hideMark/>
          </w:tcPr>
          <w:p w14:paraId="1426E994" w14:textId="0AB8C8C7" w:rsidR="00E01EA5" w:rsidRDefault="00E01EA5" w:rsidP="00E01EA5">
            <w:pPr>
              <w:jc w:val="right"/>
              <w:rPr>
                <w:color w:val="000000"/>
                <w:sz w:val="20"/>
                <w:szCs w:val="20"/>
              </w:rPr>
            </w:pPr>
            <w:r>
              <w:rPr>
                <w:color w:val="000000"/>
                <w:sz w:val="20"/>
                <w:szCs w:val="20"/>
              </w:rPr>
              <w:t>0.911</w:t>
            </w:r>
          </w:p>
        </w:tc>
        <w:tc>
          <w:tcPr>
            <w:tcW w:w="784" w:type="dxa"/>
            <w:tcBorders>
              <w:top w:val="nil"/>
              <w:left w:val="nil"/>
              <w:bottom w:val="single" w:sz="8" w:space="0" w:color="auto"/>
              <w:right w:val="nil"/>
            </w:tcBorders>
            <w:shd w:val="clear" w:color="auto" w:fill="auto"/>
            <w:noWrap/>
            <w:vAlign w:val="bottom"/>
            <w:hideMark/>
          </w:tcPr>
          <w:p w14:paraId="33DB978D" w14:textId="58C70859"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0A51CC53" w14:textId="766804AF" w:rsidR="00E01EA5" w:rsidRPr="00DE6EE0" w:rsidRDefault="00E01EA5" w:rsidP="00E01EA5">
            <w:pPr>
              <w:jc w:val="right"/>
              <w:rPr>
                <w:color w:val="000000"/>
                <w:sz w:val="20"/>
                <w:szCs w:val="20"/>
                <w:highlight w:val="yellow"/>
              </w:rPr>
            </w:pPr>
            <w:r>
              <w:rPr>
                <w:color w:val="000000"/>
                <w:sz w:val="20"/>
                <w:szCs w:val="20"/>
              </w:rPr>
              <w:t>0.021</w:t>
            </w:r>
          </w:p>
        </w:tc>
        <w:tc>
          <w:tcPr>
            <w:tcW w:w="784" w:type="dxa"/>
            <w:tcBorders>
              <w:top w:val="nil"/>
              <w:left w:val="nil"/>
              <w:bottom w:val="single" w:sz="8" w:space="0" w:color="auto"/>
              <w:right w:val="nil"/>
            </w:tcBorders>
            <w:shd w:val="clear" w:color="auto" w:fill="auto"/>
            <w:noWrap/>
            <w:vAlign w:val="bottom"/>
            <w:hideMark/>
          </w:tcPr>
          <w:p w14:paraId="7F18464B" w14:textId="091241F5" w:rsidR="00E01EA5" w:rsidRDefault="00E01EA5" w:rsidP="00E01EA5">
            <w:pPr>
              <w:jc w:val="right"/>
              <w:rPr>
                <w:color w:val="000000"/>
                <w:sz w:val="20"/>
                <w:szCs w:val="20"/>
              </w:rPr>
            </w:pPr>
            <w:r>
              <w:rPr>
                <w:color w:val="000000"/>
                <w:sz w:val="20"/>
                <w:szCs w:val="20"/>
              </w:rPr>
              <w:t>0.290</w:t>
            </w:r>
          </w:p>
        </w:tc>
        <w:tc>
          <w:tcPr>
            <w:tcW w:w="784" w:type="dxa"/>
            <w:tcBorders>
              <w:top w:val="nil"/>
              <w:left w:val="nil"/>
              <w:bottom w:val="single" w:sz="8" w:space="0" w:color="auto"/>
              <w:right w:val="nil"/>
            </w:tcBorders>
            <w:shd w:val="clear" w:color="auto" w:fill="auto"/>
            <w:noWrap/>
            <w:vAlign w:val="bottom"/>
            <w:hideMark/>
          </w:tcPr>
          <w:p w14:paraId="614DA9A6" w14:textId="6B939AAC"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7B722FA0" w14:textId="0A37E350" w:rsidR="00E01EA5" w:rsidRDefault="00E01EA5" w:rsidP="00E01EA5">
            <w:pPr>
              <w:jc w:val="right"/>
              <w:rPr>
                <w:b/>
                <w:bCs/>
                <w:color w:val="000000"/>
                <w:sz w:val="20"/>
                <w:szCs w:val="20"/>
              </w:rPr>
            </w:pPr>
            <w:r>
              <w:rPr>
                <w:b/>
                <w:bCs/>
                <w:color w:val="000000"/>
                <w:sz w:val="20"/>
                <w:szCs w:val="20"/>
              </w:rPr>
              <w:t>-0.066</w:t>
            </w:r>
          </w:p>
        </w:tc>
        <w:tc>
          <w:tcPr>
            <w:tcW w:w="784" w:type="dxa"/>
            <w:tcBorders>
              <w:top w:val="nil"/>
              <w:left w:val="nil"/>
              <w:bottom w:val="single" w:sz="8" w:space="0" w:color="auto"/>
              <w:right w:val="nil"/>
            </w:tcBorders>
            <w:shd w:val="clear" w:color="auto" w:fill="auto"/>
            <w:noWrap/>
            <w:vAlign w:val="bottom"/>
            <w:hideMark/>
          </w:tcPr>
          <w:p w14:paraId="669A03A9" w14:textId="4394C097" w:rsidR="00E01EA5" w:rsidRDefault="00E01EA5" w:rsidP="00E01EA5">
            <w:pPr>
              <w:jc w:val="right"/>
              <w:rPr>
                <w:b/>
                <w:bCs/>
                <w:color w:val="000000"/>
                <w:sz w:val="20"/>
                <w:szCs w:val="20"/>
              </w:rPr>
            </w:pPr>
            <w:r>
              <w:rPr>
                <w:b/>
                <w:bCs/>
                <w:color w:val="000000"/>
                <w:sz w:val="20"/>
                <w:szCs w:val="20"/>
              </w:rPr>
              <w:t>0.004</w:t>
            </w:r>
          </w:p>
        </w:tc>
        <w:tc>
          <w:tcPr>
            <w:tcW w:w="784" w:type="dxa"/>
            <w:tcBorders>
              <w:top w:val="nil"/>
              <w:left w:val="nil"/>
              <w:bottom w:val="single" w:sz="8" w:space="0" w:color="auto"/>
              <w:right w:val="nil"/>
            </w:tcBorders>
            <w:shd w:val="clear" w:color="auto" w:fill="auto"/>
            <w:noWrap/>
            <w:vAlign w:val="bottom"/>
            <w:hideMark/>
          </w:tcPr>
          <w:p w14:paraId="3D8B5205" w14:textId="59D49150" w:rsidR="00E01EA5" w:rsidRDefault="00E01EA5" w:rsidP="00E01EA5">
            <w:pPr>
              <w:jc w:val="right"/>
              <w:rPr>
                <w:b/>
                <w:bCs/>
                <w:color w:val="000000"/>
                <w:sz w:val="20"/>
                <w:szCs w:val="20"/>
              </w:rPr>
            </w:pPr>
            <w:r>
              <w:rPr>
                <w:b/>
                <w:bCs/>
                <w:color w:val="000000"/>
                <w:sz w:val="20"/>
                <w:szCs w:val="20"/>
              </w:rPr>
              <w:t>0.004</w:t>
            </w:r>
          </w:p>
        </w:tc>
      </w:tr>
      <w:tr w:rsidR="00E01EA5" w14:paraId="504FEE2B" w14:textId="77777777" w:rsidTr="00A57DD9">
        <w:trPr>
          <w:trHeight w:val="320"/>
        </w:trPr>
        <w:tc>
          <w:tcPr>
            <w:tcW w:w="820" w:type="dxa"/>
            <w:tcBorders>
              <w:top w:val="nil"/>
              <w:left w:val="nil"/>
              <w:bottom w:val="nil"/>
              <w:right w:val="nil"/>
            </w:tcBorders>
            <w:shd w:val="clear" w:color="auto" w:fill="auto"/>
            <w:noWrap/>
            <w:vAlign w:val="bottom"/>
            <w:hideMark/>
          </w:tcPr>
          <w:p w14:paraId="50ED87DD" w14:textId="77777777" w:rsidR="00E01EA5" w:rsidRDefault="00E01EA5" w:rsidP="00E01EA5">
            <w:pPr>
              <w:rPr>
                <w:color w:val="000000"/>
                <w:sz w:val="20"/>
                <w:szCs w:val="20"/>
              </w:rPr>
            </w:pPr>
            <w:r>
              <w:rPr>
                <w:color w:val="000000"/>
                <w:sz w:val="20"/>
                <w:szCs w:val="20"/>
              </w:rPr>
              <w:t>En-back</w:t>
            </w:r>
          </w:p>
        </w:tc>
        <w:tc>
          <w:tcPr>
            <w:tcW w:w="1027" w:type="dxa"/>
            <w:tcBorders>
              <w:top w:val="nil"/>
              <w:left w:val="nil"/>
              <w:bottom w:val="nil"/>
              <w:right w:val="nil"/>
            </w:tcBorders>
            <w:shd w:val="clear" w:color="auto" w:fill="auto"/>
            <w:noWrap/>
            <w:vAlign w:val="bottom"/>
            <w:hideMark/>
          </w:tcPr>
          <w:p w14:paraId="43821615" w14:textId="77777777" w:rsidR="00E01EA5" w:rsidRDefault="00E01EA5" w:rsidP="00E01EA5">
            <w:pPr>
              <w:rPr>
                <w:color w:val="000000"/>
                <w:sz w:val="20"/>
                <w:szCs w:val="20"/>
              </w:rPr>
            </w:pPr>
            <w:r>
              <w:rPr>
                <w:color w:val="000000"/>
                <w:sz w:val="20"/>
                <w:szCs w:val="20"/>
              </w:rPr>
              <w:t>10%</w:t>
            </w:r>
          </w:p>
        </w:tc>
        <w:tc>
          <w:tcPr>
            <w:tcW w:w="893" w:type="dxa"/>
            <w:tcBorders>
              <w:top w:val="nil"/>
              <w:left w:val="nil"/>
              <w:bottom w:val="nil"/>
              <w:right w:val="nil"/>
            </w:tcBorders>
            <w:shd w:val="clear" w:color="auto" w:fill="auto"/>
            <w:noWrap/>
            <w:vAlign w:val="bottom"/>
            <w:hideMark/>
          </w:tcPr>
          <w:p w14:paraId="7095F393" w14:textId="4B1C8D5F" w:rsidR="00E01EA5" w:rsidRDefault="00E01EA5" w:rsidP="00E01EA5">
            <w:pPr>
              <w:jc w:val="right"/>
              <w:rPr>
                <w:b/>
                <w:bCs/>
                <w:color w:val="000000"/>
                <w:sz w:val="20"/>
                <w:szCs w:val="20"/>
              </w:rPr>
            </w:pPr>
            <w:r>
              <w:rPr>
                <w:color w:val="000000"/>
                <w:sz w:val="20"/>
                <w:szCs w:val="20"/>
              </w:rPr>
              <w:t>-0.061</w:t>
            </w:r>
          </w:p>
        </w:tc>
        <w:tc>
          <w:tcPr>
            <w:tcW w:w="784" w:type="dxa"/>
            <w:tcBorders>
              <w:top w:val="nil"/>
              <w:left w:val="nil"/>
              <w:bottom w:val="nil"/>
              <w:right w:val="nil"/>
            </w:tcBorders>
            <w:shd w:val="clear" w:color="auto" w:fill="auto"/>
            <w:noWrap/>
            <w:vAlign w:val="bottom"/>
            <w:hideMark/>
          </w:tcPr>
          <w:p w14:paraId="43AE4756" w14:textId="39F55EA7" w:rsidR="00E01EA5" w:rsidRDefault="00E01EA5" w:rsidP="00E01EA5">
            <w:pPr>
              <w:jc w:val="right"/>
              <w:rPr>
                <w:b/>
                <w:bCs/>
                <w:color w:val="000000"/>
                <w:sz w:val="20"/>
                <w:szCs w:val="20"/>
              </w:rPr>
            </w:pPr>
            <w:r>
              <w:rPr>
                <w:color w:val="000000"/>
                <w:sz w:val="20"/>
                <w:szCs w:val="20"/>
              </w:rPr>
              <w:t>0.051</w:t>
            </w:r>
          </w:p>
        </w:tc>
        <w:tc>
          <w:tcPr>
            <w:tcW w:w="784" w:type="dxa"/>
            <w:tcBorders>
              <w:top w:val="nil"/>
              <w:left w:val="nil"/>
              <w:bottom w:val="nil"/>
              <w:right w:val="nil"/>
            </w:tcBorders>
            <w:shd w:val="clear" w:color="auto" w:fill="auto"/>
            <w:noWrap/>
            <w:vAlign w:val="bottom"/>
            <w:hideMark/>
          </w:tcPr>
          <w:p w14:paraId="0FF38EAE" w14:textId="5FA5AC9D" w:rsidR="00E01EA5" w:rsidRDefault="00E01EA5" w:rsidP="00E01EA5">
            <w:pPr>
              <w:jc w:val="right"/>
              <w:rPr>
                <w:b/>
                <w:bCs/>
                <w:color w:val="000000"/>
                <w:sz w:val="20"/>
                <w:szCs w:val="20"/>
              </w:rPr>
            </w:pPr>
            <w:r>
              <w:rPr>
                <w:color w:val="000000"/>
                <w:sz w:val="20"/>
                <w:szCs w:val="20"/>
              </w:rPr>
              <w:t>0.004</w:t>
            </w:r>
          </w:p>
        </w:tc>
        <w:tc>
          <w:tcPr>
            <w:tcW w:w="893" w:type="dxa"/>
            <w:tcBorders>
              <w:top w:val="nil"/>
              <w:left w:val="nil"/>
              <w:bottom w:val="nil"/>
              <w:right w:val="nil"/>
            </w:tcBorders>
            <w:shd w:val="clear" w:color="auto" w:fill="auto"/>
            <w:noWrap/>
            <w:vAlign w:val="bottom"/>
            <w:hideMark/>
          </w:tcPr>
          <w:p w14:paraId="0DB553EC" w14:textId="1EC3005D" w:rsidR="00E01EA5" w:rsidRDefault="00E01EA5" w:rsidP="00E01EA5">
            <w:pPr>
              <w:jc w:val="right"/>
              <w:rPr>
                <w:color w:val="000000"/>
                <w:sz w:val="20"/>
                <w:szCs w:val="20"/>
              </w:rPr>
            </w:pPr>
            <w:r>
              <w:rPr>
                <w:color w:val="000000"/>
                <w:sz w:val="20"/>
                <w:szCs w:val="20"/>
              </w:rPr>
              <w:t>-0.007</w:t>
            </w:r>
          </w:p>
        </w:tc>
        <w:tc>
          <w:tcPr>
            <w:tcW w:w="784" w:type="dxa"/>
            <w:tcBorders>
              <w:top w:val="nil"/>
              <w:left w:val="nil"/>
              <w:bottom w:val="nil"/>
              <w:right w:val="nil"/>
            </w:tcBorders>
            <w:shd w:val="clear" w:color="auto" w:fill="auto"/>
            <w:noWrap/>
            <w:vAlign w:val="bottom"/>
            <w:hideMark/>
          </w:tcPr>
          <w:p w14:paraId="00614CBF" w14:textId="0747850C" w:rsidR="00E01EA5" w:rsidRDefault="00E01EA5" w:rsidP="00E01EA5">
            <w:pPr>
              <w:jc w:val="right"/>
              <w:rPr>
                <w:color w:val="000000"/>
                <w:sz w:val="20"/>
                <w:szCs w:val="20"/>
              </w:rPr>
            </w:pPr>
            <w:r>
              <w:rPr>
                <w:color w:val="000000"/>
                <w:sz w:val="20"/>
                <w:szCs w:val="20"/>
              </w:rPr>
              <w:t>0.811</w:t>
            </w:r>
          </w:p>
        </w:tc>
        <w:tc>
          <w:tcPr>
            <w:tcW w:w="784" w:type="dxa"/>
            <w:tcBorders>
              <w:top w:val="nil"/>
              <w:left w:val="nil"/>
              <w:bottom w:val="nil"/>
              <w:right w:val="nil"/>
            </w:tcBorders>
            <w:shd w:val="clear" w:color="auto" w:fill="auto"/>
            <w:noWrap/>
            <w:vAlign w:val="bottom"/>
            <w:hideMark/>
          </w:tcPr>
          <w:p w14:paraId="2FC9DDDB" w14:textId="57DC99CE"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6E50E350" w14:textId="7BA387ED" w:rsidR="00E01EA5" w:rsidRDefault="00E01EA5" w:rsidP="00E01EA5">
            <w:pPr>
              <w:jc w:val="right"/>
              <w:rPr>
                <w:color w:val="000000"/>
                <w:sz w:val="20"/>
                <w:szCs w:val="20"/>
              </w:rPr>
            </w:pPr>
            <w:r>
              <w:rPr>
                <w:color w:val="000000"/>
                <w:sz w:val="20"/>
                <w:szCs w:val="20"/>
              </w:rPr>
              <w:t>-0.004</w:t>
            </w:r>
          </w:p>
        </w:tc>
        <w:tc>
          <w:tcPr>
            <w:tcW w:w="784" w:type="dxa"/>
            <w:tcBorders>
              <w:top w:val="nil"/>
              <w:left w:val="nil"/>
              <w:bottom w:val="nil"/>
              <w:right w:val="nil"/>
            </w:tcBorders>
            <w:shd w:val="clear" w:color="auto" w:fill="auto"/>
            <w:noWrap/>
            <w:vAlign w:val="bottom"/>
            <w:hideMark/>
          </w:tcPr>
          <w:p w14:paraId="302D6A9A" w14:textId="334132AC" w:rsidR="00E01EA5" w:rsidRDefault="00E01EA5" w:rsidP="00E01EA5">
            <w:pPr>
              <w:jc w:val="right"/>
              <w:rPr>
                <w:color w:val="000000"/>
                <w:sz w:val="20"/>
                <w:szCs w:val="20"/>
              </w:rPr>
            </w:pPr>
            <w:r>
              <w:rPr>
                <w:color w:val="000000"/>
                <w:sz w:val="20"/>
                <w:szCs w:val="20"/>
              </w:rPr>
              <w:t>0.980</w:t>
            </w:r>
          </w:p>
        </w:tc>
        <w:tc>
          <w:tcPr>
            <w:tcW w:w="784" w:type="dxa"/>
            <w:tcBorders>
              <w:top w:val="nil"/>
              <w:left w:val="nil"/>
              <w:bottom w:val="nil"/>
              <w:right w:val="nil"/>
            </w:tcBorders>
            <w:shd w:val="clear" w:color="auto" w:fill="auto"/>
            <w:noWrap/>
            <w:vAlign w:val="bottom"/>
            <w:hideMark/>
          </w:tcPr>
          <w:p w14:paraId="595F5735" w14:textId="622C81A0"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39A16E1C" w14:textId="1F015AAC" w:rsidR="00E01EA5" w:rsidRDefault="00E01EA5" w:rsidP="00E01EA5">
            <w:pPr>
              <w:jc w:val="right"/>
              <w:rPr>
                <w:color w:val="000000"/>
                <w:sz w:val="20"/>
                <w:szCs w:val="20"/>
              </w:rPr>
            </w:pPr>
            <w:r>
              <w:rPr>
                <w:color w:val="000000"/>
                <w:sz w:val="20"/>
                <w:szCs w:val="20"/>
              </w:rPr>
              <w:t>-0.016</w:t>
            </w:r>
          </w:p>
        </w:tc>
        <w:tc>
          <w:tcPr>
            <w:tcW w:w="784" w:type="dxa"/>
            <w:tcBorders>
              <w:top w:val="nil"/>
              <w:left w:val="nil"/>
              <w:bottom w:val="nil"/>
              <w:right w:val="nil"/>
            </w:tcBorders>
            <w:shd w:val="clear" w:color="auto" w:fill="auto"/>
            <w:noWrap/>
            <w:vAlign w:val="bottom"/>
            <w:hideMark/>
          </w:tcPr>
          <w:p w14:paraId="010A0A8F" w14:textId="2C0DA941" w:rsidR="00E01EA5" w:rsidRDefault="00E01EA5" w:rsidP="00E01EA5">
            <w:pPr>
              <w:jc w:val="right"/>
              <w:rPr>
                <w:color w:val="000000"/>
                <w:sz w:val="20"/>
                <w:szCs w:val="20"/>
              </w:rPr>
            </w:pPr>
            <w:r>
              <w:rPr>
                <w:color w:val="000000"/>
                <w:sz w:val="20"/>
                <w:szCs w:val="20"/>
              </w:rPr>
              <w:t>0.624</w:t>
            </w:r>
          </w:p>
        </w:tc>
        <w:tc>
          <w:tcPr>
            <w:tcW w:w="784" w:type="dxa"/>
            <w:tcBorders>
              <w:top w:val="nil"/>
              <w:left w:val="nil"/>
              <w:bottom w:val="nil"/>
              <w:right w:val="nil"/>
            </w:tcBorders>
            <w:shd w:val="clear" w:color="auto" w:fill="auto"/>
            <w:noWrap/>
            <w:vAlign w:val="bottom"/>
            <w:hideMark/>
          </w:tcPr>
          <w:p w14:paraId="7943B004" w14:textId="104FDEE9"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34C47FC4" w14:textId="75C8FB48" w:rsidR="00E01EA5" w:rsidRDefault="00E01EA5" w:rsidP="00E01EA5">
            <w:pPr>
              <w:jc w:val="right"/>
              <w:rPr>
                <w:color w:val="000000"/>
                <w:sz w:val="20"/>
                <w:szCs w:val="20"/>
              </w:rPr>
            </w:pPr>
            <w:r>
              <w:rPr>
                <w:color w:val="000000"/>
                <w:sz w:val="20"/>
                <w:szCs w:val="20"/>
              </w:rPr>
              <w:t>-0.006</w:t>
            </w:r>
          </w:p>
        </w:tc>
        <w:tc>
          <w:tcPr>
            <w:tcW w:w="784" w:type="dxa"/>
            <w:tcBorders>
              <w:top w:val="nil"/>
              <w:left w:val="nil"/>
              <w:bottom w:val="nil"/>
              <w:right w:val="nil"/>
            </w:tcBorders>
            <w:shd w:val="clear" w:color="auto" w:fill="auto"/>
            <w:noWrap/>
            <w:vAlign w:val="bottom"/>
            <w:hideMark/>
          </w:tcPr>
          <w:p w14:paraId="71666063" w14:textId="1BC8B0E5" w:rsidR="00E01EA5" w:rsidRDefault="00E01EA5" w:rsidP="00E01EA5">
            <w:pPr>
              <w:jc w:val="right"/>
              <w:rPr>
                <w:color w:val="000000"/>
                <w:sz w:val="20"/>
                <w:szCs w:val="20"/>
              </w:rPr>
            </w:pPr>
            <w:r>
              <w:rPr>
                <w:color w:val="000000"/>
                <w:sz w:val="20"/>
                <w:szCs w:val="20"/>
              </w:rPr>
              <w:t>0.875</w:t>
            </w:r>
          </w:p>
        </w:tc>
        <w:tc>
          <w:tcPr>
            <w:tcW w:w="784" w:type="dxa"/>
            <w:tcBorders>
              <w:top w:val="nil"/>
              <w:left w:val="nil"/>
              <w:bottom w:val="nil"/>
              <w:right w:val="nil"/>
            </w:tcBorders>
            <w:shd w:val="clear" w:color="auto" w:fill="auto"/>
            <w:noWrap/>
            <w:vAlign w:val="bottom"/>
            <w:hideMark/>
          </w:tcPr>
          <w:p w14:paraId="7F8C9C2A" w14:textId="3FB13D2A" w:rsidR="00E01EA5" w:rsidRDefault="00E01EA5" w:rsidP="00E01EA5">
            <w:pPr>
              <w:jc w:val="right"/>
              <w:rPr>
                <w:color w:val="000000"/>
                <w:sz w:val="20"/>
                <w:szCs w:val="20"/>
              </w:rPr>
            </w:pPr>
            <w:r>
              <w:rPr>
                <w:color w:val="000000"/>
                <w:sz w:val="20"/>
                <w:szCs w:val="20"/>
              </w:rPr>
              <w:t>0.000</w:t>
            </w:r>
          </w:p>
        </w:tc>
      </w:tr>
      <w:tr w:rsidR="00E01EA5" w14:paraId="5D7AC33F" w14:textId="77777777" w:rsidTr="00A57DD9">
        <w:trPr>
          <w:trHeight w:val="320"/>
        </w:trPr>
        <w:tc>
          <w:tcPr>
            <w:tcW w:w="820" w:type="dxa"/>
            <w:tcBorders>
              <w:top w:val="nil"/>
              <w:left w:val="nil"/>
              <w:bottom w:val="nil"/>
              <w:right w:val="nil"/>
            </w:tcBorders>
            <w:shd w:val="clear" w:color="auto" w:fill="auto"/>
            <w:noWrap/>
            <w:vAlign w:val="bottom"/>
            <w:hideMark/>
          </w:tcPr>
          <w:p w14:paraId="2570CBA7"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73418BF3" w14:textId="77777777" w:rsidR="00E01EA5" w:rsidRDefault="00E01EA5" w:rsidP="00E01EA5">
            <w:pPr>
              <w:rPr>
                <w:color w:val="000000"/>
                <w:sz w:val="20"/>
                <w:szCs w:val="20"/>
              </w:rPr>
            </w:pPr>
            <w:r>
              <w:rPr>
                <w:color w:val="000000"/>
                <w:sz w:val="20"/>
                <w:szCs w:val="20"/>
              </w:rPr>
              <w:t>17%</w:t>
            </w:r>
          </w:p>
        </w:tc>
        <w:tc>
          <w:tcPr>
            <w:tcW w:w="893" w:type="dxa"/>
            <w:tcBorders>
              <w:top w:val="nil"/>
              <w:left w:val="nil"/>
              <w:bottom w:val="nil"/>
              <w:right w:val="nil"/>
            </w:tcBorders>
            <w:shd w:val="clear" w:color="auto" w:fill="auto"/>
            <w:noWrap/>
            <w:vAlign w:val="bottom"/>
            <w:hideMark/>
          </w:tcPr>
          <w:p w14:paraId="34A2D1A7" w14:textId="285B9F41" w:rsidR="00E01EA5" w:rsidRDefault="00E01EA5" w:rsidP="00E01EA5">
            <w:pPr>
              <w:jc w:val="right"/>
              <w:rPr>
                <w:b/>
                <w:bCs/>
                <w:color w:val="000000"/>
                <w:sz w:val="20"/>
                <w:szCs w:val="20"/>
              </w:rPr>
            </w:pPr>
            <w:r>
              <w:rPr>
                <w:color w:val="000000"/>
                <w:sz w:val="20"/>
                <w:szCs w:val="20"/>
              </w:rPr>
              <w:t>-0.057</w:t>
            </w:r>
          </w:p>
        </w:tc>
        <w:tc>
          <w:tcPr>
            <w:tcW w:w="784" w:type="dxa"/>
            <w:tcBorders>
              <w:top w:val="nil"/>
              <w:left w:val="nil"/>
              <w:bottom w:val="nil"/>
              <w:right w:val="nil"/>
            </w:tcBorders>
            <w:shd w:val="clear" w:color="auto" w:fill="auto"/>
            <w:noWrap/>
            <w:vAlign w:val="bottom"/>
            <w:hideMark/>
          </w:tcPr>
          <w:p w14:paraId="6551CE8E" w14:textId="40AB75D9" w:rsidR="00E01EA5" w:rsidRDefault="00E01EA5" w:rsidP="00E01EA5">
            <w:pPr>
              <w:jc w:val="right"/>
              <w:rPr>
                <w:b/>
                <w:bCs/>
                <w:color w:val="000000"/>
                <w:sz w:val="20"/>
                <w:szCs w:val="20"/>
              </w:rPr>
            </w:pPr>
            <w:r>
              <w:rPr>
                <w:color w:val="000000"/>
                <w:sz w:val="20"/>
                <w:szCs w:val="20"/>
              </w:rPr>
              <w:t>0.051</w:t>
            </w:r>
          </w:p>
        </w:tc>
        <w:tc>
          <w:tcPr>
            <w:tcW w:w="784" w:type="dxa"/>
            <w:tcBorders>
              <w:top w:val="nil"/>
              <w:left w:val="nil"/>
              <w:bottom w:val="nil"/>
              <w:right w:val="nil"/>
            </w:tcBorders>
            <w:shd w:val="clear" w:color="auto" w:fill="auto"/>
            <w:noWrap/>
            <w:vAlign w:val="bottom"/>
            <w:hideMark/>
          </w:tcPr>
          <w:p w14:paraId="0E6E0417" w14:textId="5F5BC6B9" w:rsidR="00E01EA5" w:rsidRDefault="00E01EA5" w:rsidP="00E01EA5">
            <w:pPr>
              <w:jc w:val="right"/>
              <w:rPr>
                <w:b/>
                <w:bCs/>
                <w:color w:val="000000"/>
                <w:sz w:val="20"/>
                <w:szCs w:val="20"/>
              </w:rPr>
            </w:pPr>
            <w:r>
              <w:rPr>
                <w:color w:val="000000"/>
                <w:sz w:val="20"/>
                <w:szCs w:val="20"/>
              </w:rPr>
              <w:t>0.003</w:t>
            </w:r>
          </w:p>
        </w:tc>
        <w:tc>
          <w:tcPr>
            <w:tcW w:w="893" w:type="dxa"/>
            <w:tcBorders>
              <w:top w:val="nil"/>
              <w:left w:val="nil"/>
              <w:bottom w:val="nil"/>
              <w:right w:val="nil"/>
            </w:tcBorders>
            <w:shd w:val="clear" w:color="auto" w:fill="auto"/>
            <w:noWrap/>
            <w:vAlign w:val="bottom"/>
            <w:hideMark/>
          </w:tcPr>
          <w:p w14:paraId="2D9FAC6A" w14:textId="58F179FF" w:rsidR="00E01EA5" w:rsidRDefault="00E01EA5" w:rsidP="00E01EA5">
            <w:pPr>
              <w:jc w:val="right"/>
              <w:rPr>
                <w:color w:val="000000"/>
                <w:sz w:val="20"/>
                <w:szCs w:val="20"/>
              </w:rPr>
            </w:pPr>
            <w:r>
              <w:rPr>
                <w:color w:val="000000"/>
                <w:sz w:val="20"/>
                <w:szCs w:val="20"/>
              </w:rPr>
              <w:t>-0.009</w:t>
            </w:r>
          </w:p>
        </w:tc>
        <w:tc>
          <w:tcPr>
            <w:tcW w:w="784" w:type="dxa"/>
            <w:tcBorders>
              <w:top w:val="nil"/>
              <w:left w:val="nil"/>
              <w:bottom w:val="nil"/>
              <w:right w:val="nil"/>
            </w:tcBorders>
            <w:shd w:val="clear" w:color="auto" w:fill="auto"/>
            <w:noWrap/>
            <w:vAlign w:val="bottom"/>
            <w:hideMark/>
          </w:tcPr>
          <w:p w14:paraId="61A631FA" w14:textId="74B6A274" w:rsidR="00E01EA5" w:rsidRDefault="00E01EA5" w:rsidP="00E01EA5">
            <w:pPr>
              <w:jc w:val="right"/>
              <w:rPr>
                <w:color w:val="000000"/>
                <w:sz w:val="20"/>
                <w:szCs w:val="20"/>
              </w:rPr>
            </w:pPr>
            <w:r>
              <w:rPr>
                <w:color w:val="000000"/>
                <w:sz w:val="20"/>
                <w:szCs w:val="20"/>
              </w:rPr>
              <w:t>0.811</w:t>
            </w:r>
          </w:p>
        </w:tc>
        <w:tc>
          <w:tcPr>
            <w:tcW w:w="784" w:type="dxa"/>
            <w:tcBorders>
              <w:top w:val="nil"/>
              <w:left w:val="nil"/>
              <w:bottom w:val="nil"/>
              <w:right w:val="nil"/>
            </w:tcBorders>
            <w:shd w:val="clear" w:color="auto" w:fill="auto"/>
            <w:noWrap/>
            <w:vAlign w:val="bottom"/>
            <w:hideMark/>
          </w:tcPr>
          <w:p w14:paraId="3FD82AFF" w14:textId="4E195471"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62F6570B" w14:textId="103048AB" w:rsidR="00E01EA5" w:rsidRDefault="00E01EA5" w:rsidP="00E01EA5">
            <w:pPr>
              <w:jc w:val="right"/>
              <w:rPr>
                <w:color w:val="000000"/>
                <w:sz w:val="20"/>
                <w:szCs w:val="20"/>
              </w:rPr>
            </w:pPr>
            <w:r>
              <w:rPr>
                <w:color w:val="000000"/>
                <w:sz w:val="20"/>
                <w:szCs w:val="20"/>
              </w:rPr>
              <w:t>-0.001</w:t>
            </w:r>
          </w:p>
        </w:tc>
        <w:tc>
          <w:tcPr>
            <w:tcW w:w="784" w:type="dxa"/>
            <w:tcBorders>
              <w:top w:val="nil"/>
              <w:left w:val="nil"/>
              <w:bottom w:val="nil"/>
              <w:right w:val="nil"/>
            </w:tcBorders>
            <w:shd w:val="clear" w:color="auto" w:fill="auto"/>
            <w:noWrap/>
            <w:vAlign w:val="bottom"/>
            <w:hideMark/>
          </w:tcPr>
          <w:p w14:paraId="1F763C1B" w14:textId="3DD6B2B5" w:rsidR="00E01EA5" w:rsidRDefault="00E01EA5" w:rsidP="00E01EA5">
            <w:pPr>
              <w:jc w:val="right"/>
              <w:rPr>
                <w:color w:val="000000"/>
                <w:sz w:val="20"/>
                <w:szCs w:val="20"/>
              </w:rPr>
            </w:pPr>
            <w:r>
              <w:rPr>
                <w:color w:val="000000"/>
                <w:sz w:val="20"/>
                <w:szCs w:val="20"/>
              </w:rPr>
              <w:t>0.980</w:t>
            </w:r>
          </w:p>
        </w:tc>
        <w:tc>
          <w:tcPr>
            <w:tcW w:w="784" w:type="dxa"/>
            <w:tcBorders>
              <w:top w:val="nil"/>
              <w:left w:val="nil"/>
              <w:bottom w:val="nil"/>
              <w:right w:val="nil"/>
            </w:tcBorders>
            <w:shd w:val="clear" w:color="auto" w:fill="auto"/>
            <w:noWrap/>
            <w:vAlign w:val="bottom"/>
            <w:hideMark/>
          </w:tcPr>
          <w:p w14:paraId="15EC9BFF" w14:textId="4538E8C7"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3129445A" w14:textId="44894897" w:rsidR="00E01EA5" w:rsidRDefault="00E01EA5" w:rsidP="00E01EA5">
            <w:pPr>
              <w:jc w:val="right"/>
              <w:rPr>
                <w:color w:val="000000"/>
                <w:sz w:val="20"/>
                <w:szCs w:val="20"/>
              </w:rPr>
            </w:pPr>
            <w:r>
              <w:rPr>
                <w:color w:val="000000"/>
                <w:sz w:val="20"/>
                <w:szCs w:val="20"/>
              </w:rPr>
              <w:t>-0.017</w:t>
            </w:r>
          </w:p>
        </w:tc>
        <w:tc>
          <w:tcPr>
            <w:tcW w:w="784" w:type="dxa"/>
            <w:tcBorders>
              <w:top w:val="nil"/>
              <w:left w:val="nil"/>
              <w:bottom w:val="nil"/>
              <w:right w:val="nil"/>
            </w:tcBorders>
            <w:shd w:val="clear" w:color="auto" w:fill="auto"/>
            <w:noWrap/>
            <w:vAlign w:val="bottom"/>
            <w:hideMark/>
          </w:tcPr>
          <w:p w14:paraId="17300BD0" w14:textId="1FD5B8C8" w:rsidR="00E01EA5" w:rsidRDefault="00E01EA5" w:rsidP="00E01EA5">
            <w:pPr>
              <w:jc w:val="right"/>
              <w:rPr>
                <w:color w:val="000000"/>
                <w:sz w:val="20"/>
                <w:szCs w:val="20"/>
              </w:rPr>
            </w:pPr>
            <w:r>
              <w:rPr>
                <w:color w:val="000000"/>
                <w:sz w:val="20"/>
                <w:szCs w:val="20"/>
              </w:rPr>
              <w:t>0.624</w:t>
            </w:r>
          </w:p>
        </w:tc>
        <w:tc>
          <w:tcPr>
            <w:tcW w:w="784" w:type="dxa"/>
            <w:tcBorders>
              <w:top w:val="nil"/>
              <w:left w:val="nil"/>
              <w:bottom w:val="nil"/>
              <w:right w:val="nil"/>
            </w:tcBorders>
            <w:shd w:val="clear" w:color="auto" w:fill="auto"/>
            <w:noWrap/>
            <w:vAlign w:val="bottom"/>
            <w:hideMark/>
          </w:tcPr>
          <w:p w14:paraId="2941D93F" w14:textId="6337EA8D"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5E37FF94" w14:textId="47AB10F7" w:rsidR="00E01EA5" w:rsidRDefault="00E01EA5" w:rsidP="00E01EA5">
            <w:pPr>
              <w:jc w:val="right"/>
              <w:rPr>
                <w:color w:val="000000"/>
                <w:sz w:val="20"/>
                <w:szCs w:val="20"/>
              </w:rPr>
            </w:pPr>
            <w:r>
              <w:rPr>
                <w:color w:val="000000"/>
                <w:sz w:val="20"/>
                <w:szCs w:val="20"/>
              </w:rPr>
              <w:t>-0.005</w:t>
            </w:r>
          </w:p>
        </w:tc>
        <w:tc>
          <w:tcPr>
            <w:tcW w:w="784" w:type="dxa"/>
            <w:tcBorders>
              <w:top w:val="nil"/>
              <w:left w:val="nil"/>
              <w:bottom w:val="nil"/>
              <w:right w:val="nil"/>
            </w:tcBorders>
            <w:shd w:val="clear" w:color="auto" w:fill="auto"/>
            <w:noWrap/>
            <w:vAlign w:val="bottom"/>
            <w:hideMark/>
          </w:tcPr>
          <w:p w14:paraId="2554CBBA" w14:textId="63C304FC" w:rsidR="00E01EA5" w:rsidRDefault="00E01EA5" w:rsidP="00E01EA5">
            <w:pPr>
              <w:jc w:val="right"/>
              <w:rPr>
                <w:color w:val="000000"/>
                <w:sz w:val="20"/>
                <w:szCs w:val="20"/>
              </w:rPr>
            </w:pPr>
            <w:r>
              <w:rPr>
                <w:color w:val="000000"/>
                <w:sz w:val="20"/>
                <w:szCs w:val="20"/>
              </w:rPr>
              <w:t>0.875</w:t>
            </w:r>
          </w:p>
        </w:tc>
        <w:tc>
          <w:tcPr>
            <w:tcW w:w="784" w:type="dxa"/>
            <w:tcBorders>
              <w:top w:val="nil"/>
              <w:left w:val="nil"/>
              <w:bottom w:val="nil"/>
              <w:right w:val="nil"/>
            </w:tcBorders>
            <w:shd w:val="clear" w:color="auto" w:fill="auto"/>
            <w:noWrap/>
            <w:vAlign w:val="bottom"/>
            <w:hideMark/>
          </w:tcPr>
          <w:p w14:paraId="411854D2" w14:textId="4C2EF9FF" w:rsidR="00E01EA5" w:rsidRDefault="00E01EA5" w:rsidP="00E01EA5">
            <w:pPr>
              <w:jc w:val="right"/>
              <w:rPr>
                <w:color w:val="000000"/>
                <w:sz w:val="20"/>
                <w:szCs w:val="20"/>
              </w:rPr>
            </w:pPr>
            <w:r>
              <w:rPr>
                <w:color w:val="000000"/>
                <w:sz w:val="20"/>
                <w:szCs w:val="20"/>
              </w:rPr>
              <w:t>0.000</w:t>
            </w:r>
          </w:p>
        </w:tc>
      </w:tr>
      <w:tr w:rsidR="00E01EA5" w14:paraId="4D24C41D" w14:textId="77777777" w:rsidTr="00A57DD9">
        <w:trPr>
          <w:trHeight w:val="320"/>
        </w:trPr>
        <w:tc>
          <w:tcPr>
            <w:tcW w:w="820" w:type="dxa"/>
            <w:tcBorders>
              <w:top w:val="nil"/>
              <w:left w:val="nil"/>
              <w:bottom w:val="nil"/>
              <w:right w:val="nil"/>
            </w:tcBorders>
            <w:shd w:val="clear" w:color="auto" w:fill="auto"/>
            <w:noWrap/>
            <w:vAlign w:val="bottom"/>
            <w:hideMark/>
          </w:tcPr>
          <w:p w14:paraId="49A12240"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45ABCD56" w14:textId="77777777" w:rsidR="00E01EA5" w:rsidRDefault="00E01EA5" w:rsidP="00E01EA5">
            <w:pPr>
              <w:rPr>
                <w:color w:val="000000"/>
                <w:sz w:val="20"/>
                <w:szCs w:val="20"/>
              </w:rPr>
            </w:pPr>
            <w:r>
              <w:rPr>
                <w:color w:val="000000"/>
                <w:sz w:val="20"/>
                <w:szCs w:val="20"/>
              </w:rPr>
              <w:t>23%</w:t>
            </w:r>
          </w:p>
        </w:tc>
        <w:tc>
          <w:tcPr>
            <w:tcW w:w="893" w:type="dxa"/>
            <w:tcBorders>
              <w:top w:val="nil"/>
              <w:left w:val="nil"/>
              <w:bottom w:val="nil"/>
              <w:right w:val="nil"/>
            </w:tcBorders>
            <w:shd w:val="clear" w:color="auto" w:fill="auto"/>
            <w:noWrap/>
            <w:vAlign w:val="bottom"/>
            <w:hideMark/>
          </w:tcPr>
          <w:p w14:paraId="6AF13F25" w14:textId="55F3744D" w:rsidR="00E01EA5" w:rsidRDefault="00E01EA5" w:rsidP="00E01EA5">
            <w:pPr>
              <w:jc w:val="right"/>
              <w:rPr>
                <w:b/>
                <w:bCs/>
                <w:color w:val="000000"/>
                <w:sz w:val="20"/>
                <w:szCs w:val="20"/>
              </w:rPr>
            </w:pPr>
            <w:r>
              <w:rPr>
                <w:color w:val="000000"/>
                <w:sz w:val="20"/>
                <w:szCs w:val="20"/>
              </w:rPr>
              <w:t>-0.058</w:t>
            </w:r>
          </w:p>
        </w:tc>
        <w:tc>
          <w:tcPr>
            <w:tcW w:w="784" w:type="dxa"/>
            <w:tcBorders>
              <w:top w:val="nil"/>
              <w:left w:val="nil"/>
              <w:bottom w:val="nil"/>
              <w:right w:val="nil"/>
            </w:tcBorders>
            <w:shd w:val="clear" w:color="auto" w:fill="auto"/>
            <w:noWrap/>
            <w:vAlign w:val="bottom"/>
            <w:hideMark/>
          </w:tcPr>
          <w:p w14:paraId="441065A7" w14:textId="5AAB9862" w:rsidR="00E01EA5" w:rsidRDefault="00E01EA5" w:rsidP="00E01EA5">
            <w:pPr>
              <w:jc w:val="right"/>
              <w:rPr>
                <w:b/>
                <w:bCs/>
                <w:color w:val="000000"/>
                <w:sz w:val="20"/>
                <w:szCs w:val="20"/>
              </w:rPr>
            </w:pPr>
            <w:r>
              <w:rPr>
                <w:color w:val="000000"/>
                <w:sz w:val="20"/>
                <w:szCs w:val="20"/>
              </w:rPr>
              <w:t>0.051</w:t>
            </w:r>
          </w:p>
        </w:tc>
        <w:tc>
          <w:tcPr>
            <w:tcW w:w="784" w:type="dxa"/>
            <w:tcBorders>
              <w:top w:val="nil"/>
              <w:left w:val="nil"/>
              <w:bottom w:val="nil"/>
              <w:right w:val="nil"/>
            </w:tcBorders>
            <w:shd w:val="clear" w:color="auto" w:fill="auto"/>
            <w:noWrap/>
            <w:vAlign w:val="bottom"/>
            <w:hideMark/>
          </w:tcPr>
          <w:p w14:paraId="44189135" w14:textId="53CB4DAF" w:rsidR="00E01EA5" w:rsidRDefault="00E01EA5" w:rsidP="00E01EA5">
            <w:pPr>
              <w:jc w:val="right"/>
              <w:rPr>
                <w:b/>
                <w:bCs/>
                <w:color w:val="000000"/>
                <w:sz w:val="20"/>
                <w:szCs w:val="20"/>
              </w:rPr>
            </w:pPr>
            <w:r>
              <w:rPr>
                <w:color w:val="000000"/>
                <w:sz w:val="20"/>
                <w:szCs w:val="20"/>
              </w:rPr>
              <w:t>0.003</w:t>
            </w:r>
          </w:p>
        </w:tc>
        <w:tc>
          <w:tcPr>
            <w:tcW w:w="893" w:type="dxa"/>
            <w:tcBorders>
              <w:top w:val="nil"/>
              <w:left w:val="nil"/>
              <w:bottom w:val="nil"/>
              <w:right w:val="nil"/>
            </w:tcBorders>
            <w:shd w:val="clear" w:color="auto" w:fill="auto"/>
            <w:noWrap/>
            <w:vAlign w:val="bottom"/>
            <w:hideMark/>
          </w:tcPr>
          <w:p w14:paraId="7D877A6A" w14:textId="1E7023F4" w:rsidR="00E01EA5" w:rsidRDefault="00E01EA5" w:rsidP="00E01EA5">
            <w:pPr>
              <w:jc w:val="right"/>
              <w:rPr>
                <w:color w:val="000000"/>
                <w:sz w:val="20"/>
                <w:szCs w:val="20"/>
              </w:rPr>
            </w:pPr>
            <w:r>
              <w:rPr>
                <w:color w:val="000000"/>
                <w:sz w:val="20"/>
                <w:szCs w:val="20"/>
              </w:rPr>
              <w:t>-0.010</w:t>
            </w:r>
          </w:p>
        </w:tc>
        <w:tc>
          <w:tcPr>
            <w:tcW w:w="784" w:type="dxa"/>
            <w:tcBorders>
              <w:top w:val="nil"/>
              <w:left w:val="nil"/>
              <w:bottom w:val="nil"/>
              <w:right w:val="nil"/>
            </w:tcBorders>
            <w:shd w:val="clear" w:color="auto" w:fill="auto"/>
            <w:noWrap/>
            <w:vAlign w:val="bottom"/>
            <w:hideMark/>
          </w:tcPr>
          <w:p w14:paraId="51701E61" w14:textId="1A616F05" w:rsidR="00E01EA5" w:rsidRDefault="00E01EA5" w:rsidP="00E01EA5">
            <w:pPr>
              <w:jc w:val="right"/>
              <w:rPr>
                <w:color w:val="000000"/>
                <w:sz w:val="20"/>
                <w:szCs w:val="20"/>
              </w:rPr>
            </w:pPr>
            <w:r>
              <w:rPr>
                <w:color w:val="000000"/>
                <w:sz w:val="20"/>
                <w:szCs w:val="20"/>
              </w:rPr>
              <w:t>0.811</w:t>
            </w:r>
          </w:p>
        </w:tc>
        <w:tc>
          <w:tcPr>
            <w:tcW w:w="784" w:type="dxa"/>
            <w:tcBorders>
              <w:top w:val="nil"/>
              <w:left w:val="nil"/>
              <w:bottom w:val="nil"/>
              <w:right w:val="nil"/>
            </w:tcBorders>
            <w:shd w:val="clear" w:color="auto" w:fill="auto"/>
            <w:noWrap/>
            <w:vAlign w:val="bottom"/>
            <w:hideMark/>
          </w:tcPr>
          <w:p w14:paraId="554A6267" w14:textId="65DEAD23"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21ADEA3A" w14:textId="19E6EBCE" w:rsidR="00E01EA5" w:rsidRDefault="00E01EA5" w:rsidP="00E01EA5">
            <w:pPr>
              <w:jc w:val="right"/>
              <w:rPr>
                <w:color w:val="000000"/>
                <w:sz w:val="20"/>
                <w:szCs w:val="20"/>
              </w:rPr>
            </w:pPr>
            <w:r>
              <w:rPr>
                <w:color w:val="000000"/>
                <w:sz w:val="20"/>
                <w:szCs w:val="20"/>
              </w:rPr>
              <w:t>0.003</w:t>
            </w:r>
          </w:p>
        </w:tc>
        <w:tc>
          <w:tcPr>
            <w:tcW w:w="784" w:type="dxa"/>
            <w:tcBorders>
              <w:top w:val="nil"/>
              <w:left w:val="nil"/>
              <w:bottom w:val="nil"/>
              <w:right w:val="nil"/>
            </w:tcBorders>
            <w:shd w:val="clear" w:color="auto" w:fill="auto"/>
            <w:noWrap/>
            <w:vAlign w:val="bottom"/>
            <w:hideMark/>
          </w:tcPr>
          <w:p w14:paraId="27FF809F" w14:textId="1AE47F07" w:rsidR="00E01EA5" w:rsidRDefault="00E01EA5" w:rsidP="00E01EA5">
            <w:pPr>
              <w:jc w:val="right"/>
              <w:rPr>
                <w:color w:val="000000"/>
                <w:sz w:val="20"/>
                <w:szCs w:val="20"/>
              </w:rPr>
            </w:pPr>
            <w:r>
              <w:rPr>
                <w:color w:val="000000"/>
                <w:sz w:val="20"/>
                <w:szCs w:val="20"/>
              </w:rPr>
              <w:t>0.980</w:t>
            </w:r>
          </w:p>
        </w:tc>
        <w:tc>
          <w:tcPr>
            <w:tcW w:w="784" w:type="dxa"/>
            <w:tcBorders>
              <w:top w:val="nil"/>
              <w:left w:val="nil"/>
              <w:bottom w:val="nil"/>
              <w:right w:val="nil"/>
            </w:tcBorders>
            <w:shd w:val="clear" w:color="auto" w:fill="auto"/>
            <w:noWrap/>
            <w:vAlign w:val="bottom"/>
            <w:hideMark/>
          </w:tcPr>
          <w:p w14:paraId="0FF62D87" w14:textId="0A85FF2E"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723D5EBE" w14:textId="4CB0214C" w:rsidR="00E01EA5" w:rsidRDefault="00E01EA5" w:rsidP="00E01EA5">
            <w:pPr>
              <w:jc w:val="right"/>
              <w:rPr>
                <w:color w:val="000000"/>
                <w:sz w:val="20"/>
                <w:szCs w:val="20"/>
              </w:rPr>
            </w:pPr>
            <w:r>
              <w:rPr>
                <w:color w:val="000000"/>
                <w:sz w:val="20"/>
                <w:szCs w:val="20"/>
              </w:rPr>
              <w:t>-0.015</w:t>
            </w:r>
          </w:p>
        </w:tc>
        <w:tc>
          <w:tcPr>
            <w:tcW w:w="784" w:type="dxa"/>
            <w:tcBorders>
              <w:top w:val="nil"/>
              <w:left w:val="nil"/>
              <w:bottom w:val="nil"/>
              <w:right w:val="nil"/>
            </w:tcBorders>
            <w:shd w:val="clear" w:color="auto" w:fill="auto"/>
            <w:noWrap/>
            <w:vAlign w:val="bottom"/>
            <w:hideMark/>
          </w:tcPr>
          <w:p w14:paraId="3768A2E6" w14:textId="69C39DE5" w:rsidR="00E01EA5" w:rsidRDefault="00E01EA5" w:rsidP="00E01EA5">
            <w:pPr>
              <w:jc w:val="right"/>
              <w:rPr>
                <w:color w:val="000000"/>
                <w:sz w:val="20"/>
                <w:szCs w:val="20"/>
              </w:rPr>
            </w:pPr>
            <w:r>
              <w:rPr>
                <w:color w:val="000000"/>
                <w:sz w:val="20"/>
                <w:szCs w:val="20"/>
              </w:rPr>
              <w:t>0.624</w:t>
            </w:r>
          </w:p>
        </w:tc>
        <w:tc>
          <w:tcPr>
            <w:tcW w:w="784" w:type="dxa"/>
            <w:tcBorders>
              <w:top w:val="nil"/>
              <w:left w:val="nil"/>
              <w:bottom w:val="nil"/>
              <w:right w:val="nil"/>
            </w:tcBorders>
            <w:shd w:val="clear" w:color="auto" w:fill="auto"/>
            <w:noWrap/>
            <w:vAlign w:val="bottom"/>
            <w:hideMark/>
          </w:tcPr>
          <w:p w14:paraId="443E1F68" w14:textId="1816FA48"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1E47A80F" w14:textId="58E5A858" w:rsidR="00E01EA5" w:rsidRDefault="00E01EA5" w:rsidP="00E01EA5">
            <w:pPr>
              <w:jc w:val="right"/>
              <w:rPr>
                <w:color w:val="000000"/>
                <w:sz w:val="20"/>
                <w:szCs w:val="20"/>
              </w:rPr>
            </w:pPr>
            <w:r>
              <w:rPr>
                <w:color w:val="000000"/>
                <w:sz w:val="20"/>
                <w:szCs w:val="20"/>
              </w:rPr>
              <w:t>-0.007</w:t>
            </w:r>
          </w:p>
        </w:tc>
        <w:tc>
          <w:tcPr>
            <w:tcW w:w="784" w:type="dxa"/>
            <w:tcBorders>
              <w:top w:val="nil"/>
              <w:left w:val="nil"/>
              <w:bottom w:val="nil"/>
              <w:right w:val="nil"/>
            </w:tcBorders>
            <w:shd w:val="clear" w:color="auto" w:fill="auto"/>
            <w:noWrap/>
            <w:vAlign w:val="bottom"/>
            <w:hideMark/>
          </w:tcPr>
          <w:p w14:paraId="3E0701AB" w14:textId="06BC90EC" w:rsidR="00E01EA5" w:rsidRDefault="00E01EA5" w:rsidP="00E01EA5">
            <w:pPr>
              <w:jc w:val="right"/>
              <w:rPr>
                <w:color w:val="000000"/>
                <w:sz w:val="20"/>
                <w:szCs w:val="20"/>
              </w:rPr>
            </w:pPr>
            <w:r>
              <w:rPr>
                <w:color w:val="000000"/>
                <w:sz w:val="20"/>
                <w:szCs w:val="20"/>
              </w:rPr>
              <w:t>0.875</w:t>
            </w:r>
          </w:p>
        </w:tc>
        <w:tc>
          <w:tcPr>
            <w:tcW w:w="784" w:type="dxa"/>
            <w:tcBorders>
              <w:top w:val="nil"/>
              <w:left w:val="nil"/>
              <w:bottom w:val="nil"/>
              <w:right w:val="nil"/>
            </w:tcBorders>
            <w:shd w:val="clear" w:color="auto" w:fill="auto"/>
            <w:noWrap/>
            <w:vAlign w:val="bottom"/>
            <w:hideMark/>
          </w:tcPr>
          <w:p w14:paraId="2DD7DC22" w14:textId="0C7FBC89" w:rsidR="00E01EA5" w:rsidRDefault="00E01EA5" w:rsidP="00E01EA5">
            <w:pPr>
              <w:jc w:val="right"/>
              <w:rPr>
                <w:color w:val="000000"/>
                <w:sz w:val="20"/>
                <w:szCs w:val="20"/>
              </w:rPr>
            </w:pPr>
            <w:r>
              <w:rPr>
                <w:color w:val="000000"/>
                <w:sz w:val="20"/>
                <w:szCs w:val="20"/>
              </w:rPr>
              <w:t>0.000</w:t>
            </w:r>
          </w:p>
        </w:tc>
      </w:tr>
      <w:tr w:rsidR="00E01EA5" w14:paraId="7E400FBC" w14:textId="77777777" w:rsidTr="00A57DD9">
        <w:trPr>
          <w:trHeight w:val="340"/>
        </w:trPr>
        <w:tc>
          <w:tcPr>
            <w:tcW w:w="820" w:type="dxa"/>
            <w:tcBorders>
              <w:top w:val="nil"/>
              <w:left w:val="nil"/>
              <w:bottom w:val="single" w:sz="8" w:space="0" w:color="auto"/>
              <w:right w:val="nil"/>
            </w:tcBorders>
            <w:shd w:val="clear" w:color="auto" w:fill="auto"/>
            <w:noWrap/>
            <w:vAlign w:val="bottom"/>
            <w:hideMark/>
          </w:tcPr>
          <w:p w14:paraId="16847C7B" w14:textId="77777777" w:rsidR="00E01EA5" w:rsidRDefault="00E01EA5" w:rsidP="00E01EA5">
            <w:pPr>
              <w:rPr>
                <w:color w:val="000000"/>
                <w:sz w:val="20"/>
                <w:szCs w:val="20"/>
              </w:rPr>
            </w:pPr>
            <w:r>
              <w:rPr>
                <w:color w:val="000000"/>
                <w:sz w:val="20"/>
                <w:szCs w:val="20"/>
              </w:rPr>
              <w:t> </w:t>
            </w:r>
          </w:p>
        </w:tc>
        <w:tc>
          <w:tcPr>
            <w:tcW w:w="1027" w:type="dxa"/>
            <w:tcBorders>
              <w:top w:val="nil"/>
              <w:left w:val="nil"/>
              <w:bottom w:val="single" w:sz="8" w:space="0" w:color="auto"/>
              <w:right w:val="nil"/>
            </w:tcBorders>
            <w:shd w:val="clear" w:color="auto" w:fill="auto"/>
            <w:noWrap/>
            <w:vAlign w:val="bottom"/>
            <w:hideMark/>
          </w:tcPr>
          <w:p w14:paraId="73A83C65" w14:textId="77777777" w:rsidR="00E01EA5" w:rsidRDefault="00E01EA5" w:rsidP="00E01EA5">
            <w:pPr>
              <w:rPr>
                <w:color w:val="000000"/>
                <w:sz w:val="20"/>
                <w:szCs w:val="20"/>
              </w:rPr>
            </w:pPr>
            <w:r>
              <w:rPr>
                <w:color w:val="000000"/>
                <w:sz w:val="20"/>
                <w:szCs w:val="20"/>
              </w:rPr>
              <w:t>30%</w:t>
            </w:r>
          </w:p>
        </w:tc>
        <w:tc>
          <w:tcPr>
            <w:tcW w:w="893" w:type="dxa"/>
            <w:tcBorders>
              <w:top w:val="nil"/>
              <w:left w:val="nil"/>
              <w:bottom w:val="single" w:sz="8" w:space="0" w:color="auto"/>
              <w:right w:val="nil"/>
            </w:tcBorders>
            <w:shd w:val="clear" w:color="auto" w:fill="auto"/>
            <w:noWrap/>
            <w:vAlign w:val="bottom"/>
            <w:hideMark/>
          </w:tcPr>
          <w:p w14:paraId="1821D3FF" w14:textId="49AD6EC7" w:rsidR="00E01EA5" w:rsidRDefault="00E01EA5" w:rsidP="00E01EA5">
            <w:pPr>
              <w:jc w:val="right"/>
              <w:rPr>
                <w:b/>
                <w:bCs/>
                <w:color w:val="000000"/>
                <w:sz w:val="20"/>
                <w:szCs w:val="20"/>
              </w:rPr>
            </w:pPr>
            <w:r>
              <w:rPr>
                <w:color w:val="000000"/>
                <w:sz w:val="20"/>
                <w:szCs w:val="20"/>
              </w:rPr>
              <w:t>-0.058</w:t>
            </w:r>
          </w:p>
        </w:tc>
        <w:tc>
          <w:tcPr>
            <w:tcW w:w="784" w:type="dxa"/>
            <w:tcBorders>
              <w:top w:val="nil"/>
              <w:left w:val="nil"/>
              <w:bottom w:val="single" w:sz="8" w:space="0" w:color="auto"/>
              <w:right w:val="nil"/>
            </w:tcBorders>
            <w:shd w:val="clear" w:color="auto" w:fill="auto"/>
            <w:noWrap/>
            <w:vAlign w:val="bottom"/>
            <w:hideMark/>
          </w:tcPr>
          <w:p w14:paraId="64CEA74A" w14:textId="46E8A817" w:rsidR="00E01EA5" w:rsidRDefault="00E01EA5" w:rsidP="00E01EA5">
            <w:pPr>
              <w:jc w:val="right"/>
              <w:rPr>
                <w:b/>
                <w:bCs/>
                <w:color w:val="000000"/>
                <w:sz w:val="20"/>
                <w:szCs w:val="20"/>
              </w:rPr>
            </w:pPr>
            <w:r>
              <w:rPr>
                <w:color w:val="000000"/>
                <w:sz w:val="20"/>
                <w:szCs w:val="20"/>
              </w:rPr>
              <w:t>0.051</w:t>
            </w:r>
          </w:p>
        </w:tc>
        <w:tc>
          <w:tcPr>
            <w:tcW w:w="784" w:type="dxa"/>
            <w:tcBorders>
              <w:top w:val="nil"/>
              <w:left w:val="nil"/>
              <w:bottom w:val="single" w:sz="8" w:space="0" w:color="auto"/>
              <w:right w:val="nil"/>
            </w:tcBorders>
            <w:shd w:val="clear" w:color="auto" w:fill="auto"/>
            <w:noWrap/>
            <w:vAlign w:val="bottom"/>
            <w:hideMark/>
          </w:tcPr>
          <w:p w14:paraId="66F4B0ED" w14:textId="22BFA210" w:rsidR="00E01EA5" w:rsidRDefault="00E01EA5" w:rsidP="00E01EA5">
            <w:pPr>
              <w:jc w:val="right"/>
              <w:rPr>
                <w:b/>
                <w:bCs/>
                <w:color w:val="000000"/>
                <w:sz w:val="20"/>
                <w:szCs w:val="20"/>
              </w:rPr>
            </w:pPr>
            <w:r>
              <w:rPr>
                <w:color w:val="000000"/>
                <w:sz w:val="20"/>
                <w:szCs w:val="20"/>
              </w:rPr>
              <w:t>0.003</w:t>
            </w:r>
          </w:p>
        </w:tc>
        <w:tc>
          <w:tcPr>
            <w:tcW w:w="893" w:type="dxa"/>
            <w:tcBorders>
              <w:top w:val="nil"/>
              <w:left w:val="nil"/>
              <w:bottom w:val="single" w:sz="8" w:space="0" w:color="auto"/>
              <w:right w:val="nil"/>
            </w:tcBorders>
            <w:shd w:val="clear" w:color="auto" w:fill="auto"/>
            <w:noWrap/>
            <w:vAlign w:val="bottom"/>
            <w:hideMark/>
          </w:tcPr>
          <w:p w14:paraId="54345547" w14:textId="52FA7A46" w:rsidR="00E01EA5" w:rsidRDefault="00E01EA5" w:rsidP="00E01EA5">
            <w:pPr>
              <w:jc w:val="right"/>
              <w:rPr>
                <w:color w:val="000000"/>
                <w:sz w:val="20"/>
                <w:szCs w:val="20"/>
              </w:rPr>
            </w:pPr>
            <w:r>
              <w:rPr>
                <w:color w:val="000000"/>
                <w:sz w:val="20"/>
                <w:szCs w:val="20"/>
              </w:rPr>
              <w:t>-0.010</w:t>
            </w:r>
          </w:p>
        </w:tc>
        <w:tc>
          <w:tcPr>
            <w:tcW w:w="784" w:type="dxa"/>
            <w:tcBorders>
              <w:top w:val="nil"/>
              <w:left w:val="nil"/>
              <w:bottom w:val="single" w:sz="8" w:space="0" w:color="auto"/>
              <w:right w:val="nil"/>
            </w:tcBorders>
            <w:shd w:val="clear" w:color="auto" w:fill="auto"/>
            <w:noWrap/>
            <w:vAlign w:val="bottom"/>
            <w:hideMark/>
          </w:tcPr>
          <w:p w14:paraId="76B8752F" w14:textId="00AADF97" w:rsidR="00E01EA5" w:rsidRDefault="00E01EA5" w:rsidP="00E01EA5">
            <w:pPr>
              <w:jc w:val="right"/>
              <w:rPr>
                <w:color w:val="000000"/>
                <w:sz w:val="20"/>
                <w:szCs w:val="20"/>
              </w:rPr>
            </w:pPr>
            <w:r>
              <w:rPr>
                <w:color w:val="000000"/>
                <w:sz w:val="20"/>
                <w:szCs w:val="20"/>
              </w:rPr>
              <w:t>0.811</w:t>
            </w:r>
          </w:p>
        </w:tc>
        <w:tc>
          <w:tcPr>
            <w:tcW w:w="784" w:type="dxa"/>
            <w:tcBorders>
              <w:top w:val="nil"/>
              <w:left w:val="nil"/>
              <w:bottom w:val="single" w:sz="8" w:space="0" w:color="auto"/>
              <w:right w:val="nil"/>
            </w:tcBorders>
            <w:shd w:val="clear" w:color="auto" w:fill="auto"/>
            <w:noWrap/>
            <w:vAlign w:val="bottom"/>
            <w:hideMark/>
          </w:tcPr>
          <w:p w14:paraId="1D747799" w14:textId="421F35F8"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181CF53D" w14:textId="66221101" w:rsidR="00E01EA5" w:rsidRDefault="00E01EA5" w:rsidP="00E01EA5">
            <w:pPr>
              <w:jc w:val="right"/>
              <w:rPr>
                <w:color w:val="000000"/>
                <w:sz w:val="20"/>
                <w:szCs w:val="20"/>
              </w:rPr>
            </w:pPr>
            <w:r>
              <w:rPr>
                <w:color w:val="000000"/>
                <w:sz w:val="20"/>
                <w:szCs w:val="20"/>
              </w:rPr>
              <w:t>0.004</w:t>
            </w:r>
          </w:p>
        </w:tc>
        <w:tc>
          <w:tcPr>
            <w:tcW w:w="784" w:type="dxa"/>
            <w:tcBorders>
              <w:top w:val="nil"/>
              <w:left w:val="nil"/>
              <w:bottom w:val="single" w:sz="8" w:space="0" w:color="auto"/>
              <w:right w:val="nil"/>
            </w:tcBorders>
            <w:shd w:val="clear" w:color="auto" w:fill="auto"/>
            <w:noWrap/>
            <w:vAlign w:val="bottom"/>
            <w:hideMark/>
          </w:tcPr>
          <w:p w14:paraId="29F8D1AB" w14:textId="68E812B3" w:rsidR="00E01EA5" w:rsidRDefault="00E01EA5" w:rsidP="00E01EA5">
            <w:pPr>
              <w:jc w:val="right"/>
              <w:rPr>
                <w:color w:val="000000"/>
                <w:sz w:val="20"/>
                <w:szCs w:val="20"/>
              </w:rPr>
            </w:pPr>
            <w:r>
              <w:rPr>
                <w:color w:val="000000"/>
                <w:sz w:val="20"/>
                <w:szCs w:val="20"/>
              </w:rPr>
              <w:t>0.980</w:t>
            </w:r>
          </w:p>
        </w:tc>
        <w:tc>
          <w:tcPr>
            <w:tcW w:w="784" w:type="dxa"/>
            <w:tcBorders>
              <w:top w:val="nil"/>
              <w:left w:val="nil"/>
              <w:bottom w:val="single" w:sz="8" w:space="0" w:color="auto"/>
              <w:right w:val="nil"/>
            </w:tcBorders>
            <w:shd w:val="clear" w:color="auto" w:fill="auto"/>
            <w:noWrap/>
            <w:vAlign w:val="bottom"/>
            <w:hideMark/>
          </w:tcPr>
          <w:p w14:paraId="499062EA" w14:textId="0037B673"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432F8406" w14:textId="7E8C1CC6" w:rsidR="00E01EA5" w:rsidRDefault="00E01EA5" w:rsidP="00E01EA5">
            <w:pPr>
              <w:jc w:val="right"/>
              <w:rPr>
                <w:color w:val="000000"/>
                <w:sz w:val="20"/>
                <w:szCs w:val="20"/>
              </w:rPr>
            </w:pPr>
            <w:r>
              <w:rPr>
                <w:color w:val="000000"/>
                <w:sz w:val="20"/>
                <w:szCs w:val="20"/>
              </w:rPr>
              <w:t>-0.014</w:t>
            </w:r>
          </w:p>
        </w:tc>
        <w:tc>
          <w:tcPr>
            <w:tcW w:w="784" w:type="dxa"/>
            <w:tcBorders>
              <w:top w:val="nil"/>
              <w:left w:val="nil"/>
              <w:bottom w:val="single" w:sz="8" w:space="0" w:color="auto"/>
              <w:right w:val="nil"/>
            </w:tcBorders>
            <w:shd w:val="clear" w:color="auto" w:fill="auto"/>
            <w:noWrap/>
            <w:vAlign w:val="bottom"/>
            <w:hideMark/>
          </w:tcPr>
          <w:p w14:paraId="10E8ABEE" w14:textId="7EA8EF07" w:rsidR="00E01EA5" w:rsidRDefault="00E01EA5" w:rsidP="00E01EA5">
            <w:pPr>
              <w:jc w:val="right"/>
              <w:rPr>
                <w:color w:val="000000"/>
                <w:sz w:val="20"/>
                <w:szCs w:val="20"/>
              </w:rPr>
            </w:pPr>
            <w:r>
              <w:rPr>
                <w:color w:val="000000"/>
                <w:sz w:val="20"/>
                <w:szCs w:val="20"/>
              </w:rPr>
              <w:t>0.624</w:t>
            </w:r>
          </w:p>
        </w:tc>
        <w:tc>
          <w:tcPr>
            <w:tcW w:w="784" w:type="dxa"/>
            <w:tcBorders>
              <w:top w:val="nil"/>
              <w:left w:val="nil"/>
              <w:bottom w:val="single" w:sz="8" w:space="0" w:color="auto"/>
              <w:right w:val="nil"/>
            </w:tcBorders>
            <w:shd w:val="clear" w:color="auto" w:fill="auto"/>
            <w:noWrap/>
            <w:vAlign w:val="bottom"/>
            <w:hideMark/>
          </w:tcPr>
          <w:p w14:paraId="49188375" w14:textId="00A11A08"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4C77E99C" w14:textId="550C8CFD" w:rsidR="00E01EA5" w:rsidRDefault="00E01EA5" w:rsidP="00E01EA5">
            <w:pPr>
              <w:jc w:val="right"/>
              <w:rPr>
                <w:color w:val="000000"/>
                <w:sz w:val="20"/>
                <w:szCs w:val="20"/>
              </w:rPr>
            </w:pPr>
            <w:r>
              <w:rPr>
                <w:color w:val="000000"/>
                <w:sz w:val="20"/>
                <w:szCs w:val="20"/>
              </w:rPr>
              <w:t>-0.009</w:t>
            </w:r>
          </w:p>
        </w:tc>
        <w:tc>
          <w:tcPr>
            <w:tcW w:w="784" w:type="dxa"/>
            <w:tcBorders>
              <w:top w:val="nil"/>
              <w:left w:val="nil"/>
              <w:bottom w:val="single" w:sz="8" w:space="0" w:color="auto"/>
              <w:right w:val="nil"/>
            </w:tcBorders>
            <w:shd w:val="clear" w:color="auto" w:fill="auto"/>
            <w:noWrap/>
            <w:vAlign w:val="bottom"/>
            <w:hideMark/>
          </w:tcPr>
          <w:p w14:paraId="2F49D1CD" w14:textId="043B14FE" w:rsidR="00E01EA5" w:rsidRDefault="00E01EA5" w:rsidP="00E01EA5">
            <w:pPr>
              <w:jc w:val="right"/>
              <w:rPr>
                <w:color w:val="000000"/>
                <w:sz w:val="20"/>
                <w:szCs w:val="20"/>
              </w:rPr>
            </w:pPr>
            <w:r>
              <w:rPr>
                <w:color w:val="000000"/>
                <w:sz w:val="20"/>
                <w:szCs w:val="20"/>
              </w:rPr>
              <w:t>0.875</w:t>
            </w:r>
          </w:p>
        </w:tc>
        <w:tc>
          <w:tcPr>
            <w:tcW w:w="784" w:type="dxa"/>
            <w:tcBorders>
              <w:top w:val="nil"/>
              <w:left w:val="nil"/>
              <w:bottom w:val="single" w:sz="8" w:space="0" w:color="auto"/>
              <w:right w:val="nil"/>
            </w:tcBorders>
            <w:shd w:val="clear" w:color="auto" w:fill="auto"/>
            <w:noWrap/>
            <w:vAlign w:val="bottom"/>
            <w:hideMark/>
          </w:tcPr>
          <w:p w14:paraId="3E026DEE" w14:textId="647082DD" w:rsidR="00E01EA5" w:rsidRDefault="00E01EA5" w:rsidP="00E01EA5">
            <w:pPr>
              <w:jc w:val="right"/>
              <w:rPr>
                <w:color w:val="000000"/>
                <w:sz w:val="20"/>
                <w:szCs w:val="20"/>
              </w:rPr>
            </w:pPr>
            <w:r>
              <w:rPr>
                <w:color w:val="000000"/>
                <w:sz w:val="20"/>
                <w:szCs w:val="20"/>
              </w:rPr>
              <w:t>0.000</w:t>
            </w:r>
          </w:p>
        </w:tc>
      </w:tr>
      <w:tr w:rsidR="00E01EA5" w14:paraId="2ACB7143" w14:textId="77777777" w:rsidTr="00A57DD9">
        <w:trPr>
          <w:trHeight w:val="320"/>
        </w:trPr>
        <w:tc>
          <w:tcPr>
            <w:tcW w:w="820" w:type="dxa"/>
            <w:tcBorders>
              <w:top w:val="nil"/>
              <w:left w:val="nil"/>
              <w:bottom w:val="nil"/>
              <w:right w:val="nil"/>
            </w:tcBorders>
            <w:shd w:val="clear" w:color="auto" w:fill="auto"/>
            <w:noWrap/>
            <w:vAlign w:val="bottom"/>
            <w:hideMark/>
          </w:tcPr>
          <w:p w14:paraId="7AA89C0D" w14:textId="77777777" w:rsidR="00E01EA5" w:rsidRDefault="00E01EA5" w:rsidP="00E01EA5">
            <w:pPr>
              <w:rPr>
                <w:color w:val="000000"/>
                <w:sz w:val="20"/>
                <w:szCs w:val="20"/>
              </w:rPr>
            </w:pPr>
            <w:r>
              <w:rPr>
                <w:color w:val="000000"/>
                <w:sz w:val="20"/>
                <w:szCs w:val="20"/>
              </w:rPr>
              <w:t>MID</w:t>
            </w:r>
          </w:p>
        </w:tc>
        <w:tc>
          <w:tcPr>
            <w:tcW w:w="1027" w:type="dxa"/>
            <w:tcBorders>
              <w:top w:val="nil"/>
              <w:left w:val="nil"/>
              <w:bottom w:val="nil"/>
              <w:right w:val="nil"/>
            </w:tcBorders>
            <w:shd w:val="clear" w:color="auto" w:fill="auto"/>
            <w:noWrap/>
            <w:vAlign w:val="bottom"/>
            <w:hideMark/>
          </w:tcPr>
          <w:p w14:paraId="31778932" w14:textId="77777777" w:rsidR="00E01EA5" w:rsidRDefault="00E01EA5" w:rsidP="00E01EA5">
            <w:pPr>
              <w:rPr>
                <w:color w:val="000000"/>
                <w:sz w:val="20"/>
                <w:szCs w:val="20"/>
              </w:rPr>
            </w:pPr>
            <w:r>
              <w:rPr>
                <w:color w:val="000000"/>
                <w:sz w:val="20"/>
                <w:szCs w:val="20"/>
              </w:rPr>
              <w:t>10%</w:t>
            </w:r>
          </w:p>
        </w:tc>
        <w:tc>
          <w:tcPr>
            <w:tcW w:w="893" w:type="dxa"/>
            <w:tcBorders>
              <w:top w:val="nil"/>
              <w:left w:val="nil"/>
              <w:bottom w:val="nil"/>
              <w:right w:val="nil"/>
            </w:tcBorders>
            <w:shd w:val="clear" w:color="auto" w:fill="auto"/>
            <w:noWrap/>
            <w:vAlign w:val="bottom"/>
            <w:hideMark/>
          </w:tcPr>
          <w:p w14:paraId="51D72159" w14:textId="3C5CD3D3" w:rsidR="00E01EA5" w:rsidRDefault="00E01EA5" w:rsidP="00E01EA5">
            <w:pPr>
              <w:jc w:val="right"/>
              <w:rPr>
                <w:color w:val="000000"/>
                <w:sz w:val="20"/>
                <w:szCs w:val="20"/>
              </w:rPr>
            </w:pPr>
            <w:r>
              <w:rPr>
                <w:color w:val="000000"/>
                <w:sz w:val="20"/>
                <w:szCs w:val="20"/>
              </w:rPr>
              <w:t>-0.034</w:t>
            </w:r>
          </w:p>
        </w:tc>
        <w:tc>
          <w:tcPr>
            <w:tcW w:w="784" w:type="dxa"/>
            <w:tcBorders>
              <w:top w:val="nil"/>
              <w:left w:val="nil"/>
              <w:bottom w:val="nil"/>
              <w:right w:val="nil"/>
            </w:tcBorders>
            <w:shd w:val="clear" w:color="auto" w:fill="auto"/>
            <w:noWrap/>
            <w:vAlign w:val="bottom"/>
            <w:hideMark/>
          </w:tcPr>
          <w:p w14:paraId="45273989" w14:textId="6F18E6EC" w:rsidR="00E01EA5" w:rsidRDefault="00E01EA5" w:rsidP="00E01EA5">
            <w:pPr>
              <w:jc w:val="right"/>
              <w:rPr>
                <w:color w:val="000000"/>
                <w:sz w:val="20"/>
                <w:szCs w:val="20"/>
              </w:rPr>
            </w:pPr>
            <w:r>
              <w:rPr>
                <w:color w:val="000000"/>
                <w:sz w:val="20"/>
                <w:szCs w:val="20"/>
              </w:rPr>
              <w:t>0.358</w:t>
            </w:r>
          </w:p>
        </w:tc>
        <w:tc>
          <w:tcPr>
            <w:tcW w:w="784" w:type="dxa"/>
            <w:tcBorders>
              <w:top w:val="nil"/>
              <w:left w:val="nil"/>
              <w:bottom w:val="nil"/>
              <w:right w:val="nil"/>
            </w:tcBorders>
            <w:shd w:val="clear" w:color="auto" w:fill="auto"/>
            <w:noWrap/>
            <w:vAlign w:val="bottom"/>
            <w:hideMark/>
          </w:tcPr>
          <w:p w14:paraId="0CD70D52" w14:textId="607AE177"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3126C062" w14:textId="5F5E6B51" w:rsidR="00E01EA5" w:rsidRDefault="00E01EA5" w:rsidP="00E01EA5">
            <w:pPr>
              <w:jc w:val="right"/>
              <w:rPr>
                <w:color w:val="000000"/>
                <w:sz w:val="20"/>
                <w:szCs w:val="20"/>
              </w:rPr>
            </w:pPr>
            <w:r>
              <w:rPr>
                <w:color w:val="000000"/>
                <w:sz w:val="20"/>
                <w:szCs w:val="20"/>
              </w:rPr>
              <w:t>-0.020</w:t>
            </w:r>
          </w:p>
        </w:tc>
        <w:tc>
          <w:tcPr>
            <w:tcW w:w="784" w:type="dxa"/>
            <w:tcBorders>
              <w:top w:val="nil"/>
              <w:left w:val="nil"/>
              <w:bottom w:val="nil"/>
              <w:right w:val="nil"/>
            </w:tcBorders>
            <w:shd w:val="clear" w:color="auto" w:fill="auto"/>
            <w:noWrap/>
            <w:vAlign w:val="bottom"/>
            <w:hideMark/>
          </w:tcPr>
          <w:p w14:paraId="36AF2EEB" w14:textId="14278AE3" w:rsidR="00E01EA5" w:rsidRDefault="00E01EA5" w:rsidP="00E01EA5">
            <w:pPr>
              <w:jc w:val="right"/>
              <w:rPr>
                <w:color w:val="000000"/>
                <w:sz w:val="20"/>
                <w:szCs w:val="20"/>
              </w:rPr>
            </w:pPr>
            <w:r>
              <w:rPr>
                <w:color w:val="000000"/>
                <w:sz w:val="20"/>
                <w:szCs w:val="20"/>
              </w:rPr>
              <w:t>0.472</w:t>
            </w:r>
          </w:p>
        </w:tc>
        <w:tc>
          <w:tcPr>
            <w:tcW w:w="784" w:type="dxa"/>
            <w:tcBorders>
              <w:top w:val="nil"/>
              <w:left w:val="nil"/>
              <w:bottom w:val="nil"/>
              <w:right w:val="nil"/>
            </w:tcBorders>
            <w:shd w:val="clear" w:color="auto" w:fill="auto"/>
            <w:noWrap/>
            <w:vAlign w:val="bottom"/>
            <w:hideMark/>
          </w:tcPr>
          <w:p w14:paraId="79A7B380" w14:textId="64C21E67"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319E364E" w14:textId="76A5DE6E" w:rsidR="00E01EA5" w:rsidRDefault="00E01EA5" w:rsidP="00E01EA5">
            <w:pPr>
              <w:jc w:val="right"/>
              <w:rPr>
                <w:color w:val="000000"/>
                <w:sz w:val="20"/>
                <w:szCs w:val="20"/>
              </w:rPr>
            </w:pPr>
            <w:r>
              <w:rPr>
                <w:color w:val="000000"/>
                <w:sz w:val="20"/>
                <w:szCs w:val="20"/>
              </w:rPr>
              <w:t>0.014</w:t>
            </w:r>
          </w:p>
        </w:tc>
        <w:tc>
          <w:tcPr>
            <w:tcW w:w="784" w:type="dxa"/>
            <w:tcBorders>
              <w:top w:val="nil"/>
              <w:left w:val="nil"/>
              <w:bottom w:val="nil"/>
              <w:right w:val="nil"/>
            </w:tcBorders>
            <w:shd w:val="clear" w:color="auto" w:fill="auto"/>
            <w:noWrap/>
            <w:vAlign w:val="bottom"/>
            <w:hideMark/>
          </w:tcPr>
          <w:p w14:paraId="1D960B1B" w14:textId="117577E9" w:rsidR="00E01EA5" w:rsidRDefault="00E01EA5" w:rsidP="00E01EA5">
            <w:pPr>
              <w:jc w:val="right"/>
              <w:rPr>
                <w:color w:val="000000"/>
                <w:sz w:val="20"/>
                <w:szCs w:val="20"/>
              </w:rPr>
            </w:pPr>
            <w:r>
              <w:rPr>
                <w:color w:val="000000"/>
                <w:sz w:val="20"/>
                <w:szCs w:val="20"/>
              </w:rPr>
              <w:t>0.638</w:t>
            </w:r>
          </w:p>
        </w:tc>
        <w:tc>
          <w:tcPr>
            <w:tcW w:w="784" w:type="dxa"/>
            <w:tcBorders>
              <w:top w:val="nil"/>
              <w:left w:val="nil"/>
              <w:bottom w:val="nil"/>
              <w:right w:val="nil"/>
            </w:tcBorders>
            <w:shd w:val="clear" w:color="auto" w:fill="auto"/>
            <w:noWrap/>
            <w:vAlign w:val="bottom"/>
            <w:hideMark/>
          </w:tcPr>
          <w:p w14:paraId="2034CA33" w14:textId="4617D2B7"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243DD3A1" w14:textId="4018C8BF" w:rsidR="00E01EA5" w:rsidRDefault="00E01EA5" w:rsidP="00E01EA5">
            <w:pPr>
              <w:jc w:val="right"/>
              <w:rPr>
                <w:color w:val="000000"/>
                <w:sz w:val="20"/>
                <w:szCs w:val="20"/>
              </w:rPr>
            </w:pPr>
            <w:r>
              <w:rPr>
                <w:color w:val="000000"/>
                <w:sz w:val="20"/>
                <w:szCs w:val="20"/>
              </w:rPr>
              <w:t>-0.035</w:t>
            </w:r>
          </w:p>
        </w:tc>
        <w:tc>
          <w:tcPr>
            <w:tcW w:w="784" w:type="dxa"/>
            <w:tcBorders>
              <w:top w:val="nil"/>
              <w:left w:val="nil"/>
              <w:bottom w:val="nil"/>
              <w:right w:val="nil"/>
            </w:tcBorders>
            <w:shd w:val="clear" w:color="auto" w:fill="auto"/>
            <w:noWrap/>
            <w:vAlign w:val="bottom"/>
            <w:hideMark/>
          </w:tcPr>
          <w:p w14:paraId="72EC9DCE" w14:textId="76AFB175" w:rsidR="00E01EA5" w:rsidRDefault="00E01EA5" w:rsidP="00E01EA5">
            <w:pPr>
              <w:jc w:val="right"/>
              <w:rPr>
                <w:color w:val="000000"/>
                <w:sz w:val="20"/>
                <w:szCs w:val="20"/>
              </w:rPr>
            </w:pPr>
            <w:r>
              <w:rPr>
                <w:color w:val="000000"/>
                <w:sz w:val="20"/>
                <w:szCs w:val="20"/>
              </w:rPr>
              <w:t>0.231</w:t>
            </w:r>
          </w:p>
        </w:tc>
        <w:tc>
          <w:tcPr>
            <w:tcW w:w="784" w:type="dxa"/>
            <w:tcBorders>
              <w:top w:val="nil"/>
              <w:left w:val="nil"/>
              <w:bottom w:val="nil"/>
              <w:right w:val="nil"/>
            </w:tcBorders>
            <w:shd w:val="clear" w:color="auto" w:fill="auto"/>
            <w:noWrap/>
            <w:vAlign w:val="bottom"/>
            <w:hideMark/>
          </w:tcPr>
          <w:p w14:paraId="7A6ECB43" w14:textId="705C45F4"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0778CB0B" w14:textId="256581AB" w:rsidR="00E01EA5" w:rsidRDefault="00E01EA5" w:rsidP="00E01EA5">
            <w:pPr>
              <w:jc w:val="right"/>
              <w:rPr>
                <w:color w:val="000000"/>
                <w:sz w:val="20"/>
                <w:szCs w:val="20"/>
              </w:rPr>
            </w:pPr>
            <w:r>
              <w:rPr>
                <w:color w:val="000000"/>
                <w:sz w:val="20"/>
                <w:szCs w:val="20"/>
              </w:rPr>
              <w:t>-0.009</w:t>
            </w:r>
          </w:p>
        </w:tc>
        <w:tc>
          <w:tcPr>
            <w:tcW w:w="784" w:type="dxa"/>
            <w:tcBorders>
              <w:top w:val="nil"/>
              <w:left w:val="nil"/>
              <w:bottom w:val="nil"/>
              <w:right w:val="nil"/>
            </w:tcBorders>
            <w:shd w:val="clear" w:color="auto" w:fill="auto"/>
            <w:noWrap/>
            <w:vAlign w:val="bottom"/>
            <w:hideMark/>
          </w:tcPr>
          <w:p w14:paraId="401228A8" w14:textId="393F167B" w:rsidR="00E01EA5" w:rsidRDefault="00E01EA5" w:rsidP="00E01EA5">
            <w:pPr>
              <w:jc w:val="right"/>
              <w:rPr>
                <w:color w:val="000000"/>
                <w:sz w:val="20"/>
                <w:szCs w:val="20"/>
              </w:rPr>
            </w:pPr>
            <w:r>
              <w:rPr>
                <w:color w:val="000000"/>
                <w:sz w:val="20"/>
                <w:szCs w:val="20"/>
              </w:rPr>
              <w:t>0.787</w:t>
            </w:r>
          </w:p>
        </w:tc>
        <w:tc>
          <w:tcPr>
            <w:tcW w:w="784" w:type="dxa"/>
            <w:tcBorders>
              <w:top w:val="nil"/>
              <w:left w:val="nil"/>
              <w:bottom w:val="nil"/>
              <w:right w:val="nil"/>
            </w:tcBorders>
            <w:shd w:val="clear" w:color="auto" w:fill="auto"/>
            <w:noWrap/>
            <w:vAlign w:val="bottom"/>
            <w:hideMark/>
          </w:tcPr>
          <w:p w14:paraId="13AE8FB3" w14:textId="08FA3F9B" w:rsidR="00E01EA5" w:rsidRDefault="00E01EA5" w:rsidP="00E01EA5">
            <w:pPr>
              <w:jc w:val="right"/>
              <w:rPr>
                <w:color w:val="000000"/>
                <w:sz w:val="20"/>
                <w:szCs w:val="20"/>
              </w:rPr>
            </w:pPr>
            <w:r>
              <w:rPr>
                <w:color w:val="000000"/>
                <w:sz w:val="20"/>
                <w:szCs w:val="20"/>
              </w:rPr>
              <w:t>0.000</w:t>
            </w:r>
          </w:p>
        </w:tc>
      </w:tr>
      <w:tr w:rsidR="00E01EA5" w14:paraId="170BE6BD" w14:textId="77777777" w:rsidTr="00A57DD9">
        <w:trPr>
          <w:trHeight w:val="320"/>
        </w:trPr>
        <w:tc>
          <w:tcPr>
            <w:tcW w:w="820" w:type="dxa"/>
            <w:tcBorders>
              <w:top w:val="nil"/>
              <w:left w:val="nil"/>
              <w:bottom w:val="nil"/>
              <w:right w:val="nil"/>
            </w:tcBorders>
            <w:shd w:val="clear" w:color="auto" w:fill="auto"/>
            <w:noWrap/>
            <w:vAlign w:val="bottom"/>
            <w:hideMark/>
          </w:tcPr>
          <w:p w14:paraId="59C4E9C2"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7248B02F" w14:textId="77777777" w:rsidR="00E01EA5" w:rsidRDefault="00E01EA5" w:rsidP="00E01EA5">
            <w:pPr>
              <w:rPr>
                <w:color w:val="000000"/>
                <w:sz w:val="20"/>
                <w:szCs w:val="20"/>
              </w:rPr>
            </w:pPr>
            <w:r>
              <w:rPr>
                <w:color w:val="000000"/>
                <w:sz w:val="20"/>
                <w:szCs w:val="20"/>
              </w:rPr>
              <w:t>17%</w:t>
            </w:r>
          </w:p>
        </w:tc>
        <w:tc>
          <w:tcPr>
            <w:tcW w:w="893" w:type="dxa"/>
            <w:tcBorders>
              <w:top w:val="nil"/>
              <w:left w:val="nil"/>
              <w:bottom w:val="nil"/>
              <w:right w:val="nil"/>
            </w:tcBorders>
            <w:shd w:val="clear" w:color="auto" w:fill="auto"/>
            <w:noWrap/>
            <w:vAlign w:val="bottom"/>
            <w:hideMark/>
          </w:tcPr>
          <w:p w14:paraId="699BECD0" w14:textId="1C500A94" w:rsidR="00E01EA5" w:rsidRDefault="00E01EA5" w:rsidP="00E01EA5">
            <w:pPr>
              <w:jc w:val="right"/>
              <w:rPr>
                <w:color w:val="000000"/>
                <w:sz w:val="20"/>
                <w:szCs w:val="20"/>
              </w:rPr>
            </w:pPr>
            <w:r>
              <w:rPr>
                <w:color w:val="000000"/>
                <w:sz w:val="20"/>
                <w:szCs w:val="20"/>
              </w:rPr>
              <w:t>-0.029</w:t>
            </w:r>
          </w:p>
        </w:tc>
        <w:tc>
          <w:tcPr>
            <w:tcW w:w="784" w:type="dxa"/>
            <w:tcBorders>
              <w:top w:val="nil"/>
              <w:left w:val="nil"/>
              <w:bottom w:val="nil"/>
              <w:right w:val="nil"/>
            </w:tcBorders>
            <w:shd w:val="clear" w:color="auto" w:fill="auto"/>
            <w:noWrap/>
            <w:vAlign w:val="bottom"/>
            <w:hideMark/>
          </w:tcPr>
          <w:p w14:paraId="1DD8DD94" w14:textId="6FF0EA32" w:rsidR="00E01EA5" w:rsidRDefault="00E01EA5" w:rsidP="00E01EA5">
            <w:pPr>
              <w:jc w:val="right"/>
              <w:rPr>
                <w:color w:val="000000"/>
                <w:sz w:val="20"/>
                <w:szCs w:val="20"/>
              </w:rPr>
            </w:pPr>
            <w:r>
              <w:rPr>
                <w:color w:val="000000"/>
                <w:sz w:val="20"/>
                <w:szCs w:val="20"/>
              </w:rPr>
              <w:t>0.358</w:t>
            </w:r>
          </w:p>
        </w:tc>
        <w:tc>
          <w:tcPr>
            <w:tcW w:w="784" w:type="dxa"/>
            <w:tcBorders>
              <w:top w:val="nil"/>
              <w:left w:val="nil"/>
              <w:bottom w:val="nil"/>
              <w:right w:val="nil"/>
            </w:tcBorders>
            <w:shd w:val="clear" w:color="auto" w:fill="auto"/>
            <w:noWrap/>
            <w:vAlign w:val="bottom"/>
            <w:hideMark/>
          </w:tcPr>
          <w:p w14:paraId="23B92D77" w14:textId="52CB8C3D"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1211F8A3" w14:textId="7152AA86" w:rsidR="00E01EA5" w:rsidRDefault="00E01EA5" w:rsidP="00E01EA5">
            <w:pPr>
              <w:jc w:val="right"/>
              <w:rPr>
                <w:color w:val="000000"/>
                <w:sz w:val="20"/>
                <w:szCs w:val="20"/>
              </w:rPr>
            </w:pPr>
            <w:r>
              <w:rPr>
                <w:color w:val="000000"/>
                <w:sz w:val="20"/>
                <w:szCs w:val="20"/>
              </w:rPr>
              <w:t>-0.023</w:t>
            </w:r>
          </w:p>
        </w:tc>
        <w:tc>
          <w:tcPr>
            <w:tcW w:w="784" w:type="dxa"/>
            <w:tcBorders>
              <w:top w:val="nil"/>
              <w:left w:val="nil"/>
              <w:bottom w:val="nil"/>
              <w:right w:val="nil"/>
            </w:tcBorders>
            <w:shd w:val="clear" w:color="auto" w:fill="auto"/>
            <w:noWrap/>
            <w:vAlign w:val="bottom"/>
            <w:hideMark/>
          </w:tcPr>
          <w:p w14:paraId="567C46DA" w14:textId="34BFE2DB" w:rsidR="00E01EA5" w:rsidRDefault="00E01EA5" w:rsidP="00E01EA5">
            <w:pPr>
              <w:jc w:val="right"/>
              <w:rPr>
                <w:color w:val="000000"/>
                <w:sz w:val="20"/>
                <w:szCs w:val="20"/>
              </w:rPr>
            </w:pPr>
            <w:r>
              <w:rPr>
                <w:color w:val="000000"/>
                <w:sz w:val="20"/>
                <w:szCs w:val="20"/>
              </w:rPr>
              <w:t>0.472</w:t>
            </w:r>
          </w:p>
        </w:tc>
        <w:tc>
          <w:tcPr>
            <w:tcW w:w="784" w:type="dxa"/>
            <w:tcBorders>
              <w:top w:val="nil"/>
              <w:left w:val="nil"/>
              <w:bottom w:val="nil"/>
              <w:right w:val="nil"/>
            </w:tcBorders>
            <w:shd w:val="clear" w:color="auto" w:fill="auto"/>
            <w:noWrap/>
            <w:vAlign w:val="bottom"/>
            <w:hideMark/>
          </w:tcPr>
          <w:p w14:paraId="78B6F787" w14:textId="71B4ECF6"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1E42EA2F" w14:textId="4E04427B" w:rsidR="00E01EA5" w:rsidRDefault="00E01EA5" w:rsidP="00E01EA5">
            <w:pPr>
              <w:jc w:val="right"/>
              <w:rPr>
                <w:color w:val="000000"/>
                <w:sz w:val="20"/>
                <w:szCs w:val="20"/>
              </w:rPr>
            </w:pPr>
            <w:r>
              <w:rPr>
                <w:color w:val="000000"/>
                <w:sz w:val="20"/>
                <w:szCs w:val="20"/>
              </w:rPr>
              <w:t>0.021</w:t>
            </w:r>
          </w:p>
        </w:tc>
        <w:tc>
          <w:tcPr>
            <w:tcW w:w="784" w:type="dxa"/>
            <w:tcBorders>
              <w:top w:val="nil"/>
              <w:left w:val="nil"/>
              <w:bottom w:val="nil"/>
              <w:right w:val="nil"/>
            </w:tcBorders>
            <w:shd w:val="clear" w:color="auto" w:fill="auto"/>
            <w:noWrap/>
            <w:vAlign w:val="bottom"/>
            <w:hideMark/>
          </w:tcPr>
          <w:p w14:paraId="081ED589" w14:textId="3F8A717B" w:rsidR="00E01EA5" w:rsidRDefault="00E01EA5" w:rsidP="00E01EA5">
            <w:pPr>
              <w:jc w:val="right"/>
              <w:rPr>
                <w:color w:val="000000"/>
                <w:sz w:val="20"/>
                <w:szCs w:val="20"/>
              </w:rPr>
            </w:pPr>
            <w:r>
              <w:rPr>
                <w:color w:val="000000"/>
                <w:sz w:val="20"/>
                <w:szCs w:val="20"/>
              </w:rPr>
              <w:t>0.620</w:t>
            </w:r>
          </w:p>
        </w:tc>
        <w:tc>
          <w:tcPr>
            <w:tcW w:w="784" w:type="dxa"/>
            <w:tcBorders>
              <w:top w:val="nil"/>
              <w:left w:val="nil"/>
              <w:bottom w:val="nil"/>
              <w:right w:val="nil"/>
            </w:tcBorders>
            <w:shd w:val="clear" w:color="auto" w:fill="auto"/>
            <w:noWrap/>
            <w:vAlign w:val="bottom"/>
            <w:hideMark/>
          </w:tcPr>
          <w:p w14:paraId="21F28EAF" w14:textId="00343F8A"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7158A5F7" w14:textId="27A3014E" w:rsidR="00E01EA5" w:rsidRDefault="00E01EA5" w:rsidP="00E01EA5">
            <w:pPr>
              <w:jc w:val="right"/>
              <w:rPr>
                <w:color w:val="000000"/>
                <w:sz w:val="20"/>
                <w:szCs w:val="20"/>
              </w:rPr>
            </w:pPr>
            <w:r>
              <w:rPr>
                <w:color w:val="000000"/>
                <w:sz w:val="20"/>
                <w:szCs w:val="20"/>
              </w:rPr>
              <w:t>-0.033</w:t>
            </w:r>
          </w:p>
        </w:tc>
        <w:tc>
          <w:tcPr>
            <w:tcW w:w="784" w:type="dxa"/>
            <w:tcBorders>
              <w:top w:val="nil"/>
              <w:left w:val="nil"/>
              <w:bottom w:val="nil"/>
              <w:right w:val="nil"/>
            </w:tcBorders>
            <w:shd w:val="clear" w:color="auto" w:fill="auto"/>
            <w:noWrap/>
            <w:vAlign w:val="bottom"/>
            <w:hideMark/>
          </w:tcPr>
          <w:p w14:paraId="70E3DF20" w14:textId="48757198" w:rsidR="00E01EA5" w:rsidRDefault="00E01EA5" w:rsidP="00E01EA5">
            <w:pPr>
              <w:jc w:val="right"/>
              <w:rPr>
                <w:color w:val="000000"/>
                <w:sz w:val="20"/>
                <w:szCs w:val="20"/>
              </w:rPr>
            </w:pPr>
            <w:r>
              <w:rPr>
                <w:color w:val="000000"/>
                <w:sz w:val="20"/>
                <w:szCs w:val="20"/>
              </w:rPr>
              <w:t>0.231</w:t>
            </w:r>
          </w:p>
        </w:tc>
        <w:tc>
          <w:tcPr>
            <w:tcW w:w="784" w:type="dxa"/>
            <w:tcBorders>
              <w:top w:val="nil"/>
              <w:left w:val="nil"/>
              <w:bottom w:val="nil"/>
              <w:right w:val="nil"/>
            </w:tcBorders>
            <w:shd w:val="clear" w:color="auto" w:fill="auto"/>
            <w:noWrap/>
            <w:vAlign w:val="bottom"/>
            <w:hideMark/>
          </w:tcPr>
          <w:p w14:paraId="70F3CC21" w14:textId="2A60B1EA"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53EAF16B" w14:textId="4C4BBB25" w:rsidR="00E01EA5" w:rsidRDefault="00E01EA5" w:rsidP="00E01EA5">
            <w:pPr>
              <w:jc w:val="right"/>
              <w:rPr>
                <w:color w:val="000000"/>
                <w:sz w:val="20"/>
                <w:szCs w:val="20"/>
              </w:rPr>
            </w:pPr>
            <w:r>
              <w:rPr>
                <w:color w:val="000000"/>
                <w:sz w:val="20"/>
                <w:szCs w:val="20"/>
              </w:rPr>
              <w:t>-0.008</w:t>
            </w:r>
          </w:p>
        </w:tc>
        <w:tc>
          <w:tcPr>
            <w:tcW w:w="784" w:type="dxa"/>
            <w:tcBorders>
              <w:top w:val="nil"/>
              <w:left w:val="nil"/>
              <w:bottom w:val="nil"/>
              <w:right w:val="nil"/>
            </w:tcBorders>
            <w:shd w:val="clear" w:color="auto" w:fill="auto"/>
            <w:noWrap/>
            <w:vAlign w:val="bottom"/>
            <w:hideMark/>
          </w:tcPr>
          <w:p w14:paraId="773C7135" w14:textId="049BF98D" w:rsidR="00E01EA5" w:rsidRDefault="00E01EA5" w:rsidP="00E01EA5">
            <w:pPr>
              <w:jc w:val="right"/>
              <w:rPr>
                <w:color w:val="000000"/>
                <w:sz w:val="20"/>
                <w:szCs w:val="20"/>
              </w:rPr>
            </w:pPr>
            <w:r>
              <w:rPr>
                <w:color w:val="000000"/>
                <w:sz w:val="20"/>
                <w:szCs w:val="20"/>
              </w:rPr>
              <w:t>0.787</w:t>
            </w:r>
          </w:p>
        </w:tc>
        <w:tc>
          <w:tcPr>
            <w:tcW w:w="784" w:type="dxa"/>
            <w:tcBorders>
              <w:top w:val="nil"/>
              <w:left w:val="nil"/>
              <w:bottom w:val="nil"/>
              <w:right w:val="nil"/>
            </w:tcBorders>
            <w:shd w:val="clear" w:color="auto" w:fill="auto"/>
            <w:noWrap/>
            <w:vAlign w:val="bottom"/>
            <w:hideMark/>
          </w:tcPr>
          <w:p w14:paraId="64CFE833" w14:textId="094EDD07" w:rsidR="00E01EA5" w:rsidRDefault="00E01EA5" w:rsidP="00E01EA5">
            <w:pPr>
              <w:jc w:val="right"/>
              <w:rPr>
                <w:color w:val="000000"/>
                <w:sz w:val="20"/>
                <w:szCs w:val="20"/>
              </w:rPr>
            </w:pPr>
            <w:r>
              <w:rPr>
                <w:color w:val="000000"/>
                <w:sz w:val="20"/>
                <w:szCs w:val="20"/>
              </w:rPr>
              <w:t>0.000</w:t>
            </w:r>
          </w:p>
        </w:tc>
      </w:tr>
      <w:tr w:rsidR="00E01EA5" w14:paraId="45DFA969" w14:textId="77777777" w:rsidTr="00A57DD9">
        <w:trPr>
          <w:trHeight w:val="320"/>
        </w:trPr>
        <w:tc>
          <w:tcPr>
            <w:tcW w:w="820" w:type="dxa"/>
            <w:tcBorders>
              <w:top w:val="nil"/>
              <w:left w:val="nil"/>
              <w:bottom w:val="nil"/>
              <w:right w:val="nil"/>
            </w:tcBorders>
            <w:shd w:val="clear" w:color="auto" w:fill="auto"/>
            <w:noWrap/>
            <w:vAlign w:val="bottom"/>
            <w:hideMark/>
          </w:tcPr>
          <w:p w14:paraId="3E9F9DF4"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0C7B6373" w14:textId="77777777" w:rsidR="00E01EA5" w:rsidRDefault="00E01EA5" w:rsidP="00E01EA5">
            <w:pPr>
              <w:rPr>
                <w:color w:val="000000"/>
                <w:sz w:val="20"/>
                <w:szCs w:val="20"/>
              </w:rPr>
            </w:pPr>
            <w:r>
              <w:rPr>
                <w:color w:val="000000"/>
                <w:sz w:val="20"/>
                <w:szCs w:val="20"/>
              </w:rPr>
              <w:t>23%</w:t>
            </w:r>
          </w:p>
        </w:tc>
        <w:tc>
          <w:tcPr>
            <w:tcW w:w="893" w:type="dxa"/>
            <w:tcBorders>
              <w:top w:val="nil"/>
              <w:left w:val="nil"/>
              <w:bottom w:val="nil"/>
              <w:right w:val="nil"/>
            </w:tcBorders>
            <w:shd w:val="clear" w:color="auto" w:fill="auto"/>
            <w:noWrap/>
            <w:vAlign w:val="bottom"/>
            <w:hideMark/>
          </w:tcPr>
          <w:p w14:paraId="74A2E307" w14:textId="674737F7" w:rsidR="00E01EA5" w:rsidRDefault="00E01EA5" w:rsidP="00E01EA5">
            <w:pPr>
              <w:jc w:val="right"/>
              <w:rPr>
                <w:color w:val="000000"/>
                <w:sz w:val="20"/>
                <w:szCs w:val="20"/>
              </w:rPr>
            </w:pPr>
            <w:r>
              <w:rPr>
                <w:color w:val="000000"/>
                <w:sz w:val="20"/>
                <w:szCs w:val="20"/>
              </w:rPr>
              <w:t>-0.029</w:t>
            </w:r>
          </w:p>
        </w:tc>
        <w:tc>
          <w:tcPr>
            <w:tcW w:w="784" w:type="dxa"/>
            <w:tcBorders>
              <w:top w:val="nil"/>
              <w:left w:val="nil"/>
              <w:bottom w:val="nil"/>
              <w:right w:val="nil"/>
            </w:tcBorders>
            <w:shd w:val="clear" w:color="auto" w:fill="auto"/>
            <w:noWrap/>
            <w:vAlign w:val="bottom"/>
            <w:hideMark/>
          </w:tcPr>
          <w:p w14:paraId="27EC82D9" w14:textId="1A3C408E" w:rsidR="00E01EA5" w:rsidRDefault="00E01EA5" w:rsidP="00E01EA5">
            <w:pPr>
              <w:jc w:val="right"/>
              <w:rPr>
                <w:color w:val="000000"/>
                <w:sz w:val="20"/>
                <w:szCs w:val="20"/>
              </w:rPr>
            </w:pPr>
            <w:r>
              <w:rPr>
                <w:color w:val="000000"/>
                <w:sz w:val="20"/>
                <w:szCs w:val="20"/>
              </w:rPr>
              <w:t>0.358</w:t>
            </w:r>
          </w:p>
        </w:tc>
        <w:tc>
          <w:tcPr>
            <w:tcW w:w="784" w:type="dxa"/>
            <w:tcBorders>
              <w:top w:val="nil"/>
              <w:left w:val="nil"/>
              <w:bottom w:val="nil"/>
              <w:right w:val="nil"/>
            </w:tcBorders>
            <w:shd w:val="clear" w:color="auto" w:fill="auto"/>
            <w:noWrap/>
            <w:vAlign w:val="bottom"/>
            <w:hideMark/>
          </w:tcPr>
          <w:p w14:paraId="376489B0" w14:textId="5609A88D"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2702EA06" w14:textId="0C56DFAC" w:rsidR="00E01EA5" w:rsidRDefault="00E01EA5" w:rsidP="00E01EA5">
            <w:pPr>
              <w:jc w:val="right"/>
              <w:rPr>
                <w:color w:val="000000"/>
                <w:sz w:val="20"/>
                <w:szCs w:val="20"/>
              </w:rPr>
            </w:pPr>
            <w:r>
              <w:rPr>
                <w:color w:val="000000"/>
                <w:sz w:val="20"/>
                <w:szCs w:val="20"/>
              </w:rPr>
              <w:t>-0.022</w:t>
            </w:r>
          </w:p>
        </w:tc>
        <w:tc>
          <w:tcPr>
            <w:tcW w:w="784" w:type="dxa"/>
            <w:tcBorders>
              <w:top w:val="nil"/>
              <w:left w:val="nil"/>
              <w:bottom w:val="nil"/>
              <w:right w:val="nil"/>
            </w:tcBorders>
            <w:shd w:val="clear" w:color="auto" w:fill="auto"/>
            <w:noWrap/>
            <w:vAlign w:val="bottom"/>
            <w:hideMark/>
          </w:tcPr>
          <w:p w14:paraId="35D8ADCA" w14:textId="628F3450" w:rsidR="00E01EA5" w:rsidRDefault="00E01EA5" w:rsidP="00E01EA5">
            <w:pPr>
              <w:jc w:val="right"/>
              <w:rPr>
                <w:color w:val="000000"/>
                <w:sz w:val="20"/>
                <w:szCs w:val="20"/>
              </w:rPr>
            </w:pPr>
            <w:r>
              <w:rPr>
                <w:color w:val="000000"/>
                <w:sz w:val="20"/>
                <w:szCs w:val="20"/>
              </w:rPr>
              <w:t>0.472</w:t>
            </w:r>
          </w:p>
        </w:tc>
        <w:tc>
          <w:tcPr>
            <w:tcW w:w="784" w:type="dxa"/>
            <w:tcBorders>
              <w:top w:val="nil"/>
              <w:left w:val="nil"/>
              <w:bottom w:val="nil"/>
              <w:right w:val="nil"/>
            </w:tcBorders>
            <w:shd w:val="clear" w:color="auto" w:fill="auto"/>
            <w:noWrap/>
            <w:vAlign w:val="bottom"/>
            <w:hideMark/>
          </w:tcPr>
          <w:p w14:paraId="548FEE68" w14:textId="0D22E6B2"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30B9E552" w14:textId="7CC98449" w:rsidR="00E01EA5" w:rsidRDefault="00E01EA5" w:rsidP="00E01EA5">
            <w:pPr>
              <w:jc w:val="right"/>
              <w:rPr>
                <w:color w:val="000000"/>
                <w:sz w:val="20"/>
                <w:szCs w:val="20"/>
              </w:rPr>
            </w:pPr>
            <w:r>
              <w:rPr>
                <w:color w:val="000000"/>
                <w:sz w:val="20"/>
                <w:szCs w:val="20"/>
              </w:rPr>
              <w:t>0.023</w:t>
            </w:r>
          </w:p>
        </w:tc>
        <w:tc>
          <w:tcPr>
            <w:tcW w:w="784" w:type="dxa"/>
            <w:tcBorders>
              <w:top w:val="nil"/>
              <w:left w:val="nil"/>
              <w:bottom w:val="nil"/>
              <w:right w:val="nil"/>
            </w:tcBorders>
            <w:shd w:val="clear" w:color="auto" w:fill="auto"/>
            <w:noWrap/>
            <w:vAlign w:val="bottom"/>
            <w:hideMark/>
          </w:tcPr>
          <w:p w14:paraId="669F56F3" w14:textId="3A80FD7A" w:rsidR="00E01EA5" w:rsidRDefault="00E01EA5" w:rsidP="00E01EA5">
            <w:pPr>
              <w:jc w:val="right"/>
              <w:rPr>
                <w:color w:val="000000"/>
                <w:sz w:val="20"/>
                <w:szCs w:val="20"/>
              </w:rPr>
            </w:pPr>
            <w:r>
              <w:rPr>
                <w:color w:val="000000"/>
                <w:sz w:val="20"/>
                <w:szCs w:val="20"/>
              </w:rPr>
              <w:t>0.620</w:t>
            </w:r>
          </w:p>
        </w:tc>
        <w:tc>
          <w:tcPr>
            <w:tcW w:w="784" w:type="dxa"/>
            <w:tcBorders>
              <w:top w:val="nil"/>
              <w:left w:val="nil"/>
              <w:bottom w:val="nil"/>
              <w:right w:val="nil"/>
            </w:tcBorders>
            <w:shd w:val="clear" w:color="auto" w:fill="auto"/>
            <w:noWrap/>
            <w:vAlign w:val="bottom"/>
            <w:hideMark/>
          </w:tcPr>
          <w:p w14:paraId="09D79228" w14:textId="7EBDB53F"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2E0EAEE5" w14:textId="6554C543" w:rsidR="00E01EA5" w:rsidRDefault="00E01EA5" w:rsidP="00E01EA5">
            <w:pPr>
              <w:jc w:val="right"/>
              <w:rPr>
                <w:color w:val="000000"/>
                <w:sz w:val="20"/>
                <w:szCs w:val="20"/>
              </w:rPr>
            </w:pPr>
            <w:r>
              <w:rPr>
                <w:color w:val="000000"/>
                <w:sz w:val="20"/>
                <w:szCs w:val="20"/>
              </w:rPr>
              <w:t>-0.032</w:t>
            </w:r>
          </w:p>
        </w:tc>
        <w:tc>
          <w:tcPr>
            <w:tcW w:w="784" w:type="dxa"/>
            <w:tcBorders>
              <w:top w:val="nil"/>
              <w:left w:val="nil"/>
              <w:bottom w:val="nil"/>
              <w:right w:val="nil"/>
            </w:tcBorders>
            <w:shd w:val="clear" w:color="auto" w:fill="auto"/>
            <w:noWrap/>
            <w:vAlign w:val="bottom"/>
            <w:hideMark/>
          </w:tcPr>
          <w:p w14:paraId="04586109" w14:textId="78C9110B" w:rsidR="00E01EA5" w:rsidRDefault="00E01EA5" w:rsidP="00E01EA5">
            <w:pPr>
              <w:jc w:val="right"/>
              <w:rPr>
                <w:color w:val="000000"/>
                <w:sz w:val="20"/>
                <w:szCs w:val="20"/>
              </w:rPr>
            </w:pPr>
            <w:r>
              <w:rPr>
                <w:color w:val="000000"/>
                <w:sz w:val="20"/>
                <w:szCs w:val="20"/>
              </w:rPr>
              <w:t>0.231</w:t>
            </w:r>
          </w:p>
        </w:tc>
        <w:tc>
          <w:tcPr>
            <w:tcW w:w="784" w:type="dxa"/>
            <w:tcBorders>
              <w:top w:val="nil"/>
              <w:left w:val="nil"/>
              <w:bottom w:val="nil"/>
              <w:right w:val="nil"/>
            </w:tcBorders>
            <w:shd w:val="clear" w:color="auto" w:fill="auto"/>
            <w:noWrap/>
            <w:vAlign w:val="bottom"/>
            <w:hideMark/>
          </w:tcPr>
          <w:p w14:paraId="4D8F4194" w14:textId="10E0DDD3"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0BD3A429" w14:textId="351C7204" w:rsidR="00E01EA5" w:rsidRDefault="00E01EA5" w:rsidP="00E01EA5">
            <w:pPr>
              <w:jc w:val="right"/>
              <w:rPr>
                <w:color w:val="000000"/>
                <w:sz w:val="20"/>
                <w:szCs w:val="20"/>
              </w:rPr>
            </w:pPr>
            <w:r>
              <w:rPr>
                <w:color w:val="000000"/>
                <w:sz w:val="20"/>
                <w:szCs w:val="20"/>
              </w:rPr>
              <w:t>-0.010</w:t>
            </w:r>
          </w:p>
        </w:tc>
        <w:tc>
          <w:tcPr>
            <w:tcW w:w="784" w:type="dxa"/>
            <w:tcBorders>
              <w:top w:val="nil"/>
              <w:left w:val="nil"/>
              <w:bottom w:val="nil"/>
              <w:right w:val="nil"/>
            </w:tcBorders>
            <w:shd w:val="clear" w:color="auto" w:fill="auto"/>
            <w:noWrap/>
            <w:vAlign w:val="bottom"/>
            <w:hideMark/>
          </w:tcPr>
          <w:p w14:paraId="514D60C1" w14:textId="2C649C43" w:rsidR="00E01EA5" w:rsidRDefault="00E01EA5" w:rsidP="00E01EA5">
            <w:pPr>
              <w:jc w:val="right"/>
              <w:rPr>
                <w:color w:val="000000"/>
                <w:sz w:val="20"/>
                <w:szCs w:val="20"/>
              </w:rPr>
            </w:pPr>
            <w:r>
              <w:rPr>
                <w:color w:val="000000"/>
                <w:sz w:val="20"/>
                <w:szCs w:val="20"/>
              </w:rPr>
              <w:t>0.787</w:t>
            </w:r>
          </w:p>
        </w:tc>
        <w:tc>
          <w:tcPr>
            <w:tcW w:w="784" w:type="dxa"/>
            <w:tcBorders>
              <w:top w:val="nil"/>
              <w:left w:val="nil"/>
              <w:bottom w:val="nil"/>
              <w:right w:val="nil"/>
            </w:tcBorders>
            <w:shd w:val="clear" w:color="auto" w:fill="auto"/>
            <w:noWrap/>
            <w:vAlign w:val="bottom"/>
            <w:hideMark/>
          </w:tcPr>
          <w:p w14:paraId="2085BE3B" w14:textId="59A71D16" w:rsidR="00E01EA5" w:rsidRDefault="00E01EA5" w:rsidP="00E01EA5">
            <w:pPr>
              <w:jc w:val="right"/>
              <w:rPr>
                <w:color w:val="000000"/>
                <w:sz w:val="20"/>
                <w:szCs w:val="20"/>
              </w:rPr>
            </w:pPr>
            <w:r>
              <w:rPr>
                <w:color w:val="000000"/>
                <w:sz w:val="20"/>
                <w:szCs w:val="20"/>
              </w:rPr>
              <w:t>0.000</w:t>
            </w:r>
          </w:p>
        </w:tc>
      </w:tr>
      <w:tr w:rsidR="00E01EA5" w14:paraId="643D14FC" w14:textId="77777777" w:rsidTr="00A57DD9">
        <w:trPr>
          <w:trHeight w:val="340"/>
        </w:trPr>
        <w:tc>
          <w:tcPr>
            <w:tcW w:w="820" w:type="dxa"/>
            <w:tcBorders>
              <w:top w:val="nil"/>
              <w:left w:val="nil"/>
              <w:bottom w:val="single" w:sz="8" w:space="0" w:color="auto"/>
              <w:right w:val="nil"/>
            </w:tcBorders>
            <w:shd w:val="clear" w:color="auto" w:fill="auto"/>
            <w:noWrap/>
            <w:vAlign w:val="bottom"/>
            <w:hideMark/>
          </w:tcPr>
          <w:p w14:paraId="30730207" w14:textId="77777777" w:rsidR="00E01EA5" w:rsidRDefault="00E01EA5" w:rsidP="00E01EA5">
            <w:pPr>
              <w:rPr>
                <w:color w:val="000000"/>
                <w:sz w:val="20"/>
                <w:szCs w:val="20"/>
              </w:rPr>
            </w:pPr>
            <w:r>
              <w:rPr>
                <w:color w:val="000000"/>
                <w:sz w:val="20"/>
                <w:szCs w:val="20"/>
              </w:rPr>
              <w:t> </w:t>
            </w:r>
          </w:p>
        </w:tc>
        <w:tc>
          <w:tcPr>
            <w:tcW w:w="1027" w:type="dxa"/>
            <w:tcBorders>
              <w:top w:val="nil"/>
              <w:left w:val="nil"/>
              <w:bottom w:val="single" w:sz="8" w:space="0" w:color="auto"/>
              <w:right w:val="nil"/>
            </w:tcBorders>
            <w:shd w:val="clear" w:color="auto" w:fill="auto"/>
            <w:noWrap/>
            <w:vAlign w:val="bottom"/>
            <w:hideMark/>
          </w:tcPr>
          <w:p w14:paraId="47219B10" w14:textId="77777777" w:rsidR="00E01EA5" w:rsidRDefault="00E01EA5" w:rsidP="00E01EA5">
            <w:pPr>
              <w:rPr>
                <w:color w:val="000000"/>
                <w:sz w:val="20"/>
                <w:szCs w:val="20"/>
              </w:rPr>
            </w:pPr>
            <w:r>
              <w:rPr>
                <w:color w:val="000000"/>
                <w:sz w:val="20"/>
                <w:szCs w:val="20"/>
              </w:rPr>
              <w:t>30%</w:t>
            </w:r>
          </w:p>
        </w:tc>
        <w:tc>
          <w:tcPr>
            <w:tcW w:w="893" w:type="dxa"/>
            <w:tcBorders>
              <w:top w:val="nil"/>
              <w:left w:val="nil"/>
              <w:bottom w:val="single" w:sz="8" w:space="0" w:color="auto"/>
              <w:right w:val="nil"/>
            </w:tcBorders>
            <w:shd w:val="clear" w:color="auto" w:fill="auto"/>
            <w:noWrap/>
            <w:vAlign w:val="bottom"/>
            <w:hideMark/>
          </w:tcPr>
          <w:p w14:paraId="6F468A74" w14:textId="3F9C76BB" w:rsidR="00E01EA5" w:rsidRDefault="00E01EA5" w:rsidP="00E01EA5">
            <w:pPr>
              <w:jc w:val="right"/>
              <w:rPr>
                <w:color w:val="000000"/>
                <w:sz w:val="20"/>
                <w:szCs w:val="20"/>
              </w:rPr>
            </w:pPr>
            <w:r>
              <w:rPr>
                <w:color w:val="000000"/>
                <w:sz w:val="20"/>
                <w:szCs w:val="20"/>
              </w:rPr>
              <w:t>-0.027</w:t>
            </w:r>
          </w:p>
        </w:tc>
        <w:tc>
          <w:tcPr>
            <w:tcW w:w="784" w:type="dxa"/>
            <w:tcBorders>
              <w:top w:val="nil"/>
              <w:left w:val="nil"/>
              <w:bottom w:val="single" w:sz="8" w:space="0" w:color="auto"/>
              <w:right w:val="nil"/>
            </w:tcBorders>
            <w:shd w:val="clear" w:color="auto" w:fill="auto"/>
            <w:noWrap/>
            <w:vAlign w:val="bottom"/>
            <w:hideMark/>
          </w:tcPr>
          <w:p w14:paraId="003A7596" w14:textId="06008A0A" w:rsidR="00E01EA5" w:rsidRDefault="00E01EA5" w:rsidP="00E01EA5">
            <w:pPr>
              <w:jc w:val="right"/>
              <w:rPr>
                <w:color w:val="000000"/>
                <w:sz w:val="20"/>
                <w:szCs w:val="20"/>
              </w:rPr>
            </w:pPr>
            <w:r>
              <w:rPr>
                <w:color w:val="000000"/>
                <w:sz w:val="20"/>
                <w:szCs w:val="20"/>
              </w:rPr>
              <w:t>0.358</w:t>
            </w:r>
          </w:p>
        </w:tc>
        <w:tc>
          <w:tcPr>
            <w:tcW w:w="784" w:type="dxa"/>
            <w:tcBorders>
              <w:top w:val="nil"/>
              <w:left w:val="nil"/>
              <w:bottom w:val="single" w:sz="8" w:space="0" w:color="auto"/>
              <w:right w:val="nil"/>
            </w:tcBorders>
            <w:shd w:val="clear" w:color="auto" w:fill="auto"/>
            <w:noWrap/>
            <w:vAlign w:val="bottom"/>
            <w:hideMark/>
          </w:tcPr>
          <w:p w14:paraId="5DBDAF44" w14:textId="1F86C8E9"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single" w:sz="8" w:space="0" w:color="auto"/>
              <w:right w:val="nil"/>
            </w:tcBorders>
            <w:shd w:val="clear" w:color="auto" w:fill="auto"/>
            <w:noWrap/>
            <w:vAlign w:val="bottom"/>
            <w:hideMark/>
          </w:tcPr>
          <w:p w14:paraId="50F9B140" w14:textId="0BD070F3" w:rsidR="00E01EA5" w:rsidRDefault="00E01EA5" w:rsidP="00E01EA5">
            <w:pPr>
              <w:jc w:val="right"/>
              <w:rPr>
                <w:color w:val="000000"/>
                <w:sz w:val="20"/>
                <w:szCs w:val="20"/>
              </w:rPr>
            </w:pPr>
            <w:r>
              <w:rPr>
                <w:color w:val="000000"/>
                <w:sz w:val="20"/>
                <w:szCs w:val="20"/>
              </w:rPr>
              <w:t>-0.020</w:t>
            </w:r>
          </w:p>
        </w:tc>
        <w:tc>
          <w:tcPr>
            <w:tcW w:w="784" w:type="dxa"/>
            <w:tcBorders>
              <w:top w:val="nil"/>
              <w:left w:val="nil"/>
              <w:bottom w:val="single" w:sz="8" w:space="0" w:color="auto"/>
              <w:right w:val="nil"/>
            </w:tcBorders>
            <w:shd w:val="clear" w:color="auto" w:fill="auto"/>
            <w:noWrap/>
            <w:vAlign w:val="bottom"/>
            <w:hideMark/>
          </w:tcPr>
          <w:p w14:paraId="1611BB8B" w14:textId="7E87C3B7" w:rsidR="00E01EA5" w:rsidRDefault="00E01EA5" w:rsidP="00E01EA5">
            <w:pPr>
              <w:jc w:val="right"/>
              <w:rPr>
                <w:color w:val="000000"/>
                <w:sz w:val="20"/>
                <w:szCs w:val="20"/>
              </w:rPr>
            </w:pPr>
            <w:r>
              <w:rPr>
                <w:color w:val="000000"/>
                <w:sz w:val="20"/>
                <w:szCs w:val="20"/>
              </w:rPr>
              <w:t>0.472</w:t>
            </w:r>
          </w:p>
        </w:tc>
        <w:tc>
          <w:tcPr>
            <w:tcW w:w="784" w:type="dxa"/>
            <w:tcBorders>
              <w:top w:val="nil"/>
              <w:left w:val="nil"/>
              <w:bottom w:val="single" w:sz="8" w:space="0" w:color="auto"/>
              <w:right w:val="nil"/>
            </w:tcBorders>
            <w:shd w:val="clear" w:color="auto" w:fill="auto"/>
            <w:noWrap/>
            <w:vAlign w:val="bottom"/>
            <w:hideMark/>
          </w:tcPr>
          <w:p w14:paraId="41548E6D" w14:textId="07E0B42C"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63E8B7A6" w14:textId="2E8B73EE" w:rsidR="00E01EA5" w:rsidRDefault="00E01EA5" w:rsidP="00E01EA5">
            <w:pPr>
              <w:jc w:val="right"/>
              <w:rPr>
                <w:color w:val="000000"/>
                <w:sz w:val="20"/>
                <w:szCs w:val="20"/>
              </w:rPr>
            </w:pPr>
            <w:r>
              <w:rPr>
                <w:color w:val="000000"/>
                <w:sz w:val="20"/>
                <w:szCs w:val="20"/>
              </w:rPr>
              <w:t>0.026</w:t>
            </w:r>
          </w:p>
        </w:tc>
        <w:tc>
          <w:tcPr>
            <w:tcW w:w="784" w:type="dxa"/>
            <w:tcBorders>
              <w:top w:val="nil"/>
              <w:left w:val="nil"/>
              <w:bottom w:val="single" w:sz="8" w:space="0" w:color="auto"/>
              <w:right w:val="nil"/>
            </w:tcBorders>
            <w:shd w:val="clear" w:color="auto" w:fill="auto"/>
            <w:noWrap/>
            <w:vAlign w:val="bottom"/>
            <w:hideMark/>
          </w:tcPr>
          <w:p w14:paraId="71DA4327" w14:textId="77BDE84B" w:rsidR="00E01EA5" w:rsidRDefault="00E01EA5" w:rsidP="00E01EA5">
            <w:pPr>
              <w:jc w:val="right"/>
              <w:rPr>
                <w:color w:val="000000"/>
                <w:sz w:val="20"/>
                <w:szCs w:val="20"/>
              </w:rPr>
            </w:pPr>
            <w:r>
              <w:rPr>
                <w:color w:val="000000"/>
                <w:sz w:val="20"/>
                <w:szCs w:val="20"/>
              </w:rPr>
              <w:t>0.620</w:t>
            </w:r>
          </w:p>
        </w:tc>
        <w:tc>
          <w:tcPr>
            <w:tcW w:w="784" w:type="dxa"/>
            <w:tcBorders>
              <w:top w:val="nil"/>
              <w:left w:val="nil"/>
              <w:bottom w:val="single" w:sz="8" w:space="0" w:color="auto"/>
              <w:right w:val="nil"/>
            </w:tcBorders>
            <w:shd w:val="clear" w:color="auto" w:fill="auto"/>
            <w:noWrap/>
            <w:vAlign w:val="bottom"/>
            <w:hideMark/>
          </w:tcPr>
          <w:p w14:paraId="5D4F25EE" w14:textId="5BD64487"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single" w:sz="8" w:space="0" w:color="auto"/>
              <w:right w:val="nil"/>
            </w:tcBorders>
            <w:shd w:val="clear" w:color="auto" w:fill="auto"/>
            <w:noWrap/>
            <w:vAlign w:val="bottom"/>
            <w:hideMark/>
          </w:tcPr>
          <w:p w14:paraId="406EF18E" w14:textId="66D0F550" w:rsidR="00E01EA5" w:rsidRDefault="00E01EA5" w:rsidP="00E01EA5">
            <w:pPr>
              <w:jc w:val="right"/>
              <w:rPr>
                <w:color w:val="000000"/>
                <w:sz w:val="20"/>
                <w:szCs w:val="20"/>
              </w:rPr>
            </w:pPr>
            <w:r>
              <w:rPr>
                <w:color w:val="000000"/>
                <w:sz w:val="20"/>
                <w:szCs w:val="20"/>
              </w:rPr>
              <w:t>-0.031</w:t>
            </w:r>
          </w:p>
        </w:tc>
        <w:tc>
          <w:tcPr>
            <w:tcW w:w="784" w:type="dxa"/>
            <w:tcBorders>
              <w:top w:val="nil"/>
              <w:left w:val="nil"/>
              <w:bottom w:val="single" w:sz="8" w:space="0" w:color="auto"/>
              <w:right w:val="nil"/>
            </w:tcBorders>
            <w:shd w:val="clear" w:color="auto" w:fill="auto"/>
            <w:noWrap/>
            <w:vAlign w:val="bottom"/>
            <w:hideMark/>
          </w:tcPr>
          <w:p w14:paraId="7B35A31C" w14:textId="725CABDD" w:rsidR="00E01EA5" w:rsidRDefault="00E01EA5" w:rsidP="00E01EA5">
            <w:pPr>
              <w:jc w:val="right"/>
              <w:rPr>
                <w:color w:val="000000"/>
                <w:sz w:val="20"/>
                <w:szCs w:val="20"/>
              </w:rPr>
            </w:pPr>
            <w:r>
              <w:rPr>
                <w:color w:val="000000"/>
                <w:sz w:val="20"/>
                <w:szCs w:val="20"/>
              </w:rPr>
              <w:t>0.231</w:t>
            </w:r>
          </w:p>
        </w:tc>
        <w:tc>
          <w:tcPr>
            <w:tcW w:w="784" w:type="dxa"/>
            <w:tcBorders>
              <w:top w:val="nil"/>
              <w:left w:val="nil"/>
              <w:bottom w:val="single" w:sz="8" w:space="0" w:color="auto"/>
              <w:right w:val="nil"/>
            </w:tcBorders>
            <w:shd w:val="clear" w:color="auto" w:fill="auto"/>
            <w:noWrap/>
            <w:vAlign w:val="bottom"/>
            <w:hideMark/>
          </w:tcPr>
          <w:p w14:paraId="53BF50CC" w14:textId="1CB4BD67"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single" w:sz="8" w:space="0" w:color="auto"/>
              <w:right w:val="nil"/>
            </w:tcBorders>
            <w:shd w:val="clear" w:color="auto" w:fill="auto"/>
            <w:noWrap/>
            <w:vAlign w:val="bottom"/>
            <w:hideMark/>
          </w:tcPr>
          <w:p w14:paraId="6D8B840A" w14:textId="1EF5F594" w:rsidR="00E01EA5" w:rsidRDefault="00E01EA5" w:rsidP="00E01EA5">
            <w:pPr>
              <w:jc w:val="right"/>
              <w:rPr>
                <w:color w:val="000000"/>
                <w:sz w:val="20"/>
                <w:szCs w:val="20"/>
              </w:rPr>
            </w:pPr>
            <w:r>
              <w:rPr>
                <w:color w:val="000000"/>
                <w:sz w:val="20"/>
                <w:szCs w:val="20"/>
              </w:rPr>
              <w:t>-0.013</w:t>
            </w:r>
          </w:p>
        </w:tc>
        <w:tc>
          <w:tcPr>
            <w:tcW w:w="784" w:type="dxa"/>
            <w:tcBorders>
              <w:top w:val="nil"/>
              <w:left w:val="nil"/>
              <w:bottom w:val="single" w:sz="8" w:space="0" w:color="auto"/>
              <w:right w:val="nil"/>
            </w:tcBorders>
            <w:shd w:val="clear" w:color="auto" w:fill="auto"/>
            <w:noWrap/>
            <w:vAlign w:val="bottom"/>
            <w:hideMark/>
          </w:tcPr>
          <w:p w14:paraId="1C555CFC" w14:textId="58A6E256" w:rsidR="00E01EA5" w:rsidRDefault="00E01EA5" w:rsidP="00E01EA5">
            <w:pPr>
              <w:jc w:val="right"/>
              <w:rPr>
                <w:color w:val="000000"/>
                <w:sz w:val="20"/>
                <w:szCs w:val="20"/>
              </w:rPr>
            </w:pPr>
            <w:r>
              <w:rPr>
                <w:color w:val="000000"/>
                <w:sz w:val="20"/>
                <w:szCs w:val="20"/>
              </w:rPr>
              <w:t>0.787</w:t>
            </w:r>
          </w:p>
        </w:tc>
        <w:tc>
          <w:tcPr>
            <w:tcW w:w="784" w:type="dxa"/>
            <w:tcBorders>
              <w:top w:val="nil"/>
              <w:left w:val="nil"/>
              <w:bottom w:val="single" w:sz="8" w:space="0" w:color="auto"/>
              <w:right w:val="nil"/>
            </w:tcBorders>
            <w:shd w:val="clear" w:color="auto" w:fill="auto"/>
            <w:noWrap/>
            <w:vAlign w:val="bottom"/>
            <w:hideMark/>
          </w:tcPr>
          <w:p w14:paraId="11DCF203" w14:textId="32D7B81F" w:rsidR="00E01EA5" w:rsidRDefault="00E01EA5" w:rsidP="00E01EA5">
            <w:pPr>
              <w:jc w:val="right"/>
              <w:rPr>
                <w:color w:val="000000"/>
                <w:sz w:val="20"/>
                <w:szCs w:val="20"/>
              </w:rPr>
            </w:pPr>
            <w:r>
              <w:rPr>
                <w:color w:val="000000"/>
                <w:sz w:val="20"/>
                <w:szCs w:val="20"/>
              </w:rPr>
              <w:t>0.000</w:t>
            </w:r>
          </w:p>
        </w:tc>
      </w:tr>
      <w:tr w:rsidR="00E01EA5" w14:paraId="0F891DE5" w14:textId="77777777" w:rsidTr="00A57DD9">
        <w:trPr>
          <w:trHeight w:val="320"/>
        </w:trPr>
        <w:tc>
          <w:tcPr>
            <w:tcW w:w="820" w:type="dxa"/>
            <w:tcBorders>
              <w:top w:val="nil"/>
              <w:left w:val="nil"/>
              <w:bottom w:val="nil"/>
              <w:right w:val="nil"/>
            </w:tcBorders>
            <w:shd w:val="clear" w:color="auto" w:fill="auto"/>
            <w:noWrap/>
            <w:vAlign w:val="bottom"/>
            <w:hideMark/>
          </w:tcPr>
          <w:p w14:paraId="165AF4B8" w14:textId="77777777" w:rsidR="00E01EA5" w:rsidRDefault="00E01EA5" w:rsidP="00E01EA5">
            <w:pPr>
              <w:rPr>
                <w:color w:val="000000"/>
                <w:sz w:val="20"/>
                <w:szCs w:val="20"/>
              </w:rPr>
            </w:pPr>
            <w:r>
              <w:rPr>
                <w:color w:val="000000"/>
                <w:sz w:val="20"/>
                <w:szCs w:val="20"/>
              </w:rPr>
              <w:t>SST</w:t>
            </w:r>
          </w:p>
        </w:tc>
        <w:tc>
          <w:tcPr>
            <w:tcW w:w="1027" w:type="dxa"/>
            <w:tcBorders>
              <w:top w:val="nil"/>
              <w:left w:val="nil"/>
              <w:bottom w:val="nil"/>
              <w:right w:val="nil"/>
            </w:tcBorders>
            <w:shd w:val="clear" w:color="auto" w:fill="auto"/>
            <w:noWrap/>
            <w:vAlign w:val="bottom"/>
            <w:hideMark/>
          </w:tcPr>
          <w:p w14:paraId="3A6B0345" w14:textId="77777777" w:rsidR="00E01EA5" w:rsidRDefault="00E01EA5" w:rsidP="00E01EA5">
            <w:pPr>
              <w:rPr>
                <w:color w:val="000000"/>
                <w:sz w:val="20"/>
                <w:szCs w:val="20"/>
              </w:rPr>
            </w:pPr>
            <w:r>
              <w:rPr>
                <w:color w:val="000000"/>
                <w:sz w:val="20"/>
                <w:szCs w:val="20"/>
              </w:rPr>
              <w:t>10%</w:t>
            </w:r>
          </w:p>
        </w:tc>
        <w:tc>
          <w:tcPr>
            <w:tcW w:w="893" w:type="dxa"/>
            <w:tcBorders>
              <w:top w:val="nil"/>
              <w:left w:val="nil"/>
              <w:bottom w:val="nil"/>
              <w:right w:val="nil"/>
            </w:tcBorders>
            <w:shd w:val="clear" w:color="auto" w:fill="auto"/>
            <w:noWrap/>
            <w:vAlign w:val="bottom"/>
            <w:hideMark/>
          </w:tcPr>
          <w:p w14:paraId="36695265" w14:textId="7E77BDE2" w:rsidR="00E01EA5" w:rsidRDefault="00E01EA5" w:rsidP="00E01EA5">
            <w:pPr>
              <w:jc w:val="right"/>
              <w:rPr>
                <w:color w:val="000000"/>
                <w:sz w:val="20"/>
                <w:szCs w:val="20"/>
              </w:rPr>
            </w:pPr>
            <w:r>
              <w:rPr>
                <w:color w:val="000000"/>
                <w:sz w:val="20"/>
                <w:szCs w:val="20"/>
              </w:rPr>
              <w:t>-0.003</w:t>
            </w:r>
          </w:p>
        </w:tc>
        <w:tc>
          <w:tcPr>
            <w:tcW w:w="784" w:type="dxa"/>
            <w:tcBorders>
              <w:top w:val="nil"/>
              <w:left w:val="nil"/>
              <w:bottom w:val="nil"/>
              <w:right w:val="nil"/>
            </w:tcBorders>
            <w:shd w:val="clear" w:color="auto" w:fill="auto"/>
            <w:noWrap/>
            <w:vAlign w:val="bottom"/>
            <w:hideMark/>
          </w:tcPr>
          <w:p w14:paraId="018ACEDA" w14:textId="2443BCCF" w:rsidR="00E01EA5" w:rsidRDefault="00E01EA5" w:rsidP="00E01EA5">
            <w:pPr>
              <w:jc w:val="right"/>
              <w:rPr>
                <w:color w:val="000000"/>
                <w:sz w:val="20"/>
                <w:szCs w:val="20"/>
              </w:rPr>
            </w:pPr>
            <w:r>
              <w:rPr>
                <w:color w:val="000000"/>
                <w:sz w:val="20"/>
                <w:szCs w:val="20"/>
              </w:rPr>
              <w:t>0.931</w:t>
            </w:r>
          </w:p>
        </w:tc>
        <w:tc>
          <w:tcPr>
            <w:tcW w:w="784" w:type="dxa"/>
            <w:tcBorders>
              <w:top w:val="nil"/>
              <w:left w:val="nil"/>
              <w:bottom w:val="nil"/>
              <w:right w:val="nil"/>
            </w:tcBorders>
            <w:shd w:val="clear" w:color="auto" w:fill="auto"/>
            <w:noWrap/>
            <w:vAlign w:val="bottom"/>
            <w:hideMark/>
          </w:tcPr>
          <w:p w14:paraId="452E32B9" w14:textId="3855BB5F"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185CBF86" w14:textId="03328F47" w:rsidR="00E01EA5" w:rsidRDefault="00E01EA5" w:rsidP="00E01EA5">
            <w:pPr>
              <w:jc w:val="right"/>
              <w:rPr>
                <w:color w:val="000000"/>
                <w:sz w:val="20"/>
                <w:szCs w:val="20"/>
              </w:rPr>
            </w:pPr>
            <w:r>
              <w:rPr>
                <w:color w:val="000000"/>
                <w:sz w:val="20"/>
                <w:szCs w:val="20"/>
              </w:rPr>
              <w:t>-0.033</w:t>
            </w:r>
          </w:p>
        </w:tc>
        <w:tc>
          <w:tcPr>
            <w:tcW w:w="784" w:type="dxa"/>
            <w:tcBorders>
              <w:top w:val="nil"/>
              <w:left w:val="nil"/>
              <w:bottom w:val="nil"/>
              <w:right w:val="nil"/>
            </w:tcBorders>
            <w:shd w:val="clear" w:color="auto" w:fill="auto"/>
            <w:noWrap/>
            <w:vAlign w:val="bottom"/>
            <w:hideMark/>
          </w:tcPr>
          <w:p w14:paraId="392C2E3A" w14:textId="71E91D6B" w:rsidR="00E01EA5" w:rsidRDefault="00E01EA5" w:rsidP="00E01EA5">
            <w:pPr>
              <w:jc w:val="right"/>
              <w:rPr>
                <w:color w:val="000000"/>
                <w:sz w:val="20"/>
                <w:szCs w:val="20"/>
              </w:rPr>
            </w:pPr>
            <w:r>
              <w:rPr>
                <w:color w:val="000000"/>
                <w:sz w:val="20"/>
                <w:szCs w:val="20"/>
              </w:rPr>
              <w:t>0.261</w:t>
            </w:r>
          </w:p>
        </w:tc>
        <w:tc>
          <w:tcPr>
            <w:tcW w:w="784" w:type="dxa"/>
            <w:tcBorders>
              <w:top w:val="nil"/>
              <w:left w:val="nil"/>
              <w:bottom w:val="nil"/>
              <w:right w:val="nil"/>
            </w:tcBorders>
            <w:shd w:val="clear" w:color="auto" w:fill="auto"/>
            <w:noWrap/>
            <w:vAlign w:val="bottom"/>
            <w:hideMark/>
          </w:tcPr>
          <w:p w14:paraId="6EF649E6" w14:textId="6EA55434"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797DECCB" w14:textId="1F03E68A" w:rsidR="00E01EA5" w:rsidRDefault="00E01EA5" w:rsidP="00E01EA5">
            <w:pPr>
              <w:jc w:val="right"/>
              <w:rPr>
                <w:b/>
                <w:bCs/>
                <w:color w:val="000000"/>
                <w:sz w:val="20"/>
                <w:szCs w:val="20"/>
              </w:rPr>
            </w:pPr>
            <w:r>
              <w:rPr>
                <w:b/>
                <w:bCs/>
                <w:color w:val="000000"/>
                <w:sz w:val="20"/>
                <w:szCs w:val="20"/>
              </w:rPr>
              <w:t>-0.095</w:t>
            </w:r>
          </w:p>
        </w:tc>
        <w:tc>
          <w:tcPr>
            <w:tcW w:w="784" w:type="dxa"/>
            <w:tcBorders>
              <w:top w:val="nil"/>
              <w:left w:val="nil"/>
              <w:bottom w:val="nil"/>
              <w:right w:val="nil"/>
            </w:tcBorders>
            <w:shd w:val="clear" w:color="auto" w:fill="auto"/>
            <w:noWrap/>
            <w:vAlign w:val="bottom"/>
            <w:hideMark/>
          </w:tcPr>
          <w:p w14:paraId="6EF22BD8" w14:textId="41DB0A93"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bottom w:val="nil"/>
              <w:right w:val="nil"/>
            </w:tcBorders>
            <w:shd w:val="clear" w:color="auto" w:fill="auto"/>
            <w:noWrap/>
            <w:vAlign w:val="bottom"/>
            <w:hideMark/>
          </w:tcPr>
          <w:p w14:paraId="5B88E04C" w14:textId="041A837F" w:rsidR="00E01EA5" w:rsidRDefault="00E01EA5" w:rsidP="00E01EA5">
            <w:pPr>
              <w:jc w:val="right"/>
              <w:rPr>
                <w:b/>
                <w:bCs/>
                <w:color w:val="000000"/>
                <w:sz w:val="20"/>
                <w:szCs w:val="20"/>
              </w:rPr>
            </w:pPr>
            <w:r>
              <w:rPr>
                <w:b/>
                <w:bCs/>
                <w:color w:val="000000"/>
                <w:sz w:val="20"/>
                <w:szCs w:val="20"/>
              </w:rPr>
              <w:t>0.009</w:t>
            </w:r>
          </w:p>
        </w:tc>
        <w:tc>
          <w:tcPr>
            <w:tcW w:w="893" w:type="dxa"/>
            <w:tcBorders>
              <w:top w:val="nil"/>
              <w:left w:val="nil"/>
              <w:bottom w:val="nil"/>
              <w:right w:val="nil"/>
            </w:tcBorders>
            <w:shd w:val="clear" w:color="auto" w:fill="auto"/>
            <w:noWrap/>
            <w:vAlign w:val="bottom"/>
            <w:hideMark/>
          </w:tcPr>
          <w:p w14:paraId="2D11B3EE" w14:textId="3137C244" w:rsidR="00E01EA5" w:rsidRDefault="00E01EA5" w:rsidP="00E01EA5">
            <w:pPr>
              <w:jc w:val="right"/>
              <w:rPr>
                <w:color w:val="000000"/>
                <w:sz w:val="20"/>
                <w:szCs w:val="20"/>
              </w:rPr>
            </w:pPr>
            <w:r>
              <w:rPr>
                <w:color w:val="000000"/>
                <w:sz w:val="20"/>
                <w:szCs w:val="20"/>
              </w:rPr>
              <w:t>0.046</w:t>
            </w:r>
          </w:p>
        </w:tc>
        <w:tc>
          <w:tcPr>
            <w:tcW w:w="784" w:type="dxa"/>
            <w:tcBorders>
              <w:top w:val="nil"/>
              <w:left w:val="nil"/>
              <w:bottom w:val="nil"/>
              <w:right w:val="nil"/>
            </w:tcBorders>
            <w:shd w:val="clear" w:color="auto" w:fill="auto"/>
            <w:noWrap/>
            <w:vAlign w:val="bottom"/>
            <w:hideMark/>
          </w:tcPr>
          <w:p w14:paraId="1B306FA7" w14:textId="66630F31" w:rsidR="00E01EA5" w:rsidRDefault="00E01EA5" w:rsidP="00E01EA5">
            <w:pPr>
              <w:jc w:val="right"/>
              <w:rPr>
                <w:color w:val="000000"/>
                <w:sz w:val="20"/>
                <w:szCs w:val="20"/>
              </w:rPr>
            </w:pPr>
            <w:r>
              <w:rPr>
                <w:color w:val="000000"/>
                <w:sz w:val="20"/>
                <w:szCs w:val="20"/>
              </w:rPr>
              <w:t>0.105</w:t>
            </w:r>
          </w:p>
        </w:tc>
        <w:tc>
          <w:tcPr>
            <w:tcW w:w="784" w:type="dxa"/>
            <w:tcBorders>
              <w:top w:val="nil"/>
              <w:left w:val="nil"/>
              <w:bottom w:val="nil"/>
              <w:right w:val="nil"/>
            </w:tcBorders>
            <w:shd w:val="clear" w:color="auto" w:fill="auto"/>
            <w:noWrap/>
            <w:vAlign w:val="bottom"/>
            <w:hideMark/>
          </w:tcPr>
          <w:p w14:paraId="2C382A5E" w14:textId="27C8F72F"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nil"/>
              <w:right w:val="nil"/>
            </w:tcBorders>
            <w:shd w:val="clear" w:color="auto" w:fill="auto"/>
            <w:noWrap/>
            <w:vAlign w:val="bottom"/>
            <w:hideMark/>
          </w:tcPr>
          <w:p w14:paraId="01BE23AE" w14:textId="4533A18D" w:rsidR="00E01EA5" w:rsidRDefault="00E01EA5" w:rsidP="00E01EA5">
            <w:pPr>
              <w:jc w:val="right"/>
              <w:rPr>
                <w:color w:val="000000"/>
                <w:sz w:val="20"/>
                <w:szCs w:val="20"/>
              </w:rPr>
            </w:pPr>
            <w:r>
              <w:rPr>
                <w:color w:val="000000"/>
                <w:sz w:val="20"/>
                <w:szCs w:val="20"/>
              </w:rPr>
              <w:t>-0.044</w:t>
            </w:r>
          </w:p>
        </w:tc>
        <w:tc>
          <w:tcPr>
            <w:tcW w:w="784" w:type="dxa"/>
            <w:tcBorders>
              <w:top w:val="nil"/>
              <w:left w:val="nil"/>
              <w:bottom w:val="nil"/>
              <w:right w:val="nil"/>
            </w:tcBorders>
            <w:shd w:val="clear" w:color="auto" w:fill="auto"/>
            <w:noWrap/>
            <w:vAlign w:val="bottom"/>
            <w:hideMark/>
          </w:tcPr>
          <w:p w14:paraId="766B8148" w14:textId="11720D9F" w:rsidR="00E01EA5" w:rsidRDefault="00E01EA5" w:rsidP="00E01EA5">
            <w:pPr>
              <w:jc w:val="right"/>
              <w:rPr>
                <w:color w:val="000000"/>
                <w:sz w:val="20"/>
                <w:szCs w:val="20"/>
              </w:rPr>
            </w:pPr>
            <w:r>
              <w:rPr>
                <w:color w:val="000000"/>
                <w:sz w:val="20"/>
                <w:szCs w:val="20"/>
              </w:rPr>
              <w:t>0.187</w:t>
            </w:r>
          </w:p>
        </w:tc>
        <w:tc>
          <w:tcPr>
            <w:tcW w:w="784" w:type="dxa"/>
            <w:tcBorders>
              <w:top w:val="nil"/>
              <w:left w:val="nil"/>
              <w:bottom w:val="nil"/>
              <w:right w:val="nil"/>
            </w:tcBorders>
            <w:shd w:val="clear" w:color="auto" w:fill="auto"/>
            <w:noWrap/>
            <w:vAlign w:val="bottom"/>
            <w:hideMark/>
          </w:tcPr>
          <w:p w14:paraId="154B9468" w14:textId="7CA414AA" w:rsidR="00E01EA5" w:rsidRDefault="00E01EA5" w:rsidP="00E01EA5">
            <w:pPr>
              <w:jc w:val="right"/>
              <w:rPr>
                <w:color w:val="000000"/>
                <w:sz w:val="20"/>
                <w:szCs w:val="20"/>
              </w:rPr>
            </w:pPr>
            <w:r>
              <w:rPr>
                <w:color w:val="000000"/>
                <w:sz w:val="20"/>
                <w:szCs w:val="20"/>
              </w:rPr>
              <w:t>0.002</w:t>
            </w:r>
          </w:p>
        </w:tc>
      </w:tr>
      <w:tr w:rsidR="00E01EA5" w14:paraId="2AAFB8D9" w14:textId="77777777" w:rsidTr="00A57DD9">
        <w:trPr>
          <w:trHeight w:val="320"/>
        </w:trPr>
        <w:tc>
          <w:tcPr>
            <w:tcW w:w="820" w:type="dxa"/>
            <w:tcBorders>
              <w:top w:val="nil"/>
              <w:left w:val="nil"/>
              <w:bottom w:val="nil"/>
              <w:right w:val="nil"/>
            </w:tcBorders>
            <w:shd w:val="clear" w:color="auto" w:fill="auto"/>
            <w:noWrap/>
            <w:vAlign w:val="bottom"/>
            <w:hideMark/>
          </w:tcPr>
          <w:p w14:paraId="1A4C91F1"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0687836D" w14:textId="77777777" w:rsidR="00E01EA5" w:rsidRDefault="00E01EA5" w:rsidP="00E01EA5">
            <w:pPr>
              <w:rPr>
                <w:color w:val="000000"/>
                <w:sz w:val="20"/>
                <w:szCs w:val="20"/>
              </w:rPr>
            </w:pPr>
            <w:r>
              <w:rPr>
                <w:color w:val="000000"/>
                <w:sz w:val="20"/>
                <w:szCs w:val="20"/>
              </w:rPr>
              <w:t>17%</w:t>
            </w:r>
          </w:p>
        </w:tc>
        <w:tc>
          <w:tcPr>
            <w:tcW w:w="893" w:type="dxa"/>
            <w:tcBorders>
              <w:top w:val="nil"/>
              <w:left w:val="nil"/>
              <w:bottom w:val="nil"/>
              <w:right w:val="nil"/>
            </w:tcBorders>
            <w:shd w:val="clear" w:color="auto" w:fill="auto"/>
            <w:noWrap/>
            <w:vAlign w:val="bottom"/>
            <w:hideMark/>
          </w:tcPr>
          <w:p w14:paraId="17C99AE8" w14:textId="19D8F6C5" w:rsidR="00E01EA5" w:rsidRDefault="00E01EA5" w:rsidP="00E01EA5">
            <w:pPr>
              <w:jc w:val="right"/>
              <w:rPr>
                <w:color w:val="000000"/>
                <w:sz w:val="20"/>
                <w:szCs w:val="20"/>
              </w:rPr>
            </w:pPr>
            <w:r>
              <w:rPr>
                <w:color w:val="000000"/>
                <w:sz w:val="20"/>
                <w:szCs w:val="20"/>
              </w:rPr>
              <w:t>-0.004</w:t>
            </w:r>
          </w:p>
        </w:tc>
        <w:tc>
          <w:tcPr>
            <w:tcW w:w="784" w:type="dxa"/>
            <w:tcBorders>
              <w:top w:val="nil"/>
              <w:left w:val="nil"/>
              <w:bottom w:val="nil"/>
              <w:right w:val="nil"/>
            </w:tcBorders>
            <w:shd w:val="clear" w:color="auto" w:fill="auto"/>
            <w:noWrap/>
            <w:vAlign w:val="bottom"/>
            <w:hideMark/>
          </w:tcPr>
          <w:p w14:paraId="2C487380" w14:textId="41CC676B" w:rsidR="00E01EA5" w:rsidRDefault="00E01EA5" w:rsidP="00E01EA5">
            <w:pPr>
              <w:jc w:val="right"/>
              <w:rPr>
                <w:color w:val="000000"/>
                <w:sz w:val="20"/>
                <w:szCs w:val="20"/>
              </w:rPr>
            </w:pPr>
            <w:r>
              <w:rPr>
                <w:color w:val="000000"/>
                <w:sz w:val="20"/>
                <w:szCs w:val="20"/>
              </w:rPr>
              <w:t>0.931</w:t>
            </w:r>
          </w:p>
        </w:tc>
        <w:tc>
          <w:tcPr>
            <w:tcW w:w="784" w:type="dxa"/>
            <w:tcBorders>
              <w:top w:val="nil"/>
              <w:left w:val="nil"/>
              <w:bottom w:val="nil"/>
              <w:right w:val="nil"/>
            </w:tcBorders>
            <w:shd w:val="clear" w:color="auto" w:fill="auto"/>
            <w:noWrap/>
            <w:vAlign w:val="bottom"/>
            <w:hideMark/>
          </w:tcPr>
          <w:p w14:paraId="7283B855" w14:textId="26AC0875"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424395FB" w14:textId="4CA19B0C" w:rsidR="00E01EA5" w:rsidRDefault="00E01EA5" w:rsidP="00E01EA5">
            <w:pPr>
              <w:jc w:val="right"/>
              <w:rPr>
                <w:color w:val="000000"/>
                <w:sz w:val="20"/>
                <w:szCs w:val="20"/>
              </w:rPr>
            </w:pPr>
            <w:r>
              <w:rPr>
                <w:color w:val="000000"/>
                <w:sz w:val="20"/>
                <w:szCs w:val="20"/>
              </w:rPr>
              <w:t>-0.037</w:t>
            </w:r>
          </w:p>
        </w:tc>
        <w:tc>
          <w:tcPr>
            <w:tcW w:w="784" w:type="dxa"/>
            <w:tcBorders>
              <w:top w:val="nil"/>
              <w:left w:val="nil"/>
              <w:bottom w:val="nil"/>
              <w:right w:val="nil"/>
            </w:tcBorders>
            <w:shd w:val="clear" w:color="auto" w:fill="auto"/>
            <w:noWrap/>
            <w:vAlign w:val="bottom"/>
            <w:hideMark/>
          </w:tcPr>
          <w:p w14:paraId="35DD96D3" w14:textId="3DD7BA9E" w:rsidR="00E01EA5" w:rsidRDefault="00E01EA5" w:rsidP="00E01EA5">
            <w:pPr>
              <w:jc w:val="right"/>
              <w:rPr>
                <w:color w:val="000000"/>
                <w:sz w:val="20"/>
                <w:szCs w:val="20"/>
              </w:rPr>
            </w:pPr>
            <w:r>
              <w:rPr>
                <w:color w:val="000000"/>
                <w:sz w:val="20"/>
                <w:szCs w:val="20"/>
              </w:rPr>
              <w:t>0.261</w:t>
            </w:r>
          </w:p>
        </w:tc>
        <w:tc>
          <w:tcPr>
            <w:tcW w:w="784" w:type="dxa"/>
            <w:tcBorders>
              <w:top w:val="nil"/>
              <w:left w:val="nil"/>
              <w:bottom w:val="nil"/>
              <w:right w:val="nil"/>
            </w:tcBorders>
            <w:shd w:val="clear" w:color="auto" w:fill="auto"/>
            <w:noWrap/>
            <w:vAlign w:val="bottom"/>
            <w:hideMark/>
          </w:tcPr>
          <w:p w14:paraId="10EFF1ED" w14:textId="7D87FA46"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6020B955" w14:textId="69EF7BD1" w:rsidR="00E01EA5" w:rsidRDefault="00E01EA5" w:rsidP="00E01EA5">
            <w:pPr>
              <w:jc w:val="right"/>
              <w:rPr>
                <w:b/>
                <w:bCs/>
                <w:color w:val="000000"/>
                <w:sz w:val="20"/>
                <w:szCs w:val="20"/>
              </w:rPr>
            </w:pPr>
            <w:r>
              <w:rPr>
                <w:b/>
                <w:bCs/>
                <w:color w:val="000000"/>
                <w:sz w:val="20"/>
                <w:szCs w:val="20"/>
              </w:rPr>
              <w:t>-0.090</w:t>
            </w:r>
          </w:p>
        </w:tc>
        <w:tc>
          <w:tcPr>
            <w:tcW w:w="784" w:type="dxa"/>
            <w:tcBorders>
              <w:top w:val="nil"/>
              <w:left w:val="nil"/>
              <w:bottom w:val="nil"/>
              <w:right w:val="nil"/>
            </w:tcBorders>
            <w:shd w:val="clear" w:color="auto" w:fill="auto"/>
            <w:noWrap/>
            <w:vAlign w:val="bottom"/>
            <w:hideMark/>
          </w:tcPr>
          <w:p w14:paraId="6272E079" w14:textId="4E8CFC64"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bottom w:val="nil"/>
              <w:right w:val="nil"/>
            </w:tcBorders>
            <w:shd w:val="clear" w:color="auto" w:fill="auto"/>
            <w:noWrap/>
            <w:vAlign w:val="bottom"/>
            <w:hideMark/>
          </w:tcPr>
          <w:p w14:paraId="6C1A5FB1" w14:textId="5F3E5FEF" w:rsidR="00E01EA5" w:rsidRDefault="00E01EA5" w:rsidP="00E01EA5">
            <w:pPr>
              <w:jc w:val="right"/>
              <w:rPr>
                <w:b/>
                <w:bCs/>
                <w:color w:val="000000"/>
                <w:sz w:val="20"/>
                <w:szCs w:val="20"/>
              </w:rPr>
            </w:pPr>
            <w:r>
              <w:rPr>
                <w:b/>
                <w:bCs/>
                <w:color w:val="000000"/>
                <w:sz w:val="20"/>
                <w:szCs w:val="20"/>
              </w:rPr>
              <w:t>0.008</w:t>
            </w:r>
          </w:p>
        </w:tc>
        <w:tc>
          <w:tcPr>
            <w:tcW w:w="893" w:type="dxa"/>
            <w:tcBorders>
              <w:top w:val="nil"/>
              <w:left w:val="nil"/>
              <w:bottom w:val="nil"/>
              <w:right w:val="nil"/>
            </w:tcBorders>
            <w:shd w:val="clear" w:color="auto" w:fill="auto"/>
            <w:noWrap/>
            <w:vAlign w:val="bottom"/>
            <w:hideMark/>
          </w:tcPr>
          <w:p w14:paraId="4AD5EC0E" w14:textId="6DA3DC77" w:rsidR="00E01EA5" w:rsidRDefault="00E01EA5" w:rsidP="00E01EA5">
            <w:pPr>
              <w:jc w:val="right"/>
              <w:rPr>
                <w:color w:val="000000"/>
                <w:sz w:val="20"/>
                <w:szCs w:val="20"/>
              </w:rPr>
            </w:pPr>
            <w:r>
              <w:rPr>
                <w:color w:val="000000"/>
                <w:sz w:val="20"/>
                <w:szCs w:val="20"/>
              </w:rPr>
              <w:t>0.043</w:t>
            </w:r>
          </w:p>
        </w:tc>
        <w:tc>
          <w:tcPr>
            <w:tcW w:w="784" w:type="dxa"/>
            <w:tcBorders>
              <w:top w:val="nil"/>
              <w:left w:val="nil"/>
              <w:bottom w:val="nil"/>
              <w:right w:val="nil"/>
            </w:tcBorders>
            <w:shd w:val="clear" w:color="auto" w:fill="auto"/>
            <w:noWrap/>
            <w:vAlign w:val="bottom"/>
            <w:hideMark/>
          </w:tcPr>
          <w:p w14:paraId="0BCDBE83" w14:textId="3AD79E86" w:rsidR="00E01EA5" w:rsidRDefault="00E01EA5" w:rsidP="00E01EA5">
            <w:pPr>
              <w:jc w:val="right"/>
              <w:rPr>
                <w:color w:val="000000"/>
                <w:sz w:val="20"/>
                <w:szCs w:val="20"/>
              </w:rPr>
            </w:pPr>
            <w:r>
              <w:rPr>
                <w:color w:val="000000"/>
                <w:sz w:val="20"/>
                <w:szCs w:val="20"/>
              </w:rPr>
              <w:t>0.105</w:t>
            </w:r>
          </w:p>
        </w:tc>
        <w:tc>
          <w:tcPr>
            <w:tcW w:w="784" w:type="dxa"/>
            <w:tcBorders>
              <w:top w:val="nil"/>
              <w:left w:val="nil"/>
              <w:bottom w:val="nil"/>
              <w:right w:val="nil"/>
            </w:tcBorders>
            <w:shd w:val="clear" w:color="auto" w:fill="auto"/>
            <w:noWrap/>
            <w:vAlign w:val="bottom"/>
            <w:hideMark/>
          </w:tcPr>
          <w:p w14:paraId="6F1270DE" w14:textId="1A938F93"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nil"/>
              <w:right w:val="nil"/>
            </w:tcBorders>
            <w:shd w:val="clear" w:color="auto" w:fill="auto"/>
            <w:noWrap/>
            <w:vAlign w:val="bottom"/>
            <w:hideMark/>
          </w:tcPr>
          <w:p w14:paraId="3180E737" w14:textId="1EF015BD" w:rsidR="00E01EA5" w:rsidRDefault="00E01EA5" w:rsidP="00E01EA5">
            <w:pPr>
              <w:jc w:val="right"/>
              <w:rPr>
                <w:color w:val="000000"/>
                <w:sz w:val="20"/>
                <w:szCs w:val="20"/>
              </w:rPr>
            </w:pPr>
            <w:r>
              <w:rPr>
                <w:color w:val="000000"/>
                <w:sz w:val="20"/>
                <w:szCs w:val="20"/>
              </w:rPr>
              <w:t>-0.041</w:t>
            </w:r>
          </w:p>
        </w:tc>
        <w:tc>
          <w:tcPr>
            <w:tcW w:w="784" w:type="dxa"/>
            <w:tcBorders>
              <w:top w:val="nil"/>
              <w:left w:val="nil"/>
              <w:bottom w:val="nil"/>
              <w:right w:val="nil"/>
            </w:tcBorders>
            <w:shd w:val="clear" w:color="auto" w:fill="auto"/>
            <w:noWrap/>
            <w:vAlign w:val="bottom"/>
            <w:hideMark/>
          </w:tcPr>
          <w:p w14:paraId="3932F87B" w14:textId="47851CDE" w:rsidR="00E01EA5" w:rsidRDefault="00E01EA5" w:rsidP="00E01EA5">
            <w:pPr>
              <w:jc w:val="right"/>
              <w:rPr>
                <w:color w:val="000000"/>
                <w:sz w:val="20"/>
                <w:szCs w:val="20"/>
              </w:rPr>
            </w:pPr>
            <w:r>
              <w:rPr>
                <w:color w:val="000000"/>
                <w:sz w:val="20"/>
                <w:szCs w:val="20"/>
              </w:rPr>
              <w:t>0.187</w:t>
            </w:r>
          </w:p>
        </w:tc>
        <w:tc>
          <w:tcPr>
            <w:tcW w:w="784" w:type="dxa"/>
            <w:tcBorders>
              <w:top w:val="nil"/>
              <w:left w:val="nil"/>
              <w:bottom w:val="nil"/>
              <w:right w:val="nil"/>
            </w:tcBorders>
            <w:shd w:val="clear" w:color="auto" w:fill="auto"/>
            <w:noWrap/>
            <w:vAlign w:val="bottom"/>
            <w:hideMark/>
          </w:tcPr>
          <w:p w14:paraId="737355CE" w14:textId="227286E1" w:rsidR="00E01EA5" w:rsidRDefault="00E01EA5" w:rsidP="00E01EA5">
            <w:pPr>
              <w:jc w:val="right"/>
              <w:rPr>
                <w:color w:val="000000"/>
                <w:sz w:val="20"/>
                <w:szCs w:val="20"/>
              </w:rPr>
            </w:pPr>
            <w:r>
              <w:rPr>
                <w:color w:val="000000"/>
                <w:sz w:val="20"/>
                <w:szCs w:val="20"/>
              </w:rPr>
              <w:t>0.002</w:t>
            </w:r>
          </w:p>
        </w:tc>
      </w:tr>
      <w:tr w:rsidR="00E01EA5" w14:paraId="77F00605" w14:textId="77777777" w:rsidTr="00DE6EE0">
        <w:trPr>
          <w:trHeight w:val="320"/>
        </w:trPr>
        <w:tc>
          <w:tcPr>
            <w:tcW w:w="820" w:type="dxa"/>
            <w:tcBorders>
              <w:top w:val="nil"/>
              <w:left w:val="nil"/>
              <w:right w:val="nil"/>
            </w:tcBorders>
            <w:shd w:val="clear" w:color="auto" w:fill="auto"/>
            <w:noWrap/>
            <w:vAlign w:val="bottom"/>
            <w:hideMark/>
          </w:tcPr>
          <w:p w14:paraId="32531DCC" w14:textId="77777777" w:rsidR="00E01EA5" w:rsidRDefault="00E01EA5" w:rsidP="00E01EA5">
            <w:pPr>
              <w:jc w:val="right"/>
              <w:rPr>
                <w:color w:val="000000"/>
                <w:sz w:val="20"/>
                <w:szCs w:val="20"/>
              </w:rPr>
            </w:pPr>
          </w:p>
        </w:tc>
        <w:tc>
          <w:tcPr>
            <w:tcW w:w="1027" w:type="dxa"/>
            <w:tcBorders>
              <w:top w:val="nil"/>
              <w:left w:val="nil"/>
              <w:right w:val="nil"/>
            </w:tcBorders>
            <w:shd w:val="clear" w:color="auto" w:fill="auto"/>
            <w:noWrap/>
            <w:vAlign w:val="bottom"/>
            <w:hideMark/>
          </w:tcPr>
          <w:p w14:paraId="39AAE118" w14:textId="77777777" w:rsidR="00E01EA5" w:rsidRDefault="00E01EA5" w:rsidP="00E01EA5">
            <w:pPr>
              <w:rPr>
                <w:color w:val="000000"/>
                <w:sz w:val="20"/>
                <w:szCs w:val="20"/>
              </w:rPr>
            </w:pPr>
            <w:r>
              <w:rPr>
                <w:color w:val="000000"/>
                <w:sz w:val="20"/>
                <w:szCs w:val="20"/>
              </w:rPr>
              <w:t>23%</w:t>
            </w:r>
          </w:p>
        </w:tc>
        <w:tc>
          <w:tcPr>
            <w:tcW w:w="893" w:type="dxa"/>
            <w:tcBorders>
              <w:top w:val="nil"/>
              <w:left w:val="nil"/>
              <w:right w:val="nil"/>
            </w:tcBorders>
            <w:shd w:val="clear" w:color="auto" w:fill="auto"/>
            <w:noWrap/>
            <w:vAlign w:val="bottom"/>
            <w:hideMark/>
          </w:tcPr>
          <w:p w14:paraId="6B8A2238" w14:textId="7602B2BB" w:rsidR="00E01EA5" w:rsidRDefault="00E01EA5" w:rsidP="00E01EA5">
            <w:pPr>
              <w:jc w:val="right"/>
              <w:rPr>
                <w:color w:val="000000"/>
                <w:sz w:val="20"/>
                <w:szCs w:val="20"/>
              </w:rPr>
            </w:pPr>
            <w:r>
              <w:rPr>
                <w:color w:val="000000"/>
                <w:sz w:val="20"/>
                <w:szCs w:val="20"/>
              </w:rPr>
              <w:t>-0.004</w:t>
            </w:r>
          </w:p>
        </w:tc>
        <w:tc>
          <w:tcPr>
            <w:tcW w:w="784" w:type="dxa"/>
            <w:tcBorders>
              <w:top w:val="nil"/>
              <w:left w:val="nil"/>
              <w:right w:val="nil"/>
            </w:tcBorders>
            <w:shd w:val="clear" w:color="auto" w:fill="auto"/>
            <w:noWrap/>
            <w:vAlign w:val="bottom"/>
            <w:hideMark/>
          </w:tcPr>
          <w:p w14:paraId="2D4FA9A4" w14:textId="00A7A005" w:rsidR="00E01EA5" w:rsidRDefault="00E01EA5" w:rsidP="00E01EA5">
            <w:pPr>
              <w:jc w:val="right"/>
              <w:rPr>
                <w:color w:val="000000"/>
                <w:sz w:val="20"/>
                <w:szCs w:val="20"/>
              </w:rPr>
            </w:pPr>
            <w:r>
              <w:rPr>
                <w:color w:val="000000"/>
                <w:sz w:val="20"/>
                <w:szCs w:val="20"/>
              </w:rPr>
              <w:t>0.931</w:t>
            </w:r>
          </w:p>
        </w:tc>
        <w:tc>
          <w:tcPr>
            <w:tcW w:w="784" w:type="dxa"/>
            <w:tcBorders>
              <w:top w:val="nil"/>
              <w:left w:val="nil"/>
              <w:right w:val="nil"/>
            </w:tcBorders>
            <w:shd w:val="clear" w:color="auto" w:fill="auto"/>
            <w:noWrap/>
            <w:vAlign w:val="bottom"/>
            <w:hideMark/>
          </w:tcPr>
          <w:p w14:paraId="642BD69C" w14:textId="14F9FCB4" w:rsidR="00E01EA5" w:rsidRDefault="00E01EA5" w:rsidP="00E01EA5">
            <w:pPr>
              <w:jc w:val="right"/>
              <w:rPr>
                <w:color w:val="000000"/>
                <w:sz w:val="20"/>
                <w:szCs w:val="20"/>
              </w:rPr>
            </w:pPr>
            <w:r>
              <w:rPr>
                <w:color w:val="000000"/>
                <w:sz w:val="20"/>
                <w:szCs w:val="20"/>
              </w:rPr>
              <w:t>0.000</w:t>
            </w:r>
          </w:p>
        </w:tc>
        <w:tc>
          <w:tcPr>
            <w:tcW w:w="893" w:type="dxa"/>
            <w:tcBorders>
              <w:top w:val="nil"/>
              <w:left w:val="nil"/>
              <w:right w:val="nil"/>
            </w:tcBorders>
            <w:shd w:val="clear" w:color="auto" w:fill="auto"/>
            <w:noWrap/>
            <w:vAlign w:val="bottom"/>
            <w:hideMark/>
          </w:tcPr>
          <w:p w14:paraId="00D51D4E" w14:textId="696697D1" w:rsidR="00E01EA5" w:rsidRDefault="00E01EA5" w:rsidP="00E01EA5">
            <w:pPr>
              <w:jc w:val="right"/>
              <w:rPr>
                <w:color w:val="000000"/>
                <w:sz w:val="20"/>
                <w:szCs w:val="20"/>
              </w:rPr>
            </w:pPr>
            <w:r>
              <w:rPr>
                <w:color w:val="000000"/>
                <w:sz w:val="20"/>
                <w:szCs w:val="20"/>
              </w:rPr>
              <w:t>-0.039</w:t>
            </w:r>
          </w:p>
        </w:tc>
        <w:tc>
          <w:tcPr>
            <w:tcW w:w="784" w:type="dxa"/>
            <w:tcBorders>
              <w:top w:val="nil"/>
              <w:left w:val="nil"/>
              <w:right w:val="nil"/>
            </w:tcBorders>
            <w:shd w:val="clear" w:color="auto" w:fill="auto"/>
            <w:noWrap/>
            <w:vAlign w:val="bottom"/>
            <w:hideMark/>
          </w:tcPr>
          <w:p w14:paraId="0AD1EBC4" w14:textId="32544B38" w:rsidR="00E01EA5" w:rsidRDefault="00E01EA5" w:rsidP="00E01EA5">
            <w:pPr>
              <w:jc w:val="right"/>
              <w:rPr>
                <w:color w:val="000000"/>
                <w:sz w:val="20"/>
                <w:szCs w:val="20"/>
              </w:rPr>
            </w:pPr>
            <w:r>
              <w:rPr>
                <w:color w:val="000000"/>
                <w:sz w:val="20"/>
                <w:szCs w:val="20"/>
              </w:rPr>
              <w:t>0.261</w:t>
            </w:r>
          </w:p>
        </w:tc>
        <w:tc>
          <w:tcPr>
            <w:tcW w:w="784" w:type="dxa"/>
            <w:tcBorders>
              <w:top w:val="nil"/>
              <w:left w:val="nil"/>
              <w:right w:val="nil"/>
            </w:tcBorders>
            <w:shd w:val="clear" w:color="auto" w:fill="auto"/>
            <w:noWrap/>
            <w:vAlign w:val="bottom"/>
            <w:hideMark/>
          </w:tcPr>
          <w:p w14:paraId="324E7B0C" w14:textId="4B991C40" w:rsidR="00E01EA5" w:rsidRDefault="00E01EA5" w:rsidP="00E01EA5">
            <w:pPr>
              <w:jc w:val="right"/>
              <w:rPr>
                <w:color w:val="000000"/>
                <w:sz w:val="20"/>
                <w:szCs w:val="20"/>
              </w:rPr>
            </w:pPr>
            <w:r>
              <w:rPr>
                <w:color w:val="000000"/>
                <w:sz w:val="20"/>
                <w:szCs w:val="20"/>
              </w:rPr>
              <w:t>0.002</w:t>
            </w:r>
          </w:p>
        </w:tc>
        <w:tc>
          <w:tcPr>
            <w:tcW w:w="893" w:type="dxa"/>
            <w:tcBorders>
              <w:top w:val="nil"/>
              <w:left w:val="nil"/>
              <w:right w:val="nil"/>
            </w:tcBorders>
            <w:shd w:val="clear" w:color="auto" w:fill="auto"/>
            <w:noWrap/>
            <w:vAlign w:val="bottom"/>
            <w:hideMark/>
          </w:tcPr>
          <w:p w14:paraId="07D34D39" w14:textId="0E08E23D" w:rsidR="00E01EA5" w:rsidRDefault="00E01EA5" w:rsidP="00E01EA5">
            <w:pPr>
              <w:jc w:val="right"/>
              <w:rPr>
                <w:b/>
                <w:bCs/>
                <w:color w:val="000000"/>
                <w:sz w:val="20"/>
                <w:szCs w:val="20"/>
              </w:rPr>
            </w:pPr>
            <w:r>
              <w:rPr>
                <w:b/>
                <w:bCs/>
                <w:color w:val="000000"/>
                <w:sz w:val="20"/>
                <w:szCs w:val="20"/>
              </w:rPr>
              <w:t>-0.087</w:t>
            </w:r>
          </w:p>
        </w:tc>
        <w:tc>
          <w:tcPr>
            <w:tcW w:w="784" w:type="dxa"/>
            <w:tcBorders>
              <w:top w:val="nil"/>
              <w:left w:val="nil"/>
              <w:right w:val="nil"/>
            </w:tcBorders>
            <w:shd w:val="clear" w:color="auto" w:fill="auto"/>
            <w:noWrap/>
            <w:vAlign w:val="bottom"/>
            <w:hideMark/>
          </w:tcPr>
          <w:p w14:paraId="504634F9" w14:textId="654CE3CB"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right w:val="nil"/>
            </w:tcBorders>
            <w:shd w:val="clear" w:color="auto" w:fill="auto"/>
            <w:noWrap/>
            <w:vAlign w:val="bottom"/>
            <w:hideMark/>
          </w:tcPr>
          <w:p w14:paraId="306B0B90" w14:textId="14026AA5" w:rsidR="00E01EA5" w:rsidRDefault="00E01EA5" w:rsidP="00E01EA5">
            <w:pPr>
              <w:jc w:val="right"/>
              <w:rPr>
                <w:b/>
                <w:bCs/>
                <w:color w:val="000000"/>
                <w:sz w:val="20"/>
                <w:szCs w:val="20"/>
              </w:rPr>
            </w:pPr>
            <w:r>
              <w:rPr>
                <w:b/>
                <w:bCs/>
                <w:color w:val="000000"/>
                <w:sz w:val="20"/>
                <w:szCs w:val="20"/>
              </w:rPr>
              <w:t>0.008</w:t>
            </w:r>
          </w:p>
        </w:tc>
        <w:tc>
          <w:tcPr>
            <w:tcW w:w="893" w:type="dxa"/>
            <w:tcBorders>
              <w:top w:val="nil"/>
              <w:left w:val="nil"/>
              <w:right w:val="nil"/>
            </w:tcBorders>
            <w:shd w:val="clear" w:color="auto" w:fill="auto"/>
            <w:noWrap/>
            <w:vAlign w:val="bottom"/>
            <w:hideMark/>
          </w:tcPr>
          <w:p w14:paraId="15A7600B" w14:textId="1B0D61E8" w:rsidR="00E01EA5" w:rsidRDefault="00E01EA5" w:rsidP="00E01EA5">
            <w:pPr>
              <w:jc w:val="right"/>
              <w:rPr>
                <w:color w:val="000000"/>
                <w:sz w:val="20"/>
                <w:szCs w:val="20"/>
              </w:rPr>
            </w:pPr>
            <w:r>
              <w:rPr>
                <w:color w:val="000000"/>
                <w:sz w:val="20"/>
                <w:szCs w:val="20"/>
              </w:rPr>
              <w:t>0.043</w:t>
            </w:r>
          </w:p>
        </w:tc>
        <w:tc>
          <w:tcPr>
            <w:tcW w:w="784" w:type="dxa"/>
            <w:tcBorders>
              <w:top w:val="nil"/>
              <w:left w:val="nil"/>
              <w:right w:val="nil"/>
            </w:tcBorders>
            <w:shd w:val="clear" w:color="auto" w:fill="auto"/>
            <w:noWrap/>
            <w:vAlign w:val="bottom"/>
            <w:hideMark/>
          </w:tcPr>
          <w:p w14:paraId="511C3979" w14:textId="0607B2F1" w:rsidR="00E01EA5" w:rsidRDefault="00E01EA5" w:rsidP="00E01EA5">
            <w:pPr>
              <w:jc w:val="right"/>
              <w:rPr>
                <w:color w:val="000000"/>
                <w:sz w:val="20"/>
                <w:szCs w:val="20"/>
              </w:rPr>
            </w:pPr>
            <w:r>
              <w:rPr>
                <w:color w:val="000000"/>
                <w:sz w:val="20"/>
                <w:szCs w:val="20"/>
              </w:rPr>
              <w:t>0.105</w:t>
            </w:r>
          </w:p>
        </w:tc>
        <w:tc>
          <w:tcPr>
            <w:tcW w:w="784" w:type="dxa"/>
            <w:tcBorders>
              <w:top w:val="nil"/>
              <w:left w:val="nil"/>
              <w:right w:val="nil"/>
            </w:tcBorders>
            <w:shd w:val="clear" w:color="auto" w:fill="auto"/>
            <w:noWrap/>
            <w:vAlign w:val="bottom"/>
            <w:hideMark/>
          </w:tcPr>
          <w:p w14:paraId="42D5A8A1" w14:textId="756C7462" w:rsidR="00E01EA5" w:rsidRDefault="00E01EA5" w:rsidP="00E01EA5">
            <w:pPr>
              <w:jc w:val="right"/>
              <w:rPr>
                <w:color w:val="000000"/>
                <w:sz w:val="20"/>
                <w:szCs w:val="20"/>
              </w:rPr>
            </w:pPr>
            <w:r>
              <w:rPr>
                <w:color w:val="000000"/>
                <w:sz w:val="20"/>
                <w:szCs w:val="20"/>
              </w:rPr>
              <w:t>0.002</w:t>
            </w:r>
          </w:p>
        </w:tc>
        <w:tc>
          <w:tcPr>
            <w:tcW w:w="893" w:type="dxa"/>
            <w:tcBorders>
              <w:top w:val="nil"/>
              <w:left w:val="nil"/>
              <w:right w:val="nil"/>
            </w:tcBorders>
            <w:shd w:val="clear" w:color="auto" w:fill="auto"/>
            <w:noWrap/>
            <w:vAlign w:val="bottom"/>
            <w:hideMark/>
          </w:tcPr>
          <w:p w14:paraId="19B301E1" w14:textId="5C5C017C" w:rsidR="00E01EA5" w:rsidRDefault="00E01EA5" w:rsidP="00E01EA5">
            <w:pPr>
              <w:jc w:val="right"/>
              <w:rPr>
                <w:color w:val="000000"/>
                <w:sz w:val="20"/>
                <w:szCs w:val="20"/>
              </w:rPr>
            </w:pPr>
            <w:r>
              <w:rPr>
                <w:color w:val="000000"/>
                <w:sz w:val="20"/>
                <w:szCs w:val="20"/>
              </w:rPr>
              <w:t>-0.044</w:t>
            </w:r>
          </w:p>
        </w:tc>
        <w:tc>
          <w:tcPr>
            <w:tcW w:w="784" w:type="dxa"/>
            <w:tcBorders>
              <w:top w:val="nil"/>
              <w:left w:val="nil"/>
              <w:right w:val="nil"/>
            </w:tcBorders>
            <w:shd w:val="clear" w:color="auto" w:fill="auto"/>
            <w:noWrap/>
            <w:vAlign w:val="bottom"/>
            <w:hideMark/>
          </w:tcPr>
          <w:p w14:paraId="035BE2F8" w14:textId="4FC236D1" w:rsidR="00E01EA5" w:rsidRDefault="00E01EA5" w:rsidP="00E01EA5">
            <w:pPr>
              <w:jc w:val="right"/>
              <w:rPr>
                <w:color w:val="000000"/>
                <w:sz w:val="20"/>
                <w:szCs w:val="20"/>
              </w:rPr>
            </w:pPr>
            <w:r>
              <w:rPr>
                <w:color w:val="000000"/>
                <w:sz w:val="20"/>
                <w:szCs w:val="20"/>
              </w:rPr>
              <w:t>0.187</w:t>
            </w:r>
          </w:p>
        </w:tc>
        <w:tc>
          <w:tcPr>
            <w:tcW w:w="784" w:type="dxa"/>
            <w:tcBorders>
              <w:top w:val="nil"/>
              <w:left w:val="nil"/>
              <w:right w:val="nil"/>
            </w:tcBorders>
            <w:shd w:val="clear" w:color="auto" w:fill="auto"/>
            <w:noWrap/>
            <w:vAlign w:val="bottom"/>
            <w:hideMark/>
          </w:tcPr>
          <w:p w14:paraId="771EE97B" w14:textId="56287C66" w:rsidR="00E01EA5" w:rsidRDefault="00E01EA5" w:rsidP="00E01EA5">
            <w:pPr>
              <w:jc w:val="right"/>
              <w:rPr>
                <w:color w:val="000000"/>
                <w:sz w:val="20"/>
                <w:szCs w:val="20"/>
              </w:rPr>
            </w:pPr>
            <w:r>
              <w:rPr>
                <w:color w:val="000000"/>
                <w:sz w:val="20"/>
                <w:szCs w:val="20"/>
              </w:rPr>
              <w:t>0.002</w:t>
            </w:r>
          </w:p>
        </w:tc>
      </w:tr>
      <w:tr w:rsidR="00E01EA5" w14:paraId="0926D42F" w14:textId="77777777" w:rsidTr="00DE6EE0">
        <w:trPr>
          <w:trHeight w:val="340"/>
        </w:trPr>
        <w:tc>
          <w:tcPr>
            <w:tcW w:w="820" w:type="dxa"/>
            <w:tcBorders>
              <w:top w:val="nil"/>
              <w:left w:val="nil"/>
              <w:bottom w:val="single" w:sz="12" w:space="0" w:color="auto"/>
              <w:right w:val="nil"/>
            </w:tcBorders>
            <w:shd w:val="clear" w:color="auto" w:fill="auto"/>
            <w:noWrap/>
            <w:vAlign w:val="bottom"/>
            <w:hideMark/>
          </w:tcPr>
          <w:p w14:paraId="4E23F536" w14:textId="77777777" w:rsidR="00E01EA5" w:rsidRDefault="00E01EA5" w:rsidP="00E01EA5">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5482FB26" w14:textId="77777777" w:rsidR="00E01EA5" w:rsidRDefault="00E01EA5" w:rsidP="00E01EA5">
            <w:pPr>
              <w:rPr>
                <w:color w:val="000000"/>
                <w:sz w:val="20"/>
                <w:szCs w:val="20"/>
              </w:rPr>
            </w:pPr>
            <w:r>
              <w:rPr>
                <w:color w:val="000000"/>
                <w:sz w:val="20"/>
                <w:szCs w:val="20"/>
              </w:rPr>
              <w:t>30%</w:t>
            </w:r>
          </w:p>
        </w:tc>
        <w:tc>
          <w:tcPr>
            <w:tcW w:w="893" w:type="dxa"/>
            <w:tcBorders>
              <w:top w:val="nil"/>
              <w:left w:val="nil"/>
              <w:bottom w:val="single" w:sz="12" w:space="0" w:color="auto"/>
              <w:right w:val="nil"/>
            </w:tcBorders>
            <w:shd w:val="clear" w:color="auto" w:fill="auto"/>
            <w:noWrap/>
            <w:vAlign w:val="bottom"/>
            <w:hideMark/>
          </w:tcPr>
          <w:p w14:paraId="3FE9B52D" w14:textId="2DC90460" w:rsidR="00E01EA5" w:rsidRDefault="00E01EA5" w:rsidP="00E01EA5">
            <w:pPr>
              <w:jc w:val="right"/>
              <w:rPr>
                <w:color w:val="000000"/>
                <w:sz w:val="20"/>
                <w:szCs w:val="20"/>
              </w:rPr>
            </w:pPr>
            <w:r>
              <w:rPr>
                <w:color w:val="000000"/>
                <w:sz w:val="20"/>
                <w:szCs w:val="20"/>
              </w:rPr>
              <w:t>-0.004</w:t>
            </w:r>
          </w:p>
        </w:tc>
        <w:tc>
          <w:tcPr>
            <w:tcW w:w="784" w:type="dxa"/>
            <w:tcBorders>
              <w:top w:val="nil"/>
              <w:left w:val="nil"/>
              <w:bottom w:val="single" w:sz="12" w:space="0" w:color="auto"/>
              <w:right w:val="nil"/>
            </w:tcBorders>
            <w:shd w:val="clear" w:color="auto" w:fill="auto"/>
            <w:noWrap/>
            <w:vAlign w:val="bottom"/>
            <w:hideMark/>
          </w:tcPr>
          <w:p w14:paraId="03D8470F" w14:textId="53252C07" w:rsidR="00E01EA5" w:rsidRDefault="00E01EA5" w:rsidP="00E01EA5">
            <w:pPr>
              <w:jc w:val="right"/>
              <w:rPr>
                <w:color w:val="000000"/>
                <w:sz w:val="20"/>
                <w:szCs w:val="20"/>
              </w:rPr>
            </w:pPr>
            <w:r>
              <w:rPr>
                <w:color w:val="000000"/>
                <w:sz w:val="20"/>
                <w:szCs w:val="20"/>
              </w:rPr>
              <w:t>0.931</w:t>
            </w:r>
          </w:p>
        </w:tc>
        <w:tc>
          <w:tcPr>
            <w:tcW w:w="784" w:type="dxa"/>
            <w:tcBorders>
              <w:top w:val="nil"/>
              <w:left w:val="nil"/>
              <w:bottom w:val="single" w:sz="12" w:space="0" w:color="auto"/>
              <w:right w:val="nil"/>
            </w:tcBorders>
            <w:shd w:val="clear" w:color="auto" w:fill="auto"/>
            <w:noWrap/>
            <w:vAlign w:val="bottom"/>
            <w:hideMark/>
          </w:tcPr>
          <w:p w14:paraId="1B2AB769" w14:textId="0BD54857"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12" w:space="0" w:color="auto"/>
              <w:right w:val="nil"/>
            </w:tcBorders>
            <w:shd w:val="clear" w:color="auto" w:fill="auto"/>
            <w:noWrap/>
            <w:vAlign w:val="bottom"/>
            <w:hideMark/>
          </w:tcPr>
          <w:p w14:paraId="50CAEA05" w14:textId="3D269309" w:rsidR="00E01EA5" w:rsidRDefault="00E01EA5" w:rsidP="00E01EA5">
            <w:pPr>
              <w:jc w:val="right"/>
              <w:rPr>
                <w:color w:val="000000"/>
                <w:sz w:val="20"/>
                <w:szCs w:val="20"/>
              </w:rPr>
            </w:pPr>
            <w:r>
              <w:rPr>
                <w:color w:val="000000"/>
                <w:sz w:val="20"/>
                <w:szCs w:val="20"/>
              </w:rPr>
              <w:t>-0.039</w:t>
            </w:r>
          </w:p>
        </w:tc>
        <w:tc>
          <w:tcPr>
            <w:tcW w:w="784" w:type="dxa"/>
            <w:tcBorders>
              <w:top w:val="nil"/>
              <w:left w:val="nil"/>
              <w:bottom w:val="single" w:sz="12" w:space="0" w:color="auto"/>
              <w:right w:val="nil"/>
            </w:tcBorders>
            <w:shd w:val="clear" w:color="auto" w:fill="auto"/>
            <w:noWrap/>
            <w:vAlign w:val="bottom"/>
            <w:hideMark/>
          </w:tcPr>
          <w:p w14:paraId="1380A879" w14:textId="350F1C2F" w:rsidR="00E01EA5" w:rsidRDefault="00E01EA5" w:rsidP="00E01EA5">
            <w:pPr>
              <w:jc w:val="right"/>
              <w:rPr>
                <w:color w:val="000000"/>
                <w:sz w:val="20"/>
                <w:szCs w:val="20"/>
              </w:rPr>
            </w:pPr>
            <w:r>
              <w:rPr>
                <w:color w:val="000000"/>
                <w:sz w:val="20"/>
                <w:szCs w:val="20"/>
              </w:rPr>
              <w:t>0.261</w:t>
            </w:r>
          </w:p>
        </w:tc>
        <w:tc>
          <w:tcPr>
            <w:tcW w:w="784" w:type="dxa"/>
            <w:tcBorders>
              <w:top w:val="nil"/>
              <w:left w:val="nil"/>
              <w:bottom w:val="single" w:sz="12" w:space="0" w:color="auto"/>
              <w:right w:val="nil"/>
            </w:tcBorders>
            <w:shd w:val="clear" w:color="auto" w:fill="auto"/>
            <w:noWrap/>
            <w:vAlign w:val="bottom"/>
            <w:hideMark/>
          </w:tcPr>
          <w:p w14:paraId="49CBD797" w14:textId="157DC437"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single" w:sz="12" w:space="0" w:color="auto"/>
              <w:right w:val="nil"/>
            </w:tcBorders>
            <w:shd w:val="clear" w:color="auto" w:fill="auto"/>
            <w:noWrap/>
            <w:vAlign w:val="bottom"/>
            <w:hideMark/>
          </w:tcPr>
          <w:p w14:paraId="2C1A8716" w14:textId="03B36284" w:rsidR="00E01EA5" w:rsidRDefault="00E01EA5" w:rsidP="00E01EA5">
            <w:pPr>
              <w:jc w:val="right"/>
              <w:rPr>
                <w:b/>
                <w:bCs/>
                <w:color w:val="000000"/>
                <w:sz w:val="20"/>
                <w:szCs w:val="20"/>
              </w:rPr>
            </w:pPr>
            <w:r>
              <w:rPr>
                <w:b/>
                <w:bCs/>
                <w:color w:val="000000"/>
                <w:sz w:val="20"/>
                <w:szCs w:val="20"/>
              </w:rPr>
              <w:t>-0.083</w:t>
            </w:r>
          </w:p>
        </w:tc>
        <w:tc>
          <w:tcPr>
            <w:tcW w:w="784" w:type="dxa"/>
            <w:tcBorders>
              <w:top w:val="nil"/>
              <w:left w:val="nil"/>
              <w:bottom w:val="single" w:sz="12" w:space="0" w:color="auto"/>
              <w:right w:val="nil"/>
            </w:tcBorders>
            <w:shd w:val="clear" w:color="auto" w:fill="auto"/>
            <w:noWrap/>
            <w:vAlign w:val="bottom"/>
            <w:hideMark/>
          </w:tcPr>
          <w:p w14:paraId="10BD188F" w14:textId="3C2A5C79"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bottom w:val="single" w:sz="12" w:space="0" w:color="auto"/>
              <w:right w:val="nil"/>
            </w:tcBorders>
            <w:shd w:val="clear" w:color="auto" w:fill="auto"/>
            <w:noWrap/>
            <w:vAlign w:val="bottom"/>
            <w:hideMark/>
          </w:tcPr>
          <w:p w14:paraId="4163D6F4" w14:textId="32E3110E" w:rsidR="00E01EA5" w:rsidRDefault="00E01EA5" w:rsidP="00E01EA5">
            <w:pPr>
              <w:jc w:val="right"/>
              <w:rPr>
                <w:b/>
                <w:bCs/>
                <w:color w:val="000000"/>
                <w:sz w:val="20"/>
                <w:szCs w:val="20"/>
              </w:rPr>
            </w:pPr>
            <w:r>
              <w:rPr>
                <w:b/>
                <w:bCs/>
                <w:color w:val="000000"/>
                <w:sz w:val="20"/>
                <w:szCs w:val="20"/>
              </w:rPr>
              <w:t>0.007</w:t>
            </w:r>
          </w:p>
        </w:tc>
        <w:tc>
          <w:tcPr>
            <w:tcW w:w="893" w:type="dxa"/>
            <w:tcBorders>
              <w:top w:val="nil"/>
              <w:left w:val="nil"/>
              <w:bottom w:val="single" w:sz="12" w:space="0" w:color="auto"/>
              <w:right w:val="nil"/>
            </w:tcBorders>
            <w:shd w:val="clear" w:color="auto" w:fill="auto"/>
            <w:noWrap/>
            <w:vAlign w:val="bottom"/>
            <w:hideMark/>
          </w:tcPr>
          <w:p w14:paraId="2E3A208A" w14:textId="6B3D9CD9" w:rsidR="00E01EA5" w:rsidRDefault="00E01EA5" w:rsidP="00E01EA5">
            <w:pPr>
              <w:jc w:val="right"/>
              <w:rPr>
                <w:color w:val="000000"/>
                <w:sz w:val="20"/>
                <w:szCs w:val="20"/>
              </w:rPr>
            </w:pPr>
            <w:r>
              <w:rPr>
                <w:color w:val="000000"/>
                <w:sz w:val="20"/>
                <w:szCs w:val="20"/>
              </w:rPr>
              <w:t>0.043</w:t>
            </w:r>
          </w:p>
        </w:tc>
        <w:tc>
          <w:tcPr>
            <w:tcW w:w="784" w:type="dxa"/>
            <w:tcBorders>
              <w:top w:val="nil"/>
              <w:left w:val="nil"/>
              <w:bottom w:val="single" w:sz="12" w:space="0" w:color="auto"/>
              <w:right w:val="nil"/>
            </w:tcBorders>
            <w:shd w:val="clear" w:color="auto" w:fill="auto"/>
            <w:noWrap/>
            <w:vAlign w:val="bottom"/>
            <w:hideMark/>
          </w:tcPr>
          <w:p w14:paraId="06FF1611" w14:textId="4FA49ACE" w:rsidR="00E01EA5" w:rsidRDefault="00E01EA5" w:rsidP="00E01EA5">
            <w:pPr>
              <w:jc w:val="right"/>
              <w:rPr>
                <w:color w:val="000000"/>
                <w:sz w:val="20"/>
                <w:szCs w:val="20"/>
              </w:rPr>
            </w:pPr>
            <w:r>
              <w:rPr>
                <w:color w:val="000000"/>
                <w:sz w:val="20"/>
                <w:szCs w:val="20"/>
              </w:rPr>
              <w:t>0.105</w:t>
            </w:r>
          </w:p>
        </w:tc>
        <w:tc>
          <w:tcPr>
            <w:tcW w:w="784" w:type="dxa"/>
            <w:tcBorders>
              <w:top w:val="nil"/>
              <w:left w:val="nil"/>
              <w:bottom w:val="single" w:sz="12" w:space="0" w:color="auto"/>
              <w:right w:val="nil"/>
            </w:tcBorders>
            <w:shd w:val="clear" w:color="auto" w:fill="auto"/>
            <w:noWrap/>
            <w:vAlign w:val="bottom"/>
            <w:hideMark/>
          </w:tcPr>
          <w:p w14:paraId="02FE4C0B" w14:textId="6EC5784C"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single" w:sz="12" w:space="0" w:color="auto"/>
              <w:right w:val="nil"/>
            </w:tcBorders>
            <w:shd w:val="clear" w:color="auto" w:fill="auto"/>
            <w:noWrap/>
            <w:vAlign w:val="bottom"/>
            <w:hideMark/>
          </w:tcPr>
          <w:p w14:paraId="70B7E882" w14:textId="59F607FC" w:rsidR="00E01EA5" w:rsidRDefault="00E01EA5" w:rsidP="00E01EA5">
            <w:pPr>
              <w:jc w:val="right"/>
              <w:rPr>
                <w:color w:val="000000"/>
                <w:sz w:val="20"/>
                <w:szCs w:val="20"/>
              </w:rPr>
            </w:pPr>
            <w:r>
              <w:rPr>
                <w:color w:val="000000"/>
                <w:sz w:val="20"/>
                <w:szCs w:val="20"/>
              </w:rPr>
              <w:t>-0.045</w:t>
            </w:r>
          </w:p>
        </w:tc>
        <w:tc>
          <w:tcPr>
            <w:tcW w:w="784" w:type="dxa"/>
            <w:tcBorders>
              <w:top w:val="nil"/>
              <w:left w:val="nil"/>
              <w:bottom w:val="single" w:sz="12" w:space="0" w:color="auto"/>
              <w:right w:val="nil"/>
            </w:tcBorders>
            <w:shd w:val="clear" w:color="auto" w:fill="auto"/>
            <w:noWrap/>
            <w:vAlign w:val="bottom"/>
            <w:hideMark/>
          </w:tcPr>
          <w:p w14:paraId="5A5FAB01" w14:textId="7F0C0528" w:rsidR="00E01EA5" w:rsidRDefault="00E01EA5" w:rsidP="00E01EA5">
            <w:pPr>
              <w:jc w:val="right"/>
              <w:rPr>
                <w:color w:val="000000"/>
                <w:sz w:val="20"/>
                <w:szCs w:val="20"/>
              </w:rPr>
            </w:pPr>
            <w:r>
              <w:rPr>
                <w:color w:val="000000"/>
                <w:sz w:val="20"/>
                <w:szCs w:val="20"/>
              </w:rPr>
              <w:t>0.187</w:t>
            </w:r>
          </w:p>
        </w:tc>
        <w:tc>
          <w:tcPr>
            <w:tcW w:w="784" w:type="dxa"/>
            <w:tcBorders>
              <w:top w:val="nil"/>
              <w:left w:val="nil"/>
              <w:bottom w:val="single" w:sz="12" w:space="0" w:color="auto"/>
              <w:right w:val="nil"/>
            </w:tcBorders>
            <w:shd w:val="clear" w:color="auto" w:fill="auto"/>
            <w:noWrap/>
            <w:vAlign w:val="bottom"/>
            <w:hideMark/>
          </w:tcPr>
          <w:p w14:paraId="233025CC" w14:textId="1F8ABE1C" w:rsidR="00E01EA5" w:rsidRDefault="00E01EA5" w:rsidP="00E01EA5">
            <w:pPr>
              <w:jc w:val="right"/>
              <w:rPr>
                <w:color w:val="000000"/>
                <w:sz w:val="20"/>
                <w:szCs w:val="20"/>
              </w:rPr>
            </w:pPr>
            <w:r>
              <w:rPr>
                <w:color w:val="000000"/>
                <w:sz w:val="20"/>
                <w:szCs w:val="20"/>
              </w:rPr>
              <w:t>0.002</w:t>
            </w:r>
          </w:p>
        </w:tc>
      </w:tr>
    </w:tbl>
    <w:p w14:paraId="31A6D715" w14:textId="77777777" w:rsidR="0031427C" w:rsidRDefault="0031427C" w:rsidP="0031427C">
      <w:pPr>
        <w:rPr>
          <w:color w:val="000000"/>
        </w:rPr>
      </w:pPr>
    </w:p>
    <w:p w14:paraId="68960975" w14:textId="77777777" w:rsidR="0031427C" w:rsidRDefault="0031427C" w:rsidP="0031427C">
      <w:pPr>
        <w:rPr>
          <w:color w:val="000000"/>
        </w:rPr>
      </w:pPr>
      <w:r w:rsidRPr="00235E0F">
        <w:rPr>
          <w:bCs/>
          <w:i/>
          <w:iCs/>
          <w:color w:val="000000" w:themeColor="text1"/>
        </w:rPr>
        <w:t>Note</w:t>
      </w:r>
      <w:r w:rsidRPr="00235E0F">
        <w:rPr>
          <w:bCs/>
          <w:color w:val="000000" w:themeColor="text1"/>
        </w:rPr>
        <w:t xml:space="preserve">. </w:t>
      </w:r>
      <w:r>
        <w:rPr>
          <w:bCs/>
          <w:color w:val="000000" w:themeColor="text1"/>
        </w:rPr>
        <w:t>En-Back = emotional n-back task; MID = monetary incentive delay task; SST = stop signal task</w:t>
      </w:r>
      <w:r>
        <w:rPr>
          <w:color w:val="000000"/>
        </w:rPr>
        <w:t xml:space="preserve"> </w:t>
      </w:r>
      <w:r>
        <w:rPr>
          <w:color w:val="000000"/>
        </w:rPr>
        <w:br w:type="page"/>
      </w:r>
    </w:p>
    <w:p w14:paraId="145207EA" w14:textId="2D2E3950" w:rsidR="0031427C" w:rsidRPr="003D0A36" w:rsidRDefault="00432B71" w:rsidP="003D0A36">
      <w:pPr>
        <w:pStyle w:val="Heading1"/>
        <w:rPr>
          <w:rFonts w:ascii="Times New Roman" w:hAnsi="Times New Roman" w:cs="Times New Roman"/>
          <w:color w:val="000000" w:themeColor="text1"/>
          <w:sz w:val="24"/>
          <w:szCs w:val="24"/>
        </w:rPr>
      </w:pPr>
      <w:bookmarkStart w:id="15" w:name="_Toc155817682"/>
      <w:r>
        <w:rPr>
          <w:rFonts w:ascii="Times New Roman" w:hAnsi="Times New Roman" w:cs="Times New Roman"/>
          <w:b/>
          <w:bCs/>
          <w:color w:val="000000" w:themeColor="text1"/>
          <w:sz w:val="24"/>
          <w:szCs w:val="24"/>
        </w:rPr>
        <w:lastRenderedPageBreak/>
        <w:t xml:space="preserve">Table </w:t>
      </w:r>
      <w:r w:rsidR="00452DF8">
        <w:rPr>
          <w:rFonts w:ascii="Times New Roman" w:hAnsi="Times New Roman" w:cs="Times New Roman"/>
          <w:b/>
          <w:bCs/>
          <w:color w:val="000000" w:themeColor="text1"/>
          <w:sz w:val="24"/>
          <w:szCs w:val="24"/>
        </w:rPr>
        <w:t>2</w:t>
      </w:r>
      <w:r w:rsidR="00192D02" w:rsidRPr="003D0A36">
        <w:rPr>
          <w:rFonts w:ascii="Times New Roman" w:hAnsi="Times New Roman" w:cs="Times New Roman"/>
          <w:b/>
          <w:bCs/>
          <w:color w:val="000000" w:themeColor="text1"/>
          <w:sz w:val="24"/>
          <w:szCs w:val="24"/>
        </w:rPr>
        <w:t>b</w:t>
      </w:r>
      <w:r w:rsidR="0031427C" w:rsidRPr="003D0A36">
        <w:rPr>
          <w:rFonts w:ascii="Times New Roman" w:hAnsi="Times New Roman" w:cs="Times New Roman"/>
          <w:b/>
          <w:bCs/>
          <w:color w:val="000000" w:themeColor="text1"/>
          <w:sz w:val="24"/>
          <w:szCs w:val="24"/>
        </w:rPr>
        <w:t>.</w:t>
      </w:r>
      <w:r w:rsidR="0031427C" w:rsidRPr="003D0A36">
        <w:rPr>
          <w:rFonts w:ascii="Times New Roman" w:hAnsi="Times New Roman" w:cs="Times New Roman"/>
          <w:color w:val="000000" w:themeColor="text1"/>
          <w:sz w:val="24"/>
          <w:szCs w:val="24"/>
        </w:rPr>
        <w:t xml:space="preserve"> Results </w:t>
      </w:r>
      <w:r w:rsidR="000E3823">
        <w:rPr>
          <w:rFonts w:ascii="Times New Roman" w:hAnsi="Times New Roman" w:cs="Times New Roman"/>
          <w:color w:val="000000" w:themeColor="text1"/>
          <w:sz w:val="24"/>
          <w:szCs w:val="24"/>
        </w:rPr>
        <w:t>e</w:t>
      </w:r>
      <w:r w:rsidR="0031427C" w:rsidRPr="003D0A36">
        <w:rPr>
          <w:rFonts w:ascii="Times New Roman" w:hAnsi="Times New Roman" w:cs="Times New Roman"/>
          <w:color w:val="000000" w:themeColor="text1"/>
          <w:sz w:val="24"/>
          <w:szCs w:val="24"/>
        </w:rPr>
        <w:t xml:space="preserve">xamining the </w:t>
      </w:r>
      <w:r w:rsidR="000E3823">
        <w:rPr>
          <w:rFonts w:ascii="Times New Roman" w:hAnsi="Times New Roman" w:cs="Times New Roman"/>
          <w:color w:val="000000" w:themeColor="text1"/>
          <w:sz w:val="24"/>
          <w:szCs w:val="24"/>
        </w:rPr>
        <w:t>r</w:t>
      </w:r>
      <w:r w:rsidR="0031427C" w:rsidRPr="003D0A36">
        <w:rPr>
          <w:rFonts w:ascii="Times New Roman" w:hAnsi="Times New Roman" w:cs="Times New Roman"/>
          <w:color w:val="000000" w:themeColor="text1"/>
          <w:sz w:val="24"/>
          <w:szCs w:val="24"/>
        </w:rPr>
        <w:t xml:space="preserve">elationship </w:t>
      </w:r>
      <w:r w:rsidR="000E3823">
        <w:rPr>
          <w:rFonts w:ascii="Times New Roman" w:hAnsi="Times New Roman" w:cs="Times New Roman"/>
          <w:color w:val="000000" w:themeColor="text1"/>
          <w:sz w:val="24"/>
          <w:szCs w:val="24"/>
        </w:rPr>
        <w:t>b</w:t>
      </w:r>
      <w:r w:rsidR="0031427C" w:rsidRPr="003D0A36">
        <w:rPr>
          <w:rFonts w:ascii="Times New Roman" w:hAnsi="Times New Roman" w:cs="Times New Roman"/>
          <w:color w:val="000000" w:themeColor="text1"/>
          <w:sz w:val="24"/>
          <w:szCs w:val="24"/>
        </w:rPr>
        <w:t xml:space="preserve">etween </w:t>
      </w:r>
      <w:r w:rsidR="000E3823">
        <w:rPr>
          <w:rFonts w:ascii="Times New Roman" w:hAnsi="Times New Roman" w:cs="Times New Roman"/>
          <w:color w:val="000000" w:themeColor="text1"/>
          <w:sz w:val="24"/>
          <w:szCs w:val="24"/>
        </w:rPr>
        <w:t>e</w:t>
      </w:r>
      <w:r w:rsidR="0031427C" w:rsidRPr="003D0A36">
        <w:rPr>
          <w:rFonts w:ascii="Times New Roman" w:hAnsi="Times New Roman" w:cs="Times New Roman"/>
          <w:color w:val="000000" w:themeColor="text1"/>
          <w:sz w:val="24"/>
          <w:szCs w:val="24"/>
        </w:rPr>
        <w:t xml:space="preserve">nvironmental </w:t>
      </w:r>
      <w:r w:rsidR="000E3823">
        <w:rPr>
          <w:rFonts w:ascii="Times New Roman" w:hAnsi="Times New Roman" w:cs="Times New Roman"/>
          <w:color w:val="000000" w:themeColor="text1"/>
          <w:sz w:val="24"/>
          <w:szCs w:val="24"/>
        </w:rPr>
        <w:t>s</w:t>
      </w:r>
      <w:r w:rsidR="0031427C" w:rsidRPr="003D0A36">
        <w:rPr>
          <w:rFonts w:ascii="Times New Roman" w:hAnsi="Times New Roman" w:cs="Times New Roman"/>
          <w:color w:val="000000" w:themeColor="text1"/>
          <w:sz w:val="24"/>
          <w:szCs w:val="24"/>
        </w:rPr>
        <w:t xml:space="preserve">tressor </w:t>
      </w:r>
      <w:r w:rsidR="000E3823">
        <w:rPr>
          <w:rFonts w:ascii="Times New Roman" w:hAnsi="Times New Roman" w:cs="Times New Roman"/>
          <w:color w:val="000000" w:themeColor="text1"/>
          <w:sz w:val="24"/>
          <w:szCs w:val="24"/>
        </w:rPr>
        <w:t>f</w:t>
      </w:r>
      <w:r w:rsidR="0031427C" w:rsidRPr="003D0A36">
        <w:rPr>
          <w:rFonts w:ascii="Times New Roman" w:hAnsi="Times New Roman" w:cs="Times New Roman"/>
          <w:color w:val="000000" w:themeColor="text1"/>
          <w:sz w:val="24"/>
          <w:szCs w:val="24"/>
        </w:rPr>
        <w:t xml:space="preserve">actors </w:t>
      </w:r>
      <w:r w:rsidR="000E3823">
        <w:rPr>
          <w:rFonts w:ascii="Times New Roman" w:hAnsi="Times New Roman" w:cs="Times New Roman"/>
          <w:color w:val="000000" w:themeColor="text1"/>
          <w:sz w:val="24"/>
          <w:szCs w:val="24"/>
        </w:rPr>
        <w:t>o</w:t>
      </w:r>
      <w:r w:rsidR="0031427C" w:rsidRPr="003D0A36">
        <w:rPr>
          <w:rFonts w:ascii="Times New Roman" w:hAnsi="Times New Roman" w:cs="Times New Roman"/>
          <w:color w:val="000000" w:themeColor="text1"/>
          <w:sz w:val="24"/>
          <w:szCs w:val="24"/>
        </w:rPr>
        <w:t xml:space="preserve">btained from </w:t>
      </w:r>
      <w:r w:rsidR="000E3823">
        <w:rPr>
          <w:rFonts w:ascii="Times New Roman" w:hAnsi="Times New Roman" w:cs="Times New Roman"/>
          <w:color w:val="000000" w:themeColor="text1"/>
          <w:sz w:val="24"/>
          <w:szCs w:val="24"/>
        </w:rPr>
        <w:t>h</w:t>
      </w:r>
      <w:r w:rsidR="0031427C" w:rsidRPr="003D0A36">
        <w:rPr>
          <w:rFonts w:ascii="Times New Roman" w:hAnsi="Times New Roman" w:cs="Times New Roman"/>
          <w:color w:val="000000" w:themeColor="text1"/>
          <w:sz w:val="24"/>
          <w:szCs w:val="24"/>
        </w:rPr>
        <w:t>igher-</w:t>
      </w:r>
      <w:r w:rsidR="000E3823">
        <w:rPr>
          <w:rFonts w:ascii="Times New Roman" w:hAnsi="Times New Roman" w:cs="Times New Roman"/>
          <w:color w:val="000000" w:themeColor="text1"/>
          <w:sz w:val="24"/>
          <w:szCs w:val="24"/>
        </w:rPr>
        <w:t>o</w:t>
      </w:r>
      <w:r w:rsidR="0031427C" w:rsidRPr="003D0A36">
        <w:rPr>
          <w:rFonts w:ascii="Times New Roman" w:hAnsi="Times New Roman" w:cs="Times New Roman"/>
          <w:color w:val="000000" w:themeColor="text1"/>
          <w:sz w:val="24"/>
          <w:szCs w:val="24"/>
        </w:rPr>
        <w:t xml:space="preserve">rder </w:t>
      </w:r>
      <w:r w:rsidR="000E3823">
        <w:rPr>
          <w:rFonts w:ascii="Times New Roman" w:hAnsi="Times New Roman" w:cs="Times New Roman"/>
          <w:color w:val="000000" w:themeColor="text1"/>
          <w:sz w:val="24"/>
          <w:szCs w:val="24"/>
        </w:rPr>
        <w:t>m</w:t>
      </w:r>
      <w:r w:rsidR="0031427C" w:rsidRPr="003D0A36">
        <w:rPr>
          <w:rFonts w:ascii="Times New Roman" w:hAnsi="Times New Roman" w:cs="Times New Roman"/>
          <w:color w:val="000000" w:themeColor="text1"/>
          <w:sz w:val="24"/>
          <w:szCs w:val="24"/>
        </w:rPr>
        <w:t xml:space="preserve">odeling and </w:t>
      </w:r>
      <w:r w:rsidR="000E3823">
        <w:rPr>
          <w:rFonts w:ascii="Times New Roman" w:hAnsi="Times New Roman" w:cs="Times New Roman"/>
          <w:color w:val="000000" w:themeColor="text1"/>
          <w:sz w:val="24"/>
          <w:szCs w:val="24"/>
        </w:rPr>
        <w:t>w</w:t>
      </w:r>
      <w:r w:rsidR="0031427C" w:rsidRPr="003D0A36">
        <w:rPr>
          <w:rFonts w:ascii="Times New Roman" w:hAnsi="Times New Roman" w:cs="Times New Roman"/>
          <w:color w:val="000000" w:themeColor="text1"/>
          <w:sz w:val="24"/>
          <w:szCs w:val="24"/>
        </w:rPr>
        <w:t>hole-</w:t>
      </w:r>
      <w:r w:rsidR="000E3823">
        <w:rPr>
          <w:rFonts w:ascii="Times New Roman" w:hAnsi="Times New Roman" w:cs="Times New Roman"/>
          <w:color w:val="000000" w:themeColor="text1"/>
          <w:sz w:val="24"/>
          <w:szCs w:val="24"/>
        </w:rPr>
        <w:t>b</w:t>
      </w:r>
      <w:r w:rsidR="0031427C" w:rsidRPr="003D0A36">
        <w:rPr>
          <w:rFonts w:ascii="Times New Roman" w:hAnsi="Times New Roman" w:cs="Times New Roman"/>
          <w:color w:val="000000" w:themeColor="text1"/>
          <w:sz w:val="24"/>
          <w:szCs w:val="24"/>
        </w:rPr>
        <w:t xml:space="preserve">rain Shen </w:t>
      </w:r>
      <w:r w:rsidR="000E3823">
        <w:rPr>
          <w:rFonts w:ascii="Times New Roman" w:hAnsi="Times New Roman" w:cs="Times New Roman"/>
          <w:color w:val="000000" w:themeColor="text1"/>
          <w:sz w:val="24"/>
          <w:szCs w:val="24"/>
        </w:rPr>
        <w:t>m</w:t>
      </w:r>
      <w:r w:rsidR="0031427C" w:rsidRPr="003D0A36">
        <w:rPr>
          <w:rFonts w:ascii="Times New Roman" w:hAnsi="Times New Roman" w:cs="Times New Roman"/>
          <w:color w:val="000000" w:themeColor="text1"/>
          <w:sz w:val="24"/>
          <w:szCs w:val="24"/>
        </w:rPr>
        <w:t>odularity</w:t>
      </w:r>
      <w:bookmarkEnd w:id="15"/>
      <w:r w:rsidR="0031427C" w:rsidRPr="003D0A36">
        <w:rPr>
          <w:rFonts w:ascii="Times New Roman" w:hAnsi="Times New Roman" w:cs="Times New Roman"/>
          <w:color w:val="000000" w:themeColor="text1"/>
          <w:sz w:val="24"/>
          <w:szCs w:val="24"/>
        </w:rPr>
        <w:t xml:space="preserve"> </w:t>
      </w:r>
    </w:p>
    <w:p w14:paraId="2A0661EB" w14:textId="77777777" w:rsidR="0031427C" w:rsidRDefault="0031427C" w:rsidP="0031427C">
      <w:pPr>
        <w:rPr>
          <w:color w:val="000000"/>
        </w:rPr>
      </w:pPr>
    </w:p>
    <w:tbl>
      <w:tblPr>
        <w:tblW w:w="14152" w:type="dxa"/>
        <w:tblLook w:val="04A0" w:firstRow="1" w:lastRow="0" w:firstColumn="1" w:lastColumn="0" w:noHBand="0" w:noVBand="1"/>
      </w:tblPr>
      <w:tblGrid>
        <w:gridCol w:w="820"/>
        <w:gridCol w:w="1027"/>
        <w:gridCol w:w="893"/>
        <w:gridCol w:w="784"/>
        <w:gridCol w:w="784"/>
        <w:gridCol w:w="893"/>
        <w:gridCol w:w="784"/>
        <w:gridCol w:w="784"/>
        <w:gridCol w:w="893"/>
        <w:gridCol w:w="784"/>
        <w:gridCol w:w="784"/>
        <w:gridCol w:w="893"/>
        <w:gridCol w:w="784"/>
        <w:gridCol w:w="784"/>
        <w:gridCol w:w="893"/>
        <w:gridCol w:w="784"/>
        <w:gridCol w:w="784"/>
      </w:tblGrid>
      <w:tr w:rsidR="0031427C" w14:paraId="3E77138C" w14:textId="77777777" w:rsidTr="0019576E">
        <w:trPr>
          <w:trHeight w:val="340"/>
        </w:trPr>
        <w:tc>
          <w:tcPr>
            <w:tcW w:w="820" w:type="dxa"/>
            <w:tcBorders>
              <w:top w:val="single" w:sz="12" w:space="0" w:color="auto"/>
              <w:left w:val="nil"/>
              <w:right w:val="nil"/>
            </w:tcBorders>
            <w:shd w:val="clear" w:color="auto" w:fill="auto"/>
            <w:noWrap/>
            <w:vAlign w:val="bottom"/>
            <w:hideMark/>
          </w:tcPr>
          <w:p w14:paraId="51E739E7" w14:textId="77777777" w:rsidR="0031427C" w:rsidRDefault="0031427C" w:rsidP="009E45F8">
            <w:pPr>
              <w:rPr>
                <w:color w:val="000000"/>
                <w:sz w:val="20"/>
                <w:szCs w:val="20"/>
              </w:rPr>
            </w:pPr>
            <w:r>
              <w:rPr>
                <w:color w:val="000000"/>
                <w:sz w:val="20"/>
                <w:szCs w:val="20"/>
              </w:rPr>
              <w:t>Task</w:t>
            </w:r>
          </w:p>
        </w:tc>
        <w:tc>
          <w:tcPr>
            <w:tcW w:w="1027" w:type="dxa"/>
            <w:tcBorders>
              <w:top w:val="single" w:sz="12" w:space="0" w:color="auto"/>
              <w:left w:val="nil"/>
              <w:right w:val="nil"/>
            </w:tcBorders>
            <w:shd w:val="clear" w:color="auto" w:fill="auto"/>
            <w:noWrap/>
            <w:vAlign w:val="bottom"/>
            <w:hideMark/>
          </w:tcPr>
          <w:p w14:paraId="2EA54256" w14:textId="77777777" w:rsidR="0031427C" w:rsidRDefault="0031427C" w:rsidP="009E45F8">
            <w:pPr>
              <w:rPr>
                <w:color w:val="000000"/>
                <w:sz w:val="20"/>
                <w:szCs w:val="20"/>
              </w:rPr>
            </w:pPr>
            <w:r>
              <w:rPr>
                <w:color w:val="000000"/>
                <w:sz w:val="20"/>
                <w:szCs w:val="20"/>
              </w:rPr>
              <w:t>Threshold</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14EEBAE8" w14:textId="573D6D88" w:rsidR="0031427C" w:rsidRDefault="0031427C" w:rsidP="00587B4A">
            <w:pPr>
              <w:jc w:val="center"/>
              <w:rPr>
                <w:color w:val="000000"/>
                <w:sz w:val="20"/>
                <w:szCs w:val="20"/>
              </w:rPr>
            </w:pPr>
            <w:r>
              <w:rPr>
                <w:color w:val="000000"/>
                <w:sz w:val="20"/>
                <w:szCs w:val="20"/>
              </w:rPr>
              <w:t>General</w:t>
            </w:r>
            <w:r w:rsidR="00A57DD9">
              <w:rPr>
                <w:color w:val="000000"/>
                <w:sz w:val="20"/>
                <w:szCs w:val="20"/>
              </w:rPr>
              <w:t xml:space="preserve"> Environmental Stress</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25850BB5" w14:textId="77777777" w:rsidR="0031427C" w:rsidRDefault="0031427C" w:rsidP="00587B4A">
            <w:pPr>
              <w:jc w:val="center"/>
              <w:rPr>
                <w:color w:val="000000"/>
                <w:sz w:val="20"/>
                <w:szCs w:val="20"/>
              </w:rPr>
            </w:pPr>
            <w:r>
              <w:rPr>
                <w:color w:val="000000"/>
                <w:sz w:val="20"/>
                <w:szCs w:val="20"/>
              </w:rPr>
              <w:t>Family Dynamics</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7C1EE5C8" w14:textId="77777777" w:rsidR="0031427C" w:rsidRDefault="0031427C" w:rsidP="00587B4A">
            <w:pPr>
              <w:jc w:val="center"/>
              <w:rPr>
                <w:color w:val="000000"/>
                <w:sz w:val="20"/>
                <w:szCs w:val="20"/>
              </w:rPr>
            </w:pPr>
            <w:r>
              <w:rPr>
                <w:color w:val="000000"/>
                <w:sz w:val="20"/>
                <w:szCs w:val="20"/>
              </w:rPr>
              <w:t>Interpersonal Support</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4862315A" w14:textId="7FCA9DD1" w:rsidR="0031427C" w:rsidRDefault="0031427C" w:rsidP="00587B4A">
            <w:pPr>
              <w:jc w:val="center"/>
              <w:rPr>
                <w:color w:val="000000"/>
                <w:sz w:val="20"/>
                <w:szCs w:val="20"/>
              </w:rPr>
            </w:pPr>
            <w:r>
              <w:rPr>
                <w:color w:val="000000"/>
                <w:sz w:val="20"/>
                <w:szCs w:val="20"/>
              </w:rPr>
              <w:t>Neighborhood SES</w:t>
            </w:r>
            <w:r w:rsidR="00A57DD9">
              <w:rPr>
                <w:color w:val="000000"/>
                <w:sz w:val="20"/>
                <w:szCs w:val="20"/>
              </w:rPr>
              <w:t xml:space="preserve"> Deprivation</w:t>
            </w:r>
          </w:p>
        </w:tc>
        <w:tc>
          <w:tcPr>
            <w:tcW w:w="2461" w:type="dxa"/>
            <w:gridSpan w:val="3"/>
            <w:tcBorders>
              <w:top w:val="single" w:sz="12" w:space="0" w:color="auto"/>
              <w:left w:val="nil"/>
              <w:bottom w:val="single" w:sz="12" w:space="0" w:color="auto"/>
              <w:right w:val="nil"/>
            </w:tcBorders>
            <w:shd w:val="clear" w:color="auto" w:fill="auto"/>
            <w:noWrap/>
            <w:vAlign w:val="center"/>
            <w:hideMark/>
          </w:tcPr>
          <w:p w14:paraId="7A0C21BC" w14:textId="77777777" w:rsidR="0031427C" w:rsidRDefault="0031427C" w:rsidP="00587B4A">
            <w:pPr>
              <w:jc w:val="center"/>
              <w:rPr>
                <w:color w:val="000000"/>
                <w:sz w:val="20"/>
                <w:szCs w:val="20"/>
              </w:rPr>
            </w:pPr>
            <w:r>
              <w:rPr>
                <w:color w:val="000000"/>
                <w:sz w:val="20"/>
                <w:szCs w:val="20"/>
              </w:rPr>
              <w:t>Urbanicity</w:t>
            </w:r>
          </w:p>
        </w:tc>
      </w:tr>
      <w:tr w:rsidR="0031427C" w14:paraId="63EAD52C" w14:textId="77777777" w:rsidTr="0019576E">
        <w:trPr>
          <w:trHeight w:val="340"/>
        </w:trPr>
        <w:tc>
          <w:tcPr>
            <w:tcW w:w="820" w:type="dxa"/>
            <w:tcBorders>
              <w:left w:val="nil"/>
              <w:bottom w:val="single" w:sz="12" w:space="0" w:color="auto"/>
              <w:right w:val="nil"/>
            </w:tcBorders>
            <w:shd w:val="clear" w:color="auto" w:fill="auto"/>
            <w:noWrap/>
            <w:vAlign w:val="center"/>
            <w:hideMark/>
          </w:tcPr>
          <w:p w14:paraId="7935AB36" w14:textId="3EE34A28" w:rsidR="0031427C" w:rsidRPr="00DE6EE0" w:rsidRDefault="0031427C" w:rsidP="00DE6EE0">
            <w:pPr>
              <w:jc w:val="center"/>
              <w:rPr>
                <w:i/>
                <w:iCs/>
                <w:color w:val="000000"/>
                <w:sz w:val="20"/>
                <w:szCs w:val="20"/>
              </w:rPr>
            </w:pPr>
          </w:p>
        </w:tc>
        <w:tc>
          <w:tcPr>
            <w:tcW w:w="1027" w:type="dxa"/>
            <w:tcBorders>
              <w:left w:val="nil"/>
              <w:bottom w:val="single" w:sz="12" w:space="0" w:color="auto"/>
              <w:right w:val="nil"/>
            </w:tcBorders>
            <w:shd w:val="clear" w:color="auto" w:fill="auto"/>
            <w:noWrap/>
            <w:vAlign w:val="center"/>
            <w:hideMark/>
          </w:tcPr>
          <w:p w14:paraId="1AF63027" w14:textId="30A0BCB2" w:rsidR="0031427C" w:rsidRPr="00DE6EE0" w:rsidRDefault="0031427C" w:rsidP="00DE6EE0">
            <w:pPr>
              <w:jc w:val="center"/>
              <w:rPr>
                <w:i/>
                <w:iCs/>
                <w:color w:val="000000"/>
                <w:sz w:val="20"/>
                <w:szCs w:val="20"/>
              </w:rPr>
            </w:pPr>
          </w:p>
        </w:tc>
        <w:tc>
          <w:tcPr>
            <w:tcW w:w="893" w:type="dxa"/>
            <w:tcBorders>
              <w:top w:val="single" w:sz="12" w:space="0" w:color="auto"/>
              <w:left w:val="nil"/>
              <w:bottom w:val="single" w:sz="12" w:space="0" w:color="auto"/>
              <w:right w:val="nil"/>
            </w:tcBorders>
            <w:shd w:val="clear" w:color="auto" w:fill="auto"/>
            <w:noWrap/>
            <w:vAlign w:val="center"/>
            <w:hideMark/>
          </w:tcPr>
          <w:p w14:paraId="71A2139E" w14:textId="77777777" w:rsidR="0031427C" w:rsidRPr="00DE6EE0" w:rsidRDefault="0031427C" w:rsidP="007A0BDB">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71D7913A" w14:textId="77777777" w:rsidR="0031427C" w:rsidRPr="00DE6EE0" w:rsidRDefault="0031427C" w:rsidP="007A0BDB">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75EB4F95" w14:textId="77777777" w:rsidR="0031427C" w:rsidRPr="00DE6EE0" w:rsidRDefault="0031427C" w:rsidP="007A0BDB">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c>
          <w:tcPr>
            <w:tcW w:w="893" w:type="dxa"/>
            <w:tcBorders>
              <w:top w:val="single" w:sz="12" w:space="0" w:color="auto"/>
              <w:left w:val="nil"/>
              <w:bottom w:val="single" w:sz="12" w:space="0" w:color="auto"/>
              <w:right w:val="nil"/>
            </w:tcBorders>
            <w:shd w:val="clear" w:color="auto" w:fill="auto"/>
            <w:noWrap/>
            <w:vAlign w:val="center"/>
            <w:hideMark/>
          </w:tcPr>
          <w:p w14:paraId="5F590E86" w14:textId="77777777" w:rsidR="0031427C" w:rsidRPr="00DE6EE0" w:rsidRDefault="0031427C" w:rsidP="007A0BDB">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768F0D35" w14:textId="77777777" w:rsidR="0031427C" w:rsidRPr="00DE6EE0" w:rsidRDefault="0031427C" w:rsidP="007A0BDB">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68FAA4FC" w14:textId="77777777" w:rsidR="0031427C" w:rsidRPr="00DE6EE0" w:rsidRDefault="0031427C" w:rsidP="007A0BDB">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c>
          <w:tcPr>
            <w:tcW w:w="893" w:type="dxa"/>
            <w:tcBorders>
              <w:top w:val="single" w:sz="12" w:space="0" w:color="auto"/>
              <w:left w:val="nil"/>
              <w:bottom w:val="single" w:sz="12" w:space="0" w:color="auto"/>
              <w:right w:val="nil"/>
            </w:tcBorders>
            <w:shd w:val="clear" w:color="auto" w:fill="auto"/>
            <w:noWrap/>
            <w:vAlign w:val="center"/>
            <w:hideMark/>
          </w:tcPr>
          <w:p w14:paraId="729845C3" w14:textId="77777777" w:rsidR="0031427C" w:rsidRPr="00DE6EE0" w:rsidRDefault="0031427C" w:rsidP="007A0BDB">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56B95176" w14:textId="77777777" w:rsidR="0031427C" w:rsidRPr="00DE6EE0" w:rsidRDefault="0031427C" w:rsidP="007A0BDB">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1E76ED04" w14:textId="77777777" w:rsidR="0031427C" w:rsidRPr="00DE6EE0" w:rsidRDefault="0031427C" w:rsidP="007A0BDB">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c>
          <w:tcPr>
            <w:tcW w:w="893" w:type="dxa"/>
            <w:tcBorders>
              <w:top w:val="single" w:sz="12" w:space="0" w:color="auto"/>
              <w:left w:val="nil"/>
              <w:bottom w:val="single" w:sz="12" w:space="0" w:color="auto"/>
              <w:right w:val="nil"/>
            </w:tcBorders>
            <w:shd w:val="clear" w:color="auto" w:fill="auto"/>
            <w:noWrap/>
            <w:vAlign w:val="center"/>
            <w:hideMark/>
          </w:tcPr>
          <w:p w14:paraId="536F816D" w14:textId="77777777" w:rsidR="0031427C" w:rsidRPr="00DE6EE0" w:rsidRDefault="0031427C" w:rsidP="007A0BDB">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77C51DAB" w14:textId="77777777" w:rsidR="0031427C" w:rsidRPr="00DE6EE0" w:rsidRDefault="0031427C" w:rsidP="007A0BDB">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6010189D" w14:textId="77777777" w:rsidR="0031427C" w:rsidRPr="00DE6EE0" w:rsidRDefault="0031427C" w:rsidP="007A0BDB">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c>
          <w:tcPr>
            <w:tcW w:w="893" w:type="dxa"/>
            <w:tcBorders>
              <w:top w:val="single" w:sz="12" w:space="0" w:color="auto"/>
              <w:left w:val="nil"/>
              <w:bottom w:val="single" w:sz="12" w:space="0" w:color="auto"/>
              <w:right w:val="nil"/>
            </w:tcBorders>
            <w:shd w:val="clear" w:color="auto" w:fill="auto"/>
            <w:noWrap/>
            <w:vAlign w:val="center"/>
            <w:hideMark/>
          </w:tcPr>
          <w:p w14:paraId="648D23A9" w14:textId="77777777" w:rsidR="0031427C" w:rsidRPr="00DE6EE0" w:rsidRDefault="0031427C" w:rsidP="007A0BDB">
            <w:pPr>
              <w:jc w:val="center"/>
              <w:rPr>
                <w:i/>
                <w:iCs/>
                <w:color w:val="000000"/>
                <w:sz w:val="20"/>
                <w:szCs w:val="20"/>
              </w:rPr>
            </w:pPr>
            <w:r w:rsidRPr="00DE6EE0">
              <w:rPr>
                <w:i/>
                <w:iCs/>
                <w:color w:val="000000"/>
                <w:sz w:val="20"/>
                <w:szCs w:val="20"/>
              </w:rPr>
              <w:t>β</w:t>
            </w:r>
          </w:p>
        </w:tc>
        <w:tc>
          <w:tcPr>
            <w:tcW w:w="784" w:type="dxa"/>
            <w:tcBorders>
              <w:top w:val="single" w:sz="12" w:space="0" w:color="auto"/>
              <w:left w:val="nil"/>
              <w:bottom w:val="single" w:sz="12" w:space="0" w:color="auto"/>
              <w:right w:val="nil"/>
            </w:tcBorders>
            <w:shd w:val="clear" w:color="auto" w:fill="auto"/>
            <w:noWrap/>
            <w:vAlign w:val="center"/>
            <w:hideMark/>
          </w:tcPr>
          <w:p w14:paraId="159E086D" w14:textId="77777777" w:rsidR="0031427C" w:rsidRPr="00DE6EE0" w:rsidRDefault="0031427C" w:rsidP="007A0BDB">
            <w:pPr>
              <w:jc w:val="center"/>
              <w:rPr>
                <w:i/>
                <w:iCs/>
                <w:color w:val="000000"/>
                <w:sz w:val="20"/>
                <w:szCs w:val="20"/>
              </w:rPr>
            </w:pPr>
            <w:r w:rsidRPr="00DE6EE0">
              <w:rPr>
                <w:i/>
                <w:iCs/>
                <w:color w:val="000000"/>
                <w:sz w:val="20"/>
                <w:szCs w:val="20"/>
              </w:rPr>
              <w:t>p</w:t>
            </w:r>
            <w:r w:rsidRPr="00DE6EE0">
              <w:rPr>
                <w:i/>
                <w:iCs/>
                <w:color w:val="000000"/>
                <w:sz w:val="20"/>
                <w:szCs w:val="20"/>
                <w:vertAlign w:val="subscript"/>
              </w:rPr>
              <w:t>fdr</w:t>
            </w:r>
          </w:p>
        </w:tc>
        <w:tc>
          <w:tcPr>
            <w:tcW w:w="784" w:type="dxa"/>
            <w:tcBorders>
              <w:top w:val="single" w:sz="12" w:space="0" w:color="auto"/>
              <w:left w:val="nil"/>
              <w:bottom w:val="single" w:sz="12" w:space="0" w:color="auto"/>
              <w:right w:val="nil"/>
            </w:tcBorders>
            <w:shd w:val="clear" w:color="auto" w:fill="auto"/>
            <w:noWrap/>
            <w:vAlign w:val="center"/>
            <w:hideMark/>
          </w:tcPr>
          <w:p w14:paraId="6AB60501" w14:textId="77777777" w:rsidR="0031427C" w:rsidRPr="00DE6EE0" w:rsidRDefault="0031427C" w:rsidP="007A0BDB">
            <w:pPr>
              <w:jc w:val="center"/>
              <w:rPr>
                <w:i/>
                <w:iCs/>
                <w:color w:val="000000"/>
                <w:sz w:val="20"/>
                <w:szCs w:val="20"/>
              </w:rPr>
            </w:pPr>
            <w:r w:rsidRPr="00DE6EE0">
              <w:rPr>
                <w:i/>
                <w:iCs/>
                <w:color w:val="000000"/>
                <w:sz w:val="20"/>
                <w:szCs w:val="20"/>
              </w:rPr>
              <w:t>R</w:t>
            </w:r>
            <w:r w:rsidRPr="00DE6EE0">
              <w:rPr>
                <w:i/>
                <w:iCs/>
                <w:color w:val="000000"/>
                <w:sz w:val="20"/>
                <w:szCs w:val="20"/>
                <w:vertAlign w:val="superscript"/>
              </w:rPr>
              <w:t>2</w:t>
            </w:r>
          </w:p>
        </w:tc>
      </w:tr>
      <w:tr w:rsidR="00E01EA5" w14:paraId="6295AEBD" w14:textId="77777777" w:rsidTr="0019576E">
        <w:trPr>
          <w:trHeight w:val="320"/>
        </w:trPr>
        <w:tc>
          <w:tcPr>
            <w:tcW w:w="820" w:type="dxa"/>
            <w:tcBorders>
              <w:top w:val="single" w:sz="12" w:space="0" w:color="auto"/>
              <w:left w:val="nil"/>
              <w:bottom w:val="nil"/>
              <w:right w:val="nil"/>
            </w:tcBorders>
            <w:shd w:val="clear" w:color="auto" w:fill="auto"/>
            <w:noWrap/>
            <w:vAlign w:val="bottom"/>
            <w:hideMark/>
          </w:tcPr>
          <w:p w14:paraId="4300E2B5" w14:textId="77777777" w:rsidR="00E01EA5" w:rsidRDefault="00E01EA5" w:rsidP="00E01EA5">
            <w:pPr>
              <w:rPr>
                <w:color w:val="000000"/>
                <w:sz w:val="20"/>
                <w:szCs w:val="20"/>
              </w:rPr>
            </w:pPr>
            <w:r>
              <w:rPr>
                <w:color w:val="000000"/>
                <w:sz w:val="20"/>
                <w:szCs w:val="20"/>
              </w:rPr>
              <w:t>Rest</w:t>
            </w:r>
          </w:p>
        </w:tc>
        <w:tc>
          <w:tcPr>
            <w:tcW w:w="1027" w:type="dxa"/>
            <w:tcBorders>
              <w:top w:val="single" w:sz="12" w:space="0" w:color="auto"/>
              <w:left w:val="nil"/>
              <w:bottom w:val="nil"/>
              <w:right w:val="nil"/>
            </w:tcBorders>
            <w:shd w:val="clear" w:color="auto" w:fill="auto"/>
            <w:noWrap/>
            <w:vAlign w:val="bottom"/>
            <w:hideMark/>
          </w:tcPr>
          <w:p w14:paraId="14061EE9" w14:textId="77777777" w:rsidR="00E01EA5" w:rsidRDefault="00E01EA5" w:rsidP="00E01EA5">
            <w:pPr>
              <w:rPr>
                <w:color w:val="000000"/>
                <w:sz w:val="20"/>
                <w:szCs w:val="20"/>
              </w:rPr>
            </w:pPr>
            <w:r>
              <w:rPr>
                <w:color w:val="000000"/>
                <w:sz w:val="20"/>
                <w:szCs w:val="20"/>
              </w:rPr>
              <w:t>10%</w:t>
            </w:r>
          </w:p>
        </w:tc>
        <w:tc>
          <w:tcPr>
            <w:tcW w:w="893" w:type="dxa"/>
            <w:tcBorders>
              <w:top w:val="single" w:sz="12" w:space="0" w:color="auto"/>
              <w:left w:val="nil"/>
              <w:bottom w:val="nil"/>
              <w:right w:val="nil"/>
            </w:tcBorders>
            <w:shd w:val="clear" w:color="auto" w:fill="auto"/>
            <w:noWrap/>
            <w:vAlign w:val="bottom"/>
            <w:hideMark/>
          </w:tcPr>
          <w:p w14:paraId="49DC8C5D" w14:textId="126BA0B9" w:rsidR="00E01EA5" w:rsidRDefault="00E01EA5" w:rsidP="00E01EA5">
            <w:pPr>
              <w:jc w:val="right"/>
              <w:rPr>
                <w:b/>
                <w:bCs/>
                <w:color w:val="000000"/>
                <w:sz w:val="20"/>
                <w:szCs w:val="20"/>
              </w:rPr>
            </w:pPr>
            <w:r>
              <w:rPr>
                <w:b/>
                <w:bCs/>
                <w:color w:val="000000"/>
                <w:sz w:val="20"/>
                <w:szCs w:val="20"/>
              </w:rPr>
              <w:t>-0.066</w:t>
            </w:r>
          </w:p>
        </w:tc>
        <w:tc>
          <w:tcPr>
            <w:tcW w:w="784" w:type="dxa"/>
            <w:tcBorders>
              <w:top w:val="single" w:sz="12" w:space="0" w:color="auto"/>
              <w:left w:val="nil"/>
              <w:bottom w:val="nil"/>
              <w:right w:val="nil"/>
            </w:tcBorders>
            <w:shd w:val="clear" w:color="auto" w:fill="auto"/>
            <w:noWrap/>
            <w:vAlign w:val="bottom"/>
            <w:hideMark/>
          </w:tcPr>
          <w:p w14:paraId="2D019CB6" w14:textId="461CD4A0" w:rsidR="00E01EA5" w:rsidRDefault="00E01EA5" w:rsidP="00E01EA5">
            <w:pPr>
              <w:jc w:val="right"/>
              <w:rPr>
                <w:b/>
                <w:bCs/>
                <w:color w:val="000000"/>
                <w:sz w:val="20"/>
                <w:szCs w:val="20"/>
              </w:rPr>
            </w:pPr>
            <w:r>
              <w:rPr>
                <w:b/>
                <w:bCs/>
                <w:color w:val="000000"/>
                <w:sz w:val="20"/>
                <w:szCs w:val="20"/>
              </w:rPr>
              <w:t>0.011</w:t>
            </w:r>
          </w:p>
        </w:tc>
        <w:tc>
          <w:tcPr>
            <w:tcW w:w="784" w:type="dxa"/>
            <w:tcBorders>
              <w:top w:val="single" w:sz="12" w:space="0" w:color="auto"/>
              <w:left w:val="nil"/>
              <w:bottom w:val="nil"/>
              <w:right w:val="nil"/>
            </w:tcBorders>
            <w:shd w:val="clear" w:color="auto" w:fill="auto"/>
            <w:noWrap/>
            <w:vAlign w:val="bottom"/>
            <w:hideMark/>
          </w:tcPr>
          <w:p w14:paraId="31E5AC30" w14:textId="6D47D037" w:rsidR="00E01EA5" w:rsidRDefault="00E01EA5" w:rsidP="00E01EA5">
            <w:pPr>
              <w:jc w:val="right"/>
              <w:rPr>
                <w:b/>
                <w:bCs/>
                <w:color w:val="000000"/>
                <w:sz w:val="20"/>
                <w:szCs w:val="20"/>
              </w:rPr>
            </w:pPr>
            <w:r>
              <w:rPr>
                <w:b/>
                <w:bCs/>
                <w:color w:val="000000"/>
                <w:sz w:val="20"/>
                <w:szCs w:val="20"/>
              </w:rPr>
              <w:t>0.004</w:t>
            </w:r>
          </w:p>
        </w:tc>
        <w:tc>
          <w:tcPr>
            <w:tcW w:w="893" w:type="dxa"/>
            <w:tcBorders>
              <w:top w:val="single" w:sz="12" w:space="0" w:color="auto"/>
              <w:left w:val="nil"/>
              <w:bottom w:val="nil"/>
              <w:right w:val="nil"/>
            </w:tcBorders>
            <w:shd w:val="clear" w:color="auto" w:fill="auto"/>
            <w:noWrap/>
            <w:vAlign w:val="bottom"/>
            <w:hideMark/>
          </w:tcPr>
          <w:p w14:paraId="530B7E82" w14:textId="1793599F" w:rsidR="00E01EA5" w:rsidRDefault="00E01EA5" w:rsidP="00E01EA5">
            <w:pPr>
              <w:jc w:val="right"/>
              <w:rPr>
                <w:color w:val="000000"/>
                <w:sz w:val="20"/>
                <w:szCs w:val="20"/>
              </w:rPr>
            </w:pPr>
            <w:r>
              <w:rPr>
                <w:color w:val="000000"/>
                <w:sz w:val="20"/>
                <w:szCs w:val="20"/>
              </w:rPr>
              <w:t>-0.020</w:t>
            </w:r>
          </w:p>
        </w:tc>
        <w:tc>
          <w:tcPr>
            <w:tcW w:w="784" w:type="dxa"/>
            <w:tcBorders>
              <w:top w:val="single" w:sz="12" w:space="0" w:color="auto"/>
              <w:left w:val="nil"/>
              <w:bottom w:val="nil"/>
              <w:right w:val="nil"/>
            </w:tcBorders>
            <w:shd w:val="clear" w:color="auto" w:fill="auto"/>
            <w:noWrap/>
            <w:vAlign w:val="bottom"/>
            <w:hideMark/>
          </w:tcPr>
          <w:p w14:paraId="7B012F98" w14:textId="18154774" w:rsidR="00E01EA5" w:rsidRPr="00DE6EE0" w:rsidRDefault="00E01EA5" w:rsidP="00E01EA5">
            <w:pPr>
              <w:jc w:val="right"/>
              <w:rPr>
                <w:color w:val="000000"/>
                <w:sz w:val="20"/>
                <w:szCs w:val="20"/>
                <w:highlight w:val="yellow"/>
              </w:rPr>
            </w:pPr>
            <w:r>
              <w:rPr>
                <w:color w:val="000000"/>
                <w:sz w:val="20"/>
                <w:szCs w:val="20"/>
              </w:rPr>
              <w:t>0.343</w:t>
            </w:r>
          </w:p>
        </w:tc>
        <w:tc>
          <w:tcPr>
            <w:tcW w:w="784" w:type="dxa"/>
            <w:tcBorders>
              <w:top w:val="single" w:sz="12" w:space="0" w:color="auto"/>
              <w:left w:val="nil"/>
              <w:bottom w:val="nil"/>
              <w:right w:val="nil"/>
            </w:tcBorders>
            <w:shd w:val="clear" w:color="auto" w:fill="auto"/>
            <w:noWrap/>
            <w:vAlign w:val="bottom"/>
            <w:hideMark/>
          </w:tcPr>
          <w:p w14:paraId="778BC969" w14:textId="03BD1A29" w:rsidR="00E01EA5" w:rsidRDefault="00E01EA5" w:rsidP="00E01EA5">
            <w:pPr>
              <w:jc w:val="right"/>
              <w:rPr>
                <w:color w:val="000000"/>
                <w:sz w:val="20"/>
                <w:szCs w:val="20"/>
              </w:rPr>
            </w:pPr>
            <w:r>
              <w:rPr>
                <w:color w:val="000000"/>
                <w:sz w:val="20"/>
                <w:szCs w:val="20"/>
              </w:rPr>
              <w:t>0.000</w:t>
            </w:r>
          </w:p>
        </w:tc>
        <w:tc>
          <w:tcPr>
            <w:tcW w:w="893" w:type="dxa"/>
            <w:tcBorders>
              <w:top w:val="single" w:sz="12" w:space="0" w:color="auto"/>
              <w:left w:val="nil"/>
              <w:bottom w:val="nil"/>
              <w:right w:val="nil"/>
            </w:tcBorders>
            <w:shd w:val="clear" w:color="auto" w:fill="auto"/>
            <w:noWrap/>
            <w:vAlign w:val="bottom"/>
            <w:hideMark/>
          </w:tcPr>
          <w:p w14:paraId="48BAB043" w14:textId="2E24F665" w:rsidR="00E01EA5" w:rsidRDefault="00E01EA5" w:rsidP="00E01EA5">
            <w:pPr>
              <w:jc w:val="right"/>
              <w:rPr>
                <w:color w:val="000000"/>
                <w:sz w:val="20"/>
                <w:szCs w:val="20"/>
              </w:rPr>
            </w:pPr>
            <w:r>
              <w:rPr>
                <w:color w:val="000000"/>
                <w:sz w:val="20"/>
                <w:szCs w:val="20"/>
              </w:rPr>
              <w:t>-0.011</w:t>
            </w:r>
          </w:p>
        </w:tc>
        <w:tc>
          <w:tcPr>
            <w:tcW w:w="784" w:type="dxa"/>
            <w:tcBorders>
              <w:top w:val="single" w:sz="12" w:space="0" w:color="auto"/>
              <w:left w:val="nil"/>
              <w:bottom w:val="nil"/>
              <w:right w:val="nil"/>
            </w:tcBorders>
            <w:shd w:val="clear" w:color="auto" w:fill="auto"/>
            <w:noWrap/>
            <w:vAlign w:val="bottom"/>
            <w:hideMark/>
          </w:tcPr>
          <w:p w14:paraId="3D08E291" w14:textId="256BDDBA" w:rsidR="00E01EA5" w:rsidRDefault="00E01EA5" w:rsidP="00E01EA5">
            <w:pPr>
              <w:jc w:val="right"/>
              <w:rPr>
                <w:color w:val="000000"/>
                <w:sz w:val="20"/>
                <w:szCs w:val="20"/>
              </w:rPr>
            </w:pPr>
            <w:r>
              <w:rPr>
                <w:color w:val="000000"/>
                <w:sz w:val="20"/>
                <w:szCs w:val="20"/>
              </w:rPr>
              <w:t>0.902</w:t>
            </w:r>
          </w:p>
        </w:tc>
        <w:tc>
          <w:tcPr>
            <w:tcW w:w="784" w:type="dxa"/>
            <w:tcBorders>
              <w:top w:val="single" w:sz="12" w:space="0" w:color="auto"/>
              <w:left w:val="nil"/>
              <w:bottom w:val="nil"/>
              <w:right w:val="nil"/>
            </w:tcBorders>
            <w:shd w:val="clear" w:color="auto" w:fill="auto"/>
            <w:noWrap/>
            <w:vAlign w:val="bottom"/>
            <w:hideMark/>
          </w:tcPr>
          <w:p w14:paraId="18E8A18E" w14:textId="65B10771" w:rsidR="00E01EA5" w:rsidRDefault="00E01EA5" w:rsidP="00E01EA5">
            <w:pPr>
              <w:jc w:val="right"/>
              <w:rPr>
                <w:color w:val="000000"/>
                <w:sz w:val="20"/>
                <w:szCs w:val="20"/>
              </w:rPr>
            </w:pPr>
            <w:r>
              <w:rPr>
                <w:color w:val="000000"/>
                <w:sz w:val="20"/>
                <w:szCs w:val="20"/>
              </w:rPr>
              <w:t>0.000</w:t>
            </w:r>
          </w:p>
        </w:tc>
        <w:tc>
          <w:tcPr>
            <w:tcW w:w="893" w:type="dxa"/>
            <w:tcBorders>
              <w:top w:val="single" w:sz="12" w:space="0" w:color="auto"/>
              <w:left w:val="nil"/>
              <w:bottom w:val="nil"/>
              <w:right w:val="nil"/>
            </w:tcBorders>
            <w:shd w:val="clear" w:color="auto" w:fill="auto"/>
            <w:noWrap/>
            <w:vAlign w:val="bottom"/>
            <w:hideMark/>
          </w:tcPr>
          <w:p w14:paraId="2F8A8600" w14:textId="28AE2BE4" w:rsidR="00E01EA5" w:rsidRDefault="00E01EA5" w:rsidP="00E01EA5">
            <w:pPr>
              <w:jc w:val="right"/>
              <w:rPr>
                <w:color w:val="000000"/>
                <w:sz w:val="20"/>
                <w:szCs w:val="20"/>
              </w:rPr>
            </w:pPr>
            <w:r>
              <w:rPr>
                <w:color w:val="000000"/>
                <w:sz w:val="20"/>
                <w:szCs w:val="20"/>
              </w:rPr>
              <w:t>0.001</w:t>
            </w:r>
          </w:p>
        </w:tc>
        <w:tc>
          <w:tcPr>
            <w:tcW w:w="784" w:type="dxa"/>
            <w:tcBorders>
              <w:top w:val="single" w:sz="12" w:space="0" w:color="auto"/>
              <w:left w:val="nil"/>
              <w:bottom w:val="nil"/>
              <w:right w:val="nil"/>
            </w:tcBorders>
            <w:shd w:val="clear" w:color="auto" w:fill="auto"/>
            <w:noWrap/>
            <w:vAlign w:val="bottom"/>
            <w:hideMark/>
          </w:tcPr>
          <w:p w14:paraId="7043776D" w14:textId="1026B63F" w:rsidR="00E01EA5" w:rsidRDefault="00E01EA5" w:rsidP="00E01EA5">
            <w:pPr>
              <w:jc w:val="right"/>
              <w:rPr>
                <w:color w:val="000000"/>
                <w:sz w:val="20"/>
                <w:szCs w:val="20"/>
              </w:rPr>
            </w:pPr>
            <w:r>
              <w:rPr>
                <w:color w:val="000000"/>
                <w:sz w:val="20"/>
                <w:szCs w:val="20"/>
              </w:rPr>
              <w:t>0.972</w:t>
            </w:r>
          </w:p>
        </w:tc>
        <w:tc>
          <w:tcPr>
            <w:tcW w:w="784" w:type="dxa"/>
            <w:tcBorders>
              <w:top w:val="single" w:sz="12" w:space="0" w:color="auto"/>
              <w:left w:val="nil"/>
              <w:bottom w:val="nil"/>
              <w:right w:val="nil"/>
            </w:tcBorders>
            <w:shd w:val="clear" w:color="auto" w:fill="auto"/>
            <w:noWrap/>
            <w:vAlign w:val="bottom"/>
            <w:hideMark/>
          </w:tcPr>
          <w:p w14:paraId="67499119" w14:textId="492C70DA" w:rsidR="00E01EA5" w:rsidRDefault="00E01EA5" w:rsidP="00E01EA5">
            <w:pPr>
              <w:jc w:val="right"/>
              <w:rPr>
                <w:color w:val="000000"/>
                <w:sz w:val="20"/>
                <w:szCs w:val="20"/>
              </w:rPr>
            </w:pPr>
            <w:r>
              <w:rPr>
                <w:color w:val="000000"/>
                <w:sz w:val="20"/>
                <w:szCs w:val="20"/>
              </w:rPr>
              <w:t>0.000</w:t>
            </w:r>
          </w:p>
        </w:tc>
        <w:tc>
          <w:tcPr>
            <w:tcW w:w="893" w:type="dxa"/>
            <w:tcBorders>
              <w:top w:val="single" w:sz="12" w:space="0" w:color="auto"/>
              <w:left w:val="nil"/>
              <w:bottom w:val="nil"/>
              <w:right w:val="nil"/>
            </w:tcBorders>
            <w:shd w:val="clear" w:color="auto" w:fill="auto"/>
            <w:noWrap/>
            <w:vAlign w:val="bottom"/>
            <w:hideMark/>
          </w:tcPr>
          <w:p w14:paraId="0C5059B5" w14:textId="0FF1E00C" w:rsidR="00E01EA5" w:rsidRDefault="00E01EA5" w:rsidP="00E01EA5">
            <w:pPr>
              <w:jc w:val="right"/>
              <w:rPr>
                <w:b/>
                <w:bCs/>
                <w:color w:val="000000"/>
                <w:sz w:val="20"/>
                <w:szCs w:val="20"/>
              </w:rPr>
            </w:pPr>
            <w:r>
              <w:rPr>
                <w:b/>
                <w:bCs/>
                <w:color w:val="000000"/>
                <w:sz w:val="20"/>
                <w:szCs w:val="20"/>
              </w:rPr>
              <w:t>-0.089</w:t>
            </w:r>
          </w:p>
        </w:tc>
        <w:tc>
          <w:tcPr>
            <w:tcW w:w="784" w:type="dxa"/>
            <w:tcBorders>
              <w:top w:val="single" w:sz="12" w:space="0" w:color="auto"/>
              <w:left w:val="nil"/>
              <w:bottom w:val="nil"/>
              <w:right w:val="nil"/>
            </w:tcBorders>
            <w:shd w:val="clear" w:color="auto" w:fill="auto"/>
            <w:noWrap/>
            <w:vAlign w:val="bottom"/>
            <w:hideMark/>
          </w:tcPr>
          <w:p w14:paraId="018E1E45" w14:textId="4E2F1F6E" w:rsidR="00E01EA5" w:rsidRDefault="00E01EA5" w:rsidP="00E01EA5">
            <w:pPr>
              <w:jc w:val="right"/>
              <w:rPr>
                <w:b/>
                <w:bCs/>
                <w:color w:val="000000"/>
                <w:sz w:val="20"/>
                <w:szCs w:val="20"/>
              </w:rPr>
            </w:pPr>
            <w:r>
              <w:rPr>
                <w:b/>
                <w:bCs/>
                <w:color w:val="000000"/>
                <w:sz w:val="20"/>
                <w:szCs w:val="20"/>
              </w:rPr>
              <w:t>0.003</w:t>
            </w:r>
          </w:p>
        </w:tc>
        <w:tc>
          <w:tcPr>
            <w:tcW w:w="784" w:type="dxa"/>
            <w:tcBorders>
              <w:top w:val="single" w:sz="12" w:space="0" w:color="auto"/>
              <w:left w:val="nil"/>
              <w:bottom w:val="nil"/>
              <w:right w:val="nil"/>
            </w:tcBorders>
            <w:shd w:val="clear" w:color="auto" w:fill="auto"/>
            <w:noWrap/>
            <w:vAlign w:val="bottom"/>
            <w:hideMark/>
          </w:tcPr>
          <w:p w14:paraId="442BE24E" w14:textId="1E67B5BB" w:rsidR="00E01EA5" w:rsidRDefault="00E01EA5" w:rsidP="00E01EA5">
            <w:pPr>
              <w:jc w:val="right"/>
              <w:rPr>
                <w:b/>
                <w:bCs/>
                <w:color w:val="000000"/>
                <w:sz w:val="20"/>
                <w:szCs w:val="20"/>
              </w:rPr>
            </w:pPr>
            <w:r>
              <w:rPr>
                <w:b/>
                <w:bCs/>
                <w:color w:val="000000"/>
                <w:sz w:val="20"/>
                <w:szCs w:val="20"/>
              </w:rPr>
              <w:t>0.008</w:t>
            </w:r>
          </w:p>
        </w:tc>
      </w:tr>
      <w:tr w:rsidR="00E01EA5" w14:paraId="6754221E" w14:textId="77777777" w:rsidTr="0019576E">
        <w:trPr>
          <w:trHeight w:val="320"/>
        </w:trPr>
        <w:tc>
          <w:tcPr>
            <w:tcW w:w="820" w:type="dxa"/>
            <w:tcBorders>
              <w:top w:val="nil"/>
              <w:left w:val="nil"/>
              <w:bottom w:val="nil"/>
              <w:right w:val="nil"/>
            </w:tcBorders>
            <w:shd w:val="clear" w:color="auto" w:fill="auto"/>
            <w:noWrap/>
            <w:vAlign w:val="bottom"/>
            <w:hideMark/>
          </w:tcPr>
          <w:p w14:paraId="235D7D40" w14:textId="77777777" w:rsidR="00E01EA5" w:rsidRDefault="00E01EA5" w:rsidP="00E01EA5">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549ACC00" w14:textId="77777777" w:rsidR="00E01EA5" w:rsidRDefault="00E01EA5" w:rsidP="00E01EA5">
            <w:pPr>
              <w:rPr>
                <w:color w:val="000000"/>
                <w:sz w:val="20"/>
                <w:szCs w:val="20"/>
              </w:rPr>
            </w:pPr>
            <w:r>
              <w:rPr>
                <w:color w:val="000000"/>
                <w:sz w:val="20"/>
                <w:szCs w:val="20"/>
              </w:rPr>
              <w:t>17%</w:t>
            </w:r>
          </w:p>
        </w:tc>
        <w:tc>
          <w:tcPr>
            <w:tcW w:w="893" w:type="dxa"/>
            <w:tcBorders>
              <w:top w:val="nil"/>
              <w:left w:val="nil"/>
              <w:bottom w:val="nil"/>
              <w:right w:val="nil"/>
            </w:tcBorders>
            <w:shd w:val="clear" w:color="auto" w:fill="auto"/>
            <w:noWrap/>
            <w:vAlign w:val="bottom"/>
            <w:hideMark/>
          </w:tcPr>
          <w:p w14:paraId="51910E57" w14:textId="034E7E93" w:rsidR="00E01EA5" w:rsidRDefault="00E01EA5" w:rsidP="00E01EA5">
            <w:pPr>
              <w:jc w:val="right"/>
              <w:rPr>
                <w:b/>
                <w:bCs/>
                <w:color w:val="000000"/>
                <w:sz w:val="20"/>
                <w:szCs w:val="20"/>
              </w:rPr>
            </w:pPr>
            <w:r>
              <w:rPr>
                <w:b/>
                <w:bCs/>
                <w:color w:val="000000"/>
                <w:sz w:val="20"/>
                <w:szCs w:val="20"/>
              </w:rPr>
              <w:t>-0.071</w:t>
            </w:r>
          </w:p>
        </w:tc>
        <w:tc>
          <w:tcPr>
            <w:tcW w:w="784" w:type="dxa"/>
            <w:tcBorders>
              <w:top w:val="nil"/>
              <w:left w:val="nil"/>
              <w:bottom w:val="nil"/>
              <w:right w:val="nil"/>
            </w:tcBorders>
            <w:shd w:val="clear" w:color="auto" w:fill="auto"/>
            <w:noWrap/>
            <w:vAlign w:val="bottom"/>
            <w:hideMark/>
          </w:tcPr>
          <w:p w14:paraId="44E0007D" w14:textId="2D388C07" w:rsidR="00E01EA5" w:rsidRDefault="00E01EA5" w:rsidP="00E01EA5">
            <w:pPr>
              <w:jc w:val="right"/>
              <w:rPr>
                <w:b/>
                <w:bCs/>
                <w:color w:val="000000"/>
                <w:sz w:val="20"/>
                <w:szCs w:val="20"/>
              </w:rPr>
            </w:pPr>
            <w:r>
              <w:rPr>
                <w:b/>
                <w:bCs/>
                <w:color w:val="000000"/>
                <w:sz w:val="20"/>
                <w:szCs w:val="20"/>
              </w:rPr>
              <w:t>0.009</w:t>
            </w:r>
          </w:p>
        </w:tc>
        <w:tc>
          <w:tcPr>
            <w:tcW w:w="784" w:type="dxa"/>
            <w:tcBorders>
              <w:top w:val="nil"/>
              <w:left w:val="nil"/>
              <w:bottom w:val="nil"/>
              <w:right w:val="nil"/>
            </w:tcBorders>
            <w:shd w:val="clear" w:color="auto" w:fill="auto"/>
            <w:noWrap/>
            <w:vAlign w:val="bottom"/>
            <w:hideMark/>
          </w:tcPr>
          <w:p w14:paraId="607F8FED" w14:textId="33E5BD16" w:rsidR="00E01EA5" w:rsidRDefault="00E01EA5" w:rsidP="00E01EA5">
            <w:pPr>
              <w:jc w:val="right"/>
              <w:rPr>
                <w:b/>
                <w:bCs/>
                <w:color w:val="000000"/>
                <w:sz w:val="20"/>
                <w:szCs w:val="20"/>
              </w:rPr>
            </w:pPr>
            <w:r>
              <w:rPr>
                <w:b/>
                <w:bCs/>
                <w:color w:val="000000"/>
                <w:sz w:val="20"/>
                <w:szCs w:val="20"/>
              </w:rPr>
              <w:t>0.005</w:t>
            </w:r>
          </w:p>
        </w:tc>
        <w:tc>
          <w:tcPr>
            <w:tcW w:w="893" w:type="dxa"/>
            <w:tcBorders>
              <w:top w:val="nil"/>
              <w:left w:val="nil"/>
              <w:bottom w:val="nil"/>
              <w:right w:val="nil"/>
            </w:tcBorders>
            <w:shd w:val="clear" w:color="auto" w:fill="auto"/>
            <w:noWrap/>
            <w:vAlign w:val="bottom"/>
            <w:hideMark/>
          </w:tcPr>
          <w:p w14:paraId="18C1731B" w14:textId="318734AD" w:rsidR="00E01EA5" w:rsidRDefault="00E01EA5" w:rsidP="00E01EA5">
            <w:pPr>
              <w:jc w:val="right"/>
              <w:rPr>
                <w:color w:val="000000"/>
                <w:sz w:val="20"/>
                <w:szCs w:val="20"/>
              </w:rPr>
            </w:pPr>
            <w:r>
              <w:rPr>
                <w:color w:val="000000"/>
                <w:sz w:val="20"/>
                <w:szCs w:val="20"/>
              </w:rPr>
              <w:t>-0.022</w:t>
            </w:r>
          </w:p>
        </w:tc>
        <w:tc>
          <w:tcPr>
            <w:tcW w:w="784" w:type="dxa"/>
            <w:tcBorders>
              <w:top w:val="nil"/>
              <w:left w:val="nil"/>
              <w:bottom w:val="nil"/>
              <w:right w:val="nil"/>
            </w:tcBorders>
            <w:shd w:val="clear" w:color="auto" w:fill="auto"/>
            <w:noWrap/>
            <w:vAlign w:val="bottom"/>
            <w:hideMark/>
          </w:tcPr>
          <w:p w14:paraId="50699DE3" w14:textId="39B4390B" w:rsidR="00E01EA5" w:rsidRPr="00DE6EE0" w:rsidRDefault="00E01EA5" w:rsidP="00E01EA5">
            <w:pPr>
              <w:jc w:val="right"/>
              <w:rPr>
                <w:color w:val="000000"/>
                <w:sz w:val="20"/>
                <w:szCs w:val="20"/>
                <w:highlight w:val="yellow"/>
              </w:rPr>
            </w:pPr>
            <w:r>
              <w:rPr>
                <w:color w:val="000000"/>
                <w:sz w:val="20"/>
                <w:szCs w:val="20"/>
              </w:rPr>
              <w:t>0.343</w:t>
            </w:r>
          </w:p>
        </w:tc>
        <w:tc>
          <w:tcPr>
            <w:tcW w:w="784" w:type="dxa"/>
            <w:tcBorders>
              <w:top w:val="nil"/>
              <w:left w:val="nil"/>
              <w:bottom w:val="nil"/>
              <w:right w:val="nil"/>
            </w:tcBorders>
            <w:shd w:val="clear" w:color="auto" w:fill="auto"/>
            <w:noWrap/>
            <w:vAlign w:val="bottom"/>
            <w:hideMark/>
          </w:tcPr>
          <w:p w14:paraId="7EDAE773" w14:textId="7700E885"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2EEE2CC0" w14:textId="09783FF3" w:rsidR="00E01EA5" w:rsidRDefault="00E01EA5" w:rsidP="00E01EA5">
            <w:pPr>
              <w:jc w:val="right"/>
              <w:rPr>
                <w:color w:val="000000"/>
                <w:sz w:val="20"/>
                <w:szCs w:val="20"/>
              </w:rPr>
            </w:pPr>
            <w:r>
              <w:rPr>
                <w:color w:val="000000"/>
                <w:sz w:val="20"/>
                <w:szCs w:val="20"/>
              </w:rPr>
              <w:t>-0.008</w:t>
            </w:r>
          </w:p>
        </w:tc>
        <w:tc>
          <w:tcPr>
            <w:tcW w:w="784" w:type="dxa"/>
            <w:tcBorders>
              <w:top w:val="nil"/>
              <w:left w:val="nil"/>
              <w:bottom w:val="nil"/>
              <w:right w:val="nil"/>
            </w:tcBorders>
            <w:shd w:val="clear" w:color="auto" w:fill="auto"/>
            <w:noWrap/>
            <w:vAlign w:val="bottom"/>
            <w:hideMark/>
          </w:tcPr>
          <w:p w14:paraId="023792E7" w14:textId="7F0D68D5" w:rsidR="00E01EA5" w:rsidRDefault="00E01EA5" w:rsidP="00E01EA5">
            <w:pPr>
              <w:jc w:val="right"/>
              <w:rPr>
                <w:color w:val="000000"/>
                <w:sz w:val="20"/>
                <w:szCs w:val="20"/>
              </w:rPr>
            </w:pPr>
            <w:r>
              <w:rPr>
                <w:color w:val="000000"/>
                <w:sz w:val="20"/>
                <w:szCs w:val="20"/>
              </w:rPr>
              <w:t>0.902</w:t>
            </w:r>
          </w:p>
        </w:tc>
        <w:tc>
          <w:tcPr>
            <w:tcW w:w="784" w:type="dxa"/>
            <w:tcBorders>
              <w:top w:val="nil"/>
              <w:left w:val="nil"/>
              <w:bottom w:val="nil"/>
              <w:right w:val="nil"/>
            </w:tcBorders>
            <w:shd w:val="clear" w:color="auto" w:fill="auto"/>
            <w:noWrap/>
            <w:vAlign w:val="bottom"/>
            <w:hideMark/>
          </w:tcPr>
          <w:p w14:paraId="290B5088" w14:textId="6243C84A"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321D361E" w14:textId="6FC72469" w:rsidR="00E01EA5" w:rsidRDefault="00E01EA5" w:rsidP="00E01EA5">
            <w:pPr>
              <w:jc w:val="right"/>
              <w:rPr>
                <w:color w:val="000000"/>
                <w:sz w:val="20"/>
                <w:szCs w:val="20"/>
              </w:rPr>
            </w:pPr>
            <w:r>
              <w:rPr>
                <w:color w:val="000000"/>
                <w:sz w:val="20"/>
                <w:szCs w:val="20"/>
              </w:rPr>
              <w:t>-0.003</w:t>
            </w:r>
          </w:p>
        </w:tc>
        <w:tc>
          <w:tcPr>
            <w:tcW w:w="784" w:type="dxa"/>
            <w:tcBorders>
              <w:top w:val="nil"/>
              <w:left w:val="nil"/>
              <w:bottom w:val="nil"/>
              <w:right w:val="nil"/>
            </w:tcBorders>
            <w:shd w:val="clear" w:color="auto" w:fill="auto"/>
            <w:noWrap/>
            <w:vAlign w:val="bottom"/>
            <w:hideMark/>
          </w:tcPr>
          <w:p w14:paraId="25B1FD09" w14:textId="5DFA1126" w:rsidR="00E01EA5" w:rsidRDefault="00E01EA5" w:rsidP="00E01EA5">
            <w:pPr>
              <w:jc w:val="right"/>
              <w:rPr>
                <w:color w:val="000000"/>
                <w:sz w:val="20"/>
                <w:szCs w:val="20"/>
              </w:rPr>
            </w:pPr>
            <w:r>
              <w:rPr>
                <w:color w:val="000000"/>
                <w:sz w:val="20"/>
                <w:szCs w:val="20"/>
              </w:rPr>
              <w:t>0.972</w:t>
            </w:r>
          </w:p>
        </w:tc>
        <w:tc>
          <w:tcPr>
            <w:tcW w:w="784" w:type="dxa"/>
            <w:tcBorders>
              <w:top w:val="nil"/>
              <w:left w:val="nil"/>
              <w:bottom w:val="nil"/>
              <w:right w:val="nil"/>
            </w:tcBorders>
            <w:shd w:val="clear" w:color="auto" w:fill="auto"/>
            <w:noWrap/>
            <w:vAlign w:val="bottom"/>
            <w:hideMark/>
          </w:tcPr>
          <w:p w14:paraId="3844F778" w14:textId="4A1A7016"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48D68F15" w14:textId="17A40D71" w:rsidR="00E01EA5" w:rsidRDefault="00E01EA5" w:rsidP="00E01EA5">
            <w:pPr>
              <w:jc w:val="right"/>
              <w:rPr>
                <w:b/>
                <w:bCs/>
                <w:color w:val="000000"/>
                <w:sz w:val="20"/>
                <w:szCs w:val="20"/>
              </w:rPr>
            </w:pPr>
            <w:r>
              <w:rPr>
                <w:b/>
                <w:bCs/>
                <w:color w:val="000000"/>
                <w:sz w:val="20"/>
                <w:szCs w:val="20"/>
              </w:rPr>
              <w:t>-0.087</w:t>
            </w:r>
          </w:p>
        </w:tc>
        <w:tc>
          <w:tcPr>
            <w:tcW w:w="784" w:type="dxa"/>
            <w:tcBorders>
              <w:top w:val="nil"/>
              <w:left w:val="nil"/>
              <w:bottom w:val="nil"/>
              <w:right w:val="nil"/>
            </w:tcBorders>
            <w:shd w:val="clear" w:color="auto" w:fill="auto"/>
            <w:noWrap/>
            <w:vAlign w:val="bottom"/>
            <w:hideMark/>
          </w:tcPr>
          <w:p w14:paraId="6A3C0652" w14:textId="3FCA6881"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bottom w:val="nil"/>
              <w:right w:val="nil"/>
            </w:tcBorders>
            <w:shd w:val="clear" w:color="auto" w:fill="auto"/>
            <w:noWrap/>
            <w:vAlign w:val="bottom"/>
            <w:hideMark/>
          </w:tcPr>
          <w:p w14:paraId="1BCB74FF" w14:textId="56358D88" w:rsidR="00E01EA5" w:rsidRDefault="00E01EA5" w:rsidP="00E01EA5">
            <w:pPr>
              <w:jc w:val="right"/>
              <w:rPr>
                <w:b/>
                <w:bCs/>
                <w:color w:val="000000"/>
                <w:sz w:val="20"/>
                <w:szCs w:val="20"/>
              </w:rPr>
            </w:pPr>
            <w:r>
              <w:rPr>
                <w:b/>
                <w:bCs/>
                <w:color w:val="000000"/>
                <w:sz w:val="20"/>
                <w:szCs w:val="20"/>
              </w:rPr>
              <w:t>0.008</w:t>
            </w:r>
          </w:p>
        </w:tc>
      </w:tr>
      <w:tr w:rsidR="00E01EA5" w14:paraId="524DBCE9" w14:textId="77777777" w:rsidTr="0019576E">
        <w:trPr>
          <w:trHeight w:val="320"/>
        </w:trPr>
        <w:tc>
          <w:tcPr>
            <w:tcW w:w="820" w:type="dxa"/>
            <w:tcBorders>
              <w:top w:val="nil"/>
              <w:left w:val="nil"/>
              <w:bottom w:val="nil"/>
              <w:right w:val="nil"/>
            </w:tcBorders>
            <w:shd w:val="clear" w:color="auto" w:fill="auto"/>
            <w:noWrap/>
            <w:vAlign w:val="bottom"/>
            <w:hideMark/>
          </w:tcPr>
          <w:p w14:paraId="21ADBDAE" w14:textId="77777777" w:rsidR="00E01EA5" w:rsidRDefault="00E01EA5" w:rsidP="00E01EA5">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21527B74" w14:textId="77777777" w:rsidR="00E01EA5" w:rsidRDefault="00E01EA5" w:rsidP="00E01EA5">
            <w:pPr>
              <w:rPr>
                <w:color w:val="000000"/>
                <w:sz w:val="20"/>
                <w:szCs w:val="20"/>
              </w:rPr>
            </w:pPr>
            <w:r>
              <w:rPr>
                <w:color w:val="000000"/>
                <w:sz w:val="20"/>
                <w:szCs w:val="20"/>
              </w:rPr>
              <w:t>23%</w:t>
            </w:r>
          </w:p>
        </w:tc>
        <w:tc>
          <w:tcPr>
            <w:tcW w:w="893" w:type="dxa"/>
            <w:tcBorders>
              <w:top w:val="nil"/>
              <w:left w:val="nil"/>
              <w:bottom w:val="nil"/>
              <w:right w:val="nil"/>
            </w:tcBorders>
            <w:shd w:val="clear" w:color="auto" w:fill="auto"/>
            <w:noWrap/>
            <w:vAlign w:val="bottom"/>
            <w:hideMark/>
          </w:tcPr>
          <w:p w14:paraId="7456D04D" w14:textId="52AD53EF" w:rsidR="00E01EA5" w:rsidRDefault="00E01EA5" w:rsidP="00E01EA5">
            <w:pPr>
              <w:jc w:val="right"/>
              <w:rPr>
                <w:b/>
                <w:bCs/>
                <w:color w:val="000000"/>
                <w:sz w:val="20"/>
                <w:szCs w:val="20"/>
              </w:rPr>
            </w:pPr>
            <w:r>
              <w:rPr>
                <w:b/>
                <w:bCs/>
                <w:color w:val="000000"/>
                <w:sz w:val="20"/>
                <w:szCs w:val="20"/>
              </w:rPr>
              <w:t>-0.075</w:t>
            </w:r>
          </w:p>
        </w:tc>
        <w:tc>
          <w:tcPr>
            <w:tcW w:w="784" w:type="dxa"/>
            <w:tcBorders>
              <w:top w:val="nil"/>
              <w:left w:val="nil"/>
              <w:bottom w:val="nil"/>
              <w:right w:val="nil"/>
            </w:tcBorders>
            <w:shd w:val="clear" w:color="auto" w:fill="auto"/>
            <w:noWrap/>
            <w:vAlign w:val="bottom"/>
            <w:hideMark/>
          </w:tcPr>
          <w:p w14:paraId="41821EE5" w14:textId="0569D608" w:rsidR="00E01EA5" w:rsidRDefault="00E01EA5" w:rsidP="00E01EA5">
            <w:pPr>
              <w:jc w:val="right"/>
              <w:rPr>
                <w:b/>
                <w:bCs/>
                <w:color w:val="000000"/>
                <w:sz w:val="20"/>
                <w:szCs w:val="20"/>
              </w:rPr>
            </w:pPr>
            <w:r>
              <w:rPr>
                <w:b/>
                <w:bCs/>
                <w:color w:val="000000"/>
                <w:sz w:val="20"/>
                <w:szCs w:val="20"/>
              </w:rPr>
              <w:t>0.008</w:t>
            </w:r>
          </w:p>
        </w:tc>
        <w:tc>
          <w:tcPr>
            <w:tcW w:w="784" w:type="dxa"/>
            <w:tcBorders>
              <w:top w:val="nil"/>
              <w:left w:val="nil"/>
              <w:bottom w:val="nil"/>
              <w:right w:val="nil"/>
            </w:tcBorders>
            <w:shd w:val="clear" w:color="auto" w:fill="auto"/>
            <w:noWrap/>
            <w:vAlign w:val="bottom"/>
            <w:hideMark/>
          </w:tcPr>
          <w:p w14:paraId="37E81A06" w14:textId="0EC479DC" w:rsidR="00E01EA5" w:rsidRDefault="00E01EA5" w:rsidP="00E01EA5">
            <w:pPr>
              <w:jc w:val="right"/>
              <w:rPr>
                <w:b/>
                <w:bCs/>
                <w:color w:val="000000"/>
                <w:sz w:val="20"/>
                <w:szCs w:val="20"/>
              </w:rPr>
            </w:pPr>
            <w:r>
              <w:rPr>
                <w:b/>
                <w:bCs/>
                <w:color w:val="000000"/>
                <w:sz w:val="20"/>
                <w:szCs w:val="20"/>
              </w:rPr>
              <w:t>0.006</w:t>
            </w:r>
          </w:p>
        </w:tc>
        <w:tc>
          <w:tcPr>
            <w:tcW w:w="893" w:type="dxa"/>
            <w:tcBorders>
              <w:top w:val="nil"/>
              <w:left w:val="nil"/>
              <w:bottom w:val="nil"/>
              <w:right w:val="nil"/>
            </w:tcBorders>
            <w:shd w:val="clear" w:color="auto" w:fill="auto"/>
            <w:noWrap/>
            <w:vAlign w:val="bottom"/>
            <w:hideMark/>
          </w:tcPr>
          <w:p w14:paraId="5E3B220F" w14:textId="2FE96C81" w:rsidR="00E01EA5" w:rsidRDefault="00E01EA5" w:rsidP="00E01EA5">
            <w:pPr>
              <w:jc w:val="right"/>
              <w:rPr>
                <w:color w:val="000000"/>
                <w:sz w:val="20"/>
                <w:szCs w:val="20"/>
              </w:rPr>
            </w:pPr>
            <w:r>
              <w:rPr>
                <w:color w:val="000000"/>
                <w:sz w:val="20"/>
                <w:szCs w:val="20"/>
              </w:rPr>
              <w:t>-0.022</w:t>
            </w:r>
          </w:p>
        </w:tc>
        <w:tc>
          <w:tcPr>
            <w:tcW w:w="784" w:type="dxa"/>
            <w:tcBorders>
              <w:top w:val="nil"/>
              <w:left w:val="nil"/>
              <w:bottom w:val="nil"/>
              <w:right w:val="nil"/>
            </w:tcBorders>
            <w:shd w:val="clear" w:color="auto" w:fill="auto"/>
            <w:noWrap/>
            <w:vAlign w:val="bottom"/>
            <w:hideMark/>
          </w:tcPr>
          <w:p w14:paraId="1D967709" w14:textId="3EEB83E6" w:rsidR="00E01EA5" w:rsidRPr="00DE6EE0" w:rsidRDefault="00E01EA5" w:rsidP="00E01EA5">
            <w:pPr>
              <w:jc w:val="right"/>
              <w:rPr>
                <w:color w:val="000000"/>
                <w:sz w:val="20"/>
                <w:szCs w:val="20"/>
                <w:highlight w:val="yellow"/>
              </w:rPr>
            </w:pPr>
            <w:r>
              <w:rPr>
                <w:color w:val="000000"/>
                <w:sz w:val="20"/>
                <w:szCs w:val="20"/>
              </w:rPr>
              <w:t>0.343</w:t>
            </w:r>
          </w:p>
        </w:tc>
        <w:tc>
          <w:tcPr>
            <w:tcW w:w="784" w:type="dxa"/>
            <w:tcBorders>
              <w:top w:val="nil"/>
              <w:left w:val="nil"/>
              <w:bottom w:val="nil"/>
              <w:right w:val="nil"/>
            </w:tcBorders>
            <w:shd w:val="clear" w:color="auto" w:fill="auto"/>
            <w:noWrap/>
            <w:vAlign w:val="bottom"/>
            <w:hideMark/>
          </w:tcPr>
          <w:p w14:paraId="30616917" w14:textId="02471B26"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24096283" w14:textId="16F81D52" w:rsidR="00E01EA5" w:rsidRDefault="00E01EA5" w:rsidP="00E01EA5">
            <w:pPr>
              <w:jc w:val="right"/>
              <w:rPr>
                <w:color w:val="000000"/>
                <w:sz w:val="20"/>
                <w:szCs w:val="20"/>
              </w:rPr>
            </w:pPr>
            <w:r>
              <w:rPr>
                <w:color w:val="000000"/>
                <w:sz w:val="20"/>
                <w:szCs w:val="20"/>
              </w:rPr>
              <w:t>-0.004</w:t>
            </w:r>
          </w:p>
        </w:tc>
        <w:tc>
          <w:tcPr>
            <w:tcW w:w="784" w:type="dxa"/>
            <w:tcBorders>
              <w:top w:val="nil"/>
              <w:left w:val="nil"/>
              <w:bottom w:val="nil"/>
              <w:right w:val="nil"/>
            </w:tcBorders>
            <w:shd w:val="clear" w:color="auto" w:fill="auto"/>
            <w:noWrap/>
            <w:vAlign w:val="bottom"/>
            <w:hideMark/>
          </w:tcPr>
          <w:p w14:paraId="1714F630" w14:textId="02696AF3" w:rsidR="00E01EA5" w:rsidRDefault="00E01EA5" w:rsidP="00E01EA5">
            <w:pPr>
              <w:jc w:val="right"/>
              <w:rPr>
                <w:color w:val="000000"/>
                <w:sz w:val="20"/>
                <w:szCs w:val="20"/>
              </w:rPr>
            </w:pPr>
            <w:r>
              <w:rPr>
                <w:color w:val="000000"/>
                <w:sz w:val="20"/>
                <w:szCs w:val="20"/>
              </w:rPr>
              <w:t>0.902</w:t>
            </w:r>
          </w:p>
        </w:tc>
        <w:tc>
          <w:tcPr>
            <w:tcW w:w="784" w:type="dxa"/>
            <w:tcBorders>
              <w:top w:val="nil"/>
              <w:left w:val="nil"/>
              <w:bottom w:val="nil"/>
              <w:right w:val="nil"/>
            </w:tcBorders>
            <w:shd w:val="clear" w:color="auto" w:fill="auto"/>
            <w:noWrap/>
            <w:vAlign w:val="bottom"/>
            <w:hideMark/>
          </w:tcPr>
          <w:p w14:paraId="1A354490" w14:textId="11532373"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089419D7" w14:textId="00B8A454" w:rsidR="00E01EA5" w:rsidRDefault="00E01EA5" w:rsidP="00E01EA5">
            <w:pPr>
              <w:jc w:val="right"/>
              <w:rPr>
                <w:color w:val="000000"/>
                <w:sz w:val="20"/>
                <w:szCs w:val="20"/>
              </w:rPr>
            </w:pPr>
            <w:r>
              <w:rPr>
                <w:color w:val="000000"/>
                <w:sz w:val="20"/>
                <w:szCs w:val="20"/>
              </w:rPr>
              <w:t>-0.006</w:t>
            </w:r>
          </w:p>
        </w:tc>
        <w:tc>
          <w:tcPr>
            <w:tcW w:w="784" w:type="dxa"/>
            <w:tcBorders>
              <w:top w:val="nil"/>
              <w:left w:val="nil"/>
              <w:bottom w:val="nil"/>
              <w:right w:val="nil"/>
            </w:tcBorders>
            <w:shd w:val="clear" w:color="auto" w:fill="auto"/>
            <w:noWrap/>
            <w:vAlign w:val="bottom"/>
            <w:hideMark/>
          </w:tcPr>
          <w:p w14:paraId="34AFF232" w14:textId="73BDBA00" w:rsidR="00E01EA5" w:rsidRDefault="00E01EA5" w:rsidP="00E01EA5">
            <w:pPr>
              <w:jc w:val="right"/>
              <w:rPr>
                <w:color w:val="000000"/>
                <w:sz w:val="20"/>
                <w:szCs w:val="20"/>
              </w:rPr>
            </w:pPr>
            <w:r>
              <w:rPr>
                <w:color w:val="000000"/>
                <w:sz w:val="20"/>
                <w:szCs w:val="20"/>
              </w:rPr>
              <w:t>0.972</w:t>
            </w:r>
          </w:p>
        </w:tc>
        <w:tc>
          <w:tcPr>
            <w:tcW w:w="784" w:type="dxa"/>
            <w:tcBorders>
              <w:top w:val="nil"/>
              <w:left w:val="nil"/>
              <w:bottom w:val="nil"/>
              <w:right w:val="nil"/>
            </w:tcBorders>
            <w:shd w:val="clear" w:color="auto" w:fill="auto"/>
            <w:noWrap/>
            <w:vAlign w:val="bottom"/>
            <w:hideMark/>
          </w:tcPr>
          <w:p w14:paraId="5CEB3EA1" w14:textId="1652D86A"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47CE97DB" w14:textId="0D3E96D0" w:rsidR="00E01EA5" w:rsidRDefault="00E01EA5" w:rsidP="00E01EA5">
            <w:pPr>
              <w:jc w:val="right"/>
              <w:rPr>
                <w:b/>
                <w:bCs/>
                <w:color w:val="000000"/>
                <w:sz w:val="20"/>
                <w:szCs w:val="20"/>
              </w:rPr>
            </w:pPr>
            <w:r>
              <w:rPr>
                <w:b/>
                <w:bCs/>
                <w:color w:val="000000"/>
                <w:sz w:val="20"/>
                <w:szCs w:val="20"/>
              </w:rPr>
              <w:t>-0.087</w:t>
            </w:r>
          </w:p>
        </w:tc>
        <w:tc>
          <w:tcPr>
            <w:tcW w:w="784" w:type="dxa"/>
            <w:tcBorders>
              <w:top w:val="nil"/>
              <w:left w:val="nil"/>
              <w:bottom w:val="nil"/>
              <w:right w:val="nil"/>
            </w:tcBorders>
            <w:shd w:val="clear" w:color="auto" w:fill="auto"/>
            <w:noWrap/>
            <w:vAlign w:val="bottom"/>
            <w:hideMark/>
          </w:tcPr>
          <w:p w14:paraId="5BA47F94" w14:textId="051C2D38"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bottom w:val="nil"/>
              <w:right w:val="nil"/>
            </w:tcBorders>
            <w:shd w:val="clear" w:color="auto" w:fill="auto"/>
            <w:noWrap/>
            <w:vAlign w:val="bottom"/>
            <w:hideMark/>
          </w:tcPr>
          <w:p w14:paraId="50BF347F" w14:textId="78CCD08C" w:rsidR="00E01EA5" w:rsidRDefault="00E01EA5" w:rsidP="00E01EA5">
            <w:pPr>
              <w:jc w:val="right"/>
              <w:rPr>
                <w:b/>
                <w:bCs/>
                <w:color w:val="000000"/>
                <w:sz w:val="20"/>
                <w:szCs w:val="20"/>
              </w:rPr>
            </w:pPr>
            <w:r>
              <w:rPr>
                <w:b/>
                <w:bCs/>
                <w:color w:val="000000"/>
                <w:sz w:val="20"/>
                <w:szCs w:val="20"/>
              </w:rPr>
              <w:t>0.008</w:t>
            </w:r>
          </w:p>
        </w:tc>
      </w:tr>
      <w:tr w:rsidR="00E01EA5" w14:paraId="09943031" w14:textId="77777777" w:rsidTr="0019576E">
        <w:trPr>
          <w:trHeight w:val="340"/>
        </w:trPr>
        <w:tc>
          <w:tcPr>
            <w:tcW w:w="820" w:type="dxa"/>
            <w:tcBorders>
              <w:top w:val="nil"/>
              <w:left w:val="nil"/>
              <w:bottom w:val="single" w:sz="8" w:space="0" w:color="auto"/>
              <w:right w:val="nil"/>
            </w:tcBorders>
            <w:shd w:val="clear" w:color="auto" w:fill="auto"/>
            <w:noWrap/>
            <w:vAlign w:val="bottom"/>
            <w:hideMark/>
          </w:tcPr>
          <w:p w14:paraId="0B550925" w14:textId="77777777" w:rsidR="00E01EA5" w:rsidRDefault="00E01EA5" w:rsidP="00E01EA5">
            <w:pPr>
              <w:rPr>
                <w:color w:val="000000"/>
                <w:sz w:val="20"/>
                <w:szCs w:val="20"/>
              </w:rPr>
            </w:pPr>
            <w:r>
              <w:rPr>
                <w:color w:val="000000"/>
                <w:sz w:val="20"/>
                <w:szCs w:val="20"/>
              </w:rPr>
              <w:t> </w:t>
            </w:r>
          </w:p>
        </w:tc>
        <w:tc>
          <w:tcPr>
            <w:tcW w:w="1027" w:type="dxa"/>
            <w:tcBorders>
              <w:top w:val="nil"/>
              <w:left w:val="nil"/>
              <w:bottom w:val="single" w:sz="8" w:space="0" w:color="auto"/>
              <w:right w:val="nil"/>
            </w:tcBorders>
            <w:shd w:val="clear" w:color="auto" w:fill="auto"/>
            <w:noWrap/>
            <w:vAlign w:val="bottom"/>
            <w:hideMark/>
          </w:tcPr>
          <w:p w14:paraId="584C8364" w14:textId="77777777" w:rsidR="00E01EA5" w:rsidRDefault="00E01EA5" w:rsidP="00E01EA5">
            <w:pPr>
              <w:rPr>
                <w:color w:val="000000"/>
                <w:sz w:val="20"/>
                <w:szCs w:val="20"/>
              </w:rPr>
            </w:pPr>
            <w:r>
              <w:rPr>
                <w:color w:val="000000"/>
                <w:sz w:val="20"/>
                <w:szCs w:val="20"/>
              </w:rPr>
              <w:t>30%</w:t>
            </w:r>
          </w:p>
        </w:tc>
        <w:tc>
          <w:tcPr>
            <w:tcW w:w="893" w:type="dxa"/>
            <w:tcBorders>
              <w:top w:val="nil"/>
              <w:left w:val="nil"/>
              <w:bottom w:val="single" w:sz="8" w:space="0" w:color="auto"/>
              <w:right w:val="nil"/>
            </w:tcBorders>
            <w:shd w:val="clear" w:color="auto" w:fill="auto"/>
            <w:noWrap/>
            <w:vAlign w:val="bottom"/>
            <w:hideMark/>
          </w:tcPr>
          <w:p w14:paraId="0A5980F4" w14:textId="3C780F95" w:rsidR="00E01EA5" w:rsidRDefault="00E01EA5" w:rsidP="00E01EA5">
            <w:pPr>
              <w:jc w:val="right"/>
              <w:rPr>
                <w:b/>
                <w:bCs/>
                <w:color w:val="000000"/>
                <w:sz w:val="20"/>
                <w:szCs w:val="20"/>
              </w:rPr>
            </w:pPr>
            <w:r>
              <w:rPr>
                <w:b/>
                <w:bCs/>
                <w:color w:val="000000"/>
                <w:sz w:val="20"/>
                <w:szCs w:val="20"/>
              </w:rPr>
              <w:t>-0.077</w:t>
            </w:r>
          </w:p>
        </w:tc>
        <w:tc>
          <w:tcPr>
            <w:tcW w:w="784" w:type="dxa"/>
            <w:tcBorders>
              <w:top w:val="nil"/>
              <w:left w:val="nil"/>
              <w:bottom w:val="single" w:sz="8" w:space="0" w:color="auto"/>
              <w:right w:val="nil"/>
            </w:tcBorders>
            <w:shd w:val="clear" w:color="auto" w:fill="auto"/>
            <w:noWrap/>
            <w:vAlign w:val="bottom"/>
            <w:hideMark/>
          </w:tcPr>
          <w:p w14:paraId="26B4BA27" w14:textId="7F0F2F7A" w:rsidR="00E01EA5" w:rsidRDefault="00E01EA5" w:rsidP="00E01EA5">
            <w:pPr>
              <w:jc w:val="right"/>
              <w:rPr>
                <w:b/>
                <w:bCs/>
                <w:color w:val="000000"/>
                <w:sz w:val="20"/>
                <w:szCs w:val="20"/>
              </w:rPr>
            </w:pPr>
            <w:r>
              <w:rPr>
                <w:b/>
                <w:bCs/>
                <w:color w:val="000000"/>
                <w:sz w:val="20"/>
                <w:szCs w:val="20"/>
              </w:rPr>
              <w:t>0.008</w:t>
            </w:r>
          </w:p>
        </w:tc>
        <w:tc>
          <w:tcPr>
            <w:tcW w:w="784" w:type="dxa"/>
            <w:tcBorders>
              <w:top w:val="nil"/>
              <w:left w:val="nil"/>
              <w:bottom w:val="single" w:sz="8" w:space="0" w:color="auto"/>
              <w:right w:val="nil"/>
            </w:tcBorders>
            <w:shd w:val="clear" w:color="auto" w:fill="auto"/>
            <w:noWrap/>
            <w:vAlign w:val="bottom"/>
            <w:hideMark/>
          </w:tcPr>
          <w:p w14:paraId="7E5635C4" w14:textId="228DE3B5" w:rsidR="00E01EA5" w:rsidRDefault="00E01EA5" w:rsidP="00E01EA5">
            <w:pPr>
              <w:jc w:val="right"/>
              <w:rPr>
                <w:b/>
                <w:bCs/>
                <w:color w:val="000000"/>
                <w:sz w:val="20"/>
                <w:szCs w:val="20"/>
              </w:rPr>
            </w:pPr>
            <w:r>
              <w:rPr>
                <w:b/>
                <w:bCs/>
                <w:color w:val="000000"/>
                <w:sz w:val="20"/>
                <w:szCs w:val="20"/>
              </w:rPr>
              <w:t>0.006</w:t>
            </w:r>
          </w:p>
        </w:tc>
        <w:tc>
          <w:tcPr>
            <w:tcW w:w="893" w:type="dxa"/>
            <w:tcBorders>
              <w:top w:val="nil"/>
              <w:left w:val="nil"/>
              <w:bottom w:val="single" w:sz="8" w:space="0" w:color="auto"/>
              <w:right w:val="nil"/>
            </w:tcBorders>
            <w:shd w:val="clear" w:color="auto" w:fill="auto"/>
            <w:noWrap/>
            <w:vAlign w:val="bottom"/>
            <w:hideMark/>
          </w:tcPr>
          <w:p w14:paraId="4C59AAF8" w14:textId="261BEEB6" w:rsidR="00E01EA5" w:rsidRDefault="00E01EA5" w:rsidP="00E01EA5">
            <w:pPr>
              <w:jc w:val="right"/>
              <w:rPr>
                <w:color w:val="000000"/>
                <w:sz w:val="20"/>
                <w:szCs w:val="20"/>
              </w:rPr>
            </w:pPr>
            <w:r>
              <w:rPr>
                <w:color w:val="000000"/>
                <w:sz w:val="20"/>
                <w:szCs w:val="20"/>
              </w:rPr>
              <w:t>-0.021</w:t>
            </w:r>
          </w:p>
        </w:tc>
        <w:tc>
          <w:tcPr>
            <w:tcW w:w="784" w:type="dxa"/>
            <w:tcBorders>
              <w:top w:val="nil"/>
              <w:left w:val="nil"/>
              <w:bottom w:val="single" w:sz="8" w:space="0" w:color="auto"/>
              <w:right w:val="nil"/>
            </w:tcBorders>
            <w:shd w:val="clear" w:color="auto" w:fill="auto"/>
            <w:noWrap/>
            <w:vAlign w:val="bottom"/>
            <w:hideMark/>
          </w:tcPr>
          <w:p w14:paraId="2700D538" w14:textId="08FD1573" w:rsidR="00E01EA5" w:rsidRPr="00DE6EE0" w:rsidRDefault="00E01EA5" w:rsidP="00E01EA5">
            <w:pPr>
              <w:jc w:val="right"/>
              <w:rPr>
                <w:color w:val="000000"/>
                <w:sz w:val="20"/>
                <w:szCs w:val="20"/>
                <w:highlight w:val="yellow"/>
              </w:rPr>
            </w:pPr>
            <w:r>
              <w:rPr>
                <w:color w:val="000000"/>
                <w:sz w:val="20"/>
                <w:szCs w:val="20"/>
              </w:rPr>
              <w:t>0.343</w:t>
            </w:r>
          </w:p>
        </w:tc>
        <w:tc>
          <w:tcPr>
            <w:tcW w:w="784" w:type="dxa"/>
            <w:tcBorders>
              <w:top w:val="nil"/>
              <w:left w:val="nil"/>
              <w:bottom w:val="single" w:sz="8" w:space="0" w:color="auto"/>
              <w:right w:val="nil"/>
            </w:tcBorders>
            <w:shd w:val="clear" w:color="auto" w:fill="auto"/>
            <w:noWrap/>
            <w:vAlign w:val="bottom"/>
            <w:hideMark/>
          </w:tcPr>
          <w:p w14:paraId="6600991D" w14:textId="774B0EEE"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3FFECA39" w14:textId="3A42CC48" w:rsidR="00E01EA5" w:rsidRDefault="00E01EA5" w:rsidP="00E01EA5">
            <w:pPr>
              <w:jc w:val="right"/>
              <w:rPr>
                <w:color w:val="000000"/>
                <w:sz w:val="20"/>
                <w:szCs w:val="20"/>
              </w:rPr>
            </w:pPr>
            <w:r>
              <w:rPr>
                <w:color w:val="000000"/>
                <w:sz w:val="20"/>
                <w:szCs w:val="20"/>
              </w:rPr>
              <w:t>-0.002</w:t>
            </w:r>
          </w:p>
        </w:tc>
        <w:tc>
          <w:tcPr>
            <w:tcW w:w="784" w:type="dxa"/>
            <w:tcBorders>
              <w:top w:val="nil"/>
              <w:left w:val="nil"/>
              <w:bottom w:val="single" w:sz="8" w:space="0" w:color="auto"/>
              <w:right w:val="nil"/>
            </w:tcBorders>
            <w:shd w:val="clear" w:color="auto" w:fill="auto"/>
            <w:noWrap/>
            <w:vAlign w:val="bottom"/>
            <w:hideMark/>
          </w:tcPr>
          <w:p w14:paraId="2CA0BAA2" w14:textId="36F85798" w:rsidR="00E01EA5" w:rsidRDefault="00E01EA5" w:rsidP="00E01EA5">
            <w:pPr>
              <w:jc w:val="right"/>
              <w:rPr>
                <w:color w:val="000000"/>
                <w:sz w:val="20"/>
                <w:szCs w:val="20"/>
              </w:rPr>
            </w:pPr>
            <w:r>
              <w:rPr>
                <w:color w:val="000000"/>
                <w:sz w:val="20"/>
                <w:szCs w:val="20"/>
              </w:rPr>
              <w:t>0.902</w:t>
            </w:r>
          </w:p>
        </w:tc>
        <w:tc>
          <w:tcPr>
            <w:tcW w:w="784" w:type="dxa"/>
            <w:tcBorders>
              <w:top w:val="nil"/>
              <w:left w:val="nil"/>
              <w:bottom w:val="single" w:sz="8" w:space="0" w:color="auto"/>
              <w:right w:val="nil"/>
            </w:tcBorders>
            <w:shd w:val="clear" w:color="auto" w:fill="auto"/>
            <w:noWrap/>
            <w:vAlign w:val="bottom"/>
            <w:hideMark/>
          </w:tcPr>
          <w:p w14:paraId="2D24AF18" w14:textId="2C3A7052"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735E082D" w14:textId="195603D7" w:rsidR="00E01EA5" w:rsidRDefault="00E01EA5" w:rsidP="00E01EA5">
            <w:pPr>
              <w:jc w:val="right"/>
              <w:rPr>
                <w:color w:val="000000"/>
                <w:sz w:val="20"/>
                <w:szCs w:val="20"/>
              </w:rPr>
            </w:pPr>
            <w:r>
              <w:rPr>
                <w:color w:val="000000"/>
                <w:sz w:val="20"/>
                <w:szCs w:val="20"/>
              </w:rPr>
              <w:t>-0.008</w:t>
            </w:r>
          </w:p>
        </w:tc>
        <w:tc>
          <w:tcPr>
            <w:tcW w:w="784" w:type="dxa"/>
            <w:tcBorders>
              <w:top w:val="nil"/>
              <w:left w:val="nil"/>
              <w:bottom w:val="single" w:sz="8" w:space="0" w:color="auto"/>
              <w:right w:val="nil"/>
            </w:tcBorders>
            <w:shd w:val="clear" w:color="auto" w:fill="auto"/>
            <w:noWrap/>
            <w:vAlign w:val="bottom"/>
            <w:hideMark/>
          </w:tcPr>
          <w:p w14:paraId="796CAC17" w14:textId="4999C2D5" w:rsidR="00E01EA5" w:rsidRDefault="00E01EA5" w:rsidP="00E01EA5">
            <w:pPr>
              <w:jc w:val="right"/>
              <w:rPr>
                <w:color w:val="000000"/>
                <w:sz w:val="20"/>
                <w:szCs w:val="20"/>
              </w:rPr>
            </w:pPr>
            <w:r>
              <w:rPr>
                <w:color w:val="000000"/>
                <w:sz w:val="20"/>
                <w:szCs w:val="20"/>
              </w:rPr>
              <w:t>0.972</w:t>
            </w:r>
          </w:p>
        </w:tc>
        <w:tc>
          <w:tcPr>
            <w:tcW w:w="784" w:type="dxa"/>
            <w:tcBorders>
              <w:top w:val="nil"/>
              <w:left w:val="nil"/>
              <w:bottom w:val="single" w:sz="8" w:space="0" w:color="auto"/>
              <w:right w:val="nil"/>
            </w:tcBorders>
            <w:shd w:val="clear" w:color="auto" w:fill="auto"/>
            <w:noWrap/>
            <w:vAlign w:val="bottom"/>
            <w:hideMark/>
          </w:tcPr>
          <w:p w14:paraId="5912F766" w14:textId="2B1CDDEE"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47A9E66F" w14:textId="3B8A4FFD" w:rsidR="00E01EA5" w:rsidRDefault="00E01EA5" w:rsidP="00E01EA5">
            <w:pPr>
              <w:jc w:val="right"/>
              <w:rPr>
                <w:b/>
                <w:bCs/>
                <w:color w:val="000000"/>
                <w:sz w:val="20"/>
                <w:szCs w:val="20"/>
              </w:rPr>
            </w:pPr>
            <w:r>
              <w:rPr>
                <w:b/>
                <w:bCs/>
                <w:color w:val="000000"/>
                <w:sz w:val="20"/>
                <w:szCs w:val="20"/>
              </w:rPr>
              <w:t>-0.087</w:t>
            </w:r>
          </w:p>
        </w:tc>
        <w:tc>
          <w:tcPr>
            <w:tcW w:w="784" w:type="dxa"/>
            <w:tcBorders>
              <w:top w:val="nil"/>
              <w:left w:val="nil"/>
              <w:bottom w:val="single" w:sz="8" w:space="0" w:color="auto"/>
              <w:right w:val="nil"/>
            </w:tcBorders>
            <w:shd w:val="clear" w:color="auto" w:fill="auto"/>
            <w:noWrap/>
            <w:vAlign w:val="bottom"/>
            <w:hideMark/>
          </w:tcPr>
          <w:p w14:paraId="5BFA1D1E" w14:textId="5329AD67"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bottom w:val="single" w:sz="8" w:space="0" w:color="auto"/>
              <w:right w:val="nil"/>
            </w:tcBorders>
            <w:shd w:val="clear" w:color="auto" w:fill="auto"/>
            <w:noWrap/>
            <w:vAlign w:val="bottom"/>
            <w:hideMark/>
          </w:tcPr>
          <w:p w14:paraId="253BFE36" w14:textId="4C87F9EC" w:rsidR="00E01EA5" w:rsidRDefault="00E01EA5" w:rsidP="00E01EA5">
            <w:pPr>
              <w:jc w:val="right"/>
              <w:rPr>
                <w:b/>
                <w:bCs/>
                <w:color w:val="000000"/>
                <w:sz w:val="20"/>
                <w:szCs w:val="20"/>
              </w:rPr>
            </w:pPr>
            <w:r>
              <w:rPr>
                <w:b/>
                <w:bCs/>
                <w:color w:val="000000"/>
                <w:sz w:val="20"/>
                <w:szCs w:val="20"/>
              </w:rPr>
              <w:t>0.008</w:t>
            </w:r>
          </w:p>
        </w:tc>
      </w:tr>
      <w:tr w:rsidR="00E01EA5" w14:paraId="3EF4204E" w14:textId="77777777" w:rsidTr="0019576E">
        <w:trPr>
          <w:trHeight w:val="320"/>
        </w:trPr>
        <w:tc>
          <w:tcPr>
            <w:tcW w:w="820" w:type="dxa"/>
            <w:tcBorders>
              <w:top w:val="nil"/>
              <w:left w:val="nil"/>
              <w:bottom w:val="nil"/>
              <w:right w:val="nil"/>
            </w:tcBorders>
            <w:shd w:val="clear" w:color="auto" w:fill="auto"/>
            <w:noWrap/>
            <w:vAlign w:val="bottom"/>
            <w:hideMark/>
          </w:tcPr>
          <w:p w14:paraId="150981B9" w14:textId="77777777" w:rsidR="00E01EA5" w:rsidRDefault="00E01EA5" w:rsidP="00E01EA5">
            <w:pPr>
              <w:rPr>
                <w:color w:val="000000"/>
                <w:sz w:val="20"/>
                <w:szCs w:val="20"/>
              </w:rPr>
            </w:pPr>
            <w:r>
              <w:rPr>
                <w:color w:val="000000"/>
                <w:sz w:val="20"/>
                <w:szCs w:val="20"/>
              </w:rPr>
              <w:t>En-back</w:t>
            </w:r>
          </w:p>
        </w:tc>
        <w:tc>
          <w:tcPr>
            <w:tcW w:w="1027" w:type="dxa"/>
            <w:tcBorders>
              <w:top w:val="nil"/>
              <w:left w:val="nil"/>
              <w:bottom w:val="nil"/>
              <w:right w:val="nil"/>
            </w:tcBorders>
            <w:shd w:val="clear" w:color="auto" w:fill="auto"/>
            <w:noWrap/>
            <w:vAlign w:val="bottom"/>
            <w:hideMark/>
          </w:tcPr>
          <w:p w14:paraId="28C25958" w14:textId="77777777" w:rsidR="00E01EA5" w:rsidRDefault="00E01EA5" w:rsidP="00E01EA5">
            <w:pPr>
              <w:rPr>
                <w:color w:val="000000"/>
                <w:sz w:val="20"/>
                <w:szCs w:val="20"/>
              </w:rPr>
            </w:pPr>
            <w:r>
              <w:rPr>
                <w:color w:val="000000"/>
                <w:sz w:val="20"/>
                <w:szCs w:val="20"/>
              </w:rPr>
              <w:t>10%</w:t>
            </w:r>
          </w:p>
        </w:tc>
        <w:tc>
          <w:tcPr>
            <w:tcW w:w="893" w:type="dxa"/>
            <w:tcBorders>
              <w:top w:val="nil"/>
              <w:left w:val="nil"/>
              <w:bottom w:val="nil"/>
              <w:right w:val="nil"/>
            </w:tcBorders>
            <w:shd w:val="clear" w:color="auto" w:fill="auto"/>
            <w:noWrap/>
            <w:vAlign w:val="bottom"/>
            <w:hideMark/>
          </w:tcPr>
          <w:p w14:paraId="42EA5538" w14:textId="6412246B" w:rsidR="00E01EA5" w:rsidRDefault="00E01EA5" w:rsidP="00E01EA5">
            <w:pPr>
              <w:jc w:val="right"/>
              <w:rPr>
                <w:b/>
                <w:bCs/>
                <w:color w:val="000000"/>
                <w:sz w:val="20"/>
                <w:szCs w:val="20"/>
              </w:rPr>
            </w:pPr>
            <w:r>
              <w:rPr>
                <w:b/>
                <w:bCs/>
                <w:color w:val="000000"/>
                <w:sz w:val="20"/>
                <w:szCs w:val="20"/>
              </w:rPr>
              <w:t>-0.078</w:t>
            </w:r>
          </w:p>
        </w:tc>
        <w:tc>
          <w:tcPr>
            <w:tcW w:w="784" w:type="dxa"/>
            <w:tcBorders>
              <w:top w:val="nil"/>
              <w:left w:val="nil"/>
              <w:bottom w:val="nil"/>
              <w:right w:val="nil"/>
            </w:tcBorders>
            <w:shd w:val="clear" w:color="auto" w:fill="auto"/>
            <w:noWrap/>
            <w:vAlign w:val="bottom"/>
            <w:hideMark/>
          </w:tcPr>
          <w:p w14:paraId="32D40D6D" w14:textId="110755AA" w:rsidR="00E01EA5" w:rsidRDefault="00E01EA5" w:rsidP="00E01EA5">
            <w:pPr>
              <w:jc w:val="right"/>
              <w:rPr>
                <w:b/>
                <w:bCs/>
                <w:color w:val="000000"/>
                <w:sz w:val="20"/>
                <w:szCs w:val="20"/>
              </w:rPr>
            </w:pPr>
            <w:r>
              <w:rPr>
                <w:b/>
                <w:bCs/>
                <w:color w:val="000000"/>
                <w:sz w:val="20"/>
                <w:szCs w:val="20"/>
              </w:rPr>
              <w:t>0.038</w:t>
            </w:r>
          </w:p>
        </w:tc>
        <w:tc>
          <w:tcPr>
            <w:tcW w:w="784" w:type="dxa"/>
            <w:tcBorders>
              <w:top w:val="nil"/>
              <w:left w:val="nil"/>
              <w:bottom w:val="nil"/>
              <w:right w:val="nil"/>
            </w:tcBorders>
            <w:shd w:val="clear" w:color="auto" w:fill="auto"/>
            <w:noWrap/>
            <w:vAlign w:val="bottom"/>
            <w:hideMark/>
          </w:tcPr>
          <w:p w14:paraId="0C13DE66" w14:textId="55758D5B" w:rsidR="00E01EA5" w:rsidRDefault="00E01EA5" w:rsidP="00E01EA5">
            <w:pPr>
              <w:jc w:val="right"/>
              <w:rPr>
                <w:b/>
                <w:bCs/>
                <w:color w:val="000000"/>
                <w:sz w:val="20"/>
                <w:szCs w:val="20"/>
              </w:rPr>
            </w:pPr>
            <w:r>
              <w:rPr>
                <w:b/>
                <w:bCs/>
                <w:color w:val="000000"/>
                <w:sz w:val="20"/>
                <w:szCs w:val="20"/>
              </w:rPr>
              <w:t>0.006</w:t>
            </w:r>
          </w:p>
        </w:tc>
        <w:tc>
          <w:tcPr>
            <w:tcW w:w="893" w:type="dxa"/>
            <w:tcBorders>
              <w:top w:val="nil"/>
              <w:left w:val="nil"/>
              <w:bottom w:val="nil"/>
              <w:right w:val="nil"/>
            </w:tcBorders>
            <w:shd w:val="clear" w:color="auto" w:fill="auto"/>
            <w:noWrap/>
            <w:vAlign w:val="bottom"/>
            <w:hideMark/>
          </w:tcPr>
          <w:p w14:paraId="7147B3B0" w14:textId="7AB74666" w:rsidR="00E01EA5" w:rsidRDefault="00E01EA5" w:rsidP="00E01EA5">
            <w:pPr>
              <w:jc w:val="right"/>
              <w:rPr>
                <w:color w:val="000000"/>
                <w:sz w:val="20"/>
                <w:szCs w:val="20"/>
              </w:rPr>
            </w:pPr>
            <w:r>
              <w:rPr>
                <w:color w:val="000000"/>
                <w:sz w:val="20"/>
                <w:szCs w:val="20"/>
              </w:rPr>
              <w:t>-0.007</w:t>
            </w:r>
          </w:p>
        </w:tc>
        <w:tc>
          <w:tcPr>
            <w:tcW w:w="784" w:type="dxa"/>
            <w:tcBorders>
              <w:top w:val="nil"/>
              <w:left w:val="nil"/>
              <w:bottom w:val="nil"/>
              <w:right w:val="nil"/>
            </w:tcBorders>
            <w:shd w:val="clear" w:color="auto" w:fill="auto"/>
            <w:noWrap/>
            <w:vAlign w:val="bottom"/>
            <w:hideMark/>
          </w:tcPr>
          <w:p w14:paraId="66C54F76" w14:textId="0B1D4169" w:rsidR="00E01EA5" w:rsidRDefault="00E01EA5" w:rsidP="00E01EA5">
            <w:pPr>
              <w:jc w:val="right"/>
              <w:rPr>
                <w:color w:val="000000"/>
                <w:sz w:val="20"/>
                <w:szCs w:val="20"/>
              </w:rPr>
            </w:pPr>
            <w:r>
              <w:rPr>
                <w:color w:val="000000"/>
                <w:sz w:val="20"/>
                <w:szCs w:val="20"/>
              </w:rPr>
              <w:t>0.830</w:t>
            </w:r>
          </w:p>
        </w:tc>
        <w:tc>
          <w:tcPr>
            <w:tcW w:w="784" w:type="dxa"/>
            <w:tcBorders>
              <w:top w:val="nil"/>
              <w:left w:val="nil"/>
              <w:bottom w:val="nil"/>
              <w:right w:val="nil"/>
            </w:tcBorders>
            <w:shd w:val="clear" w:color="auto" w:fill="auto"/>
            <w:noWrap/>
            <w:vAlign w:val="bottom"/>
            <w:hideMark/>
          </w:tcPr>
          <w:p w14:paraId="3A864AB1" w14:textId="022C7BCE"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4CEC468F" w14:textId="40C7BD95" w:rsidR="00E01EA5" w:rsidRDefault="00E01EA5" w:rsidP="00E01EA5">
            <w:pPr>
              <w:jc w:val="right"/>
              <w:rPr>
                <w:color w:val="000000"/>
                <w:sz w:val="20"/>
                <w:szCs w:val="20"/>
              </w:rPr>
            </w:pPr>
            <w:r>
              <w:rPr>
                <w:color w:val="000000"/>
                <w:sz w:val="20"/>
                <w:szCs w:val="20"/>
              </w:rPr>
              <w:t>-0.004</w:t>
            </w:r>
          </w:p>
        </w:tc>
        <w:tc>
          <w:tcPr>
            <w:tcW w:w="784" w:type="dxa"/>
            <w:tcBorders>
              <w:top w:val="nil"/>
              <w:left w:val="nil"/>
              <w:bottom w:val="nil"/>
              <w:right w:val="nil"/>
            </w:tcBorders>
            <w:shd w:val="clear" w:color="auto" w:fill="auto"/>
            <w:noWrap/>
            <w:vAlign w:val="bottom"/>
            <w:hideMark/>
          </w:tcPr>
          <w:p w14:paraId="1F5BC91F" w14:textId="08651E5A" w:rsidR="00E01EA5" w:rsidRDefault="00E01EA5" w:rsidP="00E01EA5">
            <w:pPr>
              <w:jc w:val="right"/>
              <w:rPr>
                <w:color w:val="000000"/>
                <w:sz w:val="20"/>
                <w:szCs w:val="20"/>
              </w:rPr>
            </w:pPr>
            <w:r>
              <w:rPr>
                <w:color w:val="000000"/>
                <w:sz w:val="20"/>
                <w:szCs w:val="20"/>
              </w:rPr>
              <w:t>0.972</w:t>
            </w:r>
          </w:p>
        </w:tc>
        <w:tc>
          <w:tcPr>
            <w:tcW w:w="784" w:type="dxa"/>
            <w:tcBorders>
              <w:top w:val="nil"/>
              <w:left w:val="nil"/>
              <w:bottom w:val="nil"/>
              <w:right w:val="nil"/>
            </w:tcBorders>
            <w:shd w:val="clear" w:color="auto" w:fill="auto"/>
            <w:noWrap/>
            <w:vAlign w:val="bottom"/>
            <w:hideMark/>
          </w:tcPr>
          <w:p w14:paraId="1F3F76B1" w14:textId="787D996D"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60B92244" w14:textId="4C0080D7" w:rsidR="00E01EA5" w:rsidRDefault="00E01EA5" w:rsidP="00E01EA5">
            <w:pPr>
              <w:jc w:val="right"/>
              <w:rPr>
                <w:color w:val="000000"/>
                <w:sz w:val="20"/>
                <w:szCs w:val="20"/>
              </w:rPr>
            </w:pPr>
            <w:r>
              <w:rPr>
                <w:color w:val="000000"/>
                <w:sz w:val="20"/>
                <w:szCs w:val="20"/>
              </w:rPr>
              <w:t>-0.052</w:t>
            </w:r>
          </w:p>
        </w:tc>
        <w:tc>
          <w:tcPr>
            <w:tcW w:w="784" w:type="dxa"/>
            <w:tcBorders>
              <w:top w:val="nil"/>
              <w:left w:val="nil"/>
              <w:bottom w:val="nil"/>
              <w:right w:val="nil"/>
            </w:tcBorders>
            <w:shd w:val="clear" w:color="auto" w:fill="auto"/>
            <w:noWrap/>
            <w:vAlign w:val="bottom"/>
            <w:hideMark/>
          </w:tcPr>
          <w:p w14:paraId="39646CDC" w14:textId="3459F557" w:rsidR="00E01EA5" w:rsidRDefault="00E01EA5" w:rsidP="00E01EA5">
            <w:pPr>
              <w:jc w:val="right"/>
              <w:rPr>
                <w:color w:val="000000"/>
                <w:sz w:val="20"/>
                <w:szCs w:val="20"/>
              </w:rPr>
            </w:pPr>
            <w:r>
              <w:rPr>
                <w:color w:val="000000"/>
                <w:sz w:val="20"/>
                <w:szCs w:val="20"/>
              </w:rPr>
              <w:t>0.172</w:t>
            </w:r>
          </w:p>
        </w:tc>
        <w:tc>
          <w:tcPr>
            <w:tcW w:w="784" w:type="dxa"/>
            <w:tcBorders>
              <w:top w:val="nil"/>
              <w:left w:val="nil"/>
              <w:bottom w:val="nil"/>
              <w:right w:val="nil"/>
            </w:tcBorders>
            <w:shd w:val="clear" w:color="auto" w:fill="auto"/>
            <w:noWrap/>
            <w:vAlign w:val="bottom"/>
            <w:hideMark/>
          </w:tcPr>
          <w:p w14:paraId="5CB10BD0" w14:textId="1838B7EE" w:rsidR="00E01EA5" w:rsidRDefault="00E01EA5" w:rsidP="00E01EA5">
            <w:pPr>
              <w:jc w:val="right"/>
              <w:rPr>
                <w:color w:val="000000"/>
                <w:sz w:val="20"/>
                <w:szCs w:val="20"/>
              </w:rPr>
            </w:pPr>
            <w:r>
              <w:rPr>
                <w:color w:val="000000"/>
                <w:sz w:val="20"/>
                <w:szCs w:val="20"/>
              </w:rPr>
              <w:t>0.003</w:t>
            </w:r>
          </w:p>
        </w:tc>
        <w:tc>
          <w:tcPr>
            <w:tcW w:w="893" w:type="dxa"/>
            <w:tcBorders>
              <w:top w:val="nil"/>
              <w:left w:val="nil"/>
              <w:bottom w:val="nil"/>
              <w:right w:val="nil"/>
            </w:tcBorders>
            <w:shd w:val="clear" w:color="auto" w:fill="auto"/>
            <w:noWrap/>
            <w:vAlign w:val="bottom"/>
            <w:hideMark/>
          </w:tcPr>
          <w:p w14:paraId="0F1F06E1" w14:textId="15E2C47C" w:rsidR="00E01EA5" w:rsidRDefault="00E01EA5" w:rsidP="00E01EA5">
            <w:pPr>
              <w:jc w:val="right"/>
              <w:rPr>
                <w:color w:val="000000"/>
                <w:sz w:val="20"/>
                <w:szCs w:val="20"/>
              </w:rPr>
            </w:pPr>
            <w:r>
              <w:rPr>
                <w:color w:val="000000"/>
                <w:sz w:val="20"/>
                <w:szCs w:val="20"/>
              </w:rPr>
              <w:t>-0.018</w:t>
            </w:r>
          </w:p>
        </w:tc>
        <w:tc>
          <w:tcPr>
            <w:tcW w:w="784" w:type="dxa"/>
            <w:tcBorders>
              <w:top w:val="nil"/>
              <w:left w:val="nil"/>
              <w:bottom w:val="nil"/>
              <w:right w:val="nil"/>
            </w:tcBorders>
            <w:shd w:val="clear" w:color="auto" w:fill="auto"/>
            <w:noWrap/>
            <w:vAlign w:val="bottom"/>
            <w:hideMark/>
          </w:tcPr>
          <w:p w14:paraId="345790D3" w14:textId="6FE8329C" w:rsidR="00E01EA5" w:rsidRDefault="00E01EA5" w:rsidP="00E01EA5">
            <w:pPr>
              <w:jc w:val="right"/>
              <w:rPr>
                <w:color w:val="000000"/>
                <w:sz w:val="20"/>
                <w:szCs w:val="20"/>
              </w:rPr>
            </w:pPr>
            <w:r>
              <w:rPr>
                <w:color w:val="000000"/>
                <w:sz w:val="20"/>
                <w:szCs w:val="20"/>
              </w:rPr>
              <w:t>0.694</w:t>
            </w:r>
          </w:p>
        </w:tc>
        <w:tc>
          <w:tcPr>
            <w:tcW w:w="784" w:type="dxa"/>
            <w:tcBorders>
              <w:top w:val="nil"/>
              <w:left w:val="nil"/>
              <w:bottom w:val="nil"/>
              <w:right w:val="nil"/>
            </w:tcBorders>
            <w:shd w:val="clear" w:color="auto" w:fill="auto"/>
            <w:noWrap/>
            <w:vAlign w:val="bottom"/>
            <w:hideMark/>
          </w:tcPr>
          <w:p w14:paraId="1E5BB324" w14:textId="7149B9E2" w:rsidR="00E01EA5" w:rsidRDefault="00E01EA5" w:rsidP="00E01EA5">
            <w:pPr>
              <w:jc w:val="right"/>
              <w:rPr>
                <w:color w:val="000000"/>
                <w:sz w:val="20"/>
                <w:szCs w:val="20"/>
              </w:rPr>
            </w:pPr>
            <w:r>
              <w:rPr>
                <w:color w:val="000000"/>
                <w:sz w:val="20"/>
                <w:szCs w:val="20"/>
              </w:rPr>
              <w:t>0.000</w:t>
            </w:r>
          </w:p>
        </w:tc>
      </w:tr>
      <w:tr w:rsidR="00E01EA5" w14:paraId="59A4C3E2" w14:textId="77777777" w:rsidTr="0019576E">
        <w:trPr>
          <w:trHeight w:val="320"/>
        </w:trPr>
        <w:tc>
          <w:tcPr>
            <w:tcW w:w="820" w:type="dxa"/>
            <w:tcBorders>
              <w:top w:val="nil"/>
              <w:left w:val="nil"/>
              <w:bottom w:val="nil"/>
              <w:right w:val="nil"/>
            </w:tcBorders>
            <w:shd w:val="clear" w:color="auto" w:fill="auto"/>
            <w:noWrap/>
            <w:vAlign w:val="bottom"/>
            <w:hideMark/>
          </w:tcPr>
          <w:p w14:paraId="36881AF7"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1E7F4C46" w14:textId="77777777" w:rsidR="00E01EA5" w:rsidRDefault="00E01EA5" w:rsidP="00E01EA5">
            <w:pPr>
              <w:rPr>
                <w:color w:val="000000"/>
                <w:sz w:val="20"/>
                <w:szCs w:val="20"/>
              </w:rPr>
            </w:pPr>
            <w:r>
              <w:rPr>
                <w:color w:val="000000"/>
                <w:sz w:val="20"/>
                <w:szCs w:val="20"/>
              </w:rPr>
              <w:t>17%</w:t>
            </w:r>
          </w:p>
        </w:tc>
        <w:tc>
          <w:tcPr>
            <w:tcW w:w="893" w:type="dxa"/>
            <w:tcBorders>
              <w:top w:val="nil"/>
              <w:left w:val="nil"/>
              <w:bottom w:val="nil"/>
              <w:right w:val="nil"/>
            </w:tcBorders>
            <w:shd w:val="clear" w:color="auto" w:fill="auto"/>
            <w:noWrap/>
            <w:vAlign w:val="bottom"/>
            <w:hideMark/>
          </w:tcPr>
          <w:p w14:paraId="149DEB67" w14:textId="57878949" w:rsidR="00E01EA5" w:rsidRDefault="00E01EA5" w:rsidP="00E01EA5">
            <w:pPr>
              <w:jc w:val="right"/>
              <w:rPr>
                <w:b/>
                <w:bCs/>
                <w:color w:val="000000"/>
                <w:sz w:val="20"/>
                <w:szCs w:val="20"/>
              </w:rPr>
            </w:pPr>
            <w:r>
              <w:rPr>
                <w:b/>
                <w:bCs/>
                <w:color w:val="000000"/>
                <w:sz w:val="20"/>
                <w:szCs w:val="20"/>
              </w:rPr>
              <w:t>-0.074</w:t>
            </w:r>
          </w:p>
        </w:tc>
        <w:tc>
          <w:tcPr>
            <w:tcW w:w="784" w:type="dxa"/>
            <w:tcBorders>
              <w:top w:val="nil"/>
              <w:left w:val="nil"/>
              <w:bottom w:val="nil"/>
              <w:right w:val="nil"/>
            </w:tcBorders>
            <w:shd w:val="clear" w:color="auto" w:fill="auto"/>
            <w:noWrap/>
            <w:vAlign w:val="bottom"/>
            <w:hideMark/>
          </w:tcPr>
          <w:p w14:paraId="095C9D52" w14:textId="7DEE0FB3" w:rsidR="00E01EA5" w:rsidRDefault="00E01EA5" w:rsidP="00E01EA5">
            <w:pPr>
              <w:jc w:val="right"/>
              <w:rPr>
                <w:b/>
                <w:bCs/>
                <w:color w:val="000000"/>
                <w:sz w:val="20"/>
                <w:szCs w:val="20"/>
              </w:rPr>
            </w:pPr>
            <w:r>
              <w:rPr>
                <w:b/>
                <w:bCs/>
                <w:color w:val="000000"/>
                <w:sz w:val="20"/>
                <w:szCs w:val="20"/>
              </w:rPr>
              <w:t>0.038</w:t>
            </w:r>
          </w:p>
        </w:tc>
        <w:tc>
          <w:tcPr>
            <w:tcW w:w="784" w:type="dxa"/>
            <w:tcBorders>
              <w:top w:val="nil"/>
              <w:left w:val="nil"/>
              <w:bottom w:val="nil"/>
              <w:right w:val="nil"/>
            </w:tcBorders>
            <w:shd w:val="clear" w:color="auto" w:fill="auto"/>
            <w:noWrap/>
            <w:vAlign w:val="bottom"/>
            <w:hideMark/>
          </w:tcPr>
          <w:p w14:paraId="410C1088" w14:textId="3263880C" w:rsidR="00E01EA5" w:rsidRDefault="00E01EA5" w:rsidP="00E01EA5">
            <w:pPr>
              <w:jc w:val="right"/>
              <w:rPr>
                <w:b/>
                <w:bCs/>
                <w:color w:val="000000"/>
                <w:sz w:val="20"/>
                <w:szCs w:val="20"/>
              </w:rPr>
            </w:pPr>
            <w:r>
              <w:rPr>
                <w:b/>
                <w:bCs/>
                <w:color w:val="000000"/>
                <w:sz w:val="20"/>
                <w:szCs w:val="20"/>
              </w:rPr>
              <w:t>0.005</w:t>
            </w:r>
          </w:p>
        </w:tc>
        <w:tc>
          <w:tcPr>
            <w:tcW w:w="893" w:type="dxa"/>
            <w:tcBorders>
              <w:top w:val="nil"/>
              <w:left w:val="nil"/>
              <w:bottom w:val="nil"/>
              <w:right w:val="nil"/>
            </w:tcBorders>
            <w:shd w:val="clear" w:color="auto" w:fill="auto"/>
            <w:noWrap/>
            <w:vAlign w:val="bottom"/>
            <w:hideMark/>
          </w:tcPr>
          <w:p w14:paraId="06E2FEA9" w14:textId="1FF1A831" w:rsidR="00E01EA5" w:rsidRDefault="00E01EA5" w:rsidP="00E01EA5">
            <w:pPr>
              <w:jc w:val="right"/>
              <w:rPr>
                <w:color w:val="000000"/>
                <w:sz w:val="20"/>
                <w:szCs w:val="20"/>
              </w:rPr>
            </w:pPr>
            <w:r>
              <w:rPr>
                <w:color w:val="000000"/>
                <w:sz w:val="20"/>
                <w:szCs w:val="20"/>
              </w:rPr>
              <w:t>-0.008</w:t>
            </w:r>
          </w:p>
        </w:tc>
        <w:tc>
          <w:tcPr>
            <w:tcW w:w="784" w:type="dxa"/>
            <w:tcBorders>
              <w:top w:val="nil"/>
              <w:left w:val="nil"/>
              <w:bottom w:val="nil"/>
              <w:right w:val="nil"/>
            </w:tcBorders>
            <w:shd w:val="clear" w:color="auto" w:fill="auto"/>
            <w:noWrap/>
            <w:vAlign w:val="bottom"/>
            <w:hideMark/>
          </w:tcPr>
          <w:p w14:paraId="4D505749" w14:textId="448F10E2" w:rsidR="00E01EA5" w:rsidRDefault="00E01EA5" w:rsidP="00E01EA5">
            <w:pPr>
              <w:jc w:val="right"/>
              <w:rPr>
                <w:color w:val="000000"/>
                <w:sz w:val="20"/>
                <w:szCs w:val="20"/>
              </w:rPr>
            </w:pPr>
            <w:r>
              <w:rPr>
                <w:color w:val="000000"/>
                <w:sz w:val="20"/>
                <w:szCs w:val="20"/>
              </w:rPr>
              <w:t>0.830</w:t>
            </w:r>
          </w:p>
        </w:tc>
        <w:tc>
          <w:tcPr>
            <w:tcW w:w="784" w:type="dxa"/>
            <w:tcBorders>
              <w:top w:val="nil"/>
              <w:left w:val="nil"/>
              <w:bottom w:val="nil"/>
              <w:right w:val="nil"/>
            </w:tcBorders>
            <w:shd w:val="clear" w:color="auto" w:fill="auto"/>
            <w:noWrap/>
            <w:vAlign w:val="bottom"/>
            <w:hideMark/>
          </w:tcPr>
          <w:p w14:paraId="1E3166B6" w14:textId="4C3DA852"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683E09C4" w14:textId="662C0534" w:rsidR="00E01EA5" w:rsidRDefault="00E01EA5" w:rsidP="00E01EA5">
            <w:pPr>
              <w:jc w:val="right"/>
              <w:rPr>
                <w:color w:val="000000"/>
                <w:sz w:val="20"/>
                <w:szCs w:val="20"/>
              </w:rPr>
            </w:pPr>
            <w:r>
              <w:rPr>
                <w:color w:val="000000"/>
                <w:sz w:val="20"/>
                <w:szCs w:val="20"/>
              </w:rPr>
              <w:t>-0.001</w:t>
            </w:r>
          </w:p>
        </w:tc>
        <w:tc>
          <w:tcPr>
            <w:tcW w:w="784" w:type="dxa"/>
            <w:tcBorders>
              <w:top w:val="nil"/>
              <w:left w:val="nil"/>
              <w:bottom w:val="nil"/>
              <w:right w:val="nil"/>
            </w:tcBorders>
            <w:shd w:val="clear" w:color="auto" w:fill="auto"/>
            <w:noWrap/>
            <w:vAlign w:val="bottom"/>
            <w:hideMark/>
          </w:tcPr>
          <w:p w14:paraId="2F098024" w14:textId="78F02E2F" w:rsidR="00E01EA5" w:rsidRDefault="00E01EA5" w:rsidP="00E01EA5">
            <w:pPr>
              <w:jc w:val="right"/>
              <w:rPr>
                <w:color w:val="000000"/>
                <w:sz w:val="20"/>
                <w:szCs w:val="20"/>
              </w:rPr>
            </w:pPr>
            <w:r>
              <w:rPr>
                <w:color w:val="000000"/>
                <w:sz w:val="20"/>
                <w:szCs w:val="20"/>
              </w:rPr>
              <w:t>0.972</w:t>
            </w:r>
          </w:p>
        </w:tc>
        <w:tc>
          <w:tcPr>
            <w:tcW w:w="784" w:type="dxa"/>
            <w:tcBorders>
              <w:top w:val="nil"/>
              <w:left w:val="nil"/>
              <w:bottom w:val="nil"/>
              <w:right w:val="nil"/>
            </w:tcBorders>
            <w:shd w:val="clear" w:color="auto" w:fill="auto"/>
            <w:noWrap/>
            <w:vAlign w:val="bottom"/>
            <w:hideMark/>
          </w:tcPr>
          <w:p w14:paraId="1A85BA0D" w14:textId="022162D7"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173F3774" w14:textId="13346A56" w:rsidR="00E01EA5" w:rsidRDefault="00E01EA5" w:rsidP="00E01EA5">
            <w:pPr>
              <w:jc w:val="right"/>
              <w:rPr>
                <w:color w:val="000000"/>
                <w:sz w:val="20"/>
                <w:szCs w:val="20"/>
              </w:rPr>
            </w:pPr>
            <w:r>
              <w:rPr>
                <w:color w:val="000000"/>
                <w:sz w:val="20"/>
                <w:szCs w:val="20"/>
              </w:rPr>
              <w:t>-0.050</w:t>
            </w:r>
          </w:p>
        </w:tc>
        <w:tc>
          <w:tcPr>
            <w:tcW w:w="784" w:type="dxa"/>
            <w:tcBorders>
              <w:top w:val="nil"/>
              <w:left w:val="nil"/>
              <w:bottom w:val="nil"/>
              <w:right w:val="nil"/>
            </w:tcBorders>
            <w:shd w:val="clear" w:color="auto" w:fill="auto"/>
            <w:noWrap/>
            <w:vAlign w:val="bottom"/>
            <w:hideMark/>
          </w:tcPr>
          <w:p w14:paraId="6F3F0F7D" w14:textId="1B076931" w:rsidR="00E01EA5" w:rsidRDefault="00E01EA5" w:rsidP="00E01EA5">
            <w:pPr>
              <w:jc w:val="right"/>
              <w:rPr>
                <w:color w:val="000000"/>
                <w:sz w:val="20"/>
                <w:szCs w:val="20"/>
              </w:rPr>
            </w:pPr>
            <w:r>
              <w:rPr>
                <w:color w:val="000000"/>
                <w:sz w:val="20"/>
                <w:szCs w:val="20"/>
              </w:rPr>
              <w:t>0.172</w:t>
            </w:r>
          </w:p>
        </w:tc>
        <w:tc>
          <w:tcPr>
            <w:tcW w:w="784" w:type="dxa"/>
            <w:tcBorders>
              <w:top w:val="nil"/>
              <w:left w:val="nil"/>
              <w:bottom w:val="nil"/>
              <w:right w:val="nil"/>
            </w:tcBorders>
            <w:shd w:val="clear" w:color="auto" w:fill="auto"/>
            <w:noWrap/>
            <w:vAlign w:val="bottom"/>
            <w:hideMark/>
          </w:tcPr>
          <w:p w14:paraId="61423102" w14:textId="764EC352" w:rsidR="00E01EA5" w:rsidRDefault="00E01EA5" w:rsidP="00E01EA5">
            <w:pPr>
              <w:jc w:val="right"/>
              <w:rPr>
                <w:color w:val="000000"/>
                <w:sz w:val="20"/>
                <w:szCs w:val="20"/>
              </w:rPr>
            </w:pPr>
            <w:r>
              <w:rPr>
                <w:color w:val="000000"/>
                <w:sz w:val="20"/>
                <w:szCs w:val="20"/>
              </w:rPr>
              <w:t>0.003</w:t>
            </w:r>
          </w:p>
        </w:tc>
        <w:tc>
          <w:tcPr>
            <w:tcW w:w="893" w:type="dxa"/>
            <w:tcBorders>
              <w:top w:val="nil"/>
              <w:left w:val="nil"/>
              <w:bottom w:val="nil"/>
              <w:right w:val="nil"/>
            </w:tcBorders>
            <w:shd w:val="clear" w:color="auto" w:fill="auto"/>
            <w:noWrap/>
            <w:vAlign w:val="bottom"/>
            <w:hideMark/>
          </w:tcPr>
          <w:p w14:paraId="435F0AA5" w14:textId="38E45A98" w:rsidR="00E01EA5" w:rsidRDefault="00E01EA5" w:rsidP="00E01EA5">
            <w:pPr>
              <w:jc w:val="right"/>
              <w:rPr>
                <w:color w:val="000000"/>
                <w:sz w:val="20"/>
                <w:szCs w:val="20"/>
              </w:rPr>
            </w:pPr>
            <w:r>
              <w:rPr>
                <w:color w:val="000000"/>
                <w:sz w:val="20"/>
                <w:szCs w:val="20"/>
              </w:rPr>
              <w:t>-0.015</w:t>
            </w:r>
          </w:p>
        </w:tc>
        <w:tc>
          <w:tcPr>
            <w:tcW w:w="784" w:type="dxa"/>
            <w:tcBorders>
              <w:top w:val="nil"/>
              <w:left w:val="nil"/>
              <w:bottom w:val="nil"/>
              <w:right w:val="nil"/>
            </w:tcBorders>
            <w:shd w:val="clear" w:color="auto" w:fill="auto"/>
            <w:noWrap/>
            <w:vAlign w:val="bottom"/>
            <w:hideMark/>
          </w:tcPr>
          <w:p w14:paraId="30282B84" w14:textId="263933EE" w:rsidR="00E01EA5" w:rsidRDefault="00E01EA5" w:rsidP="00E01EA5">
            <w:pPr>
              <w:jc w:val="right"/>
              <w:rPr>
                <w:color w:val="000000"/>
                <w:sz w:val="20"/>
                <w:szCs w:val="20"/>
              </w:rPr>
            </w:pPr>
            <w:r>
              <w:rPr>
                <w:color w:val="000000"/>
                <w:sz w:val="20"/>
                <w:szCs w:val="20"/>
              </w:rPr>
              <w:t>0.694</w:t>
            </w:r>
          </w:p>
        </w:tc>
        <w:tc>
          <w:tcPr>
            <w:tcW w:w="784" w:type="dxa"/>
            <w:tcBorders>
              <w:top w:val="nil"/>
              <w:left w:val="nil"/>
              <w:bottom w:val="nil"/>
              <w:right w:val="nil"/>
            </w:tcBorders>
            <w:shd w:val="clear" w:color="auto" w:fill="auto"/>
            <w:noWrap/>
            <w:vAlign w:val="bottom"/>
            <w:hideMark/>
          </w:tcPr>
          <w:p w14:paraId="101A3D0D" w14:textId="749C374C" w:rsidR="00E01EA5" w:rsidRDefault="00E01EA5" w:rsidP="00E01EA5">
            <w:pPr>
              <w:jc w:val="right"/>
              <w:rPr>
                <w:color w:val="000000"/>
                <w:sz w:val="20"/>
                <w:szCs w:val="20"/>
              </w:rPr>
            </w:pPr>
            <w:r>
              <w:rPr>
                <w:color w:val="000000"/>
                <w:sz w:val="20"/>
                <w:szCs w:val="20"/>
              </w:rPr>
              <w:t>0.000</w:t>
            </w:r>
          </w:p>
        </w:tc>
      </w:tr>
      <w:tr w:rsidR="00E01EA5" w14:paraId="1A5B9C3A" w14:textId="77777777" w:rsidTr="0019576E">
        <w:trPr>
          <w:trHeight w:val="320"/>
        </w:trPr>
        <w:tc>
          <w:tcPr>
            <w:tcW w:w="820" w:type="dxa"/>
            <w:tcBorders>
              <w:top w:val="nil"/>
              <w:left w:val="nil"/>
              <w:bottom w:val="nil"/>
              <w:right w:val="nil"/>
            </w:tcBorders>
            <w:shd w:val="clear" w:color="auto" w:fill="auto"/>
            <w:noWrap/>
            <w:vAlign w:val="bottom"/>
            <w:hideMark/>
          </w:tcPr>
          <w:p w14:paraId="20FB9CBB"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6FB86D6D" w14:textId="77777777" w:rsidR="00E01EA5" w:rsidRDefault="00E01EA5" w:rsidP="00E01EA5">
            <w:pPr>
              <w:rPr>
                <w:color w:val="000000"/>
                <w:sz w:val="20"/>
                <w:szCs w:val="20"/>
              </w:rPr>
            </w:pPr>
            <w:r>
              <w:rPr>
                <w:color w:val="000000"/>
                <w:sz w:val="20"/>
                <w:szCs w:val="20"/>
              </w:rPr>
              <w:t>23%</w:t>
            </w:r>
          </w:p>
        </w:tc>
        <w:tc>
          <w:tcPr>
            <w:tcW w:w="893" w:type="dxa"/>
            <w:tcBorders>
              <w:top w:val="nil"/>
              <w:left w:val="nil"/>
              <w:bottom w:val="nil"/>
              <w:right w:val="nil"/>
            </w:tcBorders>
            <w:shd w:val="clear" w:color="auto" w:fill="auto"/>
            <w:noWrap/>
            <w:vAlign w:val="bottom"/>
            <w:hideMark/>
          </w:tcPr>
          <w:p w14:paraId="114AD0FB" w14:textId="7A5E8CF3" w:rsidR="00E01EA5" w:rsidRDefault="00E01EA5" w:rsidP="00E01EA5">
            <w:pPr>
              <w:jc w:val="right"/>
              <w:rPr>
                <w:b/>
                <w:bCs/>
                <w:color w:val="000000"/>
                <w:sz w:val="20"/>
                <w:szCs w:val="20"/>
              </w:rPr>
            </w:pPr>
            <w:r>
              <w:rPr>
                <w:b/>
                <w:bCs/>
                <w:color w:val="000000"/>
                <w:sz w:val="20"/>
                <w:szCs w:val="20"/>
              </w:rPr>
              <w:t>-0.074</w:t>
            </w:r>
          </w:p>
        </w:tc>
        <w:tc>
          <w:tcPr>
            <w:tcW w:w="784" w:type="dxa"/>
            <w:tcBorders>
              <w:top w:val="nil"/>
              <w:left w:val="nil"/>
              <w:bottom w:val="nil"/>
              <w:right w:val="nil"/>
            </w:tcBorders>
            <w:shd w:val="clear" w:color="auto" w:fill="auto"/>
            <w:noWrap/>
            <w:vAlign w:val="bottom"/>
            <w:hideMark/>
          </w:tcPr>
          <w:p w14:paraId="7E3FF3B0" w14:textId="26051E44" w:rsidR="00E01EA5" w:rsidRDefault="00E01EA5" w:rsidP="00E01EA5">
            <w:pPr>
              <w:jc w:val="right"/>
              <w:rPr>
                <w:b/>
                <w:bCs/>
                <w:color w:val="000000"/>
                <w:sz w:val="20"/>
                <w:szCs w:val="20"/>
              </w:rPr>
            </w:pPr>
            <w:r>
              <w:rPr>
                <w:b/>
                <w:bCs/>
                <w:color w:val="000000"/>
                <w:sz w:val="20"/>
                <w:szCs w:val="20"/>
              </w:rPr>
              <w:t>0.038</w:t>
            </w:r>
          </w:p>
        </w:tc>
        <w:tc>
          <w:tcPr>
            <w:tcW w:w="784" w:type="dxa"/>
            <w:tcBorders>
              <w:top w:val="nil"/>
              <w:left w:val="nil"/>
              <w:bottom w:val="nil"/>
              <w:right w:val="nil"/>
            </w:tcBorders>
            <w:shd w:val="clear" w:color="auto" w:fill="auto"/>
            <w:noWrap/>
            <w:vAlign w:val="bottom"/>
            <w:hideMark/>
          </w:tcPr>
          <w:p w14:paraId="7674A437" w14:textId="5C8F2B10" w:rsidR="00E01EA5" w:rsidRDefault="00E01EA5" w:rsidP="00E01EA5">
            <w:pPr>
              <w:jc w:val="right"/>
              <w:rPr>
                <w:b/>
                <w:bCs/>
                <w:color w:val="000000"/>
                <w:sz w:val="20"/>
                <w:szCs w:val="20"/>
              </w:rPr>
            </w:pPr>
            <w:r>
              <w:rPr>
                <w:b/>
                <w:bCs/>
                <w:color w:val="000000"/>
                <w:sz w:val="20"/>
                <w:szCs w:val="20"/>
              </w:rPr>
              <w:t>0.005</w:t>
            </w:r>
          </w:p>
        </w:tc>
        <w:tc>
          <w:tcPr>
            <w:tcW w:w="893" w:type="dxa"/>
            <w:tcBorders>
              <w:top w:val="nil"/>
              <w:left w:val="nil"/>
              <w:bottom w:val="nil"/>
              <w:right w:val="nil"/>
            </w:tcBorders>
            <w:shd w:val="clear" w:color="auto" w:fill="auto"/>
            <w:noWrap/>
            <w:vAlign w:val="bottom"/>
            <w:hideMark/>
          </w:tcPr>
          <w:p w14:paraId="73CCC6CA" w14:textId="26C16363" w:rsidR="00E01EA5" w:rsidRDefault="00E01EA5" w:rsidP="00E01EA5">
            <w:pPr>
              <w:jc w:val="right"/>
              <w:rPr>
                <w:color w:val="000000"/>
                <w:sz w:val="20"/>
                <w:szCs w:val="20"/>
              </w:rPr>
            </w:pPr>
            <w:r>
              <w:rPr>
                <w:color w:val="000000"/>
                <w:sz w:val="20"/>
                <w:szCs w:val="20"/>
              </w:rPr>
              <w:t>-0.009</w:t>
            </w:r>
          </w:p>
        </w:tc>
        <w:tc>
          <w:tcPr>
            <w:tcW w:w="784" w:type="dxa"/>
            <w:tcBorders>
              <w:top w:val="nil"/>
              <w:left w:val="nil"/>
              <w:bottom w:val="nil"/>
              <w:right w:val="nil"/>
            </w:tcBorders>
            <w:shd w:val="clear" w:color="auto" w:fill="auto"/>
            <w:noWrap/>
            <w:vAlign w:val="bottom"/>
            <w:hideMark/>
          </w:tcPr>
          <w:p w14:paraId="11F33A7B" w14:textId="1C6AB4D4" w:rsidR="00E01EA5" w:rsidRDefault="00E01EA5" w:rsidP="00E01EA5">
            <w:pPr>
              <w:jc w:val="right"/>
              <w:rPr>
                <w:color w:val="000000"/>
                <w:sz w:val="20"/>
                <w:szCs w:val="20"/>
              </w:rPr>
            </w:pPr>
            <w:r>
              <w:rPr>
                <w:color w:val="000000"/>
                <w:sz w:val="20"/>
                <w:szCs w:val="20"/>
              </w:rPr>
              <w:t>0.830</w:t>
            </w:r>
          </w:p>
        </w:tc>
        <w:tc>
          <w:tcPr>
            <w:tcW w:w="784" w:type="dxa"/>
            <w:tcBorders>
              <w:top w:val="nil"/>
              <w:left w:val="nil"/>
              <w:bottom w:val="nil"/>
              <w:right w:val="nil"/>
            </w:tcBorders>
            <w:shd w:val="clear" w:color="auto" w:fill="auto"/>
            <w:noWrap/>
            <w:vAlign w:val="bottom"/>
            <w:hideMark/>
          </w:tcPr>
          <w:p w14:paraId="3B174757" w14:textId="775DD875"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0718B976" w14:textId="27A9E516" w:rsidR="00E01EA5" w:rsidRDefault="00E01EA5" w:rsidP="00E01EA5">
            <w:pPr>
              <w:jc w:val="right"/>
              <w:rPr>
                <w:color w:val="000000"/>
                <w:sz w:val="20"/>
                <w:szCs w:val="20"/>
              </w:rPr>
            </w:pPr>
            <w:r>
              <w:rPr>
                <w:color w:val="000000"/>
                <w:sz w:val="20"/>
                <w:szCs w:val="20"/>
              </w:rPr>
              <w:t>0.002</w:t>
            </w:r>
          </w:p>
        </w:tc>
        <w:tc>
          <w:tcPr>
            <w:tcW w:w="784" w:type="dxa"/>
            <w:tcBorders>
              <w:top w:val="nil"/>
              <w:left w:val="nil"/>
              <w:bottom w:val="nil"/>
              <w:right w:val="nil"/>
            </w:tcBorders>
            <w:shd w:val="clear" w:color="auto" w:fill="auto"/>
            <w:noWrap/>
            <w:vAlign w:val="bottom"/>
            <w:hideMark/>
          </w:tcPr>
          <w:p w14:paraId="5A8FAA13" w14:textId="422C247E" w:rsidR="00E01EA5" w:rsidRDefault="00E01EA5" w:rsidP="00E01EA5">
            <w:pPr>
              <w:jc w:val="right"/>
              <w:rPr>
                <w:color w:val="000000"/>
                <w:sz w:val="20"/>
                <w:szCs w:val="20"/>
              </w:rPr>
            </w:pPr>
            <w:r>
              <w:rPr>
                <w:color w:val="000000"/>
                <w:sz w:val="20"/>
                <w:szCs w:val="20"/>
              </w:rPr>
              <w:t>0.972</w:t>
            </w:r>
          </w:p>
        </w:tc>
        <w:tc>
          <w:tcPr>
            <w:tcW w:w="784" w:type="dxa"/>
            <w:tcBorders>
              <w:top w:val="nil"/>
              <w:left w:val="nil"/>
              <w:bottom w:val="nil"/>
              <w:right w:val="nil"/>
            </w:tcBorders>
            <w:shd w:val="clear" w:color="auto" w:fill="auto"/>
            <w:noWrap/>
            <w:vAlign w:val="bottom"/>
            <w:hideMark/>
          </w:tcPr>
          <w:p w14:paraId="547C7C4F" w14:textId="11AF76F6"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46B9C1A2" w14:textId="505BB006" w:rsidR="00E01EA5" w:rsidRDefault="00E01EA5" w:rsidP="00E01EA5">
            <w:pPr>
              <w:jc w:val="right"/>
              <w:rPr>
                <w:color w:val="000000"/>
                <w:sz w:val="20"/>
                <w:szCs w:val="20"/>
              </w:rPr>
            </w:pPr>
            <w:r>
              <w:rPr>
                <w:color w:val="000000"/>
                <w:sz w:val="20"/>
                <w:szCs w:val="20"/>
              </w:rPr>
              <w:t>-0.049</w:t>
            </w:r>
          </w:p>
        </w:tc>
        <w:tc>
          <w:tcPr>
            <w:tcW w:w="784" w:type="dxa"/>
            <w:tcBorders>
              <w:top w:val="nil"/>
              <w:left w:val="nil"/>
              <w:bottom w:val="nil"/>
              <w:right w:val="nil"/>
            </w:tcBorders>
            <w:shd w:val="clear" w:color="auto" w:fill="auto"/>
            <w:noWrap/>
            <w:vAlign w:val="bottom"/>
            <w:hideMark/>
          </w:tcPr>
          <w:p w14:paraId="5F464302" w14:textId="1608B87F" w:rsidR="00E01EA5" w:rsidRDefault="00E01EA5" w:rsidP="00E01EA5">
            <w:pPr>
              <w:jc w:val="right"/>
              <w:rPr>
                <w:color w:val="000000"/>
                <w:sz w:val="20"/>
                <w:szCs w:val="20"/>
              </w:rPr>
            </w:pPr>
            <w:r>
              <w:rPr>
                <w:color w:val="000000"/>
                <w:sz w:val="20"/>
                <w:szCs w:val="20"/>
              </w:rPr>
              <w:t>0.172</w:t>
            </w:r>
          </w:p>
        </w:tc>
        <w:tc>
          <w:tcPr>
            <w:tcW w:w="784" w:type="dxa"/>
            <w:tcBorders>
              <w:top w:val="nil"/>
              <w:left w:val="nil"/>
              <w:bottom w:val="nil"/>
              <w:right w:val="nil"/>
            </w:tcBorders>
            <w:shd w:val="clear" w:color="auto" w:fill="auto"/>
            <w:noWrap/>
            <w:vAlign w:val="bottom"/>
            <w:hideMark/>
          </w:tcPr>
          <w:p w14:paraId="258597CB" w14:textId="2FBEE3FA"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nil"/>
              <w:right w:val="nil"/>
            </w:tcBorders>
            <w:shd w:val="clear" w:color="auto" w:fill="auto"/>
            <w:noWrap/>
            <w:vAlign w:val="bottom"/>
            <w:hideMark/>
          </w:tcPr>
          <w:p w14:paraId="111D0816" w14:textId="39156EFA" w:rsidR="00E01EA5" w:rsidRDefault="00E01EA5" w:rsidP="00E01EA5">
            <w:pPr>
              <w:jc w:val="right"/>
              <w:rPr>
                <w:color w:val="000000"/>
                <w:sz w:val="20"/>
                <w:szCs w:val="20"/>
              </w:rPr>
            </w:pPr>
            <w:r>
              <w:rPr>
                <w:color w:val="000000"/>
                <w:sz w:val="20"/>
                <w:szCs w:val="20"/>
              </w:rPr>
              <w:t>-0.018</w:t>
            </w:r>
          </w:p>
        </w:tc>
        <w:tc>
          <w:tcPr>
            <w:tcW w:w="784" w:type="dxa"/>
            <w:tcBorders>
              <w:top w:val="nil"/>
              <w:left w:val="nil"/>
              <w:bottom w:val="nil"/>
              <w:right w:val="nil"/>
            </w:tcBorders>
            <w:shd w:val="clear" w:color="auto" w:fill="auto"/>
            <w:noWrap/>
            <w:vAlign w:val="bottom"/>
            <w:hideMark/>
          </w:tcPr>
          <w:p w14:paraId="21CBF675" w14:textId="28654971" w:rsidR="00E01EA5" w:rsidRDefault="00E01EA5" w:rsidP="00E01EA5">
            <w:pPr>
              <w:jc w:val="right"/>
              <w:rPr>
                <w:color w:val="000000"/>
                <w:sz w:val="20"/>
                <w:szCs w:val="20"/>
              </w:rPr>
            </w:pPr>
            <w:r>
              <w:rPr>
                <w:color w:val="000000"/>
                <w:sz w:val="20"/>
                <w:szCs w:val="20"/>
              </w:rPr>
              <w:t>0.694</w:t>
            </w:r>
          </w:p>
        </w:tc>
        <w:tc>
          <w:tcPr>
            <w:tcW w:w="784" w:type="dxa"/>
            <w:tcBorders>
              <w:top w:val="nil"/>
              <w:left w:val="nil"/>
              <w:bottom w:val="nil"/>
              <w:right w:val="nil"/>
            </w:tcBorders>
            <w:shd w:val="clear" w:color="auto" w:fill="auto"/>
            <w:noWrap/>
            <w:vAlign w:val="bottom"/>
            <w:hideMark/>
          </w:tcPr>
          <w:p w14:paraId="28BA9E67" w14:textId="53A671D2" w:rsidR="00E01EA5" w:rsidRDefault="00E01EA5" w:rsidP="00E01EA5">
            <w:pPr>
              <w:jc w:val="right"/>
              <w:rPr>
                <w:color w:val="000000"/>
                <w:sz w:val="20"/>
                <w:szCs w:val="20"/>
              </w:rPr>
            </w:pPr>
            <w:r>
              <w:rPr>
                <w:color w:val="000000"/>
                <w:sz w:val="20"/>
                <w:szCs w:val="20"/>
              </w:rPr>
              <w:t>0.000</w:t>
            </w:r>
          </w:p>
        </w:tc>
      </w:tr>
      <w:tr w:rsidR="00E01EA5" w14:paraId="3123FEDF" w14:textId="77777777" w:rsidTr="0019576E">
        <w:trPr>
          <w:trHeight w:val="340"/>
        </w:trPr>
        <w:tc>
          <w:tcPr>
            <w:tcW w:w="820" w:type="dxa"/>
            <w:tcBorders>
              <w:top w:val="nil"/>
              <w:left w:val="nil"/>
              <w:bottom w:val="single" w:sz="8" w:space="0" w:color="auto"/>
              <w:right w:val="nil"/>
            </w:tcBorders>
            <w:shd w:val="clear" w:color="auto" w:fill="auto"/>
            <w:noWrap/>
            <w:vAlign w:val="bottom"/>
            <w:hideMark/>
          </w:tcPr>
          <w:p w14:paraId="4785297F" w14:textId="77777777" w:rsidR="00E01EA5" w:rsidRDefault="00E01EA5" w:rsidP="00E01EA5">
            <w:pPr>
              <w:rPr>
                <w:color w:val="000000"/>
                <w:sz w:val="20"/>
                <w:szCs w:val="20"/>
              </w:rPr>
            </w:pPr>
            <w:r>
              <w:rPr>
                <w:color w:val="000000"/>
                <w:sz w:val="20"/>
                <w:szCs w:val="20"/>
              </w:rPr>
              <w:t> </w:t>
            </w:r>
          </w:p>
        </w:tc>
        <w:tc>
          <w:tcPr>
            <w:tcW w:w="1027" w:type="dxa"/>
            <w:tcBorders>
              <w:top w:val="nil"/>
              <w:left w:val="nil"/>
              <w:bottom w:val="single" w:sz="8" w:space="0" w:color="auto"/>
              <w:right w:val="nil"/>
            </w:tcBorders>
            <w:shd w:val="clear" w:color="auto" w:fill="auto"/>
            <w:noWrap/>
            <w:vAlign w:val="bottom"/>
            <w:hideMark/>
          </w:tcPr>
          <w:p w14:paraId="5A95D177" w14:textId="77777777" w:rsidR="00E01EA5" w:rsidRDefault="00E01EA5" w:rsidP="00E01EA5">
            <w:pPr>
              <w:rPr>
                <w:color w:val="000000"/>
                <w:sz w:val="20"/>
                <w:szCs w:val="20"/>
              </w:rPr>
            </w:pPr>
            <w:r>
              <w:rPr>
                <w:color w:val="000000"/>
                <w:sz w:val="20"/>
                <w:szCs w:val="20"/>
              </w:rPr>
              <w:t>30%</w:t>
            </w:r>
          </w:p>
        </w:tc>
        <w:tc>
          <w:tcPr>
            <w:tcW w:w="893" w:type="dxa"/>
            <w:tcBorders>
              <w:top w:val="nil"/>
              <w:left w:val="nil"/>
              <w:bottom w:val="single" w:sz="8" w:space="0" w:color="auto"/>
              <w:right w:val="nil"/>
            </w:tcBorders>
            <w:shd w:val="clear" w:color="auto" w:fill="auto"/>
            <w:noWrap/>
            <w:vAlign w:val="bottom"/>
            <w:hideMark/>
          </w:tcPr>
          <w:p w14:paraId="4091A463" w14:textId="6F6744A5" w:rsidR="00E01EA5" w:rsidRDefault="00E01EA5" w:rsidP="00E01EA5">
            <w:pPr>
              <w:jc w:val="right"/>
              <w:rPr>
                <w:b/>
                <w:bCs/>
                <w:color w:val="000000"/>
                <w:sz w:val="20"/>
                <w:szCs w:val="20"/>
              </w:rPr>
            </w:pPr>
            <w:r>
              <w:rPr>
                <w:b/>
                <w:bCs/>
                <w:color w:val="000000"/>
                <w:sz w:val="20"/>
                <w:szCs w:val="20"/>
              </w:rPr>
              <w:t>-0.074</w:t>
            </w:r>
          </w:p>
        </w:tc>
        <w:tc>
          <w:tcPr>
            <w:tcW w:w="784" w:type="dxa"/>
            <w:tcBorders>
              <w:top w:val="nil"/>
              <w:left w:val="nil"/>
              <w:bottom w:val="single" w:sz="8" w:space="0" w:color="auto"/>
              <w:right w:val="nil"/>
            </w:tcBorders>
            <w:shd w:val="clear" w:color="auto" w:fill="auto"/>
            <w:noWrap/>
            <w:vAlign w:val="bottom"/>
            <w:hideMark/>
          </w:tcPr>
          <w:p w14:paraId="2E5C41DB" w14:textId="01274494" w:rsidR="00E01EA5" w:rsidRDefault="00E01EA5" w:rsidP="00E01EA5">
            <w:pPr>
              <w:jc w:val="right"/>
              <w:rPr>
                <w:b/>
                <w:bCs/>
                <w:color w:val="000000"/>
                <w:sz w:val="20"/>
                <w:szCs w:val="20"/>
              </w:rPr>
            </w:pPr>
            <w:r>
              <w:rPr>
                <w:b/>
                <w:bCs/>
                <w:color w:val="000000"/>
                <w:sz w:val="20"/>
                <w:szCs w:val="20"/>
              </w:rPr>
              <w:t>0.038</w:t>
            </w:r>
          </w:p>
        </w:tc>
        <w:tc>
          <w:tcPr>
            <w:tcW w:w="784" w:type="dxa"/>
            <w:tcBorders>
              <w:top w:val="nil"/>
              <w:left w:val="nil"/>
              <w:bottom w:val="single" w:sz="8" w:space="0" w:color="auto"/>
              <w:right w:val="nil"/>
            </w:tcBorders>
            <w:shd w:val="clear" w:color="auto" w:fill="auto"/>
            <w:noWrap/>
            <w:vAlign w:val="bottom"/>
            <w:hideMark/>
          </w:tcPr>
          <w:p w14:paraId="24574ADF" w14:textId="4241FEF3" w:rsidR="00E01EA5" w:rsidRDefault="00E01EA5" w:rsidP="00E01EA5">
            <w:pPr>
              <w:jc w:val="right"/>
              <w:rPr>
                <w:b/>
                <w:bCs/>
                <w:color w:val="000000"/>
                <w:sz w:val="20"/>
                <w:szCs w:val="20"/>
              </w:rPr>
            </w:pPr>
            <w:r>
              <w:rPr>
                <w:b/>
                <w:bCs/>
                <w:color w:val="000000"/>
                <w:sz w:val="20"/>
                <w:szCs w:val="20"/>
              </w:rPr>
              <w:t>0.005</w:t>
            </w:r>
          </w:p>
        </w:tc>
        <w:tc>
          <w:tcPr>
            <w:tcW w:w="893" w:type="dxa"/>
            <w:tcBorders>
              <w:top w:val="nil"/>
              <w:left w:val="nil"/>
              <w:bottom w:val="single" w:sz="8" w:space="0" w:color="auto"/>
              <w:right w:val="nil"/>
            </w:tcBorders>
            <w:shd w:val="clear" w:color="auto" w:fill="auto"/>
            <w:noWrap/>
            <w:vAlign w:val="bottom"/>
            <w:hideMark/>
          </w:tcPr>
          <w:p w14:paraId="43E01E75" w14:textId="0E429D1B" w:rsidR="00E01EA5" w:rsidRDefault="00E01EA5" w:rsidP="00E01EA5">
            <w:pPr>
              <w:jc w:val="right"/>
              <w:rPr>
                <w:color w:val="000000"/>
                <w:sz w:val="20"/>
                <w:szCs w:val="20"/>
              </w:rPr>
            </w:pPr>
            <w:r>
              <w:rPr>
                <w:color w:val="000000"/>
                <w:sz w:val="20"/>
                <w:szCs w:val="20"/>
              </w:rPr>
              <w:t>-0.009</w:t>
            </w:r>
          </w:p>
        </w:tc>
        <w:tc>
          <w:tcPr>
            <w:tcW w:w="784" w:type="dxa"/>
            <w:tcBorders>
              <w:top w:val="nil"/>
              <w:left w:val="nil"/>
              <w:bottom w:val="single" w:sz="8" w:space="0" w:color="auto"/>
              <w:right w:val="nil"/>
            </w:tcBorders>
            <w:shd w:val="clear" w:color="auto" w:fill="auto"/>
            <w:noWrap/>
            <w:vAlign w:val="bottom"/>
            <w:hideMark/>
          </w:tcPr>
          <w:p w14:paraId="07FD595B" w14:textId="70A35FD8" w:rsidR="00E01EA5" w:rsidRDefault="00E01EA5" w:rsidP="00E01EA5">
            <w:pPr>
              <w:jc w:val="right"/>
              <w:rPr>
                <w:color w:val="000000"/>
                <w:sz w:val="20"/>
                <w:szCs w:val="20"/>
              </w:rPr>
            </w:pPr>
            <w:r>
              <w:rPr>
                <w:color w:val="000000"/>
                <w:sz w:val="20"/>
                <w:szCs w:val="20"/>
              </w:rPr>
              <w:t>0.830</w:t>
            </w:r>
          </w:p>
        </w:tc>
        <w:tc>
          <w:tcPr>
            <w:tcW w:w="784" w:type="dxa"/>
            <w:tcBorders>
              <w:top w:val="nil"/>
              <w:left w:val="nil"/>
              <w:bottom w:val="single" w:sz="8" w:space="0" w:color="auto"/>
              <w:right w:val="nil"/>
            </w:tcBorders>
            <w:shd w:val="clear" w:color="auto" w:fill="auto"/>
            <w:noWrap/>
            <w:vAlign w:val="bottom"/>
            <w:hideMark/>
          </w:tcPr>
          <w:p w14:paraId="1D59AC49" w14:textId="21833D53"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14333727" w14:textId="68414EFE" w:rsidR="00E01EA5" w:rsidRDefault="00E01EA5" w:rsidP="00E01EA5">
            <w:pPr>
              <w:jc w:val="right"/>
              <w:rPr>
                <w:color w:val="000000"/>
                <w:sz w:val="20"/>
                <w:szCs w:val="20"/>
              </w:rPr>
            </w:pPr>
            <w:r>
              <w:rPr>
                <w:color w:val="000000"/>
                <w:sz w:val="20"/>
                <w:szCs w:val="20"/>
              </w:rPr>
              <w:t>0.004</w:t>
            </w:r>
          </w:p>
        </w:tc>
        <w:tc>
          <w:tcPr>
            <w:tcW w:w="784" w:type="dxa"/>
            <w:tcBorders>
              <w:top w:val="nil"/>
              <w:left w:val="nil"/>
              <w:bottom w:val="single" w:sz="8" w:space="0" w:color="auto"/>
              <w:right w:val="nil"/>
            </w:tcBorders>
            <w:shd w:val="clear" w:color="auto" w:fill="auto"/>
            <w:noWrap/>
            <w:vAlign w:val="bottom"/>
            <w:hideMark/>
          </w:tcPr>
          <w:p w14:paraId="0BD7835A" w14:textId="4FBB039C" w:rsidR="00E01EA5" w:rsidRDefault="00E01EA5" w:rsidP="00E01EA5">
            <w:pPr>
              <w:jc w:val="right"/>
              <w:rPr>
                <w:color w:val="000000"/>
                <w:sz w:val="20"/>
                <w:szCs w:val="20"/>
              </w:rPr>
            </w:pPr>
            <w:r>
              <w:rPr>
                <w:color w:val="000000"/>
                <w:sz w:val="20"/>
                <w:szCs w:val="20"/>
              </w:rPr>
              <w:t>0.972</w:t>
            </w:r>
          </w:p>
        </w:tc>
        <w:tc>
          <w:tcPr>
            <w:tcW w:w="784" w:type="dxa"/>
            <w:tcBorders>
              <w:top w:val="nil"/>
              <w:left w:val="nil"/>
              <w:bottom w:val="single" w:sz="8" w:space="0" w:color="auto"/>
              <w:right w:val="nil"/>
            </w:tcBorders>
            <w:shd w:val="clear" w:color="auto" w:fill="auto"/>
            <w:noWrap/>
            <w:vAlign w:val="bottom"/>
            <w:hideMark/>
          </w:tcPr>
          <w:p w14:paraId="65D6BF4D" w14:textId="42E01E82"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7A75E23B" w14:textId="1C41F015" w:rsidR="00E01EA5" w:rsidRPr="00DE6EE0" w:rsidRDefault="00E01EA5" w:rsidP="00E01EA5">
            <w:pPr>
              <w:jc w:val="right"/>
              <w:rPr>
                <w:color w:val="000000"/>
                <w:sz w:val="20"/>
                <w:szCs w:val="20"/>
                <w:highlight w:val="yellow"/>
              </w:rPr>
            </w:pPr>
            <w:r>
              <w:rPr>
                <w:color w:val="000000"/>
                <w:sz w:val="20"/>
                <w:szCs w:val="20"/>
              </w:rPr>
              <w:t>-0.048</w:t>
            </w:r>
          </w:p>
        </w:tc>
        <w:tc>
          <w:tcPr>
            <w:tcW w:w="784" w:type="dxa"/>
            <w:tcBorders>
              <w:top w:val="nil"/>
              <w:left w:val="nil"/>
              <w:bottom w:val="single" w:sz="8" w:space="0" w:color="auto"/>
              <w:right w:val="nil"/>
            </w:tcBorders>
            <w:shd w:val="clear" w:color="auto" w:fill="auto"/>
            <w:noWrap/>
            <w:vAlign w:val="bottom"/>
            <w:hideMark/>
          </w:tcPr>
          <w:p w14:paraId="1774FBE7" w14:textId="3BDDD5DD" w:rsidR="00E01EA5" w:rsidRDefault="00E01EA5" w:rsidP="00E01EA5">
            <w:pPr>
              <w:jc w:val="right"/>
              <w:rPr>
                <w:color w:val="000000"/>
                <w:sz w:val="20"/>
                <w:szCs w:val="20"/>
              </w:rPr>
            </w:pPr>
            <w:r>
              <w:rPr>
                <w:color w:val="000000"/>
                <w:sz w:val="20"/>
                <w:szCs w:val="20"/>
              </w:rPr>
              <w:t>0.172</w:t>
            </w:r>
          </w:p>
        </w:tc>
        <w:tc>
          <w:tcPr>
            <w:tcW w:w="784" w:type="dxa"/>
            <w:tcBorders>
              <w:top w:val="nil"/>
              <w:left w:val="nil"/>
              <w:bottom w:val="single" w:sz="8" w:space="0" w:color="auto"/>
              <w:right w:val="nil"/>
            </w:tcBorders>
            <w:shd w:val="clear" w:color="auto" w:fill="auto"/>
            <w:noWrap/>
            <w:vAlign w:val="bottom"/>
            <w:hideMark/>
          </w:tcPr>
          <w:p w14:paraId="7DF09A2A" w14:textId="7F979714"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single" w:sz="8" w:space="0" w:color="auto"/>
              <w:right w:val="nil"/>
            </w:tcBorders>
            <w:shd w:val="clear" w:color="auto" w:fill="auto"/>
            <w:noWrap/>
            <w:vAlign w:val="bottom"/>
            <w:hideMark/>
          </w:tcPr>
          <w:p w14:paraId="125747E1" w14:textId="111261BA" w:rsidR="00E01EA5" w:rsidRDefault="00E01EA5" w:rsidP="00E01EA5">
            <w:pPr>
              <w:jc w:val="right"/>
              <w:rPr>
                <w:color w:val="000000"/>
                <w:sz w:val="20"/>
                <w:szCs w:val="20"/>
              </w:rPr>
            </w:pPr>
            <w:r>
              <w:rPr>
                <w:color w:val="000000"/>
                <w:sz w:val="20"/>
                <w:szCs w:val="20"/>
              </w:rPr>
              <w:t>-0.019</w:t>
            </w:r>
          </w:p>
        </w:tc>
        <w:tc>
          <w:tcPr>
            <w:tcW w:w="784" w:type="dxa"/>
            <w:tcBorders>
              <w:top w:val="nil"/>
              <w:left w:val="nil"/>
              <w:bottom w:val="single" w:sz="8" w:space="0" w:color="auto"/>
              <w:right w:val="nil"/>
            </w:tcBorders>
            <w:shd w:val="clear" w:color="auto" w:fill="auto"/>
            <w:noWrap/>
            <w:vAlign w:val="bottom"/>
            <w:hideMark/>
          </w:tcPr>
          <w:p w14:paraId="396D37B7" w14:textId="56D72BF6" w:rsidR="00E01EA5" w:rsidRDefault="00E01EA5" w:rsidP="00E01EA5">
            <w:pPr>
              <w:jc w:val="right"/>
              <w:rPr>
                <w:color w:val="000000"/>
                <w:sz w:val="20"/>
                <w:szCs w:val="20"/>
              </w:rPr>
            </w:pPr>
            <w:r>
              <w:rPr>
                <w:color w:val="000000"/>
                <w:sz w:val="20"/>
                <w:szCs w:val="20"/>
              </w:rPr>
              <w:t>0.694</w:t>
            </w:r>
          </w:p>
        </w:tc>
        <w:tc>
          <w:tcPr>
            <w:tcW w:w="784" w:type="dxa"/>
            <w:tcBorders>
              <w:top w:val="nil"/>
              <w:left w:val="nil"/>
              <w:bottom w:val="single" w:sz="8" w:space="0" w:color="auto"/>
              <w:right w:val="nil"/>
            </w:tcBorders>
            <w:shd w:val="clear" w:color="auto" w:fill="auto"/>
            <w:noWrap/>
            <w:vAlign w:val="bottom"/>
            <w:hideMark/>
          </w:tcPr>
          <w:p w14:paraId="2DFF2B11" w14:textId="7D8AAF13" w:rsidR="00E01EA5" w:rsidRDefault="00E01EA5" w:rsidP="00E01EA5">
            <w:pPr>
              <w:jc w:val="right"/>
              <w:rPr>
                <w:color w:val="000000"/>
                <w:sz w:val="20"/>
                <w:szCs w:val="20"/>
              </w:rPr>
            </w:pPr>
            <w:r>
              <w:rPr>
                <w:color w:val="000000"/>
                <w:sz w:val="20"/>
                <w:szCs w:val="20"/>
              </w:rPr>
              <w:t>0.000</w:t>
            </w:r>
          </w:p>
        </w:tc>
      </w:tr>
      <w:tr w:rsidR="00E01EA5" w14:paraId="704AEDB5" w14:textId="77777777" w:rsidTr="0019576E">
        <w:trPr>
          <w:trHeight w:val="320"/>
        </w:trPr>
        <w:tc>
          <w:tcPr>
            <w:tcW w:w="820" w:type="dxa"/>
            <w:tcBorders>
              <w:top w:val="nil"/>
              <w:left w:val="nil"/>
              <w:bottom w:val="nil"/>
              <w:right w:val="nil"/>
            </w:tcBorders>
            <w:shd w:val="clear" w:color="auto" w:fill="auto"/>
            <w:noWrap/>
            <w:vAlign w:val="bottom"/>
            <w:hideMark/>
          </w:tcPr>
          <w:p w14:paraId="4CF586BB" w14:textId="77777777" w:rsidR="00E01EA5" w:rsidRDefault="00E01EA5" w:rsidP="00E01EA5">
            <w:pPr>
              <w:rPr>
                <w:color w:val="000000"/>
                <w:sz w:val="20"/>
                <w:szCs w:val="20"/>
              </w:rPr>
            </w:pPr>
            <w:r>
              <w:rPr>
                <w:color w:val="000000"/>
                <w:sz w:val="20"/>
                <w:szCs w:val="20"/>
              </w:rPr>
              <w:t>MID</w:t>
            </w:r>
          </w:p>
        </w:tc>
        <w:tc>
          <w:tcPr>
            <w:tcW w:w="1027" w:type="dxa"/>
            <w:tcBorders>
              <w:top w:val="nil"/>
              <w:left w:val="nil"/>
              <w:bottom w:val="nil"/>
              <w:right w:val="nil"/>
            </w:tcBorders>
            <w:shd w:val="clear" w:color="auto" w:fill="auto"/>
            <w:noWrap/>
            <w:vAlign w:val="bottom"/>
            <w:hideMark/>
          </w:tcPr>
          <w:p w14:paraId="023E85FC" w14:textId="77777777" w:rsidR="00E01EA5" w:rsidRDefault="00E01EA5" w:rsidP="00E01EA5">
            <w:pPr>
              <w:rPr>
                <w:color w:val="000000"/>
                <w:sz w:val="20"/>
                <w:szCs w:val="20"/>
              </w:rPr>
            </w:pPr>
            <w:r>
              <w:rPr>
                <w:color w:val="000000"/>
                <w:sz w:val="20"/>
                <w:szCs w:val="20"/>
              </w:rPr>
              <w:t>10%</w:t>
            </w:r>
          </w:p>
        </w:tc>
        <w:tc>
          <w:tcPr>
            <w:tcW w:w="893" w:type="dxa"/>
            <w:tcBorders>
              <w:top w:val="nil"/>
              <w:left w:val="nil"/>
              <w:bottom w:val="nil"/>
              <w:right w:val="nil"/>
            </w:tcBorders>
            <w:shd w:val="clear" w:color="auto" w:fill="auto"/>
            <w:noWrap/>
            <w:vAlign w:val="bottom"/>
            <w:hideMark/>
          </w:tcPr>
          <w:p w14:paraId="33A6C40D" w14:textId="51108EB1" w:rsidR="00E01EA5" w:rsidRDefault="00E01EA5" w:rsidP="00E01EA5">
            <w:pPr>
              <w:jc w:val="right"/>
              <w:rPr>
                <w:color w:val="000000"/>
                <w:sz w:val="20"/>
                <w:szCs w:val="20"/>
              </w:rPr>
            </w:pPr>
            <w:r>
              <w:rPr>
                <w:color w:val="000000"/>
                <w:sz w:val="20"/>
                <w:szCs w:val="20"/>
              </w:rPr>
              <w:t>-0.062</w:t>
            </w:r>
          </w:p>
        </w:tc>
        <w:tc>
          <w:tcPr>
            <w:tcW w:w="784" w:type="dxa"/>
            <w:tcBorders>
              <w:top w:val="nil"/>
              <w:left w:val="nil"/>
              <w:bottom w:val="nil"/>
              <w:right w:val="nil"/>
            </w:tcBorders>
            <w:shd w:val="clear" w:color="auto" w:fill="auto"/>
            <w:noWrap/>
            <w:vAlign w:val="bottom"/>
            <w:hideMark/>
          </w:tcPr>
          <w:p w14:paraId="1FBC06B6" w14:textId="224D2B0D" w:rsidR="00E01EA5" w:rsidRDefault="00E01EA5" w:rsidP="00E01EA5">
            <w:pPr>
              <w:jc w:val="right"/>
              <w:rPr>
                <w:color w:val="000000"/>
                <w:sz w:val="20"/>
                <w:szCs w:val="20"/>
              </w:rPr>
            </w:pPr>
            <w:r>
              <w:rPr>
                <w:color w:val="000000"/>
                <w:sz w:val="20"/>
                <w:szCs w:val="20"/>
              </w:rPr>
              <w:t>0.140</w:t>
            </w:r>
          </w:p>
        </w:tc>
        <w:tc>
          <w:tcPr>
            <w:tcW w:w="784" w:type="dxa"/>
            <w:tcBorders>
              <w:top w:val="nil"/>
              <w:left w:val="nil"/>
              <w:bottom w:val="nil"/>
              <w:right w:val="nil"/>
            </w:tcBorders>
            <w:shd w:val="clear" w:color="auto" w:fill="auto"/>
            <w:noWrap/>
            <w:vAlign w:val="bottom"/>
            <w:hideMark/>
          </w:tcPr>
          <w:p w14:paraId="0B5A3263" w14:textId="1DBBC084" w:rsidR="00E01EA5" w:rsidRDefault="00E01EA5" w:rsidP="00E01EA5">
            <w:pPr>
              <w:jc w:val="right"/>
              <w:rPr>
                <w:color w:val="000000"/>
                <w:sz w:val="20"/>
                <w:szCs w:val="20"/>
              </w:rPr>
            </w:pPr>
            <w:r>
              <w:rPr>
                <w:color w:val="000000"/>
                <w:sz w:val="20"/>
                <w:szCs w:val="20"/>
              </w:rPr>
              <w:t>0.004</w:t>
            </w:r>
          </w:p>
        </w:tc>
        <w:tc>
          <w:tcPr>
            <w:tcW w:w="893" w:type="dxa"/>
            <w:tcBorders>
              <w:top w:val="nil"/>
              <w:left w:val="nil"/>
              <w:bottom w:val="nil"/>
              <w:right w:val="nil"/>
            </w:tcBorders>
            <w:shd w:val="clear" w:color="auto" w:fill="auto"/>
            <w:noWrap/>
            <w:vAlign w:val="bottom"/>
            <w:hideMark/>
          </w:tcPr>
          <w:p w14:paraId="1E4BB145" w14:textId="0046DAC1" w:rsidR="00E01EA5" w:rsidRDefault="00E01EA5" w:rsidP="00E01EA5">
            <w:pPr>
              <w:jc w:val="right"/>
              <w:rPr>
                <w:color w:val="000000"/>
                <w:sz w:val="20"/>
                <w:szCs w:val="20"/>
              </w:rPr>
            </w:pPr>
            <w:r>
              <w:rPr>
                <w:color w:val="000000"/>
                <w:sz w:val="20"/>
                <w:szCs w:val="20"/>
              </w:rPr>
              <w:t>-0.015</w:t>
            </w:r>
          </w:p>
        </w:tc>
        <w:tc>
          <w:tcPr>
            <w:tcW w:w="784" w:type="dxa"/>
            <w:tcBorders>
              <w:top w:val="nil"/>
              <w:left w:val="nil"/>
              <w:bottom w:val="nil"/>
              <w:right w:val="nil"/>
            </w:tcBorders>
            <w:shd w:val="clear" w:color="auto" w:fill="auto"/>
            <w:noWrap/>
            <w:vAlign w:val="bottom"/>
            <w:hideMark/>
          </w:tcPr>
          <w:p w14:paraId="58DC6B79" w14:textId="528969E0" w:rsidR="00E01EA5" w:rsidRDefault="00E01EA5" w:rsidP="00E01EA5">
            <w:pPr>
              <w:jc w:val="right"/>
              <w:rPr>
                <w:color w:val="000000"/>
                <w:sz w:val="20"/>
                <w:szCs w:val="20"/>
              </w:rPr>
            </w:pPr>
            <w:r>
              <w:rPr>
                <w:color w:val="000000"/>
                <w:sz w:val="20"/>
                <w:szCs w:val="20"/>
              </w:rPr>
              <w:t>0.607</w:t>
            </w:r>
          </w:p>
        </w:tc>
        <w:tc>
          <w:tcPr>
            <w:tcW w:w="784" w:type="dxa"/>
            <w:tcBorders>
              <w:top w:val="nil"/>
              <w:left w:val="nil"/>
              <w:bottom w:val="nil"/>
              <w:right w:val="nil"/>
            </w:tcBorders>
            <w:shd w:val="clear" w:color="auto" w:fill="auto"/>
            <w:noWrap/>
            <w:vAlign w:val="bottom"/>
            <w:hideMark/>
          </w:tcPr>
          <w:p w14:paraId="1B13DEC5" w14:textId="75FD227F"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6455EEED" w14:textId="170C204B" w:rsidR="00E01EA5" w:rsidRDefault="00E01EA5" w:rsidP="00E01EA5">
            <w:pPr>
              <w:jc w:val="right"/>
              <w:rPr>
                <w:color w:val="000000"/>
                <w:sz w:val="20"/>
                <w:szCs w:val="20"/>
              </w:rPr>
            </w:pPr>
            <w:r>
              <w:rPr>
                <w:color w:val="000000"/>
                <w:sz w:val="20"/>
                <w:szCs w:val="20"/>
              </w:rPr>
              <w:t>0.013</w:t>
            </w:r>
          </w:p>
        </w:tc>
        <w:tc>
          <w:tcPr>
            <w:tcW w:w="784" w:type="dxa"/>
            <w:tcBorders>
              <w:top w:val="nil"/>
              <w:left w:val="nil"/>
              <w:bottom w:val="nil"/>
              <w:right w:val="nil"/>
            </w:tcBorders>
            <w:shd w:val="clear" w:color="auto" w:fill="auto"/>
            <w:noWrap/>
            <w:vAlign w:val="bottom"/>
            <w:hideMark/>
          </w:tcPr>
          <w:p w14:paraId="4FBBDF40" w14:textId="6BAB85DF" w:rsidR="00E01EA5" w:rsidRDefault="00E01EA5" w:rsidP="00E01EA5">
            <w:pPr>
              <w:jc w:val="right"/>
              <w:rPr>
                <w:color w:val="000000"/>
                <w:sz w:val="20"/>
                <w:szCs w:val="20"/>
              </w:rPr>
            </w:pPr>
            <w:r>
              <w:rPr>
                <w:color w:val="000000"/>
                <w:sz w:val="20"/>
                <w:szCs w:val="20"/>
              </w:rPr>
              <w:t>0.647</w:t>
            </w:r>
          </w:p>
        </w:tc>
        <w:tc>
          <w:tcPr>
            <w:tcW w:w="784" w:type="dxa"/>
            <w:tcBorders>
              <w:top w:val="nil"/>
              <w:left w:val="nil"/>
              <w:bottom w:val="nil"/>
              <w:right w:val="nil"/>
            </w:tcBorders>
            <w:shd w:val="clear" w:color="auto" w:fill="auto"/>
            <w:noWrap/>
            <w:vAlign w:val="bottom"/>
            <w:hideMark/>
          </w:tcPr>
          <w:p w14:paraId="75707C54" w14:textId="3F9FF5FB"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775E99CC" w14:textId="4E46953A" w:rsidR="00E01EA5" w:rsidRPr="00DE6EE0" w:rsidRDefault="00E01EA5" w:rsidP="00E01EA5">
            <w:pPr>
              <w:jc w:val="right"/>
              <w:rPr>
                <w:color w:val="000000"/>
                <w:sz w:val="20"/>
                <w:szCs w:val="20"/>
                <w:highlight w:val="yellow"/>
              </w:rPr>
            </w:pPr>
            <w:r>
              <w:rPr>
                <w:color w:val="000000"/>
                <w:sz w:val="20"/>
                <w:szCs w:val="20"/>
              </w:rPr>
              <w:t>-0.046</w:t>
            </w:r>
          </w:p>
        </w:tc>
        <w:tc>
          <w:tcPr>
            <w:tcW w:w="784" w:type="dxa"/>
            <w:tcBorders>
              <w:top w:val="nil"/>
              <w:left w:val="nil"/>
              <w:bottom w:val="nil"/>
              <w:right w:val="nil"/>
            </w:tcBorders>
            <w:shd w:val="clear" w:color="auto" w:fill="auto"/>
            <w:noWrap/>
            <w:vAlign w:val="bottom"/>
            <w:hideMark/>
          </w:tcPr>
          <w:p w14:paraId="033F2DE9" w14:textId="611E98FD" w:rsidR="00E01EA5" w:rsidRDefault="00E01EA5" w:rsidP="00E01EA5">
            <w:pPr>
              <w:jc w:val="right"/>
              <w:rPr>
                <w:color w:val="000000"/>
                <w:sz w:val="20"/>
                <w:szCs w:val="20"/>
              </w:rPr>
            </w:pPr>
            <w:r>
              <w:rPr>
                <w:color w:val="000000"/>
                <w:sz w:val="20"/>
                <w:szCs w:val="20"/>
              </w:rPr>
              <w:t>0.288</w:t>
            </w:r>
          </w:p>
        </w:tc>
        <w:tc>
          <w:tcPr>
            <w:tcW w:w="784" w:type="dxa"/>
            <w:tcBorders>
              <w:top w:val="nil"/>
              <w:left w:val="nil"/>
              <w:bottom w:val="nil"/>
              <w:right w:val="nil"/>
            </w:tcBorders>
            <w:shd w:val="clear" w:color="auto" w:fill="auto"/>
            <w:noWrap/>
            <w:vAlign w:val="bottom"/>
            <w:hideMark/>
          </w:tcPr>
          <w:p w14:paraId="29D0EE6E" w14:textId="451A42CD"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nil"/>
              <w:right w:val="nil"/>
            </w:tcBorders>
            <w:shd w:val="clear" w:color="auto" w:fill="auto"/>
            <w:noWrap/>
            <w:vAlign w:val="bottom"/>
            <w:hideMark/>
          </w:tcPr>
          <w:p w14:paraId="4F57C0F0" w14:textId="53D9ABC5" w:rsidR="00E01EA5" w:rsidRDefault="00E01EA5" w:rsidP="00E01EA5">
            <w:pPr>
              <w:jc w:val="right"/>
              <w:rPr>
                <w:color w:val="000000"/>
                <w:sz w:val="20"/>
                <w:szCs w:val="20"/>
              </w:rPr>
            </w:pPr>
            <w:r>
              <w:rPr>
                <w:color w:val="000000"/>
                <w:sz w:val="20"/>
                <w:szCs w:val="20"/>
              </w:rPr>
              <w:t>0.000</w:t>
            </w:r>
          </w:p>
        </w:tc>
        <w:tc>
          <w:tcPr>
            <w:tcW w:w="784" w:type="dxa"/>
            <w:tcBorders>
              <w:top w:val="nil"/>
              <w:left w:val="nil"/>
              <w:bottom w:val="nil"/>
              <w:right w:val="nil"/>
            </w:tcBorders>
            <w:shd w:val="clear" w:color="auto" w:fill="auto"/>
            <w:noWrap/>
            <w:vAlign w:val="bottom"/>
            <w:hideMark/>
          </w:tcPr>
          <w:p w14:paraId="749192E6" w14:textId="60E0F78A" w:rsidR="00E01EA5" w:rsidRDefault="00E01EA5" w:rsidP="00E01EA5">
            <w:pPr>
              <w:jc w:val="right"/>
              <w:rPr>
                <w:color w:val="000000"/>
                <w:sz w:val="20"/>
                <w:szCs w:val="20"/>
              </w:rPr>
            </w:pPr>
            <w:r>
              <w:rPr>
                <w:color w:val="000000"/>
                <w:sz w:val="20"/>
                <w:szCs w:val="20"/>
              </w:rPr>
              <w:t>0.995</w:t>
            </w:r>
          </w:p>
        </w:tc>
        <w:tc>
          <w:tcPr>
            <w:tcW w:w="784" w:type="dxa"/>
            <w:tcBorders>
              <w:top w:val="nil"/>
              <w:left w:val="nil"/>
              <w:bottom w:val="nil"/>
              <w:right w:val="nil"/>
            </w:tcBorders>
            <w:shd w:val="clear" w:color="auto" w:fill="auto"/>
            <w:noWrap/>
            <w:vAlign w:val="bottom"/>
            <w:hideMark/>
          </w:tcPr>
          <w:p w14:paraId="0FBD67FC" w14:textId="628383D0" w:rsidR="00E01EA5" w:rsidRDefault="00E01EA5" w:rsidP="00E01EA5">
            <w:pPr>
              <w:jc w:val="right"/>
              <w:rPr>
                <w:color w:val="000000"/>
                <w:sz w:val="20"/>
                <w:szCs w:val="20"/>
              </w:rPr>
            </w:pPr>
            <w:r>
              <w:rPr>
                <w:color w:val="000000"/>
                <w:sz w:val="20"/>
                <w:szCs w:val="20"/>
              </w:rPr>
              <w:t>0.000</w:t>
            </w:r>
          </w:p>
        </w:tc>
      </w:tr>
      <w:tr w:rsidR="00E01EA5" w14:paraId="1BC623F8" w14:textId="77777777" w:rsidTr="0019576E">
        <w:trPr>
          <w:trHeight w:val="320"/>
        </w:trPr>
        <w:tc>
          <w:tcPr>
            <w:tcW w:w="820" w:type="dxa"/>
            <w:tcBorders>
              <w:top w:val="nil"/>
              <w:left w:val="nil"/>
              <w:bottom w:val="nil"/>
              <w:right w:val="nil"/>
            </w:tcBorders>
            <w:shd w:val="clear" w:color="auto" w:fill="auto"/>
            <w:noWrap/>
            <w:vAlign w:val="bottom"/>
            <w:hideMark/>
          </w:tcPr>
          <w:p w14:paraId="058E3DAE"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3CE0F8AE" w14:textId="77777777" w:rsidR="00E01EA5" w:rsidRDefault="00E01EA5" w:rsidP="00E01EA5">
            <w:pPr>
              <w:rPr>
                <w:color w:val="000000"/>
                <w:sz w:val="20"/>
                <w:szCs w:val="20"/>
              </w:rPr>
            </w:pPr>
            <w:r>
              <w:rPr>
                <w:color w:val="000000"/>
                <w:sz w:val="20"/>
                <w:szCs w:val="20"/>
              </w:rPr>
              <w:t>17%</w:t>
            </w:r>
          </w:p>
        </w:tc>
        <w:tc>
          <w:tcPr>
            <w:tcW w:w="893" w:type="dxa"/>
            <w:tcBorders>
              <w:top w:val="nil"/>
              <w:left w:val="nil"/>
              <w:bottom w:val="nil"/>
              <w:right w:val="nil"/>
            </w:tcBorders>
            <w:shd w:val="clear" w:color="auto" w:fill="auto"/>
            <w:noWrap/>
            <w:vAlign w:val="bottom"/>
            <w:hideMark/>
          </w:tcPr>
          <w:p w14:paraId="1DB0F518" w14:textId="355FF896" w:rsidR="00E01EA5" w:rsidRDefault="00E01EA5" w:rsidP="00E01EA5">
            <w:pPr>
              <w:jc w:val="right"/>
              <w:rPr>
                <w:color w:val="000000"/>
                <w:sz w:val="20"/>
                <w:szCs w:val="20"/>
              </w:rPr>
            </w:pPr>
            <w:r>
              <w:rPr>
                <w:color w:val="000000"/>
                <w:sz w:val="20"/>
                <w:szCs w:val="20"/>
              </w:rPr>
              <w:t>-0.056</w:t>
            </w:r>
          </w:p>
        </w:tc>
        <w:tc>
          <w:tcPr>
            <w:tcW w:w="784" w:type="dxa"/>
            <w:tcBorders>
              <w:top w:val="nil"/>
              <w:left w:val="nil"/>
              <w:bottom w:val="nil"/>
              <w:right w:val="nil"/>
            </w:tcBorders>
            <w:shd w:val="clear" w:color="auto" w:fill="auto"/>
            <w:noWrap/>
            <w:vAlign w:val="bottom"/>
            <w:hideMark/>
          </w:tcPr>
          <w:p w14:paraId="28B750F1" w14:textId="7C40F3EF" w:rsidR="00E01EA5" w:rsidRDefault="00E01EA5" w:rsidP="00E01EA5">
            <w:pPr>
              <w:jc w:val="right"/>
              <w:rPr>
                <w:color w:val="000000"/>
                <w:sz w:val="20"/>
                <w:szCs w:val="20"/>
              </w:rPr>
            </w:pPr>
            <w:r>
              <w:rPr>
                <w:color w:val="000000"/>
                <w:sz w:val="20"/>
                <w:szCs w:val="20"/>
              </w:rPr>
              <w:t>0.140</w:t>
            </w:r>
          </w:p>
        </w:tc>
        <w:tc>
          <w:tcPr>
            <w:tcW w:w="784" w:type="dxa"/>
            <w:tcBorders>
              <w:top w:val="nil"/>
              <w:left w:val="nil"/>
              <w:bottom w:val="nil"/>
              <w:right w:val="nil"/>
            </w:tcBorders>
            <w:shd w:val="clear" w:color="auto" w:fill="auto"/>
            <w:noWrap/>
            <w:vAlign w:val="bottom"/>
            <w:hideMark/>
          </w:tcPr>
          <w:p w14:paraId="1BA9025F" w14:textId="068C8074" w:rsidR="00E01EA5" w:rsidRDefault="00E01EA5" w:rsidP="00E01EA5">
            <w:pPr>
              <w:jc w:val="right"/>
              <w:rPr>
                <w:color w:val="000000"/>
                <w:sz w:val="20"/>
                <w:szCs w:val="20"/>
              </w:rPr>
            </w:pPr>
            <w:r>
              <w:rPr>
                <w:color w:val="000000"/>
                <w:sz w:val="20"/>
                <w:szCs w:val="20"/>
              </w:rPr>
              <w:t>0.003</w:t>
            </w:r>
          </w:p>
        </w:tc>
        <w:tc>
          <w:tcPr>
            <w:tcW w:w="893" w:type="dxa"/>
            <w:tcBorders>
              <w:top w:val="nil"/>
              <w:left w:val="nil"/>
              <w:bottom w:val="nil"/>
              <w:right w:val="nil"/>
            </w:tcBorders>
            <w:shd w:val="clear" w:color="auto" w:fill="auto"/>
            <w:noWrap/>
            <w:vAlign w:val="bottom"/>
            <w:hideMark/>
          </w:tcPr>
          <w:p w14:paraId="3DCCC1AA" w14:textId="4C177386" w:rsidR="00E01EA5" w:rsidRDefault="00E01EA5" w:rsidP="00E01EA5">
            <w:pPr>
              <w:jc w:val="right"/>
              <w:rPr>
                <w:color w:val="000000"/>
                <w:sz w:val="20"/>
                <w:szCs w:val="20"/>
              </w:rPr>
            </w:pPr>
            <w:r>
              <w:rPr>
                <w:color w:val="000000"/>
                <w:sz w:val="20"/>
                <w:szCs w:val="20"/>
              </w:rPr>
              <w:t>-0.018</w:t>
            </w:r>
          </w:p>
        </w:tc>
        <w:tc>
          <w:tcPr>
            <w:tcW w:w="784" w:type="dxa"/>
            <w:tcBorders>
              <w:top w:val="nil"/>
              <w:left w:val="nil"/>
              <w:bottom w:val="nil"/>
              <w:right w:val="nil"/>
            </w:tcBorders>
            <w:shd w:val="clear" w:color="auto" w:fill="auto"/>
            <w:noWrap/>
            <w:vAlign w:val="bottom"/>
            <w:hideMark/>
          </w:tcPr>
          <w:p w14:paraId="732E77B6" w14:textId="37FFFB5B" w:rsidR="00E01EA5" w:rsidRDefault="00E01EA5" w:rsidP="00E01EA5">
            <w:pPr>
              <w:jc w:val="right"/>
              <w:rPr>
                <w:color w:val="000000"/>
                <w:sz w:val="20"/>
                <w:szCs w:val="20"/>
              </w:rPr>
            </w:pPr>
            <w:r>
              <w:rPr>
                <w:color w:val="000000"/>
                <w:sz w:val="20"/>
                <w:szCs w:val="20"/>
              </w:rPr>
              <w:t>0.607</w:t>
            </w:r>
          </w:p>
        </w:tc>
        <w:tc>
          <w:tcPr>
            <w:tcW w:w="784" w:type="dxa"/>
            <w:tcBorders>
              <w:top w:val="nil"/>
              <w:left w:val="nil"/>
              <w:bottom w:val="nil"/>
              <w:right w:val="nil"/>
            </w:tcBorders>
            <w:shd w:val="clear" w:color="auto" w:fill="auto"/>
            <w:noWrap/>
            <w:vAlign w:val="bottom"/>
            <w:hideMark/>
          </w:tcPr>
          <w:p w14:paraId="58B382F7" w14:textId="19F1DA35"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79B435B0" w14:textId="14639AC8" w:rsidR="00E01EA5" w:rsidRDefault="00E01EA5" w:rsidP="00E01EA5">
            <w:pPr>
              <w:jc w:val="right"/>
              <w:rPr>
                <w:color w:val="000000"/>
                <w:sz w:val="20"/>
                <w:szCs w:val="20"/>
              </w:rPr>
            </w:pPr>
            <w:r>
              <w:rPr>
                <w:color w:val="000000"/>
                <w:sz w:val="20"/>
                <w:szCs w:val="20"/>
              </w:rPr>
              <w:t>0.021</w:t>
            </w:r>
          </w:p>
        </w:tc>
        <w:tc>
          <w:tcPr>
            <w:tcW w:w="784" w:type="dxa"/>
            <w:tcBorders>
              <w:top w:val="nil"/>
              <w:left w:val="nil"/>
              <w:bottom w:val="nil"/>
              <w:right w:val="nil"/>
            </w:tcBorders>
            <w:shd w:val="clear" w:color="auto" w:fill="auto"/>
            <w:noWrap/>
            <w:vAlign w:val="bottom"/>
            <w:hideMark/>
          </w:tcPr>
          <w:p w14:paraId="117C99BA" w14:textId="41A9BCE2" w:rsidR="00E01EA5" w:rsidRDefault="00E01EA5" w:rsidP="00E01EA5">
            <w:pPr>
              <w:jc w:val="right"/>
              <w:rPr>
                <w:color w:val="000000"/>
                <w:sz w:val="20"/>
                <w:szCs w:val="20"/>
              </w:rPr>
            </w:pPr>
            <w:r>
              <w:rPr>
                <w:color w:val="000000"/>
                <w:sz w:val="20"/>
                <w:szCs w:val="20"/>
              </w:rPr>
              <w:t>0.629</w:t>
            </w:r>
          </w:p>
        </w:tc>
        <w:tc>
          <w:tcPr>
            <w:tcW w:w="784" w:type="dxa"/>
            <w:tcBorders>
              <w:top w:val="nil"/>
              <w:left w:val="nil"/>
              <w:bottom w:val="nil"/>
              <w:right w:val="nil"/>
            </w:tcBorders>
            <w:shd w:val="clear" w:color="auto" w:fill="auto"/>
            <w:noWrap/>
            <w:vAlign w:val="bottom"/>
            <w:hideMark/>
          </w:tcPr>
          <w:p w14:paraId="7422208D" w14:textId="0CE84047"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5C47B2F6" w14:textId="435B00A2" w:rsidR="00E01EA5" w:rsidRDefault="00E01EA5" w:rsidP="00E01EA5">
            <w:pPr>
              <w:jc w:val="right"/>
              <w:rPr>
                <w:color w:val="000000"/>
                <w:sz w:val="20"/>
                <w:szCs w:val="20"/>
              </w:rPr>
            </w:pPr>
            <w:r>
              <w:rPr>
                <w:color w:val="000000"/>
                <w:sz w:val="20"/>
                <w:szCs w:val="20"/>
              </w:rPr>
              <w:t>-0.040</w:t>
            </w:r>
          </w:p>
        </w:tc>
        <w:tc>
          <w:tcPr>
            <w:tcW w:w="784" w:type="dxa"/>
            <w:tcBorders>
              <w:top w:val="nil"/>
              <w:left w:val="nil"/>
              <w:bottom w:val="nil"/>
              <w:right w:val="nil"/>
            </w:tcBorders>
            <w:shd w:val="clear" w:color="auto" w:fill="auto"/>
            <w:noWrap/>
            <w:vAlign w:val="bottom"/>
            <w:hideMark/>
          </w:tcPr>
          <w:p w14:paraId="45A97D61" w14:textId="0E329CD1" w:rsidR="00E01EA5" w:rsidRDefault="00E01EA5" w:rsidP="00E01EA5">
            <w:pPr>
              <w:jc w:val="right"/>
              <w:rPr>
                <w:color w:val="000000"/>
                <w:sz w:val="20"/>
                <w:szCs w:val="20"/>
              </w:rPr>
            </w:pPr>
            <w:r>
              <w:rPr>
                <w:color w:val="000000"/>
                <w:sz w:val="20"/>
                <w:szCs w:val="20"/>
              </w:rPr>
              <w:t>0.288</w:t>
            </w:r>
          </w:p>
        </w:tc>
        <w:tc>
          <w:tcPr>
            <w:tcW w:w="784" w:type="dxa"/>
            <w:tcBorders>
              <w:top w:val="nil"/>
              <w:left w:val="nil"/>
              <w:bottom w:val="nil"/>
              <w:right w:val="nil"/>
            </w:tcBorders>
            <w:shd w:val="clear" w:color="auto" w:fill="auto"/>
            <w:noWrap/>
            <w:vAlign w:val="bottom"/>
            <w:hideMark/>
          </w:tcPr>
          <w:p w14:paraId="123BCF4D" w14:textId="6C38F1A3"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nil"/>
              <w:right w:val="nil"/>
            </w:tcBorders>
            <w:shd w:val="clear" w:color="auto" w:fill="auto"/>
            <w:noWrap/>
            <w:vAlign w:val="bottom"/>
            <w:hideMark/>
          </w:tcPr>
          <w:p w14:paraId="1B8C8761" w14:textId="53D1174B" w:rsidR="00E01EA5" w:rsidRDefault="00E01EA5" w:rsidP="00E01EA5">
            <w:pPr>
              <w:jc w:val="right"/>
              <w:rPr>
                <w:color w:val="000000"/>
                <w:sz w:val="20"/>
                <w:szCs w:val="20"/>
              </w:rPr>
            </w:pPr>
            <w:r>
              <w:rPr>
                <w:color w:val="000000"/>
                <w:sz w:val="20"/>
                <w:szCs w:val="20"/>
              </w:rPr>
              <w:t>0.001</w:t>
            </w:r>
          </w:p>
        </w:tc>
        <w:tc>
          <w:tcPr>
            <w:tcW w:w="784" w:type="dxa"/>
            <w:tcBorders>
              <w:top w:val="nil"/>
              <w:left w:val="nil"/>
              <w:bottom w:val="nil"/>
              <w:right w:val="nil"/>
            </w:tcBorders>
            <w:shd w:val="clear" w:color="auto" w:fill="auto"/>
            <w:noWrap/>
            <w:vAlign w:val="bottom"/>
            <w:hideMark/>
          </w:tcPr>
          <w:p w14:paraId="793255DF" w14:textId="5FEFBEAB" w:rsidR="00E01EA5" w:rsidRDefault="00E01EA5" w:rsidP="00E01EA5">
            <w:pPr>
              <w:jc w:val="right"/>
              <w:rPr>
                <w:color w:val="000000"/>
                <w:sz w:val="20"/>
                <w:szCs w:val="20"/>
              </w:rPr>
            </w:pPr>
            <w:r>
              <w:rPr>
                <w:color w:val="000000"/>
                <w:sz w:val="20"/>
                <w:szCs w:val="20"/>
              </w:rPr>
              <w:t>0.995</w:t>
            </w:r>
          </w:p>
        </w:tc>
        <w:tc>
          <w:tcPr>
            <w:tcW w:w="784" w:type="dxa"/>
            <w:tcBorders>
              <w:top w:val="nil"/>
              <w:left w:val="nil"/>
              <w:bottom w:val="nil"/>
              <w:right w:val="nil"/>
            </w:tcBorders>
            <w:shd w:val="clear" w:color="auto" w:fill="auto"/>
            <w:noWrap/>
            <w:vAlign w:val="bottom"/>
            <w:hideMark/>
          </w:tcPr>
          <w:p w14:paraId="1B1550B6" w14:textId="4244F64F" w:rsidR="00E01EA5" w:rsidRDefault="00E01EA5" w:rsidP="00E01EA5">
            <w:pPr>
              <w:jc w:val="right"/>
              <w:rPr>
                <w:color w:val="000000"/>
                <w:sz w:val="20"/>
                <w:szCs w:val="20"/>
              </w:rPr>
            </w:pPr>
            <w:r>
              <w:rPr>
                <w:color w:val="000000"/>
                <w:sz w:val="20"/>
                <w:szCs w:val="20"/>
              </w:rPr>
              <w:t>0.000</w:t>
            </w:r>
          </w:p>
        </w:tc>
      </w:tr>
      <w:tr w:rsidR="00E01EA5" w14:paraId="04FC09D1" w14:textId="77777777" w:rsidTr="0019576E">
        <w:trPr>
          <w:trHeight w:val="320"/>
        </w:trPr>
        <w:tc>
          <w:tcPr>
            <w:tcW w:w="820" w:type="dxa"/>
            <w:tcBorders>
              <w:top w:val="nil"/>
              <w:left w:val="nil"/>
              <w:bottom w:val="nil"/>
              <w:right w:val="nil"/>
            </w:tcBorders>
            <w:shd w:val="clear" w:color="auto" w:fill="auto"/>
            <w:noWrap/>
            <w:vAlign w:val="bottom"/>
            <w:hideMark/>
          </w:tcPr>
          <w:p w14:paraId="1B5EB05F"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1AA0E6BC" w14:textId="77777777" w:rsidR="00E01EA5" w:rsidRDefault="00E01EA5" w:rsidP="00E01EA5">
            <w:pPr>
              <w:rPr>
                <w:color w:val="000000"/>
                <w:sz w:val="20"/>
                <w:szCs w:val="20"/>
              </w:rPr>
            </w:pPr>
            <w:r>
              <w:rPr>
                <w:color w:val="000000"/>
                <w:sz w:val="20"/>
                <w:szCs w:val="20"/>
              </w:rPr>
              <w:t>23%</w:t>
            </w:r>
          </w:p>
        </w:tc>
        <w:tc>
          <w:tcPr>
            <w:tcW w:w="893" w:type="dxa"/>
            <w:tcBorders>
              <w:top w:val="nil"/>
              <w:left w:val="nil"/>
              <w:bottom w:val="nil"/>
              <w:right w:val="nil"/>
            </w:tcBorders>
            <w:shd w:val="clear" w:color="auto" w:fill="auto"/>
            <w:noWrap/>
            <w:vAlign w:val="bottom"/>
            <w:hideMark/>
          </w:tcPr>
          <w:p w14:paraId="29C072F2" w14:textId="164D94B7" w:rsidR="00E01EA5" w:rsidRDefault="00E01EA5" w:rsidP="00E01EA5">
            <w:pPr>
              <w:jc w:val="right"/>
              <w:rPr>
                <w:color w:val="000000"/>
                <w:sz w:val="20"/>
                <w:szCs w:val="20"/>
              </w:rPr>
            </w:pPr>
            <w:r>
              <w:rPr>
                <w:color w:val="000000"/>
                <w:sz w:val="20"/>
                <w:szCs w:val="20"/>
              </w:rPr>
              <w:t>-0.056</w:t>
            </w:r>
          </w:p>
        </w:tc>
        <w:tc>
          <w:tcPr>
            <w:tcW w:w="784" w:type="dxa"/>
            <w:tcBorders>
              <w:top w:val="nil"/>
              <w:left w:val="nil"/>
              <w:bottom w:val="nil"/>
              <w:right w:val="nil"/>
            </w:tcBorders>
            <w:shd w:val="clear" w:color="auto" w:fill="auto"/>
            <w:noWrap/>
            <w:vAlign w:val="bottom"/>
            <w:hideMark/>
          </w:tcPr>
          <w:p w14:paraId="57066DAD" w14:textId="265A73D6" w:rsidR="00E01EA5" w:rsidRDefault="00E01EA5" w:rsidP="00E01EA5">
            <w:pPr>
              <w:jc w:val="right"/>
              <w:rPr>
                <w:color w:val="000000"/>
                <w:sz w:val="20"/>
                <w:szCs w:val="20"/>
              </w:rPr>
            </w:pPr>
            <w:r>
              <w:rPr>
                <w:color w:val="000000"/>
                <w:sz w:val="20"/>
                <w:szCs w:val="20"/>
              </w:rPr>
              <w:t>0.140</w:t>
            </w:r>
          </w:p>
        </w:tc>
        <w:tc>
          <w:tcPr>
            <w:tcW w:w="784" w:type="dxa"/>
            <w:tcBorders>
              <w:top w:val="nil"/>
              <w:left w:val="nil"/>
              <w:bottom w:val="nil"/>
              <w:right w:val="nil"/>
            </w:tcBorders>
            <w:shd w:val="clear" w:color="auto" w:fill="auto"/>
            <w:noWrap/>
            <w:vAlign w:val="bottom"/>
            <w:hideMark/>
          </w:tcPr>
          <w:p w14:paraId="2CAA75CB" w14:textId="53CC4C1F" w:rsidR="00E01EA5" w:rsidRDefault="00E01EA5" w:rsidP="00E01EA5">
            <w:pPr>
              <w:jc w:val="right"/>
              <w:rPr>
                <w:color w:val="000000"/>
                <w:sz w:val="20"/>
                <w:szCs w:val="20"/>
              </w:rPr>
            </w:pPr>
            <w:r>
              <w:rPr>
                <w:color w:val="000000"/>
                <w:sz w:val="20"/>
                <w:szCs w:val="20"/>
              </w:rPr>
              <w:t>0.003</w:t>
            </w:r>
          </w:p>
        </w:tc>
        <w:tc>
          <w:tcPr>
            <w:tcW w:w="893" w:type="dxa"/>
            <w:tcBorders>
              <w:top w:val="nil"/>
              <w:left w:val="nil"/>
              <w:bottom w:val="nil"/>
              <w:right w:val="nil"/>
            </w:tcBorders>
            <w:shd w:val="clear" w:color="auto" w:fill="auto"/>
            <w:noWrap/>
            <w:vAlign w:val="bottom"/>
            <w:hideMark/>
          </w:tcPr>
          <w:p w14:paraId="2275AE76" w14:textId="5FC063F9" w:rsidR="00E01EA5" w:rsidRDefault="00E01EA5" w:rsidP="00E01EA5">
            <w:pPr>
              <w:jc w:val="right"/>
              <w:rPr>
                <w:color w:val="000000"/>
                <w:sz w:val="20"/>
                <w:szCs w:val="20"/>
              </w:rPr>
            </w:pPr>
            <w:r>
              <w:rPr>
                <w:color w:val="000000"/>
                <w:sz w:val="20"/>
                <w:szCs w:val="20"/>
              </w:rPr>
              <w:t>-0.016</w:t>
            </w:r>
          </w:p>
        </w:tc>
        <w:tc>
          <w:tcPr>
            <w:tcW w:w="784" w:type="dxa"/>
            <w:tcBorders>
              <w:top w:val="nil"/>
              <w:left w:val="nil"/>
              <w:bottom w:val="nil"/>
              <w:right w:val="nil"/>
            </w:tcBorders>
            <w:shd w:val="clear" w:color="auto" w:fill="auto"/>
            <w:noWrap/>
            <w:vAlign w:val="bottom"/>
            <w:hideMark/>
          </w:tcPr>
          <w:p w14:paraId="17B2A3CF" w14:textId="064FC8A4" w:rsidR="00E01EA5" w:rsidRDefault="00E01EA5" w:rsidP="00E01EA5">
            <w:pPr>
              <w:jc w:val="right"/>
              <w:rPr>
                <w:color w:val="000000"/>
                <w:sz w:val="20"/>
                <w:szCs w:val="20"/>
              </w:rPr>
            </w:pPr>
            <w:r>
              <w:rPr>
                <w:color w:val="000000"/>
                <w:sz w:val="20"/>
                <w:szCs w:val="20"/>
              </w:rPr>
              <w:t>0.607</w:t>
            </w:r>
          </w:p>
        </w:tc>
        <w:tc>
          <w:tcPr>
            <w:tcW w:w="784" w:type="dxa"/>
            <w:tcBorders>
              <w:top w:val="nil"/>
              <w:left w:val="nil"/>
              <w:bottom w:val="nil"/>
              <w:right w:val="nil"/>
            </w:tcBorders>
            <w:shd w:val="clear" w:color="auto" w:fill="auto"/>
            <w:noWrap/>
            <w:vAlign w:val="bottom"/>
            <w:hideMark/>
          </w:tcPr>
          <w:p w14:paraId="3B4305DB" w14:textId="15BA2361"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15446B3E" w14:textId="175EC03E" w:rsidR="00E01EA5" w:rsidRDefault="00E01EA5" w:rsidP="00E01EA5">
            <w:pPr>
              <w:jc w:val="right"/>
              <w:rPr>
                <w:color w:val="000000"/>
                <w:sz w:val="20"/>
                <w:szCs w:val="20"/>
              </w:rPr>
            </w:pPr>
            <w:r>
              <w:rPr>
                <w:color w:val="000000"/>
                <w:sz w:val="20"/>
                <w:szCs w:val="20"/>
              </w:rPr>
              <w:t>0.023</w:t>
            </w:r>
          </w:p>
        </w:tc>
        <w:tc>
          <w:tcPr>
            <w:tcW w:w="784" w:type="dxa"/>
            <w:tcBorders>
              <w:top w:val="nil"/>
              <w:left w:val="nil"/>
              <w:bottom w:val="nil"/>
              <w:right w:val="nil"/>
            </w:tcBorders>
            <w:shd w:val="clear" w:color="auto" w:fill="auto"/>
            <w:noWrap/>
            <w:vAlign w:val="bottom"/>
            <w:hideMark/>
          </w:tcPr>
          <w:p w14:paraId="7CD2E457" w14:textId="4258DDE1" w:rsidR="00E01EA5" w:rsidRDefault="00E01EA5" w:rsidP="00E01EA5">
            <w:pPr>
              <w:jc w:val="right"/>
              <w:rPr>
                <w:color w:val="000000"/>
                <w:sz w:val="20"/>
                <w:szCs w:val="20"/>
              </w:rPr>
            </w:pPr>
            <w:r>
              <w:rPr>
                <w:color w:val="000000"/>
                <w:sz w:val="20"/>
                <w:szCs w:val="20"/>
              </w:rPr>
              <w:t>0.629</w:t>
            </w:r>
          </w:p>
        </w:tc>
        <w:tc>
          <w:tcPr>
            <w:tcW w:w="784" w:type="dxa"/>
            <w:tcBorders>
              <w:top w:val="nil"/>
              <w:left w:val="nil"/>
              <w:bottom w:val="nil"/>
              <w:right w:val="nil"/>
            </w:tcBorders>
            <w:shd w:val="clear" w:color="auto" w:fill="auto"/>
            <w:noWrap/>
            <w:vAlign w:val="bottom"/>
            <w:hideMark/>
          </w:tcPr>
          <w:p w14:paraId="418ECE00" w14:textId="7B56E7DD"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1E819B29" w14:textId="2C544F92" w:rsidR="00E01EA5" w:rsidRDefault="00E01EA5" w:rsidP="00E01EA5">
            <w:pPr>
              <w:jc w:val="right"/>
              <w:rPr>
                <w:color w:val="000000"/>
                <w:sz w:val="20"/>
                <w:szCs w:val="20"/>
              </w:rPr>
            </w:pPr>
            <w:r>
              <w:rPr>
                <w:color w:val="000000"/>
                <w:sz w:val="20"/>
                <w:szCs w:val="20"/>
              </w:rPr>
              <w:t>-0.039</w:t>
            </w:r>
          </w:p>
        </w:tc>
        <w:tc>
          <w:tcPr>
            <w:tcW w:w="784" w:type="dxa"/>
            <w:tcBorders>
              <w:top w:val="nil"/>
              <w:left w:val="nil"/>
              <w:bottom w:val="nil"/>
              <w:right w:val="nil"/>
            </w:tcBorders>
            <w:shd w:val="clear" w:color="auto" w:fill="auto"/>
            <w:noWrap/>
            <w:vAlign w:val="bottom"/>
            <w:hideMark/>
          </w:tcPr>
          <w:p w14:paraId="6D2A4078" w14:textId="1C0CC0FD" w:rsidR="00E01EA5" w:rsidRDefault="00E01EA5" w:rsidP="00E01EA5">
            <w:pPr>
              <w:jc w:val="right"/>
              <w:rPr>
                <w:color w:val="000000"/>
                <w:sz w:val="20"/>
                <w:szCs w:val="20"/>
              </w:rPr>
            </w:pPr>
            <w:r>
              <w:rPr>
                <w:color w:val="000000"/>
                <w:sz w:val="20"/>
                <w:szCs w:val="20"/>
              </w:rPr>
              <w:t>0.288</w:t>
            </w:r>
          </w:p>
        </w:tc>
        <w:tc>
          <w:tcPr>
            <w:tcW w:w="784" w:type="dxa"/>
            <w:tcBorders>
              <w:top w:val="nil"/>
              <w:left w:val="nil"/>
              <w:bottom w:val="nil"/>
              <w:right w:val="nil"/>
            </w:tcBorders>
            <w:shd w:val="clear" w:color="auto" w:fill="auto"/>
            <w:noWrap/>
            <w:vAlign w:val="bottom"/>
            <w:hideMark/>
          </w:tcPr>
          <w:p w14:paraId="08F82DDD" w14:textId="34329B3A"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nil"/>
              <w:right w:val="nil"/>
            </w:tcBorders>
            <w:shd w:val="clear" w:color="auto" w:fill="auto"/>
            <w:noWrap/>
            <w:vAlign w:val="bottom"/>
            <w:hideMark/>
          </w:tcPr>
          <w:p w14:paraId="34042AE9" w14:textId="1F7ECA47" w:rsidR="00E01EA5" w:rsidRDefault="00E01EA5" w:rsidP="00E01EA5">
            <w:pPr>
              <w:jc w:val="right"/>
              <w:rPr>
                <w:color w:val="000000"/>
                <w:sz w:val="20"/>
                <w:szCs w:val="20"/>
              </w:rPr>
            </w:pPr>
            <w:r>
              <w:rPr>
                <w:color w:val="000000"/>
                <w:sz w:val="20"/>
                <w:szCs w:val="20"/>
              </w:rPr>
              <w:t>-0.001</w:t>
            </w:r>
          </w:p>
        </w:tc>
        <w:tc>
          <w:tcPr>
            <w:tcW w:w="784" w:type="dxa"/>
            <w:tcBorders>
              <w:top w:val="nil"/>
              <w:left w:val="nil"/>
              <w:bottom w:val="nil"/>
              <w:right w:val="nil"/>
            </w:tcBorders>
            <w:shd w:val="clear" w:color="auto" w:fill="auto"/>
            <w:noWrap/>
            <w:vAlign w:val="bottom"/>
            <w:hideMark/>
          </w:tcPr>
          <w:p w14:paraId="1EEF0C41" w14:textId="794F0E04" w:rsidR="00E01EA5" w:rsidRDefault="00E01EA5" w:rsidP="00E01EA5">
            <w:pPr>
              <w:jc w:val="right"/>
              <w:rPr>
                <w:color w:val="000000"/>
                <w:sz w:val="20"/>
                <w:szCs w:val="20"/>
              </w:rPr>
            </w:pPr>
            <w:r>
              <w:rPr>
                <w:color w:val="000000"/>
                <w:sz w:val="20"/>
                <w:szCs w:val="20"/>
              </w:rPr>
              <w:t>0.995</w:t>
            </w:r>
          </w:p>
        </w:tc>
        <w:tc>
          <w:tcPr>
            <w:tcW w:w="784" w:type="dxa"/>
            <w:tcBorders>
              <w:top w:val="nil"/>
              <w:left w:val="nil"/>
              <w:bottom w:val="nil"/>
              <w:right w:val="nil"/>
            </w:tcBorders>
            <w:shd w:val="clear" w:color="auto" w:fill="auto"/>
            <w:noWrap/>
            <w:vAlign w:val="bottom"/>
            <w:hideMark/>
          </w:tcPr>
          <w:p w14:paraId="53B5EAC2" w14:textId="7E775CEA" w:rsidR="00E01EA5" w:rsidRDefault="00E01EA5" w:rsidP="00E01EA5">
            <w:pPr>
              <w:jc w:val="right"/>
              <w:rPr>
                <w:color w:val="000000"/>
                <w:sz w:val="20"/>
                <w:szCs w:val="20"/>
              </w:rPr>
            </w:pPr>
            <w:r>
              <w:rPr>
                <w:color w:val="000000"/>
                <w:sz w:val="20"/>
                <w:szCs w:val="20"/>
              </w:rPr>
              <w:t>0.000</w:t>
            </w:r>
          </w:p>
        </w:tc>
      </w:tr>
      <w:tr w:rsidR="00E01EA5" w14:paraId="3F55CE97" w14:textId="77777777" w:rsidTr="0019576E">
        <w:trPr>
          <w:trHeight w:val="340"/>
        </w:trPr>
        <w:tc>
          <w:tcPr>
            <w:tcW w:w="820" w:type="dxa"/>
            <w:tcBorders>
              <w:top w:val="nil"/>
              <w:left w:val="nil"/>
              <w:bottom w:val="single" w:sz="8" w:space="0" w:color="auto"/>
              <w:right w:val="nil"/>
            </w:tcBorders>
            <w:shd w:val="clear" w:color="auto" w:fill="auto"/>
            <w:noWrap/>
            <w:vAlign w:val="bottom"/>
            <w:hideMark/>
          </w:tcPr>
          <w:p w14:paraId="54115BA2" w14:textId="77777777" w:rsidR="00E01EA5" w:rsidRDefault="00E01EA5" w:rsidP="00E01EA5">
            <w:pPr>
              <w:rPr>
                <w:color w:val="000000"/>
                <w:sz w:val="20"/>
                <w:szCs w:val="20"/>
              </w:rPr>
            </w:pPr>
            <w:r>
              <w:rPr>
                <w:color w:val="000000"/>
                <w:sz w:val="20"/>
                <w:szCs w:val="20"/>
              </w:rPr>
              <w:t> </w:t>
            </w:r>
          </w:p>
        </w:tc>
        <w:tc>
          <w:tcPr>
            <w:tcW w:w="1027" w:type="dxa"/>
            <w:tcBorders>
              <w:top w:val="nil"/>
              <w:left w:val="nil"/>
              <w:bottom w:val="single" w:sz="8" w:space="0" w:color="auto"/>
              <w:right w:val="nil"/>
            </w:tcBorders>
            <w:shd w:val="clear" w:color="auto" w:fill="auto"/>
            <w:noWrap/>
            <w:vAlign w:val="bottom"/>
            <w:hideMark/>
          </w:tcPr>
          <w:p w14:paraId="38F54558" w14:textId="77777777" w:rsidR="00E01EA5" w:rsidRDefault="00E01EA5" w:rsidP="00E01EA5">
            <w:pPr>
              <w:rPr>
                <w:color w:val="000000"/>
                <w:sz w:val="20"/>
                <w:szCs w:val="20"/>
              </w:rPr>
            </w:pPr>
            <w:r>
              <w:rPr>
                <w:color w:val="000000"/>
                <w:sz w:val="20"/>
                <w:szCs w:val="20"/>
              </w:rPr>
              <w:t>30%</w:t>
            </w:r>
          </w:p>
        </w:tc>
        <w:tc>
          <w:tcPr>
            <w:tcW w:w="893" w:type="dxa"/>
            <w:tcBorders>
              <w:top w:val="nil"/>
              <w:left w:val="nil"/>
              <w:bottom w:val="single" w:sz="8" w:space="0" w:color="auto"/>
              <w:right w:val="nil"/>
            </w:tcBorders>
            <w:shd w:val="clear" w:color="auto" w:fill="auto"/>
            <w:noWrap/>
            <w:vAlign w:val="bottom"/>
            <w:hideMark/>
          </w:tcPr>
          <w:p w14:paraId="34722599" w14:textId="2D696A4B" w:rsidR="00E01EA5" w:rsidRDefault="00E01EA5" w:rsidP="00E01EA5">
            <w:pPr>
              <w:jc w:val="right"/>
              <w:rPr>
                <w:color w:val="000000"/>
                <w:sz w:val="20"/>
                <w:szCs w:val="20"/>
              </w:rPr>
            </w:pPr>
            <w:r>
              <w:rPr>
                <w:color w:val="000000"/>
                <w:sz w:val="20"/>
                <w:szCs w:val="20"/>
              </w:rPr>
              <w:t>-0.053</w:t>
            </w:r>
          </w:p>
        </w:tc>
        <w:tc>
          <w:tcPr>
            <w:tcW w:w="784" w:type="dxa"/>
            <w:tcBorders>
              <w:top w:val="nil"/>
              <w:left w:val="nil"/>
              <w:bottom w:val="single" w:sz="8" w:space="0" w:color="auto"/>
              <w:right w:val="nil"/>
            </w:tcBorders>
            <w:shd w:val="clear" w:color="auto" w:fill="auto"/>
            <w:noWrap/>
            <w:vAlign w:val="bottom"/>
            <w:hideMark/>
          </w:tcPr>
          <w:p w14:paraId="1A193640" w14:textId="14DC6E37" w:rsidR="00E01EA5" w:rsidRDefault="00E01EA5" w:rsidP="00E01EA5">
            <w:pPr>
              <w:jc w:val="right"/>
              <w:rPr>
                <w:color w:val="000000"/>
                <w:sz w:val="20"/>
                <w:szCs w:val="20"/>
              </w:rPr>
            </w:pPr>
            <w:r>
              <w:rPr>
                <w:color w:val="000000"/>
                <w:sz w:val="20"/>
                <w:szCs w:val="20"/>
              </w:rPr>
              <w:t>0.140</w:t>
            </w:r>
          </w:p>
        </w:tc>
        <w:tc>
          <w:tcPr>
            <w:tcW w:w="784" w:type="dxa"/>
            <w:tcBorders>
              <w:top w:val="nil"/>
              <w:left w:val="nil"/>
              <w:bottom w:val="single" w:sz="8" w:space="0" w:color="auto"/>
              <w:right w:val="nil"/>
            </w:tcBorders>
            <w:shd w:val="clear" w:color="auto" w:fill="auto"/>
            <w:noWrap/>
            <w:vAlign w:val="bottom"/>
            <w:hideMark/>
          </w:tcPr>
          <w:p w14:paraId="5442FCA8" w14:textId="3D07ADD7" w:rsidR="00E01EA5" w:rsidRDefault="00E01EA5" w:rsidP="00E01EA5">
            <w:pPr>
              <w:jc w:val="right"/>
              <w:rPr>
                <w:color w:val="000000"/>
                <w:sz w:val="20"/>
                <w:szCs w:val="20"/>
              </w:rPr>
            </w:pPr>
            <w:r>
              <w:rPr>
                <w:color w:val="000000"/>
                <w:sz w:val="20"/>
                <w:szCs w:val="20"/>
              </w:rPr>
              <w:t>0.003</w:t>
            </w:r>
          </w:p>
        </w:tc>
        <w:tc>
          <w:tcPr>
            <w:tcW w:w="893" w:type="dxa"/>
            <w:tcBorders>
              <w:top w:val="nil"/>
              <w:left w:val="nil"/>
              <w:bottom w:val="single" w:sz="8" w:space="0" w:color="auto"/>
              <w:right w:val="nil"/>
            </w:tcBorders>
            <w:shd w:val="clear" w:color="auto" w:fill="auto"/>
            <w:noWrap/>
            <w:vAlign w:val="bottom"/>
            <w:hideMark/>
          </w:tcPr>
          <w:p w14:paraId="28E396D8" w14:textId="54E72B4D" w:rsidR="00E01EA5" w:rsidRDefault="00E01EA5" w:rsidP="00E01EA5">
            <w:pPr>
              <w:jc w:val="right"/>
              <w:rPr>
                <w:color w:val="000000"/>
                <w:sz w:val="20"/>
                <w:szCs w:val="20"/>
              </w:rPr>
            </w:pPr>
            <w:r>
              <w:rPr>
                <w:color w:val="000000"/>
                <w:sz w:val="20"/>
                <w:szCs w:val="20"/>
              </w:rPr>
              <w:t>-0.014</w:t>
            </w:r>
          </w:p>
        </w:tc>
        <w:tc>
          <w:tcPr>
            <w:tcW w:w="784" w:type="dxa"/>
            <w:tcBorders>
              <w:top w:val="nil"/>
              <w:left w:val="nil"/>
              <w:bottom w:val="single" w:sz="8" w:space="0" w:color="auto"/>
              <w:right w:val="nil"/>
            </w:tcBorders>
            <w:shd w:val="clear" w:color="auto" w:fill="auto"/>
            <w:noWrap/>
            <w:vAlign w:val="bottom"/>
            <w:hideMark/>
          </w:tcPr>
          <w:p w14:paraId="3E1E9FD4" w14:textId="79BAA596" w:rsidR="00E01EA5" w:rsidRDefault="00E01EA5" w:rsidP="00E01EA5">
            <w:pPr>
              <w:jc w:val="right"/>
              <w:rPr>
                <w:color w:val="000000"/>
                <w:sz w:val="20"/>
                <w:szCs w:val="20"/>
              </w:rPr>
            </w:pPr>
            <w:r>
              <w:rPr>
                <w:color w:val="000000"/>
                <w:sz w:val="20"/>
                <w:szCs w:val="20"/>
              </w:rPr>
              <w:t>0.607</w:t>
            </w:r>
          </w:p>
        </w:tc>
        <w:tc>
          <w:tcPr>
            <w:tcW w:w="784" w:type="dxa"/>
            <w:tcBorders>
              <w:top w:val="nil"/>
              <w:left w:val="nil"/>
              <w:bottom w:val="single" w:sz="8" w:space="0" w:color="auto"/>
              <w:right w:val="nil"/>
            </w:tcBorders>
            <w:shd w:val="clear" w:color="auto" w:fill="auto"/>
            <w:noWrap/>
            <w:vAlign w:val="bottom"/>
            <w:hideMark/>
          </w:tcPr>
          <w:p w14:paraId="37E66D2B" w14:textId="3502034E"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8" w:space="0" w:color="auto"/>
              <w:right w:val="nil"/>
            </w:tcBorders>
            <w:shd w:val="clear" w:color="auto" w:fill="auto"/>
            <w:noWrap/>
            <w:vAlign w:val="bottom"/>
            <w:hideMark/>
          </w:tcPr>
          <w:p w14:paraId="1DF6ECB4" w14:textId="705620BB" w:rsidR="00E01EA5" w:rsidRDefault="00E01EA5" w:rsidP="00E01EA5">
            <w:pPr>
              <w:jc w:val="right"/>
              <w:rPr>
                <w:color w:val="000000"/>
                <w:sz w:val="20"/>
                <w:szCs w:val="20"/>
              </w:rPr>
            </w:pPr>
            <w:r>
              <w:rPr>
                <w:color w:val="000000"/>
                <w:sz w:val="20"/>
                <w:szCs w:val="20"/>
              </w:rPr>
              <w:t>0.025</w:t>
            </w:r>
          </w:p>
        </w:tc>
        <w:tc>
          <w:tcPr>
            <w:tcW w:w="784" w:type="dxa"/>
            <w:tcBorders>
              <w:top w:val="nil"/>
              <w:left w:val="nil"/>
              <w:bottom w:val="single" w:sz="8" w:space="0" w:color="auto"/>
              <w:right w:val="nil"/>
            </w:tcBorders>
            <w:shd w:val="clear" w:color="auto" w:fill="auto"/>
            <w:noWrap/>
            <w:vAlign w:val="bottom"/>
            <w:hideMark/>
          </w:tcPr>
          <w:p w14:paraId="24E38651" w14:textId="37DD4CBE" w:rsidR="00E01EA5" w:rsidRDefault="00E01EA5" w:rsidP="00E01EA5">
            <w:pPr>
              <w:jc w:val="right"/>
              <w:rPr>
                <w:color w:val="000000"/>
                <w:sz w:val="20"/>
                <w:szCs w:val="20"/>
              </w:rPr>
            </w:pPr>
            <w:r>
              <w:rPr>
                <w:color w:val="000000"/>
                <w:sz w:val="20"/>
                <w:szCs w:val="20"/>
              </w:rPr>
              <w:t>0.629</w:t>
            </w:r>
          </w:p>
        </w:tc>
        <w:tc>
          <w:tcPr>
            <w:tcW w:w="784" w:type="dxa"/>
            <w:tcBorders>
              <w:top w:val="nil"/>
              <w:left w:val="nil"/>
              <w:bottom w:val="single" w:sz="8" w:space="0" w:color="auto"/>
              <w:right w:val="nil"/>
            </w:tcBorders>
            <w:shd w:val="clear" w:color="auto" w:fill="auto"/>
            <w:noWrap/>
            <w:vAlign w:val="bottom"/>
            <w:hideMark/>
          </w:tcPr>
          <w:p w14:paraId="47A48B7F" w14:textId="0CB80BC8"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single" w:sz="8" w:space="0" w:color="auto"/>
              <w:right w:val="nil"/>
            </w:tcBorders>
            <w:shd w:val="clear" w:color="auto" w:fill="auto"/>
            <w:noWrap/>
            <w:vAlign w:val="bottom"/>
            <w:hideMark/>
          </w:tcPr>
          <w:p w14:paraId="0E885836" w14:textId="5FB474CA" w:rsidR="00E01EA5" w:rsidRDefault="00E01EA5" w:rsidP="00E01EA5">
            <w:pPr>
              <w:jc w:val="right"/>
              <w:rPr>
                <w:color w:val="000000"/>
                <w:sz w:val="20"/>
                <w:szCs w:val="20"/>
              </w:rPr>
            </w:pPr>
            <w:r>
              <w:rPr>
                <w:color w:val="000000"/>
                <w:sz w:val="20"/>
                <w:szCs w:val="20"/>
              </w:rPr>
              <w:t>-0.036</w:t>
            </w:r>
          </w:p>
        </w:tc>
        <w:tc>
          <w:tcPr>
            <w:tcW w:w="784" w:type="dxa"/>
            <w:tcBorders>
              <w:top w:val="nil"/>
              <w:left w:val="nil"/>
              <w:bottom w:val="single" w:sz="8" w:space="0" w:color="auto"/>
              <w:right w:val="nil"/>
            </w:tcBorders>
            <w:shd w:val="clear" w:color="auto" w:fill="auto"/>
            <w:noWrap/>
            <w:vAlign w:val="bottom"/>
            <w:hideMark/>
          </w:tcPr>
          <w:p w14:paraId="1FACD7A0" w14:textId="4F10A0D0" w:rsidR="00E01EA5" w:rsidRDefault="00E01EA5" w:rsidP="00E01EA5">
            <w:pPr>
              <w:jc w:val="right"/>
              <w:rPr>
                <w:color w:val="000000"/>
                <w:sz w:val="20"/>
                <w:szCs w:val="20"/>
              </w:rPr>
            </w:pPr>
            <w:r>
              <w:rPr>
                <w:color w:val="000000"/>
                <w:sz w:val="20"/>
                <w:szCs w:val="20"/>
              </w:rPr>
              <w:t>0.288</w:t>
            </w:r>
          </w:p>
        </w:tc>
        <w:tc>
          <w:tcPr>
            <w:tcW w:w="784" w:type="dxa"/>
            <w:tcBorders>
              <w:top w:val="nil"/>
              <w:left w:val="nil"/>
              <w:bottom w:val="single" w:sz="8" w:space="0" w:color="auto"/>
              <w:right w:val="nil"/>
            </w:tcBorders>
            <w:shd w:val="clear" w:color="auto" w:fill="auto"/>
            <w:noWrap/>
            <w:vAlign w:val="bottom"/>
            <w:hideMark/>
          </w:tcPr>
          <w:p w14:paraId="44D8DDF5" w14:textId="3CF192FF"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single" w:sz="8" w:space="0" w:color="auto"/>
              <w:right w:val="nil"/>
            </w:tcBorders>
            <w:shd w:val="clear" w:color="auto" w:fill="auto"/>
            <w:noWrap/>
            <w:vAlign w:val="bottom"/>
            <w:hideMark/>
          </w:tcPr>
          <w:p w14:paraId="4EC7C8C2" w14:textId="30033D32" w:rsidR="00E01EA5" w:rsidRDefault="00E01EA5" w:rsidP="00E01EA5">
            <w:pPr>
              <w:jc w:val="right"/>
              <w:rPr>
                <w:color w:val="000000"/>
                <w:sz w:val="20"/>
                <w:szCs w:val="20"/>
              </w:rPr>
            </w:pPr>
            <w:r>
              <w:rPr>
                <w:color w:val="000000"/>
                <w:sz w:val="20"/>
                <w:szCs w:val="20"/>
              </w:rPr>
              <w:t>-0.004</w:t>
            </w:r>
          </w:p>
        </w:tc>
        <w:tc>
          <w:tcPr>
            <w:tcW w:w="784" w:type="dxa"/>
            <w:tcBorders>
              <w:top w:val="nil"/>
              <w:left w:val="nil"/>
              <w:bottom w:val="single" w:sz="8" w:space="0" w:color="auto"/>
              <w:right w:val="nil"/>
            </w:tcBorders>
            <w:shd w:val="clear" w:color="auto" w:fill="auto"/>
            <w:noWrap/>
            <w:vAlign w:val="bottom"/>
            <w:hideMark/>
          </w:tcPr>
          <w:p w14:paraId="616DA2A0" w14:textId="0BEA6505" w:rsidR="00E01EA5" w:rsidRDefault="00E01EA5" w:rsidP="00E01EA5">
            <w:pPr>
              <w:jc w:val="right"/>
              <w:rPr>
                <w:color w:val="000000"/>
                <w:sz w:val="20"/>
                <w:szCs w:val="20"/>
              </w:rPr>
            </w:pPr>
            <w:r>
              <w:rPr>
                <w:color w:val="000000"/>
                <w:sz w:val="20"/>
                <w:szCs w:val="20"/>
              </w:rPr>
              <w:t>0.995</w:t>
            </w:r>
          </w:p>
        </w:tc>
        <w:tc>
          <w:tcPr>
            <w:tcW w:w="784" w:type="dxa"/>
            <w:tcBorders>
              <w:top w:val="nil"/>
              <w:left w:val="nil"/>
              <w:bottom w:val="single" w:sz="8" w:space="0" w:color="auto"/>
              <w:right w:val="nil"/>
            </w:tcBorders>
            <w:shd w:val="clear" w:color="auto" w:fill="auto"/>
            <w:noWrap/>
            <w:vAlign w:val="bottom"/>
            <w:hideMark/>
          </w:tcPr>
          <w:p w14:paraId="4604C065" w14:textId="2FBE4D65" w:rsidR="00E01EA5" w:rsidRDefault="00E01EA5" w:rsidP="00E01EA5">
            <w:pPr>
              <w:jc w:val="right"/>
              <w:rPr>
                <w:color w:val="000000"/>
                <w:sz w:val="20"/>
                <w:szCs w:val="20"/>
              </w:rPr>
            </w:pPr>
            <w:r>
              <w:rPr>
                <w:color w:val="000000"/>
                <w:sz w:val="20"/>
                <w:szCs w:val="20"/>
              </w:rPr>
              <w:t>0.000</w:t>
            </w:r>
          </w:p>
        </w:tc>
      </w:tr>
      <w:tr w:rsidR="00E01EA5" w14:paraId="42DB3870" w14:textId="77777777" w:rsidTr="0019576E">
        <w:trPr>
          <w:trHeight w:val="320"/>
        </w:trPr>
        <w:tc>
          <w:tcPr>
            <w:tcW w:w="820" w:type="dxa"/>
            <w:tcBorders>
              <w:top w:val="nil"/>
              <w:left w:val="nil"/>
              <w:bottom w:val="nil"/>
              <w:right w:val="nil"/>
            </w:tcBorders>
            <w:shd w:val="clear" w:color="auto" w:fill="auto"/>
            <w:noWrap/>
            <w:vAlign w:val="bottom"/>
            <w:hideMark/>
          </w:tcPr>
          <w:p w14:paraId="59E33FE9" w14:textId="77777777" w:rsidR="00E01EA5" w:rsidRDefault="00E01EA5" w:rsidP="00E01EA5">
            <w:pPr>
              <w:rPr>
                <w:color w:val="000000"/>
                <w:sz w:val="20"/>
                <w:szCs w:val="20"/>
              </w:rPr>
            </w:pPr>
            <w:r>
              <w:rPr>
                <w:color w:val="000000"/>
                <w:sz w:val="20"/>
                <w:szCs w:val="20"/>
              </w:rPr>
              <w:t>SST</w:t>
            </w:r>
          </w:p>
        </w:tc>
        <w:tc>
          <w:tcPr>
            <w:tcW w:w="1027" w:type="dxa"/>
            <w:tcBorders>
              <w:top w:val="nil"/>
              <w:left w:val="nil"/>
              <w:bottom w:val="nil"/>
              <w:right w:val="nil"/>
            </w:tcBorders>
            <w:shd w:val="clear" w:color="auto" w:fill="auto"/>
            <w:noWrap/>
            <w:vAlign w:val="bottom"/>
            <w:hideMark/>
          </w:tcPr>
          <w:p w14:paraId="7E17AB4D" w14:textId="77777777" w:rsidR="00E01EA5" w:rsidRDefault="00E01EA5" w:rsidP="00E01EA5">
            <w:pPr>
              <w:rPr>
                <w:color w:val="000000"/>
                <w:sz w:val="20"/>
                <w:szCs w:val="20"/>
              </w:rPr>
            </w:pPr>
            <w:r>
              <w:rPr>
                <w:color w:val="000000"/>
                <w:sz w:val="20"/>
                <w:szCs w:val="20"/>
              </w:rPr>
              <w:t>10%</w:t>
            </w:r>
          </w:p>
        </w:tc>
        <w:tc>
          <w:tcPr>
            <w:tcW w:w="893" w:type="dxa"/>
            <w:tcBorders>
              <w:top w:val="nil"/>
              <w:left w:val="nil"/>
              <w:bottom w:val="nil"/>
              <w:right w:val="nil"/>
            </w:tcBorders>
            <w:shd w:val="clear" w:color="auto" w:fill="auto"/>
            <w:noWrap/>
            <w:vAlign w:val="bottom"/>
            <w:hideMark/>
          </w:tcPr>
          <w:p w14:paraId="6D13AB1F" w14:textId="082E28A5" w:rsidR="00E01EA5" w:rsidRDefault="00E01EA5" w:rsidP="00E01EA5">
            <w:pPr>
              <w:jc w:val="right"/>
              <w:rPr>
                <w:color w:val="000000"/>
                <w:sz w:val="20"/>
                <w:szCs w:val="20"/>
              </w:rPr>
            </w:pPr>
            <w:r>
              <w:rPr>
                <w:color w:val="000000"/>
                <w:sz w:val="20"/>
                <w:szCs w:val="20"/>
              </w:rPr>
              <w:t>0.014</w:t>
            </w:r>
          </w:p>
        </w:tc>
        <w:tc>
          <w:tcPr>
            <w:tcW w:w="784" w:type="dxa"/>
            <w:tcBorders>
              <w:top w:val="nil"/>
              <w:left w:val="nil"/>
              <w:bottom w:val="nil"/>
              <w:right w:val="nil"/>
            </w:tcBorders>
            <w:shd w:val="clear" w:color="auto" w:fill="auto"/>
            <w:noWrap/>
            <w:vAlign w:val="bottom"/>
            <w:hideMark/>
          </w:tcPr>
          <w:p w14:paraId="2698B1BC" w14:textId="5E0D7704" w:rsidR="00E01EA5" w:rsidRDefault="00E01EA5" w:rsidP="00E01EA5">
            <w:pPr>
              <w:jc w:val="right"/>
              <w:rPr>
                <w:color w:val="000000"/>
                <w:sz w:val="20"/>
                <w:szCs w:val="20"/>
              </w:rPr>
            </w:pPr>
            <w:r>
              <w:rPr>
                <w:color w:val="000000"/>
                <w:sz w:val="20"/>
                <w:szCs w:val="20"/>
              </w:rPr>
              <w:t>0.806</w:t>
            </w:r>
          </w:p>
        </w:tc>
        <w:tc>
          <w:tcPr>
            <w:tcW w:w="784" w:type="dxa"/>
            <w:tcBorders>
              <w:top w:val="nil"/>
              <w:left w:val="nil"/>
              <w:bottom w:val="nil"/>
              <w:right w:val="nil"/>
            </w:tcBorders>
            <w:shd w:val="clear" w:color="auto" w:fill="auto"/>
            <w:noWrap/>
            <w:vAlign w:val="bottom"/>
            <w:hideMark/>
          </w:tcPr>
          <w:p w14:paraId="4AE73B4F" w14:textId="01CD75A9"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23DB2084" w14:textId="036032FF" w:rsidR="00E01EA5" w:rsidRDefault="00E01EA5" w:rsidP="00E01EA5">
            <w:pPr>
              <w:jc w:val="right"/>
              <w:rPr>
                <w:color w:val="000000"/>
                <w:sz w:val="20"/>
                <w:szCs w:val="20"/>
              </w:rPr>
            </w:pPr>
            <w:r>
              <w:rPr>
                <w:color w:val="000000"/>
                <w:sz w:val="20"/>
                <w:szCs w:val="20"/>
              </w:rPr>
              <w:t>-0.036</w:t>
            </w:r>
          </w:p>
        </w:tc>
        <w:tc>
          <w:tcPr>
            <w:tcW w:w="784" w:type="dxa"/>
            <w:tcBorders>
              <w:top w:val="nil"/>
              <w:left w:val="nil"/>
              <w:bottom w:val="nil"/>
              <w:right w:val="nil"/>
            </w:tcBorders>
            <w:shd w:val="clear" w:color="auto" w:fill="auto"/>
            <w:noWrap/>
            <w:vAlign w:val="bottom"/>
            <w:hideMark/>
          </w:tcPr>
          <w:p w14:paraId="287B2120" w14:textId="070AB3B3" w:rsidR="00E01EA5" w:rsidRDefault="00E01EA5" w:rsidP="00E01EA5">
            <w:pPr>
              <w:jc w:val="right"/>
              <w:rPr>
                <w:color w:val="000000"/>
                <w:sz w:val="20"/>
                <w:szCs w:val="20"/>
              </w:rPr>
            </w:pPr>
            <w:r>
              <w:rPr>
                <w:color w:val="000000"/>
                <w:sz w:val="20"/>
                <w:szCs w:val="20"/>
              </w:rPr>
              <w:t>0.217</w:t>
            </w:r>
          </w:p>
        </w:tc>
        <w:tc>
          <w:tcPr>
            <w:tcW w:w="784" w:type="dxa"/>
            <w:tcBorders>
              <w:top w:val="nil"/>
              <w:left w:val="nil"/>
              <w:bottom w:val="nil"/>
              <w:right w:val="nil"/>
            </w:tcBorders>
            <w:shd w:val="clear" w:color="auto" w:fill="auto"/>
            <w:noWrap/>
            <w:vAlign w:val="bottom"/>
            <w:hideMark/>
          </w:tcPr>
          <w:p w14:paraId="16B292CF" w14:textId="50BC81BC"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5BB6BBEE" w14:textId="5D0A73AC" w:rsidR="00E01EA5" w:rsidRDefault="00E01EA5" w:rsidP="00E01EA5">
            <w:pPr>
              <w:jc w:val="right"/>
              <w:rPr>
                <w:b/>
                <w:bCs/>
                <w:color w:val="000000"/>
                <w:sz w:val="20"/>
                <w:szCs w:val="20"/>
              </w:rPr>
            </w:pPr>
            <w:r>
              <w:rPr>
                <w:b/>
                <w:bCs/>
                <w:color w:val="000000"/>
                <w:sz w:val="20"/>
                <w:szCs w:val="20"/>
              </w:rPr>
              <w:t>-0.094</w:t>
            </w:r>
          </w:p>
        </w:tc>
        <w:tc>
          <w:tcPr>
            <w:tcW w:w="784" w:type="dxa"/>
            <w:tcBorders>
              <w:top w:val="nil"/>
              <w:left w:val="nil"/>
              <w:bottom w:val="nil"/>
              <w:right w:val="nil"/>
            </w:tcBorders>
            <w:shd w:val="clear" w:color="auto" w:fill="auto"/>
            <w:noWrap/>
            <w:vAlign w:val="bottom"/>
            <w:hideMark/>
          </w:tcPr>
          <w:p w14:paraId="0C54842A" w14:textId="461C1FE4"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bottom w:val="nil"/>
              <w:right w:val="nil"/>
            </w:tcBorders>
            <w:shd w:val="clear" w:color="auto" w:fill="auto"/>
            <w:noWrap/>
            <w:vAlign w:val="bottom"/>
            <w:hideMark/>
          </w:tcPr>
          <w:p w14:paraId="215EE58C" w14:textId="673A2C3D" w:rsidR="00E01EA5" w:rsidRDefault="00E01EA5" w:rsidP="00E01EA5">
            <w:pPr>
              <w:jc w:val="right"/>
              <w:rPr>
                <w:b/>
                <w:bCs/>
                <w:color w:val="000000"/>
                <w:sz w:val="20"/>
                <w:szCs w:val="20"/>
              </w:rPr>
            </w:pPr>
            <w:r>
              <w:rPr>
                <w:b/>
                <w:bCs/>
                <w:color w:val="000000"/>
                <w:sz w:val="20"/>
                <w:szCs w:val="20"/>
              </w:rPr>
              <w:t>0.009</w:t>
            </w:r>
          </w:p>
        </w:tc>
        <w:tc>
          <w:tcPr>
            <w:tcW w:w="893" w:type="dxa"/>
            <w:tcBorders>
              <w:top w:val="nil"/>
              <w:left w:val="nil"/>
              <w:bottom w:val="nil"/>
              <w:right w:val="nil"/>
            </w:tcBorders>
            <w:shd w:val="clear" w:color="auto" w:fill="auto"/>
            <w:noWrap/>
            <w:vAlign w:val="bottom"/>
            <w:hideMark/>
          </w:tcPr>
          <w:p w14:paraId="5098FEBB" w14:textId="0A4553E6" w:rsidR="00E01EA5" w:rsidRDefault="00E01EA5" w:rsidP="00E01EA5">
            <w:pPr>
              <w:jc w:val="right"/>
              <w:rPr>
                <w:color w:val="000000"/>
                <w:sz w:val="20"/>
                <w:szCs w:val="20"/>
              </w:rPr>
            </w:pPr>
            <w:r>
              <w:rPr>
                <w:color w:val="000000"/>
                <w:sz w:val="20"/>
                <w:szCs w:val="20"/>
              </w:rPr>
              <w:t>0.043</w:t>
            </w:r>
          </w:p>
        </w:tc>
        <w:tc>
          <w:tcPr>
            <w:tcW w:w="784" w:type="dxa"/>
            <w:tcBorders>
              <w:top w:val="nil"/>
              <w:left w:val="nil"/>
              <w:bottom w:val="nil"/>
              <w:right w:val="nil"/>
            </w:tcBorders>
            <w:shd w:val="clear" w:color="auto" w:fill="auto"/>
            <w:noWrap/>
            <w:vAlign w:val="bottom"/>
            <w:hideMark/>
          </w:tcPr>
          <w:p w14:paraId="187121BB" w14:textId="269B5657" w:rsidR="00E01EA5" w:rsidRDefault="00E01EA5" w:rsidP="00E01EA5">
            <w:pPr>
              <w:jc w:val="right"/>
              <w:rPr>
                <w:color w:val="000000"/>
                <w:sz w:val="20"/>
                <w:szCs w:val="20"/>
              </w:rPr>
            </w:pPr>
            <w:r>
              <w:rPr>
                <w:color w:val="000000"/>
                <w:sz w:val="20"/>
                <w:szCs w:val="20"/>
              </w:rPr>
              <w:t>0.245</w:t>
            </w:r>
          </w:p>
        </w:tc>
        <w:tc>
          <w:tcPr>
            <w:tcW w:w="784" w:type="dxa"/>
            <w:tcBorders>
              <w:top w:val="nil"/>
              <w:left w:val="nil"/>
              <w:bottom w:val="nil"/>
              <w:right w:val="nil"/>
            </w:tcBorders>
            <w:shd w:val="clear" w:color="auto" w:fill="auto"/>
            <w:noWrap/>
            <w:vAlign w:val="bottom"/>
            <w:hideMark/>
          </w:tcPr>
          <w:p w14:paraId="4727B596" w14:textId="706A4996"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nil"/>
              <w:right w:val="nil"/>
            </w:tcBorders>
            <w:shd w:val="clear" w:color="auto" w:fill="auto"/>
            <w:noWrap/>
            <w:vAlign w:val="bottom"/>
            <w:hideMark/>
          </w:tcPr>
          <w:p w14:paraId="596E0D3D" w14:textId="6E4E1819" w:rsidR="00E01EA5" w:rsidRDefault="00E01EA5" w:rsidP="00E01EA5">
            <w:pPr>
              <w:jc w:val="right"/>
              <w:rPr>
                <w:color w:val="000000"/>
                <w:sz w:val="20"/>
                <w:szCs w:val="20"/>
              </w:rPr>
            </w:pPr>
            <w:r>
              <w:rPr>
                <w:color w:val="000000"/>
                <w:sz w:val="20"/>
                <w:szCs w:val="20"/>
              </w:rPr>
              <w:t>-0.047</w:t>
            </w:r>
          </w:p>
        </w:tc>
        <w:tc>
          <w:tcPr>
            <w:tcW w:w="784" w:type="dxa"/>
            <w:tcBorders>
              <w:top w:val="nil"/>
              <w:left w:val="nil"/>
              <w:bottom w:val="nil"/>
              <w:right w:val="nil"/>
            </w:tcBorders>
            <w:shd w:val="clear" w:color="auto" w:fill="auto"/>
            <w:noWrap/>
            <w:vAlign w:val="bottom"/>
            <w:hideMark/>
          </w:tcPr>
          <w:p w14:paraId="6DFEBD84" w14:textId="145142B8" w:rsidR="00E01EA5" w:rsidRDefault="00E01EA5" w:rsidP="00E01EA5">
            <w:pPr>
              <w:jc w:val="right"/>
              <w:rPr>
                <w:color w:val="000000"/>
                <w:sz w:val="20"/>
                <w:szCs w:val="20"/>
              </w:rPr>
            </w:pPr>
            <w:r>
              <w:rPr>
                <w:color w:val="000000"/>
                <w:sz w:val="20"/>
                <w:szCs w:val="20"/>
              </w:rPr>
              <w:t>0.254</w:t>
            </w:r>
          </w:p>
        </w:tc>
        <w:tc>
          <w:tcPr>
            <w:tcW w:w="784" w:type="dxa"/>
            <w:tcBorders>
              <w:top w:val="nil"/>
              <w:left w:val="nil"/>
              <w:bottom w:val="nil"/>
              <w:right w:val="nil"/>
            </w:tcBorders>
            <w:shd w:val="clear" w:color="auto" w:fill="auto"/>
            <w:noWrap/>
            <w:vAlign w:val="bottom"/>
            <w:hideMark/>
          </w:tcPr>
          <w:p w14:paraId="60B9616B" w14:textId="24ECE136" w:rsidR="00E01EA5" w:rsidRDefault="00E01EA5" w:rsidP="00E01EA5">
            <w:pPr>
              <w:jc w:val="right"/>
              <w:rPr>
                <w:color w:val="000000"/>
                <w:sz w:val="20"/>
                <w:szCs w:val="20"/>
              </w:rPr>
            </w:pPr>
            <w:r>
              <w:rPr>
                <w:color w:val="000000"/>
                <w:sz w:val="20"/>
                <w:szCs w:val="20"/>
              </w:rPr>
              <w:t>0.002</w:t>
            </w:r>
          </w:p>
        </w:tc>
      </w:tr>
      <w:tr w:rsidR="00E01EA5" w14:paraId="66EB19C6" w14:textId="77777777" w:rsidTr="0019576E">
        <w:trPr>
          <w:trHeight w:val="320"/>
        </w:trPr>
        <w:tc>
          <w:tcPr>
            <w:tcW w:w="820" w:type="dxa"/>
            <w:tcBorders>
              <w:top w:val="nil"/>
              <w:left w:val="nil"/>
              <w:bottom w:val="nil"/>
              <w:right w:val="nil"/>
            </w:tcBorders>
            <w:shd w:val="clear" w:color="auto" w:fill="auto"/>
            <w:noWrap/>
            <w:vAlign w:val="bottom"/>
            <w:hideMark/>
          </w:tcPr>
          <w:p w14:paraId="6F10F01C" w14:textId="77777777" w:rsidR="00E01EA5" w:rsidRDefault="00E01EA5" w:rsidP="00E01EA5">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77D850B0" w14:textId="77777777" w:rsidR="00E01EA5" w:rsidRDefault="00E01EA5" w:rsidP="00E01EA5">
            <w:pPr>
              <w:rPr>
                <w:color w:val="000000"/>
                <w:sz w:val="20"/>
                <w:szCs w:val="20"/>
              </w:rPr>
            </w:pPr>
            <w:r>
              <w:rPr>
                <w:color w:val="000000"/>
                <w:sz w:val="20"/>
                <w:szCs w:val="20"/>
              </w:rPr>
              <w:t>17%</w:t>
            </w:r>
          </w:p>
        </w:tc>
        <w:tc>
          <w:tcPr>
            <w:tcW w:w="893" w:type="dxa"/>
            <w:tcBorders>
              <w:top w:val="nil"/>
              <w:left w:val="nil"/>
              <w:bottom w:val="nil"/>
              <w:right w:val="nil"/>
            </w:tcBorders>
            <w:shd w:val="clear" w:color="auto" w:fill="auto"/>
            <w:noWrap/>
            <w:vAlign w:val="bottom"/>
            <w:hideMark/>
          </w:tcPr>
          <w:p w14:paraId="409C6D25" w14:textId="47E5265D" w:rsidR="00E01EA5" w:rsidRDefault="00E01EA5" w:rsidP="00E01EA5">
            <w:pPr>
              <w:jc w:val="right"/>
              <w:rPr>
                <w:color w:val="000000"/>
                <w:sz w:val="20"/>
                <w:szCs w:val="20"/>
              </w:rPr>
            </w:pPr>
            <w:r>
              <w:rPr>
                <w:color w:val="000000"/>
                <w:sz w:val="20"/>
                <w:szCs w:val="20"/>
              </w:rPr>
              <w:t>0.010</w:t>
            </w:r>
          </w:p>
        </w:tc>
        <w:tc>
          <w:tcPr>
            <w:tcW w:w="784" w:type="dxa"/>
            <w:tcBorders>
              <w:top w:val="nil"/>
              <w:left w:val="nil"/>
              <w:bottom w:val="nil"/>
              <w:right w:val="nil"/>
            </w:tcBorders>
            <w:shd w:val="clear" w:color="auto" w:fill="auto"/>
            <w:noWrap/>
            <w:vAlign w:val="bottom"/>
            <w:hideMark/>
          </w:tcPr>
          <w:p w14:paraId="4C13EBFF" w14:textId="67ABC6ED" w:rsidR="00E01EA5" w:rsidRDefault="00E01EA5" w:rsidP="00E01EA5">
            <w:pPr>
              <w:jc w:val="right"/>
              <w:rPr>
                <w:color w:val="000000"/>
                <w:sz w:val="20"/>
                <w:szCs w:val="20"/>
              </w:rPr>
            </w:pPr>
            <w:r>
              <w:rPr>
                <w:color w:val="000000"/>
                <w:sz w:val="20"/>
                <w:szCs w:val="20"/>
              </w:rPr>
              <w:t>0.806</w:t>
            </w:r>
          </w:p>
        </w:tc>
        <w:tc>
          <w:tcPr>
            <w:tcW w:w="784" w:type="dxa"/>
            <w:tcBorders>
              <w:top w:val="nil"/>
              <w:left w:val="nil"/>
              <w:bottom w:val="nil"/>
              <w:right w:val="nil"/>
            </w:tcBorders>
            <w:shd w:val="clear" w:color="auto" w:fill="auto"/>
            <w:noWrap/>
            <w:vAlign w:val="bottom"/>
            <w:hideMark/>
          </w:tcPr>
          <w:p w14:paraId="33518162" w14:textId="1B29E186"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nil"/>
              <w:right w:val="nil"/>
            </w:tcBorders>
            <w:shd w:val="clear" w:color="auto" w:fill="auto"/>
            <w:noWrap/>
            <w:vAlign w:val="bottom"/>
            <w:hideMark/>
          </w:tcPr>
          <w:p w14:paraId="58DD6E15" w14:textId="75D49138" w:rsidR="00E01EA5" w:rsidRDefault="00E01EA5" w:rsidP="00E01EA5">
            <w:pPr>
              <w:jc w:val="right"/>
              <w:rPr>
                <w:color w:val="000000"/>
                <w:sz w:val="20"/>
                <w:szCs w:val="20"/>
              </w:rPr>
            </w:pPr>
            <w:r>
              <w:rPr>
                <w:color w:val="000000"/>
                <w:sz w:val="20"/>
                <w:szCs w:val="20"/>
              </w:rPr>
              <w:t>-0.039</w:t>
            </w:r>
          </w:p>
        </w:tc>
        <w:tc>
          <w:tcPr>
            <w:tcW w:w="784" w:type="dxa"/>
            <w:tcBorders>
              <w:top w:val="nil"/>
              <w:left w:val="nil"/>
              <w:bottom w:val="nil"/>
              <w:right w:val="nil"/>
            </w:tcBorders>
            <w:shd w:val="clear" w:color="auto" w:fill="auto"/>
            <w:noWrap/>
            <w:vAlign w:val="bottom"/>
            <w:hideMark/>
          </w:tcPr>
          <w:p w14:paraId="41D50188" w14:textId="4178509C" w:rsidR="00E01EA5" w:rsidRDefault="00E01EA5" w:rsidP="00E01EA5">
            <w:pPr>
              <w:jc w:val="right"/>
              <w:rPr>
                <w:color w:val="000000"/>
                <w:sz w:val="20"/>
                <w:szCs w:val="20"/>
              </w:rPr>
            </w:pPr>
            <w:r>
              <w:rPr>
                <w:color w:val="000000"/>
                <w:sz w:val="20"/>
                <w:szCs w:val="20"/>
              </w:rPr>
              <w:t>0.217</w:t>
            </w:r>
          </w:p>
        </w:tc>
        <w:tc>
          <w:tcPr>
            <w:tcW w:w="784" w:type="dxa"/>
            <w:tcBorders>
              <w:top w:val="nil"/>
              <w:left w:val="nil"/>
              <w:bottom w:val="nil"/>
              <w:right w:val="nil"/>
            </w:tcBorders>
            <w:shd w:val="clear" w:color="auto" w:fill="auto"/>
            <w:noWrap/>
            <w:vAlign w:val="bottom"/>
            <w:hideMark/>
          </w:tcPr>
          <w:p w14:paraId="23A89972" w14:textId="3FFF7132"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nil"/>
              <w:right w:val="nil"/>
            </w:tcBorders>
            <w:shd w:val="clear" w:color="auto" w:fill="auto"/>
            <w:noWrap/>
            <w:vAlign w:val="bottom"/>
            <w:hideMark/>
          </w:tcPr>
          <w:p w14:paraId="1613787E" w14:textId="1C975C5D" w:rsidR="00E01EA5" w:rsidRDefault="00E01EA5" w:rsidP="00E01EA5">
            <w:pPr>
              <w:jc w:val="right"/>
              <w:rPr>
                <w:b/>
                <w:bCs/>
                <w:color w:val="000000"/>
                <w:sz w:val="20"/>
                <w:szCs w:val="20"/>
              </w:rPr>
            </w:pPr>
            <w:r>
              <w:rPr>
                <w:b/>
                <w:bCs/>
                <w:color w:val="000000"/>
                <w:sz w:val="20"/>
                <w:szCs w:val="20"/>
              </w:rPr>
              <w:t>-0.090</w:t>
            </w:r>
          </w:p>
        </w:tc>
        <w:tc>
          <w:tcPr>
            <w:tcW w:w="784" w:type="dxa"/>
            <w:tcBorders>
              <w:top w:val="nil"/>
              <w:left w:val="nil"/>
              <w:bottom w:val="nil"/>
              <w:right w:val="nil"/>
            </w:tcBorders>
            <w:shd w:val="clear" w:color="auto" w:fill="auto"/>
            <w:noWrap/>
            <w:vAlign w:val="bottom"/>
            <w:hideMark/>
          </w:tcPr>
          <w:p w14:paraId="04023798" w14:textId="405FB07E"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bottom w:val="nil"/>
              <w:right w:val="nil"/>
            </w:tcBorders>
            <w:shd w:val="clear" w:color="auto" w:fill="auto"/>
            <w:noWrap/>
            <w:vAlign w:val="bottom"/>
            <w:hideMark/>
          </w:tcPr>
          <w:p w14:paraId="641B7013" w14:textId="296D8F81" w:rsidR="00E01EA5" w:rsidRDefault="00E01EA5" w:rsidP="00E01EA5">
            <w:pPr>
              <w:jc w:val="right"/>
              <w:rPr>
                <w:b/>
                <w:bCs/>
                <w:color w:val="000000"/>
                <w:sz w:val="20"/>
                <w:szCs w:val="20"/>
              </w:rPr>
            </w:pPr>
            <w:r>
              <w:rPr>
                <w:b/>
                <w:bCs/>
                <w:color w:val="000000"/>
                <w:sz w:val="20"/>
                <w:szCs w:val="20"/>
              </w:rPr>
              <w:t>0.008</w:t>
            </w:r>
          </w:p>
        </w:tc>
        <w:tc>
          <w:tcPr>
            <w:tcW w:w="893" w:type="dxa"/>
            <w:tcBorders>
              <w:top w:val="nil"/>
              <w:left w:val="nil"/>
              <w:bottom w:val="nil"/>
              <w:right w:val="nil"/>
            </w:tcBorders>
            <w:shd w:val="clear" w:color="auto" w:fill="auto"/>
            <w:noWrap/>
            <w:vAlign w:val="bottom"/>
            <w:hideMark/>
          </w:tcPr>
          <w:p w14:paraId="0BA7690A" w14:textId="55DA985B" w:rsidR="00E01EA5" w:rsidRDefault="00E01EA5" w:rsidP="00E01EA5">
            <w:pPr>
              <w:jc w:val="right"/>
              <w:rPr>
                <w:color w:val="000000"/>
                <w:sz w:val="20"/>
                <w:szCs w:val="20"/>
              </w:rPr>
            </w:pPr>
            <w:r>
              <w:rPr>
                <w:color w:val="000000"/>
                <w:sz w:val="20"/>
                <w:szCs w:val="20"/>
              </w:rPr>
              <w:t>0.038</w:t>
            </w:r>
          </w:p>
        </w:tc>
        <w:tc>
          <w:tcPr>
            <w:tcW w:w="784" w:type="dxa"/>
            <w:tcBorders>
              <w:top w:val="nil"/>
              <w:left w:val="nil"/>
              <w:bottom w:val="nil"/>
              <w:right w:val="nil"/>
            </w:tcBorders>
            <w:shd w:val="clear" w:color="auto" w:fill="auto"/>
            <w:noWrap/>
            <w:vAlign w:val="bottom"/>
            <w:hideMark/>
          </w:tcPr>
          <w:p w14:paraId="307559D5" w14:textId="18120A92" w:rsidR="00E01EA5" w:rsidRDefault="00E01EA5" w:rsidP="00E01EA5">
            <w:pPr>
              <w:jc w:val="right"/>
              <w:rPr>
                <w:color w:val="000000"/>
                <w:sz w:val="20"/>
                <w:szCs w:val="20"/>
              </w:rPr>
            </w:pPr>
            <w:r>
              <w:rPr>
                <w:color w:val="000000"/>
                <w:sz w:val="20"/>
                <w:szCs w:val="20"/>
              </w:rPr>
              <w:t>0.245</w:t>
            </w:r>
          </w:p>
        </w:tc>
        <w:tc>
          <w:tcPr>
            <w:tcW w:w="784" w:type="dxa"/>
            <w:tcBorders>
              <w:top w:val="nil"/>
              <w:left w:val="nil"/>
              <w:bottom w:val="nil"/>
              <w:right w:val="nil"/>
            </w:tcBorders>
            <w:shd w:val="clear" w:color="auto" w:fill="auto"/>
            <w:noWrap/>
            <w:vAlign w:val="bottom"/>
            <w:hideMark/>
          </w:tcPr>
          <w:p w14:paraId="210418DF" w14:textId="47596A6F" w:rsidR="00E01EA5" w:rsidRDefault="00E01EA5" w:rsidP="00E01EA5">
            <w:pPr>
              <w:jc w:val="right"/>
              <w:rPr>
                <w:color w:val="000000"/>
                <w:sz w:val="20"/>
                <w:szCs w:val="20"/>
              </w:rPr>
            </w:pPr>
            <w:r>
              <w:rPr>
                <w:color w:val="000000"/>
                <w:sz w:val="20"/>
                <w:szCs w:val="20"/>
              </w:rPr>
              <w:t>0.001</w:t>
            </w:r>
          </w:p>
        </w:tc>
        <w:tc>
          <w:tcPr>
            <w:tcW w:w="893" w:type="dxa"/>
            <w:tcBorders>
              <w:top w:val="nil"/>
              <w:left w:val="nil"/>
              <w:bottom w:val="nil"/>
              <w:right w:val="nil"/>
            </w:tcBorders>
            <w:shd w:val="clear" w:color="auto" w:fill="auto"/>
            <w:noWrap/>
            <w:vAlign w:val="bottom"/>
            <w:hideMark/>
          </w:tcPr>
          <w:p w14:paraId="353AEA58" w14:textId="73D560DC" w:rsidR="00E01EA5" w:rsidRDefault="00E01EA5" w:rsidP="00E01EA5">
            <w:pPr>
              <w:jc w:val="right"/>
              <w:rPr>
                <w:color w:val="000000"/>
                <w:sz w:val="20"/>
                <w:szCs w:val="20"/>
              </w:rPr>
            </w:pPr>
            <w:r>
              <w:rPr>
                <w:color w:val="000000"/>
                <w:sz w:val="20"/>
                <w:szCs w:val="20"/>
              </w:rPr>
              <w:t>-0.041</w:t>
            </w:r>
          </w:p>
        </w:tc>
        <w:tc>
          <w:tcPr>
            <w:tcW w:w="784" w:type="dxa"/>
            <w:tcBorders>
              <w:top w:val="nil"/>
              <w:left w:val="nil"/>
              <w:bottom w:val="nil"/>
              <w:right w:val="nil"/>
            </w:tcBorders>
            <w:shd w:val="clear" w:color="auto" w:fill="auto"/>
            <w:noWrap/>
            <w:vAlign w:val="bottom"/>
            <w:hideMark/>
          </w:tcPr>
          <w:p w14:paraId="303D08D0" w14:textId="63CA05BD" w:rsidR="00E01EA5" w:rsidRDefault="00E01EA5" w:rsidP="00E01EA5">
            <w:pPr>
              <w:jc w:val="right"/>
              <w:rPr>
                <w:color w:val="000000"/>
                <w:sz w:val="20"/>
                <w:szCs w:val="20"/>
              </w:rPr>
            </w:pPr>
            <w:r>
              <w:rPr>
                <w:color w:val="000000"/>
                <w:sz w:val="20"/>
                <w:szCs w:val="20"/>
              </w:rPr>
              <w:t>0.254</w:t>
            </w:r>
          </w:p>
        </w:tc>
        <w:tc>
          <w:tcPr>
            <w:tcW w:w="784" w:type="dxa"/>
            <w:tcBorders>
              <w:top w:val="nil"/>
              <w:left w:val="nil"/>
              <w:bottom w:val="nil"/>
              <w:right w:val="nil"/>
            </w:tcBorders>
            <w:shd w:val="clear" w:color="auto" w:fill="auto"/>
            <w:noWrap/>
            <w:vAlign w:val="bottom"/>
            <w:hideMark/>
          </w:tcPr>
          <w:p w14:paraId="3087DB0C" w14:textId="51E8B248" w:rsidR="00E01EA5" w:rsidRDefault="00E01EA5" w:rsidP="00E01EA5">
            <w:pPr>
              <w:jc w:val="right"/>
              <w:rPr>
                <w:color w:val="000000"/>
                <w:sz w:val="20"/>
                <w:szCs w:val="20"/>
              </w:rPr>
            </w:pPr>
            <w:r>
              <w:rPr>
                <w:color w:val="000000"/>
                <w:sz w:val="20"/>
                <w:szCs w:val="20"/>
              </w:rPr>
              <w:t>0.002</w:t>
            </w:r>
          </w:p>
        </w:tc>
      </w:tr>
      <w:tr w:rsidR="00E01EA5" w14:paraId="759D39E1" w14:textId="77777777" w:rsidTr="0019576E">
        <w:trPr>
          <w:trHeight w:val="320"/>
        </w:trPr>
        <w:tc>
          <w:tcPr>
            <w:tcW w:w="820" w:type="dxa"/>
            <w:tcBorders>
              <w:top w:val="nil"/>
              <w:left w:val="nil"/>
              <w:right w:val="nil"/>
            </w:tcBorders>
            <w:shd w:val="clear" w:color="auto" w:fill="auto"/>
            <w:noWrap/>
            <w:vAlign w:val="bottom"/>
            <w:hideMark/>
          </w:tcPr>
          <w:p w14:paraId="6448A688" w14:textId="77777777" w:rsidR="00E01EA5" w:rsidRDefault="00E01EA5" w:rsidP="00E01EA5">
            <w:pPr>
              <w:jc w:val="right"/>
              <w:rPr>
                <w:color w:val="000000"/>
                <w:sz w:val="20"/>
                <w:szCs w:val="20"/>
              </w:rPr>
            </w:pPr>
          </w:p>
        </w:tc>
        <w:tc>
          <w:tcPr>
            <w:tcW w:w="1027" w:type="dxa"/>
            <w:tcBorders>
              <w:top w:val="nil"/>
              <w:left w:val="nil"/>
              <w:right w:val="nil"/>
            </w:tcBorders>
            <w:shd w:val="clear" w:color="auto" w:fill="auto"/>
            <w:noWrap/>
            <w:vAlign w:val="bottom"/>
            <w:hideMark/>
          </w:tcPr>
          <w:p w14:paraId="522994EF" w14:textId="77777777" w:rsidR="00E01EA5" w:rsidRDefault="00E01EA5" w:rsidP="00E01EA5">
            <w:pPr>
              <w:rPr>
                <w:color w:val="000000"/>
                <w:sz w:val="20"/>
                <w:szCs w:val="20"/>
              </w:rPr>
            </w:pPr>
            <w:r>
              <w:rPr>
                <w:color w:val="000000"/>
                <w:sz w:val="20"/>
                <w:szCs w:val="20"/>
              </w:rPr>
              <w:t>23%</w:t>
            </w:r>
          </w:p>
        </w:tc>
        <w:tc>
          <w:tcPr>
            <w:tcW w:w="893" w:type="dxa"/>
            <w:tcBorders>
              <w:top w:val="nil"/>
              <w:left w:val="nil"/>
              <w:right w:val="nil"/>
            </w:tcBorders>
            <w:shd w:val="clear" w:color="auto" w:fill="auto"/>
            <w:noWrap/>
            <w:vAlign w:val="bottom"/>
            <w:hideMark/>
          </w:tcPr>
          <w:p w14:paraId="20437363" w14:textId="5DF3A2FD" w:rsidR="00E01EA5" w:rsidRDefault="00E01EA5" w:rsidP="00E01EA5">
            <w:pPr>
              <w:jc w:val="right"/>
              <w:rPr>
                <w:color w:val="000000"/>
                <w:sz w:val="20"/>
                <w:szCs w:val="20"/>
              </w:rPr>
            </w:pPr>
            <w:r>
              <w:rPr>
                <w:color w:val="000000"/>
                <w:sz w:val="20"/>
                <w:szCs w:val="20"/>
              </w:rPr>
              <w:t>0.009</w:t>
            </w:r>
          </w:p>
        </w:tc>
        <w:tc>
          <w:tcPr>
            <w:tcW w:w="784" w:type="dxa"/>
            <w:tcBorders>
              <w:top w:val="nil"/>
              <w:left w:val="nil"/>
              <w:right w:val="nil"/>
            </w:tcBorders>
            <w:shd w:val="clear" w:color="auto" w:fill="auto"/>
            <w:noWrap/>
            <w:vAlign w:val="bottom"/>
            <w:hideMark/>
          </w:tcPr>
          <w:p w14:paraId="56AE5948" w14:textId="08A6E6F3" w:rsidR="00E01EA5" w:rsidRDefault="00E01EA5" w:rsidP="00E01EA5">
            <w:pPr>
              <w:jc w:val="right"/>
              <w:rPr>
                <w:color w:val="000000"/>
                <w:sz w:val="20"/>
                <w:szCs w:val="20"/>
              </w:rPr>
            </w:pPr>
            <w:r>
              <w:rPr>
                <w:color w:val="000000"/>
                <w:sz w:val="20"/>
                <w:szCs w:val="20"/>
              </w:rPr>
              <w:t>0.806</w:t>
            </w:r>
          </w:p>
        </w:tc>
        <w:tc>
          <w:tcPr>
            <w:tcW w:w="784" w:type="dxa"/>
            <w:tcBorders>
              <w:top w:val="nil"/>
              <w:left w:val="nil"/>
              <w:right w:val="nil"/>
            </w:tcBorders>
            <w:shd w:val="clear" w:color="auto" w:fill="auto"/>
            <w:noWrap/>
            <w:vAlign w:val="bottom"/>
            <w:hideMark/>
          </w:tcPr>
          <w:p w14:paraId="79A40175" w14:textId="6228084B" w:rsidR="00E01EA5" w:rsidRDefault="00E01EA5" w:rsidP="00E01EA5">
            <w:pPr>
              <w:jc w:val="right"/>
              <w:rPr>
                <w:color w:val="000000"/>
                <w:sz w:val="20"/>
                <w:szCs w:val="20"/>
              </w:rPr>
            </w:pPr>
            <w:r>
              <w:rPr>
                <w:color w:val="000000"/>
                <w:sz w:val="20"/>
                <w:szCs w:val="20"/>
              </w:rPr>
              <w:t>0.000</w:t>
            </w:r>
          </w:p>
        </w:tc>
        <w:tc>
          <w:tcPr>
            <w:tcW w:w="893" w:type="dxa"/>
            <w:tcBorders>
              <w:top w:val="nil"/>
              <w:left w:val="nil"/>
              <w:right w:val="nil"/>
            </w:tcBorders>
            <w:shd w:val="clear" w:color="auto" w:fill="auto"/>
            <w:noWrap/>
            <w:vAlign w:val="bottom"/>
            <w:hideMark/>
          </w:tcPr>
          <w:p w14:paraId="23D8F1B2" w14:textId="20B87C53" w:rsidR="00E01EA5" w:rsidRDefault="00E01EA5" w:rsidP="00E01EA5">
            <w:pPr>
              <w:jc w:val="right"/>
              <w:rPr>
                <w:color w:val="000000"/>
                <w:sz w:val="20"/>
                <w:szCs w:val="20"/>
              </w:rPr>
            </w:pPr>
            <w:r>
              <w:rPr>
                <w:color w:val="000000"/>
                <w:sz w:val="20"/>
                <w:szCs w:val="20"/>
              </w:rPr>
              <w:t>-0.041</w:t>
            </w:r>
          </w:p>
        </w:tc>
        <w:tc>
          <w:tcPr>
            <w:tcW w:w="784" w:type="dxa"/>
            <w:tcBorders>
              <w:top w:val="nil"/>
              <w:left w:val="nil"/>
              <w:right w:val="nil"/>
            </w:tcBorders>
            <w:shd w:val="clear" w:color="auto" w:fill="auto"/>
            <w:noWrap/>
            <w:vAlign w:val="bottom"/>
            <w:hideMark/>
          </w:tcPr>
          <w:p w14:paraId="54BD0DCF" w14:textId="1B7B7002" w:rsidR="00E01EA5" w:rsidRDefault="00E01EA5" w:rsidP="00E01EA5">
            <w:pPr>
              <w:jc w:val="right"/>
              <w:rPr>
                <w:color w:val="000000"/>
                <w:sz w:val="20"/>
                <w:szCs w:val="20"/>
              </w:rPr>
            </w:pPr>
            <w:r>
              <w:rPr>
                <w:color w:val="000000"/>
                <w:sz w:val="20"/>
                <w:szCs w:val="20"/>
              </w:rPr>
              <w:t>0.217</w:t>
            </w:r>
          </w:p>
        </w:tc>
        <w:tc>
          <w:tcPr>
            <w:tcW w:w="784" w:type="dxa"/>
            <w:tcBorders>
              <w:top w:val="nil"/>
              <w:left w:val="nil"/>
              <w:right w:val="nil"/>
            </w:tcBorders>
            <w:shd w:val="clear" w:color="auto" w:fill="auto"/>
            <w:noWrap/>
            <w:vAlign w:val="bottom"/>
            <w:hideMark/>
          </w:tcPr>
          <w:p w14:paraId="73C7975C" w14:textId="2739B515" w:rsidR="00E01EA5" w:rsidRDefault="00E01EA5" w:rsidP="00E01EA5">
            <w:pPr>
              <w:jc w:val="right"/>
              <w:rPr>
                <w:color w:val="000000"/>
                <w:sz w:val="20"/>
                <w:szCs w:val="20"/>
              </w:rPr>
            </w:pPr>
            <w:r>
              <w:rPr>
                <w:color w:val="000000"/>
                <w:sz w:val="20"/>
                <w:szCs w:val="20"/>
              </w:rPr>
              <w:t>0.002</w:t>
            </w:r>
          </w:p>
        </w:tc>
        <w:tc>
          <w:tcPr>
            <w:tcW w:w="893" w:type="dxa"/>
            <w:tcBorders>
              <w:top w:val="nil"/>
              <w:left w:val="nil"/>
              <w:right w:val="nil"/>
            </w:tcBorders>
            <w:shd w:val="clear" w:color="auto" w:fill="auto"/>
            <w:noWrap/>
            <w:vAlign w:val="bottom"/>
            <w:hideMark/>
          </w:tcPr>
          <w:p w14:paraId="4B06AA78" w14:textId="412BB39A" w:rsidR="00E01EA5" w:rsidRDefault="00E01EA5" w:rsidP="00E01EA5">
            <w:pPr>
              <w:jc w:val="right"/>
              <w:rPr>
                <w:b/>
                <w:bCs/>
                <w:color w:val="000000"/>
                <w:sz w:val="20"/>
                <w:szCs w:val="20"/>
              </w:rPr>
            </w:pPr>
            <w:r>
              <w:rPr>
                <w:b/>
                <w:bCs/>
                <w:color w:val="000000"/>
                <w:sz w:val="20"/>
                <w:szCs w:val="20"/>
              </w:rPr>
              <w:t>-0.087</w:t>
            </w:r>
          </w:p>
        </w:tc>
        <w:tc>
          <w:tcPr>
            <w:tcW w:w="784" w:type="dxa"/>
            <w:tcBorders>
              <w:top w:val="nil"/>
              <w:left w:val="nil"/>
              <w:right w:val="nil"/>
            </w:tcBorders>
            <w:shd w:val="clear" w:color="auto" w:fill="auto"/>
            <w:noWrap/>
            <w:vAlign w:val="bottom"/>
            <w:hideMark/>
          </w:tcPr>
          <w:p w14:paraId="59C695C8" w14:textId="495243E1"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right w:val="nil"/>
            </w:tcBorders>
            <w:shd w:val="clear" w:color="auto" w:fill="auto"/>
            <w:noWrap/>
            <w:vAlign w:val="bottom"/>
            <w:hideMark/>
          </w:tcPr>
          <w:p w14:paraId="326D11D8" w14:textId="2EC3C5E3" w:rsidR="00E01EA5" w:rsidRDefault="00E01EA5" w:rsidP="00E01EA5">
            <w:pPr>
              <w:jc w:val="right"/>
              <w:rPr>
                <w:b/>
                <w:bCs/>
                <w:color w:val="000000"/>
                <w:sz w:val="20"/>
                <w:szCs w:val="20"/>
              </w:rPr>
            </w:pPr>
            <w:r>
              <w:rPr>
                <w:b/>
                <w:bCs/>
                <w:color w:val="000000"/>
                <w:sz w:val="20"/>
                <w:szCs w:val="20"/>
              </w:rPr>
              <w:t>0.008</w:t>
            </w:r>
          </w:p>
        </w:tc>
        <w:tc>
          <w:tcPr>
            <w:tcW w:w="893" w:type="dxa"/>
            <w:tcBorders>
              <w:top w:val="nil"/>
              <w:left w:val="nil"/>
              <w:right w:val="nil"/>
            </w:tcBorders>
            <w:shd w:val="clear" w:color="auto" w:fill="auto"/>
            <w:noWrap/>
            <w:vAlign w:val="bottom"/>
            <w:hideMark/>
          </w:tcPr>
          <w:p w14:paraId="1D524C6F" w14:textId="2984E8AB" w:rsidR="00E01EA5" w:rsidRDefault="00E01EA5" w:rsidP="00E01EA5">
            <w:pPr>
              <w:jc w:val="right"/>
              <w:rPr>
                <w:color w:val="000000"/>
                <w:sz w:val="20"/>
                <w:szCs w:val="20"/>
              </w:rPr>
            </w:pPr>
            <w:r>
              <w:rPr>
                <w:color w:val="000000"/>
                <w:sz w:val="20"/>
                <w:szCs w:val="20"/>
              </w:rPr>
              <w:t>0.039</w:t>
            </w:r>
          </w:p>
        </w:tc>
        <w:tc>
          <w:tcPr>
            <w:tcW w:w="784" w:type="dxa"/>
            <w:tcBorders>
              <w:top w:val="nil"/>
              <w:left w:val="nil"/>
              <w:right w:val="nil"/>
            </w:tcBorders>
            <w:shd w:val="clear" w:color="auto" w:fill="auto"/>
            <w:noWrap/>
            <w:vAlign w:val="bottom"/>
            <w:hideMark/>
          </w:tcPr>
          <w:p w14:paraId="794B044E" w14:textId="7AD5B94D" w:rsidR="00E01EA5" w:rsidRDefault="00E01EA5" w:rsidP="00E01EA5">
            <w:pPr>
              <w:jc w:val="right"/>
              <w:rPr>
                <w:color w:val="000000"/>
                <w:sz w:val="20"/>
                <w:szCs w:val="20"/>
              </w:rPr>
            </w:pPr>
            <w:r>
              <w:rPr>
                <w:color w:val="000000"/>
                <w:sz w:val="20"/>
                <w:szCs w:val="20"/>
              </w:rPr>
              <w:t>0.245</w:t>
            </w:r>
          </w:p>
        </w:tc>
        <w:tc>
          <w:tcPr>
            <w:tcW w:w="784" w:type="dxa"/>
            <w:tcBorders>
              <w:top w:val="nil"/>
              <w:left w:val="nil"/>
              <w:right w:val="nil"/>
            </w:tcBorders>
            <w:shd w:val="clear" w:color="auto" w:fill="auto"/>
            <w:noWrap/>
            <w:vAlign w:val="bottom"/>
            <w:hideMark/>
          </w:tcPr>
          <w:p w14:paraId="4DF11733" w14:textId="577B8E83" w:rsidR="00E01EA5" w:rsidRDefault="00E01EA5" w:rsidP="00E01EA5">
            <w:pPr>
              <w:jc w:val="right"/>
              <w:rPr>
                <w:color w:val="000000"/>
                <w:sz w:val="20"/>
                <w:szCs w:val="20"/>
              </w:rPr>
            </w:pPr>
            <w:r>
              <w:rPr>
                <w:color w:val="000000"/>
                <w:sz w:val="20"/>
                <w:szCs w:val="20"/>
              </w:rPr>
              <w:t>0.002</w:t>
            </w:r>
          </w:p>
        </w:tc>
        <w:tc>
          <w:tcPr>
            <w:tcW w:w="893" w:type="dxa"/>
            <w:tcBorders>
              <w:top w:val="nil"/>
              <w:left w:val="nil"/>
              <w:right w:val="nil"/>
            </w:tcBorders>
            <w:shd w:val="clear" w:color="auto" w:fill="auto"/>
            <w:noWrap/>
            <w:vAlign w:val="bottom"/>
            <w:hideMark/>
          </w:tcPr>
          <w:p w14:paraId="3513EAE7" w14:textId="21B3FE42" w:rsidR="00E01EA5" w:rsidRDefault="00E01EA5" w:rsidP="00E01EA5">
            <w:pPr>
              <w:jc w:val="right"/>
              <w:rPr>
                <w:color w:val="000000"/>
                <w:sz w:val="20"/>
                <w:szCs w:val="20"/>
              </w:rPr>
            </w:pPr>
            <w:r>
              <w:rPr>
                <w:color w:val="000000"/>
                <w:sz w:val="20"/>
                <w:szCs w:val="20"/>
              </w:rPr>
              <w:t>-0.042</w:t>
            </w:r>
          </w:p>
        </w:tc>
        <w:tc>
          <w:tcPr>
            <w:tcW w:w="784" w:type="dxa"/>
            <w:tcBorders>
              <w:top w:val="nil"/>
              <w:left w:val="nil"/>
              <w:right w:val="nil"/>
            </w:tcBorders>
            <w:shd w:val="clear" w:color="auto" w:fill="auto"/>
            <w:noWrap/>
            <w:vAlign w:val="bottom"/>
            <w:hideMark/>
          </w:tcPr>
          <w:p w14:paraId="58275E8F" w14:textId="278FBD13" w:rsidR="00E01EA5" w:rsidRDefault="00E01EA5" w:rsidP="00E01EA5">
            <w:pPr>
              <w:jc w:val="right"/>
              <w:rPr>
                <w:color w:val="000000"/>
                <w:sz w:val="20"/>
                <w:szCs w:val="20"/>
              </w:rPr>
            </w:pPr>
            <w:r>
              <w:rPr>
                <w:color w:val="000000"/>
                <w:sz w:val="20"/>
                <w:szCs w:val="20"/>
              </w:rPr>
              <w:t>0.254</w:t>
            </w:r>
          </w:p>
        </w:tc>
        <w:tc>
          <w:tcPr>
            <w:tcW w:w="784" w:type="dxa"/>
            <w:tcBorders>
              <w:top w:val="nil"/>
              <w:left w:val="nil"/>
              <w:right w:val="nil"/>
            </w:tcBorders>
            <w:shd w:val="clear" w:color="auto" w:fill="auto"/>
            <w:noWrap/>
            <w:vAlign w:val="bottom"/>
            <w:hideMark/>
          </w:tcPr>
          <w:p w14:paraId="79636817" w14:textId="71188E75" w:rsidR="00E01EA5" w:rsidRDefault="00E01EA5" w:rsidP="00E01EA5">
            <w:pPr>
              <w:jc w:val="right"/>
              <w:rPr>
                <w:color w:val="000000"/>
                <w:sz w:val="20"/>
                <w:szCs w:val="20"/>
              </w:rPr>
            </w:pPr>
            <w:r>
              <w:rPr>
                <w:color w:val="000000"/>
                <w:sz w:val="20"/>
                <w:szCs w:val="20"/>
              </w:rPr>
              <w:t>0.002</w:t>
            </w:r>
          </w:p>
        </w:tc>
      </w:tr>
      <w:tr w:rsidR="00E01EA5" w14:paraId="228BB1E1" w14:textId="77777777" w:rsidTr="0019576E">
        <w:trPr>
          <w:trHeight w:val="340"/>
        </w:trPr>
        <w:tc>
          <w:tcPr>
            <w:tcW w:w="820" w:type="dxa"/>
            <w:tcBorders>
              <w:top w:val="nil"/>
              <w:left w:val="nil"/>
              <w:bottom w:val="single" w:sz="12" w:space="0" w:color="auto"/>
              <w:right w:val="nil"/>
            </w:tcBorders>
            <w:shd w:val="clear" w:color="auto" w:fill="auto"/>
            <w:noWrap/>
            <w:vAlign w:val="bottom"/>
            <w:hideMark/>
          </w:tcPr>
          <w:p w14:paraId="2BC272F0" w14:textId="77777777" w:rsidR="00E01EA5" w:rsidRDefault="00E01EA5" w:rsidP="00E01EA5">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5DC020F3" w14:textId="77777777" w:rsidR="00E01EA5" w:rsidRDefault="00E01EA5" w:rsidP="00E01EA5">
            <w:pPr>
              <w:rPr>
                <w:color w:val="000000"/>
                <w:sz w:val="20"/>
                <w:szCs w:val="20"/>
              </w:rPr>
            </w:pPr>
            <w:r>
              <w:rPr>
                <w:color w:val="000000"/>
                <w:sz w:val="20"/>
                <w:szCs w:val="20"/>
              </w:rPr>
              <w:t>30%</w:t>
            </w:r>
          </w:p>
        </w:tc>
        <w:tc>
          <w:tcPr>
            <w:tcW w:w="893" w:type="dxa"/>
            <w:tcBorders>
              <w:top w:val="nil"/>
              <w:left w:val="nil"/>
              <w:bottom w:val="single" w:sz="12" w:space="0" w:color="auto"/>
              <w:right w:val="nil"/>
            </w:tcBorders>
            <w:shd w:val="clear" w:color="auto" w:fill="auto"/>
            <w:noWrap/>
            <w:vAlign w:val="bottom"/>
            <w:hideMark/>
          </w:tcPr>
          <w:p w14:paraId="2EBCFA39" w14:textId="5B7EA3A8" w:rsidR="00E01EA5" w:rsidRDefault="00E01EA5" w:rsidP="00E01EA5">
            <w:pPr>
              <w:jc w:val="right"/>
              <w:rPr>
                <w:color w:val="000000"/>
                <w:sz w:val="20"/>
                <w:szCs w:val="20"/>
              </w:rPr>
            </w:pPr>
            <w:r>
              <w:rPr>
                <w:color w:val="000000"/>
                <w:sz w:val="20"/>
                <w:szCs w:val="20"/>
              </w:rPr>
              <w:t>0.009</w:t>
            </w:r>
          </w:p>
        </w:tc>
        <w:tc>
          <w:tcPr>
            <w:tcW w:w="784" w:type="dxa"/>
            <w:tcBorders>
              <w:top w:val="nil"/>
              <w:left w:val="nil"/>
              <w:bottom w:val="single" w:sz="12" w:space="0" w:color="auto"/>
              <w:right w:val="nil"/>
            </w:tcBorders>
            <w:shd w:val="clear" w:color="auto" w:fill="auto"/>
            <w:noWrap/>
            <w:vAlign w:val="bottom"/>
            <w:hideMark/>
          </w:tcPr>
          <w:p w14:paraId="22D81E6C" w14:textId="103133F8" w:rsidR="00E01EA5" w:rsidRDefault="00E01EA5" w:rsidP="00E01EA5">
            <w:pPr>
              <w:jc w:val="right"/>
              <w:rPr>
                <w:color w:val="000000"/>
                <w:sz w:val="20"/>
                <w:szCs w:val="20"/>
              </w:rPr>
            </w:pPr>
            <w:r>
              <w:rPr>
                <w:color w:val="000000"/>
                <w:sz w:val="20"/>
                <w:szCs w:val="20"/>
              </w:rPr>
              <w:t>0.806</w:t>
            </w:r>
          </w:p>
        </w:tc>
        <w:tc>
          <w:tcPr>
            <w:tcW w:w="784" w:type="dxa"/>
            <w:tcBorders>
              <w:top w:val="nil"/>
              <w:left w:val="nil"/>
              <w:bottom w:val="single" w:sz="12" w:space="0" w:color="auto"/>
              <w:right w:val="nil"/>
            </w:tcBorders>
            <w:shd w:val="clear" w:color="auto" w:fill="auto"/>
            <w:noWrap/>
            <w:vAlign w:val="bottom"/>
            <w:hideMark/>
          </w:tcPr>
          <w:p w14:paraId="5813D42C" w14:textId="7AE594BB" w:rsidR="00E01EA5" w:rsidRDefault="00E01EA5" w:rsidP="00E01EA5">
            <w:pPr>
              <w:jc w:val="right"/>
              <w:rPr>
                <w:color w:val="000000"/>
                <w:sz w:val="20"/>
                <w:szCs w:val="20"/>
              </w:rPr>
            </w:pPr>
            <w:r>
              <w:rPr>
                <w:color w:val="000000"/>
                <w:sz w:val="20"/>
                <w:szCs w:val="20"/>
              </w:rPr>
              <w:t>0.000</w:t>
            </w:r>
          </w:p>
        </w:tc>
        <w:tc>
          <w:tcPr>
            <w:tcW w:w="893" w:type="dxa"/>
            <w:tcBorders>
              <w:top w:val="nil"/>
              <w:left w:val="nil"/>
              <w:bottom w:val="single" w:sz="12" w:space="0" w:color="auto"/>
              <w:right w:val="nil"/>
            </w:tcBorders>
            <w:shd w:val="clear" w:color="auto" w:fill="auto"/>
            <w:noWrap/>
            <w:vAlign w:val="bottom"/>
            <w:hideMark/>
          </w:tcPr>
          <w:p w14:paraId="0BBF8C01" w14:textId="78B5CEA2" w:rsidR="00E01EA5" w:rsidRDefault="00E01EA5" w:rsidP="00E01EA5">
            <w:pPr>
              <w:jc w:val="right"/>
              <w:rPr>
                <w:color w:val="000000"/>
                <w:sz w:val="20"/>
                <w:szCs w:val="20"/>
              </w:rPr>
            </w:pPr>
            <w:r>
              <w:rPr>
                <w:color w:val="000000"/>
                <w:sz w:val="20"/>
                <w:szCs w:val="20"/>
              </w:rPr>
              <w:t>-0.041</w:t>
            </w:r>
          </w:p>
        </w:tc>
        <w:tc>
          <w:tcPr>
            <w:tcW w:w="784" w:type="dxa"/>
            <w:tcBorders>
              <w:top w:val="nil"/>
              <w:left w:val="nil"/>
              <w:bottom w:val="single" w:sz="12" w:space="0" w:color="auto"/>
              <w:right w:val="nil"/>
            </w:tcBorders>
            <w:shd w:val="clear" w:color="auto" w:fill="auto"/>
            <w:noWrap/>
            <w:vAlign w:val="bottom"/>
            <w:hideMark/>
          </w:tcPr>
          <w:p w14:paraId="4E6ACB0B" w14:textId="313D9C51" w:rsidR="00E01EA5" w:rsidRDefault="00E01EA5" w:rsidP="00E01EA5">
            <w:pPr>
              <w:jc w:val="right"/>
              <w:rPr>
                <w:color w:val="000000"/>
                <w:sz w:val="20"/>
                <w:szCs w:val="20"/>
              </w:rPr>
            </w:pPr>
            <w:r>
              <w:rPr>
                <w:color w:val="000000"/>
                <w:sz w:val="20"/>
                <w:szCs w:val="20"/>
              </w:rPr>
              <w:t>0.217</w:t>
            </w:r>
          </w:p>
        </w:tc>
        <w:tc>
          <w:tcPr>
            <w:tcW w:w="784" w:type="dxa"/>
            <w:tcBorders>
              <w:top w:val="nil"/>
              <w:left w:val="nil"/>
              <w:bottom w:val="single" w:sz="12" w:space="0" w:color="auto"/>
              <w:right w:val="nil"/>
            </w:tcBorders>
            <w:shd w:val="clear" w:color="auto" w:fill="auto"/>
            <w:noWrap/>
            <w:vAlign w:val="bottom"/>
            <w:hideMark/>
          </w:tcPr>
          <w:p w14:paraId="71FC462D" w14:textId="2E731359"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single" w:sz="12" w:space="0" w:color="auto"/>
              <w:right w:val="nil"/>
            </w:tcBorders>
            <w:shd w:val="clear" w:color="auto" w:fill="auto"/>
            <w:noWrap/>
            <w:vAlign w:val="bottom"/>
            <w:hideMark/>
          </w:tcPr>
          <w:p w14:paraId="761D1CBD" w14:textId="6E4924FC" w:rsidR="00E01EA5" w:rsidRDefault="00E01EA5" w:rsidP="00E01EA5">
            <w:pPr>
              <w:jc w:val="right"/>
              <w:rPr>
                <w:b/>
                <w:bCs/>
                <w:color w:val="000000"/>
                <w:sz w:val="20"/>
                <w:szCs w:val="20"/>
              </w:rPr>
            </w:pPr>
            <w:r>
              <w:rPr>
                <w:b/>
                <w:bCs/>
                <w:color w:val="000000"/>
                <w:sz w:val="20"/>
                <w:szCs w:val="20"/>
              </w:rPr>
              <w:t>-0.083</w:t>
            </w:r>
          </w:p>
        </w:tc>
        <w:tc>
          <w:tcPr>
            <w:tcW w:w="784" w:type="dxa"/>
            <w:tcBorders>
              <w:top w:val="nil"/>
              <w:left w:val="nil"/>
              <w:bottom w:val="single" w:sz="12" w:space="0" w:color="auto"/>
              <w:right w:val="nil"/>
            </w:tcBorders>
            <w:shd w:val="clear" w:color="auto" w:fill="auto"/>
            <w:noWrap/>
            <w:vAlign w:val="bottom"/>
            <w:hideMark/>
          </w:tcPr>
          <w:p w14:paraId="55E46A2E" w14:textId="77A7BCD7" w:rsidR="00E01EA5" w:rsidRDefault="00E01EA5" w:rsidP="00E01EA5">
            <w:pPr>
              <w:jc w:val="right"/>
              <w:rPr>
                <w:b/>
                <w:bCs/>
                <w:color w:val="000000"/>
                <w:sz w:val="20"/>
                <w:szCs w:val="20"/>
              </w:rPr>
            </w:pPr>
            <w:r>
              <w:rPr>
                <w:b/>
                <w:bCs/>
                <w:color w:val="000000"/>
                <w:sz w:val="20"/>
                <w:szCs w:val="20"/>
              </w:rPr>
              <w:t>0.003</w:t>
            </w:r>
          </w:p>
        </w:tc>
        <w:tc>
          <w:tcPr>
            <w:tcW w:w="784" w:type="dxa"/>
            <w:tcBorders>
              <w:top w:val="nil"/>
              <w:left w:val="nil"/>
              <w:bottom w:val="single" w:sz="12" w:space="0" w:color="auto"/>
              <w:right w:val="nil"/>
            </w:tcBorders>
            <w:shd w:val="clear" w:color="auto" w:fill="auto"/>
            <w:noWrap/>
            <w:vAlign w:val="bottom"/>
            <w:hideMark/>
          </w:tcPr>
          <w:p w14:paraId="36CA59BA" w14:textId="3BF8CC2C" w:rsidR="00E01EA5" w:rsidRDefault="00E01EA5" w:rsidP="00E01EA5">
            <w:pPr>
              <w:jc w:val="right"/>
              <w:rPr>
                <w:b/>
                <w:bCs/>
                <w:color w:val="000000"/>
                <w:sz w:val="20"/>
                <w:szCs w:val="20"/>
              </w:rPr>
            </w:pPr>
            <w:r>
              <w:rPr>
                <w:b/>
                <w:bCs/>
                <w:color w:val="000000"/>
                <w:sz w:val="20"/>
                <w:szCs w:val="20"/>
              </w:rPr>
              <w:t>0.007</w:t>
            </w:r>
          </w:p>
        </w:tc>
        <w:tc>
          <w:tcPr>
            <w:tcW w:w="893" w:type="dxa"/>
            <w:tcBorders>
              <w:top w:val="nil"/>
              <w:left w:val="nil"/>
              <w:bottom w:val="single" w:sz="12" w:space="0" w:color="auto"/>
              <w:right w:val="nil"/>
            </w:tcBorders>
            <w:shd w:val="clear" w:color="auto" w:fill="auto"/>
            <w:noWrap/>
            <w:vAlign w:val="bottom"/>
            <w:hideMark/>
          </w:tcPr>
          <w:p w14:paraId="0BE10772" w14:textId="493C5443" w:rsidR="00E01EA5" w:rsidRDefault="00E01EA5" w:rsidP="00E01EA5">
            <w:pPr>
              <w:jc w:val="right"/>
              <w:rPr>
                <w:color w:val="000000"/>
                <w:sz w:val="20"/>
                <w:szCs w:val="20"/>
              </w:rPr>
            </w:pPr>
            <w:r>
              <w:rPr>
                <w:color w:val="000000"/>
                <w:sz w:val="20"/>
                <w:szCs w:val="20"/>
              </w:rPr>
              <w:t>0.039</w:t>
            </w:r>
          </w:p>
        </w:tc>
        <w:tc>
          <w:tcPr>
            <w:tcW w:w="784" w:type="dxa"/>
            <w:tcBorders>
              <w:top w:val="nil"/>
              <w:left w:val="nil"/>
              <w:bottom w:val="single" w:sz="12" w:space="0" w:color="auto"/>
              <w:right w:val="nil"/>
            </w:tcBorders>
            <w:shd w:val="clear" w:color="auto" w:fill="auto"/>
            <w:noWrap/>
            <w:vAlign w:val="bottom"/>
            <w:hideMark/>
          </w:tcPr>
          <w:p w14:paraId="52E74FD8" w14:textId="0C9ED568" w:rsidR="00E01EA5" w:rsidRDefault="00E01EA5" w:rsidP="00E01EA5">
            <w:pPr>
              <w:jc w:val="right"/>
              <w:rPr>
                <w:color w:val="000000"/>
                <w:sz w:val="20"/>
                <w:szCs w:val="20"/>
              </w:rPr>
            </w:pPr>
            <w:r>
              <w:rPr>
                <w:color w:val="000000"/>
                <w:sz w:val="20"/>
                <w:szCs w:val="20"/>
              </w:rPr>
              <w:t>0.245</w:t>
            </w:r>
          </w:p>
        </w:tc>
        <w:tc>
          <w:tcPr>
            <w:tcW w:w="784" w:type="dxa"/>
            <w:tcBorders>
              <w:top w:val="nil"/>
              <w:left w:val="nil"/>
              <w:bottom w:val="single" w:sz="12" w:space="0" w:color="auto"/>
              <w:right w:val="nil"/>
            </w:tcBorders>
            <w:shd w:val="clear" w:color="auto" w:fill="auto"/>
            <w:noWrap/>
            <w:vAlign w:val="bottom"/>
            <w:hideMark/>
          </w:tcPr>
          <w:p w14:paraId="0EEEEA7D" w14:textId="3ECA7068" w:rsidR="00E01EA5" w:rsidRDefault="00E01EA5" w:rsidP="00E01EA5">
            <w:pPr>
              <w:jc w:val="right"/>
              <w:rPr>
                <w:color w:val="000000"/>
                <w:sz w:val="20"/>
                <w:szCs w:val="20"/>
              </w:rPr>
            </w:pPr>
            <w:r>
              <w:rPr>
                <w:color w:val="000000"/>
                <w:sz w:val="20"/>
                <w:szCs w:val="20"/>
              </w:rPr>
              <w:t>0.002</w:t>
            </w:r>
          </w:p>
        </w:tc>
        <w:tc>
          <w:tcPr>
            <w:tcW w:w="893" w:type="dxa"/>
            <w:tcBorders>
              <w:top w:val="nil"/>
              <w:left w:val="nil"/>
              <w:bottom w:val="single" w:sz="12" w:space="0" w:color="auto"/>
              <w:right w:val="nil"/>
            </w:tcBorders>
            <w:shd w:val="clear" w:color="auto" w:fill="auto"/>
            <w:noWrap/>
            <w:vAlign w:val="bottom"/>
            <w:hideMark/>
          </w:tcPr>
          <w:p w14:paraId="7EA668CA" w14:textId="7E6CAA3E" w:rsidR="00E01EA5" w:rsidRDefault="00E01EA5" w:rsidP="00E01EA5">
            <w:pPr>
              <w:jc w:val="right"/>
              <w:rPr>
                <w:color w:val="000000"/>
                <w:sz w:val="20"/>
                <w:szCs w:val="20"/>
              </w:rPr>
            </w:pPr>
            <w:r>
              <w:rPr>
                <w:color w:val="000000"/>
                <w:sz w:val="20"/>
                <w:szCs w:val="20"/>
              </w:rPr>
              <w:t>-0.043</w:t>
            </w:r>
          </w:p>
        </w:tc>
        <w:tc>
          <w:tcPr>
            <w:tcW w:w="784" w:type="dxa"/>
            <w:tcBorders>
              <w:top w:val="nil"/>
              <w:left w:val="nil"/>
              <w:bottom w:val="single" w:sz="12" w:space="0" w:color="auto"/>
              <w:right w:val="nil"/>
            </w:tcBorders>
            <w:shd w:val="clear" w:color="auto" w:fill="auto"/>
            <w:noWrap/>
            <w:vAlign w:val="bottom"/>
            <w:hideMark/>
          </w:tcPr>
          <w:p w14:paraId="510F141A" w14:textId="1125AEF2" w:rsidR="00E01EA5" w:rsidRDefault="00E01EA5" w:rsidP="00E01EA5">
            <w:pPr>
              <w:jc w:val="right"/>
              <w:rPr>
                <w:color w:val="000000"/>
                <w:sz w:val="20"/>
                <w:szCs w:val="20"/>
              </w:rPr>
            </w:pPr>
            <w:r>
              <w:rPr>
                <w:color w:val="000000"/>
                <w:sz w:val="20"/>
                <w:szCs w:val="20"/>
              </w:rPr>
              <w:t>0.254</w:t>
            </w:r>
          </w:p>
        </w:tc>
        <w:tc>
          <w:tcPr>
            <w:tcW w:w="784" w:type="dxa"/>
            <w:tcBorders>
              <w:top w:val="nil"/>
              <w:left w:val="nil"/>
              <w:bottom w:val="single" w:sz="12" w:space="0" w:color="auto"/>
              <w:right w:val="nil"/>
            </w:tcBorders>
            <w:shd w:val="clear" w:color="auto" w:fill="auto"/>
            <w:noWrap/>
            <w:vAlign w:val="bottom"/>
            <w:hideMark/>
          </w:tcPr>
          <w:p w14:paraId="4A831A10" w14:textId="5B2DC067" w:rsidR="00E01EA5" w:rsidRDefault="00E01EA5" w:rsidP="00E01EA5">
            <w:pPr>
              <w:jc w:val="right"/>
              <w:rPr>
                <w:color w:val="000000"/>
                <w:sz w:val="20"/>
                <w:szCs w:val="20"/>
              </w:rPr>
            </w:pPr>
            <w:r>
              <w:rPr>
                <w:color w:val="000000"/>
                <w:sz w:val="20"/>
                <w:szCs w:val="20"/>
              </w:rPr>
              <w:t>0.002</w:t>
            </w:r>
          </w:p>
        </w:tc>
      </w:tr>
    </w:tbl>
    <w:p w14:paraId="6433C4F3" w14:textId="77777777" w:rsidR="0031427C" w:rsidRDefault="0031427C" w:rsidP="0031427C">
      <w:pPr>
        <w:rPr>
          <w:color w:val="000000"/>
        </w:rPr>
      </w:pPr>
    </w:p>
    <w:p w14:paraId="311791AB" w14:textId="77777777" w:rsidR="0031427C" w:rsidRDefault="0031427C" w:rsidP="0031427C">
      <w:pPr>
        <w:rPr>
          <w:color w:val="000000"/>
        </w:rPr>
      </w:pPr>
      <w:r w:rsidRPr="00235E0F">
        <w:rPr>
          <w:bCs/>
          <w:i/>
          <w:iCs/>
          <w:color w:val="000000" w:themeColor="text1"/>
        </w:rPr>
        <w:t>Note</w:t>
      </w:r>
      <w:r w:rsidRPr="00235E0F">
        <w:rPr>
          <w:bCs/>
          <w:color w:val="000000" w:themeColor="text1"/>
        </w:rPr>
        <w:t xml:space="preserve">. </w:t>
      </w:r>
      <w:r>
        <w:rPr>
          <w:bCs/>
          <w:color w:val="000000" w:themeColor="text1"/>
        </w:rPr>
        <w:t>En-Back = emotional n-back task; MID = monetary incentive delay task; SST = stop signal task</w:t>
      </w:r>
      <w:r>
        <w:rPr>
          <w:color w:val="000000"/>
        </w:rPr>
        <w:t xml:space="preserve"> </w:t>
      </w:r>
    </w:p>
    <w:p w14:paraId="5D8C05E1" w14:textId="77777777" w:rsidR="0031427C" w:rsidRDefault="0031427C">
      <w:pPr>
        <w:rPr>
          <w:rFonts w:eastAsiaTheme="majorEastAsia"/>
          <w:b/>
          <w:bCs/>
          <w:color w:val="000000" w:themeColor="text1"/>
        </w:rPr>
      </w:pPr>
      <w:r>
        <w:rPr>
          <w:b/>
          <w:bCs/>
          <w:color w:val="000000" w:themeColor="text1"/>
        </w:rPr>
        <w:br w:type="page"/>
      </w:r>
    </w:p>
    <w:p w14:paraId="7294B7DC" w14:textId="3EA1A4E8" w:rsidR="007F1C4C" w:rsidRPr="003332E4" w:rsidRDefault="00432B71" w:rsidP="003332E4">
      <w:pPr>
        <w:pStyle w:val="Heading1"/>
        <w:rPr>
          <w:rFonts w:ascii="Times New Roman" w:hAnsi="Times New Roman" w:cs="Times New Roman"/>
          <w:color w:val="000000" w:themeColor="text1"/>
          <w:sz w:val="24"/>
          <w:szCs w:val="24"/>
        </w:rPr>
      </w:pPr>
      <w:bookmarkStart w:id="16" w:name="_Toc155817683"/>
      <w:r>
        <w:rPr>
          <w:rFonts w:ascii="Times New Roman" w:hAnsi="Times New Roman" w:cs="Times New Roman"/>
          <w:b/>
          <w:bCs/>
          <w:color w:val="000000" w:themeColor="text1"/>
          <w:sz w:val="24"/>
          <w:szCs w:val="24"/>
        </w:rPr>
        <w:lastRenderedPageBreak/>
        <w:t xml:space="preserve">Table </w:t>
      </w:r>
      <w:r w:rsidR="00994E15">
        <w:rPr>
          <w:rFonts w:ascii="Times New Roman" w:hAnsi="Times New Roman" w:cs="Times New Roman"/>
          <w:b/>
          <w:bCs/>
          <w:color w:val="000000" w:themeColor="text1"/>
          <w:sz w:val="24"/>
          <w:szCs w:val="24"/>
        </w:rPr>
        <w:t>3</w:t>
      </w:r>
      <w:r w:rsidR="00D6762E" w:rsidRPr="003332E4">
        <w:rPr>
          <w:rFonts w:ascii="Times New Roman" w:hAnsi="Times New Roman" w:cs="Times New Roman"/>
          <w:b/>
          <w:bCs/>
          <w:color w:val="000000" w:themeColor="text1"/>
          <w:sz w:val="24"/>
          <w:szCs w:val="24"/>
        </w:rPr>
        <w:t xml:space="preserve">a. </w:t>
      </w:r>
      <w:r w:rsidR="00D6762E" w:rsidRPr="003332E4">
        <w:rPr>
          <w:rFonts w:ascii="Times New Roman" w:hAnsi="Times New Roman" w:cs="Times New Roman"/>
          <w:color w:val="000000" w:themeColor="text1"/>
          <w:sz w:val="24"/>
          <w:szCs w:val="24"/>
        </w:rPr>
        <w:t xml:space="preserve">Results examining the relationship between </w:t>
      </w:r>
      <w:r w:rsidR="00BE4194" w:rsidRPr="003332E4">
        <w:rPr>
          <w:rFonts w:ascii="Times New Roman" w:hAnsi="Times New Roman" w:cs="Times New Roman"/>
          <w:color w:val="000000" w:themeColor="text1"/>
          <w:sz w:val="24"/>
          <w:szCs w:val="24"/>
        </w:rPr>
        <w:t xml:space="preserve">environmental </w:t>
      </w:r>
      <w:r w:rsidR="007B6027" w:rsidRPr="003332E4">
        <w:rPr>
          <w:rFonts w:ascii="Times New Roman" w:hAnsi="Times New Roman" w:cs="Times New Roman"/>
          <w:color w:val="000000" w:themeColor="text1"/>
          <w:sz w:val="24"/>
          <w:szCs w:val="24"/>
        </w:rPr>
        <w:t xml:space="preserve">stress factors obtained from </w:t>
      </w:r>
      <w:r w:rsidR="00603E87" w:rsidRPr="003332E4">
        <w:rPr>
          <w:rFonts w:ascii="Times New Roman" w:hAnsi="Times New Roman" w:cs="Times New Roman"/>
          <w:color w:val="000000" w:themeColor="text1"/>
          <w:sz w:val="24"/>
          <w:szCs w:val="24"/>
        </w:rPr>
        <w:t xml:space="preserve">bifactor modeling and </w:t>
      </w:r>
      <w:r w:rsidR="0008467C" w:rsidRPr="003332E4">
        <w:rPr>
          <w:rFonts w:ascii="Times New Roman" w:hAnsi="Times New Roman" w:cs="Times New Roman"/>
          <w:color w:val="000000" w:themeColor="text1"/>
          <w:sz w:val="24"/>
          <w:szCs w:val="24"/>
        </w:rPr>
        <w:t>Shen-268 netw</w:t>
      </w:r>
      <w:r w:rsidR="008A6A84" w:rsidRPr="003332E4">
        <w:rPr>
          <w:rFonts w:ascii="Times New Roman" w:hAnsi="Times New Roman" w:cs="Times New Roman"/>
          <w:color w:val="000000" w:themeColor="text1"/>
          <w:sz w:val="24"/>
          <w:szCs w:val="24"/>
        </w:rPr>
        <w:t>ork average shortest path length during rest</w:t>
      </w:r>
      <w:bookmarkEnd w:id="16"/>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CC2214" w14:paraId="400D5D4B" w14:textId="77777777" w:rsidTr="00CC2214">
        <w:trPr>
          <w:trHeight w:val="320"/>
        </w:trPr>
        <w:tc>
          <w:tcPr>
            <w:tcW w:w="1176" w:type="dxa"/>
            <w:tcBorders>
              <w:top w:val="nil"/>
              <w:left w:val="nil"/>
              <w:bottom w:val="single" w:sz="12" w:space="0" w:color="auto"/>
              <w:right w:val="nil"/>
            </w:tcBorders>
            <w:shd w:val="clear" w:color="auto" w:fill="auto"/>
            <w:noWrap/>
            <w:vAlign w:val="bottom"/>
            <w:hideMark/>
          </w:tcPr>
          <w:p w14:paraId="53257DE7" w14:textId="77777777" w:rsidR="00CC2214" w:rsidRDefault="00CC2214" w:rsidP="00CC2214">
            <w:pPr>
              <w:jc w:val="right"/>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bottom"/>
            <w:hideMark/>
          </w:tcPr>
          <w:p w14:paraId="605BF5A9" w14:textId="77777777" w:rsidR="00CC2214" w:rsidRPr="00CC2214" w:rsidRDefault="00CC2214">
            <w:pPr>
              <w:rPr>
                <w:sz w:val="20"/>
                <w:szCs w:val="20"/>
              </w:rPr>
            </w:pPr>
            <w:r w:rsidRPr="00CC2214">
              <w:rPr>
                <w:sz w:val="20"/>
                <w:szCs w:val="20"/>
              </w:rPr>
              <w:t> </w:t>
            </w:r>
          </w:p>
        </w:tc>
        <w:tc>
          <w:tcPr>
            <w:tcW w:w="767" w:type="dxa"/>
            <w:tcBorders>
              <w:top w:val="nil"/>
              <w:left w:val="nil"/>
              <w:bottom w:val="single" w:sz="12" w:space="0" w:color="auto"/>
              <w:right w:val="nil"/>
            </w:tcBorders>
            <w:shd w:val="clear" w:color="auto" w:fill="auto"/>
            <w:noWrap/>
            <w:vAlign w:val="bottom"/>
            <w:hideMark/>
          </w:tcPr>
          <w:p w14:paraId="42EC4011" w14:textId="77777777" w:rsidR="00CC2214" w:rsidRP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C62A6B0"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FA197F5"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54F931B"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8CB4B72"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A1A500C"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E7DAB1C"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61A2757"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4640A19"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CE44496"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C2810BA"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8166811" w14:textId="77777777" w:rsidR="00CC2214" w:rsidRDefault="00CC221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EA32C5E" w14:textId="77777777" w:rsidR="00CC2214" w:rsidRPr="00CC2214" w:rsidRDefault="00CC2214">
            <w:pPr>
              <w:rPr>
                <w:sz w:val="20"/>
                <w:szCs w:val="20"/>
              </w:rPr>
            </w:pPr>
            <w:r w:rsidRPr="00CC2214">
              <w:rPr>
                <w:sz w:val="20"/>
                <w:szCs w:val="20"/>
              </w:rPr>
              <w:t> </w:t>
            </w:r>
          </w:p>
        </w:tc>
        <w:tc>
          <w:tcPr>
            <w:tcW w:w="768" w:type="dxa"/>
            <w:tcBorders>
              <w:top w:val="nil"/>
              <w:left w:val="nil"/>
              <w:bottom w:val="single" w:sz="12" w:space="0" w:color="auto"/>
              <w:right w:val="nil"/>
            </w:tcBorders>
            <w:shd w:val="clear" w:color="auto" w:fill="auto"/>
            <w:noWrap/>
            <w:vAlign w:val="bottom"/>
            <w:hideMark/>
          </w:tcPr>
          <w:p w14:paraId="74E9E3F8" w14:textId="77777777" w:rsidR="00CC2214" w:rsidRPr="00CC2214" w:rsidRDefault="00CC2214">
            <w:pPr>
              <w:rPr>
                <w:sz w:val="20"/>
                <w:szCs w:val="20"/>
              </w:rPr>
            </w:pPr>
            <w:r w:rsidRPr="00CC2214">
              <w:rPr>
                <w:sz w:val="20"/>
                <w:szCs w:val="20"/>
              </w:rPr>
              <w:t> </w:t>
            </w:r>
          </w:p>
        </w:tc>
        <w:tc>
          <w:tcPr>
            <w:tcW w:w="768" w:type="dxa"/>
            <w:tcBorders>
              <w:top w:val="nil"/>
              <w:left w:val="nil"/>
              <w:bottom w:val="single" w:sz="12" w:space="0" w:color="auto"/>
              <w:right w:val="nil"/>
            </w:tcBorders>
            <w:shd w:val="clear" w:color="auto" w:fill="auto"/>
            <w:noWrap/>
            <w:vAlign w:val="bottom"/>
            <w:hideMark/>
          </w:tcPr>
          <w:p w14:paraId="4BDB886B" w14:textId="77777777" w:rsidR="00CC2214" w:rsidRPr="00CC2214" w:rsidRDefault="00CC2214">
            <w:pPr>
              <w:rPr>
                <w:sz w:val="20"/>
                <w:szCs w:val="20"/>
              </w:rPr>
            </w:pPr>
            <w:r w:rsidRPr="00CC2214">
              <w:rPr>
                <w:sz w:val="20"/>
                <w:szCs w:val="20"/>
              </w:rPr>
              <w:t> </w:t>
            </w:r>
          </w:p>
        </w:tc>
      </w:tr>
      <w:tr w:rsidR="00CC2214" w14:paraId="6741C287" w14:textId="77777777" w:rsidTr="00CC2214">
        <w:trPr>
          <w:trHeight w:val="340"/>
        </w:trPr>
        <w:tc>
          <w:tcPr>
            <w:tcW w:w="1176" w:type="dxa"/>
            <w:tcBorders>
              <w:top w:val="single" w:sz="12" w:space="0" w:color="auto"/>
              <w:left w:val="nil"/>
              <w:bottom w:val="nil"/>
              <w:right w:val="nil"/>
            </w:tcBorders>
            <w:shd w:val="clear" w:color="auto" w:fill="auto"/>
            <w:noWrap/>
            <w:vAlign w:val="bottom"/>
            <w:hideMark/>
          </w:tcPr>
          <w:p w14:paraId="5BC0D9B7" w14:textId="77777777" w:rsidR="00CC2214" w:rsidRDefault="00CC2214">
            <w:pPr>
              <w:rPr>
                <w:color w:val="000000"/>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106D28A9" w14:textId="77777777" w:rsidR="00CC2214" w:rsidRDefault="00CC2214">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46BD9371" w14:textId="57FFC684" w:rsidR="00CC2214" w:rsidRDefault="00CC2214">
            <w:pPr>
              <w:jc w:val="center"/>
              <w:rPr>
                <w:color w:val="000000"/>
                <w:sz w:val="20"/>
                <w:szCs w:val="20"/>
              </w:rPr>
            </w:pPr>
            <w:r>
              <w:rPr>
                <w:color w:val="000000"/>
                <w:sz w:val="20"/>
                <w:szCs w:val="20"/>
              </w:rPr>
              <w:t>General</w:t>
            </w:r>
            <w:r w:rsidR="00A33477">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1CE2ACB" w14:textId="77777777" w:rsidR="00CC2214" w:rsidRDefault="00CC2214">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D4C984C" w14:textId="77777777" w:rsidR="00CC2214" w:rsidRDefault="00CC2214">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E7B5A79" w14:textId="77777777" w:rsidR="00CC2214" w:rsidRDefault="00CC2214">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6D4ABD01" w14:textId="77777777" w:rsidR="00CC2214" w:rsidRDefault="00CC2214">
            <w:pPr>
              <w:jc w:val="center"/>
              <w:rPr>
                <w:color w:val="000000"/>
                <w:sz w:val="20"/>
                <w:szCs w:val="20"/>
              </w:rPr>
            </w:pPr>
            <w:r>
              <w:rPr>
                <w:color w:val="000000"/>
                <w:sz w:val="20"/>
                <w:szCs w:val="20"/>
              </w:rPr>
              <w:t>Urbanicity</w:t>
            </w:r>
          </w:p>
        </w:tc>
      </w:tr>
      <w:tr w:rsidR="00CC2214" w14:paraId="0BCCC33E" w14:textId="77777777" w:rsidTr="00DE6EE0">
        <w:trPr>
          <w:trHeight w:val="360"/>
        </w:trPr>
        <w:tc>
          <w:tcPr>
            <w:tcW w:w="1176" w:type="dxa"/>
            <w:tcBorders>
              <w:top w:val="nil"/>
              <w:left w:val="nil"/>
              <w:bottom w:val="single" w:sz="12" w:space="0" w:color="auto"/>
              <w:right w:val="nil"/>
            </w:tcBorders>
            <w:shd w:val="clear" w:color="auto" w:fill="auto"/>
            <w:noWrap/>
            <w:vAlign w:val="bottom"/>
            <w:hideMark/>
          </w:tcPr>
          <w:p w14:paraId="60D095EC" w14:textId="77777777" w:rsidR="00CC2214" w:rsidRDefault="00CC2214">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3D14799E" w14:textId="77777777" w:rsidR="00CC2214" w:rsidRDefault="00CC2214">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558A780A" w14:textId="77777777" w:rsidR="00CC2214" w:rsidRDefault="00CC221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C2C0913" w14:textId="77777777" w:rsidR="00CC2214" w:rsidRDefault="00CC221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064F7E5" w14:textId="77777777" w:rsidR="00CC2214" w:rsidRPr="00DE6EE0" w:rsidRDefault="00CC2214">
            <w:pPr>
              <w:jc w:val="center"/>
              <w:rPr>
                <w:i/>
                <w:iCs/>
                <w:color w:val="000000"/>
                <w:sz w:val="20"/>
                <w:szCs w:val="20"/>
              </w:rPr>
            </w:pPr>
            <w:r w:rsidRPr="00DE6EE0">
              <w:rPr>
                <w:i/>
                <w:iCs/>
                <w:color w:val="000000"/>
                <w:sz w:val="20"/>
                <w:szCs w:val="20"/>
              </w:rPr>
              <w:t>R</w:t>
            </w:r>
            <w:r w:rsidRPr="00173F69">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C86C570" w14:textId="77777777" w:rsidR="00CC2214" w:rsidRDefault="00CC221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9512AD7" w14:textId="77777777" w:rsidR="00CC2214" w:rsidRDefault="00CC221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9E5311A" w14:textId="77777777" w:rsidR="00CC2214" w:rsidRDefault="00CC2214">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89998B9" w14:textId="77777777" w:rsidR="00CC2214" w:rsidRDefault="00CC221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784C8B9" w14:textId="77777777" w:rsidR="00CC2214" w:rsidRDefault="00CC221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C15410A" w14:textId="77777777" w:rsidR="00CC2214" w:rsidRDefault="00CC2214">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66D02AF" w14:textId="77777777" w:rsidR="00CC2214" w:rsidRDefault="00CC221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F0CDC8C" w14:textId="77777777" w:rsidR="00CC2214" w:rsidRDefault="00CC221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B75D30F" w14:textId="77777777" w:rsidR="00CC2214" w:rsidRDefault="00CC2214">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22EA503" w14:textId="77777777" w:rsidR="00CC2214" w:rsidRDefault="00CC221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27D57A1" w14:textId="77777777" w:rsidR="00CC2214" w:rsidRDefault="00CC221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D9798C7" w14:textId="77777777" w:rsidR="00CC2214" w:rsidRDefault="00CC2214" w:rsidP="002125FE">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r>
      <w:tr w:rsidR="004E7A14" w14:paraId="065F831A" w14:textId="77777777" w:rsidTr="00CC2214">
        <w:trPr>
          <w:trHeight w:val="320"/>
        </w:trPr>
        <w:tc>
          <w:tcPr>
            <w:tcW w:w="1176" w:type="dxa"/>
            <w:tcBorders>
              <w:top w:val="single" w:sz="12" w:space="0" w:color="auto"/>
              <w:left w:val="nil"/>
              <w:bottom w:val="nil"/>
              <w:right w:val="nil"/>
            </w:tcBorders>
            <w:shd w:val="clear" w:color="auto" w:fill="auto"/>
            <w:noWrap/>
            <w:vAlign w:val="bottom"/>
            <w:hideMark/>
          </w:tcPr>
          <w:p w14:paraId="496AD6CC" w14:textId="77777777" w:rsidR="004E7A14" w:rsidRDefault="004E7A14" w:rsidP="004E7A14">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22BF2F92" w14:textId="77777777" w:rsidR="004E7A14" w:rsidRDefault="004E7A14" w:rsidP="004E7A14">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1B90B741" w14:textId="7247DBCA" w:rsidR="004E7A14" w:rsidRDefault="004E7A14" w:rsidP="004E7A14">
            <w:pPr>
              <w:jc w:val="right"/>
              <w:rPr>
                <w:color w:val="000000"/>
                <w:sz w:val="20"/>
                <w:szCs w:val="20"/>
              </w:rPr>
            </w:pPr>
            <w:r>
              <w:rPr>
                <w:color w:val="000000"/>
                <w:sz w:val="20"/>
                <w:szCs w:val="20"/>
              </w:rPr>
              <w:t>0.064</w:t>
            </w:r>
          </w:p>
        </w:tc>
        <w:tc>
          <w:tcPr>
            <w:tcW w:w="768" w:type="dxa"/>
            <w:tcBorders>
              <w:top w:val="single" w:sz="12" w:space="0" w:color="auto"/>
              <w:left w:val="nil"/>
              <w:bottom w:val="nil"/>
              <w:right w:val="nil"/>
            </w:tcBorders>
            <w:shd w:val="clear" w:color="auto" w:fill="auto"/>
            <w:noWrap/>
            <w:vAlign w:val="bottom"/>
            <w:hideMark/>
          </w:tcPr>
          <w:p w14:paraId="19D2E978" w14:textId="109E028D" w:rsidR="004E7A14" w:rsidRDefault="004E7A14" w:rsidP="004E7A14">
            <w:pPr>
              <w:jc w:val="right"/>
              <w:rPr>
                <w:color w:val="000000"/>
                <w:sz w:val="20"/>
                <w:szCs w:val="20"/>
              </w:rPr>
            </w:pPr>
            <w:r>
              <w:rPr>
                <w:color w:val="000000"/>
                <w:sz w:val="20"/>
                <w:szCs w:val="20"/>
              </w:rPr>
              <w:t>0.052</w:t>
            </w:r>
          </w:p>
        </w:tc>
        <w:tc>
          <w:tcPr>
            <w:tcW w:w="768" w:type="dxa"/>
            <w:tcBorders>
              <w:top w:val="single" w:sz="12" w:space="0" w:color="auto"/>
              <w:left w:val="nil"/>
              <w:bottom w:val="nil"/>
              <w:right w:val="nil"/>
            </w:tcBorders>
            <w:shd w:val="clear" w:color="auto" w:fill="auto"/>
            <w:noWrap/>
            <w:vAlign w:val="bottom"/>
            <w:hideMark/>
          </w:tcPr>
          <w:p w14:paraId="4B53648E" w14:textId="305039B9" w:rsidR="004E7A14" w:rsidRDefault="004E7A14" w:rsidP="004E7A14">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59456BC2" w14:textId="2C5CC0CE" w:rsidR="004E7A14" w:rsidRDefault="004E7A14" w:rsidP="004E7A14">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5743D8F4" w14:textId="017629DE" w:rsidR="004E7A14" w:rsidRDefault="004E7A14" w:rsidP="004E7A14">
            <w:pPr>
              <w:jc w:val="right"/>
              <w:rPr>
                <w:color w:val="000000"/>
                <w:sz w:val="20"/>
                <w:szCs w:val="20"/>
              </w:rPr>
            </w:pPr>
            <w:r>
              <w:rPr>
                <w:color w:val="000000"/>
                <w:sz w:val="20"/>
                <w:szCs w:val="20"/>
              </w:rPr>
              <w:t>0.812</w:t>
            </w:r>
          </w:p>
        </w:tc>
        <w:tc>
          <w:tcPr>
            <w:tcW w:w="768" w:type="dxa"/>
            <w:tcBorders>
              <w:top w:val="single" w:sz="12" w:space="0" w:color="auto"/>
              <w:left w:val="nil"/>
              <w:bottom w:val="nil"/>
              <w:right w:val="nil"/>
            </w:tcBorders>
            <w:shd w:val="clear" w:color="auto" w:fill="auto"/>
            <w:noWrap/>
            <w:vAlign w:val="bottom"/>
            <w:hideMark/>
          </w:tcPr>
          <w:p w14:paraId="60E6DC8F" w14:textId="44893E5A" w:rsidR="004E7A14" w:rsidRDefault="004E7A14" w:rsidP="004E7A14">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3A84493" w14:textId="428983B2" w:rsidR="004E7A14" w:rsidRDefault="004E7A14" w:rsidP="004E7A14">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395B8116" w14:textId="58D4DB1A" w:rsidR="004E7A14" w:rsidRDefault="004E7A14" w:rsidP="004E7A14">
            <w:pPr>
              <w:jc w:val="right"/>
              <w:rPr>
                <w:color w:val="000000"/>
                <w:sz w:val="20"/>
                <w:szCs w:val="20"/>
              </w:rPr>
            </w:pPr>
            <w:r>
              <w:rPr>
                <w:color w:val="000000"/>
                <w:sz w:val="20"/>
                <w:szCs w:val="20"/>
              </w:rPr>
              <w:t>0.787</w:t>
            </w:r>
          </w:p>
        </w:tc>
        <w:tc>
          <w:tcPr>
            <w:tcW w:w="768" w:type="dxa"/>
            <w:tcBorders>
              <w:top w:val="single" w:sz="12" w:space="0" w:color="auto"/>
              <w:left w:val="nil"/>
              <w:bottom w:val="nil"/>
              <w:right w:val="nil"/>
            </w:tcBorders>
            <w:shd w:val="clear" w:color="auto" w:fill="auto"/>
            <w:noWrap/>
            <w:vAlign w:val="bottom"/>
            <w:hideMark/>
          </w:tcPr>
          <w:p w14:paraId="0673FFFD" w14:textId="366D1728" w:rsidR="004E7A14" w:rsidRDefault="004E7A14" w:rsidP="004E7A14">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B303BF7" w14:textId="2C690C64" w:rsidR="004E7A14" w:rsidRDefault="004E7A14" w:rsidP="004E7A14">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74794F44" w14:textId="7478C23E" w:rsidR="004E7A14" w:rsidRDefault="004E7A14" w:rsidP="004E7A14">
            <w:pPr>
              <w:jc w:val="right"/>
              <w:rPr>
                <w:color w:val="000000"/>
                <w:sz w:val="20"/>
                <w:szCs w:val="20"/>
              </w:rPr>
            </w:pPr>
            <w:r>
              <w:rPr>
                <w:color w:val="000000"/>
                <w:sz w:val="20"/>
                <w:szCs w:val="20"/>
              </w:rPr>
              <w:t>0.933</w:t>
            </w:r>
          </w:p>
        </w:tc>
        <w:tc>
          <w:tcPr>
            <w:tcW w:w="768" w:type="dxa"/>
            <w:tcBorders>
              <w:top w:val="single" w:sz="12" w:space="0" w:color="auto"/>
              <w:left w:val="nil"/>
              <w:bottom w:val="nil"/>
              <w:right w:val="nil"/>
            </w:tcBorders>
            <w:shd w:val="clear" w:color="auto" w:fill="auto"/>
            <w:noWrap/>
            <w:vAlign w:val="bottom"/>
            <w:hideMark/>
          </w:tcPr>
          <w:p w14:paraId="6CE2CA0E" w14:textId="15C70DAB" w:rsidR="004E7A14" w:rsidRDefault="004E7A14" w:rsidP="004E7A14">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36E59B8" w14:textId="6D350DDC" w:rsidR="004E7A14" w:rsidRDefault="004E7A14" w:rsidP="004E7A14">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4B74D191" w14:textId="65B5F9C2" w:rsidR="004E7A14" w:rsidRDefault="004E7A14" w:rsidP="004E7A14">
            <w:pPr>
              <w:jc w:val="right"/>
              <w:rPr>
                <w:color w:val="000000"/>
                <w:sz w:val="20"/>
                <w:szCs w:val="20"/>
              </w:rPr>
            </w:pPr>
            <w:r>
              <w:rPr>
                <w:color w:val="000000"/>
                <w:sz w:val="20"/>
                <w:szCs w:val="20"/>
              </w:rPr>
              <w:t>0.976</w:t>
            </w:r>
          </w:p>
        </w:tc>
        <w:tc>
          <w:tcPr>
            <w:tcW w:w="768" w:type="dxa"/>
            <w:tcBorders>
              <w:top w:val="single" w:sz="12" w:space="0" w:color="auto"/>
              <w:left w:val="nil"/>
              <w:bottom w:val="nil"/>
              <w:right w:val="nil"/>
            </w:tcBorders>
            <w:shd w:val="clear" w:color="auto" w:fill="auto"/>
            <w:noWrap/>
            <w:vAlign w:val="bottom"/>
            <w:hideMark/>
          </w:tcPr>
          <w:p w14:paraId="5B988CD4" w14:textId="306FB6D0" w:rsidR="004E7A14" w:rsidRDefault="004E7A14" w:rsidP="004E7A14">
            <w:pPr>
              <w:jc w:val="right"/>
              <w:rPr>
                <w:color w:val="000000"/>
                <w:sz w:val="20"/>
                <w:szCs w:val="20"/>
              </w:rPr>
            </w:pPr>
            <w:r>
              <w:rPr>
                <w:color w:val="000000"/>
                <w:sz w:val="20"/>
                <w:szCs w:val="20"/>
              </w:rPr>
              <w:t>0.000</w:t>
            </w:r>
          </w:p>
        </w:tc>
      </w:tr>
      <w:tr w:rsidR="004E7A14" w14:paraId="4E534D3B" w14:textId="77777777" w:rsidTr="00CC2214">
        <w:trPr>
          <w:trHeight w:val="340"/>
        </w:trPr>
        <w:tc>
          <w:tcPr>
            <w:tcW w:w="1176" w:type="dxa"/>
            <w:tcBorders>
              <w:top w:val="nil"/>
              <w:left w:val="nil"/>
              <w:bottom w:val="nil"/>
              <w:right w:val="nil"/>
            </w:tcBorders>
            <w:shd w:val="clear" w:color="auto" w:fill="auto"/>
            <w:noWrap/>
            <w:vAlign w:val="bottom"/>
            <w:hideMark/>
          </w:tcPr>
          <w:p w14:paraId="19352702"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72631CC" w14:textId="77777777" w:rsidR="004E7A14" w:rsidRDefault="004E7A14" w:rsidP="004E7A1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F51302E" w14:textId="4A0684F7" w:rsidR="004E7A14" w:rsidRDefault="004E7A14" w:rsidP="004E7A1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8B24314" w14:textId="4F23AE40" w:rsidR="004E7A14" w:rsidRDefault="004E7A14" w:rsidP="004E7A14">
            <w:pPr>
              <w:jc w:val="right"/>
              <w:rPr>
                <w:color w:val="000000"/>
                <w:sz w:val="20"/>
                <w:szCs w:val="20"/>
              </w:rPr>
            </w:pPr>
            <w:r>
              <w:rPr>
                <w:color w:val="000000"/>
                <w:sz w:val="20"/>
                <w:szCs w:val="20"/>
              </w:rPr>
              <w:t>0.620</w:t>
            </w:r>
          </w:p>
        </w:tc>
        <w:tc>
          <w:tcPr>
            <w:tcW w:w="768" w:type="dxa"/>
            <w:tcBorders>
              <w:top w:val="nil"/>
              <w:left w:val="nil"/>
              <w:bottom w:val="nil"/>
              <w:right w:val="nil"/>
            </w:tcBorders>
            <w:shd w:val="clear" w:color="auto" w:fill="auto"/>
            <w:noWrap/>
            <w:vAlign w:val="bottom"/>
            <w:hideMark/>
          </w:tcPr>
          <w:p w14:paraId="19C44589" w14:textId="16458EB3"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9AC687F" w14:textId="1F95C9BE" w:rsidR="004E7A14" w:rsidRDefault="004E7A14" w:rsidP="004E7A14">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6318DCE" w14:textId="728ADFE8" w:rsidR="004E7A14" w:rsidRDefault="004E7A14" w:rsidP="004E7A14">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3619DE1F" w14:textId="65BCDA2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6B0D47" w14:textId="1E2EABA7" w:rsidR="004E7A14" w:rsidRDefault="004E7A14" w:rsidP="004E7A14">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3AE9113E" w14:textId="4EE6FF5C" w:rsidR="004E7A14" w:rsidRDefault="004E7A14" w:rsidP="004E7A14">
            <w:pPr>
              <w:jc w:val="right"/>
              <w:rPr>
                <w:color w:val="000000"/>
                <w:sz w:val="20"/>
                <w:szCs w:val="20"/>
              </w:rPr>
            </w:pPr>
            <w:r>
              <w:rPr>
                <w:color w:val="000000"/>
                <w:sz w:val="20"/>
                <w:szCs w:val="20"/>
              </w:rPr>
              <w:t>0.541</w:t>
            </w:r>
          </w:p>
        </w:tc>
        <w:tc>
          <w:tcPr>
            <w:tcW w:w="768" w:type="dxa"/>
            <w:tcBorders>
              <w:top w:val="nil"/>
              <w:left w:val="nil"/>
              <w:bottom w:val="nil"/>
              <w:right w:val="nil"/>
            </w:tcBorders>
            <w:shd w:val="clear" w:color="auto" w:fill="auto"/>
            <w:noWrap/>
            <w:vAlign w:val="bottom"/>
            <w:hideMark/>
          </w:tcPr>
          <w:p w14:paraId="1A47570F" w14:textId="28F8AE99"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DE3A4A1" w14:textId="57D95DE5" w:rsidR="004E7A14" w:rsidRDefault="004E7A14" w:rsidP="004E7A1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12F8795" w14:textId="52E29D32" w:rsidR="004E7A14" w:rsidRDefault="004E7A14" w:rsidP="004E7A14">
            <w:pPr>
              <w:jc w:val="right"/>
              <w:rPr>
                <w:color w:val="000000"/>
                <w:sz w:val="20"/>
                <w:szCs w:val="20"/>
              </w:rPr>
            </w:pPr>
            <w:r>
              <w:rPr>
                <w:color w:val="000000"/>
                <w:sz w:val="20"/>
                <w:szCs w:val="20"/>
              </w:rPr>
              <w:t>0.902</w:t>
            </w:r>
          </w:p>
        </w:tc>
        <w:tc>
          <w:tcPr>
            <w:tcW w:w="768" w:type="dxa"/>
            <w:tcBorders>
              <w:top w:val="nil"/>
              <w:left w:val="nil"/>
              <w:bottom w:val="nil"/>
              <w:right w:val="nil"/>
            </w:tcBorders>
            <w:shd w:val="clear" w:color="auto" w:fill="auto"/>
            <w:noWrap/>
            <w:vAlign w:val="bottom"/>
            <w:hideMark/>
          </w:tcPr>
          <w:p w14:paraId="777149D3" w14:textId="7E6AD199"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2A16AB" w14:textId="5701C040" w:rsidR="004E7A14" w:rsidRDefault="004E7A14" w:rsidP="004E7A14">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9B47110" w14:textId="25EB8530" w:rsidR="004E7A14" w:rsidRDefault="004E7A14" w:rsidP="004E7A14">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1A6275F1" w14:textId="4AAB3DA8" w:rsidR="004E7A14" w:rsidRDefault="004E7A14" w:rsidP="004E7A14">
            <w:pPr>
              <w:jc w:val="right"/>
              <w:rPr>
                <w:color w:val="000000"/>
                <w:sz w:val="20"/>
                <w:szCs w:val="20"/>
              </w:rPr>
            </w:pPr>
            <w:r>
              <w:rPr>
                <w:color w:val="000000"/>
                <w:sz w:val="20"/>
                <w:szCs w:val="20"/>
              </w:rPr>
              <w:t>0.000</w:t>
            </w:r>
          </w:p>
        </w:tc>
      </w:tr>
      <w:tr w:rsidR="004E7A14" w14:paraId="0EFC0C8F" w14:textId="77777777" w:rsidTr="00CC2214">
        <w:trPr>
          <w:trHeight w:val="320"/>
        </w:trPr>
        <w:tc>
          <w:tcPr>
            <w:tcW w:w="1176" w:type="dxa"/>
            <w:tcBorders>
              <w:top w:val="nil"/>
              <w:left w:val="nil"/>
              <w:bottom w:val="nil"/>
              <w:right w:val="nil"/>
            </w:tcBorders>
            <w:shd w:val="clear" w:color="auto" w:fill="auto"/>
            <w:noWrap/>
            <w:vAlign w:val="bottom"/>
            <w:hideMark/>
          </w:tcPr>
          <w:p w14:paraId="6CC6B07D"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D6DA65F" w14:textId="77777777" w:rsidR="004E7A14" w:rsidRDefault="004E7A14" w:rsidP="004E7A1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29440D6" w14:textId="2EB434C9" w:rsidR="004E7A14" w:rsidRDefault="004E7A14" w:rsidP="004E7A14">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C881FAB" w14:textId="5A6F8D21" w:rsidR="004E7A14" w:rsidRDefault="004E7A14" w:rsidP="004E7A14">
            <w:pPr>
              <w:jc w:val="right"/>
              <w:rPr>
                <w:color w:val="000000"/>
                <w:sz w:val="20"/>
                <w:szCs w:val="20"/>
              </w:rPr>
            </w:pPr>
            <w:r>
              <w:rPr>
                <w:color w:val="000000"/>
                <w:sz w:val="20"/>
                <w:szCs w:val="20"/>
              </w:rPr>
              <w:t>0.737</w:t>
            </w:r>
          </w:p>
        </w:tc>
        <w:tc>
          <w:tcPr>
            <w:tcW w:w="768" w:type="dxa"/>
            <w:tcBorders>
              <w:top w:val="nil"/>
              <w:left w:val="nil"/>
              <w:bottom w:val="nil"/>
              <w:right w:val="nil"/>
            </w:tcBorders>
            <w:shd w:val="clear" w:color="auto" w:fill="auto"/>
            <w:noWrap/>
            <w:vAlign w:val="bottom"/>
            <w:hideMark/>
          </w:tcPr>
          <w:p w14:paraId="6D33B95C" w14:textId="278D66FF"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5B013E" w14:textId="19936BB5" w:rsidR="004E7A14" w:rsidRDefault="004E7A14" w:rsidP="004E7A14">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24BAD6B" w14:textId="23523F73" w:rsidR="004E7A14" w:rsidRDefault="004E7A14" w:rsidP="004E7A14">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0C48D27E" w14:textId="5F526D92"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BFDF79" w14:textId="27810368" w:rsidR="004E7A14" w:rsidRDefault="004E7A14" w:rsidP="004E7A14">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BED0B89" w14:textId="2B366D4D" w:rsidR="004E7A14" w:rsidRDefault="004E7A14" w:rsidP="004E7A14">
            <w:pPr>
              <w:jc w:val="right"/>
              <w:rPr>
                <w:color w:val="000000"/>
                <w:sz w:val="20"/>
                <w:szCs w:val="20"/>
              </w:rPr>
            </w:pPr>
            <w:r>
              <w:rPr>
                <w:color w:val="000000"/>
                <w:sz w:val="20"/>
                <w:szCs w:val="20"/>
              </w:rPr>
              <w:t>0.541</w:t>
            </w:r>
          </w:p>
        </w:tc>
        <w:tc>
          <w:tcPr>
            <w:tcW w:w="768" w:type="dxa"/>
            <w:tcBorders>
              <w:top w:val="nil"/>
              <w:left w:val="nil"/>
              <w:bottom w:val="nil"/>
              <w:right w:val="nil"/>
            </w:tcBorders>
            <w:shd w:val="clear" w:color="auto" w:fill="auto"/>
            <w:noWrap/>
            <w:vAlign w:val="bottom"/>
            <w:hideMark/>
          </w:tcPr>
          <w:p w14:paraId="0FE053CD" w14:textId="7DE66C26"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BFB8876" w14:textId="42DF14FE"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BAED80D" w14:textId="27E99AB8" w:rsidR="004E7A14" w:rsidRDefault="004E7A14" w:rsidP="004E7A14">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2DA36BFA" w14:textId="2C08A79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721608" w14:textId="5CB85A77"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0C4244C" w14:textId="115CB5D5" w:rsidR="004E7A14" w:rsidRDefault="004E7A14" w:rsidP="004E7A14">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3FB146F5" w14:textId="3B55C2CC" w:rsidR="004E7A14" w:rsidRDefault="004E7A14" w:rsidP="004E7A14">
            <w:pPr>
              <w:jc w:val="right"/>
              <w:rPr>
                <w:color w:val="000000"/>
                <w:sz w:val="20"/>
                <w:szCs w:val="20"/>
              </w:rPr>
            </w:pPr>
            <w:r>
              <w:rPr>
                <w:color w:val="000000"/>
                <w:sz w:val="20"/>
                <w:szCs w:val="20"/>
              </w:rPr>
              <w:t>0.000</w:t>
            </w:r>
          </w:p>
        </w:tc>
      </w:tr>
      <w:tr w:rsidR="004E7A14" w14:paraId="24817CB4" w14:textId="77777777" w:rsidTr="00CC2214">
        <w:trPr>
          <w:trHeight w:val="320"/>
        </w:trPr>
        <w:tc>
          <w:tcPr>
            <w:tcW w:w="1176" w:type="dxa"/>
            <w:tcBorders>
              <w:top w:val="nil"/>
              <w:left w:val="nil"/>
              <w:bottom w:val="nil"/>
              <w:right w:val="nil"/>
            </w:tcBorders>
            <w:shd w:val="clear" w:color="auto" w:fill="auto"/>
            <w:noWrap/>
            <w:vAlign w:val="bottom"/>
            <w:hideMark/>
          </w:tcPr>
          <w:p w14:paraId="767A7E79"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52CE75" w14:textId="77777777" w:rsidR="004E7A14" w:rsidRDefault="004E7A14" w:rsidP="004E7A1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7C74AEE" w14:textId="0DD90A70" w:rsidR="004E7A14" w:rsidRDefault="004E7A14" w:rsidP="004E7A1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3923992" w14:textId="69BF231D" w:rsidR="004E7A14" w:rsidRDefault="004E7A14" w:rsidP="004E7A14">
            <w:pPr>
              <w:jc w:val="right"/>
              <w:rPr>
                <w:color w:val="000000"/>
                <w:sz w:val="20"/>
                <w:szCs w:val="20"/>
              </w:rPr>
            </w:pPr>
            <w:r>
              <w:rPr>
                <w:color w:val="000000"/>
                <w:sz w:val="20"/>
                <w:szCs w:val="20"/>
              </w:rPr>
              <w:t>0.737</w:t>
            </w:r>
          </w:p>
        </w:tc>
        <w:tc>
          <w:tcPr>
            <w:tcW w:w="768" w:type="dxa"/>
            <w:tcBorders>
              <w:top w:val="nil"/>
              <w:left w:val="nil"/>
              <w:bottom w:val="nil"/>
              <w:right w:val="nil"/>
            </w:tcBorders>
            <w:shd w:val="clear" w:color="auto" w:fill="auto"/>
            <w:noWrap/>
            <w:vAlign w:val="bottom"/>
            <w:hideMark/>
          </w:tcPr>
          <w:p w14:paraId="1BB756DB" w14:textId="41EBB44D"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38BC79A" w14:textId="23F904E0" w:rsidR="004E7A14" w:rsidRDefault="004E7A14" w:rsidP="004E7A1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4755A0E" w14:textId="6CABC7EF" w:rsidR="004E7A14" w:rsidRDefault="004E7A14" w:rsidP="004E7A14">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250C8F46" w14:textId="54447C35"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E12F24" w14:textId="48B7BB5C" w:rsidR="004E7A14" w:rsidRDefault="004E7A14" w:rsidP="004E7A14">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72DA798D" w14:textId="2AB700F8" w:rsidR="004E7A14" w:rsidRDefault="004E7A14" w:rsidP="004E7A14">
            <w:pPr>
              <w:jc w:val="right"/>
              <w:rPr>
                <w:color w:val="000000"/>
                <w:sz w:val="20"/>
                <w:szCs w:val="20"/>
              </w:rPr>
            </w:pPr>
            <w:r>
              <w:rPr>
                <w:color w:val="000000"/>
                <w:sz w:val="20"/>
                <w:szCs w:val="20"/>
              </w:rPr>
              <w:t>0.541</w:t>
            </w:r>
          </w:p>
        </w:tc>
        <w:tc>
          <w:tcPr>
            <w:tcW w:w="768" w:type="dxa"/>
            <w:tcBorders>
              <w:top w:val="nil"/>
              <w:left w:val="nil"/>
              <w:bottom w:val="nil"/>
              <w:right w:val="nil"/>
            </w:tcBorders>
            <w:shd w:val="clear" w:color="auto" w:fill="auto"/>
            <w:noWrap/>
            <w:vAlign w:val="bottom"/>
            <w:hideMark/>
          </w:tcPr>
          <w:p w14:paraId="427611A1" w14:textId="0C54A6D2"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68F2D9F" w14:textId="0FE9C263" w:rsidR="004E7A14" w:rsidRDefault="004E7A14" w:rsidP="004E7A14">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7DD60852" w14:textId="5BB931E7" w:rsidR="004E7A14" w:rsidRDefault="004E7A14" w:rsidP="004E7A14">
            <w:pPr>
              <w:jc w:val="right"/>
              <w:rPr>
                <w:color w:val="000000"/>
                <w:sz w:val="20"/>
                <w:szCs w:val="20"/>
              </w:rPr>
            </w:pPr>
            <w:r>
              <w:rPr>
                <w:color w:val="000000"/>
                <w:sz w:val="20"/>
                <w:szCs w:val="20"/>
              </w:rPr>
              <w:t>0.902</w:t>
            </w:r>
          </w:p>
        </w:tc>
        <w:tc>
          <w:tcPr>
            <w:tcW w:w="768" w:type="dxa"/>
            <w:tcBorders>
              <w:top w:val="nil"/>
              <w:left w:val="nil"/>
              <w:bottom w:val="nil"/>
              <w:right w:val="nil"/>
            </w:tcBorders>
            <w:shd w:val="clear" w:color="auto" w:fill="auto"/>
            <w:noWrap/>
            <w:vAlign w:val="bottom"/>
            <w:hideMark/>
          </w:tcPr>
          <w:p w14:paraId="170A30A5" w14:textId="5489ADEE" w:rsidR="004E7A14" w:rsidRDefault="004E7A14" w:rsidP="004E7A1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CF8F158" w14:textId="4A04E368" w:rsidR="004E7A14" w:rsidRDefault="004E7A14" w:rsidP="004E7A14">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754FC124" w14:textId="4590BA37" w:rsidR="004E7A14" w:rsidRDefault="004E7A14" w:rsidP="004E7A14">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0FB16BCE" w14:textId="51700C3F" w:rsidR="004E7A14" w:rsidRDefault="004E7A14" w:rsidP="004E7A14">
            <w:pPr>
              <w:jc w:val="right"/>
              <w:rPr>
                <w:color w:val="000000"/>
                <w:sz w:val="20"/>
                <w:szCs w:val="20"/>
              </w:rPr>
            </w:pPr>
            <w:r>
              <w:rPr>
                <w:color w:val="000000"/>
                <w:sz w:val="20"/>
                <w:szCs w:val="20"/>
              </w:rPr>
              <w:t>0.004</w:t>
            </w:r>
          </w:p>
        </w:tc>
      </w:tr>
      <w:tr w:rsidR="004E7A14" w14:paraId="4892C372" w14:textId="77777777" w:rsidTr="00CC2214">
        <w:trPr>
          <w:trHeight w:val="320"/>
        </w:trPr>
        <w:tc>
          <w:tcPr>
            <w:tcW w:w="1176" w:type="dxa"/>
            <w:tcBorders>
              <w:top w:val="nil"/>
              <w:left w:val="nil"/>
              <w:bottom w:val="nil"/>
              <w:right w:val="nil"/>
            </w:tcBorders>
            <w:shd w:val="clear" w:color="auto" w:fill="auto"/>
            <w:noWrap/>
            <w:vAlign w:val="bottom"/>
            <w:hideMark/>
          </w:tcPr>
          <w:p w14:paraId="1699C814"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9D7412" w14:textId="77777777" w:rsidR="004E7A14" w:rsidRDefault="004E7A14" w:rsidP="004E7A1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77A90FC" w14:textId="5D8930F5" w:rsidR="004E7A14" w:rsidRDefault="004E7A14" w:rsidP="004E7A14">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4418E119" w14:textId="64C2E174" w:rsidR="004E7A14" w:rsidRDefault="004E7A14" w:rsidP="004E7A14">
            <w:pPr>
              <w:jc w:val="right"/>
              <w:rPr>
                <w:color w:val="000000"/>
                <w:sz w:val="20"/>
                <w:szCs w:val="20"/>
              </w:rPr>
            </w:pPr>
            <w:r>
              <w:rPr>
                <w:color w:val="000000"/>
                <w:sz w:val="20"/>
                <w:szCs w:val="20"/>
              </w:rPr>
              <w:t>0.293</w:t>
            </w:r>
          </w:p>
        </w:tc>
        <w:tc>
          <w:tcPr>
            <w:tcW w:w="768" w:type="dxa"/>
            <w:tcBorders>
              <w:top w:val="nil"/>
              <w:left w:val="nil"/>
              <w:bottom w:val="nil"/>
              <w:right w:val="nil"/>
            </w:tcBorders>
            <w:shd w:val="clear" w:color="auto" w:fill="auto"/>
            <w:noWrap/>
            <w:vAlign w:val="bottom"/>
            <w:hideMark/>
          </w:tcPr>
          <w:p w14:paraId="098055DA" w14:textId="4F45F8E3"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B6A308A" w14:textId="60540666" w:rsidR="004E7A14" w:rsidRDefault="004E7A14" w:rsidP="004E7A14">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3D4D547" w14:textId="49FC0345" w:rsidR="004E7A14" w:rsidRDefault="004E7A14" w:rsidP="004E7A14">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2706F902" w14:textId="487202B1"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8B9100" w14:textId="5AC33294" w:rsidR="004E7A14" w:rsidRDefault="004E7A14" w:rsidP="004E7A14">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72468D94" w14:textId="57F40EE4" w:rsidR="004E7A14" w:rsidRDefault="004E7A14" w:rsidP="004E7A14">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17B26C24" w14:textId="2848BB72"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2EB60D8" w14:textId="3B921834" w:rsidR="004E7A14" w:rsidRDefault="004E7A14" w:rsidP="004E7A1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AEF080D" w14:textId="0B61C420" w:rsidR="004E7A14" w:rsidRDefault="004E7A14" w:rsidP="004E7A14">
            <w:pPr>
              <w:jc w:val="right"/>
              <w:rPr>
                <w:color w:val="000000"/>
                <w:sz w:val="20"/>
                <w:szCs w:val="20"/>
              </w:rPr>
            </w:pPr>
            <w:r>
              <w:rPr>
                <w:color w:val="000000"/>
                <w:sz w:val="20"/>
                <w:szCs w:val="20"/>
              </w:rPr>
              <w:t>0.933</w:t>
            </w:r>
          </w:p>
        </w:tc>
        <w:tc>
          <w:tcPr>
            <w:tcW w:w="768" w:type="dxa"/>
            <w:tcBorders>
              <w:top w:val="nil"/>
              <w:left w:val="nil"/>
              <w:bottom w:val="nil"/>
              <w:right w:val="nil"/>
            </w:tcBorders>
            <w:shd w:val="clear" w:color="auto" w:fill="auto"/>
            <w:noWrap/>
            <w:vAlign w:val="bottom"/>
            <w:hideMark/>
          </w:tcPr>
          <w:p w14:paraId="0F149C70" w14:textId="6529A22E"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C233A1" w14:textId="6C4FB6E7"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9437124" w14:textId="39A64FF1" w:rsidR="004E7A14" w:rsidRDefault="004E7A14" w:rsidP="004E7A14">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3B58611F" w14:textId="3CF535D2" w:rsidR="004E7A14" w:rsidRDefault="004E7A14" w:rsidP="004E7A14">
            <w:pPr>
              <w:jc w:val="right"/>
              <w:rPr>
                <w:color w:val="000000"/>
                <w:sz w:val="20"/>
                <w:szCs w:val="20"/>
              </w:rPr>
            </w:pPr>
            <w:r>
              <w:rPr>
                <w:color w:val="000000"/>
                <w:sz w:val="20"/>
                <w:szCs w:val="20"/>
              </w:rPr>
              <w:t>0.000</w:t>
            </w:r>
          </w:p>
        </w:tc>
      </w:tr>
      <w:tr w:rsidR="004E7A14" w14:paraId="53F1505F" w14:textId="77777777" w:rsidTr="00CC2214">
        <w:trPr>
          <w:trHeight w:val="320"/>
        </w:trPr>
        <w:tc>
          <w:tcPr>
            <w:tcW w:w="1176" w:type="dxa"/>
            <w:tcBorders>
              <w:top w:val="nil"/>
              <w:left w:val="nil"/>
              <w:bottom w:val="nil"/>
              <w:right w:val="nil"/>
            </w:tcBorders>
            <w:shd w:val="clear" w:color="auto" w:fill="auto"/>
            <w:noWrap/>
            <w:vAlign w:val="bottom"/>
            <w:hideMark/>
          </w:tcPr>
          <w:p w14:paraId="4160B672"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643F893" w14:textId="77777777" w:rsidR="004E7A14" w:rsidRDefault="004E7A14" w:rsidP="004E7A1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8A3EBFA" w14:textId="7CF9966D" w:rsidR="004E7A14" w:rsidRDefault="004E7A14" w:rsidP="004E7A14">
            <w:pPr>
              <w:jc w:val="right"/>
              <w:rPr>
                <w:b/>
                <w:bCs/>
                <w:color w:val="000000"/>
                <w:sz w:val="20"/>
                <w:szCs w:val="20"/>
              </w:rPr>
            </w:pPr>
            <w:r>
              <w:rPr>
                <w:b/>
                <w:bCs/>
                <w:color w:val="000000"/>
                <w:sz w:val="20"/>
                <w:szCs w:val="20"/>
              </w:rPr>
              <w:t>0.076</w:t>
            </w:r>
          </w:p>
        </w:tc>
        <w:tc>
          <w:tcPr>
            <w:tcW w:w="768" w:type="dxa"/>
            <w:tcBorders>
              <w:top w:val="nil"/>
              <w:left w:val="nil"/>
              <w:bottom w:val="nil"/>
              <w:right w:val="nil"/>
            </w:tcBorders>
            <w:shd w:val="clear" w:color="auto" w:fill="auto"/>
            <w:noWrap/>
            <w:vAlign w:val="bottom"/>
            <w:hideMark/>
          </w:tcPr>
          <w:p w14:paraId="73A0C815" w14:textId="1BCA60F2" w:rsidR="004E7A14" w:rsidRDefault="004E7A14" w:rsidP="004E7A1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A28CDE7" w14:textId="1D5771DA" w:rsidR="004E7A14" w:rsidRDefault="004E7A14" w:rsidP="004E7A14">
            <w:pPr>
              <w:jc w:val="right"/>
              <w:rPr>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0A7015ED" w14:textId="2208A4DA" w:rsidR="004E7A14" w:rsidRDefault="004E7A14" w:rsidP="004E7A1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905D415" w14:textId="2D9A94D6" w:rsidR="004E7A14" w:rsidRDefault="004E7A14" w:rsidP="004E7A14">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3FA5D8D6" w14:textId="7E889DD7"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7C4DDA" w14:textId="0A07D9C2" w:rsidR="004E7A14" w:rsidRDefault="004E7A14" w:rsidP="004E7A1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33C3824E" w14:textId="3C8A9060" w:rsidR="004E7A14" w:rsidRDefault="004E7A14" w:rsidP="004E7A14">
            <w:pPr>
              <w:jc w:val="right"/>
              <w:rPr>
                <w:color w:val="000000"/>
                <w:sz w:val="20"/>
                <w:szCs w:val="20"/>
              </w:rPr>
            </w:pPr>
            <w:r>
              <w:rPr>
                <w:color w:val="000000"/>
                <w:sz w:val="20"/>
                <w:szCs w:val="20"/>
              </w:rPr>
              <w:t>0.541</w:t>
            </w:r>
          </w:p>
        </w:tc>
        <w:tc>
          <w:tcPr>
            <w:tcW w:w="768" w:type="dxa"/>
            <w:tcBorders>
              <w:top w:val="nil"/>
              <w:left w:val="nil"/>
              <w:bottom w:val="nil"/>
              <w:right w:val="nil"/>
            </w:tcBorders>
            <w:shd w:val="clear" w:color="auto" w:fill="auto"/>
            <w:noWrap/>
            <w:vAlign w:val="bottom"/>
            <w:hideMark/>
          </w:tcPr>
          <w:p w14:paraId="6E6AC991" w14:textId="45C7E65E"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C3BAB6" w14:textId="69A4E232" w:rsidR="004E7A14" w:rsidRDefault="004E7A14" w:rsidP="004E7A14">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1CDE957C" w14:textId="45319B1C" w:rsidR="004E7A14" w:rsidRDefault="004E7A14" w:rsidP="004E7A14">
            <w:pPr>
              <w:jc w:val="right"/>
              <w:rPr>
                <w:color w:val="000000"/>
                <w:sz w:val="20"/>
                <w:szCs w:val="20"/>
              </w:rPr>
            </w:pPr>
            <w:r>
              <w:rPr>
                <w:color w:val="000000"/>
                <w:sz w:val="20"/>
                <w:szCs w:val="20"/>
              </w:rPr>
              <w:t>0.902</w:t>
            </w:r>
          </w:p>
        </w:tc>
        <w:tc>
          <w:tcPr>
            <w:tcW w:w="768" w:type="dxa"/>
            <w:tcBorders>
              <w:top w:val="nil"/>
              <w:left w:val="nil"/>
              <w:bottom w:val="nil"/>
              <w:right w:val="nil"/>
            </w:tcBorders>
            <w:shd w:val="clear" w:color="auto" w:fill="auto"/>
            <w:noWrap/>
            <w:vAlign w:val="bottom"/>
            <w:hideMark/>
          </w:tcPr>
          <w:p w14:paraId="221986D2" w14:textId="0E6E6A87"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55F8C9" w14:textId="47C336F9" w:rsidR="004E7A14" w:rsidRDefault="004E7A14" w:rsidP="004E7A1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5361056" w14:textId="2E7A6B40" w:rsidR="004E7A14" w:rsidRDefault="004E7A14" w:rsidP="004E7A14">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261D7A80" w14:textId="78BEAF2F" w:rsidR="004E7A14" w:rsidRDefault="004E7A14" w:rsidP="004E7A14">
            <w:pPr>
              <w:jc w:val="right"/>
              <w:rPr>
                <w:color w:val="000000"/>
                <w:sz w:val="20"/>
                <w:szCs w:val="20"/>
              </w:rPr>
            </w:pPr>
            <w:r>
              <w:rPr>
                <w:color w:val="000000"/>
                <w:sz w:val="20"/>
                <w:szCs w:val="20"/>
              </w:rPr>
              <w:t>0.000</w:t>
            </w:r>
          </w:p>
        </w:tc>
      </w:tr>
      <w:tr w:rsidR="004E7A14" w14:paraId="13856383" w14:textId="77777777" w:rsidTr="00CC2214">
        <w:trPr>
          <w:trHeight w:val="320"/>
        </w:trPr>
        <w:tc>
          <w:tcPr>
            <w:tcW w:w="1176" w:type="dxa"/>
            <w:tcBorders>
              <w:top w:val="nil"/>
              <w:left w:val="nil"/>
              <w:bottom w:val="nil"/>
              <w:right w:val="nil"/>
            </w:tcBorders>
            <w:shd w:val="clear" w:color="auto" w:fill="auto"/>
            <w:noWrap/>
            <w:vAlign w:val="bottom"/>
            <w:hideMark/>
          </w:tcPr>
          <w:p w14:paraId="6BA53E7A"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5AB2BA" w14:textId="77777777" w:rsidR="004E7A14" w:rsidRDefault="004E7A14" w:rsidP="004E7A1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B874C54" w14:textId="0E50F98C" w:rsidR="004E7A14" w:rsidRDefault="004E7A14" w:rsidP="004E7A14">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70882CA5" w14:textId="431985D6" w:rsidR="004E7A14" w:rsidRDefault="004E7A14" w:rsidP="004E7A14">
            <w:pPr>
              <w:jc w:val="right"/>
              <w:rPr>
                <w:color w:val="000000"/>
                <w:sz w:val="20"/>
                <w:szCs w:val="20"/>
              </w:rPr>
            </w:pPr>
            <w:r>
              <w:rPr>
                <w:color w:val="000000"/>
                <w:sz w:val="20"/>
                <w:szCs w:val="20"/>
              </w:rPr>
              <w:t>0.737</w:t>
            </w:r>
          </w:p>
        </w:tc>
        <w:tc>
          <w:tcPr>
            <w:tcW w:w="768" w:type="dxa"/>
            <w:tcBorders>
              <w:top w:val="nil"/>
              <w:left w:val="nil"/>
              <w:bottom w:val="nil"/>
              <w:right w:val="nil"/>
            </w:tcBorders>
            <w:shd w:val="clear" w:color="auto" w:fill="auto"/>
            <w:noWrap/>
            <w:vAlign w:val="bottom"/>
            <w:hideMark/>
          </w:tcPr>
          <w:p w14:paraId="3325B8FE" w14:textId="6637D5CF"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36B646" w14:textId="64041C39" w:rsidR="004E7A14" w:rsidRDefault="004E7A14" w:rsidP="004E7A1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2FB78A4" w14:textId="15655CD9" w:rsidR="004E7A14" w:rsidRDefault="004E7A14" w:rsidP="004E7A14">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145003EC" w14:textId="7A313002"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B32E21" w14:textId="7A307EA2" w:rsidR="004E7A14" w:rsidRDefault="004E7A14" w:rsidP="004E7A14">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60FD8712" w14:textId="40817525" w:rsidR="004E7A14" w:rsidRDefault="004E7A14" w:rsidP="004E7A14">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7933AAA2" w14:textId="2EECD3CA"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E25F4AC" w14:textId="78D0DB64" w:rsidR="004E7A14" w:rsidRDefault="004E7A14" w:rsidP="004E7A1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1285303" w14:textId="0CA6E605" w:rsidR="004E7A14" w:rsidRDefault="004E7A14" w:rsidP="004E7A14">
            <w:pPr>
              <w:jc w:val="right"/>
              <w:rPr>
                <w:color w:val="000000"/>
                <w:sz w:val="20"/>
                <w:szCs w:val="20"/>
              </w:rPr>
            </w:pPr>
            <w:r>
              <w:rPr>
                <w:color w:val="000000"/>
                <w:sz w:val="20"/>
                <w:szCs w:val="20"/>
              </w:rPr>
              <w:t>0.902</w:t>
            </w:r>
          </w:p>
        </w:tc>
        <w:tc>
          <w:tcPr>
            <w:tcW w:w="768" w:type="dxa"/>
            <w:tcBorders>
              <w:top w:val="nil"/>
              <w:left w:val="nil"/>
              <w:bottom w:val="nil"/>
              <w:right w:val="nil"/>
            </w:tcBorders>
            <w:shd w:val="clear" w:color="auto" w:fill="auto"/>
            <w:noWrap/>
            <w:vAlign w:val="bottom"/>
            <w:hideMark/>
          </w:tcPr>
          <w:p w14:paraId="23055C7A" w14:textId="2DAEF9E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B98B9D" w14:textId="40F3C3E8" w:rsidR="004E7A14" w:rsidRDefault="004E7A14" w:rsidP="004E7A14">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C2DD0F7" w14:textId="0215A1F4" w:rsidR="004E7A14" w:rsidRDefault="004E7A14" w:rsidP="004E7A14">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74B65FC8" w14:textId="0454FFAF" w:rsidR="004E7A14" w:rsidRDefault="004E7A14" w:rsidP="004E7A14">
            <w:pPr>
              <w:jc w:val="right"/>
              <w:rPr>
                <w:color w:val="000000"/>
                <w:sz w:val="20"/>
                <w:szCs w:val="20"/>
              </w:rPr>
            </w:pPr>
            <w:r>
              <w:rPr>
                <w:color w:val="000000"/>
                <w:sz w:val="20"/>
                <w:szCs w:val="20"/>
              </w:rPr>
              <w:t>0.000</w:t>
            </w:r>
          </w:p>
        </w:tc>
      </w:tr>
      <w:tr w:rsidR="004E7A14" w14:paraId="4FC23C32" w14:textId="77777777" w:rsidTr="00CC2214">
        <w:trPr>
          <w:trHeight w:val="320"/>
        </w:trPr>
        <w:tc>
          <w:tcPr>
            <w:tcW w:w="1176" w:type="dxa"/>
            <w:tcBorders>
              <w:top w:val="nil"/>
              <w:left w:val="nil"/>
              <w:bottom w:val="single" w:sz="4" w:space="0" w:color="auto"/>
              <w:right w:val="nil"/>
            </w:tcBorders>
            <w:shd w:val="clear" w:color="auto" w:fill="auto"/>
            <w:noWrap/>
            <w:vAlign w:val="bottom"/>
            <w:hideMark/>
          </w:tcPr>
          <w:p w14:paraId="7F4742C5" w14:textId="77777777" w:rsidR="004E7A14" w:rsidRDefault="004E7A14" w:rsidP="004E7A14">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BD989E2" w14:textId="77777777" w:rsidR="004E7A14" w:rsidRDefault="004E7A14" w:rsidP="004E7A14">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38B88EF" w14:textId="253B0D19" w:rsidR="004E7A14" w:rsidRDefault="004E7A14" w:rsidP="004E7A14">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6B10E69A" w14:textId="6AE65D20" w:rsidR="004E7A14" w:rsidRDefault="004E7A14" w:rsidP="004E7A14">
            <w:pPr>
              <w:jc w:val="right"/>
              <w:rPr>
                <w:color w:val="000000"/>
                <w:sz w:val="20"/>
                <w:szCs w:val="20"/>
              </w:rPr>
            </w:pPr>
            <w:r>
              <w:rPr>
                <w:color w:val="000000"/>
                <w:sz w:val="20"/>
                <w:szCs w:val="20"/>
              </w:rPr>
              <w:t>0.737</w:t>
            </w:r>
          </w:p>
        </w:tc>
        <w:tc>
          <w:tcPr>
            <w:tcW w:w="768" w:type="dxa"/>
            <w:tcBorders>
              <w:top w:val="nil"/>
              <w:left w:val="nil"/>
              <w:bottom w:val="single" w:sz="4" w:space="0" w:color="auto"/>
              <w:right w:val="nil"/>
            </w:tcBorders>
            <w:shd w:val="clear" w:color="auto" w:fill="auto"/>
            <w:noWrap/>
            <w:vAlign w:val="bottom"/>
            <w:hideMark/>
          </w:tcPr>
          <w:p w14:paraId="026BA17A" w14:textId="7481F1E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61E7ECA" w14:textId="49B2FD4F" w:rsidR="004E7A14" w:rsidRDefault="004E7A14" w:rsidP="004E7A14">
            <w:pPr>
              <w:jc w:val="right"/>
              <w:rPr>
                <w:color w:val="000000"/>
                <w:sz w:val="20"/>
                <w:szCs w:val="20"/>
              </w:rPr>
            </w:pPr>
            <w:r>
              <w:rPr>
                <w:color w:val="000000"/>
                <w:sz w:val="20"/>
                <w:szCs w:val="20"/>
              </w:rPr>
              <w:t>-0.099</w:t>
            </w:r>
          </w:p>
        </w:tc>
        <w:tc>
          <w:tcPr>
            <w:tcW w:w="768" w:type="dxa"/>
            <w:tcBorders>
              <w:top w:val="nil"/>
              <w:left w:val="nil"/>
              <w:bottom w:val="single" w:sz="4" w:space="0" w:color="auto"/>
              <w:right w:val="nil"/>
            </w:tcBorders>
            <w:shd w:val="clear" w:color="auto" w:fill="auto"/>
            <w:noWrap/>
            <w:vAlign w:val="bottom"/>
            <w:hideMark/>
          </w:tcPr>
          <w:p w14:paraId="0AF2F171" w14:textId="63A7A800" w:rsidR="004E7A14" w:rsidRDefault="004E7A14" w:rsidP="004E7A14">
            <w:pPr>
              <w:jc w:val="right"/>
              <w:rPr>
                <w:color w:val="000000"/>
                <w:sz w:val="20"/>
                <w:szCs w:val="20"/>
              </w:rPr>
            </w:pPr>
            <w:r>
              <w:rPr>
                <w:color w:val="000000"/>
                <w:sz w:val="20"/>
                <w:szCs w:val="20"/>
              </w:rPr>
              <w:t>0.072</w:t>
            </w:r>
          </w:p>
        </w:tc>
        <w:tc>
          <w:tcPr>
            <w:tcW w:w="768" w:type="dxa"/>
            <w:tcBorders>
              <w:top w:val="nil"/>
              <w:left w:val="nil"/>
              <w:bottom w:val="single" w:sz="4" w:space="0" w:color="auto"/>
              <w:right w:val="nil"/>
            </w:tcBorders>
            <w:shd w:val="clear" w:color="auto" w:fill="auto"/>
            <w:noWrap/>
            <w:vAlign w:val="bottom"/>
            <w:hideMark/>
          </w:tcPr>
          <w:p w14:paraId="25252F61" w14:textId="36C3EF3E" w:rsidR="004E7A14" w:rsidRDefault="004E7A14" w:rsidP="004E7A14">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1E975FFA" w14:textId="308BA1B4" w:rsidR="004E7A14" w:rsidRDefault="004E7A14" w:rsidP="004E7A14">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3049B517" w14:textId="33F07E05" w:rsidR="004E7A14" w:rsidRDefault="004E7A14" w:rsidP="004E7A14">
            <w:pPr>
              <w:jc w:val="right"/>
              <w:rPr>
                <w:color w:val="000000"/>
                <w:sz w:val="20"/>
                <w:szCs w:val="20"/>
              </w:rPr>
            </w:pPr>
            <w:r>
              <w:rPr>
                <w:color w:val="000000"/>
                <w:sz w:val="20"/>
                <w:szCs w:val="20"/>
              </w:rPr>
              <w:t>0.654</w:t>
            </w:r>
          </w:p>
        </w:tc>
        <w:tc>
          <w:tcPr>
            <w:tcW w:w="768" w:type="dxa"/>
            <w:tcBorders>
              <w:top w:val="nil"/>
              <w:left w:val="nil"/>
              <w:bottom w:val="single" w:sz="4" w:space="0" w:color="auto"/>
              <w:right w:val="nil"/>
            </w:tcBorders>
            <w:shd w:val="clear" w:color="auto" w:fill="auto"/>
            <w:noWrap/>
            <w:vAlign w:val="bottom"/>
            <w:hideMark/>
          </w:tcPr>
          <w:p w14:paraId="16B500D6" w14:textId="4B0CFD0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8EDBE2D" w14:textId="63B8A12E" w:rsidR="004E7A14" w:rsidRDefault="004E7A14" w:rsidP="004E7A14">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13A5932D" w14:textId="1B384C2C" w:rsidR="004E7A14" w:rsidRDefault="004E7A14" w:rsidP="004E7A14">
            <w:pPr>
              <w:jc w:val="right"/>
              <w:rPr>
                <w:color w:val="000000"/>
                <w:sz w:val="20"/>
                <w:szCs w:val="20"/>
              </w:rPr>
            </w:pPr>
            <w:r>
              <w:rPr>
                <w:color w:val="000000"/>
                <w:sz w:val="20"/>
                <w:szCs w:val="20"/>
              </w:rPr>
              <w:t>0.933</w:t>
            </w:r>
          </w:p>
        </w:tc>
        <w:tc>
          <w:tcPr>
            <w:tcW w:w="768" w:type="dxa"/>
            <w:tcBorders>
              <w:top w:val="nil"/>
              <w:left w:val="nil"/>
              <w:bottom w:val="single" w:sz="4" w:space="0" w:color="auto"/>
              <w:right w:val="nil"/>
            </w:tcBorders>
            <w:shd w:val="clear" w:color="auto" w:fill="auto"/>
            <w:noWrap/>
            <w:vAlign w:val="bottom"/>
            <w:hideMark/>
          </w:tcPr>
          <w:p w14:paraId="520BDC1F" w14:textId="713C2F6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C0862A3" w14:textId="275C8AE6" w:rsidR="004E7A14" w:rsidRDefault="004E7A14" w:rsidP="004E7A14">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58BCC4BB" w14:textId="2E6177F2" w:rsidR="004E7A14" w:rsidRDefault="004E7A14" w:rsidP="004E7A14">
            <w:pPr>
              <w:jc w:val="right"/>
              <w:rPr>
                <w:color w:val="000000"/>
                <w:sz w:val="20"/>
                <w:szCs w:val="20"/>
              </w:rPr>
            </w:pPr>
            <w:r>
              <w:rPr>
                <w:color w:val="000000"/>
                <w:sz w:val="20"/>
                <w:szCs w:val="20"/>
              </w:rPr>
              <w:t>0.976</w:t>
            </w:r>
          </w:p>
        </w:tc>
        <w:tc>
          <w:tcPr>
            <w:tcW w:w="768" w:type="dxa"/>
            <w:tcBorders>
              <w:top w:val="nil"/>
              <w:left w:val="nil"/>
              <w:bottom w:val="single" w:sz="4" w:space="0" w:color="auto"/>
              <w:right w:val="nil"/>
            </w:tcBorders>
            <w:shd w:val="clear" w:color="auto" w:fill="auto"/>
            <w:noWrap/>
            <w:vAlign w:val="bottom"/>
            <w:hideMark/>
          </w:tcPr>
          <w:p w14:paraId="5CD418A4" w14:textId="6D2127C2" w:rsidR="004E7A14" w:rsidRDefault="004E7A14" w:rsidP="004E7A14">
            <w:pPr>
              <w:jc w:val="right"/>
              <w:rPr>
                <w:color w:val="000000"/>
                <w:sz w:val="20"/>
                <w:szCs w:val="20"/>
              </w:rPr>
            </w:pPr>
            <w:r>
              <w:rPr>
                <w:color w:val="000000"/>
                <w:sz w:val="20"/>
                <w:szCs w:val="20"/>
              </w:rPr>
              <w:t>0.000</w:t>
            </w:r>
          </w:p>
        </w:tc>
      </w:tr>
      <w:tr w:rsidR="004E7A14" w14:paraId="32F31D22" w14:textId="77777777" w:rsidTr="00CC2214">
        <w:trPr>
          <w:trHeight w:val="320"/>
        </w:trPr>
        <w:tc>
          <w:tcPr>
            <w:tcW w:w="1176" w:type="dxa"/>
            <w:tcBorders>
              <w:top w:val="nil"/>
              <w:left w:val="nil"/>
              <w:bottom w:val="nil"/>
              <w:right w:val="nil"/>
            </w:tcBorders>
            <w:shd w:val="clear" w:color="auto" w:fill="auto"/>
            <w:noWrap/>
            <w:vAlign w:val="bottom"/>
            <w:hideMark/>
          </w:tcPr>
          <w:p w14:paraId="698C243A" w14:textId="77777777" w:rsidR="004E7A14" w:rsidRDefault="004E7A14" w:rsidP="004E7A14">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4056ABA6" w14:textId="77777777" w:rsidR="004E7A14" w:rsidRDefault="004E7A14" w:rsidP="004E7A14">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803CC54" w14:textId="797B1321" w:rsidR="004E7A14" w:rsidRDefault="004E7A14" w:rsidP="004E7A14">
            <w:pPr>
              <w:jc w:val="right"/>
              <w:rPr>
                <w:b/>
                <w:bCs/>
                <w:color w:val="000000"/>
                <w:sz w:val="20"/>
                <w:szCs w:val="20"/>
              </w:rPr>
            </w:pPr>
            <w:r>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24C2A83B" w14:textId="031D41EF"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ABCA09F" w14:textId="376B197C" w:rsidR="004E7A14" w:rsidRPr="004E7A14" w:rsidRDefault="004E7A14" w:rsidP="004E7A14">
            <w:pPr>
              <w:jc w:val="right"/>
              <w:rPr>
                <w:b/>
                <w:bCs/>
                <w:color w:val="000000"/>
                <w:sz w:val="20"/>
                <w:szCs w:val="20"/>
              </w:rPr>
            </w:pPr>
            <w:r w:rsidRPr="004E7A14">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116ACEA7" w14:textId="58925E9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869CCE" w14:textId="0D975F91" w:rsidR="004E7A14" w:rsidRDefault="004E7A14" w:rsidP="004E7A14">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4C3A7742" w14:textId="6301B587"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FDF272" w14:textId="6C5662E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4AE698" w14:textId="13073F50" w:rsidR="004E7A14" w:rsidRDefault="004E7A14" w:rsidP="004E7A14">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3A7D0D57" w14:textId="6C2A1BBD"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759E51" w14:textId="3EDA40F8"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D476FDA" w14:textId="201FBF64" w:rsidR="004E7A14" w:rsidRDefault="004E7A14" w:rsidP="004E7A14">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789AE3A5" w14:textId="3CCD7BD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1C2EE5" w14:textId="7B47A98C" w:rsidR="004E7A14" w:rsidRDefault="004E7A14" w:rsidP="004E7A14">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793FEE11" w14:textId="4A5EE6D2" w:rsidR="004E7A14" w:rsidRDefault="004E7A14" w:rsidP="004E7A14">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249CEB14" w14:textId="1BC50DE1" w:rsidR="004E7A14" w:rsidRDefault="004E7A14" w:rsidP="004E7A14">
            <w:pPr>
              <w:jc w:val="right"/>
              <w:rPr>
                <w:color w:val="000000"/>
                <w:sz w:val="20"/>
                <w:szCs w:val="20"/>
              </w:rPr>
            </w:pPr>
            <w:r>
              <w:rPr>
                <w:color w:val="000000"/>
                <w:sz w:val="20"/>
                <w:szCs w:val="20"/>
              </w:rPr>
              <w:t>0.000</w:t>
            </w:r>
          </w:p>
        </w:tc>
      </w:tr>
      <w:tr w:rsidR="004E7A14" w14:paraId="75B7BD4F" w14:textId="77777777" w:rsidTr="00CC2214">
        <w:trPr>
          <w:trHeight w:val="320"/>
        </w:trPr>
        <w:tc>
          <w:tcPr>
            <w:tcW w:w="1176" w:type="dxa"/>
            <w:tcBorders>
              <w:top w:val="nil"/>
              <w:left w:val="nil"/>
              <w:bottom w:val="nil"/>
              <w:right w:val="nil"/>
            </w:tcBorders>
            <w:shd w:val="clear" w:color="auto" w:fill="auto"/>
            <w:noWrap/>
            <w:vAlign w:val="bottom"/>
            <w:hideMark/>
          </w:tcPr>
          <w:p w14:paraId="33B1640A"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757A06F" w14:textId="77777777" w:rsidR="004E7A14" w:rsidRDefault="004E7A14" w:rsidP="004E7A1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7B2A322" w14:textId="5CDEA43A" w:rsidR="004E7A14" w:rsidRDefault="004E7A14" w:rsidP="004E7A1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B291CE7" w14:textId="49BAE9D1" w:rsidR="004E7A14" w:rsidRDefault="004E7A14" w:rsidP="004E7A14">
            <w:pPr>
              <w:jc w:val="right"/>
              <w:rPr>
                <w:color w:val="000000"/>
                <w:sz w:val="20"/>
                <w:szCs w:val="20"/>
              </w:rPr>
            </w:pPr>
            <w:r>
              <w:rPr>
                <w:color w:val="000000"/>
                <w:sz w:val="20"/>
                <w:szCs w:val="20"/>
              </w:rPr>
              <w:t>0.521</w:t>
            </w:r>
          </w:p>
        </w:tc>
        <w:tc>
          <w:tcPr>
            <w:tcW w:w="768" w:type="dxa"/>
            <w:tcBorders>
              <w:top w:val="nil"/>
              <w:left w:val="nil"/>
              <w:bottom w:val="nil"/>
              <w:right w:val="nil"/>
            </w:tcBorders>
            <w:shd w:val="clear" w:color="auto" w:fill="auto"/>
            <w:noWrap/>
            <w:vAlign w:val="bottom"/>
            <w:hideMark/>
          </w:tcPr>
          <w:p w14:paraId="5346A3AE" w14:textId="429FB26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023B47" w14:textId="19818624" w:rsidR="004E7A14" w:rsidRDefault="004E7A14" w:rsidP="004E7A1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8A8F04D" w14:textId="42EA6FFB" w:rsidR="004E7A14" w:rsidRDefault="004E7A14" w:rsidP="004E7A14">
            <w:pPr>
              <w:jc w:val="right"/>
              <w:rPr>
                <w:color w:val="000000"/>
                <w:sz w:val="20"/>
                <w:szCs w:val="20"/>
              </w:rPr>
            </w:pPr>
            <w:r>
              <w:rPr>
                <w:color w:val="000000"/>
                <w:sz w:val="20"/>
                <w:szCs w:val="20"/>
              </w:rPr>
              <w:t>0.429</w:t>
            </w:r>
          </w:p>
        </w:tc>
        <w:tc>
          <w:tcPr>
            <w:tcW w:w="768" w:type="dxa"/>
            <w:tcBorders>
              <w:top w:val="nil"/>
              <w:left w:val="nil"/>
              <w:bottom w:val="nil"/>
              <w:right w:val="nil"/>
            </w:tcBorders>
            <w:shd w:val="clear" w:color="auto" w:fill="auto"/>
            <w:noWrap/>
            <w:vAlign w:val="bottom"/>
            <w:hideMark/>
          </w:tcPr>
          <w:p w14:paraId="3417AE30" w14:textId="671170DF"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B8236B7" w14:textId="361619A0"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D79C4B4" w14:textId="5D8ADF36" w:rsidR="004E7A14" w:rsidRDefault="004E7A14" w:rsidP="004E7A14">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637BE609" w14:textId="6A005D95"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34CD66" w14:textId="16E05CFC" w:rsidR="004E7A14" w:rsidRDefault="004E7A14" w:rsidP="004E7A14">
            <w:pPr>
              <w:jc w:val="right"/>
              <w:rPr>
                <w:b/>
                <w:bCs/>
                <w:color w:val="000000"/>
                <w:sz w:val="20"/>
                <w:szCs w:val="20"/>
              </w:rPr>
            </w:pPr>
            <w:r>
              <w:rPr>
                <w:b/>
                <w:bCs/>
                <w:color w:val="000000"/>
                <w:sz w:val="20"/>
                <w:szCs w:val="20"/>
              </w:rPr>
              <w:t>-0.060</w:t>
            </w:r>
          </w:p>
        </w:tc>
        <w:tc>
          <w:tcPr>
            <w:tcW w:w="768" w:type="dxa"/>
            <w:tcBorders>
              <w:top w:val="nil"/>
              <w:left w:val="nil"/>
              <w:bottom w:val="nil"/>
              <w:right w:val="nil"/>
            </w:tcBorders>
            <w:shd w:val="clear" w:color="auto" w:fill="auto"/>
            <w:noWrap/>
            <w:vAlign w:val="bottom"/>
            <w:hideMark/>
          </w:tcPr>
          <w:p w14:paraId="3BB88BA3" w14:textId="3B010DBF" w:rsidR="004E7A14" w:rsidRDefault="004E7A14" w:rsidP="004E7A14">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31D1ADEE" w14:textId="6B978EA0" w:rsidR="004E7A14" w:rsidRDefault="004E7A14" w:rsidP="004E7A14">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540A4266" w14:textId="3F7C71AF" w:rsidR="004E7A14" w:rsidRDefault="004E7A14" w:rsidP="004E7A14">
            <w:pPr>
              <w:jc w:val="right"/>
              <w:rPr>
                <w:b/>
                <w:bCs/>
                <w:color w:val="000000"/>
                <w:sz w:val="20"/>
                <w:szCs w:val="20"/>
              </w:rPr>
            </w:pPr>
            <w:r>
              <w:rPr>
                <w:b/>
                <w:bCs/>
                <w:color w:val="000000"/>
                <w:sz w:val="20"/>
                <w:szCs w:val="20"/>
              </w:rPr>
              <w:t>0.084</w:t>
            </w:r>
          </w:p>
        </w:tc>
        <w:tc>
          <w:tcPr>
            <w:tcW w:w="768" w:type="dxa"/>
            <w:tcBorders>
              <w:top w:val="nil"/>
              <w:left w:val="nil"/>
              <w:bottom w:val="nil"/>
              <w:right w:val="nil"/>
            </w:tcBorders>
            <w:shd w:val="clear" w:color="auto" w:fill="auto"/>
            <w:noWrap/>
            <w:vAlign w:val="bottom"/>
            <w:hideMark/>
          </w:tcPr>
          <w:p w14:paraId="28A23313" w14:textId="4B7BFD1A" w:rsidR="004E7A14" w:rsidRDefault="004E7A14" w:rsidP="004E7A1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18E2895" w14:textId="7FF70FAD" w:rsidR="004E7A14" w:rsidRDefault="004E7A14" w:rsidP="004E7A14">
            <w:pPr>
              <w:jc w:val="right"/>
              <w:rPr>
                <w:color w:val="000000"/>
                <w:sz w:val="20"/>
                <w:szCs w:val="20"/>
              </w:rPr>
            </w:pPr>
            <w:r>
              <w:rPr>
                <w:b/>
                <w:bCs/>
                <w:color w:val="000000"/>
                <w:sz w:val="20"/>
                <w:szCs w:val="20"/>
              </w:rPr>
              <w:t>0.007</w:t>
            </w:r>
          </w:p>
        </w:tc>
      </w:tr>
      <w:tr w:rsidR="004E7A14" w14:paraId="7FD05D20" w14:textId="77777777" w:rsidTr="00CC2214">
        <w:trPr>
          <w:trHeight w:val="320"/>
        </w:trPr>
        <w:tc>
          <w:tcPr>
            <w:tcW w:w="1176" w:type="dxa"/>
            <w:tcBorders>
              <w:top w:val="nil"/>
              <w:left w:val="nil"/>
              <w:bottom w:val="nil"/>
              <w:right w:val="nil"/>
            </w:tcBorders>
            <w:shd w:val="clear" w:color="auto" w:fill="auto"/>
            <w:noWrap/>
            <w:vAlign w:val="bottom"/>
            <w:hideMark/>
          </w:tcPr>
          <w:p w14:paraId="24E6702B"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769EDD3" w14:textId="77777777" w:rsidR="004E7A14" w:rsidRDefault="004E7A14" w:rsidP="004E7A1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5D58713" w14:textId="4F40A68A"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ABD26D" w14:textId="3E16AA80" w:rsidR="004E7A14" w:rsidRDefault="004E7A14" w:rsidP="004E7A14">
            <w:pPr>
              <w:jc w:val="right"/>
              <w:rPr>
                <w:color w:val="000000"/>
                <w:sz w:val="20"/>
                <w:szCs w:val="20"/>
              </w:rPr>
            </w:pPr>
            <w:r>
              <w:rPr>
                <w:color w:val="000000"/>
                <w:sz w:val="20"/>
                <w:szCs w:val="20"/>
              </w:rPr>
              <w:t>0.963</w:t>
            </w:r>
          </w:p>
        </w:tc>
        <w:tc>
          <w:tcPr>
            <w:tcW w:w="768" w:type="dxa"/>
            <w:tcBorders>
              <w:top w:val="nil"/>
              <w:left w:val="nil"/>
              <w:bottom w:val="nil"/>
              <w:right w:val="nil"/>
            </w:tcBorders>
            <w:shd w:val="clear" w:color="auto" w:fill="auto"/>
            <w:noWrap/>
            <w:vAlign w:val="bottom"/>
            <w:hideMark/>
          </w:tcPr>
          <w:p w14:paraId="29B45014" w14:textId="08E0F5C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70D6C0" w14:textId="26375310" w:rsidR="004E7A14" w:rsidRDefault="004E7A14" w:rsidP="004E7A14">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4EB422A" w14:textId="75C7541E" w:rsidR="004E7A14" w:rsidRDefault="004E7A14" w:rsidP="004E7A14">
            <w:pPr>
              <w:jc w:val="right"/>
              <w:rPr>
                <w:color w:val="000000"/>
                <w:sz w:val="20"/>
                <w:szCs w:val="20"/>
              </w:rPr>
            </w:pPr>
            <w:r>
              <w:rPr>
                <w:color w:val="000000"/>
                <w:sz w:val="20"/>
                <w:szCs w:val="20"/>
              </w:rPr>
              <w:t>0.772</w:t>
            </w:r>
          </w:p>
        </w:tc>
        <w:tc>
          <w:tcPr>
            <w:tcW w:w="768" w:type="dxa"/>
            <w:tcBorders>
              <w:top w:val="nil"/>
              <w:left w:val="nil"/>
              <w:bottom w:val="nil"/>
              <w:right w:val="nil"/>
            </w:tcBorders>
            <w:shd w:val="clear" w:color="auto" w:fill="auto"/>
            <w:noWrap/>
            <w:vAlign w:val="bottom"/>
            <w:hideMark/>
          </w:tcPr>
          <w:p w14:paraId="60562ADC" w14:textId="57E1CD2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B71F73" w14:textId="6672667D"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3E5D56" w14:textId="29682AE6" w:rsidR="004E7A14" w:rsidRDefault="004E7A14" w:rsidP="004E7A14">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538F8EEC" w14:textId="40CCDEF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6AD60A" w14:textId="42873EE5" w:rsidR="004E7A14" w:rsidRDefault="004E7A14" w:rsidP="004E7A14">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2EA22376" w14:textId="53B34421" w:rsidR="004E7A14" w:rsidRDefault="004E7A14" w:rsidP="004E7A14">
            <w:pPr>
              <w:jc w:val="right"/>
              <w:rPr>
                <w:color w:val="000000"/>
                <w:sz w:val="20"/>
                <w:szCs w:val="20"/>
              </w:rPr>
            </w:pPr>
            <w:r>
              <w:rPr>
                <w:color w:val="000000"/>
                <w:sz w:val="20"/>
                <w:szCs w:val="20"/>
              </w:rPr>
              <w:t>0.245</w:t>
            </w:r>
          </w:p>
        </w:tc>
        <w:tc>
          <w:tcPr>
            <w:tcW w:w="768" w:type="dxa"/>
            <w:tcBorders>
              <w:top w:val="nil"/>
              <w:left w:val="nil"/>
              <w:bottom w:val="nil"/>
              <w:right w:val="nil"/>
            </w:tcBorders>
            <w:shd w:val="clear" w:color="auto" w:fill="auto"/>
            <w:noWrap/>
            <w:vAlign w:val="bottom"/>
            <w:hideMark/>
          </w:tcPr>
          <w:p w14:paraId="1D3739F0" w14:textId="60AB85D8"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AB67E62" w14:textId="7430E7AE" w:rsidR="004E7A14" w:rsidRDefault="004E7A14" w:rsidP="004E7A14">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761B5967" w14:textId="6ED26B23" w:rsidR="004E7A14" w:rsidRDefault="004E7A14" w:rsidP="004E7A14">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1241C287" w14:textId="55EF00EA" w:rsidR="004E7A14" w:rsidRDefault="004E7A14" w:rsidP="004E7A14">
            <w:pPr>
              <w:jc w:val="right"/>
              <w:rPr>
                <w:color w:val="000000"/>
                <w:sz w:val="20"/>
                <w:szCs w:val="20"/>
              </w:rPr>
            </w:pPr>
            <w:r>
              <w:rPr>
                <w:color w:val="000000"/>
                <w:sz w:val="20"/>
                <w:szCs w:val="20"/>
              </w:rPr>
              <w:t>0.001</w:t>
            </w:r>
          </w:p>
        </w:tc>
      </w:tr>
      <w:tr w:rsidR="004E7A14" w14:paraId="6FA6C23A" w14:textId="77777777" w:rsidTr="00CC2214">
        <w:trPr>
          <w:trHeight w:val="320"/>
        </w:trPr>
        <w:tc>
          <w:tcPr>
            <w:tcW w:w="1176" w:type="dxa"/>
            <w:tcBorders>
              <w:top w:val="nil"/>
              <w:left w:val="nil"/>
              <w:bottom w:val="nil"/>
              <w:right w:val="nil"/>
            </w:tcBorders>
            <w:shd w:val="clear" w:color="auto" w:fill="auto"/>
            <w:noWrap/>
            <w:vAlign w:val="bottom"/>
            <w:hideMark/>
          </w:tcPr>
          <w:p w14:paraId="77919BA5"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0CEF12" w14:textId="77777777" w:rsidR="004E7A14" w:rsidRDefault="004E7A14" w:rsidP="004E7A1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33C4F32" w14:textId="05EF61E0" w:rsidR="004E7A14" w:rsidRDefault="004E7A14" w:rsidP="004E7A14">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BB6F9D9" w14:textId="1CBB2D53" w:rsidR="004E7A14" w:rsidRDefault="004E7A14" w:rsidP="004E7A14">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059BB4A8" w14:textId="03EC788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6E34B3" w14:textId="0EDD9DC1"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BE87C30" w14:textId="124F9FD5" w:rsidR="004E7A14" w:rsidRDefault="004E7A14" w:rsidP="004E7A14">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60F10A03" w14:textId="65FFA63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1A075C" w14:textId="5F8D35A2" w:rsidR="004E7A14" w:rsidRDefault="004E7A14" w:rsidP="004E7A1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39907F8" w14:textId="4C6EE8F2" w:rsidR="004E7A14" w:rsidRDefault="004E7A14" w:rsidP="004E7A14">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50D3B419" w14:textId="42A88EEA"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B0F86C" w14:textId="520BB02B" w:rsidR="004E7A14" w:rsidRDefault="004E7A14" w:rsidP="004E7A14">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437432A" w14:textId="28CAA1C7" w:rsidR="004E7A14" w:rsidRDefault="004E7A14" w:rsidP="004E7A14">
            <w:pPr>
              <w:jc w:val="right"/>
              <w:rPr>
                <w:color w:val="000000"/>
                <w:sz w:val="20"/>
                <w:szCs w:val="20"/>
              </w:rPr>
            </w:pPr>
            <w:r>
              <w:rPr>
                <w:color w:val="000000"/>
                <w:sz w:val="20"/>
                <w:szCs w:val="20"/>
              </w:rPr>
              <w:t>0.419</w:t>
            </w:r>
          </w:p>
        </w:tc>
        <w:tc>
          <w:tcPr>
            <w:tcW w:w="768" w:type="dxa"/>
            <w:tcBorders>
              <w:top w:val="nil"/>
              <w:left w:val="nil"/>
              <w:bottom w:val="nil"/>
              <w:right w:val="nil"/>
            </w:tcBorders>
            <w:shd w:val="clear" w:color="auto" w:fill="auto"/>
            <w:noWrap/>
            <w:vAlign w:val="bottom"/>
            <w:hideMark/>
          </w:tcPr>
          <w:p w14:paraId="07188CBC" w14:textId="09166852"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DBC01E" w14:textId="6BA8DAF0" w:rsidR="004E7A14" w:rsidRDefault="004E7A14" w:rsidP="004E7A14">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066251A" w14:textId="15402815" w:rsidR="004E7A14" w:rsidRDefault="004E7A14" w:rsidP="004E7A14">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59AA26FE" w14:textId="31CD1981" w:rsidR="004E7A14" w:rsidRDefault="004E7A14" w:rsidP="004E7A14">
            <w:pPr>
              <w:jc w:val="right"/>
              <w:rPr>
                <w:color w:val="000000"/>
                <w:sz w:val="20"/>
                <w:szCs w:val="20"/>
              </w:rPr>
            </w:pPr>
            <w:r>
              <w:rPr>
                <w:color w:val="000000"/>
                <w:sz w:val="20"/>
                <w:szCs w:val="20"/>
              </w:rPr>
              <w:t>0.000</w:t>
            </w:r>
          </w:p>
        </w:tc>
      </w:tr>
      <w:tr w:rsidR="004E7A14" w14:paraId="2CD337B6" w14:textId="77777777" w:rsidTr="00CC2214">
        <w:trPr>
          <w:trHeight w:val="320"/>
        </w:trPr>
        <w:tc>
          <w:tcPr>
            <w:tcW w:w="1176" w:type="dxa"/>
            <w:tcBorders>
              <w:top w:val="nil"/>
              <w:left w:val="nil"/>
              <w:bottom w:val="nil"/>
              <w:right w:val="nil"/>
            </w:tcBorders>
            <w:shd w:val="clear" w:color="auto" w:fill="auto"/>
            <w:noWrap/>
            <w:vAlign w:val="bottom"/>
            <w:hideMark/>
          </w:tcPr>
          <w:p w14:paraId="6B7610BF"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B6D5BF6" w14:textId="77777777" w:rsidR="004E7A14" w:rsidRDefault="004E7A14" w:rsidP="004E7A1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D6DA77D" w14:textId="66D71CD5" w:rsidR="004E7A14" w:rsidRDefault="004E7A14" w:rsidP="004E7A14">
            <w:pPr>
              <w:jc w:val="right"/>
              <w:rPr>
                <w:b/>
                <w:bCs/>
                <w:color w:val="000000"/>
                <w:sz w:val="20"/>
                <w:szCs w:val="20"/>
              </w:rPr>
            </w:pPr>
            <w:r>
              <w:rPr>
                <w:b/>
                <w:bCs/>
                <w:color w:val="000000"/>
                <w:sz w:val="20"/>
                <w:szCs w:val="20"/>
              </w:rPr>
              <w:t>-0.074</w:t>
            </w:r>
          </w:p>
        </w:tc>
        <w:tc>
          <w:tcPr>
            <w:tcW w:w="768" w:type="dxa"/>
            <w:tcBorders>
              <w:top w:val="nil"/>
              <w:left w:val="nil"/>
              <w:bottom w:val="nil"/>
              <w:right w:val="nil"/>
            </w:tcBorders>
            <w:shd w:val="clear" w:color="auto" w:fill="auto"/>
            <w:noWrap/>
            <w:vAlign w:val="bottom"/>
            <w:hideMark/>
          </w:tcPr>
          <w:p w14:paraId="12BF25F4" w14:textId="13725425" w:rsidR="004E7A14" w:rsidRDefault="004E7A14" w:rsidP="004E7A1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A1FB651" w14:textId="0272B904" w:rsidR="004E7A14" w:rsidRDefault="004E7A14" w:rsidP="004E7A14">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3DA20F80" w14:textId="0E657418" w:rsidR="004E7A14" w:rsidRDefault="004E7A14" w:rsidP="004E7A14">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D3985AF" w14:textId="1DDE097B" w:rsidR="004E7A14" w:rsidRDefault="004E7A14" w:rsidP="004E7A14">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72CA386D" w14:textId="2EEC1917"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2E3B418" w14:textId="247656DE" w:rsidR="004E7A14" w:rsidRDefault="004E7A14" w:rsidP="004E7A14">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0480D85C" w14:textId="7B295FAD" w:rsidR="004E7A14" w:rsidRDefault="004E7A14" w:rsidP="004E7A14">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5DF8FA84" w14:textId="5BF197A5"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3AF8387" w14:textId="440CA677" w:rsidR="004E7A14" w:rsidRDefault="004E7A14" w:rsidP="004E7A1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F55A942" w14:textId="1ED14E10" w:rsidR="004E7A14" w:rsidRDefault="004E7A14" w:rsidP="004E7A14">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444B334D" w14:textId="19C8A97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FBE139" w14:textId="6637146E" w:rsidR="004E7A14" w:rsidRDefault="004E7A14" w:rsidP="004E7A1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0FC0FCA" w14:textId="2AF1EB6A" w:rsidR="004E7A14" w:rsidRDefault="004E7A14" w:rsidP="004E7A14">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20F6882F" w14:textId="5FFFB5B6" w:rsidR="004E7A14" w:rsidRDefault="004E7A14" w:rsidP="004E7A14">
            <w:pPr>
              <w:jc w:val="right"/>
              <w:rPr>
                <w:color w:val="000000"/>
                <w:sz w:val="20"/>
                <w:szCs w:val="20"/>
              </w:rPr>
            </w:pPr>
            <w:r>
              <w:rPr>
                <w:color w:val="000000"/>
                <w:sz w:val="20"/>
                <w:szCs w:val="20"/>
              </w:rPr>
              <w:t>0.000</w:t>
            </w:r>
          </w:p>
        </w:tc>
      </w:tr>
      <w:tr w:rsidR="004E7A14" w14:paraId="48298D7E" w14:textId="77777777" w:rsidTr="00CC2214">
        <w:trPr>
          <w:trHeight w:val="320"/>
        </w:trPr>
        <w:tc>
          <w:tcPr>
            <w:tcW w:w="1176" w:type="dxa"/>
            <w:tcBorders>
              <w:top w:val="nil"/>
              <w:left w:val="nil"/>
              <w:bottom w:val="nil"/>
              <w:right w:val="nil"/>
            </w:tcBorders>
            <w:shd w:val="clear" w:color="auto" w:fill="auto"/>
            <w:noWrap/>
            <w:vAlign w:val="bottom"/>
            <w:hideMark/>
          </w:tcPr>
          <w:p w14:paraId="3E0D0348"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443A38C" w14:textId="77777777" w:rsidR="004E7A14" w:rsidRDefault="004E7A14" w:rsidP="004E7A1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1E5E2CB" w14:textId="20466E5E" w:rsidR="004E7A14" w:rsidRDefault="004E7A14" w:rsidP="004E7A14">
            <w:pPr>
              <w:jc w:val="right"/>
              <w:rPr>
                <w:b/>
                <w:bCs/>
                <w:color w:val="000000"/>
                <w:sz w:val="20"/>
                <w:szCs w:val="20"/>
              </w:rPr>
            </w:pPr>
            <w:r>
              <w:rPr>
                <w:b/>
                <w:bCs/>
                <w:color w:val="000000"/>
                <w:sz w:val="20"/>
                <w:szCs w:val="20"/>
              </w:rPr>
              <w:t>0.068</w:t>
            </w:r>
          </w:p>
        </w:tc>
        <w:tc>
          <w:tcPr>
            <w:tcW w:w="768" w:type="dxa"/>
            <w:tcBorders>
              <w:top w:val="nil"/>
              <w:left w:val="nil"/>
              <w:bottom w:val="nil"/>
              <w:right w:val="nil"/>
            </w:tcBorders>
            <w:shd w:val="clear" w:color="auto" w:fill="auto"/>
            <w:noWrap/>
            <w:vAlign w:val="bottom"/>
            <w:hideMark/>
          </w:tcPr>
          <w:p w14:paraId="6B3A2A4F" w14:textId="5A59FF34" w:rsidR="004E7A14" w:rsidRDefault="004E7A14" w:rsidP="004E7A1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1760B1E" w14:textId="278D4458" w:rsidR="004E7A14" w:rsidRDefault="004E7A14" w:rsidP="004E7A14">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18955664" w14:textId="653B09B3" w:rsidR="004E7A14" w:rsidRDefault="004E7A14" w:rsidP="004E7A14">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342001A9" w14:textId="250498FA" w:rsidR="004E7A14" w:rsidRDefault="004E7A14" w:rsidP="004E7A14">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4AEC873C" w14:textId="4DA5752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0CF6A4" w14:textId="27F6D00C" w:rsidR="004E7A14" w:rsidRDefault="004E7A14" w:rsidP="004E7A1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F5ED65B" w14:textId="5F289077" w:rsidR="004E7A14" w:rsidRDefault="004E7A14" w:rsidP="004E7A14">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545246BC" w14:textId="1C9D241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7086CA" w14:textId="4B97CBD1" w:rsidR="004E7A14" w:rsidRDefault="004E7A14" w:rsidP="004E7A1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EEFF42F" w14:textId="6B1D966C" w:rsidR="004E7A14" w:rsidRDefault="004E7A14" w:rsidP="004E7A14">
            <w:pPr>
              <w:jc w:val="right"/>
              <w:rPr>
                <w:color w:val="000000"/>
                <w:sz w:val="20"/>
                <w:szCs w:val="20"/>
              </w:rPr>
            </w:pPr>
            <w:r>
              <w:rPr>
                <w:color w:val="000000"/>
                <w:sz w:val="20"/>
                <w:szCs w:val="20"/>
              </w:rPr>
              <w:t>0.785</w:t>
            </w:r>
          </w:p>
        </w:tc>
        <w:tc>
          <w:tcPr>
            <w:tcW w:w="768" w:type="dxa"/>
            <w:tcBorders>
              <w:top w:val="nil"/>
              <w:left w:val="nil"/>
              <w:bottom w:val="nil"/>
              <w:right w:val="nil"/>
            </w:tcBorders>
            <w:shd w:val="clear" w:color="auto" w:fill="auto"/>
            <w:noWrap/>
            <w:vAlign w:val="bottom"/>
            <w:hideMark/>
          </w:tcPr>
          <w:p w14:paraId="16779235" w14:textId="21F5DE1D"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30BAA6" w14:textId="4C8725C4"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C75190B" w14:textId="34EC3DCF" w:rsidR="004E7A14" w:rsidRDefault="004E7A14" w:rsidP="004E7A14">
            <w:pPr>
              <w:jc w:val="right"/>
              <w:rPr>
                <w:color w:val="000000"/>
                <w:sz w:val="20"/>
                <w:szCs w:val="20"/>
              </w:rPr>
            </w:pPr>
            <w:r>
              <w:rPr>
                <w:color w:val="000000"/>
                <w:sz w:val="20"/>
                <w:szCs w:val="20"/>
              </w:rPr>
              <w:t>0.858</w:t>
            </w:r>
          </w:p>
        </w:tc>
        <w:tc>
          <w:tcPr>
            <w:tcW w:w="768" w:type="dxa"/>
            <w:tcBorders>
              <w:top w:val="nil"/>
              <w:left w:val="nil"/>
              <w:bottom w:val="nil"/>
              <w:right w:val="nil"/>
            </w:tcBorders>
            <w:shd w:val="clear" w:color="auto" w:fill="auto"/>
            <w:noWrap/>
            <w:vAlign w:val="bottom"/>
            <w:hideMark/>
          </w:tcPr>
          <w:p w14:paraId="134E9151" w14:textId="7355DF11" w:rsidR="004E7A14" w:rsidRDefault="004E7A14" w:rsidP="004E7A14">
            <w:pPr>
              <w:jc w:val="right"/>
              <w:rPr>
                <w:color w:val="000000"/>
                <w:sz w:val="20"/>
                <w:szCs w:val="20"/>
              </w:rPr>
            </w:pPr>
            <w:r>
              <w:rPr>
                <w:color w:val="000000"/>
                <w:sz w:val="20"/>
                <w:szCs w:val="20"/>
              </w:rPr>
              <w:t>0.000</w:t>
            </w:r>
          </w:p>
        </w:tc>
      </w:tr>
      <w:tr w:rsidR="004E7A14" w14:paraId="1B24A0D6" w14:textId="77777777" w:rsidTr="00CC2214">
        <w:trPr>
          <w:trHeight w:val="320"/>
        </w:trPr>
        <w:tc>
          <w:tcPr>
            <w:tcW w:w="1176" w:type="dxa"/>
            <w:tcBorders>
              <w:top w:val="nil"/>
              <w:left w:val="nil"/>
              <w:bottom w:val="nil"/>
              <w:right w:val="nil"/>
            </w:tcBorders>
            <w:shd w:val="clear" w:color="auto" w:fill="auto"/>
            <w:noWrap/>
            <w:vAlign w:val="bottom"/>
            <w:hideMark/>
          </w:tcPr>
          <w:p w14:paraId="7D25F608"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5C9A40" w14:textId="77777777" w:rsidR="004E7A14" w:rsidRDefault="004E7A14" w:rsidP="004E7A1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F966124" w14:textId="0FE3B8AA" w:rsidR="004E7A14" w:rsidRDefault="004E7A14" w:rsidP="004E7A14">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27197E64" w14:textId="06D4D77A" w:rsidR="004E7A14" w:rsidRDefault="004E7A14" w:rsidP="004E7A14">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181293C7" w14:textId="7727860C"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BBBFDC8" w14:textId="5511B6E4" w:rsidR="004E7A14" w:rsidRDefault="004E7A14" w:rsidP="004E7A1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60395E2" w14:textId="21E73FF4" w:rsidR="004E7A14" w:rsidRDefault="004E7A14" w:rsidP="004E7A14">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2299C9BB" w14:textId="286CB5AE"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DCE17B" w14:textId="46903A99" w:rsidR="004E7A14" w:rsidRDefault="004E7A14" w:rsidP="004E7A14">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34C2D74B" w14:textId="6D34A73C" w:rsidR="004E7A14" w:rsidRDefault="004E7A14" w:rsidP="004E7A14">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31CA2726" w14:textId="68D3DF9D"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34CA60C" w14:textId="794BF26A" w:rsidR="004E7A14" w:rsidRDefault="004E7A14" w:rsidP="004E7A14">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1E8AF643" w14:textId="187AAAF1" w:rsidR="004E7A14" w:rsidRDefault="004E7A14" w:rsidP="004E7A14">
            <w:pPr>
              <w:jc w:val="right"/>
              <w:rPr>
                <w:color w:val="000000"/>
                <w:sz w:val="20"/>
                <w:szCs w:val="20"/>
              </w:rPr>
            </w:pPr>
            <w:r>
              <w:rPr>
                <w:color w:val="000000"/>
                <w:sz w:val="20"/>
                <w:szCs w:val="20"/>
              </w:rPr>
              <w:t>0.245</w:t>
            </w:r>
          </w:p>
        </w:tc>
        <w:tc>
          <w:tcPr>
            <w:tcW w:w="768" w:type="dxa"/>
            <w:tcBorders>
              <w:top w:val="nil"/>
              <w:left w:val="nil"/>
              <w:bottom w:val="nil"/>
              <w:right w:val="nil"/>
            </w:tcBorders>
            <w:shd w:val="clear" w:color="auto" w:fill="auto"/>
            <w:noWrap/>
            <w:vAlign w:val="bottom"/>
            <w:hideMark/>
          </w:tcPr>
          <w:p w14:paraId="541626A4" w14:textId="59E336BB"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D54FE8" w14:textId="2621A973" w:rsidR="004E7A14" w:rsidRDefault="004E7A14" w:rsidP="004E7A1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2677636" w14:textId="49A87C02" w:rsidR="004E7A14" w:rsidRDefault="004E7A14" w:rsidP="004E7A14">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162EC412" w14:textId="1D68CD1D" w:rsidR="004E7A14" w:rsidRDefault="004E7A14" w:rsidP="004E7A14">
            <w:pPr>
              <w:jc w:val="right"/>
              <w:rPr>
                <w:color w:val="000000"/>
                <w:sz w:val="20"/>
                <w:szCs w:val="20"/>
              </w:rPr>
            </w:pPr>
            <w:r>
              <w:rPr>
                <w:color w:val="000000"/>
                <w:sz w:val="20"/>
                <w:szCs w:val="20"/>
              </w:rPr>
              <w:t>0.000</w:t>
            </w:r>
          </w:p>
        </w:tc>
      </w:tr>
      <w:tr w:rsidR="004E7A14" w14:paraId="759F94C7" w14:textId="77777777" w:rsidTr="00CC2214">
        <w:trPr>
          <w:trHeight w:val="320"/>
        </w:trPr>
        <w:tc>
          <w:tcPr>
            <w:tcW w:w="1176" w:type="dxa"/>
            <w:tcBorders>
              <w:top w:val="nil"/>
              <w:left w:val="nil"/>
              <w:bottom w:val="single" w:sz="4" w:space="0" w:color="auto"/>
              <w:right w:val="nil"/>
            </w:tcBorders>
            <w:shd w:val="clear" w:color="auto" w:fill="auto"/>
            <w:noWrap/>
            <w:vAlign w:val="bottom"/>
            <w:hideMark/>
          </w:tcPr>
          <w:p w14:paraId="673AF15B" w14:textId="77777777" w:rsidR="004E7A14" w:rsidRDefault="004E7A14" w:rsidP="004E7A14">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B4A1210" w14:textId="77777777" w:rsidR="004E7A14" w:rsidRDefault="004E7A14" w:rsidP="004E7A14">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3A3E021" w14:textId="610D5CBE" w:rsidR="004E7A14" w:rsidRDefault="004E7A14" w:rsidP="004E7A14">
            <w:pPr>
              <w:jc w:val="right"/>
              <w:rPr>
                <w:color w:val="000000"/>
                <w:sz w:val="20"/>
                <w:szCs w:val="20"/>
              </w:rPr>
            </w:pPr>
            <w:r>
              <w:rPr>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00DA368C" w14:textId="544F41B5" w:rsidR="004E7A14" w:rsidRDefault="004E7A14" w:rsidP="004E7A14">
            <w:pPr>
              <w:jc w:val="right"/>
              <w:rPr>
                <w:color w:val="000000"/>
                <w:sz w:val="20"/>
                <w:szCs w:val="20"/>
              </w:rPr>
            </w:pPr>
            <w:r>
              <w:rPr>
                <w:color w:val="000000"/>
                <w:sz w:val="20"/>
                <w:szCs w:val="20"/>
              </w:rPr>
              <w:t>0.280</w:t>
            </w:r>
          </w:p>
        </w:tc>
        <w:tc>
          <w:tcPr>
            <w:tcW w:w="768" w:type="dxa"/>
            <w:tcBorders>
              <w:top w:val="nil"/>
              <w:left w:val="nil"/>
              <w:bottom w:val="single" w:sz="4" w:space="0" w:color="auto"/>
              <w:right w:val="nil"/>
            </w:tcBorders>
            <w:shd w:val="clear" w:color="auto" w:fill="auto"/>
            <w:noWrap/>
            <w:vAlign w:val="bottom"/>
            <w:hideMark/>
          </w:tcPr>
          <w:p w14:paraId="4E6B4331" w14:textId="1F3A2FD6"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3FDA0B2" w14:textId="2D1D89CE" w:rsidR="004E7A14" w:rsidRDefault="004E7A14" w:rsidP="004E7A14">
            <w:pPr>
              <w:jc w:val="right"/>
              <w:rPr>
                <w:b/>
                <w:bCs/>
                <w:color w:val="000000"/>
                <w:sz w:val="20"/>
                <w:szCs w:val="20"/>
              </w:rPr>
            </w:pPr>
            <w:r>
              <w:rPr>
                <w:b/>
                <w:bCs/>
                <w:color w:val="000000"/>
                <w:sz w:val="20"/>
                <w:szCs w:val="20"/>
              </w:rPr>
              <w:t>-0.102</w:t>
            </w:r>
          </w:p>
        </w:tc>
        <w:tc>
          <w:tcPr>
            <w:tcW w:w="768" w:type="dxa"/>
            <w:tcBorders>
              <w:top w:val="nil"/>
              <w:left w:val="nil"/>
              <w:bottom w:val="single" w:sz="4" w:space="0" w:color="auto"/>
              <w:right w:val="nil"/>
            </w:tcBorders>
            <w:shd w:val="clear" w:color="auto" w:fill="auto"/>
            <w:noWrap/>
            <w:vAlign w:val="bottom"/>
            <w:hideMark/>
          </w:tcPr>
          <w:p w14:paraId="340A8F34" w14:textId="6829ED77"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4247CC2" w14:textId="186B6EA8" w:rsidR="004E7A14" w:rsidRDefault="004E7A14" w:rsidP="004E7A14">
            <w:pPr>
              <w:jc w:val="right"/>
              <w:rPr>
                <w:color w:val="000000"/>
                <w:sz w:val="20"/>
                <w:szCs w:val="20"/>
              </w:rPr>
            </w:pPr>
            <w:r>
              <w:rPr>
                <w:b/>
                <w:bCs/>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56D2E129" w14:textId="24DD5478" w:rsidR="004E7A14" w:rsidRDefault="004E7A14" w:rsidP="004E7A14">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7314D50E" w14:textId="0D5DCD23" w:rsidR="004E7A14" w:rsidRDefault="004E7A14" w:rsidP="004E7A14">
            <w:pPr>
              <w:jc w:val="right"/>
              <w:rPr>
                <w:color w:val="000000"/>
                <w:sz w:val="20"/>
                <w:szCs w:val="20"/>
              </w:rPr>
            </w:pPr>
            <w:r>
              <w:rPr>
                <w:color w:val="000000"/>
                <w:sz w:val="20"/>
                <w:szCs w:val="20"/>
              </w:rPr>
              <w:t>0.341</w:t>
            </w:r>
          </w:p>
        </w:tc>
        <w:tc>
          <w:tcPr>
            <w:tcW w:w="768" w:type="dxa"/>
            <w:tcBorders>
              <w:top w:val="nil"/>
              <w:left w:val="nil"/>
              <w:bottom w:val="single" w:sz="4" w:space="0" w:color="auto"/>
              <w:right w:val="nil"/>
            </w:tcBorders>
            <w:shd w:val="clear" w:color="auto" w:fill="auto"/>
            <w:noWrap/>
            <w:vAlign w:val="bottom"/>
            <w:hideMark/>
          </w:tcPr>
          <w:p w14:paraId="013E8143" w14:textId="4EF6AC47"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5F18E87" w14:textId="632BE7C2" w:rsidR="004E7A14" w:rsidRDefault="004E7A14" w:rsidP="004E7A14">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2EF5AACF" w14:textId="55F126F9" w:rsidR="004E7A14" w:rsidRDefault="004E7A14" w:rsidP="004E7A14">
            <w:pPr>
              <w:jc w:val="right"/>
              <w:rPr>
                <w:color w:val="000000"/>
                <w:sz w:val="20"/>
                <w:szCs w:val="20"/>
              </w:rPr>
            </w:pPr>
            <w:r>
              <w:rPr>
                <w:color w:val="000000"/>
                <w:sz w:val="20"/>
                <w:szCs w:val="20"/>
              </w:rPr>
              <w:t>0.419</w:t>
            </w:r>
          </w:p>
        </w:tc>
        <w:tc>
          <w:tcPr>
            <w:tcW w:w="768" w:type="dxa"/>
            <w:tcBorders>
              <w:top w:val="nil"/>
              <w:left w:val="nil"/>
              <w:bottom w:val="single" w:sz="4" w:space="0" w:color="auto"/>
              <w:right w:val="nil"/>
            </w:tcBorders>
            <w:shd w:val="clear" w:color="auto" w:fill="auto"/>
            <w:noWrap/>
            <w:vAlign w:val="bottom"/>
            <w:hideMark/>
          </w:tcPr>
          <w:p w14:paraId="21A69D5E" w14:textId="4AF558A9"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FEFF4A5" w14:textId="49C5E33E" w:rsidR="004E7A14" w:rsidRDefault="004E7A14" w:rsidP="004E7A14">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03891B16" w14:textId="1BCAA39A" w:rsidR="004E7A14" w:rsidRDefault="004E7A14" w:rsidP="004E7A14">
            <w:pPr>
              <w:jc w:val="right"/>
              <w:rPr>
                <w:color w:val="000000"/>
                <w:sz w:val="20"/>
                <w:szCs w:val="20"/>
              </w:rPr>
            </w:pPr>
            <w:r>
              <w:rPr>
                <w:color w:val="000000"/>
                <w:sz w:val="20"/>
                <w:szCs w:val="20"/>
              </w:rPr>
              <w:t>0.855</w:t>
            </w:r>
          </w:p>
        </w:tc>
        <w:tc>
          <w:tcPr>
            <w:tcW w:w="768" w:type="dxa"/>
            <w:tcBorders>
              <w:top w:val="nil"/>
              <w:left w:val="nil"/>
              <w:bottom w:val="single" w:sz="4" w:space="0" w:color="auto"/>
              <w:right w:val="nil"/>
            </w:tcBorders>
            <w:shd w:val="clear" w:color="auto" w:fill="auto"/>
            <w:noWrap/>
            <w:vAlign w:val="bottom"/>
            <w:hideMark/>
          </w:tcPr>
          <w:p w14:paraId="3DE0D6DC" w14:textId="4F708E68" w:rsidR="004E7A14" w:rsidRDefault="004E7A14" w:rsidP="004E7A14">
            <w:pPr>
              <w:jc w:val="right"/>
              <w:rPr>
                <w:color w:val="000000"/>
                <w:sz w:val="20"/>
                <w:szCs w:val="20"/>
              </w:rPr>
            </w:pPr>
            <w:r>
              <w:rPr>
                <w:color w:val="000000"/>
                <w:sz w:val="20"/>
                <w:szCs w:val="20"/>
              </w:rPr>
              <w:t>0.000</w:t>
            </w:r>
          </w:p>
        </w:tc>
      </w:tr>
      <w:tr w:rsidR="004E7A14" w14:paraId="1FB70287" w14:textId="77777777" w:rsidTr="00CC2214">
        <w:trPr>
          <w:trHeight w:val="320"/>
        </w:trPr>
        <w:tc>
          <w:tcPr>
            <w:tcW w:w="1176" w:type="dxa"/>
            <w:tcBorders>
              <w:top w:val="nil"/>
              <w:left w:val="nil"/>
              <w:bottom w:val="nil"/>
              <w:right w:val="nil"/>
            </w:tcBorders>
            <w:shd w:val="clear" w:color="auto" w:fill="auto"/>
            <w:noWrap/>
            <w:vAlign w:val="bottom"/>
            <w:hideMark/>
          </w:tcPr>
          <w:p w14:paraId="061B94DA" w14:textId="77777777" w:rsidR="004E7A14" w:rsidRDefault="004E7A14" w:rsidP="004E7A14">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B2A1ABA" w14:textId="77777777" w:rsidR="004E7A14" w:rsidRDefault="004E7A14" w:rsidP="004E7A14">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9503FDD" w14:textId="186A67F4" w:rsidR="004E7A14" w:rsidRDefault="004E7A14" w:rsidP="004E7A14">
            <w:pPr>
              <w:jc w:val="right"/>
              <w:rPr>
                <w:b/>
                <w:bCs/>
                <w:color w:val="000000"/>
                <w:sz w:val="20"/>
                <w:szCs w:val="20"/>
              </w:rPr>
            </w:pPr>
            <w:r>
              <w:rPr>
                <w:b/>
                <w:bCs/>
                <w:color w:val="000000"/>
                <w:sz w:val="20"/>
                <w:szCs w:val="20"/>
              </w:rPr>
              <w:t>0.087</w:t>
            </w:r>
          </w:p>
        </w:tc>
        <w:tc>
          <w:tcPr>
            <w:tcW w:w="768" w:type="dxa"/>
            <w:tcBorders>
              <w:top w:val="nil"/>
              <w:left w:val="nil"/>
              <w:bottom w:val="nil"/>
              <w:right w:val="nil"/>
            </w:tcBorders>
            <w:shd w:val="clear" w:color="auto" w:fill="auto"/>
            <w:noWrap/>
            <w:vAlign w:val="bottom"/>
            <w:hideMark/>
          </w:tcPr>
          <w:p w14:paraId="26AEE983" w14:textId="5E65A66A"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1F411378" w14:textId="3DD532BA" w:rsidR="004E7A14" w:rsidRDefault="004E7A14" w:rsidP="004E7A14">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1E94A402" w14:textId="42B21B94" w:rsidR="004E7A14" w:rsidRDefault="004E7A14" w:rsidP="004E7A1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764AA28" w14:textId="2A1290F7" w:rsidR="004E7A14" w:rsidRDefault="004E7A14" w:rsidP="004E7A14">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7BE09AAB" w14:textId="0EBA99AE"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9A7FAA" w14:textId="377C598E"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C208C2D" w14:textId="4A252346" w:rsidR="004E7A14" w:rsidRDefault="004E7A14" w:rsidP="004E7A14">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77AE7814" w14:textId="27F704B0"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41A062" w14:textId="055F01A0"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FB2B907" w14:textId="02A4D131" w:rsidR="004E7A14" w:rsidRDefault="004E7A14" w:rsidP="004E7A14">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26710AE6" w14:textId="1B5A919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BBECB9" w14:textId="5873A2D2" w:rsidR="004E7A14" w:rsidRDefault="004E7A14" w:rsidP="004E7A1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97566E0" w14:textId="3E797720" w:rsidR="004E7A14" w:rsidRDefault="004E7A14" w:rsidP="004E7A14">
            <w:pPr>
              <w:jc w:val="right"/>
              <w:rPr>
                <w:color w:val="000000"/>
                <w:sz w:val="20"/>
                <w:szCs w:val="20"/>
              </w:rPr>
            </w:pPr>
            <w:r>
              <w:rPr>
                <w:color w:val="000000"/>
                <w:sz w:val="20"/>
                <w:szCs w:val="20"/>
              </w:rPr>
              <w:t>0.697</w:t>
            </w:r>
          </w:p>
        </w:tc>
        <w:tc>
          <w:tcPr>
            <w:tcW w:w="768" w:type="dxa"/>
            <w:tcBorders>
              <w:top w:val="nil"/>
              <w:left w:val="nil"/>
              <w:bottom w:val="nil"/>
              <w:right w:val="nil"/>
            </w:tcBorders>
            <w:shd w:val="clear" w:color="auto" w:fill="auto"/>
            <w:noWrap/>
            <w:vAlign w:val="bottom"/>
            <w:hideMark/>
          </w:tcPr>
          <w:p w14:paraId="47F867E8" w14:textId="11A98DA1" w:rsidR="004E7A14" w:rsidRDefault="004E7A14" w:rsidP="004E7A14">
            <w:pPr>
              <w:jc w:val="right"/>
              <w:rPr>
                <w:color w:val="000000"/>
                <w:sz w:val="20"/>
                <w:szCs w:val="20"/>
              </w:rPr>
            </w:pPr>
            <w:r>
              <w:rPr>
                <w:color w:val="000000"/>
                <w:sz w:val="20"/>
                <w:szCs w:val="20"/>
              </w:rPr>
              <w:t>0.000</w:t>
            </w:r>
          </w:p>
        </w:tc>
      </w:tr>
      <w:tr w:rsidR="004E7A14" w14:paraId="63D956F1" w14:textId="77777777" w:rsidTr="00CC2214">
        <w:trPr>
          <w:trHeight w:val="320"/>
        </w:trPr>
        <w:tc>
          <w:tcPr>
            <w:tcW w:w="1176" w:type="dxa"/>
            <w:tcBorders>
              <w:top w:val="nil"/>
              <w:left w:val="nil"/>
              <w:bottom w:val="nil"/>
              <w:right w:val="nil"/>
            </w:tcBorders>
            <w:shd w:val="clear" w:color="auto" w:fill="auto"/>
            <w:noWrap/>
            <w:vAlign w:val="bottom"/>
            <w:hideMark/>
          </w:tcPr>
          <w:p w14:paraId="4AE8C750"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F3332D5" w14:textId="77777777" w:rsidR="004E7A14" w:rsidRDefault="004E7A14" w:rsidP="004E7A1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A320F5D" w14:textId="306A4B62" w:rsidR="004E7A14" w:rsidRDefault="004E7A14" w:rsidP="004E7A14">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D843188" w14:textId="78DE9009" w:rsidR="004E7A14" w:rsidRDefault="004E7A14" w:rsidP="004E7A14">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536D2AF0" w14:textId="3594EFFC"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E150ED5" w14:textId="5458185B" w:rsidR="004E7A14" w:rsidRDefault="004E7A14" w:rsidP="004E7A1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8E6CC75" w14:textId="0E0D823D" w:rsidR="004E7A14" w:rsidRDefault="004E7A14" w:rsidP="004E7A14">
            <w:pPr>
              <w:jc w:val="right"/>
              <w:rPr>
                <w:color w:val="000000"/>
                <w:sz w:val="20"/>
                <w:szCs w:val="20"/>
              </w:rPr>
            </w:pPr>
            <w:r>
              <w:rPr>
                <w:color w:val="000000"/>
                <w:sz w:val="20"/>
                <w:szCs w:val="20"/>
              </w:rPr>
              <w:t>0.620</w:t>
            </w:r>
          </w:p>
        </w:tc>
        <w:tc>
          <w:tcPr>
            <w:tcW w:w="768" w:type="dxa"/>
            <w:tcBorders>
              <w:top w:val="nil"/>
              <w:left w:val="nil"/>
              <w:bottom w:val="nil"/>
              <w:right w:val="nil"/>
            </w:tcBorders>
            <w:shd w:val="clear" w:color="auto" w:fill="auto"/>
            <w:noWrap/>
            <w:vAlign w:val="bottom"/>
            <w:hideMark/>
          </w:tcPr>
          <w:p w14:paraId="393E7E7E" w14:textId="2EC1955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878762" w14:textId="04FD0CF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618BC0" w14:textId="2C82E8BD" w:rsidR="004E7A14" w:rsidRDefault="004E7A14" w:rsidP="004E7A14">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103B13BA" w14:textId="437F7D4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708B48" w14:textId="38A1BAC4" w:rsidR="004E7A14" w:rsidRDefault="004E7A14" w:rsidP="004E7A14">
            <w:pPr>
              <w:jc w:val="right"/>
              <w:rPr>
                <w:b/>
                <w:bCs/>
                <w:color w:val="000000"/>
                <w:sz w:val="20"/>
                <w:szCs w:val="20"/>
              </w:rPr>
            </w:pPr>
            <w:r>
              <w:rPr>
                <w:b/>
                <w:bCs/>
                <w:color w:val="000000"/>
                <w:sz w:val="20"/>
                <w:szCs w:val="20"/>
              </w:rPr>
              <w:t>-0.080</w:t>
            </w:r>
          </w:p>
        </w:tc>
        <w:tc>
          <w:tcPr>
            <w:tcW w:w="768" w:type="dxa"/>
            <w:tcBorders>
              <w:top w:val="nil"/>
              <w:left w:val="nil"/>
              <w:bottom w:val="nil"/>
              <w:right w:val="nil"/>
            </w:tcBorders>
            <w:shd w:val="clear" w:color="auto" w:fill="auto"/>
            <w:noWrap/>
            <w:vAlign w:val="bottom"/>
            <w:hideMark/>
          </w:tcPr>
          <w:p w14:paraId="099C124A" w14:textId="5DF21BA7"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3765F26" w14:textId="413F30D3" w:rsidR="004E7A14" w:rsidRDefault="004E7A14" w:rsidP="004E7A14">
            <w:pPr>
              <w:jc w:val="right"/>
              <w:rPr>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2F2D0C79" w14:textId="447D42F2" w:rsidR="004E7A14" w:rsidRDefault="004E7A14" w:rsidP="004E7A14">
            <w:pPr>
              <w:jc w:val="right"/>
              <w:rPr>
                <w:b/>
                <w:bCs/>
                <w:color w:val="000000"/>
                <w:sz w:val="20"/>
                <w:szCs w:val="20"/>
              </w:rPr>
            </w:pPr>
            <w:r>
              <w:rPr>
                <w:b/>
                <w:bCs/>
                <w:color w:val="000000"/>
                <w:sz w:val="20"/>
                <w:szCs w:val="20"/>
              </w:rPr>
              <w:t>0.082</w:t>
            </w:r>
          </w:p>
        </w:tc>
        <w:tc>
          <w:tcPr>
            <w:tcW w:w="768" w:type="dxa"/>
            <w:tcBorders>
              <w:top w:val="nil"/>
              <w:left w:val="nil"/>
              <w:bottom w:val="nil"/>
              <w:right w:val="nil"/>
            </w:tcBorders>
            <w:shd w:val="clear" w:color="auto" w:fill="auto"/>
            <w:noWrap/>
            <w:vAlign w:val="bottom"/>
            <w:hideMark/>
          </w:tcPr>
          <w:p w14:paraId="6E44455C" w14:textId="45A40A4D" w:rsidR="004E7A14" w:rsidRDefault="004E7A14" w:rsidP="004E7A1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C25DE98" w14:textId="50A89114" w:rsidR="004E7A14" w:rsidRDefault="004E7A14" w:rsidP="004E7A14">
            <w:pPr>
              <w:jc w:val="right"/>
              <w:rPr>
                <w:color w:val="000000"/>
                <w:sz w:val="20"/>
                <w:szCs w:val="20"/>
              </w:rPr>
            </w:pPr>
            <w:r>
              <w:rPr>
                <w:b/>
                <w:bCs/>
                <w:color w:val="000000"/>
                <w:sz w:val="20"/>
                <w:szCs w:val="20"/>
              </w:rPr>
              <w:t>0.007</w:t>
            </w:r>
          </w:p>
        </w:tc>
      </w:tr>
      <w:tr w:rsidR="004E7A14" w14:paraId="3F33C186" w14:textId="77777777" w:rsidTr="00CC2214">
        <w:trPr>
          <w:trHeight w:val="320"/>
        </w:trPr>
        <w:tc>
          <w:tcPr>
            <w:tcW w:w="1176" w:type="dxa"/>
            <w:tcBorders>
              <w:top w:val="nil"/>
              <w:left w:val="nil"/>
              <w:bottom w:val="nil"/>
              <w:right w:val="nil"/>
            </w:tcBorders>
            <w:shd w:val="clear" w:color="auto" w:fill="auto"/>
            <w:noWrap/>
            <w:vAlign w:val="bottom"/>
            <w:hideMark/>
          </w:tcPr>
          <w:p w14:paraId="23E940B5"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641B79" w14:textId="77777777" w:rsidR="004E7A14" w:rsidRDefault="004E7A14" w:rsidP="004E7A1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97EC1E2" w14:textId="4274F434" w:rsidR="004E7A14" w:rsidRDefault="004E7A14" w:rsidP="004E7A14">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5EE0B52B" w14:textId="11FE165F" w:rsidR="004E7A14" w:rsidRDefault="004E7A14" w:rsidP="004E7A14">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6D932A0E" w14:textId="13979B92"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1C14975" w14:textId="0BE99E98"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F2BD669" w14:textId="749DF747" w:rsidR="004E7A14" w:rsidRDefault="004E7A14" w:rsidP="004E7A14">
            <w:pPr>
              <w:jc w:val="right"/>
              <w:rPr>
                <w:color w:val="000000"/>
                <w:sz w:val="20"/>
                <w:szCs w:val="20"/>
              </w:rPr>
            </w:pPr>
            <w:r>
              <w:rPr>
                <w:color w:val="000000"/>
                <w:sz w:val="20"/>
                <w:szCs w:val="20"/>
              </w:rPr>
              <w:t>0.849</w:t>
            </w:r>
          </w:p>
        </w:tc>
        <w:tc>
          <w:tcPr>
            <w:tcW w:w="768" w:type="dxa"/>
            <w:tcBorders>
              <w:top w:val="nil"/>
              <w:left w:val="nil"/>
              <w:bottom w:val="nil"/>
              <w:right w:val="nil"/>
            </w:tcBorders>
            <w:shd w:val="clear" w:color="auto" w:fill="auto"/>
            <w:noWrap/>
            <w:vAlign w:val="bottom"/>
            <w:hideMark/>
          </w:tcPr>
          <w:p w14:paraId="3FCD49DE" w14:textId="6AC24C6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97ADAE" w14:textId="0967E94E" w:rsidR="004E7A14" w:rsidRDefault="004E7A14" w:rsidP="004E7A1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2EEB27E" w14:textId="015DB05C" w:rsidR="004E7A14" w:rsidRDefault="004E7A14" w:rsidP="004E7A14">
            <w:pPr>
              <w:jc w:val="right"/>
              <w:rPr>
                <w:color w:val="000000"/>
                <w:sz w:val="20"/>
                <w:szCs w:val="20"/>
              </w:rPr>
            </w:pPr>
            <w:r>
              <w:rPr>
                <w:color w:val="000000"/>
                <w:sz w:val="20"/>
                <w:szCs w:val="20"/>
              </w:rPr>
              <w:t>0.487</w:t>
            </w:r>
          </w:p>
        </w:tc>
        <w:tc>
          <w:tcPr>
            <w:tcW w:w="768" w:type="dxa"/>
            <w:tcBorders>
              <w:top w:val="nil"/>
              <w:left w:val="nil"/>
              <w:bottom w:val="nil"/>
              <w:right w:val="nil"/>
            </w:tcBorders>
            <w:shd w:val="clear" w:color="auto" w:fill="auto"/>
            <w:noWrap/>
            <w:vAlign w:val="bottom"/>
            <w:hideMark/>
          </w:tcPr>
          <w:p w14:paraId="4A427426" w14:textId="7102F639"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6EB0B1" w14:textId="187188CD" w:rsidR="004E7A14" w:rsidRDefault="004E7A14" w:rsidP="004E7A14">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B7D5CCE" w14:textId="655F4EB7" w:rsidR="004E7A14" w:rsidRDefault="004E7A14" w:rsidP="004E7A14">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335E10E5" w14:textId="1DECB4E6"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BAF4AA" w14:textId="073BD87D"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148DE92" w14:textId="22E41557" w:rsidR="004E7A14" w:rsidRDefault="004E7A14" w:rsidP="004E7A14">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538F6573" w14:textId="3AA26B11" w:rsidR="004E7A14" w:rsidRDefault="004E7A14" w:rsidP="004E7A14">
            <w:pPr>
              <w:jc w:val="right"/>
              <w:rPr>
                <w:color w:val="000000"/>
                <w:sz w:val="20"/>
                <w:szCs w:val="20"/>
              </w:rPr>
            </w:pPr>
            <w:r>
              <w:rPr>
                <w:color w:val="000000"/>
                <w:sz w:val="20"/>
                <w:szCs w:val="20"/>
              </w:rPr>
              <w:t>0.000</w:t>
            </w:r>
          </w:p>
        </w:tc>
      </w:tr>
      <w:tr w:rsidR="004E7A14" w14:paraId="57BB8082" w14:textId="77777777" w:rsidTr="00CC2214">
        <w:trPr>
          <w:trHeight w:val="320"/>
        </w:trPr>
        <w:tc>
          <w:tcPr>
            <w:tcW w:w="1176" w:type="dxa"/>
            <w:tcBorders>
              <w:top w:val="nil"/>
              <w:left w:val="nil"/>
              <w:bottom w:val="nil"/>
              <w:right w:val="nil"/>
            </w:tcBorders>
            <w:shd w:val="clear" w:color="auto" w:fill="auto"/>
            <w:noWrap/>
            <w:vAlign w:val="bottom"/>
            <w:hideMark/>
          </w:tcPr>
          <w:p w14:paraId="3F93F5DD"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4C045D" w14:textId="30D461A7" w:rsidR="004E7A14" w:rsidRDefault="004E7A14" w:rsidP="004E7A14">
            <w:pPr>
              <w:rPr>
                <w:color w:val="000000"/>
                <w:sz w:val="20"/>
                <w:szCs w:val="20"/>
              </w:rPr>
            </w:pPr>
            <w:r>
              <w:rPr>
                <w:color w:val="000000"/>
                <w:sz w:val="20"/>
                <w:szCs w:val="20"/>
              </w:rPr>
              <w:t>Z Frontoparietal</w:t>
            </w:r>
          </w:p>
        </w:tc>
        <w:tc>
          <w:tcPr>
            <w:tcW w:w="767" w:type="dxa"/>
            <w:tcBorders>
              <w:top w:val="nil"/>
              <w:left w:val="nil"/>
              <w:bottom w:val="nil"/>
              <w:right w:val="nil"/>
            </w:tcBorders>
            <w:shd w:val="clear" w:color="auto" w:fill="auto"/>
            <w:noWrap/>
            <w:vAlign w:val="bottom"/>
            <w:hideMark/>
          </w:tcPr>
          <w:p w14:paraId="41503EE6" w14:textId="7F65A699" w:rsidR="004E7A14" w:rsidRDefault="004E7A14" w:rsidP="004E7A14">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E89D299" w14:textId="36FA5441" w:rsidR="004E7A14" w:rsidRDefault="004E7A14" w:rsidP="004E7A14">
            <w:pPr>
              <w:jc w:val="right"/>
              <w:rPr>
                <w:color w:val="000000"/>
                <w:sz w:val="20"/>
                <w:szCs w:val="20"/>
              </w:rPr>
            </w:pPr>
            <w:r>
              <w:rPr>
                <w:color w:val="000000"/>
                <w:sz w:val="20"/>
                <w:szCs w:val="20"/>
              </w:rPr>
              <w:t>0.337</w:t>
            </w:r>
          </w:p>
        </w:tc>
        <w:tc>
          <w:tcPr>
            <w:tcW w:w="768" w:type="dxa"/>
            <w:tcBorders>
              <w:top w:val="nil"/>
              <w:left w:val="nil"/>
              <w:bottom w:val="nil"/>
              <w:right w:val="nil"/>
            </w:tcBorders>
            <w:shd w:val="clear" w:color="auto" w:fill="auto"/>
            <w:noWrap/>
            <w:vAlign w:val="bottom"/>
            <w:hideMark/>
          </w:tcPr>
          <w:p w14:paraId="486117A4" w14:textId="73B47E27"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FD4C32C" w14:textId="5972AC3D" w:rsidR="004E7A14" w:rsidRDefault="004E7A14" w:rsidP="004E7A14">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0504B99" w14:textId="70B441C9" w:rsidR="004E7A14" w:rsidRDefault="004E7A14" w:rsidP="004E7A14">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1370F38B" w14:textId="6FF7B2CC"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F3BCF7E" w14:textId="0621CA89" w:rsidR="004E7A14" w:rsidRDefault="004E7A14" w:rsidP="004E7A1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4941739" w14:textId="5F96D468" w:rsidR="004E7A14" w:rsidRDefault="004E7A14" w:rsidP="004E7A14">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204BC8B1" w14:textId="45419A20"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5EDFC2" w14:textId="45619495" w:rsidR="004E7A14" w:rsidRDefault="004E7A14" w:rsidP="004E7A14">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0BAC475" w14:textId="1F187947" w:rsidR="004E7A14" w:rsidRDefault="004E7A14" w:rsidP="004E7A14">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280F9213" w14:textId="2BD9C6CF"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863A702" w14:textId="6A939DB4" w:rsidR="004E7A14" w:rsidRDefault="004E7A14" w:rsidP="004E7A14">
            <w:pPr>
              <w:jc w:val="right"/>
              <w:rPr>
                <w:b/>
                <w:bCs/>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220AFC34" w14:textId="2E440E62" w:rsidR="004E7A14" w:rsidRDefault="004E7A14" w:rsidP="004E7A14">
            <w:pPr>
              <w:jc w:val="right"/>
              <w:rPr>
                <w:b/>
                <w:bCs/>
                <w:color w:val="000000"/>
                <w:sz w:val="20"/>
                <w:szCs w:val="20"/>
              </w:rPr>
            </w:pPr>
            <w:r>
              <w:rPr>
                <w:color w:val="000000"/>
                <w:sz w:val="20"/>
                <w:szCs w:val="20"/>
              </w:rPr>
              <w:t>0.440</w:t>
            </w:r>
          </w:p>
        </w:tc>
        <w:tc>
          <w:tcPr>
            <w:tcW w:w="768" w:type="dxa"/>
            <w:tcBorders>
              <w:top w:val="nil"/>
              <w:left w:val="nil"/>
              <w:bottom w:val="nil"/>
              <w:right w:val="nil"/>
            </w:tcBorders>
            <w:shd w:val="clear" w:color="auto" w:fill="auto"/>
            <w:noWrap/>
            <w:vAlign w:val="bottom"/>
            <w:hideMark/>
          </w:tcPr>
          <w:p w14:paraId="1A7A0FC4" w14:textId="0AC9EB4D" w:rsidR="004E7A14" w:rsidRDefault="004E7A14" w:rsidP="004E7A14">
            <w:pPr>
              <w:jc w:val="right"/>
              <w:rPr>
                <w:color w:val="000000"/>
                <w:sz w:val="20"/>
                <w:szCs w:val="20"/>
              </w:rPr>
            </w:pPr>
            <w:r>
              <w:rPr>
                <w:color w:val="000000"/>
                <w:sz w:val="20"/>
                <w:szCs w:val="20"/>
              </w:rPr>
              <w:t>0.001</w:t>
            </w:r>
          </w:p>
        </w:tc>
      </w:tr>
      <w:tr w:rsidR="004E7A14" w14:paraId="369B2C56" w14:textId="77777777" w:rsidTr="00CC2214">
        <w:trPr>
          <w:trHeight w:val="320"/>
        </w:trPr>
        <w:tc>
          <w:tcPr>
            <w:tcW w:w="1176" w:type="dxa"/>
            <w:tcBorders>
              <w:top w:val="nil"/>
              <w:left w:val="nil"/>
              <w:bottom w:val="nil"/>
              <w:right w:val="nil"/>
            </w:tcBorders>
            <w:shd w:val="clear" w:color="auto" w:fill="auto"/>
            <w:noWrap/>
            <w:vAlign w:val="bottom"/>
            <w:hideMark/>
          </w:tcPr>
          <w:p w14:paraId="4F3DDECE"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3996E0A" w14:textId="77777777" w:rsidR="004E7A14" w:rsidRDefault="004E7A14" w:rsidP="004E7A1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01F2A03" w14:textId="6B33C2C2" w:rsidR="004E7A14" w:rsidRDefault="004E7A14" w:rsidP="004E7A14">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69B674B" w14:textId="56665310" w:rsidR="004E7A14" w:rsidRDefault="004E7A14" w:rsidP="004E7A14">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52D6768C" w14:textId="02DB7882"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88EB9F8" w14:textId="07AD3A90"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66812227" w14:textId="405910E6" w:rsidR="004E7A14" w:rsidRDefault="004E7A14" w:rsidP="004E7A14">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030821D1" w14:textId="34C8972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05F4C3" w14:textId="430A4F5D" w:rsidR="004E7A14" w:rsidRDefault="004E7A14" w:rsidP="004E7A14">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18BD2A2" w14:textId="20A4BAD5" w:rsidR="004E7A14" w:rsidRDefault="004E7A14" w:rsidP="004E7A14">
            <w:pPr>
              <w:jc w:val="right"/>
              <w:rPr>
                <w:color w:val="000000"/>
                <w:sz w:val="20"/>
                <w:szCs w:val="20"/>
              </w:rPr>
            </w:pPr>
            <w:r>
              <w:rPr>
                <w:color w:val="000000"/>
                <w:sz w:val="20"/>
                <w:szCs w:val="20"/>
              </w:rPr>
              <w:t>0.156</w:t>
            </w:r>
          </w:p>
        </w:tc>
        <w:tc>
          <w:tcPr>
            <w:tcW w:w="768" w:type="dxa"/>
            <w:tcBorders>
              <w:top w:val="nil"/>
              <w:left w:val="nil"/>
              <w:bottom w:val="nil"/>
              <w:right w:val="nil"/>
            </w:tcBorders>
            <w:shd w:val="clear" w:color="auto" w:fill="auto"/>
            <w:noWrap/>
            <w:vAlign w:val="bottom"/>
            <w:hideMark/>
          </w:tcPr>
          <w:p w14:paraId="6C1C49A5" w14:textId="1E1797E3"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4423302" w14:textId="233F0094"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AABA0AD" w14:textId="59029B1E" w:rsidR="004E7A14" w:rsidRDefault="004E7A14" w:rsidP="004E7A14">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353FFB98" w14:textId="7A73732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A3BB86" w14:textId="51187692" w:rsidR="004E7A14" w:rsidRDefault="004E7A14" w:rsidP="004E7A1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E5E048F" w14:textId="62986E78" w:rsidR="004E7A14" w:rsidRDefault="004E7A14" w:rsidP="004E7A14">
            <w:pPr>
              <w:jc w:val="right"/>
              <w:rPr>
                <w:color w:val="000000"/>
                <w:sz w:val="20"/>
                <w:szCs w:val="20"/>
              </w:rPr>
            </w:pPr>
            <w:r>
              <w:rPr>
                <w:color w:val="000000"/>
                <w:sz w:val="20"/>
                <w:szCs w:val="20"/>
              </w:rPr>
              <w:t>0.589</w:t>
            </w:r>
          </w:p>
        </w:tc>
        <w:tc>
          <w:tcPr>
            <w:tcW w:w="768" w:type="dxa"/>
            <w:tcBorders>
              <w:top w:val="nil"/>
              <w:left w:val="nil"/>
              <w:bottom w:val="nil"/>
              <w:right w:val="nil"/>
            </w:tcBorders>
            <w:shd w:val="clear" w:color="auto" w:fill="auto"/>
            <w:noWrap/>
            <w:vAlign w:val="bottom"/>
            <w:hideMark/>
          </w:tcPr>
          <w:p w14:paraId="47E1A59C" w14:textId="12A45B85" w:rsidR="004E7A14" w:rsidRDefault="004E7A14" w:rsidP="004E7A14">
            <w:pPr>
              <w:jc w:val="right"/>
              <w:rPr>
                <w:color w:val="000000"/>
                <w:sz w:val="20"/>
                <w:szCs w:val="20"/>
              </w:rPr>
            </w:pPr>
            <w:r>
              <w:rPr>
                <w:color w:val="000000"/>
                <w:sz w:val="20"/>
                <w:szCs w:val="20"/>
              </w:rPr>
              <w:t>0.000</w:t>
            </w:r>
          </w:p>
        </w:tc>
      </w:tr>
      <w:tr w:rsidR="004E7A14" w14:paraId="50342C64" w14:textId="77777777" w:rsidTr="00CC2214">
        <w:trPr>
          <w:trHeight w:val="320"/>
        </w:trPr>
        <w:tc>
          <w:tcPr>
            <w:tcW w:w="1176" w:type="dxa"/>
            <w:tcBorders>
              <w:top w:val="nil"/>
              <w:left w:val="nil"/>
              <w:bottom w:val="nil"/>
              <w:right w:val="nil"/>
            </w:tcBorders>
            <w:shd w:val="clear" w:color="auto" w:fill="auto"/>
            <w:noWrap/>
            <w:vAlign w:val="bottom"/>
            <w:hideMark/>
          </w:tcPr>
          <w:p w14:paraId="7A00B0D6"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8CFA88" w14:textId="77777777" w:rsidR="004E7A14" w:rsidRDefault="004E7A14" w:rsidP="004E7A1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673DF64" w14:textId="2C9953C2" w:rsidR="004E7A14" w:rsidRDefault="004E7A14" w:rsidP="004E7A14">
            <w:pPr>
              <w:jc w:val="right"/>
              <w:rPr>
                <w:b/>
                <w:bCs/>
                <w:color w:val="000000"/>
                <w:sz w:val="20"/>
                <w:szCs w:val="20"/>
              </w:rPr>
            </w:pPr>
            <w:r>
              <w:rPr>
                <w:b/>
                <w:bCs/>
                <w:color w:val="000000"/>
                <w:sz w:val="20"/>
                <w:szCs w:val="20"/>
              </w:rPr>
              <w:t>0.072</w:t>
            </w:r>
          </w:p>
        </w:tc>
        <w:tc>
          <w:tcPr>
            <w:tcW w:w="768" w:type="dxa"/>
            <w:tcBorders>
              <w:top w:val="nil"/>
              <w:left w:val="nil"/>
              <w:bottom w:val="nil"/>
              <w:right w:val="nil"/>
            </w:tcBorders>
            <w:shd w:val="clear" w:color="auto" w:fill="auto"/>
            <w:noWrap/>
            <w:vAlign w:val="bottom"/>
            <w:hideMark/>
          </w:tcPr>
          <w:p w14:paraId="664DCAB4" w14:textId="51B7EDA1" w:rsidR="004E7A14" w:rsidRDefault="004E7A14" w:rsidP="004E7A14">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51665141" w14:textId="3BC6E686" w:rsidR="004E7A14" w:rsidRDefault="004E7A14" w:rsidP="004E7A14">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5D47F9BC" w14:textId="393039D4" w:rsidR="004E7A14" w:rsidRDefault="004E7A14" w:rsidP="004E7A14">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2D449A4F" w14:textId="1ECF0C81" w:rsidR="004E7A14" w:rsidRDefault="004E7A14" w:rsidP="004E7A14">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3BE08996" w14:textId="39F6F125"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00B24DF" w14:textId="4D58288B" w:rsidR="004E7A14" w:rsidRDefault="004E7A14" w:rsidP="004E7A1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36924FA3" w14:textId="1F50A2C0" w:rsidR="004E7A14" w:rsidRDefault="004E7A14" w:rsidP="004E7A14">
            <w:pPr>
              <w:jc w:val="right"/>
              <w:rPr>
                <w:color w:val="000000"/>
                <w:sz w:val="20"/>
                <w:szCs w:val="20"/>
              </w:rPr>
            </w:pPr>
            <w:r>
              <w:rPr>
                <w:color w:val="000000"/>
                <w:sz w:val="20"/>
                <w:szCs w:val="20"/>
              </w:rPr>
              <w:t>0.487</w:t>
            </w:r>
          </w:p>
        </w:tc>
        <w:tc>
          <w:tcPr>
            <w:tcW w:w="768" w:type="dxa"/>
            <w:tcBorders>
              <w:top w:val="nil"/>
              <w:left w:val="nil"/>
              <w:bottom w:val="nil"/>
              <w:right w:val="nil"/>
            </w:tcBorders>
            <w:shd w:val="clear" w:color="auto" w:fill="auto"/>
            <w:noWrap/>
            <w:vAlign w:val="bottom"/>
            <w:hideMark/>
          </w:tcPr>
          <w:p w14:paraId="2605E4C7" w14:textId="203EA4A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26617C" w14:textId="5C12F5CC"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A76BEEC" w14:textId="01A4EC0E" w:rsidR="004E7A14" w:rsidRDefault="004E7A14" w:rsidP="004E7A14">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58871449" w14:textId="431F070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222955" w14:textId="2E628D8D"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698828A" w14:textId="5DFB8B55" w:rsidR="004E7A14" w:rsidRDefault="004E7A14" w:rsidP="004E7A14">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43D4A7BF" w14:textId="790FD4E3" w:rsidR="004E7A14" w:rsidRDefault="004E7A14" w:rsidP="004E7A14">
            <w:pPr>
              <w:jc w:val="right"/>
              <w:rPr>
                <w:color w:val="000000"/>
                <w:sz w:val="20"/>
                <w:szCs w:val="20"/>
              </w:rPr>
            </w:pPr>
            <w:r>
              <w:rPr>
                <w:color w:val="000000"/>
                <w:sz w:val="20"/>
                <w:szCs w:val="20"/>
              </w:rPr>
              <w:t>0.000</w:t>
            </w:r>
          </w:p>
        </w:tc>
      </w:tr>
      <w:tr w:rsidR="004E7A14" w14:paraId="100BFBB5" w14:textId="77777777" w:rsidTr="00CC2214">
        <w:trPr>
          <w:trHeight w:val="320"/>
        </w:trPr>
        <w:tc>
          <w:tcPr>
            <w:tcW w:w="1176" w:type="dxa"/>
            <w:tcBorders>
              <w:top w:val="nil"/>
              <w:left w:val="nil"/>
              <w:bottom w:val="nil"/>
              <w:right w:val="nil"/>
            </w:tcBorders>
            <w:shd w:val="clear" w:color="auto" w:fill="auto"/>
            <w:noWrap/>
            <w:vAlign w:val="bottom"/>
            <w:hideMark/>
          </w:tcPr>
          <w:p w14:paraId="7C97E8A4"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AC4E67E" w14:textId="77777777" w:rsidR="004E7A14" w:rsidRDefault="004E7A14" w:rsidP="004E7A1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ECB66FD" w14:textId="5C743482" w:rsidR="004E7A14" w:rsidRDefault="004E7A14" w:rsidP="004E7A14">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7C3AAB15" w14:textId="71C7BEEE" w:rsidR="004E7A14" w:rsidRDefault="004E7A14" w:rsidP="004E7A14">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71C24727" w14:textId="40F9E03C"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308D31" w14:textId="4CB4EF3A" w:rsidR="004E7A14" w:rsidRDefault="004E7A14" w:rsidP="004E7A1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2A56B89" w14:textId="425AF854" w:rsidR="004E7A14" w:rsidRDefault="004E7A14" w:rsidP="004E7A14">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4F1B65B3" w14:textId="03380B59"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19527A" w14:textId="6DD19677" w:rsidR="004E7A14" w:rsidRDefault="004E7A14" w:rsidP="004E7A14">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B7DF2FB" w14:textId="65F6F531" w:rsidR="004E7A14" w:rsidRDefault="004E7A14" w:rsidP="004E7A14">
            <w:pPr>
              <w:jc w:val="right"/>
              <w:rPr>
                <w:color w:val="000000"/>
                <w:sz w:val="20"/>
                <w:szCs w:val="20"/>
              </w:rPr>
            </w:pPr>
            <w:r>
              <w:rPr>
                <w:color w:val="000000"/>
                <w:sz w:val="20"/>
                <w:szCs w:val="20"/>
              </w:rPr>
              <w:t>0.484</w:t>
            </w:r>
          </w:p>
        </w:tc>
        <w:tc>
          <w:tcPr>
            <w:tcW w:w="768" w:type="dxa"/>
            <w:tcBorders>
              <w:top w:val="nil"/>
              <w:left w:val="nil"/>
              <w:bottom w:val="nil"/>
              <w:right w:val="nil"/>
            </w:tcBorders>
            <w:shd w:val="clear" w:color="auto" w:fill="auto"/>
            <w:noWrap/>
            <w:vAlign w:val="bottom"/>
            <w:hideMark/>
          </w:tcPr>
          <w:p w14:paraId="79DF46CB" w14:textId="2287B5B4"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5ABE21F" w14:textId="355EC309" w:rsidR="004E7A14" w:rsidRDefault="004E7A14" w:rsidP="004E7A14">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E0E62DB" w14:textId="63EA9432" w:rsidR="004E7A14" w:rsidRDefault="004E7A14" w:rsidP="004E7A14">
            <w:pPr>
              <w:jc w:val="right"/>
              <w:rPr>
                <w:color w:val="000000"/>
                <w:sz w:val="20"/>
                <w:szCs w:val="20"/>
              </w:rPr>
            </w:pPr>
            <w:r>
              <w:rPr>
                <w:color w:val="000000"/>
                <w:sz w:val="20"/>
                <w:szCs w:val="20"/>
              </w:rPr>
              <w:t>0.412</w:t>
            </w:r>
          </w:p>
        </w:tc>
        <w:tc>
          <w:tcPr>
            <w:tcW w:w="768" w:type="dxa"/>
            <w:tcBorders>
              <w:top w:val="nil"/>
              <w:left w:val="nil"/>
              <w:bottom w:val="nil"/>
              <w:right w:val="nil"/>
            </w:tcBorders>
            <w:shd w:val="clear" w:color="auto" w:fill="auto"/>
            <w:noWrap/>
            <w:vAlign w:val="bottom"/>
            <w:hideMark/>
          </w:tcPr>
          <w:p w14:paraId="78F329BF" w14:textId="0A3187A5"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957B73" w14:textId="4F6BDE50" w:rsidR="004E7A14" w:rsidRDefault="004E7A14" w:rsidP="004E7A14">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8ADB661" w14:textId="4234AB3D" w:rsidR="004E7A14" w:rsidRDefault="004E7A14" w:rsidP="004E7A14">
            <w:pPr>
              <w:jc w:val="right"/>
              <w:rPr>
                <w:color w:val="000000"/>
                <w:sz w:val="20"/>
                <w:szCs w:val="20"/>
              </w:rPr>
            </w:pPr>
            <w:r>
              <w:rPr>
                <w:color w:val="000000"/>
                <w:sz w:val="20"/>
                <w:szCs w:val="20"/>
              </w:rPr>
              <w:t>0.284</w:t>
            </w:r>
          </w:p>
        </w:tc>
        <w:tc>
          <w:tcPr>
            <w:tcW w:w="768" w:type="dxa"/>
            <w:tcBorders>
              <w:top w:val="nil"/>
              <w:left w:val="nil"/>
              <w:bottom w:val="nil"/>
              <w:right w:val="nil"/>
            </w:tcBorders>
            <w:shd w:val="clear" w:color="auto" w:fill="auto"/>
            <w:noWrap/>
            <w:vAlign w:val="bottom"/>
            <w:hideMark/>
          </w:tcPr>
          <w:p w14:paraId="7B3A8BA4" w14:textId="28461B73" w:rsidR="004E7A14" w:rsidRDefault="004E7A14" w:rsidP="004E7A14">
            <w:pPr>
              <w:jc w:val="right"/>
              <w:rPr>
                <w:color w:val="000000"/>
                <w:sz w:val="20"/>
                <w:szCs w:val="20"/>
              </w:rPr>
            </w:pPr>
            <w:r>
              <w:rPr>
                <w:color w:val="000000"/>
                <w:sz w:val="20"/>
                <w:szCs w:val="20"/>
              </w:rPr>
              <w:t>0.002</w:t>
            </w:r>
          </w:p>
        </w:tc>
      </w:tr>
      <w:tr w:rsidR="004E7A14" w14:paraId="3F5BFC74" w14:textId="77777777" w:rsidTr="00CC2214">
        <w:trPr>
          <w:trHeight w:val="320"/>
        </w:trPr>
        <w:tc>
          <w:tcPr>
            <w:tcW w:w="1176" w:type="dxa"/>
            <w:tcBorders>
              <w:top w:val="nil"/>
              <w:left w:val="nil"/>
              <w:bottom w:val="single" w:sz="4" w:space="0" w:color="auto"/>
              <w:right w:val="nil"/>
            </w:tcBorders>
            <w:shd w:val="clear" w:color="auto" w:fill="auto"/>
            <w:noWrap/>
            <w:vAlign w:val="bottom"/>
            <w:hideMark/>
          </w:tcPr>
          <w:p w14:paraId="36C3FC3C" w14:textId="77777777" w:rsidR="004E7A14" w:rsidRDefault="004E7A14" w:rsidP="004E7A14">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7B06D74" w14:textId="77777777" w:rsidR="004E7A14" w:rsidRDefault="004E7A14" w:rsidP="004E7A14">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663C4F1" w14:textId="700DEB62" w:rsidR="004E7A14" w:rsidRDefault="004E7A14" w:rsidP="004E7A14">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1C874E89" w14:textId="21EF3CA5" w:rsidR="004E7A14" w:rsidRDefault="004E7A14" w:rsidP="004E7A14">
            <w:pPr>
              <w:jc w:val="right"/>
              <w:rPr>
                <w:color w:val="000000"/>
                <w:sz w:val="20"/>
                <w:szCs w:val="20"/>
              </w:rPr>
            </w:pPr>
            <w:r>
              <w:rPr>
                <w:color w:val="000000"/>
                <w:sz w:val="20"/>
                <w:szCs w:val="20"/>
              </w:rPr>
              <w:t>0.659</w:t>
            </w:r>
          </w:p>
        </w:tc>
        <w:tc>
          <w:tcPr>
            <w:tcW w:w="768" w:type="dxa"/>
            <w:tcBorders>
              <w:top w:val="nil"/>
              <w:left w:val="nil"/>
              <w:bottom w:val="single" w:sz="4" w:space="0" w:color="auto"/>
              <w:right w:val="nil"/>
            </w:tcBorders>
            <w:shd w:val="clear" w:color="auto" w:fill="auto"/>
            <w:noWrap/>
            <w:vAlign w:val="bottom"/>
            <w:hideMark/>
          </w:tcPr>
          <w:p w14:paraId="0DDC9059" w14:textId="0E6FEAC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19A711C" w14:textId="3E136A10" w:rsidR="004E7A14" w:rsidRDefault="004E7A14" w:rsidP="004E7A14">
            <w:pPr>
              <w:jc w:val="right"/>
              <w:rPr>
                <w:b/>
                <w:bCs/>
                <w:color w:val="000000"/>
                <w:sz w:val="20"/>
                <w:szCs w:val="20"/>
              </w:rPr>
            </w:pPr>
            <w:r>
              <w:rPr>
                <w:b/>
                <w:bCs/>
                <w:color w:val="000000"/>
                <w:sz w:val="20"/>
                <w:szCs w:val="20"/>
              </w:rPr>
              <w:t>-0.069</w:t>
            </w:r>
          </w:p>
        </w:tc>
        <w:tc>
          <w:tcPr>
            <w:tcW w:w="768" w:type="dxa"/>
            <w:tcBorders>
              <w:top w:val="nil"/>
              <w:left w:val="nil"/>
              <w:bottom w:val="single" w:sz="4" w:space="0" w:color="auto"/>
              <w:right w:val="nil"/>
            </w:tcBorders>
            <w:shd w:val="clear" w:color="auto" w:fill="auto"/>
            <w:noWrap/>
            <w:vAlign w:val="bottom"/>
            <w:hideMark/>
          </w:tcPr>
          <w:p w14:paraId="7CF223A6" w14:textId="5C4D6C8B" w:rsidR="004E7A14" w:rsidRDefault="004E7A14" w:rsidP="004E7A14">
            <w:pPr>
              <w:jc w:val="right"/>
              <w:rPr>
                <w:b/>
                <w:bCs/>
                <w:color w:val="000000"/>
                <w:sz w:val="20"/>
                <w:szCs w:val="20"/>
              </w:rPr>
            </w:pPr>
            <w:r>
              <w:rPr>
                <w:b/>
                <w:bCs/>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704E8765" w14:textId="2F9DC9A7" w:rsidR="004E7A14" w:rsidRDefault="004E7A14" w:rsidP="004E7A14">
            <w:pPr>
              <w:jc w:val="right"/>
              <w:rPr>
                <w:color w:val="000000"/>
                <w:sz w:val="20"/>
                <w:szCs w:val="20"/>
              </w:rPr>
            </w:pPr>
            <w:r>
              <w:rPr>
                <w:b/>
                <w:bCs/>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0FAD23B5" w14:textId="6AE9A63F" w:rsidR="004E7A14" w:rsidRDefault="004E7A14" w:rsidP="004E7A14">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003F8D88" w14:textId="0F2487F4" w:rsidR="004E7A14" w:rsidRDefault="004E7A14" w:rsidP="004E7A14">
            <w:pPr>
              <w:jc w:val="right"/>
              <w:rPr>
                <w:color w:val="000000"/>
                <w:sz w:val="20"/>
                <w:szCs w:val="20"/>
              </w:rPr>
            </w:pPr>
            <w:r>
              <w:rPr>
                <w:color w:val="000000"/>
                <w:sz w:val="20"/>
                <w:szCs w:val="20"/>
              </w:rPr>
              <w:t>0.156</w:t>
            </w:r>
          </w:p>
        </w:tc>
        <w:tc>
          <w:tcPr>
            <w:tcW w:w="768" w:type="dxa"/>
            <w:tcBorders>
              <w:top w:val="nil"/>
              <w:left w:val="nil"/>
              <w:bottom w:val="single" w:sz="4" w:space="0" w:color="auto"/>
              <w:right w:val="nil"/>
            </w:tcBorders>
            <w:shd w:val="clear" w:color="auto" w:fill="auto"/>
            <w:noWrap/>
            <w:vAlign w:val="bottom"/>
            <w:hideMark/>
          </w:tcPr>
          <w:p w14:paraId="2125456B" w14:textId="6305C56F"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DE4D764" w14:textId="57AD366E" w:rsidR="004E7A14" w:rsidRDefault="004E7A14" w:rsidP="004E7A14">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3F27DE10" w14:textId="52B900D9" w:rsidR="004E7A14" w:rsidRDefault="004E7A14" w:rsidP="004E7A14">
            <w:pPr>
              <w:jc w:val="right"/>
              <w:rPr>
                <w:color w:val="000000"/>
                <w:sz w:val="20"/>
                <w:szCs w:val="20"/>
              </w:rPr>
            </w:pPr>
            <w:r>
              <w:rPr>
                <w:color w:val="000000"/>
                <w:sz w:val="20"/>
                <w:szCs w:val="20"/>
              </w:rPr>
              <w:t>0.467</w:t>
            </w:r>
          </w:p>
        </w:tc>
        <w:tc>
          <w:tcPr>
            <w:tcW w:w="768" w:type="dxa"/>
            <w:tcBorders>
              <w:top w:val="nil"/>
              <w:left w:val="nil"/>
              <w:bottom w:val="single" w:sz="4" w:space="0" w:color="auto"/>
              <w:right w:val="nil"/>
            </w:tcBorders>
            <w:shd w:val="clear" w:color="auto" w:fill="auto"/>
            <w:noWrap/>
            <w:vAlign w:val="bottom"/>
            <w:hideMark/>
          </w:tcPr>
          <w:p w14:paraId="777ED145" w14:textId="4171A027"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72F2C84" w14:textId="5CFC2400" w:rsidR="004E7A14" w:rsidRDefault="004E7A14" w:rsidP="004E7A14">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47CBA5E2" w14:textId="5D888C88" w:rsidR="004E7A14" w:rsidRDefault="004E7A14" w:rsidP="004E7A14">
            <w:pPr>
              <w:jc w:val="right"/>
              <w:rPr>
                <w:color w:val="000000"/>
                <w:sz w:val="20"/>
                <w:szCs w:val="20"/>
              </w:rPr>
            </w:pPr>
            <w:r>
              <w:rPr>
                <w:color w:val="000000"/>
                <w:sz w:val="20"/>
                <w:szCs w:val="20"/>
              </w:rPr>
              <w:t>0.339</w:t>
            </w:r>
          </w:p>
        </w:tc>
        <w:tc>
          <w:tcPr>
            <w:tcW w:w="768" w:type="dxa"/>
            <w:tcBorders>
              <w:top w:val="nil"/>
              <w:left w:val="nil"/>
              <w:bottom w:val="single" w:sz="4" w:space="0" w:color="auto"/>
              <w:right w:val="nil"/>
            </w:tcBorders>
            <w:shd w:val="clear" w:color="auto" w:fill="auto"/>
            <w:noWrap/>
            <w:vAlign w:val="bottom"/>
            <w:hideMark/>
          </w:tcPr>
          <w:p w14:paraId="6AA7B873" w14:textId="1B6DBBAE" w:rsidR="004E7A14" w:rsidRDefault="004E7A14" w:rsidP="004E7A14">
            <w:pPr>
              <w:jc w:val="right"/>
              <w:rPr>
                <w:color w:val="000000"/>
                <w:sz w:val="20"/>
                <w:szCs w:val="20"/>
              </w:rPr>
            </w:pPr>
            <w:r>
              <w:rPr>
                <w:color w:val="000000"/>
                <w:sz w:val="20"/>
                <w:szCs w:val="20"/>
              </w:rPr>
              <w:t>0.001</w:t>
            </w:r>
          </w:p>
        </w:tc>
      </w:tr>
      <w:tr w:rsidR="004E7A14" w14:paraId="171F2504" w14:textId="77777777" w:rsidTr="00CC2214">
        <w:trPr>
          <w:trHeight w:val="320"/>
        </w:trPr>
        <w:tc>
          <w:tcPr>
            <w:tcW w:w="1176" w:type="dxa"/>
            <w:tcBorders>
              <w:top w:val="nil"/>
              <w:left w:val="nil"/>
              <w:bottom w:val="nil"/>
              <w:right w:val="nil"/>
            </w:tcBorders>
            <w:shd w:val="clear" w:color="auto" w:fill="auto"/>
            <w:noWrap/>
            <w:vAlign w:val="bottom"/>
            <w:hideMark/>
          </w:tcPr>
          <w:p w14:paraId="46F0BE77" w14:textId="77777777" w:rsidR="004E7A14" w:rsidRDefault="004E7A14" w:rsidP="004E7A14">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1CC7AA48" w14:textId="77777777" w:rsidR="004E7A14" w:rsidRDefault="004E7A14" w:rsidP="004E7A14">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2DC57D6" w14:textId="49F1FCF5" w:rsidR="004E7A14" w:rsidRDefault="004E7A14" w:rsidP="004E7A14">
            <w:pPr>
              <w:jc w:val="right"/>
              <w:rPr>
                <w:b/>
                <w:bCs/>
                <w:color w:val="000000"/>
                <w:sz w:val="20"/>
                <w:szCs w:val="20"/>
              </w:rPr>
            </w:pPr>
            <w:r>
              <w:rPr>
                <w:b/>
                <w:bCs/>
                <w:color w:val="000000"/>
                <w:sz w:val="20"/>
                <w:szCs w:val="20"/>
              </w:rPr>
              <w:t>0.087</w:t>
            </w:r>
          </w:p>
        </w:tc>
        <w:tc>
          <w:tcPr>
            <w:tcW w:w="768" w:type="dxa"/>
            <w:tcBorders>
              <w:top w:val="nil"/>
              <w:left w:val="nil"/>
              <w:bottom w:val="nil"/>
              <w:right w:val="nil"/>
            </w:tcBorders>
            <w:shd w:val="clear" w:color="auto" w:fill="auto"/>
            <w:noWrap/>
            <w:vAlign w:val="bottom"/>
            <w:hideMark/>
          </w:tcPr>
          <w:p w14:paraId="4A2271C0" w14:textId="0F3237D2"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2672B7C1" w14:textId="127D806E" w:rsidR="004E7A14" w:rsidRDefault="004E7A14" w:rsidP="004E7A14">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1A003B43" w14:textId="77535AFE"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5EE2C25" w14:textId="6F68A5A7" w:rsidR="004E7A14" w:rsidRDefault="004E7A14" w:rsidP="004E7A14">
            <w:pPr>
              <w:jc w:val="right"/>
              <w:rPr>
                <w:color w:val="000000"/>
                <w:sz w:val="20"/>
                <w:szCs w:val="20"/>
              </w:rPr>
            </w:pPr>
            <w:r>
              <w:rPr>
                <w:color w:val="000000"/>
                <w:sz w:val="20"/>
                <w:szCs w:val="20"/>
              </w:rPr>
              <w:t>0.825</w:t>
            </w:r>
          </w:p>
        </w:tc>
        <w:tc>
          <w:tcPr>
            <w:tcW w:w="768" w:type="dxa"/>
            <w:tcBorders>
              <w:top w:val="nil"/>
              <w:left w:val="nil"/>
              <w:bottom w:val="nil"/>
              <w:right w:val="nil"/>
            </w:tcBorders>
            <w:shd w:val="clear" w:color="auto" w:fill="auto"/>
            <w:noWrap/>
            <w:vAlign w:val="bottom"/>
            <w:hideMark/>
          </w:tcPr>
          <w:p w14:paraId="6D2040C2" w14:textId="71982672"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6150F6" w14:textId="47C5B7F9"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56B91DB" w14:textId="4C240C6A" w:rsidR="004E7A14" w:rsidRDefault="004E7A14" w:rsidP="004E7A14">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3AC76A02" w14:textId="14817EA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3A947D" w14:textId="376811A7"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5F3702" w14:textId="1B1A4943" w:rsidR="004E7A14" w:rsidRDefault="004E7A14" w:rsidP="004E7A14">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40CE1906" w14:textId="7D82E9DD"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A2D817" w14:textId="5C3F22DD" w:rsidR="004E7A14" w:rsidRDefault="004E7A14" w:rsidP="004E7A14">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B48CD30" w14:textId="35CD40F6" w:rsidR="004E7A14" w:rsidRDefault="004E7A14" w:rsidP="004E7A14">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22F47452" w14:textId="62231008" w:rsidR="004E7A14" w:rsidRDefault="004E7A14" w:rsidP="004E7A14">
            <w:pPr>
              <w:jc w:val="right"/>
              <w:rPr>
                <w:color w:val="000000"/>
                <w:sz w:val="20"/>
                <w:szCs w:val="20"/>
              </w:rPr>
            </w:pPr>
            <w:r>
              <w:rPr>
                <w:color w:val="000000"/>
                <w:sz w:val="20"/>
                <w:szCs w:val="20"/>
              </w:rPr>
              <w:t>0.000</w:t>
            </w:r>
          </w:p>
        </w:tc>
      </w:tr>
      <w:tr w:rsidR="004E7A14" w14:paraId="2F0A51AC" w14:textId="77777777" w:rsidTr="00CC2214">
        <w:trPr>
          <w:trHeight w:val="320"/>
        </w:trPr>
        <w:tc>
          <w:tcPr>
            <w:tcW w:w="1176" w:type="dxa"/>
            <w:tcBorders>
              <w:top w:val="nil"/>
              <w:left w:val="nil"/>
              <w:bottom w:val="nil"/>
              <w:right w:val="nil"/>
            </w:tcBorders>
            <w:shd w:val="clear" w:color="auto" w:fill="auto"/>
            <w:noWrap/>
            <w:vAlign w:val="bottom"/>
            <w:hideMark/>
          </w:tcPr>
          <w:p w14:paraId="20DBB8E9"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518DCD" w14:textId="77777777" w:rsidR="004E7A14" w:rsidRDefault="004E7A14" w:rsidP="004E7A1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BB9AC11" w14:textId="658B9B3F" w:rsidR="004E7A14" w:rsidRDefault="004E7A14" w:rsidP="004E7A14">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D0AE3A9" w14:textId="3512262C" w:rsidR="004E7A14" w:rsidRDefault="004E7A14" w:rsidP="004E7A14">
            <w:pPr>
              <w:jc w:val="right"/>
              <w:rPr>
                <w:color w:val="000000"/>
                <w:sz w:val="20"/>
                <w:szCs w:val="20"/>
              </w:rPr>
            </w:pPr>
            <w:r>
              <w:rPr>
                <w:color w:val="000000"/>
                <w:sz w:val="20"/>
                <w:szCs w:val="20"/>
              </w:rPr>
              <w:t>0.170</w:t>
            </w:r>
          </w:p>
        </w:tc>
        <w:tc>
          <w:tcPr>
            <w:tcW w:w="768" w:type="dxa"/>
            <w:tcBorders>
              <w:top w:val="nil"/>
              <w:left w:val="nil"/>
              <w:bottom w:val="nil"/>
              <w:right w:val="nil"/>
            </w:tcBorders>
            <w:shd w:val="clear" w:color="auto" w:fill="auto"/>
            <w:noWrap/>
            <w:vAlign w:val="bottom"/>
            <w:hideMark/>
          </w:tcPr>
          <w:p w14:paraId="25CCC248" w14:textId="3B903E85"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460F9C" w14:textId="56EEAEFF" w:rsidR="004E7A14" w:rsidRDefault="004E7A14" w:rsidP="004E7A14">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9D1AA25" w14:textId="5C97B498" w:rsidR="004E7A14" w:rsidRDefault="004E7A14" w:rsidP="004E7A14">
            <w:pPr>
              <w:jc w:val="right"/>
              <w:rPr>
                <w:color w:val="000000"/>
                <w:sz w:val="20"/>
                <w:szCs w:val="20"/>
              </w:rPr>
            </w:pPr>
            <w:r>
              <w:rPr>
                <w:color w:val="000000"/>
                <w:sz w:val="20"/>
                <w:szCs w:val="20"/>
              </w:rPr>
              <w:t>0.722</w:t>
            </w:r>
          </w:p>
        </w:tc>
        <w:tc>
          <w:tcPr>
            <w:tcW w:w="768" w:type="dxa"/>
            <w:tcBorders>
              <w:top w:val="nil"/>
              <w:left w:val="nil"/>
              <w:bottom w:val="nil"/>
              <w:right w:val="nil"/>
            </w:tcBorders>
            <w:shd w:val="clear" w:color="auto" w:fill="auto"/>
            <w:noWrap/>
            <w:vAlign w:val="bottom"/>
            <w:hideMark/>
          </w:tcPr>
          <w:p w14:paraId="4B78F215" w14:textId="3F2EEA66"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EBE2A5" w14:textId="7541FFEA" w:rsidR="004E7A14" w:rsidRDefault="004E7A14" w:rsidP="004E7A1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962DE08" w14:textId="2650EDF5" w:rsidR="004E7A14" w:rsidRDefault="004E7A14" w:rsidP="004E7A14">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10ECD01F" w14:textId="7AB37545"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F8E85C" w14:textId="078BBEE3" w:rsidR="004E7A14" w:rsidRDefault="004E7A14" w:rsidP="004E7A14">
            <w:pPr>
              <w:jc w:val="right"/>
              <w:rPr>
                <w:b/>
                <w:bCs/>
                <w:color w:val="000000"/>
                <w:sz w:val="20"/>
                <w:szCs w:val="20"/>
              </w:rPr>
            </w:pPr>
            <w:r>
              <w:rPr>
                <w:b/>
                <w:bCs/>
                <w:color w:val="000000"/>
                <w:sz w:val="20"/>
                <w:szCs w:val="20"/>
              </w:rPr>
              <w:t>-0.075</w:t>
            </w:r>
          </w:p>
        </w:tc>
        <w:tc>
          <w:tcPr>
            <w:tcW w:w="768" w:type="dxa"/>
            <w:tcBorders>
              <w:top w:val="nil"/>
              <w:left w:val="nil"/>
              <w:bottom w:val="nil"/>
              <w:right w:val="nil"/>
            </w:tcBorders>
            <w:shd w:val="clear" w:color="auto" w:fill="auto"/>
            <w:noWrap/>
            <w:vAlign w:val="bottom"/>
            <w:hideMark/>
          </w:tcPr>
          <w:p w14:paraId="52F70CFA" w14:textId="43D5FDC9"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AB9C0D0" w14:textId="5A24C096" w:rsidR="004E7A14" w:rsidRDefault="004E7A14" w:rsidP="004E7A14">
            <w:pPr>
              <w:jc w:val="right"/>
              <w:rPr>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7326DE46" w14:textId="61578C24" w:rsidR="004E7A14" w:rsidRDefault="004E7A14" w:rsidP="004E7A14">
            <w:pPr>
              <w:jc w:val="right"/>
              <w:rPr>
                <w:b/>
                <w:bCs/>
                <w:color w:val="000000"/>
                <w:sz w:val="20"/>
                <w:szCs w:val="20"/>
              </w:rPr>
            </w:pPr>
            <w:r>
              <w:rPr>
                <w:b/>
                <w:bCs/>
                <w:color w:val="000000"/>
                <w:sz w:val="20"/>
                <w:szCs w:val="20"/>
              </w:rPr>
              <w:t>0.078</w:t>
            </w:r>
          </w:p>
        </w:tc>
        <w:tc>
          <w:tcPr>
            <w:tcW w:w="768" w:type="dxa"/>
            <w:tcBorders>
              <w:top w:val="nil"/>
              <w:left w:val="nil"/>
              <w:bottom w:val="nil"/>
              <w:right w:val="nil"/>
            </w:tcBorders>
            <w:shd w:val="clear" w:color="auto" w:fill="auto"/>
            <w:noWrap/>
            <w:vAlign w:val="bottom"/>
            <w:hideMark/>
          </w:tcPr>
          <w:p w14:paraId="352A2728" w14:textId="2A99157C" w:rsidR="004E7A14" w:rsidRDefault="004E7A14" w:rsidP="004E7A1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D2CE999" w14:textId="3E02B2C8" w:rsidR="004E7A14" w:rsidRDefault="004E7A14" w:rsidP="004E7A14">
            <w:pPr>
              <w:jc w:val="right"/>
              <w:rPr>
                <w:color w:val="000000"/>
                <w:sz w:val="20"/>
                <w:szCs w:val="20"/>
              </w:rPr>
            </w:pPr>
            <w:r>
              <w:rPr>
                <w:b/>
                <w:bCs/>
                <w:color w:val="000000"/>
                <w:sz w:val="20"/>
                <w:szCs w:val="20"/>
              </w:rPr>
              <w:t>0.006</w:t>
            </w:r>
          </w:p>
        </w:tc>
      </w:tr>
      <w:tr w:rsidR="004E7A14" w14:paraId="7BD1DE75" w14:textId="77777777" w:rsidTr="00CC2214">
        <w:trPr>
          <w:trHeight w:val="320"/>
        </w:trPr>
        <w:tc>
          <w:tcPr>
            <w:tcW w:w="1176" w:type="dxa"/>
            <w:tcBorders>
              <w:top w:val="nil"/>
              <w:left w:val="nil"/>
              <w:bottom w:val="nil"/>
              <w:right w:val="nil"/>
            </w:tcBorders>
            <w:shd w:val="clear" w:color="auto" w:fill="auto"/>
            <w:noWrap/>
            <w:vAlign w:val="bottom"/>
            <w:hideMark/>
          </w:tcPr>
          <w:p w14:paraId="39EC0B14"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F71BEB5" w14:textId="77777777" w:rsidR="004E7A14" w:rsidRDefault="004E7A14" w:rsidP="004E7A1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9ADE153" w14:textId="4DF501BE" w:rsidR="004E7A14" w:rsidRDefault="004E7A14" w:rsidP="004E7A14">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5EA9F023" w14:textId="72913648" w:rsidR="004E7A14" w:rsidRDefault="004E7A14" w:rsidP="004E7A14">
            <w:pPr>
              <w:jc w:val="right"/>
              <w:rPr>
                <w:color w:val="000000"/>
                <w:sz w:val="20"/>
                <w:szCs w:val="20"/>
              </w:rPr>
            </w:pPr>
            <w:r>
              <w:rPr>
                <w:color w:val="000000"/>
                <w:sz w:val="20"/>
                <w:szCs w:val="20"/>
              </w:rPr>
              <w:t>0.293</w:t>
            </w:r>
          </w:p>
        </w:tc>
        <w:tc>
          <w:tcPr>
            <w:tcW w:w="768" w:type="dxa"/>
            <w:tcBorders>
              <w:top w:val="nil"/>
              <w:left w:val="nil"/>
              <w:bottom w:val="nil"/>
              <w:right w:val="nil"/>
            </w:tcBorders>
            <w:shd w:val="clear" w:color="auto" w:fill="auto"/>
            <w:noWrap/>
            <w:vAlign w:val="bottom"/>
            <w:hideMark/>
          </w:tcPr>
          <w:p w14:paraId="386E5764" w14:textId="6A8306DC"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C1B67A6" w14:textId="22D71754" w:rsidR="004E7A14" w:rsidRDefault="004E7A14" w:rsidP="004E7A14">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26440B8" w14:textId="03F4D75F" w:rsidR="004E7A14" w:rsidRDefault="004E7A14" w:rsidP="004E7A14">
            <w:pPr>
              <w:jc w:val="right"/>
              <w:rPr>
                <w:color w:val="000000"/>
                <w:sz w:val="20"/>
                <w:szCs w:val="20"/>
              </w:rPr>
            </w:pPr>
            <w:r>
              <w:rPr>
                <w:color w:val="000000"/>
                <w:sz w:val="20"/>
                <w:szCs w:val="20"/>
              </w:rPr>
              <w:t>0.811</w:t>
            </w:r>
          </w:p>
        </w:tc>
        <w:tc>
          <w:tcPr>
            <w:tcW w:w="768" w:type="dxa"/>
            <w:tcBorders>
              <w:top w:val="nil"/>
              <w:left w:val="nil"/>
              <w:bottom w:val="nil"/>
              <w:right w:val="nil"/>
            </w:tcBorders>
            <w:shd w:val="clear" w:color="auto" w:fill="auto"/>
            <w:noWrap/>
            <w:vAlign w:val="bottom"/>
            <w:hideMark/>
          </w:tcPr>
          <w:p w14:paraId="1B139E99" w14:textId="3B677255"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B81F8F" w14:textId="4F0C5C2E" w:rsidR="004E7A14" w:rsidRDefault="004E7A14" w:rsidP="004E7A14">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49F91D4" w14:textId="37D9AA17" w:rsidR="004E7A14" w:rsidRDefault="004E7A14" w:rsidP="004E7A14">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58AA6CE6" w14:textId="3A6BEB78"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D208933" w14:textId="6A966792" w:rsidR="004E7A14" w:rsidRDefault="004E7A14" w:rsidP="004E7A14">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043C349C" w14:textId="3386C385" w:rsidR="004E7A14" w:rsidRDefault="004E7A14" w:rsidP="004E7A14">
            <w:pPr>
              <w:jc w:val="right"/>
              <w:rPr>
                <w:color w:val="000000"/>
                <w:sz w:val="20"/>
                <w:szCs w:val="20"/>
              </w:rPr>
            </w:pPr>
            <w:r>
              <w:rPr>
                <w:color w:val="000000"/>
                <w:sz w:val="20"/>
                <w:szCs w:val="20"/>
              </w:rPr>
              <w:t>0.454</w:t>
            </w:r>
          </w:p>
        </w:tc>
        <w:tc>
          <w:tcPr>
            <w:tcW w:w="768" w:type="dxa"/>
            <w:tcBorders>
              <w:top w:val="nil"/>
              <w:left w:val="nil"/>
              <w:bottom w:val="nil"/>
              <w:right w:val="nil"/>
            </w:tcBorders>
            <w:shd w:val="clear" w:color="auto" w:fill="auto"/>
            <w:noWrap/>
            <w:vAlign w:val="bottom"/>
            <w:hideMark/>
          </w:tcPr>
          <w:p w14:paraId="14BAF84D" w14:textId="434C34E2"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3D45B37" w14:textId="51C284BF"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4BC447D" w14:textId="694A4740" w:rsidR="004E7A14" w:rsidRDefault="004E7A14" w:rsidP="004E7A14">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259C64C0" w14:textId="44E1CBB0" w:rsidR="004E7A14" w:rsidRDefault="004E7A14" w:rsidP="004E7A14">
            <w:pPr>
              <w:jc w:val="right"/>
              <w:rPr>
                <w:color w:val="000000"/>
                <w:sz w:val="20"/>
                <w:szCs w:val="20"/>
              </w:rPr>
            </w:pPr>
            <w:r>
              <w:rPr>
                <w:color w:val="000000"/>
                <w:sz w:val="20"/>
                <w:szCs w:val="20"/>
              </w:rPr>
              <w:t>0.000</w:t>
            </w:r>
          </w:p>
        </w:tc>
      </w:tr>
      <w:tr w:rsidR="004E7A14" w14:paraId="0BDA2751" w14:textId="77777777" w:rsidTr="00CC2214">
        <w:trPr>
          <w:trHeight w:val="320"/>
        </w:trPr>
        <w:tc>
          <w:tcPr>
            <w:tcW w:w="1176" w:type="dxa"/>
            <w:tcBorders>
              <w:top w:val="nil"/>
              <w:left w:val="nil"/>
              <w:bottom w:val="nil"/>
              <w:right w:val="nil"/>
            </w:tcBorders>
            <w:shd w:val="clear" w:color="auto" w:fill="auto"/>
            <w:noWrap/>
            <w:vAlign w:val="bottom"/>
            <w:hideMark/>
          </w:tcPr>
          <w:p w14:paraId="3D501DFF"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59BA444" w14:textId="77777777" w:rsidR="004E7A14" w:rsidRDefault="004E7A14" w:rsidP="004E7A1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EF99C5E" w14:textId="06E56908" w:rsidR="004E7A14" w:rsidRDefault="004E7A14" w:rsidP="004E7A14">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8F0AFEB" w14:textId="1E01EB03" w:rsidR="004E7A14" w:rsidRDefault="004E7A14" w:rsidP="004E7A14">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5499A841" w14:textId="310103B0"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D8B64F" w14:textId="3C95C57F" w:rsidR="004E7A14" w:rsidRDefault="004E7A14" w:rsidP="004E7A14">
            <w:pPr>
              <w:jc w:val="right"/>
              <w:rPr>
                <w:b/>
                <w:bCs/>
                <w:color w:val="000000"/>
                <w:sz w:val="20"/>
                <w:szCs w:val="20"/>
              </w:rPr>
            </w:pPr>
            <w:r>
              <w:rPr>
                <w:b/>
                <w:bCs/>
                <w:color w:val="000000"/>
                <w:sz w:val="20"/>
                <w:szCs w:val="20"/>
              </w:rPr>
              <w:t>0.062</w:t>
            </w:r>
          </w:p>
        </w:tc>
        <w:tc>
          <w:tcPr>
            <w:tcW w:w="768" w:type="dxa"/>
            <w:tcBorders>
              <w:top w:val="nil"/>
              <w:left w:val="nil"/>
              <w:bottom w:val="nil"/>
              <w:right w:val="nil"/>
            </w:tcBorders>
            <w:shd w:val="clear" w:color="auto" w:fill="auto"/>
            <w:noWrap/>
            <w:vAlign w:val="bottom"/>
            <w:hideMark/>
          </w:tcPr>
          <w:p w14:paraId="05D6AF5F" w14:textId="50F649D4" w:rsidR="004E7A14" w:rsidRDefault="004E7A14" w:rsidP="004E7A14">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18128B9B" w14:textId="74E7C811" w:rsidR="004E7A14" w:rsidRDefault="004E7A14" w:rsidP="004E7A14">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1A8286B6" w14:textId="5C338154" w:rsidR="004E7A14" w:rsidRDefault="004E7A14" w:rsidP="004E7A14">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1C76BFF2" w14:textId="685CB769" w:rsidR="004E7A14" w:rsidRDefault="004E7A14" w:rsidP="004E7A14">
            <w:pPr>
              <w:jc w:val="right"/>
              <w:rPr>
                <w:color w:val="000000"/>
                <w:sz w:val="20"/>
                <w:szCs w:val="20"/>
              </w:rPr>
            </w:pPr>
            <w:r>
              <w:rPr>
                <w:color w:val="000000"/>
                <w:sz w:val="20"/>
                <w:szCs w:val="20"/>
              </w:rPr>
              <w:t>0.310</w:t>
            </w:r>
          </w:p>
        </w:tc>
        <w:tc>
          <w:tcPr>
            <w:tcW w:w="768" w:type="dxa"/>
            <w:tcBorders>
              <w:top w:val="nil"/>
              <w:left w:val="nil"/>
              <w:bottom w:val="nil"/>
              <w:right w:val="nil"/>
            </w:tcBorders>
            <w:shd w:val="clear" w:color="auto" w:fill="auto"/>
            <w:noWrap/>
            <w:vAlign w:val="bottom"/>
            <w:hideMark/>
          </w:tcPr>
          <w:p w14:paraId="12AE79DD" w14:textId="249B6B8B"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A85C9AF" w14:textId="41E32AF5" w:rsidR="004E7A14" w:rsidRDefault="004E7A14" w:rsidP="004E7A14">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09971379" w14:textId="1D2C0E51" w:rsidR="004E7A14" w:rsidRDefault="004E7A14" w:rsidP="004E7A14">
            <w:pPr>
              <w:jc w:val="right"/>
              <w:rPr>
                <w:color w:val="000000"/>
                <w:sz w:val="20"/>
                <w:szCs w:val="20"/>
              </w:rPr>
            </w:pPr>
            <w:r>
              <w:rPr>
                <w:color w:val="000000"/>
                <w:sz w:val="20"/>
                <w:szCs w:val="20"/>
              </w:rPr>
              <w:t>0.454</w:t>
            </w:r>
          </w:p>
        </w:tc>
        <w:tc>
          <w:tcPr>
            <w:tcW w:w="768" w:type="dxa"/>
            <w:tcBorders>
              <w:top w:val="nil"/>
              <w:left w:val="nil"/>
              <w:bottom w:val="nil"/>
              <w:right w:val="nil"/>
            </w:tcBorders>
            <w:shd w:val="clear" w:color="auto" w:fill="auto"/>
            <w:noWrap/>
            <w:vAlign w:val="bottom"/>
            <w:hideMark/>
          </w:tcPr>
          <w:p w14:paraId="03D2B4B8" w14:textId="07303A31"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6BAD51" w14:textId="706C0191" w:rsidR="004E7A14" w:rsidRDefault="004E7A14" w:rsidP="004E7A1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EE4D84A" w14:textId="5C73C132" w:rsidR="004E7A14" w:rsidRDefault="004E7A14" w:rsidP="004E7A14">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3C4A5CE2" w14:textId="01FD37BF" w:rsidR="004E7A14" w:rsidRDefault="004E7A14" w:rsidP="004E7A14">
            <w:pPr>
              <w:jc w:val="right"/>
              <w:rPr>
                <w:color w:val="000000"/>
                <w:sz w:val="20"/>
                <w:szCs w:val="20"/>
              </w:rPr>
            </w:pPr>
            <w:r>
              <w:rPr>
                <w:color w:val="000000"/>
                <w:sz w:val="20"/>
                <w:szCs w:val="20"/>
              </w:rPr>
              <w:t>0.001</w:t>
            </w:r>
          </w:p>
        </w:tc>
      </w:tr>
      <w:tr w:rsidR="004E7A14" w14:paraId="3E5F3F87" w14:textId="77777777" w:rsidTr="00CC2214">
        <w:trPr>
          <w:trHeight w:val="320"/>
        </w:trPr>
        <w:tc>
          <w:tcPr>
            <w:tcW w:w="1176" w:type="dxa"/>
            <w:tcBorders>
              <w:top w:val="nil"/>
              <w:left w:val="nil"/>
              <w:bottom w:val="nil"/>
              <w:right w:val="nil"/>
            </w:tcBorders>
            <w:shd w:val="clear" w:color="auto" w:fill="auto"/>
            <w:noWrap/>
            <w:vAlign w:val="bottom"/>
            <w:hideMark/>
          </w:tcPr>
          <w:p w14:paraId="4B230067"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D34F2E" w14:textId="77777777" w:rsidR="004E7A14" w:rsidRDefault="004E7A14" w:rsidP="004E7A1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D91506E" w14:textId="25496EA7" w:rsidR="004E7A14" w:rsidRDefault="004E7A14" w:rsidP="004E7A14">
            <w:pPr>
              <w:jc w:val="right"/>
              <w:rPr>
                <w:b/>
                <w:bCs/>
                <w:color w:val="000000"/>
                <w:sz w:val="20"/>
                <w:szCs w:val="20"/>
              </w:rPr>
            </w:pPr>
            <w:r>
              <w:rPr>
                <w:b/>
                <w:bCs/>
                <w:color w:val="000000"/>
                <w:sz w:val="20"/>
                <w:szCs w:val="20"/>
              </w:rPr>
              <w:t>-0.053</w:t>
            </w:r>
          </w:p>
        </w:tc>
        <w:tc>
          <w:tcPr>
            <w:tcW w:w="768" w:type="dxa"/>
            <w:tcBorders>
              <w:top w:val="nil"/>
              <w:left w:val="nil"/>
              <w:bottom w:val="nil"/>
              <w:right w:val="nil"/>
            </w:tcBorders>
            <w:shd w:val="clear" w:color="auto" w:fill="auto"/>
            <w:noWrap/>
            <w:vAlign w:val="bottom"/>
            <w:hideMark/>
          </w:tcPr>
          <w:p w14:paraId="4AC7790E" w14:textId="220F184B" w:rsidR="004E7A14" w:rsidRDefault="004E7A14" w:rsidP="004E7A14">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617BF9E8" w14:textId="4F0904F8" w:rsidR="004E7A14" w:rsidRDefault="004E7A14" w:rsidP="004E7A14">
            <w:pPr>
              <w:jc w:val="right"/>
              <w:rPr>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6C2F21BB" w14:textId="19FE4733" w:rsidR="004E7A14" w:rsidRDefault="004E7A14" w:rsidP="004E7A1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72DE4B7" w14:textId="12D3CC10" w:rsidR="004E7A14" w:rsidRDefault="004E7A14" w:rsidP="004E7A14">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66AC1BF7" w14:textId="0A2AE749"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B9CA9D" w14:textId="79351BC6" w:rsidR="004E7A14" w:rsidRDefault="004E7A14" w:rsidP="004E7A14">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399EDADA" w14:textId="557EE4B8" w:rsidR="004E7A14" w:rsidRDefault="004E7A14" w:rsidP="004E7A14">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1E3EB3BD" w14:textId="64886319"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6822BA1" w14:textId="6539016D"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D0B4C1" w14:textId="1D691A3A" w:rsidR="004E7A14" w:rsidRDefault="004E7A14" w:rsidP="004E7A14">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23B30DDB" w14:textId="34AD281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2757D0" w14:textId="4E77C030"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B608474" w14:textId="2F263BB5" w:rsidR="004E7A14" w:rsidRDefault="004E7A14" w:rsidP="004E7A14">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30C63154" w14:textId="2B3820A2" w:rsidR="004E7A14" w:rsidRDefault="004E7A14" w:rsidP="004E7A14">
            <w:pPr>
              <w:jc w:val="right"/>
              <w:rPr>
                <w:color w:val="000000"/>
                <w:sz w:val="20"/>
                <w:szCs w:val="20"/>
              </w:rPr>
            </w:pPr>
            <w:r>
              <w:rPr>
                <w:color w:val="000000"/>
                <w:sz w:val="20"/>
                <w:szCs w:val="20"/>
              </w:rPr>
              <w:t>0.000</w:t>
            </w:r>
          </w:p>
        </w:tc>
      </w:tr>
      <w:tr w:rsidR="004E7A14" w14:paraId="300589CF" w14:textId="77777777" w:rsidTr="00CC2214">
        <w:trPr>
          <w:trHeight w:val="320"/>
        </w:trPr>
        <w:tc>
          <w:tcPr>
            <w:tcW w:w="1176" w:type="dxa"/>
            <w:tcBorders>
              <w:top w:val="nil"/>
              <w:left w:val="nil"/>
              <w:bottom w:val="nil"/>
              <w:right w:val="nil"/>
            </w:tcBorders>
            <w:shd w:val="clear" w:color="auto" w:fill="auto"/>
            <w:noWrap/>
            <w:vAlign w:val="bottom"/>
            <w:hideMark/>
          </w:tcPr>
          <w:p w14:paraId="6714F9FA"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C6E727" w14:textId="77777777" w:rsidR="004E7A14" w:rsidRDefault="004E7A14" w:rsidP="004E7A1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B9E9C42" w14:textId="37C7A6FA" w:rsidR="004E7A14" w:rsidRDefault="004E7A14" w:rsidP="004E7A14">
            <w:pPr>
              <w:jc w:val="right"/>
              <w:rPr>
                <w:b/>
                <w:bCs/>
                <w:color w:val="000000"/>
                <w:sz w:val="20"/>
                <w:szCs w:val="20"/>
              </w:rPr>
            </w:pPr>
            <w:r>
              <w:rPr>
                <w:b/>
                <w:bCs/>
                <w:color w:val="000000"/>
                <w:sz w:val="20"/>
                <w:szCs w:val="20"/>
              </w:rPr>
              <w:t>0.082</w:t>
            </w:r>
          </w:p>
        </w:tc>
        <w:tc>
          <w:tcPr>
            <w:tcW w:w="768" w:type="dxa"/>
            <w:tcBorders>
              <w:top w:val="nil"/>
              <w:left w:val="nil"/>
              <w:bottom w:val="nil"/>
              <w:right w:val="nil"/>
            </w:tcBorders>
            <w:shd w:val="clear" w:color="auto" w:fill="auto"/>
            <w:noWrap/>
            <w:vAlign w:val="bottom"/>
            <w:hideMark/>
          </w:tcPr>
          <w:p w14:paraId="7EDD68B0" w14:textId="7C71EF88"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0F062A8A" w14:textId="10300F57" w:rsidR="004E7A14" w:rsidRDefault="004E7A14" w:rsidP="004E7A14">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7A9ABAAF" w14:textId="25665CE6" w:rsidR="004E7A14" w:rsidRDefault="004E7A14" w:rsidP="004E7A14">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1CF8C184" w14:textId="14324227" w:rsidR="004E7A14" w:rsidRDefault="004E7A14" w:rsidP="004E7A14">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0E2494D6" w14:textId="657D3F12"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C6E8BD8" w14:textId="668DCBF8" w:rsidR="004E7A14" w:rsidRDefault="004E7A14" w:rsidP="004E7A14">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7F7967E" w14:textId="142BE38A" w:rsidR="004E7A14" w:rsidRDefault="004E7A14" w:rsidP="004E7A14">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60551C04" w14:textId="062F396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20A0CB" w14:textId="65E34114"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AC54F55" w14:textId="12539A60" w:rsidR="004E7A14" w:rsidRDefault="004E7A14" w:rsidP="004E7A14">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0E814394" w14:textId="7E59D60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0A3420" w14:textId="3D160820"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27E5B4E" w14:textId="407388D3" w:rsidR="004E7A14" w:rsidRDefault="004E7A14" w:rsidP="004E7A14">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7481BB90" w14:textId="748258EE" w:rsidR="004E7A14" w:rsidRDefault="004E7A14" w:rsidP="004E7A14">
            <w:pPr>
              <w:jc w:val="right"/>
              <w:rPr>
                <w:color w:val="000000"/>
                <w:sz w:val="20"/>
                <w:szCs w:val="20"/>
              </w:rPr>
            </w:pPr>
            <w:r>
              <w:rPr>
                <w:color w:val="000000"/>
                <w:sz w:val="20"/>
                <w:szCs w:val="20"/>
              </w:rPr>
              <w:t>0.000</w:t>
            </w:r>
          </w:p>
        </w:tc>
      </w:tr>
      <w:tr w:rsidR="004E7A14" w14:paraId="5173EF14" w14:textId="77777777" w:rsidTr="00CC2214">
        <w:trPr>
          <w:trHeight w:val="320"/>
        </w:trPr>
        <w:tc>
          <w:tcPr>
            <w:tcW w:w="1176" w:type="dxa"/>
            <w:tcBorders>
              <w:top w:val="nil"/>
              <w:left w:val="nil"/>
              <w:bottom w:val="nil"/>
              <w:right w:val="nil"/>
            </w:tcBorders>
            <w:shd w:val="clear" w:color="auto" w:fill="auto"/>
            <w:noWrap/>
            <w:vAlign w:val="bottom"/>
            <w:hideMark/>
          </w:tcPr>
          <w:p w14:paraId="5F84A5D6"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DAE233" w14:textId="77777777" w:rsidR="004E7A14" w:rsidRDefault="004E7A14" w:rsidP="004E7A1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E24A81A" w14:textId="122E47C8" w:rsidR="004E7A14" w:rsidRDefault="004E7A14" w:rsidP="004E7A14">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F51C4BC" w14:textId="39E0B941" w:rsidR="004E7A14" w:rsidRDefault="004E7A14" w:rsidP="004E7A14">
            <w:pPr>
              <w:jc w:val="right"/>
              <w:rPr>
                <w:color w:val="000000"/>
                <w:sz w:val="20"/>
                <w:szCs w:val="20"/>
              </w:rPr>
            </w:pPr>
            <w:r>
              <w:rPr>
                <w:color w:val="000000"/>
                <w:sz w:val="20"/>
                <w:szCs w:val="20"/>
              </w:rPr>
              <w:t>0.295</w:t>
            </w:r>
          </w:p>
        </w:tc>
        <w:tc>
          <w:tcPr>
            <w:tcW w:w="768" w:type="dxa"/>
            <w:tcBorders>
              <w:top w:val="nil"/>
              <w:left w:val="nil"/>
              <w:bottom w:val="nil"/>
              <w:right w:val="nil"/>
            </w:tcBorders>
            <w:shd w:val="clear" w:color="auto" w:fill="auto"/>
            <w:noWrap/>
            <w:vAlign w:val="bottom"/>
            <w:hideMark/>
          </w:tcPr>
          <w:p w14:paraId="0EF55197" w14:textId="2EFCA1B8"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47D9E8" w14:textId="7AF3DFD6" w:rsidR="004E7A14" w:rsidRDefault="004E7A14" w:rsidP="004E7A14">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37F8123" w14:textId="1E70397A" w:rsidR="004E7A14" w:rsidRDefault="004E7A14" w:rsidP="004E7A14">
            <w:pPr>
              <w:jc w:val="right"/>
              <w:rPr>
                <w:color w:val="000000"/>
                <w:sz w:val="20"/>
                <w:szCs w:val="20"/>
              </w:rPr>
            </w:pPr>
            <w:r>
              <w:rPr>
                <w:color w:val="000000"/>
                <w:sz w:val="20"/>
                <w:szCs w:val="20"/>
              </w:rPr>
              <w:t>0.811</w:t>
            </w:r>
          </w:p>
        </w:tc>
        <w:tc>
          <w:tcPr>
            <w:tcW w:w="768" w:type="dxa"/>
            <w:tcBorders>
              <w:top w:val="nil"/>
              <w:left w:val="nil"/>
              <w:bottom w:val="nil"/>
              <w:right w:val="nil"/>
            </w:tcBorders>
            <w:shd w:val="clear" w:color="auto" w:fill="auto"/>
            <w:noWrap/>
            <w:vAlign w:val="bottom"/>
            <w:hideMark/>
          </w:tcPr>
          <w:p w14:paraId="4D89C5E6" w14:textId="594FEC35"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79EC82" w14:textId="3D68EDA2" w:rsidR="004E7A14" w:rsidRDefault="004E7A14" w:rsidP="004E7A14">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15731CE8" w14:textId="791E6B3B" w:rsidR="004E7A14" w:rsidRDefault="004E7A14" w:rsidP="004E7A14">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7C28B669" w14:textId="139754B0"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0EADAF2" w14:textId="0DA79BA8" w:rsidR="004E7A14" w:rsidRDefault="004E7A14" w:rsidP="004E7A14">
            <w:pPr>
              <w:jc w:val="right"/>
              <w:rPr>
                <w:b/>
                <w:bCs/>
                <w:color w:val="000000"/>
                <w:sz w:val="20"/>
                <w:szCs w:val="20"/>
              </w:rPr>
            </w:pPr>
            <w:r>
              <w:rPr>
                <w:b/>
                <w:bCs/>
                <w:color w:val="000000"/>
                <w:sz w:val="20"/>
                <w:szCs w:val="20"/>
              </w:rPr>
              <w:t>0.050</w:t>
            </w:r>
          </w:p>
        </w:tc>
        <w:tc>
          <w:tcPr>
            <w:tcW w:w="768" w:type="dxa"/>
            <w:tcBorders>
              <w:top w:val="nil"/>
              <w:left w:val="nil"/>
              <w:bottom w:val="nil"/>
              <w:right w:val="nil"/>
            </w:tcBorders>
            <w:shd w:val="clear" w:color="auto" w:fill="auto"/>
            <w:noWrap/>
            <w:vAlign w:val="bottom"/>
            <w:hideMark/>
          </w:tcPr>
          <w:p w14:paraId="0CDE590C" w14:textId="30D44F4A" w:rsidR="004E7A14" w:rsidRDefault="004E7A14" w:rsidP="004E7A14">
            <w:pPr>
              <w:jc w:val="right"/>
              <w:rPr>
                <w:b/>
                <w:bCs/>
                <w:color w:val="000000"/>
                <w:sz w:val="20"/>
                <w:szCs w:val="20"/>
              </w:rPr>
            </w:pPr>
            <w:r>
              <w:rPr>
                <w:b/>
                <w:bCs/>
                <w:color w:val="000000"/>
                <w:sz w:val="20"/>
                <w:szCs w:val="20"/>
              </w:rPr>
              <w:t>0.044</w:t>
            </w:r>
          </w:p>
        </w:tc>
        <w:tc>
          <w:tcPr>
            <w:tcW w:w="768" w:type="dxa"/>
            <w:tcBorders>
              <w:top w:val="nil"/>
              <w:left w:val="nil"/>
              <w:bottom w:val="nil"/>
              <w:right w:val="nil"/>
            </w:tcBorders>
            <w:shd w:val="clear" w:color="auto" w:fill="auto"/>
            <w:noWrap/>
            <w:vAlign w:val="bottom"/>
            <w:hideMark/>
          </w:tcPr>
          <w:p w14:paraId="490AE0C0" w14:textId="053250E2" w:rsidR="004E7A14" w:rsidRDefault="004E7A14" w:rsidP="004E7A14">
            <w:pPr>
              <w:jc w:val="right"/>
              <w:rPr>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415CF2DA" w14:textId="50B99EB1" w:rsidR="004E7A14" w:rsidRDefault="004E7A14" w:rsidP="004E7A14">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5DD6B84" w14:textId="1FA11221" w:rsidR="004E7A14" w:rsidRDefault="004E7A14" w:rsidP="004E7A14">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3A726405" w14:textId="3FC9173E" w:rsidR="004E7A14" w:rsidRDefault="004E7A14" w:rsidP="004E7A14">
            <w:pPr>
              <w:jc w:val="right"/>
              <w:rPr>
                <w:color w:val="000000"/>
                <w:sz w:val="20"/>
                <w:szCs w:val="20"/>
              </w:rPr>
            </w:pPr>
            <w:r>
              <w:rPr>
                <w:color w:val="000000"/>
                <w:sz w:val="20"/>
                <w:szCs w:val="20"/>
              </w:rPr>
              <w:t>0.000</w:t>
            </w:r>
          </w:p>
        </w:tc>
      </w:tr>
      <w:tr w:rsidR="004E7A14" w14:paraId="29680B09" w14:textId="77777777" w:rsidTr="00CC2214">
        <w:trPr>
          <w:trHeight w:val="340"/>
        </w:trPr>
        <w:tc>
          <w:tcPr>
            <w:tcW w:w="1176" w:type="dxa"/>
            <w:tcBorders>
              <w:top w:val="nil"/>
              <w:left w:val="nil"/>
              <w:bottom w:val="single" w:sz="12" w:space="0" w:color="auto"/>
              <w:right w:val="nil"/>
            </w:tcBorders>
            <w:shd w:val="clear" w:color="auto" w:fill="auto"/>
            <w:noWrap/>
            <w:vAlign w:val="bottom"/>
            <w:hideMark/>
          </w:tcPr>
          <w:p w14:paraId="67A7B53E" w14:textId="77777777" w:rsidR="004E7A14" w:rsidRDefault="004E7A14" w:rsidP="004E7A14">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27E109B4" w14:textId="77777777" w:rsidR="004E7A14" w:rsidRDefault="004E7A14" w:rsidP="004E7A14">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7F3E13BB" w14:textId="708122BA" w:rsidR="004E7A14" w:rsidRDefault="004E7A14" w:rsidP="004E7A14">
            <w:pPr>
              <w:jc w:val="right"/>
              <w:rPr>
                <w:color w:val="000000"/>
                <w:sz w:val="20"/>
                <w:szCs w:val="20"/>
              </w:rPr>
            </w:pPr>
            <w:r>
              <w:rPr>
                <w:color w:val="000000"/>
                <w:sz w:val="20"/>
                <w:szCs w:val="20"/>
              </w:rPr>
              <w:t>0.008</w:t>
            </w:r>
          </w:p>
        </w:tc>
        <w:tc>
          <w:tcPr>
            <w:tcW w:w="768" w:type="dxa"/>
            <w:tcBorders>
              <w:top w:val="nil"/>
              <w:left w:val="nil"/>
              <w:bottom w:val="single" w:sz="12" w:space="0" w:color="auto"/>
              <w:right w:val="nil"/>
            </w:tcBorders>
            <w:shd w:val="clear" w:color="auto" w:fill="auto"/>
            <w:noWrap/>
            <w:vAlign w:val="bottom"/>
            <w:hideMark/>
          </w:tcPr>
          <w:p w14:paraId="0B87E8DE" w14:textId="12959E60" w:rsidR="004E7A14" w:rsidRDefault="004E7A14" w:rsidP="004E7A14">
            <w:pPr>
              <w:jc w:val="right"/>
              <w:rPr>
                <w:color w:val="000000"/>
                <w:sz w:val="20"/>
                <w:szCs w:val="20"/>
              </w:rPr>
            </w:pPr>
            <w:r>
              <w:rPr>
                <w:color w:val="000000"/>
                <w:sz w:val="20"/>
                <w:szCs w:val="20"/>
              </w:rPr>
              <w:t>0.718</w:t>
            </w:r>
          </w:p>
        </w:tc>
        <w:tc>
          <w:tcPr>
            <w:tcW w:w="768" w:type="dxa"/>
            <w:tcBorders>
              <w:top w:val="nil"/>
              <w:left w:val="nil"/>
              <w:bottom w:val="single" w:sz="12" w:space="0" w:color="auto"/>
              <w:right w:val="nil"/>
            </w:tcBorders>
            <w:shd w:val="clear" w:color="auto" w:fill="auto"/>
            <w:noWrap/>
            <w:vAlign w:val="bottom"/>
            <w:hideMark/>
          </w:tcPr>
          <w:p w14:paraId="77FD50E8" w14:textId="66F88A0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C15C054" w14:textId="3AFF10D3" w:rsidR="004E7A14" w:rsidRDefault="004E7A14" w:rsidP="004E7A14">
            <w:pPr>
              <w:jc w:val="right"/>
              <w:rPr>
                <w:color w:val="000000"/>
                <w:sz w:val="20"/>
                <w:szCs w:val="20"/>
              </w:rPr>
            </w:pPr>
            <w:r>
              <w:rPr>
                <w:color w:val="000000"/>
                <w:sz w:val="20"/>
                <w:szCs w:val="20"/>
              </w:rPr>
              <w:t>-0.057</w:t>
            </w:r>
          </w:p>
        </w:tc>
        <w:tc>
          <w:tcPr>
            <w:tcW w:w="768" w:type="dxa"/>
            <w:tcBorders>
              <w:top w:val="nil"/>
              <w:left w:val="nil"/>
              <w:bottom w:val="single" w:sz="12" w:space="0" w:color="auto"/>
              <w:right w:val="nil"/>
            </w:tcBorders>
            <w:shd w:val="clear" w:color="auto" w:fill="auto"/>
            <w:noWrap/>
            <w:vAlign w:val="bottom"/>
            <w:hideMark/>
          </w:tcPr>
          <w:p w14:paraId="79802DA7" w14:textId="23AC8CA6" w:rsidR="004E7A14" w:rsidRDefault="004E7A14" w:rsidP="004E7A14">
            <w:pPr>
              <w:jc w:val="right"/>
              <w:rPr>
                <w:color w:val="000000"/>
                <w:sz w:val="20"/>
                <w:szCs w:val="20"/>
              </w:rPr>
            </w:pPr>
            <w:r>
              <w:rPr>
                <w:color w:val="000000"/>
                <w:sz w:val="20"/>
                <w:szCs w:val="20"/>
              </w:rPr>
              <w:t>0.060</w:t>
            </w:r>
          </w:p>
        </w:tc>
        <w:tc>
          <w:tcPr>
            <w:tcW w:w="768" w:type="dxa"/>
            <w:tcBorders>
              <w:top w:val="nil"/>
              <w:left w:val="nil"/>
              <w:bottom w:val="single" w:sz="12" w:space="0" w:color="auto"/>
              <w:right w:val="nil"/>
            </w:tcBorders>
            <w:shd w:val="clear" w:color="auto" w:fill="auto"/>
            <w:noWrap/>
            <w:vAlign w:val="bottom"/>
            <w:hideMark/>
          </w:tcPr>
          <w:p w14:paraId="45646963" w14:textId="670E6B17"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382BCF69" w14:textId="446FD719" w:rsidR="004E7A14" w:rsidRDefault="004E7A14" w:rsidP="004E7A14">
            <w:pPr>
              <w:jc w:val="right"/>
              <w:rPr>
                <w:color w:val="000000"/>
                <w:sz w:val="20"/>
                <w:szCs w:val="20"/>
              </w:rPr>
            </w:pPr>
            <w:r>
              <w:rPr>
                <w:color w:val="000000"/>
                <w:sz w:val="20"/>
                <w:szCs w:val="20"/>
              </w:rPr>
              <w:t>0.033</w:t>
            </w:r>
          </w:p>
        </w:tc>
        <w:tc>
          <w:tcPr>
            <w:tcW w:w="768" w:type="dxa"/>
            <w:tcBorders>
              <w:top w:val="nil"/>
              <w:left w:val="nil"/>
              <w:bottom w:val="single" w:sz="12" w:space="0" w:color="auto"/>
              <w:right w:val="nil"/>
            </w:tcBorders>
            <w:shd w:val="clear" w:color="auto" w:fill="auto"/>
            <w:noWrap/>
            <w:vAlign w:val="bottom"/>
            <w:hideMark/>
          </w:tcPr>
          <w:p w14:paraId="03C0BDD3" w14:textId="1B892AF9" w:rsidR="004E7A14" w:rsidRDefault="004E7A14" w:rsidP="004E7A14">
            <w:pPr>
              <w:jc w:val="right"/>
              <w:rPr>
                <w:color w:val="000000"/>
                <w:sz w:val="20"/>
                <w:szCs w:val="20"/>
              </w:rPr>
            </w:pPr>
            <w:r>
              <w:rPr>
                <w:color w:val="000000"/>
                <w:sz w:val="20"/>
                <w:szCs w:val="20"/>
              </w:rPr>
              <w:t>0.238</w:t>
            </w:r>
          </w:p>
        </w:tc>
        <w:tc>
          <w:tcPr>
            <w:tcW w:w="768" w:type="dxa"/>
            <w:tcBorders>
              <w:top w:val="nil"/>
              <w:left w:val="nil"/>
              <w:bottom w:val="single" w:sz="12" w:space="0" w:color="auto"/>
              <w:right w:val="nil"/>
            </w:tcBorders>
            <w:shd w:val="clear" w:color="auto" w:fill="auto"/>
            <w:noWrap/>
            <w:vAlign w:val="bottom"/>
            <w:hideMark/>
          </w:tcPr>
          <w:p w14:paraId="143EF07E" w14:textId="21E64EF9"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4D9CC506" w14:textId="418A283C"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single" w:sz="12" w:space="0" w:color="auto"/>
              <w:right w:val="nil"/>
            </w:tcBorders>
            <w:shd w:val="clear" w:color="auto" w:fill="auto"/>
            <w:noWrap/>
            <w:vAlign w:val="bottom"/>
            <w:hideMark/>
          </w:tcPr>
          <w:p w14:paraId="123F5A50" w14:textId="7ECBAD31" w:rsidR="004E7A14" w:rsidRDefault="004E7A14" w:rsidP="004E7A14">
            <w:pPr>
              <w:jc w:val="right"/>
              <w:rPr>
                <w:color w:val="000000"/>
                <w:sz w:val="20"/>
                <w:szCs w:val="20"/>
              </w:rPr>
            </w:pPr>
            <w:r>
              <w:rPr>
                <w:color w:val="000000"/>
                <w:sz w:val="20"/>
                <w:szCs w:val="20"/>
              </w:rPr>
              <w:t>0.781</w:t>
            </w:r>
          </w:p>
        </w:tc>
        <w:tc>
          <w:tcPr>
            <w:tcW w:w="768" w:type="dxa"/>
            <w:tcBorders>
              <w:top w:val="nil"/>
              <w:left w:val="nil"/>
              <w:bottom w:val="single" w:sz="12" w:space="0" w:color="auto"/>
              <w:right w:val="nil"/>
            </w:tcBorders>
            <w:shd w:val="clear" w:color="auto" w:fill="auto"/>
            <w:noWrap/>
            <w:vAlign w:val="bottom"/>
            <w:hideMark/>
          </w:tcPr>
          <w:p w14:paraId="23786E74" w14:textId="7505520A"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E32253E" w14:textId="12810E63" w:rsidR="004E7A14" w:rsidRDefault="004E7A14" w:rsidP="004E7A14">
            <w:pPr>
              <w:jc w:val="right"/>
              <w:rPr>
                <w:color w:val="000000"/>
                <w:sz w:val="20"/>
                <w:szCs w:val="20"/>
              </w:rPr>
            </w:pPr>
            <w:r>
              <w:rPr>
                <w:color w:val="000000"/>
                <w:sz w:val="20"/>
                <w:szCs w:val="20"/>
              </w:rPr>
              <w:t>0.039</w:t>
            </w:r>
          </w:p>
        </w:tc>
        <w:tc>
          <w:tcPr>
            <w:tcW w:w="768" w:type="dxa"/>
            <w:tcBorders>
              <w:top w:val="nil"/>
              <w:left w:val="nil"/>
              <w:bottom w:val="single" w:sz="12" w:space="0" w:color="auto"/>
              <w:right w:val="nil"/>
            </w:tcBorders>
            <w:shd w:val="clear" w:color="auto" w:fill="auto"/>
            <w:noWrap/>
            <w:vAlign w:val="bottom"/>
            <w:hideMark/>
          </w:tcPr>
          <w:p w14:paraId="44CB91D7" w14:textId="4C2F9770" w:rsidR="004E7A14" w:rsidRDefault="004E7A14" w:rsidP="004E7A14">
            <w:pPr>
              <w:jc w:val="right"/>
              <w:rPr>
                <w:color w:val="000000"/>
                <w:sz w:val="20"/>
                <w:szCs w:val="20"/>
              </w:rPr>
            </w:pPr>
            <w:r>
              <w:rPr>
                <w:color w:val="000000"/>
                <w:sz w:val="20"/>
                <w:szCs w:val="20"/>
              </w:rPr>
              <w:t>0.444</w:t>
            </w:r>
          </w:p>
        </w:tc>
        <w:tc>
          <w:tcPr>
            <w:tcW w:w="768" w:type="dxa"/>
            <w:tcBorders>
              <w:top w:val="nil"/>
              <w:left w:val="nil"/>
              <w:bottom w:val="single" w:sz="12" w:space="0" w:color="auto"/>
              <w:right w:val="nil"/>
            </w:tcBorders>
            <w:shd w:val="clear" w:color="auto" w:fill="auto"/>
            <w:noWrap/>
            <w:vAlign w:val="bottom"/>
            <w:hideMark/>
          </w:tcPr>
          <w:p w14:paraId="50A6C889" w14:textId="768D43F0" w:rsidR="004E7A14" w:rsidRDefault="004E7A14" w:rsidP="004E7A14">
            <w:pPr>
              <w:jc w:val="right"/>
              <w:rPr>
                <w:color w:val="000000"/>
                <w:sz w:val="20"/>
                <w:szCs w:val="20"/>
              </w:rPr>
            </w:pPr>
            <w:r>
              <w:rPr>
                <w:color w:val="000000"/>
                <w:sz w:val="20"/>
                <w:szCs w:val="20"/>
              </w:rPr>
              <w:t>0.002</w:t>
            </w:r>
          </w:p>
        </w:tc>
      </w:tr>
      <w:tr w:rsidR="00CC2214" w14:paraId="7A7B46DE" w14:textId="77777777" w:rsidTr="00CC2214">
        <w:trPr>
          <w:trHeight w:val="320"/>
        </w:trPr>
        <w:tc>
          <w:tcPr>
            <w:tcW w:w="1176" w:type="dxa"/>
            <w:tcBorders>
              <w:top w:val="single" w:sz="12" w:space="0" w:color="auto"/>
              <w:left w:val="nil"/>
              <w:bottom w:val="nil"/>
              <w:right w:val="nil"/>
            </w:tcBorders>
            <w:shd w:val="clear" w:color="auto" w:fill="auto"/>
            <w:noWrap/>
            <w:vAlign w:val="bottom"/>
            <w:hideMark/>
          </w:tcPr>
          <w:p w14:paraId="177C14E4" w14:textId="77777777" w:rsidR="00CC2214" w:rsidRDefault="00CC2214">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0E3A2049" w14:textId="77777777" w:rsidR="00CC2214" w:rsidRDefault="00CC2214">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66F53F7F"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991E711"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D5A61A7"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F60FB6A"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699F0BE"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AB57DB1"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FA3D2E2"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DDEAF0"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E8AD3EC"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EF103A9"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F265F35"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E1F54E9"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309549F"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80039C5" w14:textId="77777777" w:rsidR="00CC2214" w:rsidRDefault="00CC221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BB50485" w14:textId="77777777" w:rsidR="00CC2214" w:rsidRDefault="00CC2214">
            <w:pPr>
              <w:rPr>
                <w:sz w:val="20"/>
                <w:szCs w:val="20"/>
              </w:rPr>
            </w:pPr>
          </w:p>
        </w:tc>
      </w:tr>
    </w:tbl>
    <w:p w14:paraId="7AD880BF" w14:textId="77777777" w:rsidR="007F1C4C" w:rsidRPr="007F1C4C" w:rsidRDefault="007F1C4C" w:rsidP="007F1C4C">
      <w:pPr>
        <w:spacing w:line="480" w:lineRule="auto"/>
      </w:pPr>
    </w:p>
    <w:p w14:paraId="278227A5" w14:textId="2ABC959C" w:rsidR="00CC2214" w:rsidRDefault="00CC2214">
      <w:r>
        <w:br w:type="page"/>
      </w:r>
    </w:p>
    <w:p w14:paraId="1691591E" w14:textId="6C6AD9F3" w:rsidR="00CC2214" w:rsidRPr="003F03FD" w:rsidRDefault="00432B71" w:rsidP="003F03FD">
      <w:pPr>
        <w:pStyle w:val="Heading1"/>
        <w:rPr>
          <w:rFonts w:ascii="Times New Roman" w:hAnsi="Times New Roman" w:cs="Times New Roman"/>
          <w:b/>
          <w:bCs/>
          <w:color w:val="000000" w:themeColor="text1"/>
          <w:sz w:val="24"/>
          <w:szCs w:val="24"/>
        </w:rPr>
      </w:pPr>
      <w:bookmarkStart w:id="17" w:name="_Toc155817684"/>
      <w:r>
        <w:rPr>
          <w:rFonts w:ascii="Times New Roman" w:hAnsi="Times New Roman" w:cs="Times New Roman"/>
          <w:b/>
          <w:bCs/>
          <w:color w:val="000000" w:themeColor="text1"/>
          <w:sz w:val="24"/>
          <w:szCs w:val="24"/>
        </w:rPr>
        <w:lastRenderedPageBreak/>
        <w:t xml:space="preserve">Table </w:t>
      </w:r>
      <w:r w:rsidR="00994E15">
        <w:rPr>
          <w:rFonts w:ascii="Times New Roman" w:hAnsi="Times New Roman" w:cs="Times New Roman"/>
          <w:b/>
          <w:bCs/>
          <w:color w:val="000000" w:themeColor="text1"/>
          <w:sz w:val="24"/>
          <w:szCs w:val="24"/>
        </w:rPr>
        <w:t>3</w:t>
      </w:r>
      <w:r w:rsidR="008C1423" w:rsidRPr="003F03FD">
        <w:rPr>
          <w:rFonts w:ascii="Times New Roman" w:hAnsi="Times New Roman" w:cs="Times New Roman"/>
          <w:b/>
          <w:bCs/>
          <w:color w:val="000000" w:themeColor="text1"/>
          <w:sz w:val="24"/>
          <w:szCs w:val="24"/>
        </w:rPr>
        <w:t>b</w:t>
      </w:r>
      <w:r w:rsidR="00CC2214" w:rsidRPr="003F03FD">
        <w:rPr>
          <w:rFonts w:ascii="Times New Roman" w:hAnsi="Times New Roman" w:cs="Times New Roman"/>
          <w:b/>
          <w:bCs/>
          <w:color w:val="000000" w:themeColor="text1"/>
          <w:sz w:val="24"/>
          <w:szCs w:val="24"/>
        </w:rPr>
        <w:t xml:space="preserve">. </w:t>
      </w:r>
      <w:r w:rsidR="00CC2214" w:rsidRPr="003F03FD">
        <w:rPr>
          <w:rFonts w:ascii="Times New Roman" w:hAnsi="Times New Roman" w:cs="Times New Roman"/>
          <w:color w:val="000000" w:themeColor="text1"/>
          <w:sz w:val="24"/>
          <w:szCs w:val="24"/>
        </w:rPr>
        <w:t>Results examining the relationship between environmental stress factors obtained from higher-order modeling and Shen-268 network average shortest path length during rest</w:t>
      </w:r>
      <w:bookmarkEnd w:id="17"/>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2F1817" w14:paraId="47C2CFCC" w14:textId="77777777" w:rsidTr="002F1817">
        <w:trPr>
          <w:trHeight w:val="340"/>
        </w:trPr>
        <w:tc>
          <w:tcPr>
            <w:tcW w:w="1176" w:type="dxa"/>
            <w:tcBorders>
              <w:top w:val="nil"/>
              <w:left w:val="nil"/>
              <w:bottom w:val="single" w:sz="12" w:space="0" w:color="auto"/>
              <w:right w:val="nil"/>
            </w:tcBorders>
            <w:shd w:val="clear" w:color="auto" w:fill="auto"/>
            <w:noWrap/>
            <w:vAlign w:val="bottom"/>
            <w:hideMark/>
          </w:tcPr>
          <w:p w14:paraId="138F33F0" w14:textId="77777777" w:rsidR="002F1817" w:rsidRDefault="002F1817">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7C8375B" w14:textId="77777777" w:rsidR="002F1817" w:rsidRDefault="002F1817">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57008E9A" w14:textId="77777777" w:rsidR="002F1817" w:rsidRDefault="002F1817">
            <w:pPr>
              <w:rPr>
                <w:color w:val="000000"/>
              </w:rPr>
            </w:pPr>
          </w:p>
        </w:tc>
        <w:tc>
          <w:tcPr>
            <w:tcW w:w="768" w:type="dxa"/>
            <w:tcBorders>
              <w:top w:val="nil"/>
              <w:left w:val="nil"/>
              <w:bottom w:val="single" w:sz="12" w:space="0" w:color="auto"/>
              <w:right w:val="nil"/>
            </w:tcBorders>
            <w:shd w:val="clear" w:color="auto" w:fill="auto"/>
            <w:noWrap/>
            <w:vAlign w:val="bottom"/>
            <w:hideMark/>
          </w:tcPr>
          <w:p w14:paraId="4B6B7D31"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5AE9312"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54D0450"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6AB44C2"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3799C31"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B69FC36"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BFD797C"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62A6A09"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4328289"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0C67C24"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99537AA" w14:textId="77777777" w:rsidR="002F1817" w:rsidRDefault="002F181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C852C48" w14:textId="77777777" w:rsidR="002F1817" w:rsidRDefault="002F1817">
            <w:pPr>
              <w:rPr>
                <w:sz w:val="20"/>
                <w:szCs w:val="20"/>
              </w:rPr>
            </w:pPr>
          </w:p>
        </w:tc>
        <w:tc>
          <w:tcPr>
            <w:tcW w:w="768" w:type="dxa"/>
            <w:tcBorders>
              <w:top w:val="nil"/>
              <w:left w:val="nil"/>
              <w:bottom w:val="nil"/>
              <w:right w:val="nil"/>
            </w:tcBorders>
            <w:shd w:val="clear" w:color="auto" w:fill="auto"/>
            <w:noWrap/>
            <w:vAlign w:val="bottom"/>
            <w:hideMark/>
          </w:tcPr>
          <w:p w14:paraId="6C00907C" w14:textId="77777777" w:rsidR="002F1817" w:rsidRDefault="002F1817">
            <w:pPr>
              <w:rPr>
                <w:sz w:val="20"/>
                <w:szCs w:val="20"/>
              </w:rPr>
            </w:pPr>
          </w:p>
        </w:tc>
        <w:tc>
          <w:tcPr>
            <w:tcW w:w="768" w:type="dxa"/>
            <w:tcBorders>
              <w:top w:val="nil"/>
              <w:left w:val="nil"/>
              <w:bottom w:val="nil"/>
              <w:right w:val="nil"/>
            </w:tcBorders>
            <w:shd w:val="clear" w:color="auto" w:fill="auto"/>
            <w:noWrap/>
            <w:vAlign w:val="bottom"/>
            <w:hideMark/>
          </w:tcPr>
          <w:p w14:paraId="6CB3C614" w14:textId="77777777" w:rsidR="002F1817" w:rsidRDefault="002F1817">
            <w:pPr>
              <w:rPr>
                <w:sz w:val="20"/>
                <w:szCs w:val="20"/>
              </w:rPr>
            </w:pPr>
          </w:p>
        </w:tc>
      </w:tr>
      <w:tr w:rsidR="002F1817" w14:paraId="3A1391F4" w14:textId="77777777" w:rsidTr="002F1817">
        <w:trPr>
          <w:trHeight w:val="340"/>
        </w:trPr>
        <w:tc>
          <w:tcPr>
            <w:tcW w:w="1176" w:type="dxa"/>
            <w:tcBorders>
              <w:top w:val="single" w:sz="12" w:space="0" w:color="auto"/>
              <w:left w:val="nil"/>
              <w:bottom w:val="nil"/>
              <w:right w:val="nil"/>
            </w:tcBorders>
            <w:shd w:val="clear" w:color="auto" w:fill="auto"/>
            <w:noWrap/>
            <w:vAlign w:val="bottom"/>
            <w:hideMark/>
          </w:tcPr>
          <w:p w14:paraId="17AA998E" w14:textId="77777777" w:rsidR="002F1817" w:rsidRDefault="002F1817">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06D1AB44" w14:textId="77777777" w:rsidR="002F1817" w:rsidRDefault="002F1817">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34A3F88A" w14:textId="072644DE" w:rsidR="002F1817" w:rsidRDefault="00A93919">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1829FC0" w14:textId="77777777" w:rsidR="002F1817" w:rsidRDefault="002F1817">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B374584" w14:textId="77777777" w:rsidR="002F1817" w:rsidRDefault="002F1817">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272BEB4" w14:textId="77777777" w:rsidR="002F1817" w:rsidRDefault="002F1817">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370AF2DB" w14:textId="77777777" w:rsidR="002F1817" w:rsidRDefault="002F1817">
            <w:pPr>
              <w:jc w:val="center"/>
              <w:rPr>
                <w:color w:val="000000"/>
                <w:sz w:val="20"/>
                <w:szCs w:val="20"/>
              </w:rPr>
            </w:pPr>
            <w:r>
              <w:rPr>
                <w:color w:val="000000"/>
                <w:sz w:val="20"/>
                <w:szCs w:val="20"/>
              </w:rPr>
              <w:t>Urbanicity</w:t>
            </w:r>
          </w:p>
        </w:tc>
      </w:tr>
      <w:tr w:rsidR="002F1817" w14:paraId="1DEF81E9" w14:textId="77777777" w:rsidTr="002F1817">
        <w:trPr>
          <w:trHeight w:val="360"/>
        </w:trPr>
        <w:tc>
          <w:tcPr>
            <w:tcW w:w="1176" w:type="dxa"/>
            <w:tcBorders>
              <w:top w:val="nil"/>
              <w:left w:val="nil"/>
              <w:bottom w:val="single" w:sz="12" w:space="0" w:color="auto"/>
              <w:right w:val="nil"/>
            </w:tcBorders>
            <w:shd w:val="clear" w:color="auto" w:fill="auto"/>
            <w:noWrap/>
            <w:vAlign w:val="bottom"/>
            <w:hideMark/>
          </w:tcPr>
          <w:p w14:paraId="1BD301AE" w14:textId="77777777" w:rsidR="002F1817" w:rsidRDefault="002F1817">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08F420FE" w14:textId="77777777" w:rsidR="002F1817" w:rsidRDefault="002F1817">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18A26D45" w14:textId="77777777" w:rsidR="002F1817" w:rsidRDefault="002F1817">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A469E00" w14:textId="77777777" w:rsidR="002F1817" w:rsidRDefault="002F1817">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22826BC" w14:textId="77777777" w:rsidR="002F1817" w:rsidRDefault="002F1817">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962F81B" w14:textId="77777777" w:rsidR="002F1817" w:rsidRDefault="002F1817">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4D4D663" w14:textId="77777777" w:rsidR="002F1817" w:rsidRDefault="002F1817">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4315EBE" w14:textId="77777777" w:rsidR="002F1817" w:rsidRDefault="002F1817">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50C8380" w14:textId="77777777" w:rsidR="002F1817" w:rsidRDefault="002F1817">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C1DB597" w14:textId="77777777" w:rsidR="002F1817" w:rsidRDefault="002F1817">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ACC57DD" w14:textId="77777777" w:rsidR="002F1817" w:rsidRDefault="002F1817">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0C53BCB6" w14:textId="77777777" w:rsidR="002F1817" w:rsidRDefault="002F1817">
            <w:pPr>
              <w:jc w:val="cente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037B5CAD" w14:textId="77777777" w:rsidR="002F1817" w:rsidRDefault="002F1817">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2E9F020F" w14:textId="77777777" w:rsidR="002F1817" w:rsidRDefault="002F1817">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251ECF8B" w14:textId="77777777" w:rsidR="002F1817" w:rsidRDefault="002F1817">
            <w:pPr>
              <w:jc w:val="cente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2A0CD606" w14:textId="77777777" w:rsidR="002F1817" w:rsidRDefault="002F1817">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497B6571" w14:textId="77777777" w:rsidR="002F1817" w:rsidRDefault="002F1817">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r>
      <w:tr w:rsidR="004E7A14" w14:paraId="730BA8B5" w14:textId="77777777" w:rsidTr="002F1817">
        <w:trPr>
          <w:trHeight w:val="320"/>
        </w:trPr>
        <w:tc>
          <w:tcPr>
            <w:tcW w:w="1176" w:type="dxa"/>
            <w:tcBorders>
              <w:top w:val="single" w:sz="12" w:space="0" w:color="auto"/>
              <w:left w:val="nil"/>
              <w:bottom w:val="nil"/>
              <w:right w:val="nil"/>
            </w:tcBorders>
            <w:shd w:val="clear" w:color="auto" w:fill="auto"/>
            <w:noWrap/>
            <w:vAlign w:val="bottom"/>
            <w:hideMark/>
          </w:tcPr>
          <w:p w14:paraId="085783AA" w14:textId="77777777" w:rsidR="004E7A14" w:rsidRDefault="004E7A14" w:rsidP="004E7A14">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2062D731" w14:textId="77777777" w:rsidR="004E7A14" w:rsidRDefault="004E7A14" w:rsidP="004E7A14">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0AE642C1" w14:textId="6C2EAAD3" w:rsidR="004E7A14" w:rsidRDefault="004E7A14" w:rsidP="004E7A14">
            <w:pPr>
              <w:jc w:val="right"/>
              <w:rPr>
                <w:color w:val="000000"/>
                <w:sz w:val="20"/>
                <w:szCs w:val="20"/>
              </w:rPr>
            </w:pPr>
            <w:r>
              <w:rPr>
                <w:color w:val="000000"/>
                <w:sz w:val="20"/>
                <w:szCs w:val="20"/>
              </w:rPr>
              <w:t>0.075</w:t>
            </w:r>
          </w:p>
        </w:tc>
        <w:tc>
          <w:tcPr>
            <w:tcW w:w="768" w:type="dxa"/>
            <w:tcBorders>
              <w:top w:val="single" w:sz="12" w:space="0" w:color="auto"/>
              <w:left w:val="nil"/>
              <w:bottom w:val="nil"/>
              <w:right w:val="nil"/>
            </w:tcBorders>
            <w:shd w:val="clear" w:color="auto" w:fill="auto"/>
            <w:noWrap/>
            <w:vAlign w:val="bottom"/>
            <w:hideMark/>
          </w:tcPr>
          <w:p w14:paraId="3E9B9252" w14:textId="5358AAC0" w:rsidR="004E7A14" w:rsidRDefault="004E7A14" w:rsidP="004E7A14">
            <w:pPr>
              <w:jc w:val="right"/>
              <w:rPr>
                <w:color w:val="000000"/>
                <w:sz w:val="20"/>
                <w:szCs w:val="20"/>
              </w:rPr>
            </w:pPr>
            <w:r>
              <w:rPr>
                <w:color w:val="000000"/>
                <w:sz w:val="20"/>
                <w:szCs w:val="20"/>
              </w:rPr>
              <w:t>0.072</w:t>
            </w:r>
          </w:p>
        </w:tc>
        <w:tc>
          <w:tcPr>
            <w:tcW w:w="768" w:type="dxa"/>
            <w:tcBorders>
              <w:top w:val="single" w:sz="12" w:space="0" w:color="auto"/>
              <w:left w:val="nil"/>
              <w:bottom w:val="nil"/>
              <w:right w:val="nil"/>
            </w:tcBorders>
            <w:shd w:val="clear" w:color="auto" w:fill="auto"/>
            <w:noWrap/>
            <w:vAlign w:val="bottom"/>
            <w:hideMark/>
          </w:tcPr>
          <w:p w14:paraId="71493412" w14:textId="65B63019" w:rsidR="004E7A14" w:rsidRDefault="004E7A14" w:rsidP="004E7A14">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205F800A" w14:textId="19593CD3" w:rsidR="004E7A14" w:rsidRDefault="004E7A14" w:rsidP="004E7A14">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0ABFCFE2" w14:textId="1C93B411" w:rsidR="004E7A14" w:rsidRDefault="004E7A14" w:rsidP="004E7A14">
            <w:pPr>
              <w:jc w:val="right"/>
              <w:rPr>
                <w:color w:val="000000"/>
                <w:sz w:val="20"/>
                <w:szCs w:val="20"/>
              </w:rPr>
            </w:pPr>
            <w:r>
              <w:rPr>
                <w:color w:val="000000"/>
                <w:sz w:val="20"/>
                <w:szCs w:val="20"/>
              </w:rPr>
              <w:t>0.795</w:t>
            </w:r>
          </w:p>
        </w:tc>
        <w:tc>
          <w:tcPr>
            <w:tcW w:w="768" w:type="dxa"/>
            <w:tcBorders>
              <w:top w:val="single" w:sz="12" w:space="0" w:color="auto"/>
              <w:left w:val="nil"/>
              <w:bottom w:val="nil"/>
              <w:right w:val="nil"/>
            </w:tcBorders>
            <w:shd w:val="clear" w:color="auto" w:fill="auto"/>
            <w:noWrap/>
            <w:vAlign w:val="bottom"/>
            <w:hideMark/>
          </w:tcPr>
          <w:p w14:paraId="7B96D92E" w14:textId="7B2DEC1A" w:rsidR="004E7A14" w:rsidRDefault="004E7A14" w:rsidP="004E7A14">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516AFDF" w14:textId="264EBB15" w:rsidR="004E7A14" w:rsidRDefault="004E7A14" w:rsidP="004E7A14">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3265E916" w14:textId="06F0770E" w:rsidR="004E7A14" w:rsidRDefault="004E7A14" w:rsidP="004E7A14">
            <w:pPr>
              <w:jc w:val="right"/>
              <w:rPr>
                <w:color w:val="000000"/>
                <w:sz w:val="20"/>
                <w:szCs w:val="20"/>
              </w:rPr>
            </w:pPr>
            <w:r>
              <w:rPr>
                <w:color w:val="000000"/>
                <w:sz w:val="20"/>
                <w:szCs w:val="20"/>
              </w:rPr>
              <w:t>0.780</w:t>
            </w:r>
          </w:p>
        </w:tc>
        <w:tc>
          <w:tcPr>
            <w:tcW w:w="768" w:type="dxa"/>
            <w:tcBorders>
              <w:top w:val="single" w:sz="12" w:space="0" w:color="auto"/>
              <w:left w:val="nil"/>
              <w:bottom w:val="nil"/>
              <w:right w:val="nil"/>
            </w:tcBorders>
            <w:shd w:val="clear" w:color="auto" w:fill="auto"/>
            <w:noWrap/>
            <w:vAlign w:val="bottom"/>
            <w:hideMark/>
          </w:tcPr>
          <w:p w14:paraId="0AABBA20" w14:textId="67E2B4EB" w:rsidR="004E7A14" w:rsidRDefault="004E7A14" w:rsidP="004E7A14">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9101BE3" w14:textId="5DD9DD69" w:rsidR="004E7A14" w:rsidRDefault="004E7A14" w:rsidP="004E7A14">
            <w:pPr>
              <w:jc w:val="right"/>
              <w:rPr>
                <w:color w:val="000000"/>
                <w:sz w:val="20"/>
                <w:szCs w:val="20"/>
              </w:rPr>
            </w:pPr>
            <w:r>
              <w:rPr>
                <w:color w:val="000000"/>
                <w:sz w:val="20"/>
                <w:szCs w:val="20"/>
              </w:rPr>
              <w:t>0.059</w:t>
            </w:r>
          </w:p>
        </w:tc>
        <w:tc>
          <w:tcPr>
            <w:tcW w:w="768" w:type="dxa"/>
            <w:tcBorders>
              <w:top w:val="single" w:sz="12" w:space="0" w:color="auto"/>
              <w:left w:val="nil"/>
              <w:bottom w:val="nil"/>
              <w:right w:val="nil"/>
            </w:tcBorders>
            <w:shd w:val="clear" w:color="auto" w:fill="auto"/>
            <w:noWrap/>
            <w:vAlign w:val="bottom"/>
            <w:hideMark/>
          </w:tcPr>
          <w:p w14:paraId="7A0AD17E" w14:textId="22064BE3" w:rsidR="004E7A14" w:rsidRDefault="004E7A14" w:rsidP="004E7A14">
            <w:pPr>
              <w:jc w:val="right"/>
              <w:rPr>
                <w:color w:val="000000"/>
                <w:sz w:val="20"/>
                <w:szCs w:val="20"/>
              </w:rPr>
            </w:pPr>
            <w:r>
              <w:rPr>
                <w:color w:val="000000"/>
                <w:sz w:val="20"/>
                <w:szCs w:val="20"/>
              </w:rPr>
              <w:t>0.184</w:t>
            </w:r>
          </w:p>
        </w:tc>
        <w:tc>
          <w:tcPr>
            <w:tcW w:w="768" w:type="dxa"/>
            <w:tcBorders>
              <w:top w:val="single" w:sz="12" w:space="0" w:color="auto"/>
              <w:left w:val="nil"/>
              <w:bottom w:val="nil"/>
              <w:right w:val="nil"/>
            </w:tcBorders>
            <w:shd w:val="clear" w:color="auto" w:fill="auto"/>
            <w:noWrap/>
            <w:vAlign w:val="bottom"/>
            <w:hideMark/>
          </w:tcPr>
          <w:p w14:paraId="0C13BCB2" w14:textId="3F8020BC" w:rsidR="004E7A14" w:rsidRDefault="004E7A14" w:rsidP="004E7A14">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6C3ABE1F" w14:textId="634A1C0F" w:rsidR="004E7A14" w:rsidRDefault="004E7A14" w:rsidP="004E7A14">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249C93B7" w14:textId="3D7675EF" w:rsidR="004E7A14" w:rsidRDefault="004E7A14" w:rsidP="004E7A14">
            <w:pPr>
              <w:jc w:val="right"/>
              <w:rPr>
                <w:color w:val="000000"/>
                <w:sz w:val="20"/>
                <w:szCs w:val="20"/>
              </w:rPr>
            </w:pPr>
            <w:r>
              <w:rPr>
                <w:color w:val="000000"/>
                <w:sz w:val="20"/>
                <w:szCs w:val="20"/>
              </w:rPr>
              <w:t>0.943</w:t>
            </w:r>
          </w:p>
        </w:tc>
        <w:tc>
          <w:tcPr>
            <w:tcW w:w="768" w:type="dxa"/>
            <w:tcBorders>
              <w:top w:val="single" w:sz="12" w:space="0" w:color="auto"/>
              <w:left w:val="nil"/>
              <w:bottom w:val="nil"/>
              <w:right w:val="nil"/>
            </w:tcBorders>
            <w:shd w:val="clear" w:color="auto" w:fill="auto"/>
            <w:noWrap/>
            <w:vAlign w:val="bottom"/>
            <w:hideMark/>
          </w:tcPr>
          <w:p w14:paraId="25DB8F0D" w14:textId="36562BB9" w:rsidR="004E7A14" w:rsidRDefault="004E7A14" w:rsidP="004E7A14">
            <w:pPr>
              <w:jc w:val="right"/>
              <w:rPr>
                <w:color w:val="000000"/>
                <w:sz w:val="20"/>
                <w:szCs w:val="20"/>
              </w:rPr>
            </w:pPr>
            <w:r>
              <w:rPr>
                <w:color w:val="000000"/>
                <w:sz w:val="20"/>
                <w:szCs w:val="20"/>
              </w:rPr>
              <w:t>0.000</w:t>
            </w:r>
          </w:p>
        </w:tc>
      </w:tr>
      <w:tr w:rsidR="004E7A14" w14:paraId="22CA3063" w14:textId="77777777" w:rsidTr="002F1817">
        <w:trPr>
          <w:trHeight w:val="340"/>
        </w:trPr>
        <w:tc>
          <w:tcPr>
            <w:tcW w:w="1176" w:type="dxa"/>
            <w:tcBorders>
              <w:top w:val="nil"/>
              <w:left w:val="nil"/>
              <w:bottom w:val="nil"/>
              <w:right w:val="nil"/>
            </w:tcBorders>
            <w:shd w:val="clear" w:color="auto" w:fill="auto"/>
            <w:noWrap/>
            <w:vAlign w:val="bottom"/>
            <w:hideMark/>
          </w:tcPr>
          <w:p w14:paraId="2154106E"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071C5C" w14:textId="77777777" w:rsidR="004E7A14" w:rsidRDefault="004E7A14" w:rsidP="004E7A1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8D7CB70" w14:textId="5B60C3E4" w:rsidR="004E7A14" w:rsidRDefault="004E7A14" w:rsidP="004E7A14">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9A4759C" w14:textId="24ED9C53" w:rsidR="004E7A14" w:rsidRDefault="004E7A14" w:rsidP="004E7A14">
            <w:pPr>
              <w:jc w:val="right"/>
              <w:rPr>
                <w:color w:val="000000"/>
                <w:sz w:val="20"/>
                <w:szCs w:val="20"/>
              </w:rPr>
            </w:pPr>
            <w:r>
              <w:rPr>
                <w:color w:val="000000"/>
                <w:sz w:val="20"/>
                <w:szCs w:val="20"/>
              </w:rPr>
              <w:t>0.894</w:t>
            </w:r>
          </w:p>
        </w:tc>
        <w:tc>
          <w:tcPr>
            <w:tcW w:w="768" w:type="dxa"/>
            <w:tcBorders>
              <w:top w:val="nil"/>
              <w:left w:val="nil"/>
              <w:bottom w:val="nil"/>
              <w:right w:val="nil"/>
            </w:tcBorders>
            <w:shd w:val="clear" w:color="auto" w:fill="auto"/>
            <w:noWrap/>
            <w:vAlign w:val="bottom"/>
            <w:hideMark/>
          </w:tcPr>
          <w:p w14:paraId="0540A722" w14:textId="01337720"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588571" w14:textId="411399EE" w:rsidR="004E7A14" w:rsidRDefault="004E7A14" w:rsidP="004E7A14">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B03FB79" w14:textId="681CAFEF" w:rsidR="004E7A14" w:rsidRDefault="004E7A14" w:rsidP="004E7A14">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32D30602" w14:textId="32BFA94F"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9A4547" w14:textId="0B0A315D" w:rsidR="004E7A14" w:rsidRDefault="004E7A14" w:rsidP="004E7A14">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D60AABC" w14:textId="26A81D16" w:rsidR="004E7A14" w:rsidRDefault="004E7A14" w:rsidP="004E7A14">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50829E07" w14:textId="6B276A24"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DF54111" w14:textId="7B889774" w:rsidR="004E7A14" w:rsidRDefault="004E7A14" w:rsidP="004E7A14">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4CE10CE" w14:textId="75F35017" w:rsidR="004E7A14" w:rsidRDefault="004E7A14" w:rsidP="004E7A14">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70676A54" w14:textId="4DBA29F0"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66FAE5" w14:textId="47FA2AD4" w:rsidR="004E7A14" w:rsidRDefault="004E7A14" w:rsidP="004E7A14">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6BB4100F" w14:textId="2501BAB2" w:rsidR="004E7A14" w:rsidRDefault="004E7A14" w:rsidP="004E7A14">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75D90CBA" w14:textId="70776542" w:rsidR="004E7A14" w:rsidRDefault="004E7A14" w:rsidP="004E7A14">
            <w:pPr>
              <w:jc w:val="right"/>
              <w:rPr>
                <w:color w:val="000000"/>
                <w:sz w:val="20"/>
                <w:szCs w:val="20"/>
              </w:rPr>
            </w:pPr>
            <w:r>
              <w:rPr>
                <w:color w:val="000000"/>
                <w:sz w:val="20"/>
                <w:szCs w:val="20"/>
              </w:rPr>
              <w:t>0.001</w:t>
            </w:r>
          </w:p>
        </w:tc>
      </w:tr>
      <w:tr w:rsidR="004E7A14" w14:paraId="7DFBD65A" w14:textId="77777777" w:rsidTr="002F1817">
        <w:trPr>
          <w:trHeight w:val="320"/>
        </w:trPr>
        <w:tc>
          <w:tcPr>
            <w:tcW w:w="1176" w:type="dxa"/>
            <w:tcBorders>
              <w:top w:val="nil"/>
              <w:left w:val="nil"/>
              <w:bottom w:val="nil"/>
              <w:right w:val="nil"/>
            </w:tcBorders>
            <w:shd w:val="clear" w:color="auto" w:fill="auto"/>
            <w:noWrap/>
            <w:vAlign w:val="bottom"/>
            <w:hideMark/>
          </w:tcPr>
          <w:p w14:paraId="41AF0056"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1ACA9D2" w14:textId="77777777" w:rsidR="004E7A14" w:rsidRDefault="004E7A14" w:rsidP="004E7A1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7FBE18B" w14:textId="241933A7"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65083589" w14:textId="14343330" w:rsidR="004E7A14" w:rsidRDefault="004E7A14" w:rsidP="004E7A14">
            <w:pPr>
              <w:jc w:val="right"/>
              <w:rPr>
                <w:color w:val="000000"/>
                <w:sz w:val="20"/>
                <w:szCs w:val="20"/>
              </w:rPr>
            </w:pPr>
            <w:r>
              <w:rPr>
                <w:color w:val="000000"/>
                <w:sz w:val="20"/>
                <w:szCs w:val="20"/>
              </w:rPr>
              <w:t>0.909</w:t>
            </w:r>
          </w:p>
        </w:tc>
        <w:tc>
          <w:tcPr>
            <w:tcW w:w="768" w:type="dxa"/>
            <w:tcBorders>
              <w:top w:val="nil"/>
              <w:left w:val="nil"/>
              <w:bottom w:val="nil"/>
              <w:right w:val="nil"/>
            </w:tcBorders>
            <w:shd w:val="clear" w:color="auto" w:fill="auto"/>
            <w:noWrap/>
            <w:vAlign w:val="bottom"/>
            <w:hideMark/>
          </w:tcPr>
          <w:p w14:paraId="06FAB0C6" w14:textId="5CAA963A"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5C53E6" w14:textId="40916B4D" w:rsidR="004E7A14" w:rsidRDefault="004E7A14" w:rsidP="004E7A1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30B92B2" w14:textId="73AF8533" w:rsidR="004E7A14" w:rsidRDefault="004E7A14" w:rsidP="004E7A14">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0E077EF9" w14:textId="24A533D7"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9ED4CC" w14:textId="72E2BF8F" w:rsidR="004E7A14" w:rsidRDefault="004E7A14" w:rsidP="004E7A14">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785674BE" w14:textId="2E809C17" w:rsidR="004E7A14" w:rsidRDefault="004E7A14" w:rsidP="004E7A14">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27C986AD" w14:textId="32608B04"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94052D1" w14:textId="72E9ED6C" w:rsidR="004E7A14" w:rsidRDefault="004E7A14" w:rsidP="004E7A1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33B61011" w14:textId="080B5CD2" w:rsidR="004E7A14" w:rsidRDefault="004E7A14" w:rsidP="004E7A14">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6A9324A1" w14:textId="60EAA650"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F12721" w14:textId="53E2CB25"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376F362" w14:textId="71A5A26F" w:rsidR="004E7A14" w:rsidRDefault="004E7A14" w:rsidP="004E7A14">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2563BAA3" w14:textId="3878282E" w:rsidR="004E7A14" w:rsidRDefault="004E7A14" w:rsidP="004E7A14">
            <w:pPr>
              <w:jc w:val="right"/>
              <w:rPr>
                <w:color w:val="000000"/>
                <w:sz w:val="20"/>
                <w:szCs w:val="20"/>
              </w:rPr>
            </w:pPr>
            <w:r>
              <w:rPr>
                <w:color w:val="000000"/>
                <w:sz w:val="20"/>
                <w:szCs w:val="20"/>
              </w:rPr>
              <w:t>0.000</w:t>
            </w:r>
          </w:p>
        </w:tc>
      </w:tr>
      <w:tr w:rsidR="004E7A14" w14:paraId="0E0D1CD3" w14:textId="77777777" w:rsidTr="002F1817">
        <w:trPr>
          <w:trHeight w:val="320"/>
        </w:trPr>
        <w:tc>
          <w:tcPr>
            <w:tcW w:w="1176" w:type="dxa"/>
            <w:tcBorders>
              <w:top w:val="nil"/>
              <w:left w:val="nil"/>
              <w:bottom w:val="nil"/>
              <w:right w:val="nil"/>
            </w:tcBorders>
            <w:shd w:val="clear" w:color="auto" w:fill="auto"/>
            <w:noWrap/>
            <w:vAlign w:val="bottom"/>
            <w:hideMark/>
          </w:tcPr>
          <w:p w14:paraId="415B446A"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55C6AF3" w14:textId="77777777" w:rsidR="004E7A14" w:rsidRDefault="004E7A14" w:rsidP="004E7A1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57FE151" w14:textId="400307B1" w:rsidR="004E7A14" w:rsidRDefault="004E7A14" w:rsidP="004E7A14">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35F3AFA0" w14:textId="096D8745" w:rsidR="004E7A14" w:rsidRDefault="004E7A14" w:rsidP="004E7A14">
            <w:pPr>
              <w:jc w:val="right"/>
              <w:rPr>
                <w:color w:val="000000"/>
                <w:sz w:val="20"/>
                <w:szCs w:val="20"/>
              </w:rPr>
            </w:pPr>
            <w:r>
              <w:rPr>
                <w:color w:val="000000"/>
                <w:sz w:val="20"/>
                <w:szCs w:val="20"/>
              </w:rPr>
              <w:t>0.894</w:t>
            </w:r>
          </w:p>
        </w:tc>
        <w:tc>
          <w:tcPr>
            <w:tcW w:w="768" w:type="dxa"/>
            <w:tcBorders>
              <w:top w:val="nil"/>
              <w:left w:val="nil"/>
              <w:bottom w:val="nil"/>
              <w:right w:val="nil"/>
            </w:tcBorders>
            <w:shd w:val="clear" w:color="auto" w:fill="auto"/>
            <w:noWrap/>
            <w:vAlign w:val="bottom"/>
            <w:hideMark/>
          </w:tcPr>
          <w:p w14:paraId="60A566BD" w14:textId="5A670A03"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46343CA" w14:textId="6D9B5ADA" w:rsidR="004E7A14" w:rsidRDefault="004E7A14" w:rsidP="004E7A14">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F2C8223" w14:textId="26813AD3" w:rsidR="004E7A14" w:rsidRDefault="004E7A14" w:rsidP="004E7A14">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598945D1" w14:textId="794F4442"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48393F" w14:textId="57F4F6BC" w:rsidR="004E7A14" w:rsidRDefault="004E7A14" w:rsidP="004E7A14">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27C8E2F5" w14:textId="03156149" w:rsidR="004E7A14" w:rsidRDefault="004E7A14" w:rsidP="004E7A14">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60B785E7" w14:textId="0AC2CCE6"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B98E8E6" w14:textId="720FBBDC" w:rsidR="004E7A14" w:rsidRDefault="004E7A14" w:rsidP="004E7A14">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342BB4AB" w14:textId="7F1CFB70" w:rsidR="004E7A14" w:rsidRDefault="004E7A14" w:rsidP="004E7A14">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0BBEDA5E" w14:textId="55767D8B"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3CBFE3F" w14:textId="4C7B3B6C" w:rsidR="004E7A14" w:rsidRDefault="004E7A14" w:rsidP="004E7A14">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33E59646" w14:textId="5369FE3C" w:rsidR="004E7A14" w:rsidRDefault="004E7A14" w:rsidP="004E7A14">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09C2B7AD" w14:textId="6F9A74F2" w:rsidR="004E7A14" w:rsidRDefault="004E7A14" w:rsidP="004E7A14">
            <w:pPr>
              <w:jc w:val="right"/>
              <w:rPr>
                <w:color w:val="000000"/>
                <w:sz w:val="20"/>
                <w:szCs w:val="20"/>
              </w:rPr>
            </w:pPr>
            <w:r>
              <w:rPr>
                <w:color w:val="000000"/>
                <w:sz w:val="20"/>
                <w:szCs w:val="20"/>
              </w:rPr>
              <w:t>0.002</w:t>
            </w:r>
          </w:p>
        </w:tc>
      </w:tr>
      <w:tr w:rsidR="004E7A14" w14:paraId="32E31C42" w14:textId="77777777" w:rsidTr="002F1817">
        <w:trPr>
          <w:trHeight w:val="320"/>
        </w:trPr>
        <w:tc>
          <w:tcPr>
            <w:tcW w:w="1176" w:type="dxa"/>
            <w:tcBorders>
              <w:top w:val="nil"/>
              <w:left w:val="nil"/>
              <w:bottom w:val="nil"/>
              <w:right w:val="nil"/>
            </w:tcBorders>
            <w:shd w:val="clear" w:color="auto" w:fill="auto"/>
            <w:noWrap/>
            <w:vAlign w:val="bottom"/>
            <w:hideMark/>
          </w:tcPr>
          <w:p w14:paraId="28178E3D"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B88DDB" w14:textId="77777777" w:rsidR="004E7A14" w:rsidRDefault="004E7A14" w:rsidP="004E7A1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526E048" w14:textId="7F09834D" w:rsidR="004E7A14" w:rsidRDefault="004E7A14" w:rsidP="004E7A14">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3F76D5D7" w14:textId="181BB382" w:rsidR="004E7A14" w:rsidRDefault="004E7A14" w:rsidP="004E7A14">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4CF66EF9" w14:textId="2E1C8354"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50C2671" w14:textId="333277DC" w:rsidR="004E7A14" w:rsidRDefault="004E7A14" w:rsidP="004E7A14">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5E2B8AAD" w14:textId="03108062" w:rsidR="004E7A14" w:rsidRDefault="004E7A14" w:rsidP="004E7A14">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4773EF94" w14:textId="18212ADC"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BAEDB6" w14:textId="09882C8B" w:rsidR="004E7A14" w:rsidRDefault="004E7A14" w:rsidP="004E7A14">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2F3E3D01" w14:textId="4B577C08" w:rsidR="004E7A14" w:rsidRDefault="004E7A14" w:rsidP="004E7A14">
            <w:pPr>
              <w:jc w:val="right"/>
              <w:rPr>
                <w:color w:val="000000"/>
                <w:sz w:val="20"/>
                <w:szCs w:val="20"/>
              </w:rPr>
            </w:pPr>
            <w:r>
              <w:rPr>
                <w:color w:val="000000"/>
                <w:sz w:val="20"/>
                <w:szCs w:val="20"/>
              </w:rPr>
              <w:t>0.396</w:t>
            </w:r>
          </w:p>
        </w:tc>
        <w:tc>
          <w:tcPr>
            <w:tcW w:w="768" w:type="dxa"/>
            <w:tcBorders>
              <w:top w:val="nil"/>
              <w:left w:val="nil"/>
              <w:bottom w:val="nil"/>
              <w:right w:val="nil"/>
            </w:tcBorders>
            <w:shd w:val="clear" w:color="auto" w:fill="auto"/>
            <w:noWrap/>
            <w:vAlign w:val="bottom"/>
            <w:hideMark/>
          </w:tcPr>
          <w:p w14:paraId="01B719B2" w14:textId="463CD516"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8617C55" w14:textId="4F6FAC58" w:rsidR="004E7A14" w:rsidRDefault="004E7A14" w:rsidP="004E7A14">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7EEBAB55" w14:textId="75FD23BB" w:rsidR="004E7A14" w:rsidRDefault="004E7A14" w:rsidP="004E7A14">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3218E6A6" w14:textId="30DF9735"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0553112" w14:textId="2213A08A" w:rsidR="004E7A14" w:rsidRDefault="004E7A14" w:rsidP="004E7A1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F482CF2" w14:textId="0D8B7D4C" w:rsidR="004E7A14" w:rsidRDefault="004E7A14" w:rsidP="004E7A14">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6EF11C99" w14:textId="696CE21E" w:rsidR="004E7A14" w:rsidRDefault="004E7A14" w:rsidP="004E7A14">
            <w:pPr>
              <w:jc w:val="right"/>
              <w:rPr>
                <w:color w:val="000000"/>
                <w:sz w:val="20"/>
                <w:szCs w:val="20"/>
              </w:rPr>
            </w:pPr>
            <w:r>
              <w:rPr>
                <w:color w:val="000000"/>
                <w:sz w:val="20"/>
                <w:szCs w:val="20"/>
              </w:rPr>
              <w:t>0.001</w:t>
            </w:r>
          </w:p>
        </w:tc>
      </w:tr>
      <w:tr w:rsidR="004E7A14" w14:paraId="3F5E2DB8" w14:textId="77777777" w:rsidTr="002F1817">
        <w:trPr>
          <w:trHeight w:val="320"/>
        </w:trPr>
        <w:tc>
          <w:tcPr>
            <w:tcW w:w="1176" w:type="dxa"/>
            <w:tcBorders>
              <w:top w:val="nil"/>
              <w:left w:val="nil"/>
              <w:bottom w:val="nil"/>
              <w:right w:val="nil"/>
            </w:tcBorders>
            <w:shd w:val="clear" w:color="auto" w:fill="auto"/>
            <w:noWrap/>
            <w:vAlign w:val="bottom"/>
            <w:hideMark/>
          </w:tcPr>
          <w:p w14:paraId="4DBFE16C"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37D715" w14:textId="77777777" w:rsidR="004E7A14" w:rsidRDefault="004E7A14" w:rsidP="004E7A1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A431B37" w14:textId="4B7BA738" w:rsidR="004E7A14" w:rsidRDefault="004E7A14" w:rsidP="004E7A14">
            <w:pPr>
              <w:jc w:val="right"/>
              <w:rPr>
                <w:b/>
                <w:bCs/>
                <w:color w:val="000000"/>
                <w:sz w:val="20"/>
                <w:szCs w:val="20"/>
              </w:rPr>
            </w:pPr>
            <w:r>
              <w:rPr>
                <w:b/>
                <w:bCs/>
                <w:color w:val="000000"/>
                <w:sz w:val="20"/>
                <w:szCs w:val="20"/>
              </w:rPr>
              <w:t>0.096</w:t>
            </w:r>
          </w:p>
        </w:tc>
        <w:tc>
          <w:tcPr>
            <w:tcW w:w="768" w:type="dxa"/>
            <w:tcBorders>
              <w:top w:val="nil"/>
              <w:left w:val="nil"/>
              <w:bottom w:val="nil"/>
              <w:right w:val="nil"/>
            </w:tcBorders>
            <w:shd w:val="clear" w:color="auto" w:fill="auto"/>
            <w:noWrap/>
            <w:vAlign w:val="bottom"/>
            <w:hideMark/>
          </w:tcPr>
          <w:p w14:paraId="5B77FDF9" w14:textId="40D65C72" w:rsidR="004E7A14" w:rsidRDefault="004E7A14" w:rsidP="004E7A1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5571000" w14:textId="324659D5" w:rsidR="004E7A14" w:rsidRDefault="004E7A14" w:rsidP="004E7A14">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180DA1F9" w14:textId="6EC9F08C" w:rsidR="004E7A14" w:rsidRDefault="004E7A14" w:rsidP="004E7A1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E0B9C5B" w14:textId="24D9D163" w:rsidR="004E7A14" w:rsidRDefault="004E7A14" w:rsidP="004E7A14">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7E7A3329" w14:textId="3CCB84EA"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099F83" w14:textId="1064DE72" w:rsidR="004E7A14" w:rsidRDefault="004E7A14" w:rsidP="004E7A1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939228E" w14:textId="5D3B6ACC" w:rsidR="004E7A14" w:rsidRDefault="004E7A14" w:rsidP="004E7A14">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7FEF83BD" w14:textId="12CFB44E"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9DE7EB" w14:textId="7D4A4A5B" w:rsidR="004E7A14" w:rsidRDefault="004E7A14" w:rsidP="004E7A14">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1ED6D866" w14:textId="56EC0180" w:rsidR="004E7A14" w:rsidRDefault="004E7A14" w:rsidP="004E7A14">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3338731C" w14:textId="746C0FF4" w:rsidR="004E7A14" w:rsidRDefault="004E7A14" w:rsidP="004E7A1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7A4B98A" w14:textId="3562CAB5" w:rsidR="004E7A14" w:rsidRDefault="004E7A14" w:rsidP="004E7A1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56E97BC" w14:textId="749FC6ED" w:rsidR="004E7A14" w:rsidRDefault="004E7A14" w:rsidP="004E7A14">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1EBFCE68" w14:textId="6E9D94FA" w:rsidR="004E7A14" w:rsidRDefault="004E7A14" w:rsidP="004E7A14">
            <w:pPr>
              <w:jc w:val="right"/>
              <w:rPr>
                <w:color w:val="000000"/>
                <w:sz w:val="20"/>
                <w:szCs w:val="20"/>
              </w:rPr>
            </w:pPr>
            <w:r>
              <w:rPr>
                <w:color w:val="000000"/>
                <w:sz w:val="20"/>
                <w:szCs w:val="20"/>
              </w:rPr>
              <w:t>0.000</w:t>
            </w:r>
          </w:p>
        </w:tc>
      </w:tr>
      <w:tr w:rsidR="004E7A14" w14:paraId="122F15E3" w14:textId="77777777" w:rsidTr="002F1817">
        <w:trPr>
          <w:trHeight w:val="320"/>
        </w:trPr>
        <w:tc>
          <w:tcPr>
            <w:tcW w:w="1176" w:type="dxa"/>
            <w:tcBorders>
              <w:top w:val="nil"/>
              <w:left w:val="nil"/>
              <w:bottom w:val="nil"/>
              <w:right w:val="nil"/>
            </w:tcBorders>
            <w:shd w:val="clear" w:color="auto" w:fill="auto"/>
            <w:noWrap/>
            <w:vAlign w:val="bottom"/>
            <w:hideMark/>
          </w:tcPr>
          <w:p w14:paraId="1B0CBFB1"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322A697" w14:textId="77777777" w:rsidR="004E7A14" w:rsidRDefault="004E7A14" w:rsidP="004E7A1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35DDF05" w14:textId="15271112"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341BFCB" w14:textId="5DBD52B3" w:rsidR="004E7A14" w:rsidRDefault="004E7A14" w:rsidP="004E7A14">
            <w:pPr>
              <w:jc w:val="right"/>
              <w:rPr>
                <w:color w:val="000000"/>
                <w:sz w:val="20"/>
                <w:szCs w:val="20"/>
              </w:rPr>
            </w:pPr>
            <w:r>
              <w:rPr>
                <w:color w:val="000000"/>
                <w:sz w:val="20"/>
                <w:szCs w:val="20"/>
              </w:rPr>
              <w:t>0.909</w:t>
            </w:r>
          </w:p>
        </w:tc>
        <w:tc>
          <w:tcPr>
            <w:tcW w:w="768" w:type="dxa"/>
            <w:tcBorders>
              <w:top w:val="nil"/>
              <w:left w:val="nil"/>
              <w:bottom w:val="nil"/>
              <w:right w:val="nil"/>
            </w:tcBorders>
            <w:shd w:val="clear" w:color="auto" w:fill="auto"/>
            <w:noWrap/>
            <w:vAlign w:val="bottom"/>
            <w:hideMark/>
          </w:tcPr>
          <w:p w14:paraId="3C67CE0D" w14:textId="68A55BF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589393" w14:textId="70F281F8" w:rsidR="004E7A14" w:rsidRDefault="004E7A14" w:rsidP="004E7A1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22259D9" w14:textId="65799D0C" w:rsidR="004E7A14" w:rsidRDefault="004E7A14" w:rsidP="004E7A14">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5ADDC5F4" w14:textId="362D952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FFFF9B" w14:textId="15000F07" w:rsidR="004E7A14" w:rsidRDefault="004E7A14" w:rsidP="004E7A14">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5FFD883E" w14:textId="34FE1DB8" w:rsidR="004E7A14" w:rsidRDefault="004E7A14" w:rsidP="004E7A14">
            <w:pPr>
              <w:jc w:val="right"/>
              <w:rPr>
                <w:color w:val="000000"/>
                <w:sz w:val="20"/>
                <w:szCs w:val="20"/>
              </w:rPr>
            </w:pPr>
            <w:r>
              <w:rPr>
                <w:color w:val="000000"/>
                <w:sz w:val="20"/>
                <w:szCs w:val="20"/>
              </w:rPr>
              <w:t>0.396</w:t>
            </w:r>
          </w:p>
        </w:tc>
        <w:tc>
          <w:tcPr>
            <w:tcW w:w="768" w:type="dxa"/>
            <w:tcBorders>
              <w:top w:val="nil"/>
              <w:left w:val="nil"/>
              <w:bottom w:val="nil"/>
              <w:right w:val="nil"/>
            </w:tcBorders>
            <w:shd w:val="clear" w:color="auto" w:fill="auto"/>
            <w:noWrap/>
            <w:vAlign w:val="bottom"/>
            <w:hideMark/>
          </w:tcPr>
          <w:p w14:paraId="1C608F70" w14:textId="515EFCAB"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6B7828" w14:textId="3961F644" w:rsidR="004E7A14" w:rsidRDefault="004E7A14" w:rsidP="004E7A1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8ED606A" w14:textId="4A30BAE6" w:rsidR="004E7A14" w:rsidRDefault="004E7A14" w:rsidP="004E7A14">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659879BA" w14:textId="00CF6C67"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82CFC1" w14:textId="7A2B12F3" w:rsidR="004E7A14" w:rsidRDefault="004E7A14" w:rsidP="004E7A14">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2668EA45" w14:textId="75FFCA84" w:rsidR="004E7A14" w:rsidRDefault="004E7A14" w:rsidP="004E7A14">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21F013AA" w14:textId="05334E6C" w:rsidR="004E7A14" w:rsidRDefault="004E7A14" w:rsidP="004E7A14">
            <w:pPr>
              <w:jc w:val="right"/>
              <w:rPr>
                <w:color w:val="000000"/>
                <w:sz w:val="20"/>
                <w:szCs w:val="20"/>
              </w:rPr>
            </w:pPr>
            <w:r>
              <w:rPr>
                <w:color w:val="000000"/>
                <w:sz w:val="20"/>
                <w:szCs w:val="20"/>
              </w:rPr>
              <w:t>0.002</w:t>
            </w:r>
          </w:p>
        </w:tc>
      </w:tr>
      <w:tr w:rsidR="004E7A14" w14:paraId="5C107062" w14:textId="77777777" w:rsidTr="002F1817">
        <w:trPr>
          <w:trHeight w:val="320"/>
        </w:trPr>
        <w:tc>
          <w:tcPr>
            <w:tcW w:w="1176" w:type="dxa"/>
            <w:tcBorders>
              <w:top w:val="nil"/>
              <w:left w:val="nil"/>
              <w:bottom w:val="single" w:sz="4" w:space="0" w:color="auto"/>
              <w:right w:val="nil"/>
            </w:tcBorders>
            <w:shd w:val="clear" w:color="auto" w:fill="auto"/>
            <w:noWrap/>
            <w:vAlign w:val="bottom"/>
            <w:hideMark/>
          </w:tcPr>
          <w:p w14:paraId="336750A0" w14:textId="77777777" w:rsidR="004E7A14" w:rsidRDefault="004E7A14" w:rsidP="004E7A14">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D8CD595" w14:textId="77777777" w:rsidR="004E7A14" w:rsidRDefault="004E7A14" w:rsidP="004E7A14">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EEA653C" w14:textId="64220608" w:rsidR="004E7A14" w:rsidRDefault="004E7A14" w:rsidP="004E7A14">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413A79CD" w14:textId="3EDCA448" w:rsidR="004E7A14" w:rsidRDefault="004E7A14" w:rsidP="004E7A14">
            <w:pPr>
              <w:jc w:val="right"/>
              <w:rPr>
                <w:color w:val="000000"/>
                <w:sz w:val="20"/>
                <w:szCs w:val="20"/>
              </w:rPr>
            </w:pPr>
            <w:r>
              <w:rPr>
                <w:color w:val="000000"/>
                <w:sz w:val="20"/>
                <w:szCs w:val="20"/>
              </w:rPr>
              <w:t>0.909</w:t>
            </w:r>
          </w:p>
        </w:tc>
        <w:tc>
          <w:tcPr>
            <w:tcW w:w="768" w:type="dxa"/>
            <w:tcBorders>
              <w:top w:val="nil"/>
              <w:left w:val="nil"/>
              <w:bottom w:val="single" w:sz="4" w:space="0" w:color="auto"/>
              <w:right w:val="nil"/>
            </w:tcBorders>
            <w:shd w:val="clear" w:color="auto" w:fill="auto"/>
            <w:noWrap/>
            <w:vAlign w:val="bottom"/>
            <w:hideMark/>
          </w:tcPr>
          <w:p w14:paraId="7B5F807D" w14:textId="0DF9299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9D14581" w14:textId="3CD0CF90" w:rsidR="004E7A14" w:rsidRDefault="004E7A14" w:rsidP="004E7A14">
            <w:pPr>
              <w:jc w:val="right"/>
              <w:rPr>
                <w:b/>
                <w:bCs/>
                <w:color w:val="000000"/>
                <w:sz w:val="20"/>
                <w:szCs w:val="20"/>
              </w:rPr>
            </w:pPr>
            <w:r>
              <w:rPr>
                <w:b/>
                <w:bCs/>
                <w:color w:val="000000"/>
                <w:sz w:val="20"/>
                <w:szCs w:val="20"/>
              </w:rPr>
              <w:t>-0.108</w:t>
            </w:r>
          </w:p>
        </w:tc>
        <w:tc>
          <w:tcPr>
            <w:tcW w:w="768" w:type="dxa"/>
            <w:tcBorders>
              <w:top w:val="nil"/>
              <w:left w:val="nil"/>
              <w:bottom w:val="single" w:sz="4" w:space="0" w:color="auto"/>
              <w:right w:val="nil"/>
            </w:tcBorders>
            <w:shd w:val="clear" w:color="auto" w:fill="auto"/>
            <w:noWrap/>
            <w:vAlign w:val="bottom"/>
            <w:hideMark/>
          </w:tcPr>
          <w:p w14:paraId="0C6436B7" w14:textId="6B8EB3C5" w:rsidR="004E7A14" w:rsidRDefault="004E7A14" w:rsidP="004E7A14">
            <w:pPr>
              <w:jc w:val="right"/>
              <w:rPr>
                <w:b/>
                <w:bCs/>
                <w:color w:val="000000"/>
                <w:sz w:val="20"/>
                <w:szCs w:val="20"/>
              </w:rPr>
            </w:pPr>
            <w:r>
              <w:rPr>
                <w:b/>
                <w:bCs/>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7B93BD94" w14:textId="21FF852A" w:rsidR="004E7A14" w:rsidRDefault="004E7A14" w:rsidP="004E7A14">
            <w:pPr>
              <w:jc w:val="right"/>
              <w:rPr>
                <w:color w:val="000000"/>
                <w:sz w:val="20"/>
                <w:szCs w:val="20"/>
              </w:rPr>
            </w:pPr>
            <w:r>
              <w:rPr>
                <w:b/>
                <w:bCs/>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6DDCD252" w14:textId="548B115B" w:rsidR="004E7A14" w:rsidRDefault="004E7A14" w:rsidP="004E7A14">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4B7D81DC" w14:textId="1FBCB9AB" w:rsidR="004E7A14" w:rsidRDefault="004E7A14" w:rsidP="004E7A14">
            <w:pPr>
              <w:jc w:val="right"/>
              <w:rPr>
                <w:color w:val="000000"/>
                <w:sz w:val="20"/>
                <w:szCs w:val="20"/>
              </w:rPr>
            </w:pPr>
            <w:r>
              <w:rPr>
                <w:color w:val="000000"/>
                <w:sz w:val="20"/>
                <w:szCs w:val="20"/>
              </w:rPr>
              <w:t>0.656</w:t>
            </w:r>
          </w:p>
        </w:tc>
        <w:tc>
          <w:tcPr>
            <w:tcW w:w="768" w:type="dxa"/>
            <w:tcBorders>
              <w:top w:val="nil"/>
              <w:left w:val="nil"/>
              <w:bottom w:val="single" w:sz="4" w:space="0" w:color="auto"/>
              <w:right w:val="nil"/>
            </w:tcBorders>
            <w:shd w:val="clear" w:color="auto" w:fill="auto"/>
            <w:noWrap/>
            <w:vAlign w:val="bottom"/>
            <w:hideMark/>
          </w:tcPr>
          <w:p w14:paraId="28EBA852" w14:textId="6E9FED3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3A50BA2" w14:textId="42230556" w:rsidR="004E7A14" w:rsidRDefault="004E7A14" w:rsidP="004E7A14">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1DBC2862" w14:textId="48DE2AD8" w:rsidR="004E7A14" w:rsidRDefault="004E7A14" w:rsidP="004E7A14">
            <w:pPr>
              <w:jc w:val="right"/>
              <w:rPr>
                <w:color w:val="000000"/>
                <w:sz w:val="20"/>
                <w:szCs w:val="20"/>
              </w:rPr>
            </w:pPr>
            <w:r>
              <w:rPr>
                <w:color w:val="000000"/>
                <w:sz w:val="20"/>
                <w:szCs w:val="20"/>
              </w:rPr>
              <w:t>0.607</w:t>
            </w:r>
          </w:p>
        </w:tc>
        <w:tc>
          <w:tcPr>
            <w:tcW w:w="768" w:type="dxa"/>
            <w:tcBorders>
              <w:top w:val="nil"/>
              <w:left w:val="nil"/>
              <w:bottom w:val="single" w:sz="4" w:space="0" w:color="auto"/>
              <w:right w:val="nil"/>
            </w:tcBorders>
            <w:shd w:val="clear" w:color="auto" w:fill="auto"/>
            <w:noWrap/>
            <w:vAlign w:val="bottom"/>
            <w:hideMark/>
          </w:tcPr>
          <w:p w14:paraId="56660C0B" w14:textId="41F95DDD"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3E8F709" w14:textId="1663E1AC" w:rsidR="004E7A14" w:rsidRDefault="004E7A14" w:rsidP="004E7A14">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3B59E378" w14:textId="5F4E25AA" w:rsidR="004E7A14" w:rsidRDefault="004E7A14" w:rsidP="004E7A14">
            <w:pPr>
              <w:jc w:val="right"/>
              <w:rPr>
                <w:color w:val="000000"/>
                <w:sz w:val="20"/>
                <w:szCs w:val="20"/>
              </w:rPr>
            </w:pPr>
            <w:r>
              <w:rPr>
                <w:color w:val="000000"/>
                <w:sz w:val="20"/>
                <w:szCs w:val="20"/>
              </w:rPr>
              <w:t>0.943</w:t>
            </w:r>
          </w:p>
        </w:tc>
        <w:tc>
          <w:tcPr>
            <w:tcW w:w="768" w:type="dxa"/>
            <w:tcBorders>
              <w:top w:val="nil"/>
              <w:left w:val="nil"/>
              <w:bottom w:val="single" w:sz="4" w:space="0" w:color="auto"/>
              <w:right w:val="nil"/>
            </w:tcBorders>
            <w:shd w:val="clear" w:color="auto" w:fill="auto"/>
            <w:noWrap/>
            <w:vAlign w:val="bottom"/>
            <w:hideMark/>
          </w:tcPr>
          <w:p w14:paraId="02784C36" w14:textId="4E0759F6" w:rsidR="004E7A14" w:rsidRDefault="004E7A14" w:rsidP="004E7A14">
            <w:pPr>
              <w:jc w:val="right"/>
              <w:rPr>
                <w:color w:val="000000"/>
                <w:sz w:val="20"/>
                <w:szCs w:val="20"/>
              </w:rPr>
            </w:pPr>
            <w:r>
              <w:rPr>
                <w:color w:val="000000"/>
                <w:sz w:val="20"/>
                <w:szCs w:val="20"/>
              </w:rPr>
              <w:t>0.000</w:t>
            </w:r>
          </w:p>
        </w:tc>
      </w:tr>
      <w:tr w:rsidR="004E7A14" w14:paraId="5FE6A253" w14:textId="77777777" w:rsidTr="002F1817">
        <w:trPr>
          <w:trHeight w:val="320"/>
        </w:trPr>
        <w:tc>
          <w:tcPr>
            <w:tcW w:w="1176" w:type="dxa"/>
            <w:tcBorders>
              <w:top w:val="nil"/>
              <w:left w:val="nil"/>
              <w:bottom w:val="nil"/>
              <w:right w:val="nil"/>
            </w:tcBorders>
            <w:shd w:val="clear" w:color="auto" w:fill="auto"/>
            <w:noWrap/>
            <w:vAlign w:val="bottom"/>
            <w:hideMark/>
          </w:tcPr>
          <w:p w14:paraId="7DB4455A" w14:textId="77777777" w:rsidR="004E7A14" w:rsidRDefault="004E7A14" w:rsidP="004E7A14">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07D5982B" w14:textId="77777777" w:rsidR="004E7A14" w:rsidRDefault="004E7A14" w:rsidP="004E7A14">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83B5083" w14:textId="77156469" w:rsidR="004E7A14" w:rsidRDefault="004E7A14" w:rsidP="004E7A14">
            <w:pPr>
              <w:jc w:val="right"/>
              <w:rPr>
                <w:b/>
                <w:bCs/>
                <w:color w:val="000000"/>
                <w:sz w:val="20"/>
                <w:szCs w:val="20"/>
              </w:rPr>
            </w:pPr>
            <w:r>
              <w:rPr>
                <w:b/>
                <w:bCs/>
                <w:color w:val="000000"/>
                <w:sz w:val="20"/>
                <w:szCs w:val="20"/>
              </w:rPr>
              <w:t>0.106</w:t>
            </w:r>
          </w:p>
        </w:tc>
        <w:tc>
          <w:tcPr>
            <w:tcW w:w="768" w:type="dxa"/>
            <w:tcBorders>
              <w:top w:val="nil"/>
              <w:left w:val="nil"/>
              <w:bottom w:val="nil"/>
              <w:right w:val="nil"/>
            </w:tcBorders>
            <w:shd w:val="clear" w:color="auto" w:fill="auto"/>
            <w:noWrap/>
            <w:vAlign w:val="bottom"/>
            <w:hideMark/>
          </w:tcPr>
          <w:p w14:paraId="068C6F7C" w14:textId="1EE11A5B"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49D9CDF" w14:textId="326B95AD" w:rsidR="004E7A14" w:rsidRDefault="004E7A14" w:rsidP="004E7A14">
            <w:pPr>
              <w:jc w:val="right"/>
              <w:rPr>
                <w:color w:val="000000"/>
                <w:sz w:val="20"/>
                <w:szCs w:val="20"/>
              </w:rPr>
            </w:pPr>
            <w:r>
              <w:rPr>
                <w:b/>
                <w:bCs/>
                <w:color w:val="000000"/>
                <w:sz w:val="20"/>
                <w:szCs w:val="20"/>
              </w:rPr>
              <w:t>0.011</w:t>
            </w:r>
          </w:p>
        </w:tc>
        <w:tc>
          <w:tcPr>
            <w:tcW w:w="768" w:type="dxa"/>
            <w:tcBorders>
              <w:top w:val="nil"/>
              <w:left w:val="nil"/>
              <w:bottom w:val="nil"/>
              <w:right w:val="nil"/>
            </w:tcBorders>
            <w:shd w:val="clear" w:color="auto" w:fill="auto"/>
            <w:noWrap/>
            <w:vAlign w:val="bottom"/>
            <w:hideMark/>
          </w:tcPr>
          <w:p w14:paraId="3D97F306" w14:textId="6393B0BA"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53091F" w14:textId="0DDE0053" w:rsidR="004E7A14" w:rsidRDefault="004E7A14" w:rsidP="004E7A14">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519198DE" w14:textId="7B615FA5"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A255BD" w14:textId="322246F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C00C60" w14:textId="61AEE5CD" w:rsidR="004E7A14" w:rsidRDefault="004E7A14" w:rsidP="004E7A14">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39A79B1D" w14:textId="23064BA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F67203" w14:textId="470A3734" w:rsidR="004E7A14" w:rsidRDefault="004E7A14" w:rsidP="004E7A14">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2280CC10" w14:textId="5F04DF0F" w:rsidR="004E7A14" w:rsidRDefault="004E7A14" w:rsidP="004E7A14">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422135BD" w14:textId="42610D50"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F1768C8" w14:textId="1A9D2467" w:rsidR="004E7A14" w:rsidRDefault="004E7A14" w:rsidP="004E7A14">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01B8153" w14:textId="693D2045" w:rsidR="004E7A14" w:rsidRDefault="004E7A14" w:rsidP="004E7A14">
            <w:pPr>
              <w:jc w:val="right"/>
              <w:rPr>
                <w:color w:val="000000"/>
                <w:sz w:val="20"/>
                <w:szCs w:val="20"/>
              </w:rPr>
            </w:pPr>
            <w:r>
              <w:rPr>
                <w:color w:val="000000"/>
                <w:sz w:val="20"/>
                <w:szCs w:val="20"/>
              </w:rPr>
              <w:t>0.738</w:t>
            </w:r>
          </w:p>
        </w:tc>
        <w:tc>
          <w:tcPr>
            <w:tcW w:w="768" w:type="dxa"/>
            <w:tcBorders>
              <w:top w:val="nil"/>
              <w:left w:val="nil"/>
              <w:bottom w:val="nil"/>
              <w:right w:val="nil"/>
            </w:tcBorders>
            <w:shd w:val="clear" w:color="auto" w:fill="auto"/>
            <w:noWrap/>
            <w:vAlign w:val="bottom"/>
            <w:hideMark/>
          </w:tcPr>
          <w:p w14:paraId="0A3CF744" w14:textId="0AA1292C" w:rsidR="004E7A14" w:rsidRDefault="004E7A14" w:rsidP="004E7A14">
            <w:pPr>
              <w:jc w:val="right"/>
              <w:rPr>
                <w:color w:val="000000"/>
                <w:sz w:val="20"/>
                <w:szCs w:val="20"/>
              </w:rPr>
            </w:pPr>
            <w:r>
              <w:rPr>
                <w:color w:val="000000"/>
                <w:sz w:val="20"/>
                <w:szCs w:val="20"/>
              </w:rPr>
              <w:t>0.001</w:t>
            </w:r>
          </w:p>
        </w:tc>
      </w:tr>
      <w:tr w:rsidR="004E7A14" w14:paraId="664AC7FA" w14:textId="77777777" w:rsidTr="002F1817">
        <w:trPr>
          <w:trHeight w:val="320"/>
        </w:trPr>
        <w:tc>
          <w:tcPr>
            <w:tcW w:w="1176" w:type="dxa"/>
            <w:tcBorders>
              <w:top w:val="nil"/>
              <w:left w:val="nil"/>
              <w:bottom w:val="nil"/>
              <w:right w:val="nil"/>
            </w:tcBorders>
            <w:shd w:val="clear" w:color="auto" w:fill="auto"/>
            <w:noWrap/>
            <w:vAlign w:val="bottom"/>
            <w:hideMark/>
          </w:tcPr>
          <w:p w14:paraId="2DEE33F4"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64BDD67" w14:textId="77777777" w:rsidR="004E7A14" w:rsidRDefault="004E7A14" w:rsidP="004E7A1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7797004" w14:textId="3BF0CF6F"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8CB1AC1" w14:textId="1C2591D1" w:rsidR="004E7A14" w:rsidRDefault="004E7A14" w:rsidP="004E7A14">
            <w:pPr>
              <w:jc w:val="right"/>
              <w:rPr>
                <w:color w:val="000000"/>
                <w:sz w:val="20"/>
                <w:szCs w:val="20"/>
              </w:rPr>
            </w:pPr>
            <w:r>
              <w:rPr>
                <w:color w:val="000000"/>
                <w:sz w:val="20"/>
                <w:szCs w:val="20"/>
              </w:rPr>
              <w:t>0.961</w:t>
            </w:r>
          </w:p>
        </w:tc>
        <w:tc>
          <w:tcPr>
            <w:tcW w:w="768" w:type="dxa"/>
            <w:tcBorders>
              <w:top w:val="nil"/>
              <w:left w:val="nil"/>
              <w:bottom w:val="nil"/>
              <w:right w:val="nil"/>
            </w:tcBorders>
            <w:shd w:val="clear" w:color="auto" w:fill="auto"/>
            <w:noWrap/>
            <w:vAlign w:val="bottom"/>
            <w:hideMark/>
          </w:tcPr>
          <w:p w14:paraId="42CE14A9" w14:textId="0827624D"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FB7A39" w14:textId="226E7D67" w:rsidR="004E7A14" w:rsidRDefault="004E7A14" w:rsidP="004E7A1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288CCCF4" w14:textId="01BB8801" w:rsidR="004E7A14" w:rsidRDefault="004E7A14" w:rsidP="004E7A14">
            <w:pPr>
              <w:jc w:val="right"/>
              <w:rPr>
                <w:color w:val="000000"/>
                <w:sz w:val="20"/>
                <w:szCs w:val="20"/>
              </w:rPr>
            </w:pPr>
            <w:r>
              <w:rPr>
                <w:color w:val="000000"/>
                <w:sz w:val="20"/>
                <w:szCs w:val="20"/>
              </w:rPr>
              <w:t>0.403</w:t>
            </w:r>
          </w:p>
        </w:tc>
        <w:tc>
          <w:tcPr>
            <w:tcW w:w="768" w:type="dxa"/>
            <w:tcBorders>
              <w:top w:val="nil"/>
              <w:left w:val="nil"/>
              <w:bottom w:val="nil"/>
              <w:right w:val="nil"/>
            </w:tcBorders>
            <w:shd w:val="clear" w:color="auto" w:fill="auto"/>
            <w:noWrap/>
            <w:vAlign w:val="bottom"/>
            <w:hideMark/>
          </w:tcPr>
          <w:p w14:paraId="3C9F6403" w14:textId="1BD987A2"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CCA9D8" w14:textId="235F6199"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B9CACBE" w14:textId="503BB010" w:rsidR="004E7A14" w:rsidRDefault="004E7A14" w:rsidP="004E7A14">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549BD6BB" w14:textId="14ED934A"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899860" w14:textId="7BD5E793" w:rsidR="004E7A14" w:rsidRDefault="004E7A14" w:rsidP="004E7A14">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2EA78FEA" w14:textId="26E11307" w:rsidR="004E7A14" w:rsidRDefault="004E7A14" w:rsidP="004E7A14">
            <w:pPr>
              <w:jc w:val="right"/>
              <w:rPr>
                <w:color w:val="000000"/>
                <w:sz w:val="20"/>
                <w:szCs w:val="20"/>
              </w:rPr>
            </w:pPr>
            <w:r>
              <w:rPr>
                <w:color w:val="000000"/>
                <w:sz w:val="20"/>
                <w:szCs w:val="20"/>
              </w:rPr>
              <w:t>0.308</w:t>
            </w:r>
          </w:p>
        </w:tc>
        <w:tc>
          <w:tcPr>
            <w:tcW w:w="768" w:type="dxa"/>
            <w:tcBorders>
              <w:top w:val="nil"/>
              <w:left w:val="nil"/>
              <w:bottom w:val="nil"/>
              <w:right w:val="nil"/>
            </w:tcBorders>
            <w:shd w:val="clear" w:color="auto" w:fill="auto"/>
            <w:noWrap/>
            <w:vAlign w:val="bottom"/>
            <w:hideMark/>
          </w:tcPr>
          <w:p w14:paraId="6D48D35B" w14:textId="59A14D19"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DE1319D" w14:textId="5073AED4" w:rsidR="004E7A14" w:rsidRDefault="004E7A14" w:rsidP="004E7A14">
            <w:pPr>
              <w:jc w:val="right"/>
              <w:rPr>
                <w:b/>
                <w:bCs/>
                <w:color w:val="000000"/>
                <w:sz w:val="20"/>
                <w:szCs w:val="20"/>
              </w:rPr>
            </w:pPr>
            <w:r>
              <w:rPr>
                <w:b/>
                <w:bCs/>
                <w:color w:val="000000"/>
                <w:sz w:val="20"/>
                <w:szCs w:val="20"/>
              </w:rPr>
              <w:t>0.096</w:t>
            </w:r>
          </w:p>
        </w:tc>
        <w:tc>
          <w:tcPr>
            <w:tcW w:w="768" w:type="dxa"/>
            <w:tcBorders>
              <w:top w:val="nil"/>
              <w:left w:val="nil"/>
              <w:bottom w:val="nil"/>
              <w:right w:val="nil"/>
            </w:tcBorders>
            <w:shd w:val="clear" w:color="auto" w:fill="auto"/>
            <w:noWrap/>
            <w:vAlign w:val="bottom"/>
            <w:hideMark/>
          </w:tcPr>
          <w:p w14:paraId="633908B5" w14:textId="7C745A7F" w:rsidR="004E7A14" w:rsidRDefault="004E7A14" w:rsidP="004E7A14">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1E0FFC32" w14:textId="7AB0D933" w:rsidR="004E7A14" w:rsidRDefault="004E7A14" w:rsidP="004E7A14">
            <w:pPr>
              <w:jc w:val="right"/>
              <w:rPr>
                <w:color w:val="000000"/>
                <w:sz w:val="20"/>
                <w:szCs w:val="20"/>
              </w:rPr>
            </w:pPr>
            <w:r>
              <w:rPr>
                <w:b/>
                <w:bCs/>
                <w:color w:val="000000"/>
                <w:sz w:val="20"/>
                <w:szCs w:val="20"/>
              </w:rPr>
              <w:t>0.009</w:t>
            </w:r>
          </w:p>
        </w:tc>
      </w:tr>
      <w:tr w:rsidR="004E7A14" w14:paraId="1C775F99" w14:textId="77777777" w:rsidTr="002F1817">
        <w:trPr>
          <w:trHeight w:val="320"/>
        </w:trPr>
        <w:tc>
          <w:tcPr>
            <w:tcW w:w="1176" w:type="dxa"/>
            <w:tcBorders>
              <w:top w:val="nil"/>
              <w:left w:val="nil"/>
              <w:bottom w:val="nil"/>
              <w:right w:val="nil"/>
            </w:tcBorders>
            <w:shd w:val="clear" w:color="auto" w:fill="auto"/>
            <w:noWrap/>
            <w:vAlign w:val="bottom"/>
            <w:hideMark/>
          </w:tcPr>
          <w:p w14:paraId="5DE6BC67"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7D69B8C" w14:textId="77777777" w:rsidR="004E7A14" w:rsidRDefault="004E7A14" w:rsidP="004E7A1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F1A4BC8" w14:textId="4FB099DA" w:rsidR="004E7A14" w:rsidRDefault="004E7A14" w:rsidP="004E7A14">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EDA36A9" w14:textId="58540186" w:rsidR="004E7A14" w:rsidRDefault="004E7A14" w:rsidP="004E7A14">
            <w:pPr>
              <w:jc w:val="right"/>
              <w:rPr>
                <w:color w:val="000000"/>
                <w:sz w:val="20"/>
                <w:szCs w:val="20"/>
              </w:rPr>
            </w:pPr>
            <w:r>
              <w:rPr>
                <w:color w:val="000000"/>
                <w:sz w:val="20"/>
                <w:szCs w:val="20"/>
              </w:rPr>
              <w:t>0.953</w:t>
            </w:r>
          </w:p>
        </w:tc>
        <w:tc>
          <w:tcPr>
            <w:tcW w:w="768" w:type="dxa"/>
            <w:tcBorders>
              <w:top w:val="nil"/>
              <w:left w:val="nil"/>
              <w:bottom w:val="nil"/>
              <w:right w:val="nil"/>
            </w:tcBorders>
            <w:shd w:val="clear" w:color="auto" w:fill="auto"/>
            <w:noWrap/>
            <w:vAlign w:val="bottom"/>
            <w:hideMark/>
          </w:tcPr>
          <w:p w14:paraId="046FC6BE" w14:textId="785930C2"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28163A" w14:textId="5F8F1393"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FE9998B" w14:textId="7DA3B4BB" w:rsidR="004E7A14" w:rsidRDefault="004E7A14" w:rsidP="004E7A14">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4FB4479B" w14:textId="5AC88F3A"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2BE48B" w14:textId="2E36C91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EB7D29" w14:textId="6BCAA345" w:rsidR="004E7A14" w:rsidRDefault="004E7A14" w:rsidP="004E7A14">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7D2D97D6" w14:textId="3EDF0D9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26D604" w14:textId="61A2A587" w:rsidR="004E7A14" w:rsidRDefault="004E7A14" w:rsidP="004E7A14">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41ED393C" w14:textId="3B3BAC66" w:rsidR="004E7A14" w:rsidRDefault="004E7A14" w:rsidP="004E7A14">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44B98E36" w14:textId="024FCB24"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91782C" w14:textId="4BAB1836" w:rsidR="004E7A14" w:rsidRDefault="004E7A14" w:rsidP="004E7A14">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0BBFF8E" w14:textId="3225C14D" w:rsidR="004E7A14" w:rsidRDefault="004E7A14" w:rsidP="004E7A14">
            <w:pPr>
              <w:jc w:val="right"/>
              <w:rPr>
                <w:color w:val="000000"/>
                <w:sz w:val="20"/>
                <w:szCs w:val="20"/>
              </w:rPr>
            </w:pPr>
            <w:r>
              <w:rPr>
                <w:color w:val="000000"/>
                <w:sz w:val="20"/>
                <w:szCs w:val="20"/>
              </w:rPr>
              <w:t>0.738</w:t>
            </w:r>
          </w:p>
        </w:tc>
        <w:tc>
          <w:tcPr>
            <w:tcW w:w="768" w:type="dxa"/>
            <w:tcBorders>
              <w:top w:val="nil"/>
              <w:left w:val="nil"/>
              <w:bottom w:val="nil"/>
              <w:right w:val="nil"/>
            </w:tcBorders>
            <w:shd w:val="clear" w:color="auto" w:fill="auto"/>
            <w:noWrap/>
            <w:vAlign w:val="bottom"/>
            <w:hideMark/>
          </w:tcPr>
          <w:p w14:paraId="7747E70A" w14:textId="50DE3198" w:rsidR="004E7A14" w:rsidRDefault="004E7A14" w:rsidP="004E7A14">
            <w:pPr>
              <w:jc w:val="right"/>
              <w:rPr>
                <w:color w:val="000000"/>
                <w:sz w:val="20"/>
                <w:szCs w:val="20"/>
              </w:rPr>
            </w:pPr>
            <w:r>
              <w:rPr>
                <w:color w:val="000000"/>
                <w:sz w:val="20"/>
                <w:szCs w:val="20"/>
              </w:rPr>
              <w:t>0.001</w:t>
            </w:r>
          </w:p>
        </w:tc>
      </w:tr>
      <w:tr w:rsidR="004E7A14" w14:paraId="03527B00" w14:textId="77777777" w:rsidTr="002F1817">
        <w:trPr>
          <w:trHeight w:val="320"/>
        </w:trPr>
        <w:tc>
          <w:tcPr>
            <w:tcW w:w="1176" w:type="dxa"/>
            <w:tcBorders>
              <w:top w:val="nil"/>
              <w:left w:val="nil"/>
              <w:bottom w:val="nil"/>
              <w:right w:val="nil"/>
            </w:tcBorders>
            <w:shd w:val="clear" w:color="auto" w:fill="auto"/>
            <w:noWrap/>
            <w:vAlign w:val="bottom"/>
            <w:hideMark/>
          </w:tcPr>
          <w:p w14:paraId="2A9B38E4"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FE2412C" w14:textId="77777777" w:rsidR="004E7A14" w:rsidRDefault="004E7A14" w:rsidP="004E7A1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5EAED41" w14:textId="5A5F71E9"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09CC043" w14:textId="4F163AE3" w:rsidR="004E7A14" w:rsidRDefault="004E7A14" w:rsidP="004E7A14">
            <w:pPr>
              <w:jc w:val="right"/>
              <w:rPr>
                <w:color w:val="000000"/>
                <w:sz w:val="20"/>
                <w:szCs w:val="20"/>
              </w:rPr>
            </w:pPr>
            <w:r>
              <w:rPr>
                <w:color w:val="000000"/>
                <w:sz w:val="20"/>
                <w:szCs w:val="20"/>
              </w:rPr>
              <w:t>0.961</w:t>
            </w:r>
          </w:p>
        </w:tc>
        <w:tc>
          <w:tcPr>
            <w:tcW w:w="768" w:type="dxa"/>
            <w:tcBorders>
              <w:top w:val="nil"/>
              <w:left w:val="nil"/>
              <w:bottom w:val="nil"/>
              <w:right w:val="nil"/>
            </w:tcBorders>
            <w:shd w:val="clear" w:color="auto" w:fill="auto"/>
            <w:noWrap/>
            <w:vAlign w:val="bottom"/>
            <w:hideMark/>
          </w:tcPr>
          <w:p w14:paraId="7888A886" w14:textId="396F59F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B602E2" w14:textId="05FC22D8"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A9968A6" w14:textId="5EA3118E" w:rsidR="004E7A14" w:rsidRDefault="004E7A14" w:rsidP="004E7A14">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2A508C43" w14:textId="684939E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21A5A7" w14:textId="05841101" w:rsidR="004E7A14" w:rsidRDefault="004E7A14" w:rsidP="004E7A1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8DCE429" w14:textId="5CB6677B" w:rsidR="004E7A14" w:rsidRDefault="004E7A14" w:rsidP="004E7A14">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4D29F9B2" w14:textId="6B0ACF5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5D04CB" w14:textId="4E681C55" w:rsidR="004E7A14" w:rsidRDefault="004E7A14" w:rsidP="004E7A14">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18DC580" w14:textId="131B9C3F" w:rsidR="004E7A14" w:rsidRDefault="004E7A14" w:rsidP="004E7A14">
            <w:pPr>
              <w:jc w:val="right"/>
              <w:rPr>
                <w:color w:val="000000"/>
                <w:sz w:val="20"/>
                <w:szCs w:val="20"/>
              </w:rPr>
            </w:pPr>
            <w:r>
              <w:rPr>
                <w:color w:val="000000"/>
                <w:sz w:val="20"/>
                <w:szCs w:val="20"/>
              </w:rPr>
              <w:t>0.623</w:t>
            </w:r>
          </w:p>
        </w:tc>
        <w:tc>
          <w:tcPr>
            <w:tcW w:w="768" w:type="dxa"/>
            <w:tcBorders>
              <w:top w:val="nil"/>
              <w:left w:val="nil"/>
              <w:bottom w:val="nil"/>
              <w:right w:val="nil"/>
            </w:tcBorders>
            <w:shd w:val="clear" w:color="auto" w:fill="auto"/>
            <w:noWrap/>
            <w:vAlign w:val="bottom"/>
            <w:hideMark/>
          </w:tcPr>
          <w:p w14:paraId="26DE8C9A" w14:textId="0556CEEE"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C4C643" w14:textId="24919B8F" w:rsidR="004E7A14" w:rsidRDefault="004E7A14" w:rsidP="004E7A1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1F6DBC6" w14:textId="62E2CEFE" w:rsidR="004E7A14" w:rsidRDefault="004E7A14" w:rsidP="004E7A14">
            <w:pPr>
              <w:jc w:val="right"/>
              <w:rPr>
                <w:color w:val="000000"/>
                <w:sz w:val="20"/>
                <w:szCs w:val="20"/>
              </w:rPr>
            </w:pPr>
            <w:r>
              <w:rPr>
                <w:color w:val="000000"/>
                <w:sz w:val="20"/>
                <w:szCs w:val="20"/>
              </w:rPr>
              <w:t>0.738</w:t>
            </w:r>
          </w:p>
        </w:tc>
        <w:tc>
          <w:tcPr>
            <w:tcW w:w="768" w:type="dxa"/>
            <w:tcBorders>
              <w:top w:val="nil"/>
              <w:left w:val="nil"/>
              <w:bottom w:val="nil"/>
              <w:right w:val="nil"/>
            </w:tcBorders>
            <w:shd w:val="clear" w:color="auto" w:fill="auto"/>
            <w:noWrap/>
            <w:vAlign w:val="bottom"/>
            <w:hideMark/>
          </w:tcPr>
          <w:p w14:paraId="4659EFD4" w14:textId="541CAE2B" w:rsidR="004E7A14" w:rsidRDefault="004E7A14" w:rsidP="004E7A14">
            <w:pPr>
              <w:jc w:val="right"/>
              <w:rPr>
                <w:color w:val="000000"/>
                <w:sz w:val="20"/>
                <w:szCs w:val="20"/>
              </w:rPr>
            </w:pPr>
            <w:r>
              <w:rPr>
                <w:color w:val="000000"/>
                <w:sz w:val="20"/>
                <w:szCs w:val="20"/>
              </w:rPr>
              <w:t>0.001</w:t>
            </w:r>
          </w:p>
        </w:tc>
      </w:tr>
      <w:tr w:rsidR="004E7A14" w14:paraId="14E49E46" w14:textId="77777777" w:rsidTr="002F1817">
        <w:trPr>
          <w:trHeight w:val="320"/>
        </w:trPr>
        <w:tc>
          <w:tcPr>
            <w:tcW w:w="1176" w:type="dxa"/>
            <w:tcBorders>
              <w:top w:val="nil"/>
              <w:left w:val="nil"/>
              <w:bottom w:val="nil"/>
              <w:right w:val="nil"/>
            </w:tcBorders>
            <w:shd w:val="clear" w:color="auto" w:fill="auto"/>
            <w:noWrap/>
            <w:vAlign w:val="bottom"/>
            <w:hideMark/>
          </w:tcPr>
          <w:p w14:paraId="0E456075"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692177D" w14:textId="77777777" w:rsidR="004E7A14" w:rsidRDefault="004E7A14" w:rsidP="004E7A1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D9BDC9D" w14:textId="5A651932" w:rsidR="004E7A14" w:rsidRDefault="004E7A14" w:rsidP="004E7A14">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5F6B7ACE" w14:textId="3EF6DBC1" w:rsidR="004E7A14" w:rsidRDefault="004E7A14" w:rsidP="004E7A14">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39530FC5" w14:textId="3F95F7E7"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290D7BA" w14:textId="71DBE8C9" w:rsidR="004E7A14" w:rsidRDefault="004E7A14" w:rsidP="004E7A14">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49B0C845" w14:textId="38F73FB2" w:rsidR="004E7A14" w:rsidRDefault="004E7A14" w:rsidP="004E7A14">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1DFFE6C5" w14:textId="196DFDC6"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D44D606" w14:textId="3285F4E6" w:rsidR="004E7A14" w:rsidRDefault="004E7A14" w:rsidP="004E7A14">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54D3A8CD" w14:textId="1BA90C21" w:rsidR="004E7A14" w:rsidRDefault="004E7A14" w:rsidP="004E7A14">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56FFADCB" w14:textId="0800CAE4"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9BB1F1C" w14:textId="029D4FFB" w:rsidR="004E7A14" w:rsidRDefault="004E7A14" w:rsidP="004E7A14">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0AA55143" w14:textId="13C7973B" w:rsidR="004E7A14" w:rsidRDefault="004E7A14" w:rsidP="004E7A14">
            <w:pPr>
              <w:jc w:val="right"/>
              <w:rPr>
                <w:color w:val="000000"/>
                <w:sz w:val="20"/>
                <w:szCs w:val="20"/>
              </w:rPr>
            </w:pPr>
            <w:r>
              <w:rPr>
                <w:color w:val="000000"/>
                <w:sz w:val="20"/>
                <w:szCs w:val="20"/>
              </w:rPr>
              <w:t>0.171</w:t>
            </w:r>
          </w:p>
        </w:tc>
        <w:tc>
          <w:tcPr>
            <w:tcW w:w="768" w:type="dxa"/>
            <w:tcBorders>
              <w:top w:val="nil"/>
              <w:left w:val="nil"/>
              <w:bottom w:val="nil"/>
              <w:right w:val="nil"/>
            </w:tcBorders>
            <w:shd w:val="clear" w:color="auto" w:fill="auto"/>
            <w:noWrap/>
            <w:vAlign w:val="bottom"/>
            <w:hideMark/>
          </w:tcPr>
          <w:p w14:paraId="032B33E3" w14:textId="3087039E"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B7235F3" w14:textId="673BA03A" w:rsidR="004E7A14" w:rsidRDefault="004E7A14" w:rsidP="004E7A14">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78C84BE" w14:textId="1B1E53E6" w:rsidR="004E7A14" w:rsidRDefault="004E7A14" w:rsidP="004E7A14">
            <w:pPr>
              <w:jc w:val="right"/>
              <w:rPr>
                <w:color w:val="000000"/>
                <w:sz w:val="20"/>
                <w:szCs w:val="20"/>
              </w:rPr>
            </w:pPr>
            <w:r>
              <w:rPr>
                <w:color w:val="000000"/>
                <w:sz w:val="20"/>
                <w:szCs w:val="20"/>
              </w:rPr>
              <w:t>0.750</w:t>
            </w:r>
          </w:p>
        </w:tc>
        <w:tc>
          <w:tcPr>
            <w:tcW w:w="768" w:type="dxa"/>
            <w:tcBorders>
              <w:top w:val="nil"/>
              <w:left w:val="nil"/>
              <w:bottom w:val="nil"/>
              <w:right w:val="nil"/>
            </w:tcBorders>
            <w:shd w:val="clear" w:color="auto" w:fill="auto"/>
            <w:noWrap/>
            <w:vAlign w:val="bottom"/>
            <w:hideMark/>
          </w:tcPr>
          <w:p w14:paraId="44CD5938" w14:textId="1B041C67" w:rsidR="004E7A14" w:rsidRDefault="004E7A14" w:rsidP="004E7A14">
            <w:pPr>
              <w:jc w:val="right"/>
              <w:rPr>
                <w:color w:val="000000"/>
                <w:sz w:val="20"/>
                <w:szCs w:val="20"/>
              </w:rPr>
            </w:pPr>
            <w:r>
              <w:rPr>
                <w:color w:val="000000"/>
                <w:sz w:val="20"/>
                <w:szCs w:val="20"/>
              </w:rPr>
              <w:t>0.000</w:t>
            </w:r>
          </w:p>
        </w:tc>
      </w:tr>
      <w:tr w:rsidR="004E7A14" w14:paraId="7975AD82" w14:textId="77777777" w:rsidTr="002F1817">
        <w:trPr>
          <w:trHeight w:val="320"/>
        </w:trPr>
        <w:tc>
          <w:tcPr>
            <w:tcW w:w="1176" w:type="dxa"/>
            <w:tcBorders>
              <w:top w:val="nil"/>
              <w:left w:val="nil"/>
              <w:bottom w:val="nil"/>
              <w:right w:val="nil"/>
            </w:tcBorders>
            <w:shd w:val="clear" w:color="auto" w:fill="auto"/>
            <w:noWrap/>
            <w:vAlign w:val="bottom"/>
            <w:hideMark/>
          </w:tcPr>
          <w:p w14:paraId="2198B09C"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BC0797" w14:textId="77777777" w:rsidR="004E7A14" w:rsidRDefault="004E7A14" w:rsidP="004E7A1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D7C3187" w14:textId="4625642C" w:rsidR="004E7A14" w:rsidRDefault="004E7A14" w:rsidP="004E7A14">
            <w:pPr>
              <w:jc w:val="right"/>
              <w:rPr>
                <w:b/>
                <w:bCs/>
                <w:color w:val="000000"/>
                <w:sz w:val="20"/>
                <w:szCs w:val="20"/>
              </w:rPr>
            </w:pPr>
            <w:r>
              <w:rPr>
                <w:b/>
                <w:bCs/>
                <w:color w:val="000000"/>
                <w:sz w:val="20"/>
                <w:szCs w:val="20"/>
              </w:rPr>
              <w:t>0.081</w:t>
            </w:r>
          </w:p>
        </w:tc>
        <w:tc>
          <w:tcPr>
            <w:tcW w:w="768" w:type="dxa"/>
            <w:tcBorders>
              <w:top w:val="nil"/>
              <w:left w:val="nil"/>
              <w:bottom w:val="nil"/>
              <w:right w:val="nil"/>
            </w:tcBorders>
            <w:shd w:val="clear" w:color="auto" w:fill="auto"/>
            <w:noWrap/>
            <w:vAlign w:val="bottom"/>
            <w:hideMark/>
          </w:tcPr>
          <w:p w14:paraId="6084E3AE" w14:textId="1D0CCE85" w:rsidR="004E7A14" w:rsidRDefault="004E7A14" w:rsidP="004E7A14">
            <w:pPr>
              <w:jc w:val="right"/>
              <w:rPr>
                <w:b/>
                <w:bCs/>
                <w:color w:val="000000"/>
                <w:sz w:val="20"/>
                <w:szCs w:val="20"/>
              </w:rPr>
            </w:pPr>
            <w:r>
              <w:rPr>
                <w:b/>
                <w:bCs/>
                <w:color w:val="000000"/>
                <w:sz w:val="20"/>
                <w:szCs w:val="20"/>
              </w:rPr>
              <w:t>0.012</w:t>
            </w:r>
          </w:p>
        </w:tc>
        <w:tc>
          <w:tcPr>
            <w:tcW w:w="768" w:type="dxa"/>
            <w:tcBorders>
              <w:top w:val="nil"/>
              <w:left w:val="nil"/>
              <w:bottom w:val="nil"/>
              <w:right w:val="nil"/>
            </w:tcBorders>
            <w:shd w:val="clear" w:color="auto" w:fill="auto"/>
            <w:noWrap/>
            <w:vAlign w:val="bottom"/>
            <w:hideMark/>
          </w:tcPr>
          <w:p w14:paraId="651F69AB" w14:textId="42BEFC0A" w:rsidR="004E7A14" w:rsidRDefault="004E7A14" w:rsidP="004E7A14">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0125AEB3" w14:textId="7C8564E2" w:rsidR="004E7A14" w:rsidRDefault="004E7A14" w:rsidP="004E7A1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DABB9E2" w14:textId="4CCD9EA2" w:rsidR="004E7A14" w:rsidRDefault="004E7A14" w:rsidP="004E7A14">
            <w:pPr>
              <w:jc w:val="right"/>
              <w:rPr>
                <w:color w:val="000000"/>
                <w:sz w:val="20"/>
                <w:szCs w:val="20"/>
              </w:rPr>
            </w:pPr>
            <w:r>
              <w:rPr>
                <w:color w:val="000000"/>
                <w:sz w:val="20"/>
                <w:szCs w:val="20"/>
              </w:rPr>
              <w:t>0.683</w:t>
            </w:r>
          </w:p>
        </w:tc>
        <w:tc>
          <w:tcPr>
            <w:tcW w:w="768" w:type="dxa"/>
            <w:tcBorders>
              <w:top w:val="nil"/>
              <w:left w:val="nil"/>
              <w:bottom w:val="nil"/>
              <w:right w:val="nil"/>
            </w:tcBorders>
            <w:shd w:val="clear" w:color="auto" w:fill="auto"/>
            <w:noWrap/>
            <w:vAlign w:val="bottom"/>
            <w:hideMark/>
          </w:tcPr>
          <w:p w14:paraId="6006D710" w14:textId="77782619"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755C7E" w14:textId="4877D4DB" w:rsidR="004E7A14" w:rsidRDefault="004E7A14" w:rsidP="004E7A14">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0E69F723" w14:textId="4A195FF6" w:rsidR="004E7A14" w:rsidRDefault="004E7A14" w:rsidP="004E7A14">
            <w:pPr>
              <w:jc w:val="right"/>
              <w:rPr>
                <w:color w:val="000000"/>
                <w:sz w:val="20"/>
                <w:szCs w:val="20"/>
              </w:rPr>
            </w:pPr>
            <w:r>
              <w:rPr>
                <w:color w:val="000000"/>
                <w:sz w:val="20"/>
                <w:szCs w:val="20"/>
              </w:rPr>
              <w:t>0.778</w:t>
            </w:r>
          </w:p>
        </w:tc>
        <w:tc>
          <w:tcPr>
            <w:tcW w:w="768" w:type="dxa"/>
            <w:tcBorders>
              <w:top w:val="nil"/>
              <w:left w:val="nil"/>
              <w:bottom w:val="nil"/>
              <w:right w:val="nil"/>
            </w:tcBorders>
            <w:shd w:val="clear" w:color="auto" w:fill="auto"/>
            <w:noWrap/>
            <w:vAlign w:val="bottom"/>
            <w:hideMark/>
          </w:tcPr>
          <w:p w14:paraId="123AB763" w14:textId="28232C0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99FC62" w14:textId="297764A1" w:rsidR="004E7A14" w:rsidRDefault="004E7A14" w:rsidP="004E7A14">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3B7432A0" w14:textId="402DCC9E" w:rsidR="004E7A14" w:rsidRDefault="004E7A14" w:rsidP="004E7A14">
            <w:pPr>
              <w:jc w:val="right"/>
              <w:rPr>
                <w:color w:val="000000"/>
                <w:sz w:val="20"/>
                <w:szCs w:val="20"/>
              </w:rPr>
            </w:pPr>
            <w:r>
              <w:rPr>
                <w:color w:val="000000"/>
                <w:sz w:val="20"/>
                <w:szCs w:val="20"/>
              </w:rPr>
              <w:t>0.171</w:t>
            </w:r>
          </w:p>
        </w:tc>
        <w:tc>
          <w:tcPr>
            <w:tcW w:w="768" w:type="dxa"/>
            <w:tcBorders>
              <w:top w:val="nil"/>
              <w:left w:val="nil"/>
              <w:bottom w:val="nil"/>
              <w:right w:val="nil"/>
            </w:tcBorders>
            <w:shd w:val="clear" w:color="auto" w:fill="auto"/>
            <w:noWrap/>
            <w:vAlign w:val="bottom"/>
            <w:hideMark/>
          </w:tcPr>
          <w:p w14:paraId="73C6FF76" w14:textId="4863EA73"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4433BD1" w14:textId="1A06555C" w:rsidR="004E7A14" w:rsidRDefault="004E7A14" w:rsidP="004E7A1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25A94C6" w14:textId="6CB306E6" w:rsidR="004E7A14" w:rsidRDefault="004E7A14" w:rsidP="004E7A14">
            <w:pPr>
              <w:jc w:val="right"/>
              <w:rPr>
                <w:color w:val="000000"/>
                <w:sz w:val="20"/>
                <w:szCs w:val="20"/>
              </w:rPr>
            </w:pPr>
            <w:r>
              <w:rPr>
                <w:color w:val="000000"/>
                <w:sz w:val="20"/>
                <w:szCs w:val="20"/>
              </w:rPr>
              <w:t>0.753</w:t>
            </w:r>
          </w:p>
        </w:tc>
        <w:tc>
          <w:tcPr>
            <w:tcW w:w="768" w:type="dxa"/>
            <w:tcBorders>
              <w:top w:val="nil"/>
              <w:left w:val="nil"/>
              <w:bottom w:val="nil"/>
              <w:right w:val="nil"/>
            </w:tcBorders>
            <w:shd w:val="clear" w:color="auto" w:fill="auto"/>
            <w:noWrap/>
            <w:vAlign w:val="bottom"/>
            <w:hideMark/>
          </w:tcPr>
          <w:p w14:paraId="380A2D39" w14:textId="0512C2F6" w:rsidR="004E7A14" w:rsidRDefault="004E7A14" w:rsidP="004E7A14">
            <w:pPr>
              <w:jc w:val="right"/>
              <w:rPr>
                <w:color w:val="000000"/>
                <w:sz w:val="20"/>
                <w:szCs w:val="20"/>
              </w:rPr>
            </w:pPr>
            <w:r>
              <w:rPr>
                <w:color w:val="000000"/>
                <w:sz w:val="20"/>
                <w:szCs w:val="20"/>
              </w:rPr>
              <w:t>0.000</w:t>
            </w:r>
          </w:p>
        </w:tc>
      </w:tr>
      <w:tr w:rsidR="004E7A14" w14:paraId="2A85F17E" w14:textId="77777777" w:rsidTr="002F1817">
        <w:trPr>
          <w:trHeight w:val="320"/>
        </w:trPr>
        <w:tc>
          <w:tcPr>
            <w:tcW w:w="1176" w:type="dxa"/>
            <w:tcBorders>
              <w:top w:val="nil"/>
              <w:left w:val="nil"/>
              <w:bottom w:val="nil"/>
              <w:right w:val="nil"/>
            </w:tcBorders>
            <w:shd w:val="clear" w:color="auto" w:fill="auto"/>
            <w:noWrap/>
            <w:vAlign w:val="bottom"/>
            <w:hideMark/>
          </w:tcPr>
          <w:p w14:paraId="328E5135"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CE3732" w14:textId="77777777" w:rsidR="004E7A14" w:rsidRDefault="004E7A14" w:rsidP="004E7A1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A2843F1" w14:textId="68974841" w:rsidR="004E7A14" w:rsidRDefault="004E7A14" w:rsidP="004E7A14">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5C35908" w14:textId="55BA9F25" w:rsidR="004E7A14" w:rsidRDefault="004E7A14" w:rsidP="004E7A14">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223B51A3" w14:textId="6593EDF8"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B7A9DD" w14:textId="37BA1725" w:rsidR="004E7A14" w:rsidRDefault="004E7A14" w:rsidP="004E7A14">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8FC6059" w14:textId="78F25ACA" w:rsidR="004E7A14" w:rsidRDefault="004E7A14" w:rsidP="004E7A14">
            <w:pPr>
              <w:jc w:val="right"/>
              <w:rPr>
                <w:color w:val="000000"/>
                <w:sz w:val="20"/>
                <w:szCs w:val="20"/>
              </w:rPr>
            </w:pPr>
            <w:r>
              <w:rPr>
                <w:color w:val="000000"/>
                <w:sz w:val="20"/>
                <w:szCs w:val="20"/>
              </w:rPr>
              <w:t>0.683</w:t>
            </w:r>
          </w:p>
        </w:tc>
        <w:tc>
          <w:tcPr>
            <w:tcW w:w="768" w:type="dxa"/>
            <w:tcBorders>
              <w:top w:val="nil"/>
              <w:left w:val="nil"/>
              <w:bottom w:val="nil"/>
              <w:right w:val="nil"/>
            </w:tcBorders>
            <w:shd w:val="clear" w:color="auto" w:fill="auto"/>
            <w:noWrap/>
            <w:vAlign w:val="bottom"/>
            <w:hideMark/>
          </w:tcPr>
          <w:p w14:paraId="250900BD" w14:textId="6F977E7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6E144C" w14:textId="5DA1F95B" w:rsidR="004E7A14" w:rsidRDefault="004E7A14" w:rsidP="004E7A14">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4B0D85F2" w14:textId="469BC3A9" w:rsidR="004E7A14" w:rsidRDefault="004E7A14" w:rsidP="004E7A14">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60D862B0" w14:textId="0ED12461"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84EE89B" w14:textId="633FFF5A" w:rsidR="004E7A14" w:rsidRDefault="004E7A14" w:rsidP="004E7A1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363E6703" w14:textId="4B8E1C35" w:rsidR="004E7A14" w:rsidRDefault="004E7A14" w:rsidP="004E7A14">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1302BCBA" w14:textId="28174FDE"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0EEEDB" w14:textId="722B6EA4" w:rsidR="004E7A14" w:rsidRDefault="004E7A14" w:rsidP="004E7A14">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6EE25BF" w14:textId="52572AF3" w:rsidR="004E7A14" w:rsidRDefault="004E7A14" w:rsidP="004E7A14">
            <w:pPr>
              <w:jc w:val="right"/>
              <w:rPr>
                <w:color w:val="000000"/>
                <w:sz w:val="20"/>
                <w:szCs w:val="20"/>
              </w:rPr>
            </w:pPr>
            <w:r>
              <w:rPr>
                <w:color w:val="000000"/>
                <w:sz w:val="20"/>
                <w:szCs w:val="20"/>
              </w:rPr>
              <w:t>0.750</w:t>
            </w:r>
          </w:p>
        </w:tc>
        <w:tc>
          <w:tcPr>
            <w:tcW w:w="768" w:type="dxa"/>
            <w:tcBorders>
              <w:top w:val="nil"/>
              <w:left w:val="nil"/>
              <w:bottom w:val="nil"/>
              <w:right w:val="nil"/>
            </w:tcBorders>
            <w:shd w:val="clear" w:color="auto" w:fill="auto"/>
            <w:noWrap/>
            <w:vAlign w:val="bottom"/>
            <w:hideMark/>
          </w:tcPr>
          <w:p w14:paraId="692AD04C" w14:textId="25E7F763" w:rsidR="004E7A14" w:rsidRDefault="004E7A14" w:rsidP="004E7A14">
            <w:pPr>
              <w:jc w:val="right"/>
              <w:rPr>
                <w:color w:val="000000"/>
                <w:sz w:val="20"/>
                <w:szCs w:val="20"/>
              </w:rPr>
            </w:pPr>
            <w:r>
              <w:rPr>
                <w:color w:val="000000"/>
                <w:sz w:val="20"/>
                <w:szCs w:val="20"/>
              </w:rPr>
              <w:t>0.000</w:t>
            </w:r>
          </w:p>
        </w:tc>
      </w:tr>
      <w:tr w:rsidR="004E7A14" w14:paraId="20560FF4" w14:textId="77777777" w:rsidTr="002F1817">
        <w:trPr>
          <w:trHeight w:val="320"/>
        </w:trPr>
        <w:tc>
          <w:tcPr>
            <w:tcW w:w="1176" w:type="dxa"/>
            <w:tcBorders>
              <w:top w:val="nil"/>
              <w:left w:val="nil"/>
              <w:bottom w:val="single" w:sz="4" w:space="0" w:color="auto"/>
              <w:right w:val="nil"/>
            </w:tcBorders>
            <w:shd w:val="clear" w:color="auto" w:fill="auto"/>
            <w:noWrap/>
            <w:vAlign w:val="bottom"/>
            <w:hideMark/>
          </w:tcPr>
          <w:p w14:paraId="6F8E283E" w14:textId="77777777" w:rsidR="004E7A14" w:rsidRDefault="004E7A14" w:rsidP="004E7A14">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BAAB894" w14:textId="77777777" w:rsidR="004E7A14" w:rsidRDefault="004E7A14" w:rsidP="004E7A14">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F77C887" w14:textId="5A7A177E"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5154B6D0" w14:textId="055AA7A3" w:rsidR="004E7A14" w:rsidRDefault="004E7A14" w:rsidP="004E7A14">
            <w:pPr>
              <w:jc w:val="right"/>
              <w:rPr>
                <w:color w:val="000000"/>
                <w:sz w:val="20"/>
                <w:szCs w:val="20"/>
              </w:rPr>
            </w:pPr>
            <w:r>
              <w:rPr>
                <w:color w:val="000000"/>
                <w:sz w:val="20"/>
                <w:szCs w:val="20"/>
              </w:rPr>
              <w:t>0.953</w:t>
            </w:r>
          </w:p>
        </w:tc>
        <w:tc>
          <w:tcPr>
            <w:tcW w:w="768" w:type="dxa"/>
            <w:tcBorders>
              <w:top w:val="nil"/>
              <w:left w:val="nil"/>
              <w:bottom w:val="single" w:sz="4" w:space="0" w:color="auto"/>
              <w:right w:val="nil"/>
            </w:tcBorders>
            <w:shd w:val="clear" w:color="auto" w:fill="auto"/>
            <w:noWrap/>
            <w:vAlign w:val="bottom"/>
            <w:hideMark/>
          </w:tcPr>
          <w:p w14:paraId="39F62640" w14:textId="34355E79"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326332D" w14:textId="163D694D" w:rsidR="004E7A14" w:rsidRDefault="004E7A14" w:rsidP="004E7A14">
            <w:pPr>
              <w:jc w:val="right"/>
              <w:rPr>
                <w:b/>
                <w:bCs/>
                <w:color w:val="000000"/>
                <w:sz w:val="20"/>
                <w:szCs w:val="20"/>
              </w:rPr>
            </w:pPr>
            <w:r>
              <w:rPr>
                <w:b/>
                <w:bCs/>
                <w:color w:val="000000"/>
                <w:sz w:val="20"/>
                <w:szCs w:val="20"/>
              </w:rPr>
              <w:t>-0.103</w:t>
            </w:r>
          </w:p>
        </w:tc>
        <w:tc>
          <w:tcPr>
            <w:tcW w:w="768" w:type="dxa"/>
            <w:tcBorders>
              <w:top w:val="nil"/>
              <w:left w:val="nil"/>
              <w:bottom w:val="single" w:sz="4" w:space="0" w:color="auto"/>
              <w:right w:val="nil"/>
            </w:tcBorders>
            <w:shd w:val="clear" w:color="auto" w:fill="auto"/>
            <w:noWrap/>
            <w:vAlign w:val="bottom"/>
            <w:hideMark/>
          </w:tcPr>
          <w:p w14:paraId="5B861B97" w14:textId="33DE379A"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2DD4C51" w14:textId="191EEADF" w:rsidR="004E7A14" w:rsidRDefault="004E7A14" w:rsidP="004E7A14">
            <w:pPr>
              <w:jc w:val="right"/>
              <w:rPr>
                <w:color w:val="000000"/>
                <w:sz w:val="20"/>
                <w:szCs w:val="20"/>
              </w:rPr>
            </w:pPr>
            <w:r>
              <w:rPr>
                <w:b/>
                <w:bCs/>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3EC59ECF" w14:textId="79390097" w:rsidR="004E7A14" w:rsidRDefault="004E7A14" w:rsidP="004E7A14">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3E6A4DCE" w14:textId="03DB4BDF" w:rsidR="004E7A14" w:rsidRDefault="004E7A14" w:rsidP="004E7A14">
            <w:pPr>
              <w:jc w:val="right"/>
              <w:rPr>
                <w:color w:val="000000"/>
                <w:sz w:val="20"/>
                <w:szCs w:val="20"/>
              </w:rPr>
            </w:pPr>
            <w:r>
              <w:rPr>
                <w:color w:val="000000"/>
                <w:sz w:val="20"/>
                <w:szCs w:val="20"/>
              </w:rPr>
              <w:t>0.357</w:t>
            </w:r>
          </w:p>
        </w:tc>
        <w:tc>
          <w:tcPr>
            <w:tcW w:w="768" w:type="dxa"/>
            <w:tcBorders>
              <w:top w:val="nil"/>
              <w:left w:val="nil"/>
              <w:bottom w:val="single" w:sz="4" w:space="0" w:color="auto"/>
              <w:right w:val="nil"/>
            </w:tcBorders>
            <w:shd w:val="clear" w:color="auto" w:fill="auto"/>
            <w:noWrap/>
            <w:vAlign w:val="bottom"/>
            <w:hideMark/>
          </w:tcPr>
          <w:p w14:paraId="0F37B32D" w14:textId="373D266F"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6E188EE" w14:textId="33339F94" w:rsidR="004E7A14" w:rsidRDefault="004E7A14" w:rsidP="004E7A14">
            <w:pPr>
              <w:jc w:val="right"/>
              <w:rPr>
                <w:color w:val="000000"/>
                <w:sz w:val="20"/>
                <w:szCs w:val="20"/>
              </w:rPr>
            </w:pPr>
            <w:r>
              <w:rPr>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754F0C84" w14:textId="1817ED69" w:rsidR="004E7A14" w:rsidRDefault="004E7A14" w:rsidP="004E7A14">
            <w:pPr>
              <w:jc w:val="right"/>
              <w:rPr>
                <w:color w:val="000000"/>
                <w:sz w:val="20"/>
                <w:szCs w:val="20"/>
              </w:rPr>
            </w:pPr>
            <w:r>
              <w:rPr>
                <w:color w:val="000000"/>
                <w:sz w:val="20"/>
                <w:szCs w:val="20"/>
              </w:rPr>
              <w:t>0.568</w:t>
            </w:r>
          </w:p>
        </w:tc>
        <w:tc>
          <w:tcPr>
            <w:tcW w:w="768" w:type="dxa"/>
            <w:tcBorders>
              <w:top w:val="nil"/>
              <w:left w:val="nil"/>
              <w:bottom w:val="single" w:sz="4" w:space="0" w:color="auto"/>
              <w:right w:val="nil"/>
            </w:tcBorders>
            <w:shd w:val="clear" w:color="auto" w:fill="auto"/>
            <w:noWrap/>
            <w:vAlign w:val="bottom"/>
            <w:hideMark/>
          </w:tcPr>
          <w:p w14:paraId="74A02008" w14:textId="153C275C"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DF9CB51" w14:textId="0FE2D83D" w:rsidR="004E7A14" w:rsidRDefault="004E7A14" w:rsidP="004E7A14">
            <w:pPr>
              <w:jc w:val="right"/>
              <w:rPr>
                <w:color w:val="000000"/>
                <w:sz w:val="20"/>
                <w:szCs w:val="20"/>
              </w:rPr>
            </w:pPr>
            <w:r>
              <w:rPr>
                <w:color w:val="000000"/>
                <w:sz w:val="20"/>
                <w:szCs w:val="20"/>
              </w:rPr>
              <w:t>0.038</w:t>
            </w:r>
          </w:p>
        </w:tc>
        <w:tc>
          <w:tcPr>
            <w:tcW w:w="768" w:type="dxa"/>
            <w:tcBorders>
              <w:top w:val="nil"/>
              <w:left w:val="nil"/>
              <w:bottom w:val="single" w:sz="4" w:space="0" w:color="auto"/>
              <w:right w:val="nil"/>
            </w:tcBorders>
            <w:shd w:val="clear" w:color="auto" w:fill="auto"/>
            <w:noWrap/>
            <w:vAlign w:val="bottom"/>
            <w:hideMark/>
          </w:tcPr>
          <w:p w14:paraId="32F9B85F" w14:textId="4C667CCE" w:rsidR="004E7A14" w:rsidRDefault="004E7A14" w:rsidP="004E7A14">
            <w:pPr>
              <w:jc w:val="right"/>
              <w:rPr>
                <w:color w:val="000000"/>
                <w:sz w:val="20"/>
                <w:szCs w:val="20"/>
              </w:rPr>
            </w:pPr>
            <w:r>
              <w:rPr>
                <w:color w:val="000000"/>
                <w:sz w:val="20"/>
                <w:szCs w:val="20"/>
              </w:rPr>
              <w:t>0.738</w:t>
            </w:r>
          </w:p>
        </w:tc>
        <w:tc>
          <w:tcPr>
            <w:tcW w:w="768" w:type="dxa"/>
            <w:tcBorders>
              <w:top w:val="nil"/>
              <w:left w:val="nil"/>
              <w:bottom w:val="single" w:sz="4" w:space="0" w:color="auto"/>
              <w:right w:val="nil"/>
            </w:tcBorders>
            <w:shd w:val="clear" w:color="auto" w:fill="auto"/>
            <w:noWrap/>
            <w:vAlign w:val="bottom"/>
            <w:hideMark/>
          </w:tcPr>
          <w:p w14:paraId="3122D51A" w14:textId="241C32D6" w:rsidR="004E7A14" w:rsidRDefault="004E7A14" w:rsidP="004E7A14">
            <w:pPr>
              <w:jc w:val="right"/>
              <w:rPr>
                <w:color w:val="000000"/>
                <w:sz w:val="20"/>
                <w:szCs w:val="20"/>
              </w:rPr>
            </w:pPr>
            <w:r>
              <w:rPr>
                <w:color w:val="000000"/>
                <w:sz w:val="20"/>
                <w:szCs w:val="20"/>
              </w:rPr>
              <w:t>0.001</w:t>
            </w:r>
          </w:p>
        </w:tc>
      </w:tr>
      <w:tr w:rsidR="004E7A14" w14:paraId="4E0CC24F" w14:textId="77777777" w:rsidTr="002F1817">
        <w:trPr>
          <w:trHeight w:val="320"/>
        </w:trPr>
        <w:tc>
          <w:tcPr>
            <w:tcW w:w="1176" w:type="dxa"/>
            <w:tcBorders>
              <w:top w:val="nil"/>
              <w:left w:val="nil"/>
              <w:bottom w:val="nil"/>
              <w:right w:val="nil"/>
            </w:tcBorders>
            <w:shd w:val="clear" w:color="auto" w:fill="auto"/>
            <w:noWrap/>
            <w:vAlign w:val="bottom"/>
            <w:hideMark/>
          </w:tcPr>
          <w:p w14:paraId="20AEBE63" w14:textId="77777777" w:rsidR="004E7A14" w:rsidRDefault="004E7A14" w:rsidP="004E7A14">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ACA9F06" w14:textId="77777777" w:rsidR="004E7A14" w:rsidRDefault="004E7A14" w:rsidP="004E7A14">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A4398D2" w14:textId="1C7DFCA9" w:rsidR="004E7A14" w:rsidRDefault="004E7A14" w:rsidP="004E7A14">
            <w:pPr>
              <w:jc w:val="right"/>
              <w:rPr>
                <w:b/>
                <w:bCs/>
                <w:color w:val="000000"/>
                <w:sz w:val="20"/>
                <w:szCs w:val="20"/>
              </w:rPr>
            </w:pPr>
            <w:r>
              <w:rPr>
                <w:b/>
                <w:bCs/>
                <w:color w:val="000000"/>
                <w:sz w:val="20"/>
                <w:szCs w:val="20"/>
              </w:rPr>
              <w:t>0.103</w:t>
            </w:r>
          </w:p>
        </w:tc>
        <w:tc>
          <w:tcPr>
            <w:tcW w:w="768" w:type="dxa"/>
            <w:tcBorders>
              <w:top w:val="nil"/>
              <w:left w:val="nil"/>
              <w:bottom w:val="nil"/>
              <w:right w:val="nil"/>
            </w:tcBorders>
            <w:shd w:val="clear" w:color="auto" w:fill="auto"/>
            <w:noWrap/>
            <w:vAlign w:val="bottom"/>
            <w:hideMark/>
          </w:tcPr>
          <w:p w14:paraId="0E4AA302" w14:textId="03AB1D3F"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05C3ACC" w14:textId="151830C3" w:rsidR="004E7A14" w:rsidRDefault="004E7A14" w:rsidP="004E7A14">
            <w:pPr>
              <w:jc w:val="right"/>
              <w:rPr>
                <w:color w:val="000000"/>
                <w:sz w:val="20"/>
                <w:szCs w:val="20"/>
              </w:rPr>
            </w:pPr>
            <w:r>
              <w:rPr>
                <w:b/>
                <w:bCs/>
                <w:color w:val="000000"/>
                <w:sz w:val="20"/>
                <w:szCs w:val="20"/>
              </w:rPr>
              <w:t>0.011</w:t>
            </w:r>
          </w:p>
        </w:tc>
        <w:tc>
          <w:tcPr>
            <w:tcW w:w="768" w:type="dxa"/>
            <w:tcBorders>
              <w:top w:val="nil"/>
              <w:left w:val="nil"/>
              <w:bottom w:val="nil"/>
              <w:right w:val="nil"/>
            </w:tcBorders>
            <w:shd w:val="clear" w:color="auto" w:fill="auto"/>
            <w:noWrap/>
            <w:vAlign w:val="bottom"/>
            <w:hideMark/>
          </w:tcPr>
          <w:p w14:paraId="4D48915B" w14:textId="6D64C59F" w:rsidR="004E7A14" w:rsidRDefault="004E7A14" w:rsidP="004E7A14">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3FD2373" w14:textId="32015A3D" w:rsidR="004E7A14" w:rsidRDefault="004E7A14" w:rsidP="004E7A14">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5145F959" w14:textId="19B3960D"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7BADDE" w14:textId="4CA3A95A"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7C9CBA8" w14:textId="72065C19" w:rsidR="004E7A14" w:rsidRDefault="004E7A14" w:rsidP="004E7A14">
            <w:pPr>
              <w:jc w:val="right"/>
              <w:rPr>
                <w:color w:val="000000"/>
                <w:sz w:val="20"/>
                <w:szCs w:val="20"/>
              </w:rPr>
            </w:pPr>
            <w:r>
              <w:rPr>
                <w:color w:val="000000"/>
                <w:sz w:val="20"/>
                <w:szCs w:val="20"/>
              </w:rPr>
              <w:t>0.930</w:t>
            </w:r>
          </w:p>
        </w:tc>
        <w:tc>
          <w:tcPr>
            <w:tcW w:w="768" w:type="dxa"/>
            <w:tcBorders>
              <w:top w:val="nil"/>
              <w:left w:val="nil"/>
              <w:bottom w:val="nil"/>
              <w:right w:val="nil"/>
            </w:tcBorders>
            <w:shd w:val="clear" w:color="auto" w:fill="auto"/>
            <w:noWrap/>
            <w:vAlign w:val="bottom"/>
            <w:hideMark/>
          </w:tcPr>
          <w:p w14:paraId="3396B3BD" w14:textId="45834E8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7A2CFB" w14:textId="1A45BED2" w:rsidR="004E7A14" w:rsidRDefault="004E7A14" w:rsidP="004E7A14">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651C726C" w14:textId="6C7151E7" w:rsidR="004E7A14" w:rsidRDefault="004E7A14" w:rsidP="004E7A14">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0F5E7FE4" w14:textId="4683E4FC"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75CFB76" w14:textId="563EF0B3" w:rsidR="004E7A14" w:rsidRDefault="004E7A14" w:rsidP="004E7A1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527A919" w14:textId="1C71CE89" w:rsidR="004E7A14" w:rsidRDefault="004E7A14" w:rsidP="004E7A14">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5D8EE5A5" w14:textId="7488EAF5" w:rsidR="004E7A14" w:rsidRDefault="004E7A14" w:rsidP="004E7A14">
            <w:pPr>
              <w:jc w:val="right"/>
              <w:rPr>
                <w:color w:val="000000"/>
                <w:sz w:val="20"/>
                <w:szCs w:val="20"/>
              </w:rPr>
            </w:pPr>
            <w:r>
              <w:rPr>
                <w:color w:val="000000"/>
                <w:sz w:val="20"/>
                <w:szCs w:val="20"/>
              </w:rPr>
              <w:t>0.000</w:t>
            </w:r>
          </w:p>
        </w:tc>
      </w:tr>
      <w:tr w:rsidR="004E7A14" w14:paraId="121C46E7" w14:textId="77777777" w:rsidTr="002F1817">
        <w:trPr>
          <w:trHeight w:val="320"/>
        </w:trPr>
        <w:tc>
          <w:tcPr>
            <w:tcW w:w="1176" w:type="dxa"/>
            <w:tcBorders>
              <w:top w:val="nil"/>
              <w:left w:val="nil"/>
              <w:bottom w:val="nil"/>
              <w:right w:val="nil"/>
            </w:tcBorders>
            <w:shd w:val="clear" w:color="auto" w:fill="auto"/>
            <w:noWrap/>
            <w:vAlign w:val="bottom"/>
            <w:hideMark/>
          </w:tcPr>
          <w:p w14:paraId="5A872298"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D470F84" w14:textId="77777777" w:rsidR="004E7A14" w:rsidRDefault="004E7A14" w:rsidP="004E7A1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A2AFCD0" w14:textId="05317338" w:rsidR="004E7A14" w:rsidRDefault="004E7A14" w:rsidP="004E7A1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E31AACD" w14:textId="73FD26D9" w:rsidR="004E7A14" w:rsidRDefault="004E7A14" w:rsidP="004E7A14">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32726266" w14:textId="0D2931D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35BA6B" w14:textId="4FAD32FA" w:rsidR="004E7A14" w:rsidRDefault="004E7A14" w:rsidP="004E7A1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D3D9321" w14:textId="324FC1A1" w:rsidR="004E7A14" w:rsidRDefault="004E7A14" w:rsidP="004E7A14">
            <w:pPr>
              <w:jc w:val="right"/>
              <w:rPr>
                <w:color w:val="000000"/>
                <w:sz w:val="20"/>
                <w:szCs w:val="20"/>
              </w:rPr>
            </w:pPr>
            <w:r>
              <w:rPr>
                <w:color w:val="000000"/>
                <w:sz w:val="20"/>
                <w:szCs w:val="20"/>
              </w:rPr>
              <w:t>0.596</w:t>
            </w:r>
          </w:p>
        </w:tc>
        <w:tc>
          <w:tcPr>
            <w:tcW w:w="768" w:type="dxa"/>
            <w:tcBorders>
              <w:top w:val="nil"/>
              <w:left w:val="nil"/>
              <w:bottom w:val="nil"/>
              <w:right w:val="nil"/>
            </w:tcBorders>
            <w:shd w:val="clear" w:color="auto" w:fill="auto"/>
            <w:noWrap/>
            <w:vAlign w:val="bottom"/>
            <w:hideMark/>
          </w:tcPr>
          <w:p w14:paraId="4E424748" w14:textId="565DDC13"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B57D61" w14:textId="03DC8B66"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97E57A" w14:textId="29179DA0" w:rsidR="004E7A14" w:rsidRDefault="004E7A14" w:rsidP="004E7A14">
            <w:pPr>
              <w:jc w:val="right"/>
              <w:rPr>
                <w:color w:val="000000"/>
                <w:sz w:val="20"/>
                <w:szCs w:val="20"/>
              </w:rPr>
            </w:pPr>
            <w:r>
              <w:rPr>
                <w:color w:val="000000"/>
                <w:sz w:val="20"/>
                <w:szCs w:val="20"/>
              </w:rPr>
              <w:t>0.978</w:t>
            </w:r>
          </w:p>
        </w:tc>
        <w:tc>
          <w:tcPr>
            <w:tcW w:w="768" w:type="dxa"/>
            <w:tcBorders>
              <w:top w:val="nil"/>
              <w:left w:val="nil"/>
              <w:bottom w:val="nil"/>
              <w:right w:val="nil"/>
            </w:tcBorders>
            <w:shd w:val="clear" w:color="auto" w:fill="auto"/>
            <w:noWrap/>
            <w:vAlign w:val="bottom"/>
            <w:hideMark/>
          </w:tcPr>
          <w:p w14:paraId="6E4B6118" w14:textId="43972A1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D8C583" w14:textId="3B8C86D7" w:rsidR="004E7A14" w:rsidRDefault="004E7A14" w:rsidP="004E7A14">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031E0CBC" w14:textId="241A66F1" w:rsidR="004E7A14" w:rsidRDefault="004E7A14" w:rsidP="004E7A14">
            <w:pPr>
              <w:jc w:val="right"/>
              <w:rPr>
                <w:color w:val="000000"/>
                <w:sz w:val="20"/>
                <w:szCs w:val="20"/>
              </w:rPr>
            </w:pPr>
            <w:r>
              <w:rPr>
                <w:color w:val="000000"/>
                <w:sz w:val="20"/>
                <w:szCs w:val="20"/>
              </w:rPr>
              <w:t>0.286</w:t>
            </w:r>
          </w:p>
        </w:tc>
        <w:tc>
          <w:tcPr>
            <w:tcW w:w="768" w:type="dxa"/>
            <w:tcBorders>
              <w:top w:val="nil"/>
              <w:left w:val="nil"/>
              <w:bottom w:val="nil"/>
              <w:right w:val="nil"/>
            </w:tcBorders>
            <w:shd w:val="clear" w:color="auto" w:fill="auto"/>
            <w:noWrap/>
            <w:vAlign w:val="bottom"/>
            <w:hideMark/>
          </w:tcPr>
          <w:p w14:paraId="32DB291E" w14:textId="301644D2"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C52CCF" w14:textId="7B015D6D" w:rsidR="004E7A14" w:rsidRDefault="004E7A14" w:rsidP="004E7A14">
            <w:pPr>
              <w:jc w:val="right"/>
              <w:rPr>
                <w:b/>
                <w:bCs/>
                <w:color w:val="000000"/>
                <w:sz w:val="20"/>
                <w:szCs w:val="20"/>
              </w:rPr>
            </w:pPr>
            <w:r>
              <w:rPr>
                <w:b/>
                <w:bCs/>
                <w:color w:val="000000"/>
                <w:sz w:val="20"/>
                <w:szCs w:val="20"/>
              </w:rPr>
              <w:t>0.100</w:t>
            </w:r>
          </w:p>
        </w:tc>
        <w:tc>
          <w:tcPr>
            <w:tcW w:w="768" w:type="dxa"/>
            <w:tcBorders>
              <w:top w:val="nil"/>
              <w:left w:val="nil"/>
              <w:bottom w:val="nil"/>
              <w:right w:val="nil"/>
            </w:tcBorders>
            <w:shd w:val="clear" w:color="auto" w:fill="auto"/>
            <w:noWrap/>
            <w:vAlign w:val="bottom"/>
            <w:hideMark/>
          </w:tcPr>
          <w:p w14:paraId="5354C190" w14:textId="46D09FF1" w:rsidR="004E7A14" w:rsidRDefault="004E7A14" w:rsidP="004E7A1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5928C46" w14:textId="02C4C8BA" w:rsidR="004E7A14" w:rsidRDefault="004E7A14" w:rsidP="004E7A14">
            <w:pPr>
              <w:jc w:val="right"/>
              <w:rPr>
                <w:color w:val="000000"/>
                <w:sz w:val="20"/>
                <w:szCs w:val="20"/>
              </w:rPr>
            </w:pPr>
            <w:r>
              <w:rPr>
                <w:b/>
                <w:bCs/>
                <w:color w:val="000000"/>
                <w:sz w:val="20"/>
                <w:szCs w:val="20"/>
              </w:rPr>
              <w:t>0.010</w:t>
            </w:r>
          </w:p>
        </w:tc>
      </w:tr>
      <w:tr w:rsidR="004E7A14" w14:paraId="3EEA41F0" w14:textId="77777777" w:rsidTr="002F1817">
        <w:trPr>
          <w:trHeight w:val="320"/>
        </w:trPr>
        <w:tc>
          <w:tcPr>
            <w:tcW w:w="1176" w:type="dxa"/>
            <w:tcBorders>
              <w:top w:val="nil"/>
              <w:left w:val="nil"/>
              <w:bottom w:val="nil"/>
              <w:right w:val="nil"/>
            </w:tcBorders>
            <w:shd w:val="clear" w:color="auto" w:fill="auto"/>
            <w:noWrap/>
            <w:vAlign w:val="bottom"/>
            <w:hideMark/>
          </w:tcPr>
          <w:p w14:paraId="61D8CDEE"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60FE46" w14:textId="77777777" w:rsidR="004E7A14" w:rsidRDefault="004E7A14" w:rsidP="004E7A1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507A2F8" w14:textId="28C7640E" w:rsidR="004E7A14" w:rsidRDefault="004E7A14" w:rsidP="004E7A1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103A7EA" w14:textId="7B3F7709" w:rsidR="004E7A14" w:rsidRDefault="004E7A14" w:rsidP="004E7A14">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544D68BD" w14:textId="79321804"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8B8055C" w14:textId="7BE2B980"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6B26714" w14:textId="6CD4503C" w:rsidR="004E7A14" w:rsidRDefault="004E7A14" w:rsidP="004E7A14">
            <w:pPr>
              <w:jc w:val="right"/>
              <w:rPr>
                <w:color w:val="000000"/>
                <w:sz w:val="20"/>
                <w:szCs w:val="20"/>
              </w:rPr>
            </w:pPr>
            <w:r>
              <w:rPr>
                <w:color w:val="000000"/>
                <w:sz w:val="20"/>
                <w:szCs w:val="20"/>
              </w:rPr>
              <w:t>0.894</w:t>
            </w:r>
          </w:p>
        </w:tc>
        <w:tc>
          <w:tcPr>
            <w:tcW w:w="768" w:type="dxa"/>
            <w:tcBorders>
              <w:top w:val="nil"/>
              <w:left w:val="nil"/>
              <w:bottom w:val="nil"/>
              <w:right w:val="nil"/>
            </w:tcBorders>
            <w:shd w:val="clear" w:color="auto" w:fill="auto"/>
            <w:noWrap/>
            <w:vAlign w:val="bottom"/>
            <w:hideMark/>
          </w:tcPr>
          <w:p w14:paraId="052916C7" w14:textId="142B2E3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5B7FBA" w14:textId="34944929" w:rsidR="004E7A14" w:rsidRDefault="004E7A14" w:rsidP="004E7A1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53FB53A" w14:textId="7B99FA87" w:rsidR="004E7A14" w:rsidRDefault="004E7A14" w:rsidP="004E7A14">
            <w:pPr>
              <w:jc w:val="right"/>
              <w:rPr>
                <w:color w:val="000000"/>
                <w:sz w:val="20"/>
                <w:szCs w:val="20"/>
              </w:rPr>
            </w:pPr>
            <w:r>
              <w:rPr>
                <w:color w:val="000000"/>
                <w:sz w:val="20"/>
                <w:szCs w:val="20"/>
              </w:rPr>
              <w:t>0.497</w:t>
            </w:r>
          </w:p>
        </w:tc>
        <w:tc>
          <w:tcPr>
            <w:tcW w:w="768" w:type="dxa"/>
            <w:tcBorders>
              <w:top w:val="nil"/>
              <w:left w:val="nil"/>
              <w:bottom w:val="nil"/>
              <w:right w:val="nil"/>
            </w:tcBorders>
            <w:shd w:val="clear" w:color="auto" w:fill="auto"/>
            <w:noWrap/>
            <w:vAlign w:val="bottom"/>
            <w:hideMark/>
          </w:tcPr>
          <w:p w14:paraId="48181D74" w14:textId="222035B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2ECB7F" w14:textId="7EF690DA" w:rsidR="004E7A14" w:rsidRDefault="004E7A14" w:rsidP="004E7A14">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7E41B79A" w14:textId="6A94A2DF" w:rsidR="004E7A14" w:rsidRDefault="004E7A14" w:rsidP="004E7A14">
            <w:pPr>
              <w:jc w:val="right"/>
              <w:rPr>
                <w:color w:val="000000"/>
                <w:sz w:val="20"/>
                <w:szCs w:val="20"/>
              </w:rPr>
            </w:pPr>
            <w:r>
              <w:rPr>
                <w:color w:val="000000"/>
                <w:sz w:val="20"/>
                <w:szCs w:val="20"/>
              </w:rPr>
              <w:t>0.587</w:t>
            </w:r>
          </w:p>
        </w:tc>
        <w:tc>
          <w:tcPr>
            <w:tcW w:w="768" w:type="dxa"/>
            <w:tcBorders>
              <w:top w:val="nil"/>
              <w:left w:val="nil"/>
              <w:bottom w:val="nil"/>
              <w:right w:val="nil"/>
            </w:tcBorders>
            <w:shd w:val="clear" w:color="auto" w:fill="auto"/>
            <w:noWrap/>
            <w:vAlign w:val="bottom"/>
            <w:hideMark/>
          </w:tcPr>
          <w:p w14:paraId="3A2D8170" w14:textId="23136F57"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ECB6E24" w14:textId="7E167479" w:rsidR="004E7A14" w:rsidRDefault="004E7A14" w:rsidP="004E7A1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D4D4DB8" w14:textId="326313D9" w:rsidR="004E7A14" w:rsidRDefault="004E7A14" w:rsidP="004E7A14">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79AB6262" w14:textId="17F0CE76" w:rsidR="004E7A14" w:rsidRDefault="004E7A14" w:rsidP="004E7A14">
            <w:pPr>
              <w:jc w:val="right"/>
              <w:rPr>
                <w:color w:val="000000"/>
                <w:sz w:val="20"/>
                <w:szCs w:val="20"/>
              </w:rPr>
            </w:pPr>
            <w:r>
              <w:rPr>
                <w:color w:val="000000"/>
                <w:sz w:val="20"/>
                <w:szCs w:val="20"/>
              </w:rPr>
              <w:t>0.000</w:t>
            </w:r>
          </w:p>
        </w:tc>
      </w:tr>
      <w:tr w:rsidR="004E7A14" w14:paraId="04D1BE4A" w14:textId="77777777" w:rsidTr="002F1817">
        <w:trPr>
          <w:trHeight w:val="320"/>
        </w:trPr>
        <w:tc>
          <w:tcPr>
            <w:tcW w:w="1176" w:type="dxa"/>
            <w:tcBorders>
              <w:top w:val="nil"/>
              <w:left w:val="nil"/>
              <w:bottom w:val="nil"/>
              <w:right w:val="nil"/>
            </w:tcBorders>
            <w:shd w:val="clear" w:color="auto" w:fill="auto"/>
            <w:noWrap/>
            <w:vAlign w:val="bottom"/>
            <w:hideMark/>
          </w:tcPr>
          <w:p w14:paraId="3BF0633D"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01BE6D7" w14:textId="77777777" w:rsidR="004E7A14" w:rsidRDefault="004E7A14" w:rsidP="004E7A1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9738B1E" w14:textId="40191FA5" w:rsidR="004E7A14" w:rsidRDefault="004E7A14" w:rsidP="004E7A14">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00ACBC8B" w14:textId="0E870E14" w:rsidR="004E7A14" w:rsidRDefault="004E7A14" w:rsidP="004E7A14">
            <w:pPr>
              <w:jc w:val="right"/>
              <w:rPr>
                <w:color w:val="000000"/>
                <w:sz w:val="20"/>
                <w:szCs w:val="20"/>
              </w:rPr>
            </w:pPr>
            <w:r>
              <w:rPr>
                <w:color w:val="000000"/>
                <w:sz w:val="20"/>
                <w:szCs w:val="20"/>
              </w:rPr>
              <w:t>0.767</w:t>
            </w:r>
          </w:p>
        </w:tc>
        <w:tc>
          <w:tcPr>
            <w:tcW w:w="768" w:type="dxa"/>
            <w:tcBorders>
              <w:top w:val="nil"/>
              <w:left w:val="nil"/>
              <w:bottom w:val="nil"/>
              <w:right w:val="nil"/>
            </w:tcBorders>
            <w:shd w:val="clear" w:color="auto" w:fill="auto"/>
            <w:noWrap/>
            <w:vAlign w:val="bottom"/>
            <w:hideMark/>
          </w:tcPr>
          <w:p w14:paraId="7DC9CE46" w14:textId="54B446A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FB52F6" w14:textId="015A9A0B" w:rsidR="004E7A14" w:rsidRDefault="004E7A14" w:rsidP="004E7A14">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1AA6C39" w14:textId="6A4EF367" w:rsidR="004E7A14" w:rsidRDefault="004E7A14" w:rsidP="004E7A14">
            <w:pPr>
              <w:jc w:val="right"/>
              <w:rPr>
                <w:color w:val="000000"/>
                <w:sz w:val="20"/>
                <w:szCs w:val="20"/>
              </w:rPr>
            </w:pPr>
            <w:r>
              <w:rPr>
                <w:color w:val="000000"/>
                <w:sz w:val="20"/>
                <w:szCs w:val="20"/>
              </w:rPr>
              <w:t>0.140</w:t>
            </w:r>
          </w:p>
        </w:tc>
        <w:tc>
          <w:tcPr>
            <w:tcW w:w="768" w:type="dxa"/>
            <w:tcBorders>
              <w:top w:val="nil"/>
              <w:left w:val="nil"/>
              <w:bottom w:val="nil"/>
              <w:right w:val="nil"/>
            </w:tcBorders>
            <w:shd w:val="clear" w:color="auto" w:fill="auto"/>
            <w:noWrap/>
            <w:vAlign w:val="bottom"/>
            <w:hideMark/>
          </w:tcPr>
          <w:p w14:paraId="6206C423" w14:textId="3AF397EF"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89F4F1A" w14:textId="7C962A65" w:rsidR="004E7A14" w:rsidRDefault="004E7A14" w:rsidP="004E7A1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2AA70DC" w14:textId="2400D219" w:rsidR="004E7A14" w:rsidRDefault="004E7A14" w:rsidP="004E7A14">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6FB88EA5" w14:textId="72E6BB61"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455145" w14:textId="1E367E2D"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C4B8B52" w14:textId="4E29D946" w:rsidR="004E7A14" w:rsidRDefault="004E7A14" w:rsidP="004E7A14">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792CBF06" w14:textId="16F06932"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A93B4C" w14:textId="48A6BC23" w:rsidR="004E7A14" w:rsidRDefault="004E7A14" w:rsidP="004E7A14">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2B549EAA" w14:textId="087047F6" w:rsidR="004E7A14" w:rsidRDefault="004E7A14" w:rsidP="004E7A14">
            <w:pPr>
              <w:jc w:val="right"/>
              <w:rPr>
                <w:color w:val="000000"/>
                <w:sz w:val="20"/>
                <w:szCs w:val="20"/>
              </w:rPr>
            </w:pPr>
            <w:r>
              <w:rPr>
                <w:color w:val="000000"/>
                <w:sz w:val="20"/>
                <w:szCs w:val="20"/>
              </w:rPr>
              <w:t>0.451</w:t>
            </w:r>
          </w:p>
        </w:tc>
        <w:tc>
          <w:tcPr>
            <w:tcW w:w="768" w:type="dxa"/>
            <w:tcBorders>
              <w:top w:val="nil"/>
              <w:left w:val="nil"/>
              <w:bottom w:val="nil"/>
              <w:right w:val="nil"/>
            </w:tcBorders>
            <w:shd w:val="clear" w:color="auto" w:fill="auto"/>
            <w:noWrap/>
            <w:vAlign w:val="bottom"/>
            <w:hideMark/>
          </w:tcPr>
          <w:p w14:paraId="6857A13E" w14:textId="52BCFAB0" w:rsidR="004E7A14" w:rsidRDefault="004E7A14" w:rsidP="004E7A14">
            <w:pPr>
              <w:jc w:val="right"/>
              <w:rPr>
                <w:color w:val="000000"/>
                <w:sz w:val="20"/>
                <w:szCs w:val="20"/>
              </w:rPr>
            </w:pPr>
            <w:r>
              <w:rPr>
                <w:color w:val="000000"/>
                <w:sz w:val="20"/>
                <w:szCs w:val="20"/>
              </w:rPr>
              <w:t>0.002</w:t>
            </w:r>
          </w:p>
        </w:tc>
      </w:tr>
      <w:tr w:rsidR="004E7A14" w14:paraId="7CACDA8B" w14:textId="77777777" w:rsidTr="002F1817">
        <w:trPr>
          <w:trHeight w:val="320"/>
        </w:trPr>
        <w:tc>
          <w:tcPr>
            <w:tcW w:w="1176" w:type="dxa"/>
            <w:tcBorders>
              <w:top w:val="nil"/>
              <w:left w:val="nil"/>
              <w:bottom w:val="nil"/>
              <w:right w:val="nil"/>
            </w:tcBorders>
            <w:shd w:val="clear" w:color="auto" w:fill="auto"/>
            <w:noWrap/>
            <w:vAlign w:val="bottom"/>
            <w:hideMark/>
          </w:tcPr>
          <w:p w14:paraId="7D7DCC89"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1C91B0" w14:textId="77777777" w:rsidR="004E7A14" w:rsidRDefault="004E7A14" w:rsidP="004E7A1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90DF8C3" w14:textId="4B120BA1" w:rsidR="004E7A14" w:rsidRDefault="004E7A14" w:rsidP="004E7A14">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780D12EC" w14:textId="6DFEF0E6" w:rsidR="004E7A14" w:rsidRDefault="004E7A14" w:rsidP="004E7A14">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289BEFE1" w14:textId="2A2D7D81"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14E663B" w14:textId="322B4BE2" w:rsidR="004E7A14" w:rsidRDefault="004E7A14" w:rsidP="004E7A14">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7B49098" w14:textId="38AAB8FE" w:rsidR="004E7A14" w:rsidRDefault="004E7A14" w:rsidP="004E7A14">
            <w:pPr>
              <w:jc w:val="right"/>
              <w:rPr>
                <w:color w:val="000000"/>
                <w:sz w:val="20"/>
                <w:szCs w:val="20"/>
              </w:rPr>
            </w:pPr>
            <w:r>
              <w:rPr>
                <w:color w:val="000000"/>
                <w:sz w:val="20"/>
                <w:szCs w:val="20"/>
              </w:rPr>
              <w:t>0.782</w:t>
            </w:r>
          </w:p>
        </w:tc>
        <w:tc>
          <w:tcPr>
            <w:tcW w:w="768" w:type="dxa"/>
            <w:tcBorders>
              <w:top w:val="nil"/>
              <w:left w:val="nil"/>
              <w:bottom w:val="nil"/>
              <w:right w:val="nil"/>
            </w:tcBorders>
            <w:shd w:val="clear" w:color="auto" w:fill="auto"/>
            <w:noWrap/>
            <w:vAlign w:val="bottom"/>
            <w:hideMark/>
          </w:tcPr>
          <w:p w14:paraId="251BE2AD" w14:textId="59D2D3D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D3C26B" w14:textId="5B4FC5A1" w:rsidR="004E7A14" w:rsidRDefault="004E7A14" w:rsidP="004E7A14">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BD645DC" w14:textId="09F8562D" w:rsidR="004E7A14" w:rsidRDefault="004E7A14" w:rsidP="004E7A14">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3642CB3C" w14:textId="2B115117"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B7B8D1F" w14:textId="62C4AF4F" w:rsidR="004E7A14" w:rsidRDefault="004E7A14" w:rsidP="004E7A14">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0DE1AD50" w14:textId="73D08926" w:rsidR="004E7A14" w:rsidRDefault="004E7A14" w:rsidP="004E7A14">
            <w:pPr>
              <w:jc w:val="right"/>
              <w:rPr>
                <w:color w:val="000000"/>
                <w:sz w:val="20"/>
                <w:szCs w:val="20"/>
              </w:rPr>
            </w:pPr>
            <w:r>
              <w:rPr>
                <w:color w:val="000000"/>
                <w:sz w:val="20"/>
                <w:szCs w:val="20"/>
              </w:rPr>
              <w:t>0.286</w:t>
            </w:r>
          </w:p>
        </w:tc>
        <w:tc>
          <w:tcPr>
            <w:tcW w:w="768" w:type="dxa"/>
            <w:tcBorders>
              <w:top w:val="nil"/>
              <w:left w:val="nil"/>
              <w:bottom w:val="nil"/>
              <w:right w:val="nil"/>
            </w:tcBorders>
            <w:shd w:val="clear" w:color="auto" w:fill="auto"/>
            <w:noWrap/>
            <w:vAlign w:val="bottom"/>
            <w:hideMark/>
          </w:tcPr>
          <w:p w14:paraId="25C2A1BE" w14:textId="5288F505"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6C3BB09" w14:textId="2C9CE985" w:rsidR="004E7A14" w:rsidRDefault="004E7A14" w:rsidP="004E7A1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DEB06EA" w14:textId="06AD4E32" w:rsidR="004E7A14" w:rsidRDefault="004E7A14" w:rsidP="004E7A14">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0C74ECCB" w14:textId="51C00364" w:rsidR="004E7A14" w:rsidRDefault="004E7A14" w:rsidP="004E7A14">
            <w:pPr>
              <w:jc w:val="right"/>
              <w:rPr>
                <w:color w:val="000000"/>
                <w:sz w:val="20"/>
                <w:szCs w:val="20"/>
              </w:rPr>
            </w:pPr>
            <w:r>
              <w:rPr>
                <w:color w:val="000000"/>
                <w:sz w:val="20"/>
                <w:szCs w:val="20"/>
              </w:rPr>
              <w:t>0.000</w:t>
            </w:r>
          </w:p>
        </w:tc>
      </w:tr>
      <w:tr w:rsidR="004E7A14" w14:paraId="64B4D64F" w14:textId="77777777" w:rsidTr="002F1817">
        <w:trPr>
          <w:trHeight w:val="320"/>
        </w:trPr>
        <w:tc>
          <w:tcPr>
            <w:tcW w:w="1176" w:type="dxa"/>
            <w:tcBorders>
              <w:top w:val="nil"/>
              <w:left w:val="nil"/>
              <w:bottom w:val="nil"/>
              <w:right w:val="nil"/>
            </w:tcBorders>
            <w:shd w:val="clear" w:color="auto" w:fill="auto"/>
            <w:noWrap/>
            <w:vAlign w:val="bottom"/>
            <w:hideMark/>
          </w:tcPr>
          <w:p w14:paraId="0E490C8C"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37308B0" w14:textId="77777777" w:rsidR="004E7A14" w:rsidRDefault="004E7A14" w:rsidP="004E7A1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F2119C3" w14:textId="4446A3CB" w:rsidR="004E7A14" w:rsidRDefault="004E7A14" w:rsidP="004E7A14">
            <w:pPr>
              <w:jc w:val="right"/>
              <w:rPr>
                <w:b/>
                <w:bCs/>
                <w:color w:val="000000"/>
                <w:sz w:val="20"/>
                <w:szCs w:val="20"/>
              </w:rPr>
            </w:pPr>
            <w:r>
              <w:rPr>
                <w:b/>
                <w:bCs/>
                <w:color w:val="000000"/>
                <w:sz w:val="20"/>
                <w:szCs w:val="20"/>
              </w:rPr>
              <w:t>0.087</w:t>
            </w:r>
          </w:p>
        </w:tc>
        <w:tc>
          <w:tcPr>
            <w:tcW w:w="768" w:type="dxa"/>
            <w:tcBorders>
              <w:top w:val="nil"/>
              <w:left w:val="nil"/>
              <w:bottom w:val="nil"/>
              <w:right w:val="nil"/>
            </w:tcBorders>
            <w:shd w:val="clear" w:color="auto" w:fill="auto"/>
            <w:noWrap/>
            <w:vAlign w:val="bottom"/>
            <w:hideMark/>
          </w:tcPr>
          <w:p w14:paraId="03E60ECF" w14:textId="462849AE" w:rsidR="004E7A14" w:rsidRDefault="004E7A14" w:rsidP="004E7A14">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2BD2BAD2" w14:textId="09A7F13E" w:rsidR="004E7A14" w:rsidRDefault="004E7A14" w:rsidP="004E7A14">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E55D6CA" w14:textId="188CB965" w:rsidR="004E7A14" w:rsidRDefault="004E7A14" w:rsidP="004E7A1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E1DEEAE" w14:textId="4BC65719" w:rsidR="004E7A14" w:rsidRDefault="004E7A14" w:rsidP="004E7A14">
            <w:pPr>
              <w:jc w:val="right"/>
              <w:rPr>
                <w:color w:val="000000"/>
                <w:sz w:val="20"/>
                <w:szCs w:val="20"/>
              </w:rPr>
            </w:pPr>
            <w:r>
              <w:rPr>
                <w:color w:val="000000"/>
                <w:sz w:val="20"/>
                <w:szCs w:val="20"/>
              </w:rPr>
              <w:t>0.531</w:t>
            </w:r>
          </w:p>
        </w:tc>
        <w:tc>
          <w:tcPr>
            <w:tcW w:w="768" w:type="dxa"/>
            <w:tcBorders>
              <w:top w:val="nil"/>
              <w:left w:val="nil"/>
              <w:bottom w:val="nil"/>
              <w:right w:val="nil"/>
            </w:tcBorders>
            <w:shd w:val="clear" w:color="auto" w:fill="auto"/>
            <w:noWrap/>
            <w:vAlign w:val="bottom"/>
            <w:hideMark/>
          </w:tcPr>
          <w:p w14:paraId="6D5A673E" w14:textId="3D5DAF2A"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037B427" w14:textId="321C2A91" w:rsidR="004E7A14" w:rsidRDefault="004E7A14" w:rsidP="004E7A14">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3407151C" w14:textId="0EDBF941" w:rsidR="004E7A14" w:rsidRDefault="004E7A14" w:rsidP="004E7A14">
            <w:pPr>
              <w:jc w:val="right"/>
              <w:rPr>
                <w:color w:val="000000"/>
                <w:sz w:val="20"/>
                <w:szCs w:val="20"/>
              </w:rPr>
            </w:pPr>
            <w:r>
              <w:rPr>
                <w:color w:val="000000"/>
                <w:sz w:val="20"/>
                <w:szCs w:val="20"/>
              </w:rPr>
              <w:t>0.497</w:t>
            </w:r>
          </w:p>
        </w:tc>
        <w:tc>
          <w:tcPr>
            <w:tcW w:w="768" w:type="dxa"/>
            <w:tcBorders>
              <w:top w:val="nil"/>
              <w:left w:val="nil"/>
              <w:bottom w:val="nil"/>
              <w:right w:val="nil"/>
            </w:tcBorders>
            <w:shd w:val="clear" w:color="auto" w:fill="auto"/>
            <w:noWrap/>
            <w:vAlign w:val="bottom"/>
            <w:hideMark/>
          </w:tcPr>
          <w:p w14:paraId="0EC19DF4" w14:textId="1F15D73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D557C2" w14:textId="6EC529F0" w:rsidR="004E7A14" w:rsidRDefault="004E7A14" w:rsidP="004E7A14">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77947734" w14:textId="5BA2681D" w:rsidR="004E7A14" w:rsidRDefault="004E7A14" w:rsidP="004E7A14">
            <w:pPr>
              <w:jc w:val="right"/>
              <w:rPr>
                <w:color w:val="000000"/>
                <w:sz w:val="20"/>
                <w:szCs w:val="20"/>
              </w:rPr>
            </w:pPr>
            <w:r>
              <w:rPr>
                <w:color w:val="000000"/>
                <w:sz w:val="20"/>
                <w:szCs w:val="20"/>
              </w:rPr>
              <w:t>0.286</w:t>
            </w:r>
          </w:p>
        </w:tc>
        <w:tc>
          <w:tcPr>
            <w:tcW w:w="768" w:type="dxa"/>
            <w:tcBorders>
              <w:top w:val="nil"/>
              <w:left w:val="nil"/>
              <w:bottom w:val="nil"/>
              <w:right w:val="nil"/>
            </w:tcBorders>
            <w:shd w:val="clear" w:color="auto" w:fill="auto"/>
            <w:noWrap/>
            <w:vAlign w:val="bottom"/>
            <w:hideMark/>
          </w:tcPr>
          <w:p w14:paraId="15ADFBE8" w14:textId="71708B42"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EA5AA0E" w14:textId="315345CD" w:rsidR="004E7A14" w:rsidRDefault="004E7A14" w:rsidP="004E7A14">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479AC75" w14:textId="1C87184E" w:rsidR="004E7A14" w:rsidRDefault="004E7A14" w:rsidP="004E7A14">
            <w:pPr>
              <w:jc w:val="right"/>
              <w:rPr>
                <w:color w:val="000000"/>
                <w:sz w:val="20"/>
                <w:szCs w:val="20"/>
              </w:rPr>
            </w:pPr>
            <w:r>
              <w:rPr>
                <w:color w:val="000000"/>
                <w:sz w:val="20"/>
                <w:szCs w:val="20"/>
              </w:rPr>
              <w:t>0.470</w:t>
            </w:r>
          </w:p>
        </w:tc>
        <w:tc>
          <w:tcPr>
            <w:tcW w:w="768" w:type="dxa"/>
            <w:tcBorders>
              <w:top w:val="nil"/>
              <w:left w:val="nil"/>
              <w:bottom w:val="nil"/>
              <w:right w:val="nil"/>
            </w:tcBorders>
            <w:shd w:val="clear" w:color="auto" w:fill="auto"/>
            <w:noWrap/>
            <w:vAlign w:val="bottom"/>
            <w:hideMark/>
          </w:tcPr>
          <w:p w14:paraId="0AD9E863" w14:textId="1C756CE2" w:rsidR="004E7A14" w:rsidRDefault="004E7A14" w:rsidP="004E7A14">
            <w:pPr>
              <w:jc w:val="right"/>
              <w:rPr>
                <w:color w:val="000000"/>
                <w:sz w:val="20"/>
                <w:szCs w:val="20"/>
              </w:rPr>
            </w:pPr>
            <w:r>
              <w:rPr>
                <w:color w:val="000000"/>
                <w:sz w:val="20"/>
                <w:szCs w:val="20"/>
              </w:rPr>
              <w:t>0.001</w:t>
            </w:r>
          </w:p>
        </w:tc>
      </w:tr>
      <w:tr w:rsidR="004E7A14" w14:paraId="6F9E8522" w14:textId="77777777" w:rsidTr="002F1817">
        <w:trPr>
          <w:trHeight w:val="320"/>
        </w:trPr>
        <w:tc>
          <w:tcPr>
            <w:tcW w:w="1176" w:type="dxa"/>
            <w:tcBorders>
              <w:top w:val="nil"/>
              <w:left w:val="nil"/>
              <w:bottom w:val="nil"/>
              <w:right w:val="nil"/>
            </w:tcBorders>
            <w:shd w:val="clear" w:color="auto" w:fill="auto"/>
            <w:noWrap/>
            <w:vAlign w:val="bottom"/>
            <w:hideMark/>
          </w:tcPr>
          <w:p w14:paraId="088E8552"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9D4E7D" w14:textId="77777777" w:rsidR="004E7A14" w:rsidRDefault="004E7A14" w:rsidP="004E7A1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3D8F7FC" w14:textId="0486B5A7" w:rsidR="004E7A14" w:rsidRDefault="004E7A14" w:rsidP="004E7A14">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5AE71F0" w14:textId="1E4F260A" w:rsidR="004E7A14" w:rsidRDefault="004E7A14" w:rsidP="004E7A14">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5055D389" w14:textId="1FA544DB"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A11653" w14:textId="56206ADC" w:rsidR="004E7A14" w:rsidRDefault="004E7A14" w:rsidP="004E7A1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9E222AD" w14:textId="6E4A71D3" w:rsidR="004E7A14" w:rsidRDefault="004E7A14" w:rsidP="004E7A14">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03592D5B" w14:textId="74D0F83C"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2D9BC2" w14:textId="3A11908B" w:rsidR="004E7A14" w:rsidRDefault="004E7A14" w:rsidP="004E7A14">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3BD0E95" w14:textId="728F3A14" w:rsidR="004E7A14" w:rsidRDefault="004E7A14" w:rsidP="004E7A14">
            <w:pPr>
              <w:jc w:val="right"/>
              <w:rPr>
                <w:color w:val="000000"/>
                <w:sz w:val="20"/>
                <w:szCs w:val="20"/>
              </w:rPr>
            </w:pPr>
            <w:r>
              <w:rPr>
                <w:color w:val="000000"/>
                <w:sz w:val="20"/>
                <w:szCs w:val="20"/>
              </w:rPr>
              <w:t>0.478</w:t>
            </w:r>
          </w:p>
        </w:tc>
        <w:tc>
          <w:tcPr>
            <w:tcW w:w="768" w:type="dxa"/>
            <w:tcBorders>
              <w:top w:val="nil"/>
              <w:left w:val="nil"/>
              <w:bottom w:val="nil"/>
              <w:right w:val="nil"/>
            </w:tcBorders>
            <w:shd w:val="clear" w:color="auto" w:fill="auto"/>
            <w:noWrap/>
            <w:vAlign w:val="bottom"/>
            <w:hideMark/>
          </w:tcPr>
          <w:p w14:paraId="66E5514E" w14:textId="4559E26A"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66CFBC0" w14:textId="247A760B" w:rsidR="004E7A14" w:rsidRDefault="004E7A14" w:rsidP="004E7A1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E02A322" w14:textId="29961A32" w:rsidR="004E7A14" w:rsidRDefault="004E7A14" w:rsidP="004E7A14">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66391389" w14:textId="54A45900"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AF53D9" w14:textId="099036FD" w:rsidR="004E7A14" w:rsidRDefault="004E7A14" w:rsidP="004E7A14">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F3086F1" w14:textId="42136B96" w:rsidR="004E7A14" w:rsidRDefault="004E7A14" w:rsidP="004E7A14">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03B5C6F6" w14:textId="43E3FBB0" w:rsidR="004E7A14" w:rsidRDefault="004E7A14" w:rsidP="004E7A14">
            <w:pPr>
              <w:jc w:val="right"/>
              <w:rPr>
                <w:color w:val="000000"/>
                <w:sz w:val="20"/>
                <w:szCs w:val="20"/>
              </w:rPr>
            </w:pPr>
            <w:r>
              <w:rPr>
                <w:color w:val="000000"/>
                <w:sz w:val="20"/>
                <w:szCs w:val="20"/>
              </w:rPr>
              <w:t>0.001</w:t>
            </w:r>
          </w:p>
        </w:tc>
      </w:tr>
      <w:tr w:rsidR="004E7A14" w14:paraId="696DC09A" w14:textId="77777777" w:rsidTr="002F1817">
        <w:trPr>
          <w:trHeight w:val="320"/>
        </w:trPr>
        <w:tc>
          <w:tcPr>
            <w:tcW w:w="1176" w:type="dxa"/>
            <w:tcBorders>
              <w:top w:val="nil"/>
              <w:left w:val="nil"/>
              <w:bottom w:val="single" w:sz="4" w:space="0" w:color="auto"/>
              <w:right w:val="nil"/>
            </w:tcBorders>
            <w:shd w:val="clear" w:color="auto" w:fill="auto"/>
            <w:noWrap/>
            <w:vAlign w:val="bottom"/>
            <w:hideMark/>
          </w:tcPr>
          <w:p w14:paraId="2F666B47" w14:textId="77777777" w:rsidR="004E7A14" w:rsidRDefault="004E7A14" w:rsidP="004E7A14">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72E5B70" w14:textId="77777777" w:rsidR="004E7A14" w:rsidRDefault="004E7A14" w:rsidP="004E7A14">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8768698" w14:textId="2B5B0C8E"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161643D2" w14:textId="3E17CC64" w:rsidR="004E7A14" w:rsidRDefault="004E7A14" w:rsidP="004E7A14">
            <w:pPr>
              <w:jc w:val="right"/>
              <w:rPr>
                <w:color w:val="000000"/>
                <w:sz w:val="20"/>
                <w:szCs w:val="20"/>
              </w:rPr>
            </w:pPr>
            <w:r>
              <w:rPr>
                <w:color w:val="000000"/>
                <w:sz w:val="20"/>
                <w:szCs w:val="20"/>
              </w:rPr>
              <w:t>0.918</w:t>
            </w:r>
          </w:p>
        </w:tc>
        <w:tc>
          <w:tcPr>
            <w:tcW w:w="768" w:type="dxa"/>
            <w:tcBorders>
              <w:top w:val="nil"/>
              <w:left w:val="nil"/>
              <w:bottom w:val="single" w:sz="4" w:space="0" w:color="auto"/>
              <w:right w:val="nil"/>
            </w:tcBorders>
            <w:shd w:val="clear" w:color="auto" w:fill="auto"/>
            <w:noWrap/>
            <w:vAlign w:val="bottom"/>
            <w:hideMark/>
          </w:tcPr>
          <w:p w14:paraId="6F349784" w14:textId="1AE63CD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FA5A70D" w14:textId="5F36F61B" w:rsidR="004E7A14" w:rsidRDefault="004E7A14" w:rsidP="004E7A14">
            <w:pPr>
              <w:jc w:val="right"/>
              <w:rPr>
                <w:b/>
                <w:bCs/>
                <w:color w:val="000000"/>
                <w:sz w:val="20"/>
                <w:szCs w:val="20"/>
              </w:rPr>
            </w:pPr>
            <w:r>
              <w:rPr>
                <w:b/>
                <w:bCs/>
                <w:color w:val="000000"/>
                <w:sz w:val="20"/>
                <w:szCs w:val="20"/>
              </w:rPr>
              <w:t>-0.073</w:t>
            </w:r>
          </w:p>
        </w:tc>
        <w:tc>
          <w:tcPr>
            <w:tcW w:w="768" w:type="dxa"/>
            <w:tcBorders>
              <w:top w:val="nil"/>
              <w:left w:val="nil"/>
              <w:bottom w:val="single" w:sz="4" w:space="0" w:color="auto"/>
              <w:right w:val="nil"/>
            </w:tcBorders>
            <w:shd w:val="clear" w:color="auto" w:fill="auto"/>
            <w:noWrap/>
            <w:vAlign w:val="bottom"/>
            <w:hideMark/>
          </w:tcPr>
          <w:p w14:paraId="2106808E" w14:textId="55C65E0A" w:rsidR="004E7A14" w:rsidRDefault="004E7A14" w:rsidP="004E7A14">
            <w:pPr>
              <w:jc w:val="right"/>
              <w:rPr>
                <w:b/>
                <w:bCs/>
                <w:color w:val="000000"/>
                <w:sz w:val="20"/>
                <w:szCs w:val="20"/>
              </w:rPr>
            </w:pPr>
            <w:r>
              <w:rPr>
                <w:b/>
                <w:bCs/>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117E9178" w14:textId="008E412A" w:rsidR="004E7A14" w:rsidRDefault="004E7A14" w:rsidP="004E7A14">
            <w:pPr>
              <w:jc w:val="right"/>
              <w:rPr>
                <w:color w:val="000000"/>
                <w:sz w:val="20"/>
                <w:szCs w:val="20"/>
              </w:rPr>
            </w:pPr>
            <w:r>
              <w:rPr>
                <w:b/>
                <w:bCs/>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3F9F5FD1" w14:textId="385742A0" w:rsidR="004E7A14" w:rsidRDefault="004E7A14" w:rsidP="004E7A14">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602BA9BE" w14:textId="5360E294" w:rsidR="004E7A14" w:rsidRDefault="004E7A14" w:rsidP="004E7A14">
            <w:pPr>
              <w:jc w:val="right"/>
              <w:rPr>
                <w:color w:val="000000"/>
                <w:sz w:val="20"/>
                <w:szCs w:val="20"/>
              </w:rPr>
            </w:pPr>
            <w:r>
              <w:rPr>
                <w:color w:val="000000"/>
                <w:sz w:val="20"/>
                <w:szCs w:val="20"/>
              </w:rPr>
              <w:t>0.160</w:t>
            </w:r>
          </w:p>
        </w:tc>
        <w:tc>
          <w:tcPr>
            <w:tcW w:w="768" w:type="dxa"/>
            <w:tcBorders>
              <w:top w:val="nil"/>
              <w:left w:val="nil"/>
              <w:bottom w:val="single" w:sz="4" w:space="0" w:color="auto"/>
              <w:right w:val="nil"/>
            </w:tcBorders>
            <w:shd w:val="clear" w:color="auto" w:fill="auto"/>
            <w:noWrap/>
            <w:vAlign w:val="bottom"/>
            <w:hideMark/>
          </w:tcPr>
          <w:p w14:paraId="061BCF8B" w14:textId="445D59CB"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3F5C216" w14:textId="64D4414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623C7D8" w14:textId="3EE1EBAA" w:rsidR="004E7A14" w:rsidRDefault="004E7A14" w:rsidP="004E7A14">
            <w:pPr>
              <w:jc w:val="right"/>
              <w:rPr>
                <w:color w:val="000000"/>
                <w:sz w:val="20"/>
                <w:szCs w:val="20"/>
              </w:rPr>
            </w:pPr>
            <w:r>
              <w:rPr>
                <w:color w:val="000000"/>
                <w:sz w:val="20"/>
                <w:szCs w:val="20"/>
              </w:rPr>
              <w:t>1.000</w:t>
            </w:r>
          </w:p>
        </w:tc>
        <w:tc>
          <w:tcPr>
            <w:tcW w:w="768" w:type="dxa"/>
            <w:tcBorders>
              <w:top w:val="nil"/>
              <w:left w:val="nil"/>
              <w:bottom w:val="single" w:sz="4" w:space="0" w:color="auto"/>
              <w:right w:val="nil"/>
            </w:tcBorders>
            <w:shd w:val="clear" w:color="auto" w:fill="auto"/>
            <w:noWrap/>
            <w:vAlign w:val="bottom"/>
            <w:hideMark/>
          </w:tcPr>
          <w:p w14:paraId="15B67B12" w14:textId="2650F41F"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49C0D9A" w14:textId="6950AF4C" w:rsidR="004E7A14" w:rsidRDefault="004E7A14" w:rsidP="004E7A14">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41C278EE" w14:textId="5F4454E9" w:rsidR="004E7A14" w:rsidRDefault="004E7A14" w:rsidP="004E7A14">
            <w:pPr>
              <w:jc w:val="right"/>
              <w:rPr>
                <w:color w:val="000000"/>
                <w:sz w:val="20"/>
                <w:szCs w:val="20"/>
              </w:rPr>
            </w:pPr>
            <w:r>
              <w:rPr>
                <w:color w:val="000000"/>
                <w:sz w:val="20"/>
                <w:szCs w:val="20"/>
              </w:rPr>
              <w:t>0.451</w:t>
            </w:r>
          </w:p>
        </w:tc>
        <w:tc>
          <w:tcPr>
            <w:tcW w:w="768" w:type="dxa"/>
            <w:tcBorders>
              <w:top w:val="nil"/>
              <w:left w:val="nil"/>
              <w:bottom w:val="single" w:sz="4" w:space="0" w:color="auto"/>
              <w:right w:val="nil"/>
            </w:tcBorders>
            <w:shd w:val="clear" w:color="auto" w:fill="auto"/>
            <w:noWrap/>
            <w:vAlign w:val="bottom"/>
            <w:hideMark/>
          </w:tcPr>
          <w:p w14:paraId="5CA60DD6" w14:textId="0265D33C" w:rsidR="004E7A14" w:rsidRDefault="004E7A14" w:rsidP="004E7A14">
            <w:pPr>
              <w:jc w:val="right"/>
              <w:rPr>
                <w:color w:val="000000"/>
                <w:sz w:val="20"/>
                <w:szCs w:val="20"/>
              </w:rPr>
            </w:pPr>
            <w:r>
              <w:rPr>
                <w:color w:val="000000"/>
                <w:sz w:val="20"/>
                <w:szCs w:val="20"/>
              </w:rPr>
              <w:t>0.002</w:t>
            </w:r>
          </w:p>
        </w:tc>
      </w:tr>
      <w:tr w:rsidR="004E7A14" w14:paraId="610ED61D" w14:textId="77777777" w:rsidTr="002F1817">
        <w:trPr>
          <w:trHeight w:val="320"/>
        </w:trPr>
        <w:tc>
          <w:tcPr>
            <w:tcW w:w="1176" w:type="dxa"/>
            <w:tcBorders>
              <w:top w:val="nil"/>
              <w:left w:val="nil"/>
              <w:bottom w:val="nil"/>
              <w:right w:val="nil"/>
            </w:tcBorders>
            <w:shd w:val="clear" w:color="auto" w:fill="auto"/>
            <w:noWrap/>
            <w:vAlign w:val="bottom"/>
            <w:hideMark/>
          </w:tcPr>
          <w:p w14:paraId="3282C96F" w14:textId="77777777" w:rsidR="004E7A14" w:rsidRDefault="004E7A14" w:rsidP="004E7A14">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5E7679F8" w14:textId="77777777" w:rsidR="004E7A14" w:rsidRDefault="004E7A14" w:rsidP="004E7A14">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2320659" w14:textId="2385A34D" w:rsidR="004E7A14" w:rsidRDefault="004E7A14" w:rsidP="004E7A14">
            <w:pPr>
              <w:jc w:val="right"/>
              <w:rPr>
                <w:b/>
                <w:bCs/>
                <w:color w:val="000000"/>
                <w:sz w:val="20"/>
                <w:szCs w:val="20"/>
              </w:rPr>
            </w:pPr>
            <w:r>
              <w:rPr>
                <w:b/>
                <w:bCs/>
                <w:color w:val="000000"/>
                <w:sz w:val="20"/>
                <w:szCs w:val="20"/>
              </w:rPr>
              <w:t>0.097</w:t>
            </w:r>
          </w:p>
        </w:tc>
        <w:tc>
          <w:tcPr>
            <w:tcW w:w="768" w:type="dxa"/>
            <w:tcBorders>
              <w:top w:val="nil"/>
              <w:left w:val="nil"/>
              <w:bottom w:val="nil"/>
              <w:right w:val="nil"/>
            </w:tcBorders>
            <w:shd w:val="clear" w:color="auto" w:fill="auto"/>
            <w:noWrap/>
            <w:vAlign w:val="bottom"/>
            <w:hideMark/>
          </w:tcPr>
          <w:p w14:paraId="542A4359" w14:textId="3646D110"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74667DF4" w14:textId="06054A75" w:rsidR="004E7A14" w:rsidRDefault="004E7A14" w:rsidP="004E7A14">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1AFAFB92" w14:textId="4BC70030"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991C251" w14:textId="57263E9C" w:rsidR="004E7A14" w:rsidRDefault="004E7A14" w:rsidP="004E7A14">
            <w:pPr>
              <w:jc w:val="right"/>
              <w:rPr>
                <w:color w:val="000000"/>
                <w:sz w:val="20"/>
                <w:szCs w:val="20"/>
              </w:rPr>
            </w:pPr>
            <w:r>
              <w:rPr>
                <w:color w:val="000000"/>
                <w:sz w:val="20"/>
                <w:szCs w:val="20"/>
              </w:rPr>
              <w:t>0.848</w:t>
            </w:r>
          </w:p>
        </w:tc>
        <w:tc>
          <w:tcPr>
            <w:tcW w:w="768" w:type="dxa"/>
            <w:tcBorders>
              <w:top w:val="nil"/>
              <w:left w:val="nil"/>
              <w:bottom w:val="nil"/>
              <w:right w:val="nil"/>
            </w:tcBorders>
            <w:shd w:val="clear" w:color="auto" w:fill="auto"/>
            <w:noWrap/>
            <w:vAlign w:val="bottom"/>
            <w:hideMark/>
          </w:tcPr>
          <w:p w14:paraId="57D872B1" w14:textId="41BDDE41"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B4E544" w14:textId="3A6894CC"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7CC29F0" w14:textId="655C7B6F" w:rsidR="004E7A14" w:rsidRDefault="004E7A14" w:rsidP="004E7A14">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5E71938F" w14:textId="7C063D97"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36B7B4" w14:textId="410BE53B" w:rsidR="004E7A14" w:rsidRDefault="004E7A14" w:rsidP="004E7A14">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3C325DAA" w14:textId="5D2B25AE" w:rsidR="004E7A14" w:rsidRDefault="004E7A14" w:rsidP="004E7A14">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73402476" w14:textId="5FC2288A"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EC3BDAC" w14:textId="53F5807E" w:rsidR="004E7A14" w:rsidRDefault="004E7A14" w:rsidP="004E7A14">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6506499" w14:textId="583895FD" w:rsidR="004E7A14" w:rsidRDefault="004E7A14" w:rsidP="004E7A14">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453017D3" w14:textId="3C89F972" w:rsidR="004E7A14" w:rsidRDefault="004E7A14" w:rsidP="004E7A14">
            <w:pPr>
              <w:jc w:val="right"/>
              <w:rPr>
                <w:color w:val="000000"/>
                <w:sz w:val="20"/>
                <w:szCs w:val="20"/>
              </w:rPr>
            </w:pPr>
            <w:r>
              <w:rPr>
                <w:color w:val="000000"/>
                <w:sz w:val="20"/>
                <w:szCs w:val="20"/>
              </w:rPr>
              <w:t>0.001</w:t>
            </w:r>
          </w:p>
        </w:tc>
      </w:tr>
      <w:tr w:rsidR="004E7A14" w14:paraId="5E419AE9" w14:textId="77777777" w:rsidTr="002F1817">
        <w:trPr>
          <w:trHeight w:val="320"/>
        </w:trPr>
        <w:tc>
          <w:tcPr>
            <w:tcW w:w="1176" w:type="dxa"/>
            <w:tcBorders>
              <w:top w:val="nil"/>
              <w:left w:val="nil"/>
              <w:bottom w:val="nil"/>
              <w:right w:val="nil"/>
            </w:tcBorders>
            <w:shd w:val="clear" w:color="auto" w:fill="auto"/>
            <w:noWrap/>
            <w:vAlign w:val="bottom"/>
            <w:hideMark/>
          </w:tcPr>
          <w:p w14:paraId="1138F5EC"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3F1AFA" w14:textId="77777777" w:rsidR="004E7A14" w:rsidRDefault="004E7A14" w:rsidP="004E7A1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CFAC428" w14:textId="12ED3F8A"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B441C7B" w14:textId="6EB90EBF" w:rsidR="004E7A14" w:rsidRDefault="004E7A14" w:rsidP="004E7A14">
            <w:pPr>
              <w:jc w:val="right"/>
              <w:rPr>
                <w:color w:val="000000"/>
                <w:sz w:val="20"/>
                <w:szCs w:val="20"/>
              </w:rPr>
            </w:pPr>
            <w:r>
              <w:rPr>
                <w:color w:val="000000"/>
                <w:sz w:val="20"/>
                <w:szCs w:val="20"/>
              </w:rPr>
              <w:t>0.920</w:t>
            </w:r>
          </w:p>
        </w:tc>
        <w:tc>
          <w:tcPr>
            <w:tcW w:w="768" w:type="dxa"/>
            <w:tcBorders>
              <w:top w:val="nil"/>
              <w:left w:val="nil"/>
              <w:bottom w:val="nil"/>
              <w:right w:val="nil"/>
            </w:tcBorders>
            <w:shd w:val="clear" w:color="auto" w:fill="auto"/>
            <w:noWrap/>
            <w:vAlign w:val="bottom"/>
            <w:hideMark/>
          </w:tcPr>
          <w:p w14:paraId="3F056E87" w14:textId="2753157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6E14B2" w14:textId="685E0C81" w:rsidR="004E7A14" w:rsidRDefault="004E7A14" w:rsidP="004E7A14">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701CE0D4" w14:textId="172E0A34" w:rsidR="004E7A14" w:rsidRDefault="004E7A14" w:rsidP="004E7A14">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1EEA2200" w14:textId="256369D2"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270C94" w14:textId="1F8BFC7B" w:rsidR="004E7A14" w:rsidRDefault="004E7A14" w:rsidP="004E7A1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01A548B" w14:textId="38519653" w:rsidR="004E7A14" w:rsidRDefault="004E7A14" w:rsidP="004E7A14">
            <w:pPr>
              <w:jc w:val="right"/>
              <w:rPr>
                <w:color w:val="000000"/>
                <w:sz w:val="20"/>
                <w:szCs w:val="20"/>
              </w:rPr>
            </w:pPr>
            <w:r>
              <w:rPr>
                <w:color w:val="000000"/>
                <w:sz w:val="20"/>
                <w:szCs w:val="20"/>
              </w:rPr>
              <w:t>0.873</w:t>
            </w:r>
          </w:p>
        </w:tc>
        <w:tc>
          <w:tcPr>
            <w:tcW w:w="768" w:type="dxa"/>
            <w:tcBorders>
              <w:top w:val="nil"/>
              <w:left w:val="nil"/>
              <w:bottom w:val="nil"/>
              <w:right w:val="nil"/>
            </w:tcBorders>
            <w:shd w:val="clear" w:color="auto" w:fill="auto"/>
            <w:noWrap/>
            <w:vAlign w:val="bottom"/>
            <w:hideMark/>
          </w:tcPr>
          <w:p w14:paraId="1D2A3CFA" w14:textId="0F368D4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720C8C" w14:textId="594340DE" w:rsidR="004E7A14" w:rsidRDefault="004E7A14" w:rsidP="004E7A14">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4A584CDF" w14:textId="52BA4C8B" w:rsidR="004E7A14" w:rsidRDefault="004E7A14" w:rsidP="004E7A14">
            <w:pPr>
              <w:jc w:val="right"/>
              <w:rPr>
                <w:color w:val="000000"/>
                <w:sz w:val="20"/>
                <w:szCs w:val="20"/>
              </w:rPr>
            </w:pPr>
            <w:r>
              <w:rPr>
                <w:color w:val="000000"/>
                <w:sz w:val="20"/>
                <w:szCs w:val="20"/>
              </w:rPr>
              <w:t>0.310</w:t>
            </w:r>
          </w:p>
        </w:tc>
        <w:tc>
          <w:tcPr>
            <w:tcW w:w="768" w:type="dxa"/>
            <w:tcBorders>
              <w:top w:val="nil"/>
              <w:left w:val="nil"/>
              <w:bottom w:val="nil"/>
              <w:right w:val="nil"/>
            </w:tcBorders>
            <w:shd w:val="clear" w:color="auto" w:fill="auto"/>
            <w:noWrap/>
            <w:vAlign w:val="bottom"/>
            <w:hideMark/>
          </w:tcPr>
          <w:p w14:paraId="3889E426" w14:textId="28691878"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02572E" w14:textId="3E031CD9" w:rsidR="004E7A14" w:rsidRDefault="004E7A14" w:rsidP="004E7A14">
            <w:pPr>
              <w:jc w:val="right"/>
              <w:rPr>
                <w:b/>
                <w:bCs/>
                <w:color w:val="000000"/>
                <w:sz w:val="20"/>
                <w:szCs w:val="20"/>
              </w:rPr>
            </w:pPr>
            <w:r>
              <w:rPr>
                <w:b/>
                <w:bCs/>
                <w:color w:val="000000"/>
                <w:sz w:val="20"/>
                <w:szCs w:val="20"/>
              </w:rPr>
              <w:t>0.097</w:t>
            </w:r>
          </w:p>
        </w:tc>
        <w:tc>
          <w:tcPr>
            <w:tcW w:w="768" w:type="dxa"/>
            <w:tcBorders>
              <w:top w:val="nil"/>
              <w:left w:val="nil"/>
              <w:bottom w:val="nil"/>
              <w:right w:val="nil"/>
            </w:tcBorders>
            <w:shd w:val="clear" w:color="auto" w:fill="auto"/>
            <w:noWrap/>
            <w:vAlign w:val="bottom"/>
            <w:hideMark/>
          </w:tcPr>
          <w:p w14:paraId="7DD73D39" w14:textId="152BCBBF" w:rsidR="004E7A14" w:rsidRDefault="004E7A14" w:rsidP="004E7A1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554B8C8" w14:textId="080DB563" w:rsidR="004E7A14" w:rsidRDefault="004E7A14" w:rsidP="004E7A14">
            <w:pPr>
              <w:jc w:val="right"/>
              <w:rPr>
                <w:color w:val="000000"/>
                <w:sz w:val="20"/>
                <w:szCs w:val="20"/>
              </w:rPr>
            </w:pPr>
            <w:r>
              <w:rPr>
                <w:b/>
                <w:bCs/>
                <w:color w:val="000000"/>
                <w:sz w:val="20"/>
                <w:szCs w:val="20"/>
              </w:rPr>
              <w:t>0.009</w:t>
            </w:r>
          </w:p>
        </w:tc>
      </w:tr>
      <w:tr w:rsidR="004E7A14" w14:paraId="5DEA21A6" w14:textId="77777777" w:rsidTr="002F1817">
        <w:trPr>
          <w:trHeight w:val="320"/>
        </w:trPr>
        <w:tc>
          <w:tcPr>
            <w:tcW w:w="1176" w:type="dxa"/>
            <w:tcBorders>
              <w:top w:val="nil"/>
              <w:left w:val="nil"/>
              <w:bottom w:val="nil"/>
              <w:right w:val="nil"/>
            </w:tcBorders>
            <w:shd w:val="clear" w:color="auto" w:fill="auto"/>
            <w:noWrap/>
            <w:vAlign w:val="bottom"/>
            <w:hideMark/>
          </w:tcPr>
          <w:p w14:paraId="15E0B6B6"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8CE2454" w14:textId="77777777" w:rsidR="004E7A14" w:rsidRDefault="004E7A14" w:rsidP="004E7A1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7549DE8" w14:textId="07851AF8" w:rsidR="004E7A14" w:rsidRDefault="004E7A14" w:rsidP="004E7A14">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143A9CA2" w14:textId="7220C3F8" w:rsidR="004E7A14" w:rsidRDefault="004E7A14" w:rsidP="004E7A14">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2797B40A" w14:textId="37F58A15"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1E2BE86" w14:textId="7868F8D2"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2B3DAD1" w14:textId="23A5DA06" w:rsidR="004E7A14" w:rsidRDefault="004E7A14" w:rsidP="004E7A14">
            <w:pPr>
              <w:jc w:val="right"/>
              <w:rPr>
                <w:color w:val="000000"/>
                <w:sz w:val="20"/>
                <w:szCs w:val="20"/>
              </w:rPr>
            </w:pPr>
            <w:r>
              <w:rPr>
                <w:color w:val="000000"/>
                <w:sz w:val="20"/>
                <w:szCs w:val="20"/>
              </w:rPr>
              <w:t>0.848</w:t>
            </w:r>
          </w:p>
        </w:tc>
        <w:tc>
          <w:tcPr>
            <w:tcW w:w="768" w:type="dxa"/>
            <w:tcBorders>
              <w:top w:val="nil"/>
              <w:left w:val="nil"/>
              <w:bottom w:val="nil"/>
              <w:right w:val="nil"/>
            </w:tcBorders>
            <w:shd w:val="clear" w:color="auto" w:fill="auto"/>
            <w:noWrap/>
            <w:vAlign w:val="bottom"/>
            <w:hideMark/>
          </w:tcPr>
          <w:p w14:paraId="78DE7059" w14:textId="0DED448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88F0CF" w14:textId="49D3EF81" w:rsidR="004E7A14" w:rsidRDefault="004E7A14" w:rsidP="004E7A14">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088AED06" w14:textId="7CDC642E" w:rsidR="004E7A14" w:rsidRDefault="004E7A14" w:rsidP="004E7A14">
            <w:pPr>
              <w:jc w:val="right"/>
              <w:rPr>
                <w:color w:val="000000"/>
                <w:sz w:val="20"/>
                <w:szCs w:val="20"/>
              </w:rPr>
            </w:pPr>
            <w:r>
              <w:rPr>
                <w:color w:val="000000"/>
                <w:sz w:val="20"/>
                <w:szCs w:val="20"/>
              </w:rPr>
              <w:t>0.179</w:t>
            </w:r>
          </w:p>
        </w:tc>
        <w:tc>
          <w:tcPr>
            <w:tcW w:w="768" w:type="dxa"/>
            <w:tcBorders>
              <w:top w:val="nil"/>
              <w:left w:val="nil"/>
              <w:bottom w:val="nil"/>
              <w:right w:val="nil"/>
            </w:tcBorders>
            <w:shd w:val="clear" w:color="auto" w:fill="auto"/>
            <w:noWrap/>
            <w:vAlign w:val="bottom"/>
            <w:hideMark/>
          </w:tcPr>
          <w:p w14:paraId="54B3BF05" w14:textId="3EC74A46"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EB3F35E" w14:textId="0BEFF9BC" w:rsidR="004E7A14" w:rsidRDefault="004E7A14" w:rsidP="004E7A1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88C1ABE" w14:textId="5968D81A" w:rsidR="004E7A14" w:rsidRDefault="004E7A14" w:rsidP="004E7A14">
            <w:pPr>
              <w:jc w:val="right"/>
              <w:rPr>
                <w:color w:val="000000"/>
                <w:sz w:val="20"/>
                <w:szCs w:val="20"/>
              </w:rPr>
            </w:pPr>
            <w:r>
              <w:rPr>
                <w:color w:val="000000"/>
                <w:sz w:val="20"/>
                <w:szCs w:val="20"/>
              </w:rPr>
              <w:t>0.903</w:t>
            </w:r>
          </w:p>
        </w:tc>
        <w:tc>
          <w:tcPr>
            <w:tcW w:w="768" w:type="dxa"/>
            <w:tcBorders>
              <w:top w:val="nil"/>
              <w:left w:val="nil"/>
              <w:bottom w:val="nil"/>
              <w:right w:val="nil"/>
            </w:tcBorders>
            <w:shd w:val="clear" w:color="auto" w:fill="auto"/>
            <w:noWrap/>
            <w:vAlign w:val="bottom"/>
            <w:hideMark/>
          </w:tcPr>
          <w:p w14:paraId="21EAAA57" w14:textId="33391030"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9591BD" w14:textId="315A5E97" w:rsidR="004E7A14" w:rsidRDefault="004E7A14" w:rsidP="004E7A1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F04DA18" w14:textId="52B4B307" w:rsidR="004E7A14" w:rsidRDefault="004E7A14" w:rsidP="004E7A14">
            <w:pPr>
              <w:jc w:val="right"/>
              <w:rPr>
                <w:color w:val="000000"/>
                <w:sz w:val="20"/>
                <w:szCs w:val="20"/>
              </w:rPr>
            </w:pPr>
            <w:r>
              <w:rPr>
                <w:color w:val="000000"/>
                <w:sz w:val="20"/>
                <w:szCs w:val="20"/>
              </w:rPr>
              <w:t>0.810</w:t>
            </w:r>
          </w:p>
        </w:tc>
        <w:tc>
          <w:tcPr>
            <w:tcW w:w="768" w:type="dxa"/>
            <w:tcBorders>
              <w:top w:val="nil"/>
              <w:left w:val="nil"/>
              <w:bottom w:val="nil"/>
              <w:right w:val="nil"/>
            </w:tcBorders>
            <w:shd w:val="clear" w:color="auto" w:fill="auto"/>
            <w:noWrap/>
            <w:vAlign w:val="bottom"/>
            <w:hideMark/>
          </w:tcPr>
          <w:p w14:paraId="782FD422" w14:textId="655C0E60" w:rsidR="004E7A14" w:rsidRDefault="004E7A14" w:rsidP="004E7A14">
            <w:pPr>
              <w:jc w:val="right"/>
              <w:rPr>
                <w:color w:val="000000"/>
                <w:sz w:val="20"/>
                <w:szCs w:val="20"/>
              </w:rPr>
            </w:pPr>
            <w:r>
              <w:rPr>
                <w:color w:val="000000"/>
                <w:sz w:val="20"/>
                <w:szCs w:val="20"/>
              </w:rPr>
              <w:t>0.000</w:t>
            </w:r>
          </w:p>
        </w:tc>
      </w:tr>
      <w:tr w:rsidR="004E7A14" w14:paraId="0BA97AA4" w14:textId="77777777" w:rsidTr="002F1817">
        <w:trPr>
          <w:trHeight w:val="320"/>
        </w:trPr>
        <w:tc>
          <w:tcPr>
            <w:tcW w:w="1176" w:type="dxa"/>
            <w:tcBorders>
              <w:top w:val="nil"/>
              <w:left w:val="nil"/>
              <w:bottom w:val="nil"/>
              <w:right w:val="nil"/>
            </w:tcBorders>
            <w:shd w:val="clear" w:color="auto" w:fill="auto"/>
            <w:noWrap/>
            <w:vAlign w:val="bottom"/>
            <w:hideMark/>
          </w:tcPr>
          <w:p w14:paraId="7A19BC89"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862CECD" w14:textId="77777777" w:rsidR="004E7A14" w:rsidRDefault="004E7A14" w:rsidP="004E7A1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1A47235" w14:textId="7D3300E8"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CBE05A9" w14:textId="06745C9C" w:rsidR="004E7A14" w:rsidRDefault="004E7A14" w:rsidP="004E7A14">
            <w:pPr>
              <w:jc w:val="right"/>
              <w:rPr>
                <w:color w:val="000000"/>
                <w:sz w:val="20"/>
                <w:szCs w:val="20"/>
              </w:rPr>
            </w:pPr>
            <w:r>
              <w:rPr>
                <w:color w:val="000000"/>
                <w:sz w:val="20"/>
                <w:szCs w:val="20"/>
              </w:rPr>
              <w:t>0.920</w:t>
            </w:r>
          </w:p>
        </w:tc>
        <w:tc>
          <w:tcPr>
            <w:tcW w:w="768" w:type="dxa"/>
            <w:tcBorders>
              <w:top w:val="nil"/>
              <w:left w:val="nil"/>
              <w:bottom w:val="nil"/>
              <w:right w:val="nil"/>
            </w:tcBorders>
            <w:shd w:val="clear" w:color="auto" w:fill="auto"/>
            <w:noWrap/>
            <w:vAlign w:val="bottom"/>
            <w:hideMark/>
          </w:tcPr>
          <w:p w14:paraId="50EC1D41" w14:textId="6D8DF912"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2B2002" w14:textId="602C1AA1" w:rsidR="004E7A14" w:rsidRDefault="004E7A14" w:rsidP="004E7A14">
            <w:pPr>
              <w:jc w:val="right"/>
              <w:rPr>
                <w:b/>
                <w:bCs/>
                <w:color w:val="000000"/>
                <w:sz w:val="20"/>
                <w:szCs w:val="20"/>
              </w:rPr>
            </w:pPr>
            <w:r>
              <w:rPr>
                <w:b/>
                <w:bCs/>
                <w:color w:val="000000"/>
                <w:sz w:val="20"/>
                <w:szCs w:val="20"/>
              </w:rPr>
              <w:t>0.064</w:t>
            </w:r>
          </w:p>
        </w:tc>
        <w:tc>
          <w:tcPr>
            <w:tcW w:w="768" w:type="dxa"/>
            <w:tcBorders>
              <w:top w:val="nil"/>
              <w:left w:val="nil"/>
              <w:bottom w:val="nil"/>
              <w:right w:val="nil"/>
            </w:tcBorders>
            <w:shd w:val="clear" w:color="auto" w:fill="auto"/>
            <w:noWrap/>
            <w:vAlign w:val="bottom"/>
            <w:hideMark/>
          </w:tcPr>
          <w:p w14:paraId="4A779497" w14:textId="6E598E75" w:rsidR="004E7A14" w:rsidRDefault="004E7A14" w:rsidP="004E7A14">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688C309B" w14:textId="313F9B62" w:rsidR="004E7A14" w:rsidRDefault="004E7A14" w:rsidP="004E7A14">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65319CA6" w14:textId="4C5920D0" w:rsidR="004E7A14" w:rsidRDefault="004E7A14" w:rsidP="004E7A14">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B536D30" w14:textId="231B9EF4" w:rsidR="004E7A14" w:rsidRDefault="004E7A14" w:rsidP="004E7A14">
            <w:pPr>
              <w:jc w:val="right"/>
              <w:rPr>
                <w:color w:val="000000"/>
                <w:sz w:val="20"/>
                <w:szCs w:val="20"/>
              </w:rPr>
            </w:pPr>
            <w:r>
              <w:rPr>
                <w:color w:val="000000"/>
                <w:sz w:val="20"/>
                <w:szCs w:val="20"/>
              </w:rPr>
              <w:t>0.304</w:t>
            </w:r>
          </w:p>
        </w:tc>
        <w:tc>
          <w:tcPr>
            <w:tcW w:w="768" w:type="dxa"/>
            <w:tcBorders>
              <w:top w:val="nil"/>
              <w:left w:val="nil"/>
              <w:bottom w:val="nil"/>
              <w:right w:val="nil"/>
            </w:tcBorders>
            <w:shd w:val="clear" w:color="auto" w:fill="auto"/>
            <w:noWrap/>
            <w:vAlign w:val="bottom"/>
            <w:hideMark/>
          </w:tcPr>
          <w:p w14:paraId="0A909EF6" w14:textId="22E84CA0"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2EF2A5" w14:textId="05E96784" w:rsidR="004E7A14" w:rsidRDefault="004E7A14" w:rsidP="004E7A1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91F9562" w14:textId="18D4807A" w:rsidR="004E7A14" w:rsidRDefault="004E7A14" w:rsidP="004E7A14">
            <w:pPr>
              <w:jc w:val="right"/>
              <w:rPr>
                <w:color w:val="000000"/>
                <w:sz w:val="20"/>
                <w:szCs w:val="20"/>
              </w:rPr>
            </w:pPr>
            <w:r>
              <w:rPr>
                <w:color w:val="000000"/>
                <w:sz w:val="20"/>
                <w:szCs w:val="20"/>
              </w:rPr>
              <w:t>0.903</w:t>
            </w:r>
          </w:p>
        </w:tc>
        <w:tc>
          <w:tcPr>
            <w:tcW w:w="768" w:type="dxa"/>
            <w:tcBorders>
              <w:top w:val="nil"/>
              <w:left w:val="nil"/>
              <w:bottom w:val="nil"/>
              <w:right w:val="nil"/>
            </w:tcBorders>
            <w:shd w:val="clear" w:color="auto" w:fill="auto"/>
            <w:noWrap/>
            <w:vAlign w:val="bottom"/>
            <w:hideMark/>
          </w:tcPr>
          <w:p w14:paraId="5BB2AA97" w14:textId="727F7654"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474276" w14:textId="4634F345" w:rsidR="004E7A14" w:rsidRDefault="004E7A14" w:rsidP="004E7A1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8CDA060" w14:textId="65854A2B" w:rsidR="004E7A14" w:rsidRDefault="004E7A14" w:rsidP="004E7A14">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038E784B" w14:textId="26EF9B77" w:rsidR="004E7A14" w:rsidRDefault="004E7A14" w:rsidP="004E7A14">
            <w:pPr>
              <w:jc w:val="right"/>
              <w:rPr>
                <w:color w:val="000000"/>
                <w:sz w:val="20"/>
                <w:szCs w:val="20"/>
              </w:rPr>
            </w:pPr>
            <w:r>
              <w:rPr>
                <w:color w:val="000000"/>
                <w:sz w:val="20"/>
                <w:szCs w:val="20"/>
              </w:rPr>
              <w:t>0.001</w:t>
            </w:r>
          </w:p>
        </w:tc>
      </w:tr>
      <w:tr w:rsidR="004E7A14" w14:paraId="7F724024" w14:textId="77777777" w:rsidTr="002F1817">
        <w:trPr>
          <w:trHeight w:val="320"/>
        </w:trPr>
        <w:tc>
          <w:tcPr>
            <w:tcW w:w="1176" w:type="dxa"/>
            <w:tcBorders>
              <w:top w:val="nil"/>
              <w:left w:val="nil"/>
              <w:bottom w:val="nil"/>
              <w:right w:val="nil"/>
            </w:tcBorders>
            <w:shd w:val="clear" w:color="auto" w:fill="auto"/>
            <w:noWrap/>
            <w:vAlign w:val="bottom"/>
            <w:hideMark/>
          </w:tcPr>
          <w:p w14:paraId="7FD28B30"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32B7AF" w14:textId="77777777" w:rsidR="004E7A14" w:rsidRDefault="004E7A14" w:rsidP="004E7A1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3BD892A" w14:textId="1C71B03C" w:rsidR="004E7A14" w:rsidRDefault="004E7A14" w:rsidP="004E7A14">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4944133B" w14:textId="41B92657" w:rsidR="004E7A14" w:rsidRDefault="004E7A14" w:rsidP="004E7A14">
            <w:pPr>
              <w:jc w:val="right"/>
              <w:rPr>
                <w:color w:val="000000"/>
                <w:sz w:val="20"/>
                <w:szCs w:val="20"/>
              </w:rPr>
            </w:pPr>
            <w:r>
              <w:rPr>
                <w:color w:val="000000"/>
                <w:sz w:val="20"/>
                <w:szCs w:val="20"/>
              </w:rPr>
              <w:t>0.101</w:t>
            </w:r>
          </w:p>
        </w:tc>
        <w:tc>
          <w:tcPr>
            <w:tcW w:w="768" w:type="dxa"/>
            <w:tcBorders>
              <w:top w:val="nil"/>
              <w:left w:val="nil"/>
              <w:bottom w:val="nil"/>
              <w:right w:val="nil"/>
            </w:tcBorders>
            <w:shd w:val="clear" w:color="auto" w:fill="auto"/>
            <w:noWrap/>
            <w:vAlign w:val="bottom"/>
            <w:hideMark/>
          </w:tcPr>
          <w:p w14:paraId="53A2ABC1" w14:textId="6E768D2C"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2A3E57B" w14:textId="4CF2FB91" w:rsidR="004E7A14" w:rsidRDefault="004E7A14" w:rsidP="004E7A1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4A75569" w14:textId="2993A996" w:rsidR="004E7A14" w:rsidRDefault="004E7A14" w:rsidP="004E7A14">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228459B0" w14:textId="7380B60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7185C9" w14:textId="18BA756B" w:rsidR="004E7A14" w:rsidRDefault="004E7A14" w:rsidP="004E7A14">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026497D" w14:textId="16EE68DC" w:rsidR="004E7A14" w:rsidRDefault="004E7A14" w:rsidP="004E7A14">
            <w:pPr>
              <w:jc w:val="right"/>
              <w:rPr>
                <w:color w:val="000000"/>
                <w:sz w:val="20"/>
                <w:szCs w:val="20"/>
              </w:rPr>
            </w:pPr>
            <w:r>
              <w:rPr>
                <w:color w:val="000000"/>
                <w:sz w:val="20"/>
                <w:szCs w:val="20"/>
              </w:rPr>
              <w:t>0.179</w:t>
            </w:r>
          </w:p>
        </w:tc>
        <w:tc>
          <w:tcPr>
            <w:tcW w:w="768" w:type="dxa"/>
            <w:tcBorders>
              <w:top w:val="nil"/>
              <w:left w:val="nil"/>
              <w:bottom w:val="nil"/>
              <w:right w:val="nil"/>
            </w:tcBorders>
            <w:shd w:val="clear" w:color="auto" w:fill="auto"/>
            <w:noWrap/>
            <w:vAlign w:val="bottom"/>
            <w:hideMark/>
          </w:tcPr>
          <w:p w14:paraId="57DDEF3D" w14:textId="5F51B31C" w:rsidR="004E7A14" w:rsidRDefault="004E7A14" w:rsidP="004E7A1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82FE527" w14:textId="32359382" w:rsidR="004E7A14" w:rsidRDefault="004E7A14" w:rsidP="004E7A14">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60770A45" w14:textId="64C23ADC" w:rsidR="004E7A14" w:rsidRDefault="004E7A14" w:rsidP="004E7A14">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51D1D1B5" w14:textId="132E7316"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966E205" w14:textId="79977F33" w:rsidR="004E7A14" w:rsidRDefault="004E7A14" w:rsidP="004E7A1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AF9CEC7" w14:textId="11DEB7E5" w:rsidR="004E7A14" w:rsidRDefault="004E7A14" w:rsidP="004E7A14">
            <w:pPr>
              <w:jc w:val="right"/>
              <w:rPr>
                <w:color w:val="000000"/>
                <w:sz w:val="20"/>
                <w:szCs w:val="20"/>
              </w:rPr>
            </w:pPr>
            <w:r>
              <w:rPr>
                <w:color w:val="000000"/>
                <w:sz w:val="20"/>
                <w:szCs w:val="20"/>
              </w:rPr>
              <w:t>0.810</w:t>
            </w:r>
          </w:p>
        </w:tc>
        <w:tc>
          <w:tcPr>
            <w:tcW w:w="768" w:type="dxa"/>
            <w:tcBorders>
              <w:top w:val="nil"/>
              <w:left w:val="nil"/>
              <w:bottom w:val="nil"/>
              <w:right w:val="nil"/>
            </w:tcBorders>
            <w:shd w:val="clear" w:color="auto" w:fill="auto"/>
            <w:noWrap/>
            <w:vAlign w:val="bottom"/>
            <w:hideMark/>
          </w:tcPr>
          <w:p w14:paraId="5C7E96F6" w14:textId="729242E3" w:rsidR="004E7A14" w:rsidRDefault="004E7A14" w:rsidP="004E7A14">
            <w:pPr>
              <w:jc w:val="right"/>
              <w:rPr>
                <w:color w:val="000000"/>
                <w:sz w:val="20"/>
                <w:szCs w:val="20"/>
              </w:rPr>
            </w:pPr>
            <w:r>
              <w:rPr>
                <w:color w:val="000000"/>
                <w:sz w:val="20"/>
                <w:szCs w:val="20"/>
              </w:rPr>
              <w:t>0.000</w:t>
            </w:r>
          </w:p>
        </w:tc>
      </w:tr>
      <w:tr w:rsidR="004E7A14" w14:paraId="1F4E1DE0" w14:textId="77777777" w:rsidTr="002F1817">
        <w:trPr>
          <w:trHeight w:val="320"/>
        </w:trPr>
        <w:tc>
          <w:tcPr>
            <w:tcW w:w="1176" w:type="dxa"/>
            <w:tcBorders>
              <w:top w:val="nil"/>
              <w:left w:val="nil"/>
              <w:bottom w:val="nil"/>
              <w:right w:val="nil"/>
            </w:tcBorders>
            <w:shd w:val="clear" w:color="auto" w:fill="auto"/>
            <w:noWrap/>
            <w:vAlign w:val="bottom"/>
            <w:hideMark/>
          </w:tcPr>
          <w:p w14:paraId="5D13B10B"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77BD886" w14:textId="77777777" w:rsidR="004E7A14" w:rsidRDefault="004E7A14" w:rsidP="004E7A1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52E6B3D" w14:textId="21A52BD7" w:rsidR="004E7A14" w:rsidRDefault="004E7A14" w:rsidP="004E7A14">
            <w:pPr>
              <w:jc w:val="right"/>
              <w:rPr>
                <w:b/>
                <w:bCs/>
                <w:color w:val="000000"/>
                <w:sz w:val="20"/>
                <w:szCs w:val="20"/>
              </w:rPr>
            </w:pPr>
            <w:r>
              <w:rPr>
                <w:b/>
                <w:bCs/>
                <w:color w:val="000000"/>
                <w:sz w:val="20"/>
                <w:szCs w:val="20"/>
              </w:rPr>
              <w:t>0.098</w:t>
            </w:r>
          </w:p>
        </w:tc>
        <w:tc>
          <w:tcPr>
            <w:tcW w:w="768" w:type="dxa"/>
            <w:tcBorders>
              <w:top w:val="nil"/>
              <w:left w:val="nil"/>
              <w:bottom w:val="nil"/>
              <w:right w:val="nil"/>
            </w:tcBorders>
            <w:shd w:val="clear" w:color="auto" w:fill="auto"/>
            <w:noWrap/>
            <w:vAlign w:val="bottom"/>
            <w:hideMark/>
          </w:tcPr>
          <w:p w14:paraId="20D4E5D8" w14:textId="19731D62" w:rsidR="004E7A14" w:rsidRDefault="004E7A14" w:rsidP="004E7A1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22824B6A" w14:textId="23D51B05" w:rsidR="004E7A14" w:rsidRDefault="004E7A14" w:rsidP="004E7A14">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7B93E0F8" w14:textId="0D506643" w:rsidR="004E7A14" w:rsidRDefault="004E7A14" w:rsidP="004E7A14">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32A8486" w14:textId="3D101568" w:rsidR="004E7A14" w:rsidRDefault="004E7A14" w:rsidP="004E7A14">
            <w:pPr>
              <w:jc w:val="right"/>
              <w:rPr>
                <w:color w:val="000000"/>
                <w:sz w:val="20"/>
                <w:szCs w:val="20"/>
              </w:rPr>
            </w:pPr>
            <w:r>
              <w:rPr>
                <w:color w:val="000000"/>
                <w:sz w:val="20"/>
                <w:szCs w:val="20"/>
              </w:rPr>
              <w:t>0.285</w:t>
            </w:r>
          </w:p>
        </w:tc>
        <w:tc>
          <w:tcPr>
            <w:tcW w:w="768" w:type="dxa"/>
            <w:tcBorders>
              <w:top w:val="nil"/>
              <w:left w:val="nil"/>
              <w:bottom w:val="nil"/>
              <w:right w:val="nil"/>
            </w:tcBorders>
            <w:shd w:val="clear" w:color="auto" w:fill="auto"/>
            <w:noWrap/>
            <w:vAlign w:val="bottom"/>
            <w:hideMark/>
          </w:tcPr>
          <w:p w14:paraId="412B0164" w14:textId="2942735E"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9E124C8" w14:textId="3055C9F3" w:rsidR="004E7A14" w:rsidRDefault="004E7A14" w:rsidP="004E7A14">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D4CE320" w14:textId="0CC04AB6" w:rsidR="004E7A14" w:rsidRDefault="004E7A14" w:rsidP="004E7A14">
            <w:pPr>
              <w:jc w:val="right"/>
              <w:rPr>
                <w:color w:val="000000"/>
                <w:sz w:val="20"/>
                <w:szCs w:val="20"/>
              </w:rPr>
            </w:pPr>
            <w:r>
              <w:rPr>
                <w:color w:val="000000"/>
                <w:sz w:val="20"/>
                <w:szCs w:val="20"/>
              </w:rPr>
              <w:t>0.555</w:t>
            </w:r>
          </w:p>
        </w:tc>
        <w:tc>
          <w:tcPr>
            <w:tcW w:w="768" w:type="dxa"/>
            <w:tcBorders>
              <w:top w:val="nil"/>
              <w:left w:val="nil"/>
              <w:bottom w:val="nil"/>
              <w:right w:val="nil"/>
            </w:tcBorders>
            <w:shd w:val="clear" w:color="auto" w:fill="auto"/>
            <w:noWrap/>
            <w:vAlign w:val="bottom"/>
            <w:hideMark/>
          </w:tcPr>
          <w:p w14:paraId="49B20DA1" w14:textId="17076A39"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C1AC82" w14:textId="3CA0A1EB" w:rsidR="004E7A14" w:rsidRDefault="004E7A14" w:rsidP="004E7A14">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7703DAF4" w14:textId="6FB02C68" w:rsidR="004E7A14" w:rsidRDefault="004E7A14" w:rsidP="004E7A14">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69F3B9C6" w14:textId="4481F055"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62AD9F0" w14:textId="0A4BD73B" w:rsidR="004E7A14" w:rsidRDefault="004E7A14" w:rsidP="004E7A1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4F7B370" w14:textId="229FF7FB" w:rsidR="004E7A14" w:rsidRDefault="004E7A14" w:rsidP="004E7A14">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5DABB510" w14:textId="07C5329C" w:rsidR="004E7A14" w:rsidRDefault="004E7A14" w:rsidP="004E7A14">
            <w:pPr>
              <w:jc w:val="right"/>
              <w:rPr>
                <w:color w:val="000000"/>
                <w:sz w:val="20"/>
                <w:szCs w:val="20"/>
              </w:rPr>
            </w:pPr>
            <w:r>
              <w:rPr>
                <w:color w:val="000000"/>
                <w:sz w:val="20"/>
                <w:szCs w:val="20"/>
              </w:rPr>
              <w:t>0.001</w:t>
            </w:r>
          </w:p>
        </w:tc>
      </w:tr>
      <w:tr w:rsidR="004E7A14" w14:paraId="6690C812" w14:textId="77777777" w:rsidTr="002F1817">
        <w:trPr>
          <w:trHeight w:val="320"/>
        </w:trPr>
        <w:tc>
          <w:tcPr>
            <w:tcW w:w="1176" w:type="dxa"/>
            <w:tcBorders>
              <w:top w:val="nil"/>
              <w:left w:val="nil"/>
              <w:bottom w:val="nil"/>
              <w:right w:val="nil"/>
            </w:tcBorders>
            <w:shd w:val="clear" w:color="auto" w:fill="auto"/>
            <w:noWrap/>
            <w:vAlign w:val="bottom"/>
            <w:hideMark/>
          </w:tcPr>
          <w:p w14:paraId="12DCE5E8" w14:textId="77777777" w:rsidR="004E7A14" w:rsidRDefault="004E7A14" w:rsidP="004E7A1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F6CAC5B" w14:textId="77777777" w:rsidR="004E7A14" w:rsidRDefault="004E7A14" w:rsidP="004E7A1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71CE5F1" w14:textId="52B2A925" w:rsidR="004E7A14" w:rsidRDefault="004E7A14" w:rsidP="004E7A1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AAE21F2" w14:textId="18937509" w:rsidR="004E7A14" w:rsidRDefault="004E7A14" w:rsidP="004E7A14">
            <w:pPr>
              <w:jc w:val="right"/>
              <w:rPr>
                <w:color w:val="000000"/>
                <w:sz w:val="20"/>
                <w:szCs w:val="20"/>
              </w:rPr>
            </w:pPr>
            <w:r>
              <w:rPr>
                <w:color w:val="000000"/>
                <w:sz w:val="20"/>
                <w:szCs w:val="20"/>
              </w:rPr>
              <w:t>0.920</w:t>
            </w:r>
          </w:p>
        </w:tc>
        <w:tc>
          <w:tcPr>
            <w:tcW w:w="768" w:type="dxa"/>
            <w:tcBorders>
              <w:top w:val="nil"/>
              <w:left w:val="nil"/>
              <w:bottom w:val="nil"/>
              <w:right w:val="nil"/>
            </w:tcBorders>
            <w:shd w:val="clear" w:color="auto" w:fill="auto"/>
            <w:noWrap/>
            <w:vAlign w:val="bottom"/>
            <w:hideMark/>
          </w:tcPr>
          <w:p w14:paraId="4559211F" w14:textId="7D21BCCB"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5884CC" w14:textId="53A0DF5F" w:rsidR="004E7A14" w:rsidRDefault="004E7A14" w:rsidP="004E7A1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9EB341D" w14:textId="4C1855F9" w:rsidR="004E7A14" w:rsidRDefault="004E7A14" w:rsidP="004E7A14">
            <w:pPr>
              <w:jc w:val="right"/>
              <w:rPr>
                <w:color w:val="000000"/>
                <w:sz w:val="20"/>
                <w:szCs w:val="20"/>
              </w:rPr>
            </w:pPr>
            <w:r>
              <w:rPr>
                <w:color w:val="000000"/>
                <w:sz w:val="20"/>
                <w:szCs w:val="20"/>
              </w:rPr>
              <w:t>0.848</w:t>
            </w:r>
          </w:p>
        </w:tc>
        <w:tc>
          <w:tcPr>
            <w:tcW w:w="768" w:type="dxa"/>
            <w:tcBorders>
              <w:top w:val="nil"/>
              <w:left w:val="nil"/>
              <w:bottom w:val="nil"/>
              <w:right w:val="nil"/>
            </w:tcBorders>
            <w:shd w:val="clear" w:color="auto" w:fill="auto"/>
            <w:noWrap/>
            <w:vAlign w:val="bottom"/>
            <w:hideMark/>
          </w:tcPr>
          <w:p w14:paraId="7F3B2A9A" w14:textId="110A018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DE4FA2" w14:textId="6421417C" w:rsidR="004E7A14" w:rsidRDefault="004E7A14" w:rsidP="004E7A14">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AA1ACBB" w14:textId="4BE11FCC" w:rsidR="004E7A14" w:rsidRDefault="004E7A14" w:rsidP="004E7A14">
            <w:pPr>
              <w:jc w:val="right"/>
              <w:rPr>
                <w:color w:val="000000"/>
                <w:sz w:val="20"/>
                <w:szCs w:val="20"/>
              </w:rPr>
            </w:pPr>
            <w:r>
              <w:rPr>
                <w:color w:val="000000"/>
                <w:sz w:val="20"/>
                <w:szCs w:val="20"/>
              </w:rPr>
              <w:t>0.179</w:t>
            </w:r>
          </w:p>
        </w:tc>
        <w:tc>
          <w:tcPr>
            <w:tcW w:w="768" w:type="dxa"/>
            <w:tcBorders>
              <w:top w:val="nil"/>
              <w:left w:val="nil"/>
              <w:bottom w:val="nil"/>
              <w:right w:val="nil"/>
            </w:tcBorders>
            <w:shd w:val="clear" w:color="auto" w:fill="auto"/>
            <w:noWrap/>
            <w:vAlign w:val="bottom"/>
            <w:hideMark/>
          </w:tcPr>
          <w:p w14:paraId="676C4238" w14:textId="5604605C"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3558B4" w14:textId="4E7319EC"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C98BC9E" w14:textId="5D7EF6B5" w:rsidR="004E7A14" w:rsidRDefault="004E7A14" w:rsidP="004E7A14">
            <w:pPr>
              <w:jc w:val="right"/>
              <w:rPr>
                <w:color w:val="000000"/>
                <w:sz w:val="20"/>
                <w:szCs w:val="20"/>
              </w:rPr>
            </w:pPr>
            <w:r>
              <w:rPr>
                <w:color w:val="000000"/>
                <w:sz w:val="20"/>
                <w:szCs w:val="20"/>
              </w:rPr>
              <w:t>0.903</w:t>
            </w:r>
          </w:p>
        </w:tc>
        <w:tc>
          <w:tcPr>
            <w:tcW w:w="768" w:type="dxa"/>
            <w:tcBorders>
              <w:top w:val="nil"/>
              <w:left w:val="nil"/>
              <w:bottom w:val="nil"/>
              <w:right w:val="nil"/>
            </w:tcBorders>
            <w:shd w:val="clear" w:color="auto" w:fill="auto"/>
            <w:noWrap/>
            <w:vAlign w:val="bottom"/>
            <w:hideMark/>
          </w:tcPr>
          <w:p w14:paraId="0A88E154" w14:textId="1975AB28"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390498" w14:textId="29C64150" w:rsidR="004E7A14" w:rsidRDefault="004E7A14" w:rsidP="004E7A1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6721415" w14:textId="4A605074" w:rsidR="004E7A14" w:rsidRDefault="004E7A14" w:rsidP="004E7A14">
            <w:pPr>
              <w:jc w:val="right"/>
              <w:rPr>
                <w:color w:val="000000"/>
                <w:sz w:val="20"/>
                <w:szCs w:val="20"/>
              </w:rPr>
            </w:pPr>
            <w:r>
              <w:rPr>
                <w:color w:val="000000"/>
                <w:sz w:val="20"/>
                <w:szCs w:val="20"/>
              </w:rPr>
              <w:t>0.810</w:t>
            </w:r>
          </w:p>
        </w:tc>
        <w:tc>
          <w:tcPr>
            <w:tcW w:w="768" w:type="dxa"/>
            <w:tcBorders>
              <w:top w:val="nil"/>
              <w:left w:val="nil"/>
              <w:bottom w:val="nil"/>
              <w:right w:val="nil"/>
            </w:tcBorders>
            <w:shd w:val="clear" w:color="auto" w:fill="auto"/>
            <w:noWrap/>
            <w:vAlign w:val="bottom"/>
            <w:hideMark/>
          </w:tcPr>
          <w:p w14:paraId="417953CD" w14:textId="25564E8F" w:rsidR="004E7A14" w:rsidRDefault="004E7A14" w:rsidP="004E7A14">
            <w:pPr>
              <w:jc w:val="right"/>
              <w:rPr>
                <w:color w:val="000000"/>
                <w:sz w:val="20"/>
                <w:szCs w:val="20"/>
              </w:rPr>
            </w:pPr>
            <w:r>
              <w:rPr>
                <w:color w:val="000000"/>
                <w:sz w:val="20"/>
                <w:szCs w:val="20"/>
              </w:rPr>
              <w:t>0.000</w:t>
            </w:r>
          </w:p>
        </w:tc>
      </w:tr>
      <w:tr w:rsidR="004E7A14" w14:paraId="3F4A3FA4" w14:textId="77777777" w:rsidTr="002F1817">
        <w:trPr>
          <w:trHeight w:val="340"/>
        </w:trPr>
        <w:tc>
          <w:tcPr>
            <w:tcW w:w="1176" w:type="dxa"/>
            <w:tcBorders>
              <w:top w:val="nil"/>
              <w:left w:val="nil"/>
              <w:bottom w:val="single" w:sz="12" w:space="0" w:color="auto"/>
              <w:right w:val="nil"/>
            </w:tcBorders>
            <w:shd w:val="clear" w:color="auto" w:fill="auto"/>
            <w:noWrap/>
            <w:vAlign w:val="bottom"/>
            <w:hideMark/>
          </w:tcPr>
          <w:p w14:paraId="5B584A41" w14:textId="77777777" w:rsidR="004E7A14" w:rsidRDefault="004E7A14" w:rsidP="004E7A14">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65259925" w14:textId="77777777" w:rsidR="004E7A14" w:rsidRDefault="004E7A14" w:rsidP="004E7A14">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6E71121B" w14:textId="4776A092" w:rsidR="004E7A14" w:rsidRDefault="004E7A14" w:rsidP="004E7A14">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02D084B5" w14:textId="31189F7A" w:rsidR="004E7A14" w:rsidRDefault="004E7A14" w:rsidP="004E7A14">
            <w:pPr>
              <w:jc w:val="right"/>
              <w:rPr>
                <w:color w:val="000000"/>
                <w:sz w:val="20"/>
                <w:szCs w:val="20"/>
              </w:rPr>
            </w:pPr>
            <w:r>
              <w:rPr>
                <w:color w:val="000000"/>
                <w:sz w:val="20"/>
                <w:szCs w:val="20"/>
              </w:rPr>
              <w:t>0.920</w:t>
            </w:r>
          </w:p>
        </w:tc>
        <w:tc>
          <w:tcPr>
            <w:tcW w:w="768" w:type="dxa"/>
            <w:tcBorders>
              <w:top w:val="nil"/>
              <w:left w:val="nil"/>
              <w:bottom w:val="single" w:sz="12" w:space="0" w:color="auto"/>
              <w:right w:val="nil"/>
            </w:tcBorders>
            <w:shd w:val="clear" w:color="auto" w:fill="auto"/>
            <w:noWrap/>
            <w:vAlign w:val="bottom"/>
            <w:hideMark/>
          </w:tcPr>
          <w:p w14:paraId="147FC0A4" w14:textId="6DE9F5CA"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40DFF7E" w14:textId="368C472C" w:rsidR="004E7A14" w:rsidRDefault="004E7A14" w:rsidP="004E7A14">
            <w:pPr>
              <w:jc w:val="right"/>
              <w:rPr>
                <w:b/>
                <w:bCs/>
                <w:color w:val="000000"/>
                <w:sz w:val="20"/>
                <w:szCs w:val="20"/>
              </w:rPr>
            </w:pPr>
            <w:r>
              <w:rPr>
                <w:b/>
                <w:bCs/>
                <w:color w:val="000000"/>
                <w:sz w:val="20"/>
                <w:szCs w:val="20"/>
              </w:rPr>
              <w:t>-0.062</w:t>
            </w:r>
          </w:p>
        </w:tc>
        <w:tc>
          <w:tcPr>
            <w:tcW w:w="768" w:type="dxa"/>
            <w:tcBorders>
              <w:top w:val="nil"/>
              <w:left w:val="nil"/>
              <w:bottom w:val="single" w:sz="12" w:space="0" w:color="auto"/>
              <w:right w:val="nil"/>
            </w:tcBorders>
            <w:shd w:val="clear" w:color="auto" w:fill="auto"/>
            <w:noWrap/>
            <w:vAlign w:val="bottom"/>
            <w:hideMark/>
          </w:tcPr>
          <w:p w14:paraId="280F39D3" w14:textId="310FE225" w:rsidR="004E7A14" w:rsidRDefault="004E7A14" w:rsidP="004E7A14">
            <w:pPr>
              <w:jc w:val="right"/>
              <w:rPr>
                <w:b/>
                <w:bCs/>
                <w:color w:val="000000"/>
                <w:sz w:val="20"/>
                <w:szCs w:val="20"/>
              </w:rPr>
            </w:pPr>
            <w:r>
              <w:rPr>
                <w:b/>
                <w:bCs/>
                <w:color w:val="000000"/>
                <w:sz w:val="20"/>
                <w:szCs w:val="20"/>
              </w:rPr>
              <w:t>0.032</w:t>
            </w:r>
          </w:p>
        </w:tc>
        <w:tc>
          <w:tcPr>
            <w:tcW w:w="768" w:type="dxa"/>
            <w:tcBorders>
              <w:top w:val="nil"/>
              <w:left w:val="nil"/>
              <w:bottom w:val="single" w:sz="12" w:space="0" w:color="auto"/>
              <w:right w:val="nil"/>
            </w:tcBorders>
            <w:shd w:val="clear" w:color="auto" w:fill="auto"/>
            <w:noWrap/>
            <w:vAlign w:val="bottom"/>
            <w:hideMark/>
          </w:tcPr>
          <w:p w14:paraId="6B2A1E34" w14:textId="08112A9A" w:rsidR="004E7A14" w:rsidRDefault="004E7A14" w:rsidP="004E7A14">
            <w:pPr>
              <w:jc w:val="right"/>
              <w:rPr>
                <w:color w:val="000000"/>
                <w:sz w:val="20"/>
                <w:szCs w:val="20"/>
              </w:rPr>
            </w:pPr>
            <w:r>
              <w:rPr>
                <w:b/>
                <w:bCs/>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49D5A6D4" w14:textId="1CC6758F" w:rsidR="004E7A14" w:rsidRDefault="004E7A14" w:rsidP="004E7A14">
            <w:pPr>
              <w:jc w:val="right"/>
              <w:rPr>
                <w:color w:val="000000"/>
                <w:sz w:val="20"/>
                <w:szCs w:val="20"/>
              </w:rPr>
            </w:pPr>
            <w:r>
              <w:rPr>
                <w:color w:val="000000"/>
                <w:sz w:val="20"/>
                <w:szCs w:val="20"/>
              </w:rPr>
              <w:t>0.033</w:t>
            </w:r>
          </w:p>
        </w:tc>
        <w:tc>
          <w:tcPr>
            <w:tcW w:w="768" w:type="dxa"/>
            <w:tcBorders>
              <w:top w:val="nil"/>
              <w:left w:val="nil"/>
              <w:bottom w:val="single" w:sz="12" w:space="0" w:color="auto"/>
              <w:right w:val="nil"/>
            </w:tcBorders>
            <w:shd w:val="clear" w:color="auto" w:fill="auto"/>
            <w:noWrap/>
            <w:vAlign w:val="bottom"/>
            <w:hideMark/>
          </w:tcPr>
          <w:p w14:paraId="246DE943" w14:textId="6E87E22C" w:rsidR="004E7A14" w:rsidRDefault="004E7A14" w:rsidP="004E7A14">
            <w:pPr>
              <w:jc w:val="right"/>
              <w:rPr>
                <w:color w:val="000000"/>
                <w:sz w:val="20"/>
                <w:szCs w:val="20"/>
              </w:rPr>
            </w:pPr>
            <w:r>
              <w:rPr>
                <w:color w:val="000000"/>
                <w:sz w:val="20"/>
                <w:szCs w:val="20"/>
              </w:rPr>
              <w:t>0.238</w:t>
            </w:r>
          </w:p>
        </w:tc>
        <w:tc>
          <w:tcPr>
            <w:tcW w:w="768" w:type="dxa"/>
            <w:tcBorders>
              <w:top w:val="nil"/>
              <w:left w:val="nil"/>
              <w:bottom w:val="single" w:sz="12" w:space="0" w:color="auto"/>
              <w:right w:val="nil"/>
            </w:tcBorders>
            <w:shd w:val="clear" w:color="auto" w:fill="auto"/>
            <w:noWrap/>
            <w:vAlign w:val="bottom"/>
            <w:hideMark/>
          </w:tcPr>
          <w:p w14:paraId="279A6571" w14:textId="10CE5E76" w:rsidR="004E7A14" w:rsidRDefault="004E7A14" w:rsidP="004E7A14">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69325912" w14:textId="2ACC3F39" w:rsidR="004E7A14" w:rsidRDefault="004E7A14" w:rsidP="004E7A14">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4B8FEA25" w14:textId="033567D5" w:rsidR="004E7A14" w:rsidRDefault="004E7A14" w:rsidP="004E7A14">
            <w:pPr>
              <w:jc w:val="right"/>
              <w:rPr>
                <w:color w:val="000000"/>
                <w:sz w:val="20"/>
                <w:szCs w:val="20"/>
              </w:rPr>
            </w:pPr>
            <w:r>
              <w:rPr>
                <w:color w:val="000000"/>
                <w:sz w:val="20"/>
                <w:szCs w:val="20"/>
              </w:rPr>
              <w:t>0.903</w:t>
            </w:r>
          </w:p>
        </w:tc>
        <w:tc>
          <w:tcPr>
            <w:tcW w:w="768" w:type="dxa"/>
            <w:tcBorders>
              <w:top w:val="nil"/>
              <w:left w:val="nil"/>
              <w:bottom w:val="single" w:sz="12" w:space="0" w:color="auto"/>
              <w:right w:val="nil"/>
            </w:tcBorders>
            <w:shd w:val="clear" w:color="auto" w:fill="auto"/>
            <w:noWrap/>
            <w:vAlign w:val="bottom"/>
            <w:hideMark/>
          </w:tcPr>
          <w:p w14:paraId="6B1668C7" w14:textId="621287C9" w:rsidR="004E7A14" w:rsidRDefault="004E7A14" w:rsidP="004E7A14">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5BE843E" w14:textId="46688BB3" w:rsidR="004E7A14" w:rsidRDefault="004E7A14" w:rsidP="004E7A14">
            <w:pPr>
              <w:jc w:val="right"/>
              <w:rPr>
                <w:color w:val="000000"/>
                <w:sz w:val="20"/>
                <w:szCs w:val="20"/>
              </w:rPr>
            </w:pPr>
            <w:r>
              <w:rPr>
                <w:color w:val="000000"/>
                <w:sz w:val="20"/>
                <w:szCs w:val="20"/>
              </w:rPr>
              <w:t>0.036</w:t>
            </w:r>
          </w:p>
        </w:tc>
        <w:tc>
          <w:tcPr>
            <w:tcW w:w="768" w:type="dxa"/>
            <w:tcBorders>
              <w:top w:val="nil"/>
              <w:left w:val="nil"/>
              <w:bottom w:val="single" w:sz="12" w:space="0" w:color="auto"/>
              <w:right w:val="nil"/>
            </w:tcBorders>
            <w:shd w:val="clear" w:color="auto" w:fill="auto"/>
            <w:noWrap/>
            <w:vAlign w:val="bottom"/>
            <w:hideMark/>
          </w:tcPr>
          <w:p w14:paraId="08E4125F" w14:textId="082431B4" w:rsidR="004E7A14" w:rsidRDefault="004E7A14" w:rsidP="004E7A14">
            <w:pPr>
              <w:jc w:val="right"/>
              <w:rPr>
                <w:color w:val="000000"/>
                <w:sz w:val="20"/>
                <w:szCs w:val="20"/>
              </w:rPr>
            </w:pPr>
            <w:r>
              <w:rPr>
                <w:color w:val="000000"/>
                <w:sz w:val="20"/>
                <w:szCs w:val="20"/>
              </w:rPr>
              <w:t>0.629</w:t>
            </w:r>
          </w:p>
        </w:tc>
        <w:tc>
          <w:tcPr>
            <w:tcW w:w="768" w:type="dxa"/>
            <w:tcBorders>
              <w:top w:val="nil"/>
              <w:left w:val="nil"/>
              <w:bottom w:val="single" w:sz="12" w:space="0" w:color="auto"/>
              <w:right w:val="nil"/>
            </w:tcBorders>
            <w:shd w:val="clear" w:color="auto" w:fill="auto"/>
            <w:noWrap/>
            <w:vAlign w:val="bottom"/>
            <w:hideMark/>
          </w:tcPr>
          <w:p w14:paraId="30A183CE" w14:textId="079A4C9E" w:rsidR="004E7A14" w:rsidRDefault="004E7A14" w:rsidP="004E7A14">
            <w:pPr>
              <w:jc w:val="right"/>
              <w:rPr>
                <w:color w:val="000000"/>
                <w:sz w:val="20"/>
                <w:szCs w:val="20"/>
              </w:rPr>
            </w:pPr>
            <w:r>
              <w:rPr>
                <w:color w:val="000000"/>
                <w:sz w:val="20"/>
                <w:szCs w:val="20"/>
              </w:rPr>
              <w:t>0.001</w:t>
            </w:r>
          </w:p>
        </w:tc>
      </w:tr>
      <w:tr w:rsidR="002F1817" w14:paraId="121E2EB4" w14:textId="77777777" w:rsidTr="002F1817">
        <w:trPr>
          <w:trHeight w:val="320"/>
        </w:trPr>
        <w:tc>
          <w:tcPr>
            <w:tcW w:w="1176" w:type="dxa"/>
            <w:tcBorders>
              <w:top w:val="single" w:sz="12" w:space="0" w:color="auto"/>
              <w:left w:val="nil"/>
              <w:bottom w:val="nil"/>
              <w:right w:val="nil"/>
            </w:tcBorders>
            <w:shd w:val="clear" w:color="auto" w:fill="auto"/>
            <w:noWrap/>
            <w:vAlign w:val="bottom"/>
            <w:hideMark/>
          </w:tcPr>
          <w:p w14:paraId="1E784D33" w14:textId="77777777" w:rsidR="002F1817" w:rsidRDefault="002F1817">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0836501C" w14:textId="77777777" w:rsidR="002F1817" w:rsidRDefault="002F1817">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26ABE697"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BB9ECF9"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6C4D630"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859BF17"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6048C0E"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77DBF7E"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E280668"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08AC87C"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739E489"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3012B0B"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EDD2595"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4F77DC7"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5A0FB0F"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BCC3807" w14:textId="77777777" w:rsidR="002F1817" w:rsidRDefault="002F181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48E4C9E" w14:textId="77777777" w:rsidR="002F1817" w:rsidRDefault="002F1817">
            <w:pPr>
              <w:rPr>
                <w:sz w:val="20"/>
                <w:szCs w:val="20"/>
              </w:rPr>
            </w:pPr>
          </w:p>
        </w:tc>
      </w:tr>
    </w:tbl>
    <w:p w14:paraId="1FC44F99" w14:textId="5758E925" w:rsidR="000A61F2" w:rsidRDefault="000A61F2" w:rsidP="00BA3AF4">
      <w:pPr>
        <w:spacing w:line="480" w:lineRule="auto"/>
      </w:pPr>
    </w:p>
    <w:p w14:paraId="3D13EE66" w14:textId="26D3687C" w:rsidR="000604B1" w:rsidRPr="009E2A20" w:rsidRDefault="000A61F2" w:rsidP="000604B1">
      <w:pPr>
        <w:pStyle w:val="Heading1"/>
        <w:rPr>
          <w:rFonts w:ascii="Times New Roman" w:hAnsi="Times New Roman" w:cs="Times New Roman"/>
          <w:color w:val="000000" w:themeColor="text1"/>
          <w:sz w:val="24"/>
          <w:szCs w:val="24"/>
        </w:rPr>
      </w:pPr>
      <w:r>
        <w:br w:type="page"/>
      </w:r>
      <w:bookmarkStart w:id="18" w:name="_Toc155817685"/>
      <w:r w:rsidR="000604B1">
        <w:rPr>
          <w:rFonts w:ascii="Times New Roman" w:hAnsi="Times New Roman" w:cs="Times New Roman"/>
          <w:b/>
          <w:bCs/>
          <w:color w:val="000000" w:themeColor="text1"/>
          <w:sz w:val="24"/>
          <w:szCs w:val="24"/>
        </w:rPr>
        <w:lastRenderedPageBreak/>
        <w:t>Table 4a</w:t>
      </w:r>
      <w:r w:rsidR="000604B1" w:rsidRPr="009E2A20">
        <w:rPr>
          <w:rFonts w:ascii="Times New Roman" w:hAnsi="Times New Roman" w:cs="Times New Roman"/>
          <w:b/>
          <w:bCs/>
          <w:color w:val="000000" w:themeColor="text1"/>
          <w:sz w:val="24"/>
          <w:szCs w:val="24"/>
        </w:rPr>
        <w:t xml:space="preserve">. </w:t>
      </w:r>
      <w:r w:rsidR="000604B1" w:rsidRPr="009E2A20">
        <w:rPr>
          <w:rFonts w:ascii="Times New Roman" w:hAnsi="Times New Roman" w:cs="Times New Roman"/>
          <w:color w:val="000000" w:themeColor="text1"/>
          <w:sz w:val="24"/>
          <w:szCs w:val="24"/>
        </w:rPr>
        <w:t>Results examining the relationship between environmental stress factors obtained from bifactor modeling and Shen-268 network small world omega during rest</w:t>
      </w:r>
      <w:bookmarkEnd w:id="18"/>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0604B1" w14:paraId="1C467226"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40AD8809" w14:textId="77777777" w:rsidR="000604B1" w:rsidRDefault="000604B1"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5C4897F6" w14:textId="77777777" w:rsidR="000604B1" w:rsidRDefault="000604B1"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67FA9846" w14:textId="77777777" w:rsidR="000604B1" w:rsidRDefault="000604B1"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13B0A274"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A54FAA1"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91FDF10"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6BD23EE"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118475D"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B7695D2"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F5E8DBB"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96FFCE6"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845E5B7"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C8A4F02"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105DC09"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8D73D15"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44F1330"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89FF9FF" w14:textId="77777777" w:rsidR="000604B1" w:rsidRDefault="000604B1" w:rsidP="005A3B4D">
            <w:pPr>
              <w:rPr>
                <w:sz w:val="20"/>
                <w:szCs w:val="20"/>
              </w:rPr>
            </w:pPr>
          </w:p>
        </w:tc>
      </w:tr>
      <w:tr w:rsidR="000604B1" w14:paraId="640FBD0C"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5595CC5B" w14:textId="77777777" w:rsidR="000604B1" w:rsidRDefault="000604B1"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6ECDB3DF" w14:textId="77777777" w:rsidR="000604B1" w:rsidRDefault="000604B1"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647A52AB" w14:textId="77777777" w:rsidR="000604B1" w:rsidRDefault="000604B1"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3C25040" w14:textId="77777777" w:rsidR="000604B1" w:rsidRDefault="000604B1"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08D70D5" w14:textId="77777777" w:rsidR="000604B1" w:rsidRDefault="000604B1"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D2E5D18" w14:textId="77777777" w:rsidR="000604B1" w:rsidRDefault="000604B1" w:rsidP="005A3B4D">
            <w:pPr>
              <w:jc w:val="center"/>
              <w:rPr>
                <w:color w:val="000000"/>
                <w:sz w:val="20"/>
                <w:szCs w:val="20"/>
              </w:rPr>
            </w:pPr>
            <w:r>
              <w:rPr>
                <w:color w:val="000000"/>
                <w:sz w:val="20"/>
                <w:szCs w:val="20"/>
              </w:rPr>
              <w:t>Neighborhood SES Deprivation</w:t>
            </w:r>
          </w:p>
        </w:tc>
        <w:tc>
          <w:tcPr>
            <w:tcW w:w="2304" w:type="dxa"/>
            <w:gridSpan w:val="3"/>
            <w:tcBorders>
              <w:top w:val="single" w:sz="8" w:space="0" w:color="auto"/>
              <w:left w:val="nil"/>
              <w:bottom w:val="single" w:sz="12" w:space="0" w:color="auto"/>
              <w:right w:val="nil"/>
            </w:tcBorders>
            <w:shd w:val="clear" w:color="auto" w:fill="auto"/>
            <w:noWrap/>
            <w:vAlign w:val="center"/>
            <w:hideMark/>
          </w:tcPr>
          <w:p w14:paraId="16B620A9" w14:textId="77777777" w:rsidR="000604B1" w:rsidRDefault="000604B1" w:rsidP="005A3B4D">
            <w:pPr>
              <w:jc w:val="center"/>
              <w:rPr>
                <w:color w:val="000000"/>
                <w:sz w:val="20"/>
                <w:szCs w:val="20"/>
              </w:rPr>
            </w:pPr>
            <w:r>
              <w:rPr>
                <w:color w:val="000000"/>
                <w:sz w:val="20"/>
                <w:szCs w:val="20"/>
              </w:rPr>
              <w:t>Urbanicity</w:t>
            </w:r>
          </w:p>
        </w:tc>
      </w:tr>
      <w:tr w:rsidR="000604B1" w14:paraId="52120B4D"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4AD46467" w14:textId="77777777" w:rsidR="000604B1" w:rsidRDefault="000604B1"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511CA499" w14:textId="77777777" w:rsidR="000604B1" w:rsidRDefault="000604B1"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52E371F9" w14:textId="77777777" w:rsidR="000604B1" w:rsidRDefault="000604B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A9848FA" w14:textId="77777777" w:rsidR="000604B1" w:rsidRDefault="000604B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F3491C3" w14:textId="77777777" w:rsidR="000604B1" w:rsidRDefault="000604B1" w:rsidP="005A3B4D">
            <w:pPr>
              <w:jc w:val="center"/>
              <w:rPr>
                <w:i/>
                <w:iCs/>
                <w:color w:val="000000"/>
                <w:sz w:val="20"/>
                <w:szCs w:val="20"/>
              </w:rPr>
            </w:pPr>
            <w:r>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EC8B1E4" w14:textId="77777777" w:rsidR="000604B1" w:rsidRDefault="000604B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45D5FAE" w14:textId="77777777" w:rsidR="000604B1" w:rsidRDefault="000604B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D2C669D" w14:textId="77777777" w:rsidR="000604B1" w:rsidRDefault="000604B1" w:rsidP="005A3B4D">
            <w:pPr>
              <w:jc w:val="center"/>
              <w:rPr>
                <w:i/>
                <w:iCs/>
                <w:color w:val="000000"/>
                <w:sz w:val="20"/>
                <w:szCs w:val="20"/>
              </w:rPr>
            </w:pPr>
            <w:r>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B6944B0" w14:textId="77777777" w:rsidR="000604B1" w:rsidRDefault="000604B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07D01DC" w14:textId="77777777" w:rsidR="000604B1" w:rsidRDefault="000604B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6BD1A4D" w14:textId="77777777" w:rsidR="000604B1" w:rsidRDefault="000604B1" w:rsidP="005A3B4D">
            <w:pPr>
              <w:jc w:val="center"/>
              <w:rPr>
                <w:i/>
                <w:iCs/>
                <w:color w:val="000000"/>
                <w:sz w:val="20"/>
                <w:szCs w:val="20"/>
              </w:rPr>
            </w:pPr>
            <w:r>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FA703D1" w14:textId="77777777" w:rsidR="000604B1" w:rsidRDefault="000604B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54A4EE7" w14:textId="77777777" w:rsidR="000604B1" w:rsidRDefault="000604B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EC1D5ED" w14:textId="77777777" w:rsidR="000604B1" w:rsidRDefault="000604B1" w:rsidP="005A3B4D">
            <w:pPr>
              <w:jc w:val="center"/>
              <w:rPr>
                <w:i/>
                <w:iCs/>
                <w:color w:val="000000"/>
                <w:sz w:val="20"/>
                <w:szCs w:val="20"/>
              </w:rPr>
            </w:pPr>
            <w:r>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D38AF0E" w14:textId="77777777" w:rsidR="000604B1" w:rsidRDefault="000604B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2A06A47" w14:textId="77777777" w:rsidR="000604B1" w:rsidRDefault="000604B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F19F67D" w14:textId="77777777" w:rsidR="000604B1" w:rsidRDefault="000604B1" w:rsidP="005A3B4D">
            <w:pPr>
              <w:jc w:val="center"/>
              <w:rPr>
                <w:i/>
                <w:iCs/>
                <w:color w:val="000000"/>
                <w:sz w:val="20"/>
                <w:szCs w:val="20"/>
              </w:rPr>
            </w:pPr>
            <w:r>
              <w:rPr>
                <w:i/>
                <w:iCs/>
                <w:color w:val="000000"/>
                <w:sz w:val="20"/>
                <w:szCs w:val="20"/>
              </w:rPr>
              <w:t>R</w:t>
            </w:r>
            <w:r w:rsidRPr="00EF4A1A">
              <w:rPr>
                <w:i/>
                <w:iCs/>
                <w:color w:val="000000"/>
                <w:sz w:val="20"/>
                <w:szCs w:val="20"/>
                <w:vertAlign w:val="superscript"/>
              </w:rPr>
              <w:t>2</w:t>
            </w:r>
          </w:p>
        </w:tc>
      </w:tr>
      <w:tr w:rsidR="000604B1" w14:paraId="058D1A6E"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19486669" w14:textId="77777777" w:rsidR="000604B1" w:rsidRDefault="000604B1"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098D9108" w14:textId="77777777" w:rsidR="000604B1" w:rsidRDefault="000604B1"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17018CF1" w14:textId="77777777" w:rsidR="000604B1" w:rsidRDefault="000604B1" w:rsidP="005A3B4D">
            <w:pPr>
              <w:jc w:val="right"/>
              <w:rPr>
                <w:color w:val="000000"/>
                <w:sz w:val="20"/>
                <w:szCs w:val="20"/>
              </w:rPr>
            </w:pPr>
            <w:r>
              <w:rPr>
                <w:color w:val="000000"/>
                <w:sz w:val="20"/>
                <w:szCs w:val="20"/>
              </w:rPr>
              <w:t>-0.009</w:t>
            </w:r>
          </w:p>
        </w:tc>
        <w:tc>
          <w:tcPr>
            <w:tcW w:w="768" w:type="dxa"/>
            <w:tcBorders>
              <w:top w:val="single" w:sz="12" w:space="0" w:color="auto"/>
              <w:left w:val="nil"/>
              <w:bottom w:val="nil"/>
              <w:right w:val="nil"/>
            </w:tcBorders>
            <w:shd w:val="clear" w:color="auto" w:fill="auto"/>
            <w:noWrap/>
            <w:vAlign w:val="bottom"/>
            <w:hideMark/>
          </w:tcPr>
          <w:p w14:paraId="3188B366" w14:textId="77777777" w:rsidR="000604B1" w:rsidRDefault="000604B1" w:rsidP="005A3B4D">
            <w:pPr>
              <w:jc w:val="right"/>
              <w:rPr>
                <w:color w:val="000000"/>
                <w:sz w:val="20"/>
                <w:szCs w:val="20"/>
              </w:rPr>
            </w:pPr>
            <w:r>
              <w:rPr>
                <w:color w:val="000000"/>
                <w:sz w:val="20"/>
                <w:szCs w:val="20"/>
              </w:rPr>
              <w:t>0.758</w:t>
            </w:r>
          </w:p>
        </w:tc>
        <w:tc>
          <w:tcPr>
            <w:tcW w:w="768" w:type="dxa"/>
            <w:tcBorders>
              <w:top w:val="single" w:sz="12" w:space="0" w:color="auto"/>
              <w:left w:val="nil"/>
              <w:bottom w:val="nil"/>
              <w:right w:val="nil"/>
            </w:tcBorders>
            <w:shd w:val="clear" w:color="auto" w:fill="auto"/>
            <w:noWrap/>
            <w:vAlign w:val="bottom"/>
            <w:hideMark/>
          </w:tcPr>
          <w:p w14:paraId="64570C38" w14:textId="77777777" w:rsidR="000604B1" w:rsidRDefault="000604B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A7CBB13" w14:textId="77777777" w:rsidR="000604B1" w:rsidRDefault="000604B1" w:rsidP="005A3B4D">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1E21B5F9" w14:textId="77777777" w:rsidR="000604B1" w:rsidRDefault="000604B1" w:rsidP="005A3B4D">
            <w:pPr>
              <w:jc w:val="right"/>
              <w:rPr>
                <w:color w:val="000000"/>
                <w:sz w:val="20"/>
                <w:szCs w:val="20"/>
              </w:rPr>
            </w:pPr>
            <w:r>
              <w:rPr>
                <w:color w:val="000000"/>
                <w:sz w:val="20"/>
                <w:szCs w:val="20"/>
              </w:rPr>
              <w:t>0.921</w:t>
            </w:r>
          </w:p>
        </w:tc>
        <w:tc>
          <w:tcPr>
            <w:tcW w:w="768" w:type="dxa"/>
            <w:tcBorders>
              <w:top w:val="single" w:sz="12" w:space="0" w:color="auto"/>
              <w:left w:val="nil"/>
              <w:bottom w:val="nil"/>
              <w:right w:val="nil"/>
            </w:tcBorders>
            <w:shd w:val="clear" w:color="auto" w:fill="auto"/>
            <w:noWrap/>
            <w:vAlign w:val="bottom"/>
            <w:hideMark/>
          </w:tcPr>
          <w:p w14:paraId="0E4EE4DB" w14:textId="77777777" w:rsidR="000604B1" w:rsidRDefault="000604B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3AE5F68" w14:textId="77777777" w:rsidR="000604B1" w:rsidRDefault="000604B1" w:rsidP="005A3B4D">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538ED4F3" w14:textId="77777777" w:rsidR="000604B1" w:rsidRDefault="000604B1" w:rsidP="005A3B4D">
            <w:pPr>
              <w:jc w:val="right"/>
              <w:rPr>
                <w:color w:val="000000"/>
                <w:sz w:val="20"/>
                <w:szCs w:val="20"/>
              </w:rPr>
            </w:pPr>
            <w:r>
              <w:rPr>
                <w:color w:val="000000"/>
                <w:sz w:val="20"/>
                <w:szCs w:val="20"/>
              </w:rPr>
              <w:t>0.544</w:t>
            </w:r>
          </w:p>
        </w:tc>
        <w:tc>
          <w:tcPr>
            <w:tcW w:w="768" w:type="dxa"/>
            <w:tcBorders>
              <w:top w:val="single" w:sz="12" w:space="0" w:color="auto"/>
              <w:left w:val="nil"/>
              <w:bottom w:val="nil"/>
              <w:right w:val="nil"/>
            </w:tcBorders>
            <w:shd w:val="clear" w:color="auto" w:fill="auto"/>
            <w:noWrap/>
            <w:vAlign w:val="bottom"/>
            <w:hideMark/>
          </w:tcPr>
          <w:p w14:paraId="298C42A6" w14:textId="77777777" w:rsidR="000604B1" w:rsidRDefault="000604B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4E5A204" w14:textId="77777777" w:rsidR="000604B1" w:rsidRDefault="000604B1" w:rsidP="005A3B4D">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78852068" w14:textId="77777777" w:rsidR="000604B1" w:rsidRDefault="000604B1" w:rsidP="005A3B4D">
            <w:pPr>
              <w:jc w:val="right"/>
              <w:rPr>
                <w:color w:val="000000"/>
                <w:sz w:val="20"/>
                <w:szCs w:val="20"/>
              </w:rPr>
            </w:pPr>
            <w:r>
              <w:rPr>
                <w:color w:val="000000"/>
                <w:sz w:val="20"/>
                <w:szCs w:val="20"/>
              </w:rPr>
              <w:t>0.901</w:t>
            </w:r>
          </w:p>
        </w:tc>
        <w:tc>
          <w:tcPr>
            <w:tcW w:w="768" w:type="dxa"/>
            <w:tcBorders>
              <w:top w:val="single" w:sz="12" w:space="0" w:color="auto"/>
              <w:left w:val="nil"/>
              <w:bottom w:val="nil"/>
              <w:right w:val="nil"/>
            </w:tcBorders>
            <w:shd w:val="clear" w:color="auto" w:fill="auto"/>
            <w:noWrap/>
            <w:vAlign w:val="bottom"/>
            <w:hideMark/>
          </w:tcPr>
          <w:p w14:paraId="26393563" w14:textId="77777777" w:rsidR="000604B1" w:rsidRDefault="000604B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BC1D753" w14:textId="77777777" w:rsidR="000604B1" w:rsidRDefault="000604B1" w:rsidP="005A3B4D">
            <w:pPr>
              <w:jc w:val="right"/>
              <w:rPr>
                <w:color w:val="000000"/>
                <w:sz w:val="20"/>
                <w:szCs w:val="20"/>
              </w:rPr>
            </w:pPr>
            <w:r>
              <w:rPr>
                <w:color w:val="000000"/>
                <w:sz w:val="20"/>
                <w:szCs w:val="20"/>
              </w:rPr>
              <w:t>0.019</w:t>
            </w:r>
          </w:p>
        </w:tc>
        <w:tc>
          <w:tcPr>
            <w:tcW w:w="768" w:type="dxa"/>
            <w:tcBorders>
              <w:top w:val="single" w:sz="12" w:space="0" w:color="auto"/>
              <w:left w:val="nil"/>
              <w:bottom w:val="nil"/>
              <w:right w:val="nil"/>
            </w:tcBorders>
            <w:shd w:val="clear" w:color="auto" w:fill="auto"/>
            <w:noWrap/>
            <w:vAlign w:val="bottom"/>
            <w:hideMark/>
          </w:tcPr>
          <w:p w14:paraId="566E8C7A" w14:textId="77777777" w:rsidR="000604B1" w:rsidRDefault="000604B1" w:rsidP="005A3B4D">
            <w:pPr>
              <w:jc w:val="right"/>
              <w:rPr>
                <w:color w:val="000000"/>
                <w:sz w:val="20"/>
                <w:szCs w:val="20"/>
              </w:rPr>
            </w:pPr>
            <w:r>
              <w:rPr>
                <w:color w:val="000000"/>
                <w:sz w:val="20"/>
                <w:szCs w:val="20"/>
              </w:rPr>
              <w:t>0.708</w:t>
            </w:r>
          </w:p>
        </w:tc>
        <w:tc>
          <w:tcPr>
            <w:tcW w:w="768" w:type="dxa"/>
            <w:tcBorders>
              <w:top w:val="single" w:sz="12" w:space="0" w:color="auto"/>
              <w:left w:val="nil"/>
              <w:bottom w:val="nil"/>
              <w:right w:val="nil"/>
            </w:tcBorders>
            <w:shd w:val="clear" w:color="auto" w:fill="auto"/>
            <w:noWrap/>
            <w:vAlign w:val="bottom"/>
            <w:hideMark/>
          </w:tcPr>
          <w:p w14:paraId="6A1011F0" w14:textId="77777777" w:rsidR="000604B1" w:rsidRDefault="000604B1" w:rsidP="005A3B4D">
            <w:pPr>
              <w:jc w:val="right"/>
              <w:rPr>
                <w:color w:val="000000"/>
                <w:sz w:val="20"/>
                <w:szCs w:val="20"/>
              </w:rPr>
            </w:pPr>
            <w:r>
              <w:rPr>
                <w:color w:val="000000"/>
                <w:sz w:val="20"/>
                <w:szCs w:val="20"/>
              </w:rPr>
              <w:t>0.000</w:t>
            </w:r>
          </w:p>
        </w:tc>
      </w:tr>
      <w:tr w:rsidR="000604B1" w14:paraId="7344950D" w14:textId="77777777" w:rsidTr="005A3B4D">
        <w:trPr>
          <w:trHeight w:val="340"/>
        </w:trPr>
        <w:tc>
          <w:tcPr>
            <w:tcW w:w="1176" w:type="dxa"/>
            <w:tcBorders>
              <w:top w:val="nil"/>
              <w:left w:val="nil"/>
              <w:bottom w:val="nil"/>
              <w:right w:val="nil"/>
            </w:tcBorders>
            <w:shd w:val="clear" w:color="auto" w:fill="auto"/>
            <w:noWrap/>
            <w:vAlign w:val="bottom"/>
            <w:hideMark/>
          </w:tcPr>
          <w:p w14:paraId="113B9334"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8AEFEF" w14:textId="77777777" w:rsidR="000604B1" w:rsidRDefault="000604B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E236696" w14:textId="77777777" w:rsidR="000604B1" w:rsidRDefault="000604B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F235C44" w14:textId="77777777" w:rsidR="000604B1" w:rsidRDefault="000604B1" w:rsidP="005A3B4D">
            <w:pPr>
              <w:jc w:val="right"/>
              <w:rPr>
                <w:color w:val="000000"/>
                <w:sz w:val="20"/>
                <w:szCs w:val="20"/>
              </w:rPr>
            </w:pPr>
            <w:r>
              <w:rPr>
                <w:color w:val="000000"/>
                <w:sz w:val="20"/>
                <w:szCs w:val="20"/>
              </w:rPr>
              <w:t>0.758</w:t>
            </w:r>
          </w:p>
        </w:tc>
        <w:tc>
          <w:tcPr>
            <w:tcW w:w="768" w:type="dxa"/>
            <w:tcBorders>
              <w:top w:val="nil"/>
              <w:left w:val="nil"/>
              <w:bottom w:val="nil"/>
              <w:right w:val="nil"/>
            </w:tcBorders>
            <w:shd w:val="clear" w:color="auto" w:fill="auto"/>
            <w:noWrap/>
            <w:vAlign w:val="bottom"/>
            <w:hideMark/>
          </w:tcPr>
          <w:p w14:paraId="2A975307"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590179" w14:textId="77777777" w:rsidR="000604B1" w:rsidRDefault="000604B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139A2ED7" w14:textId="77777777" w:rsidR="000604B1" w:rsidRDefault="000604B1" w:rsidP="005A3B4D">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1D03A435"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FBF3E47" w14:textId="77777777" w:rsidR="000604B1" w:rsidRDefault="000604B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6C4E609" w14:textId="77777777" w:rsidR="000604B1" w:rsidRDefault="000604B1" w:rsidP="005A3B4D">
            <w:pPr>
              <w:jc w:val="right"/>
              <w:rPr>
                <w:color w:val="000000"/>
                <w:sz w:val="20"/>
                <w:szCs w:val="20"/>
              </w:rPr>
            </w:pPr>
            <w:r>
              <w:rPr>
                <w:color w:val="000000"/>
                <w:sz w:val="20"/>
                <w:szCs w:val="20"/>
              </w:rPr>
              <w:t>0.544</w:t>
            </w:r>
          </w:p>
        </w:tc>
        <w:tc>
          <w:tcPr>
            <w:tcW w:w="768" w:type="dxa"/>
            <w:tcBorders>
              <w:top w:val="nil"/>
              <w:left w:val="nil"/>
              <w:bottom w:val="nil"/>
              <w:right w:val="nil"/>
            </w:tcBorders>
            <w:shd w:val="clear" w:color="auto" w:fill="auto"/>
            <w:noWrap/>
            <w:vAlign w:val="bottom"/>
            <w:hideMark/>
          </w:tcPr>
          <w:p w14:paraId="5AB9C29B"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6B9E42"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2A31DAB" w14:textId="77777777" w:rsidR="000604B1" w:rsidRDefault="000604B1" w:rsidP="005A3B4D">
            <w:pPr>
              <w:jc w:val="right"/>
              <w:rPr>
                <w:color w:val="000000"/>
                <w:sz w:val="20"/>
                <w:szCs w:val="20"/>
              </w:rPr>
            </w:pPr>
            <w:r>
              <w:rPr>
                <w:color w:val="000000"/>
                <w:sz w:val="20"/>
                <w:szCs w:val="20"/>
              </w:rPr>
              <w:t>0.961</w:t>
            </w:r>
          </w:p>
        </w:tc>
        <w:tc>
          <w:tcPr>
            <w:tcW w:w="768" w:type="dxa"/>
            <w:tcBorders>
              <w:top w:val="nil"/>
              <w:left w:val="nil"/>
              <w:bottom w:val="nil"/>
              <w:right w:val="nil"/>
            </w:tcBorders>
            <w:shd w:val="clear" w:color="auto" w:fill="auto"/>
            <w:noWrap/>
            <w:vAlign w:val="bottom"/>
            <w:hideMark/>
          </w:tcPr>
          <w:p w14:paraId="76B62533"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BE0DF0" w14:textId="77777777" w:rsidR="000604B1" w:rsidRDefault="000604B1"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4A298621" w14:textId="77777777" w:rsidR="000604B1" w:rsidRDefault="000604B1"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360B86F1" w14:textId="77777777" w:rsidR="000604B1" w:rsidRDefault="000604B1" w:rsidP="005A3B4D">
            <w:pPr>
              <w:jc w:val="right"/>
              <w:rPr>
                <w:color w:val="000000"/>
                <w:sz w:val="20"/>
                <w:szCs w:val="20"/>
              </w:rPr>
            </w:pPr>
            <w:r>
              <w:rPr>
                <w:color w:val="000000"/>
                <w:sz w:val="20"/>
                <w:szCs w:val="20"/>
              </w:rPr>
              <w:t>0.001</w:t>
            </w:r>
          </w:p>
        </w:tc>
      </w:tr>
      <w:tr w:rsidR="000604B1" w14:paraId="1D74AA10" w14:textId="77777777" w:rsidTr="005A3B4D">
        <w:trPr>
          <w:trHeight w:val="320"/>
        </w:trPr>
        <w:tc>
          <w:tcPr>
            <w:tcW w:w="1176" w:type="dxa"/>
            <w:tcBorders>
              <w:top w:val="nil"/>
              <w:left w:val="nil"/>
              <w:bottom w:val="nil"/>
              <w:right w:val="nil"/>
            </w:tcBorders>
            <w:shd w:val="clear" w:color="auto" w:fill="auto"/>
            <w:noWrap/>
            <w:vAlign w:val="bottom"/>
            <w:hideMark/>
          </w:tcPr>
          <w:p w14:paraId="29171B32"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7B1039" w14:textId="77777777" w:rsidR="000604B1" w:rsidRDefault="000604B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A2A4A59" w14:textId="77777777" w:rsidR="000604B1" w:rsidRDefault="000604B1"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73732B0B" w14:textId="77777777" w:rsidR="000604B1" w:rsidRDefault="000604B1" w:rsidP="005A3B4D">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244748B9"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DBDA145" w14:textId="77777777" w:rsidR="000604B1" w:rsidRDefault="000604B1"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EE0B985" w14:textId="77777777" w:rsidR="000604B1" w:rsidRDefault="000604B1" w:rsidP="005A3B4D">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1E39FAE9"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15B7D16" w14:textId="77777777" w:rsidR="000604B1" w:rsidRDefault="000604B1"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1DDA7090" w14:textId="77777777" w:rsidR="000604B1" w:rsidRDefault="000604B1" w:rsidP="005A3B4D">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601D074C"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4ADD749" w14:textId="77777777" w:rsidR="000604B1" w:rsidRDefault="000604B1"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2C28DBD8" w14:textId="77777777" w:rsidR="000604B1" w:rsidRDefault="000604B1" w:rsidP="005A3B4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3686BC85"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9FB05FE" w14:textId="77777777" w:rsidR="000604B1" w:rsidRDefault="000604B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E21CCA5" w14:textId="77777777" w:rsidR="000604B1" w:rsidRDefault="000604B1"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51B4BAF2" w14:textId="77777777" w:rsidR="000604B1" w:rsidRDefault="000604B1" w:rsidP="005A3B4D">
            <w:pPr>
              <w:jc w:val="right"/>
              <w:rPr>
                <w:color w:val="000000"/>
                <w:sz w:val="20"/>
                <w:szCs w:val="20"/>
              </w:rPr>
            </w:pPr>
            <w:r>
              <w:rPr>
                <w:color w:val="000000"/>
                <w:sz w:val="20"/>
                <w:szCs w:val="20"/>
              </w:rPr>
              <w:t>0.001</w:t>
            </w:r>
          </w:p>
        </w:tc>
      </w:tr>
      <w:tr w:rsidR="000604B1" w14:paraId="5FE1EB75" w14:textId="77777777" w:rsidTr="005A3B4D">
        <w:trPr>
          <w:trHeight w:val="320"/>
        </w:trPr>
        <w:tc>
          <w:tcPr>
            <w:tcW w:w="1176" w:type="dxa"/>
            <w:tcBorders>
              <w:top w:val="nil"/>
              <w:left w:val="nil"/>
              <w:bottom w:val="nil"/>
              <w:right w:val="nil"/>
            </w:tcBorders>
            <w:shd w:val="clear" w:color="auto" w:fill="auto"/>
            <w:noWrap/>
            <w:vAlign w:val="bottom"/>
            <w:hideMark/>
          </w:tcPr>
          <w:p w14:paraId="1FACDA9E"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54B98B8" w14:textId="77777777" w:rsidR="000604B1" w:rsidRDefault="000604B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02EA2F7" w14:textId="77777777" w:rsidR="000604B1" w:rsidRDefault="000604B1"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182E8239" w14:textId="77777777" w:rsidR="000604B1" w:rsidRDefault="000604B1" w:rsidP="005A3B4D">
            <w:pPr>
              <w:jc w:val="right"/>
              <w:rPr>
                <w:color w:val="000000"/>
                <w:sz w:val="20"/>
                <w:szCs w:val="20"/>
              </w:rPr>
            </w:pPr>
            <w:r>
              <w:rPr>
                <w:color w:val="000000"/>
                <w:sz w:val="20"/>
                <w:szCs w:val="20"/>
              </w:rPr>
              <w:t>0.613</w:t>
            </w:r>
          </w:p>
        </w:tc>
        <w:tc>
          <w:tcPr>
            <w:tcW w:w="768" w:type="dxa"/>
            <w:tcBorders>
              <w:top w:val="nil"/>
              <w:left w:val="nil"/>
              <w:bottom w:val="nil"/>
              <w:right w:val="nil"/>
            </w:tcBorders>
            <w:shd w:val="clear" w:color="auto" w:fill="auto"/>
            <w:noWrap/>
            <w:vAlign w:val="bottom"/>
            <w:hideMark/>
          </w:tcPr>
          <w:p w14:paraId="4B4689CB"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C2104B8" w14:textId="77777777" w:rsidR="000604B1" w:rsidRDefault="000604B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9BF004D" w14:textId="77777777" w:rsidR="000604B1" w:rsidRDefault="000604B1" w:rsidP="005A3B4D">
            <w:pPr>
              <w:jc w:val="right"/>
              <w:rPr>
                <w:color w:val="000000"/>
                <w:sz w:val="20"/>
                <w:szCs w:val="20"/>
              </w:rPr>
            </w:pPr>
            <w:r>
              <w:rPr>
                <w:color w:val="000000"/>
                <w:sz w:val="20"/>
                <w:szCs w:val="20"/>
              </w:rPr>
              <w:t>0.921</w:t>
            </w:r>
          </w:p>
        </w:tc>
        <w:tc>
          <w:tcPr>
            <w:tcW w:w="768" w:type="dxa"/>
            <w:tcBorders>
              <w:top w:val="nil"/>
              <w:left w:val="nil"/>
              <w:bottom w:val="nil"/>
              <w:right w:val="nil"/>
            </w:tcBorders>
            <w:shd w:val="clear" w:color="auto" w:fill="auto"/>
            <w:noWrap/>
            <w:vAlign w:val="bottom"/>
            <w:hideMark/>
          </w:tcPr>
          <w:p w14:paraId="3F7B74B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3A9701" w14:textId="77777777" w:rsidR="000604B1" w:rsidRDefault="000604B1"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28BFF67A" w14:textId="77777777" w:rsidR="000604B1" w:rsidRDefault="000604B1" w:rsidP="005A3B4D">
            <w:pPr>
              <w:jc w:val="right"/>
              <w:rPr>
                <w:color w:val="000000"/>
                <w:sz w:val="20"/>
                <w:szCs w:val="20"/>
              </w:rPr>
            </w:pPr>
            <w:r>
              <w:rPr>
                <w:color w:val="000000"/>
                <w:sz w:val="20"/>
                <w:szCs w:val="20"/>
              </w:rPr>
              <w:t>0.544</w:t>
            </w:r>
          </w:p>
        </w:tc>
        <w:tc>
          <w:tcPr>
            <w:tcW w:w="768" w:type="dxa"/>
            <w:tcBorders>
              <w:top w:val="nil"/>
              <w:left w:val="nil"/>
              <w:bottom w:val="nil"/>
              <w:right w:val="nil"/>
            </w:tcBorders>
            <w:shd w:val="clear" w:color="auto" w:fill="auto"/>
            <w:noWrap/>
            <w:vAlign w:val="bottom"/>
            <w:hideMark/>
          </w:tcPr>
          <w:p w14:paraId="675F7C90"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53A7CC6" w14:textId="77777777" w:rsidR="000604B1" w:rsidRDefault="000604B1" w:rsidP="005A3B4D">
            <w:pPr>
              <w:jc w:val="right"/>
              <w:rPr>
                <w:color w:val="000000"/>
                <w:sz w:val="20"/>
                <w:szCs w:val="20"/>
              </w:rPr>
            </w:pPr>
            <w:r>
              <w:rPr>
                <w:color w:val="000000"/>
                <w:sz w:val="20"/>
                <w:szCs w:val="20"/>
              </w:rPr>
              <w:t>0.230</w:t>
            </w:r>
          </w:p>
        </w:tc>
        <w:tc>
          <w:tcPr>
            <w:tcW w:w="768" w:type="dxa"/>
            <w:tcBorders>
              <w:top w:val="nil"/>
              <w:left w:val="nil"/>
              <w:bottom w:val="nil"/>
              <w:right w:val="nil"/>
            </w:tcBorders>
            <w:shd w:val="clear" w:color="auto" w:fill="auto"/>
            <w:noWrap/>
            <w:vAlign w:val="bottom"/>
            <w:hideMark/>
          </w:tcPr>
          <w:p w14:paraId="3FD19750" w14:textId="77777777" w:rsidR="000604B1" w:rsidRDefault="000604B1"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6A6BAAB" w14:textId="77777777" w:rsidR="000604B1" w:rsidRDefault="000604B1"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25540D76" w14:textId="77777777" w:rsidR="000604B1" w:rsidRDefault="000604B1" w:rsidP="005A3B4D">
            <w:pPr>
              <w:jc w:val="right"/>
              <w:rPr>
                <w:color w:val="000000"/>
                <w:sz w:val="20"/>
                <w:szCs w:val="20"/>
              </w:rPr>
            </w:pPr>
            <w:r>
              <w:rPr>
                <w:color w:val="000000"/>
                <w:sz w:val="20"/>
                <w:szCs w:val="20"/>
              </w:rPr>
              <w:t>-0.140</w:t>
            </w:r>
          </w:p>
        </w:tc>
        <w:tc>
          <w:tcPr>
            <w:tcW w:w="768" w:type="dxa"/>
            <w:tcBorders>
              <w:top w:val="nil"/>
              <w:left w:val="nil"/>
              <w:bottom w:val="nil"/>
              <w:right w:val="nil"/>
            </w:tcBorders>
            <w:shd w:val="clear" w:color="auto" w:fill="auto"/>
            <w:noWrap/>
            <w:vAlign w:val="bottom"/>
            <w:hideMark/>
          </w:tcPr>
          <w:p w14:paraId="24952B74" w14:textId="77777777" w:rsidR="000604B1" w:rsidRDefault="000604B1" w:rsidP="005A3B4D">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09B0D4D7" w14:textId="77777777" w:rsidR="000604B1" w:rsidRDefault="000604B1" w:rsidP="005A3B4D">
            <w:pPr>
              <w:jc w:val="right"/>
              <w:rPr>
                <w:color w:val="000000"/>
                <w:sz w:val="20"/>
                <w:szCs w:val="20"/>
              </w:rPr>
            </w:pPr>
            <w:r>
              <w:rPr>
                <w:color w:val="000000"/>
                <w:sz w:val="20"/>
                <w:szCs w:val="20"/>
              </w:rPr>
              <w:t>0.020</w:t>
            </w:r>
          </w:p>
        </w:tc>
      </w:tr>
      <w:tr w:rsidR="000604B1" w14:paraId="1DE76C99" w14:textId="77777777" w:rsidTr="005A3B4D">
        <w:trPr>
          <w:trHeight w:val="320"/>
        </w:trPr>
        <w:tc>
          <w:tcPr>
            <w:tcW w:w="1176" w:type="dxa"/>
            <w:tcBorders>
              <w:top w:val="nil"/>
              <w:left w:val="nil"/>
              <w:bottom w:val="nil"/>
              <w:right w:val="nil"/>
            </w:tcBorders>
            <w:shd w:val="clear" w:color="auto" w:fill="auto"/>
            <w:noWrap/>
            <w:vAlign w:val="bottom"/>
            <w:hideMark/>
          </w:tcPr>
          <w:p w14:paraId="7912DFE9"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424E9E0" w14:textId="77777777" w:rsidR="000604B1" w:rsidRDefault="000604B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72D1681" w14:textId="77777777" w:rsidR="000604B1" w:rsidRDefault="000604B1" w:rsidP="005A3B4D">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17C554CB" w14:textId="77777777" w:rsidR="000604B1" w:rsidRDefault="000604B1" w:rsidP="005A3B4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0852A207"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51E9572" w14:textId="77777777" w:rsidR="000604B1" w:rsidRDefault="000604B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1582B60" w14:textId="77777777" w:rsidR="000604B1" w:rsidRDefault="000604B1" w:rsidP="005A3B4D">
            <w:pPr>
              <w:jc w:val="right"/>
              <w:rPr>
                <w:color w:val="000000"/>
                <w:sz w:val="20"/>
                <w:szCs w:val="20"/>
              </w:rPr>
            </w:pPr>
            <w:r>
              <w:rPr>
                <w:color w:val="000000"/>
                <w:sz w:val="20"/>
                <w:szCs w:val="20"/>
              </w:rPr>
              <w:t>0.921</w:t>
            </w:r>
          </w:p>
        </w:tc>
        <w:tc>
          <w:tcPr>
            <w:tcW w:w="768" w:type="dxa"/>
            <w:tcBorders>
              <w:top w:val="nil"/>
              <w:left w:val="nil"/>
              <w:bottom w:val="nil"/>
              <w:right w:val="nil"/>
            </w:tcBorders>
            <w:shd w:val="clear" w:color="auto" w:fill="auto"/>
            <w:noWrap/>
            <w:vAlign w:val="bottom"/>
            <w:hideMark/>
          </w:tcPr>
          <w:p w14:paraId="0E84F079"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0A0955" w14:textId="77777777" w:rsidR="000604B1" w:rsidRDefault="000604B1"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2514BE46" w14:textId="77777777" w:rsidR="000604B1" w:rsidRDefault="000604B1" w:rsidP="005A3B4D">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27D44658"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59B5951"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3BE2683" w14:textId="77777777" w:rsidR="000604B1" w:rsidRDefault="000604B1" w:rsidP="005A3B4D">
            <w:pPr>
              <w:jc w:val="right"/>
              <w:rPr>
                <w:color w:val="000000"/>
                <w:sz w:val="20"/>
                <w:szCs w:val="20"/>
              </w:rPr>
            </w:pPr>
            <w:r>
              <w:rPr>
                <w:color w:val="000000"/>
                <w:sz w:val="20"/>
                <w:szCs w:val="20"/>
              </w:rPr>
              <w:t>0.961</w:t>
            </w:r>
          </w:p>
        </w:tc>
        <w:tc>
          <w:tcPr>
            <w:tcW w:w="768" w:type="dxa"/>
            <w:tcBorders>
              <w:top w:val="nil"/>
              <w:left w:val="nil"/>
              <w:bottom w:val="nil"/>
              <w:right w:val="nil"/>
            </w:tcBorders>
            <w:shd w:val="clear" w:color="auto" w:fill="auto"/>
            <w:noWrap/>
            <w:vAlign w:val="bottom"/>
            <w:hideMark/>
          </w:tcPr>
          <w:p w14:paraId="30D817E7"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19C81D" w14:textId="77777777" w:rsidR="000604B1" w:rsidRDefault="000604B1"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11F0084" w14:textId="77777777" w:rsidR="000604B1" w:rsidRDefault="000604B1"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6D6384B8" w14:textId="77777777" w:rsidR="000604B1" w:rsidRDefault="000604B1" w:rsidP="005A3B4D">
            <w:pPr>
              <w:jc w:val="right"/>
              <w:rPr>
                <w:color w:val="000000"/>
                <w:sz w:val="20"/>
                <w:szCs w:val="20"/>
              </w:rPr>
            </w:pPr>
            <w:r>
              <w:rPr>
                <w:color w:val="000000"/>
                <w:sz w:val="20"/>
                <w:szCs w:val="20"/>
              </w:rPr>
              <w:t>0.002</w:t>
            </w:r>
          </w:p>
        </w:tc>
      </w:tr>
      <w:tr w:rsidR="000604B1" w14:paraId="1826CA04" w14:textId="77777777" w:rsidTr="005A3B4D">
        <w:trPr>
          <w:trHeight w:val="320"/>
        </w:trPr>
        <w:tc>
          <w:tcPr>
            <w:tcW w:w="1176" w:type="dxa"/>
            <w:tcBorders>
              <w:top w:val="nil"/>
              <w:left w:val="nil"/>
              <w:bottom w:val="nil"/>
              <w:right w:val="nil"/>
            </w:tcBorders>
            <w:shd w:val="clear" w:color="auto" w:fill="auto"/>
            <w:noWrap/>
            <w:vAlign w:val="bottom"/>
            <w:hideMark/>
          </w:tcPr>
          <w:p w14:paraId="523DF6D5"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E332DA2" w14:textId="77777777" w:rsidR="000604B1" w:rsidRDefault="000604B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C6A7B09" w14:textId="77777777" w:rsidR="000604B1" w:rsidRDefault="000604B1"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1BFF0AA6" w14:textId="77777777" w:rsidR="000604B1" w:rsidRDefault="000604B1" w:rsidP="005A3B4D">
            <w:pPr>
              <w:jc w:val="right"/>
              <w:rPr>
                <w:color w:val="000000"/>
                <w:sz w:val="20"/>
                <w:szCs w:val="20"/>
              </w:rPr>
            </w:pPr>
            <w:r>
              <w:rPr>
                <w:color w:val="000000"/>
                <w:sz w:val="20"/>
                <w:szCs w:val="20"/>
              </w:rPr>
              <w:t>0.180</w:t>
            </w:r>
          </w:p>
        </w:tc>
        <w:tc>
          <w:tcPr>
            <w:tcW w:w="768" w:type="dxa"/>
            <w:tcBorders>
              <w:top w:val="nil"/>
              <w:left w:val="nil"/>
              <w:bottom w:val="nil"/>
              <w:right w:val="nil"/>
            </w:tcBorders>
            <w:shd w:val="clear" w:color="auto" w:fill="auto"/>
            <w:noWrap/>
            <w:vAlign w:val="bottom"/>
            <w:hideMark/>
          </w:tcPr>
          <w:p w14:paraId="224837E1"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79487B5"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82703D8" w14:textId="77777777" w:rsidR="000604B1" w:rsidRDefault="000604B1" w:rsidP="005A3B4D">
            <w:pPr>
              <w:jc w:val="right"/>
              <w:rPr>
                <w:color w:val="000000"/>
                <w:sz w:val="20"/>
                <w:szCs w:val="20"/>
              </w:rPr>
            </w:pPr>
            <w:r>
              <w:rPr>
                <w:color w:val="000000"/>
                <w:sz w:val="20"/>
                <w:szCs w:val="20"/>
              </w:rPr>
              <w:t>0.921</w:t>
            </w:r>
          </w:p>
        </w:tc>
        <w:tc>
          <w:tcPr>
            <w:tcW w:w="768" w:type="dxa"/>
            <w:tcBorders>
              <w:top w:val="nil"/>
              <w:left w:val="nil"/>
              <w:bottom w:val="nil"/>
              <w:right w:val="nil"/>
            </w:tcBorders>
            <w:shd w:val="clear" w:color="auto" w:fill="auto"/>
            <w:noWrap/>
            <w:vAlign w:val="bottom"/>
            <w:hideMark/>
          </w:tcPr>
          <w:p w14:paraId="7BCB4E2E"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833D50" w14:textId="77777777" w:rsidR="000604B1" w:rsidRDefault="000604B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2D3F09D" w14:textId="77777777" w:rsidR="000604B1" w:rsidRDefault="000604B1" w:rsidP="005A3B4D">
            <w:pPr>
              <w:jc w:val="right"/>
              <w:rPr>
                <w:color w:val="000000"/>
                <w:sz w:val="20"/>
                <w:szCs w:val="20"/>
              </w:rPr>
            </w:pPr>
            <w:r>
              <w:rPr>
                <w:color w:val="000000"/>
                <w:sz w:val="20"/>
                <w:szCs w:val="20"/>
              </w:rPr>
              <w:t>0.544</w:t>
            </w:r>
          </w:p>
        </w:tc>
        <w:tc>
          <w:tcPr>
            <w:tcW w:w="768" w:type="dxa"/>
            <w:tcBorders>
              <w:top w:val="nil"/>
              <w:left w:val="nil"/>
              <w:bottom w:val="nil"/>
              <w:right w:val="nil"/>
            </w:tcBorders>
            <w:shd w:val="clear" w:color="auto" w:fill="auto"/>
            <w:noWrap/>
            <w:vAlign w:val="bottom"/>
            <w:hideMark/>
          </w:tcPr>
          <w:p w14:paraId="77C2ACF8"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72A28E"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2D2C9D4" w14:textId="77777777" w:rsidR="000604B1" w:rsidRDefault="000604B1" w:rsidP="005A3B4D">
            <w:pPr>
              <w:jc w:val="right"/>
              <w:rPr>
                <w:color w:val="000000"/>
                <w:sz w:val="20"/>
                <w:szCs w:val="20"/>
              </w:rPr>
            </w:pPr>
            <w:r>
              <w:rPr>
                <w:color w:val="000000"/>
                <w:sz w:val="20"/>
                <w:szCs w:val="20"/>
              </w:rPr>
              <w:t>0.901</w:t>
            </w:r>
          </w:p>
        </w:tc>
        <w:tc>
          <w:tcPr>
            <w:tcW w:w="768" w:type="dxa"/>
            <w:tcBorders>
              <w:top w:val="nil"/>
              <w:left w:val="nil"/>
              <w:bottom w:val="nil"/>
              <w:right w:val="nil"/>
            </w:tcBorders>
            <w:shd w:val="clear" w:color="auto" w:fill="auto"/>
            <w:noWrap/>
            <w:vAlign w:val="bottom"/>
            <w:hideMark/>
          </w:tcPr>
          <w:p w14:paraId="6B956BE2"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58B1D5"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BAB30F1" w14:textId="77777777" w:rsidR="000604B1" w:rsidRDefault="000604B1" w:rsidP="005A3B4D">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41814AFE" w14:textId="77777777" w:rsidR="000604B1" w:rsidRDefault="000604B1" w:rsidP="005A3B4D">
            <w:pPr>
              <w:jc w:val="right"/>
              <w:rPr>
                <w:color w:val="000000"/>
                <w:sz w:val="20"/>
                <w:szCs w:val="20"/>
              </w:rPr>
            </w:pPr>
            <w:r>
              <w:rPr>
                <w:color w:val="000000"/>
                <w:sz w:val="20"/>
                <w:szCs w:val="20"/>
              </w:rPr>
              <w:t>0.000</w:t>
            </w:r>
          </w:p>
        </w:tc>
      </w:tr>
      <w:tr w:rsidR="000604B1" w14:paraId="03041BDA" w14:textId="77777777" w:rsidTr="005A3B4D">
        <w:trPr>
          <w:trHeight w:val="320"/>
        </w:trPr>
        <w:tc>
          <w:tcPr>
            <w:tcW w:w="1176" w:type="dxa"/>
            <w:tcBorders>
              <w:top w:val="nil"/>
              <w:left w:val="nil"/>
              <w:bottom w:val="nil"/>
              <w:right w:val="nil"/>
            </w:tcBorders>
            <w:shd w:val="clear" w:color="auto" w:fill="auto"/>
            <w:noWrap/>
            <w:vAlign w:val="bottom"/>
            <w:hideMark/>
          </w:tcPr>
          <w:p w14:paraId="2320C9D5"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BEBA3B5" w14:textId="77777777" w:rsidR="000604B1" w:rsidRDefault="000604B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9F41A7D" w14:textId="77777777" w:rsidR="000604B1" w:rsidRDefault="000604B1"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4A90F0C" w14:textId="77777777" w:rsidR="000604B1" w:rsidRDefault="000604B1"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64B2E678"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E4082C1" w14:textId="77777777" w:rsidR="000604B1" w:rsidRDefault="000604B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BE4F4F0" w14:textId="77777777" w:rsidR="000604B1" w:rsidRDefault="000604B1" w:rsidP="005A3B4D">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29957853"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35D986" w14:textId="77777777" w:rsidR="000604B1" w:rsidRDefault="000604B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AE6CD8F" w14:textId="77777777" w:rsidR="000604B1" w:rsidRDefault="000604B1" w:rsidP="005A3B4D">
            <w:pPr>
              <w:jc w:val="right"/>
              <w:rPr>
                <w:color w:val="000000"/>
                <w:sz w:val="20"/>
                <w:szCs w:val="20"/>
              </w:rPr>
            </w:pPr>
            <w:r>
              <w:rPr>
                <w:color w:val="000000"/>
                <w:sz w:val="20"/>
                <w:szCs w:val="20"/>
              </w:rPr>
              <w:t>0.544</w:t>
            </w:r>
          </w:p>
        </w:tc>
        <w:tc>
          <w:tcPr>
            <w:tcW w:w="768" w:type="dxa"/>
            <w:tcBorders>
              <w:top w:val="nil"/>
              <w:left w:val="nil"/>
              <w:bottom w:val="nil"/>
              <w:right w:val="nil"/>
            </w:tcBorders>
            <w:shd w:val="clear" w:color="auto" w:fill="auto"/>
            <w:noWrap/>
            <w:vAlign w:val="bottom"/>
            <w:hideMark/>
          </w:tcPr>
          <w:p w14:paraId="4368C5A9"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73AEA7"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1FFF05E" w14:textId="77777777" w:rsidR="000604B1" w:rsidRDefault="000604B1" w:rsidP="005A3B4D">
            <w:pPr>
              <w:jc w:val="right"/>
              <w:rPr>
                <w:color w:val="000000"/>
                <w:sz w:val="20"/>
                <w:szCs w:val="20"/>
              </w:rPr>
            </w:pPr>
            <w:r>
              <w:rPr>
                <w:color w:val="000000"/>
                <w:sz w:val="20"/>
                <w:szCs w:val="20"/>
              </w:rPr>
              <w:t>0.961</w:t>
            </w:r>
          </w:p>
        </w:tc>
        <w:tc>
          <w:tcPr>
            <w:tcW w:w="768" w:type="dxa"/>
            <w:tcBorders>
              <w:top w:val="nil"/>
              <w:left w:val="nil"/>
              <w:bottom w:val="nil"/>
              <w:right w:val="nil"/>
            </w:tcBorders>
            <w:shd w:val="clear" w:color="auto" w:fill="auto"/>
            <w:noWrap/>
            <w:vAlign w:val="bottom"/>
            <w:hideMark/>
          </w:tcPr>
          <w:p w14:paraId="32B52CBA"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81A898"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2DC4EE" w14:textId="77777777" w:rsidR="000604B1" w:rsidRDefault="000604B1" w:rsidP="005A3B4D">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3EE8C616" w14:textId="77777777" w:rsidR="000604B1" w:rsidRDefault="000604B1" w:rsidP="005A3B4D">
            <w:pPr>
              <w:jc w:val="right"/>
              <w:rPr>
                <w:color w:val="000000"/>
                <w:sz w:val="20"/>
                <w:szCs w:val="20"/>
              </w:rPr>
            </w:pPr>
            <w:r>
              <w:rPr>
                <w:color w:val="000000"/>
                <w:sz w:val="20"/>
                <w:szCs w:val="20"/>
              </w:rPr>
              <w:t>0.000</w:t>
            </w:r>
          </w:p>
        </w:tc>
      </w:tr>
      <w:tr w:rsidR="000604B1" w14:paraId="7D6D6A71"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4FAD3636" w14:textId="77777777" w:rsidR="000604B1" w:rsidRDefault="000604B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305A26A" w14:textId="77777777" w:rsidR="000604B1" w:rsidRDefault="000604B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A34A376" w14:textId="77777777" w:rsidR="000604B1" w:rsidRDefault="000604B1" w:rsidP="005A3B4D">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606FAF5F" w14:textId="77777777" w:rsidR="000604B1" w:rsidRDefault="000604B1" w:rsidP="005A3B4D">
            <w:pPr>
              <w:jc w:val="right"/>
              <w:rPr>
                <w:color w:val="000000"/>
                <w:sz w:val="20"/>
                <w:szCs w:val="20"/>
              </w:rPr>
            </w:pPr>
            <w:r>
              <w:rPr>
                <w:color w:val="000000"/>
                <w:sz w:val="20"/>
                <w:szCs w:val="20"/>
              </w:rPr>
              <w:t>0.370</w:t>
            </w:r>
          </w:p>
        </w:tc>
        <w:tc>
          <w:tcPr>
            <w:tcW w:w="768" w:type="dxa"/>
            <w:tcBorders>
              <w:top w:val="nil"/>
              <w:left w:val="nil"/>
              <w:bottom w:val="single" w:sz="4" w:space="0" w:color="auto"/>
              <w:right w:val="nil"/>
            </w:tcBorders>
            <w:shd w:val="clear" w:color="auto" w:fill="auto"/>
            <w:noWrap/>
            <w:vAlign w:val="bottom"/>
            <w:hideMark/>
          </w:tcPr>
          <w:p w14:paraId="37A7B09F"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72F86D3" w14:textId="77777777" w:rsidR="000604B1" w:rsidRDefault="000604B1" w:rsidP="005A3B4D">
            <w:pPr>
              <w:jc w:val="right"/>
              <w:rPr>
                <w:color w:val="000000"/>
                <w:sz w:val="20"/>
                <w:szCs w:val="20"/>
              </w:rPr>
            </w:pPr>
            <w:r>
              <w:rPr>
                <w:color w:val="000000"/>
                <w:sz w:val="20"/>
                <w:szCs w:val="20"/>
              </w:rPr>
              <w:t>0.082</w:t>
            </w:r>
          </w:p>
        </w:tc>
        <w:tc>
          <w:tcPr>
            <w:tcW w:w="768" w:type="dxa"/>
            <w:tcBorders>
              <w:top w:val="nil"/>
              <w:left w:val="nil"/>
              <w:bottom w:val="single" w:sz="4" w:space="0" w:color="auto"/>
              <w:right w:val="nil"/>
            </w:tcBorders>
            <w:shd w:val="clear" w:color="auto" w:fill="auto"/>
            <w:noWrap/>
            <w:vAlign w:val="bottom"/>
            <w:hideMark/>
          </w:tcPr>
          <w:p w14:paraId="355415EF" w14:textId="77777777" w:rsidR="000604B1" w:rsidRDefault="000604B1" w:rsidP="005A3B4D">
            <w:pPr>
              <w:jc w:val="right"/>
              <w:rPr>
                <w:color w:val="000000"/>
                <w:sz w:val="20"/>
                <w:szCs w:val="20"/>
              </w:rPr>
            </w:pPr>
            <w:r>
              <w:rPr>
                <w:color w:val="000000"/>
                <w:sz w:val="20"/>
                <w:szCs w:val="20"/>
              </w:rPr>
              <w:t>0.160</w:t>
            </w:r>
          </w:p>
        </w:tc>
        <w:tc>
          <w:tcPr>
            <w:tcW w:w="768" w:type="dxa"/>
            <w:tcBorders>
              <w:top w:val="nil"/>
              <w:left w:val="nil"/>
              <w:bottom w:val="single" w:sz="4" w:space="0" w:color="auto"/>
              <w:right w:val="nil"/>
            </w:tcBorders>
            <w:shd w:val="clear" w:color="auto" w:fill="auto"/>
            <w:noWrap/>
            <w:vAlign w:val="bottom"/>
            <w:hideMark/>
          </w:tcPr>
          <w:p w14:paraId="75DA3E06" w14:textId="77777777" w:rsidR="000604B1" w:rsidRDefault="000604B1"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508A61F7" w14:textId="77777777" w:rsidR="000604B1" w:rsidRDefault="000604B1" w:rsidP="005A3B4D">
            <w:pPr>
              <w:jc w:val="right"/>
              <w:rPr>
                <w:color w:val="000000"/>
                <w:sz w:val="20"/>
                <w:szCs w:val="20"/>
              </w:rPr>
            </w:pPr>
            <w:r>
              <w:rPr>
                <w:color w:val="000000"/>
                <w:sz w:val="20"/>
                <w:szCs w:val="20"/>
              </w:rPr>
              <w:t>-0.022</w:t>
            </w:r>
          </w:p>
        </w:tc>
        <w:tc>
          <w:tcPr>
            <w:tcW w:w="768" w:type="dxa"/>
            <w:tcBorders>
              <w:top w:val="nil"/>
              <w:left w:val="nil"/>
              <w:bottom w:val="single" w:sz="4" w:space="0" w:color="auto"/>
              <w:right w:val="nil"/>
            </w:tcBorders>
            <w:shd w:val="clear" w:color="auto" w:fill="auto"/>
            <w:noWrap/>
            <w:vAlign w:val="bottom"/>
            <w:hideMark/>
          </w:tcPr>
          <w:p w14:paraId="67DD2F3F" w14:textId="77777777" w:rsidR="000604B1" w:rsidRDefault="000604B1" w:rsidP="005A3B4D">
            <w:pPr>
              <w:jc w:val="right"/>
              <w:rPr>
                <w:color w:val="000000"/>
                <w:sz w:val="20"/>
                <w:szCs w:val="20"/>
              </w:rPr>
            </w:pPr>
            <w:r>
              <w:rPr>
                <w:color w:val="000000"/>
                <w:sz w:val="20"/>
                <w:szCs w:val="20"/>
              </w:rPr>
              <w:t>0.544</w:t>
            </w:r>
          </w:p>
        </w:tc>
        <w:tc>
          <w:tcPr>
            <w:tcW w:w="768" w:type="dxa"/>
            <w:tcBorders>
              <w:top w:val="nil"/>
              <w:left w:val="nil"/>
              <w:bottom w:val="single" w:sz="4" w:space="0" w:color="auto"/>
              <w:right w:val="nil"/>
            </w:tcBorders>
            <w:shd w:val="clear" w:color="auto" w:fill="auto"/>
            <w:noWrap/>
            <w:vAlign w:val="bottom"/>
            <w:hideMark/>
          </w:tcPr>
          <w:p w14:paraId="2B6A810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FE45D55" w14:textId="77777777" w:rsidR="000604B1" w:rsidRDefault="000604B1" w:rsidP="005A3B4D">
            <w:pPr>
              <w:jc w:val="right"/>
              <w:rPr>
                <w:color w:val="000000"/>
                <w:sz w:val="20"/>
                <w:szCs w:val="20"/>
              </w:rPr>
            </w:pPr>
            <w:r>
              <w:rPr>
                <w:color w:val="000000"/>
                <w:sz w:val="20"/>
                <w:szCs w:val="20"/>
              </w:rPr>
              <w:t>-0.050</w:t>
            </w:r>
          </w:p>
        </w:tc>
        <w:tc>
          <w:tcPr>
            <w:tcW w:w="768" w:type="dxa"/>
            <w:tcBorders>
              <w:top w:val="nil"/>
              <w:left w:val="nil"/>
              <w:bottom w:val="single" w:sz="4" w:space="0" w:color="auto"/>
              <w:right w:val="nil"/>
            </w:tcBorders>
            <w:shd w:val="clear" w:color="auto" w:fill="auto"/>
            <w:noWrap/>
            <w:vAlign w:val="bottom"/>
            <w:hideMark/>
          </w:tcPr>
          <w:p w14:paraId="66DD486A" w14:textId="77777777" w:rsidR="000604B1" w:rsidRDefault="000604B1" w:rsidP="005A3B4D">
            <w:pPr>
              <w:jc w:val="right"/>
              <w:rPr>
                <w:color w:val="000000"/>
                <w:sz w:val="20"/>
                <w:szCs w:val="20"/>
              </w:rPr>
            </w:pPr>
            <w:r>
              <w:rPr>
                <w:color w:val="000000"/>
                <w:sz w:val="20"/>
                <w:szCs w:val="20"/>
              </w:rPr>
              <w:t>0.416</w:t>
            </w:r>
          </w:p>
        </w:tc>
        <w:tc>
          <w:tcPr>
            <w:tcW w:w="768" w:type="dxa"/>
            <w:tcBorders>
              <w:top w:val="nil"/>
              <w:left w:val="nil"/>
              <w:bottom w:val="single" w:sz="4" w:space="0" w:color="auto"/>
              <w:right w:val="nil"/>
            </w:tcBorders>
            <w:shd w:val="clear" w:color="auto" w:fill="auto"/>
            <w:noWrap/>
            <w:vAlign w:val="bottom"/>
            <w:hideMark/>
          </w:tcPr>
          <w:p w14:paraId="522FEFBC"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140CE859" w14:textId="77777777" w:rsidR="000604B1" w:rsidRDefault="000604B1" w:rsidP="005A3B4D">
            <w:pPr>
              <w:jc w:val="right"/>
              <w:rPr>
                <w:color w:val="000000"/>
                <w:sz w:val="20"/>
                <w:szCs w:val="20"/>
              </w:rPr>
            </w:pPr>
            <w:r>
              <w:rPr>
                <w:color w:val="000000"/>
                <w:sz w:val="20"/>
                <w:szCs w:val="20"/>
              </w:rPr>
              <w:t>0.025</w:t>
            </w:r>
          </w:p>
        </w:tc>
        <w:tc>
          <w:tcPr>
            <w:tcW w:w="768" w:type="dxa"/>
            <w:tcBorders>
              <w:top w:val="nil"/>
              <w:left w:val="nil"/>
              <w:bottom w:val="single" w:sz="4" w:space="0" w:color="auto"/>
              <w:right w:val="nil"/>
            </w:tcBorders>
            <w:shd w:val="clear" w:color="auto" w:fill="auto"/>
            <w:noWrap/>
            <w:vAlign w:val="bottom"/>
            <w:hideMark/>
          </w:tcPr>
          <w:p w14:paraId="4E3A6B22" w14:textId="77777777" w:rsidR="000604B1" w:rsidRDefault="000604B1" w:rsidP="005A3B4D">
            <w:pPr>
              <w:jc w:val="right"/>
              <w:rPr>
                <w:color w:val="000000"/>
                <w:sz w:val="20"/>
                <w:szCs w:val="20"/>
              </w:rPr>
            </w:pPr>
            <w:r>
              <w:rPr>
                <w:color w:val="000000"/>
                <w:sz w:val="20"/>
                <w:szCs w:val="20"/>
              </w:rPr>
              <w:t>0.708</w:t>
            </w:r>
          </w:p>
        </w:tc>
        <w:tc>
          <w:tcPr>
            <w:tcW w:w="768" w:type="dxa"/>
            <w:tcBorders>
              <w:top w:val="nil"/>
              <w:left w:val="nil"/>
              <w:bottom w:val="single" w:sz="4" w:space="0" w:color="auto"/>
              <w:right w:val="nil"/>
            </w:tcBorders>
            <w:shd w:val="clear" w:color="auto" w:fill="auto"/>
            <w:noWrap/>
            <w:vAlign w:val="bottom"/>
            <w:hideMark/>
          </w:tcPr>
          <w:p w14:paraId="322CD829" w14:textId="77777777" w:rsidR="000604B1" w:rsidRDefault="000604B1" w:rsidP="005A3B4D">
            <w:pPr>
              <w:jc w:val="right"/>
              <w:rPr>
                <w:color w:val="000000"/>
                <w:sz w:val="20"/>
                <w:szCs w:val="20"/>
              </w:rPr>
            </w:pPr>
            <w:r>
              <w:rPr>
                <w:color w:val="000000"/>
                <w:sz w:val="20"/>
                <w:szCs w:val="20"/>
              </w:rPr>
              <w:t>0.001</w:t>
            </w:r>
          </w:p>
        </w:tc>
      </w:tr>
      <w:tr w:rsidR="000604B1" w14:paraId="303FA37A" w14:textId="77777777" w:rsidTr="005A3B4D">
        <w:trPr>
          <w:trHeight w:val="320"/>
        </w:trPr>
        <w:tc>
          <w:tcPr>
            <w:tcW w:w="1176" w:type="dxa"/>
            <w:tcBorders>
              <w:top w:val="nil"/>
              <w:left w:val="nil"/>
              <w:bottom w:val="nil"/>
              <w:right w:val="nil"/>
            </w:tcBorders>
            <w:shd w:val="clear" w:color="auto" w:fill="auto"/>
            <w:noWrap/>
            <w:vAlign w:val="bottom"/>
            <w:hideMark/>
          </w:tcPr>
          <w:p w14:paraId="6999712D" w14:textId="77777777" w:rsidR="000604B1" w:rsidRDefault="000604B1"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3E97BC91" w14:textId="77777777" w:rsidR="000604B1" w:rsidRDefault="000604B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E29CBC2" w14:textId="77777777" w:rsidR="000604B1" w:rsidRDefault="000604B1" w:rsidP="005A3B4D">
            <w:pPr>
              <w:jc w:val="right"/>
              <w:rPr>
                <w:b/>
                <w:bCs/>
                <w:color w:val="000000"/>
                <w:sz w:val="20"/>
                <w:szCs w:val="20"/>
              </w:rPr>
            </w:pPr>
            <w:r>
              <w:rPr>
                <w:b/>
                <w:bCs/>
                <w:color w:val="000000"/>
                <w:sz w:val="20"/>
                <w:szCs w:val="20"/>
              </w:rPr>
              <w:t>-0.097</w:t>
            </w:r>
          </w:p>
        </w:tc>
        <w:tc>
          <w:tcPr>
            <w:tcW w:w="768" w:type="dxa"/>
            <w:tcBorders>
              <w:top w:val="nil"/>
              <w:left w:val="nil"/>
              <w:bottom w:val="nil"/>
              <w:right w:val="nil"/>
            </w:tcBorders>
            <w:shd w:val="clear" w:color="auto" w:fill="auto"/>
            <w:noWrap/>
            <w:vAlign w:val="bottom"/>
            <w:hideMark/>
          </w:tcPr>
          <w:p w14:paraId="047ABD74" w14:textId="77777777" w:rsidR="000604B1" w:rsidRDefault="000604B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73C2B4CC" w14:textId="77777777" w:rsidR="000604B1" w:rsidRDefault="000604B1" w:rsidP="005A3B4D">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0F9EF604" w14:textId="77777777" w:rsidR="000604B1" w:rsidRDefault="000604B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6050AD53" w14:textId="77777777" w:rsidR="000604B1" w:rsidRDefault="000604B1" w:rsidP="005A3B4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121639F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BBB43D"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0FE88BD" w14:textId="77777777" w:rsidR="000604B1" w:rsidRDefault="000604B1" w:rsidP="005A3B4D">
            <w:pPr>
              <w:jc w:val="right"/>
              <w:rPr>
                <w:color w:val="000000"/>
                <w:sz w:val="20"/>
                <w:szCs w:val="20"/>
              </w:rPr>
            </w:pPr>
            <w:r>
              <w:rPr>
                <w:color w:val="000000"/>
                <w:sz w:val="20"/>
                <w:szCs w:val="20"/>
              </w:rPr>
              <w:t>0.974</w:t>
            </w:r>
          </w:p>
        </w:tc>
        <w:tc>
          <w:tcPr>
            <w:tcW w:w="768" w:type="dxa"/>
            <w:tcBorders>
              <w:top w:val="nil"/>
              <w:left w:val="nil"/>
              <w:bottom w:val="nil"/>
              <w:right w:val="nil"/>
            </w:tcBorders>
            <w:shd w:val="clear" w:color="auto" w:fill="auto"/>
            <w:noWrap/>
            <w:vAlign w:val="bottom"/>
            <w:hideMark/>
          </w:tcPr>
          <w:p w14:paraId="2FD088D0"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1D5858" w14:textId="77777777" w:rsidR="000604B1" w:rsidRDefault="000604B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6D31E6D" w14:textId="77777777" w:rsidR="000604B1" w:rsidRDefault="000604B1"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1C43428C"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5CAD94" w14:textId="77777777" w:rsidR="000604B1" w:rsidRDefault="000604B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D7BF3DD" w14:textId="77777777" w:rsidR="000604B1" w:rsidRDefault="000604B1" w:rsidP="005A3B4D">
            <w:pPr>
              <w:jc w:val="right"/>
              <w:rPr>
                <w:color w:val="000000"/>
                <w:sz w:val="20"/>
                <w:szCs w:val="20"/>
              </w:rPr>
            </w:pPr>
            <w:r>
              <w:rPr>
                <w:color w:val="000000"/>
                <w:sz w:val="20"/>
                <w:szCs w:val="20"/>
              </w:rPr>
              <w:t>0.650</w:t>
            </w:r>
          </w:p>
        </w:tc>
        <w:tc>
          <w:tcPr>
            <w:tcW w:w="768" w:type="dxa"/>
            <w:tcBorders>
              <w:top w:val="nil"/>
              <w:left w:val="nil"/>
              <w:bottom w:val="nil"/>
              <w:right w:val="nil"/>
            </w:tcBorders>
            <w:shd w:val="clear" w:color="auto" w:fill="auto"/>
            <w:noWrap/>
            <w:vAlign w:val="bottom"/>
            <w:hideMark/>
          </w:tcPr>
          <w:p w14:paraId="67472ABE" w14:textId="77777777" w:rsidR="000604B1" w:rsidRDefault="000604B1" w:rsidP="005A3B4D">
            <w:pPr>
              <w:jc w:val="right"/>
              <w:rPr>
                <w:color w:val="000000"/>
                <w:sz w:val="20"/>
                <w:szCs w:val="20"/>
              </w:rPr>
            </w:pPr>
            <w:r>
              <w:rPr>
                <w:color w:val="000000"/>
                <w:sz w:val="20"/>
                <w:szCs w:val="20"/>
              </w:rPr>
              <w:t>0.000</w:t>
            </w:r>
          </w:p>
        </w:tc>
      </w:tr>
      <w:tr w:rsidR="000604B1" w14:paraId="1D756360" w14:textId="77777777" w:rsidTr="005A3B4D">
        <w:trPr>
          <w:trHeight w:val="320"/>
        </w:trPr>
        <w:tc>
          <w:tcPr>
            <w:tcW w:w="1176" w:type="dxa"/>
            <w:tcBorders>
              <w:top w:val="nil"/>
              <w:left w:val="nil"/>
              <w:bottom w:val="nil"/>
              <w:right w:val="nil"/>
            </w:tcBorders>
            <w:shd w:val="clear" w:color="auto" w:fill="auto"/>
            <w:noWrap/>
            <w:vAlign w:val="bottom"/>
            <w:hideMark/>
          </w:tcPr>
          <w:p w14:paraId="146F3ABE"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A2D4014" w14:textId="77777777" w:rsidR="000604B1" w:rsidRDefault="000604B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4FFE376" w14:textId="77777777" w:rsidR="000604B1" w:rsidRDefault="000604B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7C5CF13" w14:textId="77777777" w:rsidR="000604B1" w:rsidRDefault="000604B1" w:rsidP="005A3B4D">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2AA6085C"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E9B7FF2" w14:textId="77777777" w:rsidR="000604B1" w:rsidRDefault="000604B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6E884E8A" w14:textId="77777777" w:rsidR="000604B1" w:rsidRDefault="000604B1" w:rsidP="005A3B4D">
            <w:pPr>
              <w:jc w:val="right"/>
              <w:rPr>
                <w:color w:val="000000"/>
                <w:sz w:val="20"/>
                <w:szCs w:val="20"/>
              </w:rPr>
            </w:pPr>
            <w:r>
              <w:rPr>
                <w:color w:val="000000"/>
                <w:sz w:val="20"/>
                <w:szCs w:val="20"/>
              </w:rPr>
              <w:t>0.653</w:t>
            </w:r>
          </w:p>
        </w:tc>
        <w:tc>
          <w:tcPr>
            <w:tcW w:w="768" w:type="dxa"/>
            <w:tcBorders>
              <w:top w:val="nil"/>
              <w:left w:val="nil"/>
              <w:bottom w:val="nil"/>
              <w:right w:val="nil"/>
            </w:tcBorders>
            <w:shd w:val="clear" w:color="auto" w:fill="auto"/>
            <w:noWrap/>
            <w:vAlign w:val="bottom"/>
            <w:hideMark/>
          </w:tcPr>
          <w:p w14:paraId="7E39E5FC"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38FD72" w14:textId="77777777" w:rsidR="000604B1" w:rsidRDefault="000604B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B5FAC7F" w14:textId="77777777" w:rsidR="000604B1" w:rsidRDefault="000604B1" w:rsidP="005A3B4D">
            <w:pPr>
              <w:jc w:val="right"/>
              <w:rPr>
                <w:color w:val="000000"/>
                <w:sz w:val="20"/>
                <w:szCs w:val="20"/>
              </w:rPr>
            </w:pPr>
            <w:r>
              <w:rPr>
                <w:color w:val="000000"/>
                <w:sz w:val="20"/>
                <w:szCs w:val="20"/>
              </w:rPr>
              <w:t>0.429</w:t>
            </w:r>
          </w:p>
        </w:tc>
        <w:tc>
          <w:tcPr>
            <w:tcW w:w="768" w:type="dxa"/>
            <w:tcBorders>
              <w:top w:val="nil"/>
              <w:left w:val="nil"/>
              <w:bottom w:val="nil"/>
              <w:right w:val="nil"/>
            </w:tcBorders>
            <w:shd w:val="clear" w:color="auto" w:fill="auto"/>
            <w:noWrap/>
            <w:vAlign w:val="bottom"/>
            <w:hideMark/>
          </w:tcPr>
          <w:p w14:paraId="606952CF"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9AC4C3" w14:textId="77777777" w:rsidR="000604B1" w:rsidRDefault="000604B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237B4675" w14:textId="77777777" w:rsidR="000604B1" w:rsidRDefault="000604B1" w:rsidP="005A3B4D">
            <w:pPr>
              <w:jc w:val="right"/>
              <w:rPr>
                <w:color w:val="000000"/>
                <w:sz w:val="20"/>
                <w:szCs w:val="20"/>
              </w:rPr>
            </w:pPr>
            <w:r>
              <w:rPr>
                <w:color w:val="000000"/>
                <w:sz w:val="20"/>
                <w:szCs w:val="20"/>
              </w:rPr>
              <w:t>0.184</w:t>
            </w:r>
          </w:p>
        </w:tc>
        <w:tc>
          <w:tcPr>
            <w:tcW w:w="768" w:type="dxa"/>
            <w:tcBorders>
              <w:top w:val="nil"/>
              <w:left w:val="nil"/>
              <w:bottom w:val="nil"/>
              <w:right w:val="nil"/>
            </w:tcBorders>
            <w:shd w:val="clear" w:color="auto" w:fill="auto"/>
            <w:noWrap/>
            <w:vAlign w:val="bottom"/>
            <w:hideMark/>
          </w:tcPr>
          <w:p w14:paraId="4B4AB345"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BCC43D3" w14:textId="77777777" w:rsidR="000604B1" w:rsidRDefault="000604B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6529C64" w14:textId="77777777" w:rsidR="000604B1" w:rsidRDefault="000604B1" w:rsidP="005A3B4D">
            <w:pPr>
              <w:jc w:val="right"/>
              <w:rPr>
                <w:color w:val="000000"/>
                <w:sz w:val="20"/>
                <w:szCs w:val="20"/>
              </w:rPr>
            </w:pPr>
            <w:r>
              <w:rPr>
                <w:color w:val="000000"/>
                <w:sz w:val="20"/>
                <w:szCs w:val="20"/>
              </w:rPr>
              <w:t>0.650</w:t>
            </w:r>
          </w:p>
        </w:tc>
        <w:tc>
          <w:tcPr>
            <w:tcW w:w="768" w:type="dxa"/>
            <w:tcBorders>
              <w:top w:val="nil"/>
              <w:left w:val="nil"/>
              <w:bottom w:val="nil"/>
              <w:right w:val="nil"/>
            </w:tcBorders>
            <w:shd w:val="clear" w:color="auto" w:fill="auto"/>
            <w:noWrap/>
            <w:vAlign w:val="bottom"/>
            <w:hideMark/>
          </w:tcPr>
          <w:p w14:paraId="1A467EA6" w14:textId="77777777" w:rsidR="000604B1" w:rsidRDefault="000604B1" w:rsidP="005A3B4D">
            <w:pPr>
              <w:jc w:val="right"/>
              <w:rPr>
                <w:color w:val="000000"/>
                <w:sz w:val="20"/>
                <w:szCs w:val="20"/>
              </w:rPr>
            </w:pPr>
            <w:r>
              <w:rPr>
                <w:color w:val="000000"/>
                <w:sz w:val="20"/>
                <w:szCs w:val="20"/>
              </w:rPr>
              <w:t>0.001</w:t>
            </w:r>
          </w:p>
        </w:tc>
      </w:tr>
      <w:tr w:rsidR="000604B1" w14:paraId="332E595B" w14:textId="77777777" w:rsidTr="005A3B4D">
        <w:trPr>
          <w:trHeight w:val="320"/>
        </w:trPr>
        <w:tc>
          <w:tcPr>
            <w:tcW w:w="1176" w:type="dxa"/>
            <w:tcBorders>
              <w:top w:val="nil"/>
              <w:left w:val="nil"/>
              <w:bottom w:val="nil"/>
              <w:right w:val="nil"/>
            </w:tcBorders>
            <w:shd w:val="clear" w:color="auto" w:fill="auto"/>
            <w:noWrap/>
            <w:vAlign w:val="bottom"/>
            <w:hideMark/>
          </w:tcPr>
          <w:p w14:paraId="3B720EC6"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1ADA4EA" w14:textId="77777777" w:rsidR="000604B1" w:rsidRDefault="000604B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D9C5677" w14:textId="77777777" w:rsidR="000604B1" w:rsidRDefault="000604B1"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11ADC237" w14:textId="77777777" w:rsidR="000604B1" w:rsidRDefault="000604B1" w:rsidP="005A3B4D">
            <w:pPr>
              <w:jc w:val="right"/>
              <w:rPr>
                <w:color w:val="000000"/>
                <w:sz w:val="20"/>
                <w:szCs w:val="20"/>
              </w:rPr>
            </w:pPr>
            <w:r>
              <w:rPr>
                <w:color w:val="000000"/>
                <w:sz w:val="20"/>
                <w:szCs w:val="20"/>
              </w:rPr>
              <w:t>0.258</w:t>
            </w:r>
          </w:p>
        </w:tc>
        <w:tc>
          <w:tcPr>
            <w:tcW w:w="768" w:type="dxa"/>
            <w:tcBorders>
              <w:top w:val="nil"/>
              <w:left w:val="nil"/>
              <w:bottom w:val="nil"/>
              <w:right w:val="nil"/>
            </w:tcBorders>
            <w:shd w:val="clear" w:color="auto" w:fill="auto"/>
            <w:noWrap/>
            <w:vAlign w:val="bottom"/>
            <w:hideMark/>
          </w:tcPr>
          <w:p w14:paraId="5200672F"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83608B"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F1BB8F7" w14:textId="77777777" w:rsidR="000604B1" w:rsidRDefault="000604B1" w:rsidP="005A3B4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1593E15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382842"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66D5687" w14:textId="77777777" w:rsidR="000604B1" w:rsidRDefault="000604B1"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1B9D37C3"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70E896" w14:textId="77777777" w:rsidR="000604B1" w:rsidRDefault="000604B1"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7B97BDE5" w14:textId="77777777" w:rsidR="000604B1" w:rsidRDefault="000604B1" w:rsidP="005A3B4D">
            <w:pPr>
              <w:jc w:val="right"/>
              <w:rPr>
                <w:color w:val="000000"/>
                <w:sz w:val="20"/>
                <w:szCs w:val="20"/>
              </w:rPr>
            </w:pPr>
            <w:r>
              <w:rPr>
                <w:color w:val="000000"/>
                <w:sz w:val="20"/>
                <w:szCs w:val="20"/>
              </w:rPr>
              <w:t>0.184</w:t>
            </w:r>
          </w:p>
        </w:tc>
        <w:tc>
          <w:tcPr>
            <w:tcW w:w="768" w:type="dxa"/>
            <w:tcBorders>
              <w:top w:val="nil"/>
              <w:left w:val="nil"/>
              <w:bottom w:val="nil"/>
              <w:right w:val="nil"/>
            </w:tcBorders>
            <w:shd w:val="clear" w:color="auto" w:fill="auto"/>
            <w:noWrap/>
            <w:vAlign w:val="bottom"/>
            <w:hideMark/>
          </w:tcPr>
          <w:p w14:paraId="075D00B1"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5F03B94" w14:textId="77777777" w:rsidR="000604B1" w:rsidRDefault="000604B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3C2A55DD" w14:textId="77777777" w:rsidR="000604B1" w:rsidRDefault="000604B1" w:rsidP="005A3B4D">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3F2CC27F" w14:textId="77777777" w:rsidR="000604B1" w:rsidRDefault="000604B1" w:rsidP="005A3B4D">
            <w:pPr>
              <w:jc w:val="right"/>
              <w:rPr>
                <w:color w:val="000000"/>
                <w:sz w:val="20"/>
                <w:szCs w:val="20"/>
              </w:rPr>
            </w:pPr>
            <w:r>
              <w:rPr>
                <w:color w:val="000000"/>
                <w:sz w:val="20"/>
                <w:szCs w:val="20"/>
              </w:rPr>
              <w:t>0.000</w:t>
            </w:r>
          </w:p>
        </w:tc>
      </w:tr>
      <w:tr w:rsidR="000604B1" w14:paraId="231F63C0" w14:textId="77777777" w:rsidTr="005A3B4D">
        <w:trPr>
          <w:trHeight w:val="320"/>
        </w:trPr>
        <w:tc>
          <w:tcPr>
            <w:tcW w:w="1176" w:type="dxa"/>
            <w:tcBorders>
              <w:top w:val="nil"/>
              <w:left w:val="nil"/>
              <w:bottom w:val="nil"/>
              <w:right w:val="nil"/>
            </w:tcBorders>
            <w:shd w:val="clear" w:color="auto" w:fill="auto"/>
            <w:noWrap/>
            <w:vAlign w:val="bottom"/>
            <w:hideMark/>
          </w:tcPr>
          <w:p w14:paraId="1426BC06"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D07DBFE" w14:textId="77777777" w:rsidR="000604B1" w:rsidRDefault="000604B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18F6063" w14:textId="77777777" w:rsidR="000604B1" w:rsidRDefault="000604B1"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147189E3" w14:textId="77777777" w:rsidR="000604B1" w:rsidRDefault="000604B1" w:rsidP="005A3B4D">
            <w:pPr>
              <w:jc w:val="right"/>
              <w:rPr>
                <w:color w:val="000000"/>
                <w:sz w:val="20"/>
                <w:szCs w:val="20"/>
              </w:rPr>
            </w:pPr>
            <w:r>
              <w:rPr>
                <w:color w:val="000000"/>
                <w:sz w:val="20"/>
                <w:szCs w:val="20"/>
              </w:rPr>
              <w:t>0.186</w:t>
            </w:r>
          </w:p>
        </w:tc>
        <w:tc>
          <w:tcPr>
            <w:tcW w:w="768" w:type="dxa"/>
            <w:tcBorders>
              <w:top w:val="nil"/>
              <w:left w:val="nil"/>
              <w:bottom w:val="nil"/>
              <w:right w:val="nil"/>
            </w:tcBorders>
            <w:shd w:val="clear" w:color="auto" w:fill="auto"/>
            <w:noWrap/>
            <w:vAlign w:val="bottom"/>
            <w:hideMark/>
          </w:tcPr>
          <w:p w14:paraId="62C38DB9"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320DE42"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EFB3A9B" w14:textId="77777777" w:rsidR="000604B1" w:rsidRDefault="000604B1" w:rsidP="005A3B4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270421BB"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8ED01C"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5D29F75" w14:textId="77777777" w:rsidR="000604B1" w:rsidRDefault="000604B1"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0C3C2AD1"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434932" w14:textId="77777777" w:rsidR="000604B1" w:rsidRDefault="000604B1"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5F5C08FC" w14:textId="77777777" w:rsidR="000604B1" w:rsidRDefault="000604B1" w:rsidP="005A3B4D">
            <w:pPr>
              <w:jc w:val="right"/>
              <w:rPr>
                <w:color w:val="000000"/>
                <w:sz w:val="20"/>
                <w:szCs w:val="20"/>
              </w:rPr>
            </w:pPr>
            <w:r>
              <w:rPr>
                <w:color w:val="000000"/>
                <w:sz w:val="20"/>
                <w:szCs w:val="20"/>
              </w:rPr>
              <w:t>0.344</w:t>
            </w:r>
          </w:p>
        </w:tc>
        <w:tc>
          <w:tcPr>
            <w:tcW w:w="768" w:type="dxa"/>
            <w:tcBorders>
              <w:top w:val="nil"/>
              <w:left w:val="nil"/>
              <w:bottom w:val="nil"/>
              <w:right w:val="nil"/>
            </w:tcBorders>
            <w:shd w:val="clear" w:color="auto" w:fill="auto"/>
            <w:noWrap/>
            <w:vAlign w:val="bottom"/>
            <w:hideMark/>
          </w:tcPr>
          <w:p w14:paraId="68D19545"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B585D38" w14:textId="77777777" w:rsidR="000604B1" w:rsidRDefault="000604B1"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17FD0F6D" w14:textId="77777777" w:rsidR="000604B1" w:rsidRDefault="000604B1" w:rsidP="005A3B4D">
            <w:pPr>
              <w:jc w:val="right"/>
              <w:rPr>
                <w:color w:val="000000"/>
                <w:sz w:val="20"/>
                <w:szCs w:val="20"/>
              </w:rPr>
            </w:pPr>
            <w:r>
              <w:rPr>
                <w:color w:val="000000"/>
                <w:sz w:val="20"/>
                <w:szCs w:val="20"/>
              </w:rPr>
              <w:t>0.650</w:t>
            </w:r>
          </w:p>
        </w:tc>
        <w:tc>
          <w:tcPr>
            <w:tcW w:w="768" w:type="dxa"/>
            <w:tcBorders>
              <w:top w:val="nil"/>
              <w:left w:val="nil"/>
              <w:bottom w:val="nil"/>
              <w:right w:val="nil"/>
            </w:tcBorders>
            <w:shd w:val="clear" w:color="auto" w:fill="auto"/>
            <w:noWrap/>
            <w:vAlign w:val="bottom"/>
            <w:hideMark/>
          </w:tcPr>
          <w:p w14:paraId="62459985" w14:textId="77777777" w:rsidR="000604B1" w:rsidRDefault="000604B1" w:rsidP="005A3B4D">
            <w:pPr>
              <w:jc w:val="right"/>
              <w:rPr>
                <w:color w:val="000000"/>
                <w:sz w:val="20"/>
                <w:szCs w:val="20"/>
              </w:rPr>
            </w:pPr>
            <w:r>
              <w:rPr>
                <w:color w:val="000000"/>
                <w:sz w:val="20"/>
                <w:szCs w:val="20"/>
              </w:rPr>
              <w:t>0.002</w:t>
            </w:r>
          </w:p>
        </w:tc>
      </w:tr>
      <w:tr w:rsidR="000604B1" w14:paraId="6641FFC0" w14:textId="77777777" w:rsidTr="005A3B4D">
        <w:trPr>
          <w:trHeight w:val="320"/>
        </w:trPr>
        <w:tc>
          <w:tcPr>
            <w:tcW w:w="1176" w:type="dxa"/>
            <w:tcBorders>
              <w:top w:val="nil"/>
              <w:left w:val="nil"/>
              <w:bottom w:val="nil"/>
              <w:right w:val="nil"/>
            </w:tcBorders>
            <w:shd w:val="clear" w:color="auto" w:fill="auto"/>
            <w:noWrap/>
            <w:vAlign w:val="bottom"/>
            <w:hideMark/>
          </w:tcPr>
          <w:p w14:paraId="06428DD4"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2479FA9" w14:textId="77777777" w:rsidR="000604B1" w:rsidRDefault="000604B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0C4DF39" w14:textId="77777777" w:rsidR="000604B1" w:rsidRDefault="000604B1" w:rsidP="005A3B4D">
            <w:pPr>
              <w:jc w:val="right"/>
              <w:rPr>
                <w:b/>
                <w:bCs/>
                <w:color w:val="000000"/>
                <w:sz w:val="20"/>
                <w:szCs w:val="20"/>
              </w:rPr>
            </w:pPr>
            <w:r>
              <w:rPr>
                <w:b/>
                <w:bCs/>
                <w:color w:val="000000"/>
                <w:sz w:val="20"/>
                <w:szCs w:val="20"/>
              </w:rPr>
              <w:t>0.060</w:t>
            </w:r>
          </w:p>
        </w:tc>
        <w:tc>
          <w:tcPr>
            <w:tcW w:w="768" w:type="dxa"/>
            <w:tcBorders>
              <w:top w:val="nil"/>
              <w:left w:val="nil"/>
              <w:bottom w:val="nil"/>
              <w:right w:val="nil"/>
            </w:tcBorders>
            <w:shd w:val="clear" w:color="auto" w:fill="auto"/>
            <w:noWrap/>
            <w:vAlign w:val="bottom"/>
            <w:hideMark/>
          </w:tcPr>
          <w:p w14:paraId="2BB47CD4" w14:textId="77777777" w:rsidR="000604B1" w:rsidRDefault="000604B1" w:rsidP="005A3B4D">
            <w:pPr>
              <w:jc w:val="right"/>
              <w:rPr>
                <w:b/>
                <w:bCs/>
                <w:color w:val="000000"/>
                <w:sz w:val="20"/>
                <w:szCs w:val="20"/>
              </w:rPr>
            </w:pPr>
            <w:r>
              <w:rPr>
                <w:b/>
                <w:bCs/>
                <w:color w:val="000000"/>
                <w:sz w:val="20"/>
                <w:szCs w:val="20"/>
              </w:rPr>
              <w:t>0.045</w:t>
            </w:r>
          </w:p>
        </w:tc>
        <w:tc>
          <w:tcPr>
            <w:tcW w:w="768" w:type="dxa"/>
            <w:tcBorders>
              <w:top w:val="nil"/>
              <w:left w:val="nil"/>
              <w:bottom w:val="nil"/>
              <w:right w:val="nil"/>
            </w:tcBorders>
            <w:shd w:val="clear" w:color="auto" w:fill="auto"/>
            <w:noWrap/>
            <w:vAlign w:val="bottom"/>
            <w:hideMark/>
          </w:tcPr>
          <w:p w14:paraId="462592CD" w14:textId="77777777" w:rsidR="000604B1" w:rsidRDefault="000604B1" w:rsidP="005A3B4D">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2A7DAEBF"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2A59AEC" w14:textId="77777777" w:rsidR="000604B1" w:rsidRDefault="000604B1" w:rsidP="005A3B4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163518CB"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04DB0C" w14:textId="77777777" w:rsidR="000604B1" w:rsidRDefault="000604B1"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6B5410C8" w14:textId="77777777" w:rsidR="000604B1" w:rsidRDefault="000604B1" w:rsidP="005A3B4D">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1314B60E"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C98F20F"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28ADB0E" w14:textId="77777777" w:rsidR="000604B1" w:rsidRDefault="000604B1" w:rsidP="005A3B4D">
            <w:pPr>
              <w:jc w:val="right"/>
              <w:rPr>
                <w:color w:val="000000"/>
                <w:sz w:val="20"/>
                <w:szCs w:val="20"/>
              </w:rPr>
            </w:pPr>
            <w:r>
              <w:rPr>
                <w:color w:val="000000"/>
                <w:sz w:val="20"/>
                <w:szCs w:val="20"/>
              </w:rPr>
              <w:t>0.717</w:t>
            </w:r>
          </w:p>
        </w:tc>
        <w:tc>
          <w:tcPr>
            <w:tcW w:w="768" w:type="dxa"/>
            <w:tcBorders>
              <w:top w:val="nil"/>
              <w:left w:val="nil"/>
              <w:bottom w:val="nil"/>
              <w:right w:val="nil"/>
            </w:tcBorders>
            <w:shd w:val="clear" w:color="auto" w:fill="auto"/>
            <w:noWrap/>
            <w:vAlign w:val="bottom"/>
            <w:hideMark/>
          </w:tcPr>
          <w:p w14:paraId="14026501"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E9A4B1" w14:textId="77777777" w:rsidR="000604B1" w:rsidRDefault="000604B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05FDF29" w14:textId="77777777" w:rsidR="000604B1" w:rsidRDefault="000604B1" w:rsidP="005A3B4D">
            <w:pPr>
              <w:jc w:val="right"/>
              <w:rPr>
                <w:color w:val="000000"/>
                <w:sz w:val="20"/>
                <w:szCs w:val="20"/>
              </w:rPr>
            </w:pPr>
            <w:r>
              <w:rPr>
                <w:color w:val="000000"/>
                <w:sz w:val="20"/>
                <w:szCs w:val="20"/>
              </w:rPr>
              <w:t>0.650</w:t>
            </w:r>
          </w:p>
        </w:tc>
        <w:tc>
          <w:tcPr>
            <w:tcW w:w="768" w:type="dxa"/>
            <w:tcBorders>
              <w:top w:val="nil"/>
              <w:left w:val="nil"/>
              <w:bottom w:val="nil"/>
              <w:right w:val="nil"/>
            </w:tcBorders>
            <w:shd w:val="clear" w:color="auto" w:fill="auto"/>
            <w:noWrap/>
            <w:vAlign w:val="bottom"/>
            <w:hideMark/>
          </w:tcPr>
          <w:p w14:paraId="6900FEF6" w14:textId="77777777" w:rsidR="000604B1" w:rsidRDefault="000604B1" w:rsidP="005A3B4D">
            <w:pPr>
              <w:jc w:val="right"/>
              <w:rPr>
                <w:color w:val="000000"/>
                <w:sz w:val="20"/>
                <w:szCs w:val="20"/>
              </w:rPr>
            </w:pPr>
            <w:r>
              <w:rPr>
                <w:color w:val="000000"/>
                <w:sz w:val="20"/>
                <w:szCs w:val="20"/>
              </w:rPr>
              <w:t>0.001</w:t>
            </w:r>
          </w:p>
        </w:tc>
      </w:tr>
      <w:tr w:rsidR="000604B1" w14:paraId="7DBAF718" w14:textId="77777777" w:rsidTr="005A3B4D">
        <w:trPr>
          <w:trHeight w:val="320"/>
        </w:trPr>
        <w:tc>
          <w:tcPr>
            <w:tcW w:w="1176" w:type="dxa"/>
            <w:tcBorders>
              <w:top w:val="nil"/>
              <w:left w:val="nil"/>
              <w:bottom w:val="nil"/>
              <w:right w:val="nil"/>
            </w:tcBorders>
            <w:shd w:val="clear" w:color="auto" w:fill="auto"/>
            <w:noWrap/>
            <w:vAlign w:val="bottom"/>
            <w:hideMark/>
          </w:tcPr>
          <w:p w14:paraId="0CFD6788"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798CC4" w14:textId="77777777" w:rsidR="000604B1" w:rsidRDefault="000604B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21A3C89" w14:textId="77777777" w:rsidR="000604B1" w:rsidRDefault="000604B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390F4AA" w14:textId="77777777" w:rsidR="000604B1" w:rsidRDefault="000604B1" w:rsidP="005A3B4D">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2B06EDA3"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D74275" w14:textId="77777777" w:rsidR="000604B1" w:rsidRDefault="000604B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41D5DD8" w14:textId="77777777" w:rsidR="000604B1" w:rsidRDefault="000604B1" w:rsidP="005A3B4D">
            <w:pPr>
              <w:jc w:val="right"/>
              <w:rPr>
                <w:color w:val="000000"/>
                <w:sz w:val="20"/>
                <w:szCs w:val="20"/>
              </w:rPr>
            </w:pPr>
            <w:r>
              <w:rPr>
                <w:color w:val="000000"/>
                <w:sz w:val="20"/>
                <w:szCs w:val="20"/>
              </w:rPr>
              <w:t>0.484</w:t>
            </w:r>
          </w:p>
        </w:tc>
        <w:tc>
          <w:tcPr>
            <w:tcW w:w="768" w:type="dxa"/>
            <w:tcBorders>
              <w:top w:val="nil"/>
              <w:left w:val="nil"/>
              <w:bottom w:val="nil"/>
              <w:right w:val="nil"/>
            </w:tcBorders>
            <w:shd w:val="clear" w:color="auto" w:fill="auto"/>
            <w:noWrap/>
            <w:vAlign w:val="bottom"/>
            <w:hideMark/>
          </w:tcPr>
          <w:p w14:paraId="65A5EB0D"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9374BC8"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9630D60" w14:textId="77777777" w:rsidR="000604B1" w:rsidRDefault="000604B1"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7804EDEB"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284C99"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0F9014" w14:textId="77777777" w:rsidR="000604B1" w:rsidRDefault="000604B1" w:rsidP="005A3B4D">
            <w:pPr>
              <w:jc w:val="right"/>
              <w:rPr>
                <w:color w:val="000000"/>
                <w:sz w:val="20"/>
                <w:szCs w:val="20"/>
              </w:rPr>
            </w:pPr>
            <w:r>
              <w:rPr>
                <w:color w:val="000000"/>
                <w:sz w:val="20"/>
                <w:szCs w:val="20"/>
              </w:rPr>
              <w:t>0.989</w:t>
            </w:r>
          </w:p>
        </w:tc>
        <w:tc>
          <w:tcPr>
            <w:tcW w:w="768" w:type="dxa"/>
            <w:tcBorders>
              <w:top w:val="nil"/>
              <w:left w:val="nil"/>
              <w:bottom w:val="nil"/>
              <w:right w:val="nil"/>
            </w:tcBorders>
            <w:shd w:val="clear" w:color="auto" w:fill="auto"/>
            <w:noWrap/>
            <w:vAlign w:val="bottom"/>
            <w:hideMark/>
          </w:tcPr>
          <w:p w14:paraId="51172AE7"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D5BF61"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1BAF73" w14:textId="77777777" w:rsidR="000604B1" w:rsidRDefault="000604B1" w:rsidP="005A3B4D">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7826A5FE" w14:textId="77777777" w:rsidR="000604B1" w:rsidRDefault="000604B1" w:rsidP="005A3B4D">
            <w:pPr>
              <w:jc w:val="right"/>
              <w:rPr>
                <w:color w:val="000000"/>
                <w:sz w:val="20"/>
                <w:szCs w:val="20"/>
              </w:rPr>
            </w:pPr>
            <w:r>
              <w:rPr>
                <w:color w:val="000000"/>
                <w:sz w:val="20"/>
                <w:szCs w:val="20"/>
              </w:rPr>
              <w:t>0.000</w:t>
            </w:r>
          </w:p>
        </w:tc>
      </w:tr>
      <w:tr w:rsidR="000604B1" w14:paraId="436280D0" w14:textId="77777777" w:rsidTr="005A3B4D">
        <w:trPr>
          <w:trHeight w:val="320"/>
        </w:trPr>
        <w:tc>
          <w:tcPr>
            <w:tcW w:w="1176" w:type="dxa"/>
            <w:tcBorders>
              <w:top w:val="nil"/>
              <w:left w:val="nil"/>
              <w:bottom w:val="nil"/>
              <w:right w:val="nil"/>
            </w:tcBorders>
            <w:shd w:val="clear" w:color="auto" w:fill="auto"/>
            <w:noWrap/>
            <w:vAlign w:val="bottom"/>
            <w:hideMark/>
          </w:tcPr>
          <w:p w14:paraId="08A65905"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B1CDAF" w14:textId="77777777" w:rsidR="000604B1" w:rsidRDefault="000604B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02CAD9B" w14:textId="77777777" w:rsidR="000604B1" w:rsidRDefault="000604B1" w:rsidP="005A3B4D">
            <w:pPr>
              <w:jc w:val="right"/>
              <w:rPr>
                <w:b/>
                <w:bCs/>
                <w:color w:val="000000"/>
                <w:sz w:val="20"/>
                <w:szCs w:val="20"/>
              </w:rPr>
            </w:pPr>
            <w:r>
              <w:rPr>
                <w:b/>
                <w:bCs/>
                <w:color w:val="000000"/>
                <w:sz w:val="20"/>
                <w:szCs w:val="20"/>
              </w:rPr>
              <w:t>0.059</w:t>
            </w:r>
          </w:p>
        </w:tc>
        <w:tc>
          <w:tcPr>
            <w:tcW w:w="768" w:type="dxa"/>
            <w:tcBorders>
              <w:top w:val="nil"/>
              <w:left w:val="nil"/>
              <w:bottom w:val="nil"/>
              <w:right w:val="nil"/>
            </w:tcBorders>
            <w:shd w:val="clear" w:color="auto" w:fill="auto"/>
            <w:noWrap/>
            <w:vAlign w:val="bottom"/>
            <w:hideMark/>
          </w:tcPr>
          <w:p w14:paraId="7D0CF709" w14:textId="77777777" w:rsidR="000604B1" w:rsidRDefault="000604B1" w:rsidP="005A3B4D">
            <w:pPr>
              <w:jc w:val="right"/>
              <w:rPr>
                <w:b/>
                <w:bCs/>
                <w:color w:val="000000"/>
                <w:sz w:val="20"/>
                <w:szCs w:val="20"/>
              </w:rPr>
            </w:pPr>
            <w:r>
              <w:rPr>
                <w:b/>
                <w:bCs/>
                <w:color w:val="000000"/>
                <w:sz w:val="20"/>
                <w:szCs w:val="20"/>
              </w:rPr>
              <w:t>0.020</w:t>
            </w:r>
          </w:p>
        </w:tc>
        <w:tc>
          <w:tcPr>
            <w:tcW w:w="768" w:type="dxa"/>
            <w:tcBorders>
              <w:top w:val="nil"/>
              <w:left w:val="nil"/>
              <w:bottom w:val="nil"/>
              <w:right w:val="nil"/>
            </w:tcBorders>
            <w:shd w:val="clear" w:color="auto" w:fill="auto"/>
            <w:noWrap/>
            <w:vAlign w:val="bottom"/>
            <w:hideMark/>
          </w:tcPr>
          <w:p w14:paraId="756E0B7A" w14:textId="77777777" w:rsidR="000604B1" w:rsidRDefault="000604B1" w:rsidP="005A3B4D">
            <w:pPr>
              <w:jc w:val="right"/>
              <w:rPr>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19BB473A" w14:textId="77777777" w:rsidR="000604B1" w:rsidRDefault="000604B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0A831F2" w14:textId="77777777" w:rsidR="000604B1" w:rsidRDefault="000604B1" w:rsidP="005A3B4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0F90DB6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3D7A4C"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8898FD3" w14:textId="77777777" w:rsidR="000604B1" w:rsidRDefault="000604B1"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405F5FCE"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EB269F" w14:textId="77777777" w:rsidR="000604B1" w:rsidRDefault="000604B1"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493571DC" w14:textId="77777777" w:rsidR="000604B1" w:rsidRDefault="000604B1" w:rsidP="005A3B4D">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225DE56F"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7378501" w14:textId="77777777" w:rsidR="000604B1" w:rsidRDefault="000604B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7F63B3F" w14:textId="77777777" w:rsidR="000604B1" w:rsidRDefault="000604B1" w:rsidP="005A3B4D">
            <w:pPr>
              <w:jc w:val="right"/>
              <w:rPr>
                <w:color w:val="000000"/>
                <w:sz w:val="20"/>
                <w:szCs w:val="20"/>
              </w:rPr>
            </w:pPr>
            <w:r>
              <w:rPr>
                <w:color w:val="000000"/>
                <w:sz w:val="20"/>
                <w:szCs w:val="20"/>
              </w:rPr>
              <w:t>0.650</w:t>
            </w:r>
          </w:p>
        </w:tc>
        <w:tc>
          <w:tcPr>
            <w:tcW w:w="768" w:type="dxa"/>
            <w:tcBorders>
              <w:top w:val="nil"/>
              <w:left w:val="nil"/>
              <w:bottom w:val="nil"/>
              <w:right w:val="nil"/>
            </w:tcBorders>
            <w:shd w:val="clear" w:color="auto" w:fill="auto"/>
            <w:noWrap/>
            <w:vAlign w:val="bottom"/>
            <w:hideMark/>
          </w:tcPr>
          <w:p w14:paraId="3C4BCF75" w14:textId="77777777" w:rsidR="000604B1" w:rsidRDefault="000604B1" w:rsidP="005A3B4D">
            <w:pPr>
              <w:jc w:val="right"/>
              <w:rPr>
                <w:color w:val="000000"/>
                <w:sz w:val="20"/>
                <w:szCs w:val="20"/>
              </w:rPr>
            </w:pPr>
            <w:r>
              <w:rPr>
                <w:color w:val="000000"/>
                <w:sz w:val="20"/>
                <w:szCs w:val="20"/>
              </w:rPr>
              <w:t>0.001</w:t>
            </w:r>
          </w:p>
        </w:tc>
      </w:tr>
      <w:tr w:rsidR="000604B1" w14:paraId="789A345F"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34F48614" w14:textId="77777777" w:rsidR="000604B1" w:rsidRDefault="000604B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3C870EE" w14:textId="77777777" w:rsidR="000604B1" w:rsidRDefault="000604B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BA10EC2" w14:textId="77777777" w:rsidR="000604B1" w:rsidRDefault="000604B1" w:rsidP="005A3B4D">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4CC02070" w14:textId="77777777" w:rsidR="000604B1" w:rsidRDefault="000604B1" w:rsidP="005A3B4D">
            <w:pPr>
              <w:jc w:val="right"/>
              <w:rPr>
                <w:color w:val="000000"/>
                <w:sz w:val="20"/>
                <w:szCs w:val="20"/>
              </w:rPr>
            </w:pPr>
            <w:r>
              <w:rPr>
                <w:color w:val="000000"/>
                <w:sz w:val="20"/>
                <w:szCs w:val="20"/>
              </w:rPr>
              <w:t>0.187</w:t>
            </w:r>
          </w:p>
        </w:tc>
        <w:tc>
          <w:tcPr>
            <w:tcW w:w="768" w:type="dxa"/>
            <w:tcBorders>
              <w:top w:val="nil"/>
              <w:left w:val="nil"/>
              <w:bottom w:val="single" w:sz="4" w:space="0" w:color="auto"/>
              <w:right w:val="nil"/>
            </w:tcBorders>
            <w:shd w:val="clear" w:color="auto" w:fill="auto"/>
            <w:noWrap/>
            <w:vAlign w:val="bottom"/>
            <w:hideMark/>
          </w:tcPr>
          <w:p w14:paraId="01A93B1D"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44D7384" w14:textId="77777777" w:rsidR="000604B1" w:rsidRDefault="000604B1" w:rsidP="005A3B4D">
            <w:pPr>
              <w:jc w:val="right"/>
              <w:rPr>
                <w:b/>
                <w:bCs/>
                <w:color w:val="000000"/>
                <w:sz w:val="20"/>
                <w:szCs w:val="20"/>
              </w:rPr>
            </w:pPr>
            <w:r>
              <w:rPr>
                <w:b/>
                <w:bCs/>
                <w:color w:val="000000"/>
                <w:sz w:val="20"/>
                <w:szCs w:val="20"/>
              </w:rPr>
              <w:t>0.099</w:t>
            </w:r>
          </w:p>
        </w:tc>
        <w:tc>
          <w:tcPr>
            <w:tcW w:w="768" w:type="dxa"/>
            <w:tcBorders>
              <w:top w:val="nil"/>
              <w:left w:val="nil"/>
              <w:bottom w:val="single" w:sz="4" w:space="0" w:color="auto"/>
              <w:right w:val="nil"/>
            </w:tcBorders>
            <w:shd w:val="clear" w:color="auto" w:fill="auto"/>
            <w:noWrap/>
            <w:vAlign w:val="bottom"/>
            <w:hideMark/>
          </w:tcPr>
          <w:p w14:paraId="3A5580B2" w14:textId="77777777" w:rsidR="000604B1" w:rsidRDefault="000604B1" w:rsidP="005A3B4D">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D3707A0" w14:textId="77777777" w:rsidR="000604B1" w:rsidRDefault="000604B1" w:rsidP="005A3B4D">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432C7298" w14:textId="77777777" w:rsidR="000604B1" w:rsidRDefault="000604B1" w:rsidP="005A3B4D">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1B351999" w14:textId="77777777" w:rsidR="000604B1" w:rsidRDefault="000604B1" w:rsidP="005A3B4D">
            <w:pPr>
              <w:jc w:val="right"/>
              <w:rPr>
                <w:color w:val="000000"/>
                <w:sz w:val="20"/>
                <w:szCs w:val="20"/>
              </w:rPr>
            </w:pPr>
            <w:r>
              <w:rPr>
                <w:color w:val="000000"/>
                <w:sz w:val="20"/>
                <w:szCs w:val="20"/>
              </w:rPr>
              <w:t>0.188</w:t>
            </w:r>
          </w:p>
        </w:tc>
        <w:tc>
          <w:tcPr>
            <w:tcW w:w="768" w:type="dxa"/>
            <w:tcBorders>
              <w:top w:val="nil"/>
              <w:left w:val="nil"/>
              <w:bottom w:val="single" w:sz="4" w:space="0" w:color="auto"/>
              <w:right w:val="nil"/>
            </w:tcBorders>
            <w:shd w:val="clear" w:color="auto" w:fill="auto"/>
            <w:noWrap/>
            <w:vAlign w:val="bottom"/>
            <w:hideMark/>
          </w:tcPr>
          <w:p w14:paraId="5F23B708"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8318D70"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200BF23B" w14:textId="77777777" w:rsidR="000604B1" w:rsidRDefault="000604B1" w:rsidP="005A3B4D">
            <w:pPr>
              <w:jc w:val="right"/>
              <w:rPr>
                <w:color w:val="000000"/>
                <w:sz w:val="20"/>
                <w:szCs w:val="20"/>
              </w:rPr>
            </w:pPr>
            <w:r>
              <w:rPr>
                <w:color w:val="000000"/>
                <w:sz w:val="20"/>
                <w:szCs w:val="20"/>
              </w:rPr>
              <w:t>0.717</w:t>
            </w:r>
          </w:p>
        </w:tc>
        <w:tc>
          <w:tcPr>
            <w:tcW w:w="768" w:type="dxa"/>
            <w:tcBorders>
              <w:top w:val="nil"/>
              <w:left w:val="nil"/>
              <w:bottom w:val="single" w:sz="4" w:space="0" w:color="auto"/>
              <w:right w:val="nil"/>
            </w:tcBorders>
            <w:shd w:val="clear" w:color="auto" w:fill="auto"/>
            <w:noWrap/>
            <w:vAlign w:val="bottom"/>
            <w:hideMark/>
          </w:tcPr>
          <w:p w14:paraId="055894A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24CA97C"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420EBE75" w14:textId="77777777" w:rsidR="000604B1" w:rsidRDefault="000604B1" w:rsidP="005A3B4D">
            <w:pPr>
              <w:jc w:val="right"/>
              <w:rPr>
                <w:color w:val="000000"/>
                <w:sz w:val="20"/>
                <w:szCs w:val="20"/>
              </w:rPr>
            </w:pPr>
            <w:r>
              <w:rPr>
                <w:color w:val="000000"/>
                <w:sz w:val="20"/>
                <w:szCs w:val="20"/>
              </w:rPr>
              <w:t>0.960</w:t>
            </w:r>
          </w:p>
        </w:tc>
        <w:tc>
          <w:tcPr>
            <w:tcW w:w="768" w:type="dxa"/>
            <w:tcBorders>
              <w:top w:val="nil"/>
              <w:left w:val="nil"/>
              <w:bottom w:val="single" w:sz="4" w:space="0" w:color="auto"/>
              <w:right w:val="nil"/>
            </w:tcBorders>
            <w:shd w:val="clear" w:color="auto" w:fill="auto"/>
            <w:noWrap/>
            <w:vAlign w:val="bottom"/>
            <w:hideMark/>
          </w:tcPr>
          <w:p w14:paraId="4AAD6220" w14:textId="77777777" w:rsidR="000604B1" w:rsidRDefault="000604B1" w:rsidP="005A3B4D">
            <w:pPr>
              <w:jc w:val="right"/>
              <w:rPr>
                <w:color w:val="000000"/>
                <w:sz w:val="20"/>
                <w:szCs w:val="20"/>
              </w:rPr>
            </w:pPr>
            <w:r>
              <w:rPr>
                <w:color w:val="000000"/>
                <w:sz w:val="20"/>
                <w:szCs w:val="20"/>
              </w:rPr>
              <w:t>0.000</w:t>
            </w:r>
          </w:p>
        </w:tc>
      </w:tr>
      <w:tr w:rsidR="000604B1" w14:paraId="0116CBBF" w14:textId="77777777" w:rsidTr="005A3B4D">
        <w:trPr>
          <w:trHeight w:val="320"/>
        </w:trPr>
        <w:tc>
          <w:tcPr>
            <w:tcW w:w="1176" w:type="dxa"/>
            <w:tcBorders>
              <w:top w:val="nil"/>
              <w:left w:val="nil"/>
              <w:bottom w:val="nil"/>
              <w:right w:val="nil"/>
            </w:tcBorders>
            <w:shd w:val="clear" w:color="auto" w:fill="auto"/>
            <w:noWrap/>
            <w:vAlign w:val="bottom"/>
            <w:hideMark/>
          </w:tcPr>
          <w:p w14:paraId="4ED81D0B" w14:textId="77777777" w:rsidR="000604B1" w:rsidRDefault="000604B1"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3DF04A3" w14:textId="77777777" w:rsidR="000604B1" w:rsidRDefault="000604B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DC1D2A8" w14:textId="77777777" w:rsidR="000604B1" w:rsidRDefault="000604B1" w:rsidP="005A3B4D">
            <w:pPr>
              <w:jc w:val="right"/>
              <w:rPr>
                <w:b/>
                <w:bCs/>
                <w:color w:val="000000"/>
                <w:sz w:val="20"/>
                <w:szCs w:val="20"/>
              </w:rPr>
            </w:pPr>
            <w:r>
              <w:rPr>
                <w:b/>
                <w:bCs/>
                <w:color w:val="000000"/>
                <w:sz w:val="20"/>
                <w:szCs w:val="20"/>
              </w:rPr>
              <w:t>-0.090</w:t>
            </w:r>
          </w:p>
        </w:tc>
        <w:tc>
          <w:tcPr>
            <w:tcW w:w="768" w:type="dxa"/>
            <w:tcBorders>
              <w:top w:val="nil"/>
              <w:left w:val="nil"/>
              <w:bottom w:val="nil"/>
              <w:right w:val="nil"/>
            </w:tcBorders>
            <w:shd w:val="clear" w:color="auto" w:fill="auto"/>
            <w:noWrap/>
            <w:vAlign w:val="bottom"/>
            <w:hideMark/>
          </w:tcPr>
          <w:p w14:paraId="7FBB5104" w14:textId="77777777" w:rsidR="000604B1" w:rsidRDefault="000604B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0200C6D" w14:textId="77777777" w:rsidR="000604B1" w:rsidRDefault="000604B1" w:rsidP="005A3B4D">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88982BE" w14:textId="77777777" w:rsidR="000604B1" w:rsidRDefault="000604B1"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E69A85C" w14:textId="77777777" w:rsidR="000604B1" w:rsidRDefault="000604B1" w:rsidP="005A3B4D">
            <w:pPr>
              <w:jc w:val="right"/>
              <w:rPr>
                <w:color w:val="000000"/>
                <w:sz w:val="20"/>
                <w:szCs w:val="20"/>
              </w:rPr>
            </w:pPr>
            <w:r>
              <w:rPr>
                <w:color w:val="000000"/>
                <w:sz w:val="20"/>
                <w:szCs w:val="20"/>
              </w:rPr>
              <w:t>0.722</w:t>
            </w:r>
          </w:p>
        </w:tc>
        <w:tc>
          <w:tcPr>
            <w:tcW w:w="768" w:type="dxa"/>
            <w:tcBorders>
              <w:top w:val="nil"/>
              <w:left w:val="nil"/>
              <w:bottom w:val="nil"/>
              <w:right w:val="nil"/>
            </w:tcBorders>
            <w:shd w:val="clear" w:color="auto" w:fill="auto"/>
            <w:noWrap/>
            <w:vAlign w:val="bottom"/>
            <w:hideMark/>
          </w:tcPr>
          <w:p w14:paraId="466CBCA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8DDD02" w14:textId="77777777" w:rsidR="000604B1" w:rsidRDefault="000604B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164721D" w14:textId="77777777" w:rsidR="000604B1" w:rsidRDefault="000604B1"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657A9AF3"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974301" w14:textId="77777777" w:rsidR="000604B1" w:rsidRDefault="000604B1"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4F25853" w14:textId="77777777" w:rsidR="000604B1" w:rsidRDefault="000604B1" w:rsidP="005A3B4D">
            <w:pPr>
              <w:jc w:val="right"/>
              <w:rPr>
                <w:color w:val="000000"/>
                <w:sz w:val="20"/>
                <w:szCs w:val="20"/>
              </w:rPr>
            </w:pPr>
            <w:r>
              <w:rPr>
                <w:color w:val="000000"/>
                <w:sz w:val="20"/>
                <w:szCs w:val="20"/>
              </w:rPr>
              <w:t>0.614</w:t>
            </w:r>
          </w:p>
        </w:tc>
        <w:tc>
          <w:tcPr>
            <w:tcW w:w="768" w:type="dxa"/>
            <w:tcBorders>
              <w:top w:val="nil"/>
              <w:left w:val="nil"/>
              <w:bottom w:val="nil"/>
              <w:right w:val="nil"/>
            </w:tcBorders>
            <w:shd w:val="clear" w:color="auto" w:fill="auto"/>
            <w:noWrap/>
            <w:vAlign w:val="bottom"/>
            <w:hideMark/>
          </w:tcPr>
          <w:p w14:paraId="4033559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689D11" w14:textId="77777777" w:rsidR="000604B1" w:rsidRDefault="000604B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45E42A9" w14:textId="77777777" w:rsidR="000604B1" w:rsidRDefault="000604B1" w:rsidP="005A3B4D">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4F300AAF" w14:textId="77777777" w:rsidR="000604B1" w:rsidRDefault="000604B1" w:rsidP="005A3B4D">
            <w:pPr>
              <w:jc w:val="right"/>
              <w:rPr>
                <w:color w:val="000000"/>
                <w:sz w:val="20"/>
                <w:szCs w:val="20"/>
              </w:rPr>
            </w:pPr>
            <w:r>
              <w:rPr>
                <w:color w:val="000000"/>
                <w:sz w:val="20"/>
                <w:szCs w:val="20"/>
              </w:rPr>
              <w:t>0.000</w:t>
            </w:r>
          </w:p>
        </w:tc>
      </w:tr>
      <w:tr w:rsidR="000604B1" w14:paraId="7D067EDB" w14:textId="77777777" w:rsidTr="005A3B4D">
        <w:trPr>
          <w:trHeight w:val="320"/>
        </w:trPr>
        <w:tc>
          <w:tcPr>
            <w:tcW w:w="1176" w:type="dxa"/>
            <w:tcBorders>
              <w:top w:val="nil"/>
              <w:left w:val="nil"/>
              <w:bottom w:val="nil"/>
              <w:right w:val="nil"/>
            </w:tcBorders>
            <w:shd w:val="clear" w:color="auto" w:fill="auto"/>
            <w:noWrap/>
            <w:vAlign w:val="bottom"/>
            <w:hideMark/>
          </w:tcPr>
          <w:p w14:paraId="62930EA4"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A58285" w14:textId="77777777" w:rsidR="000604B1" w:rsidRDefault="000604B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E8CFE8E" w14:textId="77777777" w:rsidR="000604B1" w:rsidRPr="004E7A14" w:rsidRDefault="000604B1" w:rsidP="005A3B4D">
            <w:pPr>
              <w:jc w:val="right"/>
              <w:rPr>
                <w:b/>
                <w:bCs/>
                <w:color w:val="000000"/>
                <w:sz w:val="20"/>
                <w:szCs w:val="20"/>
              </w:rPr>
            </w:pPr>
            <w:r w:rsidRPr="004E7A14">
              <w:rPr>
                <w:b/>
                <w:bCs/>
                <w:color w:val="000000"/>
                <w:sz w:val="20"/>
                <w:szCs w:val="20"/>
              </w:rPr>
              <w:t>-0.047</w:t>
            </w:r>
          </w:p>
        </w:tc>
        <w:tc>
          <w:tcPr>
            <w:tcW w:w="768" w:type="dxa"/>
            <w:tcBorders>
              <w:top w:val="nil"/>
              <w:left w:val="nil"/>
              <w:bottom w:val="nil"/>
              <w:right w:val="nil"/>
            </w:tcBorders>
            <w:shd w:val="clear" w:color="auto" w:fill="auto"/>
            <w:noWrap/>
            <w:vAlign w:val="bottom"/>
            <w:hideMark/>
          </w:tcPr>
          <w:p w14:paraId="320E9069" w14:textId="77777777" w:rsidR="000604B1" w:rsidRPr="004E7A14" w:rsidRDefault="000604B1" w:rsidP="005A3B4D">
            <w:pPr>
              <w:jc w:val="right"/>
              <w:rPr>
                <w:b/>
                <w:bCs/>
                <w:color w:val="000000"/>
                <w:sz w:val="20"/>
                <w:szCs w:val="20"/>
              </w:rPr>
            </w:pPr>
            <w:r w:rsidRPr="004E7A14">
              <w:rPr>
                <w:b/>
                <w:bCs/>
                <w:color w:val="000000"/>
                <w:sz w:val="20"/>
                <w:szCs w:val="20"/>
              </w:rPr>
              <w:t>0.047</w:t>
            </w:r>
          </w:p>
        </w:tc>
        <w:tc>
          <w:tcPr>
            <w:tcW w:w="768" w:type="dxa"/>
            <w:tcBorders>
              <w:top w:val="nil"/>
              <w:left w:val="nil"/>
              <w:bottom w:val="nil"/>
              <w:right w:val="nil"/>
            </w:tcBorders>
            <w:shd w:val="clear" w:color="auto" w:fill="auto"/>
            <w:noWrap/>
            <w:vAlign w:val="bottom"/>
            <w:hideMark/>
          </w:tcPr>
          <w:p w14:paraId="73C6EBAD" w14:textId="77777777" w:rsidR="000604B1" w:rsidRPr="004E7A14" w:rsidRDefault="000604B1" w:rsidP="005A3B4D">
            <w:pPr>
              <w:jc w:val="right"/>
              <w:rPr>
                <w:b/>
                <w:bCs/>
                <w:color w:val="000000"/>
                <w:sz w:val="20"/>
                <w:szCs w:val="20"/>
              </w:rPr>
            </w:pPr>
            <w:r w:rsidRPr="004E7A14">
              <w:rPr>
                <w:b/>
                <w:bCs/>
                <w:color w:val="000000"/>
                <w:sz w:val="20"/>
                <w:szCs w:val="20"/>
              </w:rPr>
              <w:t>0.002</w:t>
            </w:r>
          </w:p>
        </w:tc>
        <w:tc>
          <w:tcPr>
            <w:tcW w:w="768" w:type="dxa"/>
            <w:tcBorders>
              <w:top w:val="nil"/>
              <w:left w:val="nil"/>
              <w:bottom w:val="nil"/>
              <w:right w:val="nil"/>
            </w:tcBorders>
            <w:shd w:val="clear" w:color="auto" w:fill="auto"/>
            <w:noWrap/>
            <w:vAlign w:val="bottom"/>
            <w:hideMark/>
          </w:tcPr>
          <w:p w14:paraId="314C3C64"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4B59B93" w14:textId="77777777" w:rsidR="000604B1" w:rsidRDefault="000604B1" w:rsidP="005A3B4D">
            <w:pPr>
              <w:jc w:val="right"/>
              <w:rPr>
                <w:color w:val="000000"/>
                <w:sz w:val="20"/>
                <w:szCs w:val="20"/>
              </w:rPr>
            </w:pPr>
            <w:r>
              <w:rPr>
                <w:color w:val="000000"/>
                <w:sz w:val="20"/>
                <w:szCs w:val="20"/>
              </w:rPr>
              <w:t>0.821</w:t>
            </w:r>
          </w:p>
        </w:tc>
        <w:tc>
          <w:tcPr>
            <w:tcW w:w="768" w:type="dxa"/>
            <w:tcBorders>
              <w:top w:val="nil"/>
              <w:left w:val="nil"/>
              <w:bottom w:val="nil"/>
              <w:right w:val="nil"/>
            </w:tcBorders>
            <w:shd w:val="clear" w:color="auto" w:fill="auto"/>
            <w:noWrap/>
            <w:vAlign w:val="bottom"/>
            <w:hideMark/>
          </w:tcPr>
          <w:p w14:paraId="561E28AC"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0B3941"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FA06C98" w14:textId="77777777" w:rsidR="000604B1" w:rsidRDefault="000604B1"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7872F854"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ADAB1E" w14:textId="77777777" w:rsidR="000604B1" w:rsidRDefault="000604B1"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3A8AA0CC" w14:textId="77777777" w:rsidR="000604B1" w:rsidRDefault="000604B1" w:rsidP="005A3B4D">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73479889"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CB3A53A" w14:textId="77777777" w:rsidR="000604B1" w:rsidRDefault="000604B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2D65373" w14:textId="77777777" w:rsidR="000604B1" w:rsidRDefault="000604B1" w:rsidP="005A3B4D">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634C3127" w14:textId="77777777" w:rsidR="000604B1" w:rsidRDefault="000604B1" w:rsidP="005A3B4D">
            <w:pPr>
              <w:jc w:val="right"/>
              <w:rPr>
                <w:color w:val="000000"/>
                <w:sz w:val="20"/>
                <w:szCs w:val="20"/>
              </w:rPr>
            </w:pPr>
            <w:r>
              <w:rPr>
                <w:color w:val="000000"/>
                <w:sz w:val="20"/>
                <w:szCs w:val="20"/>
              </w:rPr>
              <w:t>0.000</w:t>
            </w:r>
          </w:p>
        </w:tc>
      </w:tr>
      <w:tr w:rsidR="000604B1" w14:paraId="4B32C25D" w14:textId="77777777" w:rsidTr="005A3B4D">
        <w:trPr>
          <w:trHeight w:val="320"/>
        </w:trPr>
        <w:tc>
          <w:tcPr>
            <w:tcW w:w="1176" w:type="dxa"/>
            <w:tcBorders>
              <w:top w:val="nil"/>
              <w:left w:val="nil"/>
              <w:bottom w:val="nil"/>
              <w:right w:val="nil"/>
            </w:tcBorders>
            <w:shd w:val="clear" w:color="auto" w:fill="auto"/>
            <w:noWrap/>
            <w:vAlign w:val="bottom"/>
            <w:hideMark/>
          </w:tcPr>
          <w:p w14:paraId="7D3D81A7"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BA3EBAA" w14:textId="77777777" w:rsidR="000604B1" w:rsidRDefault="000604B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A94A650" w14:textId="77777777" w:rsidR="000604B1" w:rsidRDefault="000604B1"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53BCFE76" w14:textId="77777777" w:rsidR="000604B1" w:rsidRDefault="000604B1" w:rsidP="005A3B4D">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147AE5F0"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D3DF56" w14:textId="77777777" w:rsidR="000604B1" w:rsidRDefault="000604B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02BB417" w14:textId="77777777" w:rsidR="000604B1" w:rsidRDefault="000604B1" w:rsidP="005A3B4D">
            <w:pPr>
              <w:jc w:val="right"/>
              <w:rPr>
                <w:color w:val="000000"/>
                <w:sz w:val="20"/>
                <w:szCs w:val="20"/>
              </w:rPr>
            </w:pPr>
            <w:r>
              <w:rPr>
                <w:color w:val="000000"/>
                <w:sz w:val="20"/>
                <w:szCs w:val="20"/>
              </w:rPr>
              <w:t>0.821</w:t>
            </w:r>
          </w:p>
        </w:tc>
        <w:tc>
          <w:tcPr>
            <w:tcW w:w="768" w:type="dxa"/>
            <w:tcBorders>
              <w:top w:val="nil"/>
              <w:left w:val="nil"/>
              <w:bottom w:val="nil"/>
              <w:right w:val="nil"/>
            </w:tcBorders>
            <w:shd w:val="clear" w:color="auto" w:fill="auto"/>
            <w:noWrap/>
            <w:vAlign w:val="bottom"/>
            <w:hideMark/>
          </w:tcPr>
          <w:p w14:paraId="07A8CBF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A6AFDA" w14:textId="77777777" w:rsidR="000604B1" w:rsidRDefault="000604B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2B54392" w14:textId="77777777" w:rsidR="000604B1" w:rsidRDefault="000604B1"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1EEDF7CE"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48636B" w14:textId="77777777" w:rsidR="000604B1" w:rsidRDefault="000604B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361AC196" w14:textId="77777777" w:rsidR="000604B1" w:rsidRDefault="000604B1" w:rsidP="005A3B4D">
            <w:pPr>
              <w:jc w:val="right"/>
              <w:rPr>
                <w:color w:val="000000"/>
                <w:sz w:val="20"/>
                <w:szCs w:val="20"/>
              </w:rPr>
            </w:pPr>
            <w:r>
              <w:rPr>
                <w:color w:val="000000"/>
                <w:sz w:val="20"/>
                <w:szCs w:val="20"/>
              </w:rPr>
              <w:t>0.614</w:t>
            </w:r>
          </w:p>
        </w:tc>
        <w:tc>
          <w:tcPr>
            <w:tcW w:w="768" w:type="dxa"/>
            <w:tcBorders>
              <w:top w:val="nil"/>
              <w:left w:val="nil"/>
              <w:bottom w:val="nil"/>
              <w:right w:val="nil"/>
            </w:tcBorders>
            <w:shd w:val="clear" w:color="auto" w:fill="auto"/>
            <w:noWrap/>
            <w:vAlign w:val="bottom"/>
            <w:hideMark/>
          </w:tcPr>
          <w:p w14:paraId="3B81566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DDA9FA" w14:textId="77777777" w:rsidR="000604B1" w:rsidRDefault="000604B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1CECADE" w14:textId="77777777" w:rsidR="000604B1" w:rsidRDefault="000604B1" w:rsidP="005A3B4D">
            <w:pPr>
              <w:jc w:val="right"/>
              <w:rPr>
                <w:color w:val="000000"/>
                <w:sz w:val="20"/>
                <w:szCs w:val="20"/>
              </w:rPr>
            </w:pPr>
            <w:r>
              <w:rPr>
                <w:color w:val="000000"/>
                <w:sz w:val="20"/>
                <w:szCs w:val="20"/>
              </w:rPr>
              <w:t>0.525</w:t>
            </w:r>
          </w:p>
        </w:tc>
        <w:tc>
          <w:tcPr>
            <w:tcW w:w="768" w:type="dxa"/>
            <w:tcBorders>
              <w:top w:val="nil"/>
              <w:left w:val="nil"/>
              <w:bottom w:val="nil"/>
              <w:right w:val="nil"/>
            </w:tcBorders>
            <w:shd w:val="clear" w:color="auto" w:fill="auto"/>
            <w:noWrap/>
            <w:vAlign w:val="bottom"/>
            <w:hideMark/>
          </w:tcPr>
          <w:p w14:paraId="6549619D" w14:textId="77777777" w:rsidR="000604B1" w:rsidRDefault="000604B1" w:rsidP="005A3B4D">
            <w:pPr>
              <w:jc w:val="right"/>
              <w:rPr>
                <w:color w:val="000000"/>
                <w:sz w:val="20"/>
                <w:szCs w:val="20"/>
              </w:rPr>
            </w:pPr>
            <w:r>
              <w:rPr>
                <w:color w:val="000000"/>
                <w:sz w:val="20"/>
                <w:szCs w:val="20"/>
              </w:rPr>
              <w:t>0.001</w:t>
            </w:r>
          </w:p>
        </w:tc>
      </w:tr>
      <w:tr w:rsidR="000604B1" w14:paraId="1904A0C5" w14:textId="77777777" w:rsidTr="005A3B4D">
        <w:trPr>
          <w:trHeight w:val="320"/>
        </w:trPr>
        <w:tc>
          <w:tcPr>
            <w:tcW w:w="1176" w:type="dxa"/>
            <w:tcBorders>
              <w:top w:val="nil"/>
              <w:left w:val="nil"/>
              <w:bottom w:val="nil"/>
              <w:right w:val="nil"/>
            </w:tcBorders>
            <w:shd w:val="clear" w:color="auto" w:fill="auto"/>
            <w:noWrap/>
            <w:vAlign w:val="bottom"/>
            <w:hideMark/>
          </w:tcPr>
          <w:p w14:paraId="75574D10"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345281" w14:textId="77777777" w:rsidR="000604B1" w:rsidRDefault="000604B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F4DE3B9" w14:textId="77777777" w:rsidR="000604B1" w:rsidRDefault="000604B1" w:rsidP="005A3B4D">
            <w:pPr>
              <w:jc w:val="right"/>
              <w:rPr>
                <w:b/>
                <w:bCs/>
                <w:color w:val="000000"/>
                <w:sz w:val="20"/>
                <w:szCs w:val="20"/>
              </w:rPr>
            </w:pPr>
            <w:r>
              <w:rPr>
                <w:b/>
                <w:bCs/>
                <w:color w:val="000000"/>
                <w:sz w:val="20"/>
                <w:szCs w:val="20"/>
              </w:rPr>
              <w:t>0.056</w:t>
            </w:r>
          </w:p>
        </w:tc>
        <w:tc>
          <w:tcPr>
            <w:tcW w:w="768" w:type="dxa"/>
            <w:tcBorders>
              <w:top w:val="nil"/>
              <w:left w:val="nil"/>
              <w:bottom w:val="nil"/>
              <w:right w:val="nil"/>
            </w:tcBorders>
            <w:shd w:val="clear" w:color="auto" w:fill="auto"/>
            <w:noWrap/>
            <w:vAlign w:val="bottom"/>
            <w:hideMark/>
          </w:tcPr>
          <w:p w14:paraId="2A260746" w14:textId="77777777" w:rsidR="000604B1" w:rsidRDefault="000604B1" w:rsidP="005A3B4D">
            <w:pPr>
              <w:jc w:val="right"/>
              <w:rPr>
                <w:b/>
                <w:bCs/>
                <w:color w:val="000000"/>
                <w:sz w:val="20"/>
                <w:szCs w:val="20"/>
              </w:rPr>
            </w:pPr>
            <w:r>
              <w:rPr>
                <w:b/>
                <w:bCs/>
                <w:color w:val="000000"/>
                <w:sz w:val="20"/>
                <w:szCs w:val="20"/>
              </w:rPr>
              <w:t>0.046</w:t>
            </w:r>
          </w:p>
        </w:tc>
        <w:tc>
          <w:tcPr>
            <w:tcW w:w="768" w:type="dxa"/>
            <w:tcBorders>
              <w:top w:val="nil"/>
              <w:left w:val="nil"/>
              <w:bottom w:val="nil"/>
              <w:right w:val="nil"/>
            </w:tcBorders>
            <w:shd w:val="clear" w:color="auto" w:fill="auto"/>
            <w:noWrap/>
            <w:vAlign w:val="bottom"/>
            <w:hideMark/>
          </w:tcPr>
          <w:p w14:paraId="0FF1E4D2" w14:textId="77777777" w:rsidR="000604B1" w:rsidRDefault="000604B1" w:rsidP="005A3B4D">
            <w:pPr>
              <w:jc w:val="right"/>
              <w:rPr>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4DE3FE57" w14:textId="77777777" w:rsidR="000604B1" w:rsidRDefault="000604B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EA13655" w14:textId="77777777" w:rsidR="000604B1" w:rsidRDefault="000604B1" w:rsidP="005A3B4D">
            <w:pPr>
              <w:jc w:val="right"/>
              <w:rPr>
                <w:color w:val="000000"/>
                <w:sz w:val="20"/>
                <w:szCs w:val="20"/>
              </w:rPr>
            </w:pPr>
            <w:r>
              <w:rPr>
                <w:color w:val="000000"/>
                <w:sz w:val="20"/>
                <w:szCs w:val="20"/>
              </w:rPr>
              <w:t>0.371</w:t>
            </w:r>
          </w:p>
        </w:tc>
        <w:tc>
          <w:tcPr>
            <w:tcW w:w="768" w:type="dxa"/>
            <w:tcBorders>
              <w:top w:val="nil"/>
              <w:left w:val="nil"/>
              <w:bottom w:val="nil"/>
              <w:right w:val="nil"/>
            </w:tcBorders>
            <w:shd w:val="clear" w:color="auto" w:fill="auto"/>
            <w:noWrap/>
            <w:vAlign w:val="bottom"/>
            <w:hideMark/>
          </w:tcPr>
          <w:p w14:paraId="49AE35D7"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546694" w14:textId="77777777" w:rsidR="000604B1" w:rsidRDefault="000604B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FEFFDB4" w14:textId="77777777" w:rsidR="000604B1" w:rsidRDefault="000604B1"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24E4B63D"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2FFF73" w14:textId="77777777" w:rsidR="000604B1" w:rsidRDefault="000604B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D67CEF2" w14:textId="77777777" w:rsidR="000604B1" w:rsidRDefault="000604B1"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227AF09C"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6D4A37" w14:textId="77777777" w:rsidR="000604B1" w:rsidRDefault="000604B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8C50D00" w14:textId="77777777" w:rsidR="000604B1" w:rsidRDefault="000604B1" w:rsidP="005A3B4D">
            <w:pPr>
              <w:jc w:val="right"/>
              <w:rPr>
                <w:color w:val="000000"/>
                <w:sz w:val="20"/>
                <w:szCs w:val="20"/>
              </w:rPr>
            </w:pPr>
            <w:r>
              <w:rPr>
                <w:color w:val="000000"/>
                <w:sz w:val="20"/>
                <w:szCs w:val="20"/>
              </w:rPr>
              <w:t>0.525</w:t>
            </w:r>
          </w:p>
        </w:tc>
        <w:tc>
          <w:tcPr>
            <w:tcW w:w="768" w:type="dxa"/>
            <w:tcBorders>
              <w:top w:val="nil"/>
              <w:left w:val="nil"/>
              <w:bottom w:val="nil"/>
              <w:right w:val="nil"/>
            </w:tcBorders>
            <w:shd w:val="clear" w:color="auto" w:fill="auto"/>
            <w:noWrap/>
            <w:vAlign w:val="bottom"/>
            <w:hideMark/>
          </w:tcPr>
          <w:p w14:paraId="7A909DDA" w14:textId="77777777" w:rsidR="000604B1" w:rsidRDefault="000604B1" w:rsidP="005A3B4D">
            <w:pPr>
              <w:jc w:val="right"/>
              <w:rPr>
                <w:color w:val="000000"/>
                <w:sz w:val="20"/>
                <w:szCs w:val="20"/>
              </w:rPr>
            </w:pPr>
            <w:r>
              <w:rPr>
                <w:color w:val="000000"/>
                <w:sz w:val="20"/>
                <w:szCs w:val="20"/>
              </w:rPr>
              <w:t>0.001</w:t>
            </w:r>
          </w:p>
        </w:tc>
      </w:tr>
      <w:tr w:rsidR="000604B1" w14:paraId="15E079B3" w14:textId="77777777" w:rsidTr="005A3B4D">
        <w:trPr>
          <w:trHeight w:val="320"/>
        </w:trPr>
        <w:tc>
          <w:tcPr>
            <w:tcW w:w="1176" w:type="dxa"/>
            <w:tcBorders>
              <w:top w:val="nil"/>
              <w:left w:val="nil"/>
              <w:bottom w:val="nil"/>
              <w:right w:val="nil"/>
            </w:tcBorders>
            <w:shd w:val="clear" w:color="auto" w:fill="auto"/>
            <w:noWrap/>
            <w:vAlign w:val="bottom"/>
            <w:hideMark/>
          </w:tcPr>
          <w:p w14:paraId="619860AF"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DC1FF7A" w14:textId="77777777" w:rsidR="000604B1" w:rsidRDefault="000604B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672C65D" w14:textId="77777777" w:rsidR="000604B1" w:rsidRDefault="000604B1" w:rsidP="005A3B4D">
            <w:pPr>
              <w:jc w:val="right"/>
              <w:rPr>
                <w:b/>
                <w:bCs/>
                <w:color w:val="000000"/>
                <w:sz w:val="20"/>
                <w:szCs w:val="20"/>
              </w:rPr>
            </w:pPr>
            <w:r>
              <w:rPr>
                <w:b/>
                <w:bCs/>
                <w:color w:val="000000"/>
                <w:sz w:val="20"/>
                <w:szCs w:val="20"/>
              </w:rPr>
              <w:t>0.067</w:t>
            </w:r>
          </w:p>
        </w:tc>
        <w:tc>
          <w:tcPr>
            <w:tcW w:w="768" w:type="dxa"/>
            <w:tcBorders>
              <w:top w:val="nil"/>
              <w:left w:val="nil"/>
              <w:bottom w:val="nil"/>
              <w:right w:val="nil"/>
            </w:tcBorders>
            <w:shd w:val="clear" w:color="auto" w:fill="auto"/>
            <w:noWrap/>
            <w:vAlign w:val="bottom"/>
            <w:hideMark/>
          </w:tcPr>
          <w:p w14:paraId="7C30857E" w14:textId="77777777" w:rsidR="000604B1" w:rsidRDefault="000604B1" w:rsidP="005A3B4D">
            <w:pPr>
              <w:jc w:val="right"/>
              <w:rPr>
                <w:b/>
                <w:bCs/>
                <w:color w:val="000000"/>
                <w:sz w:val="20"/>
                <w:szCs w:val="20"/>
              </w:rPr>
            </w:pPr>
            <w:r>
              <w:rPr>
                <w:b/>
                <w:bCs/>
                <w:color w:val="000000"/>
                <w:sz w:val="20"/>
                <w:szCs w:val="20"/>
              </w:rPr>
              <w:t>0.012</w:t>
            </w:r>
          </w:p>
        </w:tc>
        <w:tc>
          <w:tcPr>
            <w:tcW w:w="768" w:type="dxa"/>
            <w:tcBorders>
              <w:top w:val="nil"/>
              <w:left w:val="nil"/>
              <w:bottom w:val="nil"/>
              <w:right w:val="nil"/>
            </w:tcBorders>
            <w:shd w:val="clear" w:color="auto" w:fill="auto"/>
            <w:noWrap/>
            <w:vAlign w:val="bottom"/>
            <w:hideMark/>
          </w:tcPr>
          <w:p w14:paraId="6C7E3D50" w14:textId="77777777" w:rsidR="000604B1" w:rsidRDefault="000604B1" w:rsidP="005A3B4D">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420320B8"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D0B1A06" w14:textId="77777777" w:rsidR="000604B1" w:rsidRDefault="000604B1" w:rsidP="005A3B4D">
            <w:pPr>
              <w:jc w:val="right"/>
              <w:rPr>
                <w:color w:val="000000"/>
                <w:sz w:val="20"/>
                <w:szCs w:val="20"/>
              </w:rPr>
            </w:pPr>
            <w:r>
              <w:rPr>
                <w:color w:val="000000"/>
                <w:sz w:val="20"/>
                <w:szCs w:val="20"/>
              </w:rPr>
              <w:t>0.821</w:t>
            </w:r>
          </w:p>
        </w:tc>
        <w:tc>
          <w:tcPr>
            <w:tcW w:w="768" w:type="dxa"/>
            <w:tcBorders>
              <w:top w:val="nil"/>
              <w:left w:val="nil"/>
              <w:bottom w:val="nil"/>
              <w:right w:val="nil"/>
            </w:tcBorders>
            <w:shd w:val="clear" w:color="auto" w:fill="auto"/>
            <w:noWrap/>
            <w:vAlign w:val="bottom"/>
            <w:hideMark/>
          </w:tcPr>
          <w:p w14:paraId="7DF21039"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6555D0" w14:textId="77777777" w:rsidR="000604B1" w:rsidRDefault="000604B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C99F730" w14:textId="77777777" w:rsidR="000604B1" w:rsidRDefault="000604B1" w:rsidP="005A3B4D">
            <w:pPr>
              <w:jc w:val="right"/>
              <w:rPr>
                <w:color w:val="000000"/>
                <w:sz w:val="20"/>
                <w:szCs w:val="20"/>
              </w:rPr>
            </w:pPr>
            <w:r>
              <w:rPr>
                <w:color w:val="000000"/>
                <w:sz w:val="20"/>
                <w:szCs w:val="20"/>
              </w:rPr>
              <w:t>0.292</w:t>
            </w:r>
          </w:p>
        </w:tc>
        <w:tc>
          <w:tcPr>
            <w:tcW w:w="768" w:type="dxa"/>
            <w:tcBorders>
              <w:top w:val="nil"/>
              <w:left w:val="nil"/>
              <w:bottom w:val="nil"/>
              <w:right w:val="nil"/>
            </w:tcBorders>
            <w:shd w:val="clear" w:color="auto" w:fill="auto"/>
            <w:noWrap/>
            <w:vAlign w:val="bottom"/>
            <w:hideMark/>
          </w:tcPr>
          <w:p w14:paraId="29ACB21F"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13A2640"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EDA6109" w14:textId="77777777" w:rsidR="000604B1" w:rsidRDefault="000604B1"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6AC94C71"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867167" w14:textId="77777777" w:rsidR="000604B1" w:rsidRDefault="000604B1"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0BB95B0E" w14:textId="77777777" w:rsidR="000604B1" w:rsidRDefault="000604B1"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60E6EB5F" w14:textId="77777777" w:rsidR="000604B1" w:rsidRDefault="000604B1" w:rsidP="005A3B4D">
            <w:pPr>
              <w:jc w:val="right"/>
              <w:rPr>
                <w:color w:val="000000"/>
                <w:sz w:val="20"/>
                <w:szCs w:val="20"/>
              </w:rPr>
            </w:pPr>
            <w:r>
              <w:rPr>
                <w:color w:val="000000"/>
                <w:sz w:val="20"/>
                <w:szCs w:val="20"/>
              </w:rPr>
              <w:t>0.003</w:t>
            </w:r>
          </w:p>
        </w:tc>
      </w:tr>
      <w:tr w:rsidR="000604B1" w14:paraId="6BD59DAF" w14:textId="77777777" w:rsidTr="005A3B4D">
        <w:trPr>
          <w:trHeight w:val="320"/>
        </w:trPr>
        <w:tc>
          <w:tcPr>
            <w:tcW w:w="1176" w:type="dxa"/>
            <w:tcBorders>
              <w:top w:val="nil"/>
              <w:left w:val="nil"/>
              <w:bottom w:val="nil"/>
              <w:right w:val="nil"/>
            </w:tcBorders>
            <w:shd w:val="clear" w:color="auto" w:fill="auto"/>
            <w:noWrap/>
            <w:vAlign w:val="bottom"/>
            <w:hideMark/>
          </w:tcPr>
          <w:p w14:paraId="5FA987DD"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CE2033" w14:textId="77777777" w:rsidR="000604B1" w:rsidRDefault="000604B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FB6021E" w14:textId="77777777" w:rsidR="000604B1" w:rsidRPr="004E7A14" w:rsidRDefault="000604B1" w:rsidP="005A3B4D">
            <w:pPr>
              <w:jc w:val="right"/>
              <w:rPr>
                <w:b/>
                <w:bCs/>
                <w:color w:val="000000"/>
                <w:sz w:val="20"/>
                <w:szCs w:val="20"/>
              </w:rPr>
            </w:pPr>
            <w:r w:rsidRPr="004E7A14">
              <w:rPr>
                <w:b/>
                <w:bCs/>
                <w:color w:val="000000"/>
                <w:sz w:val="20"/>
                <w:szCs w:val="20"/>
              </w:rPr>
              <w:t>-0.045</w:t>
            </w:r>
          </w:p>
        </w:tc>
        <w:tc>
          <w:tcPr>
            <w:tcW w:w="768" w:type="dxa"/>
            <w:tcBorders>
              <w:top w:val="nil"/>
              <w:left w:val="nil"/>
              <w:bottom w:val="nil"/>
              <w:right w:val="nil"/>
            </w:tcBorders>
            <w:shd w:val="clear" w:color="auto" w:fill="auto"/>
            <w:noWrap/>
            <w:vAlign w:val="bottom"/>
            <w:hideMark/>
          </w:tcPr>
          <w:p w14:paraId="147C1E94" w14:textId="77777777" w:rsidR="000604B1" w:rsidRPr="004E7A14" w:rsidRDefault="000604B1" w:rsidP="005A3B4D">
            <w:pPr>
              <w:jc w:val="right"/>
              <w:rPr>
                <w:b/>
                <w:bCs/>
                <w:color w:val="000000"/>
                <w:sz w:val="20"/>
                <w:szCs w:val="20"/>
              </w:rPr>
            </w:pPr>
            <w:r w:rsidRPr="004E7A14">
              <w:rPr>
                <w:b/>
                <w:bCs/>
                <w:color w:val="000000"/>
                <w:sz w:val="20"/>
                <w:szCs w:val="20"/>
              </w:rPr>
              <w:t>0.047</w:t>
            </w:r>
          </w:p>
        </w:tc>
        <w:tc>
          <w:tcPr>
            <w:tcW w:w="768" w:type="dxa"/>
            <w:tcBorders>
              <w:top w:val="nil"/>
              <w:left w:val="nil"/>
              <w:bottom w:val="nil"/>
              <w:right w:val="nil"/>
            </w:tcBorders>
            <w:shd w:val="clear" w:color="auto" w:fill="auto"/>
            <w:noWrap/>
            <w:vAlign w:val="bottom"/>
            <w:hideMark/>
          </w:tcPr>
          <w:p w14:paraId="78ADD9E5" w14:textId="77777777" w:rsidR="000604B1" w:rsidRPr="004E7A14" w:rsidRDefault="000604B1" w:rsidP="005A3B4D">
            <w:pPr>
              <w:jc w:val="right"/>
              <w:rPr>
                <w:b/>
                <w:bCs/>
                <w:color w:val="000000"/>
                <w:sz w:val="20"/>
                <w:szCs w:val="20"/>
              </w:rPr>
            </w:pPr>
            <w:r w:rsidRPr="004E7A14">
              <w:rPr>
                <w:b/>
                <w:bCs/>
                <w:color w:val="000000"/>
                <w:sz w:val="20"/>
                <w:szCs w:val="20"/>
              </w:rPr>
              <w:t>0.002</w:t>
            </w:r>
          </w:p>
        </w:tc>
        <w:tc>
          <w:tcPr>
            <w:tcW w:w="768" w:type="dxa"/>
            <w:tcBorders>
              <w:top w:val="nil"/>
              <w:left w:val="nil"/>
              <w:bottom w:val="nil"/>
              <w:right w:val="nil"/>
            </w:tcBorders>
            <w:shd w:val="clear" w:color="auto" w:fill="auto"/>
            <w:noWrap/>
            <w:vAlign w:val="bottom"/>
            <w:hideMark/>
          </w:tcPr>
          <w:p w14:paraId="408D26FE" w14:textId="77777777" w:rsidR="000604B1" w:rsidRDefault="000604B1"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021DC168" w14:textId="77777777" w:rsidR="000604B1" w:rsidRDefault="000604B1" w:rsidP="005A3B4D">
            <w:pPr>
              <w:jc w:val="right"/>
              <w:rPr>
                <w:color w:val="000000"/>
                <w:sz w:val="20"/>
                <w:szCs w:val="20"/>
              </w:rPr>
            </w:pPr>
            <w:r>
              <w:rPr>
                <w:color w:val="000000"/>
                <w:sz w:val="20"/>
                <w:szCs w:val="20"/>
              </w:rPr>
              <w:t>0.371</w:t>
            </w:r>
          </w:p>
        </w:tc>
        <w:tc>
          <w:tcPr>
            <w:tcW w:w="768" w:type="dxa"/>
            <w:tcBorders>
              <w:top w:val="nil"/>
              <w:left w:val="nil"/>
              <w:bottom w:val="nil"/>
              <w:right w:val="nil"/>
            </w:tcBorders>
            <w:shd w:val="clear" w:color="auto" w:fill="auto"/>
            <w:noWrap/>
            <w:vAlign w:val="bottom"/>
            <w:hideMark/>
          </w:tcPr>
          <w:p w14:paraId="4A91722C"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D5CF16"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D766C50" w14:textId="77777777" w:rsidR="000604B1" w:rsidRDefault="000604B1"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5326136D"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C418AE" w14:textId="77777777" w:rsidR="000604B1" w:rsidRDefault="000604B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BF3D47A" w14:textId="77777777" w:rsidR="000604B1" w:rsidRDefault="000604B1"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342B4388"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CA91DE" w14:textId="77777777" w:rsidR="000604B1" w:rsidRDefault="000604B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84AED34" w14:textId="77777777" w:rsidR="000604B1" w:rsidRDefault="000604B1" w:rsidP="005A3B4D">
            <w:pPr>
              <w:jc w:val="right"/>
              <w:rPr>
                <w:color w:val="000000"/>
                <w:sz w:val="20"/>
                <w:szCs w:val="20"/>
              </w:rPr>
            </w:pPr>
            <w:r>
              <w:rPr>
                <w:color w:val="000000"/>
                <w:sz w:val="20"/>
                <w:szCs w:val="20"/>
              </w:rPr>
              <w:t>0.525</w:t>
            </w:r>
          </w:p>
        </w:tc>
        <w:tc>
          <w:tcPr>
            <w:tcW w:w="768" w:type="dxa"/>
            <w:tcBorders>
              <w:top w:val="nil"/>
              <w:left w:val="nil"/>
              <w:bottom w:val="nil"/>
              <w:right w:val="nil"/>
            </w:tcBorders>
            <w:shd w:val="clear" w:color="auto" w:fill="auto"/>
            <w:noWrap/>
            <w:vAlign w:val="bottom"/>
            <w:hideMark/>
          </w:tcPr>
          <w:p w14:paraId="7D7AD1F5" w14:textId="77777777" w:rsidR="000604B1" w:rsidRDefault="000604B1" w:rsidP="005A3B4D">
            <w:pPr>
              <w:jc w:val="right"/>
              <w:rPr>
                <w:color w:val="000000"/>
                <w:sz w:val="20"/>
                <w:szCs w:val="20"/>
              </w:rPr>
            </w:pPr>
            <w:r>
              <w:rPr>
                <w:color w:val="000000"/>
                <w:sz w:val="20"/>
                <w:szCs w:val="20"/>
              </w:rPr>
              <w:t>0.001</w:t>
            </w:r>
          </w:p>
        </w:tc>
      </w:tr>
      <w:tr w:rsidR="000604B1" w14:paraId="0DC32E6D" w14:textId="77777777" w:rsidTr="005A3B4D">
        <w:trPr>
          <w:trHeight w:val="320"/>
        </w:trPr>
        <w:tc>
          <w:tcPr>
            <w:tcW w:w="1176" w:type="dxa"/>
            <w:tcBorders>
              <w:top w:val="nil"/>
              <w:left w:val="nil"/>
              <w:bottom w:val="nil"/>
              <w:right w:val="nil"/>
            </w:tcBorders>
            <w:shd w:val="clear" w:color="auto" w:fill="auto"/>
            <w:noWrap/>
            <w:vAlign w:val="bottom"/>
            <w:hideMark/>
          </w:tcPr>
          <w:p w14:paraId="7D0F422C"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D6A9F13" w14:textId="77777777" w:rsidR="000604B1" w:rsidRDefault="000604B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E6576F2" w14:textId="77777777" w:rsidR="000604B1" w:rsidRDefault="000604B1" w:rsidP="005A3B4D">
            <w:pPr>
              <w:jc w:val="right"/>
              <w:rPr>
                <w:b/>
                <w:bCs/>
                <w:color w:val="000000"/>
                <w:sz w:val="20"/>
                <w:szCs w:val="20"/>
              </w:rPr>
            </w:pPr>
            <w:r>
              <w:rPr>
                <w:b/>
                <w:bCs/>
                <w:color w:val="000000"/>
                <w:sz w:val="20"/>
                <w:szCs w:val="20"/>
              </w:rPr>
              <w:t>0.047</w:t>
            </w:r>
          </w:p>
        </w:tc>
        <w:tc>
          <w:tcPr>
            <w:tcW w:w="768" w:type="dxa"/>
            <w:tcBorders>
              <w:top w:val="nil"/>
              <w:left w:val="nil"/>
              <w:bottom w:val="nil"/>
              <w:right w:val="nil"/>
            </w:tcBorders>
            <w:shd w:val="clear" w:color="auto" w:fill="auto"/>
            <w:noWrap/>
            <w:vAlign w:val="bottom"/>
            <w:hideMark/>
          </w:tcPr>
          <w:p w14:paraId="6590C9A0" w14:textId="77777777" w:rsidR="000604B1" w:rsidRDefault="000604B1" w:rsidP="005A3B4D">
            <w:pPr>
              <w:jc w:val="right"/>
              <w:rPr>
                <w:b/>
                <w:bCs/>
                <w:color w:val="000000"/>
                <w:sz w:val="20"/>
                <w:szCs w:val="20"/>
              </w:rPr>
            </w:pPr>
            <w:r>
              <w:rPr>
                <w:b/>
                <w:bCs/>
                <w:color w:val="000000"/>
                <w:sz w:val="20"/>
                <w:szCs w:val="20"/>
              </w:rPr>
              <w:t>0.046</w:t>
            </w:r>
          </w:p>
        </w:tc>
        <w:tc>
          <w:tcPr>
            <w:tcW w:w="768" w:type="dxa"/>
            <w:tcBorders>
              <w:top w:val="nil"/>
              <w:left w:val="nil"/>
              <w:bottom w:val="nil"/>
              <w:right w:val="nil"/>
            </w:tcBorders>
            <w:shd w:val="clear" w:color="auto" w:fill="auto"/>
            <w:noWrap/>
            <w:vAlign w:val="bottom"/>
            <w:hideMark/>
          </w:tcPr>
          <w:p w14:paraId="7E93E34D" w14:textId="77777777" w:rsidR="000604B1" w:rsidRDefault="000604B1" w:rsidP="005A3B4D">
            <w:pPr>
              <w:jc w:val="right"/>
              <w:rPr>
                <w:color w:val="000000"/>
                <w:sz w:val="20"/>
                <w:szCs w:val="20"/>
              </w:rPr>
            </w:pPr>
            <w:r>
              <w:rPr>
                <w:b/>
                <w:bCs/>
                <w:color w:val="000000"/>
                <w:sz w:val="20"/>
                <w:szCs w:val="20"/>
              </w:rPr>
              <w:t>0.002</w:t>
            </w:r>
          </w:p>
        </w:tc>
        <w:tc>
          <w:tcPr>
            <w:tcW w:w="768" w:type="dxa"/>
            <w:tcBorders>
              <w:top w:val="nil"/>
              <w:left w:val="nil"/>
              <w:bottom w:val="nil"/>
              <w:right w:val="nil"/>
            </w:tcBorders>
            <w:shd w:val="clear" w:color="auto" w:fill="auto"/>
            <w:noWrap/>
            <w:vAlign w:val="bottom"/>
            <w:hideMark/>
          </w:tcPr>
          <w:p w14:paraId="0A83FB8F" w14:textId="77777777" w:rsidR="000604B1" w:rsidRDefault="000604B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45656B9" w14:textId="77777777" w:rsidR="000604B1" w:rsidRDefault="000604B1" w:rsidP="005A3B4D">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7F49AC67"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67EA45"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59346D6" w14:textId="77777777" w:rsidR="000604B1" w:rsidRDefault="000604B1"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0E115D8E"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3ED3F2" w14:textId="77777777" w:rsidR="000604B1" w:rsidRDefault="000604B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455D011" w14:textId="77777777" w:rsidR="000604B1" w:rsidRDefault="000604B1" w:rsidP="005A3B4D">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2B1BFE42"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F5FAE6" w14:textId="77777777" w:rsidR="000604B1" w:rsidRDefault="000604B1" w:rsidP="005A3B4D">
            <w:pPr>
              <w:jc w:val="right"/>
              <w:rPr>
                <w:b/>
                <w:bCs/>
                <w:color w:val="000000"/>
                <w:sz w:val="20"/>
                <w:szCs w:val="20"/>
              </w:rPr>
            </w:pPr>
            <w:r>
              <w:rPr>
                <w:b/>
                <w:bCs/>
                <w:color w:val="000000"/>
                <w:sz w:val="20"/>
                <w:szCs w:val="20"/>
              </w:rPr>
              <w:t>0.063</w:t>
            </w:r>
          </w:p>
        </w:tc>
        <w:tc>
          <w:tcPr>
            <w:tcW w:w="768" w:type="dxa"/>
            <w:tcBorders>
              <w:top w:val="nil"/>
              <w:left w:val="nil"/>
              <w:bottom w:val="nil"/>
              <w:right w:val="nil"/>
            </w:tcBorders>
            <w:shd w:val="clear" w:color="auto" w:fill="auto"/>
            <w:noWrap/>
            <w:vAlign w:val="bottom"/>
            <w:hideMark/>
          </w:tcPr>
          <w:p w14:paraId="56A729FD" w14:textId="77777777" w:rsidR="000604B1" w:rsidRDefault="000604B1" w:rsidP="005A3B4D">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6602A00E" w14:textId="77777777" w:rsidR="000604B1" w:rsidRDefault="000604B1" w:rsidP="005A3B4D">
            <w:pPr>
              <w:jc w:val="right"/>
              <w:rPr>
                <w:color w:val="000000"/>
                <w:sz w:val="20"/>
                <w:szCs w:val="20"/>
              </w:rPr>
            </w:pPr>
            <w:r>
              <w:rPr>
                <w:b/>
                <w:bCs/>
                <w:color w:val="000000"/>
                <w:sz w:val="20"/>
                <w:szCs w:val="20"/>
              </w:rPr>
              <w:t>0.004</w:t>
            </w:r>
          </w:p>
        </w:tc>
      </w:tr>
      <w:tr w:rsidR="000604B1" w14:paraId="469BD0DD"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13D8D04F" w14:textId="77777777" w:rsidR="000604B1" w:rsidRDefault="000604B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FBC2FD3" w14:textId="77777777" w:rsidR="000604B1" w:rsidRDefault="000604B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183BCA4"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65E8DDAE" w14:textId="77777777" w:rsidR="000604B1" w:rsidRDefault="000604B1" w:rsidP="005A3B4D">
            <w:pPr>
              <w:jc w:val="right"/>
              <w:rPr>
                <w:color w:val="000000"/>
                <w:sz w:val="20"/>
                <w:szCs w:val="20"/>
              </w:rPr>
            </w:pPr>
            <w:r>
              <w:rPr>
                <w:color w:val="000000"/>
                <w:sz w:val="20"/>
                <w:szCs w:val="20"/>
              </w:rPr>
              <w:t>0.648</w:t>
            </w:r>
          </w:p>
        </w:tc>
        <w:tc>
          <w:tcPr>
            <w:tcW w:w="768" w:type="dxa"/>
            <w:tcBorders>
              <w:top w:val="nil"/>
              <w:left w:val="nil"/>
              <w:bottom w:val="single" w:sz="4" w:space="0" w:color="auto"/>
              <w:right w:val="nil"/>
            </w:tcBorders>
            <w:shd w:val="clear" w:color="auto" w:fill="auto"/>
            <w:noWrap/>
            <w:vAlign w:val="bottom"/>
            <w:hideMark/>
          </w:tcPr>
          <w:p w14:paraId="318D5106"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56A33D7" w14:textId="77777777" w:rsidR="000604B1" w:rsidRDefault="000604B1" w:rsidP="005A3B4D">
            <w:pPr>
              <w:jc w:val="right"/>
              <w:rPr>
                <w:color w:val="000000"/>
                <w:sz w:val="20"/>
                <w:szCs w:val="20"/>
              </w:rPr>
            </w:pPr>
            <w:r>
              <w:rPr>
                <w:color w:val="000000"/>
                <w:sz w:val="20"/>
                <w:szCs w:val="20"/>
              </w:rPr>
              <w:t>0.051</w:t>
            </w:r>
          </w:p>
        </w:tc>
        <w:tc>
          <w:tcPr>
            <w:tcW w:w="768" w:type="dxa"/>
            <w:tcBorders>
              <w:top w:val="nil"/>
              <w:left w:val="nil"/>
              <w:bottom w:val="single" w:sz="4" w:space="0" w:color="auto"/>
              <w:right w:val="nil"/>
            </w:tcBorders>
            <w:shd w:val="clear" w:color="auto" w:fill="auto"/>
            <w:noWrap/>
            <w:vAlign w:val="bottom"/>
            <w:hideMark/>
          </w:tcPr>
          <w:p w14:paraId="26537EB9" w14:textId="77777777" w:rsidR="000604B1" w:rsidRDefault="000604B1" w:rsidP="005A3B4D">
            <w:pPr>
              <w:jc w:val="right"/>
              <w:rPr>
                <w:color w:val="000000"/>
                <w:sz w:val="20"/>
                <w:szCs w:val="20"/>
              </w:rPr>
            </w:pPr>
            <w:r>
              <w:rPr>
                <w:color w:val="000000"/>
                <w:sz w:val="20"/>
                <w:szCs w:val="20"/>
              </w:rPr>
              <w:t>0.371</w:t>
            </w:r>
          </w:p>
        </w:tc>
        <w:tc>
          <w:tcPr>
            <w:tcW w:w="768" w:type="dxa"/>
            <w:tcBorders>
              <w:top w:val="nil"/>
              <w:left w:val="nil"/>
              <w:bottom w:val="single" w:sz="4" w:space="0" w:color="auto"/>
              <w:right w:val="nil"/>
            </w:tcBorders>
            <w:shd w:val="clear" w:color="auto" w:fill="auto"/>
            <w:noWrap/>
            <w:vAlign w:val="bottom"/>
            <w:hideMark/>
          </w:tcPr>
          <w:p w14:paraId="6C313AD9"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37AB8726" w14:textId="77777777" w:rsidR="000604B1" w:rsidRDefault="000604B1" w:rsidP="005A3B4D">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4A6CA16F" w14:textId="77777777" w:rsidR="000604B1" w:rsidRDefault="000604B1" w:rsidP="005A3B4D">
            <w:pPr>
              <w:jc w:val="right"/>
              <w:rPr>
                <w:color w:val="000000"/>
                <w:sz w:val="20"/>
                <w:szCs w:val="20"/>
              </w:rPr>
            </w:pPr>
            <w:r>
              <w:rPr>
                <w:color w:val="000000"/>
                <w:sz w:val="20"/>
                <w:szCs w:val="20"/>
              </w:rPr>
              <w:t>0.292</w:t>
            </w:r>
          </w:p>
        </w:tc>
        <w:tc>
          <w:tcPr>
            <w:tcW w:w="768" w:type="dxa"/>
            <w:tcBorders>
              <w:top w:val="nil"/>
              <w:left w:val="nil"/>
              <w:bottom w:val="single" w:sz="4" w:space="0" w:color="auto"/>
              <w:right w:val="nil"/>
            </w:tcBorders>
            <w:shd w:val="clear" w:color="auto" w:fill="auto"/>
            <w:noWrap/>
            <w:vAlign w:val="bottom"/>
            <w:hideMark/>
          </w:tcPr>
          <w:p w14:paraId="4479F6FE"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60535AF" w14:textId="77777777" w:rsidR="000604B1" w:rsidRDefault="000604B1" w:rsidP="005A3B4D">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60E93205" w14:textId="77777777" w:rsidR="000604B1" w:rsidRDefault="000604B1" w:rsidP="005A3B4D">
            <w:pPr>
              <w:jc w:val="right"/>
              <w:rPr>
                <w:color w:val="000000"/>
                <w:sz w:val="20"/>
                <w:szCs w:val="20"/>
              </w:rPr>
            </w:pPr>
            <w:r>
              <w:rPr>
                <w:color w:val="000000"/>
                <w:sz w:val="20"/>
                <w:szCs w:val="20"/>
              </w:rPr>
              <w:t>0.614</w:t>
            </w:r>
          </w:p>
        </w:tc>
        <w:tc>
          <w:tcPr>
            <w:tcW w:w="768" w:type="dxa"/>
            <w:tcBorders>
              <w:top w:val="nil"/>
              <w:left w:val="nil"/>
              <w:bottom w:val="single" w:sz="4" w:space="0" w:color="auto"/>
              <w:right w:val="nil"/>
            </w:tcBorders>
            <w:shd w:val="clear" w:color="auto" w:fill="auto"/>
            <w:noWrap/>
            <w:vAlign w:val="bottom"/>
            <w:hideMark/>
          </w:tcPr>
          <w:p w14:paraId="6D30D38A"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5303A4A" w14:textId="77777777" w:rsidR="000604B1" w:rsidRDefault="000604B1" w:rsidP="005A3B4D">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2638E4C1" w14:textId="77777777" w:rsidR="000604B1" w:rsidRDefault="000604B1" w:rsidP="005A3B4D">
            <w:pPr>
              <w:jc w:val="right"/>
              <w:rPr>
                <w:color w:val="000000"/>
                <w:sz w:val="20"/>
                <w:szCs w:val="20"/>
              </w:rPr>
            </w:pPr>
            <w:r>
              <w:rPr>
                <w:color w:val="000000"/>
                <w:sz w:val="20"/>
                <w:szCs w:val="20"/>
              </w:rPr>
              <w:t>0.525</w:t>
            </w:r>
          </w:p>
        </w:tc>
        <w:tc>
          <w:tcPr>
            <w:tcW w:w="768" w:type="dxa"/>
            <w:tcBorders>
              <w:top w:val="nil"/>
              <w:left w:val="nil"/>
              <w:bottom w:val="single" w:sz="4" w:space="0" w:color="auto"/>
              <w:right w:val="nil"/>
            </w:tcBorders>
            <w:shd w:val="clear" w:color="auto" w:fill="auto"/>
            <w:noWrap/>
            <w:vAlign w:val="bottom"/>
            <w:hideMark/>
          </w:tcPr>
          <w:p w14:paraId="6FAC789B" w14:textId="77777777" w:rsidR="000604B1" w:rsidRDefault="000604B1" w:rsidP="005A3B4D">
            <w:pPr>
              <w:jc w:val="right"/>
              <w:rPr>
                <w:color w:val="000000"/>
                <w:sz w:val="20"/>
                <w:szCs w:val="20"/>
              </w:rPr>
            </w:pPr>
            <w:r>
              <w:rPr>
                <w:color w:val="000000"/>
                <w:sz w:val="20"/>
                <w:szCs w:val="20"/>
              </w:rPr>
              <w:t>0.000</w:t>
            </w:r>
          </w:p>
        </w:tc>
      </w:tr>
      <w:tr w:rsidR="000604B1" w14:paraId="1FDFACD3" w14:textId="77777777" w:rsidTr="005A3B4D">
        <w:trPr>
          <w:trHeight w:val="320"/>
        </w:trPr>
        <w:tc>
          <w:tcPr>
            <w:tcW w:w="1176" w:type="dxa"/>
            <w:tcBorders>
              <w:top w:val="nil"/>
              <w:left w:val="nil"/>
              <w:bottom w:val="nil"/>
              <w:right w:val="nil"/>
            </w:tcBorders>
            <w:shd w:val="clear" w:color="auto" w:fill="auto"/>
            <w:noWrap/>
            <w:vAlign w:val="bottom"/>
            <w:hideMark/>
          </w:tcPr>
          <w:p w14:paraId="62A8802E" w14:textId="77777777" w:rsidR="000604B1" w:rsidRDefault="000604B1"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754A5301" w14:textId="77777777" w:rsidR="000604B1" w:rsidRDefault="000604B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F5F3597" w14:textId="77777777" w:rsidR="000604B1" w:rsidRDefault="000604B1" w:rsidP="005A3B4D">
            <w:pPr>
              <w:jc w:val="right"/>
              <w:rPr>
                <w:b/>
                <w:bCs/>
                <w:color w:val="000000"/>
                <w:sz w:val="20"/>
                <w:szCs w:val="20"/>
              </w:rPr>
            </w:pPr>
            <w:r>
              <w:rPr>
                <w:b/>
                <w:bCs/>
                <w:color w:val="000000"/>
                <w:sz w:val="20"/>
                <w:szCs w:val="20"/>
              </w:rPr>
              <w:t>-0.096</w:t>
            </w:r>
          </w:p>
        </w:tc>
        <w:tc>
          <w:tcPr>
            <w:tcW w:w="768" w:type="dxa"/>
            <w:tcBorders>
              <w:top w:val="nil"/>
              <w:left w:val="nil"/>
              <w:bottom w:val="nil"/>
              <w:right w:val="nil"/>
            </w:tcBorders>
            <w:shd w:val="clear" w:color="auto" w:fill="auto"/>
            <w:noWrap/>
            <w:vAlign w:val="bottom"/>
            <w:hideMark/>
          </w:tcPr>
          <w:p w14:paraId="4297AECF" w14:textId="77777777" w:rsidR="000604B1" w:rsidRDefault="000604B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01A0394" w14:textId="77777777" w:rsidR="000604B1" w:rsidRDefault="000604B1" w:rsidP="005A3B4D">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11083071" w14:textId="77777777" w:rsidR="000604B1" w:rsidRDefault="000604B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2371334" w14:textId="77777777" w:rsidR="000604B1" w:rsidRDefault="000604B1" w:rsidP="005A3B4D">
            <w:pPr>
              <w:jc w:val="right"/>
              <w:rPr>
                <w:color w:val="000000"/>
                <w:sz w:val="20"/>
                <w:szCs w:val="20"/>
              </w:rPr>
            </w:pPr>
            <w:r>
              <w:rPr>
                <w:color w:val="000000"/>
                <w:sz w:val="20"/>
                <w:szCs w:val="20"/>
              </w:rPr>
              <w:t>0.640</w:t>
            </w:r>
          </w:p>
        </w:tc>
        <w:tc>
          <w:tcPr>
            <w:tcW w:w="768" w:type="dxa"/>
            <w:tcBorders>
              <w:top w:val="nil"/>
              <w:left w:val="nil"/>
              <w:bottom w:val="nil"/>
              <w:right w:val="nil"/>
            </w:tcBorders>
            <w:shd w:val="clear" w:color="auto" w:fill="auto"/>
            <w:noWrap/>
            <w:vAlign w:val="bottom"/>
            <w:hideMark/>
          </w:tcPr>
          <w:p w14:paraId="15E8758E"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F27CE4" w14:textId="77777777" w:rsidR="000604B1" w:rsidRDefault="000604B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EADF911" w14:textId="77777777" w:rsidR="000604B1" w:rsidRDefault="000604B1" w:rsidP="005A3B4D">
            <w:pPr>
              <w:jc w:val="right"/>
              <w:rPr>
                <w:color w:val="000000"/>
                <w:sz w:val="20"/>
                <w:szCs w:val="20"/>
              </w:rPr>
            </w:pPr>
            <w:r>
              <w:rPr>
                <w:color w:val="000000"/>
                <w:sz w:val="20"/>
                <w:szCs w:val="20"/>
              </w:rPr>
              <w:t>0.821</w:t>
            </w:r>
          </w:p>
        </w:tc>
        <w:tc>
          <w:tcPr>
            <w:tcW w:w="768" w:type="dxa"/>
            <w:tcBorders>
              <w:top w:val="nil"/>
              <w:left w:val="nil"/>
              <w:bottom w:val="nil"/>
              <w:right w:val="nil"/>
            </w:tcBorders>
            <w:shd w:val="clear" w:color="auto" w:fill="auto"/>
            <w:noWrap/>
            <w:vAlign w:val="bottom"/>
            <w:hideMark/>
          </w:tcPr>
          <w:p w14:paraId="1338CA89"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BE9695" w14:textId="77777777" w:rsidR="000604B1" w:rsidRDefault="000604B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EA37712" w14:textId="77777777" w:rsidR="000604B1" w:rsidRDefault="000604B1" w:rsidP="005A3B4D">
            <w:pPr>
              <w:jc w:val="right"/>
              <w:rPr>
                <w:color w:val="000000"/>
                <w:sz w:val="20"/>
                <w:szCs w:val="20"/>
              </w:rPr>
            </w:pPr>
            <w:r>
              <w:rPr>
                <w:color w:val="000000"/>
                <w:sz w:val="20"/>
                <w:szCs w:val="20"/>
              </w:rPr>
              <w:t>0.601</w:t>
            </w:r>
          </w:p>
        </w:tc>
        <w:tc>
          <w:tcPr>
            <w:tcW w:w="768" w:type="dxa"/>
            <w:tcBorders>
              <w:top w:val="nil"/>
              <w:left w:val="nil"/>
              <w:bottom w:val="nil"/>
              <w:right w:val="nil"/>
            </w:tcBorders>
            <w:shd w:val="clear" w:color="auto" w:fill="auto"/>
            <w:noWrap/>
            <w:vAlign w:val="bottom"/>
            <w:hideMark/>
          </w:tcPr>
          <w:p w14:paraId="001BB613"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24A3C9"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2AC284C" w14:textId="77777777" w:rsidR="000604B1" w:rsidRDefault="000604B1"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7192980A" w14:textId="77777777" w:rsidR="000604B1" w:rsidRDefault="000604B1" w:rsidP="005A3B4D">
            <w:pPr>
              <w:jc w:val="right"/>
              <w:rPr>
                <w:color w:val="000000"/>
                <w:sz w:val="20"/>
                <w:szCs w:val="20"/>
              </w:rPr>
            </w:pPr>
            <w:r>
              <w:rPr>
                <w:color w:val="000000"/>
                <w:sz w:val="20"/>
                <w:szCs w:val="20"/>
              </w:rPr>
              <w:t>0.000</w:t>
            </w:r>
          </w:p>
        </w:tc>
      </w:tr>
      <w:tr w:rsidR="000604B1" w14:paraId="70B196F1" w14:textId="77777777" w:rsidTr="005A3B4D">
        <w:trPr>
          <w:trHeight w:val="320"/>
        </w:trPr>
        <w:tc>
          <w:tcPr>
            <w:tcW w:w="1176" w:type="dxa"/>
            <w:tcBorders>
              <w:top w:val="nil"/>
              <w:left w:val="nil"/>
              <w:bottom w:val="nil"/>
              <w:right w:val="nil"/>
            </w:tcBorders>
            <w:shd w:val="clear" w:color="auto" w:fill="auto"/>
            <w:noWrap/>
            <w:vAlign w:val="bottom"/>
            <w:hideMark/>
          </w:tcPr>
          <w:p w14:paraId="62F5D16C"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B7013F9" w14:textId="77777777" w:rsidR="000604B1" w:rsidRDefault="000604B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5BAF4F9" w14:textId="77777777" w:rsidR="000604B1" w:rsidRDefault="000604B1"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5054D32A" w14:textId="77777777" w:rsidR="000604B1" w:rsidRDefault="000604B1" w:rsidP="005A3B4D">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6135E2E0"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B4D8570"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8050044" w14:textId="77777777" w:rsidR="000604B1" w:rsidRDefault="000604B1" w:rsidP="005A3B4D">
            <w:pPr>
              <w:jc w:val="right"/>
              <w:rPr>
                <w:color w:val="000000"/>
                <w:sz w:val="20"/>
                <w:szCs w:val="20"/>
              </w:rPr>
            </w:pPr>
            <w:r>
              <w:rPr>
                <w:color w:val="000000"/>
                <w:sz w:val="20"/>
                <w:szCs w:val="20"/>
              </w:rPr>
              <w:t>0.640</w:t>
            </w:r>
          </w:p>
        </w:tc>
        <w:tc>
          <w:tcPr>
            <w:tcW w:w="768" w:type="dxa"/>
            <w:tcBorders>
              <w:top w:val="nil"/>
              <w:left w:val="nil"/>
              <w:bottom w:val="nil"/>
              <w:right w:val="nil"/>
            </w:tcBorders>
            <w:shd w:val="clear" w:color="auto" w:fill="auto"/>
            <w:noWrap/>
            <w:vAlign w:val="bottom"/>
            <w:hideMark/>
          </w:tcPr>
          <w:p w14:paraId="12E7FDC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009E27" w14:textId="77777777" w:rsidR="000604B1" w:rsidRDefault="000604B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7C02199" w14:textId="77777777" w:rsidR="000604B1" w:rsidRDefault="000604B1" w:rsidP="005A3B4D">
            <w:pPr>
              <w:jc w:val="right"/>
              <w:rPr>
                <w:color w:val="000000"/>
                <w:sz w:val="20"/>
                <w:szCs w:val="20"/>
              </w:rPr>
            </w:pPr>
            <w:r>
              <w:rPr>
                <w:color w:val="000000"/>
                <w:sz w:val="20"/>
                <w:szCs w:val="20"/>
              </w:rPr>
              <w:t>0.775</w:t>
            </w:r>
          </w:p>
        </w:tc>
        <w:tc>
          <w:tcPr>
            <w:tcW w:w="768" w:type="dxa"/>
            <w:tcBorders>
              <w:top w:val="nil"/>
              <w:left w:val="nil"/>
              <w:bottom w:val="nil"/>
              <w:right w:val="nil"/>
            </w:tcBorders>
            <w:shd w:val="clear" w:color="auto" w:fill="auto"/>
            <w:noWrap/>
            <w:vAlign w:val="bottom"/>
            <w:hideMark/>
          </w:tcPr>
          <w:p w14:paraId="00D5C5D9"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13D273" w14:textId="77777777" w:rsidR="000604B1" w:rsidRDefault="000604B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77D5D99" w14:textId="77777777" w:rsidR="000604B1" w:rsidRDefault="000604B1" w:rsidP="005A3B4D">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0F7C7111"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0A5708"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BB9926F" w14:textId="77777777" w:rsidR="000604B1" w:rsidRDefault="000604B1"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693350D9" w14:textId="77777777" w:rsidR="000604B1" w:rsidRDefault="000604B1" w:rsidP="005A3B4D">
            <w:pPr>
              <w:jc w:val="right"/>
              <w:rPr>
                <w:color w:val="000000"/>
                <w:sz w:val="20"/>
                <w:szCs w:val="20"/>
              </w:rPr>
            </w:pPr>
            <w:r>
              <w:rPr>
                <w:color w:val="000000"/>
                <w:sz w:val="20"/>
                <w:szCs w:val="20"/>
              </w:rPr>
              <w:t>0.000</w:t>
            </w:r>
          </w:p>
        </w:tc>
      </w:tr>
      <w:tr w:rsidR="000604B1" w14:paraId="6D2819F1" w14:textId="77777777" w:rsidTr="005A3B4D">
        <w:trPr>
          <w:trHeight w:val="320"/>
        </w:trPr>
        <w:tc>
          <w:tcPr>
            <w:tcW w:w="1176" w:type="dxa"/>
            <w:tcBorders>
              <w:top w:val="nil"/>
              <w:left w:val="nil"/>
              <w:bottom w:val="nil"/>
              <w:right w:val="nil"/>
            </w:tcBorders>
            <w:shd w:val="clear" w:color="auto" w:fill="auto"/>
            <w:noWrap/>
            <w:vAlign w:val="bottom"/>
            <w:hideMark/>
          </w:tcPr>
          <w:p w14:paraId="67F898AE"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06323D" w14:textId="77777777" w:rsidR="000604B1" w:rsidRDefault="000604B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3C21EA2" w14:textId="77777777" w:rsidR="000604B1" w:rsidRDefault="000604B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91E09D6" w14:textId="77777777" w:rsidR="000604B1" w:rsidRDefault="000604B1" w:rsidP="005A3B4D">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706C408A"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3F4DA42" w14:textId="77777777" w:rsidR="000604B1" w:rsidRDefault="000604B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365CDA5" w14:textId="77777777" w:rsidR="000604B1" w:rsidRDefault="000604B1" w:rsidP="005A3B4D">
            <w:pPr>
              <w:jc w:val="right"/>
              <w:rPr>
                <w:color w:val="000000"/>
                <w:sz w:val="20"/>
                <w:szCs w:val="20"/>
              </w:rPr>
            </w:pPr>
            <w:r>
              <w:rPr>
                <w:color w:val="000000"/>
                <w:sz w:val="20"/>
                <w:szCs w:val="20"/>
              </w:rPr>
              <w:t>0.640</w:t>
            </w:r>
          </w:p>
        </w:tc>
        <w:tc>
          <w:tcPr>
            <w:tcW w:w="768" w:type="dxa"/>
            <w:tcBorders>
              <w:top w:val="nil"/>
              <w:left w:val="nil"/>
              <w:bottom w:val="nil"/>
              <w:right w:val="nil"/>
            </w:tcBorders>
            <w:shd w:val="clear" w:color="auto" w:fill="auto"/>
            <w:noWrap/>
            <w:vAlign w:val="bottom"/>
            <w:hideMark/>
          </w:tcPr>
          <w:p w14:paraId="538F3192"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6D86D4" w14:textId="77777777" w:rsidR="000604B1" w:rsidRDefault="000604B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FDA5638" w14:textId="77777777" w:rsidR="000604B1" w:rsidRDefault="000604B1" w:rsidP="005A3B4D">
            <w:pPr>
              <w:jc w:val="right"/>
              <w:rPr>
                <w:color w:val="000000"/>
                <w:sz w:val="20"/>
                <w:szCs w:val="20"/>
              </w:rPr>
            </w:pPr>
            <w:r>
              <w:rPr>
                <w:color w:val="000000"/>
                <w:sz w:val="20"/>
                <w:szCs w:val="20"/>
              </w:rPr>
              <w:t>0.184</w:t>
            </w:r>
          </w:p>
        </w:tc>
        <w:tc>
          <w:tcPr>
            <w:tcW w:w="768" w:type="dxa"/>
            <w:tcBorders>
              <w:top w:val="nil"/>
              <w:left w:val="nil"/>
              <w:bottom w:val="nil"/>
              <w:right w:val="nil"/>
            </w:tcBorders>
            <w:shd w:val="clear" w:color="auto" w:fill="auto"/>
            <w:noWrap/>
            <w:vAlign w:val="bottom"/>
            <w:hideMark/>
          </w:tcPr>
          <w:p w14:paraId="762A8F10"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BF483B"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A42DD2C" w14:textId="77777777" w:rsidR="000604B1" w:rsidRDefault="000604B1" w:rsidP="005A3B4D">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122B9D61"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415527" w14:textId="77777777" w:rsidR="000604B1" w:rsidRDefault="000604B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B6C7484" w14:textId="77777777" w:rsidR="000604B1" w:rsidRDefault="000604B1" w:rsidP="005A3B4D">
            <w:pPr>
              <w:jc w:val="right"/>
              <w:rPr>
                <w:color w:val="000000"/>
                <w:sz w:val="20"/>
                <w:szCs w:val="20"/>
              </w:rPr>
            </w:pPr>
            <w:r>
              <w:rPr>
                <w:color w:val="000000"/>
                <w:sz w:val="20"/>
                <w:szCs w:val="20"/>
              </w:rPr>
              <w:t>0.762</w:t>
            </w:r>
          </w:p>
        </w:tc>
        <w:tc>
          <w:tcPr>
            <w:tcW w:w="768" w:type="dxa"/>
            <w:tcBorders>
              <w:top w:val="nil"/>
              <w:left w:val="nil"/>
              <w:bottom w:val="nil"/>
              <w:right w:val="nil"/>
            </w:tcBorders>
            <w:shd w:val="clear" w:color="auto" w:fill="auto"/>
            <w:noWrap/>
            <w:vAlign w:val="bottom"/>
            <w:hideMark/>
          </w:tcPr>
          <w:p w14:paraId="2ABE9A09" w14:textId="77777777" w:rsidR="000604B1" w:rsidRDefault="000604B1" w:rsidP="005A3B4D">
            <w:pPr>
              <w:jc w:val="right"/>
              <w:rPr>
                <w:color w:val="000000"/>
                <w:sz w:val="20"/>
                <w:szCs w:val="20"/>
              </w:rPr>
            </w:pPr>
            <w:r>
              <w:rPr>
                <w:color w:val="000000"/>
                <w:sz w:val="20"/>
                <w:szCs w:val="20"/>
              </w:rPr>
              <w:t>0.000</w:t>
            </w:r>
          </w:p>
        </w:tc>
      </w:tr>
      <w:tr w:rsidR="000604B1" w14:paraId="15E5DCC0" w14:textId="77777777" w:rsidTr="005A3B4D">
        <w:trPr>
          <w:trHeight w:val="320"/>
        </w:trPr>
        <w:tc>
          <w:tcPr>
            <w:tcW w:w="1176" w:type="dxa"/>
            <w:tcBorders>
              <w:top w:val="nil"/>
              <w:left w:val="nil"/>
              <w:bottom w:val="nil"/>
              <w:right w:val="nil"/>
            </w:tcBorders>
            <w:shd w:val="clear" w:color="auto" w:fill="auto"/>
            <w:noWrap/>
            <w:vAlign w:val="bottom"/>
            <w:hideMark/>
          </w:tcPr>
          <w:p w14:paraId="3678281D"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AA7BA3A" w14:textId="77777777" w:rsidR="000604B1" w:rsidRDefault="000604B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FA006CE" w14:textId="77777777" w:rsidR="000604B1" w:rsidRDefault="000604B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931EE78" w14:textId="77777777" w:rsidR="000604B1" w:rsidRDefault="000604B1" w:rsidP="005A3B4D">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1B963F12"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FE6855" w14:textId="77777777" w:rsidR="000604B1" w:rsidRDefault="000604B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3F57A11" w14:textId="77777777" w:rsidR="000604B1" w:rsidRDefault="000604B1" w:rsidP="005A3B4D">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0B58BB51"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16BD6F" w14:textId="77777777" w:rsidR="000604B1" w:rsidRDefault="000604B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116E2F35" w14:textId="77777777" w:rsidR="000604B1" w:rsidRDefault="000604B1" w:rsidP="005A3B4D">
            <w:pPr>
              <w:jc w:val="right"/>
              <w:rPr>
                <w:color w:val="000000"/>
                <w:sz w:val="20"/>
                <w:szCs w:val="20"/>
              </w:rPr>
            </w:pPr>
            <w:r>
              <w:rPr>
                <w:color w:val="000000"/>
                <w:sz w:val="20"/>
                <w:szCs w:val="20"/>
              </w:rPr>
              <w:t>0.445</w:t>
            </w:r>
          </w:p>
        </w:tc>
        <w:tc>
          <w:tcPr>
            <w:tcW w:w="768" w:type="dxa"/>
            <w:tcBorders>
              <w:top w:val="nil"/>
              <w:left w:val="nil"/>
              <w:bottom w:val="nil"/>
              <w:right w:val="nil"/>
            </w:tcBorders>
            <w:shd w:val="clear" w:color="auto" w:fill="auto"/>
            <w:noWrap/>
            <w:vAlign w:val="bottom"/>
            <w:hideMark/>
          </w:tcPr>
          <w:p w14:paraId="4B15BC9A"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F12A34" w14:textId="77777777" w:rsidR="000604B1" w:rsidRDefault="000604B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DECC098" w14:textId="77777777" w:rsidR="000604B1" w:rsidRDefault="000604B1" w:rsidP="005A3B4D">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4EA5476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B23A5A" w14:textId="77777777" w:rsidR="000604B1" w:rsidRDefault="000604B1"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11755E0C" w14:textId="77777777" w:rsidR="000604B1" w:rsidRDefault="000604B1" w:rsidP="005A3B4D">
            <w:pPr>
              <w:jc w:val="right"/>
              <w:rPr>
                <w:color w:val="000000"/>
                <w:sz w:val="20"/>
                <w:szCs w:val="20"/>
              </w:rPr>
            </w:pPr>
            <w:r>
              <w:rPr>
                <w:color w:val="000000"/>
                <w:sz w:val="20"/>
                <w:szCs w:val="20"/>
              </w:rPr>
              <w:t>0.336</w:t>
            </w:r>
          </w:p>
        </w:tc>
        <w:tc>
          <w:tcPr>
            <w:tcW w:w="768" w:type="dxa"/>
            <w:tcBorders>
              <w:top w:val="nil"/>
              <w:left w:val="nil"/>
              <w:bottom w:val="nil"/>
              <w:right w:val="nil"/>
            </w:tcBorders>
            <w:shd w:val="clear" w:color="auto" w:fill="auto"/>
            <w:noWrap/>
            <w:vAlign w:val="bottom"/>
            <w:hideMark/>
          </w:tcPr>
          <w:p w14:paraId="5EA5B38C" w14:textId="77777777" w:rsidR="000604B1" w:rsidRDefault="000604B1" w:rsidP="005A3B4D">
            <w:pPr>
              <w:jc w:val="right"/>
              <w:rPr>
                <w:color w:val="000000"/>
                <w:sz w:val="20"/>
                <w:szCs w:val="20"/>
              </w:rPr>
            </w:pPr>
            <w:r>
              <w:rPr>
                <w:color w:val="000000"/>
                <w:sz w:val="20"/>
                <w:szCs w:val="20"/>
              </w:rPr>
              <w:t>0.002</w:t>
            </w:r>
          </w:p>
        </w:tc>
      </w:tr>
      <w:tr w:rsidR="000604B1" w14:paraId="0D1B0AD9" w14:textId="77777777" w:rsidTr="005A3B4D">
        <w:trPr>
          <w:trHeight w:val="320"/>
        </w:trPr>
        <w:tc>
          <w:tcPr>
            <w:tcW w:w="1176" w:type="dxa"/>
            <w:tcBorders>
              <w:top w:val="nil"/>
              <w:left w:val="nil"/>
              <w:bottom w:val="nil"/>
              <w:right w:val="nil"/>
            </w:tcBorders>
            <w:shd w:val="clear" w:color="auto" w:fill="auto"/>
            <w:noWrap/>
            <w:vAlign w:val="bottom"/>
            <w:hideMark/>
          </w:tcPr>
          <w:p w14:paraId="2E5271E4"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BE7FDE3" w14:textId="77777777" w:rsidR="000604B1" w:rsidRDefault="000604B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E03C0EE" w14:textId="77777777" w:rsidR="000604B1" w:rsidRDefault="000604B1" w:rsidP="005A3B4D">
            <w:pPr>
              <w:jc w:val="right"/>
              <w:rPr>
                <w:b/>
                <w:bCs/>
                <w:color w:val="000000"/>
                <w:sz w:val="20"/>
                <w:szCs w:val="20"/>
              </w:rPr>
            </w:pPr>
            <w:r>
              <w:rPr>
                <w:b/>
                <w:bCs/>
                <w:color w:val="000000"/>
                <w:sz w:val="20"/>
                <w:szCs w:val="20"/>
              </w:rPr>
              <w:t>0.056</w:t>
            </w:r>
          </w:p>
        </w:tc>
        <w:tc>
          <w:tcPr>
            <w:tcW w:w="768" w:type="dxa"/>
            <w:tcBorders>
              <w:top w:val="nil"/>
              <w:left w:val="nil"/>
              <w:bottom w:val="nil"/>
              <w:right w:val="nil"/>
            </w:tcBorders>
            <w:shd w:val="clear" w:color="auto" w:fill="auto"/>
            <w:noWrap/>
            <w:vAlign w:val="bottom"/>
            <w:hideMark/>
          </w:tcPr>
          <w:p w14:paraId="710D77FF" w14:textId="77777777" w:rsidR="000604B1" w:rsidRDefault="000604B1" w:rsidP="005A3B4D">
            <w:pPr>
              <w:jc w:val="right"/>
              <w:rPr>
                <w:b/>
                <w:bCs/>
                <w:color w:val="000000"/>
                <w:sz w:val="20"/>
                <w:szCs w:val="20"/>
              </w:rPr>
            </w:pPr>
            <w:r>
              <w:rPr>
                <w:b/>
                <w:bCs/>
                <w:color w:val="000000"/>
                <w:sz w:val="20"/>
                <w:szCs w:val="20"/>
              </w:rPr>
              <w:t>0.029</w:t>
            </w:r>
          </w:p>
        </w:tc>
        <w:tc>
          <w:tcPr>
            <w:tcW w:w="768" w:type="dxa"/>
            <w:tcBorders>
              <w:top w:val="nil"/>
              <w:left w:val="nil"/>
              <w:bottom w:val="nil"/>
              <w:right w:val="nil"/>
            </w:tcBorders>
            <w:shd w:val="clear" w:color="auto" w:fill="auto"/>
            <w:noWrap/>
            <w:vAlign w:val="bottom"/>
            <w:hideMark/>
          </w:tcPr>
          <w:p w14:paraId="2CC1767C" w14:textId="77777777" w:rsidR="000604B1" w:rsidRDefault="000604B1" w:rsidP="005A3B4D">
            <w:pPr>
              <w:jc w:val="right"/>
              <w:rPr>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14EB4ED6"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23C2EC7" w14:textId="77777777" w:rsidR="000604B1" w:rsidRDefault="000604B1" w:rsidP="005A3B4D">
            <w:pPr>
              <w:jc w:val="right"/>
              <w:rPr>
                <w:color w:val="000000"/>
                <w:sz w:val="20"/>
                <w:szCs w:val="20"/>
              </w:rPr>
            </w:pPr>
            <w:r>
              <w:rPr>
                <w:color w:val="000000"/>
                <w:sz w:val="20"/>
                <w:szCs w:val="20"/>
              </w:rPr>
              <w:t>0.852</w:t>
            </w:r>
          </w:p>
        </w:tc>
        <w:tc>
          <w:tcPr>
            <w:tcW w:w="768" w:type="dxa"/>
            <w:tcBorders>
              <w:top w:val="nil"/>
              <w:left w:val="nil"/>
              <w:bottom w:val="nil"/>
              <w:right w:val="nil"/>
            </w:tcBorders>
            <w:shd w:val="clear" w:color="auto" w:fill="auto"/>
            <w:noWrap/>
            <w:vAlign w:val="bottom"/>
            <w:hideMark/>
          </w:tcPr>
          <w:p w14:paraId="79DB4342"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B0394E" w14:textId="77777777" w:rsidR="000604B1" w:rsidRDefault="000604B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29348C4" w14:textId="77777777" w:rsidR="000604B1" w:rsidRDefault="000604B1" w:rsidP="005A3B4D">
            <w:pPr>
              <w:jc w:val="right"/>
              <w:rPr>
                <w:color w:val="000000"/>
                <w:sz w:val="20"/>
                <w:szCs w:val="20"/>
              </w:rPr>
            </w:pPr>
            <w:r>
              <w:rPr>
                <w:color w:val="000000"/>
                <w:sz w:val="20"/>
                <w:szCs w:val="20"/>
              </w:rPr>
              <w:t>0.184</w:t>
            </w:r>
          </w:p>
        </w:tc>
        <w:tc>
          <w:tcPr>
            <w:tcW w:w="768" w:type="dxa"/>
            <w:tcBorders>
              <w:top w:val="nil"/>
              <w:left w:val="nil"/>
              <w:bottom w:val="nil"/>
              <w:right w:val="nil"/>
            </w:tcBorders>
            <w:shd w:val="clear" w:color="auto" w:fill="auto"/>
            <w:noWrap/>
            <w:vAlign w:val="bottom"/>
            <w:hideMark/>
          </w:tcPr>
          <w:p w14:paraId="475B628A"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7E03216" w14:textId="77777777" w:rsidR="000604B1" w:rsidRDefault="000604B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EEE2354" w14:textId="77777777" w:rsidR="000604B1" w:rsidRDefault="000604B1" w:rsidP="005A3B4D">
            <w:pPr>
              <w:jc w:val="right"/>
              <w:rPr>
                <w:color w:val="000000"/>
                <w:sz w:val="20"/>
                <w:szCs w:val="20"/>
              </w:rPr>
            </w:pPr>
            <w:r>
              <w:rPr>
                <w:color w:val="000000"/>
                <w:sz w:val="20"/>
                <w:szCs w:val="20"/>
              </w:rPr>
              <w:t>0.517</w:t>
            </w:r>
          </w:p>
        </w:tc>
        <w:tc>
          <w:tcPr>
            <w:tcW w:w="768" w:type="dxa"/>
            <w:tcBorders>
              <w:top w:val="nil"/>
              <w:left w:val="nil"/>
              <w:bottom w:val="nil"/>
              <w:right w:val="nil"/>
            </w:tcBorders>
            <w:shd w:val="clear" w:color="auto" w:fill="auto"/>
            <w:noWrap/>
            <w:vAlign w:val="bottom"/>
            <w:hideMark/>
          </w:tcPr>
          <w:p w14:paraId="60CDFCDE"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6AC90F" w14:textId="77777777" w:rsidR="000604B1" w:rsidRDefault="000604B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0B01A50" w14:textId="77777777" w:rsidR="000604B1" w:rsidRDefault="000604B1" w:rsidP="005A3B4D">
            <w:pPr>
              <w:jc w:val="right"/>
              <w:rPr>
                <w:color w:val="000000"/>
                <w:sz w:val="20"/>
                <w:szCs w:val="20"/>
              </w:rPr>
            </w:pPr>
            <w:r>
              <w:rPr>
                <w:color w:val="000000"/>
                <w:sz w:val="20"/>
                <w:szCs w:val="20"/>
              </w:rPr>
              <w:t>0.762</w:t>
            </w:r>
          </w:p>
        </w:tc>
        <w:tc>
          <w:tcPr>
            <w:tcW w:w="768" w:type="dxa"/>
            <w:tcBorders>
              <w:top w:val="nil"/>
              <w:left w:val="nil"/>
              <w:bottom w:val="nil"/>
              <w:right w:val="nil"/>
            </w:tcBorders>
            <w:shd w:val="clear" w:color="auto" w:fill="auto"/>
            <w:noWrap/>
            <w:vAlign w:val="bottom"/>
            <w:hideMark/>
          </w:tcPr>
          <w:p w14:paraId="2EEE7569" w14:textId="77777777" w:rsidR="000604B1" w:rsidRDefault="000604B1" w:rsidP="005A3B4D">
            <w:pPr>
              <w:jc w:val="right"/>
              <w:rPr>
                <w:color w:val="000000"/>
                <w:sz w:val="20"/>
                <w:szCs w:val="20"/>
              </w:rPr>
            </w:pPr>
            <w:r>
              <w:rPr>
                <w:color w:val="000000"/>
                <w:sz w:val="20"/>
                <w:szCs w:val="20"/>
              </w:rPr>
              <w:t>0.001</w:t>
            </w:r>
          </w:p>
        </w:tc>
      </w:tr>
      <w:tr w:rsidR="000604B1" w14:paraId="31E79263" w14:textId="77777777" w:rsidTr="005A3B4D">
        <w:trPr>
          <w:trHeight w:val="320"/>
        </w:trPr>
        <w:tc>
          <w:tcPr>
            <w:tcW w:w="1176" w:type="dxa"/>
            <w:tcBorders>
              <w:top w:val="nil"/>
              <w:left w:val="nil"/>
              <w:bottom w:val="nil"/>
              <w:right w:val="nil"/>
            </w:tcBorders>
            <w:shd w:val="clear" w:color="auto" w:fill="auto"/>
            <w:noWrap/>
            <w:vAlign w:val="bottom"/>
            <w:hideMark/>
          </w:tcPr>
          <w:p w14:paraId="617BE82B"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86A272" w14:textId="77777777" w:rsidR="000604B1" w:rsidRDefault="000604B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D12CDAC" w14:textId="77777777" w:rsidR="000604B1" w:rsidRDefault="000604B1" w:rsidP="005A3B4D">
            <w:pPr>
              <w:jc w:val="right"/>
              <w:rPr>
                <w:b/>
                <w:bCs/>
                <w:color w:val="000000"/>
                <w:sz w:val="20"/>
                <w:szCs w:val="20"/>
              </w:rPr>
            </w:pPr>
            <w:r>
              <w:rPr>
                <w:b/>
                <w:bCs/>
                <w:color w:val="000000"/>
                <w:sz w:val="20"/>
                <w:szCs w:val="20"/>
              </w:rPr>
              <w:t>-0.063</w:t>
            </w:r>
          </w:p>
        </w:tc>
        <w:tc>
          <w:tcPr>
            <w:tcW w:w="768" w:type="dxa"/>
            <w:tcBorders>
              <w:top w:val="nil"/>
              <w:left w:val="nil"/>
              <w:bottom w:val="nil"/>
              <w:right w:val="nil"/>
            </w:tcBorders>
            <w:shd w:val="clear" w:color="auto" w:fill="auto"/>
            <w:noWrap/>
            <w:vAlign w:val="bottom"/>
            <w:hideMark/>
          </w:tcPr>
          <w:p w14:paraId="05692CA9" w14:textId="77777777" w:rsidR="000604B1" w:rsidRDefault="000604B1"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2EE2F589" w14:textId="77777777" w:rsidR="000604B1" w:rsidRDefault="000604B1" w:rsidP="005A3B4D">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53F24DB4" w14:textId="77777777" w:rsidR="000604B1" w:rsidRDefault="000604B1"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19BD06E" w14:textId="77777777" w:rsidR="000604B1" w:rsidRDefault="000604B1" w:rsidP="005A3B4D">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2197BDDE"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55BA013"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718DC1C" w14:textId="77777777" w:rsidR="000604B1" w:rsidRDefault="000604B1" w:rsidP="005A3B4D">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4FC0E487"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0BFE63" w14:textId="77777777" w:rsidR="000604B1" w:rsidRDefault="000604B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52AF2A9" w14:textId="77777777" w:rsidR="000604B1" w:rsidRDefault="000604B1" w:rsidP="005A3B4D">
            <w:pPr>
              <w:jc w:val="right"/>
              <w:rPr>
                <w:color w:val="000000"/>
                <w:sz w:val="20"/>
                <w:szCs w:val="20"/>
              </w:rPr>
            </w:pPr>
            <w:r>
              <w:rPr>
                <w:color w:val="000000"/>
                <w:sz w:val="20"/>
                <w:szCs w:val="20"/>
              </w:rPr>
              <w:t>0.517</w:t>
            </w:r>
          </w:p>
        </w:tc>
        <w:tc>
          <w:tcPr>
            <w:tcW w:w="768" w:type="dxa"/>
            <w:tcBorders>
              <w:top w:val="nil"/>
              <w:left w:val="nil"/>
              <w:bottom w:val="nil"/>
              <w:right w:val="nil"/>
            </w:tcBorders>
            <w:shd w:val="clear" w:color="auto" w:fill="auto"/>
            <w:noWrap/>
            <w:vAlign w:val="bottom"/>
            <w:hideMark/>
          </w:tcPr>
          <w:p w14:paraId="5BABF6F0"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2D4235" w14:textId="77777777" w:rsidR="000604B1" w:rsidRDefault="000604B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3651D01C" w14:textId="77777777" w:rsidR="000604B1" w:rsidRDefault="000604B1" w:rsidP="005A3B4D">
            <w:pPr>
              <w:jc w:val="right"/>
              <w:rPr>
                <w:color w:val="000000"/>
                <w:sz w:val="20"/>
                <w:szCs w:val="20"/>
              </w:rPr>
            </w:pPr>
            <w:r>
              <w:rPr>
                <w:color w:val="000000"/>
                <w:sz w:val="20"/>
                <w:szCs w:val="20"/>
              </w:rPr>
              <w:t>0.762</w:t>
            </w:r>
          </w:p>
        </w:tc>
        <w:tc>
          <w:tcPr>
            <w:tcW w:w="768" w:type="dxa"/>
            <w:tcBorders>
              <w:top w:val="nil"/>
              <w:left w:val="nil"/>
              <w:bottom w:val="nil"/>
              <w:right w:val="nil"/>
            </w:tcBorders>
            <w:shd w:val="clear" w:color="auto" w:fill="auto"/>
            <w:noWrap/>
            <w:vAlign w:val="bottom"/>
            <w:hideMark/>
          </w:tcPr>
          <w:p w14:paraId="7BA98887" w14:textId="77777777" w:rsidR="000604B1" w:rsidRDefault="000604B1" w:rsidP="005A3B4D">
            <w:pPr>
              <w:jc w:val="right"/>
              <w:rPr>
                <w:color w:val="000000"/>
                <w:sz w:val="20"/>
                <w:szCs w:val="20"/>
              </w:rPr>
            </w:pPr>
            <w:r>
              <w:rPr>
                <w:color w:val="000000"/>
                <w:sz w:val="20"/>
                <w:szCs w:val="20"/>
              </w:rPr>
              <w:t>0.000</w:t>
            </w:r>
          </w:p>
        </w:tc>
      </w:tr>
      <w:tr w:rsidR="000604B1" w14:paraId="0D5107EA" w14:textId="77777777" w:rsidTr="005A3B4D">
        <w:trPr>
          <w:trHeight w:val="320"/>
        </w:trPr>
        <w:tc>
          <w:tcPr>
            <w:tcW w:w="1176" w:type="dxa"/>
            <w:tcBorders>
              <w:top w:val="nil"/>
              <w:left w:val="nil"/>
              <w:bottom w:val="nil"/>
              <w:right w:val="nil"/>
            </w:tcBorders>
            <w:shd w:val="clear" w:color="auto" w:fill="auto"/>
            <w:noWrap/>
            <w:vAlign w:val="bottom"/>
            <w:hideMark/>
          </w:tcPr>
          <w:p w14:paraId="1BE7B6CF"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35CEAAF" w14:textId="77777777" w:rsidR="000604B1" w:rsidRDefault="000604B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EA3F9FD"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3BA4484" w14:textId="77777777" w:rsidR="000604B1" w:rsidRDefault="000604B1"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0BE33B1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5FCC76" w14:textId="77777777" w:rsidR="000604B1" w:rsidRDefault="000604B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21338730" w14:textId="77777777" w:rsidR="000604B1" w:rsidRDefault="000604B1" w:rsidP="005A3B4D">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50D5F861"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A68711" w14:textId="77777777" w:rsidR="000604B1" w:rsidRDefault="000604B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E986B3E" w14:textId="77777777" w:rsidR="000604B1" w:rsidRDefault="000604B1" w:rsidP="005A3B4D">
            <w:pPr>
              <w:jc w:val="right"/>
              <w:rPr>
                <w:color w:val="000000"/>
                <w:sz w:val="20"/>
                <w:szCs w:val="20"/>
              </w:rPr>
            </w:pPr>
            <w:r>
              <w:rPr>
                <w:color w:val="000000"/>
                <w:sz w:val="20"/>
                <w:szCs w:val="20"/>
              </w:rPr>
              <w:t>0.445</w:t>
            </w:r>
          </w:p>
        </w:tc>
        <w:tc>
          <w:tcPr>
            <w:tcW w:w="768" w:type="dxa"/>
            <w:tcBorders>
              <w:top w:val="nil"/>
              <w:left w:val="nil"/>
              <w:bottom w:val="nil"/>
              <w:right w:val="nil"/>
            </w:tcBorders>
            <w:shd w:val="clear" w:color="auto" w:fill="auto"/>
            <w:noWrap/>
            <w:vAlign w:val="bottom"/>
            <w:hideMark/>
          </w:tcPr>
          <w:p w14:paraId="3857221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C36383" w14:textId="77777777" w:rsidR="000604B1" w:rsidRDefault="000604B1"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3FCD50F0" w14:textId="77777777" w:rsidR="000604B1" w:rsidRDefault="000604B1" w:rsidP="005A3B4D">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42A6D172"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4BDCD1F" w14:textId="77777777" w:rsidR="000604B1" w:rsidRDefault="000604B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072D569" w14:textId="77777777" w:rsidR="000604B1" w:rsidRDefault="000604B1"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6071EAFE" w14:textId="77777777" w:rsidR="000604B1" w:rsidRDefault="000604B1" w:rsidP="005A3B4D">
            <w:pPr>
              <w:jc w:val="right"/>
              <w:rPr>
                <w:color w:val="000000"/>
                <w:sz w:val="20"/>
                <w:szCs w:val="20"/>
              </w:rPr>
            </w:pPr>
            <w:r>
              <w:rPr>
                <w:color w:val="000000"/>
                <w:sz w:val="20"/>
                <w:szCs w:val="20"/>
              </w:rPr>
              <w:t>0.000</w:t>
            </w:r>
          </w:p>
        </w:tc>
      </w:tr>
      <w:tr w:rsidR="000604B1" w14:paraId="3E1A2E4A"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78A95639" w14:textId="77777777" w:rsidR="000604B1" w:rsidRDefault="000604B1"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135DCE15" w14:textId="77777777" w:rsidR="000604B1" w:rsidRDefault="000604B1"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10B7BB65"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739CDB45" w14:textId="77777777" w:rsidR="000604B1" w:rsidRDefault="000604B1" w:rsidP="005A3B4D">
            <w:pPr>
              <w:jc w:val="right"/>
              <w:rPr>
                <w:color w:val="000000"/>
                <w:sz w:val="20"/>
                <w:szCs w:val="20"/>
              </w:rPr>
            </w:pPr>
            <w:r>
              <w:rPr>
                <w:color w:val="000000"/>
                <w:sz w:val="20"/>
                <w:szCs w:val="20"/>
              </w:rPr>
              <w:t>0.955</w:t>
            </w:r>
          </w:p>
        </w:tc>
        <w:tc>
          <w:tcPr>
            <w:tcW w:w="768" w:type="dxa"/>
            <w:tcBorders>
              <w:top w:val="nil"/>
              <w:left w:val="nil"/>
              <w:bottom w:val="single" w:sz="12" w:space="0" w:color="auto"/>
              <w:right w:val="nil"/>
            </w:tcBorders>
            <w:shd w:val="clear" w:color="auto" w:fill="auto"/>
            <w:noWrap/>
            <w:vAlign w:val="bottom"/>
            <w:hideMark/>
          </w:tcPr>
          <w:p w14:paraId="6394CE24"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EB52074" w14:textId="77777777" w:rsidR="000604B1" w:rsidRDefault="000604B1" w:rsidP="005A3B4D">
            <w:pPr>
              <w:jc w:val="right"/>
              <w:rPr>
                <w:color w:val="000000"/>
                <w:sz w:val="20"/>
                <w:szCs w:val="20"/>
              </w:rPr>
            </w:pPr>
            <w:r>
              <w:rPr>
                <w:color w:val="000000"/>
                <w:sz w:val="20"/>
                <w:szCs w:val="20"/>
              </w:rPr>
              <w:t>0.043</w:t>
            </w:r>
          </w:p>
        </w:tc>
        <w:tc>
          <w:tcPr>
            <w:tcW w:w="768" w:type="dxa"/>
            <w:tcBorders>
              <w:top w:val="nil"/>
              <w:left w:val="nil"/>
              <w:bottom w:val="single" w:sz="12" w:space="0" w:color="auto"/>
              <w:right w:val="nil"/>
            </w:tcBorders>
            <w:shd w:val="clear" w:color="auto" w:fill="auto"/>
            <w:noWrap/>
            <w:vAlign w:val="bottom"/>
            <w:hideMark/>
          </w:tcPr>
          <w:p w14:paraId="65AAF920" w14:textId="77777777" w:rsidR="000604B1" w:rsidRDefault="000604B1" w:rsidP="005A3B4D">
            <w:pPr>
              <w:jc w:val="right"/>
              <w:rPr>
                <w:color w:val="000000"/>
                <w:sz w:val="20"/>
                <w:szCs w:val="20"/>
              </w:rPr>
            </w:pPr>
            <w:r>
              <w:rPr>
                <w:color w:val="000000"/>
                <w:sz w:val="20"/>
                <w:szCs w:val="20"/>
              </w:rPr>
              <w:t>0.196</w:t>
            </w:r>
          </w:p>
        </w:tc>
        <w:tc>
          <w:tcPr>
            <w:tcW w:w="768" w:type="dxa"/>
            <w:tcBorders>
              <w:top w:val="nil"/>
              <w:left w:val="nil"/>
              <w:bottom w:val="single" w:sz="12" w:space="0" w:color="auto"/>
              <w:right w:val="nil"/>
            </w:tcBorders>
            <w:shd w:val="clear" w:color="auto" w:fill="auto"/>
            <w:noWrap/>
            <w:vAlign w:val="bottom"/>
            <w:hideMark/>
          </w:tcPr>
          <w:p w14:paraId="6B242B8C"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65A77B6A" w14:textId="77777777" w:rsidR="000604B1" w:rsidRDefault="000604B1" w:rsidP="005A3B4D">
            <w:pPr>
              <w:jc w:val="right"/>
              <w:rPr>
                <w:color w:val="000000"/>
                <w:sz w:val="20"/>
                <w:szCs w:val="20"/>
              </w:rPr>
            </w:pPr>
            <w:r>
              <w:rPr>
                <w:color w:val="000000"/>
                <w:sz w:val="20"/>
                <w:szCs w:val="20"/>
              </w:rPr>
              <w:t>-0.023</w:t>
            </w:r>
          </w:p>
        </w:tc>
        <w:tc>
          <w:tcPr>
            <w:tcW w:w="768" w:type="dxa"/>
            <w:tcBorders>
              <w:top w:val="nil"/>
              <w:left w:val="nil"/>
              <w:bottom w:val="single" w:sz="12" w:space="0" w:color="auto"/>
              <w:right w:val="nil"/>
            </w:tcBorders>
            <w:shd w:val="clear" w:color="auto" w:fill="auto"/>
            <w:noWrap/>
            <w:vAlign w:val="bottom"/>
            <w:hideMark/>
          </w:tcPr>
          <w:p w14:paraId="65367E87" w14:textId="77777777" w:rsidR="000604B1" w:rsidRDefault="000604B1" w:rsidP="005A3B4D">
            <w:pPr>
              <w:jc w:val="right"/>
              <w:rPr>
                <w:color w:val="000000"/>
                <w:sz w:val="20"/>
                <w:szCs w:val="20"/>
              </w:rPr>
            </w:pPr>
            <w:r>
              <w:rPr>
                <w:color w:val="000000"/>
                <w:sz w:val="20"/>
                <w:szCs w:val="20"/>
              </w:rPr>
              <w:t>0.445</w:t>
            </w:r>
          </w:p>
        </w:tc>
        <w:tc>
          <w:tcPr>
            <w:tcW w:w="768" w:type="dxa"/>
            <w:tcBorders>
              <w:top w:val="nil"/>
              <w:left w:val="nil"/>
              <w:bottom w:val="single" w:sz="12" w:space="0" w:color="auto"/>
              <w:right w:val="nil"/>
            </w:tcBorders>
            <w:shd w:val="clear" w:color="auto" w:fill="auto"/>
            <w:noWrap/>
            <w:vAlign w:val="bottom"/>
            <w:hideMark/>
          </w:tcPr>
          <w:p w14:paraId="76A0E5E5"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5A06EC4" w14:textId="77777777" w:rsidR="000604B1" w:rsidRDefault="000604B1" w:rsidP="005A3B4D">
            <w:pPr>
              <w:jc w:val="right"/>
              <w:rPr>
                <w:color w:val="000000"/>
                <w:sz w:val="20"/>
                <w:szCs w:val="20"/>
              </w:rPr>
            </w:pPr>
            <w:r>
              <w:rPr>
                <w:color w:val="000000"/>
                <w:sz w:val="20"/>
                <w:szCs w:val="20"/>
              </w:rPr>
              <w:t>0.024</w:t>
            </w:r>
          </w:p>
        </w:tc>
        <w:tc>
          <w:tcPr>
            <w:tcW w:w="768" w:type="dxa"/>
            <w:tcBorders>
              <w:top w:val="nil"/>
              <w:left w:val="nil"/>
              <w:bottom w:val="single" w:sz="12" w:space="0" w:color="auto"/>
              <w:right w:val="nil"/>
            </w:tcBorders>
            <w:shd w:val="clear" w:color="auto" w:fill="auto"/>
            <w:noWrap/>
            <w:vAlign w:val="bottom"/>
            <w:hideMark/>
          </w:tcPr>
          <w:p w14:paraId="46C61052" w14:textId="77777777" w:rsidR="000604B1" w:rsidRDefault="000604B1" w:rsidP="005A3B4D">
            <w:pPr>
              <w:jc w:val="right"/>
              <w:rPr>
                <w:color w:val="000000"/>
                <w:sz w:val="20"/>
                <w:szCs w:val="20"/>
              </w:rPr>
            </w:pPr>
            <w:r>
              <w:rPr>
                <w:color w:val="000000"/>
                <w:sz w:val="20"/>
                <w:szCs w:val="20"/>
              </w:rPr>
              <w:t>0.517</w:t>
            </w:r>
          </w:p>
        </w:tc>
        <w:tc>
          <w:tcPr>
            <w:tcW w:w="768" w:type="dxa"/>
            <w:tcBorders>
              <w:top w:val="nil"/>
              <w:left w:val="nil"/>
              <w:bottom w:val="single" w:sz="12" w:space="0" w:color="auto"/>
              <w:right w:val="nil"/>
            </w:tcBorders>
            <w:shd w:val="clear" w:color="auto" w:fill="auto"/>
            <w:noWrap/>
            <w:vAlign w:val="bottom"/>
            <w:hideMark/>
          </w:tcPr>
          <w:p w14:paraId="376CFFB1"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6B9A0456" w14:textId="77777777" w:rsidR="000604B1" w:rsidRDefault="000604B1" w:rsidP="005A3B4D">
            <w:pPr>
              <w:jc w:val="right"/>
              <w:rPr>
                <w:color w:val="000000"/>
                <w:sz w:val="20"/>
                <w:szCs w:val="20"/>
              </w:rPr>
            </w:pPr>
            <w:r>
              <w:rPr>
                <w:color w:val="000000"/>
                <w:sz w:val="20"/>
                <w:szCs w:val="20"/>
              </w:rPr>
              <w:t>-0.016</w:t>
            </w:r>
          </w:p>
        </w:tc>
        <w:tc>
          <w:tcPr>
            <w:tcW w:w="768" w:type="dxa"/>
            <w:tcBorders>
              <w:top w:val="nil"/>
              <w:left w:val="nil"/>
              <w:bottom w:val="single" w:sz="12" w:space="0" w:color="auto"/>
              <w:right w:val="nil"/>
            </w:tcBorders>
            <w:shd w:val="clear" w:color="auto" w:fill="auto"/>
            <w:noWrap/>
            <w:vAlign w:val="bottom"/>
            <w:hideMark/>
          </w:tcPr>
          <w:p w14:paraId="0EA54BAF" w14:textId="77777777" w:rsidR="000604B1" w:rsidRDefault="000604B1" w:rsidP="005A3B4D">
            <w:pPr>
              <w:jc w:val="right"/>
              <w:rPr>
                <w:color w:val="000000"/>
                <w:sz w:val="20"/>
                <w:szCs w:val="20"/>
              </w:rPr>
            </w:pPr>
            <w:r>
              <w:rPr>
                <w:color w:val="000000"/>
                <w:sz w:val="20"/>
                <w:szCs w:val="20"/>
              </w:rPr>
              <w:t>0.762</w:t>
            </w:r>
          </w:p>
        </w:tc>
        <w:tc>
          <w:tcPr>
            <w:tcW w:w="768" w:type="dxa"/>
            <w:tcBorders>
              <w:top w:val="nil"/>
              <w:left w:val="nil"/>
              <w:bottom w:val="single" w:sz="12" w:space="0" w:color="auto"/>
              <w:right w:val="nil"/>
            </w:tcBorders>
            <w:shd w:val="clear" w:color="auto" w:fill="auto"/>
            <w:noWrap/>
            <w:vAlign w:val="bottom"/>
            <w:hideMark/>
          </w:tcPr>
          <w:p w14:paraId="76553689" w14:textId="77777777" w:rsidR="000604B1" w:rsidRDefault="000604B1" w:rsidP="005A3B4D">
            <w:pPr>
              <w:jc w:val="right"/>
              <w:rPr>
                <w:color w:val="000000"/>
                <w:sz w:val="20"/>
                <w:szCs w:val="20"/>
              </w:rPr>
            </w:pPr>
            <w:r>
              <w:rPr>
                <w:color w:val="000000"/>
                <w:sz w:val="20"/>
                <w:szCs w:val="20"/>
              </w:rPr>
              <w:t>0.000</w:t>
            </w:r>
          </w:p>
        </w:tc>
      </w:tr>
      <w:tr w:rsidR="000604B1" w14:paraId="146C4819"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0D6EA4ED" w14:textId="77777777" w:rsidR="000604B1" w:rsidRDefault="000604B1"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68B9DBFB" w14:textId="77777777" w:rsidR="000604B1" w:rsidRDefault="000604B1"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3D391BC1"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2EA8059"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94AA9E1"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063E486"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3429C9A"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D7EBB6E"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1E92BA0"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93B6998"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74EEF91"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49778D"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F7C2906"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93EABFD"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458D676"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F2846A1"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72A7F8E" w14:textId="77777777" w:rsidR="000604B1" w:rsidRDefault="000604B1" w:rsidP="005A3B4D">
            <w:pPr>
              <w:rPr>
                <w:sz w:val="20"/>
                <w:szCs w:val="20"/>
              </w:rPr>
            </w:pPr>
          </w:p>
        </w:tc>
      </w:tr>
    </w:tbl>
    <w:p w14:paraId="1916B4EF" w14:textId="77777777" w:rsidR="000604B1" w:rsidRDefault="000604B1" w:rsidP="000604B1">
      <w:pPr>
        <w:spacing w:line="480" w:lineRule="auto"/>
      </w:pPr>
    </w:p>
    <w:p w14:paraId="1728041A" w14:textId="77777777" w:rsidR="000604B1" w:rsidRDefault="000604B1" w:rsidP="000604B1">
      <w:r>
        <w:br w:type="page"/>
      </w:r>
    </w:p>
    <w:p w14:paraId="753213A9" w14:textId="47173B1F" w:rsidR="000604B1" w:rsidRPr="009E2A20" w:rsidRDefault="000604B1" w:rsidP="000604B1">
      <w:pPr>
        <w:pStyle w:val="Heading1"/>
        <w:rPr>
          <w:rFonts w:ascii="Times New Roman" w:hAnsi="Times New Roman" w:cs="Times New Roman"/>
          <w:color w:val="000000" w:themeColor="text1"/>
          <w:sz w:val="24"/>
          <w:szCs w:val="24"/>
        </w:rPr>
      </w:pPr>
      <w:bookmarkStart w:id="19" w:name="_Toc155817686"/>
      <w:r>
        <w:rPr>
          <w:rFonts w:ascii="Times New Roman" w:hAnsi="Times New Roman" w:cs="Times New Roman"/>
          <w:b/>
          <w:bCs/>
          <w:color w:val="000000" w:themeColor="text1"/>
          <w:sz w:val="24"/>
          <w:szCs w:val="24"/>
        </w:rPr>
        <w:lastRenderedPageBreak/>
        <w:t>Table 4</w:t>
      </w:r>
      <w:r w:rsidRPr="009E2A20">
        <w:rPr>
          <w:rFonts w:ascii="Times New Roman" w:hAnsi="Times New Roman" w:cs="Times New Roman"/>
          <w:b/>
          <w:bCs/>
          <w:color w:val="000000" w:themeColor="text1"/>
          <w:sz w:val="24"/>
          <w:szCs w:val="24"/>
        </w:rPr>
        <w:t xml:space="preserve">b. </w:t>
      </w:r>
      <w:r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small world omega during rest</w:t>
      </w:r>
      <w:bookmarkEnd w:id="19"/>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0604B1" w14:paraId="541021E6"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1D293FC5" w14:textId="77777777" w:rsidR="000604B1" w:rsidRDefault="000604B1"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52802854" w14:textId="77777777" w:rsidR="000604B1" w:rsidRDefault="000604B1"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19980E76" w14:textId="77777777" w:rsidR="000604B1" w:rsidRDefault="000604B1"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796F8693"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68AC112"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41D9931"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E8ADBD9"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020CEA8"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5A4A6B3"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89BE631"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FDA9A63"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0619E8B"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C0C2322"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8ACAF7C"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3D503B0" w14:textId="77777777" w:rsidR="000604B1" w:rsidRDefault="000604B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DFB3009" w14:textId="77777777" w:rsidR="000604B1" w:rsidRDefault="000604B1" w:rsidP="005A3B4D">
            <w:pPr>
              <w:rPr>
                <w:sz w:val="20"/>
                <w:szCs w:val="20"/>
              </w:rPr>
            </w:pPr>
          </w:p>
        </w:tc>
        <w:tc>
          <w:tcPr>
            <w:tcW w:w="768" w:type="dxa"/>
            <w:tcBorders>
              <w:top w:val="nil"/>
              <w:left w:val="nil"/>
              <w:bottom w:val="nil"/>
              <w:right w:val="nil"/>
            </w:tcBorders>
            <w:shd w:val="clear" w:color="auto" w:fill="auto"/>
            <w:noWrap/>
            <w:vAlign w:val="bottom"/>
            <w:hideMark/>
          </w:tcPr>
          <w:p w14:paraId="486E8C7B" w14:textId="77777777" w:rsidR="000604B1" w:rsidRDefault="000604B1" w:rsidP="005A3B4D">
            <w:pPr>
              <w:rPr>
                <w:sz w:val="20"/>
                <w:szCs w:val="20"/>
              </w:rPr>
            </w:pPr>
          </w:p>
        </w:tc>
      </w:tr>
      <w:tr w:rsidR="000604B1" w14:paraId="02EB2198"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09F15EE2" w14:textId="77777777" w:rsidR="000604B1" w:rsidRDefault="000604B1"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0BD1ADEA" w14:textId="77777777" w:rsidR="000604B1" w:rsidRDefault="000604B1"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0609AB20" w14:textId="77777777" w:rsidR="000604B1" w:rsidRDefault="000604B1"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BF6982F" w14:textId="77777777" w:rsidR="000604B1" w:rsidRDefault="000604B1"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E390755" w14:textId="77777777" w:rsidR="000604B1" w:rsidRDefault="000604B1" w:rsidP="005A3B4D">
            <w:pPr>
              <w:jc w:val="center"/>
              <w:rPr>
                <w:color w:val="000000"/>
                <w:sz w:val="20"/>
                <w:szCs w:val="20"/>
              </w:rPr>
            </w:pPr>
            <w:r>
              <w:rPr>
                <w:color w:val="000000"/>
                <w:sz w:val="20"/>
                <w:szCs w:val="20"/>
              </w:rPr>
              <w:t>Interpersonal Support</w:t>
            </w:r>
          </w:p>
        </w:tc>
        <w:tc>
          <w:tcPr>
            <w:tcW w:w="2304" w:type="dxa"/>
            <w:gridSpan w:val="3"/>
            <w:tcBorders>
              <w:top w:val="single" w:sz="8" w:space="0" w:color="auto"/>
              <w:left w:val="nil"/>
              <w:bottom w:val="single" w:sz="12" w:space="0" w:color="auto"/>
              <w:right w:val="nil"/>
            </w:tcBorders>
            <w:shd w:val="clear" w:color="auto" w:fill="auto"/>
            <w:vAlign w:val="center"/>
            <w:hideMark/>
          </w:tcPr>
          <w:p w14:paraId="6CDB33EC" w14:textId="77777777" w:rsidR="000604B1" w:rsidRDefault="000604B1"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3063E23E" w14:textId="77777777" w:rsidR="000604B1" w:rsidRDefault="000604B1" w:rsidP="005A3B4D">
            <w:pPr>
              <w:jc w:val="center"/>
              <w:rPr>
                <w:color w:val="000000"/>
                <w:sz w:val="20"/>
                <w:szCs w:val="20"/>
              </w:rPr>
            </w:pPr>
            <w:r>
              <w:rPr>
                <w:color w:val="000000"/>
                <w:sz w:val="20"/>
                <w:szCs w:val="20"/>
              </w:rPr>
              <w:t>Urbanicity</w:t>
            </w:r>
          </w:p>
        </w:tc>
      </w:tr>
      <w:tr w:rsidR="000604B1" w14:paraId="0BE4F07B"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1174791F" w14:textId="77777777" w:rsidR="000604B1" w:rsidRDefault="000604B1"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3C5756E2" w14:textId="77777777" w:rsidR="000604B1" w:rsidRDefault="000604B1"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7DACE48E" w14:textId="77777777" w:rsidR="000604B1" w:rsidRDefault="000604B1"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CC90E39" w14:textId="77777777" w:rsidR="000604B1" w:rsidRDefault="000604B1"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8339D9C" w14:textId="77777777" w:rsidR="000604B1" w:rsidRDefault="000604B1"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F326214" w14:textId="77777777" w:rsidR="000604B1" w:rsidRDefault="000604B1"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AE99592" w14:textId="77777777" w:rsidR="000604B1" w:rsidRDefault="000604B1"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E1BE910" w14:textId="77777777" w:rsidR="000604B1" w:rsidRDefault="000604B1"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FC901B9" w14:textId="77777777" w:rsidR="000604B1" w:rsidRDefault="000604B1"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D53FA3D" w14:textId="77777777" w:rsidR="000604B1" w:rsidRDefault="000604B1"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9B3BC72" w14:textId="77777777" w:rsidR="000604B1" w:rsidRDefault="000604B1"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F51236D" w14:textId="77777777" w:rsidR="000604B1" w:rsidRDefault="000604B1"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6C8E76A" w14:textId="77777777" w:rsidR="000604B1" w:rsidRDefault="000604B1"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46286AF" w14:textId="77777777" w:rsidR="000604B1" w:rsidRDefault="000604B1"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2D58B64" w14:textId="77777777" w:rsidR="000604B1" w:rsidRDefault="000604B1"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5514E6C" w14:textId="77777777" w:rsidR="000604B1" w:rsidRDefault="000604B1"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B3A6FEE" w14:textId="77777777" w:rsidR="000604B1" w:rsidRDefault="000604B1"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0604B1" w14:paraId="537F9C3E"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68EA4B44" w14:textId="77777777" w:rsidR="000604B1" w:rsidRDefault="000604B1"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7F564C76" w14:textId="77777777" w:rsidR="000604B1" w:rsidRDefault="000604B1"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2CC04620" w14:textId="77777777" w:rsidR="000604B1" w:rsidRDefault="000604B1" w:rsidP="005A3B4D">
            <w:pPr>
              <w:jc w:val="right"/>
              <w:rPr>
                <w:color w:val="000000"/>
                <w:sz w:val="20"/>
                <w:szCs w:val="20"/>
              </w:rPr>
            </w:pPr>
            <w:r>
              <w:rPr>
                <w:color w:val="000000"/>
                <w:sz w:val="20"/>
                <w:szCs w:val="20"/>
              </w:rPr>
              <w:t>-0.012</w:t>
            </w:r>
          </w:p>
        </w:tc>
        <w:tc>
          <w:tcPr>
            <w:tcW w:w="768" w:type="dxa"/>
            <w:tcBorders>
              <w:top w:val="single" w:sz="12" w:space="0" w:color="auto"/>
              <w:left w:val="nil"/>
              <w:bottom w:val="nil"/>
              <w:right w:val="nil"/>
            </w:tcBorders>
            <w:shd w:val="clear" w:color="auto" w:fill="auto"/>
            <w:noWrap/>
            <w:vAlign w:val="bottom"/>
            <w:hideMark/>
          </w:tcPr>
          <w:p w14:paraId="674F0BD2" w14:textId="77777777" w:rsidR="000604B1" w:rsidRDefault="000604B1" w:rsidP="005A3B4D">
            <w:pPr>
              <w:jc w:val="right"/>
              <w:rPr>
                <w:color w:val="000000"/>
                <w:sz w:val="20"/>
                <w:szCs w:val="20"/>
              </w:rPr>
            </w:pPr>
            <w:r>
              <w:rPr>
                <w:color w:val="000000"/>
                <w:sz w:val="20"/>
                <w:szCs w:val="20"/>
              </w:rPr>
              <w:t>0.821</w:t>
            </w:r>
          </w:p>
        </w:tc>
        <w:tc>
          <w:tcPr>
            <w:tcW w:w="768" w:type="dxa"/>
            <w:tcBorders>
              <w:top w:val="single" w:sz="12" w:space="0" w:color="auto"/>
              <w:left w:val="nil"/>
              <w:bottom w:val="nil"/>
              <w:right w:val="nil"/>
            </w:tcBorders>
            <w:shd w:val="clear" w:color="auto" w:fill="auto"/>
            <w:noWrap/>
            <w:vAlign w:val="bottom"/>
            <w:hideMark/>
          </w:tcPr>
          <w:p w14:paraId="5E855B18" w14:textId="77777777" w:rsidR="000604B1" w:rsidRDefault="000604B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D047F76" w14:textId="77777777" w:rsidR="000604B1" w:rsidRDefault="000604B1" w:rsidP="005A3B4D">
            <w:pPr>
              <w:jc w:val="right"/>
              <w:rPr>
                <w:color w:val="000000"/>
                <w:sz w:val="20"/>
                <w:szCs w:val="20"/>
              </w:rPr>
            </w:pPr>
            <w:r>
              <w:rPr>
                <w:color w:val="000000"/>
                <w:sz w:val="20"/>
                <w:szCs w:val="20"/>
              </w:rPr>
              <w:t>0.005</w:t>
            </w:r>
          </w:p>
        </w:tc>
        <w:tc>
          <w:tcPr>
            <w:tcW w:w="768" w:type="dxa"/>
            <w:tcBorders>
              <w:top w:val="single" w:sz="12" w:space="0" w:color="auto"/>
              <w:left w:val="nil"/>
              <w:bottom w:val="nil"/>
              <w:right w:val="nil"/>
            </w:tcBorders>
            <w:shd w:val="clear" w:color="auto" w:fill="auto"/>
            <w:noWrap/>
            <w:vAlign w:val="bottom"/>
            <w:hideMark/>
          </w:tcPr>
          <w:p w14:paraId="709AA03D" w14:textId="77777777" w:rsidR="000604B1" w:rsidRDefault="000604B1" w:rsidP="005A3B4D">
            <w:pPr>
              <w:jc w:val="right"/>
              <w:rPr>
                <w:color w:val="000000"/>
                <w:sz w:val="20"/>
                <w:szCs w:val="20"/>
              </w:rPr>
            </w:pPr>
            <w:r>
              <w:rPr>
                <w:color w:val="000000"/>
                <w:sz w:val="20"/>
                <w:szCs w:val="20"/>
              </w:rPr>
              <w:t>0.952</w:t>
            </w:r>
          </w:p>
        </w:tc>
        <w:tc>
          <w:tcPr>
            <w:tcW w:w="768" w:type="dxa"/>
            <w:tcBorders>
              <w:top w:val="single" w:sz="12" w:space="0" w:color="auto"/>
              <w:left w:val="nil"/>
              <w:bottom w:val="nil"/>
              <w:right w:val="nil"/>
            </w:tcBorders>
            <w:shd w:val="clear" w:color="auto" w:fill="auto"/>
            <w:noWrap/>
            <w:vAlign w:val="bottom"/>
            <w:hideMark/>
          </w:tcPr>
          <w:p w14:paraId="77024436" w14:textId="77777777" w:rsidR="000604B1" w:rsidRDefault="000604B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CFFB5CB" w14:textId="77777777" w:rsidR="000604B1" w:rsidRDefault="000604B1" w:rsidP="005A3B4D">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68EDEF0E" w14:textId="77777777" w:rsidR="000604B1" w:rsidRDefault="000604B1" w:rsidP="005A3B4D">
            <w:pPr>
              <w:jc w:val="right"/>
              <w:rPr>
                <w:color w:val="000000"/>
                <w:sz w:val="20"/>
                <w:szCs w:val="20"/>
              </w:rPr>
            </w:pPr>
            <w:r>
              <w:rPr>
                <w:color w:val="000000"/>
                <w:sz w:val="20"/>
                <w:szCs w:val="20"/>
              </w:rPr>
              <w:t>0.559</w:t>
            </w:r>
          </w:p>
        </w:tc>
        <w:tc>
          <w:tcPr>
            <w:tcW w:w="768" w:type="dxa"/>
            <w:tcBorders>
              <w:top w:val="single" w:sz="12" w:space="0" w:color="auto"/>
              <w:left w:val="nil"/>
              <w:bottom w:val="nil"/>
              <w:right w:val="nil"/>
            </w:tcBorders>
            <w:shd w:val="clear" w:color="auto" w:fill="auto"/>
            <w:noWrap/>
            <w:vAlign w:val="bottom"/>
            <w:hideMark/>
          </w:tcPr>
          <w:p w14:paraId="0AF8E2C7" w14:textId="77777777" w:rsidR="000604B1" w:rsidRDefault="000604B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92094FC" w14:textId="77777777" w:rsidR="000604B1" w:rsidRDefault="000604B1" w:rsidP="005A3B4D">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42002CDD" w14:textId="77777777" w:rsidR="000604B1" w:rsidRDefault="000604B1" w:rsidP="005A3B4D">
            <w:pPr>
              <w:jc w:val="right"/>
              <w:rPr>
                <w:color w:val="000000"/>
                <w:sz w:val="20"/>
                <w:szCs w:val="20"/>
              </w:rPr>
            </w:pPr>
            <w:r>
              <w:rPr>
                <w:color w:val="000000"/>
                <w:sz w:val="20"/>
                <w:szCs w:val="20"/>
              </w:rPr>
              <w:t>0.522</w:t>
            </w:r>
          </w:p>
        </w:tc>
        <w:tc>
          <w:tcPr>
            <w:tcW w:w="768" w:type="dxa"/>
            <w:tcBorders>
              <w:top w:val="single" w:sz="12" w:space="0" w:color="auto"/>
              <w:left w:val="nil"/>
              <w:bottom w:val="nil"/>
              <w:right w:val="nil"/>
            </w:tcBorders>
            <w:shd w:val="clear" w:color="auto" w:fill="auto"/>
            <w:noWrap/>
            <w:vAlign w:val="bottom"/>
            <w:hideMark/>
          </w:tcPr>
          <w:p w14:paraId="1BC5DF4C" w14:textId="77777777" w:rsidR="000604B1" w:rsidRDefault="000604B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1142541" w14:textId="77777777" w:rsidR="000604B1" w:rsidRDefault="000604B1" w:rsidP="005A3B4D">
            <w:pPr>
              <w:jc w:val="right"/>
              <w:rPr>
                <w:color w:val="000000"/>
                <w:sz w:val="20"/>
                <w:szCs w:val="20"/>
              </w:rPr>
            </w:pPr>
            <w:r>
              <w:rPr>
                <w:color w:val="000000"/>
                <w:sz w:val="20"/>
                <w:szCs w:val="20"/>
              </w:rPr>
              <w:t>0.012</w:t>
            </w:r>
          </w:p>
        </w:tc>
        <w:tc>
          <w:tcPr>
            <w:tcW w:w="768" w:type="dxa"/>
            <w:tcBorders>
              <w:top w:val="single" w:sz="12" w:space="0" w:color="auto"/>
              <w:left w:val="nil"/>
              <w:bottom w:val="nil"/>
              <w:right w:val="nil"/>
            </w:tcBorders>
            <w:shd w:val="clear" w:color="auto" w:fill="auto"/>
            <w:noWrap/>
            <w:vAlign w:val="bottom"/>
            <w:hideMark/>
          </w:tcPr>
          <w:p w14:paraId="4CE5DC65" w14:textId="77777777" w:rsidR="000604B1" w:rsidRDefault="000604B1" w:rsidP="005A3B4D">
            <w:pPr>
              <w:jc w:val="right"/>
              <w:rPr>
                <w:color w:val="000000"/>
                <w:sz w:val="20"/>
                <w:szCs w:val="20"/>
              </w:rPr>
            </w:pPr>
            <w:r>
              <w:rPr>
                <w:color w:val="000000"/>
                <w:sz w:val="20"/>
                <w:szCs w:val="20"/>
              </w:rPr>
              <w:t>0.775</w:t>
            </w:r>
          </w:p>
        </w:tc>
        <w:tc>
          <w:tcPr>
            <w:tcW w:w="768" w:type="dxa"/>
            <w:tcBorders>
              <w:top w:val="single" w:sz="12" w:space="0" w:color="auto"/>
              <w:left w:val="nil"/>
              <w:bottom w:val="nil"/>
              <w:right w:val="nil"/>
            </w:tcBorders>
            <w:shd w:val="clear" w:color="auto" w:fill="auto"/>
            <w:noWrap/>
            <w:vAlign w:val="bottom"/>
            <w:hideMark/>
          </w:tcPr>
          <w:p w14:paraId="2944E7DC" w14:textId="77777777" w:rsidR="000604B1" w:rsidRDefault="000604B1" w:rsidP="005A3B4D">
            <w:pPr>
              <w:jc w:val="right"/>
              <w:rPr>
                <w:color w:val="000000"/>
                <w:sz w:val="20"/>
                <w:szCs w:val="20"/>
              </w:rPr>
            </w:pPr>
            <w:r>
              <w:rPr>
                <w:color w:val="000000"/>
                <w:sz w:val="20"/>
                <w:szCs w:val="20"/>
              </w:rPr>
              <w:t>0.000</w:t>
            </w:r>
          </w:p>
        </w:tc>
      </w:tr>
      <w:tr w:rsidR="000604B1" w14:paraId="01CDFC08" w14:textId="77777777" w:rsidTr="005A3B4D">
        <w:trPr>
          <w:trHeight w:val="340"/>
        </w:trPr>
        <w:tc>
          <w:tcPr>
            <w:tcW w:w="1176" w:type="dxa"/>
            <w:tcBorders>
              <w:top w:val="nil"/>
              <w:left w:val="nil"/>
              <w:bottom w:val="nil"/>
              <w:right w:val="nil"/>
            </w:tcBorders>
            <w:shd w:val="clear" w:color="auto" w:fill="auto"/>
            <w:noWrap/>
            <w:vAlign w:val="bottom"/>
            <w:hideMark/>
          </w:tcPr>
          <w:p w14:paraId="6199CEA3"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499346E" w14:textId="77777777" w:rsidR="000604B1" w:rsidRDefault="000604B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47D4B68"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C2C0C1" w14:textId="77777777" w:rsidR="000604B1" w:rsidRDefault="000604B1" w:rsidP="005A3B4D">
            <w:pPr>
              <w:jc w:val="right"/>
              <w:rPr>
                <w:color w:val="000000"/>
                <w:sz w:val="20"/>
                <w:szCs w:val="20"/>
              </w:rPr>
            </w:pPr>
            <w:r>
              <w:rPr>
                <w:color w:val="000000"/>
                <w:sz w:val="20"/>
                <w:szCs w:val="20"/>
              </w:rPr>
              <w:t>0.989</w:t>
            </w:r>
          </w:p>
        </w:tc>
        <w:tc>
          <w:tcPr>
            <w:tcW w:w="768" w:type="dxa"/>
            <w:tcBorders>
              <w:top w:val="nil"/>
              <w:left w:val="nil"/>
              <w:bottom w:val="nil"/>
              <w:right w:val="nil"/>
            </w:tcBorders>
            <w:shd w:val="clear" w:color="auto" w:fill="auto"/>
            <w:noWrap/>
            <w:vAlign w:val="bottom"/>
            <w:hideMark/>
          </w:tcPr>
          <w:p w14:paraId="0B697C24"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CC2441" w14:textId="77777777" w:rsidR="000604B1" w:rsidRDefault="000604B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7A97ADC6" w14:textId="77777777" w:rsidR="000604B1" w:rsidRDefault="000604B1" w:rsidP="005A3B4D">
            <w:pPr>
              <w:jc w:val="right"/>
              <w:rPr>
                <w:color w:val="000000"/>
                <w:sz w:val="20"/>
                <w:szCs w:val="20"/>
              </w:rPr>
            </w:pPr>
            <w:r>
              <w:rPr>
                <w:color w:val="000000"/>
                <w:sz w:val="20"/>
                <w:szCs w:val="20"/>
              </w:rPr>
              <w:t>0.506</w:t>
            </w:r>
          </w:p>
        </w:tc>
        <w:tc>
          <w:tcPr>
            <w:tcW w:w="768" w:type="dxa"/>
            <w:tcBorders>
              <w:top w:val="nil"/>
              <w:left w:val="nil"/>
              <w:bottom w:val="nil"/>
              <w:right w:val="nil"/>
            </w:tcBorders>
            <w:shd w:val="clear" w:color="auto" w:fill="auto"/>
            <w:noWrap/>
            <w:vAlign w:val="bottom"/>
            <w:hideMark/>
          </w:tcPr>
          <w:p w14:paraId="27F26ECE"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91A1A4" w14:textId="77777777" w:rsidR="000604B1" w:rsidRDefault="000604B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FF2CB05" w14:textId="77777777" w:rsidR="000604B1" w:rsidRDefault="000604B1" w:rsidP="005A3B4D">
            <w:pPr>
              <w:jc w:val="right"/>
              <w:rPr>
                <w:color w:val="000000"/>
                <w:sz w:val="20"/>
                <w:szCs w:val="20"/>
              </w:rPr>
            </w:pPr>
            <w:r>
              <w:rPr>
                <w:color w:val="000000"/>
                <w:sz w:val="20"/>
                <w:szCs w:val="20"/>
              </w:rPr>
              <w:t>0.559</w:t>
            </w:r>
          </w:p>
        </w:tc>
        <w:tc>
          <w:tcPr>
            <w:tcW w:w="768" w:type="dxa"/>
            <w:tcBorders>
              <w:top w:val="nil"/>
              <w:left w:val="nil"/>
              <w:bottom w:val="nil"/>
              <w:right w:val="nil"/>
            </w:tcBorders>
            <w:shd w:val="clear" w:color="auto" w:fill="auto"/>
            <w:noWrap/>
            <w:vAlign w:val="bottom"/>
            <w:hideMark/>
          </w:tcPr>
          <w:p w14:paraId="006372BC"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3549B4" w14:textId="77777777" w:rsidR="000604B1" w:rsidRDefault="000604B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15922BB" w14:textId="77777777" w:rsidR="000604B1" w:rsidRDefault="000604B1" w:rsidP="005A3B4D">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63964BD1"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E7806C" w14:textId="77777777" w:rsidR="000604B1" w:rsidRDefault="000604B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7366D80" w14:textId="77777777" w:rsidR="000604B1" w:rsidRDefault="000604B1" w:rsidP="005A3B4D">
            <w:pPr>
              <w:jc w:val="right"/>
              <w:rPr>
                <w:color w:val="000000"/>
                <w:sz w:val="20"/>
                <w:szCs w:val="20"/>
              </w:rPr>
            </w:pPr>
            <w:r>
              <w:rPr>
                <w:color w:val="000000"/>
                <w:sz w:val="20"/>
                <w:szCs w:val="20"/>
              </w:rPr>
              <w:t>0.775</w:t>
            </w:r>
          </w:p>
        </w:tc>
        <w:tc>
          <w:tcPr>
            <w:tcW w:w="768" w:type="dxa"/>
            <w:tcBorders>
              <w:top w:val="nil"/>
              <w:left w:val="nil"/>
              <w:bottom w:val="nil"/>
              <w:right w:val="nil"/>
            </w:tcBorders>
            <w:shd w:val="clear" w:color="auto" w:fill="auto"/>
            <w:noWrap/>
            <w:vAlign w:val="bottom"/>
            <w:hideMark/>
          </w:tcPr>
          <w:p w14:paraId="6E139F2A" w14:textId="77777777" w:rsidR="000604B1" w:rsidRDefault="000604B1" w:rsidP="005A3B4D">
            <w:pPr>
              <w:jc w:val="right"/>
              <w:rPr>
                <w:color w:val="000000"/>
                <w:sz w:val="20"/>
                <w:szCs w:val="20"/>
              </w:rPr>
            </w:pPr>
            <w:r>
              <w:rPr>
                <w:color w:val="000000"/>
                <w:sz w:val="20"/>
                <w:szCs w:val="20"/>
              </w:rPr>
              <w:t>0.001</w:t>
            </w:r>
          </w:p>
        </w:tc>
      </w:tr>
      <w:tr w:rsidR="000604B1" w14:paraId="155A64B4" w14:textId="77777777" w:rsidTr="005A3B4D">
        <w:trPr>
          <w:trHeight w:val="320"/>
        </w:trPr>
        <w:tc>
          <w:tcPr>
            <w:tcW w:w="1176" w:type="dxa"/>
            <w:tcBorders>
              <w:top w:val="nil"/>
              <w:left w:val="nil"/>
              <w:bottom w:val="nil"/>
              <w:right w:val="nil"/>
            </w:tcBorders>
            <w:shd w:val="clear" w:color="auto" w:fill="auto"/>
            <w:noWrap/>
            <w:vAlign w:val="bottom"/>
            <w:hideMark/>
          </w:tcPr>
          <w:p w14:paraId="564A766D"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AE244C" w14:textId="77777777" w:rsidR="000604B1" w:rsidRDefault="000604B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0B322EC"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34F6AC3" w14:textId="77777777" w:rsidR="000604B1" w:rsidRDefault="000604B1" w:rsidP="005A3B4D">
            <w:pPr>
              <w:jc w:val="right"/>
              <w:rPr>
                <w:color w:val="000000"/>
                <w:sz w:val="20"/>
                <w:szCs w:val="20"/>
              </w:rPr>
            </w:pPr>
            <w:r>
              <w:rPr>
                <w:color w:val="000000"/>
                <w:sz w:val="20"/>
                <w:szCs w:val="20"/>
              </w:rPr>
              <w:t>0.989</w:t>
            </w:r>
          </w:p>
        </w:tc>
        <w:tc>
          <w:tcPr>
            <w:tcW w:w="768" w:type="dxa"/>
            <w:tcBorders>
              <w:top w:val="nil"/>
              <w:left w:val="nil"/>
              <w:bottom w:val="nil"/>
              <w:right w:val="nil"/>
            </w:tcBorders>
            <w:shd w:val="clear" w:color="auto" w:fill="auto"/>
            <w:noWrap/>
            <w:vAlign w:val="bottom"/>
            <w:hideMark/>
          </w:tcPr>
          <w:p w14:paraId="58BFA011"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6C953A" w14:textId="77777777" w:rsidR="000604B1" w:rsidRDefault="000604B1"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2A59EDF" w14:textId="77777777" w:rsidR="000604B1" w:rsidRDefault="000604B1" w:rsidP="005A3B4D">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66CCB1D1"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5CE92D7" w14:textId="77777777" w:rsidR="000604B1" w:rsidRDefault="000604B1" w:rsidP="005A3B4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70E41BDE" w14:textId="77777777" w:rsidR="000604B1" w:rsidRDefault="000604B1" w:rsidP="005A3B4D">
            <w:pPr>
              <w:jc w:val="right"/>
              <w:rPr>
                <w:color w:val="000000"/>
                <w:sz w:val="20"/>
                <w:szCs w:val="20"/>
              </w:rPr>
            </w:pPr>
            <w:r>
              <w:rPr>
                <w:color w:val="000000"/>
                <w:sz w:val="20"/>
                <w:szCs w:val="20"/>
              </w:rPr>
              <w:t>0.484</w:t>
            </w:r>
          </w:p>
        </w:tc>
        <w:tc>
          <w:tcPr>
            <w:tcW w:w="768" w:type="dxa"/>
            <w:tcBorders>
              <w:top w:val="nil"/>
              <w:left w:val="nil"/>
              <w:bottom w:val="nil"/>
              <w:right w:val="nil"/>
            </w:tcBorders>
            <w:shd w:val="clear" w:color="auto" w:fill="auto"/>
            <w:noWrap/>
            <w:vAlign w:val="bottom"/>
            <w:hideMark/>
          </w:tcPr>
          <w:p w14:paraId="7A0E04B6"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6D7BE12" w14:textId="77777777" w:rsidR="000604B1" w:rsidRDefault="000604B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DA36712" w14:textId="77777777" w:rsidR="000604B1" w:rsidRDefault="000604B1" w:rsidP="005A3B4D">
            <w:pPr>
              <w:jc w:val="right"/>
              <w:rPr>
                <w:color w:val="000000"/>
                <w:sz w:val="20"/>
                <w:szCs w:val="20"/>
              </w:rPr>
            </w:pPr>
            <w:r>
              <w:rPr>
                <w:color w:val="000000"/>
                <w:sz w:val="20"/>
                <w:szCs w:val="20"/>
              </w:rPr>
              <w:t>0.689</w:t>
            </w:r>
          </w:p>
        </w:tc>
        <w:tc>
          <w:tcPr>
            <w:tcW w:w="768" w:type="dxa"/>
            <w:tcBorders>
              <w:top w:val="nil"/>
              <w:left w:val="nil"/>
              <w:bottom w:val="nil"/>
              <w:right w:val="nil"/>
            </w:tcBorders>
            <w:shd w:val="clear" w:color="auto" w:fill="auto"/>
            <w:noWrap/>
            <w:vAlign w:val="bottom"/>
            <w:hideMark/>
          </w:tcPr>
          <w:p w14:paraId="20B5EFAA"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B8033A" w14:textId="77777777" w:rsidR="000604B1" w:rsidRDefault="000604B1"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7460CA4B" w14:textId="77777777" w:rsidR="000604B1" w:rsidRDefault="000604B1" w:rsidP="005A3B4D">
            <w:pPr>
              <w:jc w:val="right"/>
              <w:rPr>
                <w:color w:val="000000"/>
                <w:sz w:val="20"/>
                <w:szCs w:val="20"/>
              </w:rPr>
            </w:pPr>
            <w:r>
              <w:rPr>
                <w:color w:val="000000"/>
                <w:sz w:val="20"/>
                <w:szCs w:val="20"/>
              </w:rPr>
              <w:t>0.712</w:t>
            </w:r>
          </w:p>
        </w:tc>
        <w:tc>
          <w:tcPr>
            <w:tcW w:w="768" w:type="dxa"/>
            <w:tcBorders>
              <w:top w:val="nil"/>
              <w:left w:val="nil"/>
              <w:bottom w:val="nil"/>
              <w:right w:val="nil"/>
            </w:tcBorders>
            <w:shd w:val="clear" w:color="auto" w:fill="auto"/>
            <w:noWrap/>
            <w:vAlign w:val="bottom"/>
            <w:hideMark/>
          </w:tcPr>
          <w:p w14:paraId="403D93C3" w14:textId="77777777" w:rsidR="000604B1" w:rsidRDefault="000604B1" w:rsidP="005A3B4D">
            <w:pPr>
              <w:jc w:val="right"/>
              <w:rPr>
                <w:color w:val="000000"/>
                <w:sz w:val="20"/>
                <w:szCs w:val="20"/>
              </w:rPr>
            </w:pPr>
            <w:r>
              <w:rPr>
                <w:color w:val="000000"/>
                <w:sz w:val="20"/>
                <w:szCs w:val="20"/>
              </w:rPr>
              <w:t>0.006</w:t>
            </w:r>
          </w:p>
        </w:tc>
      </w:tr>
      <w:tr w:rsidR="000604B1" w14:paraId="5D2A6D20" w14:textId="77777777" w:rsidTr="005A3B4D">
        <w:trPr>
          <w:trHeight w:val="320"/>
        </w:trPr>
        <w:tc>
          <w:tcPr>
            <w:tcW w:w="1176" w:type="dxa"/>
            <w:tcBorders>
              <w:top w:val="nil"/>
              <w:left w:val="nil"/>
              <w:bottom w:val="nil"/>
              <w:right w:val="nil"/>
            </w:tcBorders>
            <w:shd w:val="clear" w:color="auto" w:fill="auto"/>
            <w:noWrap/>
            <w:vAlign w:val="bottom"/>
            <w:hideMark/>
          </w:tcPr>
          <w:p w14:paraId="47D5FE18"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781BB1A" w14:textId="77777777" w:rsidR="000604B1" w:rsidRDefault="000604B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6F3D339" w14:textId="77777777" w:rsidR="000604B1" w:rsidRDefault="000604B1" w:rsidP="005A3B4D">
            <w:pPr>
              <w:jc w:val="right"/>
              <w:rPr>
                <w:color w:val="000000"/>
                <w:sz w:val="20"/>
                <w:szCs w:val="20"/>
              </w:rPr>
            </w:pPr>
            <w:r>
              <w:rPr>
                <w:color w:val="000000"/>
                <w:sz w:val="20"/>
                <w:szCs w:val="20"/>
              </w:rPr>
              <w:t>0.171</w:t>
            </w:r>
          </w:p>
        </w:tc>
        <w:tc>
          <w:tcPr>
            <w:tcW w:w="768" w:type="dxa"/>
            <w:tcBorders>
              <w:top w:val="nil"/>
              <w:left w:val="nil"/>
              <w:bottom w:val="nil"/>
              <w:right w:val="nil"/>
            </w:tcBorders>
            <w:shd w:val="clear" w:color="auto" w:fill="auto"/>
            <w:noWrap/>
            <w:vAlign w:val="bottom"/>
            <w:hideMark/>
          </w:tcPr>
          <w:p w14:paraId="12FB1870" w14:textId="77777777" w:rsidR="000604B1" w:rsidRDefault="000604B1" w:rsidP="005A3B4D">
            <w:pPr>
              <w:jc w:val="right"/>
              <w:rPr>
                <w:color w:val="000000"/>
                <w:sz w:val="20"/>
                <w:szCs w:val="20"/>
              </w:rPr>
            </w:pPr>
            <w:r>
              <w:rPr>
                <w:color w:val="000000"/>
                <w:sz w:val="20"/>
                <w:szCs w:val="20"/>
              </w:rPr>
              <w:t>0.115</w:t>
            </w:r>
          </w:p>
        </w:tc>
        <w:tc>
          <w:tcPr>
            <w:tcW w:w="768" w:type="dxa"/>
            <w:tcBorders>
              <w:top w:val="nil"/>
              <w:left w:val="nil"/>
              <w:bottom w:val="nil"/>
              <w:right w:val="nil"/>
            </w:tcBorders>
            <w:shd w:val="clear" w:color="auto" w:fill="auto"/>
            <w:noWrap/>
            <w:vAlign w:val="bottom"/>
            <w:hideMark/>
          </w:tcPr>
          <w:p w14:paraId="45E5354A" w14:textId="77777777" w:rsidR="000604B1" w:rsidRDefault="000604B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53A1EFE"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1C3B836" w14:textId="77777777" w:rsidR="000604B1" w:rsidRDefault="000604B1" w:rsidP="005A3B4D">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6C7EC376"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1D6985" w14:textId="77777777" w:rsidR="000604B1" w:rsidRDefault="000604B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416603A2" w14:textId="77777777" w:rsidR="000604B1" w:rsidRDefault="000604B1" w:rsidP="005A3B4D">
            <w:pPr>
              <w:jc w:val="right"/>
              <w:rPr>
                <w:color w:val="000000"/>
                <w:sz w:val="20"/>
                <w:szCs w:val="20"/>
              </w:rPr>
            </w:pPr>
            <w:r>
              <w:rPr>
                <w:color w:val="000000"/>
                <w:sz w:val="20"/>
                <w:szCs w:val="20"/>
              </w:rPr>
              <w:t>0.559</w:t>
            </w:r>
          </w:p>
        </w:tc>
        <w:tc>
          <w:tcPr>
            <w:tcW w:w="768" w:type="dxa"/>
            <w:tcBorders>
              <w:top w:val="nil"/>
              <w:left w:val="nil"/>
              <w:bottom w:val="nil"/>
              <w:right w:val="nil"/>
            </w:tcBorders>
            <w:shd w:val="clear" w:color="auto" w:fill="auto"/>
            <w:noWrap/>
            <w:vAlign w:val="bottom"/>
            <w:hideMark/>
          </w:tcPr>
          <w:p w14:paraId="01A64269"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24E607A" w14:textId="77777777" w:rsidR="000604B1" w:rsidRDefault="000604B1" w:rsidP="005A3B4D">
            <w:pPr>
              <w:jc w:val="right"/>
              <w:rPr>
                <w:color w:val="000000"/>
                <w:sz w:val="20"/>
                <w:szCs w:val="20"/>
              </w:rPr>
            </w:pPr>
            <w:r>
              <w:rPr>
                <w:color w:val="000000"/>
                <w:sz w:val="20"/>
                <w:szCs w:val="20"/>
              </w:rPr>
              <w:t>0.217</w:t>
            </w:r>
          </w:p>
        </w:tc>
        <w:tc>
          <w:tcPr>
            <w:tcW w:w="768" w:type="dxa"/>
            <w:tcBorders>
              <w:top w:val="nil"/>
              <w:left w:val="nil"/>
              <w:bottom w:val="nil"/>
              <w:right w:val="nil"/>
            </w:tcBorders>
            <w:shd w:val="clear" w:color="auto" w:fill="auto"/>
            <w:noWrap/>
            <w:vAlign w:val="bottom"/>
            <w:hideMark/>
          </w:tcPr>
          <w:p w14:paraId="73D81A36" w14:textId="77777777" w:rsidR="000604B1" w:rsidRDefault="000604B1" w:rsidP="005A3B4D">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44727284" w14:textId="77777777" w:rsidR="000604B1" w:rsidRDefault="000604B1"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5A0172E" w14:textId="77777777" w:rsidR="000604B1" w:rsidRDefault="000604B1" w:rsidP="005A3B4D">
            <w:pPr>
              <w:jc w:val="right"/>
              <w:rPr>
                <w:color w:val="000000"/>
                <w:sz w:val="20"/>
                <w:szCs w:val="20"/>
              </w:rPr>
            </w:pPr>
            <w:r>
              <w:rPr>
                <w:color w:val="000000"/>
                <w:sz w:val="20"/>
                <w:szCs w:val="20"/>
              </w:rPr>
              <w:t>-0.156</w:t>
            </w:r>
          </w:p>
        </w:tc>
        <w:tc>
          <w:tcPr>
            <w:tcW w:w="768" w:type="dxa"/>
            <w:tcBorders>
              <w:top w:val="nil"/>
              <w:left w:val="nil"/>
              <w:bottom w:val="nil"/>
              <w:right w:val="nil"/>
            </w:tcBorders>
            <w:shd w:val="clear" w:color="auto" w:fill="auto"/>
            <w:noWrap/>
            <w:vAlign w:val="bottom"/>
            <w:hideMark/>
          </w:tcPr>
          <w:p w14:paraId="19A628C3" w14:textId="77777777" w:rsidR="000604B1" w:rsidRDefault="000604B1" w:rsidP="005A3B4D">
            <w:pPr>
              <w:jc w:val="right"/>
              <w:rPr>
                <w:color w:val="000000"/>
                <w:sz w:val="20"/>
                <w:szCs w:val="20"/>
              </w:rPr>
            </w:pPr>
            <w:r>
              <w:rPr>
                <w:color w:val="000000"/>
                <w:sz w:val="20"/>
                <w:szCs w:val="20"/>
              </w:rPr>
              <w:t>0.712</w:t>
            </w:r>
          </w:p>
        </w:tc>
        <w:tc>
          <w:tcPr>
            <w:tcW w:w="768" w:type="dxa"/>
            <w:tcBorders>
              <w:top w:val="nil"/>
              <w:left w:val="nil"/>
              <w:bottom w:val="nil"/>
              <w:right w:val="nil"/>
            </w:tcBorders>
            <w:shd w:val="clear" w:color="auto" w:fill="auto"/>
            <w:noWrap/>
            <w:vAlign w:val="bottom"/>
            <w:hideMark/>
          </w:tcPr>
          <w:p w14:paraId="16768DCB" w14:textId="77777777" w:rsidR="000604B1" w:rsidRDefault="000604B1" w:rsidP="005A3B4D">
            <w:pPr>
              <w:jc w:val="right"/>
              <w:rPr>
                <w:color w:val="000000"/>
                <w:sz w:val="20"/>
                <w:szCs w:val="20"/>
              </w:rPr>
            </w:pPr>
            <w:r>
              <w:rPr>
                <w:color w:val="000000"/>
                <w:sz w:val="20"/>
                <w:szCs w:val="20"/>
              </w:rPr>
              <w:t>0.024</w:t>
            </w:r>
          </w:p>
        </w:tc>
      </w:tr>
      <w:tr w:rsidR="000604B1" w14:paraId="73513787" w14:textId="77777777" w:rsidTr="005A3B4D">
        <w:trPr>
          <w:trHeight w:val="320"/>
        </w:trPr>
        <w:tc>
          <w:tcPr>
            <w:tcW w:w="1176" w:type="dxa"/>
            <w:tcBorders>
              <w:top w:val="nil"/>
              <w:left w:val="nil"/>
              <w:bottom w:val="nil"/>
              <w:right w:val="nil"/>
            </w:tcBorders>
            <w:shd w:val="clear" w:color="auto" w:fill="auto"/>
            <w:noWrap/>
            <w:vAlign w:val="bottom"/>
            <w:hideMark/>
          </w:tcPr>
          <w:p w14:paraId="3FA9504C"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D7A4E1F" w14:textId="77777777" w:rsidR="000604B1" w:rsidRDefault="000604B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813E549" w14:textId="77777777" w:rsidR="000604B1" w:rsidRDefault="000604B1" w:rsidP="005A3B4D">
            <w:pPr>
              <w:jc w:val="right"/>
              <w:rPr>
                <w:color w:val="000000"/>
                <w:sz w:val="20"/>
                <w:szCs w:val="20"/>
              </w:rPr>
            </w:pPr>
            <w:r>
              <w:rPr>
                <w:color w:val="000000"/>
                <w:sz w:val="20"/>
                <w:szCs w:val="20"/>
              </w:rPr>
              <w:t>0.113</w:t>
            </w:r>
          </w:p>
        </w:tc>
        <w:tc>
          <w:tcPr>
            <w:tcW w:w="768" w:type="dxa"/>
            <w:tcBorders>
              <w:top w:val="nil"/>
              <w:left w:val="nil"/>
              <w:bottom w:val="nil"/>
              <w:right w:val="nil"/>
            </w:tcBorders>
            <w:shd w:val="clear" w:color="auto" w:fill="auto"/>
            <w:noWrap/>
            <w:vAlign w:val="bottom"/>
            <w:hideMark/>
          </w:tcPr>
          <w:p w14:paraId="6E4FFC2E" w14:textId="77777777" w:rsidR="000604B1" w:rsidRDefault="000604B1"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0D8A68AD" w14:textId="77777777" w:rsidR="000604B1" w:rsidRDefault="000604B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1DE60FC" w14:textId="77777777" w:rsidR="000604B1" w:rsidRDefault="000604B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B3B5680" w14:textId="77777777" w:rsidR="000604B1" w:rsidRDefault="000604B1" w:rsidP="005A3B4D">
            <w:pPr>
              <w:jc w:val="right"/>
              <w:rPr>
                <w:color w:val="000000"/>
                <w:sz w:val="20"/>
                <w:szCs w:val="20"/>
              </w:rPr>
            </w:pPr>
            <w:r>
              <w:rPr>
                <w:color w:val="000000"/>
                <w:sz w:val="20"/>
                <w:szCs w:val="20"/>
              </w:rPr>
              <w:t>0.662</w:t>
            </w:r>
          </w:p>
        </w:tc>
        <w:tc>
          <w:tcPr>
            <w:tcW w:w="768" w:type="dxa"/>
            <w:tcBorders>
              <w:top w:val="nil"/>
              <w:left w:val="nil"/>
              <w:bottom w:val="nil"/>
              <w:right w:val="nil"/>
            </w:tcBorders>
            <w:shd w:val="clear" w:color="auto" w:fill="auto"/>
            <w:noWrap/>
            <w:vAlign w:val="bottom"/>
            <w:hideMark/>
          </w:tcPr>
          <w:p w14:paraId="4E7233C2"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38695A" w14:textId="77777777" w:rsidR="000604B1" w:rsidRDefault="000604B1"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252E6D4D" w14:textId="77777777" w:rsidR="000604B1" w:rsidRDefault="000604B1" w:rsidP="005A3B4D">
            <w:pPr>
              <w:jc w:val="right"/>
              <w:rPr>
                <w:color w:val="000000"/>
                <w:sz w:val="20"/>
                <w:szCs w:val="20"/>
              </w:rPr>
            </w:pPr>
            <w:r>
              <w:rPr>
                <w:color w:val="000000"/>
                <w:sz w:val="20"/>
                <w:szCs w:val="20"/>
              </w:rPr>
              <w:t>0.484</w:t>
            </w:r>
          </w:p>
        </w:tc>
        <w:tc>
          <w:tcPr>
            <w:tcW w:w="768" w:type="dxa"/>
            <w:tcBorders>
              <w:top w:val="nil"/>
              <w:left w:val="nil"/>
              <w:bottom w:val="nil"/>
              <w:right w:val="nil"/>
            </w:tcBorders>
            <w:shd w:val="clear" w:color="auto" w:fill="auto"/>
            <w:noWrap/>
            <w:vAlign w:val="bottom"/>
            <w:hideMark/>
          </w:tcPr>
          <w:p w14:paraId="0123E104"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87C1937" w14:textId="77777777" w:rsidR="000604B1" w:rsidRDefault="000604B1" w:rsidP="005A3B4D">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2BE026C1" w14:textId="77777777" w:rsidR="000604B1" w:rsidRDefault="000604B1" w:rsidP="005A3B4D">
            <w:pPr>
              <w:jc w:val="right"/>
              <w:rPr>
                <w:color w:val="000000"/>
                <w:sz w:val="20"/>
                <w:szCs w:val="20"/>
              </w:rPr>
            </w:pPr>
            <w:r>
              <w:rPr>
                <w:color w:val="000000"/>
                <w:sz w:val="20"/>
                <w:szCs w:val="20"/>
              </w:rPr>
              <w:t>0.334</w:t>
            </w:r>
          </w:p>
        </w:tc>
        <w:tc>
          <w:tcPr>
            <w:tcW w:w="768" w:type="dxa"/>
            <w:tcBorders>
              <w:top w:val="nil"/>
              <w:left w:val="nil"/>
              <w:bottom w:val="nil"/>
              <w:right w:val="nil"/>
            </w:tcBorders>
            <w:shd w:val="clear" w:color="auto" w:fill="auto"/>
            <w:noWrap/>
            <w:vAlign w:val="bottom"/>
            <w:hideMark/>
          </w:tcPr>
          <w:p w14:paraId="513B7BE6"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20D12D3" w14:textId="77777777" w:rsidR="000604B1" w:rsidRDefault="000604B1"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7A98148C" w14:textId="77777777" w:rsidR="000604B1" w:rsidRDefault="000604B1" w:rsidP="005A3B4D">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37592E47" w14:textId="77777777" w:rsidR="000604B1" w:rsidRDefault="000604B1" w:rsidP="005A3B4D">
            <w:pPr>
              <w:jc w:val="right"/>
              <w:rPr>
                <w:color w:val="000000"/>
                <w:sz w:val="20"/>
                <w:szCs w:val="20"/>
              </w:rPr>
            </w:pPr>
            <w:r>
              <w:rPr>
                <w:color w:val="000000"/>
                <w:sz w:val="20"/>
                <w:szCs w:val="20"/>
              </w:rPr>
              <w:t>0.003</w:t>
            </w:r>
          </w:p>
        </w:tc>
      </w:tr>
      <w:tr w:rsidR="000604B1" w14:paraId="361C4406" w14:textId="77777777" w:rsidTr="005A3B4D">
        <w:trPr>
          <w:trHeight w:val="320"/>
        </w:trPr>
        <w:tc>
          <w:tcPr>
            <w:tcW w:w="1176" w:type="dxa"/>
            <w:tcBorders>
              <w:top w:val="nil"/>
              <w:left w:val="nil"/>
              <w:bottom w:val="nil"/>
              <w:right w:val="nil"/>
            </w:tcBorders>
            <w:shd w:val="clear" w:color="auto" w:fill="auto"/>
            <w:noWrap/>
            <w:vAlign w:val="bottom"/>
            <w:hideMark/>
          </w:tcPr>
          <w:p w14:paraId="0DCC18CD"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E03388" w14:textId="77777777" w:rsidR="000604B1" w:rsidRDefault="000604B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925D80C" w14:textId="77777777" w:rsidR="000604B1" w:rsidRDefault="000604B1"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1BDE36ED" w14:textId="77777777" w:rsidR="000604B1" w:rsidRDefault="000604B1"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36EDF186"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15769D5"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1840D82" w14:textId="77777777" w:rsidR="000604B1" w:rsidRDefault="000604B1" w:rsidP="005A3B4D">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72071B1A"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A79D6C" w14:textId="77777777" w:rsidR="000604B1" w:rsidRDefault="000604B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5A4EFE24" w14:textId="77777777" w:rsidR="000604B1" w:rsidRDefault="000604B1" w:rsidP="005A3B4D">
            <w:pPr>
              <w:jc w:val="right"/>
              <w:rPr>
                <w:color w:val="000000"/>
                <w:sz w:val="20"/>
                <w:szCs w:val="20"/>
              </w:rPr>
            </w:pPr>
            <w:r>
              <w:rPr>
                <w:color w:val="000000"/>
                <w:sz w:val="20"/>
                <w:szCs w:val="20"/>
              </w:rPr>
              <w:t>0.559</w:t>
            </w:r>
          </w:p>
        </w:tc>
        <w:tc>
          <w:tcPr>
            <w:tcW w:w="768" w:type="dxa"/>
            <w:tcBorders>
              <w:top w:val="nil"/>
              <w:left w:val="nil"/>
              <w:bottom w:val="nil"/>
              <w:right w:val="nil"/>
            </w:tcBorders>
            <w:shd w:val="clear" w:color="auto" w:fill="auto"/>
            <w:noWrap/>
            <w:vAlign w:val="bottom"/>
            <w:hideMark/>
          </w:tcPr>
          <w:p w14:paraId="237896FA"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44BDE0" w14:textId="77777777" w:rsidR="000604B1" w:rsidRDefault="000604B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3C351809" w14:textId="77777777" w:rsidR="000604B1" w:rsidRDefault="000604B1" w:rsidP="005A3B4D">
            <w:pPr>
              <w:jc w:val="right"/>
              <w:rPr>
                <w:color w:val="000000"/>
                <w:sz w:val="20"/>
                <w:szCs w:val="20"/>
              </w:rPr>
            </w:pPr>
            <w:r>
              <w:rPr>
                <w:color w:val="000000"/>
                <w:sz w:val="20"/>
                <w:szCs w:val="20"/>
              </w:rPr>
              <w:t>0.334</w:t>
            </w:r>
          </w:p>
        </w:tc>
        <w:tc>
          <w:tcPr>
            <w:tcW w:w="768" w:type="dxa"/>
            <w:tcBorders>
              <w:top w:val="nil"/>
              <w:left w:val="nil"/>
              <w:bottom w:val="nil"/>
              <w:right w:val="nil"/>
            </w:tcBorders>
            <w:shd w:val="clear" w:color="auto" w:fill="auto"/>
            <w:noWrap/>
            <w:vAlign w:val="bottom"/>
            <w:hideMark/>
          </w:tcPr>
          <w:p w14:paraId="5BE7ED0E"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7E1F7B" w14:textId="77777777" w:rsidR="000604B1" w:rsidRDefault="000604B1"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08A9304" w14:textId="77777777" w:rsidR="000604B1" w:rsidRDefault="000604B1" w:rsidP="005A3B4D">
            <w:pPr>
              <w:jc w:val="right"/>
              <w:rPr>
                <w:color w:val="000000"/>
                <w:sz w:val="20"/>
                <w:szCs w:val="20"/>
              </w:rPr>
            </w:pPr>
            <w:r>
              <w:rPr>
                <w:color w:val="000000"/>
                <w:sz w:val="20"/>
                <w:szCs w:val="20"/>
              </w:rPr>
              <w:t>0.775</w:t>
            </w:r>
          </w:p>
        </w:tc>
        <w:tc>
          <w:tcPr>
            <w:tcW w:w="768" w:type="dxa"/>
            <w:tcBorders>
              <w:top w:val="nil"/>
              <w:left w:val="nil"/>
              <w:bottom w:val="nil"/>
              <w:right w:val="nil"/>
            </w:tcBorders>
            <w:shd w:val="clear" w:color="auto" w:fill="auto"/>
            <w:noWrap/>
            <w:vAlign w:val="bottom"/>
            <w:hideMark/>
          </w:tcPr>
          <w:p w14:paraId="3F36D87F" w14:textId="77777777" w:rsidR="000604B1" w:rsidRDefault="000604B1" w:rsidP="005A3B4D">
            <w:pPr>
              <w:jc w:val="right"/>
              <w:rPr>
                <w:color w:val="000000"/>
                <w:sz w:val="20"/>
                <w:szCs w:val="20"/>
              </w:rPr>
            </w:pPr>
            <w:r>
              <w:rPr>
                <w:color w:val="000000"/>
                <w:sz w:val="20"/>
                <w:szCs w:val="20"/>
              </w:rPr>
              <w:t>0.000</w:t>
            </w:r>
          </w:p>
        </w:tc>
      </w:tr>
      <w:tr w:rsidR="000604B1" w14:paraId="397A459F" w14:textId="77777777" w:rsidTr="005A3B4D">
        <w:trPr>
          <w:trHeight w:val="320"/>
        </w:trPr>
        <w:tc>
          <w:tcPr>
            <w:tcW w:w="1176" w:type="dxa"/>
            <w:tcBorders>
              <w:top w:val="nil"/>
              <w:left w:val="nil"/>
              <w:bottom w:val="nil"/>
              <w:right w:val="nil"/>
            </w:tcBorders>
            <w:shd w:val="clear" w:color="auto" w:fill="auto"/>
            <w:noWrap/>
            <w:vAlign w:val="bottom"/>
            <w:hideMark/>
          </w:tcPr>
          <w:p w14:paraId="756A6362"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D739234" w14:textId="77777777" w:rsidR="000604B1" w:rsidRDefault="000604B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5BC8213" w14:textId="77777777" w:rsidR="000604B1" w:rsidRDefault="000604B1"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BD6DAAF" w14:textId="77777777" w:rsidR="000604B1" w:rsidRDefault="000604B1" w:rsidP="005A3B4D">
            <w:pPr>
              <w:jc w:val="right"/>
              <w:rPr>
                <w:color w:val="000000"/>
                <w:sz w:val="20"/>
                <w:szCs w:val="20"/>
              </w:rPr>
            </w:pPr>
            <w:r>
              <w:rPr>
                <w:color w:val="000000"/>
                <w:sz w:val="20"/>
                <w:szCs w:val="20"/>
              </w:rPr>
              <w:t>0.283</w:t>
            </w:r>
          </w:p>
        </w:tc>
        <w:tc>
          <w:tcPr>
            <w:tcW w:w="768" w:type="dxa"/>
            <w:tcBorders>
              <w:top w:val="nil"/>
              <w:left w:val="nil"/>
              <w:bottom w:val="nil"/>
              <w:right w:val="nil"/>
            </w:tcBorders>
            <w:shd w:val="clear" w:color="auto" w:fill="auto"/>
            <w:noWrap/>
            <w:vAlign w:val="bottom"/>
            <w:hideMark/>
          </w:tcPr>
          <w:p w14:paraId="0C9045DE"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5D50468" w14:textId="77777777" w:rsidR="000604B1" w:rsidRDefault="000604B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816CA72" w14:textId="77777777" w:rsidR="000604B1" w:rsidRDefault="000604B1" w:rsidP="005A3B4D">
            <w:pPr>
              <w:jc w:val="right"/>
              <w:rPr>
                <w:color w:val="000000"/>
                <w:sz w:val="20"/>
                <w:szCs w:val="20"/>
              </w:rPr>
            </w:pPr>
            <w:r>
              <w:rPr>
                <w:color w:val="000000"/>
                <w:sz w:val="20"/>
                <w:szCs w:val="20"/>
              </w:rPr>
              <w:t>0.506</w:t>
            </w:r>
          </w:p>
        </w:tc>
        <w:tc>
          <w:tcPr>
            <w:tcW w:w="768" w:type="dxa"/>
            <w:tcBorders>
              <w:top w:val="nil"/>
              <w:left w:val="nil"/>
              <w:bottom w:val="nil"/>
              <w:right w:val="nil"/>
            </w:tcBorders>
            <w:shd w:val="clear" w:color="auto" w:fill="auto"/>
            <w:noWrap/>
            <w:vAlign w:val="bottom"/>
            <w:hideMark/>
          </w:tcPr>
          <w:p w14:paraId="0D6147E4"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80FAC73" w14:textId="77777777" w:rsidR="000604B1" w:rsidRDefault="000604B1"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3C57A194" w14:textId="77777777" w:rsidR="000604B1" w:rsidRDefault="000604B1" w:rsidP="005A3B4D">
            <w:pPr>
              <w:jc w:val="right"/>
              <w:rPr>
                <w:color w:val="000000"/>
                <w:sz w:val="20"/>
                <w:szCs w:val="20"/>
              </w:rPr>
            </w:pPr>
            <w:r>
              <w:rPr>
                <w:color w:val="000000"/>
                <w:sz w:val="20"/>
                <w:szCs w:val="20"/>
              </w:rPr>
              <w:t>0.559</w:t>
            </w:r>
          </w:p>
        </w:tc>
        <w:tc>
          <w:tcPr>
            <w:tcW w:w="768" w:type="dxa"/>
            <w:tcBorders>
              <w:top w:val="nil"/>
              <w:left w:val="nil"/>
              <w:bottom w:val="nil"/>
              <w:right w:val="nil"/>
            </w:tcBorders>
            <w:shd w:val="clear" w:color="auto" w:fill="auto"/>
            <w:noWrap/>
            <w:vAlign w:val="bottom"/>
            <w:hideMark/>
          </w:tcPr>
          <w:p w14:paraId="08DE7087"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8FA2A3" w14:textId="77777777" w:rsidR="000604B1" w:rsidRDefault="000604B1"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195F3EE1" w14:textId="77777777" w:rsidR="000604B1" w:rsidRDefault="000604B1" w:rsidP="005A3B4D">
            <w:pPr>
              <w:jc w:val="right"/>
              <w:rPr>
                <w:color w:val="000000"/>
                <w:sz w:val="20"/>
                <w:szCs w:val="20"/>
              </w:rPr>
            </w:pPr>
            <w:r>
              <w:rPr>
                <w:color w:val="000000"/>
                <w:sz w:val="20"/>
                <w:szCs w:val="20"/>
              </w:rPr>
              <w:t>0.334</w:t>
            </w:r>
          </w:p>
        </w:tc>
        <w:tc>
          <w:tcPr>
            <w:tcW w:w="768" w:type="dxa"/>
            <w:tcBorders>
              <w:top w:val="nil"/>
              <w:left w:val="nil"/>
              <w:bottom w:val="nil"/>
              <w:right w:val="nil"/>
            </w:tcBorders>
            <w:shd w:val="clear" w:color="auto" w:fill="auto"/>
            <w:noWrap/>
            <w:vAlign w:val="bottom"/>
            <w:hideMark/>
          </w:tcPr>
          <w:p w14:paraId="75FBF448"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DD77759"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E0A81A7" w14:textId="77777777" w:rsidR="000604B1" w:rsidRDefault="000604B1" w:rsidP="005A3B4D">
            <w:pPr>
              <w:jc w:val="right"/>
              <w:rPr>
                <w:color w:val="000000"/>
                <w:sz w:val="20"/>
                <w:szCs w:val="20"/>
              </w:rPr>
            </w:pPr>
            <w:r>
              <w:rPr>
                <w:color w:val="000000"/>
                <w:sz w:val="20"/>
                <w:szCs w:val="20"/>
              </w:rPr>
              <w:t>0.775</w:t>
            </w:r>
          </w:p>
        </w:tc>
        <w:tc>
          <w:tcPr>
            <w:tcW w:w="768" w:type="dxa"/>
            <w:tcBorders>
              <w:top w:val="nil"/>
              <w:left w:val="nil"/>
              <w:bottom w:val="nil"/>
              <w:right w:val="nil"/>
            </w:tcBorders>
            <w:shd w:val="clear" w:color="auto" w:fill="auto"/>
            <w:noWrap/>
            <w:vAlign w:val="bottom"/>
            <w:hideMark/>
          </w:tcPr>
          <w:p w14:paraId="641CA1DB" w14:textId="77777777" w:rsidR="000604B1" w:rsidRDefault="000604B1" w:rsidP="005A3B4D">
            <w:pPr>
              <w:jc w:val="right"/>
              <w:rPr>
                <w:color w:val="000000"/>
                <w:sz w:val="20"/>
                <w:szCs w:val="20"/>
              </w:rPr>
            </w:pPr>
            <w:r>
              <w:rPr>
                <w:color w:val="000000"/>
                <w:sz w:val="20"/>
                <w:szCs w:val="20"/>
              </w:rPr>
              <w:t>0.000</w:t>
            </w:r>
          </w:p>
        </w:tc>
      </w:tr>
      <w:tr w:rsidR="000604B1" w14:paraId="55229745"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22CDB04B" w14:textId="77777777" w:rsidR="000604B1" w:rsidRDefault="000604B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7F0E451" w14:textId="77777777" w:rsidR="000604B1" w:rsidRDefault="000604B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F73E4AB" w14:textId="77777777" w:rsidR="000604B1" w:rsidRDefault="000604B1" w:rsidP="005A3B4D">
            <w:pPr>
              <w:jc w:val="right"/>
              <w:rPr>
                <w:color w:val="000000"/>
                <w:sz w:val="20"/>
                <w:szCs w:val="20"/>
              </w:rPr>
            </w:pPr>
            <w:r>
              <w:rPr>
                <w:color w:val="000000"/>
                <w:sz w:val="20"/>
                <w:szCs w:val="20"/>
              </w:rPr>
              <w:t>-0.063</w:t>
            </w:r>
          </w:p>
        </w:tc>
        <w:tc>
          <w:tcPr>
            <w:tcW w:w="768" w:type="dxa"/>
            <w:tcBorders>
              <w:top w:val="nil"/>
              <w:left w:val="nil"/>
              <w:bottom w:val="single" w:sz="4" w:space="0" w:color="auto"/>
              <w:right w:val="nil"/>
            </w:tcBorders>
            <w:shd w:val="clear" w:color="auto" w:fill="auto"/>
            <w:noWrap/>
            <w:vAlign w:val="bottom"/>
            <w:hideMark/>
          </w:tcPr>
          <w:p w14:paraId="1C186DE2" w14:textId="77777777" w:rsidR="000604B1" w:rsidRDefault="000604B1" w:rsidP="005A3B4D">
            <w:pPr>
              <w:jc w:val="right"/>
              <w:rPr>
                <w:color w:val="000000"/>
                <w:sz w:val="20"/>
                <w:szCs w:val="20"/>
              </w:rPr>
            </w:pPr>
            <w:r>
              <w:rPr>
                <w:color w:val="000000"/>
                <w:sz w:val="20"/>
                <w:szCs w:val="20"/>
              </w:rPr>
              <w:t>0.283</w:t>
            </w:r>
          </w:p>
        </w:tc>
        <w:tc>
          <w:tcPr>
            <w:tcW w:w="768" w:type="dxa"/>
            <w:tcBorders>
              <w:top w:val="nil"/>
              <w:left w:val="nil"/>
              <w:bottom w:val="single" w:sz="4" w:space="0" w:color="auto"/>
              <w:right w:val="nil"/>
            </w:tcBorders>
            <w:shd w:val="clear" w:color="auto" w:fill="auto"/>
            <w:noWrap/>
            <w:vAlign w:val="bottom"/>
            <w:hideMark/>
          </w:tcPr>
          <w:p w14:paraId="703C3105"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50317651" w14:textId="77777777" w:rsidR="000604B1" w:rsidRDefault="000604B1" w:rsidP="005A3B4D">
            <w:pPr>
              <w:jc w:val="right"/>
              <w:rPr>
                <w:color w:val="000000"/>
                <w:sz w:val="20"/>
                <w:szCs w:val="20"/>
              </w:rPr>
            </w:pPr>
            <w:r>
              <w:rPr>
                <w:color w:val="000000"/>
                <w:sz w:val="20"/>
                <w:szCs w:val="20"/>
              </w:rPr>
              <w:t>0.090</w:t>
            </w:r>
          </w:p>
        </w:tc>
        <w:tc>
          <w:tcPr>
            <w:tcW w:w="768" w:type="dxa"/>
            <w:tcBorders>
              <w:top w:val="nil"/>
              <w:left w:val="nil"/>
              <w:bottom w:val="single" w:sz="4" w:space="0" w:color="auto"/>
              <w:right w:val="nil"/>
            </w:tcBorders>
            <w:shd w:val="clear" w:color="auto" w:fill="auto"/>
            <w:noWrap/>
            <w:vAlign w:val="bottom"/>
            <w:hideMark/>
          </w:tcPr>
          <w:p w14:paraId="1494D1AD" w14:textId="77777777" w:rsidR="000604B1" w:rsidRDefault="000604B1" w:rsidP="005A3B4D">
            <w:pPr>
              <w:jc w:val="right"/>
              <w:rPr>
                <w:color w:val="000000"/>
                <w:sz w:val="20"/>
                <w:szCs w:val="20"/>
              </w:rPr>
            </w:pPr>
            <w:r>
              <w:rPr>
                <w:color w:val="000000"/>
                <w:sz w:val="20"/>
                <w:szCs w:val="20"/>
              </w:rPr>
              <w:t>0.088</w:t>
            </w:r>
          </w:p>
        </w:tc>
        <w:tc>
          <w:tcPr>
            <w:tcW w:w="768" w:type="dxa"/>
            <w:tcBorders>
              <w:top w:val="nil"/>
              <w:left w:val="nil"/>
              <w:bottom w:val="single" w:sz="4" w:space="0" w:color="auto"/>
              <w:right w:val="nil"/>
            </w:tcBorders>
            <w:shd w:val="clear" w:color="auto" w:fill="auto"/>
            <w:noWrap/>
            <w:vAlign w:val="bottom"/>
            <w:hideMark/>
          </w:tcPr>
          <w:p w14:paraId="2C3CA1EE"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2D1CF743" w14:textId="77777777" w:rsidR="000604B1" w:rsidRDefault="000604B1" w:rsidP="005A3B4D">
            <w:pPr>
              <w:jc w:val="right"/>
              <w:rPr>
                <w:color w:val="000000"/>
                <w:sz w:val="20"/>
                <w:szCs w:val="20"/>
              </w:rPr>
            </w:pPr>
            <w:r>
              <w:rPr>
                <w:color w:val="000000"/>
                <w:sz w:val="20"/>
                <w:szCs w:val="20"/>
              </w:rPr>
              <w:t>-0.023</w:t>
            </w:r>
          </w:p>
        </w:tc>
        <w:tc>
          <w:tcPr>
            <w:tcW w:w="768" w:type="dxa"/>
            <w:tcBorders>
              <w:top w:val="nil"/>
              <w:left w:val="nil"/>
              <w:bottom w:val="single" w:sz="4" w:space="0" w:color="auto"/>
              <w:right w:val="nil"/>
            </w:tcBorders>
            <w:shd w:val="clear" w:color="auto" w:fill="auto"/>
            <w:noWrap/>
            <w:vAlign w:val="bottom"/>
            <w:hideMark/>
          </w:tcPr>
          <w:p w14:paraId="4B4689F9" w14:textId="77777777" w:rsidR="000604B1" w:rsidRDefault="000604B1" w:rsidP="005A3B4D">
            <w:pPr>
              <w:jc w:val="right"/>
              <w:rPr>
                <w:color w:val="000000"/>
                <w:sz w:val="20"/>
                <w:szCs w:val="20"/>
              </w:rPr>
            </w:pPr>
            <w:r>
              <w:rPr>
                <w:color w:val="000000"/>
                <w:sz w:val="20"/>
                <w:szCs w:val="20"/>
              </w:rPr>
              <w:t>0.559</w:t>
            </w:r>
          </w:p>
        </w:tc>
        <w:tc>
          <w:tcPr>
            <w:tcW w:w="768" w:type="dxa"/>
            <w:tcBorders>
              <w:top w:val="nil"/>
              <w:left w:val="nil"/>
              <w:bottom w:val="single" w:sz="4" w:space="0" w:color="auto"/>
              <w:right w:val="nil"/>
            </w:tcBorders>
            <w:shd w:val="clear" w:color="auto" w:fill="auto"/>
            <w:noWrap/>
            <w:vAlign w:val="bottom"/>
            <w:hideMark/>
          </w:tcPr>
          <w:p w14:paraId="6C27FDFB"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5476EEF" w14:textId="77777777" w:rsidR="000604B1" w:rsidRDefault="000604B1" w:rsidP="005A3B4D">
            <w:pPr>
              <w:jc w:val="right"/>
              <w:rPr>
                <w:color w:val="000000"/>
                <w:sz w:val="20"/>
                <w:szCs w:val="20"/>
              </w:rPr>
            </w:pPr>
            <w:r>
              <w:rPr>
                <w:color w:val="000000"/>
                <w:sz w:val="20"/>
                <w:szCs w:val="20"/>
              </w:rPr>
              <w:t>-0.090</w:t>
            </w:r>
          </w:p>
        </w:tc>
        <w:tc>
          <w:tcPr>
            <w:tcW w:w="768" w:type="dxa"/>
            <w:tcBorders>
              <w:top w:val="nil"/>
              <w:left w:val="nil"/>
              <w:bottom w:val="single" w:sz="4" w:space="0" w:color="auto"/>
              <w:right w:val="nil"/>
            </w:tcBorders>
            <w:shd w:val="clear" w:color="auto" w:fill="auto"/>
            <w:noWrap/>
            <w:vAlign w:val="bottom"/>
            <w:hideMark/>
          </w:tcPr>
          <w:p w14:paraId="30779E44" w14:textId="77777777" w:rsidR="000604B1" w:rsidRDefault="000604B1" w:rsidP="005A3B4D">
            <w:pPr>
              <w:jc w:val="right"/>
              <w:rPr>
                <w:color w:val="000000"/>
                <w:sz w:val="20"/>
                <w:szCs w:val="20"/>
              </w:rPr>
            </w:pPr>
            <w:r>
              <w:rPr>
                <w:color w:val="000000"/>
                <w:sz w:val="20"/>
                <w:szCs w:val="20"/>
              </w:rPr>
              <w:t>0.152</w:t>
            </w:r>
          </w:p>
        </w:tc>
        <w:tc>
          <w:tcPr>
            <w:tcW w:w="768" w:type="dxa"/>
            <w:tcBorders>
              <w:top w:val="nil"/>
              <w:left w:val="nil"/>
              <w:bottom w:val="single" w:sz="4" w:space="0" w:color="auto"/>
              <w:right w:val="nil"/>
            </w:tcBorders>
            <w:shd w:val="clear" w:color="auto" w:fill="auto"/>
            <w:noWrap/>
            <w:vAlign w:val="bottom"/>
            <w:hideMark/>
          </w:tcPr>
          <w:p w14:paraId="77FF6F91"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1D67F7DA"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389C2882" w14:textId="77777777" w:rsidR="000604B1" w:rsidRDefault="000604B1" w:rsidP="005A3B4D">
            <w:pPr>
              <w:jc w:val="right"/>
              <w:rPr>
                <w:color w:val="000000"/>
                <w:sz w:val="20"/>
                <w:szCs w:val="20"/>
              </w:rPr>
            </w:pPr>
            <w:r>
              <w:rPr>
                <w:color w:val="000000"/>
                <w:sz w:val="20"/>
                <w:szCs w:val="20"/>
              </w:rPr>
              <w:t>0.775</w:t>
            </w:r>
          </w:p>
        </w:tc>
        <w:tc>
          <w:tcPr>
            <w:tcW w:w="768" w:type="dxa"/>
            <w:tcBorders>
              <w:top w:val="nil"/>
              <w:left w:val="nil"/>
              <w:bottom w:val="single" w:sz="4" w:space="0" w:color="auto"/>
              <w:right w:val="nil"/>
            </w:tcBorders>
            <w:shd w:val="clear" w:color="auto" w:fill="auto"/>
            <w:noWrap/>
            <w:vAlign w:val="bottom"/>
            <w:hideMark/>
          </w:tcPr>
          <w:p w14:paraId="59CAD38C" w14:textId="77777777" w:rsidR="000604B1" w:rsidRDefault="000604B1" w:rsidP="005A3B4D">
            <w:pPr>
              <w:jc w:val="right"/>
              <w:rPr>
                <w:color w:val="000000"/>
                <w:sz w:val="20"/>
                <w:szCs w:val="20"/>
              </w:rPr>
            </w:pPr>
            <w:r>
              <w:rPr>
                <w:color w:val="000000"/>
                <w:sz w:val="20"/>
                <w:szCs w:val="20"/>
              </w:rPr>
              <w:t>0.000</w:t>
            </w:r>
          </w:p>
        </w:tc>
      </w:tr>
      <w:tr w:rsidR="000604B1" w14:paraId="58D09D00" w14:textId="77777777" w:rsidTr="005A3B4D">
        <w:trPr>
          <w:trHeight w:val="320"/>
        </w:trPr>
        <w:tc>
          <w:tcPr>
            <w:tcW w:w="1176" w:type="dxa"/>
            <w:tcBorders>
              <w:top w:val="nil"/>
              <w:left w:val="nil"/>
              <w:bottom w:val="nil"/>
              <w:right w:val="nil"/>
            </w:tcBorders>
            <w:shd w:val="clear" w:color="auto" w:fill="auto"/>
            <w:noWrap/>
            <w:vAlign w:val="bottom"/>
            <w:hideMark/>
          </w:tcPr>
          <w:p w14:paraId="2B12241C" w14:textId="77777777" w:rsidR="000604B1" w:rsidRDefault="000604B1"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72000B2E" w14:textId="77777777" w:rsidR="000604B1" w:rsidRDefault="000604B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6B9C8B8" w14:textId="77777777" w:rsidR="000604B1" w:rsidRDefault="000604B1" w:rsidP="005A3B4D">
            <w:pPr>
              <w:jc w:val="right"/>
              <w:rPr>
                <w:b/>
                <w:bCs/>
                <w:color w:val="000000"/>
                <w:sz w:val="20"/>
                <w:szCs w:val="20"/>
              </w:rPr>
            </w:pPr>
            <w:r>
              <w:rPr>
                <w:b/>
                <w:bCs/>
                <w:color w:val="000000"/>
                <w:sz w:val="20"/>
                <w:szCs w:val="20"/>
              </w:rPr>
              <w:t>-0.100</w:t>
            </w:r>
          </w:p>
        </w:tc>
        <w:tc>
          <w:tcPr>
            <w:tcW w:w="768" w:type="dxa"/>
            <w:tcBorders>
              <w:top w:val="nil"/>
              <w:left w:val="nil"/>
              <w:bottom w:val="nil"/>
              <w:right w:val="nil"/>
            </w:tcBorders>
            <w:shd w:val="clear" w:color="auto" w:fill="auto"/>
            <w:noWrap/>
            <w:vAlign w:val="bottom"/>
            <w:hideMark/>
          </w:tcPr>
          <w:p w14:paraId="2055E8A1" w14:textId="77777777" w:rsidR="000604B1" w:rsidRDefault="000604B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1ACA1B4B" w14:textId="77777777" w:rsidR="000604B1" w:rsidRDefault="000604B1" w:rsidP="005A3B4D">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5685C591" w14:textId="77777777" w:rsidR="000604B1" w:rsidRDefault="000604B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4F923CA" w14:textId="77777777" w:rsidR="000604B1" w:rsidRDefault="000604B1"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44DEED99"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4DF208"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4AE284" w14:textId="77777777" w:rsidR="000604B1" w:rsidRDefault="000604B1"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07E0B1FB"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189D5C" w14:textId="77777777" w:rsidR="000604B1" w:rsidRDefault="000604B1" w:rsidP="005A3B4D">
            <w:pPr>
              <w:jc w:val="right"/>
              <w:rPr>
                <w:b/>
                <w:bCs/>
                <w:color w:val="000000"/>
                <w:sz w:val="20"/>
                <w:szCs w:val="20"/>
              </w:rPr>
            </w:pPr>
            <w:r>
              <w:rPr>
                <w:b/>
                <w:bCs/>
                <w:color w:val="000000"/>
                <w:sz w:val="20"/>
                <w:szCs w:val="20"/>
              </w:rPr>
              <w:t>-0.086</w:t>
            </w:r>
          </w:p>
        </w:tc>
        <w:tc>
          <w:tcPr>
            <w:tcW w:w="768" w:type="dxa"/>
            <w:tcBorders>
              <w:top w:val="nil"/>
              <w:left w:val="nil"/>
              <w:bottom w:val="nil"/>
              <w:right w:val="nil"/>
            </w:tcBorders>
            <w:shd w:val="clear" w:color="auto" w:fill="auto"/>
            <w:noWrap/>
            <w:vAlign w:val="bottom"/>
            <w:hideMark/>
          </w:tcPr>
          <w:p w14:paraId="1559AE96" w14:textId="77777777" w:rsidR="000604B1" w:rsidRDefault="000604B1"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C8B7401" w14:textId="77777777" w:rsidR="000604B1" w:rsidRDefault="000604B1" w:rsidP="005A3B4D">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7CEE1716"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4F8A732" w14:textId="77777777" w:rsidR="000604B1" w:rsidRDefault="000604B1" w:rsidP="005A3B4D">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6232FAE9" w14:textId="77777777" w:rsidR="000604B1" w:rsidRDefault="000604B1" w:rsidP="005A3B4D">
            <w:pPr>
              <w:jc w:val="right"/>
              <w:rPr>
                <w:color w:val="000000"/>
                <w:sz w:val="20"/>
                <w:szCs w:val="20"/>
              </w:rPr>
            </w:pPr>
            <w:r>
              <w:rPr>
                <w:color w:val="000000"/>
                <w:sz w:val="20"/>
                <w:szCs w:val="20"/>
              </w:rPr>
              <w:t>0.000</w:t>
            </w:r>
          </w:p>
        </w:tc>
      </w:tr>
      <w:tr w:rsidR="000604B1" w14:paraId="41481EF2" w14:textId="77777777" w:rsidTr="005A3B4D">
        <w:trPr>
          <w:trHeight w:val="320"/>
        </w:trPr>
        <w:tc>
          <w:tcPr>
            <w:tcW w:w="1176" w:type="dxa"/>
            <w:tcBorders>
              <w:top w:val="nil"/>
              <w:left w:val="nil"/>
              <w:bottom w:val="nil"/>
              <w:right w:val="nil"/>
            </w:tcBorders>
            <w:shd w:val="clear" w:color="auto" w:fill="auto"/>
            <w:noWrap/>
            <w:vAlign w:val="bottom"/>
            <w:hideMark/>
          </w:tcPr>
          <w:p w14:paraId="5623F977"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263CB9" w14:textId="77777777" w:rsidR="000604B1" w:rsidRDefault="000604B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EF44DA9" w14:textId="77777777" w:rsidR="000604B1" w:rsidRDefault="000604B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7D543F08" w14:textId="77777777" w:rsidR="000604B1" w:rsidRDefault="000604B1" w:rsidP="005A3B4D">
            <w:pPr>
              <w:jc w:val="right"/>
              <w:rPr>
                <w:color w:val="000000"/>
                <w:sz w:val="20"/>
                <w:szCs w:val="20"/>
              </w:rPr>
            </w:pPr>
            <w:r>
              <w:rPr>
                <w:color w:val="000000"/>
                <w:sz w:val="20"/>
                <w:szCs w:val="20"/>
              </w:rPr>
              <w:t>0.594</w:t>
            </w:r>
          </w:p>
        </w:tc>
        <w:tc>
          <w:tcPr>
            <w:tcW w:w="768" w:type="dxa"/>
            <w:tcBorders>
              <w:top w:val="nil"/>
              <w:left w:val="nil"/>
              <w:bottom w:val="nil"/>
              <w:right w:val="nil"/>
            </w:tcBorders>
            <w:shd w:val="clear" w:color="auto" w:fill="auto"/>
            <w:noWrap/>
            <w:vAlign w:val="bottom"/>
            <w:hideMark/>
          </w:tcPr>
          <w:p w14:paraId="240312D0"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F5879C" w14:textId="77777777" w:rsidR="000604B1" w:rsidRDefault="000604B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7A604189" w14:textId="77777777" w:rsidR="000604B1" w:rsidRDefault="000604B1" w:rsidP="005A3B4D">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59BF2B1D"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E5EB9A" w14:textId="77777777" w:rsidR="000604B1" w:rsidRDefault="000604B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08C3449" w14:textId="77777777" w:rsidR="000604B1" w:rsidRDefault="000604B1" w:rsidP="005A3B4D">
            <w:pPr>
              <w:jc w:val="right"/>
              <w:rPr>
                <w:color w:val="000000"/>
                <w:sz w:val="20"/>
                <w:szCs w:val="20"/>
              </w:rPr>
            </w:pPr>
            <w:r>
              <w:rPr>
                <w:color w:val="000000"/>
                <w:sz w:val="20"/>
                <w:szCs w:val="20"/>
              </w:rPr>
              <w:t>0.445</w:t>
            </w:r>
          </w:p>
        </w:tc>
        <w:tc>
          <w:tcPr>
            <w:tcW w:w="768" w:type="dxa"/>
            <w:tcBorders>
              <w:top w:val="nil"/>
              <w:left w:val="nil"/>
              <w:bottom w:val="nil"/>
              <w:right w:val="nil"/>
            </w:tcBorders>
            <w:shd w:val="clear" w:color="auto" w:fill="auto"/>
            <w:noWrap/>
            <w:vAlign w:val="bottom"/>
            <w:hideMark/>
          </w:tcPr>
          <w:p w14:paraId="0DBE96FC"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3B2F971"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4185138" w14:textId="77777777" w:rsidR="000604B1" w:rsidRDefault="000604B1" w:rsidP="005A3B4D">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13F0C423"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A130AF" w14:textId="77777777" w:rsidR="000604B1" w:rsidRDefault="000604B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0D5655E" w14:textId="77777777" w:rsidR="000604B1" w:rsidRDefault="000604B1" w:rsidP="005A3B4D">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559E9F0A" w14:textId="77777777" w:rsidR="000604B1" w:rsidRDefault="000604B1" w:rsidP="005A3B4D">
            <w:pPr>
              <w:jc w:val="right"/>
              <w:rPr>
                <w:color w:val="000000"/>
                <w:sz w:val="20"/>
                <w:szCs w:val="20"/>
              </w:rPr>
            </w:pPr>
            <w:r>
              <w:rPr>
                <w:color w:val="000000"/>
                <w:sz w:val="20"/>
                <w:szCs w:val="20"/>
              </w:rPr>
              <w:t>0.001</w:t>
            </w:r>
          </w:p>
        </w:tc>
      </w:tr>
      <w:tr w:rsidR="000604B1" w14:paraId="0368E619" w14:textId="77777777" w:rsidTr="005A3B4D">
        <w:trPr>
          <w:trHeight w:val="320"/>
        </w:trPr>
        <w:tc>
          <w:tcPr>
            <w:tcW w:w="1176" w:type="dxa"/>
            <w:tcBorders>
              <w:top w:val="nil"/>
              <w:left w:val="nil"/>
              <w:bottom w:val="nil"/>
              <w:right w:val="nil"/>
            </w:tcBorders>
            <w:shd w:val="clear" w:color="auto" w:fill="auto"/>
            <w:noWrap/>
            <w:vAlign w:val="bottom"/>
            <w:hideMark/>
          </w:tcPr>
          <w:p w14:paraId="06D7FB5D"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6D2E345" w14:textId="77777777" w:rsidR="000604B1" w:rsidRDefault="000604B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365A8A9"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E03FFA8" w14:textId="77777777" w:rsidR="000604B1" w:rsidRDefault="000604B1" w:rsidP="005A3B4D">
            <w:pPr>
              <w:jc w:val="right"/>
              <w:rPr>
                <w:color w:val="000000"/>
                <w:sz w:val="20"/>
                <w:szCs w:val="20"/>
              </w:rPr>
            </w:pPr>
            <w:r>
              <w:rPr>
                <w:color w:val="000000"/>
                <w:sz w:val="20"/>
                <w:szCs w:val="20"/>
              </w:rPr>
              <w:t>0.767</w:t>
            </w:r>
          </w:p>
        </w:tc>
        <w:tc>
          <w:tcPr>
            <w:tcW w:w="768" w:type="dxa"/>
            <w:tcBorders>
              <w:top w:val="nil"/>
              <w:left w:val="nil"/>
              <w:bottom w:val="nil"/>
              <w:right w:val="nil"/>
            </w:tcBorders>
            <w:shd w:val="clear" w:color="auto" w:fill="auto"/>
            <w:noWrap/>
            <w:vAlign w:val="bottom"/>
            <w:hideMark/>
          </w:tcPr>
          <w:p w14:paraId="2A73CCF0"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89E53C" w14:textId="77777777" w:rsidR="000604B1" w:rsidRDefault="000604B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02C04AA" w14:textId="77777777" w:rsidR="000604B1" w:rsidRDefault="000604B1"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73BBCDBD"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D0BFA7"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155240A" w14:textId="77777777" w:rsidR="000604B1" w:rsidRDefault="000604B1" w:rsidP="005A3B4D">
            <w:pPr>
              <w:jc w:val="right"/>
              <w:rPr>
                <w:color w:val="000000"/>
                <w:sz w:val="20"/>
                <w:szCs w:val="20"/>
              </w:rPr>
            </w:pPr>
            <w:r>
              <w:rPr>
                <w:color w:val="000000"/>
                <w:sz w:val="20"/>
                <w:szCs w:val="20"/>
              </w:rPr>
              <w:t>0.837</w:t>
            </w:r>
          </w:p>
        </w:tc>
        <w:tc>
          <w:tcPr>
            <w:tcW w:w="768" w:type="dxa"/>
            <w:tcBorders>
              <w:top w:val="nil"/>
              <w:left w:val="nil"/>
              <w:bottom w:val="nil"/>
              <w:right w:val="nil"/>
            </w:tcBorders>
            <w:shd w:val="clear" w:color="auto" w:fill="auto"/>
            <w:noWrap/>
            <w:vAlign w:val="bottom"/>
            <w:hideMark/>
          </w:tcPr>
          <w:p w14:paraId="0A545A38"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15CDDD"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C8787FB" w14:textId="77777777" w:rsidR="000604B1" w:rsidRDefault="000604B1" w:rsidP="005A3B4D">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167862DB"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7527A7" w14:textId="77777777" w:rsidR="000604B1" w:rsidRDefault="000604B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07EFF11" w14:textId="77777777" w:rsidR="000604B1" w:rsidRDefault="000604B1" w:rsidP="005A3B4D">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030C215F" w14:textId="77777777" w:rsidR="000604B1" w:rsidRDefault="000604B1" w:rsidP="005A3B4D">
            <w:pPr>
              <w:jc w:val="right"/>
              <w:rPr>
                <w:color w:val="000000"/>
                <w:sz w:val="20"/>
                <w:szCs w:val="20"/>
              </w:rPr>
            </w:pPr>
            <w:r>
              <w:rPr>
                <w:color w:val="000000"/>
                <w:sz w:val="20"/>
                <w:szCs w:val="20"/>
              </w:rPr>
              <w:t>0.000</w:t>
            </w:r>
          </w:p>
        </w:tc>
      </w:tr>
      <w:tr w:rsidR="000604B1" w14:paraId="54461D2E" w14:textId="77777777" w:rsidTr="005A3B4D">
        <w:trPr>
          <w:trHeight w:val="320"/>
        </w:trPr>
        <w:tc>
          <w:tcPr>
            <w:tcW w:w="1176" w:type="dxa"/>
            <w:tcBorders>
              <w:top w:val="nil"/>
              <w:left w:val="nil"/>
              <w:bottom w:val="nil"/>
              <w:right w:val="nil"/>
            </w:tcBorders>
            <w:shd w:val="clear" w:color="auto" w:fill="auto"/>
            <w:noWrap/>
            <w:vAlign w:val="bottom"/>
            <w:hideMark/>
          </w:tcPr>
          <w:p w14:paraId="6A50037B"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AA27193" w14:textId="77777777" w:rsidR="000604B1" w:rsidRDefault="000604B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4EBCE2C" w14:textId="77777777" w:rsidR="000604B1" w:rsidRDefault="000604B1"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4551498C" w14:textId="77777777" w:rsidR="000604B1" w:rsidRDefault="000604B1" w:rsidP="005A3B4D">
            <w:pPr>
              <w:jc w:val="right"/>
              <w:rPr>
                <w:color w:val="000000"/>
                <w:sz w:val="20"/>
                <w:szCs w:val="20"/>
              </w:rPr>
            </w:pPr>
            <w:r>
              <w:rPr>
                <w:color w:val="000000"/>
                <w:sz w:val="20"/>
                <w:szCs w:val="20"/>
              </w:rPr>
              <w:t>0.341</w:t>
            </w:r>
          </w:p>
        </w:tc>
        <w:tc>
          <w:tcPr>
            <w:tcW w:w="768" w:type="dxa"/>
            <w:tcBorders>
              <w:top w:val="nil"/>
              <w:left w:val="nil"/>
              <w:bottom w:val="nil"/>
              <w:right w:val="nil"/>
            </w:tcBorders>
            <w:shd w:val="clear" w:color="auto" w:fill="auto"/>
            <w:noWrap/>
            <w:vAlign w:val="bottom"/>
            <w:hideMark/>
          </w:tcPr>
          <w:p w14:paraId="5A7F5859"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26D3C06"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3A4AF63" w14:textId="77777777" w:rsidR="000604B1" w:rsidRDefault="000604B1"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2FE93073"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F46A32"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E9ABF66" w14:textId="77777777" w:rsidR="000604B1" w:rsidRDefault="000604B1" w:rsidP="005A3B4D">
            <w:pPr>
              <w:jc w:val="right"/>
              <w:rPr>
                <w:color w:val="000000"/>
                <w:sz w:val="20"/>
                <w:szCs w:val="20"/>
              </w:rPr>
            </w:pPr>
            <w:r>
              <w:rPr>
                <w:color w:val="000000"/>
                <w:sz w:val="20"/>
                <w:szCs w:val="20"/>
              </w:rPr>
              <w:t>0.837</w:t>
            </w:r>
          </w:p>
        </w:tc>
        <w:tc>
          <w:tcPr>
            <w:tcW w:w="768" w:type="dxa"/>
            <w:tcBorders>
              <w:top w:val="nil"/>
              <w:left w:val="nil"/>
              <w:bottom w:val="nil"/>
              <w:right w:val="nil"/>
            </w:tcBorders>
            <w:shd w:val="clear" w:color="auto" w:fill="auto"/>
            <w:noWrap/>
            <w:vAlign w:val="bottom"/>
            <w:hideMark/>
          </w:tcPr>
          <w:p w14:paraId="11ADB7F3"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769D8C"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186ED81" w14:textId="77777777" w:rsidR="000604B1" w:rsidRDefault="000604B1" w:rsidP="005A3B4D">
            <w:pPr>
              <w:jc w:val="right"/>
              <w:rPr>
                <w:color w:val="000000"/>
                <w:sz w:val="20"/>
                <w:szCs w:val="20"/>
              </w:rPr>
            </w:pPr>
            <w:r>
              <w:rPr>
                <w:color w:val="000000"/>
                <w:sz w:val="20"/>
                <w:szCs w:val="20"/>
              </w:rPr>
              <w:t>0.940</w:t>
            </w:r>
          </w:p>
        </w:tc>
        <w:tc>
          <w:tcPr>
            <w:tcW w:w="768" w:type="dxa"/>
            <w:tcBorders>
              <w:top w:val="nil"/>
              <w:left w:val="nil"/>
              <w:bottom w:val="nil"/>
              <w:right w:val="nil"/>
            </w:tcBorders>
            <w:shd w:val="clear" w:color="auto" w:fill="auto"/>
            <w:noWrap/>
            <w:vAlign w:val="bottom"/>
            <w:hideMark/>
          </w:tcPr>
          <w:p w14:paraId="60527269"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FC0C6C" w14:textId="77777777" w:rsidR="000604B1" w:rsidRDefault="000604B1"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417562C0" w14:textId="77777777" w:rsidR="000604B1" w:rsidRDefault="000604B1" w:rsidP="005A3B4D">
            <w:pPr>
              <w:jc w:val="right"/>
              <w:rPr>
                <w:color w:val="000000"/>
                <w:sz w:val="20"/>
                <w:szCs w:val="20"/>
              </w:rPr>
            </w:pPr>
            <w:r>
              <w:rPr>
                <w:color w:val="000000"/>
                <w:sz w:val="20"/>
                <w:szCs w:val="20"/>
              </w:rPr>
              <w:t>0.580</w:t>
            </w:r>
          </w:p>
        </w:tc>
        <w:tc>
          <w:tcPr>
            <w:tcW w:w="768" w:type="dxa"/>
            <w:tcBorders>
              <w:top w:val="nil"/>
              <w:left w:val="nil"/>
              <w:bottom w:val="nil"/>
              <w:right w:val="nil"/>
            </w:tcBorders>
            <w:shd w:val="clear" w:color="auto" w:fill="auto"/>
            <w:noWrap/>
            <w:vAlign w:val="bottom"/>
            <w:hideMark/>
          </w:tcPr>
          <w:p w14:paraId="4F5A3F95" w14:textId="77777777" w:rsidR="000604B1" w:rsidRDefault="000604B1" w:rsidP="005A3B4D">
            <w:pPr>
              <w:jc w:val="right"/>
              <w:rPr>
                <w:color w:val="000000"/>
                <w:sz w:val="20"/>
                <w:szCs w:val="20"/>
              </w:rPr>
            </w:pPr>
            <w:r>
              <w:rPr>
                <w:color w:val="000000"/>
                <w:sz w:val="20"/>
                <w:szCs w:val="20"/>
              </w:rPr>
              <w:t>0.005</w:t>
            </w:r>
          </w:p>
        </w:tc>
      </w:tr>
      <w:tr w:rsidR="000604B1" w14:paraId="29AA8AA5" w14:textId="77777777" w:rsidTr="005A3B4D">
        <w:trPr>
          <w:trHeight w:val="320"/>
        </w:trPr>
        <w:tc>
          <w:tcPr>
            <w:tcW w:w="1176" w:type="dxa"/>
            <w:tcBorders>
              <w:top w:val="nil"/>
              <w:left w:val="nil"/>
              <w:bottom w:val="nil"/>
              <w:right w:val="nil"/>
            </w:tcBorders>
            <w:shd w:val="clear" w:color="auto" w:fill="auto"/>
            <w:noWrap/>
            <w:vAlign w:val="bottom"/>
            <w:hideMark/>
          </w:tcPr>
          <w:p w14:paraId="20DA56B0"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33C63C5" w14:textId="77777777" w:rsidR="000604B1" w:rsidRDefault="000604B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ECC617E" w14:textId="77777777" w:rsidR="000604B1" w:rsidRDefault="000604B1" w:rsidP="005A3B4D">
            <w:pPr>
              <w:jc w:val="right"/>
              <w:rPr>
                <w:b/>
                <w:bCs/>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31C51264" w14:textId="77777777" w:rsidR="000604B1" w:rsidRDefault="000604B1" w:rsidP="005A3B4D">
            <w:pPr>
              <w:jc w:val="right"/>
              <w:rPr>
                <w:b/>
                <w:bCs/>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705F444B" w14:textId="77777777" w:rsidR="000604B1" w:rsidRDefault="000604B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1CBD368" w14:textId="77777777" w:rsidR="000604B1" w:rsidRDefault="000604B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379EE75" w14:textId="77777777" w:rsidR="000604B1" w:rsidRDefault="000604B1"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07BDE8C2"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96FD52" w14:textId="77777777" w:rsidR="000604B1" w:rsidRDefault="000604B1"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A80F807" w14:textId="77777777" w:rsidR="000604B1" w:rsidRDefault="000604B1" w:rsidP="005A3B4D">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10B7D1BA"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6F59459" w14:textId="77777777" w:rsidR="000604B1" w:rsidRDefault="000604B1"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46491AFC" w14:textId="77777777" w:rsidR="000604B1" w:rsidRDefault="000604B1" w:rsidP="005A3B4D">
            <w:pPr>
              <w:jc w:val="right"/>
              <w:rPr>
                <w:color w:val="000000"/>
                <w:sz w:val="20"/>
                <w:szCs w:val="20"/>
              </w:rPr>
            </w:pPr>
            <w:r>
              <w:rPr>
                <w:color w:val="000000"/>
                <w:sz w:val="20"/>
                <w:szCs w:val="20"/>
              </w:rPr>
              <w:t>0.328</w:t>
            </w:r>
          </w:p>
        </w:tc>
        <w:tc>
          <w:tcPr>
            <w:tcW w:w="768" w:type="dxa"/>
            <w:tcBorders>
              <w:top w:val="nil"/>
              <w:left w:val="nil"/>
              <w:bottom w:val="nil"/>
              <w:right w:val="nil"/>
            </w:tcBorders>
            <w:shd w:val="clear" w:color="auto" w:fill="auto"/>
            <w:noWrap/>
            <w:vAlign w:val="bottom"/>
            <w:hideMark/>
          </w:tcPr>
          <w:p w14:paraId="7D9D0ABD"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CB1E2A9" w14:textId="77777777" w:rsidR="000604B1" w:rsidRDefault="000604B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F511363" w14:textId="77777777" w:rsidR="000604B1" w:rsidRDefault="000604B1" w:rsidP="005A3B4D">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046173F7" w14:textId="77777777" w:rsidR="000604B1" w:rsidRDefault="000604B1" w:rsidP="005A3B4D">
            <w:pPr>
              <w:jc w:val="right"/>
              <w:rPr>
                <w:color w:val="000000"/>
                <w:sz w:val="20"/>
                <w:szCs w:val="20"/>
              </w:rPr>
            </w:pPr>
            <w:r>
              <w:rPr>
                <w:color w:val="000000"/>
                <w:sz w:val="20"/>
                <w:szCs w:val="20"/>
              </w:rPr>
              <w:t>0.001</w:t>
            </w:r>
          </w:p>
        </w:tc>
      </w:tr>
      <w:tr w:rsidR="000604B1" w14:paraId="5DE9D038" w14:textId="77777777" w:rsidTr="005A3B4D">
        <w:trPr>
          <w:trHeight w:val="320"/>
        </w:trPr>
        <w:tc>
          <w:tcPr>
            <w:tcW w:w="1176" w:type="dxa"/>
            <w:tcBorders>
              <w:top w:val="nil"/>
              <w:left w:val="nil"/>
              <w:bottom w:val="nil"/>
              <w:right w:val="nil"/>
            </w:tcBorders>
            <w:shd w:val="clear" w:color="auto" w:fill="auto"/>
            <w:noWrap/>
            <w:vAlign w:val="bottom"/>
            <w:hideMark/>
          </w:tcPr>
          <w:p w14:paraId="0E95B376"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0126F57" w14:textId="77777777" w:rsidR="000604B1" w:rsidRDefault="000604B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E461C4B" w14:textId="77777777" w:rsidR="000604B1" w:rsidRDefault="000604B1"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2B85238" w14:textId="77777777" w:rsidR="000604B1" w:rsidRDefault="000604B1" w:rsidP="005A3B4D">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54371A9D"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104E4EE" w14:textId="77777777" w:rsidR="000604B1" w:rsidRDefault="000604B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13CF6DE2" w14:textId="77777777" w:rsidR="000604B1" w:rsidRDefault="000604B1" w:rsidP="005A3B4D">
            <w:pPr>
              <w:jc w:val="right"/>
              <w:rPr>
                <w:color w:val="000000"/>
                <w:sz w:val="20"/>
                <w:szCs w:val="20"/>
              </w:rPr>
            </w:pPr>
            <w:r>
              <w:rPr>
                <w:color w:val="000000"/>
                <w:sz w:val="20"/>
                <w:szCs w:val="20"/>
              </w:rPr>
              <w:t>0.516</w:t>
            </w:r>
          </w:p>
        </w:tc>
        <w:tc>
          <w:tcPr>
            <w:tcW w:w="768" w:type="dxa"/>
            <w:tcBorders>
              <w:top w:val="nil"/>
              <w:left w:val="nil"/>
              <w:bottom w:val="nil"/>
              <w:right w:val="nil"/>
            </w:tcBorders>
            <w:shd w:val="clear" w:color="auto" w:fill="auto"/>
            <w:noWrap/>
            <w:vAlign w:val="bottom"/>
            <w:hideMark/>
          </w:tcPr>
          <w:p w14:paraId="17B72E67"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7BDAD7" w14:textId="77777777" w:rsidR="000604B1" w:rsidRDefault="000604B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F875780" w14:textId="77777777" w:rsidR="000604B1" w:rsidRDefault="000604B1" w:rsidP="005A3B4D">
            <w:pPr>
              <w:jc w:val="right"/>
              <w:rPr>
                <w:color w:val="000000"/>
                <w:sz w:val="20"/>
                <w:szCs w:val="20"/>
              </w:rPr>
            </w:pPr>
            <w:r>
              <w:rPr>
                <w:color w:val="000000"/>
                <w:sz w:val="20"/>
                <w:szCs w:val="20"/>
              </w:rPr>
              <w:t>0.837</w:t>
            </w:r>
          </w:p>
        </w:tc>
        <w:tc>
          <w:tcPr>
            <w:tcW w:w="768" w:type="dxa"/>
            <w:tcBorders>
              <w:top w:val="nil"/>
              <w:left w:val="nil"/>
              <w:bottom w:val="nil"/>
              <w:right w:val="nil"/>
            </w:tcBorders>
            <w:shd w:val="clear" w:color="auto" w:fill="auto"/>
            <w:noWrap/>
            <w:vAlign w:val="bottom"/>
            <w:hideMark/>
          </w:tcPr>
          <w:p w14:paraId="1634AAD6"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8A8557" w14:textId="77777777" w:rsidR="000604B1" w:rsidRDefault="000604B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62A6440" w14:textId="77777777" w:rsidR="000604B1" w:rsidRDefault="000604B1" w:rsidP="005A3B4D">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6354B8A6"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3CAA7F" w14:textId="77777777" w:rsidR="000604B1" w:rsidRDefault="000604B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6659D15" w14:textId="77777777" w:rsidR="000604B1" w:rsidRDefault="000604B1" w:rsidP="005A3B4D">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63480B63" w14:textId="77777777" w:rsidR="000604B1" w:rsidRDefault="000604B1" w:rsidP="005A3B4D">
            <w:pPr>
              <w:jc w:val="right"/>
              <w:rPr>
                <w:color w:val="000000"/>
                <w:sz w:val="20"/>
                <w:szCs w:val="20"/>
              </w:rPr>
            </w:pPr>
            <w:r>
              <w:rPr>
                <w:color w:val="000000"/>
                <w:sz w:val="20"/>
                <w:szCs w:val="20"/>
              </w:rPr>
              <w:t>0.001</w:t>
            </w:r>
          </w:p>
        </w:tc>
      </w:tr>
      <w:tr w:rsidR="000604B1" w14:paraId="2E33E1E1" w14:textId="77777777" w:rsidTr="005A3B4D">
        <w:trPr>
          <w:trHeight w:val="320"/>
        </w:trPr>
        <w:tc>
          <w:tcPr>
            <w:tcW w:w="1176" w:type="dxa"/>
            <w:tcBorders>
              <w:top w:val="nil"/>
              <w:left w:val="nil"/>
              <w:bottom w:val="nil"/>
              <w:right w:val="nil"/>
            </w:tcBorders>
            <w:shd w:val="clear" w:color="auto" w:fill="auto"/>
            <w:noWrap/>
            <w:vAlign w:val="bottom"/>
            <w:hideMark/>
          </w:tcPr>
          <w:p w14:paraId="6DE5ECD3"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BB5DDB" w14:textId="77777777" w:rsidR="000604B1" w:rsidRDefault="000604B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70C5022" w14:textId="77777777" w:rsidR="000604B1" w:rsidRDefault="000604B1"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6E6AFD51" w14:textId="77777777" w:rsidR="000604B1" w:rsidRDefault="000604B1" w:rsidP="005A3B4D">
            <w:pPr>
              <w:jc w:val="right"/>
              <w:rPr>
                <w:color w:val="000000"/>
                <w:sz w:val="20"/>
                <w:szCs w:val="20"/>
              </w:rPr>
            </w:pPr>
            <w:r>
              <w:rPr>
                <w:color w:val="000000"/>
                <w:sz w:val="20"/>
                <w:szCs w:val="20"/>
              </w:rPr>
              <w:t>0.166</w:t>
            </w:r>
          </w:p>
        </w:tc>
        <w:tc>
          <w:tcPr>
            <w:tcW w:w="768" w:type="dxa"/>
            <w:tcBorders>
              <w:top w:val="nil"/>
              <w:left w:val="nil"/>
              <w:bottom w:val="nil"/>
              <w:right w:val="nil"/>
            </w:tcBorders>
            <w:shd w:val="clear" w:color="auto" w:fill="auto"/>
            <w:noWrap/>
            <w:vAlign w:val="bottom"/>
            <w:hideMark/>
          </w:tcPr>
          <w:p w14:paraId="19850BE2"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0258F88" w14:textId="77777777" w:rsidR="000604B1" w:rsidRDefault="000604B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C00113F" w14:textId="77777777" w:rsidR="000604B1" w:rsidRDefault="000604B1"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09A28A9C"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AC4BA7"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BDF1C5C" w14:textId="77777777" w:rsidR="000604B1" w:rsidRDefault="000604B1" w:rsidP="005A3B4D">
            <w:pPr>
              <w:jc w:val="right"/>
              <w:rPr>
                <w:color w:val="000000"/>
                <w:sz w:val="20"/>
                <w:szCs w:val="20"/>
              </w:rPr>
            </w:pPr>
            <w:r>
              <w:rPr>
                <w:color w:val="000000"/>
                <w:sz w:val="20"/>
                <w:szCs w:val="20"/>
              </w:rPr>
              <w:t>0.837</w:t>
            </w:r>
          </w:p>
        </w:tc>
        <w:tc>
          <w:tcPr>
            <w:tcW w:w="768" w:type="dxa"/>
            <w:tcBorders>
              <w:top w:val="nil"/>
              <w:left w:val="nil"/>
              <w:bottom w:val="nil"/>
              <w:right w:val="nil"/>
            </w:tcBorders>
            <w:shd w:val="clear" w:color="auto" w:fill="auto"/>
            <w:noWrap/>
            <w:vAlign w:val="bottom"/>
            <w:hideMark/>
          </w:tcPr>
          <w:p w14:paraId="194FD55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B7E48A" w14:textId="77777777" w:rsidR="000604B1" w:rsidRDefault="000604B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7C7409F" w14:textId="77777777" w:rsidR="000604B1" w:rsidRDefault="000604B1" w:rsidP="005A3B4D">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32070056"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A49E5C" w14:textId="77777777" w:rsidR="000604B1" w:rsidRDefault="000604B1"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335C1553" w14:textId="77777777" w:rsidR="000604B1" w:rsidRDefault="000604B1" w:rsidP="005A3B4D">
            <w:pPr>
              <w:jc w:val="right"/>
              <w:rPr>
                <w:color w:val="000000"/>
                <w:sz w:val="20"/>
                <w:szCs w:val="20"/>
              </w:rPr>
            </w:pPr>
            <w:r>
              <w:rPr>
                <w:color w:val="000000"/>
                <w:sz w:val="20"/>
                <w:szCs w:val="20"/>
              </w:rPr>
              <w:t>0.580</w:t>
            </w:r>
          </w:p>
        </w:tc>
        <w:tc>
          <w:tcPr>
            <w:tcW w:w="768" w:type="dxa"/>
            <w:tcBorders>
              <w:top w:val="nil"/>
              <w:left w:val="nil"/>
              <w:bottom w:val="nil"/>
              <w:right w:val="nil"/>
            </w:tcBorders>
            <w:shd w:val="clear" w:color="auto" w:fill="auto"/>
            <w:noWrap/>
            <w:vAlign w:val="bottom"/>
            <w:hideMark/>
          </w:tcPr>
          <w:p w14:paraId="6EAAEC30" w14:textId="77777777" w:rsidR="000604B1" w:rsidRDefault="000604B1" w:rsidP="005A3B4D">
            <w:pPr>
              <w:jc w:val="right"/>
              <w:rPr>
                <w:color w:val="000000"/>
                <w:sz w:val="20"/>
                <w:szCs w:val="20"/>
              </w:rPr>
            </w:pPr>
            <w:r>
              <w:rPr>
                <w:color w:val="000000"/>
                <w:sz w:val="20"/>
                <w:szCs w:val="20"/>
              </w:rPr>
              <w:t>0.002</w:t>
            </w:r>
          </w:p>
        </w:tc>
      </w:tr>
      <w:tr w:rsidR="000604B1" w14:paraId="7F49D487"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176D32B5" w14:textId="77777777" w:rsidR="000604B1" w:rsidRDefault="000604B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33F058C" w14:textId="77777777" w:rsidR="000604B1" w:rsidRDefault="000604B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3C4A3C0" w14:textId="77777777" w:rsidR="000604B1" w:rsidRDefault="000604B1" w:rsidP="005A3B4D">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19CAD910" w14:textId="77777777" w:rsidR="000604B1" w:rsidRDefault="000604B1" w:rsidP="005A3B4D">
            <w:pPr>
              <w:jc w:val="right"/>
              <w:rPr>
                <w:color w:val="000000"/>
                <w:sz w:val="20"/>
                <w:szCs w:val="20"/>
              </w:rPr>
            </w:pPr>
            <w:r>
              <w:rPr>
                <w:color w:val="000000"/>
                <w:sz w:val="20"/>
                <w:szCs w:val="20"/>
              </w:rPr>
              <w:t>0.594</w:t>
            </w:r>
          </w:p>
        </w:tc>
        <w:tc>
          <w:tcPr>
            <w:tcW w:w="768" w:type="dxa"/>
            <w:tcBorders>
              <w:top w:val="nil"/>
              <w:left w:val="nil"/>
              <w:bottom w:val="single" w:sz="4" w:space="0" w:color="auto"/>
              <w:right w:val="nil"/>
            </w:tcBorders>
            <w:shd w:val="clear" w:color="auto" w:fill="auto"/>
            <w:noWrap/>
            <w:vAlign w:val="bottom"/>
            <w:hideMark/>
          </w:tcPr>
          <w:p w14:paraId="15F60C43"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B412AD4" w14:textId="77777777" w:rsidR="000604B1" w:rsidRDefault="000604B1" w:rsidP="005A3B4D">
            <w:pPr>
              <w:jc w:val="right"/>
              <w:rPr>
                <w:b/>
                <w:bCs/>
                <w:color w:val="000000"/>
                <w:sz w:val="20"/>
                <w:szCs w:val="20"/>
              </w:rPr>
            </w:pPr>
            <w:r>
              <w:rPr>
                <w:b/>
                <w:bCs/>
                <w:color w:val="000000"/>
                <w:sz w:val="20"/>
                <w:szCs w:val="20"/>
              </w:rPr>
              <w:t>0.100</w:t>
            </w:r>
          </w:p>
        </w:tc>
        <w:tc>
          <w:tcPr>
            <w:tcW w:w="768" w:type="dxa"/>
            <w:tcBorders>
              <w:top w:val="nil"/>
              <w:left w:val="nil"/>
              <w:bottom w:val="single" w:sz="4" w:space="0" w:color="auto"/>
              <w:right w:val="nil"/>
            </w:tcBorders>
            <w:shd w:val="clear" w:color="auto" w:fill="auto"/>
            <w:noWrap/>
            <w:vAlign w:val="bottom"/>
            <w:hideMark/>
          </w:tcPr>
          <w:p w14:paraId="2E14BB3E" w14:textId="77777777" w:rsidR="000604B1" w:rsidRDefault="000604B1" w:rsidP="005A3B4D">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C600426" w14:textId="77777777" w:rsidR="000604B1" w:rsidRPr="0036523A" w:rsidRDefault="000604B1" w:rsidP="005A3B4D">
            <w:pPr>
              <w:jc w:val="right"/>
              <w:rPr>
                <w:b/>
                <w:bCs/>
                <w:color w:val="000000"/>
                <w:sz w:val="20"/>
                <w:szCs w:val="20"/>
              </w:rPr>
            </w:pPr>
            <w:r w:rsidRPr="0036523A">
              <w:rPr>
                <w:b/>
                <w:bCs/>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3A8C22B6" w14:textId="77777777" w:rsidR="000604B1" w:rsidRDefault="000604B1" w:rsidP="005A3B4D">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2D1C722A" w14:textId="77777777" w:rsidR="000604B1" w:rsidRDefault="000604B1" w:rsidP="005A3B4D">
            <w:pPr>
              <w:jc w:val="right"/>
              <w:rPr>
                <w:color w:val="000000"/>
                <w:sz w:val="20"/>
                <w:szCs w:val="20"/>
              </w:rPr>
            </w:pPr>
            <w:r>
              <w:rPr>
                <w:color w:val="000000"/>
                <w:sz w:val="20"/>
                <w:szCs w:val="20"/>
              </w:rPr>
              <w:t>0.196</w:t>
            </w:r>
          </w:p>
        </w:tc>
        <w:tc>
          <w:tcPr>
            <w:tcW w:w="768" w:type="dxa"/>
            <w:tcBorders>
              <w:top w:val="nil"/>
              <w:left w:val="nil"/>
              <w:bottom w:val="single" w:sz="4" w:space="0" w:color="auto"/>
              <w:right w:val="nil"/>
            </w:tcBorders>
            <w:shd w:val="clear" w:color="auto" w:fill="auto"/>
            <w:noWrap/>
            <w:vAlign w:val="bottom"/>
            <w:hideMark/>
          </w:tcPr>
          <w:p w14:paraId="37548B20"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16A2A9C" w14:textId="77777777" w:rsidR="000604B1" w:rsidRDefault="000604B1" w:rsidP="005A3B4D">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20F1704D" w14:textId="77777777" w:rsidR="000604B1" w:rsidRDefault="000604B1" w:rsidP="005A3B4D">
            <w:pPr>
              <w:jc w:val="right"/>
              <w:rPr>
                <w:color w:val="000000"/>
                <w:sz w:val="20"/>
                <w:szCs w:val="20"/>
              </w:rPr>
            </w:pPr>
            <w:r>
              <w:rPr>
                <w:color w:val="000000"/>
                <w:sz w:val="20"/>
                <w:szCs w:val="20"/>
              </w:rPr>
              <w:t>0.765</w:t>
            </w:r>
          </w:p>
        </w:tc>
        <w:tc>
          <w:tcPr>
            <w:tcW w:w="768" w:type="dxa"/>
            <w:tcBorders>
              <w:top w:val="nil"/>
              <w:left w:val="nil"/>
              <w:bottom w:val="single" w:sz="4" w:space="0" w:color="auto"/>
              <w:right w:val="nil"/>
            </w:tcBorders>
            <w:shd w:val="clear" w:color="auto" w:fill="auto"/>
            <w:noWrap/>
            <w:vAlign w:val="bottom"/>
            <w:hideMark/>
          </w:tcPr>
          <w:p w14:paraId="696DF457"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A439A8D" w14:textId="77777777" w:rsidR="000604B1" w:rsidRDefault="000604B1" w:rsidP="005A3B4D">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4E8CF11B" w14:textId="77777777" w:rsidR="000604B1" w:rsidRDefault="000604B1" w:rsidP="005A3B4D">
            <w:pPr>
              <w:jc w:val="right"/>
              <w:rPr>
                <w:color w:val="000000"/>
                <w:sz w:val="20"/>
                <w:szCs w:val="20"/>
              </w:rPr>
            </w:pPr>
            <w:r>
              <w:rPr>
                <w:color w:val="000000"/>
                <w:sz w:val="20"/>
                <w:szCs w:val="20"/>
              </w:rPr>
              <w:t>0.641</w:t>
            </w:r>
          </w:p>
        </w:tc>
        <w:tc>
          <w:tcPr>
            <w:tcW w:w="768" w:type="dxa"/>
            <w:tcBorders>
              <w:top w:val="nil"/>
              <w:left w:val="nil"/>
              <w:bottom w:val="single" w:sz="4" w:space="0" w:color="auto"/>
              <w:right w:val="nil"/>
            </w:tcBorders>
            <w:shd w:val="clear" w:color="auto" w:fill="auto"/>
            <w:noWrap/>
            <w:vAlign w:val="bottom"/>
            <w:hideMark/>
          </w:tcPr>
          <w:p w14:paraId="100A8981" w14:textId="77777777" w:rsidR="000604B1" w:rsidRDefault="000604B1" w:rsidP="005A3B4D">
            <w:pPr>
              <w:jc w:val="right"/>
              <w:rPr>
                <w:color w:val="000000"/>
                <w:sz w:val="20"/>
                <w:szCs w:val="20"/>
              </w:rPr>
            </w:pPr>
            <w:r>
              <w:rPr>
                <w:color w:val="000000"/>
                <w:sz w:val="20"/>
                <w:szCs w:val="20"/>
              </w:rPr>
              <w:t>0.001</w:t>
            </w:r>
          </w:p>
        </w:tc>
      </w:tr>
      <w:tr w:rsidR="000604B1" w14:paraId="6D13BE90" w14:textId="77777777" w:rsidTr="005A3B4D">
        <w:trPr>
          <w:trHeight w:val="320"/>
        </w:trPr>
        <w:tc>
          <w:tcPr>
            <w:tcW w:w="1176" w:type="dxa"/>
            <w:tcBorders>
              <w:top w:val="nil"/>
              <w:left w:val="nil"/>
              <w:bottom w:val="nil"/>
              <w:right w:val="nil"/>
            </w:tcBorders>
            <w:shd w:val="clear" w:color="auto" w:fill="auto"/>
            <w:noWrap/>
            <w:vAlign w:val="bottom"/>
            <w:hideMark/>
          </w:tcPr>
          <w:p w14:paraId="4E6B47DD" w14:textId="77777777" w:rsidR="000604B1" w:rsidRDefault="000604B1"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04B0B6D7" w14:textId="77777777" w:rsidR="000604B1" w:rsidRDefault="000604B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A630983" w14:textId="77777777" w:rsidR="000604B1" w:rsidRDefault="000604B1" w:rsidP="005A3B4D">
            <w:pPr>
              <w:jc w:val="right"/>
              <w:rPr>
                <w:b/>
                <w:bCs/>
                <w:color w:val="000000"/>
                <w:sz w:val="20"/>
                <w:szCs w:val="20"/>
              </w:rPr>
            </w:pPr>
            <w:r>
              <w:rPr>
                <w:b/>
                <w:bCs/>
                <w:color w:val="000000"/>
                <w:sz w:val="20"/>
                <w:szCs w:val="20"/>
              </w:rPr>
              <w:t>-0.086</w:t>
            </w:r>
          </w:p>
        </w:tc>
        <w:tc>
          <w:tcPr>
            <w:tcW w:w="768" w:type="dxa"/>
            <w:tcBorders>
              <w:top w:val="nil"/>
              <w:left w:val="nil"/>
              <w:bottom w:val="nil"/>
              <w:right w:val="nil"/>
            </w:tcBorders>
            <w:shd w:val="clear" w:color="auto" w:fill="auto"/>
            <w:noWrap/>
            <w:vAlign w:val="bottom"/>
            <w:hideMark/>
          </w:tcPr>
          <w:p w14:paraId="14708AEF" w14:textId="77777777" w:rsidR="000604B1" w:rsidRDefault="000604B1"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C8EA9F9" w14:textId="77777777" w:rsidR="000604B1" w:rsidRDefault="000604B1" w:rsidP="005A3B4D">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481B834F" w14:textId="77777777" w:rsidR="000604B1" w:rsidRDefault="000604B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2893CF9" w14:textId="77777777" w:rsidR="000604B1" w:rsidRDefault="000604B1" w:rsidP="005A3B4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45F4FD0A"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9C47A4" w14:textId="77777777" w:rsidR="000604B1" w:rsidRDefault="000604B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07544B5" w14:textId="77777777" w:rsidR="000604B1" w:rsidRDefault="000604B1"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4DD99D5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75ADF5" w14:textId="77777777" w:rsidR="000604B1" w:rsidRDefault="000604B1"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2D9F4EF2" w14:textId="77777777" w:rsidR="000604B1" w:rsidRDefault="000604B1" w:rsidP="005A3B4D">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53A46391"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48CA0B8" w14:textId="77777777" w:rsidR="000604B1" w:rsidRDefault="000604B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1FE9408" w14:textId="77777777" w:rsidR="000604B1" w:rsidRDefault="000604B1" w:rsidP="005A3B4D">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1E819A93" w14:textId="77777777" w:rsidR="000604B1" w:rsidRDefault="000604B1" w:rsidP="005A3B4D">
            <w:pPr>
              <w:jc w:val="right"/>
              <w:rPr>
                <w:color w:val="000000"/>
                <w:sz w:val="20"/>
                <w:szCs w:val="20"/>
              </w:rPr>
            </w:pPr>
            <w:r>
              <w:rPr>
                <w:color w:val="000000"/>
                <w:sz w:val="20"/>
                <w:szCs w:val="20"/>
              </w:rPr>
              <w:t>0.000</w:t>
            </w:r>
          </w:p>
        </w:tc>
      </w:tr>
      <w:tr w:rsidR="000604B1" w14:paraId="2F4D8ACF" w14:textId="77777777" w:rsidTr="005A3B4D">
        <w:trPr>
          <w:trHeight w:val="320"/>
        </w:trPr>
        <w:tc>
          <w:tcPr>
            <w:tcW w:w="1176" w:type="dxa"/>
            <w:tcBorders>
              <w:top w:val="nil"/>
              <w:left w:val="nil"/>
              <w:bottom w:val="nil"/>
              <w:right w:val="nil"/>
            </w:tcBorders>
            <w:shd w:val="clear" w:color="auto" w:fill="auto"/>
            <w:noWrap/>
            <w:vAlign w:val="bottom"/>
            <w:hideMark/>
          </w:tcPr>
          <w:p w14:paraId="29827DE5"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247D1B" w14:textId="77777777" w:rsidR="000604B1" w:rsidRDefault="000604B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8E03027" w14:textId="77777777" w:rsidR="000604B1" w:rsidRDefault="000604B1"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3BA41C9D" w14:textId="77777777" w:rsidR="000604B1" w:rsidRDefault="000604B1" w:rsidP="005A3B4D">
            <w:pPr>
              <w:jc w:val="right"/>
              <w:rPr>
                <w:color w:val="000000"/>
                <w:sz w:val="20"/>
                <w:szCs w:val="20"/>
              </w:rPr>
            </w:pPr>
            <w:r>
              <w:rPr>
                <w:color w:val="000000"/>
                <w:sz w:val="20"/>
                <w:szCs w:val="20"/>
              </w:rPr>
              <w:t>0.249</w:t>
            </w:r>
          </w:p>
        </w:tc>
        <w:tc>
          <w:tcPr>
            <w:tcW w:w="768" w:type="dxa"/>
            <w:tcBorders>
              <w:top w:val="nil"/>
              <w:left w:val="nil"/>
              <w:bottom w:val="nil"/>
              <w:right w:val="nil"/>
            </w:tcBorders>
            <w:shd w:val="clear" w:color="auto" w:fill="auto"/>
            <w:noWrap/>
            <w:vAlign w:val="bottom"/>
            <w:hideMark/>
          </w:tcPr>
          <w:p w14:paraId="21EA81B6"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C7EF251"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D22E70A" w14:textId="77777777" w:rsidR="000604B1" w:rsidRDefault="000604B1" w:rsidP="005A3B4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6F064DC3"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E217AA"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FB2CF43" w14:textId="77777777" w:rsidR="000604B1" w:rsidRDefault="000604B1"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09C63CD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19F07C"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F2B84BD" w14:textId="77777777" w:rsidR="000604B1" w:rsidRDefault="000604B1"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6390094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C08844" w14:textId="77777777" w:rsidR="000604B1" w:rsidRDefault="000604B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0385745" w14:textId="77777777" w:rsidR="000604B1" w:rsidRDefault="000604B1" w:rsidP="005A3B4D">
            <w:pPr>
              <w:jc w:val="right"/>
              <w:rPr>
                <w:color w:val="000000"/>
                <w:sz w:val="20"/>
                <w:szCs w:val="20"/>
              </w:rPr>
            </w:pPr>
            <w:r>
              <w:rPr>
                <w:color w:val="000000"/>
                <w:sz w:val="20"/>
                <w:szCs w:val="20"/>
              </w:rPr>
              <w:t>0.533</w:t>
            </w:r>
          </w:p>
        </w:tc>
        <w:tc>
          <w:tcPr>
            <w:tcW w:w="768" w:type="dxa"/>
            <w:tcBorders>
              <w:top w:val="nil"/>
              <w:left w:val="nil"/>
              <w:bottom w:val="nil"/>
              <w:right w:val="nil"/>
            </w:tcBorders>
            <w:shd w:val="clear" w:color="auto" w:fill="auto"/>
            <w:noWrap/>
            <w:vAlign w:val="bottom"/>
            <w:hideMark/>
          </w:tcPr>
          <w:p w14:paraId="2C78BF3E" w14:textId="77777777" w:rsidR="000604B1" w:rsidRDefault="000604B1" w:rsidP="005A3B4D">
            <w:pPr>
              <w:jc w:val="right"/>
              <w:rPr>
                <w:color w:val="000000"/>
                <w:sz w:val="20"/>
                <w:szCs w:val="20"/>
              </w:rPr>
            </w:pPr>
            <w:r>
              <w:rPr>
                <w:color w:val="000000"/>
                <w:sz w:val="20"/>
                <w:szCs w:val="20"/>
              </w:rPr>
              <w:t>0.001</w:t>
            </w:r>
          </w:p>
        </w:tc>
      </w:tr>
      <w:tr w:rsidR="000604B1" w14:paraId="5AA0707E" w14:textId="77777777" w:rsidTr="005A3B4D">
        <w:trPr>
          <w:trHeight w:val="320"/>
        </w:trPr>
        <w:tc>
          <w:tcPr>
            <w:tcW w:w="1176" w:type="dxa"/>
            <w:tcBorders>
              <w:top w:val="nil"/>
              <w:left w:val="nil"/>
              <w:bottom w:val="nil"/>
              <w:right w:val="nil"/>
            </w:tcBorders>
            <w:shd w:val="clear" w:color="auto" w:fill="auto"/>
            <w:noWrap/>
            <w:vAlign w:val="bottom"/>
            <w:hideMark/>
          </w:tcPr>
          <w:p w14:paraId="4CD30682"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6AD84DD" w14:textId="77777777" w:rsidR="000604B1" w:rsidRDefault="000604B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9CEF1BE" w14:textId="77777777" w:rsidR="000604B1" w:rsidRDefault="000604B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31CEF98" w14:textId="77777777" w:rsidR="000604B1" w:rsidRDefault="000604B1" w:rsidP="005A3B4D">
            <w:pPr>
              <w:jc w:val="right"/>
              <w:rPr>
                <w:color w:val="000000"/>
                <w:sz w:val="20"/>
                <w:szCs w:val="20"/>
              </w:rPr>
            </w:pPr>
            <w:r>
              <w:rPr>
                <w:color w:val="000000"/>
                <w:sz w:val="20"/>
                <w:szCs w:val="20"/>
              </w:rPr>
              <w:t>0.249</w:t>
            </w:r>
          </w:p>
        </w:tc>
        <w:tc>
          <w:tcPr>
            <w:tcW w:w="768" w:type="dxa"/>
            <w:tcBorders>
              <w:top w:val="nil"/>
              <w:left w:val="nil"/>
              <w:bottom w:val="nil"/>
              <w:right w:val="nil"/>
            </w:tcBorders>
            <w:shd w:val="clear" w:color="auto" w:fill="auto"/>
            <w:noWrap/>
            <w:vAlign w:val="bottom"/>
            <w:hideMark/>
          </w:tcPr>
          <w:p w14:paraId="382097CD"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56C576E"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8630D80" w14:textId="77777777" w:rsidR="000604B1" w:rsidRDefault="000604B1" w:rsidP="005A3B4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4B09A89D"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9662F4" w14:textId="77777777" w:rsidR="000604B1" w:rsidRDefault="000604B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05F1544" w14:textId="77777777" w:rsidR="000604B1" w:rsidRDefault="000604B1"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1ABF9764"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1F87F5" w14:textId="77777777" w:rsidR="000604B1" w:rsidRDefault="000604B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BAF976C" w14:textId="77777777" w:rsidR="000604B1" w:rsidRDefault="000604B1" w:rsidP="005A3B4D">
            <w:pPr>
              <w:jc w:val="right"/>
              <w:rPr>
                <w:color w:val="000000"/>
                <w:sz w:val="20"/>
                <w:szCs w:val="20"/>
              </w:rPr>
            </w:pPr>
            <w:r>
              <w:rPr>
                <w:color w:val="000000"/>
                <w:sz w:val="20"/>
                <w:szCs w:val="20"/>
              </w:rPr>
              <w:t>0.606</w:t>
            </w:r>
          </w:p>
        </w:tc>
        <w:tc>
          <w:tcPr>
            <w:tcW w:w="768" w:type="dxa"/>
            <w:tcBorders>
              <w:top w:val="nil"/>
              <w:left w:val="nil"/>
              <w:bottom w:val="nil"/>
              <w:right w:val="nil"/>
            </w:tcBorders>
            <w:shd w:val="clear" w:color="auto" w:fill="auto"/>
            <w:noWrap/>
            <w:vAlign w:val="bottom"/>
            <w:hideMark/>
          </w:tcPr>
          <w:p w14:paraId="0A50E6C6"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B1F9EB" w14:textId="77777777" w:rsidR="000604B1" w:rsidRDefault="000604B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2CD8ADB" w14:textId="77777777" w:rsidR="000604B1" w:rsidRDefault="000604B1"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1254CF46" w14:textId="77777777" w:rsidR="000604B1" w:rsidRDefault="000604B1" w:rsidP="005A3B4D">
            <w:pPr>
              <w:jc w:val="right"/>
              <w:rPr>
                <w:color w:val="000000"/>
                <w:sz w:val="20"/>
                <w:szCs w:val="20"/>
              </w:rPr>
            </w:pPr>
            <w:r>
              <w:rPr>
                <w:color w:val="000000"/>
                <w:sz w:val="20"/>
                <w:szCs w:val="20"/>
              </w:rPr>
              <w:t>0.000</w:t>
            </w:r>
          </w:p>
        </w:tc>
      </w:tr>
      <w:tr w:rsidR="000604B1" w14:paraId="78677318" w14:textId="77777777" w:rsidTr="005A3B4D">
        <w:trPr>
          <w:trHeight w:val="320"/>
        </w:trPr>
        <w:tc>
          <w:tcPr>
            <w:tcW w:w="1176" w:type="dxa"/>
            <w:tcBorders>
              <w:top w:val="nil"/>
              <w:left w:val="nil"/>
              <w:bottom w:val="nil"/>
              <w:right w:val="nil"/>
            </w:tcBorders>
            <w:shd w:val="clear" w:color="auto" w:fill="auto"/>
            <w:noWrap/>
            <w:vAlign w:val="bottom"/>
            <w:hideMark/>
          </w:tcPr>
          <w:p w14:paraId="5808773A"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7D2C3A9" w14:textId="77777777" w:rsidR="000604B1" w:rsidRDefault="000604B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BA91132" w14:textId="77777777" w:rsidR="000604B1" w:rsidRDefault="000604B1"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30058D19" w14:textId="77777777" w:rsidR="000604B1" w:rsidRDefault="000604B1" w:rsidP="005A3B4D">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6002BB11"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3CF63D9" w14:textId="77777777" w:rsidR="000604B1" w:rsidRDefault="000604B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6367285" w14:textId="77777777" w:rsidR="000604B1" w:rsidRDefault="000604B1" w:rsidP="005A3B4D">
            <w:pPr>
              <w:jc w:val="right"/>
              <w:rPr>
                <w:color w:val="000000"/>
                <w:sz w:val="20"/>
                <w:szCs w:val="20"/>
              </w:rPr>
            </w:pPr>
            <w:r>
              <w:rPr>
                <w:color w:val="000000"/>
                <w:sz w:val="20"/>
                <w:szCs w:val="20"/>
              </w:rPr>
              <w:t>0.411</w:t>
            </w:r>
          </w:p>
        </w:tc>
        <w:tc>
          <w:tcPr>
            <w:tcW w:w="768" w:type="dxa"/>
            <w:tcBorders>
              <w:top w:val="nil"/>
              <w:left w:val="nil"/>
              <w:bottom w:val="nil"/>
              <w:right w:val="nil"/>
            </w:tcBorders>
            <w:shd w:val="clear" w:color="auto" w:fill="auto"/>
            <w:noWrap/>
            <w:vAlign w:val="bottom"/>
            <w:hideMark/>
          </w:tcPr>
          <w:p w14:paraId="11D4275E"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2F70CD4" w14:textId="77777777" w:rsidR="000604B1" w:rsidRDefault="000604B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AB3E607" w14:textId="77777777" w:rsidR="000604B1" w:rsidRDefault="000604B1"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528C592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463437" w14:textId="77777777" w:rsidR="000604B1" w:rsidRDefault="000604B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94E2182" w14:textId="77777777" w:rsidR="000604B1" w:rsidRDefault="000604B1" w:rsidP="005A3B4D">
            <w:pPr>
              <w:jc w:val="right"/>
              <w:rPr>
                <w:color w:val="000000"/>
                <w:sz w:val="20"/>
                <w:szCs w:val="20"/>
              </w:rPr>
            </w:pPr>
            <w:r>
              <w:rPr>
                <w:color w:val="000000"/>
                <w:sz w:val="20"/>
                <w:szCs w:val="20"/>
              </w:rPr>
              <w:t>0.606</w:t>
            </w:r>
          </w:p>
        </w:tc>
        <w:tc>
          <w:tcPr>
            <w:tcW w:w="768" w:type="dxa"/>
            <w:tcBorders>
              <w:top w:val="nil"/>
              <w:left w:val="nil"/>
              <w:bottom w:val="nil"/>
              <w:right w:val="nil"/>
            </w:tcBorders>
            <w:shd w:val="clear" w:color="auto" w:fill="auto"/>
            <w:noWrap/>
            <w:vAlign w:val="bottom"/>
            <w:hideMark/>
          </w:tcPr>
          <w:p w14:paraId="05685810"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F071D81" w14:textId="77777777" w:rsidR="000604B1" w:rsidRDefault="000604B1"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1F03A07A" w14:textId="77777777" w:rsidR="000604B1" w:rsidRDefault="000604B1" w:rsidP="005A3B4D">
            <w:pPr>
              <w:jc w:val="right"/>
              <w:rPr>
                <w:color w:val="000000"/>
                <w:sz w:val="20"/>
                <w:szCs w:val="20"/>
              </w:rPr>
            </w:pPr>
            <w:r>
              <w:rPr>
                <w:color w:val="000000"/>
                <w:sz w:val="20"/>
                <w:szCs w:val="20"/>
              </w:rPr>
              <w:t>0.186</w:t>
            </w:r>
          </w:p>
        </w:tc>
        <w:tc>
          <w:tcPr>
            <w:tcW w:w="768" w:type="dxa"/>
            <w:tcBorders>
              <w:top w:val="nil"/>
              <w:left w:val="nil"/>
              <w:bottom w:val="nil"/>
              <w:right w:val="nil"/>
            </w:tcBorders>
            <w:shd w:val="clear" w:color="auto" w:fill="auto"/>
            <w:noWrap/>
            <w:vAlign w:val="bottom"/>
            <w:hideMark/>
          </w:tcPr>
          <w:p w14:paraId="69302E27" w14:textId="77777777" w:rsidR="000604B1" w:rsidRDefault="000604B1" w:rsidP="005A3B4D">
            <w:pPr>
              <w:jc w:val="right"/>
              <w:rPr>
                <w:color w:val="000000"/>
                <w:sz w:val="20"/>
                <w:szCs w:val="20"/>
              </w:rPr>
            </w:pPr>
            <w:r>
              <w:rPr>
                <w:color w:val="000000"/>
                <w:sz w:val="20"/>
                <w:szCs w:val="20"/>
              </w:rPr>
              <w:t>0.003</w:t>
            </w:r>
          </w:p>
        </w:tc>
      </w:tr>
      <w:tr w:rsidR="000604B1" w14:paraId="77E47F74" w14:textId="77777777" w:rsidTr="005A3B4D">
        <w:trPr>
          <w:trHeight w:val="320"/>
        </w:trPr>
        <w:tc>
          <w:tcPr>
            <w:tcW w:w="1176" w:type="dxa"/>
            <w:tcBorders>
              <w:top w:val="nil"/>
              <w:left w:val="nil"/>
              <w:bottom w:val="nil"/>
              <w:right w:val="nil"/>
            </w:tcBorders>
            <w:shd w:val="clear" w:color="auto" w:fill="auto"/>
            <w:noWrap/>
            <w:vAlign w:val="bottom"/>
            <w:hideMark/>
          </w:tcPr>
          <w:p w14:paraId="33B75342"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B01E86A" w14:textId="77777777" w:rsidR="000604B1" w:rsidRDefault="000604B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33DF164" w14:textId="77777777" w:rsidR="000604B1" w:rsidRDefault="000604B1" w:rsidP="005A3B4D">
            <w:pPr>
              <w:jc w:val="right"/>
              <w:rPr>
                <w:b/>
                <w:bCs/>
                <w:color w:val="000000"/>
                <w:sz w:val="20"/>
                <w:szCs w:val="20"/>
              </w:rPr>
            </w:pPr>
            <w:r>
              <w:rPr>
                <w:b/>
                <w:bCs/>
                <w:color w:val="000000"/>
                <w:sz w:val="20"/>
                <w:szCs w:val="20"/>
              </w:rPr>
              <w:t>0.089</w:t>
            </w:r>
          </w:p>
        </w:tc>
        <w:tc>
          <w:tcPr>
            <w:tcW w:w="768" w:type="dxa"/>
            <w:tcBorders>
              <w:top w:val="nil"/>
              <w:left w:val="nil"/>
              <w:bottom w:val="nil"/>
              <w:right w:val="nil"/>
            </w:tcBorders>
            <w:shd w:val="clear" w:color="auto" w:fill="auto"/>
            <w:noWrap/>
            <w:vAlign w:val="bottom"/>
            <w:hideMark/>
          </w:tcPr>
          <w:p w14:paraId="6A625CB9" w14:textId="77777777" w:rsidR="000604B1" w:rsidRDefault="000604B1"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A8C056A" w14:textId="77777777" w:rsidR="000604B1" w:rsidRDefault="000604B1" w:rsidP="005A3B4D">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8B8960A"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C60D200" w14:textId="77777777" w:rsidR="000604B1" w:rsidRDefault="000604B1" w:rsidP="005A3B4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59653812"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24DDF0" w14:textId="77777777" w:rsidR="000604B1" w:rsidRDefault="000604B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062FA08" w14:textId="77777777" w:rsidR="000604B1" w:rsidRDefault="000604B1" w:rsidP="005A3B4D">
            <w:pPr>
              <w:jc w:val="right"/>
              <w:rPr>
                <w:color w:val="000000"/>
                <w:sz w:val="20"/>
                <w:szCs w:val="20"/>
              </w:rPr>
            </w:pPr>
            <w:r>
              <w:rPr>
                <w:color w:val="000000"/>
                <w:sz w:val="20"/>
                <w:szCs w:val="20"/>
              </w:rPr>
              <w:t>0.296</w:t>
            </w:r>
          </w:p>
        </w:tc>
        <w:tc>
          <w:tcPr>
            <w:tcW w:w="768" w:type="dxa"/>
            <w:tcBorders>
              <w:top w:val="nil"/>
              <w:left w:val="nil"/>
              <w:bottom w:val="nil"/>
              <w:right w:val="nil"/>
            </w:tcBorders>
            <w:shd w:val="clear" w:color="auto" w:fill="auto"/>
            <w:noWrap/>
            <w:vAlign w:val="bottom"/>
            <w:hideMark/>
          </w:tcPr>
          <w:p w14:paraId="201EE770"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A18821" w14:textId="77777777" w:rsidR="000604B1" w:rsidRDefault="000604B1"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3BF04F07" w14:textId="77777777" w:rsidR="000604B1" w:rsidRDefault="000604B1" w:rsidP="005A3B4D">
            <w:pPr>
              <w:jc w:val="right"/>
              <w:rPr>
                <w:color w:val="000000"/>
                <w:sz w:val="20"/>
                <w:szCs w:val="20"/>
              </w:rPr>
            </w:pPr>
            <w:r>
              <w:rPr>
                <w:color w:val="000000"/>
                <w:sz w:val="20"/>
                <w:szCs w:val="20"/>
              </w:rPr>
              <w:t>0.492</w:t>
            </w:r>
          </w:p>
        </w:tc>
        <w:tc>
          <w:tcPr>
            <w:tcW w:w="768" w:type="dxa"/>
            <w:tcBorders>
              <w:top w:val="nil"/>
              <w:left w:val="nil"/>
              <w:bottom w:val="nil"/>
              <w:right w:val="nil"/>
            </w:tcBorders>
            <w:shd w:val="clear" w:color="auto" w:fill="auto"/>
            <w:noWrap/>
            <w:vAlign w:val="bottom"/>
            <w:hideMark/>
          </w:tcPr>
          <w:p w14:paraId="0D148EBF"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B4E8A3" w14:textId="77777777" w:rsidR="000604B1" w:rsidRDefault="000604B1"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7F4D9857" w14:textId="77777777" w:rsidR="000604B1" w:rsidRDefault="000604B1" w:rsidP="005A3B4D">
            <w:pPr>
              <w:jc w:val="right"/>
              <w:rPr>
                <w:color w:val="000000"/>
                <w:sz w:val="20"/>
                <w:szCs w:val="20"/>
              </w:rPr>
            </w:pPr>
            <w:r>
              <w:rPr>
                <w:color w:val="000000"/>
                <w:sz w:val="20"/>
                <w:szCs w:val="20"/>
              </w:rPr>
              <w:t>0.186</w:t>
            </w:r>
          </w:p>
        </w:tc>
        <w:tc>
          <w:tcPr>
            <w:tcW w:w="768" w:type="dxa"/>
            <w:tcBorders>
              <w:top w:val="nil"/>
              <w:left w:val="nil"/>
              <w:bottom w:val="nil"/>
              <w:right w:val="nil"/>
            </w:tcBorders>
            <w:shd w:val="clear" w:color="auto" w:fill="auto"/>
            <w:noWrap/>
            <w:vAlign w:val="bottom"/>
            <w:hideMark/>
          </w:tcPr>
          <w:p w14:paraId="5EDA4DB8" w14:textId="77777777" w:rsidR="000604B1" w:rsidRDefault="000604B1" w:rsidP="005A3B4D">
            <w:pPr>
              <w:jc w:val="right"/>
              <w:rPr>
                <w:color w:val="000000"/>
                <w:sz w:val="20"/>
                <w:szCs w:val="20"/>
              </w:rPr>
            </w:pPr>
            <w:r>
              <w:rPr>
                <w:color w:val="000000"/>
                <w:sz w:val="20"/>
                <w:szCs w:val="20"/>
              </w:rPr>
              <w:t>0.003</w:t>
            </w:r>
          </w:p>
        </w:tc>
      </w:tr>
      <w:tr w:rsidR="000604B1" w14:paraId="5689F445" w14:textId="77777777" w:rsidTr="005A3B4D">
        <w:trPr>
          <w:trHeight w:val="320"/>
        </w:trPr>
        <w:tc>
          <w:tcPr>
            <w:tcW w:w="1176" w:type="dxa"/>
            <w:tcBorders>
              <w:top w:val="nil"/>
              <w:left w:val="nil"/>
              <w:bottom w:val="nil"/>
              <w:right w:val="nil"/>
            </w:tcBorders>
            <w:shd w:val="clear" w:color="auto" w:fill="auto"/>
            <w:noWrap/>
            <w:vAlign w:val="bottom"/>
            <w:hideMark/>
          </w:tcPr>
          <w:p w14:paraId="13FA8FC3"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69E0D1" w14:textId="77777777" w:rsidR="000604B1" w:rsidRDefault="000604B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EE27584" w14:textId="77777777" w:rsidR="000604B1" w:rsidRDefault="000604B1"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20C2F649" w14:textId="77777777" w:rsidR="000604B1" w:rsidRDefault="000604B1" w:rsidP="005A3B4D">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726F243C"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CCE0A35" w14:textId="77777777" w:rsidR="000604B1" w:rsidRDefault="000604B1"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776A6932" w14:textId="77777777" w:rsidR="000604B1" w:rsidRDefault="000604B1" w:rsidP="005A3B4D">
            <w:pPr>
              <w:jc w:val="right"/>
              <w:rPr>
                <w:color w:val="000000"/>
                <w:sz w:val="20"/>
                <w:szCs w:val="20"/>
              </w:rPr>
            </w:pPr>
            <w:r>
              <w:rPr>
                <w:color w:val="000000"/>
                <w:sz w:val="20"/>
                <w:szCs w:val="20"/>
              </w:rPr>
              <w:t>0.411</w:t>
            </w:r>
          </w:p>
        </w:tc>
        <w:tc>
          <w:tcPr>
            <w:tcW w:w="768" w:type="dxa"/>
            <w:tcBorders>
              <w:top w:val="nil"/>
              <w:left w:val="nil"/>
              <w:bottom w:val="nil"/>
              <w:right w:val="nil"/>
            </w:tcBorders>
            <w:shd w:val="clear" w:color="auto" w:fill="auto"/>
            <w:noWrap/>
            <w:vAlign w:val="bottom"/>
            <w:hideMark/>
          </w:tcPr>
          <w:p w14:paraId="48528A1E"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896A8E"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FC99245" w14:textId="77777777" w:rsidR="000604B1" w:rsidRDefault="000604B1"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62FD1BE2"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239D7F"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85DD64C" w14:textId="77777777" w:rsidR="000604B1" w:rsidRDefault="000604B1"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32F2EE30"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A87357" w14:textId="77777777" w:rsidR="000604B1" w:rsidRDefault="000604B1"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555DAA85" w14:textId="77777777" w:rsidR="000604B1" w:rsidRDefault="000604B1" w:rsidP="005A3B4D">
            <w:pPr>
              <w:jc w:val="right"/>
              <w:rPr>
                <w:color w:val="000000"/>
                <w:sz w:val="20"/>
                <w:szCs w:val="20"/>
              </w:rPr>
            </w:pPr>
            <w:r>
              <w:rPr>
                <w:color w:val="000000"/>
                <w:sz w:val="20"/>
                <w:szCs w:val="20"/>
              </w:rPr>
              <w:t>0.186</w:t>
            </w:r>
          </w:p>
        </w:tc>
        <w:tc>
          <w:tcPr>
            <w:tcW w:w="768" w:type="dxa"/>
            <w:tcBorders>
              <w:top w:val="nil"/>
              <w:left w:val="nil"/>
              <w:bottom w:val="nil"/>
              <w:right w:val="nil"/>
            </w:tcBorders>
            <w:shd w:val="clear" w:color="auto" w:fill="auto"/>
            <w:noWrap/>
            <w:vAlign w:val="bottom"/>
            <w:hideMark/>
          </w:tcPr>
          <w:p w14:paraId="056388F6" w14:textId="77777777" w:rsidR="000604B1" w:rsidRDefault="000604B1" w:rsidP="005A3B4D">
            <w:pPr>
              <w:jc w:val="right"/>
              <w:rPr>
                <w:color w:val="000000"/>
                <w:sz w:val="20"/>
                <w:szCs w:val="20"/>
              </w:rPr>
            </w:pPr>
            <w:r>
              <w:rPr>
                <w:color w:val="000000"/>
                <w:sz w:val="20"/>
                <w:szCs w:val="20"/>
              </w:rPr>
              <w:t>0.003</w:t>
            </w:r>
          </w:p>
        </w:tc>
      </w:tr>
      <w:tr w:rsidR="000604B1" w14:paraId="0E88C735" w14:textId="77777777" w:rsidTr="005A3B4D">
        <w:trPr>
          <w:trHeight w:val="320"/>
        </w:trPr>
        <w:tc>
          <w:tcPr>
            <w:tcW w:w="1176" w:type="dxa"/>
            <w:tcBorders>
              <w:top w:val="nil"/>
              <w:left w:val="nil"/>
              <w:bottom w:val="nil"/>
              <w:right w:val="nil"/>
            </w:tcBorders>
            <w:shd w:val="clear" w:color="auto" w:fill="auto"/>
            <w:noWrap/>
            <w:vAlign w:val="bottom"/>
            <w:hideMark/>
          </w:tcPr>
          <w:p w14:paraId="056CF009"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F412B23" w14:textId="77777777" w:rsidR="000604B1" w:rsidRDefault="000604B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220BB73" w14:textId="77777777" w:rsidR="000604B1" w:rsidRDefault="000604B1"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7CC40D88" w14:textId="77777777" w:rsidR="000604B1" w:rsidRDefault="000604B1" w:rsidP="005A3B4D">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084803AF"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DC20BFE" w14:textId="77777777" w:rsidR="000604B1" w:rsidRDefault="000604B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852EAB0" w14:textId="77777777" w:rsidR="000604B1" w:rsidRDefault="000604B1" w:rsidP="005A3B4D">
            <w:pPr>
              <w:jc w:val="right"/>
              <w:rPr>
                <w:color w:val="000000"/>
                <w:sz w:val="20"/>
                <w:szCs w:val="20"/>
              </w:rPr>
            </w:pPr>
            <w:r>
              <w:rPr>
                <w:color w:val="000000"/>
                <w:sz w:val="20"/>
                <w:szCs w:val="20"/>
              </w:rPr>
              <w:t>0.554</w:t>
            </w:r>
          </w:p>
        </w:tc>
        <w:tc>
          <w:tcPr>
            <w:tcW w:w="768" w:type="dxa"/>
            <w:tcBorders>
              <w:top w:val="nil"/>
              <w:left w:val="nil"/>
              <w:bottom w:val="nil"/>
              <w:right w:val="nil"/>
            </w:tcBorders>
            <w:shd w:val="clear" w:color="auto" w:fill="auto"/>
            <w:noWrap/>
            <w:vAlign w:val="bottom"/>
            <w:hideMark/>
          </w:tcPr>
          <w:p w14:paraId="10022C7F"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E71AD59"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A14056D" w14:textId="77777777" w:rsidR="000604B1" w:rsidRDefault="000604B1"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5D20F51F"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688DE3"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A181F52" w14:textId="77777777" w:rsidR="000604B1" w:rsidRDefault="000604B1"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1A766F2C"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93B16B" w14:textId="77777777" w:rsidR="000604B1" w:rsidRDefault="000604B1"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590A25D2" w14:textId="77777777" w:rsidR="000604B1" w:rsidRDefault="000604B1"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7559BBDB" w14:textId="77777777" w:rsidR="000604B1" w:rsidRDefault="000604B1" w:rsidP="005A3B4D">
            <w:pPr>
              <w:jc w:val="right"/>
              <w:rPr>
                <w:color w:val="000000"/>
                <w:sz w:val="20"/>
                <w:szCs w:val="20"/>
              </w:rPr>
            </w:pPr>
            <w:r>
              <w:rPr>
                <w:color w:val="000000"/>
                <w:sz w:val="20"/>
                <w:szCs w:val="20"/>
              </w:rPr>
              <w:t>0.005</w:t>
            </w:r>
          </w:p>
        </w:tc>
      </w:tr>
      <w:tr w:rsidR="000604B1" w14:paraId="0D7394C0"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304EFF77" w14:textId="77777777" w:rsidR="000604B1" w:rsidRDefault="000604B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1AB4F72" w14:textId="77777777" w:rsidR="000604B1" w:rsidRDefault="000604B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413B2BE"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2BCCCD6" w14:textId="77777777" w:rsidR="000604B1" w:rsidRDefault="000604B1" w:rsidP="005A3B4D">
            <w:pPr>
              <w:jc w:val="right"/>
              <w:rPr>
                <w:color w:val="000000"/>
                <w:sz w:val="20"/>
                <w:szCs w:val="20"/>
              </w:rPr>
            </w:pPr>
            <w:r>
              <w:rPr>
                <w:color w:val="000000"/>
                <w:sz w:val="20"/>
                <w:szCs w:val="20"/>
              </w:rPr>
              <w:t>0.997</w:t>
            </w:r>
          </w:p>
        </w:tc>
        <w:tc>
          <w:tcPr>
            <w:tcW w:w="768" w:type="dxa"/>
            <w:tcBorders>
              <w:top w:val="nil"/>
              <w:left w:val="nil"/>
              <w:bottom w:val="single" w:sz="4" w:space="0" w:color="auto"/>
              <w:right w:val="nil"/>
            </w:tcBorders>
            <w:shd w:val="clear" w:color="auto" w:fill="auto"/>
            <w:noWrap/>
            <w:vAlign w:val="bottom"/>
            <w:hideMark/>
          </w:tcPr>
          <w:p w14:paraId="200AEEDB"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E7A1B7B" w14:textId="77777777" w:rsidR="000604B1" w:rsidRDefault="000604B1" w:rsidP="005A3B4D">
            <w:pPr>
              <w:jc w:val="right"/>
              <w:rPr>
                <w:color w:val="000000"/>
                <w:sz w:val="20"/>
                <w:szCs w:val="20"/>
              </w:rPr>
            </w:pPr>
            <w:r>
              <w:rPr>
                <w:color w:val="000000"/>
                <w:sz w:val="20"/>
                <w:szCs w:val="20"/>
              </w:rPr>
              <w:t>0.054</w:t>
            </w:r>
          </w:p>
        </w:tc>
        <w:tc>
          <w:tcPr>
            <w:tcW w:w="768" w:type="dxa"/>
            <w:tcBorders>
              <w:top w:val="nil"/>
              <w:left w:val="nil"/>
              <w:bottom w:val="single" w:sz="4" w:space="0" w:color="auto"/>
              <w:right w:val="nil"/>
            </w:tcBorders>
            <w:shd w:val="clear" w:color="auto" w:fill="auto"/>
            <w:noWrap/>
            <w:vAlign w:val="bottom"/>
            <w:hideMark/>
          </w:tcPr>
          <w:p w14:paraId="0D7D18F3" w14:textId="77777777" w:rsidR="000604B1" w:rsidRDefault="000604B1" w:rsidP="005A3B4D">
            <w:pPr>
              <w:jc w:val="right"/>
              <w:rPr>
                <w:color w:val="000000"/>
                <w:sz w:val="20"/>
                <w:szCs w:val="20"/>
              </w:rPr>
            </w:pPr>
            <w:r>
              <w:rPr>
                <w:color w:val="000000"/>
                <w:sz w:val="20"/>
                <w:szCs w:val="20"/>
              </w:rPr>
              <w:t>0.272</w:t>
            </w:r>
          </w:p>
        </w:tc>
        <w:tc>
          <w:tcPr>
            <w:tcW w:w="768" w:type="dxa"/>
            <w:tcBorders>
              <w:top w:val="nil"/>
              <w:left w:val="nil"/>
              <w:bottom w:val="single" w:sz="4" w:space="0" w:color="auto"/>
              <w:right w:val="nil"/>
            </w:tcBorders>
            <w:shd w:val="clear" w:color="auto" w:fill="auto"/>
            <w:noWrap/>
            <w:vAlign w:val="bottom"/>
            <w:hideMark/>
          </w:tcPr>
          <w:p w14:paraId="1332DEE6"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219DCF02" w14:textId="77777777" w:rsidR="000604B1" w:rsidRDefault="000604B1" w:rsidP="005A3B4D">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3E1B5512" w14:textId="77777777" w:rsidR="000604B1" w:rsidRDefault="000604B1" w:rsidP="005A3B4D">
            <w:pPr>
              <w:jc w:val="right"/>
              <w:rPr>
                <w:color w:val="000000"/>
                <w:sz w:val="20"/>
                <w:szCs w:val="20"/>
              </w:rPr>
            </w:pPr>
            <w:r>
              <w:rPr>
                <w:color w:val="000000"/>
                <w:sz w:val="20"/>
                <w:szCs w:val="20"/>
              </w:rPr>
              <w:t>0.296</w:t>
            </w:r>
          </w:p>
        </w:tc>
        <w:tc>
          <w:tcPr>
            <w:tcW w:w="768" w:type="dxa"/>
            <w:tcBorders>
              <w:top w:val="nil"/>
              <w:left w:val="nil"/>
              <w:bottom w:val="single" w:sz="4" w:space="0" w:color="auto"/>
              <w:right w:val="nil"/>
            </w:tcBorders>
            <w:shd w:val="clear" w:color="auto" w:fill="auto"/>
            <w:noWrap/>
            <w:vAlign w:val="bottom"/>
            <w:hideMark/>
          </w:tcPr>
          <w:p w14:paraId="399B691C"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A1C1B49"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34F7744" w14:textId="77777777" w:rsidR="000604B1" w:rsidRDefault="000604B1" w:rsidP="005A3B4D">
            <w:pPr>
              <w:jc w:val="right"/>
              <w:rPr>
                <w:color w:val="000000"/>
                <w:sz w:val="20"/>
                <w:szCs w:val="20"/>
              </w:rPr>
            </w:pPr>
            <w:r>
              <w:rPr>
                <w:color w:val="000000"/>
                <w:sz w:val="20"/>
                <w:szCs w:val="20"/>
              </w:rPr>
              <w:t>0.950</w:t>
            </w:r>
          </w:p>
        </w:tc>
        <w:tc>
          <w:tcPr>
            <w:tcW w:w="768" w:type="dxa"/>
            <w:tcBorders>
              <w:top w:val="nil"/>
              <w:left w:val="nil"/>
              <w:bottom w:val="single" w:sz="4" w:space="0" w:color="auto"/>
              <w:right w:val="nil"/>
            </w:tcBorders>
            <w:shd w:val="clear" w:color="auto" w:fill="auto"/>
            <w:noWrap/>
            <w:vAlign w:val="bottom"/>
            <w:hideMark/>
          </w:tcPr>
          <w:p w14:paraId="5A9F4AF0"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C0AADDC" w14:textId="77777777" w:rsidR="000604B1" w:rsidRDefault="000604B1" w:rsidP="005A3B4D">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30BC8E24" w14:textId="77777777" w:rsidR="000604B1" w:rsidRDefault="000604B1" w:rsidP="005A3B4D">
            <w:pPr>
              <w:jc w:val="right"/>
              <w:rPr>
                <w:color w:val="000000"/>
                <w:sz w:val="20"/>
                <w:szCs w:val="20"/>
              </w:rPr>
            </w:pPr>
            <w:r>
              <w:rPr>
                <w:color w:val="000000"/>
                <w:sz w:val="20"/>
                <w:szCs w:val="20"/>
              </w:rPr>
              <w:t>0.277</w:t>
            </w:r>
          </w:p>
        </w:tc>
        <w:tc>
          <w:tcPr>
            <w:tcW w:w="768" w:type="dxa"/>
            <w:tcBorders>
              <w:top w:val="nil"/>
              <w:left w:val="nil"/>
              <w:bottom w:val="single" w:sz="4" w:space="0" w:color="auto"/>
              <w:right w:val="nil"/>
            </w:tcBorders>
            <w:shd w:val="clear" w:color="auto" w:fill="auto"/>
            <w:noWrap/>
            <w:vAlign w:val="bottom"/>
            <w:hideMark/>
          </w:tcPr>
          <w:p w14:paraId="4CA5BDEA" w14:textId="77777777" w:rsidR="000604B1" w:rsidRDefault="000604B1" w:rsidP="005A3B4D">
            <w:pPr>
              <w:jc w:val="right"/>
              <w:rPr>
                <w:color w:val="000000"/>
                <w:sz w:val="20"/>
                <w:szCs w:val="20"/>
              </w:rPr>
            </w:pPr>
            <w:r>
              <w:rPr>
                <w:color w:val="000000"/>
                <w:sz w:val="20"/>
                <w:szCs w:val="20"/>
              </w:rPr>
              <w:t>0.001</w:t>
            </w:r>
          </w:p>
        </w:tc>
      </w:tr>
      <w:tr w:rsidR="000604B1" w14:paraId="7B5801B7" w14:textId="77777777" w:rsidTr="005A3B4D">
        <w:trPr>
          <w:trHeight w:val="320"/>
        </w:trPr>
        <w:tc>
          <w:tcPr>
            <w:tcW w:w="1176" w:type="dxa"/>
            <w:tcBorders>
              <w:top w:val="nil"/>
              <w:left w:val="nil"/>
              <w:bottom w:val="nil"/>
              <w:right w:val="nil"/>
            </w:tcBorders>
            <w:shd w:val="clear" w:color="auto" w:fill="auto"/>
            <w:noWrap/>
            <w:vAlign w:val="bottom"/>
            <w:hideMark/>
          </w:tcPr>
          <w:p w14:paraId="261E3BF4" w14:textId="77777777" w:rsidR="000604B1" w:rsidRDefault="000604B1"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70EECDF0" w14:textId="77777777" w:rsidR="000604B1" w:rsidRDefault="000604B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45F6946" w14:textId="77777777" w:rsidR="000604B1" w:rsidRDefault="000604B1" w:rsidP="005A3B4D">
            <w:pPr>
              <w:jc w:val="right"/>
              <w:rPr>
                <w:b/>
                <w:bCs/>
                <w:color w:val="000000"/>
                <w:sz w:val="20"/>
                <w:szCs w:val="20"/>
              </w:rPr>
            </w:pPr>
            <w:r>
              <w:rPr>
                <w:b/>
                <w:bCs/>
                <w:color w:val="000000"/>
                <w:sz w:val="20"/>
                <w:szCs w:val="20"/>
              </w:rPr>
              <w:t>-0.096</w:t>
            </w:r>
          </w:p>
        </w:tc>
        <w:tc>
          <w:tcPr>
            <w:tcW w:w="768" w:type="dxa"/>
            <w:tcBorders>
              <w:top w:val="nil"/>
              <w:left w:val="nil"/>
              <w:bottom w:val="nil"/>
              <w:right w:val="nil"/>
            </w:tcBorders>
            <w:shd w:val="clear" w:color="auto" w:fill="auto"/>
            <w:noWrap/>
            <w:vAlign w:val="bottom"/>
            <w:hideMark/>
          </w:tcPr>
          <w:p w14:paraId="2B566A4A" w14:textId="77777777" w:rsidR="000604B1" w:rsidRDefault="000604B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2D3853C7" w14:textId="77777777" w:rsidR="000604B1" w:rsidRDefault="000604B1" w:rsidP="005A3B4D">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64F2CA4A" w14:textId="77777777" w:rsidR="000604B1" w:rsidRDefault="000604B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1476048" w14:textId="77777777" w:rsidR="000604B1" w:rsidRDefault="000604B1" w:rsidP="005A3B4D">
            <w:pPr>
              <w:jc w:val="right"/>
              <w:rPr>
                <w:color w:val="000000"/>
                <w:sz w:val="20"/>
                <w:szCs w:val="20"/>
              </w:rPr>
            </w:pPr>
            <w:r>
              <w:rPr>
                <w:color w:val="000000"/>
                <w:sz w:val="20"/>
                <w:szCs w:val="20"/>
              </w:rPr>
              <w:t>0.703</w:t>
            </w:r>
          </w:p>
        </w:tc>
        <w:tc>
          <w:tcPr>
            <w:tcW w:w="768" w:type="dxa"/>
            <w:tcBorders>
              <w:top w:val="nil"/>
              <w:left w:val="nil"/>
              <w:bottom w:val="nil"/>
              <w:right w:val="nil"/>
            </w:tcBorders>
            <w:shd w:val="clear" w:color="auto" w:fill="auto"/>
            <w:noWrap/>
            <w:vAlign w:val="bottom"/>
            <w:hideMark/>
          </w:tcPr>
          <w:p w14:paraId="3A459D79"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B6F357"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4A215EA" w14:textId="77777777" w:rsidR="000604B1" w:rsidRDefault="000604B1" w:rsidP="005A3B4D">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692F8C8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2EB457" w14:textId="77777777" w:rsidR="000604B1" w:rsidRDefault="000604B1" w:rsidP="005A3B4D">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7AC94844" w14:textId="77777777" w:rsidR="000604B1" w:rsidRDefault="000604B1" w:rsidP="005A3B4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16E650AB"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CB15C42" w14:textId="77777777" w:rsidR="000604B1" w:rsidRDefault="000604B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B2D02ED" w14:textId="77777777" w:rsidR="000604B1" w:rsidRDefault="000604B1" w:rsidP="005A3B4D">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68D62BB7" w14:textId="77777777" w:rsidR="000604B1" w:rsidRDefault="000604B1" w:rsidP="005A3B4D">
            <w:pPr>
              <w:jc w:val="right"/>
              <w:rPr>
                <w:color w:val="000000"/>
                <w:sz w:val="20"/>
                <w:szCs w:val="20"/>
              </w:rPr>
            </w:pPr>
            <w:r>
              <w:rPr>
                <w:color w:val="000000"/>
                <w:sz w:val="20"/>
                <w:szCs w:val="20"/>
              </w:rPr>
              <w:t>0.001</w:t>
            </w:r>
          </w:p>
        </w:tc>
      </w:tr>
      <w:tr w:rsidR="000604B1" w14:paraId="422FEC99" w14:textId="77777777" w:rsidTr="005A3B4D">
        <w:trPr>
          <w:trHeight w:val="320"/>
        </w:trPr>
        <w:tc>
          <w:tcPr>
            <w:tcW w:w="1176" w:type="dxa"/>
            <w:tcBorders>
              <w:top w:val="nil"/>
              <w:left w:val="nil"/>
              <w:bottom w:val="nil"/>
              <w:right w:val="nil"/>
            </w:tcBorders>
            <w:shd w:val="clear" w:color="auto" w:fill="auto"/>
            <w:noWrap/>
            <w:vAlign w:val="bottom"/>
            <w:hideMark/>
          </w:tcPr>
          <w:p w14:paraId="7A46BB71"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691E8E6" w14:textId="77777777" w:rsidR="000604B1" w:rsidRDefault="000604B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6A062FF" w14:textId="77777777" w:rsidR="000604B1" w:rsidRDefault="000604B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202A740" w14:textId="77777777" w:rsidR="000604B1" w:rsidRDefault="000604B1" w:rsidP="005A3B4D">
            <w:pPr>
              <w:jc w:val="right"/>
              <w:rPr>
                <w:color w:val="000000"/>
                <w:sz w:val="20"/>
                <w:szCs w:val="20"/>
              </w:rPr>
            </w:pPr>
            <w:r>
              <w:rPr>
                <w:color w:val="000000"/>
                <w:sz w:val="20"/>
                <w:szCs w:val="20"/>
              </w:rPr>
              <w:t>0.372</w:t>
            </w:r>
          </w:p>
        </w:tc>
        <w:tc>
          <w:tcPr>
            <w:tcW w:w="768" w:type="dxa"/>
            <w:tcBorders>
              <w:top w:val="nil"/>
              <w:left w:val="nil"/>
              <w:bottom w:val="nil"/>
              <w:right w:val="nil"/>
            </w:tcBorders>
            <w:shd w:val="clear" w:color="auto" w:fill="auto"/>
            <w:noWrap/>
            <w:vAlign w:val="bottom"/>
            <w:hideMark/>
          </w:tcPr>
          <w:p w14:paraId="6AD7418D"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FAAF70" w14:textId="77777777" w:rsidR="000604B1" w:rsidRDefault="000604B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2294735" w14:textId="77777777" w:rsidR="000604B1" w:rsidRDefault="000604B1" w:rsidP="005A3B4D">
            <w:pPr>
              <w:jc w:val="right"/>
              <w:rPr>
                <w:color w:val="000000"/>
                <w:sz w:val="20"/>
                <w:szCs w:val="20"/>
              </w:rPr>
            </w:pPr>
            <w:r>
              <w:rPr>
                <w:color w:val="000000"/>
                <w:sz w:val="20"/>
                <w:szCs w:val="20"/>
              </w:rPr>
              <w:t>0.618</w:t>
            </w:r>
          </w:p>
        </w:tc>
        <w:tc>
          <w:tcPr>
            <w:tcW w:w="768" w:type="dxa"/>
            <w:tcBorders>
              <w:top w:val="nil"/>
              <w:left w:val="nil"/>
              <w:bottom w:val="nil"/>
              <w:right w:val="nil"/>
            </w:tcBorders>
            <w:shd w:val="clear" w:color="auto" w:fill="auto"/>
            <w:noWrap/>
            <w:vAlign w:val="bottom"/>
            <w:hideMark/>
          </w:tcPr>
          <w:p w14:paraId="149DAF32"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56DD12"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F6BAF18" w14:textId="77777777" w:rsidR="000604B1" w:rsidRDefault="000604B1" w:rsidP="005A3B4D">
            <w:pPr>
              <w:jc w:val="right"/>
              <w:rPr>
                <w:color w:val="000000"/>
                <w:sz w:val="20"/>
                <w:szCs w:val="20"/>
              </w:rPr>
            </w:pPr>
            <w:r>
              <w:rPr>
                <w:color w:val="000000"/>
                <w:sz w:val="20"/>
                <w:szCs w:val="20"/>
              </w:rPr>
              <w:t>0.791</w:t>
            </w:r>
          </w:p>
        </w:tc>
        <w:tc>
          <w:tcPr>
            <w:tcW w:w="768" w:type="dxa"/>
            <w:tcBorders>
              <w:top w:val="nil"/>
              <w:left w:val="nil"/>
              <w:bottom w:val="nil"/>
              <w:right w:val="nil"/>
            </w:tcBorders>
            <w:shd w:val="clear" w:color="auto" w:fill="auto"/>
            <w:noWrap/>
            <w:vAlign w:val="bottom"/>
            <w:hideMark/>
          </w:tcPr>
          <w:p w14:paraId="0128DE00"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D9634B" w14:textId="77777777" w:rsidR="000604B1" w:rsidRDefault="000604B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9C2FE0E" w14:textId="77777777" w:rsidR="000604B1" w:rsidRDefault="000604B1" w:rsidP="005A3B4D">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18991AD8"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A791B2" w14:textId="77777777" w:rsidR="000604B1" w:rsidRDefault="000604B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B8D24DA" w14:textId="77777777" w:rsidR="000604B1" w:rsidRDefault="000604B1"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20CBB6C8" w14:textId="77777777" w:rsidR="000604B1" w:rsidRDefault="000604B1" w:rsidP="005A3B4D">
            <w:pPr>
              <w:jc w:val="right"/>
              <w:rPr>
                <w:color w:val="000000"/>
                <w:sz w:val="20"/>
                <w:szCs w:val="20"/>
              </w:rPr>
            </w:pPr>
            <w:r>
              <w:rPr>
                <w:color w:val="000000"/>
                <w:sz w:val="20"/>
                <w:szCs w:val="20"/>
              </w:rPr>
              <w:t>0.000</w:t>
            </w:r>
          </w:p>
        </w:tc>
      </w:tr>
      <w:tr w:rsidR="000604B1" w14:paraId="39ABA660" w14:textId="77777777" w:rsidTr="005A3B4D">
        <w:trPr>
          <w:trHeight w:val="320"/>
        </w:trPr>
        <w:tc>
          <w:tcPr>
            <w:tcW w:w="1176" w:type="dxa"/>
            <w:tcBorders>
              <w:top w:val="nil"/>
              <w:left w:val="nil"/>
              <w:bottom w:val="nil"/>
              <w:right w:val="nil"/>
            </w:tcBorders>
            <w:shd w:val="clear" w:color="auto" w:fill="auto"/>
            <w:noWrap/>
            <w:vAlign w:val="bottom"/>
            <w:hideMark/>
          </w:tcPr>
          <w:p w14:paraId="43949089"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79A146" w14:textId="77777777" w:rsidR="000604B1" w:rsidRDefault="000604B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62CDB8A" w14:textId="77777777" w:rsidR="000604B1" w:rsidRDefault="000604B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1EF0031" w14:textId="77777777" w:rsidR="000604B1" w:rsidRDefault="000604B1" w:rsidP="005A3B4D">
            <w:pPr>
              <w:jc w:val="right"/>
              <w:rPr>
                <w:color w:val="000000"/>
                <w:sz w:val="20"/>
                <w:szCs w:val="20"/>
              </w:rPr>
            </w:pPr>
            <w:r>
              <w:rPr>
                <w:color w:val="000000"/>
                <w:sz w:val="20"/>
                <w:szCs w:val="20"/>
              </w:rPr>
              <w:t>0.587</w:t>
            </w:r>
          </w:p>
        </w:tc>
        <w:tc>
          <w:tcPr>
            <w:tcW w:w="768" w:type="dxa"/>
            <w:tcBorders>
              <w:top w:val="nil"/>
              <w:left w:val="nil"/>
              <w:bottom w:val="nil"/>
              <w:right w:val="nil"/>
            </w:tcBorders>
            <w:shd w:val="clear" w:color="auto" w:fill="auto"/>
            <w:noWrap/>
            <w:vAlign w:val="bottom"/>
            <w:hideMark/>
          </w:tcPr>
          <w:p w14:paraId="58E74771"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ACAC9E" w14:textId="77777777" w:rsidR="000604B1" w:rsidRDefault="000604B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A66F8D2" w14:textId="77777777" w:rsidR="000604B1" w:rsidRDefault="000604B1" w:rsidP="005A3B4D">
            <w:pPr>
              <w:jc w:val="right"/>
              <w:rPr>
                <w:color w:val="000000"/>
                <w:sz w:val="20"/>
                <w:szCs w:val="20"/>
              </w:rPr>
            </w:pPr>
            <w:r>
              <w:rPr>
                <w:color w:val="000000"/>
                <w:sz w:val="20"/>
                <w:szCs w:val="20"/>
              </w:rPr>
              <w:t>0.745</w:t>
            </w:r>
          </w:p>
        </w:tc>
        <w:tc>
          <w:tcPr>
            <w:tcW w:w="768" w:type="dxa"/>
            <w:tcBorders>
              <w:top w:val="nil"/>
              <w:left w:val="nil"/>
              <w:bottom w:val="nil"/>
              <w:right w:val="nil"/>
            </w:tcBorders>
            <w:shd w:val="clear" w:color="auto" w:fill="auto"/>
            <w:noWrap/>
            <w:vAlign w:val="bottom"/>
            <w:hideMark/>
          </w:tcPr>
          <w:p w14:paraId="0B647ED0"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61A1F8" w14:textId="77777777" w:rsidR="000604B1" w:rsidRDefault="000604B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18F679C" w14:textId="77777777" w:rsidR="000604B1" w:rsidRDefault="000604B1" w:rsidP="005A3B4D">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15868E36"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0A6C7B" w14:textId="77777777" w:rsidR="000604B1" w:rsidRDefault="000604B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8F093BC" w14:textId="77777777" w:rsidR="000604B1" w:rsidRDefault="000604B1" w:rsidP="005A3B4D">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0060601A"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537FE5" w14:textId="77777777" w:rsidR="000604B1" w:rsidRDefault="000604B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A5E1B61" w14:textId="77777777" w:rsidR="000604B1" w:rsidRDefault="000604B1" w:rsidP="005A3B4D">
            <w:pPr>
              <w:jc w:val="right"/>
              <w:rPr>
                <w:color w:val="000000"/>
                <w:sz w:val="20"/>
                <w:szCs w:val="20"/>
              </w:rPr>
            </w:pPr>
            <w:r>
              <w:rPr>
                <w:color w:val="000000"/>
                <w:sz w:val="20"/>
                <w:szCs w:val="20"/>
              </w:rPr>
              <w:t>0.769</w:t>
            </w:r>
          </w:p>
        </w:tc>
        <w:tc>
          <w:tcPr>
            <w:tcW w:w="768" w:type="dxa"/>
            <w:tcBorders>
              <w:top w:val="nil"/>
              <w:left w:val="nil"/>
              <w:bottom w:val="nil"/>
              <w:right w:val="nil"/>
            </w:tcBorders>
            <w:shd w:val="clear" w:color="auto" w:fill="auto"/>
            <w:noWrap/>
            <w:vAlign w:val="bottom"/>
            <w:hideMark/>
          </w:tcPr>
          <w:p w14:paraId="074D4062" w14:textId="77777777" w:rsidR="000604B1" w:rsidRDefault="000604B1" w:rsidP="005A3B4D">
            <w:pPr>
              <w:jc w:val="right"/>
              <w:rPr>
                <w:color w:val="000000"/>
                <w:sz w:val="20"/>
                <w:szCs w:val="20"/>
              </w:rPr>
            </w:pPr>
            <w:r>
              <w:rPr>
                <w:color w:val="000000"/>
                <w:sz w:val="20"/>
                <w:szCs w:val="20"/>
              </w:rPr>
              <w:t>0.000</w:t>
            </w:r>
          </w:p>
        </w:tc>
      </w:tr>
      <w:tr w:rsidR="000604B1" w14:paraId="08576226" w14:textId="77777777" w:rsidTr="005A3B4D">
        <w:trPr>
          <w:trHeight w:val="320"/>
        </w:trPr>
        <w:tc>
          <w:tcPr>
            <w:tcW w:w="1176" w:type="dxa"/>
            <w:tcBorders>
              <w:top w:val="nil"/>
              <w:left w:val="nil"/>
              <w:bottom w:val="nil"/>
              <w:right w:val="nil"/>
            </w:tcBorders>
            <w:shd w:val="clear" w:color="auto" w:fill="auto"/>
            <w:noWrap/>
            <w:vAlign w:val="bottom"/>
            <w:hideMark/>
          </w:tcPr>
          <w:p w14:paraId="091A8240"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9038EC4" w14:textId="77777777" w:rsidR="000604B1" w:rsidRDefault="000604B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888D3E9" w14:textId="77777777" w:rsidR="000604B1" w:rsidRDefault="000604B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34368243" w14:textId="77777777" w:rsidR="000604B1" w:rsidRDefault="000604B1" w:rsidP="005A3B4D">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2A301E7B"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0E1BDE" w14:textId="77777777" w:rsidR="000604B1" w:rsidRDefault="000604B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1F4FDC8E" w14:textId="77777777" w:rsidR="000604B1" w:rsidRDefault="000604B1" w:rsidP="005A3B4D">
            <w:pPr>
              <w:jc w:val="right"/>
              <w:rPr>
                <w:color w:val="000000"/>
                <w:sz w:val="20"/>
                <w:szCs w:val="20"/>
              </w:rPr>
            </w:pPr>
            <w:r>
              <w:rPr>
                <w:color w:val="000000"/>
                <w:sz w:val="20"/>
                <w:szCs w:val="20"/>
              </w:rPr>
              <w:t>0.211</w:t>
            </w:r>
          </w:p>
        </w:tc>
        <w:tc>
          <w:tcPr>
            <w:tcW w:w="768" w:type="dxa"/>
            <w:tcBorders>
              <w:top w:val="nil"/>
              <w:left w:val="nil"/>
              <w:bottom w:val="nil"/>
              <w:right w:val="nil"/>
            </w:tcBorders>
            <w:shd w:val="clear" w:color="auto" w:fill="auto"/>
            <w:noWrap/>
            <w:vAlign w:val="bottom"/>
            <w:hideMark/>
          </w:tcPr>
          <w:p w14:paraId="55CD034F"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04D1BB" w14:textId="77777777" w:rsidR="000604B1" w:rsidRDefault="000604B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14EEB938" w14:textId="77777777" w:rsidR="000604B1" w:rsidRDefault="000604B1" w:rsidP="005A3B4D">
            <w:pPr>
              <w:jc w:val="right"/>
              <w:rPr>
                <w:color w:val="000000"/>
                <w:sz w:val="20"/>
                <w:szCs w:val="20"/>
              </w:rPr>
            </w:pPr>
            <w:r>
              <w:rPr>
                <w:color w:val="000000"/>
                <w:sz w:val="20"/>
                <w:szCs w:val="20"/>
              </w:rPr>
              <w:t>0.426</w:t>
            </w:r>
          </w:p>
        </w:tc>
        <w:tc>
          <w:tcPr>
            <w:tcW w:w="768" w:type="dxa"/>
            <w:tcBorders>
              <w:top w:val="nil"/>
              <w:left w:val="nil"/>
              <w:bottom w:val="nil"/>
              <w:right w:val="nil"/>
            </w:tcBorders>
            <w:shd w:val="clear" w:color="auto" w:fill="auto"/>
            <w:noWrap/>
            <w:vAlign w:val="bottom"/>
            <w:hideMark/>
          </w:tcPr>
          <w:p w14:paraId="25445B5C"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A718CDF"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136268D" w14:textId="77777777" w:rsidR="000604B1" w:rsidRDefault="000604B1"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1571930B"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22B9BB" w14:textId="77777777" w:rsidR="000604B1" w:rsidRDefault="000604B1"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6C3C0AC4" w14:textId="77777777" w:rsidR="000604B1" w:rsidRDefault="000604B1" w:rsidP="005A3B4D">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567602D4" w14:textId="77777777" w:rsidR="000604B1" w:rsidRDefault="000604B1" w:rsidP="005A3B4D">
            <w:pPr>
              <w:jc w:val="right"/>
              <w:rPr>
                <w:color w:val="000000"/>
                <w:sz w:val="20"/>
                <w:szCs w:val="20"/>
              </w:rPr>
            </w:pPr>
            <w:r>
              <w:rPr>
                <w:color w:val="000000"/>
                <w:sz w:val="20"/>
                <w:szCs w:val="20"/>
              </w:rPr>
              <w:t>0.003</w:t>
            </w:r>
          </w:p>
        </w:tc>
      </w:tr>
      <w:tr w:rsidR="000604B1" w14:paraId="65A293DB" w14:textId="77777777" w:rsidTr="005A3B4D">
        <w:trPr>
          <w:trHeight w:val="320"/>
        </w:trPr>
        <w:tc>
          <w:tcPr>
            <w:tcW w:w="1176" w:type="dxa"/>
            <w:tcBorders>
              <w:top w:val="nil"/>
              <w:left w:val="nil"/>
              <w:bottom w:val="nil"/>
              <w:right w:val="nil"/>
            </w:tcBorders>
            <w:shd w:val="clear" w:color="auto" w:fill="auto"/>
            <w:noWrap/>
            <w:vAlign w:val="bottom"/>
            <w:hideMark/>
          </w:tcPr>
          <w:p w14:paraId="1B5D0B32"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B834A44" w14:textId="77777777" w:rsidR="000604B1" w:rsidRDefault="000604B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6C4E905" w14:textId="77777777" w:rsidR="000604B1" w:rsidRDefault="000604B1" w:rsidP="005A3B4D">
            <w:pPr>
              <w:jc w:val="right"/>
              <w:rPr>
                <w:b/>
                <w:bCs/>
                <w:color w:val="000000"/>
                <w:sz w:val="20"/>
                <w:szCs w:val="20"/>
              </w:rPr>
            </w:pPr>
            <w:r>
              <w:rPr>
                <w:b/>
                <w:bCs/>
                <w:color w:val="000000"/>
                <w:sz w:val="20"/>
                <w:szCs w:val="20"/>
              </w:rPr>
              <w:t>0.078</w:t>
            </w:r>
          </w:p>
        </w:tc>
        <w:tc>
          <w:tcPr>
            <w:tcW w:w="768" w:type="dxa"/>
            <w:tcBorders>
              <w:top w:val="nil"/>
              <w:left w:val="nil"/>
              <w:bottom w:val="nil"/>
              <w:right w:val="nil"/>
            </w:tcBorders>
            <w:shd w:val="clear" w:color="auto" w:fill="auto"/>
            <w:noWrap/>
            <w:vAlign w:val="bottom"/>
            <w:hideMark/>
          </w:tcPr>
          <w:p w14:paraId="5B2C483F" w14:textId="77777777" w:rsidR="000604B1" w:rsidRDefault="000604B1"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4CDC7426" w14:textId="77777777" w:rsidR="000604B1" w:rsidRDefault="000604B1" w:rsidP="005A3B4D">
            <w:pPr>
              <w:jc w:val="right"/>
              <w:rPr>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4060B8C9" w14:textId="77777777" w:rsidR="000604B1" w:rsidRDefault="000604B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99DCED6" w14:textId="77777777" w:rsidR="000604B1" w:rsidRDefault="000604B1" w:rsidP="005A3B4D">
            <w:pPr>
              <w:jc w:val="right"/>
              <w:rPr>
                <w:color w:val="000000"/>
                <w:sz w:val="20"/>
                <w:szCs w:val="20"/>
              </w:rPr>
            </w:pPr>
            <w:r>
              <w:rPr>
                <w:color w:val="000000"/>
                <w:sz w:val="20"/>
                <w:szCs w:val="20"/>
              </w:rPr>
              <w:t>0.804</w:t>
            </w:r>
          </w:p>
        </w:tc>
        <w:tc>
          <w:tcPr>
            <w:tcW w:w="768" w:type="dxa"/>
            <w:tcBorders>
              <w:top w:val="nil"/>
              <w:left w:val="nil"/>
              <w:bottom w:val="nil"/>
              <w:right w:val="nil"/>
            </w:tcBorders>
            <w:shd w:val="clear" w:color="auto" w:fill="auto"/>
            <w:noWrap/>
            <w:vAlign w:val="bottom"/>
            <w:hideMark/>
          </w:tcPr>
          <w:p w14:paraId="1614BD17"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A6CA90" w14:textId="77777777" w:rsidR="000604B1" w:rsidRDefault="000604B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7DB5BA6B" w14:textId="77777777" w:rsidR="000604B1" w:rsidRDefault="000604B1" w:rsidP="005A3B4D">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3FBD9F58"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96D233" w14:textId="77777777" w:rsidR="000604B1" w:rsidRDefault="000604B1"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7D0AE98E" w14:textId="77777777" w:rsidR="000604B1" w:rsidRDefault="000604B1" w:rsidP="005A3B4D">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26AEF688" w14:textId="77777777" w:rsidR="000604B1" w:rsidRDefault="000604B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1348252" w14:textId="77777777" w:rsidR="000604B1" w:rsidRDefault="000604B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6783F21" w14:textId="77777777" w:rsidR="000604B1" w:rsidRDefault="000604B1" w:rsidP="005A3B4D">
            <w:pPr>
              <w:jc w:val="right"/>
              <w:rPr>
                <w:color w:val="000000"/>
                <w:sz w:val="20"/>
                <w:szCs w:val="20"/>
              </w:rPr>
            </w:pPr>
            <w:r>
              <w:rPr>
                <w:color w:val="000000"/>
                <w:sz w:val="20"/>
                <w:szCs w:val="20"/>
              </w:rPr>
              <w:t>0.769</w:t>
            </w:r>
          </w:p>
        </w:tc>
        <w:tc>
          <w:tcPr>
            <w:tcW w:w="768" w:type="dxa"/>
            <w:tcBorders>
              <w:top w:val="nil"/>
              <w:left w:val="nil"/>
              <w:bottom w:val="nil"/>
              <w:right w:val="nil"/>
            </w:tcBorders>
            <w:shd w:val="clear" w:color="auto" w:fill="auto"/>
            <w:noWrap/>
            <w:vAlign w:val="bottom"/>
            <w:hideMark/>
          </w:tcPr>
          <w:p w14:paraId="7E1ACFCB" w14:textId="77777777" w:rsidR="000604B1" w:rsidRDefault="000604B1" w:rsidP="005A3B4D">
            <w:pPr>
              <w:jc w:val="right"/>
              <w:rPr>
                <w:color w:val="000000"/>
                <w:sz w:val="20"/>
                <w:szCs w:val="20"/>
              </w:rPr>
            </w:pPr>
            <w:r>
              <w:rPr>
                <w:color w:val="000000"/>
                <w:sz w:val="20"/>
                <w:szCs w:val="20"/>
              </w:rPr>
              <w:t>0.000</w:t>
            </w:r>
          </w:p>
        </w:tc>
      </w:tr>
      <w:tr w:rsidR="000604B1" w14:paraId="3BE6072A" w14:textId="77777777" w:rsidTr="005A3B4D">
        <w:trPr>
          <w:trHeight w:val="320"/>
        </w:trPr>
        <w:tc>
          <w:tcPr>
            <w:tcW w:w="1176" w:type="dxa"/>
            <w:tcBorders>
              <w:top w:val="nil"/>
              <w:left w:val="nil"/>
              <w:bottom w:val="nil"/>
              <w:right w:val="nil"/>
            </w:tcBorders>
            <w:shd w:val="clear" w:color="auto" w:fill="auto"/>
            <w:noWrap/>
            <w:vAlign w:val="bottom"/>
            <w:hideMark/>
          </w:tcPr>
          <w:p w14:paraId="290F352B"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7768B8" w14:textId="77777777" w:rsidR="000604B1" w:rsidRDefault="000604B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AF93A3A" w14:textId="77777777" w:rsidR="000604B1" w:rsidRDefault="000604B1" w:rsidP="005A3B4D">
            <w:pPr>
              <w:jc w:val="right"/>
              <w:rPr>
                <w:b/>
                <w:bCs/>
                <w:color w:val="000000"/>
                <w:sz w:val="20"/>
                <w:szCs w:val="20"/>
              </w:rPr>
            </w:pPr>
            <w:r>
              <w:rPr>
                <w:b/>
                <w:bCs/>
                <w:color w:val="000000"/>
                <w:sz w:val="20"/>
                <w:szCs w:val="20"/>
              </w:rPr>
              <w:t>-0.069</w:t>
            </w:r>
          </w:p>
        </w:tc>
        <w:tc>
          <w:tcPr>
            <w:tcW w:w="768" w:type="dxa"/>
            <w:tcBorders>
              <w:top w:val="nil"/>
              <w:left w:val="nil"/>
              <w:bottom w:val="nil"/>
              <w:right w:val="nil"/>
            </w:tcBorders>
            <w:shd w:val="clear" w:color="auto" w:fill="auto"/>
            <w:noWrap/>
            <w:vAlign w:val="bottom"/>
            <w:hideMark/>
          </w:tcPr>
          <w:p w14:paraId="563BA5AD" w14:textId="77777777" w:rsidR="000604B1" w:rsidRDefault="000604B1" w:rsidP="005A3B4D">
            <w:pPr>
              <w:jc w:val="right"/>
              <w:rPr>
                <w:b/>
                <w:bCs/>
                <w:color w:val="000000"/>
                <w:sz w:val="20"/>
                <w:szCs w:val="20"/>
              </w:rPr>
            </w:pPr>
            <w:r>
              <w:rPr>
                <w:b/>
                <w:bCs/>
                <w:color w:val="000000"/>
                <w:sz w:val="20"/>
                <w:szCs w:val="20"/>
              </w:rPr>
              <w:t>0.019</w:t>
            </w:r>
          </w:p>
        </w:tc>
        <w:tc>
          <w:tcPr>
            <w:tcW w:w="768" w:type="dxa"/>
            <w:tcBorders>
              <w:top w:val="nil"/>
              <w:left w:val="nil"/>
              <w:bottom w:val="nil"/>
              <w:right w:val="nil"/>
            </w:tcBorders>
            <w:shd w:val="clear" w:color="auto" w:fill="auto"/>
            <w:noWrap/>
            <w:vAlign w:val="bottom"/>
            <w:hideMark/>
          </w:tcPr>
          <w:p w14:paraId="494FB92F" w14:textId="77777777" w:rsidR="000604B1" w:rsidRDefault="000604B1" w:rsidP="005A3B4D">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12802A07" w14:textId="77777777" w:rsidR="000604B1" w:rsidRDefault="000604B1"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59D8FBE0" w14:textId="77777777" w:rsidR="000604B1" w:rsidRDefault="000604B1" w:rsidP="005A3B4D">
            <w:pPr>
              <w:jc w:val="right"/>
              <w:rPr>
                <w:color w:val="000000"/>
                <w:sz w:val="20"/>
                <w:szCs w:val="20"/>
              </w:rPr>
            </w:pPr>
            <w:r>
              <w:rPr>
                <w:color w:val="000000"/>
                <w:sz w:val="20"/>
                <w:szCs w:val="20"/>
              </w:rPr>
              <w:t>0.211</w:t>
            </w:r>
          </w:p>
        </w:tc>
        <w:tc>
          <w:tcPr>
            <w:tcW w:w="768" w:type="dxa"/>
            <w:tcBorders>
              <w:top w:val="nil"/>
              <w:left w:val="nil"/>
              <w:bottom w:val="nil"/>
              <w:right w:val="nil"/>
            </w:tcBorders>
            <w:shd w:val="clear" w:color="auto" w:fill="auto"/>
            <w:noWrap/>
            <w:vAlign w:val="bottom"/>
            <w:hideMark/>
          </w:tcPr>
          <w:p w14:paraId="74439617"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E1E8C3"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8AB7D25" w14:textId="77777777" w:rsidR="000604B1" w:rsidRDefault="000604B1" w:rsidP="005A3B4D">
            <w:pPr>
              <w:jc w:val="right"/>
              <w:rPr>
                <w:color w:val="000000"/>
                <w:sz w:val="20"/>
                <w:szCs w:val="20"/>
              </w:rPr>
            </w:pPr>
            <w:r>
              <w:rPr>
                <w:color w:val="000000"/>
                <w:sz w:val="20"/>
                <w:szCs w:val="20"/>
              </w:rPr>
              <w:t>0.930</w:t>
            </w:r>
          </w:p>
        </w:tc>
        <w:tc>
          <w:tcPr>
            <w:tcW w:w="768" w:type="dxa"/>
            <w:tcBorders>
              <w:top w:val="nil"/>
              <w:left w:val="nil"/>
              <w:bottom w:val="nil"/>
              <w:right w:val="nil"/>
            </w:tcBorders>
            <w:shd w:val="clear" w:color="auto" w:fill="auto"/>
            <w:noWrap/>
            <w:vAlign w:val="bottom"/>
            <w:hideMark/>
          </w:tcPr>
          <w:p w14:paraId="65ECDB64"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A97B58" w14:textId="77777777" w:rsidR="000604B1" w:rsidRDefault="000604B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2EDCE03" w14:textId="77777777" w:rsidR="000604B1" w:rsidRDefault="000604B1" w:rsidP="005A3B4D">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58052A45"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338975" w14:textId="77777777" w:rsidR="000604B1" w:rsidRDefault="000604B1"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292D3907" w14:textId="77777777" w:rsidR="000604B1" w:rsidRDefault="000604B1" w:rsidP="005A3B4D">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46F18E1F" w14:textId="77777777" w:rsidR="000604B1" w:rsidRDefault="000604B1" w:rsidP="005A3B4D">
            <w:pPr>
              <w:jc w:val="right"/>
              <w:rPr>
                <w:color w:val="000000"/>
                <w:sz w:val="20"/>
                <w:szCs w:val="20"/>
              </w:rPr>
            </w:pPr>
            <w:r>
              <w:rPr>
                <w:color w:val="000000"/>
                <w:sz w:val="20"/>
                <w:szCs w:val="20"/>
              </w:rPr>
              <w:t>0.002</w:t>
            </w:r>
          </w:p>
        </w:tc>
      </w:tr>
      <w:tr w:rsidR="000604B1" w14:paraId="6F7FBBA0" w14:textId="77777777" w:rsidTr="005A3B4D">
        <w:trPr>
          <w:trHeight w:val="320"/>
        </w:trPr>
        <w:tc>
          <w:tcPr>
            <w:tcW w:w="1176" w:type="dxa"/>
            <w:tcBorders>
              <w:top w:val="nil"/>
              <w:left w:val="nil"/>
              <w:bottom w:val="nil"/>
              <w:right w:val="nil"/>
            </w:tcBorders>
            <w:shd w:val="clear" w:color="auto" w:fill="auto"/>
            <w:noWrap/>
            <w:vAlign w:val="bottom"/>
            <w:hideMark/>
          </w:tcPr>
          <w:p w14:paraId="02ADB02D" w14:textId="77777777" w:rsidR="000604B1" w:rsidRDefault="000604B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C4C60A0" w14:textId="77777777" w:rsidR="000604B1" w:rsidRDefault="000604B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923AF64" w14:textId="77777777" w:rsidR="000604B1" w:rsidRDefault="000604B1"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90C9B4B" w14:textId="77777777" w:rsidR="000604B1" w:rsidRDefault="000604B1" w:rsidP="005A3B4D">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23AE71C7"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4F977C" w14:textId="77777777" w:rsidR="000604B1" w:rsidRDefault="000604B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6737917" w14:textId="77777777" w:rsidR="000604B1" w:rsidRDefault="000604B1" w:rsidP="005A3B4D">
            <w:pPr>
              <w:jc w:val="right"/>
              <w:rPr>
                <w:color w:val="000000"/>
                <w:sz w:val="20"/>
                <w:szCs w:val="20"/>
              </w:rPr>
            </w:pPr>
            <w:r>
              <w:rPr>
                <w:color w:val="000000"/>
                <w:sz w:val="20"/>
                <w:szCs w:val="20"/>
              </w:rPr>
              <w:t>0.222</w:t>
            </w:r>
          </w:p>
        </w:tc>
        <w:tc>
          <w:tcPr>
            <w:tcW w:w="768" w:type="dxa"/>
            <w:tcBorders>
              <w:top w:val="nil"/>
              <w:left w:val="nil"/>
              <w:bottom w:val="nil"/>
              <w:right w:val="nil"/>
            </w:tcBorders>
            <w:shd w:val="clear" w:color="auto" w:fill="auto"/>
            <w:noWrap/>
            <w:vAlign w:val="bottom"/>
            <w:hideMark/>
          </w:tcPr>
          <w:p w14:paraId="76F949BC"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48E9E18" w14:textId="77777777" w:rsidR="000604B1" w:rsidRDefault="000604B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E53CEAA" w14:textId="77777777" w:rsidR="000604B1" w:rsidRDefault="000604B1" w:rsidP="005A3B4D">
            <w:pPr>
              <w:jc w:val="right"/>
              <w:rPr>
                <w:color w:val="000000"/>
                <w:sz w:val="20"/>
                <w:szCs w:val="20"/>
              </w:rPr>
            </w:pPr>
            <w:r>
              <w:rPr>
                <w:color w:val="000000"/>
                <w:sz w:val="20"/>
                <w:szCs w:val="20"/>
              </w:rPr>
              <w:t>0.426</w:t>
            </w:r>
          </w:p>
        </w:tc>
        <w:tc>
          <w:tcPr>
            <w:tcW w:w="768" w:type="dxa"/>
            <w:tcBorders>
              <w:top w:val="nil"/>
              <w:left w:val="nil"/>
              <w:bottom w:val="nil"/>
              <w:right w:val="nil"/>
            </w:tcBorders>
            <w:shd w:val="clear" w:color="auto" w:fill="auto"/>
            <w:noWrap/>
            <w:vAlign w:val="bottom"/>
            <w:hideMark/>
          </w:tcPr>
          <w:p w14:paraId="702C48B1"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ED8EBB"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D899372" w14:textId="77777777" w:rsidR="000604B1" w:rsidRDefault="000604B1"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31EA4B77"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5DDFE9" w14:textId="77777777" w:rsidR="000604B1" w:rsidRDefault="000604B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063B2A8" w14:textId="77777777" w:rsidR="000604B1" w:rsidRDefault="000604B1"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2BC995AC" w14:textId="77777777" w:rsidR="000604B1" w:rsidRDefault="000604B1" w:rsidP="005A3B4D">
            <w:pPr>
              <w:jc w:val="right"/>
              <w:rPr>
                <w:color w:val="000000"/>
                <w:sz w:val="20"/>
                <w:szCs w:val="20"/>
              </w:rPr>
            </w:pPr>
            <w:r>
              <w:rPr>
                <w:color w:val="000000"/>
                <w:sz w:val="20"/>
                <w:szCs w:val="20"/>
              </w:rPr>
              <w:t>0.000</w:t>
            </w:r>
          </w:p>
        </w:tc>
      </w:tr>
      <w:tr w:rsidR="000604B1" w14:paraId="263EEFB2"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124DE8A8" w14:textId="77777777" w:rsidR="000604B1" w:rsidRDefault="000604B1"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51E32E80" w14:textId="77777777" w:rsidR="000604B1" w:rsidRDefault="000604B1"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137BCA8E" w14:textId="77777777" w:rsidR="000604B1" w:rsidRDefault="000604B1" w:rsidP="005A3B4D">
            <w:pPr>
              <w:jc w:val="right"/>
              <w:rPr>
                <w:color w:val="000000"/>
                <w:sz w:val="20"/>
                <w:szCs w:val="20"/>
              </w:rPr>
            </w:pPr>
            <w:r>
              <w:rPr>
                <w:color w:val="000000"/>
                <w:sz w:val="20"/>
                <w:szCs w:val="20"/>
              </w:rPr>
              <w:t>0.011</w:t>
            </w:r>
          </w:p>
        </w:tc>
        <w:tc>
          <w:tcPr>
            <w:tcW w:w="768" w:type="dxa"/>
            <w:tcBorders>
              <w:top w:val="nil"/>
              <w:left w:val="nil"/>
              <w:bottom w:val="single" w:sz="12" w:space="0" w:color="auto"/>
              <w:right w:val="nil"/>
            </w:tcBorders>
            <w:shd w:val="clear" w:color="auto" w:fill="auto"/>
            <w:noWrap/>
            <w:vAlign w:val="bottom"/>
            <w:hideMark/>
          </w:tcPr>
          <w:p w14:paraId="0F166C33" w14:textId="77777777" w:rsidR="000604B1" w:rsidRDefault="000604B1" w:rsidP="005A3B4D">
            <w:pPr>
              <w:jc w:val="right"/>
              <w:rPr>
                <w:color w:val="000000"/>
                <w:sz w:val="20"/>
                <w:szCs w:val="20"/>
              </w:rPr>
            </w:pPr>
            <w:r>
              <w:rPr>
                <w:color w:val="000000"/>
                <w:sz w:val="20"/>
                <w:szCs w:val="20"/>
              </w:rPr>
              <w:t>0.689</w:t>
            </w:r>
          </w:p>
        </w:tc>
        <w:tc>
          <w:tcPr>
            <w:tcW w:w="768" w:type="dxa"/>
            <w:tcBorders>
              <w:top w:val="nil"/>
              <w:left w:val="nil"/>
              <w:bottom w:val="single" w:sz="12" w:space="0" w:color="auto"/>
              <w:right w:val="nil"/>
            </w:tcBorders>
            <w:shd w:val="clear" w:color="auto" w:fill="auto"/>
            <w:noWrap/>
            <w:vAlign w:val="bottom"/>
            <w:hideMark/>
          </w:tcPr>
          <w:p w14:paraId="6A41A65C"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397FC59" w14:textId="77777777" w:rsidR="000604B1" w:rsidRDefault="000604B1" w:rsidP="005A3B4D">
            <w:pPr>
              <w:jc w:val="right"/>
              <w:rPr>
                <w:color w:val="000000"/>
                <w:sz w:val="20"/>
                <w:szCs w:val="20"/>
              </w:rPr>
            </w:pPr>
            <w:r>
              <w:rPr>
                <w:color w:val="000000"/>
                <w:sz w:val="20"/>
                <w:szCs w:val="20"/>
              </w:rPr>
              <w:t>0.047</w:t>
            </w:r>
          </w:p>
        </w:tc>
        <w:tc>
          <w:tcPr>
            <w:tcW w:w="768" w:type="dxa"/>
            <w:tcBorders>
              <w:top w:val="nil"/>
              <w:left w:val="nil"/>
              <w:bottom w:val="single" w:sz="12" w:space="0" w:color="auto"/>
              <w:right w:val="nil"/>
            </w:tcBorders>
            <w:shd w:val="clear" w:color="auto" w:fill="auto"/>
            <w:noWrap/>
            <w:vAlign w:val="bottom"/>
            <w:hideMark/>
          </w:tcPr>
          <w:p w14:paraId="28B8D5E0" w14:textId="77777777" w:rsidR="000604B1" w:rsidRDefault="000604B1" w:rsidP="005A3B4D">
            <w:pPr>
              <w:jc w:val="right"/>
              <w:rPr>
                <w:color w:val="000000"/>
                <w:sz w:val="20"/>
                <w:szCs w:val="20"/>
              </w:rPr>
            </w:pPr>
            <w:r>
              <w:rPr>
                <w:color w:val="000000"/>
                <w:sz w:val="20"/>
                <w:szCs w:val="20"/>
              </w:rPr>
              <w:t>0.211</w:t>
            </w:r>
          </w:p>
        </w:tc>
        <w:tc>
          <w:tcPr>
            <w:tcW w:w="768" w:type="dxa"/>
            <w:tcBorders>
              <w:top w:val="nil"/>
              <w:left w:val="nil"/>
              <w:bottom w:val="single" w:sz="12" w:space="0" w:color="auto"/>
              <w:right w:val="nil"/>
            </w:tcBorders>
            <w:shd w:val="clear" w:color="auto" w:fill="auto"/>
            <w:noWrap/>
            <w:vAlign w:val="bottom"/>
            <w:hideMark/>
          </w:tcPr>
          <w:p w14:paraId="55F1A972" w14:textId="77777777" w:rsidR="000604B1" w:rsidRDefault="000604B1"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32FE67A9" w14:textId="77777777" w:rsidR="000604B1" w:rsidRDefault="000604B1" w:rsidP="005A3B4D">
            <w:pPr>
              <w:jc w:val="right"/>
              <w:rPr>
                <w:color w:val="000000"/>
                <w:sz w:val="20"/>
                <w:szCs w:val="20"/>
              </w:rPr>
            </w:pPr>
            <w:r>
              <w:rPr>
                <w:color w:val="000000"/>
                <w:sz w:val="20"/>
                <w:szCs w:val="20"/>
              </w:rPr>
              <w:t>-0.023</w:t>
            </w:r>
          </w:p>
        </w:tc>
        <w:tc>
          <w:tcPr>
            <w:tcW w:w="768" w:type="dxa"/>
            <w:tcBorders>
              <w:top w:val="nil"/>
              <w:left w:val="nil"/>
              <w:bottom w:val="single" w:sz="12" w:space="0" w:color="auto"/>
              <w:right w:val="nil"/>
            </w:tcBorders>
            <w:shd w:val="clear" w:color="auto" w:fill="auto"/>
            <w:noWrap/>
            <w:vAlign w:val="bottom"/>
            <w:hideMark/>
          </w:tcPr>
          <w:p w14:paraId="64DB91CA" w14:textId="77777777" w:rsidR="000604B1" w:rsidRDefault="000604B1" w:rsidP="005A3B4D">
            <w:pPr>
              <w:jc w:val="right"/>
              <w:rPr>
                <w:color w:val="000000"/>
                <w:sz w:val="20"/>
                <w:szCs w:val="20"/>
              </w:rPr>
            </w:pPr>
            <w:r>
              <w:rPr>
                <w:color w:val="000000"/>
                <w:sz w:val="20"/>
                <w:szCs w:val="20"/>
              </w:rPr>
              <w:t>0.426</w:t>
            </w:r>
          </w:p>
        </w:tc>
        <w:tc>
          <w:tcPr>
            <w:tcW w:w="768" w:type="dxa"/>
            <w:tcBorders>
              <w:top w:val="nil"/>
              <w:left w:val="nil"/>
              <w:bottom w:val="single" w:sz="12" w:space="0" w:color="auto"/>
              <w:right w:val="nil"/>
            </w:tcBorders>
            <w:shd w:val="clear" w:color="auto" w:fill="auto"/>
            <w:noWrap/>
            <w:vAlign w:val="bottom"/>
            <w:hideMark/>
          </w:tcPr>
          <w:p w14:paraId="5674D297" w14:textId="77777777" w:rsidR="000604B1" w:rsidRDefault="000604B1"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5ABFCD63" w14:textId="77777777" w:rsidR="000604B1" w:rsidRDefault="000604B1" w:rsidP="005A3B4D">
            <w:pPr>
              <w:jc w:val="right"/>
              <w:rPr>
                <w:color w:val="000000"/>
                <w:sz w:val="20"/>
                <w:szCs w:val="20"/>
              </w:rPr>
            </w:pPr>
            <w:r>
              <w:rPr>
                <w:color w:val="000000"/>
                <w:sz w:val="20"/>
                <w:szCs w:val="20"/>
              </w:rPr>
              <w:t>0.009</w:t>
            </w:r>
          </w:p>
        </w:tc>
        <w:tc>
          <w:tcPr>
            <w:tcW w:w="768" w:type="dxa"/>
            <w:tcBorders>
              <w:top w:val="nil"/>
              <w:left w:val="nil"/>
              <w:bottom w:val="single" w:sz="12" w:space="0" w:color="auto"/>
              <w:right w:val="nil"/>
            </w:tcBorders>
            <w:shd w:val="clear" w:color="auto" w:fill="auto"/>
            <w:noWrap/>
            <w:vAlign w:val="bottom"/>
            <w:hideMark/>
          </w:tcPr>
          <w:p w14:paraId="0B372356" w14:textId="77777777" w:rsidR="000604B1" w:rsidRDefault="000604B1" w:rsidP="005A3B4D">
            <w:pPr>
              <w:jc w:val="right"/>
              <w:rPr>
                <w:color w:val="000000"/>
                <w:sz w:val="20"/>
                <w:szCs w:val="20"/>
              </w:rPr>
            </w:pPr>
            <w:r>
              <w:rPr>
                <w:color w:val="000000"/>
                <w:sz w:val="20"/>
                <w:szCs w:val="20"/>
              </w:rPr>
              <w:t>0.946</w:t>
            </w:r>
          </w:p>
        </w:tc>
        <w:tc>
          <w:tcPr>
            <w:tcW w:w="768" w:type="dxa"/>
            <w:tcBorders>
              <w:top w:val="nil"/>
              <w:left w:val="nil"/>
              <w:bottom w:val="single" w:sz="12" w:space="0" w:color="auto"/>
              <w:right w:val="nil"/>
            </w:tcBorders>
            <w:shd w:val="clear" w:color="auto" w:fill="auto"/>
            <w:noWrap/>
            <w:vAlign w:val="bottom"/>
            <w:hideMark/>
          </w:tcPr>
          <w:p w14:paraId="5D5361F2" w14:textId="77777777" w:rsidR="000604B1" w:rsidRDefault="000604B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62E17A99" w14:textId="77777777" w:rsidR="000604B1" w:rsidRDefault="000604B1" w:rsidP="005A3B4D">
            <w:pPr>
              <w:jc w:val="right"/>
              <w:rPr>
                <w:color w:val="000000"/>
                <w:sz w:val="20"/>
                <w:szCs w:val="20"/>
              </w:rPr>
            </w:pPr>
            <w:r>
              <w:rPr>
                <w:color w:val="000000"/>
                <w:sz w:val="20"/>
                <w:szCs w:val="20"/>
              </w:rPr>
              <w:t>-0.027</w:t>
            </w:r>
          </w:p>
        </w:tc>
        <w:tc>
          <w:tcPr>
            <w:tcW w:w="768" w:type="dxa"/>
            <w:tcBorders>
              <w:top w:val="nil"/>
              <w:left w:val="nil"/>
              <w:bottom w:val="single" w:sz="12" w:space="0" w:color="auto"/>
              <w:right w:val="nil"/>
            </w:tcBorders>
            <w:shd w:val="clear" w:color="auto" w:fill="auto"/>
            <w:noWrap/>
            <w:vAlign w:val="bottom"/>
            <w:hideMark/>
          </w:tcPr>
          <w:p w14:paraId="7F2918D1" w14:textId="77777777" w:rsidR="000604B1" w:rsidRDefault="000604B1" w:rsidP="005A3B4D">
            <w:pPr>
              <w:jc w:val="right"/>
              <w:rPr>
                <w:color w:val="000000"/>
                <w:sz w:val="20"/>
                <w:szCs w:val="20"/>
              </w:rPr>
            </w:pPr>
            <w:r>
              <w:rPr>
                <w:color w:val="000000"/>
                <w:sz w:val="20"/>
                <w:szCs w:val="20"/>
              </w:rPr>
              <w:t>0.698</w:t>
            </w:r>
          </w:p>
        </w:tc>
        <w:tc>
          <w:tcPr>
            <w:tcW w:w="768" w:type="dxa"/>
            <w:tcBorders>
              <w:top w:val="nil"/>
              <w:left w:val="nil"/>
              <w:bottom w:val="single" w:sz="12" w:space="0" w:color="auto"/>
              <w:right w:val="nil"/>
            </w:tcBorders>
            <w:shd w:val="clear" w:color="auto" w:fill="auto"/>
            <w:noWrap/>
            <w:vAlign w:val="bottom"/>
            <w:hideMark/>
          </w:tcPr>
          <w:p w14:paraId="66AA16F0" w14:textId="77777777" w:rsidR="000604B1" w:rsidRDefault="000604B1" w:rsidP="005A3B4D">
            <w:pPr>
              <w:jc w:val="right"/>
              <w:rPr>
                <w:color w:val="000000"/>
                <w:sz w:val="20"/>
                <w:szCs w:val="20"/>
              </w:rPr>
            </w:pPr>
            <w:r>
              <w:rPr>
                <w:color w:val="000000"/>
                <w:sz w:val="20"/>
                <w:szCs w:val="20"/>
              </w:rPr>
              <w:t>0.001</w:t>
            </w:r>
          </w:p>
        </w:tc>
      </w:tr>
      <w:tr w:rsidR="000604B1" w14:paraId="5AFA9BD6"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577E58D4" w14:textId="77777777" w:rsidR="000604B1" w:rsidRDefault="000604B1"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25229CB3" w14:textId="77777777" w:rsidR="000604B1" w:rsidRDefault="000604B1"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3BE25725"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535F14B"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176B5B2"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225336C"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8329431"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76C1377"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83372C6"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8C71F1F"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01D894"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3DE8A51"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B6D3C7D"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8B65303"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59B7E7F"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95090E6" w14:textId="77777777" w:rsidR="000604B1" w:rsidRDefault="000604B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2D39B54" w14:textId="77777777" w:rsidR="000604B1" w:rsidRDefault="000604B1" w:rsidP="005A3B4D">
            <w:pPr>
              <w:rPr>
                <w:sz w:val="20"/>
                <w:szCs w:val="20"/>
              </w:rPr>
            </w:pPr>
          </w:p>
        </w:tc>
      </w:tr>
    </w:tbl>
    <w:p w14:paraId="5B395508" w14:textId="77777777" w:rsidR="000604B1" w:rsidRDefault="000604B1" w:rsidP="000604B1">
      <w:pPr>
        <w:spacing w:line="480" w:lineRule="auto"/>
      </w:pPr>
    </w:p>
    <w:p w14:paraId="417FEA26" w14:textId="77777777" w:rsidR="000604B1" w:rsidRDefault="000604B1" w:rsidP="000604B1">
      <w:pPr>
        <w:rPr>
          <w:rFonts w:asciiTheme="majorHAnsi" w:eastAsiaTheme="majorEastAsia" w:hAnsiTheme="majorHAnsi" w:cstheme="majorBidi"/>
          <w:color w:val="2F5496" w:themeColor="accent1" w:themeShade="BF"/>
          <w:sz w:val="32"/>
          <w:szCs w:val="32"/>
        </w:rPr>
      </w:pPr>
      <w:r>
        <w:br w:type="page"/>
      </w:r>
    </w:p>
    <w:p w14:paraId="5E3F8DCD" w14:textId="04DBBB17" w:rsidR="00432B71" w:rsidRPr="008E6C09" w:rsidRDefault="00432B71" w:rsidP="00432B71">
      <w:pPr>
        <w:pStyle w:val="Heading1"/>
        <w:rPr>
          <w:rFonts w:ascii="Times New Roman" w:hAnsi="Times New Roman" w:cs="Times New Roman"/>
          <w:color w:val="000000" w:themeColor="text1"/>
          <w:sz w:val="24"/>
          <w:szCs w:val="24"/>
        </w:rPr>
      </w:pPr>
      <w:bookmarkStart w:id="20" w:name="_Toc155817687"/>
      <w:r>
        <w:rPr>
          <w:rFonts w:ascii="Times New Roman" w:hAnsi="Times New Roman" w:cs="Times New Roman"/>
          <w:b/>
          <w:bCs/>
          <w:color w:val="000000" w:themeColor="text1"/>
          <w:sz w:val="24"/>
          <w:szCs w:val="24"/>
        </w:rPr>
        <w:lastRenderedPageBreak/>
        <w:t xml:space="preserve">Table </w:t>
      </w:r>
      <w:r w:rsidR="000604B1">
        <w:rPr>
          <w:rFonts w:ascii="Times New Roman" w:hAnsi="Times New Roman" w:cs="Times New Roman"/>
          <w:b/>
          <w:bCs/>
          <w:color w:val="000000" w:themeColor="text1"/>
          <w:sz w:val="24"/>
          <w:szCs w:val="24"/>
        </w:rPr>
        <w:t>5</w:t>
      </w:r>
      <w:r w:rsidRPr="00DB5A2E">
        <w:rPr>
          <w:rFonts w:ascii="Times New Roman" w:hAnsi="Times New Roman" w:cs="Times New Roman"/>
          <w:b/>
          <w:bCs/>
          <w:color w:val="000000" w:themeColor="text1"/>
          <w:sz w:val="24"/>
          <w:szCs w:val="24"/>
        </w:rPr>
        <w:t>a.</w:t>
      </w:r>
      <w:r w:rsidRPr="008E6C09">
        <w:rPr>
          <w:rFonts w:ascii="Times New Roman" w:hAnsi="Times New Roman" w:cs="Times New Roman"/>
          <w:b/>
          <w:bCs/>
          <w:color w:val="000000" w:themeColor="text1"/>
          <w:sz w:val="24"/>
          <w:szCs w:val="24"/>
        </w:rPr>
        <w:t xml:space="preserve"> </w:t>
      </w:r>
      <w:r w:rsidRPr="008E6C09">
        <w:rPr>
          <w:rFonts w:ascii="Times New Roman" w:hAnsi="Times New Roman" w:cs="Times New Roman"/>
          <w:color w:val="000000" w:themeColor="text1"/>
          <w:sz w:val="24"/>
          <w:szCs w:val="24"/>
        </w:rPr>
        <w:t>Results examining the relationship between environmental stress factors obtained from bifactor modeling and Shen-268 network diameter during rest</w:t>
      </w:r>
      <w:bookmarkEnd w:id="20"/>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432B71" w14:paraId="33E1CE95"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472FE10A" w14:textId="77777777" w:rsidR="00432B71" w:rsidRDefault="00432B71"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12D9283C" w14:textId="77777777" w:rsidR="00432B71" w:rsidRDefault="00432B71"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2FE932FB" w14:textId="77777777" w:rsidR="00432B71" w:rsidRDefault="00432B71"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20558EF8"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D5A7406"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221B8EF"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2C08FDA"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05B6EAA"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EB1731B"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899BCAE"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CE85260"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7AD0DC2"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4F5A000"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5E07CF47"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6CA7C83B"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7BB97FC8"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166821B5" w14:textId="77777777" w:rsidR="00432B71" w:rsidRDefault="00432B71" w:rsidP="005A3B4D">
            <w:pPr>
              <w:rPr>
                <w:sz w:val="20"/>
                <w:szCs w:val="20"/>
              </w:rPr>
            </w:pPr>
          </w:p>
        </w:tc>
      </w:tr>
      <w:tr w:rsidR="00432B71" w14:paraId="3EF74EA5"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78BEFBF3" w14:textId="77777777" w:rsidR="00432B71" w:rsidRDefault="00432B71"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51D4809A" w14:textId="77777777" w:rsidR="00432B71" w:rsidRDefault="00432B71"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8" w:space="0" w:color="auto"/>
              <w:right w:val="nil"/>
            </w:tcBorders>
            <w:shd w:val="clear" w:color="auto" w:fill="auto"/>
            <w:noWrap/>
            <w:vAlign w:val="center"/>
            <w:hideMark/>
          </w:tcPr>
          <w:p w14:paraId="6056805D" w14:textId="77777777" w:rsidR="00432B71" w:rsidRDefault="00432B71"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8" w:space="0" w:color="auto"/>
              <w:right w:val="nil"/>
            </w:tcBorders>
            <w:shd w:val="clear" w:color="auto" w:fill="auto"/>
            <w:vAlign w:val="center"/>
            <w:hideMark/>
          </w:tcPr>
          <w:p w14:paraId="7187699E" w14:textId="77777777" w:rsidR="00432B71" w:rsidRDefault="00432B71"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8" w:space="0" w:color="auto"/>
              <w:right w:val="nil"/>
            </w:tcBorders>
            <w:shd w:val="clear" w:color="auto" w:fill="auto"/>
            <w:vAlign w:val="center"/>
            <w:hideMark/>
          </w:tcPr>
          <w:p w14:paraId="72EBB992" w14:textId="77777777" w:rsidR="00432B71" w:rsidRDefault="00432B71"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8" w:space="0" w:color="auto"/>
              <w:right w:val="nil"/>
            </w:tcBorders>
            <w:shd w:val="clear" w:color="auto" w:fill="auto"/>
            <w:vAlign w:val="center"/>
            <w:hideMark/>
          </w:tcPr>
          <w:p w14:paraId="583B1AE3" w14:textId="77777777" w:rsidR="00432B71" w:rsidRDefault="00432B71"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8" w:space="0" w:color="auto"/>
              <w:right w:val="nil"/>
            </w:tcBorders>
            <w:shd w:val="clear" w:color="auto" w:fill="auto"/>
            <w:noWrap/>
            <w:vAlign w:val="center"/>
            <w:hideMark/>
          </w:tcPr>
          <w:p w14:paraId="6E835240" w14:textId="77777777" w:rsidR="00432B71" w:rsidRDefault="00432B71" w:rsidP="005A3B4D">
            <w:pPr>
              <w:jc w:val="center"/>
              <w:rPr>
                <w:color w:val="000000"/>
                <w:sz w:val="20"/>
                <w:szCs w:val="20"/>
              </w:rPr>
            </w:pPr>
            <w:r>
              <w:rPr>
                <w:color w:val="000000"/>
                <w:sz w:val="20"/>
                <w:szCs w:val="20"/>
              </w:rPr>
              <w:t>Urbanicity</w:t>
            </w:r>
          </w:p>
        </w:tc>
      </w:tr>
      <w:tr w:rsidR="00432B71" w14:paraId="04A2248E"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3090F146" w14:textId="77777777" w:rsidR="00432B71" w:rsidRDefault="00432B71"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4384E265" w14:textId="77777777" w:rsidR="00432B71" w:rsidRDefault="00432B71"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5BEE1FF8"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94D60C8"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886C3E2"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51565CE"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0EF6C3A"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C179F1F"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1404EFD"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B231ADF"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CCACA7B"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AC6B8FC"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4B36F64"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2C532FC"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241B781"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E298E0E"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B3B7FCA"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r>
      <w:tr w:rsidR="00432B71" w14:paraId="79E7ED61"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5B610997" w14:textId="77777777" w:rsidR="00432B71" w:rsidRDefault="00432B71"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34B9D3ED" w14:textId="77777777" w:rsidR="00432B71" w:rsidRDefault="00432B71"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5803FE6B" w14:textId="77777777" w:rsidR="00432B71" w:rsidRDefault="00432B71" w:rsidP="005A3B4D">
            <w:pPr>
              <w:jc w:val="right"/>
              <w:rPr>
                <w:color w:val="000000"/>
                <w:sz w:val="20"/>
                <w:szCs w:val="20"/>
              </w:rPr>
            </w:pPr>
            <w:r>
              <w:rPr>
                <w:color w:val="000000"/>
                <w:sz w:val="20"/>
                <w:szCs w:val="20"/>
              </w:rPr>
              <w:t>0.064</w:t>
            </w:r>
          </w:p>
        </w:tc>
        <w:tc>
          <w:tcPr>
            <w:tcW w:w="768" w:type="dxa"/>
            <w:tcBorders>
              <w:top w:val="single" w:sz="12" w:space="0" w:color="auto"/>
              <w:left w:val="nil"/>
              <w:bottom w:val="nil"/>
              <w:right w:val="nil"/>
            </w:tcBorders>
            <w:shd w:val="clear" w:color="auto" w:fill="auto"/>
            <w:noWrap/>
            <w:vAlign w:val="bottom"/>
            <w:hideMark/>
          </w:tcPr>
          <w:p w14:paraId="2C44281D" w14:textId="77777777" w:rsidR="00432B71" w:rsidRDefault="00432B71" w:rsidP="005A3B4D">
            <w:pPr>
              <w:jc w:val="right"/>
              <w:rPr>
                <w:color w:val="000000"/>
                <w:sz w:val="20"/>
                <w:szCs w:val="20"/>
              </w:rPr>
            </w:pPr>
            <w:r>
              <w:rPr>
                <w:color w:val="000000"/>
                <w:sz w:val="20"/>
                <w:szCs w:val="20"/>
              </w:rPr>
              <w:t>0.120</w:t>
            </w:r>
          </w:p>
        </w:tc>
        <w:tc>
          <w:tcPr>
            <w:tcW w:w="768" w:type="dxa"/>
            <w:tcBorders>
              <w:top w:val="single" w:sz="12" w:space="0" w:color="auto"/>
              <w:left w:val="nil"/>
              <w:bottom w:val="nil"/>
              <w:right w:val="nil"/>
            </w:tcBorders>
            <w:shd w:val="clear" w:color="auto" w:fill="auto"/>
            <w:noWrap/>
            <w:vAlign w:val="bottom"/>
            <w:hideMark/>
          </w:tcPr>
          <w:p w14:paraId="4DC3A0D3" w14:textId="77777777" w:rsidR="00432B71" w:rsidRDefault="00432B71" w:rsidP="005A3B4D">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64FD92A5" w14:textId="77777777" w:rsidR="00432B71" w:rsidRDefault="00432B71" w:rsidP="005A3B4D">
            <w:pPr>
              <w:jc w:val="right"/>
              <w:rPr>
                <w:color w:val="000000"/>
                <w:sz w:val="20"/>
                <w:szCs w:val="20"/>
              </w:rPr>
            </w:pPr>
            <w:r>
              <w:rPr>
                <w:color w:val="000000"/>
                <w:sz w:val="20"/>
                <w:szCs w:val="20"/>
              </w:rPr>
              <w:t>-0.014</w:t>
            </w:r>
          </w:p>
        </w:tc>
        <w:tc>
          <w:tcPr>
            <w:tcW w:w="768" w:type="dxa"/>
            <w:tcBorders>
              <w:top w:val="single" w:sz="12" w:space="0" w:color="auto"/>
              <w:left w:val="nil"/>
              <w:bottom w:val="nil"/>
              <w:right w:val="nil"/>
            </w:tcBorders>
            <w:shd w:val="clear" w:color="auto" w:fill="auto"/>
            <w:noWrap/>
            <w:vAlign w:val="bottom"/>
            <w:hideMark/>
          </w:tcPr>
          <w:p w14:paraId="6EEFB588" w14:textId="77777777" w:rsidR="00432B71" w:rsidRDefault="00432B71" w:rsidP="005A3B4D">
            <w:pPr>
              <w:jc w:val="right"/>
              <w:rPr>
                <w:color w:val="000000"/>
                <w:sz w:val="20"/>
                <w:szCs w:val="20"/>
              </w:rPr>
            </w:pPr>
            <w:r>
              <w:rPr>
                <w:color w:val="000000"/>
                <w:sz w:val="20"/>
                <w:szCs w:val="20"/>
              </w:rPr>
              <w:t>0.949</w:t>
            </w:r>
          </w:p>
        </w:tc>
        <w:tc>
          <w:tcPr>
            <w:tcW w:w="768" w:type="dxa"/>
            <w:tcBorders>
              <w:top w:val="single" w:sz="12" w:space="0" w:color="auto"/>
              <w:left w:val="nil"/>
              <w:bottom w:val="nil"/>
              <w:right w:val="nil"/>
            </w:tcBorders>
            <w:shd w:val="clear" w:color="auto" w:fill="auto"/>
            <w:noWrap/>
            <w:vAlign w:val="bottom"/>
            <w:hideMark/>
          </w:tcPr>
          <w:p w14:paraId="7D140A54" w14:textId="77777777" w:rsidR="00432B71" w:rsidRDefault="00432B7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4DD3653" w14:textId="77777777" w:rsidR="00432B71" w:rsidRDefault="00432B71" w:rsidP="005A3B4D">
            <w:pPr>
              <w:jc w:val="right"/>
              <w:rPr>
                <w:color w:val="000000"/>
                <w:sz w:val="20"/>
                <w:szCs w:val="20"/>
              </w:rPr>
            </w:pPr>
            <w:r>
              <w:rPr>
                <w:color w:val="000000"/>
                <w:sz w:val="20"/>
                <w:szCs w:val="20"/>
              </w:rPr>
              <w:t>-0.034</w:t>
            </w:r>
          </w:p>
        </w:tc>
        <w:tc>
          <w:tcPr>
            <w:tcW w:w="768" w:type="dxa"/>
            <w:tcBorders>
              <w:top w:val="single" w:sz="12" w:space="0" w:color="auto"/>
              <w:left w:val="nil"/>
              <w:bottom w:val="nil"/>
              <w:right w:val="nil"/>
            </w:tcBorders>
            <w:shd w:val="clear" w:color="auto" w:fill="auto"/>
            <w:noWrap/>
            <w:vAlign w:val="bottom"/>
            <w:hideMark/>
          </w:tcPr>
          <w:p w14:paraId="3579C0BB" w14:textId="77777777" w:rsidR="00432B71" w:rsidRDefault="00432B71" w:rsidP="005A3B4D">
            <w:pPr>
              <w:jc w:val="right"/>
              <w:rPr>
                <w:color w:val="000000"/>
                <w:sz w:val="20"/>
                <w:szCs w:val="20"/>
              </w:rPr>
            </w:pPr>
            <w:r>
              <w:rPr>
                <w:color w:val="000000"/>
                <w:sz w:val="20"/>
                <w:szCs w:val="20"/>
              </w:rPr>
              <w:t>0.667</w:t>
            </w:r>
          </w:p>
        </w:tc>
        <w:tc>
          <w:tcPr>
            <w:tcW w:w="768" w:type="dxa"/>
            <w:tcBorders>
              <w:top w:val="single" w:sz="12" w:space="0" w:color="auto"/>
              <w:left w:val="nil"/>
              <w:bottom w:val="nil"/>
              <w:right w:val="nil"/>
            </w:tcBorders>
            <w:shd w:val="clear" w:color="auto" w:fill="auto"/>
            <w:noWrap/>
            <w:vAlign w:val="bottom"/>
            <w:hideMark/>
          </w:tcPr>
          <w:p w14:paraId="1AE390B7" w14:textId="77777777" w:rsidR="00432B71" w:rsidRDefault="00432B71"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27337A99" w14:textId="77777777" w:rsidR="00432B71" w:rsidRDefault="00432B71" w:rsidP="005A3B4D">
            <w:pPr>
              <w:jc w:val="right"/>
              <w:rPr>
                <w:color w:val="000000"/>
                <w:sz w:val="20"/>
                <w:szCs w:val="20"/>
              </w:rPr>
            </w:pPr>
            <w:r>
              <w:rPr>
                <w:color w:val="000000"/>
                <w:sz w:val="20"/>
                <w:szCs w:val="20"/>
              </w:rPr>
              <w:t>-0.012</w:t>
            </w:r>
          </w:p>
        </w:tc>
        <w:tc>
          <w:tcPr>
            <w:tcW w:w="768" w:type="dxa"/>
            <w:tcBorders>
              <w:top w:val="single" w:sz="12" w:space="0" w:color="auto"/>
              <w:left w:val="nil"/>
              <w:bottom w:val="nil"/>
              <w:right w:val="nil"/>
            </w:tcBorders>
            <w:shd w:val="clear" w:color="auto" w:fill="auto"/>
            <w:noWrap/>
            <w:vAlign w:val="bottom"/>
            <w:hideMark/>
          </w:tcPr>
          <w:p w14:paraId="7CF3094F" w14:textId="77777777" w:rsidR="00432B71" w:rsidRDefault="00432B71" w:rsidP="005A3B4D">
            <w:pPr>
              <w:jc w:val="right"/>
              <w:rPr>
                <w:color w:val="000000"/>
                <w:sz w:val="20"/>
                <w:szCs w:val="20"/>
              </w:rPr>
            </w:pPr>
            <w:r>
              <w:rPr>
                <w:color w:val="000000"/>
                <w:sz w:val="20"/>
                <w:szCs w:val="20"/>
              </w:rPr>
              <w:t>0.839</w:t>
            </w:r>
          </w:p>
        </w:tc>
        <w:tc>
          <w:tcPr>
            <w:tcW w:w="768" w:type="dxa"/>
            <w:tcBorders>
              <w:top w:val="single" w:sz="12" w:space="0" w:color="auto"/>
              <w:left w:val="nil"/>
              <w:bottom w:val="nil"/>
              <w:right w:val="nil"/>
            </w:tcBorders>
            <w:shd w:val="clear" w:color="auto" w:fill="auto"/>
            <w:noWrap/>
            <w:vAlign w:val="bottom"/>
            <w:hideMark/>
          </w:tcPr>
          <w:p w14:paraId="12B911B7" w14:textId="77777777" w:rsidR="00432B71" w:rsidRDefault="00432B7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0E95040" w14:textId="77777777" w:rsidR="00432B71" w:rsidRDefault="00432B71" w:rsidP="005A3B4D">
            <w:pPr>
              <w:jc w:val="right"/>
              <w:rPr>
                <w:color w:val="000000"/>
                <w:sz w:val="20"/>
                <w:szCs w:val="20"/>
              </w:rPr>
            </w:pPr>
            <w:r>
              <w:rPr>
                <w:color w:val="000000"/>
                <w:sz w:val="20"/>
                <w:szCs w:val="20"/>
              </w:rPr>
              <w:t>-0.013</w:t>
            </w:r>
          </w:p>
        </w:tc>
        <w:tc>
          <w:tcPr>
            <w:tcW w:w="768" w:type="dxa"/>
            <w:tcBorders>
              <w:top w:val="single" w:sz="12" w:space="0" w:color="auto"/>
              <w:left w:val="nil"/>
              <w:bottom w:val="nil"/>
              <w:right w:val="nil"/>
            </w:tcBorders>
            <w:shd w:val="clear" w:color="auto" w:fill="auto"/>
            <w:noWrap/>
            <w:vAlign w:val="bottom"/>
            <w:hideMark/>
          </w:tcPr>
          <w:p w14:paraId="71B89EFC" w14:textId="77777777" w:rsidR="00432B71" w:rsidRDefault="00432B71" w:rsidP="005A3B4D">
            <w:pPr>
              <w:jc w:val="right"/>
              <w:rPr>
                <w:color w:val="000000"/>
                <w:sz w:val="20"/>
                <w:szCs w:val="20"/>
              </w:rPr>
            </w:pPr>
            <w:r>
              <w:rPr>
                <w:color w:val="000000"/>
                <w:sz w:val="20"/>
                <w:szCs w:val="20"/>
              </w:rPr>
              <w:t>0.994</w:t>
            </w:r>
          </w:p>
        </w:tc>
        <w:tc>
          <w:tcPr>
            <w:tcW w:w="768" w:type="dxa"/>
            <w:tcBorders>
              <w:top w:val="single" w:sz="12" w:space="0" w:color="auto"/>
              <w:left w:val="nil"/>
              <w:bottom w:val="nil"/>
              <w:right w:val="nil"/>
            </w:tcBorders>
            <w:shd w:val="clear" w:color="auto" w:fill="auto"/>
            <w:noWrap/>
            <w:vAlign w:val="bottom"/>
            <w:hideMark/>
          </w:tcPr>
          <w:p w14:paraId="52B80D6D" w14:textId="77777777" w:rsidR="00432B71" w:rsidRDefault="00432B71" w:rsidP="005A3B4D">
            <w:pPr>
              <w:jc w:val="right"/>
              <w:rPr>
                <w:color w:val="000000"/>
                <w:sz w:val="20"/>
                <w:szCs w:val="20"/>
              </w:rPr>
            </w:pPr>
            <w:r>
              <w:rPr>
                <w:color w:val="000000"/>
                <w:sz w:val="20"/>
                <w:szCs w:val="20"/>
              </w:rPr>
              <w:t>0.000</w:t>
            </w:r>
          </w:p>
        </w:tc>
      </w:tr>
      <w:tr w:rsidR="00432B71" w14:paraId="702F584D" w14:textId="77777777" w:rsidTr="005A3B4D">
        <w:trPr>
          <w:trHeight w:val="340"/>
        </w:trPr>
        <w:tc>
          <w:tcPr>
            <w:tcW w:w="1176" w:type="dxa"/>
            <w:tcBorders>
              <w:top w:val="nil"/>
              <w:left w:val="nil"/>
              <w:bottom w:val="nil"/>
              <w:right w:val="nil"/>
            </w:tcBorders>
            <w:shd w:val="clear" w:color="auto" w:fill="auto"/>
            <w:noWrap/>
            <w:vAlign w:val="bottom"/>
            <w:hideMark/>
          </w:tcPr>
          <w:p w14:paraId="518A99D3"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D3C0998"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348F32C" w14:textId="77777777" w:rsidR="00432B71" w:rsidRDefault="00432B7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70A5A87D" w14:textId="77777777" w:rsidR="00432B71" w:rsidRDefault="00432B71" w:rsidP="005A3B4D">
            <w:pPr>
              <w:jc w:val="right"/>
              <w:rPr>
                <w:color w:val="000000"/>
                <w:sz w:val="20"/>
                <w:szCs w:val="20"/>
              </w:rPr>
            </w:pPr>
            <w:r>
              <w:rPr>
                <w:color w:val="000000"/>
                <w:sz w:val="20"/>
                <w:szCs w:val="20"/>
              </w:rPr>
              <w:t>0.714</w:t>
            </w:r>
          </w:p>
        </w:tc>
        <w:tc>
          <w:tcPr>
            <w:tcW w:w="768" w:type="dxa"/>
            <w:tcBorders>
              <w:top w:val="nil"/>
              <w:left w:val="nil"/>
              <w:bottom w:val="nil"/>
              <w:right w:val="nil"/>
            </w:tcBorders>
            <w:shd w:val="clear" w:color="auto" w:fill="auto"/>
            <w:noWrap/>
            <w:vAlign w:val="bottom"/>
            <w:hideMark/>
          </w:tcPr>
          <w:p w14:paraId="1E3DA485"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DDD4561"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CBB6384" w14:textId="77777777" w:rsidR="00432B71" w:rsidRDefault="00432B71" w:rsidP="005A3B4D">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6BE5B184"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5D80AD0"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C23C320" w14:textId="77777777" w:rsidR="00432B71" w:rsidRDefault="00432B71" w:rsidP="005A3B4D">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73017C3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08134B"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FD8E3B6" w14:textId="77777777" w:rsidR="00432B71" w:rsidRDefault="00432B71" w:rsidP="005A3B4D">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5EA4912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62B0A2"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71F1AA7" w14:textId="77777777" w:rsidR="00432B71" w:rsidRDefault="00432B71" w:rsidP="005A3B4D">
            <w:pPr>
              <w:jc w:val="right"/>
              <w:rPr>
                <w:color w:val="000000"/>
                <w:sz w:val="20"/>
                <w:szCs w:val="20"/>
              </w:rPr>
            </w:pPr>
            <w:r>
              <w:rPr>
                <w:color w:val="000000"/>
                <w:sz w:val="20"/>
                <w:szCs w:val="20"/>
              </w:rPr>
              <w:t>0.994</w:t>
            </w:r>
          </w:p>
        </w:tc>
        <w:tc>
          <w:tcPr>
            <w:tcW w:w="768" w:type="dxa"/>
            <w:tcBorders>
              <w:top w:val="nil"/>
              <w:left w:val="nil"/>
              <w:bottom w:val="nil"/>
              <w:right w:val="nil"/>
            </w:tcBorders>
            <w:shd w:val="clear" w:color="auto" w:fill="auto"/>
            <w:noWrap/>
            <w:vAlign w:val="bottom"/>
            <w:hideMark/>
          </w:tcPr>
          <w:p w14:paraId="2F4E76C6" w14:textId="77777777" w:rsidR="00432B71" w:rsidRDefault="00432B71" w:rsidP="005A3B4D">
            <w:pPr>
              <w:jc w:val="right"/>
              <w:rPr>
                <w:color w:val="000000"/>
                <w:sz w:val="20"/>
                <w:szCs w:val="20"/>
              </w:rPr>
            </w:pPr>
            <w:r>
              <w:rPr>
                <w:color w:val="000000"/>
                <w:sz w:val="20"/>
                <w:szCs w:val="20"/>
              </w:rPr>
              <w:t>0.000</w:t>
            </w:r>
          </w:p>
        </w:tc>
      </w:tr>
      <w:tr w:rsidR="00432B71" w14:paraId="3E73CDD1" w14:textId="77777777" w:rsidTr="005A3B4D">
        <w:trPr>
          <w:trHeight w:val="320"/>
        </w:trPr>
        <w:tc>
          <w:tcPr>
            <w:tcW w:w="1176" w:type="dxa"/>
            <w:tcBorders>
              <w:top w:val="nil"/>
              <w:left w:val="nil"/>
              <w:bottom w:val="nil"/>
              <w:right w:val="nil"/>
            </w:tcBorders>
            <w:shd w:val="clear" w:color="auto" w:fill="auto"/>
            <w:noWrap/>
            <w:vAlign w:val="bottom"/>
            <w:hideMark/>
          </w:tcPr>
          <w:p w14:paraId="635B8206"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8980A5A"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BD2074C"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36EB7F8" w14:textId="77777777" w:rsidR="00432B71" w:rsidRDefault="00432B71" w:rsidP="005A3B4D">
            <w:pPr>
              <w:jc w:val="right"/>
              <w:rPr>
                <w:color w:val="000000"/>
                <w:sz w:val="20"/>
                <w:szCs w:val="20"/>
              </w:rPr>
            </w:pPr>
            <w:r>
              <w:rPr>
                <w:color w:val="000000"/>
                <w:sz w:val="20"/>
                <w:szCs w:val="20"/>
              </w:rPr>
              <w:t>0.953</w:t>
            </w:r>
          </w:p>
        </w:tc>
        <w:tc>
          <w:tcPr>
            <w:tcW w:w="768" w:type="dxa"/>
            <w:tcBorders>
              <w:top w:val="nil"/>
              <w:left w:val="nil"/>
              <w:bottom w:val="nil"/>
              <w:right w:val="nil"/>
            </w:tcBorders>
            <w:shd w:val="clear" w:color="auto" w:fill="auto"/>
            <w:noWrap/>
            <w:vAlign w:val="bottom"/>
            <w:hideMark/>
          </w:tcPr>
          <w:p w14:paraId="199451E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16D638" w14:textId="77777777" w:rsidR="00432B71" w:rsidRDefault="00432B71"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0925113E" w14:textId="77777777" w:rsidR="00432B71" w:rsidRDefault="00432B71" w:rsidP="005A3B4D">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6E132467"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F687C0D"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66BE9A6" w14:textId="77777777" w:rsidR="00432B71" w:rsidRDefault="00432B71" w:rsidP="005A3B4D">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44EF409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8D14E1" w14:textId="77777777" w:rsidR="00432B71" w:rsidRDefault="00432B7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2466CE89" w14:textId="77777777" w:rsidR="00432B71" w:rsidRDefault="00432B71" w:rsidP="005A3B4D">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170E2C99"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5D1A05C" w14:textId="77777777" w:rsidR="00432B71" w:rsidRDefault="00432B71"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2601946F" w14:textId="77777777" w:rsidR="00432B71" w:rsidRDefault="00432B71"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25A823D8" w14:textId="77777777" w:rsidR="00432B71" w:rsidRDefault="00432B71" w:rsidP="005A3B4D">
            <w:pPr>
              <w:jc w:val="right"/>
              <w:rPr>
                <w:color w:val="000000"/>
                <w:sz w:val="20"/>
                <w:szCs w:val="20"/>
              </w:rPr>
            </w:pPr>
            <w:r>
              <w:rPr>
                <w:color w:val="000000"/>
                <w:sz w:val="20"/>
                <w:szCs w:val="20"/>
              </w:rPr>
              <w:t>0.004</w:t>
            </w:r>
          </w:p>
        </w:tc>
      </w:tr>
      <w:tr w:rsidR="00432B71" w14:paraId="2EAB000D" w14:textId="77777777" w:rsidTr="005A3B4D">
        <w:trPr>
          <w:trHeight w:val="320"/>
        </w:trPr>
        <w:tc>
          <w:tcPr>
            <w:tcW w:w="1176" w:type="dxa"/>
            <w:tcBorders>
              <w:top w:val="nil"/>
              <w:left w:val="nil"/>
              <w:bottom w:val="nil"/>
              <w:right w:val="nil"/>
            </w:tcBorders>
            <w:shd w:val="clear" w:color="auto" w:fill="auto"/>
            <w:noWrap/>
            <w:vAlign w:val="bottom"/>
            <w:hideMark/>
          </w:tcPr>
          <w:p w14:paraId="7BAB952D"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086DFC7"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14395A8" w14:textId="77777777" w:rsidR="00432B71" w:rsidRDefault="00432B71" w:rsidP="005A3B4D">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28D128FF" w14:textId="77777777" w:rsidR="00432B71" w:rsidRDefault="00432B71" w:rsidP="005A3B4D">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7B1E9134"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EB57E89"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3C43757" w14:textId="77777777" w:rsidR="00432B71" w:rsidRDefault="00432B71" w:rsidP="005A3B4D">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498C022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3CAF66" w14:textId="77777777" w:rsidR="00432B71" w:rsidRDefault="00432B7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221AC3B" w14:textId="77777777" w:rsidR="00432B71" w:rsidRDefault="00432B71" w:rsidP="005A3B4D">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60D9148B"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F612C9"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53B5DEB" w14:textId="77777777" w:rsidR="00432B71" w:rsidRDefault="00432B71" w:rsidP="005A3B4D">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418EE35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B4E284"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362AE3B" w14:textId="77777777" w:rsidR="00432B71" w:rsidRDefault="00432B71" w:rsidP="005A3B4D">
            <w:pPr>
              <w:jc w:val="right"/>
              <w:rPr>
                <w:color w:val="000000"/>
                <w:sz w:val="20"/>
                <w:szCs w:val="20"/>
              </w:rPr>
            </w:pPr>
            <w:r>
              <w:rPr>
                <w:color w:val="000000"/>
                <w:sz w:val="20"/>
                <w:szCs w:val="20"/>
              </w:rPr>
              <w:t>0.994</w:t>
            </w:r>
          </w:p>
        </w:tc>
        <w:tc>
          <w:tcPr>
            <w:tcW w:w="768" w:type="dxa"/>
            <w:tcBorders>
              <w:top w:val="nil"/>
              <w:left w:val="nil"/>
              <w:bottom w:val="nil"/>
              <w:right w:val="nil"/>
            </w:tcBorders>
            <w:shd w:val="clear" w:color="auto" w:fill="auto"/>
            <w:noWrap/>
            <w:vAlign w:val="bottom"/>
            <w:hideMark/>
          </w:tcPr>
          <w:p w14:paraId="6BC2E3D3" w14:textId="77777777" w:rsidR="00432B71" w:rsidRDefault="00432B71" w:rsidP="005A3B4D">
            <w:pPr>
              <w:jc w:val="right"/>
              <w:rPr>
                <w:color w:val="000000"/>
                <w:sz w:val="20"/>
                <w:szCs w:val="20"/>
              </w:rPr>
            </w:pPr>
            <w:r>
              <w:rPr>
                <w:color w:val="000000"/>
                <w:sz w:val="20"/>
                <w:szCs w:val="20"/>
              </w:rPr>
              <w:t>0.000</w:t>
            </w:r>
          </w:p>
        </w:tc>
      </w:tr>
      <w:tr w:rsidR="00432B71" w14:paraId="47324C4B" w14:textId="77777777" w:rsidTr="005A3B4D">
        <w:trPr>
          <w:trHeight w:val="320"/>
        </w:trPr>
        <w:tc>
          <w:tcPr>
            <w:tcW w:w="1176" w:type="dxa"/>
            <w:tcBorders>
              <w:top w:val="nil"/>
              <w:left w:val="nil"/>
              <w:bottom w:val="nil"/>
              <w:right w:val="nil"/>
            </w:tcBorders>
            <w:shd w:val="clear" w:color="auto" w:fill="auto"/>
            <w:noWrap/>
            <w:vAlign w:val="bottom"/>
            <w:hideMark/>
          </w:tcPr>
          <w:p w14:paraId="712DC9DD"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4A606A5"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0599605"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7DD32DB" w14:textId="77777777" w:rsidR="00432B71" w:rsidRDefault="00432B71" w:rsidP="005A3B4D">
            <w:pPr>
              <w:jc w:val="right"/>
              <w:rPr>
                <w:color w:val="000000"/>
                <w:sz w:val="20"/>
                <w:szCs w:val="20"/>
              </w:rPr>
            </w:pPr>
            <w:r>
              <w:rPr>
                <w:color w:val="000000"/>
                <w:sz w:val="20"/>
                <w:szCs w:val="20"/>
              </w:rPr>
              <w:t>0.714</w:t>
            </w:r>
          </w:p>
        </w:tc>
        <w:tc>
          <w:tcPr>
            <w:tcW w:w="768" w:type="dxa"/>
            <w:tcBorders>
              <w:top w:val="nil"/>
              <w:left w:val="nil"/>
              <w:bottom w:val="nil"/>
              <w:right w:val="nil"/>
            </w:tcBorders>
            <w:shd w:val="clear" w:color="auto" w:fill="auto"/>
            <w:noWrap/>
            <w:vAlign w:val="bottom"/>
            <w:hideMark/>
          </w:tcPr>
          <w:p w14:paraId="3BF4CAE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190DD5" w14:textId="77777777" w:rsidR="00432B71" w:rsidRDefault="00432B7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11347F45" w14:textId="77777777" w:rsidR="00432B71" w:rsidRDefault="00432B71" w:rsidP="005A3B4D">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26033A35"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4DCC94F"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523D589" w14:textId="77777777" w:rsidR="00432B71" w:rsidRDefault="00432B71" w:rsidP="005A3B4D">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4AC3A99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4D978A"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EBB5DE0" w14:textId="77777777" w:rsidR="00432B71" w:rsidRDefault="00432B71" w:rsidP="005A3B4D">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250D44E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19F6F7" w14:textId="77777777" w:rsidR="00432B71" w:rsidRDefault="00432B71"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4424246B" w14:textId="77777777" w:rsidR="00432B71" w:rsidRDefault="00432B71"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3995E9AC" w14:textId="77777777" w:rsidR="00432B71" w:rsidRDefault="00432B71" w:rsidP="005A3B4D">
            <w:pPr>
              <w:jc w:val="right"/>
              <w:rPr>
                <w:color w:val="000000"/>
                <w:sz w:val="20"/>
                <w:szCs w:val="20"/>
              </w:rPr>
            </w:pPr>
            <w:r>
              <w:rPr>
                <w:color w:val="000000"/>
                <w:sz w:val="20"/>
                <w:szCs w:val="20"/>
              </w:rPr>
              <w:t>0.003</w:t>
            </w:r>
          </w:p>
        </w:tc>
      </w:tr>
      <w:tr w:rsidR="00432B71" w14:paraId="2DC3361A" w14:textId="77777777" w:rsidTr="005A3B4D">
        <w:trPr>
          <w:trHeight w:val="320"/>
        </w:trPr>
        <w:tc>
          <w:tcPr>
            <w:tcW w:w="1176" w:type="dxa"/>
            <w:tcBorders>
              <w:top w:val="nil"/>
              <w:left w:val="nil"/>
              <w:bottom w:val="nil"/>
              <w:right w:val="nil"/>
            </w:tcBorders>
            <w:shd w:val="clear" w:color="auto" w:fill="auto"/>
            <w:noWrap/>
            <w:vAlign w:val="bottom"/>
            <w:hideMark/>
          </w:tcPr>
          <w:p w14:paraId="6FA5A6CB"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0FCB9E0"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A73913B" w14:textId="77777777" w:rsidR="00432B71" w:rsidRDefault="00432B71"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7E974984" w14:textId="77777777" w:rsidR="00432B71" w:rsidRDefault="00432B71" w:rsidP="005A3B4D">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0CEC38EE"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D50AC32"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AEADAAB" w14:textId="77777777" w:rsidR="00432B71" w:rsidRDefault="00432B71" w:rsidP="005A3B4D">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1ED3D08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F38F01"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0C1E98A" w14:textId="77777777" w:rsidR="00432B71" w:rsidRDefault="00432B71" w:rsidP="005A3B4D">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4A29143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FA88CF"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A5F3176" w14:textId="77777777" w:rsidR="00432B71" w:rsidRDefault="00432B71" w:rsidP="005A3B4D">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70F9418C"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54953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ED3479" w14:textId="77777777" w:rsidR="00432B71" w:rsidRDefault="00432B71" w:rsidP="005A3B4D">
            <w:pPr>
              <w:jc w:val="right"/>
              <w:rPr>
                <w:color w:val="000000"/>
                <w:sz w:val="20"/>
                <w:szCs w:val="20"/>
              </w:rPr>
            </w:pPr>
            <w:r>
              <w:rPr>
                <w:color w:val="000000"/>
                <w:sz w:val="20"/>
                <w:szCs w:val="20"/>
              </w:rPr>
              <w:t>0.994</w:t>
            </w:r>
          </w:p>
        </w:tc>
        <w:tc>
          <w:tcPr>
            <w:tcW w:w="768" w:type="dxa"/>
            <w:tcBorders>
              <w:top w:val="nil"/>
              <w:left w:val="nil"/>
              <w:bottom w:val="nil"/>
              <w:right w:val="nil"/>
            </w:tcBorders>
            <w:shd w:val="clear" w:color="auto" w:fill="auto"/>
            <w:noWrap/>
            <w:vAlign w:val="bottom"/>
            <w:hideMark/>
          </w:tcPr>
          <w:p w14:paraId="7F02E975" w14:textId="77777777" w:rsidR="00432B71" w:rsidRDefault="00432B71" w:rsidP="005A3B4D">
            <w:pPr>
              <w:jc w:val="right"/>
              <w:rPr>
                <w:color w:val="000000"/>
                <w:sz w:val="20"/>
                <w:szCs w:val="20"/>
              </w:rPr>
            </w:pPr>
            <w:r>
              <w:rPr>
                <w:color w:val="000000"/>
                <w:sz w:val="20"/>
                <w:szCs w:val="20"/>
              </w:rPr>
              <w:t>0.000</w:t>
            </w:r>
          </w:p>
        </w:tc>
      </w:tr>
      <w:tr w:rsidR="00432B71" w14:paraId="77062E96" w14:textId="77777777" w:rsidTr="005A3B4D">
        <w:trPr>
          <w:trHeight w:val="320"/>
        </w:trPr>
        <w:tc>
          <w:tcPr>
            <w:tcW w:w="1176" w:type="dxa"/>
            <w:tcBorders>
              <w:top w:val="nil"/>
              <w:left w:val="nil"/>
              <w:bottom w:val="nil"/>
              <w:right w:val="nil"/>
            </w:tcBorders>
            <w:shd w:val="clear" w:color="auto" w:fill="auto"/>
            <w:noWrap/>
            <w:vAlign w:val="bottom"/>
            <w:hideMark/>
          </w:tcPr>
          <w:p w14:paraId="34FF3C04"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AE449D"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E8B08BC"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6DAFBFF" w14:textId="77777777" w:rsidR="00432B71" w:rsidRDefault="00432B71" w:rsidP="005A3B4D">
            <w:pPr>
              <w:jc w:val="right"/>
              <w:rPr>
                <w:color w:val="000000"/>
                <w:sz w:val="20"/>
                <w:szCs w:val="20"/>
              </w:rPr>
            </w:pPr>
            <w:r>
              <w:rPr>
                <w:color w:val="000000"/>
                <w:sz w:val="20"/>
                <w:szCs w:val="20"/>
              </w:rPr>
              <w:t>0.869</w:t>
            </w:r>
          </w:p>
        </w:tc>
        <w:tc>
          <w:tcPr>
            <w:tcW w:w="768" w:type="dxa"/>
            <w:tcBorders>
              <w:top w:val="nil"/>
              <w:left w:val="nil"/>
              <w:bottom w:val="nil"/>
              <w:right w:val="nil"/>
            </w:tcBorders>
            <w:shd w:val="clear" w:color="auto" w:fill="auto"/>
            <w:noWrap/>
            <w:vAlign w:val="bottom"/>
            <w:hideMark/>
          </w:tcPr>
          <w:p w14:paraId="4A024E7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88E333"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F810FAA" w14:textId="77777777" w:rsidR="00432B71" w:rsidRDefault="00432B71" w:rsidP="005A3B4D">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1542DB6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E8C960" w14:textId="77777777" w:rsidR="00432B71" w:rsidRDefault="00432B7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D824D7A" w14:textId="77777777" w:rsidR="00432B71" w:rsidRDefault="00432B71" w:rsidP="005A3B4D">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4AE326D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563165"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0B1AC03" w14:textId="77777777" w:rsidR="00432B71" w:rsidRDefault="00432B71" w:rsidP="005A3B4D">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0B20AB0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4E37BB"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BCFB5D" w14:textId="77777777" w:rsidR="00432B71" w:rsidRDefault="00432B71" w:rsidP="005A3B4D">
            <w:pPr>
              <w:jc w:val="right"/>
              <w:rPr>
                <w:color w:val="000000"/>
                <w:sz w:val="20"/>
                <w:szCs w:val="20"/>
              </w:rPr>
            </w:pPr>
            <w:r>
              <w:rPr>
                <w:color w:val="000000"/>
                <w:sz w:val="20"/>
                <w:szCs w:val="20"/>
              </w:rPr>
              <w:t>0.994</w:t>
            </w:r>
          </w:p>
        </w:tc>
        <w:tc>
          <w:tcPr>
            <w:tcW w:w="768" w:type="dxa"/>
            <w:tcBorders>
              <w:top w:val="nil"/>
              <w:left w:val="nil"/>
              <w:bottom w:val="nil"/>
              <w:right w:val="nil"/>
            </w:tcBorders>
            <w:shd w:val="clear" w:color="auto" w:fill="auto"/>
            <w:noWrap/>
            <w:vAlign w:val="bottom"/>
            <w:hideMark/>
          </w:tcPr>
          <w:p w14:paraId="4B04177F" w14:textId="77777777" w:rsidR="00432B71" w:rsidRDefault="00432B71" w:rsidP="005A3B4D">
            <w:pPr>
              <w:jc w:val="right"/>
              <w:rPr>
                <w:color w:val="000000"/>
                <w:sz w:val="20"/>
                <w:szCs w:val="20"/>
              </w:rPr>
            </w:pPr>
            <w:r>
              <w:rPr>
                <w:color w:val="000000"/>
                <w:sz w:val="20"/>
                <w:szCs w:val="20"/>
              </w:rPr>
              <w:t>0.000</w:t>
            </w:r>
          </w:p>
        </w:tc>
      </w:tr>
      <w:tr w:rsidR="00432B71" w14:paraId="0F846AC2"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43362D53"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075944F"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9C7554C"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3F1FF9BC" w14:textId="77777777" w:rsidR="00432B71" w:rsidRDefault="00432B71" w:rsidP="005A3B4D">
            <w:pPr>
              <w:jc w:val="right"/>
              <w:rPr>
                <w:color w:val="000000"/>
                <w:sz w:val="20"/>
                <w:szCs w:val="20"/>
              </w:rPr>
            </w:pPr>
            <w:r>
              <w:rPr>
                <w:color w:val="000000"/>
                <w:sz w:val="20"/>
                <w:szCs w:val="20"/>
              </w:rPr>
              <w:t>0.777</w:t>
            </w:r>
          </w:p>
        </w:tc>
        <w:tc>
          <w:tcPr>
            <w:tcW w:w="768" w:type="dxa"/>
            <w:tcBorders>
              <w:top w:val="nil"/>
              <w:left w:val="nil"/>
              <w:bottom w:val="single" w:sz="4" w:space="0" w:color="auto"/>
              <w:right w:val="nil"/>
            </w:tcBorders>
            <w:shd w:val="clear" w:color="auto" w:fill="auto"/>
            <w:noWrap/>
            <w:vAlign w:val="bottom"/>
            <w:hideMark/>
          </w:tcPr>
          <w:p w14:paraId="48BC72D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08DADBF" w14:textId="77777777" w:rsidR="00432B71" w:rsidRDefault="00432B71" w:rsidP="005A3B4D">
            <w:pPr>
              <w:jc w:val="right"/>
              <w:rPr>
                <w:color w:val="000000"/>
                <w:sz w:val="20"/>
                <w:szCs w:val="20"/>
              </w:rPr>
            </w:pPr>
            <w:r>
              <w:rPr>
                <w:color w:val="000000"/>
                <w:sz w:val="20"/>
                <w:szCs w:val="20"/>
              </w:rPr>
              <w:t>-0.058</w:t>
            </w:r>
          </w:p>
        </w:tc>
        <w:tc>
          <w:tcPr>
            <w:tcW w:w="768" w:type="dxa"/>
            <w:tcBorders>
              <w:top w:val="nil"/>
              <w:left w:val="nil"/>
              <w:bottom w:val="single" w:sz="4" w:space="0" w:color="auto"/>
              <w:right w:val="nil"/>
            </w:tcBorders>
            <w:shd w:val="clear" w:color="auto" w:fill="auto"/>
            <w:noWrap/>
            <w:vAlign w:val="bottom"/>
            <w:hideMark/>
          </w:tcPr>
          <w:p w14:paraId="564F287D" w14:textId="77777777" w:rsidR="00432B71" w:rsidRDefault="00432B71" w:rsidP="005A3B4D">
            <w:pPr>
              <w:jc w:val="right"/>
              <w:rPr>
                <w:color w:val="000000"/>
                <w:sz w:val="20"/>
                <w:szCs w:val="20"/>
              </w:rPr>
            </w:pPr>
            <w:r>
              <w:rPr>
                <w:color w:val="000000"/>
                <w:sz w:val="20"/>
                <w:szCs w:val="20"/>
              </w:rPr>
              <w:t>0.746</w:t>
            </w:r>
          </w:p>
        </w:tc>
        <w:tc>
          <w:tcPr>
            <w:tcW w:w="768" w:type="dxa"/>
            <w:tcBorders>
              <w:top w:val="nil"/>
              <w:left w:val="nil"/>
              <w:bottom w:val="single" w:sz="4" w:space="0" w:color="auto"/>
              <w:right w:val="nil"/>
            </w:tcBorders>
            <w:shd w:val="clear" w:color="auto" w:fill="auto"/>
            <w:noWrap/>
            <w:vAlign w:val="bottom"/>
            <w:hideMark/>
          </w:tcPr>
          <w:p w14:paraId="35D134C7"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35E294C7" w14:textId="77777777" w:rsidR="00432B71" w:rsidRDefault="00432B71" w:rsidP="005A3B4D">
            <w:pPr>
              <w:jc w:val="right"/>
              <w:rPr>
                <w:color w:val="000000"/>
                <w:sz w:val="20"/>
                <w:szCs w:val="20"/>
              </w:rPr>
            </w:pPr>
            <w:r>
              <w:rPr>
                <w:color w:val="000000"/>
                <w:sz w:val="20"/>
                <w:szCs w:val="20"/>
              </w:rPr>
              <w:t>0.043</w:t>
            </w:r>
          </w:p>
        </w:tc>
        <w:tc>
          <w:tcPr>
            <w:tcW w:w="768" w:type="dxa"/>
            <w:tcBorders>
              <w:top w:val="nil"/>
              <w:left w:val="nil"/>
              <w:bottom w:val="single" w:sz="4" w:space="0" w:color="auto"/>
              <w:right w:val="nil"/>
            </w:tcBorders>
            <w:shd w:val="clear" w:color="auto" w:fill="auto"/>
            <w:noWrap/>
            <w:vAlign w:val="bottom"/>
            <w:hideMark/>
          </w:tcPr>
          <w:p w14:paraId="50727201" w14:textId="77777777" w:rsidR="00432B71" w:rsidRDefault="00432B71" w:rsidP="005A3B4D">
            <w:pPr>
              <w:jc w:val="right"/>
              <w:rPr>
                <w:color w:val="000000"/>
                <w:sz w:val="20"/>
                <w:szCs w:val="20"/>
              </w:rPr>
            </w:pPr>
            <w:r>
              <w:rPr>
                <w:color w:val="000000"/>
                <w:sz w:val="20"/>
                <w:szCs w:val="20"/>
              </w:rPr>
              <w:t>0.667</w:t>
            </w:r>
          </w:p>
        </w:tc>
        <w:tc>
          <w:tcPr>
            <w:tcW w:w="768" w:type="dxa"/>
            <w:tcBorders>
              <w:top w:val="nil"/>
              <w:left w:val="nil"/>
              <w:bottom w:val="single" w:sz="4" w:space="0" w:color="auto"/>
              <w:right w:val="nil"/>
            </w:tcBorders>
            <w:shd w:val="clear" w:color="auto" w:fill="auto"/>
            <w:noWrap/>
            <w:vAlign w:val="bottom"/>
            <w:hideMark/>
          </w:tcPr>
          <w:p w14:paraId="518C76C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4B608D7" w14:textId="77777777" w:rsidR="00432B71" w:rsidRDefault="00432B71" w:rsidP="005A3B4D">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267DD156" w14:textId="77777777" w:rsidR="00432B71" w:rsidRDefault="00432B71" w:rsidP="005A3B4D">
            <w:pPr>
              <w:jc w:val="right"/>
              <w:rPr>
                <w:color w:val="000000"/>
                <w:sz w:val="20"/>
                <w:szCs w:val="20"/>
              </w:rPr>
            </w:pPr>
            <w:r>
              <w:rPr>
                <w:color w:val="000000"/>
                <w:sz w:val="20"/>
                <w:szCs w:val="20"/>
              </w:rPr>
              <w:t>0.839</w:t>
            </w:r>
          </w:p>
        </w:tc>
        <w:tc>
          <w:tcPr>
            <w:tcW w:w="768" w:type="dxa"/>
            <w:tcBorders>
              <w:top w:val="nil"/>
              <w:left w:val="nil"/>
              <w:bottom w:val="single" w:sz="4" w:space="0" w:color="auto"/>
              <w:right w:val="nil"/>
            </w:tcBorders>
            <w:shd w:val="clear" w:color="auto" w:fill="auto"/>
            <w:noWrap/>
            <w:vAlign w:val="bottom"/>
            <w:hideMark/>
          </w:tcPr>
          <w:p w14:paraId="43D490A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CBF4524"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single" w:sz="4" w:space="0" w:color="auto"/>
              <w:right w:val="nil"/>
            </w:tcBorders>
            <w:shd w:val="clear" w:color="auto" w:fill="auto"/>
            <w:noWrap/>
            <w:vAlign w:val="bottom"/>
            <w:hideMark/>
          </w:tcPr>
          <w:p w14:paraId="60CC5F6D" w14:textId="77777777" w:rsidR="00432B71" w:rsidRDefault="00432B71" w:rsidP="005A3B4D">
            <w:pPr>
              <w:jc w:val="right"/>
              <w:rPr>
                <w:color w:val="000000"/>
                <w:sz w:val="20"/>
                <w:szCs w:val="20"/>
              </w:rPr>
            </w:pPr>
            <w:r>
              <w:rPr>
                <w:color w:val="000000"/>
                <w:sz w:val="20"/>
                <w:szCs w:val="20"/>
              </w:rPr>
              <w:t>0.994</w:t>
            </w:r>
          </w:p>
        </w:tc>
        <w:tc>
          <w:tcPr>
            <w:tcW w:w="768" w:type="dxa"/>
            <w:tcBorders>
              <w:top w:val="nil"/>
              <w:left w:val="nil"/>
              <w:bottom w:val="single" w:sz="4" w:space="0" w:color="auto"/>
              <w:right w:val="nil"/>
            </w:tcBorders>
            <w:shd w:val="clear" w:color="auto" w:fill="auto"/>
            <w:noWrap/>
            <w:vAlign w:val="bottom"/>
            <w:hideMark/>
          </w:tcPr>
          <w:p w14:paraId="1B75C146" w14:textId="77777777" w:rsidR="00432B71" w:rsidRDefault="00432B71" w:rsidP="005A3B4D">
            <w:pPr>
              <w:jc w:val="right"/>
              <w:rPr>
                <w:color w:val="000000"/>
                <w:sz w:val="20"/>
                <w:szCs w:val="20"/>
              </w:rPr>
            </w:pPr>
            <w:r>
              <w:rPr>
                <w:color w:val="000000"/>
                <w:sz w:val="20"/>
                <w:szCs w:val="20"/>
              </w:rPr>
              <w:t>0.000</w:t>
            </w:r>
          </w:p>
        </w:tc>
      </w:tr>
      <w:tr w:rsidR="00432B71" w14:paraId="127B1509" w14:textId="77777777" w:rsidTr="005A3B4D">
        <w:trPr>
          <w:trHeight w:val="320"/>
        </w:trPr>
        <w:tc>
          <w:tcPr>
            <w:tcW w:w="1176" w:type="dxa"/>
            <w:tcBorders>
              <w:top w:val="nil"/>
              <w:left w:val="nil"/>
              <w:bottom w:val="nil"/>
              <w:right w:val="nil"/>
            </w:tcBorders>
            <w:shd w:val="clear" w:color="auto" w:fill="auto"/>
            <w:noWrap/>
            <w:vAlign w:val="bottom"/>
            <w:hideMark/>
          </w:tcPr>
          <w:p w14:paraId="66003D29" w14:textId="77777777" w:rsidR="00432B71" w:rsidRDefault="00432B71"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32373FF0"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C9C9F33" w14:textId="77777777" w:rsidR="00432B71" w:rsidRDefault="00432B71" w:rsidP="005A3B4D">
            <w:pPr>
              <w:jc w:val="right"/>
              <w:rPr>
                <w:b/>
                <w:bCs/>
                <w:color w:val="000000"/>
                <w:sz w:val="20"/>
                <w:szCs w:val="20"/>
              </w:rPr>
            </w:pPr>
            <w:r>
              <w:rPr>
                <w:b/>
                <w:bCs/>
                <w:color w:val="000000"/>
                <w:sz w:val="20"/>
                <w:szCs w:val="20"/>
              </w:rPr>
              <w:t>0.084</w:t>
            </w:r>
          </w:p>
        </w:tc>
        <w:tc>
          <w:tcPr>
            <w:tcW w:w="768" w:type="dxa"/>
            <w:tcBorders>
              <w:top w:val="nil"/>
              <w:left w:val="nil"/>
              <w:bottom w:val="nil"/>
              <w:right w:val="nil"/>
            </w:tcBorders>
            <w:shd w:val="clear" w:color="auto" w:fill="auto"/>
            <w:noWrap/>
            <w:vAlign w:val="bottom"/>
            <w:hideMark/>
          </w:tcPr>
          <w:p w14:paraId="6F94262A" w14:textId="77777777" w:rsidR="00432B71" w:rsidRDefault="00432B7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218913C5" w14:textId="77777777" w:rsidR="00432B71" w:rsidRDefault="00432B71" w:rsidP="005A3B4D">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22C81F72" w14:textId="77777777" w:rsidR="00432B71" w:rsidRDefault="00432B71"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726B18B3" w14:textId="77777777" w:rsidR="00432B71" w:rsidRDefault="00432B71" w:rsidP="005A3B4D">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119F8563"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FCCF245"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4770998" w14:textId="77777777" w:rsidR="00432B71" w:rsidRDefault="00432B71" w:rsidP="005A3B4D">
            <w:pPr>
              <w:jc w:val="right"/>
              <w:rPr>
                <w:color w:val="000000"/>
                <w:sz w:val="20"/>
                <w:szCs w:val="20"/>
              </w:rPr>
            </w:pPr>
            <w:r>
              <w:rPr>
                <w:color w:val="000000"/>
                <w:sz w:val="20"/>
                <w:szCs w:val="20"/>
              </w:rPr>
              <w:t>0.429</w:t>
            </w:r>
          </w:p>
        </w:tc>
        <w:tc>
          <w:tcPr>
            <w:tcW w:w="768" w:type="dxa"/>
            <w:tcBorders>
              <w:top w:val="nil"/>
              <w:left w:val="nil"/>
              <w:bottom w:val="nil"/>
              <w:right w:val="nil"/>
            </w:tcBorders>
            <w:shd w:val="clear" w:color="auto" w:fill="auto"/>
            <w:noWrap/>
            <w:vAlign w:val="bottom"/>
            <w:hideMark/>
          </w:tcPr>
          <w:p w14:paraId="45B805D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FC4684A" w14:textId="77777777" w:rsidR="00432B71" w:rsidRDefault="00432B7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CE1A34A" w14:textId="77777777" w:rsidR="00432B71" w:rsidRDefault="00432B71" w:rsidP="005A3B4D">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274247D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CBDE6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1FC53A" w14:textId="77777777" w:rsidR="00432B71" w:rsidRDefault="00432B71"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39DDF133" w14:textId="77777777" w:rsidR="00432B71" w:rsidRDefault="00432B71" w:rsidP="005A3B4D">
            <w:pPr>
              <w:jc w:val="right"/>
              <w:rPr>
                <w:color w:val="000000"/>
                <w:sz w:val="20"/>
                <w:szCs w:val="20"/>
              </w:rPr>
            </w:pPr>
            <w:r>
              <w:rPr>
                <w:color w:val="000000"/>
                <w:sz w:val="20"/>
                <w:szCs w:val="20"/>
              </w:rPr>
              <w:t>0.000</w:t>
            </w:r>
          </w:p>
        </w:tc>
      </w:tr>
      <w:tr w:rsidR="00432B71" w14:paraId="614FC59E" w14:textId="77777777" w:rsidTr="005A3B4D">
        <w:trPr>
          <w:trHeight w:val="320"/>
        </w:trPr>
        <w:tc>
          <w:tcPr>
            <w:tcW w:w="1176" w:type="dxa"/>
            <w:tcBorders>
              <w:top w:val="nil"/>
              <w:left w:val="nil"/>
              <w:bottom w:val="nil"/>
              <w:right w:val="nil"/>
            </w:tcBorders>
            <w:shd w:val="clear" w:color="auto" w:fill="auto"/>
            <w:noWrap/>
            <w:vAlign w:val="bottom"/>
            <w:hideMark/>
          </w:tcPr>
          <w:p w14:paraId="16E2B624"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2723B94"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3644E98"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A27EF0A" w14:textId="77777777" w:rsidR="00432B71" w:rsidRDefault="00432B71" w:rsidP="005A3B4D">
            <w:pPr>
              <w:jc w:val="right"/>
              <w:rPr>
                <w:color w:val="000000"/>
                <w:sz w:val="20"/>
                <w:szCs w:val="20"/>
              </w:rPr>
            </w:pPr>
            <w:r>
              <w:rPr>
                <w:color w:val="000000"/>
                <w:sz w:val="20"/>
                <w:szCs w:val="20"/>
              </w:rPr>
              <w:t>0.696</w:t>
            </w:r>
          </w:p>
        </w:tc>
        <w:tc>
          <w:tcPr>
            <w:tcW w:w="768" w:type="dxa"/>
            <w:tcBorders>
              <w:top w:val="nil"/>
              <w:left w:val="nil"/>
              <w:bottom w:val="nil"/>
              <w:right w:val="nil"/>
            </w:tcBorders>
            <w:shd w:val="clear" w:color="auto" w:fill="auto"/>
            <w:noWrap/>
            <w:vAlign w:val="bottom"/>
            <w:hideMark/>
          </w:tcPr>
          <w:p w14:paraId="690A39F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5E586D"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6732111" w14:textId="77777777" w:rsidR="00432B71" w:rsidRDefault="00432B71" w:rsidP="005A3B4D">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69C8705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8B0B1B" w14:textId="77777777" w:rsidR="00432B71" w:rsidRDefault="00432B7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635DF8D" w14:textId="77777777" w:rsidR="00432B71" w:rsidRDefault="00432B71" w:rsidP="005A3B4D">
            <w:pPr>
              <w:jc w:val="right"/>
              <w:rPr>
                <w:color w:val="000000"/>
                <w:sz w:val="20"/>
                <w:szCs w:val="20"/>
              </w:rPr>
            </w:pPr>
            <w:r>
              <w:rPr>
                <w:color w:val="000000"/>
                <w:sz w:val="20"/>
                <w:szCs w:val="20"/>
              </w:rPr>
              <w:t>0.404</w:t>
            </w:r>
          </w:p>
        </w:tc>
        <w:tc>
          <w:tcPr>
            <w:tcW w:w="768" w:type="dxa"/>
            <w:tcBorders>
              <w:top w:val="nil"/>
              <w:left w:val="nil"/>
              <w:bottom w:val="nil"/>
              <w:right w:val="nil"/>
            </w:tcBorders>
            <w:shd w:val="clear" w:color="auto" w:fill="auto"/>
            <w:noWrap/>
            <w:vAlign w:val="bottom"/>
            <w:hideMark/>
          </w:tcPr>
          <w:p w14:paraId="0BCE0EC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B1980CB"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1C6ED4CC" w14:textId="77777777" w:rsidR="00432B71" w:rsidRDefault="00432B71" w:rsidP="005A3B4D">
            <w:pPr>
              <w:jc w:val="right"/>
              <w:rPr>
                <w:color w:val="000000"/>
                <w:sz w:val="20"/>
                <w:szCs w:val="20"/>
              </w:rPr>
            </w:pPr>
            <w:r>
              <w:rPr>
                <w:color w:val="000000"/>
                <w:sz w:val="20"/>
                <w:szCs w:val="20"/>
              </w:rPr>
              <w:t>0.384</w:t>
            </w:r>
          </w:p>
        </w:tc>
        <w:tc>
          <w:tcPr>
            <w:tcW w:w="768" w:type="dxa"/>
            <w:tcBorders>
              <w:top w:val="nil"/>
              <w:left w:val="nil"/>
              <w:bottom w:val="nil"/>
              <w:right w:val="nil"/>
            </w:tcBorders>
            <w:shd w:val="clear" w:color="auto" w:fill="auto"/>
            <w:noWrap/>
            <w:vAlign w:val="bottom"/>
            <w:hideMark/>
          </w:tcPr>
          <w:p w14:paraId="62E6630F"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732532" w14:textId="77777777" w:rsidR="00432B71" w:rsidRDefault="00432B71"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4B66B479" w14:textId="77777777" w:rsidR="00432B71" w:rsidRDefault="00432B71" w:rsidP="005A3B4D">
            <w:pPr>
              <w:jc w:val="right"/>
              <w:rPr>
                <w:color w:val="000000"/>
                <w:sz w:val="20"/>
                <w:szCs w:val="20"/>
              </w:rPr>
            </w:pPr>
            <w:r>
              <w:rPr>
                <w:color w:val="000000"/>
                <w:sz w:val="20"/>
                <w:szCs w:val="20"/>
              </w:rPr>
              <w:t>0.588</w:t>
            </w:r>
          </w:p>
        </w:tc>
        <w:tc>
          <w:tcPr>
            <w:tcW w:w="768" w:type="dxa"/>
            <w:tcBorders>
              <w:top w:val="nil"/>
              <w:left w:val="nil"/>
              <w:bottom w:val="nil"/>
              <w:right w:val="nil"/>
            </w:tcBorders>
            <w:shd w:val="clear" w:color="auto" w:fill="auto"/>
            <w:noWrap/>
            <w:vAlign w:val="bottom"/>
            <w:hideMark/>
          </w:tcPr>
          <w:p w14:paraId="3E266079" w14:textId="77777777" w:rsidR="00432B71" w:rsidRDefault="00432B71" w:rsidP="005A3B4D">
            <w:pPr>
              <w:jc w:val="right"/>
              <w:rPr>
                <w:color w:val="000000"/>
                <w:sz w:val="20"/>
                <w:szCs w:val="20"/>
              </w:rPr>
            </w:pPr>
            <w:r>
              <w:rPr>
                <w:color w:val="000000"/>
                <w:sz w:val="20"/>
                <w:szCs w:val="20"/>
              </w:rPr>
              <w:t>0.002</w:t>
            </w:r>
          </w:p>
        </w:tc>
      </w:tr>
      <w:tr w:rsidR="00432B71" w14:paraId="68728BAC" w14:textId="77777777" w:rsidTr="005A3B4D">
        <w:trPr>
          <w:trHeight w:val="320"/>
        </w:trPr>
        <w:tc>
          <w:tcPr>
            <w:tcW w:w="1176" w:type="dxa"/>
            <w:tcBorders>
              <w:top w:val="nil"/>
              <w:left w:val="nil"/>
              <w:bottom w:val="nil"/>
              <w:right w:val="nil"/>
            </w:tcBorders>
            <w:shd w:val="clear" w:color="auto" w:fill="auto"/>
            <w:noWrap/>
            <w:vAlign w:val="bottom"/>
            <w:hideMark/>
          </w:tcPr>
          <w:p w14:paraId="4C5D1910"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974C69"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95B2A92"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097CCF07" w14:textId="77777777" w:rsidR="00432B71" w:rsidRDefault="00432B71" w:rsidP="005A3B4D">
            <w:pPr>
              <w:jc w:val="right"/>
              <w:rPr>
                <w:color w:val="000000"/>
                <w:sz w:val="20"/>
                <w:szCs w:val="20"/>
              </w:rPr>
            </w:pPr>
            <w:r>
              <w:rPr>
                <w:color w:val="000000"/>
                <w:sz w:val="20"/>
                <w:szCs w:val="20"/>
              </w:rPr>
              <w:t>0.696</w:t>
            </w:r>
          </w:p>
        </w:tc>
        <w:tc>
          <w:tcPr>
            <w:tcW w:w="768" w:type="dxa"/>
            <w:tcBorders>
              <w:top w:val="nil"/>
              <w:left w:val="nil"/>
              <w:bottom w:val="nil"/>
              <w:right w:val="nil"/>
            </w:tcBorders>
            <w:shd w:val="clear" w:color="auto" w:fill="auto"/>
            <w:noWrap/>
            <w:vAlign w:val="bottom"/>
            <w:hideMark/>
          </w:tcPr>
          <w:p w14:paraId="141EE49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331174"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23137E7" w14:textId="77777777" w:rsidR="00432B71" w:rsidRDefault="00432B71" w:rsidP="005A3B4D">
            <w:pPr>
              <w:jc w:val="right"/>
              <w:rPr>
                <w:color w:val="000000"/>
                <w:sz w:val="20"/>
                <w:szCs w:val="20"/>
              </w:rPr>
            </w:pPr>
            <w:r>
              <w:rPr>
                <w:color w:val="000000"/>
                <w:sz w:val="20"/>
                <w:szCs w:val="20"/>
              </w:rPr>
              <w:t>0.752</w:t>
            </w:r>
          </w:p>
        </w:tc>
        <w:tc>
          <w:tcPr>
            <w:tcW w:w="768" w:type="dxa"/>
            <w:tcBorders>
              <w:top w:val="nil"/>
              <w:left w:val="nil"/>
              <w:bottom w:val="nil"/>
              <w:right w:val="nil"/>
            </w:tcBorders>
            <w:shd w:val="clear" w:color="auto" w:fill="auto"/>
            <w:noWrap/>
            <w:vAlign w:val="bottom"/>
            <w:hideMark/>
          </w:tcPr>
          <w:p w14:paraId="753A6B9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3D68F3"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7F01303" w14:textId="77777777" w:rsidR="00432B71" w:rsidRDefault="00432B71" w:rsidP="005A3B4D">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701620A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F0445F"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B7BBAEA" w14:textId="77777777" w:rsidR="00432B71" w:rsidRDefault="00432B71" w:rsidP="005A3B4D">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04BE8B0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E7AA10"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E73F596" w14:textId="77777777" w:rsidR="00432B71" w:rsidRDefault="00432B71"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41A16A29" w14:textId="77777777" w:rsidR="00432B71" w:rsidRDefault="00432B71" w:rsidP="005A3B4D">
            <w:pPr>
              <w:jc w:val="right"/>
              <w:rPr>
                <w:color w:val="000000"/>
                <w:sz w:val="20"/>
                <w:szCs w:val="20"/>
              </w:rPr>
            </w:pPr>
            <w:r>
              <w:rPr>
                <w:color w:val="000000"/>
                <w:sz w:val="20"/>
                <w:szCs w:val="20"/>
              </w:rPr>
              <w:t>0.000</w:t>
            </w:r>
          </w:p>
        </w:tc>
      </w:tr>
      <w:tr w:rsidR="00432B71" w14:paraId="28639A1B" w14:textId="77777777" w:rsidTr="005A3B4D">
        <w:trPr>
          <w:trHeight w:val="320"/>
        </w:trPr>
        <w:tc>
          <w:tcPr>
            <w:tcW w:w="1176" w:type="dxa"/>
            <w:tcBorders>
              <w:top w:val="nil"/>
              <w:left w:val="nil"/>
              <w:bottom w:val="nil"/>
              <w:right w:val="nil"/>
            </w:tcBorders>
            <w:shd w:val="clear" w:color="auto" w:fill="auto"/>
            <w:noWrap/>
            <w:vAlign w:val="bottom"/>
            <w:hideMark/>
          </w:tcPr>
          <w:p w14:paraId="0D652B17"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D32D084"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1765CE1"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4D5E034" w14:textId="77777777" w:rsidR="00432B71" w:rsidRDefault="00432B71" w:rsidP="005A3B4D">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2C071B2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A8C4F0"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0980002" w14:textId="77777777" w:rsidR="00432B71" w:rsidRDefault="00432B71" w:rsidP="005A3B4D">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324517E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B1F3B3"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8DECF28" w14:textId="77777777" w:rsidR="00432B71" w:rsidRDefault="00432B71" w:rsidP="005A3B4D">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66BDDCB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C83DC2" w14:textId="77777777" w:rsidR="00432B71" w:rsidRDefault="00432B71"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8F5EB95" w14:textId="77777777" w:rsidR="00432B71" w:rsidRDefault="00432B71" w:rsidP="005A3B4D">
            <w:pPr>
              <w:jc w:val="right"/>
              <w:rPr>
                <w:color w:val="000000"/>
                <w:sz w:val="20"/>
                <w:szCs w:val="20"/>
              </w:rPr>
            </w:pPr>
            <w:r>
              <w:rPr>
                <w:color w:val="000000"/>
                <w:sz w:val="20"/>
                <w:szCs w:val="20"/>
              </w:rPr>
              <w:t>0.400</w:t>
            </w:r>
          </w:p>
        </w:tc>
        <w:tc>
          <w:tcPr>
            <w:tcW w:w="768" w:type="dxa"/>
            <w:tcBorders>
              <w:top w:val="nil"/>
              <w:left w:val="nil"/>
              <w:bottom w:val="nil"/>
              <w:right w:val="nil"/>
            </w:tcBorders>
            <w:shd w:val="clear" w:color="auto" w:fill="auto"/>
            <w:noWrap/>
            <w:vAlign w:val="bottom"/>
            <w:hideMark/>
          </w:tcPr>
          <w:p w14:paraId="1D5B7E22"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A02B15F" w14:textId="77777777" w:rsidR="00432B71" w:rsidRDefault="00432B71"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45B6D3E" w14:textId="77777777" w:rsidR="00432B71" w:rsidRDefault="00432B71"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327AB44C" w14:textId="77777777" w:rsidR="00432B71" w:rsidRDefault="00432B71" w:rsidP="005A3B4D">
            <w:pPr>
              <w:jc w:val="right"/>
              <w:rPr>
                <w:color w:val="000000"/>
                <w:sz w:val="20"/>
                <w:szCs w:val="20"/>
              </w:rPr>
            </w:pPr>
            <w:r>
              <w:rPr>
                <w:color w:val="000000"/>
                <w:sz w:val="20"/>
                <w:szCs w:val="20"/>
              </w:rPr>
              <w:t>0.000</w:t>
            </w:r>
          </w:p>
        </w:tc>
      </w:tr>
      <w:tr w:rsidR="00432B71" w14:paraId="36658A38" w14:textId="77777777" w:rsidTr="005A3B4D">
        <w:trPr>
          <w:trHeight w:val="320"/>
        </w:trPr>
        <w:tc>
          <w:tcPr>
            <w:tcW w:w="1176" w:type="dxa"/>
            <w:tcBorders>
              <w:top w:val="nil"/>
              <w:left w:val="nil"/>
              <w:bottom w:val="nil"/>
              <w:right w:val="nil"/>
            </w:tcBorders>
            <w:shd w:val="clear" w:color="auto" w:fill="auto"/>
            <w:noWrap/>
            <w:vAlign w:val="bottom"/>
            <w:hideMark/>
          </w:tcPr>
          <w:p w14:paraId="101BD720"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718ADE2"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8D386FA" w14:textId="77777777" w:rsidR="00432B71" w:rsidRDefault="00432B71"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55EDF06C" w14:textId="77777777" w:rsidR="00432B71" w:rsidRDefault="00432B71" w:rsidP="005A3B4D">
            <w:pPr>
              <w:jc w:val="right"/>
              <w:rPr>
                <w:color w:val="000000"/>
                <w:sz w:val="20"/>
                <w:szCs w:val="20"/>
              </w:rPr>
            </w:pPr>
            <w:r>
              <w:rPr>
                <w:color w:val="000000"/>
                <w:sz w:val="20"/>
                <w:szCs w:val="20"/>
              </w:rPr>
              <w:t>0.386</w:t>
            </w:r>
          </w:p>
        </w:tc>
        <w:tc>
          <w:tcPr>
            <w:tcW w:w="768" w:type="dxa"/>
            <w:tcBorders>
              <w:top w:val="nil"/>
              <w:left w:val="nil"/>
              <w:bottom w:val="nil"/>
              <w:right w:val="nil"/>
            </w:tcBorders>
            <w:shd w:val="clear" w:color="auto" w:fill="auto"/>
            <w:noWrap/>
            <w:vAlign w:val="bottom"/>
            <w:hideMark/>
          </w:tcPr>
          <w:p w14:paraId="242D43A4"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788AD56" w14:textId="77777777" w:rsidR="00432B71" w:rsidRDefault="00432B7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16EB660" w14:textId="77777777" w:rsidR="00432B71" w:rsidRDefault="00432B71" w:rsidP="005A3B4D">
            <w:pPr>
              <w:jc w:val="right"/>
              <w:rPr>
                <w:color w:val="000000"/>
                <w:sz w:val="20"/>
                <w:szCs w:val="20"/>
              </w:rPr>
            </w:pPr>
            <w:r>
              <w:rPr>
                <w:color w:val="000000"/>
                <w:sz w:val="20"/>
                <w:szCs w:val="20"/>
              </w:rPr>
              <w:t>0.496</w:t>
            </w:r>
          </w:p>
        </w:tc>
        <w:tc>
          <w:tcPr>
            <w:tcW w:w="768" w:type="dxa"/>
            <w:tcBorders>
              <w:top w:val="nil"/>
              <w:left w:val="nil"/>
              <w:bottom w:val="nil"/>
              <w:right w:val="nil"/>
            </w:tcBorders>
            <w:shd w:val="clear" w:color="auto" w:fill="auto"/>
            <w:noWrap/>
            <w:vAlign w:val="bottom"/>
            <w:hideMark/>
          </w:tcPr>
          <w:p w14:paraId="1F575DB7"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B2EAFA"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BED6D2E" w14:textId="77777777" w:rsidR="00432B71" w:rsidRDefault="00432B71" w:rsidP="005A3B4D">
            <w:pPr>
              <w:jc w:val="right"/>
              <w:rPr>
                <w:color w:val="000000"/>
                <w:sz w:val="20"/>
                <w:szCs w:val="20"/>
              </w:rPr>
            </w:pPr>
            <w:r>
              <w:rPr>
                <w:color w:val="000000"/>
                <w:sz w:val="20"/>
                <w:szCs w:val="20"/>
              </w:rPr>
              <w:t>0.429</w:t>
            </w:r>
          </w:p>
        </w:tc>
        <w:tc>
          <w:tcPr>
            <w:tcW w:w="768" w:type="dxa"/>
            <w:tcBorders>
              <w:top w:val="nil"/>
              <w:left w:val="nil"/>
              <w:bottom w:val="nil"/>
              <w:right w:val="nil"/>
            </w:tcBorders>
            <w:shd w:val="clear" w:color="auto" w:fill="auto"/>
            <w:noWrap/>
            <w:vAlign w:val="bottom"/>
            <w:hideMark/>
          </w:tcPr>
          <w:p w14:paraId="0E82815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A985CE" w14:textId="77777777" w:rsidR="00432B71" w:rsidRDefault="00432B71"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57F1271" w14:textId="77777777" w:rsidR="00432B71" w:rsidRDefault="00432B71" w:rsidP="005A3B4D">
            <w:pPr>
              <w:jc w:val="right"/>
              <w:rPr>
                <w:color w:val="000000"/>
                <w:sz w:val="20"/>
                <w:szCs w:val="20"/>
              </w:rPr>
            </w:pPr>
            <w:r>
              <w:rPr>
                <w:color w:val="000000"/>
                <w:sz w:val="20"/>
                <w:szCs w:val="20"/>
              </w:rPr>
              <w:t>0.344</w:t>
            </w:r>
          </w:p>
        </w:tc>
        <w:tc>
          <w:tcPr>
            <w:tcW w:w="768" w:type="dxa"/>
            <w:tcBorders>
              <w:top w:val="nil"/>
              <w:left w:val="nil"/>
              <w:bottom w:val="nil"/>
              <w:right w:val="nil"/>
            </w:tcBorders>
            <w:shd w:val="clear" w:color="auto" w:fill="auto"/>
            <w:noWrap/>
            <w:vAlign w:val="bottom"/>
            <w:hideMark/>
          </w:tcPr>
          <w:p w14:paraId="56F35463"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FF943EA" w14:textId="77777777" w:rsidR="00432B71" w:rsidRDefault="00432B71"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28AF3BB4" w14:textId="77777777" w:rsidR="00432B71" w:rsidRDefault="00432B71" w:rsidP="005A3B4D">
            <w:pPr>
              <w:jc w:val="right"/>
              <w:rPr>
                <w:color w:val="000000"/>
                <w:sz w:val="20"/>
                <w:szCs w:val="20"/>
              </w:rPr>
            </w:pPr>
            <w:r>
              <w:rPr>
                <w:color w:val="000000"/>
                <w:sz w:val="20"/>
                <w:szCs w:val="20"/>
              </w:rPr>
              <w:t>0.588</w:t>
            </w:r>
          </w:p>
        </w:tc>
        <w:tc>
          <w:tcPr>
            <w:tcW w:w="768" w:type="dxa"/>
            <w:tcBorders>
              <w:top w:val="nil"/>
              <w:left w:val="nil"/>
              <w:bottom w:val="nil"/>
              <w:right w:val="nil"/>
            </w:tcBorders>
            <w:shd w:val="clear" w:color="auto" w:fill="auto"/>
            <w:noWrap/>
            <w:vAlign w:val="bottom"/>
            <w:hideMark/>
          </w:tcPr>
          <w:p w14:paraId="65923E1B" w14:textId="77777777" w:rsidR="00432B71" w:rsidRDefault="00432B71" w:rsidP="005A3B4D">
            <w:pPr>
              <w:jc w:val="right"/>
              <w:rPr>
                <w:color w:val="000000"/>
                <w:sz w:val="20"/>
                <w:szCs w:val="20"/>
              </w:rPr>
            </w:pPr>
            <w:r>
              <w:rPr>
                <w:color w:val="000000"/>
                <w:sz w:val="20"/>
                <w:szCs w:val="20"/>
              </w:rPr>
              <w:t>0.002</w:t>
            </w:r>
          </w:p>
        </w:tc>
      </w:tr>
      <w:tr w:rsidR="00432B71" w14:paraId="293568A5" w14:textId="77777777" w:rsidTr="005A3B4D">
        <w:trPr>
          <w:trHeight w:val="320"/>
        </w:trPr>
        <w:tc>
          <w:tcPr>
            <w:tcW w:w="1176" w:type="dxa"/>
            <w:tcBorders>
              <w:top w:val="nil"/>
              <w:left w:val="nil"/>
              <w:bottom w:val="nil"/>
              <w:right w:val="nil"/>
            </w:tcBorders>
            <w:shd w:val="clear" w:color="auto" w:fill="auto"/>
            <w:noWrap/>
            <w:vAlign w:val="bottom"/>
            <w:hideMark/>
          </w:tcPr>
          <w:p w14:paraId="70745C35"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B02639A"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5B3D8A5"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F8B19A4" w14:textId="77777777" w:rsidR="00432B71" w:rsidRDefault="00432B71" w:rsidP="005A3B4D">
            <w:pPr>
              <w:jc w:val="right"/>
              <w:rPr>
                <w:color w:val="000000"/>
                <w:sz w:val="20"/>
                <w:szCs w:val="20"/>
              </w:rPr>
            </w:pPr>
            <w:r>
              <w:rPr>
                <w:color w:val="000000"/>
                <w:sz w:val="20"/>
                <w:szCs w:val="20"/>
              </w:rPr>
              <w:t>0.430</w:t>
            </w:r>
          </w:p>
        </w:tc>
        <w:tc>
          <w:tcPr>
            <w:tcW w:w="768" w:type="dxa"/>
            <w:tcBorders>
              <w:top w:val="nil"/>
              <w:left w:val="nil"/>
              <w:bottom w:val="nil"/>
              <w:right w:val="nil"/>
            </w:tcBorders>
            <w:shd w:val="clear" w:color="auto" w:fill="auto"/>
            <w:noWrap/>
            <w:vAlign w:val="bottom"/>
            <w:hideMark/>
          </w:tcPr>
          <w:p w14:paraId="56639167"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CDFAAE"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D16AC05" w14:textId="77777777" w:rsidR="00432B71" w:rsidRDefault="00432B71" w:rsidP="005A3B4D">
            <w:pPr>
              <w:jc w:val="right"/>
              <w:rPr>
                <w:color w:val="000000"/>
                <w:sz w:val="20"/>
                <w:szCs w:val="20"/>
              </w:rPr>
            </w:pPr>
            <w:r>
              <w:rPr>
                <w:color w:val="000000"/>
                <w:sz w:val="20"/>
                <w:szCs w:val="20"/>
              </w:rPr>
              <w:t>0.752</w:t>
            </w:r>
          </w:p>
        </w:tc>
        <w:tc>
          <w:tcPr>
            <w:tcW w:w="768" w:type="dxa"/>
            <w:tcBorders>
              <w:top w:val="nil"/>
              <w:left w:val="nil"/>
              <w:bottom w:val="nil"/>
              <w:right w:val="nil"/>
            </w:tcBorders>
            <w:shd w:val="clear" w:color="auto" w:fill="auto"/>
            <w:noWrap/>
            <w:vAlign w:val="bottom"/>
            <w:hideMark/>
          </w:tcPr>
          <w:p w14:paraId="59D2083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9316DA"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4AE08B5A" w14:textId="77777777" w:rsidR="00432B71" w:rsidRDefault="00432B71" w:rsidP="005A3B4D">
            <w:pPr>
              <w:jc w:val="right"/>
              <w:rPr>
                <w:color w:val="000000"/>
                <w:sz w:val="20"/>
                <w:szCs w:val="20"/>
              </w:rPr>
            </w:pPr>
            <w:r>
              <w:rPr>
                <w:color w:val="000000"/>
                <w:sz w:val="20"/>
                <w:szCs w:val="20"/>
              </w:rPr>
              <w:t>0.429</w:t>
            </w:r>
          </w:p>
        </w:tc>
        <w:tc>
          <w:tcPr>
            <w:tcW w:w="768" w:type="dxa"/>
            <w:tcBorders>
              <w:top w:val="nil"/>
              <w:left w:val="nil"/>
              <w:bottom w:val="nil"/>
              <w:right w:val="nil"/>
            </w:tcBorders>
            <w:shd w:val="clear" w:color="auto" w:fill="auto"/>
            <w:noWrap/>
            <w:vAlign w:val="bottom"/>
            <w:hideMark/>
          </w:tcPr>
          <w:p w14:paraId="234ED397"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17FDCE"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D709949" w14:textId="77777777" w:rsidR="00432B71" w:rsidRDefault="00432B71" w:rsidP="005A3B4D">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33B54A0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E4E2F3"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3E37546" w14:textId="77777777" w:rsidR="00432B71" w:rsidRDefault="00432B71"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4816AE9C" w14:textId="77777777" w:rsidR="00432B71" w:rsidRDefault="00432B71" w:rsidP="005A3B4D">
            <w:pPr>
              <w:jc w:val="right"/>
              <w:rPr>
                <w:color w:val="000000"/>
                <w:sz w:val="20"/>
                <w:szCs w:val="20"/>
              </w:rPr>
            </w:pPr>
            <w:r>
              <w:rPr>
                <w:color w:val="000000"/>
                <w:sz w:val="20"/>
                <w:szCs w:val="20"/>
              </w:rPr>
              <w:t>0.000</w:t>
            </w:r>
          </w:p>
        </w:tc>
      </w:tr>
      <w:tr w:rsidR="00432B71" w14:paraId="209269CF" w14:textId="77777777" w:rsidTr="005A3B4D">
        <w:trPr>
          <w:trHeight w:val="320"/>
        </w:trPr>
        <w:tc>
          <w:tcPr>
            <w:tcW w:w="1176" w:type="dxa"/>
            <w:tcBorders>
              <w:top w:val="nil"/>
              <w:left w:val="nil"/>
              <w:bottom w:val="nil"/>
              <w:right w:val="nil"/>
            </w:tcBorders>
            <w:shd w:val="clear" w:color="auto" w:fill="auto"/>
            <w:noWrap/>
            <w:vAlign w:val="bottom"/>
            <w:hideMark/>
          </w:tcPr>
          <w:p w14:paraId="00FC50D8"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AB62C35"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9CAE0DE"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2721945E" w14:textId="77777777" w:rsidR="00432B71" w:rsidRDefault="00432B71" w:rsidP="005A3B4D">
            <w:pPr>
              <w:jc w:val="right"/>
              <w:rPr>
                <w:color w:val="000000"/>
                <w:sz w:val="20"/>
                <w:szCs w:val="20"/>
              </w:rPr>
            </w:pPr>
            <w:r>
              <w:rPr>
                <w:color w:val="000000"/>
                <w:sz w:val="20"/>
                <w:szCs w:val="20"/>
              </w:rPr>
              <w:t>0.386</w:t>
            </w:r>
          </w:p>
        </w:tc>
        <w:tc>
          <w:tcPr>
            <w:tcW w:w="768" w:type="dxa"/>
            <w:tcBorders>
              <w:top w:val="nil"/>
              <w:left w:val="nil"/>
              <w:bottom w:val="nil"/>
              <w:right w:val="nil"/>
            </w:tcBorders>
            <w:shd w:val="clear" w:color="auto" w:fill="auto"/>
            <w:noWrap/>
            <w:vAlign w:val="bottom"/>
            <w:hideMark/>
          </w:tcPr>
          <w:p w14:paraId="4E45AD5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16EE17"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4B8D740" w14:textId="77777777" w:rsidR="00432B71" w:rsidRDefault="00432B71" w:rsidP="005A3B4D">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6226857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DC2B68" w14:textId="77777777" w:rsidR="00432B71" w:rsidRDefault="00432B71"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6B7A1F8D" w14:textId="77777777" w:rsidR="00432B71" w:rsidRDefault="00432B71" w:rsidP="005A3B4D">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47195E48"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342C5F3"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3B0D44B" w14:textId="77777777" w:rsidR="00432B71" w:rsidRDefault="00432B71" w:rsidP="005A3B4D">
            <w:pPr>
              <w:jc w:val="right"/>
              <w:rPr>
                <w:color w:val="000000"/>
                <w:sz w:val="20"/>
                <w:szCs w:val="20"/>
              </w:rPr>
            </w:pPr>
            <w:r>
              <w:rPr>
                <w:color w:val="000000"/>
                <w:sz w:val="20"/>
                <w:szCs w:val="20"/>
              </w:rPr>
              <w:t>0.400</w:t>
            </w:r>
          </w:p>
        </w:tc>
        <w:tc>
          <w:tcPr>
            <w:tcW w:w="768" w:type="dxa"/>
            <w:tcBorders>
              <w:top w:val="nil"/>
              <w:left w:val="nil"/>
              <w:bottom w:val="nil"/>
              <w:right w:val="nil"/>
            </w:tcBorders>
            <w:shd w:val="clear" w:color="auto" w:fill="auto"/>
            <w:noWrap/>
            <w:vAlign w:val="bottom"/>
            <w:hideMark/>
          </w:tcPr>
          <w:p w14:paraId="51CD12FE"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5E7AA2"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A9362F5" w14:textId="77777777" w:rsidR="00432B71" w:rsidRDefault="00432B71"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23481D22" w14:textId="77777777" w:rsidR="00432B71" w:rsidRDefault="00432B71" w:rsidP="005A3B4D">
            <w:pPr>
              <w:jc w:val="right"/>
              <w:rPr>
                <w:color w:val="000000"/>
                <w:sz w:val="20"/>
                <w:szCs w:val="20"/>
              </w:rPr>
            </w:pPr>
            <w:r>
              <w:rPr>
                <w:color w:val="000000"/>
                <w:sz w:val="20"/>
                <w:szCs w:val="20"/>
              </w:rPr>
              <w:t>0.000</w:t>
            </w:r>
          </w:p>
        </w:tc>
      </w:tr>
      <w:tr w:rsidR="00432B71" w14:paraId="19774690"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2BF1F67A"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C897CB6"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1823C84" w14:textId="77777777" w:rsidR="00432B71" w:rsidRDefault="00432B71" w:rsidP="005A3B4D">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3C586B18" w14:textId="77777777" w:rsidR="00432B71" w:rsidRDefault="00432B71" w:rsidP="005A3B4D">
            <w:pPr>
              <w:jc w:val="right"/>
              <w:rPr>
                <w:color w:val="000000"/>
                <w:sz w:val="20"/>
                <w:szCs w:val="20"/>
              </w:rPr>
            </w:pPr>
            <w:r>
              <w:rPr>
                <w:color w:val="000000"/>
                <w:sz w:val="20"/>
                <w:szCs w:val="20"/>
              </w:rPr>
              <w:t>0.386</w:t>
            </w:r>
          </w:p>
        </w:tc>
        <w:tc>
          <w:tcPr>
            <w:tcW w:w="768" w:type="dxa"/>
            <w:tcBorders>
              <w:top w:val="nil"/>
              <w:left w:val="nil"/>
              <w:bottom w:val="single" w:sz="4" w:space="0" w:color="auto"/>
              <w:right w:val="nil"/>
            </w:tcBorders>
            <w:shd w:val="clear" w:color="auto" w:fill="auto"/>
            <w:noWrap/>
            <w:vAlign w:val="bottom"/>
            <w:hideMark/>
          </w:tcPr>
          <w:p w14:paraId="27115B13"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FDFBC32" w14:textId="77777777" w:rsidR="00432B71" w:rsidRDefault="00432B71" w:rsidP="005A3B4D">
            <w:pPr>
              <w:jc w:val="right"/>
              <w:rPr>
                <w:color w:val="000000"/>
                <w:sz w:val="20"/>
                <w:szCs w:val="20"/>
              </w:rPr>
            </w:pPr>
            <w:r>
              <w:rPr>
                <w:color w:val="000000"/>
                <w:sz w:val="20"/>
                <w:szCs w:val="20"/>
              </w:rPr>
              <w:t>-0.051</w:t>
            </w:r>
          </w:p>
        </w:tc>
        <w:tc>
          <w:tcPr>
            <w:tcW w:w="768" w:type="dxa"/>
            <w:tcBorders>
              <w:top w:val="nil"/>
              <w:left w:val="nil"/>
              <w:bottom w:val="single" w:sz="4" w:space="0" w:color="auto"/>
              <w:right w:val="nil"/>
            </w:tcBorders>
            <w:shd w:val="clear" w:color="auto" w:fill="auto"/>
            <w:noWrap/>
            <w:vAlign w:val="bottom"/>
            <w:hideMark/>
          </w:tcPr>
          <w:p w14:paraId="2543B144" w14:textId="77777777" w:rsidR="00432B71" w:rsidRDefault="00432B71" w:rsidP="005A3B4D">
            <w:pPr>
              <w:jc w:val="right"/>
              <w:rPr>
                <w:color w:val="000000"/>
                <w:sz w:val="20"/>
                <w:szCs w:val="20"/>
              </w:rPr>
            </w:pPr>
            <w:r>
              <w:rPr>
                <w:color w:val="000000"/>
                <w:sz w:val="20"/>
                <w:szCs w:val="20"/>
              </w:rPr>
              <w:t>0.248</w:t>
            </w:r>
          </w:p>
        </w:tc>
        <w:tc>
          <w:tcPr>
            <w:tcW w:w="768" w:type="dxa"/>
            <w:tcBorders>
              <w:top w:val="nil"/>
              <w:left w:val="nil"/>
              <w:bottom w:val="single" w:sz="4" w:space="0" w:color="auto"/>
              <w:right w:val="nil"/>
            </w:tcBorders>
            <w:shd w:val="clear" w:color="auto" w:fill="auto"/>
            <w:noWrap/>
            <w:vAlign w:val="bottom"/>
            <w:hideMark/>
          </w:tcPr>
          <w:p w14:paraId="30F45525"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2873454F"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single" w:sz="4" w:space="0" w:color="auto"/>
              <w:right w:val="nil"/>
            </w:tcBorders>
            <w:shd w:val="clear" w:color="auto" w:fill="auto"/>
            <w:noWrap/>
            <w:vAlign w:val="bottom"/>
            <w:hideMark/>
          </w:tcPr>
          <w:p w14:paraId="6936AB82" w14:textId="77777777" w:rsidR="00432B71" w:rsidRDefault="00432B71" w:rsidP="005A3B4D">
            <w:pPr>
              <w:jc w:val="right"/>
              <w:rPr>
                <w:color w:val="000000"/>
                <w:sz w:val="20"/>
                <w:szCs w:val="20"/>
              </w:rPr>
            </w:pPr>
            <w:r>
              <w:rPr>
                <w:color w:val="000000"/>
                <w:sz w:val="20"/>
                <w:szCs w:val="20"/>
              </w:rPr>
              <w:t>0.429</w:t>
            </w:r>
          </w:p>
        </w:tc>
        <w:tc>
          <w:tcPr>
            <w:tcW w:w="768" w:type="dxa"/>
            <w:tcBorders>
              <w:top w:val="nil"/>
              <w:left w:val="nil"/>
              <w:bottom w:val="single" w:sz="4" w:space="0" w:color="auto"/>
              <w:right w:val="nil"/>
            </w:tcBorders>
            <w:shd w:val="clear" w:color="auto" w:fill="auto"/>
            <w:noWrap/>
            <w:vAlign w:val="bottom"/>
            <w:hideMark/>
          </w:tcPr>
          <w:p w14:paraId="715E82D3"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1CDC85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E8CB7C1" w14:textId="77777777" w:rsidR="00432B71" w:rsidRDefault="00432B71" w:rsidP="005A3B4D">
            <w:pPr>
              <w:jc w:val="right"/>
              <w:rPr>
                <w:color w:val="000000"/>
                <w:sz w:val="20"/>
                <w:szCs w:val="20"/>
              </w:rPr>
            </w:pPr>
            <w:r>
              <w:rPr>
                <w:color w:val="000000"/>
                <w:sz w:val="20"/>
                <w:szCs w:val="20"/>
              </w:rPr>
              <w:t>0.993</w:t>
            </w:r>
          </w:p>
        </w:tc>
        <w:tc>
          <w:tcPr>
            <w:tcW w:w="768" w:type="dxa"/>
            <w:tcBorders>
              <w:top w:val="nil"/>
              <w:left w:val="nil"/>
              <w:bottom w:val="single" w:sz="4" w:space="0" w:color="auto"/>
              <w:right w:val="nil"/>
            </w:tcBorders>
            <w:shd w:val="clear" w:color="auto" w:fill="auto"/>
            <w:noWrap/>
            <w:vAlign w:val="bottom"/>
            <w:hideMark/>
          </w:tcPr>
          <w:p w14:paraId="57725FB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9D00D2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D95B184" w14:textId="77777777" w:rsidR="00432B71" w:rsidRDefault="00432B71" w:rsidP="005A3B4D">
            <w:pPr>
              <w:jc w:val="right"/>
              <w:rPr>
                <w:color w:val="000000"/>
                <w:sz w:val="20"/>
                <w:szCs w:val="20"/>
              </w:rPr>
            </w:pPr>
            <w:r>
              <w:rPr>
                <w:color w:val="000000"/>
                <w:sz w:val="20"/>
                <w:szCs w:val="20"/>
              </w:rPr>
              <w:t>0.980</w:t>
            </w:r>
          </w:p>
        </w:tc>
        <w:tc>
          <w:tcPr>
            <w:tcW w:w="768" w:type="dxa"/>
            <w:tcBorders>
              <w:top w:val="nil"/>
              <w:left w:val="nil"/>
              <w:bottom w:val="single" w:sz="4" w:space="0" w:color="auto"/>
              <w:right w:val="nil"/>
            </w:tcBorders>
            <w:shd w:val="clear" w:color="auto" w:fill="auto"/>
            <w:noWrap/>
            <w:vAlign w:val="bottom"/>
            <w:hideMark/>
          </w:tcPr>
          <w:p w14:paraId="12C7E3B5" w14:textId="77777777" w:rsidR="00432B71" w:rsidRDefault="00432B71" w:rsidP="005A3B4D">
            <w:pPr>
              <w:jc w:val="right"/>
              <w:rPr>
                <w:color w:val="000000"/>
                <w:sz w:val="20"/>
                <w:szCs w:val="20"/>
              </w:rPr>
            </w:pPr>
            <w:r>
              <w:rPr>
                <w:color w:val="000000"/>
                <w:sz w:val="20"/>
                <w:szCs w:val="20"/>
              </w:rPr>
              <w:t>0.000</w:t>
            </w:r>
          </w:p>
        </w:tc>
      </w:tr>
      <w:tr w:rsidR="00432B71" w14:paraId="46A31BFF" w14:textId="77777777" w:rsidTr="005A3B4D">
        <w:trPr>
          <w:trHeight w:val="320"/>
        </w:trPr>
        <w:tc>
          <w:tcPr>
            <w:tcW w:w="1176" w:type="dxa"/>
            <w:tcBorders>
              <w:top w:val="nil"/>
              <w:left w:val="nil"/>
              <w:bottom w:val="nil"/>
              <w:right w:val="nil"/>
            </w:tcBorders>
            <w:shd w:val="clear" w:color="auto" w:fill="auto"/>
            <w:noWrap/>
            <w:vAlign w:val="bottom"/>
            <w:hideMark/>
          </w:tcPr>
          <w:p w14:paraId="0FDAB172" w14:textId="77777777" w:rsidR="00432B71" w:rsidRDefault="00432B71"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3D61F8E"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8856CD1"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1AC6CCA" w14:textId="77777777" w:rsidR="00432B71" w:rsidRDefault="00432B71" w:rsidP="005A3B4D">
            <w:pPr>
              <w:jc w:val="right"/>
              <w:rPr>
                <w:color w:val="000000"/>
                <w:sz w:val="20"/>
                <w:szCs w:val="20"/>
              </w:rPr>
            </w:pPr>
            <w:r>
              <w:rPr>
                <w:color w:val="000000"/>
                <w:sz w:val="20"/>
                <w:szCs w:val="20"/>
              </w:rPr>
              <w:t>0.265</w:t>
            </w:r>
          </w:p>
        </w:tc>
        <w:tc>
          <w:tcPr>
            <w:tcW w:w="768" w:type="dxa"/>
            <w:tcBorders>
              <w:top w:val="nil"/>
              <w:left w:val="nil"/>
              <w:bottom w:val="nil"/>
              <w:right w:val="nil"/>
            </w:tcBorders>
            <w:shd w:val="clear" w:color="auto" w:fill="auto"/>
            <w:noWrap/>
            <w:vAlign w:val="bottom"/>
            <w:hideMark/>
          </w:tcPr>
          <w:p w14:paraId="1ED6333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777071" w14:textId="77777777" w:rsidR="00432B71" w:rsidRDefault="00432B71"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73216003" w14:textId="77777777" w:rsidR="00432B71" w:rsidRDefault="00432B71"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626D3F6F"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277858"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940747A" w14:textId="77777777" w:rsidR="00432B71" w:rsidRDefault="00432B71" w:rsidP="005A3B4D">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48C1421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122B8D"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091D91F9" w14:textId="77777777" w:rsidR="00432B71" w:rsidRDefault="00432B71" w:rsidP="005A3B4D">
            <w:pPr>
              <w:jc w:val="right"/>
              <w:rPr>
                <w:color w:val="000000"/>
                <w:sz w:val="20"/>
                <w:szCs w:val="20"/>
              </w:rPr>
            </w:pPr>
            <w:r>
              <w:rPr>
                <w:color w:val="000000"/>
                <w:sz w:val="20"/>
                <w:szCs w:val="20"/>
              </w:rPr>
              <w:t>0.463</w:t>
            </w:r>
          </w:p>
        </w:tc>
        <w:tc>
          <w:tcPr>
            <w:tcW w:w="768" w:type="dxa"/>
            <w:tcBorders>
              <w:top w:val="nil"/>
              <w:left w:val="nil"/>
              <w:bottom w:val="nil"/>
              <w:right w:val="nil"/>
            </w:tcBorders>
            <w:shd w:val="clear" w:color="auto" w:fill="auto"/>
            <w:noWrap/>
            <w:vAlign w:val="bottom"/>
            <w:hideMark/>
          </w:tcPr>
          <w:p w14:paraId="4E75B77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0BA73F"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B1BE803" w14:textId="77777777" w:rsidR="00432B71" w:rsidRDefault="00432B71" w:rsidP="005A3B4D">
            <w:pPr>
              <w:jc w:val="right"/>
              <w:rPr>
                <w:color w:val="000000"/>
                <w:sz w:val="20"/>
                <w:szCs w:val="20"/>
              </w:rPr>
            </w:pPr>
            <w:r>
              <w:rPr>
                <w:color w:val="000000"/>
                <w:sz w:val="20"/>
                <w:szCs w:val="20"/>
              </w:rPr>
              <w:t>0.793</w:t>
            </w:r>
          </w:p>
        </w:tc>
        <w:tc>
          <w:tcPr>
            <w:tcW w:w="768" w:type="dxa"/>
            <w:tcBorders>
              <w:top w:val="nil"/>
              <w:left w:val="nil"/>
              <w:bottom w:val="nil"/>
              <w:right w:val="nil"/>
            </w:tcBorders>
            <w:shd w:val="clear" w:color="auto" w:fill="auto"/>
            <w:noWrap/>
            <w:vAlign w:val="bottom"/>
            <w:hideMark/>
          </w:tcPr>
          <w:p w14:paraId="78A0A9E8" w14:textId="77777777" w:rsidR="00432B71" w:rsidRDefault="00432B71" w:rsidP="005A3B4D">
            <w:pPr>
              <w:jc w:val="right"/>
              <w:rPr>
                <w:color w:val="000000"/>
                <w:sz w:val="20"/>
                <w:szCs w:val="20"/>
              </w:rPr>
            </w:pPr>
            <w:r>
              <w:rPr>
                <w:color w:val="000000"/>
                <w:sz w:val="20"/>
                <w:szCs w:val="20"/>
              </w:rPr>
              <w:t>0.000</w:t>
            </w:r>
          </w:p>
        </w:tc>
      </w:tr>
      <w:tr w:rsidR="00432B71" w14:paraId="2B0F59A1" w14:textId="77777777" w:rsidTr="005A3B4D">
        <w:trPr>
          <w:trHeight w:val="320"/>
        </w:trPr>
        <w:tc>
          <w:tcPr>
            <w:tcW w:w="1176" w:type="dxa"/>
            <w:tcBorders>
              <w:top w:val="nil"/>
              <w:left w:val="nil"/>
              <w:bottom w:val="nil"/>
              <w:right w:val="nil"/>
            </w:tcBorders>
            <w:shd w:val="clear" w:color="auto" w:fill="auto"/>
            <w:noWrap/>
            <w:vAlign w:val="bottom"/>
            <w:hideMark/>
          </w:tcPr>
          <w:p w14:paraId="7A75E312"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79516CA"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D97F090" w14:textId="77777777" w:rsidR="00432B71" w:rsidRDefault="00432B71"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8F4B275" w14:textId="77777777" w:rsidR="00432B71" w:rsidRDefault="00432B71" w:rsidP="005A3B4D">
            <w:pPr>
              <w:jc w:val="right"/>
              <w:rPr>
                <w:color w:val="000000"/>
                <w:sz w:val="20"/>
                <w:szCs w:val="20"/>
              </w:rPr>
            </w:pPr>
            <w:r>
              <w:rPr>
                <w:color w:val="000000"/>
                <w:sz w:val="20"/>
                <w:szCs w:val="20"/>
              </w:rPr>
              <w:t>0.265</w:t>
            </w:r>
          </w:p>
        </w:tc>
        <w:tc>
          <w:tcPr>
            <w:tcW w:w="768" w:type="dxa"/>
            <w:tcBorders>
              <w:top w:val="nil"/>
              <w:left w:val="nil"/>
              <w:bottom w:val="nil"/>
              <w:right w:val="nil"/>
            </w:tcBorders>
            <w:shd w:val="clear" w:color="auto" w:fill="auto"/>
            <w:noWrap/>
            <w:vAlign w:val="bottom"/>
            <w:hideMark/>
          </w:tcPr>
          <w:p w14:paraId="3E6F0CCB"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4A9CDD"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A70B14F" w14:textId="77777777" w:rsidR="00432B71" w:rsidRDefault="00432B71"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304F1A8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B9D6C1"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257093EA" w14:textId="77777777" w:rsidR="00432B71" w:rsidRDefault="00432B71" w:rsidP="005A3B4D">
            <w:pPr>
              <w:jc w:val="right"/>
              <w:rPr>
                <w:color w:val="000000"/>
                <w:sz w:val="20"/>
                <w:szCs w:val="20"/>
              </w:rPr>
            </w:pPr>
            <w:r>
              <w:rPr>
                <w:color w:val="000000"/>
                <w:sz w:val="20"/>
                <w:szCs w:val="20"/>
              </w:rPr>
              <w:t>0.251</w:t>
            </w:r>
          </w:p>
        </w:tc>
        <w:tc>
          <w:tcPr>
            <w:tcW w:w="768" w:type="dxa"/>
            <w:tcBorders>
              <w:top w:val="nil"/>
              <w:left w:val="nil"/>
              <w:bottom w:val="nil"/>
              <w:right w:val="nil"/>
            </w:tcBorders>
            <w:shd w:val="clear" w:color="auto" w:fill="auto"/>
            <w:noWrap/>
            <w:vAlign w:val="bottom"/>
            <w:hideMark/>
          </w:tcPr>
          <w:p w14:paraId="6AE73DC4"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39662A" w14:textId="77777777" w:rsidR="00432B71" w:rsidRDefault="00432B71"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69112AB4" w14:textId="77777777" w:rsidR="00432B71" w:rsidRDefault="00432B71" w:rsidP="005A3B4D">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52A0263D"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4E7CCBF"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BA6AC61" w14:textId="77777777" w:rsidR="00432B71" w:rsidRDefault="00432B71" w:rsidP="005A3B4D">
            <w:pPr>
              <w:jc w:val="right"/>
              <w:rPr>
                <w:color w:val="000000"/>
                <w:sz w:val="20"/>
                <w:szCs w:val="20"/>
              </w:rPr>
            </w:pPr>
            <w:r>
              <w:rPr>
                <w:color w:val="000000"/>
                <w:sz w:val="20"/>
                <w:szCs w:val="20"/>
              </w:rPr>
              <w:t>0.313</w:t>
            </w:r>
          </w:p>
        </w:tc>
        <w:tc>
          <w:tcPr>
            <w:tcW w:w="768" w:type="dxa"/>
            <w:tcBorders>
              <w:top w:val="nil"/>
              <w:left w:val="nil"/>
              <w:bottom w:val="nil"/>
              <w:right w:val="nil"/>
            </w:tcBorders>
            <w:shd w:val="clear" w:color="auto" w:fill="auto"/>
            <w:noWrap/>
            <w:vAlign w:val="bottom"/>
            <w:hideMark/>
          </w:tcPr>
          <w:p w14:paraId="342FDBC8" w14:textId="77777777" w:rsidR="00432B71" w:rsidRDefault="00432B71" w:rsidP="005A3B4D">
            <w:pPr>
              <w:jc w:val="right"/>
              <w:rPr>
                <w:color w:val="000000"/>
                <w:sz w:val="20"/>
                <w:szCs w:val="20"/>
              </w:rPr>
            </w:pPr>
            <w:r>
              <w:rPr>
                <w:color w:val="000000"/>
                <w:sz w:val="20"/>
                <w:szCs w:val="20"/>
              </w:rPr>
              <w:t>0.001</w:t>
            </w:r>
          </w:p>
        </w:tc>
      </w:tr>
      <w:tr w:rsidR="00432B71" w14:paraId="237724CE" w14:textId="77777777" w:rsidTr="005A3B4D">
        <w:trPr>
          <w:trHeight w:val="320"/>
        </w:trPr>
        <w:tc>
          <w:tcPr>
            <w:tcW w:w="1176" w:type="dxa"/>
            <w:tcBorders>
              <w:top w:val="nil"/>
              <w:left w:val="nil"/>
              <w:bottom w:val="nil"/>
              <w:right w:val="nil"/>
            </w:tcBorders>
            <w:shd w:val="clear" w:color="auto" w:fill="auto"/>
            <w:noWrap/>
            <w:vAlign w:val="bottom"/>
            <w:hideMark/>
          </w:tcPr>
          <w:p w14:paraId="06EE4464"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DC26E11"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70575CB"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1784AAB7" w14:textId="77777777" w:rsidR="00432B71" w:rsidRDefault="00432B71" w:rsidP="005A3B4D">
            <w:pPr>
              <w:jc w:val="right"/>
              <w:rPr>
                <w:color w:val="000000"/>
                <w:sz w:val="20"/>
                <w:szCs w:val="20"/>
              </w:rPr>
            </w:pPr>
            <w:r>
              <w:rPr>
                <w:color w:val="000000"/>
                <w:sz w:val="20"/>
                <w:szCs w:val="20"/>
              </w:rPr>
              <w:t>0.265</w:t>
            </w:r>
          </w:p>
        </w:tc>
        <w:tc>
          <w:tcPr>
            <w:tcW w:w="768" w:type="dxa"/>
            <w:tcBorders>
              <w:top w:val="nil"/>
              <w:left w:val="nil"/>
              <w:bottom w:val="nil"/>
              <w:right w:val="nil"/>
            </w:tcBorders>
            <w:shd w:val="clear" w:color="auto" w:fill="auto"/>
            <w:noWrap/>
            <w:vAlign w:val="bottom"/>
            <w:hideMark/>
          </w:tcPr>
          <w:p w14:paraId="5795EA4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D495752"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1A7C119" w14:textId="77777777" w:rsidR="00432B71" w:rsidRDefault="00432B71"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4BA7D3E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78BCC1"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2EDF34F" w14:textId="77777777" w:rsidR="00432B71" w:rsidRDefault="00432B71" w:rsidP="005A3B4D">
            <w:pPr>
              <w:jc w:val="right"/>
              <w:rPr>
                <w:color w:val="000000"/>
                <w:sz w:val="20"/>
                <w:szCs w:val="20"/>
              </w:rPr>
            </w:pPr>
            <w:r>
              <w:rPr>
                <w:color w:val="000000"/>
                <w:sz w:val="20"/>
                <w:szCs w:val="20"/>
              </w:rPr>
              <w:t>0.498</w:t>
            </w:r>
          </w:p>
        </w:tc>
        <w:tc>
          <w:tcPr>
            <w:tcW w:w="768" w:type="dxa"/>
            <w:tcBorders>
              <w:top w:val="nil"/>
              <w:left w:val="nil"/>
              <w:bottom w:val="nil"/>
              <w:right w:val="nil"/>
            </w:tcBorders>
            <w:shd w:val="clear" w:color="auto" w:fill="auto"/>
            <w:noWrap/>
            <w:vAlign w:val="bottom"/>
            <w:hideMark/>
          </w:tcPr>
          <w:p w14:paraId="6D9BE43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8EA7AD" w14:textId="77777777" w:rsidR="00432B71" w:rsidRDefault="00432B71"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BC34E9F" w14:textId="77777777" w:rsidR="00432B71" w:rsidRDefault="00432B71" w:rsidP="005A3B4D">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1EABFB23"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6CE2B3B"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E5D5524" w14:textId="77777777" w:rsidR="00432B71" w:rsidRDefault="00432B71" w:rsidP="005A3B4D">
            <w:pPr>
              <w:jc w:val="right"/>
              <w:rPr>
                <w:color w:val="000000"/>
                <w:sz w:val="20"/>
                <w:szCs w:val="20"/>
              </w:rPr>
            </w:pPr>
            <w:r>
              <w:rPr>
                <w:color w:val="000000"/>
                <w:sz w:val="20"/>
                <w:szCs w:val="20"/>
              </w:rPr>
              <w:t>0.313</w:t>
            </w:r>
          </w:p>
        </w:tc>
        <w:tc>
          <w:tcPr>
            <w:tcW w:w="768" w:type="dxa"/>
            <w:tcBorders>
              <w:top w:val="nil"/>
              <w:left w:val="nil"/>
              <w:bottom w:val="nil"/>
              <w:right w:val="nil"/>
            </w:tcBorders>
            <w:shd w:val="clear" w:color="auto" w:fill="auto"/>
            <w:noWrap/>
            <w:vAlign w:val="bottom"/>
            <w:hideMark/>
          </w:tcPr>
          <w:p w14:paraId="0D9836B3" w14:textId="77777777" w:rsidR="00432B71" w:rsidRDefault="00432B71" w:rsidP="005A3B4D">
            <w:pPr>
              <w:jc w:val="right"/>
              <w:rPr>
                <w:color w:val="000000"/>
                <w:sz w:val="20"/>
                <w:szCs w:val="20"/>
              </w:rPr>
            </w:pPr>
            <w:r>
              <w:rPr>
                <w:color w:val="000000"/>
                <w:sz w:val="20"/>
                <w:szCs w:val="20"/>
              </w:rPr>
              <w:t>0.001</w:t>
            </w:r>
          </w:p>
        </w:tc>
      </w:tr>
      <w:tr w:rsidR="00432B71" w14:paraId="2E36E3FE" w14:textId="77777777" w:rsidTr="005A3B4D">
        <w:trPr>
          <w:trHeight w:val="320"/>
        </w:trPr>
        <w:tc>
          <w:tcPr>
            <w:tcW w:w="1176" w:type="dxa"/>
            <w:tcBorders>
              <w:top w:val="nil"/>
              <w:left w:val="nil"/>
              <w:bottom w:val="nil"/>
              <w:right w:val="nil"/>
            </w:tcBorders>
            <w:shd w:val="clear" w:color="auto" w:fill="auto"/>
            <w:noWrap/>
            <w:vAlign w:val="bottom"/>
            <w:hideMark/>
          </w:tcPr>
          <w:p w14:paraId="2CCBBA05"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AC1AB9"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B89FAEE" w14:textId="77777777" w:rsidR="00432B71" w:rsidRDefault="00432B7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076C607E" w14:textId="77777777" w:rsidR="00432B71" w:rsidRDefault="00432B71" w:rsidP="005A3B4D">
            <w:pPr>
              <w:jc w:val="right"/>
              <w:rPr>
                <w:color w:val="000000"/>
                <w:sz w:val="20"/>
                <w:szCs w:val="20"/>
              </w:rPr>
            </w:pPr>
            <w:r>
              <w:rPr>
                <w:color w:val="000000"/>
                <w:sz w:val="20"/>
                <w:szCs w:val="20"/>
              </w:rPr>
              <w:t>0.265</w:t>
            </w:r>
          </w:p>
        </w:tc>
        <w:tc>
          <w:tcPr>
            <w:tcW w:w="768" w:type="dxa"/>
            <w:tcBorders>
              <w:top w:val="nil"/>
              <w:left w:val="nil"/>
              <w:bottom w:val="nil"/>
              <w:right w:val="nil"/>
            </w:tcBorders>
            <w:shd w:val="clear" w:color="auto" w:fill="auto"/>
            <w:noWrap/>
            <w:vAlign w:val="bottom"/>
            <w:hideMark/>
          </w:tcPr>
          <w:p w14:paraId="63BE880E"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F766977"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CB8AEAF" w14:textId="77777777" w:rsidR="00432B71" w:rsidRDefault="00432B71"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741228B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7B1F190" w14:textId="77777777" w:rsidR="00432B71" w:rsidRDefault="00432B71"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08D1AED" w14:textId="77777777" w:rsidR="00432B71" w:rsidRDefault="00432B71" w:rsidP="005A3B4D">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404EA215"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3ACCB03"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6F4E6B1" w14:textId="77777777" w:rsidR="00432B71" w:rsidRDefault="00432B71" w:rsidP="005A3B4D">
            <w:pPr>
              <w:jc w:val="right"/>
              <w:rPr>
                <w:color w:val="000000"/>
                <w:sz w:val="20"/>
                <w:szCs w:val="20"/>
              </w:rPr>
            </w:pPr>
            <w:r>
              <w:rPr>
                <w:color w:val="000000"/>
                <w:sz w:val="20"/>
                <w:szCs w:val="20"/>
              </w:rPr>
              <w:t>0.278</w:t>
            </w:r>
          </w:p>
        </w:tc>
        <w:tc>
          <w:tcPr>
            <w:tcW w:w="768" w:type="dxa"/>
            <w:tcBorders>
              <w:top w:val="nil"/>
              <w:left w:val="nil"/>
              <w:bottom w:val="nil"/>
              <w:right w:val="nil"/>
            </w:tcBorders>
            <w:shd w:val="clear" w:color="auto" w:fill="auto"/>
            <w:noWrap/>
            <w:vAlign w:val="bottom"/>
            <w:hideMark/>
          </w:tcPr>
          <w:p w14:paraId="6C42DB6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E80D14" w14:textId="77777777" w:rsidR="00432B71" w:rsidRDefault="00432B71"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704AB279" w14:textId="77777777" w:rsidR="00432B71" w:rsidRDefault="00432B71" w:rsidP="005A3B4D">
            <w:pPr>
              <w:jc w:val="right"/>
              <w:rPr>
                <w:color w:val="000000"/>
                <w:sz w:val="20"/>
                <w:szCs w:val="20"/>
              </w:rPr>
            </w:pPr>
            <w:r>
              <w:rPr>
                <w:color w:val="000000"/>
                <w:sz w:val="20"/>
                <w:szCs w:val="20"/>
              </w:rPr>
              <w:t>0.134</w:t>
            </w:r>
          </w:p>
        </w:tc>
        <w:tc>
          <w:tcPr>
            <w:tcW w:w="768" w:type="dxa"/>
            <w:tcBorders>
              <w:top w:val="nil"/>
              <w:left w:val="nil"/>
              <w:bottom w:val="nil"/>
              <w:right w:val="nil"/>
            </w:tcBorders>
            <w:shd w:val="clear" w:color="auto" w:fill="auto"/>
            <w:noWrap/>
            <w:vAlign w:val="bottom"/>
            <w:hideMark/>
          </w:tcPr>
          <w:p w14:paraId="7CADAF9C" w14:textId="77777777" w:rsidR="00432B71" w:rsidRDefault="00432B71" w:rsidP="005A3B4D">
            <w:pPr>
              <w:jc w:val="right"/>
              <w:rPr>
                <w:color w:val="000000"/>
                <w:sz w:val="20"/>
                <w:szCs w:val="20"/>
              </w:rPr>
            </w:pPr>
            <w:r>
              <w:rPr>
                <w:color w:val="000000"/>
                <w:sz w:val="20"/>
                <w:szCs w:val="20"/>
              </w:rPr>
              <w:t>0.002</w:t>
            </w:r>
          </w:p>
        </w:tc>
      </w:tr>
      <w:tr w:rsidR="00432B71" w14:paraId="4ACE6083" w14:textId="77777777" w:rsidTr="005A3B4D">
        <w:trPr>
          <w:trHeight w:val="320"/>
        </w:trPr>
        <w:tc>
          <w:tcPr>
            <w:tcW w:w="1176" w:type="dxa"/>
            <w:tcBorders>
              <w:top w:val="nil"/>
              <w:left w:val="nil"/>
              <w:bottom w:val="nil"/>
              <w:right w:val="nil"/>
            </w:tcBorders>
            <w:shd w:val="clear" w:color="auto" w:fill="auto"/>
            <w:noWrap/>
            <w:vAlign w:val="bottom"/>
            <w:hideMark/>
          </w:tcPr>
          <w:p w14:paraId="0AD5458B"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2D996CD"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07AFDE1"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96A7E8C" w14:textId="77777777" w:rsidR="00432B71" w:rsidRDefault="00432B71" w:rsidP="005A3B4D">
            <w:pPr>
              <w:jc w:val="right"/>
              <w:rPr>
                <w:color w:val="000000"/>
                <w:sz w:val="20"/>
                <w:szCs w:val="20"/>
              </w:rPr>
            </w:pPr>
            <w:r>
              <w:rPr>
                <w:color w:val="000000"/>
                <w:sz w:val="20"/>
                <w:szCs w:val="20"/>
              </w:rPr>
              <w:t>0.265</w:t>
            </w:r>
          </w:p>
        </w:tc>
        <w:tc>
          <w:tcPr>
            <w:tcW w:w="768" w:type="dxa"/>
            <w:tcBorders>
              <w:top w:val="nil"/>
              <w:left w:val="nil"/>
              <w:bottom w:val="nil"/>
              <w:right w:val="nil"/>
            </w:tcBorders>
            <w:shd w:val="clear" w:color="auto" w:fill="auto"/>
            <w:noWrap/>
            <w:vAlign w:val="bottom"/>
            <w:hideMark/>
          </w:tcPr>
          <w:p w14:paraId="3585AA9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3EDFB48" w14:textId="77777777" w:rsidR="00432B71" w:rsidRDefault="00432B7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BCDDB3D" w14:textId="77777777" w:rsidR="00432B71" w:rsidRDefault="00432B71"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6360841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B7FA11" w14:textId="77777777" w:rsidR="00432B71" w:rsidRDefault="00432B71"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150108E3" w14:textId="77777777" w:rsidR="00432B71" w:rsidRDefault="00432B71" w:rsidP="005A3B4D">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63BEB478"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61E4EC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3C16423" w14:textId="77777777" w:rsidR="00432B71" w:rsidRDefault="00432B71" w:rsidP="005A3B4D">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5D2B7AD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155CB4" w14:textId="77777777" w:rsidR="00432B71" w:rsidRDefault="00432B71" w:rsidP="005A3B4D">
            <w:pPr>
              <w:jc w:val="right"/>
              <w:rPr>
                <w:b/>
                <w:bCs/>
                <w:color w:val="000000"/>
                <w:sz w:val="20"/>
                <w:szCs w:val="20"/>
              </w:rPr>
            </w:pPr>
            <w:r>
              <w:rPr>
                <w:b/>
                <w:bCs/>
                <w:color w:val="000000"/>
                <w:sz w:val="20"/>
                <w:szCs w:val="20"/>
              </w:rPr>
              <w:t>-0.074</w:t>
            </w:r>
          </w:p>
        </w:tc>
        <w:tc>
          <w:tcPr>
            <w:tcW w:w="768" w:type="dxa"/>
            <w:tcBorders>
              <w:top w:val="nil"/>
              <w:left w:val="nil"/>
              <w:bottom w:val="nil"/>
              <w:right w:val="nil"/>
            </w:tcBorders>
            <w:shd w:val="clear" w:color="auto" w:fill="auto"/>
            <w:noWrap/>
            <w:vAlign w:val="bottom"/>
            <w:hideMark/>
          </w:tcPr>
          <w:p w14:paraId="16925F3A" w14:textId="77777777" w:rsidR="00432B71" w:rsidRDefault="00432B71"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085BF4E3" w14:textId="77777777" w:rsidR="00432B71" w:rsidRDefault="00432B71" w:rsidP="005A3B4D">
            <w:pPr>
              <w:jc w:val="right"/>
              <w:rPr>
                <w:color w:val="000000"/>
                <w:sz w:val="20"/>
                <w:szCs w:val="20"/>
              </w:rPr>
            </w:pPr>
            <w:r>
              <w:rPr>
                <w:b/>
                <w:bCs/>
                <w:color w:val="000000"/>
                <w:sz w:val="20"/>
                <w:szCs w:val="20"/>
              </w:rPr>
              <w:t>0.005</w:t>
            </w:r>
          </w:p>
        </w:tc>
      </w:tr>
      <w:tr w:rsidR="00432B71" w14:paraId="05D0C401" w14:textId="77777777" w:rsidTr="005A3B4D">
        <w:trPr>
          <w:trHeight w:val="320"/>
        </w:trPr>
        <w:tc>
          <w:tcPr>
            <w:tcW w:w="1176" w:type="dxa"/>
            <w:tcBorders>
              <w:top w:val="nil"/>
              <w:left w:val="nil"/>
              <w:bottom w:val="nil"/>
              <w:right w:val="nil"/>
            </w:tcBorders>
            <w:shd w:val="clear" w:color="auto" w:fill="auto"/>
            <w:noWrap/>
            <w:vAlign w:val="bottom"/>
            <w:hideMark/>
          </w:tcPr>
          <w:p w14:paraId="6A595655"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051E56E"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0DB6BAD" w14:textId="77777777" w:rsidR="00432B71" w:rsidRDefault="00432B71"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5CBEA6F6" w14:textId="77777777" w:rsidR="00432B71" w:rsidRDefault="00432B71"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19180ECD"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AFC835F"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448B67E" w14:textId="77777777" w:rsidR="00432B71" w:rsidRDefault="00432B71"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048DD79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949133"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6E932718" w14:textId="77777777" w:rsidR="00432B71" w:rsidRDefault="00432B71" w:rsidP="005A3B4D">
            <w:pPr>
              <w:jc w:val="right"/>
              <w:rPr>
                <w:color w:val="000000"/>
                <w:sz w:val="20"/>
                <w:szCs w:val="20"/>
              </w:rPr>
            </w:pPr>
            <w:r>
              <w:rPr>
                <w:color w:val="000000"/>
                <w:sz w:val="20"/>
                <w:szCs w:val="20"/>
              </w:rPr>
              <w:t>0.211</w:t>
            </w:r>
          </w:p>
        </w:tc>
        <w:tc>
          <w:tcPr>
            <w:tcW w:w="768" w:type="dxa"/>
            <w:tcBorders>
              <w:top w:val="nil"/>
              <w:left w:val="nil"/>
              <w:bottom w:val="nil"/>
              <w:right w:val="nil"/>
            </w:tcBorders>
            <w:shd w:val="clear" w:color="auto" w:fill="auto"/>
            <w:noWrap/>
            <w:vAlign w:val="bottom"/>
            <w:hideMark/>
          </w:tcPr>
          <w:p w14:paraId="1E4FAE32"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1DA6BFC"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36D88BF" w14:textId="77777777" w:rsidR="00432B71" w:rsidRDefault="00432B71" w:rsidP="005A3B4D">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7C23FE4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BDF8D91"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A46B325" w14:textId="77777777" w:rsidR="00432B71" w:rsidRDefault="00432B71" w:rsidP="005A3B4D">
            <w:pPr>
              <w:jc w:val="right"/>
              <w:rPr>
                <w:color w:val="000000"/>
                <w:sz w:val="20"/>
                <w:szCs w:val="20"/>
              </w:rPr>
            </w:pPr>
            <w:r>
              <w:rPr>
                <w:color w:val="000000"/>
                <w:sz w:val="20"/>
                <w:szCs w:val="20"/>
              </w:rPr>
              <w:t>0.793</w:t>
            </w:r>
          </w:p>
        </w:tc>
        <w:tc>
          <w:tcPr>
            <w:tcW w:w="768" w:type="dxa"/>
            <w:tcBorders>
              <w:top w:val="nil"/>
              <w:left w:val="nil"/>
              <w:bottom w:val="nil"/>
              <w:right w:val="nil"/>
            </w:tcBorders>
            <w:shd w:val="clear" w:color="auto" w:fill="auto"/>
            <w:noWrap/>
            <w:vAlign w:val="bottom"/>
            <w:hideMark/>
          </w:tcPr>
          <w:p w14:paraId="25534026" w14:textId="77777777" w:rsidR="00432B71" w:rsidRDefault="00432B71" w:rsidP="005A3B4D">
            <w:pPr>
              <w:jc w:val="right"/>
              <w:rPr>
                <w:color w:val="000000"/>
                <w:sz w:val="20"/>
                <w:szCs w:val="20"/>
              </w:rPr>
            </w:pPr>
            <w:r>
              <w:rPr>
                <w:color w:val="000000"/>
                <w:sz w:val="20"/>
                <w:szCs w:val="20"/>
              </w:rPr>
              <w:t>0.000</w:t>
            </w:r>
          </w:p>
        </w:tc>
      </w:tr>
      <w:tr w:rsidR="00432B71" w14:paraId="6A116D6A" w14:textId="77777777" w:rsidTr="005A3B4D">
        <w:trPr>
          <w:trHeight w:val="320"/>
        </w:trPr>
        <w:tc>
          <w:tcPr>
            <w:tcW w:w="1176" w:type="dxa"/>
            <w:tcBorders>
              <w:top w:val="nil"/>
              <w:left w:val="nil"/>
              <w:bottom w:val="nil"/>
              <w:right w:val="nil"/>
            </w:tcBorders>
            <w:shd w:val="clear" w:color="auto" w:fill="auto"/>
            <w:noWrap/>
            <w:vAlign w:val="bottom"/>
            <w:hideMark/>
          </w:tcPr>
          <w:p w14:paraId="34FC17C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2A1194"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6F12924"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CC423C4" w14:textId="77777777" w:rsidR="00432B71" w:rsidRDefault="00432B71" w:rsidP="005A3B4D">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0B9D004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216B9B"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A29E6C9" w14:textId="77777777" w:rsidR="00432B71" w:rsidRDefault="00432B71"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54877FD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3F43BF"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F16F9E3" w14:textId="77777777" w:rsidR="00432B71" w:rsidRDefault="00432B71" w:rsidP="005A3B4D">
            <w:pPr>
              <w:jc w:val="right"/>
              <w:rPr>
                <w:color w:val="000000"/>
                <w:sz w:val="20"/>
                <w:szCs w:val="20"/>
              </w:rPr>
            </w:pPr>
            <w:r>
              <w:rPr>
                <w:color w:val="000000"/>
                <w:sz w:val="20"/>
                <w:szCs w:val="20"/>
              </w:rPr>
              <w:t>0.251</w:t>
            </w:r>
          </w:p>
        </w:tc>
        <w:tc>
          <w:tcPr>
            <w:tcW w:w="768" w:type="dxa"/>
            <w:tcBorders>
              <w:top w:val="nil"/>
              <w:left w:val="nil"/>
              <w:bottom w:val="nil"/>
              <w:right w:val="nil"/>
            </w:tcBorders>
            <w:shd w:val="clear" w:color="auto" w:fill="auto"/>
            <w:noWrap/>
            <w:vAlign w:val="bottom"/>
            <w:hideMark/>
          </w:tcPr>
          <w:p w14:paraId="1F7D4AE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4AFB77F"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041F375E" w14:textId="77777777" w:rsidR="00432B71" w:rsidRDefault="00432B71" w:rsidP="005A3B4D">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3C9BB56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C8B7A0D" w14:textId="77777777" w:rsidR="00432B71" w:rsidRDefault="00432B71" w:rsidP="005A3B4D">
            <w:pPr>
              <w:jc w:val="right"/>
              <w:rPr>
                <w:b/>
                <w:bCs/>
                <w:color w:val="000000"/>
                <w:sz w:val="20"/>
                <w:szCs w:val="20"/>
              </w:rPr>
            </w:pPr>
            <w:r>
              <w:rPr>
                <w:b/>
                <w:bCs/>
                <w:color w:val="000000"/>
                <w:sz w:val="20"/>
                <w:szCs w:val="20"/>
              </w:rPr>
              <w:t>-0.064</w:t>
            </w:r>
          </w:p>
        </w:tc>
        <w:tc>
          <w:tcPr>
            <w:tcW w:w="768" w:type="dxa"/>
            <w:tcBorders>
              <w:top w:val="nil"/>
              <w:left w:val="nil"/>
              <w:bottom w:val="nil"/>
              <w:right w:val="nil"/>
            </w:tcBorders>
            <w:shd w:val="clear" w:color="auto" w:fill="auto"/>
            <w:noWrap/>
            <w:vAlign w:val="bottom"/>
            <w:hideMark/>
          </w:tcPr>
          <w:p w14:paraId="4DD616B2" w14:textId="77777777" w:rsidR="00432B71" w:rsidRDefault="00432B71" w:rsidP="005A3B4D">
            <w:pPr>
              <w:jc w:val="right"/>
              <w:rPr>
                <w:b/>
                <w:bCs/>
                <w:color w:val="000000"/>
                <w:sz w:val="20"/>
                <w:szCs w:val="20"/>
              </w:rPr>
            </w:pPr>
            <w:r>
              <w:rPr>
                <w:b/>
                <w:bCs/>
                <w:color w:val="000000"/>
                <w:sz w:val="20"/>
                <w:szCs w:val="20"/>
              </w:rPr>
              <w:t>0.028</w:t>
            </w:r>
          </w:p>
        </w:tc>
        <w:tc>
          <w:tcPr>
            <w:tcW w:w="768" w:type="dxa"/>
            <w:tcBorders>
              <w:top w:val="nil"/>
              <w:left w:val="nil"/>
              <w:bottom w:val="nil"/>
              <w:right w:val="nil"/>
            </w:tcBorders>
            <w:shd w:val="clear" w:color="auto" w:fill="auto"/>
            <w:noWrap/>
            <w:vAlign w:val="bottom"/>
            <w:hideMark/>
          </w:tcPr>
          <w:p w14:paraId="29317991" w14:textId="77777777" w:rsidR="00432B71" w:rsidRDefault="00432B71" w:rsidP="005A3B4D">
            <w:pPr>
              <w:jc w:val="right"/>
              <w:rPr>
                <w:color w:val="000000"/>
                <w:sz w:val="20"/>
                <w:szCs w:val="20"/>
              </w:rPr>
            </w:pPr>
            <w:r>
              <w:rPr>
                <w:b/>
                <w:bCs/>
                <w:color w:val="000000"/>
                <w:sz w:val="20"/>
                <w:szCs w:val="20"/>
              </w:rPr>
              <w:t>0.004</w:t>
            </w:r>
          </w:p>
        </w:tc>
      </w:tr>
      <w:tr w:rsidR="00432B71" w14:paraId="28008988"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399F6F1F"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476DC84"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EF68F24" w14:textId="77777777" w:rsidR="00432B71" w:rsidRDefault="00432B71" w:rsidP="005A3B4D">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63DE3417" w14:textId="77777777" w:rsidR="00432B71" w:rsidRDefault="00432B71" w:rsidP="005A3B4D">
            <w:pPr>
              <w:jc w:val="right"/>
              <w:rPr>
                <w:color w:val="000000"/>
                <w:sz w:val="20"/>
                <w:szCs w:val="20"/>
              </w:rPr>
            </w:pPr>
            <w:r>
              <w:rPr>
                <w:color w:val="000000"/>
                <w:sz w:val="20"/>
                <w:szCs w:val="20"/>
              </w:rPr>
              <w:t>0.265</w:t>
            </w:r>
          </w:p>
        </w:tc>
        <w:tc>
          <w:tcPr>
            <w:tcW w:w="768" w:type="dxa"/>
            <w:tcBorders>
              <w:top w:val="nil"/>
              <w:left w:val="nil"/>
              <w:bottom w:val="single" w:sz="4" w:space="0" w:color="auto"/>
              <w:right w:val="nil"/>
            </w:tcBorders>
            <w:shd w:val="clear" w:color="auto" w:fill="auto"/>
            <w:noWrap/>
            <w:vAlign w:val="bottom"/>
            <w:hideMark/>
          </w:tcPr>
          <w:p w14:paraId="5E81324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D733C38" w14:textId="77777777" w:rsidR="00432B71" w:rsidRDefault="00432B71" w:rsidP="005A3B4D">
            <w:pPr>
              <w:jc w:val="right"/>
              <w:rPr>
                <w:color w:val="000000"/>
                <w:sz w:val="20"/>
                <w:szCs w:val="20"/>
              </w:rPr>
            </w:pPr>
            <w:r>
              <w:rPr>
                <w:color w:val="000000"/>
                <w:sz w:val="20"/>
                <w:szCs w:val="20"/>
              </w:rPr>
              <w:t>-0.043</w:t>
            </w:r>
          </w:p>
        </w:tc>
        <w:tc>
          <w:tcPr>
            <w:tcW w:w="768" w:type="dxa"/>
            <w:tcBorders>
              <w:top w:val="nil"/>
              <w:left w:val="nil"/>
              <w:bottom w:val="single" w:sz="4" w:space="0" w:color="auto"/>
              <w:right w:val="nil"/>
            </w:tcBorders>
            <w:shd w:val="clear" w:color="auto" w:fill="auto"/>
            <w:noWrap/>
            <w:vAlign w:val="bottom"/>
            <w:hideMark/>
          </w:tcPr>
          <w:p w14:paraId="68D9E311" w14:textId="77777777" w:rsidR="00432B71" w:rsidRDefault="00432B71" w:rsidP="005A3B4D">
            <w:pPr>
              <w:jc w:val="right"/>
              <w:rPr>
                <w:color w:val="000000"/>
                <w:sz w:val="20"/>
                <w:szCs w:val="20"/>
              </w:rPr>
            </w:pPr>
            <w:r>
              <w:rPr>
                <w:color w:val="000000"/>
                <w:sz w:val="20"/>
                <w:szCs w:val="20"/>
              </w:rPr>
              <w:t>0.608</w:t>
            </w:r>
          </w:p>
        </w:tc>
        <w:tc>
          <w:tcPr>
            <w:tcW w:w="768" w:type="dxa"/>
            <w:tcBorders>
              <w:top w:val="nil"/>
              <w:left w:val="nil"/>
              <w:bottom w:val="single" w:sz="4" w:space="0" w:color="auto"/>
              <w:right w:val="nil"/>
            </w:tcBorders>
            <w:shd w:val="clear" w:color="auto" w:fill="auto"/>
            <w:noWrap/>
            <w:vAlign w:val="bottom"/>
            <w:hideMark/>
          </w:tcPr>
          <w:p w14:paraId="09E90242"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B0853DA"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19859CAD" w14:textId="77777777" w:rsidR="00432B71" w:rsidRDefault="00432B71" w:rsidP="005A3B4D">
            <w:pPr>
              <w:jc w:val="right"/>
              <w:rPr>
                <w:color w:val="000000"/>
                <w:sz w:val="20"/>
                <w:szCs w:val="20"/>
              </w:rPr>
            </w:pPr>
            <w:r>
              <w:rPr>
                <w:color w:val="000000"/>
                <w:sz w:val="20"/>
                <w:szCs w:val="20"/>
              </w:rPr>
              <w:t>0.409</w:t>
            </w:r>
          </w:p>
        </w:tc>
        <w:tc>
          <w:tcPr>
            <w:tcW w:w="768" w:type="dxa"/>
            <w:tcBorders>
              <w:top w:val="nil"/>
              <w:left w:val="nil"/>
              <w:bottom w:val="single" w:sz="4" w:space="0" w:color="auto"/>
              <w:right w:val="nil"/>
            </w:tcBorders>
            <w:shd w:val="clear" w:color="auto" w:fill="auto"/>
            <w:noWrap/>
            <w:vAlign w:val="bottom"/>
            <w:hideMark/>
          </w:tcPr>
          <w:p w14:paraId="35D8617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91F795B"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577F6635" w14:textId="77777777" w:rsidR="00432B71" w:rsidRDefault="00432B71" w:rsidP="005A3B4D">
            <w:pPr>
              <w:jc w:val="right"/>
              <w:rPr>
                <w:color w:val="000000"/>
                <w:sz w:val="20"/>
                <w:szCs w:val="20"/>
              </w:rPr>
            </w:pPr>
            <w:r>
              <w:rPr>
                <w:color w:val="000000"/>
                <w:sz w:val="20"/>
                <w:szCs w:val="20"/>
              </w:rPr>
              <w:t>0.408</w:t>
            </w:r>
          </w:p>
        </w:tc>
        <w:tc>
          <w:tcPr>
            <w:tcW w:w="768" w:type="dxa"/>
            <w:tcBorders>
              <w:top w:val="nil"/>
              <w:left w:val="nil"/>
              <w:bottom w:val="single" w:sz="4" w:space="0" w:color="auto"/>
              <w:right w:val="nil"/>
            </w:tcBorders>
            <w:shd w:val="clear" w:color="auto" w:fill="auto"/>
            <w:noWrap/>
            <w:vAlign w:val="bottom"/>
            <w:hideMark/>
          </w:tcPr>
          <w:p w14:paraId="4D80EA6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5AD4184" w14:textId="77777777" w:rsidR="00432B71" w:rsidRDefault="00432B71" w:rsidP="005A3B4D">
            <w:pPr>
              <w:jc w:val="right"/>
              <w:rPr>
                <w:b/>
                <w:bCs/>
                <w:color w:val="000000"/>
                <w:sz w:val="20"/>
                <w:szCs w:val="20"/>
              </w:rPr>
            </w:pPr>
            <w:r>
              <w:rPr>
                <w:b/>
                <w:bCs/>
                <w:color w:val="000000"/>
                <w:sz w:val="20"/>
                <w:szCs w:val="20"/>
              </w:rPr>
              <w:t>0.061</w:t>
            </w:r>
          </w:p>
        </w:tc>
        <w:tc>
          <w:tcPr>
            <w:tcW w:w="768" w:type="dxa"/>
            <w:tcBorders>
              <w:top w:val="nil"/>
              <w:left w:val="nil"/>
              <w:bottom w:val="single" w:sz="4" w:space="0" w:color="auto"/>
              <w:right w:val="nil"/>
            </w:tcBorders>
            <w:shd w:val="clear" w:color="auto" w:fill="auto"/>
            <w:noWrap/>
            <w:vAlign w:val="bottom"/>
            <w:hideMark/>
          </w:tcPr>
          <w:p w14:paraId="42B74576" w14:textId="77777777" w:rsidR="00432B71" w:rsidRDefault="00432B71" w:rsidP="005A3B4D">
            <w:pPr>
              <w:jc w:val="right"/>
              <w:rPr>
                <w:b/>
                <w:bCs/>
                <w:color w:val="000000"/>
                <w:sz w:val="20"/>
                <w:szCs w:val="20"/>
              </w:rPr>
            </w:pPr>
            <w:r>
              <w:rPr>
                <w:b/>
                <w:bCs/>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0BF097E9" w14:textId="77777777" w:rsidR="00432B71" w:rsidRDefault="00432B71" w:rsidP="005A3B4D">
            <w:pPr>
              <w:jc w:val="right"/>
              <w:rPr>
                <w:color w:val="000000"/>
                <w:sz w:val="20"/>
                <w:szCs w:val="20"/>
              </w:rPr>
            </w:pPr>
            <w:r>
              <w:rPr>
                <w:b/>
                <w:bCs/>
                <w:color w:val="000000"/>
                <w:sz w:val="20"/>
                <w:szCs w:val="20"/>
              </w:rPr>
              <w:t>0.004</w:t>
            </w:r>
          </w:p>
        </w:tc>
      </w:tr>
      <w:tr w:rsidR="00432B71" w14:paraId="2857274D" w14:textId="77777777" w:rsidTr="005A3B4D">
        <w:trPr>
          <w:trHeight w:val="320"/>
        </w:trPr>
        <w:tc>
          <w:tcPr>
            <w:tcW w:w="1176" w:type="dxa"/>
            <w:tcBorders>
              <w:top w:val="nil"/>
              <w:left w:val="nil"/>
              <w:bottom w:val="nil"/>
              <w:right w:val="nil"/>
            </w:tcBorders>
            <w:shd w:val="clear" w:color="auto" w:fill="auto"/>
            <w:noWrap/>
            <w:vAlign w:val="bottom"/>
            <w:hideMark/>
          </w:tcPr>
          <w:p w14:paraId="37A8EF9D" w14:textId="77777777" w:rsidR="00432B71" w:rsidRDefault="00432B71"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66FD1F44"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7A56D9D"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406AE7D1" w14:textId="77777777" w:rsidR="00432B71" w:rsidRDefault="00432B71" w:rsidP="005A3B4D">
            <w:pPr>
              <w:jc w:val="right"/>
              <w:rPr>
                <w:color w:val="000000"/>
                <w:sz w:val="20"/>
                <w:szCs w:val="20"/>
              </w:rPr>
            </w:pPr>
            <w:r>
              <w:rPr>
                <w:color w:val="000000"/>
                <w:sz w:val="20"/>
                <w:szCs w:val="20"/>
              </w:rPr>
              <w:t>0.370</w:t>
            </w:r>
          </w:p>
        </w:tc>
        <w:tc>
          <w:tcPr>
            <w:tcW w:w="768" w:type="dxa"/>
            <w:tcBorders>
              <w:top w:val="nil"/>
              <w:left w:val="nil"/>
              <w:bottom w:val="nil"/>
              <w:right w:val="nil"/>
            </w:tcBorders>
            <w:shd w:val="clear" w:color="auto" w:fill="auto"/>
            <w:noWrap/>
            <w:vAlign w:val="bottom"/>
            <w:hideMark/>
          </w:tcPr>
          <w:p w14:paraId="604C173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236E19"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4439C1D" w14:textId="77777777" w:rsidR="00432B71" w:rsidRDefault="00432B71" w:rsidP="005A3B4D">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30C8AEA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E0CCEE"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42289E5" w14:textId="77777777" w:rsidR="00432B71" w:rsidRDefault="00432B71" w:rsidP="005A3B4D">
            <w:pPr>
              <w:jc w:val="right"/>
              <w:rPr>
                <w:color w:val="000000"/>
                <w:sz w:val="20"/>
                <w:szCs w:val="20"/>
              </w:rPr>
            </w:pPr>
            <w:r>
              <w:rPr>
                <w:color w:val="000000"/>
                <w:sz w:val="20"/>
                <w:szCs w:val="20"/>
              </w:rPr>
              <w:t>0.693</w:t>
            </w:r>
          </w:p>
        </w:tc>
        <w:tc>
          <w:tcPr>
            <w:tcW w:w="768" w:type="dxa"/>
            <w:tcBorders>
              <w:top w:val="nil"/>
              <w:left w:val="nil"/>
              <w:bottom w:val="nil"/>
              <w:right w:val="nil"/>
            </w:tcBorders>
            <w:shd w:val="clear" w:color="auto" w:fill="auto"/>
            <w:noWrap/>
            <w:vAlign w:val="bottom"/>
            <w:hideMark/>
          </w:tcPr>
          <w:p w14:paraId="4C11025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929506" w14:textId="77777777" w:rsidR="00432B71" w:rsidRDefault="00432B71"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696BD87A" w14:textId="77777777" w:rsidR="00432B71" w:rsidRDefault="00432B71" w:rsidP="005A3B4D">
            <w:pPr>
              <w:jc w:val="right"/>
              <w:rPr>
                <w:color w:val="000000"/>
                <w:sz w:val="20"/>
                <w:szCs w:val="20"/>
              </w:rPr>
            </w:pPr>
            <w:r>
              <w:rPr>
                <w:color w:val="000000"/>
                <w:sz w:val="20"/>
                <w:szCs w:val="20"/>
              </w:rPr>
              <w:t>0.290</w:t>
            </w:r>
          </w:p>
        </w:tc>
        <w:tc>
          <w:tcPr>
            <w:tcW w:w="768" w:type="dxa"/>
            <w:tcBorders>
              <w:top w:val="nil"/>
              <w:left w:val="nil"/>
              <w:bottom w:val="nil"/>
              <w:right w:val="nil"/>
            </w:tcBorders>
            <w:shd w:val="clear" w:color="auto" w:fill="auto"/>
            <w:noWrap/>
            <w:vAlign w:val="bottom"/>
            <w:hideMark/>
          </w:tcPr>
          <w:p w14:paraId="695C9D3B"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08C344" w14:textId="77777777" w:rsidR="00432B71" w:rsidRDefault="00432B7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837D195" w14:textId="77777777" w:rsidR="00432B71" w:rsidRDefault="00432B71" w:rsidP="005A3B4D">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40701EB7" w14:textId="77777777" w:rsidR="00432B71" w:rsidRDefault="00432B71" w:rsidP="005A3B4D">
            <w:pPr>
              <w:jc w:val="right"/>
              <w:rPr>
                <w:color w:val="000000"/>
                <w:sz w:val="20"/>
                <w:szCs w:val="20"/>
              </w:rPr>
            </w:pPr>
            <w:r>
              <w:rPr>
                <w:color w:val="000000"/>
                <w:sz w:val="20"/>
                <w:szCs w:val="20"/>
              </w:rPr>
              <w:t>0.000</w:t>
            </w:r>
          </w:p>
        </w:tc>
      </w:tr>
      <w:tr w:rsidR="00432B71" w14:paraId="357EF543" w14:textId="77777777" w:rsidTr="005A3B4D">
        <w:trPr>
          <w:trHeight w:val="320"/>
        </w:trPr>
        <w:tc>
          <w:tcPr>
            <w:tcW w:w="1176" w:type="dxa"/>
            <w:tcBorders>
              <w:top w:val="nil"/>
              <w:left w:val="nil"/>
              <w:bottom w:val="nil"/>
              <w:right w:val="nil"/>
            </w:tcBorders>
            <w:shd w:val="clear" w:color="auto" w:fill="auto"/>
            <w:noWrap/>
            <w:vAlign w:val="bottom"/>
            <w:hideMark/>
          </w:tcPr>
          <w:p w14:paraId="328B8020"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CBF2C95"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D1E2B9E" w14:textId="77777777" w:rsidR="00432B71" w:rsidRDefault="00432B71"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497C1DEC" w14:textId="77777777" w:rsidR="00432B71" w:rsidRDefault="00432B71"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3994B230"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884B1E8" w14:textId="77777777" w:rsidR="00432B71" w:rsidRDefault="00432B7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5A9DC49" w14:textId="77777777" w:rsidR="00432B71" w:rsidRDefault="00432B71" w:rsidP="005A3B4D">
            <w:pPr>
              <w:jc w:val="right"/>
              <w:rPr>
                <w:color w:val="000000"/>
                <w:sz w:val="20"/>
                <w:szCs w:val="20"/>
              </w:rPr>
            </w:pPr>
            <w:r>
              <w:rPr>
                <w:color w:val="000000"/>
                <w:sz w:val="20"/>
                <w:szCs w:val="20"/>
              </w:rPr>
              <w:t>0.745</w:t>
            </w:r>
          </w:p>
        </w:tc>
        <w:tc>
          <w:tcPr>
            <w:tcW w:w="768" w:type="dxa"/>
            <w:tcBorders>
              <w:top w:val="nil"/>
              <w:left w:val="nil"/>
              <w:bottom w:val="nil"/>
              <w:right w:val="nil"/>
            </w:tcBorders>
            <w:shd w:val="clear" w:color="auto" w:fill="auto"/>
            <w:noWrap/>
            <w:vAlign w:val="bottom"/>
            <w:hideMark/>
          </w:tcPr>
          <w:p w14:paraId="5074AF8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7F24DD"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3B6030F" w14:textId="77777777" w:rsidR="00432B71" w:rsidRDefault="00432B71" w:rsidP="005A3B4D">
            <w:pPr>
              <w:jc w:val="right"/>
              <w:rPr>
                <w:color w:val="000000"/>
                <w:sz w:val="20"/>
                <w:szCs w:val="20"/>
              </w:rPr>
            </w:pPr>
            <w:r>
              <w:rPr>
                <w:color w:val="000000"/>
                <w:sz w:val="20"/>
                <w:szCs w:val="20"/>
              </w:rPr>
              <w:t>0.987</w:t>
            </w:r>
          </w:p>
        </w:tc>
        <w:tc>
          <w:tcPr>
            <w:tcW w:w="768" w:type="dxa"/>
            <w:tcBorders>
              <w:top w:val="nil"/>
              <w:left w:val="nil"/>
              <w:bottom w:val="nil"/>
              <w:right w:val="nil"/>
            </w:tcBorders>
            <w:shd w:val="clear" w:color="auto" w:fill="auto"/>
            <w:noWrap/>
            <w:vAlign w:val="bottom"/>
            <w:hideMark/>
          </w:tcPr>
          <w:p w14:paraId="08A028F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4FA53C"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1828FB1" w14:textId="77777777" w:rsidR="00432B71" w:rsidRDefault="00432B71" w:rsidP="005A3B4D">
            <w:pPr>
              <w:jc w:val="right"/>
              <w:rPr>
                <w:color w:val="000000"/>
                <w:sz w:val="20"/>
                <w:szCs w:val="20"/>
              </w:rPr>
            </w:pPr>
            <w:r>
              <w:rPr>
                <w:color w:val="000000"/>
                <w:sz w:val="20"/>
                <w:szCs w:val="20"/>
              </w:rPr>
              <w:t>0.290</w:t>
            </w:r>
          </w:p>
        </w:tc>
        <w:tc>
          <w:tcPr>
            <w:tcW w:w="768" w:type="dxa"/>
            <w:tcBorders>
              <w:top w:val="nil"/>
              <w:left w:val="nil"/>
              <w:bottom w:val="nil"/>
              <w:right w:val="nil"/>
            </w:tcBorders>
            <w:shd w:val="clear" w:color="auto" w:fill="auto"/>
            <w:noWrap/>
            <w:vAlign w:val="bottom"/>
            <w:hideMark/>
          </w:tcPr>
          <w:p w14:paraId="28CF492E"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33725F4"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5B7DCFA" w14:textId="77777777" w:rsidR="00432B71" w:rsidRDefault="00432B71" w:rsidP="005A3B4D">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59A54CC5" w14:textId="77777777" w:rsidR="00432B71" w:rsidRDefault="00432B71" w:rsidP="005A3B4D">
            <w:pPr>
              <w:jc w:val="right"/>
              <w:rPr>
                <w:color w:val="000000"/>
                <w:sz w:val="20"/>
                <w:szCs w:val="20"/>
              </w:rPr>
            </w:pPr>
            <w:r>
              <w:rPr>
                <w:color w:val="000000"/>
                <w:sz w:val="20"/>
                <w:szCs w:val="20"/>
              </w:rPr>
              <w:t>0.000</w:t>
            </w:r>
          </w:p>
        </w:tc>
      </w:tr>
      <w:tr w:rsidR="00432B71" w14:paraId="38B3C742" w14:textId="77777777" w:rsidTr="005A3B4D">
        <w:trPr>
          <w:trHeight w:val="320"/>
        </w:trPr>
        <w:tc>
          <w:tcPr>
            <w:tcW w:w="1176" w:type="dxa"/>
            <w:tcBorders>
              <w:top w:val="nil"/>
              <w:left w:val="nil"/>
              <w:bottom w:val="nil"/>
              <w:right w:val="nil"/>
            </w:tcBorders>
            <w:shd w:val="clear" w:color="auto" w:fill="auto"/>
            <w:noWrap/>
            <w:vAlign w:val="bottom"/>
            <w:hideMark/>
          </w:tcPr>
          <w:p w14:paraId="6293E10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2DCE7F"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E57B402"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5A16A59"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3C79A5F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E088BD"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DEA813E" w14:textId="77777777" w:rsidR="00432B71" w:rsidRDefault="00432B71" w:rsidP="005A3B4D">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686D056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755779"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5A99DFD" w14:textId="77777777" w:rsidR="00432B71" w:rsidRDefault="00432B71" w:rsidP="005A3B4D">
            <w:pPr>
              <w:jc w:val="right"/>
              <w:rPr>
                <w:color w:val="000000"/>
                <w:sz w:val="20"/>
                <w:szCs w:val="20"/>
              </w:rPr>
            </w:pPr>
            <w:r>
              <w:rPr>
                <w:color w:val="000000"/>
                <w:sz w:val="20"/>
                <w:szCs w:val="20"/>
              </w:rPr>
              <w:t>0.676</w:t>
            </w:r>
          </w:p>
        </w:tc>
        <w:tc>
          <w:tcPr>
            <w:tcW w:w="768" w:type="dxa"/>
            <w:tcBorders>
              <w:top w:val="nil"/>
              <w:left w:val="nil"/>
              <w:bottom w:val="nil"/>
              <w:right w:val="nil"/>
            </w:tcBorders>
            <w:shd w:val="clear" w:color="auto" w:fill="auto"/>
            <w:noWrap/>
            <w:vAlign w:val="bottom"/>
            <w:hideMark/>
          </w:tcPr>
          <w:p w14:paraId="371ED55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EC448D"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70EA10C" w14:textId="77777777" w:rsidR="00432B71" w:rsidRDefault="00432B71" w:rsidP="005A3B4D">
            <w:pPr>
              <w:jc w:val="right"/>
              <w:rPr>
                <w:color w:val="000000"/>
                <w:sz w:val="20"/>
                <w:szCs w:val="20"/>
              </w:rPr>
            </w:pPr>
            <w:r>
              <w:rPr>
                <w:color w:val="000000"/>
                <w:sz w:val="20"/>
                <w:szCs w:val="20"/>
              </w:rPr>
              <w:t>0.940</w:t>
            </w:r>
          </w:p>
        </w:tc>
        <w:tc>
          <w:tcPr>
            <w:tcW w:w="768" w:type="dxa"/>
            <w:tcBorders>
              <w:top w:val="nil"/>
              <w:left w:val="nil"/>
              <w:bottom w:val="nil"/>
              <w:right w:val="nil"/>
            </w:tcBorders>
            <w:shd w:val="clear" w:color="auto" w:fill="auto"/>
            <w:noWrap/>
            <w:vAlign w:val="bottom"/>
            <w:hideMark/>
          </w:tcPr>
          <w:p w14:paraId="374542A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71B76E1"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3AC90FE" w14:textId="77777777" w:rsidR="00432B71" w:rsidRDefault="00432B71" w:rsidP="005A3B4D">
            <w:pPr>
              <w:jc w:val="right"/>
              <w:rPr>
                <w:color w:val="000000"/>
                <w:sz w:val="20"/>
                <w:szCs w:val="20"/>
              </w:rPr>
            </w:pPr>
            <w:r>
              <w:rPr>
                <w:color w:val="000000"/>
                <w:sz w:val="20"/>
                <w:szCs w:val="20"/>
              </w:rPr>
              <w:t>0.703</w:t>
            </w:r>
          </w:p>
        </w:tc>
        <w:tc>
          <w:tcPr>
            <w:tcW w:w="768" w:type="dxa"/>
            <w:tcBorders>
              <w:top w:val="nil"/>
              <w:left w:val="nil"/>
              <w:bottom w:val="nil"/>
              <w:right w:val="nil"/>
            </w:tcBorders>
            <w:shd w:val="clear" w:color="auto" w:fill="auto"/>
            <w:noWrap/>
            <w:vAlign w:val="bottom"/>
            <w:hideMark/>
          </w:tcPr>
          <w:p w14:paraId="3E4358D5" w14:textId="77777777" w:rsidR="00432B71" w:rsidRDefault="00432B71" w:rsidP="005A3B4D">
            <w:pPr>
              <w:jc w:val="right"/>
              <w:rPr>
                <w:color w:val="000000"/>
                <w:sz w:val="20"/>
                <w:szCs w:val="20"/>
              </w:rPr>
            </w:pPr>
            <w:r>
              <w:rPr>
                <w:color w:val="000000"/>
                <w:sz w:val="20"/>
                <w:szCs w:val="20"/>
              </w:rPr>
              <w:t>0.000</w:t>
            </w:r>
          </w:p>
        </w:tc>
      </w:tr>
      <w:tr w:rsidR="00432B71" w14:paraId="0448D09E" w14:textId="77777777" w:rsidTr="005A3B4D">
        <w:trPr>
          <w:trHeight w:val="320"/>
        </w:trPr>
        <w:tc>
          <w:tcPr>
            <w:tcW w:w="1176" w:type="dxa"/>
            <w:tcBorders>
              <w:top w:val="nil"/>
              <w:left w:val="nil"/>
              <w:bottom w:val="nil"/>
              <w:right w:val="nil"/>
            </w:tcBorders>
            <w:shd w:val="clear" w:color="auto" w:fill="auto"/>
            <w:noWrap/>
            <w:vAlign w:val="bottom"/>
            <w:hideMark/>
          </w:tcPr>
          <w:p w14:paraId="63F00DAF"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B49E332"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C9DA8DE"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37640CDD"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144E475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12976A" w14:textId="77777777" w:rsidR="00432B71" w:rsidRDefault="00432B71" w:rsidP="005A3B4D">
            <w:pPr>
              <w:jc w:val="right"/>
              <w:rPr>
                <w:b/>
                <w:bCs/>
                <w:color w:val="000000"/>
                <w:sz w:val="20"/>
                <w:szCs w:val="20"/>
              </w:rPr>
            </w:pPr>
            <w:r>
              <w:rPr>
                <w:b/>
                <w:bCs/>
                <w:color w:val="000000"/>
                <w:sz w:val="20"/>
                <w:szCs w:val="20"/>
              </w:rPr>
              <w:t>0.066</w:t>
            </w:r>
          </w:p>
        </w:tc>
        <w:tc>
          <w:tcPr>
            <w:tcW w:w="768" w:type="dxa"/>
            <w:tcBorders>
              <w:top w:val="nil"/>
              <w:left w:val="nil"/>
              <w:bottom w:val="nil"/>
              <w:right w:val="nil"/>
            </w:tcBorders>
            <w:shd w:val="clear" w:color="auto" w:fill="auto"/>
            <w:noWrap/>
            <w:vAlign w:val="bottom"/>
            <w:hideMark/>
          </w:tcPr>
          <w:p w14:paraId="56477EB2" w14:textId="77777777" w:rsidR="00432B71" w:rsidRDefault="00432B71"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0FD44D8E" w14:textId="77777777" w:rsidR="00432B71" w:rsidRDefault="00432B71" w:rsidP="005A3B4D">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5EB000B9"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118A5A1" w14:textId="77777777" w:rsidR="00432B71" w:rsidRDefault="00432B71" w:rsidP="005A3B4D">
            <w:pPr>
              <w:jc w:val="right"/>
              <w:rPr>
                <w:color w:val="000000"/>
                <w:sz w:val="20"/>
                <w:szCs w:val="20"/>
              </w:rPr>
            </w:pPr>
            <w:r>
              <w:rPr>
                <w:color w:val="000000"/>
                <w:sz w:val="20"/>
                <w:szCs w:val="20"/>
              </w:rPr>
              <w:t>0.676</w:t>
            </w:r>
          </w:p>
        </w:tc>
        <w:tc>
          <w:tcPr>
            <w:tcW w:w="768" w:type="dxa"/>
            <w:tcBorders>
              <w:top w:val="nil"/>
              <w:left w:val="nil"/>
              <w:bottom w:val="nil"/>
              <w:right w:val="nil"/>
            </w:tcBorders>
            <w:shd w:val="clear" w:color="auto" w:fill="auto"/>
            <w:noWrap/>
            <w:vAlign w:val="bottom"/>
            <w:hideMark/>
          </w:tcPr>
          <w:p w14:paraId="4996E4F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DA722E" w14:textId="77777777" w:rsidR="00432B71" w:rsidRDefault="00432B71"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235B2D1F" w14:textId="77777777" w:rsidR="00432B71" w:rsidRDefault="00432B71" w:rsidP="005A3B4D">
            <w:pPr>
              <w:jc w:val="right"/>
              <w:rPr>
                <w:color w:val="000000"/>
                <w:sz w:val="20"/>
                <w:szCs w:val="20"/>
              </w:rPr>
            </w:pPr>
            <w:r>
              <w:rPr>
                <w:color w:val="000000"/>
                <w:sz w:val="20"/>
                <w:szCs w:val="20"/>
              </w:rPr>
              <w:t>0.290</w:t>
            </w:r>
          </w:p>
        </w:tc>
        <w:tc>
          <w:tcPr>
            <w:tcW w:w="768" w:type="dxa"/>
            <w:tcBorders>
              <w:top w:val="nil"/>
              <w:left w:val="nil"/>
              <w:bottom w:val="nil"/>
              <w:right w:val="nil"/>
            </w:tcBorders>
            <w:shd w:val="clear" w:color="auto" w:fill="auto"/>
            <w:noWrap/>
            <w:vAlign w:val="bottom"/>
            <w:hideMark/>
          </w:tcPr>
          <w:p w14:paraId="7BDED30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51B7EA" w14:textId="77777777" w:rsidR="00432B71" w:rsidRDefault="00432B71"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10094AE0" w14:textId="77777777" w:rsidR="00432B71" w:rsidRDefault="00432B71" w:rsidP="005A3B4D">
            <w:pPr>
              <w:jc w:val="right"/>
              <w:rPr>
                <w:color w:val="000000"/>
                <w:sz w:val="20"/>
                <w:szCs w:val="20"/>
              </w:rPr>
            </w:pPr>
            <w:r>
              <w:rPr>
                <w:color w:val="000000"/>
                <w:sz w:val="20"/>
                <w:szCs w:val="20"/>
              </w:rPr>
              <w:t>0.380</w:t>
            </w:r>
          </w:p>
        </w:tc>
        <w:tc>
          <w:tcPr>
            <w:tcW w:w="768" w:type="dxa"/>
            <w:tcBorders>
              <w:top w:val="nil"/>
              <w:left w:val="nil"/>
              <w:bottom w:val="nil"/>
              <w:right w:val="nil"/>
            </w:tcBorders>
            <w:shd w:val="clear" w:color="auto" w:fill="auto"/>
            <w:noWrap/>
            <w:vAlign w:val="bottom"/>
            <w:hideMark/>
          </w:tcPr>
          <w:p w14:paraId="4F8A3610" w14:textId="77777777" w:rsidR="00432B71" w:rsidRDefault="00432B71" w:rsidP="005A3B4D">
            <w:pPr>
              <w:jc w:val="right"/>
              <w:rPr>
                <w:color w:val="000000"/>
                <w:sz w:val="20"/>
                <w:szCs w:val="20"/>
              </w:rPr>
            </w:pPr>
            <w:r>
              <w:rPr>
                <w:color w:val="000000"/>
                <w:sz w:val="20"/>
                <w:szCs w:val="20"/>
              </w:rPr>
              <w:t>0.002</w:t>
            </w:r>
          </w:p>
        </w:tc>
      </w:tr>
      <w:tr w:rsidR="00432B71" w14:paraId="04ADE56F" w14:textId="77777777" w:rsidTr="005A3B4D">
        <w:trPr>
          <w:trHeight w:val="320"/>
        </w:trPr>
        <w:tc>
          <w:tcPr>
            <w:tcW w:w="1176" w:type="dxa"/>
            <w:tcBorders>
              <w:top w:val="nil"/>
              <w:left w:val="nil"/>
              <w:bottom w:val="nil"/>
              <w:right w:val="nil"/>
            </w:tcBorders>
            <w:shd w:val="clear" w:color="auto" w:fill="auto"/>
            <w:noWrap/>
            <w:vAlign w:val="bottom"/>
            <w:hideMark/>
          </w:tcPr>
          <w:p w14:paraId="7877F7D7"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D6BE705"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F8A84A8"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00FF2B5" w14:textId="77777777" w:rsidR="00432B71" w:rsidRDefault="00432B71" w:rsidP="005A3B4D">
            <w:pPr>
              <w:jc w:val="right"/>
              <w:rPr>
                <w:color w:val="000000"/>
                <w:sz w:val="20"/>
                <w:szCs w:val="20"/>
              </w:rPr>
            </w:pPr>
            <w:r>
              <w:rPr>
                <w:color w:val="000000"/>
                <w:sz w:val="20"/>
                <w:szCs w:val="20"/>
              </w:rPr>
              <w:t>0.566</w:t>
            </w:r>
          </w:p>
        </w:tc>
        <w:tc>
          <w:tcPr>
            <w:tcW w:w="768" w:type="dxa"/>
            <w:tcBorders>
              <w:top w:val="nil"/>
              <w:left w:val="nil"/>
              <w:bottom w:val="nil"/>
              <w:right w:val="nil"/>
            </w:tcBorders>
            <w:shd w:val="clear" w:color="auto" w:fill="auto"/>
            <w:noWrap/>
            <w:vAlign w:val="bottom"/>
            <w:hideMark/>
          </w:tcPr>
          <w:p w14:paraId="1EDEBCC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FD12E1"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4CA33DB" w14:textId="77777777" w:rsidR="00432B71" w:rsidRDefault="00432B71" w:rsidP="005A3B4D">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1C34248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6A7CA8"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B3CE72F" w14:textId="77777777" w:rsidR="00432B71" w:rsidRDefault="00432B71" w:rsidP="005A3B4D">
            <w:pPr>
              <w:jc w:val="right"/>
              <w:rPr>
                <w:color w:val="000000"/>
                <w:sz w:val="20"/>
                <w:szCs w:val="20"/>
              </w:rPr>
            </w:pPr>
            <w:r>
              <w:rPr>
                <w:color w:val="000000"/>
                <w:sz w:val="20"/>
                <w:szCs w:val="20"/>
              </w:rPr>
              <w:t>0.676</w:t>
            </w:r>
          </w:p>
        </w:tc>
        <w:tc>
          <w:tcPr>
            <w:tcW w:w="768" w:type="dxa"/>
            <w:tcBorders>
              <w:top w:val="nil"/>
              <w:left w:val="nil"/>
              <w:bottom w:val="nil"/>
              <w:right w:val="nil"/>
            </w:tcBorders>
            <w:shd w:val="clear" w:color="auto" w:fill="auto"/>
            <w:noWrap/>
            <w:vAlign w:val="bottom"/>
            <w:hideMark/>
          </w:tcPr>
          <w:p w14:paraId="1A7DF215"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CBCDAC8"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4220B9E" w14:textId="77777777" w:rsidR="00432B71" w:rsidRDefault="00432B71" w:rsidP="005A3B4D">
            <w:pPr>
              <w:jc w:val="right"/>
              <w:rPr>
                <w:color w:val="000000"/>
                <w:sz w:val="20"/>
                <w:szCs w:val="20"/>
              </w:rPr>
            </w:pPr>
            <w:r>
              <w:rPr>
                <w:color w:val="000000"/>
                <w:sz w:val="20"/>
                <w:szCs w:val="20"/>
              </w:rPr>
              <w:t>0.940</w:t>
            </w:r>
          </w:p>
        </w:tc>
        <w:tc>
          <w:tcPr>
            <w:tcW w:w="768" w:type="dxa"/>
            <w:tcBorders>
              <w:top w:val="nil"/>
              <w:left w:val="nil"/>
              <w:bottom w:val="nil"/>
              <w:right w:val="nil"/>
            </w:tcBorders>
            <w:shd w:val="clear" w:color="auto" w:fill="auto"/>
            <w:noWrap/>
            <w:vAlign w:val="bottom"/>
            <w:hideMark/>
          </w:tcPr>
          <w:p w14:paraId="492461A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C3E2F2"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CE62120" w14:textId="77777777" w:rsidR="00432B71" w:rsidRDefault="00432B71" w:rsidP="005A3B4D">
            <w:pPr>
              <w:jc w:val="right"/>
              <w:rPr>
                <w:color w:val="000000"/>
                <w:sz w:val="20"/>
                <w:szCs w:val="20"/>
              </w:rPr>
            </w:pPr>
            <w:r>
              <w:rPr>
                <w:color w:val="000000"/>
                <w:sz w:val="20"/>
                <w:szCs w:val="20"/>
              </w:rPr>
              <w:t>0.435</w:t>
            </w:r>
          </w:p>
        </w:tc>
        <w:tc>
          <w:tcPr>
            <w:tcW w:w="768" w:type="dxa"/>
            <w:tcBorders>
              <w:top w:val="nil"/>
              <w:left w:val="nil"/>
              <w:bottom w:val="nil"/>
              <w:right w:val="nil"/>
            </w:tcBorders>
            <w:shd w:val="clear" w:color="auto" w:fill="auto"/>
            <w:noWrap/>
            <w:vAlign w:val="bottom"/>
            <w:hideMark/>
          </w:tcPr>
          <w:p w14:paraId="03919FD8" w14:textId="77777777" w:rsidR="00432B71" w:rsidRDefault="00432B71" w:rsidP="005A3B4D">
            <w:pPr>
              <w:jc w:val="right"/>
              <w:rPr>
                <w:color w:val="000000"/>
                <w:sz w:val="20"/>
                <w:szCs w:val="20"/>
              </w:rPr>
            </w:pPr>
            <w:r>
              <w:rPr>
                <w:color w:val="000000"/>
                <w:sz w:val="20"/>
                <w:szCs w:val="20"/>
              </w:rPr>
              <w:t>0.001</w:t>
            </w:r>
          </w:p>
        </w:tc>
      </w:tr>
      <w:tr w:rsidR="00432B71" w14:paraId="693AD5B0" w14:textId="77777777" w:rsidTr="005A3B4D">
        <w:trPr>
          <w:trHeight w:val="320"/>
        </w:trPr>
        <w:tc>
          <w:tcPr>
            <w:tcW w:w="1176" w:type="dxa"/>
            <w:tcBorders>
              <w:top w:val="nil"/>
              <w:left w:val="nil"/>
              <w:bottom w:val="nil"/>
              <w:right w:val="nil"/>
            </w:tcBorders>
            <w:shd w:val="clear" w:color="auto" w:fill="auto"/>
            <w:noWrap/>
            <w:vAlign w:val="bottom"/>
            <w:hideMark/>
          </w:tcPr>
          <w:p w14:paraId="1E477D23"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79868D4"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CFA60EF" w14:textId="77777777" w:rsidR="00432B71" w:rsidRDefault="00432B71"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C659B72" w14:textId="77777777" w:rsidR="00432B71" w:rsidRDefault="00432B71" w:rsidP="005A3B4D">
            <w:pPr>
              <w:jc w:val="right"/>
              <w:rPr>
                <w:color w:val="000000"/>
                <w:sz w:val="20"/>
                <w:szCs w:val="20"/>
              </w:rPr>
            </w:pPr>
            <w:r>
              <w:rPr>
                <w:color w:val="000000"/>
                <w:sz w:val="20"/>
                <w:szCs w:val="20"/>
              </w:rPr>
              <w:t>0.370</w:t>
            </w:r>
          </w:p>
        </w:tc>
        <w:tc>
          <w:tcPr>
            <w:tcW w:w="768" w:type="dxa"/>
            <w:tcBorders>
              <w:top w:val="nil"/>
              <w:left w:val="nil"/>
              <w:bottom w:val="nil"/>
              <w:right w:val="nil"/>
            </w:tcBorders>
            <w:shd w:val="clear" w:color="auto" w:fill="auto"/>
            <w:noWrap/>
            <w:vAlign w:val="bottom"/>
            <w:hideMark/>
          </w:tcPr>
          <w:p w14:paraId="4109508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6375BB" w14:textId="77777777" w:rsidR="00432B71" w:rsidRDefault="00432B7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0BA8583C" w14:textId="77777777" w:rsidR="00432B71" w:rsidRDefault="00432B71" w:rsidP="005A3B4D">
            <w:pPr>
              <w:jc w:val="right"/>
              <w:rPr>
                <w:color w:val="000000"/>
                <w:sz w:val="20"/>
                <w:szCs w:val="20"/>
              </w:rPr>
            </w:pPr>
            <w:r>
              <w:rPr>
                <w:color w:val="000000"/>
                <w:sz w:val="20"/>
                <w:szCs w:val="20"/>
              </w:rPr>
              <w:t>0.312</w:t>
            </w:r>
          </w:p>
        </w:tc>
        <w:tc>
          <w:tcPr>
            <w:tcW w:w="768" w:type="dxa"/>
            <w:tcBorders>
              <w:top w:val="nil"/>
              <w:left w:val="nil"/>
              <w:bottom w:val="nil"/>
              <w:right w:val="nil"/>
            </w:tcBorders>
            <w:shd w:val="clear" w:color="auto" w:fill="auto"/>
            <w:noWrap/>
            <w:vAlign w:val="bottom"/>
            <w:hideMark/>
          </w:tcPr>
          <w:p w14:paraId="544DAC58"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2D98ECD"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F48185A" w14:textId="77777777" w:rsidR="00432B71" w:rsidRDefault="00432B71" w:rsidP="005A3B4D">
            <w:pPr>
              <w:jc w:val="right"/>
              <w:rPr>
                <w:color w:val="000000"/>
                <w:sz w:val="20"/>
                <w:szCs w:val="20"/>
              </w:rPr>
            </w:pPr>
            <w:r>
              <w:rPr>
                <w:color w:val="000000"/>
                <w:sz w:val="20"/>
                <w:szCs w:val="20"/>
              </w:rPr>
              <w:t>0.901</w:t>
            </w:r>
          </w:p>
        </w:tc>
        <w:tc>
          <w:tcPr>
            <w:tcW w:w="768" w:type="dxa"/>
            <w:tcBorders>
              <w:top w:val="nil"/>
              <w:left w:val="nil"/>
              <w:bottom w:val="nil"/>
              <w:right w:val="nil"/>
            </w:tcBorders>
            <w:shd w:val="clear" w:color="auto" w:fill="auto"/>
            <w:noWrap/>
            <w:vAlign w:val="bottom"/>
            <w:hideMark/>
          </w:tcPr>
          <w:p w14:paraId="7BDB124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5928F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D85C9F9" w14:textId="77777777" w:rsidR="00432B71" w:rsidRDefault="00432B71" w:rsidP="005A3B4D">
            <w:pPr>
              <w:jc w:val="right"/>
              <w:rPr>
                <w:color w:val="000000"/>
                <w:sz w:val="20"/>
                <w:szCs w:val="20"/>
              </w:rPr>
            </w:pPr>
            <w:r>
              <w:rPr>
                <w:color w:val="000000"/>
                <w:sz w:val="20"/>
                <w:szCs w:val="20"/>
              </w:rPr>
              <w:t>0.940</w:t>
            </w:r>
          </w:p>
        </w:tc>
        <w:tc>
          <w:tcPr>
            <w:tcW w:w="768" w:type="dxa"/>
            <w:tcBorders>
              <w:top w:val="nil"/>
              <w:left w:val="nil"/>
              <w:bottom w:val="nil"/>
              <w:right w:val="nil"/>
            </w:tcBorders>
            <w:shd w:val="clear" w:color="auto" w:fill="auto"/>
            <w:noWrap/>
            <w:vAlign w:val="bottom"/>
            <w:hideMark/>
          </w:tcPr>
          <w:p w14:paraId="70A2366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0E5BFF"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3EC173C" w14:textId="77777777" w:rsidR="00432B71" w:rsidRDefault="00432B71"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03442B39" w14:textId="77777777" w:rsidR="00432B71" w:rsidRDefault="00432B71" w:rsidP="005A3B4D">
            <w:pPr>
              <w:jc w:val="right"/>
              <w:rPr>
                <w:color w:val="000000"/>
                <w:sz w:val="20"/>
                <w:szCs w:val="20"/>
              </w:rPr>
            </w:pPr>
            <w:r>
              <w:rPr>
                <w:color w:val="000000"/>
                <w:sz w:val="20"/>
                <w:szCs w:val="20"/>
              </w:rPr>
              <w:t>0.000</w:t>
            </w:r>
          </w:p>
        </w:tc>
      </w:tr>
      <w:tr w:rsidR="00432B71" w14:paraId="214DF082" w14:textId="77777777" w:rsidTr="005A3B4D">
        <w:trPr>
          <w:trHeight w:val="320"/>
        </w:trPr>
        <w:tc>
          <w:tcPr>
            <w:tcW w:w="1176" w:type="dxa"/>
            <w:tcBorders>
              <w:top w:val="nil"/>
              <w:left w:val="nil"/>
              <w:bottom w:val="nil"/>
              <w:right w:val="nil"/>
            </w:tcBorders>
            <w:shd w:val="clear" w:color="auto" w:fill="auto"/>
            <w:noWrap/>
            <w:vAlign w:val="bottom"/>
            <w:hideMark/>
          </w:tcPr>
          <w:p w14:paraId="1124B2AF"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E7A3B6"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C80698A"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55DA69B" w14:textId="77777777" w:rsidR="00432B71" w:rsidRDefault="00432B71" w:rsidP="005A3B4D">
            <w:pPr>
              <w:jc w:val="right"/>
              <w:rPr>
                <w:color w:val="000000"/>
                <w:sz w:val="20"/>
                <w:szCs w:val="20"/>
              </w:rPr>
            </w:pPr>
            <w:r>
              <w:rPr>
                <w:color w:val="000000"/>
                <w:sz w:val="20"/>
                <w:szCs w:val="20"/>
              </w:rPr>
              <w:t>0.370</w:t>
            </w:r>
          </w:p>
        </w:tc>
        <w:tc>
          <w:tcPr>
            <w:tcW w:w="768" w:type="dxa"/>
            <w:tcBorders>
              <w:top w:val="nil"/>
              <w:left w:val="nil"/>
              <w:bottom w:val="nil"/>
              <w:right w:val="nil"/>
            </w:tcBorders>
            <w:shd w:val="clear" w:color="auto" w:fill="auto"/>
            <w:noWrap/>
            <w:vAlign w:val="bottom"/>
            <w:hideMark/>
          </w:tcPr>
          <w:p w14:paraId="74CD491E"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7B08AD"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508833A" w14:textId="77777777" w:rsidR="00432B71" w:rsidRDefault="00432B71" w:rsidP="005A3B4D">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729F329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65D37A"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3D6EE7BB" w14:textId="77777777" w:rsidR="00432B71" w:rsidRDefault="00432B71" w:rsidP="005A3B4D">
            <w:pPr>
              <w:jc w:val="right"/>
              <w:rPr>
                <w:color w:val="000000"/>
                <w:sz w:val="20"/>
                <w:szCs w:val="20"/>
              </w:rPr>
            </w:pPr>
            <w:r>
              <w:rPr>
                <w:color w:val="000000"/>
                <w:sz w:val="20"/>
                <w:szCs w:val="20"/>
              </w:rPr>
              <w:t>0.676</w:t>
            </w:r>
          </w:p>
        </w:tc>
        <w:tc>
          <w:tcPr>
            <w:tcW w:w="768" w:type="dxa"/>
            <w:tcBorders>
              <w:top w:val="nil"/>
              <w:left w:val="nil"/>
              <w:bottom w:val="nil"/>
              <w:right w:val="nil"/>
            </w:tcBorders>
            <w:shd w:val="clear" w:color="auto" w:fill="auto"/>
            <w:noWrap/>
            <w:vAlign w:val="bottom"/>
            <w:hideMark/>
          </w:tcPr>
          <w:p w14:paraId="62BCC6C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238674" w14:textId="77777777" w:rsidR="00432B71" w:rsidRDefault="00432B71" w:rsidP="005A3B4D">
            <w:pPr>
              <w:jc w:val="right"/>
              <w:rPr>
                <w:b/>
                <w:bCs/>
                <w:color w:val="000000"/>
                <w:sz w:val="20"/>
                <w:szCs w:val="20"/>
              </w:rPr>
            </w:pPr>
            <w:r>
              <w:rPr>
                <w:b/>
                <w:bCs/>
                <w:color w:val="000000"/>
                <w:sz w:val="20"/>
                <w:szCs w:val="20"/>
              </w:rPr>
              <w:t>0.058</w:t>
            </w:r>
          </w:p>
        </w:tc>
        <w:tc>
          <w:tcPr>
            <w:tcW w:w="768" w:type="dxa"/>
            <w:tcBorders>
              <w:top w:val="nil"/>
              <w:left w:val="nil"/>
              <w:bottom w:val="nil"/>
              <w:right w:val="nil"/>
            </w:tcBorders>
            <w:shd w:val="clear" w:color="auto" w:fill="auto"/>
            <w:noWrap/>
            <w:vAlign w:val="bottom"/>
            <w:hideMark/>
          </w:tcPr>
          <w:p w14:paraId="10EA0422" w14:textId="77777777" w:rsidR="00432B71" w:rsidRDefault="00432B71" w:rsidP="005A3B4D">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7CAD46B8" w14:textId="77777777" w:rsidR="00432B71" w:rsidRDefault="00432B71" w:rsidP="005A3B4D">
            <w:pPr>
              <w:jc w:val="right"/>
              <w:rPr>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1E7EEDCB"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06753C6C" w14:textId="77777777" w:rsidR="00432B71" w:rsidRDefault="00432B71" w:rsidP="005A3B4D">
            <w:pPr>
              <w:jc w:val="right"/>
              <w:rPr>
                <w:color w:val="000000"/>
                <w:sz w:val="20"/>
                <w:szCs w:val="20"/>
              </w:rPr>
            </w:pPr>
            <w:r>
              <w:rPr>
                <w:color w:val="000000"/>
                <w:sz w:val="20"/>
                <w:szCs w:val="20"/>
              </w:rPr>
              <w:t>0.534</w:t>
            </w:r>
          </w:p>
        </w:tc>
        <w:tc>
          <w:tcPr>
            <w:tcW w:w="768" w:type="dxa"/>
            <w:tcBorders>
              <w:top w:val="nil"/>
              <w:left w:val="nil"/>
              <w:bottom w:val="nil"/>
              <w:right w:val="nil"/>
            </w:tcBorders>
            <w:shd w:val="clear" w:color="auto" w:fill="auto"/>
            <w:noWrap/>
            <w:vAlign w:val="bottom"/>
            <w:hideMark/>
          </w:tcPr>
          <w:p w14:paraId="5A9BAD23" w14:textId="77777777" w:rsidR="00432B71" w:rsidRDefault="00432B71" w:rsidP="005A3B4D">
            <w:pPr>
              <w:jc w:val="right"/>
              <w:rPr>
                <w:color w:val="000000"/>
                <w:sz w:val="20"/>
                <w:szCs w:val="20"/>
              </w:rPr>
            </w:pPr>
            <w:r>
              <w:rPr>
                <w:color w:val="000000"/>
                <w:sz w:val="20"/>
                <w:szCs w:val="20"/>
              </w:rPr>
              <w:t>0.001</w:t>
            </w:r>
          </w:p>
        </w:tc>
      </w:tr>
      <w:tr w:rsidR="00432B71" w14:paraId="54B040E1"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46106811"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7E7540E5"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73478088"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single" w:sz="12" w:space="0" w:color="auto"/>
              <w:right w:val="nil"/>
            </w:tcBorders>
            <w:shd w:val="clear" w:color="auto" w:fill="auto"/>
            <w:noWrap/>
            <w:vAlign w:val="bottom"/>
            <w:hideMark/>
          </w:tcPr>
          <w:p w14:paraId="191ADE9D" w14:textId="77777777" w:rsidR="00432B71" w:rsidRDefault="00432B71" w:rsidP="005A3B4D">
            <w:pPr>
              <w:jc w:val="right"/>
              <w:rPr>
                <w:color w:val="000000"/>
                <w:sz w:val="20"/>
                <w:szCs w:val="20"/>
              </w:rPr>
            </w:pPr>
            <w:r>
              <w:rPr>
                <w:color w:val="000000"/>
                <w:sz w:val="20"/>
                <w:szCs w:val="20"/>
              </w:rPr>
              <w:t>0.739</w:t>
            </w:r>
          </w:p>
        </w:tc>
        <w:tc>
          <w:tcPr>
            <w:tcW w:w="768" w:type="dxa"/>
            <w:tcBorders>
              <w:top w:val="nil"/>
              <w:left w:val="nil"/>
              <w:bottom w:val="single" w:sz="12" w:space="0" w:color="auto"/>
              <w:right w:val="nil"/>
            </w:tcBorders>
            <w:shd w:val="clear" w:color="auto" w:fill="auto"/>
            <w:noWrap/>
            <w:vAlign w:val="bottom"/>
            <w:hideMark/>
          </w:tcPr>
          <w:p w14:paraId="36DAF49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8E6309B" w14:textId="77777777" w:rsidR="00432B71" w:rsidRDefault="00432B71" w:rsidP="005A3B4D">
            <w:pPr>
              <w:jc w:val="right"/>
              <w:rPr>
                <w:color w:val="000000"/>
                <w:sz w:val="20"/>
                <w:szCs w:val="20"/>
              </w:rPr>
            </w:pPr>
            <w:r>
              <w:rPr>
                <w:color w:val="000000"/>
                <w:sz w:val="20"/>
                <w:szCs w:val="20"/>
              </w:rPr>
              <w:t>-0.033</w:t>
            </w:r>
          </w:p>
        </w:tc>
        <w:tc>
          <w:tcPr>
            <w:tcW w:w="768" w:type="dxa"/>
            <w:tcBorders>
              <w:top w:val="nil"/>
              <w:left w:val="nil"/>
              <w:bottom w:val="single" w:sz="12" w:space="0" w:color="auto"/>
              <w:right w:val="nil"/>
            </w:tcBorders>
            <w:shd w:val="clear" w:color="auto" w:fill="auto"/>
            <w:noWrap/>
            <w:vAlign w:val="bottom"/>
            <w:hideMark/>
          </w:tcPr>
          <w:p w14:paraId="01E3656E" w14:textId="77777777" w:rsidR="00432B71" w:rsidRDefault="00432B71" w:rsidP="005A3B4D">
            <w:pPr>
              <w:jc w:val="right"/>
              <w:rPr>
                <w:color w:val="000000"/>
                <w:sz w:val="20"/>
                <w:szCs w:val="20"/>
              </w:rPr>
            </w:pPr>
            <w:r>
              <w:rPr>
                <w:color w:val="000000"/>
                <w:sz w:val="20"/>
                <w:szCs w:val="20"/>
              </w:rPr>
              <w:t>0.419</w:t>
            </w:r>
          </w:p>
        </w:tc>
        <w:tc>
          <w:tcPr>
            <w:tcW w:w="768" w:type="dxa"/>
            <w:tcBorders>
              <w:top w:val="nil"/>
              <w:left w:val="nil"/>
              <w:bottom w:val="single" w:sz="12" w:space="0" w:color="auto"/>
              <w:right w:val="nil"/>
            </w:tcBorders>
            <w:shd w:val="clear" w:color="auto" w:fill="auto"/>
            <w:noWrap/>
            <w:vAlign w:val="bottom"/>
            <w:hideMark/>
          </w:tcPr>
          <w:p w14:paraId="0BB6EC8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039BC58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9F62435" w14:textId="77777777" w:rsidR="00432B71" w:rsidRDefault="00432B71" w:rsidP="005A3B4D">
            <w:pPr>
              <w:jc w:val="right"/>
              <w:rPr>
                <w:color w:val="000000"/>
                <w:sz w:val="20"/>
                <w:szCs w:val="20"/>
              </w:rPr>
            </w:pPr>
            <w:r>
              <w:rPr>
                <w:color w:val="000000"/>
                <w:sz w:val="20"/>
                <w:szCs w:val="20"/>
              </w:rPr>
              <w:t>0.987</w:t>
            </w:r>
          </w:p>
        </w:tc>
        <w:tc>
          <w:tcPr>
            <w:tcW w:w="768" w:type="dxa"/>
            <w:tcBorders>
              <w:top w:val="nil"/>
              <w:left w:val="nil"/>
              <w:bottom w:val="single" w:sz="12" w:space="0" w:color="auto"/>
              <w:right w:val="nil"/>
            </w:tcBorders>
            <w:shd w:val="clear" w:color="auto" w:fill="auto"/>
            <w:noWrap/>
            <w:vAlign w:val="bottom"/>
            <w:hideMark/>
          </w:tcPr>
          <w:p w14:paraId="42D7AAB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66BE3BBD" w14:textId="77777777" w:rsidR="00432B71" w:rsidRDefault="00432B71" w:rsidP="005A3B4D">
            <w:pPr>
              <w:jc w:val="right"/>
              <w:rPr>
                <w:color w:val="000000"/>
                <w:sz w:val="20"/>
                <w:szCs w:val="20"/>
              </w:rPr>
            </w:pPr>
            <w:r>
              <w:rPr>
                <w:color w:val="000000"/>
                <w:sz w:val="20"/>
                <w:szCs w:val="20"/>
              </w:rPr>
              <w:t>-0.028</w:t>
            </w:r>
          </w:p>
        </w:tc>
        <w:tc>
          <w:tcPr>
            <w:tcW w:w="768" w:type="dxa"/>
            <w:tcBorders>
              <w:top w:val="nil"/>
              <w:left w:val="nil"/>
              <w:bottom w:val="single" w:sz="12" w:space="0" w:color="auto"/>
              <w:right w:val="nil"/>
            </w:tcBorders>
            <w:shd w:val="clear" w:color="auto" w:fill="auto"/>
            <w:noWrap/>
            <w:vAlign w:val="bottom"/>
            <w:hideMark/>
          </w:tcPr>
          <w:p w14:paraId="2B06B4D4" w14:textId="77777777" w:rsidR="00432B71" w:rsidRDefault="00432B71" w:rsidP="005A3B4D">
            <w:pPr>
              <w:jc w:val="right"/>
              <w:rPr>
                <w:color w:val="000000"/>
                <w:sz w:val="20"/>
                <w:szCs w:val="20"/>
              </w:rPr>
            </w:pPr>
            <w:r>
              <w:rPr>
                <w:color w:val="000000"/>
                <w:sz w:val="20"/>
                <w:szCs w:val="20"/>
              </w:rPr>
              <w:t>0.290</w:t>
            </w:r>
          </w:p>
        </w:tc>
        <w:tc>
          <w:tcPr>
            <w:tcW w:w="768" w:type="dxa"/>
            <w:tcBorders>
              <w:top w:val="nil"/>
              <w:left w:val="nil"/>
              <w:bottom w:val="single" w:sz="12" w:space="0" w:color="auto"/>
              <w:right w:val="nil"/>
            </w:tcBorders>
            <w:shd w:val="clear" w:color="auto" w:fill="auto"/>
            <w:noWrap/>
            <w:vAlign w:val="bottom"/>
            <w:hideMark/>
          </w:tcPr>
          <w:p w14:paraId="3B53E37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C49F36C" w14:textId="77777777" w:rsidR="00432B71" w:rsidRDefault="00432B71" w:rsidP="005A3B4D">
            <w:pPr>
              <w:jc w:val="right"/>
              <w:rPr>
                <w:b/>
                <w:bCs/>
                <w:color w:val="000000"/>
                <w:sz w:val="20"/>
                <w:szCs w:val="20"/>
              </w:rPr>
            </w:pPr>
            <w:r>
              <w:rPr>
                <w:b/>
                <w:bCs/>
                <w:color w:val="000000"/>
                <w:sz w:val="20"/>
                <w:szCs w:val="20"/>
              </w:rPr>
              <w:t>0.067</w:t>
            </w:r>
          </w:p>
        </w:tc>
        <w:tc>
          <w:tcPr>
            <w:tcW w:w="768" w:type="dxa"/>
            <w:tcBorders>
              <w:top w:val="nil"/>
              <w:left w:val="nil"/>
              <w:bottom w:val="single" w:sz="12" w:space="0" w:color="auto"/>
              <w:right w:val="nil"/>
            </w:tcBorders>
            <w:shd w:val="clear" w:color="auto" w:fill="auto"/>
            <w:noWrap/>
            <w:vAlign w:val="bottom"/>
            <w:hideMark/>
          </w:tcPr>
          <w:p w14:paraId="5C0C29A2" w14:textId="77777777" w:rsidR="00432B71" w:rsidRDefault="00432B71" w:rsidP="005A3B4D">
            <w:pPr>
              <w:jc w:val="right"/>
              <w:rPr>
                <w:b/>
                <w:bCs/>
                <w:color w:val="000000"/>
                <w:sz w:val="20"/>
                <w:szCs w:val="20"/>
              </w:rPr>
            </w:pPr>
            <w:r>
              <w:rPr>
                <w:b/>
                <w:bCs/>
                <w:color w:val="000000"/>
                <w:sz w:val="20"/>
                <w:szCs w:val="20"/>
              </w:rPr>
              <w:t>0.048</w:t>
            </w:r>
          </w:p>
        </w:tc>
        <w:tc>
          <w:tcPr>
            <w:tcW w:w="768" w:type="dxa"/>
            <w:tcBorders>
              <w:top w:val="nil"/>
              <w:left w:val="nil"/>
              <w:bottom w:val="single" w:sz="12" w:space="0" w:color="auto"/>
              <w:right w:val="nil"/>
            </w:tcBorders>
            <w:shd w:val="clear" w:color="auto" w:fill="auto"/>
            <w:noWrap/>
            <w:vAlign w:val="bottom"/>
            <w:hideMark/>
          </w:tcPr>
          <w:p w14:paraId="59A61CEB" w14:textId="77777777" w:rsidR="00432B71" w:rsidRDefault="00432B71" w:rsidP="005A3B4D">
            <w:pPr>
              <w:jc w:val="right"/>
              <w:rPr>
                <w:color w:val="000000"/>
                <w:sz w:val="20"/>
                <w:szCs w:val="20"/>
              </w:rPr>
            </w:pPr>
            <w:r>
              <w:rPr>
                <w:b/>
                <w:bCs/>
                <w:color w:val="000000"/>
                <w:sz w:val="20"/>
                <w:szCs w:val="20"/>
              </w:rPr>
              <w:t>0.004</w:t>
            </w:r>
          </w:p>
        </w:tc>
      </w:tr>
      <w:tr w:rsidR="00432B71" w14:paraId="2ABA26B7"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08B5EBF5" w14:textId="77777777" w:rsidR="00432B71" w:rsidRDefault="00432B71"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4629BEEA" w14:textId="77777777" w:rsidR="00432B71" w:rsidRDefault="00432B71"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4A8DF797"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3603ADD"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DBF1669"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6CBAA17"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E48F611"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014CF7A"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9686B57"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5EAB149"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7A01EB4"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4C6A96B"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45E5965"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2984446"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67FD6F8"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166C203"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2DB65F" w14:textId="77777777" w:rsidR="00432B71" w:rsidRDefault="00432B71" w:rsidP="005A3B4D">
            <w:pPr>
              <w:rPr>
                <w:sz w:val="20"/>
                <w:szCs w:val="20"/>
              </w:rPr>
            </w:pPr>
          </w:p>
        </w:tc>
      </w:tr>
    </w:tbl>
    <w:p w14:paraId="426C09E8" w14:textId="77777777" w:rsidR="00432B71" w:rsidRDefault="00432B71" w:rsidP="00432B71">
      <w:pPr>
        <w:spacing w:line="480" w:lineRule="auto"/>
      </w:pPr>
    </w:p>
    <w:p w14:paraId="45C4D170" w14:textId="77777777" w:rsidR="00432B71" w:rsidRDefault="00432B71" w:rsidP="00432B71">
      <w:r>
        <w:br w:type="page"/>
      </w:r>
    </w:p>
    <w:p w14:paraId="2AA38C75" w14:textId="575FC7D8" w:rsidR="00432B71" w:rsidRPr="009E2A20" w:rsidRDefault="00432B71" w:rsidP="00432B71">
      <w:pPr>
        <w:pStyle w:val="Heading1"/>
        <w:rPr>
          <w:rFonts w:ascii="Times New Roman" w:hAnsi="Times New Roman" w:cs="Times New Roman"/>
          <w:color w:val="000000" w:themeColor="text1"/>
          <w:sz w:val="24"/>
          <w:szCs w:val="24"/>
        </w:rPr>
      </w:pPr>
      <w:bookmarkStart w:id="21" w:name="_Toc155817688"/>
      <w:r>
        <w:rPr>
          <w:rFonts w:ascii="Times New Roman" w:hAnsi="Times New Roman" w:cs="Times New Roman"/>
          <w:b/>
          <w:bCs/>
          <w:color w:val="000000" w:themeColor="text1"/>
          <w:sz w:val="24"/>
          <w:szCs w:val="24"/>
        </w:rPr>
        <w:lastRenderedPageBreak/>
        <w:t xml:space="preserve">Table </w:t>
      </w:r>
      <w:r w:rsidR="000604B1">
        <w:rPr>
          <w:rFonts w:ascii="Times New Roman" w:hAnsi="Times New Roman" w:cs="Times New Roman"/>
          <w:b/>
          <w:bCs/>
          <w:color w:val="000000" w:themeColor="text1"/>
          <w:sz w:val="24"/>
          <w:szCs w:val="24"/>
        </w:rPr>
        <w:t>5</w:t>
      </w:r>
      <w:r w:rsidRPr="009E2A20">
        <w:rPr>
          <w:rFonts w:ascii="Times New Roman" w:hAnsi="Times New Roman" w:cs="Times New Roman"/>
          <w:b/>
          <w:bCs/>
          <w:color w:val="000000" w:themeColor="text1"/>
          <w:sz w:val="24"/>
          <w:szCs w:val="24"/>
        </w:rPr>
        <w:t xml:space="preserve">b. </w:t>
      </w:r>
      <w:r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diameter during rest</w:t>
      </w:r>
      <w:bookmarkEnd w:id="21"/>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432B71" w14:paraId="05142F6F"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5F502504" w14:textId="77777777" w:rsidR="00432B71" w:rsidRDefault="00432B71"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20A8F35B" w14:textId="77777777" w:rsidR="00432B71" w:rsidRDefault="00432B71"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0C8CA8ED" w14:textId="77777777" w:rsidR="00432B71" w:rsidRDefault="00432B71"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0B394ECA"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09041D3"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939F619"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FA2EAA2"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810229E"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E0CD21A"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CE50CF6"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A2EE0DB"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37500D6"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AADCBF6"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8767B61"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467F801"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3A207F2"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A1790A0" w14:textId="77777777" w:rsidR="00432B71" w:rsidRDefault="00432B71" w:rsidP="005A3B4D">
            <w:pPr>
              <w:rPr>
                <w:sz w:val="20"/>
                <w:szCs w:val="20"/>
              </w:rPr>
            </w:pPr>
          </w:p>
        </w:tc>
      </w:tr>
      <w:tr w:rsidR="00432B71" w14:paraId="1685118A"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726C589D" w14:textId="77777777" w:rsidR="00432B71" w:rsidRDefault="00432B71"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1906E14" w14:textId="77777777" w:rsidR="00432B71" w:rsidRDefault="00432B71"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5CDBD699" w14:textId="77777777" w:rsidR="00432B71" w:rsidRDefault="00432B71"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8C4838B" w14:textId="77777777" w:rsidR="00432B71" w:rsidRDefault="00432B71"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5F77524" w14:textId="77777777" w:rsidR="00432B71" w:rsidRDefault="00432B71"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155B37B" w14:textId="77777777" w:rsidR="00432B71" w:rsidRDefault="00432B71"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6FD34182" w14:textId="77777777" w:rsidR="00432B71" w:rsidRDefault="00432B71" w:rsidP="005A3B4D">
            <w:pPr>
              <w:jc w:val="center"/>
              <w:rPr>
                <w:color w:val="000000"/>
                <w:sz w:val="20"/>
                <w:szCs w:val="20"/>
              </w:rPr>
            </w:pPr>
            <w:r>
              <w:rPr>
                <w:color w:val="000000"/>
                <w:sz w:val="20"/>
                <w:szCs w:val="20"/>
              </w:rPr>
              <w:t>Urbanicity</w:t>
            </w:r>
          </w:p>
        </w:tc>
      </w:tr>
      <w:tr w:rsidR="00432B71" w14:paraId="0C0DCFC4"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09FE919C" w14:textId="77777777" w:rsidR="00432B71" w:rsidRDefault="00432B71"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0624C32D" w14:textId="77777777" w:rsidR="00432B71" w:rsidRDefault="00432B71"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4B603CFC"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6106CC2"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F2926D0"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8C2FFAF"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BD7BBD0"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E4CC8DE"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2C2D03B"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6BB2A46"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55173CD"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0D47E67"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30203DF"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F5B3C4D"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A256250"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7399013"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658E9CB"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r>
      <w:tr w:rsidR="00432B71" w14:paraId="41891952"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08E83C77" w14:textId="77777777" w:rsidR="00432B71" w:rsidRDefault="00432B71"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506465CA" w14:textId="77777777" w:rsidR="00432B71" w:rsidRDefault="00432B71"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36A1D7F1" w14:textId="77777777" w:rsidR="00432B71" w:rsidRDefault="00432B71" w:rsidP="005A3B4D">
            <w:pPr>
              <w:jc w:val="right"/>
              <w:rPr>
                <w:color w:val="000000"/>
                <w:sz w:val="20"/>
                <w:szCs w:val="20"/>
              </w:rPr>
            </w:pPr>
            <w:r>
              <w:rPr>
                <w:color w:val="000000"/>
                <w:sz w:val="20"/>
                <w:szCs w:val="20"/>
              </w:rPr>
              <w:t>0.062</w:t>
            </w:r>
          </w:p>
        </w:tc>
        <w:tc>
          <w:tcPr>
            <w:tcW w:w="768" w:type="dxa"/>
            <w:tcBorders>
              <w:top w:val="single" w:sz="12" w:space="0" w:color="auto"/>
              <w:left w:val="nil"/>
              <w:bottom w:val="nil"/>
              <w:right w:val="nil"/>
            </w:tcBorders>
            <w:shd w:val="clear" w:color="auto" w:fill="auto"/>
            <w:noWrap/>
            <w:vAlign w:val="bottom"/>
            <w:hideMark/>
          </w:tcPr>
          <w:p w14:paraId="79E5FF0E" w14:textId="77777777" w:rsidR="00432B71" w:rsidRDefault="00432B71" w:rsidP="005A3B4D">
            <w:pPr>
              <w:jc w:val="right"/>
              <w:rPr>
                <w:color w:val="000000"/>
                <w:sz w:val="20"/>
                <w:szCs w:val="20"/>
              </w:rPr>
            </w:pPr>
            <w:r>
              <w:rPr>
                <w:color w:val="000000"/>
                <w:sz w:val="20"/>
                <w:szCs w:val="20"/>
              </w:rPr>
              <w:t>0.212</w:t>
            </w:r>
          </w:p>
        </w:tc>
        <w:tc>
          <w:tcPr>
            <w:tcW w:w="768" w:type="dxa"/>
            <w:tcBorders>
              <w:top w:val="single" w:sz="12" w:space="0" w:color="auto"/>
              <w:left w:val="nil"/>
              <w:bottom w:val="nil"/>
              <w:right w:val="nil"/>
            </w:tcBorders>
            <w:shd w:val="clear" w:color="auto" w:fill="auto"/>
            <w:noWrap/>
            <w:vAlign w:val="bottom"/>
            <w:hideMark/>
          </w:tcPr>
          <w:p w14:paraId="0776B95F" w14:textId="77777777" w:rsidR="00432B71" w:rsidRDefault="00432B71" w:rsidP="005A3B4D">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70B21999" w14:textId="77777777" w:rsidR="00432B71" w:rsidRDefault="00432B71" w:rsidP="005A3B4D">
            <w:pPr>
              <w:jc w:val="right"/>
              <w:rPr>
                <w:color w:val="000000"/>
                <w:sz w:val="20"/>
                <w:szCs w:val="20"/>
              </w:rPr>
            </w:pPr>
            <w:r>
              <w:rPr>
                <w:color w:val="000000"/>
                <w:sz w:val="20"/>
                <w:szCs w:val="20"/>
              </w:rPr>
              <w:t>-0.012</w:t>
            </w:r>
          </w:p>
        </w:tc>
        <w:tc>
          <w:tcPr>
            <w:tcW w:w="768" w:type="dxa"/>
            <w:tcBorders>
              <w:top w:val="single" w:sz="12" w:space="0" w:color="auto"/>
              <w:left w:val="nil"/>
              <w:bottom w:val="nil"/>
              <w:right w:val="nil"/>
            </w:tcBorders>
            <w:shd w:val="clear" w:color="auto" w:fill="auto"/>
            <w:noWrap/>
            <w:vAlign w:val="bottom"/>
            <w:hideMark/>
          </w:tcPr>
          <w:p w14:paraId="7B8CE33C" w14:textId="77777777" w:rsidR="00432B71" w:rsidRDefault="00432B71" w:rsidP="005A3B4D">
            <w:pPr>
              <w:jc w:val="right"/>
              <w:rPr>
                <w:color w:val="000000"/>
                <w:sz w:val="20"/>
                <w:szCs w:val="20"/>
              </w:rPr>
            </w:pPr>
            <w:r>
              <w:rPr>
                <w:color w:val="000000"/>
                <w:sz w:val="20"/>
                <w:szCs w:val="20"/>
              </w:rPr>
              <w:t>0.977</w:t>
            </w:r>
          </w:p>
        </w:tc>
        <w:tc>
          <w:tcPr>
            <w:tcW w:w="768" w:type="dxa"/>
            <w:tcBorders>
              <w:top w:val="single" w:sz="12" w:space="0" w:color="auto"/>
              <w:left w:val="nil"/>
              <w:bottom w:val="nil"/>
              <w:right w:val="nil"/>
            </w:tcBorders>
            <w:shd w:val="clear" w:color="auto" w:fill="auto"/>
            <w:noWrap/>
            <w:vAlign w:val="bottom"/>
            <w:hideMark/>
          </w:tcPr>
          <w:p w14:paraId="66F68149" w14:textId="77777777" w:rsidR="00432B71" w:rsidRDefault="00432B7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9CABD8A" w14:textId="77777777" w:rsidR="00432B71" w:rsidRDefault="00432B71" w:rsidP="005A3B4D">
            <w:pPr>
              <w:jc w:val="right"/>
              <w:rPr>
                <w:color w:val="000000"/>
                <w:sz w:val="20"/>
                <w:szCs w:val="20"/>
              </w:rPr>
            </w:pPr>
            <w:r>
              <w:rPr>
                <w:color w:val="000000"/>
                <w:sz w:val="20"/>
                <w:szCs w:val="20"/>
              </w:rPr>
              <w:t>-0.034</w:t>
            </w:r>
          </w:p>
        </w:tc>
        <w:tc>
          <w:tcPr>
            <w:tcW w:w="768" w:type="dxa"/>
            <w:tcBorders>
              <w:top w:val="single" w:sz="12" w:space="0" w:color="auto"/>
              <w:left w:val="nil"/>
              <w:bottom w:val="nil"/>
              <w:right w:val="nil"/>
            </w:tcBorders>
            <w:shd w:val="clear" w:color="auto" w:fill="auto"/>
            <w:noWrap/>
            <w:vAlign w:val="bottom"/>
            <w:hideMark/>
          </w:tcPr>
          <w:p w14:paraId="11D61FD1" w14:textId="77777777" w:rsidR="00432B71" w:rsidRDefault="00432B71" w:rsidP="005A3B4D">
            <w:pPr>
              <w:jc w:val="right"/>
              <w:rPr>
                <w:color w:val="000000"/>
                <w:sz w:val="20"/>
                <w:szCs w:val="20"/>
              </w:rPr>
            </w:pPr>
            <w:r>
              <w:rPr>
                <w:color w:val="000000"/>
                <w:sz w:val="20"/>
                <w:szCs w:val="20"/>
              </w:rPr>
              <w:t>0.659</w:t>
            </w:r>
          </w:p>
        </w:tc>
        <w:tc>
          <w:tcPr>
            <w:tcW w:w="768" w:type="dxa"/>
            <w:tcBorders>
              <w:top w:val="single" w:sz="12" w:space="0" w:color="auto"/>
              <w:left w:val="nil"/>
              <w:bottom w:val="nil"/>
              <w:right w:val="nil"/>
            </w:tcBorders>
            <w:shd w:val="clear" w:color="auto" w:fill="auto"/>
            <w:noWrap/>
            <w:vAlign w:val="bottom"/>
            <w:hideMark/>
          </w:tcPr>
          <w:p w14:paraId="5E8F4FBE" w14:textId="77777777" w:rsidR="00432B71" w:rsidRDefault="00432B71"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3AF31C6B" w14:textId="77777777" w:rsidR="00432B71" w:rsidRDefault="00432B71" w:rsidP="005A3B4D">
            <w:pPr>
              <w:jc w:val="right"/>
              <w:rPr>
                <w:color w:val="000000"/>
                <w:sz w:val="20"/>
                <w:szCs w:val="20"/>
              </w:rPr>
            </w:pPr>
            <w:r>
              <w:rPr>
                <w:color w:val="000000"/>
                <w:sz w:val="20"/>
                <w:szCs w:val="20"/>
              </w:rPr>
              <w:t>0.045</w:t>
            </w:r>
          </w:p>
        </w:tc>
        <w:tc>
          <w:tcPr>
            <w:tcW w:w="768" w:type="dxa"/>
            <w:tcBorders>
              <w:top w:val="single" w:sz="12" w:space="0" w:color="auto"/>
              <w:left w:val="nil"/>
              <w:bottom w:val="nil"/>
              <w:right w:val="nil"/>
            </w:tcBorders>
            <w:shd w:val="clear" w:color="auto" w:fill="auto"/>
            <w:noWrap/>
            <w:vAlign w:val="bottom"/>
            <w:hideMark/>
          </w:tcPr>
          <w:p w14:paraId="1B95FA08" w14:textId="77777777" w:rsidR="00432B71" w:rsidRDefault="00432B71" w:rsidP="005A3B4D">
            <w:pPr>
              <w:jc w:val="right"/>
              <w:rPr>
                <w:color w:val="000000"/>
                <w:sz w:val="20"/>
                <w:szCs w:val="20"/>
              </w:rPr>
            </w:pPr>
            <w:r>
              <w:rPr>
                <w:color w:val="000000"/>
                <w:sz w:val="20"/>
                <w:szCs w:val="20"/>
              </w:rPr>
              <w:t>0.728</w:t>
            </w:r>
          </w:p>
        </w:tc>
        <w:tc>
          <w:tcPr>
            <w:tcW w:w="768" w:type="dxa"/>
            <w:tcBorders>
              <w:top w:val="single" w:sz="12" w:space="0" w:color="auto"/>
              <w:left w:val="nil"/>
              <w:bottom w:val="nil"/>
              <w:right w:val="nil"/>
            </w:tcBorders>
            <w:shd w:val="clear" w:color="auto" w:fill="auto"/>
            <w:noWrap/>
            <w:vAlign w:val="bottom"/>
            <w:hideMark/>
          </w:tcPr>
          <w:p w14:paraId="63A5D17B" w14:textId="77777777" w:rsidR="00432B71" w:rsidRDefault="00432B71" w:rsidP="005A3B4D">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6B624DF2" w14:textId="77777777" w:rsidR="00432B71" w:rsidRDefault="00432B71" w:rsidP="005A3B4D">
            <w:pPr>
              <w:jc w:val="right"/>
              <w:rPr>
                <w:color w:val="000000"/>
                <w:sz w:val="20"/>
                <w:szCs w:val="20"/>
              </w:rPr>
            </w:pPr>
            <w:r>
              <w:rPr>
                <w:color w:val="000000"/>
                <w:sz w:val="20"/>
                <w:szCs w:val="20"/>
              </w:rPr>
              <w:t>0.013</w:t>
            </w:r>
          </w:p>
        </w:tc>
        <w:tc>
          <w:tcPr>
            <w:tcW w:w="768" w:type="dxa"/>
            <w:tcBorders>
              <w:top w:val="single" w:sz="12" w:space="0" w:color="auto"/>
              <w:left w:val="nil"/>
              <w:bottom w:val="nil"/>
              <w:right w:val="nil"/>
            </w:tcBorders>
            <w:shd w:val="clear" w:color="auto" w:fill="auto"/>
            <w:noWrap/>
            <w:vAlign w:val="bottom"/>
            <w:hideMark/>
          </w:tcPr>
          <w:p w14:paraId="35553D31" w14:textId="77777777" w:rsidR="00432B71" w:rsidRDefault="00432B71" w:rsidP="005A3B4D">
            <w:pPr>
              <w:jc w:val="right"/>
              <w:rPr>
                <w:color w:val="000000"/>
                <w:sz w:val="20"/>
                <w:szCs w:val="20"/>
              </w:rPr>
            </w:pPr>
            <w:r>
              <w:rPr>
                <w:color w:val="000000"/>
                <w:sz w:val="20"/>
                <w:szCs w:val="20"/>
              </w:rPr>
              <w:t>0.813</w:t>
            </w:r>
          </w:p>
        </w:tc>
        <w:tc>
          <w:tcPr>
            <w:tcW w:w="768" w:type="dxa"/>
            <w:tcBorders>
              <w:top w:val="single" w:sz="12" w:space="0" w:color="auto"/>
              <w:left w:val="nil"/>
              <w:bottom w:val="nil"/>
              <w:right w:val="nil"/>
            </w:tcBorders>
            <w:shd w:val="clear" w:color="auto" w:fill="auto"/>
            <w:noWrap/>
            <w:vAlign w:val="bottom"/>
            <w:hideMark/>
          </w:tcPr>
          <w:p w14:paraId="22195971" w14:textId="77777777" w:rsidR="00432B71" w:rsidRDefault="00432B71" w:rsidP="005A3B4D">
            <w:pPr>
              <w:jc w:val="right"/>
              <w:rPr>
                <w:color w:val="000000"/>
                <w:sz w:val="20"/>
                <w:szCs w:val="20"/>
              </w:rPr>
            </w:pPr>
            <w:r>
              <w:rPr>
                <w:color w:val="000000"/>
                <w:sz w:val="20"/>
                <w:szCs w:val="20"/>
              </w:rPr>
              <w:t>0.000</w:t>
            </w:r>
          </w:p>
        </w:tc>
      </w:tr>
      <w:tr w:rsidR="00432B71" w14:paraId="2851843E" w14:textId="77777777" w:rsidTr="005A3B4D">
        <w:trPr>
          <w:trHeight w:val="340"/>
        </w:trPr>
        <w:tc>
          <w:tcPr>
            <w:tcW w:w="1176" w:type="dxa"/>
            <w:tcBorders>
              <w:top w:val="nil"/>
              <w:left w:val="nil"/>
              <w:bottom w:val="nil"/>
              <w:right w:val="nil"/>
            </w:tcBorders>
            <w:shd w:val="clear" w:color="auto" w:fill="auto"/>
            <w:noWrap/>
            <w:vAlign w:val="bottom"/>
            <w:hideMark/>
          </w:tcPr>
          <w:p w14:paraId="439D2D64"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FE31D8E"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6F1D4AF"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6792068" w14:textId="77777777" w:rsidR="00432B71" w:rsidRDefault="00432B71" w:rsidP="005A3B4D">
            <w:pPr>
              <w:jc w:val="right"/>
              <w:rPr>
                <w:color w:val="000000"/>
                <w:sz w:val="20"/>
                <w:szCs w:val="20"/>
              </w:rPr>
            </w:pPr>
            <w:r>
              <w:rPr>
                <w:color w:val="000000"/>
                <w:sz w:val="20"/>
                <w:szCs w:val="20"/>
              </w:rPr>
              <w:t>0.769</w:t>
            </w:r>
          </w:p>
        </w:tc>
        <w:tc>
          <w:tcPr>
            <w:tcW w:w="768" w:type="dxa"/>
            <w:tcBorders>
              <w:top w:val="nil"/>
              <w:left w:val="nil"/>
              <w:bottom w:val="nil"/>
              <w:right w:val="nil"/>
            </w:tcBorders>
            <w:shd w:val="clear" w:color="auto" w:fill="auto"/>
            <w:noWrap/>
            <w:vAlign w:val="bottom"/>
            <w:hideMark/>
          </w:tcPr>
          <w:p w14:paraId="2FDCFFA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48D3FB"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20F91901" w14:textId="77777777" w:rsidR="00432B71" w:rsidRDefault="00432B71" w:rsidP="005A3B4D">
            <w:pPr>
              <w:jc w:val="right"/>
              <w:rPr>
                <w:color w:val="000000"/>
                <w:sz w:val="20"/>
                <w:szCs w:val="20"/>
              </w:rPr>
            </w:pPr>
            <w:r>
              <w:rPr>
                <w:color w:val="000000"/>
                <w:sz w:val="20"/>
                <w:szCs w:val="20"/>
              </w:rPr>
              <w:t>0.772</w:t>
            </w:r>
          </w:p>
        </w:tc>
        <w:tc>
          <w:tcPr>
            <w:tcW w:w="768" w:type="dxa"/>
            <w:tcBorders>
              <w:top w:val="nil"/>
              <w:left w:val="nil"/>
              <w:bottom w:val="nil"/>
              <w:right w:val="nil"/>
            </w:tcBorders>
            <w:shd w:val="clear" w:color="auto" w:fill="auto"/>
            <w:noWrap/>
            <w:vAlign w:val="bottom"/>
            <w:hideMark/>
          </w:tcPr>
          <w:p w14:paraId="0F410685"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A3D6E9"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4788422" w14:textId="77777777" w:rsidR="00432B71" w:rsidRDefault="00432B71" w:rsidP="005A3B4D">
            <w:pPr>
              <w:jc w:val="right"/>
              <w:rPr>
                <w:color w:val="000000"/>
                <w:sz w:val="20"/>
                <w:szCs w:val="20"/>
              </w:rPr>
            </w:pPr>
            <w:r>
              <w:rPr>
                <w:color w:val="000000"/>
                <w:sz w:val="20"/>
                <w:szCs w:val="20"/>
              </w:rPr>
              <w:t>0.848</w:t>
            </w:r>
          </w:p>
        </w:tc>
        <w:tc>
          <w:tcPr>
            <w:tcW w:w="768" w:type="dxa"/>
            <w:tcBorders>
              <w:top w:val="nil"/>
              <w:left w:val="nil"/>
              <w:bottom w:val="nil"/>
              <w:right w:val="nil"/>
            </w:tcBorders>
            <w:shd w:val="clear" w:color="auto" w:fill="auto"/>
            <w:noWrap/>
            <w:vAlign w:val="bottom"/>
            <w:hideMark/>
          </w:tcPr>
          <w:p w14:paraId="5E71DDD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59A5D4"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73B8C7B" w14:textId="77777777" w:rsidR="00432B71" w:rsidRDefault="00432B71"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42893C0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D191D2"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3D3E99F" w14:textId="77777777" w:rsidR="00432B71" w:rsidRDefault="00432B71" w:rsidP="005A3B4D">
            <w:pPr>
              <w:jc w:val="right"/>
              <w:rPr>
                <w:color w:val="000000"/>
                <w:sz w:val="20"/>
                <w:szCs w:val="20"/>
              </w:rPr>
            </w:pPr>
            <w:r>
              <w:rPr>
                <w:color w:val="000000"/>
                <w:sz w:val="20"/>
                <w:szCs w:val="20"/>
              </w:rPr>
              <w:t>0.902</w:t>
            </w:r>
          </w:p>
        </w:tc>
        <w:tc>
          <w:tcPr>
            <w:tcW w:w="768" w:type="dxa"/>
            <w:tcBorders>
              <w:top w:val="nil"/>
              <w:left w:val="nil"/>
              <w:bottom w:val="nil"/>
              <w:right w:val="nil"/>
            </w:tcBorders>
            <w:shd w:val="clear" w:color="auto" w:fill="auto"/>
            <w:noWrap/>
            <w:vAlign w:val="bottom"/>
            <w:hideMark/>
          </w:tcPr>
          <w:p w14:paraId="23B66BC7" w14:textId="77777777" w:rsidR="00432B71" w:rsidRDefault="00432B71" w:rsidP="005A3B4D">
            <w:pPr>
              <w:jc w:val="right"/>
              <w:rPr>
                <w:color w:val="000000"/>
                <w:sz w:val="20"/>
                <w:szCs w:val="20"/>
              </w:rPr>
            </w:pPr>
            <w:r>
              <w:rPr>
                <w:color w:val="000000"/>
                <w:sz w:val="20"/>
                <w:szCs w:val="20"/>
              </w:rPr>
              <w:t>0.000</w:t>
            </w:r>
          </w:p>
        </w:tc>
      </w:tr>
      <w:tr w:rsidR="00432B71" w14:paraId="52E609A2" w14:textId="77777777" w:rsidTr="005A3B4D">
        <w:trPr>
          <w:trHeight w:val="320"/>
        </w:trPr>
        <w:tc>
          <w:tcPr>
            <w:tcW w:w="1176" w:type="dxa"/>
            <w:tcBorders>
              <w:top w:val="nil"/>
              <w:left w:val="nil"/>
              <w:bottom w:val="nil"/>
              <w:right w:val="nil"/>
            </w:tcBorders>
            <w:shd w:val="clear" w:color="auto" w:fill="auto"/>
            <w:noWrap/>
            <w:vAlign w:val="bottom"/>
            <w:hideMark/>
          </w:tcPr>
          <w:p w14:paraId="5A4AF4EC"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8A2D6A2"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A10B09C"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D542D83" w14:textId="77777777" w:rsidR="00432B71" w:rsidRDefault="00432B71" w:rsidP="005A3B4D">
            <w:pPr>
              <w:jc w:val="right"/>
              <w:rPr>
                <w:color w:val="000000"/>
                <w:sz w:val="20"/>
                <w:szCs w:val="20"/>
              </w:rPr>
            </w:pPr>
            <w:r>
              <w:rPr>
                <w:color w:val="000000"/>
                <w:sz w:val="20"/>
                <w:szCs w:val="20"/>
              </w:rPr>
              <w:t>0.794</w:t>
            </w:r>
          </w:p>
        </w:tc>
        <w:tc>
          <w:tcPr>
            <w:tcW w:w="768" w:type="dxa"/>
            <w:tcBorders>
              <w:top w:val="nil"/>
              <w:left w:val="nil"/>
              <w:bottom w:val="nil"/>
              <w:right w:val="nil"/>
            </w:tcBorders>
            <w:shd w:val="clear" w:color="auto" w:fill="auto"/>
            <w:noWrap/>
            <w:vAlign w:val="bottom"/>
            <w:hideMark/>
          </w:tcPr>
          <w:p w14:paraId="4162B01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0A305C" w14:textId="77777777" w:rsidR="00432B71" w:rsidRDefault="00432B71"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5BEDF045" w14:textId="77777777" w:rsidR="00432B71" w:rsidRDefault="00432B71" w:rsidP="005A3B4D">
            <w:pPr>
              <w:jc w:val="right"/>
              <w:rPr>
                <w:color w:val="000000"/>
                <w:sz w:val="20"/>
                <w:szCs w:val="20"/>
              </w:rPr>
            </w:pPr>
            <w:r>
              <w:rPr>
                <w:color w:val="000000"/>
                <w:sz w:val="20"/>
                <w:szCs w:val="20"/>
              </w:rPr>
              <w:t>0.772</w:t>
            </w:r>
          </w:p>
        </w:tc>
        <w:tc>
          <w:tcPr>
            <w:tcW w:w="768" w:type="dxa"/>
            <w:tcBorders>
              <w:top w:val="nil"/>
              <w:left w:val="nil"/>
              <w:bottom w:val="nil"/>
              <w:right w:val="nil"/>
            </w:tcBorders>
            <w:shd w:val="clear" w:color="auto" w:fill="auto"/>
            <w:noWrap/>
            <w:vAlign w:val="bottom"/>
            <w:hideMark/>
          </w:tcPr>
          <w:p w14:paraId="52275F69"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B840F8B"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4551D84" w14:textId="77777777" w:rsidR="00432B71" w:rsidRDefault="00432B71" w:rsidP="005A3B4D">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705A188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6B1EF9" w14:textId="77777777" w:rsidR="00432B71" w:rsidRDefault="00432B71"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67901816" w14:textId="77777777" w:rsidR="00432B71" w:rsidRDefault="00432B71"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1DF8F7D5"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348792C" w14:textId="77777777" w:rsidR="00432B71" w:rsidRDefault="00432B71" w:rsidP="005A3B4D">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3E5D822C" w14:textId="77777777" w:rsidR="00432B71" w:rsidRDefault="00432B71"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2457AF1F" w14:textId="77777777" w:rsidR="00432B71" w:rsidRDefault="00432B71" w:rsidP="005A3B4D">
            <w:pPr>
              <w:jc w:val="right"/>
              <w:rPr>
                <w:color w:val="000000"/>
                <w:sz w:val="20"/>
                <w:szCs w:val="20"/>
              </w:rPr>
            </w:pPr>
            <w:r>
              <w:rPr>
                <w:color w:val="000000"/>
                <w:sz w:val="20"/>
                <w:szCs w:val="20"/>
              </w:rPr>
              <w:t>0.007</w:t>
            </w:r>
          </w:p>
        </w:tc>
      </w:tr>
      <w:tr w:rsidR="00432B71" w14:paraId="6F548F88" w14:textId="77777777" w:rsidTr="005A3B4D">
        <w:trPr>
          <w:trHeight w:val="320"/>
        </w:trPr>
        <w:tc>
          <w:tcPr>
            <w:tcW w:w="1176" w:type="dxa"/>
            <w:tcBorders>
              <w:top w:val="nil"/>
              <w:left w:val="nil"/>
              <w:bottom w:val="nil"/>
              <w:right w:val="nil"/>
            </w:tcBorders>
            <w:shd w:val="clear" w:color="auto" w:fill="auto"/>
            <w:noWrap/>
            <w:vAlign w:val="bottom"/>
            <w:hideMark/>
          </w:tcPr>
          <w:p w14:paraId="5E0C6FBB"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2737A5"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18E7F32" w14:textId="77777777" w:rsidR="00432B71" w:rsidRDefault="00432B71" w:rsidP="005A3B4D">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32B27B3B" w14:textId="77777777" w:rsidR="00432B71" w:rsidRDefault="00432B71" w:rsidP="005A3B4D">
            <w:pPr>
              <w:jc w:val="right"/>
              <w:rPr>
                <w:color w:val="000000"/>
                <w:sz w:val="20"/>
                <w:szCs w:val="20"/>
              </w:rPr>
            </w:pPr>
            <w:r>
              <w:rPr>
                <w:color w:val="000000"/>
                <w:sz w:val="20"/>
                <w:szCs w:val="20"/>
              </w:rPr>
              <w:t>0.494</w:t>
            </w:r>
          </w:p>
        </w:tc>
        <w:tc>
          <w:tcPr>
            <w:tcW w:w="768" w:type="dxa"/>
            <w:tcBorders>
              <w:top w:val="nil"/>
              <w:left w:val="nil"/>
              <w:bottom w:val="nil"/>
              <w:right w:val="nil"/>
            </w:tcBorders>
            <w:shd w:val="clear" w:color="auto" w:fill="auto"/>
            <w:noWrap/>
            <w:vAlign w:val="bottom"/>
            <w:hideMark/>
          </w:tcPr>
          <w:p w14:paraId="042E46A7"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E591B54"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B7A5B3B" w14:textId="77777777" w:rsidR="00432B71" w:rsidRDefault="00432B71" w:rsidP="005A3B4D">
            <w:pPr>
              <w:jc w:val="right"/>
              <w:rPr>
                <w:color w:val="000000"/>
                <w:sz w:val="20"/>
                <w:szCs w:val="20"/>
              </w:rPr>
            </w:pPr>
            <w:r>
              <w:rPr>
                <w:color w:val="000000"/>
                <w:sz w:val="20"/>
                <w:szCs w:val="20"/>
              </w:rPr>
              <w:t>0.987</w:t>
            </w:r>
          </w:p>
        </w:tc>
        <w:tc>
          <w:tcPr>
            <w:tcW w:w="768" w:type="dxa"/>
            <w:tcBorders>
              <w:top w:val="nil"/>
              <w:left w:val="nil"/>
              <w:bottom w:val="nil"/>
              <w:right w:val="nil"/>
            </w:tcBorders>
            <w:shd w:val="clear" w:color="auto" w:fill="auto"/>
            <w:noWrap/>
            <w:vAlign w:val="bottom"/>
            <w:hideMark/>
          </w:tcPr>
          <w:p w14:paraId="600AA7B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D03986" w14:textId="77777777" w:rsidR="00432B71" w:rsidRDefault="00432B7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63B85B3" w14:textId="77777777" w:rsidR="00432B71" w:rsidRDefault="00432B71" w:rsidP="005A3B4D">
            <w:pPr>
              <w:jc w:val="right"/>
              <w:rPr>
                <w:color w:val="000000"/>
                <w:sz w:val="20"/>
                <w:szCs w:val="20"/>
              </w:rPr>
            </w:pPr>
            <w:r>
              <w:rPr>
                <w:color w:val="000000"/>
                <w:sz w:val="20"/>
                <w:szCs w:val="20"/>
              </w:rPr>
              <w:t>0.848</w:t>
            </w:r>
          </w:p>
        </w:tc>
        <w:tc>
          <w:tcPr>
            <w:tcW w:w="768" w:type="dxa"/>
            <w:tcBorders>
              <w:top w:val="nil"/>
              <w:left w:val="nil"/>
              <w:bottom w:val="nil"/>
              <w:right w:val="nil"/>
            </w:tcBorders>
            <w:shd w:val="clear" w:color="auto" w:fill="auto"/>
            <w:noWrap/>
            <w:vAlign w:val="bottom"/>
            <w:hideMark/>
          </w:tcPr>
          <w:p w14:paraId="2484EA7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2380D1"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F11A47F" w14:textId="77777777" w:rsidR="00432B71" w:rsidRDefault="00432B71"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42E07C6B"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11FE5F" w14:textId="77777777" w:rsidR="00432B71" w:rsidRDefault="00432B71" w:rsidP="005A3B4D">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025852C4" w14:textId="77777777" w:rsidR="00432B71" w:rsidRDefault="00432B71"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116BCAED" w14:textId="77777777" w:rsidR="00432B71" w:rsidRDefault="00432B71" w:rsidP="005A3B4D">
            <w:pPr>
              <w:jc w:val="right"/>
              <w:rPr>
                <w:color w:val="000000"/>
                <w:sz w:val="20"/>
                <w:szCs w:val="20"/>
              </w:rPr>
            </w:pPr>
            <w:r>
              <w:rPr>
                <w:color w:val="000000"/>
                <w:sz w:val="20"/>
                <w:szCs w:val="20"/>
              </w:rPr>
              <w:t>0.008</w:t>
            </w:r>
          </w:p>
        </w:tc>
      </w:tr>
      <w:tr w:rsidR="00432B71" w14:paraId="7BF7D09C" w14:textId="77777777" w:rsidTr="005A3B4D">
        <w:trPr>
          <w:trHeight w:val="320"/>
        </w:trPr>
        <w:tc>
          <w:tcPr>
            <w:tcW w:w="1176" w:type="dxa"/>
            <w:tcBorders>
              <w:top w:val="nil"/>
              <w:left w:val="nil"/>
              <w:bottom w:val="nil"/>
              <w:right w:val="nil"/>
            </w:tcBorders>
            <w:shd w:val="clear" w:color="auto" w:fill="auto"/>
            <w:noWrap/>
            <w:vAlign w:val="bottom"/>
            <w:hideMark/>
          </w:tcPr>
          <w:p w14:paraId="1A135669"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2E6B350"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779F49C" w14:textId="77777777" w:rsidR="00432B71" w:rsidRDefault="00432B71"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3CA9B18E" w14:textId="77777777" w:rsidR="00432B71" w:rsidRDefault="00432B71" w:rsidP="005A3B4D">
            <w:pPr>
              <w:jc w:val="right"/>
              <w:rPr>
                <w:color w:val="000000"/>
                <w:sz w:val="20"/>
                <w:szCs w:val="20"/>
              </w:rPr>
            </w:pPr>
            <w:r>
              <w:rPr>
                <w:color w:val="000000"/>
                <w:sz w:val="20"/>
                <w:szCs w:val="20"/>
              </w:rPr>
              <w:t>0.494</w:t>
            </w:r>
          </w:p>
        </w:tc>
        <w:tc>
          <w:tcPr>
            <w:tcW w:w="768" w:type="dxa"/>
            <w:tcBorders>
              <w:top w:val="nil"/>
              <w:left w:val="nil"/>
              <w:bottom w:val="nil"/>
              <w:right w:val="nil"/>
            </w:tcBorders>
            <w:shd w:val="clear" w:color="auto" w:fill="auto"/>
            <w:noWrap/>
            <w:vAlign w:val="bottom"/>
            <w:hideMark/>
          </w:tcPr>
          <w:p w14:paraId="550D66DB"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E2FCA54"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0A71F281" w14:textId="77777777" w:rsidR="00432B71" w:rsidRDefault="00432B71" w:rsidP="005A3B4D">
            <w:pPr>
              <w:jc w:val="right"/>
              <w:rPr>
                <w:color w:val="000000"/>
                <w:sz w:val="20"/>
                <w:szCs w:val="20"/>
              </w:rPr>
            </w:pPr>
            <w:r>
              <w:rPr>
                <w:color w:val="000000"/>
                <w:sz w:val="20"/>
                <w:szCs w:val="20"/>
              </w:rPr>
              <w:t>0.772</w:t>
            </w:r>
          </w:p>
        </w:tc>
        <w:tc>
          <w:tcPr>
            <w:tcW w:w="768" w:type="dxa"/>
            <w:tcBorders>
              <w:top w:val="nil"/>
              <w:left w:val="nil"/>
              <w:bottom w:val="nil"/>
              <w:right w:val="nil"/>
            </w:tcBorders>
            <w:shd w:val="clear" w:color="auto" w:fill="auto"/>
            <w:noWrap/>
            <w:vAlign w:val="bottom"/>
            <w:hideMark/>
          </w:tcPr>
          <w:p w14:paraId="5070E740"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64586C"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2A0D65E" w14:textId="77777777" w:rsidR="00432B71" w:rsidRDefault="00432B71" w:rsidP="005A3B4D">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0F4C914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6EA61E"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E78565" w14:textId="77777777" w:rsidR="00432B71" w:rsidRDefault="00432B71"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5EF54BE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6CEEED" w14:textId="77777777" w:rsidR="00432B71" w:rsidRDefault="00432B71"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0516BB10" w14:textId="77777777" w:rsidR="00432B71" w:rsidRDefault="00432B71"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54131ACB" w14:textId="77777777" w:rsidR="00432B71" w:rsidRDefault="00432B71" w:rsidP="005A3B4D">
            <w:pPr>
              <w:jc w:val="right"/>
              <w:rPr>
                <w:color w:val="000000"/>
                <w:sz w:val="20"/>
                <w:szCs w:val="20"/>
              </w:rPr>
            </w:pPr>
            <w:r>
              <w:rPr>
                <w:color w:val="000000"/>
                <w:sz w:val="20"/>
                <w:szCs w:val="20"/>
              </w:rPr>
              <w:t>0.004</w:t>
            </w:r>
          </w:p>
        </w:tc>
      </w:tr>
      <w:tr w:rsidR="00432B71" w14:paraId="4F4D0B8C" w14:textId="77777777" w:rsidTr="005A3B4D">
        <w:trPr>
          <w:trHeight w:val="320"/>
        </w:trPr>
        <w:tc>
          <w:tcPr>
            <w:tcW w:w="1176" w:type="dxa"/>
            <w:tcBorders>
              <w:top w:val="nil"/>
              <w:left w:val="nil"/>
              <w:bottom w:val="nil"/>
              <w:right w:val="nil"/>
            </w:tcBorders>
            <w:shd w:val="clear" w:color="auto" w:fill="auto"/>
            <w:noWrap/>
            <w:vAlign w:val="bottom"/>
            <w:hideMark/>
          </w:tcPr>
          <w:p w14:paraId="6D0ADBF7"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A59721"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FA3A553" w14:textId="77777777" w:rsidR="00432B71" w:rsidRDefault="00432B71"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740A6745" w14:textId="77777777" w:rsidR="00432B71" w:rsidRDefault="00432B71" w:rsidP="005A3B4D">
            <w:pPr>
              <w:jc w:val="right"/>
              <w:rPr>
                <w:color w:val="000000"/>
                <w:sz w:val="20"/>
                <w:szCs w:val="20"/>
              </w:rPr>
            </w:pPr>
            <w:r>
              <w:rPr>
                <w:color w:val="000000"/>
                <w:sz w:val="20"/>
                <w:szCs w:val="20"/>
              </w:rPr>
              <w:t>0.212</w:t>
            </w:r>
          </w:p>
        </w:tc>
        <w:tc>
          <w:tcPr>
            <w:tcW w:w="768" w:type="dxa"/>
            <w:tcBorders>
              <w:top w:val="nil"/>
              <w:left w:val="nil"/>
              <w:bottom w:val="nil"/>
              <w:right w:val="nil"/>
            </w:tcBorders>
            <w:shd w:val="clear" w:color="auto" w:fill="auto"/>
            <w:noWrap/>
            <w:vAlign w:val="bottom"/>
            <w:hideMark/>
          </w:tcPr>
          <w:p w14:paraId="4E28C7AA"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D80998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8DAE0D" w14:textId="77777777" w:rsidR="00432B71" w:rsidRDefault="00432B71" w:rsidP="005A3B4D">
            <w:pPr>
              <w:jc w:val="right"/>
              <w:rPr>
                <w:color w:val="000000"/>
                <w:sz w:val="20"/>
                <w:szCs w:val="20"/>
              </w:rPr>
            </w:pPr>
            <w:r>
              <w:rPr>
                <w:color w:val="000000"/>
                <w:sz w:val="20"/>
                <w:szCs w:val="20"/>
              </w:rPr>
              <w:t>0.987</w:t>
            </w:r>
          </w:p>
        </w:tc>
        <w:tc>
          <w:tcPr>
            <w:tcW w:w="768" w:type="dxa"/>
            <w:tcBorders>
              <w:top w:val="nil"/>
              <w:left w:val="nil"/>
              <w:bottom w:val="nil"/>
              <w:right w:val="nil"/>
            </w:tcBorders>
            <w:shd w:val="clear" w:color="auto" w:fill="auto"/>
            <w:noWrap/>
            <w:vAlign w:val="bottom"/>
            <w:hideMark/>
          </w:tcPr>
          <w:p w14:paraId="6B5AE76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6D8ECE"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1B0C2385" w14:textId="77777777" w:rsidR="00432B71" w:rsidRDefault="00432B71" w:rsidP="005A3B4D">
            <w:pPr>
              <w:jc w:val="right"/>
              <w:rPr>
                <w:color w:val="000000"/>
                <w:sz w:val="20"/>
                <w:szCs w:val="20"/>
              </w:rPr>
            </w:pPr>
            <w:r>
              <w:rPr>
                <w:color w:val="000000"/>
                <w:sz w:val="20"/>
                <w:szCs w:val="20"/>
              </w:rPr>
              <w:t>0.848</w:t>
            </w:r>
          </w:p>
        </w:tc>
        <w:tc>
          <w:tcPr>
            <w:tcW w:w="768" w:type="dxa"/>
            <w:tcBorders>
              <w:top w:val="nil"/>
              <w:left w:val="nil"/>
              <w:bottom w:val="nil"/>
              <w:right w:val="nil"/>
            </w:tcBorders>
            <w:shd w:val="clear" w:color="auto" w:fill="auto"/>
            <w:noWrap/>
            <w:vAlign w:val="bottom"/>
            <w:hideMark/>
          </w:tcPr>
          <w:p w14:paraId="3BBB5F0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38CAB0" w14:textId="77777777" w:rsidR="00432B71" w:rsidRDefault="00432B7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03C47831" w14:textId="77777777" w:rsidR="00432B71" w:rsidRDefault="00432B71" w:rsidP="005A3B4D">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23439066"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2074D0D"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D23EE2D" w14:textId="77777777" w:rsidR="00432B71" w:rsidRDefault="00432B71" w:rsidP="005A3B4D">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0674F0F8" w14:textId="77777777" w:rsidR="00432B71" w:rsidRDefault="00432B71" w:rsidP="005A3B4D">
            <w:pPr>
              <w:jc w:val="right"/>
              <w:rPr>
                <w:color w:val="000000"/>
                <w:sz w:val="20"/>
                <w:szCs w:val="20"/>
              </w:rPr>
            </w:pPr>
            <w:r>
              <w:rPr>
                <w:color w:val="000000"/>
                <w:sz w:val="20"/>
                <w:szCs w:val="20"/>
              </w:rPr>
              <w:t>0.000</w:t>
            </w:r>
          </w:p>
        </w:tc>
      </w:tr>
      <w:tr w:rsidR="00432B71" w14:paraId="0E34F473" w14:textId="77777777" w:rsidTr="005A3B4D">
        <w:trPr>
          <w:trHeight w:val="320"/>
        </w:trPr>
        <w:tc>
          <w:tcPr>
            <w:tcW w:w="1176" w:type="dxa"/>
            <w:tcBorders>
              <w:top w:val="nil"/>
              <w:left w:val="nil"/>
              <w:bottom w:val="nil"/>
              <w:right w:val="nil"/>
            </w:tcBorders>
            <w:shd w:val="clear" w:color="auto" w:fill="auto"/>
            <w:noWrap/>
            <w:vAlign w:val="bottom"/>
            <w:hideMark/>
          </w:tcPr>
          <w:p w14:paraId="59C0CF34"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D9D375"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39219FA"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6FB69EE" w14:textId="77777777" w:rsidR="00432B71" w:rsidRDefault="00432B71" w:rsidP="005A3B4D">
            <w:pPr>
              <w:jc w:val="right"/>
              <w:rPr>
                <w:color w:val="000000"/>
                <w:sz w:val="20"/>
                <w:szCs w:val="20"/>
              </w:rPr>
            </w:pPr>
            <w:r>
              <w:rPr>
                <w:color w:val="000000"/>
                <w:sz w:val="20"/>
                <w:szCs w:val="20"/>
              </w:rPr>
              <w:t>0.769</w:t>
            </w:r>
          </w:p>
        </w:tc>
        <w:tc>
          <w:tcPr>
            <w:tcW w:w="768" w:type="dxa"/>
            <w:tcBorders>
              <w:top w:val="nil"/>
              <w:left w:val="nil"/>
              <w:bottom w:val="nil"/>
              <w:right w:val="nil"/>
            </w:tcBorders>
            <w:shd w:val="clear" w:color="auto" w:fill="auto"/>
            <w:noWrap/>
            <w:vAlign w:val="bottom"/>
            <w:hideMark/>
          </w:tcPr>
          <w:p w14:paraId="061BAEB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09B755"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2CB1B75" w14:textId="77777777" w:rsidR="00432B71" w:rsidRDefault="00432B71" w:rsidP="005A3B4D">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24E940C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66F400"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3FAB7872" w14:textId="77777777" w:rsidR="00432B71" w:rsidRDefault="00432B71" w:rsidP="005A3B4D">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30387C17"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1FD4D8F"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D951A33" w14:textId="77777777" w:rsidR="00432B71" w:rsidRDefault="00432B71"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0C1AF9A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E89ECA" w14:textId="77777777" w:rsidR="00432B71" w:rsidRDefault="00432B7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4206F6B" w14:textId="77777777" w:rsidR="00432B71" w:rsidRDefault="00432B71" w:rsidP="005A3B4D">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7B5F3303" w14:textId="77777777" w:rsidR="00432B71" w:rsidRDefault="00432B71" w:rsidP="005A3B4D">
            <w:pPr>
              <w:jc w:val="right"/>
              <w:rPr>
                <w:color w:val="000000"/>
                <w:sz w:val="20"/>
                <w:szCs w:val="20"/>
              </w:rPr>
            </w:pPr>
            <w:r>
              <w:rPr>
                <w:color w:val="000000"/>
                <w:sz w:val="20"/>
                <w:szCs w:val="20"/>
              </w:rPr>
              <w:t>0.000</w:t>
            </w:r>
          </w:p>
        </w:tc>
      </w:tr>
      <w:tr w:rsidR="00432B71" w14:paraId="70969BCD"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2092AB15"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5BA0D29"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D97B124"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7F738459" w14:textId="77777777" w:rsidR="00432B71" w:rsidRDefault="00432B71" w:rsidP="005A3B4D">
            <w:pPr>
              <w:jc w:val="right"/>
              <w:rPr>
                <w:color w:val="000000"/>
                <w:sz w:val="20"/>
                <w:szCs w:val="20"/>
              </w:rPr>
            </w:pPr>
            <w:r>
              <w:rPr>
                <w:color w:val="000000"/>
                <w:sz w:val="20"/>
                <w:szCs w:val="20"/>
              </w:rPr>
              <w:t>0.814</w:t>
            </w:r>
          </w:p>
        </w:tc>
        <w:tc>
          <w:tcPr>
            <w:tcW w:w="768" w:type="dxa"/>
            <w:tcBorders>
              <w:top w:val="nil"/>
              <w:left w:val="nil"/>
              <w:bottom w:val="single" w:sz="4" w:space="0" w:color="auto"/>
              <w:right w:val="nil"/>
            </w:tcBorders>
            <w:shd w:val="clear" w:color="auto" w:fill="auto"/>
            <w:noWrap/>
            <w:vAlign w:val="bottom"/>
            <w:hideMark/>
          </w:tcPr>
          <w:p w14:paraId="0DA9351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F672081" w14:textId="77777777" w:rsidR="00432B71" w:rsidRDefault="00432B71" w:rsidP="005A3B4D">
            <w:pPr>
              <w:jc w:val="right"/>
              <w:rPr>
                <w:color w:val="000000"/>
                <w:sz w:val="20"/>
                <w:szCs w:val="20"/>
              </w:rPr>
            </w:pPr>
            <w:r>
              <w:rPr>
                <w:color w:val="000000"/>
                <w:sz w:val="20"/>
                <w:szCs w:val="20"/>
              </w:rPr>
              <w:t>-0.062</w:t>
            </w:r>
          </w:p>
        </w:tc>
        <w:tc>
          <w:tcPr>
            <w:tcW w:w="768" w:type="dxa"/>
            <w:tcBorders>
              <w:top w:val="nil"/>
              <w:left w:val="nil"/>
              <w:bottom w:val="single" w:sz="4" w:space="0" w:color="auto"/>
              <w:right w:val="nil"/>
            </w:tcBorders>
            <w:shd w:val="clear" w:color="auto" w:fill="auto"/>
            <w:noWrap/>
            <w:vAlign w:val="bottom"/>
            <w:hideMark/>
          </w:tcPr>
          <w:p w14:paraId="2256CA95" w14:textId="77777777" w:rsidR="00432B71" w:rsidRDefault="00432B71" w:rsidP="005A3B4D">
            <w:pPr>
              <w:jc w:val="right"/>
              <w:rPr>
                <w:color w:val="000000"/>
                <w:sz w:val="20"/>
                <w:szCs w:val="20"/>
              </w:rPr>
            </w:pPr>
            <w:r>
              <w:rPr>
                <w:color w:val="000000"/>
                <w:sz w:val="20"/>
                <w:szCs w:val="20"/>
              </w:rPr>
              <w:t>0.772</w:t>
            </w:r>
          </w:p>
        </w:tc>
        <w:tc>
          <w:tcPr>
            <w:tcW w:w="768" w:type="dxa"/>
            <w:tcBorders>
              <w:top w:val="nil"/>
              <w:left w:val="nil"/>
              <w:bottom w:val="single" w:sz="4" w:space="0" w:color="auto"/>
              <w:right w:val="nil"/>
            </w:tcBorders>
            <w:shd w:val="clear" w:color="auto" w:fill="auto"/>
            <w:noWrap/>
            <w:vAlign w:val="bottom"/>
            <w:hideMark/>
          </w:tcPr>
          <w:p w14:paraId="76A6882C"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6DC2FC37" w14:textId="77777777" w:rsidR="00432B71" w:rsidRDefault="00432B71" w:rsidP="005A3B4D">
            <w:pPr>
              <w:jc w:val="right"/>
              <w:rPr>
                <w:color w:val="000000"/>
                <w:sz w:val="20"/>
                <w:szCs w:val="20"/>
              </w:rPr>
            </w:pPr>
            <w:r>
              <w:rPr>
                <w:color w:val="000000"/>
                <w:sz w:val="20"/>
                <w:szCs w:val="20"/>
              </w:rPr>
              <w:t>0.043</w:t>
            </w:r>
          </w:p>
        </w:tc>
        <w:tc>
          <w:tcPr>
            <w:tcW w:w="768" w:type="dxa"/>
            <w:tcBorders>
              <w:top w:val="nil"/>
              <w:left w:val="nil"/>
              <w:bottom w:val="single" w:sz="4" w:space="0" w:color="auto"/>
              <w:right w:val="nil"/>
            </w:tcBorders>
            <w:shd w:val="clear" w:color="auto" w:fill="auto"/>
            <w:noWrap/>
            <w:vAlign w:val="bottom"/>
            <w:hideMark/>
          </w:tcPr>
          <w:p w14:paraId="6C52AA1C" w14:textId="77777777" w:rsidR="00432B71" w:rsidRDefault="00432B71" w:rsidP="005A3B4D">
            <w:pPr>
              <w:jc w:val="right"/>
              <w:rPr>
                <w:color w:val="000000"/>
                <w:sz w:val="20"/>
                <w:szCs w:val="20"/>
              </w:rPr>
            </w:pPr>
            <w:r>
              <w:rPr>
                <w:color w:val="000000"/>
                <w:sz w:val="20"/>
                <w:szCs w:val="20"/>
              </w:rPr>
              <w:t>0.659</w:t>
            </w:r>
          </w:p>
        </w:tc>
        <w:tc>
          <w:tcPr>
            <w:tcW w:w="768" w:type="dxa"/>
            <w:tcBorders>
              <w:top w:val="nil"/>
              <w:left w:val="nil"/>
              <w:bottom w:val="single" w:sz="4" w:space="0" w:color="auto"/>
              <w:right w:val="nil"/>
            </w:tcBorders>
            <w:shd w:val="clear" w:color="auto" w:fill="auto"/>
            <w:noWrap/>
            <w:vAlign w:val="bottom"/>
            <w:hideMark/>
          </w:tcPr>
          <w:p w14:paraId="3A54F62C"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874D584" w14:textId="77777777" w:rsidR="00432B71" w:rsidRDefault="00432B71" w:rsidP="005A3B4D">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6530197E" w14:textId="77777777" w:rsidR="00432B71" w:rsidRDefault="00432B71" w:rsidP="005A3B4D">
            <w:pPr>
              <w:jc w:val="right"/>
              <w:rPr>
                <w:color w:val="000000"/>
                <w:sz w:val="20"/>
                <w:szCs w:val="20"/>
              </w:rPr>
            </w:pPr>
            <w:r>
              <w:rPr>
                <w:color w:val="000000"/>
                <w:sz w:val="20"/>
                <w:szCs w:val="20"/>
              </w:rPr>
              <w:t>0.882</w:t>
            </w:r>
          </w:p>
        </w:tc>
        <w:tc>
          <w:tcPr>
            <w:tcW w:w="768" w:type="dxa"/>
            <w:tcBorders>
              <w:top w:val="nil"/>
              <w:left w:val="nil"/>
              <w:bottom w:val="single" w:sz="4" w:space="0" w:color="auto"/>
              <w:right w:val="nil"/>
            </w:tcBorders>
            <w:shd w:val="clear" w:color="auto" w:fill="auto"/>
            <w:noWrap/>
            <w:vAlign w:val="bottom"/>
            <w:hideMark/>
          </w:tcPr>
          <w:p w14:paraId="014EF03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C62F222"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0AEFCF02" w14:textId="77777777" w:rsidR="00432B71" w:rsidRDefault="00432B71" w:rsidP="005A3B4D">
            <w:pPr>
              <w:jc w:val="right"/>
              <w:rPr>
                <w:color w:val="000000"/>
                <w:sz w:val="20"/>
                <w:szCs w:val="20"/>
              </w:rPr>
            </w:pPr>
            <w:r>
              <w:rPr>
                <w:color w:val="000000"/>
                <w:sz w:val="20"/>
                <w:szCs w:val="20"/>
              </w:rPr>
              <w:t>0.813</w:t>
            </w:r>
          </w:p>
        </w:tc>
        <w:tc>
          <w:tcPr>
            <w:tcW w:w="768" w:type="dxa"/>
            <w:tcBorders>
              <w:top w:val="nil"/>
              <w:left w:val="nil"/>
              <w:bottom w:val="single" w:sz="4" w:space="0" w:color="auto"/>
              <w:right w:val="nil"/>
            </w:tcBorders>
            <w:shd w:val="clear" w:color="auto" w:fill="auto"/>
            <w:noWrap/>
            <w:vAlign w:val="bottom"/>
            <w:hideMark/>
          </w:tcPr>
          <w:p w14:paraId="2CE537B3" w14:textId="77777777" w:rsidR="00432B71" w:rsidRDefault="00432B71" w:rsidP="005A3B4D">
            <w:pPr>
              <w:jc w:val="right"/>
              <w:rPr>
                <w:color w:val="000000"/>
                <w:sz w:val="20"/>
                <w:szCs w:val="20"/>
              </w:rPr>
            </w:pPr>
            <w:r>
              <w:rPr>
                <w:color w:val="000000"/>
                <w:sz w:val="20"/>
                <w:szCs w:val="20"/>
              </w:rPr>
              <w:t>0.001</w:t>
            </w:r>
          </w:p>
        </w:tc>
      </w:tr>
      <w:tr w:rsidR="00432B71" w14:paraId="4C252C67" w14:textId="77777777" w:rsidTr="005A3B4D">
        <w:trPr>
          <w:trHeight w:val="320"/>
        </w:trPr>
        <w:tc>
          <w:tcPr>
            <w:tcW w:w="1176" w:type="dxa"/>
            <w:tcBorders>
              <w:top w:val="nil"/>
              <w:left w:val="nil"/>
              <w:bottom w:val="nil"/>
              <w:right w:val="nil"/>
            </w:tcBorders>
            <w:shd w:val="clear" w:color="auto" w:fill="auto"/>
            <w:noWrap/>
            <w:vAlign w:val="bottom"/>
            <w:hideMark/>
          </w:tcPr>
          <w:p w14:paraId="5CE3F624" w14:textId="77777777" w:rsidR="00432B71" w:rsidRDefault="00432B71"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3066A7DC"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D426229" w14:textId="77777777" w:rsidR="00432B71" w:rsidRDefault="00432B71" w:rsidP="005A3B4D">
            <w:pPr>
              <w:jc w:val="right"/>
              <w:rPr>
                <w:b/>
                <w:bCs/>
                <w:color w:val="000000"/>
                <w:sz w:val="20"/>
                <w:szCs w:val="20"/>
              </w:rPr>
            </w:pPr>
            <w:r>
              <w:rPr>
                <w:b/>
                <w:bCs/>
                <w:color w:val="000000"/>
                <w:sz w:val="20"/>
                <w:szCs w:val="20"/>
              </w:rPr>
              <w:t>0.109</w:t>
            </w:r>
          </w:p>
        </w:tc>
        <w:tc>
          <w:tcPr>
            <w:tcW w:w="768" w:type="dxa"/>
            <w:tcBorders>
              <w:top w:val="nil"/>
              <w:left w:val="nil"/>
              <w:bottom w:val="nil"/>
              <w:right w:val="nil"/>
            </w:tcBorders>
            <w:shd w:val="clear" w:color="auto" w:fill="auto"/>
            <w:noWrap/>
            <w:vAlign w:val="bottom"/>
            <w:hideMark/>
          </w:tcPr>
          <w:p w14:paraId="26BCA46D" w14:textId="77777777" w:rsidR="00432B71" w:rsidRDefault="00432B7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2DFCA1DF" w14:textId="77777777" w:rsidR="00432B71" w:rsidRDefault="00432B71" w:rsidP="005A3B4D">
            <w:pPr>
              <w:jc w:val="right"/>
              <w:rPr>
                <w:color w:val="000000"/>
                <w:sz w:val="20"/>
                <w:szCs w:val="20"/>
              </w:rPr>
            </w:pPr>
            <w:r>
              <w:rPr>
                <w:b/>
                <w:bCs/>
                <w:color w:val="000000"/>
                <w:sz w:val="20"/>
                <w:szCs w:val="20"/>
              </w:rPr>
              <w:t>0.012</w:t>
            </w:r>
          </w:p>
        </w:tc>
        <w:tc>
          <w:tcPr>
            <w:tcW w:w="768" w:type="dxa"/>
            <w:tcBorders>
              <w:top w:val="nil"/>
              <w:left w:val="nil"/>
              <w:bottom w:val="nil"/>
              <w:right w:val="nil"/>
            </w:tcBorders>
            <w:shd w:val="clear" w:color="auto" w:fill="auto"/>
            <w:noWrap/>
            <w:vAlign w:val="bottom"/>
            <w:hideMark/>
          </w:tcPr>
          <w:p w14:paraId="4FDAAB4C" w14:textId="77777777" w:rsidR="00432B71" w:rsidRDefault="00432B71"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12EA60CC" w14:textId="77777777" w:rsidR="00432B71" w:rsidRDefault="00432B71" w:rsidP="005A3B4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449031F3"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AD907D3"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30E0D9C" w14:textId="77777777" w:rsidR="00432B71" w:rsidRDefault="00432B71" w:rsidP="005A3B4D">
            <w:pPr>
              <w:jc w:val="right"/>
              <w:rPr>
                <w:color w:val="000000"/>
                <w:sz w:val="20"/>
                <w:szCs w:val="20"/>
              </w:rPr>
            </w:pPr>
            <w:r>
              <w:rPr>
                <w:color w:val="000000"/>
                <w:sz w:val="20"/>
                <w:szCs w:val="20"/>
              </w:rPr>
              <w:t>0.439</w:t>
            </w:r>
          </w:p>
        </w:tc>
        <w:tc>
          <w:tcPr>
            <w:tcW w:w="768" w:type="dxa"/>
            <w:tcBorders>
              <w:top w:val="nil"/>
              <w:left w:val="nil"/>
              <w:bottom w:val="nil"/>
              <w:right w:val="nil"/>
            </w:tcBorders>
            <w:shd w:val="clear" w:color="auto" w:fill="auto"/>
            <w:noWrap/>
            <w:vAlign w:val="bottom"/>
            <w:hideMark/>
          </w:tcPr>
          <w:p w14:paraId="6D2CD92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92E7C8" w14:textId="77777777" w:rsidR="00432B71" w:rsidRDefault="00432B71" w:rsidP="005A3B4D">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5AD2DC5D" w14:textId="77777777" w:rsidR="00432B71" w:rsidRDefault="00432B71"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665CCD99"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148636A"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11AA483" w14:textId="77777777" w:rsidR="00432B71" w:rsidRDefault="00432B71"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1626089D" w14:textId="77777777" w:rsidR="00432B71" w:rsidRDefault="00432B71" w:rsidP="005A3B4D">
            <w:pPr>
              <w:jc w:val="right"/>
              <w:rPr>
                <w:color w:val="000000"/>
                <w:sz w:val="20"/>
                <w:szCs w:val="20"/>
              </w:rPr>
            </w:pPr>
            <w:r>
              <w:rPr>
                <w:color w:val="000000"/>
                <w:sz w:val="20"/>
                <w:szCs w:val="20"/>
              </w:rPr>
              <w:t>0.000</w:t>
            </w:r>
          </w:p>
        </w:tc>
      </w:tr>
      <w:tr w:rsidR="00432B71" w14:paraId="269204F6" w14:textId="77777777" w:rsidTr="005A3B4D">
        <w:trPr>
          <w:trHeight w:val="320"/>
        </w:trPr>
        <w:tc>
          <w:tcPr>
            <w:tcW w:w="1176" w:type="dxa"/>
            <w:tcBorders>
              <w:top w:val="nil"/>
              <w:left w:val="nil"/>
              <w:bottom w:val="nil"/>
              <w:right w:val="nil"/>
            </w:tcBorders>
            <w:shd w:val="clear" w:color="auto" w:fill="auto"/>
            <w:noWrap/>
            <w:vAlign w:val="bottom"/>
            <w:hideMark/>
          </w:tcPr>
          <w:p w14:paraId="49253C31"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82F64C"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F2F9AED"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0573D5C" w14:textId="77777777" w:rsidR="00432B71" w:rsidRDefault="00432B71" w:rsidP="005A3B4D">
            <w:pPr>
              <w:jc w:val="right"/>
              <w:rPr>
                <w:color w:val="000000"/>
                <w:sz w:val="20"/>
                <w:szCs w:val="20"/>
              </w:rPr>
            </w:pPr>
            <w:r>
              <w:rPr>
                <w:color w:val="000000"/>
                <w:sz w:val="20"/>
                <w:szCs w:val="20"/>
              </w:rPr>
              <w:t>0.957</w:t>
            </w:r>
          </w:p>
        </w:tc>
        <w:tc>
          <w:tcPr>
            <w:tcW w:w="768" w:type="dxa"/>
            <w:tcBorders>
              <w:top w:val="nil"/>
              <w:left w:val="nil"/>
              <w:bottom w:val="nil"/>
              <w:right w:val="nil"/>
            </w:tcBorders>
            <w:shd w:val="clear" w:color="auto" w:fill="auto"/>
            <w:noWrap/>
            <w:vAlign w:val="bottom"/>
            <w:hideMark/>
          </w:tcPr>
          <w:p w14:paraId="2DD99BE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3FEB6E"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F37A762" w14:textId="77777777" w:rsidR="00432B71" w:rsidRDefault="00432B71"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151D654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C3D07B" w14:textId="77777777" w:rsidR="00432B71" w:rsidRDefault="00432B7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2A21B72E" w14:textId="77777777" w:rsidR="00432B71" w:rsidRDefault="00432B71" w:rsidP="005A3B4D">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6A7D37E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D66ABD"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CC9BBFD" w14:textId="77777777" w:rsidR="00432B71" w:rsidRDefault="00432B71" w:rsidP="005A3B4D">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023D9EE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0583B2" w14:textId="77777777" w:rsidR="00432B71" w:rsidRDefault="00432B71"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1B9A089A" w14:textId="77777777" w:rsidR="00432B71" w:rsidRDefault="00432B71" w:rsidP="005A3B4D">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7F48CA9E" w14:textId="77777777" w:rsidR="00432B71" w:rsidRDefault="00432B71" w:rsidP="005A3B4D">
            <w:pPr>
              <w:jc w:val="right"/>
              <w:rPr>
                <w:color w:val="000000"/>
                <w:sz w:val="20"/>
                <w:szCs w:val="20"/>
              </w:rPr>
            </w:pPr>
            <w:r>
              <w:rPr>
                <w:color w:val="000000"/>
                <w:sz w:val="20"/>
                <w:szCs w:val="20"/>
              </w:rPr>
              <w:t>0.003</w:t>
            </w:r>
          </w:p>
        </w:tc>
      </w:tr>
      <w:tr w:rsidR="00432B71" w14:paraId="3B6D9A0F" w14:textId="77777777" w:rsidTr="005A3B4D">
        <w:trPr>
          <w:trHeight w:val="320"/>
        </w:trPr>
        <w:tc>
          <w:tcPr>
            <w:tcW w:w="1176" w:type="dxa"/>
            <w:tcBorders>
              <w:top w:val="nil"/>
              <w:left w:val="nil"/>
              <w:bottom w:val="nil"/>
              <w:right w:val="nil"/>
            </w:tcBorders>
            <w:shd w:val="clear" w:color="auto" w:fill="auto"/>
            <w:noWrap/>
            <w:vAlign w:val="bottom"/>
            <w:hideMark/>
          </w:tcPr>
          <w:p w14:paraId="4AD52B0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EE1A22F"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117C6B4"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82EDB4D" w14:textId="77777777" w:rsidR="00432B71" w:rsidRDefault="00432B71" w:rsidP="005A3B4D">
            <w:pPr>
              <w:jc w:val="right"/>
              <w:rPr>
                <w:color w:val="000000"/>
                <w:sz w:val="20"/>
                <w:szCs w:val="20"/>
              </w:rPr>
            </w:pPr>
            <w:r>
              <w:rPr>
                <w:color w:val="000000"/>
                <w:sz w:val="20"/>
                <w:szCs w:val="20"/>
              </w:rPr>
              <w:t>0.633</w:t>
            </w:r>
          </w:p>
        </w:tc>
        <w:tc>
          <w:tcPr>
            <w:tcW w:w="768" w:type="dxa"/>
            <w:tcBorders>
              <w:top w:val="nil"/>
              <w:left w:val="nil"/>
              <w:bottom w:val="nil"/>
              <w:right w:val="nil"/>
            </w:tcBorders>
            <w:shd w:val="clear" w:color="auto" w:fill="auto"/>
            <w:noWrap/>
            <w:vAlign w:val="bottom"/>
            <w:hideMark/>
          </w:tcPr>
          <w:p w14:paraId="68A0191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EFC526" w14:textId="77777777" w:rsidR="00432B71" w:rsidRDefault="00432B7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96B2050" w14:textId="77777777" w:rsidR="00432B71" w:rsidRDefault="00432B71"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4DC3914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A92011"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D400CC3" w14:textId="77777777" w:rsidR="00432B71" w:rsidRDefault="00432B71" w:rsidP="005A3B4D">
            <w:pPr>
              <w:jc w:val="right"/>
              <w:rPr>
                <w:color w:val="000000"/>
                <w:sz w:val="20"/>
                <w:szCs w:val="20"/>
              </w:rPr>
            </w:pPr>
            <w:r>
              <w:rPr>
                <w:color w:val="000000"/>
                <w:sz w:val="20"/>
                <w:szCs w:val="20"/>
              </w:rPr>
              <w:t>0.671</w:t>
            </w:r>
          </w:p>
        </w:tc>
        <w:tc>
          <w:tcPr>
            <w:tcW w:w="768" w:type="dxa"/>
            <w:tcBorders>
              <w:top w:val="nil"/>
              <w:left w:val="nil"/>
              <w:bottom w:val="nil"/>
              <w:right w:val="nil"/>
            </w:tcBorders>
            <w:shd w:val="clear" w:color="auto" w:fill="auto"/>
            <w:noWrap/>
            <w:vAlign w:val="bottom"/>
            <w:hideMark/>
          </w:tcPr>
          <w:p w14:paraId="6D364D7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47742C"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B40AC00" w14:textId="77777777" w:rsidR="00432B71" w:rsidRDefault="00432B71" w:rsidP="005A3B4D">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2B136B0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FE6654"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4A87C7C" w14:textId="77777777" w:rsidR="00432B71" w:rsidRDefault="00432B71"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1EBC5DF7" w14:textId="77777777" w:rsidR="00432B71" w:rsidRDefault="00432B71" w:rsidP="005A3B4D">
            <w:pPr>
              <w:jc w:val="right"/>
              <w:rPr>
                <w:color w:val="000000"/>
                <w:sz w:val="20"/>
                <w:szCs w:val="20"/>
              </w:rPr>
            </w:pPr>
            <w:r>
              <w:rPr>
                <w:color w:val="000000"/>
                <w:sz w:val="20"/>
                <w:szCs w:val="20"/>
              </w:rPr>
              <w:t>0.000</w:t>
            </w:r>
          </w:p>
        </w:tc>
      </w:tr>
      <w:tr w:rsidR="00432B71" w14:paraId="0226A16B" w14:textId="77777777" w:rsidTr="005A3B4D">
        <w:trPr>
          <w:trHeight w:val="320"/>
        </w:trPr>
        <w:tc>
          <w:tcPr>
            <w:tcW w:w="1176" w:type="dxa"/>
            <w:tcBorders>
              <w:top w:val="nil"/>
              <w:left w:val="nil"/>
              <w:bottom w:val="nil"/>
              <w:right w:val="nil"/>
            </w:tcBorders>
            <w:shd w:val="clear" w:color="auto" w:fill="auto"/>
            <w:noWrap/>
            <w:vAlign w:val="bottom"/>
            <w:hideMark/>
          </w:tcPr>
          <w:p w14:paraId="76BBF64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3E50BC5"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5013ABE"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B374B03" w14:textId="77777777" w:rsidR="00432B71" w:rsidRDefault="00432B71" w:rsidP="005A3B4D">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5345909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C8331E"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15DC5F6" w14:textId="77777777" w:rsidR="00432B71" w:rsidRDefault="00432B71" w:rsidP="005A3B4D">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158053D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71C76E1"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A097C8B" w14:textId="77777777" w:rsidR="00432B71" w:rsidRDefault="00432B71" w:rsidP="005A3B4D">
            <w:pPr>
              <w:jc w:val="right"/>
              <w:rPr>
                <w:color w:val="000000"/>
                <w:sz w:val="20"/>
                <w:szCs w:val="20"/>
              </w:rPr>
            </w:pPr>
            <w:r>
              <w:rPr>
                <w:color w:val="000000"/>
                <w:sz w:val="20"/>
                <w:szCs w:val="20"/>
              </w:rPr>
              <w:t>0.671</w:t>
            </w:r>
          </w:p>
        </w:tc>
        <w:tc>
          <w:tcPr>
            <w:tcW w:w="768" w:type="dxa"/>
            <w:tcBorders>
              <w:top w:val="nil"/>
              <w:left w:val="nil"/>
              <w:bottom w:val="nil"/>
              <w:right w:val="nil"/>
            </w:tcBorders>
            <w:shd w:val="clear" w:color="auto" w:fill="auto"/>
            <w:noWrap/>
            <w:vAlign w:val="bottom"/>
            <w:hideMark/>
          </w:tcPr>
          <w:p w14:paraId="78FB9C1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9EFB29"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9163CB8" w14:textId="77777777" w:rsidR="00432B71" w:rsidRDefault="00432B71" w:rsidP="005A3B4D">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45243D1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48FB9E" w14:textId="77777777" w:rsidR="00432B71" w:rsidRDefault="00432B7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CE9A8D2" w14:textId="77777777" w:rsidR="00432B71" w:rsidRDefault="00432B71"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2AFE8AFC" w14:textId="77777777" w:rsidR="00432B71" w:rsidRDefault="00432B71" w:rsidP="005A3B4D">
            <w:pPr>
              <w:jc w:val="right"/>
              <w:rPr>
                <w:color w:val="000000"/>
                <w:sz w:val="20"/>
                <w:szCs w:val="20"/>
              </w:rPr>
            </w:pPr>
            <w:r>
              <w:rPr>
                <w:color w:val="000000"/>
                <w:sz w:val="20"/>
                <w:szCs w:val="20"/>
              </w:rPr>
              <w:t>0.000</w:t>
            </w:r>
          </w:p>
        </w:tc>
      </w:tr>
      <w:tr w:rsidR="00432B71" w14:paraId="547CE2A8" w14:textId="77777777" w:rsidTr="005A3B4D">
        <w:trPr>
          <w:trHeight w:val="320"/>
        </w:trPr>
        <w:tc>
          <w:tcPr>
            <w:tcW w:w="1176" w:type="dxa"/>
            <w:tcBorders>
              <w:top w:val="nil"/>
              <w:left w:val="nil"/>
              <w:bottom w:val="nil"/>
              <w:right w:val="nil"/>
            </w:tcBorders>
            <w:shd w:val="clear" w:color="auto" w:fill="auto"/>
            <w:noWrap/>
            <w:vAlign w:val="bottom"/>
            <w:hideMark/>
          </w:tcPr>
          <w:p w14:paraId="1F0B3E5F"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D647458"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1D0166E"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06F95839" w14:textId="77777777" w:rsidR="00432B71" w:rsidRDefault="00432B71" w:rsidP="005A3B4D">
            <w:pPr>
              <w:jc w:val="right"/>
              <w:rPr>
                <w:color w:val="000000"/>
                <w:sz w:val="20"/>
                <w:szCs w:val="20"/>
              </w:rPr>
            </w:pPr>
            <w:r>
              <w:rPr>
                <w:color w:val="000000"/>
                <w:sz w:val="20"/>
                <w:szCs w:val="20"/>
              </w:rPr>
              <w:t>0.632</w:t>
            </w:r>
          </w:p>
        </w:tc>
        <w:tc>
          <w:tcPr>
            <w:tcW w:w="768" w:type="dxa"/>
            <w:tcBorders>
              <w:top w:val="nil"/>
              <w:left w:val="nil"/>
              <w:bottom w:val="nil"/>
              <w:right w:val="nil"/>
            </w:tcBorders>
            <w:shd w:val="clear" w:color="auto" w:fill="auto"/>
            <w:noWrap/>
            <w:vAlign w:val="bottom"/>
            <w:hideMark/>
          </w:tcPr>
          <w:p w14:paraId="26BA4984"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A31961"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33118292" w14:textId="77777777" w:rsidR="00432B71" w:rsidRDefault="00432B71" w:rsidP="005A3B4D">
            <w:pPr>
              <w:jc w:val="right"/>
              <w:rPr>
                <w:color w:val="000000"/>
                <w:sz w:val="20"/>
                <w:szCs w:val="20"/>
              </w:rPr>
            </w:pPr>
            <w:r>
              <w:rPr>
                <w:color w:val="000000"/>
                <w:sz w:val="20"/>
                <w:szCs w:val="20"/>
              </w:rPr>
              <w:t>0.469</w:t>
            </w:r>
          </w:p>
        </w:tc>
        <w:tc>
          <w:tcPr>
            <w:tcW w:w="768" w:type="dxa"/>
            <w:tcBorders>
              <w:top w:val="nil"/>
              <w:left w:val="nil"/>
              <w:bottom w:val="nil"/>
              <w:right w:val="nil"/>
            </w:tcBorders>
            <w:shd w:val="clear" w:color="auto" w:fill="auto"/>
            <w:noWrap/>
            <w:vAlign w:val="bottom"/>
            <w:hideMark/>
          </w:tcPr>
          <w:p w14:paraId="41CAD6D5"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A08146" w14:textId="77777777" w:rsidR="00432B71" w:rsidRDefault="00432B71"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318C1061" w14:textId="77777777" w:rsidR="00432B71" w:rsidRDefault="00432B71" w:rsidP="005A3B4D">
            <w:pPr>
              <w:jc w:val="right"/>
              <w:rPr>
                <w:color w:val="000000"/>
                <w:sz w:val="20"/>
                <w:szCs w:val="20"/>
              </w:rPr>
            </w:pPr>
            <w:r>
              <w:rPr>
                <w:color w:val="000000"/>
                <w:sz w:val="20"/>
                <w:szCs w:val="20"/>
              </w:rPr>
              <w:t>0.439</w:t>
            </w:r>
          </w:p>
        </w:tc>
        <w:tc>
          <w:tcPr>
            <w:tcW w:w="768" w:type="dxa"/>
            <w:tcBorders>
              <w:top w:val="nil"/>
              <w:left w:val="nil"/>
              <w:bottom w:val="nil"/>
              <w:right w:val="nil"/>
            </w:tcBorders>
            <w:shd w:val="clear" w:color="auto" w:fill="auto"/>
            <w:noWrap/>
            <w:vAlign w:val="bottom"/>
            <w:hideMark/>
          </w:tcPr>
          <w:p w14:paraId="655D2AAF"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23B666C"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BD517D2" w14:textId="77777777" w:rsidR="00432B71" w:rsidRDefault="00432B71"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38FFC44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19D4B3" w14:textId="77777777" w:rsidR="00432B71" w:rsidRDefault="00432B71"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4501A900" w14:textId="77777777" w:rsidR="00432B71" w:rsidRDefault="00432B71" w:rsidP="005A3B4D">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6BBD33E6" w14:textId="77777777" w:rsidR="00432B71" w:rsidRDefault="00432B71" w:rsidP="005A3B4D">
            <w:pPr>
              <w:jc w:val="right"/>
              <w:rPr>
                <w:color w:val="000000"/>
                <w:sz w:val="20"/>
                <w:szCs w:val="20"/>
              </w:rPr>
            </w:pPr>
            <w:r>
              <w:rPr>
                <w:color w:val="000000"/>
                <w:sz w:val="20"/>
                <w:szCs w:val="20"/>
              </w:rPr>
              <w:t>0.003</w:t>
            </w:r>
          </w:p>
        </w:tc>
      </w:tr>
      <w:tr w:rsidR="00432B71" w14:paraId="4C5E8EB5" w14:textId="77777777" w:rsidTr="005A3B4D">
        <w:trPr>
          <w:trHeight w:val="320"/>
        </w:trPr>
        <w:tc>
          <w:tcPr>
            <w:tcW w:w="1176" w:type="dxa"/>
            <w:tcBorders>
              <w:top w:val="nil"/>
              <w:left w:val="nil"/>
              <w:bottom w:val="nil"/>
              <w:right w:val="nil"/>
            </w:tcBorders>
            <w:shd w:val="clear" w:color="auto" w:fill="auto"/>
            <w:noWrap/>
            <w:vAlign w:val="bottom"/>
            <w:hideMark/>
          </w:tcPr>
          <w:p w14:paraId="56103AA5"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A6B032"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0C2495A"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884DDB6" w14:textId="77777777" w:rsidR="00432B71" w:rsidRDefault="00432B71" w:rsidP="005A3B4D">
            <w:pPr>
              <w:jc w:val="right"/>
              <w:rPr>
                <w:color w:val="000000"/>
                <w:sz w:val="20"/>
                <w:szCs w:val="20"/>
              </w:rPr>
            </w:pPr>
            <w:r>
              <w:rPr>
                <w:color w:val="000000"/>
                <w:sz w:val="20"/>
                <w:szCs w:val="20"/>
              </w:rPr>
              <w:t>0.632</w:t>
            </w:r>
          </w:p>
        </w:tc>
        <w:tc>
          <w:tcPr>
            <w:tcW w:w="768" w:type="dxa"/>
            <w:tcBorders>
              <w:top w:val="nil"/>
              <w:left w:val="nil"/>
              <w:bottom w:val="nil"/>
              <w:right w:val="nil"/>
            </w:tcBorders>
            <w:shd w:val="clear" w:color="auto" w:fill="auto"/>
            <w:noWrap/>
            <w:vAlign w:val="bottom"/>
            <w:hideMark/>
          </w:tcPr>
          <w:p w14:paraId="3C3A44B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6A0F46"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9D8A328" w14:textId="77777777" w:rsidR="00432B71" w:rsidRDefault="00432B71"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66F80E3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47631F"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EB28D1B" w14:textId="77777777" w:rsidR="00432B71" w:rsidRDefault="00432B71" w:rsidP="005A3B4D">
            <w:pPr>
              <w:jc w:val="right"/>
              <w:rPr>
                <w:color w:val="000000"/>
                <w:sz w:val="20"/>
                <w:szCs w:val="20"/>
              </w:rPr>
            </w:pPr>
            <w:r>
              <w:rPr>
                <w:color w:val="000000"/>
                <w:sz w:val="20"/>
                <w:szCs w:val="20"/>
              </w:rPr>
              <w:t>0.439</w:t>
            </w:r>
          </w:p>
        </w:tc>
        <w:tc>
          <w:tcPr>
            <w:tcW w:w="768" w:type="dxa"/>
            <w:tcBorders>
              <w:top w:val="nil"/>
              <w:left w:val="nil"/>
              <w:bottom w:val="nil"/>
              <w:right w:val="nil"/>
            </w:tcBorders>
            <w:shd w:val="clear" w:color="auto" w:fill="auto"/>
            <w:noWrap/>
            <w:vAlign w:val="bottom"/>
            <w:hideMark/>
          </w:tcPr>
          <w:p w14:paraId="12DC0D6B"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EFB75B9"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FE0085C" w14:textId="77777777" w:rsidR="00432B71" w:rsidRDefault="00432B71" w:rsidP="005A3B4D">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40AD763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9C9F5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9A2033" w14:textId="77777777" w:rsidR="00432B71" w:rsidRDefault="00432B71"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7BD242EE" w14:textId="77777777" w:rsidR="00432B71" w:rsidRDefault="00432B71" w:rsidP="005A3B4D">
            <w:pPr>
              <w:jc w:val="right"/>
              <w:rPr>
                <w:color w:val="000000"/>
                <w:sz w:val="20"/>
                <w:szCs w:val="20"/>
              </w:rPr>
            </w:pPr>
            <w:r>
              <w:rPr>
                <w:color w:val="000000"/>
                <w:sz w:val="20"/>
                <w:szCs w:val="20"/>
              </w:rPr>
              <w:t>0.000</w:t>
            </w:r>
          </w:p>
        </w:tc>
      </w:tr>
      <w:tr w:rsidR="00432B71" w14:paraId="66DADEBD" w14:textId="77777777" w:rsidTr="005A3B4D">
        <w:trPr>
          <w:trHeight w:val="320"/>
        </w:trPr>
        <w:tc>
          <w:tcPr>
            <w:tcW w:w="1176" w:type="dxa"/>
            <w:tcBorders>
              <w:top w:val="nil"/>
              <w:left w:val="nil"/>
              <w:bottom w:val="nil"/>
              <w:right w:val="nil"/>
            </w:tcBorders>
            <w:shd w:val="clear" w:color="auto" w:fill="auto"/>
            <w:noWrap/>
            <w:vAlign w:val="bottom"/>
            <w:hideMark/>
          </w:tcPr>
          <w:p w14:paraId="6295A578"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1F9E621"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AFE4B4B" w14:textId="77777777" w:rsidR="00432B71" w:rsidRDefault="00432B71"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89B44C7" w14:textId="77777777" w:rsidR="00432B71" w:rsidRDefault="00432B71" w:rsidP="005A3B4D">
            <w:pPr>
              <w:jc w:val="right"/>
              <w:rPr>
                <w:color w:val="000000"/>
                <w:sz w:val="20"/>
                <w:szCs w:val="20"/>
              </w:rPr>
            </w:pPr>
            <w:r>
              <w:rPr>
                <w:color w:val="000000"/>
                <w:sz w:val="20"/>
                <w:szCs w:val="20"/>
              </w:rPr>
              <w:t>0.632</w:t>
            </w:r>
          </w:p>
        </w:tc>
        <w:tc>
          <w:tcPr>
            <w:tcW w:w="768" w:type="dxa"/>
            <w:tcBorders>
              <w:top w:val="nil"/>
              <w:left w:val="nil"/>
              <w:bottom w:val="nil"/>
              <w:right w:val="nil"/>
            </w:tcBorders>
            <w:shd w:val="clear" w:color="auto" w:fill="auto"/>
            <w:noWrap/>
            <w:vAlign w:val="bottom"/>
            <w:hideMark/>
          </w:tcPr>
          <w:p w14:paraId="57AA598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D39D568"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EBCBB30" w14:textId="77777777" w:rsidR="00432B71" w:rsidRDefault="00432B71" w:rsidP="005A3B4D">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59661A6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106FFC" w14:textId="77777777" w:rsidR="00432B71" w:rsidRDefault="00432B71"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3AA4ECB7" w14:textId="77777777" w:rsidR="00432B71" w:rsidRDefault="00432B71" w:rsidP="005A3B4D">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6419FDF9"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4311CF6"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7B30EB98" w14:textId="77777777" w:rsidR="00432B71" w:rsidRDefault="00432B71" w:rsidP="005A3B4D">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1ECB2B7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4E6663"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1BAEA17" w14:textId="77777777" w:rsidR="00432B71" w:rsidRDefault="00432B71"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1AB32D3B" w14:textId="77777777" w:rsidR="00432B71" w:rsidRDefault="00432B71" w:rsidP="005A3B4D">
            <w:pPr>
              <w:jc w:val="right"/>
              <w:rPr>
                <w:color w:val="000000"/>
                <w:sz w:val="20"/>
                <w:szCs w:val="20"/>
              </w:rPr>
            </w:pPr>
            <w:r>
              <w:rPr>
                <w:color w:val="000000"/>
                <w:sz w:val="20"/>
                <w:szCs w:val="20"/>
              </w:rPr>
              <w:t>0.000</w:t>
            </w:r>
          </w:p>
        </w:tc>
      </w:tr>
      <w:tr w:rsidR="00432B71" w14:paraId="5CD74E2A"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759FDC3D"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0D0F95D"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BFB1929" w14:textId="77777777" w:rsidR="00432B71" w:rsidRDefault="00432B71" w:rsidP="005A3B4D">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2B011276" w14:textId="77777777" w:rsidR="00432B71" w:rsidRDefault="00432B71" w:rsidP="005A3B4D">
            <w:pPr>
              <w:jc w:val="right"/>
              <w:rPr>
                <w:color w:val="000000"/>
                <w:sz w:val="20"/>
                <w:szCs w:val="20"/>
              </w:rPr>
            </w:pPr>
            <w:r>
              <w:rPr>
                <w:color w:val="000000"/>
                <w:sz w:val="20"/>
                <w:szCs w:val="20"/>
              </w:rPr>
              <w:t>0.632</w:t>
            </w:r>
          </w:p>
        </w:tc>
        <w:tc>
          <w:tcPr>
            <w:tcW w:w="768" w:type="dxa"/>
            <w:tcBorders>
              <w:top w:val="nil"/>
              <w:left w:val="nil"/>
              <w:bottom w:val="single" w:sz="4" w:space="0" w:color="auto"/>
              <w:right w:val="nil"/>
            </w:tcBorders>
            <w:shd w:val="clear" w:color="auto" w:fill="auto"/>
            <w:noWrap/>
            <w:vAlign w:val="bottom"/>
            <w:hideMark/>
          </w:tcPr>
          <w:p w14:paraId="632E072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7D5CF57" w14:textId="77777777" w:rsidR="00432B71" w:rsidRDefault="00432B71" w:rsidP="005A3B4D">
            <w:pPr>
              <w:jc w:val="right"/>
              <w:rPr>
                <w:color w:val="000000"/>
                <w:sz w:val="20"/>
                <w:szCs w:val="20"/>
              </w:rPr>
            </w:pPr>
            <w:r>
              <w:rPr>
                <w:color w:val="000000"/>
                <w:sz w:val="20"/>
                <w:szCs w:val="20"/>
              </w:rPr>
              <w:t>-0.052</w:t>
            </w:r>
          </w:p>
        </w:tc>
        <w:tc>
          <w:tcPr>
            <w:tcW w:w="768" w:type="dxa"/>
            <w:tcBorders>
              <w:top w:val="nil"/>
              <w:left w:val="nil"/>
              <w:bottom w:val="single" w:sz="4" w:space="0" w:color="auto"/>
              <w:right w:val="nil"/>
            </w:tcBorders>
            <w:shd w:val="clear" w:color="auto" w:fill="auto"/>
            <w:noWrap/>
            <w:vAlign w:val="bottom"/>
            <w:hideMark/>
          </w:tcPr>
          <w:p w14:paraId="60802AD3" w14:textId="77777777" w:rsidR="00432B71" w:rsidRDefault="00432B71" w:rsidP="005A3B4D">
            <w:pPr>
              <w:jc w:val="right"/>
              <w:rPr>
                <w:color w:val="000000"/>
                <w:sz w:val="20"/>
                <w:szCs w:val="20"/>
              </w:rPr>
            </w:pPr>
            <w:r>
              <w:rPr>
                <w:color w:val="000000"/>
                <w:sz w:val="20"/>
                <w:szCs w:val="20"/>
              </w:rPr>
              <w:t>0.236</w:t>
            </w:r>
          </w:p>
        </w:tc>
        <w:tc>
          <w:tcPr>
            <w:tcW w:w="768" w:type="dxa"/>
            <w:tcBorders>
              <w:top w:val="nil"/>
              <w:left w:val="nil"/>
              <w:bottom w:val="single" w:sz="4" w:space="0" w:color="auto"/>
              <w:right w:val="nil"/>
            </w:tcBorders>
            <w:shd w:val="clear" w:color="auto" w:fill="auto"/>
            <w:noWrap/>
            <w:vAlign w:val="bottom"/>
            <w:hideMark/>
          </w:tcPr>
          <w:p w14:paraId="2FF7C1FC"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4ED9B883"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11885CDF" w14:textId="77777777" w:rsidR="00432B71" w:rsidRDefault="00432B71" w:rsidP="005A3B4D">
            <w:pPr>
              <w:jc w:val="right"/>
              <w:rPr>
                <w:color w:val="000000"/>
                <w:sz w:val="20"/>
                <w:szCs w:val="20"/>
              </w:rPr>
            </w:pPr>
            <w:r>
              <w:rPr>
                <w:color w:val="000000"/>
                <w:sz w:val="20"/>
                <w:szCs w:val="20"/>
              </w:rPr>
              <w:t>0.439</w:t>
            </w:r>
          </w:p>
        </w:tc>
        <w:tc>
          <w:tcPr>
            <w:tcW w:w="768" w:type="dxa"/>
            <w:tcBorders>
              <w:top w:val="nil"/>
              <w:left w:val="nil"/>
              <w:bottom w:val="single" w:sz="4" w:space="0" w:color="auto"/>
              <w:right w:val="nil"/>
            </w:tcBorders>
            <w:shd w:val="clear" w:color="auto" w:fill="auto"/>
            <w:noWrap/>
            <w:vAlign w:val="bottom"/>
            <w:hideMark/>
          </w:tcPr>
          <w:p w14:paraId="375FA457"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B306276" w14:textId="77777777" w:rsidR="00432B71" w:rsidRDefault="00432B71" w:rsidP="005A3B4D">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3A3E464C" w14:textId="77777777" w:rsidR="00432B71" w:rsidRDefault="00432B71" w:rsidP="005A3B4D">
            <w:pPr>
              <w:jc w:val="right"/>
              <w:rPr>
                <w:color w:val="000000"/>
                <w:sz w:val="20"/>
                <w:szCs w:val="20"/>
              </w:rPr>
            </w:pPr>
            <w:r>
              <w:rPr>
                <w:color w:val="000000"/>
                <w:sz w:val="20"/>
                <w:szCs w:val="20"/>
              </w:rPr>
              <w:t>0.701</w:t>
            </w:r>
          </w:p>
        </w:tc>
        <w:tc>
          <w:tcPr>
            <w:tcW w:w="768" w:type="dxa"/>
            <w:tcBorders>
              <w:top w:val="nil"/>
              <w:left w:val="nil"/>
              <w:bottom w:val="single" w:sz="4" w:space="0" w:color="auto"/>
              <w:right w:val="nil"/>
            </w:tcBorders>
            <w:shd w:val="clear" w:color="auto" w:fill="auto"/>
            <w:noWrap/>
            <w:vAlign w:val="bottom"/>
            <w:hideMark/>
          </w:tcPr>
          <w:p w14:paraId="021BAE2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AF4A7CA" w14:textId="77777777" w:rsidR="00432B71" w:rsidRDefault="00432B71" w:rsidP="005A3B4D">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16D5F53C" w14:textId="77777777" w:rsidR="00432B71" w:rsidRDefault="00432B71" w:rsidP="005A3B4D">
            <w:pPr>
              <w:jc w:val="right"/>
              <w:rPr>
                <w:color w:val="000000"/>
                <w:sz w:val="20"/>
                <w:szCs w:val="20"/>
              </w:rPr>
            </w:pPr>
            <w:r>
              <w:rPr>
                <w:color w:val="000000"/>
                <w:sz w:val="20"/>
                <w:szCs w:val="20"/>
              </w:rPr>
              <w:t>0.950</w:t>
            </w:r>
          </w:p>
        </w:tc>
        <w:tc>
          <w:tcPr>
            <w:tcW w:w="768" w:type="dxa"/>
            <w:tcBorders>
              <w:top w:val="nil"/>
              <w:left w:val="nil"/>
              <w:bottom w:val="single" w:sz="4" w:space="0" w:color="auto"/>
              <w:right w:val="nil"/>
            </w:tcBorders>
            <w:shd w:val="clear" w:color="auto" w:fill="auto"/>
            <w:noWrap/>
            <w:vAlign w:val="bottom"/>
            <w:hideMark/>
          </w:tcPr>
          <w:p w14:paraId="292DCB27" w14:textId="77777777" w:rsidR="00432B71" w:rsidRDefault="00432B71" w:rsidP="005A3B4D">
            <w:pPr>
              <w:jc w:val="right"/>
              <w:rPr>
                <w:color w:val="000000"/>
                <w:sz w:val="20"/>
                <w:szCs w:val="20"/>
              </w:rPr>
            </w:pPr>
            <w:r>
              <w:rPr>
                <w:color w:val="000000"/>
                <w:sz w:val="20"/>
                <w:szCs w:val="20"/>
              </w:rPr>
              <w:t>0.000</w:t>
            </w:r>
          </w:p>
        </w:tc>
      </w:tr>
      <w:tr w:rsidR="00432B71" w14:paraId="227DEB7B" w14:textId="77777777" w:rsidTr="005A3B4D">
        <w:trPr>
          <w:trHeight w:val="320"/>
        </w:trPr>
        <w:tc>
          <w:tcPr>
            <w:tcW w:w="1176" w:type="dxa"/>
            <w:tcBorders>
              <w:top w:val="nil"/>
              <w:left w:val="nil"/>
              <w:bottom w:val="nil"/>
              <w:right w:val="nil"/>
            </w:tcBorders>
            <w:shd w:val="clear" w:color="auto" w:fill="auto"/>
            <w:noWrap/>
            <w:vAlign w:val="bottom"/>
            <w:hideMark/>
          </w:tcPr>
          <w:p w14:paraId="4ADE8789" w14:textId="77777777" w:rsidR="00432B71" w:rsidRDefault="00432B71"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6026A49"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5B4525B"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1C82CBF" w14:textId="77777777" w:rsidR="00432B71" w:rsidRDefault="00432B71" w:rsidP="005A3B4D">
            <w:pPr>
              <w:jc w:val="right"/>
              <w:rPr>
                <w:color w:val="000000"/>
                <w:sz w:val="20"/>
                <w:szCs w:val="20"/>
              </w:rPr>
            </w:pPr>
            <w:r>
              <w:rPr>
                <w:color w:val="000000"/>
                <w:sz w:val="20"/>
                <w:szCs w:val="20"/>
              </w:rPr>
              <w:t>0.395</w:t>
            </w:r>
          </w:p>
        </w:tc>
        <w:tc>
          <w:tcPr>
            <w:tcW w:w="768" w:type="dxa"/>
            <w:tcBorders>
              <w:top w:val="nil"/>
              <w:left w:val="nil"/>
              <w:bottom w:val="nil"/>
              <w:right w:val="nil"/>
            </w:tcBorders>
            <w:shd w:val="clear" w:color="auto" w:fill="auto"/>
            <w:noWrap/>
            <w:vAlign w:val="bottom"/>
            <w:hideMark/>
          </w:tcPr>
          <w:p w14:paraId="5769845C"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607A99F"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F02F753" w14:textId="77777777" w:rsidR="00432B71" w:rsidRDefault="00432B71" w:rsidP="005A3B4D">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5FD71EB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C149BC"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4369E8B" w14:textId="77777777" w:rsidR="00432B71" w:rsidRDefault="00432B71" w:rsidP="005A3B4D">
            <w:pPr>
              <w:jc w:val="right"/>
              <w:rPr>
                <w:color w:val="000000"/>
                <w:sz w:val="20"/>
                <w:szCs w:val="20"/>
              </w:rPr>
            </w:pPr>
            <w:r>
              <w:rPr>
                <w:color w:val="000000"/>
                <w:sz w:val="20"/>
                <w:szCs w:val="20"/>
              </w:rPr>
              <w:t>0.359</w:t>
            </w:r>
          </w:p>
        </w:tc>
        <w:tc>
          <w:tcPr>
            <w:tcW w:w="768" w:type="dxa"/>
            <w:tcBorders>
              <w:top w:val="nil"/>
              <w:left w:val="nil"/>
              <w:bottom w:val="nil"/>
              <w:right w:val="nil"/>
            </w:tcBorders>
            <w:shd w:val="clear" w:color="auto" w:fill="auto"/>
            <w:noWrap/>
            <w:vAlign w:val="bottom"/>
            <w:hideMark/>
          </w:tcPr>
          <w:p w14:paraId="7E6D0DE3"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8BAC409" w14:textId="77777777" w:rsidR="00432B71" w:rsidRDefault="00432B71"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FFF6FCC" w14:textId="77777777" w:rsidR="00432B71" w:rsidRDefault="00432B71" w:rsidP="005A3B4D">
            <w:pPr>
              <w:jc w:val="right"/>
              <w:rPr>
                <w:color w:val="000000"/>
                <w:sz w:val="20"/>
                <w:szCs w:val="20"/>
              </w:rPr>
            </w:pPr>
            <w:r>
              <w:rPr>
                <w:color w:val="000000"/>
                <w:sz w:val="20"/>
                <w:szCs w:val="20"/>
              </w:rPr>
              <w:t>0.868</w:t>
            </w:r>
          </w:p>
        </w:tc>
        <w:tc>
          <w:tcPr>
            <w:tcW w:w="768" w:type="dxa"/>
            <w:tcBorders>
              <w:top w:val="nil"/>
              <w:left w:val="nil"/>
              <w:bottom w:val="nil"/>
              <w:right w:val="nil"/>
            </w:tcBorders>
            <w:shd w:val="clear" w:color="auto" w:fill="auto"/>
            <w:noWrap/>
            <w:vAlign w:val="bottom"/>
            <w:hideMark/>
          </w:tcPr>
          <w:p w14:paraId="3570DFD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482953"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663668" w14:textId="77777777" w:rsidR="00432B71" w:rsidRDefault="00432B71" w:rsidP="005A3B4D">
            <w:pPr>
              <w:jc w:val="right"/>
              <w:rPr>
                <w:color w:val="000000"/>
                <w:sz w:val="20"/>
                <w:szCs w:val="20"/>
              </w:rPr>
            </w:pPr>
            <w:r>
              <w:rPr>
                <w:color w:val="000000"/>
                <w:sz w:val="20"/>
                <w:szCs w:val="20"/>
              </w:rPr>
              <w:t>0.964</w:t>
            </w:r>
          </w:p>
        </w:tc>
        <w:tc>
          <w:tcPr>
            <w:tcW w:w="768" w:type="dxa"/>
            <w:tcBorders>
              <w:top w:val="nil"/>
              <w:left w:val="nil"/>
              <w:bottom w:val="nil"/>
              <w:right w:val="nil"/>
            </w:tcBorders>
            <w:shd w:val="clear" w:color="auto" w:fill="auto"/>
            <w:noWrap/>
            <w:vAlign w:val="bottom"/>
            <w:hideMark/>
          </w:tcPr>
          <w:p w14:paraId="41422B24" w14:textId="77777777" w:rsidR="00432B71" w:rsidRDefault="00432B71" w:rsidP="005A3B4D">
            <w:pPr>
              <w:jc w:val="right"/>
              <w:rPr>
                <w:color w:val="000000"/>
                <w:sz w:val="20"/>
                <w:szCs w:val="20"/>
              </w:rPr>
            </w:pPr>
            <w:r>
              <w:rPr>
                <w:color w:val="000000"/>
                <w:sz w:val="20"/>
                <w:szCs w:val="20"/>
              </w:rPr>
              <w:t>0.000</w:t>
            </w:r>
          </w:p>
        </w:tc>
      </w:tr>
      <w:tr w:rsidR="00432B71" w14:paraId="2313B050" w14:textId="77777777" w:rsidTr="005A3B4D">
        <w:trPr>
          <w:trHeight w:val="320"/>
        </w:trPr>
        <w:tc>
          <w:tcPr>
            <w:tcW w:w="1176" w:type="dxa"/>
            <w:tcBorders>
              <w:top w:val="nil"/>
              <w:left w:val="nil"/>
              <w:bottom w:val="nil"/>
              <w:right w:val="nil"/>
            </w:tcBorders>
            <w:shd w:val="clear" w:color="auto" w:fill="auto"/>
            <w:noWrap/>
            <w:vAlign w:val="bottom"/>
            <w:hideMark/>
          </w:tcPr>
          <w:p w14:paraId="53BF9AA2"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89C2798"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9A7DDE5"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7F84E6A" w14:textId="77777777" w:rsidR="00432B71" w:rsidRDefault="00432B71" w:rsidP="005A3B4D">
            <w:pPr>
              <w:jc w:val="right"/>
              <w:rPr>
                <w:color w:val="000000"/>
                <w:sz w:val="20"/>
                <w:szCs w:val="20"/>
              </w:rPr>
            </w:pPr>
            <w:r>
              <w:rPr>
                <w:color w:val="000000"/>
                <w:sz w:val="20"/>
                <w:szCs w:val="20"/>
              </w:rPr>
              <w:t>0.719</w:t>
            </w:r>
          </w:p>
        </w:tc>
        <w:tc>
          <w:tcPr>
            <w:tcW w:w="768" w:type="dxa"/>
            <w:tcBorders>
              <w:top w:val="nil"/>
              <w:left w:val="nil"/>
              <w:bottom w:val="nil"/>
              <w:right w:val="nil"/>
            </w:tcBorders>
            <w:shd w:val="clear" w:color="auto" w:fill="auto"/>
            <w:noWrap/>
            <w:vAlign w:val="bottom"/>
            <w:hideMark/>
          </w:tcPr>
          <w:p w14:paraId="6BE5297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75EA0B"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3A07A0B" w14:textId="77777777" w:rsidR="00432B71" w:rsidRDefault="00432B71"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2E76CDD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C47745"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2205FB0" w14:textId="77777777" w:rsidR="00432B71" w:rsidRDefault="00432B71"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5F03EA0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3621EE"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BC065F4" w14:textId="77777777" w:rsidR="00432B71" w:rsidRDefault="00432B71" w:rsidP="005A3B4D">
            <w:pPr>
              <w:jc w:val="right"/>
              <w:rPr>
                <w:color w:val="000000"/>
                <w:sz w:val="20"/>
                <w:szCs w:val="20"/>
              </w:rPr>
            </w:pPr>
            <w:r>
              <w:rPr>
                <w:color w:val="000000"/>
                <w:sz w:val="20"/>
                <w:szCs w:val="20"/>
              </w:rPr>
              <w:t>0.868</w:t>
            </w:r>
          </w:p>
        </w:tc>
        <w:tc>
          <w:tcPr>
            <w:tcW w:w="768" w:type="dxa"/>
            <w:tcBorders>
              <w:top w:val="nil"/>
              <w:left w:val="nil"/>
              <w:bottom w:val="nil"/>
              <w:right w:val="nil"/>
            </w:tcBorders>
            <w:shd w:val="clear" w:color="auto" w:fill="auto"/>
            <w:noWrap/>
            <w:vAlign w:val="bottom"/>
            <w:hideMark/>
          </w:tcPr>
          <w:p w14:paraId="3F1407D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7DF13C"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409C9018" w14:textId="77777777" w:rsidR="00432B71" w:rsidRDefault="00432B71" w:rsidP="005A3B4D">
            <w:pPr>
              <w:jc w:val="right"/>
              <w:rPr>
                <w:color w:val="000000"/>
                <w:sz w:val="20"/>
                <w:szCs w:val="20"/>
              </w:rPr>
            </w:pPr>
            <w:r>
              <w:rPr>
                <w:color w:val="000000"/>
                <w:sz w:val="20"/>
                <w:szCs w:val="20"/>
              </w:rPr>
              <w:t>0.505</w:t>
            </w:r>
          </w:p>
        </w:tc>
        <w:tc>
          <w:tcPr>
            <w:tcW w:w="768" w:type="dxa"/>
            <w:tcBorders>
              <w:top w:val="nil"/>
              <w:left w:val="nil"/>
              <w:bottom w:val="nil"/>
              <w:right w:val="nil"/>
            </w:tcBorders>
            <w:shd w:val="clear" w:color="auto" w:fill="auto"/>
            <w:noWrap/>
            <w:vAlign w:val="bottom"/>
            <w:hideMark/>
          </w:tcPr>
          <w:p w14:paraId="5150C7F4" w14:textId="77777777" w:rsidR="00432B71" w:rsidRDefault="00432B71" w:rsidP="005A3B4D">
            <w:pPr>
              <w:jc w:val="right"/>
              <w:rPr>
                <w:color w:val="000000"/>
                <w:sz w:val="20"/>
                <w:szCs w:val="20"/>
              </w:rPr>
            </w:pPr>
            <w:r>
              <w:rPr>
                <w:color w:val="000000"/>
                <w:sz w:val="20"/>
                <w:szCs w:val="20"/>
              </w:rPr>
              <w:t>0.001</w:t>
            </w:r>
          </w:p>
        </w:tc>
      </w:tr>
      <w:tr w:rsidR="00432B71" w14:paraId="3C17464B" w14:textId="77777777" w:rsidTr="005A3B4D">
        <w:trPr>
          <w:trHeight w:val="320"/>
        </w:trPr>
        <w:tc>
          <w:tcPr>
            <w:tcW w:w="1176" w:type="dxa"/>
            <w:tcBorders>
              <w:top w:val="nil"/>
              <w:left w:val="nil"/>
              <w:bottom w:val="nil"/>
              <w:right w:val="nil"/>
            </w:tcBorders>
            <w:shd w:val="clear" w:color="auto" w:fill="auto"/>
            <w:noWrap/>
            <w:vAlign w:val="bottom"/>
            <w:hideMark/>
          </w:tcPr>
          <w:p w14:paraId="455FAA47"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2144EFF"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0274103" w14:textId="77777777" w:rsidR="00432B71" w:rsidRDefault="00432B71"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5CF5E8A8" w14:textId="77777777" w:rsidR="00432B71" w:rsidRDefault="00432B71"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60EB5A55"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FF55EE6"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346663C" w14:textId="77777777" w:rsidR="00432B71" w:rsidRDefault="00432B71"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7ECCECF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AC2337"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4CFBA23" w14:textId="77777777" w:rsidR="00432B71" w:rsidRDefault="00432B71" w:rsidP="005A3B4D">
            <w:pPr>
              <w:jc w:val="right"/>
              <w:rPr>
                <w:color w:val="000000"/>
                <w:sz w:val="20"/>
                <w:szCs w:val="20"/>
              </w:rPr>
            </w:pPr>
            <w:r>
              <w:rPr>
                <w:color w:val="000000"/>
                <w:sz w:val="20"/>
                <w:szCs w:val="20"/>
              </w:rPr>
              <w:t>0.491</w:t>
            </w:r>
          </w:p>
        </w:tc>
        <w:tc>
          <w:tcPr>
            <w:tcW w:w="768" w:type="dxa"/>
            <w:tcBorders>
              <w:top w:val="nil"/>
              <w:left w:val="nil"/>
              <w:bottom w:val="nil"/>
              <w:right w:val="nil"/>
            </w:tcBorders>
            <w:shd w:val="clear" w:color="auto" w:fill="auto"/>
            <w:noWrap/>
            <w:vAlign w:val="bottom"/>
            <w:hideMark/>
          </w:tcPr>
          <w:p w14:paraId="1024C3A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72CFEE" w14:textId="77777777" w:rsidR="00432B71" w:rsidRDefault="00432B71"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689FDDBC" w14:textId="77777777" w:rsidR="00432B71" w:rsidRDefault="00432B71" w:rsidP="005A3B4D">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580A744D"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41C833E" w14:textId="77777777" w:rsidR="00432B71" w:rsidRDefault="00432B7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74E3B01F" w14:textId="77777777" w:rsidR="00432B71" w:rsidRDefault="00432B71" w:rsidP="005A3B4D">
            <w:pPr>
              <w:jc w:val="right"/>
              <w:rPr>
                <w:color w:val="000000"/>
                <w:sz w:val="20"/>
                <w:szCs w:val="20"/>
              </w:rPr>
            </w:pPr>
            <w:r>
              <w:rPr>
                <w:color w:val="000000"/>
                <w:sz w:val="20"/>
                <w:szCs w:val="20"/>
              </w:rPr>
              <w:t>0.334</w:t>
            </w:r>
          </w:p>
        </w:tc>
        <w:tc>
          <w:tcPr>
            <w:tcW w:w="768" w:type="dxa"/>
            <w:tcBorders>
              <w:top w:val="nil"/>
              <w:left w:val="nil"/>
              <w:bottom w:val="nil"/>
              <w:right w:val="nil"/>
            </w:tcBorders>
            <w:shd w:val="clear" w:color="auto" w:fill="auto"/>
            <w:noWrap/>
            <w:vAlign w:val="bottom"/>
            <w:hideMark/>
          </w:tcPr>
          <w:p w14:paraId="5DE883DB" w14:textId="77777777" w:rsidR="00432B71" w:rsidRDefault="00432B71" w:rsidP="005A3B4D">
            <w:pPr>
              <w:jc w:val="right"/>
              <w:rPr>
                <w:color w:val="000000"/>
                <w:sz w:val="20"/>
                <w:szCs w:val="20"/>
              </w:rPr>
            </w:pPr>
            <w:r>
              <w:rPr>
                <w:color w:val="000000"/>
                <w:sz w:val="20"/>
                <w:szCs w:val="20"/>
              </w:rPr>
              <w:t>0.002</w:t>
            </w:r>
          </w:p>
        </w:tc>
      </w:tr>
      <w:tr w:rsidR="00432B71" w14:paraId="7B6CCAF8" w14:textId="77777777" w:rsidTr="005A3B4D">
        <w:trPr>
          <w:trHeight w:val="320"/>
        </w:trPr>
        <w:tc>
          <w:tcPr>
            <w:tcW w:w="1176" w:type="dxa"/>
            <w:tcBorders>
              <w:top w:val="nil"/>
              <w:left w:val="nil"/>
              <w:bottom w:val="nil"/>
              <w:right w:val="nil"/>
            </w:tcBorders>
            <w:shd w:val="clear" w:color="auto" w:fill="auto"/>
            <w:noWrap/>
            <w:vAlign w:val="bottom"/>
            <w:hideMark/>
          </w:tcPr>
          <w:p w14:paraId="63F08E00"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847F47"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C138223" w14:textId="77777777" w:rsidR="00432B71" w:rsidRDefault="00432B71"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73744D28" w14:textId="77777777" w:rsidR="00432B71" w:rsidRDefault="00432B71" w:rsidP="005A3B4D">
            <w:pPr>
              <w:jc w:val="right"/>
              <w:rPr>
                <w:color w:val="000000"/>
                <w:sz w:val="20"/>
                <w:szCs w:val="20"/>
              </w:rPr>
            </w:pPr>
            <w:r>
              <w:rPr>
                <w:color w:val="000000"/>
                <w:sz w:val="20"/>
                <w:szCs w:val="20"/>
              </w:rPr>
              <w:t>0.395</w:t>
            </w:r>
          </w:p>
        </w:tc>
        <w:tc>
          <w:tcPr>
            <w:tcW w:w="768" w:type="dxa"/>
            <w:tcBorders>
              <w:top w:val="nil"/>
              <w:left w:val="nil"/>
              <w:bottom w:val="nil"/>
              <w:right w:val="nil"/>
            </w:tcBorders>
            <w:shd w:val="clear" w:color="auto" w:fill="auto"/>
            <w:noWrap/>
            <w:vAlign w:val="bottom"/>
            <w:hideMark/>
          </w:tcPr>
          <w:p w14:paraId="4FC0EC92"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7406C64"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3D8AF984" w14:textId="77777777" w:rsidR="00432B71" w:rsidRDefault="00432B71" w:rsidP="005A3B4D">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179317D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06799D" w14:textId="77777777" w:rsidR="00432B71" w:rsidRDefault="00432B71"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70741BBA" w14:textId="77777777" w:rsidR="00432B71" w:rsidRDefault="00432B71" w:rsidP="005A3B4D">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3158A868"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1416A22"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59177B7" w14:textId="77777777" w:rsidR="00432B71" w:rsidRDefault="00432B71" w:rsidP="005A3B4D">
            <w:pPr>
              <w:jc w:val="right"/>
              <w:rPr>
                <w:color w:val="000000"/>
                <w:sz w:val="20"/>
                <w:szCs w:val="20"/>
              </w:rPr>
            </w:pPr>
            <w:r>
              <w:rPr>
                <w:color w:val="000000"/>
                <w:sz w:val="20"/>
                <w:szCs w:val="20"/>
              </w:rPr>
              <w:t>0.868</w:t>
            </w:r>
          </w:p>
        </w:tc>
        <w:tc>
          <w:tcPr>
            <w:tcW w:w="768" w:type="dxa"/>
            <w:tcBorders>
              <w:top w:val="nil"/>
              <w:left w:val="nil"/>
              <w:bottom w:val="nil"/>
              <w:right w:val="nil"/>
            </w:tcBorders>
            <w:shd w:val="clear" w:color="auto" w:fill="auto"/>
            <w:noWrap/>
            <w:vAlign w:val="bottom"/>
            <w:hideMark/>
          </w:tcPr>
          <w:p w14:paraId="28AA676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4D6536" w14:textId="77777777" w:rsidR="00432B71" w:rsidRDefault="00432B71"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30308217" w14:textId="77777777" w:rsidR="00432B71" w:rsidRDefault="00432B71" w:rsidP="005A3B4D">
            <w:pPr>
              <w:jc w:val="right"/>
              <w:rPr>
                <w:color w:val="000000"/>
                <w:sz w:val="20"/>
                <w:szCs w:val="20"/>
              </w:rPr>
            </w:pPr>
            <w:r>
              <w:rPr>
                <w:color w:val="000000"/>
                <w:sz w:val="20"/>
                <w:szCs w:val="20"/>
              </w:rPr>
              <w:t>0.252</w:t>
            </w:r>
          </w:p>
        </w:tc>
        <w:tc>
          <w:tcPr>
            <w:tcW w:w="768" w:type="dxa"/>
            <w:tcBorders>
              <w:top w:val="nil"/>
              <w:left w:val="nil"/>
              <w:bottom w:val="nil"/>
              <w:right w:val="nil"/>
            </w:tcBorders>
            <w:shd w:val="clear" w:color="auto" w:fill="auto"/>
            <w:noWrap/>
            <w:vAlign w:val="bottom"/>
            <w:hideMark/>
          </w:tcPr>
          <w:p w14:paraId="4FFB6C0B" w14:textId="77777777" w:rsidR="00432B71" w:rsidRDefault="00432B71" w:rsidP="005A3B4D">
            <w:pPr>
              <w:jc w:val="right"/>
              <w:rPr>
                <w:color w:val="000000"/>
                <w:sz w:val="20"/>
                <w:szCs w:val="20"/>
              </w:rPr>
            </w:pPr>
            <w:r>
              <w:rPr>
                <w:color w:val="000000"/>
                <w:sz w:val="20"/>
                <w:szCs w:val="20"/>
              </w:rPr>
              <w:t>0.003</w:t>
            </w:r>
          </w:p>
        </w:tc>
      </w:tr>
      <w:tr w:rsidR="00432B71" w14:paraId="736B7989" w14:textId="77777777" w:rsidTr="005A3B4D">
        <w:trPr>
          <w:trHeight w:val="320"/>
        </w:trPr>
        <w:tc>
          <w:tcPr>
            <w:tcW w:w="1176" w:type="dxa"/>
            <w:tcBorders>
              <w:top w:val="nil"/>
              <w:left w:val="nil"/>
              <w:bottom w:val="nil"/>
              <w:right w:val="nil"/>
            </w:tcBorders>
            <w:shd w:val="clear" w:color="auto" w:fill="auto"/>
            <w:noWrap/>
            <w:vAlign w:val="bottom"/>
            <w:hideMark/>
          </w:tcPr>
          <w:p w14:paraId="17B3784B"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B1A93CF"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5A55FBE" w14:textId="77777777" w:rsidR="00432B71" w:rsidRDefault="00432B71"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5456B2F2" w14:textId="77777777" w:rsidR="00432B71" w:rsidRDefault="00432B71"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1D1BCD3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E9CDF58" w14:textId="77777777" w:rsidR="00432B71" w:rsidRDefault="00432B71"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331126D" w14:textId="77777777" w:rsidR="00432B71" w:rsidRDefault="00432B71" w:rsidP="005A3B4D">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3C9CC92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DE7446" w14:textId="77777777" w:rsidR="00432B71" w:rsidRDefault="00432B71"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221F92B9" w14:textId="77777777" w:rsidR="00432B71" w:rsidRDefault="00432B71" w:rsidP="005A3B4D">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304C8F43"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420BED5"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7459B69" w14:textId="77777777" w:rsidR="00432B71" w:rsidRDefault="00432B71" w:rsidP="005A3B4D">
            <w:pPr>
              <w:jc w:val="right"/>
              <w:rPr>
                <w:color w:val="000000"/>
                <w:sz w:val="20"/>
                <w:szCs w:val="20"/>
              </w:rPr>
            </w:pPr>
            <w:r>
              <w:rPr>
                <w:color w:val="000000"/>
                <w:sz w:val="20"/>
                <w:szCs w:val="20"/>
              </w:rPr>
              <w:t>0.868</w:t>
            </w:r>
          </w:p>
        </w:tc>
        <w:tc>
          <w:tcPr>
            <w:tcW w:w="768" w:type="dxa"/>
            <w:tcBorders>
              <w:top w:val="nil"/>
              <w:left w:val="nil"/>
              <w:bottom w:val="nil"/>
              <w:right w:val="nil"/>
            </w:tcBorders>
            <w:shd w:val="clear" w:color="auto" w:fill="auto"/>
            <w:noWrap/>
            <w:vAlign w:val="bottom"/>
            <w:hideMark/>
          </w:tcPr>
          <w:p w14:paraId="4468078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F58D99" w14:textId="77777777" w:rsidR="00432B71" w:rsidRDefault="00432B71" w:rsidP="005A3B4D">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18461255" w14:textId="77777777" w:rsidR="00432B71" w:rsidRDefault="00432B71" w:rsidP="005A3B4D">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533A01FF" w14:textId="77777777" w:rsidR="00432B71" w:rsidRDefault="00432B71" w:rsidP="005A3B4D">
            <w:pPr>
              <w:jc w:val="right"/>
              <w:rPr>
                <w:color w:val="000000"/>
                <w:sz w:val="20"/>
                <w:szCs w:val="20"/>
              </w:rPr>
            </w:pPr>
            <w:r>
              <w:rPr>
                <w:color w:val="000000"/>
                <w:sz w:val="20"/>
                <w:szCs w:val="20"/>
              </w:rPr>
              <w:t>0.004</w:t>
            </w:r>
          </w:p>
        </w:tc>
      </w:tr>
      <w:tr w:rsidR="00432B71" w14:paraId="2BEAF58F" w14:textId="77777777" w:rsidTr="005A3B4D">
        <w:trPr>
          <w:trHeight w:val="320"/>
        </w:trPr>
        <w:tc>
          <w:tcPr>
            <w:tcW w:w="1176" w:type="dxa"/>
            <w:tcBorders>
              <w:top w:val="nil"/>
              <w:left w:val="nil"/>
              <w:bottom w:val="nil"/>
              <w:right w:val="nil"/>
            </w:tcBorders>
            <w:shd w:val="clear" w:color="auto" w:fill="auto"/>
            <w:noWrap/>
            <w:vAlign w:val="bottom"/>
            <w:hideMark/>
          </w:tcPr>
          <w:p w14:paraId="7D227E2B"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F4F2C23"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B5CFF94" w14:textId="77777777" w:rsidR="00432B71" w:rsidRDefault="00432B71"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09C58179" w14:textId="77777777" w:rsidR="00432B71" w:rsidRDefault="00432B71"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7904B4FA"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49FD999"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436BA94F" w14:textId="77777777" w:rsidR="00432B71" w:rsidRDefault="00432B71" w:rsidP="005A3B4D">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144B16A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FB13EDE"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6DC58C95" w14:textId="77777777" w:rsidR="00432B71" w:rsidRDefault="00432B71" w:rsidP="005A3B4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4EAF2A5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0F808F9"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67D093B" w14:textId="77777777" w:rsidR="00432B71" w:rsidRDefault="00432B71" w:rsidP="005A3B4D">
            <w:pPr>
              <w:jc w:val="right"/>
              <w:rPr>
                <w:color w:val="000000"/>
                <w:sz w:val="20"/>
                <w:szCs w:val="20"/>
              </w:rPr>
            </w:pPr>
            <w:r>
              <w:rPr>
                <w:color w:val="000000"/>
                <w:sz w:val="20"/>
                <w:szCs w:val="20"/>
              </w:rPr>
              <w:t>0.868</w:t>
            </w:r>
          </w:p>
        </w:tc>
        <w:tc>
          <w:tcPr>
            <w:tcW w:w="768" w:type="dxa"/>
            <w:tcBorders>
              <w:top w:val="nil"/>
              <w:left w:val="nil"/>
              <w:bottom w:val="nil"/>
              <w:right w:val="nil"/>
            </w:tcBorders>
            <w:shd w:val="clear" w:color="auto" w:fill="auto"/>
            <w:noWrap/>
            <w:vAlign w:val="bottom"/>
            <w:hideMark/>
          </w:tcPr>
          <w:p w14:paraId="75D7EEE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7F5F9C6"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27C0E8D" w14:textId="77777777" w:rsidR="00432B71" w:rsidRDefault="00432B71" w:rsidP="005A3B4D">
            <w:pPr>
              <w:jc w:val="right"/>
              <w:rPr>
                <w:color w:val="000000"/>
                <w:sz w:val="20"/>
                <w:szCs w:val="20"/>
              </w:rPr>
            </w:pPr>
            <w:r>
              <w:rPr>
                <w:color w:val="000000"/>
                <w:sz w:val="20"/>
                <w:szCs w:val="20"/>
              </w:rPr>
              <w:t>0.964</w:t>
            </w:r>
          </w:p>
        </w:tc>
        <w:tc>
          <w:tcPr>
            <w:tcW w:w="768" w:type="dxa"/>
            <w:tcBorders>
              <w:top w:val="nil"/>
              <w:left w:val="nil"/>
              <w:bottom w:val="nil"/>
              <w:right w:val="nil"/>
            </w:tcBorders>
            <w:shd w:val="clear" w:color="auto" w:fill="auto"/>
            <w:noWrap/>
            <w:vAlign w:val="bottom"/>
            <w:hideMark/>
          </w:tcPr>
          <w:p w14:paraId="5C47072B" w14:textId="77777777" w:rsidR="00432B71" w:rsidRDefault="00432B71" w:rsidP="005A3B4D">
            <w:pPr>
              <w:jc w:val="right"/>
              <w:rPr>
                <w:color w:val="000000"/>
                <w:sz w:val="20"/>
                <w:szCs w:val="20"/>
              </w:rPr>
            </w:pPr>
            <w:r>
              <w:rPr>
                <w:color w:val="000000"/>
                <w:sz w:val="20"/>
                <w:szCs w:val="20"/>
              </w:rPr>
              <w:t>0.000</w:t>
            </w:r>
          </w:p>
        </w:tc>
      </w:tr>
      <w:tr w:rsidR="00432B71" w14:paraId="3ACA3D9A" w14:textId="77777777" w:rsidTr="005A3B4D">
        <w:trPr>
          <w:trHeight w:val="320"/>
        </w:trPr>
        <w:tc>
          <w:tcPr>
            <w:tcW w:w="1176" w:type="dxa"/>
            <w:tcBorders>
              <w:top w:val="nil"/>
              <w:left w:val="nil"/>
              <w:bottom w:val="nil"/>
              <w:right w:val="nil"/>
            </w:tcBorders>
            <w:shd w:val="clear" w:color="auto" w:fill="auto"/>
            <w:noWrap/>
            <w:vAlign w:val="bottom"/>
            <w:hideMark/>
          </w:tcPr>
          <w:p w14:paraId="6FDB28D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5BBB626"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D47A00D"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FD4012B" w14:textId="77777777" w:rsidR="00432B71" w:rsidRDefault="00432B71" w:rsidP="005A3B4D">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133D9E6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F359DF"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BCB822D" w14:textId="77777777" w:rsidR="00432B71" w:rsidRDefault="00432B71"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094DBAB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019598"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5D48CCA" w14:textId="77777777" w:rsidR="00432B71" w:rsidRDefault="00432B71"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4629C712"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BC6E564"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85AFDBA" w14:textId="77777777" w:rsidR="00432B71" w:rsidRDefault="00432B71" w:rsidP="005A3B4D">
            <w:pPr>
              <w:jc w:val="right"/>
              <w:rPr>
                <w:color w:val="000000"/>
                <w:sz w:val="20"/>
                <w:szCs w:val="20"/>
              </w:rPr>
            </w:pPr>
            <w:r>
              <w:rPr>
                <w:color w:val="000000"/>
                <w:sz w:val="20"/>
                <w:szCs w:val="20"/>
              </w:rPr>
              <w:t>0.868</w:t>
            </w:r>
          </w:p>
        </w:tc>
        <w:tc>
          <w:tcPr>
            <w:tcW w:w="768" w:type="dxa"/>
            <w:tcBorders>
              <w:top w:val="nil"/>
              <w:left w:val="nil"/>
              <w:bottom w:val="nil"/>
              <w:right w:val="nil"/>
            </w:tcBorders>
            <w:shd w:val="clear" w:color="auto" w:fill="auto"/>
            <w:noWrap/>
            <w:vAlign w:val="bottom"/>
            <w:hideMark/>
          </w:tcPr>
          <w:p w14:paraId="45C49E9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04CE6A" w14:textId="77777777" w:rsidR="00432B71" w:rsidRDefault="00432B71"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0A6F7DE5" w14:textId="77777777" w:rsidR="00432B71" w:rsidRDefault="00432B71" w:rsidP="005A3B4D">
            <w:pPr>
              <w:jc w:val="right"/>
              <w:rPr>
                <w:color w:val="000000"/>
                <w:sz w:val="20"/>
                <w:szCs w:val="20"/>
              </w:rPr>
            </w:pPr>
            <w:r>
              <w:rPr>
                <w:color w:val="000000"/>
                <w:sz w:val="20"/>
                <w:szCs w:val="20"/>
              </w:rPr>
              <w:t>0.252</w:t>
            </w:r>
          </w:p>
        </w:tc>
        <w:tc>
          <w:tcPr>
            <w:tcW w:w="768" w:type="dxa"/>
            <w:tcBorders>
              <w:top w:val="nil"/>
              <w:left w:val="nil"/>
              <w:bottom w:val="nil"/>
              <w:right w:val="nil"/>
            </w:tcBorders>
            <w:shd w:val="clear" w:color="auto" w:fill="auto"/>
            <w:noWrap/>
            <w:vAlign w:val="bottom"/>
            <w:hideMark/>
          </w:tcPr>
          <w:p w14:paraId="723D754F" w14:textId="77777777" w:rsidR="00432B71" w:rsidRDefault="00432B71" w:rsidP="005A3B4D">
            <w:pPr>
              <w:jc w:val="right"/>
              <w:rPr>
                <w:color w:val="000000"/>
                <w:sz w:val="20"/>
                <w:szCs w:val="20"/>
              </w:rPr>
            </w:pPr>
            <w:r>
              <w:rPr>
                <w:color w:val="000000"/>
                <w:sz w:val="20"/>
                <w:szCs w:val="20"/>
              </w:rPr>
              <w:t>0.002</w:t>
            </w:r>
          </w:p>
        </w:tc>
      </w:tr>
      <w:tr w:rsidR="00432B71" w14:paraId="198D9674"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7BAA17FB"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766EC9F"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2907417"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0AC27884" w14:textId="77777777" w:rsidR="00432B71" w:rsidRDefault="00432B71" w:rsidP="005A3B4D">
            <w:pPr>
              <w:jc w:val="right"/>
              <w:rPr>
                <w:color w:val="000000"/>
                <w:sz w:val="20"/>
                <w:szCs w:val="20"/>
              </w:rPr>
            </w:pPr>
            <w:r>
              <w:rPr>
                <w:color w:val="000000"/>
                <w:sz w:val="20"/>
                <w:szCs w:val="20"/>
              </w:rPr>
              <w:t>0.404</w:t>
            </w:r>
          </w:p>
        </w:tc>
        <w:tc>
          <w:tcPr>
            <w:tcW w:w="768" w:type="dxa"/>
            <w:tcBorders>
              <w:top w:val="nil"/>
              <w:left w:val="nil"/>
              <w:bottom w:val="single" w:sz="4" w:space="0" w:color="auto"/>
              <w:right w:val="nil"/>
            </w:tcBorders>
            <w:shd w:val="clear" w:color="auto" w:fill="auto"/>
            <w:noWrap/>
            <w:vAlign w:val="bottom"/>
            <w:hideMark/>
          </w:tcPr>
          <w:p w14:paraId="6196117B"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52977FF" w14:textId="77777777" w:rsidR="00432B71" w:rsidRDefault="00432B71" w:rsidP="005A3B4D">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32ED4316"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single" w:sz="4" w:space="0" w:color="auto"/>
              <w:right w:val="nil"/>
            </w:tcBorders>
            <w:shd w:val="clear" w:color="auto" w:fill="auto"/>
            <w:noWrap/>
            <w:vAlign w:val="bottom"/>
            <w:hideMark/>
          </w:tcPr>
          <w:p w14:paraId="5333677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6158DE8"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33F1EE46" w14:textId="77777777" w:rsidR="00432B71" w:rsidRDefault="00432B71" w:rsidP="005A3B4D">
            <w:pPr>
              <w:jc w:val="right"/>
              <w:rPr>
                <w:color w:val="000000"/>
                <w:sz w:val="20"/>
                <w:szCs w:val="20"/>
              </w:rPr>
            </w:pPr>
            <w:r>
              <w:rPr>
                <w:color w:val="000000"/>
                <w:sz w:val="20"/>
                <w:szCs w:val="20"/>
              </w:rPr>
              <w:t>0.409</w:t>
            </w:r>
          </w:p>
        </w:tc>
        <w:tc>
          <w:tcPr>
            <w:tcW w:w="768" w:type="dxa"/>
            <w:tcBorders>
              <w:top w:val="nil"/>
              <w:left w:val="nil"/>
              <w:bottom w:val="single" w:sz="4" w:space="0" w:color="auto"/>
              <w:right w:val="nil"/>
            </w:tcBorders>
            <w:shd w:val="clear" w:color="auto" w:fill="auto"/>
            <w:noWrap/>
            <w:vAlign w:val="bottom"/>
            <w:hideMark/>
          </w:tcPr>
          <w:p w14:paraId="634EC9F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0A7276D" w14:textId="77777777" w:rsidR="00432B71" w:rsidRDefault="00432B71" w:rsidP="005A3B4D">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07A075DD" w14:textId="77777777" w:rsidR="00432B71" w:rsidRDefault="00432B71" w:rsidP="005A3B4D">
            <w:pPr>
              <w:jc w:val="right"/>
              <w:rPr>
                <w:color w:val="000000"/>
                <w:sz w:val="20"/>
                <w:szCs w:val="20"/>
              </w:rPr>
            </w:pPr>
            <w:r>
              <w:rPr>
                <w:color w:val="000000"/>
                <w:sz w:val="20"/>
                <w:szCs w:val="20"/>
              </w:rPr>
              <w:t>0.868</w:t>
            </w:r>
          </w:p>
        </w:tc>
        <w:tc>
          <w:tcPr>
            <w:tcW w:w="768" w:type="dxa"/>
            <w:tcBorders>
              <w:top w:val="nil"/>
              <w:left w:val="nil"/>
              <w:bottom w:val="single" w:sz="4" w:space="0" w:color="auto"/>
              <w:right w:val="nil"/>
            </w:tcBorders>
            <w:shd w:val="clear" w:color="auto" w:fill="auto"/>
            <w:noWrap/>
            <w:vAlign w:val="bottom"/>
            <w:hideMark/>
          </w:tcPr>
          <w:p w14:paraId="31D65D0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7BBA2CC" w14:textId="77777777" w:rsidR="00432B71" w:rsidRDefault="00432B71" w:rsidP="005A3B4D">
            <w:pPr>
              <w:jc w:val="right"/>
              <w:rPr>
                <w:color w:val="000000"/>
                <w:sz w:val="20"/>
                <w:szCs w:val="20"/>
              </w:rPr>
            </w:pPr>
            <w:r>
              <w:rPr>
                <w:color w:val="000000"/>
                <w:sz w:val="20"/>
                <w:szCs w:val="20"/>
              </w:rPr>
              <w:t>0.052</w:t>
            </w:r>
          </w:p>
        </w:tc>
        <w:tc>
          <w:tcPr>
            <w:tcW w:w="768" w:type="dxa"/>
            <w:tcBorders>
              <w:top w:val="nil"/>
              <w:left w:val="nil"/>
              <w:bottom w:val="single" w:sz="4" w:space="0" w:color="auto"/>
              <w:right w:val="nil"/>
            </w:tcBorders>
            <w:shd w:val="clear" w:color="auto" w:fill="auto"/>
            <w:noWrap/>
            <w:vAlign w:val="bottom"/>
            <w:hideMark/>
          </w:tcPr>
          <w:p w14:paraId="44612A00" w14:textId="77777777" w:rsidR="00432B71" w:rsidRDefault="00432B71" w:rsidP="005A3B4D">
            <w:pPr>
              <w:jc w:val="right"/>
              <w:rPr>
                <w:color w:val="000000"/>
                <w:sz w:val="20"/>
                <w:szCs w:val="20"/>
              </w:rPr>
            </w:pPr>
            <w:r>
              <w:rPr>
                <w:color w:val="000000"/>
                <w:sz w:val="20"/>
                <w:szCs w:val="20"/>
              </w:rPr>
              <w:t>0.252</w:t>
            </w:r>
          </w:p>
        </w:tc>
        <w:tc>
          <w:tcPr>
            <w:tcW w:w="768" w:type="dxa"/>
            <w:tcBorders>
              <w:top w:val="nil"/>
              <w:left w:val="nil"/>
              <w:bottom w:val="single" w:sz="4" w:space="0" w:color="auto"/>
              <w:right w:val="nil"/>
            </w:tcBorders>
            <w:shd w:val="clear" w:color="auto" w:fill="auto"/>
            <w:noWrap/>
            <w:vAlign w:val="bottom"/>
            <w:hideMark/>
          </w:tcPr>
          <w:p w14:paraId="5E951D30" w14:textId="77777777" w:rsidR="00432B71" w:rsidRDefault="00432B71" w:rsidP="005A3B4D">
            <w:pPr>
              <w:jc w:val="right"/>
              <w:rPr>
                <w:color w:val="000000"/>
                <w:sz w:val="20"/>
                <w:szCs w:val="20"/>
              </w:rPr>
            </w:pPr>
            <w:r>
              <w:rPr>
                <w:color w:val="000000"/>
                <w:sz w:val="20"/>
                <w:szCs w:val="20"/>
              </w:rPr>
              <w:t>0.003</w:t>
            </w:r>
          </w:p>
        </w:tc>
      </w:tr>
      <w:tr w:rsidR="00432B71" w14:paraId="670B9D08" w14:textId="77777777" w:rsidTr="005A3B4D">
        <w:trPr>
          <w:trHeight w:val="320"/>
        </w:trPr>
        <w:tc>
          <w:tcPr>
            <w:tcW w:w="1176" w:type="dxa"/>
            <w:tcBorders>
              <w:top w:val="nil"/>
              <w:left w:val="nil"/>
              <w:bottom w:val="nil"/>
              <w:right w:val="nil"/>
            </w:tcBorders>
            <w:shd w:val="clear" w:color="auto" w:fill="auto"/>
            <w:noWrap/>
            <w:vAlign w:val="bottom"/>
            <w:hideMark/>
          </w:tcPr>
          <w:p w14:paraId="67D195B6" w14:textId="77777777" w:rsidR="00432B71" w:rsidRDefault="00432B71"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6E696272"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BF2AEDE"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82B5371" w14:textId="77777777" w:rsidR="00432B71" w:rsidRDefault="00432B71" w:rsidP="005A3B4D">
            <w:pPr>
              <w:jc w:val="right"/>
              <w:rPr>
                <w:color w:val="000000"/>
                <w:sz w:val="20"/>
                <w:szCs w:val="20"/>
              </w:rPr>
            </w:pPr>
            <w:r>
              <w:rPr>
                <w:color w:val="000000"/>
                <w:sz w:val="20"/>
                <w:szCs w:val="20"/>
              </w:rPr>
              <w:t>0.622</w:t>
            </w:r>
          </w:p>
        </w:tc>
        <w:tc>
          <w:tcPr>
            <w:tcW w:w="768" w:type="dxa"/>
            <w:tcBorders>
              <w:top w:val="nil"/>
              <w:left w:val="nil"/>
              <w:bottom w:val="nil"/>
              <w:right w:val="nil"/>
            </w:tcBorders>
            <w:shd w:val="clear" w:color="auto" w:fill="auto"/>
            <w:noWrap/>
            <w:vAlign w:val="bottom"/>
            <w:hideMark/>
          </w:tcPr>
          <w:p w14:paraId="012CD2E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FA3618D"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9E22735" w14:textId="77777777" w:rsidR="00432B71" w:rsidRDefault="00432B71" w:rsidP="005A3B4D">
            <w:pPr>
              <w:jc w:val="right"/>
              <w:rPr>
                <w:color w:val="000000"/>
                <w:sz w:val="20"/>
                <w:szCs w:val="20"/>
              </w:rPr>
            </w:pPr>
            <w:r>
              <w:rPr>
                <w:color w:val="000000"/>
                <w:sz w:val="20"/>
                <w:szCs w:val="20"/>
              </w:rPr>
              <w:t>0.443</w:t>
            </w:r>
          </w:p>
        </w:tc>
        <w:tc>
          <w:tcPr>
            <w:tcW w:w="768" w:type="dxa"/>
            <w:tcBorders>
              <w:top w:val="nil"/>
              <w:left w:val="nil"/>
              <w:bottom w:val="nil"/>
              <w:right w:val="nil"/>
            </w:tcBorders>
            <w:shd w:val="clear" w:color="auto" w:fill="auto"/>
            <w:noWrap/>
            <w:vAlign w:val="bottom"/>
            <w:hideMark/>
          </w:tcPr>
          <w:p w14:paraId="6406D815"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9C8C2F"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1BAD479" w14:textId="77777777" w:rsidR="00432B71" w:rsidRDefault="00432B71" w:rsidP="005A3B4D">
            <w:pPr>
              <w:jc w:val="right"/>
              <w:rPr>
                <w:color w:val="000000"/>
                <w:sz w:val="20"/>
                <w:szCs w:val="20"/>
              </w:rPr>
            </w:pPr>
            <w:r>
              <w:rPr>
                <w:color w:val="000000"/>
                <w:sz w:val="20"/>
                <w:szCs w:val="20"/>
              </w:rPr>
              <w:t>0.691</w:t>
            </w:r>
          </w:p>
        </w:tc>
        <w:tc>
          <w:tcPr>
            <w:tcW w:w="768" w:type="dxa"/>
            <w:tcBorders>
              <w:top w:val="nil"/>
              <w:left w:val="nil"/>
              <w:bottom w:val="nil"/>
              <w:right w:val="nil"/>
            </w:tcBorders>
            <w:shd w:val="clear" w:color="auto" w:fill="auto"/>
            <w:noWrap/>
            <w:vAlign w:val="bottom"/>
            <w:hideMark/>
          </w:tcPr>
          <w:p w14:paraId="4775E0E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42BC11"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B359517" w14:textId="77777777" w:rsidR="00432B71" w:rsidRDefault="00432B71"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01A5870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3A9C38"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187E769" w14:textId="77777777" w:rsidR="00432B71" w:rsidRDefault="00432B71" w:rsidP="005A3B4D">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65C58EFE" w14:textId="77777777" w:rsidR="00432B71" w:rsidRDefault="00432B71" w:rsidP="005A3B4D">
            <w:pPr>
              <w:jc w:val="right"/>
              <w:rPr>
                <w:color w:val="000000"/>
                <w:sz w:val="20"/>
                <w:szCs w:val="20"/>
              </w:rPr>
            </w:pPr>
            <w:r>
              <w:rPr>
                <w:color w:val="000000"/>
                <w:sz w:val="20"/>
                <w:szCs w:val="20"/>
              </w:rPr>
              <w:t>0.000</w:t>
            </w:r>
          </w:p>
        </w:tc>
      </w:tr>
      <w:tr w:rsidR="00432B71" w14:paraId="650BDC70" w14:textId="77777777" w:rsidTr="005A3B4D">
        <w:trPr>
          <w:trHeight w:val="320"/>
        </w:trPr>
        <w:tc>
          <w:tcPr>
            <w:tcW w:w="1176" w:type="dxa"/>
            <w:tcBorders>
              <w:top w:val="nil"/>
              <w:left w:val="nil"/>
              <w:bottom w:val="nil"/>
              <w:right w:val="nil"/>
            </w:tcBorders>
            <w:shd w:val="clear" w:color="auto" w:fill="auto"/>
            <w:noWrap/>
            <w:vAlign w:val="bottom"/>
            <w:hideMark/>
          </w:tcPr>
          <w:p w14:paraId="4394384A"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403671"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275526F" w14:textId="77777777" w:rsidR="00432B71" w:rsidRDefault="00432B71"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29E84DCF" w14:textId="77777777" w:rsidR="00432B71" w:rsidRDefault="00432B71" w:rsidP="005A3B4D">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4FFDBDBD"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464D6B2"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B8D5F1A" w14:textId="77777777" w:rsidR="00432B71" w:rsidRDefault="00432B71" w:rsidP="005A3B4D">
            <w:pPr>
              <w:jc w:val="right"/>
              <w:rPr>
                <w:color w:val="000000"/>
                <w:sz w:val="20"/>
                <w:szCs w:val="20"/>
              </w:rPr>
            </w:pPr>
            <w:r>
              <w:rPr>
                <w:color w:val="000000"/>
                <w:sz w:val="20"/>
                <w:szCs w:val="20"/>
              </w:rPr>
              <w:t>0.644</w:t>
            </w:r>
          </w:p>
        </w:tc>
        <w:tc>
          <w:tcPr>
            <w:tcW w:w="768" w:type="dxa"/>
            <w:tcBorders>
              <w:top w:val="nil"/>
              <w:left w:val="nil"/>
              <w:bottom w:val="nil"/>
              <w:right w:val="nil"/>
            </w:tcBorders>
            <w:shd w:val="clear" w:color="auto" w:fill="auto"/>
            <w:noWrap/>
            <w:vAlign w:val="bottom"/>
            <w:hideMark/>
          </w:tcPr>
          <w:p w14:paraId="39864CA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366A57"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29A9219" w14:textId="77777777" w:rsidR="00432B71" w:rsidRDefault="00432B71" w:rsidP="005A3B4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2EE3CB1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F2C429"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435C4970" w14:textId="77777777" w:rsidR="00432B71" w:rsidRDefault="00432B71"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467A20EF"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4E4318"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370DA7F" w14:textId="77777777" w:rsidR="00432B71" w:rsidRDefault="00432B71" w:rsidP="005A3B4D">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6B7AE764" w14:textId="77777777" w:rsidR="00432B71" w:rsidRDefault="00432B71" w:rsidP="005A3B4D">
            <w:pPr>
              <w:jc w:val="right"/>
              <w:rPr>
                <w:color w:val="000000"/>
                <w:sz w:val="20"/>
                <w:szCs w:val="20"/>
              </w:rPr>
            </w:pPr>
            <w:r>
              <w:rPr>
                <w:color w:val="000000"/>
                <w:sz w:val="20"/>
                <w:szCs w:val="20"/>
              </w:rPr>
              <w:t>0.000</w:t>
            </w:r>
          </w:p>
        </w:tc>
      </w:tr>
      <w:tr w:rsidR="00432B71" w14:paraId="44733A93" w14:textId="77777777" w:rsidTr="005A3B4D">
        <w:trPr>
          <w:trHeight w:val="320"/>
        </w:trPr>
        <w:tc>
          <w:tcPr>
            <w:tcW w:w="1176" w:type="dxa"/>
            <w:tcBorders>
              <w:top w:val="nil"/>
              <w:left w:val="nil"/>
              <w:bottom w:val="nil"/>
              <w:right w:val="nil"/>
            </w:tcBorders>
            <w:shd w:val="clear" w:color="auto" w:fill="auto"/>
            <w:noWrap/>
            <w:vAlign w:val="bottom"/>
            <w:hideMark/>
          </w:tcPr>
          <w:p w14:paraId="1314B14C"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BE266B6"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78B0D23"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C83DA53" w14:textId="77777777" w:rsidR="00432B71" w:rsidRDefault="00432B71" w:rsidP="005A3B4D">
            <w:pPr>
              <w:jc w:val="right"/>
              <w:rPr>
                <w:color w:val="000000"/>
                <w:sz w:val="20"/>
                <w:szCs w:val="20"/>
              </w:rPr>
            </w:pPr>
            <w:r>
              <w:rPr>
                <w:color w:val="000000"/>
                <w:sz w:val="20"/>
                <w:szCs w:val="20"/>
              </w:rPr>
              <w:t>0.622</w:t>
            </w:r>
          </w:p>
        </w:tc>
        <w:tc>
          <w:tcPr>
            <w:tcW w:w="768" w:type="dxa"/>
            <w:tcBorders>
              <w:top w:val="nil"/>
              <w:left w:val="nil"/>
              <w:bottom w:val="nil"/>
              <w:right w:val="nil"/>
            </w:tcBorders>
            <w:shd w:val="clear" w:color="auto" w:fill="auto"/>
            <w:noWrap/>
            <w:vAlign w:val="bottom"/>
            <w:hideMark/>
          </w:tcPr>
          <w:p w14:paraId="395B572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2A5094"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261EB18" w14:textId="77777777" w:rsidR="00432B71" w:rsidRDefault="00432B71"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3184F3C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89DFE8"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85F985A" w14:textId="77777777" w:rsidR="00432B71" w:rsidRDefault="00432B71" w:rsidP="005A3B4D">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1664A31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D08C02"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497F17C" w14:textId="77777777" w:rsidR="00432B71" w:rsidRDefault="00432B71"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4417E3D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38C4EA6"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8B22234" w14:textId="77777777" w:rsidR="00432B71" w:rsidRDefault="00432B71" w:rsidP="005A3B4D">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04D6EDF3" w14:textId="77777777" w:rsidR="00432B71" w:rsidRDefault="00432B71" w:rsidP="005A3B4D">
            <w:pPr>
              <w:jc w:val="right"/>
              <w:rPr>
                <w:color w:val="000000"/>
                <w:sz w:val="20"/>
                <w:szCs w:val="20"/>
              </w:rPr>
            </w:pPr>
            <w:r>
              <w:rPr>
                <w:color w:val="000000"/>
                <w:sz w:val="20"/>
                <w:szCs w:val="20"/>
              </w:rPr>
              <w:t>0.000</w:t>
            </w:r>
          </w:p>
        </w:tc>
      </w:tr>
      <w:tr w:rsidR="00432B71" w14:paraId="53EA7695" w14:textId="77777777" w:rsidTr="005A3B4D">
        <w:trPr>
          <w:trHeight w:val="320"/>
        </w:trPr>
        <w:tc>
          <w:tcPr>
            <w:tcW w:w="1176" w:type="dxa"/>
            <w:tcBorders>
              <w:top w:val="nil"/>
              <w:left w:val="nil"/>
              <w:bottom w:val="nil"/>
              <w:right w:val="nil"/>
            </w:tcBorders>
            <w:shd w:val="clear" w:color="auto" w:fill="auto"/>
            <w:noWrap/>
            <w:vAlign w:val="bottom"/>
            <w:hideMark/>
          </w:tcPr>
          <w:p w14:paraId="139AF531"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ABD1FD5"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47B0FB7"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0169116" w14:textId="77777777" w:rsidR="00432B71" w:rsidRDefault="00432B71" w:rsidP="005A3B4D">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7CC8B5E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F778F9" w14:textId="77777777" w:rsidR="00432B71" w:rsidRDefault="00432B71" w:rsidP="005A3B4D">
            <w:pPr>
              <w:jc w:val="right"/>
              <w:rPr>
                <w:b/>
                <w:bCs/>
                <w:color w:val="000000"/>
                <w:sz w:val="20"/>
                <w:szCs w:val="20"/>
              </w:rPr>
            </w:pPr>
            <w:r>
              <w:rPr>
                <w:b/>
                <w:bCs/>
                <w:color w:val="000000"/>
                <w:sz w:val="20"/>
                <w:szCs w:val="20"/>
              </w:rPr>
              <w:t>0.066</w:t>
            </w:r>
          </w:p>
        </w:tc>
        <w:tc>
          <w:tcPr>
            <w:tcW w:w="768" w:type="dxa"/>
            <w:tcBorders>
              <w:top w:val="nil"/>
              <w:left w:val="nil"/>
              <w:bottom w:val="nil"/>
              <w:right w:val="nil"/>
            </w:tcBorders>
            <w:shd w:val="clear" w:color="auto" w:fill="auto"/>
            <w:noWrap/>
            <w:vAlign w:val="bottom"/>
            <w:hideMark/>
          </w:tcPr>
          <w:p w14:paraId="42E8BB1A" w14:textId="77777777" w:rsidR="00432B71" w:rsidRDefault="00432B71"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755EBBB2" w14:textId="77777777" w:rsidR="00432B71" w:rsidRDefault="00432B71" w:rsidP="005A3B4D">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4E53810B"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48A53B1" w14:textId="77777777" w:rsidR="00432B71" w:rsidRDefault="00432B71" w:rsidP="005A3B4D">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79B99F3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1CF83C"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F6C031E" w14:textId="77777777" w:rsidR="00432B71" w:rsidRDefault="00432B71"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5DC0704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9F966D" w14:textId="77777777" w:rsidR="00432B71" w:rsidRDefault="00432B71"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175AB681" w14:textId="77777777" w:rsidR="00432B71" w:rsidRDefault="00432B71" w:rsidP="005A3B4D">
            <w:pPr>
              <w:jc w:val="right"/>
              <w:rPr>
                <w:color w:val="000000"/>
                <w:sz w:val="20"/>
                <w:szCs w:val="20"/>
              </w:rPr>
            </w:pPr>
            <w:r>
              <w:rPr>
                <w:color w:val="000000"/>
                <w:sz w:val="20"/>
                <w:szCs w:val="20"/>
              </w:rPr>
              <w:t>0.404</w:t>
            </w:r>
          </w:p>
        </w:tc>
        <w:tc>
          <w:tcPr>
            <w:tcW w:w="768" w:type="dxa"/>
            <w:tcBorders>
              <w:top w:val="nil"/>
              <w:left w:val="nil"/>
              <w:bottom w:val="nil"/>
              <w:right w:val="nil"/>
            </w:tcBorders>
            <w:shd w:val="clear" w:color="auto" w:fill="auto"/>
            <w:noWrap/>
            <w:vAlign w:val="bottom"/>
            <w:hideMark/>
          </w:tcPr>
          <w:p w14:paraId="0E1843B7" w14:textId="77777777" w:rsidR="00432B71" w:rsidRDefault="00432B71" w:rsidP="005A3B4D">
            <w:pPr>
              <w:jc w:val="right"/>
              <w:rPr>
                <w:color w:val="000000"/>
                <w:sz w:val="20"/>
                <w:szCs w:val="20"/>
              </w:rPr>
            </w:pPr>
            <w:r>
              <w:rPr>
                <w:color w:val="000000"/>
                <w:sz w:val="20"/>
                <w:szCs w:val="20"/>
              </w:rPr>
              <w:t>0.002</w:t>
            </w:r>
          </w:p>
        </w:tc>
      </w:tr>
      <w:tr w:rsidR="00432B71" w14:paraId="6C0136D9" w14:textId="77777777" w:rsidTr="005A3B4D">
        <w:trPr>
          <w:trHeight w:val="320"/>
        </w:trPr>
        <w:tc>
          <w:tcPr>
            <w:tcW w:w="1176" w:type="dxa"/>
            <w:tcBorders>
              <w:top w:val="nil"/>
              <w:left w:val="nil"/>
              <w:bottom w:val="nil"/>
              <w:right w:val="nil"/>
            </w:tcBorders>
            <w:shd w:val="clear" w:color="auto" w:fill="auto"/>
            <w:noWrap/>
            <w:vAlign w:val="bottom"/>
            <w:hideMark/>
          </w:tcPr>
          <w:p w14:paraId="64D40752"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29C2C9"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E226560"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897CAE0" w14:textId="77777777" w:rsidR="00432B71" w:rsidRDefault="00432B71" w:rsidP="005A3B4D">
            <w:pPr>
              <w:jc w:val="right"/>
              <w:rPr>
                <w:color w:val="000000"/>
                <w:sz w:val="20"/>
                <w:szCs w:val="20"/>
              </w:rPr>
            </w:pPr>
            <w:r>
              <w:rPr>
                <w:color w:val="000000"/>
                <w:sz w:val="20"/>
                <w:szCs w:val="20"/>
              </w:rPr>
              <w:t>0.622</w:t>
            </w:r>
          </w:p>
        </w:tc>
        <w:tc>
          <w:tcPr>
            <w:tcW w:w="768" w:type="dxa"/>
            <w:tcBorders>
              <w:top w:val="nil"/>
              <w:left w:val="nil"/>
              <w:bottom w:val="nil"/>
              <w:right w:val="nil"/>
            </w:tcBorders>
            <w:shd w:val="clear" w:color="auto" w:fill="auto"/>
            <w:noWrap/>
            <w:vAlign w:val="bottom"/>
            <w:hideMark/>
          </w:tcPr>
          <w:p w14:paraId="624EB34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40F567"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71329E3" w14:textId="77777777" w:rsidR="00432B71" w:rsidRDefault="00432B71" w:rsidP="005A3B4D">
            <w:pPr>
              <w:jc w:val="right"/>
              <w:rPr>
                <w:color w:val="000000"/>
                <w:sz w:val="20"/>
                <w:szCs w:val="20"/>
              </w:rPr>
            </w:pPr>
            <w:r>
              <w:rPr>
                <w:color w:val="000000"/>
                <w:sz w:val="20"/>
                <w:szCs w:val="20"/>
              </w:rPr>
              <w:t>0.443</w:t>
            </w:r>
          </w:p>
        </w:tc>
        <w:tc>
          <w:tcPr>
            <w:tcW w:w="768" w:type="dxa"/>
            <w:tcBorders>
              <w:top w:val="nil"/>
              <w:left w:val="nil"/>
              <w:bottom w:val="nil"/>
              <w:right w:val="nil"/>
            </w:tcBorders>
            <w:shd w:val="clear" w:color="auto" w:fill="auto"/>
            <w:noWrap/>
            <w:vAlign w:val="bottom"/>
            <w:hideMark/>
          </w:tcPr>
          <w:p w14:paraId="153ACF8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37F251"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957CE76" w14:textId="77777777" w:rsidR="00432B71" w:rsidRDefault="00432B71" w:rsidP="005A3B4D">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1898782F"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C476B75"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AF22CD0" w14:textId="77777777" w:rsidR="00432B71" w:rsidRDefault="00432B71"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47AE021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927CEC"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3CF6AC4" w14:textId="77777777" w:rsidR="00432B71" w:rsidRDefault="00432B71" w:rsidP="005A3B4D">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473F8C96" w14:textId="77777777" w:rsidR="00432B71" w:rsidRDefault="00432B71" w:rsidP="005A3B4D">
            <w:pPr>
              <w:jc w:val="right"/>
              <w:rPr>
                <w:color w:val="000000"/>
                <w:sz w:val="20"/>
                <w:szCs w:val="20"/>
              </w:rPr>
            </w:pPr>
            <w:r>
              <w:rPr>
                <w:color w:val="000000"/>
                <w:sz w:val="20"/>
                <w:szCs w:val="20"/>
              </w:rPr>
              <w:t>0.000</w:t>
            </w:r>
          </w:p>
        </w:tc>
      </w:tr>
      <w:tr w:rsidR="00432B71" w14:paraId="69482DEC" w14:textId="77777777" w:rsidTr="005A3B4D">
        <w:trPr>
          <w:trHeight w:val="320"/>
        </w:trPr>
        <w:tc>
          <w:tcPr>
            <w:tcW w:w="1176" w:type="dxa"/>
            <w:tcBorders>
              <w:top w:val="nil"/>
              <w:left w:val="nil"/>
              <w:bottom w:val="nil"/>
              <w:right w:val="nil"/>
            </w:tcBorders>
            <w:shd w:val="clear" w:color="auto" w:fill="auto"/>
            <w:noWrap/>
            <w:vAlign w:val="bottom"/>
            <w:hideMark/>
          </w:tcPr>
          <w:p w14:paraId="05A2134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CB3D2D"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0F6B6C5" w14:textId="77777777" w:rsidR="00432B71" w:rsidRDefault="00432B71"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23CE9216" w14:textId="77777777" w:rsidR="00432B71" w:rsidRDefault="00432B71" w:rsidP="005A3B4D">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46C72CC2"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20CF55A" w14:textId="77777777" w:rsidR="00432B71" w:rsidRDefault="00432B71"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262D6699" w14:textId="77777777" w:rsidR="00432B71" w:rsidRDefault="00432B71" w:rsidP="005A3B4D">
            <w:pPr>
              <w:jc w:val="right"/>
              <w:rPr>
                <w:color w:val="000000"/>
                <w:sz w:val="20"/>
                <w:szCs w:val="20"/>
              </w:rPr>
            </w:pPr>
            <w:r>
              <w:rPr>
                <w:color w:val="000000"/>
                <w:sz w:val="20"/>
                <w:szCs w:val="20"/>
              </w:rPr>
              <w:t>0.259</w:t>
            </w:r>
          </w:p>
        </w:tc>
        <w:tc>
          <w:tcPr>
            <w:tcW w:w="768" w:type="dxa"/>
            <w:tcBorders>
              <w:top w:val="nil"/>
              <w:left w:val="nil"/>
              <w:bottom w:val="nil"/>
              <w:right w:val="nil"/>
            </w:tcBorders>
            <w:shd w:val="clear" w:color="auto" w:fill="auto"/>
            <w:noWrap/>
            <w:vAlign w:val="bottom"/>
            <w:hideMark/>
          </w:tcPr>
          <w:p w14:paraId="36C5BA73"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A8E9076"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A48F209" w14:textId="77777777" w:rsidR="00432B71" w:rsidRDefault="00432B71" w:rsidP="005A3B4D">
            <w:pPr>
              <w:jc w:val="right"/>
              <w:rPr>
                <w:color w:val="000000"/>
                <w:sz w:val="20"/>
                <w:szCs w:val="20"/>
              </w:rPr>
            </w:pPr>
            <w:r>
              <w:rPr>
                <w:color w:val="000000"/>
                <w:sz w:val="20"/>
                <w:szCs w:val="20"/>
              </w:rPr>
              <w:t>0.909</w:t>
            </w:r>
          </w:p>
        </w:tc>
        <w:tc>
          <w:tcPr>
            <w:tcW w:w="768" w:type="dxa"/>
            <w:tcBorders>
              <w:top w:val="nil"/>
              <w:left w:val="nil"/>
              <w:bottom w:val="nil"/>
              <w:right w:val="nil"/>
            </w:tcBorders>
            <w:shd w:val="clear" w:color="auto" w:fill="auto"/>
            <w:noWrap/>
            <w:vAlign w:val="bottom"/>
            <w:hideMark/>
          </w:tcPr>
          <w:p w14:paraId="4B79FDB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072309"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6D7C3AD" w14:textId="77777777" w:rsidR="00432B71" w:rsidRDefault="00432B71"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1E7A683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FBD6F2"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071F621" w14:textId="77777777" w:rsidR="00432B71" w:rsidRDefault="00432B71" w:rsidP="005A3B4D">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3EFC1F43" w14:textId="77777777" w:rsidR="00432B71" w:rsidRDefault="00432B71" w:rsidP="005A3B4D">
            <w:pPr>
              <w:jc w:val="right"/>
              <w:rPr>
                <w:color w:val="000000"/>
                <w:sz w:val="20"/>
                <w:szCs w:val="20"/>
              </w:rPr>
            </w:pPr>
            <w:r>
              <w:rPr>
                <w:color w:val="000000"/>
                <w:sz w:val="20"/>
                <w:szCs w:val="20"/>
              </w:rPr>
              <w:t>0.000</w:t>
            </w:r>
          </w:p>
        </w:tc>
      </w:tr>
      <w:tr w:rsidR="00432B71" w14:paraId="22282BF0" w14:textId="77777777" w:rsidTr="005A3B4D">
        <w:trPr>
          <w:trHeight w:val="320"/>
        </w:trPr>
        <w:tc>
          <w:tcPr>
            <w:tcW w:w="1176" w:type="dxa"/>
            <w:tcBorders>
              <w:top w:val="nil"/>
              <w:left w:val="nil"/>
              <w:bottom w:val="nil"/>
              <w:right w:val="nil"/>
            </w:tcBorders>
            <w:shd w:val="clear" w:color="auto" w:fill="auto"/>
            <w:noWrap/>
            <w:vAlign w:val="bottom"/>
            <w:hideMark/>
          </w:tcPr>
          <w:p w14:paraId="111695BF"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7B8027"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EF021BF"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D4B8476" w14:textId="77777777" w:rsidR="00432B71" w:rsidRDefault="00432B71" w:rsidP="005A3B4D">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1525882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E5C9A3"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9756143" w14:textId="77777777" w:rsidR="00432B71" w:rsidRDefault="00432B71"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4721022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5CA8EC"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5C95141" w14:textId="77777777" w:rsidR="00432B71" w:rsidRDefault="00432B71" w:rsidP="005A3B4D">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473F1D8E"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5D9CA3"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14F0111" w14:textId="77777777" w:rsidR="00432B71" w:rsidRDefault="00432B71"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3EE8B99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24126D"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FE380CA" w14:textId="77777777" w:rsidR="00432B71" w:rsidRDefault="00432B71" w:rsidP="005A3B4D">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35D0B122" w14:textId="77777777" w:rsidR="00432B71" w:rsidRDefault="00432B71" w:rsidP="005A3B4D">
            <w:pPr>
              <w:jc w:val="right"/>
              <w:rPr>
                <w:color w:val="000000"/>
                <w:sz w:val="20"/>
                <w:szCs w:val="20"/>
              </w:rPr>
            </w:pPr>
            <w:r>
              <w:rPr>
                <w:color w:val="000000"/>
                <w:sz w:val="20"/>
                <w:szCs w:val="20"/>
              </w:rPr>
              <w:t>0.001</w:t>
            </w:r>
          </w:p>
        </w:tc>
      </w:tr>
      <w:tr w:rsidR="00432B71" w14:paraId="7F17F316"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7A2A4DB5"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43F40972"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041B3B73"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23C466DF" w14:textId="77777777" w:rsidR="00432B71" w:rsidRDefault="00432B71" w:rsidP="005A3B4D">
            <w:pPr>
              <w:jc w:val="right"/>
              <w:rPr>
                <w:color w:val="000000"/>
                <w:sz w:val="20"/>
                <w:szCs w:val="20"/>
              </w:rPr>
            </w:pPr>
            <w:r>
              <w:rPr>
                <w:color w:val="000000"/>
                <w:sz w:val="20"/>
                <w:szCs w:val="20"/>
              </w:rPr>
              <w:t>0.882</w:t>
            </w:r>
          </w:p>
        </w:tc>
        <w:tc>
          <w:tcPr>
            <w:tcW w:w="768" w:type="dxa"/>
            <w:tcBorders>
              <w:top w:val="nil"/>
              <w:left w:val="nil"/>
              <w:bottom w:val="single" w:sz="12" w:space="0" w:color="auto"/>
              <w:right w:val="nil"/>
            </w:tcBorders>
            <w:shd w:val="clear" w:color="auto" w:fill="auto"/>
            <w:noWrap/>
            <w:vAlign w:val="bottom"/>
            <w:hideMark/>
          </w:tcPr>
          <w:p w14:paraId="40AB466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5B91C57"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single" w:sz="12" w:space="0" w:color="auto"/>
              <w:right w:val="nil"/>
            </w:tcBorders>
            <w:shd w:val="clear" w:color="auto" w:fill="auto"/>
            <w:noWrap/>
            <w:vAlign w:val="bottom"/>
            <w:hideMark/>
          </w:tcPr>
          <w:p w14:paraId="2980E231" w14:textId="77777777" w:rsidR="00432B71" w:rsidRDefault="00432B71" w:rsidP="005A3B4D">
            <w:pPr>
              <w:jc w:val="right"/>
              <w:rPr>
                <w:color w:val="000000"/>
                <w:sz w:val="20"/>
                <w:szCs w:val="20"/>
              </w:rPr>
            </w:pPr>
            <w:r>
              <w:rPr>
                <w:color w:val="000000"/>
                <w:sz w:val="20"/>
                <w:szCs w:val="20"/>
              </w:rPr>
              <w:t>0.259</w:t>
            </w:r>
          </w:p>
        </w:tc>
        <w:tc>
          <w:tcPr>
            <w:tcW w:w="768" w:type="dxa"/>
            <w:tcBorders>
              <w:top w:val="nil"/>
              <w:left w:val="nil"/>
              <w:bottom w:val="single" w:sz="12" w:space="0" w:color="auto"/>
              <w:right w:val="nil"/>
            </w:tcBorders>
            <w:shd w:val="clear" w:color="auto" w:fill="auto"/>
            <w:noWrap/>
            <w:vAlign w:val="bottom"/>
            <w:hideMark/>
          </w:tcPr>
          <w:p w14:paraId="50722833"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467D016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4AC5E5B" w14:textId="77777777" w:rsidR="00432B71" w:rsidRDefault="00432B71" w:rsidP="005A3B4D">
            <w:pPr>
              <w:jc w:val="right"/>
              <w:rPr>
                <w:color w:val="000000"/>
                <w:sz w:val="20"/>
                <w:szCs w:val="20"/>
              </w:rPr>
            </w:pPr>
            <w:r>
              <w:rPr>
                <w:color w:val="000000"/>
                <w:sz w:val="20"/>
                <w:szCs w:val="20"/>
              </w:rPr>
              <w:t>0.982</w:t>
            </w:r>
          </w:p>
        </w:tc>
        <w:tc>
          <w:tcPr>
            <w:tcW w:w="768" w:type="dxa"/>
            <w:tcBorders>
              <w:top w:val="nil"/>
              <w:left w:val="nil"/>
              <w:bottom w:val="single" w:sz="12" w:space="0" w:color="auto"/>
              <w:right w:val="nil"/>
            </w:tcBorders>
            <w:shd w:val="clear" w:color="auto" w:fill="auto"/>
            <w:noWrap/>
            <w:vAlign w:val="bottom"/>
            <w:hideMark/>
          </w:tcPr>
          <w:p w14:paraId="23ACA5E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31651E0E"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single" w:sz="12" w:space="0" w:color="auto"/>
              <w:right w:val="nil"/>
            </w:tcBorders>
            <w:shd w:val="clear" w:color="auto" w:fill="auto"/>
            <w:noWrap/>
            <w:vAlign w:val="bottom"/>
            <w:hideMark/>
          </w:tcPr>
          <w:p w14:paraId="0F3ECD17" w14:textId="77777777" w:rsidR="00432B71" w:rsidRDefault="00432B71" w:rsidP="005A3B4D">
            <w:pPr>
              <w:jc w:val="right"/>
              <w:rPr>
                <w:color w:val="000000"/>
                <w:sz w:val="20"/>
                <w:szCs w:val="20"/>
              </w:rPr>
            </w:pPr>
            <w:r>
              <w:rPr>
                <w:color w:val="000000"/>
                <w:sz w:val="20"/>
                <w:szCs w:val="20"/>
              </w:rPr>
              <w:t>0.955</w:t>
            </w:r>
          </w:p>
        </w:tc>
        <w:tc>
          <w:tcPr>
            <w:tcW w:w="768" w:type="dxa"/>
            <w:tcBorders>
              <w:top w:val="nil"/>
              <w:left w:val="nil"/>
              <w:bottom w:val="single" w:sz="12" w:space="0" w:color="auto"/>
              <w:right w:val="nil"/>
            </w:tcBorders>
            <w:shd w:val="clear" w:color="auto" w:fill="auto"/>
            <w:noWrap/>
            <w:vAlign w:val="bottom"/>
            <w:hideMark/>
          </w:tcPr>
          <w:p w14:paraId="774EA23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1EB17D3C" w14:textId="77777777" w:rsidR="00432B71" w:rsidRDefault="00432B71" w:rsidP="005A3B4D">
            <w:pPr>
              <w:jc w:val="right"/>
              <w:rPr>
                <w:color w:val="000000"/>
                <w:sz w:val="20"/>
                <w:szCs w:val="20"/>
              </w:rPr>
            </w:pPr>
            <w:r>
              <w:rPr>
                <w:color w:val="000000"/>
                <w:sz w:val="20"/>
                <w:szCs w:val="20"/>
              </w:rPr>
              <w:t>0.053</w:t>
            </w:r>
          </w:p>
        </w:tc>
        <w:tc>
          <w:tcPr>
            <w:tcW w:w="768" w:type="dxa"/>
            <w:tcBorders>
              <w:top w:val="nil"/>
              <w:left w:val="nil"/>
              <w:bottom w:val="single" w:sz="12" w:space="0" w:color="auto"/>
              <w:right w:val="nil"/>
            </w:tcBorders>
            <w:shd w:val="clear" w:color="auto" w:fill="auto"/>
            <w:noWrap/>
            <w:vAlign w:val="bottom"/>
            <w:hideMark/>
          </w:tcPr>
          <w:p w14:paraId="1A1E2045" w14:textId="77777777" w:rsidR="00432B71" w:rsidRDefault="00432B71" w:rsidP="005A3B4D">
            <w:pPr>
              <w:jc w:val="right"/>
              <w:rPr>
                <w:color w:val="000000"/>
                <w:sz w:val="20"/>
                <w:szCs w:val="20"/>
              </w:rPr>
            </w:pPr>
            <w:r>
              <w:rPr>
                <w:color w:val="000000"/>
                <w:sz w:val="20"/>
                <w:szCs w:val="20"/>
              </w:rPr>
              <w:t>0.404</w:t>
            </w:r>
          </w:p>
        </w:tc>
        <w:tc>
          <w:tcPr>
            <w:tcW w:w="768" w:type="dxa"/>
            <w:tcBorders>
              <w:top w:val="nil"/>
              <w:left w:val="nil"/>
              <w:bottom w:val="single" w:sz="12" w:space="0" w:color="auto"/>
              <w:right w:val="nil"/>
            </w:tcBorders>
            <w:shd w:val="clear" w:color="auto" w:fill="auto"/>
            <w:noWrap/>
            <w:vAlign w:val="bottom"/>
            <w:hideMark/>
          </w:tcPr>
          <w:p w14:paraId="10C8B6C2" w14:textId="77777777" w:rsidR="00432B71" w:rsidRDefault="00432B71" w:rsidP="005A3B4D">
            <w:pPr>
              <w:jc w:val="right"/>
              <w:rPr>
                <w:color w:val="000000"/>
                <w:sz w:val="20"/>
                <w:szCs w:val="20"/>
              </w:rPr>
            </w:pPr>
            <w:r>
              <w:rPr>
                <w:color w:val="000000"/>
                <w:sz w:val="20"/>
                <w:szCs w:val="20"/>
              </w:rPr>
              <w:t>0.003</w:t>
            </w:r>
          </w:p>
        </w:tc>
      </w:tr>
      <w:tr w:rsidR="00432B71" w14:paraId="0FAD3AC2"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54D57F30" w14:textId="77777777" w:rsidR="00432B71" w:rsidRDefault="00432B71"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1D7D395E" w14:textId="77777777" w:rsidR="00432B71" w:rsidRDefault="00432B71"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680E9853"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2F68571"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669F900"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A822A45"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E9C9EE3"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9885431"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E129AAA"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C454CF"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8F65601"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D4E1ECF"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900B8BF"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BBC7784"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841CDCE"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F814349"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CFF0D46" w14:textId="77777777" w:rsidR="00432B71" w:rsidRDefault="00432B71" w:rsidP="005A3B4D">
            <w:pPr>
              <w:rPr>
                <w:sz w:val="20"/>
                <w:szCs w:val="20"/>
              </w:rPr>
            </w:pPr>
          </w:p>
        </w:tc>
      </w:tr>
    </w:tbl>
    <w:p w14:paraId="03B3CF90" w14:textId="77777777" w:rsidR="00432B71" w:rsidRDefault="00432B71" w:rsidP="00432B71">
      <w:pPr>
        <w:rPr>
          <w:rFonts w:eastAsia="Batang"/>
          <w:i/>
          <w:iCs/>
        </w:rPr>
      </w:pPr>
    </w:p>
    <w:p w14:paraId="242E8BCD" w14:textId="77777777" w:rsidR="00432B71" w:rsidRDefault="00432B71" w:rsidP="00432B71">
      <w:pPr>
        <w:rPr>
          <w:rFonts w:eastAsia="Batang"/>
          <w:i/>
          <w:iCs/>
        </w:rPr>
      </w:pPr>
      <w:r>
        <w:rPr>
          <w:rFonts w:eastAsia="Batang"/>
          <w:i/>
          <w:iCs/>
        </w:rPr>
        <w:br w:type="page"/>
      </w:r>
    </w:p>
    <w:p w14:paraId="28B5EBB3" w14:textId="798CC406" w:rsidR="00432B71" w:rsidRPr="009E2A20" w:rsidRDefault="00432B71" w:rsidP="00432B71">
      <w:pPr>
        <w:pStyle w:val="Heading1"/>
        <w:rPr>
          <w:rFonts w:ascii="Times New Roman" w:hAnsi="Times New Roman" w:cs="Times New Roman"/>
          <w:b/>
          <w:bCs/>
          <w:color w:val="000000" w:themeColor="text1"/>
          <w:sz w:val="24"/>
          <w:szCs w:val="24"/>
        </w:rPr>
      </w:pPr>
      <w:bookmarkStart w:id="22" w:name="_Toc155817689"/>
      <w:r>
        <w:rPr>
          <w:rFonts w:ascii="Times New Roman" w:hAnsi="Times New Roman" w:cs="Times New Roman"/>
          <w:b/>
          <w:bCs/>
          <w:color w:val="000000" w:themeColor="text1"/>
          <w:sz w:val="24"/>
          <w:szCs w:val="24"/>
        </w:rPr>
        <w:lastRenderedPageBreak/>
        <w:t xml:space="preserve">Table </w:t>
      </w:r>
      <w:r w:rsidR="000604B1">
        <w:rPr>
          <w:rFonts w:ascii="Times New Roman" w:hAnsi="Times New Roman" w:cs="Times New Roman"/>
          <w:b/>
          <w:bCs/>
          <w:color w:val="000000" w:themeColor="text1"/>
          <w:sz w:val="24"/>
          <w:szCs w:val="24"/>
        </w:rPr>
        <w:t>6</w:t>
      </w:r>
      <w:r w:rsidRPr="009E2A20">
        <w:rPr>
          <w:rFonts w:ascii="Times New Roman" w:hAnsi="Times New Roman" w:cs="Times New Roman"/>
          <w:b/>
          <w:bCs/>
          <w:color w:val="000000" w:themeColor="text1"/>
          <w:sz w:val="24"/>
          <w:szCs w:val="24"/>
        </w:rPr>
        <w:t xml:space="preserve">a. </w:t>
      </w:r>
      <w:r w:rsidRPr="009E2A20">
        <w:rPr>
          <w:rFonts w:ascii="Times New Roman" w:hAnsi="Times New Roman" w:cs="Times New Roman"/>
          <w:color w:val="000000" w:themeColor="text1"/>
          <w:sz w:val="24"/>
          <w:szCs w:val="24"/>
        </w:rPr>
        <w:t>Results examining the relationship between environmental stress factors obtained from bifactor modeling and Shen-268 network local efficiency during rest</w:t>
      </w:r>
      <w:bookmarkEnd w:id="22"/>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432B71" w14:paraId="752ED08F"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661FFCA7" w14:textId="77777777" w:rsidR="00432B71" w:rsidRDefault="00432B71"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42C8F92" w14:textId="77777777" w:rsidR="00432B71" w:rsidRDefault="00432B71"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6C8CCC5F" w14:textId="77777777" w:rsidR="00432B71" w:rsidRDefault="00432B71"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70894DEC"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E7F48D9"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41A9F3F"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C5C1BBD"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4A0F210"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D72FF77"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FBF6627"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2CBEABA1"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29CB0194"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6C08462E"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1479547D"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0DAB09F8"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75AA184D"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19733E6E" w14:textId="77777777" w:rsidR="00432B71" w:rsidRDefault="00432B71" w:rsidP="005A3B4D">
            <w:pPr>
              <w:rPr>
                <w:sz w:val="20"/>
                <w:szCs w:val="20"/>
              </w:rPr>
            </w:pPr>
          </w:p>
        </w:tc>
      </w:tr>
      <w:tr w:rsidR="00432B71" w14:paraId="20CE52AE"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2003EC8C" w14:textId="77777777" w:rsidR="00432B71" w:rsidRDefault="00432B71"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51966E3B" w14:textId="77777777" w:rsidR="00432B71" w:rsidRDefault="00432B71"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130FB031" w14:textId="77777777" w:rsidR="00432B71" w:rsidRDefault="00432B71"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BE70AB6" w14:textId="77777777" w:rsidR="00432B71" w:rsidRDefault="00432B71"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992C9D3" w14:textId="77777777" w:rsidR="00432B71" w:rsidRDefault="00432B71"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F557819" w14:textId="77777777" w:rsidR="00432B71" w:rsidRDefault="00432B71"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2CED25C2" w14:textId="77777777" w:rsidR="00432B71" w:rsidRDefault="00432B71" w:rsidP="005A3B4D">
            <w:pPr>
              <w:jc w:val="center"/>
              <w:rPr>
                <w:color w:val="000000"/>
                <w:sz w:val="20"/>
                <w:szCs w:val="20"/>
              </w:rPr>
            </w:pPr>
            <w:r>
              <w:rPr>
                <w:color w:val="000000"/>
                <w:sz w:val="20"/>
                <w:szCs w:val="20"/>
              </w:rPr>
              <w:t>Urbanicity</w:t>
            </w:r>
          </w:p>
        </w:tc>
      </w:tr>
      <w:tr w:rsidR="00432B71" w14:paraId="097EE897"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26469077" w14:textId="77777777" w:rsidR="00432B71" w:rsidRDefault="00432B71"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7C20E1FE" w14:textId="77777777" w:rsidR="00432B71" w:rsidRDefault="00432B71"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148AD964"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DC29E95"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E4A7806"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9EB3301"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F108960"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87303CF"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F661787"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AA195A6"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3F6C1AB"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C709816"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6874B19"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F58E662"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08B1173"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2292611"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FA64A58"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r>
      <w:tr w:rsidR="00432B71" w14:paraId="63D877E8"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64AD9B6E" w14:textId="77777777" w:rsidR="00432B71" w:rsidRDefault="00432B71"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7330BC1A" w14:textId="77777777" w:rsidR="00432B71" w:rsidRDefault="00432B71"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2FAD15ED" w14:textId="77777777" w:rsidR="00432B71" w:rsidRDefault="00432B71" w:rsidP="005A3B4D">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1E2EEEE8" w14:textId="77777777" w:rsidR="00432B71" w:rsidRDefault="00432B71" w:rsidP="005A3B4D">
            <w:pPr>
              <w:jc w:val="right"/>
              <w:rPr>
                <w:color w:val="000000"/>
                <w:sz w:val="20"/>
                <w:szCs w:val="20"/>
              </w:rPr>
            </w:pPr>
            <w:r>
              <w:rPr>
                <w:color w:val="000000"/>
                <w:sz w:val="20"/>
                <w:szCs w:val="20"/>
              </w:rPr>
              <w:t>0.690</w:t>
            </w:r>
          </w:p>
        </w:tc>
        <w:tc>
          <w:tcPr>
            <w:tcW w:w="768" w:type="dxa"/>
            <w:tcBorders>
              <w:top w:val="single" w:sz="12" w:space="0" w:color="auto"/>
              <w:left w:val="nil"/>
              <w:bottom w:val="nil"/>
              <w:right w:val="nil"/>
            </w:tcBorders>
            <w:shd w:val="clear" w:color="auto" w:fill="auto"/>
            <w:noWrap/>
            <w:vAlign w:val="bottom"/>
            <w:hideMark/>
          </w:tcPr>
          <w:p w14:paraId="098FEA8A" w14:textId="77777777" w:rsidR="00432B71" w:rsidRDefault="00432B7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12562B5" w14:textId="77777777" w:rsidR="00432B71" w:rsidRDefault="00432B71" w:rsidP="005A3B4D">
            <w:pPr>
              <w:jc w:val="right"/>
              <w:rPr>
                <w:color w:val="000000"/>
                <w:sz w:val="20"/>
                <w:szCs w:val="20"/>
              </w:rPr>
            </w:pPr>
            <w:r>
              <w:rPr>
                <w:color w:val="000000"/>
                <w:sz w:val="20"/>
                <w:szCs w:val="20"/>
              </w:rPr>
              <w:t>0.009</w:t>
            </w:r>
          </w:p>
        </w:tc>
        <w:tc>
          <w:tcPr>
            <w:tcW w:w="768" w:type="dxa"/>
            <w:tcBorders>
              <w:top w:val="single" w:sz="12" w:space="0" w:color="auto"/>
              <w:left w:val="nil"/>
              <w:bottom w:val="nil"/>
              <w:right w:val="nil"/>
            </w:tcBorders>
            <w:shd w:val="clear" w:color="auto" w:fill="auto"/>
            <w:noWrap/>
            <w:vAlign w:val="bottom"/>
            <w:hideMark/>
          </w:tcPr>
          <w:p w14:paraId="4248AAE5" w14:textId="77777777" w:rsidR="00432B71" w:rsidRDefault="00432B71" w:rsidP="005A3B4D">
            <w:pPr>
              <w:jc w:val="right"/>
              <w:rPr>
                <w:color w:val="000000"/>
                <w:sz w:val="20"/>
                <w:szCs w:val="20"/>
              </w:rPr>
            </w:pPr>
            <w:r>
              <w:rPr>
                <w:color w:val="000000"/>
                <w:sz w:val="20"/>
                <w:szCs w:val="20"/>
              </w:rPr>
              <w:t>0.790</w:t>
            </w:r>
          </w:p>
        </w:tc>
        <w:tc>
          <w:tcPr>
            <w:tcW w:w="768" w:type="dxa"/>
            <w:tcBorders>
              <w:top w:val="single" w:sz="12" w:space="0" w:color="auto"/>
              <w:left w:val="nil"/>
              <w:bottom w:val="nil"/>
              <w:right w:val="nil"/>
            </w:tcBorders>
            <w:shd w:val="clear" w:color="auto" w:fill="auto"/>
            <w:noWrap/>
            <w:vAlign w:val="bottom"/>
            <w:hideMark/>
          </w:tcPr>
          <w:p w14:paraId="78D0F7D1" w14:textId="77777777" w:rsidR="00432B71" w:rsidRDefault="00432B7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3C00AF6" w14:textId="77777777" w:rsidR="00432B71" w:rsidRDefault="00432B71" w:rsidP="005A3B4D">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7971208F" w14:textId="77777777" w:rsidR="00432B71" w:rsidRDefault="00432B71" w:rsidP="005A3B4D">
            <w:pPr>
              <w:jc w:val="right"/>
              <w:rPr>
                <w:color w:val="000000"/>
                <w:sz w:val="20"/>
                <w:szCs w:val="20"/>
              </w:rPr>
            </w:pPr>
            <w:r>
              <w:rPr>
                <w:color w:val="000000"/>
                <w:sz w:val="20"/>
                <w:szCs w:val="20"/>
              </w:rPr>
              <w:t>0.918</w:t>
            </w:r>
          </w:p>
        </w:tc>
        <w:tc>
          <w:tcPr>
            <w:tcW w:w="768" w:type="dxa"/>
            <w:tcBorders>
              <w:top w:val="single" w:sz="12" w:space="0" w:color="auto"/>
              <w:left w:val="nil"/>
              <w:bottom w:val="nil"/>
              <w:right w:val="nil"/>
            </w:tcBorders>
            <w:shd w:val="clear" w:color="auto" w:fill="auto"/>
            <w:noWrap/>
            <w:vAlign w:val="bottom"/>
            <w:hideMark/>
          </w:tcPr>
          <w:p w14:paraId="03FAF9B3" w14:textId="77777777" w:rsidR="00432B71" w:rsidRDefault="00432B7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E4A034C" w14:textId="77777777" w:rsidR="00432B71" w:rsidRDefault="00432B71" w:rsidP="005A3B4D">
            <w:pPr>
              <w:jc w:val="right"/>
              <w:rPr>
                <w:color w:val="000000"/>
                <w:sz w:val="20"/>
                <w:szCs w:val="20"/>
              </w:rPr>
            </w:pPr>
            <w:r>
              <w:rPr>
                <w:color w:val="000000"/>
                <w:sz w:val="20"/>
                <w:szCs w:val="20"/>
              </w:rPr>
              <w:t>-0.023</w:t>
            </w:r>
          </w:p>
        </w:tc>
        <w:tc>
          <w:tcPr>
            <w:tcW w:w="768" w:type="dxa"/>
            <w:tcBorders>
              <w:top w:val="single" w:sz="12" w:space="0" w:color="auto"/>
              <w:left w:val="nil"/>
              <w:bottom w:val="nil"/>
              <w:right w:val="nil"/>
            </w:tcBorders>
            <w:shd w:val="clear" w:color="auto" w:fill="auto"/>
            <w:noWrap/>
            <w:vAlign w:val="bottom"/>
            <w:hideMark/>
          </w:tcPr>
          <w:p w14:paraId="086D4817" w14:textId="77777777" w:rsidR="00432B71" w:rsidRDefault="00432B71" w:rsidP="005A3B4D">
            <w:pPr>
              <w:jc w:val="right"/>
              <w:rPr>
                <w:color w:val="000000"/>
                <w:sz w:val="20"/>
                <w:szCs w:val="20"/>
              </w:rPr>
            </w:pPr>
            <w:r>
              <w:rPr>
                <w:color w:val="000000"/>
                <w:sz w:val="20"/>
                <w:szCs w:val="20"/>
              </w:rPr>
              <w:t>0.656</w:t>
            </w:r>
          </w:p>
        </w:tc>
        <w:tc>
          <w:tcPr>
            <w:tcW w:w="768" w:type="dxa"/>
            <w:tcBorders>
              <w:top w:val="single" w:sz="12" w:space="0" w:color="auto"/>
              <w:left w:val="nil"/>
              <w:bottom w:val="nil"/>
              <w:right w:val="nil"/>
            </w:tcBorders>
            <w:shd w:val="clear" w:color="auto" w:fill="auto"/>
            <w:noWrap/>
            <w:vAlign w:val="bottom"/>
            <w:hideMark/>
          </w:tcPr>
          <w:p w14:paraId="637346C9" w14:textId="77777777" w:rsidR="00432B71" w:rsidRDefault="00432B71"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586F8235" w14:textId="77777777" w:rsidR="00432B71" w:rsidRDefault="00432B71" w:rsidP="005A3B4D">
            <w:pPr>
              <w:jc w:val="right"/>
              <w:rPr>
                <w:color w:val="000000"/>
                <w:sz w:val="20"/>
                <w:szCs w:val="20"/>
              </w:rPr>
            </w:pPr>
            <w:r>
              <w:rPr>
                <w:color w:val="000000"/>
                <w:sz w:val="20"/>
                <w:szCs w:val="20"/>
              </w:rPr>
              <w:t>-0.037</w:t>
            </w:r>
          </w:p>
        </w:tc>
        <w:tc>
          <w:tcPr>
            <w:tcW w:w="768" w:type="dxa"/>
            <w:tcBorders>
              <w:top w:val="single" w:sz="12" w:space="0" w:color="auto"/>
              <w:left w:val="nil"/>
              <w:bottom w:val="nil"/>
              <w:right w:val="nil"/>
            </w:tcBorders>
            <w:shd w:val="clear" w:color="auto" w:fill="auto"/>
            <w:noWrap/>
            <w:vAlign w:val="bottom"/>
            <w:hideMark/>
          </w:tcPr>
          <w:p w14:paraId="48E30864" w14:textId="77777777" w:rsidR="00432B71" w:rsidRDefault="00432B71" w:rsidP="005A3B4D">
            <w:pPr>
              <w:jc w:val="right"/>
              <w:rPr>
                <w:color w:val="000000"/>
                <w:sz w:val="20"/>
                <w:szCs w:val="20"/>
              </w:rPr>
            </w:pPr>
            <w:r>
              <w:rPr>
                <w:color w:val="000000"/>
                <w:sz w:val="20"/>
                <w:szCs w:val="20"/>
              </w:rPr>
              <w:t>0.544</w:t>
            </w:r>
          </w:p>
        </w:tc>
        <w:tc>
          <w:tcPr>
            <w:tcW w:w="768" w:type="dxa"/>
            <w:tcBorders>
              <w:top w:val="single" w:sz="12" w:space="0" w:color="auto"/>
              <w:left w:val="nil"/>
              <w:bottom w:val="nil"/>
              <w:right w:val="nil"/>
            </w:tcBorders>
            <w:shd w:val="clear" w:color="auto" w:fill="auto"/>
            <w:noWrap/>
            <w:vAlign w:val="bottom"/>
            <w:hideMark/>
          </w:tcPr>
          <w:p w14:paraId="48C5B5B3" w14:textId="77777777" w:rsidR="00432B71" w:rsidRDefault="00432B71" w:rsidP="005A3B4D">
            <w:pPr>
              <w:jc w:val="right"/>
              <w:rPr>
                <w:color w:val="000000"/>
                <w:sz w:val="20"/>
                <w:szCs w:val="20"/>
              </w:rPr>
            </w:pPr>
            <w:r>
              <w:rPr>
                <w:color w:val="000000"/>
                <w:sz w:val="20"/>
                <w:szCs w:val="20"/>
              </w:rPr>
              <w:t>0.001</w:t>
            </w:r>
          </w:p>
        </w:tc>
      </w:tr>
      <w:tr w:rsidR="00432B71" w14:paraId="55F3A958" w14:textId="77777777" w:rsidTr="005A3B4D">
        <w:trPr>
          <w:trHeight w:val="340"/>
        </w:trPr>
        <w:tc>
          <w:tcPr>
            <w:tcW w:w="1176" w:type="dxa"/>
            <w:tcBorders>
              <w:top w:val="nil"/>
              <w:left w:val="nil"/>
              <w:bottom w:val="nil"/>
              <w:right w:val="nil"/>
            </w:tcBorders>
            <w:shd w:val="clear" w:color="auto" w:fill="auto"/>
            <w:noWrap/>
            <w:vAlign w:val="bottom"/>
            <w:hideMark/>
          </w:tcPr>
          <w:p w14:paraId="027CDDFF"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B5D2388"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F28CC1D"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2B2B2561" w14:textId="77777777" w:rsidR="00432B71" w:rsidRDefault="00432B71" w:rsidP="005A3B4D">
            <w:pPr>
              <w:jc w:val="right"/>
              <w:rPr>
                <w:color w:val="000000"/>
                <w:sz w:val="20"/>
                <w:szCs w:val="20"/>
              </w:rPr>
            </w:pPr>
            <w:r>
              <w:rPr>
                <w:color w:val="000000"/>
                <w:sz w:val="20"/>
                <w:szCs w:val="20"/>
              </w:rPr>
              <w:t>0.690</w:t>
            </w:r>
          </w:p>
        </w:tc>
        <w:tc>
          <w:tcPr>
            <w:tcW w:w="768" w:type="dxa"/>
            <w:tcBorders>
              <w:top w:val="nil"/>
              <w:left w:val="nil"/>
              <w:bottom w:val="nil"/>
              <w:right w:val="nil"/>
            </w:tcBorders>
            <w:shd w:val="clear" w:color="auto" w:fill="auto"/>
            <w:noWrap/>
            <w:vAlign w:val="bottom"/>
            <w:hideMark/>
          </w:tcPr>
          <w:p w14:paraId="3145D55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1542CD"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4DB0A7C6" w14:textId="77777777" w:rsidR="00432B71" w:rsidRDefault="00432B71" w:rsidP="005A3B4D">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0D212B4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86F0AE"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FCC1687" w14:textId="77777777" w:rsidR="00432B71" w:rsidRDefault="00432B71"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038938A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4EF8AB"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AA69315" w14:textId="77777777" w:rsidR="00432B71" w:rsidRDefault="00432B71" w:rsidP="005A3B4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13657A1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709F962" w14:textId="77777777" w:rsidR="00432B71" w:rsidRDefault="00432B71" w:rsidP="005A3B4D">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14B0F873" w14:textId="77777777" w:rsidR="00432B71" w:rsidRDefault="00432B71" w:rsidP="005A3B4D">
            <w:pPr>
              <w:jc w:val="right"/>
              <w:rPr>
                <w:color w:val="000000"/>
                <w:sz w:val="20"/>
                <w:szCs w:val="20"/>
              </w:rPr>
            </w:pPr>
            <w:r>
              <w:rPr>
                <w:color w:val="000000"/>
                <w:sz w:val="20"/>
                <w:szCs w:val="20"/>
              </w:rPr>
              <w:t>0.372</w:t>
            </w:r>
          </w:p>
        </w:tc>
        <w:tc>
          <w:tcPr>
            <w:tcW w:w="768" w:type="dxa"/>
            <w:tcBorders>
              <w:top w:val="nil"/>
              <w:left w:val="nil"/>
              <w:bottom w:val="nil"/>
              <w:right w:val="nil"/>
            </w:tcBorders>
            <w:shd w:val="clear" w:color="auto" w:fill="auto"/>
            <w:noWrap/>
            <w:vAlign w:val="bottom"/>
            <w:hideMark/>
          </w:tcPr>
          <w:p w14:paraId="64381111" w14:textId="77777777" w:rsidR="00432B71" w:rsidRDefault="00432B71" w:rsidP="005A3B4D">
            <w:pPr>
              <w:jc w:val="right"/>
              <w:rPr>
                <w:color w:val="000000"/>
                <w:sz w:val="20"/>
                <w:szCs w:val="20"/>
              </w:rPr>
            </w:pPr>
            <w:r>
              <w:rPr>
                <w:color w:val="000000"/>
                <w:sz w:val="20"/>
                <w:szCs w:val="20"/>
              </w:rPr>
              <w:t>0.003</w:t>
            </w:r>
          </w:p>
        </w:tc>
      </w:tr>
      <w:tr w:rsidR="00432B71" w14:paraId="4541BE0E" w14:textId="77777777" w:rsidTr="005A3B4D">
        <w:trPr>
          <w:trHeight w:val="320"/>
        </w:trPr>
        <w:tc>
          <w:tcPr>
            <w:tcW w:w="1176" w:type="dxa"/>
            <w:tcBorders>
              <w:top w:val="nil"/>
              <w:left w:val="nil"/>
              <w:bottom w:val="nil"/>
              <w:right w:val="nil"/>
            </w:tcBorders>
            <w:shd w:val="clear" w:color="auto" w:fill="auto"/>
            <w:noWrap/>
            <w:vAlign w:val="bottom"/>
            <w:hideMark/>
          </w:tcPr>
          <w:p w14:paraId="7FB46B95"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90326F"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1EB972F"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61384CB" w14:textId="77777777" w:rsidR="00432B71" w:rsidRDefault="00432B71" w:rsidP="005A3B4D">
            <w:pPr>
              <w:jc w:val="right"/>
              <w:rPr>
                <w:color w:val="000000"/>
                <w:sz w:val="20"/>
                <w:szCs w:val="20"/>
              </w:rPr>
            </w:pPr>
            <w:r>
              <w:rPr>
                <w:color w:val="000000"/>
                <w:sz w:val="20"/>
                <w:szCs w:val="20"/>
              </w:rPr>
              <w:t>0.869</w:t>
            </w:r>
          </w:p>
        </w:tc>
        <w:tc>
          <w:tcPr>
            <w:tcW w:w="768" w:type="dxa"/>
            <w:tcBorders>
              <w:top w:val="nil"/>
              <w:left w:val="nil"/>
              <w:bottom w:val="nil"/>
              <w:right w:val="nil"/>
            </w:tcBorders>
            <w:shd w:val="clear" w:color="auto" w:fill="auto"/>
            <w:noWrap/>
            <w:vAlign w:val="bottom"/>
            <w:hideMark/>
          </w:tcPr>
          <w:p w14:paraId="75DA4BB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97B8DF" w14:textId="77777777" w:rsidR="00432B71" w:rsidRDefault="00432B71" w:rsidP="005A3B4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219C1390" w14:textId="77777777" w:rsidR="00432B71" w:rsidRDefault="00432B71" w:rsidP="005A3B4D">
            <w:pPr>
              <w:jc w:val="right"/>
              <w:rPr>
                <w:color w:val="000000"/>
                <w:sz w:val="20"/>
                <w:szCs w:val="20"/>
              </w:rPr>
            </w:pPr>
            <w:r>
              <w:rPr>
                <w:color w:val="000000"/>
                <w:sz w:val="20"/>
                <w:szCs w:val="20"/>
              </w:rPr>
              <w:t>0.500</w:t>
            </w:r>
          </w:p>
        </w:tc>
        <w:tc>
          <w:tcPr>
            <w:tcW w:w="768" w:type="dxa"/>
            <w:tcBorders>
              <w:top w:val="nil"/>
              <w:left w:val="nil"/>
              <w:bottom w:val="nil"/>
              <w:right w:val="nil"/>
            </w:tcBorders>
            <w:shd w:val="clear" w:color="auto" w:fill="auto"/>
            <w:noWrap/>
            <w:vAlign w:val="bottom"/>
            <w:hideMark/>
          </w:tcPr>
          <w:p w14:paraId="7BA738E6"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93EDB98" w14:textId="77777777" w:rsidR="00432B71" w:rsidRDefault="00432B71" w:rsidP="005A3B4D">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5B7B42CA" w14:textId="77777777" w:rsidR="00432B71" w:rsidRDefault="00432B71" w:rsidP="005A3B4D">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22BE20CB"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2FCC450"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66043695" w14:textId="77777777" w:rsidR="00432B71" w:rsidRDefault="00432B71" w:rsidP="005A3B4D">
            <w:pPr>
              <w:jc w:val="right"/>
              <w:rPr>
                <w:color w:val="000000"/>
                <w:sz w:val="20"/>
                <w:szCs w:val="20"/>
              </w:rPr>
            </w:pPr>
            <w:r>
              <w:rPr>
                <w:color w:val="000000"/>
                <w:sz w:val="20"/>
                <w:szCs w:val="20"/>
              </w:rPr>
              <w:t>0.718</w:t>
            </w:r>
          </w:p>
        </w:tc>
        <w:tc>
          <w:tcPr>
            <w:tcW w:w="768" w:type="dxa"/>
            <w:tcBorders>
              <w:top w:val="nil"/>
              <w:left w:val="nil"/>
              <w:bottom w:val="nil"/>
              <w:right w:val="nil"/>
            </w:tcBorders>
            <w:shd w:val="clear" w:color="auto" w:fill="auto"/>
            <w:noWrap/>
            <w:vAlign w:val="bottom"/>
            <w:hideMark/>
          </w:tcPr>
          <w:p w14:paraId="4AAEE65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C78D3E"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C82641C" w14:textId="77777777" w:rsidR="00432B71" w:rsidRDefault="00432B71" w:rsidP="005A3B4D">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21473ED2" w14:textId="77777777" w:rsidR="00432B71" w:rsidRDefault="00432B71" w:rsidP="005A3B4D">
            <w:pPr>
              <w:jc w:val="right"/>
              <w:rPr>
                <w:color w:val="000000"/>
                <w:sz w:val="20"/>
                <w:szCs w:val="20"/>
              </w:rPr>
            </w:pPr>
            <w:r>
              <w:rPr>
                <w:color w:val="000000"/>
                <w:sz w:val="20"/>
                <w:szCs w:val="20"/>
              </w:rPr>
              <w:t>0.000</w:t>
            </w:r>
          </w:p>
        </w:tc>
      </w:tr>
      <w:tr w:rsidR="00432B71" w14:paraId="53967F9B" w14:textId="77777777" w:rsidTr="005A3B4D">
        <w:trPr>
          <w:trHeight w:val="320"/>
        </w:trPr>
        <w:tc>
          <w:tcPr>
            <w:tcW w:w="1176" w:type="dxa"/>
            <w:tcBorders>
              <w:top w:val="nil"/>
              <w:left w:val="nil"/>
              <w:bottom w:val="nil"/>
              <w:right w:val="nil"/>
            </w:tcBorders>
            <w:shd w:val="clear" w:color="auto" w:fill="auto"/>
            <w:noWrap/>
            <w:vAlign w:val="bottom"/>
            <w:hideMark/>
          </w:tcPr>
          <w:p w14:paraId="0624E8AB"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0FEA9D5"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4C635AE" w14:textId="77777777" w:rsidR="00432B71" w:rsidRDefault="00432B71"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306443A" w14:textId="77777777" w:rsidR="00432B71" w:rsidRDefault="00432B71" w:rsidP="005A3B4D">
            <w:pPr>
              <w:jc w:val="right"/>
              <w:rPr>
                <w:color w:val="000000"/>
                <w:sz w:val="20"/>
                <w:szCs w:val="20"/>
              </w:rPr>
            </w:pPr>
            <w:r>
              <w:rPr>
                <w:color w:val="000000"/>
                <w:sz w:val="20"/>
                <w:szCs w:val="20"/>
              </w:rPr>
              <w:t>0.690</w:t>
            </w:r>
          </w:p>
        </w:tc>
        <w:tc>
          <w:tcPr>
            <w:tcW w:w="768" w:type="dxa"/>
            <w:tcBorders>
              <w:top w:val="nil"/>
              <w:left w:val="nil"/>
              <w:bottom w:val="nil"/>
              <w:right w:val="nil"/>
            </w:tcBorders>
            <w:shd w:val="clear" w:color="auto" w:fill="auto"/>
            <w:noWrap/>
            <w:vAlign w:val="bottom"/>
            <w:hideMark/>
          </w:tcPr>
          <w:p w14:paraId="3274541D"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3CBBDB8" w14:textId="77777777" w:rsidR="00432B71" w:rsidRDefault="00432B71" w:rsidP="005A3B4D">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2A3A05E0" w14:textId="77777777" w:rsidR="00432B71" w:rsidRDefault="00432B71" w:rsidP="005A3B4D">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0F00278A"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3F97F59" w14:textId="77777777" w:rsidR="00432B71" w:rsidRDefault="00432B71"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6597453C" w14:textId="77777777" w:rsidR="00432B71" w:rsidRDefault="00432B71"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7747E8B5"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B766C3" w14:textId="77777777" w:rsidR="00432B71" w:rsidRDefault="00432B71" w:rsidP="005A3B4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42EDF5D2" w14:textId="77777777" w:rsidR="00432B71" w:rsidRDefault="00432B71"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3DFC4EDC" w14:textId="77777777" w:rsidR="00432B71" w:rsidRDefault="00432B71"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136A1209" w14:textId="77777777" w:rsidR="00432B71" w:rsidRDefault="00432B71" w:rsidP="005A3B4D">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67429B04" w14:textId="77777777" w:rsidR="00432B71" w:rsidRDefault="00432B71" w:rsidP="005A3B4D">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0141C7B1" w14:textId="77777777" w:rsidR="00432B71" w:rsidRDefault="00432B71" w:rsidP="005A3B4D">
            <w:pPr>
              <w:jc w:val="right"/>
              <w:rPr>
                <w:color w:val="000000"/>
                <w:sz w:val="20"/>
                <w:szCs w:val="20"/>
              </w:rPr>
            </w:pPr>
            <w:r>
              <w:rPr>
                <w:color w:val="000000"/>
                <w:sz w:val="20"/>
                <w:szCs w:val="20"/>
              </w:rPr>
              <w:t>0.007</w:t>
            </w:r>
          </w:p>
        </w:tc>
      </w:tr>
      <w:tr w:rsidR="00432B71" w14:paraId="4E51E8B1" w14:textId="77777777" w:rsidTr="005A3B4D">
        <w:trPr>
          <w:trHeight w:val="320"/>
        </w:trPr>
        <w:tc>
          <w:tcPr>
            <w:tcW w:w="1176" w:type="dxa"/>
            <w:tcBorders>
              <w:top w:val="nil"/>
              <w:left w:val="nil"/>
              <w:bottom w:val="nil"/>
              <w:right w:val="nil"/>
            </w:tcBorders>
            <w:shd w:val="clear" w:color="auto" w:fill="auto"/>
            <w:noWrap/>
            <w:vAlign w:val="bottom"/>
            <w:hideMark/>
          </w:tcPr>
          <w:p w14:paraId="4FAA40E4"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883921"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20479B5" w14:textId="77777777" w:rsidR="00432B71" w:rsidRDefault="00432B71"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30BE02FA" w14:textId="77777777" w:rsidR="00432B71" w:rsidRDefault="00432B71" w:rsidP="005A3B4D">
            <w:pPr>
              <w:jc w:val="right"/>
              <w:rPr>
                <w:color w:val="000000"/>
                <w:sz w:val="20"/>
                <w:szCs w:val="20"/>
              </w:rPr>
            </w:pPr>
            <w:r>
              <w:rPr>
                <w:color w:val="000000"/>
                <w:sz w:val="20"/>
                <w:szCs w:val="20"/>
              </w:rPr>
              <w:t>0.690</w:t>
            </w:r>
          </w:p>
        </w:tc>
        <w:tc>
          <w:tcPr>
            <w:tcW w:w="768" w:type="dxa"/>
            <w:tcBorders>
              <w:top w:val="nil"/>
              <w:left w:val="nil"/>
              <w:bottom w:val="nil"/>
              <w:right w:val="nil"/>
            </w:tcBorders>
            <w:shd w:val="clear" w:color="auto" w:fill="auto"/>
            <w:noWrap/>
            <w:vAlign w:val="bottom"/>
            <w:hideMark/>
          </w:tcPr>
          <w:p w14:paraId="0484EBCB"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A567C58"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62ED459C" w14:textId="77777777" w:rsidR="00432B71" w:rsidRDefault="00432B71" w:rsidP="005A3B4D">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43946570"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F044584"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1EBABE6" w14:textId="77777777" w:rsidR="00432B71" w:rsidRDefault="00432B71"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592E735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0ABF51"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55A7EE9" w14:textId="77777777" w:rsidR="00432B71" w:rsidRDefault="00432B71" w:rsidP="005A3B4D">
            <w:pPr>
              <w:jc w:val="right"/>
              <w:rPr>
                <w:color w:val="000000"/>
                <w:sz w:val="20"/>
                <w:szCs w:val="20"/>
              </w:rPr>
            </w:pPr>
            <w:r>
              <w:rPr>
                <w:color w:val="000000"/>
                <w:sz w:val="20"/>
                <w:szCs w:val="20"/>
              </w:rPr>
              <w:t>0.718</w:t>
            </w:r>
          </w:p>
        </w:tc>
        <w:tc>
          <w:tcPr>
            <w:tcW w:w="768" w:type="dxa"/>
            <w:tcBorders>
              <w:top w:val="nil"/>
              <w:left w:val="nil"/>
              <w:bottom w:val="nil"/>
              <w:right w:val="nil"/>
            </w:tcBorders>
            <w:shd w:val="clear" w:color="auto" w:fill="auto"/>
            <w:noWrap/>
            <w:vAlign w:val="bottom"/>
            <w:hideMark/>
          </w:tcPr>
          <w:p w14:paraId="3BC38D7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17838B"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191E5FDD" w14:textId="77777777" w:rsidR="00432B71" w:rsidRDefault="00432B71" w:rsidP="005A3B4D">
            <w:pPr>
              <w:jc w:val="right"/>
              <w:rPr>
                <w:color w:val="000000"/>
                <w:sz w:val="20"/>
                <w:szCs w:val="20"/>
              </w:rPr>
            </w:pPr>
            <w:r>
              <w:rPr>
                <w:color w:val="000000"/>
                <w:sz w:val="20"/>
                <w:szCs w:val="20"/>
              </w:rPr>
              <w:t>0.890</w:t>
            </w:r>
          </w:p>
        </w:tc>
        <w:tc>
          <w:tcPr>
            <w:tcW w:w="768" w:type="dxa"/>
            <w:tcBorders>
              <w:top w:val="nil"/>
              <w:left w:val="nil"/>
              <w:bottom w:val="nil"/>
              <w:right w:val="nil"/>
            </w:tcBorders>
            <w:shd w:val="clear" w:color="auto" w:fill="auto"/>
            <w:noWrap/>
            <w:vAlign w:val="bottom"/>
            <w:hideMark/>
          </w:tcPr>
          <w:p w14:paraId="3D505822" w14:textId="77777777" w:rsidR="00432B71" w:rsidRDefault="00432B71" w:rsidP="005A3B4D">
            <w:pPr>
              <w:jc w:val="right"/>
              <w:rPr>
                <w:color w:val="000000"/>
                <w:sz w:val="20"/>
                <w:szCs w:val="20"/>
              </w:rPr>
            </w:pPr>
            <w:r>
              <w:rPr>
                <w:color w:val="000000"/>
                <w:sz w:val="20"/>
                <w:szCs w:val="20"/>
              </w:rPr>
              <w:t>0.001</w:t>
            </w:r>
          </w:p>
        </w:tc>
      </w:tr>
      <w:tr w:rsidR="00432B71" w14:paraId="5B6565F1" w14:textId="77777777" w:rsidTr="005A3B4D">
        <w:trPr>
          <w:trHeight w:val="320"/>
        </w:trPr>
        <w:tc>
          <w:tcPr>
            <w:tcW w:w="1176" w:type="dxa"/>
            <w:tcBorders>
              <w:top w:val="nil"/>
              <w:left w:val="nil"/>
              <w:bottom w:val="nil"/>
              <w:right w:val="nil"/>
            </w:tcBorders>
            <w:shd w:val="clear" w:color="auto" w:fill="auto"/>
            <w:noWrap/>
            <w:vAlign w:val="bottom"/>
            <w:hideMark/>
          </w:tcPr>
          <w:p w14:paraId="3758AE0F"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01A5488"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D29D280" w14:textId="77777777" w:rsidR="00432B71" w:rsidRDefault="00432B71"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787D6452" w14:textId="77777777" w:rsidR="00432B71" w:rsidRDefault="00432B71"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7D7E8650"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9F393E2"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07D49CE" w14:textId="77777777" w:rsidR="00432B71" w:rsidRDefault="00432B71" w:rsidP="005A3B4D">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31850B5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103E6D"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237BC2F" w14:textId="77777777" w:rsidR="00432B71" w:rsidRDefault="00432B71" w:rsidP="005A3B4D">
            <w:pPr>
              <w:jc w:val="right"/>
              <w:rPr>
                <w:color w:val="000000"/>
                <w:sz w:val="20"/>
                <w:szCs w:val="20"/>
              </w:rPr>
            </w:pPr>
            <w:r>
              <w:rPr>
                <w:color w:val="000000"/>
                <w:sz w:val="20"/>
                <w:szCs w:val="20"/>
              </w:rPr>
              <w:t>0.678</w:t>
            </w:r>
          </w:p>
        </w:tc>
        <w:tc>
          <w:tcPr>
            <w:tcW w:w="768" w:type="dxa"/>
            <w:tcBorders>
              <w:top w:val="nil"/>
              <w:left w:val="nil"/>
              <w:bottom w:val="nil"/>
              <w:right w:val="nil"/>
            </w:tcBorders>
            <w:shd w:val="clear" w:color="auto" w:fill="auto"/>
            <w:noWrap/>
            <w:vAlign w:val="bottom"/>
            <w:hideMark/>
          </w:tcPr>
          <w:p w14:paraId="2F3B0FB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D6EBFA"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5B27900A" w14:textId="77777777" w:rsidR="00432B71" w:rsidRDefault="00432B71" w:rsidP="005A3B4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17CDAEA5"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B1AFB5"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3AE7C55" w14:textId="77777777" w:rsidR="00432B71" w:rsidRDefault="00432B71" w:rsidP="005A3B4D">
            <w:pPr>
              <w:jc w:val="right"/>
              <w:rPr>
                <w:color w:val="000000"/>
                <w:sz w:val="20"/>
                <w:szCs w:val="20"/>
              </w:rPr>
            </w:pPr>
            <w:r>
              <w:rPr>
                <w:color w:val="000000"/>
                <w:sz w:val="20"/>
                <w:szCs w:val="20"/>
              </w:rPr>
              <w:t>0.900</w:t>
            </w:r>
          </w:p>
        </w:tc>
        <w:tc>
          <w:tcPr>
            <w:tcW w:w="768" w:type="dxa"/>
            <w:tcBorders>
              <w:top w:val="nil"/>
              <w:left w:val="nil"/>
              <w:bottom w:val="nil"/>
              <w:right w:val="nil"/>
            </w:tcBorders>
            <w:shd w:val="clear" w:color="auto" w:fill="auto"/>
            <w:noWrap/>
            <w:vAlign w:val="bottom"/>
            <w:hideMark/>
          </w:tcPr>
          <w:p w14:paraId="37E4B0F5" w14:textId="77777777" w:rsidR="00432B71" w:rsidRDefault="00432B71" w:rsidP="005A3B4D">
            <w:pPr>
              <w:jc w:val="right"/>
              <w:rPr>
                <w:color w:val="000000"/>
                <w:sz w:val="20"/>
                <w:szCs w:val="20"/>
              </w:rPr>
            </w:pPr>
            <w:r>
              <w:rPr>
                <w:color w:val="000000"/>
                <w:sz w:val="20"/>
                <w:szCs w:val="20"/>
              </w:rPr>
              <w:t>0.000</w:t>
            </w:r>
          </w:p>
        </w:tc>
      </w:tr>
      <w:tr w:rsidR="00432B71" w14:paraId="5CDBC10D" w14:textId="77777777" w:rsidTr="005A3B4D">
        <w:trPr>
          <w:trHeight w:val="320"/>
        </w:trPr>
        <w:tc>
          <w:tcPr>
            <w:tcW w:w="1176" w:type="dxa"/>
            <w:tcBorders>
              <w:top w:val="nil"/>
              <w:left w:val="nil"/>
              <w:bottom w:val="nil"/>
              <w:right w:val="nil"/>
            </w:tcBorders>
            <w:shd w:val="clear" w:color="auto" w:fill="auto"/>
            <w:noWrap/>
            <w:vAlign w:val="bottom"/>
            <w:hideMark/>
          </w:tcPr>
          <w:p w14:paraId="5C04BE91"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0FAFB8"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DD50707"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07B6193" w14:textId="77777777" w:rsidR="00432B71" w:rsidRDefault="00432B71" w:rsidP="005A3B4D">
            <w:pPr>
              <w:jc w:val="right"/>
              <w:rPr>
                <w:color w:val="000000"/>
                <w:sz w:val="20"/>
                <w:szCs w:val="20"/>
              </w:rPr>
            </w:pPr>
            <w:r>
              <w:rPr>
                <w:color w:val="000000"/>
                <w:sz w:val="20"/>
                <w:szCs w:val="20"/>
              </w:rPr>
              <w:t>0.690</w:t>
            </w:r>
          </w:p>
        </w:tc>
        <w:tc>
          <w:tcPr>
            <w:tcW w:w="768" w:type="dxa"/>
            <w:tcBorders>
              <w:top w:val="nil"/>
              <w:left w:val="nil"/>
              <w:bottom w:val="nil"/>
              <w:right w:val="nil"/>
            </w:tcBorders>
            <w:shd w:val="clear" w:color="auto" w:fill="auto"/>
            <w:noWrap/>
            <w:vAlign w:val="bottom"/>
            <w:hideMark/>
          </w:tcPr>
          <w:p w14:paraId="685B098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8AA5E5"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6D0AE7BA" w14:textId="77777777" w:rsidR="00432B71" w:rsidRDefault="00432B71" w:rsidP="005A3B4D">
            <w:pPr>
              <w:jc w:val="right"/>
              <w:rPr>
                <w:color w:val="000000"/>
                <w:sz w:val="20"/>
                <w:szCs w:val="20"/>
              </w:rPr>
            </w:pPr>
            <w:r>
              <w:rPr>
                <w:color w:val="000000"/>
                <w:sz w:val="20"/>
                <w:szCs w:val="20"/>
              </w:rPr>
              <w:t>0.612</w:t>
            </w:r>
          </w:p>
        </w:tc>
        <w:tc>
          <w:tcPr>
            <w:tcW w:w="768" w:type="dxa"/>
            <w:tcBorders>
              <w:top w:val="nil"/>
              <w:left w:val="nil"/>
              <w:bottom w:val="nil"/>
              <w:right w:val="nil"/>
            </w:tcBorders>
            <w:shd w:val="clear" w:color="auto" w:fill="auto"/>
            <w:noWrap/>
            <w:vAlign w:val="bottom"/>
            <w:hideMark/>
          </w:tcPr>
          <w:p w14:paraId="5668CAD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D3ABF7A" w14:textId="77777777" w:rsidR="00432B71" w:rsidRDefault="00432B71"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21D05A3A" w14:textId="77777777" w:rsidR="00432B71" w:rsidRDefault="00432B71" w:rsidP="005A3B4D">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512231AB"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7D85BB8"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2435938" w14:textId="77777777" w:rsidR="00432B71" w:rsidRDefault="00432B71" w:rsidP="005A3B4D">
            <w:pPr>
              <w:jc w:val="right"/>
              <w:rPr>
                <w:color w:val="000000"/>
                <w:sz w:val="20"/>
                <w:szCs w:val="20"/>
              </w:rPr>
            </w:pPr>
            <w:r>
              <w:rPr>
                <w:color w:val="000000"/>
                <w:sz w:val="20"/>
                <w:szCs w:val="20"/>
              </w:rPr>
              <w:t>0.718</w:t>
            </w:r>
          </w:p>
        </w:tc>
        <w:tc>
          <w:tcPr>
            <w:tcW w:w="768" w:type="dxa"/>
            <w:tcBorders>
              <w:top w:val="nil"/>
              <w:left w:val="nil"/>
              <w:bottom w:val="nil"/>
              <w:right w:val="nil"/>
            </w:tcBorders>
            <w:shd w:val="clear" w:color="auto" w:fill="auto"/>
            <w:noWrap/>
            <w:vAlign w:val="bottom"/>
            <w:hideMark/>
          </w:tcPr>
          <w:p w14:paraId="5CC275B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2B9693" w14:textId="77777777" w:rsidR="00432B71" w:rsidRDefault="00432B71"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423C40BF" w14:textId="77777777" w:rsidR="00432B71" w:rsidRDefault="00432B71" w:rsidP="005A3B4D">
            <w:pPr>
              <w:jc w:val="right"/>
              <w:rPr>
                <w:color w:val="000000"/>
                <w:sz w:val="20"/>
                <w:szCs w:val="20"/>
              </w:rPr>
            </w:pPr>
            <w:r>
              <w:rPr>
                <w:color w:val="000000"/>
                <w:sz w:val="20"/>
                <w:szCs w:val="20"/>
              </w:rPr>
              <w:t>0.372</w:t>
            </w:r>
          </w:p>
        </w:tc>
        <w:tc>
          <w:tcPr>
            <w:tcW w:w="768" w:type="dxa"/>
            <w:tcBorders>
              <w:top w:val="nil"/>
              <w:left w:val="nil"/>
              <w:bottom w:val="nil"/>
              <w:right w:val="nil"/>
            </w:tcBorders>
            <w:shd w:val="clear" w:color="auto" w:fill="auto"/>
            <w:noWrap/>
            <w:vAlign w:val="bottom"/>
            <w:hideMark/>
          </w:tcPr>
          <w:p w14:paraId="1C8CB3D5" w14:textId="77777777" w:rsidR="00432B71" w:rsidRDefault="00432B71" w:rsidP="005A3B4D">
            <w:pPr>
              <w:jc w:val="right"/>
              <w:rPr>
                <w:color w:val="000000"/>
                <w:sz w:val="20"/>
                <w:szCs w:val="20"/>
              </w:rPr>
            </w:pPr>
            <w:r>
              <w:rPr>
                <w:color w:val="000000"/>
                <w:sz w:val="20"/>
                <w:szCs w:val="20"/>
              </w:rPr>
              <w:t>0.003</w:t>
            </w:r>
          </w:p>
        </w:tc>
      </w:tr>
      <w:tr w:rsidR="00432B71" w14:paraId="2C38940C"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758A0548"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AF99B22"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4C14A7B" w14:textId="77777777" w:rsidR="00432B71" w:rsidRDefault="00432B71" w:rsidP="005A3B4D">
            <w:pPr>
              <w:jc w:val="right"/>
              <w:rPr>
                <w:color w:val="000000"/>
                <w:sz w:val="20"/>
                <w:szCs w:val="20"/>
              </w:rPr>
            </w:pPr>
            <w:r>
              <w:rPr>
                <w:color w:val="000000"/>
                <w:sz w:val="20"/>
                <w:szCs w:val="20"/>
              </w:rPr>
              <w:t>-0.049</w:t>
            </w:r>
          </w:p>
        </w:tc>
        <w:tc>
          <w:tcPr>
            <w:tcW w:w="768" w:type="dxa"/>
            <w:tcBorders>
              <w:top w:val="nil"/>
              <w:left w:val="nil"/>
              <w:bottom w:val="single" w:sz="4" w:space="0" w:color="auto"/>
              <w:right w:val="nil"/>
            </w:tcBorders>
            <w:shd w:val="clear" w:color="auto" w:fill="auto"/>
            <w:noWrap/>
            <w:vAlign w:val="bottom"/>
            <w:hideMark/>
          </w:tcPr>
          <w:p w14:paraId="6653366F" w14:textId="77777777" w:rsidR="00432B71" w:rsidRDefault="00432B71" w:rsidP="005A3B4D">
            <w:pPr>
              <w:jc w:val="right"/>
              <w:rPr>
                <w:color w:val="000000"/>
                <w:sz w:val="20"/>
                <w:szCs w:val="20"/>
              </w:rPr>
            </w:pPr>
            <w:r>
              <w:rPr>
                <w:color w:val="000000"/>
                <w:sz w:val="20"/>
                <w:szCs w:val="20"/>
              </w:rPr>
              <w:t>0.690</w:t>
            </w:r>
          </w:p>
        </w:tc>
        <w:tc>
          <w:tcPr>
            <w:tcW w:w="768" w:type="dxa"/>
            <w:tcBorders>
              <w:top w:val="nil"/>
              <w:left w:val="nil"/>
              <w:bottom w:val="single" w:sz="4" w:space="0" w:color="auto"/>
              <w:right w:val="nil"/>
            </w:tcBorders>
            <w:shd w:val="clear" w:color="auto" w:fill="auto"/>
            <w:noWrap/>
            <w:vAlign w:val="bottom"/>
            <w:hideMark/>
          </w:tcPr>
          <w:p w14:paraId="215C33C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93BA2B3" w14:textId="77777777" w:rsidR="00432B71" w:rsidRDefault="00432B71" w:rsidP="005A3B4D">
            <w:pPr>
              <w:jc w:val="right"/>
              <w:rPr>
                <w:b/>
                <w:bCs/>
                <w:color w:val="000000"/>
                <w:sz w:val="20"/>
                <w:szCs w:val="20"/>
              </w:rPr>
            </w:pPr>
            <w:r>
              <w:rPr>
                <w:color w:val="000000"/>
                <w:sz w:val="20"/>
                <w:szCs w:val="20"/>
              </w:rPr>
              <w:t>0.102</w:t>
            </w:r>
          </w:p>
        </w:tc>
        <w:tc>
          <w:tcPr>
            <w:tcW w:w="768" w:type="dxa"/>
            <w:tcBorders>
              <w:top w:val="nil"/>
              <w:left w:val="nil"/>
              <w:bottom w:val="single" w:sz="4" w:space="0" w:color="auto"/>
              <w:right w:val="nil"/>
            </w:tcBorders>
            <w:shd w:val="clear" w:color="auto" w:fill="auto"/>
            <w:noWrap/>
            <w:vAlign w:val="bottom"/>
            <w:hideMark/>
          </w:tcPr>
          <w:p w14:paraId="2FDD9075" w14:textId="77777777" w:rsidR="00432B71" w:rsidRDefault="00432B71" w:rsidP="005A3B4D">
            <w:pPr>
              <w:jc w:val="right"/>
              <w:rPr>
                <w:b/>
                <w:bCs/>
                <w:color w:val="000000"/>
                <w:sz w:val="20"/>
                <w:szCs w:val="20"/>
              </w:rPr>
            </w:pPr>
            <w:r>
              <w:rPr>
                <w:color w:val="000000"/>
                <w:sz w:val="20"/>
                <w:szCs w:val="20"/>
              </w:rPr>
              <w:t>0.056</w:t>
            </w:r>
          </w:p>
        </w:tc>
        <w:tc>
          <w:tcPr>
            <w:tcW w:w="768" w:type="dxa"/>
            <w:tcBorders>
              <w:top w:val="nil"/>
              <w:left w:val="nil"/>
              <w:bottom w:val="single" w:sz="4" w:space="0" w:color="auto"/>
              <w:right w:val="nil"/>
            </w:tcBorders>
            <w:shd w:val="clear" w:color="auto" w:fill="auto"/>
            <w:noWrap/>
            <w:vAlign w:val="bottom"/>
            <w:hideMark/>
          </w:tcPr>
          <w:p w14:paraId="61FBB3C4"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102C4930" w14:textId="77777777" w:rsidR="00432B71" w:rsidRDefault="00432B71" w:rsidP="005A3B4D">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0E0067E5" w14:textId="77777777" w:rsidR="00432B71" w:rsidRDefault="00432B71" w:rsidP="005A3B4D">
            <w:pPr>
              <w:jc w:val="right"/>
              <w:rPr>
                <w:color w:val="000000"/>
                <w:sz w:val="20"/>
                <w:szCs w:val="20"/>
              </w:rPr>
            </w:pPr>
            <w:r>
              <w:rPr>
                <w:color w:val="000000"/>
                <w:sz w:val="20"/>
                <w:szCs w:val="20"/>
              </w:rPr>
              <w:t>0.573</w:t>
            </w:r>
          </w:p>
        </w:tc>
        <w:tc>
          <w:tcPr>
            <w:tcW w:w="768" w:type="dxa"/>
            <w:tcBorders>
              <w:top w:val="nil"/>
              <w:left w:val="nil"/>
              <w:bottom w:val="single" w:sz="4" w:space="0" w:color="auto"/>
              <w:right w:val="nil"/>
            </w:tcBorders>
            <w:shd w:val="clear" w:color="auto" w:fill="auto"/>
            <w:noWrap/>
            <w:vAlign w:val="bottom"/>
            <w:hideMark/>
          </w:tcPr>
          <w:p w14:paraId="409E6B2C"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8824C8E"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59BFA7B2" w14:textId="77777777" w:rsidR="00432B71" w:rsidRDefault="00432B71" w:rsidP="005A3B4D">
            <w:pPr>
              <w:jc w:val="right"/>
              <w:rPr>
                <w:color w:val="000000"/>
                <w:sz w:val="20"/>
                <w:szCs w:val="20"/>
              </w:rPr>
            </w:pPr>
            <w:r>
              <w:rPr>
                <w:color w:val="000000"/>
                <w:sz w:val="20"/>
                <w:szCs w:val="20"/>
              </w:rPr>
              <w:t>0.815</w:t>
            </w:r>
          </w:p>
        </w:tc>
        <w:tc>
          <w:tcPr>
            <w:tcW w:w="768" w:type="dxa"/>
            <w:tcBorders>
              <w:top w:val="nil"/>
              <w:left w:val="nil"/>
              <w:bottom w:val="single" w:sz="4" w:space="0" w:color="auto"/>
              <w:right w:val="nil"/>
            </w:tcBorders>
            <w:shd w:val="clear" w:color="auto" w:fill="auto"/>
            <w:noWrap/>
            <w:vAlign w:val="bottom"/>
            <w:hideMark/>
          </w:tcPr>
          <w:p w14:paraId="289135C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5C8CC29"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634D3BED" w14:textId="77777777" w:rsidR="00432B71" w:rsidRDefault="00432B71" w:rsidP="005A3B4D">
            <w:pPr>
              <w:jc w:val="right"/>
              <w:rPr>
                <w:color w:val="000000"/>
                <w:sz w:val="20"/>
                <w:szCs w:val="20"/>
              </w:rPr>
            </w:pPr>
            <w:r>
              <w:rPr>
                <w:color w:val="000000"/>
                <w:sz w:val="20"/>
                <w:szCs w:val="20"/>
              </w:rPr>
              <w:t>0.928</w:t>
            </w:r>
          </w:p>
        </w:tc>
        <w:tc>
          <w:tcPr>
            <w:tcW w:w="768" w:type="dxa"/>
            <w:tcBorders>
              <w:top w:val="nil"/>
              <w:left w:val="nil"/>
              <w:bottom w:val="single" w:sz="4" w:space="0" w:color="auto"/>
              <w:right w:val="nil"/>
            </w:tcBorders>
            <w:shd w:val="clear" w:color="auto" w:fill="auto"/>
            <w:noWrap/>
            <w:vAlign w:val="bottom"/>
            <w:hideMark/>
          </w:tcPr>
          <w:p w14:paraId="2500D6AE" w14:textId="77777777" w:rsidR="00432B71" w:rsidRDefault="00432B71" w:rsidP="005A3B4D">
            <w:pPr>
              <w:jc w:val="right"/>
              <w:rPr>
                <w:color w:val="000000"/>
                <w:sz w:val="20"/>
                <w:szCs w:val="20"/>
              </w:rPr>
            </w:pPr>
            <w:r>
              <w:rPr>
                <w:color w:val="000000"/>
                <w:sz w:val="20"/>
                <w:szCs w:val="20"/>
              </w:rPr>
              <w:t>0.000</w:t>
            </w:r>
          </w:p>
        </w:tc>
      </w:tr>
      <w:tr w:rsidR="00432B71" w14:paraId="4BF19CF1" w14:textId="77777777" w:rsidTr="005A3B4D">
        <w:trPr>
          <w:trHeight w:val="320"/>
        </w:trPr>
        <w:tc>
          <w:tcPr>
            <w:tcW w:w="1176" w:type="dxa"/>
            <w:tcBorders>
              <w:top w:val="nil"/>
              <w:left w:val="nil"/>
              <w:bottom w:val="nil"/>
              <w:right w:val="nil"/>
            </w:tcBorders>
            <w:shd w:val="clear" w:color="auto" w:fill="auto"/>
            <w:noWrap/>
            <w:vAlign w:val="bottom"/>
            <w:hideMark/>
          </w:tcPr>
          <w:p w14:paraId="11946B1A" w14:textId="77777777" w:rsidR="00432B71" w:rsidRDefault="00432B71"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05DD76A7"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C1D8C9B" w14:textId="77777777" w:rsidR="00432B71" w:rsidRDefault="00432B71"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34A7E908" w14:textId="77777777" w:rsidR="00432B71" w:rsidRDefault="00432B71" w:rsidP="005A3B4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28A39FC4"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834DD19"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F12D915" w14:textId="77777777" w:rsidR="00432B71" w:rsidRDefault="00432B71" w:rsidP="005A3B4D">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611EBBA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125C12"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2630D49" w14:textId="77777777" w:rsidR="00432B71" w:rsidRDefault="00432B71" w:rsidP="005A3B4D">
            <w:pPr>
              <w:jc w:val="right"/>
              <w:rPr>
                <w:color w:val="000000"/>
                <w:sz w:val="20"/>
                <w:szCs w:val="20"/>
              </w:rPr>
            </w:pPr>
            <w:r>
              <w:rPr>
                <w:color w:val="000000"/>
                <w:sz w:val="20"/>
                <w:szCs w:val="20"/>
              </w:rPr>
              <w:t>0.930</w:t>
            </w:r>
          </w:p>
        </w:tc>
        <w:tc>
          <w:tcPr>
            <w:tcW w:w="768" w:type="dxa"/>
            <w:tcBorders>
              <w:top w:val="nil"/>
              <w:left w:val="nil"/>
              <w:bottom w:val="nil"/>
              <w:right w:val="nil"/>
            </w:tcBorders>
            <w:shd w:val="clear" w:color="auto" w:fill="auto"/>
            <w:noWrap/>
            <w:vAlign w:val="bottom"/>
            <w:hideMark/>
          </w:tcPr>
          <w:p w14:paraId="4D016EF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0B5545"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CD319DA" w14:textId="77777777" w:rsidR="00432B71" w:rsidRDefault="00432B71" w:rsidP="005A3B4D">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1993753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05BC71" w14:textId="77777777" w:rsidR="00432B71" w:rsidRDefault="00432B71"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7C1B0A9F" w14:textId="77777777" w:rsidR="00432B71" w:rsidRDefault="00432B71" w:rsidP="005A3B4D">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34737238" w14:textId="77777777" w:rsidR="00432B71" w:rsidRDefault="00432B71" w:rsidP="005A3B4D">
            <w:pPr>
              <w:jc w:val="right"/>
              <w:rPr>
                <w:color w:val="000000"/>
                <w:sz w:val="20"/>
                <w:szCs w:val="20"/>
              </w:rPr>
            </w:pPr>
            <w:r>
              <w:rPr>
                <w:color w:val="000000"/>
                <w:sz w:val="20"/>
                <w:szCs w:val="20"/>
              </w:rPr>
              <w:t>0.001</w:t>
            </w:r>
          </w:p>
        </w:tc>
      </w:tr>
      <w:tr w:rsidR="00432B71" w14:paraId="66D8E357" w14:textId="77777777" w:rsidTr="005A3B4D">
        <w:trPr>
          <w:trHeight w:val="320"/>
        </w:trPr>
        <w:tc>
          <w:tcPr>
            <w:tcW w:w="1176" w:type="dxa"/>
            <w:tcBorders>
              <w:top w:val="nil"/>
              <w:left w:val="nil"/>
              <w:bottom w:val="nil"/>
              <w:right w:val="nil"/>
            </w:tcBorders>
            <w:shd w:val="clear" w:color="auto" w:fill="auto"/>
            <w:noWrap/>
            <w:vAlign w:val="bottom"/>
            <w:hideMark/>
          </w:tcPr>
          <w:p w14:paraId="0F1EB826"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8B412E"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1503E1B" w14:textId="77777777" w:rsidR="00432B71" w:rsidRDefault="00432B71"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E6B54B7" w14:textId="77777777" w:rsidR="00432B71" w:rsidRDefault="00432B71" w:rsidP="005A3B4D">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769DF88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551935"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CB4D3F4" w14:textId="77777777" w:rsidR="00432B71" w:rsidRDefault="00432B71" w:rsidP="005A3B4D">
            <w:pPr>
              <w:jc w:val="right"/>
              <w:rPr>
                <w:color w:val="000000"/>
                <w:sz w:val="20"/>
                <w:szCs w:val="20"/>
              </w:rPr>
            </w:pPr>
            <w:r>
              <w:rPr>
                <w:color w:val="000000"/>
                <w:sz w:val="20"/>
                <w:szCs w:val="20"/>
              </w:rPr>
              <w:t>0.477</w:t>
            </w:r>
          </w:p>
        </w:tc>
        <w:tc>
          <w:tcPr>
            <w:tcW w:w="768" w:type="dxa"/>
            <w:tcBorders>
              <w:top w:val="nil"/>
              <w:left w:val="nil"/>
              <w:bottom w:val="nil"/>
              <w:right w:val="nil"/>
            </w:tcBorders>
            <w:shd w:val="clear" w:color="auto" w:fill="auto"/>
            <w:noWrap/>
            <w:vAlign w:val="bottom"/>
            <w:hideMark/>
          </w:tcPr>
          <w:p w14:paraId="50341F5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A3356D"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2459B38" w14:textId="77777777" w:rsidR="00432B71" w:rsidRDefault="00432B71" w:rsidP="005A3B4D">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2360A0A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00741F" w14:textId="77777777" w:rsidR="00432B71" w:rsidRDefault="00432B71"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2573A55A" w14:textId="77777777" w:rsidR="00432B71" w:rsidRDefault="00432B71" w:rsidP="005A3B4D">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609B2A3C"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BB03702" w14:textId="77777777" w:rsidR="00432B71" w:rsidRDefault="00432B71" w:rsidP="005A3B4D">
            <w:pPr>
              <w:jc w:val="right"/>
              <w:rPr>
                <w:b/>
                <w:bCs/>
                <w:color w:val="000000"/>
                <w:sz w:val="20"/>
                <w:szCs w:val="20"/>
              </w:rPr>
            </w:pPr>
            <w:r>
              <w:rPr>
                <w:b/>
                <w:bCs/>
                <w:color w:val="000000"/>
                <w:sz w:val="20"/>
                <w:szCs w:val="20"/>
              </w:rPr>
              <w:t>-0.094</w:t>
            </w:r>
          </w:p>
        </w:tc>
        <w:tc>
          <w:tcPr>
            <w:tcW w:w="768" w:type="dxa"/>
            <w:tcBorders>
              <w:top w:val="nil"/>
              <w:left w:val="nil"/>
              <w:bottom w:val="nil"/>
              <w:right w:val="nil"/>
            </w:tcBorders>
            <w:shd w:val="clear" w:color="auto" w:fill="auto"/>
            <w:noWrap/>
            <w:vAlign w:val="bottom"/>
            <w:hideMark/>
          </w:tcPr>
          <w:p w14:paraId="723B2130" w14:textId="77777777" w:rsidR="00432B71" w:rsidRDefault="00432B7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17529FE" w14:textId="77777777" w:rsidR="00432B71" w:rsidRDefault="00432B71" w:rsidP="005A3B4D">
            <w:pPr>
              <w:jc w:val="right"/>
              <w:rPr>
                <w:color w:val="000000"/>
                <w:sz w:val="20"/>
                <w:szCs w:val="20"/>
              </w:rPr>
            </w:pPr>
            <w:r>
              <w:rPr>
                <w:b/>
                <w:bCs/>
                <w:color w:val="000000"/>
                <w:sz w:val="20"/>
                <w:szCs w:val="20"/>
              </w:rPr>
              <w:t>0.009</w:t>
            </w:r>
          </w:p>
        </w:tc>
      </w:tr>
      <w:tr w:rsidR="00432B71" w14:paraId="4E142005" w14:textId="77777777" w:rsidTr="005A3B4D">
        <w:trPr>
          <w:trHeight w:val="320"/>
        </w:trPr>
        <w:tc>
          <w:tcPr>
            <w:tcW w:w="1176" w:type="dxa"/>
            <w:tcBorders>
              <w:top w:val="nil"/>
              <w:left w:val="nil"/>
              <w:bottom w:val="nil"/>
              <w:right w:val="nil"/>
            </w:tcBorders>
            <w:shd w:val="clear" w:color="auto" w:fill="auto"/>
            <w:noWrap/>
            <w:vAlign w:val="bottom"/>
            <w:hideMark/>
          </w:tcPr>
          <w:p w14:paraId="29967A4A"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DE4220"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59B85EA" w14:textId="77777777" w:rsidR="00432B71" w:rsidRDefault="00432B71"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7A6D3600" w14:textId="77777777" w:rsidR="00432B71" w:rsidRDefault="00432B71"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4ABD8F97"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53A7BC7" w14:textId="77777777" w:rsidR="00432B71" w:rsidRDefault="00432B71"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0FAB7F07" w14:textId="77777777" w:rsidR="00432B71" w:rsidRDefault="00432B71" w:rsidP="005A3B4D">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4134DB14"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3C55633"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488A463" w14:textId="77777777" w:rsidR="00432B71" w:rsidRDefault="00432B71" w:rsidP="005A3B4D">
            <w:pPr>
              <w:jc w:val="right"/>
              <w:rPr>
                <w:color w:val="000000"/>
                <w:sz w:val="20"/>
                <w:szCs w:val="20"/>
              </w:rPr>
            </w:pPr>
            <w:r>
              <w:rPr>
                <w:color w:val="000000"/>
                <w:sz w:val="20"/>
                <w:szCs w:val="20"/>
              </w:rPr>
              <w:t>0.633</w:t>
            </w:r>
          </w:p>
        </w:tc>
        <w:tc>
          <w:tcPr>
            <w:tcW w:w="768" w:type="dxa"/>
            <w:tcBorders>
              <w:top w:val="nil"/>
              <w:left w:val="nil"/>
              <w:bottom w:val="nil"/>
              <w:right w:val="nil"/>
            </w:tcBorders>
            <w:shd w:val="clear" w:color="auto" w:fill="auto"/>
            <w:noWrap/>
            <w:vAlign w:val="bottom"/>
            <w:hideMark/>
          </w:tcPr>
          <w:p w14:paraId="69175D3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5F7BAB" w14:textId="77777777" w:rsidR="00432B71" w:rsidRDefault="00432B71" w:rsidP="005A3B4D">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2A18188D" w14:textId="77777777" w:rsidR="00432B71" w:rsidRDefault="00432B71"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7972B35C"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057BDF8" w14:textId="77777777" w:rsidR="00432B71" w:rsidRDefault="00432B7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11F9C27" w14:textId="77777777" w:rsidR="00432B71" w:rsidRDefault="00432B71" w:rsidP="005A3B4D">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34B63B77" w14:textId="77777777" w:rsidR="00432B71" w:rsidRDefault="00432B71" w:rsidP="005A3B4D">
            <w:pPr>
              <w:jc w:val="right"/>
              <w:rPr>
                <w:color w:val="000000"/>
                <w:sz w:val="20"/>
                <w:szCs w:val="20"/>
              </w:rPr>
            </w:pPr>
            <w:r>
              <w:rPr>
                <w:color w:val="000000"/>
                <w:sz w:val="20"/>
                <w:szCs w:val="20"/>
              </w:rPr>
              <w:t>0.001</w:t>
            </w:r>
          </w:p>
        </w:tc>
      </w:tr>
      <w:tr w:rsidR="00432B71" w14:paraId="26EDCBC2" w14:textId="77777777" w:rsidTr="005A3B4D">
        <w:trPr>
          <w:trHeight w:val="320"/>
        </w:trPr>
        <w:tc>
          <w:tcPr>
            <w:tcW w:w="1176" w:type="dxa"/>
            <w:tcBorders>
              <w:top w:val="nil"/>
              <w:left w:val="nil"/>
              <w:bottom w:val="nil"/>
              <w:right w:val="nil"/>
            </w:tcBorders>
            <w:shd w:val="clear" w:color="auto" w:fill="auto"/>
            <w:noWrap/>
            <w:vAlign w:val="bottom"/>
            <w:hideMark/>
          </w:tcPr>
          <w:p w14:paraId="751D3259"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C217046"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9DD15A8"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21949AFC" w14:textId="77777777" w:rsidR="00432B71" w:rsidRDefault="00432B71" w:rsidP="005A3B4D">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5D0A7DE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8DD8C4" w14:textId="77777777" w:rsidR="00432B71" w:rsidRDefault="00432B71"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3AC1D815" w14:textId="77777777" w:rsidR="00432B71" w:rsidRDefault="00432B71" w:rsidP="005A3B4D">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398B614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3202E8C" w14:textId="77777777" w:rsidR="00432B71" w:rsidRDefault="00432B71"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74A68274" w14:textId="77777777" w:rsidR="00432B71" w:rsidRDefault="00432B71" w:rsidP="005A3B4D">
            <w:pPr>
              <w:jc w:val="right"/>
              <w:rPr>
                <w:color w:val="000000"/>
                <w:sz w:val="20"/>
                <w:szCs w:val="20"/>
              </w:rPr>
            </w:pPr>
            <w:r>
              <w:rPr>
                <w:color w:val="000000"/>
                <w:sz w:val="20"/>
                <w:szCs w:val="20"/>
              </w:rPr>
              <w:t>0.323</w:t>
            </w:r>
          </w:p>
        </w:tc>
        <w:tc>
          <w:tcPr>
            <w:tcW w:w="768" w:type="dxa"/>
            <w:tcBorders>
              <w:top w:val="nil"/>
              <w:left w:val="nil"/>
              <w:bottom w:val="nil"/>
              <w:right w:val="nil"/>
            </w:tcBorders>
            <w:shd w:val="clear" w:color="auto" w:fill="auto"/>
            <w:noWrap/>
            <w:vAlign w:val="bottom"/>
            <w:hideMark/>
          </w:tcPr>
          <w:p w14:paraId="32E794ED"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9491A71"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48852CC" w14:textId="77777777" w:rsidR="00432B71" w:rsidRDefault="00432B71" w:rsidP="005A3B4D">
            <w:pPr>
              <w:jc w:val="right"/>
              <w:rPr>
                <w:color w:val="000000"/>
                <w:sz w:val="20"/>
                <w:szCs w:val="20"/>
              </w:rPr>
            </w:pPr>
            <w:r>
              <w:rPr>
                <w:color w:val="000000"/>
                <w:sz w:val="20"/>
                <w:szCs w:val="20"/>
              </w:rPr>
              <w:t>0.739</w:t>
            </w:r>
          </w:p>
        </w:tc>
        <w:tc>
          <w:tcPr>
            <w:tcW w:w="768" w:type="dxa"/>
            <w:tcBorders>
              <w:top w:val="nil"/>
              <w:left w:val="nil"/>
              <w:bottom w:val="nil"/>
              <w:right w:val="nil"/>
            </w:tcBorders>
            <w:shd w:val="clear" w:color="auto" w:fill="auto"/>
            <w:noWrap/>
            <w:vAlign w:val="bottom"/>
            <w:hideMark/>
          </w:tcPr>
          <w:p w14:paraId="7CDD056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24D0C1"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D6946AC" w14:textId="77777777" w:rsidR="00432B71" w:rsidRDefault="00432B71" w:rsidP="005A3B4D">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1AC8DDB3" w14:textId="77777777" w:rsidR="00432B71" w:rsidRDefault="00432B71" w:rsidP="005A3B4D">
            <w:pPr>
              <w:jc w:val="right"/>
              <w:rPr>
                <w:color w:val="000000"/>
                <w:sz w:val="20"/>
                <w:szCs w:val="20"/>
              </w:rPr>
            </w:pPr>
            <w:r>
              <w:rPr>
                <w:color w:val="000000"/>
                <w:sz w:val="20"/>
                <w:szCs w:val="20"/>
              </w:rPr>
              <w:t>0.001</w:t>
            </w:r>
          </w:p>
        </w:tc>
      </w:tr>
      <w:tr w:rsidR="00432B71" w14:paraId="25CB073E" w14:textId="77777777" w:rsidTr="005A3B4D">
        <w:trPr>
          <w:trHeight w:val="320"/>
        </w:trPr>
        <w:tc>
          <w:tcPr>
            <w:tcW w:w="1176" w:type="dxa"/>
            <w:tcBorders>
              <w:top w:val="nil"/>
              <w:left w:val="nil"/>
              <w:bottom w:val="nil"/>
              <w:right w:val="nil"/>
            </w:tcBorders>
            <w:shd w:val="clear" w:color="auto" w:fill="auto"/>
            <w:noWrap/>
            <w:vAlign w:val="bottom"/>
            <w:hideMark/>
          </w:tcPr>
          <w:p w14:paraId="0BAEA001"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53D07A0"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15A66FB" w14:textId="77777777" w:rsidR="00432B71" w:rsidRDefault="00432B71"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42D8D91" w14:textId="77777777" w:rsidR="00432B71" w:rsidRDefault="00432B71"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329CBA1C"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9C941F" w14:textId="77777777" w:rsidR="00432B71" w:rsidRDefault="00432B71" w:rsidP="005A3B4D">
            <w:pPr>
              <w:jc w:val="right"/>
              <w:rPr>
                <w:color w:val="000000"/>
                <w:sz w:val="20"/>
                <w:szCs w:val="20"/>
              </w:rPr>
            </w:pPr>
            <w:r>
              <w:rPr>
                <w:b/>
                <w:bCs/>
                <w:color w:val="000000"/>
                <w:sz w:val="20"/>
                <w:szCs w:val="20"/>
              </w:rPr>
              <w:t>-0.068</w:t>
            </w:r>
          </w:p>
        </w:tc>
        <w:tc>
          <w:tcPr>
            <w:tcW w:w="768" w:type="dxa"/>
            <w:tcBorders>
              <w:top w:val="nil"/>
              <w:left w:val="nil"/>
              <w:bottom w:val="nil"/>
              <w:right w:val="nil"/>
            </w:tcBorders>
            <w:shd w:val="clear" w:color="auto" w:fill="auto"/>
            <w:noWrap/>
            <w:vAlign w:val="bottom"/>
            <w:hideMark/>
          </w:tcPr>
          <w:p w14:paraId="2EEB3BD6" w14:textId="77777777" w:rsidR="00432B71" w:rsidRDefault="00432B71" w:rsidP="005A3B4D">
            <w:pPr>
              <w:jc w:val="right"/>
              <w:rPr>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11633AAA" w14:textId="77777777" w:rsidR="00432B71" w:rsidRDefault="00432B71" w:rsidP="005A3B4D">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26CE4EE5"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53B57770" w14:textId="77777777" w:rsidR="00432B71" w:rsidRDefault="00432B71" w:rsidP="005A3B4D">
            <w:pPr>
              <w:jc w:val="right"/>
              <w:rPr>
                <w:color w:val="000000"/>
                <w:sz w:val="20"/>
                <w:szCs w:val="20"/>
              </w:rPr>
            </w:pPr>
            <w:r>
              <w:rPr>
                <w:color w:val="000000"/>
                <w:sz w:val="20"/>
                <w:szCs w:val="20"/>
              </w:rPr>
              <w:t>0.323</w:t>
            </w:r>
          </w:p>
        </w:tc>
        <w:tc>
          <w:tcPr>
            <w:tcW w:w="768" w:type="dxa"/>
            <w:tcBorders>
              <w:top w:val="nil"/>
              <w:left w:val="nil"/>
              <w:bottom w:val="nil"/>
              <w:right w:val="nil"/>
            </w:tcBorders>
            <w:shd w:val="clear" w:color="auto" w:fill="auto"/>
            <w:noWrap/>
            <w:vAlign w:val="bottom"/>
            <w:hideMark/>
          </w:tcPr>
          <w:p w14:paraId="73B3F22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5CD226"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8F6E6E0" w14:textId="77777777" w:rsidR="00432B71" w:rsidRDefault="00432B71" w:rsidP="005A3B4D">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13040ED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BB3F48" w14:textId="77777777" w:rsidR="00432B71" w:rsidRDefault="00432B71" w:rsidP="005A3B4D">
            <w:pPr>
              <w:jc w:val="right"/>
              <w:rPr>
                <w:b/>
                <w:bCs/>
                <w:color w:val="000000"/>
                <w:sz w:val="20"/>
                <w:szCs w:val="20"/>
              </w:rPr>
            </w:pPr>
            <w:r>
              <w:rPr>
                <w:b/>
                <w:bCs/>
                <w:color w:val="000000"/>
                <w:sz w:val="20"/>
                <w:szCs w:val="20"/>
              </w:rPr>
              <w:t>-0.077</w:t>
            </w:r>
          </w:p>
        </w:tc>
        <w:tc>
          <w:tcPr>
            <w:tcW w:w="768" w:type="dxa"/>
            <w:tcBorders>
              <w:top w:val="nil"/>
              <w:left w:val="nil"/>
              <w:bottom w:val="nil"/>
              <w:right w:val="nil"/>
            </w:tcBorders>
            <w:shd w:val="clear" w:color="auto" w:fill="auto"/>
            <w:noWrap/>
            <w:vAlign w:val="bottom"/>
            <w:hideMark/>
          </w:tcPr>
          <w:p w14:paraId="33775E76" w14:textId="77777777" w:rsidR="00432B71" w:rsidRDefault="00432B71" w:rsidP="005A3B4D">
            <w:pPr>
              <w:jc w:val="right"/>
              <w:rPr>
                <w:b/>
                <w:bCs/>
                <w:color w:val="000000"/>
                <w:sz w:val="20"/>
                <w:szCs w:val="20"/>
              </w:rPr>
            </w:pPr>
            <w:r>
              <w:rPr>
                <w:b/>
                <w:bCs/>
                <w:color w:val="000000"/>
                <w:sz w:val="20"/>
                <w:szCs w:val="20"/>
              </w:rPr>
              <w:t>0.020</w:t>
            </w:r>
          </w:p>
        </w:tc>
        <w:tc>
          <w:tcPr>
            <w:tcW w:w="768" w:type="dxa"/>
            <w:tcBorders>
              <w:top w:val="nil"/>
              <w:left w:val="nil"/>
              <w:bottom w:val="nil"/>
              <w:right w:val="nil"/>
            </w:tcBorders>
            <w:shd w:val="clear" w:color="auto" w:fill="auto"/>
            <w:noWrap/>
            <w:vAlign w:val="bottom"/>
            <w:hideMark/>
          </w:tcPr>
          <w:p w14:paraId="056F9C47" w14:textId="77777777" w:rsidR="00432B71" w:rsidRDefault="00432B71" w:rsidP="005A3B4D">
            <w:pPr>
              <w:jc w:val="right"/>
              <w:rPr>
                <w:color w:val="000000"/>
                <w:sz w:val="20"/>
                <w:szCs w:val="20"/>
              </w:rPr>
            </w:pPr>
            <w:r>
              <w:rPr>
                <w:b/>
                <w:bCs/>
                <w:color w:val="000000"/>
                <w:sz w:val="20"/>
                <w:szCs w:val="20"/>
              </w:rPr>
              <w:t>0.006</w:t>
            </w:r>
          </w:p>
        </w:tc>
      </w:tr>
      <w:tr w:rsidR="00432B71" w14:paraId="1184D720" w14:textId="77777777" w:rsidTr="005A3B4D">
        <w:trPr>
          <w:trHeight w:val="320"/>
        </w:trPr>
        <w:tc>
          <w:tcPr>
            <w:tcW w:w="1176" w:type="dxa"/>
            <w:tcBorders>
              <w:top w:val="nil"/>
              <w:left w:val="nil"/>
              <w:bottom w:val="nil"/>
              <w:right w:val="nil"/>
            </w:tcBorders>
            <w:shd w:val="clear" w:color="auto" w:fill="auto"/>
            <w:noWrap/>
            <w:vAlign w:val="bottom"/>
            <w:hideMark/>
          </w:tcPr>
          <w:p w14:paraId="78E198E1"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B2FB42"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A5DCED8" w14:textId="77777777" w:rsidR="00432B71" w:rsidRDefault="00432B71"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0BD51355" w14:textId="77777777" w:rsidR="00432B71" w:rsidRDefault="00432B71" w:rsidP="005A3B4D">
            <w:pPr>
              <w:jc w:val="right"/>
              <w:rPr>
                <w:color w:val="000000"/>
                <w:sz w:val="20"/>
                <w:szCs w:val="20"/>
              </w:rPr>
            </w:pPr>
            <w:r>
              <w:rPr>
                <w:color w:val="000000"/>
                <w:sz w:val="20"/>
                <w:szCs w:val="20"/>
              </w:rPr>
              <w:t>0.155</w:t>
            </w:r>
          </w:p>
        </w:tc>
        <w:tc>
          <w:tcPr>
            <w:tcW w:w="768" w:type="dxa"/>
            <w:tcBorders>
              <w:top w:val="nil"/>
              <w:left w:val="nil"/>
              <w:bottom w:val="nil"/>
              <w:right w:val="nil"/>
            </w:tcBorders>
            <w:shd w:val="clear" w:color="auto" w:fill="auto"/>
            <w:noWrap/>
            <w:vAlign w:val="bottom"/>
            <w:hideMark/>
          </w:tcPr>
          <w:p w14:paraId="08536CB7"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37E4AE0"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F0B352A" w14:textId="77777777" w:rsidR="00432B71" w:rsidRDefault="00432B71" w:rsidP="005A3B4D">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0C03522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740127"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5B5D2496" w14:textId="77777777" w:rsidR="00432B71" w:rsidRDefault="00432B71" w:rsidP="005A3B4D">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1F516C3B"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B1CFD4"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6D7EBAED" w14:textId="77777777" w:rsidR="00432B71" w:rsidRDefault="00432B71" w:rsidP="005A3B4D">
            <w:pPr>
              <w:jc w:val="right"/>
              <w:rPr>
                <w:color w:val="000000"/>
                <w:sz w:val="20"/>
                <w:szCs w:val="20"/>
              </w:rPr>
            </w:pPr>
            <w:r>
              <w:rPr>
                <w:color w:val="000000"/>
                <w:sz w:val="20"/>
                <w:szCs w:val="20"/>
              </w:rPr>
              <w:t>0.739</w:t>
            </w:r>
          </w:p>
        </w:tc>
        <w:tc>
          <w:tcPr>
            <w:tcW w:w="768" w:type="dxa"/>
            <w:tcBorders>
              <w:top w:val="nil"/>
              <w:left w:val="nil"/>
              <w:bottom w:val="nil"/>
              <w:right w:val="nil"/>
            </w:tcBorders>
            <w:shd w:val="clear" w:color="auto" w:fill="auto"/>
            <w:noWrap/>
            <w:vAlign w:val="bottom"/>
            <w:hideMark/>
          </w:tcPr>
          <w:p w14:paraId="31D5F7C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906E47"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7E38ED4" w14:textId="77777777" w:rsidR="00432B71" w:rsidRDefault="00432B71" w:rsidP="005A3B4D">
            <w:pPr>
              <w:jc w:val="right"/>
              <w:rPr>
                <w:color w:val="000000"/>
                <w:sz w:val="20"/>
                <w:szCs w:val="20"/>
              </w:rPr>
            </w:pPr>
            <w:r>
              <w:rPr>
                <w:color w:val="000000"/>
                <w:sz w:val="20"/>
                <w:szCs w:val="20"/>
              </w:rPr>
              <w:t>0.838</w:t>
            </w:r>
          </w:p>
        </w:tc>
        <w:tc>
          <w:tcPr>
            <w:tcW w:w="768" w:type="dxa"/>
            <w:tcBorders>
              <w:top w:val="nil"/>
              <w:left w:val="nil"/>
              <w:bottom w:val="nil"/>
              <w:right w:val="nil"/>
            </w:tcBorders>
            <w:shd w:val="clear" w:color="auto" w:fill="auto"/>
            <w:noWrap/>
            <w:vAlign w:val="bottom"/>
            <w:hideMark/>
          </w:tcPr>
          <w:p w14:paraId="4FEB50BA" w14:textId="77777777" w:rsidR="00432B71" w:rsidRDefault="00432B71" w:rsidP="005A3B4D">
            <w:pPr>
              <w:jc w:val="right"/>
              <w:rPr>
                <w:color w:val="000000"/>
                <w:sz w:val="20"/>
                <w:szCs w:val="20"/>
              </w:rPr>
            </w:pPr>
            <w:r>
              <w:rPr>
                <w:color w:val="000000"/>
                <w:sz w:val="20"/>
                <w:szCs w:val="20"/>
              </w:rPr>
              <w:t>0.000</w:t>
            </w:r>
          </w:p>
        </w:tc>
      </w:tr>
      <w:tr w:rsidR="00432B71" w14:paraId="3EBD2151" w14:textId="77777777" w:rsidTr="005A3B4D">
        <w:trPr>
          <w:trHeight w:val="320"/>
        </w:trPr>
        <w:tc>
          <w:tcPr>
            <w:tcW w:w="1176" w:type="dxa"/>
            <w:tcBorders>
              <w:top w:val="nil"/>
              <w:left w:val="nil"/>
              <w:bottom w:val="nil"/>
              <w:right w:val="nil"/>
            </w:tcBorders>
            <w:shd w:val="clear" w:color="auto" w:fill="auto"/>
            <w:noWrap/>
            <w:vAlign w:val="bottom"/>
            <w:hideMark/>
          </w:tcPr>
          <w:p w14:paraId="303D9B27"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75E74E"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43787C2" w14:textId="77777777" w:rsidR="00432B71" w:rsidRDefault="00432B7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15FF0F2" w14:textId="77777777" w:rsidR="00432B71" w:rsidRDefault="00432B71"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68AB5B17"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0D25FC5"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1B0B6F2" w14:textId="77777777" w:rsidR="00432B71" w:rsidRDefault="00432B71" w:rsidP="005A3B4D">
            <w:pPr>
              <w:jc w:val="right"/>
              <w:rPr>
                <w:color w:val="000000"/>
                <w:sz w:val="20"/>
                <w:szCs w:val="20"/>
              </w:rPr>
            </w:pPr>
            <w:r>
              <w:rPr>
                <w:color w:val="000000"/>
                <w:sz w:val="20"/>
                <w:szCs w:val="20"/>
              </w:rPr>
              <w:t>0.477</w:t>
            </w:r>
          </w:p>
        </w:tc>
        <w:tc>
          <w:tcPr>
            <w:tcW w:w="768" w:type="dxa"/>
            <w:tcBorders>
              <w:top w:val="nil"/>
              <w:left w:val="nil"/>
              <w:bottom w:val="nil"/>
              <w:right w:val="nil"/>
            </w:tcBorders>
            <w:shd w:val="clear" w:color="auto" w:fill="auto"/>
            <w:noWrap/>
            <w:vAlign w:val="bottom"/>
            <w:hideMark/>
          </w:tcPr>
          <w:p w14:paraId="23674C77"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ED3018" w14:textId="77777777" w:rsidR="00432B71" w:rsidRDefault="00432B71"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25AF1C5" w14:textId="77777777" w:rsidR="00432B71" w:rsidRDefault="00432B71"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35F9DF5E"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DFAF9F5" w14:textId="77777777" w:rsidR="00432B71" w:rsidRDefault="00432B7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053F98E" w14:textId="77777777" w:rsidR="00432B71" w:rsidRDefault="00432B71"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2099965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F29C566"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086B791" w14:textId="77777777" w:rsidR="00432B71" w:rsidRDefault="00432B71" w:rsidP="005A3B4D">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0B3D0388" w14:textId="77777777" w:rsidR="00432B71" w:rsidRDefault="00432B71" w:rsidP="005A3B4D">
            <w:pPr>
              <w:jc w:val="right"/>
              <w:rPr>
                <w:color w:val="000000"/>
                <w:sz w:val="20"/>
                <w:szCs w:val="20"/>
              </w:rPr>
            </w:pPr>
            <w:r>
              <w:rPr>
                <w:color w:val="000000"/>
                <w:sz w:val="20"/>
                <w:szCs w:val="20"/>
              </w:rPr>
              <w:t>0.001</w:t>
            </w:r>
          </w:p>
        </w:tc>
      </w:tr>
      <w:tr w:rsidR="00432B71" w14:paraId="18A2CF9C"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78B40101"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C9788BD"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C657A6C" w14:textId="77777777" w:rsidR="00432B71" w:rsidRDefault="00432B71" w:rsidP="005A3B4D">
            <w:pPr>
              <w:jc w:val="right"/>
              <w:rPr>
                <w:color w:val="000000"/>
                <w:sz w:val="20"/>
                <w:szCs w:val="20"/>
              </w:rPr>
            </w:pPr>
            <w:r>
              <w:rPr>
                <w:color w:val="000000"/>
                <w:sz w:val="20"/>
                <w:szCs w:val="20"/>
              </w:rPr>
              <w:t>-0.070</w:t>
            </w:r>
          </w:p>
        </w:tc>
        <w:tc>
          <w:tcPr>
            <w:tcW w:w="768" w:type="dxa"/>
            <w:tcBorders>
              <w:top w:val="nil"/>
              <w:left w:val="nil"/>
              <w:bottom w:val="single" w:sz="4" w:space="0" w:color="auto"/>
              <w:right w:val="nil"/>
            </w:tcBorders>
            <w:shd w:val="clear" w:color="auto" w:fill="auto"/>
            <w:noWrap/>
            <w:vAlign w:val="bottom"/>
            <w:hideMark/>
          </w:tcPr>
          <w:p w14:paraId="6C16712D" w14:textId="77777777" w:rsidR="00432B71" w:rsidRDefault="00432B71" w:rsidP="005A3B4D">
            <w:pPr>
              <w:jc w:val="right"/>
              <w:rPr>
                <w:color w:val="000000"/>
                <w:sz w:val="20"/>
                <w:szCs w:val="20"/>
              </w:rPr>
            </w:pPr>
            <w:r>
              <w:rPr>
                <w:color w:val="000000"/>
                <w:sz w:val="20"/>
                <w:szCs w:val="20"/>
              </w:rPr>
              <w:t>0.068</w:t>
            </w:r>
          </w:p>
        </w:tc>
        <w:tc>
          <w:tcPr>
            <w:tcW w:w="768" w:type="dxa"/>
            <w:tcBorders>
              <w:top w:val="nil"/>
              <w:left w:val="nil"/>
              <w:bottom w:val="single" w:sz="4" w:space="0" w:color="auto"/>
              <w:right w:val="nil"/>
            </w:tcBorders>
            <w:shd w:val="clear" w:color="auto" w:fill="auto"/>
            <w:noWrap/>
            <w:vAlign w:val="bottom"/>
            <w:hideMark/>
          </w:tcPr>
          <w:p w14:paraId="3400B36D"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19F01B9D" w14:textId="77777777" w:rsidR="00432B71" w:rsidRDefault="00432B71" w:rsidP="005A3B4D">
            <w:pPr>
              <w:jc w:val="right"/>
              <w:rPr>
                <w:color w:val="000000"/>
                <w:sz w:val="20"/>
                <w:szCs w:val="20"/>
              </w:rPr>
            </w:pPr>
            <w:r>
              <w:rPr>
                <w:color w:val="000000"/>
                <w:sz w:val="20"/>
                <w:szCs w:val="20"/>
              </w:rPr>
              <w:t>0.063</w:t>
            </w:r>
          </w:p>
        </w:tc>
        <w:tc>
          <w:tcPr>
            <w:tcW w:w="768" w:type="dxa"/>
            <w:tcBorders>
              <w:top w:val="nil"/>
              <w:left w:val="nil"/>
              <w:bottom w:val="single" w:sz="4" w:space="0" w:color="auto"/>
              <w:right w:val="nil"/>
            </w:tcBorders>
            <w:shd w:val="clear" w:color="auto" w:fill="auto"/>
            <w:noWrap/>
            <w:vAlign w:val="bottom"/>
            <w:hideMark/>
          </w:tcPr>
          <w:p w14:paraId="2B6026A9" w14:textId="77777777" w:rsidR="00432B71" w:rsidRDefault="00432B71" w:rsidP="005A3B4D">
            <w:pPr>
              <w:jc w:val="right"/>
              <w:rPr>
                <w:color w:val="000000"/>
                <w:sz w:val="20"/>
                <w:szCs w:val="20"/>
              </w:rPr>
            </w:pPr>
            <w:r>
              <w:rPr>
                <w:color w:val="000000"/>
                <w:sz w:val="20"/>
                <w:szCs w:val="20"/>
              </w:rPr>
              <w:t>0.068</w:t>
            </w:r>
          </w:p>
        </w:tc>
        <w:tc>
          <w:tcPr>
            <w:tcW w:w="768" w:type="dxa"/>
            <w:tcBorders>
              <w:top w:val="nil"/>
              <w:left w:val="nil"/>
              <w:bottom w:val="single" w:sz="4" w:space="0" w:color="auto"/>
              <w:right w:val="nil"/>
            </w:tcBorders>
            <w:shd w:val="clear" w:color="auto" w:fill="auto"/>
            <w:noWrap/>
            <w:vAlign w:val="bottom"/>
            <w:hideMark/>
          </w:tcPr>
          <w:p w14:paraId="22B7E5F5"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03FDA334" w14:textId="77777777" w:rsidR="00432B71" w:rsidRDefault="00432B71" w:rsidP="005A3B4D">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346AA209" w14:textId="77777777" w:rsidR="00432B71" w:rsidRDefault="00432B71" w:rsidP="005A3B4D">
            <w:pPr>
              <w:jc w:val="right"/>
              <w:rPr>
                <w:color w:val="000000"/>
                <w:sz w:val="20"/>
                <w:szCs w:val="20"/>
              </w:rPr>
            </w:pPr>
            <w:r>
              <w:rPr>
                <w:color w:val="000000"/>
                <w:sz w:val="20"/>
                <w:szCs w:val="20"/>
              </w:rPr>
              <w:t>0.633</w:t>
            </w:r>
          </w:p>
        </w:tc>
        <w:tc>
          <w:tcPr>
            <w:tcW w:w="768" w:type="dxa"/>
            <w:tcBorders>
              <w:top w:val="nil"/>
              <w:left w:val="nil"/>
              <w:bottom w:val="single" w:sz="4" w:space="0" w:color="auto"/>
              <w:right w:val="nil"/>
            </w:tcBorders>
            <w:shd w:val="clear" w:color="auto" w:fill="auto"/>
            <w:noWrap/>
            <w:vAlign w:val="bottom"/>
            <w:hideMark/>
          </w:tcPr>
          <w:p w14:paraId="79D70A2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9AEA1E3"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4B856232" w14:textId="77777777" w:rsidR="00432B71" w:rsidRDefault="00432B71" w:rsidP="005A3B4D">
            <w:pPr>
              <w:jc w:val="right"/>
              <w:rPr>
                <w:color w:val="000000"/>
                <w:sz w:val="20"/>
                <w:szCs w:val="20"/>
              </w:rPr>
            </w:pPr>
            <w:r>
              <w:rPr>
                <w:color w:val="000000"/>
                <w:sz w:val="20"/>
                <w:szCs w:val="20"/>
              </w:rPr>
              <w:t>0.739</w:t>
            </w:r>
          </w:p>
        </w:tc>
        <w:tc>
          <w:tcPr>
            <w:tcW w:w="768" w:type="dxa"/>
            <w:tcBorders>
              <w:top w:val="nil"/>
              <w:left w:val="nil"/>
              <w:bottom w:val="single" w:sz="4" w:space="0" w:color="auto"/>
              <w:right w:val="nil"/>
            </w:tcBorders>
            <w:shd w:val="clear" w:color="auto" w:fill="auto"/>
            <w:noWrap/>
            <w:vAlign w:val="bottom"/>
            <w:hideMark/>
          </w:tcPr>
          <w:p w14:paraId="5715051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C71E10E"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17D3C6C8" w14:textId="77777777" w:rsidR="00432B71" w:rsidRDefault="00432B71" w:rsidP="005A3B4D">
            <w:pPr>
              <w:jc w:val="right"/>
              <w:rPr>
                <w:color w:val="000000"/>
                <w:sz w:val="20"/>
                <w:szCs w:val="20"/>
              </w:rPr>
            </w:pPr>
            <w:r>
              <w:rPr>
                <w:color w:val="000000"/>
                <w:sz w:val="20"/>
                <w:szCs w:val="20"/>
              </w:rPr>
              <w:t>0.838</w:t>
            </w:r>
          </w:p>
        </w:tc>
        <w:tc>
          <w:tcPr>
            <w:tcW w:w="768" w:type="dxa"/>
            <w:tcBorders>
              <w:top w:val="nil"/>
              <w:left w:val="nil"/>
              <w:bottom w:val="single" w:sz="4" w:space="0" w:color="auto"/>
              <w:right w:val="nil"/>
            </w:tcBorders>
            <w:shd w:val="clear" w:color="auto" w:fill="auto"/>
            <w:noWrap/>
            <w:vAlign w:val="bottom"/>
            <w:hideMark/>
          </w:tcPr>
          <w:p w14:paraId="327DA154" w14:textId="77777777" w:rsidR="00432B71" w:rsidRDefault="00432B71" w:rsidP="005A3B4D">
            <w:pPr>
              <w:jc w:val="right"/>
              <w:rPr>
                <w:color w:val="000000"/>
                <w:sz w:val="20"/>
                <w:szCs w:val="20"/>
              </w:rPr>
            </w:pPr>
            <w:r>
              <w:rPr>
                <w:color w:val="000000"/>
                <w:sz w:val="20"/>
                <w:szCs w:val="20"/>
              </w:rPr>
              <w:t>0.000</w:t>
            </w:r>
          </w:p>
        </w:tc>
      </w:tr>
      <w:tr w:rsidR="00432B71" w14:paraId="5E69ED73" w14:textId="77777777" w:rsidTr="005A3B4D">
        <w:trPr>
          <w:trHeight w:val="320"/>
        </w:trPr>
        <w:tc>
          <w:tcPr>
            <w:tcW w:w="1176" w:type="dxa"/>
            <w:tcBorders>
              <w:top w:val="nil"/>
              <w:left w:val="nil"/>
              <w:bottom w:val="nil"/>
              <w:right w:val="nil"/>
            </w:tcBorders>
            <w:shd w:val="clear" w:color="auto" w:fill="auto"/>
            <w:noWrap/>
            <w:vAlign w:val="bottom"/>
            <w:hideMark/>
          </w:tcPr>
          <w:p w14:paraId="39036113" w14:textId="77777777" w:rsidR="00432B71" w:rsidRDefault="00432B71"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1AFE1BB"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37395E1" w14:textId="77777777" w:rsidR="00432B71" w:rsidRDefault="00432B71"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6449B57F" w14:textId="77777777" w:rsidR="00432B71" w:rsidRDefault="00432B71" w:rsidP="005A3B4D">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7AC4C464"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9AF28D0"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FBD9065" w14:textId="77777777" w:rsidR="00432B71" w:rsidRDefault="00432B71" w:rsidP="005A3B4D">
            <w:pPr>
              <w:jc w:val="right"/>
              <w:rPr>
                <w:color w:val="000000"/>
                <w:sz w:val="20"/>
                <w:szCs w:val="20"/>
              </w:rPr>
            </w:pPr>
            <w:r>
              <w:rPr>
                <w:color w:val="000000"/>
                <w:sz w:val="20"/>
                <w:szCs w:val="20"/>
              </w:rPr>
              <w:t>0.589</w:t>
            </w:r>
          </w:p>
        </w:tc>
        <w:tc>
          <w:tcPr>
            <w:tcW w:w="768" w:type="dxa"/>
            <w:tcBorders>
              <w:top w:val="nil"/>
              <w:left w:val="nil"/>
              <w:bottom w:val="nil"/>
              <w:right w:val="nil"/>
            </w:tcBorders>
            <w:shd w:val="clear" w:color="auto" w:fill="auto"/>
            <w:noWrap/>
            <w:vAlign w:val="bottom"/>
            <w:hideMark/>
          </w:tcPr>
          <w:p w14:paraId="265974E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E72985"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F30BE77" w14:textId="77777777" w:rsidR="00432B71" w:rsidRDefault="00432B71"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1C07AB5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44960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3C3C38" w14:textId="77777777" w:rsidR="00432B71" w:rsidRDefault="00432B71"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50DF1AA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0EE25F"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80F1E98" w14:textId="77777777" w:rsidR="00432B71" w:rsidRDefault="00432B71" w:rsidP="005A3B4D">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07157D05" w14:textId="77777777" w:rsidR="00432B71" w:rsidRDefault="00432B71" w:rsidP="005A3B4D">
            <w:pPr>
              <w:jc w:val="right"/>
              <w:rPr>
                <w:color w:val="000000"/>
                <w:sz w:val="20"/>
                <w:szCs w:val="20"/>
              </w:rPr>
            </w:pPr>
            <w:r>
              <w:rPr>
                <w:color w:val="000000"/>
                <w:sz w:val="20"/>
                <w:szCs w:val="20"/>
              </w:rPr>
              <w:t>0.001</w:t>
            </w:r>
          </w:p>
        </w:tc>
      </w:tr>
      <w:tr w:rsidR="00432B71" w14:paraId="0C0191B9" w14:textId="77777777" w:rsidTr="005A3B4D">
        <w:trPr>
          <w:trHeight w:val="320"/>
        </w:trPr>
        <w:tc>
          <w:tcPr>
            <w:tcW w:w="1176" w:type="dxa"/>
            <w:tcBorders>
              <w:top w:val="nil"/>
              <w:left w:val="nil"/>
              <w:bottom w:val="nil"/>
              <w:right w:val="nil"/>
            </w:tcBorders>
            <w:shd w:val="clear" w:color="auto" w:fill="auto"/>
            <w:noWrap/>
            <w:vAlign w:val="bottom"/>
            <w:hideMark/>
          </w:tcPr>
          <w:p w14:paraId="20C73D4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6879BBA"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B6DDF7F" w14:textId="77777777" w:rsidR="00432B71" w:rsidRDefault="00432B71"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123FC6D" w14:textId="77777777" w:rsidR="00432B71" w:rsidRDefault="00432B71" w:rsidP="005A3B4D">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0C97D40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AD5F04"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1122F3D3"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04F0913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FEA65F"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3414C60" w14:textId="77777777" w:rsidR="00432B71" w:rsidRDefault="00432B71" w:rsidP="005A3B4D">
            <w:pPr>
              <w:jc w:val="right"/>
              <w:rPr>
                <w:color w:val="000000"/>
                <w:sz w:val="20"/>
                <w:szCs w:val="20"/>
              </w:rPr>
            </w:pPr>
            <w:r>
              <w:rPr>
                <w:color w:val="000000"/>
                <w:sz w:val="20"/>
                <w:szCs w:val="20"/>
              </w:rPr>
              <w:t>0.845</w:t>
            </w:r>
          </w:p>
        </w:tc>
        <w:tc>
          <w:tcPr>
            <w:tcW w:w="768" w:type="dxa"/>
            <w:tcBorders>
              <w:top w:val="nil"/>
              <w:left w:val="nil"/>
              <w:bottom w:val="nil"/>
              <w:right w:val="nil"/>
            </w:tcBorders>
            <w:shd w:val="clear" w:color="auto" w:fill="auto"/>
            <w:noWrap/>
            <w:vAlign w:val="bottom"/>
            <w:hideMark/>
          </w:tcPr>
          <w:p w14:paraId="4B1BCBC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646C88" w14:textId="77777777" w:rsidR="00432B71" w:rsidRDefault="00432B71" w:rsidP="005A3B4D">
            <w:pPr>
              <w:jc w:val="right"/>
              <w:rPr>
                <w:color w:val="000000"/>
                <w:sz w:val="20"/>
                <w:szCs w:val="20"/>
              </w:rPr>
            </w:pPr>
            <w:r>
              <w:rPr>
                <w:b/>
                <w:bCs/>
                <w:color w:val="000000"/>
                <w:sz w:val="20"/>
                <w:szCs w:val="20"/>
              </w:rPr>
              <w:t>0.069</w:t>
            </w:r>
          </w:p>
        </w:tc>
        <w:tc>
          <w:tcPr>
            <w:tcW w:w="768" w:type="dxa"/>
            <w:tcBorders>
              <w:top w:val="nil"/>
              <w:left w:val="nil"/>
              <w:bottom w:val="nil"/>
              <w:right w:val="nil"/>
            </w:tcBorders>
            <w:shd w:val="clear" w:color="auto" w:fill="auto"/>
            <w:noWrap/>
            <w:vAlign w:val="bottom"/>
            <w:hideMark/>
          </w:tcPr>
          <w:p w14:paraId="1BA4407A" w14:textId="77777777" w:rsidR="00432B71" w:rsidRDefault="00432B71" w:rsidP="005A3B4D">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074A3C19" w14:textId="77777777" w:rsidR="00432B71" w:rsidRDefault="00432B71" w:rsidP="005A3B4D">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45F05244" w14:textId="77777777" w:rsidR="00432B71" w:rsidRDefault="00432B71" w:rsidP="005A3B4D">
            <w:pPr>
              <w:jc w:val="right"/>
              <w:rPr>
                <w:b/>
                <w:bCs/>
                <w:color w:val="000000"/>
                <w:sz w:val="20"/>
                <w:szCs w:val="20"/>
              </w:rPr>
            </w:pPr>
            <w:r>
              <w:rPr>
                <w:b/>
                <w:bCs/>
                <w:color w:val="000000"/>
                <w:sz w:val="20"/>
                <w:szCs w:val="20"/>
              </w:rPr>
              <w:t>-0.118</w:t>
            </w:r>
          </w:p>
        </w:tc>
        <w:tc>
          <w:tcPr>
            <w:tcW w:w="768" w:type="dxa"/>
            <w:tcBorders>
              <w:top w:val="nil"/>
              <w:left w:val="nil"/>
              <w:bottom w:val="nil"/>
              <w:right w:val="nil"/>
            </w:tcBorders>
            <w:shd w:val="clear" w:color="auto" w:fill="auto"/>
            <w:noWrap/>
            <w:vAlign w:val="bottom"/>
            <w:hideMark/>
          </w:tcPr>
          <w:p w14:paraId="2F90C39C" w14:textId="77777777" w:rsidR="00432B71" w:rsidRDefault="00432B7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FAD0765" w14:textId="77777777" w:rsidR="00432B71" w:rsidRDefault="00432B71" w:rsidP="005A3B4D">
            <w:pPr>
              <w:jc w:val="right"/>
              <w:rPr>
                <w:color w:val="000000"/>
                <w:sz w:val="20"/>
                <w:szCs w:val="20"/>
              </w:rPr>
            </w:pPr>
            <w:r>
              <w:rPr>
                <w:b/>
                <w:bCs/>
                <w:color w:val="000000"/>
                <w:sz w:val="20"/>
                <w:szCs w:val="20"/>
              </w:rPr>
              <w:t>0.014</w:t>
            </w:r>
          </w:p>
        </w:tc>
      </w:tr>
      <w:tr w:rsidR="00432B71" w14:paraId="2B0DE833" w14:textId="77777777" w:rsidTr="005A3B4D">
        <w:trPr>
          <w:trHeight w:val="320"/>
        </w:trPr>
        <w:tc>
          <w:tcPr>
            <w:tcW w:w="1176" w:type="dxa"/>
            <w:tcBorders>
              <w:top w:val="nil"/>
              <w:left w:val="nil"/>
              <w:bottom w:val="nil"/>
              <w:right w:val="nil"/>
            </w:tcBorders>
            <w:shd w:val="clear" w:color="auto" w:fill="auto"/>
            <w:noWrap/>
            <w:vAlign w:val="bottom"/>
            <w:hideMark/>
          </w:tcPr>
          <w:p w14:paraId="33402C7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FF79FC9"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9B9BCD6"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58E16EB" w14:textId="77777777" w:rsidR="00432B71" w:rsidRDefault="00432B71" w:rsidP="005A3B4D">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3711D93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C5D988"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B37211B" w14:textId="77777777" w:rsidR="00432B71" w:rsidRDefault="00432B71" w:rsidP="005A3B4D">
            <w:pPr>
              <w:jc w:val="right"/>
              <w:rPr>
                <w:color w:val="000000"/>
                <w:sz w:val="20"/>
                <w:szCs w:val="20"/>
              </w:rPr>
            </w:pPr>
            <w:r>
              <w:rPr>
                <w:color w:val="000000"/>
                <w:sz w:val="20"/>
                <w:szCs w:val="20"/>
              </w:rPr>
              <w:t>0.589</w:t>
            </w:r>
          </w:p>
        </w:tc>
        <w:tc>
          <w:tcPr>
            <w:tcW w:w="768" w:type="dxa"/>
            <w:tcBorders>
              <w:top w:val="nil"/>
              <w:left w:val="nil"/>
              <w:bottom w:val="nil"/>
              <w:right w:val="nil"/>
            </w:tcBorders>
            <w:shd w:val="clear" w:color="auto" w:fill="auto"/>
            <w:noWrap/>
            <w:vAlign w:val="bottom"/>
            <w:hideMark/>
          </w:tcPr>
          <w:p w14:paraId="4CFDD57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F2E2BD"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0F14274" w14:textId="77777777" w:rsidR="00432B71" w:rsidRDefault="00432B71" w:rsidP="005A3B4D">
            <w:pPr>
              <w:jc w:val="right"/>
              <w:rPr>
                <w:color w:val="000000"/>
                <w:sz w:val="20"/>
                <w:szCs w:val="20"/>
              </w:rPr>
            </w:pPr>
            <w:r>
              <w:rPr>
                <w:color w:val="000000"/>
                <w:sz w:val="20"/>
                <w:szCs w:val="20"/>
              </w:rPr>
              <w:t>0.845</w:t>
            </w:r>
          </w:p>
        </w:tc>
        <w:tc>
          <w:tcPr>
            <w:tcW w:w="768" w:type="dxa"/>
            <w:tcBorders>
              <w:top w:val="nil"/>
              <w:left w:val="nil"/>
              <w:bottom w:val="nil"/>
              <w:right w:val="nil"/>
            </w:tcBorders>
            <w:shd w:val="clear" w:color="auto" w:fill="auto"/>
            <w:noWrap/>
            <w:vAlign w:val="bottom"/>
            <w:hideMark/>
          </w:tcPr>
          <w:p w14:paraId="028F352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F71147" w14:textId="77777777" w:rsidR="00432B71" w:rsidRDefault="00432B71"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035EB128" w14:textId="77777777" w:rsidR="00432B71" w:rsidRDefault="00432B71" w:rsidP="005A3B4D">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62BF0646"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56094DA"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53B5ED6" w14:textId="77777777" w:rsidR="00432B71" w:rsidRDefault="00432B71"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01B22A50" w14:textId="77777777" w:rsidR="00432B71" w:rsidRDefault="00432B71" w:rsidP="005A3B4D">
            <w:pPr>
              <w:jc w:val="right"/>
              <w:rPr>
                <w:color w:val="000000"/>
                <w:sz w:val="20"/>
                <w:szCs w:val="20"/>
              </w:rPr>
            </w:pPr>
            <w:r>
              <w:rPr>
                <w:color w:val="000000"/>
                <w:sz w:val="20"/>
                <w:szCs w:val="20"/>
              </w:rPr>
              <w:t>0.000</w:t>
            </w:r>
          </w:p>
        </w:tc>
      </w:tr>
      <w:tr w:rsidR="00432B71" w14:paraId="3AEC08AF" w14:textId="77777777" w:rsidTr="005A3B4D">
        <w:trPr>
          <w:trHeight w:val="320"/>
        </w:trPr>
        <w:tc>
          <w:tcPr>
            <w:tcW w:w="1176" w:type="dxa"/>
            <w:tcBorders>
              <w:top w:val="nil"/>
              <w:left w:val="nil"/>
              <w:bottom w:val="nil"/>
              <w:right w:val="nil"/>
            </w:tcBorders>
            <w:shd w:val="clear" w:color="auto" w:fill="auto"/>
            <w:noWrap/>
            <w:vAlign w:val="bottom"/>
            <w:hideMark/>
          </w:tcPr>
          <w:p w14:paraId="4F91BBA7"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D8DF52"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EFC049D"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549BAE1" w14:textId="77777777" w:rsidR="00432B71" w:rsidRDefault="00432B71" w:rsidP="005A3B4D">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4892F3E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A488B0"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6B1CAD9D"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463D4C8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8ADD7D8"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03E5C87" w14:textId="77777777" w:rsidR="00432B71" w:rsidRDefault="00432B71" w:rsidP="005A3B4D">
            <w:pPr>
              <w:jc w:val="right"/>
              <w:rPr>
                <w:color w:val="000000"/>
                <w:sz w:val="20"/>
                <w:szCs w:val="20"/>
              </w:rPr>
            </w:pPr>
            <w:r>
              <w:rPr>
                <w:color w:val="000000"/>
                <w:sz w:val="20"/>
                <w:szCs w:val="20"/>
              </w:rPr>
              <w:t>0.845</w:t>
            </w:r>
          </w:p>
        </w:tc>
        <w:tc>
          <w:tcPr>
            <w:tcW w:w="768" w:type="dxa"/>
            <w:tcBorders>
              <w:top w:val="nil"/>
              <w:left w:val="nil"/>
              <w:bottom w:val="nil"/>
              <w:right w:val="nil"/>
            </w:tcBorders>
            <w:shd w:val="clear" w:color="auto" w:fill="auto"/>
            <w:noWrap/>
            <w:vAlign w:val="bottom"/>
            <w:hideMark/>
          </w:tcPr>
          <w:p w14:paraId="73705F7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0B2974"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C422B77" w14:textId="77777777" w:rsidR="00432B71" w:rsidRDefault="00432B71" w:rsidP="005A3B4D">
            <w:pPr>
              <w:jc w:val="right"/>
              <w:rPr>
                <w:color w:val="000000"/>
                <w:sz w:val="20"/>
                <w:szCs w:val="20"/>
              </w:rPr>
            </w:pPr>
            <w:r>
              <w:rPr>
                <w:color w:val="000000"/>
                <w:sz w:val="20"/>
                <w:szCs w:val="20"/>
              </w:rPr>
              <w:t>0.395</w:t>
            </w:r>
          </w:p>
        </w:tc>
        <w:tc>
          <w:tcPr>
            <w:tcW w:w="768" w:type="dxa"/>
            <w:tcBorders>
              <w:top w:val="nil"/>
              <w:left w:val="nil"/>
              <w:bottom w:val="nil"/>
              <w:right w:val="nil"/>
            </w:tcBorders>
            <w:shd w:val="clear" w:color="auto" w:fill="auto"/>
            <w:noWrap/>
            <w:vAlign w:val="bottom"/>
            <w:hideMark/>
          </w:tcPr>
          <w:p w14:paraId="118A7CC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8E0A9CB"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DDE94A2" w14:textId="77777777" w:rsidR="00432B71" w:rsidRDefault="00432B71"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4EF8D40E" w14:textId="77777777" w:rsidR="00432B71" w:rsidRDefault="00432B71" w:rsidP="005A3B4D">
            <w:pPr>
              <w:jc w:val="right"/>
              <w:rPr>
                <w:color w:val="000000"/>
                <w:sz w:val="20"/>
                <w:szCs w:val="20"/>
              </w:rPr>
            </w:pPr>
            <w:r>
              <w:rPr>
                <w:color w:val="000000"/>
                <w:sz w:val="20"/>
                <w:szCs w:val="20"/>
              </w:rPr>
              <w:t>0.000</w:t>
            </w:r>
          </w:p>
        </w:tc>
      </w:tr>
      <w:tr w:rsidR="00432B71" w14:paraId="2B560363" w14:textId="77777777" w:rsidTr="005A3B4D">
        <w:trPr>
          <w:trHeight w:val="320"/>
        </w:trPr>
        <w:tc>
          <w:tcPr>
            <w:tcW w:w="1176" w:type="dxa"/>
            <w:tcBorders>
              <w:top w:val="nil"/>
              <w:left w:val="nil"/>
              <w:bottom w:val="nil"/>
              <w:right w:val="nil"/>
            </w:tcBorders>
            <w:shd w:val="clear" w:color="auto" w:fill="auto"/>
            <w:noWrap/>
            <w:vAlign w:val="bottom"/>
            <w:hideMark/>
          </w:tcPr>
          <w:p w14:paraId="0C15F51F"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696E0B"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4AF764A"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A59A3A3" w14:textId="77777777" w:rsidR="00432B71" w:rsidRDefault="00432B71" w:rsidP="005A3B4D">
            <w:pPr>
              <w:jc w:val="right"/>
              <w:rPr>
                <w:color w:val="000000"/>
                <w:sz w:val="20"/>
                <w:szCs w:val="20"/>
              </w:rPr>
            </w:pPr>
            <w:r>
              <w:rPr>
                <w:color w:val="000000"/>
                <w:sz w:val="20"/>
                <w:szCs w:val="20"/>
              </w:rPr>
              <w:t>0.894</w:t>
            </w:r>
          </w:p>
        </w:tc>
        <w:tc>
          <w:tcPr>
            <w:tcW w:w="768" w:type="dxa"/>
            <w:tcBorders>
              <w:top w:val="nil"/>
              <w:left w:val="nil"/>
              <w:bottom w:val="nil"/>
              <w:right w:val="nil"/>
            </w:tcBorders>
            <w:shd w:val="clear" w:color="auto" w:fill="auto"/>
            <w:noWrap/>
            <w:vAlign w:val="bottom"/>
            <w:hideMark/>
          </w:tcPr>
          <w:p w14:paraId="3BE78B3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D599FF" w14:textId="77777777" w:rsidR="00432B71" w:rsidRDefault="00432B71"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6981A89F"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2E2EC590"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5DEB12"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50FEF80" w14:textId="77777777" w:rsidR="00432B71" w:rsidRDefault="00432B71" w:rsidP="005A3B4D">
            <w:pPr>
              <w:jc w:val="right"/>
              <w:rPr>
                <w:color w:val="000000"/>
                <w:sz w:val="20"/>
                <w:szCs w:val="20"/>
              </w:rPr>
            </w:pPr>
            <w:r>
              <w:rPr>
                <w:color w:val="000000"/>
                <w:sz w:val="20"/>
                <w:szCs w:val="20"/>
              </w:rPr>
              <w:t>0.845</w:t>
            </w:r>
          </w:p>
        </w:tc>
        <w:tc>
          <w:tcPr>
            <w:tcW w:w="768" w:type="dxa"/>
            <w:tcBorders>
              <w:top w:val="nil"/>
              <w:left w:val="nil"/>
              <w:bottom w:val="nil"/>
              <w:right w:val="nil"/>
            </w:tcBorders>
            <w:shd w:val="clear" w:color="auto" w:fill="auto"/>
            <w:noWrap/>
            <w:vAlign w:val="bottom"/>
            <w:hideMark/>
          </w:tcPr>
          <w:p w14:paraId="5F63D2C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9AB906"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1B8D7A6" w14:textId="77777777" w:rsidR="00432B71" w:rsidRDefault="00432B71"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1B35C53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DA79A8" w14:textId="77777777" w:rsidR="00432B71" w:rsidRDefault="00432B71" w:rsidP="005A3B4D">
            <w:pPr>
              <w:jc w:val="right"/>
              <w:rPr>
                <w:b/>
                <w:bCs/>
                <w:color w:val="000000"/>
                <w:sz w:val="20"/>
                <w:szCs w:val="20"/>
              </w:rPr>
            </w:pPr>
            <w:r>
              <w:rPr>
                <w:b/>
                <w:bCs/>
                <w:color w:val="000000"/>
                <w:sz w:val="20"/>
                <w:szCs w:val="20"/>
              </w:rPr>
              <w:t>-0.066</w:t>
            </w:r>
          </w:p>
        </w:tc>
        <w:tc>
          <w:tcPr>
            <w:tcW w:w="768" w:type="dxa"/>
            <w:tcBorders>
              <w:top w:val="nil"/>
              <w:left w:val="nil"/>
              <w:bottom w:val="nil"/>
              <w:right w:val="nil"/>
            </w:tcBorders>
            <w:shd w:val="clear" w:color="auto" w:fill="auto"/>
            <w:noWrap/>
            <w:vAlign w:val="bottom"/>
            <w:hideMark/>
          </w:tcPr>
          <w:p w14:paraId="707A1D36" w14:textId="77777777" w:rsidR="00432B71" w:rsidRDefault="00432B71" w:rsidP="005A3B4D">
            <w:pPr>
              <w:jc w:val="right"/>
              <w:rPr>
                <w:b/>
                <w:bCs/>
                <w:color w:val="000000"/>
                <w:sz w:val="20"/>
                <w:szCs w:val="20"/>
              </w:rPr>
            </w:pPr>
            <w:r>
              <w:rPr>
                <w:b/>
                <w:bCs/>
                <w:color w:val="000000"/>
                <w:sz w:val="20"/>
                <w:szCs w:val="20"/>
              </w:rPr>
              <w:t>0.020</w:t>
            </w:r>
          </w:p>
        </w:tc>
        <w:tc>
          <w:tcPr>
            <w:tcW w:w="768" w:type="dxa"/>
            <w:tcBorders>
              <w:top w:val="nil"/>
              <w:left w:val="nil"/>
              <w:bottom w:val="nil"/>
              <w:right w:val="nil"/>
            </w:tcBorders>
            <w:shd w:val="clear" w:color="auto" w:fill="auto"/>
            <w:noWrap/>
            <w:vAlign w:val="bottom"/>
            <w:hideMark/>
          </w:tcPr>
          <w:p w14:paraId="17BF9223" w14:textId="77777777" w:rsidR="00432B71" w:rsidRDefault="00432B71" w:rsidP="005A3B4D">
            <w:pPr>
              <w:jc w:val="right"/>
              <w:rPr>
                <w:color w:val="000000"/>
                <w:sz w:val="20"/>
                <w:szCs w:val="20"/>
              </w:rPr>
            </w:pPr>
            <w:r>
              <w:rPr>
                <w:b/>
                <w:bCs/>
                <w:color w:val="000000"/>
                <w:sz w:val="20"/>
                <w:szCs w:val="20"/>
              </w:rPr>
              <w:t>0.004</w:t>
            </w:r>
          </w:p>
        </w:tc>
      </w:tr>
      <w:tr w:rsidR="00432B71" w14:paraId="11D69B5C" w14:textId="77777777" w:rsidTr="005A3B4D">
        <w:trPr>
          <w:trHeight w:val="320"/>
        </w:trPr>
        <w:tc>
          <w:tcPr>
            <w:tcW w:w="1176" w:type="dxa"/>
            <w:tcBorders>
              <w:top w:val="nil"/>
              <w:left w:val="nil"/>
              <w:bottom w:val="nil"/>
              <w:right w:val="nil"/>
            </w:tcBorders>
            <w:shd w:val="clear" w:color="auto" w:fill="auto"/>
            <w:noWrap/>
            <w:vAlign w:val="bottom"/>
            <w:hideMark/>
          </w:tcPr>
          <w:p w14:paraId="1DCCA90F"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7E71D9"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0E28406" w14:textId="77777777" w:rsidR="00432B71" w:rsidRDefault="00432B71" w:rsidP="005A3B4D">
            <w:pPr>
              <w:jc w:val="right"/>
              <w:rPr>
                <w:b/>
                <w:bCs/>
                <w:color w:val="000000"/>
                <w:sz w:val="20"/>
                <w:szCs w:val="20"/>
              </w:rPr>
            </w:pPr>
            <w:r>
              <w:rPr>
                <w:b/>
                <w:bCs/>
                <w:color w:val="000000"/>
                <w:sz w:val="20"/>
                <w:szCs w:val="20"/>
              </w:rPr>
              <w:t>-0.066</w:t>
            </w:r>
          </w:p>
        </w:tc>
        <w:tc>
          <w:tcPr>
            <w:tcW w:w="768" w:type="dxa"/>
            <w:tcBorders>
              <w:top w:val="nil"/>
              <w:left w:val="nil"/>
              <w:bottom w:val="nil"/>
              <w:right w:val="nil"/>
            </w:tcBorders>
            <w:shd w:val="clear" w:color="auto" w:fill="auto"/>
            <w:noWrap/>
            <w:vAlign w:val="bottom"/>
            <w:hideMark/>
          </w:tcPr>
          <w:p w14:paraId="4CEFAD20" w14:textId="77777777" w:rsidR="00432B71" w:rsidRDefault="00432B71" w:rsidP="005A3B4D">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21D18163" w14:textId="77777777" w:rsidR="00432B71" w:rsidRDefault="00432B71" w:rsidP="005A3B4D">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7D5D87DB"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831D50C" w14:textId="77777777" w:rsidR="00432B71" w:rsidRDefault="00432B71" w:rsidP="005A3B4D">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7AC6E3D4"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1F3E3E"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8A39EAD" w14:textId="77777777" w:rsidR="00432B71" w:rsidRDefault="00432B71" w:rsidP="005A3B4D">
            <w:pPr>
              <w:jc w:val="right"/>
              <w:rPr>
                <w:color w:val="000000"/>
                <w:sz w:val="20"/>
                <w:szCs w:val="20"/>
              </w:rPr>
            </w:pPr>
            <w:r>
              <w:rPr>
                <w:color w:val="000000"/>
                <w:sz w:val="20"/>
                <w:szCs w:val="20"/>
              </w:rPr>
              <w:t>0.572</w:t>
            </w:r>
          </w:p>
        </w:tc>
        <w:tc>
          <w:tcPr>
            <w:tcW w:w="768" w:type="dxa"/>
            <w:tcBorders>
              <w:top w:val="nil"/>
              <w:left w:val="nil"/>
              <w:bottom w:val="nil"/>
              <w:right w:val="nil"/>
            </w:tcBorders>
            <w:shd w:val="clear" w:color="auto" w:fill="auto"/>
            <w:noWrap/>
            <w:vAlign w:val="bottom"/>
            <w:hideMark/>
          </w:tcPr>
          <w:p w14:paraId="780B17A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9671F3"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29E57DD" w14:textId="77777777" w:rsidR="00432B71" w:rsidRDefault="00432B71"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5F9D71E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289D97"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F32736F" w14:textId="77777777" w:rsidR="00432B71" w:rsidRDefault="00432B71"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5D835166" w14:textId="77777777" w:rsidR="00432B71" w:rsidRDefault="00432B71" w:rsidP="005A3B4D">
            <w:pPr>
              <w:jc w:val="right"/>
              <w:rPr>
                <w:color w:val="000000"/>
                <w:sz w:val="20"/>
                <w:szCs w:val="20"/>
              </w:rPr>
            </w:pPr>
            <w:r>
              <w:rPr>
                <w:color w:val="000000"/>
                <w:sz w:val="20"/>
                <w:szCs w:val="20"/>
              </w:rPr>
              <w:t>0.000</w:t>
            </w:r>
          </w:p>
        </w:tc>
      </w:tr>
      <w:tr w:rsidR="00432B71" w14:paraId="5847F76B" w14:textId="77777777" w:rsidTr="005A3B4D">
        <w:trPr>
          <w:trHeight w:val="320"/>
        </w:trPr>
        <w:tc>
          <w:tcPr>
            <w:tcW w:w="1176" w:type="dxa"/>
            <w:tcBorders>
              <w:top w:val="nil"/>
              <w:left w:val="nil"/>
              <w:bottom w:val="nil"/>
              <w:right w:val="nil"/>
            </w:tcBorders>
            <w:shd w:val="clear" w:color="auto" w:fill="auto"/>
            <w:noWrap/>
            <w:vAlign w:val="bottom"/>
            <w:hideMark/>
          </w:tcPr>
          <w:p w14:paraId="7112E213"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C77E1F1"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E23E240"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1AB62ED" w14:textId="77777777" w:rsidR="00432B71" w:rsidRDefault="00432B71" w:rsidP="005A3B4D">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06FF085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F0078B"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35DFE5F" w14:textId="77777777" w:rsidR="00432B71" w:rsidRDefault="00432B71" w:rsidP="005A3B4D">
            <w:pPr>
              <w:jc w:val="right"/>
              <w:rPr>
                <w:color w:val="000000"/>
                <w:sz w:val="20"/>
                <w:szCs w:val="20"/>
              </w:rPr>
            </w:pPr>
            <w:r>
              <w:rPr>
                <w:color w:val="000000"/>
                <w:sz w:val="20"/>
                <w:szCs w:val="20"/>
              </w:rPr>
              <w:t>0.642</w:t>
            </w:r>
          </w:p>
        </w:tc>
        <w:tc>
          <w:tcPr>
            <w:tcW w:w="768" w:type="dxa"/>
            <w:tcBorders>
              <w:top w:val="nil"/>
              <w:left w:val="nil"/>
              <w:bottom w:val="nil"/>
              <w:right w:val="nil"/>
            </w:tcBorders>
            <w:shd w:val="clear" w:color="auto" w:fill="auto"/>
            <w:noWrap/>
            <w:vAlign w:val="bottom"/>
            <w:hideMark/>
          </w:tcPr>
          <w:p w14:paraId="17F42FB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D692F3"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BD036D9" w14:textId="77777777" w:rsidR="00432B71" w:rsidRDefault="00432B71" w:rsidP="005A3B4D">
            <w:pPr>
              <w:jc w:val="right"/>
              <w:rPr>
                <w:color w:val="000000"/>
                <w:sz w:val="20"/>
                <w:szCs w:val="20"/>
              </w:rPr>
            </w:pPr>
            <w:r>
              <w:rPr>
                <w:color w:val="000000"/>
                <w:sz w:val="20"/>
                <w:szCs w:val="20"/>
              </w:rPr>
              <w:t>0.845</w:t>
            </w:r>
          </w:p>
        </w:tc>
        <w:tc>
          <w:tcPr>
            <w:tcW w:w="768" w:type="dxa"/>
            <w:tcBorders>
              <w:top w:val="nil"/>
              <w:left w:val="nil"/>
              <w:bottom w:val="nil"/>
              <w:right w:val="nil"/>
            </w:tcBorders>
            <w:shd w:val="clear" w:color="auto" w:fill="auto"/>
            <w:noWrap/>
            <w:vAlign w:val="bottom"/>
            <w:hideMark/>
          </w:tcPr>
          <w:p w14:paraId="7DD51EB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08996A"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8F25B3E" w14:textId="77777777" w:rsidR="00432B71" w:rsidRDefault="00432B71"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54A3040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DD9A32"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C711EFF" w14:textId="77777777" w:rsidR="00432B71" w:rsidRDefault="00432B71" w:rsidP="005A3B4D">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0ABEE446" w14:textId="77777777" w:rsidR="00432B71" w:rsidRDefault="00432B71" w:rsidP="005A3B4D">
            <w:pPr>
              <w:jc w:val="right"/>
              <w:rPr>
                <w:color w:val="000000"/>
                <w:sz w:val="20"/>
                <w:szCs w:val="20"/>
              </w:rPr>
            </w:pPr>
            <w:r>
              <w:rPr>
                <w:color w:val="000000"/>
                <w:sz w:val="20"/>
                <w:szCs w:val="20"/>
              </w:rPr>
              <w:t>0.001</w:t>
            </w:r>
          </w:p>
        </w:tc>
      </w:tr>
      <w:tr w:rsidR="00432B71" w14:paraId="1DE8BBF0"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5BEBA13B"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9953AB5"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CFA2FA2" w14:textId="77777777" w:rsidR="00432B71" w:rsidRDefault="00432B71" w:rsidP="005A3B4D">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550239AF" w14:textId="77777777" w:rsidR="00432B71" w:rsidRDefault="00432B71" w:rsidP="005A3B4D">
            <w:pPr>
              <w:jc w:val="right"/>
              <w:rPr>
                <w:color w:val="000000"/>
                <w:sz w:val="20"/>
                <w:szCs w:val="20"/>
              </w:rPr>
            </w:pPr>
            <w:r>
              <w:rPr>
                <w:color w:val="000000"/>
                <w:sz w:val="20"/>
                <w:szCs w:val="20"/>
              </w:rPr>
              <w:t>0.232</w:t>
            </w:r>
          </w:p>
        </w:tc>
        <w:tc>
          <w:tcPr>
            <w:tcW w:w="768" w:type="dxa"/>
            <w:tcBorders>
              <w:top w:val="nil"/>
              <w:left w:val="nil"/>
              <w:bottom w:val="single" w:sz="4" w:space="0" w:color="auto"/>
              <w:right w:val="nil"/>
            </w:tcBorders>
            <w:shd w:val="clear" w:color="auto" w:fill="auto"/>
            <w:noWrap/>
            <w:vAlign w:val="bottom"/>
            <w:hideMark/>
          </w:tcPr>
          <w:p w14:paraId="516BD4B3"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0CBC6F9" w14:textId="77777777" w:rsidR="00432B71" w:rsidRDefault="00432B71" w:rsidP="005A3B4D">
            <w:pPr>
              <w:jc w:val="right"/>
              <w:rPr>
                <w:color w:val="000000"/>
                <w:sz w:val="20"/>
                <w:szCs w:val="20"/>
              </w:rPr>
            </w:pPr>
            <w:r>
              <w:rPr>
                <w:color w:val="000000"/>
                <w:sz w:val="20"/>
                <w:szCs w:val="20"/>
              </w:rPr>
              <w:t>0.051</w:t>
            </w:r>
          </w:p>
        </w:tc>
        <w:tc>
          <w:tcPr>
            <w:tcW w:w="768" w:type="dxa"/>
            <w:tcBorders>
              <w:top w:val="nil"/>
              <w:left w:val="nil"/>
              <w:bottom w:val="single" w:sz="4" w:space="0" w:color="auto"/>
              <w:right w:val="nil"/>
            </w:tcBorders>
            <w:shd w:val="clear" w:color="auto" w:fill="auto"/>
            <w:noWrap/>
            <w:vAlign w:val="bottom"/>
            <w:hideMark/>
          </w:tcPr>
          <w:p w14:paraId="149D002C" w14:textId="77777777" w:rsidR="00432B71" w:rsidRDefault="00432B71" w:rsidP="005A3B4D">
            <w:pPr>
              <w:jc w:val="right"/>
              <w:rPr>
                <w:color w:val="000000"/>
                <w:sz w:val="20"/>
                <w:szCs w:val="20"/>
              </w:rPr>
            </w:pPr>
            <w:r>
              <w:rPr>
                <w:color w:val="000000"/>
                <w:sz w:val="20"/>
                <w:szCs w:val="20"/>
              </w:rPr>
              <w:t>0.272</w:t>
            </w:r>
          </w:p>
        </w:tc>
        <w:tc>
          <w:tcPr>
            <w:tcW w:w="768" w:type="dxa"/>
            <w:tcBorders>
              <w:top w:val="nil"/>
              <w:left w:val="nil"/>
              <w:bottom w:val="single" w:sz="4" w:space="0" w:color="auto"/>
              <w:right w:val="nil"/>
            </w:tcBorders>
            <w:shd w:val="clear" w:color="auto" w:fill="auto"/>
            <w:noWrap/>
            <w:vAlign w:val="bottom"/>
            <w:hideMark/>
          </w:tcPr>
          <w:p w14:paraId="661C56EC"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683F8BC0" w14:textId="77777777" w:rsidR="00432B71" w:rsidRDefault="00432B71" w:rsidP="005A3B4D">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68E133CB" w14:textId="77777777" w:rsidR="00432B71" w:rsidRDefault="00432B71" w:rsidP="005A3B4D">
            <w:pPr>
              <w:jc w:val="right"/>
              <w:rPr>
                <w:color w:val="000000"/>
                <w:sz w:val="20"/>
                <w:szCs w:val="20"/>
              </w:rPr>
            </w:pPr>
            <w:r>
              <w:rPr>
                <w:color w:val="000000"/>
                <w:sz w:val="20"/>
                <w:szCs w:val="20"/>
              </w:rPr>
              <w:t>0.572</w:t>
            </w:r>
          </w:p>
        </w:tc>
        <w:tc>
          <w:tcPr>
            <w:tcW w:w="768" w:type="dxa"/>
            <w:tcBorders>
              <w:top w:val="nil"/>
              <w:left w:val="nil"/>
              <w:bottom w:val="single" w:sz="4" w:space="0" w:color="auto"/>
              <w:right w:val="nil"/>
            </w:tcBorders>
            <w:shd w:val="clear" w:color="auto" w:fill="auto"/>
            <w:noWrap/>
            <w:vAlign w:val="bottom"/>
            <w:hideMark/>
          </w:tcPr>
          <w:p w14:paraId="228CD3EE"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FAB1B7E" w14:textId="77777777" w:rsidR="00432B71" w:rsidRDefault="00432B71" w:rsidP="005A3B4D">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324A75EF" w14:textId="77777777" w:rsidR="00432B71" w:rsidRDefault="00432B71" w:rsidP="005A3B4D">
            <w:pPr>
              <w:jc w:val="right"/>
              <w:rPr>
                <w:color w:val="000000"/>
                <w:sz w:val="20"/>
                <w:szCs w:val="20"/>
              </w:rPr>
            </w:pPr>
            <w:r>
              <w:rPr>
                <w:color w:val="000000"/>
                <w:sz w:val="20"/>
                <w:szCs w:val="20"/>
              </w:rPr>
              <w:t>0.810</w:t>
            </w:r>
          </w:p>
        </w:tc>
        <w:tc>
          <w:tcPr>
            <w:tcW w:w="768" w:type="dxa"/>
            <w:tcBorders>
              <w:top w:val="nil"/>
              <w:left w:val="nil"/>
              <w:bottom w:val="single" w:sz="4" w:space="0" w:color="auto"/>
              <w:right w:val="nil"/>
            </w:tcBorders>
            <w:shd w:val="clear" w:color="auto" w:fill="auto"/>
            <w:noWrap/>
            <w:vAlign w:val="bottom"/>
            <w:hideMark/>
          </w:tcPr>
          <w:p w14:paraId="6D9B1E6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2EA2151"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1B0D20C8" w14:textId="77777777" w:rsidR="00432B71" w:rsidRDefault="00432B71" w:rsidP="005A3B4D">
            <w:pPr>
              <w:jc w:val="right"/>
              <w:rPr>
                <w:color w:val="000000"/>
                <w:sz w:val="20"/>
                <w:szCs w:val="20"/>
              </w:rPr>
            </w:pPr>
            <w:r>
              <w:rPr>
                <w:color w:val="000000"/>
                <w:sz w:val="20"/>
                <w:szCs w:val="20"/>
              </w:rPr>
              <w:t>0.600</w:t>
            </w:r>
          </w:p>
        </w:tc>
        <w:tc>
          <w:tcPr>
            <w:tcW w:w="768" w:type="dxa"/>
            <w:tcBorders>
              <w:top w:val="nil"/>
              <w:left w:val="nil"/>
              <w:bottom w:val="single" w:sz="4" w:space="0" w:color="auto"/>
              <w:right w:val="nil"/>
            </w:tcBorders>
            <w:shd w:val="clear" w:color="auto" w:fill="auto"/>
            <w:noWrap/>
            <w:vAlign w:val="bottom"/>
            <w:hideMark/>
          </w:tcPr>
          <w:p w14:paraId="61AF51FA" w14:textId="77777777" w:rsidR="00432B71" w:rsidRDefault="00432B71" w:rsidP="005A3B4D">
            <w:pPr>
              <w:jc w:val="right"/>
              <w:rPr>
                <w:color w:val="000000"/>
                <w:sz w:val="20"/>
                <w:szCs w:val="20"/>
              </w:rPr>
            </w:pPr>
            <w:r>
              <w:rPr>
                <w:color w:val="000000"/>
                <w:sz w:val="20"/>
                <w:szCs w:val="20"/>
              </w:rPr>
              <w:t>0.001</w:t>
            </w:r>
          </w:p>
        </w:tc>
      </w:tr>
      <w:tr w:rsidR="00432B71" w14:paraId="5F845BBE" w14:textId="77777777" w:rsidTr="005A3B4D">
        <w:trPr>
          <w:trHeight w:val="320"/>
        </w:trPr>
        <w:tc>
          <w:tcPr>
            <w:tcW w:w="1176" w:type="dxa"/>
            <w:tcBorders>
              <w:top w:val="nil"/>
              <w:left w:val="nil"/>
              <w:bottom w:val="nil"/>
              <w:right w:val="nil"/>
            </w:tcBorders>
            <w:shd w:val="clear" w:color="auto" w:fill="auto"/>
            <w:noWrap/>
            <w:vAlign w:val="bottom"/>
            <w:hideMark/>
          </w:tcPr>
          <w:p w14:paraId="047EB10B" w14:textId="77777777" w:rsidR="00432B71" w:rsidRDefault="00432B71"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0B5AB815"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254C33D" w14:textId="77777777" w:rsidR="00432B71" w:rsidRDefault="00432B71" w:rsidP="005A3B4D">
            <w:pPr>
              <w:jc w:val="right"/>
              <w:rPr>
                <w:color w:val="000000"/>
                <w:sz w:val="20"/>
                <w:szCs w:val="20"/>
              </w:rPr>
            </w:pPr>
            <w:r>
              <w:rPr>
                <w:b/>
                <w:bCs/>
                <w:color w:val="000000"/>
                <w:sz w:val="20"/>
                <w:szCs w:val="20"/>
              </w:rPr>
              <w:t>-0.072</w:t>
            </w:r>
          </w:p>
        </w:tc>
        <w:tc>
          <w:tcPr>
            <w:tcW w:w="768" w:type="dxa"/>
            <w:tcBorders>
              <w:top w:val="nil"/>
              <w:left w:val="nil"/>
              <w:bottom w:val="nil"/>
              <w:right w:val="nil"/>
            </w:tcBorders>
            <w:shd w:val="clear" w:color="auto" w:fill="auto"/>
            <w:noWrap/>
            <w:vAlign w:val="bottom"/>
            <w:hideMark/>
          </w:tcPr>
          <w:p w14:paraId="78D2CB2E" w14:textId="77777777" w:rsidR="00432B71" w:rsidRDefault="00432B71" w:rsidP="005A3B4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49C9A39D" w14:textId="77777777" w:rsidR="00432B71" w:rsidRDefault="00432B71" w:rsidP="005A3B4D">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57969A45"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7A939E9" w14:textId="77777777" w:rsidR="00432B71" w:rsidRDefault="00432B71" w:rsidP="005A3B4D">
            <w:pPr>
              <w:jc w:val="right"/>
              <w:rPr>
                <w:color w:val="000000"/>
                <w:sz w:val="20"/>
                <w:szCs w:val="20"/>
              </w:rPr>
            </w:pPr>
            <w:r>
              <w:rPr>
                <w:color w:val="000000"/>
                <w:sz w:val="20"/>
                <w:szCs w:val="20"/>
              </w:rPr>
              <w:t>0.781</w:t>
            </w:r>
          </w:p>
        </w:tc>
        <w:tc>
          <w:tcPr>
            <w:tcW w:w="768" w:type="dxa"/>
            <w:tcBorders>
              <w:top w:val="nil"/>
              <w:left w:val="nil"/>
              <w:bottom w:val="nil"/>
              <w:right w:val="nil"/>
            </w:tcBorders>
            <w:shd w:val="clear" w:color="auto" w:fill="auto"/>
            <w:noWrap/>
            <w:vAlign w:val="bottom"/>
            <w:hideMark/>
          </w:tcPr>
          <w:p w14:paraId="421F684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EF3977"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97C5861" w14:textId="77777777" w:rsidR="00432B71" w:rsidRDefault="00432B71" w:rsidP="005A3B4D">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32576C6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E5E23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242010" w14:textId="77777777" w:rsidR="00432B71" w:rsidRDefault="00432B71" w:rsidP="005A3B4D">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68EED59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85ACAC"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C3E04A5" w14:textId="77777777" w:rsidR="00432B71" w:rsidRDefault="00432B71" w:rsidP="005A3B4D">
            <w:pPr>
              <w:jc w:val="right"/>
              <w:rPr>
                <w:color w:val="000000"/>
                <w:sz w:val="20"/>
                <w:szCs w:val="20"/>
              </w:rPr>
            </w:pPr>
            <w:r>
              <w:rPr>
                <w:color w:val="000000"/>
                <w:sz w:val="20"/>
                <w:szCs w:val="20"/>
              </w:rPr>
              <w:t>0.820</w:t>
            </w:r>
          </w:p>
        </w:tc>
        <w:tc>
          <w:tcPr>
            <w:tcW w:w="768" w:type="dxa"/>
            <w:tcBorders>
              <w:top w:val="nil"/>
              <w:left w:val="nil"/>
              <w:bottom w:val="nil"/>
              <w:right w:val="nil"/>
            </w:tcBorders>
            <w:shd w:val="clear" w:color="auto" w:fill="auto"/>
            <w:noWrap/>
            <w:vAlign w:val="bottom"/>
            <w:hideMark/>
          </w:tcPr>
          <w:p w14:paraId="724516B0" w14:textId="77777777" w:rsidR="00432B71" w:rsidRDefault="00432B71" w:rsidP="005A3B4D">
            <w:pPr>
              <w:jc w:val="right"/>
              <w:rPr>
                <w:color w:val="000000"/>
                <w:sz w:val="20"/>
                <w:szCs w:val="20"/>
              </w:rPr>
            </w:pPr>
            <w:r>
              <w:rPr>
                <w:color w:val="000000"/>
                <w:sz w:val="20"/>
                <w:szCs w:val="20"/>
              </w:rPr>
              <w:t>0.000</w:t>
            </w:r>
          </w:p>
        </w:tc>
      </w:tr>
      <w:tr w:rsidR="00432B71" w14:paraId="6B882280" w14:textId="77777777" w:rsidTr="005A3B4D">
        <w:trPr>
          <w:trHeight w:val="320"/>
        </w:trPr>
        <w:tc>
          <w:tcPr>
            <w:tcW w:w="1176" w:type="dxa"/>
            <w:tcBorders>
              <w:top w:val="nil"/>
              <w:left w:val="nil"/>
              <w:bottom w:val="nil"/>
              <w:right w:val="nil"/>
            </w:tcBorders>
            <w:shd w:val="clear" w:color="auto" w:fill="auto"/>
            <w:noWrap/>
            <w:vAlign w:val="bottom"/>
            <w:hideMark/>
          </w:tcPr>
          <w:p w14:paraId="73C060F6"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654AE83"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9B795DA"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2FCCA3A" w14:textId="77777777" w:rsidR="00432B71" w:rsidRDefault="00432B71" w:rsidP="005A3B4D">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76E6DA7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585822"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539D3B7" w14:textId="77777777" w:rsidR="00432B71" w:rsidRDefault="00432B71" w:rsidP="005A3B4D">
            <w:pPr>
              <w:jc w:val="right"/>
              <w:rPr>
                <w:color w:val="000000"/>
                <w:sz w:val="20"/>
                <w:szCs w:val="20"/>
              </w:rPr>
            </w:pPr>
            <w:r>
              <w:rPr>
                <w:color w:val="000000"/>
                <w:sz w:val="20"/>
                <w:szCs w:val="20"/>
              </w:rPr>
              <w:t>0.437</w:t>
            </w:r>
          </w:p>
        </w:tc>
        <w:tc>
          <w:tcPr>
            <w:tcW w:w="768" w:type="dxa"/>
            <w:tcBorders>
              <w:top w:val="nil"/>
              <w:left w:val="nil"/>
              <w:bottom w:val="nil"/>
              <w:right w:val="nil"/>
            </w:tcBorders>
            <w:shd w:val="clear" w:color="auto" w:fill="auto"/>
            <w:noWrap/>
            <w:vAlign w:val="bottom"/>
            <w:hideMark/>
          </w:tcPr>
          <w:p w14:paraId="167BD24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3E8326"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43A19BB" w14:textId="77777777" w:rsidR="00432B71" w:rsidRDefault="00432B71" w:rsidP="005A3B4D">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63F9D500"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6D5871" w14:textId="77777777" w:rsidR="00432B71" w:rsidRDefault="00432B71" w:rsidP="005A3B4D">
            <w:pPr>
              <w:jc w:val="right"/>
              <w:rPr>
                <w:b/>
                <w:bCs/>
                <w:color w:val="000000"/>
                <w:sz w:val="20"/>
                <w:szCs w:val="20"/>
              </w:rPr>
            </w:pPr>
            <w:r>
              <w:rPr>
                <w:b/>
                <w:bCs/>
                <w:color w:val="000000"/>
                <w:sz w:val="20"/>
                <w:szCs w:val="20"/>
              </w:rPr>
              <w:t>0.059</w:t>
            </w:r>
          </w:p>
        </w:tc>
        <w:tc>
          <w:tcPr>
            <w:tcW w:w="768" w:type="dxa"/>
            <w:tcBorders>
              <w:top w:val="nil"/>
              <w:left w:val="nil"/>
              <w:bottom w:val="nil"/>
              <w:right w:val="nil"/>
            </w:tcBorders>
            <w:shd w:val="clear" w:color="auto" w:fill="auto"/>
            <w:noWrap/>
            <w:vAlign w:val="bottom"/>
            <w:hideMark/>
          </w:tcPr>
          <w:p w14:paraId="37E688B2" w14:textId="77777777" w:rsidR="00432B71" w:rsidRDefault="00432B71" w:rsidP="005A3B4D">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2216DD80" w14:textId="77777777" w:rsidR="00432B71" w:rsidRDefault="00432B71" w:rsidP="005A3B4D">
            <w:pPr>
              <w:jc w:val="right"/>
              <w:rPr>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623C30E5" w14:textId="77777777" w:rsidR="00432B71" w:rsidRDefault="00432B71" w:rsidP="005A3B4D">
            <w:pPr>
              <w:jc w:val="right"/>
              <w:rPr>
                <w:b/>
                <w:bCs/>
                <w:color w:val="000000"/>
                <w:sz w:val="20"/>
                <w:szCs w:val="20"/>
              </w:rPr>
            </w:pPr>
            <w:r>
              <w:rPr>
                <w:b/>
                <w:bCs/>
                <w:color w:val="000000"/>
                <w:sz w:val="20"/>
                <w:szCs w:val="20"/>
              </w:rPr>
              <w:t>-0.097</w:t>
            </w:r>
          </w:p>
        </w:tc>
        <w:tc>
          <w:tcPr>
            <w:tcW w:w="768" w:type="dxa"/>
            <w:tcBorders>
              <w:top w:val="nil"/>
              <w:left w:val="nil"/>
              <w:bottom w:val="nil"/>
              <w:right w:val="nil"/>
            </w:tcBorders>
            <w:shd w:val="clear" w:color="auto" w:fill="auto"/>
            <w:noWrap/>
            <w:vAlign w:val="bottom"/>
            <w:hideMark/>
          </w:tcPr>
          <w:p w14:paraId="3A2CA047" w14:textId="77777777" w:rsidR="00432B71" w:rsidRDefault="00432B7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D0D8A86" w14:textId="77777777" w:rsidR="00432B71" w:rsidRDefault="00432B71" w:rsidP="005A3B4D">
            <w:pPr>
              <w:jc w:val="right"/>
              <w:rPr>
                <w:color w:val="000000"/>
                <w:sz w:val="20"/>
                <w:szCs w:val="20"/>
              </w:rPr>
            </w:pPr>
            <w:r>
              <w:rPr>
                <w:b/>
                <w:bCs/>
                <w:color w:val="000000"/>
                <w:sz w:val="20"/>
                <w:szCs w:val="20"/>
              </w:rPr>
              <w:t>0.009</w:t>
            </w:r>
          </w:p>
        </w:tc>
      </w:tr>
      <w:tr w:rsidR="00432B71" w14:paraId="41883924" w14:textId="77777777" w:rsidTr="005A3B4D">
        <w:trPr>
          <w:trHeight w:val="320"/>
        </w:trPr>
        <w:tc>
          <w:tcPr>
            <w:tcW w:w="1176" w:type="dxa"/>
            <w:tcBorders>
              <w:top w:val="nil"/>
              <w:left w:val="nil"/>
              <w:bottom w:val="nil"/>
              <w:right w:val="nil"/>
            </w:tcBorders>
            <w:shd w:val="clear" w:color="auto" w:fill="auto"/>
            <w:noWrap/>
            <w:vAlign w:val="bottom"/>
            <w:hideMark/>
          </w:tcPr>
          <w:p w14:paraId="60A070F3"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619FC36"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DED669B"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07860AA0" w14:textId="77777777" w:rsidR="00432B71" w:rsidRDefault="00432B71" w:rsidP="005A3B4D">
            <w:pPr>
              <w:jc w:val="right"/>
              <w:rPr>
                <w:color w:val="000000"/>
                <w:sz w:val="20"/>
                <w:szCs w:val="20"/>
              </w:rPr>
            </w:pPr>
            <w:r>
              <w:rPr>
                <w:color w:val="000000"/>
                <w:sz w:val="20"/>
                <w:szCs w:val="20"/>
              </w:rPr>
              <w:t>0.291</w:t>
            </w:r>
          </w:p>
        </w:tc>
        <w:tc>
          <w:tcPr>
            <w:tcW w:w="768" w:type="dxa"/>
            <w:tcBorders>
              <w:top w:val="nil"/>
              <w:left w:val="nil"/>
              <w:bottom w:val="nil"/>
              <w:right w:val="nil"/>
            </w:tcBorders>
            <w:shd w:val="clear" w:color="auto" w:fill="auto"/>
            <w:noWrap/>
            <w:vAlign w:val="bottom"/>
            <w:hideMark/>
          </w:tcPr>
          <w:p w14:paraId="3C52461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57890B"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83136AD" w14:textId="77777777" w:rsidR="00432B71" w:rsidRDefault="00432B71" w:rsidP="005A3B4D">
            <w:pPr>
              <w:jc w:val="right"/>
              <w:rPr>
                <w:color w:val="000000"/>
                <w:sz w:val="20"/>
                <w:szCs w:val="20"/>
              </w:rPr>
            </w:pPr>
            <w:r>
              <w:rPr>
                <w:color w:val="000000"/>
                <w:sz w:val="20"/>
                <w:szCs w:val="20"/>
              </w:rPr>
              <w:t>0.781</w:t>
            </w:r>
          </w:p>
        </w:tc>
        <w:tc>
          <w:tcPr>
            <w:tcW w:w="768" w:type="dxa"/>
            <w:tcBorders>
              <w:top w:val="nil"/>
              <w:left w:val="nil"/>
              <w:bottom w:val="nil"/>
              <w:right w:val="nil"/>
            </w:tcBorders>
            <w:shd w:val="clear" w:color="auto" w:fill="auto"/>
            <w:noWrap/>
            <w:vAlign w:val="bottom"/>
            <w:hideMark/>
          </w:tcPr>
          <w:p w14:paraId="030B4FD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03698F"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1F58D75"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7440B1AB"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ECEA2C"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BE0A055" w14:textId="77777777" w:rsidR="00432B71" w:rsidRDefault="00432B71" w:rsidP="005A3B4D">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0373AA95"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63D778"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C4DD90F" w14:textId="77777777" w:rsidR="00432B71" w:rsidRDefault="00432B71" w:rsidP="005A3B4D">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718CCC58" w14:textId="77777777" w:rsidR="00432B71" w:rsidRDefault="00432B71" w:rsidP="005A3B4D">
            <w:pPr>
              <w:jc w:val="right"/>
              <w:rPr>
                <w:color w:val="000000"/>
                <w:sz w:val="20"/>
                <w:szCs w:val="20"/>
              </w:rPr>
            </w:pPr>
            <w:r>
              <w:rPr>
                <w:color w:val="000000"/>
                <w:sz w:val="20"/>
                <w:szCs w:val="20"/>
              </w:rPr>
              <w:t>0.000</w:t>
            </w:r>
          </w:p>
        </w:tc>
      </w:tr>
      <w:tr w:rsidR="00432B71" w14:paraId="714BF39A" w14:textId="77777777" w:rsidTr="005A3B4D">
        <w:trPr>
          <w:trHeight w:val="320"/>
        </w:trPr>
        <w:tc>
          <w:tcPr>
            <w:tcW w:w="1176" w:type="dxa"/>
            <w:tcBorders>
              <w:top w:val="nil"/>
              <w:left w:val="nil"/>
              <w:bottom w:val="nil"/>
              <w:right w:val="nil"/>
            </w:tcBorders>
            <w:shd w:val="clear" w:color="auto" w:fill="auto"/>
            <w:noWrap/>
            <w:vAlign w:val="bottom"/>
            <w:hideMark/>
          </w:tcPr>
          <w:p w14:paraId="2204E695"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0EA710"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A2BEEDA"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276D31A" w14:textId="77777777" w:rsidR="00432B71" w:rsidRDefault="00432B71" w:rsidP="005A3B4D">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438D3ED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B1D438"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D272EB3" w14:textId="77777777" w:rsidR="00432B71" w:rsidRDefault="00432B71" w:rsidP="005A3B4D">
            <w:pPr>
              <w:jc w:val="right"/>
              <w:rPr>
                <w:color w:val="000000"/>
                <w:sz w:val="20"/>
                <w:szCs w:val="20"/>
              </w:rPr>
            </w:pPr>
            <w:r>
              <w:rPr>
                <w:color w:val="000000"/>
                <w:sz w:val="20"/>
                <w:szCs w:val="20"/>
              </w:rPr>
              <w:t>0.452</w:t>
            </w:r>
          </w:p>
        </w:tc>
        <w:tc>
          <w:tcPr>
            <w:tcW w:w="768" w:type="dxa"/>
            <w:tcBorders>
              <w:top w:val="nil"/>
              <w:left w:val="nil"/>
              <w:bottom w:val="nil"/>
              <w:right w:val="nil"/>
            </w:tcBorders>
            <w:shd w:val="clear" w:color="auto" w:fill="auto"/>
            <w:noWrap/>
            <w:vAlign w:val="bottom"/>
            <w:hideMark/>
          </w:tcPr>
          <w:p w14:paraId="13377860"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211AB5A"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AE7898B" w14:textId="77777777" w:rsidR="00432B71" w:rsidRDefault="00432B71" w:rsidP="005A3B4D">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6F9457E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FD6B40" w14:textId="77777777" w:rsidR="00432B71" w:rsidRDefault="00432B7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1D08356B" w14:textId="77777777" w:rsidR="00432B71" w:rsidRDefault="00432B71" w:rsidP="005A3B4D">
            <w:pPr>
              <w:jc w:val="right"/>
              <w:rPr>
                <w:color w:val="000000"/>
                <w:sz w:val="20"/>
                <w:szCs w:val="20"/>
              </w:rPr>
            </w:pPr>
            <w:r>
              <w:rPr>
                <w:color w:val="000000"/>
                <w:sz w:val="20"/>
                <w:szCs w:val="20"/>
              </w:rPr>
              <w:t>0.398</w:t>
            </w:r>
          </w:p>
        </w:tc>
        <w:tc>
          <w:tcPr>
            <w:tcW w:w="768" w:type="dxa"/>
            <w:tcBorders>
              <w:top w:val="nil"/>
              <w:left w:val="nil"/>
              <w:bottom w:val="nil"/>
              <w:right w:val="nil"/>
            </w:tcBorders>
            <w:shd w:val="clear" w:color="auto" w:fill="auto"/>
            <w:noWrap/>
            <w:vAlign w:val="bottom"/>
            <w:hideMark/>
          </w:tcPr>
          <w:p w14:paraId="5EF6021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EBA28DC"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6BE3BDD" w14:textId="77777777" w:rsidR="00432B71" w:rsidRDefault="00432B71" w:rsidP="005A3B4D">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2B0B731D" w14:textId="77777777" w:rsidR="00432B71" w:rsidRDefault="00432B71" w:rsidP="005A3B4D">
            <w:pPr>
              <w:jc w:val="right"/>
              <w:rPr>
                <w:color w:val="000000"/>
                <w:sz w:val="20"/>
                <w:szCs w:val="20"/>
              </w:rPr>
            </w:pPr>
            <w:r>
              <w:rPr>
                <w:color w:val="000000"/>
                <w:sz w:val="20"/>
                <w:szCs w:val="20"/>
              </w:rPr>
              <w:t>0.000</w:t>
            </w:r>
          </w:p>
        </w:tc>
      </w:tr>
      <w:tr w:rsidR="00432B71" w14:paraId="3342BE16" w14:textId="77777777" w:rsidTr="005A3B4D">
        <w:trPr>
          <w:trHeight w:val="320"/>
        </w:trPr>
        <w:tc>
          <w:tcPr>
            <w:tcW w:w="1176" w:type="dxa"/>
            <w:tcBorders>
              <w:top w:val="nil"/>
              <w:left w:val="nil"/>
              <w:bottom w:val="nil"/>
              <w:right w:val="nil"/>
            </w:tcBorders>
            <w:shd w:val="clear" w:color="auto" w:fill="auto"/>
            <w:noWrap/>
            <w:vAlign w:val="bottom"/>
            <w:hideMark/>
          </w:tcPr>
          <w:p w14:paraId="09CD5382"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5095FBF"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3AADABB"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C96288C" w14:textId="77777777" w:rsidR="00432B71" w:rsidRDefault="00432B71" w:rsidP="005A3B4D">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279E835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224E0C"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A18CBDF" w14:textId="77777777" w:rsidR="00432B71" w:rsidRDefault="00432B71" w:rsidP="005A3B4D">
            <w:pPr>
              <w:jc w:val="right"/>
              <w:rPr>
                <w:color w:val="000000"/>
                <w:sz w:val="20"/>
                <w:szCs w:val="20"/>
              </w:rPr>
            </w:pPr>
            <w:r>
              <w:rPr>
                <w:color w:val="000000"/>
                <w:sz w:val="20"/>
                <w:szCs w:val="20"/>
              </w:rPr>
              <w:t>0.478</w:t>
            </w:r>
          </w:p>
        </w:tc>
        <w:tc>
          <w:tcPr>
            <w:tcW w:w="768" w:type="dxa"/>
            <w:tcBorders>
              <w:top w:val="nil"/>
              <w:left w:val="nil"/>
              <w:bottom w:val="nil"/>
              <w:right w:val="nil"/>
            </w:tcBorders>
            <w:shd w:val="clear" w:color="auto" w:fill="auto"/>
            <w:noWrap/>
            <w:vAlign w:val="bottom"/>
            <w:hideMark/>
          </w:tcPr>
          <w:p w14:paraId="3451F59E"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7486C70"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074EDD0" w14:textId="77777777" w:rsidR="00432B71" w:rsidRDefault="00432B71" w:rsidP="005A3B4D">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60D4185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B65191"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463F59A" w14:textId="77777777" w:rsidR="00432B71" w:rsidRDefault="00432B71" w:rsidP="005A3B4D">
            <w:pPr>
              <w:jc w:val="right"/>
              <w:rPr>
                <w:color w:val="000000"/>
                <w:sz w:val="20"/>
                <w:szCs w:val="20"/>
              </w:rPr>
            </w:pPr>
            <w:r>
              <w:rPr>
                <w:color w:val="000000"/>
                <w:sz w:val="20"/>
                <w:szCs w:val="20"/>
              </w:rPr>
              <w:t>0.398</w:t>
            </w:r>
          </w:p>
        </w:tc>
        <w:tc>
          <w:tcPr>
            <w:tcW w:w="768" w:type="dxa"/>
            <w:tcBorders>
              <w:top w:val="nil"/>
              <w:left w:val="nil"/>
              <w:bottom w:val="nil"/>
              <w:right w:val="nil"/>
            </w:tcBorders>
            <w:shd w:val="clear" w:color="auto" w:fill="auto"/>
            <w:noWrap/>
            <w:vAlign w:val="bottom"/>
            <w:hideMark/>
          </w:tcPr>
          <w:p w14:paraId="49D1EB30"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386CE7" w14:textId="77777777" w:rsidR="00432B71" w:rsidRDefault="00432B71"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30B692F1" w14:textId="77777777" w:rsidR="00432B71" w:rsidRDefault="00432B71"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672FE3CB" w14:textId="77777777" w:rsidR="00432B71" w:rsidRDefault="00432B71" w:rsidP="005A3B4D">
            <w:pPr>
              <w:jc w:val="right"/>
              <w:rPr>
                <w:color w:val="000000"/>
                <w:sz w:val="20"/>
                <w:szCs w:val="20"/>
              </w:rPr>
            </w:pPr>
            <w:r>
              <w:rPr>
                <w:color w:val="000000"/>
                <w:sz w:val="20"/>
                <w:szCs w:val="20"/>
              </w:rPr>
              <w:t>0.003</w:t>
            </w:r>
          </w:p>
        </w:tc>
      </w:tr>
      <w:tr w:rsidR="00432B71" w14:paraId="7493B9F1" w14:textId="77777777" w:rsidTr="005A3B4D">
        <w:trPr>
          <w:trHeight w:val="320"/>
        </w:trPr>
        <w:tc>
          <w:tcPr>
            <w:tcW w:w="1176" w:type="dxa"/>
            <w:tcBorders>
              <w:top w:val="nil"/>
              <w:left w:val="nil"/>
              <w:bottom w:val="nil"/>
              <w:right w:val="nil"/>
            </w:tcBorders>
            <w:shd w:val="clear" w:color="auto" w:fill="auto"/>
            <w:noWrap/>
            <w:vAlign w:val="bottom"/>
            <w:hideMark/>
          </w:tcPr>
          <w:p w14:paraId="22831594"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DFA277"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3685E96" w14:textId="77777777" w:rsidR="00432B71" w:rsidRDefault="00432B71" w:rsidP="005A3B4D">
            <w:pPr>
              <w:jc w:val="right"/>
              <w:rPr>
                <w:b/>
                <w:bCs/>
                <w:color w:val="000000"/>
                <w:sz w:val="20"/>
                <w:szCs w:val="20"/>
              </w:rPr>
            </w:pPr>
            <w:r>
              <w:rPr>
                <w:b/>
                <w:bCs/>
                <w:color w:val="000000"/>
                <w:sz w:val="20"/>
                <w:szCs w:val="20"/>
              </w:rPr>
              <w:t>-0.085</w:t>
            </w:r>
          </w:p>
        </w:tc>
        <w:tc>
          <w:tcPr>
            <w:tcW w:w="768" w:type="dxa"/>
            <w:tcBorders>
              <w:top w:val="nil"/>
              <w:left w:val="nil"/>
              <w:bottom w:val="nil"/>
              <w:right w:val="nil"/>
            </w:tcBorders>
            <w:shd w:val="clear" w:color="auto" w:fill="auto"/>
            <w:noWrap/>
            <w:vAlign w:val="bottom"/>
            <w:hideMark/>
          </w:tcPr>
          <w:p w14:paraId="4601728A" w14:textId="77777777" w:rsidR="00432B71" w:rsidRDefault="00432B7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093EE00" w14:textId="77777777" w:rsidR="00432B71" w:rsidRDefault="00432B71" w:rsidP="005A3B4D">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061E55FD"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4D5722C" w14:textId="77777777" w:rsidR="00432B71" w:rsidRDefault="00432B71" w:rsidP="005A3B4D">
            <w:pPr>
              <w:jc w:val="right"/>
              <w:rPr>
                <w:color w:val="000000"/>
                <w:sz w:val="20"/>
                <w:szCs w:val="20"/>
              </w:rPr>
            </w:pPr>
            <w:r>
              <w:rPr>
                <w:color w:val="000000"/>
                <w:sz w:val="20"/>
                <w:szCs w:val="20"/>
              </w:rPr>
              <w:t>0.437</w:t>
            </w:r>
          </w:p>
        </w:tc>
        <w:tc>
          <w:tcPr>
            <w:tcW w:w="768" w:type="dxa"/>
            <w:tcBorders>
              <w:top w:val="nil"/>
              <w:left w:val="nil"/>
              <w:bottom w:val="nil"/>
              <w:right w:val="nil"/>
            </w:tcBorders>
            <w:shd w:val="clear" w:color="auto" w:fill="auto"/>
            <w:noWrap/>
            <w:vAlign w:val="bottom"/>
            <w:hideMark/>
          </w:tcPr>
          <w:p w14:paraId="1B89E2B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CB736E"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F17FA7B"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55F13160"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0010E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9576BD" w14:textId="77777777" w:rsidR="00432B71" w:rsidRDefault="00432B71" w:rsidP="005A3B4D">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72F8FE0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3777A4"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BF5A186" w14:textId="77777777" w:rsidR="00432B71" w:rsidRDefault="00432B71" w:rsidP="005A3B4D">
            <w:pPr>
              <w:jc w:val="right"/>
              <w:rPr>
                <w:color w:val="000000"/>
                <w:sz w:val="20"/>
                <w:szCs w:val="20"/>
              </w:rPr>
            </w:pPr>
            <w:r>
              <w:rPr>
                <w:color w:val="000000"/>
                <w:sz w:val="20"/>
                <w:szCs w:val="20"/>
              </w:rPr>
              <w:t>0.820</w:t>
            </w:r>
          </w:p>
        </w:tc>
        <w:tc>
          <w:tcPr>
            <w:tcW w:w="768" w:type="dxa"/>
            <w:tcBorders>
              <w:top w:val="nil"/>
              <w:left w:val="nil"/>
              <w:bottom w:val="nil"/>
              <w:right w:val="nil"/>
            </w:tcBorders>
            <w:shd w:val="clear" w:color="auto" w:fill="auto"/>
            <w:noWrap/>
            <w:vAlign w:val="bottom"/>
            <w:hideMark/>
          </w:tcPr>
          <w:p w14:paraId="29426E71" w14:textId="77777777" w:rsidR="00432B71" w:rsidRDefault="00432B71" w:rsidP="005A3B4D">
            <w:pPr>
              <w:jc w:val="right"/>
              <w:rPr>
                <w:color w:val="000000"/>
                <w:sz w:val="20"/>
                <w:szCs w:val="20"/>
              </w:rPr>
            </w:pPr>
            <w:r>
              <w:rPr>
                <w:color w:val="000000"/>
                <w:sz w:val="20"/>
                <w:szCs w:val="20"/>
              </w:rPr>
              <w:t>0.000</w:t>
            </w:r>
          </w:p>
        </w:tc>
      </w:tr>
      <w:tr w:rsidR="00432B71" w14:paraId="07D22089" w14:textId="77777777" w:rsidTr="005A3B4D">
        <w:trPr>
          <w:trHeight w:val="320"/>
        </w:trPr>
        <w:tc>
          <w:tcPr>
            <w:tcW w:w="1176" w:type="dxa"/>
            <w:tcBorders>
              <w:top w:val="nil"/>
              <w:left w:val="nil"/>
              <w:bottom w:val="nil"/>
              <w:right w:val="nil"/>
            </w:tcBorders>
            <w:shd w:val="clear" w:color="auto" w:fill="auto"/>
            <w:noWrap/>
            <w:vAlign w:val="bottom"/>
            <w:hideMark/>
          </w:tcPr>
          <w:p w14:paraId="62514B09"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3B8751B"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67168AC" w14:textId="77777777" w:rsidR="00432B71" w:rsidRDefault="00432B71"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7C95C7C" w14:textId="77777777" w:rsidR="00432B71" w:rsidRDefault="00432B71" w:rsidP="005A3B4D">
            <w:pPr>
              <w:jc w:val="right"/>
              <w:rPr>
                <w:color w:val="000000"/>
                <w:sz w:val="20"/>
                <w:szCs w:val="20"/>
              </w:rPr>
            </w:pPr>
            <w:r>
              <w:rPr>
                <w:color w:val="000000"/>
                <w:sz w:val="20"/>
                <w:szCs w:val="20"/>
              </w:rPr>
              <w:t>0.602</w:t>
            </w:r>
          </w:p>
        </w:tc>
        <w:tc>
          <w:tcPr>
            <w:tcW w:w="768" w:type="dxa"/>
            <w:tcBorders>
              <w:top w:val="nil"/>
              <w:left w:val="nil"/>
              <w:bottom w:val="nil"/>
              <w:right w:val="nil"/>
            </w:tcBorders>
            <w:shd w:val="clear" w:color="auto" w:fill="auto"/>
            <w:noWrap/>
            <w:vAlign w:val="bottom"/>
            <w:hideMark/>
          </w:tcPr>
          <w:p w14:paraId="42EDDE42"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746251"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DEC9D30" w14:textId="77777777" w:rsidR="00432B71" w:rsidRDefault="00432B71" w:rsidP="005A3B4D">
            <w:pPr>
              <w:jc w:val="right"/>
              <w:rPr>
                <w:color w:val="000000"/>
                <w:sz w:val="20"/>
                <w:szCs w:val="20"/>
              </w:rPr>
            </w:pPr>
            <w:r>
              <w:rPr>
                <w:color w:val="000000"/>
                <w:sz w:val="20"/>
                <w:szCs w:val="20"/>
              </w:rPr>
              <w:t>0.781</w:t>
            </w:r>
          </w:p>
        </w:tc>
        <w:tc>
          <w:tcPr>
            <w:tcW w:w="768" w:type="dxa"/>
            <w:tcBorders>
              <w:top w:val="nil"/>
              <w:left w:val="nil"/>
              <w:bottom w:val="nil"/>
              <w:right w:val="nil"/>
            </w:tcBorders>
            <w:shd w:val="clear" w:color="auto" w:fill="auto"/>
            <w:noWrap/>
            <w:vAlign w:val="bottom"/>
            <w:hideMark/>
          </w:tcPr>
          <w:p w14:paraId="1956F32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BB32A1"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3920FF3" w14:textId="77777777" w:rsidR="00432B71" w:rsidRDefault="00432B71" w:rsidP="005A3B4D">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357A9F5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409491" w14:textId="77777777" w:rsidR="00432B71" w:rsidRDefault="00432B71"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14905A17" w14:textId="77777777" w:rsidR="00432B71" w:rsidRDefault="00432B71" w:rsidP="005A3B4D">
            <w:pPr>
              <w:jc w:val="right"/>
              <w:rPr>
                <w:color w:val="000000"/>
                <w:sz w:val="20"/>
                <w:szCs w:val="20"/>
              </w:rPr>
            </w:pPr>
            <w:r>
              <w:rPr>
                <w:color w:val="000000"/>
                <w:sz w:val="20"/>
                <w:szCs w:val="20"/>
              </w:rPr>
              <w:t>0.376</w:t>
            </w:r>
          </w:p>
        </w:tc>
        <w:tc>
          <w:tcPr>
            <w:tcW w:w="768" w:type="dxa"/>
            <w:tcBorders>
              <w:top w:val="nil"/>
              <w:left w:val="nil"/>
              <w:bottom w:val="nil"/>
              <w:right w:val="nil"/>
            </w:tcBorders>
            <w:shd w:val="clear" w:color="auto" w:fill="auto"/>
            <w:noWrap/>
            <w:vAlign w:val="bottom"/>
            <w:hideMark/>
          </w:tcPr>
          <w:p w14:paraId="00DCEEE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C63038"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C34AA6F" w14:textId="77777777" w:rsidR="00432B71" w:rsidRDefault="00432B71" w:rsidP="005A3B4D">
            <w:pPr>
              <w:jc w:val="right"/>
              <w:rPr>
                <w:color w:val="000000"/>
                <w:sz w:val="20"/>
                <w:szCs w:val="20"/>
              </w:rPr>
            </w:pPr>
            <w:r>
              <w:rPr>
                <w:color w:val="000000"/>
                <w:sz w:val="20"/>
                <w:szCs w:val="20"/>
              </w:rPr>
              <w:t>0.634</w:t>
            </w:r>
          </w:p>
        </w:tc>
        <w:tc>
          <w:tcPr>
            <w:tcW w:w="768" w:type="dxa"/>
            <w:tcBorders>
              <w:top w:val="nil"/>
              <w:left w:val="nil"/>
              <w:bottom w:val="nil"/>
              <w:right w:val="nil"/>
            </w:tcBorders>
            <w:shd w:val="clear" w:color="auto" w:fill="auto"/>
            <w:noWrap/>
            <w:vAlign w:val="bottom"/>
            <w:hideMark/>
          </w:tcPr>
          <w:p w14:paraId="3B7B64AD" w14:textId="77777777" w:rsidR="00432B71" w:rsidRDefault="00432B71" w:rsidP="005A3B4D">
            <w:pPr>
              <w:jc w:val="right"/>
              <w:rPr>
                <w:color w:val="000000"/>
                <w:sz w:val="20"/>
                <w:szCs w:val="20"/>
              </w:rPr>
            </w:pPr>
            <w:r>
              <w:rPr>
                <w:color w:val="000000"/>
                <w:sz w:val="20"/>
                <w:szCs w:val="20"/>
              </w:rPr>
              <w:t>0.001</w:t>
            </w:r>
          </w:p>
        </w:tc>
      </w:tr>
      <w:tr w:rsidR="00432B71" w14:paraId="6166388D"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2336D986"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0A43B489"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6271B0DA" w14:textId="77777777" w:rsidR="00432B71" w:rsidRDefault="00432B71" w:rsidP="005A3B4D">
            <w:pPr>
              <w:jc w:val="right"/>
              <w:rPr>
                <w:color w:val="000000"/>
                <w:sz w:val="20"/>
                <w:szCs w:val="20"/>
              </w:rPr>
            </w:pPr>
            <w:r>
              <w:rPr>
                <w:color w:val="000000"/>
                <w:sz w:val="20"/>
                <w:szCs w:val="20"/>
              </w:rPr>
              <w:t>-0.013</w:t>
            </w:r>
          </w:p>
        </w:tc>
        <w:tc>
          <w:tcPr>
            <w:tcW w:w="768" w:type="dxa"/>
            <w:tcBorders>
              <w:top w:val="nil"/>
              <w:left w:val="nil"/>
              <w:bottom w:val="single" w:sz="12" w:space="0" w:color="auto"/>
              <w:right w:val="nil"/>
            </w:tcBorders>
            <w:shd w:val="clear" w:color="auto" w:fill="auto"/>
            <w:noWrap/>
            <w:vAlign w:val="bottom"/>
            <w:hideMark/>
          </w:tcPr>
          <w:p w14:paraId="3E9A872B" w14:textId="77777777" w:rsidR="00432B71" w:rsidRDefault="00432B71" w:rsidP="005A3B4D">
            <w:pPr>
              <w:jc w:val="right"/>
              <w:rPr>
                <w:color w:val="000000"/>
                <w:sz w:val="20"/>
                <w:szCs w:val="20"/>
              </w:rPr>
            </w:pPr>
            <w:r>
              <w:rPr>
                <w:color w:val="000000"/>
                <w:sz w:val="20"/>
                <w:szCs w:val="20"/>
              </w:rPr>
              <w:t>0.815</w:t>
            </w:r>
          </w:p>
        </w:tc>
        <w:tc>
          <w:tcPr>
            <w:tcW w:w="768" w:type="dxa"/>
            <w:tcBorders>
              <w:top w:val="nil"/>
              <w:left w:val="nil"/>
              <w:bottom w:val="single" w:sz="12" w:space="0" w:color="auto"/>
              <w:right w:val="nil"/>
            </w:tcBorders>
            <w:shd w:val="clear" w:color="auto" w:fill="auto"/>
            <w:noWrap/>
            <w:vAlign w:val="bottom"/>
            <w:hideMark/>
          </w:tcPr>
          <w:p w14:paraId="49404CA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2C92F7B" w14:textId="77777777" w:rsidR="00432B71" w:rsidRDefault="00432B71" w:rsidP="005A3B4D">
            <w:pPr>
              <w:jc w:val="right"/>
              <w:rPr>
                <w:color w:val="000000"/>
                <w:sz w:val="20"/>
                <w:szCs w:val="20"/>
              </w:rPr>
            </w:pPr>
            <w:r>
              <w:rPr>
                <w:color w:val="000000"/>
                <w:sz w:val="20"/>
                <w:szCs w:val="20"/>
              </w:rPr>
              <w:t>0.055</w:t>
            </w:r>
          </w:p>
        </w:tc>
        <w:tc>
          <w:tcPr>
            <w:tcW w:w="768" w:type="dxa"/>
            <w:tcBorders>
              <w:top w:val="nil"/>
              <w:left w:val="nil"/>
              <w:bottom w:val="single" w:sz="12" w:space="0" w:color="auto"/>
              <w:right w:val="nil"/>
            </w:tcBorders>
            <w:shd w:val="clear" w:color="auto" w:fill="auto"/>
            <w:noWrap/>
            <w:vAlign w:val="bottom"/>
            <w:hideMark/>
          </w:tcPr>
          <w:p w14:paraId="3B2F5DD9" w14:textId="77777777" w:rsidR="00432B71" w:rsidRDefault="00432B71" w:rsidP="005A3B4D">
            <w:pPr>
              <w:jc w:val="right"/>
              <w:rPr>
                <w:color w:val="000000"/>
                <w:sz w:val="20"/>
                <w:szCs w:val="20"/>
              </w:rPr>
            </w:pPr>
            <w:r>
              <w:rPr>
                <w:color w:val="000000"/>
                <w:sz w:val="20"/>
                <w:szCs w:val="20"/>
              </w:rPr>
              <w:t>0.120</w:t>
            </w:r>
          </w:p>
        </w:tc>
        <w:tc>
          <w:tcPr>
            <w:tcW w:w="768" w:type="dxa"/>
            <w:tcBorders>
              <w:top w:val="nil"/>
              <w:left w:val="nil"/>
              <w:bottom w:val="single" w:sz="12" w:space="0" w:color="auto"/>
              <w:right w:val="nil"/>
            </w:tcBorders>
            <w:shd w:val="clear" w:color="auto" w:fill="auto"/>
            <w:noWrap/>
            <w:vAlign w:val="bottom"/>
            <w:hideMark/>
          </w:tcPr>
          <w:p w14:paraId="23301158"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061629B3" w14:textId="77777777" w:rsidR="00432B71" w:rsidRDefault="00432B71" w:rsidP="005A3B4D">
            <w:pPr>
              <w:jc w:val="right"/>
              <w:rPr>
                <w:color w:val="000000"/>
                <w:sz w:val="20"/>
                <w:szCs w:val="20"/>
              </w:rPr>
            </w:pPr>
            <w:r>
              <w:rPr>
                <w:color w:val="000000"/>
                <w:sz w:val="20"/>
                <w:szCs w:val="20"/>
              </w:rPr>
              <w:t>-0.034</w:t>
            </w:r>
          </w:p>
        </w:tc>
        <w:tc>
          <w:tcPr>
            <w:tcW w:w="768" w:type="dxa"/>
            <w:tcBorders>
              <w:top w:val="nil"/>
              <w:left w:val="nil"/>
              <w:bottom w:val="single" w:sz="12" w:space="0" w:color="auto"/>
              <w:right w:val="nil"/>
            </w:tcBorders>
            <w:shd w:val="clear" w:color="auto" w:fill="auto"/>
            <w:noWrap/>
            <w:vAlign w:val="bottom"/>
            <w:hideMark/>
          </w:tcPr>
          <w:p w14:paraId="1B4A6B81"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single" w:sz="12" w:space="0" w:color="auto"/>
              <w:right w:val="nil"/>
            </w:tcBorders>
            <w:shd w:val="clear" w:color="auto" w:fill="auto"/>
            <w:noWrap/>
            <w:vAlign w:val="bottom"/>
            <w:hideMark/>
          </w:tcPr>
          <w:p w14:paraId="110B058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6EE03228"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single" w:sz="12" w:space="0" w:color="auto"/>
              <w:right w:val="nil"/>
            </w:tcBorders>
            <w:shd w:val="clear" w:color="auto" w:fill="auto"/>
            <w:noWrap/>
            <w:vAlign w:val="bottom"/>
            <w:hideMark/>
          </w:tcPr>
          <w:p w14:paraId="29F11D1F" w14:textId="77777777" w:rsidR="00432B71" w:rsidRDefault="00432B71" w:rsidP="005A3B4D">
            <w:pPr>
              <w:jc w:val="right"/>
              <w:rPr>
                <w:color w:val="000000"/>
                <w:sz w:val="20"/>
                <w:szCs w:val="20"/>
              </w:rPr>
            </w:pPr>
            <w:r>
              <w:rPr>
                <w:color w:val="000000"/>
                <w:sz w:val="20"/>
                <w:szCs w:val="20"/>
              </w:rPr>
              <w:t>0.599</w:t>
            </w:r>
          </w:p>
        </w:tc>
        <w:tc>
          <w:tcPr>
            <w:tcW w:w="768" w:type="dxa"/>
            <w:tcBorders>
              <w:top w:val="nil"/>
              <w:left w:val="nil"/>
              <w:bottom w:val="single" w:sz="12" w:space="0" w:color="auto"/>
              <w:right w:val="nil"/>
            </w:tcBorders>
            <w:shd w:val="clear" w:color="auto" w:fill="auto"/>
            <w:noWrap/>
            <w:vAlign w:val="bottom"/>
            <w:hideMark/>
          </w:tcPr>
          <w:p w14:paraId="21F6FA0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1AE2376F"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single" w:sz="12" w:space="0" w:color="auto"/>
              <w:right w:val="nil"/>
            </w:tcBorders>
            <w:shd w:val="clear" w:color="auto" w:fill="auto"/>
            <w:noWrap/>
            <w:vAlign w:val="bottom"/>
            <w:hideMark/>
          </w:tcPr>
          <w:p w14:paraId="737557D7" w14:textId="77777777" w:rsidR="00432B71" w:rsidRDefault="00432B71" w:rsidP="005A3B4D">
            <w:pPr>
              <w:jc w:val="right"/>
              <w:rPr>
                <w:color w:val="000000"/>
                <w:sz w:val="20"/>
                <w:szCs w:val="20"/>
              </w:rPr>
            </w:pPr>
            <w:r>
              <w:rPr>
                <w:color w:val="000000"/>
                <w:sz w:val="20"/>
                <w:szCs w:val="20"/>
              </w:rPr>
              <w:t>0.634</w:t>
            </w:r>
          </w:p>
        </w:tc>
        <w:tc>
          <w:tcPr>
            <w:tcW w:w="768" w:type="dxa"/>
            <w:tcBorders>
              <w:top w:val="nil"/>
              <w:left w:val="nil"/>
              <w:bottom w:val="single" w:sz="12" w:space="0" w:color="auto"/>
              <w:right w:val="nil"/>
            </w:tcBorders>
            <w:shd w:val="clear" w:color="auto" w:fill="auto"/>
            <w:noWrap/>
            <w:vAlign w:val="bottom"/>
            <w:hideMark/>
          </w:tcPr>
          <w:p w14:paraId="77B7CDFC" w14:textId="77777777" w:rsidR="00432B71" w:rsidRDefault="00432B71" w:rsidP="005A3B4D">
            <w:pPr>
              <w:jc w:val="right"/>
              <w:rPr>
                <w:color w:val="000000"/>
                <w:sz w:val="20"/>
                <w:szCs w:val="20"/>
              </w:rPr>
            </w:pPr>
            <w:r>
              <w:rPr>
                <w:color w:val="000000"/>
                <w:sz w:val="20"/>
                <w:szCs w:val="20"/>
              </w:rPr>
              <w:t>0.001</w:t>
            </w:r>
          </w:p>
        </w:tc>
      </w:tr>
      <w:tr w:rsidR="00432B71" w14:paraId="22690543"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29946ABE" w14:textId="77777777" w:rsidR="00432B71" w:rsidRDefault="00432B71"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3DCFB59E" w14:textId="77777777" w:rsidR="00432B71" w:rsidRDefault="00432B71"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647749E2"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F5A5AFC"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861675D"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BC73141"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3B9559F"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816616B"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DA4299A"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DDCC9B8"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A336A57"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18364ED"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8C378FE"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E057825"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2DF20E8"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4FE5773"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C6D9139" w14:textId="77777777" w:rsidR="00432B71" w:rsidRDefault="00432B71" w:rsidP="005A3B4D">
            <w:pPr>
              <w:rPr>
                <w:sz w:val="20"/>
                <w:szCs w:val="20"/>
              </w:rPr>
            </w:pPr>
          </w:p>
        </w:tc>
      </w:tr>
    </w:tbl>
    <w:p w14:paraId="31FB8EBE" w14:textId="77777777" w:rsidR="00432B71" w:rsidRDefault="00432B71" w:rsidP="00432B71">
      <w:pPr>
        <w:spacing w:line="480" w:lineRule="auto"/>
      </w:pPr>
    </w:p>
    <w:p w14:paraId="1A9FD9BB" w14:textId="77777777" w:rsidR="00432B71" w:rsidRDefault="00432B71" w:rsidP="00432B71">
      <w:r>
        <w:br w:type="page"/>
      </w:r>
    </w:p>
    <w:p w14:paraId="01709216" w14:textId="16B13CEC" w:rsidR="00432B71" w:rsidRPr="009E2A20" w:rsidRDefault="00432B71" w:rsidP="00432B71">
      <w:pPr>
        <w:pStyle w:val="Heading1"/>
        <w:rPr>
          <w:rFonts w:ascii="Times New Roman" w:hAnsi="Times New Roman" w:cs="Times New Roman"/>
          <w:color w:val="000000" w:themeColor="text1"/>
          <w:sz w:val="24"/>
          <w:szCs w:val="24"/>
        </w:rPr>
      </w:pPr>
      <w:bookmarkStart w:id="23" w:name="_Toc155817690"/>
      <w:r>
        <w:rPr>
          <w:rFonts w:ascii="Times New Roman" w:hAnsi="Times New Roman" w:cs="Times New Roman"/>
          <w:b/>
          <w:bCs/>
          <w:color w:val="000000" w:themeColor="text1"/>
          <w:sz w:val="24"/>
          <w:szCs w:val="24"/>
        </w:rPr>
        <w:lastRenderedPageBreak/>
        <w:t xml:space="preserve">Table </w:t>
      </w:r>
      <w:r w:rsidR="000604B1">
        <w:rPr>
          <w:rFonts w:ascii="Times New Roman" w:hAnsi="Times New Roman" w:cs="Times New Roman"/>
          <w:b/>
          <w:bCs/>
          <w:color w:val="000000" w:themeColor="text1"/>
          <w:sz w:val="24"/>
          <w:szCs w:val="24"/>
        </w:rPr>
        <w:t>6</w:t>
      </w:r>
      <w:r w:rsidRPr="009E2A20">
        <w:rPr>
          <w:rFonts w:ascii="Times New Roman" w:hAnsi="Times New Roman" w:cs="Times New Roman"/>
          <w:b/>
          <w:bCs/>
          <w:color w:val="000000" w:themeColor="text1"/>
          <w:sz w:val="24"/>
          <w:szCs w:val="24"/>
        </w:rPr>
        <w:t xml:space="preserve">b. </w:t>
      </w:r>
      <w:r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local efficiency during rest</w:t>
      </w:r>
      <w:bookmarkEnd w:id="23"/>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432B71" w14:paraId="25C2676F"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56A0FD7A" w14:textId="77777777" w:rsidR="00432B71" w:rsidRDefault="00432B71"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92926F5" w14:textId="77777777" w:rsidR="00432B71" w:rsidRDefault="00432B71"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3AC8710D" w14:textId="77777777" w:rsidR="00432B71" w:rsidRDefault="00432B71"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36A5D6DD"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330BFA5"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034CADF"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457B41E"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3A593FB"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22AB6B0"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BAF41C0"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D7A24FD"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1E9DE44"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400C72B" w14:textId="77777777" w:rsidR="00432B71" w:rsidRDefault="00432B71" w:rsidP="005A3B4D">
            <w:pPr>
              <w:rPr>
                <w:sz w:val="20"/>
                <w:szCs w:val="20"/>
              </w:rPr>
            </w:pPr>
          </w:p>
        </w:tc>
        <w:tc>
          <w:tcPr>
            <w:tcW w:w="768" w:type="dxa"/>
            <w:tcBorders>
              <w:top w:val="nil"/>
              <w:left w:val="nil"/>
              <w:bottom w:val="nil"/>
              <w:right w:val="nil"/>
            </w:tcBorders>
            <w:shd w:val="clear" w:color="auto" w:fill="auto"/>
            <w:noWrap/>
            <w:vAlign w:val="bottom"/>
            <w:hideMark/>
          </w:tcPr>
          <w:p w14:paraId="0CE5AF1D"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27BB3FD"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EB4E38D" w14:textId="77777777" w:rsidR="00432B71" w:rsidRDefault="00432B71"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C8A6E9E" w14:textId="77777777" w:rsidR="00432B71" w:rsidRDefault="00432B71" w:rsidP="005A3B4D">
            <w:pPr>
              <w:rPr>
                <w:sz w:val="20"/>
                <w:szCs w:val="20"/>
              </w:rPr>
            </w:pPr>
          </w:p>
        </w:tc>
      </w:tr>
      <w:tr w:rsidR="00432B71" w14:paraId="168418E7" w14:textId="77777777" w:rsidTr="005A3B4D">
        <w:trPr>
          <w:trHeight w:val="340"/>
        </w:trPr>
        <w:tc>
          <w:tcPr>
            <w:tcW w:w="1176" w:type="dxa"/>
            <w:tcBorders>
              <w:top w:val="single" w:sz="12" w:space="0" w:color="auto"/>
              <w:left w:val="nil"/>
              <w:right w:val="nil"/>
            </w:tcBorders>
            <w:shd w:val="clear" w:color="auto" w:fill="auto"/>
            <w:noWrap/>
            <w:vAlign w:val="bottom"/>
            <w:hideMark/>
          </w:tcPr>
          <w:p w14:paraId="2E06E478" w14:textId="77777777" w:rsidR="00432B71" w:rsidRDefault="00432B71"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59778C96" w14:textId="77777777" w:rsidR="00432B71" w:rsidRDefault="00432B71"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5A592AC9" w14:textId="77777777" w:rsidR="00432B71" w:rsidRDefault="00432B71"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9CB481F" w14:textId="77777777" w:rsidR="00432B71" w:rsidRDefault="00432B71"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69AA4B3" w14:textId="77777777" w:rsidR="00432B71" w:rsidRDefault="00432B71"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5AD6642" w14:textId="77777777" w:rsidR="00432B71" w:rsidRDefault="00432B71" w:rsidP="005A3B4D">
            <w:pPr>
              <w:jc w:val="center"/>
              <w:rPr>
                <w:color w:val="000000"/>
                <w:sz w:val="20"/>
                <w:szCs w:val="20"/>
              </w:rPr>
            </w:pPr>
            <w:r>
              <w:rPr>
                <w:color w:val="000000"/>
                <w:sz w:val="20"/>
                <w:szCs w:val="20"/>
              </w:rPr>
              <w:t>Neighborhood SES</w:t>
            </w:r>
          </w:p>
          <w:p w14:paraId="0838B5F1" w14:textId="77777777" w:rsidR="00432B71" w:rsidRDefault="00432B71" w:rsidP="005A3B4D">
            <w:pPr>
              <w:jc w:val="center"/>
              <w:rPr>
                <w:color w:val="000000"/>
                <w:sz w:val="20"/>
                <w:szCs w:val="20"/>
              </w:rPr>
            </w:pPr>
            <w:r>
              <w:rPr>
                <w:color w:val="000000"/>
                <w:sz w:val="20"/>
                <w:szCs w:val="20"/>
              </w:rPr>
              <w:t>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02A8885D" w14:textId="77777777" w:rsidR="00432B71" w:rsidRDefault="00432B71" w:rsidP="005A3B4D">
            <w:pPr>
              <w:jc w:val="center"/>
              <w:rPr>
                <w:color w:val="000000"/>
                <w:sz w:val="20"/>
                <w:szCs w:val="20"/>
              </w:rPr>
            </w:pPr>
            <w:r>
              <w:rPr>
                <w:color w:val="000000"/>
                <w:sz w:val="20"/>
                <w:szCs w:val="20"/>
              </w:rPr>
              <w:t>Urbanicity</w:t>
            </w:r>
          </w:p>
        </w:tc>
      </w:tr>
      <w:tr w:rsidR="00432B71" w14:paraId="7A16CFE2" w14:textId="77777777" w:rsidTr="005A3B4D">
        <w:trPr>
          <w:trHeight w:val="360"/>
        </w:trPr>
        <w:tc>
          <w:tcPr>
            <w:tcW w:w="1176" w:type="dxa"/>
            <w:tcBorders>
              <w:left w:val="nil"/>
              <w:bottom w:val="single" w:sz="12" w:space="0" w:color="auto"/>
              <w:right w:val="nil"/>
            </w:tcBorders>
            <w:shd w:val="clear" w:color="auto" w:fill="auto"/>
            <w:noWrap/>
            <w:vAlign w:val="bottom"/>
            <w:hideMark/>
          </w:tcPr>
          <w:p w14:paraId="64BC037A" w14:textId="77777777" w:rsidR="00432B71" w:rsidRDefault="00432B71" w:rsidP="005A3B4D">
            <w:pPr>
              <w:rPr>
                <w:color w:val="000000"/>
                <w:sz w:val="20"/>
                <w:szCs w:val="20"/>
              </w:rPr>
            </w:pPr>
            <w:r>
              <w:rPr>
                <w:color w:val="000000"/>
                <w:sz w:val="20"/>
                <w:szCs w:val="20"/>
              </w:rPr>
              <w:t> </w:t>
            </w:r>
          </w:p>
        </w:tc>
        <w:tc>
          <w:tcPr>
            <w:tcW w:w="1705" w:type="dxa"/>
            <w:vMerge/>
            <w:tcBorders>
              <w:top w:val="single" w:sz="12" w:space="0" w:color="auto"/>
              <w:left w:val="nil"/>
              <w:bottom w:val="single" w:sz="12" w:space="0" w:color="auto"/>
              <w:right w:val="nil"/>
            </w:tcBorders>
            <w:vAlign w:val="center"/>
            <w:hideMark/>
          </w:tcPr>
          <w:p w14:paraId="1BDE3A96" w14:textId="77777777" w:rsidR="00432B71" w:rsidRDefault="00432B71"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377A491C"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9538EFC"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5A15541"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950742E"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E85F32E"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3CF302E"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E785A4E"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A2D5D72"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966A2AC"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17B8C88"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BCB1467"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8DA627A"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D00987E" w14:textId="77777777" w:rsidR="00432B71" w:rsidRDefault="00432B71"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AE70020" w14:textId="77777777" w:rsidR="00432B71" w:rsidRDefault="00432B71"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AFCAA1B" w14:textId="77777777" w:rsidR="00432B71" w:rsidRDefault="00432B71" w:rsidP="005A3B4D">
            <w:pPr>
              <w:jc w:val="center"/>
              <w:rPr>
                <w:i/>
                <w:iCs/>
                <w:color w:val="000000"/>
                <w:sz w:val="20"/>
                <w:szCs w:val="20"/>
              </w:rPr>
            </w:pPr>
            <w:r>
              <w:rPr>
                <w:i/>
                <w:iCs/>
                <w:color w:val="000000"/>
                <w:sz w:val="20"/>
                <w:szCs w:val="20"/>
              </w:rPr>
              <w:t>R</w:t>
            </w:r>
            <w:r w:rsidRPr="00DE6EE0">
              <w:rPr>
                <w:i/>
                <w:iCs/>
                <w:color w:val="000000"/>
                <w:sz w:val="20"/>
                <w:szCs w:val="20"/>
                <w:vertAlign w:val="superscript"/>
              </w:rPr>
              <w:t>2</w:t>
            </w:r>
          </w:p>
        </w:tc>
      </w:tr>
      <w:tr w:rsidR="00432B71" w14:paraId="0394110F"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5831F787" w14:textId="77777777" w:rsidR="00432B71" w:rsidRDefault="00432B71"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0FF1DB93" w14:textId="77777777" w:rsidR="00432B71" w:rsidRDefault="00432B71"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4C814E99" w14:textId="77777777" w:rsidR="00432B71" w:rsidRDefault="00432B71" w:rsidP="005A3B4D">
            <w:pPr>
              <w:jc w:val="right"/>
              <w:rPr>
                <w:color w:val="000000"/>
                <w:sz w:val="20"/>
                <w:szCs w:val="20"/>
              </w:rPr>
            </w:pPr>
            <w:r>
              <w:rPr>
                <w:color w:val="000000"/>
                <w:sz w:val="20"/>
                <w:szCs w:val="20"/>
              </w:rPr>
              <w:t>-0.037</w:t>
            </w:r>
          </w:p>
        </w:tc>
        <w:tc>
          <w:tcPr>
            <w:tcW w:w="768" w:type="dxa"/>
            <w:tcBorders>
              <w:top w:val="single" w:sz="12" w:space="0" w:color="auto"/>
              <w:left w:val="nil"/>
              <w:bottom w:val="nil"/>
              <w:right w:val="nil"/>
            </w:tcBorders>
            <w:shd w:val="clear" w:color="auto" w:fill="auto"/>
            <w:noWrap/>
            <w:vAlign w:val="bottom"/>
            <w:hideMark/>
          </w:tcPr>
          <w:p w14:paraId="17B12644" w14:textId="77777777" w:rsidR="00432B71" w:rsidRDefault="00432B71" w:rsidP="005A3B4D">
            <w:pPr>
              <w:jc w:val="right"/>
              <w:rPr>
                <w:color w:val="000000"/>
                <w:sz w:val="20"/>
                <w:szCs w:val="20"/>
              </w:rPr>
            </w:pPr>
            <w:r>
              <w:rPr>
                <w:color w:val="000000"/>
                <w:sz w:val="20"/>
                <w:szCs w:val="20"/>
              </w:rPr>
              <w:t>0.681</w:t>
            </w:r>
          </w:p>
        </w:tc>
        <w:tc>
          <w:tcPr>
            <w:tcW w:w="768" w:type="dxa"/>
            <w:tcBorders>
              <w:top w:val="single" w:sz="12" w:space="0" w:color="auto"/>
              <w:left w:val="nil"/>
              <w:bottom w:val="nil"/>
              <w:right w:val="nil"/>
            </w:tcBorders>
            <w:shd w:val="clear" w:color="auto" w:fill="auto"/>
            <w:noWrap/>
            <w:vAlign w:val="bottom"/>
            <w:hideMark/>
          </w:tcPr>
          <w:p w14:paraId="0215BAA6" w14:textId="77777777" w:rsidR="00432B71" w:rsidRDefault="00432B71"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16A631C6" w14:textId="77777777" w:rsidR="00432B71" w:rsidRDefault="00432B71" w:rsidP="005A3B4D">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00D026A4" w14:textId="77777777" w:rsidR="00432B71" w:rsidRDefault="00432B71" w:rsidP="005A3B4D">
            <w:pPr>
              <w:jc w:val="right"/>
              <w:rPr>
                <w:color w:val="000000"/>
                <w:sz w:val="20"/>
                <w:szCs w:val="20"/>
              </w:rPr>
            </w:pPr>
            <w:r>
              <w:rPr>
                <w:color w:val="000000"/>
                <w:sz w:val="20"/>
                <w:szCs w:val="20"/>
              </w:rPr>
              <w:t>0.750</w:t>
            </w:r>
          </w:p>
        </w:tc>
        <w:tc>
          <w:tcPr>
            <w:tcW w:w="768" w:type="dxa"/>
            <w:tcBorders>
              <w:top w:val="single" w:sz="12" w:space="0" w:color="auto"/>
              <w:left w:val="nil"/>
              <w:bottom w:val="nil"/>
              <w:right w:val="nil"/>
            </w:tcBorders>
            <w:shd w:val="clear" w:color="auto" w:fill="auto"/>
            <w:noWrap/>
            <w:vAlign w:val="bottom"/>
            <w:hideMark/>
          </w:tcPr>
          <w:p w14:paraId="4C67246A" w14:textId="77777777" w:rsidR="00432B71" w:rsidRDefault="00432B7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BECD140" w14:textId="77777777" w:rsidR="00432B71" w:rsidRDefault="00432B71" w:rsidP="005A3B4D">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372441EB" w14:textId="77777777" w:rsidR="00432B71" w:rsidRDefault="00432B71" w:rsidP="005A3B4D">
            <w:pPr>
              <w:jc w:val="right"/>
              <w:rPr>
                <w:color w:val="000000"/>
                <w:sz w:val="20"/>
                <w:szCs w:val="20"/>
              </w:rPr>
            </w:pPr>
            <w:r>
              <w:rPr>
                <w:color w:val="000000"/>
                <w:sz w:val="20"/>
                <w:szCs w:val="20"/>
              </w:rPr>
              <w:t>0.931</w:t>
            </w:r>
          </w:p>
        </w:tc>
        <w:tc>
          <w:tcPr>
            <w:tcW w:w="768" w:type="dxa"/>
            <w:tcBorders>
              <w:top w:val="single" w:sz="12" w:space="0" w:color="auto"/>
              <w:left w:val="nil"/>
              <w:bottom w:val="nil"/>
              <w:right w:val="nil"/>
            </w:tcBorders>
            <w:shd w:val="clear" w:color="auto" w:fill="auto"/>
            <w:noWrap/>
            <w:vAlign w:val="bottom"/>
            <w:hideMark/>
          </w:tcPr>
          <w:p w14:paraId="05019AA8" w14:textId="77777777" w:rsidR="00432B71" w:rsidRDefault="00432B7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996E10B" w14:textId="77777777" w:rsidR="00432B71" w:rsidRDefault="00432B71" w:rsidP="005A3B4D">
            <w:pPr>
              <w:jc w:val="right"/>
              <w:rPr>
                <w:color w:val="000000"/>
                <w:sz w:val="20"/>
                <w:szCs w:val="20"/>
              </w:rPr>
            </w:pPr>
            <w:r>
              <w:rPr>
                <w:color w:val="000000"/>
                <w:sz w:val="20"/>
                <w:szCs w:val="20"/>
              </w:rPr>
              <w:t>-0.013</w:t>
            </w:r>
          </w:p>
        </w:tc>
        <w:tc>
          <w:tcPr>
            <w:tcW w:w="768" w:type="dxa"/>
            <w:tcBorders>
              <w:top w:val="single" w:sz="12" w:space="0" w:color="auto"/>
              <w:left w:val="nil"/>
              <w:bottom w:val="nil"/>
              <w:right w:val="nil"/>
            </w:tcBorders>
            <w:shd w:val="clear" w:color="auto" w:fill="auto"/>
            <w:noWrap/>
            <w:vAlign w:val="bottom"/>
            <w:hideMark/>
          </w:tcPr>
          <w:p w14:paraId="1C443DD0" w14:textId="77777777" w:rsidR="00432B71" w:rsidRDefault="00432B71" w:rsidP="005A3B4D">
            <w:pPr>
              <w:jc w:val="right"/>
              <w:rPr>
                <w:color w:val="000000"/>
                <w:sz w:val="20"/>
                <w:szCs w:val="20"/>
              </w:rPr>
            </w:pPr>
            <w:r>
              <w:rPr>
                <w:color w:val="000000"/>
                <w:sz w:val="20"/>
                <w:szCs w:val="20"/>
              </w:rPr>
              <w:t>0.668</w:t>
            </w:r>
          </w:p>
        </w:tc>
        <w:tc>
          <w:tcPr>
            <w:tcW w:w="768" w:type="dxa"/>
            <w:tcBorders>
              <w:top w:val="single" w:sz="12" w:space="0" w:color="auto"/>
              <w:left w:val="nil"/>
              <w:bottom w:val="nil"/>
              <w:right w:val="nil"/>
            </w:tcBorders>
            <w:shd w:val="clear" w:color="auto" w:fill="auto"/>
            <w:noWrap/>
            <w:vAlign w:val="bottom"/>
            <w:hideMark/>
          </w:tcPr>
          <w:p w14:paraId="01040DBD" w14:textId="77777777" w:rsidR="00432B71" w:rsidRDefault="00432B71"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38FAF7B" w14:textId="77777777" w:rsidR="00432B71" w:rsidRDefault="00432B71" w:rsidP="005A3B4D">
            <w:pPr>
              <w:jc w:val="right"/>
              <w:rPr>
                <w:color w:val="000000"/>
                <w:sz w:val="20"/>
                <w:szCs w:val="20"/>
              </w:rPr>
            </w:pPr>
            <w:r>
              <w:rPr>
                <w:color w:val="000000"/>
                <w:sz w:val="20"/>
                <w:szCs w:val="20"/>
              </w:rPr>
              <w:t>-0.038</w:t>
            </w:r>
          </w:p>
        </w:tc>
        <w:tc>
          <w:tcPr>
            <w:tcW w:w="768" w:type="dxa"/>
            <w:tcBorders>
              <w:top w:val="single" w:sz="12" w:space="0" w:color="auto"/>
              <w:left w:val="nil"/>
              <w:bottom w:val="nil"/>
              <w:right w:val="nil"/>
            </w:tcBorders>
            <w:shd w:val="clear" w:color="auto" w:fill="auto"/>
            <w:noWrap/>
            <w:vAlign w:val="bottom"/>
            <w:hideMark/>
          </w:tcPr>
          <w:p w14:paraId="0A4BAE6C" w14:textId="77777777" w:rsidR="00432B71" w:rsidRDefault="00432B71" w:rsidP="005A3B4D">
            <w:pPr>
              <w:jc w:val="right"/>
              <w:rPr>
                <w:color w:val="000000"/>
                <w:sz w:val="20"/>
                <w:szCs w:val="20"/>
              </w:rPr>
            </w:pPr>
            <w:r>
              <w:rPr>
                <w:color w:val="000000"/>
                <w:sz w:val="20"/>
                <w:szCs w:val="20"/>
              </w:rPr>
              <w:t>0.676</w:t>
            </w:r>
          </w:p>
        </w:tc>
        <w:tc>
          <w:tcPr>
            <w:tcW w:w="768" w:type="dxa"/>
            <w:tcBorders>
              <w:top w:val="single" w:sz="12" w:space="0" w:color="auto"/>
              <w:left w:val="nil"/>
              <w:bottom w:val="nil"/>
              <w:right w:val="nil"/>
            </w:tcBorders>
            <w:shd w:val="clear" w:color="auto" w:fill="auto"/>
            <w:noWrap/>
            <w:vAlign w:val="bottom"/>
            <w:hideMark/>
          </w:tcPr>
          <w:p w14:paraId="146F0EB6" w14:textId="77777777" w:rsidR="00432B71" w:rsidRDefault="00432B71" w:rsidP="005A3B4D">
            <w:pPr>
              <w:jc w:val="right"/>
              <w:rPr>
                <w:color w:val="000000"/>
                <w:sz w:val="20"/>
                <w:szCs w:val="20"/>
              </w:rPr>
            </w:pPr>
            <w:r>
              <w:rPr>
                <w:color w:val="000000"/>
                <w:sz w:val="20"/>
                <w:szCs w:val="20"/>
              </w:rPr>
              <w:t>0.001</w:t>
            </w:r>
          </w:p>
        </w:tc>
      </w:tr>
      <w:tr w:rsidR="00432B71" w14:paraId="4748DC37" w14:textId="77777777" w:rsidTr="005A3B4D">
        <w:trPr>
          <w:trHeight w:val="340"/>
        </w:trPr>
        <w:tc>
          <w:tcPr>
            <w:tcW w:w="1176" w:type="dxa"/>
            <w:tcBorders>
              <w:top w:val="nil"/>
              <w:left w:val="nil"/>
              <w:bottom w:val="nil"/>
              <w:right w:val="nil"/>
            </w:tcBorders>
            <w:shd w:val="clear" w:color="auto" w:fill="auto"/>
            <w:noWrap/>
            <w:vAlign w:val="bottom"/>
            <w:hideMark/>
          </w:tcPr>
          <w:p w14:paraId="625F195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5D1415"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ED86590"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EBD0993" w14:textId="77777777" w:rsidR="00432B71" w:rsidRDefault="00432B71" w:rsidP="005A3B4D">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5525121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33ACFD"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B8014F6" w14:textId="77777777" w:rsidR="00432B71" w:rsidRDefault="00432B71"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7BB12443"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5C92B21"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1887685" w14:textId="77777777" w:rsidR="00432B71" w:rsidRDefault="00432B71"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0B37848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E37845"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089D160" w14:textId="77777777" w:rsidR="00432B71" w:rsidRDefault="00432B71" w:rsidP="005A3B4D">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12320F5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8350AD" w14:textId="77777777" w:rsidR="00432B71" w:rsidRDefault="00432B71"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39BACF0B" w14:textId="77777777" w:rsidR="00432B71" w:rsidRDefault="00432B71" w:rsidP="005A3B4D">
            <w:pPr>
              <w:jc w:val="right"/>
              <w:rPr>
                <w:color w:val="000000"/>
                <w:sz w:val="20"/>
                <w:szCs w:val="20"/>
              </w:rPr>
            </w:pPr>
            <w:r>
              <w:rPr>
                <w:color w:val="000000"/>
                <w:sz w:val="20"/>
                <w:szCs w:val="20"/>
              </w:rPr>
              <w:t>0.396</w:t>
            </w:r>
          </w:p>
        </w:tc>
        <w:tc>
          <w:tcPr>
            <w:tcW w:w="768" w:type="dxa"/>
            <w:tcBorders>
              <w:top w:val="nil"/>
              <w:left w:val="nil"/>
              <w:bottom w:val="nil"/>
              <w:right w:val="nil"/>
            </w:tcBorders>
            <w:shd w:val="clear" w:color="auto" w:fill="auto"/>
            <w:noWrap/>
            <w:vAlign w:val="bottom"/>
            <w:hideMark/>
          </w:tcPr>
          <w:p w14:paraId="4EA5BCCD" w14:textId="77777777" w:rsidR="00432B71" w:rsidRDefault="00432B71" w:rsidP="005A3B4D">
            <w:pPr>
              <w:jc w:val="right"/>
              <w:rPr>
                <w:color w:val="000000"/>
                <w:sz w:val="20"/>
                <w:szCs w:val="20"/>
              </w:rPr>
            </w:pPr>
            <w:r>
              <w:rPr>
                <w:color w:val="000000"/>
                <w:sz w:val="20"/>
                <w:szCs w:val="20"/>
              </w:rPr>
              <w:t>0.005</w:t>
            </w:r>
          </w:p>
        </w:tc>
      </w:tr>
      <w:tr w:rsidR="00432B71" w14:paraId="54117D17" w14:textId="77777777" w:rsidTr="005A3B4D">
        <w:trPr>
          <w:trHeight w:val="320"/>
        </w:trPr>
        <w:tc>
          <w:tcPr>
            <w:tcW w:w="1176" w:type="dxa"/>
            <w:tcBorders>
              <w:top w:val="nil"/>
              <w:left w:val="nil"/>
              <w:bottom w:val="nil"/>
              <w:right w:val="nil"/>
            </w:tcBorders>
            <w:shd w:val="clear" w:color="auto" w:fill="auto"/>
            <w:noWrap/>
            <w:vAlign w:val="bottom"/>
            <w:hideMark/>
          </w:tcPr>
          <w:p w14:paraId="5134F85B"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82894BF"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7DF4D7C"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CAC6FAD" w14:textId="77777777" w:rsidR="00432B71" w:rsidRDefault="00432B71" w:rsidP="005A3B4D">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5E4533A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DCB9BC" w14:textId="77777777" w:rsidR="00432B71" w:rsidRDefault="00432B71" w:rsidP="005A3B4D">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71CE301E" w14:textId="77777777" w:rsidR="00432B71" w:rsidRDefault="00432B71" w:rsidP="005A3B4D">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0E18F267"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E180480" w14:textId="77777777" w:rsidR="00432B71" w:rsidRDefault="00432B71" w:rsidP="005A3B4D">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2A718D59" w14:textId="77777777" w:rsidR="00432B71" w:rsidRDefault="00432B71" w:rsidP="005A3B4D">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61486A12"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21A0D1B"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2C75931C" w14:textId="77777777" w:rsidR="00432B71" w:rsidRDefault="00432B71" w:rsidP="005A3B4D">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35996BE5"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CCF80C"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754C59E" w14:textId="77777777" w:rsidR="00432B71" w:rsidRDefault="00432B71"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7A2E0F65" w14:textId="77777777" w:rsidR="00432B71" w:rsidRDefault="00432B71" w:rsidP="005A3B4D">
            <w:pPr>
              <w:jc w:val="right"/>
              <w:rPr>
                <w:color w:val="000000"/>
                <w:sz w:val="20"/>
                <w:szCs w:val="20"/>
              </w:rPr>
            </w:pPr>
            <w:r>
              <w:rPr>
                <w:color w:val="000000"/>
                <w:sz w:val="20"/>
                <w:szCs w:val="20"/>
              </w:rPr>
              <w:t>0.000</w:t>
            </w:r>
          </w:p>
        </w:tc>
      </w:tr>
      <w:tr w:rsidR="00432B71" w14:paraId="461CB327" w14:textId="77777777" w:rsidTr="005A3B4D">
        <w:trPr>
          <w:trHeight w:val="320"/>
        </w:trPr>
        <w:tc>
          <w:tcPr>
            <w:tcW w:w="1176" w:type="dxa"/>
            <w:tcBorders>
              <w:top w:val="nil"/>
              <w:left w:val="nil"/>
              <w:bottom w:val="nil"/>
              <w:right w:val="nil"/>
            </w:tcBorders>
            <w:shd w:val="clear" w:color="auto" w:fill="auto"/>
            <w:noWrap/>
            <w:vAlign w:val="bottom"/>
            <w:hideMark/>
          </w:tcPr>
          <w:p w14:paraId="3DF8CEAC"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D1D64DE"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BB35DF5" w14:textId="77777777" w:rsidR="00432B71" w:rsidRDefault="00432B71"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6B285A84" w14:textId="77777777" w:rsidR="00432B71" w:rsidRDefault="00432B71" w:rsidP="005A3B4D">
            <w:pPr>
              <w:jc w:val="right"/>
              <w:rPr>
                <w:color w:val="000000"/>
                <w:sz w:val="20"/>
                <w:szCs w:val="20"/>
              </w:rPr>
            </w:pPr>
            <w:r>
              <w:rPr>
                <w:color w:val="000000"/>
                <w:sz w:val="20"/>
                <w:szCs w:val="20"/>
              </w:rPr>
              <w:t>0.681</w:t>
            </w:r>
          </w:p>
        </w:tc>
        <w:tc>
          <w:tcPr>
            <w:tcW w:w="768" w:type="dxa"/>
            <w:tcBorders>
              <w:top w:val="nil"/>
              <w:left w:val="nil"/>
              <w:bottom w:val="nil"/>
              <w:right w:val="nil"/>
            </w:tcBorders>
            <w:shd w:val="clear" w:color="auto" w:fill="auto"/>
            <w:noWrap/>
            <w:vAlign w:val="bottom"/>
            <w:hideMark/>
          </w:tcPr>
          <w:p w14:paraId="062563FB"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379488E" w14:textId="77777777" w:rsidR="00432B71" w:rsidRDefault="00432B71" w:rsidP="005A3B4D">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3EE16E84" w14:textId="77777777" w:rsidR="00432B71" w:rsidRDefault="00432B71"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69598C40"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B666C56"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356E71A" w14:textId="77777777" w:rsidR="00432B71" w:rsidRDefault="00432B71"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07EC8B5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8AA599B" w14:textId="77777777" w:rsidR="00432B71" w:rsidRDefault="00432B71" w:rsidP="005A3B4D">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5A3C5058" w14:textId="77777777" w:rsidR="00432B71" w:rsidRDefault="00432B71" w:rsidP="005A3B4D">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56E33348"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5333FE6" w14:textId="77777777" w:rsidR="00432B71" w:rsidRDefault="00432B71" w:rsidP="005A3B4D">
            <w:pPr>
              <w:jc w:val="right"/>
              <w:rPr>
                <w:color w:val="000000"/>
                <w:sz w:val="20"/>
                <w:szCs w:val="20"/>
              </w:rPr>
            </w:pPr>
            <w:r>
              <w:rPr>
                <w:color w:val="000000"/>
                <w:sz w:val="20"/>
                <w:szCs w:val="20"/>
              </w:rPr>
              <w:t>-0.110</w:t>
            </w:r>
          </w:p>
        </w:tc>
        <w:tc>
          <w:tcPr>
            <w:tcW w:w="768" w:type="dxa"/>
            <w:tcBorders>
              <w:top w:val="nil"/>
              <w:left w:val="nil"/>
              <w:bottom w:val="nil"/>
              <w:right w:val="nil"/>
            </w:tcBorders>
            <w:shd w:val="clear" w:color="auto" w:fill="auto"/>
            <w:noWrap/>
            <w:vAlign w:val="bottom"/>
            <w:hideMark/>
          </w:tcPr>
          <w:p w14:paraId="7A274639" w14:textId="77777777" w:rsidR="00432B71" w:rsidRDefault="00432B71" w:rsidP="005A3B4D">
            <w:pPr>
              <w:jc w:val="right"/>
              <w:rPr>
                <w:color w:val="000000"/>
                <w:sz w:val="20"/>
                <w:szCs w:val="20"/>
              </w:rPr>
            </w:pPr>
            <w:r>
              <w:rPr>
                <w:color w:val="000000"/>
                <w:sz w:val="20"/>
                <w:szCs w:val="20"/>
              </w:rPr>
              <w:t>0.676</w:t>
            </w:r>
          </w:p>
        </w:tc>
        <w:tc>
          <w:tcPr>
            <w:tcW w:w="768" w:type="dxa"/>
            <w:tcBorders>
              <w:top w:val="nil"/>
              <w:left w:val="nil"/>
              <w:bottom w:val="nil"/>
              <w:right w:val="nil"/>
            </w:tcBorders>
            <w:shd w:val="clear" w:color="auto" w:fill="auto"/>
            <w:noWrap/>
            <w:vAlign w:val="bottom"/>
            <w:hideMark/>
          </w:tcPr>
          <w:p w14:paraId="4FBDF995" w14:textId="77777777" w:rsidR="00432B71" w:rsidRDefault="00432B71" w:rsidP="005A3B4D">
            <w:pPr>
              <w:jc w:val="right"/>
              <w:rPr>
                <w:color w:val="000000"/>
                <w:sz w:val="20"/>
                <w:szCs w:val="20"/>
              </w:rPr>
            </w:pPr>
            <w:r>
              <w:rPr>
                <w:color w:val="000000"/>
                <w:sz w:val="20"/>
                <w:szCs w:val="20"/>
              </w:rPr>
              <w:t>0.012</w:t>
            </w:r>
          </w:p>
        </w:tc>
      </w:tr>
      <w:tr w:rsidR="00432B71" w14:paraId="18B0C62B" w14:textId="77777777" w:rsidTr="005A3B4D">
        <w:trPr>
          <w:trHeight w:val="320"/>
        </w:trPr>
        <w:tc>
          <w:tcPr>
            <w:tcW w:w="1176" w:type="dxa"/>
            <w:tcBorders>
              <w:top w:val="nil"/>
              <w:left w:val="nil"/>
              <w:bottom w:val="nil"/>
              <w:right w:val="nil"/>
            </w:tcBorders>
            <w:shd w:val="clear" w:color="auto" w:fill="auto"/>
            <w:noWrap/>
            <w:vAlign w:val="bottom"/>
            <w:hideMark/>
          </w:tcPr>
          <w:p w14:paraId="5611B9D5"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12F1FB"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ED9D63E" w14:textId="77777777" w:rsidR="00432B71" w:rsidRDefault="00432B71"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15FCDAE0" w14:textId="77777777" w:rsidR="00432B71" w:rsidRDefault="00432B71" w:rsidP="005A3B4D">
            <w:pPr>
              <w:jc w:val="right"/>
              <w:rPr>
                <w:color w:val="000000"/>
                <w:sz w:val="20"/>
                <w:szCs w:val="20"/>
              </w:rPr>
            </w:pPr>
            <w:r>
              <w:rPr>
                <w:color w:val="000000"/>
                <w:sz w:val="20"/>
                <w:szCs w:val="20"/>
              </w:rPr>
              <w:t>0.681</w:t>
            </w:r>
          </w:p>
        </w:tc>
        <w:tc>
          <w:tcPr>
            <w:tcW w:w="768" w:type="dxa"/>
            <w:tcBorders>
              <w:top w:val="nil"/>
              <w:left w:val="nil"/>
              <w:bottom w:val="nil"/>
              <w:right w:val="nil"/>
            </w:tcBorders>
            <w:shd w:val="clear" w:color="auto" w:fill="auto"/>
            <w:noWrap/>
            <w:vAlign w:val="bottom"/>
            <w:hideMark/>
          </w:tcPr>
          <w:p w14:paraId="206573DB"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F1A600A" w14:textId="77777777" w:rsidR="00432B71" w:rsidRDefault="00432B7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1E34469" w14:textId="77777777" w:rsidR="00432B71" w:rsidRDefault="00432B71"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66C455D2"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1D45CA"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F0B0A76" w14:textId="77777777" w:rsidR="00432B71" w:rsidRDefault="00432B71"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059D0D9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1E05BB"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BCECE86" w14:textId="77777777" w:rsidR="00432B71" w:rsidRDefault="00432B71" w:rsidP="005A3B4D">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67D59A4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8BBCEF"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3DBBFF6" w14:textId="77777777" w:rsidR="00432B71" w:rsidRDefault="00432B71"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506047D6" w14:textId="77777777" w:rsidR="00432B71" w:rsidRDefault="00432B71" w:rsidP="005A3B4D">
            <w:pPr>
              <w:jc w:val="right"/>
              <w:rPr>
                <w:color w:val="000000"/>
                <w:sz w:val="20"/>
                <w:szCs w:val="20"/>
              </w:rPr>
            </w:pPr>
            <w:r>
              <w:rPr>
                <w:color w:val="000000"/>
                <w:sz w:val="20"/>
                <w:szCs w:val="20"/>
              </w:rPr>
              <w:t>0.000</w:t>
            </w:r>
          </w:p>
        </w:tc>
      </w:tr>
      <w:tr w:rsidR="00432B71" w14:paraId="786B279D" w14:textId="77777777" w:rsidTr="005A3B4D">
        <w:trPr>
          <w:trHeight w:val="320"/>
        </w:trPr>
        <w:tc>
          <w:tcPr>
            <w:tcW w:w="1176" w:type="dxa"/>
            <w:tcBorders>
              <w:top w:val="nil"/>
              <w:left w:val="nil"/>
              <w:bottom w:val="nil"/>
              <w:right w:val="nil"/>
            </w:tcBorders>
            <w:shd w:val="clear" w:color="auto" w:fill="auto"/>
            <w:noWrap/>
            <w:vAlign w:val="bottom"/>
            <w:hideMark/>
          </w:tcPr>
          <w:p w14:paraId="50AF28E6"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AC0F21E"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7155EB1" w14:textId="77777777" w:rsidR="00432B71" w:rsidRDefault="00432B71" w:rsidP="005A3B4D">
            <w:pPr>
              <w:jc w:val="right"/>
              <w:rPr>
                <w:color w:val="000000"/>
                <w:sz w:val="20"/>
                <w:szCs w:val="20"/>
              </w:rPr>
            </w:pPr>
            <w:r>
              <w:rPr>
                <w:b/>
                <w:bCs/>
                <w:color w:val="000000"/>
                <w:sz w:val="20"/>
                <w:szCs w:val="20"/>
              </w:rPr>
              <w:t>-0.082</w:t>
            </w:r>
          </w:p>
        </w:tc>
        <w:tc>
          <w:tcPr>
            <w:tcW w:w="768" w:type="dxa"/>
            <w:tcBorders>
              <w:top w:val="nil"/>
              <w:left w:val="nil"/>
              <w:bottom w:val="nil"/>
              <w:right w:val="nil"/>
            </w:tcBorders>
            <w:shd w:val="clear" w:color="auto" w:fill="auto"/>
            <w:noWrap/>
            <w:vAlign w:val="bottom"/>
            <w:hideMark/>
          </w:tcPr>
          <w:p w14:paraId="59DE4E18" w14:textId="77777777" w:rsidR="00432B71" w:rsidRDefault="00432B71" w:rsidP="005A3B4D">
            <w:pPr>
              <w:jc w:val="right"/>
              <w:rPr>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4066C57C" w14:textId="77777777" w:rsidR="00432B71" w:rsidRDefault="00432B71" w:rsidP="005A3B4D">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41B30CEC"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D03A2A3" w14:textId="77777777" w:rsidR="00432B71" w:rsidRDefault="00432B71" w:rsidP="005A3B4D">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5F83061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8D1651"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F9DEE39" w14:textId="77777777" w:rsidR="00432B71" w:rsidRDefault="00432B71" w:rsidP="005A3B4D">
            <w:pPr>
              <w:jc w:val="right"/>
              <w:rPr>
                <w:color w:val="000000"/>
                <w:sz w:val="20"/>
                <w:szCs w:val="20"/>
              </w:rPr>
            </w:pPr>
            <w:r>
              <w:rPr>
                <w:color w:val="000000"/>
                <w:sz w:val="20"/>
                <w:szCs w:val="20"/>
              </w:rPr>
              <w:t>0.692</w:t>
            </w:r>
          </w:p>
        </w:tc>
        <w:tc>
          <w:tcPr>
            <w:tcW w:w="768" w:type="dxa"/>
            <w:tcBorders>
              <w:top w:val="nil"/>
              <w:left w:val="nil"/>
              <w:bottom w:val="nil"/>
              <w:right w:val="nil"/>
            </w:tcBorders>
            <w:shd w:val="clear" w:color="auto" w:fill="auto"/>
            <w:noWrap/>
            <w:vAlign w:val="bottom"/>
            <w:hideMark/>
          </w:tcPr>
          <w:p w14:paraId="68C907E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40104B" w14:textId="77777777" w:rsidR="00432B71" w:rsidRDefault="00432B71" w:rsidP="005A3B4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4BBDC0A6" w14:textId="77777777" w:rsidR="00432B71" w:rsidRDefault="00432B71" w:rsidP="005A3B4D">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49946B03"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DDA203D"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413AF50" w14:textId="77777777" w:rsidR="00432B71" w:rsidRDefault="00432B71"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523939CC" w14:textId="77777777" w:rsidR="00432B71" w:rsidRDefault="00432B71" w:rsidP="005A3B4D">
            <w:pPr>
              <w:jc w:val="right"/>
              <w:rPr>
                <w:color w:val="000000"/>
                <w:sz w:val="20"/>
                <w:szCs w:val="20"/>
              </w:rPr>
            </w:pPr>
            <w:r>
              <w:rPr>
                <w:color w:val="000000"/>
                <w:sz w:val="20"/>
                <w:szCs w:val="20"/>
              </w:rPr>
              <w:t>0.000</w:t>
            </w:r>
          </w:p>
        </w:tc>
      </w:tr>
      <w:tr w:rsidR="00432B71" w14:paraId="64F52E32" w14:textId="77777777" w:rsidTr="005A3B4D">
        <w:trPr>
          <w:trHeight w:val="320"/>
        </w:trPr>
        <w:tc>
          <w:tcPr>
            <w:tcW w:w="1176" w:type="dxa"/>
            <w:tcBorders>
              <w:top w:val="nil"/>
              <w:left w:val="nil"/>
              <w:bottom w:val="nil"/>
              <w:right w:val="nil"/>
            </w:tcBorders>
            <w:shd w:val="clear" w:color="auto" w:fill="auto"/>
            <w:noWrap/>
            <w:vAlign w:val="bottom"/>
            <w:hideMark/>
          </w:tcPr>
          <w:p w14:paraId="41DBB070"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0CA303"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3D67A44"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61D43D1" w14:textId="77777777" w:rsidR="00432B71" w:rsidRDefault="00432B71" w:rsidP="005A3B4D">
            <w:pPr>
              <w:jc w:val="right"/>
              <w:rPr>
                <w:color w:val="000000"/>
                <w:sz w:val="20"/>
                <w:szCs w:val="20"/>
              </w:rPr>
            </w:pPr>
            <w:r>
              <w:rPr>
                <w:color w:val="000000"/>
                <w:sz w:val="20"/>
                <w:szCs w:val="20"/>
              </w:rPr>
              <w:t>0.681</w:t>
            </w:r>
          </w:p>
        </w:tc>
        <w:tc>
          <w:tcPr>
            <w:tcW w:w="768" w:type="dxa"/>
            <w:tcBorders>
              <w:top w:val="nil"/>
              <w:left w:val="nil"/>
              <w:bottom w:val="nil"/>
              <w:right w:val="nil"/>
            </w:tcBorders>
            <w:shd w:val="clear" w:color="auto" w:fill="auto"/>
            <w:noWrap/>
            <w:vAlign w:val="bottom"/>
            <w:hideMark/>
          </w:tcPr>
          <w:p w14:paraId="4BBF7CD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255518"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F3E3F68" w14:textId="77777777" w:rsidR="00432B71" w:rsidRDefault="00432B71"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6213296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287691" w14:textId="77777777" w:rsidR="00432B71" w:rsidRDefault="00432B71" w:rsidP="005A3B4D">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6F594ED9" w14:textId="77777777" w:rsidR="00432B71" w:rsidRDefault="00432B71" w:rsidP="005A3B4D">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5032C12F"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62A06B5" w14:textId="77777777" w:rsidR="00432B71" w:rsidRDefault="00432B71"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55503767" w14:textId="77777777" w:rsidR="00432B71" w:rsidRDefault="00432B71" w:rsidP="005A3B4D">
            <w:pPr>
              <w:jc w:val="right"/>
              <w:rPr>
                <w:color w:val="000000"/>
                <w:sz w:val="20"/>
                <w:szCs w:val="20"/>
              </w:rPr>
            </w:pPr>
            <w:r>
              <w:rPr>
                <w:color w:val="000000"/>
                <w:sz w:val="20"/>
                <w:szCs w:val="20"/>
              </w:rPr>
              <w:t>0.296</w:t>
            </w:r>
          </w:p>
        </w:tc>
        <w:tc>
          <w:tcPr>
            <w:tcW w:w="768" w:type="dxa"/>
            <w:tcBorders>
              <w:top w:val="nil"/>
              <w:left w:val="nil"/>
              <w:bottom w:val="nil"/>
              <w:right w:val="nil"/>
            </w:tcBorders>
            <w:shd w:val="clear" w:color="auto" w:fill="auto"/>
            <w:noWrap/>
            <w:vAlign w:val="bottom"/>
            <w:hideMark/>
          </w:tcPr>
          <w:p w14:paraId="016A489B"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5702225" w14:textId="77777777" w:rsidR="00432B71" w:rsidRDefault="00432B71" w:rsidP="005A3B4D">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19DADC5B" w14:textId="77777777" w:rsidR="00432B71" w:rsidRDefault="00432B71" w:rsidP="005A3B4D">
            <w:pPr>
              <w:jc w:val="right"/>
              <w:rPr>
                <w:color w:val="000000"/>
                <w:sz w:val="20"/>
                <w:szCs w:val="20"/>
              </w:rPr>
            </w:pPr>
            <w:r>
              <w:rPr>
                <w:color w:val="000000"/>
                <w:sz w:val="20"/>
                <w:szCs w:val="20"/>
              </w:rPr>
              <w:t>0.296</w:t>
            </w:r>
          </w:p>
        </w:tc>
        <w:tc>
          <w:tcPr>
            <w:tcW w:w="768" w:type="dxa"/>
            <w:tcBorders>
              <w:top w:val="nil"/>
              <w:left w:val="nil"/>
              <w:bottom w:val="nil"/>
              <w:right w:val="nil"/>
            </w:tcBorders>
            <w:shd w:val="clear" w:color="auto" w:fill="auto"/>
            <w:noWrap/>
            <w:vAlign w:val="bottom"/>
            <w:hideMark/>
          </w:tcPr>
          <w:p w14:paraId="7C44581C" w14:textId="77777777" w:rsidR="00432B71" w:rsidRDefault="00432B71" w:rsidP="005A3B4D">
            <w:pPr>
              <w:jc w:val="right"/>
              <w:rPr>
                <w:color w:val="000000"/>
                <w:sz w:val="20"/>
                <w:szCs w:val="20"/>
              </w:rPr>
            </w:pPr>
            <w:r>
              <w:rPr>
                <w:color w:val="000000"/>
                <w:sz w:val="20"/>
                <w:szCs w:val="20"/>
              </w:rPr>
              <w:t>0.007</w:t>
            </w:r>
          </w:p>
        </w:tc>
      </w:tr>
      <w:tr w:rsidR="00432B71" w14:paraId="6E6A5BA8"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2CFA101A"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0488A6B"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9F2DD99" w14:textId="77777777" w:rsidR="00432B71" w:rsidRDefault="00432B71" w:rsidP="005A3B4D">
            <w:pPr>
              <w:jc w:val="right"/>
              <w:rPr>
                <w:color w:val="000000"/>
                <w:sz w:val="20"/>
                <w:szCs w:val="20"/>
              </w:rPr>
            </w:pPr>
            <w:r>
              <w:rPr>
                <w:color w:val="000000"/>
                <w:sz w:val="20"/>
                <w:szCs w:val="20"/>
              </w:rPr>
              <w:t>-0.044</w:t>
            </w:r>
          </w:p>
        </w:tc>
        <w:tc>
          <w:tcPr>
            <w:tcW w:w="768" w:type="dxa"/>
            <w:tcBorders>
              <w:top w:val="nil"/>
              <w:left w:val="nil"/>
              <w:bottom w:val="single" w:sz="4" w:space="0" w:color="auto"/>
              <w:right w:val="nil"/>
            </w:tcBorders>
            <w:shd w:val="clear" w:color="auto" w:fill="auto"/>
            <w:noWrap/>
            <w:vAlign w:val="bottom"/>
            <w:hideMark/>
          </w:tcPr>
          <w:p w14:paraId="052C0F4D" w14:textId="77777777" w:rsidR="00432B71" w:rsidRDefault="00432B71" w:rsidP="005A3B4D">
            <w:pPr>
              <w:jc w:val="right"/>
              <w:rPr>
                <w:color w:val="000000"/>
                <w:sz w:val="20"/>
                <w:szCs w:val="20"/>
              </w:rPr>
            </w:pPr>
            <w:r>
              <w:rPr>
                <w:color w:val="000000"/>
                <w:sz w:val="20"/>
                <w:szCs w:val="20"/>
              </w:rPr>
              <w:t>0.681</w:t>
            </w:r>
          </w:p>
        </w:tc>
        <w:tc>
          <w:tcPr>
            <w:tcW w:w="768" w:type="dxa"/>
            <w:tcBorders>
              <w:top w:val="nil"/>
              <w:left w:val="nil"/>
              <w:bottom w:val="single" w:sz="4" w:space="0" w:color="auto"/>
              <w:right w:val="nil"/>
            </w:tcBorders>
            <w:shd w:val="clear" w:color="auto" w:fill="auto"/>
            <w:noWrap/>
            <w:vAlign w:val="bottom"/>
            <w:hideMark/>
          </w:tcPr>
          <w:p w14:paraId="0653B2D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5400F94F" w14:textId="77777777" w:rsidR="00432B71" w:rsidRDefault="00432B71" w:rsidP="005A3B4D">
            <w:pPr>
              <w:jc w:val="right"/>
              <w:rPr>
                <w:b/>
                <w:bCs/>
                <w:color w:val="000000"/>
                <w:sz w:val="20"/>
                <w:szCs w:val="20"/>
              </w:rPr>
            </w:pPr>
            <w:r>
              <w:rPr>
                <w:b/>
                <w:bCs/>
                <w:color w:val="000000"/>
                <w:sz w:val="20"/>
                <w:szCs w:val="20"/>
              </w:rPr>
              <w:t>0.114</w:t>
            </w:r>
          </w:p>
        </w:tc>
        <w:tc>
          <w:tcPr>
            <w:tcW w:w="768" w:type="dxa"/>
            <w:tcBorders>
              <w:top w:val="nil"/>
              <w:left w:val="nil"/>
              <w:bottom w:val="single" w:sz="4" w:space="0" w:color="auto"/>
              <w:right w:val="nil"/>
            </w:tcBorders>
            <w:shd w:val="clear" w:color="auto" w:fill="auto"/>
            <w:noWrap/>
            <w:vAlign w:val="bottom"/>
            <w:hideMark/>
          </w:tcPr>
          <w:p w14:paraId="44693AAB" w14:textId="77777777" w:rsidR="00432B71" w:rsidRDefault="00432B71" w:rsidP="005A3B4D">
            <w:pPr>
              <w:jc w:val="right"/>
              <w:rPr>
                <w:b/>
                <w:bCs/>
                <w:color w:val="000000"/>
                <w:sz w:val="20"/>
                <w:szCs w:val="20"/>
              </w:rPr>
            </w:pPr>
            <w:r>
              <w:rPr>
                <w:b/>
                <w:bCs/>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13FC8C56" w14:textId="77777777" w:rsidR="00432B71" w:rsidRDefault="00432B71" w:rsidP="005A3B4D">
            <w:pPr>
              <w:jc w:val="right"/>
              <w:rPr>
                <w:color w:val="000000"/>
                <w:sz w:val="20"/>
                <w:szCs w:val="20"/>
              </w:rPr>
            </w:pPr>
            <w:r>
              <w:rPr>
                <w:b/>
                <w:bCs/>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5AA08D64" w14:textId="77777777" w:rsidR="00432B71" w:rsidRDefault="00432B71" w:rsidP="005A3B4D">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5C5D2079" w14:textId="77777777" w:rsidR="00432B71" w:rsidRDefault="00432B71" w:rsidP="005A3B4D">
            <w:pPr>
              <w:jc w:val="right"/>
              <w:rPr>
                <w:color w:val="000000"/>
                <w:sz w:val="20"/>
                <w:szCs w:val="20"/>
              </w:rPr>
            </w:pPr>
            <w:r>
              <w:rPr>
                <w:color w:val="000000"/>
                <w:sz w:val="20"/>
                <w:szCs w:val="20"/>
              </w:rPr>
              <w:t>0.565</w:t>
            </w:r>
          </w:p>
        </w:tc>
        <w:tc>
          <w:tcPr>
            <w:tcW w:w="768" w:type="dxa"/>
            <w:tcBorders>
              <w:top w:val="nil"/>
              <w:left w:val="nil"/>
              <w:bottom w:val="single" w:sz="4" w:space="0" w:color="auto"/>
              <w:right w:val="nil"/>
            </w:tcBorders>
            <w:shd w:val="clear" w:color="auto" w:fill="auto"/>
            <w:noWrap/>
            <w:vAlign w:val="bottom"/>
            <w:hideMark/>
          </w:tcPr>
          <w:p w14:paraId="7BB3B86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8B6C161" w14:textId="77777777" w:rsidR="00432B71" w:rsidRDefault="00432B71" w:rsidP="005A3B4D">
            <w:pPr>
              <w:jc w:val="right"/>
              <w:rPr>
                <w:color w:val="000000"/>
                <w:sz w:val="20"/>
                <w:szCs w:val="20"/>
              </w:rPr>
            </w:pPr>
            <w:r>
              <w:rPr>
                <w:color w:val="000000"/>
                <w:sz w:val="20"/>
                <w:szCs w:val="20"/>
              </w:rPr>
              <w:t>-0.071</w:t>
            </w:r>
          </w:p>
        </w:tc>
        <w:tc>
          <w:tcPr>
            <w:tcW w:w="768" w:type="dxa"/>
            <w:tcBorders>
              <w:top w:val="nil"/>
              <w:left w:val="nil"/>
              <w:bottom w:val="single" w:sz="4" w:space="0" w:color="auto"/>
              <w:right w:val="nil"/>
            </w:tcBorders>
            <w:shd w:val="clear" w:color="auto" w:fill="auto"/>
            <w:noWrap/>
            <w:vAlign w:val="bottom"/>
            <w:hideMark/>
          </w:tcPr>
          <w:p w14:paraId="56257E47" w14:textId="77777777" w:rsidR="00432B71" w:rsidRDefault="00432B71" w:rsidP="005A3B4D">
            <w:pPr>
              <w:jc w:val="right"/>
              <w:rPr>
                <w:color w:val="000000"/>
                <w:sz w:val="20"/>
                <w:szCs w:val="20"/>
              </w:rPr>
            </w:pPr>
            <w:r>
              <w:rPr>
                <w:color w:val="000000"/>
                <w:sz w:val="20"/>
                <w:szCs w:val="20"/>
              </w:rPr>
              <w:t>0.296</w:t>
            </w:r>
          </w:p>
        </w:tc>
        <w:tc>
          <w:tcPr>
            <w:tcW w:w="768" w:type="dxa"/>
            <w:tcBorders>
              <w:top w:val="nil"/>
              <w:left w:val="nil"/>
              <w:bottom w:val="single" w:sz="4" w:space="0" w:color="auto"/>
              <w:right w:val="nil"/>
            </w:tcBorders>
            <w:shd w:val="clear" w:color="auto" w:fill="auto"/>
            <w:noWrap/>
            <w:vAlign w:val="bottom"/>
            <w:hideMark/>
          </w:tcPr>
          <w:p w14:paraId="776A540A"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4526F33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24CD734" w14:textId="77777777" w:rsidR="00432B71" w:rsidRDefault="00432B71" w:rsidP="005A3B4D">
            <w:pPr>
              <w:jc w:val="right"/>
              <w:rPr>
                <w:color w:val="000000"/>
                <w:sz w:val="20"/>
                <w:szCs w:val="20"/>
              </w:rPr>
            </w:pPr>
            <w:r>
              <w:rPr>
                <w:color w:val="000000"/>
                <w:sz w:val="20"/>
                <w:szCs w:val="20"/>
              </w:rPr>
              <w:t>0.997</w:t>
            </w:r>
          </w:p>
        </w:tc>
        <w:tc>
          <w:tcPr>
            <w:tcW w:w="768" w:type="dxa"/>
            <w:tcBorders>
              <w:top w:val="nil"/>
              <w:left w:val="nil"/>
              <w:bottom w:val="single" w:sz="4" w:space="0" w:color="auto"/>
              <w:right w:val="nil"/>
            </w:tcBorders>
            <w:shd w:val="clear" w:color="auto" w:fill="auto"/>
            <w:noWrap/>
            <w:vAlign w:val="bottom"/>
            <w:hideMark/>
          </w:tcPr>
          <w:p w14:paraId="58E89A0A" w14:textId="77777777" w:rsidR="00432B71" w:rsidRDefault="00432B71" w:rsidP="005A3B4D">
            <w:pPr>
              <w:jc w:val="right"/>
              <w:rPr>
                <w:color w:val="000000"/>
                <w:sz w:val="20"/>
                <w:szCs w:val="20"/>
              </w:rPr>
            </w:pPr>
            <w:r>
              <w:rPr>
                <w:color w:val="000000"/>
                <w:sz w:val="20"/>
                <w:szCs w:val="20"/>
              </w:rPr>
              <w:t>0.000</w:t>
            </w:r>
          </w:p>
        </w:tc>
      </w:tr>
      <w:tr w:rsidR="00432B71" w14:paraId="22865601" w14:textId="77777777" w:rsidTr="005A3B4D">
        <w:trPr>
          <w:trHeight w:val="320"/>
        </w:trPr>
        <w:tc>
          <w:tcPr>
            <w:tcW w:w="1176" w:type="dxa"/>
            <w:tcBorders>
              <w:top w:val="nil"/>
              <w:left w:val="nil"/>
              <w:bottom w:val="nil"/>
              <w:right w:val="nil"/>
            </w:tcBorders>
            <w:shd w:val="clear" w:color="auto" w:fill="auto"/>
            <w:noWrap/>
            <w:vAlign w:val="bottom"/>
            <w:hideMark/>
          </w:tcPr>
          <w:p w14:paraId="014B2DB4" w14:textId="77777777" w:rsidR="00432B71" w:rsidRDefault="00432B71"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3C24F4A2"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0C9C510" w14:textId="77777777" w:rsidR="00432B71" w:rsidRDefault="00432B71"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799F6CB" w14:textId="77777777" w:rsidR="00432B71" w:rsidRDefault="00432B71" w:rsidP="005A3B4D">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389D8684"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E3E3559"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3913E13" w14:textId="77777777" w:rsidR="00432B71" w:rsidRDefault="00432B71" w:rsidP="005A3B4D">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76070ED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D1CAFE"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6652740" w14:textId="77777777" w:rsidR="00432B71" w:rsidRDefault="00432B71" w:rsidP="005A3B4D">
            <w:pPr>
              <w:jc w:val="right"/>
              <w:rPr>
                <w:color w:val="000000"/>
                <w:sz w:val="20"/>
                <w:szCs w:val="20"/>
              </w:rPr>
            </w:pPr>
            <w:r>
              <w:rPr>
                <w:color w:val="000000"/>
                <w:sz w:val="20"/>
                <w:szCs w:val="20"/>
              </w:rPr>
              <w:t>0.930</w:t>
            </w:r>
          </w:p>
        </w:tc>
        <w:tc>
          <w:tcPr>
            <w:tcW w:w="768" w:type="dxa"/>
            <w:tcBorders>
              <w:top w:val="nil"/>
              <w:left w:val="nil"/>
              <w:bottom w:val="nil"/>
              <w:right w:val="nil"/>
            </w:tcBorders>
            <w:shd w:val="clear" w:color="auto" w:fill="auto"/>
            <w:noWrap/>
            <w:vAlign w:val="bottom"/>
            <w:hideMark/>
          </w:tcPr>
          <w:p w14:paraId="419F85D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DE3670"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ADB3C68" w14:textId="77777777" w:rsidR="00432B71" w:rsidRDefault="00432B71" w:rsidP="005A3B4D">
            <w:pPr>
              <w:jc w:val="right"/>
              <w:rPr>
                <w:color w:val="000000"/>
                <w:sz w:val="20"/>
                <w:szCs w:val="20"/>
              </w:rPr>
            </w:pPr>
            <w:r>
              <w:rPr>
                <w:color w:val="000000"/>
                <w:sz w:val="20"/>
                <w:szCs w:val="20"/>
              </w:rPr>
              <w:t>0.255</w:t>
            </w:r>
          </w:p>
        </w:tc>
        <w:tc>
          <w:tcPr>
            <w:tcW w:w="768" w:type="dxa"/>
            <w:tcBorders>
              <w:top w:val="nil"/>
              <w:left w:val="nil"/>
              <w:bottom w:val="nil"/>
              <w:right w:val="nil"/>
            </w:tcBorders>
            <w:shd w:val="clear" w:color="auto" w:fill="auto"/>
            <w:noWrap/>
            <w:vAlign w:val="bottom"/>
            <w:hideMark/>
          </w:tcPr>
          <w:p w14:paraId="37A933D4"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13621E1"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4BEBB16" w14:textId="77777777" w:rsidR="00432B71" w:rsidRDefault="00432B71" w:rsidP="005A3B4D">
            <w:pPr>
              <w:jc w:val="right"/>
              <w:rPr>
                <w:color w:val="000000"/>
                <w:sz w:val="20"/>
                <w:szCs w:val="20"/>
              </w:rPr>
            </w:pPr>
            <w:r>
              <w:rPr>
                <w:color w:val="000000"/>
                <w:sz w:val="20"/>
                <w:szCs w:val="20"/>
              </w:rPr>
              <w:t>0.544</w:t>
            </w:r>
          </w:p>
        </w:tc>
        <w:tc>
          <w:tcPr>
            <w:tcW w:w="768" w:type="dxa"/>
            <w:tcBorders>
              <w:top w:val="nil"/>
              <w:left w:val="nil"/>
              <w:bottom w:val="nil"/>
              <w:right w:val="nil"/>
            </w:tcBorders>
            <w:shd w:val="clear" w:color="auto" w:fill="auto"/>
            <w:noWrap/>
            <w:vAlign w:val="bottom"/>
            <w:hideMark/>
          </w:tcPr>
          <w:p w14:paraId="641C08B1" w14:textId="77777777" w:rsidR="00432B71" w:rsidRDefault="00432B71" w:rsidP="005A3B4D">
            <w:pPr>
              <w:jc w:val="right"/>
              <w:rPr>
                <w:color w:val="000000"/>
                <w:sz w:val="20"/>
                <w:szCs w:val="20"/>
              </w:rPr>
            </w:pPr>
            <w:r>
              <w:rPr>
                <w:color w:val="000000"/>
                <w:sz w:val="20"/>
                <w:szCs w:val="20"/>
              </w:rPr>
              <w:t>0.001</w:t>
            </w:r>
          </w:p>
        </w:tc>
      </w:tr>
      <w:tr w:rsidR="00432B71" w14:paraId="2E53BC71" w14:textId="77777777" w:rsidTr="005A3B4D">
        <w:trPr>
          <w:trHeight w:val="320"/>
        </w:trPr>
        <w:tc>
          <w:tcPr>
            <w:tcW w:w="1176" w:type="dxa"/>
            <w:tcBorders>
              <w:top w:val="nil"/>
              <w:left w:val="nil"/>
              <w:bottom w:val="nil"/>
              <w:right w:val="nil"/>
            </w:tcBorders>
            <w:shd w:val="clear" w:color="auto" w:fill="auto"/>
            <w:noWrap/>
            <w:vAlign w:val="bottom"/>
            <w:hideMark/>
          </w:tcPr>
          <w:p w14:paraId="169E26D4"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C444AE9"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2FAB9D0"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7B7535B" w14:textId="77777777" w:rsidR="00432B71" w:rsidRDefault="00432B71" w:rsidP="005A3B4D">
            <w:pPr>
              <w:jc w:val="right"/>
              <w:rPr>
                <w:color w:val="000000"/>
                <w:sz w:val="20"/>
                <w:szCs w:val="20"/>
              </w:rPr>
            </w:pPr>
            <w:r>
              <w:rPr>
                <w:color w:val="000000"/>
                <w:sz w:val="20"/>
                <w:szCs w:val="20"/>
              </w:rPr>
              <w:t>0.714</w:t>
            </w:r>
          </w:p>
        </w:tc>
        <w:tc>
          <w:tcPr>
            <w:tcW w:w="768" w:type="dxa"/>
            <w:tcBorders>
              <w:top w:val="nil"/>
              <w:left w:val="nil"/>
              <w:bottom w:val="nil"/>
              <w:right w:val="nil"/>
            </w:tcBorders>
            <w:shd w:val="clear" w:color="auto" w:fill="auto"/>
            <w:noWrap/>
            <w:vAlign w:val="bottom"/>
            <w:hideMark/>
          </w:tcPr>
          <w:p w14:paraId="6F05880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403056"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38B2B49" w14:textId="77777777" w:rsidR="00432B71" w:rsidRDefault="00432B71" w:rsidP="005A3B4D">
            <w:pPr>
              <w:jc w:val="right"/>
              <w:rPr>
                <w:color w:val="000000"/>
                <w:sz w:val="20"/>
                <w:szCs w:val="20"/>
              </w:rPr>
            </w:pPr>
            <w:r>
              <w:rPr>
                <w:color w:val="000000"/>
                <w:sz w:val="20"/>
                <w:szCs w:val="20"/>
              </w:rPr>
              <w:t>0.439</w:t>
            </w:r>
          </w:p>
        </w:tc>
        <w:tc>
          <w:tcPr>
            <w:tcW w:w="768" w:type="dxa"/>
            <w:tcBorders>
              <w:top w:val="nil"/>
              <w:left w:val="nil"/>
              <w:bottom w:val="nil"/>
              <w:right w:val="nil"/>
            </w:tcBorders>
            <w:shd w:val="clear" w:color="auto" w:fill="auto"/>
            <w:noWrap/>
            <w:vAlign w:val="bottom"/>
            <w:hideMark/>
          </w:tcPr>
          <w:p w14:paraId="7D085367"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7485FC"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8450037" w14:textId="77777777" w:rsidR="00432B71" w:rsidRDefault="00432B71" w:rsidP="005A3B4D">
            <w:pPr>
              <w:jc w:val="right"/>
              <w:rPr>
                <w:color w:val="000000"/>
                <w:sz w:val="20"/>
                <w:szCs w:val="20"/>
              </w:rPr>
            </w:pPr>
            <w:r>
              <w:rPr>
                <w:color w:val="000000"/>
                <w:sz w:val="20"/>
                <w:szCs w:val="20"/>
              </w:rPr>
              <w:t>0.751</w:t>
            </w:r>
          </w:p>
        </w:tc>
        <w:tc>
          <w:tcPr>
            <w:tcW w:w="768" w:type="dxa"/>
            <w:tcBorders>
              <w:top w:val="nil"/>
              <w:left w:val="nil"/>
              <w:bottom w:val="nil"/>
              <w:right w:val="nil"/>
            </w:tcBorders>
            <w:shd w:val="clear" w:color="auto" w:fill="auto"/>
            <w:noWrap/>
            <w:vAlign w:val="bottom"/>
            <w:hideMark/>
          </w:tcPr>
          <w:p w14:paraId="3A263ED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464194"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6A4ECBCA" w14:textId="77777777" w:rsidR="00432B71" w:rsidRDefault="00432B71" w:rsidP="005A3B4D">
            <w:pPr>
              <w:jc w:val="right"/>
              <w:rPr>
                <w:color w:val="000000"/>
                <w:sz w:val="20"/>
                <w:szCs w:val="20"/>
              </w:rPr>
            </w:pPr>
            <w:r>
              <w:rPr>
                <w:color w:val="000000"/>
                <w:sz w:val="20"/>
                <w:szCs w:val="20"/>
              </w:rPr>
              <w:t>0.255</w:t>
            </w:r>
          </w:p>
        </w:tc>
        <w:tc>
          <w:tcPr>
            <w:tcW w:w="768" w:type="dxa"/>
            <w:tcBorders>
              <w:top w:val="nil"/>
              <w:left w:val="nil"/>
              <w:bottom w:val="nil"/>
              <w:right w:val="nil"/>
            </w:tcBorders>
            <w:shd w:val="clear" w:color="auto" w:fill="auto"/>
            <w:noWrap/>
            <w:vAlign w:val="bottom"/>
            <w:hideMark/>
          </w:tcPr>
          <w:p w14:paraId="6BECFC57"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D998E63" w14:textId="77777777" w:rsidR="00432B71" w:rsidRDefault="00432B71" w:rsidP="005A3B4D">
            <w:pPr>
              <w:jc w:val="right"/>
              <w:rPr>
                <w:b/>
                <w:bCs/>
                <w:color w:val="000000"/>
                <w:sz w:val="20"/>
                <w:szCs w:val="20"/>
              </w:rPr>
            </w:pPr>
            <w:r>
              <w:rPr>
                <w:b/>
                <w:bCs/>
                <w:color w:val="000000"/>
                <w:sz w:val="20"/>
                <w:szCs w:val="20"/>
              </w:rPr>
              <w:t>-0.096</w:t>
            </w:r>
          </w:p>
        </w:tc>
        <w:tc>
          <w:tcPr>
            <w:tcW w:w="768" w:type="dxa"/>
            <w:tcBorders>
              <w:top w:val="nil"/>
              <w:left w:val="nil"/>
              <w:bottom w:val="nil"/>
              <w:right w:val="nil"/>
            </w:tcBorders>
            <w:shd w:val="clear" w:color="auto" w:fill="auto"/>
            <w:noWrap/>
            <w:vAlign w:val="bottom"/>
            <w:hideMark/>
          </w:tcPr>
          <w:p w14:paraId="06F864AE" w14:textId="77777777" w:rsidR="00432B71" w:rsidRDefault="00432B71"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023B0C4E" w14:textId="77777777" w:rsidR="00432B71" w:rsidRDefault="00432B71" w:rsidP="005A3B4D">
            <w:pPr>
              <w:jc w:val="right"/>
              <w:rPr>
                <w:color w:val="000000"/>
                <w:sz w:val="20"/>
                <w:szCs w:val="20"/>
              </w:rPr>
            </w:pPr>
            <w:r>
              <w:rPr>
                <w:b/>
                <w:bCs/>
                <w:color w:val="000000"/>
                <w:sz w:val="20"/>
                <w:szCs w:val="20"/>
              </w:rPr>
              <w:t>0.009</w:t>
            </w:r>
          </w:p>
        </w:tc>
      </w:tr>
      <w:tr w:rsidR="00432B71" w14:paraId="55E45099" w14:textId="77777777" w:rsidTr="005A3B4D">
        <w:trPr>
          <w:trHeight w:val="320"/>
        </w:trPr>
        <w:tc>
          <w:tcPr>
            <w:tcW w:w="1176" w:type="dxa"/>
            <w:tcBorders>
              <w:top w:val="nil"/>
              <w:left w:val="nil"/>
              <w:bottom w:val="nil"/>
              <w:right w:val="nil"/>
            </w:tcBorders>
            <w:shd w:val="clear" w:color="auto" w:fill="auto"/>
            <w:noWrap/>
            <w:vAlign w:val="bottom"/>
            <w:hideMark/>
          </w:tcPr>
          <w:p w14:paraId="5D71060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02311C"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322D9D5" w14:textId="77777777" w:rsidR="00432B71" w:rsidRDefault="00432B71" w:rsidP="005A3B4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1B0BB857" w14:textId="77777777" w:rsidR="00432B71" w:rsidRDefault="00432B71" w:rsidP="005A3B4D">
            <w:pPr>
              <w:jc w:val="right"/>
              <w:rPr>
                <w:color w:val="000000"/>
                <w:sz w:val="20"/>
                <w:szCs w:val="20"/>
              </w:rPr>
            </w:pPr>
            <w:r>
              <w:rPr>
                <w:color w:val="000000"/>
                <w:sz w:val="20"/>
                <w:szCs w:val="20"/>
              </w:rPr>
              <w:t>0.123</w:t>
            </w:r>
          </w:p>
        </w:tc>
        <w:tc>
          <w:tcPr>
            <w:tcW w:w="768" w:type="dxa"/>
            <w:tcBorders>
              <w:top w:val="nil"/>
              <w:left w:val="nil"/>
              <w:bottom w:val="nil"/>
              <w:right w:val="nil"/>
            </w:tcBorders>
            <w:shd w:val="clear" w:color="auto" w:fill="auto"/>
            <w:noWrap/>
            <w:vAlign w:val="bottom"/>
            <w:hideMark/>
          </w:tcPr>
          <w:p w14:paraId="2BABB41A"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52922C2" w14:textId="77777777" w:rsidR="00432B71" w:rsidRDefault="00432B71" w:rsidP="005A3B4D">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46275A19" w14:textId="77777777" w:rsidR="00432B71" w:rsidRDefault="00432B71" w:rsidP="005A3B4D">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6EB84107"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DA3A27B"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99D02C0" w14:textId="77777777" w:rsidR="00432B71" w:rsidRDefault="00432B71" w:rsidP="005A3B4D">
            <w:pPr>
              <w:jc w:val="right"/>
              <w:rPr>
                <w:color w:val="000000"/>
                <w:sz w:val="20"/>
                <w:szCs w:val="20"/>
              </w:rPr>
            </w:pPr>
            <w:r>
              <w:rPr>
                <w:color w:val="000000"/>
                <w:sz w:val="20"/>
                <w:szCs w:val="20"/>
              </w:rPr>
              <w:t>0.649</w:t>
            </w:r>
          </w:p>
        </w:tc>
        <w:tc>
          <w:tcPr>
            <w:tcW w:w="768" w:type="dxa"/>
            <w:tcBorders>
              <w:top w:val="nil"/>
              <w:left w:val="nil"/>
              <w:bottom w:val="nil"/>
              <w:right w:val="nil"/>
            </w:tcBorders>
            <w:shd w:val="clear" w:color="auto" w:fill="auto"/>
            <w:noWrap/>
            <w:vAlign w:val="bottom"/>
            <w:hideMark/>
          </w:tcPr>
          <w:p w14:paraId="177F773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0C3499" w14:textId="77777777" w:rsidR="00432B71" w:rsidRDefault="00432B71" w:rsidP="005A3B4D">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3F4A81FC" w14:textId="77777777" w:rsidR="00432B71" w:rsidRDefault="00432B71"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2869876D"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37D2322" w14:textId="77777777" w:rsidR="00432B71" w:rsidRDefault="00432B7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2B9B495" w14:textId="77777777" w:rsidR="00432B71" w:rsidRDefault="00432B71" w:rsidP="005A3B4D">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49517AE4" w14:textId="77777777" w:rsidR="00432B71" w:rsidRDefault="00432B71" w:rsidP="005A3B4D">
            <w:pPr>
              <w:jc w:val="right"/>
              <w:rPr>
                <w:color w:val="000000"/>
                <w:sz w:val="20"/>
                <w:szCs w:val="20"/>
              </w:rPr>
            </w:pPr>
            <w:r>
              <w:rPr>
                <w:color w:val="000000"/>
                <w:sz w:val="20"/>
                <w:szCs w:val="20"/>
              </w:rPr>
              <w:t>0.001</w:t>
            </w:r>
          </w:p>
        </w:tc>
      </w:tr>
      <w:tr w:rsidR="00432B71" w14:paraId="167FED89" w14:textId="77777777" w:rsidTr="005A3B4D">
        <w:trPr>
          <w:trHeight w:val="320"/>
        </w:trPr>
        <w:tc>
          <w:tcPr>
            <w:tcW w:w="1176" w:type="dxa"/>
            <w:tcBorders>
              <w:top w:val="nil"/>
              <w:left w:val="nil"/>
              <w:bottom w:val="nil"/>
              <w:right w:val="nil"/>
            </w:tcBorders>
            <w:shd w:val="clear" w:color="auto" w:fill="auto"/>
            <w:noWrap/>
            <w:vAlign w:val="bottom"/>
            <w:hideMark/>
          </w:tcPr>
          <w:p w14:paraId="32F4DA45"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6656FD"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F242484" w14:textId="77777777" w:rsidR="00432B71" w:rsidRDefault="00432B71"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899B87E" w14:textId="77777777" w:rsidR="00432B71" w:rsidRDefault="00432B71" w:rsidP="005A3B4D">
            <w:pPr>
              <w:jc w:val="right"/>
              <w:rPr>
                <w:color w:val="000000"/>
                <w:sz w:val="20"/>
                <w:szCs w:val="20"/>
              </w:rPr>
            </w:pPr>
            <w:r>
              <w:rPr>
                <w:color w:val="000000"/>
                <w:sz w:val="20"/>
                <w:szCs w:val="20"/>
              </w:rPr>
              <w:t>0.225</w:t>
            </w:r>
          </w:p>
        </w:tc>
        <w:tc>
          <w:tcPr>
            <w:tcW w:w="768" w:type="dxa"/>
            <w:tcBorders>
              <w:top w:val="nil"/>
              <w:left w:val="nil"/>
              <w:bottom w:val="nil"/>
              <w:right w:val="nil"/>
            </w:tcBorders>
            <w:shd w:val="clear" w:color="auto" w:fill="auto"/>
            <w:noWrap/>
            <w:vAlign w:val="bottom"/>
            <w:hideMark/>
          </w:tcPr>
          <w:p w14:paraId="7C4779C2"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D170C53" w14:textId="77777777" w:rsidR="00432B71" w:rsidRDefault="00432B71"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840A7F0" w14:textId="77777777" w:rsidR="00432B71" w:rsidRDefault="00432B71" w:rsidP="005A3B4D">
            <w:pPr>
              <w:jc w:val="right"/>
              <w:rPr>
                <w:color w:val="000000"/>
                <w:sz w:val="20"/>
                <w:szCs w:val="20"/>
              </w:rPr>
            </w:pPr>
            <w:r>
              <w:rPr>
                <w:color w:val="000000"/>
                <w:sz w:val="20"/>
                <w:szCs w:val="20"/>
              </w:rPr>
              <w:t>0.276</w:t>
            </w:r>
          </w:p>
        </w:tc>
        <w:tc>
          <w:tcPr>
            <w:tcW w:w="768" w:type="dxa"/>
            <w:tcBorders>
              <w:top w:val="nil"/>
              <w:left w:val="nil"/>
              <w:bottom w:val="nil"/>
              <w:right w:val="nil"/>
            </w:tcBorders>
            <w:shd w:val="clear" w:color="auto" w:fill="auto"/>
            <w:noWrap/>
            <w:vAlign w:val="bottom"/>
            <w:hideMark/>
          </w:tcPr>
          <w:p w14:paraId="43778F95"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CCC2876" w14:textId="77777777" w:rsidR="00432B71" w:rsidRDefault="00432B71"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1F390ED6" w14:textId="77777777" w:rsidR="00432B71" w:rsidRDefault="00432B71" w:rsidP="005A3B4D">
            <w:pPr>
              <w:jc w:val="right"/>
              <w:rPr>
                <w:color w:val="000000"/>
                <w:sz w:val="20"/>
                <w:szCs w:val="20"/>
              </w:rPr>
            </w:pPr>
            <w:r>
              <w:rPr>
                <w:color w:val="000000"/>
                <w:sz w:val="20"/>
                <w:szCs w:val="20"/>
              </w:rPr>
              <w:t>0.307</w:t>
            </w:r>
          </w:p>
        </w:tc>
        <w:tc>
          <w:tcPr>
            <w:tcW w:w="768" w:type="dxa"/>
            <w:tcBorders>
              <w:top w:val="nil"/>
              <w:left w:val="nil"/>
              <w:bottom w:val="nil"/>
              <w:right w:val="nil"/>
            </w:tcBorders>
            <w:shd w:val="clear" w:color="auto" w:fill="auto"/>
            <w:noWrap/>
            <w:vAlign w:val="bottom"/>
            <w:hideMark/>
          </w:tcPr>
          <w:p w14:paraId="6AFAE4A8"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622F4B9"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6132210" w14:textId="77777777" w:rsidR="00432B71" w:rsidRDefault="00432B71" w:rsidP="005A3B4D">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570EBD3E"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7ED00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00B5CC" w14:textId="77777777" w:rsidR="00432B71" w:rsidRDefault="00432B71" w:rsidP="005A3B4D">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654B581B" w14:textId="77777777" w:rsidR="00432B71" w:rsidRDefault="00432B71" w:rsidP="005A3B4D">
            <w:pPr>
              <w:jc w:val="right"/>
              <w:rPr>
                <w:color w:val="000000"/>
                <w:sz w:val="20"/>
                <w:szCs w:val="20"/>
              </w:rPr>
            </w:pPr>
            <w:r>
              <w:rPr>
                <w:color w:val="000000"/>
                <w:sz w:val="20"/>
                <w:szCs w:val="20"/>
              </w:rPr>
              <w:t>0.000</w:t>
            </w:r>
          </w:p>
        </w:tc>
      </w:tr>
      <w:tr w:rsidR="00432B71" w14:paraId="77A31F84" w14:textId="77777777" w:rsidTr="005A3B4D">
        <w:trPr>
          <w:trHeight w:val="320"/>
        </w:trPr>
        <w:tc>
          <w:tcPr>
            <w:tcW w:w="1176" w:type="dxa"/>
            <w:tcBorders>
              <w:top w:val="nil"/>
              <w:left w:val="nil"/>
              <w:bottom w:val="nil"/>
              <w:right w:val="nil"/>
            </w:tcBorders>
            <w:shd w:val="clear" w:color="auto" w:fill="auto"/>
            <w:noWrap/>
            <w:vAlign w:val="bottom"/>
            <w:hideMark/>
          </w:tcPr>
          <w:p w14:paraId="44C85F8F"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606D308"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EDAAAD4" w14:textId="77777777" w:rsidR="00432B71" w:rsidRDefault="00432B71"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05D86774" w14:textId="77777777" w:rsidR="00432B71" w:rsidRDefault="00432B71" w:rsidP="005A3B4D">
            <w:pPr>
              <w:jc w:val="right"/>
              <w:rPr>
                <w:color w:val="000000"/>
                <w:sz w:val="20"/>
                <w:szCs w:val="20"/>
              </w:rPr>
            </w:pPr>
            <w:r>
              <w:rPr>
                <w:color w:val="000000"/>
                <w:sz w:val="20"/>
                <w:szCs w:val="20"/>
              </w:rPr>
              <w:t>0.139</w:t>
            </w:r>
          </w:p>
        </w:tc>
        <w:tc>
          <w:tcPr>
            <w:tcW w:w="768" w:type="dxa"/>
            <w:tcBorders>
              <w:top w:val="nil"/>
              <w:left w:val="nil"/>
              <w:bottom w:val="nil"/>
              <w:right w:val="nil"/>
            </w:tcBorders>
            <w:shd w:val="clear" w:color="auto" w:fill="auto"/>
            <w:noWrap/>
            <w:vAlign w:val="bottom"/>
            <w:hideMark/>
          </w:tcPr>
          <w:p w14:paraId="5A0577D9"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ED3AE34" w14:textId="77777777" w:rsidR="00432B71" w:rsidRDefault="00432B71" w:rsidP="005A3B4D">
            <w:pPr>
              <w:jc w:val="right"/>
              <w:rPr>
                <w:b/>
                <w:bCs/>
                <w:color w:val="000000"/>
                <w:sz w:val="20"/>
                <w:szCs w:val="20"/>
              </w:rPr>
            </w:pPr>
            <w:r>
              <w:rPr>
                <w:b/>
                <w:bCs/>
                <w:color w:val="000000"/>
                <w:sz w:val="20"/>
                <w:szCs w:val="20"/>
              </w:rPr>
              <w:t>-0.066</w:t>
            </w:r>
          </w:p>
        </w:tc>
        <w:tc>
          <w:tcPr>
            <w:tcW w:w="768" w:type="dxa"/>
            <w:tcBorders>
              <w:top w:val="nil"/>
              <w:left w:val="nil"/>
              <w:bottom w:val="nil"/>
              <w:right w:val="nil"/>
            </w:tcBorders>
            <w:shd w:val="clear" w:color="auto" w:fill="auto"/>
            <w:noWrap/>
            <w:vAlign w:val="bottom"/>
            <w:hideMark/>
          </w:tcPr>
          <w:p w14:paraId="39CEC9B9" w14:textId="77777777" w:rsidR="00432B71" w:rsidRDefault="00432B71" w:rsidP="005A3B4D">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4D1D86F6" w14:textId="77777777" w:rsidR="00432B71" w:rsidRDefault="00432B71" w:rsidP="005A3B4D">
            <w:pPr>
              <w:jc w:val="right"/>
              <w:rPr>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00CF7386" w14:textId="77777777" w:rsidR="00432B71" w:rsidRDefault="00432B71"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318F7B3A" w14:textId="77777777" w:rsidR="00432B71" w:rsidRDefault="00432B71" w:rsidP="005A3B4D">
            <w:pPr>
              <w:jc w:val="right"/>
              <w:rPr>
                <w:color w:val="000000"/>
                <w:sz w:val="20"/>
                <w:szCs w:val="20"/>
              </w:rPr>
            </w:pPr>
            <w:r>
              <w:rPr>
                <w:color w:val="000000"/>
                <w:sz w:val="20"/>
                <w:szCs w:val="20"/>
              </w:rPr>
              <w:t>0.307</w:t>
            </w:r>
          </w:p>
        </w:tc>
        <w:tc>
          <w:tcPr>
            <w:tcW w:w="768" w:type="dxa"/>
            <w:tcBorders>
              <w:top w:val="nil"/>
              <w:left w:val="nil"/>
              <w:bottom w:val="nil"/>
              <w:right w:val="nil"/>
            </w:tcBorders>
            <w:shd w:val="clear" w:color="auto" w:fill="auto"/>
            <w:noWrap/>
            <w:vAlign w:val="bottom"/>
            <w:hideMark/>
          </w:tcPr>
          <w:p w14:paraId="6877259A"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DEA7FDE"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68382DA1" w14:textId="77777777" w:rsidR="00432B71" w:rsidRDefault="00432B71" w:rsidP="005A3B4D">
            <w:pPr>
              <w:jc w:val="right"/>
              <w:rPr>
                <w:color w:val="000000"/>
                <w:sz w:val="20"/>
                <w:szCs w:val="20"/>
              </w:rPr>
            </w:pPr>
            <w:r>
              <w:rPr>
                <w:color w:val="000000"/>
                <w:sz w:val="20"/>
                <w:szCs w:val="20"/>
              </w:rPr>
              <w:t>0.636</w:t>
            </w:r>
          </w:p>
        </w:tc>
        <w:tc>
          <w:tcPr>
            <w:tcW w:w="768" w:type="dxa"/>
            <w:tcBorders>
              <w:top w:val="nil"/>
              <w:left w:val="nil"/>
              <w:bottom w:val="nil"/>
              <w:right w:val="nil"/>
            </w:tcBorders>
            <w:shd w:val="clear" w:color="auto" w:fill="auto"/>
            <w:noWrap/>
            <w:vAlign w:val="bottom"/>
            <w:hideMark/>
          </w:tcPr>
          <w:p w14:paraId="4E3B6C5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B8A3FE" w14:textId="77777777" w:rsidR="00432B71" w:rsidRDefault="00432B71"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3E78254F" w14:textId="77777777" w:rsidR="00432B71" w:rsidRDefault="00432B71" w:rsidP="005A3B4D">
            <w:pPr>
              <w:jc w:val="right"/>
              <w:rPr>
                <w:color w:val="000000"/>
                <w:sz w:val="20"/>
                <w:szCs w:val="20"/>
              </w:rPr>
            </w:pPr>
            <w:r>
              <w:rPr>
                <w:color w:val="000000"/>
                <w:sz w:val="20"/>
                <w:szCs w:val="20"/>
              </w:rPr>
              <w:t>0.156</w:t>
            </w:r>
          </w:p>
        </w:tc>
        <w:tc>
          <w:tcPr>
            <w:tcW w:w="768" w:type="dxa"/>
            <w:tcBorders>
              <w:top w:val="nil"/>
              <w:left w:val="nil"/>
              <w:bottom w:val="nil"/>
              <w:right w:val="nil"/>
            </w:tcBorders>
            <w:shd w:val="clear" w:color="auto" w:fill="auto"/>
            <w:noWrap/>
            <w:vAlign w:val="bottom"/>
            <w:hideMark/>
          </w:tcPr>
          <w:p w14:paraId="223C1FF8" w14:textId="77777777" w:rsidR="00432B71" w:rsidRDefault="00432B71" w:rsidP="005A3B4D">
            <w:pPr>
              <w:jc w:val="right"/>
              <w:rPr>
                <w:color w:val="000000"/>
                <w:sz w:val="20"/>
                <w:szCs w:val="20"/>
              </w:rPr>
            </w:pPr>
            <w:r>
              <w:rPr>
                <w:color w:val="000000"/>
                <w:sz w:val="20"/>
                <w:szCs w:val="20"/>
              </w:rPr>
              <w:t>0.005</w:t>
            </w:r>
          </w:p>
        </w:tc>
      </w:tr>
      <w:tr w:rsidR="00432B71" w14:paraId="28CA2408" w14:textId="77777777" w:rsidTr="005A3B4D">
        <w:trPr>
          <w:trHeight w:val="320"/>
        </w:trPr>
        <w:tc>
          <w:tcPr>
            <w:tcW w:w="1176" w:type="dxa"/>
            <w:tcBorders>
              <w:top w:val="nil"/>
              <w:left w:val="nil"/>
              <w:bottom w:val="nil"/>
              <w:right w:val="nil"/>
            </w:tcBorders>
            <w:shd w:val="clear" w:color="auto" w:fill="auto"/>
            <w:noWrap/>
            <w:vAlign w:val="bottom"/>
            <w:hideMark/>
          </w:tcPr>
          <w:p w14:paraId="47FD1485"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3091F09"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FF88B9E" w14:textId="77777777" w:rsidR="00432B71" w:rsidRDefault="00432B71" w:rsidP="005A3B4D">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1D10DCBB" w14:textId="77777777" w:rsidR="00432B71" w:rsidRDefault="00432B71" w:rsidP="005A3B4D">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2AF0AB7B"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DEF5457"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1837276" w14:textId="77777777" w:rsidR="00432B71" w:rsidRDefault="00432B71" w:rsidP="005A3B4D">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7ACADF3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E27D0D"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32E43291" w14:textId="77777777" w:rsidR="00432B71" w:rsidRDefault="00432B71" w:rsidP="005A3B4D">
            <w:pPr>
              <w:jc w:val="right"/>
              <w:rPr>
                <w:color w:val="000000"/>
                <w:sz w:val="20"/>
                <w:szCs w:val="20"/>
              </w:rPr>
            </w:pPr>
            <w:r>
              <w:rPr>
                <w:color w:val="000000"/>
                <w:sz w:val="20"/>
                <w:szCs w:val="20"/>
              </w:rPr>
              <w:t>0.376</w:t>
            </w:r>
          </w:p>
        </w:tc>
        <w:tc>
          <w:tcPr>
            <w:tcW w:w="768" w:type="dxa"/>
            <w:tcBorders>
              <w:top w:val="nil"/>
              <w:left w:val="nil"/>
              <w:bottom w:val="nil"/>
              <w:right w:val="nil"/>
            </w:tcBorders>
            <w:shd w:val="clear" w:color="auto" w:fill="auto"/>
            <w:noWrap/>
            <w:vAlign w:val="bottom"/>
            <w:hideMark/>
          </w:tcPr>
          <w:p w14:paraId="7774AC28"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FD5F4F" w14:textId="77777777" w:rsidR="00432B71" w:rsidRDefault="00432B71"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003E3F62" w14:textId="77777777" w:rsidR="00432B71" w:rsidRDefault="00432B71" w:rsidP="005A3B4D">
            <w:pPr>
              <w:jc w:val="right"/>
              <w:rPr>
                <w:color w:val="000000"/>
                <w:sz w:val="20"/>
                <w:szCs w:val="20"/>
              </w:rPr>
            </w:pPr>
            <w:r>
              <w:rPr>
                <w:color w:val="000000"/>
                <w:sz w:val="20"/>
                <w:szCs w:val="20"/>
              </w:rPr>
              <w:t>0.221</w:t>
            </w:r>
          </w:p>
        </w:tc>
        <w:tc>
          <w:tcPr>
            <w:tcW w:w="768" w:type="dxa"/>
            <w:tcBorders>
              <w:top w:val="nil"/>
              <w:left w:val="nil"/>
              <w:bottom w:val="nil"/>
              <w:right w:val="nil"/>
            </w:tcBorders>
            <w:shd w:val="clear" w:color="auto" w:fill="auto"/>
            <w:noWrap/>
            <w:vAlign w:val="bottom"/>
            <w:hideMark/>
          </w:tcPr>
          <w:p w14:paraId="6F12325E"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82340F4"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B7F9BCB" w14:textId="77777777" w:rsidR="00432B71" w:rsidRDefault="00432B71"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19889BB5" w14:textId="77777777" w:rsidR="00432B71" w:rsidRDefault="00432B71" w:rsidP="005A3B4D">
            <w:pPr>
              <w:jc w:val="right"/>
              <w:rPr>
                <w:color w:val="000000"/>
                <w:sz w:val="20"/>
                <w:szCs w:val="20"/>
              </w:rPr>
            </w:pPr>
            <w:r>
              <w:rPr>
                <w:color w:val="000000"/>
                <w:sz w:val="20"/>
                <w:szCs w:val="20"/>
              </w:rPr>
              <w:t>0.000</w:t>
            </w:r>
          </w:p>
        </w:tc>
      </w:tr>
      <w:tr w:rsidR="00432B71" w14:paraId="02171F57" w14:textId="77777777" w:rsidTr="005A3B4D">
        <w:trPr>
          <w:trHeight w:val="320"/>
        </w:trPr>
        <w:tc>
          <w:tcPr>
            <w:tcW w:w="1176" w:type="dxa"/>
            <w:tcBorders>
              <w:top w:val="nil"/>
              <w:left w:val="nil"/>
              <w:bottom w:val="nil"/>
              <w:right w:val="nil"/>
            </w:tcBorders>
            <w:shd w:val="clear" w:color="auto" w:fill="auto"/>
            <w:noWrap/>
            <w:vAlign w:val="bottom"/>
            <w:hideMark/>
          </w:tcPr>
          <w:p w14:paraId="6DD50000"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F6DE994"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6A683B1" w14:textId="77777777" w:rsidR="00432B71" w:rsidRDefault="00432B71"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4D170E98" w14:textId="77777777" w:rsidR="00432B71" w:rsidRDefault="00432B71" w:rsidP="005A3B4D">
            <w:pPr>
              <w:jc w:val="right"/>
              <w:rPr>
                <w:color w:val="000000"/>
                <w:sz w:val="20"/>
                <w:szCs w:val="20"/>
              </w:rPr>
            </w:pPr>
            <w:r>
              <w:rPr>
                <w:color w:val="000000"/>
                <w:sz w:val="20"/>
                <w:szCs w:val="20"/>
              </w:rPr>
              <w:t>0.173</w:t>
            </w:r>
          </w:p>
        </w:tc>
        <w:tc>
          <w:tcPr>
            <w:tcW w:w="768" w:type="dxa"/>
            <w:tcBorders>
              <w:top w:val="nil"/>
              <w:left w:val="nil"/>
              <w:bottom w:val="nil"/>
              <w:right w:val="nil"/>
            </w:tcBorders>
            <w:shd w:val="clear" w:color="auto" w:fill="auto"/>
            <w:noWrap/>
            <w:vAlign w:val="bottom"/>
            <w:hideMark/>
          </w:tcPr>
          <w:p w14:paraId="0897A946"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D45A3EB"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33AE3EC5" w14:textId="77777777" w:rsidR="00432B71" w:rsidRDefault="00432B71" w:rsidP="005A3B4D">
            <w:pPr>
              <w:jc w:val="right"/>
              <w:rPr>
                <w:color w:val="000000"/>
                <w:sz w:val="20"/>
                <w:szCs w:val="20"/>
              </w:rPr>
            </w:pPr>
            <w:r>
              <w:rPr>
                <w:color w:val="000000"/>
                <w:sz w:val="20"/>
                <w:szCs w:val="20"/>
              </w:rPr>
              <w:t>0.439</w:t>
            </w:r>
          </w:p>
        </w:tc>
        <w:tc>
          <w:tcPr>
            <w:tcW w:w="768" w:type="dxa"/>
            <w:tcBorders>
              <w:top w:val="nil"/>
              <w:left w:val="nil"/>
              <w:bottom w:val="nil"/>
              <w:right w:val="nil"/>
            </w:tcBorders>
            <w:shd w:val="clear" w:color="auto" w:fill="auto"/>
            <w:noWrap/>
            <w:vAlign w:val="bottom"/>
            <w:hideMark/>
          </w:tcPr>
          <w:p w14:paraId="3EAAE19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C9CFF0D" w14:textId="77777777" w:rsidR="00432B71" w:rsidRDefault="00432B71"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6DF15B1B" w14:textId="77777777" w:rsidR="00432B71" w:rsidRDefault="00432B71"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5F40FC4A"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B1B88DC" w14:textId="77777777" w:rsidR="00432B71" w:rsidRDefault="00432B71"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A5E41EE" w14:textId="77777777" w:rsidR="00432B71" w:rsidRDefault="00432B71" w:rsidP="005A3B4D">
            <w:pPr>
              <w:jc w:val="right"/>
              <w:rPr>
                <w:color w:val="000000"/>
                <w:sz w:val="20"/>
                <w:szCs w:val="20"/>
              </w:rPr>
            </w:pPr>
            <w:r>
              <w:rPr>
                <w:color w:val="000000"/>
                <w:sz w:val="20"/>
                <w:szCs w:val="20"/>
              </w:rPr>
              <w:t>0.228</w:t>
            </w:r>
          </w:p>
        </w:tc>
        <w:tc>
          <w:tcPr>
            <w:tcW w:w="768" w:type="dxa"/>
            <w:tcBorders>
              <w:top w:val="nil"/>
              <w:left w:val="nil"/>
              <w:bottom w:val="nil"/>
              <w:right w:val="nil"/>
            </w:tcBorders>
            <w:shd w:val="clear" w:color="auto" w:fill="auto"/>
            <w:noWrap/>
            <w:vAlign w:val="bottom"/>
            <w:hideMark/>
          </w:tcPr>
          <w:p w14:paraId="1D14116B"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5ECF410"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0E5BDA83" w14:textId="77777777" w:rsidR="00432B71" w:rsidRDefault="00432B71" w:rsidP="005A3B4D">
            <w:pPr>
              <w:jc w:val="right"/>
              <w:rPr>
                <w:color w:val="000000"/>
                <w:sz w:val="20"/>
                <w:szCs w:val="20"/>
              </w:rPr>
            </w:pPr>
            <w:r>
              <w:rPr>
                <w:color w:val="000000"/>
                <w:sz w:val="20"/>
                <w:szCs w:val="20"/>
              </w:rPr>
              <w:t>0.544</w:t>
            </w:r>
          </w:p>
        </w:tc>
        <w:tc>
          <w:tcPr>
            <w:tcW w:w="768" w:type="dxa"/>
            <w:tcBorders>
              <w:top w:val="nil"/>
              <w:left w:val="nil"/>
              <w:bottom w:val="nil"/>
              <w:right w:val="nil"/>
            </w:tcBorders>
            <w:shd w:val="clear" w:color="auto" w:fill="auto"/>
            <w:noWrap/>
            <w:vAlign w:val="bottom"/>
            <w:hideMark/>
          </w:tcPr>
          <w:p w14:paraId="74DA9F1D" w14:textId="77777777" w:rsidR="00432B71" w:rsidRDefault="00432B71" w:rsidP="005A3B4D">
            <w:pPr>
              <w:jc w:val="right"/>
              <w:rPr>
                <w:color w:val="000000"/>
                <w:sz w:val="20"/>
                <w:szCs w:val="20"/>
              </w:rPr>
            </w:pPr>
            <w:r>
              <w:rPr>
                <w:color w:val="000000"/>
                <w:sz w:val="20"/>
                <w:szCs w:val="20"/>
              </w:rPr>
              <w:t>0.001</w:t>
            </w:r>
          </w:p>
        </w:tc>
      </w:tr>
      <w:tr w:rsidR="00432B71" w14:paraId="0AD44542"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4C19ED33"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9AD97E5"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3A8F8EB" w14:textId="77777777" w:rsidR="00432B71" w:rsidRDefault="00432B71" w:rsidP="005A3B4D">
            <w:pPr>
              <w:jc w:val="right"/>
              <w:rPr>
                <w:color w:val="000000"/>
                <w:sz w:val="20"/>
                <w:szCs w:val="20"/>
              </w:rPr>
            </w:pPr>
            <w:r>
              <w:rPr>
                <w:color w:val="000000"/>
                <w:sz w:val="20"/>
                <w:szCs w:val="20"/>
              </w:rPr>
              <w:t>-0.061</w:t>
            </w:r>
          </w:p>
        </w:tc>
        <w:tc>
          <w:tcPr>
            <w:tcW w:w="768" w:type="dxa"/>
            <w:tcBorders>
              <w:top w:val="nil"/>
              <w:left w:val="nil"/>
              <w:bottom w:val="single" w:sz="4" w:space="0" w:color="auto"/>
              <w:right w:val="nil"/>
            </w:tcBorders>
            <w:shd w:val="clear" w:color="auto" w:fill="auto"/>
            <w:noWrap/>
            <w:vAlign w:val="bottom"/>
            <w:hideMark/>
          </w:tcPr>
          <w:p w14:paraId="74622935" w14:textId="77777777" w:rsidR="00432B71" w:rsidRDefault="00432B71" w:rsidP="005A3B4D">
            <w:pPr>
              <w:jc w:val="right"/>
              <w:rPr>
                <w:color w:val="000000"/>
                <w:sz w:val="20"/>
                <w:szCs w:val="20"/>
              </w:rPr>
            </w:pPr>
            <w:r>
              <w:rPr>
                <w:color w:val="000000"/>
                <w:sz w:val="20"/>
                <w:szCs w:val="20"/>
              </w:rPr>
              <w:t>0.134</w:t>
            </w:r>
          </w:p>
        </w:tc>
        <w:tc>
          <w:tcPr>
            <w:tcW w:w="768" w:type="dxa"/>
            <w:tcBorders>
              <w:top w:val="nil"/>
              <w:left w:val="nil"/>
              <w:bottom w:val="single" w:sz="4" w:space="0" w:color="auto"/>
              <w:right w:val="nil"/>
            </w:tcBorders>
            <w:shd w:val="clear" w:color="auto" w:fill="auto"/>
            <w:noWrap/>
            <w:vAlign w:val="bottom"/>
            <w:hideMark/>
          </w:tcPr>
          <w:p w14:paraId="74D3CE49"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7C9DC66B" w14:textId="77777777" w:rsidR="00432B71" w:rsidRDefault="00432B71" w:rsidP="005A3B4D">
            <w:pPr>
              <w:jc w:val="right"/>
              <w:rPr>
                <w:color w:val="000000"/>
                <w:sz w:val="20"/>
                <w:szCs w:val="20"/>
              </w:rPr>
            </w:pPr>
            <w:r>
              <w:rPr>
                <w:color w:val="000000"/>
                <w:sz w:val="20"/>
                <w:szCs w:val="20"/>
              </w:rPr>
              <w:t>0.065</w:t>
            </w:r>
          </w:p>
        </w:tc>
        <w:tc>
          <w:tcPr>
            <w:tcW w:w="768" w:type="dxa"/>
            <w:tcBorders>
              <w:top w:val="nil"/>
              <w:left w:val="nil"/>
              <w:bottom w:val="single" w:sz="4" w:space="0" w:color="auto"/>
              <w:right w:val="nil"/>
            </w:tcBorders>
            <w:shd w:val="clear" w:color="auto" w:fill="auto"/>
            <w:noWrap/>
            <w:vAlign w:val="bottom"/>
            <w:hideMark/>
          </w:tcPr>
          <w:p w14:paraId="4BD1F979" w14:textId="77777777" w:rsidR="00432B71" w:rsidRDefault="00432B71" w:rsidP="005A3B4D">
            <w:pPr>
              <w:jc w:val="right"/>
              <w:rPr>
                <w:color w:val="000000"/>
                <w:sz w:val="20"/>
                <w:szCs w:val="20"/>
              </w:rPr>
            </w:pPr>
            <w:r>
              <w:rPr>
                <w:color w:val="000000"/>
                <w:sz w:val="20"/>
                <w:szCs w:val="20"/>
              </w:rPr>
              <w:t>0.056</w:t>
            </w:r>
          </w:p>
        </w:tc>
        <w:tc>
          <w:tcPr>
            <w:tcW w:w="768" w:type="dxa"/>
            <w:tcBorders>
              <w:top w:val="nil"/>
              <w:left w:val="nil"/>
              <w:bottom w:val="single" w:sz="4" w:space="0" w:color="auto"/>
              <w:right w:val="nil"/>
            </w:tcBorders>
            <w:shd w:val="clear" w:color="auto" w:fill="auto"/>
            <w:noWrap/>
            <w:vAlign w:val="bottom"/>
            <w:hideMark/>
          </w:tcPr>
          <w:p w14:paraId="515C6183"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6015AE29"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3AC7575A" w14:textId="77777777" w:rsidR="00432B71" w:rsidRDefault="00432B71" w:rsidP="005A3B4D">
            <w:pPr>
              <w:jc w:val="right"/>
              <w:rPr>
                <w:color w:val="000000"/>
                <w:sz w:val="20"/>
                <w:szCs w:val="20"/>
              </w:rPr>
            </w:pPr>
            <w:r>
              <w:rPr>
                <w:color w:val="000000"/>
                <w:sz w:val="20"/>
                <w:szCs w:val="20"/>
              </w:rPr>
              <w:t>0.649</w:t>
            </w:r>
          </w:p>
        </w:tc>
        <w:tc>
          <w:tcPr>
            <w:tcW w:w="768" w:type="dxa"/>
            <w:tcBorders>
              <w:top w:val="nil"/>
              <w:left w:val="nil"/>
              <w:bottom w:val="single" w:sz="4" w:space="0" w:color="auto"/>
              <w:right w:val="nil"/>
            </w:tcBorders>
            <w:shd w:val="clear" w:color="auto" w:fill="auto"/>
            <w:noWrap/>
            <w:vAlign w:val="bottom"/>
            <w:hideMark/>
          </w:tcPr>
          <w:p w14:paraId="0C6EE63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582D9F9" w14:textId="77777777" w:rsidR="00432B71" w:rsidRDefault="00432B71" w:rsidP="005A3B4D">
            <w:pPr>
              <w:jc w:val="right"/>
              <w:rPr>
                <w:color w:val="000000"/>
                <w:sz w:val="20"/>
                <w:szCs w:val="20"/>
              </w:rPr>
            </w:pPr>
            <w:r>
              <w:rPr>
                <w:color w:val="000000"/>
                <w:sz w:val="20"/>
                <w:szCs w:val="20"/>
              </w:rPr>
              <w:t>-0.053</w:t>
            </w:r>
          </w:p>
        </w:tc>
        <w:tc>
          <w:tcPr>
            <w:tcW w:w="768" w:type="dxa"/>
            <w:tcBorders>
              <w:top w:val="nil"/>
              <w:left w:val="nil"/>
              <w:bottom w:val="single" w:sz="4" w:space="0" w:color="auto"/>
              <w:right w:val="nil"/>
            </w:tcBorders>
            <w:shd w:val="clear" w:color="auto" w:fill="auto"/>
            <w:noWrap/>
            <w:vAlign w:val="bottom"/>
            <w:hideMark/>
          </w:tcPr>
          <w:p w14:paraId="57F0E0F3" w14:textId="77777777" w:rsidR="00432B71" w:rsidRDefault="00432B71" w:rsidP="005A3B4D">
            <w:pPr>
              <w:jc w:val="right"/>
              <w:rPr>
                <w:color w:val="000000"/>
                <w:sz w:val="20"/>
                <w:szCs w:val="20"/>
              </w:rPr>
            </w:pPr>
            <w:r>
              <w:rPr>
                <w:color w:val="000000"/>
                <w:sz w:val="20"/>
                <w:szCs w:val="20"/>
              </w:rPr>
              <w:t>0.221</w:t>
            </w:r>
          </w:p>
        </w:tc>
        <w:tc>
          <w:tcPr>
            <w:tcW w:w="768" w:type="dxa"/>
            <w:tcBorders>
              <w:top w:val="nil"/>
              <w:left w:val="nil"/>
              <w:bottom w:val="single" w:sz="4" w:space="0" w:color="auto"/>
              <w:right w:val="nil"/>
            </w:tcBorders>
            <w:shd w:val="clear" w:color="auto" w:fill="auto"/>
            <w:noWrap/>
            <w:vAlign w:val="bottom"/>
            <w:hideMark/>
          </w:tcPr>
          <w:p w14:paraId="4EF2ACA8"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4ED695D4" w14:textId="77777777" w:rsidR="00432B71" w:rsidRDefault="00432B71" w:rsidP="005A3B4D">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193EB5F8" w14:textId="77777777" w:rsidR="00432B71" w:rsidRDefault="00432B71" w:rsidP="005A3B4D">
            <w:pPr>
              <w:jc w:val="right"/>
              <w:rPr>
                <w:color w:val="000000"/>
                <w:sz w:val="20"/>
                <w:szCs w:val="20"/>
              </w:rPr>
            </w:pPr>
            <w:r>
              <w:rPr>
                <w:color w:val="000000"/>
                <w:sz w:val="20"/>
                <w:szCs w:val="20"/>
              </w:rPr>
              <w:t>0.544</w:t>
            </w:r>
          </w:p>
        </w:tc>
        <w:tc>
          <w:tcPr>
            <w:tcW w:w="768" w:type="dxa"/>
            <w:tcBorders>
              <w:top w:val="nil"/>
              <w:left w:val="nil"/>
              <w:bottom w:val="single" w:sz="4" w:space="0" w:color="auto"/>
              <w:right w:val="nil"/>
            </w:tcBorders>
            <w:shd w:val="clear" w:color="auto" w:fill="auto"/>
            <w:noWrap/>
            <w:vAlign w:val="bottom"/>
            <w:hideMark/>
          </w:tcPr>
          <w:p w14:paraId="15D7974E" w14:textId="77777777" w:rsidR="00432B71" w:rsidRDefault="00432B71" w:rsidP="005A3B4D">
            <w:pPr>
              <w:jc w:val="right"/>
              <w:rPr>
                <w:color w:val="000000"/>
                <w:sz w:val="20"/>
                <w:szCs w:val="20"/>
              </w:rPr>
            </w:pPr>
            <w:r>
              <w:rPr>
                <w:color w:val="000000"/>
                <w:sz w:val="20"/>
                <w:szCs w:val="20"/>
              </w:rPr>
              <w:t>0.001</w:t>
            </w:r>
          </w:p>
        </w:tc>
      </w:tr>
      <w:tr w:rsidR="00432B71" w14:paraId="0F08C783" w14:textId="77777777" w:rsidTr="005A3B4D">
        <w:trPr>
          <w:trHeight w:val="320"/>
        </w:trPr>
        <w:tc>
          <w:tcPr>
            <w:tcW w:w="1176" w:type="dxa"/>
            <w:tcBorders>
              <w:top w:val="nil"/>
              <w:left w:val="nil"/>
              <w:bottom w:val="nil"/>
              <w:right w:val="nil"/>
            </w:tcBorders>
            <w:shd w:val="clear" w:color="auto" w:fill="auto"/>
            <w:noWrap/>
            <w:vAlign w:val="bottom"/>
            <w:hideMark/>
          </w:tcPr>
          <w:p w14:paraId="0C71B81E" w14:textId="77777777" w:rsidR="00432B71" w:rsidRDefault="00432B71"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01B100CA"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E77E719" w14:textId="77777777" w:rsidR="00432B71" w:rsidRDefault="00432B71"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58E9A03F" w14:textId="77777777" w:rsidR="00432B71" w:rsidRDefault="00432B71"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15B56C87"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C113023" w14:textId="77777777" w:rsidR="00432B71" w:rsidRDefault="00432B71"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A709849" w14:textId="77777777" w:rsidR="00432B71" w:rsidRDefault="00432B71" w:rsidP="005A3B4D">
            <w:pPr>
              <w:jc w:val="right"/>
              <w:rPr>
                <w:color w:val="000000"/>
                <w:sz w:val="20"/>
                <w:szCs w:val="20"/>
              </w:rPr>
            </w:pPr>
            <w:r>
              <w:rPr>
                <w:color w:val="000000"/>
                <w:sz w:val="20"/>
                <w:szCs w:val="20"/>
              </w:rPr>
              <w:t>0.488</w:t>
            </w:r>
          </w:p>
        </w:tc>
        <w:tc>
          <w:tcPr>
            <w:tcW w:w="768" w:type="dxa"/>
            <w:tcBorders>
              <w:top w:val="nil"/>
              <w:left w:val="nil"/>
              <w:bottom w:val="nil"/>
              <w:right w:val="nil"/>
            </w:tcBorders>
            <w:shd w:val="clear" w:color="auto" w:fill="auto"/>
            <w:noWrap/>
            <w:vAlign w:val="bottom"/>
            <w:hideMark/>
          </w:tcPr>
          <w:p w14:paraId="7C8F262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B85747"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CF90AD9" w14:textId="77777777" w:rsidR="00432B71" w:rsidRDefault="00432B71"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6921E85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DA6230"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8F5A174" w14:textId="77777777" w:rsidR="00432B71" w:rsidRDefault="00432B71" w:rsidP="005A3B4D">
            <w:pPr>
              <w:jc w:val="right"/>
              <w:rPr>
                <w:color w:val="000000"/>
                <w:sz w:val="20"/>
                <w:szCs w:val="20"/>
              </w:rPr>
            </w:pPr>
            <w:r>
              <w:rPr>
                <w:color w:val="000000"/>
                <w:sz w:val="20"/>
                <w:szCs w:val="20"/>
              </w:rPr>
              <w:t>0.483</w:t>
            </w:r>
          </w:p>
        </w:tc>
        <w:tc>
          <w:tcPr>
            <w:tcW w:w="768" w:type="dxa"/>
            <w:tcBorders>
              <w:top w:val="nil"/>
              <w:left w:val="nil"/>
              <w:bottom w:val="nil"/>
              <w:right w:val="nil"/>
            </w:tcBorders>
            <w:shd w:val="clear" w:color="auto" w:fill="auto"/>
            <w:noWrap/>
            <w:vAlign w:val="bottom"/>
            <w:hideMark/>
          </w:tcPr>
          <w:p w14:paraId="623FCD0F"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AAA432" w14:textId="77777777" w:rsidR="00432B71" w:rsidRDefault="00432B7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169F3A5" w14:textId="77777777" w:rsidR="00432B71" w:rsidRDefault="00432B71" w:rsidP="005A3B4D">
            <w:pPr>
              <w:jc w:val="right"/>
              <w:rPr>
                <w:color w:val="000000"/>
                <w:sz w:val="20"/>
                <w:szCs w:val="20"/>
              </w:rPr>
            </w:pPr>
            <w:r>
              <w:rPr>
                <w:color w:val="000000"/>
                <w:sz w:val="20"/>
                <w:szCs w:val="20"/>
              </w:rPr>
              <w:t>0.389</w:t>
            </w:r>
          </w:p>
        </w:tc>
        <w:tc>
          <w:tcPr>
            <w:tcW w:w="768" w:type="dxa"/>
            <w:tcBorders>
              <w:top w:val="nil"/>
              <w:left w:val="nil"/>
              <w:bottom w:val="nil"/>
              <w:right w:val="nil"/>
            </w:tcBorders>
            <w:shd w:val="clear" w:color="auto" w:fill="auto"/>
            <w:noWrap/>
            <w:vAlign w:val="bottom"/>
            <w:hideMark/>
          </w:tcPr>
          <w:p w14:paraId="38B4E6D8" w14:textId="77777777" w:rsidR="00432B71" w:rsidRDefault="00432B71" w:rsidP="005A3B4D">
            <w:pPr>
              <w:jc w:val="right"/>
              <w:rPr>
                <w:color w:val="000000"/>
                <w:sz w:val="20"/>
                <w:szCs w:val="20"/>
              </w:rPr>
            </w:pPr>
            <w:r>
              <w:rPr>
                <w:color w:val="000000"/>
                <w:sz w:val="20"/>
                <w:szCs w:val="20"/>
              </w:rPr>
              <w:t>0.001</w:t>
            </w:r>
          </w:p>
        </w:tc>
      </w:tr>
      <w:tr w:rsidR="00432B71" w14:paraId="4C20B4D7" w14:textId="77777777" w:rsidTr="005A3B4D">
        <w:trPr>
          <w:trHeight w:val="320"/>
        </w:trPr>
        <w:tc>
          <w:tcPr>
            <w:tcW w:w="1176" w:type="dxa"/>
            <w:tcBorders>
              <w:top w:val="nil"/>
              <w:left w:val="nil"/>
              <w:bottom w:val="nil"/>
              <w:right w:val="nil"/>
            </w:tcBorders>
            <w:shd w:val="clear" w:color="auto" w:fill="auto"/>
            <w:noWrap/>
            <w:vAlign w:val="bottom"/>
            <w:hideMark/>
          </w:tcPr>
          <w:p w14:paraId="5EDA944D"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2783228"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828D663" w14:textId="77777777" w:rsidR="00432B71" w:rsidRDefault="00432B71"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1B5741A" w14:textId="77777777" w:rsidR="00432B71" w:rsidRDefault="00432B71" w:rsidP="005A3B4D">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1933D5A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9810BA"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8C69E18" w14:textId="77777777" w:rsidR="00432B71" w:rsidRDefault="00432B71" w:rsidP="005A3B4D">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46ABAF33"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6CFF02"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77FD481" w14:textId="77777777" w:rsidR="00432B71" w:rsidRDefault="00432B71"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0E083E7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5140C2" w14:textId="77777777" w:rsidR="00432B71" w:rsidRDefault="00432B71"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612E3109" w14:textId="77777777" w:rsidR="00432B71" w:rsidRDefault="00432B71" w:rsidP="005A3B4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441C091A"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295F454" w14:textId="77777777" w:rsidR="00432B71" w:rsidRDefault="00432B71" w:rsidP="005A3B4D">
            <w:pPr>
              <w:jc w:val="right"/>
              <w:rPr>
                <w:b/>
                <w:bCs/>
                <w:color w:val="000000"/>
                <w:sz w:val="20"/>
                <w:szCs w:val="20"/>
              </w:rPr>
            </w:pPr>
            <w:r>
              <w:rPr>
                <w:b/>
                <w:bCs/>
                <w:color w:val="000000"/>
                <w:sz w:val="20"/>
                <w:szCs w:val="20"/>
              </w:rPr>
              <w:t>-0.126</w:t>
            </w:r>
          </w:p>
        </w:tc>
        <w:tc>
          <w:tcPr>
            <w:tcW w:w="768" w:type="dxa"/>
            <w:tcBorders>
              <w:top w:val="nil"/>
              <w:left w:val="nil"/>
              <w:bottom w:val="nil"/>
              <w:right w:val="nil"/>
            </w:tcBorders>
            <w:shd w:val="clear" w:color="auto" w:fill="auto"/>
            <w:noWrap/>
            <w:vAlign w:val="bottom"/>
            <w:hideMark/>
          </w:tcPr>
          <w:p w14:paraId="4DCAF1BD" w14:textId="77777777" w:rsidR="00432B71" w:rsidRDefault="00432B7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7DA8B47A" w14:textId="77777777" w:rsidR="00432B71" w:rsidRDefault="00432B71" w:rsidP="005A3B4D">
            <w:pPr>
              <w:jc w:val="right"/>
              <w:rPr>
                <w:color w:val="000000"/>
                <w:sz w:val="20"/>
                <w:szCs w:val="20"/>
              </w:rPr>
            </w:pPr>
            <w:r>
              <w:rPr>
                <w:b/>
                <w:bCs/>
                <w:color w:val="000000"/>
                <w:sz w:val="20"/>
                <w:szCs w:val="20"/>
              </w:rPr>
              <w:t>0.016</w:t>
            </w:r>
          </w:p>
        </w:tc>
      </w:tr>
      <w:tr w:rsidR="00432B71" w14:paraId="7436A1FF" w14:textId="77777777" w:rsidTr="005A3B4D">
        <w:trPr>
          <w:trHeight w:val="320"/>
        </w:trPr>
        <w:tc>
          <w:tcPr>
            <w:tcW w:w="1176" w:type="dxa"/>
            <w:tcBorders>
              <w:top w:val="nil"/>
              <w:left w:val="nil"/>
              <w:bottom w:val="nil"/>
              <w:right w:val="nil"/>
            </w:tcBorders>
            <w:shd w:val="clear" w:color="auto" w:fill="auto"/>
            <w:noWrap/>
            <w:vAlign w:val="bottom"/>
            <w:hideMark/>
          </w:tcPr>
          <w:p w14:paraId="1DC67426"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16299B0"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EAEE482"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6811476" w14:textId="77777777" w:rsidR="00432B71" w:rsidRDefault="00432B71" w:rsidP="005A3B4D">
            <w:pPr>
              <w:jc w:val="right"/>
              <w:rPr>
                <w:color w:val="000000"/>
                <w:sz w:val="20"/>
                <w:szCs w:val="20"/>
              </w:rPr>
            </w:pPr>
            <w:r>
              <w:rPr>
                <w:color w:val="000000"/>
                <w:sz w:val="20"/>
                <w:szCs w:val="20"/>
              </w:rPr>
              <w:t>0.842</w:t>
            </w:r>
          </w:p>
        </w:tc>
        <w:tc>
          <w:tcPr>
            <w:tcW w:w="768" w:type="dxa"/>
            <w:tcBorders>
              <w:top w:val="nil"/>
              <w:left w:val="nil"/>
              <w:bottom w:val="nil"/>
              <w:right w:val="nil"/>
            </w:tcBorders>
            <w:shd w:val="clear" w:color="auto" w:fill="auto"/>
            <w:noWrap/>
            <w:vAlign w:val="bottom"/>
            <w:hideMark/>
          </w:tcPr>
          <w:p w14:paraId="10FAC66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9A9849" w14:textId="77777777" w:rsidR="00432B71" w:rsidRDefault="00432B71"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8D1292B" w14:textId="77777777" w:rsidR="00432B71" w:rsidRDefault="00432B71" w:rsidP="005A3B4D">
            <w:pPr>
              <w:jc w:val="right"/>
              <w:rPr>
                <w:color w:val="000000"/>
                <w:sz w:val="20"/>
                <w:szCs w:val="20"/>
              </w:rPr>
            </w:pPr>
            <w:r>
              <w:rPr>
                <w:color w:val="000000"/>
                <w:sz w:val="20"/>
                <w:szCs w:val="20"/>
              </w:rPr>
              <w:t>0.488</w:t>
            </w:r>
          </w:p>
        </w:tc>
        <w:tc>
          <w:tcPr>
            <w:tcW w:w="768" w:type="dxa"/>
            <w:tcBorders>
              <w:top w:val="nil"/>
              <w:left w:val="nil"/>
              <w:bottom w:val="nil"/>
              <w:right w:val="nil"/>
            </w:tcBorders>
            <w:shd w:val="clear" w:color="auto" w:fill="auto"/>
            <w:noWrap/>
            <w:vAlign w:val="bottom"/>
            <w:hideMark/>
          </w:tcPr>
          <w:p w14:paraId="3B25522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CE7658"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89EDA53" w14:textId="77777777" w:rsidR="00432B71" w:rsidRDefault="00432B71"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512A592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AAED15"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8561626" w14:textId="77777777" w:rsidR="00432B71" w:rsidRDefault="00432B71" w:rsidP="005A3B4D">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399C6947"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7F887B" w14:textId="77777777" w:rsidR="00432B71" w:rsidRDefault="00432B71"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7A3BFA8" w14:textId="77777777" w:rsidR="00432B71" w:rsidRDefault="00432B71" w:rsidP="005A3B4D">
            <w:pPr>
              <w:jc w:val="right"/>
              <w:rPr>
                <w:color w:val="000000"/>
                <w:sz w:val="20"/>
                <w:szCs w:val="20"/>
              </w:rPr>
            </w:pPr>
            <w:r>
              <w:rPr>
                <w:color w:val="000000"/>
                <w:sz w:val="20"/>
                <w:szCs w:val="20"/>
              </w:rPr>
              <w:t>0.991</w:t>
            </w:r>
          </w:p>
        </w:tc>
        <w:tc>
          <w:tcPr>
            <w:tcW w:w="768" w:type="dxa"/>
            <w:tcBorders>
              <w:top w:val="nil"/>
              <w:left w:val="nil"/>
              <w:bottom w:val="nil"/>
              <w:right w:val="nil"/>
            </w:tcBorders>
            <w:shd w:val="clear" w:color="auto" w:fill="auto"/>
            <w:noWrap/>
            <w:vAlign w:val="bottom"/>
            <w:hideMark/>
          </w:tcPr>
          <w:p w14:paraId="5FFC7C3A" w14:textId="77777777" w:rsidR="00432B71" w:rsidRDefault="00432B71" w:rsidP="005A3B4D">
            <w:pPr>
              <w:jc w:val="right"/>
              <w:rPr>
                <w:color w:val="000000"/>
                <w:sz w:val="20"/>
                <w:szCs w:val="20"/>
              </w:rPr>
            </w:pPr>
            <w:r>
              <w:rPr>
                <w:color w:val="000000"/>
                <w:sz w:val="20"/>
                <w:szCs w:val="20"/>
              </w:rPr>
              <w:t>0.000</w:t>
            </w:r>
          </w:p>
        </w:tc>
      </w:tr>
      <w:tr w:rsidR="00432B71" w14:paraId="74BEC2CE" w14:textId="77777777" w:rsidTr="005A3B4D">
        <w:trPr>
          <w:trHeight w:val="320"/>
        </w:trPr>
        <w:tc>
          <w:tcPr>
            <w:tcW w:w="1176" w:type="dxa"/>
            <w:tcBorders>
              <w:top w:val="nil"/>
              <w:left w:val="nil"/>
              <w:bottom w:val="nil"/>
              <w:right w:val="nil"/>
            </w:tcBorders>
            <w:shd w:val="clear" w:color="auto" w:fill="auto"/>
            <w:noWrap/>
            <w:vAlign w:val="bottom"/>
            <w:hideMark/>
          </w:tcPr>
          <w:p w14:paraId="6EF1A72C"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A746C8"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75353F9"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2C9782F" w14:textId="77777777" w:rsidR="00432B71" w:rsidRDefault="00432B71" w:rsidP="005A3B4D">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16147F50"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64EA8B" w14:textId="77777777" w:rsidR="00432B71" w:rsidRDefault="00432B71"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59869F1A" w14:textId="77777777" w:rsidR="00432B71" w:rsidRDefault="00432B71" w:rsidP="005A3B4D">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1C9282A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AB5B8C"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7E3CEA5" w14:textId="77777777" w:rsidR="00432B71" w:rsidRDefault="00432B71"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397B600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204024"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69497D1E" w14:textId="77777777" w:rsidR="00432B71" w:rsidRDefault="00432B71" w:rsidP="005A3B4D">
            <w:pPr>
              <w:jc w:val="right"/>
              <w:rPr>
                <w:color w:val="000000"/>
                <w:sz w:val="20"/>
                <w:szCs w:val="20"/>
              </w:rPr>
            </w:pPr>
            <w:r>
              <w:rPr>
                <w:color w:val="000000"/>
                <w:sz w:val="20"/>
                <w:szCs w:val="20"/>
              </w:rPr>
              <w:t>0.643</w:t>
            </w:r>
          </w:p>
        </w:tc>
        <w:tc>
          <w:tcPr>
            <w:tcW w:w="768" w:type="dxa"/>
            <w:tcBorders>
              <w:top w:val="nil"/>
              <w:left w:val="nil"/>
              <w:bottom w:val="nil"/>
              <w:right w:val="nil"/>
            </w:tcBorders>
            <w:shd w:val="clear" w:color="auto" w:fill="auto"/>
            <w:noWrap/>
            <w:vAlign w:val="bottom"/>
            <w:hideMark/>
          </w:tcPr>
          <w:p w14:paraId="4351D22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F7C50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4DC953" w14:textId="77777777" w:rsidR="00432B71" w:rsidRDefault="00432B71" w:rsidP="005A3B4D">
            <w:pPr>
              <w:jc w:val="right"/>
              <w:rPr>
                <w:color w:val="000000"/>
                <w:sz w:val="20"/>
                <w:szCs w:val="20"/>
              </w:rPr>
            </w:pPr>
            <w:r>
              <w:rPr>
                <w:color w:val="000000"/>
                <w:sz w:val="20"/>
                <w:szCs w:val="20"/>
              </w:rPr>
              <w:t>0.991</w:t>
            </w:r>
          </w:p>
        </w:tc>
        <w:tc>
          <w:tcPr>
            <w:tcW w:w="768" w:type="dxa"/>
            <w:tcBorders>
              <w:top w:val="nil"/>
              <w:left w:val="nil"/>
              <w:bottom w:val="nil"/>
              <w:right w:val="nil"/>
            </w:tcBorders>
            <w:shd w:val="clear" w:color="auto" w:fill="auto"/>
            <w:noWrap/>
            <w:vAlign w:val="bottom"/>
            <w:hideMark/>
          </w:tcPr>
          <w:p w14:paraId="633148B2" w14:textId="77777777" w:rsidR="00432B71" w:rsidRDefault="00432B71" w:rsidP="005A3B4D">
            <w:pPr>
              <w:jc w:val="right"/>
              <w:rPr>
                <w:color w:val="000000"/>
                <w:sz w:val="20"/>
                <w:szCs w:val="20"/>
              </w:rPr>
            </w:pPr>
            <w:r>
              <w:rPr>
                <w:color w:val="000000"/>
                <w:sz w:val="20"/>
                <w:szCs w:val="20"/>
              </w:rPr>
              <w:t>0.000</w:t>
            </w:r>
          </w:p>
        </w:tc>
      </w:tr>
      <w:tr w:rsidR="00432B71" w14:paraId="22F30541" w14:textId="77777777" w:rsidTr="005A3B4D">
        <w:trPr>
          <w:trHeight w:val="320"/>
        </w:trPr>
        <w:tc>
          <w:tcPr>
            <w:tcW w:w="1176" w:type="dxa"/>
            <w:tcBorders>
              <w:top w:val="nil"/>
              <w:left w:val="nil"/>
              <w:bottom w:val="nil"/>
              <w:right w:val="nil"/>
            </w:tcBorders>
            <w:shd w:val="clear" w:color="auto" w:fill="auto"/>
            <w:noWrap/>
            <w:vAlign w:val="bottom"/>
            <w:hideMark/>
          </w:tcPr>
          <w:p w14:paraId="5544597D"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A29E59B"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45A32F0" w14:textId="77777777" w:rsidR="00432B71" w:rsidRDefault="00432B71"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36113E7" w14:textId="77777777" w:rsidR="00432B71" w:rsidRDefault="00432B71" w:rsidP="005A3B4D">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7E45625A"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DB03F1"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B330818" w14:textId="77777777" w:rsidR="00432B71" w:rsidRDefault="00432B71" w:rsidP="005A3B4D">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4FCA6ED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40BEE93" w14:textId="77777777" w:rsidR="00432B71" w:rsidRDefault="00432B71"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8CC5285" w14:textId="77777777" w:rsidR="00432B71" w:rsidRDefault="00432B71"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51869F5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9BC385"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6A882E8" w14:textId="77777777" w:rsidR="00432B71" w:rsidRDefault="00432B71" w:rsidP="005A3B4D">
            <w:pPr>
              <w:jc w:val="right"/>
              <w:rPr>
                <w:color w:val="000000"/>
                <w:sz w:val="20"/>
                <w:szCs w:val="20"/>
              </w:rPr>
            </w:pPr>
            <w:r>
              <w:rPr>
                <w:color w:val="000000"/>
                <w:sz w:val="20"/>
                <w:szCs w:val="20"/>
              </w:rPr>
              <w:t>0.643</w:t>
            </w:r>
          </w:p>
        </w:tc>
        <w:tc>
          <w:tcPr>
            <w:tcW w:w="768" w:type="dxa"/>
            <w:tcBorders>
              <w:top w:val="nil"/>
              <w:left w:val="nil"/>
              <w:bottom w:val="nil"/>
              <w:right w:val="nil"/>
            </w:tcBorders>
            <w:shd w:val="clear" w:color="auto" w:fill="auto"/>
            <w:noWrap/>
            <w:vAlign w:val="bottom"/>
            <w:hideMark/>
          </w:tcPr>
          <w:p w14:paraId="19B2E3F6"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E01A7F" w14:textId="77777777" w:rsidR="00432B71" w:rsidRDefault="00432B71" w:rsidP="005A3B4D">
            <w:pPr>
              <w:jc w:val="right"/>
              <w:rPr>
                <w:b/>
                <w:bCs/>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76657AEF" w14:textId="77777777" w:rsidR="00432B71" w:rsidRDefault="00432B71" w:rsidP="005A3B4D">
            <w:pPr>
              <w:jc w:val="right"/>
              <w:rPr>
                <w:b/>
                <w:bCs/>
                <w:color w:val="000000"/>
                <w:sz w:val="20"/>
                <w:szCs w:val="20"/>
              </w:rPr>
            </w:pPr>
            <w:r>
              <w:rPr>
                <w:color w:val="000000"/>
                <w:sz w:val="20"/>
                <w:szCs w:val="20"/>
              </w:rPr>
              <w:t>0.389</w:t>
            </w:r>
          </w:p>
        </w:tc>
        <w:tc>
          <w:tcPr>
            <w:tcW w:w="768" w:type="dxa"/>
            <w:tcBorders>
              <w:top w:val="nil"/>
              <w:left w:val="nil"/>
              <w:bottom w:val="nil"/>
              <w:right w:val="nil"/>
            </w:tcBorders>
            <w:shd w:val="clear" w:color="auto" w:fill="auto"/>
            <w:noWrap/>
            <w:vAlign w:val="bottom"/>
            <w:hideMark/>
          </w:tcPr>
          <w:p w14:paraId="2E2A2C52" w14:textId="77777777" w:rsidR="00432B71" w:rsidRDefault="00432B71" w:rsidP="005A3B4D">
            <w:pPr>
              <w:jc w:val="right"/>
              <w:rPr>
                <w:color w:val="000000"/>
                <w:sz w:val="20"/>
                <w:szCs w:val="20"/>
              </w:rPr>
            </w:pPr>
            <w:r>
              <w:rPr>
                <w:color w:val="000000"/>
                <w:sz w:val="20"/>
                <w:szCs w:val="20"/>
              </w:rPr>
              <w:t>0.002</w:t>
            </w:r>
          </w:p>
        </w:tc>
      </w:tr>
      <w:tr w:rsidR="00432B71" w14:paraId="5C092FAD" w14:textId="77777777" w:rsidTr="005A3B4D">
        <w:trPr>
          <w:trHeight w:val="320"/>
        </w:trPr>
        <w:tc>
          <w:tcPr>
            <w:tcW w:w="1176" w:type="dxa"/>
            <w:tcBorders>
              <w:top w:val="nil"/>
              <w:left w:val="nil"/>
              <w:bottom w:val="nil"/>
              <w:right w:val="nil"/>
            </w:tcBorders>
            <w:shd w:val="clear" w:color="auto" w:fill="auto"/>
            <w:noWrap/>
            <w:vAlign w:val="bottom"/>
            <w:hideMark/>
          </w:tcPr>
          <w:p w14:paraId="601D62AE"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25FA5C5"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A675A60" w14:textId="77777777" w:rsidR="00432B71" w:rsidRDefault="00432B71" w:rsidP="005A3B4D">
            <w:pPr>
              <w:jc w:val="right"/>
              <w:rPr>
                <w:b/>
                <w:bCs/>
                <w:color w:val="000000"/>
                <w:sz w:val="20"/>
                <w:szCs w:val="20"/>
              </w:rPr>
            </w:pPr>
            <w:r>
              <w:rPr>
                <w:b/>
                <w:bCs/>
                <w:color w:val="000000"/>
                <w:sz w:val="20"/>
                <w:szCs w:val="20"/>
              </w:rPr>
              <w:t>-0.079</w:t>
            </w:r>
          </w:p>
        </w:tc>
        <w:tc>
          <w:tcPr>
            <w:tcW w:w="768" w:type="dxa"/>
            <w:tcBorders>
              <w:top w:val="nil"/>
              <w:left w:val="nil"/>
              <w:bottom w:val="nil"/>
              <w:right w:val="nil"/>
            </w:tcBorders>
            <w:shd w:val="clear" w:color="auto" w:fill="auto"/>
            <w:noWrap/>
            <w:vAlign w:val="bottom"/>
            <w:hideMark/>
          </w:tcPr>
          <w:p w14:paraId="3A02C641" w14:textId="77777777" w:rsidR="00432B71" w:rsidRDefault="00432B71" w:rsidP="005A3B4D">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177C79FE" w14:textId="77777777" w:rsidR="00432B71" w:rsidRDefault="00432B71" w:rsidP="005A3B4D">
            <w:pPr>
              <w:jc w:val="right"/>
              <w:rPr>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1D60B89A" w14:textId="77777777" w:rsidR="00432B71" w:rsidRDefault="00432B71"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2296AFAF" w14:textId="77777777" w:rsidR="00432B71" w:rsidRDefault="00432B71" w:rsidP="005A3B4D">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09DE87D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0E36F2"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15EB4B5" w14:textId="77777777" w:rsidR="00432B71" w:rsidRDefault="00432B71" w:rsidP="005A3B4D">
            <w:pPr>
              <w:jc w:val="right"/>
              <w:rPr>
                <w:color w:val="000000"/>
                <w:sz w:val="20"/>
                <w:szCs w:val="20"/>
              </w:rPr>
            </w:pPr>
            <w:r>
              <w:rPr>
                <w:color w:val="000000"/>
                <w:sz w:val="20"/>
                <w:szCs w:val="20"/>
              </w:rPr>
              <w:t>0.584</w:t>
            </w:r>
          </w:p>
        </w:tc>
        <w:tc>
          <w:tcPr>
            <w:tcW w:w="768" w:type="dxa"/>
            <w:tcBorders>
              <w:top w:val="nil"/>
              <w:left w:val="nil"/>
              <w:bottom w:val="nil"/>
              <w:right w:val="nil"/>
            </w:tcBorders>
            <w:shd w:val="clear" w:color="auto" w:fill="auto"/>
            <w:noWrap/>
            <w:vAlign w:val="bottom"/>
            <w:hideMark/>
          </w:tcPr>
          <w:p w14:paraId="594778F1"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F792B0" w14:textId="77777777" w:rsidR="00432B71" w:rsidRDefault="00432B71"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25C33B50" w14:textId="77777777" w:rsidR="00432B71" w:rsidRDefault="00432B71" w:rsidP="005A3B4D">
            <w:pPr>
              <w:jc w:val="right"/>
              <w:rPr>
                <w:color w:val="000000"/>
                <w:sz w:val="20"/>
                <w:szCs w:val="20"/>
              </w:rPr>
            </w:pPr>
            <w:r>
              <w:rPr>
                <w:color w:val="000000"/>
                <w:sz w:val="20"/>
                <w:szCs w:val="20"/>
              </w:rPr>
              <w:t>0.204</w:t>
            </w:r>
          </w:p>
        </w:tc>
        <w:tc>
          <w:tcPr>
            <w:tcW w:w="768" w:type="dxa"/>
            <w:tcBorders>
              <w:top w:val="nil"/>
              <w:left w:val="nil"/>
              <w:bottom w:val="nil"/>
              <w:right w:val="nil"/>
            </w:tcBorders>
            <w:shd w:val="clear" w:color="auto" w:fill="auto"/>
            <w:noWrap/>
            <w:vAlign w:val="bottom"/>
            <w:hideMark/>
          </w:tcPr>
          <w:p w14:paraId="4DC72994"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C92F179"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C469F93" w14:textId="77777777" w:rsidR="00432B71" w:rsidRDefault="00432B71" w:rsidP="005A3B4D">
            <w:pPr>
              <w:jc w:val="right"/>
              <w:rPr>
                <w:color w:val="000000"/>
                <w:sz w:val="20"/>
                <w:szCs w:val="20"/>
              </w:rPr>
            </w:pPr>
            <w:r>
              <w:rPr>
                <w:color w:val="000000"/>
                <w:sz w:val="20"/>
                <w:szCs w:val="20"/>
              </w:rPr>
              <w:t>0.991</w:t>
            </w:r>
          </w:p>
        </w:tc>
        <w:tc>
          <w:tcPr>
            <w:tcW w:w="768" w:type="dxa"/>
            <w:tcBorders>
              <w:top w:val="nil"/>
              <w:left w:val="nil"/>
              <w:bottom w:val="nil"/>
              <w:right w:val="nil"/>
            </w:tcBorders>
            <w:shd w:val="clear" w:color="auto" w:fill="auto"/>
            <w:noWrap/>
            <w:vAlign w:val="bottom"/>
            <w:hideMark/>
          </w:tcPr>
          <w:p w14:paraId="1C64A48B" w14:textId="77777777" w:rsidR="00432B71" w:rsidRDefault="00432B71" w:rsidP="005A3B4D">
            <w:pPr>
              <w:jc w:val="right"/>
              <w:rPr>
                <w:color w:val="000000"/>
                <w:sz w:val="20"/>
                <w:szCs w:val="20"/>
              </w:rPr>
            </w:pPr>
            <w:r>
              <w:rPr>
                <w:color w:val="000000"/>
                <w:sz w:val="20"/>
                <w:szCs w:val="20"/>
              </w:rPr>
              <w:t>0.000</w:t>
            </w:r>
          </w:p>
        </w:tc>
      </w:tr>
      <w:tr w:rsidR="00432B71" w14:paraId="18258D37" w14:textId="77777777" w:rsidTr="005A3B4D">
        <w:trPr>
          <w:trHeight w:val="320"/>
        </w:trPr>
        <w:tc>
          <w:tcPr>
            <w:tcW w:w="1176" w:type="dxa"/>
            <w:tcBorders>
              <w:top w:val="nil"/>
              <w:left w:val="nil"/>
              <w:bottom w:val="nil"/>
              <w:right w:val="nil"/>
            </w:tcBorders>
            <w:shd w:val="clear" w:color="auto" w:fill="auto"/>
            <w:noWrap/>
            <w:vAlign w:val="bottom"/>
            <w:hideMark/>
          </w:tcPr>
          <w:p w14:paraId="6776EF1D"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8C0219F"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DD6B4CA" w14:textId="77777777" w:rsidR="00432B71" w:rsidRDefault="00432B71"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10E29608" w14:textId="77777777" w:rsidR="00432B71" w:rsidRDefault="00432B71" w:rsidP="005A3B4D">
            <w:pPr>
              <w:jc w:val="right"/>
              <w:rPr>
                <w:color w:val="000000"/>
                <w:sz w:val="20"/>
                <w:szCs w:val="20"/>
              </w:rPr>
            </w:pPr>
            <w:r>
              <w:rPr>
                <w:color w:val="000000"/>
                <w:sz w:val="20"/>
                <w:szCs w:val="20"/>
              </w:rPr>
              <w:t>0.736</w:t>
            </w:r>
          </w:p>
        </w:tc>
        <w:tc>
          <w:tcPr>
            <w:tcW w:w="768" w:type="dxa"/>
            <w:tcBorders>
              <w:top w:val="nil"/>
              <w:left w:val="nil"/>
              <w:bottom w:val="nil"/>
              <w:right w:val="nil"/>
            </w:tcBorders>
            <w:shd w:val="clear" w:color="auto" w:fill="auto"/>
            <w:noWrap/>
            <w:vAlign w:val="bottom"/>
            <w:hideMark/>
          </w:tcPr>
          <w:p w14:paraId="5FA272E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1F7C2E" w14:textId="77777777" w:rsidR="00432B71" w:rsidRDefault="00432B71"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0EBF69C" w14:textId="77777777" w:rsidR="00432B71" w:rsidRDefault="00432B71" w:rsidP="005A3B4D">
            <w:pPr>
              <w:jc w:val="right"/>
              <w:rPr>
                <w:color w:val="000000"/>
                <w:sz w:val="20"/>
                <w:szCs w:val="20"/>
              </w:rPr>
            </w:pPr>
            <w:r>
              <w:rPr>
                <w:color w:val="000000"/>
                <w:sz w:val="20"/>
                <w:szCs w:val="20"/>
              </w:rPr>
              <w:t>0.542</w:t>
            </w:r>
          </w:p>
        </w:tc>
        <w:tc>
          <w:tcPr>
            <w:tcW w:w="768" w:type="dxa"/>
            <w:tcBorders>
              <w:top w:val="nil"/>
              <w:left w:val="nil"/>
              <w:bottom w:val="nil"/>
              <w:right w:val="nil"/>
            </w:tcBorders>
            <w:shd w:val="clear" w:color="auto" w:fill="auto"/>
            <w:noWrap/>
            <w:vAlign w:val="bottom"/>
            <w:hideMark/>
          </w:tcPr>
          <w:p w14:paraId="676088EC"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71C628"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0CBF979" w14:textId="77777777" w:rsidR="00432B71" w:rsidRDefault="00432B71"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7C2E640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C169C5"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90367A3" w14:textId="77777777" w:rsidR="00432B71" w:rsidRDefault="00432B71" w:rsidP="005A3B4D">
            <w:pPr>
              <w:jc w:val="right"/>
              <w:rPr>
                <w:color w:val="000000"/>
                <w:sz w:val="20"/>
                <w:szCs w:val="20"/>
              </w:rPr>
            </w:pPr>
            <w:r>
              <w:rPr>
                <w:color w:val="000000"/>
                <w:sz w:val="20"/>
                <w:szCs w:val="20"/>
              </w:rPr>
              <w:t>0.499</w:t>
            </w:r>
          </w:p>
        </w:tc>
        <w:tc>
          <w:tcPr>
            <w:tcW w:w="768" w:type="dxa"/>
            <w:tcBorders>
              <w:top w:val="nil"/>
              <w:left w:val="nil"/>
              <w:bottom w:val="nil"/>
              <w:right w:val="nil"/>
            </w:tcBorders>
            <w:shd w:val="clear" w:color="auto" w:fill="auto"/>
            <w:noWrap/>
            <w:vAlign w:val="bottom"/>
            <w:hideMark/>
          </w:tcPr>
          <w:p w14:paraId="62AB8D1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A517483" w14:textId="77777777" w:rsidR="00432B71" w:rsidRDefault="00432B71"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1EFC3C5" w14:textId="77777777" w:rsidR="00432B71" w:rsidRDefault="00432B71" w:rsidP="005A3B4D">
            <w:pPr>
              <w:jc w:val="right"/>
              <w:rPr>
                <w:color w:val="000000"/>
                <w:sz w:val="20"/>
                <w:szCs w:val="20"/>
              </w:rPr>
            </w:pPr>
            <w:r>
              <w:rPr>
                <w:color w:val="000000"/>
                <w:sz w:val="20"/>
                <w:szCs w:val="20"/>
              </w:rPr>
              <w:t>0.389</w:t>
            </w:r>
          </w:p>
        </w:tc>
        <w:tc>
          <w:tcPr>
            <w:tcW w:w="768" w:type="dxa"/>
            <w:tcBorders>
              <w:top w:val="nil"/>
              <w:left w:val="nil"/>
              <w:bottom w:val="nil"/>
              <w:right w:val="nil"/>
            </w:tcBorders>
            <w:shd w:val="clear" w:color="auto" w:fill="auto"/>
            <w:noWrap/>
            <w:vAlign w:val="bottom"/>
            <w:hideMark/>
          </w:tcPr>
          <w:p w14:paraId="763631E8" w14:textId="77777777" w:rsidR="00432B71" w:rsidRDefault="00432B71" w:rsidP="005A3B4D">
            <w:pPr>
              <w:jc w:val="right"/>
              <w:rPr>
                <w:color w:val="000000"/>
                <w:sz w:val="20"/>
                <w:szCs w:val="20"/>
              </w:rPr>
            </w:pPr>
            <w:r>
              <w:rPr>
                <w:color w:val="000000"/>
                <w:sz w:val="20"/>
                <w:szCs w:val="20"/>
              </w:rPr>
              <w:t>0.001</w:t>
            </w:r>
          </w:p>
        </w:tc>
      </w:tr>
      <w:tr w:rsidR="00432B71" w14:paraId="4107E152"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73A73B3D"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1987F34"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254EB66" w14:textId="77777777" w:rsidR="00432B71" w:rsidRDefault="00432B71" w:rsidP="005A3B4D">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0ED76520" w14:textId="77777777" w:rsidR="00432B71" w:rsidRDefault="00432B71" w:rsidP="005A3B4D">
            <w:pPr>
              <w:jc w:val="right"/>
              <w:rPr>
                <w:color w:val="000000"/>
                <w:sz w:val="20"/>
                <w:szCs w:val="20"/>
              </w:rPr>
            </w:pPr>
            <w:r>
              <w:rPr>
                <w:color w:val="000000"/>
                <w:sz w:val="20"/>
                <w:szCs w:val="20"/>
              </w:rPr>
              <w:t>0.536</w:t>
            </w:r>
          </w:p>
        </w:tc>
        <w:tc>
          <w:tcPr>
            <w:tcW w:w="768" w:type="dxa"/>
            <w:tcBorders>
              <w:top w:val="nil"/>
              <w:left w:val="nil"/>
              <w:bottom w:val="single" w:sz="4" w:space="0" w:color="auto"/>
              <w:right w:val="nil"/>
            </w:tcBorders>
            <w:shd w:val="clear" w:color="auto" w:fill="auto"/>
            <w:noWrap/>
            <w:vAlign w:val="bottom"/>
            <w:hideMark/>
          </w:tcPr>
          <w:p w14:paraId="784F3186"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12BDBAB" w14:textId="77777777" w:rsidR="00432B71" w:rsidRDefault="00432B71" w:rsidP="005A3B4D">
            <w:pPr>
              <w:jc w:val="right"/>
              <w:rPr>
                <w:color w:val="000000"/>
                <w:sz w:val="20"/>
                <w:szCs w:val="20"/>
              </w:rPr>
            </w:pPr>
            <w:r>
              <w:rPr>
                <w:color w:val="000000"/>
                <w:sz w:val="20"/>
                <w:szCs w:val="20"/>
              </w:rPr>
              <w:t>0.053</w:t>
            </w:r>
          </w:p>
        </w:tc>
        <w:tc>
          <w:tcPr>
            <w:tcW w:w="768" w:type="dxa"/>
            <w:tcBorders>
              <w:top w:val="nil"/>
              <w:left w:val="nil"/>
              <w:bottom w:val="single" w:sz="4" w:space="0" w:color="auto"/>
              <w:right w:val="nil"/>
            </w:tcBorders>
            <w:shd w:val="clear" w:color="auto" w:fill="auto"/>
            <w:noWrap/>
            <w:vAlign w:val="bottom"/>
            <w:hideMark/>
          </w:tcPr>
          <w:p w14:paraId="5A96D782" w14:textId="77777777" w:rsidR="00432B71" w:rsidRDefault="00432B71" w:rsidP="005A3B4D">
            <w:pPr>
              <w:jc w:val="right"/>
              <w:rPr>
                <w:color w:val="000000"/>
                <w:sz w:val="20"/>
                <w:szCs w:val="20"/>
              </w:rPr>
            </w:pPr>
            <w:r>
              <w:rPr>
                <w:color w:val="000000"/>
                <w:sz w:val="20"/>
                <w:szCs w:val="20"/>
              </w:rPr>
              <w:t>0.224</w:t>
            </w:r>
          </w:p>
        </w:tc>
        <w:tc>
          <w:tcPr>
            <w:tcW w:w="768" w:type="dxa"/>
            <w:tcBorders>
              <w:top w:val="nil"/>
              <w:left w:val="nil"/>
              <w:bottom w:val="single" w:sz="4" w:space="0" w:color="auto"/>
              <w:right w:val="nil"/>
            </w:tcBorders>
            <w:shd w:val="clear" w:color="auto" w:fill="auto"/>
            <w:noWrap/>
            <w:vAlign w:val="bottom"/>
            <w:hideMark/>
          </w:tcPr>
          <w:p w14:paraId="67D66C64"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28093430" w14:textId="77777777" w:rsidR="00432B71" w:rsidRDefault="00432B71" w:rsidP="005A3B4D">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0423D295" w14:textId="77777777" w:rsidR="00432B71" w:rsidRDefault="00432B71" w:rsidP="005A3B4D">
            <w:pPr>
              <w:jc w:val="right"/>
              <w:rPr>
                <w:color w:val="000000"/>
                <w:sz w:val="20"/>
                <w:szCs w:val="20"/>
              </w:rPr>
            </w:pPr>
            <w:r>
              <w:rPr>
                <w:color w:val="000000"/>
                <w:sz w:val="20"/>
                <w:szCs w:val="20"/>
              </w:rPr>
              <w:t>0.584</w:t>
            </w:r>
          </w:p>
        </w:tc>
        <w:tc>
          <w:tcPr>
            <w:tcW w:w="768" w:type="dxa"/>
            <w:tcBorders>
              <w:top w:val="nil"/>
              <w:left w:val="nil"/>
              <w:bottom w:val="single" w:sz="4" w:space="0" w:color="auto"/>
              <w:right w:val="nil"/>
            </w:tcBorders>
            <w:shd w:val="clear" w:color="auto" w:fill="auto"/>
            <w:noWrap/>
            <w:vAlign w:val="bottom"/>
            <w:hideMark/>
          </w:tcPr>
          <w:p w14:paraId="6D5259FF"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B536A80" w14:textId="77777777" w:rsidR="00432B71" w:rsidRDefault="00432B71" w:rsidP="005A3B4D">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1A29627B" w14:textId="77777777" w:rsidR="00432B71" w:rsidRDefault="00432B71" w:rsidP="005A3B4D">
            <w:pPr>
              <w:jc w:val="right"/>
              <w:rPr>
                <w:color w:val="000000"/>
                <w:sz w:val="20"/>
                <w:szCs w:val="20"/>
              </w:rPr>
            </w:pPr>
            <w:r>
              <w:rPr>
                <w:color w:val="000000"/>
                <w:sz w:val="20"/>
                <w:szCs w:val="20"/>
              </w:rPr>
              <w:t>0.499</w:t>
            </w:r>
          </w:p>
        </w:tc>
        <w:tc>
          <w:tcPr>
            <w:tcW w:w="768" w:type="dxa"/>
            <w:tcBorders>
              <w:top w:val="nil"/>
              <w:left w:val="nil"/>
              <w:bottom w:val="single" w:sz="4" w:space="0" w:color="auto"/>
              <w:right w:val="nil"/>
            </w:tcBorders>
            <w:shd w:val="clear" w:color="auto" w:fill="auto"/>
            <w:noWrap/>
            <w:vAlign w:val="bottom"/>
            <w:hideMark/>
          </w:tcPr>
          <w:p w14:paraId="40B3C214"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B295859" w14:textId="77777777" w:rsidR="00432B71" w:rsidRDefault="00432B71" w:rsidP="005A3B4D">
            <w:pPr>
              <w:jc w:val="right"/>
              <w:rPr>
                <w:color w:val="000000"/>
                <w:sz w:val="20"/>
                <w:szCs w:val="20"/>
              </w:rPr>
            </w:pPr>
            <w:r>
              <w:rPr>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0C2F3B6E" w14:textId="77777777" w:rsidR="00432B71" w:rsidRDefault="00432B71" w:rsidP="005A3B4D">
            <w:pPr>
              <w:jc w:val="right"/>
              <w:rPr>
                <w:color w:val="000000"/>
                <w:sz w:val="20"/>
                <w:szCs w:val="20"/>
              </w:rPr>
            </w:pPr>
            <w:r>
              <w:rPr>
                <w:color w:val="000000"/>
                <w:sz w:val="20"/>
                <w:szCs w:val="20"/>
              </w:rPr>
              <w:t>0.389</w:t>
            </w:r>
          </w:p>
        </w:tc>
        <w:tc>
          <w:tcPr>
            <w:tcW w:w="768" w:type="dxa"/>
            <w:tcBorders>
              <w:top w:val="nil"/>
              <w:left w:val="nil"/>
              <w:bottom w:val="single" w:sz="4" w:space="0" w:color="auto"/>
              <w:right w:val="nil"/>
            </w:tcBorders>
            <w:shd w:val="clear" w:color="auto" w:fill="auto"/>
            <w:noWrap/>
            <w:vAlign w:val="bottom"/>
            <w:hideMark/>
          </w:tcPr>
          <w:p w14:paraId="0B07B06C" w14:textId="77777777" w:rsidR="00432B71" w:rsidRDefault="00432B71" w:rsidP="005A3B4D">
            <w:pPr>
              <w:jc w:val="right"/>
              <w:rPr>
                <w:color w:val="000000"/>
                <w:sz w:val="20"/>
                <w:szCs w:val="20"/>
              </w:rPr>
            </w:pPr>
            <w:r>
              <w:rPr>
                <w:color w:val="000000"/>
                <w:sz w:val="20"/>
                <w:szCs w:val="20"/>
              </w:rPr>
              <w:t>0.001</w:t>
            </w:r>
          </w:p>
        </w:tc>
      </w:tr>
      <w:tr w:rsidR="00432B71" w14:paraId="3FFE53C2" w14:textId="77777777" w:rsidTr="005A3B4D">
        <w:trPr>
          <w:trHeight w:val="320"/>
        </w:trPr>
        <w:tc>
          <w:tcPr>
            <w:tcW w:w="1176" w:type="dxa"/>
            <w:tcBorders>
              <w:top w:val="nil"/>
              <w:left w:val="nil"/>
              <w:bottom w:val="nil"/>
              <w:right w:val="nil"/>
            </w:tcBorders>
            <w:shd w:val="clear" w:color="auto" w:fill="auto"/>
            <w:noWrap/>
            <w:vAlign w:val="bottom"/>
            <w:hideMark/>
          </w:tcPr>
          <w:p w14:paraId="665BE892" w14:textId="77777777" w:rsidR="00432B71" w:rsidRDefault="00432B71"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6EF60473" w14:textId="77777777" w:rsidR="00432B71" w:rsidRDefault="00432B71"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F15A0B1" w14:textId="77777777" w:rsidR="00432B71" w:rsidRDefault="00432B71" w:rsidP="005A3B4D">
            <w:pPr>
              <w:jc w:val="right"/>
              <w:rPr>
                <w:color w:val="000000"/>
                <w:sz w:val="20"/>
                <w:szCs w:val="20"/>
              </w:rPr>
            </w:pPr>
            <w:r>
              <w:rPr>
                <w:b/>
                <w:bCs/>
                <w:color w:val="000000"/>
                <w:sz w:val="20"/>
                <w:szCs w:val="20"/>
              </w:rPr>
              <w:t>-0.081</w:t>
            </w:r>
          </w:p>
        </w:tc>
        <w:tc>
          <w:tcPr>
            <w:tcW w:w="768" w:type="dxa"/>
            <w:tcBorders>
              <w:top w:val="nil"/>
              <w:left w:val="nil"/>
              <w:bottom w:val="nil"/>
              <w:right w:val="nil"/>
            </w:tcBorders>
            <w:shd w:val="clear" w:color="auto" w:fill="auto"/>
            <w:noWrap/>
            <w:vAlign w:val="bottom"/>
            <w:hideMark/>
          </w:tcPr>
          <w:p w14:paraId="2BC29C50" w14:textId="77777777" w:rsidR="00432B71" w:rsidRDefault="00432B71"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63F38632" w14:textId="77777777" w:rsidR="00432B71" w:rsidRDefault="00432B71" w:rsidP="005A3B4D">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107023E7"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91E126F" w14:textId="77777777" w:rsidR="00432B71" w:rsidRDefault="00432B71"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51B60B0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D22286"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B8348BE" w14:textId="77777777" w:rsidR="00432B71" w:rsidRDefault="00432B71"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068A879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B80EBFA" w14:textId="77777777" w:rsidR="00432B71" w:rsidRDefault="00432B71"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BE97ECE" w14:textId="77777777" w:rsidR="00432B71" w:rsidRDefault="00432B71" w:rsidP="005A3B4D">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77B28C62"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7C08D01"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0EE2D83" w14:textId="77777777" w:rsidR="00432B71" w:rsidRDefault="00432B71" w:rsidP="005A3B4D">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5C54E5BC" w14:textId="77777777" w:rsidR="00432B71" w:rsidRDefault="00432B71" w:rsidP="005A3B4D">
            <w:pPr>
              <w:jc w:val="right"/>
              <w:rPr>
                <w:color w:val="000000"/>
                <w:sz w:val="20"/>
                <w:szCs w:val="20"/>
              </w:rPr>
            </w:pPr>
            <w:r>
              <w:rPr>
                <w:color w:val="000000"/>
                <w:sz w:val="20"/>
                <w:szCs w:val="20"/>
              </w:rPr>
              <w:t>0.000</w:t>
            </w:r>
          </w:p>
        </w:tc>
      </w:tr>
      <w:tr w:rsidR="00432B71" w14:paraId="461F213A" w14:textId="77777777" w:rsidTr="005A3B4D">
        <w:trPr>
          <w:trHeight w:val="320"/>
        </w:trPr>
        <w:tc>
          <w:tcPr>
            <w:tcW w:w="1176" w:type="dxa"/>
            <w:tcBorders>
              <w:top w:val="nil"/>
              <w:left w:val="nil"/>
              <w:bottom w:val="nil"/>
              <w:right w:val="nil"/>
            </w:tcBorders>
            <w:shd w:val="clear" w:color="auto" w:fill="auto"/>
            <w:noWrap/>
            <w:vAlign w:val="bottom"/>
            <w:hideMark/>
          </w:tcPr>
          <w:p w14:paraId="1AE019FD"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251B097" w14:textId="77777777" w:rsidR="00432B71" w:rsidRDefault="00432B71"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2F054BE"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8EFC63A" w14:textId="77777777" w:rsidR="00432B71" w:rsidRDefault="00432B71" w:rsidP="005A3B4D">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31948AAB"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9895AB" w14:textId="77777777" w:rsidR="00432B71" w:rsidRDefault="00432B71"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3AB288E7" w14:textId="77777777" w:rsidR="00432B71" w:rsidRDefault="00432B71" w:rsidP="005A3B4D">
            <w:pPr>
              <w:jc w:val="right"/>
              <w:rPr>
                <w:color w:val="000000"/>
                <w:sz w:val="20"/>
                <w:szCs w:val="20"/>
              </w:rPr>
            </w:pPr>
            <w:r>
              <w:rPr>
                <w:color w:val="000000"/>
                <w:sz w:val="20"/>
                <w:szCs w:val="20"/>
              </w:rPr>
              <w:t>0.301</w:t>
            </w:r>
          </w:p>
        </w:tc>
        <w:tc>
          <w:tcPr>
            <w:tcW w:w="768" w:type="dxa"/>
            <w:tcBorders>
              <w:top w:val="nil"/>
              <w:left w:val="nil"/>
              <w:bottom w:val="nil"/>
              <w:right w:val="nil"/>
            </w:tcBorders>
            <w:shd w:val="clear" w:color="auto" w:fill="auto"/>
            <w:noWrap/>
            <w:vAlign w:val="bottom"/>
            <w:hideMark/>
          </w:tcPr>
          <w:p w14:paraId="6E3AE034"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3B8265F" w14:textId="77777777" w:rsidR="00432B71" w:rsidRDefault="00432B71"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AA4F18A" w14:textId="77777777" w:rsidR="00432B71" w:rsidRDefault="00432B71" w:rsidP="005A3B4D">
            <w:pPr>
              <w:jc w:val="right"/>
              <w:rPr>
                <w:color w:val="000000"/>
                <w:sz w:val="20"/>
                <w:szCs w:val="20"/>
              </w:rPr>
            </w:pPr>
            <w:r>
              <w:rPr>
                <w:color w:val="000000"/>
                <w:sz w:val="20"/>
                <w:szCs w:val="20"/>
              </w:rPr>
              <w:t>0.482</w:t>
            </w:r>
          </w:p>
        </w:tc>
        <w:tc>
          <w:tcPr>
            <w:tcW w:w="768" w:type="dxa"/>
            <w:tcBorders>
              <w:top w:val="nil"/>
              <w:left w:val="nil"/>
              <w:bottom w:val="nil"/>
              <w:right w:val="nil"/>
            </w:tcBorders>
            <w:shd w:val="clear" w:color="auto" w:fill="auto"/>
            <w:noWrap/>
            <w:vAlign w:val="bottom"/>
            <w:hideMark/>
          </w:tcPr>
          <w:p w14:paraId="14D30B9C"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71164B" w14:textId="77777777" w:rsidR="00432B71" w:rsidRDefault="00432B71"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071250C" w14:textId="77777777" w:rsidR="00432B71" w:rsidRDefault="00432B71" w:rsidP="005A3B4D">
            <w:pPr>
              <w:jc w:val="right"/>
              <w:rPr>
                <w:color w:val="000000"/>
                <w:sz w:val="20"/>
                <w:szCs w:val="20"/>
              </w:rPr>
            </w:pPr>
            <w:r>
              <w:rPr>
                <w:color w:val="000000"/>
                <w:sz w:val="20"/>
                <w:szCs w:val="20"/>
              </w:rPr>
              <w:t>0.139</w:t>
            </w:r>
          </w:p>
        </w:tc>
        <w:tc>
          <w:tcPr>
            <w:tcW w:w="768" w:type="dxa"/>
            <w:tcBorders>
              <w:top w:val="nil"/>
              <w:left w:val="nil"/>
              <w:bottom w:val="nil"/>
              <w:right w:val="nil"/>
            </w:tcBorders>
            <w:shd w:val="clear" w:color="auto" w:fill="auto"/>
            <w:noWrap/>
            <w:vAlign w:val="bottom"/>
            <w:hideMark/>
          </w:tcPr>
          <w:p w14:paraId="7FA7031D"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52F73DC" w14:textId="77777777" w:rsidR="00432B71" w:rsidRDefault="00432B71" w:rsidP="005A3B4D">
            <w:pPr>
              <w:jc w:val="right"/>
              <w:rPr>
                <w:b/>
                <w:bCs/>
                <w:color w:val="000000"/>
                <w:sz w:val="20"/>
                <w:szCs w:val="20"/>
              </w:rPr>
            </w:pPr>
            <w:r>
              <w:rPr>
                <w:b/>
                <w:bCs/>
                <w:color w:val="000000"/>
                <w:sz w:val="20"/>
                <w:szCs w:val="20"/>
              </w:rPr>
              <w:t>-0.095</w:t>
            </w:r>
          </w:p>
        </w:tc>
        <w:tc>
          <w:tcPr>
            <w:tcW w:w="768" w:type="dxa"/>
            <w:tcBorders>
              <w:top w:val="nil"/>
              <w:left w:val="nil"/>
              <w:bottom w:val="nil"/>
              <w:right w:val="nil"/>
            </w:tcBorders>
            <w:shd w:val="clear" w:color="auto" w:fill="auto"/>
            <w:noWrap/>
            <w:vAlign w:val="bottom"/>
            <w:hideMark/>
          </w:tcPr>
          <w:p w14:paraId="487C905E" w14:textId="77777777" w:rsidR="00432B71" w:rsidRDefault="00432B71"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6DBB50FE" w14:textId="77777777" w:rsidR="00432B71" w:rsidRDefault="00432B71" w:rsidP="005A3B4D">
            <w:pPr>
              <w:jc w:val="right"/>
              <w:rPr>
                <w:color w:val="000000"/>
                <w:sz w:val="20"/>
                <w:szCs w:val="20"/>
              </w:rPr>
            </w:pPr>
            <w:r>
              <w:rPr>
                <w:b/>
                <w:bCs/>
                <w:color w:val="000000"/>
                <w:sz w:val="20"/>
                <w:szCs w:val="20"/>
              </w:rPr>
              <w:t>0.009</w:t>
            </w:r>
          </w:p>
        </w:tc>
      </w:tr>
      <w:tr w:rsidR="00432B71" w14:paraId="229A1D3B" w14:textId="77777777" w:rsidTr="005A3B4D">
        <w:trPr>
          <w:trHeight w:val="320"/>
        </w:trPr>
        <w:tc>
          <w:tcPr>
            <w:tcW w:w="1176" w:type="dxa"/>
            <w:tcBorders>
              <w:top w:val="nil"/>
              <w:left w:val="nil"/>
              <w:bottom w:val="nil"/>
              <w:right w:val="nil"/>
            </w:tcBorders>
            <w:shd w:val="clear" w:color="auto" w:fill="auto"/>
            <w:noWrap/>
            <w:vAlign w:val="bottom"/>
            <w:hideMark/>
          </w:tcPr>
          <w:p w14:paraId="334A78C6"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082171" w14:textId="77777777" w:rsidR="00432B71" w:rsidRDefault="00432B71"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1F7B9E8" w14:textId="77777777" w:rsidR="00432B71" w:rsidRDefault="00432B71"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7A3A231" w14:textId="77777777" w:rsidR="00432B71" w:rsidRDefault="00432B71" w:rsidP="005A3B4D">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0B921263"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DD8189B"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634FECC" w14:textId="77777777" w:rsidR="00432B71" w:rsidRDefault="00432B71" w:rsidP="005A3B4D">
            <w:pPr>
              <w:jc w:val="right"/>
              <w:rPr>
                <w:color w:val="000000"/>
                <w:sz w:val="20"/>
                <w:szCs w:val="20"/>
              </w:rPr>
            </w:pPr>
            <w:r>
              <w:rPr>
                <w:color w:val="000000"/>
                <w:sz w:val="20"/>
                <w:szCs w:val="20"/>
              </w:rPr>
              <w:t>0.825</w:t>
            </w:r>
          </w:p>
        </w:tc>
        <w:tc>
          <w:tcPr>
            <w:tcW w:w="768" w:type="dxa"/>
            <w:tcBorders>
              <w:top w:val="nil"/>
              <w:left w:val="nil"/>
              <w:bottom w:val="nil"/>
              <w:right w:val="nil"/>
            </w:tcBorders>
            <w:shd w:val="clear" w:color="auto" w:fill="auto"/>
            <w:noWrap/>
            <w:vAlign w:val="bottom"/>
            <w:hideMark/>
          </w:tcPr>
          <w:p w14:paraId="1A1FC82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4D62AB" w14:textId="77777777" w:rsidR="00432B71" w:rsidRDefault="00432B71"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43CF1B4E"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7B57495D"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A6604E" w14:textId="77777777" w:rsidR="00432B71" w:rsidRDefault="00432B71"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FC9835A" w14:textId="77777777" w:rsidR="00432B71" w:rsidRDefault="00432B71" w:rsidP="005A3B4D">
            <w:pPr>
              <w:jc w:val="right"/>
              <w:rPr>
                <w:color w:val="000000"/>
                <w:sz w:val="20"/>
                <w:szCs w:val="20"/>
              </w:rPr>
            </w:pPr>
            <w:r>
              <w:rPr>
                <w:color w:val="000000"/>
                <w:sz w:val="20"/>
                <w:szCs w:val="20"/>
              </w:rPr>
              <w:t>0.789</w:t>
            </w:r>
          </w:p>
        </w:tc>
        <w:tc>
          <w:tcPr>
            <w:tcW w:w="768" w:type="dxa"/>
            <w:tcBorders>
              <w:top w:val="nil"/>
              <w:left w:val="nil"/>
              <w:bottom w:val="nil"/>
              <w:right w:val="nil"/>
            </w:tcBorders>
            <w:shd w:val="clear" w:color="auto" w:fill="auto"/>
            <w:noWrap/>
            <w:vAlign w:val="bottom"/>
            <w:hideMark/>
          </w:tcPr>
          <w:p w14:paraId="60C0E690"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5A1E78"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134FBA9D" w14:textId="77777777" w:rsidR="00432B71" w:rsidRDefault="00432B71" w:rsidP="005A3B4D">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74B6C46A" w14:textId="77777777" w:rsidR="00432B71" w:rsidRDefault="00432B71" w:rsidP="005A3B4D">
            <w:pPr>
              <w:jc w:val="right"/>
              <w:rPr>
                <w:color w:val="000000"/>
                <w:sz w:val="20"/>
                <w:szCs w:val="20"/>
              </w:rPr>
            </w:pPr>
            <w:r>
              <w:rPr>
                <w:color w:val="000000"/>
                <w:sz w:val="20"/>
                <w:szCs w:val="20"/>
              </w:rPr>
              <w:t>0.000</w:t>
            </w:r>
          </w:p>
        </w:tc>
      </w:tr>
      <w:tr w:rsidR="00432B71" w14:paraId="5E934B5C" w14:textId="77777777" w:rsidTr="005A3B4D">
        <w:trPr>
          <w:trHeight w:val="320"/>
        </w:trPr>
        <w:tc>
          <w:tcPr>
            <w:tcW w:w="1176" w:type="dxa"/>
            <w:tcBorders>
              <w:top w:val="nil"/>
              <w:left w:val="nil"/>
              <w:bottom w:val="nil"/>
              <w:right w:val="nil"/>
            </w:tcBorders>
            <w:shd w:val="clear" w:color="auto" w:fill="auto"/>
            <w:noWrap/>
            <w:vAlign w:val="bottom"/>
            <w:hideMark/>
          </w:tcPr>
          <w:p w14:paraId="0D602AB1"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527C00" w14:textId="77777777" w:rsidR="00432B71" w:rsidRDefault="00432B71"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06BF294" w14:textId="77777777" w:rsidR="00432B71" w:rsidRDefault="00432B71"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845E4CA" w14:textId="77777777" w:rsidR="00432B71" w:rsidRDefault="00432B71" w:rsidP="005A3B4D">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5C670F1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BAF344" w14:textId="77777777" w:rsidR="00432B71" w:rsidRDefault="00432B71"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71378F5" w14:textId="77777777" w:rsidR="00432B71" w:rsidRDefault="00432B71" w:rsidP="005A3B4D">
            <w:pPr>
              <w:jc w:val="right"/>
              <w:rPr>
                <w:color w:val="000000"/>
                <w:sz w:val="20"/>
                <w:szCs w:val="20"/>
              </w:rPr>
            </w:pPr>
            <w:r>
              <w:rPr>
                <w:color w:val="000000"/>
                <w:sz w:val="20"/>
                <w:szCs w:val="20"/>
              </w:rPr>
              <w:t>0.404</w:t>
            </w:r>
          </w:p>
        </w:tc>
        <w:tc>
          <w:tcPr>
            <w:tcW w:w="768" w:type="dxa"/>
            <w:tcBorders>
              <w:top w:val="nil"/>
              <w:left w:val="nil"/>
              <w:bottom w:val="nil"/>
              <w:right w:val="nil"/>
            </w:tcBorders>
            <w:shd w:val="clear" w:color="auto" w:fill="auto"/>
            <w:noWrap/>
            <w:vAlign w:val="bottom"/>
            <w:hideMark/>
          </w:tcPr>
          <w:p w14:paraId="01140F39"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998A45E" w14:textId="77777777" w:rsidR="00432B71" w:rsidRDefault="00432B71"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FE69FDC" w14:textId="77777777" w:rsidR="00432B71" w:rsidRDefault="00432B71"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7D8FAE15"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1662E1" w14:textId="77777777" w:rsidR="00432B71" w:rsidRDefault="00432B71"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1DBFFF8" w14:textId="77777777" w:rsidR="00432B71" w:rsidRDefault="00432B71" w:rsidP="005A3B4D">
            <w:pPr>
              <w:jc w:val="right"/>
              <w:rPr>
                <w:color w:val="000000"/>
                <w:sz w:val="20"/>
                <w:szCs w:val="20"/>
              </w:rPr>
            </w:pPr>
            <w:r>
              <w:rPr>
                <w:color w:val="000000"/>
                <w:sz w:val="20"/>
                <w:szCs w:val="20"/>
              </w:rPr>
              <w:t>0.789</w:t>
            </w:r>
          </w:p>
        </w:tc>
        <w:tc>
          <w:tcPr>
            <w:tcW w:w="768" w:type="dxa"/>
            <w:tcBorders>
              <w:top w:val="nil"/>
              <w:left w:val="nil"/>
              <w:bottom w:val="nil"/>
              <w:right w:val="nil"/>
            </w:tcBorders>
            <w:shd w:val="clear" w:color="auto" w:fill="auto"/>
            <w:noWrap/>
            <w:vAlign w:val="bottom"/>
            <w:hideMark/>
          </w:tcPr>
          <w:p w14:paraId="7FF7A9B4"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364BB6"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D035F8E" w14:textId="77777777" w:rsidR="00432B71" w:rsidRDefault="00432B71"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1575ADA5" w14:textId="77777777" w:rsidR="00432B71" w:rsidRDefault="00432B71" w:rsidP="005A3B4D">
            <w:pPr>
              <w:jc w:val="right"/>
              <w:rPr>
                <w:color w:val="000000"/>
                <w:sz w:val="20"/>
                <w:szCs w:val="20"/>
              </w:rPr>
            </w:pPr>
            <w:r>
              <w:rPr>
                <w:color w:val="000000"/>
                <w:sz w:val="20"/>
                <w:szCs w:val="20"/>
              </w:rPr>
              <w:t>0.000</w:t>
            </w:r>
          </w:p>
        </w:tc>
      </w:tr>
      <w:tr w:rsidR="00432B71" w14:paraId="612592DB" w14:textId="77777777" w:rsidTr="005A3B4D">
        <w:trPr>
          <w:trHeight w:val="320"/>
        </w:trPr>
        <w:tc>
          <w:tcPr>
            <w:tcW w:w="1176" w:type="dxa"/>
            <w:tcBorders>
              <w:top w:val="nil"/>
              <w:left w:val="nil"/>
              <w:bottom w:val="nil"/>
              <w:right w:val="nil"/>
            </w:tcBorders>
            <w:shd w:val="clear" w:color="auto" w:fill="auto"/>
            <w:noWrap/>
            <w:vAlign w:val="bottom"/>
            <w:hideMark/>
          </w:tcPr>
          <w:p w14:paraId="53BF0002"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17022AB" w14:textId="77777777" w:rsidR="00432B71" w:rsidRDefault="00432B71"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5EEE113" w14:textId="77777777" w:rsidR="00432B71" w:rsidRDefault="00432B7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83D5F68" w14:textId="77777777" w:rsidR="00432B71" w:rsidRDefault="00432B71" w:rsidP="005A3B4D">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4581F9E3"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5C62E4" w14:textId="77777777" w:rsidR="00432B71" w:rsidRDefault="00432B71"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14A8E1C" w14:textId="77777777" w:rsidR="00432B71" w:rsidRDefault="00432B71" w:rsidP="005A3B4D">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643A945F"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5AF64D"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AA7B021" w14:textId="77777777" w:rsidR="00432B71" w:rsidRDefault="00432B71"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6E1CB8C1"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E8AAFD" w14:textId="77777777" w:rsidR="00432B71" w:rsidRDefault="00432B71"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EF494E3" w14:textId="77777777" w:rsidR="00432B71" w:rsidRDefault="00432B71" w:rsidP="005A3B4D">
            <w:pPr>
              <w:jc w:val="right"/>
              <w:rPr>
                <w:color w:val="000000"/>
                <w:sz w:val="20"/>
                <w:szCs w:val="20"/>
              </w:rPr>
            </w:pPr>
            <w:r>
              <w:rPr>
                <w:color w:val="000000"/>
                <w:sz w:val="20"/>
                <w:szCs w:val="20"/>
              </w:rPr>
              <w:t>0.789</w:t>
            </w:r>
          </w:p>
        </w:tc>
        <w:tc>
          <w:tcPr>
            <w:tcW w:w="768" w:type="dxa"/>
            <w:tcBorders>
              <w:top w:val="nil"/>
              <w:left w:val="nil"/>
              <w:bottom w:val="nil"/>
              <w:right w:val="nil"/>
            </w:tcBorders>
            <w:shd w:val="clear" w:color="auto" w:fill="auto"/>
            <w:noWrap/>
            <w:vAlign w:val="bottom"/>
            <w:hideMark/>
          </w:tcPr>
          <w:p w14:paraId="28008E4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5FDE8A" w14:textId="77777777" w:rsidR="00432B71" w:rsidRDefault="00432B71"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50E9214F" w14:textId="77777777" w:rsidR="00432B71" w:rsidRDefault="00432B71" w:rsidP="005A3B4D">
            <w:pPr>
              <w:jc w:val="right"/>
              <w:rPr>
                <w:color w:val="000000"/>
                <w:sz w:val="20"/>
                <w:szCs w:val="20"/>
              </w:rPr>
            </w:pPr>
            <w:r>
              <w:rPr>
                <w:color w:val="000000"/>
                <w:sz w:val="20"/>
                <w:szCs w:val="20"/>
              </w:rPr>
              <w:t>0.678</w:t>
            </w:r>
          </w:p>
        </w:tc>
        <w:tc>
          <w:tcPr>
            <w:tcW w:w="768" w:type="dxa"/>
            <w:tcBorders>
              <w:top w:val="nil"/>
              <w:left w:val="nil"/>
              <w:bottom w:val="nil"/>
              <w:right w:val="nil"/>
            </w:tcBorders>
            <w:shd w:val="clear" w:color="auto" w:fill="auto"/>
            <w:noWrap/>
            <w:vAlign w:val="bottom"/>
            <w:hideMark/>
          </w:tcPr>
          <w:p w14:paraId="1AAFB0FD" w14:textId="77777777" w:rsidR="00432B71" w:rsidRDefault="00432B71" w:rsidP="005A3B4D">
            <w:pPr>
              <w:jc w:val="right"/>
              <w:rPr>
                <w:color w:val="000000"/>
                <w:sz w:val="20"/>
                <w:szCs w:val="20"/>
              </w:rPr>
            </w:pPr>
            <w:r>
              <w:rPr>
                <w:color w:val="000000"/>
                <w:sz w:val="20"/>
                <w:szCs w:val="20"/>
              </w:rPr>
              <w:t>0.002</w:t>
            </w:r>
          </w:p>
        </w:tc>
      </w:tr>
      <w:tr w:rsidR="00432B71" w14:paraId="4900EA7E" w14:textId="77777777" w:rsidTr="005A3B4D">
        <w:trPr>
          <w:trHeight w:val="320"/>
        </w:trPr>
        <w:tc>
          <w:tcPr>
            <w:tcW w:w="1176" w:type="dxa"/>
            <w:tcBorders>
              <w:top w:val="nil"/>
              <w:left w:val="nil"/>
              <w:bottom w:val="nil"/>
              <w:right w:val="nil"/>
            </w:tcBorders>
            <w:shd w:val="clear" w:color="auto" w:fill="auto"/>
            <w:noWrap/>
            <w:vAlign w:val="bottom"/>
            <w:hideMark/>
          </w:tcPr>
          <w:p w14:paraId="797FB731"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3A3D8A0" w14:textId="77777777" w:rsidR="00432B71" w:rsidRDefault="00432B71"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FBA357D" w14:textId="77777777" w:rsidR="00432B71" w:rsidRDefault="00432B71" w:rsidP="005A3B4D">
            <w:pPr>
              <w:jc w:val="right"/>
              <w:rPr>
                <w:b/>
                <w:bCs/>
                <w:color w:val="000000"/>
                <w:sz w:val="20"/>
                <w:szCs w:val="20"/>
              </w:rPr>
            </w:pPr>
            <w:r>
              <w:rPr>
                <w:b/>
                <w:bCs/>
                <w:color w:val="000000"/>
                <w:sz w:val="20"/>
                <w:szCs w:val="20"/>
              </w:rPr>
              <w:t>-0.096</w:t>
            </w:r>
          </w:p>
        </w:tc>
        <w:tc>
          <w:tcPr>
            <w:tcW w:w="768" w:type="dxa"/>
            <w:tcBorders>
              <w:top w:val="nil"/>
              <w:left w:val="nil"/>
              <w:bottom w:val="nil"/>
              <w:right w:val="nil"/>
            </w:tcBorders>
            <w:shd w:val="clear" w:color="auto" w:fill="auto"/>
            <w:noWrap/>
            <w:vAlign w:val="bottom"/>
            <w:hideMark/>
          </w:tcPr>
          <w:p w14:paraId="15A2BB34" w14:textId="77777777" w:rsidR="00432B71" w:rsidRDefault="00432B71"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1EF4759C" w14:textId="77777777" w:rsidR="00432B71" w:rsidRDefault="00432B71" w:rsidP="005A3B4D">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2350B299" w14:textId="77777777" w:rsidR="00432B71" w:rsidRDefault="00432B71"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9E051A6" w14:textId="77777777" w:rsidR="00432B71" w:rsidRDefault="00432B71" w:rsidP="005A3B4D">
            <w:pPr>
              <w:jc w:val="right"/>
              <w:rPr>
                <w:color w:val="000000"/>
                <w:sz w:val="20"/>
                <w:szCs w:val="20"/>
              </w:rPr>
            </w:pPr>
            <w:r>
              <w:rPr>
                <w:color w:val="000000"/>
                <w:sz w:val="20"/>
                <w:szCs w:val="20"/>
              </w:rPr>
              <w:t>0.301</w:t>
            </w:r>
          </w:p>
        </w:tc>
        <w:tc>
          <w:tcPr>
            <w:tcW w:w="768" w:type="dxa"/>
            <w:tcBorders>
              <w:top w:val="nil"/>
              <w:left w:val="nil"/>
              <w:bottom w:val="nil"/>
              <w:right w:val="nil"/>
            </w:tcBorders>
            <w:shd w:val="clear" w:color="auto" w:fill="auto"/>
            <w:noWrap/>
            <w:vAlign w:val="bottom"/>
            <w:hideMark/>
          </w:tcPr>
          <w:p w14:paraId="5DA944BD"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1BEF508"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5CAFCBC"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674EA76A"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F7975A8" w14:textId="77777777" w:rsidR="00432B71" w:rsidRDefault="00432B71" w:rsidP="005A3B4D">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01A39A4F" w14:textId="77777777" w:rsidR="00432B71" w:rsidRDefault="00432B71" w:rsidP="005A3B4D">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7C6367DE"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C949F12"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CA73873" w14:textId="77777777" w:rsidR="00432B71" w:rsidRDefault="00432B71"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762D757B" w14:textId="77777777" w:rsidR="00432B71" w:rsidRDefault="00432B71" w:rsidP="005A3B4D">
            <w:pPr>
              <w:jc w:val="right"/>
              <w:rPr>
                <w:color w:val="000000"/>
                <w:sz w:val="20"/>
                <w:szCs w:val="20"/>
              </w:rPr>
            </w:pPr>
            <w:r>
              <w:rPr>
                <w:color w:val="000000"/>
                <w:sz w:val="20"/>
                <w:szCs w:val="20"/>
              </w:rPr>
              <w:t>0.000</w:t>
            </w:r>
          </w:p>
        </w:tc>
      </w:tr>
      <w:tr w:rsidR="00432B71" w14:paraId="3DC3EB2B" w14:textId="77777777" w:rsidTr="005A3B4D">
        <w:trPr>
          <w:trHeight w:val="320"/>
        </w:trPr>
        <w:tc>
          <w:tcPr>
            <w:tcW w:w="1176" w:type="dxa"/>
            <w:tcBorders>
              <w:top w:val="nil"/>
              <w:left w:val="nil"/>
              <w:bottom w:val="nil"/>
              <w:right w:val="nil"/>
            </w:tcBorders>
            <w:shd w:val="clear" w:color="auto" w:fill="auto"/>
            <w:noWrap/>
            <w:vAlign w:val="bottom"/>
            <w:hideMark/>
          </w:tcPr>
          <w:p w14:paraId="4330B286" w14:textId="77777777" w:rsidR="00432B71" w:rsidRDefault="00432B71"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3D94D9" w14:textId="77777777" w:rsidR="00432B71" w:rsidRDefault="00432B71"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B841E53"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68C39A7" w14:textId="77777777" w:rsidR="00432B71" w:rsidRDefault="00432B71" w:rsidP="005A3B4D">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7C8CC44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F521D46" w14:textId="77777777" w:rsidR="00432B71" w:rsidRDefault="00432B71"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C39E5AA" w14:textId="77777777" w:rsidR="00432B71" w:rsidRDefault="00432B71"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642C7F6D"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215C2E" w14:textId="77777777" w:rsidR="00432B71" w:rsidRDefault="00432B71"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CDA138D" w14:textId="77777777" w:rsidR="00432B71" w:rsidRDefault="00432B71"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252CBC99"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4C1226" w14:textId="77777777" w:rsidR="00432B71" w:rsidRDefault="00432B71"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1610A1B" w14:textId="77777777" w:rsidR="00432B71" w:rsidRDefault="00432B71" w:rsidP="005A3B4D">
            <w:pPr>
              <w:jc w:val="right"/>
              <w:rPr>
                <w:color w:val="000000"/>
                <w:sz w:val="20"/>
                <w:szCs w:val="20"/>
              </w:rPr>
            </w:pPr>
            <w:r>
              <w:rPr>
                <w:color w:val="000000"/>
                <w:sz w:val="20"/>
                <w:szCs w:val="20"/>
              </w:rPr>
              <w:t>0.789</w:t>
            </w:r>
          </w:p>
        </w:tc>
        <w:tc>
          <w:tcPr>
            <w:tcW w:w="768" w:type="dxa"/>
            <w:tcBorders>
              <w:top w:val="nil"/>
              <w:left w:val="nil"/>
              <w:bottom w:val="nil"/>
              <w:right w:val="nil"/>
            </w:tcBorders>
            <w:shd w:val="clear" w:color="auto" w:fill="auto"/>
            <w:noWrap/>
            <w:vAlign w:val="bottom"/>
            <w:hideMark/>
          </w:tcPr>
          <w:p w14:paraId="42CD8088"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C8A943" w14:textId="77777777" w:rsidR="00432B71" w:rsidRDefault="00432B71"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D12509A" w14:textId="77777777" w:rsidR="00432B71" w:rsidRDefault="00432B71" w:rsidP="005A3B4D">
            <w:pPr>
              <w:jc w:val="right"/>
              <w:rPr>
                <w:color w:val="000000"/>
                <w:sz w:val="20"/>
                <w:szCs w:val="20"/>
              </w:rPr>
            </w:pPr>
            <w:r>
              <w:rPr>
                <w:color w:val="000000"/>
                <w:sz w:val="20"/>
                <w:szCs w:val="20"/>
              </w:rPr>
              <w:t>0.678</w:t>
            </w:r>
          </w:p>
        </w:tc>
        <w:tc>
          <w:tcPr>
            <w:tcW w:w="768" w:type="dxa"/>
            <w:tcBorders>
              <w:top w:val="nil"/>
              <w:left w:val="nil"/>
              <w:bottom w:val="nil"/>
              <w:right w:val="nil"/>
            </w:tcBorders>
            <w:shd w:val="clear" w:color="auto" w:fill="auto"/>
            <w:noWrap/>
            <w:vAlign w:val="bottom"/>
            <w:hideMark/>
          </w:tcPr>
          <w:p w14:paraId="12AACE95" w14:textId="77777777" w:rsidR="00432B71" w:rsidRDefault="00432B71" w:rsidP="005A3B4D">
            <w:pPr>
              <w:jc w:val="right"/>
              <w:rPr>
                <w:color w:val="000000"/>
                <w:sz w:val="20"/>
                <w:szCs w:val="20"/>
              </w:rPr>
            </w:pPr>
            <w:r>
              <w:rPr>
                <w:color w:val="000000"/>
                <w:sz w:val="20"/>
                <w:szCs w:val="20"/>
              </w:rPr>
              <w:t>0.001</w:t>
            </w:r>
          </w:p>
        </w:tc>
      </w:tr>
      <w:tr w:rsidR="00432B71" w14:paraId="390808CA"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20219D93" w14:textId="77777777" w:rsidR="00432B71" w:rsidRDefault="00432B71"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44A6D8C8" w14:textId="77777777" w:rsidR="00432B71" w:rsidRDefault="00432B71"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4FD75C54" w14:textId="77777777" w:rsidR="00432B71" w:rsidRDefault="00432B71" w:rsidP="005A3B4D">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13FDDD08" w14:textId="77777777" w:rsidR="00432B71" w:rsidRDefault="00432B71" w:rsidP="005A3B4D">
            <w:pPr>
              <w:jc w:val="right"/>
              <w:rPr>
                <w:color w:val="000000"/>
                <w:sz w:val="20"/>
                <w:szCs w:val="20"/>
              </w:rPr>
            </w:pPr>
            <w:r>
              <w:rPr>
                <w:color w:val="000000"/>
                <w:sz w:val="20"/>
                <w:szCs w:val="20"/>
              </w:rPr>
              <w:t>0.898</w:t>
            </w:r>
          </w:p>
        </w:tc>
        <w:tc>
          <w:tcPr>
            <w:tcW w:w="768" w:type="dxa"/>
            <w:tcBorders>
              <w:top w:val="nil"/>
              <w:left w:val="nil"/>
              <w:bottom w:val="single" w:sz="12" w:space="0" w:color="auto"/>
              <w:right w:val="nil"/>
            </w:tcBorders>
            <w:shd w:val="clear" w:color="auto" w:fill="auto"/>
            <w:noWrap/>
            <w:vAlign w:val="bottom"/>
            <w:hideMark/>
          </w:tcPr>
          <w:p w14:paraId="0D153F92"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3347858" w14:textId="77777777" w:rsidR="00432B71" w:rsidRDefault="00432B71" w:rsidP="005A3B4D">
            <w:pPr>
              <w:jc w:val="right"/>
              <w:rPr>
                <w:color w:val="000000"/>
                <w:sz w:val="20"/>
                <w:szCs w:val="20"/>
              </w:rPr>
            </w:pPr>
            <w:r>
              <w:rPr>
                <w:color w:val="000000"/>
                <w:sz w:val="20"/>
                <w:szCs w:val="20"/>
              </w:rPr>
              <w:t>0.057</w:t>
            </w:r>
          </w:p>
        </w:tc>
        <w:tc>
          <w:tcPr>
            <w:tcW w:w="768" w:type="dxa"/>
            <w:tcBorders>
              <w:top w:val="nil"/>
              <w:left w:val="nil"/>
              <w:bottom w:val="single" w:sz="12" w:space="0" w:color="auto"/>
              <w:right w:val="nil"/>
            </w:tcBorders>
            <w:shd w:val="clear" w:color="auto" w:fill="auto"/>
            <w:noWrap/>
            <w:vAlign w:val="bottom"/>
            <w:hideMark/>
          </w:tcPr>
          <w:p w14:paraId="0EF97335" w14:textId="77777777" w:rsidR="00432B71" w:rsidRDefault="00432B71" w:rsidP="005A3B4D">
            <w:pPr>
              <w:jc w:val="right"/>
              <w:rPr>
                <w:color w:val="000000"/>
                <w:sz w:val="20"/>
                <w:szCs w:val="20"/>
              </w:rPr>
            </w:pPr>
            <w:r>
              <w:rPr>
                <w:color w:val="000000"/>
                <w:sz w:val="20"/>
                <w:szCs w:val="20"/>
              </w:rPr>
              <w:t>0.104</w:t>
            </w:r>
          </w:p>
        </w:tc>
        <w:tc>
          <w:tcPr>
            <w:tcW w:w="768" w:type="dxa"/>
            <w:tcBorders>
              <w:top w:val="nil"/>
              <w:left w:val="nil"/>
              <w:bottom w:val="single" w:sz="12" w:space="0" w:color="auto"/>
              <w:right w:val="nil"/>
            </w:tcBorders>
            <w:shd w:val="clear" w:color="auto" w:fill="auto"/>
            <w:noWrap/>
            <w:vAlign w:val="bottom"/>
            <w:hideMark/>
          </w:tcPr>
          <w:p w14:paraId="12C56451" w14:textId="77777777" w:rsidR="00432B71" w:rsidRDefault="00432B71" w:rsidP="005A3B4D">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39A63A6A" w14:textId="77777777" w:rsidR="00432B71" w:rsidRDefault="00432B71" w:rsidP="005A3B4D">
            <w:pPr>
              <w:jc w:val="right"/>
              <w:rPr>
                <w:color w:val="000000"/>
                <w:sz w:val="20"/>
                <w:szCs w:val="20"/>
              </w:rPr>
            </w:pPr>
            <w:r>
              <w:rPr>
                <w:color w:val="000000"/>
                <w:sz w:val="20"/>
                <w:szCs w:val="20"/>
              </w:rPr>
              <w:t>-0.034</w:t>
            </w:r>
          </w:p>
        </w:tc>
        <w:tc>
          <w:tcPr>
            <w:tcW w:w="768" w:type="dxa"/>
            <w:tcBorders>
              <w:top w:val="nil"/>
              <w:left w:val="nil"/>
              <w:bottom w:val="single" w:sz="12" w:space="0" w:color="auto"/>
              <w:right w:val="nil"/>
            </w:tcBorders>
            <w:shd w:val="clear" w:color="auto" w:fill="auto"/>
            <w:noWrap/>
            <w:vAlign w:val="bottom"/>
            <w:hideMark/>
          </w:tcPr>
          <w:p w14:paraId="391BB6D2" w14:textId="77777777" w:rsidR="00432B71" w:rsidRDefault="00432B71" w:rsidP="005A3B4D">
            <w:pPr>
              <w:jc w:val="right"/>
              <w:rPr>
                <w:color w:val="000000"/>
                <w:sz w:val="20"/>
                <w:szCs w:val="20"/>
              </w:rPr>
            </w:pPr>
            <w:r>
              <w:rPr>
                <w:color w:val="000000"/>
                <w:sz w:val="20"/>
                <w:szCs w:val="20"/>
              </w:rPr>
              <w:t>0.448</w:t>
            </w:r>
          </w:p>
        </w:tc>
        <w:tc>
          <w:tcPr>
            <w:tcW w:w="768" w:type="dxa"/>
            <w:tcBorders>
              <w:top w:val="nil"/>
              <w:left w:val="nil"/>
              <w:bottom w:val="single" w:sz="12" w:space="0" w:color="auto"/>
              <w:right w:val="nil"/>
            </w:tcBorders>
            <w:shd w:val="clear" w:color="auto" w:fill="auto"/>
            <w:noWrap/>
            <w:vAlign w:val="bottom"/>
            <w:hideMark/>
          </w:tcPr>
          <w:p w14:paraId="7741669C" w14:textId="77777777" w:rsidR="00432B71" w:rsidRDefault="00432B71"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230A6416" w14:textId="77777777" w:rsidR="00432B71" w:rsidRDefault="00432B71" w:rsidP="005A3B4D">
            <w:pPr>
              <w:jc w:val="right"/>
              <w:rPr>
                <w:color w:val="000000"/>
                <w:sz w:val="20"/>
                <w:szCs w:val="20"/>
              </w:rPr>
            </w:pPr>
            <w:r>
              <w:rPr>
                <w:color w:val="000000"/>
                <w:sz w:val="20"/>
                <w:szCs w:val="20"/>
              </w:rPr>
              <w:t>-0.007</w:t>
            </w:r>
          </w:p>
        </w:tc>
        <w:tc>
          <w:tcPr>
            <w:tcW w:w="768" w:type="dxa"/>
            <w:tcBorders>
              <w:top w:val="nil"/>
              <w:left w:val="nil"/>
              <w:bottom w:val="single" w:sz="12" w:space="0" w:color="auto"/>
              <w:right w:val="nil"/>
            </w:tcBorders>
            <w:shd w:val="clear" w:color="auto" w:fill="auto"/>
            <w:noWrap/>
            <w:vAlign w:val="bottom"/>
            <w:hideMark/>
          </w:tcPr>
          <w:p w14:paraId="60AE6BBE" w14:textId="77777777" w:rsidR="00432B71" w:rsidRDefault="00432B71" w:rsidP="005A3B4D">
            <w:pPr>
              <w:jc w:val="right"/>
              <w:rPr>
                <w:color w:val="000000"/>
                <w:sz w:val="20"/>
                <w:szCs w:val="20"/>
              </w:rPr>
            </w:pPr>
            <w:r>
              <w:rPr>
                <w:color w:val="000000"/>
                <w:sz w:val="20"/>
                <w:szCs w:val="20"/>
              </w:rPr>
              <w:t>0.789</w:t>
            </w:r>
          </w:p>
        </w:tc>
        <w:tc>
          <w:tcPr>
            <w:tcW w:w="768" w:type="dxa"/>
            <w:tcBorders>
              <w:top w:val="nil"/>
              <w:left w:val="nil"/>
              <w:bottom w:val="single" w:sz="12" w:space="0" w:color="auto"/>
              <w:right w:val="nil"/>
            </w:tcBorders>
            <w:shd w:val="clear" w:color="auto" w:fill="auto"/>
            <w:noWrap/>
            <w:vAlign w:val="bottom"/>
            <w:hideMark/>
          </w:tcPr>
          <w:p w14:paraId="1E684A5E" w14:textId="77777777" w:rsidR="00432B71" w:rsidRDefault="00432B71"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1F9B2AB" w14:textId="77777777" w:rsidR="00432B71" w:rsidRDefault="00432B71" w:rsidP="005A3B4D">
            <w:pPr>
              <w:jc w:val="right"/>
              <w:rPr>
                <w:color w:val="000000"/>
                <w:sz w:val="20"/>
                <w:szCs w:val="20"/>
              </w:rPr>
            </w:pPr>
            <w:r>
              <w:rPr>
                <w:color w:val="000000"/>
                <w:sz w:val="20"/>
                <w:szCs w:val="20"/>
              </w:rPr>
              <w:t>-0.028</w:t>
            </w:r>
          </w:p>
        </w:tc>
        <w:tc>
          <w:tcPr>
            <w:tcW w:w="768" w:type="dxa"/>
            <w:tcBorders>
              <w:top w:val="nil"/>
              <w:left w:val="nil"/>
              <w:bottom w:val="single" w:sz="12" w:space="0" w:color="auto"/>
              <w:right w:val="nil"/>
            </w:tcBorders>
            <w:shd w:val="clear" w:color="auto" w:fill="auto"/>
            <w:noWrap/>
            <w:vAlign w:val="bottom"/>
            <w:hideMark/>
          </w:tcPr>
          <w:p w14:paraId="03481EA5" w14:textId="77777777" w:rsidR="00432B71" w:rsidRDefault="00432B71" w:rsidP="005A3B4D">
            <w:pPr>
              <w:jc w:val="right"/>
              <w:rPr>
                <w:color w:val="000000"/>
                <w:sz w:val="20"/>
                <w:szCs w:val="20"/>
              </w:rPr>
            </w:pPr>
            <w:r>
              <w:rPr>
                <w:color w:val="000000"/>
                <w:sz w:val="20"/>
                <w:szCs w:val="20"/>
              </w:rPr>
              <w:t>0.678</w:t>
            </w:r>
          </w:p>
        </w:tc>
        <w:tc>
          <w:tcPr>
            <w:tcW w:w="768" w:type="dxa"/>
            <w:tcBorders>
              <w:top w:val="nil"/>
              <w:left w:val="nil"/>
              <w:bottom w:val="single" w:sz="12" w:space="0" w:color="auto"/>
              <w:right w:val="nil"/>
            </w:tcBorders>
            <w:shd w:val="clear" w:color="auto" w:fill="auto"/>
            <w:noWrap/>
            <w:vAlign w:val="bottom"/>
            <w:hideMark/>
          </w:tcPr>
          <w:p w14:paraId="00CC4F3A" w14:textId="77777777" w:rsidR="00432B71" w:rsidRDefault="00432B71" w:rsidP="005A3B4D">
            <w:pPr>
              <w:jc w:val="right"/>
              <w:rPr>
                <w:color w:val="000000"/>
                <w:sz w:val="20"/>
                <w:szCs w:val="20"/>
              </w:rPr>
            </w:pPr>
            <w:r>
              <w:rPr>
                <w:color w:val="000000"/>
                <w:sz w:val="20"/>
                <w:szCs w:val="20"/>
              </w:rPr>
              <w:t>0.001</w:t>
            </w:r>
          </w:p>
        </w:tc>
      </w:tr>
      <w:tr w:rsidR="00432B71" w14:paraId="1628DCB1"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0445F802" w14:textId="77777777" w:rsidR="00432B71" w:rsidRDefault="00432B71"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0B48282A" w14:textId="77777777" w:rsidR="00432B71" w:rsidRDefault="00432B71"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6A399904"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EB00C6A"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2D90FCF"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C402EBF"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54E3839"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4CF9D3A"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BCF8E96"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49E0C80"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E5255A8"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7ACC8A1"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A997D9E"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D74C18F"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3325667"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D2983E2" w14:textId="77777777" w:rsidR="00432B71" w:rsidRDefault="00432B71"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CB56678" w14:textId="77777777" w:rsidR="00432B71" w:rsidRDefault="00432B71" w:rsidP="005A3B4D">
            <w:pPr>
              <w:rPr>
                <w:sz w:val="20"/>
                <w:szCs w:val="20"/>
              </w:rPr>
            </w:pPr>
          </w:p>
        </w:tc>
      </w:tr>
    </w:tbl>
    <w:p w14:paraId="38A736A3" w14:textId="77777777" w:rsidR="00432B71" w:rsidRDefault="00432B71" w:rsidP="00432B71">
      <w:pPr>
        <w:spacing w:line="480" w:lineRule="auto"/>
      </w:pPr>
    </w:p>
    <w:p w14:paraId="50761CE6" w14:textId="77777777" w:rsidR="00432B71" w:rsidRDefault="00432B71">
      <w:pPr>
        <w:rPr>
          <w:rFonts w:asciiTheme="majorHAnsi" w:eastAsiaTheme="majorEastAsia" w:hAnsiTheme="majorHAnsi" w:cstheme="majorBidi"/>
          <w:color w:val="2F5496" w:themeColor="accent1" w:themeShade="BF"/>
          <w:sz w:val="32"/>
          <w:szCs w:val="32"/>
        </w:rPr>
      </w:pPr>
      <w:r>
        <w:br w:type="page"/>
      </w:r>
    </w:p>
    <w:p w14:paraId="7EA2D252" w14:textId="07B3E087" w:rsidR="00A27233" w:rsidRPr="00E76140" w:rsidRDefault="00432B71" w:rsidP="00E76140">
      <w:pPr>
        <w:pStyle w:val="Heading1"/>
        <w:rPr>
          <w:rFonts w:ascii="Times New Roman" w:hAnsi="Times New Roman" w:cs="Times New Roman"/>
          <w:b/>
          <w:bCs/>
          <w:color w:val="auto"/>
          <w:sz w:val="24"/>
          <w:szCs w:val="24"/>
        </w:rPr>
      </w:pPr>
      <w:bookmarkStart w:id="24" w:name="_Toc155817691"/>
      <w:r w:rsidRPr="00E76140">
        <w:rPr>
          <w:rFonts w:ascii="Times New Roman" w:hAnsi="Times New Roman" w:cs="Times New Roman"/>
          <w:b/>
          <w:bCs/>
          <w:color w:val="auto"/>
          <w:sz w:val="24"/>
          <w:szCs w:val="24"/>
        </w:rPr>
        <w:lastRenderedPageBreak/>
        <w:t xml:space="preserve">Table </w:t>
      </w:r>
      <w:r w:rsidR="00994E15" w:rsidRPr="00E76140">
        <w:rPr>
          <w:rFonts w:ascii="Times New Roman" w:hAnsi="Times New Roman" w:cs="Times New Roman"/>
          <w:b/>
          <w:bCs/>
          <w:color w:val="auto"/>
          <w:sz w:val="24"/>
          <w:szCs w:val="24"/>
        </w:rPr>
        <w:t>7</w:t>
      </w:r>
      <w:r w:rsidR="00A27233" w:rsidRPr="00E76140">
        <w:rPr>
          <w:rFonts w:ascii="Times New Roman" w:hAnsi="Times New Roman" w:cs="Times New Roman"/>
          <w:b/>
          <w:bCs/>
          <w:color w:val="auto"/>
          <w:sz w:val="24"/>
          <w:szCs w:val="24"/>
        </w:rPr>
        <w:t xml:space="preserve">a. </w:t>
      </w:r>
      <w:r w:rsidR="00A27233" w:rsidRPr="00E76140">
        <w:rPr>
          <w:rFonts w:ascii="Times New Roman" w:hAnsi="Times New Roman" w:cs="Times New Roman"/>
          <w:color w:val="auto"/>
          <w:sz w:val="24"/>
          <w:szCs w:val="24"/>
        </w:rPr>
        <w:t>Results examining the relationship between environmental stress factors obtained from bifactor modeling and Shen-268 network average shortest path length during emotional n-back task</w:t>
      </w:r>
      <w:bookmarkEnd w:id="24"/>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E221DF" w14:paraId="3F6BF0A8" w14:textId="77777777" w:rsidTr="00DE6EE0">
        <w:trPr>
          <w:trHeight w:val="340"/>
        </w:trPr>
        <w:tc>
          <w:tcPr>
            <w:tcW w:w="1176" w:type="dxa"/>
            <w:tcBorders>
              <w:top w:val="nil"/>
              <w:left w:val="nil"/>
              <w:bottom w:val="single" w:sz="12" w:space="0" w:color="auto"/>
              <w:right w:val="nil"/>
            </w:tcBorders>
            <w:shd w:val="clear" w:color="auto" w:fill="auto"/>
            <w:noWrap/>
            <w:vAlign w:val="bottom"/>
            <w:hideMark/>
          </w:tcPr>
          <w:p w14:paraId="2B9A4C9A" w14:textId="77777777" w:rsidR="00E221DF" w:rsidRDefault="00E221DF">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59797793" w14:textId="77777777" w:rsidR="00E221DF" w:rsidRDefault="00E221DF">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23ED351F" w14:textId="77777777" w:rsidR="00E221DF" w:rsidRDefault="00E221DF">
            <w:pPr>
              <w:rPr>
                <w:color w:val="000000"/>
              </w:rPr>
            </w:pPr>
          </w:p>
        </w:tc>
        <w:tc>
          <w:tcPr>
            <w:tcW w:w="768" w:type="dxa"/>
            <w:tcBorders>
              <w:top w:val="nil"/>
              <w:left w:val="nil"/>
              <w:bottom w:val="single" w:sz="12" w:space="0" w:color="auto"/>
              <w:right w:val="nil"/>
            </w:tcBorders>
            <w:shd w:val="clear" w:color="auto" w:fill="auto"/>
            <w:noWrap/>
            <w:vAlign w:val="bottom"/>
            <w:hideMark/>
          </w:tcPr>
          <w:p w14:paraId="5E1B9D42"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46CD340"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DF13C21"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A9C9DD2"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55F6758"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80C5D95"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D6EE2F6"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205DC4D"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5E11CC9"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81A284F"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E892EA6"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FCF68E1"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2F739A8" w14:textId="77777777" w:rsidR="00E221DF" w:rsidRDefault="00E221D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16BCB88" w14:textId="77777777" w:rsidR="00E221DF" w:rsidRDefault="00E221DF">
            <w:pPr>
              <w:rPr>
                <w:sz w:val="20"/>
                <w:szCs w:val="20"/>
              </w:rPr>
            </w:pPr>
          </w:p>
        </w:tc>
      </w:tr>
      <w:tr w:rsidR="00E221DF" w14:paraId="61D8B820" w14:textId="77777777" w:rsidTr="00DE6EE0">
        <w:trPr>
          <w:trHeight w:val="340"/>
        </w:trPr>
        <w:tc>
          <w:tcPr>
            <w:tcW w:w="1176" w:type="dxa"/>
            <w:tcBorders>
              <w:top w:val="single" w:sz="12" w:space="0" w:color="auto"/>
              <w:left w:val="nil"/>
              <w:right w:val="nil"/>
            </w:tcBorders>
            <w:shd w:val="clear" w:color="auto" w:fill="auto"/>
            <w:noWrap/>
            <w:vAlign w:val="bottom"/>
            <w:hideMark/>
          </w:tcPr>
          <w:p w14:paraId="2AFC251D" w14:textId="77777777" w:rsidR="00E221DF" w:rsidRDefault="00E221DF">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26289956" w14:textId="77777777" w:rsidR="00E221DF" w:rsidRDefault="00E221DF">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7E8F3CDF" w14:textId="0965C7CF" w:rsidR="00E221DF" w:rsidRDefault="00E221DF">
            <w:pPr>
              <w:jc w:val="center"/>
              <w:rPr>
                <w:color w:val="000000"/>
                <w:sz w:val="20"/>
                <w:szCs w:val="20"/>
              </w:rPr>
            </w:pPr>
            <w:r>
              <w:rPr>
                <w:color w:val="000000"/>
                <w:sz w:val="20"/>
                <w:szCs w:val="20"/>
              </w:rPr>
              <w:t>General</w:t>
            </w:r>
            <w:r w:rsidR="001F0252">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81F45E6" w14:textId="77777777" w:rsidR="00E221DF" w:rsidRDefault="00E221DF">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2C97161" w14:textId="77777777" w:rsidR="00E221DF" w:rsidRDefault="00E221DF">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50F7480" w14:textId="77777777" w:rsidR="00E221DF" w:rsidRDefault="00E221DF">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7CF5194E" w14:textId="77777777" w:rsidR="00E221DF" w:rsidRDefault="00E221DF">
            <w:pPr>
              <w:jc w:val="center"/>
              <w:rPr>
                <w:color w:val="000000"/>
                <w:sz w:val="20"/>
                <w:szCs w:val="20"/>
              </w:rPr>
            </w:pPr>
            <w:r>
              <w:rPr>
                <w:color w:val="000000"/>
                <w:sz w:val="20"/>
                <w:szCs w:val="20"/>
              </w:rPr>
              <w:t>Urbanicity</w:t>
            </w:r>
          </w:p>
        </w:tc>
      </w:tr>
      <w:tr w:rsidR="002125FE" w14:paraId="58213CCD" w14:textId="77777777" w:rsidTr="00DE6EE0">
        <w:trPr>
          <w:trHeight w:val="360"/>
        </w:trPr>
        <w:tc>
          <w:tcPr>
            <w:tcW w:w="1176" w:type="dxa"/>
            <w:tcBorders>
              <w:left w:val="nil"/>
              <w:bottom w:val="single" w:sz="12" w:space="0" w:color="auto"/>
              <w:right w:val="nil"/>
            </w:tcBorders>
            <w:shd w:val="clear" w:color="auto" w:fill="auto"/>
            <w:noWrap/>
            <w:vAlign w:val="bottom"/>
            <w:hideMark/>
          </w:tcPr>
          <w:p w14:paraId="521C87F4" w14:textId="77777777" w:rsidR="002125FE" w:rsidRDefault="002125FE" w:rsidP="002125FE">
            <w:pPr>
              <w:rPr>
                <w:color w:val="000000"/>
                <w:sz w:val="20"/>
                <w:szCs w:val="20"/>
              </w:rPr>
            </w:pPr>
            <w:r>
              <w:rPr>
                <w:color w:val="000000"/>
                <w:sz w:val="20"/>
                <w:szCs w:val="20"/>
              </w:rPr>
              <w:t> </w:t>
            </w:r>
          </w:p>
        </w:tc>
        <w:tc>
          <w:tcPr>
            <w:tcW w:w="1705" w:type="dxa"/>
            <w:vMerge/>
            <w:tcBorders>
              <w:top w:val="single" w:sz="12" w:space="0" w:color="auto"/>
              <w:left w:val="nil"/>
              <w:bottom w:val="single" w:sz="12" w:space="0" w:color="auto"/>
              <w:right w:val="nil"/>
            </w:tcBorders>
            <w:vAlign w:val="center"/>
            <w:hideMark/>
          </w:tcPr>
          <w:p w14:paraId="2B987DCC"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141ED301" w14:textId="1C3141C6"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D91834F" w14:textId="46D4CADB"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2676582" w14:textId="6C771856"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3AE1726" w14:textId="2FED80D9"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8BAEE5D" w14:textId="2B8FEC33"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6572C4B" w14:textId="4B651CD8"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94B1029" w14:textId="01106CC7"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FB7E9B5" w14:textId="54C75F8C"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D8DA57C" w14:textId="7FA95B97"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E1272FF" w14:textId="1F2BB8FA"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4D25829" w14:textId="790ED461"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48CE739" w14:textId="48F67FF4"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C8F56BD" w14:textId="33979114"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1FF731D" w14:textId="5E3F4C33"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FF0134D" w14:textId="3D5B20BC"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DA2010" w14:paraId="169D8340" w14:textId="77777777" w:rsidTr="00AA3295">
        <w:trPr>
          <w:trHeight w:val="320"/>
        </w:trPr>
        <w:tc>
          <w:tcPr>
            <w:tcW w:w="1176" w:type="dxa"/>
            <w:tcBorders>
              <w:top w:val="single" w:sz="12" w:space="0" w:color="auto"/>
              <w:left w:val="nil"/>
              <w:bottom w:val="nil"/>
              <w:right w:val="nil"/>
            </w:tcBorders>
            <w:shd w:val="clear" w:color="auto" w:fill="auto"/>
            <w:noWrap/>
            <w:vAlign w:val="bottom"/>
            <w:hideMark/>
          </w:tcPr>
          <w:p w14:paraId="0E26576C" w14:textId="77777777" w:rsidR="00DA2010" w:rsidRDefault="00DA2010" w:rsidP="00DA2010">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6FF480A1" w14:textId="77777777" w:rsidR="00DA2010" w:rsidRDefault="00DA2010" w:rsidP="00DA2010">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11F79BC0" w14:textId="0293A972" w:rsidR="00DA2010" w:rsidRDefault="00DA2010" w:rsidP="00DA2010">
            <w:pPr>
              <w:jc w:val="right"/>
              <w:rPr>
                <w:color w:val="000000"/>
                <w:sz w:val="20"/>
                <w:szCs w:val="20"/>
              </w:rPr>
            </w:pPr>
            <w:r>
              <w:rPr>
                <w:color w:val="000000"/>
                <w:sz w:val="20"/>
                <w:szCs w:val="20"/>
              </w:rPr>
              <w:t>0.047</w:t>
            </w:r>
          </w:p>
        </w:tc>
        <w:tc>
          <w:tcPr>
            <w:tcW w:w="768" w:type="dxa"/>
            <w:tcBorders>
              <w:top w:val="single" w:sz="12" w:space="0" w:color="auto"/>
              <w:left w:val="nil"/>
              <w:bottom w:val="nil"/>
              <w:right w:val="nil"/>
            </w:tcBorders>
            <w:shd w:val="clear" w:color="auto" w:fill="auto"/>
            <w:noWrap/>
            <w:vAlign w:val="bottom"/>
            <w:hideMark/>
          </w:tcPr>
          <w:p w14:paraId="631EC095" w14:textId="7E715783" w:rsidR="00DA2010" w:rsidRDefault="00DA2010" w:rsidP="00DA2010">
            <w:pPr>
              <w:jc w:val="right"/>
              <w:rPr>
                <w:color w:val="000000"/>
                <w:sz w:val="20"/>
                <w:szCs w:val="20"/>
              </w:rPr>
            </w:pPr>
            <w:r>
              <w:rPr>
                <w:color w:val="000000"/>
                <w:sz w:val="20"/>
                <w:szCs w:val="20"/>
              </w:rPr>
              <w:t>0.251</w:t>
            </w:r>
          </w:p>
        </w:tc>
        <w:tc>
          <w:tcPr>
            <w:tcW w:w="768" w:type="dxa"/>
            <w:tcBorders>
              <w:top w:val="single" w:sz="12" w:space="0" w:color="auto"/>
              <w:left w:val="nil"/>
              <w:bottom w:val="nil"/>
              <w:right w:val="nil"/>
            </w:tcBorders>
            <w:shd w:val="clear" w:color="auto" w:fill="auto"/>
            <w:noWrap/>
            <w:vAlign w:val="bottom"/>
            <w:hideMark/>
          </w:tcPr>
          <w:p w14:paraId="2DCEF7EF" w14:textId="2A385419" w:rsidR="00DA2010" w:rsidRDefault="00DA2010" w:rsidP="00DA2010">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780A6390" w14:textId="4EE5BCD4" w:rsidR="00DA2010" w:rsidRDefault="00DA2010" w:rsidP="00DA2010">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419A800D" w14:textId="6CFDB9FA" w:rsidR="00DA2010" w:rsidRDefault="00DA2010" w:rsidP="00DA2010">
            <w:pPr>
              <w:jc w:val="right"/>
              <w:rPr>
                <w:color w:val="000000"/>
                <w:sz w:val="20"/>
                <w:szCs w:val="20"/>
              </w:rPr>
            </w:pPr>
            <w:r>
              <w:rPr>
                <w:color w:val="000000"/>
                <w:sz w:val="20"/>
                <w:szCs w:val="20"/>
              </w:rPr>
              <w:t>0.985</w:t>
            </w:r>
          </w:p>
        </w:tc>
        <w:tc>
          <w:tcPr>
            <w:tcW w:w="768" w:type="dxa"/>
            <w:tcBorders>
              <w:top w:val="single" w:sz="12" w:space="0" w:color="auto"/>
              <w:left w:val="nil"/>
              <w:bottom w:val="nil"/>
              <w:right w:val="nil"/>
            </w:tcBorders>
            <w:shd w:val="clear" w:color="auto" w:fill="auto"/>
            <w:noWrap/>
            <w:vAlign w:val="bottom"/>
            <w:hideMark/>
          </w:tcPr>
          <w:p w14:paraId="5F2F4C8F" w14:textId="63CA2B84" w:rsidR="00DA2010" w:rsidRDefault="00DA2010" w:rsidP="00DA201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49901FC" w14:textId="021DF29D" w:rsidR="00DA2010" w:rsidRDefault="00DA2010" w:rsidP="00DA2010">
            <w:pPr>
              <w:jc w:val="right"/>
              <w:rPr>
                <w:color w:val="000000"/>
                <w:sz w:val="20"/>
                <w:szCs w:val="20"/>
              </w:rPr>
            </w:pPr>
            <w:r>
              <w:rPr>
                <w:color w:val="000000"/>
                <w:sz w:val="20"/>
                <w:szCs w:val="20"/>
              </w:rPr>
              <w:t>-0.021</w:t>
            </w:r>
          </w:p>
        </w:tc>
        <w:tc>
          <w:tcPr>
            <w:tcW w:w="768" w:type="dxa"/>
            <w:tcBorders>
              <w:top w:val="single" w:sz="12" w:space="0" w:color="auto"/>
              <w:left w:val="nil"/>
              <w:bottom w:val="nil"/>
              <w:right w:val="nil"/>
            </w:tcBorders>
            <w:shd w:val="clear" w:color="auto" w:fill="auto"/>
            <w:noWrap/>
            <w:vAlign w:val="bottom"/>
            <w:hideMark/>
          </w:tcPr>
          <w:p w14:paraId="6CEDF9EF" w14:textId="2D8DCAAF" w:rsidR="00DA2010" w:rsidRDefault="00DA2010" w:rsidP="00DA2010">
            <w:pPr>
              <w:jc w:val="right"/>
              <w:rPr>
                <w:color w:val="000000"/>
                <w:sz w:val="20"/>
                <w:szCs w:val="20"/>
              </w:rPr>
            </w:pPr>
            <w:r>
              <w:rPr>
                <w:color w:val="000000"/>
                <w:sz w:val="20"/>
                <w:szCs w:val="20"/>
              </w:rPr>
              <w:t>0.751</w:t>
            </w:r>
          </w:p>
        </w:tc>
        <w:tc>
          <w:tcPr>
            <w:tcW w:w="768" w:type="dxa"/>
            <w:tcBorders>
              <w:top w:val="single" w:sz="12" w:space="0" w:color="auto"/>
              <w:left w:val="nil"/>
              <w:bottom w:val="nil"/>
              <w:right w:val="nil"/>
            </w:tcBorders>
            <w:shd w:val="clear" w:color="auto" w:fill="auto"/>
            <w:noWrap/>
            <w:vAlign w:val="bottom"/>
            <w:hideMark/>
          </w:tcPr>
          <w:p w14:paraId="009A3A6B" w14:textId="6CB5FF44" w:rsidR="00DA2010" w:rsidRDefault="00DA2010" w:rsidP="00DA201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7BFC043" w14:textId="5940E6EE" w:rsidR="00DA2010" w:rsidRDefault="00DA2010" w:rsidP="00DA2010">
            <w:pPr>
              <w:jc w:val="right"/>
              <w:rPr>
                <w:color w:val="000000"/>
                <w:sz w:val="20"/>
                <w:szCs w:val="20"/>
              </w:rPr>
            </w:pPr>
            <w:r>
              <w:rPr>
                <w:color w:val="000000"/>
                <w:sz w:val="20"/>
                <w:szCs w:val="20"/>
              </w:rPr>
              <w:t>-0.027</w:t>
            </w:r>
          </w:p>
        </w:tc>
        <w:tc>
          <w:tcPr>
            <w:tcW w:w="768" w:type="dxa"/>
            <w:tcBorders>
              <w:top w:val="single" w:sz="12" w:space="0" w:color="auto"/>
              <w:left w:val="nil"/>
              <w:bottom w:val="nil"/>
              <w:right w:val="nil"/>
            </w:tcBorders>
            <w:shd w:val="clear" w:color="auto" w:fill="auto"/>
            <w:noWrap/>
            <w:vAlign w:val="bottom"/>
            <w:hideMark/>
          </w:tcPr>
          <w:p w14:paraId="523F9651" w14:textId="46ED8753" w:rsidR="00DA2010" w:rsidRDefault="00DA2010" w:rsidP="00DA2010">
            <w:pPr>
              <w:jc w:val="right"/>
              <w:rPr>
                <w:color w:val="000000"/>
                <w:sz w:val="20"/>
                <w:szCs w:val="20"/>
              </w:rPr>
            </w:pPr>
            <w:r>
              <w:rPr>
                <w:color w:val="000000"/>
                <w:sz w:val="20"/>
                <w:szCs w:val="20"/>
              </w:rPr>
              <w:t>0.965</w:t>
            </w:r>
          </w:p>
        </w:tc>
        <w:tc>
          <w:tcPr>
            <w:tcW w:w="768" w:type="dxa"/>
            <w:tcBorders>
              <w:top w:val="single" w:sz="12" w:space="0" w:color="auto"/>
              <w:left w:val="nil"/>
              <w:bottom w:val="nil"/>
              <w:right w:val="nil"/>
            </w:tcBorders>
            <w:shd w:val="clear" w:color="auto" w:fill="auto"/>
            <w:noWrap/>
            <w:vAlign w:val="bottom"/>
            <w:hideMark/>
          </w:tcPr>
          <w:p w14:paraId="6C768DC5" w14:textId="7C98AC77" w:rsidR="00DA2010" w:rsidRDefault="00DA2010" w:rsidP="00DA2010">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1B29B16F" w14:textId="66CA0CA7" w:rsidR="00DA2010" w:rsidRDefault="00DA2010" w:rsidP="00DA2010">
            <w:pPr>
              <w:jc w:val="right"/>
              <w:rPr>
                <w:color w:val="000000"/>
                <w:sz w:val="20"/>
                <w:szCs w:val="20"/>
              </w:rPr>
            </w:pPr>
            <w:r>
              <w:rPr>
                <w:color w:val="000000"/>
                <w:sz w:val="20"/>
                <w:szCs w:val="20"/>
              </w:rPr>
              <w:t>0.021</w:t>
            </w:r>
          </w:p>
        </w:tc>
        <w:tc>
          <w:tcPr>
            <w:tcW w:w="768" w:type="dxa"/>
            <w:tcBorders>
              <w:top w:val="single" w:sz="12" w:space="0" w:color="auto"/>
              <w:left w:val="nil"/>
              <w:bottom w:val="nil"/>
              <w:right w:val="nil"/>
            </w:tcBorders>
            <w:shd w:val="clear" w:color="auto" w:fill="auto"/>
            <w:noWrap/>
            <w:vAlign w:val="bottom"/>
            <w:hideMark/>
          </w:tcPr>
          <w:p w14:paraId="2988B456" w14:textId="6FE07C80" w:rsidR="00DA2010" w:rsidRDefault="00DA2010" w:rsidP="00DA2010">
            <w:pPr>
              <w:jc w:val="right"/>
              <w:rPr>
                <w:color w:val="000000"/>
                <w:sz w:val="20"/>
                <w:szCs w:val="20"/>
              </w:rPr>
            </w:pPr>
            <w:r>
              <w:rPr>
                <w:color w:val="000000"/>
                <w:sz w:val="20"/>
                <w:szCs w:val="20"/>
              </w:rPr>
              <w:t>0.971</w:t>
            </w:r>
          </w:p>
        </w:tc>
        <w:tc>
          <w:tcPr>
            <w:tcW w:w="768" w:type="dxa"/>
            <w:tcBorders>
              <w:top w:val="single" w:sz="12" w:space="0" w:color="auto"/>
              <w:left w:val="nil"/>
              <w:bottom w:val="nil"/>
              <w:right w:val="nil"/>
            </w:tcBorders>
            <w:shd w:val="clear" w:color="auto" w:fill="auto"/>
            <w:noWrap/>
            <w:vAlign w:val="bottom"/>
            <w:hideMark/>
          </w:tcPr>
          <w:p w14:paraId="7C7B05E1" w14:textId="527728C7" w:rsidR="00DA2010" w:rsidRDefault="00DA2010" w:rsidP="00DA2010">
            <w:pPr>
              <w:jc w:val="right"/>
              <w:rPr>
                <w:color w:val="000000"/>
                <w:sz w:val="20"/>
                <w:szCs w:val="20"/>
              </w:rPr>
            </w:pPr>
            <w:r>
              <w:rPr>
                <w:color w:val="000000"/>
                <w:sz w:val="20"/>
                <w:szCs w:val="20"/>
              </w:rPr>
              <w:t>0.000</w:t>
            </w:r>
          </w:p>
        </w:tc>
      </w:tr>
      <w:tr w:rsidR="00DA2010" w14:paraId="31448097" w14:textId="77777777" w:rsidTr="00E221DF">
        <w:trPr>
          <w:trHeight w:val="340"/>
        </w:trPr>
        <w:tc>
          <w:tcPr>
            <w:tcW w:w="1176" w:type="dxa"/>
            <w:tcBorders>
              <w:top w:val="nil"/>
              <w:left w:val="nil"/>
              <w:bottom w:val="nil"/>
              <w:right w:val="nil"/>
            </w:tcBorders>
            <w:shd w:val="clear" w:color="auto" w:fill="auto"/>
            <w:noWrap/>
            <w:vAlign w:val="bottom"/>
            <w:hideMark/>
          </w:tcPr>
          <w:p w14:paraId="33C0E121"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9896F48" w14:textId="77777777" w:rsidR="00DA2010" w:rsidRDefault="00DA2010" w:rsidP="00DA201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87ECAC9" w14:textId="5E4238C2" w:rsidR="00DA2010" w:rsidRDefault="00DA2010" w:rsidP="00DA201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336729D" w14:textId="5F24CF6F" w:rsidR="00DA2010" w:rsidRDefault="00DA2010" w:rsidP="00DA2010">
            <w:pPr>
              <w:jc w:val="right"/>
              <w:rPr>
                <w:color w:val="000000"/>
                <w:sz w:val="20"/>
                <w:szCs w:val="20"/>
              </w:rPr>
            </w:pPr>
            <w:r>
              <w:rPr>
                <w:color w:val="000000"/>
                <w:sz w:val="20"/>
                <w:szCs w:val="20"/>
              </w:rPr>
              <w:t>0.734</w:t>
            </w:r>
          </w:p>
        </w:tc>
        <w:tc>
          <w:tcPr>
            <w:tcW w:w="768" w:type="dxa"/>
            <w:tcBorders>
              <w:top w:val="nil"/>
              <w:left w:val="nil"/>
              <w:bottom w:val="nil"/>
              <w:right w:val="nil"/>
            </w:tcBorders>
            <w:shd w:val="clear" w:color="auto" w:fill="auto"/>
            <w:noWrap/>
            <w:vAlign w:val="bottom"/>
            <w:hideMark/>
          </w:tcPr>
          <w:p w14:paraId="4AD7B299" w14:textId="285D7F40"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EB6EF3" w14:textId="3B29E194" w:rsidR="00DA2010" w:rsidRDefault="00DA2010" w:rsidP="00DA201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60C322D" w14:textId="66B2ADD1" w:rsidR="00DA2010" w:rsidRDefault="00DA2010" w:rsidP="00DA2010">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6CEDB047" w14:textId="2A60A4EF"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907C04" w14:textId="2CE5B562" w:rsidR="00DA2010" w:rsidRDefault="00DA2010" w:rsidP="00DA201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2F298C5" w14:textId="6B962C8D" w:rsidR="00DA2010" w:rsidRDefault="00DA2010" w:rsidP="00DA2010">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6FDB8605" w14:textId="2DEE2879"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B16075" w14:textId="4903487D"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CE3F0C" w14:textId="1F90F918" w:rsidR="00DA2010" w:rsidRDefault="00DA2010" w:rsidP="00DA2010">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41558155" w14:textId="750714C7"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4F68C8" w14:textId="5D38575D" w:rsidR="00DA2010" w:rsidRDefault="00DA2010" w:rsidP="00DA2010">
            <w:pPr>
              <w:jc w:val="right"/>
              <w:rPr>
                <w:color w:val="000000"/>
                <w:sz w:val="20"/>
                <w:szCs w:val="20"/>
              </w:rPr>
            </w:pPr>
            <w:r>
              <w:rPr>
                <w:color w:val="000000"/>
                <w:sz w:val="20"/>
                <w:szCs w:val="20"/>
              </w:rPr>
              <w:t>0.094</w:t>
            </w:r>
          </w:p>
        </w:tc>
        <w:tc>
          <w:tcPr>
            <w:tcW w:w="768" w:type="dxa"/>
            <w:tcBorders>
              <w:top w:val="nil"/>
              <w:left w:val="nil"/>
              <w:bottom w:val="nil"/>
              <w:right w:val="nil"/>
            </w:tcBorders>
            <w:shd w:val="clear" w:color="auto" w:fill="auto"/>
            <w:noWrap/>
            <w:vAlign w:val="bottom"/>
            <w:hideMark/>
          </w:tcPr>
          <w:p w14:paraId="69737E65" w14:textId="246E8EC9" w:rsidR="00DA2010" w:rsidRDefault="00DA2010" w:rsidP="00DA2010">
            <w:pPr>
              <w:jc w:val="right"/>
              <w:rPr>
                <w:color w:val="000000"/>
                <w:sz w:val="20"/>
                <w:szCs w:val="20"/>
              </w:rPr>
            </w:pPr>
            <w:r>
              <w:rPr>
                <w:color w:val="000000"/>
                <w:sz w:val="20"/>
                <w:szCs w:val="20"/>
              </w:rPr>
              <w:t>0.312</w:t>
            </w:r>
          </w:p>
        </w:tc>
        <w:tc>
          <w:tcPr>
            <w:tcW w:w="768" w:type="dxa"/>
            <w:tcBorders>
              <w:top w:val="nil"/>
              <w:left w:val="nil"/>
              <w:bottom w:val="nil"/>
              <w:right w:val="nil"/>
            </w:tcBorders>
            <w:shd w:val="clear" w:color="auto" w:fill="auto"/>
            <w:noWrap/>
            <w:vAlign w:val="bottom"/>
            <w:hideMark/>
          </w:tcPr>
          <w:p w14:paraId="0EC4DC4F" w14:textId="0212EF94" w:rsidR="00DA2010" w:rsidRDefault="00DA2010" w:rsidP="00DA2010">
            <w:pPr>
              <w:jc w:val="right"/>
              <w:rPr>
                <w:color w:val="000000"/>
                <w:sz w:val="20"/>
                <w:szCs w:val="20"/>
              </w:rPr>
            </w:pPr>
            <w:r>
              <w:rPr>
                <w:color w:val="000000"/>
                <w:sz w:val="20"/>
                <w:szCs w:val="20"/>
              </w:rPr>
              <w:t>0.009</w:t>
            </w:r>
          </w:p>
        </w:tc>
      </w:tr>
      <w:tr w:rsidR="00DA2010" w14:paraId="65DE42A1" w14:textId="77777777" w:rsidTr="00E221DF">
        <w:trPr>
          <w:trHeight w:val="320"/>
        </w:trPr>
        <w:tc>
          <w:tcPr>
            <w:tcW w:w="1176" w:type="dxa"/>
            <w:tcBorders>
              <w:top w:val="nil"/>
              <w:left w:val="nil"/>
              <w:bottom w:val="nil"/>
              <w:right w:val="nil"/>
            </w:tcBorders>
            <w:shd w:val="clear" w:color="auto" w:fill="auto"/>
            <w:noWrap/>
            <w:vAlign w:val="bottom"/>
            <w:hideMark/>
          </w:tcPr>
          <w:p w14:paraId="2C05FC0B"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CA30E01" w14:textId="77777777" w:rsidR="00DA2010" w:rsidRDefault="00DA2010" w:rsidP="00DA201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65D3EAB" w14:textId="0F8FAAAD" w:rsidR="00DA2010" w:rsidRDefault="00DA2010" w:rsidP="00DA2010">
            <w:pPr>
              <w:jc w:val="right"/>
              <w:rPr>
                <w:b/>
                <w:bCs/>
                <w:color w:val="000000"/>
                <w:sz w:val="20"/>
                <w:szCs w:val="20"/>
              </w:rPr>
            </w:pPr>
            <w:r>
              <w:rPr>
                <w:b/>
                <w:bCs/>
                <w:color w:val="000000"/>
                <w:sz w:val="20"/>
                <w:szCs w:val="20"/>
              </w:rPr>
              <w:t>0.281</w:t>
            </w:r>
          </w:p>
        </w:tc>
        <w:tc>
          <w:tcPr>
            <w:tcW w:w="768" w:type="dxa"/>
            <w:tcBorders>
              <w:top w:val="nil"/>
              <w:left w:val="nil"/>
              <w:bottom w:val="nil"/>
              <w:right w:val="nil"/>
            </w:tcBorders>
            <w:shd w:val="clear" w:color="auto" w:fill="auto"/>
            <w:noWrap/>
            <w:vAlign w:val="bottom"/>
            <w:hideMark/>
          </w:tcPr>
          <w:p w14:paraId="1239D4CE" w14:textId="53D948AF" w:rsidR="00DA2010" w:rsidRDefault="00DA2010" w:rsidP="00DA2010">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FA59C88" w14:textId="3D665D3B" w:rsidR="00DA2010" w:rsidRPr="00DA2010" w:rsidRDefault="00DA2010" w:rsidP="00DA2010">
            <w:pPr>
              <w:jc w:val="right"/>
              <w:rPr>
                <w:b/>
                <w:bCs/>
                <w:color w:val="000000"/>
                <w:sz w:val="20"/>
                <w:szCs w:val="20"/>
              </w:rPr>
            </w:pPr>
            <w:r w:rsidRPr="00DA2010">
              <w:rPr>
                <w:b/>
                <w:bCs/>
                <w:color w:val="000000"/>
                <w:sz w:val="20"/>
                <w:szCs w:val="20"/>
              </w:rPr>
              <w:t>0.079</w:t>
            </w:r>
          </w:p>
        </w:tc>
        <w:tc>
          <w:tcPr>
            <w:tcW w:w="768" w:type="dxa"/>
            <w:tcBorders>
              <w:top w:val="nil"/>
              <w:left w:val="nil"/>
              <w:bottom w:val="nil"/>
              <w:right w:val="nil"/>
            </w:tcBorders>
            <w:shd w:val="clear" w:color="auto" w:fill="auto"/>
            <w:noWrap/>
            <w:vAlign w:val="bottom"/>
            <w:hideMark/>
          </w:tcPr>
          <w:p w14:paraId="1F72E201" w14:textId="558B9DFF" w:rsidR="00DA2010" w:rsidRDefault="00DA2010" w:rsidP="00DA2010">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1554F69D" w14:textId="73EED3D5" w:rsidR="00DA2010" w:rsidRDefault="00DA2010" w:rsidP="00DA2010">
            <w:pPr>
              <w:jc w:val="right"/>
              <w:rPr>
                <w:color w:val="000000"/>
                <w:sz w:val="20"/>
                <w:szCs w:val="20"/>
              </w:rPr>
            </w:pPr>
            <w:r>
              <w:rPr>
                <w:color w:val="000000"/>
                <w:sz w:val="20"/>
                <w:szCs w:val="20"/>
              </w:rPr>
              <w:t>0.312</w:t>
            </w:r>
          </w:p>
        </w:tc>
        <w:tc>
          <w:tcPr>
            <w:tcW w:w="768" w:type="dxa"/>
            <w:tcBorders>
              <w:top w:val="nil"/>
              <w:left w:val="nil"/>
              <w:bottom w:val="nil"/>
              <w:right w:val="nil"/>
            </w:tcBorders>
            <w:shd w:val="clear" w:color="auto" w:fill="auto"/>
            <w:noWrap/>
            <w:vAlign w:val="bottom"/>
            <w:hideMark/>
          </w:tcPr>
          <w:p w14:paraId="7785ABFD" w14:textId="6759D5A3" w:rsidR="00DA2010" w:rsidRDefault="00DA2010" w:rsidP="00DA201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E2409A3" w14:textId="66036F31" w:rsidR="00DA2010" w:rsidRDefault="00DA2010" w:rsidP="00DA2010">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27928E74" w14:textId="65FB7B81" w:rsidR="00DA2010" w:rsidRDefault="00DA2010" w:rsidP="00DA2010">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3C6FC29F" w14:textId="3F8D0171" w:rsidR="00DA2010" w:rsidRDefault="00DA2010" w:rsidP="00DA201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68A165E" w14:textId="1C660D0F" w:rsidR="00DA2010" w:rsidRDefault="00DA2010" w:rsidP="00DA2010">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A88EE5D" w14:textId="7F68A793" w:rsidR="00DA2010" w:rsidRDefault="00DA2010" w:rsidP="00DA2010">
            <w:pPr>
              <w:jc w:val="right"/>
              <w:rPr>
                <w:color w:val="000000"/>
                <w:sz w:val="20"/>
                <w:szCs w:val="20"/>
              </w:rPr>
            </w:pPr>
            <w:r>
              <w:rPr>
                <w:color w:val="000000"/>
                <w:sz w:val="20"/>
                <w:szCs w:val="20"/>
              </w:rPr>
              <w:t>0.965</w:t>
            </w:r>
          </w:p>
        </w:tc>
        <w:tc>
          <w:tcPr>
            <w:tcW w:w="768" w:type="dxa"/>
            <w:tcBorders>
              <w:top w:val="nil"/>
              <w:left w:val="nil"/>
              <w:bottom w:val="nil"/>
              <w:right w:val="nil"/>
            </w:tcBorders>
            <w:shd w:val="clear" w:color="auto" w:fill="auto"/>
            <w:noWrap/>
            <w:vAlign w:val="bottom"/>
            <w:hideMark/>
          </w:tcPr>
          <w:p w14:paraId="122D33F0" w14:textId="0F8BB3FD"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2E42F8" w14:textId="673E1DA2" w:rsidR="00DA2010" w:rsidRDefault="00DA2010" w:rsidP="00DA2010">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68CC1A8E" w14:textId="08F93852" w:rsidR="00DA2010" w:rsidRDefault="00DA2010" w:rsidP="00DA2010">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79239A2A" w14:textId="7B701B5A" w:rsidR="00DA2010" w:rsidRDefault="00DA2010" w:rsidP="00DA2010">
            <w:pPr>
              <w:jc w:val="right"/>
              <w:rPr>
                <w:color w:val="000000"/>
                <w:sz w:val="20"/>
                <w:szCs w:val="20"/>
              </w:rPr>
            </w:pPr>
            <w:r>
              <w:rPr>
                <w:color w:val="000000"/>
                <w:sz w:val="20"/>
                <w:szCs w:val="20"/>
              </w:rPr>
              <w:t>0.001</w:t>
            </w:r>
          </w:p>
        </w:tc>
      </w:tr>
      <w:tr w:rsidR="00DA2010" w14:paraId="22C04F4E" w14:textId="77777777" w:rsidTr="00E221DF">
        <w:trPr>
          <w:trHeight w:val="320"/>
        </w:trPr>
        <w:tc>
          <w:tcPr>
            <w:tcW w:w="1176" w:type="dxa"/>
            <w:tcBorders>
              <w:top w:val="nil"/>
              <w:left w:val="nil"/>
              <w:bottom w:val="nil"/>
              <w:right w:val="nil"/>
            </w:tcBorders>
            <w:shd w:val="clear" w:color="auto" w:fill="auto"/>
            <w:noWrap/>
            <w:vAlign w:val="bottom"/>
            <w:hideMark/>
          </w:tcPr>
          <w:p w14:paraId="1AAF009E"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B776FA" w14:textId="77777777" w:rsidR="00DA2010" w:rsidRDefault="00DA2010" w:rsidP="00DA201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75C3CE6" w14:textId="380D7293" w:rsidR="00DA2010" w:rsidRDefault="00DA2010" w:rsidP="00DA2010">
            <w:pPr>
              <w:jc w:val="right"/>
              <w:rPr>
                <w:color w:val="000000"/>
                <w:sz w:val="20"/>
                <w:szCs w:val="20"/>
              </w:rPr>
            </w:pPr>
            <w:r>
              <w:rPr>
                <w:color w:val="000000"/>
                <w:sz w:val="20"/>
                <w:szCs w:val="20"/>
              </w:rPr>
              <w:t>-0.182</w:t>
            </w:r>
          </w:p>
        </w:tc>
        <w:tc>
          <w:tcPr>
            <w:tcW w:w="768" w:type="dxa"/>
            <w:tcBorders>
              <w:top w:val="nil"/>
              <w:left w:val="nil"/>
              <w:bottom w:val="nil"/>
              <w:right w:val="nil"/>
            </w:tcBorders>
            <w:shd w:val="clear" w:color="auto" w:fill="auto"/>
            <w:noWrap/>
            <w:vAlign w:val="bottom"/>
            <w:hideMark/>
          </w:tcPr>
          <w:p w14:paraId="7899027E" w14:textId="2295730D" w:rsidR="00DA2010" w:rsidRDefault="00DA2010" w:rsidP="00DA2010">
            <w:pPr>
              <w:jc w:val="right"/>
              <w:rPr>
                <w:color w:val="000000"/>
                <w:sz w:val="20"/>
                <w:szCs w:val="20"/>
              </w:rPr>
            </w:pPr>
            <w:r>
              <w:rPr>
                <w:color w:val="000000"/>
                <w:sz w:val="20"/>
                <w:szCs w:val="20"/>
              </w:rPr>
              <w:t>0.189</w:t>
            </w:r>
          </w:p>
        </w:tc>
        <w:tc>
          <w:tcPr>
            <w:tcW w:w="768" w:type="dxa"/>
            <w:tcBorders>
              <w:top w:val="nil"/>
              <w:left w:val="nil"/>
              <w:bottom w:val="nil"/>
              <w:right w:val="nil"/>
            </w:tcBorders>
            <w:shd w:val="clear" w:color="auto" w:fill="auto"/>
            <w:noWrap/>
            <w:vAlign w:val="bottom"/>
            <w:hideMark/>
          </w:tcPr>
          <w:p w14:paraId="21018BCB" w14:textId="6790C074" w:rsidR="00DA2010" w:rsidRDefault="00DA2010" w:rsidP="00DA2010">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35CB380" w14:textId="649AECB6" w:rsidR="00DA2010" w:rsidRDefault="00DA2010" w:rsidP="00DA2010">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265F1DA7" w14:textId="60354C8D" w:rsidR="00DA2010" w:rsidRDefault="00DA2010" w:rsidP="00DA2010">
            <w:pPr>
              <w:jc w:val="right"/>
              <w:rPr>
                <w:color w:val="000000"/>
                <w:sz w:val="20"/>
                <w:szCs w:val="20"/>
              </w:rPr>
            </w:pPr>
            <w:r>
              <w:rPr>
                <w:color w:val="000000"/>
                <w:sz w:val="20"/>
                <w:szCs w:val="20"/>
              </w:rPr>
              <w:t>0.621</w:t>
            </w:r>
          </w:p>
        </w:tc>
        <w:tc>
          <w:tcPr>
            <w:tcW w:w="768" w:type="dxa"/>
            <w:tcBorders>
              <w:top w:val="nil"/>
              <w:left w:val="nil"/>
              <w:bottom w:val="nil"/>
              <w:right w:val="nil"/>
            </w:tcBorders>
            <w:shd w:val="clear" w:color="auto" w:fill="auto"/>
            <w:noWrap/>
            <w:vAlign w:val="bottom"/>
            <w:hideMark/>
          </w:tcPr>
          <w:p w14:paraId="2A015594" w14:textId="1CEDE0D3" w:rsidR="00DA2010" w:rsidRDefault="00DA2010" w:rsidP="00DA201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03CD44D" w14:textId="07C0BC85" w:rsidR="00DA2010" w:rsidRDefault="00DA2010" w:rsidP="00DA2010">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08A95708" w14:textId="74084B09" w:rsidR="00DA2010" w:rsidRDefault="00DA2010" w:rsidP="00DA2010">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637C8534" w14:textId="3CC10A7C"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0EF7AE" w14:textId="4C5F7777" w:rsidR="00DA2010" w:rsidRDefault="00DA2010" w:rsidP="00DA2010">
            <w:pPr>
              <w:jc w:val="right"/>
              <w:rPr>
                <w:color w:val="000000"/>
                <w:sz w:val="20"/>
                <w:szCs w:val="20"/>
              </w:rPr>
            </w:pPr>
            <w:r>
              <w:rPr>
                <w:color w:val="000000"/>
                <w:sz w:val="20"/>
                <w:szCs w:val="20"/>
              </w:rPr>
              <w:t>0.205</w:t>
            </w:r>
          </w:p>
        </w:tc>
        <w:tc>
          <w:tcPr>
            <w:tcW w:w="768" w:type="dxa"/>
            <w:tcBorders>
              <w:top w:val="nil"/>
              <w:left w:val="nil"/>
              <w:bottom w:val="nil"/>
              <w:right w:val="nil"/>
            </w:tcBorders>
            <w:shd w:val="clear" w:color="auto" w:fill="auto"/>
            <w:noWrap/>
            <w:vAlign w:val="bottom"/>
            <w:hideMark/>
          </w:tcPr>
          <w:p w14:paraId="4840953E" w14:textId="4031ECDD" w:rsidR="00DA2010" w:rsidRDefault="00DA2010" w:rsidP="00DA2010">
            <w:pPr>
              <w:jc w:val="right"/>
              <w:rPr>
                <w:color w:val="000000"/>
                <w:sz w:val="20"/>
                <w:szCs w:val="20"/>
              </w:rPr>
            </w:pPr>
            <w:r>
              <w:rPr>
                <w:color w:val="000000"/>
                <w:sz w:val="20"/>
                <w:szCs w:val="20"/>
              </w:rPr>
              <w:t>0.228</w:t>
            </w:r>
          </w:p>
        </w:tc>
        <w:tc>
          <w:tcPr>
            <w:tcW w:w="768" w:type="dxa"/>
            <w:tcBorders>
              <w:top w:val="nil"/>
              <w:left w:val="nil"/>
              <w:bottom w:val="nil"/>
              <w:right w:val="nil"/>
            </w:tcBorders>
            <w:shd w:val="clear" w:color="auto" w:fill="auto"/>
            <w:noWrap/>
            <w:vAlign w:val="bottom"/>
            <w:hideMark/>
          </w:tcPr>
          <w:p w14:paraId="70AA4CDA" w14:textId="23A145B2" w:rsidR="00DA2010" w:rsidRDefault="00DA2010" w:rsidP="00DA2010">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50534586" w14:textId="58DF1954" w:rsidR="00DA2010" w:rsidRDefault="00DA2010" w:rsidP="00DA2010">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259F091D" w14:textId="61F3138D" w:rsidR="00DA2010" w:rsidRDefault="00DA2010" w:rsidP="00DA2010">
            <w:pPr>
              <w:jc w:val="right"/>
              <w:rPr>
                <w:color w:val="000000"/>
                <w:sz w:val="20"/>
                <w:szCs w:val="20"/>
              </w:rPr>
            </w:pPr>
            <w:r>
              <w:rPr>
                <w:color w:val="000000"/>
                <w:sz w:val="20"/>
                <w:szCs w:val="20"/>
              </w:rPr>
              <w:t>0.918</w:t>
            </w:r>
          </w:p>
        </w:tc>
        <w:tc>
          <w:tcPr>
            <w:tcW w:w="768" w:type="dxa"/>
            <w:tcBorders>
              <w:top w:val="nil"/>
              <w:left w:val="nil"/>
              <w:bottom w:val="nil"/>
              <w:right w:val="nil"/>
            </w:tcBorders>
            <w:shd w:val="clear" w:color="auto" w:fill="auto"/>
            <w:noWrap/>
            <w:vAlign w:val="bottom"/>
            <w:hideMark/>
          </w:tcPr>
          <w:p w14:paraId="612D526F" w14:textId="0D50940F" w:rsidR="00DA2010" w:rsidRDefault="00DA2010" w:rsidP="00DA2010">
            <w:pPr>
              <w:jc w:val="right"/>
              <w:rPr>
                <w:color w:val="000000"/>
                <w:sz w:val="20"/>
                <w:szCs w:val="20"/>
              </w:rPr>
            </w:pPr>
            <w:r>
              <w:rPr>
                <w:color w:val="000000"/>
                <w:sz w:val="20"/>
                <w:szCs w:val="20"/>
              </w:rPr>
              <w:t>0.006</w:t>
            </w:r>
          </w:p>
        </w:tc>
      </w:tr>
      <w:tr w:rsidR="00DA2010" w14:paraId="1902B536" w14:textId="77777777" w:rsidTr="00E221DF">
        <w:trPr>
          <w:trHeight w:val="320"/>
        </w:trPr>
        <w:tc>
          <w:tcPr>
            <w:tcW w:w="1176" w:type="dxa"/>
            <w:tcBorders>
              <w:top w:val="nil"/>
              <w:left w:val="nil"/>
              <w:bottom w:val="nil"/>
              <w:right w:val="nil"/>
            </w:tcBorders>
            <w:shd w:val="clear" w:color="auto" w:fill="auto"/>
            <w:noWrap/>
            <w:vAlign w:val="bottom"/>
            <w:hideMark/>
          </w:tcPr>
          <w:p w14:paraId="46AF3B27"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7D1C83" w14:textId="77777777" w:rsidR="00DA2010" w:rsidRDefault="00DA2010" w:rsidP="00DA201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9BBA329" w14:textId="03CDA263" w:rsidR="00DA2010" w:rsidRDefault="00DA2010" w:rsidP="00DA2010">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4E6F2001" w14:textId="363D8F51" w:rsidR="00DA2010" w:rsidRDefault="00DA2010" w:rsidP="00DA2010">
            <w:pPr>
              <w:jc w:val="right"/>
              <w:rPr>
                <w:color w:val="000000"/>
                <w:sz w:val="20"/>
                <w:szCs w:val="20"/>
              </w:rPr>
            </w:pPr>
            <w:r>
              <w:rPr>
                <w:color w:val="000000"/>
                <w:sz w:val="20"/>
                <w:szCs w:val="20"/>
              </w:rPr>
              <w:t>0.251</w:t>
            </w:r>
          </w:p>
        </w:tc>
        <w:tc>
          <w:tcPr>
            <w:tcW w:w="768" w:type="dxa"/>
            <w:tcBorders>
              <w:top w:val="nil"/>
              <w:left w:val="nil"/>
              <w:bottom w:val="nil"/>
              <w:right w:val="nil"/>
            </w:tcBorders>
            <w:shd w:val="clear" w:color="auto" w:fill="auto"/>
            <w:noWrap/>
            <w:vAlign w:val="bottom"/>
            <w:hideMark/>
          </w:tcPr>
          <w:p w14:paraId="182BA47A" w14:textId="62A9E8FD" w:rsidR="00DA2010" w:rsidRDefault="00DA2010" w:rsidP="00DA201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D519530" w14:textId="07B3F9F9"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D54D79" w14:textId="1CFC62F6" w:rsidR="00DA2010" w:rsidRDefault="00DA2010" w:rsidP="00DA2010">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1B09D82D" w14:textId="0E95552D"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B6F92F" w14:textId="7195FF3C" w:rsidR="00DA2010" w:rsidRDefault="00DA2010" w:rsidP="00DA201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D825ACF" w14:textId="632DCA17" w:rsidR="00DA2010" w:rsidRDefault="00DA2010" w:rsidP="00DA2010">
            <w:pPr>
              <w:jc w:val="right"/>
              <w:rPr>
                <w:color w:val="000000"/>
                <w:sz w:val="20"/>
                <w:szCs w:val="20"/>
              </w:rPr>
            </w:pPr>
            <w:r>
              <w:rPr>
                <w:color w:val="000000"/>
                <w:sz w:val="20"/>
                <w:szCs w:val="20"/>
              </w:rPr>
              <w:t>0.810</w:t>
            </w:r>
          </w:p>
        </w:tc>
        <w:tc>
          <w:tcPr>
            <w:tcW w:w="768" w:type="dxa"/>
            <w:tcBorders>
              <w:top w:val="nil"/>
              <w:left w:val="nil"/>
              <w:bottom w:val="nil"/>
              <w:right w:val="nil"/>
            </w:tcBorders>
            <w:shd w:val="clear" w:color="auto" w:fill="auto"/>
            <w:noWrap/>
            <w:vAlign w:val="bottom"/>
            <w:hideMark/>
          </w:tcPr>
          <w:p w14:paraId="0CE2B622" w14:textId="401B11CA"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71DE70" w14:textId="621B21E0" w:rsidR="00DA2010" w:rsidRDefault="00DA2010" w:rsidP="00DA2010">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5B6F4F58" w14:textId="0E32C400" w:rsidR="00DA2010" w:rsidRDefault="00DA2010" w:rsidP="00DA2010">
            <w:pPr>
              <w:jc w:val="right"/>
              <w:rPr>
                <w:color w:val="000000"/>
                <w:sz w:val="20"/>
                <w:szCs w:val="20"/>
              </w:rPr>
            </w:pPr>
            <w:r>
              <w:rPr>
                <w:color w:val="000000"/>
                <w:sz w:val="20"/>
                <w:szCs w:val="20"/>
              </w:rPr>
              <w:t>0.228</w:t>
            </w:r>
          </w:p>
        </w:tc>
        <w:tc>
          <w:tcPr>
            <w:tcW w:w="768" w:type="dxa"/>
            <w:tcBorders>
              <w:top w:val="nil"/>
              <w:left w:val="nil"/>
              <w:bottom w:val="nil"/>
              <w:right w:val="nil"/>
            </w:tcBorders>
            <w:shd w:val="clear" w:color="auto" w:fill="auto"/>
            <w:noWrap/>
            <w:vAlign w:val="bottom"/>
            <w:hideMark/>
          </w:tcPr>
          <w:p w14:paraId="5843C918" w14:textId="2BE9DB7F" w:rsidR="00DA2010" w:rsidRDefault="00DA2010" w:rsidP="00DA201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B868DAA" w14:textId="35A18DB4"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F57479" w14:textId="738B5F3A" w:rsidR="00DA2010" w:rsidRDefault="00DA2010" w:rsidP="00DA2010">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6A8204E5" w14:textId="270347DF" w:rsidR="00DA2010" w:rsidRDefault="00DA2010" w:rsidP="00DA2010">
            <w:pPr>
              <w:jc w:val="right"/>
              <w:rPr>
                <w:color w:val="000000"/>
                <w:sz w:val="20"/>
                <w:szCs w:val="20"/>
              </w:rPr>
            </w:pPr>
            <w:r>
              <w:rPr>
                <w:color w:val="000000"/>
                <w:sz w:val="20"/>
                <w:szCs w:val="20"/>
              </w:rPr>
              <w:t>0.000</w:t>
            </w:r>
          </w:p>
        </w:tc>
      </w:tr>
      <w:tr w:rsidR="00DA2010" w14:paraId="5DAF64FF" w14:textId="77777777" w:rsidTr="00E221DF">
        <w:trPr>
          <w:trHeight w:val="320"/>
        </w:trPr>
        <w:tc>
          <w:tcPr>
            <w:tcW w:w="1176" w:type="dxa"/>
            <w:tcBorders>
              <w:top w:val="nil"/>
              <w:left w:val="nil"/>
              <w:bottom w:val="nil"/>
              <w:right w:val="nil"/>
            </w:tcBorders>
            <w:shd w:val="clear" w:color="auto" w:fill="auto"/>
            <w:noWrap/>
            <w:vAlign w:val="bottom"/>
            <w:hideMark/>
          </w:tcPr>
          <w:p w14:paraId="17EEA14D"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8AEC1CB" w14:textId="77777777" w:rsidR="00DA2010" w:rsidRDefault="00DA2010" w:rsidP="00DA201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34D52C7" w14:textId="5B603A6A" w:rsidR="00DA2010" w:rsidRDefault="00DA2010" w:rsidP="00DA2010">
            <w:pPr>
              <w:jc w:val="right"/>
              <w:rPr>
                <w:b/>
                <w:bCs/>
                <w:color w:val="000000"/>
                <w:sz w:val="20"/>
                <w:szCs w:val="20"/>
              </w:rPr>
            </w:pPr>
            <w:r>
              <w:rPr>
                <w:b/>
                <w:bCs/>
                <w:color w:val="000000"/>
                <w:sz w:val="20"/>
                <w:szCs w:val="20"/>
              </w:rPr>
              <w:t>0.095</w:t>
            </w:r>
          </w:p>
        </w:tc>
        <w:tc>
          <w:tcPr>
            <w:tcW w:w="768" w:type="dxa"/>
            <w:tcBorders>
              <w:top w:val="nil"/>
              <w:left w:val="nil"/>
              <w:bottom w:val="nil"/>
              <w:right w:val="nil"/>
            </w:tcBorders>
            <w:shd w:val="clear" w:color="auto" w:fill="auto"/>
            <w:noWrap/>
            <w:vAlign w:val="bottom"/>
            <w:hideMark/>
          </w:tcPr>
          <w:p w14:paraId="686D6173" w14:textId="49B7C826" w:rsidR="00DA2010" w:rsidRDefault="00DA2010" w:rsidP="00DA2010">
            <w:pPr>
              <w:jc w:val="right"/>
              <w:rPr>
                <w:b/>
                <w:bCs/>
                <w:color w:val="000000"/>
                <w:sz w:val="20"/>
                <w:szCs w:val="20"/>
              </w:rPr>
            </w:pPr>
            <w:r>
              <w:rPr>
                <w:b/>
                <w:bCs/>
                <w:color w:val="000000"/>
                <w:sz w:val="20"/>
                <w:szCs w:val="20"/>
              </w:rPr>
              <w:t>0.020</w:t>
            </w:r>
          </w:p>
        </w:tc>
        <w:tc>
          <w:tcPr>
            <w:tcW w:w="768" w:type="dxa"/>
            <w:tcBorders>
              <w:top w:val="nil"/>
              <w:left w:val="nil"/>
              <w:bottom w:val="nil"/>
              <w:right w:val="nil"/>
            </w:tcBorders>
            <w:shd w:val="clear" w:color="auto" w:fill="auto"/>
            <w:noWrap/>
            <w:vAlign w:val="bottom"/>
            <w:hideMark/>
          </w:tcPr>
          <w:p w14:paraId="47406BB8" w14:textId="7883BD9A" w:rsidR="00DA2010" w:rsidRPr="00DA2010" w:rsidRDefault="00DA2010" w:rsidP="00DA2010">
            <w:pPr>
              <w:jc w:val="right"/>
              <w:rPr>
                <w:b/>
                <w:bCs/>
                <w:color w:val="000000"/>
                <w:sz w:val="20"/>
                <w:szCs w:val="20"/>
              </w:rPr>
            </w:pPr>
            <w:r w:rsidRPr="00DA2010">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0D713DC0" w14:textId="37CD8497" w:rsidR="00DA2010" w:rsidRDefault="00DA2010" w:rsidP="00DA201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C5AA24D" w14:textId="3EBB9995" w:rsidR="00DA2010" w:rsidRDefault="00DA2010" w:rsidP="00DA2010">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4C113C9D" w14:textId="177A3AAF"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4F284E" w14:textId="3191E2BD" w:rsidR="00DA2010" w:rsidRDefault="00DA2010" w:rsidP="00DA201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13CA06F0" w14:textId="53B3A627" w:rsidR="00DA2010" w:rsidRDefault="00DA2010" w:rsidP="00DA2010">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4878ED6B" w14:textId="6CC208AB"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38FF9B" w14:textId="4FCB6DC7" w:rsidR="00DA2010" w:rsidRDefault="00DA2010" w:rsidP="00DA201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FB2C010" w14:textId="7A90A0E5" w:rsidR="00DA2010" w:rsidRDefault="00DA2010" w:rsidP="00DA2010">
            <w:pPr>
              <w:jc w:val="right"/>
              <w:rPr>
                <w:color w:val="000000"/>
                <w:sz w:val="20"/>
                <w:szCs w:val="20"/>
              </w:rPr>
            </w:pPr>
            <w:r>
              <w:rPr>
                <w:color w:val="000000"/>
                <w:sz w:val="20"/>
                <w:szCs w:val="20"/>
              </w:rPr>
              <w:t>0.965</w:t>
            </w:r>
          </w:p>
        </w:tc>
        <w:tc>
          <w:tcPr>
            <w:tcW w:w="768" w:type="dxa"/>
            <w:tcBorders>
              <w:top w:val="nil"/>
              <w:left w:val="nil"/>
              <w:bottom w:val="nil"/>
              <w:right w:val="nil"/>
            </w:tcBorders>
            <w:shd w:val="clear" w:color="auto" w:fill="auto"/>
            <w:noWrap/>
            <w:vAlign w:val="bottom"/>
            <w:hideMark/>
          </w:tcPr>
          <w:p w14:paraId="477F0F16" w14:textId="64A96E4C"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72A0B2" w14:textId="3EC72279" w:rsidR="00DA2010" w:rsidRDefault="00DA2010" w:rsidP="00DA201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88BC778" w14:textId="3B75A108" w:rsidR="00DA2010" w:rsidRDefault="00DA2010" w:rsidP="00DA2010">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25703BB5" w14:textId="2A8C3E56" w:rsidR="00DA2010" w:rsidRDefault="00DA2010" w:rsidP="00DA2010">
            <w:pPr>
              <w:jc w:val="right"/>
              <w:rPr>
                <w:color w:val="000000"/>
                <w:sz w:val="20"/>
                <w:szCs w:val="20"/>
              </w:rPr>
            </w:pPr>
            <w:r>
              <w:rPr>
                <w:color w:val="000000"/>
                <w:sz w:val="20"/>
                <w:szCs w:val="20"/>
              </w:rPr>
              <w:t>0.000</w:t>
            </w:r>
          </w:p>
        </w:tc>
      </w:tr>
      <w:tr w:rsidR="00DA2010" w14:paraId="3A0FE362" w14:textId="77777777" w:rsidTr="00E221DF">
        <w:trPr>
          <w:trHeight w:val="320"/>
        </w:trPr>
        <w:tc>
          <w:tcPr>
            <w:tcW w:w="1176" w:type="dxa"/>
            <w:tcBorders>
              <w:top w:val="nil"/>
              <w:left w:val="nil"/>
              <w:bottom w:val="nil"/>
              <w:right w:val="nil"/>
            </w:tcBorders>
            <w:shd w:val="clear" w:color="auto" w:fill="auto"/>
            <w:noWrap/>
            <w:vAlign w:val="bottom"/>
            <w:hideMark/>
          </w:tcPr>
          <w:p w14:paraId="2CC2671A"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8FA0977" w14:textId="77777777" w:rsidR="00DA2010" w:rsidRDefault="00DA2010" w:rsidP="00DA201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B49FCD5" w14:textId="7891175A" w:rsidR="00DA2010" w:rsidRDefault="00DA2010" w:rsidP="00DA2010">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10757915" w14:textId="504804E4" w:rsidR="00DA2010" w:rsidRDefault="00DA2010" w:rsidP="00DA2010">
            <w:pPr>
              <w:jc w:val="right"/>
              <w:rPr>
                <w:color w:val="000000"/>
                <w:sz w:val="20"/>
                <w:szCs w:val="20"/>
              </w:rPr>
            </w:pPr>
            <w:r>
              <w:rPr>
                <w:color w:val="000000"/>
                <w:sz w:val="20"/>
                <w:szCs w:val="20"/>
              </w:rPr>
              <w:t>0.251</w:t>
            </w:r>
          </w:p>
        </w:tc>
        <w:tc>
          <w:tcPr>
            <w:tcW w:w="768" w:type="dxa"/>
            <w:tcBorders>
              <w:top w:val="nil"/>
              <w:left w:val="nil"/>
              <w:bottom w:val="nil"/>
              <w:right w:val="nil"/>
            </w:tcBorders>
            <w:shd w:val="clear" w:color="auto" w:fill="auto"/>
            <w:noWrap/>
            <w:vAlign w:val="bottom"/>
            <w:hideMark/>
          </w:tcPr>
          <w:p w14:paraId="05B2DE4B" w14:textId="26B679C2"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A06978C" w14:textId="1412C7D4" w:rsidR="00DA2010" w:rsidRDefault="00DA2010" w:rsidP="00DA2010">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29F0A775" w14:textId="2CF4481E" w:rsidR="00DA2010" w:rsidRDefault="00DA2010" w:rsidP="00DA2010">
            <w:pPr>
              <w:jc w:val="right"/>
              <w:rPr>
                <w:color w:val="000000"/>
                <w:sz w:val="20"/>
                <w:szCs w:val="20"/>
              </w:rPr>
            </w:pPr>
            <w:r>
              <w:rPr>
                <w:color w:val="000000"/>
                <w:sz w:val="20"/>
                <w:szCs w:val="20"/>
              </w:rPr>
              <w:t>0.621</w:t>
            </w:r>
          </w:p>
        </w:tc>
        <w:tc>
          <w:tcPr>
            <w:tcW w:w="768" w:type="dxa"/>
            <w:tcBorders>
              <w:top w:val="nil"/>
              <w:left w:val="nil"/>
              <w:bottom w:val="nil"/>
              <w:right w:val="nil"/>
            </w:tcBorders>
            <w:shd w:val="clear" w:color="auto" w:fill="auto"/>
            <w:noWrap/>
            <w:vAlign w:val="bottom"/>
            <w:hideMark/>
          </w:tcPr>
          <w:p w14:paraId="105505EE" w14:textId="60CB20B6"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8D12772" w14:textId="435E2CF8" w:rsidR="00DA2010" w:rsidRDefault="00DA2010" w:rsidP="00DA2010">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7AE30BCA" w14:textId="2896415C" w:rsidR="00DA2010" w:rsidRDefault="00DA2010" w:rsidP="00DA2010">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73483A3E" w14:textId="3056F9C2" w:rsidR="00DA2010" w:rsidRDefault="00DA2010" w:rsidP="00DA201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4EF5216" w14:textId="21B9C646" w:rsidR="00DA2010" w:rsidRDefault="00DA2010" w:rsidP="00DA201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C2CEFAE" w14:textId="44108A8D" w:rsidR="00DA2010" w:rsidRDefault="00DA2010" w:rsidP="00DA2010">
            <w:pPr>
              <w:jc w:val="right"/>
              <w:rPr>
                <w:color w:val="000000"/>
                <w:sz w:val="20"/>
                <w:szCs w:val="20"/>
              </w:rPr>
            </w:pPr>
            <w:r>
              <w:rPr>
                <w:color w:val="000000"/>
                <w:sz w:val="20"/>
                <w:szCs w:val="20"/>
              </w:rPr>
              <w:t>0.965</w:t>
            </w:r>
          </w:p>
        </w:tc>
        <w:tc>
          <w:tcPr>
            <w:tcW w:w="768" w:type="dxa"/>
            <w:tcBorders>
              <w:top w:val="nil"/>
              <w:left w:val="nil"/>
              <w:bottom w:val="nil"/>
              <w:right w:val="nil"/>
            </w:tcBorders>
            <w:shd w:val="clear" w:color="auto" w:fill="auto"/>
            <w:noWrap/>
            <w:vAlign w:val="bottom"/>
            <w:hideMark/>
          </w:tcPr>
          <w:p w14:paraId="42F3D04F" w14:textId="1E42C397"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8B4855" w14:textId="420AC80C" w:rsidR="00DA2010" w:rsidRPr="00D90BEF" w:rsidRDefault="00DA2010" w:rsidP="00DA2010">
            <w:pPr>
              <w:jc w:val="right"/>
              <w:rPr>
                <w:b/>
                <w:bCs/>
                <w:color w:val="000000"/>
                <w:sz w:val="20"/>
                <w:szCs w:val="20"/>
              </w:rPr>
            </w:pPr>
            <w:r w:rsidRPr="00D90BEF">
              <w:rPr>
                <w:b/>
                <w:bCs/>
                <w:color w:val="000000"/>
                <w:sz w:val="20"/>
                <w:szCs w:val="20"/>
              </w:rPr>
              <w:t>-0.114</w:t>
            </w:r>
          </w:p>
        </w:tc>
        <w:tc>
          <w:tcPr>
            <w:tcW w:w="768" w:type="dxa"/>
            <w:tcBorders>
              <w:top w:val="nil"/>
              <w:left w:val="nil"/>
              <w:bottom w:val="nil"/>
              <w:right w:val="nil"/>
            </w:tcBorders>
            <w:shd w:val="clear" w:color="auto" w:fill="auto"/>
            <w:noWrap/>
            <w:vAlign w:val="bottom"/>
            <w:hideMark/>
          </w:tcPr>
          <w:p w14:paraId="6062B25A" w14:textId="23386E11" w:rsidR="00DA2010" w:rsidRPr="00D90BEF" w:rsidRDefault="00DA2010" w:rsidP="00DA2010">
            <w:pPr>
              <w:jc w:val="right"/>
              <w:rPr>
                <w:b/>
                <w:bCs/>
                <w:color w:val="000000"/>
                <w:sz w:val="20"/>
                <w:szCs w:val="20"/>
              </w:rPr>
            </w:pPr>
            <w:r w:rsidRPr="00D90BEF">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45611FDB" w14:textId="1A034600" w:rsidR="00DA2010" w:rsidRPr="00D90BEF" w:rsidRDefault="00DA2010" w:rsidP="00DA2010">
            <w:pPr>
              <w:jc w:val="right"/>
              <w:rPr>
                <w:b/>
                <w:bCs/>
                <w:color w:val="000000"/>
                <w:sz w:val="20"/>
                <w:szCs w:val="20"/>
              </w:rPr>
            </w:pPr>
            <w:r w:rsidRPr="00D90BEF">
              <w:rPr>
                <w:b/>
                <w:bCs/>
                <w:color w:val="000000"/>
                <w:sz w:val="20"/>
                <w:szCs w:val="20"/>
              </w:rPr>
              <w:t>0.013</w:t>
            </w:r>
          </w:p>
        </w:tc>
      </w:tr>
      <w:tr w:rsidR="00DA2010" w14:paraId="56BE55DC" w14:textId="77777777" w:rsidTr="00E221DF">
        <w:trPr>
          <w:trHeight w:val="320"/>
        </w:trPr>
        <w:tc>
          <w:tcPr>
            <w:tcW w:w="1176" w:type="dxa"/>
            <w:tcBorders>
              <w:top w:val="nil"/>
              <w:left w:val="nil"/>
              <w:bottom w:val="single" w:sz="4" w:space="0" w:color="auto"/>
              <w:right w:val="nil"/>
            </w:tcBorders>
            <w:shd w:val="clear" w:color="auto" w:fill="auto"/>
            <w:noWrap/>
            <w:vAlign w:val="bottom"/>
            <w:hideMark/>
          </w:tcPr>
          <w:p w14:paraId="0E9303BE" w14:textId="77777777" w:rsidR="00DA2010" w:rsidRDefault="00DA2010" w:rsidP="00DA201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9033B08" w14:textId="77777777" w:rsidR="00DA2010" w:rsidRDefault="00DA2010" w:rsidP="00DA201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BFC85C9" w14:textId="6485205C" w:rsidR="00DA2010" w:rsidRDefault="00DA2010" w:rsidP="00DA2010">
            <w:pPr>
              <w:jc w:val="right"/>
              <w:rPr>
                <w:color w:val="000000"/>
                <w:sz w:val="20"/>
                <w:szCs w:val="20"/>
              </w:rPr>
            </w:pPr>
            <w:r>
              <w:rPr>
                <w:color w:val="000000"/>
                <w:sz w:val="20"/>
                <w:szCs w:val="20"/>
              </w:rPr>
              <w:t>0.075</w:t>
            </w:r>
          </w:p>
        </w:tc>
        <w:tc>
          <w:tcPr>
            <w:tcW w:w="768" w:type="dxa"/>
            <w:tcBorders>
              <w:top w:val="nil"/>
              <w:left w:val="nil"/>
              <w:bottom w:val="single" w:sz="4" w:space="0" w:color="auto"/>
              <w:right w:val="nil"/>
            </w:tcBorders>
            <w:shd w:val="clear" w:color="auto" w:fill="auto"/>
            <w:noWrap/>
            <w:vAlign w:val="bottom"/>
            <w:hideMark/>
          </w:tcPr>
          <w:p w14:paraId="31A54EBB" w14:textId="7E330677" w:rsidR="00DA2010" w:rsidRDefault="00DA2010" w:rsidP="00DA2010">
            <w:pPr>
              <w:jc w:val="right"/>
              <w:rPr>
                <w:color w:val="000000"/>
                <w:sz w:val="20"/>
                <w:szCs w:val="20"/>
              </w:rPr>
            </w:pPr>
            <w:r>
              <w:rPr>
                <w:color w:val="000000"/>
                <w:sz w:val="20"/>
                <w:szCs w:val="20"/>
              </w:rPr>
              <w:t>0.251</w:t>
            </w:r>
          </w:p>
        </w:tc>
        <w:tc>
          <w:tcPr>
            <w:tcW w:w="768" w:type="dxa"/>
            <w:tcBorders>
              <w:top w:val="nil"/>
              <w:left w:val="nil"/>
              <w:bottom w:val="single" w:sz="4" w:space="0" w:color="auto"/>
              <w:right w:val="nil"/>
            </w:tcBorders>
            <w:shd w:val="clear" w:color="auto" w:fill="auto"/>
            <w:noWrap/>
            <w:vAlign w:val="bottom"/>
            <w:hideMark/>
          </w:tcPr>
          <w:p w14:paraId="2DCA2630" w14:textId="41F147BA" w:rsidR="00DA2010" w:rsidRDefault="00DA2010" w:rsidP="00DA2010">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3F27D980" w14:textId="65C09BBC" w:rsidR="00DA2010" w:rsidRDefault="00DA2010" w:rsidP="00DA2010">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76CFEA13" w14:textId="50EC932E" w:rsidR="00DA2010" w:rsidRDefault="00DA2010" w:rsidP="00DA2010">
            <w:pPr>
              <w:jc w:val="right"/>
              <w:rPr>
                <w:color w:val="000000"/>
                <w:sz w:val="20"/>
                <w:szCs w:val="20"/>
              </w:rPr>
            </w:pPr>
            <w:r>
              <w:rPr>
                <w:color w:val="000000"/>
                <w:sz w:val="20"/>
                <w:szCs w:val="20"/>
              </w:rPr>
              <w:t>0.985</w:t>
            </w:r>
          </w:p>
        </w:tc>
        <w:tc>
          <w:tcPr>
            <w:tcW w:w="768" w:type="dxa"/>
            <w:tcBorders>
              <w:top w:val="nil"/>
              <w:left w:val="nil"/>
              <w:bottom w:val="single" w:sz="4" w:space="0" w:color="auto"/>
              <w:right w:val="nil"/>
            </w:tcBorders>
            <w:shd w:val="clear" w:color="auto" w:fill="auto"/>
            <w:noWrap/>
            <w:vAlign w:val="bottom"/>
            <w:hideMark/>
          </w:tcPr>
          <w:p w14:paraId="2153CE4B" w14:textId="409CEED1"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71DE299" w14:textId="2E853068" w:rsidR="00DA2010" w:rsidRDefault="00DA2010" w:rsidP="00DA2010">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408AC8C5" w14:textId="560FDE4A" w:rsidR="00DA2010" w:rsidRDefault="00DA2010" w:rsidP="00DA2010">
            <w:pPr>
              <w:jc w:val="right"/>
              <w:rPr>
                <w:color w:val="000000"/>
                <w:sz w:val="20"/>
                <w:szCs w:val="20"/>
              </w:rPr>
            </w:pPr>
            <w:r>
              <w:rPr>
                <w:color w:val="000000"/>
                <w:sz w:val="20"/>
                <w:szCs w:val="20"/>
              </w:rPr>
              <w:t>0.728</w:t>
            </w:r>
          </w:p>
        </w:tc>
        <w:tc>
          <w:tcPr>
            <w:tcW w:w="768" w:type="dxa"/>
            <w:tcBorders>
              <w:top w:val="nil"/>
              <w:left w:val="nil"/>
              <w:bottom w:val="single" w:sz="4" w:space="0" w:color="auto"/>
              <w:right w:val="nil"/>
            </w:tcBorders>
            <w:shd w:val="clear" w:color="auto" w:fill="auto"/>
            <w:noWrap/>
            <w:vAlign w:val="bottom"/>
            <w:hideMark/>
          </w:tcPr>
          <w:p w14:paraId="27450875" w14:textId="6CA7DF70"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E6230A5" w14:textId="7C399429" w:rsidR="00DA2010" w:rsidRDefault="00DA2010" w:rsidP="00DA2010">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37F0F000" w14:textId="41B1222C" w:rsidR="00DA2010" w:rsidRDefault="00DA2010" w:rsidP="00DA2010">
            <w:pPr>
              <w:jc w:val="right"/>
              <w:rPr>
                <w:color w:val="000000"/>
                <w:sz w:val="20"/>
                <w:szCs w:val="20"/>
              </w:rPr>
            </w:pPr>
            <w:r>
              <w:rPr>
                <w:color w:val="000000"/>
                <w:sz w:val="20"/>
                <w:szCs w:val="20"/>
              </w:rPr>
              <w:t>0.965</w:t>
            </w:r>
          </w:p>
        </w:tc>
        <w:tc>
          <w:tcPr>
            <w:tcW w:w="768" w:type="dxa"/>
            <w:tcBorders>
              <w:top w:val="nil"/>
              <w:left w:val="nil"/>
              <w:bottom w:val="single" w:sz="4" w:space="0" w:color="auto"/>
              <w:right w:val="nil"/>
            </w:tcBorders>
            <w:shd w:val="clear" w:color="auto" w:fill="auto"/>
            <w:noWrap/>
            <w:vAlign w:val="bottom"/>
            <w:hideMark/>
          </w:tcPr>
          <w:p w14:paraId="31340379" w14:textId="0B4759CE"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375F9C5" w14:textId="5E89AE4C" w:rsidR="00DA2010" w:rsidRDefault="00DA2010" w:rsidP="00DA2010">
            <w:pPr>
              <w:jc w:val="right"/>
              <w:rPr>
                <w:color w:val="000000"/>
                <w:sz w:val="20"/>
                <w:szCs w:val="20"/>
              </w:rPr>
            </w:pPr>
            <w:r>
              <w:rPr>
                <w:color w:val="000000"/>
                <w:sz w:val="20"/>
                <w:szCs w:val="20"/>
              </w:rPr>
              <w:t>-0.044</w:t>
            </w:r>
          </w:p>
        </w:tc>
        <w:tc>
          <w:tcPr>
            <w:tcW w:w="768" w:type="dxa"/>
            <w:tcBorders>
              <w:top w:val="nil"/>
              <w:left w:val="nil"/>
              <w:bottom w:val="single" w:sz="4" w:space="0" w:color="auto"/>
              <w:right w:val="nil"/>
            </w:tcBorders>
            <w:shd w:val="clear" w:color="auto" w:fill="auto"/>
            <w:noWrap/>
            <w:vAlign w:val="bottom"/>
            <w:hideMark/>
          </w:tcPr>
          <w:p w14:paraId="4FFBD8FA" w14:textId="3DEE6FEC" w:rsidR="00DA2010" w:rsidRDefault="00DA2010" w:rsidP="00DA2010">
            <w:pPr>
              <w:jc w:val="right"/>
              <w:rPr>
                <w:color w:val="000000"/>
                <w:sz w:val="20"/>
                <w:szCs w:val="20"/>
              </w:rPr>
            </w:pPr>
            <w:r>
              <w:rPr>
                <w:color w:val="000000"/>
                <w:sz w:val="20"/>
                <w:szCs w:val="20"/>
              </w:rPr>
              <w:t>0.918</w:t>
            </w:r>
          </w:p>
        </w:tc>
        <w:tc>
          <w:tcPr>
            <w:tcW w:w="768" w:type="dxa"/>
            <w:tcBorders>
              <w:top w:val="nil"/>
              <w:left w:val="nil"/>
              <w:bottom w:val="single" w:sz="4" w:space="0" w:color="auto"/>
              <w:right w:val="nil"/>
            </w:tcBorders>
            <w:shd w:val="clear" w:color="auto" w:fill="auto"/>
            <w:noWrap/>
            <w:vAlign w:val="bottom"/>
            <w:hideMark/>
          </w:tcPr>
          <w:p w14:paraId="0BBFC391" w14:textId="1E494BF2" w:rsidR="00DA2010" w:rsidRDefault="00DA2010" w:rsidP="00DA2010">
            <w:pPr>
              <w:jc w:val="right"/>
              <w:rPr>
                <w:color w:val="000000"/>
                <w:sz w:val="20"/>
                <w:szCs w:val="20"/>
              </w:rPr>
            </w:pPr>
            <w:r>
              <w:rPr>
                <w:color w:val="000000"/>
                <w:sz w:val="20"/>
                <w:szCs w:val="20"/>
              </w:rPr>
              <w:t>0.002</w:t>
            </w:r>
          </w:p>
        </w:tc>
      </w:tr>
      <w:tr w:rsidR="00DA2010" w14:paraId="40CC3BBE" w14:textId="77777777" w:rsidTr="00E221DF">
        <w:trPr>
          <w:trHeight w:val="320"/>
        </w:trPr>
        <w:tc>
          <w:tcPr>
            <w:tcW w:w="1176" w:type="dxa"/>
            <w:tcBorders>
              <w:top w:val="nil"/>
              <w:left w:val="nil"/>
              <w:bottom w:val="nil"/>
              <w:right w:val="nil"/>
            </w:tcBorders>
            <w:shd w:val="clear" w:color="auto" w:fill="auto"/>
            <w:noWrap/>
            <w:vAlign w:val="bottom"/>
            <w:hideMark/>
          </w:tcPr>
          <w:p w14:paraId="5EF0BE00" w14:textId="77777777" w:rsidR="00DA2010" w:rsidRDefault="00DA2010" w:rsidP="00DA2010">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54B5E11D" w14:textId="77777777" w:rsidR="00DA2010" w:rsidRDefault="00DA2010" w:rsidP="00DA201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089EA94" w14:textId="1BE75011" w:rsidR="00DA2010" w:rsidRDefault="00DA2010" w:rsidP="00DA2010">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25F90FD3" w14:textId="1640D718" w:rsidR="00DA2010" w:rsidRDefault="00DA2010" w:rsidP="00DA2010">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5EE0E63F" w14:textId="1F4FD3C8"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4EDDB7F" w14:textId="43B2ECD0" w:rsidR="00DA2010" w:rsidRDefault="00DA2010" w:rsidP="00DA201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40A8475" w14:textId="560B240A" w:rsidR="00DA2010" w:rsidRDefault="00DA2010" w:rsidP="00DA2010">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028856F2" w14:textId="34771149"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7C3E9B" w14:textId="41EF9FAA"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07A9F19" w14:textId="768CC164" w:rsidR="00DA2010" w:rsidRDefault="00DA2010" w:rsidP="00DA2010">
            <w:pPr>
              <w:jc w:val="right"/>
              <w:rPr>
                <w:color w:val="000000"/>
                <w:sz w:val="20"/>
                <w:szCs w:val="20"/>
              </w:rPr>
            </w:pPr>
            <w:r>
              <w:rPr>
                <w:color w:val="000000"/>
                <w:sz w:val="20"/>
                <w:szCs w:val="20"/>
              </w:rPr>
              <w:t>0.944</w:t>
            </w:r>
          </w:p>
        </w:tc>
        <w:tc>
          <w:tcPr>
            <w:tcW w:w="768" w:type="dxa"/>
            <w:tcBorders>
              <w:top w:val="nil"/>
              <w:left w:val="nil"/>
              <w:bottom w:val="nil"/>
              <w:right w:val="nil"/>
            </w:tcBorders>
            <w:shd w:val="clear" w:color="auto" w:fill="auto"/>
            <w:noWrap/>
            <w:vAlign w:val="bottom"/>
            <w:hideMark/>
          </w:tcPr>
          <w:p w14:paraId="4B3643F2" w14:textId="16672E2D"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D967CA" w14:textId="6E4E4988" w:rsidR="00DA2010" w:rsidRDefault="00DA2010" w:rsidP="00DA201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E6F9828" w14:textId="46E778F0" w:rsidR="00DA2010" w:rsidRDefault="00DA2010" w:rsidP="00DA2010">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7A2D2665" w14:textId="50283A1B"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26F82A" w14:textId="5AB14CD9" w:rsidR="00DA2010" w:rsidRDefault="00DA2010" w:rsidP="00DA201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F0B2652" w14:textId="0437120D" w:rsidR="00DA2010" w:rsidRDefault="00DA2010" w:rsidP="00DA2010">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29C9E112" w14:textId="7EEE6496" w:rsidR="00DA2010" w:rsidRDefault="00DA2010" w:rsidP="00DA2010">
            <w:pPr>
              <w:jc w:val="right"/>
              <w:rPr>
                <w:color w:val="000000"/>
                <w:sz w:val="20"/>
                <w:szCs w:val="20"/>
              </w:rPr>
            </w:pPr>
            <w:r>
              <w:rPr>
                <w:color w:val="000000"/>
                <w:sz w:val="20"/>
                <w:szCs w:val="20"/>
              </w:rPr>
              <w:t>0.000</w:t>
            </w:r>
          </w:p>
        </w:tc>
      </w:tr>
      <w:tr w:rsidR="00DA2010" w14:paraId="2DBA98EC" w14:textId="77777777" w:rsidTr="00E221DF">
        <w:trPr>
          <w:trHeight w:val="320"/>
        </w:trPr>
        <w:tc>
          <w:tcPr>
            <w:tcW w:w="1176" w:type="dxa"/>
            <w:tcBorders>
              <w:top w:val="nil"/>
              <w:left w:val="nil"/>
              <w:bottom w:val="nil"/>
              <w:right w:val="nil"/>
            </w:tcBorders>
            <w:shd w:val="clear" w:color="auto" w:fill="auto"/>
            <w:noWrap/>
            <w:vAlign w:val="bottom"/>
            <w:hideMark/>
          </w:tcPr>
          <w:p w14:paraId="761CB772"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B67EEF" w14:textId="77777777" w:rsidR="00DA2010" w:rsidRDefault="00DA2010" w:rsidP="00DA201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2306DAA" w14:textId="017D651A" w:rsidR="00DA2010" w:rsidRDefault="00DA2010" w:rsidP="00DA201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6EC009A" w14:textId="7E5170FC" w:rsidR="00DA2010" w:rsidRDefault="00DA2010" w:rsidP="00DA2010">
            <w:pPr>
              <w:jc w:val="right"/>
              <w:rPr>
                <w:color w:val="000000"/>
                <w:sz w:val="20"/>
                <w:szCs w:val="20"/>
              </w:rPr>
            </w:pPr>
            <w:r>
              <w:rPr>
                <w:color w:val="000000"/>
                <w:sz w:val="20"/>
                <w:szCs w:val="20"/>
              </w:rPr>
              <w:t>0.840</w:t>
            </w:r>
          </w:p>
        </w:tc>
        <w:tc>
          <w:tcPr>
            <w:tcW w:w="768" w:type="dxa"/>
            <w:tcBorders>
              <w:top w:val="nil"/>
              <w:left w:val="nil"/>
              <w:bottom w:val="nil"/>
              <w:right w:val="nil"/>
            </w:tcBorders>
            <w:shd w:val="clear" w:color="auto" w:fill="auto"/>
            <w:noWrap/>
            <w:vAlign w:val="bottom"/>
            <w:hideMark/>
          </w:tcPr>
          <w:p w14:paraId="56DFF8B9" w14:textId="63559CAF"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55B6E2" w14:textId="5F584B14" w:rsidR="00DA2010" w:rsidRDefault="00DA2010" w:rsidP="00DA2010">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855E89A" w14:textId="4CC89DD0" w:rsidR="00DA2010" w:rsidRDefault="00DA2010" w:rsidP="00DA2010">
            <w:pPr>
              <w:jc w:val="right"/>
              <w:rPr>
                <w:color w:val="000000"/>
                <w:sz w:val="20"/>
                <w:szCs w:val="20"/>
              </w:rPr>
            </w:pPr>
            <w:r>
              <w:rPr>
                <w:color w:val="000000"/>
                <w:sz w:val="20"/>
                <w:szCs w:val="20"/>
              </w:rPr>
              <w:t>0.589</w:t>
            </w:r>
          </w:p>
        </w:tc>
        <w:tc>
          <w:tcPr>
            <w:tcW w:w="768" w:type="dxa"/>
            <w:tcBorders>
              <w:top w:val="nil"/>
              <w:left w:val="nil"/>
              <w:bottom w:val="nil"/>
              <w:right w:val="nil"/>
            </w:tcBorders>
            <w:shd w:val="clear" w:color="auto" w:fill="auto"/>
            <w:noWrap/>
            <w:vAlign w:val="bottom"/>
            <w:hideMark/>
          </w:tcPr>
          <w:p w14:paraId="32C91006" w14:textId="0D2A213D"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67872DF" w14:textId="3E7AEDE1" w:rsidR="00DA2010" w:rsidRDefault="00DA2010" w:rsidP="00DA201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5DBB3CC" w14:textId="07C0198D" w:rsidR="00DA2010" w:rsidRDefault="00DA2010" w:rsidP="00DA2010">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488D6A55" w14:textId="0DB34CDD"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3514D2" w14:textId="1CEB6130" w:rsidR="00DA2010" w:rsidRDefault="00DA2010" w:rsidP="00DA2010">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36CA33E" w14:textId="3FFE5C0F" w:rsidR="00DA2010" w:rsidRDefault="00DA2010" w:rsidP="00DA2010">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69BF4B2D" w14:textId="59CF7AD9"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AB3EC64" w14:textId="6DEA8404" w:rsidR="00DA2010" w:rsidRDefault="00DA2010" w:rsidP="00DA2010">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13809983" w14:textId="5DCD1585" w:rsidR="00DA2010" w:rsidRDefault="00DA2010" w:rsidP="00DA2010">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478E009E" w14:textId="123C9B24" w:rsidR="00DA2010" w:rsidRDefault="00DA2010" w:rsidP="00DA2010">
            <w:pPr>
              <w:jc w:val="right"/>
              <w:rPr>
                <w:color w:val="000000"/>
                <w:sz w:val="20"/>
                <w:szCs w:val="20"/>
              </w:rPr>
            </w:pPr>
            <w:r>
              <w:rPr>
                <w:color w:val="000000"/>
                <w:sz w:val="20"/>
                <w:szCs w:val="20"/>
              </w:rPr>
              <w:t>0.006</w:t>
            </w:r>
          </w:p>
        </w:tc>
      </w:tr>
      <w:tr w:rsidR="00DA2010" w14:paraId="1ECB359F" w14:textId="77777777" w:rsidTr="00E221DF">
        <w:trPr>
          <w:trHeight w:val="320"/>
        </w:trPr>
        <w:tc>
          <w:tcPr>
            <w:tcW w:w="1176" w:type="dxa"/>
            <w:tcBorders>
              <w:top w:val="nil"/>
              <w:left w:val="nil"/>
              <w:bottom w:val="nil"/>
              <w:right w:val="nil"/>
            </w:tcBorders>
            <w:shd w:val="clear" w:color="auto" w:fill="auto"/>
            <w:noWrap/>
            <w:vAlign w:val="bottom"/>
            <w:hideMark/>
          </w:tcPr>
          <w:p w14:paraId="6A89624F"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38D62F7" w14:textId="77777777" w:rsidR="00DA2010" w:rsidRDefault="00DA2010" w:rsidP="00DA201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21A77A5" w14:textId="53E2346C" w:rsidR="00DA2010" w:rsidRDefault="00DA2010" w:rsidP="00DA201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C6CCD95" w14:textId="6F550806" w:rsidR="00DA2010" w:rsidRDefault="00DA2010" w:rsidP="00DA2010">
            <w:pPr>
              <w:jc w:val="right"/>
              <w:rPr>
                <w:color w:val="000000"/>
                <w:sz w:val="20"/>
                <w:szCs w:val="20"/>
              </w:rPr>
            </w:pPr>
            <w:r>
              <w:rPr>
                <w:color w:val="000000"/>
                <w:sz w:val="20"/>
                <w:szCs w:val="20"/>
              </w:rPr>
              <w:t>0.816</w:t>
            </w:r>
          </w:p>
        </w:tc>
        <w:tc>
          <w:tcPr>
            <w:tcW w:w="768" w:type="dxa"/>
            <w:tcBorders>
              <w:top w:val="nil"/>
              <w:left w:val="nil"/>
              <w:bottom w:val="nil"/>
              <w:right w:val="nil"/>
            </w:tcBorders>
            <w:shd w:val="clear" w:color="auto" w:fill="auto"/>
            <w:noWrap/>
            <w:vAlign w:val="bottom"/>
            <w:hideMark/>
          </w:tcPr>
          <w:p w14:paraId="5517A265" w14:textId="28957050"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6BDF1A9" w14:textId="60CAE272" w:rsidR="00DA2010" w:rsidRDefault="00DA2010" w:rsidP="00DA2010">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3FEC8243" w14:textId="500E0C53" w:rsidR="00DA2010" w:rsidRDefault="00DA2010" w:rsidP="00DA2010">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6F4E2213" w14:textId="60EE0086" w:rsidR="00DA2010" w:rsidRDefault="00DA2010" w:rsidP="00DA201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37E15A9" w14:textId="2BD30446" w:rsidR="00DA2010" w:rsidRDefault="00DA2010" w:rsidP="00DA201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711B775" w14:textId="13EDB7FB" w:rsidR="00DA2010" w:rsidRDefault="00DA2010" w:rsidP="00DA2010">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3DB7CCC9" w14:textId="23604051"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380739" w14:textId="3DD053C8"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379E522" w14:textId="178730C0" w:rsidR="00DA2010" w:rsidRDefault="00DA2010" w:rsidP="00DA2010">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66581181" w14:textId="3C267FE9"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A47EFE" w14:textId="78FE982F" w:rsidR="00DA2010" w:rsidRDefault="00DA2010" w:rsidP="00DA2010">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50A8BD26" w14:textId="456FF6F5" w:rsidR="00DA2010" w:rsidRDefault="00DA2010" w:rsidP="00DA2010">
            <w:pPr>
              <w:jc w:val="right"/>
              <w:rPr>
                <w:color w:val="000000"/>
                <w:sz w:val="20"/>
                <w:szCs w:val="20"/>
              </w:rPr>
            </w:pPr>
            <w:r>
              <w:rPr>
                <w:color w:val="000000"/>
                <w:sz w:val="20"/>
                <w:szCs w:val="20"/>
              </w:rPr>
              <w:t>0.534</w:t>
            </w:r>
          </w:p>
        </w:tc>
        <w:tc>
          <w:tcPr>
            <w:tcW w:w="768" w:type="dxa"/>
            <w:tcBorders>
              <w:top w:val="nil"/>
              <w:left w:val="nil"/>
              <w:bottom w:val="nil"/>
              <w:right w:val="nil"/>
            </w:tcBorders>
            <w:shd w:val="clear" w:color="auto" w:fill="auto"/>
            <w:noWrap/>
            <w:vAlign w:val="bottom"/>
            <w:hideMark/>
          </w:tcPr>
          <w:p w14:paraId="746D43B4" w14:textId="1167AB60" w:rsidR="00DA2010" w:rsidRDefault="00DA2010" w:rsidP="00DA2010">
            <w:pPr>
              <w:jc w:val="right"/>
              <w:rPr>
                <w:color w:val="000000"/>
                <w:sz w:val="20"/>
                <w:szCs w:val="20"/>
              </w:rPr>
            </w:pPr>
            <w:r>
              <w:rPr>
                <w:color w:val="000000"/>
                <w:sz w:val="20"/>
                <w:szCs w:val="20"/>
              </w:rPr>
              <w:t>0.003</w:t>
            </w:r>
          </w:p>
        </w:tc>
      </w:tr>
      <w:tr w:rsidR="00DA2010" w14:paraId="33E9DE34" w14:textId="77777777" w:rsidTr="00E221DF">
        <w:trPr>
          <w:trHeight w:val="320"/>
        </w:trPr>
        <w:tc>
          <w:tcPr>
            <w:tcW w:w="1176" w:type="dxa"/>
            <w:tcBorders>
              <w:top w:val="nil"/>
              <w:left w:val="nil"/>
              <w:bottom w:val="nil"/>
              <w:right w:val="nil"/>
            </w:tcBorders>
            <w:shd w:val="clear" w:color="auto" w:fill="auto"/>
            <w:noWrap/>
            <w:vAlign w:val="bottom"/>
            <w:hideMark/>
          </w:tcPr>
          <w:p w14:paraId="74D4D785"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5D0374" w14:textId="77777777" w:rsidR="00DA2010" w:rsidRDefault="00DA2010" w:rsidP="00DA201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F5A2F9E" w14:textId="406F5FAA" w:rsidR="00DA2010" w:rsidRDefault="00DA2010" w:rsidP="00DA201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1E175E5" w14:textId="57391CCF" w:rsidR="00DA2010" w:rsidRDefault="00DA2010" w:rsidP="00DA2010">
            <w:pPr>
              <w:jc w:val="right"/>
              <w:rPr>
                <w:color w:val="000000"/>
                <w:sz w:val="20"/>
                <w:szCs w:val="20"/>
              </w:rPr>
            </w:pPr>
            <w:r>
              <w:rPr>
                <w:color w:val="000000"/>
                <w:sz w:val="20"/>
                <w:szCs w:val="20"/>
              </w:rPr>
              <w:t>0.840</w:t>
            </w:r>
          </w:p>
        </w:tc>
        <w:tc>
          <w:tcPr>
            <w:tcW w:w="768" w:type="dxa"/>
            <w:tcBorders>
              <w:top w:val="nil"/>
              <w:left w:val="nil"/>
              <w:bottom w:val="nil"/>
              <w:right w:val="nil"/>
            </w:tcBorders>
            <w:shd w:val="clear" w:color="auto" w:fill="auto"/>
            <w:noWrap/>
            <w:vAlign w:val="bottom"/>
            <w:hideMark/>
          </w:tcPr>
          <w:p w14:paraId="2174C68F" w14:textId="07C0831E"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F212CD" w14:textId="71D2377A" w:rsidR="00DA2010" w:rsidRDefault="00DA2010" w:rsidP="00DA2010">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3CC7F473" w14:textId="2FA8ED89" w:rsidR="00DA2010" w:rsidRDefault="00DA2010" w:rsidP="00DA2010">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5DF9BF89" w14:textId="61061BAD" w:rsidR="00DA2010" w:rsidRDefault="00DA2010" w:rsidP="00DA201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135C9DA" w14:textId="12EA5E1B" w:rsidR="00DA2010" w:rsidRDefault="00DA2010" w:rsidP="00DA2010">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178D9D4B" w14:textId="7218DA5C" w:rsidR="00DA2010" w:rsidRDefault="00DA2010" w:rsidP="00DA2010">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2ED80BB5" w14:textId="7E81E507"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145E0D8" w14:textId="1B306D84" w:rsidR="00DA2010" w:rsidRDefault="00DA2010" w:rsidP="00DA2010">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60CF79E3" w14:textId="37EF0C00" w:rsidR="00DA2010" w:rsidRDefault="00DA2010" w:rsidP="00DA2010">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1283D4E1" w14:textId="300ABCC1" w:rsidR="00DA2010" w:rsidRDefault="00DA2010" w:rsidP="00DA201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68A864A" w14:textId="155FB49E" w:rsidR="00DA2010" w:rsidRDefault="00DA2010" w:rsidP="00DA2010">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6B4EBAD1" w14:textId="1BEF5D0E" w:rsidR="00DA2010" w:rsidRDefault="00DA2010" w:rsidP="00DA2010">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4661E062" w14:textId="2DAB0CBC" w:rsidR="00DA2010" w:rsidRDefault="00DA2010" w:rsidP="00DA2010">
            <w:pPr>
              <w:jc w:val="right"/>
              <w:rPr>
                <w:color w:val="000000"/>
                <w:sz w:val="20"/>
                <w:szCs w:val="20"/>
              </w:rPr>
            </w:pPr>
            <w:r>
              <w:rPr>
                <w:color w:val="000000"/>
                <w:sz w:val="20"/>
                <w:szCs w:val="20"/>
              </w:rPr>
              <w:t>0.004</w:t>
            </w:r>
          </w:p>
        </w:tc>
      </w:tr>
      <w:tr w:rsidR="00DA2010" w14:paraId="42AFD3F2" w14:textId="77777777" w:rsidTr="00E221DF">
        <w:trPr>
          <w:trHeight w:val="320"/>
        </w:trPr>
        <w:tc>
          <w:tcPr>
            <w:tcW w:w="1176" w:type="dxa"/>
            <w:tcBorders>
              <w:top w:val="nil"/>
              <w:left w:val="nil"/>
              <w:bottom w:val="nil"/>
              <w:right w:val="nil"/>
            </w:tcBorders>
            <w:shd w:val="clear" w:color="auto" w:fill="auto"/>
            <w:noWrap/>
            <w:vAlign w:val="bottom"/>
            <w:hideMark/>
          </w:tcPr>
          <w:p w14:paraId="2DFE391F"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E23800" w14:textId="77777777" w:rsidR="00DA2010" w:rsidRDefault="00DA2010" w:rsidP="00DA201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D8B1464" w14:textId="22514094" w:rsidR="00DA2010" w:rsidRDefault="00DA2010" w:rsidP="00DA201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B9A299A" w14:textId="52303953" w:rsidR="00DA2010" w:rsidRDefault="00DA2010" w:rsidP="00DA2010">
            <w:pPr>
              <w:jc w:val="right"/>
              <w:rPr>
                <w:color w:val="000000"/>
                <w:sz w:val="20"/>
                <w:szCs w:val="20"/>
              </w:rPr>
            </w:pPr>
            <w:r>
              <w:rPr>
                <w:color w:val="000000"/>
                <w:sz w:val="20"/>
                <w:szCs w:val="20"/>
              </w:rPr>
              <w:t>0.770</w:t>
            </w:r>
          </w:p>
        </w:tc>
        <w:tc>
          <w:tcPr>
            <w:tcW w:w="768" w:type="dxa"/>
            <w:tcBorders>
              <w:top w:val="nil"/>
              <w:left w:val="nil"/>
              <w:bottom w:val="nil"/>
              <w:right w:val="nil"/>
            </w:tcBorders>
            <w:shd w:val="clear" w:color="auto" w:fill="auto"/>
            <w:noWrap/>
            <w:vAlign w:val="bottom"/>
            <w:hideMark/>
          </w:tcPr>
          <w:p w14:paraId="243ADAA7" w14:textId="5DB7019B"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E30D1E" w14:textId="45BD007F"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7AE036" w14:textId="7C585C91" w:rsidR="00DA2010" w:rsidRDefault="00DA2010" w:rsidP="00DA2010">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01F846D2" w14:textId="1D47736C"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C1A50B" w14:textId="4A578416" w:rsidR="00DA2010" w:rsidRDefault="00DA2010" w:rsidP="00DA2010">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1BE5626B" w14:textId="4F6792E2" w:rsidR="00DA2010" w:rsidRDefault="00DA2010" w:rsidP="00DA2010">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49FD5350" w14:textId="2801A5A1"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71FB3F" w14:textId="2CEE47A6" w:rsidR="00DA2010" w:rsidRDefault="00DA2010" w:rsidP="00DA201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DC04D25" w14:textId="3B9BD159" w:rsidR="00DA2010" w:rsidRDefault="00DA2010" w:rsidP="00DA2010">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455C5331" w14:textId="1A7AE842"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1F054F9" w14:textId="6C1ADB98" w:rsidR="00DA2010" w:rsidRDefault="00DA2010" w:rsidP="00DA201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BF88395" w14:textId="6037814F" w:rsidR="00DA2010" w:rsidRDefault="00DA2010" w:rsidP="00DA2010">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07DCF501" w14:textId="62A311F3" w:rsidR="00DA2010" w:rsidRDefault="00DA2010" w:rsidP="00DA2010">
            <w:pPr>
              <w:jc w:val="right"/>
              <w:rPr>
                <w:color w:val="000000"/>
                <w:sz w:val="20"/>
                <w:szCs w:val="20"/>
              </w:rPr>
            </w:pPr>
            <w:r>
              <w:rPr>
                <w:color w:val="000000"/>
                <w:sz w:val="20"/>
                <w:szCs w:val="20"/>
              </w:rPr>
              <w:t>0.000</w:t>
            </w:r>
          </w:p>
        </w:tc>
      </w:tr>
      <w:tr w:rsidR="00DA2010" w14:paraId="2E9D8904" w14:textId="77777777" w:rsidTr="00E221DF">
        <w:trPr>
          <w:trHeight w:val="320"/>
        </w:trPr>
        <w:tc>
          <w:tcPr>
            <w:tcW w:w="1176" w:type="dxa"/>
            <w:tcBorders>
              <w:top w:val="nil"/>
              <w:left w:val="nil"/>
              <w:bottom w:val="nil"/>
              <w:right w:val="nil"/>
            </w:tcBorders>
            <w:shd w:val="clear" w:color="auto" w:fill="auto"/>
            <w:noWrap/>
            <w:vAlign w:val="bottom"/>
            <w:hideMark/>
          </w:tcPr>
          <w:p w14:paraId="6E62C7AC"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930CBD" w14:textId="77777777" w:rsidR="00DA2010" w:rsidRDefault="00DA2010" w:rsidP="00DA201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A5CA738" w14:textId="52566A0B" w:rsidR="00DA2010" w:rsidRDefault="00DA2010" w:rsidP="00DA2010">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5F87F326" w14:textId="1D102FCE" w:rsidR="00DA2010" w:rsidRDefault="00DA2010" w:rsidP="00DA2010">
            <w:pPr>
              <w:jc w:val="right"/>
              <w:rPr>
                <w:color w:val="000000"/>
                <w:sz w:val="20"/>
                <w:szCs w:val="20"/>
              </w:rPr>
            </w:pPr>
            <w:r>
              <w:rPr>
                <w:color w:val="000000"/>
                <w:sz w:val="20"/>
                <w:szCs w:val="20"/>
              </w:rPr>
              <w:t>0.108</w:t>
            </w:r>
          </w:p>
        </w:tc>
        <w:tc>
          <w:tcPr>
            <w:tcW w:w="768" w:type="dxa"/>
            <w:tcBorders>
              <w:top w:val="nil"/>
              <w:left w:val="nil"/>
              <w:bottom w:val="nil"/>
              <w:right w:val="nil"/>
            </w:tcBorders>
            <w:shd w:val="clear" w:color="auto" w:fill="auto"/>
            <w:noWrap/>
            <w:vAlign w:val="bottom"/>
            <w:hideMark/>
          </w:tcPr>
          <w:p w14:paraId="7D87D08B" w14:textId="4B702CA6" w:rsidR="00DA2010" w:rsidRDefault="00DA2010" w:rsidP="00DA201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E58593C" w14:textId="7424B641" w:rsidR="00DA2010" w:rsidRDefault="00DA2010" w:rsidP="00DA201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E642CA2" w14:textId="6412FC42" w:rsidR="00DA2010" w:rsidRDefault="00DA2010" w:rsidP="00DA2010">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64113AE3" w14:textId="723C115F"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40CF002" w14:textId="385ABB44" w:rsidR="00DA2010" w:rsidRDefault="00DA2010" w:rsidP="00DA2010">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F603286" w14:textId="1B09608C" w:rsidR="00DA2010" w:rsidRDefault="00DA2010" w:rsidP="00DA2010">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287F288E" w14:textId="3C9728B7"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1439C63" w14:textId="774386B9"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D362C7" w14:textId="7CBA5407" w:rsidR="00DA2010" w:rsidRDefault="00DA2010" w:rsidP="00DA2010">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0D81137C" w14:textId="2F72C01A"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D52F73" w14:textId="216932D8"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C8A197B" w14:textId="63D12873" w:rsidR="00DA2010" w:rsidRDefault="00DA2010" w:rsidP="00DA2010">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49006132" w14:textId="0E27259E" w:rsidR="00DA2010" w:rsidRDefault="00DA2010" w:rsidP="00DA2010">
            <w:pPr>
              <w:jc w:val="right"/>
              <w:rPr>
                <w:color w:val="000000"/>
                <w:sz w:val="20"/>
                <w:szCs w:val="20"/>
              </w:rPr>
            </w:pPr>
            <w:r>
              <w:rPr>
                <w:color w:val="000000"/>
                <w:sz w:val="20"/>
                <w:szCs w:val="20"/>
              </w:rPr>
              <w:t>0.000</w:t>
            </w:r>
          </w:p>
        </w:tc>
      </w:tr>
      <w:tr w:rsidR="00DA2010" w14:paraId="28C926B6" w14:textId="77777777" w:rsidTr="00E221DF">
        <w:trPr>
          <w:trHeight w:val="320"/>
        </w:trPr>
        <w:tc>
          <w:tcPr>
            <w:tcW w:w="1176" w:type="dxa"/>
            <w:tcBorders>
              <w:top w:val="nil"/>
              <w:left w:val="nil"/>
              <w:bottom w:val="nil"/>
              <w:right w:val="nil"/>
            </w:tcBorders>
            <w:shd w:val="clear" w:color="auto" w:fill="auto"/>
            <w:noWrap/>
            <w:vAlign w:val="bottom"/>
            <w:hideMark/>
          </w:tcPr>
          <w:p w14:paraId="6C9E2DBA"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B4D1928" w14:textId="77777777" w:rsidR="00DA2010" w:rsidRDefault="00DA2010" w:rsidP="00DA201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7CACC41" w14:textId="7B64B389" w:rsidR="00DA2010" w:rsidRDefault="00DA2010" w:rsidP="00DA2010">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2A0AA059" w14:textId="36FDDFA7" w:rsidR="00DA2010" w:rsidRDefault="00DA2010" w:rsidP="00DA2010">
            <w:pPr>
              <w:jc w:val="right"/>
              <w:rPr>
                <w:color w:val="000000"/>
                <w:sz w:val="20"/>
                <w:szCs w:val="20"/>
              </w:rPr>
            </w:pPr>
            <w:r>
              <w:rPr>
                <w:color w:val="000000"/>
                <w:sz w:val="20"/>
                <w:szCs w:val="20"/>
              </w:rPr>
              <w:t>0.108</w:t>
            </w:r>
          </w:p>
        </w:tc>
        <w:tc>
          <w:tcPr>
            <w:tcW w:w="768" w:type="dxa"/>
            <w:tcBorders>
              <w:top w:val="nil"/>
              <w:left w:val="nil"/>
              <w:bottom w:val="nil"/>
              <w:right w:val="nil"/>
            </w:tcBorders>
            <w:shd w:val="clear" w:color="auto" w:fill="auto"/>
            <w:noWrap/>
            <w:vAlign w:val="bottom"/>
            <w:hideMark/>
          </w:tcPr>
          <w:p w14:paraId="74B63BCA" w14:textId="101486B1" w:rsidR="00DA2010" w:rsidRDefault="00DA2010" w:rsidP="00DA201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E209CD6" w14:textId="0B41F699" w:rsidR="00DA2010" w:rsidRDefault="00DA2010" w:rsidP="00DA201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42D7950" w14:textId="56319E65" w:rsidR="00DA2010" w:rsidRDefault="00DA2010" w:rsidP="00DA2010">
            <w:pPr>
              <w:jc w:val="right"/>
              <w:rPr>
                <w:color w:val="000000"/>
                <w:sz w:val="20"/>
                <w:szCs w:val="20"/>
              </w:rPr>
            </w:pPr>
            <w:r>
              <w:rPr>
                <w:color w:val="000000"/>
                <w:sz w:val="20"/>
                <w:szCs w:val="20"/>
              </w:rPr>
              <w:t>0.687</w:t>
            </w:r>
          </w:p>
        </w:tc>
        <w:tc>
          <w:tcPr>
            <w:tcW w:w="768" w:type="dxa"/>
            <w:tcBorders>
              <w:top w:val="nil"/>
              <w:left w:val="nil"/>
              <w:bottom w:val="nil"/>
              <w:right w:val="nil"/>
            </w:tcBorders>
            <w:shd w:val="clear" w:color="auto" w:fill="auto"/>
            <w:noWrap/>
            <w:vAlign w:val="bottom"/>
            <w:hideMark/>
          </w:tcPr>
          <w:p w14:paraId="2F93B50D" w14:textId="4BFE50B3"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957609" w14:textId="77D6A293" w:rsidR="00DA2010" w:rsidRDefault="00DA2010" w:rsidP="00DA2010">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0DE0799" w14:textId="1631BB9C" w:rsidR="00DA2010" w:rsidRDefault="00DA2010" w:rsidP="00DA2010">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30D62145" w14:textId="7B3DC8F8"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C71FBF" w14:textId="07B97BB2" w:rsidR="00DA2010" w:rsidRDefault="00DA2010" w:rsidP="00DA2010">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F19A765" w14:textId="18526FC2" w:rsidR="00DA2010" w:rsidRDefault="00DA2010" w:rsidP="00DA2010">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4637B2B2" w14:textId="74927FED"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1CF2ACF" w14:textId="1F8641CF" w:rsidR="00DA2010" w:rsidRDefault="00DA2010" w:rsidP="00DA2010">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63AA205D" w14:textId="553FF9B3" w:rsidR="00DA2010" w:rsidRDefault="00DA2010" w:rsidP="00DA2010">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10A86F79" w14:textId="4E1508F9" w:rsidR="00DA2010" w:rsidRDefault="00DA2010" w:rsidP="00DA2010">
            <w:pPr>
              <w:jc w:val="right"/>
              <w:rPr>
                <w:color w:val="000000"/>
                <w:sz w:val="20"/>
                <w:szCs w:val="20"/>
              </w:rPr>
            </w:pPr>
            <w:r>
              <w:rPr>
                <w:color w:val="000000"/>
                <w:sz w:val="20"/>
                <w:szCs w:val="20"/>
              </w:rPr>
              <w:t>0.005</w:t>
            </w:r>
          </w:p>
        </w:tc>
      </w:tr>
      <w:tr w:rsidR="00DA2010" w14:paraId="50209A69" w14:textId="77777777" w:rsidTr="00E221DF">
        <w:trPr>
          <w:trHeight w:val="320"/>
        </w:trPr>
        <w:tc>
          <w:tcPr>
            <w:tcW w:w="1176" w:type="dxa"/>
            <w:tcBorders>
              <w:top w:val="nil"/>
              <w:left w:val="nil"/>
              <w:bottom w:val="single" w:sz="4" w:space="0" w:color="auto"/>
              <w:right w:val="nil"/>
            </w:tcBorders>
            <w:shd w:val="clear" w:color="auto" w:fill="auto"/>
            <w:noWrap/>
            <w:vAlign w:val="bottom"/>
            <w:hideMark/>
          </w:tcPr>
          <w:p w14:paraId="47DEDEF8" w14:textId="77777777" w:rsidR="00DA2010" w:rsidRDefault="00DA2010" w:rsidP="00DA201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C1CBB8A" w14:textId="77777777" w:rsidR="00DA2010" w:rsidRDefault="00DA2010" w:rsidP="00DA201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553891C" w14:textId="3E3D6528" w:rsidR="00DA2010" w:rsidRDefault="00DA2010" w:rsidP="00DA2010">
            <w:pPr>
              <w:jc w:val="right"/>
              <w:rPr>
                <w:color w:val="000000"/>
                <w:sz w:val="20"/>
                <w:szCs w:val="20"/>
              </w:rPr>
            </w:pPr>
            <w:r>
              <w:rPr>
                <w:color w:val="000000"/>
                <w:sz w:val="20"/>
                <w:szCs w:val="20"/>
              </w:rPr>
              <w:t>0.050</w:t>
            </w:r>
          </w:p>
        </w:tc>
        <w:tc>
          <w:tcPr>
            <w:tcW w:w="768" w:type="dxa"/>
            <w:tcBorders>
              <w:top w:val="nil"/>
              <w:left w:val="nil"/>
              <w:bottom w:val="single" w:sz="4" w:space="0" w:color="auto"/>
              <w:right w:val="nil"/>
            </w:tcBorders>
            <w:shd w:val="clear" w:color="auto" w:fill="auto"/>
            <w:noWrap/>
            <w:vAlign w:val="bottom"/>
            <w:hideMark/>
          </w:tcPr>
          <w:p w14:paraId="70BFA0D4" w14:textId="4B72400B" w:rsidR="00DA2010" w:rsidRDefault="00DA2010" w:rsidP="00DA2010">
            <w:pPr>
              <w:jc w:val="right"/>
              <w:rPr>
                <w:color w:val="000000"/>
                <w:sz w:val="20"/>
                <w:szCs w:val="20"/>
              </w:rPr>
            </w:pPr>
            <w:r>
              <w:rPr>
                <w:color w:val="000000"/>
                <w:sz w:val="20"/>
                <w:szCs w:val="20"/>
              </w:rPr>
              <w:t>0.438</w:t>
            </w:r>
          </w:p>
        </w:tc>
        <w:tc>
          <w:tcPr>
            <w:tcW w:w="768" w:type="dxa"/>
            <w:tcBorders>
              <w:top w:val="nil"/>
              <w:left w:val="nil"/>
              <w:bottom w:val="single" w:sz="4" w:space="0" w:color="auto"/>
              <w:right w:val="nil"/>
            </w:tcBorders>
            <w:shd w:val="clear" w:color="auto" w:fill="auto"/>
            <w:noWrap/>
            <w:vAlign w:val="bottom"/>
            <w:hideMark/>
          </w:tcPr>
          <w:p w14:paraId="0289E4EC" w14:textId="6CC38076"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7F1FE79B" w14:textId="3E73942F" w:rsidR="00DA2010" w:rsidRDefault="00DA2010" w:rsidP="00DA2010">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06051628" w14:textId="2BEC25B6" w:rsidR="00DA2010" w:rsidRDefault="00DA2010" w:rsidP="00DA2010">
            <w:pPr>
              <w:jc w:val="right"/>
              <w:rPr>
                <w:color w:val="000000"/>
                <w:sz w:val="20"/>
                <w:szCs w:val="20"/>
              </w:rPr>
            </w:pPr>
            <w:r>
              <w:rPr>
                <w:color w:val="000000"/>
                <w:sz w:val="20"/>
                <w:szCs w:val="20"/>
              </w:rPr>
              <w:t>0.661</w:t>
            </w:r>
          </w:p>
        </w:tc>
        <w:tc>
          <w:tcPr>
            <w:tcW w:w="768" w:type="dxa"/>
            <w:tcBorders>
              <w:top w:val="nil"/>
              <w:left w:val="nil"/>
              <w:bottom w:val="single" w:sz="4" w:space="0" w:color="auto"/>
              <w:right w:val="nil"/>
            </w:tcBorders>
            <w:shd w:val="clear" w:color="auto" w:fill="auto"/>
            <w:noWrap/>
            <w:vAlign w:val="bottom"/>
            <w:hideMark/>
          </w:tcPr>
          <w:p w14:paraId="0C2FB5DB" w14:textId="58E2BDA9"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D604450" w14:textId="5947DE65" w:rsidR="00DA2010" w:rsidRDefault="00DA2010" w:rsidP="00DA2010">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11297BEB" w14:textId="65605494" w:rsidR="00DA2010" w:rsidRDefault="00DA2010" w:rsidP="00DA2010">
            <w:pPr>
              <w:jc w:val="right"/>
              <w:rPr>
                <w:color w:val="000000"/>
                <w:sz w:val="20"/>
                <w:szCs w:val="20"/>
              </w:rPr>
            </w:pPr>
            <w:r>
              <w:rPr>
                <w:color w:val="000000"/>
                <w:sz w:val="20"/>
                <w:szCs w:val="20"/>
              </w:rPr>
              <w:t>0.871</w:t>
            </w:r>
          </w:p>
        </w:tc>
        <w:tc>
          <w:tcPr>
            <w:tcW w:w="768" w:type="dxa"/>
            <w:tcBorders>
              <w:top w:val="nil"/>
              <w:left w:val="nil"/>
              <w:bottom w:val="single" w:sz="4" w:space="0" w:color="auto"/>
              <w:right w:val="nil"/>
            </w:tcBorders>
            <w:shd w:val="clear" w:color="auto" w:fill="auto"/>
            <w:noWrap/>
            <w:vAlign w:val="bottom"/>
            <w:hideMark/>
          </w:tcPr>
          <w:p w14:paraId="7F83AB74" w14:textId="0DCF7C80"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9556D1C" w14:textId="3B622457" w:rsidR="00DA2010" w:rsidRDefault="00DA2010" w:rsidP="00DA2010">
            <w:pPr>
              <w:jc w:val="right"/>
              <w:rPr>
                <w:color w:val="000000"/>
                <w:sz w:val="20"/>
                <w:szCs w:val="20"/>
              </w:rPr>
            </w:pPr>
            <w:r>
              <w:rPr>
                <w:color w:val="000000"/>
                <w:sz w:val="20"/>
                <w:szCs w:val="20"/>
              </w:rPr>
              <w:t>-0.054</w:t>
            </w:r>
          </w:p>
        </w:tc>
        <w:tc>
          <w:tcPr>
            <w:tcW w:w="768" w:type="dxa"/>
            <w:tcBorders>
              <w:top w:val="nil"/>
              <w:left w:val="nil"/>
              <w:bottom w:val="single" w:sz="4" w:space="0" w:color="auto"/>
              <w:right w:val="nil"/>
            </w:tcBorders>
            <w:shd w:val="clear" w:color="auto" w:fill="auto"/>
            <w:noWrap/>
            <w:vAlign w:val="bottom"/>
            <w:hideMark/>
          </w:tcPr>
          <w:p w14:paraId="5D47C1A2" w14:textId="381F4D06" w:rsidR="00DA2010" w:rsidRDefault="00DA2010" w:rsidP="00DA2010">
            <w:pPr>
              <w:jc w:val="right"/>
              <w:rPr>
                <w:color w:val="000000"/>
                <w:sz w:val="20"/>
                <w:szCs w:val="20"/>
              </w:rPr>
            </w:pPr>
            <w:r>
              <w:rPr>
                <w:color w:val="000000"/>
                <w:sz w:val="20"/>
                <w:szCs w:val="20"/>
              </w:rPr>
              <w:t>0.446</w:t>
            </w:r>
          </w:p>
        </w:tc>
        <w:tc>
          <w:tcPr>
            <w:tcW w:w="768" w:type="dxa"/>
            <w:tcBorders>
              <w:top w:val="nil"/>
              <w:left w:val="nil"/>
              <w:bottom w:val="single" w:sz="4" w:space="0" w:color="auto"/>
              <w:right w:val="nil"/>
            </w:tcBorders>
            <w:shd w:val="clear" w:color="auto" w:fill="auto"/>
            <w:noWrap/>
            <w:vAlign w:val="bottom"/>
            <w:hideMark/>
          </w:tcPr>
          <w:p w14:paraId="24DC4470" w14:textId="16F91D83"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313A3556" w14:textId="5A0DFC9B" w:rsidR="00DA2010" w:rsidRDefault="00DA2010" w:rsidP="00DA2010">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211CE402" w14:textId="5E0A2507" w:rsidR="00DA2010" w:rsidRDefault="00DA2010" w:rsidP="00DA2010">
            <w:pPr>
              <w:jc w:val="right"/>
              <w:rPr>
                <w:color w:val="000000"/>
                <w:sz w:val="20"/>
                <w:szCs w:val="20"/>
              </w:rPr>
            </w:pPr>
            <w:r>
              <w:rPr>
                <w:color w:val="000000"/>
                <w:sz w:val="20"/>
                <w:szCs w:val="20"/>
              </w:rPr>
              <w:t>0.710</w:t>
            </w:r>
          </w:p>
        </w:tc>
        <w:tc>
          <w:tcPr>
            <w:tcW w:w="768" w:type="dxa"/>
            <w:tcBorders>
              <w:top w:val="nil"/>
              <w:left w:val="nil"/>
              <w:bottom w:val="single" w:sz="4" w:space="0" w:color="auto"/>
              <w:right w:val="nil"/>
            </w:tcBorders>
            <w:shd w:val="clear" w:color="auto" w:fill="auto"/>
            <w:noWrap/>
            <w:vAlign w:val="bottom"/>
            <w:hideMark/>
          </w:tcPr>
          <w:p w14:paraId="6C63EA4E" w14:textId="6F2C49E8" w:rsidR="00DA2010" w:rsidRDefault="00DA2010" w:rsidP="00DA2010">
            <w:pPr>
              <w:jc w:val="right"/>
              <w:rPr>
                <w:color w:val="000000"/>
                <w:sz w:val="20"/>
                <w:szCs w:val="20"/>
              </w:rPr>
            </w:pPr>
            <w:r>
              <w:rPr>
                <w:color w:val="000000"/>
                <w:sz w:val="20"/>
                <w:szCs w:val="20"/>
              </w:rPr>
              <w:t>0.001</w:t>
            </w:r>
          </w:p>
        </w:tc>
      </w:tr>
      <w:tr w:rsidR="00DA2010" w14:paraId="544B1C3B" w14:textId="77777777" w:rsidTr="00E221DF">
        <w:trPr>
          <w:trHeight w:val="320"/>
        </w:trPr>
        <w:tc>
          <w:tcPr>
            <w:tcW w:w="1176" w:type="dxa"/>
            <w:tcBorders>
              <w:top w:val="nil"/>
              <w:left w:val="nil"/>
              <w:bottom w:val="nil"/>
              <w:right w:val="nil"/>
            </w:tcBorders>
            <w:shd w:val="clear" w:color="auto" w:fill="auto"/>
            <w:noWrap/>
            <w:vAlign w:val="bottom"/>
            <w:hideMark/>
          </w:tcPr>
          <w:p w14:paraId="0DD09387" w14:textId="77777777" w:rsidR="00DA2010" w:rsidRDefault="00DA2010" w:rsidP="00DA2010">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15B84C4E" w14:textId="77777777" w:rsidR="00DA2010" w:rsidRDefault="00DA2010" w:rsidP="00DA201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A5410E5" w14:textId="03B4FD63" w:rsidR="00DA2010" w:rsidRDefault="00DA2010" w:rsidP="00DA2010">
            <w:pPr>
              <w:jc w:val="right"/>
              <w:rPr>
                <w:b/>
                <w:bCs/>
                <w:color w:val="000000"/>
                <w:sz w:val="20"/>
                <w:szCs w:val="20"/>
              </w:rPr>
            </w:pPr>
            <w:r>
              <w:rPr>
                <w:b/>
                <w:bCs/>
                <w:color w:val="000000"/>
                <w:sz w:val="20"/>
                <w:szCs w:val="20"/>
              </w:rPr>
              <w:t>0.085</w:t>
            </w:r>
          </w:p>
        </w:tc>
        <w:tc>
          <w:tcPr>
            <w:tcW w:w="768" w:type="dxa"/>
            <w:tcBorders>
              <w:top w:val="nil"/>
              <w:left w:val="nil"/>
              <w:bottom w:val="nil"/>
              <w:right w:val="nil"/>
            </w:tcBorders>
            <w:shd w:val="clear" w:color="auto" w:fill="auto"/>
            <w:noWrap/>
            <w:vAlign w:val="bottom"/>
            <w:hideMark/>
          </w:tcPr>
          <w:p w14:paraId="661902BF" w14:textId="54135956" w:rsidR="00DA2010" w:rsidRDefault="00DA2010" w:rsidP="00DA2010">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688B4641" w14:textId="791858E4" w:rsidR="00DA2010" w:rsidRPr="00DA2010" w:rsidRDefault="00DA2010" w:rsidP="00DA2010">
            <w:pPr>
              <w:jc w:val="right"/>
              <w:rPr>
                <w:b/>
                <w:bCs/>
                <w:color w:val="000000"/>
                <w:sz w:val="20"/>
                <w:szCs w:val="20"/>
              </w:rPr>
            </w:pPr>
            <w:r w:rsidRPr="00DA2010">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421328E5" w14:textId="30B05B57" w:rsidR="00DA2010" w:rsidRDefault="00DA2010" w:rsidP="00DA2010">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7414A7A3" w14:textId="1E08EF26" w:rsidR="00DA2010" w:rsidRDefault="00DA2010" w:rsidP="00DA2010">
            <w:pPr>
              <w:jc w:val="right"/>
              <w:rPr>
                <w:color w:val="000000"/>
                <w:sz w:val="20"/>
                <w:szCs w:val="20"/>
              </w:rPr>
            </w:pPr>
            <w:r>
              <w:rPr>
                <w:color w:val="000000"/>
                <w:sz w:val="20"/>
                <w:szCs w:val="20"/>
              </w:rPr>
              <w:t>0.608</w:t>
            </w:r>
          </w:p>
        </w:tc>
        <w:tc>
          <w:tcPr>
            <w:tcW w:w="768" w:type="dxa"/>
            <w:tcBorders>
              <w:top w:val="nil"/>
              <w:left w:val="nil"/>
              <w:bottom w:val="nil"/>
              <w:right w:val="nil"/>
            </w:tcBorders>
            <w:shd w:val="clear" w:color="auto" w:fill="auto"/>
            <w:noWrap/>
            <w:vAlign w:val="bottom"/>
            <w:hideMark/>
          </w:tcPr>
          <w:p w14:paraId="57701F3C" w14:textId="2C689ABE"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6B26EE" w14:textId="144A5C59" w:rsidR="00DA2010" w:rsidRDefault="00DA2010" w:rsidP="00DA201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0C11BAD" w14:textId="4842A383" w:rsidR="00DA2010" w:rsidRDefault="00DA2010" w:rsidP="00DA2010">
            <w:pPr>
              <w:jc w:val="right"/>
              <w:rPr>
                <w:color w:val="000000"/>
                <w:sz w:val="20"/>
                <w:szCs w:val="20"/>
              </w:rPr>
            </w:pPr>
            <w:r>
              <w:rPr>
                <w:color w:val="000000"/>
                <w:sz w:val="20"/>
                <w:szCs w:val="20"/>
              </w:rPr>
              <w:t>0.880</w:t>
            </w:r>
          </w:p>
        </w:tc>
        <w:tc>
          <w:tcPr>
            <w:tcW w:w="768" w:type="dxa"/>
            <w:tcBorders>
              <w:top w:val="nil"/>
              <w:left w:val="nil"/>
              <w:bottom w:val="nil"/>
              <w:right w:val="nil"/>
            </w:tcBorders>
            <w:shd w:val="clear" w:color="auto" w:fill="auto"/>
            <w:noWrap/>
            <w:vAlign w:val="bottom"/>
            <w:hideMark/>
          </w:tcPr>
          <w:p w14:paraId="4B4FA3EC" w14:textId="51DB0E65"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507A0A" w14:textId="0B6C8411" w:rsidR="00DA2010" w:rsidRDefault="00DA2010" w:rsidP="00DA2010">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2F669B4A" w14:textId="437AED4F" w:rsidR="00DA2010" w:rsidRDefault="00DA2010" w:rsidP="00DA2010">
            <w:pPr>
              <w:jc w:val="right"/>
              <w:rPr>
                <w:color w:val="000000"/>
                <w:sz w:val="20"/>
                <w:szCs w:val="20"/>
              </w:rPr>
            </w:pPr>
            <w:r>
              <w:rPr>
                <w:color w:val="000000"/>
                <w:sz w:val="20"/>
                <w:szCs w:val="20"/>
              </w:rPr>
              <w:t>0.230</w:t>
            </w:r>
          </w:p>
        </w:tc>
        <w:tc>
          <w:tcPr>
            <w:tcW w:w="768" w:type="dxa"/>
            <w:tcBorders>
              <w:top w:val="nil"/>
              <w:left w:val="nil"/>
              <w:bottom w:val="nil"/>
              <w:right w:val="nil"/>
            </w:tcBorders>
            <w:shd w:val="clear" w:color="auto" w:fill="auto"/>
            <w:noWrap/>
            <w:vAlign w:val="bottom"/>
            <w:hideMark/>
          </w:tcPr>
          <w:p w14:paraId="0E602E91" w14:textId="2A5ADFF7"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AE72B7F" w14:textId="196F30B8" w:rsidR="00DA2010" w:rsidRDefault="00DA2010" w:rsidP="00DA2010">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317C712B" w14:textId="515CBF27" w:rsidR="00DA2010" w:rsidRDefault="00DA2010" w:rsidP="00DA2010">
            <w:pPr>
              <w:jc w:val="right"/>
              <w:rPr>
                <w:color w:val="000000"/>
                <w:sz w:val="20"/>
                <w:szCs w:val="20"/>
              </w:rPr>
            </w:pPr>
            <w:r>
              <w:rPr>
                <w:color w:val="000000"/>
                <w:sz w:val="20"/>
                <w:szCs w:val="20"/>
              </w:rPr>
              <w:t>0.623</w:t>
            </w:r>
          </w:p>
        </w:tc>
        <w:tc>
          <w:tcPr>
            <w:tcW w:w="768" w:type="dxa"/>
            <w:tcBorders>
              <w:top w:val="nil"/>
              <w:left w:val="nil"/>
              <w:bottom w:val="nil"/>
              <w:right w:val="nil"/>
            </w:tcBorders>
            <w:shd w:val="clear" w:color="auto" w:fill="auto"/>
            <w:noWrap/>
            <w:vAlign w:val="bottom"/>
            <w:hideMark/>
          </w:tcPr>
          <w:p w14:paraId="0E0E43C9" w14:textId="11751248" w:rsidR="00DA2010" w:rsidRDefault="00DA2010" w:rsidP="00DA2010">
            <w:pPr>
              <w:jc w:val="right"/>
              <w:rPr>
                <w:color w:val="000000"/>
                <w:sz w:val="20"/>
                <w:szCs w:val="20"/>
              </w:rPr>
            </w:pPr>
            <w:r>
              <w:rPr>
                <w:color w:val="000000"/>
                <w:sz w:val="20"/>
                <w:szCs w:val="20"/>
              </w:rPr>
              <w:t>0.000</w:t>
            </w:r>
          </w:p>
        </w:tc>
      </w:tr>
      <w:tr w:rsidR="00DA2010" w14:paraId="4316C502" w14:textId="77777777" w:rsidTr="00E221DF">
        <w:trPr>
          <w:trHeight w:val="320"/>
        </w:trPr>
        <w:tc>
          <w:tcPr>
            <w:tcW w:w="1176" w:type="dxa"/>
            <w:tcBorders>
              <w:top w:val="nil"/>
              <w:left w:val="nil"/>
              <w:bottom w:val="nil"/>
              <w:right w:val="nil"/>
            </w:tcBorders>
            <w:shd w:val="clear" w:color="auto" w:fill="auto"/>
            <w:noWrap/>
            <w:vAlign w:val="bottom"/>
            <w:hideMark/>
          </w:tcPr>
          <w:p w14:paraId="6086F5B3"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8CADF1" w14:textId="77777777" w:rsidR="00DA2010" w:rsidRDefault="00DA2010" w:rsidP="00DA201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3F9CF32" w14:textId="044D770A"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18E6011" w14:textId="65ACB784" w:rsidR="00DA2010" w:rsidRDefault="00DA2010" w:rsidP="00DA201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7E086123" w14:textId="2EF2E5CC"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836A63" w14:textId="7683293D" w:rsidR="00DA2010" w:rsidRDefault="00DA2010" w:rsidP="00DA2010">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6951662" w14:textId="351A0265" w:rsidR="00DA2010" w:rsidRDefault="00DA2010" w:rsidP="00DA2010">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40886CD7" w14:textId="7D0F82CB"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CC459A2" w14:textId="0C4E207B"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AF7A6A" w14:textId="4C9902BA" w:rsidR="00DA2010" w:rsidRDefault="00DA2010" w:rsidP="00DA2010">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1DF7F0D4" w14:textId="1FD19419"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DEB0F5" w14:textId="0781C7F4" w:rsidR="00DA2010" w:rsidRDefault="00DA2010" w:rsidP="00DA2010">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39378CD5" w14:textId="7C38088A" w:rsidR="00DA2010" w:rsidRDefault="00DA2010" w:rsidP="00DA2010">
            <w:pPr>
              <w:jc w:val="right"/>
              <w:rPr>
                <w:color w:val="000000"/>
                <w:sz w:val="20"/>
                <w:szCs w:val="20"/>
              </w:rPr>
            </w:pPr>
            <w:r>
              <w:rPr>
                <w:color w:val="000000"/>
                <w:sz w:val="20"/>
                <w:szCs w:val="20"/>
              </w:rPr>
              <w:t>0.230</w:t>
            </w:r>
          </w:p>
        </w:tc>
        <w:tc>
          <w:tcPr>
            <w:tcW w:w="768" w:type="dxa"/>
            <w:tcBorders>
              <w:top w:val="nil"/>
              <w:left w:val="nil"/>
              <w:bottom w:val="nil"/>
              <w:right w:val="nil"/>
            </w:tcBorders>
            <w:shd w:val="clear" w:color="auto" w:fill="auto"/>
            <w:noWrap/>
            <w:vAlign w:val="bottom"/>
            <w:hideMark/>
          </w:tcPr>
          <w:p w14:paraId="23229B73" w14:textId="5166F1B7"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1B25CFA" w14:textId="2AC7EF02" w:rsidR="00DA2010" w:rsidRPr="00CB0ED3" w:rsidRDefault="00DA2010" w:rsidP="00DA2010">
            <w:pPr>
              <w:jc w:val="right"/>
              <w:rPr>
                <w:b/>
                <w:bCs/>
                <w:color w:val="000000"/>
                <w:sz w:val="20"/>
                <w:szCs w:val="20"/>
              </w:rPr>
            </w:pPr>
            <w:r w:rsidRPr="00CB0ED3">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32A5A043" w14:textId="6296E867" w:rsidR="00DA2010" w:rsidRPr="00CB0ED3" w:rsidRDefault="00DA2010" w:rsidP="00DA2010">
            <w:pPr>
              <w:jc w:val="right"/>
              <w:rPr>
                <w:b/>
                <w:bCs/>
                <w:color w:val="000000"/>
                <w:sz w:val="20"/>
                <w:szCs w:val="20"/>
              </w:rPr>
            </w:pPr>
            <w:r w:rsidRPr="00CB0ED3">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17020216" w14:textId="136FC633" w:rsidR="00DA2010" w:rsidRPr="00CB0ED3" w:rsidRDefault="00DA2010" w:rsidP="00DA2010">
            <w:pPr>
              <w:jc w:val="right"/>
              <w:rPr>
                <w:b/>
                <w:bCs/>
                <w:color w:val="000000"/>
                <w:sz w:val="20"/>
                <w:szCs w:val="20"/>
              </w:rPr>
            </w:pPr>
            <w:r w:rsidRPr="00CB0ED3">
              <w:rPr>
                <w:b/>
                <w:bCs/>
                <w:color w:val="000000"/>
                <w:sz w:val="20"/>
                <w:szCs w:val="20"/>
              </w:rPr>
              <w:t>0.008</w:t>
            </w:r>
          </w:p>
        </w:tc>
      </w:tr>
      <w:tr w:rsidR="00DA2010" w14:paraId="2BF97F52" w14:textId="77777777" w:rsidTr="00E221DF">
        <w:trPr>
          <w:trHeight w:val="320"/>
        </w:trPr>
        <w:tc>
          <w:tcPr>
            <w:tcW w:w="1176" w:type="dxa"/>
            <w:tcBorders>
              <w:top w:val="nil"/>
              <w:left w:val="nil"/>
              <w:bottom w:val="nil"/>
              <w:right w:val="nil"/>
            </w:tcBorders>
            <w:shd w:val="clear" w:color="auto" w:fill="auto"/>
            <w:noWrap/>
            <w:vAlign w:val="bottom"/>
            <w:hideMark/>
          </w:tcPr>
          <w:p w14:paraId="5B90AE59"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87D7741" w14:textId="77777777" w:rsidR="00DA2010" w:rsidRDefault="00DA2010" w:rsidP="00DA201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054DA2B" w14:textId="7A7C8E7F" w:rsidR="00DA2010" w:rsidRDefault="00DA2010" w:rsidP="00DA201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242907E" w14:textId="46526699" w:rsidR="00DA2010" w:rsidRDefault="00DA2010" w:rsidP="00DA2010">
            <w:pPr>
              <w:jc w:val="right"/>
              <w:rPr>
                <w:color w:val="000000"/>
                <w:sz w:val="20"/>
                <w:szCs w:val="20"/>
              </w:rPr>
            </w:pPr>
            <w:r>
              <w:rPr>
                <w:color w:val="000000"/>
                <w:sz w:val="20"/>
                <w:szCs w:val="20"/>
              </w:rPr>
              <w:t>0.887</w:t>
            </w:r>
          </w:p>
        </w:tc>
        <w:tc>
          <w:tcPr>
            <w:tcW w:w="768" w:type="dxa"/>
            <w:tcBorders>
              <w:top w:val="nil"/>
              <w:left w:val="nil"/>
              <w:bottom w:val="nil"/>
              <w:right w:val="nil"/>
            </w:tcBorders>
            <w:shd w:val="clear" w:color="auto" w:fill="auto"/>
            <w:noWrap/>
            <w:vAlign w:val="bottom"/>
            <w:hideMark/>
          </w:tcPr>
          <w:p w14:paraId="3EAE08B1" w14:textId="6D447ACA"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903CC0" w14:textId="456501DD" w:rsidR="00DA2010" w:rsidRDefault="00DA2010" w:rsidP="00DA2010">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79777268" w14:textId="183E19B7" w:rsidR="00DA2010" w:rsidRDefault="00DA2010" w:rsidP="00DA2010">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766CE5C1" w14:textId="79F67A3C" w:rsidR="00DA2010" w:rsidRDefault="00DA2010" w:rsidP="00DA201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AB7258F" w14:textId="76DFDB89" w:rsidR="00DA2010" w:rsidRDefault="00DA2010" w:rsidP="00DA201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F28AFF2" w14:textId="6FF31F2B" w:rsidR="00DA2010" w:rsidRDefault="00DA2010" w:rsidP="00DA2010">
            <w:pPr>
              <w:jc w:val="right"/>
              <w:rPr>
                <w:color w:val="000000"/>
                <w:sz w:val="20"/>
                <w:szCs w:val="20"/>
              </w:rPr>
            </w:pPr>
            <w:r>
              <w:rPr>
                <w:color w:val="000000"/>
                <w:sz w:val="20"/>
                <w:szCs w:val="20"/>
              </w:rPr>
              <w:t>0.880</w:t>
            </w:r>
          </w:p>
        </w:tc>
        <w:tc>
          <w:tcPr>
            <w:tcW w:w="768" w:type="dxa"/>
            <w:tcBorders>
              <w:top w:val="nil"/>
              <w:left w:val="nil"/>
              <w:bottom w:val="nil"/>
              <w:right w:val="nil"/>
            </w:tcBorders>
            <w:shd w:val="clear" w:color="auto" w:fill="auto"/>
            <w:noWrap/>
            <w:vAlign w:val="bottom"/>
            <w:hideMark/>
          </w:tcPr>
          <w:p w14:paraId="06F2BE52" w14:textId="54D22220"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7BF661" w14:textId="2AABD7ED" w:rsidR="00DA2010" w:rsidRDefault="00DA2010" w:rsidP="00DA2010">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13A7AF9F" w14:textId="718ABD1B" w:rsidR="00DA2010" w:rsidRDefault="00DA2010" w:rsidP="00DA2010">
            <w:pPr>
              <w:jc w:val="right"/>
              <w:rPr>
                <w:color w:val="000000"/>
                <w:sz w:val="20"/>
                <w:szCs w:val="20"/>
              </w:rPr>
            </w:pPr>
            <w:r>
              <w:rPr>
                <w:color w:val="000000"/>
                <w:sz w:val="20"/>
                <w:szCs w:val="20"/>
              </w:rPr>
              <w:t>0.230</w:t>
            </w:r>
          </w:p>
        </w:tc>
        <w:tc>
          <w:tcPr>
            <w:tcW w:w="768" w:type="dxa"/>
            <w:tcBorders>
              <w:top w:val="nil"/>
              <w:left w:val="nil"/>
              <w:bottom w:val="nil"/>
              <w:right w:val="nil"/>
            </w:tcBorders>
            <w:shd w:val="clear" w:color="auto" w:fill="auto"/>
            <w:noWrap/>
            <w:vAlign w:val="bottom"/>
            <w:hideMark/>
          </w:tcPr>
          <w:p w14:paraId="23092C13" w14:textId="0DC32E52"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1EC890E" w14:textId="63DC7321" w:rsidR="00DA2010" w:rsidRDefault="00DA2010" w:rsidP="00DA2010">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A52A1BF" w14:textId="0DB3BECF" w:rsidR="00DA2010" w:rsidRDefault="00DA2010" w:rsidP="00DA2010">
            <w:pPr>
              <w:jc w:val="right"/>
              <w:rPr>
                <w:color w:val="000000"/>
                <w:sz w:val="20"/>
                <w:szCs w:val="20"/>
              </w:rPr>
            </w:pPr>
            <w:r>
              <w:rPr>
                <w:color w:val="000000"/>
                <w:sz w:val="20"/>
                <w:szCs w:val="20"/>
              </w:rPr>
              <w:t>0.628</w:t>
            </w:r>
          </w:p>
        </w:tc>
        <w:tc>
          <w:tcPr>
            <w:tcW w:w="768" w:type="dxa"/>
            <w:tcBorders>
              <w:top w:val="nil"/>
              <w:left w:val="nil"/>
              <w:bottom w:val="nil"/>
              <w:right w:val="nil"/>
            </w:tcBorders>
            <w:shd w:val="clear" w:color="auto" w:fill="auto"/>
            <w:noWrap/>
            <w:vAlign w:val="bottom"/>
            <w:hideMark/>
          </w:tcPr>
          <w:p w14:paraId="2F13F70D" w14:textId="2DD8CEDE" w:rsidR="00DA2010" w:rsidRDefault="00DA2010" w:rsidP="00DA2010">
            <w:pPr>
              <w:jc w:val="right"/>
              <w:rPr>
                <w:color w:val="000000"/>
                <w:sz w:val="20"/>
                <w:szCs w:val="20"/>
              </w:rPr>
            </w:pPr>
            <w:r>
              <w:rPr>
                <w:color w:val="000000"/>
                <w:sz w:val="20"/>
                <w:szCs w:val="20"/>
              </w:rPr>
              <w:t>0.000</w:t>
            </w:r>
          </w:p>
        </w:tc>
      </w:tr>
      <w:tr w:rsidR="00DA2010" w14:paraId="3E5D7CE6" w14:textId="77777777" w:rsidTr="00E221DF">
        <w:trPr>
          <w:trHeight w:val="320"/>
        </w:trPr>
        <w:tc>
          <w:tcPr>
            <w:tcW w:w="1176" w:type="dxa"/>
            <w:tcBorders>
              <w:top w:val="nil"/>
              <w:left w:val="nil"/>
              <w:bottom w:val="nil"/>
              <w:right w:val="nil"/>
            </w:tcBorders>
            <w:shd w:val="clear" w:color="auto" w:fill="auto"/>
            <w:noWrap/>
            <w:vAlign w:val="bottom"/>
            <w:hideMark/>
          </w:tcPr>
          <w:p w14:paraId="1D963F36"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03CCF7" w14:textId="77777777" w:rsidR="00DA2010" w:rsidRDefault="00DA2010" w:rsidP="00DA201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4DAEB1C" w14:textId="123D0CC3" w:rsidR="00DA2010" w:rsidRDefault="00DA2010" w:rsidP="00DA201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D7A60AC" w14:textId="0A039EA7" w:rsidR="00DA2010" w:rsidRDefault="00DA2010" w:rsidP="00DA201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6ADB759B" w14:textId="7D782ABF"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3BB452" w14:textId="35B04131" w:rsidR="00DA2010" w:rsidRDefault="00DA2010" w:rsidP="00DA2010">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D816EC1" w14:textId="35DC69DD" w:rsidR="00DA2010" w:rsidRDefault="00DA2010" w:rsidP="00DA2010">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3982A819" w14:textId="28E2FDE4"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477A1F3" w14:textId="67DD2A67" w:rsidR="00DA2010" w:rsidRDefault="00DA2010" w:rsidP="00DA2010">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5C8CD5A5" w14:textId="55AF688C" w:rsidR="00DA2010" w:rsidRDefault="00DA2010" w:rsidP="00DA2010">
            <w:pPr>
              <w:jc w:val="right"/>
              <w:rPr>
                <w:color w:val="000000"/>
                <w:sz w:val="20"/>
                <w:szCs w:val="20"/>
              </w:rPr>
            </w:pPr>
            <w:r>
              <w:rPr>
                <w:color w:val="000000"/>
                <w:sz w:val="20"/>
                <w:szCs w:val="20"/>
              </w:rPr>
              <w:t>0.300</w:t>
            </w:r>
          </w:p>
        </w:tc>
        <w:tc>
          <w:tcPr>
            <w:tcW w:w="768" w:type="dxa"/>
            <w:tcBorders>
              <w:top w:val="nil"/>
              <w:left w:val="nil"/>
              <w:bottom w:val="nil"/>
              <w:right w:val="nil"/>
            </w:tcBorders>
            <w:shd w:val="clear" w:color="auto" w:fill="auto"/>
            <w:noWrap/>
            <w:vAlign w:val="bottom"/>
            <w:hideMark/>
          </w:tcPr>
          <w:p w14:paraId="21ED0A23" w14:textId="5C785908"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DAAA979" w14:textId="62247833" w:rsidR="00DA2010" w:rsidRDefault="00DA2010" w:rsidP="00DA2010">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373448BF" w14:textId="04464E9A" w:rsidR="00DA2010" w:rsidRDefault="00DA2010" w:rsidP="00DA2010">
            <w:pPr>
              <w:jc w:val="right"/>
              <w:rPr>
                <w:color w:val="000000"/>
                <w:sz w:val="20"/>
                <w:szCs w:val="20"/>
              </w:rPr>
            </w:pPr>
            <w:r>
              <w:rPr>
                <w:color w:val="000000"/>
                <w:sz w:val="20"/>
                <w:szCs w:val="20"/>
              </w:rPr>
              <w:t>0.230</w:t>
            </w:r>
          </w:p>
        </w:tc>
        <w:tc>
          <w:tcPr>
            <w:tcW w:w="768" w:type="dxa"/>
            <w:tcBorders>
              <w:top w:val="nil"/>
              <w:left w:val="nil"/>
              <w:bottom w:val="nil"/>
              <w:right w:val="nil"/>
            </w:tcBorders>
            <w:shd w:val="clear" w:color="auto" w:fill="auto"/>
            <w:noWrap/>
            <w:vAlign w:val="bottom"/>
            <w:hideMark/>
          </w:tcPr>
          <w:p w14:paraId="6BD78D4B" w14:textId="3C1EE205"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7546225" w14:textId="0FA74B15" w:rsidR="00DA2010" w:rsidRDefault="00DA2010" w:rsidP="00DA2010">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0B45EE80" w14:textId="0BF27349" w:rsidR="00DA2010" w:rsidRDefault="00DA2010" w:rsidP="00DA2010">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14DB5BCD" w14:textId="232D1F94" w:rsidR="00DA2010" w:rsidRDefault="00DA2010" w:rsidP="00DA2010">
            <w:pPr>
              <w:jc w:val="right"/>
              <w:rPr>
                <w:color w:val="000000"/>
                <w:sz w:val="20"/>
                <w:szCs w:val="20"/>
              </w:rPr>
            </w:pPr>
            <w:r>
              <w:rPr>
                <w:color w:val="000000"/>
                <w:sz w:val="20"/>
                <w:szCs w:val="20"/>
              </w:rPr>
              <w:t>0.003</w:t>
            </w:r>
          </w:p>
        </w:tc>
      </w:tr>
      <w:tr w:rsidR="00DA2010" w14:paraId="002749C8" w14:textId="77777777" w:rsidTr="00E221DF">
        <w:trPr>
          <w:trHeight w:val="320"/>
        </w:trPr>
        <w:tc>
          <w:tcPr>
            <w:tcW w:w="1176" w:type="dxa"/>
            <w:tcBorders>
              <w:top w:val="nil"/>
              <w:left w:val="nil"/>
              <w:bottom w:val="nil"/>
              <w:right w:val="nil"/>
            </w:tcBorders>
            <w:shd w:val="clear" w:color="auto" w:fill="auto"/>
            <w:noWrap/>
            <w:vAlign w:val="bottom"/>
            <w:hideMark/>
          </w:tcPr>
          <w:p w14:paraId="238D4A97"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733DD2" w14:textId="77777777" w:rsidR="00DA2010" w:rsidRDefault="00DA2010" w:rsidP="00DA201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6179F9F" w14:textId="33E56B48" w:rsidR="00DA2010" w:rsidRDefault="00DA2010" w:rsidP="00DA2010">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735353D3" w14:textId="68914884" w:rsidR="00DA2010" w:rsidRDefault="00DA2010" w:rsidP="00DA2010">
            <w:pPr>
              <w:jc w:val="right"/>
              <w:rPr>
                <w:color w:val="000000"/>
                <w:sz w:val="20"/>
                <w:szCs w:val="20"/>
              </w:rPr>
            </w:pPr>
            <w:r>
              <w:rPr>
                <w:color w:val="000000"/>
                <w:sz w:val="20"/>
                <w:szCs w:val="20"/>
              </w:rPr>
              <w:t>0.474</w:t>
            </w:r>
          </w:p>
        </w:tc>
        <w:tc>
          <w:tcPr>
            <w:tcW w:w="768" w:type="dxa"/>
            <w:tcBorders>
              <w:top w:val="nil"/>
              <w:left w:val="nil"/>
              <w:bottom w:val="nil"/>
              <w:right w:val="nil"/>
            </w:tcBorders>
            <w:shd w:val="clear" w:color="auto" w:fill="auto"/>
            <w:noWrap/>
            <w:vAlign w:val="bottom"/>
            <w:hideMark/>
          </w:tcPr>
          <w:p w14:paraId="5EC3C747" w14:textId="62FA0FD9"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C0D1ED" w14:textId="3F9BF001" w:rsidR="00DA2010" w:rsidRDefault="00DA2010" w:rsidP="00DA2010">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5B42307C" w14:textId="7D7E774B" w:rsidR="00DA2010" w:rsidRDefault="00DA2010" w:rsidP="00DA2010">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154AF884" w14:textId="3A93CBF0"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82C8FE7" w14:textId="4885C790" w:rsidR="00DA2010" w:rsidRDefault="00DA2010" w:rsidP="00DA201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0999AB6" w14:textId="411C1BFF" w:rsidR="00DA2010" w:rsidRDefault="00DA2010" w:rsidP="00DA2010">
            <w:pPr>
              <w:jc w:val="right"/>
              <w:rPr>
                <w:color w:val="000000"/>
                <w:sz w:val="20"/>
                <w:szCs w:val="20"/>
              </w:rPr>
            </w:pPr>
            <w:r>
              <w:rPr>
                <w:color w:val="000000"/>
                <w:sz w:val="20"/>
                <w:szCs w:val="20"/>
              </w:rPr>
              <w:t>0.592</w:t>
            </w:r>
          </w:p>
        </w:tc>
        <w:tc>
          <w:tcPr>
            <w:tcW w:w="768" w:type="dxa"/>
            <w:tcBorders>
              <w:top w:val="nil"/>
              <w:left w:val="nil"/>
              <w:bottom w:val="nil"/>
              <w:right w:val="nil"/>
            </w:tcBorders>
            <w:shd w:val="clear" w:color="auto" w:fill="auto"/>
            <w:noWrap/>
            <w:vAlign w:val="bottom"/>
            <w:hideMark/>
          </w:tcPr>
          <w:p w14:paraId="7FD11374" w14:textId="12E435D3"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2E43318" w14:textId="6D3281CA" w:rsidR="00DA2010" w:rsidRDefault="00DA2010" w:rsidP="00DA201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788CD33" w14:textId="2B3CE365" w:rsidR="00DA2010" w:rsidRDefault="00DA2010" w:rsidP="00DA2010">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3635012F" w14:textId="5DFC66E1"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7B31E1" w14:textId="24A2B92F" w:rsidR="00DA2010" w:rsidRDefault="00DA2010" w:rsidP="00DA201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3355B5B" w14:textId="50FEEA2C" w:rsidR="00DA2010" w:rsidRDefault="00DA2010" w:rsidP="00DA2010">
            <w:pPr>
              <w:jc w:val="right"/>
              <w:rPr>
                <w:color w:val="000000"/>
                <w:sz w:val="20"/>
                <w:szCs w:val="20"/>
              </w:rPr>
            </w:pPr>
            <w:r>
              <w:rPr>
                <w:color w:val="000000"/>
                <w:sz w:val="20"/>
                <w:szCs w:val="20"/>
              </w:rPr>
              <w:t>0.623</w:t>
            </w:r>
          </w:p>
        </w:tc>
        <w:tc>
          <w:tcPr>
            <w:tcW w:w="768" w:type="dxa"/>
            <w:tcBorders>
              <w:top w:val="nil"/>
              <w:left w:val="nil"/>
              <w:bottom w:val="nil"/>
              <w:right w:val="nil"/>
            </w:tcBorders>
            <w:shd w:val="clear" w:color="auto" w:fill="auto"/>
            <w:noWrap/>
            <w:vAlign w:val="bottom"/>
            <w:hideMark/>
          </w:tcPr>
          <w:p w14:paraId="40FE8B00" w14:textId="36ECC02D" w:rsidR="00DA2010" w:rsidRDefault="00DA2010" w:rsidP="00DA2010">
            <w:pPr>
              <w:jc w:val="right"/>
              <w:rPr>
                <w:color w:val="000000"/>
                <w:sz w:val="20"/>
                <w:szCs w:val="20"/>
              </w:rPr>
            </w:pPr>
            <w:r>
              <w:rPr>
                <w:color w:val="000000"/>
                <w:sz w:val="20"/>
                <w:szCs w:val="20"/>
              </w:rPr>
              <w:t>0.000</w:t>
            </w:r>
          </w:p>
        </w:tc>
      </w:tr>
      <w:tr w:rsidR="00DA2010" w14:paraId="47F7E482" w14:textId="77777777" w:rsidTr="00E221DF">
        <w:trPr>
          <w:trHeight w:val="320"/>
        </w:trPr>
        <w:tc>
          <w:tcPr>
            <w:tcW w:w="1176" w:type="dxa"/>
            <w:tcBorders>
              <w:top w:val="nil"/>
              <w:left w:val="nil"/>
              <w:bottom w:val="nil"/>
              <w:right w:val="nil"/>
            </w:tcBorders>
            <w:shd w:val="clear" w:color="auto" w:fill="auto"/>
            <w:noWrap/>
            <w:vAlign w:val="bottom"/>
            <w:hideMark/>
          </w:tcPr>
          <w:p w14:paraId="7E463BC5"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76FE4A9" w14:textId="77777777" w:rsidR="00DA2010" w:rsidRDefault="00DA2010" w:rsidP="00DA201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AA4056E" w14:textId="02036B05" w:rsidR="00DA2010" w:rsidRDefault="00DA2010" w:rsidP="00DA2010">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1171253B" w14:textId="5EE2EB99" w:rsidR="00DA2010" w:rsidRDefault="00DA2010" w:rsidP="00DA2010">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3CADFADC" w14:textId="26522C40" w:rsidR="00DA2010" w:rsidRDefault="00DA2010" w:rsidP="00DA201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97DAD20" w14:textId="5763520D" w:rsidR="00DA2010" w:rsidRDefault="00DA2010" w:rsidP="00DA201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5679158" w14:textId="407DE1EA" w:rsidR="00DA2010" w:rsidRDefault="00DA2010" w:rsidP="00DA2010">
            <w:pPr>
              <w:jc w:val="right"/>
              <w:rPr>
                <w:color w:val="000000"/>
                <w:sz w:val="20"/>
                <w:szCs w:val="20"/>
              </w:rPr>
            </w:pPr>
            <w:r>
              <w:rPr>
                <w:color w:val="000000"/>
                <w:sz w:val="20"/>
                <w:szCs w:val="20"/>
              </w:rPr>
              <w:t>0.608</w:t>
            </w:r>
          </w:p>
        </w:tc>
        <w:tc>
          <w:tcPr>
            <w:tcW w:w="768" w:type="dxa"/>
            <w:tcBorders>
              <w:top w:val="nil"/>
              <w:left w:val="nil"/>
              <w:bottom w:val="nil"/>
              <w:right w:val="nil"/>
            </w:tcBorders>
            <w:shd w:val="clear" w:color="auto" w:fill="auto"/>
            <w:noWrap/>
            <w:vAlign w:val="bottom"/>
            <w:hideMark/>
          </w:tcPr>
          <w:p w14:paraId="513FCC63" w14:textId="0AD0AFA9"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90CFA1" w14:textId="3DE046D2" w:rsidR="00DA2010" w:rsidRDefault="00DA2010" w:rsidP="00DA2010">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297A08EA" w14:textId="70E8DCFD" w:rsidR="00DA2010" w:rsidRDefault="00DA2010" w:rsidP="00DA2010">
            <w:pPr>
              <w:jc w:val="right"/>
              <w:rPr>
                <w:color w:val="000000"/>
                <w:sz w:val="20"/>
                <w:szCs w:val="20"/>
              </w:rPr>
            </w:pPr>
            <w:r>
              <w:rPr>
                <w:color w:val="000000"/>
                <w:sz w:val="20"/>
                <w:szCs w:val="20"/>
              </w:rPr>
              <w:t>0.300</w:t>
            </w:r>
          </w:p>
        </w:tc>
        <w:tc>
          <w:tcPr>
            <w:tcW w:w="768" w:type="dxa"/>
            <w:tcBorders>
              <w:top w:val="nil"/>
              <w:left w:val="nil"/>
              <w:bottom w:val="nil"/>
              <w:right w:val="nil"/>
            </w:tcBorders>
            <w:shd w:val="clear" w:color="auto" w:fill="auto"/>
            <w:noWrap/>
            <w:vAlign w:val="bottom"/>
            <w:hideMark/>
          </w:tcPr>
          <w:p w14:paraId="49B4C00A" w14:textId="3EBE1D2E"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63820F7" w14:textId="1F27754E" w:rsidR="00DA2010" w:rsidRDefault="00DA2010" w:rsidP="00DA2010">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2557BB3" w14:textId="769114A6" w:rsidR="00DA2010" w:rsidRDefault="00DA2010" w:rsidP="00DA2010">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44773EF2" w14:textId="383C70A0"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B6973E" w14:textId="435C1FAC" w:rsidR="00DA2010" w:rsidRDefault="00DA2010" w:rsidP="00DA201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0D4EA62" w14:textId="3B103037" w:rsidR="00DA2010" w:rsidRDefault="00DA2010" w:rsidP="00DA2010">
            <w:pPr>
              <w:jc w:val="right"/>
              <w:rPr>
                <w:color w:val="000000"/>
                <w:sz w:val="20"/>
                <w:szCs w:val="20"/>
              </w:rPr>
            </w:pPr>
            <w:r>
              <w:rPr>
                <w:color w:val="000000"/>
                <w:sz w:val="20"/>
                <w:szCs w:val="20"/>
              </w:rPr>
              <w:t>0.623</w:t>
            </w:r>
          </w:p>
        </w:tc>
        <w:tc>
          <w:tcPr>
            <w:tcW w:w="768" w:type="dxa"/>
            <w:tcBorders>
              <w:top w:val="nil"/>
              <w:left w:val="nil"/>
              <w:bottom w:val="nil"/>
              <w:right w:val="nil"/>
            </w:tcBorders>
            <w:shd w:val="clear" w:color="auto" w:fill="auto"/>
            <w:noWrap/>
            <w:vAlign w:val="bottom"/>
            <w:hideMark/>
          </w:tcPr>
          <w:p w14:paraId="133088AC" w14:textId="36D2900C" w:rsidR="00DA2010" w:rsidRDefault="00DA2010" w:rsidP="00DA2010">
            <w:pPr>
              <w:jc w:val="right"/>
              <w:rPr>
                <w:color w:val="000000"/>
                <w:sz w:val="20"/>
                <w:szCs w:val="20"/>
              </w:rPr>
            </w:pPr>
            <w:r>
              <w:rPr>
                <w:color w:val="000000"/>
                <w:sz w:val="20"/>
                <w:szCs w:val="20"/>
              </w:rPr>
              <w:t>0.001</w:t>
            </w:r>
          </w:p>
        </w:tc>
      </w:tr>
      <w:tr w:rsidR="00DA2010" w14:paraId="0A01077B" w14:textId="77777777" w:rsidTr="00E221DF">
        <w:trPr>
          <w:trHeight w:val="320"/>
        </w:trPr>
        <w:tc>
          <w:tcPr>
            <w:tcW w:w="1176" w:type="dxa"/>
            <w:tcBorders>
              <w:top w:val="nil"/>
              <w:left w:val="nil"/>
              <w:bottom w:val="nil"/>
              <w:right w:val="nil"/>
            </w:tcBorders>
            <w:shd w:val="clear" w:color="auto" w:fill="auto"/>
            <w:noWrap/>
            <w:vAlign w:val="bottom"/>
            <w:hideMark/>
          </w:tcPr>
          <w:p w14:paraId="0C0627A5"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32BA54E" w14:textId="77777777" w:rsidR="00DA2010" w:rsidRDefault="00DA2010" w:rsidP="00DA201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C717C4D" w14:textId="0B23DA69" w:rsidR="00DA2010" w:rsidRDefault="00DA2010" w:rsidP="00DA2010">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48BA5D14" w14:textId="0ADFD8DE" w:rsidR="00DA2010" w:rsidRDefault="00DA2010" w:rsidP="00DA2010">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3091B091" w14:textId="4206CAB6"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02F7E85" w14:textId="7CE9B047" w:rsidR="00DA2010" w:rsidRDefault="00DA2010" w:rsidP="00DA2010">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191597F9" w14:textId="5E3B7CD5" w:rsidR="00DA2010" w:rsidRDefault="00DA2010" w:rsidP="00DA2010">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6C73F542" w14:textId="0CCE2C63" w:rsidR="00DA2010" w:rsidRDefault="00DA2010" w:rsidP="00DA201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794E1F5" w14:textId="23E7E52E" w:rsidR="00DA2010" w:rsidRDefault="00DA2010" w:rsidP="00DA2010">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5AD4CF1" w14:textId="1D2A827A" w:rsidR="00DA2010" w:rsidRDefault="00DA2010" w:rsidP="00DA2010">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446DAAB1" w14:textId="5938D48B"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E3A2CC8" w14:textId="23D69B39" w:rsidR="00DA2010" w:rsidRDefault="00DA2010" w:rsidP="00DA201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8D4BE62" w14:textId="52D40B66" w:rsidR="00DA2010" w:rsidRDefault="00DA2010" w:rsidP="00DA2010">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7498AB9C" w14:textId="6D59857A"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FC8319" w14:textId="4815B683" w:rsidR="00DA2010" w:rsidRDefault="00DA2010" w:rsidP="00DA2010">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53E20A3" w14:textId="33173CD0" w:rsidR="00DA2010" w:rsidRDefault="00DA2010" w:rsidP="00DA2010">
            <w:pPr>
              <w:jc w:val="right"/>
              <w:rPr>
                <w:color w:val="000000"/>
                <w:sz w:val="20"/>
                <w:szCs w:val="20"/>
              </w:rPr>
            </w:pPr>
            <w:r>
              <w:rPr>
                <w:color w:val="000000"/>
                <w:sz w:val="20"/>
                <w:szCs w:val="20"/>
              </w:rPr>
              <w:t>0.534</w:t>
            </w:r>
          </w:p>
        </w:tc>
        <w:tc>
          <w:tcPr>
            <w:tcW w:w="768" w:type="dxa"/>
            <w:tcBorders>
              <w:top w:val="nil"/>
              <w:left w:val="nil"/>
              <w:bottom w:val="nil"/>
              <w:right w:val="nil"/>
            </w:tcBorders>
            <w:shd w:val="clear" w:color="auto" w:fill="auto"/>
            <w:noWrap/>
            <w:vAlign w:val="bottom"/>
            <w:hideMark/>
          </w:tcPr>
          <w:p w14:paraId="2B76DCCA" w14:textId="0C4543E0" w:rsidR="00DA2010" w:rsidRDefault="00DA2010" w:rsidP="00DA2010">
            <w:pPr>
              <w:jc w:val="right"/>
              <w:rPr>
                <w:color w:val="000000"/>
                <w:sz w:val="20"/>
                <w:szCs w:val="20"/>
              </w:rPr>
            </w:pPr>
            <w:r>
              <w:rPr>
                <w:color w:val="000000"/>
                <w:sz w:val="20"/>
                <w:szCs w:val="20"/>
              </w:rPr>
              <w:t>0.001</w:t>
            </w:r>
          </w:p>
        </w:tc>
      </w:tr>
      <w:tr w:rsidR="00DA2010" w14:paraId="736015AC" w14:textId="77777777" w:rsidTr="00E221DF">
        <w:trPr>
          <w:trHeight w:val="320"/>
        </w:trPr>
        <w:tc>
          <w:tcPr>
            <w:tcW w:w="1176" w:type="dxa"/>
            <w:tcBorders>
              <w:top w:val="nil"/>
              <w:left w:val="nil"/>
              <w:bottom w:val="single" w:sz="4" w:space="0" w:color="auto"/>
              <w:right w:val="nil"/>
            </w:tcBorders>
            <w:shd w:val="clear" w:color="auto" w:fill="auto"/>
            <w:noWrap/>
            <w:vAlign w:val="bottom"/>
            <w:hideMark/>
          </w:tcPr>
          <w:p w14:paraId="6488A1D8" w14:textId="77777777" w:rsidR="00DA2010" w:rsidRDefault="00DA2010" w:rsidP="00DA201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8B5C318" w14:textId="77777777" w:rsidR="00DA2010" w:rsidRDefault="00DA2010" w:rsidP="00DA201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00A5194" w14:textId="1DCF8AA2" w:rsidR="00DA2010" w:rsidRDefault="00DA2010" w:rsidP="00DA2010">
            <w:pPr>
              <w:jc w:val="right"/>
              <w:rPr>
                <w:b/>
                <w:bCs/>
                <w:color w:val="000000"/>
                <w:sz w:val="20"/>
                <w:szCs w:val="20"/>
              </w:rPr>
            </w:pPr>
            <w:r>
              <w:rPr>
                <w:b/>
                <w:bCs/>
                <w:color w:val="000000"/>
                <w:sz w:val="20"/>
                <w:szCs w:val="20"/>
              </w:rPr>
              <w:t>0.086</w:t>
            </w:r>
          </w:p>
        </w:tc>
        <w:tc>
          <w:tcPr>
            <w:tcW w:w="768" w:type="dxa"/>
            <w:tcBorders>
              <w:top w:val="nil"/>
              <w:left w:val="nil"/>
              <w:bottom w:val="single" w:sz="4" w:space="0" w:color="auto"/>
              <w:right w:val="nil"/>
            </w:tcBorders>
            <w:shd w:val="clear" w:color="auto" w:fill="auto"/>
            <w:noWrap/>
            <w:vAlign w:val="bottom"/>
            <w:hideMark/>
          </w:tcPr>
          <w:p w14:paraId="46E856C8" w14:textId="0DAA1AF9" w:rsidR="00DA2010" w:rsidRDefault="00DA2010" w:rsidP="00DA2010">
            <w:pPr>
              <w:jc w:val="right"/>
              <w:rPr>
                <w:b/>
                <w:bCs/>
                <w:color w:val="000000"/>
                <w:sz w:val="20"/>
                <w:szCs w:val="20"/>
              </w:rPr>
            </w:pPr>
            <w:r>
              <w:rPr>
                <w:b/>
                <w:bCs/>
                <w:color w:val="000000"/>
                <w:sz w:val="20"/>
                <w:szCs w:val="20"/>
              </w:rPr>
              <w:t>0.056</w:t>
            </w:r>
          </w:p>
        </w:tc>
        <w:tc>
          <w:tcPr>
            <w:tcW w:w="768" w:type="dxa"/>
            <w:tcBorders>
              <w:top w:val="nil"/>
              <w:left w:val="nil"/>
              <w:bottom w:val="single" w:sz="4" w:space="0" w:color="auto"/>
              <w:right w:val="nil"/>
            </w:tcBorders>
            <w:shd w:val="clear" w:color="auto" w:fill="auto"/>
            <w:noWrap/>
            <w:vAlign w:val="bottom"/>
            <w:hideMark/>
          </w:tcPr>
          <w:p w14:paraId="5A562373" w14:textId="1ECA80C8" w:rsidR="00DA2010" w:rsidRPr="00DA2010" w:rsidRDefault="00DA2010" w:rsidP="00DA2010">
            <w:pPr>
              <w:jc w:val="right"/>
              <w:rPr>
                <w:b/>
                <w:bCs/>
                <w:color w:val="000000"/>
                <w:sz w:val="20"/>
                <w:szCs w:val="20"/>
              </w:rPr>
            </w:pPr>
            <w:r w:rsidRPr="00DA2010">
              <w:rPr>
                <w:b/>
                <w:bCs/>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359AE917" w14:textId="00CED588" w:rsidR="00DA2010" w:rsidRDefault="00DA2010" w:rsidP="00DA2010">
            <w:pPr>
              <w:jc w:val="right"/>
              <w:rPr>
                <w:color w:val="000000"/>
                <w:sz w:val="20"/>
                <w:szCs w:val="20"/>
              </w:rPr>
            </w:pPr>
            <w:r>
              <w:rPr>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12ECE9EE" w14:textId="1E1F244E" w:rsidR="00DA2010" w:rsidRDefault="00DA2010" w:rsidP="00DA2010">
            <w:pPr>
              <w:jc w:val="right"/>
              <w:rPr>
                <w:color w:val="000000"/>
                <w:sz w:val="20"/>
                <w:szCs w:val="20"/>
              </w:rPr>
            </w:pPr>
            <w:r>
              <w:rPr>
                <w:color w:val="000000"/>
                <w:sz w:val="20"/>
                <w:szCs w:val="20"/>
              </w:rPr>
              <w:t>0.608</w:t>
            </w:r>
          </w:p>
        </w:tc>
        <w:tc>
          <w:tcPr>
            <w:tcW w:w="768" w:type="dxa"/>
            <w:tcBorders>
              <w:top w:val="nil"/>
              <w:left w:val="nil"/>
              <w:bottom w:val="single" w:sz="4" w:space="0" w:color="auto"/>
              <w:right w:val="nil"/>
            </w:tcBorders>
            <w:shd w:val="clear" w:color="auto" w:fill="auto"/>
            <w:noWrap/>
            <w:vAlign w:val="bottom"/>
            <w:hideMark/>
          </w:tcPr>
          <w:p w14:paraId="25D70962" w14:textId="14AE068C"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58FB7BD" w14:textId="2A21AF7C" w:rsidR="00DA2010" w:rsidRDefault="00DA2010" w:rsidP="00DA2010">
            <w:pPr>
              <w:jc w:val="right"/>
              <w:rPr>
                <w:color w:val="000000"/>
                <w:sz w:val="20"/>
                <w:szCs w:val="20"/>
              </w:rPr>
            </w:pPr>
            <w:r>
              <w:rPr>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35889DE9" w14:textId="21FB0581" w:rsidR="00DA2010" w:rsidRDefault="00DA2010" w:rsidP="00DA2010">
            <w:pPr>
              <w:jc w:val="right"/>
              <w:rPr>
                <w:color w:val="000000"/>
                <w:sz w:val="20"/>
                <w:szCs w:val="20"/>
              </w:rPr>
            </w:pPr>
            <w:r>
              <w:rPr>
                <w:color w:val="000000"/>
                <w:sz w:val="20"/>
                <w:szCs w:val="20"/>
              </w:rPr>
              <w:t>0.592</w:t>
            </w:r>
          </w:p>
        </w:tc>
        <w:tc>
          <w:tcPr>
            <w:tcW w:w="768" w:type="dxa"/>
            <w:tcBorders>
              <w:top w:val="nil"/>
              <w:left w:val="nil"/>
              <w:bottom w:val="single" w:sz="4" w:space="0" w:color="auto"/>
              <w:right w:val="nil"/>
            </w:tcBorders>
            <w:shd w:val="clear" w:color="auto" w:fill="auto"/>
            <w:noWrap/>
            <w:vAlign w:val="bottom"/>
            <w:hideMark/>
          </w:tcPr>
          <w:p w14:paraId="551EBBB9" w14:textId="7419203D"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7149E5F" w14:textId="4DEF4B84" w:rsidR="00DA2010" w:rsidRDefault="00DA2010" w:rsidP="00DA2010">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0D0C6726" w14:textId="20A7F7D8" w:rsidR="00DA2010" w:rsidRDefault="00DA2010" w:rsidP="00DA2010">
            <w:pPr>
              <w:jc w:val="right"/>
              <w:rPr>
                <w:color w:val="000000"/>
                <w:sz w:val="20"/>
                <w:szCs w:val="20"/>
              </w:rPr>
            </w:pPr>
            <w:r>
              <w:rPr>
                <w:color w:val="000000"/>
                <w:sz w:val="20"/>
                <w:szCs w:val="20"/>
              </w:rPr>
              <w:t>0.659</w:t>
            </w:r>
          </w:p>
        </w:tc>
        <w:tc>
          <w:tcPr>
            <w:tcW w:w="768" w:type="dxa"/>
            <w:tcBorders>
              <w:top w:val="nil"/>
              <w:left w:val="nil"/>
              <w:bottom w:val="single" w:sz="4" w:space="0" w:color="auto"/>
              <w:right w:val="nil"/>
            </w:tcBorders>
            <w:shd w:val="clear" w:color="auto" w:fill="auto"/>
            <w:noWrap/>
            <w:vAlign w:val="bottom"/>
            <w:hideMark/>
          </w:tcPr>
          <w:p w14:paraId="2FDDDEF8" w14:textId="1969308E"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DBF927A" w14:textId="6E6DCDF2" w:rsidR="00DA2010" w:rsidRDefault="00DA2010" w:rsidP="00DA2010">
            <w:pPr>
              <w:jc w:val="right"/>
              <w:rPr>
                <w:color w:val="000000"/>
                <w:sz w:val="20"/>
                <w:szCs w:val="20"/>
              </w:rPr>
            </w:pPr>
            <w:r>
              <w:rPr>
                <w:color w:val="000000"/>
                <w:sz w:val="20"/>
                <w:szCs w:val="20"/>
              </w:rPr>
              <w:t>-0.068</w:t>
            </w:r>
          </w:p>
        </w:tc>
        <w:tc>
          <w:tcPr>
            <w:tcW w:w="768" w:type="dxa"/>
            <w:tcBorders>
              <w:top w:val="nil"/>
              <w:left w:val="nil"/>
              <w:bottom w:val="single" w:sz="4" w:space="0" w:color="auto"/>
              <w:right w:val="nil"/>
            </w:tcBorders>
            <w:shd w:val="clear" w:color="auto" w:fill="auto"/>
            <w:noWrap/>
            <w:vAlign w:val="bottom"/>
            <w:hideMark/>
          </w:tcPr>
          <w:p w14:paraId="69634FF9" w14:textId="03088060" w:rsidR="00DA2010" w:rsidRDefault="00DA2010" w:rsidP="00DA2010">
            <w:pPr>
              <w:jc w:val="right"/>
              <w:rPr>
                <w:color w:val="000000"/>
                <w:sz w:val="20"/>
                <w:szCs w:val="20"/>
              </w:rPr>
            </w:pPr>
            <w:r>
              <w:rPr>
                <w:color w:val="000000"/>
                <w:sz w:val="20"/>
                <w:szCs w:val="20"/>
              </w:rPr>
              <w:t>0.240</w:t>
            </w:r>
          </w:p>
        </w:tc>
        <w:tc>
          <w:tcPr>
            <w:tcW w:w="768" w:type="dxa"/>
            <w:tcBorders>
              <w:top w:val="nil"/>
              <w:left w:val="nil"/>
              <w:bottom w:val="single" w:sz="4" w:space="0" w:color="auto"/>
              <w:right w:val="nil"/>
            </w:tcBorders>
            <w:shd w:val="clear" w:color="auto" w:fill="auto"/>
            <w:noWrap/>
            <w:vAlign w:val="bottom"/>
            <w:hideMark/>
          </w:tcPr>
          <w:p w14:paraId="21FFF4D3" w14:textId="1FFA7C8A" w:rsidR="00DA2010" w:rsidRDefault="00DA2010" w:rsidP="00DA2010">
            <w:pPr>
              <w:jc w:val="right"/>
              <w:rPr>
                <w:color w:val="000000"/>
                <w:sz w:val="20"/>
                <w:szCs w:val="20"/>
              </w:rPr>
            </w:pPr>
            <w:r>
              <w:rPr>
                <w:color w:val="000000"/>
                <w:sz w:val="20"/>
                <w:szCs w:val="20"/>
              </w:rPr>
              <w:t>0.005</w:t>
            </w:r>
          </w:p>
        </w:tc>
      </w:tr>
      <w:tr w:rsidR="00DA2010" w14:paraId="45DAA734" w14:textId="77777777" w:rsidTr="00E221DF">
        <w:trPr>
          <w:trHeight w:val="320"/>
        </w:trPr>
        <w:tc>
          <w:tcPr>
            <w:tcW w:w="1176" w:type="dxa"/>
            <w:tcBorders>
              <w:top w:val="nil"/>
              <w:left w:val="nil"/>
              <w:bottom w:val="nil"/>
              <w:right w:val="nil"/>
            </w:tcBorders>
            <w:shd w:val="clear" w:color="auto" w:fill="auto"/>
            <w:noWrap/>
            <w:vAlign w:val="bottom"/>
            <w:hideMark/>
          </w:tcPr>
          <w:p w14:paraId="482C4B37" w14:textId="77777777" w:rsidR="00DA2010" w:rsidRDefault="00DA2010" w:rsidP="00DA2010">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664E4DD3" w14:textId="77777777" w:rsidR="00DA2010" w:rsidRDefault="00DA2010" w:rsidP="00DA201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50C977A" w14:textId="77F8CA4E" w:rsidR="00DA2010" w:rsidRDefault="00DA2010" w:rsidP="00DA2010">
            <w:pPr>
              <w:jc w:val="right"/>
              <w:rPr>
                <w:b/>
                <w:bCs/>
                <w:color w:val="000000"/>
                <w:sz w:val="20"/>
                <w:szCs w:val="20"/>
              </w:rPr>
            </w:pPr>
            <w:r>
              <w:rPr>
                <w:b/>
                <w:bCs/>
                <w:color w:val="000000"/>
                <w:sz w:val="20"/>
                <w:szCs w:val="20"/>
              </w:rPr>
              <w:t>0.087</w:t>
            </w:r>
          </w:p>
        </w:tc>
        <w:tc>
          <w:tcPr>
            <w:tcW w:w="768" w:type="dxa"/>
            <w:tcBorders>
              <w:top w:val="nil"/>
              <w:left w:val="nil"/>
              <w:bottom w:val="nil"/>
              <w:right w:val="nil"/>
            </w:tcBorders>
            <w:shd w:val="clear" w:color="auto" w:fill="auto"/>
            <w:noWrap/>
            <w:vAlign w:val="bottom"/>
            <w:hideMark/>
          </w:tcPr>
          <w:p w14:paraId="2F1C1EE1" w14:textId="336FC158" w:rsidR="00DA2010" w:rsidRDefault="00DA2010" w:rsidP="00DA2010">
            <w:pPr>
              <w:jc w:val="right"/>
              <w:rPr>
                <w:b/>
                <w:bCs/>
                <w:color w:val="000000"/>
                <w:sz w:val="20"/>
                <w:szCs w:val="20"/>
              </w:rPr>
            </w:pPr>
            <w:r>
              <w:rPr>
                <w:b/>
                <w:bCs/>
                <w:color w:val="000000"/>
                <w:sz w:val="20"/>
                <w:szCs w:val="20"/>
              </w:rPr>
              <w:t>0.028</w:t>
            </w:r>
          </w:p>
        </w:tc>
        <w:tc>
          <w:tcPr>
            <w:tcW w:w="768" w:type="dxa"/>
            <w:tcBorders>
              <w:top w:val="nil"/>
              <w:left w:val="nil"/>
              <w:bottom w:val="nil"/>
              <w:right w:val="nil"/>
            </w:tcBorders>
            <w:shd w:val="clear" w:color="auto" w:fill="auto"/>
            <w:noWrap/>
            <w:vAlign w:val="bottom"/>
            <w:hideMark/>
          </w:tcPr>
          <w:p w14:paraId="64D9655E" w14:textId="34A87F92" w:rsidR="00DA2010" w:rsidRPr="00DA2010" w:rsidRDefault="00DA2010" w:rsidP="00DA2010">
            <w:pPr>
              <w:jc w:val="right"/>
              <w:rPr>
                <w:b/>
                <w:bCs/>
                <w:color w:val="000000"/>
                <w:sz w:val="20"/>
                <w:szCs w:val="20"/>
              </w:rPr>
            </w:pPr>
            <w:r w:rsidRPr="00DA2010">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0312B9DE" w14:textId="1B128DF6" w:rsidR="00DA2010" w:rsidRDefault="00DA2010" w:rsidP="00DA201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07130A6" w14:textId="7D779DCD" w:rsidR="00DA2010" w:rsidRDefault="00DA2010" w:rsidP="00DA2010">
            <w:pPr>
              <w:jc w:val="right"/>
              <w:rPr>
                <w:color w:val="000000"/>
                <w:sz w:val="20"/>
                <w:szCs w:val="20"/>
              </w:rPr>
            </w:pPr>
            <w:r>
              <w:rPr>
                <w:color w:val="000000"/>
                <w:sz w:val="20"/>
                <w:szCs w:val="20"/>
              </w:rPr>
              <w:t>0.835</w:t>
            </w:r>
          </w:p>
        </w:tc>
        <w:tc>
          <w:tcPr>
            <w:tcW w:w="768" w:type="dxa"/>
            <w:tcBorders>
              <w:top w:val="nil"/>
              <w:left w:val="nil"/>
              <w:bottom w:val="nil"/>
              <w:right w:val="nil"/>
            </w:tcBorders>
            <w:shd w:val="clear" w:color="auto" w:fill="auto"/>
            <w:noWrap/>
            <w:vAlign w:val="bottom"/>
            <w:hideMark/>
          </w:tcPr>
          <w:p w14:paraId="11641039" w14:textId="6D3CEF62"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CF22DB" w14:textId="1D99A2F9" w:rsidR="00DA2010" w:rsidRDefault="00DA2010" w:rsidP="00DA201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3791591" w14:textId="71108B1B" w:rsidR="00DA2010" w:rsidRDefault="00DA2010" w:rsidP="00DA2010">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273D17D8" w14:textId="27B739E1"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C88DD6" w14:textId="5BD2B7FC" w:rsidR="00DA2010" w:rsidRDefault="00DA2010" w:rsidP="00DA201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41F638D0" w14:textId="343F29C8" w:rsidR="00DA2010" w:rsidRDefault="00DA2010" w:rsidP="00DA2010">
            <w:pPr>
              <w:jc w:val="right"/>
              <w:rPr>
                <w:color w:val="000000"/>
                <w:sz w:val="20"/>
                <w:szCs w:val="20"/>
              </w:rPr>
            </w:pPr>
            <w:r>
              <w:rPr>
                <w:color w:val="000000"/>
                <w:sz w:val="20"/>
                <w:szCs w:val="20"/>
              </w:rPr>
              <w:t>0.349</w:t>
            </w:r>
          </w:p>
        </w:tc>
        <w:tc>
          <w:tcPr>
            <w:tcW w:w="768" w:type="dxa"/>
            <w:tcBorders>
              <w:top w:val="nil"/>
              <w:left w:val="nil"/>
              <w:bottom w:val="nil"/>
              <w:right w:val="nil"/>
            </w:tcBorders>
            <w:shd w:val="clear" w:color="auto" w:fill="auto"/>
            <w:noWrap/>
            <w:vAlign w:val="bottom"/>
            <w:hideMark/>
          </w:tcPr>
          <w:p w14:paraId="1DEE56F6" w14:textId="11C1FFCE"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8AD536" w14:textId="5DDF47B7" w:rsidR="00DA2010" w:rsidRDefault="00DA2010" w:rsidP="00DA201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8225B25" w14:textId="79BB32BB" w:rsidR="00DA2010" w:rsidRDefault="00DA2010" w:rsidP="00DA2010">
            <w:pPr>
              <w:jc w:val="right"/>
              <w:rPr>
                <w:color w:val="000000"/>
                <w:sz w:val="20"/>
                <w:szCs w:val="20"/>
              </w:rPr>
            </w:pPr>
            <w:r>
              <w:rPr>
                <w:color w:val="000000"/>
                <w:sz w:val="20"/>
                <w:szCs w:val="20"/>
              </w:rPr>
              <w:t>0.620</w:t>
            </w:r>
          </w:p>
        </w:tc>
        <w:tc>
          <w:tcPr>
            <w:tcW w:w="768" w:type="dxa"/>
            <w:tcBorders>
              <w:top w:val="nil"/>
              <w:left w:val="nil"/>
              <w:bottom w:val="nil"/>
              <w:right w:val="nil"/>
            </w:tcBorders>
            <w:shd w:val="clear" w:color="auto" w:fill="auto"/>
            <w:noWrap/>
            <w:vAlign w:val="bottom"/>
            <w:hideMark/>
          </w:tcPr>
          <w:p w14:paraId="590F952C" w14:textId="256B4458" w:rsidR="00DA2010" w:rsidRDefault="00DA2010" w:rsidP="00DA2010">
            <w:pPr>
              <w:jc w:val="right"/>
              <w:rPr>
                <w:color w:val="000000"/>
                <w:sz w:val="20"/>
                <w:szCs w:val="20"/>
              </w:rPr>
            </w:pPr>
            <w:r>
              <w:rPr>
                <w:color w:val="000000"/>
                <w:sz w:val="20"/>
                <w:szCs w:val="20"/>
              </w:rPr>
              <w:t>0.000</w:t>
            </w:r>
          </w:p>
        </w:tc>
      </w:tr>
      <w:tr w:rsidR="00DA2010" w14:paraId="287D90FC" w14:textId="77777777" w:rsidTr="00E221DF">
        <w:trPr>
          <w:trHeight w:val="320"/>
        </w:trPr>
        <w:tc>
          <w:tcPr>
            <w:tcW w:w="1176" w:type="dxa"/>
            <w:tcBorders>
              <w:top w:val="nil"/>
              <w:left w:val="nil"/>
              <w:bottom w:val="nil"/>
              <w:right w:val="nil"/>
            </w:tcBorders>
            <w:shd w:val="clear" w:color="auto" w:fill="auto"/>
            <w:noWrap/>
            <w:vAlign w:val="bottom"/>
            <w:hideMark/>
          </w:tcPr>
          <w:p w14:paraId="704D5725"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2151DCD" w14:textId="77777777" w:rsidR="00DA2010" w:rsidRDefault="00DA2010" w:rsidP="00DA201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F2528F2" w14:textId="1BE58818" w:rsidR="00DA2010" w:rsidRDefault="00DA2010" w:rsidP="00DA2010">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FA0C633" w14:textId="322F3995" w:rsidR="00DA2010" w:rsidRDefault="00DA2010" w:rsidP="00DA2010">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45E056C9" w14:textId="7BDB69BC"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6E4911" w14:textId="28648D74" w:rsidR="00DA2010" w:rsidRDefault="00DA2010" w:rsidP="00DA2010">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03F5E82C" w14:textId="14DF56AF" w:rsidR="00DA2010" w:rsidRDefault="00DA2010" w:rsidP="00DA2010">
            <w:pPr>
              <w:jc w:val="right"/>
              <w:rPr>
                <w:color w:val="000000"/>
                <w:sz w:val="20"/>
                <w:szCs w:val="20"/>
              </w:rPr>
            </w:pPr>
            <w:r>
              <w:rPr>
                <w:color w:val="000000"/>
                <w:sz w:val="20"/>
                <w:szCs w:val="20"/>
              </w:rPr>
              <w:t>0.306</w:t>
            </w:r>
          </w:p>
        </w:tc>
        <w:tc>
          <w:tcPr>
            <w:tcW w:w="768" w:type="dxa"/>
            <w:tcBorders>
              <w:top w:val="nil"/>
              <w:left w:val="nil"/>
              <w:bottom w:val="nil"/>
              <w:right w:val="nil"/>
            </w:tcBorders>
            <w:shd w:val="clear" w:color="auto" w:fill="auto"/>
            <w:noWrap/>
            <w:vAlign w:val="bottom"/>
            <w:hideMark/>
          </w:tcPr>
          <w:p w14:paraId="0BD88F0B" w14:textId="2DC0D456"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DF44F2C" w14:textId="3ABB304B" w:rsidR="00DA2010" w:rsidRDefault="00DA2010" w:rsidP="00DA201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08E0AF8" w14:textId="23AC1F4C" w:rsidR="00DA2010" w:rsidRDefault="00DA2010" w:rsidP="00DA2010">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1447D0F2" w14:textId="40C83B8C"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278957" w14:textId="2FF16FBF" w:rsidR="00DA2010" w:rsidRDefault="00DA2010" w:rsidP="00DA2010">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61CC95A3" w14:textId="538BD6AB" w:rsidR="00DA2010" w:rsidRDefault="00DA2010" w:rsidP="00DA2010">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00956F8D" w14:textId="2D1E9339" w:rsidR="00DA2010" w:rsidRDefault="00DA2010" w:rsidP="00DA201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FE525D2" w14:textId="49114502" w:rsidR="00DA2010" w:rsidRDefault="00DA2010" w:rsidP="00DA2010">
            <w:pPr>
              <w:jc w:val="right"/>
              <w:rPr>
                <w:b/>
                <w:bCs/>
                <w:color w:val="000000"/>
                <w:sz w:val="20"/>
                <w:szCs w:val="20"/>
              </w:rPr>
            </w:pPr>
            <w:r>
              <w:rPr>
                <w:b/>
                <w:bCs/>
                <w:color w:val="000000"/>
                <w:sz w:val="20"/>
                <w:szCs w:val="20"/>
              </w:rPr>
              <w:t>0.115</w:t>
            </w:r>
          </w:p>
        </w:tc>
        <w:tc>
          <w:tcPr>
            <w:tcW w:w="768" w:type="dxa"/>
            <w:tcBorders>
              <w:top w:val="nil"/>
              <w:left w:val="nil"/>
              <w:bottom w:val="nil"/>
              <w:right w:val="nil"/>
            </w:tcBorders>
            <w:shd w:val="clear" w:color="auto" w:fill="auto"/>
            <w:noWrap/>
            <w:vAlign w:val="bottom"/>
            <w:hideMark/>
          </w:tcPr>
          <w:p w14:paraId="14E8F2F0" w14:textId="7CEADD63" w:rsidR="00DA2010" w:rsidRDefault="00DA2010" w:rsidP="00DA2010">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7BC93C4" w14:textId="70E3B931" w:rsidR="00DA2010" w:rsidRPr="00DA2010" w:rsidRDefault="00DA2010" w:rsidP="00DA2010">
            <w:pPr>
              <w:jc w:val="right"/>
              <w:rPr>
                <w:b/>
                <w:bCs/>
                <w:color w:val="000000"/>
                <w:sz w:val="20"/>
                <w:szCs w:val="20"/>
              </w:rPr>
            </w:pPr>
            <w:r w:rsidRPr="00DA2010">
              <w:rPr>
                <w:b/>
                <w:bCs/>
                <w:color w:val="000000"/>
                <w:sz w:val="20"/>
                <w:szCs w:val="20"/>
              </w:rPr>
              <w:t>0.013</w:t>
            </w:r>
          </w:p>
        </w:tc>
      </w:tr>
      <w:tr w:rsidR="00DA2010" w14:paraId="3ECDC15E" w14:textId="77777777" w:rsidTr="00E221DF">
        <w:trPr>
          <w:trHeight w:val="320"/>
        </w:trPr>
        <w:tc>
          <w:tcPr>
            <w:tcW w:w="1176" w:type="dxa"/>
            <w:tcBorders>
              <w:top w:val="nil"/>
              <w:left w:val="nil"/>
              <w:bottom w:val="nil"/>
              <w:right w:val="nil"/>
            </w:tcBorders>
            <w:shd w:val="clear" w:color="auto" w:fill="auto"/>
            <w:noWrap/>
            <w:vAlign w:val="bottom"/>
            <w:hideMark/>
          </w:tcPr>
          <w:p w14:paraId="742FD1A9"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8B307C" w14:textId="77777777" w:rsidR="00DA2010" w:rsidRDefault="00DA2010" w:rsidP="00DA201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BCFFB10" w14:textId="3F77D5F8"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DF4B83" w14:textId="2307E0C5" w:rsidR="00DA2010" w:rsidRDefault="00DA2010" w:rsidP="00DA2010">
            <w:pPr>
              <w:jc w:val="right"/>
              <w:rPr>
                <w:color w:val="000000"/>
                <w:sz w:val="20"/>
                <w:szCs w:val="20"/>
              </w:rPr>
            </w:pPr>
            <w:r>
              <w:rPr>
                <w:color w:val="000000"/>
                <w:sz w:val="20"/>
                <w:szCs w:val="20"/>
              </w:rPr>
              <w:t>0.966</w:t>
            </w:r>
          </w:p>
        </w:tc>
        <w:tc>
          <w:tcPr>
            <w:tcW w:w="768" w:type="dxa"/>
            <w:tcBorders>
              <w:top w:val="nil"/>
              <w:left w:val="nil"/>
              <w:bottom w:val="nil"/>
              <w:right w:val="nil"/>
            </w:tcBorders>
            <w:shd w:val="clear" w:color="auto" w:fill="auto"/>
            <w:noWrap/>
            <w:vAlign w:val="bottom"/>
            <w:hideMark/>
          </w:tcPr>
          <w:p w14:paraId="5560AAFE" w14:textId="34D94E13"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8CBA45" w14:textId="63778157" w:rsidR="00DA2010" w:rsidRDefault="00DA2010" w:rsidP="00DA2010">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49D2EDC4" w14:textId="5DBBA1E9" w:rsidR="00DA2010" w:rsidRDefault="00DA2010" w:rsidP="00DA2010">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3BF8460E" w14:textId="53BF55AE" w:rsidR="00DA2010" w:rsidRDefault="00DA2010" w:rsidP="00DA201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EA4565C" w14:textId="2BE60236" w:rsidR="00DA2010" w:rsidRDefault="00DA2010" w:rsidP="00DA201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191E801" w14:textId="50F38BCC" w:rsidR="00DA2010" w:rsidRDefault="00DA2010" w:rsidP="00DA2010">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157E4D60" w14:textId="0050DFB1"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96B1BA4" w14:textId="1F27F9CC" w:rsidR="00DA2010" w:rsidRDefault="00DA2010" w:rsidP="00DA2010">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0D102C29" w14:textId="2958FB3F" w:rsidR="00DA2010" w:rsidRDefault="00DA2010" w:rsidP="00DA2010">
            <w:pPr>
              <w:jc w:val="right"/>
              <w:rPr>
                <w:color w:val="000000"/>
                <w:sz w:val="20"/>
                <w:szCs w:val="20"/>
              </w:rPr>
            </w:pPr>
            <w:r>
              <w:rPr>
                <w:color w:val="000000"/>
                <w:sz w:val="20"/>
                <w:szCs w:val="20"/>
              </w:rPr>
              <w:t>0.349</w:t>
            </w:r>
          </w:p>
        </w:tc>
        <w:tc>
          <w:tcPr>
            <w:tcW w:w="768" w:type="dxa"/>
            <w:tcBorders>
              <w:top w:val="nil"/>
              <w:left w:val="nil"/>
              <w:bottom w:val="nil"/>
              <w:right w:val="nil"/>
            </w:tcBorders>
            <w:shd w:val="clear" w:color="auto" w:fill="auto"/>
            <w:noWrap/>
            <w:vAlign w:val="bottom"/>
            <w:hideMark/>
          </w:tcPr>
          <w:p w14:paraId="407AE29B" w14:textId="2E52A747"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554399D" w14:textId="6B8B6A9C" w:rsidR="00DA2010" w:rsidRDefault="00DA2010" w:rsidP="00DA2010">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B3305B0" w14:textId="4DBA2706" w:rsidR="00DA2010" w:rsidRDefault="00DA2010" w:rsidP="00DA2010">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7F6E1FFA" w14:textId="085A922C" w:rsidR="00DA2010" w:rsidRDefault="00DA2010" w:rsidP="00DA2010">
            <w:pPr>
              <w:jc w:val="right"/>
              <w:rPr>
                <w:color w:val="000000"/>
                <w:sz w:val="20"/>
                <w:szCs w:val="20"/>
              </w:rPr>
            </w:pPr>
            <w:r>
              <w:rPr>
                <w:color w:val="000000"/>
                <w:sz w:val="20"/>
                <w:szCs w:val="20"/>
              </w:rPr>
              <w:t>0.002</w:t>
            </w:r>
          </w:p>
        </w:tc>
      </w:tr>
      <w:tr w:rsidR="00DA2010" w14:paraId="5344B1B1" w14:textId="77777777" w:rsidTr="00E221DF">
        <w:trPr>
          <w:trHeight w:val="320"/>
        </w:trPr>
        <w:tc>
          <w:tcPr>
            <w:tcW w:w="1176" w:type="dxa"/>
            <w:tcBorders>
              <w:top w:val="nil"/>
              <w:left w:val="nil"/>
              <w:bottom w:val="nil"/>
              <w:right w:val="nil"/>
            </w:tcBorders>
            <w:shd w:val="clear" w:color="auto" w:fill="auto"/>
            <w:noWrap/>
            <w:vAlign w:val="bottom"/>
            <w:hideMark/>
          </w:tcPr>
          <w:p w14:paraId="767FFD40"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72372BE" w14:textId="77777777" w:rsidR="00DA2010" w:rsidRDefault="00DA2010" w:rsidP="00DA201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5F5AB7B" w14:textId="2B6287EF" w:rsidR="00DA2010" w:rsidRDefault="00DA2010" w:rsidP="00DA201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CC059F7" w14:textId="3A791F0E" w:rsidR="00DA2010" w:rsidRDefault="00DA2010" w:rsidP="00DA2010">
            <w:pPr>
              <w:jc w:val="right"/>
              <w:rPr>
                <w:color w:val="000000"/>
                <w:sz w:val="20"/>
                <w:szCs w:val="20"/>
              </w:rPr>
            </w:pPr>
            <w:r>
              <w:rPr>
                <w:color w:val="000000"/>
                <w:sz w:val="20"/>
                <w:szCs w:val="20"/>
              </w:rPr>
              <w:t>0.966</w:t>
            </w:r>
          </w:p>
        </w:tc>
        <w:tc>
          <w:tcPr>
            <w:tcW w:w="768" w:type="dxa"/>
            <w:tcBorders>
              <w:top w:val="nil"/>
              <w:left w:val="nil"/>
              <w:bottom w:val="nil"/>
              <w:right w:val="nil"/>
            </w:tcBorders>
            <w:shd w:val="clear" w:color="auto" w:fill="auto"/>
            <w:noWrap/>
            <w:vAlign w:val="bottom"/>
            <w:hideMark/>
          </w:tcPr>
          <w:p w14:paraId="4A4808C2" w14:textId="1A6D3A77"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84E4E0" w14:textId="2AACF944" w:rsidR="00DA2010" w:rsidRDefault="00DA2010" w:rsidP="00DA2010">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2D4D3C85" w14:textId="5A72CB3C" w:rsidR="00DA2010" w:rsidRDefault="00DA2010" w:rsidP="00DA2010">
            <w:pPr>
              <w:jc w:val="right"/>
              <w:rPr>
                <w:color w:val="000000"/>
                <w:sz w:val="20"/>
                <w:szCs w:val="20"/>
              </w:rPr>
            </w:pPr>
            <w:r>
              <w:rPr>
                <w:color w:val="000000"/>
                <w:sz w:val="20"/>
                <w:szCs w:val="20"/>
              </w:rPr>
              <w:t>0.306</w:t>
            </w:r>
          </w:p>
        </w:tc>
        <w:tc>
          <w:tcPr>
            <w:tcW w:w="768" w:type="dxa"/>
            <w:tcBorders>
              <w:top w:val="nil"/>
              <w:left w:val="nil"/>
              <w:bottom w:val="nil"/>
              <w:right w:val="nil"/>
            </w:tcBorders>
            <w:shd w:val="clear" w:color="auto" w:fill="auto"/>
            <w:noWrap/>
            <w:vAlign w:val="bottom"/>
            <w:hideMark/>
          </w:tcPr>
          <w:p w14:paraId="07177750" w14:textId="6D0F4E11"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A48E5FF" w14:textId="5EB8F9CC" w:rsidR="00DA2010" w:rsidRDefault="00DA2010" w:rsidP="00DA2010">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9AC2860" w14:textId="251FB6F7" w:rsidR="00DA2010" w:rsidRDefault="00DA2010" w:rsidP="00DA2010">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6C95C250" w14:textId="38191257"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4C764A" w14:textId="439E6936" w:rsidR="00DA2010" w:rsidRDefault="00DA2010" w:rsidP="00DA2010">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3862DF35" w14:textId="703FCE58" w:rsidR="00DA2010" w:rsidRDefault="00DA2010" w:rsidP="00DA2010">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4419C46D" w14:textId="44E2E35F" w:rsidR="00DA2010" w:rsidRDefault="00DA2010" w:rsidP="00DA201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B917113" w14:textId="6D01F219" w:rsidR="00DA2010" w:rsidRDefault="00DA2010" w:rsidP="00DA2010">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5ABB9D3" w14:textId="002B4DAF" w:rsidR="00DA2010" w:rsidRDefault="00DA2010" w:rsidP="00DA2010">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280497EA" w14:textId="4A05EBBE" w:rsidR="00DA2010" w:rsidRDefault="00DA2010" w:rsidP="00DA2010">
            <w:pPr>
              <w:jc w:val="right"/>
              <w:rPr>
                <w:color w:val="000000"/>
                <w:sz w:val="20"/>
                <w:szCs w:val="20"/>
              </w:rPr>
            </w:pPr>
            <w:r>
              <w:rPr>
                <w:color w:val="000000"/>
                <w:sz w:val="20"/>
                <w:szCs w:val="20"/>
              </w:rPr>
              <w:t>0.002</w:t>
            </w:r>
          </w:p>
        </w:tc>
      </w:tr>
      <w:tr w:rsidR="00DA2010" w14:paraId="57ADF9CD" w14:textId="77777777" w:rsidTr="00E221DF">
        <w:trPr>
          <w:trHeight w:val="320"/>
        </w:trPr>
        <w:tc>
          <w:tcPr>
            <w:tcW w:w="1176" w:type="dxa"/>
            <w:tcBorders>
              <w:top w:val="nil"/>
              <w:left w:val="nil"/>
              <w:bottom w:val="nil"/>
              <w:right w:val="nil"/>
            </w:tcBorders>
            <w:shd w:val="clear" w:color="auto" w:fill="auto"/>
            <w:noWrap/>
            <w:vAlign w:val="bottom"/>
            <w:hideMark/>
          </w:tcPr>
          <w:p w14:paraId="0D61AA4C"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CED4A9" w14:textId="77777777" w:rsidR="00DA2010" w:rsidRDefault="00DA2010" w:rsidP="00DA201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7C15A4B" w14:textId="6FE7A954" w:rsidR="00DA2010" w:rsidRDefault="00DA2010" w:rsidP="00DA201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FB1D5AC" w14:textId="3BCAEEBB" w:rsidR="00DA2010" w:rsidRDefault="00DA2010" w:rsidP="00DA2010">
            <w:pPr>
              <w:jc w:val="right"/>
              <w:rPr>
                <w:color w:val="000000"/>
                <w:sz w:val="20"/>
                <w:szCs w:val="20"/>
              </w:rPr>
            </w:pPr>
            <w:r>
              <w:rPr>
                <w:color w:val="000000"/>
                <w:sz w:val="20"/>
                <w:szCs w:val="20"/>
              </w:rPr>
              <w:t>0.966</w:t>
            </w:r>
          </w:p>
        </w:tc>
        <w:tc>
          <w:tcPr>
            <w:tcW w:w="768" w:type="dxa"/>
            <w:tcBorders>
              <w:top w:val="nil"/>
              <w:left w:val="nil"/>
              <w:bottom w:val="nil"/>
              <w:right w:val="nil"/>
            </w:tcBorders>
            <w:shd w:val="clear" w:color="auto" w:fill="auto"/>
            <w:noWrap/>
            <w:vAlign w:val="bottom"/>
            <w:hideMark/>
          </w:tcPr>
          <w:p w14:paraId="745F0D02" w14:textId="603C7DB2"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830AA5" w14:textId="5285A9C2" w:rsidR="00DA2010" w:rsidRDefault="00DA2010" w:rsidP="00DA2010">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273C6523" w14:textId="4165E9DC" w:rsidR="00DA2010" w:rsidRDefault="00DA2010" w:rsidP="00DA2010">
            <w:pPr>
              <w:jc w:val="right"/>
              <w:rPr>
                <w:color w:val="000000"/>
                <w:sz w:val="20"/>
                <w:szCs w:val="20"/>
              </w:rPr>
            </w:pPr>
            <w:r>
              <w:rPr>
                <w:color w:val="000000"/>
                <w:sz w:val="20"/>
                <w:szCs w:val="20"/>
              </w:rPr>
              <w:t>0.344</w:t>
            </w:r>
          </w:p>
        </w:tc>
        <w:tc>
          <w:tcPr>
            <w:tcW w:w="768" w:type="dxa"/>
            <w:tcBorders>
              <w:top w:val="nil"/>
              <w:left w:val="nil"/>
              <w:bottom w:val="nil"/>
              <w:right w:val="nil"/>
            </w:tcBorders>
            <w:shd w:val="clear" w:color="auto" w:fill="auto"/>
            <w:noWrap/>
            <w:vAlign w:val="bottom"/>
            <w:hideMark/>
          </w:tcPr>
          <w:p w14:paraId="5300B9AB" w14:textId="31A20DC2" w:rsidR="00DA2010" w:rsidRDefault="00DA2010" w:rsidP="00DA201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DDFB9AC" w14:textId="00C96AC2" w:rsidR="00DA2010" w:rsidRDefault="00DA2010" w:rsidP="00DA201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6AE2F28B" w14:textId="132D76E3" w:rsidR="00DA2010" w:rsidRDefault="00DA2010" w:rsidP="00DA2010">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1F7FB064" w14:textId="147EE094"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9EA368" w14:textId="071759D9" w:rsidR="00DA2010" w:rsidRDefault="00DA2010" w:rsidP="00DA201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0EF6D4C" w14:textId="632560CC" w:rsidR="00DA2010" w:rsidRDefault="00DA2010" w:rsidP="00DA2010">
            <w:pPr>
              <w:jc w:val="right"/>
              <w:rPr>
                <w:color w:val="000000"/>
                <w:sz w:val="20"/>
                <w:szCs w:val="20"/>
              </w:rPr>
            </w:pPr>
            <w:r>
              <w:rPr>
                <w:color w:val="000000"/>
                <w:sz w:val="20"/>
                <w:szCs w:val="20"/>
              </w:rPr>
              <w:t>0.799</w:t>
            </w:r>
          </w:p>
        </w:tc>
        <w:tc>
          <w:tcPr>
            <w:tcW w:w="768" w:type="dxa"/>
            <w:tcBorders>
              <w:top w:val="nil"/>
              <w:left w:val="nil"/>
              <w:bottom w:val="nil"/>
              <w:right w:val="nil"/>
            </w:tcBorders>
            <w:shd w:val="clear" w:color="auto" w:fill="auto"/>
            <w:noWrap/>
            <w:vAlign w:val="bottom"/>
            <w:hideMark/>
          </w:tcPr>
          <w:p w14:paraId="5C40F65E" w14:textId="7C9894DE"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385FD2" w14:textId="3DCB48E0" w:rsidR="00DA2010" w:rsidRDefault="00DA2010" w:rsidP="00DA201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4C0D5CD" w14:textId="316C0193" w:rsidR="00DA2010" w:rsidRDefault="00DA2010" w:rsidP="00DA2010">
            <w:pPr>
              <w:jc w:val="right"/>
              <w:rPr>
                <w:color w:val="000000"/>
                <w:sz w:val="20"/>
                <w:szCs w:val="20"/>
              </w:rPr>
            </w:pPr>
            <w:r>
              <w:rPr>
                <w:color w:val="000000"/>
                <w:sz w:val="20"/>
                <w:szCs w:val="20"/>
              </w:rPr>
              <w:t>0.620</w:t>
            </w:r>
          </w:p>
        </w:tc>
        <w:tc>
          <w:tcPr>
            <w:tcW w:w="768" w:type="dxa"/>
            <w:tcBorders>
              <w:top w:val="nil"/>
              <w:left w:val="nil"/>
              <w:bottom w:val="nil"/>
              <w:right w:val="nil"/>
            </w:tcBorders>
            <w:shd w:val="clear" w:color="auto" w:fill="auto"/>
            <w:noWrap/>
            <w:vAlign w:val="bottom"/>
            <w:hideMark/>
          </w:tcPr>
          <w:p w14:paraId="54D7037F" w14:textId="6AB224B9" w:rsidR="00DA2010" w:rsidRDefault="00DA2010" w:rsidP="00DA2010">
            <w:pPr>
              <w:jc w:val="right"/>
              <w:rPr>
                <w:color w:val="000000"/>
                <w:sz w:val="20"/>
                <w:szCs w:val="20"/>
              </w:rPr>
            </w:pPr>
            <w:r>
              <w:rPr>
                <w:color w:val="000000"/>
                <w:sz w:val="20"/>
                <w:szCs w:val="20"/>
              </w:rPr>
              <w:t>0.000</w:t>
            </w:r>
          </w:p>
        </w:tc>
      </w:tr>
      <w:tr w:rsidR="00DA2010" w14:paraId="3AA3795B" w14:textId="77777777" w:rsidTr="00E221DF">
        <w:trPr>
          <w:trHeight w:val="320"/>
        </w:trPr>
        <w:tc>
          <w:tcPr>
            <w:tcW w:w="1176" w:type="dxa"/>
            <w:tcBorders>
              <w:top w:val="nil"/>
              <w:left w:val="nil"/>
              <w:bottom w:val="nil"/>
              <w:right w:val="nil"/>
            </w:tcBorders>
            <w:shd w:val="clear" w:color="auto" w:fill="auto"/>
            <w:noWrap/>
            <w:vAlign w:val="bottom"/>
            <w:hideMark/>
          </w:tcPr>
          <w:p w14:paraId="4854FF12"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FCA27F5" w14:textId="77777777" w:rsidR="00DA2010" w:rsidRDefault="00DA2010" w:rsidP="00DA201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96BDAB8" w14:textId="28EA3CAD" w:rsidR="00DA2010" w:rsidRDefault="00DA2010" w:rsidP="00DA2010">
            <w:pPr>
              <w:jc w:val="right"/>
              <w:rPr>
                <w:b/>
                <w:bCs/>
                <w:color w:val="000000"/>
                <w:sz w:val="20"/>
                <w:szCs w:val="20"/>
              </w:rPr>
            </w:pPr>
            <w:r>
              <w:rPr>
                <w:b/>
                <w:bCs/>
                <w:color w:val="000000"/>
                <w:sz w:val="20"/>
                <w:szCs w:val="20"/>
              </w:rPr>
              <w:t>0.079</w:t>
            </w:r>
          </w:p>
        </w:tc>
        <w:tc>
          <w:tcPr>
            <w:tcW w:w="768" w:type="dxa"/>
            <w:tcBorders>
              <w:top w:val="nil"/>
              <w:left w:val="nil"/>
              <w:bottom w:val="nil"/>
              <w:right w:val="nil"/>
            </w:tcBorders>
            <w:shd w:val="clear" w:color="auto" w:fill="auto"/>
            <w:noWrap/>
            <w:vAlign w:val="bottom"/>
            <w:hideMark/>
          </w:tcPr>
          <w:p w14:paraId="09B269F0" w14:textId="06E85463" w:rsidR="00DA2010" w:rsidRDefault="00DA2010" w:rsidP="00DA2010">
            <w:pPr>
              <w:jc w:val="right"/>
              <w:rPr>
                <w:b/>
                <w:bCs/>
                <w:color w:val="000000"/>
                <w:sz w:val="20"/>
                <w:szCs w:val="20"/>
              </w:rPr>
            </w:pPr>
            <w:r>
              <w:rPr>
                <w:b/>
                <w:bCs/>
                <w:color w:val="000000"/>
                <w:sz w:val="20"/>
                <w:szCs w:val="20"/>
              </w:rPr>
              <w:t>0.028</w:t>
            </w:r>
          </w:p>
        </w:tc>
        <w:tc>
          <w:tcPr>
            <w:tcW w:w="768" w:type="dxa"/>
            <w:tcBorders>
              <w:top w:val="nil"/>
              <w:left w:val="nil"/>
              <w:bottom w:val="nil"/>
              <w:right w:val="nil"/>
            </w:tcBorders>
            <w:shd w:val="clear" w:color="auto" w:fill="auto"/>
            <w:noWrap/>
            <w:vAlign w:val="bottom"/>
            <w:hideMark/>
          </w:tcPr>
          <w:p w14:paraId="1C96CC4B" w14:textId="29BA1006" w:rsidR="00DA2010" w:rsidRPr="00DA2010" w:rsidRDefault="00DA2010" w:rsidP="00DA2010">
            <w:pPr>
              <w:jc w:val="right"/>
              <w:rPr>
                <w:b/>
                <w:bCs/>
                <w:color w:val="000000"/>
                <w:sz w:val="20"/>
                <w:szCs w:val="20"/>
              </w:rPr>
            </w:pPr>
            <w:r w:rsidRPr="00DA2010">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6028243F" w14:textId="0A0E4605" w:rsidR="00DA2010" w:rsidRDefault="00DA2010" w:rsidP="00DA2010">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7F037E44" w14:textId="157CFC9B" w:rsidR="00DA2010" w:rsidRDefault="00DA2010" w:rsidP="00DA2010">
            <w:pPr>
              <w:jc w:val="right"/>
              <w:rPr>
                <w:color w:val="000000"/>
                <w:sz w:val="20"/>
                <w:szCs w:val="20"/>
              </w:rPr>
            </w:pPr>
            <w:r>
              <w:rPr>
                <w:color w:val="000000"/>
                <w:sz w:val="20"/>
                <w:szCs w:val="20"/>
              </w:rPr>
              <w:t>0.499</w:t>
            </w:r>
          </w:p>
        </w:tc>
        <w:tc>
          <w:tcPr>
            <w:tcW w:w="768" w:type="dxa"/>
            <w:tcBorders>
              <w:top w:val="nil"/>
              <w:left w:val="nil"/>
              <w:bottom w:val="nil"/>
              <w:right w:val="nil"/>
            </w:tcBorders>
            <w:shd w:val="clear" w:color="auto" w:fill="auto"/>
            <w:noWrap/>
            <w:vAlign w:val="bottom"/>
            <w:hideMark/>
          </w:tcPr>
          <w:p w14:paraId="441000CC" w14:textId="74B0CFE8"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FB62F5" w14:textId="2834C474" w:rsidR="00DA2010" w:rsidRDefault="00DA2010" w:rsidP="00DA2010">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B102A78" w14:textId="33D56493" w:rsidR="00DA2010" w:rsidRDefault="00DA2010" w:rsidP="00DA2010">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263A12CA" w14:textId="792EEF3E"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EF9704" w14:textId="5C03777D"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8140CE" w14:textId="3F407664" w:rsidR="00DA2010" w:rsidRDefault="00DA2010" w:rsidP="00DA2010">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2F9FFC33" w14:textId="6271F2FD"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9AF071" w14:textId="7F628845" w:rsidR="00DA2010" w:rsidRDefault="00DA2010" w:rsidP="00DA201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E06F690" w14:textId="25855D20" w:rsidR="00DA2010" w:rsidRDefault="00DA2010" w:rsidP="00DA2010">
            <w:pPr>
              <w:jc w:val="right"/>
              <w:rPr>
                <w:color w:val="000000"/>
                <w:sz w:val="20"/>
                <w:szCs w:val="20"/>
              </w:rPr>
            </w:pPr>
            <w:r>
              <w:rPr>
                <w:color w:val="000000"/>
                <w:sz w:val="20"/>
                <w:szCs w:val="20"/>
              </w:rPr>
              <w:t>0.620</w:t>
            </w:r>
          </w:p>
        </w:tc>
        <w:tc>
          <w:tcPr>
            <w:tcW w:w="768" w:type="dxa"/>
            <w:tcBorders>
              <w:top w:val="nil"/>
              <w:left w:val="nil"/>
              <w:bottom w:val="nil"/>
              <w:right w:val="nil"/>
            </w:tcBorders>
            <w:shd w:val="clear" w:color="auto" w:fill="auto"/>
            <w:noWrap/>
            <w:vAlign w:val="bottom"/>
            <w:hideMark/>
          </w:tcPr>
          <w:p w14:paraId="6C2DF882" w14:textId="5C875DDD" w:rsidR="00DA2010" w:rsidRDefault="00DA2010" w:rsidP="00DA2010">
            <w:pPr>
              <w:jc w:val="right"/>
              <w:rPr>
                <w:color w:val="000000"/>
                <w:sz w:val="20"/>
                <w:szCs w:val="20"/>
              </w:rPr>
            </w:pPr>
            <w:r>
              <w:rPr>
                <w:color w:val="000000"/>
                <w:sz w:val="20"/>
                <w:szCs w:val="20"/>
              </w:rPr>
              <w:t>0.000</w:t>
            </w:r>
          </w:p>
        </w:tc>
      </w:tr>
      <w:tr w:rsidR="00DA2010" w14:paraId="598A64BE" w14:textId="77777777" w:rsidTr="00E221DF">
        <w:trPr>
          <w:trHeight w:val="320"/>
        </w:trPr>
        <w:tc>
          <w:tcPr>
            <w:tcW w:w="1176" w:type="dxa"/>
            <w:tcBorders>
              <w:top w:val="nil"/>
              <w:left w:val="nil"/>
              <w:bottom w:val="nil"/>
              <w:right w:val="nil"/>
            </w:tcBorders>
            <w:shd w:val="clear" w:color="auto" w:fill="auto"/>
            <w:noWrap/>
            <w:vAlign w:val="bottom"/>
            <w:hideMark/>
          </w:tcPr>
          <w:p w14:paraId="2C7361B7" w14:textId="77777777" w:rsidR="00DA2010" w:rsidRDefault="00DA2010" w:rsidP="00DA201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1787229" w14:textId="77777777" w:rsidR="00DA2010" w:rsidRDefault="00DA2010" w:rsidP="00DA201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4C07013" w14:textId="46A838BF" w:rsidR="00DA2010" w:rsidRDefault="00DA2010" w:rsidP="00DA2010">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4598794B" w14:textId="12CDC3A9" w:rsidR="00DA2010" w:rsidRDefault="00DA2010" w:rsidP="00DA2010">
            <w:pPr>
              <w:jc w:val="right"/>
              <w:rPr>
                <w:color w:val="000000"/>
                <w:sz w:val="20"/>
                <w:szCs w:val="20"/>
              </w:rPr>
            </w:pPr>
            <w:r>
              <w:rPr>
                <w:color w:val="000000"/>
                <w:sz w:val="20"/>
                <w:szCs w:val="20"/>
              </w:rPr>
              <w:t>0.228</w:t>
            </w:r>
          </w:p>
        </w:tc>
        <w:tc>
          <w:tcPr>
            <w:tcW w:w="768" w:type="dxa"/>
            <w:tcBorders>
              <w:top w:val="nil"/>
              <w:left w:val="nil"/>
              <w:bottom w:val="nil"/>
              <w:right w:val="nil"/>
            </w:tcBorders>
            <w:shd w:val="clear" w:color="auto" w:fill="auto"/>
            <w:noWrap/>
            <w:vAlign w:val="bottom"/>
            <w:hideMark/>
          </w:tcPr>
          <w:p w14:paraId="05721DC6" w14:textId="49756282" w:rsidR="00DA2010" w:rsidRDefault="00DA2010" w:rsidP="00DA201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5ECDB26" w14:textId="35A2BFDA" w:rsidR="00DA2010" w:rsidRDefault="00DA2010" w:rsidP="00DA2010">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6A9FE657" w14:textId="7DF5D768" w:rsidR="00DA2010" w:rsidRDefault="00DA2010" w:rsidP="00DA2010">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135497E3" w14:textId="031172AD" w:rsidR="00DA2010" w:rsidRDefault="00DA2010" w:rsidP="00DA201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F5391BE" w14:textId="0A06179E" w:rsidR="00DA2010" w:rsidRDefault="00DA2010" w:rsidP="00DA201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40AFB4B" w14:textId="648AD07E" w:rsidR="00DA2010" w:rsidRDefault="00DA2010" w:rsidP="00DA2010">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24573AD9" w14:textId="4BFFA968"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795F10" w14:textId="32818642" w:rsidR="00DA2010" w:rsidRDefault="00DA2010" w:rsidP="00DA2010">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840C68C" w14:textId="12C9D1DC" w:rsidR="00DA2010" w:rsidRDefault="00DA2010" w:rsidP="00DA2010">
            <w:pPr>
              <w:jc w:val="right"/>
              <w:rPr>
                <w:color w:val="000000"/>
                <w:sz w:val="20"/>
                <w:szCs w:val="20"/>
              </w:rPr>
            </w:pPr>
            <w:r>
              <w:rPr>
                <w:color w:val="000000"/>
                <w:sz w:val="20"/>
                <w:szCs w:val="20"/>
              </w:rPr>
              <w:t>0.349</w:t>
            </w:r>
          </w:p>
        </w:tc>
        <w:tc>
          <w:tcPr>
            <w:tcW w:w="768" w:type="dxa"/>
            <w:tcBorders>
              <w:top w:val="nil"/>
              <w:left w:val="nil"/>
              <w:bottom w:val="nil"/>
              <w:right w:val="nil"/>
            </w:tcBorders>
            <w:shd w:val="clear" w:color="auto" w:fill="auto"/>
            <w:noWrap/>
            <w:vAlign w:val="bottom"/>
            <w:hideMark/>
          </w:tcPr>
          <w:p w14:paraId="180DCB9E" w14:textId="74A8A6C1"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492F4F" w14:textId="24406A9C" w:rsidR="00DA2010" w:rsidRDefault="00DA2010" w:rsidP="00DA2010">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6A8CB67" w14:textId="70733983" w:rsidR="00DA2010" w:rsidRDefault="00DA2010" w:rsidP="00DA2010">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74902939" w14:textId="2F4AA926" w:rsidR="00DA2010" w:rsidRDefault="00DA2010" w:rsidP="00DA2010">
            <w:pPr>
              <w:jc w:val="right"/>
              <w:rPr>
                <w:color w:val="000000"/>
                <w:sz w:val="20"/>
                <w:szCs w:val="20"/>
              </w:rPr>
            </w:pPr>
            <w:r>
              <w:rPr>
                <w:color w:val="000000"/>
                <w:sz w:val="20"/>
                <w:szCs w:val="20"/>
              </w:rPr>
              <w:t>0.002</w:t>
            </w:r>
          </w:p>
        </w:tc>
      </w:tr>
      <w:tr w:rsidR="00DA2010" w14:paraId="73C30801" w14:textId="77777777" w:rsidTr="00AA3295">
        <w:trPr>
          <w:trHeight w:val="340"/>
        </w:trPr>
        <w:tc>
          <w:tcPr>
            <w:tcW w:w="1176" w:type="dxa"/>
            <w:tcBorders>
              <w:top w:val="nil"/>
              <w:left w:val="nil"/>
              <w:bottom w:val="single" w:sz="12" w:space="0" w:color="auto"/>
              <w:right w:val="nil"/>
            </w:tcBorders>
            <w:shd w:val="clear" w:color="auto" w:fill="auto"/>
            <w:noWrap/>
            <w:vAlign w:val="bottom"/>
            <w:hideMark/>
          </w:tcPr>
          <w:p w14:paraId="2D47C2BD" w14:textId="77777777" w:rsidR="00DA2010" w:rsidRDefault="00DA2010" w:rsidP="00DA2010">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35068DD9" w14:textId="77777777" w:rsidR="00DA2010" w:rsidRDefault="00DA2010" w:rsidP="00DA2010">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577C98B8" w14:textId="06C8740F" w:rsidR="00DA2010" w:rsidRDefault="00DA2010" w:rsidP="00DA2010">
            <w:pPr>
              <w:jc w:val="right"/>
              <w:rPr>
                <w:color w:val="000000"/>
                <w:sz w:val="20"/>
                <w:szCs w:val="20"/>
              </w:rPr>
            </w:pPr>
            <w:r>
              <w:rPr>
                <w:color w:val="000000"/>
                <w:sz w:val="20"/>
                <w:szCs w:val="20"/>
              </w:rPr>
              <w:t>0.076</w:t>
            </w:r>
          </w:p>
        </w:tc>
        <w:tc>
          <w:tcPr>
            <w:tcW w:w="768" w:type="dxa"/>
            <w:tcBorders>
              <w:top w:val="nil"/>
              <w:left w:val="nil"/>
              <w:bottom w:val="single" w:sz="12" w:space="0" w:color="auto"/>
              <w:right w:val="nil"/>
            </w:tcBorders>
            <w:shd w:val="clear" w:color="auto" w:fill="auto"/>
            <w:noWrap/>
            <w:vAlign w:val="bottom"/>
            <w:hideMark/>
          </w:tcPr>
          <w:p w14:paraId="61FBB158" w14:textId="063DA081" w:rsidR="00DA2010" w:rsidRDefault="00DA2010" w:rsidP="00DA2010">
            <w:pPr>
              <w:jc w:val="right"/>
              <w:rPr>
                <w:color w:val="000000"/>
                <w:sz w:val="20"/>
                <w:szCs w:val="20"/>
              </w:rPr>
            </w:pPr>
            <w:r>
              <w:rPr>
                <w:color w:val="000000"/>
                <w:sz w:val="20"/>
                <w:szCs w:val="20"/>
              </w:rPr>
              <w:t>0.067</w:t>
            </w:r>
          </w:p>
        </w:tc>
        <w:tc>
          <w:tcPr>
            <w:tcW w:w="768" w:type="dxa"/>
            <w:tcBorders>
              <w:top w:val="nil"/>
              <w:left w:val="nil"/>
              <w:bottom w:val="single" w:sz="12" w:space="0" w:color="auto"/>
              <w:right w:val="nil"/>
            </w:tcBorders>
            <w:shd w:val="clear" w:color="auto" w:fill="auto"/>
            <w:noWrap/>
            <w:vAlign w:val="bottom"/>
            <w:hideMark/>
          </w:tcPr>
          <w:p w14:paraId="0FCF6965" w14:textId="7C558470" w:rsidR="00DA2010" w:rsidRDefault="00DA2010" w:rsidP="00DA2010">
            <w:pPr>
              <w:jc w:val="right"/>
              <w:rPr>
                <w:color w:val="000000"/>
                <w:sz w:val="20"/>
                <w:szCs w:val="20"/>
              </w:rPr>
            </w:pPr>
            <w:r>
              <w:rPr>
                <w:color w:val="000000"/>
                <w:sz w:val="20"/>
                <w:szCs w:val="20"/>
              </w:rPr>
              <w:t>0.006</w:t>
            </w:r>
          </w:p>
        </w:tc>
        <w:tc>
          <w:tcPr>
            <w:tcW w:w="768" w:type="dxa"/>
            <w:tcBorders>
              <w:top w:val="nil"/>
              <w:left w:val="nil"/>
              <w:bottom w:val="single" w:sz="12" w:space="0" w:color="auto"/>
              <w:right w:val="nil"/>
            </w:tcBorders>
            <w:shd w:val="clear" w:color="auto" w:fill="auto"/>
            <w:noWrap/>
            <w:vAlign w:val="bottom"/>
            <w:hideMark/>
          </w:tcPr>
          <w:p w14:paraId="230AF4CD" w14:textId="1E072B7A" w:rsidR="00DA2010" w:rsidRDefault="00DA2010" w:rsidP="00DA2010">
            <w:pPr>
              <w:jc w:val="right"/>
              <w:rPr>
                <w:color w:val="000000"/>
                <w:sz w:val="20"/>
                <w:szCs w:val="20"/>
              </w:rPr>
            </w:pPr>
            <w:r>
              <w:rPr>
                <w:color w:val="000000"/>
                <w:sz w:val="20"/>
                <w:szCs w:val="20"/>
              </w:rPr>
              <w:t>-0.028</w:t>
            </w:r>
          </w:p>
        </w:tc>
        <w:tc>
          <w:tcPr>
            <w:tcW w:w="768" w:type="dxa"/>
            <w:tcBorders>
              <w:top w:val="nil"/>
              <w:left w:val="nil"/>
              <w:bottom w:val="single" w:sz="12" w:space="0" w:color="auto"/>
              <w:right w:val="nil"/>
            </w:tcBorders>
            <w:shd w:val="clear" w:color="auto" w:fill="auto"/>
            <w:noWrap/>
            <w:vAlign w:val="bottom"/>
            <w:hideMark/>
          </w:tcPr>
          <w:p w14:paraId="765E1D48" w14:textId="04B4B744" w:rsidR="00DA2010" w:rsidRDefault="00DA2010" w:rsidP="00DA2010">
            <w:pPr>
              <w:jc w:val="right"/>
              <w:rPr>
                <w:color w:val="000000"/>
                <w:sz w:val="20"/>
                <w:szCs w:val="20"/>
              </w:rPr>
            </w:pPr>
            <w:r>
              <w:rPr>
                <w:color w:val="000000"/>
                <w:sz w:val="20"/>
                <w:szCs w:val="20"/>
              </w:rPr>
              <w:t>0.499</w:t>
            </w:r>
          </w:p>
        </w:tc>
        <w:tc>
          <w:tcPr>
            <w:tcW w:w="768" w:type="dxa"/>
            <w:tcBorders>
              <w:top w:val="nil"/>
              <w:left w:val="nil"/>
              <w:bottom w:val="single" w:sz="12" w:space="0" w:color="auto"/>
              <w:right w:val="nil"/>
            </w:tcBorders>
            <w:shd w:val="clear" w:color="auto" w:fill="auto"/>
            <w:noWrap/>
            <w:vAlign w:val="bottom"/>
            <w:hideMark/>
          </w:tcPr>
          <w:p w14:paraId="139657EF" w14:textId="7C24916F"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09B81A35" w14:textId="0185C1DD" w:rsidR="00DA2010" w:rsidRDefault="00DA2010" w:rsidP="00DA2010">
            <w:pPr>
              <w:jc w:val="right"/>
              <w:rPr>
                <w:color w:val="000000"/>
                <w:sz w:val="20"/>
                <w:szCs w:val="20"/>
              </w:rPr>
            </w:pPr>
            <w:r>
              <w:rPr>
                <w:color w:val="000000"/>
                <w:sz w:val="20"/>
                <w:szCs w:val="20"/>
              </w:rPr>
              <w:t>-0.024</w:t>
            </w:r>
          </w:p>
        </w:tc>
        <w:tc>
          <w:tcPr>
            <w:tcW w:w="768" w:type="dxa"/>
            <w:tcBorders>
              <w:top w:val="nil"/>
              <w:left w:val="nil"/>
              <w:bottom w:val="single" w:sz="12" w:space="0" w:color="auto"/>
              <w:right w:val="nil"/>
            </w:tcBorders>
            <w:shd w:val="clear" w:color="auto" w:fill="auto"/>
            <w:noWrap/>
            <w:vAlign w:val="bottom"/>
            <w:hideMark/>
          </w:tcPr>
          <w:p w14:paraId="76D22770" w14:textId="37B2A7E3" w:rsidR="00DA2010" w:rsidRDefault="00DA2010" w:rsidP="00DA2010">
            <w:pPr>
              <w:jc w:val="right"/>
              <w:rPr>
                <w:color w:val="000000"/>
                <w:sz w:val="20"/>
                <w:szCs w:val="20"/>
              </w:rPr>
            </w:pPr>
            <w:r>
              <w:rPr>
                <w:color w:val="000000"/>
                <w:sz w:val="20"/>
                <w:szCs w:val="20"/>
              </w:rPr>
              <w:t>0.823</w:t>
            </w:r>
          </w:p>
        </w:tc>
        <w:tc>
          <w:tcPr>
            <w:tcW w:w="768" w:type="dxa"/>
            <w:tcBorders>
              <w:top w:val="nil"/>
              <w:left w:val="nil"/>
              <w:bottom w:val="single" w:sz="12" w:space="0" w:color="auto"/>
              <w:right w:val="nil"/>
            </w:tcBorders>
            <w:shd w:val="clear" w:color="auto" w:fill="auto"/>
            <w:noWrap/>
            <w:vAlign w:val="bottom"/>
            <w:hideMark/>
          </w:tcPr>
          <w:p w14:paraId="773FD8C3" w14:textId="26407008" w:rsidR="00DA2010" w:rsidRDefault="00DA2010" w:rsidP="00DA2010">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676BB264" w14:textId="2FFAA112" w:rsidR="00DA2010" w:rsidRDefault="00DA2010" w:rsidP="00DA2010">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29A7826B" w14:textId="0E436D0C" w:rsidR="00DA2010" w:rsidRDefault="00DA2010" w:rsidP="00DA2010">
            <w:pPr>
              <w:jc w:val="right"/>
              <w:rPr>
                <w:color w:val="000000"/>
                <w:sz w:val="20"/>
                <w:szCs w:val="20"/>
              </w:rPr>
            </w:pPr>
            <w:r>
              <w:rPr>
                <w:color w:val="000000"/>
                <w:sz w:val="20"/>
                <w:szCs w:val="20"/>
              </w:rPr>
              <w:t>0.873</w:t>
            </w:r>
          </w:p>
        </w:tc>
        <w:tc>
          <w:tcPr>
            <w:tcW w:w="768" w:type="dxa"/>
            <w:tcBorders>
              <w:top w:val="nil"/>
              <w:left w:val="nil"/>
              <w:bottom w:val="single" w:sz="12" w:space="0" w:color="auto"/>
              <w:right w:val="nil"/>
            </w:tcBorders>
            <w:shd w:val="clear" w:color="auto" w:fill="auto"/>
            <w:noWrap/>
            <w:vAlign w:val="bottom"/>
            <w:hideMark/>
          </w:tcPr>
          <w:p w14:paraId="1A42FF6A" w14:textId="6674DBBA" w:rsidR="00DA2010" w:rsidRDefault="00DA2010" w:rsidP="00DA2010">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174D565C" w14:textId="24A6A976" w:rsidR="00DA2010" w:rsidRDefault="00DA2010" w:rsidP="00DA2010">
            <w:pPr>
              <w:jc w:val="right"/>
              <w:rPr>
                <w:color w:val="000000"/>
                <w:sz w:val="20"/>
                <w:szCs w:val="20"/>
              </w:rPr>
            </w:pPr>
            <w:r>
              <w:rPr>
                <w:color w:val="000000"/>
                <w:sz w:val="20"/>
                <w:szCs w:val="20"/>
              </w:rPr>
              <w:t>-0.018</w:t>
            </w:r>
          </w:p>
        </w:tc>
        <w:tc>
          <w:tcPr>
            <w:tcW w:w="768" w:type="dxa"/>
            <w:tcBorders>
              <w:top w:val="nil"/>
              <w:left w:val="nil"/>
              <w:bottom w:val="single" w:sz="12" w:space="0" w:color="auto"/>
              <w:right w:val="nil"/>
            </w:tcBorders>
            <w:shd w:val="clear" w:color="auto" w:fill="auto"/>
            <w:noWrap/>
            <w:vAlign w:val="bottom"/>
            <w:hideMark/>
          </w:tcPr>
          <w:p w14:paraId="0CF6BA87" w14:textId="61212333" w:rsidR="00DA2010" w:rsidRDefault="00DA2010" w:rsidP="00DA2010">
            <w:pPr>
              <w:jc w:val="right"/>
              <w:rPr>
                <w:color w:val="000000"/>
                <w:sz w:val="20"/>
                <w:szCs w:val="20"/>
              </w:rPr>
            </w:pPr>
            <w:r>
              <w:rPr>
                <w:color w:val="000000"/>
                <w:sz w:val="20"/>
                <w:szCs w:val="20"/>
              </w:rPr>
              <w:t>0.620</w:t>
            </w:r>
          </w:p>
        </w:tc>
        <w:tc>
          <w:tcPr>
            <w:tcW w:w="768" w:type="dxa"/>
            <w:tcBorders>
              <w:top w:val="nil"/>
              <w:left w:val="nil"/>
              <w:bottom w:val="single" w:sz="12" w:space="0" w:color="auto"/>
              <w:right w:val="nil"/>
            </w:tcBorders>
            <w:shd w:val="clear" w:color="auto" w:fill="auto"/>
            <w:noWrap/>
            <w:vAlign w:val="bottom"/>
            <w:hideMark/>
          </w:tcPr>
          <w:p w14:paraId="705E7BDF" w14:textId="53F3BF1F" w:rsidR="00DA2010" w:rsidRDefault="00DA2010" w:rsidP="00DA2010">
            <w:pPr>
              <w:jc w:val="right"/>
              <w:rPr>
                <w:color w:val="000000"/>
                <w:sz w:val="20"/>
                <w:szCs w:val="20"/>
              </w:rPr>
            </w:pPr>
            <w:r>
              <w:rPr>
                <w:color w:val="000000"/>
                <w:sz w:val="20"/>
                <w:szCs w:val="20"/>
              </w:rPr>
              <w:t>0.000</w:t>
            </w:r>
          </w:p>
        </w:tc>
      </w:tr>
      <w:tr w:rsidR="00E221DF" w14:paraId="193A9413" w14:textId="77777777" w:rsidTr="00AA3295">
        <w:trPr>
          <w:trHeight w:val="320"/>
        </w:trPr>
        <w:tc>
          <w:tcPr>
            <w:tcW w:w="1176" w:type="dxa"/>
            <w:tcBorders>
              <w:top w:val="single" w:sz="12" w:space="0" w:color="auto"/>
              <w:left w:val="nil"/>
              <w:bottom w:val="nil"/>
              <w:right w:val="nil"/>
            </w:tcBorders>
            <w:shd w:val="clear" w:color="auto" w:fill="auto"/>
            <w:noWrap/>
            <w:vAlign w:val="bottom"/>
            <w:hideMark/>
          </w:tcPr>
          <w:p w14:paraId="1C170115" w14:textId="77777777" w:rsidR="00E221DF" w:rsidRDefault="00E221DF">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399139B4" w14:textId="77777777" w:rsidR="00E221DF" w:rsidRDefault="00E221DF">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135F7547"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022D1D3"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2D86BDC"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3AEB974"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10D6B84"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AE2484B"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5FC5EEE"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DD2B53D"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77FCAC4"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C92805E"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B5374B5"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BB12695"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622125F"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427A419" w14:textId="77777777" w:rsidR="00E221DF" w:rsidRDefault="00E221D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FCF27E7" w14:textId="77777777" w:rsidR="00E221DF" w:rsidRDefault="00E221DF">
            <w:pPr>
              <w:rPr>
                <w:sz w:val="20"/>
                <w:szCs w:val="20"/>
              </w:rPr>
            </w:pPr>
          </w:p>
        </w:tc>
      </w:tr>
    </w:tbl>
    <w:p w14:paraId="06B57F3A" w14:textId="77777777" w:rsidR="0097057E" w:rsidRPr="0097057E" w:rsidRDefault="0097057E" w:rsidP="00A27233">
      <w:pPr>
        <w:rPr>
          <w:rFonts w:eastAsia="Batang"/>
        </w:rPr>
      </w:pPr>
    </w:p>
    <w:p w14:paraId="347B7C0E" w14:textId="39DC7EA0" w:rsidR="00E221DF" w:rsidRDefault="00E221DF">
      <w:r>
        <w:br w:type="page"/>
      </w:r>
    </w:p>
    <w:p w14:paraId="26CD38A1" w14:textId="50D563B2" w:rsidR="00E221DF" w:rsidRPr="009E2A20" w:rsidRDefault="00432B71" w:rsidP="009E2A20">
      <w:pPr>
        <w:pStyle w:val="Heading1"/>
        <w:rPr>
          <w:rFonts w:ascii="Times New Roman" w:hAnsi="Times New Roman" w:cs="Times New Roman"/>
          <w:color w:val="000000" w:themeColor="text1"/>
          <w:sz w:val="24"/>
          <w:szCs w:val="24"/>
        </w:rPr>
      </w:pPr>
      <w:bookmarkStart w:id="25" w:name="_Toc155817692"/>
      <w:r>
        <w:rPr>
          <w:rFonts w:ascii="Times New Roman" w:hAnsi="Times New Roman" w:cs="Times New Roman"/>
          <w:b/>
          <w:bCs/>
          <w:color w:val="000000" w:themeColor="text1"/>
          <w:sz w:val="24"/>
          <w:szCs w:val="24"/>
        </w:rPr>
        <w:lastRenderedPageBreak/>
        <w:t xml:space="preserve">Table </w:t>
      </w:r>
      <w:r w:rsidR="00994E15">
        <w:rPr>
          <w:rFonts w:ascii="Times New Roman" w:hAnsi="Times New Roman" w:cs="Times New Roman"/>
          <w:b/>
          <w:bCs/>
          <w:color w:val="000000" w:themeColor="text1"/>
          <w:sz w:val="24"/>
          <w:szCs w:val="24"/>
        </w:rPr>
        <w:t>7</w:t>
      </w:r>
      <w:r w:rsidR="00E221DF" w:rsidRPr="009E2A20">
        <w:rPr>
          <w:rFonts w:ascii="Times New Roman" w:hAnsi="Times New Roman" w:cs="Times New Roman"/>
          <w:b/>
          <w:bCs/>
          <w:color w:val="000000" w:themeColor="text1"/>
          <w:sz w:val="24"/>
          <w:szCs w:val="24"/>
        </w:rPr>
        <w:t xml:space="preserve">b. </w:t>
      </w:r>
      <w:r w:rsidR="00E221DF"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average shortest path length during</w:t>
      </w:r>
      <w:r w:rsidR="00E221DF" w:rsidRPr="009E2A20">
        <w:rPr>
          <w:rFonts w:ascii="Times New Roman" w:hAnsi="Times New Roman" w:cs="Times New Roman" w:hint="eastAsia"/>
          <w:color w:val="000000" w:themeColor="text1"/>
          <w:sz w:val="24"/>
          <w:szCs w:val="24"/>
        </w:rPr>
        <w:t xml:space="preserve"> </w:t>
      </w:r>
      <w:r w:rsidR="00E221DF" w:rsidRPr="009E2A20">
        <w:rPr>
          <w:rFonts w:ascii="Times New Roman" w:hAnsi="Times New Roman" w:cs="Times New Roman"/>
          <w:color w:val="000000" w:themeColor="text1"/>
          <w:sz w:val="24"/>
          <w:szCs w:val="24"/>
        </w:rPr>
        <w:t>emotional n-back task</w:t>
      </w:r>
      <w:bookmarkEnd w:id="25"/>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AA3295" w14:paraId="7591AD6F" w14:textId="77777777" w:rsidTr="00AA3295">
        <w:trPr>
          <w:trHeight w:val="340"/>
        </w:trPr>
        <w:tc>
          <w:tcPr>
            <w:tcW w:w="1176" w:type="dxa"/>
            <w:tcBorders>
              <w:top w:val="nil"/>
              <w:left w:val="nil"/>
              <w:bottom w:val="single" w:sz="12" w:space="0" w:color="auto"/>
              <w:right w:val="nil"/>
            </w:tcBorders>
            <w:shd w:val="clear" w:color="auto" w:fill="auto"/>
            <w:noWrap/>
            <w:vAlign w:val="bottom"/>
            <w:hideMark/>
          </w:tcPr>
          <w:p w14:paraId="1CEC4F6D" w14:textId="77777777" w:rsidR="00AA3295" w:rsidRDefault="00AA3295">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30AFCC8F" w14:textId="77777777" w:rsidR="00AA3295" w:rsidRDefault="00AA3295">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63475A1F" w14:textId="77777777" w:rsidR="00AA3295" w:rsidRDefault="00AA3295">
            <w:pPr>
              <w:rPr>
                <w:color w:val="000000"/>
              </w:rPr>
            </w:pPr>
          </w:p>
        </w:tc>
        <w:tc>
          <w:tcPr>
            <w:tcW w:w="768" w:type="dxa"/>
            <w:tcBorders>
              <w:top w:val="nil"/>
              <w:left w:val="nil"/>
              <w:bottom w:val="single" w:sz="12" w:space="0" w:color="auto"/>
              <w:right w:val="nil"/>
            </w:tcBorders>
            <w:shd w:val="clear" w:color="auto" w:fill="auto"/>
            <w:noWrap/>
            <w:vAlign w:val="bottom"/>
            <w:hideMark/>
          </w:tcPr>
          <w:p w14:paraId="43593EBD"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1C8AC94"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A919464"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DF68603"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57FF815"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95D130D"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2B08FE5"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A8D2A8A"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4A5F522"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DB9DCB6"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E551746"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16A9426" w14:textId="77777777" w:rsidR="00AA3295" w:rsidRDefault="00AA329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0C246BA" w14:textId="77777777" w:rsidR="00AA3295" w:rsidRDefault="00AA3295">
            <w:pPr>
              <w:rPr>
                <w:sz w:val="20"/>
                <w:szCs w:val="20"/>
              </w:rPr>
            </w:pPr>
          </w:p>
        </w:tc>
        <w:tc>
          <w:tcPr>
            <w:tcW w:w="768" w:type="dxa"/>
            <w:tcBorders>
              <w:top w:val="nil"/>
              <w:left w:val="nil"/>
              <w:bottom w:val="nil"/>
              <w:right w:val="nil"/>
            </w:tcBorders>
            <w:shd w:val="clear" w:color="auto" w:fill="auto"/>
            <w:noWrap/>
            <w:vAlign w:val="bottom"/>
            <w:hideMark/>
          </w:tcPr>
          <w:p w14:paraId="28202E01" w14:textId="77777777" w:rsidR="00AA3295" w:rsidRDefault="00AA3295">
            <w:pPr>
              <w:rPr>
                <w:sz w:val="20"/>
                <w:szCs w:val="20"/>
              </w:rPr>
            </w:pPr>
          </w:p>
        </w:tc>
      </w:tr>
      <w:tr w:rsidR="00AA3295" w14:paraId="158437EC" w14:textId="77777777" w:rsidTr="00AA3295">
        <w:trPr>
          <w:trHeight w:val="340"/>
        </w:trPr>
        <w:tc>
          <w:tcPr>
            <w:tcW w:w="1176" w:type="dxa"/>
            <w:tcBorders>
              <w:top w:val="single" w:sz="12" w:space="0" w:color="auto"/>
              <w:left w:val="nil"/>
              <w:bottom w:val="nil"/>
              <w:right w:val="nil"/>
            </w:tcBorders>
            <w:shd w:val="clear" w:color="auto" w:fill="auto"/>
            <w:noWrap/>
            <w:vAlign w:val="bottom"/>
            <w:hideMark/>
          </w:tcPr>
          <w:p w14:paraId="70B769B1" w14:textId="77777777" w:rsidR="00AA3295" w:rsidRDefault="00AA3295">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75E9A92" w14:textId="77777777" w:rsidR="00AA3295" w:rsidRDefault="00AA3295">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135CA2D7" w14:textId="40C53DE4" w:rsidR="00AA3295" w:rsidRDefault="00AA3295">
            <w:pPr>
              <w:jc w:val="center"/>
              <w:rPr>
                <w:color w:val="000000"/>
                <w:sz w:val="20"/>
                <w:szCs w:val="20"/>
              </w:rPr>
            </w:pPr>
            <w:r>
              <w:rPr>
                <w:color w:val="000000"/>
                <w:sz w:val="20"/>
                <w:szCs w:val="20"/>
              </w:rPr>
              <w:t>General</w:t>
            </w:r>
            <w:r w:rsidR="006F54CF">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3DFD6BD" w14:textId="77777777" w:rsidR="00AA3295" w:rsidRDefault="00AA3295">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D3DF930" w14:textId="77777777" w:rsidR="00AA3295" w:rsidRDefault="00AA3295">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D8D68D2" w14:textId="77777777" w:rsidR="00AA3295" w:rsidRDefault="00AA3295">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8" w:space="0" w:color="auto"/>
              <w:right w:val="nil"/>
            </w:tcBorders>
            <w:shd w:val="clear" w:color="auto" w:fill="auto"/>
            <w:noWrap/>
            <w:vAlign w:val="center"/>
            <w:hideMark/>
          </w:tcPr>
          <w:p w14:paraId="64FB3DF1" w14:textId="77777777" w:rsidR="00AA3295" w:rsidRDefault="00AA3295">
            <w:pPr>
              <w:jc w:val="center"/>
              <w:rPr>
                <w:color w:val="000000"/>
                <w:sz w:val="20"/>
                <w:szCs w:val="20"/>
              </w:rPr>
            </w:pPr>
            <w:r>
              <w:rPr>
                <w:color w:val="000000"/>
                <w:sz w:val="20"/>
                <w:szCs w:val="20"/>
              </w:rPr>
              <w:t>Urbanicity</w:t>
            </w:r>
          </w:p>
        </w:tc>
      </w:tr>
      <w:tr w:rsidR="002125FE" w14:paraId="005B9155" w14:textId="77777777" w:rsidTr="00AA3295">
        <w:trPr>
          <w:trHeight w:val="360"/>
        </w:trPr>
        <w:tc>
          <w:tcPr>
            <w:tcW w:w="1176" w:type="dxa"/>
            <w:tcBorders>
              <w:top w:val="nil"/>
              <w:left w:val="nil"/>
              <w:bottom w:val="single" w:sz="12" w:space="0" w:color="auto"/>
              <w:right w:val="nil"/>
            </w:tcBorders>
            <w:shd w:val="clear" w:color="auto" w:fill="auto"/>
            <w:noWrap/>
            <w:vAlign w:val="bottom"/>
            <w:hideMark/>
          </w:tcPr>
          <w:p w14:paraId="0C620565"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2775B10F"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69165D38" w14:textId="715ED0D2"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A032635" w14:textId="42757102"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5DD7236" w14:textId="2E7D28B4"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B732283" w14:textId="128F461A"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AFFCB77" w14:textId="7D321807"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22D5FD6" w14:textId="21FC0071"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1C252C9" w14:textId="5BA9B974"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6EEABC7" w14:textId="083DCB7D"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D40EB6C" w14:textId="45B43587"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E949148" w14:textId="2D7661F2"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4966B85" w14:textId="3D0C6DB7"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9A7AA9B" w14:textId="20D9E9A9"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048B542" w14:textId="62E5CC9D"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05E5A41" w14:textId="609FE42F"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EB928B5" w14:textId="7101B790"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CB0ED3" w14:paraId="2C2A112B" w14:textId="77777777" w:rsidTr="00AA3295">
        <w:trPr>
          <w:trHeight w:val="320"/>
        </w:trPr>
        <w:tc>
          <w:tcPr>
            <w:tcW w:w="1176" w:type="dxa"/>
            <w:tcBorders>
              <w:top w:val="single" w:sz="12" w:space="0" w:color="auto"/>
              <w:left w:val="nil"/>
              <w:bottom w:val="nil"/>
              <w:right w:val="nil"/>
            </w:tcBorders>
            <w:shd w:val="clear" w:color="auto" w:fill="auto"/>
            <w:noWrap/>
            <w:vAlign w:val="bottom"/>
            <w:hideMark/>
          </w:tcPr>
          <w:p w14:paraId="53E31ABB" w14:textId="77777777" w:rsidR="00CB0ED3" w:rsidRDefault="00CB0ED3" w:rsidP="00CB0ED3">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4A856242" w14:textId="77777777" w:rsidR="00CB0ED3" w:rsidRDefault="00CB0ED3" w:rsidP="00CB0ED3">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7A175C88" w14:textId="7BDB673E" w:rsidR="00CB0ED3" w:rsidRDefault="00CB0ED3" w:rsidP="00CB0ED3">
            <w:pPr>
              <w:jc w:val="right"/>
              <w:rPr>
                <w:color w:val="000000"/>
                <w:sz w:val="20"/>
                <w:szCs w:val="20"/>
              </w:rPr>
            </w:pPr>
            <w:r>
              <w:rPr>
                <w:color w:val="000000"/>
                <w:sz w:val="20"/>
                <w:szCs w:val="20"/>
              </w:rPr>
              <w:t>0.041</w:t>
            </w:r>
          </w:p>
        </w:tc>
        <w:tc>
          <w:tcPr>
            <w:tcW w:w="768" w:type="dxa"/>
            <w:tcBorders>
              <w:top w:val="single" w:sz="12" w:space="0" w:color="auto"/>
              <w:left w:val="nil"/>
              <w:bottom w:val="nil"/>
              <w:right w:val="nil"/>
            </w:tcBorders>
            <w:shd w:val="clear" w:color="auto" w:fill="auto"/>
            <w:noWrap/>
            <w:vAlign w:val="bottom"/>
            <w:hideMark/>
          </w:tcPr>
          <w:p w14:paraId="6D45D673" w14:textId="5480F2D5" w:rsidR="00CB0ED3" w:rsidRDefault="00CB0ED3" w:rsidP="00CB0ED3">
            <w:pPr>
              <w:jc w:val="right"/>
              <w:rPr>
                <w:color w:val="000000"/>
                <w:sz w:val="20"/>
                <w:szCs w:val="20"/>
              </w:rPr>
            </w:pPr>
            <w:r>
              <w:rPr>
                <w:color w:val="000000"/>
                <w:sz w:val="20"/>
                <w:szCs w:val="20"/>
              </w:rPr>
              <w:t>0.507</w:t>
            </w:r>
          </w:p>
        </w:tc>
        <w:tc>
          <w:tcPr>
            <w:tcW w:w="768" w:type="dxa"/>
            <w:tcBorders>
              <w:top w:val="single" w:sz="12" w:space="0" w:color="auto"/>
              <w:left w:val="nil"/>
              <w:bottom w:val="nil"/>
              <w:right w:val="nil"/>
            </w:tcBorders>
            <w:shd w:val="clear" w:color="auto" w:fill="auto"/>
            <w:noWrap/>
            <w:vAlign w:val="bottom"/>
            <w:hideMark/>
          </w:tcPr>
          <w:p w14:paraId="2B40DC29" w14:textId="3CF14150" w:rsidR="00CB0ED3" w:rsidRDefault="00CB0ED3" w:rsidP="00CB0ED3">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724AD766" w14:textId="187375D1" w:rsidR="00CB0ED3" w:rsidRDefault="00CB0ED3" w:rsidP="00CB0ED3">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3C366156" w14:textId="3FD9D854" w:rsidR="00CB0ED3" w:rsidRDefault="00CB0ED3" w:rsidP="00CB0ED3">
            <w:pPr>
              <w:jc w:val="right"/>
              <w:rPr>
                <w:color w:val="000000"/>
                <w:sz w:val="20"/>
                <w:szCs w:val="20"/>
              </w:rPr>
            </w:pPr>
            <w:r>
              <w:rPr>
                <w:color w:val="000000"/>
                <w:sz w:val="20"/>
                <w:szCs w:val="20"/>
              </w:rPr>
              <w:t>0.949</w:t>
            </w:r>
          </w:p>
        </w:tc>
        <w:tc>
          <w:tcPr>
            <w:tcW w:w="768" w:type="dxa"/>
            <w:tcBorders>
              <w:top w:val="single" w:sz="12" w:space="0" w:color="auto"/>
              <w:left w:val="nil"/>
              <w:bottom w:val="nil"/>
              <w:right w:val="nil"/>
            </w:tcBorders>
            <w:shd w:val="clear" w:color="auto" w:fill="auto"/>
            <w:noWrap/>
            <w:vAlign w:val="bottom"/>
            <w:hideMark/>
          </w:tcPr>
          <w:p w14:paraId="0D40EEB2" w14:textId="58F3774C" w:rsidR="00CB0ED3" w:rsidRDefault="00CB0ED3" w:rsidP="00CB0ED3">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F11DCF6" w14:textId="6DBB05E4" w:rsidR="00CB0ED3" w:rsidRDefault="00CB0ED3" w:rsidP="00CB0ED3">
            <w:pPr>
              <w:jc w:val="right"/>
              <w:rPr>
                <w:color w:val="000000"/>
                <w:sz w:val="20"/>
                <w:szCs w:val="20"/>
              </w:rPr>
            </w:pPr>
            <w:r>
              <w:rPr>
                <w:color w:val="000000"/>
                <w:sz w:val="20"/>
                <w:szCs w:val="20"/>
              </w:rPr>
              <w:t>-0.021</w:t>
            </w:r>
          </w:p>
        </w:tc>
        <w:tc>
          <w:tcPr>
            <w:tcW w:w="768" w:type="dxa"/>
            <w:tcBorders>
              <w:top w:val="single" w:sz="12" w:space="0" w:color="auto"/>
              <w:left w:val="nil"/>
              <w:bottom w:val="nil"/>
              <w:right w:val="nil"/>
            </w:tcBorders>
            <w:shd w:val="clear" w:color="auto" w:fill="auto"/>
            <w:noWrap/>
            <w:vAlign w:val="bottom"/>
            <w:hideMark/>
          </w:tcPr>
          <w:p w14:paraId="3B5688FB" w14:textId="6FD2DF65" w:rsidR="00CB0ED3" w:rsidRDefault="00CB0ED3" w:rsidP="00CB0ED3">
            <w:pPr>
              <w:jc w:val="right"/>
              <w:rPr>
                <w:color w:val="000000"/>
                <w:sz w:val="20"/>
                <w:szCs w:val="20"/>
              </w:rPr>
            </w:pPr>
            <w:r>
              <w:rPr>
                <w:color w:val="000000"/>
                <w:sz w:val="20"/>
                <w:szCs w:val="20"/>
              </w:rPr>
              <w:t>0.744</w:t>
            </w:r>
          </w:p>
        </w:tc>
        <w:tc>
          <w:tcPr>
            <w:tcW w:w="768" w:type="dxa"/>
            <w:tcBorders>
              <w:top w:val="single" w:sz="12" w:space="0" w:color="auto"/>
              <w:left w:val="nil"/>
              <w:bottom w:val="nil"/>
              <w:right w:val="nil"/>
            </w:tcBorders>
            <w:shd w:val="clear" w:color="auto" w:fill="auto"/>
            <w:noWrap/>
            <w:vAlign w:val="bottom"/>
            <w:hideMark/>
          </w:tcPr>
          <w:p w14:paraId="01D1E732" w14:textId="7A4C1A87" w:rsidR="00CB0ED3" w:rsidRDefault="00CB0ED3" w:rsidP="00CB0ED3">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C9F0CC1" w14:textId="007B349A" w:rsidR="00CB0ED3" w:rsidRDefault="00CB0ED3" w:rsidP="00CB0ED3">
            <w:pPr>
              <w:jc w:val="right"/>
              <w:rPr>
                <w:color w:val="000000"/>
                <w:sz w:val="20"/>
                <w:szCs w:val="20"/>
              </w:rPr>
            </w:pPr>
            <w:r>
              <w:rPr>
                <w:color w:val="000000"/>
                <w:sz w:val="20"/>
                <w:szCs w:val="20"/>
              </w:rPr>
              <w:t>0.029</w:t>
            </w:r>
          </w:p>
        </w:tc>
        <w:tc>
          <w:tcPr>
            <w:tcW w:w="768" w:type="dxa"/>
            <w:tcBorders>
              <w:top w:val="single" w:sz="12" w:space="0" w:color="auto"/>
              <w:left w:val="nil"/>
              <w:bottom w:val="nil"/>
              <w:right w:val="nil"/>
            </w:tcBorders>
            <w:shd w:val="clear" w:color="auto" w:fill="auto"/>
            <w:noWrap/>
            <w:vAlign w:val="bottom"/>
            <w:hideMark/>
          </w:tcPr>
          <w:p w14:paraId="2CB92CAC" w14:textId="6592E4C3" w:rsidR="00CB0ED3" w:rsidRDefault="00CB0ED3" w:rsidP="00CB0ED3">
            <w:pPr>
              <w:jc w:val="right"/>
              <w:rPr>
                <w:color w:val="000000"/>
                <w:sz w:val="20"/>
                <w:szCs w:val="20"/>
              </w:rPr>
            </w:pPr>
            <w:r>
              <w:rPr>
                <w:color w:val="000000"/>
                <w:sz w:val="20"/>
                <w:szCs w:val="20"/>
              </w:rPr>
              <w:t>0.703</w:t>
            </w:r>
          </w:p>
        </w:tc>
        <w:tc>
          <w:tcPr>
            <w:tcW w:w="768" w:type="dxa"/>
            <w:tcBorders>
              <w:top w:val="single" w:sz="12" w:space="0" w:color="auto"/>
              <w:left w:val="nil"/>
              <w:bottom w:val="nil"/>
              <w:right w:val="nil"/>
            </w:tcBorders>
            <w:shd w:val="clear" w:color="auto" w:fill="auto"/>
            <w:noWrap/>
            <w:vAlign w:val="bottom"/>
            <w:hideMark/>
          </w:tcPr>
          <w:p w14:paraId="56F383E5" w14:textId="0BF5E709" w:rsidR="00CB0ED3" w:rsidRDefault="00CB0ED3" w:rsidP="00CB0ED3">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5717D7FC" w14:textId="4EE55DD5" w:rsidR="00CB0ED3" w:rsidRDefault="00CB0ED3" w:rsidP="00CB0ED3">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48C5B8AF" w14:textId="4B52C0A2" w:rsidR="00CB0ED3" w:rsidRDefault="00CB0ED3" w:rsidP="00CB0ED3">
            <w:pPr>
              <w:jc w:val="right"/>
              <w:rPr>
                <w:color w:val="000000"/>
                <w:sz w:val="20"/>
                <w:szCs w:val="20"/>
              </w:rPr>
            </w:pPr>
            <w:r>
              <w:rPr>
                <w:color w:val="000000"/>
                <w:sz w:val="20"/>
                <w:szCs w:val="20"/>
              </w:rPr>
              <w:t>0.969</w:t>
            </w:r>
          </w:p>
        </w:tc>
        <w:tc>
          <w:tcPr>
            <w:tcW w:w="768" w:type="dxa"/>
            <w:tcBorders>
              <w:top w:val="single" w:sz="12" w:space="0" w:color="auto"/>
              <w:left w:val="nil"/>
              <w:bottom w:val="nil"/>
              <w:right w:val="nil"/>
            </w:tcBorders>
            <w:shd w:val="clear" w:color="auto" w:fill="auto"/>
            <w:noWrap/>
            <w:vAlign w:val="bottom"/>
            <w:hideMark/>
          </w:tcPr>
          <w:p w14:paraId="644AFF1E" w14:textId="79305489" w:rsidR="00CB0ED3" w:rsidRDefault="00CB0ED3" w:rsidP="00CB0ED3">
            <w:pPr>
              <w:jc w:val="right"/>
              <w:rPr>
                <w:color w:val="000000"/>
                <w:sz w:val="20"/>
                <w:szCs w:val="20"/>
              </w:rPr>
            </w:pPr>
            <w:r>
              <w:rPr>
                <w:color w:val="000000"/>
                <w:sz w:val="20"/>
                <w:szCs w:val="20"/>
              </w:rPr>
              <w:t>0.000</w:t>
            </w:r>
          </w:p>
        </w:tc>
      </w:tr>
      <w:tr w:rsidR="00CB0ED3" w14:paraId="13D41D95" w14:textId="77777777" w:rsidTr="00AA3295">
        <w:trPr>
          <w:trHeight w:val="340"/>
        </w:trPr>
        <w:tc>
          <w:tcPr>
            <w:tcW w:w="1176" w:type="dxa"/>
            <w:tcBorders>
              <w:top w:val="nil"/>
              <w:left w:val="nil"/>
              <w:bottom w:val="nil"/>
              <w:right w:val="nil"/>
            </w:tcBorders>
            <w:shd w:val="clear" w:color="auto" w:fill="auto"/>
            <w:noWrap/>
            <w:vAlign w:val="bottom"/>
            <w:hideMark/>
          </w:tcPr>
          <w:p w14:paraId="64E16E58"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7530A00" w14:textId="77777777" w:rsidR="00CB0ED3" w:rsidRDefault="00CB0ED3" w:rsidP="00CB0ED3">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7B36849" w14:textId="6ED0BEB0"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B47A89" w14:textId="2ED9FB46" w:rsidR="00CB0ED3" w:rsidRDefault="00CB0ED3" w:rsidP="00CB0ED3">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0ECD8E39" w14:textId="6591FB01"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D5D9E0" w14:textId="2ACE4C21" w:rsidR="00CB0ED3" w:rsidRDefault="00CB0ED3" w:rsidP="00CB0ED3">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D1456EA" w14:textId="304B9F2D" w:rsidR="00CB0ED3" w:rsidRDefault="00CB0ED3" w:rsidP="00CB0ED3">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4057489E" w14:textId="37887483"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89A7BE" w14:textId="296F2D9A" w:rsidR="00CB0ED3" w:rsidRDefault="00CB0ED3" w:rsidP="00CB0ED3">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EF515C5" w14:textId="7C341B53" w:rsidR="00CB0ED3" w:rsidRDefault="00CB0ED3" w:rsidP="00CB0ED3">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6B50CFD9" w14:textId="5CEFCADF"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42BB42" w14:textId="11F42E6B" w:rsidR="00CB0ED3" w:rsidRDefault="00CB0ED3" w:rsidP="00CB0ED3">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19169D88" w14:textId="6B317A35" w:rsidR="00CB0ED3" w:rsidRDefault="00CB0ED3" w:rsidP="00CB0ED3">
            <w:pPr>
              <w:jc w:val="right"/>
              <w:rPr>
                <w:color w:val="000000"/>
                <w:sz w:val="20"/>
                <w:szCs w:val="20"/>
              </w:rPr>
            </w:pPr>
            <w:r>
              <w:rPr>
                <w:color w:val="000000"/>
                <w:sz w:val="20"/>
                <w:szCs w:val="20"/>
              </w:rPr>
              <w:t>0.703</w:t>
            </w:r>
          </w:p>
        </w:tc>
        <w:tc>
          <w:tcPr>
            <w:tcW w:w="768" w:type="dxa"/>
            <w:tcBorders>
              <w:top w:val="nil"/>
              <w:left w:val="nil"/>
              <w:bottom w:val="nil"/>
              <w:right w:val="nil"/>
            </w:tcBorders>
            <w:shd w:val="clear" w:color="auto" w:fill="auto"/>
            <w:noWrap/>
            <w:vAlign w:val="bottom"/>
            <w:hideMark/>
          </w:tcPr>
          <w:p w14:paraId="13A639FC" w14:textId="3FF2A4B9"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B0B2846" w14:textId="32C4AE13" w:rsidR="00CB0ED3" w:rsidRDefault="00CB0ED3" w:rsidP="00CB0ED3">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2614FA52" w14:textId="283126EE" w:rsidR="00CB0ED3" w:rsidRDefault="00CB0ED3" w:rsidP="00CB0ED3">
            <w:pPr>
              <w:jc w:val="right"/>
              <w:rPr>
                <w:color w:val="000000"/>
                <w:sz w:val="20"/>
                <w:szCs w:val="20"/>
              </w:rPr>
            </w:pPr>
            <w:r>
              <w:rPr>
                <w:color w:val="000000"/>
                <w:sz w:val="20"/>
                <w:szCs w:val="20"/>
              </w:rPr>
              <w:t>0.658</w:t>
            </w:r>
          </w:p>
        </w:tc>
        <w:tc>
          <w:tcPr>
            <w:tcW w:w="768" w:type="dxa"/>
            <w:tcBorders>
              <w:top w:val="nil"/>
              <w:left w:val="nil"/>
              <w:bottom w:val="nil"/>
              <w:right w:val="nil"/>
            </w:tcBorders>
            <w:shd w:val="clear" w:color="auto" w:fill="auto"/>
            <w:noWrap/>
            <w:vAlign w:val="bottom"/>
            <w:hideMark/>
          </w:tcPr>
          <w:p w14:paraId="0DD3DD0E" w14:textId="5C6EB9C3" w:rsidR="00CB0ED3" w:rsidRDefault="00CB0ED3" w:rsidP="00CB0ED3">
            <w:pPr>
              <w:jc w:val="right"/>
              <w:rPr>
                <w:color w:val="000000"/>
                <w:sz w:val="20"/>
                <w:szCs w:val="20"/>
              </w:rPr>
            </w:pPr>
            <w:r>
              <w:rPr>
                <w:color w:val="000000"/>
                <w:sz w:val="20"/>
                <w:szCs w:val="20"/>
              </w:rPr>
              <w:t>0.004</w:t>
            </w:r>
          </w:p>
        </w:tc>
      </w:tr>
      <w:tr w:rsidR="00CB0ED3" w14:paraId="16868CEE" w14:textId="77777777" w:rsidTr="00AA3295">
        <w:trPr>
          <w:trHeight w:val="320"/>
        </w:trPr>
        <w:tc>
          <w:tcPr>
            <w:tcW w:w="1176" w:type="dxa"/>
            <w:tcBorders>
              <w:top w:val="nil"/>
              <w:left w:val="nil"/>
              <w:bottom w:val="nil"/>
              <w:right w:val="nil"/>
            </w:tcBorders>
            <w:shd w:val="clear" w:color="auto" w:fill="auto"/>
            <w:noWrap/>
            <w:vAlign w:val="bottom"/>
            <w:hideMark/>
          </w:tcPr>
          <w:p w14:paraId="4B7F9925"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230D3C" w14:textId="77777777" w:rsidR="00CB0ED3" w:rsidRDefault="00CB0ED3" w:rsidP="00CB0ED3">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0BFAD1C" w14:textId="123AC8DB" w:rsidR="00CB0ED3" w:rsidRDefault="00CB0ED3" w:rsidP="00CB0ED3">
            <w:pPr>
              <w:jc w:val="right"/>
              <w:rPr>
                <w:b/>
                <w:bCs/>
                <w:color w:val="000000"/>
                <w:sz w:val="20"/>
                <w:szCs w:val="20"/>
              </w:rPr>
            </w:pPr>
            <w:r>
              <w:rPr>
                <w:b/>
                <w:bCs/>
                <w:color w:val="000000"/>
                <w:sz w:val="20"/>
                <w:szCs w:val="20"/>
              </w:rPr>
              <w:t>0.330</w:t>
            </w:r>
          </w:p>
        </w:tc>
        <w:tc>
          <w:tcPr>
            <w:tcW w:w="768" w:type="dxa"/>
            <w:tcBorders>
              <w:top w:val="nil"/>
              <w:left w:val="nil"/>
              <w:bottom w:val="nil"/>
              <w:right w:val="nil"/>
            </w:tcBorders>
            <w:shd w:val="clear" w:color="auto" w:fill="auto"/>
            <w:noWrap/>
            <w:vAlign w:val="bottom"/>
            <w:hideMark/>
          </w:tcPr>
          <w:p w14:paraId="6460DDD1" w14:textId="2C8BA844" w:rsidR="00CB0ED3" w:rsidRDefault="00CB0ED3" w:rsidP="00CB0ED3">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32A822D" w14:textId="4AAB302B" w:rsidR="00CB0ED3" w:rsidRDefault="00CB0ED3" w:rsidP="00CB0ED3">
            <w:pPr>
              <w:jc w:val="right"/>
              <w:rPr>
                <w:color w:val="000000"/>
                <w:sz w:val="20"/>
                <w:szCs w:val="20"/>
              </w:rPr>
            </w:pPr>
            <w:r>
              <w:rPr>
                <w:b/>
                <w:bCs/>
                <w:color w:val="000000"/>
                <w:sz w:val="20"/>
                <w:szCs w:val="20"/>
              </w:rPr>
              <w:t>0.109</w:t>
            </w:r>
          </w:p>
        </w:tc>
        <w:tc>
          <w:tcPr>
            <w:tcW w:w="768" w:type="dxa"/>
            <w:tcBorders>
              <w:top w:val="nil"/>
              <w:left w:val="nil"/>
              <w:bottom w:val="nil"/>
              <w:right w:val="nil"/>
            </w:tcBorders>
            <w:shd w:val="clear" w:color="auto" w:fill="auto"/>
            <w:noWrap/>
            <w:vAlign w:val="bottom"/>
            <w:hideMark/>
          </w:tcPr>
          <w:p w14:paraId="40D0DDBA" w14:textId="210A3051" w:rsidR="00CB0ED3" w:rsidRDefault="00CB0ED3" w:rsidP="00CB0ED3">
            <w:pPr>
              <w:jc w:val="right"/>
              <w:rPr>
                <w:color w:val="000000"/>
                <w:sz w:val="20"/>
                <w:szCs w:val="20"/>
              </w:rPr>
            </w:pPr>
            <w:r>
              <w:rPr>
                <w:color w:val="000000"/>
                <w:sz w:val="20"/>
                <w:szCs w:val="20"/>
              </w:rPr>
              <w:t>0.134</w:t>
            </w:r>
          </w:p>
        </w:tc>
        <w:tc>
          <w:tcPr>
            <w:tcW w:w="768" w:type="dxa"/>
            <w:tcBorders>
              <w:top w:val="nil"/>
              <w:left w:val="nil"/>
              <w:bottom w:val="nil"/>
              <w:right w:val="nil"/>
            </w:tcBorders>
            <w:shd w:val="clear" w:color="auto" w:fill="auto"/>
            <w:noWrap/>
            <w:vAlign w:val="bottom"/>
            <w:hideMark/>
          </w:tcPr>
          <w:p w14:paraId="27D6F945" w14:textId="6D0C33B0" w:rsidR="00CB0ED3" w:rsidRDefault="00CB0ED3" w:rsidP="00CB0ED3">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7D259797" w14:textId="792997E1" w:rsidR="00CB0ED3" w:rsidRDefault="00CB0ED3" w:rsidP="00CB0ED3">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6357FA8" w14:textId="69E0546F" w:rsidR="00CB0ED3" w:rsidRDefault="00CB0ED3" w:rsidP="00CB0ED3">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6D6F16FC" w14:textId="462AF9CF" w:rsidR="00CB0ED3" w:rsidRDefault="00CB0ED3" w:rsidP="00CB0ED3">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59D1C246" w14:textId="1706A5A9" w:rsidR="00CB0ED3" w:rsidRDefault="00CB0ED3" w:rsidP="00CB0ED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F16D3AA" w14:textId="33DF7834" w:rsidR="00CB0ED3" w:rsidRDefault="00CB0ED3" w:rsidP="00CB0ED3">
            <w:pPr>
              <w:jc w:val="right"/>
              <w:rPr>
                <w:color w:val="000000"/>
                <w:sz w:val="20"/>
                <w:szCs w:val="20"/>
              </w:rPr>
            </w:pPr>
            <w:r>
              <w:rPr>
                <w:color w:val="000000"/>
                <w:sz w:val="20"/>
                <w:szCs w:val="20"/>
              </w:rPr>
              <w:t>0.173</w:t>
            </w:r>
          </w:p>
        </w:tc>
        <w:tc>
          <w:tcPr>
            <w:tcW w:w="768" w:type="dxa"/>
            <w:tcBorders>
              <w:top w:val="nil"/>
              <w:left w:val="nil"/>
              <w:bottom w:val="nil"/>
              <w:right w:val="nil"/>
            </w:tcBorders>
            <w:shd w:val="clear" w:color="auto" w:fill="auto"/>
            <w:noWrap/>
            <w:vAlign w:val="bottom"/>
            <w:hideMark/>
          </w:tcPr>
          <w:p w14:paraId="09C3119A" w14:textId="3CBAC9E3" w:rsidR="00CB0ED3" w:rsidRDefault="00CB0ED3" w:rsidP="00CB0ED3">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1B87098E" w14:textId="7AE3C73B" w:rsidR="00CB0ED3" w:rsidRDefault="00CB0ED3" w:rsidP="00CB0ED3">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26864070" w14:textId="4EA125E5" w:rsidR="00CB0ED3" w:rsidRDefault="00CB0ED3" w:rsidP="00CB0ED3">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0762D6D7" w14:textId="4AE85666" w:rsidR="00CB0ED3" w:rsidRDefault="00CB0ED3" w:rsidP="00CB0ED3">
            <w:pPr>
              <w:jc w:val="right"/>
              <w:rPr>
                <w:color w:val="000000"/>
                <w:sz w:val="20"/>
                <w:szCs w:val="20"/>
              </w:rPr>
            </w:pPr>
            <w:r>
              <w:rPr>
                <w:color w:val="000000"/>
                <w:sz w:val="20"/>
                <w:szCs w:val="20"/>
              </w:rPr>
              <w:t>0.658</w:t>
            </w:r>
          </w:p>
        </w:tc>
        <w:tc>
          <w:tcPr>
            <w:tcW w:w="768" w:type="dxa"/>
            <w:tcBorders>
              <w:top w:val="nil"/>
              <w:left w:val="nil"/>
              <w:bottom w:val="nil"/>
              <w:right w:val="nil"/>
            </w:tcBorders>
            <w:shd w:val="clear" w:color="auto" w:fill="auto"/>
            <w:noWrap/>
            <w:vAlign w:val="bottom"/>
            <w:hideMark/>
          </w:tcPr>
          <w:p w14:paraId="75D8BAE3" w14:textId="22576EA2" w:rsidR="00CB0ED3" w:rsidRDefault="00CB0ED3" w:rsidP="00CB0ED3">
            <w:pPr>
              <w:jc w:val="right"/>
              <w:rPr>
                <w:color w:val="000000"/>
                <w:sz w:val="20"/>
                <w:szCs w:val="20"/>
              </w:rPr>
            </w:pPr>
            <w:r>
              <w:rPr>
                <w:color w:val="000000"/>
                <w:sz w:val="20"/>
                <w:szCs w:val="20"/>
              </w:rPr>
              <w:t>0.009</w:t>
            </w:r>
          </w:p>
        </w:tc>
      </w:tr>
      <w:tr w:rsidR="00CB0ED3" w14:paraId="49F37CE6" w14:textId="77777777" w:rsidTr="00AA3295">
        <w:trPr>
          <w:trHeight w:val="320"/>
        </w:trPr>
        <w:tc>
          <w:tcPr>
            <w:tcW w:w="1176" w:type="dxa"/>
            <w:tcBorders>
              <w:top w:val="nil"/>
              <w:left w:val="nil"/>
              <w:bottom w:val="nil"/>
              <w:right w:val="nil"/>
            </w:tcBorders>
            <w:shd w:val="clear" w:color="auto" w:fill="auto"/>
            <w:noWrap/>
            <w:vAlign w:val="bottom"/>
            <w:hideMark/>
          </w:tcPr>
          <w:p w14:paraId="42D940AE"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3933239" w14:textId="77777777" w:rsidR="00CB0ED3" w:rsidRDefault="00CB0ED3" w:rsidP="00CB0ED3">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0FA7478" w14:textId="0DE385A0" w:rsidR="00CB0ED3" w:rsidRDefault="00CB0ED3" w:rsidP="00CB0ED3">
            <w:pPr>
              <w:jc w:val="right"/>
              <w:rPr>
                <w:color w:val="000000"/>
                <w:sz w:val="20"/>
                <w:szCs w:val="20"/>
              </w:rPr>
            </w:pPr>
            <w:r>
              <w:rPr>
                <w:color w:val="000000"/>
                <w:sz w:val="20"/>
                <w:szCs w:val="20"/>
              </w:rPr>
              <w:t>-0.118</w:t>
            </w:r>
          </w:p>
        </w:tc>
        <w:tc>
          <w:tcPr>
            <w:tcW w:w="768" w:type="dxa"/>
            <w:tcBorders>
              <w:top w:val="nil"/>
              <w:left w:val="nil"/>
              <w:bottom w:val="nil"/>
              <w:right w:val="nil"/>
            </w:tcBorders>
            <w:shd w:val="clear" w:color="auto" w:fill="auto"/>
            <w:noWrap/>
            <w:vAlign w:val="bottom"/>
            <w:hideMark/>
          </w:tcPr>
          <w:p w14:paraId="03530F8A" w14:textId="04E50C87" w:rsidR="00CB0ED3" w:rsidRDefault="00CB0ED3" w:rsidP="00CB0ED3">
            <w:pPr>
              <w:jc w:val="right"/>
              <w:rPr>
                <w:color w:val="000000"/>
                <w:sz w:val="20"/>
                <w:szCs w:val="20"/>
              </w:rPr>
            </w:pPr>
            <w:r>
              <w:rPr>
                <w:color w:val="000000"/>
                <w:sz w:val="20"/>
                <w:szCs w:val="20"/>
              </w:rPr>
              <w:t>0.507</w:t>
            </w:r>
          </w:p>
        </w:tc>
        <w:tc>
          <w:tcPr>
            <w:tcW w:w="768" w:type="dxa"/>
            <w:tcBorders>
              <w:top w:val="nil"/>
              <w:left w:val="nil"/>
              <w:bottom w:val="nil"/>
              <w:right w:val="nil"/>
            </w:tcBorders>
            <w:shd w:val="clear" w:color="auto" w:fill="auto"/>
            <w:noWrap/>
            <w:vAlign w:val="bottom"/>
            <w:hideMark/>
          </w:tcPr>
          <w:p w14:paraId="2487E2D9" w14:textId="3DA2330F" w:rsidR="00CB0ED3" w:rsidRDefault="00CB0ED3" w:rsidP="00CB0ED3">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C165DC7" w14:textId="5F423D6E" w:rsidR="00CB0ED3" w:rsidRDefault="00CB0ED3" w:rsidP="00CB0ED3">
            <w:pPr>
              <w:jc w:val="right"/>
              <w:rPr>
                <w:color w:val="000000"/>
                <w:sz w:val="20"/>
                <w:szCs w:val="20"/>
              </w:rPr>
            </w:pPr>
            <w:r>
              <w:rPr>
                <w:color w:val="000000"/>
                <w:sz w:val="20"/>
                <w:szCs w:val="20"/>
              </w:rPr>
              <w:t>-0.127</w:t>
            </w:r>
          </w:p>
        </w:tc>
        <w:tc>
          <w:tcPr>
            <w:tcW w:w="768" w:type="dxa"/>
            <w:tcBorders>
              <w:top w:val="nil"/>
              <w:left w:val="nil"/>
              <w:bottom w:val="nil"/>
              <w:right w:val="nil"/>
            </w:tcBorders>
            <w:shd w:val="clear" w:color="auto" w:fill="auto"/>
            <w:noWrap/>
            <w:vAlign w:val="bottom"/>
            <w:hideMark/>
          </w:tcPr>
          <w:p w14:paraId="51185596" w14:textId="08CC1E7D" w:rsidR="00CB0ED3" w:rsidRDefault="00CB0ED3" w:rsidP="00CB0ED3">
            <w:pPr>
              <w:jc w:val="right"/>
              <w:rPr>
                <w:color w:val="000000"/>
                <w:sz w:val="20"/>
                <w:szCs w:val="20"/>
              </w:rPr>
            </w:pPr>
            <w:r>
              <w:rPr>
                <w:color w:val="000000"/>
                <w:sz w:val="20"/>
                <w:szCs w:val="20"/>
              </w:rPr>
              <w:t>0.516</w:t>
            </w:r>
          </w:p>
        </w:tc>
        <w:tc>
          <w:tcPr>
            <w:tcW w:w="768" w:type="dxa"/>
            <w:tcBorders>
              <w:top w:val="nil"/>
              <w:left w:val="nil"/>
              <w:bottom w:val="nil"/>
              <w:right w:val="nil"/>
            </w:tcBorders>
            <w:shd w:val="clear" w:color="auto" w:fill="auto"/>
            <w:noWrap/>
            <w:vAlign w:val="bottom"/>
            <w:hideMark/>
          </w:tcPr>
          <w:p w14:paraId="2D984179" w14:textId="1AD62B78" w:rsidR="00CB0ED3" w:rsidRDefault="00CB0ED3" w:rsidP="00CB0ED3">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5147A9A" w14:textId="4A4940DD" w:rsidR="00CB0ED3" w:rsidRDefault="00CB0ED3" w:rsidP="00CB0ED3">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DB02FE6" w14:textId="74F639B1" w:rsidR="00CB0ED3" w:rsidRDefault="00CB0ED3" w:rsidP="00CB0ED3">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2B2A6F1C" w14:textId="78B6AD67"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F555DF" w14:textId="64BAF1D9" w:rsidR="00CB0ED3" w:rsidRDefault="00CB0ED3" w:rsidP="00CB0ED3">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FEC1789" w14:textId="25715BCC" w:rsidR="00CB0ED3" w:rsidRDefault="00CB0ED3" w:rsidP="00CB0ED3">
            <w:pPr>
              <w:jc w:val="right"/>
              <w:rPr>
                <w:color w:val="000000"/>
                <w:sz w:val="20"/>
                <w:szCs w:val="20"/>
              </w:rPr>
            </w:pPr>
            <w:r>
              <w:rPr>
                <w:color w:val="000000"/>
                <w:sz w:val="20"/>
                <w:szCs w:val="20"/>
              </w:rPr>
              <w:t>0.868</w:t>
            </w:r>
          </w:p>
        </w:tc>
        <w:tc>
          <w:tcPr>
            <w:tcW w:w="768" w:type="dxa"/>
            <w:tcBorders>
              <w:top w:val="nil"/>
              <w:left w:val="nil"/>
              <w:bottom w:val="nil"/>
              <w:right w:val="nil"/>
            </w:tcBorders>
            <w:shd w:val="clear" w:color="auto" w:fill="auto"/>
            <w:noWrap/>
            <w:vAlign w:val="bottom"/>
            <w:hideMark/>
          </w:tcPr>
          <w:p w14:paraId="1F4FE692" w14:textId="6536E2E6"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4D35FF" w14:textId="1E82B980" w:rsidR="00CB0ED3" w:rsidRDefault="00CB0ED3" w:rsidP="00CB0ED3">
            <w:pPr>
              <w:jc w:val="right"/>
              <w:rPr>
                <w:color w:val="000000"/>
                <w:sz w:val="20"/>
                <w:szCs w:val="20"/>
              </w:rPr>
            </w:pPr>
            <w:r>
              <w:rPr>
                <w:color w:val="000000"/>
                <w:sz w:val="20"/>
                <w:szCs w:val="20"/>
              </w:rPr>
              <w:t>-0.131</w:t>
            </w:r>
          </w:p>
        </w:tc>
        <w:tc>
          <w:tcPr>
            <w:tcW w:w="768" w:type="dxa"/>
            <w:tcBorders>
              <w:top w:val="nil"/>
              <w:left w:val="nil"/>
              <w:bottom w:val="nil"/>
              <w:right w:val="nil"/>
            </w:tcBorders>
            <w:shd w:val="clear" w:color="auto" w:fill="auto"/>
            <w:noWrap/>
            <w:vAlign w:val="bottom"/>
            <w:hideMark/>
          </w:tcPr>
          <w:p w14:paraId="481D5200" w14:textId="324AE521" w:rsidR="00CB0ED3" w:rsidRDefault="00CB0ED3" w:rsidP="00CB0ED3">
            <w:pPr>
              <w:jc w:val="right"/>
              <w:rPr>
                <w:color w:val="000000"/>
                <w:sz w:val="20"/>
                <w:szCs w:val="20"/>
              </w:rPr>
            </w:pPr>
            <w:r>
              <w:rPr>
                <w:color w:val="000000"/>
                <w:sz w:val="20"/>
                <w:szCs w:val="20"/>
              </w:rPr>
              <w:t>0.658</w:t>
            </w:r>
          </w:p>
        </w:tc>
        <w:tc>
          <w:tcPr>
            <w:tcW w:w="768" w:type="dxa"/>
            <w:tcBorders>
              <w:top w:val="nil"/>
              <w:left w:val="nil"/>
              <w:bottom w:val="nil"/>
              <w:right w:val="nil"/>
            </w:tcBorders>
            <w:shd w:val="clear" w:color="auto" w:fill="auto"/>
            <w:noWrap/>
            <w:vAlign w:val="bottom"/>
            <w:hideMark/>
          </w:tcPr>
          <w:p w14:paraId="27DFA617" w14:textId="3376D2CC" w:rsidR="00CB0ED3" w:rsidRDefault="00CB0ED3" w:rsidP="00CB0ED3">
            <w:pPr>
              <w:jc w:val="right"/>
              <w:rPr>
                <w:color w:val="000000"/>
                <w:sz w:val="20"/>
                <w:szCs w:val="20"/>
              </w:rPr>
            </w:pPr>
            <w:r>
              <w:rPr>
                <w:color w:val="000000"/>
                <w:sz w:val="20"/>
                <w:szCs w:val="20"/>
              </w:rPr>
              <w:t>0.017</w:t>
            </w:r>
          </w:p>
        </w:tc>
      </w:tr>
      <w:tr w:rsidR="00CB0ED3" w14:paraId="37A8CCF8" w14:textId="77777777" w:rsidTr="00AA3295">
        <w:trPr>
          <w:trHeight w:val="320"/>
        </w:trPr>
        <w:tc>
          <w:tcPr>
            <w:tcW w:w="1176" w:type="dxa"/>
            <w:tcBorders>
              <w:top w:val="nil"/>
              <w:left w:val="nil"/>
              <w:bottom w:val="nil"/>
              <w:right w:val="nil"/>
            </w:tcBorders>
            <w:shd w:val="clear" w:color="auto" w:fill="auto"/>
            <w:noWrap/>
            <w:vAlign w:val="bottom"/>
            <w:hideMark/>
          </w:tcPr>
          <w:p w14:paraId="1D0B5468"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6B1CCE2" w14:textId="77777777" w:rsidR="00CB0ED3" w:rsidRDefault="00CB0ED3" w:rsidP="00CB0ED3">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E0DCF4B" w14:textId="3AE9000E" w:rsidR="00CB0ED3" w:rsidRDefault="00CB0ED3" w:rsidP="00CB0ED3">
            <w:pPr>
              <w:jc w:val="right"/>
              <w:rPr>
                <w:color w:val="000000"/>
                <w:sz w:val="20"/>
                <w:szCs w:val="20"/>
              </w:rPr>
            </w:pPr>
            <w:r>
              <w:rPr>
                <w:color w:val="000000"/>
                <w:sz w:val="20"/>
                <w:szCs w:val="20"/>
              </w:rPr>
              <w:t>0.126</w:t>
            </w:r>
          </w:p>
        </w:tc>
        <w:tc>
          <w:tcPr>
            <w:tcW w:w="768" w:type="dxa"/>
            <w:tcBorders>
              <w:top w:val="nil"/>
              <w:left w:val="nil"/>
              <w:bottom w:val="nil"/>
              <w:right w:val="nil"/>
            </w:tcBorders>
            <w:shd w:val="clear" w:color="auto" w:fill="auto"/>
            <w:noWrap/>
            <w:vAlign w:val="bottom"/>
            <w:hideMark/>
          </w:tcPr>
          <w:p w14:paraId="72D65E3D" w14:textId="6B02DC38" w:rsidR="00CB0ED3" w:rsidRDefault="00CB0ED3" w:rsidP="00CB0ED3">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24EA3CE1" w14:textId="623C35B2" w:rsidR="00CB0ED3" w:rsidRDefault="00CB0ED3" w:rsidP="00CB0ED3">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92E3ACF" w14:textId="75D4D0E3" w:rsidR="00CB0ED3" w:rsidRDefault="00CB0ED3" w:rsidP="00CB0ED3">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D930473" w14:textId="44527A49" w:rsidR="00CB0ED3" w:rsidRDefault="00CB0ED3" w:rsidP="00CB0ED3">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5C1E5CCF" w14:textId="06E59422"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DB5169" w14:textId="6B24D459" w:rsidR="00CB0ED3" w:rsidRDefault="00CB0ED3" w:rsidP="00CB0ED3">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FCEE54F" w14:textId="54A95C59" w:rsidR="00CB0ED3" w:rsidRDefault="00CB0ED3" w:rsidP="00CB0ED3">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1F40026F" w14:textId="7BC19F7B"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AA2407" w14:textId="5F36E782" w:rsidR="00CB0ED3" w:rsidRDefault="00CB0ED3" w:rsidP="00CB0ED3">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1B351A3B" w14:textId="69E6D1BF" w:rsidR="00CB0ED3" w:rsidRDefault="00CB0ED3" w:rsidP="00CB0ED3">
            <w:pPr>
              <w:jc w:val="right"/>
              <w:rPr>
                <w:color w:val="000000"/>
                <w:sz w:val="20"/>
                <w:szCs w:val="20"/>
              </w:rPr>
            </w:pPr>
            <w:r>
              <w:rPr>
                <w:color w:val="000000"/>
                <w:sz w:val="20"/>
                <w:szCs w:val="20"/>
              </w:rPr>
              <w:t>0.212</w:t>
            </w:r>
          </w:p>
        </w:tc>
        <w:tc>
          <w:tcPr>
            <w:tcW w:w="768" w:type="dxa"/>
            <w:tcBorders>
              <w:top w:val="nil"/>
              <w:left w:val="nil"/>
              <w:bottom w:val="nil"/>
              <w:right w:val="nil"/>
            </w:tcBorders>
            <w:shd w:val="clear" w:color="auto" w:fill="auto"/>
            <w:noWrap/>
            <w:vAlign w:val="bottom"/>
            <w:hideMark/>
          </w:tcPr>
          <w:p w14:paraId="5F3BFC4F" w14:textId="20B19914" w:rsidR="00CB0ED3" w:rsidRDefault="00CB0ED3" w:rsidP="00CB0ED3">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B4B495B" w14:textId="3694DFD7" w:rsidR="00CB0ED3" w:rsidRDefault="00CB0ED3" w:rsidP="00CB0ED3">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249D5B1" w14:textId="4EA80494" w:rsidR="00CB0ED3" w:rsidRDefault="00CB0ED3" w:rsidP="00CB0ED3">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5597B287" w14:textId="73761317" w:rsidR="00CB0ED3" w:rsidRDefault="00CB0ED3" w:rsidP="00CB0ED3">
            <w:pPr>
              <w:jc w:val="right"/>
              <w:rPr>
                <w:color w:val="000000"/>
                <w:sz w:val="20"/>
                <w:szCs w:val="20"/>
              </w:rPr>
            </w:pPr>
            <w:r>
              <w:rPr>
                <w:color w:val="000000"/>
                <w:sz w:val="20"/>
                <w:szCs w:val="20"/>
              </w:rPr>
              <w:t>0.001</w:t>
            </w:r>
          </w:p>
        </w:tc>
      </w:tr>
      <w:tr w:rsidR="00CB0ED3" w14:paraId="1C32A9B1" w14:textId="77777777" w:rsidTr="00AA3295">
        <w:trPr>
          <w:trHeight w:val="320"/>
        </w:trPr>
        <w:tc>
          <w:tcPr>
            <w:tcW w:w="1176" w:type="dxa"/>
            <w:tcBorders>
              <w:top w:val="nil"/>
              <w:left w:val="nil"/>
              <w:bottom w:val="nil"/>
              <w:right w:val="nil"/>
            </w:tcBorders>
            <w:shd w:val="clear" w:color="auto" w:fill="auto"/>
            <w:noWrap/>
            <w:vAlign w:val="bottom"/>
            <w:hideMark/>
          </w:tcPr>
          <w:p w14:paraId="61CC1D75"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E9309C3" w14:textId="77777777" w:rsidR="00CB0ED3" w:rsidRDefault="00CB0ED3" w:rsidP="00CB0ED3">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9EA6C23" w14:textId="5E84DA25" w:rsidR="00CB0ED3" w:rsidRDefault="00CB0ED3" w:rsidP="00CB0ED3">
            <w:pPr>
              <w:jc w:val="right"/>
              <w:rPr>
                <w:b/>
                <w:bCs/>
                <w:color w:val="000000"/>
                <w:sz w:val="20"/>
                <w:szCs w:val="20"/>
              </w:rPr>
            </w:pPr>
            <w:r>
              <w:rPr>
                <w:b/>
                <w:bCs/>
                <w:color w:val="000000"/>
                <w:sz w:val="20"/>
                <w:szCs w:val="20"/>
              </w:rPr>
              <w:t>0.125</w:t>
            </w:r>
          </w:p>
        </w:tc>
        <w:tc>
          <w:tcPr>
            <w:tcW w:w="768" w:type="dxa"/>
            <w:tcBorders>
              <w:top w:val="nil"/>
              <w:left w:val="nil"/>
              <w:bottom w:val="nil"/>
              <w:right w:val="nil"/>
            </w:tcBorders>
            <w:shd w:val="clear" w:color="auto" w:fill="auto"/>
            <w:noWrap/>
            <w:vAlign w:val="bottom"/>
            <w:hideMark/>
          </w:tcPr>
          <w:p w14:paraId="51433C93" w14:textId="1F4CFC94" w:rsidR="00CB0ED3" w:rsidRDefault="00CB0ED3" w:rsidP="00CB0ED3">
            <w:pPr>
              <w:jc w:val="right"/>
              <w:rPr>
                <w:b/>
                <w:bCs/>
                <w:color w:val="000000"/>
                <w:sz w:val="20"/>
                <w:szCs w:val="20"/>
              </w:rPr>
            </w:pPr>
            <w:r>
              <w:rPr>
                <w:b/>
                <w:bCs/>
                <w:color w:val="000000"/>
                <w:sz w:val="20"/>
                <w:szCs w:val="20"/>
              </w:rPr>
              <w:t>0.012</w:t>
            </w:r>
          </w:p>
        </w:tc>
        <w:tc>
          <w:tcPr>
            <w:tcW w:w="768" w:type="dxa"/>
            <w:tcBorders>
              <w:top w:val="nil"/>
              <w:left w:val="nil"/>
              <w:bottom w:val="nil"/>
              <w:right w:val="nil"/>
            </w:tcBorders>
            <w:shd w:val="clear" w:color="auto" w:fill="auto"/>
            <w:noWrap/>
            <w:vAlign w:val="bottom"/>
            <w:hideMark/>
          </w:tcPr>
          <w:p w14:paraId="1B77C6A5" w14:textId="12B1092C" w:rsidR="00CB0ED3" w:rsidRDefault="00CB0ED3" w:rsidP="00CB0ED3">
            <w:pPr>
              <w:jc w:val="right"/>
              <w:rPr>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5D0C695A" w14:textId="65E4F0AB" w:rsidR="00CB0ED3" w:rsidRDefault="00CB0ED3" w:rsidP="00CB0ED3">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032917D" w14:textId="449EEDB4" w:rsidR="00CB0ED3" w:rsidRDefault="00CB0ED3" w:rsidP="00CB0ED3">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6F04428C" w14:textId="690B1757"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79E268" w14:textId="1EADC42A" w:rsidR="00CB0ED3" w:rsidRDefault="00CB0ED3" w:rsidP="00CB0ED3">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BEF78D7" w14:textId="623621D1" w:rsidR="00CB0ED3" w:rsidRDefault="00CB0ED3" w:rsidP="00CB0ED3">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7CFB8766" w14:textId="3C2C8517"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865634" w14:textId="30DB1674" w:rsidR="00CB0ED3" w:rsidRDefault="00CB0ED3" w:rsidP="00CB0ED3">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34A5F65D" w14:textId="74D39F24" w:rsidR="00CB0ED3" w:rsidRDefault="00CB0ED3" w:rsidP="00CB0ED3">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5DE90FB8" w14:textId="41525ADE" w:rsidR="00CB0ED3" w:rsidRDefault="00CB0ED3" w:rsidP="00CB0ED3">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10D000D" w14:textId="118B84C6"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AC7D660" w14:textId="0568DC2A" w:rsidR="00CB0ED3" w:rsidRDefault="00CB0ED3" w:rsidP="00CB0ED3">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5F78110B" w14:textId="12ABE724" w:rsidR="00CB0ED3" w:rsidRDefault="00CB0ED3" w:rsidP="00CB0ED3">
            <w:pPr>
              <w:jc w:val="right"/>
              <w:rPr>
                <w:color w:val="000000"/>
                <w:sz w:val="20"/>
                <w:szCs w:val="20"/>
              </w:rPr>
            </w:pPr>
            <w:r>
              <w:rPr>
                <w:color w:val="000000"/>
                <w:sz w:val="20"/>
                <w:szCs w:val="20"/>
              </w:rPr>
              <w:t>0.000</w:t>
            </w:r>
          </w:p>
        </w:tc>
      </w:tr>
      <w:tr w:rsidR="00CB0ED3" w14:paraId="217CDFC3" w14:textId="77777777" w:rsidTr="00AA3295">
        <w:trPr>
          <w:trHeight w:val="320"/>
        </w:trPr>
        <w:tc>
          <w:tcPr>
            <w:tcW w:w="1176" w:type="dxa"/>
            <w:tcBorders>
              <w:top w:val="nil"/>
              <w:left w:val="nil"/>
              <w:bottom w:val="nil"/>
              <w:right w:val="nil"/>
            </w:tcBorders>
            <w:shd w:val="clear" w:color="auto" w:fill="auto"/>
            <w:noWrap/>
            <w:vAlign w:val="bottom"/>
            <w:hideMark/>
          </w:tcPr>
          <w:p w14:paraId="5EA4A4D8"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D54DF7D" w14:textId="77777777" w:rsidR="00CB0ED3" w:rsidRDefault="00CB0ED3" w:rsidP="00CB0ED3">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C0EA343" w14:textId="0DDED835" w:rsidR="00CB0ED3" w:rsidRDefault="00CB0ED3" w:rsidP="00CB0ED3">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89A2E11" w14:textId="137B8317" w:rsidR="00CB0ED3" w:rsidRDefault="00CB0ED3" w:rsidP="00CB0ED3">
            <w:pPr>
              <w:jc w:val="right"/>
              <w:rPr>
                <w:color w:val="000000"/>
                <w:sz w:val="20"/>
                <w:szCs w:val="20"/>
              </w:rPr>
            </w:pPr>
            <w:r>
              <w:rPr>
                <w:color w:val="000000"/>
                <w:sz w:val="20"/>
                <w:szCs w:val="20"/>
              </w:rPr>
              <w:t>0.613</w:t>
            </w:r>
          </w:p>
        </w:tc>
        <w:tc>
          <w:tcPr>
            <w:tcW w:w="768" w:type="dxa"/>
            <w:tcBorders>
              <w:top w:val="nil"/>
              <w:left w:val="nil"/>
              <w:bottom w:val="nil"/>
              <w:right w:val="nil"/>
            </w:tcBorders>
            <w:shd w:val="clear" w:color="auto" w:fill="auto"/>
            <w:noWrap/>
            <w:vAlign w:val="bottom"/>
            <w:hideMark/>
          </w:tcPr>
          <w:p w14:paraId="1DE5E4DF" w14:textId="116F2411"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89F650" w14:textId="4E67EDC0" w:rsidR="00CB0ED3" w:rsidRDefault="00CB0ED3" w:rsidP="00CB0ED3">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22BB107D" w14:textId="45A1B12E" w:rsidR="00CB0ED3" w:rsidRDefault="00CB0ED3" w:rsidP="00CB0ED3">
            <w:pPr>
              <w:jc w:val="right"/>
              <w:rPr>
                <w:color w:val="000000"/>
                <w:sz w:val="20"/>
                <w:szCs w:val="20"/>
              </w:rPr>
            </w:pPr>
            <w:r>
              <w:rPr>
                <w:color w:val="000000"/>
                <w:sz w:val="20"/>
                <w:szCs w:val="20"/>
              </w:rPr>
              <w:t>0.531</w:t>
            </w:r>
          </w:p>
        </w:tc>
        <w:tc>
          <w:tcPr>
            <w:tcW w:w="768" w:type="dxa"/>
            <w:tcBorders>
              <w:top w:val="nil"/>
              <w:left w:val="nil"/>
              <w:bottom w:val="nil"/>
              <w:right w:val="nil"/>
            </w:tcBorders>
            <w:shd w:val="clear" w:color="auto" w:fill="auto"/>
            <w:noWrap/>
            <w:vAlign w:val="bottom"/>
            <w:hideMark/>
          </w:tcPr>
          <w:p w14:paraId="7D745270" w14:textId="79C1364A"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28B9A61" w14:textId="0BBAF68A" w:rsidR="00CB0ED3" w:rsidRDefault="00CB0ED3" w:rsidP="00CB0ED3">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70AE79A4" w14:textId="31B4B99D" w:rsidR="00CB0ED3" w:rsidRDefault="00CB0ED3" w:rsidP="00CB0ED3">
            <w:pPr>
              <w:jc w:val="right"/>
              <w:rPr>
                <w:color w:val="000000"/>
                <w:sz w:val="20"/>
                <w:szCs w:val="20"/>
              </w:rPr>
            </w:pPr>
            <w:r>
              <w:rPr>
                <w:color w:val="000000"/>
                <w:sz w:val="20"/>
                <w:szCs w:val="20"/>
              </w:rPr>
              <w:t>0.496</w:t>
            </w:r>
          </w:p>
        </w:tc>
        <w:tc>
          <w:tcPr>
            <w:tcW w:w="768" w:type="dxa"/>
            <w:tcBorders>
              <w:top w:val="nil"/>
              <w:left w:val="nil"/>
              <w:bottom w:val="nil"/>
              <w:right w:val="nil"/>
            </w:tcBorders>
            <w:shd w:val="clear" w:color="auto" w:fill="auto"/>
            <w:noWrap/>
            <w:vAlign w:val="bottom"/>
            <w:hideMark/>
          </w:tcPr>
          <w:p w14:paraId="707D72E6" w14:textId="557082F4" w:rsidR="00CB0ED3" w:rsidRDefault="00CB0ED3" w:rsidP="00CB0ED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7ADD82B" w14:textId="78F02862" w:rsidR="00CB0ED3" w:rsidRDefault="00CB0ED3" w:rsidP="00CB0ED3">
            <w:pPr>
              <w:jc w:val="right"/>
              <w:rPr>
                <w:color w:val="000000"/>
                <w:sz w:val="20"/>
                <w:szCs w:val="20"/>
              </w:rPr>
            </w:pPr>
            <w:r>
              <w:rPr>
                <w:color w:val="000000"/>
                <w:sz w:val="20"/>
                <w:szCs w:val="20"/>
              </w:rPr>
              <w:t>0.099</w:t>
            </w:r>
          </w:p>
        </w:tc>
        <w:tc>
          <w:tcPr>
            <w:tcW w:w="768" w:type="dxa"/>
            <w:tcBorders>
              <w:top w:val="nil"/>
              <w:left w:val="nil"/>
              <w:bottom w:val="nil"/>
              <w:right w:val="nil"/>
            </w:tcBorders>
            <w:shd w:val="clear" w:color="auto" w:fill="auto"/>
            <w:noWrap/>
            <w:vAlign w:val="bottom"/>
            <w:hideMark/>
          </w:tcPr>
          <w:p w14:paraId="034AB1C8" w14:textId="27380F05" w:rsidR="00CB0ED3" w:rsidRDefault="00CB0ED3" w:rsidP="00CB0ED3">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6392F60F" w14:textId="509BD4F5" w:rsidR="00CB0ED3" w:rsidRDefault="00CB0ED3" w:rsidP="00CB0ED3">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7F68455" w14:textId="583E21B8" w:rsidR="00CB0ED3" w:rsidRDefault="00CB0ED3" w:rsidP="00CB0ED3">
            <w:pPr>
              <w:jc w:val="right"/>
              <w:rPr>
                <w:color w:val="000000"/>
                <w:sz w:val="20"/>
                <w:szCs w:val="20"/>
              </w:rPr>
            </w:pPr>
            <w:r>
              <w:rPr>
                <w:color w:val="000000"/>
                <w:sz w:val="20"/>
                <w:szCs w:val="20"/>
              </w:rPr>
              <w:t>-0.099</w:t>
            </w:r>
          </w:p>
        </w:tc>
        <w:tc>
          <w:tcPr>
            <w:tcW w:w="768" w:type="dxa"/>
            <w:tcBorders>
              <w:top w:val="nil"/>
              <w:left w:val="nil"/>
              <w:bottom w:val="nil"/>
              <w:right w:val="nil"/>
            </w:tcBorders>
            <w:shd w:val="clear" w:color="auto" w:fill="auto"/>
            <w:noWrap/>
            <w:vAlign w:val="bottom"/>
            <w:hideMark/>
          </w:tcPr>
          <w:p w14:paraId="673F640E" w14:textId="408CFE87" w:rsidR="00CB0ED3" w:rsidRDefault="00CB0ED3" w:rsidP="00CB0ED3">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05EE4940" w14:textId="28F3EFCD" w:rsidR="00CB0ED3" w:rsidRDefault="00CB0ED3" w:rsidP="00CB0ED3">
            <w:pPr>
              <w:jc w:val="right"/>
              <w:rPr>
                <w:color w:val="000000"/>
                <w:sz w:val="20"/>
                <w:szCs w:val="20"/>
              </w:rPr>
            </w:pPr>
            <w:r>
              <w:rPr>
                <w:color w:val="000000"/>
                <w:sz w:val="20"/>
                <w:szCs w:val="20"/>
              </w:rPr>
              <w:t>0.010</w:t>
            </w:r>
          </w:p>
        </w:tc>
      </w:tr>
      <w:tr w:rsidR="00CB0ED3" w14:paraId="3DE114AA" w14:textId="77777777" w:rsidTr="00AA3295">
        <w:trPr>
          <w:trHeight w:val="320"/>
        </w:trPr>
        <w:tc>
          <w:tcPr>
            <w:tcW w:w="1176" w:type="dxa"/>
            <w:tcBorders>
              <w:top w:val="nil"/>
              <w:left w:val="nil"/>
              <w:bottom w:val="single" w:sz="4" w:space="0" w:color="auto"/>
              <w:right w:val="nil"/>
            </w:tcBorders>
            <w:shd w:val="clear" w:color="auto" w:fill="auto"/>
            <w:noWrap/>
            <w:vAlign w:val="bottom"/>
            <w:hideMark/>
          </w:tcPr>
          <w:p w14:paraId="4EA10891" w14:textId="77777777" w:rsidR="00CB0ED3" w:rsidRDefault="00CB0ED3" w:rsidP="00CB0ED3">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2D27C85" w14:textId="77777777" w:rsidR="00CB0ED3" w:rsidRDefault="00CB0ED3" w:rsidP="00CB0ED3">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FFFA5A0" w14:textId="7C28FE11" w:rsidR="00CB0ED3" w:rsidRDefault="00CB0ED3" w:rsidP="00CB0ED3">
            <w:pPr>
              <w:jc w:val="right"/>
              <w:rPr>
                <w:color w:val="000000"/>
                <w:sz w:val="20"/>
                <w:szCs w:val="20"/>
              </w:rPr>
            </w:pPr>
            <w:r>
              <w:rPr>
                <w:color w:val="000000"/>
                <w:sz w:val="20"/>
                <w:szCs w:val="20"/>
              </w:rPr>
              <w:t>0.063</w:t>
            </w:r>
          </w:p>
        </w:tc>
        <w:tc>
          <w:tcPr>
            <w:tcW w:w="768" w:type="dxa"/>
            <w:tcBorders>
              <w:top w:val="nil"/>
              <w:left w:val="nil"/>
              <w:bottom w:val="single" w:sz="4" w:space="0" w:color="auto"/>
              <w:right w:val="nil"/>
            </w:tcBorders>
            <w:shd w:val="clear" w:color="auto" w:fill="auto"/>
            <w:noWrap/>
            <w:vAlign w:val="bottom"/>
            <w:hideMark/>
          </w:tcPr>
          <w:p w14:paraId="7D81C483" w14:textId="7EE5B480" w:rsidR="00CB0ED3" w:rsidRDefault="00CB0ED3" w:rsidP="00CB0ED3">
            <w:pPr>
              <w:jc w:val="right"/>
              <w:rPr>
                <w:color w:val="000000"/>
                <w:sz w:val="20"/>
                <w:szCs w:val="20"/>
              </w:rPr>
            </w:pPr>
            <w:r>
              <w:rPr>
                <w:color w:val="000000"/>
                <w:sz w:val="20"/>
                <w:szCs w:val="20"/>
              </w:rPr>
              <w:t>0.507</w:t>
            </w:r>
          </w:p>
        </w:tc>
        <w:tc>
          <w:tcPr>
            <w:tcW w:w="768" w:type="dxa"/>
            <w:tcBorders>
              <w:top w:val="nil"/>
              <w:left w:val="nil"/>
              <w:bottom w:val="single" w:sz="4" w:space="0" w:color="auto"/>
              <w:right w:val="nil"/>
            </w:tcBorders>
            <w:shd w:val="clear" w:color="auto" w:fill="auto"/>
            <w:noWrap/>
            <w:vAlign w:val="bottom"/>
            <w:hideMark/>
          </w:tcPr>
          <w:p w14:paraId="765CCA2D" w14:textId="4143F134" w:rsidR="00CB0ED3" w:rsidRDefault="00CB0ED3" w:rsidP="00CB0ED3">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60C51276" w14:textId="3865432F" w:rsidR="00CB0ED3" w:rsidRDefault="00CB0ED3" w:rsidP="00CB0ED3">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03622B49" w14:textId="6B1DBE7B" w:rsidR="00CB0ED3" w:rsidRDefault="00CB0ED3" w:rsidP="00CB0ED3">
            <w:pPr>
              <w:jc w:val="right"/>
              <w:rPr>
                <w:color w:val="000000"/>
                <w:sz w:val="20"/>
                <w:szCs w:val="20"/>
              </w:rPr>
            </w:pPr>
            <w:r>
              <w:rPr>
                <w:color w:val="000000"/>
                <w:sz w:val="20"/>
                <w:szCs w:val="20"/>
              </w:rPr>
              <w:t>0.949</w:t>
            </w:r>
          </w:p>
        </w:tc>
        <w:tc>
          <w:tcPr>
            <w:tcW w:w="768" w:type="dxa"/>
            <w:tcBorders>
              <w:top w:val="nil"/>
              <w:left w:val="nil"/>
              <w:bottom w:val="single" w:sz="4" w:space="0" w:color="auto"/>
              <w:right w:val="nil"/>
            </w:tcBorders>
            <w:shd w:val="clear" w:color="auto" w:fill="auto"/>
            <w:noWrap/>
            <w:vAlign w:val="bottom"/>
            <w:hideMark/>
          </w:tcPr>
          <w:p w14:paraId="68235101" w14:textId="6F63333E"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DE78A20" w14:textId="004618A2" w:rsidR="00CB0ED3" w:rsidRDefault="00CB0ED3" w:rsidP="00CB0ED3">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26AAC3A5" w14:textId="5031D70C" w:rsidR="00CB0ED3" w:rsidRDefault="00CB0ED3" w:rsidP="00CB0ED3">
            <w:pPr>
              <w:jc w:val="right"/>
              <w:rPr>
                <w:color w:val="000000"/>
                <w:sz w:val="20"/>
                <w:szCs w:val="20"/>
              </w:rPr>
            </w:pPr>
            <w:r>
              <w:rPr>
                <w:color w:val="000000"/>
                <w:sz w:val="20"/>
                <w:szCs w:val="20"/>
              </w:rPr>
              <w:t>0.744</w:t>
            </w:r>
          </w:p>
        </w:tc>
        <w:tc>
          <w:tcPr>
            <w:tcW w:w="768" w:type="dxa"/>
            <w:tcBorders>
              <w:top w:val="nil"/>
              <w:left w:val="nil"/>
              <w:bottom w:val="single" w:sz="4" w:space="0" w:color="auto"/>
              <w:right w:val="nil"/>
            </w:tcBorders>
            <w:shd w:val="clear" w:color="auto" w:fill="auto"/>
            <w:noWrap/>
            <w:vAlign w:val="bottom"/>
            <w:hideMark/>
          </w:tcPr>
          <w:p w14:paraId="00205881" w14:textId="47C7F49F"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3EFEBE1" w14:textId="7141675D" w:rsidR="00CB0ED3" w:rsidRDefault="00CB0ED3" w:rsidP="00CB0ED3">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56391E95" w14:textId="7FCC653F" w:rsidR="00CB0ED3" w:rsidRDefault="00CB0ED3" w:rsidP="00CB0ED3">
            <w:pPr>
              <w:jc w:val="right"/>
              <w:rPr>
                <w:color w:val="000000"/>
                <w:sz w:val="20"/>
                <w:szCs w:val="20"/>
              </w:rPr>
            </w:pPr>
            <w:r>
              <w:rPr>
                <w:color w:val="000000"/>
                <w:sz w:val="20"/>
                <w:szCs w:val="20"/>
              </w:rPr>
              <w:t>0.777</w:t>
            </w:r>
          </w:p>
        </w:tc>
        <w:tc>
          <w:tcPr>
            <w:tcW w:w="768" w:type="dxa"/>
            <w:tcBorders>
              <w:top w:val="nil"/>
              <w:left w:val="nil"/>
              <w:bottom w:val="single" w:sz="4" w:space="0" w:color="auto"/>
              <w:right w:val="nil"/>
            </w:tcBorders>
            <w:shd w:val="clear" w:color="auto" w:fill="auto"/>
            <w:noWrap/>
            <w:vAlign w:val="bottom"/>
            <w:hideMark/>
          </w:tcPr>
          <w:p w14:paraId="68572E7E" w14:textId="5E043561"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39F74FB" w14:textId="7F0BE370" w:rsidR="00CB0ED3" w:rsidRDefault="00CB0ED3" w:rsidP="00CB0ED3">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4757BFE3" w14:textId="45913482" w:rsidR="00CB0ED3" w:rsidRDefault="00CB0ED3" w:rsidP="00CB0ED3">
            <w:pPr>
              <w:jc w:val="right"/>
              <w:rPr>
                <w:color w:val="000000"/>
                <w:sz w:val="20"/>
                <w:szCs w:val="20"/>
              </w:rPr>
            </w:pPr>
            <w:r>
              <w:rPr>
                <w:color w:val="000000"/>
                <w:sz w:val="20"/>
                <w:szCs w:val="20"/>
              </w:rPr>
              <w:t>0.969</w:t>
            </w:r>
          </w:p>
        </w:tc>
        <w:tc>
          <w:tcPr>
            <w:tcW w:w="768" w:type="dxa"/>
            <w:tcBorders>
              <w:top w:val="nil"/>
              <w:left w:val="nil"/>
              <w:bottom w:val="single" w:sz="4" w:space="0" w:color="auto"/>
              <w:right w:val="nil"/>
            </w:tcBorders>
            <w:shd w:val="clear" w:color="auto" w:fill="auto"/>
            <w:noWrap/>
            <w:vAlign w:val="bottom"/>
            <w:hideMark/>
          </w:tcPr>
          <w:p w14:paraId="0C69474D" w14:textId="60003C49" w:rsidR="00CB0ED3" w:rsidRDefault="00CB0ED3" w:rsidP="00CB0ED3">
            <w:pPr>
              <w:jc w:val="right"/>
              <w:rPr>
                <w:color w:val="000000"/>
                <w:sz w:val="20"/>
                <w:szCs w:val="20"/>
              </w:rPr>
            </w:pPr>
            <w:r>
              <w:rPr>
                <w:color w:val="000000"/>
                <w:sz w:val="20"/>
                <w:szCs w:val="20"/>
              </w:rPr>
              <w:t>0.001</w:t>
            </w:r>
          </w:p>
        </w:tc>
      </w:tr>
      <w:tr w:rsidR="00CB0ED3" w14:paraId="40D1C102" w14:textId="77777777" w:rsidTr="00AA3295">
        <w:trPr>
          <w:trHeight w:val="320"/>
        </w:trPr>
        <w:tc>
          <w:tcPr>
            <w:tcW w:w="1176" w:type="dxa"/>
            <w:tcBorders>
              <w:top w:val="nil"/>
              <w:left w:val="nil"/>
              <w:bottom w:val="nil"/>
              <w:right w:val="nil"/>
            </w:tcBorders>
            <w:shd w:val="clear" w:color="auto" w:fill="auto"/>
            <w:noWrap/>
            <w:vAlign w:val="bottom"/>
            <w:hideMark/>
          </w:tcPr>
          <w:p w14:paraId="7EE2805E" w14:textId="77777777" w:rsidR="00CB0ED3" w:rsidRDefault="00CB0ED3" w:rsidP="00CB0ED3">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52638258" w14:textId="77777777" w:rsidR="00CB0ED3" w:rsidRDefault="00CB0ED3" w:rsidP="00CB0ED3">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E8C4EE6" w14:textId="4FFEA200" w:rsidR="00CB0ED3" w:rsidRDefault="00CB0ED3" w:rsidP="00CB0ED3">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77BB9ABA" w14:textId="02E281C8" w:rsidR="00CB0ED3" w:rsidRDefault="00CB0ED3" w:rsidP="00CB0ED3">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732BD537" w14:textId="087CCE11"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39FA4BA" w14:textId="353CC0E6" w:rsidR="00CB0ED3" w:rsidRDefault="00CB0ED3" w:rsidP="00CB0ED3">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E7F5640" w14:textId="65F6562F" w:rsidR="00CB0ED3" w:rsidRDefault="00CB0ED3" w:rsidP="00CB0ED3">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061CB7A2" w14:textId="7CCCE9CB"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BD8849" w14:textId="098177DA"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0222879" w14:textId="0D75B1DF" w:rsidR="00CB0ED3" w:rsidRDefault="00CB0ED3" w:rsidP="00CB0ED3">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3977562A" w14:textId="5943B6BE"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31698B" w14:textId="7A6B8E5E" w:rsidR="00CB0ED3" w:rsidRDefault="00CB0ED3" w:rsidP="00CB0ED3">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2CAACB05" w14:textId="6DEBB391" w:rsidR="00CB0ED3" w:rsidRDefault="00CB0ED3" w:rsidP="00CB0ED3">
            <w:pPr>
              <w:jc w:val="right"/>
              <w:rPr>
                <w:color w:val="000000"/>
                <w:sz w:val="20"/>
                <w:szCs w:val="20"/>
              </w:rPr>
            </w:pPr>
            <w:r>
              <w:rPr>
                <w:color w:val="000000"/>
                <w:sz w:val="20"/>
                <w:szCs w:val="20"/>
              </w:rPr>
              <w:t>0.323</w:t>
            </w:r>
          </w:p>
        </w:tc>
        <w:tc>
          <w:tcPr>
            <w:tcW w:w="768" w:type="dxa"/>
            <w:tcBorders>
              <w:top w:val="nil"/>
              <w:left w:val="nil"/>
              <w:bottom w:val="nil"/>
              <w:right w:val="nil"/>
            </w:tcBorders>
            <w:shd w:val="clear" w:color="auto" w:fill="auto"/>
            <w:noWrap/>
            <w:vAlign w:val="bottom"/>
            <w:hideMark/>
          </w:tcPr>
          <w:p w14:paraId="2F3B4A45" w14:textId="78C4B2C4"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09D0F89" w14:textId="1A805799" w:rsidR="00CB0ED3" w:rsidRDefault="00CB0ED3" w:rsidP="00CB0ED3">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469C5C5" w14:textId="3BABDD2E" w:rsidR="00CB0ED3" w:rsidRDefault="00CB0ED3" w:rsidP="00CB0ED3">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18D50FF4" w14:textId="7B7981F9" w:rsidR="00CB0ED3" w:rsidRDefault="00CB0ED3" w:rsidP="00CB0ED3">
            <w:pPr>
              <w:jc w:val="right"/>
              <w:rPr>
                <w:color w:val="000000"/>
                <w:sz w:val="20"/>
                <w:szCs w:val="20"/>
              </w:rPr>
            </w:pPr>
            <w:r>
              <w:rPr>
                <w:color w:val="000000"/>
                <w:sz w:val="20"/>
                <w:szCs w:val="20"/>
              </w:rPr>
              <w:t>0.000</w:t>
            </w:r>
          </w:p>
        </w:tc>
      </w:tr>
      <w:tr w:rsidR="00CB0ED3" w14:paraId="59E77EE5" w14:textId="77777777" w:rsidTr="00AA3295">
        <w:trPr>
          <w:trHeight w:val="320"/>
        </w:trPr>
        <w:tc>
          <w:tcPr>
            <w:tcW w:w="1176" w:type="dxa"/>
            <w:tcBorders>
              <w:top w:val="nil"/>
              <w:left w:val="nil"/>
              <w:bottom w:val="nil"/>
              <w:right w:val="nil"/>
            </w:tcBorders>
            <w:shd w:val="clear" w:color="auto" w:fill="auto"/>
            <w:noWrap/>
            <w:vAlign w:val="bottom"/>
            <w:hideMark/>
          </w:tcPr>
          <w:p w14:paraId="49E63A80"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05F1300" w14:textId="77777777" w:rsidR="00CB0ED3" w:rsidRDefault="00CB0ED3" w:rsidP="00CB0ED3">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A6899F3" w14:textId="59B420EE" w:rsidR="00CB0ED3" w:rsidRDefault="00CB0ED3" w:rsidP="00CB0ED3">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19E6ECE6" w14:textId="7CDE474B" w:rsidR="00CB0ED3" w:rsidRDefault="00CB0ED3" w:rsidP="00CB0ED3">
            <w:pPr>
              <w:jc w:val="right"/>
              <w:rPr>
                <w:color w:val="000000"/>
                <w:sz w:val="20"/>
                <w:szCs w:val="20"/>
              </w:rPr>
            </w:pPr>
            <w:r>
              <w:rPr>
                <w:color w:val="000000"/>
                <w:sz w:val="20"/>
                <w:szCs w:val="20"/>
              </w:rPr>
              <w:t>0.670</w:t>
            </w:r>
          </w:p>
        </w:tc>
        <w:tc>
          <w:tcPr>
            <w:tcW w:w="768" w:type="dxa"/>
            <w:tcBorders>
              <w:top w:val="nil"/>
              <w:left w:val="nil"/>
              <w:bottom w:val="nil"/>
              <w:right w:val="nil"/>
            </w:tcBorders>
            <w:shd w:val="clear" w:color="auto" w:fill="auto"/>
            <w:noWrap/>
            <w:vAlign w:val="bottom"/>
            <w:hideMark/>
          </w:tcPr>
          <w:p w14:paraId="4B1B0381" w14:textId="26E8982F"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623E6F" w14:textId="11DF9145" w:rsidR="00CB0ED3" w:rsidRDefault="00CB0ED3" w:rsidP="00CB0ED3">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6202089B" w14:textId="245B581E" w:rsidR="00CB0ED3" w:rsidRDefault="00CB0ED3" w:rsidP="00CB0ED3">
            <w:pPr>
              <w:jc w:val="right"/>
              <w:rPr>
                <w:color w:val="000000"/>
                <w:sz w:val="20"/>
                <w:szCs w:val="20"/>
              </w:rPr>
            </w:pPr>
            <w:r>
              <w:rPr>
                <w:color w:val="000000"/>
                <w:sz w:val="20"/>
                <w:szCs w:val="20"/>
              </w:rPr>
              <w:t>0.645</w:t>
            </w:r>
          </w:p>
        </w:tc>
        <w:tc>
          <w:tcPr>
            <w:tcW w:w="768" w:type="dxa"/>
            <w:tcBorders>
              <w:top w:val="nil"/>
              <w:left w:val="nil"/>
              <w:bottom w:val="nil"/>
              <w:right w:val="nil"/>
            </w:tcBorders>
            <w:shd w:val="clear" w:color="auto" w:fill="auto"/>
            <w:noWrap/>
            <w:vAlign w:val="bottom"/>
            <w:hideMark/>
          </w:tcPr>
          <w:p w14:paraId="03110BD0" w14:textId="24285783"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FED473" w14:textId="58844023" w:rsidR="00CB0ED3" w:rsidRDefault="00CB0ED3" w:rsidP="00CB0ED3">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E2907DD" w14:textId="06D0696E" w:rsidR="00CB0ED3" w:rsidRDefault="00CB0ED3" w:rsidP="00CB0ED3">
            <w:pPr>
              <w:jc w:val="right"/>
              <w:rPr>
                <w:color w:val="000000"/>
                <w:sz w:val="20"/>
                <w:szCs w:val="20"/>
              </w:rPr>
            </w:pPr>
            <w:r>
              <w:rPr>
                <w:color w:val="000000"/>
                <w:sz w:val="20"/>
                <w:szCs w:val="20"/>
              </w:rPr>
              <w:t>0.797</w:t>
            </w:r>
          </w:p>
        </w:tc>
        <w:tc>
          <w:tcPr>
            <w:tcW w:w="768" w:type="dxa"/>
            <w:tcBorders>
              <w:top w:val="nil"/>
              <w:left w:val="nil"/>
              <w:bottom w:val="nil"/>
              <w:right w:val="nil"/>
            </w:tcBorders>
            <w:shd w:val="clear" w:color="auto" w:fill="auto"/>
            <w:noWrap/>
            <w:vAlign w:val="bottom"/>
            <w:hideMark/>
          </w:tcPr>
          <w:p w14:paraId="771F69B8" w14:textId="574964D3"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B27C024" w14:textId="699BB7A6" w:rsidR="00CB0ED3" w:rsidRDefault="00CB0ED3" w:rsidP="00CB0ED3">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0F02E824" w14:textId="7D084F5E" w:rsidR="00CB0ED3" w:rsidRDefault="00CB0ED3" w:rsidP="00CB0ED3">
            <w:pPr>
              <w:jc w:val="right"/>
              <w:rPr>
                <w:color w:val="000000"/>
                <w:sz w:val="20"/>
                <w:szCs w:val="20"/>
              </w:rPr>
            </w:pPr>
            <w:r>
              <w:rPr>
                <w:color w:val="000000"/>
                <w:sz w:val="20"/>
                <w:szCs w:val="20"/>
              </w:rPr>
              <w:t>0.323</w:t>
            </w:r>
          </w:p>
        </w:tc>
        <w:tc>
          <w:tcPr>
            <w:tcW w:w="768" w:type="dxa"/>
            <w:tcBorders>
              <w:top w:val="nil"/>
              <w:left w:val="nil"/>
              <w:bottom w:val="nil"/>
              <w:right w:val="nil"/>
            </w:tcBorders>
            <w:shd w:val="clear" w:color="auto" w:fill="auto"/>
            <w:noWrap/>
            <w:vAlign w:val="bottom"/>
            <w:hideMark/>
          </w:tcPr>
          <w:p w14:paraId="7D90765B" w14:textId="3692E484"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A1973A0" w14:textId="31D7897C" w:rsidR="00CB0ED3" w:rsidRDefault="00CB0ED3" w:rsidP="00CB0ED3">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2D7590A0" w14:textId="17EBCD0C" w:rsidR="00CB0ED3" w:rsidRDefault="00CB0ED3" w:rsidP="00CB0ED3">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123A1941" w14:textId="68F00E17" w:rsidR="00CB0ED3" w:rsidRDefault="00CB0ED3" w:rsidP="00CB0ED3">
            <w:pPr>
              <w:jc w:val="right"/>
              <w:rPr>
                <w:color w:val="000000"/>
                <w:sz w:val="20"/>
                <w:szCs w:val="20"/>
              </w:rPr>
            </w:pPr>
            <w:r>
              <w:rPr>
                <w:color w:val="000000"/>
                <w:sz w:val="20"/>
                <w:szCs w:val="20"/>
              </w:rPr>
              <w:t>0.007</w:t>
            </w:r>
          </w:p>
        </w:tc>
      </w:tr>
      <w:tr w:rsidR="00CB0ED3" w14:paraId="29271625" w14:textId="77777777" w:rsidTr="00AA3295">
        <w:trPr>
          <w:trHeight w:val="320"/>
        </w:trPr>
        <w:tc>
          <w:tcPr>
            <w:tcW w:w="1176" w:type="dxa"/>
            <w:tcBorders>
              <w:top w:val="nil"/>
              <w:left w:val="nil"/>
              <w:bottom w:val="nil"/>
              <w:right w:val="nil"/>
            </w:tcBorders>
            <w:shd w:val="clear" w:color="auto" w:fill="auto"/>
            <w:noWrap/>
            <w:vAlign w:val="bottom"/>
            <w:hideMark/>
          </w:tcPr>
          <w:p w14:paraId="20FBFE72"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5D1A6D" w14:textId="77777777" w:rsidR="00CB0ED3" w:rsidRDefault="00CB0ED3" w:rsidP="00CB0ED3">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4CBBE95" w14:textId="71688CA9" w:rsidR="00CB0ED3" w:rsidRDefault="00CB0ED3" w:rsidP="00CB0ED3">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275B450E" w14:textId="57D966A2" w:rsidR="00CB0ED3" w:rsidRDefault="00CB0ED3" w:rsidP="00CB0ED3">
            <w:pPr>
              <w:jc w:val="right"/>
              <w:rPr>
                <w:color w:val="000000"/>
                <w:sz w:val="20"/>
                <w:szCs w:val="20"/>
              </w:rPr>
            </w:pPr>
            <w:r>
              <w:rPr>
                <w:color w:val="000000"/>
                <w:sz w:val="20"/>
                <w:szCs w:val="20"/>
              </w:rPr>
              <w:t>0.670</w:t>
            </w:r>
          </w:p>
        </w:tc>
        <w:tc>
          <w:tcPr>
            <w:tcW w:w="768" w:type="dxa"/>
            <w:tcBorders>
              <w:top w:val="nil"/>
              <w:left w:val="nil"/>
              <w:bottom w:val="nil"/>
              <w:right w:val="nil"/>
            </w:tcBorders>
            <w:shd w:val="clear" w:color="auto" w:fill="auto"/>
            <w:noWrap/>
            <w:vAlign w:val="bottom"/>
            <w:hideMark/>
          </w:tcPr>
          <w:p w14:paraId="7374E547" w14:textId="11B307D3"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8CC1A9" w14:textId="5ACAD8DF" w:rsidR="00CB0ED3" w:rsidRDefault="00CB0ED3" w:rsidP="00CB0ED3">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40EE6DC0" w14:textId="0EFD4445" w:rsidR="00CB0ED3" w:rsidRDefault="00CB0ED3" w:rsidP="00CB0ED3">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15F5342C" w14:textId="5D6BE53D" w:rsidR="00CB0ED3" w:rsidRDefault="00CB0ED3" w:rsidP="00CB0ED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ADF3227" w14:textId="1648D95A" w:rsidR="00CB0ED3" w:rsidRDefault="00CB0ED3" w:rsidP="00CB0ED3">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5F940EE2" w14:textId="05211A88" w:rsidR="00CB0ED3" w:rsidRDefault="00CB0ED3" w:rsidP="00CB0ED3">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4E0BD2BC" w14:textId="3BAB05AA"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A05FF2" w14:textId="7CB651A4" w:rsidR="00CB0ED3" w:rsidRDefault="00CB0ED3" w:rsidP="00CB0ED3">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418DA519" w14:textId="00EBDB18" w:rsidR="00CB0ED3" w:rsidRDefault="00CB0ED3" w:rsidP="00CB0ED3">
            <w:pPr>
              <w:jc w:val="right"/>
              <w:rPr>
                <w:color w:val="000000"/>
                <w:sz w:val="20"/>
                <w:szCs w:val="20"/>
              </w:rPr>
            </w:pPr>
            <w:r>
              <w:rPr>
                <w:color w:val="000000"/>
                <w:sz w:val="20"/>
                <w:szCs w:val="20"/>
              </w:rPr>
              <w:t>0.532</w:t>
            </w:r>
          </w:p>
        </w:tc>
        <w:tc>
          <w:tcPr>
            <w:tcW w:w="768" w:type="dxa"/>
            <w:tcBorders>
              <w:top w:val="nil"/>
              <w:left w:val="nil"/>
              <w:bottom w:val="nil"/>
              <w:right w:val="nil"/>
            </w:tcBorders>
            <w:shd w:val="clear" w:color="auto" w:fill="auto"/>
            <w:noWrap/>
            <w:vAlign w:val="bottom"/>
            <w:hideMark/>
          </w:tcPr>
          <w:p w14:paraId="72039648" w14:textId="17AD7B4B"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A93F12" w14:textId="700C530D" w:rsidR="00CB0ED3" w:rsidRDefault="00CB0ED3" w:rsidP="00CB0ED3">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0DE55335" w14:textId="236819EC" w:rsidR="00CB0ED3" w:rsidRDefault="00CB0ED3" w:rsidP="00CB0ED3">
            <w:pPr>
              <w:jc w:val="right"/>
              <w:rPr>
                <w:color w:val="000000"/>
                <w:sz w:val="20"/>
                <w:szCs w:val="20"/>
              </w:rPr>
            </w:pPr>
            <w:r>
              <w:rPr>
                <w:color w:val="000000"/>
                <w:sz w:val="20"/>
                <w:szCs w:val="20"/>
              </w:rPr>
              <w:t>0.662</w:t>
            </w:r>
          </w:p>
        </w:tc>
        <w:tc>
          <w:tcPr>
            <w:tcW w:w="768" w:type="dxa"/>
            <w:tcBorders>
              <w:top w:val="nil"/>
              <w:left w:val="nil"/>
              <w:bottom w:val="nil"/>
              <w:right w:val="nil"/>
            </w:tcBorders>
            <w:shd w:val="clear" w:color="auto" w:fill="auto"/>
            <w:noWrap/>
            <w:vAlign w:val="bottom"/>
            <w:hideMark/>
          </w:tcPr>
          <w:p w14:paraId="31B5DE8A" w14:textId="6DD1454F" w:rsidR="00CB0ED3" w:rsidRDefault="00CB0ED3" w:rsidP="00CB0ED3">
            <w:pPr>
              <w:jc w:val="right"/>
              <w:rPr>
                <w:color w:val="000000"/>
                <w:sz w:val="20"/>
                <w:szCs w:val="20"/>
              </w:rPr>
            </w:pPr>
            <w:r>
              <w:rPr>
                <w:color w:val="000000"/>
                <w:sz w:val="20"/>
                <w:szCs w:val="20"/>
              </w:rPr>
              <w:t>0.004</w:t>
            </w:r>
          </w:p>
        </w:tc>
      </w:tr>
      <w:tr w:rsidR="00CB0ED3" w14:paraId="61AA6321" w14:textId="77777777" w:rsidTr="00AA3295">
        <w:trPr>
          <w:trHeight w:val="320"/>
        </w:trPr>
        <w:tc>
          <w:tcPr>
            <w:tcW w:w="1176" w:type="dxa"/>
            <w:tcBorders>
              <w:top w:val="nil"/>
              <w:left w:val="nil"/>
              <w:bottom w:val="nil"/>
              <w:right w:val="nil"/>
            </w:tcBorders>
            <w:shd w:val="clear" w:color="auto" w:fill="auto"/>
            <w:noWrap/>
            <w:vAlign w:val="bottom"/>
            <w:hideMark/>
          </w:tcPr>
          <w:p w14:paraId="5B896441"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0D7F126" w14:textId="77777777" w:rsidR="00CB0ED3" w:rsidRDefault="00CB0ED3" w:rsidP="00CB0ED3">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74B08FC" w14:textId="578F96C9" w:rsidR="00CB0ED3" w:rsidRDefault="00CB0ED3" w:rsidP="00CB0ED3">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54A47EA4" w14:textId="05C70B17" w:rsidR="00CB0ED3" w:rsidRDefault="00CB0ED3" w:rsidP="00CB0ED3">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459B4447" w14:textId="064AF86D"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0972471" w14:textId="168A8035" w:rsidR="00CB0ED3" w:rsidRDefault="00CB0ED3" w:rsidP="00CB0ED3">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715DFC48" w14:textId="74789487" w:rsidR="00CB0ED3" w:rsidRDefault="00CB0ED3" w:rsidP="00CB0ED3">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3DA45276" w14:textId="45686D43" w:rsidR="00CB0ED3" w:rsidRDefault="00CB0ED3" w:rsidP="00CB0ED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3FC5FE4" w14:textId="42824195" w:rsidR="00CB0ED3" w:rsidRDefault="00CB0ED3" w:rsidP="00CB0ED3">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3F7A4AA" w14:textId="0FD84A0E" w:rsidR="00CB0ED3" w:rsidRDefault="00CB0ED3" w:rsidP="00CB0ED3">
            <w:pPr>
              <w:jc w:val="right"/>
              <w:rPr>
                <w:color w:val="000000"/>
                <w:sz w:val="20"/>
                <w:szCs w:val="20"/>
              </w:rPr>
            </w:pPr>
            <w:r>
              <w:rPr>
                <w:color w:val="000000"/>
                <w:sz w:val="20"/>
                <w:szCs w:val="20"/>
              </w:rPr>
              <w:t>0.628</w:t>
            </w:r>
          </w:p>
        </w:tc>
        <w:tc>
          <w:tcPr>
            <w:tcW w:w="768" w:type="dxa"/>
            <w:tcBorders>
              <w:top w:val="nil"/>
              <w:left w:val="nil"/>
              <w:bottom w:val="nil"/>
              <w:right w:val="nil"/>
            </w:tcBorders>
            <w:shd w:val="clear" w:color="auto" w:fill="auto"/>
            <w:noWrap/>
            <w:vAlign w:val="bottom"/>
            <w:hideMark/>
          </w:tcPr>
          <w:p w14:paraId="2E74EABF" w14:textId="785B2F2E"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65E64D2" w14:textId="43D8086F" w:rsidR="00CB0ED3" w:rsidRDefault="00CB0ED3" w:rsidP="00CB0ED3">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7E4EB868" w14:textId="0D86EA27" w:rsidR="00CB0ED3" w:rsidRDefault="00CB0ED3" w:rsidP="00CB0ED3">
            <w:pPr>
              <w:jc w:val="right"/>
              <w:rPr>
                <w:color w:val="000000"/>
                <w:sz w:val="20"/>
                <w:szCs w:val="20"/>
              </w:rPr>
            </w:pPr>
            <w:r>
              <w:rPr>
                <w:color w:val="000000"/>
                <w:sz w:val="20"/>
                <w:szCs w:val="20"/>
              </w:rPr>
              <w:t>0.323</w:t>
            </w:r>
          </w:p>
        </w:tc>
        <w:tc>
          <w:tcPr>
            <w:tcW w:w="768" w:type="dxa"/>
            <w:tcBorders>
              <w:top w:val="nil"/>
              <w:left w:val="nil"/>
              <w:bottom w:val="nil"/>
              <w:right w:val="nil"/>
            </w:tcBorders>
            <w:shd w:val="clear" w:color="auto" w:fill="auto"/>
            <w:noWrap/>
            <w:vAlign w:val="bottom"/>
            <w:hideMark/>
          </w:tcPr>
          <w:p w14:paraId="2D05721B" w14:textId="00D4E8E3" w:rsidR="00CB0ED3" w:rsidRDefault="00CB0ED3" w:rsidP="00CB0ED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4F74741" w14:textId="56169122" w:rsidR="00CB0ED3" w:rsidRDefault="00CB0ED3" w:rsidP="00CB0ED3">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5D757376" w14:textId="0A11C808" w:rsidR="00CB0ED3" w:rsidRDefault="00CB0ED3" w:rsidP="00CB0ED3">
            <w:pPr>
              <w:jc w:val="right"/>
              <w:rPr>
                <w:color w:val="000000"/>
                <w:sz w:val="20"/>
                <w:szCs w:val="20"/>
              </w:rPr>
            </w:pPr>
            <w:r>
              <w:rPr>
                <w:color w:val="000000"/>
                <w:sz w:val="20"/>
                <w:szCs w:val="20"/>
              </w:rPr>
              <w:t>0.612</w:t>
            </w:r>
          </w:p>
        </w:tc>
        <w:tc>
          <w:tcPr>
            <w:tcW w:w="768" w:type="dxa"/>
            <w:tcBorders>
              <w:top w:val="nil"/>
              <w:left w:val="nil"/>
              <w:bottom w:val="nil"/>
              <w:right w:val="nil"/>
            </w:tcBorders>
            <w:shd w:val="clear" w:color="auto" w:fill="auto"/>
            <w:noWrap/>
            <w:vAlign w:val="bottom"/>
            <w:hideMark/>
          </w:tcPr>
          <w:p w14:paraId="7DDB5074" w14:textId="4245BC1D" w:rsidR="00CB0ED3" w:rsidRDefault="00CB0ED3" w:rsidP="00CB0ED3">
            <w:pPr>
              <w:jc w:val="right"/>
              <w:rPr>
                <w:color w:val="000000"/>
                <w:sz w:val="20"/>
                <w:szCs w:val="20"/>
              </w:rPr>
            </w:pPr>
            <w:r>
              <w:rPr>
                <w:color w:val="000000"/>
                <w:sz w:val="20"/>
                <w:szCs w:val="20"/>
              </w:rPr>
              <w:t>0.006</w:t>
            </w:r>
          </w:p>
        </w:tc>
      </w:tr>
      <w:tr w:rsidR="00CB0ED3" w14:paraId="4E0D3A19" w14:textId="77777777" w:rsidTr="00AA3295">
        <w:trPr>
          <w:trHeight w:val="320"/>
        </w:trPr>
        <w:tc>
          <w:tcPr>
            <w:tcW w:w="1176" w:type="dxa"/>
            <w:tcBorders>
              <w:top w:val="nil"/>
              <w:left w:val="nil"/>
              <w:bottom w:val="nil"/>
              <w:right w:val="nil"/>
            </w:tcBorders>
            <w:shd w:val="clear" w:color="auto" w:fill="auto"/>
            <w:noWrap/>
            <w:vAlign w:val="bottom"/>
            <w:hideMark/>
          </w:tcPr>
          <w:p w14:paraId="60A9E5E4"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E55429" w14:textId="77777777" w:rsidR="00CB0ED3" w:rsidRDefault="00CB0ED3" w:rsidP="00CB0ED3">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8DA9E29" w14:textId="48CB5E18" w:rsidR="00CB0ED3" w:rsidRDefault="00CB0ED3" w:rsidP="00CB0ED3">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5F248B5" w14:textId="5125A015" w:rsidR="00CB0ED3" w:rsidRDefault="00CB0ED3" w:rsidP="00CB0ED3">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1ADC4257" w14:textId="2FF6F34C"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EE9BD61" w14:textId="52D8C65D"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812E770" w14:textId="3E7EC224" w:rsidR="00CB0ED3" w:rsidRDefault="00CB0ED3" w:rsidP="00CB0ED3">
            <w:pPr>
              <w:jc w:val="right"/>
              <w:rPr>
                <w:color w:val="000000"/>
                <w:sz w:val="20"/>
                <w:szCs w:val="20"/>
              </w:rPr>
            </w:pPr>
            <w:r>
              <w:rPr>
                <w:color w:val="000000"/>
                <w:sz w:val="20"/>
                <w:szCs w:val="20"/>
              </w:rPr>
              <w:t>0.925</w:t>
            </w:r>
          </w:p>
        </w:tc>
        <w:tc>
          <w:tcPr>
            <w:tcW w:w="768" w:type="dxa"/>
            <w:tcBorders>
              <w:top w:val="nil"/>
              <w:left w:val="nil"/>
              <w:bottom w:val="nil"/>
              <w:right w:val="nil"/>
            </w:tcBorders>
            <w:shd w:val="clear" w:color="auto" w:fill="auto"/>
            <w:noWrap/>
            <w:vAlign w:val="bottom"/>
            <w:hideMark/>
          </w:tcPr>
          <w:p w14:paraId="48458C2D" w14:textId="0B771907"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F1F880B" w14:textId="1066DCC4" w:rsidR="00CB0ED3" w:rsidRDefault="00CB0ED3" w:rsidP="00CB0ED3">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7B2E4D6" w14:textId="2CF9AE81" w:rsidR="00CB0ED3" w:rsidRDefault="00CB0ED3" w:rsidP="00CB0ED3">
            <w:pPr>
              <w:jc w:val="right"/>
              <w:rPr>
                <w:color w:val="000000"/>
                <w:sz w:val="20"/>
                <w:szCs w:val="20"/>
              </w:rPr>
            </w:pPr>
            <w:r>
              <w:rPr>
                <w:color w:val="000000"/>
                <w:sz w:val="20"/>
                <w:szCs w:val="20"/>
              </w:rPr>
              <w:t>0.700</w:t>
            </w:r>
          </w:p>
        </w:tc>
        <w:tc>
          <w:tcPr>
            <w:tcW w:w="768" w:type="dxa"/>
            <w:tcBorders>
              <w:top w:val="nil"/>
              <w:left w:val="nil"/>
              <w:bottom w:val="nil"/>
              <w:right w:val="nil"/>
            </w:tcBorders>
            <w:shd w:val="clear" w:color="auto" w:fill="auto"/>
            <w:noWrap/>
            <w:vAlign w:val="bottom"/>
            <w:hideMark/>
          </w:tcPr>
          <w:p w14:paraId="5501D396" w14:textId="34265F52"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21F0645" w14:textId="56E73E36" w:rsidR="00CB0ED3" w:rsidRDefault="00CB0ED3" w:rsidP="00CB0ED3">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3B406AAB" w14:textId="44F7E81D" w:rsidR="00CB0ED3" w:rsidRDefault="00CB0ED3" w:rsidP="00CB0ED3">
            <w:pPr>
              <w:jc w:val="right"/>
              <w:rPr>
                <w:color w:val="000000"/>
                <w:sz w:val="20"/>
                <w:szCs w:val="20"/>
              </w:rPr>
            </w:pPr>
            <w:r>
              <w:rPr>
                <w:color w:val="000000"/>
                <w:sz w:val="20"/>
                <w:szCs w:val="20"/>
              </w:rPr>
              <w:t>0.532</w:t>
            </w:r>
          </w:p>
        </w:tc>
        <w:tc>
          <w:tcPr>
            <w:tcW w:w="768" w:type="dxa"/>
            <w:tcBorders>
              <w:top w:val="nil"/>
              <w:left w:val="nil"/>
              <w:bottom w:val="nil"/>
              <w:right w:val="nil"/>
            </w:tcBorders>
            <w:shd w:val="clear" w:color="auto" w:fill="auto"/>
            <w:noWrap/>
            <w:vAlign w:val="bottom"/>
            <w:hideMark/>
          </w:tcPr>
          <w:p w14:paraId="314907A6" w14:textId="437FABC0"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B749DD" w14:textId="7DB728BF" w:rsidR="00CB0ED3" w:rsidRDefault="00CB0ED3" w:rsidP="00CB0ED3">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79985F7" w14:textId="6B86255C" w:rsidR="00CB0ED3" w:rsidRDefault="00CB0ED3" w:rsidP="00CB0ED3">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07B5370A" w14:textId="7C267737" w:rsidR="00CB0ED3" w:rsidRDefault="00CB0ED3" w:rsidP="00CB0ED3">
            <w:pPr>
              <w:jc w:val="right"/>
              <w:rPr>
                <w:color w:val="000000"/>
                <w:sz w:val="20"/>
                <w:szCs w:val="20"/>
              </w:rPr>
            </w:pPr>
            <w:r>
              <w:rPr>
                <w:color w:val="000000"/>
                <w:sz w:val="20"/>
                <w:szCs w:val="20"/>
              </w:rPr>
              <w:t>0.000</w:t>
            </w:r>
          </w:p>
        </w:tc>
      </w:tr>
      <w:tr w:rsidR="00CB0ED3" w14:paraId="243DE714" w14:textId="77777777" w:rsidTr="00AA3295">
        <w:trPr>
          <w:trHeight w:val="320"/>
        </w:trPr>
        <w:tc>
          <w:tcPr>
            <w:tcW w:w="1176" w:type="dxa"/>
            <w:tcBorders>
              <w:top w:val="nil"/>
              <w:left w:val="nil"/>
              <w:bottom w:val="nil"/>
              <w:right w:val="nil"/>
            </w:tcBorders>
            <w:shd w:val="clear" w:color="auto" w:fill="auto"/>
            <w:noWrap/>
            <w:vAlign w:val="bottom"/>
            <w:hideMark/>
          </w:tcPr>
          <w:p w14:paraId="6C7AA526"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81E9B5D" w14:textId="77777777" w:rsidR="00CB0ED3" w:rsidRDefault="00CB0ED3" w:rsidP="00CB0ED3">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93B22AB" w14:textId="43586306" w:rsidR="00CB0ED3" w:rsidRDefault="00CB0ED3" w:rsidP="00CB0ED3">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3CADB278" w14:textId="78062C9D" w:rsidR="00CB0ED3" w:rsidRDefault="00CB0ED3" w:rsidP="00CB0ED3">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6EA46FD8" w14:textId="03466680" w:rsidR="00CB0ED3" w:rsidRDefault="00CB0ED3" w:rsidP="00CB0ED3">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563B1E6" w14:textId="552BCDBA" w:rsidR="00CB0ED3" w:rsidRDefault="00CB0ED3" w:rsidP="00CB0ED3">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CAC84EB" w14:textId="31538731" w:rsidR="00CB0ED3" w:rsidRDefault="00CB0ED3" w:rsidP="00CB0ED3">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11740656" w14:textId="0CB10BE5"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23D85A" w14:textId="57A00108" w:rsidR="00CB0ED3" w:rsidRDefault="00CB0ED3" w:rsidP="00CB0ED3">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192FB6A3" w14:textId="348E71D9" w:rsidR="00CB0ED3" w:rsidRDefault="00CB0ED3" w:rsidP="00CB0ED3">
            <w:pPr>
              <w:jc w:val="right"/>
              <w:rPr>
                <w:color w:val="000000"/>
                <w:sz w:val="20"/>
                <w:szCs w:val="20"/>
              </w:rPr>
            </w:pPr>
            <w:r>
              <w:rPr>
                <w:color w:val="000000"/>
                <w:sz w:val="20"/>
                <w:szCs w:val="20"/>
              </w:rPr>
              <w:t>0.628</w:t>
            </w:r>
          </w:p>
        </w:tc>
        <w:tc>
          <w:tcPr>
            <w:tcW w:w="768" w:type="dxa"/>
            <w:tcBorders>
              <w:top w:val="nil"/>
              <w:left w:val="nil"/>
              <w:bottom w:val="nil"/>
              <w:right w:val="nil"/>
            </w:tcBorders>
            <w:shd w:val="clear" w:color="auto" w:fill="auto"/>
            <w:noWrap/>
            <w:vAlign w:val="bottom"/>
            <w:hideMark/>
          </w:tcPr>
          <w:p w14:paraId="567E38B2" w14:textId="72553D1A"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351E852" w14:textId="27D54CB6" w:rsidR="00CB0ED3" w:rsidRDefault="00CB0ED3" w:rsidP="00CB0ED3">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384A5B98" w14:textId="5B6A576F" w:rsidR="00CB0ED3" w:rsidRDefault="00CB0ED3" w:rsidP="00CB0ED3">
            <w:pPr>
              <w:jc w:val="right"/>
              <w:rPr>
                <w:color w:val="000000"/>
                <w:sz w:val="20"/>
                <w:szCs w:val="20"/>
              </w:rPr>
            </w:pPr>
            <w:r>
              <w:rPr>
                <w:color w:val="000000"/>
                <w:sz w:val="20"/>
                <w:szCs w:val="20"/>
              </w:rPr>
              <w:t>0.323</w:t>
            </w:r>
          </w:p>
        </w:tc>
        <w:tc>
          <w:tcPr>
            <w:tcW w:w="768" w:type="dxa"/>
            <w:tcBorders>
              <w:top w:val="nil"/>
              <w:left w:val="nil"/>
              <w:bottom w:val="nil"/>
              <w:right w:val="nil"/>
            </w:tcBorders>
            <w:shd w:val="clear" w:color="auto" w:fill="auto"/>
            <w:noWrap/>
            <w:vAlign w:val="bottom"/>
            <w:hideMark/>
          </w:tcPr>
          <w:p w14:paraId="17A8ACD7" w14:textId="069CDB6D" w:rsidR="00CB0ED3" w:rsidRDefault="00CB0ED3" w:rsidP="00CB0ED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CFB66AF" w14:textId="272509F3" w:rsidR="00CB0ED3" w:rsidRDefault="00CB0ED3" w:rsidP="00CB0ED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39F125B" w14:textId="11AC306B" w:rsidR="00CB0ED3" w:rsidRDefault="00CB0ED3" w:rsidP="00CB0ED3">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588FEB2C" w14:textId="074DCCEE" w:rsidR="00CB0ED3" w:rsidRDefault="00CB0ED3" w:rsidP="00CB0ED3">
            <w:pPr>
              <w:jc w:val="right"/>
              <w:rPr>
                <w:color w:val="000000"/>
                <w:sz w:val="20"/>
                <w:szCs w:val="20"/>
              </w:rPr>
            </w:pPr>
            <w:r>
              <w:rPr>
                <w:color w:val="000000"/>
                <w:sz w:val="20"/>
                <w:szCs w:val="20"/>
              </w:rPr>
              <w:t>0.000</w:t>
            </w:r>
          </w:p>
        </w:tc>
      </w:tr>
      <w:tr w:rsidR="00CB0ED3" w14:paraId="0BB0725F" w14:textId="77777777" w:rsidTr="00AA3295">
        <w:trPr>
          <w:trHeight w:val="320"/>
        </w:trPr>
        <w:tc>
          <w:tcPr>
            <w:tcW w:w="1176" w:type="dxa"/>
            <w:tcBorders>
              <w:top w:val="nil"/>
              <w:left w:val="nil"/>
              <w:bottom w:val="nil"/>
              <w:right w:val="nil"/>
            </w:tcBorders>
            <w:shd w:val="clear" w:color="auto" w:fill="auto"/>
            <w:noWrap/>
            <w:vAlign w:val="bottom"/>
            <w:hideMark/>
          </w:tcPr>
          <w:p w14:paraId="75D6B9E9"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A72312" w14:textId="77777777" w:rsidR="00CB0ED3" w:rsidRDefault="00CB0ED3" w:rsidP="00CB0ED3">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BF93418" w14:textId="0B8F035A" w:rsidR="00CB0ED3" w:rsidRDefault="00CB0ED3" w:rsidP="00CB0ED3">
            <w:pPr>
              <w:jc w:val="right"/>
              <w:rPr>
                <w:color w:val="000000"/>
                <w:sz w:val="20"/>
                <w:szCs w:val="20"/>
              </w:rPr>
            </w:pPr>
            <w:r>
              <w:rPr>
                <w:color w:val="000000"/>
                <w:sz w:val="20"/>
                <w:szCs w:val="20"/>
              </w:rPr>
              <w:t>0.106</w:t>
            </w:r>
          </w:p>
        </w:tc>
        <w:tc>
          <w:tcPr>
            <w:tcW w:w="768" w:type="dxa"/>
            <w:tcBorders>
              <w:top w:val="nil"/>
              <w:left w:val="nil"/>
              <w:bottom w:val="nil"/>
              <w:right w:val="nil"/>
            </w:tcBorders>
            <w:shd w:val="clear" w:color="auto" w:fill="auto"/>
            <w:noWrap/>
            <w:vAlign w:val="bottom"/>
            <w:hideMark/>
          </w:tcPr>
          <w:p w14:paraId="12504C4C" w14:textId="3C0656DB" w:rsidR="00CB0ED3" w:rsidRDefault="00CB0ED3" w:rsidP="00CB0ED3">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2D8BAF57" w14:textId="397BAC03" w:rsidR="00CB0ED3" w:rsidRDefault="00CB0ED3" w:rsidP="00CB0ED3">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2D26B21" w14:textId="2D7FB755" w:rsidR="00CB0ED3" w:rsidRDefault="00CB0ED3" w:rsidP="00CB0ED3">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3D64B89D" w14:textId="48621C52" w:rsidR="00CB0ED3" w:rsidRDefault="00CB0ED3" w:rsidP="00CB0ED3">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5C0B40E4" w14:textId="594EA114"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C54D36" w14:textId="14BEDA31" w:rsidR="00CB0ED3" w:rsidRDefault="00CB0ED3" w:rsidP="00CB0ED3">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4A2FD70D" w14:textId="414E2428" w:rsidR="00CB0ED3" w:rsidRDefault="00CB0ED3" w:rsidP="00CB0ED3">
            <w:pPr>
              <w:jc w:val="right"/>
              <w:rPr>
                <w:color w:val="000000"/>
                <w:sz w:val="20"/>
                <w:szCs w:val="20"/>
              </w:rPr>
            </w:pPr>
            <w:r>
              <w:rPr>
                <w:color w:val="000000"/>
                <w:sz w:val="20"/>
                <w:szCs w:val="20"/>
              </w:rPr>
              <w:t>0.700</w:t>
            </w:r>
          </w:p>
        </w:tc>
        <w:tc>
          <w:tcPr>
            <w:tcW w:w="768" w:type="dxa"/>
            <w:tcBorders>
              <w:top w:val="nil"/>
              <w:left w:val="nil"/>
              <w:bottom w:val="nil"/>
              <w:right w:val="nil"/>
            </w:tcBorders>
            <w:shd w:val="clear" w:color="auto" w:fill="auto"/>
            <w:noWrap/>
            <w:vAlign w:val="bottom"/>
            <w:hideMark/>
          </w:tcPr>
          <w:p w14:paraId="2859DDAC" w14:textId="0E53DCCF"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99E20F" w14:textId="4742B400" w:rsidR="00CB0ED3" w:rsidRDefault="00CB0ED3" w:rsidP="00CB0ED3">
            <w:pPr>
              <w:jc w:val="right"/>
              <w:rPr>
                <w:color w:val="000000"/>
                <w:sz w:val="20"/>
                <w:szCs w:val="20"/>
              </w:rPr>
            </w:pPr>
            <w:r>
              <w:rPr>
                <w:color w:val="000000"/>
                <w:sz w:val="20"/>
                <w:szCs w:val="20"/>
              </w:rPr>
              <w:t>0.106</w:t>
            </w:r>
          </w:p>
        </w:tc>
        <w:tc>
          <w:tcPr>
            <w:tcW w:w="768" w:type="dxa"/>
            <w:tcBorders>
              <w:top w:val="nil"/>
              <w:left w:val="nil"/>
              <w:bottom w:val="nil"/>
              <w:right w:val="nil"/>
            </w:tcBorders>
            <w:shd w:val="clear" w:color="auto" w:fill="auto"/>
            <w:noWrap/>
            <w:vAlign w:val="bottom"/>
            <w:hideMark/>
          </w:tcPr>
          <w:p w14:paraId="1C82135F" w14:textId="533A8AD5" w:rsidR="00CB0ED3" w:rsidRDefault="00CB0ED3" w:rsidP="00CB0ED3">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452DE6A6" w14:textId="26412316" w:rsidR="00CB0ED3" w:rsidRDefault="00CB0ED3" w:rsidP="00CB0ED3">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CF63E8E" w14:textId="10D47C74" w:rsidR="00CB0ED3" w:rsidRDefault="00CB0ED3" w:rsidP="00CB0ED3">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5DCA95AA" w14:textId="0726F559" w:rsidR="00CB0ED3" w:rsidRDefault="00CB0ED3" w:rsidP="00CB0ED3">
            <w:pPr>
              <w:jc w:val="right"/>
              <w:rPr>
                <w:color w:val="000000"/>
                <w:sz w:val="20"/>
                <w:szCs w:val="20"/>
              </w:rPr>
            </w:pPr>
            <w:r>
              <w:rPr>
                <w:color w:val="000000"/>
                <w:sz w:val="20"/>
                <w:szCs w:val="20"/>
              </w:rPr>
              <w:t>0.662</w:t>
            </w:r>
          </w:p>
        </w:tc>
        <w:tc>
          <w:tcPr>
            <w:tcW w:w="768" w:type="dxa"/>
            <w:tcBorders>
              <w:top w:val="nil"/>
              <w:left w:val="nil"/>
              <w:bottom w:val="nil"/>
              <w:right w:val="nil"/>
            </w:tcBorders>
            <w:shd w:val="clear" w:color="auto" w:fill="auto"/>
            <w:noWrap/>
            <w:vAlign w:val="bottom"/>
            <w:hideMark/>
          </w:tcPr>
          <w:p w14:paraId="3FDC90EC" w14:textId="7EBE9E3A" w:rsidR="00CB0ED3" w:rsidRDefault="00CB0ED3" w:rsidP="00CB0ED3">
            <w:pPr>
              <w:jc w:val="right"/>
              <w:rPr>
                <w:color w:val="000000"/>
                <w:sz w:val="20"/>
                <w:szCs w:val="20"/>
              </w:rPr>
            </w:pPr>
            <w:r>
              <w:rPr>
                <w:color w:val="000000"/>
                <w:sz w:val="20"/>
                <w:szCs w:val="20"/>
              </w:rPr>
              <w:t>0.002</w:t>
            </w:r>
          </w:p>
        </w:tc>
      </w:tr>
      <w:tr w:rsidR="00CB0ED3" w14:paraId="356BC74D" w14:textId="77777777" w:rsidTr="00AA3295">
        <w:trPr>
          <w:trHeight w:val="320"/>
        </w:trPr>
        <w:tc>
          <w:tcPr>
            <w:tcW w:w="1176" w:type="dxa"/>
            <w:tcBorders>
              <w:top w:val="nil"/>
              <w:left w:val="nil"/>
              <w:bottom w:val="single" w:sz="4" w:space="0" w:color="auto"/>
              <w:right w:val="nil"/>
            </w:tcBorders>
            <w:shd w:val="clear" w:color="auto" w:fill="auto"/>
            <w:noWrap/>
            <w:vAlign w:val="bottom"/>
            <w:hideMark/>
          </w:tcPr>
          <w:p w14:paraId="0B2068AD" w14:textId="77777777" w:rsidR="00CB0ED3" w:rsidRDefault="00CB0ED3" w:rsidP="00CB0ED3">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55C773B" w14:textId="77777777" w:rsidR="00CB0ED3" w:rsidRDefault="00CB0ED3" w:rsidP="00CB0ED3">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7571016" w14:textId="49BFB37D" w:rsidR="00CB0ED3" w:rsidRDefault="00CB0ED3" w:rsidP="00CB0ED3">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62110D5B" w14:textId="20CE1B22" w:rsidR="00CB0ED3" w:rsidRDefault="00CB0ED3" w:rsidP="00CB0ED3">
            <w:pPr>
              <w:jc w:val="right"/>
              <w:rPr>
                <w:color w:val="000000"/>
                <w:sz w:val="20"/>
                <w:szCs w:val="20"/>
              </w:rPr>
            </w:pPr>
            <w:r>
              <w:rPr>
                <w:color w:val="000000"/>
                <w:sz w:val="20"/>
                <w:szCs w:val="20"/>
              </w:rPr>
              <w:t>0.670</w:t>
            </w:r>
          </w:p>
        </w:tc>
        <w:tc>
          <w:tcPr>
            <w:tcW w:w="768" w:type="dxa"/>
            <w:tcBorders>
              <w:top w:val="nil"/>
              <w:left w:val="nil"/>
              <w:bottom w:val="single" w:sz="4" w:space="0" w:color="auto"/>
              <w:right w:val="nil"/>
            </w:tcBorders>
            <w:shd w:val="clear" w:color="auto" w:fill="auto"/>
            <w:noWrap/>
            <w:vAlign w:val="bottom"/>
            <w:hideMark/>
          </w:tcPr>
          <w:p w14:paraId="433A5584" w14:textId="265C3F1F"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FEF93A7" w14:textId="3DB010BF" w:rsidR="00CB0ED3" w:rsidRDefault="00CB0ED3" w:rsidP="00CB0ED3">
            <w:pPr>
              <w:jc w:val="right"/>
              <w:rPr>
                <w:color w:val="000000"/>
                <w:sz w:val="20"/>
                <w:szCs w:val="20"/>
              </w:rPr>
            </w:pPr>
            <w:r>
              <w:rPr>
                <w:color w:val="000000"/>
                <w:sz w:val="20"/>
                <w:szCs w:val="20"/>
              </w:rPr>
              <w:t>-0.023</w:t>
            </w:r>
          </w:p>
        </w:tc>
        <w:tc>
          <w:tcPr>
            <w:tcW w:w="768" w:type="dxa"/>
            <w:tcBorders>
              <w:top w:val="nil"/>
              <w:left w:val="nil"/>
              <w:bottom w:val="single" w:sz="4" w:space="0" w:color="auto"/>
              <w:right w:val="nil"/>
            </w:tcBorders>
            <w:shd w:val="clear" w:color="auto" w:fill="auto"/>
            <w:noWrap/>
            <w:vAlign w:val="bottom"/>
            <w:hideMark/>
          </w:tcPr>
          <w:p w14:paraId="15003A53" w14:textId="7B3D5258" w:rsidR="00CB0ED3" w:rsidRDefault="00CB0ED3" w:rsidP="00CB0ED3">
            <w:pPr>
              <w:jc w:val="right"/>
              <w:rPr>
                <w:color w:val="000000"/>
                <w:sz w:val="20"/>
                <w:szCs w:val="20"/>
              </w:rPr>
            </w:pPr>
            <w:r>
              <w:rPr>
                <w:color w:val="000000"/>
                <w:sz w:val="20"/>
                <w:szCs w:val="20"/>
              </w:rPr>
              <w:t>0.720</w:t>
            </w:r>
          </w:p>
        </w:tc>
        <w:tc>
          <w:tcPr>
            <w:tcW w:w="768" w:type="dxa"/>
            <w:tcBorders>
              <w:top w:val="nil"/>
              <w:left w:val="nil"/>
              <w:bottom w:val="single" w:sz="4" w:space="0" w:color="auto"/>
              <w:right w:val="nil"/>
            </w:tcBorders>
            <w:shd w:val="clear" w:color="auto" w:fill="auto"/>
            <w:noWrap/>
            <w:vAlign w:val="bottom"/>
            <w:hideMark/>
          </w:tcPr>
          <w:p w14:paraId="44CA2EA9" w14:textId="0C3B492F"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B6CDF31" w14:textId="37ED3322" w:rsidR="00CB0ED3" w:rsidRDefault="00CB0ED3" w:rsidP="00CB0ED3">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3ABB0D74" w14:textId="2FE1D90B" w:rsidR="00CB0ED3" w:rsidRDefault="00CB0ED3" w:rsidP="00CB0ED3">
            <w:pPr>
              <w:jc w:val="right"/>
              <w:rPr>
                <w:color w:val="000000"/>
                <w:sz w:val="20"/>
                <w:szCs w:val="20"/>
              </w:rPr>
            </w:pPr>
            <w:r>
              <w:rPr>
                <w:color w:val="000000"/>
                <w:sz w:val="20"/>
                <w:szCs w:val="20"/>
              </w:rPr>
              <w:t>0.879</w:t>
            </w:r>
          </w:p>
        </w:tc>
        <w:tc>
          <w:tcPr>
            <w:tcW w:w="768" w:type="dxa"/>
            <w:tcBorders>
              <w:top w:val="nil"/>
              <w:left w:val="nil"/>
              <w:bottom w:val="single" w:sz="4" w:space="0" w:color="auto"/>
              <w:right w:val="nil"/>
            </w:tcBorders>
            <w:shd w:val="clear" w:color="auto" w:fill="auto"/>
            <w:noWrap/>
            <w:vAlign w:val="bottom"/>
            <w:hideMark/>
          </w:tcPr>
          <w:p w14:paraId="34FFECE3" w14:textId="4FD10A13"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92FA0D2" w14:textId="38841D70" w:rsidR="00CB0ED3" w:rsidRDefault="00CB0ED3" w:rsidP="00CB0ED3">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133988C2" w14:textId="686D9C32" w:rsidR="00CB0ED3" w:rsidRDefault="00CB0ED3" w:rsidP="00CB0ED3">
            <w:pPr>
              <w:jc w:val="right"/>
              <w:rPr>
                <w:color w:val="000000"/>
                <w:sz w:val="20"/>
                <w:szCs w:val="20"/>
              </w:rPr>
            </w:pPr>
            <w:r>
              <w:rPr>
                <w:color w:val="000000"/>
                <w:sz w:val="20"/>
                <w:szCs w:val="20"/>
              </w:rPr>
              <w:t>0.532</w:t>
            </w:r>
          </w:p>
        </w:tc>
        <w:tc>
          <w:tcPr>
            <w:tcW w:w="768" w:type="dxa"/>
            <w:tcBorders>
              <w:top w:val="nil"/>
              <w:left w:val="nil"/>
              <w:bottom w:val="single" w:sz="4" w:space="0" w:color="auto"/>
              <w:right w:val="nil"/>
            </w:tcBorders>
            <w:shd w:val="clear" w:color="auto" w:fill="auto"/>
            <w:noWrap/>
            <w:vAlign w:val="bottom"/>
            <w:hideMark/>
          </w:tcPr>
          <w:p w14:paraId="2140469B" w14:textId="454C2592"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9E170C4" w14:textId="574EC1C2" w:rsidR="00CB0ED3" w:rsidRDefault="00CB0ED3" w:rsidP="00CB0ED3">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18AFDB7C" w14:textId="62ED7740" w:rsidR="00CB0ED3" w:rsidRDefault="00CB0ED3" w:rsidP="00CB0ED3">
            <w:pPr>
              <w:jc w:val="right"/>
              <w:rPr>
                <w:color w:val="000000"/>
                <w:sz w:val="20"/>
                <w:szCs w:val="20"/>
              </w:rPr>
            </w:pPr>
            <w:r>
              <w:rPr>
                <w:color w:val="000000"/>
                <w:sz w:val="20"/>
                <w:szCs w:val="20"/>
              </w:rPr>
              <w:t>0.924</w:t>
            </w:r>
          </w:p>
        </w:tc>
        <w:tc>
          <w:tcPr>
            <w:tcW w:w="768" w:type="dxa"/>
            <w:tcBorders>
              <w:top w:val="nil"/>
              <w:left w:val="nil"/>
              <w:bottom w:val="single" w:sz="4" w:space="0" w:color="auto"/>
              <w:right w:val="nil"/>
            </w:tcBorders>
            <w:shd w:val="clear" w:color="auto" w:fill="auto"/>
            <w:noWrap/>
            <w:vAlign w:val="bottom"/>
            <w:hideMark/>
          </w:tcPr>
          <w:p w14:paraId="2D83D414" w14:textId="10E296A5" w:rsidR="00CB0ED3" w:rsidRDefault="00CB0ED3" w:rsidP="00CB0ED3">
            <w:pPr>
              <w:jc w:val="right"/>
              <w:rPr>
                <w:color w:val="000000"/>
                <w:sz w:val="20"/>
                <w:szCs w:val="20"/>
              </w:rPr>
            </w:pPr>
            <w:r>
              <w:rPr>
                <w:color w:val="000000"/>
                <w:sz w:val="20"/>
                <w:szCs w:val="20"/>
              </w:rPr>
              <w:t>0.000</w:t>
            </w:r>
          </w:p>
        </w:tc>
      </w:tr>
      <w:tr w:rsidR="00CB0ED3" w14:paraId="22E86545" w14:textId="77777777" w:rsidTr="00AA3295">
        <w:trPr>
          <w:trHeight w:val="320"/>
        </w:trPr>
        <w:tc>
          <w:tcPr>
            <w:tcW w:w="1176" w:type="dxa"/>
            <w:tcBorders>
              <w:top w:val="nil"/>
              <w:left w:val="nil"/>
              <w:bottom w:val="nil"/>
              <w:right w:val="nil"/>
            </w:tcBorders>
            <w:shd w:val="clear" w:color="auto" w:fill="auto"/>
            <w:noWrap/>
            <w:vAlign w:val="bottom"/>
            <w:hideMark/>
          </w:tcPr>
          <w:p w14:paraId="02C9AC1E" w14:textId="77777777" w:rsidR="00CB0ED3" w:rsidRDefault="00CB0ED3" w:rsidP="00CB0ED3">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0DDCB7E5" w14:textId="77777777" w:rsidR="00CB0ED3" w:rsidRDefault="00CB0ED3" w:rsidP="00CB0ED3">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7877A1F" w14:textId="7E0FD0EE" w:rsidR="00CB0ED3" w:rsidRDefault="00CB0ED3" w:rsidP="00CB0ED3">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5364F55D" w14:textId="0D85CC70" w:rsidR="00CB0ED3" w:rsidRDefault="00CB0ED3" w:rsidP="00CB0ED3">
            <w:pPr>
              <w:jc w:val="right"/>
              <w:rPr>
                <w:color w:val="000000"/>
                <w:sz w:val="20"/>
                <w:szCs w:val="20"/>
              </w:rPr>
            </w:pPr>
            <w:r>
              <w:rPr>
                <w:color w:val="000000"/>
                <w:sz w:val="20"/>
                <w:szCs w:val="20"/>
              </w:rPr>
              <w:t>0.178</w:t>
            </w:r>
          </w:p>
        </w:tc>
        <w:tc>
          <w:tcPr>
            <w:tcW w:w="768" w:type="dxa"/>
            <w:tcBorders>
              <w:top w:val="nil"/>
              <w:left w:val="nil"/>
              <w:bottom w:val="nil"/>
              <w:right w:val="nil"/>
            </w:tcBorders>
            <w:shd w:val="clear" w:color="auto" w:fill="auto"/>
            <w:noWrap/>
            <w:vAlign w:val="bottom"/>
            <w:hideMark/>
          </w:tcPr>
          <w:p w14:paraId="6325E586" w14:textId="6ECBF593" w:rsidR="00CB0ED3" w:rsidRDefault="00CB0ED3" w:rsidP="00CB0ED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FE31F5F" w14:textId="04317369" w:rsidR="00CB0ED3" w:rsidRDefault="00CB0ED3" w:rsidP="00CB0ED3">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07374340" w14:textId="47345D5B" w:rsidR="00CB0ED3" w:rsidRDefault="00CB0ED3" w:rsidP="00CB0ED3">
            <w:pPr>
              <w:jc w:val="right"/>
              <w:rPr>
                <w:color w:val="000000"/>
                <w:sz w:val="20"/>
                <w:szCs w:val="20"/>
              </w:rPr>
            </w:pPr>
            <w:r>
              <w:rPr>
                <w:color w:val="000000"/>
                <w:sz w:val="20"/>
                <w:szCs w:val="20"/>
              </w:rPr>
              <w:t>0.782</w:t>
            </w:r>
          </w:p>
        </w:tc>
        <w:tc>
          <w:tcPr>
            <w:tcW w:w="768" w:type="dxa"/>
            <w:tcBorders>
              <w:top w:val="nil"/>
              <w:left w:val="nil"/>
              <w:bottom w:val="nil"/>
              <w:right w:val="nil"/>
            </w:tcBorders>
            <w:shd w:val="clear" w:color="auto" w:fill="auto"/>
            <w:noWrap/>
            <w:vAlign w:val="bottom"/>
            <w:hideMark/>
          </w:tcPr>
          <w:p w14:paraId="6E1BA984" w14:textId="55A61E1B"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4320CB" w14:textId="3910E303" w:rsidR="00CB0ED3" w:rsidRDefault="00CB0ED3" w:rsidP="00CB0ED3">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84DDEB1" w14:textId="079FBBBF" w:rsidR="00CB0ED3" w:rsidRDefault="00CB0ED3" w:rsidP="00CB0ED3">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6E65090F" w14:textId="08379F95"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197FB5" w14:textId="51970FB8" w:rsidR="00CB0ED3" w:rsidRDefault="00CB0ED3" w:rsidP="00CB0ED3">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2E4514F4" w14:textId="3EB19813" w:rsidR="00CB0ED3" w:rsidRDefault="00CB0ED3" w:rsidP="00CB0ED3">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2B419215" w14:textId="03D1829D"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D8E0760" w14:textId="001FB122"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CBD95E4" w14:textId="1F4C319C" w:rsidR="00CB0ED3" w:rsidRDefault="00CB0ED3" w:rsidP="00CB0ED3">
            <w:pPr>
              <w:jc w:val="right"/>
              <w:rPr>
                <w:color w:val="000000"/>
                <w:sz w:val="20"/>
                <w:szCs w:val="20"/>
              </w:rPr>
            </w:pPr>
            <w:r>
              <w:rPr>
                <w:color w:val="000000"/>
                <w:sz w:val="20"/>
                <w:szCs w:val="20"/>
              </w:rPr>
              <w:t>0.953</w:t>
            </w:r>
          </w:p>
        </w:tc>
        <w:tc>
          <w:tcPr>
            <w:tcW w:w="768" w:type="dxa"/>
            <w:tcBorders>
              <w:top w:val="nil"/>
              <w:left w:val="nil"/>
              <w:bottom w:val="nil"/>
              <w:right w:val="nil"/>
            </w:tcBorders>
            <w:shd w:val="clear" w:color="auto" w:fill="auto"/>
            <w:noWrap/>
            <w:vAlign w:val="bottom"/>
            <w:hideMark/>
          </w:tcPr>
          <w:p w14:paraId="302BFF28" w14:textId="3641A82A" w:rsidR="00CB0ED3" w:rsidRDefault="00CB0ED3" w:rsidP="00CB0ED3">
            <w:pPr>
              <w:jc w:val="right"/>
              <w:rPr>
                <w:color w:val="000000"/>
                <w:sz w:val="20"/>
                <w:szCs w:val="20"/>
              </w:rPr>
            </w:pPr>
            <w:r>
              <w:rPr>
                <w:color w:val="000000"/>
                <w:sz w:val="20"/>
                <w:szCs w:val="20"/>
              </w:rPr>
              <w:t>0.000</w:t>
            </w:r>
          </w:p>
        </w:tc>
      </w:tr>
      <w:tr w:rsidR="00CB0ED3" w14:paraId="19A3EFC8" w14:textId="77777777" w:rsidTr="00AA3295">
        <w:trPr>
          <w:trHeight w:val="320"/>
        </w:trPr>
        <w:tc>
          <w:tcPr>
            <w:tcW w:w="1176" w:type="dxa"/>
            <w:tcBorders>
              <w:top w:val="nil"/>
              <w:left w:val="nil"/>
              <w:bottom w:val="nil"/>
              <w:right w:val="nil"/>
            </w:tcBorders>
            <w:shd w:val="clear" w:color="auto" w:fill="auto"/>
            <w:noWrap/>
            <w:vAlign w:val="bottom"/>
            <w:hideMark/>
          </w:tcPr>
          <w:p w14:paraId="4881C356"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2F87B8" w14:textId="77777777" w:rsidR="00CB0ED3" w:rsidRDefault="00CB0ED3" w:rsidP="00CB0ED3">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B7670A3" w14:textId="31E73777" w:rsidR="00CB0ED3" w:rsidRDefault="00CB0ED3" w:rsidP="00CB0ED3">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9CC1268" w14:textId="6ABC6F98" w:rsidR="00CB0ED3" w:rsidRDefault="00CB0ED3" w:rsidP="00CB0ED3">
            <w:pPr>
              <w:jc w:val="right"/>
              <w:rPr>
                <w:color w:val="000000"/>
                <w:sz w:val="20"/>
                <w:szCs w:val="20"/>
              </w:rPr>
            </w:pPr>
            <w:r>
              <w:rPr>
                <w:color w:val="000000"/>
                <w:sz w:val="20"/>
                <w:szCs w:val="20"/>
              </w:rPr>
              <w:t>0.787</w:t>
            </w:r>
          </w:p>
        </w:tc>
        <w:tc>
          <w:tcPr>
            <w:tcW w:w="768" w:type="dxa"/>
            <w:tcBorders>
              <w:top w:val="nil"/>
              <w:left w:val="nil"/>
              <w:bottom w:val="nil"/>
              <w:right w:val="nil"/>
            </w:tcBorders>
            <w:shd w:val="clear" w:color="auto" w:fill="auto"/>
            <w:noWrap/>
            <w:vAlign w:val="bottom"/>
            <w:hideMark/>
          </w:tcPr>
          <w:p w14:paraId="74EAD68D" w14:textId="7FE35D10"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35D6F5" w14:textId="6101FDAE" w:rsidR="00CB0ED3" w:rsidRDefault="00CB0ED3" w:rsidP="00CB0ED3">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C845908" w14:textId="28FAF162" w:rsidR="00CB0ED3" w:rsidRDefault="00CB0ED3" w:rsidP="00CB0ED3">
            <w:pPr>
              <w:jc w:val="right"/>
              <w:rPr>
                <w:color w:val="000000"/>
                <w:sz w:val="20"/>
                <w:szCs w:val="20"/>
              </w:rPr>
            </w:pPr>
            <w:r>
              <w:rPr>
                <w:color w:val="000000"/>
                <w:sz w:val="20"/>
                <w:szCs w:val="20"/>
              </w:rPr>
              <w:t>0.234</w:t>
            </w:r>
          </w:p>
        </w:tc>
        <w:tc>
          <w:tcPr>
            <w:tcW w:w="768" w:type="dxa"/>
            <w:tcBorders>
              <w:top w:val="nil"/>
              <w:left w:val="nil"/>
              <w:bottom w:val="nil"/>
              <w:right w:val="nil"/>
            </w:tcBorders>
            <w:shd w:val="clear" w:color="auto" w:fill="auto"/>
            <w:noWrap/>
            <w:vAlign w:val="bottom"/>
            <w:hideMark/>
          </w:tcPr>
          <w:p w14:paraId="5C5874A0" w14:textId="463E4EB4"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87F0D78" w14:textId="3977B895"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D348B49" w14:textId="77B5C153" w:rsidR="00CB0ED3" w:rsidRDefault="00CB0ED3" w:rsidP="00CB0ED3">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73D04F6D" w14:textId="668E495A"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83F59F" w14:textId="6879E141" w:rsidR="00CB0ED3" w:rsidRDefault="00CB0ED3" w:rsidP="00CB0ED3">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76729353" w14:textId="31155A96" w:rsidR="00CB0ED3" w:rsidRDefault="00CB0ED3" w:rsidP="00CB0ED3">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248ACAB2" w14:textId="26F34FB1"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B8EC5BC" w14:textId="7755653F" w:rsidR="00CB0ED3" w:rsidRDefault="00CB0ED3" w:rsidP="00CB0ED3">
            <w:pPr>
              <w:jc w:val="right"/>
              <w:rPr>
                <w:color w:val="000000"/>
                <w:sz w:val="20"/>
                <w:szCs w:val="20"/>
              </w:rPr>
            </w:pPr>
            <w:r>
              <w:rPr>
                <w:color w:val="000000"/>
                <w:sz w:val="20"/>
                <w:szCs w:val="20"/>
              </w:rPr>
              <w:t>0.095</w:t>
            </w:r>
          </w:p>
        </w:tc>
        <w:tc>
          <w:tcPr>
            <w:tcW w:w="768" w:type="dxa"/>
            <w:tcBorders>
              <w:top w:val="nil"/>
              <w:left w:val="nil"/>
              <w:bottom w:val="nil"/>
              <w:right w:val="nil"/>
            </w:tcBorders>
            <w:shd w:val="clear" w:color="auto" w:fill="auto"/>
            <w:noWrap/>
            <w:vAlign w:val="bottom"/>
            <w:hideMark/>
          </w:tcPr>
          <w:p w14:paraId="2F44AA8B" w14:textId="60DC8F9E" w:rsidR="00CB0ED3" w:rsidRDefault="00CB0ED3" w:rsidP="00CB0ED3">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784F6A0A" w14:textId="77F05EA6" w:rsidR="00CB0ED3" w:rsidRDefault="00CB0ED3" w:rsidP="00CB0ED3">
            <w:pPr>
              <w:jc w:val="right"/>
              <w:rPr>
                <w:color w:val="000000"/>
                <w:sz w:val="20"/>
                <w:szCs w:val="20"/>
              </w:rPr>
            </w:pPr>
            <w:r>
              <w:rPr>
                <w:color w:val="000000"/>
                <w:sz w:val="20"/>
                <w:szCs w:val="20"/>
              </w:rPr>
              <w:t>0.009</w:t>
            </w:r>
          </w:p>
        </w:tc>
      </w:tr>
      <w:tr w:rsidR="00CB0ED3" w14:paraId="312AA21A" w14:textId="77777777" w:rsidTr="00AA3295">
        <w:trPr>
          <w:trHeight w:val="320"/>
        </w:trPr>
        <w:tc>
          <w:tcPr>
            <w:tcW w:w="1176" w:type="dxa"/>
            <w:tcBorders>
              <w:top w:val="nil"/>
              <w:left w:val="nil"/>
              <w:bottom w:val="nil"/>
              <w:right w:val="nil"/>
            </w:tcBorders>
            <w:shd w:val="clear" w:color="auto" w:fill="auto"/>
            <w:noWrap/>
            <w:vAlign w:val="bottom"/>
            <w:hideMark/>
          </w:tcPr>
          <w:p w14:paraId="41327FBB"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5B0BFD" w14:textId="77777777" w:rsidR="00CB0ED3" w:rsidRDefault="00CB0ED3" w:rsidP="00CB0ED3">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4E7C7B2" w14:textId="56968530" w:rsidR="00CB0ED3" w:rsidRDefault="00CB0ED3" w:rsidP="00CB0ED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AE4C8E4" w14:textId="430A79D6" w:rsidR="00CB0ED3" w:rsidRDefault="00CB0ED3" w:rsidP="00CB0ED3">
            <w:pPr>
              <w:jc w:val="right"/>
              <w:rPr>
                <w:color w:val="000000"/>
                <w:sz w:val="20"/>
                <w:szCs w:val="20"/>
              </w:rPr>
            </w:pPr>
            <w:r>
              <w:rPr>
                <w:color w:val="000000"/>
                <w:sz w:val="20"/>
                <w:szCs w:val="20"/>
              </w:rPr>
              <w:t>0.907</w:t>
            </w:r>
          </w:p>
        </w:tc>
        <w:tc>
          <w:tcPr>
            <w:tcW w:w="768" w:type="dxa"/>
            <w:tcBorders>
              <w:top w:val="nil"/>
              <w:left w:val="nil"/>
              <w:bottom w:val="nil"/>
              <w:right w:val="nil"/>
            </w:tcBorders>
            <w:shd w:val="clear" w:color="auto" w:fill="auto"/>
            <w:noWrap/>
            <w:vAlign w:val="bottom"/>
            <w:hideMark/>
          </w:tcPr>
          <w:p w14:paraId="05FB8269" w14:textId="48E1FCF3"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C6B6BC" w14:textId="61C8F237" w:rsidR="00CB0ED3" w:rsidRDefault="00CB0ED3" w:rsidP="00CB0ED3">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0E5D13CE" w14:textId="430E82B1" w:rsidR="00CB0ED3" w:rsidRDefault="00CB0ED3" w:rsidP="00CB0ED3">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23CD8095" w14:textId="2D8D8B44" w:rsidR="00CB0ED3" w:rsidRDefault="00CB0ED3" w:rsidP="00CB0ED3">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DCA9731" w14:textId="53D7CC88" w:rsidR="00CB0ED3" w:rsidRDefault="00CB0ED3" w:rsidP="00CB0ED3">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0016FC16" w14:textId="4300AF00" w:rsidR="00CB0ED3" w:rsidRDefault="00CB0ED3" w:rsidP="00CB0ED3">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0CD17DD6" w14:textId="069BF0D5"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D523CE" w14:textId="781514A5"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CB6BA6" w14:textId="5454F2F7" w:rsidR="00CB0ED3" w:rsidRDefault="00CB0ED3" w:rsidP="00CB0ED3">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08ED9075" w14:textId="5FFF4B79"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CB811E" w14:textId="62565E0A" w:rsidR="00CB0ED3" w:rsidRDefault="00CB0ED3" w:rsidP="00CB0ED3">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4625209C" w14:textId="2FB7C8FA" w:rsidR="00CB0ED3" w:rsidRDefault="00CB0ED3" w:rsidP="00CB0ED3">
            <w:pPr>
              <w:jc w:val="right"/>
              <w:rPr>
                <w:color w:val="000000"/>
                <w:sz w:val="20"/>
                <w:szCs w:val="20"/>
              </w:rPr>
            </w:pPr>
            <w:r>
              <w:rPr>
                <w:color w:val="000000"/>
                <w:sz w:val="20"/>
                <w:szCs w:val="20"/>
              </w:rPr>
              <w:t>0.462</w:t>
            </w:r>
          </w:p>
        </w:tc>
        <w:tc>
          <w:tcPr>
            <w:tcW w:w="768" w:type="dxa"/>
            <w:tcBorders>
              <w:top w:val="nil"/>
              <w:left w:val="nil"/>
              <w:bottom w:val="nil"/>
              <w:right w:val="nil"/>
            </w:tcBorders>
            <w:shd w:val="clear" w:color="auto" w:fill="auto"/>
            <w:noWrap/>
            <w:vAlign w:val="bottom"/>
            <w:hideMark/>
          </w:tcPr>
          <w:p w14:paraId="1960C9CE" w14:textId="52A5D88A" w:rsidR="00CB0ED3" w:rsidRDefault="00CB0ED3" w:rsidP="00CB0ED3">
            <w:pPr>
              <w:jc w:val="right"/>
              <w:rPr>
                <w:color w:val="000000"/>
                <w:sz w:val="20"/>
                <w:szCs w:val="20"/>
              </w:rPr>
            </w:pPr>
            <w:r>
              <w:rPr>
                <w:color w:val="000000"/>
                <w:sz w:val="20"/>
                <w:szCs w:val="20"/>
              </w:rPr>
              <w:t>0.003</w:t>
            </w:r>
          </w:p>
        </w:tc>
      </w:tr>
      <w:tr w:rsidR="00CB0ED3" w14:paraId="62D4E594" w14:textId="77777777" w:rsidTr="00AA3295">
        <w:trPr>
          <w:trHeight w:val="320"/>
        </w:trPr>
        <w:tc>
          <w:tcPr>
            <w:tcW w:w="1176" w:type="dxa"/>
            <w:tcBorders>
              <w:top w:val="nil"/>
              <w:left w:val="nil"/>
              <w:bottom w:val="nil"/>
              <w:right w:val="nil"/>
            </w:tcBorders>
            <w:shd w:val="clear" w:color="auto" w:fill="auto"/>
            <w:noWrap/>
            <w:vAlign w:val="bottom"/>
            <w:hideMark/>
          </w:tcPr>
          <w:p w14:paraId="4B99971C"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46FAF1" w14:textId="77777777" w:rsidR="00CB0ED3" w:rsidRDefault="00CB0ED3" w:rsidP="00CB0ED3">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415CD5C" w14:textId="6E6915FF" w:rsidR="00CB0ED3" w:rsidRDefault="00CB0ED3" w:rsidP="00CB0ED3">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3742C26" w14:textId="03786B57" w:rsidR="00CB0ED3" w:rsidRDefault="00CB0ED3" w:rsidP="00CB0ED3">
            <w:pPr>
              <w:jc w:val="right"/>
              <w:rPr>
                <w:color w:val="000000"/>
                <w:sz w:val="20"/>
                <w:szCs w:val="20"/>
              </w:rPr>
            </w:pPr>
            <w:r>
              <w:rPr>
                <w:color w:val="000000"/>
                <w:sz w:val="20"/>
                <w:szCs w:val="20"/>
              </w:rPr>
              <w:t>0.787</w:t>
            </w:r>
          </w:p>
        </w:tc>
        <w:tc>
          <w:tcPr>
            <w:tcW w:w="768" w:type="dxa"/>
            <w:tcBorders>
              <w:top w:val="nil"/>
              <w:left w:val="nil"/>
              <w:bottom w:val="nil"/>
              <w:right w:val="nil"/>
            </w:tcBorders>
            <w:shd w:val="clear" w:color="auto" w:fill="auto"/>
            <w:noWrap/>
            <w:vAlign w:val="bottom"/>
            <w:hideMark/>
          </w:tcPr>
          <w:p w14:paraId="0ACE6C99" w14:textId="3C7B325C"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28E54D" w14:textId="261EBA93" w:rsidR="00CB0ED3" w:rsidRDefault="00CB0ED3" w:rsidP="00CB0ED3">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7F18BE5" w14:textId="05581D32" w:rsidR="00CB0ED3" w:rsidRDefault="00CB0ED3" w:rsidP="00CB0ED3">
            <w:pPr>
              <w:jc w:val="right"/>
              <w:rPr>
                <w:color w:val="000000"/>
                <w:sz w:val="20"/>
                <w:szCs w:val="20"/>
              </w:rPr>
            </w:pPr>
            <w:r>
              <w:rPr>
                <w:color w:val="000000"/>
                <w:sz w:val="20"/>
                <w:szCs w:val="20"/>
              </w:rPr>
              <w:t>0.234</w:t>
            </w:r>
          </w:p>
        </w:tc>
        <w:tc>
          <w:tcPr>
            <w:tcW w:w="768" w:type="dxa"/>
            <w:tcBorders>
              <w:top w:val="nil"/>
              <w:left w:val="nil"/>
              <w:bottom w:val="nil"/>
              <w:right w:val="nil"/>
            </w:tcBorders>
            <w:shd w:val="clear" w:color="auto" w:fill="auto"/>
            <w:noWrap/>
            <w:vAlign w:val="bottom"/>
            <w:hideMark/>
          </w:tcPr>
          <w:p w14:paraId="4890B0A0" w14:textId="50EEF30E"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1D4BB32" w14:textId="6A09A535" w:rsidR="00CB0ED3" w:rsidRDefault="00CB0ED3" w:rsidP="00CB0ED3">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091E5B8A" w14:textId="0545DDD3" w:rsidR="00CB0ED3" w:rsidRDefault="00CB0ED3" w:rsidP="00CB0ED3">
            <w:pPr>
              <w:jc w:val="right"/>
              <w:rPr>
                <w:color w:val="000000"/>
                <w:sz w:val="20"/>
                <w:szCs w:val="20"/>
              </w:rPr>
            </w:pPr>
            <w:r>
              <w:rPr>
                <w:color w:val="000000"/>
                <w:sz w:val="20"/>
                <w:szCs w:val="20"/>
              </w:rPr>
              <w:t>0.300</w:t>
            </w:r>
          </w:p>
        </w:tc>
        <w:tc>
          <w:tcPr>
            <w:tcW w:w="768" w:type="dxa"/>
            <w:tcBorders>
              <w:top w:val="nil"/>
              <w:left w:val="nil"/>
              <w:bottom w:val="nil"/>
              <w:right w:val="nil"/>
            </w:tcBorders>
            <w:shd w:val="clear" w:color="auto" w:fill="auto"/>
            <w:noWrap/>
            <w:vAlign w:val="bottom"/>
            <w:hideMark/>
          </w:tcPr>
          <w:p w14:paraId="6CAA5FAC" w14:textId="26EE2E99"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F253F92" w14:textId="7CF85F72" w:rsidR="00CB0ED3" w:rsidRDefault="00CB0ED3" w:rsidP="00CB0ED3">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304A812" w14:textId="473C5AD7" w:rsidR="00CB0ED3" w:rsidRDefault="00CB0ED3" w:rsidP="00CB0ED3">
            <w:pPr>
              <w:jc w:val="right"/>
              <w:rPr>
                <w:color w:val="000000"/>
                <w:sz w:val="20"/>
                <w:szCs w:val="20"/>
              </w:rPr>
            </w:pPr>
            <w:r>
              <w:rPr>
                <w:color w:val="000000"/>
                <w:sz w:val="20"/>
                <w:szCs w:val="20"/>
              </w:rPr>
              <w:t>0.471</w:t>
            </w:r>
          </w:p>
        </w:tc>
        <w:tc>
          <w:tcPr>
            <w:tcW w:w="768" w:type="dxa"/>
            <w:tcBorders>
              <w:top w:val="nil"/>
              <w:left w:val="nil"/>
              <w:bottom w:val="nil"/>
              <w:right w:val="nil"/>
            </w:tcBorders>
            <w:shd w:val="clear" w:color="auto" w:fill="auto"/>
            <w:noWrap/>
            <w:vAlign w:val="bottom"/>
            <w:hideMark/>
          </w:tcPr>
          <w:p w14:paraId="54B080D2" w14:textId="4CDF989D"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24AE0AB" w14:textId="344EDC57" w:rsidR="00CB0ED3" w:rsidRDefault="00CB0ED3" w:rsidP="00CB0ED3">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5D99B492" w14:textId="39EA15F3" w:rsidR="00CB0ED3" w:rsidRDefault="00CB0ED3" w:rsidP="00CB0ED3">
            <w:pPr>
              <w:jc w:val="right"/>
              <w:rPr>
                <w:color w:val="000000"/>
                <w:sz w:val="20"/>
                <w:szCs w:val="20"/>
              </w:rPr>
            </w:pPr>
            <w:r>
              <w:rPr>
                <w:color w:val="000000"/>
                <w:sz w:val="20"/>
                <w:szCs w:val="20"/>
              </w:rPr>
              <w:t>0.280</w:t>
            </w:r>
          </w:p>
        </w:tc>
        <w:tc>
          <w:tcPr>
            <w:tcW w:w="768" w:type="dxa"/>
            <w:tcBorders>
              <w:top w:val="nil"/>
              <w:left w:val="nil"/>
              <w:bottom w:val="nil"/>
              <w:right w:val="nil"/>
            </w:tcBorders>
            <w:shd w:val="clear" w:color="auto" w:fill="auto"/>
            <w:noWrap/>
            <w:vAlign w:val="bottom"/>
            <w:hideMark/>
          </w:tcPr>
          <w:p w14:paraId="6CB12492" w14:textId="3EC55F51" w:rsidR="00CB0ED3" w:rsidRDefault="00CB0ED3" w:rsidP="00CB0ED3">
            <w:pPr>
              <w:jc w:val="right"/>
              <w:rPr>
                <w:color w:val="000000"/>
                <w:sz w:val="20"/>
                <w:szCs w:val="20"/>
              </w:rPr>
            </w:pPr>
            <w:r>
              <w:rPr>
                <w:color w:val="000000"/>
                <w:sz w:val="20"/>
                <w:szCs w:val="20"/>
              </w:rPr>
              <w:t>0.006</w:t>
            </w:r>
          </w:p>
        </w:tc>
      </w:tr>
      <w:tr w:rsidR="00CB0ED3" w14:paraId="60E3E769" w14:textId="77777777" w:rsidTr="00AA3295">
        <w:trPr>
          <w:trHeight w:val="320"/>
        </w:trPr>
        <w:tc>
          <w:tcPr>
            <w:tcW w:w="1176" w:type="dxa"/>
            <w:tcBorders>
              <w:top w:val="nil"/>
              <w:left w:val="nil"/>
              <w:bottom w:val="nil"/>
              <w:right w:val="nil"/>
            </w:tcBorders>
            <w:shd w:val="clear" w:color="auto" w:fill="auto"/>
            <w:noWrap/>
            <w:vAlign w:val="bottom"/>
            <w:hideMark/>
          </w:tcPr>
          <w:p w14:paraId="1C785860"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E32D25" w14:textId="77777777" w:rsidR="00CB0ED3" w:rsidRDefault="00CB0ED3" w:rsidP="00CB0ED3">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947CF37" w14:textId="0813168E" w:rsidR="00CB0ED3" w:rsidRDefault="00CB0ED3" w:rsidP="00CB0ED3">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2E5449A" w14:textId="586DFD4C" w:rsidR="00CB0ED3" w:rsidRDefault="00CB0ED3" w:rsidP="00CB0ED3">
            <w:pPr>
              <w:jc w:val="right"/>
              <w:rPr>
                <w:color w:val="000000"/>
                <w:sz w:val="20"/>
                <w:szCs w:val="20"/>
              </w:rPr>
            </w:pPr>
            <w:r>
              <w:rPr>
                <w:color w:val="000000"/>
                <w:sz w:val="20"/>
                <w:szCs w:val="20"/>
              </w:rPr>
              <w:t>0.758</w:t>
            </w:r>
          </w:p>
        </w:tc>
        <w:tc>
          <w:tcPr>
            <w:tcW w:w="768" w:type="dxa"/>
            <w:tcBorders>
              <w:top w:val="nil"/>
              <w:left w:val="nil"/>
              <w:bottom w:val="nil"/>
              <w:right w:val="nil"/>
            </w:tcBorders>
            <w:shd w:val="clear" w:color="auto" w:fill="auto"/>
            <w:noWrap/>
            <w:vAlign w:val="bottom"/>
            <w:hideMark/>
          </w:tcPr>
          <w:p w14:paraId="208596B2" w14:textId="70D9DE8D"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F300D5" w14:textId="1AE04F0F" w:rsidR="00CB0ED3" w:rsidRDefault="00CB0ED3" w:rsidP="00CB0ED3">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6873C0DF" w14:textId="4D18057A" w:rsidR="00CB0ED3" w:rsidRDefault="00CB0ED3" w:rsidP="00CB0ED3">
            <w:pPr>
              <w:jc w:val="right"/>
              <w:rPr>
                <w:color w:val="000000"/>
                <w:sz w:val="20"/>
                <w:szCs w:val="20"/>
              </w:rPr>
            </w:pPr>
            <w:r>
              <w:rPr>
                <w:color w:val="000000"/>
                <w:sz w:val="20"/>
                <w:szCs w:val="20"/>
              </w:rPr>
              <w:t>0.234</w:t>
            </w:r>
          </w:p>
        </w:tc>
        <w:tc>
          <w:tcPr>
            <w:tcW w:w="768" w:type="dxa"/>
            <w:tcBorders>
              <w:top w:val="nil"/>
              <w:left w:val="nil"/>
              <w:bottom w:val="nil"/>
              <w:right w:val="nil"/>
            </w:tcBorders>
            <w:shd w:val="clear" w:color="auto" w:fill="auto"/>
            <w:noWrap/>
            <w:vAlign w:val="bottom"/>
            <w:hideMark/>
          </w:tcPr>
          <w:p w14:paraId="3BBB0E84" w14:textId="127CC343"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228C030" w14:textId="6DC53A7A" w:rsidR="00CB0ED3" w:rsidRDefault="00CB0ED3" w:rsidP="00CB0ED3">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061A9EF" w14:textId="29F7AE28" w:rsidR="00CB0ED3" w:rsidRDefault="00CB0ED3" w:rsidP="00CB0ED3">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7DC10E03" w14:textId="5970780B"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2438146" w14:textId="60901A25" w:rsidR="00CB0ED3" w:rsidRDefault="00CB0ED3" w:rsidP="00CB0ED3">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2C341C2" w14:textId="48A73979" w:rsidR="00CB0ED3" w:rsidRDefault="00CB0ED3" w:rsidP="00CB0ED3">
            <w:pPr>
              <w:jc w:val="right"/>
              <w:rPr>
                <w:color w:val="000000"/>
                <w:sz w:val="20"/>
                <w:szCs w:val="20"/>
              </w:rPr>
            </w:pPr>
            <w:r>
              <w:rPr>
                <w:color w:val="000000"/>
                <w:sz w:val="20"/>
                <w:szCs w:val="20"/>
              </w:rPr>
              <w:t>0.601</w:t>
            </w:r>
          </w:p>
        </w:tc>
        <w:tc>
          <w:tcPr>
            <w:tcW w:w="768" w:type="dxa"/>
            <w:tcBorders>
              <w:top w:val="nil"/>
              <w:left w:val="nil"/>
              <w:bottom w:val="nil"/>
              <w:right w:val="nil"/>
            </w:tcBorders>
            <w:shd w:val="clear" w:color="auto" w:fill="auto"/>
            <w:noWrap/>
            <w:vAlign w:val="bottom"/>
            <w:hideMark/>
          </w:tcPr>
          <w:p w14:paraId="37BE7589" w14:textId="13C7CE0A"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0AFDC3E" w14:textId="4694766C" w:rsidR="00CB0ED3" w:rsidRDefault="00CB0ED3" w:rsidP="00CB0ED3">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15A0F757" w14:textId="552D43BA" w:rsidR="00CB0ED3" w:rsidRDefault="00CB0ED3" w:rsidP="00CB0ED3">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5B3D7CA7" w14:textId="4D4FD2F4" w:rsidR="00CB0ED3" w:rsidRDefault="00CB0ED3" w:rsidP="00CB0ED3">
            <w:pPr>
              <w:jc w:val="right"/>
              <w:rPr>
                <w:color w:val="000000"/>
                <w:sz w:val="20"/>
                <w:szCs w:val="20"/>
              </w:rPr>
            </w:pPr>
            <w:r>
              <w:rPr>
                <w:color w:val="000000"/>
                <w:sz w:val="20"/>
                <w:szCs w:val="20"/>
              </w:rPr>
              <w:t>0.001</w:t>
            </w:r>
          </w:p>
        </w:tc>
      </w:tr>
      <w:tr w:rsidR="00CB0ED3" w14:paraId="352F164C" w14:textId="77777777" w:rsidTr="00AA3295">
        <w:trPr>
          <w:trHeight w:val="320"/>
        </w:trPr>
        <w:tc>
          <w:tcPr>
            <w:tcW w:w="1176" w:type="dxa"/>
            <w:tcBorders>
              <w:top w:val="nil"/>
              <w:left w:val="nil"/>
              <w:bottom w:val="nil"/>
              <w:right w:val="nil"/>
            </w:tcBorders>
            <w:shd w:val="clear" w:color="auto" w:fill="auto"/>
            <w:noWrap/>
            <w:vAlign w:val="bottom"/>
            <w:hideMark/>
          </w:tcPr>
          <w:p w14:paraId="223191B2"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2AF1861" w14:textId="77777777" w:rsidR="00CB0ED3" w:rsidRDefault="00CB0ED3" w:rsidP="00CB0ED3">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2471C59" w14:textId="2150E6AF" w:rsidR="00CB0ED3" w:rsidRDefault="00CB0ED3" w:rsidP="00CB0ED3">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2D177DBE" w14:textId="4100365A" w:rsidR="00CB0ED3" w:rsidRDefault="00CB0ED3" w:rsidP="00CB0ED3">
            <w:pPr>
              <w:jc w:val="right"/>
              <w:rPr>
                <w:color w:val="000000"/>
                <w:sz w:val="20"/>
                <w:szCs w:val="20"/>
              </w:rPr>
            </w:pPr>
            <w:r>
              <w:rPr>
                <w:color w:val="000000"/>
                <w:sz w:val="20"/>
                <w:szCs w:val="20"/>
              </w:rPr>
              <w:t>0.178</w:t>
            </w:r>
          </w:p>
        </w:tc>
        <w:tc>
          <w:tcPr>
            <w:tcW w:w="768" w:type="dxa"/>
            <w:tcBorders>
              <w:top w:val="nil"/>
              <w:left w:val="nil"/>
              <w:bottom w:val="nil"/>
              <w:right w:val="nil"/>
            </w:tcBorders>
            <w:shd w:val="clear" w:color="auto" w:fill="auto"/>
            <w:noWrap/>
            <w:vAlign w:val="bottom"/>
            <w:hideMark/>
          </w:tcPr>
          <w:p w14:paraId="793F9BCA" w14:textId="5922AA8F" w:rsidR="00CB0ED3" w:rsidRDefault="00CB0ED3" w:rsidP="00CB0ED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8489650" w14:textId="78A2C7E0" w:rsidR="00CB0ED3" w:rsidRDefault="00CB0ED3" w:rsidP="00CB0ED3">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3BB2D57" w14:textId="43A01C41" w:rsidR="00CB0ED3" w:rsidRDefault="00CB0ED3" w:rsidP="00CB0ED3">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2EC737E0" w14:textId="7B368C4E"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B75AFA" w14:textId="1355684C" w:rsidR="00CB0ED3" w:rsidRDefault="00CB0ED3" w:rsidP="00CB0ED3">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3429F10D" w14:textId="5CDA0097" w:rsidR="00CB0ED3" w:rsidRDefault="00CB0ED3" w:rsidP="00CB0ED3">
            <w:pPr>
              <w:jc w:val="right"/>
              <w:rPr>
                <w:color w:val="000000"/>
                <w:sz w:val="20"/>
                <w:szCs w:val="20"/>
              </w:rPr>
            </w:pPr>
            <w:r>
              <w:rPr>
                <w:color w:val="000000"/>
                <w:sz w:val="20"/>
                <w:szCs w:val="20"/>
              </w:rPr>
              <w:t>0.300</w:t>
            </w:r>
          </w:p>
        </w:tc>
        <w:tc>
          <w:tcPr>
            <w:tcW w:w="768" w:type="dxa"/>
            <w:tcBorders>
              <w:top w:val="nil"/>
              <w:left w:val="nil"/>
              <w:bottom w:val="nil"/>
              <w:right w:val="nil"/>
            </w:tcBorders>
            <w:shd w:val="clear" w:color="auto" w:fill="auto"/>
            <w:noWrap/>
            <w:vAlign w:val="bottom"/>
            <w:hideMark/>
          </w:tcPr>
          <w:p w14:paraId="48115D75" w14:textId="16507952"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D3B3442" w14:textId="5D79752B" w:rsidR="00CB0ED3" w:rsidRDefault="00CB0ED3" w:rsidP="00CB0ED3">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350B140" w14:textId="2AAFC924" w:rsidR="00CB0ED3" w:rsidRDefault="00CB0ED3" w:rsidP="00CB0ED3">
            <w:pPr>
              <w:jc w:val="right"/>
              <w:rPr>
                <w:color w:val="000000"/>
                <w:sz w:val="20"/>
                <w:szCs w:val="20"/>
              </w:rPr>
            </w:pPr>
            <w:r>
              <w:rPr>
                <w:color w:val="000000"/>
                <w:sz w:val="20"/>
                <w:szCs w:val="20"/>
              </w:rPr>
              <w:t>0.471</w:t>
            </w:r>
          </w:p>
        </w:tc>
        <w:tc>
          <w:tcPr>
            <w:tcW w:w="768" w:type="dxa"/>
            <w:tcBorders>
              <w:top w:val="nil"/>
              <w:left w:val="nil"/>
              <w:bottom w:val="nil"/>
              <w:right w:val="nil"/>
            </w:tcBorders>
            <w:shd w:val="clear" w:color="auto" w:fill="auto"/>
            <w:noWrap/>
            <w:vAlign w:val="bottom"/>
            <w:hideMark/>
          </w:tcPr>
          <w:p w14:paraId="09ACC5F6" w14:textId="67B66851"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331C73" w14:textId="5EAF1A36" w:rsidR="00CB0ED3" w:rsidRDefault="00CB0ED3" w:rsidP="00CB0ED3">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77D73673" w14:textId="1418AF8E" w:rsidR="00CB0ED3" w:rsidRDefault="00CB0ED3" w:rsidP="00CB0ED3">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1650CF58" w14:textId="1399C959" w:rsidR="00CB0ED3" w:rsidRDefault="00CB0ED3" w:rsidP="00CB0ED3">
            <w:pPr>
              <w:jc w:val="right"/>
              <w:rPr>
                <w:color w:val="000000"/>
                <w:sz w:val="20"/>
                <w:szCs w:val="20"/>
              </w:rPr>
            </w:pPr>
            <w:r>
              <w:rPr>
                <w:color w:val="000000"/>
                <w:sz w:val="20"/>
                <w:szCs w:val="20"/>
              </w:rPr>
              <w:t>0.003</w:t>
            </w:r>
          </w:p>
        </w:tc>
      </w:tr>
      <w:tr w:rsidR="00CB0ED3" w14:paraId="2B18745D" w14:textId="77777777" w:rsidTr="00AA3295">
        <w:trPr>
          <w:trHeight w:val="320"/>
        </w:trPr>
        <w:tc>
          <w:tcPr>
            <w:tcW w:w="1176" w:type="dxa"/>
            <w:tcBorders>
              <w:top w:val="nil"/>
              <w:left w:val="nil"/>
              <w:bottom w:val="nil"/>
              <w:right w:val="nil"/>
            </w:tcBorders>
            <w:shd w:val="clear" w:color="auto" w:fill="auto"/>
            <w:noWrap/>
            <w:vAlign w:val="bottom"/>
            <w:hideMark/>
          </w:tcPr>
          <w:p w14:paraId="6A772558"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7E08299" w14:textId="77777777" w:rsidR="00CB0ED3" w:rsidRDefault="00CB0ED3" w:rsidP="00CB0ED3">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AFF1B6B" w14:textId="38458867" w:rsidR="00CB0ED3" w:rsidRDefault="00CB0ED3" w:rsidP="00CB0ED3">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27CBD12F" w14:textId="217296D3" w:rsidR="00CB0ED3" w:rsidRDefault="00CB0ED3" w:rsidP="00CB0ED3">
            <w:pPr>
              <w:jc w:val="right"/>
              <w:rPr>
                <w:color w:val="000000"/>
                <w:sz w:val="20"/>
                <w:szCs w:val="20"/>
              </w:rPr>
            </w:pPr>
            <w:r>
              <w:rPr>
                <w:color w:val="000000"/>
                <w:sz w:val="20"/>
                <w:szCs w:val="20"/>
              </w:rPr>
              <w:t>0.178</w:t>
            </w:r>
          </w:p>
        </w:tc>
        <w:tc>
          <w:tcPr>
            <w:tcW w:w="768" w:type="dxa"/>
            <w:tcBorders>
              <w:top w:val="nil"/>
              <w:left w:val="nil"/>
              <w:bottom w:val="nil"/>
              <w:right w:val="nil"/>
            </w:tcBorders>
            <w:shd w:val="clear" w:color="auto" w:fill="auto"/>
            <w:noWrap/>
            <w:vAlign w:val="bottom"/>
            <w:hideMark/>
          </w:tcPr>
          <w:p w14:paraId="5124AE8C" w14:textId="58576242" w:rsidR="00CB0ED3" w:rsidRDefault="00CB0ED3" w:rsidP="00CB0ED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7490CBA" w14:textId="502DC1B3" w:rsidR="00CB0ED3" w:rsidRDefault="00CB0ED3" w:rsidP="00CB0ED3">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1879E336" w14:textId="19CAB5D2" w:rsidR="00CB0ED3" w:rsidRDefault="00CB0ED3" w:rsidP="00CB0ED3">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170E4578" w14:textId="7A6F77BC" w:rsidR="00CB0ED3" w:rsidRDefault="00CB0ED3" w:rsidP="00CB0ED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98BBE93" w14:textId="4B0DAA78" w:rsidR="00CB0ED3" w:rsidRDefault="00CB0ED3" w:rsidP="00CB0ED3">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11AC6CD" w14:textId="66308C35" w:rsidR="00CB0ED3" w:rsidRDefault="00CB0ED3" w:rsidP="00CB0ED3">
            <w:pPr>
              <w:jc w:val="right"/>
              <w:rPr>
                <w:color w:val="000000"/>
                <w:sz w:val="20"/>
                <w:szCs w:val="20"/>
              </w:rPr>
            </w:pPr>
            <w:r>
              <w:rPr>
                <w:color w:val="000000"/>
                <w:sz w:val="20"/>
                <w:szCs w:val="20"/>
              </w:rPr>
              <w:t>0.614</w:t>
            </w:r>
          </w:p>
        </w:tc>
        <w:tc>
          <w:tcPr>
            <w:tcW w:w="768" w:type="dxa"/>
            <w:tcBorders>
              <w:top w:val="nil"/>
              <w:left w:val="nil"/>
              <w:bottom w:val="nil"/>
              <w:right w:val="nil"/>
            </w:tcBorders>
            <w:shd w:val="clear" w:color="auto" w:fill="auto"/>
            <w:noWrap/>
            <w:vAlign w:val="bottom"/>
            <w:hideMark/>
          </w:tcPr>
          <w:p w14:paraId="1B495F32" w14:textId="0FC12F51"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8D5C7E5" w14:textId="3203D879" w:rsidR="00CB0ED3" w:rsidRDefault="00CB0ED3" w:rsidP="00CB0ED3">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6C628803" w14:textId="4DA1EA88" w:rsidR="00CB0ED3" w:rsidRDefault="00CB0ED3" w:rsidP="00CB0ED3">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1B08C38B" w14:textId="77775AF2"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A426711" w14:textId="5AE65DDA" w:rsidR="00CB0ED3" w:rsidRDefault="00CB0ED3" w:rsidP="00CB0ED3">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078BA2A" w14:textId="1067A63F" w:rsidR="00CB0ED3" w:rsidRDefault="00CB0ED3" w:rsidP="00CB0ED3">
            <w:pPr>
              <w:jc w:val="right"/>
              <w:rPr>
                <w:color w:val="000000"/>
                <w:sz w:val="20"/>
                <w:szCs w:val="20"/>
              </w:rPr>
            </w:pPr>
            <w:r>
              <w:rPr>
                <w:color w:val="000000"/>
                <w:sz w:val="20"/>
                <w:szCs w:val="20"/>
              </w:rPr>
              <w:t>0.762</w:t>
            </w:r>
          </w:p>
        </w:tc>
        <w:tc>
          <w:tcPr>
            <w:tcW w:w="768" w:type="dxa"/>
            <w:tcBorders>
              <w:top w:val="nil"/>
              <w:left w:val="nil"/>
              <w:bottom w:val="nil"/>
              <w:right w:val="nil"/>
            </w:tcBorders>
            <w:shd w:val="clear" w:color="auto" w:fill="auto"/>
            <w:noWrap/>
            <w:vAlign w:val="bottom"/>
            <w:hideMark/>
          </w:tcPr>
          <w:p w14:paraId="528A9F92" w14:textId="7EAEF176" w:rsidR="00CB0ED3" w:rsidRDefault="00CB0ED3" w:rsidP="00CB0ED3">
            <w:pPr>
              <w:jc w:val="right"/>
              <w:rPr>
                <w:color w:val="000000"/>
                <w:sz w:val="20"/>
                <w:szCs w:val="20"/>
              </w:rPr>
            </w:pPr>
            <w:r>
              <w:rPr>
                <w:color w:val="000000"/>
                <w:sz w:val="20"/>
                <w:szCs w:val="20"/>
              </w:rPr>
              <w:t>0.000</w:t>
            </w:r>
          </w:p>
        </w:tc>
      </w:tr>
      <w:tr w:rsidR="00CB0ED3" w14:paraId="6D4EF24D" w14:textId="77777777" w:rsidTr="00AA3295">
        <w:trPr>
          <w:trHeight w:val="320"/>
        </w:trPr>
        <w:tc>
          <w:tcPr>
            <w:tcW w:w="1176" w:type="dxa"/>
            <w:tcBorders>
              <w:top w:val="nil"/>
              <w:left w:val="nil"/>
              <w:bottom w:val="single" w:sz="4" w:space="0" w:color="auto"/>
              <w:right w:val="nil"/>
            </w:tcBorders>
            <w:shd w:val="clear" w:color="auto" w:fill="auto"/>
            <w:noWrap/>
            <w:vAlign w:val="bottom"/>
            <w:hideMark/>
          </w:tcPr>
          <w:p w14:paraId="6434E2D5" w14:textId="77777777" w:rsidR="00CB0ED3" w:rsidRDefault="00CB0ED3" w:rsidP="00CB0ED3">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BEEF76B" w14:textId="77777777" w:rsidR="00CB0ED3" w:rsidRDefault="00CB0ED3" w:rsidP="00CB0ED3">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996AF3D" w14:textId="6E01F81E" w:rsidR="00CB0ED3" w:rsidRDefault="00CB0ED3" w:rsidP="00CB0ED3">
            <w:pPr>
              <w:jc w:val="right"/>
              <w:rPr>
                <w:color w:val="000000"/>
                <w:sz w:val="20"/>
                <w:szCs w:val="20"/>
              </w:rPr>
            </w:pPr>
            <w:r>
              <w:rPr>
                <w:color w:val="000000"/>
                <w:sz w:val="20"/>
                <w:szCs w:val="20"/>
              </w:rPr>
              <w:t>0.090</w:t>
            </w:r>
          </w:p>
        </w:tc>
        <w:tc>
          <w:tcPr>
            <w:tcW w:w="768" w:type="dxa"/>
            <w:tcBorders>
              <w:top w:val="nil"/>
              <w:left w:val="nil"/>
              <w:bottom w:val="single" w:sz="4" w:space="0" w:color="auto"/>
              <w:right w:val="nil"/>
            </w:tcBorders>
            <w:shd w:val="clear" w:color="auto" w:fill="auto"/>
            <w:noWrap/>
            <w:vAlign w:val="bottom"/>
            <w:hideMark/>
          </w:tcPr>
          <w:p w14:paraId="24CDC287" w14:textId="60A2638A" w:rsidR="00CB0ED3" w:rsidRDefault="00CB0ED3" w:rsidP="00CB0ED3">
            <w:pPr>
              <w:jc w:val="right"/>
              <w:rPr>
                <w:color w:val="000000"/>
                <w:sz w:val="20"/>
                <w:szCs w:val="20"/>
              </w:rPr>
            </w:pPr>
            <w:r>
              <w:rPr>
                <w:color w:val="000000"/>
                <w:sz w:val="20"/>
                <w:szCs w:val="20"/>
              </w:rPr>
              <w:t>0.178</w:t>
            </w:r>
          </w:p>
        </w:tc>
        <w:tc>
          <w:tcPr>
            <w:tcW w:w="768" w:type="dxa"/>
            <w:tcBorders>
              <w:top w:val="nil"/>
              <w:left w:val="nil"/>
              <w:bottom w:val="single" w:sz="4" w:space="0" w:color="auto"/>
              <w:right w:val="nil"/>
            </w:tcBorders>
            <w:shd w:val="clear" w:color="auto" w:fill="auto"/>
            <w:noWrap/>
            <w:vAlign w:val="bottom"/>
            <w:hideMark/>
          </w:tcPr>
          <w:p w14:paraId="04AC8931" w14:textId="119BF5A3" w:rsidR="00CB0ED3" w:rsidRDefault="00CB0ED3" w:rsidP="00CB0ED3">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6A17CF9A" w14:textId="40530B76" w:rsidR="00CB0ED3" w:rsidRDefault="00CB0ED3" w:rsidP="00CB0ED3">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2E8426A1" w14:textId="7FEABD24" w:rsidR="00CB0ED3" w:rsidRDefault="00CB0ED3" w:rsidP="00CB0ED3">
            <w:pPr>
              <w:jc w:val="right"/>
              <w:rPr>
                <w:color w:val="000000"/>
                <w:sz w:val="20"/>
                <w:szCs w:val="20"/>
              </w:rPr>
            </w:pPr>
            <w:r>
              <w:rPr>
                <w:color w:val="000000"/>
                <w:sz w:val="20"/>
                <w:szCs w:val="20"/>
              </w:rPr>
              <w:t>0.768</w:t>
            </w:r>
          </w:p>
        </w:tc>
        <w:tc>
          <w:tcPr>
            <w:tcW w:w="768" w:type="dxa"/>
            <w:tcBorders>
              <w:top w:val="nil"/>
              <w:left w:val="nil"/>
              <w:bottom w:val="single" w:sz="4" w:space="0" w:color="auto"/>
              <w:right w:val="nil"/>
            </w:tcBorders>
            <w:shd w:val="clear" w:color="auto" w:fill="auto"/>
            <w:noWrap/>
            <w:vAlign w:val="bottom"/>
            <w:hideMark/>
          </w:tcPr>
          <w:p w14:paraId="1ECAC69B" w14:textId="6C9006D5"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431F329" w14:textId="300A4430" w:rsidR="00CB0ED3" w:rsidRDefault="00CB0ED3" w:rsidP="00CB0ED3">
            <w:pPr>
              <w:jc w:val="right"/>
              <w:rPr>
                <w:color w:val="000000"/>
                <w:sz w:val="20"/>
                <w:szCs w:val="20"/>
              </w:rPr>
            </w:pPr>
            <w:r>
              <w:rPr>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6B4A5757" w14:textId="72BADEAB" w:rsidR="00CB0ED3" w:rsidRDefault="00CB0ED3" w:rsidP="00CB0ED3">
            <w:pPr>
              <w:jc w:val="right"/>
              <w:rPr>
                <w:color w:val="000000"/>
                <w:sz w:val="20"/>
                <w:szCs w:val="20"/>
              </w:rPr>
            </w:pPr>
            <w:r>
              <w:rPr>
                <w:color w:val="000000"/>
                <w:sz w:val="20"/>
                <w:szCs w:val="20"/>
              </w:rPr>
              <w:t>0.582</w:t>
            </w:r>
          </w:p>
        </w:tc>
        <w:tc>
          <w:tcPr>
            <w:tcW w:w="768" w:type="dxa"/>
            <w:tcBorders>
              <w:top w:val="nil"/>
              <w:left w:val="nil"/>
              <w:bottom w:val="single" w:sz="4" w:space="0" w:color="auto"/>
              <w:right w:val="nil"/>
            </w:tcBorders>
            <w:shd w:val="clear" w:color="auto" w:fill="auto"/>
            <w:noWrap/>
            <w:vAlign w:val="bottom"/>
            <w:hideMark/>
          </w:tcPr>
          <w:p w14:paraId="1E059094" w14:textId="61546654"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6884DDD" w14:textId="0FCF0C1F" w:rsidR="00CB0ED3" w:rsidRDefault="00CB0ED3" w:rsidP="00CB0ED3">
            <w:pPr>
              <w:jc w:val="right"/>
              <w:rPr>
                <w:b/>
                <w:bCs/>
                <w:color w:val="000000"/>
                <w:sz w:val="20"/>
                <w:szCs w:val="20"/>
              </w:rPr>
            </w:pPr>
            <w:r>
              <w:rPr>
                <w:b/>
                <w:bCs/>
                <w:color w:val="000000"/>
                <w:sz w:val="20"/>
                <w:szCs w:val="20"/>
              </w:rPr>
              <w:t>0.119</w:t>
            </w:r>
          </w:p>
        </w:tc>
        <w:tc>
          <w:tcPr>
            <w:tcW w:w="768" w:type="dxa"/>
            <w:tcBorders>
              <w:top w:val="nil"/>
              <w:left w:val="nil"/>
              <w:bottom w:val="single" w:sz="4" w:space="0" w:color="auto"/>
              <w:right w:val="nil"/>
            </w:tcBorders>
            <w:shd w:val="clear" w:color="auto" w:fill="auto"/>
            <w:noWrap/>
            <w:vAlign w:val="bottom"/>
            <w:hideMark/>
          </w:tcPr>
          <w:p w14:paraId="461FF7CB" w14:textId="3C181229" w:rsidR="00CB0ED3" w:rsidRDefault="00CB0ED3" w:rsidP="00CB0ED3">
            <w:pPr>
              <w:jc w:val="right"/>
              <w:rPr>
                <w:b/>
                <w:bCs/>
                <w:color w:val="000000"/>
                <w:sz w:val="20"/>
                <w:szCs w:val="20"/>
              </w:rPr>
            </w:pPr>
            <w:r>
              <w:rPr>
                <w:b/>
                <w:bCs/>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5371FEC9" w14:textId="25D39BE2" w:rsidR="00CB0ED3" w:rsidRDefault="00CB0ED3" w:rsidP="00CB0ED3">
            <w:pPr>
              <w:jc w:val="right"/>
              <w:rPr>
                <w:color w:val="000000"/>
                <w:sz w:val="20"/>
                <w:szCs w:val="20"/>
              </w:rPr>
            </w:pPr>
            <w:r>
              <w:rPr>
                <w:b/>
                <w:bCs/>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57484F44" w14:textId="79A84E16" w:rsidR="00CB0ED3" w:rsidRDefault="00CB0ED3" w:rsidP="00CB0ED3">
            <w:pPr>
              <w:jc w:val="right"/>
              <w:rPr>
                <w:color w:val="000000"/>
                <w:sz w:val="20"/>
                <w:szCs w:val="20"/>
              </w:rPr>
            </w:pPr>
            <w:r>
              <w:rPr>
                <w:color w:val="000000"/>
                <w:sz w:val="20"/>
                <w:szCs w:val="20"/>
              </w:rPr>
              <w:t>-0.071</w:t>
            </w:r>
          </w:p>
        </w:tc>
        <w:tc>
          <w:tcPr>
            <w:tcW w:w="768" w:type="dxa"/>
            <w:tcBorders>
              <w:top w:val="nil"/>
              <w:left w:val="nil"/>
              <w:bottom w:val="single" w:sz="4" w:space="0" w:color="auto"/>
              <w:right w:val="nil"/>
            </w:tcBorders>
            <w:shd w:val="clear" w:color="auto" w:fill="auto"/>
            <w:noWrap/>
            <w:vAlign w:val="bottom"/>
            <w:hideMark/>
          </w:tcPr>
          <w:p w14:paraId="0C15D346" w14:textId="555EFA30" w:rsidR="00CB0ED3" w:rsidRDefault="00CB0ED3" w:rsidP="00CB0ED3">
            <w:pPr>
              <w:jc w:val="right"/>
              <w:rPr>
                <w:color w:val="000000"/>
                <w:sz w:val="20"/>
                <w:szCs w:val="20"/>
              </w:rPr>
            </w:pPr>
            <w:r>
              <w:rPr>
                <w:color w:val="000000"/>
                <w:sz w:val="20"/>
                <w:szCs w:val="20"/>
              </w:rPr>
              <w:t>0.293</w:t>
            </w:r>
          </w:p>
        </w:tc>
        <w:tc>
          <w:tcPr>
            <w:tcW w:w="768" w:type="dxa"/>
            <w:tcBorders>
              <w:top w:val="nil"/>
              <w:left w:val="nil"/>
              <w:bottom w:val="single" w:sz="4" w:space="0" w:color="auto"/>
              <w:right w:val="nil"/>
            </w:tcBorders>
            <w:shd w:val="clear" w:color="auto" w:fill="auto"/>
            <w:noWrap/>
            <w:vAlign w:val="bottom"/>
            <w:hideMark/>
          </w:tcPr>
          <w:p w14:paraId="3C56E9AA" w14:textId="17175F1D" w:rsidR="00CB0ED3" w:rsidRDefault="00CB0ED3" w:rsidP="00CB0ED3">
            <w:pPr>
              <w:jc w:val="right"/>
              <w:rPr>
                <w:color w:val="000000"/>
                <w:sz w:val="20"/>
                <w:szCs w:val="20"/>
              </w:rPr>
            </w:pPr>
            <w:r>
              <w:rPr>
                <w:color w:val="000000"/>
                <w:sz w:val="20"/>
                <w:szCs w:val="20"/>
              </w:rPr>
              <w:t>0.005</w:t>
            </w:r>
          </w:p>
        </w:tc>
      </w:tr>
      <w:tr w:rsidR="00CB0ED3" w14:paraId="202BD794" w14:textId="77777777" w:rsidTr="00AA3295">
        <w:trPr>
          <w:trHeight w:val="320"/>
        </w:trPr>
        <w:tc>
          <w:tcPr>
            <w:tcW w:w="1176" w:type="dxa"/>
            <w:tcBorders>
              <w:top w:val="nil"/>
              <w:left w:val="nil"/>
              <w:bottom w:val="nil"/>
              <w:right w:val="nil"/>
            </w:tcBorders>
            <w:shd w:val="clear" w:color="auto" w:fill="auto"/>
            <w:noWrap/>
            <w:vAlign w:val="bottom"/>
            <w:hideMark/>
          </w:tcPr>
          <w:p w14:paraId="08B2621F" w14:textId="77777777" w:rsidR="00CB0ED3" w:rsidRDefault="00CB0ED3" w:rsidP="00CB0ED3">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3E6AF356" w14:textId="77777777" w:rsidR="00CB0ED3" w:rsidRDefault="00CB0ED3" w:rsidP="00CB0ED3">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8060D4D" w14:textId="3E8874F9" w:rsidR="00CB0ED3" w:rsidRDefault="00CB0ED3" w:rsidP="00CB0ED3">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0B38FB66" w14:textId="51DE8513" w:rsidR="00CB0ED3" w:rsidRDefault="00CB0ED3" w:rsidP="00CB0ED3">
            <w:pPr>
              <w:jc w:val="right"/>
              <w:rPr>
                <w:color w:val="000000"/>
                <w:sz w:val="20"/>
                <w:szCs w:val="20"/>
              </w:rPr>
            </w:pPr>
            <w:r>
              <w:rPr>
                <w:color w:val="000000"/>
                <w:sz w:val="20"/>
                <w:szCs w:val="20"/>
              </w:rPr>
              <w:t>0.106</w:t>
            </w:r>
          </w:p>
        </w:tc>
        <w:tc>
          <w:tcPr>
            <w:tcW w:w="768" w:type="dxa"/>
            <w:tcBorders>
              <w:top w:val="nil"/>
              <w:left w:val="nil"/>
              <w:bottom w:val="nil"/>
              <w:right w:val="nil"/>
            </w:tcBorders>
            <w:shd w:val="clear" w:color="auto" w:fill="auto"/>
            <w:noWrap/>
            <w:vAlign w:val="bottom"/>
            <w:hideMark/>
          </w:tcPr>
          <w:p w14:paraId="241122EA" w14:textId="0E392CD2" w:rsidR="00CB0ED3" w:rsidRDefault="00CB0ED3" w:rsidP="00CB0ED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07540F3" w14:textId="3E44CCE0"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49913A" w14:textId="3EBC79F3" w:rsidR="00CB0ED3" w:rsidRDefault="00CB0ED3" w:rsidP="00CB0ED3">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3A554DF0" w14:textId="7A48069A"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9BD15E" w14:textId="7A4047A3" w:rsidR="00CB0ED3" w:rsidRDefault="00CB0ED3" w:rsidP="00CB0ED3">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5BBF38A" w14:textId="6D2E306A" w:rsidR="00CB0ED3" w:rsidRDefault="00CB0ED3" w:rsidP="00CB0ED3">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467AE0A8" w14:textId="5FC38F00"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0959AE" w14:textId="1A543876" w:rsidR="00CB0ED3" w:rsidRDefault="00CB0ED3" w:rsidP="00CB0ED3">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8C26172" w14:textId="18BA588F" w:rsidR="00CB0ED3" w:rsidRDefault="00CB0ED3" w:rsidP="00CB0ED3">
            <w:pPr>
              <w:jc w:val="right"/>
              <w:rPr>
                <w:color w:val="000000"/>
                <w:sz w:val="20"/>
                <w:szCs w:val="20"/>
              </w:rPr>
            </w:pPr>
            <w:r>
              <w:rPr>
                <w:color w:val="000000"/>
                <w:sz w:val="20"/>
                <w:szCs w:val="20"/>
              </w:rPr>
              <w:t>0.178</w:t>
            </w:r>
          </w:p>
        </w:tc>
        <w:tc>
          <w:tcPr>
            <w:tcW w:w="768" w:type="dxa"/>
            <w:tcBorders>
              <w:top w:val="nil"/>
              <w:left w:val="nil"/>
              <w:bottom w:val="nil"/>
              <w:right w:val="nil"/>
            </w:tcBorders>
            <w:shd w:val="clear" w:color="auto" w:fill="auto"/>
            <w:noWrap/>
            <w:vAlign w:val="bottom"/>
            <w:hideMark/>
          </w:tcPr>
          <w:p w14:paraId="6421285B" w14:textId="2D17B79E" w:rsidR="00CB0ED3" w:rsidRDefault="00CB0ED3" w:rsidP="00CB0ED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7161202" w14:textId="51112A07" w:rsidR="00CB0ED3" w:rsidRDefault="00CB0ED3" w:rsidP="00CB0ED3">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4BDC698" w14:textId="29AB0A8D" w:rsidR="00CB0ED3" w:rsidRDefault="00CB0ED3" w:rsidP="00CB0ED3">
            <w:pPr>
              <w:jc w:val="right"/>
              <w:rPr>
                <w:color w:val="000000"/>
                <w:sz w:val="20"/>
                <w:szCs w:val="20"/>
              </w:rPr>
            </w:pPr>
            <w:r>
              <w:rPr>
                <w:color w:val="000000"/>
                <w:sz w:val="20"/>
                <w:szCs w:val="20"/>
              </w:rPr>
              <w:t>0.773</w:t>
            </w:r>
          </w:p>
        </w:tc>
        <w:tc>
          <w:tcPr>
            <w:tcW w:w="768" w:type="dxa"/>
            <w:tcBorders>
              <w:top w:val="nil"/>
              <w:left w:val="nil"/>
              <w:bottom w:val="nil"/>
              <w:right w:val="nil"/>
            </w:tcBorders>
            <w:shd w:val="clear" w:color="auto" w:fill="auto"/>
            <w:noWrap/>
            <w:vAlign w:val="bottom"/>
            <w:hideMark/>
          </w:tcPr>
          <w:p w14:paraId="0F789654" w14:textId="73A43402" w:rsidR="00CB0ED3" w:rsidRDefault="00CB0ED3" w:rsidP="00CB0ED3">
            <w:pPr>
              <w:jc w:val="right"/>
              <w:rPr>
                <w:color w:val="000000"/>
                <w:sz w:val="20"/>
                <w:szCs w:val="20"/>
              </w:rPr>
            </w:pPr>
            <w:r>
              <w:rPr>
                <w:color w:val="000000"/>
                <w:sz w:val="20"/>
                <w:szCs w:val="20"/>
              </w:rPr>
              <w:t>0.000</w:t>
            </w:r>
          </w:p>
        </w:tc>
      </w:tr>
      <w:tr w:rsidR="00CB0ED3" w14:paraId="7E608B0E" w14:textId="77777777" w:rsidTr="00AA3295">
        <w:trPr>
          <w:trHeight w:val="320"/>
        </w:trPr>
        <w:tc>
          <w:tcPr>
            <w:tcW w:w="1176" w:type="dxa"/>
            <w:tcBorders>
              <w:top w:val="nil"/>
              <w:left w:val="nil"/>
              <w:bottom w:val="nil"/>
              <w:right w:val="nil"/>
            </w:tcBorders>
            <w:shd w:val="clear" w:color="auto" w:fill="auto"/>
            <w:noWrap/>
            <w:vAlign w:val="bottom"/>
            <w:hideMark/>
          </w:tcPr>
          <w:p w14:paraId="4CFA120C"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0932290" w14:textId="77777777" w:rsidR="00CB0ED3" w:rsidRDefault="00CB0ED3" w:rsidP="00CB0ED3">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7A1BDBD" w14:textId="3BD17E72" w:rsidR="00CB0ED3" w:rsidRDefault="00CB0ED3" w:rsidP="00CB0ED3">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32F8C3D1" w14:textId="0923599A" w:rsidR="00CB0ED3" w:rsidRDefault="00CB0ED3" w:rsidP="00CB0ED3">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0C7CFFB2" w14:textId="7189BF02"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26A102E" w14:textId="409F4D66" w:rsidR="00CB0ED3" w:rsidRDefault="00CB0ED3" w:rsidP="00CB0ED3">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29FB7740" w14:textId="6B7467FA" w:rsidR="00CB0ED3" w:rsidRDefault="00CB0ED3" w:rsidP="00CB0ED3">
            <w:pPr>
              <w:jc w:val="right"/>
              <w:rPr>
                <w:color w:val="000000"/>
                <w:sz w:val="20"/>
                <w:szCs w:val="20"/>
              </w:rPr>
            </w:pPr>
            <w:r>
              <w:rPr>
                <w:color w:val="000000"/>
                <w:sz w:val="20"/>
                <w:szCs w:val="20"/>
              </w:rPr>
              <w:t>0.266</w:t>
            </w:r>
          </w:p>
        </w:tc>
        <w:tc>
          <w:tcPr>
            <w:tcW w:w="768" w:type="dxa"/>
            <w:tcBorders>
              <w:top w:val="nil"/>
              <w:left w:val="nil"/>
              <w:bottom w:val="nil"/>
              <w:right w:val="nil"/>
            </w:tcBorders>
            <w:shd w:val="clear" w:color="auto" w:fill="auto"/>
            <w:noWrap/>
            <w:vAlign w:val="bottom"/>
            <w:hideMark/>
          </w:tcPr>
          <w:p w14:paraId="2F1A911E" w14:textId="1DCB1C8D"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93DEE96" w14:textId="3C0DF6A9" w:rsidR="00CB0ED3" w:rsidRDefault="00CB0ED3" w:rsidP="00CB0ED3">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7F6BD4B" w14:textId="20C09F49" w:rsidR="00CB0ED3" w:rsidRDefault="00CB0ED3" w:rsidP="00CB0ED3">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5FC8C70D" w14:textId="0256196B"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8931A3" w14:textId="4302F1B7" w:rsidR="00CB0ED3" w:rsidRDefault="00CB0ED3" w:rsidP="00CB0ED3">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0E4213FB" w14:textId="0DDBC5A0" w:rsidR="00CB0ED3" w:rsidRDefault="00CB0ED3" w:rsidP="00CB0ED3">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18054EE4" w14:textId="0654496C" w:rsidR="00CB0ED3" w:rsidRDefault="00CB0ED3" w:rsidP="00CB0ED3">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EB037FA" w14:textId="6833180E" w:rsidR="00CB0ED3" w:rsidRDefault="00CB0ED3" w:rsidP="00CB0ED3">
            <w:pPr>
              <w:jc w:val="right"/>
              <w:rPr>
                <w:b/>
                <w:bCs/>
                <w:color w:val="000000"/>
                <w:sz w:val="20"/>
                <w:szCs w:val="20"/>
              </w:rPr>
            </w:pPr>
            <w:r>
              <w:rPr>
                <w:b/>
                <w:bCs/>
                <w:color w:val="000000"/>
                <w:sz w:val="20"/>
                <w:szCs w:val="20"/>
              </w:rPr>
              <w:t>0.131</w:t>
            </w:r>
          </w:p>
        </w:tc>
        <w:tc>
          <w:tcPr>
            <w:tcW w:w="768" w:type="dxa"/>
            <w:tcBorders>
              <w:top w:val="nil"/>
              <w:left w:val="nil"/>
              <w:bottom w:val="nil"/>
              <w:right w:val="nil"/>
            </w:tcBorders>
            <w:shd w:val="clear" w:color="auto" w:fill="auto"/>
            <w:noWrap/>
            <w:vAlign w:val="bottom"/>
            <w:hideMark/>
          </w:tcPr>
          <w:p w14:paraId="69603FAB" w14:textId="18CA72FD" w:rsidR="00CB0ED3" w:rsidRDefault="00CB0ED3" w:rsidP="00CB0ED3">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C7778C3" w14:textId="7AFE51BA" w:rsidR="00CB0ED3" w:rsidRDefault="00CB0ED3" w:rsidP="00CB0ED3">
            <w:pPr>
              <w:jc w:val="right"/>
              <w:rPr>
                <w:color w:val="000000"/>
                <w:sz w:val="20"/>
                <w:szCs w:val="20"/>
              </w:rPr>
            </w:pPr>
            <w:r>
              <w:rPr>
                <w:b/>
                <w:bCs/>
                <w:color w:val="000000"/>
                <w:sz w:val="20"/>
                <w:szCs w:val="20"/>
              </w:rPr>
              <w:t>0.017</w:t>
            </w:r>
          </w:p>
        </w:tc>
      </w:tr>
      <w:tr w:rsidR="00CB0ED3" w14:paraId="2CA73F68" w14:textId="77777777" w:rsidTr="00AA3295">
        <w:trPr>
          <w:trHeight w:val="320"/>
        </w:trPr>
        <w:tc>
          <w:tcPr>
            <w:tcW w:w="1176" w:type="dxa"/>
            <w:tcBorders>
              <w:top w:val="nil"/>
              <w:left w:val="nil"/>
              <w:bottom w:val="nil"/>
              <w:right w:val="nil"/>
            </w:tcBorders>
            <w:shd w:val="clear" w:color="auto" w:fill="auto"/>
            <w:noWrap/>
            <w:vAlign w:val="bottom"/>
            <w:hideMark/>
          </w:tcPr>
          <w:p w14:paraId="58C39D75"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37C77A1" w14:textId="77777777" w:rsidR="00CB0ED3" w:rsidRDefault="00CB0ED3" w:rsidP="00CB0ED3">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9064B6F" w14:textId="4DF3E9F4" w:rsidR="00CB0ED3" w:rsidRDefault="00CB0ED3" w:rsidP="00CB0ED3">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188A309" w14:textId="70475400" w:rsidR="00CB0ED3" w:rsidRDefault="00CB0ED3" w:rsidP="00CB0ED3">
            <w:pPr>
              <w:jc w:val="right"/>
              <w:rPr>
                <w:color w:val="000000"/>
                <w:sz w:val="20"/>
                <w:szCs w:val="20"/>
              </w:rPr>
            </w:pPr>
            <w:r>
              <w:rPr>
                <w:color w:val="000000"/>
                <w:sz w:val="20"/>
                <w:szCs w:val="20"/>
              </w:rPr>
              <w:t>0.789</w:t>
            </w:r>
          </w:p>
        </w:tc>
        <w:tc>
          <w:tcPr>
            <w:tcW w:w="768" w:type="dxa"/>
            <w:tcBorders>
              <w:top w:val="nil"/>
              <w:left w:val="nil"/>
              <w:bottom w:val="nil"/>
              <w:right w:val="nil"/>
            </w:tcBorders>
            <w:shd w:val="clear" w:color="auto" w:fill="auto"/>
            <w:noWrap/>
            <w:vAlign w:val="bottom"/>
            <w:hideMark/>
          </w:tcPr>
          <w:p w14:paraId="31E37593" w14:textId="57180FFD"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22520E" w14:textId="5C0D2F36" w:rsidR="00CB0ED3" w:rsidRDefault="00CB0ED3" w:rsidP="00CB0ED3">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05B2D222" w14:textId="25555716" w:rsidR="00CB0ED3" w:rsidRDefault="00CB0ED3" w:rsidP="00CB0ED3">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38341D52" w14:textId="0B523BC5" w:rsidR="00CB0ED3" w:rsidRDefault="00CB0ED3" w:rsidP="00CB0ED3">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255AAC1" w14:textId="5B7365BF" w:rsidR="00CB0ED3" w:rsidRDefault="00CB0ED3" w:rsidP="00CB0ED3">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6B849164" w14:textId="7B814227" w:rsidR="00CB0ED3" w:rsidRDefault="00CB0ED3" w:rsidP="00CB0ED3">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57CA9D04" w14:textId="6054629A"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2F68DAE" w14:textId="5D64E920"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7A5FCEB" w14:textId="3A3169CF" w:rsidR="00CB0ED3" w:rsidRDefault="00CB0ED3" w:rsidP="00CB0ED3">
            <w:pPr>
              <w:jc w:val="right"/>
              <w:rPr>
                <w:color w:val="000000"/>
                <w:sz w:val="20"/>
                <w:szCs w:val="20"/>
              </w:rPr>
            </w:pPr>
            <w:r>
              <w:rPr>
                <w:color w:val="000000"/>
                <w:sz w:val="20"/>
                <w:szCs w:val="20"/>
              </w:rPr>
              <w:t>0.964</w:t>
            </w:r>
          </w:p>
        </w:tc>
        <w:tc>
          <w:tcPr>
            <w:tcW w:w="768" w:type="dxa"/>
            <w:tcBorders>
              <w:top w:val="nil"/>
              <w:left w:val="nil"/>
              <w:bottom w:val="nil"/>
              <w:right w:val="nil"/>
            </w:tcBorders>
            <w:shd w:val="clear" w:color="auto" w:fill="auto"/>
            <w:noWrap/>
            <w:vAlign w:val="bottom"/>
            <w:hideMark/>
          </w:tcPr>
          <w:p w14:paraId="55E47965" w14:textId="7DEA8D81"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11F01C" w14:textId="7CE77155" w:rsidR="00CB0ED3" w:rsidRDefault="00CB0ED3" w:rsidP="00CB0ED3">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0035228A" w14:textId="04BBF808" w:rsidR="00CB0ED3" w:rsidRDefault="00CB0ED3" w:rsidP="00CB0ED3">
            <w:pPr>
              <w:jc w:val="right"/>
              <w:rPr>
                <w:color w:val="000000"/>
                <w:sz w:val="20"/>
                <w:szCs w:val="20"/>
              </w:rPr>
            </w:pPr>
            <w:r>
              <w:rPr>
                <w:color w:val="000000"/>
                <w:sz w:val="20"/>
                <w:szCs w:val="20"/>
              </w:rPr>
              <w:t>0.268</w:t>
            </w:r>
          </w:p>
        </w:tc>
        <w:tc>
          <w:tcPr>
            <w:tcW w:w="768" w:type="dxa"/>
            <w:tcBorders>
              <w:top w:val="nil"/>
              <w:left w:val="nil"/>
              <w:bottom w:val="nil"/>
              <w:right w:val="nil"/>
            </w:tcBorders>
            <w:shd w:val="clear" w:color="auto" w:fill="auto"/>
            <w:noWrap/>
            <w:vAlign w:val="bottom"/>
            <w:hideMark/>
          </w:tcPr>
          <w:p w14:paraId="117ABCBC" w14:textId="05F3DC07" w:rsidR="00CB0ED3" w:rsidRDefault="00CB0ED3" w:rsidP="00CB0ED3">
            <w:pPr>
              <w:jc w:val="right"/>
              <w:rPr>
                <w:color w:val="000000"/>
                <w:sz w:val="20"/>
                <w:szCs w:val="20"/>
              </w:rPr>
            </w:pPr>
            <w:r>
              <w:rPr>
                <w:color w:val="000000"/>
                <w:sz w:val="20"/>
                <w:szCs w:val="20"/>
              </w:rPr>
              <w:t>0.006</w:t>
            </w:r>
          </w:p>
        </w:tc>
      </w:tr>
      <w:tr w:rsidR="00CB0ED3" w14:paraId="79ACF053" w14:textId="77777777" w:rsidTr="00AA3295">
        <w:trPr>
          <w:trHeight w:val="320"/>
        </w:trPr>
        <w:tc>
          <w:tcPr>
            <w:tcW w:w="1176" w:type="dxa"/>
            <w:tcBorders>
              <w:top w:val="nil"/>
              <w:left w:val="nil"/>
              <w:bottom w:val="nil"/>
              <w:right w:val="nil"/>
            </w:tcBorders>
            <w:shd w:val="clear" w:color="auto" w:fill="auto"/>
            <w:noWrap/>
            <w:vAlign w:val="bottom"/>
            <w:hideMark/>
          </w:tcPr>
          <w:p w14:paraId="27384916"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58A7E9" w14:textId="77777777" w:rsidR="00CB0ED3" w:rsidRDefault="00CB0ED3" w:rsidP="00CB0ED3">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52E6419" w14:textId="51620527" w:rsidR="00CB0ED3" w:rsidRDefault="00CB0ED3" w:rsidP="00CB0ED3">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FC2CD5F" w14:textId="39A50A77" w:rsidR="00CB0ED3" w:rsidRDefault="00CB0ED3" w:rsidP="00CB0ED3">
            <w:pPr>
              <w:jc w:val="right"/>
              <w:rPr>
                <w:color w:val="000000"/>
                <w:sz w:val="20"/>
                <w:szCs w:val="20"/>
              </w:rPr>
            </w:pPr>
            <w:r>
              <w:rPr>
                <w:color w:val="000000"/>
                <w:sz w:val="20"/>
                <w:szCs w:val="20"/>
              </w:rPr>
              <w:t>0.751</w:t>
            </w:r>
          </w:p>
        </w:tc>
        <w:tc>
          <w:tcPr>
            <w:tcW w:w="768" w:type="dxa"/>
            <w:tcBorders>
              <w:top w:val="nil"/>
              <w:left w:val="nil"/>
              <w:bottom w:val="nil"/>
              <w:right w:val="nil"/>
            </w:tcBorders>
            <w:shd w:val="clear" w:color="auto" w:fill="auto"/>
            <w:noWrap/>
            <w:vAlign w:val="bottom"/>
            <w:hideMark/>
          </w:tcPr>
          <w:p w14:paraId="6F4DC1DA" w14:textId="10435DF6"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12AA48" w14:textId="3C017ACC" w:rsidR="00CB0ED3" w:rsidRDefault="00CB0ED3" w:rsidP="00CB0ED3">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81B36CB" w14:textId="2298CD0B" w:rsidR="00CB0ED3" w:rsidRDefault="00CB0ED3" w:rsidP="00CB0ED3">
            <w:pPr>
              <w:jc w:val="right"/>
              <w:rPr>
                <w:color w:val="000000"/>
                <w:sz w:val="20"/>
                <w:szCs w:val="20"/>
              </w:rPr>
            </w:pPr>
            <w:r>
              <w:rPr>
                <w:color w:val="000000"/>
                <w:sz w:val="20"/>
                <w:szCs w:val="20"/>
              </w:rPr>
              <w:t>0.266</w:t>
            </w:r>
          </w:p>
        </w:tc>
        <w:tc>
          <w:tcPr>
            <w:tcW w:w="768" w:type="dxa"/>
            <w:tcBorders>
              <w:top w:val="nil"/>
              <w:left w:val="nil"/>
              <w:bottom w:val="nil"/>
              <w:right w:val="nil"/>
            </w:tcBorders>
            <w:shd w:val="clear" w:color="auto" w:fill="auto"/>
            <w:noWrap/>
            <w:vAlign w:val="bottom"/>
            <w:hideMark/>
          </w:tcPr>
          <w:p w14:paraId="1711CAC9" w14:textId="7E86AA7C"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09D4DF9" w14:textId="3F6F3E0C" w:rsidR="00CB0ED3" w:rsidRDefault="00CB0ED3" w:rsidP="00CB0ED3">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DC511D6" w14:textId="4E78C311" w:rsidR="00CB0ED3" w:rsidRDefault="00CB0ED3" w:rsidP="00CB0ED3">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1C4A2A6B" w14:textId="7CFB9851"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49FF05" w14:textId="769CE845" w:rsidR="00CB0ED3" w:rsidRDefault="00CB0ED3" w:rsidP="00CB0ED3">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5C94CD8" w14:textId="795D92BD" w:rsidR="00CB0ED3" w:rsidRDefault="00CB0ED3" w:rsidP="00CB0ED3">
            <w:pPr>
              <w:jc w:val="right"/>
              <w:rPr>
                <w:color w:val="000000"/>
                <w:sz w:val="20"/>
                <w:szCs w:val="20"/>
              </w:rPr>
            </w:pPr>
            <w:r>
              <w:rPr>
                <w:color w:val="000000"/>
                <w:sz w:val="20"/>
                <w:szCs w:val="20"/>
              </w:rPr>
              <w:t>0.541</w:t>
            </w:r>
          </w:p>
        </w:tc>
        <w:tc>
          <w:tcPr>
            <w:tcW w:w="768" w:type="dxa"/>
            <w:tcBorders>
              <w:top w:val="nil"/>
              <w:left w:val="nil"/>
              <w:bottom w:val="nil"/>
              <w:right w:val="nil"/>
            </w:tcBorders>
            <w:shd w:val="clear" w:color="auto" w:fill="auto"/>
            <w:noWrap/>
            <w:vAlign w:val="bottom"/>
            <w:hideMark/>
          </w:tcPr>
          <w:p w14:paraId="1695AEC6" w14:textId="68E358ED"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5E8D2B" w14:textId="076FA2AD" w:rsidR="00CB0ED3" w:rsidRDefault="00CB0ED3" w:rsidP="00CB0ED3">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515A56AE" w14:textId="55AB3698" w:rsidR="00CB0ED3" w:rsidRDefault="00CB0ED3" w:rsidP="00CB0ED3">
            <w:pPr>
              <w:jc w:val="right"/>
              <w:rPr>
                <w:color w:val="000000"/>
                <w:sz w:val="20"/>
                <w:szCs w:val="20"/>
              </w:rPr>
            </w:pPr>
            <w:r>
              <w:rPr>
                <w:color w:val="000000"/>
                <w:sz w:val="20"/>
                <w:szCs w:val="20"/>
              </w:rPr>
              <w:t>0.461</w:t>
            </w:r>
          </w:p>
        </w:tc>
        <w:tc>
          <w:tcPr>
            <w:tcW w:w="768" w:type="dxa"/>
            <w:tcBorders>
              <w:top w:val="nil"/>
              <w:left w:val="nil"/>
              <w:bottom w:val="nil"/>
              <w:right w:val="nil"/>
            </w:tcBorders>
            <w:shd w:val="clear" w:color="auto" w:fill="auto"/>
            <w:noWrap/>
            <w:vAlign w:val="bottom"/>
            <w:hideMark/>
          </w:tcPr>
          <w:p w14:paraId="11BC238F" w14:textId="3948450C" w:rsidR="00CB0ED3" w:rsidRDefault="00CB0ED3" w:rsidP="00CB0ED3">
            <w:pPr>
              <w:jc w:val="right"/>
              <w:rPr>
                <w:color w:val="000000"/>
                <w:sz w:val="20"/>
                <w:szCs w:val="20"/>
              </w:rPr>
            </w:pPr>
            <w:r>
              <w:rPr>
                <w:color w:val="000000"/>
                <w:sz w:val="20"/>
                <w:szCs w:val="20"/>
              </w:rPr>
              <w:t>0.003</w:t>
            </w:r>
          </w:p>
        </w:tc>
      </w:tr>
      <w:tr w:rsidR="00CB0ED3" w14:paraId="15D471DD" w14:textId="77777777" w:rsidTr="00AA3295">
        <w:trPr>
          <w:trHeight w:val="320"/>
        </w:trPr>
        <w:tc>
          <w:tcPr>
            <w:tcW w:w="1176" w:type="dxa"/>
            <w:tcBorders>
              <w:top w:val="nil"/>
              <w:left w:val="nil"/>
              <w:bottom w:val="nil"/>
              <w:right w:val="nil"/>
            </w:tcBorders>
            <w:shd w:val="clear" w:color="auto" w:fill="auto"/>
            <w:noWrap/>
            <w:vAlign w:val="bottom"/>
            <w:hideMark/>
          </w:tcPr>
          <w:p w14:paraId="7A8C9603"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63E6A6" w14:textId="77777777" w:rsidR="00CB0ED3" w:rsidRDefault="00CB0ED3" w:rsidP="00CB0ED3">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9946E5B" w14:textId="6B1338B3"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5A833C" w14:textId="67D07BE9" w:rsidR="00CB0ED3" w:rsidRDefault="00CB0ED3" w:rsidP="00CB0ED3">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61695708" w14:textId="45DD4489"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3CBDA0" w14:textId="5EAC9B6B" w:rsidR="00CB0ED3" w:rsidRDefault="00CB0ED3" w:rsidP="00CB0ED3">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3243764C" w14:textId="27D07D29" w:rsidR="00CB0ED3" w:rsidRDefault="00CB0ED3" w:rsidP="00CB0ED3">
            <w:pPr>
              <w:jc w:val="right"/>
              <w:rPr>
                <w:color w:val="000000"/>
                <w:sz w:val="20"/>
                <w:szCs w:val="20"/>
              </w:rPr>
            </w:pPr>
            <w:r>
              <w:rPr>
                <w:color w:val="000000"/>
                <w:sz w:val="20"/>
                <w:szCs w:val="20"/>
              </w:rPr>
              <w:t>0.338</w:t>
            </w:r>
          </w:p>
        </w:tc>
        <w:tc>
          <w:tcPr>
            <w:tcW w:w="768" w:type="dxa"/>
            <w:tcBorders>
              <w:top w:val="nil"/>
              <w:left w:val="nil"/>
              <w:bottom w:val="nil"/>
              <w:right w:val="nil"/>
            </w:tcBorders>
            <w:shd w:val="clear" w:color="auto" w:fill="auto"/>
            <w:noWrap/>
            <w:vAlign w:val="bottom"/>
            <w:hideMark/>
          </w:tcPr>
          <w:p w14:paraId="611E0CE9" w14:textId="32BBE01F" w:rsidR="00CB0ED3" w:rsidRDefault="00CB0ED3" w:rsidP="00CB0ED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8E2358A" w14:textId="2EA80DFA" w:rsidR="00CB0ED3" w:rsidRDefault="00CB0ED3" w:rsidP="00CB0ED3">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92CC260" w14:textId="5B3A25AB" w:rsidR="00CB0ED3" w:rsidRDefault="00CB0ED3" w:rsidP="00CB0ED3">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4529D582" w14:textId="5908292E"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F0C726" w14:textId="66685049" w:rsidR="00CB0ED3" w:rsidRDefault="00CB0ED3" w:rsidP="00CB0ED3">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014DE5C" w14:textId="19D39D81" w:rsidR="00CB0ED3" w:rsidRDefault="00CB0ED3" w:rsidP="00CB0ED3">
            <w:pPr>
              <w:jc w:val="right"/>
              <w:rPr>
                <w:color w:val="000000"/>
                <w:sz w:val="20"/>
                <w:szCs w:val="20"/>
              </w:rPr>
            </w:pPr>
            <w:r>
              <w:rPr>
                <w:color w:val="000000"/>
                <w:sz w:val="20"/>
                <w:szCs w:val="20"/>
              </w:rPr>
              <w:t>0.902</w:t>
            </w:r>
          </w:p>
        </w:tc>
        <w:tc>
          <w:tcPr>
            <w:tcW w:w="768" w:type="dxa"/>
            <w:tcBorders>
              <w:top w:val="nil"/>
              <w:left w:val="nil"/>
              <w:bottom w:val="nil"/>
              <w:right w:val="nil"/>
            </w:tcBorders>
            <w:shd w:val="clear" w:color="auto" w:fill="auto"/>
            <w:noWrap/>
            <w:vAlign w:val="bottom"/>
            <w:hideMark/>
          </w:tcPr>
          <w:p w14:paraId="1BA35C72" w14:textId="5E9CAA03"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1E3FE7" w14:textId="35B5D9BF" w:rsidR="00CB0ED3" w:rsidRDefault="00CB0ED3" w:rsidP="00CB0ED3">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4866D7D" w14:textId="75F90EA7" w:rsidR="00CB0ED3" w:rsidRDefault="00CB0ED3" w:rsidP="00CB0ED3">
            <w:pPr>
              <w:jc w:val="right"/>
              <w:rPr>
                <w:color w:val="000000"/>
                <w:sz w:val="20"/>
                <w:szCs w:val="20"/>
              </w:rPr>
            </w:pPr>
            <w:r>
              <w:rPr>
                <w:color w:val="000000"/>
                <w:sz w:val="20"/>
                <w:szCs w:val="20"/>
              </w:rPr>
              <w:t>0.462</w:t>
            </w:r>
          </w:p>
        </w:tc>
        <w:tc>
          <w:tcPr>
            <w:tcW w:w="768" w:type="dxa"/>
            <w:tcBorders>
              <w:top w:val="nil"/>
              <w:left w:val="nil"/>
              <w:bottom w:val="nil"/>
              <w:right w:val="nil"/>
            </w:tcBorders>
            <w:shd w:val="clear" w:color="auto" w:fill="auto"/>
            <w:noWrap/>
            <w:vAlign w:val="bottom"/>
            <w:hideMark/>
          </w:tcPr>
          <w:p w14:paraId="442335D1" w14:textId="0C8582A1" w:rsidR="00CB0ED3" w:rsidRDefault="00CB0ED3" w:rsidP="00CB0ED3">
            <w:pPr>
              <w:jc w:val="right"/>
              <w:rPr>
                <w:color w:val="000000"/>
                <w:sz w:val="20"/>
                <w:szCs w:val="20"/>
              </w:rPr>
            </w:pPr>
            <w:r>
              <w:rPr>
                <w:color w:val="000000"/>
                <w:sz w:val="20"/>
                <w:szCs w:val="20"/>
              </w:rPr>
              <w:t>0.002</w:t>
            </w:r>
          </w:p>
        </w:tc>
      </w:tr>
      <w:tr w:rsidR="00CB0ED3" w14:paraId="22E955E5" w14:textId="77777777" w:rsidTr="00AA3295">
        <w:trPr>
          <w:trHeight w:val="320"/>
        </w:trPr>
        <w:tc>
          <w:tcPr>
            <w:tcW w:w="1176" w:type="dxa"/>
            <w:tcBorders>
              <w:top w:val="nil"/>
              <w:left w:val="nil"/>
              <w:bottom w:val="nil"/>
              <w:right w:val="nil"/>
            </w:tcBorders>
            <w:shd w:val="clear" w:color="auto" w:fill="auto"/>
            <w:noWrap/>
            <w:vAlign w:val="bottom"/>
            <w:hideMark/>
          </w:tcPr>
          <w:p w14:paraId="1220E415"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2DAC755" w14:textId="77777777" w:rsidR="00CB0ED3" w:rsidRDefault="00CB0ED3" w:rsidP="00CB0ED3">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E1DC937" w14:textId="50B7A52A" w:rsidR="00CB0ED3" w:rsidRDefault="00CB0ED3" w:rsidP="00CB0ED3">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07BD2BCF" w14:textId="57EF157A" w:rsidR="00CB0ED3" w:rsidRDefault="00CB0ED3" w:rsidP="00CB0ED3">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7F465C2B" w14:textId="4FF3E78B" w:rsidR="00CB0ED3" w:rsidRDefault="00CB0ED3" w:rsidP="00CB0ED3">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94AD1C2" w14:textId="298B2F04" w:rsidR="00CB0ED3" w:rsidRDefault="00CB0ED3" w:rsidP="00CB0ED3">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65DEE4B" w14:textId="5CFC9474" w:rsidR="00CB0ED3" w:rsidRDefault="00CB0ED3" w:rsidP="00CB0ED3">
            <w:pPr>
              <w:jc w:val="right"/>
              <w:rPr>
                <w:color w:val="000000"/>
                <w:sz w:val="20"/>
                <w:szCs w:val="20"/>
              </w:rPr>
            </w:pPr>
            <w:r>
              <w:rPr>
                <w:color w:val="000000"/>
                <w:sz w:val="20"/>
                <w:szCs w:val="20"/>
              </w:rPr>
              <w:t>0.642</w:t>
            </w:r>
          </w:p>
        </w:tc>
        <w:tc>
          <w:tcPr>
            <w:tcW w:w="768" w:type="dxa"/>
            <w:tcBorders>
              <w:top w:val="nil"/>
              <w:left w:val="nil"/>
              <w:bottom w:val="nil"/>
              <w:right w:val="nil"/>
            </w:tcBorders>
            <w:shd w:val="clear" w:color="auto" w:fill="auto"/>
            <w:noWrap/>
            <w:vAlign w:val="bottom"/>
            <w:hideMark/>
          </w:tcPr>
          <w:p w14:paraId="6C8BA5E2" w14:textId="5C9D6E29"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67CBDB" w14:textId="4888CB77" w:rsidR="00CB0ED3" w:rsidRDefault="00CB0ED3" w:rsidP="00CB0ED3">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D047B08" w14:textId="6B2A668D" w:rsidR="00CB0ED3" w:rsidRDefault="00CB0ED3" w:rsidP="00CB0ED3">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0FF0C005" w14:textId="110D10DA"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0338B0" w14:textId="2DDB3757" w:rsidR="00CB0ED3" w:rsidRDefault="00CB0ED3" w:rsidP="00CB0ED3">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70A28C9B" w14:textId="2ABA4691" w:rsidR="00CB0ED3" w:rsidRDefault="00CB0ED3" w:rsidP="00CB0ED3">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26F8F9E4" w14:textId="5FB4EBE1" w:rsidR="00CB0ED3" w:rsidRDefault="00CB0ED3" w:rsidP="00CB0ED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89762BD" w14:textId="743E1FF9" w:rsidR="00CB0ED3" w:rsidRDefault="00CB0ED3" w:rsidP="00CB0ED3">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22B3CE5E" w14:textId="347588E8" w:rsidR="00CB0ED3" w:rsidRDefault="00CB0ED3" w:rsidP="00CB0ED3">
            <w:pPr>
              <w:jc w:val="right"/>
              <w:rPr>
                <w:color w:val="000000"/>
                <w:sz w:val="20"/>
                <w:szCs w:val="20"/>
              </w:rPr>
            </w:pPr>
            <w:r>
              <w:rPr>
                <w:color w:val="000000"/>
                <w:sz w:val="20"/>
                <w:szCs w:val="20"/>
              </w:rPr>
              <w:t>0.462</w:t>
            </w:r>
          </w:p>
        </w:tc>
        <w:tc>
          <w:tcPr>
            <w:tcW w:w="768" w:type="dxa"/>
            <w:tcBorders>
              <w:top w:val="nil"/>
              <w:left w:val="nil"/>
              <w:bottom w:val="nil"/>
              <w:right w:val="nil"/>
            </w:tcBorders>
            <w:shd w:val="clear" w:color="auto" w:fill="auto"/>
            <w:noWrap/>
            <w:vAlign w:val="bottom"/>
            <w:hideMark/>
          </w:tcPr>
          <w:p w14:paraId="6700C097" w14:textId="7A2E48AE" w:rsidR="00CB0ED3" w:rsidRDefault="00CB0ED3" w:rsidP="00CB0ED3">
            <w:pPr>
              <w:jc w:val="right"/>
              <w:rPr>
                <w:color w:val="000000"/>
                <w:sz w:val="20"/>
                <w:szCs w:val="20"/>
              </w:rPr>
            </w:pPr>
            <w:r>
              <w:rPr>
                <w:color w:val="000000"/>
                <w:sz w:val="20"/>
                <w:szCs w:val="20"/>
              </w:rPr>
              <w:t>0.002</w:t>
            </w:r>
          </w:p>
        </w:tc>
      </w:tr>
      <w:tr w:rsidR="00CB0ED3" w14:paraId="06161776" w14:textId="77777777" w:rsidTr="00AA3295">
        <w:trPr>
          <w:trHeight w:val="320"/>
        </w:trPr>
        <w:tc>
          <w:tcPr>
            <w:tcW w:w="1176" w:type="dxa"/>
            <w:tcBorders>
              <w:top w:val="nil"/>
              <w:left w:val="nil"/>
              <w:bottom w:val="nil"/>
              <w:right w:val="nil"/>
            </w:tcBorders>
            <w:shd w:val="clear" w:color="auto" w:fill="auto"/>
            <w:noWrap/>
            <w:vAlign w:val="bottom"/>
            <w:hideMark/>
          </w:tcPr>
          <w:p w14:paraId="6C910163" w14:textId="77777777" w:rsidR="00CB0ED3" w:rsidRDefault="00CB0ED3" w:rsidP="00CB0ED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1EF32F2" w14:textId="77777777" w:rsidR="00CB0ED3" w:rsidRDefault="00CB0ED3" w:rsidP="00CB0ED3">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0822AAF" w14:textId="17377C54" w:rsidR="00CB0ED3" w:rsidRDefault="00CB0ED3" w:rsidP="00CB0ED3">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3CAC3AF7" w14:textId="6B06CF6A" w:rsidR="00CB0ED3" w:rsidRDefault="00CB0ED3" w:rsidP="00CB0ED3">
            <w:pPr>
              <w:jc w:val="right"/>
              <w:rPr>
                <w:color w:val="000000"/>
                <w:sz w:val="20"/>
                <w:szCs w:val="20"/>
              </w:rPr>
            </w:pPr>
            <w:r>
              <w:rPr>
                <w:color w:val="000000"/>
                <w:sz w:val="20"/>
                <w:szCs w:val="20"/>
              </w:rPr>
              <w:t>0.106</w:t>
            </w:r>
          </w:p>
        </w:tc>
        <w:tc>
          <w:tcPr>
            <w:tcW w:w="768" w:type="dxa"/>
            <w:tcBorders>
              <w:top w:val="nil"/>
              <w:left w:val="nil"/>
              <w:bottom w:val="nil"/>
              <w:right w:val="nil"/>
            </w:tcBorders>
            <w:shd w:val="clear" w:color="auto" w:fill="auto"/>
            <w:noWrap/>
            <w:vAlign w:val="bottom"/>
            <w:hideMark/>
          </w:tcPr>
          <w:p w14:paraId="365EE2D5" w14:textId="3D07A82E" w:rsidR="00CB0ED3" w:rsidRDefault="00CB0ED3" w:rsidP="00CB0ED3">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130DBB2" w14:textId="483F6FE5" w:rsidR="00CB0ED3" w:rsidRDefault="00CB0ED3" w:rsidP="00CB0ED3">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7A691F17" w14:textId="5DE8ECD5" w:rsidR="00CB0ED3" w:rsidRDefault="00CB0ED3" w:rsidP="00CB0ED3">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2DDAB70F" w14:textId="67520064" w:rsidR="00CB0ED3" w:rsidRDefault="00CB0ED3" w:rsidP="00CB0ED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AAD7E1C" w14:textId="42529EE4" w:rsidR="00CB0ED3" w:rsidRDefault="00CB0ED3" w:rsidP="00CB0ED3">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CCBD2D6" w14:textId="6BB85860" w:rsidR="00CB0ED3" w:rsidRDefault="00CB0ED3" w:rsidP="00CB0ED3">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22642D57" w14:textId="54EC13BE" w:rsidR="00CB0ED3" w:rsidRDefault="00CB0ED3" w:rsidP="00CB0ED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2C3506" w14:textId="408ABBC6" w:rsidR="00CB0ED3" w:rsidRDefault="00CB0ED3" w:rsidP="00CB0ED3">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52FB1FE3" w14:textId="696D232E" w:rsidR="00CB0ED3" w:rsidRDefault="00CB0ED3" w:rsidP="00CB0ED3">
            <w:pPr>
              <w:jc w:val="right"/>
              <w:rPr>
                <w:color w:val="000000"/>
                <w:sz w:val="20"/>
                <w:szCs w:val="20"/>
              </w:rPr>
            </w:pPr>
            <w:r>
              <w:rPr>
                <w:color w:val="000000"/>
                <w:sz w:val="20"/>
                <w:szCs w:val="20"/>
              </w:rPr>
              <w:t>0.178</w:t>
            </w:r>
          </w:p>
        </w:tc>
        <w:tc>
          <w:tcPr>
            <w:tcW w:w="768" w:type="dxa"/>
            <w:tcBorders>
              <w:top w:val="nil"/>
              <w:left w:val="nil"/>
              <w:bottom w:val="nil"/>
              <w:right w:val="nil"/>
            </w:tcBorders>
            <w:shd w:val="clear" w:color="auto" w:fill="auto"/>
            <w:noWrap/>
            <w:vAlign w:val="bottom"/>
            <w:hideMark/>
          </w:tcPr>
          <w:p w14:paraId="07033949" w14:textId="5BD4B129" w:rsidR="00CB0ED3" w:rsidRDefault="00CB0ED3" w:rsidP="00CB0ED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1B955A0" w14:textId="75A557FB" w:rsidR="00CB0ED3" w:rsidRDefault="00CB0ED3" w:rsidP="00CB0ED3">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E16A620" w14:textId="54A03056" w:rsidR="00CB0ED3" w:rsidRDefault="00CB0ED3" w:rsidP="00CB0ED3">
            <w:pPr>
              <w:jc w:val="right"/>
              <w:rPr>
                <w:color w:val="000000"/>
                <w:sz w:val="20"/>
                <w:szCs w:val="20"/>
              </w:rPr>
            </w:pPr>
            <w:r>
              <w:rPr>
                <w:color w:val="000000"/>
                <w:sz w:val="20"/>
                <w:szCs w:val="20"/>
              </w:rPr>
              <w:t>0.476</w:t>
            </w:r>
          </w:p>
        </w:tc>
        <w:tc>
          <w:tcPr>
            <w:tcW w:w="768" w:type="dxa"/>
            <w:tcBorders>
              <w:top w:val="nil"/>
              <w:left w:val="nil"/>
              <w:bottom w:val="nil"/>
              <w:right w:val="nil"/>
            </w:tcBorders>
            <w:shd w:val="clear" w:color="auto" w:fill="auto"/>
            <w:noWrap/>
            <w:vAlign w:val="bottom"/>
            <w:hideMark/>
          </w:tcPr>
          <w:p w14:paraId="25F01303" w14:textId="4DE64B2F" w:rsidR="00CB0ED3" w:rsidRDefault="00CB0ED3" w:rsidP="00CB0ED3">
            <w:pPr>
              <w:jc w:val="right"/>
              <w:rPr>
                <w:color w:val="000000"/>
                <w:sz w:val="20"/>
                <w:szCs w:val="20"/>
              </w:rPr>
            </w:pPr>
            <w:r>
              <w:rPr>
                <w:color w:val="000000"/>
                <w:sz w:val="20"/>
                <w:szCs w:val="20"/>
              </w:rPr>
              <w:t>0.001</w:t>
            </w:r>
          </w:p>
        </w:tc>
      </w:tr>
      <w:tr w:rsidR="00CB0ED3" w14:paraId="2CC6B5C3" w14:textId="77777777" w:rsidTr="00AA3295">
        <w:trPr>
          <w:trHeight w:val="340"/>
        </w:trPr>
        <w:tc>
          <w:tcPr>
            <w:tcW w:w="1176" w:type="dxa"/>
            <w:tcBorders>
              <w:top w:val="nil"/>
              <w:left w:val="nil"/>
              <w:bottom w:val="single" w:sz="12" w:space="0" w:color="auto"/>
              <w:right w:val="nil"/>
            </w:tcBorders>
            <w:shd w:val="clear" w:color="auto" w:fill="auto"/>
            <w:noWrap/>
            <w:vAlign w:val="bottom"/>
            <w:hideMark/>
          </w:tcPr>
          <w:p w14:paraId="188EB448" w14:textId="77777777" w:rsidR="00CB0ED3" w:rsidRDefault="00CB0ED3" w:rsidP="00CB0ED3">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35A6DA4A" w14:textId="77777777" w:rsidR="00CB0ED3" w:rsidRDefault="00CB0ED3" w:rsidP="00CB0ED3">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5D112232" w14:textId="0A5A6F35" w:rsidR="00CB0ED3" w:rsidRDefault="00CB0ED3" w:rsidP="00CB0ED3">
            <w:pPr>
              <w:jc w:val="right"/>
              <w:rPr>
                <w:color w:val="000000"/>
                <w:sz w:val="20"/>
                <w:szCs w:val="20"/>
              </w:rPr>
            </w:pPr>
            <w:r>
              <w:rPr>
                <w:color w:val="000000"/>
                <w:sz w:val="20"/>
                <w:szCs w:val="20"/>
              </w:rPr>
              <w:t>0.084</w:t>
            </w:r>
          </w:p>
        </w:tc>
        <w:tc>
          <w:tcPr>
            <w:tcW w:w="768" w:type="dxa"/>
            <w:tcBorders>
              <w:top w:val="nil"/>
              <w:left w:val="nil"/>
              <w:bottom w:val="single" w:sz="12" w:space="0" w:color="auto"/>
              <w:right w:val="nil"/>
            </w:tcBorders>
            <w:shd w:val="clear" w:color="auto" w:fill="auto"/>
            <w:noWrap/>
            <w:vAlign w:val="bottom"/>
            <w:hideMark/>
          </w:tcPr>
          <w:p w14:paraId="7559C5C8" w14:textId="399B1F98" w:rsidR="00CB0ED3" w:rsidRDefault="00CB0ED3" w:rsidP="00CB0ED3">
            <w:pPr>
              <w:jc w:val="right"/>
              <w:rPr>
                <w:color w:val="000000"/>
                <w:sz w:val="20"/>
                <w:szCs w:val="20"/>
              </w:rPr>
            </w:pPr>
            <w:r>
              <w:rPr>
                <w:color w:val="000000"/>
                <w:sz w:val="20"/>
                <w:szCs w:val="20"/>
              </w:rPr>
              <w:t>0.106</w:t>
            </w:r>
          </w:p>
        </w:tc>
        <w:tc>
          <w:tcPr>
            <w:tcW w:w="768" w:type="dxa"/>
            <w:tcBorders>
              <w:top w:val="nil"/>
              <w:left w:val="nil"/>
              <w:bottom w:val="single" w:sz="12" w:space="0" w:color="auto"/>
              <w:right w:val="nil"/>
            </w:tcBorders>
            <w:shd w:val="clear" w:color="auto" w:fill="auto"/>
            <w:noWrap/>
            <w:vAlign w:val="bottom"/>
            <w:hideMark/>
          </w:tcPr>
          <w:p w14:paraId="10057FE5" w14:textId="23B73810" w:rsidR="00CB0ED3" w:rsidRDefault="00CB0ED3" w:rsidP="00CB0ED3">
            <w:pPr>
              <w:jc w:val="right"/>
              <w:rPr>
                <w:color w:val="000000"/>
                <w:sz w:val="20"/>
                <w:szCs w:val="20"/>
              </w:rPr>
            </w:pPr>
            <w:r>
              <w:rPr>
                <w:color w:val="000000"/>
                <w:sz w:val="20"/>
                <w:szCs w:val="20"/>
              </w:rPr>
              <w:t>0.007</w:t>
            </w:r>
          </w:p>
        </w:tc>
        <w:tc>
          <w:tcPr>
            <w:tcW w:w="768" w:type="dxa"/>
            <w:tcBorders>
              <w:top w:val="nil"/>
              <w:left w:val="nil"/>
              <w:bottom w:val="single" w:sz="12" w:space="0" w:color="auto"/>
              <w:right w:val="nil"/>
            </w:tcBorders>
            <w:shd w:val="clear" w:color="auto" w:fill="auto"/>
            <w:noWrap/>
            <w:vAlign w:val="bottom"/>
            <w:hideMark/>
          </w:tcPr>
          <w:p w14:paraId="3E083FF2" w14:textId="45490C5F" w:rsidR="00CB0ED3" w:rsidRDefault="00CB0ED3" w:rsidP="00CB0ED3">
            <w:pPr>
              <w:jc w:val="right"/>
              <w:rPr>
                <w:color w:val="000000"/>
                <w:sz w:val="20"/>
                <w:szCs w:val="20"/>
              </w:rPr>
            </w:pPr>
            <w:r>
              <w:rPr>
                <w:color w:val="000000"/>
                <w:sz w:val="20"/>
                <w:szCs w:val="20"/>
              </w:rPr>
              <w:t>-0.028</w:t>
            </w:r>
          </w:p>
        </w:tc>
        <w:tc>
          <w:tcPr>
            <w:tcW w:w="768" w:type="dxa"/>
            <w:tcBorders>
              <w:top w:val="nil"/>
              <w:left w:val="nil"/>
              <w:bottom w:val="single" w:sz="12" w:space="0" w:color="auto"/>
              <w:right w:val="nil"/>
            </w:tcBorders>
            <w:shd w:val="clear" w:color="auto" w:fill="auto"/>
            <w:noWrap/>
            <w:vAlign w:val="bottom"/>
            <w:hideMark/>
          </w:tcPr>
          <w:p w14:paraId="5D89F2E4" w14:textId="437F8071" w:rsidR="00CB0ED3" w:rsidRDefault="00CB0ED3" w:rsidP="00CB0ED3">
            <w:pPr>
              <w:jc w:val="right"/>
              <w:rPr>
                <w:color w:val="000000"/>
                <w:sz w:val="20"/>
                <w:szCs w:val="20"/>
              </w:rPr>
            </w:pPr>
            <w:r>
              <w:rPr>
                <w:color w:val="000000"/>
                <w:sz w:val="20"/>
                <w:szCs w:val="20"/>
              </w:rPr>
              <w:t>0.569</w:t>
            </w:r>
          </w:p>
        </w:tc>
        <w:tc>
          <w:tcPr>
            <w:tcW w:w="768" w:type="dxa"/>
            <w:tcBorders>
              <w:top w:val="nil"/>
              <w:left w:val="nil"/>
              <w:bottom w:val="single" w:sz="12" w:space="0" w:color="auto"/>
              <w:right w:val="nil"/>
            </w:tcBorders>
            <w:shd w:val="clear" w:color="auto" w:fill="auto"/>
            <w:noWrap/>
            <w:vAlign w:val="bottom"/>
            <w:hideMark/>
          </w:tcPr>
          <w:p w14:paraId="1037F5B7" w14:textId="01F5BCE0"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4DDA1BA3" w14:textId="10CE4406" w:rsidR="00CB0ED3" w:rsidRDefault="00CB0ED3" w:rsidP="00CB0ED3">
            <w:pPr>
              <w:jc w:val="right"/>
              <w:rPr>
                <w:color w:val="000000"/>
                <w:sz w:val="20"/>
                <w:szCs w:val="20"/>
              </w:rPr>
            </w:pPr>
            <w:r>
              <w:rPr>
                <w:color w:val="000000"/>
                <w:sz w:val="20"/>
                <w:szCs w:val="20"/>
              </w:rPr>
              <w:t>-0.024</w:t>
            </w:r>
          </w:p>
        </w:tc>
        <w:tc>
          <w:tcPr>
            <w:tcW w:w="768" w:type="dxa"/>
            <w:tcBorders>
              <w:top w:val="nil"/>
              <w:left w:val="nil"/>
              <w:bottom w:val="single" w:sz="12" w:space="0" w:color="auto"/>
              <w:right w:val="nil"/>
            </w:tcBorders>
            <w:shd w:val="clear" w:color="auto" w:fill="auto"/>
            <w:noWrap/>
            <w:vAlign w:val="bottom"/>
            <w:hideMark/>
          </w:tcPr>
          <w:p w14:paraId="436311DC" w14:textId="28E5C3DD" w:rsidR="00CB0ED3" w:rsidRDefault="00CB0ED3" w:rsidP="00CB0ED3">
            <w:pPr>
              <w:jc w:val="right"/>
              <w:rPr>
                <w:color w:val="000000"/>
                <w:sz w:val="20"/>
                <w:szCs w:val="20"/>
              </w:rPr>
            </w:pPr>
            <w:r>
              <w:rPr>
                <w:color w:val="000000"/>
                <w:sz w:val="20"/>
                <w:szCs w:val="20"/>
              </w:rPr>
              <w:t>0.806</w:t>
            </w:r>
          </w:p>
        </w:tc>
        <w:tc>
          <w:tcPr>
            <w:tcW w:w="768" w:type="dxa"/>
            <w:tcBorders>
              <w:top w:val="nil"/>
              <w:left w:val="nil"/>
              <w:bottom w:val="single" w:sz="12" w:space="0" w:color="auto"/>
              <w:right w:val="nil"/>
            </w:tcBorders>
            <w:shd w:val="clear" w:color="auto" w:fill="auto"/>
            <w:noWrap/>
            <w:vAlign w:val="bottom"/>
            <w:hideMark/>
          </w:tcPr>
          <w:p w14:paraId="4AB0F000" w14:textId="02B08CD3" w:rsidR="00CB0ED3" w:rsidRDefault="00CB0ED3" w:rsidP="00CB0ED3">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00F409FE" w14:textId="77D2A854" w:rsidR="00CB0ED3" w:rsidRDefault="00CB0ED3" w:rsidP="00CB0ED3">
            <w:pPr>
              <w:jc w:val="right"/>
              <w:rPr>
                <w:color w:val="000000"/>
                <w:sz w:val="20"/>
                <w:szCs w:val="20"/>
              </w:rPr>
            </w:pPr>
            <w:r>
              <w:rPr>
                <w:color w:val="000000"/>
                <w:sz w:val="20"/>
                <w:szCs w:val="20"/>
              </w:rPr>
              <w:t>0.090</w:t>
            </w:r>
          </w:p>
        </w:tc>
        <w:tc>
          <w:tcPr>
            <w:tcW w:w="768" w:type="dxa"/>
            <w:tcBorders>
              <w:top w:val="nil"/>
              <w:left w:val="nil"/>
              <w:bottom w:val="single" w:sz="12" w:space="0" w:color="auto"/>
              <w:right w:val="nil"/>
            </w:tcBorders>
            <w:shd w:val="clear" w:color="auto" w:fill="auto"/>
            <w:noWrap/>
            <w:vAlign w:val="bottom"/>
            <w:hideMark/>
          </w:tcPr>
          <w:p w14:paraId="2D300E85" w14:textId="33425DDD" w:rsidR="00CB0ED3" w:rsidRDefault="00CB0ED3" w:rsidP="00CB0ED3">
            <w:pPr>
              <w:jc w:val="right"/>
              <w:rPr>
                <w:color w:val="000000"/>
                <w:sz w:val="20"/>
                <w:szCs w:val="20"/>
              </w:rPr>
            </w:pPr>
            <w:r>
              <w:rPr>
                <w:color w:val="000000"/>
                <w:sz w:val="20"/>
                <w:szCs w:val="20"/>
              </w:rPr>
              <w:t>0.096</w:t>
            </w:r>
          </w:p>
        </w:tc>
        <w:tc>
          <w:tcPr>
            <w:tcW w:w="768" w:type="dxa"/>
            <w:tcBorders>
              <w:top w:val="nil"/>
              <w:left w:val="nil"/>
              <w:bottom w:val="single" w:sz="12" w:space="0" w:color="auto"/>
              <w:right w:val="nil"/>
            </w:tcBorders>
            <w:shd w:val="clear" w:color="auto" w:fill="auto"/>
            <w:noWrap/>
            <w:vAlign w:val="bottom"/>
            <w:hideMark/>
          </w:tcPr>
          <w:p w14:paraId="27A9D577" w14:textId="6CB7ED0C" w:rsidR="00CB0ED3" w:rsidRDefault="00CB0ED3" w:rsidP="00CB0ED3">
            <w:pPr>
              <w:jc w:val="right"/>
              <w:rPr>
                <w:color w:val="000000"/>
                <w:sz w:val="20"/>
                <w:szCs w:val="20"/>
              </w:rPr>
            </w:pPr>
            <w:r>
              <w:rPr>
                <w:color w:val="000000"/>
                <w:sz w:val="20"/>
                <w:szCs w:val="20"/>
              </w:rPr>
              <w:t>0.008</w:t>
            </w:r>
          </w:p>
        </w:tc>
        <w:tc>
          <w:tcPr>
            <w:tcW w:w="768" w:type="dxa"/>
            <w:tcBorders>
              <w:top w:val="nil"/>
              <w:left w:val="nil"/>
              <w:bottom w:val="single" w:sz="12" w:space="0" w:color="auto"/>
              <w:right w:val="nil"/>
            </w:tcBorders>
            <w:shd w:val="clear" w:color="auto" w:fill="auto"/>
            <w:noWrap/>
            <w:vAlign w:val="bottom"/>
            <w:hideMark/>
          </w:tcPr>
          <w:p w14:paraId="396F10B5" w14:textId="18AB93D4" w:rsidR="00CB0ED3" w:rsidRDefault="00CB0ED3" w:rsidP="00CB0ED3">
            <w:pPr>
              <w:jc w:val="right"/>
              <w:rPr>
                <w:color w:val="000000"/>
                <w:sz w:val="20"/>
                <w:szCs w:val="20"/>
              </w:rPr>
            </w:pPr>
            <w:r>
              <w:rPr>
                <w:color w:val="000000"/>
                <w:sz w:val="20"/>
                <w:szCs w:val="20"/>
              </w:rPr>
              <w:t>-0.024</w:t>
            </w:r>
          </w:p>
        </w:tc>
        <w:tc>
          <w:tcPr>
            <w:tcW w:w="768" w:type="dxa"/>
            <w:tcBorders>
              <w:top w:val="nil"/>
              <w:left w:val="nil"/>
              <w:bottom w:val="single" w:sz="12" w:space="0" w:color="auto"/>
              <w:right w:val="nil"/>
            </w:tcBorders>
            <w:shd w:val="clear" w:color="auto" w:fill="auto"/>
            <w:noWrap/>
            <w:vAlign w:val="bottom"/>
            <w:hideMark/>
          </w:tcPr>
          <w:p w14:paraId="74E0C31C" w14:textId="4B015A32" w:rsidR="00CB0ED3" w:rsidRDefault="00CB0ED3" w:rsidP="00CB0ED3">
            <w:pPr>
              <w:jc w:val="right"/>
              <w:rPr>
                <w:color w:val="000000"/>
                <w:sz w:val="20"/>
                <w:szCs w:val="20"/>
              </w:rPr>
            </w:pPr>
            <w:r>
              <w:rPr>
                <w:color w:val="000000"/>
                <w:sz w:val="20"/>
                <w:szCs w:val="20"/>
              </w:rPr>
              <w:t>0.666</w:t>
            </w:r>
          </w:p>
        </w:tc>
        <w:tc>
          <w:tcPr>
            <w:tcW w:w="768" w:type="dxa"/>
            <w:tcBorders>
              <w:top w:val="nil"/>
              <w:left w:val="nil"/>
              <w:bottom w:val="single" w:sz="12" w:space="0" w:color="auto"/>
              <w:right w:val="nil"/>
            </w:tcBorders>
            <w:shd w:val="clear" w:color="auto" w:fill="auto"/>
            <w:noWrap/>
            <w:vAlign w:val="bottom"/>
            <w:hideMark/>
          </w:tcPr>
          <w:p w14:paraId="6DA9F91D" w14:textId="009AF32F" w:rsidR="00CB0ED3" w:rsidRDefault="00CB0ED3" w:rsidP="00CB0ED3">
            <w:pPr>
              <w:jc w:val="right"/>
              <w:rPr>
                <w:color w:val="000000"/>
                <w:sz w:val="20"/>
                <w:szCs w:val="20"/>
              </w:rPr>
            </w:pPr>
            <w:r>
              <w:rPr>
                <w:color w:val="000000"/>
                <w:sz w:val="20"/>
                <w:szCs w:val="20"/>
              </w:rPr>
              <w:t>0.001</w:t>
            </w:r>
          </w:p>
        </w:tc>
      </w:tr>
      <w:tr w:rsidR="00AA3295" w14:paraId="7F06859C" w14:textId="77777777" w:rsidTr="00AA3295">
        <w:trPr>
          <w:trHeight w:val="320"/>
        </w:trPr>
        <w:tc>
          <w:tcPr>
            <w:tcW w:w="1176" w:type="dxa"/>
            <w:tcBorders>
              <w:top w:val="single" w:sz="12" w:space="0" w:color="auto"/>
              <w:left w:val="nil"/>
              <w:bottom w:val="nil"/>
              <w:right w:val="nil"/>
            </w:tcBorders>
            <w:shd w:val="clear" w:color="auto" w:fill="auto"/>
            <w:noWrap/>
            <w:vAlign w:val="bottom"/>
            <w:hideMark/>
          </w:tcPr>
          <w:p w14:paraId="5E37C6CA" w14:textId="77777777" w:rsidR="00AA3295" w:rsidRDefault="00AA3295">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1CD22221" w14:textId="77777777" w:rsidR="00AA3295" w:rsidRDefault="00AA3295">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4474114C"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3C86B20"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C26E49"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00DC130"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B8F9AC"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54F0DE9"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4D55D44"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867C754"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056C240"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B66D7D5"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372E443"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9ABCF09"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F3246F0"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6D847A4" w14:textId="77777777" w:rsidR="00AA3295" w:rsidRDefault="00AA329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241527E" w14:textId="77777777" w:rsidR="00AA3295" w:rsidRDefault="00AA3295">
            <w:pPr>
              <w:rPr>
                <w:sz w:val="20"/>
                <w:szCs w:val="20"/>
              </w:rPr>
            </w:pPr>
          </w:p>
        </w:tc>
      </w:tr>
    </w:tbl>
    <w:p w14:paraId="5AF291B8" w14:textId="0B1662A9" w:rsidR="00AA3295" w:rsidRDefault="00AA3295" w:rsidP="00BA3AF4">
      <w:pPr>
        <w:spacing w:line="480" w:lineRule="auto"/>
      </w:pPr>
    </w:p>
    <w:p w14:paraId="11BA98D6" w14:textId="021353A2" w:rsidR="00DE156A" w:rsidRPr="009E2A20" w:rsidRDefault="00AA3295" w:rsidP="00DE156A">
      <w:pPr>
        <w:pStyle w:val="Heading1"/>
        <w:rPr>
          <w:rFonts w:ascii="Times New Roman" w:hAnsi="Times New Roman" w:cs="Times New Roman"/>
          <w:color w:val="000000" w:themeColor="text1"/>
          <w:sz w:val="24"/>
          <w:szCs w:val="24"/>
        </w:rPr>
      </w:pPr>
      <w:r>
        <w:br w:type="page"/>
      </w:r>
      <w:bookmarkStart w:id="26" w:name="_Toc155817693"/>
      <w:r w:rsidR="00DE156A">
        <w:rPr>
          <w:rFonts w:ascii="Times New Roman" w:hAnsi="Times New Roman" w:cs="Times New Roman"/>
          <w:b/>
          <w:bCs/>
          <w:color w:val="000000" w:themeColor="text1"/>
          <w:sz w:val="24"/>
          <w:szCs w:val="24"/>
        </w:rPr>
        <w:lastRenderedPageBreak/>
        <w:t>Table 8</w:t>
      </w:r>
      <w:r w:rsidR="00DE156A" w:rsidRPr="009E2A20">
        <w:rPr>
          <w:rFonts w:ascii="Times New Roman" w:hAnsi="Times New Roman" w:cs="Times New Roman"/>
          <w:b/>
          <w:bCs/>
          <w:color w:val="000000" w:themeColor="text1"/>
          <w:sz w:val="24"/>
          <w:szCs w:val="24"/>
        </w:rPr>
        <w:t xml:space="preserve">a. </w:t>
      </w:r>
      <w:r w:rsidR="00DE156A" w:rsidRPr="009E2A20">
        <w:rPr>
          <w:rFonts w:ascii="Times New Roman" w:hAnsi="Times New Roman" w:cs="Times New Roman"/>
          <w:color w:val="000000" w:themeColor="text1"/>
          <w:sz w:val="24"/>
          <w:szCs w:val="24"/>
        </w:rPr>
        <w:t>Results examining the relationship between environmental stress factors obtained from bifactor modeling and Shen-268 network small world omega during emotional n-back task</w:t>
      </w:r>
      <w:bookmarkEnd w:id="26"/>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DE156A" w14:paraId="042EDB53"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3E8607EF"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bottom"/>
            <w:hideMark/>
          </w:tcPr>
          <w:p w14:paraId="36EB2C86" w14:textId="77777777" w:rsidR="00DE156A" w:rsidRDefault="00DE156A" w:rsidP="005A3B4D">
            <w:pPr>
              <w:rPr>
                <w:color w:val="000000"/>
                <w:sz w:val="20"/>
                <w:szCs w:val="20"/>
              </w:rPr>
            </w:pPr>
            <w:r>
              <w:rPr>
                <w:color w:val="000000"/>
                <w:sz w:val="20"/>
                <w:szCs w:val="20"/>
              </w:rPr>
              <w:t> </w:t>
            </w:r>
          </w:p>
        </w:tc>
        <w:tc>
          <w:tcPr>
            <w:tcW w:w="767" w:type="dxa"/>
            <w:tcBorders>
              <w:top w:val="nil"/>
              <w:left w:val="nil"/>
              <w:bottom w:val="single" w:sz="12" w:space="0" w:color="auto"/>
              <w:right w:val="nil"/>
            </w:tcBorders>
            <w:shd w:val="clear" w:color="auto" w:fill="auto"/>
            <w:noWrap/>
            <w:vAlign w:val="bottom"/>
            <w:hideMark/>
          </w:tcPr>
          <w:p w14:paraId="7717DC34" w14:textId="77777777" w:rsidR="00DE156A" w:rsidRDefault="00DE156A" w:rsidP="005A3B4D">
            <w:pPr>
              <w:rPr>
                <w:color w:val="000000"/>
                <w:sz w:val="20"/>
                <w:szCs w:val="20"/>
              </w:rPr>
            </w:pPr>
          </w:p>
        </w:tc>
        <w:tc>
          <w:tcPr>
            <w:tcW w:w="768" w:type="dxa"/>
            <w:tcBorders>
              <w:top w:val="nil"/>
              <w:left w:val="nil"/>
              <w:bottom w:val="single" w:sz="12" w:space="0" w:color="auto"/>
              <w:right w:val="nil"/>
            </w:tcBorders>
            <w:shd w:val="clear" w:color="auto" w:fill="auto"/>
            <w:noWrap/>
            <w:vAlign w:val="bottom"/>
            <w:hideMark/>
          </w:tcPr>
          <w:p w14:paraId="6967BAB0"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B71DF42"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A8EC156"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19C02B2"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9202334"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0F3791A"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779BF5F"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4AF930C"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EA93703"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CB0271D"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CD93FC7"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57090A2"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A695A71" w14:textId="77777777" w:rsidR="00DE156A" w:rsidRDefault="00DE156A" w:rsidP="005A3B4D">
            <w:pPr>
              <w:rPr>
                <w:sz w:val="20"/>
                <w:szCs w:val="20"/>
              </w:rPr>
            </w:pPr>
          </w:p>
        </w:tc>
        <w:tc>
          <w:tcPr>
            <w:tcW w:w="768" w:type="dxa"/>
            <w:tcBorders>
              <w:top w:val="nil"/>
              <w:left w:val="nil"/>
              <w:bottom w:val="nil"/>
              <w:right w:val="nil"/>
            </w:tcBorders>
            <w:shd w:val="clear" w:color="auto" w:fill="auto"/>
            <w:noWrap/>
            <w:vAlign w:val="bottom"/>
            <w:hideMark/>
          </w:tcPr>
          <w:p w14:paraId="56BF4E62" w14:textId="77777777" w:rsidR="00DE156A" w:rsidRDefault="00DE156A" w:rsidP="005A3B4D">
            <w:pPr>
              <w:rPr>
                <w:sz w:val="20"/>
                <w:szCs w:val="20"/>
              </w:rPr>
            </w:pPr>
          </w:p>
        </w:tc>
      </w:tr>
      <w:tr w:rsidR="00DE156A" w14:paraId="44011AFB"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14A0AAD7" w14:textId="77777777" w:rsidR="00DE156A" w:rsidRDefault="00DE156A"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72C6A99B" w14:textId="77777777" w:rsidR="00DE156A" w:rsidRDefault="00DE156A"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4A65A5A8" w14:textId="77777777" w:rsidR="00DE156A" w:rsidRDefault="00DE156A"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890EBBC" w14:textId="77777777" w:rsidR="00DE156A" w:rsidRDefault="00DE156A"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AB04CA3" w14:textId="77777777" w:rsidR="00DE156A" w:rsidRDefault="00DE156A"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878CBAD" w14:textId="77777777" w:rsidR="00DE156A" w:rsidRDefault="00DE156A"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5D2A8A1B" w14:textId="77777777" w:rsidR="00DE156A" w:rsidRDefault="00DE156A" w:rsidP="005A3B4D">
            <w:pPr>
              <w:jc w:val="center"/>
              <w:rPr>
                <w:color w:val="000000"/>
                <w:sz w:val="20"/>
                <w:szCs w:val="20"/>
              </w:rPr>
            </w:pPr>
            <w:r>
              <w:rPr>
                <w:color w:val="000000"/>
                <w:sz w:val="20"/>
                <w:szCs w:val="20"/>
              </w:rPr>
              <w:t>Urbanicity</w:t>
            </w:r>
          </w:p>
        </w:tc>
      </w:tr>
      <w:tr w:rsidR="00DE156A" w14:paraId="6BE749D4"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7974DB9B" w14:textId="77777777" w:rsidR="00DE156A" w:rsidRDefault="00DE156A"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1319D401" w14:textId="77777777" w:rsidR="00DE156A" w:rsidRDefault="00DE156A"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60E6E63B"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51B444C"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217C970"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5979F82"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4CF258D"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29E07EA5"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2467536A"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2AF7CA53"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7F198A32"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11D79B46"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176C90B1"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3AF79BFC"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827E98A"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E37288D"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51B85C2"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DE156A" w14:paraId="7E909213"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23082881" w14:textId="77777777" w:rsidR="00DE156A" w:rsidRDefault="00DE156A"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0B06924A" w14:textId="77777777" w:rsidR="00DE156A" w:rsidRDefault="00DE156A"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1626E7EB" w14:textId="77777777" w:rsidR="00DE156A" w:rsidRDefault="00DE156A" w:rsidP="005A3B4D">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6D9BDD56" w14:textId="77777777" w:rsidR="00DE156A" w:rsidRDefault="00DE156A" w:rsidP="005A3B4D">
            <w:pPr>
              <w:jc w:val="right"/>
              <w:rPr>
                <w:color w:val="000000"/>
                <w:sz w:val="20"/>
                <w:szCs w:val="20"/>
              </w:rPr>
            </w:pPr>
            <w:r>
              <w:rPr>
                <w:color w:val="000000"/>
                <w:sz w:val="20"/>
                <w:szCs w:val="20"/>
              </w:rPr>
              <w:t>0.853</w:t>
            </w:r>
          </w:p>
        </w:tc>
        <w:tc>
          <w:tcPr>
            <w:tcW w:w="768" w:type="dxa"/>
            <w:tcBorders>
              <w:top w:val="single" w:sz="12" w:space="0" w:color="auto"/>
              <w:left w:val="nil"/>
              <w:bottom w:val="nil"/>
              <w:right w:val="nil"/>
            </w:tcBorders>
            <w:shd w:val="clear" w:color="auto" w:fill="auto"/>
            <w:noWrap/>
            <w:vAlign w:val="bottom"/>
            <w:hideMark/>
          </w:tcPr>
          <w:p w14:paraId="0F872A93"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F790678" w14:textId="77777777" w:rsidR="00DE156A" w:rsidRDefault="00DE156A" w:rsidP="005A3B4D">
            <w:pPr>
              <w:jc w:val="right"/>
              <w:rPr>
                <w:color w:val="000000"/>
                <w:sz w:val="20"/>
                <w:szCs w:val="20"/>
              </w:rPr>
            </w:pPr>
            <w:r>
              <w:rPr>
                <w:color w:val="000000"/>
                <w:sz w:val="20"/>
                <w:szCs w:val="20"/>
              </w:rPr>
              <w:t>-0.008</w:t>
            </w:r>
          </w:p>
        </w:tc>
        <w:tc>
          <w:tcPr>
            <w:tcW w:w="768" w:type="dxa"/>
            <w:tcBorders>
              <w:top w:val="single" w:sz="12" w:space="0" w:color="auto"/>
              <w:left w:val="nil"/>
              <w:bottom w:val="nil"/>
              <w:right w:val="nil"/>
            </w:tcBorders>
            <w:shd w:val="clear" w:color="auto" w:fill="auto"/>
            <w:noWrap/>
            <w:vAlign w:val="bottom"/>
            <w:hideMark/>
          </w:tcPr>
          <w:p w14:paraId="70FA04DB" w14:textId="77777777" w:rsidR="00DE156A" w:rsidRDefault="00DE156A" w:rsidP="005A3B4D">
            <w:pPr>
              <w:jc w:val="right"/>
              <w:rPr>
                <w:color w:val="000000"/>
                <w:sz w:val="20"/>
                <w:szCs w:val="20"/>
              </w:rPr>
            </w:pPr>
            <w:r>
              <w:rPr>
                <w:color w:val="000000"/>
                <w:sz w:val="20"/>
                <w:szCs w:val="20"/>
              </w:rPr>
              <w:t>0.992</w:t>
            </w:r>
          </w:p>
        </w:tc>
        <w:tc>
          <w:tcPr>
            <w:tcW w:w="768" w:type="dxa"/>
            <w:tcBorders>
              <w:top w:val="single" w:sz="12" w:space="0" w:color="auto"/>
              <w:left w:val="nil"/>
              <w:bottom w:val="nil"/>
              <w:right w:val="nil"/>
            </w:tcBorders>
            <w:shd w:val="clear" w:color="auto" w:fill="auto"/>
            <w:noWrap/>
            <w:vAlign w:val="bottom"/>
            <w:hideMark/>
          </w:tcPr>
          <w:p w14:paraId="4299288A"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8B50E07" w14:textId="77777777" w:rsidR="00DE156A" w:rsidRDefault="00DE156A" w:rsidP="005A3B4D">
            <w:pPr>
              <w:jc w:val="right"/>
              <w:rPr>
                <w:color w:val="000000"/>
                <w:sz w:val="20"/>
                <w:szCs w:val="20"/>
              </w:rPr>
            </w:pPr>
            <w:r>
              <w:rPr>
                <w:color w:val="000000"/>
                <w:sz w:val="20"/>
                <w:szCs w:val="20"/>
              </w:rPr>
              <w:t>0.014</w:t>
            </w:r>
          </w:p>
        </w:tc>
        <w:tc>
          <w:tcPr>
            <w:tcW w:w="768" w:type="dxa"/>
            <w:tcBorders>
              <w:top w:val="single" w:sz="12" w:space="0" w:color="auto"/>
              <w:left w:val="nil"/>
              <w:bottom w:val="nil"/>
              <w:right w:val="nil"/>
            </w:tcBorders>
            <w:shd w:val="clear" w:color="auto" w:fill="auto"/>
            <w:noWrap/>
            <w:vAlign w:val="bottom"/>
            <w:hideMark/>
          </w:tcPr>
          <w:p w14:paraId="24E7D87E" w14:textId="77777777" w:rsidR="00DE156A" w:rsidRDefault="00DE156A" w:rsidP="005A3B4D">
            <w:pPr>
              <w:jc w:val="right"/>
              <w:rPr>
                <w:color w:val="000000"/>
                <w:sz w:val="20"/>
                <w:szCs w:val="20"/>
              </w:rPr>
            </w:pPr>
            <w:r>
              <w:rPr>
                <w:color w:val="000000"/>
                <w:sz w:val="20"/>
                <w:szCs w:val="20"/>
              </w:rPr>
              <w:t>0.766</w:t>
            </w:r>
          </w:p>
        </w:tc>
        <w:tc>
          <w:tcPr>
            <w:tcW w:w="768" w:type="dxa"/>
            <w:tcBorders>
              <w:top w:val="single" w:sz="12" w:space="0" w:color="auto"/>
              <w:left w:val="nil"/>
              <w:bottom w:val="nil"/>
              <w:right w:val="nil"/>
            </w:tcBorders>
            <w:shd w:val="clear" w:color="auto" w:fill="auto"/>
            <w:noWrap/>
            <w:vAlign w:val="bottom"/>
            <w:hideMark/>
          </w:tcPr>
          <w:p w14:paraId="6D692B38"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6ABEE30" w14:textId="77777777" w:rsidR="00DE156A" w:rsidRDefault="00DE156A" w:rsidP="005A3B4D">
            <w:pPr>
              <w:jc w:val="right"/>
              <w:rPr>
                <w:color w:val="000000"/>
                <w:sz w:val="20"/>
                <w:szCs w:val="20"/>
              </w:rPr>
            </w:pPr>
            <w:r>
              <w:rPr>
                <w:color w:val="000000"/>
                <w:sz w:val="20"/>
                <w:szCs w:val="20"/>
              </w:rPr>
              <w:t>0.028</w:t>
            </w:r>
          </w:p>
        </w:tc>
        <w:tc>
          <w:tcPr>
            <w:tcW w:w="768" w:type="dxa"/>
            <w:tcBorders>
              <w:top w:val="single" w:sz="12" w:space="0" w:color="auto"/>
              <w:left w:val="nil"/>
              <w:bottom w:val="nil"/>
              <w:right w:val="nil"/>
            </w:tcBorders>
            <w:shd w:val="clear" w:color="auto" w:fill="auto"/>
            <w:noWrap/>
            <w:vAlign w:val="bottom"/>
            <w:hideMark/>
          </w:tcPr>
          <w:p w14:paraId="3CDDA88A" w14:textId="77777777" w:rsidR="00DE156A" w:rsidRDefault="00DE156A" w:rsidP="005A3B4D">
            <w:pPr>
              <w:jc w:val="right"/>
              <w:rPr>
                <w:color w:val="000000"/>
                <w:sz w:val="20"/>
                <w:szCs w:val="20"/>
              </w:rPr>
            </w:pPr>
            <w:r>
              <w:rPr>
                <w:color w:val="000000"/>
                <w:sz w:val="20"/>
                <w:szCs w:val="20"/>
              </w:rPr>
              <w:t>0.725</w:t>
            </w:r>
          </w:p>
        </w:tc>
        <w:tc>
          <w:tcPr>
            <w:tcW w:w="768" w:type="dxa"/>
            <w:tcBorders>
              <w:top w:val="single" w:sz="12" w:space="0" w:color="auto"/>
              <w:left w:val="nil"/>
              <w:bottom w:val="nil"/>
              <w:right w:val="nil"/>
            </w:tcBorders>
            <w:shd w:val="clear" w:color="auto" w:fill="auto"/>
            <w:noWrap/>
            <w:vAlign w:val="bottom"/>
            <w:hideMark/>
          </w:tcPr>
          <w:p w14:paraId="1E978EC6" w14:textId="77777777" w:rsidR="00DE156A" w:rsidRDefault="00DE156A"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374D1733" w14:textId="77777777" w:rsidR="00DE156A" w:rsidRDefault="00DE156A" w:rsidP="005A3B4D">
            <w:pPr>
              <w:jc w:val="right"/>
              <w:rPr>
                <w:color w:val="000000"/>
                <w:sz w:val="20"/>
                <w:szCs w:val="20"/>
              </w:rPr>
            </w:pPr>
            <w:r>
              <w:rPr>
                <w:color w:val="000000"/>
                <w:sz w:val="20"/>
                <w:szCs w:val="20"/>
              </w:rPr>
              <w:t>0.025</w:t>
            </w:r>
          </w:p>
        </w:tc>
        <w:tc>
          <w:tcPr>
            <w:tcW w:w="768" w:type="dxa"/>
            <w:tcBorders>
              <w:top w:val="single" w:sz="12" w:space="0" w:color="auto"/>
              <w:left w:val="nil"/>
              <w:bottom w:val="nil"/>
              <w:right w:val="nil"/>
            </w:tcBorders>
            <w:shd w:val="clear" w:color="auto" w:fill="auto"/>
            <w:noWrap/>
            <w:vAlign w:val="bottom"/>
            <w:hideMark/>
          </w:tcPr>
          <w:p w14:paraId="237FCE21" w14:textId="77777777" w:rsidR="00DE156A" w:rsidRDefault="00DE156A" w:rsidP="005A3B4D">
            <w:pPr>
              <w:jc w:val="right"/>
              <w:rPr>
                <w:color w:val="000000"/>
                <w:sz w:val="20"/>
                <w:szCs w:val="20"/>
              </w:rPr>
            </w:pPr>
            <w:r>
              <w:rPr>
                <w:color w:val="000000"/>
                <w:sz w:val="20"/>
                <w:szCs w:val="20"/>
              </w:rPr>
              <w:t>0.617</w:t>
            </w:r>
          </w:p>
        </w:tc>
        <w:tc>
          <w:tcPr>
            <w:tcW w:w="768" w:type="dxa"/>
            <w:tcBorders>
              <w:top w:val="single" w:sz="12" w:space="0" w:color="auto"/>
              <w:left w:val="nil"/>
              <w:bottom w:val="nil"/>
              <w:right w:val="nil"/>
            </w:tcBorders>
            <w:shd w:val="clear" w:color="auto" w:fill="auto"/>
            <w:noWrap/>
            <w:vAlign w:val="bottom"/>
            <w:hideMark/>
          </w:tcPr>
          <w:p w14:paraId="79139037" w14:textId="77777777" w:rsidR="00DE156A" w:rsidRDefault="00DE156A" w:rsidP="005A3B4D">
            <w:pPr>
              <w:jc w:val="right"/>
              <w:rPr>
                <w:color w:val="000000"/>
                <w:sz w:val="20"/>
                <w:szCs w:val="20"/>
              </w:rPr>
            </w:pPr>
            <w:r>
              <w:rPr>
                <w:color w:val="000000"/>
                <w:sz w:val="20"/>
                <w:szCs w:val="20"/>
              </w:rPr>
              <w:t>0.001</w:t>
            </w:r>
          </w:p>
        </w:tc>
      </w:tr>
      <w:tr w:rsidR="00DE156A" w14:paraId="2B74EF50" w14:textId="77777777" w:rsidTr="005A3B4D">
        <w:trPr>
          <w:trHeight w:val="340"/>
        </w:trPr>
        <w:tc>
          <w:tcPr>
            <w:tcW w:w="1176" w:type="dxa"/>
            <w:tcBorders>
              <w:top w:val="nil"/>
              <w:left w:val="nil"/>
              <w:bottom w:val="nil"/>
              <w:right w:val="nil"/>
            </w:tcBorders>
            <w:shd w:val="clear" w:color="auto" w:fill="auto"/>
            <w:noWrap/>
            <w:vAlign w:val="bottom"/>
            <w:hideMark/>
          </w:tcPr>
          <w:p w14:paraId="0B40EC19"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AE4509"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C9B4ED3" w14:textId="77777777" w:rsidR="00DE156A" w:rsidRDefault="00DE156A"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D2BC55A" w14:textId="77777777" w:rsidR="00DE156A" w:rsidRDefault="00DE156A" w:rsidP="005A3B4D">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033ED93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203D25" w14:textId="77777777" w:rsidR="00DE156A" w:rsidRDefault="00DE156A"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8D67B53" w14:textId="77777777" w:rsidR="00DE156A" w:rsidRDefault="00DE156A" w:rsidP="005A3B4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5746098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E93D5E"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72E3FC23" w14:textId="77777777" w:rsidR="00DE156A" w:rsidRDefault="00DE156A"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2F4CC560"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F3CB4B0"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6ECA259" w14:textId="77777777" w:rsidR="00DE156A" w:rsidRDefault="00DE156A" w:rsidP="005A3B4D">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7F1D0513"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7589474" w14:textId="77777777" w:rsidR="00DE156A" w:rsidRDefault="00DE156A" w:rsidP="005A3B4D">
            <w:pPr>
              <w:jc w:val="right"/>
              <w:rPr>
                <w:b/>
                <w:bCs/>
                <w:color w:val="000000"/>
                <w:sz w:val="20"/>
                <w:szCs w:val="20"/>
              </w:rPr>
            </w:pPr>
            <w:r>
              <w:rPr>
                <w:b/>
                <w:bCs/>
                <w:color w:val="000000"/>
                <w:sz w:val="20"/>
                <w:szCs w:val="20"/>
              </w:rPr>
              <w:t>-0.141</w:t>
            </w:r>
          </w:p>
        </w:tc>
        <w:tc>
          <w:tcPr>
            <w:tcW w:w="768" w:type="dxa"/>
            <w:tcBorders>
              <w:top w:val="nil"/>
              <w:left w:val="nil"/>
              <w:bottom w:val="nil"/>
              <w:right w:val="nil"/>
            </w:tcBorders>
            <w:shd w:val="clear" w:color="auto" w:fill="auto"/>
            <w:noWrap/>
            <w:vAlign w:val="bottom"/>
            <w:hideMark/>
          </w:tcPr>
          <w:p w14:paraId="3C43E502" w14:textId="77777777" w:rsidR="00DE156A" w:rsidRDefault="00DE156A" w:rsidP="005A3B4D">
            <w:pPr>
              <w:jc w:val="right"/>
              <w:rPr>
                <w:b/>
                <w:bCs/>
                <w:color w:val="000000"/>
                <w:sz w:val="20"/>
                <w:szCs w:val="20"/>
              </w:rPr>
            </w:pPr>
            <w:r>
              <w:rPr>
                <w:b/>
                <w:bCs/>
                <w:color w:val="000000"/>
                <w:sz w:val="20"/>
                <w:szCs w:val="20"/>
              </w:rPr>
              <w:t>0.011</w:t>
            </w:r>
          </w:p>
        </w:tc>
        <w:tc>
          <w:tcPr>
            <w:tcW w:w="768" w:type="dxa"/>
            <w:tcBorders>
              <w:top w:val="nil"/>
              <w:left w:val="nil"/>
              <w:bottom w:val="nil"/>
              <w:right w:val="nil"/>
            </w:tcBorders>
            <w:shd w:val="clear" w:color="auto" w:fill="auto"/>
            <w:noWrap/>
            <w:vAlign w:val="bottom"/>
            <w:hideMark/>
          </w:tcPr>
          <w:p w14:paraId="13B5406A" w14:textId="77777777" w:rsidR="00DE156A" w:rsidRDefault="00DE156A" w:rsidP="005A3B4D">
            <w:pPr>
              <w:jc w:val="right"/>
              <w:rPr>
                <w:color w:val="000000"/>
                <w:sz w:val="20"/>
                <w:szCs w:val="20"/>
              </w:rPr>
            </w:pPr>
            <w:r>
              <w:rPr>
                <w:b/>
                <w:bCs/>
                <w:color w:val="000000"/>
                <w:sz w:val="20"/>
                <w:szCs w:val="20"/>
              </w:rPr>
              <w:t>0.020</w:t>
            </w:r>
          </w:p>
        </w:tc>
      </w:tr>
      <w:tr w:rsidR="00DE156A" w14:paraId="359C32B2" w14:textId="77777777" w:rsidTr="005A3B4D">
        <w:trPr>
          <w:trHeight w:val="320"/>
        </w:trPr>
        <w:tc>
          <w:tcPr>
            <w:tcW w:w="1176" w:type="dxa"/>
            <w:tcBorders>
              <w:top w:val="nil"/>
              <w:left w:val="nil"/>
              <w:bottom w:val="nil"/>
              <w:right w:val="nil"/>
            </w:tcBorders>
            <w:shd w:val="clear" w:color="auto" w:fill="auto"/>
            <w:noWrap/>
            <w:vAlign w:val="bottom"/>
            <w:hideMark/>
          </w:tcPr>
          <w:p w14:paraId="400D8A82"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2876AC7"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0182E10" w14:textId="77777777" w:rsidR="00DE156A" w:rsidRDefault="00DE156A" w:rsidP="005A3B4D">
            <w:pPr>
              <w:jc w:val="right"/>
              <w:rPr>
                <w:b/>
                <w:bCs/>
                <w:color w:val="000000"/>
                <w:sz w:val="20"/>
                <w:szCs w:val="20"/>
              </w:rPr>
            </w:pPr>
            <w:r>
              <w:rPr>
                <w:b/>
                <w:bCs/>
                <w:color w:val="000000"/>
                <w:sz w:val="20"/>
                <w:szCs w:val="20"/>
              </w:rPr>
              <w:t>-0.252</w:t>
            </w:r>
          </w:p>
        </w:tc>
        <w:tc>
          <w:tcPr>
            <w:tcW w:w="768" w:type="dxa"/>
            <w:tcBorders>
              <w:top w:val="nil"/>
              <w:left w:val="nil"/>
              <w:bottom w:val="nil"/>
              <w:right w:val="nil"/>
            </w:tcBorders>
            <w:shd w:val="clear" w:color="auto" w:fill="auto"/>
            <w:noWrap/>
            <w:vAlign w:val="bottom"/>
            <w:hideMark/>
          </w:tcPr>
          <w:p w14:paraId="3AABC027" w14:textId="77777777" w:rsidR="00DE156A" w:rsidRDefault="00DE156A"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69F775AD" w14:textId="77777777" w:rsidR="00DE156A" w:rsidRDefault="00DE156A" w:rsidP="005A3B4D">
            <w:pPr>
              <w:jc w:val="right"/>
              <w:rPr>
                <w:color w:val="000000"/>
                <w:sz w:val="20"/>
                <w:szCs w:val="20"/>
              </w:rPr>
            </w:pPr>
            <w:r>
              <w:rPr>
                <w:b/>
                <w:bCs/>
                <w:color w:val="000000"/>
                <w:sz w:val="20"/>
                <w:szCs w:val="20"/>
              </w:rPr>
              <w:t>0.064</w:t>
            </w:r>
          </w:p>
        </w:tc>
        <w:tc>
          <w:tcPr>
            <w:tcW w:w="768" w:type="dxa"/>
            <w:tcBorders>
              <w:top w:val="nil"/>
              <w:left w:val="nil"/>
              <w:bottom w:val="nil"/>
              <w:right w:val="nil"/>
            </w:tcBorders>
            <w:shd w:val="clear" w:color="auto" w:fill="auto"/>
            <w:noWrap/>
            <w:vAlign w:val="bottom"/>
            <w:hideMark/>
          </w:tcPr>
          <w:p w14:paraId="556A6FB3" w14:textId="77777777" w:rsidR="00DE156A" w:rsidRDefault="00DE156A"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F4BF78C" w14:textId="77777777" w:rsidR="00DE156A" w:rsidRDefault="00DE156A" w:rsidP="005A3B4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5064A7AD"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0816E64" w14:textId="77777777" w:rsidR="00DE156A" w:rsidRDefault="00DE156A" w:rsidP="005A3B4D">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4074C44D" w14:textId="77777777" w:rsidR="00DE156A" w:rsidRDefault="00DE156A"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5A9B8CDF"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C782B1E"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91AEB26" w14:textId="77777777" w:rsidR="00DE156A" w:rsidRDefault="00DE156A" w:rsidP="005A3B4D">
            <w:pPr>
              <w:jc w:val="right"/>
              <w:rPr>
                <w:color w:val="000000"/>
                <w:sz w:val="20"/>
                <w:szCs w:val="20"/>
              </w:rPr>
            </w:pPr>
            <w:r>
              <w:rPr>
                <w:color w:val="000000"/>
                <w:sz w:val="20"/>
                <w:szCs w:val="20"/>
              </w:rPr>
              <w:t>0.902</w:t>
            </w:r>
          </w:p>
        </w:tc>
        <w:tc>
          <w:tcPr>
            <w:tcW w:w="768" w:type="dxa"/>
            <w:tcBorders>
              <w:top w:val="nil"/>
              <w:left w:val="nil"/>
              <w:bottom w:val="nil"/>
              <w:right w:val="nil"/>
            </w:tcBorders>
            <w:shd w:val="clear" w:color="auto" w:fill="auto"/>
            <w:noWrap/>
            <w:vAlign w:val="bottom"/>
            <w:hideMark/>
          </w:tcPr>
          <w:p w14:paraId="28BBF50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B51BA3" w14:textId="77777777" w:rsidR="00DE156A" w:rsidRDefault="00DE156A" w:rsidP="005A3B4D">
            <w:pPr>
              <w:jc w:val="right"/>
              <w:rPr>
                <w:b/>
                <w:bCs/>
                <w:color w:val="000000"/>
                <w:sz w:val="20"/>
                <w:szCs w:val="20"/>
              </w:rPr>
            </w:pPr>
            <w:r>
              <w:rPr>
                <w:b/>
                <w:bCs/>
                <w:color w:val="000000"/>
                <w:sz w:val="20"/>
                <w:szCs w:val="20"/>
              </w:rPr>
              <w:t>0.355</w:t>
            </w:r>
          </w:p>
        </w:tc>
        <w:tc>
          <w:tcPr>
            <w:tcW w:w="768" w:type="dxa"/>
            <w:tcBorders>
              <w:top w:val="nil"/>
              <w:left w:val="nil"/>
              <w:bottom w:val="nil"/>
              <w:right w:val="nil"/>
            </w:tcBorders>
            <w:shd w:val="clear" w:color="auto" w:fill="auto"/>
            <w:noWrap/>
            <w:vAlign w:val="bottom"/>
            <w:hideMark/>
          </w:tcPr>
          <w:p w14:paraId="37F2183A" w14:textId="77777777" w:rsidR="00DE156A" w:rsidRDefault="00DE156A"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D984501" w14:textId="77777777" w:rsidR="00DE156A" w:rsidRDefault="00DE156A" w:rsidP="005A3B4D">
            <w:pPr>
              <w:jc w:val="right"/>
              <w:rPr>
                <w:color w:val="000000"/>
                <w:sz w:val="20"/>
                <w:szCs w:val="20"/>
              </w:rPr>
            </w:pPr>
            <w:r>
              <w:rPr>
                <w:b/>
                <w:bCs/>
                <w:color w:val="000000"/>
                <w:sz w:val="20"/>
                <w:szCs w:val="20"/>
              </w:rPr>
              <w:t>0.126</w:t>
            </w:r>
          </w:p>
        </w:tc>
      </w:tr>
      <w:tr w:rsidR="00DE156A" w14:paraId="6764D355" w14:textId="77777777" w:rsidTr="005A3B4D">
        <w:trPr>
          <w:trHeight w:val="320"/>
        </w:trPr>
        <w:tc>
          <w:tcPr>
            <w:tcW w:w="1176" w:type="dxa"/>
            <w:tcBorders>
              <w:top w:val="nil"/>
              <w:left w:val="nil"/>
              <w:bottom w:val="nil"/>
              <w:right w:val="nil"/>
            </w:tcBorders>
            <w:shd w:val="clear" w:color="auto" w:fill="auto"/>
            <w:noWrap/>
            <w:vAlign w:val="bottom"/>
            <w:hideMark/>
          </w:tcPr>
          <w:p w14:paraId="4451AFC1"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D057D5"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FC63C41" w14:textId="77777777" w:rsidR="00DE156A" w:rsidRDefault="00DE156A" w:rsidP="005A3B4D">
            <w:pPr>
              <w:jc w:val="right"/>
              <w:rPr>
                <w:b/>
                <w:bCs/>
                <w:color w:val="000000"/>
                <w:sz w:val="20"/>
                <w:szCs w:val="20"/>
              </w:rPr>
            </w:pPr>
            <w:r>
              <w:rPr>
                <w:b/>
                <w:bCs/>
                <w:color w:val="000000"/>
                <w:sz w:val="20"/>
                <w:szCs w:val="20"/>
              </w:rPr>
              <w:t>0.193</w:t>
            </w:r>
          </w:p>
        </w:tc>
        <w:tc>
          <w:tcPr>
            <w:tcW w:w="768" w:type="dxa"/>
            <w:tcBorders>
              <w:top w:val="nil"/>
              <w:left w:val="nil"/>
              <w:bottom w:val="nil"/>
              <w:right w:val="nil"/>
            </w:tcBorders>
            <w:shd w:val="clear" w:color="auto" w:fill="auto"/>
            <w:noWrap/>
            <w:vAlign w:val="bottom"/>
            <w:hideMark/>
          </w:tcPr>
          <w:p w14:paraId="63025417" w14:textId="77777777" w:rsidR="00DE156A" w:rsidRDefault="00DE156A"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6B60E552" w14:textId="77777777" w:rsidR="00DE156A" w:rsidRDefault="00DE156A"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F4A7B5D" w14:textId="77777777" w:rsidR="00DE156A" w:rsidRDefault="00DE156A" w:rsidP="005A3B4D">
            <w:pPr>
              <w:jc w:val="right"/>
              <w:rPr>
                <w:color w:val="000000"/>
                <w:sz w:val="20"/>
                <w:szCs w:val="20"/>
              </w:rPr>
            </w:pPr>
            <w:r>
              <w:rPr>
                <w:color w:val="000000"/>
                <w:sz w:val="20"/>
                <w:szCs w:val="20"/>
              </w:rPr>
              <w:t>0.129</w:t>
            </w:r>
          </w:p>
        </w:tc>
        <w:tc>
          <w:tcPr>
            <w:tcW w:w="768" w:type="dxa"/>
            <w:tcBorders>
              <w:top w:val="nil"/>
              <w:left w:val="nil"/>
              <w:bottom w:val="nil"/>
              <w:right w:val="nil"/>
            </w:tcBorders>
            <w:shd w:val="clear" w:color="auto" w:fill="auto"/>
            <w:noWrap/>
            <w:vAlign w:val="bottom"/>
            <w:hideMark/>
          </w:tcPr>
          <w:p w14:paraId="676B934C" w14:textId="77777777" w:rsidR="00DE156A" w:rsidRDefault="00DE156A" w:rsidP="005A3B4D">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24FEB5D5"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A928372" w14:textId="77777777" w:rsidR="00DE156A" w:rsidRDefault="00DE156A" w:rsidP="005A3B4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41C988CD" w14:textId="77777777" w:rsidR="00DE156A" w:rsidRDefault="00DE156A" w:rsidP="005A3B4D">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6B91F8E3"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A060331" w14:textId="77777777" w:rsidR="00DE156A" w:rsidRDefault="00DE156A" w:rsidP="005A3B4D">
            <w:pPr>
              <w:jc w:val="right"/>
              <w:rPr>
                <w:b/>
                <w:bCs/>
                <w:color w:val="000000"/>
                <w:sz w:val="20"/>
                <w:szCs w:val="20"/>
              </w:rPr>
            </w:pPr>
            <w:r>
              <w:rPr>
                <w:b/>
                <w:bCs/>
                <w:color w:val="000000"/>
                <w:sz w:val="20"/>
                <w:szCs w:val="20"/>
              </w:rPr>
              <w:t>-0.215</w:t>
            </w:r>
          </w:p>
        </w:tc>
        <w:tc>
          <w:tcPr>
            <w:tcW w:w="768" w:type="dxa"/>
            <w:tcBorders>
              <w:top w:val="nil"/>
              <w:left w:val="nil"/>
              <w:bottom w:val="nil"/>
              <w:right w:val="nil"/>
            </w:tcBorders>
            <w:shd w:val="clear" w:color="auto" w:fill="auto"/>
            <w:noWrap/>
            <w:vAlign w:val="bottom"/>
            <w:hideMark/>
          </w:tcPr>
          <w:p w14:paraId="33B549D7" w14:textId="77777777" w:rsidR="00DE156A" w:rsidRDefault="00DE156A"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CDE8B2E" w14:textId="77777777" w:rsidR="00DE156A" w:rsidRDefault="00DE156A" w:rsidP="005A3B4D">
            <w:pPr>
              <w:jc w:val="right"/>
              <w:rPr>
                <w:color w:val="000000"/>
                <w:sz w:val="20"/>
                <w:szCs w:val="20"/>
              </w:rPr>
            </w:pPr>
            <w:r>
              <w:rPr>
                <w:b/>
                <w:bCs/>
                <w:color w:val="000000"/>
                <w:sz w:val="20"/>
                <w:szCs w:val="20"/>
              </w:rPr>
              <w:t>0.046</w:t>
            </w:r>
          </w:p>
        </w:tc>
        <w:tc>
          <w:tcPr>
            <w:tcW w:w="768" w:type="dxa"/>
            <w:tcBorders>
              <w:top w:val="nil"/>
              <w:left w:val="nil"/>
              <w:bottom w:val="nil"/>
              <w:right w:val="nil"/>
            </w:tcBorders>
            <w:shd w:val="clear" w:color="auto" w:fill="auto"/>
            <w:noWrap/>
            <w:vAlign w:val="bottom"/>
            <w:hideMark/>
          </w:tcPr>
          <w:p w14:paraId="108E47E5" w14:textId="77777777" w:rsidR="00DE156A" w:rsidRDefault="00DE156A" w:rsidP="005A3B4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3D68CA0C" w14:textId="77777777" w:rsidR="00DE156A" w:rsidRDefault="00DE156A" w:rsidP="005A3B4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781C0E7D" w14:textId="77777777" w:rsidR="00DE156A" w:rsidRDefault="00DE156A" w:rsidP="005A3B4D">
            <w:pPr>
              <w:jc w:val="right"/>
              <w:rPr>
                <w:color w:val="000000"/>
                <w:sz w:val="20"/>
                <w:szCs w:val="20"/>
              </w:rPr>
            </w:pPr>
            <w:r>
              <w:rPr>
                <w:color w:val="000000"/>
                <w:sz w:val="20"/>
                <w:szCs w:val="20"/>
              </w:rPr>
              <w:t>0.004</w:t>
            </w:r>
          </w:p>
        </w:tc>
      </w:tr>
      <w:tr w:rsidR="00DE156A" w14:paraId="6DE42290" w14:textId="77777777" w:rsidTr="005A3B4D">
        <w:trPr>
          <w:trHeight w:val="320"/>
        </w:trPr>
        <w:tc>
          <w:tcPr>
            <w:tcW w:w="1176" w:type="dxa"/>
            <w:tcBorders>
              <w:top w:val="nil"/>
              <w:left w:val="nil"/>
              <w:bottom w:val="nil"/>
              <w:right w:val="nil"/>
            </w:tcBorders>
            <w:shd w:val="clear" w:color="auto" w:fill="auto"/>
            <w:noWrap/>
            <w:vAlign w:val="bottom"/>
            <w:hideMark/>
          </w:tcPr>
          <w:p w14:paraId="220C62E2"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03A4D5F"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7B7041C"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32594C3" w14:textId="77777777" w:rsidR="00DE156A" w:rsidRDefault="00DE156A"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03C900F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35DA04"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9F9BBB3" w14:textId="77777777" w:rsidR="00DE156A" w:rsidRDefault="00DE156A" w:rsidP="005A3B4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1CA2794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126112"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C22BAB0" w14:textId="77777777" w:rsidR="00DE156A" w:rsidRDefault="00DE156A" w:rsidP="005A3B4D">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5B60F94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47349D" w14:textId="77777777" w:rsidR="00DE156A" w:rsidRDefault="00DE156A" w:rsidP="005A3B4D">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70BA4A7E" w14:textId="77777777" w:rsidR="00DE156A" w:rsidRDefault="00DE156A" w:rsidP="005A3B4D">
            <w:pPr>
              <w:jc w:val="right"/>
              <w:rPr>
                <w:color w:val="000000"/>
                <w:sz w:val="20"/>
                <w:szCs w:val="20"/>
              </w:rPr>
            </w:pPr>
            <w:r>
              <w:rPr>
                <w:color w:val="000000"/>
                <w:sz w:val="20"/>
                <w:szCs w:val="20"/>
              </w:rPr>
              <w:t>0.276</w:t>
            </w:r>
          </w:p>
        </w:tc>
        <w:tc>
          <w:tcPr>
            <w:tcW w:w="768" w:type="dxa"/>
            <w:tcBorders>
              <w:top w:val="nil"/>
              <w:left w:val="nil"/>
              <w:bottom w:val="nil"/>
              <w:right w:val="nil"/>
            </w:tcBorders>
            <w:shd w:val="clear" w:color="auto" w:fill="auto"/>
            <w:noWrap/>
            <w:vAlign w:val="bottom"/>
            <w:hideMark/>
          </w:tcPr>
          <w:p w14:paraId="35C8AD59"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EAF069F"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B9DF30E" w14:textId="77777777" w:rsidR="00DE156A" w:rsidRDefault="00DE156A" w:rsidP="005A3B4D">
            <w:pPr>
              <w:jc w:val="right"/>
              <w:rPr>
                <w:color w:val="000000"/>
                <w:sz w:val="20"/>
                <w:szCs w:val="20"/>
              </w:rPr>
            </w:pPr>
            <w:r>
              <w:rPr>
                <w:color w:val="000000"/>
                <w:sz w:val="20"/>
                <w:szCs w:val="20"/>
              </w:rPr>
              <w:t>0.958</w:t>
            </w:r>
          </w:p>
        </w:tc>
        <w:tc>
          <w:tcPr>
            <w:tcW w:w="768" w:type="dxa"/>
            <w:tcBorders>
              <w:top w:val="nil"/>
              <w:left w:val="nil"/>
              <w:bottom w:val="nil"/>
              <w:right w:val="nil"/>
            </w:tcBorders>
            <w:shd w:val="clear" w:color="auto" w:fill="auto"/>
            <w:noWrap/>
            <w:vAlign w:val="bottom"/>
            <w:hideMark/>
          </w:tcPr>
          <w:p w14:paraId="05822C24" w14:textId="77777777" w:rsidR="00DE156A" w:rsidRDefault="00DE156A" w:rsidP="005A3B4D">
            <w:pPr>
              <w:jc w:val="right"/>
              <w:rPr>
                <w:color w:val="000000"/>
                <w:sz w:val="20"/>
                <w:szCs w:val="20"/>
              </w:rPr>
            </w:pPr>
            <w:r>
              <w:rPr>
                <w:color w:val="000000"/>
                <w:sz w:val="20"/>
                <w:szCs w:val="20"/>
              </w:rPr>
              <w:t>0.000</w:t>
            </w:r>
          </w:p>
        </w:tc>
      </w:tr>
      <w:tr w:rsidR="00DE156A" w14:paraId="50A882F2" w14:textId="77777777" w:rsidTr="005A3B4D">
        <w:trPr>
          <w:trHeight w:val="320"/>
        </w:trPr>
        <w:tc>
          <w:tcPr>
            <w:tcW w:w="1176" w:type="dxa"/>
            <w:tcBorders>
              <w:top w:val="nil"/>
              <w:left w:val="nil"/>
              <w:bottom w:val="nil"/>
              <w:right w:val="nil"/>
            </w:tcBorders>
            <w:shd w:val="clear" w:color="auto" w:fill="auto"/>
            <w:noWrap/>
            <w:vAlign w:val="bottom"/>
            <w:hideMark/>
          </w:tcPr>
          <w:p w14:paraId="640EE512"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76DFFF"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D7C082A" w14:textId="77777777" w:rsidR="00DE156A" w:rsidRDefault="00DE156A" w:rsidP="005A3B4D">
            <w:pPr>
              <w:jc w:val="right"/>
              <w:rPr>
                <w:b/>
                <w:bCs/>
                <w:color w:val="000000"/>
                <w:sz w:val="20"/>
                <w:szCs w:val="20"/>
              </w:rPr>
            </w:pPr>
            <w:r>
              <w:rPr>
                <w:b/>
                <w:bCs/>
                <w:color w:val="000000"/>
                <w:sz w:val="20"/>
                <w:szCs w:val="20"/>
              </w:rPr>
              <w:t>-0.087</w:t>
            </w:r>
          </w:p>
        </w:tc>
        <w:tc>
          <w:tcPr>
            <w:tcW w:w="768" w:type="dxa"/>
            <w:tcBorders>
              <w:top w:val="nil"/>
              <w:left w:val="nil"/>
              <w:bottom w:val="nil"/>
              <w:right w:val="nil"/>
            </w:tcBorders>
            <w:shd w:val="clear" w:color="auto" w:fill="auto"/>
            <w:noWrap/>
            <w:vAlign w:val="bottom"/>
            <w:hideMark/>
          </w:tcPr>
          <w:p w14:paraId="0A51F486" w14:textId="77777777" w:rsidR="00DE156A" w:rsidRDefault="00DE156A"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051E742D" w14:textId="77777777" w:rsidR="00DE156A" w:rsidRDefault="00DE156A" w:rsidP="005A3B4D">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C5B9E5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D74294" w14:textId="77777777" w:rsidR="00DE156A" w:rsidRDefault="00DE156A" w:rsidP="005A3B4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1A221E1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E8B7D7"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E16D06" w14:textId="77777777" w:rsidR="00DE156A" w:rsidRDefault="00DE156A" w:rsidP="005A3B4D">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662068A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5CAB77" w14:textId="77777777" w:rsidR="00DE156A" w:rsidRDefault="00DE156A"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22A95F2" w14:textId="77777777" w:rsidR="00DE156A" w:rsidRDefault="00DE156A" w:rsidP="005A3B4D">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66C75B13"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8FDD2FB"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0C9389F4" w14:textId="77777777" w:rsidR="00DE156A" w:rsidRDefault="00DE156A" w:rsidP="005A3B4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132013E9" w14:textId="77777777" w:rsidR="00DE156A" w:rsidRDefault="00DE156A" w:rsidP="005A3B4D">
            <w:pPr>
              <w:jc w:val="right"/>
              <w:rPr>
                <w:color w:val="000000"/>
                <w:sz w:val="20"/>
                <w:szCs w:val="20"/>
              </w:rPr>
            </w:pPr>
            <w:r>
              <w:rPr>
                <w:color w:val="000000"/>
                <w:sz w:val="20"/>
                <w:szCs w:val="20"/>
              </w:rPr>
              <w:t>0.001</w:t>
            </w:r>
          </w:p>
        </w:tc>
      </w:tr>
      <w:tr w:rsidR="00DE156A" w14:paraId="35C4F3E7" w14:textId="77777777" w:rsidTr="005A3B4D">
        <w:trPr>
          <w:trHeight w:val="320"/>
        </w:trPr>
        <w:tc>
          <w:tcPr>
            <w:tcW w:w="1176" w:type="dxa"/>
            <w:tcBorders>
              <w:top w:val="nil"/>
              <w:left w:val="nil"/>
              <w:bottom w:val="nil"/>
              <w:right w:val="nil"/>
            </w:tcBorders>
            <w:shd w:val="clear" w:color="auto" w:fill="auto"/>
            <w:noWrap/>
            <w:vAlign w:val="bottom"/>
            <w:hideMark/>
          </w:tcPr>
          <w:p w14:paraId="6BB46BAF"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393F663"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E5FF753" w14:textId="77777777" w:rsidR="00DE156A" w:rsidRDefault="00DE156A"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22A0104F" w14:textId="77777777" w:rsidR="00DE156A" w:rsidRDefault="00DE156A" w:rsidP="005A3B4D">
            <w:pPr>
              <w:jc w:val="right"/>
              <w:rPr>
                <w:color w:val="000000"/>
                <w:sz w:val="20"/>
                <w:szCs w:val="20"/>
              </w:rPr>
            </w:pPr>
            <w:r>
              <w:rPr>
                <w:color w:val="000000"/>
                <w:sz w:val="20"/>
                <w:szCs w:val="20"/>
              </w:rPr>
              <w:t>0.611</w:t>
            </w:r>
          </w:p>
        </w:tc>
        <w:tc>
          <w:tcPr>
            <w:tcW w:w="768" w:type="dxa"/>
            <w:tcBorders>
              <w:top w:val="nil"/>
              <w:left w:val="nil"/>
              <w:bottom w:val="nil"/>
              <w:right w:val="nil"/>
            </w:tcBorders>
            <w:shd w:val="clear" w:color="auto" w:fill="auto"/>
            <w:noWrap/>
            <w:vAlign w:val="bottom"/>
            <w:hideMark/>
          </w:tcPr>
          <w:p w14:paraId="719E626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3273C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E91132D" w14:textId="77777777" w:rsidR="00DE156A" w:rsidRDefault="00DE156A" w:rsidP="005A3B4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1E999CC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20932E" w14:textId="77777777" w:rsidR="00DE156A" w:rsidRDefault="00DE156A"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2ABAFC1E" w14:textId="77777777" w:rsidR="00DE156A" w:rsidRDefault="00DE156A" w:rsidP="005A3B4D">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6266CB69"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C96640C"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088DF39" w14:textId="77777777" w:rsidR="00DE156A" w:rsidRDefault="00DE156A" w:rsidP="005A3B4D">
            <w:pPr>
              <w:jc w:val="right"/>
              <w:rPr>
                <w:color w:val="000000"/>
                <w:sz w:val="20"/>
                <w:szCs w:val="20"/>
              </w:rPr>
            </w:pPr>
            <w:r>
              <w:rPr>
                <w:color w:val="000000"/>
                <w:sz w:val="20"/>
                <w:szCs w:val="20"/>
              </w:rPr>
              <w:t>0.902</w:t>
            </w:r>
          </w:p>
        </w:tc>
        <w:tc>
          <w:tcPr>
            <w:tcW w:w="768" w:type="dxa"/>
            <w:tcBorders>
              <w:top w:val="nil"/>
              <w:left w:val="nil"/>
              <w:bottom w:val="nil"/>
              <w:right w:val="nil"/>
            </w:tcBorders>
            <w:shd w:val="clear" w:color="auto" w:fill="auto"/>
            <w:noWrap/>
            <w:vAlign w:val="bottom"/>
            <w:hideMark/>
          </w:tcPr>
          <w:p w14:paraId="2DE876C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20BD47" w14:textId="77777777" w:rsidR="00DE156A" w:rsidRDefault="00DE156A" w:rsidP="005A3B4D">
            <w:pPr>
              <w:jc w:val="right"/>
              <w:rPr>
                <w:b/>
                <w:bCs/>
                <w:color w:val="000000"/>
                <w:sz w:val="20"/>
                <w:szCs w:val="20"/>
              </w:rPr>
            </w:pPr>
            <w:r>
              <w:rPr>
                <w:b/>
                <w:bCs/>
                <w:color w:val="000000"/>
                <w:sz w:val="20"/>
                <w:szCs w:val="20"/>
              </w:rPr>
              <w:t>0.113</w:t>
            </w:r>
          </w:p>
        </w:tc>
        <w:tc>
          <w:tcPr>
            <w:tcW w:w="768" w:type="dxa"/>
            <w:tcBorders>
              <w:top w:val="nil"/>
              <w:left w:val="nil"/>
              <w:bottom w:val="nil"/>
              <w:right w:val="nil"/>
            </w:tcBorders>
            <w:shd w:val="clear" w:color="auto" w:fill="auto"/>
            <w:noWrap/>
            <w:vAlign w:val="bottom"/>
            <w:hideMark/>
          </w:tcPr>
          <w:p w14:paraId="650A2D99" w14:textId="77777777" w:rsidR="00DE156A" w:rsidRDefault="00DE156A" w:rsidP="005A3B4D">
            <w:pPr>
              <w:jc w:val="right"/>
              <w:rPr>
                <w:b/>
                <w:bCs/>
                <w:color w:val="000000"/>
                <w:sz w:val="20"/>
                <w:szCs w:val="20"/>
              </w:rPr>
            </w:pPr>
            <w:r>
              <w:rPr>
                <w:b/>
                <w:bCs/>
                <w:color w:val="000000"/>
                <w:sz w:val="20"/>
                <w:szCs w:val="20"/>
              </w:rPr>
              <w:t>0.011</w:t>
            </w:r>
          </w:p>
        </w:tc>
        <w:tc>
          <w:tcPr>
            <w:tcW w:w="768" w:type="dxa"/>
            <w:tcBorders>
              <w:top w:val="nil"/>
              <w:left w:val="nil"/>
              <w:bottom w:val="nil"/>
              <w:right w:val="nil"/>
            </w:tcBorders>
            <w:shd w:val="clear" w:color="auto" w:fill="auto"/>
            <w:noWrap/>
            <w:vAlign w:val="bottom"/>
            <w:hideMark/>
          </w:tcPr>
          <w:p w14:paraId="52843A7F" w14:textId="77777777" w:rsidR="00DE156A" w:rsidRDefault="00DE156A" w:rsidP="005A3B4D">
            <w:pPr>
              <w:jc w:val="right"/>
              <w:rPr>
                <w:color w:val="000000"/>
                <w:sz w:val="20"/>
                <w:szCs w:val="20"/>
              </w:rPr>
            </w:pPr>
            <w:r>
              <w:rPr>
                <w:b/>
                <w:bCs/>
                <w:color w:val="000000"/>
                <w:sz w:val="20"/>
                <w:szCs w:val="20"/>
              </w:rPr>
              <w:t>0.013</w:t>
            </w:r>
          </w:p>
        </w:tc>
      </w:tr>
      <w:tr w:rsidR="00DE156A" w14:paraId="57CA7A38"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5FCDAF9F"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0D74445"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D62FF49" w14:textId="77777777" w:rsidR="00DE156A" w:rsidRDefault="00DE156A" w:rsidP="005A3B4D">
            <w:pPr>
              <w:jc w:val="right"/>
              <w:rPr>
                <w:color w:val="000000"/>
                <w:sz w:val="20"/>
                <w:szCs w:val="20"/>
              </w:rPr>
            </w:pPr>
            <w:r>
              <w:rPr>
                <w:color w:val="000000"/>
                <w:sz w:val="20"/>
                <w:szCs w:val="20"/>
              </w:rPr>
              <w:t>-0.080</w:t>
            </w:r>
          </w:p>
        </w:tc>
        <w:tc>
          <w:tcPr>
            <w:tcW w:w="768" w:type="dxa"/>
            <w:tcBorders>
              <w:top w:val="nil"/>
              <w:left w:val="nil"/>
              <w:bottom w:val="single" w:sz="4" w:space="0" w:color="auto"/>
              <w:right w:val="nil"/>
            </w:tcBorders>
            <w:shd w:val="clear" w:color="auto" w:fill="auto"/>
            <w:noWrap/>
            <w:vAlign w:val="bottom"/>
            <w:hideMark/>
          </w:tcPr>
          <w:p w14:paraId="29E83C82" w14:textId="77777777" w:rsidR="00DE156A" w:rsidRDefault="00DE156A" w:rsidP="005A3B4D">
            <w:pPr>
              <w:jc w:val="right"/>
              <w:rPr>
                <w:color w:val="000000"/>
                <w:sz w:val="20"/>
                <w:szCs w:val="20"/>
              </w:rPr>
            </w:pPr>
            <w:r>
              <w:rPr>
                <w:color w:val="000000"/>
                <w:sz w:val="20"/>
                <w:szCs w:val="20"/>
              </w:rPr>
              <w:t>0.340</w:t>
            </w:r>
          </w:p>
        </w:tc>
        <w:tc>
          <w:tcPr>
            <w:tcW w:w="768" w:type="dxa"/>
            <w:tcBorders>
              <w:top w:val="nil"/>
              <w:left w:val="nil"/>
              <w:bottom w:val="single" w:sz="4" w:space="0" w:color="auto"/>
              <w:right w:val="nil"/>
            </w:tcBorders>
            <w:shd w:val="clear" w:color="auto" w:fill="auto"/>
            <w:noWrap/>
            <w:vAlign w:val="bottom"/>
            <w:hideMark/>
          </w:tcPr>
          <w:p w14:paraId="4D66086A"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5E5DA565" w14:textId="77777777" w:rsidR="00DE156A" w:rsidRDefault="00DE156A" w:rsidP="005A3B4D">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499EFA31" w14:textId="77777777" w:rsidR="00DE156A" w:rsidRDefault="00DE156A" w:rsidP="005A3B4D">
            <w:pPr>
              <w:jc w:val="right"/>
              <w:rPr>
                <w:color w:val="000000"/>
                <w:sz w:val="20"/>
                <w:szCs w:val="20"/>
              </w:rPr>
            </w:pPr>
            <w:r>
              <w:rPr>
                <w:color w:val="000000"/>
                <w:sz w:val="20"/>
                <w:szCs w:val="20"/>
              </w:rPr>
              <w:t>0.992</w:t>
            </w:r>
          </w:p>
        </w:tc>
        <w:tc>
          <w:tcPr>
            <w:tcW w:w="768" w:type="dxa"/>
            <w:tcBorders>
              <w:top w:val="nil"/>
              <w:left w:val="nil"/>
              <w:bottom w:val="single" w:sz="4" w:space="0" w:color="auto"/>
              <w:right w:val="nil"/>
            </w:tcBorders>
            <w:shd w:val="clear" w:color="auto" w:fill="auto"/>
            <w:noWrap/>
            <w:vAlign w:val="bottom"/>
            <w:hideMark/>
          </w:tcPr>
          <w:p w14:paraId="72F11638"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5EE5C2E" w14:textId="77777777" w:rsidR="00DE156A" w:rsidRDefault="00DE156A" w:rsidP="005A3B4D">
            <w:pPr>
              <w:jc w:val="right"/>
              <w:rPr>
                <w:color w:val="000000"/>
                <w:sz w:val="20"/>
                <w:szCs w:val="20"/>
              </w:rPr>
            </w:pPr>
            <w:r>
              <w:rPr>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445311AD" w14:textId="77777777" w:rsidR="00DE156A" w:rsidRDefault="00DE156A" w:rsidP="005A3B4D">
            <w:pPr>
              <w:jc w:val="right"/>
              <w:rPr>
                <w:color w:val="000000"/>
                <w:sz w:val="20"/>
                <w:szCs w:val="20"/>
              </w:rPr>
            </w:pPr>
            <w:r>
              <w:rPr>
                <w:color w:val="000000"/>
                <w:sz w:val="20"/>
                <w:szCs w:val="20"/>
              </w:rPr>
              <w:t>0.766</w:t>
            </w:r>
          </w:p>
        </w:tc>
        <w:tc>
          <w:tcPr>
            <w:tcW w:w="768" w:type="dxa"/>
            <w:tcBorders>
              <w:top w:val="nil"/>
              <w:left w:val="nil"/>
              <w:bottom w:val="single" w:sz="4" w:space="0" w:color="auto"/>
              <w:right w:val="nil"/>
            </w:tcBorders>
            <w:shd w:val="clear" w:color="auto" w:fill="auto"/>
            <w:noWrap/>
            <w:vAlign w:val="bottom"/>
            <w:hideMark/>
          </w:tcPr>
          <w:p w14:paraId="41D9DFD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E6CBAE1"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0C4A350A" w14:textId="77777777" w:rsidR="00DE156A" w:rsidRDefault="00DE156A" w:rsidP="005A3B4D">
            <w:pPr>
              <w:jc w:val="right"/>
              <w:rPr>
                <w:color w:val="000000"/>
                <w:sz w:val="20"/>
                <w:szCs w:val="20"/>
              </w:rPr>
            </w:pPr>
            <w:r>
              <w:rPr>
                <w:color w:val="000000"/>
                <w:sz w:val="20"/>
                <w:szCs w:val="20"/>
              </w:rPr>
              <w:t>0.725</w:t>
            </w:r>
          </w:p>
        </w:tc>
        <w:tc>
          <w:tcPr>
            <w:tcW w:w="768" w:type="dxa"/>
            <w:tcBorders>
              <w:top w:val="nil"/>
              <w:left w:val="nil"/>
              <w:bottom w:val="single" w:sz="4" w:space="0" w:color="auto"/>
              <w:right w:val="nil"/>
            </w:tcBorders>
            <w:shd w:val="clear" w:color="auto" w:fill="auto"/>
            <w:noWrap/>
            <w:vAlign w:val="bottom"/>
            <w:hideMark/>
          </w:tcPr>
          <w:p w14:paraId="15E1784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5D1209B" w14:textId="77777777" w:rsidR="00DE156A" w:rsidRDefault="00DE156A" w:rsidP="005A3B4D">
            <w:pPr>
              <w:jc w:val="right"/>
              <w:rPr>
                <w:color w:val="000000"/>
                <w:sz w:val="20"/>
                <w:szCs w:val="20"/>
              </w:rPr>
            </w:pPr>
            <w:r>
              <w:rPr>
                <w:color w:val="000000"/>
                <w:sz w:val="20"/>
                <w:szCs w:val="20"/>
              </w:rPr>
              <w:t>0.052</w:t>
            </w:r>
          </w:p>
        </w:tc>
        <w:tc>
          <w:tcPr>
            <w:tcW w:w="768" w:type="dxa"/>
            <w:tcBorders>
              <w:top w:val="nil"/>
              <w:left w:val="nil"/>
              <w:bottom w:val="single" w:sz="4" w:space="0" w:color="auto"/>
              <w:right w:val="nil"/>
            </w:tcBorders>
            <w:shd w:val="clear" w:color="auto" w:fill="auto"/>
            <w:noWrap/>
            <w:vAlign w:val="bottom"/>
            <w:hideMark/>
          </w:tcPr>
          <w:p w14:paraId="42DC8CBC" w14:textId="77777777" w:rsidR="00DE156A" w:rsidRDefault="00DE156A" w:rsidP="005A3B4D">
            <w:pPr>
              <w:jc w:val="right"/>
              <w:rPr>
                <w:color w:val="000000"/>
                <w:sz w:val="20"/>
                <w:szCs w:val="20"/>
              </w:rPr>
            </w:pPr>
            <w:r>
              <w:rPr>
                <w:color w:val="000000"/>
                <w:sz w:val="20"/>
                <w:szCs w:val="20"/>
              </w:rPr>
              <w:t>0.617</w:t>
            </w:r>
          </w:p>
        </w:tc>
        <w:tc>
          <w:tcPr>
            <w:tcW w:w="768" w:type="dxa"/>
            <w:tcBorders>
              <w:top w:val="nil"/>
              <w:left w:val="nil"/>
              <w:bottom w:val="single" w:sz="4" w:space="0" w:color="auto"/>
              <w:right w:val="nil"/>
            </w:tcBorders>
            <w:shd w:val="clear" w:color="auto" w:fill="auto"/>
            <w:noWrap/>
            <w:vAlign w:val="bottom"/>
            <w:hideMark/>
          </w:tcPr>
          <w:p w14:paraId="220FEB81" w14:textId="77777777" w:rsidR="00DE156A" w:rsidRDefault="00DE156A" w:rsidP="005A3B4D">
            <w:pPr>
              <w:jc w:val="right"/>
              <w:rPr>
                <w:color w:val="000000"/>
                <w:sz w:val="20"/>
                <w:szCs w:val="20"/>
              </w:rPr>
            </w:pPr>
            <w:r>
              <w:rPr>
                <w:color w:val="000000"/>
                <w:sz w:val="20"/>
                <w:szCs w:val="20"/>
              </w:rPr>
              <w:t>0.003</w:t>
            </w:r>
          </w:p>
        </w:tc>
      </w:tr>
      <w:tr w:rsidR="00DE156A" w14:paraId="3CB9E965" w14:textId="77777777" w:rsidTr="005A3B4D">
        <w:trPr>
          <w:trHeight w:val="320"/>
        </w:trPr>
        <w:tc>
          <w:tcPr>
            <w:tcW w:w="1176" w:type="dxa"/>
            <w:tcBorders>
              <w:top w:val="nil"/>
              <w:left w:val="nil"/>
              <w:bottom w:val="nil"/>
              <w:right w:val="nil"/>
            </w:tcBorders>
            <w:shd w:val="clear" w:color="auto" w:fill="auto"/>
            <w:noWrap/>
            <w:vAlign w:val="bottom"/>
            <w:hideMark/>
          </w:tcPr>
          <w:p w14:paraId="0DBFA5B1" w14:textId="77777777" w:rsidR="00DE156A" w:rsidRDefault="00DE156A"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0C4427A2"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DB12B66" w14:textId="77777777" w:rsidR="00DE156A" w:rsidRDefault="00DE156A" w:rsidP="005A3B4D">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00DAAEB7" w14:textId="77777777" w:rsidR="00DE156A" w:rsidRDefault="00DE156A" w:rsidP="005A3B4D">
            <w:pPr>
              <w:jc w:val="right"/>
              <w:rPr>
                <w:color w:val="000000"/>
                <w:sz w:val="20"/>
                <w:szCs w:val="20"/>
              </w:rPr>
            </w:pPr>
            <w:r>
              <w:rPr>
                <w:color w:val="000000"/>
                <w:sz w:val="20"/>
                <w:szCs w:val="20"/>
              </w:rPr>
              <w:t>0.189</w:t>
            </w:r>
          </w:p>
        </w:tc>
        <w:tc>
          <w:tcPr>
            <w:tcW w:w="768" w:type="dxa"/>
            <w:tcBorders>
              <w:top w:val="nil"/>
              <w:left w:val="nil"/>
              <w:bottom w:val="nil"/>
              <w:right w:val="nil"/>
            </w:tcBorders>
            <w:shd w:val="clear" w:color="auto" w:fill="auto"/>
            <w:noWrap/>
            <w:vAlign w:val="bottom"/>
            <w:hideMark/>
          </w:tcPr>
          <w:p w14:paraId="606D60F8"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F2DF6AA"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15CC4A2" w14:textId="77777777" w:rsidR="00DE156A" w:rsidRDefault="00DE156A"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5EF02B67"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BE033C"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A8EDA8F" w14:textId="77777777" w:rsidR="00DE156A" w:rsidRDefault="00DE156A" w:rsidP="005A3B4D">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7563578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226727"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5DC4684" w14:textId="77777777" w:rsidR="00DE156A" w:rsidRDefault="00DE156A" w:rsidP="005A3B4D">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4E8A1FD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3F3D4B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3556DC" w14:textId="77777777" w:rsidR="00DE156A" w:rsidRDefault="00DE156A" w:rsidP="005A3B4D">
            <w:pPr>
              <w:jc w:val="right"/>
              <w:rPr>
                <w:color w:val="000000"/>
                <w:sz w:val="20"/>
                <w:szCs w:val="20"/>
              </w:rPr>
            </w:pPr>
            <w:r>
              <w:rPr>
                <w:color w:val="000000"/>
                <w:sz w:val="20"/>
                <w:szCs w:val="20"/>
              </w:rPr>
              <w:t>0.972</w:t>
            </w:r>
          </w:p>
        </w:tc>
        <w:tc>
          <w:tcPr>
            <w:tcW w:w="768" w:type="dxa"/>
            <w:tcBorders>
              <w:top w:val="nil"/>
              <w:left w:val="nil"/>
              <w:bottom w:val="nil"/>
              <w:right w:val="nil"/>
            </w:tcBorders>
            <w:shd w:val="clear" w:color="auto" w:fill="auto"/>
            <w:noWrap/>
            <w:vAlign w:val="bottom"/>
            <w:hideMark/>
          </w:tcPr>
          <w:p w14:paraId="05522DF6" w14:textId="77777777" w:rsidR="00DE156A" w:rsidRDefault="00DE156A" w:rsidP="005A3B4D">
            <w:pPr>
              <w:jc w:val="right"/>
              <w:rPr>
                <w:color w:val="000000"/>
                <w:sz w:val="20"/>
                <w:szCs w:val="20"/>
              </w:rPr>
            </w:pPr>
            <w:r>
              <w:rPr>
                <w:color w:val="000000"/>
                <w:sz w:val="20"/>
                <w:szCs w:val="20"/>
              </w:rPr>
              <w:t>0.000</w:t>
            </w:r>
          </w:p>
        </w:tc>
      </w:tr>
      <w:tr w:rsidR="00DE156A" w14:paraId="5C349D30" w14:textId="77777777" w:rsidTr="005A3B4D">
        <w:trPr>
          <w:trHeight w:val="320"/>
        </w:trPr>
        <w:tc>
          <w:tcPr>
            <w:tcW w:w="1176" w:type="dxa"/>
            <w:tcBorders>
              <w:top w:val="nil"/>
              <w:left w:val="nil"/>
              <w:bottom w:val="nil"/>
              <w:right w:val="nil"/>
            </w:tcBorders>
            <w:shd w:val="clear" w:color="auto" w:fill="auto"/>
            <w:noWrap/>
            <w:vAlign w:val="bottom"/>
            <w:hideMark/>
          </w:tcPr>
          <w:p w14:paraId="433B95EB"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FF3241F"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DBDAB9B" w14:textId="77777777" w:rsidR="00DE156A" w:rsidRDefault="00DE156A"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06D13D4" w14:textId="77777777" w:rsidR="00DE156A" w:rsidRDefault="00DE156A" w:rsidP="005A3B4D">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339E8089"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B5DD69"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5FBF695" w14:textId="77777777" w:rsidR="00DE156A" w:rsidRDefault="00DE156A"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5E2FB27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DEF85D" w14:textId="77777777" w:rsidR="00DE156A" w:rsidRDefault="00DE156A"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12EB0644" w14:textId="77777777" w:rsidR="00DE156A" w:rsidRDefault="00DE156A" w:rsidP="005A3B4D">
            <w:pPr>
              <w:jc w:val="right"/>
              <w:rPr>
                <w:color w:val="000000"/>
                <w:sz w:val="20"/>
                <w:szCs w:val="20"/>
              </w:rPr>
            </w:pPr>
            <w:r>
              <w:rPr>
                <w:color w:val="000000"/>
                <w:sz w:val="20"/>
                <w:szCs w:val="20"/>
              </w:rPr>
              <w:t>0.354</w:t>
            </w:r>
          </w:p>
        </w:tc>
        <w:tc>
          <w:tcPr>
            <w:tcW w:w="768" w:type="dxa"/>
            <w:tcBorders>
              <w:top w:val="nil"/>
              <w:left w:val="nil"/>
              <w:bottom w:val="nil"/>
              <w:right w:val="nil"/>
            </w:tcBorders>
            <w:shd w:val="clear" w:color="auto" w:fill="auto"/>
            <w:noWrap/>
            <w:vAlign w:val="bottom"/>
            <w:hideMark/>
          </w:tcPr>
          <w:p w14:paraId="5D5C298E"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3B31809"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8ADD6E0" w14:textId="77777777" w:rsidR="00DE156A" w:rsidRDefault="00DE156A" w:rsidP="005A3B4D">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401945C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962362" w14:textId="77777777" w:rsidR="00DE156A" w:rsidRDefault="00DE156A"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ED81C67" w14:textId="77777777" w:rsidR="00DE156A" w:rsidRDefault="00DE156A" w:rsidP="005A3B4D">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33C65EEE" w14:textId="77777777" w:rsidR="00DE156A" w:rsidRDefault="00DE156A" w:rsidP="005A3B4D">
            <w:pPr>
              <w:jc w:val="right"/>
              <w:rPr>
                <w:color w:val="000000"/>
                <w:sz w:val="20"/>
                <w:szCs w:val="20"/>
              </w:rPr>
            </w:pPr>
            <w:r>
              <w:rPr>
                <w:color w:val="000000"/>
                <w:sz w:val="20"/>
                <w:szCs w:val="20"/>
              </w:rPr>
              <w:t>0.002</w:t>
            </w:r>
          </w:p>
        </w:tc>
      </w:tr>
      <w:tr w:rsidR="00DE156A" w14:paraId="28E39A1F" w14:textId="77777777" w:rsidTr="005A3B4D">
        <w:trPr>
          <w:trHeight w:val="320"/>
        </w:trPr>
        <w:tc>
          <w:tcPr>
            <w:tcW w:w="1176" w:type="dxa"/>
            <w:tcBorders>
              <w:top w:val="nil"/>
              <w:left w:val="nil"/>
              <w:bottom w:val="nil"/>
              <w:right w:val="nil"/>
            </w:tcBorders>
            <w:shd w:val="clear" w:color="auto" w:fill="auto"/>
            <w:noWrap/>
            <w:vAlign w:val="bottom"/>
            <w:hideMark/>
          </w:tcPr>
          <w:p w14:paraId="697F1446"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39B977"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08CE3A0" w14:textId="77777777" w:rsidR="00DE156A" w:rsidRDefault="00DE156A"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80518FD" w14:textId="77777777" w:rsidR="00DE156A" w:rsidRDefault="00DE156A" w:rsidP="005A3B4D">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369C6DA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27EA33" w14:textId="77777777" w:rsidR="00DE156A" w:rsidRDefault="00DE156A" w:rsidP="005A3B4D">
            <w:pPr>
              <w:jc w:val="right"/>
              <w:rPr>
                <w:b/>
                <w:bCs/>
                <w:color w:val="000000"/>
                <w:sz w:val="20"/>
                <w:szCs w:val="20"/>
              </w:rPr>
            </w:pPr>
            <w:r>
              <w:rPr>
                <w:b/>
                <w:bCs/>
                <w:color w:val="000000"/>
                <w:sz w:val="20"/>
                <w:szCs w:val="20"/>
              </w:rPr>
              <w:t>-0.098</w:t>
            </w:r>
          </w:p>
        </w:tc>
        <w:tc>
          <w:tcPr>
            <w:tcW w:w="768" w:type="dxa"/>
            <w:tcBorders>
              <w:top w:val="nil"/>
              <w:left w:val="nil"/>
              <w:bottom w:val="nil"/>
              <w:right w:val="nil"/>
            </w:tcBorders>
            <w:shd w:val="clear" w:color="auto" w:fill="auto"/>
            <w:noWrap/>
            <w:vAlign w:val="bottom"/>
            <w:hideMark/>
          </w:tcPr>
          <w:p w14:paraId="58507F64" w14:textId="77777777" w:rsidR="00DE156A" w:rsidRDefault="00DE156A" w:rsidP="005A3B4D">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23340981" w14:textId="77777777" w:rsidR="00DE156A" w:rsidRDefault="00DE156A" w:rsidP="005A3B4D">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1E5D5C1A" w14:textId="77777777" w:rsidR="00DE156A" w:rsidRDefault="00DE156A"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EA31ACC" w14:textId="77777777" w:rsidR="00DE156A" w:rsidRDefault="00DE156A" w:rsidP="005A3B4D">
            <w:pPr>
              <w:jc w:val="right"/>
              <w:rPr>
                <w:color w:val="000000"/>
                <w:sz w:val="20"/>
                <w:szCs w:val="20"/>
              </w:rPr>
            </w:pPr>
            <w:r>
              <w:rPr>
                <w:color w:val="000000"/>
                <w:sz w:val="20"/>
                <w:szCs w:val="20"/>
              </w:rPr>
              <w:t>0.354</w:t>
            </w:r>
          </w:p>
        </w:tc>
        <w:tc>
          <w:tcPr>
            <w:tcW w:w="768" w:type="dxa"/>
            <w:tcBorders>
              <w:top w:val="nil"/>
              <w:left w:val="nil"/>
              <w:bottom w:val="nil"/>
              <w:right w:val="nil"/>
            </w:tcBorders>
            <w:shd w:val="clear" w:color="auto" w:fill="auto"/>
            <w:noWrap/>
            <w:vAlign w:val="bottom"/>
            <w:hideMark/>
          </w:tcPr>
          <w:p w14:paraId="5247FDA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EDA6E65" w14:textId="77777777" w:rsidR="00DE156A" w:rsidRDefault="00DE156A"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0CC9EF29" w14:textId="77777777" w:rsidR="00DE156A" w:rsidRDefault="00DE156A" w:rsidP="005A3B4D">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39E8C2E6"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189C494" w14:textId="77777777" w:rsidR="00DE156A" w:rsidRDefault="00DE156A"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D471F23" w14:textId="77777777" w:rsidR="00DE156A" w:rsidRDefault="00DE156A" w:rsidP="005A3B4D">
            <w:pPr>
              <w:jc w:val="right"/>
              <w:rPr>
                <w:color w:val="000000"/>
                <w:sz w:val="20"/>
                <w:szCs w:val="20"/>
              </w:rPr>
            </w:pPr>
            <w:r>
              <w:rPr>
                <w:color w:val="000000"/>
                <w:sz w:val="20"/>
                <w:szCs w:val="20"/>
              </w:rPr>
              <w:t>0.730</w:t>
            </w:r>
          </w:p>
        </w:tc>
        <w:tc>
          <w:tcPr>
            <w:tcW w:w="768" w:type="dxa"/>
            <w:tcBorders>
              <w:top w:val="nil"/>
              <w:left w:val="nil"/>
              <w:bottom w:val="nil"/>
              <w:right w:val="nil"/>
            </w:tcBorders>
            <w:shd w:val="clear" w:color="auto" w:fill="auto"/>
            <w:noWrap/>
            <w:vAlign w:val="bottom"/>
            <w:hideMark/>
          </w:tcPr>
          <w:p w14:paraId="7C822C1F" w14:textId="77777777" w:rsidR="00DE156A" w:rsidRDefault="00DE156A" w:rsidP="005A3B4D">
            <w:pPr>
              <w:jc w:val="right"/>
              <w:rPr>
                <w:color w:val="000000"/>
                <w:sz w:val="20"/>
                <w:szCs w:val="20"/>
              </w:rPr>
            </w:pPr>
            <w:r>
              <w:rPr>
                <w:color w:val="000000"/>
                <w:sz w:val="20"/>
                <w:szCs w:val="20"/>
              </w:rPr>
              <w:t>0.001</w:t>
            </w:r>
          </w:p>
        </w:tc>
      </w:tr>
      <w:tr w:rsidR="00DE156A" w14:paraId="75A1CE16" w14:textId="77777777" w:rsidTr="005A3B4D">
        <w:trPr>
          <w:trHeight w:val="320"/>
        </w:trPr>
        <w:tc>
          <w:tcPr>
            <w:tcW w:w="1176" w:type="dxa"/>
            <w:tcBorders>
              <w:top w:val="nil"/>
              <w:left w:val="nil"/>
              <w:bottom w:val="nil"/>
              <w:right w:val="nil"/>
            </w:tcBorders>
            <w:shd w:val="clear" w:color="auto" w:fill="auto"/>
            <w:noWrap/>
            <w:vAlign w:val="bottom"/>
            <w:hideMark/>
          </w:tcPr>
          <w:p w14:paraId="3E9C70A7"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29A84E5"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CE910F2"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43BDFE5" w14:textId="77777777" w:rsidR="00DE156A" w:rsidRDefault="00DE156A"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28090EB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8630A2" w14:textId="77777777" w:rsidR="00DE156A" w:rsidRDefault="00DE156A"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7D04B2DB" w14:textId="77777777" w:rsidR="00DE156A" w:rsidRDefault="00DE156A" w:rsidP="005A3B4D">
            <w:pPr>
              <w:jc w:val="right"/>
              <w:rPr>
                <w:color w:val="000000"/>
                <w:sz w:val="20"/>
                <w:szCs w:val="20"/>
              </w:rPr>
            </w:pPr>
            <w:r>
              <w:rPr>
                <w:color w:val="000000"/>
                <w:sz w:val="20"/>
                <w:szCs w:val="20"/>
              </w:rPr>
              <w:t>0.741</w:t>
            </w:r>
          </w:p>
        </w:tc>
        <w:tc>
          <w:tcPr>
            <w:tcW w:w="768" w:type="dxa"/>
            <w:tcBorders>
              <w:top w:val="nil"/>
              <w:left w:val="nil"/>
              <w:bottom w:val="nil"/>
              <w:right w:val="nil"/>
            </w:tcBorders>
            <w:shd w:val="clear" w:color="auto" w:fill="auto"/>
            <w:noWrap/>
            <w:vAlign w:val="bottom"/>
            <w:hideMark/>
          </w:tcPr>
          <w:p w14:paraId="384E6D13"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3BB52F0" w14:textId="77777777" w:rsidR="00DE156A" w:rsidRDefault="00DE156A" w:rsidP="005A3B4D">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34697D48" w14:textId="77777777" w:rsidR="00DE156A" w:rsidRDefault="00DE156A" w:rsidP="005A3B4D">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4DF8008F"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E3A39C7"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AC75A3D" w14:textId="77777777" w:rsidR="00DE156A" w:rsidRDefault="00DE156A" w:rsidP="005A3B4D">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2CDDB2E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25DCA1"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78DDE9C" w14:textId="77777777" w:rsidR="00DE156A" w:rsidRDefault="00DE156A" w:rsidP="005A3B4D">
            <w:pPr>
              <w:jc w:val="right"/>
              <w:rPr>
                <w:color w:val="000000"/>
                <w:sz w:val="20"/>
                <w:szCs w:val="20"/>
              </w:rPr>
            </w:pPr>
            <w:r>
              <w:rPr>
                <w:color w:val="000000"/>
                <w:sz w:val="20"/>
                <w:szCs w:val="20"/>
              </w:rPr>
              <w:t>0.730</w:t>
            </w:r>
          </w:p>
        </w:tc>
        <w:tc>
          <w:tcPr>
            <w:tcW w:w="768" w:type="dxa"/>
            <w:tcBorders>
              <w:top w:val="nil"/>
              <w:left w:val="nil"/>
              <w:bottom w:val="nil"/>
              <w:right w:val="nil"/>
            </w:tcBorders>
            <w:shd w:val="clear" w:color="auto" w:fill="auto"/>
            <w:noWrap/>
            <w:vAlign w:val="bottom"/>
            <w:hideMark/>
          </w:tcPr>
          <w:p w14:paraId="78A1E381" w14:textId="77777777" w:rsidR="00DE156A" w:rsidRDefault="00DE156A" w:rsidP="005A3B4D">
            <w:pPr>
              <w:jc w:val="right"/>
              <w:rPr>
                <w:color w:val="000000"/>
                <w:sz w:val="20"/>
                <w:szCs w:val="20"/>
              </w:rPr>
            </w:pPr>
            <w:r>
              <w:rPr>
                <w:color w:val="000000"/>
                <w:sz w:val="20"/>
                <w:szCs w:val="20"/>
              </w:rPr>
              <w:t>0.000</w:t>
            </w:r>
          </w:p>
        </w:tc>
      </w:tr>
      <w:tr w:rsidR="00DE156A" w14:paraId="001663F9" w14:textId="77777777" w:rsidTr="005A3B4D">
        <w:trPr>
          <w:trHeight w:val="320"/>
        </w:trPr>
        <w:tc>
          <w:tcPr>
            <w:tcW w:w="1176" w:type="dxa"/>
            <w:tcBorders>
              <w:top w:val="nil"/>
              <w:left w:val="nil"/>
              <w:bottom w:val="nil"/>
              <w:right w:val="nil"/>
            </w:tcBorders>
            <w:shd w:val="clear" w:color="auto" w:fill="auto"/>
            <w:noWrap/>
            <w:vAlign w:val="bottom"/>
            <w:hideMark/>
          </w:tcPr>
          <w:p w14:paraId="5B6C1681"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CA83E16"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D62A90F"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CFC80D7" w14:textId="77777777" w:rsidR="00DE156A" w:rsidRDefault="00DE156A"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4DE76A2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E0674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E629F0" w14:textId="77777777" w:rsidR="00DE156A" w:rsidRDefault="00DE156A"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10E3C9A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BC1A56"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044B02BA" w14:textId="77777777" w:rsidR="00DE156A" w:rsidRDefault="00DE156A" w:rsidP="005A3B4D">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4CB456D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752617" w14:textId="77777777" w:rsidR="00DE156A" w:rsidRDefault="00DE156A"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24316F9" w14:textId="77777777" w:rsidR="00DE156A" w:rsidRDefault="00DE156A" w:rsidP="005A3B4D">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72D5276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553ED5"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F585602" w14:textId="77777777" w:rsidR="00DE156A" w:rsidRDefault="00DE156A" w:rsidP="005A3B4D">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3AE86278" w14:textId="77777777" w:rsidR="00DE156A" w:rsidRDefault="00DE156A" w:rsidP="005A3B4D">
            <w:pPr>
              <w:jc w:val="right"/>
              <w:rPr>
                <w:color w:val="000000"/>
                <w:sz w:val="20"/>
                <w:szCs w:val="20"/>
              </w:rPr>
            </w:pPr>
            <w:r>
              <w:rPr>
                <w:color w:val="000000"/>
                <w:sz w:val="20"/>
                <w:szCs w:val="20"/>
              </w:rPr>
              <w:t>0.001</w:t>
            </w:r>
          </w:p>
        </w:tc>
      </w:tr>
      <w:tr w:rsidR="00DE156A" w14:paraId="5AE79090" w14:textId="77777777" w:rsidTr="005A3B4D">
        <w:trPr>
          <w:trHeight w:val="320"/>
        </w:trPr>
        <w:tc>
          <w:tcPr>
            <w:tcW w:w="1176" w:type="dxa"/>
            <w:tcBorders>
              <w:top w:val="nil"/>
              <w:left w:val="nil"/>
              <w:bottom w:val="nil"/>
              <w:right w:val="nil"/>
            </w:tcBorders>
            <w:shd w:val="clear" w:color="auto" w:fill="auto"/>
            <w:noWrap/>
            <w:vAlign w:val="bottom"/>
            <w:hideMark/>
          </w:tcPr>
          <w:p w14:paraId="7605FAC8"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72B4C1"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18D3F87" w14:textId="77777777" w:rsidR="00DE156A" w:rsidRDefault="00DE156A" w:rsidP="005A3B4D">
            <w:pPr>
              <w:jc w:val="right"/>
              <w:rPr>
                <w:b/>
                <w:bCs/>
                <w:color w:val="000000"/>
                <w:sz w:val="20"/>
                <w:szCs w:val="20"/>
              </w:rPr>
            </w:pPr>
            <w:r>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52CB2211" w14:textId="77777777" w:rsidR="00DE156A" w:rsidRDefault="00DE156A"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55E6C21D" w14:textId="77777777" w:rsidR="00DE156A" w:rsidRDefault="00DE156A" w:rsidP="005A3B4D">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10B1A782"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A73D8F5" w14:textId="77777777" w:rsidR="00DE156A" w:rsidRDefault="00DE156A"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1956E15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103C4C" w14:textId="77777777" w:rsidR="00DE156A" w:rsidRDefault="00DE156A"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AE5FA16" w14:textId="77777777" w:rsidR="00DE156A" w:rsidRDefault="00DE156A" w:rsidP="005A3B4D">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73B80CF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D61394"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DBA0948" w14:textId="77777777" w:rsidR="00DE156A" w:rsidRDefault="00DE156A" w:rsidP="005A3B4D">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3502D40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8C7485" w14:textId="77777777" w:rsidR="00DE156A" w:rsidRDefault="00DE156A"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4F5EEEB4" w14:textId="77777777" w:rsidR="00DE156A" w:rsidRDefault="00DE156A" w:rsidP="005A3B4D">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07F847CF" w14:textId="77777777" w:rsidR="00DE156A" w:rsidRDefault="00DE156A" w:rsidP="005A3B4D">
            <w:pPr>
              <w:jc w:val="right"/>
              <w:rPr>
                <w:color w:val="000000"/>
                <w:sz w:val="20"/>
                <w:szCs w:val="20"/>
              </w:rPr>
            </w:pPr>
            <w:r>
              <w:rPr>
                <w:color w:val="000000"/>
                <w:sz w:val="20"/>
                <w:szCs w:val="20"/>
              </w:rPr>
              <w:t>0.001</w:t>
            </w:r>
          </w:p>
        </w:tc>
      </w:tr>
      <w:tr w:rsidR="00DE156A" w14:paraId="02A46B4D" w14:textId="77777777" w:rsidTr="005A3B4D">
        <w:trPr>
          <w:trHeight w:val="320"/>
        </w:trPr>
        <w:tc>
          <w:tcPr>
            <w:tcW w:w="1176" w:type="dxa"/>
            <w:tcBorders>
              <w:top w:val="nil"/>
              <w:left w:val="nil"/>
              <w:bottom w:val="nil"/>
              <w:right w:val="nil"/>
            </w:tcBorders>
            <w:shd w:val="clear" w:color="auto" w:fill="auto"/>
            <w:noWrap/>
            <w:vAlign w:val="bottom"/>
            <w:hideMark/>
          </w:tcPr>
          <w:p w14:paraId="00A1BF48"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833CDE6"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66ED8DB" w14:textId="77777777" w:rsidR="00DE156A" w:rsidRDefault="00DE156A" w:rsidP="005A3B4D">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758228DD" w14:textId="77777777" w:rsidR="00DE156A" w:rsidRDefault="00DE156A" w:rsidP="005A3B4D">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1D66A84A"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652D80F" w14:textId="77777777" w:rsidR="00DE156A" w:rsidRDefault="00DE156A" w:rsidP="005A3B4D">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33375B44" w14:textId="77777777" w:rsidR="00DE156A" w:rsidRDefault="00DE156A" w:rsidP="005A3B4D">
            <w:pPr>
              <w:jc w:val="right"/>
              <w:rPr>
                <w:color w:val="000000"/>
                <w:sz w:val="20"/>
                <w:szCs w:val="20"/>
              </w:rPr>
            </w:pPr>
            <w:r>
              <w:rPr>
                <w:color w:val="000000"/>
                <w:sz w:val="20"/>
                <w:szCs w:val="20"/>
              </w:rPr>
              <w:t>0.316</w:t>
            </w:r>
          </w:p>
        </w:tc>
        <w:tc>
          <w:tcPr>
            <w:tcW w:w="768" w:type="dxa"/>
            <w:tcBorders>
              <w:top w:val="nil"/>
              <w:left w:val="nil"/>
              <w:bottom w:val="nil"/>
              <w:right w:val="nil"/>
            </w:tcBorders>
            <w:shd w:val="clear" w:color="auto" w:fill="auto"/>
            <w:noWrap/>
            <w:vAlign w:val="bottom"/>
            <w:hideMark/>
          </w:tcPr>
          <w:p w14:paraId="6DB512CC"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69F06CE" w14:textId="77777777" w:rsidR="00DE156A" w:rsidRDefault="00DE156A"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2DD4FFDA" w14:textId="77777777" w:rsidR="00DE156A" w:rsidRDefault="00DE156A" w:rsidP="005A3B4D">
            <w:pPr>
              <w:jc w:val="right"/>
              <w:rPr>
                <w:color w:val="000000"/>
                <w:sz w:val="20"/>
                <w:szCs w:val="20"/>
              </w:rPr>
            </w:pPr>
            <w:r>
              <w:rPr>
                <w:color w:val="000000"/>
                <w:sz w:val="20"/>
                <w:szCs w:val="20"/>
              </w:rPr>
              <w:t>0.381</w:t>
            </w:r>
          </w:p>
        </w:tc>
        <w:tc>
          <w:tcPr>
            <w:tcW w:w="768" w:type="dxa"/>
            <w:tcBorders>
              <w:top w:val="nil"/>
              <w:left w:val="nil"/>
              <w:bottom w:val="nil"/>
              <w:right w:val="nil"/>
            </w:tcBorders>
            <w:shd w:val="clear" w:color="auto" w:fill="auto"/>
            <w:noWrap/>
            <w:vAlign w:val="bottom"/>
            <w:hideMark/>
          </w:tcPr>
          <w:p w14:paraId="5F682110"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8C95EF8" w14:textId="77777777" w:rsidR="00DE156A" w:rsidRDefault="00DE156A"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04D291C" w14:textId="77777777" w:rsidR="00DE156A" w:rsidRDefault="00DE156A" w:rsidP="005A3B4D">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4B2EE8E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AA5FBA" w14:textId="77777777" w:rsidR="00DE156A" w:rsidRDefault="00DE156A"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60275309" w14:textId="77777777" w:rsidR="00DE156A" w:rsidRDefault="00DE156A" w:rsidP="005A3B4D">
            <w:pPr>
              <w:jc w:val="right"/>
              <w:rPr>
                <w:color w:val="000000"/>
                <w:sz w:val="20"/>
                <w:szCs w:val="20"/>
              </w:rPr>
            </w:pPr>
            <w:r>
              <w:rPr>
                <w:color w:val="000000"/>
                <w:sz w:val="20"/>
                <w:szCs w:val="20"/>
              </w:rPr>
              <w:t>0.520</w:t>
            </w:r>
          </w:p>
        </w:tc>
        <w:tc>
          <w:tcPr>
            <w:tcW w:w="768" w:type="dxa"/>
            <w:tcBorders>
              <w:top w:val="nil"/>
              <w:left w:val="nil"/>
              <w:bottom w:val="nil"/>
              <w:right w:val="nil"/>
            </w:tcBorders>
            <w:shd w:val="clear" w:color="auto" w:fill="auto"/>
            <w:noWrap/>
            <w:vAlign w:val="bottom"/>
            <w:hideMark/>
          </w:tcPr>
          <w:p w14:paraId="5FA972C2" w14:textId="77777777" w:rsidR="00DE156A" w:rsidRDefault="00DE156A" w:rsidP="005A3B4D">
            <w:pPr>
              <w:jc w:val="right"/>
              <w:rPr>
                <w:color w:val="000000"/>
                <w:sz w:val="20"/>
                <w:szCs w:val="20"/>
              </w:rPr>
            </w:pPr>
            <w:r>
              <w:rPr>
                <w:color w:val="000000"/>
                <w:sz w:val="20"/>
                <w:szCs w:val="20"/>
              </w:rPr>
              <w:t>0.005</w:t>
            </w:r>
          </w:p>
        </w:tc>
      </w:tr>
      <w:tr w:rsidR="00DE156A" w14:paraId="05CB2F6C"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78B50EE2"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508F0DC"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30D02F5"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5376572" w14:textId="77777777" w:rsidR="00DE156A" w:rsidRDefault="00DE156A" w:rsidP="005A3B4D">
            <w:pPr>
              <w:jc w:val="right"/>
              <w:rPr>
                <w:color w:val="000000"/>
                <w:sz w:val="20"/>
                <w:szCs w:val="20"/>
              </w:rPr>
            </w:pPr>
            <w:r>
              <w:rPr>
                <w:color w:val="000000"/>
                <w:sz w:val="20"/>
                <w:szCs w:val="20"/>
              </w:rPr>
              <w:t>0.955</w:t>
            </w:r>
          </w:p>
        </w:tc>
        <w:tc>
          <w:tcPr>
            <w:tcW w:w="768" w:type="dxa"/>
            <w:tcBorders>
              <w:top w:val="nil"/>
              <w:left w:val="nil"/>
              <w:bottom w:val="single" w:sz="4" w:space="0" w:color="auto"/>
              <w:right w:val="nil"/>
            </w:tcBorders>
            <w:shd w:val="clear" w:color="auto" w:fill="auto"/>
            <w:noWrap/>
            <w:vAlign w:val="bottom"/>
            <w:hideMark/>
          </w:tcPr>
          <w:p w14:paraId="293B843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B4C9FA7" w14:textId="77777777" w:rsidR="00DE156A" w:rsidRDefault="00DE156A" w:rsidP="005A3B4D">
            <w:pPr>
              <w:jc w:val="right"/>
              <w:rPr>
                <w:color w:val="000000"/>
                <w:sz w:val="20"/>
                <w:szCs w:val="20"/>
              </w:rPr>
            </w:pPr>
            <w:r>
              <w:rPr>
                <w:color w:val="000000"/>
                <w:sz w:val="20"/>
                <w:szCs w:val="20"/>
              </w:rPr>
              <w:t>0.025</w:t>
            </w:r>
          </w:p>
        </w:tc>
        <w:tc>
          <w:tcPr>
            <w:tcW w:w="768" w:type="dxa"/>
            <w:tcBorders>
              <w:top w:val="nil"/>
              <w:left w:val="nil"/>
              <w:bottom w:val="single" w:sz="4" w:space="0" w:color="auto"/>
              <w:right w:val="nil"/>
            </w:tcBorders>
            <w:shd w:val="clear" w:color="auto" w:fill="auto"/>
            <w:noWrap/>
            <w:vAlign w:val="bottom"/>
            <w:hideMark/>
          </w:tcPr>
          <w:p w14:paraId="7595A9CC" w14:textId="77777777" w:rsidR="00DE156A" w:rsidRDefault="00DE156A" w:rsidP="005A3B4D">
            <w:pPr>
              <w:jc w:val="right"/>
              <w:rPr>
                <w:color w:val="000000"/>
                <w:sz w:val="20"/>
                <w:szCs w:val="20"/>
              </w:rPr>
            </w:pPr>
            <w:r>
              <w:rPr>
                <w:color w:val="000000"/>
                <w:sz w:val="20"/>
                <w:szCs w:val="20"/>
              </w:rPr>
              <w:t>0.999</w:t>
            </w:r>
          </w:p>
        </w:tc>
        <w:tc>
          <w:tcPr>
            <w:tcW w:w="768" w:type="dxa"/>
            <w:tcBorders>
              <w:top w:val="nil"/>
              <w:left w:val="nil"/>
              <w:bottom w:val="single" w:sz="4" w:space="0" w:color="auto"/>
              <w:right w:val="nil"/>
            </w:tcBorders>
            <w:shd w:val="clear" w:color="auto" w:fill="auto"/>
            <w:noWrap/>
            <w:vAlign w:val="bottom"/>
            <w:hideMark/>
          </w:tcPr>
          <w:p w14:paraId="099FF91D"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92486B4"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695097EE" w14:textId="77777777" w:rsidR="00DE156A" w:rsidRDefault="00DE156A" w:rsidP="005A3B4D">
            <w:pPr>
              <w:jc w:val="right"/>
              <w:rPr>
                <w:color w:val="000000"/>
                <w:sz w:val="20"/>
                <w:szCs w:val="20"/>
              </w:rPr>
            </w:pPr>
            <w:r>
              <w:rPr>
                <w:color w:val="000000"/>
                <w:sz w:val="20"/>
                <w:szCs w:val="20"/>
              </w:rPr>
              <w:t>0.354</w:t>
            </w:r>
          </w:p>
        </w:tc>
        <w:tc>
          <w:tcPr>
            <w:tcW w:w="768" w:type="dxa"/>
            <w:tcBorders>
              <w:top w:val="nil"/>
              <w:left w:val="nil"/>
              <w:bottom w:val="single" w:sz="4" w:space="0" w:color="auto"/>
              <w:right w:val="nil"/>
            </w:tcBorders>
            <w:shd w:val="clear" w:color="auto" w:fill="auto"/>
            <w:noWrap/>
            <w:vAlign w:val="bottom"/>
            <w:hideMark/>
          </w:tcPr>
          <w:p w14:paraId="53E17EEB"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0CCEE813" w14:textId="77777777" w:rsidR="00DE156A" w:rsidRDefault="00DE156A" w:rsidP="005A3B4D">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78A9C730" w14:textId="77777777" w:rsidR="00DE156A" w:rsidRDefault="00DE156A" w:rsidP="005A3B4D">
            <w:pPr>
              <w:jc w:val="right"/>
              <w:rPr>
                <w:color w:val="000000"/>
                <w:sz w:val="20"/>
                <w:szCs w:val="20"/>
              </w:rPr>
            </w:pPr>
            <w:r>
              <w:rPr>
                <w:color w:val="000000"/>
                <w:sz w:val="20"/>
                <w:szCs w:val="20"/>
              </w:rPr>
              <w:t>0.802</w:t>
            </w:r>
          </w:p>
        </w:tc>
        <w:tc>
          <w:tcPr>
            <w:tcW w:w="768" w:type="dxa"/>
            <w:tcBorders>
              <w:top w:val="nil"/>
              <w:left w:val="nil"/>
              <w:bottom w:val="single" w:sz="4" w:space="0" w:color="auto"/>
              <w:right w:val="nil"/>
            </w:tcBorders>
            <w:shd w:val="clear" w:color="auto" w:fill="auto"/>
            <w:noWrap/>
            <w:vAlign w:val="bottom"/>
            <w:hideMark/>
          </w:tcPr>
          <w:p w14:paraId="244B75AC"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DEE1D6C" w14:textId="77777777" w:rsidR="00DE156A" w:rsidRDefault="00DE156A" w:rsidP="005A3B4D">
            <w:pPr>
              <w:jc w:val="right"/>
              <w:rPr>
                <w:color w:val="000000"/>
                <w:sz w:val="20"/>
                <w:szCs w:val="20"/>
              </w:rPr>
            </w:pPr>
            <w:r>
              <w:rPr>
                <w:color w:val="000000"/>
                <w:sz w:val="20"/>
                <w:szCs w:val="20"/>
              </w:rPr>
              <w:t>0.043</w:t>
            </w:r>
          </w:p>
        </w:tc>
        <w:tc>
          <w:tcPr>
            <w:tcW w:w="768" w:type="dxa"/>
            <w:tcBorders>
              <w:top w:val="nil"/>
              <w:left w:val="nil"/>
              <w:bottom w:val="single" w:sz="4" w:space="0" w:color="auto"/>
              <w:right w:val="nil"/>
            </w:tcBorders>
            <w:shd w:val="clear" w:color="auto" w:fill="auto"/>
            <w:noWrap/>
            <w:vAlign w:val="bottom"/>
            <w:hideMark/>
          </w:tcPr>
          <w:p w14:paraId="32EBC58D" w14:textId="77777777" w:rsidR="00DE156A" w:rsidRDefault="00DE156A" w:rsidP="005A3B4D">
            <w:pPr>
              <w:jc w:val="right"/>
              <w:rPr>
                <w:color w:val="000000"/>
                <w:sz w:val="20"/>
                <w:szCs w:val="20"/>
              </w:rPr>
            </w:pPr>
            <w:r>
              <w:rPr>
                <w:color w:val="000000"/>
                <w:sz w:val="20"/>
                <w:szCs w:val="20"/>
              </w:rPr>
              <w:t>0.710</w:t>
            </w:r>
          </w:p>
        </w:tc>
        <w:tc>
          <w:tcPr>
            <w:tcW w:w="768" w:type="dxa"/>
            <w:tcBorders>
              <w:top w:val="nil"/>
              <w:left w:val="nil"/>
              <w:bottom w:val="single" w:sz="4" w:space="0" w:color="auto"/>
              <w:right w:val="nil"/>
            </w:tcBorders>
            <w:shd w:val="clear" w:color="auto" w:fill="auto"/>
            <w:noWrap/>
            <w:vAlign w:val="bottom"/>
            <w:hideMark/>
          </w:tcPr>
          <w:p w14:paraId="1A067BE1" w14:textId="77777777" w:rsidR="00DE156A" w:rsidRDefault="00DE156A" w:rsidP="005A3B4D">
            <w:pPr>
              <w:jc w:val="right"/>
              <w:rPr>
                <w:color w:val="000000"/>
                <w:sz w:val="20"/>
                <w:szCs w:val="20"/>
              </w:rPr>
            </w:pPr>
            <w:r>
              <w:rPr>
                <w:color w:val="000000"/>
                <w:sz w:val="20"/>
                <w:szCs w:val="20"/>
              </w:rPr>
              <w:t>0.002</w:t>
            </w:r>
          </w:p>
        </w:tc>
      </w:tr>
      <w:tr w:rsidR="00DE156A" w14:paraId="26FA0A04" w14:textId="77777777" w:rsidTr="005A3B4D">
        <w:trPr>
          <w:trHeight w:val="320"/>
        </w:trPr>
        <w:tc>
          <w:tcPr>
            <w:tcW w:w="1176" w:type="dxa"/>
            <w:tcBorders>
              <w:top w:val="nil"/>
              <w:left w:val="nil"/>
              <w:bottom w:val="nil"/>
              <w:right w:val="nil"/>
            </w:tcBorders>
            <w:shd w:val="clear" w:color="auto" w:fill="auto"/>
            <w:noWrap/>
            <w:vAlign w:val="bottom"/>
            <w:hideMark/>
          </w:tcPr>
          <w:p w14:paraId="5EE6FD0D" w14:textId="77777777" w:rsidR="00DE156A" w:rsidRDefault="00DE156A"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E86CC1D"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451600E" w14:textId="77777777" w:rsidR="00DE156A" w:rsidRDefault="00DE156A"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70DEEC06" w14:textId="77777777" w:rsidR="00DE156A" w:rsidRDefault="00DE156A" w:rsidP="005A3B4D">
            <w:pPr>
              <w:jc w:val="right"/>
              <w:rPr>
                <w:color w:val="000000"/>
                <w:sz w:val="20"/>
                <w:szCs w:val="20"/>
              </w:rPr>
            </w:pPr>
            <w:r>
              <w:rPr>
                <w:color w:val="000000"/>
                <w:sz w:val="20"/>
                <w:szCs w:val="20"/>
              </w:rPr>
              <w:t>0.347</w:t>
            </w:r>
          </w:p>
        </w:tc>
        <w:tc>
          <w:tcPr>
            <w:tcW w:w="768" w:type="dxa"/>
            <w:tcBorders>
              <w:top w:val="nil"/>
              <w:left w:val="nil"/>
              <w:bottom w:val="nil"/>
              <w:right w:val="nil"/>
            </w:tcBorders>
            <w:shd w:val="clear" w:color="auto" w:fill="auto"/>
            <w:noWrap/>
            <w:vAlign w:val="bottom"/>
            <w:hideMark/>
          </w:tcPr>
          <w:p w14:paraId="33119499"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47E7325"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21429CF"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1A94BC1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00D303" w14:textId="77777777" w:rsidR="00DE156A" w:rsidRDefault="00DE156A"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55AC0250" w14:textId="77777777" w:rsidR="00DE156A" w:rsidRDefault="00DE156A" w:rsidP="005A3B4D">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42E1AA4D"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64F33BF" w14:textId="77777777" w:rsidR="00DE156A" w:rsidRDefault="00DE156A" w:rsidP="005A3B4D">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0781162F" w14:textId="77777777" w:rsidR="00DE156A" w:rsidRDefault="00DE156A" w:rsidP="005A3B4D">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7E3CBCD9"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B25BE60"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205584A" w14:textId="77777777" w:rsidR="00DE156A" w:rsidRDefault="00DE156A" w:rsidP="005A3B4D">
            <w:pPr>
              <w:jc w:val="right"/>
              <w:rPr>
                <w:color w:val="000000"/>
                <w:sz w:val="20"/>
                <w:szCs w:val="20"/>
              </w:rPr>
            </w:pPr>
            <w:r>
              <w:rPr>
                <w:color w:val="000000"/>
                <w:sz w:val="20"/>
                <w:szCs w:val="20"/>
              </w:rPr>
              <w:t>0.912</w:t>
            </w:r>
          </w:p>
        </w:tc>
        <w:tc>
          <w:tcPr>
            <w:tcW w:w="768" w:type="dxa"/>
            <w:tcBorders>
              <w:top w:val="nil"/>
              <w:left w:val="nil"/>
              <w:bottom w:val="nil"/>
              <w:right w:val="nil"/>
            </w:tcBorders>
            <w:shd w:val="clear" w:color="auto" w:fill="auto"/>
            <w:noWrap/>
            <w:vAlign w:val="bottom"/>
            <w:hideMark/>
          </w:tcPr>
          <w:p w14:paraId="521912FB" w14:textId="77777777" w:rsidR="00DE156A" w:rsidRDefault="00DE156A" w:rsidP="005A3B4D">
            <w:pPr>
              <w:jc w:val="right"/>
              <w:rPr>
                <w:color w:val="000000"/>
                <w:sz w:val="20"/>
                <w:szCs w:val="20"/>
              </w:rPr>
            </w:pPr>
            <w:r>
              <w:rPr>
                <w:color w:val="000000"/>
                <w:sz w:val="20"/>
                <w:szCs w:val="20"/>
              </w:rPr>
              <w:t>0.000</w:t>
            </w:r>
          </w:p>
        </w:tc>
      </w:tr>
      <w:tr w:rsidR="00DE156A" w14:paraId="2F024BDA" w14:textId="77777777" w:rsidTr="005A3B4D">
        <w:trPr>
          <w:trHeight w:val="320"/>
        </w:trPr>
        <w:tc>
          <w:tcPr>
            <w:tcW w:w="1176" w:type="dxa"/>
            <w:tcBorders>
              <w:top w:val="nil"/>
              <w:left w:val="nil"/>
              <w:bottom w:val="nil"/>
              <w:right w:val="nil"/>
            </w:tcBorders>
            <w:shd w:val="clear" w:color="auto" w:fill="auto"/>
            <w:noWrap/>
            <w:vAlign w:val="bottom"/>
            <w:hideMark/>
          </w:tcPr>
          <w:p w14:paraId="615F0555"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55C6B78"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593890D"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57FD82E0" w14:textId="77777777" w:rsidR="00DE156A" w:rsidRDefault="00DE156A" w:rsidP="005A3B4D">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3392AC5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EA145E"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B1C2BAB"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62C430E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963DA8" w14:textId="77777777" w:rsidR="00DE156A" w:rsidRDefault="00DE156A"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6DC82108" w14:textId="77777777" w:rsidR="00DE156A" w:rsidRDefault="00DE156A" w:rsidP="005A3B4D">
            <w:pPr>
              <w:jc w:val="right"/>
              <w:rPr>
                <w:color w:val="000000"/>
                <w:sz w:val="20"/>
                <w:szCs w:val="20"/>
              </w:rPr>
            </w:pPr>
            <w:r>
              <w:rPr>
                <w:color w:val="000000"/>
                <w:sz w:val="20"/>
                <w:szCs w:val="20"/>
              </w:rPr>
              <w:t>0.972</w:t>
            </w:r>
          </w:p>
        </w:tc>
        <w:tc>
          <w:tcPr>
            <w:tcW w:w="768" w:type="dxa"/>
            <w:tcBorders>
              <w:top w:val="nil"/>
              <w:left w:val="nil"/>
              <w:bottom w:val="nil"/>
              <w:right w:val="nil"/>
            </w:tcBorders>
            <w:shd w:val="clear" w:color="auto" w:fill="auto"/>
            <w:noWrap/>
            <w:vAlign w:val="bottom"/>
            <w:hideMark/>
          </w:tcPr>
          <w:p w14:paraId="31A8294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44DF9D" w14:textId="77777777" w:rsidR="00DE156A" w:rsidRDefault="00DE156A"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C435ACF" w14:textId="77777777" w:rsidR="00DE156A" w:rsidRDefault="00DE156A" w:rsidP="005A3B4D">
            <w:pPr>
              <w:jc w:val="right"/>
              <w:rPr>
                <w:color w:val="000000"/>
                <w:sz w:val="20"/>
                <w:szCs w:val="20"/>
              </w:rPr>
            </w:pPr>
            <w:r>
              <w:rPr>
                <w:color w:val="000000"/>
                <w:sz w:val="20"/>
                <w:szCs w:val="20"/>
              </w:rPr>
              <w:t>0.651</w:t>
            </w:r>
          </w:p>
        </w:tc>
        <w:tc>
          <w:tcPr>
            <w:tcW w:w="768" w:type="dxa"/>
            <w:tcBorders>
              <w:top w:val="nil"/>
              <w:left w:val="nil"/>
              <w:bottom w:val="nil"/>
              <w:right w:val="nil"/>
            </w:tcBorders>
            <w:shd w:val="clear" w:color="auto" w:fill="auto"/>
            <w:noWrap/>
            <w:vAlign w:val="bottom"/>
            <w:hideMark/>
          </w:tcPr>
          <w:p w14:paraId="7EFF89B1"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C524AFB"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C134670" w14:textId="77777777" w:rsidR="00DE156A" w:rsidRDefault="00DE156A" w:rsidP="005A3B4D">
            <w:pPr>
              <w:jc w:val="right"/>
              <w:rPr>
                <w:color w:val="000000"/>
                <w:sz w:val="20"/>
                <w:szCs w:val="20"/>
              </w:rPr>
            </w:pPr>
            <w:r>
              <w:rPr>
                <w:color w:val="000000"/>
                <w:sz w:val="20"/>
                <w:szCs w:val="20"/>
              </w:rPr>
              <w:t>0.912</w:t>
            </w:r>
          </w:p>
        </w:tc>
        <w:tc>
          <w:tcPr>
            <w:tcW w:w="768" w:type="dxa"/>
            <w:tcBorders>
              <w:top w:val="nil"/>
              <w:left w:val="nil"/>
              <w:bottom w:val="nil"/>
              <w:right w:val="nil"/>
            </w:tcBorders>
            <w:shd w:val="clear" w:color="auto" w:fill="auto"/>
            <w:noWrap/>
            <w:vAlign w:val="bottom"/>
            <w:hideMark/>
          </w:tcPr>
          <w:p w14:paraId="3A822CED" w14:textId="77777777" w:rsidR="00DE156A" w:rsidRDefault="00DE156A" w:rsidP="005A3B4D">
            <w:pPr>
              <w:jc w:val="right"/>
              <w:rPr>
                <w:color w:val="000000"/>
                <w:sz w:val="20"/>
                <w:szCs w:val="20"/>
              </w:rPr>
            </w:pPr>
            <w:r>
              <w:rPr>
                <w:color w:val="000000"/>
                <w:sz w:val="20"/>
                <w:szCs w:val="20"/>
              </w:rPr>
              <w:t>0.000</w:t>
            </w:r>
          </w:p>
        </w:tc>
      </w:tr>
      <w:tr w:rsidR="00DE156A" w14:paraId="4DAB6676" w14:textId="77777777" w:rsidTr="005A3B4D">
        <w:trPr>
          <w:trHeight w:val="320"/>
        </w:trPr>
        <w:tc>
          <w:tcPr>
            <w:tcW w:w="1176" w:type="dxa"/>
            <w:tcBorders>
              <w:top w:val="nil"/>
              <w:left w:val="nil"/>
              <w:bottom w:val="nil"/>
              <w:right w:val="nil"/>
            </w:tcBorders>
            <w:shd w:val="clear" w:color="auto" w:fill="auto"/>
            <w:noWrap/>
            <w:vAlign w:val="bottom"/>
            <w:hideMark/>
          </w:tcPr>
          <w:p w14:paraId="0624B62D"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6D96DE"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C41972C"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B512244" w14:textId="77777777" w:rsidR="00DE156A" w:rsidRDefault="00DE156A" w:rsidP="005A3B4D">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029C55C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93B3A5" w14:textId="77777777" w:rsidR="00DE156A" w:rsidRDefault="00DE156A" w:rsidP="005A3B4D">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375FA08E" w14:textId="77777777" w:rsidR="00DE156A" w:rsidRDefault="00DE156A"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6A9F295F"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7030DC8"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B349D8D" w14:textId="77777777" w:rsidR="00DE156A" w:rsidRDefault="00DE156A" w:rsidP="005A3B4D">
            <w:pPr>
              <w:jc w:val="right"/>
              <w:rPr>
                <w:color w:val="000000"/>
                <w:sz w:val="20"/>
                <w:szCs w:val="20"/>
              </w:rPr>
            </w:pPr>
            <w:r>
              <w:rPr>
                <w:color w:val="000000"/>
                <w:sz w:val="20"/>
                <w:szCs w:val="20"/>
              </w:rPr>
              <w:t>0.972</w:t>
            </w:r>
          </w:p>
        </w:tc>
        <w:tc>
          <w:tcPr>
            <w:tcW w:w="768" w:type="dxa"/>
            <w:tcBorders>
              <w:top w:val="nil"/>
              <w:left w:val="nil"/>
              <w:bottom w:val="nil"/>
              <w:right w:val="nil"/>
            </w:tcBorders>
            <w:shd w:val="clear" w:color="auto" w:fill="auto"/>
            <w:noWrap/>
            <w:vAlign w:val="bottom"/>
            <w:hideMark/>
          </w:tcPr>
          <w:p w14:paraId="3C8D19A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1D863E" w14:textId="77777777" w:rsidR="00DE156A" w:rsidRDefault="00DE156A"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63B3ADF2" w14:textId="77777777" w:rsidR="00DE156A" w:rsidRDefault="00DE156A" w:rsidP="005A3B4D">
            <w:pPr>
              <w:jc w:val="right"/>
              <w:rPr>
                <w:color w:val="000000"/>
                <w:sz w:val="20"/>
                <w:szCs w:val="20"/>
              </w:rPr>
            </w:pPr>
            <w:r>
              <w:rPr>
                <w:color w:val="000000"/>
                <w:sz w:val="20"/>
                <w:szCs w:val="20"/>
              </w:rPr>
              <w:t>0.400</w:t>
            </w:r>
          </w:p>
        </w:tc>
        <w:tc>
          <w:tcPr>
            <w:tcW w:w="768" w:type="dxa"/>
            <w:tcBorders>
              <w:top w:val="nil"/>
              <w:left w:val="nil"/>
              <w:bottom w:val="nil"/>
              <w:right w:val="nil"/>
            </w:tcBorders>
            <w:shd w:val="clear" w:color="auto" w:fill="auto"/>
            <w:noWrap/>
            <w:vAlign w:val="bottom"/>
            <w:hideMark/>
          </w:tcPr>
          <w:p w14:paraId="7F250A4E"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B095A08"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0CFBCF3" w14:textId="77777777" w:rsidR="00DE156A" w:rsidRDefault="00DE156A" w:rsidP="005A3B4D">
            <w:pPr>
              <w:jc w:val="right"/>
              <w:rPr>
                <w:color w:val="000000"/>
                <w:sz w:val="20"/>
                <w:szCs w:val="20"/>
              </w:rPr>
            </w:pPr>
            <w:r>
              <w:rPr>
                <w:color w:val="000000"/>
                <w:sz w:val="20"/>
                <w:szCs w:val="20"/>
              </w:rPr>
              <w:t>0.912</w:t>
            </w:r>
          </w:p>
        </w:tc>
        <w:tc>
          <w:tcPr>
            <w:tcW w:w="768" w:type="dxa"/>
            <w:tcBorders>
              <w:top w:val="nil"/>
              <w:left w:val="nil"/>
              <w:bottom w:val="nil"/>
              <w:right w:val="nil"/>
            </w:tcBorders>
            <w:shd w:val="clear" w:color="auto" w:fill="auto"/>
            <w:noWrap/>
            <w:vAlign w:val="bottom"/>
            <w:hideMark/>
          </w:tcPr>
          <w:p w14:paraId="7C907A29" w14:textId="77777777" w:rsidR="00DE156A" w:rsidRDefault="00DE156A" w:rsidP="005A3B4D">
            <w:pPr>
              <w:jc w:val="right"/>
              <w:rPr>
                <w:color w:val="000000"/>
                <w:sz w:val="20"/>
                <w:szCs w:val="20"/>
              </w:rPr>
            </w:pPr>
            <w:r>
              <w:rPr>
                <w:color w:val="000000"/>
                <w:sz w:val="20"/>
                <w:szCs w:val="20"/>
              </w:rPr>
              <w:t>0.000</w:t>
            </w:r>
          </w:p>
        </w:tc>
      </w:tr>
      <w:tr w:rsidR="00DE156A" w14:paraId="14348921" w14:textId="77777777" w:rsidTr="005A3B4D">
        <w:trPr>
          <w:trHeight w:val="320"/>
        </w:trPr>
        <w:tc>
          <w:tcPr>
            <w:tcW w:w="1176" w:type="dxa"/>
            <w:tcBorders>
              <w:top w:val="nil"/>
              <w:left w:val="nil"/>
              <w:bottom w:val="nil"/>
              <w:right w:val="nil"/>
            </w:tcBorders>
            <w:shd w:val="clear" w:color="auto" w:fill="auto"/>
            <w:noWrap/>
            <w:vAlign w:val="bottom"/>
            <w:hideMark/>
          </w:tcPr>
          <w:p w14:paraId="4386A88A"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FFC90A6"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745F3F7"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1AD2566" w14:textId="77777777" w:rsidR="00DE156A" w:rsidRDefault="00DE156A" w:rsidP="005A3B4D">
            <w:pPr>
              <w:jc w:val="right"/>
              <w:rPr>
                <w:color w:val="000000"/>
                <w:sz w:val="20"/>
                <w:szCs w:val="20"/>
              </w:rPr>
            </w:pPr>
            <w:r>
              <w:rPr>
                <w:color w:val="000000"/>
                <w:sz w:val="20"/>
                <w:szCs w:val="20"/>
              </w:rPr>
              <w:t>0.958</w:t>
            </w:r>
          </w:p>
        </w:tc>
        <w:tc>
          <w:tcPr>
            <w:tcW w:w="768" w:type="dxa"/>
            <w:tcBorders>
              <w:top w:val="nil"/>
              <w:left w:val="nil"/>
              <w:bottom w:val="nil"/>
              <w:right w:val="nil"/>
            </w:tcBorders>
            <w:shd w:val="clear" w:color="auto" w:fill="auto"/>
            <w:noWrap/>
            <w:vAlign w:val="bottom"/>
            <w:hideMark/>
          </w:tcPr>
          <w:p w14:paraId="3A80654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BA9A4D" w14:textId="77777777" w:rsidR="00DE156A" w:rsidRDefault="00DE156A" w:rsidP="005A3B4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13BE74AF" w14:textId="77777777" w:rsidR="00DE156A" w:rsidRDefault="00DE156A" w:rsidP="005A3B4D">
            <w:pPr>
              <w:jc w:val="right"/>
              <w:rPr>
                <w:color w:val="000000"/>
                <w:sz w:val="20"/>
                <w:szCs w:val="20"/>
              </w:rPr>
            </w:pPr>
            <w:r>
              <w:rPr>
                <w:color w:val="000000"/>
                <w:sz w:val="20"/>
                <w:szCs w:val="20"/>
              </w:rPr>
              <w:t>0.125</w:t>
            </w:r>
          </w:p>
        </w:tc>
        <w:tc>
          <w:tcPr>
            <w:tcW w:w="768" w:type="dxa"/>
            <w:tcBorders>
              <w:top w:val="nil"/>
              <w:left w:val="nil"/>
              <w:bottom w:val="nil"/>
              <w:right w:val="nil"/>
            </w:tcBorders>
            <w:shd w:val="clear" w:color="auto" w:fill="auto"/>
            <w:noWrap/>
            <w:vAlign w:val="bottom"/>
            <w:hideMark/>
          </w:tcPr>
          <w:p w14:paraId="0C8F28F5"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B22E823" w14:textId="77777777" w:rsidR="00DE156A" w:rsidRDefault="00DE156A"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35307C34" w14:textId="77777777" w:rsidR="00DE156A" w:rsidRDefault="00DE156A" w:rsidP="005A3B4D">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2019A98A"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389D406" w14:textId="77777777" w:rsidR="00DE156A" w:rsidRDefault="00DE156A"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997A932" w14:textId="77777777" w:rsidR="00DE156A" w:rsidRDefault="00DE156A"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3A42B3C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F810F2"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6AECF1B" w14:textId="77777777" w:rsidR="00DE156A" w:rsidRDefault="00DE156A" w:rsidP="005A3B4D">
            <w:pPr>
              <w:jc w:val="right"/>
              <w:rPr>
                <w:color w:val="000000"/>
                <w:sz w:val="20"/>
                <w:szCs w:val="20"/>
              </w:rPr>
            </w:pPr>
            <w:r>
              <w:rPr>
                <w:color w:val="000000"/>
                <w:sz w:val="20"/>
                <w:szCs w:val="20"/>
              </w:rPr>
              <w:t>0.912</w:t>
            </w:r>
          </w:p>
        </w:tc>
        <w:tc>
          <w:tcPr>
            <w:tcW w:w="768" w:type="dxa"/>
            <w:tcBorders>
              <w:top w:val="nil"/>
              <w:left w:val="nil"/>
              <w:bottom w:val="nil"/>
              <w:right w:val="nil"/>
            </w:tcBorders>
            <w:shd w:val="clear" w:color="auto" w:fill="auto"/>
            <w:noWrap/>
            <w:vAlign w:val="bottom"/>
            <w:hideMark/>
          </w:tcPr>
          <w:p w14:paraId="5B4C2BAE" w14:textId="77777777" w:rsidR="00DE156A" w:rsidRDefault="00DE156A" w:rsidP="005A3B4D">
            <w:pPr>
              <w:jc w:val="right"/>
              <w:rPr>
                <w:color w:val="000000"/>
                <w:sz w:val="20"/>
                <w:szCs w:val="20"/>
              </w:rPr>
            </w:pPr>
            <w:r>
              <w:rPr>
                <w:color w:val="000000"/>
                <w:sz w:val="20"/>
                <w:szCs w:val="20"/>
              </w:rPr>
              <w:t>0.000</w:t>
            </w:r>
          </w:p>
        </w:tc>
      </w:tr>
      <w:tr w:rsidR="00DE156A" w14:paraId="327CBDE9" w14:textId="77777777" w:rsidTr="005A3B4D">
        <w:trPr>
          <w:trHeight w:val="320"/>
        </w:trPr>
        <w:tc>
          <w:tcPr>
            <w:tcW w:w="1176" w:type="dxa"/>
            <w:tcBorders>
              <w:top w:val="nil"/>
              <w:left w:val="nil"/>
              <w:bottom w:val="nil"/>
              <w:right w:val="nil"/>
            </w:tcBorders>
            <w:shd w:val="clear" w:color="auto" w:fill="auto"/>
            <w:noWrap/>
            <w:vAlign w:val="bottom"/>
            <w:hideMark/>
          </w:tcPr>
          <w:p w14:paraId="3E7D8570"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74FA58"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2B4E7F2" w14:textId="77777777" w:rsidR="00DE156A" w:rsidRDefault="00DE156A"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1331100" w14:textId="77777777" w:rsidR="00DE156A" w:rsidRDefault="00DE156A" w:rsidP="005A3B4D">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1F1FD790"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9D6963"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8E0B12C"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0EF9E20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6009A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5ECB25" w14:textId="77777777" w:rsidR="00DE156A" w:rsidRDefault="00DE156A" w:rsidP="005A3B4D">
            <w:pPr>
              <w:jc w:val="right"/>
              <w:rPr>
                <w:color w:val="000000"/>
                <w:sz w:val="20"/>
                <w:szCs w:val="20"/>
              </w:rPr>
            </w:pPr>
            <w:r>
              <w:rPr>
                <w:color w:val="000000"/>
                <w:sz w:val="20"/>
                <w:szCs w:val="20"/>
              </w:rPr>
              <w:t>0.972</w:t>
            </w:r>
          </w:p>
        </w:tc>
        <w:tc>
          <w:tcPr>
            <w:tcW w:w="768" w:type="dxa"/>
            <w:tcBorders>
              <w:top w:val="nil"/>
              <w:left w:val="nil"/>
              <w:bottom w:val="nil"/>
              <w:right w:val="nil"/>
            </w:tcBorders>
            <w:shd w:val="clear" w:color="auto" w:fill="auto"/>
            <w:noWrap/>
            <w:vAlign w:val="bottom"/>
            <w:hideMark/>
          </w:tcPr>
          <w:p w14:paraId="6DA419D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8121CE"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3FAB2AE" w14:textId="77777777" w:rsidR="00DE156A" w:rsidRDefault="00DE156A"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33A584B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E05F14" w14:textId="77777777" w:rsidR="00DE156A" w:rsidRDefault="00DE156A"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DAC67DF" w14:textId="77777777" w:rsidR="00DE156A" w:rsidRDefault="00DE156A" w:rsidP="005A3B4D">
            <w:pPr>
              <w:jc w:val="right"/>
              <w:rPr>
                <w:color w:val="000000"/>
                <w:sz w:val="20"/>
                <w:szCs w:val="20"/>
              </w:rPr>
            </w:pPr>
            <w:r>
              <w:rPr>
                <w:color w:val="000000"/>
                <w:sz w:val="20"/>
                <w:szCs w:val="20"/>
              </w:rPr>
              <w:t>0.912</w:t>
            </w:r>
          </w:p>
        </w:tc>
        <w:tc>
          <w:tcPr>
            <w:tcW w:w="768" w:type="dxa"/>
            <w:tcBorders>
              <w:top w:val="nil"/>
              <w:left w:val="nil"/>
              <w:bottom w:val="nil"/>
              <w:right w:val="nil"/>
            </w:tcBorders>
            <w:shd w:val="clear" w:color="auto" w:fill="auto"/>
            <w:noWrap/>
            <w:vAlign w:val="bottom"/>
            <w:hideMark/>
          </w:tcPr>
          <w:p w14:paraId="2A19952E" w14:textId="77777777" w:rsidR="00DE156A" w:rsidRDefault="00DE156A" w:rsidP="005A3B4D">
            <w:pPr>
              <w:jc w:val="right"/>
              <w:rPr>
                <w:color w:val="000000"/>
                <w:sz w:val="20"/>
                <w:szCs w:val="20"/>
              </w:rPr>
            </w:pPr>
            <w:r>
              <w:rPr>
                <w:color w:val="000000"/>
                <w:sz w:val="20"/>
                <w:szCs w:val="20"/>
              </w:rPr>
              <w:t>0.000</w:t>
            </w:r>
          </w:p>
        </w:tc>
      </w:tr>
      <w:tr w:rsidR="00DE156A" w14:paraId="56578DFA" w14:textId="77777777" w:rsidTr="005A3B4D">
        <w:trPr>
          <w:trHeight w:val="320"/>
        </w:trPr>
        <w:tc>
          <w:tcPr>
            <w:tcW w:w="1176" w:type="dxa"/>
            <w:tcBorders>
              <w:top w:val="nil"/>
              <w:left w:val="nil"/>
              <w:bottom w:val="nil"/>
              <w:right w:val="nil"/>
            </w:tcBorders>
            <w:shd w:val="clear" w:color="auto" w:fill="auto"/>
            <w:noWrap/>
            <w:vAlign w:val="bottom"/>
            <w:hideMark/>
          </w:tcPr>
          <w:p w14:paraId="768E4FF5"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C9E72AC"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5A2164F" w14:textId="77777777" w:rsidR="00DE156A" w:rsidRDefault="00DE156A"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63ECF21" w14:textId="77777777" w:rsidR="00DE156A" w:rsidRDefault="00DE156A" w:rsidP="005A3B4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129D1DB3"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0892768" w14:textId="77777777" w:rsidR="00DE156A" w:rsidRDefault="00DE156A"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18B99048"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21E0E94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6241CD" w14:textId="77777777" w:rsidR="00DE156A" w:rsidRDefault="00DE156A"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70833CB9" w14:textId="77777777" w:rsidR="00DE156A" w:rsidRDefault="00DE156A" w:rsidP="005A3B4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75BD6A95"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EAECD30"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3029C68" w14:textId="77777777" w:rsidR="00DE156A" w:rsidRDefault="00DE156A" w:rsidP="005A3B4D">
            <w:pPr>
              <w:jc w:val="right"/>
              <w:rPr>
                <w:color w:val="000000"/>
                <w:sz w:val="20"/>
                <w:szCs w:val="20"/>
              </w:rPr>
            </w:pPr>
            <w:r>
              <w:rPr>
                <w:color w:val="000000"/>
                <w:sz w:val="20"/>
                <w:szCs w:val="20"/>
              </w:rPr>
              <w:t>0.868</w:t>
            </w:r>
          </w:p>
        </w:tc>
        <w:tc>
          <w:tcPr>
            <w:tcW w:w="768" w:type="dxa"/>
            <w:tcBorders>
              <w:top w:val="nil"/>
              <w:left w:val="nil"/>
              <w:bottom w:val="nil"/>
              <w:right w:val="nil"/>
            </w:tcBorders>
            <w:shd w:val="clear" w:color="auto" w:fill="auto"/>
            <w:noWrap/>
            <w:vAlign w:val="bottom"/>
            <w:hideMark/>
          </w:tcPr>
          <w:p w14:paraId="6636FFE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03E448"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B59942C" w14:textId="77777777" w:rsidR="00DE156A" w:rsidRDefault="00DE156A" w:rsidP="005A3B4D">
            <w:pPr>
              <w:jc w:val="right"/>
              <w:rPr>
                <w:color w:val="000000"/>
                <w:sz w:val="20"/>
                <w:szCs w:val="20"/>
              </w:rPr>
            </w:pPr>
            <w:r>
              <w:rPr>
                <w:color w:val="000000"/>
                <w:sz w:val="20"/>
                <w:szCs w:val="20"/>
              </w:rPr>
              <w:t>0.912</w:t>
            </w:r>
          </w:p>
        </w:tc>
        <w:tc>
          <w:tcPr>
            <w:tcW w:w="768" w:type="dxa"/>
            <w:tcBorders>
              <w:top w:val="nil"/>
              <w:left w:val="nil"/>
              <w:bottom w:val="nil"/>
              <w:right w:val="nil"/>
            </w:tcBorders>
            <w:shd w:val="clear" w:color="auto" w:fill="auto"/>
            <w:noWrap/>
            <w:vAlign w:val="bottom"/>
            <w:hideMark/>
          </w:tcPr>
          <w:p w14:paraId="569612AE" w14:textId="77777777" w:rsidR="00DE156A" w:rsidRDefault="00DE156A" w:rsidP="005A3B4D">
            <w:pPr>
              <w:jc w:val="right"/>
              <w:rPr>
                <w:color w:val="000000"/>
                <w:sz w:val="20"/>
                <w:szCs w:val="20"/>
              </w:rPr>
            </w:pPr>
            <w:r>
              <w:rPr>
                <w:color w:val="000000"/>
                <w:sz w:val="20"/>
                <w:szCs w:val="20"/>
              </w:rPr>
              <w:t>0.000</w:t>
            </w:r>
          </w:p>
        </w:tc>
      </w:tr>
      <w:tr w:rsidR="00DE156A" w14:paraId="24312E83" w14:textId="77777777" w:rsidTr="005A3B4D">
        <w:trPr>
          <w:trHeight w:val="320"/>
        </w:trPr>
        <w:tc>
          <w:tcPr>
            <w:tcW w:w="1176" w:type="dxa"/>
            <w:tcBorders>
              <w:top w:val="nil"/>
              <w:left w:val="nil"/>
              <w:bottom w:val="nil"/>
              <w:right w:val="nil"/>
            </w:tcBorders>
            <w:shd w:val="clear" w:color="auto" w:fill="auto"/>
            <w:noWrap/>
            <w:vAlign w:val="bottom"/>
            <w:hideMark/>
          </w:tcPr>
          <w:p w14:paraId="77EE97D1"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74331A0"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7D394FB" w14:textId="77777777" w:rsidR="00DE156A" w:rsidRDefault="00DE156A"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5B070A18" w14:textId="77777777" w:rsidR="00DE156A" w:rsidRDefault="00DE156A" w:rsidP="005A3B4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381B1B4D"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2F337FC" w14:textId="77777777" w:rsidR="00DE156A" w:rsidRDefault="00DE156A" w:rsidP="005A3B4D">
            <w:pPr>
              <w:jc w:val="right"/>
              <w:rPr>
                <w:b/>
                <w:bCs/>
                <w:color w:val="000000"/>
                <w:sz w:val="20"/>
                <w:szCs w:val="20"/>
              </w:rPr>
            </w:pPr>
            <w:r>
              <w:rPr>
                <w:b/>
                <w:bCs/>
                <w:color w:val="000000"/>
                <w:sz w:val="20"/>
                <w:szCs w:val="20"/>
              </w:rPr>
              <w:t>-0.083</w:t>
            </w:r>
          </w:p>
        </w:tc>
        <w:tc>
          <w:tcPr>
            <w:tcW w:w="768" w:type="dxa"/>
            <w:tcBorders>
              <w:top w:val="nil"/>
              <w:left w:val="nil"/>
              <w:bottom w:val="nil"/>
              <w:right w:val="nil"/>
            </w:tcBorders>
            <w:shd w:val="clear" w:color="auto" w:fill="auto"/>
            <w:noWrap/>
            <w:vAlign w:val="bottom"/>
            <w:hideMark/>
          </w:tcPr>
          <w:p w14:paraId="47B77E50" w14:textId="77777777" w:rsidR="00DE156A" w:rsidRDefault="00DE156A" w:rsidP="005A3B4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65758CA4" w14:textId="77777777" w:rsidR="00DE156A" w:rsidRDefault="00DE156A" w:rsidP="005A3B4D">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69A16EA7"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711EFF44" w14:textId="77777777" w:rsidR="00DE156A" w:rsidRDefault="00DE156A" w:rsidP="005A3B4D">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4D33C48B"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607F79D"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0AB32A30" w14:textId="77777777" w:rsidR="00DE156A" w:rsidRDefault="00DE156A"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1666395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B2D0DD" w14:textId="77777777" w:rsidR="00DE156A" w:rsidRDefault="00DE156A"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69039DB4" w14:textId="77777777" w:rsidR="00DE156A" w:rsidRDefault="00DE156A" w:rsidP="005A3B4D">
            <w:pPr>
              <w:jc w:val="right"/>
              <w:rPr>
                <w:color w:val="000000"/>
                <w:sz w:val="20"/>
                <w:szCs w:val="20"/>
              </w:rPr>
            </w:pPr>
            <w:r>
              <w:rPr>
                <w:color w:val="000000"/>
                <w:sz w:val="20"/>
                <w:szCs w:val="20"/>
              </w:rPr>
              <w:t>0.488</w:t>
            </w:r>
          </w:p>
        </w:tc>
        <w:tc>
          <w:tcPr>
            <w:tcW w:w="768" w:type="dxa"/>
            <w:tcBorders>
              <w:top w:val="nil"/>
              <w:left w:val="nil"/>
              <w:bottom w:val="nil"/>
              <w:right w:val="nil"/>
            </w:tcBorders>
            <w:shd w:val="clear" w:color="auto" w:fill="auto"/>
            <w:noWrap/>
            <w:vAlign w:val="bottom"/>
            <w:hideMark/>
          </w:tcPr>
          <w:p w14:paraId="4AC5E00D" w14:textId="77777777" w:rsidR="00DE156A" w:rsidRDefault="00DE156A" w:rsidP="005A3B4D">
            <w:pPr>
              <w:jc w:val="right"/>
              <w:rPr>
                <w:color w:val="000000"/>
                <w:sz w:val="20"/>
                <w:szCs w:val="20"/>
              </w:rPr>
            </w:pPr>
            <w:r>
              <w:rPr>
                <w:color w:val="000000"/>
                <w:sz w:val="20"/>
                <w:szCs w:val="20"/>
              </w:rPr>
              <w:t>0.003</w:t>
            </w:r>
          </w:p>
        </w:tc>
      </w:tr>
      <w:tr w:rsidR="00DE156A" w14:paraId="2623D0CD"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0DD21EA0"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0ED9B18"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663BFAF"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7BBD7FDA" w14:textId="77777777" w:rsidR="00DE156A" w:rsidRDefault="00DE156A" w:rsidP="005A3B4D">
            <w:pPr>
              <w:jc w:val="right"/>
              <w:rPr>
                <w:color w:val="000000"/>
                <w:sz w:val="20"/>
                <w:szCs w:val="20"/>
              </w:rPr>
            </w:pPr>
            <w:r>
              <w:rPr>
                <w:color w:val="000000"/>
                <w:sz w:val="20"/>
                <w:szCs w:val="20"/>
              </w:rPr>
              <w:t>0.510</w:t>
            </w:r>
          </w:p>
        </w:tc>
        <w:tc>
          <w:tcPr>
            <w:tcW w:w="768" w:type="dxa"/>
            <w:tcBorders>
              <w:top w:val="nil"/>
              <w:left w:val="nil"/>
              <w:bottom w:val="single" w:sz="4" w:space="0" w:color="auto"/>
              <w:right w:val="nil"/>
            </w:tcBorders>
            <w:shd w:val="clear" w:color="auto" w:fill="auto"/>
            <w:noWrap/>
            <w:vAlign w:val="bottom"/>
            <w:hideMark/>
          </w:tcPr>
          <w:p w14:paraId="2FDEC1E3"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0FC0E65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650D537"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single" w:sz="4" w:space="0" w:color="auto"/>
              <w:right w:val="nil"/>
            </w:tcBorders>
            <w:shd w:val="clear" w:color="auto" w:fill="auto"/>
            <w:noWrap/>
            <w:vAlign w:val="bottom"/>
            <w:hideMark/>
          </w:tcPr>
          <w:p w14:paraId="1610A1B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7195B6D"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42D52BEE" w14:textId="77777777" w:rsidR="00DE156A" w:rsidRDefault="00DE156A" w:rsidP="005A3B4D">
            <w:pPr>
              <w:jc w:val="right"/>
              <w:rPr>
                <w:color w:val="000000"/>
                <w:sz w:val="20"/>
                <w:szCs w:val="20"/>
              </w:rPr>
            </w:pPr>
            <w:r>
              <w:rPr>
                <w:color w:val="000000"/>
                <w:sz w:val="20"/>
                <w:szCs w:val="20"/>
              </w:rPr>
              <w:t>0.972</w:t>
            </w:r>
          </w:p>
        </w:tc>
        <w:tc>
          <w:tcPr>
            <w:tcW w:w="768" w:type="dxa"/>
            <w:tcBorders>
              <w:top w:val="nil"/>
              <w:left w:val="nil"/>
              <w:bottom w:val="single" w:sz="4" w:space="0" w:color="auto"/>
              <w:right w:val="nil"/>
            </w:tcBorders>
            <w:shd w:val="clear" w:color="auto" w:fill="auto"/>
            <w:noWrap/>
            <w:vAlign w:val="bottom"/>
            <w:hideMark/>
          </w:tcPr>
          <w:p w14:paraId="0703204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DFB17D2"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44CD91B4" w14:textId="77777777" w:rsidR="00DE156A" w:rsidRDefault="00DE156A" w:rsidP="005A3B4D">
            <w:pPr>
              <w:jc w:val="right"/>
              <w:rPr>
                <w:color w:val="000000"/>
                <w:sz w:val="20"/>
                <w:szCs w:val="20"/>
              </w:rPr>
            </w:pPr>
            <w:r>
              <w:rPr>
                <w:color w:val="000000"/>
                <w:sz w:val="20"/>
                <w:szCs w:val="20"/>
              </w:rPr>
              <w:t>0.868</w:t>
            </w:r>
          </w:p>
        </w:tc>
        <w:tc>
          <w:tcPr>
            <w:tcW w:w="768" w:type="dxa"/>
            <w:tcBorders>
              <w:top w:val="nil"/>
              <w:left w:val="nil"/>
              <w:bottom w:val="single" w:sz="4" w:space="0" w:color="auto"/>
              <w:right w:val="nil"/>
            </w:tcBorders>
            <w:shd w:val="clear" w:color="auto" w:fill="auto"/>
            <w:noWrap/>
            <w:vAlign w:val="bottom"/>
            <w:hideMark/>
          </w:tcPr>
          <w:p w14:paraId="1D5B8BF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C1674CD"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648BBB08" w14:textId="77777777" w:rsidR="00DE156A" w:rsidRDefault="00DE156A" w:rsidP="005A3B4D">
            <w:pPr>
              <w:jc w:val="right"/>
              <w:rPr>
                <w:color w:val="000000"/>
                <w:sz w:val="20"/>
                <w:szCs w:val="20"/>
              </w:rPr>
            </w:pPr>
            <w:r>
              <w:rPr>
                <w:color w:val="000000"/>
                <w:sz w:val="20"/>
                <w:szCs w:val="20"/>
              </w:rPr>
              <w:t>0.912</w:t>
            </w:r>
          </w:p>
        </w:tc>
        <w:tc>
          <w:tcPr>
            <w:tcW w:w="768" w:type="dxa"/>
            <w:tcBorders>
              <w:top w:val="nil"/>
              <w:left w:val="nil"/>
              <w:bottom w:val="single" w:sz="4" w:space="0" w:color="auto"/>
              <w:right w:val="nil"/>
            </w:tcBorders>
            <w:shd w:val="clear" w:color="auto" w:fill="auto"/>
            <w:noWrap/>
            <w:vAlign w:val="bottom"/>
            <w:hideMark/>
          </w:tcPr>
          <w:p w14:paraId="5F930496" w14:textId="77777777" w:rsidR="00DE156A" w:rsidRDefault="00DE156A" w:rsidP="005A3B4D">
            <w:pPr>
              <w:jc w:val="right"/>
              <w:rPr>
                <w:color w:val="000000"/>
                <w:sz w:val="20"/>
                <w:szCs w:val="20"/>
              </w:rPr>
            </w:pPr>
            <w:r>
              <w:rPr>
                <w:color w:val="000000"/>
                <w:sz w:val="20"/>
                <w:szCs w:val="20"/>
              </w:rPr>
              <w:t>0.001</w:t>
            </w:r>
          </w:p>
        </w:tc>
      </w:tr>
      <w:tr w:rsidR="00DE156A" w14:paraId="66D08BA0" w14:textId="77777777" w:rsidTr="005A3B4D">
        <w:trPr>
          <w:trHeight w:val="320"/>
        </w:trPr>
        <w:tc>
          <w:tcPr>
            <w:tcW w:w="1176" w:type="dxa"/>
            <w:tcBorders>
              <w:top w:val="nil"/>
              <w:left w:val="nil"/>
              <w:bottom w:val="nil"/>
              <w:right w:val="nil"/>
            </w:tcBorders>
            <w:shd w:val="clear" w:color="auto" w:fill="auto"/>
            <w:noWrap/>
            <w:vAlign w:val="bottom"/>
            <w:hideMark/>
          </w:tcPr>
          <w:p w14:paraId="470E07F0" w14:textId="77777777" w:rsidR="00DE156A" w:rsidRDefault="00DE156A"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00535643"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820F42D" w14:textId="77777777" w:rsidR="00DE156A" w:rsidRDefault="00DE156A"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43441FCA" w14:textId="77777777" w:rsidR="00DE156A" w:rsidRDefault="00DE156A" w:rsidP="005A3B4D">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27846E7E"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E8FA939"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85BB432" w14:textId="77777777" w:rsidR="00DE156A" w:rsidRDefault="00DE156A" w:rsidP="005A3B4D">
            <w:pPr>
              <w:jc w:val="right"/>
              <w:rPr>
                <w:color w:val="000000"/>
                <w:sz w:val="20"/>
                <w:szCs w:val="20"/>
              </w:rPr>
            </w:pPr>
            <w:r>
              <w:rPr>
                <w:color w:val="000000"/>
                <w:sz w:val="20"/>
                <w:szCs w:val="20"/>
              </w:rPr>
              <w:t>0.697</w:t>
            </w:r>
          </w:p>
        </w:tc>
        <w:tc>
          <w:tcPr>
            <w:tcW w:w="768" w:type="dxa"/>
            <w:tcBorders>
              <w:top w:val="nil"/>
              <w:left w:val="nil"/>
              <w:bottom w:val="nil"/>
              <w:right w:val="nil"/>
            </w:tcBorders>
            <w:shd w:val="clear" w:color="auto" w:fill="auto"/>
            <w:noWrap/>
            <w:vAlign w:val="bottom"/>
            <w:hideMark/>
          </w:tcPr>
          <w:p w14:paraId="411C966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C244F6"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37DC418C" w14:textId="77777777" w:rsidR="00DE156A" w:rsidRDefault="00DE156A" w:rsidP="005A3B4D">
            <w:pPr>
              <w:jc w:val="right"/>
              <w:rPr>
                <w:color w:val="000000"/>
                <w:sz w:val="20"/>
                <w:szCs w:val="20"/>
              </w:rPr>
            </w:pPr>
            <w:r>
              <w:rPr>
                <w:color w:val="000000"/>
                <w:sz w:val="20"/>
                <w:szCs w:val="20"/>
              </w:rPr>
              <w:t>0.683</w:t>
            </w:r>
          </w:p>
        </w:tc>
        <w:tc>
          <w:tcPr>
            <w:tcW w:w="768" w:type="dxa"/>
            <w:tcBorders>
              <w:top w:val="nil"/>
              <w:left w:val="nil"/>
              <w:bottom w:val="nil"/>
              <w:right w:val="nil"/>
            </w:tcBorders>
            <w:shd w:val="clear" w:color="auto" w:fill="auto"/>
            <w:noWrap/>
            <w:vAlign w:val="bottom"/>
            <w:hideMark/>
          </w:tcPr>
          <w:p w14:paraId="17CB69D6"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1A7EABD" w14:textId="77777777" w:rsidR="00DE156A" w:rsidRDefault="00DE156A"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51E5571C" w14:textId="77777777" w:rsidR="00DE156A" w:rsidRDefault="00DE156A" w:rsidP="005A3B4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664BB026"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0B19FFD"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535BE4" w14:textId="77777777" w:rsidR="00DE156A" w:rsidRDefault="00DE156A"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4DF90F66" w14:textId="77777777" w:rsidR="00DE156A" w:rsidRDefault="00DE156A" w:rsidP="005A3B4D">
            <w:pPr>
              <w:jc w:val="right"/>
              <w:rPr>
                <w:color w:val="000000"/>
                <w:sz w:val="20"/>
                <w:szCs w:val="20"/>
              </w:rPr>
            </w:pPr>
            <w:r>
              <w:rPr>
                <w:color w:val="000000"/>
                <w:sz w:val="20"/>
                <w:szCs w:val="20"/>
              </w:rPr>
              <w:t>0.000</w:t>
            </w:r>
          </w:p>
        </w:tc>
      </w:tr>
      <w:tr w:rsidR="00DE156A" w14:paraId="7CC59185" w14:textId="77777777" w:rsidTr="005A3B4D">
        <w:trPr>
          <w:trHeight w:val="320"/>
        </w:trPr>
        <w:tc>
          <w:tcPr>
            <w:tcW w:w="1176" w:type="dxa"/>
            <w:tcBorders>
              <w:top w:val="nil"/>
              <w:left w:val="nil"/>
              <w:bottom w:val="nil"/>
              <w:right w:val="nil"/>
            </w:tcBorders>
            <w:shd w:val="clear" w:color="auto" w:fill="auto"/>
            <w:noWrap/>
            <w:vAlign w:val="bottom"/>
            <w:hideMark/>
          </w:tcPr>
          <w:p w14:paraId="69897594"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970A3A7"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143254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FA901B" w14:textId="77777777" w:rsidR="00DE156A" w:rsidRDefault="00DE156A" w:rsidP="005A3B4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027717D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D9E673" w14:textId="77777777" w:rsidR="00DE156A" w:rsidRDefault="00DE156A"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1B6A99BB" w14:textId="77777777" w:rsidR="00DE156A" w:rsidRDefault="00DE156A" w:rsidP="005A3B4D">
            <w:pPr>
              <w:jc w:val="right"/>
              <w:rPr>
                <w:color w:val="000000"/>
                <w:sz w:val="20"/>
                <w:szCs w:val="20"/>
              </w:rPr>
            </w:pPr>
            <w:r>
              <w:rPr>
                <w:color w:val="000000"/>
                <w:sz w:val="20"/>
                <w:szCs w:val="20"/>
              </w:rPr>
              <w:t>0.509</w:t>
            </w:r>
          </w:p>
        </w:tc>
        <w:tc>
          <w:tcPr>
            <w:tcW w:w="768" w:type="dxa"/>
            <w:tcBorders>
              <w:top w:val="nil"/>
              <w:left w:val="nil"/>
              <w:bottom w:val="nil"/>
              <w:right w:val="nil"/>
            </w:tcBorders>
            <w:shd w:val="clear" w:color="auto" w:fill="auto"/>
            <w:noWrap/>
            <w:vAlign w:val="bottom"/>
            <w:hideMark/>
          </w:tcPr>
          <w:p w14:paraId="63985E24"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6088A8"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D677F5A" w14:textId="77777777" w:rsidR="00DE156A" w:rsidRDefault="00DE156A" w:rsidP="005A3B4D">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068D963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C93D10"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3384A4E" w14:textId="77777777" w:rsidR="00DE156A" w:rsidRDefault="00DE156A" w:rsidP="005A3B4D">
            <w:pPr>
              <w:jc w:val="right"/>
              <w:rPr>
                <w:color w:val="000000"/>
                <w:sz w:val="20"/>
                <w:szCs w:val="20"/>
              </w:rPr>
            </w:pPr>
            <w:r>
              <w:rPr>
                <w:color w:val="000000"/>
                <w:sz w:val="20"/>
                <w:szCs w:val="20"/>
              </w:rPr>
              <w:t>0.604</w:t>
            </w:r>
          </w:p>
        </w:tc>
        <w:tc>
          <w:tcPr>
            <w:tcW w:w="768" w:type="dxa"/>
            <w:tcBorders>
              <w:top w:val="nil"/>
              <w:left w:val="nil"/>
              <w:bottom w:val="nil"/>
              <w:right w:val="nil"/>
            </w:tcBorders>
            <w:shd w:val="clear" w:color="auto" w:fill="auto"/>
            <w:noWrap/>
            <w:vAlign w:val="bottom"/>
            <w:hideMark/>
          </w:tcPr>
          <w:p w14:paraId="618774B7"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49588BE" w14:textId="77777777" w:rsidR="00DE156A" w:rsidRDefault="00DE156A"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17ABA8F5" w14:textId="77777777" w:rsidR="00DE156A" w:rsidRDefault="00DE156A"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2F7D80DE" w14:textId="77777777" w:rsidR="00DE156A" w:rsidRDefault="00DE156A" w:rsidP="005A3B4D">
            <w:pPr>
              <w:jc w:val="right"/>
              <w:rPr>
                <w:color w:val="000000"/>
                <w:sz w:val="20"/>
                <w:szCs w:val="20"/>
              </w:rPr>
            </w:pPr>
            <w:r>
              <w:rPr>
                <w:color w:val="000000"/>
                <w:sz w:val="20"/>
                <w:szCs w:val="20"/>
              </w:rPr>
              <w:t>0.001</w:t>
            </w:r>
          </w:p>
        </w:tc>
      </w:tr>
      <w:tr w:rsidR="00DE156A" w14:paraId="10963698" w14:textId="77777777" w:rsidTr="005A3B4D">
        <w:trPr>
          <w:trHeight w:val="320"/>
        </w:trPr>
        <w:tc>
          <w:tcPr>
            <w:tcW w:w="1176" w:type="dxa"/>
            <w:tcBorders>
              <w:top w:val="nil"/>
              <w:left w:val="nil"/>
              <w:bottom w:val="nil"/>
              <w:right w:val="nil"/>
            </w:tcBorders>
            <w:shd w:val="clear" w:color="auto" w:fill="auto"/>
            <w:noWrap/>
            <w:vAlign w:val="bottom"/>
            <w:hideMark/>
          </w:tcPr>
          <w:p w14:paraId="426CA975"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DADB702"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C52A8D5"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A23DCCE" w14:textId="77777777" w:rsidR="00DE156A" w:rsidRDefault="00DE156A" w:rsidP="005A3B4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0CDA943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73EEF9" w14:textId="77777777" w:rsidR="00DE156A" w:rsidRDefault="00DE156A"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2A391C2" w14:textId="77777777" w:rsidR="00DE156A" w:rsidRDefault="00DE156A" w:rsidP="005A3B4D">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681BAE5E"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8FD45C3"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769F5BF" w14:textId="77777777" w:rsidR="00DE156A" w:rsidRDefault="00DE156A" w:rsidP="005A3B4D">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37058B2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B87796" w14:textId="77777777" w:rsidR="00DE156A" w:rsidRDefault="00DE156A"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1D0B193" w14:textId="77777777" w:rsidR="00DE156A" w:rsidRDefault="00DE156A" w:rsidP="005A3B4D">
            <w:pPr>
              <w:jc w:val="right"/>
              <w:rPr>
                <w:color w:val="000000"/>
                <w:sz w:val="20"/>
                <w:szCs w:val="20"/>
              </w:rPr>
            </w:pPr>
            <w:r>
              <w:rPr>
                <w:color w:val="000000"/>
                <w:sz w:val="20"/>
                <w:szCs w:val="20"/>
              </w:rPr>
              <w:t>0.516</w:t>
            </w:r>
          </w:p>
        </w:tc>
        <w:tc>
          <w:tcPr>
            <w:tcW w:w="768" w:type="dxa"/>
            <w:tcBorders>
              <w:top w:val="nil"/>
              <w:left w:val="nil"/>
              <w:bottom w:val="nil"/>
              <w:right w:val="nil"/>
            </w:tcBorders>
            <w:shd w:val="clear" w:color="auto" w:fill="auto"/>
            <w:noWrap/>
            <w:vAlign w:val="bottom"/>
            <w:hideMark/>
          </w:tcPr>
          <w:p w14:paraId="7E392672"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184DFA4"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1849D14" w14:textId="77777777" w:rsidR="00DE156A" w:rsidRDefault="00DE156A"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278ABD8B" w14:textId="77777777" w:rsidR="00DE156A" w:rsidRDefault="00DE156A" w:rsidP="005A3B4D">
            <w:pPr>
              <w:jc w:val="right"/>
              <w:rPr>
                <w:color w:val="000000"/>
                <w:sz w:val="20"/>
                <w:szCs w:val="20"/>
              </w:rPr>
            </w:pPr>
            <w:r>
              <w:rPr>
                <w:color w:val="000000"/>
                <w:sz w:val="20"/>
                <w:szCs w:val="20"/>
              </w:rPr>
              <w:t>0.000</w:t>
            </w:r>
          </w:p>
        </w:tc>
      </w:tr>
      <w:tr w:rsidR="00DE156A" w14:paraId="01B661B7" w14:textId="77777777" w:rsidTr="005A3B4D">
        <w:trPr>
          <w:trHeight w:val="320"/>
        </w:trPr>
        <w:tc>
          <w:tcPr>
            <w:tcW w:w="1176" w:type="dxa"/>
            <w:tcBorders>
              <w:top w:val="nil"/>
              <w:left w:val="nil"/>
              <w:bottom w:val="nil"/>
              <w:right w:val="nil"/>
            </w:tcBorders>
            <w:shd w:val="clear" w:color="auto" w:fill="auto"/>
            <w:noWrap/>
            <w:vAlign w:val="bottom"/>
            <w:hideMark/>
          </w:tcPr>
          <w:p w14:paraId="6DB9286D"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350DB2D"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FF537AB"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D6591BB" w14:textId="77777777" w:rsidR="00DE156A" w:rsidRDefault="00DE156A" w:rsidP="005A3B4D">
            <w:pPr>
              <w:jc w:val="right"/>
              <w:rPr>
                <w:color w:val="000000"/>
                <w:sz w:val="20"/>
                <w:szCs w:val="20"/>
              </w:rPr>
            </w:pPr>
            <w:r>
              <w:rPr>
                <w:color w:val="000000"/>
                <w:sz w:val="20"/>
                <w:szCs w:val="20"/>
              </w:rPr>
              <w:t>0.717</w:t>
            </w:r>
          </w:p>
        </w:tc>
        <w:tc>
          <w:tcPr>
            <w:tcW w:w="768" w:type="dxa"/>
            <w:tcBorders>
              <w:top w:val="nil"/>
              <w:left w:val="nil"/>
              <w:bottom w:val="nil"/>
              <w:right w:val="nil"/>
            </w:tcBorders>
            <w:shd w:val="clear" w:color="auto" w:fill="auto"/>
            <w:noWrap/>
            <w:vAlign w:val="bottom"/>
            <w:hideMark/>
          </w:tcPr>
          <w:p w14:paraId="3C94A17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02B5FC" w14:textId="77777777" w:rsidR="00DE156A" w:rsidRDefault="00DE156A"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5C0C4C07" w14:textId="77777777" w:rsidR="00DE156A" w:rsidRDefault="00DE156A" w:rsidP="005A3B4D">
            <w:pPr>
              <w:jc w:val="right"/>
              <w:rPr>
                <w:color w:val="000000"/>
                <w:sz w:val="20"/>
                <w:szCs w:val="20"/>
              </w:rPr>
            </w:pPr>
            <w:r>
              <w:rPr>
                <w:color w:val="000000"/>
                <w:sz w:val="20"/>
                <w:szCs w:val="20"/>
              </w:rPr>
              <w:t>0.307</w:t>
            </w:r>
          </w:p>
        </w:tc>
        <w:tc>
          <w:tcPr>
            <w:tcW w:w="768" w:type="dxa"/>
            <w:tcBorders>
              <w:top w:val="nil"/>
              <w:left w:val="nil"/>
              <w:bottom w:val="nil"/>
              <w:right w:val="nil"/>
            </w:tcBorders>
            <w:shd w:val="clear" w:color="auto" w:fill="auto"/>
            <w:noWrap/>
            <w:vAlign w:val="bottom"/>
            <w:hideMark/>
          </w:tcPr>
          <w:p w14:paraId="5ECD8D52"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EB36865"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3B8A9DC" w14:textId="77777777" w:rsidR="00DE156A" w:rsidRDefault="00DE156A" w:rsidP="005A3B4D">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2E59151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8C0295"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84BCA12" w14:textId="77777777" w:rsidR="00DE156A" w:rsidRDefault="00DE156A" w:rsidP="005A3B4D">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6E93FA5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F8BC38"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A5982B2" w14:textId="77777777" w:rsidR="00DE156A" w:rsidRDefault="00DE156A"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26F78BAE" w14:textId="77777777" w:rsidR="00DE156A" w:rsidRDefault="00DE156A" w:rsidP="005A3B4D">
            <w:pPr>
              <w:jc w:val="right"/>
              <w:rPr>
                <w:color w:val="000000"/>
                <w:sz w:val="20"/>
                <w:szCs w:val="20"/>
              </w:rPr>
            </w:pPr>
            <w:r>
              <w:rPr>
                <w:color w:val="000000"/>
                <w:sz w:val="20"/>
                <w:szCs w:val="20"/>
              </w:rPr>
              <w:t>0.000</w:t>
            </w:r>
          </w:p>
        </w:tc>
      </w:tr>
      <w:tr w:rsidR="00DE156A" w14:paraId="5DFB586F" w14:textId="77777777" w:rsidTr="005A3B4D">
        <w:trPr>
          <w:trHeight w:val="320"/>
        </w:trPr>
        <w:tc>
          <w:tcPr>
            <w:tcW w:w="1176" w:type="dxa"/>
            <w:tcBorders>
              <w:top w:val="nil"/>
              <w:left w:val="nil"/>
              <w:bottom w:val="nil"/>
              <w:right w:val="nil"/>
            </w:tcBorders>
            <w:shd w:val="clear" w:color="auto" w:fill="auto"/>
            <w:noWrap/>
            <w:vAlign w:val="bottom"/>
            <w:hideMark/>
          </w:tcPr>
          <w:p w14:paraId="4CCF523E"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892E72C"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6BB5AE0" w14:textId="77777777" w:rsidR="00DE156A" w:rsidRDefault="00DE156A"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C9A1FB0" w14:textId="77777777" w:rsidR="00DE156A" w:rsidRDefault="00DE156A" w:rsidP="005A3B4D">
            <w:pPr>
              <w:jc w:val="right"/>
              <w:rPr>
                <w:color w:val="000000"/>
                <w:sz w:val="20"/>
                <w:szCs w:val="20"/>
              </w:rPr>
            </w:pPr>
            <w:r>
              <w:rPr>
                <w:color w:val="000000"/>
                <w:sz w:val="20"/>
                <w:szCs w:val="20"/>
              </w:rPr>
              <w:t>0.717</w:t>
            </w:r>
          </w:p>
        </w:tc>
        <w:tc>
          <w:tcPr>
            <w:tcW w:w="768" w:type="dxa"/>
            <w:tcBorders>
              <w:top w:val="nil"/>
              <w:left w:val="nil"/>
              <w:bottom w:val="nil"/>
              <w:right w:val="nil"/>
            </w:tcBorders>
            <w:shd w:val="clear" w:color="auto" w:fill="auto"/>
            <w:noWrap/>
            <w:vAlign w:val="bottom"/>
            <w:hideMark/>
          </w:tcPr>
          <w:p w14:paraId="5FBE7462"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883BE73"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12E1C5D" w14:textId="77777777" w:rsidR="00DE156A" w:rsidRDefault="00DE156A" w:rsidP="005A3B4D">
            <w:pPr>
              <w:jc w:val="right"/>
              <w:rPr>
                <w:color w:val="000000"/>
                <w:sz w:val="20"/>
                <w:szCs w:val="20"/>
              </w:rPr>
            </w:pPr>
            <w:r>
              <w:rPr>
                <w:color w:val="000000"/>
                <w:sz w:val="20"/>
                <w:szCs w:val="20"/>
              </w:rPr>
              <w:t>0.804</w:t>
            </w:r>
          </w:p>
        </w:tc>
        <w:tc>
          <w:tcPr>
            <w:tcW w:w="768" w:type="dxa"/>
            <w:tcBorders>
              <w:top w:val="nil"/>
              <w:left w:val="nil"/>
              <w:bottom w:val="nil"/>
              <w:right w:val="nil"/>
            </w:tcBorders>
            <w:shd w:val="clear" w:color="auto" w:fill="auto"/>
            <w:noWrap/>
            <w:vAlign w:val="bottom"/>
            <w:hideMark/>
          </w:tcPr>
          <w:p w14:paraId="41030CC7"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0E04D6"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DDC57B8" w14:textId="77777777" w:rsidR="00DE156A" w:rsidRDefault="00DE156A" w:rsidP="005A3B4D">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591DD66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B62B57" w14:textId="77777777" w:rsidR="00DE156A" w:rsidRDefault="00DE156A"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FA99C39" w14:textId="77777777" w:rsidR="00DE156A" w:rsidRDefault="00DE156A" w:rsidP="005A3B4D">
            <w:pPr>
              <w:jc w:val="right"/>
              <w:rPr>
                <w:color w:val="000000"/>
                <w:sz w:val="20"/>
                <w:szCs w:val="20"/>
              </w:rPr>
            </w:pPr>
            <w:r>
              <w:rPr>
                <w:color w:val="000000"/>
                <w:sz w:val="20"/>
                <w:szCs w:val="20"/>
              </w:rPr>
              <w:t>0.604</w:t>
            </w:r>
          </w:p>
        </w:tc>
        <w:tc>
          <w:tcPr>
            <w:tcW w:w="768" w:type="dxa"/>
            <w:tcBorders>
              <w:top w:val="nil"/>
              <w:left w:val="nil"/>
              <w:bottom w:val="nil"/>
              <w:right w:val="nil"/>
            </w:tcBorders>
            <w:shd w:val="clear" w:color="auto" w:fill="auto"/>
            <w:noWrap/>
            <w:vAlign w:val="bottom"/>
            <w:hideMark/>
          </w:tcPr>
          <w:p w14:paraId="18DAF49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E66CC6"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CE79D93" w14:textId="77777777" w:rsidR="00DE156A" w:rsidRDefault="00DE156A"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5C9512B4" w14:textId="77777777" w:rsidR="00DE156A" w:rsidRDefault="00DE156A" w:rsidP="005A3B4D">
            <w:pPr>
              <w:jc w:val="right"/>
              <w:rPr>
                <w:color w:val="000000"/>
                <w:sz w:val="20"/>
                <w:szCs w:val="20"/>
              </w:rPr>
            </w:pPr>
            <w:r>
              <w:rPr>
                <w:color w:val="000000"/>
                <w:sz w:val="20"/>
                <w:szCs w:val="20"/>
              </w:rPr>
              <w:t>0.000</w:t>
            </w:r>
          </w:p>
        </w:tc>
      </w:tr>
      <w:tr w:rsidR="00DE156A" w14:paraId="71344ED1" w14:textId="77777777" w:rsidTr="005A3B4D">
        <w:trPr>
          <w:trHeight w:val="320"/>
        </w:trPr>
        <w:tc>
          <w:tcPr>
            <w:tcW w:w="1176" w:type="dxa"/>
            <w:tcBorders>
              <w:top w:val="nil"/>
              <w:left w:val="nil"/>
              <w:bottom w:val="nil"/>
              <w:right w:val="nil"/>
            </w:tcBorders>
            <w:shd w:val="clear" w:color="auto" w:fill="auto"/>
            <w:noWrap/>
            <w:vAlign w:val="bottom"/>
            <w:hideMark/>
          </w:tcPr>
          <w:p w14:paraId="0E7C7A63"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86FD632"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57918C6"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21B85141" w14:textId="77777777" w:rsidR="00DE156A" w:rsidRDefault="00DE156A" w:rsidP="005A3B4D">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3711DE9D"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396091F" w14:textId="77777777" w:rsidR="00DE156A" w:rsidRDefault="00DE156A"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DE8CD2A" w14:textId="77777777" w:rsidR="00DE156A" w:rsidRDefault="00DE156A" w:rsidP="005A3B4D">
            <w:pPr>
              <w:jc w:val="right"/>
              <w:rPr>
                <w:color w:val="000000"/>
                <w:sz w:val="20"/>
                <w:szCs w:val="20"/>
              </w:rPr>
            </w:pPr>
            <w:r>
              <w:rPr>
                <w:color w:val="000000"/>
                <w:sz w:val="20"/>
                <w:szCs w:val="20"/>
              </w:rPr>
              <w:t>0.307</w:t>
            </w:r>
          </w:p>
        </w:tc>
        <w:tc>
          <w:tcPr>
            <w:tcW w:w="768" w:type="dxa"/>
            <w:tcBorders>
              <w:top w:val="nil"/>
              <w:left w:val="nil"/>
              <w:bottom w:val="nil"/>
              <w:right w:val="nil"/>
            </w:tcBorders>
            <w:shd w:val="clear" w:color="auto" w:fill="auto"/>
            <w:noWrap/>
            <w:vAlign w:val="bottom"/>
            <w:hideMark/>
          </w:tcPr>
          <w:p w14:paraId="1713BB79"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B0BC421" w14:textId="77777777" w:rsidR="00DE156A" w:rsidRDefault="00DE156A"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3D702884" w14:textId="77777777" w:rsidR="00DE156A" w:rsidRDefault="00DE156A" w:rsidP="005A3B4D">
            <w:pPr>
              <w:jc w:val="right"/>
              <w:rPr>
                <w:color w:val="000000"/>
                <w:sz w:val="20"/>
                <w:szCs w:val="20"/>
              </w:rPr>
            </w:pPr>
            <w:r>
              <w:rPr>
                <w:color w:val="000000"/>
                <w:sz w:val="20"/>
                <w:szCs w:val="20"/>
              </w:rPr>
              <w:t>0.400</w:t>
            </w:r>
          </w:p>
        </w:tc>
        <w:tc>
          <w:tcPr>
            <w:tcW w:w="768" w:type="dxa"/>
            <w:tcBorders>
              <w:top w:val="nil"/>
              <w:left w:val="nil"/>
              <w:bottom w:val="nil"/>
              <w:right w:val="nil"/>
            </w:tcBorders>
            <w:shd w:val="clear" w:color="auto" w:fill="auto"/>
            <w:noWrap/>
            <w:vAlign w:val="bottom"/>
            <w:hideMark/>
          </w:tcPr>
          <w:p w14:paraId="12CF139E"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D3048B3"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061CCA0" w14:textId="77777777" w:rsidR="00DE156A" w:rsidRDefault="00DE156A" w:rsidP="005A3B4D">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32F3E88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2D1534"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6935DA2" w14:textId="77777777" w:rsidR="00DE156A" w:rsidRDefault="00DE156A"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7E7BDF59" w14:textId="77777777" w:rsidR="00DE156A" w:rsidRDefault="00DE156A" w:rsidP="005A3B4D">
            <w:pPr>
              <w:jc w:val="right"/>
              <w:rPr>
                <w:color w:val="000000"/>
                <w:sz w:val="20"/>
                <w:szCs w:val="20"/>
              </w:rPr>
            </w:pPr>
            <w:r>
              <w:rPr>
                <w:color w:val="000000"/>
                <w:sz w:val="20"/>
                <w:szCs w:val="20"/>
              </w:rPr>
              <w:t>0.000</w:t>
            </w:r>
          </w:p>
        </w:tc>
      </w:tr>
      <w:tr w:rsidR="00DE156A" w14:paraId="75E03392" w14:textId="77777777" w:rsidTr="005A3B4D">
        <w:trPr>
          <w:trHeight w:val="320"/>
        </w:trPr>
        <w:tc>
          <w:tcPr>
            <w:tcW w:w="1176" w:type="dxa"/>
            <w:tcBorders>
              <w:top w:val="nil"/>
              <w:left w:val="nil"/>
              <w:bottom w:val="nil"/>
              <w:right w:val="nil"/>
            </w:tcBorders>
            <w:shd w:val="clear" w:color="auto" w:fill="auto"/>
            <w:noWrap/>
            <w:vAlign w:val="bottom"/>
            <w:hideMark/>
          </w:tcPr>
          <w:p w14:paraId="7EC0A0EE"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EAD827"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273163A"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428828B" w14:textId="77777777" w:rsidR="00DE156A" w:rsidRDefault="00DE156A" w:rsidP="005A3B4D">
            <w:pPr>
              <w:jc w:val="right"/>
              <w:rPr>
                <w:color w:val="000000"/>
                <w:sz w:val="20"/>
                <w:szCs w:val="20"/>
              </w:rPr>
            </w:pPr>
            <w:r>
              <w:rPr>
                <w:color w:val="000000"/>
                <w:sz w:val="20"/>
                <w:szCs w:val="20"/>
              </w:rPr>
              <w:t>0.717</w:t>
            </w:r>
          </w:p>
        </w:tc>
        <w:tc>
          <w:tcPr>
            <w:tcW w:w="768" w:type="dxa"/>
            <w:tcBorders>
              <w:top w:val="nil"/>
              <w:left w:val="nil"/>
              <w:bottom w:val="nil"/>
              <w:right w:val="nil"/>
            </w:tcBorders>
            <w:shd w:val="clear" w:color="auto" w:fill="auto"/>
            <w:noWrap/>
            <w:vAlign w:val="bottom"/>
            <w:hideMark/>
          </w:tcPr>
          <w:p w14:paraId="4124CF4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C31E81C" w14:textId="77777777" w:rsidR="00DE156A" w:rsidRDefault="00DE156A" w:rsidP="005A3B4D">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61A24EEA" w14:textId="77777777" w:rsidR="00DE156A" w:rsidRDefault="00DE156A"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2ABA518F"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8D799AA" w14:textId="77777777" w:rsidR="00DE156A" w:rsidRDefault="00DE156A"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122EE9E0" w14:textId="77777777" w:rsidR="00DE156A" w:rsidRDefault="00DE156A" w:rsidP="005A3B4D">
            <w:pPr>
              <w:jc w:val="right"/>
              <w:rPr>
                <w:color w:val="000000"/>
                <w:sz w:val="20"/>
                <w:szCs w:val="20"/>
              </w:rPr>
            </w:pPr>
            <w:r>
              <w:rPr>
                <w:color w:val="000000"/>
                <w:sz w:val="20"/>
                <w:szCs w:val="20"/>
              </w:rPr>
              <w:t>0.683</w:t>
            </w:r>
          </w:p>
        </w:tc>
        <w:tc>
          <w:tcPr>
            <w:tcW w:w="768" w:type="dxa"/>
            <w:tcBorders>
              <w:top w:val="nil"/>
              <w:left w:val="nil"/>
              <w:bottom w:val="nil"/>
              <w:right w:val="nil"/>
            </w:tcBorders>
            <w:shd w:val="clear" w:color="auto" w:fill="auto"/>
            <w:noWrap/>
            <w:vAlign w:val="bottom"/>
            <w:hideMark/>
          </w:tcPr>
          <w:p w14:paraId="2CCEE50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8362A26" w14:textId="77777777" w:rsidR="00DE156A" w:rsidRDefault="00DE156A"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0FBA208" w14:textId="77777777" w:rsidR="00DE156A" w:rsidRDefault="00DE156A" w:rsidP="005A3B4D">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00840FE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62180F"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7F41D1CF" w14:textId="77777777" w:rsidR="00DE156A" w:rsidRDefault="00DE156A"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1B1B001E" w14:textId="77777777" w:rsidR="00DE156A" w:rsidRDefault="00DE156A" w:rsidP="005A3B4D">
            <w:pPr>
              <w:jc w:val="right"/>
              <w:rPr>
                <w:color w:val="000000"/>
                <w:sz w:val="20"/>
                <w:szCs w:val="20"/>
              </w:rPr>
            </w:pPr>
            <w:r>
              <w:rPr>
                <w:color w:val="000000"/>
                <w:sz w:val="20"/>
                <w:szCs w:val="20"/>
              </w:rPr>
              <w:t>0.000</w:t>
            </w:r>
          </w:p>
        </w:tc>
      </w:tr>
      <w:tr w:rsidR="00DE156A" w14:paraId="7092F8D5"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35275C7B"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421398A6"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04D3FA77" w14:textId="77777777" w:rsidR="00DE156A" w:rsidRDefault="00DE156A" w:rsidP="005A3B4D">
            <w:pPr>
              <w:jc w:val="right"/>
              <w:rPr>
                <w:color w:val="000000"/>
                <w:sz w:val="20"/>
                <w:szCs w:val="20"/>
              </w:rPr>
            </w:pPr>
            <w:r>
              <w:rPr>
                <w:color w:val="000000"/>
                <w:sz w:val="20"/>
                <w:szCs w:val="20"/>
              </w:rPr>
              <w:t>-0.021</w:t>
            </w:r>
          </w:p>
        </w:tc>
        <w:tc>
          <w:tcPr>
            <w:tcW w:w="768" w:type="dxa"/>
            <w:tcBorders>
              <w:top w:val="nil"/>
              <w:left w:val="nil"/>
              <w:bottom w:val="single" w:sz="12" w:space="0" w:color="auto"/>
              <w:right w:val="nil"/>
            </w:tcBorders>
            <w:shd w:val="clear" w:color="auto" w:fill="auto"/>
            <w:noWrap/>
            <w:vAlign w:val="bottom"/>
            <w:hideMark/>
          </w:tcPr>
          <w:p w14:paraId="533C58C2" w14:textId="77777777" w:rsidR="00DE156A" w:rsidRDefault="00DE156A" w:rsidP="005A3B4D">
            <w:pPr>
              <w:jc w:val="right"/>
              <w:rPr>
                <w:color w:val="000000"/>
                <w:sz w:val="20"/>
                <w:szCs w:val="20"/>
              </w:rPr>
            </w:pPr>
            <w:r>
              <w:rPr>
                <w:color w:val="000000"/>
                <w:sz w:val="20"/>
                <w:szCs w:val="20"/>
              </w:rPr>
              <w:t>0.717</w:t>
            </w:r>
          </w:p>
        </w:tc>
        <w:tc>
          <w:tcPr>
            <w:tcW w:w="768" w:type="dxa"/>
            <w:tcBorders>
              <w:top w:val="nil"/>
              <w:left w:val="nil"/>
              <w:bottom w:val="single" w:sz="12" w:space="0" w:color="auto"/>
              <w:right w:val="nil"/>
            </w:tcBorders>
            <w:shd w:val="clear" w:color="auto" w:fill="auto"/>
            <w:noWrap/>
            <w:vAlign w:val="bottom"/>
            <w:hideMark/>
          </w:tcPr>
          <w:p w14:paraId="4D25E6C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213A4D4"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single" w:sz="12" w:space="0" w:color="auto"/>
              <w:right w:val="nil"/>
            </w:tcBorders>
            <w:shd w:val="clear" w:color="auto" w:fill="auto"/>
            <w:noWrap/>
            <w:vAlign w:val="bottom"/>
            <w:hideMark/>
          </w:tcPr>
          <w:p w14:paraId="06A743DE" w14:textId="77777777" w:rsidR="00DE156A" w:rsidRDefault="00DE156A" w:rsidP="005A3B4D">
            <w:pPr>
              <w:jc w:val="right"/>
              <w:rPr>
                <w:color w:val="000000"/>
                <w:sz w:val="20"/>
                <w:szCs w:val="20"/>
              </w:rPr>
            </w:pPr>
            <w:r>
              <w:rPr>
                <w:color w:val="000000"/>
                <w:sz w:val="20"/>
                <w:szCs w:val="20"/>
              </w:rPr>
              <w:t>0.484</w:t>
            </w:r>
          </w:p>
        </w:tc>
        <w:tc>
          <w:tcPr>
            <w:tcW w:w="768" w:type="dxa"/>
            <w:tcBorders>
              <w:top w:val="nil"/>
              <w:left w:val="nil"/>
              <w:bottom w:val="single" w:sz="12" w:space="0" w:color="auto"/>
              <w:right w:val="nil"/>
            </w:tcBorders>
            <w:shd w:val="clear" w:color="auto" w:fill="auto"/>
            <w:noWrap/>
            <w:vAlign w:val="bottom"/>
            <w:hideMark/>
          </w:tcPr>
          <w:p w14:paraId="59E34FDF"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007C0F02"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32586FE8" w14:textId="77777777" w:rsidR="00DE156A" w:rsidRDefault="00DE156A" w:rsidP="005A3B4D">
            <w:pPr>
              <w:jc w:val="right"/>
              <w:rPr>
                <w:color w:val="000000"/>
                <w:sz w:val="20"/>
                <w:szCs w:val="20"/>
              </w:rPr>
            </w:pPr>
            <w:r>
              <w:rPr>
                <w:color w:val="000000"/>
                <w:sz w:val="20"/>
                <w:szCs w:val="20"/>
              </w:rPr>
              <w:t>0.899</w:t>
            </w:r>
          </w:p>
        </w:tc>
        <w:tc>
          <w:tcPr>
            <w:tcW w:w="768" w:type="dxa"/>
            <w:tcBorders>
              <w:top w:val="nil"/>
              <w:left w:val="nil"/>
              <w:bottom w:val="single" w:sz="12" w:space="0" w:color="auto"/>
              <w:right w:val="nil"/>
            </w:tcBorders>
            <w:shd w:val="clear" w:color="auto" w:fill="auto"/>
            <w:noWrap/>
            <w:vAlign w:val="bottom"/>
            <w:hideMark/>
          </w:tcPr>
          <w:p w14:paraId="05C9E94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E063D04"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405F8ED8" w14:textId="77777777" w:rsidR="00DE156A" w:rsidRDefault="00DE156A" w:rsidP="005A3B4D">
            <w:pPr>
              <w:jc w:val="right"/>
              <w:rPr>
                <w:color w:val="000000"/>
                <w:sz w:val="20"/>
                <w:szCs w:val="20"/>
              </w:rPr>
            </w:pPr>
            <w:r>
              <w:rPr>
                <w:color w:val="000000"/>
                <w:sz w:val="20"/>
                <w:szCs w:val="20"/>
              </w:rPr>
              <w:t>0.925</w:t>
            </w:r>
          </w:p>
        </w:tc>
        <w:tc>
          <w:tcPr>
            <w:tcW w:w="768" w:type="dxa"/>
            <w:tcBorders>
              <w:top w:val="nil"/>
              <w:left w:val="nil"/>
              <w:bottom w:val="single" w:sz="12" w:space="0" w:color="auto"/>
              <w:right w:val="nil"/>
            </w:tcBorders>
            <w:shd w:val="clear" w:color="auto" w:fill="auto"/>
            <w:noWrap/>
            <w:vAlign w:val="bottom"/>
            <w:hideMark/>
          </w:tcPr>
          <w:p w14:paraId="2CF7C22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37DF636D" w14:textId="77777777" w:rsidR="00DE156A" w:rsidRDefault="00DE156A" w:rsidP="005A3B4D">
            <w:pPr>
              <w:jc w:val="right"/>
              <w:rPr>
                <w:color w:val="000000"/>
                <w:sz w:val="20"/>
                <w:szCs w:val="20"/>
              </w:rPr>
            </w:pPr>
            <w:r>
              <w:rPr>
                <w:color w:val="000000"/>
                <w:sz w:val="20"/>
                <w:szCs w:val="20"/>
              </w:rPr>
              <w:t>0.037</w:t>
            </w:r>
          </w:p>
        </w:tc>
        <w:tc>
          <w:tcPr>
            <w:tcW w:w="768" w:type="dxa"/>
            <w:tcBorders>
              <w:top w:val="nil"/>
              <w:left w:val="nil"/>
              <w:bottom w:val="single" w:sz="12" w:space="0" w:color="auto"/>
              <w:right w:val="nil"/>
            </w:tcBorders>
            <w:shd w:val="clear" w:color="auto" w:fill="auto"/>
            <w:noWrap/>
            <w:vAlign w:val="bottom"/>
            <w:hideMark/>
          </w:tcPr>
          <w:p w14:paraId="0FF6149B" w14:textId="77777777" w:rsidR="00DE156A" w:rsidRDefault="00DE156A" w:rsidP="005A3B4D">
            <w:pPr>
              <w:jc w:val="right"/>
              <w:rPr>
                <w:color w:val="000000"/>
                <w:sz w:val="20"/>
                <w:szCs w:val="20"/>
              </w:rPr>
            </w:pPr>
            <w:r>
              <w:rPr>
                <w:color w:val="000000"/>
                <w:sz w:val="20"/>
                <w:szCs w:val="20"/>
              </w:rPr>
              <w:t>0.984</w:t>
            </w:r>
          </w:p>
        </w:tc>
        <w:tc>
          <w:tcPr>
            <w:tcW w:w="768" w:type="dxa"/>
            <w:tcBorders>
              <w:top w:val="nil"/>
              <w:left w:val="nil"/>
              <w:bottom w:val="single" w:sz="12" w:space="0" w:color="auto"/>
              <w:right w:val="nil"/>
            </w:tcBorders>
            <w:shd w:val="clear" w:color="auto" w:fill="auto"/>
            <w:noWrap/>
            <w:vAlign w:val="bottom"/>
            <w:hideMark/>
          </w:tcPr>
          <w:p w14:paraId="6E814723" w14:textId="77777777" w:rsidR="00DE156A" w:rsidRDefault="00DE156A" w:rsidP="005A3B4D">
            <w:pPr>
              <w:jc w:val="right"/>
              <w:rPr>
                <w:color w:val="000000"/>
                <w:sz w:val="20"/>
                <w:szCs w:val="20"/>
              </w:rPr>
            </w:pPr>
            <w:r>
              <w:rPr>
                <w:color w:val="000000"/>
                <w:sz w:val="20"/>
                <w:szCs w:val="20"/>
              </w:rPr>
              <w:t>0.001</w:t>
            </w:r>
          </w:p>
        </w:tc>
      </w:tr>
      <w:tr w:rsidR="00DE156A" w14:paraId="26021515"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5160EB9A" w14:textId="77777777" w:rsidR="00DE156A" w:rsidRDefault="00DE156A"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0E3B6643" w14:textId="77777777" w:rsidR="00DE156A" w:rsidRDefault="00DE156A"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17CEE0B9"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68FDE83"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8584878"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DE0E741"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8148346"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5FD0C64"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7D12AD4"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E64B9F7"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93F265B"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6AF1A91"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69B1EA5"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7F35DFB"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694F4F"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9145D79"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D52A148" w14:textId="77777777" w:rsidR="00DE156A" w:rsidRDefault="00DE156A" w:rsidP="005A3B4D">
            <w:pPr>
              <w:rPr>
                <w:sz w:val="20"/>
                <w:szCs w:val="20"/>
              </w:rPr>
            </w:pPr>
          </w:p>
        </w:tc>
      </w:tr>
    </w:tbl>
    <w:p w14:paraId="38EF9CDF" w14:textId="77777777" w:rsidR="00DE156A" w:rsidRDefault="00DE156A" w:rsidP="00DE156A">
      <w:pPr>
        <w:rPr>
          <w:rFonts w:eastAsia="Batang"/>
          <w:i/>
          <w:iCs/>
        </w:rPr>
      </w:pPr>
    </w:p>
    <w:p w14:paraId="5B61F379" w14:textId="77777777" w:rsidR="00DE156A" w:rsidRDefault="00DE156A" w:rsidP="00DE156A">
      <w:pPr>
        <w:rPr>
          <w:rFonts w:eastAsia="Batang"/>
          <w:i/>
          <w:iCs/>
        </w:rPr>
      </w:pPr>
    </w:p>
    <w:p w14:paraId="57C64857" w14:textId="77777777" w:rsidR="00DE156A" w:rsidRDefault="00DE156A" w:rsidP="00DE156A">
      <w:r>
        <w:br w:type="page"/>
      </w:r>
    </w:p>
    <w:p w14:paraId="6CD21435" w14:textId="1E865C1E" w:rsidR="00DE156A" w:rsidRPr="009E2A20" w:rsidRDefault="00DE156A" w:rsidP="00DE156A">
      <w:pPr>
        <w:pStyle w:val="Heading1"/>
        <w:rPr>
          <w:rFonts w:ascii="Times New Roman" w:hAnsi="Times New Roman" w:cs="Times New Roman"/>
          <w:color w:val="000000" w:themeColor="text1"/>
          <w:sz w:val="24"/>
          <w:szCs w:val="24"/>
        </w:rPr>
      </w:pPr>
      <w:bookmarkStart w:id="27" w:name="_Toc155817694"/>
      <w:r>
        <w:rPr>
          <w:rFonts w:ascii="Times New Roman" w:hAnsi="Times New Roman" w:cs="Times New Roman"/>
          <w:b/>
          <w:bCs/>
          <w:color w:val="000000" w:themeColor="text1"/>
          <w:sz w:val="24"/>
          <w:szCs w:val="24"/>
        </w:rPr>
        <w:lastRenderedPageBreak/>
        <w:t>Table 8</w:t>
      </w:r>
      <w:r w:rsidRPr="009E2A20">
        <w:rPr>
          <w:rFonts w:ascii="Times New Roman" w:hAnsi="Times New Roman" w:cs="Times New Roman"/>
          <w:b/>
          <w:bCs/>
          <w:color w:val="000000" w:themeColor="text1"/>
          <w:sz w:val="24"/>
          <w:szCs w:val="24"/>
        </w:rPr>
        <w:t xml:space="preserve">b. </w:t>
      </w:r>
      <w:r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small world omega during emotional n-back task</w:t>
      </w:r>
      <w:bookmarkEnd w:id="27"/>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DE156A" w14:paraId="36A559AB"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525E36F4" w14:textId="77777777" w:rsidR="00DE156A" w:rsidRDefault="00DE156A"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036F18AB" w14:textId="77777777" w:rsidR="00DE156A" w:rsidRDefault="00DE156A"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58120C6B" w14:textId="77777777" w:rsidR="00DE156A" w:rsidRDefault="00DE156A"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47735CD5"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FBD29CD"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6F96FD3"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A4396AB"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DF7ED9E"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B63BBE3"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C2BC61D"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65C076D"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3959F9D"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E191AA9"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42089F3"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F593733"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CA7662F"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D07FDED" w14:textId="77777777" w:rsidR="00DE156A" w:rsidRDefault="00DE156A" w:rsidP="005A3B4D">
            <w:pPr>
              <w:rPr>
                <w:sz w:val="20"/>
                <w:szCs w:val="20"/>
              </w:rPr>
            </w:pPr>
          </w:p>
        </w:tc>
      </w:tr>
      <w:tr w:rsidR="00DE156A" w14:paraId="46D9F2C8"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006DD69B" w14:textId="77777777" w:rsidR="00DE156A" w:rsidRDefault="00DE156A" w:rsidP="005A3B4D">
            <w:pPr>
              <w:rPr>
                <w:sz w:val="20"/>
                <w:szCs w:val="20"/>
              </w:rPr>
            </w:pPr>
          </w:p>
        </w:tc>
        <w:tc>
          <w:tcPr>
            <w:tcW w:w="1705" w:type="dxa"/>
            <w:vMerge w:val="restart"/>
            <w:tcBorders>
              <w:top w:val="single" w:sz="12" w:space="0" w:color="auto"/>
              <w:left w:val="nil"/>
              <w:right w:val="nil"/>
            </w:tcBorders>
            <w:shd w:val="clear" w:color="auto" w:fill="auto"/>
            <w:noWrap/>
            <w:vAlign w:val="center"/>
            <w:hideMark/>
          </w:tcPr>
          <w:p w14:paraId="10CEB7DA" w14:textId="77777777" w:rsidR="00DE156A" w:rsidRDefault="00DE156A" w:rsidP="005A3B4D">
            <w:pPr>
              <w:rPr>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656FDADE" w14:textId="77777777" w:rsidR="00DE156A" w:rsidRDefault="00DE156A"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F2C7697" w14:textId="77777777" w:rsidR="00DE156A" w:rsidRDefault="00DE156A"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7CE4B48" w14:textId="77777777" w:rsidR="00DE156A" w:rsidRDefault="00DE156A"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02AED7D" w14:textId="77777777" w:rsidR="00DE156A" w:rsidRDefault="00DE156A"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09E59035" w14:textId="77777777" w:rsidR="00DE156A" w:rsidRDefault="00DE156A" w:rsidP="005A3B4D">
            <w:pPr>
              <w:jc w:val="center"/>
              <w:rPr>
                <w:color w:val="000000"/>
                <w:sz w:val="20"/>
                <w:szCs w:val="20"/>
              </w:rPr>
            </w:pPr>
            <w:r>
              <w:rPr>
                <w:color w:val="000000"/>
                <w:sz w:val="20"/>
                <w:szCs w:val="20"/>
              </w:rPr>
              <w:t>Urbanicity</w:t>
            </w:r>
          </w:p>
        </w:tc>
      </w:tr>
      <w:tr w:rsidR="00DE156A" w14:paraId="0BD119F0"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3243CD59" w14:textId="77777777" w:rsidR="00DE156A" w:rsidRDefault="00DE156A" w:rsidP="005A3B4D">
            <w:pPr>
              <w:rPr>
                <w:color w:val="000000"/>
                <w:sz w:val="20"/>
                <w:szCs w:val="20"/>
              </w:rPr>
            </w:pPr>
            <w:r>
              <w:rPr>
                <w:color w:val="000000"/>
                <w:sz w:val="20"/>
                <w:szCs w:val="20"/>
              </w:rPr>
              <w:t> </w:t>
            </w:r>
          </w:p>
        </w:tc>
        <w:tc>
          <w:tcPr>
            <w:tcW w:w="1705" w:type="dxa"/>
            <w:vMerge/>
            <w:tcBorders>
              <w:left w:val="nil"/>
              <w:bottom w:val="single" w:sz="12" w:space="0" w:color="auto"/>
              <w:right w:val="nil"/>
            </w:tcBorders>
            <w:shd w:val="clear" w:color="auto" w:fill="auto"/>
            <w:noWrap/>
            <w:vAlign w:val="center"/>
            <w:hideMark/>
          </w:tcPr>
          <w:p w14:paraId="6E298CB2" w14:textId="77777777" w:rsidR="00DE156A" w:rsidRDefault="00DE156A"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4B077FCD"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9BEAE1E"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32A9C27"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4B54355"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8E4F271"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235955E"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CB01975"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ACD5CF8"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3746A2B"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4199F74"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60708F3"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6EF03A8"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A6C1268"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F0AF978"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3115AB1"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DE156A" w14:paraId="4CD90461"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6FDCB34C" w14:textId="77777777" w:rsidR="00DE156A" w:rsidRDefault="00DE156A"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00D763C6" w14:textId="77777777" w:rsidR="00DE156A" w:rsidRDefault="00DE156A"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621B4B77" w14:textId="77777777" w:rsidR="00DE156A" w:rsidRDefault="00DE156A" w:rsidP="005A3B4D">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4C2AF856" w14:textId="77777777" w:rsidR="00DE156A" w:rsidRDefault="00DE156A" w:rsidP="005A3B4D">
            <w:pPr>
              <w:jc w:val="right"/>
              <w:rPr>
                <w:color w:val="000000"/>
                <w:sz w:val="20"/>
                <w:szCs w:val="20"/>
              </w:rPr>
            </w:pPr>
            <w:r>
              <w:rPr>
                <w:color w:val="000000"/>
                <w:sz w:val="20"/>
                <w:szCs w:val="20"/>
              </w:rPr>
              <w:t>0.831</w:t>
            </w:r>
          </w:p>
        </w:tc>
        <w:tc>
          <w:tcPr>
            <w:tcW w:w="768" w:type="dxa"/>
            <w:tcBorders>
              <w:top w:val="single" w:sz="12" w:space="0" w:color="auto"/>
              <w:left w:val="nil"/>
              <w:bottom w:val="nil"/>
              <w:right w:val="nil"/>
            </w:tcBorders>
            <w:shd w:val="clear" w:color="auto" w:fill="auto"/>
            <w:noWrap/>
            <w:vAlign w:val="bottom"/>
            <w:hideMark/>
          </w:tcPr>
          <w:p w14:paraId="2785D3F6"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4213A3D" w14:textId="77777777" w:rsidR="00DE156A" w:rsidRDefault="00DE156A" w:rsidP="005A3B4D">
            <w:pPr>
              <w:jc w:val="right"/>
              <w:rPr>
                <w:color w:val="000000"/>
                <w:sz w:val="20"/>
                <w:szCs w:val="20"/>
              </w:rPr>
            </w:pPr>
            <w:r>
              <w:rPr>
                <w:color w:val="000000"/>
                <w:sz w:val="20"/>
                <w:szCs w:val="20"/>
              </w:rPr>
              <w:t>-0.014</w:t>
            </w:r>
          </w:p>
        </w:tc>
        <w:tc>
          <w:tcPr>
            <w:tcW w:w="768" w:type="dxa"/>
            <w:tcBorders>
              <w:top w:val="single" w:sz="12" w:space="0" w:color="auto"/>
              <w:left w:val="nil"/>
              <w:bottom w:val="nil"/>
              <w:right w:val="nil"/>
            </w:tcBorders>
            <w:shd w:val="clear" w:color="auto" w:fill="auto"/>
            <w:noWrap/>
            <w:vAlign w:val="bottom"/>
            <w:hideMark/>
          </w:tcPr>
          <w:p w14:paraId="19C42701" w14:textId="77777777" w:rsidR="00DE156A" w:rsidRDefault="00DE156A" w:rsidP="005A3B4D">
            <w:pPr>
              <w:jc w:val="right"/>
              <w:rPr>
                <w:color w:val="000000"/>
                <w:sz w:val="20"/>
                <w:szCs w:val="20"/>
              </w:rPr>
            </w:pPr>
            <w:r>
              <w:rPr>
                <w:color w:val="000000"/>
                <w:sz w:val="20"/>
                <w:szCs w:val="20"/>
              </w:rPr>
              <w:t>0.853</w:t>
            </w:r>
          </w:p>
        </w:tc>
        <w:tc>
          <w:tcPr>
            <w:tcW w:w="768" w:type="dxa"/>
            <w:tcBorders>
              <w:top w:val="single" w:sz="12" w:space="0" w:color="auto"/>
              <w:left w:val="nil"/>
              <w:bottom w:val="nil"/>
              <w:right w:val="nil"/>
            </w:tcBorders>
            <w:shd w:val="clear" w:color="auto" w:fill="auto"/>
            <w:noWrap/>
            <w:vAlign w:val="bottom"/>
            <w:hideMark/>
          </w:tcPr>
          <w:p w14:paraId="151919F9"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F06194E" w14:textId="77777777" w:rsidR="00DE156A" w:rsidRDefault="00DE156A" w:rsidP="005A3B4D">
            <w:pPr>
              <w:jc w:val="right"/>
              <w:rPr>
                <w:color w:val="000000"/>
                <w:sz w:val="20"/>
                <w:szCs w:val="20"/>
              </w:rPr>
            </w:pPr>
            <w:r>
              <w:rPr>
                <w:color w:val="000000"/>
                <w:sz w:val="20"/>
                <w:szCs w:val="20"/>
              </w:rPr>
              <w:t>0.014</w:t>
            </w:r>
          </w:p>
        </w:tc>
        <w:tc>
          <w:tcPr>
            <w:tcW w:w="768" w:type="dxa"/>
            <w:tcBorders>
              <w:top w:val="single" w:sz="12" w:space="0" w:color="auto"/>
              <w:left w:val="nil"/>
              <w:bottom w:val="nil"/>
              <w:right w:val="nil"/>
            </w:tcBorders>
            <w:shd w:val="clear" w:color="auto" w:fill="auto"/>
            <w:noWrap/>
            <w:vAlign w:val="bottom"/>
            <w:hideMark/>
          </w:tcPr>
          <w:p w14:paraId="2805B9DA" w14:textId="77777777" w:rsidR="00DE156A" w:rsidRDefault="00DE156A" w:rsidP="005A3B4D">
            <w:pPr>
              <w:jc w:val="right"/>
              <w:rPr>
                <w:color w:val="000000"/>
                <w:sz w:val="20"/>
                <w:szCs w:val="20"/>
              </w:rPr>
            </w:pPr>
            <w:r>
              <w:rPr>
                <w:color w:val="000000"/>
                <w:sz w:val="20"/>
                <w:szCs w:val="20"/>
              </w:rPr>
              <w:t>0.754</w:t>
            </w:r>
          </w:p>
        </w:tc>
        <w:tc>
          <w:tcPr>
            <w:tcW w:w="768" w:type="dxa"/>
            <w:tcBorders>
              <w:top w:val="single" w:sz="12" w:space="0" w:color="auto"/>
              <w:left w:val="nil"/>
              <w:bottom w:val="nil"/>
              <w:right w:val="nil"/>
            </w:tcBorders>
            <w:shd w:val="clear" w:color="auto" w:fill="auto"/>
            <w:noWrap/>
            <w:vAlign w:val="bottom"/>
            <w:hideMark/>
          </w:tcPr>
          <w:p w14:paraId="7EB7A50D"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643E127" w14:textId="77777777" w:rsidR="00DE156A" w:rsidRDefault="00DE156A" w:rsidP="005A3B4D">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552171B4" w14:textId="77777777" w:rsidR="00DE156A" w:rsidRDefault="00DE156A" w:rsidP="005A3B4D">
            <w:pPr>
              <w:jc w:val="right"/>
              <w:rPr>
                <w:color w:val="000000"/>
                <w:sz w:val="20"/>
                <w:szCs w:val="20"/>
              </w:rPr>
            </w:pPr>
            <w:r>
              <w:rPr>
                <w:color w:val="000000"/>
                <w:sz w:val="20"/>
                <w:szCs w:val="20"/>
              </w:rPr>
              <w:t>0.723</w:t>
            </w:r>
          </w:p>
        </w:tc>
        <w:tc>
          <w:tcPr>
            <w:tcW w:w="768" w:type="dxa"/>
            <w:tcBorders>
              <w:top w:val="single" w:sz="12" w:space="0" w:color="auto"/>
              <w:left w:val="nil"/>
              <w:bottom w:val="nil"/>
              <w:right w:val="nil"/>
            </w:tcBorders>
            <w:shd w:val="clear" w:color="auto" w:fill="auto"/>
            <w:noWrap/>
            <w:vAlign w:val="bottom"/>
            <w:hideMark/>
          </w:tcPr>
          <w:p w14:paraId="7F13ECBD"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A6E1382" w14:textId="77777777" w:rsidR="00DE156A" w:rsidRDefault="00DE156A" w:rsidP="005A3B4D">
            <w:pPr>
              <w:jc w:val="right"/>
              <w:rPr>
                <w:color w:val="000000"/>
                <w:sz w:val="20"/>
                <w:szCs w:val="20"/>
              </w:rPr>
            </w:pPr>
            <w:r>
              <w:rPr>
                <w:color w:val="000000"/>
                <w:sz w:val="20"/>
                <w:szCs w:val="20"/>
              </w:rPr>
              <w:t>0.052</w:t>
            </w:r>
          </w:p>
        </w:tc>
        <w:tc>
          <w:tcPr>
            <w:tcW w:w="768" w:type="dxa"/>
            <w:tcBorders>
              <w:top w:val="single" w:sz="12" w:space="0" w:color="auto"/>
              <w:left w:val="nil"/>
              <w:bottom w:val="nil"/>
              <w:right w:val="nil"/>
            </w:tcBorders>
            <w:shd w:val="clear" w:color="auto" w:fill="auto"/>
            <w:noWrap/>
            <w:vAlign w:val="bottom"/>
            <w:hideMark/>
          </w:tcPr>
          <w:p w14:paraId="2BEF3E04" w14:textId="77777777" w:rsidR="00DE156A" w:rsidRDefault="00DE156A" w:rsidP="005A3B4D">
            <w:pPr>
              <w:jc w:val="right"/>
              <w:rPr>
                <w:color w:val="000000"/>
                <w:sz w:val="20"/>
                <w:szCs w:val="20"/>
              </w:rPr>
            </w:pPr>
            <w:r>
              <w:rPr>
                <w:color w:val="000000"/>
                <w:sz w:val="20"/>
                <w:szCs w:val="20"/>
              </w:rPr>
              <w:t>0.550</w:t>
            </w:r>
          </w:p>
        </w:tc>
        <w:tc>
          <w:tcPr>
            <w:tcW w:w="768" w:type="dxa"/>
            <w:tcBorders>
              <w:top w:val="single" w:sz="12" w:space="0" w:color="auto"/>
              <w:left w:val="nil"/>
              <w:bottom w:val="nil"/>
              <w:right w:val="nil"/>
            </w:tcBorders>
            <w:shd w:val="clear" w:color="auto" w:fill="auto"/>
            <w:noWrap/>
            <w:vAlign w:val="bottom"/>
            <w:hideMark/>
          </w:tcPr>
          <w:p w14:paraId="142AE67D" w14:textId="77777777" w:rsidR="00DE156A" w:rsidRDefault="00DE156A" w:rsidP="005A3B4D">
            <w:pPr>
              <w:jc w:val="right"/>
              <w:rPr>
                <w:color w:val="000000"/>
                <w:sz w:val="20"/>
                <w:szCs w:val="20"/>
              </w:rPr>
            </w:pPr>
            <w:r>
              <w:rPr>
                <w:color w:val="000000"/>
                <w:sz w:val="20"/>
                <w:szCs w:val="20"/>
              </w:rPr>
              <w:t>0.003</w:t>
            </w:r>
          </w:p>
        </w:tc>
      </w:tr>
      <w:tr w:rsidR="00DE156A" w14:paraId="6F04CD81" w14:textId="77777777" w:rsidTr="005A3B4D">
        <w:trPr>
          <w:trHeight w:val="340"/>
        </w:trPr>
        <w:tc>
          <w:tcPr>
            <w:tcW w:w="1176" w:type="dxa"/>
            <w:tcBorders>
              <w:top w:val="nil"/>
              <w:left w:val="nil"/>
              <w:bottom w:val="nil"/>
              <w:right w:val="nil"/>
            </w:tcBorders>
            <w:shd w:val="clear" w:color="auto" w:fill="auto"/>
            <w:noWrap/>
            <w:vAlign w:val="bottom"/>
            <w:hideMark/>
          </w:tcPr>
          <w:p w14:paraId="3C89D534"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C50F2D"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8E3D850"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7EE39ED" w14:textId="77777777" w:rsidR="00DE156A" w:rsidRDefault="00DE156A"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2930E9C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8639DC"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C668556" w14:textId="77777777" w:rsidR="00DE156A" w:rsidRDefault="00DE156A"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44161AF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15770F" w14:textId="77777777" w:rsidR="00DE156A" w:rsidRDefault="00DE156A"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585418F" w14:textId="77777777" w:rsidR="00DE156A" w:rsidRDefault="00DE156A" w:rsidP="005A3B4D">
            <w:pPr>
              <w:jc w:val="right"/>
              <w:rPr>
                <w:color w:val="000000"/>
                <w:sz w:val="20"/>
                <w:szCs w:val="20"/>
              </w:rPr>
            </w:pPr>
            <w:r>
              <w:rPr>
                <w:color w:val="000000"/>
                <w:sz w:val="20"/>
                <w:szCs w:val="20"/>
              </w:rPr>
              <w:t>0.685</w:t>
            </w:r>
          </w:p>
        </w:tc>
        <w:tc>
          <w:tcPr>
            <w:tcW w:w="768" w:type="dxa"/>
            <w:tcBorders>
              <w:top w:val="nil"/>
              <w:left w:val="nil"/>
              <w:bottom w:val="nil"/>
              <w:right w:val="nil"/>
            </w:tcBorders>
            <w:shd w:val="clear" w:color="auto" w:fill="auto"/>
            <w:noWrap/>
            <w:vAlign w:val="bottom"/>
            <w:hideMark/>
          </w:tcPr>
          <w:p w14:paraId="3430CCE3"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F30F44F" w14:textId="77777777" w:rsidR="00DE156A" w:rsidRDefault="00DE156A"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24195E5B" w14:textId="77777777" w:rsidR="00DE156A" w:rsidRDefault="00DE156A" w:rsidP="005A3B4D">
            <w:pPr>
              <w:jc w:val="right"/>
              <w:rPr>
                <w:color w:val="000000"/>
                <w:sz w:val="20"/>
                <w:szCs w:val="20"/>
              </w:rPr>
            </w:pPr>
            <w:r>
              <w:rPr>
                <w:color w:val="000000"/>
                <w:sz w:val="20"/>
                <w:szCs w:val="20"/>
              </w:rPr>
              <w:t>0.639</w:t>
            </w:r>
          </w:p>
        </w:tc>
        <w:tc>
          <w:tcPr>
            <w:tcW w:w="768" w:type="dxa"/>
            <w:tcBorders>
              <w:top w:val="nil"/>
              <w:left w:val="nil"/>
              <w:bottom w:val="nil"/>
              <w:right w:val="nil"/>
            </w:tcBorders>
            <w:shd w:val="clear" w:color="auto" w:fill="auto"/>
            <w:noWrap/>
            <w:vAlign w:val="bottom"/>
            <w:hideMark/>
          </w:tcPr>
          <w:p w14:paraId="7C4592DC"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41FFEE8" w14:textId="77777777" w:rsidR="00DE156A" w:rsidRDefault="00DE156A" w:rsidP="005A3B4D">
            <w:pPr>
              <w:jc w:val="right"/>
              <w:rPr>
                <w:color w:val="000000"/>
                <w:sz w:val="20"/>
                <w:szCs w:val="20"/>
              </w:rPr>
            </w:pPr>
            <w:r>
              <w:rPr>
                <w:b/>
                <w:bCs/>
                <w:color w:val="000000"/>
                <w:sz w:val="20"/>
                <w:szCs w:val="20"/>
              </w:rPr>
              <w:t>-0.136</w:t>
            </w:r>
          </w:p>
        </w:tc>
        <w:tc>
          <w:tcPr>
            <w:tcW w:w="768" w:type="dxa"/>
            <w:tcBorders>
              <w:top w:val="nil"/>
              <w:left w:val="nil"/>
              <w:bottom w:val="nil"/>
              <w:right w:val="nil"/>
            </w:tcBorders>
            <w:shd w:val="clear" w:color="auto" w:fill="auto"/>
            <w:noWrap/>
            <w:vAlign w:val="bottom"/>
            <w:hideMark/>
          </w:tcPr>
          <w:p w14:paraId="2A82BCDC" w14:textId="77777777" w:rsidR="00DE156A" w:rsidRDefault="00DE156A" w:rsidP="005A3B4D">
            <w:pPr>
              <w:jc w:val="right"/>
              <w:rPr>
                <w:color w:val="000000"/>
                <w:sz w:val="20"/>
                <w:szCs w:val="20"/>
              </w:rPr>
            </w:pPr>
            <w:r>
              <w:rPr>
                <w:b/>
                <w:bCs/>
                <w:color w:val="000000"/>
                <w:sz w:val="20"/>
                <w:szCs w:val="20"/>
              </w:rPr>
              <w:t>0.044</w:t>
            </w:r>
          </w:p>
        </w:tc>
        <w:tc>
          <w:tcPr>
            <w:tcW w:w="768" w:type="dxa"/>
            <w:tcBorders>
              <w:top w:val="nil"/>
              <w:left w:val="nil"/>
              <w:bottom w:val="nil"/>
              <w:right w:val="nil"/>
            </w:tcBorders>
            <w:shd w:val="clear" w:color="auto" w:fill="auto"/>
            <w:noWrap/>
            <w:vAlign w:val="bottom"/>
            <w:hideMark/>
          </w:tcPr>
          <w:p w14:paraId="74940EB3" w14:textId="77777777" w:rsidR="00DE156A" w:rsidRDefault="00DE156A" w:rsidP="005A3B4D">
            <w:pPr>
              <w:jc w:val="right"/>
              <w:rPr>
                <w:color w:val="000000"/>
                <w:sz w:val="20"/>
                <w:szCs w:val="20"/>
              </w:rPr>
            </w:pPr>
            <w:r>
              <w:rPr>
                <w:b/>
                <w:bCs/>
                <w:color w:val="000000"/>
                <w:sz w:val="20"/>
                <w:szCs w:val="20"/>
              </w:rPr>
              <w:t>0.018</w:t>
            </w:r>
          </w:p>
        </w:tc>
      </w:tr>
      <w:tr w:rsidR="00DE156A" w14:paraId="20E9EDE8" w14:textId="77777777" w:rsidTr="005A3B4D">
        <w:trPr>
          <w:trHeight w:val="320"/>
        </w:trPr>
        <w:tc>
          <w:tcPr>
            <w:tcW w:w="1176" w:type="dxa"/>
            <w:tcBorders>
              <w:top w:val="nil"/>
              <w:left w:val="nil"/>
              <w:bottom w:val="nil"/>
              <w:right w:val="nil"/>
            </w:tcBorders>
            <w:shd w:val="clear" w:color="auto" w:fill="auto"/>
            <w:noWrap/>
            <w:vAlign w:val="bottom"/>
            <w:hideMark/>
          </w:tcPr>
          <w:p w14:paraId="264CBE08"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230F99"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11A407F" w14:textId="77777777" w:rsidR="00DE156A" w:rsidRDefault="00DE156A" w:rsidP="005A3B4D">
            <w:pPr>
              <w:jc w:val="right"/>
              <w:rPr>
                <w:color w:val="000000"/>
                <w:sz w:val="20"/>
                <w:szCs w:val="20"/>
              </w:rPr>
            </w:pPr>
            <w:r>
              <w:rPr>
                <w:color w:val="000000"/>
                <w:sz w:val="20"/>
                <w:szCs w:val="20"/>
              </w:rPr>
              <w:t>-0.205</w:t>
            </w:r>
          </w:p>
        </w:tc>
        <w:tc>
          <w:tcPr>
            <w:tcW w:w="768" w:type="dxa"/>
            <w:tcBorders>
              <w:top w:val="nil"/>
              <w:left w:val="nil"/>
              <w:bottom w:val="nil"/>
              <w:right w:val="nil"/>
            </w:tcBorders>
            <w:shd w:val="clear" w:color="auto" w:fill="auto"/>
            <w:noWrap/>
            <w:vAlign w:val="bottom"/>
            <w:hideMark/>
          </w:tcPr>
          <w:p w14:paraId="6728E86E" w14:textId="77777777" w:rsidR="00DE156A" w:rsidRDefault="00DE156A" w:rsidP="005A3B4D">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2769A8D1" w14:textId="77777777" w:rsidR="00DE156A" w:rsidRDefault="00DE156A"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1B7E2B9A" w14:textId="77777777" w:rsidR="00DE156A" w:rsidRDefault="00DE156A"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525B65F8" w14:textId="77777777" w:rsidR="00DE156A" w:rsidRDefault="00DE156A"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1763CFAF"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B233853" w14:textId="77777777" w:rsidR="00DE156A" w:rsidRDefault="00DE156A" w:rsidP="005A3B4D">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4134BA7E" w14:textId="77777777" w:rsidR="00DE156A" w:rsidRDefault="00DE156A" w:rsidP="005A3B4D">
            <w:pPr>
              <w:jc w:val="right"/>
              <w:rPr>
                <w:color w:val="000000"/>
                <w:sz w:val="20"/>
                <w:szCs w:val="20"/>
              </w:rPr>
            </w:pPr>
            <w:r>
              <w:rPr>
                <w:color w:val="000000"/>
                <w:sz w:val="20"/>
                <w:szCs w:val="20"/>
              </w:rPr>
              <w:t>0.685</w:t>
            </w:r>
          </w:p>
        </w:tc>
        <w:tc>
          <w:tcPr>
            <w:tcW w:w="768" w:type="dxa"/>
            <w:tcBorders>
              <w:top w:val="nil"/>
              <w:left w:val="nil"/>
              <w:bottom w:val="nil"/>
              <w:right w:val="nil"/>
            </w:tcBorders>
            <w:shd w:val="clear" w:color="auto" w:fill="auto"/>
            <w:noWrap/>
            <w:vAlign w:val="bottom"/>
            <w:hideMark/>
          </w:tcPr>
          <w:p w14:paraId="1EE354CF"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239454B" w14:textId="77777777" w:rsidR="00DE156A" w:rsidRDefault="00DE156A" w:rsidP="005A3B4D">
            <w:pPr>
              <w:jc w:val="right"/>
              <w:rPr>
                <w:b/>
                <w:bCs/>
                <w:color w:val="000000"/>
                <w:sz w:val="20"/>
                <w:szCs w:val="20"/>
              </w:rPr>
            </w:pPr>
            <w:r>
              <w:rPr>
                <w:b/>
                <w:bCs/>
                <w:color w:val="000000"/>
                <w:sz w:val="20"/>
                <w:szCs w:val="20"/>
              </w:rPr>
              <w:t>-0.374</w:t>
            </w:r>
          </w:p>
        </w:tc>
        <w:tc>
          <w:tcPr>
            <w:tcW w:w="768" w:type="dxa"/>
            <w:tcBorders>
              <w:top w:val="nil"/>
              <w:left w:val="nil"/>
              <w:bottom w:val="nil"/>
              <w:right w:val="nil"/>
            </w:tcBorders>
            <w:shd w:val="clear" w:color="auto" w:fill="auto"/>
            <w:noWrap/>
            <w:vAlign w:val="bottom"/>
            <w:hideMark/>
          </w:tcPr>
          <w:p w14:paraId="3A241BA6" w14:textId="77777777" w:rsidR="00DE156A" w:rsidRDefault="00DE156A"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16457B23" w14:textId="77777777" w:rsidR="00DE156A" w:rsidRDefault="00DE156A" w:rsidP="005A3B4D">
            <w:pPr>
              <w:jc w:val="right"/>
              <w:rPr>
                <w:color w:val="000000"/>
                <w:sz w:val="20"/>
                <w:szCs w:val="20"/>
              </w:rPr>
            </w:pPr>
            <w:r>
              <w:rPr>
                <w:b/>
                <w:bCs/>
                <w:color w:val="000000"/>
                <w:sz w:val="20"/>
                <w:szCs w:val="20"/>
              </w:rPr>
              <w:t>0.140</w:t>
            </w:r>
          </w:p>
        </w:tc>
        <w:tc>
          <w:tcPr>
            <w:tcW w:w="768" w:type="dxa"/>
            <w:tcBorders>
              <w:top w:val="nil"/>
              <w:left w:val="nil"/>
              <w:bottom w:val="nil"/>
              <w:right w:val="nil"/>
            </w:tcBorders>
            <w:shd w:val="clear" w:color="auto" w:fill="auto"/>
            <w:noWrap/>
            <w:vAlign w:val="bottom"/>
            <w:hideMark/>
          </w:tcPr>
          <w:p w14:paraId="02919A4D" w14:textId="77777777" w:rsidR="00DE156A" w:rsidRDefault="00DE156A" w:rsidP="005A3B4D">
            <w:pPr>
              <w:jc w:val="right"/>
              <w:rPr>
                <w:b/>
                <w:bCs/>
                <w:color w:val="000000"/>
                <w:sz w:val="20"/>
                <w:szCs w:val="20"/>
              </w:rPr>
            </w:pPr>
            <w:r>
              <w:rPr>
                <w:b/>
                <w:bCs/>
                <w:color w:val="000000"/>
                <w:sz w:val="20"/>
                <w:szCs w:val="20"/>
              </w:rPr>
              <w:t>0.383</w:t>
            </w:r>
          </w:p>
        </w:tc>
        <w:tc>
          <w:tcPr>
            <w:tcW w:w="768" w:type="dxa"/>
            <w:tcBorders>
              <w:top w:val="nil"/>
              <w:left w:val="nil"/>
              <w:bottom w:val="nil"/>
              <w:right w:val="nil"/>
            </w:tcBorders>
            <w:shd w:val="clear" w:color="auto" w:fill="auto"/>
            <w:noWrap/>
            <w:vAlign w:val="bottom"/>
            <w:hideMark/>
          </w:tcPr>
          <w:p w14:paraId="26D9325F" w14:textId="77777777" w:rsidR="00DE156A" w:rsidRDefault="00DE156A"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756E3B68" w14:textId="77777777" w:rsidR="00DE156A" w:rsidRDefault="00DE156A" w:rsidP="005A3B4D">
            <w:pPr>
              <w:jc w:val="right"/>
              <w:rPr>
                <w:color w:val="000000"/>
                <w:sz w:val="20"/>
                <w:szCs w:val="20"/>
              </w:rPr>
            </w:pPr>
            <w:r>
              <w:rPr>
                <w:b/>
                <w:bCs/>
                <w:color w:val="000000"/>
                <w:sz w:val="20"/>
                <w:szCs w:val="20"/>
              </w:rPr>
              <w:t>0.147</w:t>
            </w:r>
          </w:p>
        </w:tc>
      </w:tr>
      <w:tr w:rsidR="00DE156A" w14:paraId="12D026E1" w14:textId="77777777" w:rsidTr="005A3B4D">
        <w:trPr>
          <w:trHeight w:val="320"/>
        </w:trPr>
        <w:tc>
          <w:tcPr>
            <w:tcW w:w="1176" w:type="dxa"/>
            <w:tcBorders>
              <w:top w:val="nil"/>
              <w:left w:val="nil"/>
              <w:bottom w:val="nil"/>
              <w:right w:val="nil"/>
            </w:tcBorders>
            <w:shd w:val="clear" w:color="auto" w:fill="auto"/>
            <w:noWrap/>
            <w:vAlign w:val="bottom"/>
            <w:hideMark/>
          </w:tcPr>
          <w:p w14:paraId="4958B120"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A8FFC47"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0CE1FF6" w14:textId="77777777" w:rsidR="00DE156A" w:rsidRDefault="00DE156A" w:rsidP="005A3B4D">
            <w:pPr>
              <w:jc w:val="right"/>
              <w:rPr>
                <w:color w:val="000000"/>
                <w:sz w:val="20"/>
                <w:szCs w:val="20"/>
              </w:rPr>
            </w:pPr>
            <w:r>
              <w:rPr>
                <w:color w:val="000000"/>
                <w:sz w:val="20"/>
                <w:szCs w:val="20"/>
              </w:rPr>
              <w:t>0.094</w:t>
            </w:r>
          </w:p>
        </w:tc>
        <w:tc>
          <w:tcPr>
            <w:tcW w:w="768" w:type="dxa"/>
            <w:tcBorders>
              <w:top w:val="nil"/>
              <w:left w:val="nil"/>
              <w:bottom w:val="nil"/>
              <w:right w:val="nil"/>
            </w:tcBorders>
            <w:shd w:val="clear" w:color="auto" w:fill="auto"/>
            <w:noWrap/>
            <w:vAlign w:val="bottom"/>
            <w:hideMark/>
          </w:tcPr>
          <w:p w14:paraId="6EACF6FB" w14:textId="77777777" w:rsidR="00DE156A" w:rsidRDefault="00DE156A" w:rsidP="005A3B4D">
            <w:pPr>
              <w:jc w:val="right"/>
              <w:rPr>
                <w:color w:val="000000"/>
                <w:sz w:val="20"/>
                <w:szCs w:val="20"/>
              </w:rPr>
            </w:pPr>
            <w:r>
              <w:rPr>
                <w:color w:val="000000"/>
                <w:sz w:val="20"/>
                <w:szCs w:val="20"/>
              </w:rPr>
              <w:t>0.613</w:t>
            </w:r>
          </w:p>
        </w:tc>
        <w:tc>
          <w:tcPr>
            <w:tcW w:w="768" w:type="dxa"/>
            <w:tcBorders>
              <w:top w:val="nil"/>
              <w:left w:val="nil"/>
              <w:bottom w:val="nil"/>
              <w:right w:val="nil"/>
            </w:tcBorders>
            <w:shd w:val="clear" w:color="auto" w:fill="auto"/>
            <w:noWrap/>
            <w:vAlign w:val="bottom"/>
            <w:hideMark/>
          </w:tcPr>
          <w:p w14:paraId="7C8BFA7C"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1155844" w14:textId="77777777" w:rsidR="00DE156A" w:rsidRDefault="00DE156A" w:rsidP="005A3B4D">
            <w:pPr>
              <w:jc w:val="right"/>
              <w:rPr>
                <w:b/>
                <w:bCs/>
                <w:color w:val="000000"/>
                <w:sz w:val="20"/>
                <w:szCs w:val="20"/>
              </w:rPr>
            </w:pPr>
            <w:r>
              <w:rPr>
                <w:b/>
                <w:bCs/>
                <w:color w:val="000000"/>
                <w:sz w:val="20"/>
                <w:szCs w:val="20"/>
              </w:rPr>
              <w:t>0.184</w:t>
            </w:r>
          </w:p>
        </w:tc>
        <w:tc>
          <w:tcPr>
            <w:tcW w:w="768" w:type="dxa"/>
            <w:tcBorders>
              <w:top w:val="nil"/>
              <w:left w:val="nil"/>
              <w:bottom w:val="nil"/>
              <w:right w:val="nil"/>
            </w:tcBorders>
            <w:shd w:val="clear" w:color="auto" w:fill="auto"/>
            <w:noWrap/>
            <w:vAlign w:val="bottom"/>
            <w:hideMark/>
          </w:tcPr>
          <w:p w14:paraId="4AE7EDDD" w14:textId="77777777" w:rsidR="00DE156A" w:rsidRDefault="00DE156A" w:rsidP="005A3B4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3E9D03DD" w14:textId="77777777" w:rsidR="00DE156A" w:rsidRDefault="00DE156A" w:rsidP="005A3B4D">
            <w:pPr>
              <w:jc w:val="right"/>
              <w:rPr>
                <w:color w:val="000000"/>
                <w:sz w:val="20"/>
                <w:szCs w:val="20"/>
              </w:rPr>
            </w:pPr>
            <w:r>
              <w:rPr>
                <w:b/>
                <w:bCs/>
                <w:color w:val="000000"/>
                <w:sz w:val="20"/>
                <w:szCs w:val="20"/>
              </w:rPr>
              <w:t>0.034</w:t>
            </w:r>
          </w:p>
        </w:tc>
        <w:tc>
          <w:tcPr>
            <w:tcW w:w="768" w:type="dxa"/>
            <w:tcBorders>
              <w:top w:val="nil"/>
              <w:left w:val="nil"/>
              <w:bottom w:val="nil"/>
              <w:right w:val="nil"/>
            </w:tcBorders>
            <w:shd w:val="clear" w:color="auto" w:fill="auto"/>
            <w:noWrap/>
            <w:vAlign w:val="bottom"/>
            <w:hideMark/>
          </w:tcPr>
          <w:p w14:paraId="28AA0130" w14:textId="77777777" w:rsidR="00DE156A" w:rsidRDefault="00DE156A" w:rsidP="005A3B4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1CFC685B" w14:textId="77777777" w:rsidR="00DE156A" w:rsidRDefault="00DE156A" w:rsidP="005A3B4D">
            <w:pPr>
              <w:jc w:val="right"/>
              <w:rPr>
                <w:color w:val="000000"/>
                <w:sz w:val="20"/>
                <w:szCs w:val="20"/>
              </w:rPr>
            </w:pPr>
            <w:r>
              <w:rPr>
                <w:color w:val="000000"/>
                <w:sz w:val="20"/>
                <w:szCs w:val="20"/>
              </w:rPr>
              <w:t>0.754</w:t>
            </w:r>
          </w:p>
        </w:tc>
        <w:tc>
          <w:tcPr>
            <w:tcW w:w="768" w:type="dxa"/>
            <w:tcBorders>
              <w:top w:val="nil"/>
              <w:left w:val="nil"/>
              <w:bottom w:val="nil"/>
              <w:right w:val="nil"/>
            </w:tcBorders>
            <w:shd w:val="clear" w:color="auto" w:fill="auto"/>
            <w:noWrap/>
            <w:vAlign w:val="bottom"/>
            <w:hideMark/>
          </w:tcPr>
          <w:p w14:paraId="1A3C1D57"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F3E4184" w14:textId="77777777" w:rsidR="00DE156A" w:rsidRDefault="00DE156A"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2640D30" w14:textId="77777777" w:rsidR="00DE156A" w:rsidRDefault="00DE156A" w:rsidP="005A3B4D">
            <w:pPr>
              <w:jc w:val="right"/>
              <w:rPr>
                <w:color w:val="000000"/>
                <w:sz w:val="20"/>
                <w:szCs w:val="20"/>
              </w:rPr>
            </w:pPr>
            <w:r>
              <w:rPr>
                <w:color w:val="000000"/>
                <w:sz w:val="20"/>
                <w:szCs w:val="20"/>
              </w:rPr>
              <w:t>0.639</w:t>
            </w:r>
          </w:p>
        </w:tc>
        <w:tc>
          <w:tcPr>
            <w:tcW w:w="768" w:type="dxa"/>
            <w:tcBorders>
              <w:top w:val="nil"/>
              <w:left w:val="nil"/>
              <w:bottom w:val="nil"/>
              <w:right w:val="nil"/>
            </w:tcBorders>
            <w:shd w:val="clear" w:color="auto" w:fill="auto"/>
            <w:noWrap/>
            <w:vAlign w:val="bottom"/>
            <w:hideMark/>
          </w:tcPr>
          <w:p w14:paraId="335AD908"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44E5A4" w14:textId="77777777" w:rsidR="00DE156A" w:rsidRDefault="00DE156A"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512AA755" w14:textId="77777777" w:rsidR="00DE156A" w:rsidRDefault="00DE156A" w:rsidP="005A3B4D">
            <w:pPr>
              <w:jc w:val="right"/>
              <w:rPr>
                <w:color w:val="000000"/>
                <w:sz w:val="20"/>
                <w:szCs w:val="20"/>
              </w:rPr>
            </w:pPr>
            <w:r>
              <w:rPr>
                <w:color w:val="000000"/>
                <w:sz w:val="20"/>
                <w:szCs w:val="20"/>
              </w:rPr>
              <w:t>0.777</w:t>
            </w:r>
          </w:p>
        </w:tc>
        <w:tc>
          <w:tcPr>
            <w:tcW w:w="768" w:type="dxa"/>
            <w:tcBorders>
              <w:top w:val="nil"/>
              <w:left w:val="nil"/>
              <w:bottom w:val="nil"/>
              <w:right w:val="nil"/>
            </w:tcBorders>
            <w:shd w:val="clear" w:color="auto" w:fill="auto"/>
            <w:noWrap/>
            <w:vAlign w:val="bottom"/>
            <w:hideMark/>
          </w:tcPr>
          <w:p w14:paraId="6C625127" w14:textId="77777777" w:rsidR="00DE156A" w:rsidRDefault="00DE156A" w:rsidP="005A3B4D">
            <w:pPr>
              <w:jc w:val="right"/>
              <w:rPr>
                <w:color w:val="000000"/>
                <w:sz w:val="20"/>
                <w:szCs w:val="20"/>
              </w:rPr>
            </w:pPr>
            <w:r>
              <w:rPr>
                <w:color w:val="000000"/>
                <w:sz w:val="20"/>
                <w:szCs w:val="20"/>
              </w:rPr>
              <w:t>0.002</w:t>
            </w:r>
          </w:p>
        </w:tc>
      </w:tr>
      <w:tr w:rsidR="00DE156A" w14:paraId="5D8FE47E" w14:textId="77777777" w:rsidTr="005A3B4D">
        <w:trPr>
          <w:trHeight w:val="320"/>
        </w:trPr>
        <w:tc>
          <w:tcPr>
            <w:tcW w:w="1176" w:type="dxa"/>
            <w:tcBorders>
              <w:top w:val="nil"/>
              <w:left w:val="nil"/>
              <w:bottom w:val="nil"/>
              <w:right w:val="nil"/>
            </w:tcBorders>
            <w:shd w:val="clear" w:color="auto" w:fill="auto"/>
            <w:noWrap/>
            <w:vAlign w:val="bottom"/>
            <w:hideMark/>
          </w:tcPr>
          <w:p w14:paraId="567033D1"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980CDF7"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D6A4BEE" w14:textId="77777777" w:rsidR="00DE156A" w:rsidRDefault="00DE156A"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01EFC314" w14:textId="77777777" w:rsidR="00DE156A" w:rsidRDefault="00DE156A" w:rsidP="005A3B4D">
            <w:pPr>
              <w:jc w:val="right"/>
              <w:rPr>
                <w:color w:val="000000"/>
                <w:sz w:val="20"/>
                <w:szCs w:val="20"/>
              </w:rPr>
            </w:pPr>
            <w:r>
              <w:rPr>
                <w:color w:val="000000"/>
                <w:sz w:val="20"/>
                <w:szCs w:val="20"/>
              </w:rPr>
              <w:t>0.730</w:t>
            </w:r>
          </w:p>
        </w:tc>
        <w:tc>
          <w:tcPr>
            <w:tcW w:w="768" w:type="dxa"/>
            <w:tcBorders>
              <w:top w:val="nil"/>
              <w:left w:val="nil"/>
              <w:bottom w:val="nil"/>
              <w:right w:val="nil"/>
            </w:tcBorders>
            <w:shd w:val="clear" w:color="auto" w:fill="auto"/>
            <w:noWrap/>
            <w:vAlign w:val="bottom"/>
            <w:hideMark/>
          </w:tcPr>
          <w:p w14:paraId="661B9308"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AE47FA9"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B025A80" w14:textId="77777777" w:rsidR="00DE156A" w:rsidRDefault="00DE156A"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6456ADC0"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548300" w14:textId="77777777" w:rsidR="00DE156A" w:rsidRDefault="00DE156A"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132988E" w14:textId="77777777" w:rsidR="00DE156A" w:rsidRDefault="00DE156A" w:rsidP="005A3B4D">
            <w:pPr>
              <w:jc w:val="right"/>
              <w:rPr>
                <w:color w:val="000000"/>
                <w:sz w:val="20"/>
                <w:szCs w:val="20"/>
              </w:rPr>
            </w:pPr>
            <w:r>
              <w:rPr>
                <w:color w:val="000000"/>
                <w:sz w:val="20"/>
                <w:szCs w:val="20"/>
              </w:rPr>
              <w:t>0.754</w:t>
            </w:r>
          </w:p>
        </w:tc>
        <w:tc>
          <w:tcPr>
            <w:tcW w:w="768" w:type="dxa"/>
            <w:tcBorders>
              <w:top w:val="nil"/>
              <w:left w:val="nil"/>
              <w:bottom w:val="nil"/>
              <w:right w:val="nil"/>
            </w:tcBorders>
            <w:shd w:val="clear" w:color="auto" w:fill="auto"/>
            <w:noWrap/>
            <w:vAlign w:val="bottom"/>
            <w:hideMark/>
          </w:tcPr>
          <w:p w14:paraId="0D133550"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F0FA9B" w14:textId="77777777" w:rsidR="00DE156A" w:rsidRDefault="00DE156A"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1BCAE8A9" w14:textId="77777777" w:rsidR="00DE156A" w:rsidRDefault="00DE156A" w:rsidP="005A3B4D">
            <w:pPr>
              <w:jc w:val="right"/>
              <w:rPr>
                <w:color w:val="000000"/>
                <w:sz w:val="20"/>
                <w:szCs w:val="20"/>
              </w:rPr>
            </w:pPr>
            <w:r>
              <w:rPr>
                <w:color w:val="000000"/>
                <w:sz w:val="20"/>
                <w:szCs w:val="20"/>
              </w:rPr>
              <w:t>0.639</w:t>
            </w:r>
          </w:p>
        </w:tc>
        <w:tc>
          <w:tcPr>
            <w:tcW w:w="768" w:type="dxa"/>
            <w:tcBorders>
              <w:top w:val="nil"/>
              <w:left w:val="nil"/>
              <w:bottom w:val="nil"/>
              <w:right w:val="nil"/>
            </w:tcBorders>
            <w:shd w:val="clear" w:color="auto" w:fill="auto"/>
            <w:noWrap/>
            <w:vAlign w:val="bottom"/>
            <w:hideMark/>
          </w:tcPr>
          <w:p w14:paraId="524C5D2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9E2A0C"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CBFE92D" w14:textId="77777777" w:rsidR="00DE156A" w:rsidRDefault="00DE156A" w:rsidP="005A3B4D">
            <w:pPr>
              <w:jc w:val="right"/>
              <w:rPr>
                <w:color w:val="000000"/>
                <w:sz w:val="20"/>
                <w:szCs w:val="20"/>
              </w:rPr>
            </w:pPr>
            <w:r>
              <w:rPr>
                <w:color w:val="000000"/>
                <w:sz w:val="20"/>
                <w:szCs w:val="20"/>
              </w:rPr>
              <w:t>0.777</w:t>
            </w:r>
          </w:p>
        </w:tc>
        <w:tc>
          <w:tcPr>
            <w:tcW w:w="768" w:type="dxa"/>
            <w:tcBorders>
              <w:top w:val="nil"/>
              <w:left w:val="nil"/>
              <w:bottom w:val="nil"/>
              <w:right w:val="nil"/>
            </w:tcBorders>
            <w:shd w:val="clear" w:color="auto" w:fill="auto"/>
            <w:noWrap/>
            <w:vAlign w:val="bottom"/>
            <w:hideMark/>
          </w:tcPr>
          <w:p w14:paraId="39611C85" w14:textId="77777777" w:rsidR="00DE156A" w:rsidRDefault="00DE156A" w:rsidP="005A3B4D">
            <w:pPr>
              <w:jc w:val="right"/>
              <w:rPr>
                <w:color w:val="000000"/>
                <w:sz w:val="20"/>
                <w:szCs w:val="20"/>
              </w:rPr>
            </w:pPr>
            <w:r>
              <w:rPr>
                <w:color w:val="000000"/>
                <w:sz w:val="20"/>
                <w:szCs w:val="20"/>
              </w:rPr>
              <w:t>0.001</w:t>
            </w:r>
          </w:p>
        </w:tc>
      </w:tr>
      <w:tr w:rsidR="00DE156A" w14:paraId="1C65F1D3" w14:textId="77777777" w:rsidTr="005A3B4D">
        <w:trPr>
          <w:trHeight w:val="320"/>
        </w:trPr>
        <w:tc>
          <w:tcPr>
            <w:tcW w:w="1176" w:type="dxa"/>
            <w:tcBorders>
              <w:top w:val="nil"/>
              <w:left w:val="nil"/>
              <w:bottom w:val="nil"/>
              <w:right w:val="nil"/>
            </w:tcBorders>
            <w:shd w:val="clear" w:color="auto" w:fill="auto"/>
            <w:noWrap/>
            <w:vAlign w:val="bottom"/>
            <w:hideMark/>
          </w:tcPr>
          <w:p w14:paraId="743DAF3B"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D785521"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C66C602" w14:textId="77777777" w:rsidR="00DE156A" w:rsidRDefault="00DE156A" w:rsidP="005A3B4D">
            <w:pPr>
              <w:jc w:val="right"/>
              <w:rPr>
                <w:b/>
                <w:bCs/>
                <w:color w:val="000000"/>
                <w:sz w:val="20"/>
                <w:szCs w:val="20"/>
              </w:rPr>
            </w:pPr>
            <w:r>
              <w:rPr>
                <w:b/>
                <w:bCs/>
                <w:color w:val="000000"/>
                <w:sz w:val="20"/>
                <w:szCs w:val="20"/>
              </w:rPr>
              <w:t>-0.110</w:t>
            </w:r>
          </w:p>
        </w:tc>
        <w:tc>
          <w:tcPr>
            <w:tcW w:w="768" w:type="dxa"/>
            <w:tcBorders>
              <w:top w:val="nil"/>
              <w:left w:val="nil"/>
              <w:bottom w:val="nil"/>
              <w:right w:val="nil"/>
            </w:tcBorders>
            <w:shd w:val="clear" w:color="auto" w:fill="auto"/>
            <w:noWrap/>
            <w:vAlign w:val="bottom"/>
            <w:hideMark/>
          </w:tcPr>
          <w:p w14:paraId="5DC6E74F" w14:textId="77777777" w:rsidR="00DE156A" w:rsidRDefault="00DE156A" w:rsidP="005A3B4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32A49E76" w14:textId="77777777" w:rsidR="00DE156A" w:rsidRDefault="00DE156A" w:rsidP="005A3B4D">
            <w:pPr>
              <w:jc w:val="right"/>
              <w:rPr>
                <w:color w:val="000000"/>
                <w:sz w:val="20"/>
                <w:szCs w:val="20"/>
              </w:rPr>
            </w:pPr>
            <w:r>
              <w:rPr>
                <w:b/>
                <w:bCs/>
                <w:color w:val="000000"/>
                <w:sz w:val="20"/>
                <w:szCs w:val="20"/>
              </w:rPr>
              <w:t>0.012</w:t>
            </w:r>
          </w:p>
        </w:tc>
        <w:tc>
          <w:tcPr>
            <w:tcW w:w="768" w:type="dxa"/>
            <w:tcBorders>
              <w:top w:val="nil"/>
              <w:left w:val="nil"/>
              <w:bottom w:val="nil"/>
              <w:right w:val="nil"/>
            </w:tcBorders>
            <w:shd w:val="clear" w:color="auto" w:fill="auto"/>
            <w:noWrap/>
            <w:vAlign w:val="bottom"/>
            <w:hideMark/>
          </w:tcPr>
          <w:p w14:paraId="705FE9C2"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A97AFF6" w14:textId="77777777" w:rsidR="00DE156A" w:rsidRDefault="00DE156A"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18464D3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0C9FC0"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B597D1C" w14:textId="77777777" w:rsidR="00DE156A" w:rsidRDefault="00DE156A" w:rsidP="005A3B4D">
            <w:pPr>
              <w:jc w:val="right"/>
              <w:rPr>
                <w:color w:val="000000"/>
                <w:sz w:val="20"/>
                <w:szCs w:val="20"/>
              </w:rPr>
            </w:pPr>
            <w:r>
              <w:rPr>
                <w:color w:val="000000"/>
                <w:sz w:val="20"/>
                <w:szCs w:val="20"/>
              </w:rPr>
              <w:t>0.944</w:t>
            </w:r>
          </w:p>
        </w:tc>
        <w:tc>
          <w:tcPr>
            <w:tcW w:w="768" w:type="dxa"/>
            <w:tcBorders>
              <w:top w:val="nil"/>
              <w:left w:val="nil"/>
              <w:bottom w:val="nil"/>
              <w:right w:val="nil"/>
            </w:tcBorders>
            <w:shd w:val="clear" w:color="auto" w:fill="auto"/>
            <w:noWrap/>
            <w:vAlign w:val="bottom"/>
            <w:hideMark/>
          </w:tcPr>
          <w:p w14:paraId="63219EB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D3DDBB" w14:textId="77777777" w:rsidR="00DE156A" w:rsidRDefault="00DE156A" w:rsidP="005A3B4D">
            <w:pPr>
              <w:jc w:val="right"/>
              <w:rPr>
                <w:color w:val="000000"/>
                <w:sz w:val="20"/>
                <w:szCs w:val="20"/>
              </w:rPr>
            </w:pPr>
            <w:r>
              <w:rPr>
                <w:b/>
                <w:bCs/>
                <w:color w:val="000000"/>
                <w:sz w:val="20"/>
                <w:szCs w:val="20"/>
              </w:rPr>
              <w:t>-0.101</w:t>
            </w:r>
          </w:p>
        </w:tc>
        <w:tc>
          <w:tcPr>
            <w:tcW w:w="768" w:type="dxa"/>
            <w:tcBorders>
              <w:top w:val="nil"/>
              <w:left w:val="nil"/>
              <w:bottom w:val="nil"/>
              <w:right w:val="nil"/>
            </w:tcBorders>
            <w:shd w:val="clear" w:color="auto" w:fill="auto"/>
            <w:noWrap/>
            <w:vAlign w:val="bottom"/>
            <w:hideMark/>
          </w:tcPr>
          <w:p w14:paraId="29EE0855" w14:textId="77777777" w:rsidR="00DE156A" w:rsidRDefault="00DE156A" w:rsidP="005A3B4D">
            <w:pPr>
              <w:jc w:val="right"/>
              <w:rPr>
                <w:color w:val="000000"/>
                <w:sz w:val="20"/>
                <w:szCs w:val="20"/>
              </w:rPr>
            </w:pPr>
            <w:r>
              <w:rPr>
                <w:b/>
                <w:bCs/>
                <w:color w:val="000000"/>
                <w:sz w:val="20"/>
                <w:szCs w:val="20"/>
              </w:rPr>
              <w:t>0.044</w:t>
            </w:r>
          </w:p>
        </w:tc>
        <w:tc>
          <w:tcPr>
            <w:tcW w:w="768" w:type="dxa"/>
            <w:tcBorders>
              <w:top w:val="nil"/>
              <w:left w:val="nil"/>
              <w:bottom w:val="nil"/>
              <w:right w:val="nil"/>
            </w:tcBorders>
            <w:shd w:val="clear" w:color="auto" w:fill="auto"/>
            <w:noWrap/>
            <w:vAlign w:val="bottom"/>
            <w:hideMark/>
          </w:tcPr>
          <w:p w14:paraId="2BC25D9A" w14:textId="77777777" w:rsidR="00DE156A" w:rsidRDefault="00DE156A" w:rsidP="005A3B4D">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5A8DA3AD"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6CD0FAC" w14:textId="77777777" w:rsidR="00DE156A" w:rsidRDefault="00DE156A" w:rsidP="005A3B4D">
            <w:pPr>
              <w:jc w:val="right"/>
              <w:rPr>
                <w:color w:val="000000"/>
                <w:sz w:val="20"/>
                <w:szCs w:val="20"/>
              </w:rPr>
            </w:pPr>
            <w:r>
              <w:rPr>
                <w:color w:val="000000"/>
                <w:sz w:val="20"/>
                <w:szCs w:val="20"/>
              </w:rPr>
              <w:t>0.777</w:t>
            </w:r>
          </w:p>
        </w:tc>
        <w:tc>
          <w:tcPr>
            <w:tcW w:w="768" w:type="dxa"/>
            <w:tcBorders>
              <w:top w:val="nil"/>
              <w:left w:val="nil"/>
              <w:bottom w:val="nil"/>
              <w:right w:val="nil"/>
            </w:tcBorders>
            <w:shd w:val="clear" w:color="auto" w:fill="auto"/>
            <w:noWrap/>
            <w:vAlign w:val="bottom"/>
            <w:hideMark/>
          </w:tcPr>
          <w:p w14:paraId="03DEFB93" w14:textId="77777777" w:rsidR="00DE156A" w:rsidRDefault="00DE156A" w:rsidP="005A3B4D">
            <w:pPr>
              <w:jc w:val="right"/>
              <w:rPr>
                <w:color w:val="000000"/>
                <w:sz w:val="20"/>
                <w:szCs w:val="20"/>
              </w:rPr>
            </w:pPr>
            <w:r>
              <w:rPr>
                <w:color w:val="000000"/>
                <w:sz w:val="20"/>
                <w:szCs w:val="20"/>
              </w:rPr>
              <w:t>0.000</w:t>
            </w:r>
          </w:p>
        </w:tc>
      </w:tr>
      <w:tr w:rsidR="00DE156A" w14:paraId="232EB514" w14:textId="77777777" w:rsidTr="005A3B4D">
        <w:trPr>
          <w:trHeight w:val="320"/>
        </w:trPr>
        <w:tc>
          <w:tcPr>
            <w:tcW w:w="1176" w:type="dxa"/>
            <w:tcBorders>
              <w:top w:val="nil"/>
              <w:left w:val="nil"/>
              <w:bottom w:val="nil"/>
              <w:right w:val="nil"/>
            </w:tcBorders>
            <w:shd w:val="clear" w:color="auto" w:fill="auto"/>
            <w:noWrap/>
            <w:vAlign w:val="bottom"/>
            <w:hideMark/>
          </w:tcPr>
          <w:p w14:paraId="0DFAE0B4"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C8B23F1"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0EECA7D" w14:textId="77777777" w:rsidR="00DE156A" w:rsidRDefault="00DE156A"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3DAF3A7" w14:textId="77777777" w:rsidR="00DE156A" w:rsidRDefault="00DE156A"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11C22A2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D7135F"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60F061E" w14:textId="77777777" w:rsidR="00DE156A" w:rsidRDefault="00DE156A" w:rsidP="005A3B4D">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796A883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F94FC0" w14:textId="77777777" w:rsidR="00DE156A" w:rsidRDefault="00DE156A"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2575263C" w14:textId="77777777" w:rsidR="00DE156A" w:rsidRDefault="00DE156A" w:rsidP="005A3B4D">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1A488917"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BC00128" w14:textId="77777777" w:rsidR="00DE156A" w:rsidRDefault="00DE156A" w:rsidP="005A3B4D">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3FF95883" w14:textId="77777777" w:rsidR="00DE156A" w:rsidRDefault="00DE156A" w:rsidP="005A3B4D">
            <w:pPr>
              <w:jc w:val="right"/>
              <w:rPr>
                <w:color w:val="000000"/>
                <w:sz w:val="20"/>
                <w:szCs w:val="20"/>
              </w:rPr>
            </w:pPr>
            <w:r>
              <w:rPr>
                <w:color w:val="000000"/>
                <w:sz w:val="20"/>
                <w:szCs w:val="20"/>
              </w:rPr>
              <w:t>0.384</w:t>
            </w:r>
          </w:p>
        </w:tc>
        <w:tc>
          <w:tcPr>
            <w:tcW w:w="768" w:type="dxa"/>
            <w:tcBorders>
              <w:top w:val="nil"/>
              <w:left w:val="nil"/>
              <w:bottom w:val="nil"/>
              <w:right w:val="nil"/>
            </w:tcBorders>
            <w:shd w:val="clear" w:color="auto" w:fill="auto"/>
            <w:noWrap/>
            <w:vAlign w:val="bottom"/>
            <w:hideMark/>
          </w:tcPr>
          <w:p w14:paraId="5BC57287"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0C7962F" w14:textId="77777777" w:rsidR="00DE156A" w:rsidRDefault="00DE156A" w:rsidP="005A3B4D">
            <w:pPr>
              <w:jc w:val="right"/>
              <w:rPr>
                <w:color w:val="000000"/>
                <w:sz w:val="20"/>
                <w:szCs w:val="20"/>
              </w:rPr>
            </w:pPr>
            <w:r>
              <w:rPr>
                <w:color w:val="000000"/>
                <w:sz w:val="20"/>
                <w:szCs w:val="20"/>
              </w:rPr>
              <w:t>0.115</w:t>
            </w:r>
          </w:p>
        </w:tc>
        <w:tc>
          <w:tcPr>
            <w:tcW w:w="768" w:type="dxa"/>
            <w:tcBorders>
              <w:top w:val="nil"/>
              <w:left w:val="nil"/>
              <w:bottom w:val="nil"/>
              <w:right w:val="nil"/>
            </w:tcBorders>
            <w:shd w:val="clear" w:color="auto" w:fill="auto"/>
            <w:noWrap/>
            <w:vAlign w:val="bottom"/>
            <w:hideMark/>
          </w:tcPr>
          <w:p w14:paraId="43D96D8E" w14:textId="77777777" w:rsidR="00DE156A" w:rsidRDefault="00DE156A" w:rsidP="005A3B4D">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074CAA52" w14:textId="77777777" w:rsidR="00DE156A" w:rsidRDefault="00DE156A" w:rsidP="005A3B4D">
            <w:pPr>
              <w:jc w:val="right"/>
              <w:rPr>
                <w:color w:val="000000"/>
                <w:sz w:val="20"/>
                <w:szCs w:val="20"/>
              </w:rPr>
            </w:pPr>
            <w:r>
              <w:rPr>
                <w:color w:val="000000"/>
                <w:sz w:val="20"/>
                <w:szCs w:val="20"/>
              </w:rPr>
              <w:t>0.013</w:t>
            </w:r>
          </w:p>
        </w:tc>
      </w:tr>
      <w:tr w:rsidR="00DE156A" w14:paraId="6E0CC8BE"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51E576F6"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B11AC22"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0057C5B" w14:textId="77777777" w:rsidR="00DE156A" w:rsidRDefault="00DE156A" w:rsidP="005A3B4D">
            <w:pPr>
              <w:jc w:val="right"/>
              <w:rPr>
                <w:color w:val="000000"/>
                <w:sz w:val="20"/>
                <w:szCs w:val="20"/>
              </w:rPr>
            </w:pPr>
            <w:r>
              <w:rPr>
                <w:color w:val="000000"/>
                <w:sz w:val="20"/>
                <w:szCs w:val="20"/>
              </w:rPr>
              <w:t>-0.054</w:t>
            </w:r>
          </w:p>
        </w:tc>
        <w:tc>
          <w:tcPr>
            <w:tcW w:w="768" w:type="dxa"/>
            <w:tcBorders>
              <w:top w:val="nil"/>
              <w:left w:val="nil"/>
              <w:bottom w:val="single" w:sz="4" w:space="0" w:color="auto"/>
              <w:right w:val="nil"/>
            </w:tcBorders>
            <w:shd w:val="clear" w:color="auto" w:fill="auto"/>
            <w:noWrap/>
            <w:vAlign w:val="bottom"/>
            <w:hideMark/>
          </w:tcPr>
          <w:p w14:paraId="0D806709" w14:textId="77777777" w:rsidR="00DE156A" w:rsidRDefault="00DE156A" w:rsidP="005A3B4D">
            <w:pPr>
              <w:jc w:val="right"/>
              <w:rPr>
                <w:color w:val="000000"/>
                <w:sz w:val="20"/>
                <w:szCs w:val="20"/>
              </w:rPr>
            </w:pPr>
            <w:r>
              <w:rPr>
                <w:color w:val="000000"/>
                <w:sz w:val="20"/>
                <w:szCs w:val="20"/>
              </w:rPr>
              <w:t>0.730</w:t>
            </w:r>
          </w:p>
        </w:tc>
        <w:tc>
          <w:tcPr>
            <w:tcW w:w="768" w:type="dxa"/>
            <w:tcBorders>
              <w:top w:val="nil"/>
              <w:left w:val="nil"/>
              <w:bottom w:val="single" w:sz="4" w:space="0" w:color="auto"/>
              <w:right w:val="nil"/>
            </w:tcBorders>
            <w:shd w:val="clear" w:color="auto" w:fill="auto"/>
            <w:noWrap/>
            <w:vAlign w:val="bottom"/>
            <w:hideMark/>
          </w:tcPr>
          <w:p w14:paraId="11FD6BAF"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4218E0E1" w14:textId="77777777" w:rsidR="00DE156A" w:rsidRDefault="00DE156A" w:rsidP="005A3B4D">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4F77FC71" w14:textId="77777777" w:rsidR="00DE156A" w:rsidRDefault="00DE156A" w:rsidP="005A3B4D">
            <w:pPr>
              <w:jc w:val="right"/>
              <w:rPr>
                <w:color w:val="000000"/>
                <w:sz w:val="20"/>
                <w:szCs w:val="20"/>
              </w:rPr>
            </w:pPr>
            <w:r>
              <w:rPr>
                <w:color w:val="000000"/>
                <w:sz w:val="20"/>
                <w:szCs w:val="20"/>
              </w:rPr>
              <w:t>0.853</w:t>
            </w:r>
          </w:p>
        </w:tc>
        <w:tc>
          <w:tcPr>
            <w:tcW w:w="768" w:type="dxa"/>
            <w:tcBorders>
              <w:top w:val="nil"/>
              <w:left w:val="nil"/>
              <w:bottom w:val="single" w:sz="4" w:space="0" w:color="auto"/>
              <w:right w:val="nil"/>
            </w:tcBorders>
            <w:shd w:val="clear" w:color="auto" w:fill="auto"/>
            <w:noWrap/>
            <w:vAlign w:val="bottom"/>
            <w:hideMark/>
          </w:tcPr>
          <w:p w14:paraId="491C59A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FA97839" w14:textId="77777777" w:rsidR="00DE156A" w:rsidRDefault="00DE156A" w:rsidP="005A3B4D">
            <w:pPr>
              <w:jc w:val="right"/>
              <w:rPr>
                <w:color w:val="000000"/>
                <w:sz w:val="20"/>
                <w:szCs w:val="20"/>
              </w:rPr>
            </w:pPr>
            <w:r>
              <w:rPr>
                <w:color w:val="000000"/>
                <w:sz w:val="20"/>
                <w:szCs w:val="20"/>
              </w:rPr>
              <w:t>-0.023</w:t>
            </w:r>
          </w:p>
        </w:tc>
        <w:tc>
          <w:tcPr>
            <w:tcW w:w="768" w:type="dxa"/>
            <w:tcBorders>
              <w:top w:val="nil"/>
              <w:left w:val="nil"/>
              <w:bottom w:val="single" w:sz="4" w:space="0" w:color="auto"/>
              <w:right w:val="nil"/>
            </w:tcBorders>
            <w:shd w:val="clear" w:color="auto" w:fill="auto"/>
            <w:noWrap/>
            <w:vAlign w:val="bottom"/>
            <w:hideMark/>
          </w:tcPr>
          <w:p w14:paraId="037600E5" w14:textId="77777777" w:rsidR="00DE156A" w:rsidRDefault="00DE156A" w:rsidP="005A3B4D">
            <w:pPr>
              <w:jc w:val="right"/>
              <w:rPr>
                <w:color w:val="000000"/>
                <w:sz w:val="20"/>
                <w:szCs w:val="20"/>
              </w:rPr>
            </w:pPr>
            <w:r>
              <w:rPr>
                <w:color w:val="000000"/>
                <w:sz w:val="20"/>
                <w:szCs w:val="20"/>
              </w:rPr>
              <w:t>0.754</w:t>
            </w:r>
          </w:p>
        </w:tc>
        <w:tc>
          <w:tcPr>
            <w:tcW w:w="768" w:type="dxa"/>
            <w:tcBorders>
              <w:top w:val="nil"/>
              <w:left w:val="nil"/>
              <w:bottom w:val="single" w:sz="4" w:space="0" w:color="auto"/>
              <w:right w:val="nil"/>
            </w:tcBorders>
            <w:shd w:val="clear" w:color="auto" w:fill="auto"/>
            <w:noWrap/>
            <w:vAlign w:val="bottom"/>
            <w:hideMark/>
          </w:tcPr>
          <w:p w14:paraId="610D1107"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D533074" w14:textId="77777777" w:rsidR="00DE156A" w:rsidRDefault="00DE156A" w:rsidP="005A3B4D">
            <w:pPr>
              <w:jc w:val="right"/>
              <w:rPr>
                <w:color w:val="000000"/>
                <w:sz w:val="20"/>
                <w:szCs w:val="20"/>
              </w:rPr>
            </w:pPr>
            <w:r>
              <w:rPr>
                <w:color w:val="000000"/>
                <w:sz w:val="20"/>
                <w:szCs w:val="20"/>
              </w:rPr>
              <w:t>-0.039</w:t>
            </w:r>
          </w:p>
        </w:tc>
        <w:tc>
          <w:tcPr>
            <w:tcW w:w="768" w:type="dxa"/>
            <w:tcBorders>
              <w:top w:val="nil"/>
              <w:left w:val="nil"/>
              <w:bottom w:val="single" w:sz="4" w:space="0" w:color="auto"/>
              <w:right w:val="nil"/>
            </w:tcBorders>
            <w:shd w:val="clear" w:color="auto" w:fill="auto"/>
            <w:noWrap/>
            <w:vAlign w:val="bottom"/>
            <w:hideMark/>
          </w:tcPr>
          <w:p w14:paraId="0B76B619" w14:textId="77777777" w:rsidR="00DE156A" w:rsidRDefault="00DE156A" w:rsidP="005A3B4D">
            <w:pPr>
              <w:jc w:val="right"/>
              <w:rPr>
                <w:color w:val="000000"/>
                <w:sz w:val="20"/>
                <w:szCs w:val="20"/>
              </w:rPr>
            </w:pPr>
            <w:r>
              <w:rPr>
                <w:color w:val="000000"/>
                <w:sz w:val="20"/>
                <w:szCs w:val="20"/>
              </w:rPr>
              <w:t>0.639</w:t>
            </w:r>
          </w:p>
        </w:tc>
        <w:tc>
          <w:tcPr>
            <w:tcW w:w="768" w:type="dxa"/>
            <w:tcBorders>
              <w:top w:val="nil"/>
              <w:left w:val="nil"/>
              <w:bottom w:val="single" w:sz="4" w:space="0" w:color="auto"/>
              <w:right w:val="nil"/>
            </w:tcBorders>
            <w:shd w:val="clear" w:color="auto" w:fill="auto"/>
            <w:noWrap/>
            <w:vAlign w:val="bottom"/>
            <w:hideMark/>
          </w:tcPr>
          <w:p w14:paraId="64349C65"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5160BB30" w14:textId="77777777" w:rsidR="00DE156A" w:rsidRDefault="00DE156A" w:rsidP="005A3B4D">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06F9FAE1" w14:textId="77777777" w:rsidR="00DE156A" w:rsidRDefault="00DE156A" w:rsidP="005A3B4D">
            <w:pPr>
              <w:jc w:val="right"/>
              <w:rPr>
                <w:color w:val="000000"/>
                <w:sz w:val="20"/>
                <w:szCs w:val="20"/>
              </w:rPr>
            </w:pPr>
            <w:r>
              <w:rPr>
                <w:color w:val="000000"/>
                <w:sz w:val="20"/>
                <w:szCs w:val="20"/>
              </w:rPr>
              <w:t>0.777</w:t>
            </w:r>
          </w:p>
        </w:tc>
        <w:tc>
          <w:tcPr>
            <w:tcW w:w="768" w:type="dxa"/>
            <w:tcBorders>
              <w:top w:val="nil"/>
              <w:left w:val="nil"/>
              <w:bottom w:val="single" w:sz="4" w:space="0" w:color="auto"/>
              <w:right w:val="nil"/>
            </w:tcBorders>
            <w:shd w:val="clear" w:color="auto" w:fill="auto"/>
            <w:noWrap/>
            <w:vAlign w:val="bottom"/>
            <w:hideMark/>
          </w:tcPr>
          <w:p w14:paraId="3F1A466E" w14:textId="77777777" w:rsidR="00DE156A" w:rsidRDefault="00DE156A" w:rsidP="005A3B4D">
            <w:pPr>
              <w:jc w:val="right"/>
              <w:rPr>
                <w:color w:val="000000"/>
                <w:sz w:val="20"/>
                <w:szCs w:val="20"/>
              </w:rPr>
            </w:pPr>
            <w:r>
              <w:rPr>
                <w:color w:val="000000"/>
                <w:sz w:val="20"/>
                <w:szCs w:val="20"/>
              </w:rPr>
              <w:t>0.000</w:t>
            </w:r>
          </w:p>
        </w:tc>
      </w:tr>
      <w:tr w:rsidR="00DE156A" w14:paraId="08A703C2" w14:textId="77777777" w:rsidTr="005A3B4D">
        <w:trPr>
          <w:trHeight w:val="320"/>
        </w:trPr>
        <w:tc>
          <w:tcPr>
            <w:tcW w:w="1176" w:type="dxa"/>
            <w:tcBorders>
              <w:top w:val="nil"/>
              <w:left w:val="nil"/>
              <w:bottom w:val="nil"/>
              <w:right w:val="nil"/>
            </w:tcBorders>
            <w:shd w:val="clear" w:color="auto" w:fill="auto"/>
            <w:noWrap/>
            <w:vAlign w:val="bottom"/>
            <w:hideMark/>
          </w:tcPr>
          <w:p w14:paraId="7B7E189B" w14:textId="77777777" w:rsidR="00DE156A" w:rsidRDefault="00DE156A"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2F82EE9E"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D08E410" w14:textId="77777777" w:rsidR="00DE156A" w:rsidRDefault="00DE156A"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9220A49" w14:textId="77777777" w:rsidR="00DE156A" w:rsidRDefault="00DE156A" w:rsidP="005A3B4D">
            <w:pPr>
              <w:jc w:val="right"/>
              <w:rPr>
                <w:color w:val="000000"/>
                <w:sz w:val="20"/>
                <w:szCs w:val="20"/>
              </w:rPr>
            </w:pPr>
            <w:r>
              <w:rPr>
                <w:color w:val="000000"/>
                <w:sz w:val="20"/>
                <w:szCs w:val="20"/>
              </w:rPr>
              <w:t>0.466</w:t>
            </w:r>
          </w:p>
        </w:tc>
        <w:tc>
          <w:tcPr>
            <w:tcW w:w="768" w:type="dxa"/>
            <w:tcBorders>
              <w:top w:val="nil"/>
              <w:left w:val="nil"/>
              <w:bottom w:val="nil"/>
              <w:right w:val="nil"/>
            </w:tcBorders>
            <w:shd w:val="clear" w:color="auto" w:fill="auto"/>
            <w:noWrap/>
            <w:vAlign w:val="bottom"/>
            <w:hideMark/>
          </w:tcPr>
          <w:p w14:paraId="59F16F81"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E4F91AA"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D93EC83" w14:textId="77777777" w:rsidR="00DE156A" w:rsidRDefault="00DE156A" w:rsidP="005A3B4D">
            <w:pPr>
              <w:jc w:val="right"/>
              <w:rPr>
                <w:color w:val="000000"/>
                <w:sz w:val="20"/>
                <w:szCs w:val="20"/>
              </w:rPr>
            </w:pPr>
            <w:r>
              <w:rPr>
                <w:color w:val="000000"/>
                <w:sz w:val="20"/>
                <w:szCs w:val="20"/>
              </w:rPr>
              <w:t>0.957</w:t>
            </w:r>
          </w:p>
        </w:tc>
        <w:tc>
          <w:tcPr>
            <w:tcW w:w="768" w:type="dxa"/>
            <w:tcBorders>
              <w:top w:val="nil"/>
              <w:left w:val="nil"/>
              <w:bottom w:val="nil"/>
              <w:right w:val="nil"/>
            </w:tcBorders>
            <w:shd w:val="clear" w:color="auto" w:fill="auto"/>
            <w:noWrap/>
            <w:vAlign w:val="bottom"/>
            <w:hideMark/>
          </w:tcPr>
          <w:p w14:paraId="5EE561E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EA1F75"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0C58FFD" w14:textId="77777777" w:rsidR="00DE156A" w:rsidRDefault="00DE156A" w:rsidP="005A3B4D">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4631B780"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597420"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0EC8EC89" w14:textId="77777777" w:rsidR="00DE156A" w:rsidRDefault="00DE156A" w:rsidP="005A3B4D">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4D26EF7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9BD0B02"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45C2BB6" w14:textId="77777777" w:rsidR="00DE156A" w:rsidRDefault="00DE156A" w:rsidP="005A3B4D">
            <w:pPr>
              <w:jc w:val="right"/>
              <w:rPr>
                <w:color w:val="000000"/>
                <w:sz w:val="20"/>
                <w:szCs w:val="20"/>
              </w:rPr>
            </w:pPr>
            <w:r>
              <w:rPr>
                <w:color w:val="000000"/>
                <w:sz w:val="20"/>
                <w:szCs w:val="20"/>
              </w:rPr>
              <w:t>0.916</w:t>
            </w:r>
          </w:p>
        </w:tc>
        <w:tc>
          <w:tcPr>
            <w:tcW w:w="768" w:type="dxa"/>
            <w:tcBorders>
              <w:top w:val="nil"/>
              <w:left w:val="nil"/>
              <w:bottom w:val="nil"/>
              <w:right w:val="nil"/>
            </w:tcBorders>
            <w:shd w:val="clear" w:color="auto" w:fill="auto"/>
            <w:noWrap/>
            <w:vAlign w:val="bottom"/>
            <w:hideMark/>
          </w:tcPr>
          <w:p w14:paraId="2F05B2BF" w14:textId="77777777" w:rsidR="00DE156A" w:rsidRDefault="00DE156A" w:rsidP="005A3B4D">
            <w:pPr>
              <w:jc w:val="right"/>
              <w:rPr>
                <w:color w:val="000000"/>
                <w:sz w:val="20"/>
                <w:szCs w:val="20"/>
              </w:rPr>
            </w:pPr>
            <w:r>
              <w:rPr>
                <w:color w:val="000000"/>
                <w:sz w:val="20"/>
                <w:szCs w:val="20"/>
              </w:rPr>
              <w:t>0.000</w:t>
            </w:r>
          </w:p>
        </w:tc>
      </w:tr>
      <w:tr w:rsidR="00DE156A" w14:paraId="49959B37" w14:textId="77777777" w:rsidTr="005A3B4D">
        <w:trPr>
          <w:trHeight w:val="320"/>
        </w:trPr>
        <w:tc>
          <w:tcPr>
            <w:tcW w:w="1176" w:type="dxa"/>
            <w:tcBorders>
              <w:top w:val="nil"/>
              <w:left w:val="nil"/>
              <w:bottom w:val="nil"/>
              <w:right w:val="nil"/>
            </w:tcBorders>
            <w:shd w:val="clear" w:color="auto" w:fill="auto"/>
            <w:noWrap/>
            <w:vAlign w:val="bottom"/>
            <w:hideMark/>
          </w:tcPr>
          <w:p w14:paraId="0A47F010"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4D14D57"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C90A692" w14:textId="77777777" w:rsidR="00DE156A" w:rsidRDefault="00DE156A"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4531013" w14:textId="77777777" w:rsidR="00DE156A" w:rsidRDefault="00DE156A" w:rsidP="005A3B4D">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019C6513"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DE37E8"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5313AD5A" w14:textId="77777777" w:rsidR="00DE156A" w:rsidRDefault="00DE156A" w:rsidP="005A3B4D">
            <w:pPr>
              <w:jc w:val="right"/>
              <w:rPr>
                <w:color w:val="000000"/>
                <w:sz w:val="20"/>
                <w:szCs w:val="20"/>
              </w:rPr>
            </w:pPr>
            <w:r>
              <w:rPr>
                <w:color w:val="000000"/>
                <w:sz w:val="20"/>
                <w:szCs w:val="20"/>
              </w:rPr>
              <w:t>0.957</w:t>
            </w:r>
          </w:p>
        </w:tc>
        <w:tc>
          <w:tcPr>
            <w:tcW w:w="768" w:type="dxa"/>
            <w:tcBorders>
              <w:top w:val="nil"/>
              <w:left w:val="nil"/>
              <w:bottom w:val="nil"/>
              <w:right w:val="nil"/>
            </w:tcBorders>
            <w:shd w:val="clear" w:color="auto" w:fill="auto"/>
            <w:noWrap/>
            <w:vAlign w:val="bottom"/>
            <w:hideMark/>
          </w:tcPr>
          <w:p w14:paraId="34EE347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6023E8" w14:textId="77777777" w:rsidR="00DE156A" w:rsidRDefault="00DE156A"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04E5139" w14:textId="77777777" w:rsidR="00DE156A" w:rsidRDefault="00DE156A" w:rsidP="005A3B4D">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678EDEA8"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F00C2E6"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B41D2AA" w14:textId="77777777" w:rsidR="00DE156A" w:rsidRDefault="00DE156A" w:rsidP="005A3B4D">
            <w:pPr>
              <w:jc w:val="right"/>
              <w:rPr>
                <w:color w:val="000000"/>
                <w:sz w:val="20"/>
                <w:szCs w:val="20"/>
              </w:rPr>
            </w:pPr>
            <w:r>
              <w:rPr>
                <w:color w:val="000000"/>
                <w:sz w:val="20"/>
                <w:szCs w:val="20"/>
              </w:rPr>
              <w:t>0.925</w:t>
            </w:r>
          </w:p>
        </w:tc>
        <w:tc>
          <w:tcPr>
            <w:tcW w:w="768" w:type="dxa"/>
            <w:tcBorders>
              <w:top w:val="nil"/>
              <w:left w:val="nil"/>
              <w:bottom w:val="nil"/>
              <w:right w:val="nil"/>
            </w:tcBorders>
            <w:shd w:val="clear" w:color="auto" w:fill="auto"/>
            <w:noWrap/>
            <w:vAlign w:val="bottom"/>
            <w:hideMark/>
          </w:tcPr>
          <w:p w14:paraId="773B86D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AFEF92" w14:textId="77777777" w:rsidR="00DE156A" w:rsidRDefault="00DE156A"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15868065" w14:textId="77777777" w:rsidR="00DE156A" w:rsidRDefault="00DE156A" w:rsidP="005A3B4D">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63F859B0" w14:textId="77777777" w:rsidR="00DE156A" w:rsidRDefault="00DE156A" w:rsidP="005A3B4D">
            <w:pPr>
              <w:jc w:val="right"/>
              <w:rPr>
                <w:color w:val="000000"/>
                <w:sz w:val="20"/>
                <w:szCs w:val="20"/>
              </w:rPr>
            </w:pPr>
            <w:r>
              <w:rPr>
                <w:color w:val="000000"/>
                <w:sz w:val="20"/>
                <w:szCs w:val="20"/>
              </w:rPr>
              <w:t>0.002</w:t>
            </w:r>
          </w:p>
        </w:tc>
      </w:tr>
      <w:tr w:rsidR="00DE156A" w14:paraId="6EADEBBA" w14:textId="77777777" w:rsidTr="005A3B4D">
        <w:trPr>
          <w:trHeight w:val="320"/>
        </w:trPr>
        <w:tc>
          <w:tcPr>
            <w:tcW w:w="1176" w:type="dxa"/>
            <w:tcBorders>
              <w:top w:val="nil"/>
              <w:left w:val="nil"/>
              <w:bottom w:val="nil"/>
              <w:right w:val="nil"/>
            </w:tcBorders>
            <w:shd w:val="clear" w:color="auto" w:fill="auto"/>
            <w:noWrap/>
            <w:vAlign w:val="bottom"/>
            <w:hideMark/>
          </w:tcPr>
          <w:p w14:paraId="0B706480"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1CC3BF8"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3257F25" w14:textId="77777777" w:rsidR="00DE156A" w:rsidRDefault="00DE156A" w:rsidP="005A3B4D">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108B9792" w14:textId="77777777" w:rsidR="00DE156A" w:rsidRDefault="00DE156A" w:rsidP="005A3B4D">
            <w:pPr>
              <w:jc w:val="right"/>
              <w:rPr>
                <w:color w:val="000000"/>
                <w:sz w:val="20"/>
                <w:szCs w:val="20"/>
              </w:rPr>
            </w:pPr>
            <w:r>
              <w:rPr>
                <w:color w:val="000000"/>
                <w:sz w:val="20"/>
                <w:szCs w:val="20"/>
              </w:rPr>
              <w:t>0.349</w:t>
            </w:r>
          </w:p>
        </w:tc>
        <w:tc>
          <w:tcPr>
            <w:tcW w:w="768" w:type="dxa"/>
            <w:tcBorders>
              <w:top w:val="nil"/>
              <w:left w:val="nil"/>
              <w:bottom w:val="nil"/>
              <w:right w:val="nil"/>
            </w:tcBorders>
            <w:shd w:val="clear" w:color="auto" w:fill="auto"/>
            <w:noWrap/>
            <w:vAlign w:val="bottom"/>
            <w:hideMark/>
          </w:tcPr>
          <w:p w14:paraId="56426972"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CD4171A" w14:textId="77777777" w:rsidR="00DE156A" w:rsidRDefault="00DE156A" w:rsidP="005A3B4D">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7F870E5E" w14:textId="77777777" w:rsidR="00DE156A" w:rsidRDefault="00DE156A"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7B3F28C0"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10B50A6" w14:textId="77777777" w:rsidR="00DE156A" w:rsidRDefault="00DE156A"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6A21D6BB" w14:textId="77777777" w:rsidR="00DE156A" w:rsidRDefault="00DE156A" w:rsidP="005A3B4D">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2F37A963"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56A128F" w14:textId="77777777" w:rsidR="00DE156A" w:rsidRDefault="00DE156A"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5156B863" w14:textId="77777777" w:rsidR="00DE156A" w:rsidRDefault="00DE156A" w:rsidP="005A3B4D">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06EC8FE6"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C592D8B" w14:textId="77777777" w:rsidR="00DE156A" w:rsidRDefault="00DE156A"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4434EFCF" w14:textId="77777777" w:rsidR="00DE156A" w:rsidRDefault="00DE156A" w:rsidP="005A3B4D">
            <w:pPr>
              <w:jc w:val="right"/>
              <w:rPr>
                <w:color w:val="000000"/>
                <w:sz w:val="20"/>
                <w:szCs w:val="20"/>
              </w:rPr>
            </w:pPr>
            <w:r>
              <w:rPr>
                <w:color w:val="000000"/>
                <w:sz w:val="20"/>
                <w:szCs w:val="20"/>
              </w:rPr>
              <w:t>0.820</w:t>
            </w:r>
          </w:p>
        </w:tc>
        <w:tc>
          <w:tcPr>
            <w:tcW w:w="768" w:type="dxa"/>
            <w:tcBorders>
              <w:top w:val="nil"/>
              <w:left w:val="nil"/>
              <w:bottom w:val="nil"/>
              <w:right w:val="nil"/>
            </w:tcBorders>
            <w:shd w:val="clear" w:color="auto" w:fill="auto"/>
            <w:noWrap/>
            <w:vAlign w:val="bottom"/>
            <w:hideMark/>
          </w:tcPr>
          <w:p w14:paraId="3DE0A886" w14:textId="77777777" w:rsidR="00DE156A" w:rsidRDefault="00DE156A" w:rsidP="005A3B4D">
            <w:pPr>
              <w:jc w:val="right"/>
              <w:rPr>
                <w:color w:val="000000"/>
                <w:sz w:val="20"/>
                <w:szCs w:val="20"/>
              </w:rPr>
            </w:pPr>
            <w:r>
              <w:rPr>
                <w:color w:val="000000"/>
                <w:sz w:val="20"/>
                <w:szCs w:val="20"/>
              </w:rPr>
              <w:t>0.001</w:t>
            </w:r>
          </w:p>
        </w:tc>
      </w:tr>
      <w:tr w:rsidR="00DE156A" w14:paraId="1B743F8D" w14:textId="77777777" w:rsidTr="005A3B4D">
        <w:trPr>
          <w:trHeight w:val="320"/>
        </w:trPr>
        <w:tc>
          <w:tcPr>
            <w:tcW w:w="1176" w:type="dxa"/>
            <w:tcBorders>
              <w:top w:val="nil"/>
              <w:left w:val="nil"/>
              <w:bottom w:val="nil"/>
              <w:right w:val="nil"/>
            </w:tcBorders>
            <w:shd w:val="clear" w:color="auto" w:fill="auto"/>
            <w:noWrap/>
            <w:vAlign w:val="bottom"/>
            <w:hideMark/>
          </w:tcPr>
          <w:p w14:paraId="2139309D"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0ABC32"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8E296BD"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7BDC2ED" w14:textId="77777777" w:rsidR="00DE156A" w:rsidRDefault="00DE156A" w:rsidP="005A3B4D">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35EBD81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CDA39A" w14:textId="77777777" w:rsidR="00DE156A" w:rsidRDefault="00DE156A"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730A1C17" w14:textId="77777777" w:rsidR="00DE156A" w:rsidRDefault="00DE156A" w:rsidP="005A3B4D">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65E493B1"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D02D887" w14:textId="77777777" w:rsidR="00DE156A" w:rsidRDefault="00DE156A" w:rsidP="005A3B4D">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413963BF" w14:textId="77777777" w:rsidR="00DE156A" w:rsidRDefault="00DE156A" w:rsidP="005A3B4D">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51B472C6"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2A3EE59" w14:textId="77777777" w:rsidR="00DE156A" w:rsidRDefault="00DE156A"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35FB8CB2" w14:textId="77777777" w:rsidR="00DE156A" w:rsidRDefault="00DE156A" w:rsidP="005A3B4D">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0E5163A1"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367DE98"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2D35585" w14:textId="77777777" w:rsidR="00DE156A" w:rsidRDefault="00DE156A" w:rsidP="005A3B4D">
            <w:pPr>
              <w:jc w:val="right"/>
              <w:rPr>
                <w:color w:val="000000"/>
                <w:sz w:val="20"/>
                <w:szCs w:val="20"/>
              </w:rPr>
            </w:pPr>
            <w:r>
              <w:rPr>
                <w:color w:val="000000"/>
                <w:sz w:val="20"/>
                <w:szCs w:val="20"/>
              </w:rPr>
              <w:t>0.820</w:t>
            </w:r>
          </w:p>
        </w:tc>
        <w:tc>
          <w:tcPr>
            <w:tcW w:w="768" w:type="dxa"/>
            <w:tcBorders>
              <w:top w:val="nil"/>
              <w:left w:val="nil"/>
              <w:bottom w:val="nil"/>
              <w:right w:val="nil"/>
            </w:tcBorders>
            <w:shd w:val="clear" w:color="auto" w:fill="auto"/>
            <w:noWrap/>
            <w:vAlign w:val="bottom"/>
            <w:hideMark/>
          </w:tcPr>
          <w:p w14:paraId="2084A32A" w14:textId="77777777" w:rsidR="00DE156A" w:rsidRDefault="00DE156A" w:rsidP="005A3B4D">
            <w:pPr>
              <w:jc w:val="right"/>
              <w:rPr>
                <w:color w:val="000000"/>
                <w:sz w:val="20"/>
                <w:szCs w:val="20"/>
              </w:rPr>
            </w:pPr>
            <w:r>
              <w:rPr>
                <w:color w:val="000000"/>
                <w:sz w:val="20"/>
                <w:szCs w:val="20"/>
              </w:rPr>
              <w:t>0.001</w:t>
            </w:r>
          </w:p>
        </w:tc>
      </w:tr>
      <w:tr w:rsidR="00DE156A" w14:paraId="1D0622CA" w14:textId="77777777" w:rsidTr="005A3B4D">
        <w:trPr>
          <w:trHeight w:val="320"/>
        </w:trPr>
        <w:tc>
          <w:tcPr>
            <w:tcW w:w="1176" w:type="dxa"/>
            <w:tcBorders>
              <w:top w:val="nil"/>
              <w:left w:val="nil"/>
              <w:bottom w:val="nil"/>
              <w:right w:val="nil"/>
            </w:tcBorders>
            <w:shd w:val="clear" w:color="auto" w:fill="auto"/>
            <w:noWrap/>
            <w:vAlign w:val="bottom"/>
            <w:hideMark/>
          </w:tcPr>
          <w:p w14:paraId="55B6CE07"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10AB929"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36E32D5"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5A10685" w14:textId="77777777" w:rsidR="00DE156A" w:rsidRDefault="00DE156A" w:rsidP="005A3B4D">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6D8400F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251B94"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69FEAB0" w14:textId="77777777" w:rsidR="00DE156A" w:rsidRDefault="00DE156A" w:rsidP="005A3B4D">
            <w:pPr>
              <w:jc w:val="right"/>
              <w:rPr>
                <w:color w:val="000000"/>
                <w:sz w:val="20"/>
                <w:szCs w:val="20"/>
              </w:rPr>
            </w:pPr>
            <w:r>
              <w:rPr>
                <w:color w:val="000000"/>
                <w:sz w:val="20"/>
                <w:szCs w:val="20"/>
              </w:rPr>
              <w:t>0.957</w:t>
            </w:r>
          </w:p>
        </w:tc>
        <w:tc>
          <w:tcPr>
            <w:tcW w:w="768" w:type="dxa"/>
            <w:tcBorders>
              <w:top w:val="nil"/>
              <w:left w:val="nil"/>
              <w:bottom w:val="nil"/>
              <w:right w:val="nil"/>
            </w:tcBorders>
            <w:shd w:val="clear" w:color="auto" w:fill="auto"/>
            <w:noWrap/>
            <w:vAlign w:val="bottom"/>
            <w:hideMark/>
          </w:tcPr>
          <w:p w14:paraId="2FFB276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233624"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EE0E4DC" w14:textId="77777777" w:rsidR="00DE156A" w:rsidRDefault="00DE156A" w:rsidP="005A3B4D">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24B8A75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F858CB" w14:textId="77777777" w:rsidR="00DE156A" w:rsidRDefault="00DE156A"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47359B0" w14:textId="77777777" w:rsidR="00DE156A" w:rsidRDefault="00DE156A" w:rsidP="005A3B4D">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584464A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2D6C2A5" w14:textId="77777777" w:rsidR="00DE156A" w:rsidRDefault="00DE156A" w:rsidP="005A3B4D">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13F61B92" w14:textId="77777777" w:rsidR="00DE156A" w:rsidRDefault="00DE156A" w:rsidP="005A3B4D">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638C6B88" w14:textId="77777777" w:rsidR="00DE156A" w:rsidRDefault="00DE156A" w:rsidP="005A3B4D">
            <w:pPr>
              <w:jc w:val="right"/>
              <w:rPr>
                <w:color w:val="000000"/>
                <w:sz w:val="20"/>
                <w:szCs w:val="20"/>
              </w:rPr>
            </w:pPr>
            <w:r>
              <w:rPr>
                <w:color w:val="000000"/>
                <w:sz w:val="20"/>
                <w:szCs w:val="20"/>
              </w:rPr>
              <w:t>0.005</w:t>
            </w:r>
          </w:p>
        </w:tc>
      </w:tr>
      <w:tr w:rsidR="00DE156A" w14:paraId="1DD08E06" w14:textId="77777777" w:rsidTr="005A3B4D">
        <w:trPr>
          <w:trHeight w:val="320"/>
        </w:trPr>
        <w:tc>
          <w:tcPr>
            <w:tcW w:w="1176" w:type="dxa"/>
            <w:tcBorders>
              <w:top w:val="nil"/>
              <w:left w:val="nil"/>
              <w:bottom w:val="nil"/>
              <w:right w:val="nil"/>
            </w:tcBorders>
            <w:shd w:val="clear" w:color="auto" w:fill="auto"/>
            <w:noWrap/>
            <w:vAlign w:val="bottom"/>
            <w:hideMark/>
          </w:tcPr>
          <w:p w14:paraId="0F7165D2"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5BD2E1"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9B5ADF2" w14:textId="77777777" w:rsidR="00DE156A" w:rsidRDefault="00DE156A" w:rsidP="005A3B4D">
            <w:pPr>
              <w:jc w:val="right"/>
              <w:rPr>
                <w:b/>
                <w:bCs/>
                <w:color w:val="000000"/>
                <w:sz w:val="20"/>
                <w:szCs w:val="20"/>
              </w:rPr>
            </w:pPr>
            <w:r>
              <w:rPr>
                <w:b/>
                <w:bCs/>
                <w:color w:val="000000"/>
                <w:sz w:val="20"/>
                <w:szCs w:val="20"/>
              </w:rPr>
              <w:t>-0.108</w:t>
            </w:r>
          </w:p>
        </w:tc>
        <w:tc>
          <w:tcPr>
            <w:tcW w:w="768" w:type="dxa"/>
            <w:tcBorders>
              <w:top w:val="nil"/>
              <w:left w:val="nil"/>
              <w:bottom w:val="nil"/>
              <w:right w:val="nil"/>
            </w:tcBorders>
            <w:shd w:val="clear" w:color="auto" w:fill="auto"/>
            <w:noWrap/>
            <w:vAlign w:val="bottom"/>
            <w:hideMark/>
          </w:tcPr>
          <w:p w14:paraId="09DEFD33" w14:textId="77777777" w:rsidR="00DE156A" w:rsidRDefault="00DE156A" w:rsidP="005A3B4D">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4AA450AA" w14:textId="77777777" w:rsidR="00DE156A" w:rsidRDefault="00DE156A" w:rsidP="005A3B4D">
            <w:pPr>
              <w:jc w:val="right"/>
              <w:rPr>
                <w:color w:val="000000"/>
                <w:sz w:val="20"/>
                <w:szCs w:val="20"/>
              </w:rPr>
            </w:pPr>
            <w:r>
              <w:rPr>
                <w:b/>
                <w:bCs/>
                <w:color w:val="000000"/>
                <w:sz w:val="20"/>
                <w:szCs w:val="20"/>
              </w:rPr>
              <w:t>0.012</w:t>
            </w:r>
          </w:p>
        </w:tc>
        <w:tc>
          <w:tcPr>
            <w:tcW w:w="768" w:type="dxa"/>
            <w:tcBorders>
              <w:top w:val="nil"/>
              <w:left w:val="nil"/>
              <w:bottom w:val="nil"/>
              <w:right w:val="nil"/>
            </w:tcBorders>
            <w:shd w:val="clear" w:color="auto" w:fill="auto"/>
            <w:noWrap/>
            <w:vAlign w:val="bottom"/>
            <w:hideMark/>
          </w:tcPr>
          <w:p w14:paraId="1CB75A02"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104C6CF" w14:textId="77777777" w:rsidR="00DE156A" w:rsidRDefault="00DE156A" w:rsidP="005A3B4D">
            <w:pPr>
              <w:jc w:val="right"/>
              <w:rPr>
                <w:color w:val="000000"/>
                <w:sz w:val="20"/>
                <w:szCs w:val="20"/>
              </w:rPr>
            </w:pPr>
            <w:r>
              <w:rPr>
                <w:color w:val="000000"/>
                <w:sz w:val="20"/>
                <w:szCs w:val="20"/>
              </w:rPr>
              <w:t>0.957</w:t>
            </w:r>
          </w:p>
        </w:tc>
        <w:tc>
          <w:tcPr>
            <w:tcW w:w="768" w:type="dxa"/>
            <w:tcBorders>
              <w:top w:val="nil"/>
              <w:left w:val="nil"/>
              <w:bottom w:val="nil"/>
              <w:right w:val="nil"/>
            </w:tcBorders>
            <w:shd w:val="clear" w:color="auto" w:fill="auto"/>
            <w:noWrap/>
            <w:vAlign w:val="bottom"/>
            <w:hideMark/>
          </w:tcPr>
          <w:p w14:paraId="6F4BC2F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849BA2"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2537E61" w14:textId="77777777" w:rsidR="00DE156A" w:rsidRDefault="00DE156A" w:rsidP="005A3B4D">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7824119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C4FE6B" w14:textId="77777777" w:rsidR="00DE156A" w:rsidRDefault="00DE156A" w:rsidP="005A3B4D">
            <w:pPr>
              <w:jc w:val="right"/>
              <w:rPr>
                <w:b/>
                <w:bCs/>
                <w:color w:val="000000"/>
                <w:sz w:val="20"/>
                <w:szCs w:val="20"/>
              </w:rPr>
            </w:pPr>
            <w:r>
              <w:rPr>
                <w:b/>
                <w:bCs/>
                <w:color w:val="000000"/>
                <w:sz w:val="20"/>
                <w:szCs w:val="20"/>
              </w:rPr>
              <w:t>-0.109</w:t>
            </w:r>
          </w:p>
        </w:tc>
        <w:tc>
          <w:tcPr>
            <w:tcW w:w="768" w:type="dxa"/>
            <w:tcBorders>
              <w:top w:val="nil"/>
              <w:left w:val="nil"/>
              <w:bottom w:val="nil"/>
              <w:right w:val="nil"/>
            </w:tcBorders>
            <w:shd w:val="clear" w:color="auto" w:fill="auto"/>
            <w:noWrap/>
            <w:vAlign w:val="bottom"/>
            <w:hideMark/>
          </w:tcPr>
          <w:p w14:paraId="126119E1" w14:textId="77777777" w:rsidR="00DE156A" w:rsidRDefault="00DE156A" w:rsidP="005A3B4D">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322A7966" w14:textId="77777777" w:rsidR="00DE156A" w:rsidRDefault="00DE156A" w:rsidP="005A3B4D">
            <w:pPr>
              <w:jc w:val="right"/>
              <w:rPr>
                <w:color w:val="000000"/>
                <w:sz w:val="20"/>
                <w:szCs w:val="20"/>
              </w:rPr>
            </w:pPr>
            <w:r>
              <w:rPr>
                <w:b/>
                <w:bCs/>
                <w:color w:val="000000"/>
                <w:sz w:val="20"/>
                <w:szCs w:val="20"/>
              </w:rPr>
              <w:t>0.012</w:t>
            </w:r>
          </w:p>
        </w:tc>
        <w:tc>
          <w:tcPr>
            <w:tcW w:w="768" w:type="dxa"/>
            <w:tcBorders>
              <w:top w:val="nil"/>
              <w:left w:val="nil"/>
              <w:bottom w:val="nil"/>
              <w:right w:val="nil"/>
            </w:tcBorders>
            <w:shd w:val="clear" w:color="auto" w:fill="auto"/>
            <w:noWrap/>
            <w:vAlign w:val="bottom"/>
            <w:hideMark/>
          </w:tcPr>
          <w:p w14:paraId="227FFB6C" w14:textId="77777777" w:rsidR="00DE156A" w:rsidRDefault="00DE156A"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2DD2F02" w14:textId="77777777" w:rsidR="00DE156A" w:rsidRDefault="00DE156A" w:rsidP="005A3B4D">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1A61323A" w14:textId="77777777" w:rsidR="00DE156A" w:rsidRDefault="00DE156A" w:rsidP="005A3B4D">
            <w:pPr>
              <w:jc w:val="right"/>
              <w:rPr>
                <w:color w:val="000000"/>
                <w:sz w:val="20"/>
                <w:szCs w:val="20"/>
              </w:rPr>
            </w:pPr>
            <w:r>
              <w:rPr>
                <w:color w:val="000000"/>
                <w:sz w:val="20"/>
                <w:szCs w:val="20"/>
              </w:rPr>
              <w:t>0.001</w:t>
            </w:r>
          </w:p>
        </w:tc>
      </w:tr>
      <w:tr w:rsidR="00DE156A" w14:paraId="24C968BE" w14:textId="77777777" w:rsidTr="005A3B4D">
        <w:trPr>
          <w:trHeight w:val="320"/>
        </w:trPr>
        <w:tc>
          <w:tcPr>
            <w:tcW w:w="1176" w:type="dxa"/>
            <w:tcBorders>
              <w:top w:val="nil"/>
              <w:left w:val="nil"/>
              <w:bottom w:val="nil"/>
              <w:right w:val="nil"/>
            </w:tcBorders>
            <w:shd w:val="clear" w:color="auto" w:fill="auto"/>
            <w:noWrap/>
            <w:vAlign w:val="bottom"/>
            <w:hideMark/>
          </w:tcPr>
          <w:p w14:paraId="64E5436F"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A58EF90"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0EB32EA" w14:textId="77777777" w:rsidR="00DE156A" w:rsidRDefault="00DE156A" w:rsidP="005A3B4D">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6A0D1F69" w14:textId="77777777" w:rsidR="00DE156A" w:rsidRDefault="00DE156A" w:rsidP="005A3B4D">
            <w:pPr>
              <w:jc w:val="right"/>
              <w:rPr>
                <w:color w:val="000000"/>
                <w:sz w:val="20"/>
                <w:szCs w:val="20"/>
              </w:rPr>
            </w:pPr>
            <w:r>
              <w:rPr>
                <w:color w:val="000000"/>
                <w:sz w:val="20"/>
                <w:szCs w:val="20"/>
              </w:rPr>
              <w:t>0.192</w:t>
            </w:r>
          </w:p>
        </w:tc>
        <w:tc>
          <w:tcPr>
            <w:tcW w:w="768" w:type="dxa"/>
            <w:tcBorders>
              <w:top w:val="nil"/>
              <w:left w:val="nil"/>
              <w:bottom w:val="nil"/>
              <w:right w:val="nil"/>
            </w:tcBorders>
            <w:shd w:val="clear" w:color="auto" w:fill="auto"/>
            <w:noWrap/>
            <w:vAlign w:val="bottom"/>
            <w:hideMark/>
          </w:tcPr>
          <w:p w14:paraId="147AE846"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A2D72D6" w14:textId="77777777" w:rsidR="00DE156A" w:rsidRDefault="00DE156A" w:rsidP="005A3B4D">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4C9B586E" w14:textId="77777777" w:rsidR="00DE156A" w:rsidRDefault="00DE156A" w:rsidP="005A3B4D">
            <w:pPr>
              <w:jc w:val="right"/>
              <w:rPr>
                <w:color w:val="000000"/>
                <w:sz w:val="20"/>
                <w:szCs w:val="20"/>
              </w:rPr>
            </w:pPr>
            <w:r>
              <w:rPr>
                <w:color w:val="000000"/>
                <w:sz w:val="20"/>
                <w:szCs w:val="20"/>
              </w:rPr>
              <w:t>0.184</w:t>
            </w:r>
          </w:p>
        </w:tc>
        <w:tc>
          <w:tcPr>
            <w:tcW w:w="768" w:type="dxa"/>
            <w:tcBorders>
              <w:top w:val="nil"/>
              <w:left w:val="nil"/>
              <w:bottom w:val="nil"/>
              <w:right w:val="nil"/>
            </w:tcBorders>
            <w:shd w:val="clear" w:color="auto" w:fill="auto"/>
            <w:noWrap/>
            <w:vAlign w:val="bottom"/>
            <w:hideMark/>
          </w:tcPr>
          <w:p w14:paraId="7E9C41E2"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B9877B5" w14:textId="77777777" w:rsidR="00DE156A" w:rsidRDefault="00DE156A"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3335374B" w14:textId="77777777" w:rsidR="00DE156A" w:rsidRDefault="00DE156A" w:rsidP="005A3B4D">
            <w:pPr>
              <w:jc w:val="right"/>
              <w:rPr>
                <w:color w:val="000000"/>
                <w:sz w:val="20"/>
                <w:szCs w:val="20"/>
              </w:rPr>
            </w:pPr>
            <w:r>
              <w:rPr>
                <w:color w:val="000000"/>
                <w:sz w:val="20"/>
                <w:szCs w:val="20"/>
              </w:rPr>
              <w:t>0.382</w:t>
            </w:r>
          </w:p>
        </w:tc>
        <w:tc>
          <w:tcPr>
            <w:tcW w:w="768" w:type="dxa"/>
            <w:tcBorders>
              <w:top w:val="nil"/>
              <w:left w:val="nil"/>
              <w:bottom w:val="nil"/>
              <w:right w:val="nil"/>
            </w:tcBorders>
            <w:shd w:val="clear" w:color="auto" w:fill="auto"/>
            <w:noWrap/>
            <w:vAlign w:val="bottom"/>
            <w:hideMark/>
          </w:tcPr>
          <w:p w14:paraId="1B96F83D"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BDF449" w14:textId="77777777" w:rsidR="00DE156A" w:rsidRDefault="00DE156A" w:rsidP="005A3B4D">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575149DE" w14:textId="77777777" w:rsidR="00DE156A" w:rsidRDefault="00DE156A" w:rsidP="005A3B4D">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648BB013"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DEEAE5B" w14:textId="77777777" w:rsidR="00DE156A" w:rsidRDefault="00DE156A"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28A3B0A7" w14:textId="77777777" w:rsidR="00DE156A" w:rsidRDefault="00DE156A" w:rsidP="005A3B4D">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2ABCB71C" w14:textId="77777777" w:rsidR="00DE156A" w:rsidRDefault="00DE156A" w:rsidP="005A3B4D">
            <w:pPr>
              <w:jc w:val="right"/>
              <w:rPr>
                <w:color w:val="000000"/>
                <w:sz w:val="20"/>
                <w:szCs w:val="20"/>
              </w:rPr>
            </w:pPr>
            <w:r>
              <w:rPr>
                <w:color w:val="000000"/>
                <w:sz w:val="20"/>
                <w:szCs w:val="20"/>
              </w:rPr>
              <w:t>0.004</w:t>
            </w:r>
          </w:p>
        </w:tc>
      </w:tr>
      <w:tr w:rsidR="00DE156A" w14:paraId="773655DA"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5DC40402"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3DAA967"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6A1A4BE" w14:textId="77777777" w:rsidR="00DE156A" w:rsidRDefault="00DE156A" w:rsidP="005A3B4D">
            <w:pPr>
              <w:jc w:val="right"/>
              <w:rPr>
                <w:color w:val="000000"/>
                <w:sz w:val="20"/>
                <w:szCs w:val="20"/>
              </w:rPr>
            </w:pPr>
            <w:r>
              <w:rPr>
                <w:color w:val="000000"/>
                <w:sz w:val="20"/>
                <w:szCs w:val="20"/>
              </w:rPr>
              <w:t>0.025</w:t>
            </w:r>
          </w:p>
        </w:tc>
        <w:tc>
          <w:tcPr>
            <w:tcW w:w="768" w:type="dxa"/>
            <w:tcBorders>
              <w:top w:val="nil"/>
              <w:left w:val="nil"/>
              <w:bottom w:val="single" w:sz="4" w:space="0" w:color="auto"/>
              <w:right w:val="nil"/>
            </w:tcBorders>
            <w:shd w:val="clear" w:color="auto" w:fill="auto"/>
            <w:noWrap/>
            <w:vAlign w:val="bottom"/>
            <w:hideMark/>
          </w:tcPr>
          <w:p w14:paraId="7239DC12" w14:textId="77777777" w:rsidR="00DE156A" w:rsidRDefault="00DE156A" w:rsidP="005A3B4D">
            <w:pPr>
              <w:jc w:val="right"/>
              <w:rPr>
                <w:color w:val="000000"/>
                <w:sz w:val="20"/>
                <w:szCs w:val="20"/>
              </w:rPr>
            </w:pPr>
            <w:r>
              <w:rPr>
                <w:color w:val="000000"/>
                <w:sz w:val="20"/>
                <w:szCs w:val="20"/>
              </w:rPr>
              <w:t>0.824</w:t>
            </w:r>
          </w:p>
        </w:tc>
        <w:tc>
          <w:tcPr>
            <w:tcW w:w="768" w:type="dxa"/>
            <w:tcBorders>
              <w:top w:val="nil"/>
              <w:left w:val="nil"/>
              <w:bottom w:val="single" w:sz="4" w:space="0" w:color="auto"/>
              <w:right w:val="nil"/>
            </w:tcBorders>
            <w:shd w:val="clear" w:color="auto" w:fill="auto"/>
            <w:noWrap/>
            <w:vAlign w:val="bottom"/>
            <w:hideMark/>
          </w:tcPr>
          <w:p w14:paraId="30BC909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D03694A"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single" w:sz="4" w:space="0" w:color="auto"/>
              <w:right w:val="nil"/>
            </w:tcBorders>
            <w:shd w:val="clear" w:color="auto" w:fill="auto"/>
            <w:noWrap/>
            <w:vAlign w:val="bottom"/>
            <w:hideMark/>
          </w:tcPr>
          <w:p w14:paraId="16EB0876" w14:textId="77777777" w:rsidR="00DE156A" w:rsidRDefault="00DE156A" w:rsidP="005A3B4D">
            <w:pPr>
              <w:jc w:val="right"/>
              <w:rPr>
                <w:color w:val="000000"/>
                <w:sz w:val="20"/>
                <w:szCs w:val="20"/>
              </w:rPr>
            </w:pPr>
            <w:r>
              <w:rPr>
                <w:color w:val="000000"/>
                <w:sz w:val="20"/>
                <w:szCs w:val="20"/>
              </w:rPr>
              <w:t>0.957</w:t>
            </w:r>
          </w:p>
        </w:tc>
        <w:tc>
          <w:tcPr>
            <w:tcW w:w="768" w:type="dxa"/>
            <w:tcBorders>
              <w:top w:val="nil"/>
              <w:left w:val="nil"/>
              <w:bottom w:val="single" w:sz="4" w:space="0" w:color="auto"/>
              <w:right w:val="nil"/>
            </w:tcBorders>
            <w:shd w:val="clear" w:color="auto" w:fill="auto"/>
            <w:noWrap/>
            <w:vAlign w:val="bottom"/>
            <w:hideMark/>
          </w:tcPr>
          <w:p w14:paraId="51B062C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6C9F97A"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3D74BC53" w14:textId="77777777" w:rsidR="00DE156A" w:rsidRDefault="00DE156A" w:rsidP="005A3B4D">
            <w:pPr>
              <w:jc w:val="right"/>
              <w:rPr>
                <w:color w:val="000000"/>
                <w:sz w:val="20"/>
                <w:szCs w:val="20"/>
              </w:rPr>
            </w:pPr>
            <w:r>
              <w:rPr>
                <w:color w:val="000000"/>
                <w:sz w:val="20"/>
                <w:szCs w:val="20"/>
              </w:rPr>
              <w:t>0.368</w:t>
            </w:r>
          </w:p>
        </w:tc>
        <w:tc>
          <w:tcPr>
            <w:tcW w:w="768" w:type="dxa"/>
            <w:tcBorders>
              <w:top w:val="nil"/>
              <w:left w:val="nil"/>
              <w:bottom w:val="single" w:sz="4" w:space="0" w:color="auto"/>
              <w:right w:val="nil"/>
            </w:tcBorders>
            <w:shd w:val="clear" w:color="auto" w:fill="auto"/>
            <w:noWrap/>
            <w:vAlign w:val="bottom"/>
            <w:hideMark/>
          </w:tcPr>
          <w:p w14:paraId="4269917F"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6FF8AB4"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747905DC"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single" w:sz="4" w:space="0" w:color="auto"/>
              <w:right w:val="nil"/>
            </w:tcBorders>
            <w:shd w:val="clear" w:color="auto" w:fill="auto"/>
            <w:noWrap/>
            <w:vAlign w:val="bottom"/>
            <w:hideMark/>
          </w:tcPr>
          <w:p w14:paraId="61E2CD6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4EE7AED"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5BEEAAC4" w14:textId="77777777" w:rsidR="00DE156A" w:rsidRDefault="00DE156A" w:rsidP="005A3B4D">
            <w:pPr>
              <w:jc w:val="right"/>
              <w:rPr>
                <w:color w:val="000000"/>
                <w:sz w:val="20"/>
                <w:szCs w:val="20"/>
              </w:rPr>
            </w:pPr>
            <w:r>
              <w:rPr>
                <w:color w:val="000000"/>
                <w:sz w:val="20"/>
                <w:szCs w:val="20"/>
              </w:rPr>
              <w:t>0.821</w:t>
            </w:r>
          </w:p>
        </w:tc>
        <w:tc>
          <w:tcPr>
            <w:tcW w:w="768" w:type="dxa"/>
            <w:tcBorders>
              <w:top w:val="nil"/>
              <w:left w:val="nil"/>
              <w:bottom w:val="single" w:sz="4" w:space="0" w:color="auto"/>
              <w:right w:val="nil"/>
            </w:tcBorders>
            <w:shd w:val="clear" w:color="auto" w:fill="auto"/>
            <w:noWrap/>
            <w:vAlign w:val="bottom"/>
            <w:hideMark/>
          </w:tcPr>
          <w:p w14:paraId="6E1A04C8" w14:textId="77777777" w:rsidR="00DE156A" w:rsidRDefault="00DE156A" w:rsidP="005A3B4D">
            <w:pPr>
              <w:jc w:val="right"/>
              <w:rPr>
                <w:color w:val="000000"/>
                <w:sz w:val="20"/>
                <w:szCs w:val="20"/>
              </w:rPr>
            </w:pPr>
            <w:r>
              <w:rPr>
                <w:color w:val="000000"/>
                <w:sz w:val="20"/>
                <w:szCs w:val="20"/>
              </w:rPr>
              <w:t>0.000</w:t>
            </w:r>
          </w:p>
        </w:tc>
      </w:tr>
      <w:tr w:rsidR="00DE156A" w14:paraId="72E664C9" w14:textId="77777777" w:rsidTr="005A3B4D">
        <w:trPr>
          <w:trHeight w:val="320"/>
        </w:trPr>
        <w:tc>
          <w:tcPr>
            <w:tcW w:w="1176" w:type="dxa"/>
            <w:tcBorders>
              <w:top w:val="nil"/>
              <w:left w:val="nil"/>
              <w:bottom w:val="nil"/>
              <w:right w:val="nil"/>
            </w:tcBorders>
            <w:shd w:val="clear" w:color="auto" w:fill="auto"/>
            <w:noWrap/>
            <w:vAlign w:val="bottom"/>
            <w:hideMark/>
          </w:tcPr>
          <w:p w14:paraId="7A888D4B" w14:textId="77777777" w:rsidR="00DE156A" w:rsidRDefault="00DE156A"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3A1753F"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41BED98" w14:textId="77777777" w:rsidR="00DE156A" w:rsidRDefault="00DE156A"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E76B5C9" w14:textId="77777777" w:rsidR="00DE156A" w:rsidRDefault="00DE156A" w:rsidP="005A3B4D">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2B28CA7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ED21F5"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23C9A34" w14:textId="77777777" w:rsidR="00DE156A" w:rsidRDefault="00DE156A" w:rsidP="005A3B4D">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49F4B3C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A2A36D" w14:textId="77777777" w:rsidR="00DE156A" w:rsidRDefault="00DE156A"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39647247" w14:textId="77777777" w:rsidR="00DE156A" w:rsidRDefault="00DE156A" w:rsidP="005A3B4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5D80D3ED"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24F058A"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C943BD4"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7DC7EC6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C655E8"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8DAA196"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0675DE86" w14:textId="77777777" w:rsidR="00DE156A" w:rsidRDefault="00DE156A" w:rsidP="005A3B4D">
            <w:pPr>
              <w:jc w:val="right"/>
              <w:rPr>
                <w:color w:val="000000"/>
                <w:sz w:val="20"/>
                <w:szCs w:val="20"/>
              </w:rPr>
            </w:pPr>
            <w:r>
              <w:rPr>
                <w:color w:val="000000"/>
                <w:sz w:val="20"/>
                <w:szCs w:val="20"/>
              </w:rPr>
              <w:t>0.000</w:t>
            </w:r>
          </w:p>
        </w:tc>
      </w:tr>
      <w:tr w:rsidR="00DE156A" w14:paraId="3E5E4833" w14:textId="77777777" w:rsidTr="005A3B4D">
        <w:trPr>
          <w:trHeight w:val="320"/>
        </w:trPr>
        <w:tc>
          <w:tcPr>
            <w:tcW w:w="1176" w:type="dxa"/>
            <w:tcBorders>
              <w:top w:val="nil"/>
              <w:left w:val="nil"/>
              <w:bottom w:val="nil"/>
              <w:right w:val="nil"/>
            </w:tcBorders>
            <w:shd w:val="clear" w:color="auto" w:fill="auto"/>
            <w:noWrap/>
            <w:vAlign w:val="bottom"/>
            <w:hideMark/>
          </w:tcPr>
          <w:p w14:paraId="0BB5765F"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8ADE06"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97458E8"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F83961E" w14:textId="77777777" w:rsidR="00DE156A" w:rsidRDefault="00DE156A" w:rsidP="005A3B4D">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2622F4E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1B4E5E" w14:textId="77777777" w:rsidR="00DE156A" w:rsidRDefault="00DE156A"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09A21F3" w14:textId="77777777" w:rsidR="00DE156A" w:rsidRDefault="00DE156A" w:rsidP="005A3B4D">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34152AC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17541D" w14:textId="77777777" w:rsidR="00DE156A" w:rsidRDefault="00DE156A"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9029B83" w14:textId="77777777" w:rsidR="00DE156A" w:rsidRDefault="00DE156A" w:rsidP="005A3B4D">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3414D0E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9F5469"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4760ADA"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3F8B045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3271D2"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1455490"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6BC9F8E5" w14:textId="77777777" w:rsidR="00DE156A" w:rsidRDefault="00DE156A" w:rsidP="005A3B4D">
            <w:pPr>
              <w:jc w:val="right"/>
              <w:rPr>
                <w:color w:val="000000"/>
                <w:sz w:val="20"/>
                <w:szCs w:val="20"/>
              </w:rPr>
            </w:pPr>
            <w:r>
              <w:rPr>
                <w:color w:val="000000"/>
                <w:sz w:val="20"/>
                <w:szCs w:val="20"/>
              </w:rPr>
              <w:t>0.000</w:t>
            </w:r>
          </w:p>
        </w:tc>
      </w:tr>
      <w:tr w:rsidR="00DE156A" w14:paraId="61CBC79D" w14:textId="77777777" w:rsidTr="005A3B4D">
        <w:trPr>
          <w:trHeight w:val="320"/>
        </w:trPr>
        <w:tc>
          <w:tcPr>
            <w:tcW w:w="1176" w:type="dxa"/>
            <w:tcBorders>
              <w:top w:val="nil"/>
              <w:left w:val="nil"/>
              <w:bottom w:val="nil"/>
              <w:right w:val="nil"/>
            </w:tcBorders>
            <w:shd w:val="clear" w:color="auto" w:fill="auto"/>
            <w:noWrap/>
            <w:vAlign w:val="bottom"/>
            <w:hideMark/>
          </w:tcPr>
          <w:p w14:paraId="4204B2A8"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46A09C"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58C68C0"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69B4CB0" w14:textId="77777777" w:rsidR="00DE156A" w:rsidRDefault="00DE156A" w:rsidP="005A3B4D">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6ED9EBF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3DDEAF" w14:textId="77777777" w:rsidR="00DE156A" w:rsidRDefault="00DE156A" w:rsidP="005A3B4D">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1594C0E9" w14:textId="77777777" w:rsidR="00DE156A" w:rsidRDefault="00DE156A"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6B95C40"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014C02C"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71CFEF3" w14:textId="77777777" w:rsidR="00DE156A" w:rsidRDefault="00DE156A" w:rsidP="005A3B4D">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7E6D752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3396C8"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7E2C5330"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0580652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B567CE"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F5C0D1F"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79703C72" w14:textId="77777777" w:rsidR="00DE156A" w:rsidRDefault="00DE156A" w:rsidP="005A3B4D">
            <w:pPr>
              <w:jc w:val="right"/>
              <w:rPr>
                <w:color w:val="000000"/>
                <w:sz w:val="20"/>
                <w:szCs w:val="20"/>
              </w:rPr>
            </w:pPr>
            <w:r>
              <w:rPr>
                <w:color w:val="000000"/>
                <w:sz w:val="20"/>
                <w:szCs w:val="20"/>
              </w:rPr>
              <w:t>0.000</w:t>
            </w:r>
          </w:p>
        </w:tc>
      </w:tr>
      <w:tr w:rsidR="00DE156A" w14:paraId="7805430F" w14:textId="77777777" w:rsidTr="005A3B4D">
        <w:trPr>
          <w:trHeight w:val="320"/>
        </w:trPr>
        <w:tc>
          <w:tcPr>
            <w:tcW w:w="1176" w:type="dxa"/>
            <w:tcBorders>
              <w:top w:val="nil"/>
              <w:left w:val="nil"/>
              <w:bottom w:val="nil"/>
              <w:right w:val="nil"/>
            </w:tcBorders>
            <w:shd w:val="clear" w:color="auto" w:fill="auto"/>
            <w:noWrap/>
            <w:vAlign w:val="bottom"/>
            <w:hideMark/>
          </w:tcPr>
          <w:p w14:paraId="61B5C8F2"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5EACFDF"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C355D53" w14:textId="77777777" w:rsidR="00DE156A" w:rsidRDefault="00DE156A"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64A25A6" w14:textId="77777777" w:rsidR="00DE156A" w:rsidRDefault="00DE156A" w:rsidP="005A3B4D">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75932BB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01FB15" w14:textId="77777777" w:rsidR="00DE156A" w:rsidRDefault="00DE156A"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290A0D34" w14:textId="77777777" w:rsidR="00DE156A" w:rsidRDefault="00DE156A" w:rsidP="005A3B4D">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01A93CB1"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489F9A3" w14:textId="77777777" w:rsidR="00DE156A" w:rsidRDefault="00DE156A"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4C3AC9EB" w14:textId="77777777" w:rsidR="00DE156A" w:rsidRDefault="00DE156A" w:rsidP="005A3B4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06610A4D"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3D4DBDA"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80316A9"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19890A6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61671D"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8BD9EDF"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4D84BAF6" w14:textId="77777777" w:rsidR="00DE156A" w:rsidRDefault="00DE156A" w:rsidP="005A3B4D">
            <w:pPr>
              <w:jc w:val="right"/>
              <w:rPr>
                <w:color w:val="000000"/>
                <w:sz w:val="20"/>
                <w:szCs w:val="20"/>
              </w:rPr>
            </w:pPr>
            <w:r>
              <w:rPr>
                <w:color w:val="000000"/>
                <w:sz w:val="20"/>
                <w:szCs w:val="20"/>
              </w:rPr>
              <w:t>0.000</w:t>
            </w:r>
          </w:p>
        </w:tc>
      </w:tr>
      <w:tr w:rsidR="00DE156A" w14:paraId="7F11CDA2" w14:textId="77777777" w:rsidTr="005A3B4D">
        <w:trPr>
          <w:trHeight w:val="320"/>
        </w:trPr>
        <w:tc>
          <w:tcPr>
            <w:tcW w:w="1176" w:type="dxa"/>
            <w:tcBorders>
              <w:top w:val="nil"/>
              <w:left w:val="nil"/>
              <w:bottom w:val="nil"/>
              <w:right w:val="nil"/>
            </w:tcBorders>
            <w:shd w:val="clear" w:color="auto" w:fill="auto"/>
            <w:noWrap/>
            <w:vAlign w:val="bottom"/>
            <w:hideMark/>
          </w:tcPr>
          <w:p w14:paraId="7CEA9287"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E043D74"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3B66116"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56B74994" w14:textId="77777777" w:rsidR="00DE156A" w:rsidRDefault="00DE156A" w:rsidP="005A3B4D">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508EA2A2"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B0201F6"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711FD6D" w14:textId="77777777" w:rsidR="00DE156A" w:rsidRDefault="00DE156A" w:rsidP="005A3B4D">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38342E3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DECCB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60CAFF" w14:textId="77777777" w:rsidR="00DE156A" w:rsidRDefault="00DE156A" w:rsidP="005A3B4D">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465860C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862283"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FE6E276"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578AD82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924F38"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BF5DA07"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21BA31B6" w14:textId="77777777" w:rsidR="00DE156A" w:rsidRDefault="00DE156A" w:rsidP="005A3B4D">
            <w:pPr>
              <w:jc w:val="right"/>
              <w:rPr>
                <w:color w:val="000000"/>
                <w:sz w:val="20"/>
                <w:szCs w:val="20"/>
              </w:rPr>
            </w:pPr>
            <w:r>
              <w:rPr>
                <w:color w:val="000000"/>
                <w:sz w:val="20"/>
                <w:szCs w:val="20"/>
              </w:rPr>
              <w:t>0.001</w:t>
            </w:r>
          </w:p>
        </w:tc>
      </w:tr>
      <w:tr w:rsidR="00DE156A" w14:paraId="06D699C2" w14:textId="77777777" w:rsidTr="005A3B4D">
        <w:trPr>
          <w:trHeight w:val="320"/>
        </w:trPr>
        <w:tc>
          <w:tcPr>
            <w:tcW w:w="1176" w:type="dxa"/>
            <w:tcBorders>
              <w:top w:val="nil"/>
              <w:left w:val="nil"/>
              <w:bottom w:val="nil"/>
              <w:right w:val="nil"/>
            </w:tcBorders>
            <w:shd w:val="clear" w:color="auto" w:fill="auto"/>
            <w:noWrap/>
            <w:vAlign w:val="bottom"/>
            <w:hideMark/>
          </w:tcPr>
          <w:p w14:paraId="690ABABB"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BAA93F0"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9FA4FA1" w14:textId="77777777" w:rsidR="00DE156A" w:rsidRDefault="00DE156A"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52CDAD7A" w14:textId="77777777" w:rsidR="00DE156A" w:rsidRDefault="00DE156A" w:rsidP="005A3B4D">
            <w:pPr>
              <w:jc w:val="right"/>
              <w:rPr>
                <w:color w:val="000000"/>
                <w:sz w:val="20"/>
                <w:szCs w:val="20"/>
              </w:rPr>
            </w:pPr>
            <w:r>
              <w:rPr>
                <w:color w:val="000000"/>
                <w:sz w:val="20"/>
                <w:szCs w:val="20"/>
              </w:rPr>
              <w:t>0.332</w:t>
            </w:r>
          </w:p>
        </w:tc>
        <w:tc>
          <w:tcPr>
            <w:tcW w:w="768" w:type="dxa"/>
            <w:tcBorders>
              <w:top w:val="nil"/>
              <w:left w:val="nil"/>
              <w:bottom w:val="nil"/>
              <w:right w:val="nil"/>
            </w:tcBorders>
            <w:shd w:val="clear" w:color="auto" w:fill="auto"/>
            <w:noWrap/>
            <w:vAlign w:val="bottom"/>
            <w:hideMark/>
          </w:tcPr>
          <w:p w14:paraId="378500EE"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4817B9D"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66FDEA5" w14:textId="77777777" w:rsidR="00DE156A" w:rsidRDefault="00DE156A" w:rsidP="005A3B4D">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3CBD4B0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F3A1A8" w14:textId="77777777" w:rsidR="00DE156A" w:rsidRDefault="00DE156A" w:rsidP="005A3B4D">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518D95A1" w14:textId="77777777" w:rsidR="00DE156A" w:rsidRDefault="00DE156A" w:rsidP="005A3B4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3FB21509"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DDDC20D" w14:textId="77777777" w:rsidR="00DE156A" w:rsidRDefault="00DE156A"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F6A4703"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1B331336"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74BF49" w14:textId="77777777" w:rsidR="00DE156A" w:rsidRDefault="00DE156A"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46DAFDA1"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5A40E679" w14:textId="77777777" w:rsidR="00DE156A" w:rsidRDefault="00DE156A" w:rsidP="005A3B4D">
            <w:pPr>
              <w:jc w:val="right"/>
              <w:rPr>
                <w:color w:val="000000"/>
                <w:sz w:val="20"/>
                <w:szCs w:val="20"/>
              </w:rPr>
            </w:pPr>
            <w:r>
              <w:rPr>
                <w:color w:val="000000"/>
                <w:sz w:val="20"/>
                <w:szCs w:val="20"/>
              </w:rPr>
              <w:t>0.001</w:t>
            </w:r>
          </w:p>
        </w:tc>
      </w:tr>
      <w:tr w:rsidR="00DE156A" w14:paraId="50788DF8" w14:textId="77777777" w:rsidTr="005A3B4D">
        <w:trPr>
          <w:trHeight w:val="320"/>
        </w:trPr>
        <w:tc>
          <w:tcPr>
            <w:tcW w:w="1176" w:type="dxa"/>
            <w:tcBorders>
              <w:top w:val="nil"/>
              <w:left w:val="nil"/>
              <w:bottom w:val="nil"/>
              <w:right w:val="nil"/>
            </w:tcBorders>
            <w:shd w:val="clear" w:color="auto" w:fill="auto"/>
            <w:noWrap/>
            <w:vAlign w:val="bottom"/>
            <w:hideMark/>
          </w:tcPr>
          <w:p w14:paraId="71D56D3B"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3CC74C2"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5A807EC" w14:textId="77777777" w:rsidR="00DE156A" w:rsidRDefault="00DE156A" w:rsidP="005A3B4D">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4A44D395" w14:textId="77777777" w:rsidR="00DE156A" w:rsidRDefault="00DE156A" w:rsidP="005A3B4D">
            <w:pPr>
              <w:jc w:val="right"/>
              <w:rPr>
                <w:color w:val="000000"/>
                <w:sz w:val="20"/>
                <w:szCs w:val="20"/>
              </w:rPr>
            </w:pPr>
            <w:r>
              <w:rPr>
                <w:color w:val="000000"/>
                <w:sz w:val="20"/>
                <w:szCs w:val="20"/>
              </w:rPr>
              <w:t>0.232</w:t>
            </w:r>
          </w:p>
        </w:tc>
        <w:tc>
          <w:tcPr>
            <w:tcW w:w="768" w:type="dxa"/>
            <w:tcBorders>
              <w:top w:val="nil"/>
              <w:left w:val="nil"/>
              <w:bottom w:val="nil"/>
              <w:right w:val="nil"/>
            </w:tcBorders>
            <w:shd w:val="clear" w:color="auto" w:fill="auto"/>
            <w:noWrap/>
            <w:vAlign w:val="bottom"/>
            <w:hideMark/>
          </w:tcPr>
          <w:p w14:paraId="4D75D5DE"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C9A7E37" w14:textId="77777777" w:rsidR="00DE156A" w:rsidRDefault="00DE156A" w:rsidP="005A3B4D">
            <w:pPr>
              <w:jc w:val="right"/>
              <w:rPr>
                <w:b/>
                <w:bCs/>
                <w:color w:val="000000"/>
                <w:sz w:val="20"/>
                <w:szCs w:val="20"/>
              </w:rPr>
            </w:pPr>
            <w:r>
              <w:rPr>
                <w:b/>
                <w:bCs/>
                <w:color w:val="000000"/>
                <w:sz w:val="20"/>
                <w:szCs w:val="20"/>
              </w:rPr>
              <w:t>-0.082</w:t>
            </w:r>
          </w:p>
        </w:tc>
        <w:tc>
          <w:tcPr>
            <w:tcW w:w="768" w:type="dxa"/>
            <w:tcBorders>
              <w:top w:val="nil"/>
              <w:left w:val="nil"/>
              <w:bottom w:val="nil"/>
              <w:right w:val="nil"/>
            </w:tcBorders>
            <w:shd w:val="clear" w:color="auto" w:fill="auto"/>
            <w:noWrap/>
            <w:vAlign w:val="bottom"/>
            <w:hideMark/>
          </w:tcPr>
          <w:p w14:paraId="0DE8D249" w14:textId="77777777" w:rsidR="00DE156A" w:rsidRDefault="00DE156A" w:rsidP="005A3B4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37D7E6E1" w14:textId="77777777" w:rsidR="00DE156A" w:rsidRDefault="00DE156A" w:rsidP="005A3B4D">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70C10D98" w14:textId="77777777" w:rsidR="00DE156A" w:rsidRDefault="00DE156A"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3933617A" w14:textId="77777777" w:rsidR="00DE156A" w:rsidRDefault="00DE156A" w:rsidP="005A3B4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032F5679"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A150891" w14:textId="77777777" w:rsidR="00DE156A" w:rsidRDefault="00DE156A"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23F68DC1" w14:textId="77777777" w:rsidR="00DE156A" w:rsidRDefault="00DE156A" w:rsidP="005A3B4D">
            <w:pPr>
              <w:jc w:val="right"/>
              <w:rPr>
                <w:color w:val="000000"/>
                <w:sz w:val="20"/>
                <w:szCs w:val="20"/>
              </w:rPr>
            </w:pPr>
            <w:r>
              <w:rPr>
                <w:color w:val="000000"/>
                <w:sz w:val="20"/>
                <w:szCs w:val="20"/>
              </w:rPr>
              <w:t>0.520</w:t>
            </w:r>
          </w:p>
        </w:tc>
        <w:tc>
          <w:tcPr>
            <w:tcW w:w="768" w:type="dxa"/>
            <w:tcBorders>
              <w:top w:val="nil"/>
              <w:left w:val="nil"/>
              <w:bottom w:val="nil"/>
              <w:right w:val="nil"/>
            </w:tcBorders>
            <w:shd w:val="clear" w:color="auto" w:fill="auto"/>
            <w:noWrap/>
            <w:vAlign w:val="bottom"/>
            <w:hideMark/>
          </w:tcPr>
          <w:p w14:paraId="44A8DEE2"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D7B5FAB" w14:textId="77777777" w:rsidR="00DE156A" w:rsidRDefault="00DE156A"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2111D540"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442EBF95" w14:textId="77777777" w:rsidR="00DE156A" w:rsidRDefault="00DE156A" w:rsidP="005A3B4D">
            <w:pPr>
              <w:jc w:val="right"/>
              <w:rPr>
                <w:color w:val="000000"/>
                <w:sz w:val="20"/>
                <w:szCs w:val="20"/>
              </w:rPr>
            </w:pPr>
            <w:r>
              <w:rPr>
                <w:color w:val="000000"/>
                <w:sz w:val="20"/>
                <w:szCs w:val="20"/>
              </w:rPr>
              <w:t>0.003</w:t>
            </w:r>
          </w:p>
        </w:tc>
      </w:tr>
      <w:tr w:rsidR="00DE156A" w14:paraId="042A6C95"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3BEB50F0"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D8CEBF7"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2454856" w14:textId="77777777" w:rsidR="00DE156A" w:rsidRDefault="00DE156A" w:rsidP="005A3B4D">
            <w:pPr>
              <w:jc w:val="right"/>
              <w:rPr>
                <w:color w:val="000000"/>
                <w:sz w:val="20"/>
                <w:szCs w:val="20"/>
              </w:rPr>
            </w:pPr>
            <w:r>
              <w:rPr>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26F4CA69" w14:textId="77777777" w:rsidR="00DE156A" w:rsidRDefault="00DE156A" w:rsidP="005A3B4D">
            <w:pPr>
              <w:jc w:val="right"/>
              <w:rPr>
                <w:color w:val="000000"/>
                <w:sz w:val="20"/>
                <w:szCs w:val="20"/>
              </w:rPr>
            </w:pPr>
            <w:r>
              <w:rPr>
                <w:color w:val="000000"/>
                <w:sz w:val="20"/>
                <w:szCs w:val="20"/>
              </w:rPr>
              <w:t>0.866</w:t>
            </w:r>
          </w:p>
        </w:tc>
        <w:tc>
          <w:tcPr>
            <w:tcW w:w="768" w:type="dxa"/>
            <w:tcBorders>
              <w:top w:val="nil"/>
              <w:left w:val="nil"/>
              <w:bottom w:val="single" w:sz="4" w:space="0" w:color="auto"/>
              <w:right w:val="nil"/>
            </w:tcBorders>
            <w:shd w:val="clear" w:color="auto" w:fill="auto"/>
            <w:noWrap/>
            <w:vAlign w:val="bottom"/>
            <w:hideMark/>
          </w:tcPr>
          <w:p w14:paraId="1805D658"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2FCAA4A"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221D94D4" w14:textId="77777777" w:rsidR="00DE156A" w:rsidRDefault="00DE156A" w:rsidP="005A3B4D">
            <w:pPr>
              <w:jc w:val="right"/>
              <w:rPr>
                <w:color w:val="000000"/>
                <w:sz w:val="20"/>
                <w:szCs w:val="20"/>
              </w:rPr>
            </w:pPr>
            <w:r>
              <w:rPr>
                <w:color w:val="000000"/>
                <w:sz w:val="20"/>
                <w:szCs w:val="20"/>
              </w:rPr>
              <w:t>0.945</w:t>
            </w:r>
          </w:p>
        </w:tc>
        <w:tc>
          <w:tcPr>
            <w:tcW w:w="768" w:type="dxa"/>
            <w:tcBorders>
              <w:top w:val="nil"/>
              <w:left w:val="nil"/>
              <w:bottom w:val="single" w:sz="4" w:space="0" w:color="auto"/>
              <w:right w:val="nil"/>
            </w:tcBorders>
            <w:shd w:val="clear" w:color="auto" w:fill="auto"/>
            <w:noWrap/>
            <w:vAlign w:val="bottom"/>
            <w:hideMark/>
          </w:tcPr>
          <w:p w14:paraId="63E3487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1606AC1"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0AEC4050" w14:textId="77777777" w:rsidR="00DE156A" w:rsidRDefault="00DE156A" w:rsidP="005A3B4D">
            <w:pPr>
              <w:jc w:val="right"/>
              <w:rPr>
                <w:color w:val="000000"/>
                <w:sz w:val="20"/>
                <w:szCs w:val="20"/>
              </w:rPr>
            </w:pPr>
            <w:r>
              <w:rPr>
                <w:color w:val="000000"/>
                <w:sz w:val="20"/>
                <w:szCs w:val="20"/>
              </w:rPr>
              <w:t>0.973</w:t>
            </w:r>
          </w:p>
        </w:tc>
        <w:tc>
          <w:tcPr>
            <w:tcW w:w="768" w:type="dxa"/>
            <w:tcBorders>
              <w:top w:val="nil"/>
              <w:left w:val="nil"/>
              <w:bottom w:val="single" w:sz="4" w:space="0" w:color="auto"/>
              <w:right w:val="nil"/>
            </w:tcBorders>
            <w:shd w:val="clear" w:color="auto" w:fill="auto"/>
            <w:noWrap/>
            <w:vAlign w:val="bottom"/>
            <w:hideMark/>
          </w:tcPr>
          <w:p w14:paraId="246BFA8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D75FE9A"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12B54EB0"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single" w:sz="4" w:space="0" w:color="auto"/>
              <w:right w:val="nil"/>
            </w:tcBorders>
            <w:shd w:val="clear" w:color="auto" w:fill="auto"/>
            <w:noWrap/>
            <w:vAlign w:val="bottom"/>
            <w:hideMark/>
          </w:tcPr>
          <w:p w14:paraId="50986943"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20B1971"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EDBBF51"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single" w:sz="4" w:space="0" w:color="auto"/>
              <w:right w:val="nil"/>
            </w:tcBorders>
            <w:shd w:val="clear" w:color="auto" w:fill="auto"/>
            <w:noWrap/>
            <w:vAlign w:val="bottom"/>
            <w:hideMark/>
          </w:tcPr>
          <w:p w14:paraId="4F477A44" w14:textId="77777777" w:rsidR="00DE156A" w:rsidRDefault="00DE156A" w:rsidP="005A3B4D">
            <w:pPr>
              <w:jc w:val="right"/>
              <w:rPr>
                <w:color w:val="000000"/>
                <w:sz w:val="20"/>
                <w:szCs w:val="20"/>
              </w:rPr>
            </w:pPr>
            <w:r>
              <w:rPr>
                <w:color w:val="000000"/>
                <w:sz w:val="20"/>
                <w:szCs w:val="20"/>
              </w:rPr>
              <w:t>0.000</w:t>
            </w:r>
          </w:p>
        </w:tc>
      </w:tr>
      <w:tr w:rsidR="00DE156A" w14:paraId="22BA9008" w14:textId="77777777" w:rsidTr="005A3B4D">
        <w:trPr>
          <w:trHeight w:val="320"/>
        </w:trPr>
        <w:tc>
          <w:tcPr>
            <w:tcW w:w="1176" w:type="dxa"/>
            <w:tcBorders>
              <w:top w:val="nil"/>
              <w:left w:val="nil"/>
              <w:bottom w:val="nil"/>
              <w:right w:val="nil"/>
            </w:tcBorders>
            <w:shd w:val="clear" w:color="auto" w:fill="auto"/>
            <w:noWrap/>
            <w:vAlign w:val="bottom"/>
            <w:hideMark/>
          </w:tcPr>
          <w:p w14:paraId="6A94367D" w14:textId="77777777" w:rsidR="00DE156A" w:rsidRDefault="00DE156A"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52FB599D"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FA9ADB6"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7B79D224" w14:textId="77777777" w:rsidR="00DE156A" w:rsidRDefault="00DE156A" w:rsidP="005A3B4D">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0B7FA3AC"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B6A2E0"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B93375B" w14:textId="77777777" w:rsidR="00DE156A" w:rsidRDefault="00DE156A" w:rsidP="005A3B4D">
            <w:pPr>
              <w:jc w:val="right"/>
              <w:rPr>
                <w:color w:val="000000"/>
                <w:sz w:val="20"/>
                <w:szCs w:val="20"/>
              </w:rPr>
            </w:pPr>
            <w:r>
              <w:rPr>
                <w:color w:val="000000"/>
                <w:sz w:val="20"/>
                <w:szCs w:val="20"/>
              </w:rPr>
              <w:t>0.543</w:t>
            </w:r>
          </w:p>
        </w:tc>
        <w:tc>
          <w:tcPr>
            <w:tcW w:w="768" w:type="dxa"/>
            <w:tcBorders>
              <w:top w:val="nil"/>
              <w:left w:val="nil"/>
              <w:bottom w:val="nil"/>
              <w:right w:val="nil"/>
            </w:tcBorders>
            <w:shd w:val="clear" w:color="auto" w:fill="auto"/>
            <w:noWrap/>
            <w:vAlign w:val="bottom"/>
            <w:hideMark/>
          </w:tcPr>
          <w:p w14:paraId="29BF589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B5FA49" w14:textId="77777777" w:rsidR="00DE156A" w:rsidRDefault="00DE156A"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5C4F9829" w14:textId="77777777" w:rsidR="00DE156A" w:rsidRDefault="00DE156A" w:rsidP="005A3B4D">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748D4E55"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C03133B"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D059E1E" w14:textId="77777777" w:rsidR="00DE156A" w:rsidRDefault="00DE156A" w:rsidP="005A3B4D">
            <w:pPr>
              <w:jc w:val="right"/>
              <w:rPr>
                <w:color w:val="000000"/>
                <w:sz w:val="20"/>
                <w:szCs w:val="20"/>
              </w:rPr>
            </w:pPr>
            <w:r>
              <w:rPr>
                <w:color w:val="000000"/>
                <w:sz w:val="20"/>
                <w:szCs w:val="20"/>
              </w:rPr>
              <w:t>0.933</w:t>
            </w:r>
          </w:p>
        </w:tc>
        <w:tc>
          <w:tcPr>
            <w:tcW w:w="768" w:type="dxa"/>
            <w:tcBorders>
              <w:top w:val="nil"/>
              <w:left w:val="nil"/>
              <w:bottom w:val="nil"/>
              <w:right w:val="nil"/>
            </w:tcBorders>
            <w:shd w:val="clear" w:color="auto" w:fill="auto"/>
            <w:noWrap/>
            <w:vAlign w:val="bottom"/>
            <w:hideMark/>
          </w:tcPr>
          <w:p w14:paraId="6B8FBD1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55ED2E"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F78BEAC" w14:textId="77777777" w:rsidR="00DE156A" w:rsidRDefault="00DE156A" w:rsidP="005A3B4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0637B8D6" w14:textId="77777777" w:rsidR="00DE156A" w:rsidRDefault="00DE156A" w:rsidP="005A3B4D">
            <w:pPr>
              <w:jc w:val="right"/>
              <w:rPr>
                <w:color w:val="000000"/>
                <w:sz w:val="20"/>
                <w:szCs w:val="20"/>
              </w:rPr>
            </w:pPr>
            <w:r>
              <w:rPr>
                <w:color w:val="000000"/>
                <w:sz w:val="20"/>
                <w:szCs w:val="20"/>
              </w:rPr>
              <w:t>0.000</w:t>
            </w:r>
          </w:p>
        </w:tc>
      </w:tr>
      <w:tr w:rsidR="00DE156A" w14:paraId="7E07C364" w14:textId="77777777" w:rsidTr="005A3B4D">
        <w:trPr>
          <w:trHeight w:val="320"/>
        </w:trPr>
        <w:tc>
          <w:tcPr>
            <w:tcW w:w="1176" w:type="dxa"/>
            <w:tcBorders>
              <w:top w:val="nil"/>
              <w:left w:val="nil"/>
              <w:bottom w:val="nil"/>
              <w:right w:val="nil"/>
            </w:tcBorders>
            <w:shd w:val="clear" w:color="auto" w:fill="auto"/>
            <w:noWrap/>
            <w:vAlign w:val="bottom"/>
            <w:hideMark/>
          </w:tcPr>
          <w:p w14:paraId="6A3455C6"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4CB8915"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F56EA02"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045C207A" w14:textId="77777777" w:rsidR="00DE156A" w:rsidRDefault="00DE156A" w:rsidP="005A3B4D">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5D56A250"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9DC787"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2FC7889" w14:textId="77777777" w:rsidR="00DE156A" w:rsidRDefault="00DE156A" w:rsidP="005A3B4D">
            <w:pPr>
              <w:jc w:val="right"/>
              <w:rPr>
                <w:color w:val="000000"/>
                <w:sz w:val="20"/>
                <w:szCs w:val="20"/>
              </w:rPr>
            </w:pPr>
            <w:r>
              <w:rPr>
                <w:color w:val="000000"/>
                <w:sz w:val="20"/>
                <w:szCs w:val="20"/>
              </w:rPr>
              <w:t>0.465</w:t>
            </w:r>
          </w:p>
        </w:tc>
        <w:tc>
          <w:tcPr>
            <w:tcW w:w="768" w:type="dxa"/>
            <w:tcBorders>
              <w:top w:val="nil"/>
              <w:left w:val="nil"/>
              <w:bottom w:val="nil"/>
              <w:right w:val="nil"/>
            </w:tcBorders>
            <w:shd w:val="clear" w:color="auto" w:fill="auto"/>
            <w:noWrap/>
            <w:vAlign w:val="bottom"/>
            <w:hideMark/>
          </w:tcPr>
          <w:p w14:paraId="6AA8E839"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CE1C558"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C5CBDBA" w14:textId="77777777" w:rsidR="00DE156A" w:rsidRDefault="00DE156A" w:rsidP="005A3B4D">
            <w:pPr>
              <w:jc w:val="right"/>
              <w:rPr>
                <w:color w:val="000000"/>
                <w:sz w:val="20"/>
                <w:szCs w:val="20"/>
              </w:rPr>
            </w:pPr>
            <w:r>
              <w:rPr>
                <w:color w:val="000000"/>
                <w:sz w:val="20"/>
                <w:szCs w:val="20"/>
              </w:rPr>
              <w:t>0.905</w:t>
            </w:r>
          </w:p>
        </w:tc>
        <w:tc>
          <w:tcPr>
            <w:tcW w:w="768" w:type="dxa"/>
            <w:tcBorders>
              <w:top w:val="nil"/>
              <w:left w:val="nil"/>
              <w:bottom w:val="nil"/>
              <w:right w:val="nil"/>
            </w:tcBorders>
            <w:shd w:val="clear" w:color="auto" w:fill="auto"/>
            <w:noWrap/>
            <w:vAlign w:val="bottom"/>
            <w:hideMark/>
          </w:tcPr>
          <w:p w14:paraId="7CE74CA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758D52" w14:textId="77777777" w:rsidR="00DE156A" w:rsidRDefault="00DE156A"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8BB6206" w14:textId="77777777" w:rsidR="00DE156A" w:rsidRDefault="00DE156A" w:rsidP="005A3B4D">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57AC54D9"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3FEC6A" w14:textId="77777777" w:rsidR="00DE156A" w:rsidRDefault="00DE156A" w:rsidP="005A3B4D">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745D6157" w14:textId="77777777" w:rsidR="00DE156A" w:rsidRDefault="00DE156A" w:rsidP="005A3B4D">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3D6C47B5" w14:textId="77777777" w:rsidR="00DE156A" w:rsidRDefault="00DE156A" w:rsidP="005A3B4D">
            <w:pPr>
              <w:jc w:val="right"/>
              <w:rPr>
                <w:color w:val="000000"/>
                <w:sz w:val="20"/>
                <w:szCs w:val="20"/>
              </w:rPr>
            </w:pPr>
            <w:r>
              <w:rPr>
                <w:color w:val="000000"/>
                <w:sz w:val="20"/>
                <w:szCs w:val="20"/>
              </w:rPr>
              <w:t>0.004</w:t>
            </w:r>
          </w:p>
        </w:tc>
      </w:tr>
      <w:tr w:rsidR="00DE156A" w14:paraId="18A568EA" w14:textId="77777777" w:rsidTr="005A3B4D">
        <w:trPr>
          <w:trHeight w:val="320"/>
        </w:trPr>
        <w:tc>
          <w:tcPr>
            <w:tcW w:w="1176" w:type="dxa"/>
            <w:tcBorders>
              <w:top w:val="nil"/>
              <w:left w:val="nil"/>
              <w:bottom w:val="nil"/>
              <w:right w:val="nil"/>
            </w:tcBorders>
            <w:shd w:val="clear" w:color="auto" w:fill="auto"/>
            <w:noWrap/>
            <w:vAlign w:val="bottom"/>
            <w:hideMark/>
          </w:tcPr>
          <w:p w14:paraId="0ADFCEF7"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13821E"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2738F11" w14:textId="77777777" w:rsidR="00DE156A" w:rsidRDefault="00DE156A"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64454AB" w14:textId="77777777" w:rsidR="00DE156A" w:rsidRDefault="00DE156A" w:rsidP="005A3B4D">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7671079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3E675B"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A0FECFF" w14:textId="77777777" w:rsidR="00DE156A" w:rsidRDefault="00DE156A" w:rsidP="005A3B4D">
            <w:pPr>
              <w:jc w:val="right"/>
              <w:rPr>
                <w:color w:val="000000"/>
                <w:sz w:val="20"/>
                <w:szCs w:val="20"/>
              </w:rPr>
            </w:pPr>
            <w:r>
              <w:rPr>
                <w:color w:val="000000"/>
                <w:sz w:val="20"/>
                <w:szCs w:val="20"/>
              </w:rPr>
              <w:t>0.465</w:t>
            </w:r>
          </w:p>
        </w:tc>
        <w:tc>
          <w:tcPr>
            <w:tcW w:w="768" w:type="dxa"/>
            <w:tcBorders>
              <w:top w:val="nil"/>
              <w:left w:val="nil"/>
              <w:bottom w:val="nil"/>
              <w:right w:val="nil"/>
            </w:tcBorders>
            <w:shd w:val="clear" w:color="auto" w:fill="auto"/>
            <w:noWrap/>
            <w:vAlign w:val="bottom"/>
            <w:hideMark/>
          </w:tcPr>
          <w:p w14:paraId="7003AB6E"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7D48F06"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07FC0F5" w14:textId="77777777" w:rsidR="00DE156A" w:rsidRDefault="00DE156A" w:rsidP="005A3B4D">
            <w:pPr>
              <w:jc w:val="right"/>
              <w:rPr>
                <w:color w:val="000000"/>
                <w:sz w:val="20"/>
                <w:szCs w:val="20"/>
              </w:rPr>
            </w:pPr>
            <w:r>
              <w:rPr>
                <w:color w:val="000000"/>
                <w:sz w:val="20"/>
                <w:szCs w:val="20"/>
              </w:rPr>
              <w:t>0.905</w:t>
            </w:r>
          </w:p>
        </w:tc>
        <w:tc>
          <w:tcPr>
            <w:tcW w:w="768" w:type="dxa"/>
            <w:tcBorders>
              <w:top w:val="nil"/>
              <w:left w:val="nil"/>
              <w:bottom w:val="nil"/>
              <w:right w:val="nil"/>
            </w:tcBorders>
            <w:shd w:val="clear" w:color="auto" w:fill="auto"/>
            <w:noWrap/>
            <w:vAlign w:val="bottom"/>
            <w:hideMark/>
          </w:tcPr>
          <w:p w14:paraId="101A4070"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26BC76"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B18E86A" w14:textId="77777777" w:rsidR="00DE156A" w:rsidRDefault="00DE156A" w:rsidP="005A3B4D">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2598F36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7BEF93A"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46C3076" w14:textId="77777777" w:rsidR="00DE156A" w:rsidRDefault="00DE156A" w:rsidP="005A3B4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758C0B96" w14:textId="77777777" w:rsidR="00DE156A" w:rsidRDefault="00DE156A" w:rsidP="005A3B4D">
            <w:pPr>
              <w:jc w:val="right"/>
              <w:rPr>
                <w:color w:val="000000"/>
                <w:sz w:val="20"/>
                <w:szCs w:val="20"/>
              </w:rPr>
            </w:pPr>
            <w:r>
              <w:rPr>
                <w:color w:val="000000"/>
                <w:sz w:val="20"/>
                <w:szCs w:val="20"/>
              </w:rPr>
              <w:t>0.000</w:t>
            </w:r>
          </w:p>
        </w:tc>
      </w:tr>
      <w:tr w:rsidR="00DE156A" w14:paraId="436CF733" w14:textId="77777777" w:rsidTr="005A3B4D">
        <w:trPr>
          <w:trHeight w:val="320"/>
        </w:trPr>
        <w:tc>
          <w:tcPr>
            <w:tcW w:w="1176" w:type="dxa"/>
            <w:tcBorders>
              <w:top w:val="nil"/>
              <w:left w:val="nil"/>
              <w:bottom w:val="nil"/>
              <w:right w:val="nil"/>
            </w:tcBorders>
            <w:shd w:val="clear" w:color="auto" w:fill="auto"/>
            <w:noWrap/>
            <w:vAlign w:val="bottom"/>
            <w:hideMark/>
          </w:tcPr>
          <w:p w14:paraId="1CB69062"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2CDBBFF"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9B1E88C" w14:textId="77777777" w:rsidR="00DE156A" w:rsidRDefault="00DE156A"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49332491" w14:textId="77777777" w:rsidR="00DE156A" w:rsidRDefault="00DE156A" w:rsidP="005A3B4D">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4A0EA31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94AAF0" w14:textId="77777777" w:rsidR="00DE156A" w:rsidRDefault="00DE156A"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186E8864" w14:textId="77777777" w:rsidR="00DE156A" w:rsidRDefault="00DE156A" w:rsidP="005A3B4D">
            <w:pPr>
              <w:jc w:val="right"/>
              <w:rPr>
                <w:color w:val="000000"/>
                <w:sz w:val="20"/>
                <w:szCs w:val="20"/>
              </w:rPr>
            </w:pPr>
            <w:r>
              <w:rPr>
                <w:color w:val="000000"/>
                <w:sz w:val="20"/>
                <w:szCs w:val="20"/>
              </w:rPr>
              <w:t>0.356</w:t>
            </w:r>
          </w:p>
        </w:tc>
        <w:tc>
          <w:tcPr>
            <w:tcW w:w="768" w:type="dxa"/>
            <w:tcBorders>
              <w:top w:val="nil"/>
              <w:left w:val="nil"/>
              <w:bottom w:val="nil"/>
              <w:right w:val="nil"/>
            </w:tcBorders>
            <w:shd w:val="clear" w:color="auto" w:fill="auto"/>
            <w:noWrap/>
            <w:vAlign w:val="bottom"/>
            <w:hideMark/>
          </w:tcPr>
          <w:p w14:paraId="63731794"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15C6BE5"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1A415F1" w14:textId="77777777" w:rsidR="00DE156A" w:rsidRDefault="00DE156A" w:rsidP="005A3B4D">
            <w:pPr>
              <w:jc w:val="right"/>
              <w:rPr>
                <w:color w:val="000000"/>
                <w:sz w:val="20"/>
                <w:szCs w:val="20"/>
              </w:rPr>
            </w:pPr>
            <w:r>
              <w:rPr>
                <w:color w:val="000000"/>
                <w:sz w:val="20"/>
                <w:szCs w:val="20"/>
              </w:rPr>
              <w:t>0.905</w:t>
            </w:r>
          </w:p>
        </w:tc>
        <w:tc>
          <w:tcPr>
            <w:tcW w:w="768" w:type="dxa"/>
            <w:tcBorders>
              <w:top w:val="nil"/>
              <w:left w:val="nil"/>
              <w:bottom w:val="nil"/>
              <w:right w:val="nil"/>
            </w:tcBorders>
            <w:shd w:val="clear" w:color="auto" w:fill="auto"/>
            <w:noWrap/>
            <w:vAlign w:val="bottom"/>
            <w:hideMark/>
          </w:tcPr>
          <w:p w14:paraId="6EEAB20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BC19C5"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7357E00" w14:textId="77777777" w:rsidR="00DE156A" w:rsidRDefault="00DE156A" w:rsidP="005A3B4D">
            <w:pPr>
              <w:jc w:val="right"/>
              <w:rPr>
                <w:color w:val="000000"/>
                <w:sz w:val="20"/>
                <w:szCs w:val="20"/>
              </w:rPr>
            </w:pPr>
            <w:r>
              <w:rPr>
                <w:color w:val="000000"/>
                <w:sz w:val="20"/>
                <w:szCs w:val="20"/>
              </w:rPr>
              <w:t>0.933</w:t>
            </w:r>
          </w:p>
        </w:tc>
        <w:tc>
          <w:tcPr>
            <w:tcW w:w="768" w:type="dxa"/>
            <w:tcBorders>
              <w:top w:val="nil"/>
              <w:left w:val="nil"/>
              <w:bottom w:val="nil"/>
              <w:right w:val="nil"/>
            </w:tcBorders>
            <w:shd w:val="clear" w:color="auto" w:fill="auto"/>
            <w:noWrap/>
            <w:vAlign w:val="bottom"/>
            <w:hideMark/>
          </w:tcPr>
          <w:p w14:paraId="7A2F7AE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8AAC8A"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509DBAA" w14:textId="77777777" w:rsidR="00DE156A" w:rsidRDefault="00DE156A" w:rsidP="005A3B4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663CBEB4" w14:textId="77777777" w:rsidR="00DE156A" w:rsidRDefault="00DE156A" w:rsidP="005A3B4D">
            <w:pPr>
              <w:jc w:val="right"/>
              <w:rPr>
                <w:color w:val="000000"/>
                <w:sz w:val="20"/>
                <w:szCs w:val="20"/>
              </w:rPr>
            </w:pPr>
            <w:r>
              <w:rPr>
                <w:color w:val="000000"/>
                <w:sz w:val="20"/>
                <w:szCs w:val="20"/>
              </w:rPr>
              <w:t>0.000</w:t>
            </w:r>
          </w:p>
        </w:tc>
      </w:tr>
      <w:tr w:rsidR="00DE156A" w14:paraId="38C5035F" w14:textId="77777777" w:rsidTr="005A3B4D">
        <w:trPr>
          <w:trHeight w:val="320"/>
        </w:trPr>
        <w:tc>
          <w:tcPr>
            <w:tcW w:w="1176" w:type="dxa"/>
            <w:tcBorders>
              <w:top w:val="nil"/>
              <w:left w:val="nil"/>
              <w:bottom w:val="nil"/>
              <w:right w:val="nil"/>
            </w:tcBorders>
            <w:shd w:val="clear" w:color="auto" w:fill="auto"/>
            <w:noWrap/>
            <w:vAlign w:val="bottom"/>
            <w:hideMark/>
          </w:tcPr>
          <w:p w14:paraId="46544A60"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B61F77"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7E1E2DC"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FC8E877" w14:textId="77777777" w:rsidR="00DE156A" w:rsidRDefault="00DE156A" w:rsidP="005A3B4D">
            <w:pPr>
              <w:jc w:val="right"/>
              <w:rPr>
                <w:color w:val="000000"/>
                <w:sz w:val="20"/>
                <w:szCs w:val="20"/>
              </w:rPr>
            </w:pPr>
            <w:r>
              <w:rPr>
                <w:color w:val="000000"/>
                <w:sz w:val="20"/>
                <w:szCs w:val="20"/>
              </w:rPr>
              <w:t>0.937</w:t>
            </w:r>
          </w:p>
        </w:tc>
        <w:tc>
          <w:tcPr>
            <w:tcW w:w="768" w:type="dxa"/>
            <w:tcBorders>
              <w:top w:val="nil"/>
              <w:left w:val="nil"/>
              <w:bottom w:val="nil"/>
              <w:right w:val="nil"/>
            </w:tcBorders>
            <w:shd w:val="clear" w:color="auto" w:fill="auto"/>
            <w:noWrap/>
            <w:vAlign w:val="bottom"/>
            <w:hideMark/>
          </w:tcPr>
          <w:p w14:paraId="798AEF3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076CCA"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1E56590" w14:textId="77777777" w:rsidR="00DE156A" w:rsidRDefault="00DE156A" w:rsidP="005A3B4D">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6876198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BE568B"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20AC7B2" w14:textId="77777777" w:rsidR="00DE156A" w:rsidRDefault="00DE156A" w:rsidP="005A3B4D">
            <w:pPr>
              <w:jc w:val="right"/>
              <w:rPr>
                <w:color w:val="000000"/>
                <w:sz w:val="20"/>
                <w:szCs w:val="20"/>
              </w:rPr>
            </w:pPr>
            <w:r>
              <w:rPr>
                <w:color w:val="000000"/>
                <w:sz w:val="20"/>
                <w:szCs w:val="20"/>
              </w:rPr>
              <w:t>0.905</w:t>
            </w:r>
          </w:p>
        </w:tc>
        <w:tc>
          <w:tcPr>
            <w:tcW w:w="768" w:type="dxa"/>
            <w:tcBorders>
              <w:top w:val="nil"/>
              <w:left w:val="nil"/>
              <w:bottom w:val="nil"/>
              <w:right w:val="nil"/>
            </w:tcBorders>
            <w:shd w:val="clear" w:color="auto" w:fill="auto"/>
            <w:noWrap/>
            <w:vAlign w:val="bottom"/>
            <w:hideMark/>
          </w:tcPr>
          <w:p w14:paraId="329BD02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8D55DE"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F23D621" w14:textId="77777777" w:rsidR="00DE156A" w:rsidRDefault="00DE156A" w:rsidP="005A3B4D">
            <w:pPr>
              <w:jc w:val="right"/>
              <w:rPr>
                <w:color w:val="000000"/>
                <w:sz w:val="20"/>
                <w:szCs w:val="20"/>
              </w:rPr>
            </w:pPr>
            <w:r>
              <w:rPr>
                <w:color w:val="000000"/>
                <w:sz w:val="20"/>
                <w:szCs w:val="20"/>
              </w:rPr>
              <w:t>0.957</w:t>
            </w:r>
          </w:p>
        </w:tc>
        <w:tc>
          <w:tcPr>
            <w:tcW w:w="768" w:type="dxa"/>
            <w:tcBorders>
              <w:top w:val="nil"/>
              <w:left w:val="nil"/>
              <w:bottom w:val="nil"/>
              <w:right w:val="nil"/>
            </w:tcBorders>
            <w:shd w:val="clear" w:color="auto" w:fill="auto"/>
            <w:noWrap/>
            <w:vAlign w:val="bottom"/>
            <w:hideMark/>
          </w:tcPr>
          <w:p w14:paraId="0CDA777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261B60"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4F4F11E" w14:textId="77777777" w:rsidR="00DE156A" w:rsidRDefault="00DE156A" w:rsidP="005A3B4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33D2CB10" w14:textId="77777777" w:rsidR="00DE156A" w:rsidRDefault="00DE156A" w:rsidP="005A3B4D">
            <w:pPr>
              <w:jc w:val="right"/>
              <w:rPr>
                <w:color w:val="000000"/>
                <w:sz w:val="20"/>
                <w:szCs w:val="20"/>
              </w:rPr>
            </w:pPr>
            <w:r>
              <w:rPr>
                <w:color w:val="000000"/>
                <w:sz w:val="20"/>
                <w:szCs w:val="20"/>
              </w:rPr>
              <w:t>0.000</w:t>
            </w:r>
          </w:p>
        </w:tc>
      </w:tr>
      <w:tr w:rsidR="00DE156A" w14:paraId="3AC7BDC1" w14:textId="77777777" w:rsidTr="005A3B4D">
        <w:trPr>
          <w:trHeight w:val="320"/>
        </w:trPr>
        <w:tc>
          <w:tcPr>
            <w:tcW w:w="1176" w:type="dxa"/>
            <w:tcBorders>
              <w:top w:val="nil"/>
              <w:left w:val="nil"/>
              <w:bottom w:val="nil"/>
              <w:right w:val="nil"/>
            </w:tcBorders>
            <w:shd w:val="clear" w:color="auto" w:fill="auto"/>
            <w:noWrap/>
            <w:vAlign w:val="bottom"/>
            <w:hideMark/>
          </w:tcPr>
          <w:p w14:paraId="791F3630"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6ED81B"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06569A2" w14:textId="77777777" w:rsidR="00DE156A" w:rsidRDefault="00DE156A"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2D926649" w14:textId="77777777" w:rsidR="00DE156A" w:rsidRDefault="00DE156A" w:rsidP="005A3B4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646AD0B7"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0D5E048" w14:textId="77777777" w:rsidR="00DE156A" w:rsidRDefault="00DE156A"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80A2842" w14:textId="77777777" w:rsidR="00DE156A" w:rsidRDefault="00DE156A" w:rsidP="005A3B4D">
            <w:pPr>
              <w:jc w:val="right"/>
              <w:rPr>
                <w:color w:val="000000"/>
                <w:sz w:val="20"/>
                <w:szCs w:val="20"/>
              </w:rPr>
            </w:pPr>
            <w:r>
              <w:rPr>
                <w:color w:val="000000"/>
                <w:sz w:val="20"/>
                <w:szCs w:val="20"/>
              </w:rPr>
              <w:t>0.386</w:t>
            </w:r>
          </w:p>
        </w:tc>
        <w:tc>
          <w:tcPr>
            <w:tcW w:w="768" w:type="dxa"/>
            <w:tcBorders>
              <w:top w:val="nil"/>
              <w:left w:val="nil"/>
              <w:bottom w:val="nil"/>
              <w:right w:val="nil"/>
            </w:tcBorders>
            <w:shd w:val="clear" w:color="auto" w:fill="auto"/>
            <w:noWrap/>
            <w:vAlign w:val="bottom"/>
            <w:hideMark/>
          </w:tcPr>
          <w:p w14:paraId="18B760C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E09060A" w14:textId="77777777" w:rsidR="00DE156A" w:rsidRDefault="00DE156A"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4B39939C" w14:textId="77777777" w:rsidR="00DE156A" w:rsidRDefault="00DE156A" w:rsidP="005A3B4D">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7AE0A9AD"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7DA422B"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B2929E3" w14:textId="77777777" w:rsidR="00DE156A" w:rsidRDefault="00DE156A" w:rsidP="005A3B4D">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6538C12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55FCC2" w14:textId="77777777" w:rsidR="00DE156A" w:rsidRDefault="00DE156A"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76CE7C49" w14:textId="77777777" w:rsidR="00DE156A" w:rsidRDefault="00DE156A" w:rsidP="005A3B4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6A82E63E" w14:textId="77777777" w:rsidR="00DE156A" w:rsidRDefault="00DE156A" w:rsidP="005A3B4D">
            <w:pPr>
              <w:jc w:val="right"/>
              <w:rPr>
                <w:color w:val="000000"/>
                <w:sz w:val="20"/>
                <w:szCs w:val="20"/>
              </w:rPr>
            </w:pPr>
            <w:r>
              <w:rPr>
                <w:color w:val="000000"/>
                <w:sz w:val="20"/>
                <w:szCs w:val="20"/>
              </w:rPr>
              <w:t>0.002</w:t>
            </w:r>
          </w:p>
        </w:tc>
      </w:tr>
      <w:tr w:rsidR="00DE156A" w14:paraId="60C6A260" w14:textId="77777777" w:rsidTr="005A3B4D">
        <w:trPr>
          <w:trHeight w:val="320"/>
        </w:trPr>
        <w:tc>
          <w:tcPr>
            <w:tcW w:w="1176" w:type="dxa"/>
            <w:tcBorders>
              <w:top w:val="nil"/>
              <w:left w:val="nil"/>
              <w:bottom w:val="nil"/>
              <w:right w:val="nil"/>
            </w:tcBorders>
            <w:shd w:val="clear" w:color="auto" w:fill="auto"/>
            <w:noWrap/>
            <w:vAlign w:val="bottom"/>
            <w:hideMark/>
          </w:tcPr>
          <w:p w14:paraId="1BC757CD"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802046"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362FE3C" w14:textId="77777777" w:rsidR="00DE156A" w:rsidRDefault="00DE156A"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17C037B7" w14:textId="77777777" w:rsidR="00DE156A" w:rsidRDefault="00DE156A" w:rsidP="005A3B4D">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44261AE2"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4E21ACF" w14:textId="77777777" w:rsidR="00DE156A" w:rsidRDefault="00DE156A" w:rsidP="005A3B4D">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712B2E58" w14:textId="77777777" w:rsidR="00DE156A" w:rsidRDefault="00DE156A"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209DDA2F"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2C80C6C"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2F9172C9" w14:textId="77777777" w:rsidR="00DE156A" w:rsidRDefault="00DE156A" w:rsidP="005A3B4D">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79ED63E8"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1EA1C9"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9316213" w14:textId="77777777" w:rsidR="00DE156A" w:rsidRDefault="00DE156A" w:rsidP="005A3B4D">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268C6CB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344F78" w14:textId="77777777" w:rsidR="00DE156A" w:rsidRDefault="00DE156A"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5D9B35F" w14:textId="77777777" w:rsidR="00DE156A" w:rsidRDefault="00DE156A" w:rsidP="005A3B4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5BC2F1E4" w14:textId="77777777" w:rsidR="00DE156A" w:rsidRDefault="00DE156A" w:rsidP="005A3B4D">
            <w:pPr>
              <w:jc w:val="right"/>
              <w:rPr>
                <w:color w:val="000000"/>
                <w:sz w:val="20"/>
                <w:szCs w:val="20"/>
              </w:rPr>
            </w:pPr>
            <w:r>
              <w:rPr>
                <w:color w:val="000000"/>
                <w:sz w:val="20"/>
                <w:szCs w:val="20"/>
              </w:rPr>
              <w:t>0.000</w:t>
            </w:r>
          </w:p>
        </w:tc>
      </w:tr>
      <w:tr w:rsidR="00DE156A" w14:paraId="4B6E9F64"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3F5021F4"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003368C2"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4F468928"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single" w:sz="12" w:space="0" w:color="auto"/>
              <w:right w:val="nil"/>
            </w:tcBorders>
            <w:shd w:val="clear" w:color="auto" w:fill="auto"/>
            <w:noWrap/>
            <w:vAlign w:val="bottom"/>
            <w:hideMark/>
          </w:tcPr>
          <w:p w14:paraId="6008A397" w14:textId="77777777" w:rsidR="00DE156A" w:rsidRDefault="00DE156A" w:rsidP="005A3B4D">
            <w:pPr>
              <w:jc w:val="right"/>
              <w:rPr>
                <w:color w:val="000000"/>
                <w:sz w:val="20"/>
                <w:szCs w:val="20"/>
              </w:rPr>
            </w:pPr>
            <w:r>
              <w:rPr>
                <w:color w:val="000000"/>
                <w:sz w:val="20"/>
                <w:szCs w:val="20"/>
              </w:rPr>
              <w:t>0.857</w:t>
            </w:r>
          </w:p>
        </w:tc>
        <w:tc>
          <w:tcPr>
            <w:tcW w:w="768" w:type="dxa"/>
            <w:tcBorders>
              <w:top w:val="nil"/>
              <w:left w:val="nil"/>
              <w:bottom w:val="single" w:sz="12" w:space="0" w:color="auto"/>
              <w:right w:val="nil"/>
            </w:tcBorders>
            <w:shd w:val="clear" w:color="auto" w:fill="auto"/>
            <w:noWrap/>
            <w:vAlign w:val="bottom"/>
            <w:hideMark/>
          </w:tcPr>
          <w:p w14:paraId="4678BAD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0A47B8F"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single" w:sz="12" w:space="0" w:color="auto"/>
              <w:right w:val="nil"/>
            </w:tcBorders>
            <w:shd w:val="clear" w:color="auto" w:fill="auto"/>
            <w:noWrap/>
            <w:vAlign w:val="bottom"/>
            <w:hideMark/>
          </w:tcPr>
          <w:p w14:paraId="6124F24A" w14:textId="77777777" w:rsidR="00DE156A" w:rsidRDefault="00DE156A" w:rsidP="005A3B4D">
            <w:pPr>
              <w:jc w:val="right"/>
              <w:rPr>
                <w:color w:val="000000"/>
                <w:sz w:val="20"/>
                <w:szCs w:val="20"/>
              </w:rPr>
            </w:pPr>
            <w:r>
              <w:rPr>
                <w:color w:val="000000"/>
                <w:sz w:val="20"/>
                <w:szCs w:val="20"/>
              </w:rPr>
              <w:t>0.386</w:t>
            </w:r>
          </w:p>
        </w:tc>
        <w:tc>
          <w:tcPr>
            <w:tcW w:w="768" w:type="dxa"/>
            <w:tcBorders>
              <w:top w:val="nil"/>
              <w:left w:val="nil"/>
              <w:bottom w:val="single" w:sz="12" w:space="0" w:color="auto"/>
              <w:right w:val="nil"/>
            </w:tcBorders>
            <w:shd w:val="clear" w:color="auto" w:fill="auto"/>
            <w:noWrap/>
            <w:vAlign w:val="bottom"/>
            <w:hideMark/>
          </w:tcPr>
          <w:p w14:paraId="616FFCD0"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2042A20A"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374F1161" w14:textId="77777777" w:rsidR="00DE156A" w:rsidRDefault="00DE156A" w:rsidP="005A3B4D">
            <w:pPr>
              <w:jc w:val="right"/>
              <w:rPr>
                <w:color w:val="000000"/>
                <w:sz w:val="20"/>
                <w:szCs w:val="20"/>
              </w:rPr>
            </w:pPr>
            <w:r>
              <w:rPr>
                <w:color w:val="000000"/>
                <w:sz w:val="20"/>
                <w:szCs w:val="20"/>
              </w:rPr>
              <w:t>0.905</w:t>
            </w:r>
          </w:p>
        </w:tc>
        <w:tc>
          <w:tcPr>
            <w:tcW w:w="768" w:type="dxa"/>
            <w:tcBorders>
              <w:top w:val="nil"/>
              <w:left w:val="nil"/>
              <w:bottom w:val="single" w:sz="12" w:space="0" w:color="auto"/>
              <w:right w:val="nil"/>
            </w:tcBorders>
            <w:shd w:val="clear" w:color="auto" w:fill="auto"/>
            <w:noWrap/>
            <w:vAlign w:val="bottom"/>
            <w:hideMark/>
          </w:tcPr>
          <w:p w14:paraId="6F5A957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12517A1" w14:textId="77777777" w:rsidR="00DE156A" w:rsidRDefault="00DE156A" w:rsidP="005A3B4D">
            <w:pPr>
              <w:jc w:val="right"/>
              <w:rPr>
                <w:color w:val="000000"/>
                <w:sz w:val="20"/>
                <w:szCs w:val="20"/>
              </w:rPr>
            </w:pPr>
            <w:r>
              <w:rPr>
                <w:color w:val="000000"/>
                <w:sz w:val="20"/>
                <w:szCs w:val="20"/>
              </w:rPr>
              <w:t>-0.024</w:t>
            </w:r>
          </w:p>
        </w:tc>
        <w:tc>
          <w:tcPr>
            <w:tcW w:w="768" w:type="dxa"/>
            <w:tcBorders>
              <w:top w:val="nil"/>
              <w:left w:val="nil"/>
              <w:bottom w:val="single" w:sz="12" w:space="0" w:color="auto"/>
              <w:right w:val="nil"/>
            </w:tcBorders>
            <w:shd w:val="clear" w:color="auto" w:fill="auto"/>
            <w:noWrap/>
            <w:vAlign w:val="bottom"/>
            <w:hideMark/>
          </w:tcPr>
          <w:p w14:paraId="070838DC" w14:textId="77777777" w:rsidR="00DE156A" w:rsidRDefault="00DE156A" w:rsidP="005A3B4D">
            <w:pPr>
              <w:jc w:val="right"/>
              <w:rPr>
                <w:color w:val="000000"/>
                <w:sz w:val="20"/>
                <w:szCs w:val="20"/>
              </w:rPr>
            </w:pPr>
            <w:r>
              <w:rPr>
                <w:color w:val="000000"/>
                <w:sz w:val="20"/>
                <w:szCs w:val="20"/>
              </w:rPr>
              <w:t>0.922</w:t>
            </w:r>
          </w:p>
        </w:tc>
        <w:tc>
          <w:tcPr>
            <w:tcW w:w="768" w:type="dxa"/>
            <w:tcBorders>
              <w:top w:val="nil"/>
              <w:left w:val="nil"/>
              <w:bottom w:val="single" w:sz="12" w:space="0" w:color="auto"/>
              <w:right w:val="nil"/>
            </w:tcBorders>
            <w:shd w:val="clear" w:color="auto" w:fill="auto"/>
            <w:noWrap/>
            <w:vAlign w:val="bottom"/>
            <w:hideMark/>
          </w:tcPr>
          <w:p w14:paraId="6179FA5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F856CE1"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5CAEB560" w14:textId="77777777" w:rsidR="00DE156A" w:rsidRDefault="00DE156A" w:rsidP="005A3B4D">
            <w:pPr>
              <w:jc w:val="right"/>
              <w:rPr>
                <w:color w:val="000000"/>
                <w:sz w:val="20"/>
                <w:szCs w:val="20"/>
              </w:rPr>
            </w:pPr>
            <w:r>
              <w:rPr>
                <w:color w:val="000000"/>
                <w:sz w:val="20"/>
                <w:szCs w:val="20"/>
              </w:rPr>
              <w:t>0.982</w:t>
            </w:r>
          </w:p>
        </w:tc>
        <w:tc>
          <w:tcPr>
            <w:tcW w:w="768" w:type="dxa"/>
            <w:tcBorders>
              <w:top w:val="nil"/>
              <w:left w:val="nil"/>
              <w:bottom w:val="single" w:sz="12" w:space="0" w:color="auto"/>
              <w:right w:val="nil"/>
            </w:tcBorders>
            <w:shd w:val="clear" w:color="auto" w:fill="auto"/>
            <w:noWrap/>
            <w:vAlign w:val="bottom"/>
            <w:hideMark/>
          </w:tcPr>
          <w:p w14:paraId="35710236" w14:textId="77777777" w:rsidR="00DE156A" w:rsidRDefault="00DE156A" w:rsidP="005A3B4D">
            <w:pPr>
              <w:jc w:val="right"/>
              <w:rPr>
                <w:color w:val="000000"/>
                <w:sz w:val="20"/>
                <w:szCs w:val="20"/>
              </w:rPr>
            </w:pPr>
            <w:r>
              <w:rPr>
                <w:color w:val="000000"/>
                <w:sz w:val="20"/>
                <w:szCs w:val="20"/>
              </w:rPr>
              <w:t>0.000</w:t>
            </w:r>
          </w:p>
        </w:tc>
      </w:tr>
      <w:tr w:rsidR="00DE156A" w14:paraId="454B42FB"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6DE5ADFF" w14:textId="77777777" w:rsidR="00DE156A" w:rsidRDefault="00DE156A"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1F50F458" w14:textId="77777777" w:rsidR="00DE156A" w:rsidRDefault="00DE156A"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7FBA8C3D"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2A2E9CF"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F08889"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CB2BD8B"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01E6C2A"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286BF6"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BC29B01"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3C138A6"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6A7167E"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3169F9D"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5F61A96"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D66AA15"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697CD4F"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8AC15D5"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CCE66D1" w14:textId="77777777" w:rsidR="00DE156A" w:rsidRDefault="00DE156A" w:rsidP="005A3B4D">
            <w:pPr>
              <w:rPr>
                <w:sz w:val="20"/>
                <w:szCs w:val="20"/>
              </w:rPr>
            </w:pPr>
          </w:p>
        </w:tc>
      </w:tr>
    </w:tbl>
    <w:p w14:paraId="7355761D" w14:textId="77777777" w:rsidR="00DE156A" w:rsidRDefault="00DE156A" w:rsidP="00DE156A">
      <w:pPr>
        <w:spacing w:line="480" w:lineRule="auto"/>
      </w:pPr>
    </w:p>
    <w:p w14:paraId="30A13C0F" w14:textId="77777777" w:rsidR="00DE156A" w:rsidRDefault="00DE156A" w:rsidP="00DE156A">
      <w:r>
        <w:br w:type="page"/>
      </w:r>
    </w:p>
    <w:p w14:paraId="73D85350" w14:textId="4D97BEDF" w:rsidR="00AA3295" w:rsidRPr="009E2A20" w:rsidRDefault="00432B71" w:rsidP="009E2A20">
      <w:pPr>
        <w:pStyle w:val="Heading1"/>
        <w:rPr>
          <w:rFonts w:ascii="Times New Roman" w:hAnsi="Times New Roman" w:cs="Times New Roman"/>
          <w:color w:val="000000" w:themeColor="text1"/>
          <w:sz w:val="24"/>
          <w:szCs w:val="24"/>
        </w:rPr>
      </w:pPr>
      <w:bookmarkStart w:id="28" w:name="_Toc155817695"/>
      <w:r>
        <w:rPr>
          <w:rFonts w:ascii="Times New Roman" w:hAnsi="Times New Roman" w:cs="Times New Roman"/>
          <w:b/>
          <w:bCs/>
          <w:color w:val="000000" w:themeColor="text1"/>
          <w:sz w:val="24"/>
          <w:szCs w:val="24"/>
        </w:rPr>
        <w:lastRenderedPageBreak/>
        <w:t xml:space="preserve">Table </w:t>
      </w:r>
      <w:r w:rsidR="00DE156A">
        <w:rPr>
          <w:rFonts w:ascii="Times New Roman" w:hAnsi="Times New Roman" w:cs="Times New Roman"/>
          <w:b/>
          <w:bCs/>
          <w:color w:val="000000" w:themeColor="text1"/>
          <w:sz w:val="24"/>
          <w:szCs w:val="24"/>
        </w:rPr>
        <w:t>9</w:t>
      </w:r>
      <w:r w:rsidR="00AA3295" w:rsidRPr="009E2A20">
        <w:rPr>
          <w:rFonts w:ascii="Times New Roman" w:hAnsi="Times New Roman" w:cs="Times New Roman"/>
          <w:b/>
          <w:bCs/>
          <w:color w:val="000000" w:themeColor="text1"/>
          <w:sz w:val="24"/>
          <w:szCs w:val="24"/>
        </w:rPr>
        <w:t xml:space="preserve">a. </w:t>
      </w:r>
      <w:r w:rsidR="00AA3295"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diameter during </w:t>
      </w:r>
      <w:r w:rsidR="007A48E4" w:rsidRPr="009E2A20">
        <w:rPr>
          <w:rFonts w:ascii="Times New Roman" w:hAnsi="Times New Roman" w:cs="Times New Roman"/>
          <w:color w:val="000000" w:themeColor="text1"/>
          <w:sz w:val="24"/>
          <w:szCs w:val="24"/>
        </w:rPr>
        <w:t>emotional n-back task</w:t>
      </w:r>
      <w:bookmarkEnd w:id="28"/>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E61467" w14:paraId="3E08B1B5" w14:textId="77777777" w:rsidTr="00F01804">
        <w:trPr>
          <w:trHeight w:val="340"/>
        </w:trPr>
        <w:tc>
          <w:tcPr>
            <w:tcW w:w="1176" w:type="dxa"/>
            <w:tcBorders>
              <w:top w:val="nil"/>
              <w:left w:val="nil"/>
              <w:bottom w:val="single" w:sz="12" w:space="0" w:color="auto"/>
              <w:right w:val="nil"/>
            </w:tcBorders>
            <w:shd w:val="clear" w:color="auto" w:fill="auto"/>
            <w:noWrap/>
            <w:vAlign w:val="bottom"/>
            <w:hideMark/>
          </w:tcPr>
          <w:p w14:paraId="590193CD" w14:textId="77777777" w:rsidR="00E61467" w:rsidRDefault="00E61467">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2C8FFB69" w14:textId="77777777" w:rsidR="00E61467" w:rsidRDefault="00E61467">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2AACC01D" w14:textId="77777777" w:rsidR="00E61467" w:rsidRDefault="00E61467">
            <w:pPr>
              <w:rPr>
                <w:color w:val="000000"/>
              </w:rPr>
            </w:pPr>
          </w:p>
        </w:tc>
        <w:tc>
          <w:tcPr>
            <w:tcW w:w="768" w:type="dxa"/>
            <w:tcBorders>
              <w:top w:val="nil"/>
              <w:left w:val="nil"/>
              <w:bottom w:val="single" w:sz="12" w:space="0" w:color="auto"/>
              <w:right w:val="nil"/>
            </w:tcBorders>
            <w:shd w:val="clear" w:color="auto" w:fill="auto"/>
            <w:noWrap/>
            <w:vAlign w:val="bottom"/>
            <w:hideMark/>
          </w:tcPr>
          <w:p w14:paraId="4052F1A0"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90C5FD7"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AC59757"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94BD573"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D486589"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D6BFA8F"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27805DB"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1858E74"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BB6E78F"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2DE369D"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1E1DA75"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086A7E7"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8E403E3" w14:textId="77777777" w:rsidR="00E61467" w:rsidRDefault="00E614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E75F36E" w14:textId="77777777" w:rsidR="00E61467" w:rsidRDefault="00E61467">
            <w:pPr>
              <w:rPr>
                <w:sz w:val="20"/>
                <w:szCs w:val="20"/>
              </w:rPr>
            </w:pPr>
          </w:p>
        </w:tc>
      </w:tr>
      <w:tr w:rsidR="00E61467" w14:paraId="4031AA9B" w14:textId="77777777" w:rsidTr="00F01804">
        <w:trPr>
          <w:trHeight w:val="340"/>
        </w:trPr>
        <w:tc>
          <w:tcPr>
            <w:tcW w:w="1176" w:type="dxa"/>
            <w:tcBorders>
              <w:top w:val="single" w:sz="12" w:space="0" w:color="auto"/>
              <w:left w:val="nil"/>
              <w:bottom w:val="nil"/>
              <w:right w:val="nil"/>
            </w:tcBorders>
            <w:shd w:val="clear" w:color="auto" w:fill="auto"/>
            <w:noWrap/>
            <w:vAlign w:val="bottom"/>
            <w:hideMark/>
          </w:tcPr>
          <w:p w14:paraId="6E963236" w14:textId="77777777" w:rsidR="00E61467" w:rsidRDefault="00E61467">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13112A12" w14:textId="77777777" w:rsidR="00E61467" w:rsidRDefault="00E61467">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1487B01C" w14:textId="3134256D" w:rsidR="00E61467" w:rsidRDefault="00E61467">
            <w:pPr>
              <w:jc w:val="center"/>
              <w:rPr>
                <w:color w:val="000000"/>
                <w:sz w:val="20"/>
                <w:szCs w:val="20"/>
              </w:rPr>
            </w:pPr>
            <w:r>
              <w:rPr>
                <w:color w:val="000000"/>
                <w:sz w:val="20"/>
                <w:szCs w:val="20"/>
              </w:rPr>
              <w:t>General</w:t>
            </w:r>
            <w:r w:rsidR="006F54CF">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47BE529" w14:textId="77777777" w:rsidR="00E61467" w:rsidRDefault="00E61467">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0131836" w14:textId="77777777" w:rsidR="00E61467" w:rsidRDefault="00E61467">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7947994" w14:textId="77777777" w:rsidR="00E61467" w:rsidRDefault="00E61467">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2608F1D1" w14:textId="77777777" w:rsidR="00E61467" w:rsidRDefault="00E61467">
            <w:pPr>
              <w:jc w:val="center"/>
              <w:rPr>
                <w:color w:val="000000"/>
                <w:sz w:val="20"/>
                <w:szCs w:val="20"/>
              </w:rPr>
            </w:pPr>
            <w:r>
              <w:rPr>
                <w:color w:val="000000"/>
                <w:sz w:val="20"/>
                <w:szCs w:val="20"/>
              </w:rPr>
              <w:t>Urbanicity</w:t>
            </w:r>
          </w:p>
        </w:tc>
      </w:tr>
      <w:tr w:rsidR="002125FE" w14:paraId="68B91E1E" w14:textId="77777777" w:rsidTr="00F01804">
        <w:trPr>
          <w:trHeight w:val="360"/>
        </w:trPr>
        <w:tc>
          <w:tcPr>
            <w:tcW w:w="1176" w:type="dxa"/>
            <w:tcBorders>
              <w:top w:val="nil"/>
              <w:left w:val="nil"/>
              <w:bottom w:val="single" w:sz="12" w:space="0" w:color="auto"/>
              <w:right w:val="nil"/>
            </w:tcBorders>
            <w:shd w:val="clear" w:color="auto" w:fill="auto"/>
            <w:noWrap/>
            <w:vAlign w:val="bottom"/>
            <w:hideMark/>
          </w:tcPr>
          <w:p w14:paraId="4C6AC151"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3687256E"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79B3C11A" w14:textId="128C64B3"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00401FA" w14:textId="2C5F4B25"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4CC8D4B" w14:textId="5ED288C8"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65535F0" w14:textId="4DD63F4A"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E0308A0" w14:textId="4D93B697"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456EA872" w14:textId="36D0A50F"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4140F618" w14:textId="7D5900FE"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742DBC40" w14:textId="3270F8AF"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199BD2AC" w14:textId="330125A5"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09EDC7DC" w14:textId="4E0DFD23"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0218FF51" w14:textId="0187C510"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14078957" w14:textId="509F9ED3"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02C89F5" w14:textId="169CDE58"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7B51AB9" w14:textId="026F3C3D"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9CF172F" w14:textId="0066ACEE"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42372D" w14:paraId="45E06380" w14:textId="77777777" w:rsidTr="00F01804">
        <w:trPr>
          <w:trHeight w:val="320"/>
        </w:trPr>
        <w:tc>
          <w:tcPr>
            <w:tcW w:w="1176" w:type="dxa"/>
            <w:tcBorders>
              <w:top w:val="single" w:sz="12" w:space="0" w:color="auto"/>
              <w:left w:val="nil"/>
              <w:bottom w:val="nil"/>
              <w:right w:val="nil"/>
            </w:tcBorders>
            <w:shd w:val="clear" w:color="auto" w:fill="auto"/>
            <w:noWrap/>
            <w:vAlign w:val="bottom"/>
            <w:hideMark/>
          </w:tcPr>
          <w:p w14:paraId="20C56002" w14:textId="77777777" w:rsidR="0042372D" w:rsidRDefault="0042372D" w:rsidP="0042372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4F00F0E9" w14:textId="77777777" w:rsidR="0042372D" w:rsidRDefault="0042372D" w:rsidP="0042372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7226FFB8" w14:textId="55E5BD47" w:rsidR="0042372D" w:rsidRDefault="0042372D" w:rsidP="0042372D">
            <w:pPr>
              <w:jc w:val="right"/>
              <w:rPr>
                <w:color w:val="000000"/>
                <w:sz w:val="20"/>
                <w:szCs w:val="20"/>
              </w:rPr>
            </w:pPr>
            <w:r>
              <w:rPr>
                <w:color w:val="000000"/>
                <w:sz w:val="20"/>
                <w:szCs w:val="20"/>
              </w:rPr>
              <w:t>0.005</w:t>
            </w:r>
          </w:p>
        </w:tc>
        <w:tc>
          <w:tcPr>
            <w:tcW w:w="768" w:type="dxa"/>
            <w:tcBorders>
              <w:top w:val="single" w:sz="12" w:space="0" w:color="auto"/>
              <w:left w:val="nil"/>
              <w:bottom w:val="nil"/>
              <w:right w:val="nil"/>
            </w:tcBorders>
            <w:shd w:val="clear" w:color="auto" w:fill="auto"/>
            <w:noWrap/>
            <w:vAlign w:val="bottom"/>
            <w:hideMark/>
          </w:tcPr>
          <w:p w14:paraId="5D2D3752" w14:textId="02A6E9B0" w:rsidR="0042372D" w:rsidRDefault="0042372D" w:rsidP="0042372D">
            <w:pPr>
              <w:jc w:val="right"/>
              <w:rPr>
                <w:color w:val="000000"/>
                <w:sz w:val="20"/>
                <w:szCs w:val="20"/>
              </w:rPr>
            </w:pPr>
            <w:r>
              <w:rPr>
                <w:color w:val="000000"/>
                <w:sz w:val="20"/>
                <w:szCs w:val="20"/>
              </w:rPr>
              <w:t>0.891</w:t>
            </w:r>
          </w:p>
        </w:tc>
        <w:tc>
          <w:tcPr>
            <w:tcW w:w="768" w:type="dxa"/>
            <w:tcBorders>
              <w:top w:val="single" w:sz="12" w:space="0" w:color="auto"/>
              <w:left w:val="nil"/>
              <w:bottom w:val="nil"/>
              <w:right w:val="nil"/>
            </w:tcBorders>
            <w:shd w:val="clear" w:color="auto" w:fill="auto"/>
            <w:noWrap/>
            <w:vAlign w:val="bottom"/>
            <w:hideMark/>
          </w:tcPr>
          <w:p w14:paraId="2AB019D6" w14:textId="6B6369FB" w:rsidR="0042372D" w:rsidRDefault="0042372D" w:rsidP="0042372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0DBE070" w14:textId="0B00717E" w:rsidR="0042372D" w:rsidRDefault="0042372D" w:rsidP="0042372D">
            <w:pPr>
              <w:jc w:val="right"/>
              <w:rPr>
                <w:color w:val="000000"/>
                <w:sz w:val="20"/>
                <w:szCs w:val="20"/>
              </w:rPr>
            </w:pPr>
            <w:r>
              <w:rPr>
                <w:color w:val="000000"/>
                <w:sz w:val="20"/>
                <w:szCs w:val="20"/>
              </w:rPr>
              <w:t>-0.022</w:t>
            </w:r>
          </w:p>
        </w:tc>
        <w:tc>
          <w:tcPr>
            <w:tcW w:w="768" w:type="dxa"/>
            <w:tcBorders>
              <w:top w:val="single" w:sz="12" w:space="0" w:color="auto"/>
              <w:left w:val="nil"/>
              <w:bottom w:val="nil"/>
              <w:right w:val="nil"/>
            </w:tcBorders>
            <w:shd w:val="clear" w:color="auto" w:fill="auto"/>
            <w:noWrap/>
            <w:vAlign w:val="bottom"/>
            <w:hideMark/>
          </w:tcPr>
          <w:p w14:paraId="4E3DFD48" w14:textId="6D0890AF" w:rsidR="0042372D" w:rsidRDefault="0042372D" w:rsidP="0042372D">
            <w:pPr>
              <w:jc w:val="right"/>
              <w:rPr>
                <w:color w:val="000000"/>
                <w:sz w:val="20"/>
                <w:szCs w:val="20"/>
              </w:rPr>
            </w:pPr>
            <w:r>
              <w:rPr>
                <w:color w:val="000000"/>
                <w:sz w:val="20"/>
                <w:szCs w:val="20"/>
              </w:rPr>
              <w:t>0.912</w:t>
            </w:r>
          </w:p>
        </w:tc>
        <w:tc>
          <w:tcPr>
            <w:tcW w:w="768" w:type="dxa"/>
            <w:tcBorders>
              <w:top w:val="single" w:sz="12" w:space="0" w:color="auto"/>
              <w:left w:val="nil"/>
              <w:bottom w:val="nil"/>
              <w:right w:val="nil"/>
            </w:tcBorders>
            <w:shd w:val="clear" w:color="auto" w:fill="auto"/>
            <w:noWrap/>
            <w:vAlign w:val="bottom"/>
            <w:hideMark/>
          </w:tcPr>
          <w:p w14:paraId="3B2A8FC5" w14:textId="28009398" w:rsidR="0042372D" w:rsidRDefault="0042372D" w:rsidP="0042372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ADA3F85" w14:textId="3D71B7B7" w:rsidR="0042372D" w:rsidRDefault="0042372D" w:rsidP="0042372D">
            <w:pPr>
              <w:jc w:val="right"/>
              <w:rPr>
                <w:color w:val="000000"/>
                <w:sz w:val="20"/>
                <w:szCs w:val="20"/>
              </w:rPr>
            </w:pPr>
            <w:r>
              <w:rPr>
                <w:color w:val="000000"/>
                <w:sz w:val="20"/>
                <w:szCs w:val="20"/>
              </w:rPr>
              <w:t>-0.058</w:t>
            </w:r>
          </w:p>
        </w:tc>
        <w:tc>
          <w:tcPr>
            <w:tcW w:w="768" w:type="dxa"/>
            <w:tcBorders>
              <w:top w:val="single" w:sz="12" w:space="0" w:color="auto"/>
              <w:left w:val="nil"/>
              <w:bottom w:val="nil"/>
              <w:right w:val="nil"/>
            </w:tcBorders>
            <w:shd w:val="clear" w:color="auto" w:fill="auto"/>
            <w:noWrap/>
            <w:vAlign w:val="bottom"/>
            <w:hideMark/>
          </w:tcPr>
          <w:p w14:paraId="51C3D20B" w14:textId="2E6579C1" w:rsidR="0042372D" w:rsidRDefault="0042372D" w:rsidP="0042372D">
            <w:pPr>
              <w:jc w:val="right"/>
              <w:rPr>
                <w:color w:val="000000"/>
                <w:sz w:val="20"/>
                <w:szCs w:val="20"/>
              </w:rPr>
            </w:pPr>
            <w:r>
              <w:rPr>
                <w:color w:val="000000"/>
                <w:sz w:val="20"/>
                <w:szCs w:val="20"/>
              </w:rPr>
              <w:t>0.299</w:t>
            </w:r>
          </w:p>
        </w:tc>
        <w:tc>
          <w:tcPr>
            <w:tcW w:w="768" w:type="dxa"/>
            <w:tcBorders>
              <w:top w:val="single" w:sz="12" w:space="0" w:color="auto"/>
              <w:left w:val="nil"/>
              <w:bottom w:val="nil"/>
              <w:right w:val="nil"/>
            </w:tcBorders>
            <w:shd w:val="clear" w:color="auto" w:fill="auto"/>
            <w:noWrap/>
            <w:vAlign w:val="bottom"/>
            <w:hideMark/>
          </w:tcPr>
          <w:p w14:paraId="605DCC3B" w14:textId="4BF8F02C" w:rsidR="0042372D" w:rsidRDefault="0042372D" w:rsidP="0042372D">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0970E447" w14:textId="56D188DA" w:rsidR="0042372D" w:rsidRDefault="0042372D" w:rsidP="0042372D">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4AF24066" w14:textId="144095E8" w:rsidR="0042372D" w:rsidRDefault="0042372D" w:rsidP="0042372D">
            <w:pPr>
              <w:jc w:val="right"/>
              <w:rPr>
                <w:color w:val="000000"/>
                <w:sz w:val="20"/>
                <w:szCs w:val="20"/>
              </w:rPr>
            </w:pPr>
            <w:r>
              <w:rPr>
                <w:color w:val="000000"/>
                <w:sz w:val="20"/>
                <w:szCs w:val="20"/>
              </w:rPr>
              <w:t>0.945</w:t>
            </w:r>
          </w:p>
        </w:tc>
        <w:tc>
          <w:tcPr>
            <w:tcW w:w="768" w:type="dxa"/>
            <w:tcBorders>
              <w:top w:val="single" w:sz="12" w:space="0" w:color="auto"/>
              <w:left w:val="nil"/>
              <w:bottom w:val="nil"/>
              <w:right w:val="nil"/>
            </w:tcBorders>
            <w:shd w:val="clear" w:color="auto" w:fill="auto"/>
            <w:noWrap/>
            <w:vAlign w:val="bottom"/>
            <w:hideMark/>
          </w:tcPr>
          <w:p w14:paraId="4A9D6345" w14:textId="45526CF6" w:rsidR="0042372D" w:rsidRDefault="0042372D" w:rsidP="0042372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2F61C38" w14:textId="387C0D08" w:rsidR="0042372D" w:rsidRDefault="0042372D" w:rsidP="0042372D">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06A55522" w14:textId="248CDEC5" w:rsidR="0042372D" w:rsidRDefault="0042372D" w:rsidP="0042372D">
            <w:pPr>
              <w:jc w:val="right"/>
              <w:rPr>
                <w:color w:val="000000"/>
                <w:sz w:val="20"/>
                <w:szCs w:val="20"/>
              </w:rPr>
            </w:pPr>
            <w:r>
              <w:rPr>
                <w:color w:val="000000"/>
                <w:sz w:val="20"/>
                <w:szCs w:val="20"/>
              </w:rPr>
              <w:t>0.893</w:t>
            </w:r>
          </w:p>
        </w:tc>
        <w:tc>
          <w:tcPr>
            <w:tcW w:w="768" w:type="dxa"/>
            <w:tcBorders>
              <w:top w:val="single" w:sz="12" w:space="0" w:color="auto"/>
              <w:left w:val="nil"/>
              <w:bottom w:val="nil"/>
              <w:right w:val="nil"/>
            </w:tcBorders>
            <w:shd w:val="clear" w:color="auto" w:fill="auto"/>
            <w:noWrap/>
            <w:vAlign w:val="bottom"/>
            <w:hideMark/>
          </w:tcPr>
          <w:p w14:paraId="0FBFA317" w14:textId="1729C352" w:rsidR="0042372D" w:rsidRDefault="0042372D" w:rsidP="0042372D">
            <w:pPr>
              <w:jc w:val="right"/>
              <w:rPr>
                <w:color w:val="000000"/>
                <w:sz w:val="20"/>
                <w:szCs w:val="20"/>
              </w:rPr>
            </w:pPr>
            <w:r>
              <w:rPr>
                <w:color w:val="000000"/>
                <w:sz w:val="20"/>
                <w:szCs w:val="20"/>
              </w:rPr>
              <w:t>0.000</w:t>
            </w:r>
          </w:p>
        </w:tc>
      </w:tr>
      <w:tr w:rsidR="0042372D" w14:paraId="022AB8B9" w14:textId="77777777" w:rsidTr="00E61467">
        <w:trPr>
          <w:trHeight w:val="340"/>
        </w:trPr>
        <w:tc>
          <w:tcPr>
            <w:tcW w:w="1176" w:type="dxa"/>
            <w:tcBorders>
              <w:top w:val="nil"/>
              <w:left w:val="nil"/>
              <w:bottom w:val="nil"/>
              <w:right w:val="nil"/>
            </w:tcBorders>
            <w:shd w:val="clear" w:color="auto" w:fill="auto"/>
            <w:noWrap/>
            <w:vAlign w:val="bottom"/>
            <w:hideMark/>
          </w:tcPr>
          <w:p w14:paraId="4C55FD8A"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EC8162" w14:textId="77777777" w:rsidR="0042372D" w:rsidRDefault="0042372D" w:rsidP="0042372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12C55CF" w14:textId="2A8B459A" w:rsidR="0042372D" w:rsidRDefault="0042372D" w:rsidP="0042372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CE4AB6F" w14:textId="7CEA6224" w:rsidR="0042372D" w:rsidRDefault="0042372D" w:rsidP="0042372D">
            <w:pPr>
              <w:jc w:val="right"/>
              <w:rPr>
                <w:color w:val="000000"/>
                <w:sz w:val="20"/>
                <w:szCs w:val="20"/>
              </w:rPr>
            </w:pPr>
            <w:r>
              <w:rPr>
                <w:color w:val="000000"/>
                <w:sz w:val="20"/>
                <w:szCs w:val="20"/>
              </w:rPr>
              <w:t>0.891</w:t>
            </w:r>
          </w:p>
        </w:tc>
        <w:tc>
          <w:tcPr>
            <w:tcW w:w="768" w:type="dxa"/>
            <w:tcBorders>
              <w:top w:val="nil"/>
              <w:left w:val="nil"/>
              <w:bottom w:val="nil"/>
              <w:right w:val="nil"/>
            </w:tcBorders>
            <w:shd w:val="clear" w:color="auto" w:fill="auto"/>
            <w:noWrap/>
            <w:vAlign w:val="bottom"/>
            <w:hideMark/>
          </w:tcPr>
          <w:p w14:paraId="2B9194DF" w14:textId="689DF978"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B08F6CC" w14:textId="18950A6A"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1F0A408" w14:textId="029FFC1B" w:rsidR="0042372D" w:rsidRDefault="0042372D" w:rsidP="0042372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37D1C264" w14:textId="1B72753E"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1B36FF" w14:textId="0F5BA4E6" w:rsidR="0042372D" w:rsidRDefault="0042372D" w:rsidP="0042372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00197EC0" w14:textId="0DEDEF57" w:rsidR="0042372D" w:rsidRDefault="0042372D" w:rsidP="0042372D">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6D20425F" w14:textId="32396A97"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9F2051" w14:textId="244C0107" w:rsidR="0042372D" w:rsidRDefault="0042372D" w:rsidP="0042372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38A7709C" w14:textId="566BC9AD" w:rsidR="0042372D" w:rsidRDefault="0042372D" w:rsidP="0042372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0A97D875" w14:textId="1EC96F0F"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E57B46D" w14:textId="5FAA86DB" w:rsidR="0042372D" w:rsidRDefault="0042372D" w:rsidP="0042372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5B1B515" w14:textId="403C54D4" w:rsidR="0042372D" w:rsidRDefault="0042372D" w:rsidP="0042372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0D7CA74C" w14:textId="3D2DD4C5" w:rsidR="0042372D" w:rsidRDefault="0042372D" w:rsidP="0042372D">
            <w:pPr>
              <w:jc w:val="right"/>
              <w:rPr>
                <w:color w:val="000000"/>
                <w:sz w:val="20"/>
                <w:szCs w:val="20"/>
              </w:rPr>
            </w:pPr>
            <w:r>
              <w:rPr>
                <w:color w:val="000000"/>
                <w:sz w:val="20"/>
                <w:szCs w:val="20"/>
              </w:rPr>
              <w:t>0.001</w:t>
            </w:r>
          </w:p>
        </w:tc>
      </w:tr>
      <w:tr w:rsidR="0042372D" w14:paraId="6A30C7E8" w14:textId="77777777" w:rsidTr="00E61467">
        <w:trPr>
          <w:trHeight w:val="320"/>
        </w:trPr>
        <w:tc>
          <w:tcPr>
            <w:tcW w:w="1176" w:type="dxa"/>
            <w:tcBorders>
              <w:top w:val="nil"/>
              <w:left w:val="nil"/>
              <w:bottom w:val="nil"/>
              <w:right w:val="nil"/>
            </w:tcBorders>
            <w:shd w:val="clear" w:color="auto" w:fill="auto"/>
            <w:noWrap/>
            <w:vAlign w:val="bottom"/>
            <w:hideMark/>
          </w:tcPr>
          <w:p w14:paraId="3BFD47D5"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B979D0" w14:textId="77777777" w:rsidR="0042372D" w:rsidRDefault="0042372D" w:rsidP="0042372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C8323B0" w14:textId="4B73FCF9" w:rsidR="0042372D" w:rsidRDefault="0042372D" w:rsidP="0042372D">
            <w:pPr>
              <w:jc w:val="right"/>
              <w:rPr>
                <w:color w:val="000000"/>
                <w:sz w:val="20"/>
                <w:szCs w:val="20"/>
              </w:rPr>
            </w:pPr>
            <w:r>
              <w:rPr>
                <w:color w:val="000000"/>
                <w:sz w:val="20"/>
                <w:szCs w:val="20"/>
              </w:rPr>
              <w:t>0.170</w:t>
            </w:r>
          </w:p>
        </w:tc>
        <w:tc>
          <w:tcPr>
            <w:tcW w:w="768" w:type="dxa"/>
            <w:tcBorders>
              <w:top w:val="nil"/>
              <w:left w:val="nil"/>
              <w:bottom w:val="nil"/>
              <w:right w:val="nil"/>
            </w:tcBorders>
            <w:shd w:val="clear" w:color="auto" w:fill="auto"/>
            <w:noWrap/>
            <w:vAlign w:val="bottom"/>
            <w:hideMark/>
          </w:tcPr>
          <w:p w14:paraId="3DFCEBFB" w14:textId="539E7CC7" w:rsidR="0042372D" w:rsidRDefault="0042372D" w:rsidP="0042372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2AF5DC3E" w14:textId="7DCAAE5D" w:rsidR="0042372D" w:rsidRDefault="0042372D" w:rsidP="0042372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50F0B1E" w14:textId="2A1A1A17" w:rsidR="0042372D" w:rsidRDefault="0042372D" w:rsidP="0042372D">
            <w:pPr>
              <w:jc w:val="right"/>
              <w:rPr>
                <w:color w:val="000000"/>
                <w:sz w:val="20"/>
                <w:szCs w:val="20"/>
              </w:rPr>
            </w:pPr>
            <w:r>
              <w:rPr>
                <w:color w:val="000000"/>
                <w:sz w:val="20"/>
                <w:szCs w:val="20"/>
              </w:rPr>
              <w:t>0.156</w:t>
            </w:r>
          </w:p>
        </w:tc>
        <w:tc>
          <w:tcPr>
            <w:tcW w:w="768" w:type="dxa"/>
            <w:tcBorders>
              <w:top w:val="nil"/>
              <w:left w:val="nil"/>
              <w:bottom w:val="nil"/>
              <w:right w:val="nil"/>
            </w:tcBorders>
            <w:shd w:val="clear" w:color="auto" w:fill="auto"/>
            <w:noWrap/>
            <w:vAlign w:val="bottom"/>
            <w:hideMark/>
          </w:tcPr>
          <w:p w14:paraId="1D2A5A83" w14:textId="11C51AB2" w:rsidR="0042372D" w:rsidRDefault="0042372D" w:rsidP="0042372D">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7CDF1A8B" w14:textId="320BB8CA" w:rsidR="0042372D" w:rsidRDefault="0042372D" w:rsidP="0042372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60A473A" w14:textId="193744F6" w:rsidR="0042372D" w:rsidRDefault="0042372D" w:rsidP="0042372D">
            <w:pPr>
              <w:jc w:val="right"/>
              <w:rPr>
                <w:color w:val="000000"/>
                <w:sz w:val="20"/>
                <w:szCs w:val="20"/>
              </w:rPr>
            </w:pPr>
            <w:r>
              <w:rPr>
                <w:color w:val="000000"/>
                <w:sz w:val="20"/>
                <w:szCs w:val="20"/>
              </w:rPr>
              <w:t>0.155</w:t>
            </w:r>
          </w:p>
        </w:tc>
        <w:tc>
          <w:tcPr>
            <w:tcW w:w="768" w:type="dxa"/>
            <w:tcBorders>
              <w:top w:val="nil"/>
              <w:left w:val="nil"/>
              <w:bottom w:val="nil"/>
              <w:right w:val="nil"/>
            </w:tcBorders>
            <w:shd w:val="clear" w:color="auto" w:fill="auto"/>
            <w:noWrap/>
            <w:vAlign w:val="bottom"/>
            <w:hideMark/>
          </w:tcPr>
          <w:p w14:paraId="235B31F2" w14:textId="2EB0B26D" w:rsidR="0042372D" w:rsidRDefault="0042372D" w:rsidP="0042372D">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7C97DB64" w14:textId="2FAA1F78" w:rsidR="0042372D" w:rsidRDefault="0042372D" w:rsidP="0042372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8C87A4B" w14:textId="2F196F5C" w:rsidR="0042372D" w:rsidRDefault="0042372D" w:rsidP="0042372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E088FE5" w14:textId="799F487E" w:rsidR="0042372D" w:rsidRDefault="0042372D" w:rsidP="0042372D">
            <w:pPr>
              <w:jc w:val="right"/>
              <w:rPr>
                <w:color w:val="000000"/>
                <w:sz w:val="20"/>
                <w:szCs w:val="20"/>
              </w:rPr>
            </w:pPr>
            <w:r>
              <w:rPr>
                <w:color w:val="000000"/>
                <w:sz w:val="20"/>
                <w:szCs w:val="20"/>
              </w:rPr>
              <w:t>0.887</w:t>
            </w:r>
          </w:p>
        </w:tc>
        <w:tc>
          <w:tcPr>
            <w:tcW w:w="768" w:type="dxa"/>
            <w:tcBorders>
              <w:top w:val="nil"/>
              <w:left w:val="nil"/>
              <w:bottom w:val="nil"/>
              <w:right w:val="nil"/>
            </w:tcBorders>
            <w:shd w:val="clear" w:color="auto" w:fill="auto"/>
            <w:noWrap/>
            <w:vAlign w:val="bottom"/>
            <w:hideMark/>
          </w:tcPr>
          <w:p w14:paraId="59853FAC" w14:textId="7F870C03"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E89082" w14:textId="3644C9C1" w:rsidR="0042372D" w:rsidRDefault="0042372D" w:rsidP="0042372D">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5FFCC210" w14:textId="05CF5DAA" w:rsidR="0042372D" w:rsidRDefault="0042372D" w:rsidP="0042372D">
            <w:pPr>
              <w:jc w:val="right"/>
              <w:rPr>
                <w:color w:val="000000"/>
                <w:sz w:val="20"/>
                <w:szCs w:val="20"/>
              </w:rPr>
            </w:pPr>
            <w:r>
              <w:rPr>
                <w:color w:val="000000"/>
                <w:sz w:val="20"/>
                <w:szCs w:val="20"/>
              </w:rPr>
              <w:t>0.862</w:t>
            </w:r>
          </w:p>
        </w:tc>
        <w:tc>
          <w:tcPr>
            <w:tcW w:w="768" w:type="dxa"/>
            <w:tcBorders>
              <w:top w:val="nil"/>
              <w:left w:val="nil"/>
              <w:bottom w:val="nil"/>
              <w:right w:val="nil"/>
            </w:tcBorders>
            <w:shd w:val="clear" w:color="auto" w:fill="auto"/>
            <w:noWrap/>
            <w:vAlign w:val="bottom"/>
            <w:hideMark/>
          </w:tcPr>
          <w:p w14:paraId="7EADBCCC" w14:textId="2D5A6AA0" w:rsidR="0042372D" w:rsidRDefault="0042372D" w:rsidP="0042372D">
            <w:pPr>
              <w:jc w:val="right"/>
              <w:rPr>
                <w:color w:val="000000"/>
                <w:sz w:val="20"/>
                <w:szCs w:val="20"/>
              </w:rPr>
            </w:pPr>
            <w:r>
              <w:rPr>
                <w:color w:val="000000"/>
                <w:sz w:val="20"/>
                <w:szCs w:val="20"/>
              </w:rPr>
              <w:t>0.008</w:t>
            </w:r>
          </w:p>
        </w:tc>
      </w:tr>
      <w:tr w:rsidR="0042372D" w14:paraId="29332D9C" w14:textId="77777777" w:rsidTr="00E61467">
        <w:trPr>
          <w:trHeight w:val="320"/>
        </w:trPr>
        <w:tc>
          <w:tcPr>
            <w:tcW w:w="1176" w:type="dxa"/>
            <w:tcBorders>
              <w:top w:val="nil"/>
              <w:left w:val="nil"/>
              <w:bottom w:val="nil"/>
              <w:right w:val="nil"/>
            </w:tcBorders>
            <w:shd w:val="clear" w:color="auto" w:fill="auto"/>
            <w:noWrap/>
            <w:vAlign w:val="bottom"/>
            <w:hideMark/>
          </w:tcPr>
          <w:p w14:paraId="6C71FB66"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BC67C60" w14:textId="77777777" w:rsidR="0042372D" w:rsidRDefault="0042372D" w:rsidP="0042372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89E66B0" w14:textId="5EFBCF3B" w:rsidR="0042372D" w:rsidRDefault="0042372D" w:rsidP="0042372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FD63280" w14:textId="1A4DC5F6" w:rsidR="0042372D" w:rsidRDefault="0042372D" w:rsidP="0042372D">
            <w:pPr>
              <w:jc w:val="right"/>
              <w:rPr>
                <w:color w:val="000000"/>
                <w:sz w:val="20"/>
                <w:szCs w:val="20"/>
              </w:rPr>
            </w:pPr>
            <w:r>
              <w:rPr>
                <w:color w:val="000000"/>
                <w:sz w:val="20"/>
                <w:szCs w:val="20"/>
              </w:rPr>
              <w:t>0.891</w:t>
            </w:r>
          </w:p>
        </w:tc>
        <w:tc>
          <w:tcPr>
            <w:tcW w:w="768" w:type="dxa"/>
            <w:tcBorders>
              <w:top w:val="nil"/>
              <w:left w:val="nil"/>
              <w:bottom w:val="nil"/>
              <w:right w:val="nil"/>
            </w:tcBorders>
            <w:shd w:val="clear" w:color="auto" w:fill="auto"/>
            <w:noWrap/>
            <w:vAlign w:val="bottom"/>
            <w:hideMark/>
          </w:tcPr>
          <w:p w14:paraId="475C13B1" w14:textId="6459E9C7"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6C5A2C" w14:textId="52D6CA17" w:rsidR="0042372D" w:rsidRDefault="0042372D" w:rsidP="0042372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1CC20E8" w14:textId="3078B58B" w:rsidR="0042372D" w:rsidRDefault="0042372D" w:rsidP="0042372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0F170C5F" w14:textId="2A6C2C20"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4252D0" w14:textId="0ED1DF82" w:rsidR="0042372D" w:rsidRDefault="0042372D" w:rsidP="0042372D">
            <w:pPr>
              <w:jc w:val="right"/>
              <w:rPr>
                <w:color w:val="000000"/>
                <w:sz w:val="20"/>
                <w:szCs w:val="20"/>
              </w:rPr>
            </w:pPr>
            <w:r>
              <w:rPr>
                <w:color w:val="000000"/>
                <w:sz w:val="20"/>
                <w:szCs w:val="20"/>
              </w:rPr>
              <w:t>-0.223</w:t>
            </w:r>
          </w:p>
        </w:tc>
        <w:tc>
          <w:tcPr>
            <w:tcW w:w="768" w:type="dxa"/>
            <w:tcBorders>
              <w:top w:val="nil"/>
              <w:left w:val="nil"/>
              <w:bottom w:val="nil"/>
              <w:right w:val="nil"/>
            </w:tcBorders>
            <w:shd w:val="clear" w:color="auto" w:fill="auto"/>
            <w:noWrap/>
            <w:vAlign w:val="bottom"/>
            <w:hideMark/>
          </w:tcPr>
          <w:p w14:paraId="456FA5D1" w14:textId="340601D2" w:rsidR="0042372D" w:rsidRDefault="0042372D" w:rsidP="0042372D">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67391BDE" w14:textId="11FCB6FF" w:rsidR="0042372D" w:rsidRDefault="0042372D" w:rsidP="0042372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14EEF56F" w14:textId="062F1C8F" w:rsidR="0042372D" w:rsidRDefault="0042372D" w:rsidP="0042372D">
            <w:pPr>
              <w:jc w:val="right"/>
              <w:rPr>
                <w:color w:val="000000"/>
                <w:sz w:val="20"/>
                <w:szCs w:val="20"/>
              </w:rPr>
            </w:pPr>
            <w:r>
              <w:rPr>
                <w:color w:val="000000"/>
                <w:sz w:val="20"/>
                <w:szCs w:val="20"/>
              </w:rPr>
              <w:t>0.130</w:t>
            </w:r>
          </w:p>
        </w:tc>
        <w:tc>
          <w:tcPr>
            <w:tcW w:w="768" w:type="dxa"/>
            <w:tcBorders>
              <w:top w:val="nil"/>
              <w:left w:val="nil"/>
              <w:bottom w:val="nil"/>
              <w:right w:val="nil"/>
            </w:tcBorders>
            <w:shd w:val="clear" w:color="auto" w:fill="auto"/>
            <w:noWrap/>
            <w:vAlign w:val="bottom"/>
            <w:hideMark/>
          </w:tcPr>
          <w:p w14:paraId="2E4A5860" w14:textId="0BAAFBF3" w:rsidR="0042372D" w:rsidRDefault="0042372D" w:rsidP="0042372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752D256D" w14:textId="6FBADB56" w:rsidR="0042372D" w:rsidRDefault="0042372D" w:rsidP="0042372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001BC88" w14:textId="5974C103" w:rsidR="0042372D" w:rsidRDefault="0042372D" w:rsidP="0042372D">
            <w:pPr>
              <w:jc w:val="right"/>
              <w:rPr>
                <w:color w:val="000000"/>
                <w:sz w:val="20"/>
                <w:szCs w:val="20"/>
              </w:rPr>
            </w:pPr>
            <w:r>
              <w:rPr>
                <w:color w:val="000000"/>
                <w:sz w:val="20"/>
                <w:szCs w:val="20"/>
              </w:rPr>
              <w:t>-0.162</w:t>
            </w:r>
          </w:p>
        </w:tc>
        <w:tc>
          <w:tcPr>
            <w:tcW w:w="768" w:type="dxa"/>
            <w:tcBorders>
              <w:top w:val="nil"/>
              <w:left w:val="nil"/>
              <w:bottom w:val="nil"/>
              <w:right w:val="nil"/>
            </w:tcBorders>
            <w:shd w:val="clear" w:color="auto" w:fill="auto"/>
            <w:noWrap/>
            <w:vAlign w:val="bottom"/>
            <w:hideMark/>
          </w:tcPr>
          <w:p w14:paraId="3DAAAA03" w14:textId="55FCE690" w:rsidR="0042372D" w:rsidRDefault="0042372D" w:rsidP="0042372D">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5749118D" w14:textId="692714BB" w:rsidR="0042372D" w:rsidRDefault="0042372D" w:rsidP="0042372D">
            <w:pPr>
              <w:jc w:val="right"/>
              <w:rPr>
                <w:color w:val="000000"/>
                <w:sz w:val="20"/>
                <w:szCs w:val="20"/>
              </w:rPr>
            </w:pPr>
            <w:r>
              <w:rPr>
                <w:color w:val="000000"/>
                <w:sz w:val="20"/>
                <w:szCs w:val="20"/>
              </w:rPr>
              <w:t>0.026</w:t>
            </w:r>
          </w:p>
        </w:tc>
      </w:tr>
      <w:tr w:rsidR="0042372D" w14:paraId="692EF0BC" w14:textId="77777777" w:rsidTr="00E61467">
        <w:trPr>
          <w:trHeight w:val="320"/>
        </w:trPr>
        <w:tc>
          <w:tcPr>
            <w:tcW w:w="1176" w:type="dxa"/>
            <w:tcBorders>
              <w:top w:val="nil"/>
              <w:left w:val="nil"/>
              <w:bottom w:val="nil"/>
              <w:right w:val="nil"/>
            </w:tcBorders>
            <w:shd w:val="clear" w:color="auto" w:fill="auto"/>
            <w:noWrap/>
            <w:vAlign w:val="bottom"/>
            <w:hideMark/>
          </w:tcPr>
          <w:p w14:paraId="2B6975EA"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DD6D59" w14:textId="77777777" w:rsidR="0042372D" w:rsidRDefault="0042372D" w:rsidP="0042372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4B8B2EB" w14:textId="625ED445" w:rsidR="0042372D" w:rsidRDefault="0042372D" w:rsidP="0042372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4CB4B511" w14:textId="4F77F129" w:rsidR="0042372D" w:rsidRDefault="0042372D" w:rsidP="0042372D">
            <w:pPr>
              <w:jc w:val="right"/>
              <w:rPr>
                <w:color w:val="000000"/>
                <w:sz w:val="20"/>
                <w:szCs w:val="20"/>
              </w:rPr>
            </w:pPr>
            <w:r>
              <w:rPr>
                <w:color w:val="000000"/>
                <w:sz w:val="20"/>
                <w:szCs w:val="20"/>
              </w:rPr>
              <w:t>0.395</w:t>
            </w:r>
          </w:p>
        </w:tc>
        <w:tc>
          <w:tcPr>
            <w:tcW w:w="768" w:type="dxa"/>
            <w:tcBorders>
              <w:top w:val="nil"/>
              <w:left w:val="nil"/>
              <w:bottom w:val="nil"/>
              <w:right w:val="nil"/>
            </w:tcBorders>
            <w:shd w:val="clear" w:color="auto" w:fill="auto"/>
            <w:noWrap/>
            <w:vAlign w:val="bottom"/>
            <w:hideMark/>
          </w:tcPr>
          <w:p w14:paraId="4B9322E5" w14:textId="021091AA" w:rsidR="0042372D" w:rsidRDefault="0042372D" w:rsidP="0042372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6AE7D3C" w14:textId="2CB3B5D5" w:rsidR="0042372D" w:rsidRDefault="0042372D" w:rsidP="0042372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F076307" w14:textId="6FDB0951" w:rsidR="0042372D" w:rsidRDefault="0042372D" w:rsidP="0042372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696EE386" w14:textId="6A99C261"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1B7FAB" w14:textId="7BEF9FAE" w:rsidR="0042372D" w:rsidRDefault="0042372D" w:rsidP="0042372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5FFDA3DA" w14:textId="1EB2C628" w:rsidR="0042372D" w:rsidRDefault="0042372D" w:rsidP="0042372D">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2083CF25" w14:textId="07CC5E88"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BAE75F6" w14:textId="02939B71" w:rsidR="0042372D" w:rsidRDefault="0042372D" w:rsidP="0042372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EF04F0F" w14:textId="7DAF4BF3" w:rsidR="0042372D" w:rsidRDefault="0042372D" w:rsidP="0042372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1415D37C" w14:textId="5E48B704"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45EF837" w14:textId="31BA7151" w:rsidR="0042372D" w:rsidRDefault="0042372D" w:rsidP="0042372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A652A59" w14:textId="29437BF8" w:rsidR="0042372D" w:rsidRDefault="0042372D" w:rsidP="0042372D">
            <w:pPr>
              <w:jc w:val="right"/>
              <w:rPr>
                <w:color w:val="000000"/>
                <w:sz w:val="20"/>
                <w:szCs w:val="20"/>
              </w:rPr>
            </w:pPr>
            <w:r>
              <w:rPr>
                <w:color w:val="000000"/>
                <w:sz w:val="20"/>
                <w:szCs w:val="20"/>
              </w:rPr>
              <w:t>0.893</w:t>
            </w:r>
          </w:p>
        </w:tc>
        <w:tc>
          <w:tcPr>
            <w:tcW w:w="768" w:type="dxa"/>
            <w:tcBorders>
              <w:top w:val="nil"/>
              <w:left w:val="nil"/>
              <w:bottom w:val="nil"/>
              <w:right w:val="nil"/>
            </w:tcBorders>
            <w:shd w:val="clear" w:color="auto" w:fill="auto"/>
            <w:noWrap/>
            <w:vAlign w:val="bottom"/>
            <w:hideMark/>
          </w:tcPr>
          <w:p w14:paraId="46168667" w14:textId="65A0EC1B" w:rsidR="0042372D" w:rsidRDefault="0042372D" w:rsidP="0042372D">
            <w:pPr>
              <w:jc w:val="right"/>
              <w:rPr>
                <w:color w:val="000000"/>
                <w:sz w:val="20"/>
                <w:szCs w:val="20"/>
              </w:rPr>
            </w:pPr>
            <w:r>
              <w:rPr>
                <w:color w:val="000000"/>
                <w:sz w:val="20"/>
                <w:szCs w:val="20"/>
              </w:rPr>
              <w:t>0.000</w:t>
            </w:r>
          </w:p>
        </w:tc>
      </w:tr>
      <w:tr w:rsidR="0042372D" w14:paraId="328A0FEF" w14:textId="77777777" w:rsidTr="00E61467">
        <w:trPr>
          <w:trHeight w:val="320"/>
        </w:trPr>
        <w:tc>
          <w:tcPr>
            <w:tcW w:w="1176" w:type="dxa"/>
            <w:tcBorders>
              <w:top w:val="nil"/>
              <w:left w:val="nil"/>
              <w:bottom w:val="nil"/>
              <w:right w:val="nil"/>
            </w:tcBorders>
            <w:shd w:val="clear" w:color="auto" w:fill="auto"/>
            <w:noWrap/>
            <w:vAlign w:val="bottom"/>
            <w:hideMark/>
          </w:tcPr>
          <w:p w14:paraId="48D65BE6"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2906D34" w14:textId="77777777" w:rsidR="0042372D" w:rsidRDefault="0042372D" w:rsidP="0042372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9BA5E3F" w14:textId="23B062E1" w:rsidR="0042372D" w:rsidRDefault="0042372D" w:rsidP="0042372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5DBE887A" w14:textId="3CB8E8FC" w:rsidR="0042372D" w:rsidRDefault="0042372D" w:rsidP="0042372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7186983E" w14:textId="4A28A2C8" w:rsidR="0042372D" w:rsidRDefault="0042372D" w:rsidP="0042372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38B8041" w14:textId="6B6700CD" w:rsidR="0042372D" w:rsidRDefault="0042372D" w:rsidP="0042372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9C40FA9" w14:textId="512730D8" w:rsidR="0042372D" w:rsidRDefault="0042372D" w:rsidP="0042372D">
            <w:pPr>
              <w:jc w:val="right"/>
              <w:rPr>
                <w:color w:val="000000"/>
                <w:sz w:val="20"/>
                <w:szCs w:val="20"/>
              </w:rPr>
            </w:pPr>
            <w:r>
              <w:rPr>
                <w:color w:val="000000"/>
                <w:sz w:val="20"/>
                <w:szCs w:val="20"/>
              </w:rPr>
              <w:t>0.762</w:t>
            </w:r>
          </w:p>
        </w:tc>
        <w:tc>
          <w:tcPr>
            <w:tcW w:w="768" w:type="dxa"/>
            <w:tcBorders>
              <w:top w:val="nil"/>
              <w:left w:val="nil"/>
              <w:bottom w:val="nil"/>
              <w:right w:val="nil"/>
            </w:tcBorders>
            <w:shd w:val="clear" w:color="auto" w:fill="auto"/>
            <w:noWrap/>
            <w:vAlign w:val="bottom"/>
            <w:hideMark/>
          </w:tcPr>
          <w:p w14:paraId="61999C43" w14:textId="298BB388"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D0C9652" w14:textId="33F21A5C" w:rsidR="0042372D" w:rsidRDefault="0042372D" w:rsidP="0042372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6EFBBC7" w14:textId="552FF226" w:rsidR="0042372D" w:rsidRDefault="0042372D" w:rsidP="0042372D">
            <w:pPr>
              <w:jc w:val="right"/>
              <w:rPr>
                <w:color w:val="000000"/>
                <w:sz w:val="20"/>
                <w:szCs w:val="20"/>
              </w:rPr>
            </w:pPr>
            <w:r>
              <w:rPr>
                <w:color w:val="000000"/>
                <w:sz w:val="20"/>
                <w:szCs w:val="20"/>
              </w:rPr>
              <w:t>0.804</w:t>
            </w:r>
          </w:p>
        </w:tc>
        <w:tc>
          <w:tcPr>
            <w:tcW w:w="768" w:type="dxa"/>
            <w:tcBorders>
              <w:top w:val="nil"/>
              <w:left w:val="nil"/>
              <w:bottom w:val="nil"/>
              <w:right w:val="nil"/>
            </w:tcBorders>
            <w:shd w:val="clear" w:color="auto" w:fill="auto"/>
            <w:noWrap/>
            <w:vAlign w:val="bottom"/>
            <w:hideMark/>
          </w:tcPr>
          <w:p w14:paraId="7603A206" w14:textId="079F4EF2"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6BAD21" w14:textId="0AC6CC2D" w:rsidR="0042372D" w:rsidRDefault="0042372D" w:rsidP="0042372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1DD82A9" w14:textId="44585671" w:rsidR="0042372D" w:rsidRDefault="0042372D" w:rsidP="0042372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19EA65AA" w14:textId="6D4A9653"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4ADD2F" w14:textId="7FD95DC2" w:rsidR="0042372D" w:rsidRDefault="0042372D" w:rsidP="0042372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3143747" w14:textId="7385F560" w:rsidR="0042372D" w:rsidRDefault="0042372D" w:rsidP="0042372D">
            <w:pPr>
              <w:jc w:val="right"/>
              <w:rPr>
                <w:color w:val="000000"/>
                <w:sz w:val="20"/>
                <w:szCs w:val="20"/>
              </w:rPr>
            </w:pPr>
            <w:r>
              <w:rPr>
                <w:color w:val="000000"/>
                <w:sz w:val="20"/>
                <w:szCs w:val="20"/>
              </w:rPr>
              <w:t>0.862</w:t>
            </w:r>
          </w:p>
        </w:tc>
        <w:tc>
          <w:tcPr>
            <w:tcW w:w="768" w:type="dxa"/>
            <w:tcBorders>
              <w:top w:val="nil"/>
              <w:left w:val="nil"/>
              <w:bottom w:val="nil"/>
              <w:right w:val="nil"/>
            </w:tcBorders>
            <w:shd w:val="clear" w:color="auto" w:fill="auto"/>
            <w:noWrap/>
            <w:vAlign w:val="bottom"/>
            <w:hideMark/>
          </w:tcPr>
          <w:p w14:paraId="19998B84" w14:textId="68AC51A1" w:rsidR="0042372D" w:rsidRDefault="0042372D" w:rsidP="0042372D">
            <w:pPr>
              <w:jc w:val="right"/>
              <w:rPr>
                <w:color w:val="000000"/>
                <w:sz w:val="20"/>
                <w:szCs w:val="20"/>
              </w:rPr>
            </w:pPr>
            <w:r>
              <w:rPr>
                <w:color w:val="000000"/>
                <w:sz w:val="20"/>
                <w:szCs w:val="20"/>
              </w:rPr>
              <w:t>0.001</w:t>
            </w:r>
          </w:p>
        </w:tc>
      </w:tr>
      <w:tr w:rsidR="0042372D" w14:paraId="7D5FD628" w14:textId="77777777" w:rsidTr="00E61467">
        <w:trPr>
          <w:trHeight w:val="320"/>
        </w:trPr>
        <w:tc>
          <w:tcPr>
            <w:tcW w:w="1176" w:type="dxa"/>
            <w:tcBorders>
              <w:top w:val="nil"/>
              <w:left w:val="nil"/>
              <w:bottom w:val="nil"/>
              <w:right w:val="nil"/>
            </w:tcBorders>
            <w:shd w:val="clear" w:color="auto" w:fill="auto"/>
            <w:noWrap/>
            <w:vAlign w:val="bottom"/>
            <w:hideMark/>
          </w:tcPr>
          <w:p w14:paraId="75921A83"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1019DE" w14:textId="77777777" w:rsidR="0042372D" w:rsidRDefault="0042372D" w:rsidP="0042372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1BCF9F1" w14:textId="4F2F1FF9" w:rsidR="0042372D" w:rsidRDefault="0042372D" w:rsidP="0042372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29CD7768" w14:textId="0804F08A" w:rsidR="0042372D" w:rsidRDefault="0042372D" w:rsidP="0042372D">
            <w:pPr>
              <w:jc w:val="right"/>
              <w:rPr>
                <w:color w:val="000000"/>
                <w:sz w:val="20"/>
                <w:szCs w:val="20"/>
              </w:rPr>
            </w:pPr>
            <w:r>
              <w:rPr>
                <w:color w:val="000000"/>
                <w:sz w:val="20"/>
                <w:szCs w:val="20"/>
              </w:rPr>
              <w:t>0.438</w:t>
            </w:r>
          </w:p>
        </w:tc>
        <w:tc>
          <w:tcPr>
            <w:tcW w:w="768" w:type="dxa"/>
            <w:tcBorders>
              <w:top w:val="nil"/>
              <w:left w:val="nil"/>
              <w:bottom w:val="nil"/>
              <w:right w:val="nil"/>
            </w:tcBorders>
            <w:shd w:val="clear" w:color="auto" w:fill="auto"/>
            <w:noWrap/>
            <w:vAlign w:val="bottom"/>
            <w:hideMark/>
          </w:tcPr>
          <w:p w14:paraId="4A6AA274" w14:textId="6D58CCB8"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7E71587" w14:textId="192F10EC" w:rsidR="0042372D" w:rsidRDefault="0042372D" w:rsidP="0042372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7731D0A1" w14:textId="164175DA" w:rsidR="0042372D" w:rsidRDefault="0042372D" w:rsidP="0042372D">
            <w:pPr>
              <w:jc w:val="right"/>
              <w:rPr>
                <w:color w:val="000000"/>
                <w:sz w:val="20"/>
                <w:szCs w:val="20"/>
              </w:rPr>
            </w:pPr>
            <w:r>
              <w:rPr>
                <w:color w:val="000000"/>
                <w:sz w:val="20"/>
                <w:szCs w:val="20"/>
              </w:rPr>
              <w:t>0.355</w:t>
            </w:r>
          </w:p>
        </w:tc>
        <w:tc>
          <w:tcPr>
            <w:tcW w:w="768" w:type="dxa"/>
            <w:tcBorders>
              <w:top w:val="nil"/>
              <w:left w:val="nil"/>
              <w:bottom w:val="nil"/>
              <w:right w:val="nil"/>
            </w:tcBorders>
            <w:shd w:val="clear" w:color="auto" w:fill="auto"/>
            <w:noWrap/>
            <w:vAlign w:val="bottom"/>
            <w:hideMark/>
          </w:tcPr>
          <w:p w14:paraId="4D1DA29B" w14:textId="4E4A5BEE" w:rsidR="0042372D" w:rsidRDefault="0042372D" w:rsidP="0042372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4F3E05D" w14:textId="758418BD" w:rsidR="0042372D" w:rsidRDefault="0042372D" w:rsidP="0042372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1AF31146" w14:textId="4ED9C5E0" w:rsidR="0042372D" w:rsidRDefault="0042372D" w:rsidP="0042372D">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79EA7AD3" w14:textId="09AAF6DF"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376ED09" w14:textId="2C41B82E" w:rsidR="0042372D" w:rsidRDefault="0042372D" w:rsidP="0042372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47039D3" w14:textId="67926354" w:rsidR="0042372D" w:rsidRDefault="0042372D" w:rsidP="0042372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10673F67" w14:textId="01122548"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F80DAF" w14:textId="438FB3C5" w:rsidR="0042372D" w:rsidRDefault="0042372D" w:rsidP="0042372D">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3E31E66A" w14:textId="74E1768D" w:rsidR="0042372D" w:rsidRDefault="0042372D" w:rsidP="0042372D">
            <w:pPr>
              <w:jc w:val="right"/>
              <w:rPr>
                <w:color w:val="000000"/>
                <w:sz w:val="20"/>
                <w:szCs w:val="20"/>
              </w:rPr>
            </w:pPr>
            <w:r>
              <w:rPr>
                <w:color w:val="000000"/>
                <w:sz w:val="20"/>
                <w:szCs w:val="20"/>
              </w:rPr>
              <w:t>0.284</w:t>
            </w:r>
          </w:p>
        </w:tc>
        <w:tc>
          <w:tcPr>
            <w:tcW w:w="768" w:type="dxa"/>
            <w:tcBorders>
              <w:top w:val="nil"/>
              <w:left w:val="nil"/>
              <w:bottom w:val="nil"/>
              <w:right w:val="nil"/>
            </w:tcBorders>
            <w:shd w:val="clear" w:color="auto" w:fill="auto"/>
            <w:noWrap/>
            <w:vAlign w:val="bottom"/>
            <w:hideMark/>
          </w:tcPr>
          <w:p w14:paraId="1B61434E" w14:textId="48A9E012" w:rsidR="0042372D" w:rsidRDefault="0042372D" w:rsidP="0042372D">
            <w:pPr>
              <w:jc w:val="right"/>
              <w:rPr>
                <w:color w:val="000000"/>
                <w:sz w:val="20"/>
                <w:szCs w:val="20"/>
              </w:rPr>
            </w:pPr>
            <w:r>
              <w:rPr>
                <w:color w:val="000000"/>
                <w:sz w:val="20"/>
                <w:szCs w:val="20"/>
              </w:rPr>
              <w:t>0.005</w:t>
            </w:r>
          </w:p>
        </w:tc>
      </w:tr>
      <w:tr w:rsidR="0042372D" w14:paraId="13E67776" w14:textId="77777777" w:rsidTr="00E61467">
        <w:trPr>
          <w:trHeight w:val="320"/>
        </w:trPr>
        <w:tc>
          <w:tcPr>
            <w:tcW w:w="1176" w:type="dxa"/>
            <w:tcBorders>
              <w:top w:val="nil"/>
              <w:left w:val="nil"/>
              <w:bottom w:val="single" w:sz="4" w:space="0" w:color="auto"/>
              <w:right w:val="nil"/>
            </w:tcBorders>
            <w:shd w:val="clear" w:color="auto" w:fill="auto"/>
            <w:noWrap/>
            <w:vAlign w:val="bottom"/>
            <w:hideMark/>
          </w:tcPr>
          <w:p w14:paraId="60A7C007" w14:textId="77777777" w:rsidR="0042372D" w:rsidRDefault="0042372D" w:rsidP="0042372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E7EC45B" w14:textId="77777777" w:rsidR="0042372D" w:rsidRDefault="0042372D" w:rsidP="0042372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03F9B8C" w14:textId="5789288E" w:rsidR="0042372D" w:rsidRDefault="0042372D" w:rsidP="0042372D">
            <w:pPr>
              <w:jc w:val="right"/>
              <w:rPr>
                <w:color w:val="000000"/>
                <w:sz w:val="20"/>
                <w:szCs w:val="20"/>
              </w:rPr>
            </w:pPr>
            <w:r>
              <w:rPr>
                <w:color w:val="000000"/>
                <w:sz w:val="20"/>
                <w:szCs w:val="20"/>
              </w:rPr>
              <w:t>0.064</w:t>
            </w:r>
          </w:p>
        </w:tc>
        <w:tc>
          <w:tcPr>
            <w:tcW w:w="768" w:type="dxa"/>
            <w:tcBorders>
              <w:top w:val="nil"/>
              <w:left w:val="nil"/>
              <w:bottom w:val="single" w:sz="4" w:space="0" w:color="auto"/>
              <w:right w:val="nil"/>
            </w:tcBorders>
            <w:shd w:val="clear" w:color="auto" w:fill="auto"/>
            <w:noWrap/>
            <w:vAlign w:val="bottom"/>
            <w:hideMark/>
          </w:tcPr>
          <w:p w14:paraId="233EFE16" w14:textId="5D006800" w:rsidR="0042372D" w:rsidRDefault="0042372D" w:rsidP="0042372D">
            <w:pPr>
              <w:jc w:val="right"/>
              <w:rPr>
                <w:color w:val="000000"/>
                <w:sz w:val="20"/>
                <w:szCs w:val="20"/>
              </w:rPr>
            </w:pPr>
            <w:r>
              <w:rPr>
                <w:color w:val="000000"/>
                <w:sz w:val="20"/>
                <w:szCs w:val="20"/>
              </w:rPr>
              <w:t>0.438</w:t>
            </w:r>
          </w:p>
        </w:tc>
        <w:tc>
          <w:tcPr>
            <w:tcW w:w="768" w:type="dxa"/>
            <w:tcBorders>
              <w:top w:val="nil"/>
              <w:left w:val="nil"/>
              <w:bottom w:val="single" w:sz="4" w:space="0" w:color="auto"/>
              <w:right w:val="nil"/>
            </w:tcBorders>
            <w:shd w:val="clear" w:color="auto" w:fill="auto"/>
            <w:noWrap/>
            <w:vAlign w:val="bottom"/>
            <w:hideMark/>
          </w:tcPr>
          <w:p w14:paraId="42A65C9F" w14:textId="43B4096C" w:rsidR="0042372D" w:rsidRDefault="0042372D" w:rsidP="0042372D">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033C24B2" w14:textId="0BAD5AB4" w:rsidR="0042372D" w:rsidRDefault="0042372D" w:rsidP="0042372D">
            <w:pPr>
              <w:jc w:val="right"/>
              <w:rPr>
                <w:color w:val="000000"/>
                <w:sz w:val="20"/>
                <w:szCs w:val="20"/>
              </w:rPr>
            </w:pPr>
            <w:r>
              <w:rPr>
                <w:color w:val="000000"/>
                <w:sz w:val="20"/>
                <w:szCs w:val="20"/>
              </w:rPr>
              <w:t>0.099</w:t>
            </w:r>
          </w:p>
        </w:tc>
        <w:tc>
          <w:tcPr>
            <w:tcW w:w="768" w:type="dxa"/>
            <w:tcBorders>
              <w:top w:val="nil"/>
              <w:left w:val="nil"/>
              <w:bottom w:val="single" w:sz="4" w:space="0" w:color="auto"/>
              <w:right w:val="nil"/>
            </w:tcBorders>
            <w:shd w:val="clear" w:color="auto" w:fill="auto"/>
            <w:noWrap/>
            <w:vAlign w:val="bottom"/>
            <w:hideMark/>
          </w:tcPr>
          <w:p w14:paraId="3558677A" w14:textId="26E15104" w:rsidR="0042372D" w:rsidRDefault="0042372D" w:rsidP="0042372D">
            <w:pPr>
              <w:jc w:val="right"/>
              <w:rPr>
                <w:color w:val="000000"/>
                <w:sz w:val="20"/>
                <w:szCs w:val="20"/>
              </w:rPr>
            </w:pPr>
            <w:r>
              <w:rPr>
                <w:color w:val="000000"/>
                <w:sz w:val="20"/>
                <w:szCs w:val="20"/>
              </w:rPr>
              <w:t>0.348</w:t>
            </w:r>
          </w:p>
        </w:tc>
        <w:tc>
          <w:tcPr>
            <w:tcW w:w="768" w:type="dxa"/>
            <w:tcBorders>
              <w:top w:val="nil"/>
              <w:left w:val="nil"/>
              <w:bottom w:val="single" w:sz="4" w:space="0" w:color="auto"/>
              <w:right w:val="nil"/>
            </w:tcBorders>
            <w:shd w:val="clear" w:color="auto" w:fill="auto"/>
            <w:noWrap/>
            <w:vAlign w:val="bottom"/>
            <w:hideMark/>
          </w:tcPr>
          <w:p w14:paraId="1B86909C" w14:textId="3805657F" w:rsidR="0042372D" w:rsidRDefault="0042372D" w:rsidP="0042372D">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146680A0" w14:textId="0011FF80" w:rsidR="0042372D" w:rsidRDefault="0042372D" w:rsidP="0042372D">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3B612655" w14:textId="4BB363EC" w:rsidR="0042372D" w:rsidRDefault="0042372D" w:rsidP="0042372D">
            <w:pPr>
              <w:jc w:val="right"/>
              <w:rPr>
                <w:color w:val="000000"/>
                <w:sz w:val="20"/>
                <w:szCs w:val="20"/>
              </w:rPr>
            </w:pPr>
            <w:r>
              <w:rPr>
                <w:color w:val="000000"/>
                <w:sz w:val="20"/>
                <w:szCs w:val="20"/>
              </w:rPr>
              <w:t>0.450</w:t>
            </w:r>
          </w:p>
        </w:tc>
        <w:tc>
          <w:tcPr>
            <w:tcW w:w="768" w:type="dxa"/>
            <w:tcBorders>
              <w:top w:val="nil"/>
              <w:left w:val="nil"/>
              <w:bottom w:val="single" w:sz="4" w:space="0" w:color="auto"/>
              <w:right w:val="nil"/>
            </w:tcBorders>
            <w:shd w:val="clear" w:color="auto" w:fill="auto"/>
            <w:noWrap/>
            <w:vAlign w:val="bottom"/>
            <w:hideMark/>
          </w:tcPr>
          <w:p w14:paraId="19086B2A" w14:textId="605ED378"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303ED64" w14:textId="25D85594" w:rsidR="0042372D" w:rsidRDefault="0042372D" w:rsidP="0042372D">
            <w:pPr>
              <w:jc w:val="right"/>
              <w:rPr>
                <w:color w:val="000000"/>
                <w:sz w:val="20"/>
                <w:szCs w:val="20"/>
              </w:rPr>
            </w:pPr>
            <w:r>
              <w:rPr>
                <w:color w:val="000000"/>
                <w:sz w:val="20"/>
                <w:szCs w:val="20"/>
              </w:rPr>
              <w:t>-0.022</w:t>
            </w:r>
          </w:p>
        </w:tc>
        <w:tc>
          <w:tcPr>
            <w:tcW w:w="768" w:type="dxa"/>
            <w:tcBorders>
              <w:top w:val="nil"/>
              <w:left w:val="nil"/>
              <w:bottom w:val="single" w:sz="4" w:space="0" w:color="auto"/>
              <w:right w:val="nil"/>
            </w:tcBorders>
            <w:shd w:val="clear" w:color="auto" w:fill="auto"/>
            <w:noWrap/>
            <w:vAlign w:val="bottom"/>
            <w:hideMark/>
          </w:tcPr>
          <w:p w14:paraId="78B70BF0" w14:textId="01192448" w:rsidR="0042372D" w:rsidRDefault="0042372D" w:rsidP="0042372D">
            <w:pPr>
              <w:jc w:val="right"/>
              <w:rPr>
                <w:color w:val="000000"/>
                <w:sz w:val="20"/>
                <w:szCs w:val="20"/>
              </w:rPr>
            </w:pPr>
            <w:r>
              <w:rPr>
                <w:color w:val="000000"/>
                <w:sz w:val="20"/>
                <w:szCs w:val="20"/>
              </w:rPr>
              <w:t>0.875</w:t>
            </w:r>
          </w:p>
        </w:tc>
        <w:tc>
          <w:tcPr>
            <w:tcW w:w="768" w:type="dxa"/>
            <w:tcBorders>
              <w:top w:val="nil"/>
              <w:left w:val="nil"/>
              <w:bottom w:val="single" w:sz="4" w:space="0" w:color="auto"/>
              <w:right w:val="nil"/>
            </w:tcBorders>
            <w:shd w:val="clear" w:color="auto" w:fill="auto"/>
            <w:noWrap/>
            <w:vAlign w:val="bottom"/>
            <w:hideMark/>
          </w:tcPr>
          <w:p w14:paraId="2151E4B5" w14:textId="34CF6515"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DBFCA98" w14:textId="3C4CFE81" w:rsidR="0042372D" w:rsidRDefault="0042372D" w:rsidP="0042372D">
            <w:pPr>
              <w:jc w:val="right"/>
              <w:rPr>
                <w:color w:val="000000"/>
                <w:sz w:val="20"/>
                <w:szCs w:val="20"/>
              </w:rPr>
            </w:pPr>
            <w:r>
              <w:rPr>
                <w:color w:val="000000"/>
                <w:sz w:val="20"/>
                <w:szCs w:val="20"/>
              </w:rPr>
              <w:t>0.022</w:t>
            </w:r>
          </w:p>
        </w:tc>
        <w:tc>
          <w:tcPr>
            <w:tcW w:w="768" w:type="dxa"/>
            <w:tcBorders>
              <w:top w:val="nil"/>
              <w:left w:val="nil"/>
              <w:bottom w:val="single" w:sz="4" w:space="0" w:color="auto"/>
              <w:right w:val="nil"/>
            </w:tcBorders>
            <w:shd w:val="clear" w:color="auto" w:fill="auto"/>
            <w:noWrap/>
            <w:vAlign w:val="bottom"/>
            <w:hideMark/>
          </w:tcPr>
          <w:p w14:paraId="21CC1711" w14:textId="6C52E9D5" w:rsidR="0042372D" w:rsidRDefault="0042372D" w:rsidP="0042372D">
            <w:pPr>
              <w:jc w:val="right"/>
              <w:rPr>
                <w:color w:val="000000"/>
                <w:sz w:val="20"/>
                <w:szCs w:val="20"/>
              </w:rPr>
            </w:pPr>
            <w:r>
              <w:rPr>
                <w:color w:val="000000"/>
                <w:sz w:val="20"/>
                <w:szCs w:val="20"/>
              </w:rPr>
              <w:t>0.893</w:t>
            </w:r>
          </w:p>
        </w:tc>
        <w:tc>
          <w:tcPr>
            <w:tcW w:w="768" w:type="dxa"/>
            <w:tcBorders>
              <w:top w:val="nil"/>
              <w:left w:val="nil"/>
              <w:bottom w:val="single" w:sz="4" w:space="0" w:color="auto"/>
              <w:right w:val="nil"/>
            </w:tcBorders>
            <w:shd w:val="clear" w:color="auto" w:fill="auto"/>
            <w:noWrap/>
            <w:vAlign w:val="bottom"/>
            <w:hideMark/>
          </w:tcPr>
          <w:p w14:paraId="2D9DA598" w14:textId="3B022917" w:rsidR="0042372D" w:rsidRDefault="0042372D" w:rsidP="0042372D">
            <w:pPr>
              <w:jc w:val="right"/>
              <w:rPr>
                <w:color w:val="000000"/>
                <w:sz w:val="20"/>
                <w:szCs w:val="20"/>
              </w:rPr>
            </w:pPr>
            <w:r>
              <w:rPr>
                <w:color w:val="000000"/>
                <w:sz w:val="20"/>
                <w:szCs w:val="20"/>
              </w:rPr>
              <w:t>0.000</w:t>
            </w:r>
          </w:p>
        </w:tc>
      </w:tr>
      <w:tr w:rsidR="0042372D" w14:paraId="21FD87BD" w14:textId="77777777" w:rsidTr="00E61467">
        <w:trPr>
          <w:trHeight w:val="320"/>
        </w:trPr>
        <w:tc>
          <w:tcPr>
            <w:tcW w:w="1176" w:type="dxa"/>
            <w:tcBorders>
              <w:top w:val="nil"/>
              <w:left w:val="nil"/>
              <w:bottom w:val="nil"/>
              <w:right w:val="nil"/>
            </w:tcBorders>
            <w:shd w:val="clear" w:color="auto" w:fill="auto"/>
            <w:noWrap/>
            <w:vAlign w:val="bottom"/>
            <w:hideMark/>
          </w:tcPr>
          <w:p w14:paraId="0B81A909" w14:textId="77777777" w:rsidR="0042372D" w:rsidRDefault="0042372D" w:rsidP="0042372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083E7678" w14:textId="77777777" w:rsidR="0042372D" w:rsidRDefault="0042372D" w:rsidP="0042372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F5395E9" w14:textId="5D92D01B" w:rsidR="0042372D" w:rsidRDefault="0042372D" w:rsidP="0042372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4AAEDF4" w14:textId="7E13935C" w:rsidR="0042372D" w:rsidRDefault="0042372D" w:rsidP="0042372D">
            <w:pPr>
              <w:jc w:val="right"/>
              <w:rPr>
                <w:color w:val="000000"/>
                <w:sz w:val="20"/>
                <w:szCs w:val="20"/>
              </w:rPr>
            </w:pPr>
            <w:r>
              <w:rPr>
                <w:color w:val="000000"/>
                <w:sz w:val="20"/>
                <w:szCs w:val="20"/>
              </w:rPr>
              <w:t>0.833</w:t>
            </w:r>
          </w:p>
        </w:tc>
        <w:tc>
          <w:tcPr>
            <w:tcW w:w="768" w:type="dxa"/>
            <w:tcBorders>
              <w:top w:val="nil"/>
              <w:left w:val="nil"/>
              <w:bottom w:val="nil"/>
              <w:right w:val="nil"/>
            </w:tcBorders>
            <w:shd w:val="clear" w:color="auto" w:fill="auto"/>
            <w:noWrap/>
            <w:vAlign w:val="bottom"/>
            <w:hideMark/>
          </w:tcPr>
          <w:p w14:paraId="4C77691B" w14:textId="0D644763"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0804E1" w14:textId="112AD2C0" w:rsidR="0042372D" w:rsidRDefault="0042372D" w:rsidP="0042372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7AAFFDEE" w14:textId="6718B5FD" w:rsidR="0042372D" w:rsidRDefault="0042372D" w:rsidP="0042372D">
            <w:pPr>
              <w:jc w:val="right"/>
              <w:rPr>
                <w:color w:val="000000"/>
                <w:sz w:val="20"/>
                <w:szCs w:val="20"/>
              </w:rPr>
            </w:pPr>
            <w:r>
              <w:rPr>
                <w:color w:val="000000"/>
                <w:sz w:val="20"/>
                <w:szCs w:val="20"/>
              </w:rPr>
              <w:t>0.216</w:t>
            </w:r>
          </w:p>
        </w:tc>
        <w:tc>
          <w:tcPr>
            <w:tcW w:w="768" w:type="dxa"/>
            <w:tcBorders>
              <w:top w:val="nil"/>
              <w:left w:val="nil"/>
              <w:bottom w:val="nil"/>
              <w:right w:val="nil"/>
            </w:tcBorders>
            <w:shd w:val="clear" w:color="auto" w:fill="auto"/>
            <w:noWrap/>
            <w:vAlign w:val="bottom"/>
            <w:hideMark/>
          </w:tcPr>
          <w:p w14:paraId="4CAD9DA1" w14:textId="4598719D"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B85013B" w14:textId="5C97DDFC" w:rsidR="0042372D" w:rsidRDefault="0042372D" w:rsidP="0042372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88D02CE" w14:textId="37A4ADEF" w:rsidR="0042372D" w:rsidRDefault="0042372D" w:rsidP="0042372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54B198E3" w14:textId="0C2341C9"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4326A4" w14:textId="651D2EEF" w:rsidR="0042372D" w:rsidRDefault="0042372D" w:rsidP="0042372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772E23D0" w14:textId="76EEFFEB" w:rsidR="0042372D" w:rsidRDefault="0042372D" w:rsidP="0042372D">
            <w:pPr>
              <w:jc w:val="right"/>
              <w:rPr>
                <w:color w:val="000000"/>
                <w:sz w:val="20"/>
                <w:szCs w:val="20"/>
              </w:rPr>
            </w:pPr>
            <w:r>
              <w:rPr>
                <w:color w:val="000000"/>
                <w:sz w:val="20"/>
                <w:szCs w:val="20"/>
              </w:rPr>
              <w:t>0.332</w:t>
            </w:r>
          </w:p>
        </w:tc>
        <w:tc>
          <w:tcPr>
            <w:tcW w:w="768" w:type="dxa"/>
            <w:tcBorders>
              <w:top w:val="nil"/>
              <w:left w:val="nil"/>
              <w:bottom w:val="nil"/>
              <w:right w:val="nil"/>
            </w:tcBorders>
            <w:shd w:val="clear" w:color="auto" w:fill="auto"/>
            <w:noWrap/>
            <w:vAlign w:val="bottom"/>
            <w:hideMark/>
          </w:tcPr>
          <w:p w14:paraId="4020D248" w14:textId="356FD11E"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62FE767" w14:textId="739E60D7" w:rsidR="0042372D" w:rsidRDefault="0042372D" w:rsidP="0042372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6CD2CB1" w14:textId="02775E40" w:rsidR="0042372D" w:rsidRDefault="0042372D" w:rsidP="0042372D">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783846B5" w14:textId="723A0E4E" w:rsidR="0042372D" w:rsidRDefault="0042372D" w:rsidP="0042372D">
            <w:pPr>
              <w:jc w:val="right"/>
              <w:rPr>
                <w:color w:val="000000"/>
                <w:sz w:val="20"/>
                <w:szCs w:val="20"/>
              </w:rPr>
            </w:pPr>
            <w:r>
              <w:rPr>
                <w:color w:val="000000"/>
                <w:sz w:val="20"/>
                <w:szCs w:val="20"/>
              </w:rPr>
              <w:t>0.000</w:t>
            </w:r>
          </w:p>
        </w:tc>
      </w:tr>
      <w:tr w:rsidR="0042372D" w14:paraId="35176206" w14:textId="77777777" w:rsidTr="00E61467">
        <w:trPr>
          <w:trHeight w:val="320"/>
        </w:trPr>
        <w:tc>
          <w:tcPr>
            <w:tcW w:w="1176" w:type="dxa"/>
            <w:tcBorders>
              <w:top w:val="nil"/>
              <w:left w:val="nil"/>
              <w:bottom w:val="nil"/>
              <w:right w:val="nil"/>
            </w:tcBorders>
            <w:shd w:val="clear" w:color="auto" w:fill="auto"/>
            <w:noWrap/>
            <w:vAlign w:val="bottom"/>
            <w:hideMark/>
          </w:tcPr>
          <w:p w14:paraId="164D2C6A"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9AD8E50" w14:textId="77777777" w:rsidR="0042372D" w:rsidRDefault="0042372D" w:rsidP="0042372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239688F" w14:textId="17E89321" w:rsidR="0042372D" w:rsidRDefault="0042372D" w:rsidP="0042372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F6CF317" w14:textId="36C61BCA" w:rsidR="0042372D" w:rsidRDefault="0042372D" w:rsidP="0042372D">
            <w:pPr>
              <w:jc w:val="right"/>
              <w:rPr>
                <w:color w:val="000000"/>
                <w:sz w:val="20"/>
                <w:szCs w:val="20"/>
              </w:rPr>
            </w:pPr>
            <w:r>
              <w:rPr>
                <w:color w:val="000000"/>
                <w:sz w:val="20"/>
                <w:szCs w:val="20"/>
              </w:rPr>
              <w:t>0.833</w:t>
            </w:r>
          </w:p>
        </w:tc>
        <w:tc>
          <w:tcPr>
            <w:tcW w:w="768" w:type="dxa"/>
            <w:tcBorders>
              <w:top w:val="nil"/>
              <w:left w:val="nil"/>
              <w:bottom w:val="nil"/>
              <w:right w:val="nil"/>
            </w:tcBorders>
            <w:shd w:val="clear" w:color="auto" w:fill="auto"/>
            <w:noWrap/>
            <w:vAlign w:val="bottom"/>
            <w:hideMark/>
          </w:tcPr>
          <w:p w14:paraId="41B69B97" w14:textId="4949AD14"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7BBF5B" w14:textId="4A364307" w:rsidR="0042372D" w:rsidRDefault="0042372D" w:rsidP="0042372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4768D52F" w14:textId="4F9D12F0" w:rsidR="0042372D" w:rsidRDefault="0042372D" w:rsidP="0042372D">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1BC73EB9" w14:textId="227E00EE"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5BE0018" w14:textId="48FF3E00"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167E19" w14:textId="59BA3299" w:rsidR="0042372D" w:rsidRDefault="0042372D" w:rsidP="0042372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6AF055B4" w14:textId="7DBC10AD"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14C551" w14:textId="3D21CCC4"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E26FB2" w14:textId="65F4ADAC" w:rsidR="0042372D" w:rsidRDefault="0042372D" w:rsidP="0042372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6DE3CD23" w14:textId="7CA41E0C"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41B0DF" w14:textId="09D4DB2F" w:rsidR="0042372D" w:rsidRDefault="0042372D" w:rsidP="0042372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E2B5047" w14:textId="24A9B0DE" w:rsidR="0042372D" w:rsidRDefault="0042372D" w:rsidP="0042372D">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2EB37189" w14:textId="30D661BC" w:rsidR="0042372D" w:rsidRDefault="0042372D" w:rsidP="0042372D">
            <w:pPr>
              <w:jc w:val="right"/>
              <w:rPr>
                <w:color w:val="000000"/>
                <w:sz w:val="20"/>
                <w:szCs w:val="20"/>
              </w:rPr>
            </w:pPr>
            <w:r>
              <w:rPr>
                <w:color w:val="000000"/>
                <w:sz w:val="20"/>
                <w:szCs w:val="20"/>
              </w:rPr>
              <w:t>0.001</w:t>
            </w:r>
          </w:p>
        </w:tc>
      </w:tr>
      <w:tr w:rsidR="0042372D" w14:paraId="3E14F295" w14:textId="77777777" w:rsidTr="00E61467">
        <w:trPr>
          <w:trHeight w:val="320"/>
        </w:trPr>
        <w:tc>
          <w:tcPr>
            <w:tcW w:w="1176" w:type="dxa"/>
            <w:tcBorders>
              <w:top w:val="nil"/>
              <w:left w:val="nil"/>
              <w:bottom w:val="nil"/>
              <w:right w:val="nil"/>
            </w:tcBorders>
            <w:shd w:val="clear" w:color="auto" w:fill="auto"/>
            <w:noWrap/>
            <w:vAlign w:val="bottom"/>
            <w:hideMark/>
          </w:tcPr>
          <w:p w14:paraId="5D183E12"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61213BB" w14:textId="77777777" w:rsidR="0042372D" w:rsidRDefault="0042372D" w:rsidP="0042372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E8BA294" w14:textId="099EEBFD" w:rsidR="0042372D" w:rsidRDefault="0042372D" w:rsidP="0042372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DE90A11" w14:textId="384E39E7" w:rsidR="0042372D" w:rsidRDefault="0042372D" w:rsidP="0042372D">
            <w:pPr>
              <w:jc w:val="right"/>
              <w:rPr>
                <w:color w:val="000000"/>
                <w:sz w:val="20"/>
                <w:szCs w:val="20"/>
              </w:rPr>
            </w:pPr>
            <w:r>
              <w:rPr>
                <w:color w:val="000000"/>
                <w:sz w:val="20"/>
                <w:szCs w:val="20"/>
              </w:rPr>
              <w:t>0.833</w:t>
            </w:r>
          </w:p>
        </w:tc>
        <w:tc>
          <w:tcPr>
            <w:tcW w:w="768" w:type="dxa"/>
            <w:tcBorders>
              <w:top w:val="nil"/>
              <w:left w:val="nil"/>
              <w:bottom w:val="nil"/>
              <w:right w:val="nil"/>
            </w:tcBorders>
            <w:shd w:val="clear" w:color="auto" w:fill="auto"/>
            <w:noWrap/>
            <w:vAlign w:val="bottom"/>
            <w:hideMark/>
          </w:tcPr>
          <w:p w14:paraId="00340339" w14:textId="0155D9E3"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6C5B66" w14:textId="4109530A" w:rsidR="0042372D" w:rsidRDefault="0042372D" w:rsidP="0042372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65FB5303" w14:textId="7149A66F" w:rsidR="0042372D" w:rsidRDefault="0042372D" w:rsidP="0042372D">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75AC8516" w14:textId="07803AB9"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67A8584" w14:textId="4FF5D35F" w:rsidR="0042372D" w:rsidRDefault="0042372D" w:rsidP="0042372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56101C7" w14:textId="2BFECBDC" w:rsidR="0042372D" w:rsidRDefault="0042372D" w:rsidP="0042372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058E0DA2" w14:textId="60772067"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ADA744" w14:textId="3A049C00" w:rsidR="0042372D" w:rsidRDefault="0042372D" w:rsidP="0042372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1F6A402" w14:textId="2D2399F2" w:rsidR="0042372D" w:rsidRDefault="0042372D" w:rsidP="0042372D">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4DFEC56E" w14:textId="25824FEF"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E8EB98" w14:textId="4C4BC498" w:rsidR="0042372D" w:rsidRDefault="0042372D" w:rsidP="0042372D">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1FA30FDF" w14:textId="567BB693" w:rsidR="0042372D" w:rsidRDefault="0042372D" w:rsidP="0042372D">
            <w:pPr>
              <w:jc w:val="right"/>
              <w:rPr>
                <w:color w:val="000000"/>
                <w:sz w:val="20"/>
                <w:szCs w:val="20"/>
              </w:rPr>
            </w:pPr>
            <w:r>
              <w:rPr>
                <w:color w:val="000000"/>
                <w:sz w:val="20"/>
                <w:szCs w:val="20"/>
              </w:rPr>
              <w:t>0.294</w:t>
            </w:r>
          </w:p>
        </w:tc>
        <w:tc>
          <w:tcPr>
            <w:tcW w:w="768" w:type="dxa"/>
            <w:tcBorders>
              <w:top w:val="nil"/>
              <w:left w:val="nil"/>
              <w:bottom w:val="nil"/>
              <w:right w:val="nil"/>
            </w:tcBorders>
            <w:shd w:val="clear" w:color="auto" w:fill="auto"/>
            <w:noWrap/>
            <w:vAlign w:val="bottom"/>
            <w:hideMark/>
          </w:tcPr>
          <w:p w14:paraId="4DA495D5" w14:textId="2B45D815" w:rsidR="0042372D" w:rsidRDefault="0042372D" w:rsidP="0042372D">
            <w:pPr>
              <w:jc w:val="right"/>
              <w:rPr>
                <w:color w:val="000000"/>
                <w:sz w:val="20"/>
                <w:szCs w:val="20"/>
              </w:rPr>
            </w:pPr>
            <w:r>
              <w:rPr>
                <w:color w:val="000000"/>
                <w:sz w:val="20"/>
                <w:szCs w:val="20"/>
              </w:rPr>
              <w:t>0.006</w:t>
            </w:r>
          </w:p>
        </w:tc>
      </w:tr>
      <w:tr w:rsidR="0042372D" w14:paraId="0D98111C" w14:textId="77777777" w:rsidTr="00E61467">
        <w:trPr>
          <w:trHeight w:val="320"/>
        </w:trPr>
        <w:tc>
          <w:tcPr>
            <w:tcW w:w="1176" w:type="dxa"/>
            <w:tcBorders>
              <w:top w:val="nil"/>
              <w:left w:val="nil"/>
              <w:bottom w:val="nil"/>
              <w:right w:val="nil"/>
            </w:tcBorders>
            <w:shd w:val="clear" w:color="auto" w:fill="auto"/>
            <w:noWrap/>
            <w:vAlign w:val="bottom"/>
            <w:hideMark/>
          </w:tcPr>
          <w:p w14:paraId="44AB0EAD"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15EE6CD" w14:textId="77777777" w:rsidR="0042372D" w:rsidRDefault="0042372D" w:rsidP="0042372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0C92C26" w14:textId="028CE2F8" w:rsidR="0042372D" w:rsidRDefault="0042372D" w:rsidP="0042372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0AF9A61" w14:textId="02212944" w:rsidR="0042372D" w:rsidRDefault="0042372D" w:rsidP="0042372D">
            <w:pPr>
              <w:jc w:val="right"/>
              <w:rPr>
                <w:color w:val="000000"/>
                <w:sz w:val="20"/>
                <w:szCs w:val="20"/>
              </w:rPr>
            </w:pPr>
            <w:r>
              <w:rPr>
                <w:color w:val="000000"/>
                <w:sz w:val="20"/>
                <w:szCs w:val="20"/>
              </w:rPr>
              <w:t>0.833</w:t>
            </w:r>
          </w:p>
        </w:tc>
        <w:tc>
          <w:tcPr>
            <w:tcW w:w="768" w:type="dxa"/>
            <w:tcBorders>
              <w:top w:val="nil"/>
              <w:left w:val="nil"/>
              <w:bottom w:val="nil"/>
              <w:right w:val="nil"/>
            </w:tcBorders>
            <w:shd w:val="clear" w:color="auto" w:fill="auto"/>
            <w:noWrap/>
            <w:vAlign w:val="bottom"/>
            <w:hideMark/>
          </w:tcPr>
          <w:p w14:paraId="0BC23649" w14:textId="137CDE91"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A94717" w14:textId="30BC5AA5" w:rsidR="0042372D" w:rsidRDefault="0042372D" w:rsidP="0042372D">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5D191C83" w14:textId="01CD144B" w:rsidR="0042372D" w:rsidRDefault="0042372D" w:rsidP="0042372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2767C1A8" w14:textId="3CA86160" w:rsidR="0042372D" w:rsidRDefault="0042372D" w:rsidP="0042372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27D0B5E" w14:textId="4D7B7684" w:rsidR="0042372D" w:rsidRDefault="0042372D" w:rsidP="0042372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229FDFA" w14:textId="52B76EE7" w:rsidR="0042372D" w:rsidRDefault="0042372D" w:rsidP="0042372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400117B8" w14:textId="776A3BDA"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4F7B4A8" w14:textId="768E127D" w:rsidR="0042372D" w:rsidRDefault="0042372D" w:rsidP="0042372D">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2DDA3719" w14:textId="11AB10B7" w:rsidR="0042372D" w:rsidRDefault="0042372D" w:rsidP="0042372D">
            <w:pPr>
              <w:jc w:val="right"/>
              <w:rPr>
                <w:color w:val="000000"/>
                <w:sz w:val="20"/>
                <w:szCs w:val="20"/>
              </w:rPr>
            </w:pPr>
            <w:r>
              <w:rPr>
                <w:color w:val="000000"/>
                <w:sz w:val="20"/>
                <w:szCs w:val="20"/>
              </w:rPr>
              <w:t>0.332</w:t>
            </w:r>
          </w:p>
        </w:tc>
        <w:tc>
          <w:tcPr>
            <w:tcW w:w="768" w:type="dxa"/>
            <w:tcBorders>
              <w:top w:val="nil"/>
              <w:left w:val="nil"/>
              <w:bottom w:val="nil"/>
              <w:right w:val="nil"/>
            </w:tcBorders>
            <w:shd w:val="clear" w:color="auto" w:fill="auto"/>
            <w:noWrap/>
            <w:vAlign w:val="bottom"/>
            <w:hideMark/>
          </w:tcPr>
          <w:p w14:paraId="2780780D" w14:textId="07C078B4" w:rsidR="0042372D" w:rsidRDefault="0042372D" w:rsidP="0042372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68A4685" w14:textId="15CF880D" w:rsidR="0042372D" w:rsidRDefault="0042372D" w:rsidP="0042372D">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01C00DD9" w14:textId="6E66E98A" w:rsidR="0042372D" w:rsidRDefault="0042372D" w:rsidP="0042372D">
            <w:pPr>
              <w:jc w:val="right"/>
              <w:rPr>
                <w:color w:val="000000"/>
                <w:sz w:val="20"/>
                <w:szCs w:val="20"/>
              </w:rPr>
            </w:pPr>
            <w:r>
              <w:rPr>
                <w:color w:val="000000"/>
                <w:sz w:val="20"/>
                <w:szCs w:val="20"/>
              </w:rPr>
              <w:t>0.294</w:t>
            </w:r>
          </w:p>
        </w:tc>
        <w:tc>
          <w:tcPr>
            <w:tcW w:w="768" w:type="dxa"/>
            <w:tcBorders>
              <w:top w:val="nil"/>
              <w:left w:val="nil"/>
              <w:bottom w:val="nil"/>
              <w:right w:val="nil"/>
            </w:tcBorders>
            <w:shd w:val="clear" w:color="auto" w:fill="auto"/>
            <w:noWrap/>
            <w:vAlign w:val="bottom"/>
            <w:hideMark/>
          </w:tcPr>
          <w:p w14:paraId="3FDFF3C8" w14:textId="71615103" w:rsidR="0042372D" w:rsidRDefault="0042372D" w:rsidP="0042372D">
            <w:pPr>
              <w:jc w:val="right"/>
              <w:rPr>
                <w:color w:val="000000"/>
                <w:sz w:val="20"/>
                <w:szCs w:val="20"/>
              </w:rPr>
            </w:pPr>
            <w:r>
              <w:rPr>
                <w:color w:val="000000"/>
                <w:sz w:val="20"/>
                <w:szCs w:val="20"/>
              </w:rPr>
              <w:t>0.006</w:t>
            </w:r>
          </w:p>
        </w:tc>
      </w:tr>
      <w:tr w:rsidR="0042372D" w14:paraId="27635DAB" w14:textId="77777777" w:rsidTr="00E61467">
        <w:trPr>
          <w:trHeight w:val="320"/>
        </w:trPr>
        <w:tc>
          <w:tcPr>
            <w:tcW w:w="1176" w:type="dxa"/>
            <w:tcBorders>
              <w:top w:val="nil"/>
              <w:left w:val="nil"/>
              <w:bottom w:val="nil"/>
              <w:right w:val="nil"/>
            </w:tcBorders>
            <w:shd w:val="clear" w:color="auto" w:fill="auto"/>
            <w:noWrap/>
            <w:vAlign w:val="bottom"/>
            <w:hideMark/>
          </w:tcPr>
          <w:p w14:paraId="1DD5144C"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2787922" w14:textId="77777777" w:rsidR="0042372D" w:rsidRDefault="0042372D" w:rsidP="0042372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2CBD8CE" w14:textId="36BEE2FC" w:rsidR="0042372D" w:rsidRDefault="0042372D" w:rsidP="0042372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1492D4D" w14:textId="02CEAD73" w:rsidR="0042372D" w:rsidRDefault="0042372D" w:rsidP="0042372D">
            <w:pPr>
              <w:jc w:val="right"/>
              <w:rPr>
                <w:color w:val="000000"/>
                <w:sz w:val="20"/>
                <w:szCs w:val="20"/>
              </w:rPr>
            </w:pPr>
            <w:r>
              <w:rPr>
                <w:color w:val="000000"/>
                <w:sz w:val="20"/>
                <w:szCs w:val="20"/>
              </w:rPr>
              <w:t>0.833</w:t>
            </w:r>
          </w:p>
        </w:tc>
        <w:tc>
          <w:tcPr>
            <w:tcW w:w="768" w:type="dxa"/>
            <w:tcBorders>
              <w:top w:val="nil"/>
              <w:left w:val="nil"/>
              <w:bottom w:val="nil"/>
              <w:right w:val="nil"/>
            </w:tcBorders>
            <w:shd w:val="clear" w:color="auto" w:fill="auto"/>
            <w:noWrap/>
            <w:vAlign w:val="bottom"/>
            <w:hideMark/>
          </w:tcPr>
          <w:p w14:paraId="7F5BD456" w14:textId="40D1756C"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EDE0A1" w14:textId="149465ED" w:rsidR="0042372D" w:rsidRDefault="0042372D" w:rsidP="0042372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40CF3DDB" w14:textId="36245E3B" w:rsidR="0042372D" w:rsidRDefault="0042372D" w:rsidP="0042372D">
            <w:pPr>
              <w:jc w:val="right"/>
              <w:rPr>
                <w:color w:val="000000"/>
                <w:sz w:val="20"/>
                <w:szCs w:val="20"/>
              </w:rPr>
            </w:pPr>
            <w:r>
              <w:rPr>
                <w:color w:val="000000"/>
                <w:sz w:val="20"/>
                <w:szCs w:val="20"/>
              </w:rPr>
              <w:t>0.216</w:t>
            </w:r>
          </w:p>
        </w:tc>
        <w:tc>
          <w:tcPr>
            <w:tcW w:w="768" w:type="dxa"/>
            <w:tcBorders>
              <w:top w:val="nil"/>
              <w:left w:val="nil"/>
              <w:bottom w:val="nil"/>
              <w:right w:val="nil"/>
            </w:tcBorders>
            <w:shd w:val="clear" w:color="auto" w:fill="auto"/>
            <w:noWrap/>
            <w:vAlign w:val="bottom"/>
            <w:hideMark/>
          </w:tcPr>
          <w:p w14:paraId="6984CB55" w14:textId="260A82EF"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67959D7" w14:textId="5110F909" w:rsidR="0042372D" w:rsidRDefault="0042372D" w:rsidP="0042372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8785E68" w14:textId="016F7AC7" w:rsidR="0042372D" w:rsidRDefault="0042372D" w:rsidP="0042372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5CCA7254" w14:textId="3BD9BEEA"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90E358" w14:textId="187DE2C4" w:rsidR="0042372D" w:rsidRDefault="0042372D" w:rsidP="0042372D">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1A6E9737" w14:textId="021F11A0" w:rsidR="0042372D" w:rsidRDefault="0042372D" w:rsidP="0042372D">
            <w:pPr>
              <w:jc w:val="right"/>
              <w:rPr>
                <w:color w:val="000000"/>
                <w:sz w:val="20"/>
                <w:szCs w:val="20"/>
              </w:rPr>
            </w:pPr>
            <w:r>
              <w:rPr>
                <w:color w:val="000000"/>
                <w:sz w:val="20"/>
                <w:szCs w:val="20"/>
              </w:rPr>
              <w:t>0.332</w:t>
            </w:r>
          </w:p>
        </w:tc>
        <w:tc>
          <w:tcPr>
            <w:tcW w:w="768" w:type="dxa"/>
            <w:tcBorders>
              <w:top w:val="nil"/>
              <w:left w:val="nil"/>
              <w:bottom w:val="nil"/>
              <w:right w:val="nil"/>
            </w:tcBorders>
            <w:shd w:val="clear" w:color="auto" w:fill="auto"/>
            <w:noWrap/>
            <w:vAlign w:val="bottom"/>
            <w:hideMark/>
          </w:tcPr>
          <w:p w14:paraId="1FABD034" w14:textId="33E202EE"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D5F2FB6" w14:textId="41CE4938" w:rsidR="0042372D" w:rsidRDefault="0042372D" w:rsidP="0042372D">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67B62445" w14:textId="060CC887" w:rsidR="0042372D" w:rsidRDefault="0042372D" w:rsidP="0042372D">
            <w:pPr>
              <w:jc w:val="right"/>
              <w:rPr>
                <w:color w:val="000000"/>
                <w:sz w:val="20"/>
                <w:szCs w:val="20"/>
              </w:rPr>
            </w:pPr>
            <w:r>
              <w:rPr>
                <w:color w:val="000000"/>
                <w:sz w:val="20"/>
                <w:szCs w:val="20"/>
              </w:rPr>
              <w:t>0.294</w:t>
            </w:r>
          </w:p>
        </w:tc>
        <w:tc>
          <w:tcPr>
            <w:tcW w:w="768" w:type="dxa"/>
            <w:tcBorders>
              <w:top w:val="nil"/>
              <w:left w:val="nil"/>
              <w:bottom w:val="nil"/>
              <w:right w:val="nil"/>
            </w:tcBorders>
            <w:shd w:val="clear" w:color="auto" w:fill="auto"/>
            <w:noWrap/>
            <w:vAlign w:val="bottom"/>
            <w:hideMark/>
          </w:tcPr>
          <w:p w14:paraId="519A4C06" w14:textId="3E507E31" w:rsidR="0042372D" w:rsidRDefault="0042372D" w:rsidP="0042372D">
            <w:pPr>
              <w:jc w:val="right"/>
              <w:rPr>
                <w:color w:val="000000"/>
                <w:sz w:val="20"/>
                <w:szCs w:val="20"/>
              </w:rPr>
            </w:pPr>
            <w:r>
              <w:rPr>
                <w:color w:val="000000"/>
                <w:sz w:val="20"/>
                <w:szCs w:val="20"/>
              </w:rPr>
              <w:t>0.004</w:t>
            </w:r>
          </w:p>
        </w:tc>
      </w:tr>
      <w:tr w:rsidR="0042372D" w14:paraId="3DC9DE5A" w14:textId="77777777" w:rsidTr="00E61467">
        <w:trPr>
          <w:trHeight w:val="320"/>
        </w:trPr>
        <w:tc>
          <w:tcPr>
            <w:tcW w:w="1176" w:type="dxa"/>
            <w:tcBorders>
              <w:top w:val="nil"/>
              <w:left w:val="nil"/>
              <w:bottom w:val="nil"/>
              <w:right w:val="nil"/>
            </w:tcBorders>
            <w:shd w:val="clear" w:color="auto" w:fill="auto"/>
            <w:noWrap/>
            <w:vAlign w:val="bottom"/>
            <w:hideMark/>
          </w:tcPr>
          <w:p w14:paraId="2A0D3AA5"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88F9765" w14:textId="77777777" w:rsidR="0042372D" w:rsidRDefault="0042372D" w:rsidP="0042372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7AFD429" w14:textId="4B7611B5" w:rsidR="0042372D" w:rsidRDefault="0042372D" w:rsidP="0042372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F6AF3E6" w14:textId="03B0E66F" w:rsidR="0042372D" w:rsidRDefault="0042372D" w:rsidP="0042372D">
            <w:pPr>
              <w:jc w:val="right"/>
              <w:rPr>
                <w:color w:val="000000"/>
                <w:sz w:val="20"/>
                <w:szCs w:val="20"/>
              </w:rPr>
            </w:pPr>
            <w:r>
              <w:rPr>
                <w:color w:val="000000"/>
                <w:sz w:val="20"/>
                <w:szCs w:val="20"/>
              </w:rPr>
              <w:t>0.833</w:t>
            </w:r>
          </w:p>
        </w:tc>
        <w:tc>
          <w:tcPr>
            <w:tcW w:w="768" w:type="dxa"/>
            <w:tcBorders>
              <w:top w:val="nil"/>
              <w:left w:val="nil"/>
              <w:bottom w:val="nil"/>
              <w:right w:val="nil"/>
            </w:tcBorders>
            <w:shd w:val="clear" w:color="auto" w:fill="auto"/>
            <w:noWrap/>
            <w:vAlign w:val="bottom"/>
            <w:hideMark/>
          </w:tcPr>
          <w:p w14:paraId="551B9193" w14:textId="69495F76"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AC9822" w14:textId="3794E93E" w:rsidR="0042372D" w:rsidRDefault="0042372D" w:rsidP="0042372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01552121" w14:textId="2334CB93" w:rsidR="0042372D" w:rsidRDefault="0042372D" w:rsidP="0042372D">
            <w:pPr>
              <w:jc w:val="right"/>
              <w:rPr>
                <w:color w:val="000000"/>
                <w:sz w:val="20"/>
                <w:szCs w:val="20"/>
              </w:rPr>
            </w:pPr>
            <w:r>
              <w:rPr>
                <w:color w:val="000000"/>
                <w:sz w:val="20"/>
                <w:szCs w:val="20"/>
              </w:rPr>
              <w:t>0.377</w:t>
            </w:r>
          </w:p>
        </w:tc>
        <w:tc>
          <w:tcPr>
            <w:tcW w:w="768" w:type="dxa"/>
            <w:tcBorders>
              <w:top w:val="nil"/>
              <w:left w:val="nil"/>
              <w:bottom w:val="nil"/>
              <w:right w:val="nil"/>
            </w:tcBorders>
            <w:shd w:val="clear" w:color="auto" w:fill="auto"/>
            <w:noWrap/>
            <w:vAlign w:val="bottom"/>
            <w:hideMark/>
          </w:tcPr>
          <w:p w14:paraId="39E49B1F" w14:textId="366EE839"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21FCD95" w14:textId="54FBA9F4" w:rsidR="0042372D" w:rsidRDefault="0042372D" w:rsidP="0042372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691E797C" w14:textId="6F25881A" w:rsidR="0042372D" w:rsidRDefault="0042372D" w:rsidP="0042372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51277844" w14:textId="6218A2A4"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23DA9F5" w14:textId="1C8C1ABD" w:rsidR="0042372D" w:rsidRDefault="0042372D" w:rsidP="0042372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2AE135D" w14:textId="518AEBCE" w:rsidR="0042372D" w:rsidRDefault="0042372D" w:rsidP="0042372D">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2B29BE43" w14:textId="63572918"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B74E442" w14:textId="52B8A3BB" w:rsidR="0042372D" w:rsidRDefault="0042372D" w:rsidP="0042372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4E65A299" w14:textId="6A471D48" w:rsidR="0042372D" w:rsidRDefault="0042372D" w:rsidP="0042372D">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2C1BB3B5" w14:textId="0C704AD6" w:rsidR="0042372D" w:rsidRDefault="0042372D" w:rsidP="0042372D">
            <w:pPr>
              <w:jc w:val="right"/>
              <w:rPr>
                <w:color w:val="000000"/>
                <w:sz w:val="20"/>
                <w:szCs w:val="20"/>
              </w:rPr>
            </w:pPr>
            <w:r>
              <w:rPr>
                <w:color w:val="000000"/>
                <w:sz w:val="20"/>
                <w:szCs w:val="20"/>
              </w:rPr>
              <w:t>0.001</w:t>
            </w:r>
          </w:p>
        </w:tc>
      </w:tr>
      <w:tr w:rsidR="0042372D" w14:paraId="61786A22" w14:textId="77777777" w:rsidTr="00E61467">
        <w:trPr>
          <w:trHeight w:val="320"/>
        </w:trPr>
        <w:tc>
          <w:tcPr>
            <w:tcW w:w="1176" w:type="dxa"/>
            <w:tcBorders>
              <w:top w:val="nil"/>
              <w:left w:val="nil"/>
              <w:bottom w:val="nil"/>
              <w:right w:val="nil"/>
            </w:tcBorders>
            <w:shd w:val="clear" w:color="auto" w:fill="auto"/>
            <w:noWrap/>
            <w:vAlign w:val="bottom"/>
            <w:hideMark/>
          </w:tcPr>
          <w:p w14:paraId="0463F3FF"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9943430" w14:textId="77777777" w:rsidR="0042372D" w:rsidRDefault="0042372D" w:rsidP="0042372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5A2D1E8" w14:textId="7F630C86" w:rsidR="0042372D" w:rsidRDefault="0042372D" w:rsidP="0042372D">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225B7B2A" w14:textId="75335DA5" w:rsidR="0042372D" w:rsidRDefault="0042372D" w:rsidP="0042372D">
            <w:pPr>
              <w:jc w:val="right"/>
              <w:rPr>
                <w:color w:val="000000"/>
                <w:sz w:val="20"/>
                <w:szCs w:val="20"/>
              </w:rPr>
            </w:pPr>
            <w:r>
              <w:rPr>
                <w:color w:val="000000"/>
                <w:sz w:val="20"/>
                <w:szCs w:val="20"/>
              </w:rPr>
              <w:t>0.384</w:t>
            </w:r>
          </w:p>
        </w:tc>
        <w:tc>
          <w:tcPr>
            <w:tcW w:w="768" w:type="dxa"/>
            <w:tcBorders>
              <w:top w:val="nil"/>
              <w:left w:val="nil"/>
              <w:bottom w:val="nil"/>
              <w:right w:val="nil"/>
            </w:tcBorders>
            <w:shd w:val="clear" w:color="auto" w:fill="auto"/>
            <w:noWrap/>
            <w:vAlign w:val="bottom"/>
            <w:hideMark/>
          </w:tcPr>
          <w:p w14:paraId="2A90B17B" w14:textId="643DA153" w:rsidR="0042372D" w:rsidRDefault="0042372D" w:rsidP="0042372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BF59082" w14:textId="08A0E2A1" w:rsidR="0042372D" w:rsidRDefault="0042372D" w:rsidP="0042372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6B57004" w14:textId="199FD373" w:rsidR="0042372D" w:rsidRDefault="0042372D" w:rsidP="0042372D">
            <w:pPr>
              <w:jc w:val="right"/>
              <w:rPr>
                <w:color w:val="000000"/>
                <w:sz w:val="20"/>
                <w:szCs w:val="20"/>
              </w:rPr>
            </w:pPr>
            <w:r>
              <w:rPr>
                <w:color w:val="000000"/>
                <w:sz w:val="20"/>
                <w:szCs w:val="20"/>
              </w:rPr>
              <w:t>0.411</w:t>
            </w:r>
          </w:p>
        </w:tc>
        <w:tc>
          <w:tcPr>
            <w:tcW w:w="768" w:type="dxa"/>
            <w:tcBorders>
              <w:top w:val="nil"/>
              <w:left w:val="nil"/>
              <w:bottom w:val="nil"/>
              <w:right w:val="nil"/>
            </w:tcBorders>
            <w:shd w:val="clear" w:color="auto" w:fill="auto"/>
            <w:noWrap/>
            <w:vAlign w:val="bottom"/>
            <w:hideMark/>
          </w:tcPr>
          <w:p w14:paraId="59972A69" w14:textId="71B9A184"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42D9A3" w14:textId="44C17552" w:rsidR="0042372D" w:rsidRDefault="0042372D" w:rsidP="0042372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AA3ED5F" w14:textId="4A5C7389" w:rsidR="0042372D" w:rsidRDefault="0042372D" w:rsidP="0042372D">
            <w:pPr>
              <w:jc w:val="right"/>
              <w:rPr>
                <w:color w:val="000000"/>
                <w:sz w:val="20"/>
                <w:szCs w:val="20"/>
              </w:rPr>
            </w:pPr>
            <w:r>
              <w:rPr>
                <w:color w:val="000000"/>
                <w:sz w:val="20"/>
                <w:szCs w:val="20"/>
              </w:rPr>
              <w:t>0.982</w:t>
            </w:r>
          </w:p>
        </w:tc>
        <w:tc>
          <w:tcPr>
            <w:tcW w:w="768" w:type="dxa"/>
            <w:tcBorders>
              <w:top w:val="nil"/>
              <w:left w:val="nil"/>
              <w:bottom w:val="nil"/>
              <w:right w:val="nil"/>
            </w:tcBorders>
            <w:shd w:val="clear" w:color="auto" w:fill="auto"/>
            <w:noWrap/>
            <w:vAlign w:val="bottom"/>
            <w:hideMark/>
          </w:tcPr>
          <w:p w14:paraId="7DD64753" w14:textId="5E2457F1"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7B380F" w14:textId="6AB43C95" w:rsidR="0042372D" w:rsidRDefault="0042372D" w:rsidP="0042372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3222697F" w14:textId="4CB2A28A" w:rsidR="0042372D" w:rsidRDefault="0042372D" w:rsidP="0042372D">
            <w:pPr>
              <w:jc w:val="right"/>
              <w:rPr>
                <w:color w:val="000000"/>
                <w:sz w:val="20"/>
                <w:szCs w:val="20"/>
              </w:rPr>
            </w:pPr>
            <w:r>
              <w:rPr>
                <w:color w:val="000000"/>
                <w:sz w:val="20"/>
                <w:szCs w:val="20"/>
              </w:rPr>
              <w:t>0.332</w:t>
            </w:r>
          </w:p>
        </w:tc>
        <w:tc>
          <w:tcPr>
            <w:tcW w:w="768" w:type="dxa"/>
            <w:tcBorders>
              <w:top w:val="nil"/>
              <w:left w:val="nil"/>
              <w:bottom w:val="nil"/>
              <w:right w:val="nil"/>
            </w:tcBorders>
            <w:shd w:val="clear" w:color="auto" w:fill="auto"/>
            <w:noWrap/>
            <w:vAlign w:val="bottom"/>
            <w:hideMark/>
          </w:tcPr>
          <w:p w14:paraId="6D360301" w14:textId="694253BF"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C1E1D59" w14:textId="2D8FFF0D" w:rsidR="0042372D" w:rsidRDefault="0042372D" w:rsidP="0042372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3A58AD09" w14:textId="745124B2" w:rsidR="0042372D" w:rsidRDefault="0042372D" w:rsidP="0042372D">
            <w:pPr>
              <w:jc w:val="right"/>
              <w:rPr>
                <w:color w:val="000000"/>
                <w:sz w:val="20"/>
                <w:szCs w:val="20"/>
              </w:rPr>
            </w:pPr>
            <w:r>
              <w:rPr>
                <w:color w:val="000000"/>
                <w:sz w:val="20"/>
                <w:szCs w:val="20"/>
              </w:rPr>
              <w:t>0.294</w:t>
            </w:r>
          </w:p>
        </w:tc>
        <w:tc>
          <w:tcPr>
            <w:tcW w:w="768" w:type="dxa"/>
            <w:tcBorders>
              <w:top w:val="nil"/>
              <w:left w:val="nil"/>
              <w:bottom w:val="nil"/>
              <w:right w:val="nil"/>
            </w:tcBorders>
            <w:shd w:val="clear" w:color="auto" w:fill="auto"/>
            <w:noWrap/>
            <w:vAlign w:val="bottom"/>
            <w:hideMark/>
          </w:tcPr>
          <w:p w14:paraId="76F2F39B" w14:textId="6F5E04F3" w:rsidR="0042372D" w:rsidRDefault="0042372D" w:rsidP="0042372D">
            <w:pPr>
              <w:jc w:val="right"/>
              <w:rPr>
                <w:color w:val="000000"/>
                <w:sz w:val="20"/>
                <w:szCs w:val="20"/>
              </w:rPr>
            </w:pPr>
            <w:r>
              <w:rPr>
                <w:color w:val="000000"/>
                <w:sz w:val="20"/>
                <w:szCs w:val="20"/>
              </w:rPr>
              <w:t>0.004</w:t>
            </w:r>
          </w:p>
        </w:tc>
      </w:tr>
      <w:tr w:rsidR="0042372D" w14:paraId="14D36805" w14:textId="77777777" w:rsidTr="00E61467">
        <w:trPr>
          <w:trHeight w:val="320"/>
        </w:trPr>
        <w:tc>
          <w:tcPr>
            <w:tcW w:w="1176" w:type="dxa"/>
            <w:tcBorders>
              <w:top w:val="nil"/>
              <w:left w:val="nil"/>
              <w:bottom w:val="single" w:sz="4" w:space="0" w:color="auto"/>
              <w:right w:val="nil"/>
            </w:tcBorders>
            <w:shd w:val="clear" w:color="auto" w:fill="auto"/>
            <w:noWrap/>
            <w:vAlign w:val="bottom"/>
            <w:hideMark/>
          </w:tcPr>
          <w:p w14:paraId="638C78AF" w14:textId="77777777" w:rsidR="0042372D" w:rsidRDefault="0042372D" w:rsidP="0042372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EFEC5B7" w14:textId="77777777" w:rsidR="0042372D" w:rsidRDefault="0042372D" w:rsidP="0042372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EF3C5CA" w14:textId="26AB10FC" w:rsidR="0042372D" w:rsidRDefault="0042372D" w:rsidP="0042372D">
            <w:pPr>
              <w:jc w:val="right"/>
              <w:rPr>
                <w:color w:val="000000"/>
                <w:sz w:val="20"/>
                <w:szCs w:val="20"/>
              </w:rPr>
            </w:pPr>
            <w:r>
              <w:rPr>
                <w:color w:val="000000"/>
                <w:sz w:val="20"/>
                <w:szCs w:val="20"/>
              </w:rPr>
              <w:t>0.057</w:t>
            </w:r>
          </w:p>
        </w:tc>
        <w:tc>
          <w:tcPr>
            <w:tcW w:w="768" w:type="dxa"/>
            <w:tcBorders>
              <w:top w:val="nil"/>
              <w:left w:val="nil"/>
              <w:bottom w:val="single" w:sz="4" w:space="0" w:color="auto"/>
              <w:right w:val="nil"/>
            </w:tcBorders>
            <w:shd w:val="clear" w:color="auto" w:fill="auto"/>
            <w:noWrap/>
            <w:vAlign w:val="bottom"/>
            <w:hideMark/>
          </w:tcPr>
          <w:p w14:paraId="58F794B9" w14:textId="117A1F5D" w:rsidR="0042372D" w:rsidRDefault="0042372D" w:rsidP="0042372D">
            <w:pPr>
              <w:jc w:val="right"/>
              <w:rPr>
                <w:color w:val="000000"/>
                <w:sz w:val="20"/>
                <w:szCs w:val="20"/>
              </w:rPr>
            </w:pPr>
            <w:r>
              <w:rPr>
                <w:color w:val="000000"/>
                <w:sz w:val="20"/>
                <w:szCs w:val="20"/>
              </w:rPr>
              <w:t>0.628</w:t>
            </w:r>
          </w:p>
        </w:tc>
        <w:tc>
          <w:tcPr>
            <w:tcW w:w="768" w:type="dxa"/>
            <w:tcBorders>
              <w:top w:val="nil"/>
              <w:left w:val="nil"/>
              <w:bottom w:val="single" w:sz="4" w:space="0" w:color="auto"/>
              <w:right w:val="nil"/>
            </w:tcBorders>
            <w:shd w:val="clear" w:color="auto" w:fill="auto"/>
            <w:noWrap/>
            <w:vAlign w:val="bottom"/>
            <w:hideMark/>
          </w:tcPr>
          <w:p w14:paraId="2D115BD8" w14:textId="6B3CC431"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0DFD30C2" w14:textId="3D0E2C2F" w:rsidR="0042372D" w:rsidRDefault="0042372D" w:rsidP="0042372D">
            <w:pPr>
              <w:jc w:val="right"/>
              <w:rPr>
                <w:color w:val="000000"/>
                <w:sz w:val="20"/>
                <w:szCs w:val="20"/>
              </w:rPr>
            </w:pPr>
            <w:r>
              <w:rPr>
                <w:color w:val="000000"/>
                <w:sz w:val="20"/>
                <w:szCs w:val="20"/>
              </w:rPr>
              <w:t>-0.090</w:t>
            </w:r>
          </w:p>
        </w:tc>
        <w:tc>
          <w:tcPr>
            <w:tcW w:w="768" w:type="dxa"/>
            <w:tcBorders>
              <w:top w:val="nil"/>
              <w:left w:val="nil"/>
              <w:bottom w:val="single" w:sz="4" w:space="0" w:color="auto"/>
              <w:right w:val="nil"/>
            </w:tcBorders>
            <w:shd w:val="clear" w:color="auto" w:fill="auto"/>
            <w:noWrap/>
            <w:vAlign w:val="bottom"/>
            <w:hideMark/>
          </w:tcPr>
          <w:p w14:paraId="45443A4C" w14:textId="1F17EB9B" w:rsidR="0042372D" w:rsidRDefault="0042372D" w:rsidP="0042372D">
            <w:pPr>
              <w:jc w:val="right"/>
              <w:rPr>
                <w:color w:val="000000"/>
                <w:sz w:val="20"/>
                <w:szCs w:val="20"/>
              </w:rPr>
            </w:pPr>
            <w:r>
              <w:rPr>
                <w:color w:val="000000"/>
                <w:sz w:val="20"/>
                <w:szCs w:val="20"/>
              </w:rPr>
              <w:t>0.208</w:t>
            </w:r>
          </w:p>
        </w:tc>
        <w:tc>
          <w:tcPr>
            <w:tcW w:w="768" w:type="dxa"/>
            <w:tcBorders>
              <w:top w:val="nil"/>
              <w:left w:val="nil"/>
              <w:bottom w:val="single" w:sz="4" w:space="0" w:color="auto"/>
              <w:right w:val="nil"/>
            </w:tcBorders>
            <w:shd w:val="clear" w:color="auto" w:fill="auto"/>
            <w:noWrap/>
            <w:vAlign w:val="bottom"/>
            <w:hideMark/>
          </w:tcPr>
          <w:p w14:paraId="657D5BCF" w14:textId="35F9D22E" w:rsidR="0042372D" w:rsidRDefault="0042372D" w:rsidP="0042372D">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15380B1D" w14:textId="5E83DCF6"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220F1521" w14:textId="14528B1D" w:rsidR="0042372D" w:rsidRDefault="0042372D" w:rsidP="0042372D">
            <w:pPr>
              <w:jc w:val="right"/>
              <w:rPr>
                <w:color w:val="000000"/>
                <w:sz w:val="20"/>
                <w:szCs w:val="20"/>
              </w:rPr>
            </w:pPr>
            <w:r>
              <w:rPr>
                <w:color w:val="000000"/>
                <w:sz w:val="20"/>
                <w:szCs w:val="20"/>
              </w:rPr>
              <w:t>0.982</w:t>
            </w:r>
          </w:p>
        </w:tc>
        <w:tc>
          <w:tcPr>
            <w:tcW w:w="768" w:type="dxa"/>
            <w:tcBorders>
              <w:top w:val="nil"/>
              <w:left w:val="nil"/>
              <w:bottom w:val="single" w:sz="4" w:space="0" w:color="auto"/>
              <w:right w:val="nil"/>
            </w:tcBorders>
            <w:shd w:val="clear" w:color="auto" w:fill="auto"/>
            <w:noWrap/>
            <w:vAlign w:val="bottom"/>
            <w:hideMark/>
          </w:tcPr>
          <w:p w14:paraId="37AA524E" w14:textId="130A3D0A"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C244079" w14:textId="122E9535" w:rsidR="0042372D" w:rsidRDefault="0042372D" w:rsidP="0042372D">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35CA1608" w14:textId="56C571EA" w:rsidR="0042372D" w:rsidRDefault="0042372D" w:rsidP="0042372D">
            <w:pPr>
              <w:jc w:val="right"/>
              <w:rPr>
                <w:color w:val="000000"/>
                <w:sz w:val="20"/>
                <w:szCs w:val="20"/>
              </w:rPr>
            </w:pPr>
            <w:r>
              <w:rPr>
                <w:color w:val="000000"/>
                <w:sz w:val="20"/>
                <w:szCs w:val="20"/>
              </w:rPr>
              <w:t>0.641</w:t>
            </w:r>
          </w:p>
        </w:tc>
        <w:tc>
          <w:tcPr>
            <w:tcW w:w="768" w:type="dxa"/>
            <w:tcBorders>
              <w:top w:val="nil"/>
              <w:left w:val="nil"/>
              <w:bottom w:val="single" w:sz="4" w:space="0" w:color="auto"/>
              <w:right w:val="nil"/>
            </w:tcBorders>
            <w:shd w:val="clear" w:color="auto" w:fill="auto"/>
            <w:noWrap/>
            <w:vAlign w:val="bottom"/>
            <w:hideMark/>
          </w:tcPr>
          <w:p w14:paraId="24BC13F7" w14:textId="50EBA1A7"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E56A326" w14:textId="366585DD" w:rsidR="0042372D" w:rsidRDefault="0042372D" w:rsidP="0042372D">
            <w:pPr>
              <w:jc w:val="right"/>
              <w:rPr>
                <w:color w:val="000000"/>
                <w:sz w:val="20"/>
                <w:szCs w:val="20"/>
              </w:rPr>
            </w:pPr>
            <w:r>
              <w:rPr>
                <w:color w:val="000000"/>
                <w:sz w:val="20"/>
                <w:szCs w:val="20"/>
              </w:rPr>
              <w:t>0.015</w:t>
            </w:r>
          </w:p>
        </w:tc>
        <w:tc>
          <w:tcPr>
            <w:tcW w:w="768" w:type="dxa"/>
            <w:tcBorders>
              <w:top w:val="nil"/>
              <w:left w:val="nil"/>
              <w:bottom w:val="single" w:sz="4" w:space="0" w:color="auto"/>
              <w:right w:val="nil"/>
            </w:tcBorders>
            <w:shd w:val="clear" w:color="auto" w:fill="auto"/>
            <w:noWrap/>
            <w:vAlign w:val="bottom"/>
            <w:hideMark/>
          </w:tcPr>
          <w:p w14:paraId="3CBDE064" w14:textId="2F983806" w:rsidR="0042372D" w:rsidRDefault="0042372D" w:rsidP="0042372D">
            <w:pPr>
              <w:jc w:val="right"/>
              <w:rPr>
                <w:color w:val="000000"/>
                <w:sz w:val="20"/>
                <w:szCs w:val="20"/>
              </w:rPr>
            </w:pPr>
            <w:r>
              <w:rPr>
                <w:color w:val="000000"/>
                <w:sz w:val="20"/>
                <w:szCs w:val="20"/>
              </w:rPr>
              <w:t>0.694</w:t>
            </w:r>
          </w:p>
        </w:tc>
        <w:tc>
          <w:tcPr>
            <w:tcW w:w="768" w:type="dxa"/>
            <w:tcBorders>
              <w:top w:val="nil"/>
              <w:left w:val="nil"/>
              <w:bottom w:val="single" w:sz="4" w:space="0" w:color="auto"/>
              <w:right w:val="nil"/>
            </w:tcBorders>
            <w:shd w:val="clear" w:color="auto" w:fill="auto"/>
            <w:noWrap/>
            <w:vAlign w:val="bottom"/>
            <w:hideMark/>
          </w:tcPr>
          <w:p w14:paraId="5B563245" w14:textId="01A1C6E8" w:rsidR="0042372D" w:rsidRDefault="0042372D" w:rsidP="0042372D">
            <w:pPr>
              <w:jc w:val="right"/>
              <w:rPr>
                <w:color w:val="000000"/>
                <w:sz w:val="20"/>
                <w:szCs w:val="20"/>
              </w:rPr>
            </w:pPr>
            <w:r>
              <w:rPr>
                <w:color w:val="000000"/>
                <w:sz w:val="20"/>
                <w:szCs w:val="20"/>
              </w:rPr>
              <w:t>0.000</w:t>
            </w:r>
          </w:p>
        </w:tc>
      </w:tr>
      <w:tr w:rsidR="0042372D" w14:paraId="1EE302A1" w14:textId="77777777" w:rsidTr="00E61467">
        <w:trPr>
          <w:trHeight w:val="320"/>
        </w:trPr>
        <w:tc>
          <w:tcPr>
            <w:tcW w:w="1176" w:type="dxa"/>
            <w:tcBorders>
              <w:top w:val="nil"/>
              <w:left w:val="nil"/>
              <w:bottom w:val="nil"/>
              <w:right w:val="nil"/>
            </w:tcBorders>
            <w:shd w:val="clear" w:color="auto" w:fill="auto"/>
            <w:noWrap/>
            <w:vAlign w:val="bottom"/>
            <w:hideMark/>
          </w:tcPr>
          <w:p w14:paraId="0D4A5153" w14:textId="77777777" w:rsidR="0042372D" w:rsidRDefault="0042372D" w:rsidP="0042372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771E97E5" w14:textId="77777777" w:rsidR="0042372D" w:rsidRDefault="0042372D" w:rsidP="0042372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BB6159D" w14:textId="775E9F7E" w:rsidR="0042372D" w:rsidRDefault="0042372D" w:rsidP="0042372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436817C1" w14:textId="662B8487" w:rsidR="0042372D" w:rsidRDefault="0042372D" w:rsidP="0042372D">
            <w:pPr>
              <w:jc w:val="right"/>
              <w:rPr>
                <w:color w:val="000000"/>
                <w:sz w:val="20"/>
                <w:szCs w:val="20"/>
              </w:rPr>
            </w:pPr>
            <w:r>
              <w:rPr>
                <w:color w:val="000000"/>
                <w:sz w:val="20"/>
                <w:szCs w:val="20"/>
              </w:rPr>
              <w:t>0.531</w:t>
            </w:r>
          </w:p>
        </w:tc>
        <w:tc>
          <w:tcPr>
            <w:tcW w:w="768" w:type="dxa"/>
            <w:tcBorders>
              <w:top w:val="nil"/>
              <w:left w:val="nil"/>
              <w:bottom w:val="nil"/>
              <w:right w:val="nil"/>
            </w:tcBorders>
            <w:shd w:val="clear" w:color="auto" w:fill="auto"/>
            <w:noWrap/>
            <w:vAlign w:val="bottom"/>
            <w:hideMark/>
          </w:tcPr>
          <w:p w14:paraId="0B641A5D" w14:textId="38FC7BE5"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540DB2" w14:textId="671105E5" w:rsidR="0042372D" w:rsidRDefault="0042372D" w:rsidP="0042372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259E2A13" w14:textId="346127EA" w:rsidR="0042372D" w:rsidRDefault="0042372D" w:rsidP="0042372D">
            <w:pPr>
              <w:jc w:val="right"/>
              <w:rPr>
                <w:color w:val="000000"/>
                <w:sz w:val="20"/>
                <w:szCs w:val="20"/>
              </w:rPr>
            </w:pPr>
            <w:r>
              <w:rPr>
                <w:color w:val="000000"/>
                <w:sz w:val="20"/>
                <w:szCs w:val="20"/>
              </w:rPr>
              <w:t>0.347</w:t>
            </w:r>
          </w:p>
        </w:tc>
        <w:tc>
          <w:tcPr>
            <w:tcW w:w="768" w:type="dxa"/>
            <w:tcBorders>
              <w:top w:val="nil"/>
              <w:left w:val="nil"/>
              <w:bottom w:val="nil"/>
              <w:right w:val="nil"/>
            </w:tcBorders>
            <w:shd w:val="clear" w:color="auto" w:fill="auto"/>
            <w:noWrap/>
            <w:vAlign w:val="bottom"/>
            <w:hideMark/>
          </w:tcPr>
          <w:p w14:paraId="3FC0EE86" w14:textId="0A306558"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78B596D" w14:textId="638DAB24" w:rsidR="0042372D" w:rsidRDefault="0042372D" w:rsidP="0042372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67F2A720" w14:textId="7F1F73C7" w:rsidR="0042372D" w:rsidRDefault="0042372D" w:rsidP="0042372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6302727B" w14:textId="2897F8B7"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FEEBC30" w14:textId="08B6ED6F" w:rsidR="0042372D" w:rsidRDefault="0042372D" w:rsidP="0042372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34B65FAB" w14:textId="09FB9E44" w:rsidR="0042372D" w:rsidRDefault="0042372D" w:rsidP="0042372D">
            <w:pPr>
              <w:jc w:val="right"/>
              <w:rPr>
                <w:color w:val="000000"/>
                <w:sz w:val="20"/>
                <w:szCs w:val="20"/>
              </w:rPr>
            </w:pPr>
            <w:r>
              <w:rPr>
                <w:color w:val="000000"/>
                <w:sz w:val="20"/>
                <w:szCs w:val="20"/>
              </w:rPr>
              <w:t>0.459</w:t>
            </w:r>
          </w:p>
        </w:tc>
        <w:tc>
          <w:tcPr>
            <w:tcW w:w="768" w:type="dxa"/>
            <w:tcBorders>
              <w:top w:val="nil"/>
              <w:left w:val="nil"/>
              <w:bottom w:val="nil"/>
              <w:right w:val="nil"/>
            </w:tcBorders>
            <w:shd w:val="clear" w:color="auto" w:fill="auto"/>
            <w:noWrap/>
            <w:vAlign w:val="bottom"/>
            <w:hideMark/>
          </w:tcPr>
          <w:p w14:paraId="5381020E" w14:textId="538BA2BA"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38B23F" w14:textId="14F28E48" w:rsidR="0042372D" w:rsidRDefault="0042372D" w:rsidP="0042372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51AE896" w14:textId="66608113" w:rsidR="0042372D" w:rsidRDefault="0042372D" w:rsidP="0042372D">
            <w:pPr>
              <w:jc w:val="right"/>
              <w:rPr>
                <w:color w:val="000000"/>
                <w:sz w:val="20"/>
                <w:szCs w:val="20"/>
              </w:rPr>
            </w:pPr>
            <w:r>
              <w:rPr>
                <w:color w:val="000000"/>
                <w:sz w:val="20"/>
                <w:szCs w:val="20"/>
              </w:rPr>
              <w:t>0.762</w:t>
            </w:r>
          </w:p>
        </w:tc>
        <w:tc>
          <w:tcPr>
            <w:tcW w:w="768" w:type="dxa"/>
            <w:tcBorders>
              <w:top w:val="nil"/>
              <w:left w:val="nil"/>
              <w:bottom w:val="nil"/>
              <w:right w:val="nil"/>
            </w:tcBorders>
            <w:shd w:val="clear" w:color="auto" w:fill="auto"/>
            <w:noWrap/>
            <w:vAlign w:val="bottom"/>
            <w:hideMark/>
          </w:tcPr>
          <w:p w14:paraId="2459AA32" w14:textId="25E36B55" w:rsidR="0042372D" w:rsidRDefault="0042372D" w:rsidP="0042372D">
            <w:pPr>
              <w:jc w:val="right"/>
              <w:rPr>
                <w:color w:val="000000"/>
                <w:sz w:val="20"/>
                <w:szCs w:val="20"/>
              </w:rPr>
            </w:pPr>
            <w:r>
              <w:rPr>
                <w:color w:val="000000"/>
                <w:sz w:val="20"/>
                <w:szCs w:val="20"/>
              </w:rPr>
              <w:t>0.000</w:t>
            </w:r>
          </w:p>
        </w:tc>
      </w:tr>
      <w:tr w:rsidR="0042372D" w14:paraId="4F21DA2A" w14:textId="77777777" w:rsidTr="00E61467">
        <w:trPr>
          <w:trHeight w:val="320"/>
        </w:trPr>
        <w:tc>
          <w:tcPr>
            <w:tcW w:w="1176" w:type="dxa"/>
            <w:tcBorders>
              <w:top w:val="nil"/>
              <w:left w:val="nil"/>
              <w:bottom w:val="nil"/>
              <w:right w:val="nil"/>
            </w:tcBorders>
            <w:shd w:val="clear" w:color="auto" w:fill="auto"/>
            <w:noWrap/>
            <w:vAlign w:val="bottom"/>
            <w:hideMark/>
          </w:tcPr>
          <w:p w14:paraId="05E89263"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44A6C6" w14:textId="77777777" w:rsidR="0042372D" w:rsidRDefault="0042372D" w:rsidP="0042372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2BEC65B" w14:textId="38BEF71B" w:rsidR="0042372D" w:rsidRDefault="0042372D" w:rsidP="0042372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7BCC7562" w14:textId="4341AC9E" w:rsidR="0042372D" w:rsidRDefault="0042372D" w:rsidP="0042372D">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6DC0391E" w14:textId="029D8514"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25C324E" w14:textId="5586BFF5" w:rsidR="0042372D" w:rsidRDefault="0042372D" w:rsidP="0042372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6029E4C" w14:textId="7E8AC707" w:rsidR="0042372D" w:rsidRDefault="0042372D" w:rsidP="0042372D">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4D7F99C9" w14:textId="4E154A53"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3B8C23" w14:textId="6EA5F70F" w:rsidR="0042372D" w:rsidRDefault="0042372D" w:rsidP="0042372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0E7BE592" w14:textId="6001F509" w:rsidR="0042372D" w:rsidRDefault="0042372D" w:rsidP="0042372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4222D720" w14:textId="2D3539CE"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DA3AC3C" w14:textId="46C1A855" w:rsidR="0042372D" w:rsidRDefault="0042372D" w:rsidP="0042372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1B1349D3" w14:textId="1E87CD9F" w:rsidR="0042372D" w:rsidRDefault="0042372D" w:rsidP="0042372D">
            <w:pPr>
              <w:jc w:val="right"/>
              <w:rPr>
                <w:color w:val="000000"/>
                <w:sz w:val="20"/>
                <w:szCs w:val="20"/>
              </w:rPr>
            </w:pPr>
            <w:r>
              <w:rPr>
                <w:color w:val="000000"/>
                <w:sz w:val="20"/>
                <w:szCs w:val="20"/>
              </w:rPr>
              <w:t>0.459</w:t>
            </w:r>
          </w:p>
        </w:tc>
        <w:tc>
          <w:tcPr>
            <w:tcW w:w="768" w:type="dxa"/>
            <w:tcBorders>
              <w:top w:val="nil"/>
              <w:left w:val="nil"/>
              <w:bottom w:val="nil"/>
              <w:right w:val="nil"/>
            </w:tcBorders>
            <w:shd w:val="clear" w:color="auto" w:fill="auto"/>
            <w:noWrap/>
            <w:vAlign w:val="bottom"/>
            <w:hideMark/>
          </w:tcPr>
          <w:p w14:paraId="4E03D6D4" w14:textId="149F9055"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4555F2E" w14:textId="279EBF98" w:rsidR="0042372D" w:rsidRDefault="0042372D" w:rsidP="0042372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A312B38" w14:textId="109EC459" w:rsidR="0042372D" w:rsidRDefault="0042372D" w:rsidP="0042372D">
            <w:pPr>
              <w:jc w:val="right"/>
              <w:rPr>
                <w:color w:val="000000"/>
                <w:sz w:val="20"/>
                <w:szCs w:val="20"/>
              </w:rPr>
            </w:pPr>
            <w:r>
              <w:rPr>
                <w:color w:val="000000"/>
                <w:sz w:val="20"/>
                <w:szCs w:val="20"/>
              </w:rPr>
              <w:t>0.762</w:t>
            </w:r>
          </w:p>
        </w:tc>
        <w:tc>
          <w:tcPr>
            <w:tcW w:w="768" w:type="dxa"/>
            <w:tcBorders>
              <w:top w:val="nil"/>
              <w:left w:val="nil"/>
              <w:bottom w:val="nil"/>
              <w:right w:val="nil"/>
            </w:tcBorders>
            <w:shd w:val="clear" w:color="auto" w:fill="auto"/>
            <w:noWrap/>
            <w:vAlign w:val="bottom"/>
            <w:hideMark/>
          </w:tcPr>
          <w:p w14:paraId="2B53F66F" w14:textId="524CE91C" w:rsidR="0042372D" w:rsidRDefault="0042372D" w:rsidP="0042372D">
            <w:pPr>
              <w:jc w:val="right"/>
              <w:rPr>
                <w:color w:val="000000"/>
                <w:sz w:val="20"/>
                <w:szCs w:val="20"/>
              </w:rPr>
            </w:pPr>
            <w:r>
              <w:rPr>
                <w:color w:val="000000"/>
                <w:sz w:val="20"/>
                <w:szCs w:val="20"/>
              </w:rPr>
              <w:t>0.000</w:t>
            </w:r>
          </w:p>
        </w:tc>
      </w:tr>
      <w:tr w:rsidR="0042372D" w14:paraId="40BC7EDF" w14:textId="77777777" w:rsidTr="00E61467">
        <w:trPr>
          <w:trHeight w:val="320"/>
        </w:trPr>
        <w:tc>
          <w:tcPr>
            <w:tcW w:w="1176" w:type="dxa"/>
            <w:tcBorders>
              <w:top w:val="nil"/>
              <w:left w:val="nil"/>
              <w:bottom w:val="nil"/>
              <w:right w:val="nil"/>
            </w:tcBorders>
            <w:shd w:val="clear" w:color="auto" w:fill="auto"/>
            <w:noWrap/>
            <w:vAlign w:val="bottom"/>
            <w:hideMark/>
          </w:tcPr>
          <w:p w14:paraId="60BB4EEE"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CFD9DB" w14:textId="77777777" w:rsidR="0042372D" w:rsidRDefault="0042372D" w:rsidP="0042372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CE54E6C" w14:textId="35E74C55" w:rsidR="0042372D" w:rsidRDefault="0042372D" w:rsidP="0042372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3FE50FD" w14:textId="066C312E" w:rsidR="0042372D" w:rsidRDefault="0042372D" w:rsidP="0042372D">
            <w:pPr>
              <w:jc w:val="right"/>
              <w:rPr>
                <w:color w:val="000000"/>
                <w:sz w:val="20"/>
                <w:szCs w:val="20"/>
              </w:rPr>
            </w:pPr>
            <w:r>
              <w:rPr>
                <w:color w:val="000000"/>
                <w:sz w:val="20"/>
                <w:szCs w:val="20"/>
              </w:rPr>
              <w:t>0.712</w:t>
            </w:r>
          </w:p>
        </w:tc>
        <w:tc>
          <w:tcPr>
            <w:tcW w:w="768" w:type="dxa"/>
            <w:tcBorders>
              <w:top w:val="nil"/>
              <w:left w:val="nil"/>
              <w:bottom w:val="nil"/>
              <w:right w:val="nil"/>
            </w:tcBorders>
            <w:shd w:val="clear" w:color="auto" w:fill="auto"/>
            <w:noWrap/>
            <w:vAlign w:val="bottom"/>
            <w:hideMark/>
          </w:tcPr>
          <w:p w14:paraId="6E75C5E3" w14:textId="529A02DA"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357659" w14:textId="4A13FE6C" w:rsidR="0042372D" w:rsidRDefault="0042372D" w:rsidP="0042372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190A08EE" w14:textId="32BFD6DA" w:rsidR="0042372D" w:rsidRDefault="0042372D" w:rsidP="0042372D">
            <w:pPr>
              <w:jc w:val="right"/>
              <w:rPr>
                <w:color w:val="000000"/>
                <w:sz w:val="20"/>
                <w:szCs w:val="20"/>
              </w:rPr>
            </w:pPr>
            <w:r>
              <w:rPr>
                <w:color w:val="000000"/>
                <w:sz w:val="20"/>
                <w:szCs w:val="20"/>
              </w:rPr>
              <w:t>0.628</w:t>
            </w:r>
          </w:p>
        </w:tc>
        <w:tc>
          <w:tcPr>
            <w:tcW w:w="768" w:type="dxa"/>
            <w:tcBorders>
              <w:top w:val="nil"/>
              <w:left w:val="nil"/>
              <w:bottom w:val="nil"/>
              <w:right w:val="nil"/>
            </w:tcBorders>
            <w:shd w:val="clear" w:color="auto" w:fill="auto"/>
            <w:noWrap/>
            <w:vAlign w:val="bottom"/>
            <w:hideMark/>
          </w:tcPr>
          <w:p w14:paraId="310548B6" w14:textId="5C88A941"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C33513" w14:textId="73835522" w:rsidR="0042372D" w:rsidRDefault="0042372D" w:rsidP="0042372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5D7F445" w14:textId="307D43C8" w:rsidR="0042372D" w:rsidRDefault="0042372D" w:rsidP="0042372D">
            <w:pPr>
              <w:jc w:val="right"/>
              <w:rPr>
                <w:color w:val="000000"/>
                <w:sz w:val="20"/>
                <w:szCs w:val="20"/>
              </w:rPr>
            </w:pPr>
            <w:r>
              <w:rPr>
                <w:color w:val="000000"/>
                <w:sz w:val="20"/>
                <w:szCs w:val="20"/>
              </w:rPr>
              <w:t>0.838</w:t>
            </w:r>
          </w:p>
        </w:tc>
        <w:tc>
          <w:tcPr>
            <w:tcW w:w="768" w:type="dxa"/>
            <w:tcBorders>
              <w:top w:val="nil"/>
              <w:left w:val="nil"/>
              <w:bottom w:val="nil"/>
              <w:right w:val="nil"/>
            </w:tcBorders>
            <w:shd w:val="clear" w:color="auto" w:fill="auto"/>
            <w:noWrap/>
            <w:vAlign w:val="bottom"/>
            <w:hideMark/>
          </w:tcPr>
          <w:p w14:paraId="48C2B0CA" w14:textId="5F4317F4"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051849" w14:textId="5028DDD4" w:rsidR="0042372D" w:rsidRDefault="0042372D" w:rsidP="0042372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E819FBC" w14:textId="16BF7DA0" w:rsidR="0042372D" w:rsidRDefault="0042372D" w:rsidP="0042372D">
            <w:pPr>
              <w:jc w:val="right"/>
              <w:rPr>
                <w:color w:val="000000"/>
                <w:sz w:val="20"/>
                <w:szCs w:val="20"/>
              </w:rPr>
            </w:pPr>
            <w:r>
              <w:rPr>
                <w:color w:val="000000"/>
                <w:sz w:val="20"/>
                <w:szCs w:val="20"/>
              </w:rPr>
              <w:t>0.584</w:t>
            </w:r>
          </w:p>
        </w:tc>
        <w:tc>
          <w:tcPr>
            <w:tcW w:w="768" w:type="dxa"/>
            <w:tcBorders>
              <w:top w:val="nil"/>
              <w:left w:val="nil"/>
              <w:bottom w:val="nil"/>
              <w:right w:val="nil"/>
            </w:tcBorders>
            <w:shd w:val="clear" w:color="auto" w:fill="auto"/>
            <w:noWrap/>
            <w:vAlign w:val="bottom"/>
            <w:hideMark/>
          </w:tcPr>
          <w:p w14:paraId="1DD9A27A" w14:textId="667692BF"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3AD81E" w14:textId="0F3254E3" w:rsidR="0042372D" w:rsidRDefault="0042372D" w:rsidP="0042372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981E0C7" w14:textId="2F034565" w:rsidR="0042372D" w:rsidRDefault="0042372D" w:rsidP="0042372D">
            <w:pPr>
              <w:jc w:val="right"/>
              <w:rPr>
                <w:color w:val="000000"/>
                <w:sz w:val="20"/>
                <w:szCs w:val="20"/>
              </w:rPr>
            </w:pPr>
            <w:r>
              <w:rPr>
                <w:color w:val="000000"/>
                <w:sz w:val="20"/>
                <w:szCs w:val="20"/>
              </w:rPr>
              <w:t>0.762</w:t>
            </w:r>
          </w:p>
        </w:tc>
        <w:tc>
          <w:tcPr>
            <w:tcW w:w="768" w:type="dxa"/>
            <w:tcBorders>
              <w:top w:val="nil"/>
              <w:left w:val="nil"/>
              <w:bottom w:val="nil"/>
              <w:right w:val="nil"/>
            </w:tcBorders>
            <w:shd w:val="clear" w:color="auto" w:fill="auto"/>
            <w:noWrap/>
            <w:vAlign w:val="bottom"/>
            <w:hideMark/>
          </w:tcPr>
          <w:p w14:paraId="5698D8A8" w14:textId="668CD63C" w:rsidR="0042372D" w:rsidRDefault="0042372D" w:rsidP="0042372D">
            <w:pPr>
              <w:jc w:val="right"/>
              <w:rPr>
                <w:color w:val="000000"/>
                <w:sz w:val="20"/>
                <w:szCs w:val="20"/>
              </w:rPr>
            </w:pPr>
            <w:r>
              <w:rPr>
                <w:color w:val="000000"/>
                <w:sz w:val="20"/>
                <w:szCs w:val="20"/>
              </w:rPr>
              <w:t>0.001</w:t>
            </w:r>
          </w:p>
        </w:tc>
      </w:tr>
      <w:tr w:rsidR="0042372D" w14:paraId="02B157DF" w14:textId="77777777" w:rsidTr="00E61467">
        <w:trPr>
          <w:trHeight w:val="320"/>
        </w:trPr>
        <w:tc>
          <w:tcPr>
            <w:tcW w:w="1176" w:type="dxa"/>
            <w:tcBorders>
              <w:top w:val="nil"/>
              <w:left w:val="nil"/>
              <w:bottom w:val="nil"/>
              <w:right w:val="nil"/>
            </w:tcBorders>
            <w:shd w:val="clear" w:color="auto" w:fill="auto"/>
            <w:noWrap/>
            <w:vAlign w:val="bottom"/>
            <w:hideMark/>
          </w:tcPr>
          <w:p w14:paraId="1A5C02B0"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6DFCCF6" w14:textId="77777777" w:rsidR="0042372D" w:rsidRDefault="0042372D" w:rsidP="0042372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2C6EDF4" w14:textId="5E5B9D27" w:rsidR="0042372D" w:rsidRDefault="0042372D" w:rsidP="0042372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4A39BC3" w14:textId="1651286A" w:rsidR="0042372D" w:rsidRDefault="0042372D" w:rsidP="0042372D">
            <w:pPr>
              <w:jc w:val="right"/>
              <w:rPr>
                <w:color w:val="000000"/>
                <w:sz w:val="20"/>
                <w:szCs w:val="20"/>
              </w:rPr>
            </w:pPr>
            <w:r>
              <w:rPr>
                <w:color w:val="000000"/>
                <w:sz w:val="20"/>
                <w:szCs w:val="20"/>
              </w:rPr>
              <w:t>0.621</w:t>
            </w:r>
          </w:p>
        </w:tc>
        <w:tc>
          <w:tcPr>
            <w:tcW w:w="768" w:type="dxa"/>
            <w:tcBorders>
              <w:top w:val="nil"/>
              <w:left w:val="nil"/>
              <w:bottom w:val="nil"/>
              <w:right w:val="nil"/>
            </w:tcBorders>
            <w:shd w:val="clear" w:color="auto" w:fill="auto"/>
            <w:noWrap/>
            <w:vAlign w:val="bottom"/>
            <w:hideMark/>
          </w:tcPr>
          <w:p w14:paraId="139B2D75" w14:textId="7C7A0CA1"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2B9C06" w14:textId="41814D2C" w:rsidR="0042372D" w:rsidRDefault="0042372D" w:rsidP="0042372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B0D66B2" w14:textId="2D499C57" w:rsidR="0042372D" w:rsidRDefault="0042372D" w:rsidP="0042372D">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4C29B6AC" w14:textId="149C6C32"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751AFA2" w14:textId="2F7BFC2F" w:rsidR="0042372D" w:rsidRDefault="0042372D" w:rsidP="0042372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13CBE12D" w14:textId="3673830C" w:rsidR="0042372D" w:rsidRDefault="0042372D" w:rsidP="0042372D">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0F8A30A0" w14:textId="62651456"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782338" w14:textId="126496A2" w:rsidR="0042372D" w:rsidRDefault="0042372D" w:rsidP="0042372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2EC04EA" w14:textId="11E9055D" w:rsidR="0042372D" w:rsidRDefault="0042372D" w:rsidP="0042372D">
            <w:pPr>
              <w:jc w:val="right"/>
              <w:rPr>
                <w:color w:val="000000"/>
                <w:sz w:val="20"/>
                <w:szCs w:val="20"/>
              </w:rPr>
            </w:pPr>
            <w:r>
              <w:rPr>
                <w:color w:val="000000"/>
                <w:sz w:val="20"/>
                <w:szCs w:val="20"/>
              </w:rPr>
              <w:t>0.459</w:t>
            </w:r>
          </w:p>
        </w:tc>
        <w:tc>
          <w:tcPr>
            <w:tcW w:w="768" w:type="dxa"/>
            <w:tcBorders>
              <w:top w:val="nil"/>
              <w:left w:val="nil"/>
              <w:bottom w:val="nil"/>
              <w:right w:val="nil"/>
            </w:tcBorders>
            <w:shd w:val="clear" w:color="auto" w:fill="auto"/>
            <w:noWrap/>
            <w:vAlign w:val="bottom"/>
            <w:hideMark/>
          </w:tcPr>
          <w:p w14:paraId="63858296" w14:textId="3D3FAD21"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EF9ED2" w14:textId="433D9683" w:rsidR="0042372D" w:rsidRDefault="0042372D" w:rsidP="0042372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AAC8819" w14:textId="7697F35F" w:rsidR="0042372D" w:rsidRDefault="0042372D" w:rsidP="0042372D">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77EE0E8E" w14:textId="13B602C1" w:rsidR="0042372D" w:rsidRDefault="0042372D" w:rsidP="0042372D">
            <w:pPr>
              <w:jc w:val="right"/>
              <w:rPr>
                <w:color w:val="000000"/>
                <w:sz w:val="20"/>
                <w:szCs w:val="20"/>
              </w:rPr>
            </w:pPr>
            <w:r>
              <w:rPr>
                <w:color w:val="000000"/>
                <w:sz w:val="20"/>
                <w:szCs w:val="20"/>
              </w:rPr>
              <w:t>0.002</w:t>
            </w:r>
          </w:p>
        </w:tc>
      </w:tr>
      <w:tr w:rsidR="0042372D" w14:paraId="537EEACC" w14:textId="77777777" w:rsidTr="00E61467">
        <w:trPr>
          <w:trHeight w:val="320"/>
        </w:trPr>
        <w:tc>
          <w:tcPr>
            <w:tcW w:w="1176" w:type="dxa"/>
            <w:tcBorders>
              <w:top w:val="nil"/>
              <w:left w:val="nil"/>
              <w:bottom w:val="nil"/>
              <w:right w:val="nil"/>
            </w:tcBorders>
            <w:shd w:val="clear" w:color="auto" w:fill="auto"/>
            <w:noWrap/>
            <w:vAlign w:val="bottom"/>
            <w:hideMark/>
          </w:tcPr>
          <w:p w14:paraId="6884CA45"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50A51D" w14:textId="77777777" w:rsidR="0042372D" w:rsidRDefault="0042372D" w:rsidP="0042372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5DB3788" w14:textId="7E23E8B0" w:rsidR="0042372D" w:rsidRDefault="0042372D" w:rsidP="0042372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35EE28C2" w14:textId="74D721B9" w:rsidR="0042372D" w:rsidRDefault="0042372D" w:rsidP="0042372D">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0C9E77D7" w14:textId="30876FCA" w:rsidR="0042372D" w:rsidRDefault="0042372D" w:rsidP="0042372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6683305" w14:textId="4943BF23" w:rsidR="0042372D" w:rsidRDefault="0042372D" w:rsidP="0042372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67A1E55" w14:textId="2B508A12" w:rsidR="0042372D" w:rsidRDefault="0042372D" w:rsidP="0042372D">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25EA82B7" w14:textId="29BC3289"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A5662C" w14:textId="6DDEF6C6" w:rsidR="0042372D" w:rsidRDefault="0042372D" w:rsidP="0042372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44D6898" w14:textId="35E7AD35" w:rsidR="0042372D" w:rsidRDefault="0042372D" w:rsidP="0042372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38B27B6A" w14:textId="767A343E"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357670" w14:textId="4C663DCD" w:rsidR="0042372D" w:rsidRDefault="0042372D" w:rsidP="0042372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480D73DD" w14:textId="6CBF5408" w:rsidR="0042372D" w:rsidRDefault="0042372D" w:rsidP="0042372D">
            <w:pPr>
              <w:jc w:val="right"/>
              <w:rPr>
                <w:color w:val="000000"/>
                <w:sz w:val="20"/>
                <w:szCs w:val="20"/>
              </w:rPr>
            </w:pPr>
            <w:r>
              <w:rPr>
                <w:color w:val="000000"/>
                <w:sz w:val="20"/>
                <w:szCs w:val="20"/>
              </w:rPr>
              <w:t>0.459</w:t>
            </w:r>
          </w:p>
        </w:tc>
        <w:tc>
          <w:tcPr>
            <w:tcW w:w="768" w:type="dxa"/>
            <w:tcBorders>
              <w:top w:val="nil"/>
              <w:left w:val="nil"/>
              <w:bottom w:val="nil"/>
              <w:right w:val="nil"/>
            </w:tcBorders>
            <w:shd w:val="clear" w:color="auto" w:fill="auto"/>
            <w:noWrap/>
            <w:vAlign w:val="bottom"/>
            <w:hideMark/>
          </w:tcPr>
          <w:p w14:paraId="4722C292" w14:textId="59A3E35E"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B8F3A5A" w14:textId="3506CF0E" w:rsidR="0042372D" w:rsidRDefault="0042372D" w:rsidP="0042372D">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60BE43F8" w14:textId="3F76E0A3" w:rsidR="0042372D" w:rsidRDefault="0042372D" w:rsidP="0042372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7E42608D" w14:textId="34D178AD" w:rsidR="0042372D" w:rsidRDefault="0042372D" w:rsidP="0042372D">
            <w:pPr>
              <w:jc w:val="right"/>
              <w:rPr>
                <w:color w:val="000000"/>
                <w:sz w:val="20"/>
                <w:szCs w:val="20"/>
              </w:rPr>
            </w:pPr>
            <w:r>
              <w:rPr>
                <w:color w:val="000000"/>
                <w:sz w:val="20"/>
                <w:szCs w:val="20"/>
              </w:rPr>
              <w:t>0.007</w:t>
            </w:r>
          </w:p>
        </w:tc>
      </w:tr>
      <w:tr w:rsidR="0042372D" w14:paraId="7B125B65" w14:textId="77777777" w:rsidTr="00E61467">
        <w:trPr>
          <w:trHeight w:val="320"/>
        </w:trPr>
        <w:tc>
          <w:tcPr>
            <w:tcW w:w="1176" w:type="dxa"/>
            <w:tcBorders>
              <w:top w:val="nil"/>
              <w:left w:val="nil"/>
              <w:bottom w:val="nil"/>
              <w:right w:val="nil"/>
            </w:tcBorders>
            <w:shd w:val="clear" w:color="auto" w:fill="auto"/>
            <w:noWrap/>
            <w:vAlign w:val="bottom"/>
            <w:hideMark/>
          </w:tcPr>
          <w:p w14:paraId="47026B67"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2DF1959" w14:textId="77777777" w:rsidR="0042372D" w:rsidRDefault="0042372D" w:rsidP="0042372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3DC3763" w14:textId="5FA4D820" w:rsidR="0042372D" w:rsidRDefault="0042372D" w:rsidP="0042372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2459274" w14:textId="0552543B" w:rsidR="0042372D" w:rsidRDefault="0042372D" w:rsidP="0042372D">
            <w:pPr>
              <w:jc w:val="right"/>
              <w:rPr>
                <w:color w:val="000000"/>
                <w:sz w:val="20"/>
                <w:szCs w:val="20"/>
              </w:rPr>
            </w:pPr>
            <w:r>
              <w:rPr>
                <w:color w:val="000000"/>
                <w:sz w:val="20"/>
                <w:szCs w:val="20"/>
              </w:rPr>
              <w:t>0.712</w:t>
            </w:r>
          </w:p>
        </w:tc>
        <w:tc>
          <w:tcPr>
            <w:tcW w:w="768" w:type="dxa"/>
            <w:tcBorders>
              <w:top w:val="nil"/>
              <w:left w:val="nil"/>
              <w:bottom w:val="nil"/>
              <w:right w:val="nil"/>
            </w:tcBorders>
            <w:shd w:val="clear" w:color="auto" w:fill="auto"/>
            <w:noWrap/>
            <w:vAlign w:val="bottom"/>
            <w:hideMark/>
          </w:tcPr>
          <w:p w14:paraId="32103C8A" w14:textId="4626D251"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EF5027" w14:textId="142C8E27" w:rsidR="0042372D" w:rsidRDefault="0042372D" w:rsidP="0042372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EE2AFB9" w14:textId="62F8DEB6" w:rsidR="0042372D" w:rsidRDefault="0042372D" w:rsidP="0042372D">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597C37F4" w14:textId="01B94D86"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7B6D47" w14:textId="6E60FFF1" w:rsidR="0042372D" w:rsidRDefault="0042372D" w:rsidP="0042372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31BE3E8" w14:textId="4C812C08" w:rsidR="0042372D" w:rsidRDefault="0042372D" w:rsidP="0042372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70030E13" w14:textId="484C750D"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03FE417" w14:textId="213C559E" w:rsidR="0042372D" w:rsidRDefault="0042372D" w:rsidP="0042372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6E1E237D" w14:textId="704B6BED" w:rsidR="0042372D" w:rsidRDefault="0042372D" w:rsidP="0042372D">
            <w:pPr>
              <w:jc w:val="right"/>
              <w:rPr>
                <w:color w:val="000000"/>
                <w:sz w:val="20"/>
                <w:szCs w:val="20"/>
              </w:rPr>
            </w:pPr>
            <w:r>
              <w:rPr>
                <w:color w:val="000000"/>
                <w:sz w:val="20"/>
                <w:szCs w:val="20"/>
              </w:rPr>
              <w:t>0.631</w:t>
            </w:r>
          </w:p>
        </w:tc>
        <w:tc>
          <w:tcPr>
            <w:tcW w:w="768" w:type="dxa"/>
            <w:tcBorders>
              <w:top w:val="nil"/>
              <w:left w:val="nil"/>
              <w:bottom w:val="nil"/>
              <w:right w:val="nil"/>
            </w:tcBorders>
            <w:shd w:val="clear" w:color="auto" w:fill="auto"/>
            <w:noWrap/>
            <w:vAlign w:val="bottom"/>
            <w:hideMark/>
          </w:tcPr>
          <w:p w14:paraId="15446A26" w14:textId="5BC8C6B0"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A8F178" w14:textId="535DC4AD" w:rsidR="0042372D" w:rsidRDefault="0042372D" w:rsidP="0042372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844753D" w14:textId="2327ECCB" w:rsidR="0042372D" w:rsidRDefault="0042372D" w:rsidP="0042372D">
            <w:pPr>
              <w:jc w:val="right"/>
              <w:rPr>
                <w:color w:val="000000"/>
                <w:sz w:val="20"/>
                <w:szCs w:val="20"/>
              </w:rPr>
            </w:pPr>
            <w:r>
              <w:rPr>
                <w:color w:val="000000"/>
                <w:sz w:val="20"/>
                <w:szCs w:val="20"/>
              </w:rPr>
              <w:t>0.762</w:t>
            </w:r>
          </w:p>
        </w:tc>
        <w:tc>
          <w:tcPr>
            <w:tcW w:w="768" w:type="dxa"/>
            <w:tcBorders>
              <w:top w:val="nil"/>
              <w:left w:val="nil"/>
              <w:bottom w:val="nil"/>
              <w:right w:val="nil"/>
            </w:tcBorders>
            <w:shd w:val="clear" w:color="auto" w:fill="auto"/>
            <w:noWrap/>
            <w:vAlign w:val="bottom"/>
            <w:hideMark/>
          </w:tcPr>
          <w:p w14:paraId="75528DAF" w14:textId="0B7762A5" w:rsidR="0042372D" w:rsidRDefault="0042372D" w:rsidP="0042372D">
            <w:pPr>
              <w:jc w:val="right"/>
              <w:rPr>
                <w:color w:val="000000"/>
                <w:sz w:val="20"/>
                <w:szCs w:val="20"/>
              </w:rPr>
            </w:pPr>
            <w:r>
              <w:rPr>
                <w:color w:val="000000"/>
                <w:sz w:val="20"/>
                <w:szCs w:val="20"/>
              </w:rPr>
              <w:t>0.000</w:t>
            </w:r>
          </w:p>
        </w:tc>
      </w:tr>
      <w:tr w:rsidR="0042372D" w14:paraId="3E86379E" w14:textId="77777777" w:rsidTr="00E61467">
        <w:trPr>
          <w:trHeight w:val="320"/>
        </w:trPr>
        <w:tc>
          <w:tcPr>
            <w:tcW w:w="1176" w:type="dxa"/>
            <w:tcBorders>
              <w:top w:val="nil"/>
              <w:left w:val="nil"/>
              <w:bottom w:val="nil"/>
              <w:right w:val="nil"/>
            </w:tcBorders>
            <w:shd w:val="clear" w:color="auto" w:fill="auto"/>
            <w:noWrap/>
            <w:vAlign w:val="bottom"/>
            <w:hideMark/>
          </w:tcPr>
          <w:p w14:paraId="0A493665"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B8682E" w14:textId="77777777" w:rsidR="0042372D" w:rsidRDefault="0042372D" w:rsidP="0042372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E817BFB" w14:textId="48D6BB96" w:rsidR="0042372D" w:rsidRDefault="0042372D" w:rsidP="0042372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487E5321" w14:textId="7170F82C" w:rsidR="0042372D" w:rsidRDefault="0042372D" w:rsidP="0042372D">
            <w:pPr>
              <w:jc w:val="right"/>
              <w:rPr>
                <w:color w:val="000000"/>
                <w:sz w:val="20"/>
                <w:szCs w:val="20"/>
              </w:rPr>
            </w:pPr>
            <w:r>
              <w:rPr>
                <w:color w:val="000000"/>
                <w:sz w:val="20"/>
                <w:szCs w:val="20"/>
              </w:rPr>
              <w:t>0.259</w:t>
            </w:r>
          </w:p>
        </w:tc>
        <w:tc>
          <w:tcPr>
            <w:tcW w:w="768" w:type="dxa"/>
            <w:tcBorders>
              <w:top w:val="nil"/>
              <w:left w:val="nil"/>
              <w:bottom w:val="nil"/>
              <w:right w:val="nil"/>
            </w:tcBorders>
            <w:shd w:val="clear" w:color="auto" w:fill="auto"/>
            <w:noWrap/>
            <w:vAlign w:val="bottom"/>
            <w:hideMark/>
          </w:tcPr>
          <w:p w14:paraId="3147F813" w14:textId="577396E1"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104B7A3" w14:textId="4D071E77" w:rsidR="0042372D" w:rsidRDefault="0042372D" w:rsidP="0042372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1D05ADAD" w14:textId="20CC06A3" w:rsidR="0042372D" w:rsidRDefault="0042372D" w:rsidP="0042372D">
            <w:pPr>
              <w:jc w:val="right"/>
              <w:rPr>
                <w:color w:val="000000"/>
                <w:sz w:val="20"/>
                <w:szCs w:val="20"/>
              </w:rPr>
            </w:pPr>
            <w:r>
              <w:rPr>
                <w:color w:val="000000"/>
                <w:sz w:val="20"/>
                <w:szCs w:val="20"/>
              </w:rPr>
              <w:t>0.347</w:t>
            </w:r>
          </w:p>
        </w:tc>
        <w:tc>
          <w:tcPr>
            <w:tcW w:w="768" w:type="dxa"/>
            <w:tcBorders>
              <w:top w:val="nil"/>
              <w:left w:val="nil"/>
              <w:bottom w:val="nil"/>
              <w:right w:val="nil"/>
            </w:tcBorders>
            <w:shd w:val="clear" w:color="auto" w:fill="auto"/>
            <w:noWrap/>
            <w:vAlign w:val="bottom"/>
            <w:hideMark/>
          </w:tcPr>
          <w:p w14:paraId="7DE487EE" w14:textId="55FCC2B8"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33FBD9B" w14:textId="593E4EB2" w:rsidR="0042372D" w:rsidRDefault="0042372D" w:rsidP="0042372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F59BECB" w14:textId="1D9887BB" w:rsidR="0042372D" w:rsidRDefault="0042372D" w:rsidP="0042372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30F969A2" w14:textId="1846053D"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56374D" w14:textId="2D193656" w:rsidR="0042372D" w:rsidRDefault="0042372D" w:rsidP="0042372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59481CD" w14:textId="10BFF8BE" w:rsidR="0042372D" w:rsidRDefault="0042372D" w:rsidP="0042372D">
            <w:pPr>
              <w:jc w:val="right"/>
              <w:rPr>
                <w:color w:val="000000"/>
                <w:sz w:val="20"/>
                <w:szCs w:val="20"/>
              </w:rPr>
            </w:pPr>
            <w:r>
              <w:rPr>
                <w:color w:val="000000"/>
                <w:sz w:val="20"/>
                <w:szCs w:val="20"/>
              </w:rPr>
              <w:t>0.459</w:t>
            </w:r>
          </w:p>
        </w:tc>
        <w:tc>
          <w:tcPr>
            <w:tcW w:w="768" w:type="dxa"/>
            <w:tcBorders>
              <w:top w:val="nil"/>
              <w:left w:val="nil"/>
              <w:bottom w:val="nil"/>
              <w:right w:val="nil"/>
            </w:tcBorders>
            <w:shd w:val="clear" w:color="auto" w:fill="auto"/>
            <w:noWrap/>
            <w:vAlign w:val="bottom"/>
            <w:hideMark/>
          </w:tcPr>
          <w:p w14:paraId="0D4486FE" w14:textId="7DC23BEE"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8FB78DF" w14:textId="59DDC602" w:rsidR="0042372D" w:rsidRDefault="0042372D" w:rsidP="0042372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258B824" w14:textId="68B61B02" w:rsidR="0042372D" w:rsidRDefault="0042372D" w:rsidP="0042372D">
            <w:pPr>
              <w:jc w:val="right"/>
              <w:rPr>
                <w:color w:val="000000"/>
                <w:sz w:val="20"/>
                <w:szCs w:val="20"/>
              </w:rPr>
            </w:pPr>
            <w:r>
              <w:rPr>
                <w:color w:val="000000"/>
                <w:sz w:val="20"/>
                <w:szCs w:val="20"/>
              </w:rPr>
              <w:t>0.648</w:t>
            </w:r>
          </w:p>
        </w:tc>
        <w:tc>
          <w:tcPr>
            <w:tcW w:w="768" w:type="dxa"/>
            <w:tcBorders>
              <w:top w:val="nil"/>
              <w:left w:val="nil"/>
              <w:bottom w:val="nil"/>
              <w:right w:val="nil"/>
            </w:tcBorders>
            <w:shd w:val="clear" w:color="auto" w:fill="auto"/>
            <w:noWrap/>
            <w:vAlign w:val="bottom"/>
            <w:hideMark/>
          </w:tcPr>
          <w:p w14:paraId="209CE83D" w14:textId="31FB9BE4" w:rsidR="0042372D" w:rsidRDefault="0042372D" w:rsidP="0042372D">
            <w:pPr>
              <w:jc w:val="right"/>
              <w:rPr>
                <w:color w:val="000000"/>
                <w:sz w:val="20"/>
                <w:szCs w:val="20"/>
              </w:rPr>
            </w:pPr>
            <w:r>
              <w:rPr>
                <w:color w:val="000000"/>
                <w:sz w:val="20"/>
                <w:szCs w:val="20"/>
              </w:rPr>
              <w:t>0.002</w:t>
            </w:r>
          </w:p>
        </w:tc>
      </w:tr>
      <w:tr w:rsidR="0042372D" w14:paraId="5B376578" w14:textId="77777777" w:rsidTr="00E61467">
        <w:trPr>
          <w:trHeight w:val="320"/>
        </w:trPr>
        <w:tc>
          <w:tcPr>
            <w:tcW w:w="1176" w:type="dxa"/>
            <w:tcBorders>
              <w:top w:val="nil"/>
              <w:left w:val="nil"/>
              <w:bottom w:val="single" w:sz="4" w:space="0" w:color="auto"/>
              <w:right w:val="nil"/>
            </w:tcBorders>
            <w:shd w:val="clear" w:color="auto" w:fill="auto"/>
            <w:noWrap/>
            <w:vAlign w:val="bottom"/>
            <w:hideMark/>
          </w:tcPr>
          <w:p w14:paraId="3E106F81" w14:textId="77777777" w:rsidR="0042372D" w:rsidRDefault="0042372D" w:rsidP="0042372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792902B" w14:textId="77777777" w:rsidR="0042372D" w:rsidRDefault="0042372D" w:rsidP="0042372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CB16F1A" w14:textId="17DA9ACF" w:rsidR="0042372D" w:rsidRDefault="0042372D" w:rsidP="0042372D">
            <w:pPr>
              <w:jc w:val="right"/>
              <w:rPr>
                <w:b/>
                <w:bCs/>
                <w:color w:val="000000"/>
                <w:sz w:val="20"/>
                <w:szCs w:val="20"/>
              </w:rPr>
            </w:pPr>
            <w:r>
              <w:rPr>
                <w:b/>
                <w:bCs/>
                <w:color w:val="000000"/>
                <w:sz w:val="20"/>
                <w:szCs w:val="20"/>
              </w:rPr>
              <w:t>0.091</w:t>
            </w:r>
          </w:p>
        </w:tc>
        <w:tc>
          <w:tcPr>
            <w:tcW w:w="768" w:type="dxa"/>
            <w:tcBorders>
              <w:top w:val="nil"/>
              <w:left w:val="nil"/>
              <w:bottom w:val="single" w:sz="4" w:space="0" w:color="auto"/>
              <w:right w:val="nil"/>
            </w:tcBorders>
            <w:shd w:val="clear" w:color="auto" w:fill="auto"/>
            <w:noWrap/>
            <w:vAlign w:val="bottom"/>
            <w:hideMark/>
          </w:tcPr>
          <w:p w14:paraId="6E001C19" w14:textId="7D0F109C" w:rsidR="0042372D" w:rsidRDefault="0042372D" w:rsidP="0042372D">
            <w:pPr>
              <w:jc w:val="right"/>
              <w:rPr>
                <w:b/>
                <w:bCs/>
                <w:color w:val="000000"/>
                <w:sz w:val="20"/>
                <w:szCs w:val="20"/>
              </w:rPr>
            </w:pPr>
            <w:r>
              <w:rPr>
                <w:b/>
                <w:bCs/>
                <w:color w:val="000000"/>
                <w:sz w:val="20"/>
                <w:szCs w:val="20"/>
              </w:rPr>
              <w:t>0.048</w:t>
            </w:r>
          </w:p>
        </w:tc>
        <w:tc>
          <w:tcPr>
            <w:tcW w:w="768" w:type="dxa"/>
            <w:tcBorders>
              <w:top w:val="nil"/>
              <w:left w:val="nil"/>
              <w:bottom w:val="single" w:sz="4" w:space="0" w:color="auto"/>
              <w:right w:val="nil"/>
            </w:tcBorders>
            <w:shd w:val="clear" w:color="auto" w:fill="auto"/>
            <w:noWrap/>
            <w:vAlign w:val="bottom"/>
            <w:hideMark/>
          </w:tcPr>
          <w:p w14:paraId="1542DB67" w14:textId="1BFE41EC" w:rsidR="0042372D" w:rsidRPr="0042372D" w:rsidRDefault="0042372D" w:rsidP="0042372D">
            <w:pPr>
              <w:jc w:val="right"/>
              <w:rPr>
                <w:b/>
                <w:bCs/>
                <w:color w:val="000000"/>
                <w:sz w:val="20"/>
                <w:szCs w:val="20"/>
              </w:rPr>
            </w:pPr>
            <w:r w:rsidRPr="0042372D">
              <w:rPr>
                <w:b/>
                <w:bCs/>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40E7BCAF" w14:textId="4FA628A8" w:rsidR="0042372D" w:rsidRDefault="0042372D" w:rsidP="0042372D">
            <w:pPr>
              <w:jc w:val="right"/>
              <w:rPr>
                <w:color w:val="000000"/>
                <w:sz w:val="20"/>
                <w:szCs w:val="20"/>
              </w:rPr>
            </w:pPr>
            <w:r>
              <w:rPr>
                <w:color w:val="000000"/>
                <w:sz w:val="20"/>
                <w:szCs w:val="20"/>
              </w:rPr>
              <w:t>-0.057</w:t>
            </w:r>
          </w:p>
        </w:tc>
        <w:tc>
          <w:tcPr>
            <w:tcW w:w="768" w:type="dxa"/>
            <w:tcBorders>
              <w:top w:val="nil"/>
              <w:left w:val="nil"/>
              <w:bottom w:val="single" w:sz="4" w:space="0" w:color="auto"/>
              <w:right w:val="nil"/>
            </w:tcBorders>
            <w:shd w:val="clear" w:color="auto" w:fill="auto"/>
            <w:noWrap/>
            <w:vAlign w:val="bottom"/>
            <w:hideMark/>
          </w:tcPr>
          <w:p w14:paraId="153E5D3E" w14:textId="2AF6A624" w:rsidR="0042372D" w:rsidRDefault="0042372D" w:rsidP="0042372D">
            <w:pPr>
              <w:jc w:val="right"/>
              <w:rPr>
                <w:color w:val="000000"/>
                <w:sz w:val="20"/>
                <w:szCs w:val="20"/>
              </w:rPr>
            </w:pPr>
            <w:r>
              <w:rPr>
                <w:color w:val="000000"/>
                <w:sz w:val="20"/>
                <w:szCs w:val="20"/>
              </w:rPr>
              <w:t>0.347</w:t>
            </w:r>
          </w:p>
        </w:tc>
        <w:tc>
          <w:tcPr>
            <w:tcW w:w="768" w:type="dxa"/>
            <w:tcBorders>
              <w:top w:val="nil"/>
              <w:left w:val="nil"/>
              <w:bottom w:val="single" w:sz="4" w:space="0" w:color="auto"/>
              <w:right w:val="nil"/>
            </w:tcBorders>
            <w:shd w:val="clear" w:color="auto" w:fill="auto"/>
            <w:noWrap/>
            <w:vAlign w:val="bottom"/>
            <w:hideMark/>
          </w:tcPr>
          <w:p w14:paraId="148BDAEF" w14:textId="51BFA1A0"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545ABA45" w14:textId="35A75761" w:rsidR="0042372D" w:rsidRDefault="0042372D" w:rsidP="0042372D">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37A8D2CB" w14:textId="18DD3C3E" w:rsidR="0042372D" w:rsidRDefault="0042372D" w:rsidP="0042372D">
            <w:pPr>
              <w:jc w:val="right"/>
              <w:rPr>
                <w:color w:val="000000"/>
                <w:sz w:val="20"/>
                <w:szCs w:val="20"/>
              </w:rPr>
            </w:pPr>
            <w:r>
              <w:rPr>
                <w:color w:val="000000"/>
                <w:sz w:val="20"/>
                <w:szCs w:val="20"/>
              </w:rPr>
              <w:t>0.545</w:t>
            </w:r>
          </w:p>
        </w:tc>
        <w:tc>
          <w:tcPr>
            <w:tcW w:w="768" w:type="dxa"/>
            <w:tcBorders>
              <w:top w:val="nil"/>
              <w:left w:val="nil"/>
              <w:bottom w:val="single" w:sz="4" w:space="0" w:color="auto"/>
              <w:right w:val="nil"/>
            </w:tcBorders>
            <w:shd w:val="clear" w:color="auto" w:fill="auto"/>
            <w:noWrap/>
            <w:vAlign w:val="bottom"/>
            <w:hideMark/>
          </w:tcPr>
          <w:p w14:paraId="62AB7489" w14:textId="5702D98C"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6A28DD9" w14:textId="5004768F" w:rsidR="0042372D" w:rsidRDefault="0042372D" w:rsidP="0042372D">
            <w:pPr>
              <w:jc w:val="right"/>
              <w:rPr>
                <w:color w:val="000000"/>
                <w:sz w:val="20"/>
                <w:szCs w:val="20"/>
              </w:rPr>
            </w:pPr>
            <w:r>
              <w:rPr>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0528B51F" w14:textId="364BC21B" w:rsidR="0042372D" w:rsidRDefault="0042372D" w:rsidP="0042372D">
            <w:pPr>
              <w:jc w:val="right"/>
              <w:rPr>
                <w:color w:val="000000"/>
                <w:sz w:val="20"/>
                <w:szCs w:val="20"/>
              </w:rPr>
            </w:pPr>
            <w:r>
              <w:rPr>
                <w:color w:val="000000"/>
                <w:sz w:val="20"/>
                <w:szCs w:val="20"/>
              </w:rPr>
              <w:t>0.459</w:t>
            </w:r>
          </w:p>
        </w:tc>
        <w:tc>
          <w:tcPr>
            <w:tcW w:w="768" w:type="dxa"/>
            <w:tcBorders>
              <w:top w:val="nil"/>
              <w:left w:val="nil"/>
              <w:bottom w:val="single" w:sz="4" w:space="0" w:color="auto"/>
              <w:right w:val="nil"/>
            </w:tcBorders>
            <w:shd w:val="clear" w:color="auto" w:fill="auto"/>
            <w:noWrap/>
            <w:vAlign w:val="bottom"/>
            <w:hideMark/>
          </w:tcPr>
          <w:p w14:paraId="05B92056" w14:textId="404131DF"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A1A2DF4" w14:textId="7ECC4EB5" w:rsidR="0042372D" w:rsidRDefault="0042372D" w:rsidP="0042372D">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4961B1A5" w14:textId="0016AF85" w:rsidR="0042372D" w:rsidRDefault="0042372D" w:rsidP="0042372D">
            <w:pPr>
              <w:jc w:val="right"/>
              <w:rPr>
                <w:color w:val="000000"/>
                <w:sz w:val="20"/>
                <w:szCs w:val="20"/>
              </w:rPr>
            </w:pPr>
            <w:r>
              <w:rPr>
                <w:color w:val="000000"/>
                <w:sz w:val="20"/>
                <w:szCs w:val="20"/>
              </w:rPr>
              <w:t>0.762</w:t>
            </w:r>
          </w:p>
        </w:tc>
        <w:tc>
          <w:tcPr>
            <w:tcW w:w="768" w:type="dxa"/>
            <w:tcBorders>
              <w:top w:val="nil"/>
              <w:left w:val="nil"/>
              <w:bottom w:val="single" w:sz="4" w:space="0" w:color="auto"/>
              <w:right w:val="nil"/>
            </w:tcBorders>
            <w:shd w:val="clear" w:color="auto" w:fill="auto"/>
            <w:noWrap/>
            <w:vAlign w:val="bottom"/>
            <w:hideMark/>
          </w:tcPr>
          <w:p w14:paraId="43E8F623" w14:textId="2D47BFF1" w:rsidR="0042372D" w:rsidRDefault="0042372D" w:rsidP="0042372D">
            <w:pPr>
              <w:jc w:val="right"/>
              <w:rPr>
                <w:color w:val="000000"/>
                <w:sz w:val="20"/>
                <w:szCs w:val="20"/>
              </w:rPr>
            </w:pPr>
            <w:r>
              <w:rPr>
                <w:color w:val="000000"/>
                <w:sz w:val="20"/>
                <w:szCs w:val="20"/>
              </w:rPr>
              <w:t>0.000</w:t>
            </w:r>
          </w:p>
        </w:tc>
      </w:tr>
      <w:tr w:rsidR="0042372D" w14:paraId="6DCF146C" w14:textId="77777777" w:rsidTr="00E61467">
        <w:trPr>
          <w:trHeight w:val="320"/>
        </w:trPr>
        <w:tc>
          <w:tcPr>
            <w:tcW w:w="1176" w:type="dxa"/>
            <w:tcBorders>
              <w:top w:val="nil"/>
              <w:left w:val="nil"/>
              <w:bottom w:val="nil"/>
              <w:right w:val="nil"/>
            </w:tcBorders>
            <w:shd w:val="clear" w:color="auto" w:fill="auto"/>
            <w:noWrap/>
            <w:vAlign w:val="bottom"/>
            <w:hideMark/>
          </w:tcPr>
          <w:p w14:paraId="773C94BE" w14:textId="77777777" w:rsidR="0042372D" w:rsidRDefault="0042372D" w:rsidP="0042372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6A23294B" w14:textId="77777777" w:rsidR="0042372D" w:rsidRDefault="0042372D" w:rsidP="0042372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1F40E37" w14:textId="4527C0A9" w:rsidR="0042372D" w:rsidRDefault="0042372D" w:rsidP="0042372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6AD24A5D" w14:textId="06EB703B" w:rsidR="0042372D" w:rsidRDefault="0042372D" w:rsidP="0042372D">
            <w:pPr>
              <w:jc w:val="right"/>
              <w:rPr>
                <w:color w:val="000000"/>
                <w:sz w:val="20"/>
                <w:szCs w:val="20"/>
              </w:rPr>
            </w:pPr>
            <w:r>
              <w:rPr>
                <w:color w:val="000000"/>
                <w:sz w:val="20"/>
                <w:szCs w:val="20"/>
              </w:rPr>
              <w:t>0.237</w:t>
            </w:r>
          </w:p>
        </w:tc>
        <w:tc>
          <w:tcPr>
            <w:tcW w:w="768" w:type="dxa"/>
            <w:tcBorders>
              <w:top w:val="nil"/>
              <w:left w:val="nil"/>
              <w:bottom w:val="nil"/>
              <w:right w:val="nil"/>
            </w:tcBorders>
            <w:shd w:val="clear" w:color="auto" w:fill="auto"/>
            <w:noWrap/>
            <w:vAlign w:val="bottom"/>
            <w:hideMark/>
          </w:tcPr>
          <w:p w14:paraId="207BD1B1" w14:textId="7787F19A"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928292D" w14:textId="589DF73D" w:rsidR="0042372D" w:rsidRDefault="0042372D" w:rsidP="0042372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4C06DD4" w14:textId="34A109D5" w:rsidR="0042372D" w:rsidRDefault="0042372D" w:rsidP="0042372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054226A0" w14:textId="0CDCB5D2"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D07BF9" w14:textId="1F718225" w:rsidR="0042372D" w:rsidRDefault="0042372D" w:rsidP="0042372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3A30F3F9" w14:textId="2187FC43" w:rsidR="0042372D" w:rsidRDefault="0042372D" w:rsidP="0042372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030C5C3F" w14:textId="0F61C7B2"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3B86A0" w14:textId="0EAF05FA"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A86245" w14:textId="66FCEC0A" w:rsidR="0042372D" w:rsidRDefault="0042372D" w:rsidP="0042372D">
            <w:pPr>
              <w:jc w:val="right"/>
              <w:rPr>
                <w:color w:val="000000"/>
                <w:sz w:val="20"/>
                <w:szCs w:val="20"/>
              </w:rPr>
            </w:pPr>
            <w:r>
              <w:rPr>
                <w:color w:val="000000"/>
                <w:sz w:val="20"/>
                <w:szCs w:val="20"/>
              </w:rPr>
              <w:t>0.991</w:t>
            </w:r>
          </w:p>
        </w:tc>
        <w:tc>
          <w:tcPr>
            <w:tcW w:w="768" w:type="dxa"/>
            <w:tcBorders>
              <w:top w:val="nil"/>
              <w:left w:val="nil"/>
              <w:bottom w:val="nil"/>
              <w:right w:val="nil"/>
            </w:tcBorders>
            <w:shd w:val="clear" w:color="auto" w:fill="auto"/>
            <w:noWrap/>
            <w:vAlign w:val="bottom"/>
            <w:hideMark/>
          </w:tcPr>
          <w:p w14:paraId="70CEE019" w14:textId="3DE077A9"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781757" w14:textId="384D5C62" w:rsidR="0042372D" w:rsidRDefault="0042372D" w:rsidP="0042372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92452F9" w14:textId="00853D12" w:rsidR="0042372D" w:rsidRDefault="0042372D" w:rsidP="0042372D">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619009A6" w14:textId="0321961D" w:rsidR="0042372D" w:rsidRDefault="0042372D" w:rsidP="0042372D">
            <w:pPr>
              <w:jc w:val="right"/>
              <w:rPr>
                <w:color w:val="000000"/>
                <w:sz w:val="20"/>
                <w:szCs w:val="20"/>
              </w:rPr>
            </w:pPr>
            <w:r>
              <w:rPr>
                <w:color w:val="000000"/>
                <w:sz w:val="20"/>
                <w:szCs w:val="20"/>
              </w:rPr>
              <w:t>0.000</w:t>
            </w:r>
          </w:p>
        </w:tc>
      </w:tr>
      <w:tr w:rsidR="0042372D" w14:paraId="459AD3F2" w14:textId="77777777" w:rsidTr="00E61467">
        <w:trPr>
          <w:trHeight w:val="320"/>
        </w:trPr>
        <w:tc>
          <w:tcPr>
            <w:tcW w:w="1176" w:type="dxa"/>
            <w:tcBorders>
              <w:top w:val="nil"/>
              <w:left w:val="nil"/>
              <w:bottom w:val="nil"/>
              <w:right w:val="nil"/>
            </w:tcBorders>
            <w:shd w:val="clear" w:color="auto" w:fill="auto"/>
            <w:noWrap/>
            <w:vAlign w:val="bottom"/>
            <w:hideMark/>
          </w:tcPr>
          <w:p w14:paraId="3C4F5B63"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71AB06" w14:textId="77777777" w:rsidR="0042372D" w:rsidRDefault="0042372D" w:rsidP="0042372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2BAD8A6" w14:textId="20FFCF67" w:rsidR="0042372D" w:rsidRDefault="0042372D" w:rsidP="0042372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5163F7B" w14:textId="5A4A9F64" w:rsidR="0042372D" w:rsidRDefault="0042372D" w:rsidP="0042372D">
            <w:pPr>
              <w:jc w:val="right"/>
              <w:rPr>
                <w:color w:val="000000"/>
                <w:sz w:val="20"/>
                <w:szCs w:val="20"/>
              </w:rPr>
            </w:pPr>
            <w:r>
              <w:rPr>
                <w:color w:val="000000"/>
                <w:sz w:val="20"/>
                <w:szCs w:val="20"/>
              </w:rPr>
              <w:t>0.889</w:t>
            </w:r>
          </w:p>
        </w:tc>
        <w:tc>
          <w:tcPr>
            <w:tcW w:w="768" w:type="dxa"/>
            <w:tcBorders>
              <w:top w:val="nil"/>
              <w:left w:val="nil"/>
              <w:bottom w:val="nil"/>
              <w:right w:val="nil"/>
            </w:tcBorders>
            <w:shd w:val="clear" w:color="auto" w:fill="auto"/>
            <w:noWrap/>
            <w:vAlign w:val="bottom"/>
            <w:hideMark/>
          </w:tcPr>
          <w:p w14:paraId="318E3018" w14:textId="36ED2A41"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D7DD77" w14:textId="5985195D" w:rsidR="0042372D" w:rsidRDefault="0042372D" w:rsidP="0042372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257E26B" w14:textId="25EA00EA" w:rsidR="0042372D" w:rsidRDefault="0042372D" w:rsidP="0042372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5095E196" w14:textId="1B7F0160"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FC129B" w14:textId="124859C4" w:rsidR="0042372D" w:rsidRDefault="0042372D" w:rsidP="0042372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0162995B" w14:textId="674D2576" w:rsidR="0042372D" w:rsidRDefault="0042372D" w:rsidP="0042372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3EA1F1C1" w14:textId="2CADB440"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5C44DB5" w14:textId="614A12CF" w:rsidR="0042372D" w:rsidRDefault="0042372D" w:rsidP="0042372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36E600D5" w14:textId="7DA17544" w:rsidR="0042372D" w:rsidRDefault="0042372D" w:rsidP="0042372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30BAAA52" w14:textId="06A55A3D"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24D573" w14:textId="207DACD0" w:rsidR="0042372D" w:rsidRDefault="0042372D" w:rsidP="0042372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41D3F19" w14:textId="1E0DA5CC" w:rsidR="0042372D" w:rsidRDefault="0042372D" w:rsidP="0042372D">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410A5CE7" w14:textId="2C700C5D" w:rsidR="0042372D" w:rsidRDefault="0042372D" w:rsidP="0042372D">
            <w:pPr>
              <w:jc w:val="right"/>
              <w:rPr>
                <w:color w:val="000000"/>
                <w:sz w:val="20"/>
                <w:szCs w:val="20"/>
              </w:rPr>
            </w:pPr>
            <w:r>
              <w:rPr>
                <w:color w:val="000000"/>
                <w:sz w:val="20"/>
                <w:szCs w:val="20"/>
              </w:rPr>
              <w:t>0.000</w:t>
            </w:r>
          </w:p>
        </w:tc>
      </w:tr>
      <w:tr w:rsidR="0042372D" w14:paraId="4948BD32" w14:textId="77777777" w:rsidTr="00E61467">
        <w:trPr>
          <w:trHeight w:val="320"/>
        </w:trPr>
        <w:tc>
          <w:tcPr>
            <w:tcW w:w="1176" w:type="dxa"/>
            <w:tcBorders>
              <w:top w:val="nil"/>
              <w:left w:val="nil"/>
              <w:bottom w:val="nil"/>
              <w:right w:val="nil"/>
            </w:tcBorders>
            <w:shd w:val="clear" w:color="auto" w:fill="auto"/>
            <w:noWrap/>
            <w:vAlign w:val="bottom"/>
            <w:hideMark/>
          </w:tcPr>
          <w:p w14:paraId="5FC1D66F"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4C5344" w14:textId="77777777" w:rsidR="0042372D" w:rsidRDefault="0042372D" w:rsidP="0042372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D23239B" w14:textId="7D7A2914" w:rsidR="0042372D" w:rsidRDefault="0042372D" w:rsidP="0042372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819CB39" w14:textId="1D14349D" w:rsidR="0042372D" w:rsidRDefault="0042372D" w:rsidP="0042372D">
            <w:pPr>
              <w:jc w:val="right"/>
              <w:rPr>
                <w:color w:val="000000"/>
                <w:sz w:val="20"/>
                <w:szCs w:val="20"/>
              </w:rPr>
            </w:pPr>
            <w:r>
              <w:rPr>
                <w:color w:val="000000"/>
                <w:sz w:val="20"/>
                <w:szCs w:val="20"/>
              </w:rPr>
              <w:t>0.285</w:t>
            </w:r>
          </w:p>
        </w:tc>
        <w:tc>
          <w:tcPr>
            <w:tcW w:w="768" w:type="dxa"/>
            <w:tcBorders>
              <w:top w:val="nil"/>
              <w:left w:val="nil"/>
              <w:bottom w:val="nil"/>
              <w:right w:val="nil"/>
            </w:tcBorders>
            <w:shd w:val="clear" w:color="auto" w:fill="auto"/>
            <w:noWrap/>
            <w:vAlign w:val="bottom"/>
            <w:hideMark/>
          </w:tcPr>
          <w:p w14:paraId="70962258" w14:textId="674549CC"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AB0859A" w14:textId="22632693" w:rsidR="0042372D" w:rsidRDefault="0042372D" w:rsidP="0042372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710233B1" w14:textId="30BB52F2" w:rsidR="0042372D" w:rsidRDefault="0042372D" w:rsidP="0042372D">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7C8609D4" w14:textId="038501EF"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D340606" w14:textId="652D251D" w:rsidR="0042372D" w:rsidRDefault="0042372D" w:rsidP="0042372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FD7DF56" w14:textId="61F318B8" w:rsidR="0042372D" w:rsidRDefault="0042372D" w:rsidP="0042372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679FA0D6" w14:textId="45E38C2A"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1EA0D3A" w14:textId="17FB6B1D" w:rsidR="0042372D" w:rsidRDefault="0042372D" w:rsidP="0042372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3B0A61F5" w14:textId="4191AB10" w:rsidR="0042372D" w:rsidRDefault="0042372D" w:rsidP="0042372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185CBF76" w14:textId="4B9D0163"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29C1F9" w14:textId="17C9A5EA" w:rsidR="0042372D" w:rsidRDefault="0042372D" w:rsidP="0042372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2033877" w14:textId="3CA365F7" w:rsidR="0042372D" w:rsidRDefault="0042372D" w:rsidP="0042372D">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2099D9E4" w14:textId="7BA16BF1" w:rsidR="0042372D" w:rsidRDefault="0042372D" w:rsidP="0042372D">
            <w:pPr>
              <w:jc w:val="right"/>
              <w:rPr>
                <w:color w:val="000000"/>
                <w:sz w:val="20"/>
                <w:szCs w:val="20"/>
              </w:rPr>
            </w:pPr>
            <w:r>
              <w:rPr>
                <w:color w:val="000000"/>
                <w:sz w:val="20"/>
                <w:szCs w:val="20"/>
              </w:rPr>
              <w:t>0.001</w:t>
            </w:r>
          </w:p>
        </w:tc>
      </w:tr>
      <w:tr w:rsidR="0042372D" w14:paraId="0227F875" w14:textId="77777777" w:rsidTr="00E61467">
        <w:trPr>
          <w:trHeight w:val="320"/>
        </w:trPr>
        <w:tc>
          <w:tcPr>
            <w:tcW w:w="1176" w:type="dxa"/>
            <w:tcBorders>
              <w:top w:val="nil"/>
              <w:left w:val="nil"/>
              <w:bottom w:val="nil"/>
              <w:right w:val="nil"/>
            </w:tcBorders>
            <w:shd w:val="clear" w:color="auto" w:fill="auto"/>
            <w:noWrap/>
            <w:vAlign w:val="bottom"/>
            <w:hideMark/>
          </w:tcPr>
          <w:p w14:paraId="068EF7F1"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CA84AF" w14:textId="77777777" w:rsidR="0042372D" w:rsidRDefault="0042372D" w:rsidP="0042372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55106E4" w14:textId="572B3F62" w:rsidR="0042372D" w:rsidRDefault="0042372D" w:rsidP="0042372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0822017" w14:textId="69848160" w:rsidR="0042372D" w:rsidRDefault="0042372D" w:rsidP="0042372D">
            <w:pPr>
              <w:jc w:val="right"/>
              <w:rPr>
                <w:color w:val="000000"/>
                <w:sz w:val="20"/>
                <w:szCs w:val="20"/>
              </w:rPr>
            </w:pPr>
            <w:r>
              <w:rPr>
                <w:color w:val="000000"/>
                <w:sz w:val="20"/>
                <w:szCs w:val="20"/>
              </w:rPr>
              <w:t>0.889</w:t>
            </w:r>
          </w:p>
        </w:tc>
        <w:tc>
          <w:tcPr>
            <w:tcW w:w="768" w:type="dxa"/>
            <w:tcBorders>
              <w:top w:val="nil"/>
              <w:left w:val="nil"/>
              <w:bottom w:val="nil"/>
              <w:right w:val="nil"/>
            </w:tcBorders>
            <w:shd w:val="clear" w:color="auto" w:fill="auto"/>
            <w:noWrap/>
            <w:vAlign w:val="bottom"/>
            <w:hideMark/>
          </w:tcPr>
          <w:p w14:paraId="1B15BBDE" w14:textId="6F265A81"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D4FF41" w14:textId="7D9EED0F" w:rsidR="0042372D" w:rsidRDefault="0042372D" w:rsidP="0042372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5512A28" w14:textId="7A890A7B" w:rsidR="0042372D" w:rsidRDefault="0042372D" w:rsidP="0042372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35CB11F1" w14:textId="77954A09"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7C1EBB" w14:textId="5F5685E1" w:rsidR="0042372D" w:rsidRDefault="0042372D" w:rsidP="0042372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6B3DBBB" w14:textId="5CEF1FB3" w:rsidR="0042372D" w:rsidRDefault="0042372D" w:rsidP="0042372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0D0148B6" w14:textId="0245A0D8"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54F354E" w14:textId="3CFA6A68" w:rsidR="0042372D" w:rsidRDefault="0042372D" w:rsidP="0042372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4ABC93E1" w14:textId="00F2538C" w:rsidR="0042372D" w:rsidRDefault="0042372D" w:rsidP="0042372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3F81EE76" w14:textId="05C8B78B" w:rsidR="0042372D" w:rsidRDefault="0042372D" w:rsidP="0042372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6A608E5" w14:textId="345ECDA5" w:rsidR="0042372D" w:rsidRDefault="0042372D" w:rsidP="0042372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5AB025D6" w14:textId="1A2BF790" w:rsidR="0042372D" w:rsidRDefault="0042372D" w:rsidP="0042372D">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32A86B45" w14:textId="5956420D" w:rsidR="0042372D" w:rsidRDefault="0042372D" w:rsidP="0042372D">
            <w:pPr>
              <w:jc w:val="right"/>
              <w:rPr>
                <w:color w:val="000000"/>
                <w:sz w:val="20"/>
                <w:szCs w:val="20"/>
              </w:rPr>
            </w:pPr>
            <w:r>
              <w:rPr>
                <w:color w:val="000000"/>
                <w:sz w:val="20"/>
                <w:szCs w:val="20"/>
              </w:rPr>
              <w:t>0.001</w:t>
            </w:r>
          </w:p>
        </w:tc>
      </w:tr>
      <w:tr w:rsidR="0042372D" w14:paraId="40BDC7C9" w14:textId="77777777" w:rsidTr="00E61467">
        <w:trPr>
          <w:trHeight w:val="320"/>
        </w:trPr>
        <w:tc>
          <w:tcPr>
            <w:tcW w:w="1176" w:type="dxa"/>
            <w:tcBorders>
              <w:top w:val="nil"/>
              <w:left w:val="nil"/>
              <w:bottom w:val="nil"/>
              <w:right w:val="nil"/>
            </w:tcBorders>
            <w:shd w:val="clear" w:color="auto" w:fill="auto"/>
            <w:noWrap/>
            <w:vAlign w:val="bottom"/>
            <w:hideMark/>
          </w:tcPr>
          <w:p w14:paraId="5273516E"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D07DA42" w14:textId="77777777" w:rsidR="0042372D" w:rsidRDefault="0042372D" w:rsidP="0042372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14CD2AC" w14:textId="36467111" w:rsidR="0042372D" w:rsidRDefault="0042372D" w:rsidP="0042372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B3AC8E8" w14:textId="266E3329" w:rsidR="0042372D" w:rsidRDefault="0042372D" w:rsidP="0042372D">
            <w:pPr>
              <w:jc w:val="right"/>
              <w:rPr>
                <w:color w:val="000000"/>
                <w:sz w:val="20"/>
                <w:szCs w:val="20"/>
              </w:rPr>
            </w:pPr>
            <w:r>
              <w:rPr>
                <w:color w:val="000000"/>
                <w:sz w:val="20"/>
                <w:szCs w:val="20"/>
              </w:rPr>
              <w:t>0.889</w:t>
            </w:r>
          </w:p>
        </w:tc>
        <w:tc>
          <w:tcPr>
            <w:tcW w:w="768" w:type="dxa"/>
            <w:tcBorders>
              <w:top w:val="nil"/>
              <w:left w:val="nil"/>
              <w:bottom w:val="nil"/>
              <w:right w:val="nil"/>
            </w:tcBorders>
            <w:shd w:val="clear" w:color="auto" w:fill="auto"/>
            <w:noWrap/>
            <w:vAlign w:val="bottom"/>
            <w:hideMark/>
          </w:tcPr>
          <w:p w14:paraId="393A3D81" w14:textId="5710190E"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5653CF" w14:textId="0EBF4876" w:rsidR="0042372D" w:rsidRDefault="0042372D" w:rsidP="0042372D">
            <w:pPr>
              <w:jc w:val="right"/>
              <w:rPr>
                <w:b/>
                <w:bCs/>
                <w:color w:val="000000"/>
                <w:sz w:val="20"/>
                <w:szCs w:val="20"/>
              </w:rPr>
            </w:pPr>
            <w:r>
              <w:rPr>
                <w:b/>
                <w:bCs/>
                <w:color w:val="000000"/>
                <w:sz w:val="20"/>
                <w:szCs w:val="20"/>
              </w:rPr>
              <w:t>-0.095</w:t>
            </w:r>
          </w:p>
        </w:tc>
        <w:tc>
          <w:tcPr>
            <w:tcW w:w="768" w:type="dxa"/>
            <w:tcBorders>
              <w:top w:val="nil"/>
              <w:left w:val="nil"/>
              <w:bottom w:val="nil"/>
              <w:right w:val="nil"/>
            </w:tcBorders>
            <w:shd w:val="clear" w:color="auto" w:fill="auto"/>
            <w:noWrap/>
            <w:vAlign w:val="bottom"/>
            <w:hideMark/>
          </w:tcPr>
          <w:p w14:paraId="2CD9ECCA" w14:textId="7AD67159" w:rsidR="0042372D" w:rsidRDefault="0042372D" w:rsidP="0042372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3F5DCAE3" w14:textId="6BAA79E6" w:rsidR="0042372D" w:rsidRPr="0042372D" w:rsidRDefault="0042372D" w:rsidP="0042372D">
            <w:pPr>
              <w:jc w:val="right"/>
              <w:rPr>
                <w:b/>
                <w:bCs/>
                <w:color w:val="000000"/>
                <w:sz w:val="20"/>
                <w:szCs w:val="20"/>
              </w:rPr>
            </w:pPr>
            <w:r w:rsidRPr="0042372D">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0C3D4793" w14:textId="2FA25E6F" w:rsidR="0042372D" w:rsidRDefault="0042372D" w:rsidP="0042372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25EF9577" w14:textId="3983BFED" w:rsidR="0042372D" w:rsidRDefault="0042372D" w:rsidP="0042372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7345BF82" w14:textId="1740FD26"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5D0D0CA" w14:textId="2E6E10FB"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6E6CB3F" w14:textId="1E929683" w:rsidR="0042372D" w:rsidRDefault="0042372D" w:rsidP="0042372D">
            <w:pPr>
              <w:jc w:val="right"/>
              <w:rPr>
                <w:color w:val="000000"/>
                <w:sz w:val="20"/>
                <w:szCs w:val="20"/>
              </w:rPr>
            </w:pPr>
            <w:r>
              <w:rPr>
                <w:color w:val="000000"/>
                <w:sz w:val="20"/>
                <w:szCs w:val="20"/>
              </w:rPr>
              <w:t>0.991</w:t>
            </w:r>
          </w:p>
        </w:tc>
        <w:tc>
          <w:tcPr>
            <w:tcW w:w="768" w:type="dxa"/>
            <w:tcBorders>
              <w:top w:val="nil"/>
              <w:left w:val="nil"/>
              <w:bottom w:val="nil"/>
              <w:right w:val="nil"/>
            </w:tcBorders>
            <w:shd w:val="clear" w:color="auto" w:fill="auto"/>
            <w:noWrap/>
            <w:vAlign w:val="bottom"/>
            <w:hideMark/>
          </w:tcPr>
          <w:p w14:paraId="1F0FFF03" w14:textId="6813AFE5"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B6E8BC" w14:textId="4F9863C8" w:rsidR="0042372D" w:rsidRDefault="0042372D" w:rsidP="0042372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B0B5B8C" w14:textId="30382E96" w:rsidR="0042372D" w:rsidRDefault="0042372D" w:rsidP="0042372D">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5DC3EF3C" w14:textId="5E032A57" w:rsidR="0042372D" w:rsidRDefault="0042372D" w:rsidP="0042372D">
            <w:pPr>
              <w:jc w:val="right"/>
              <w:rPr>
                <w:color w:val="000000"/>
                <w:sz w:val="20"/>
                <w:szCs w:val="20"/>
              </w:rPr>
            </w:pPr>
            <w:r>
              <w:rPr>
                <w:color w:val="000000"/>
                <w:sz w:val="20"/>
                <w:szCs w:val="20"/>
              </w:rPr>
              <w:t>0.001</w:t>
            </w:r>
          </w:p>
        </w:tc>
      </w:tr>
      <w:tr w:rsidR="0042372D" w14:paraId="53D62444" w14:textId="77777777" w:rsidTr="00E61467">
        <w:trPr>
          <w:trHeight w:val="320"/>
        </w:trPr>
        <w:tc>
          <w:tcPr>
            <w:tcW w:w="1176" w:type="dxa"/>
            <w:tcBorders>
              <w:top w:val="nil"/>
              <w:left w:val="nil"/>
              <w:bottom w:val="nil"/>
              <w:right w:val="nil"/>
            </w:tcBorders>
            <w:shd w:val="clear" w:color="auto" w:fill="auto"/>
            <w:noWrap/>
            <w:vAlign w:val="bottom"/>
            <w:hideMark/>
          </w:tcPr>
          <w:p w14:paraId="4BA62E94"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55C553" w14:textId="77777777" w:rsidR="0042372D" w:rsidRDefault="0042372D" w:rsidP="0042372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27FC7AA" w14:textId="4C83A0BC" w:rsidR="0042372D" w:rsidRDefault="0042372D" w:rsidP="0042372D">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4B1B7550" w14:textId="30671D9D" w:rsidR="0042372D" w:rsidRDefault="0042372D" w:rsidP="0042372D">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77704C82" w14:textId="1E3E3381" w:rsidR="0042372D" w:rsidRDefault="0042372D" w:rsidP="0042372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A341E40" w14:textId="6EE84896" w:rsidR="0042372D" w:rsidRDefault="0042372D" w:rsidP="0042372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C793D04" w14:textId="0070C94D" w:rsidR="0042372D" w:rsidRDefault="0042372D" w:rsidP="0042372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42268C08" w14:textId="1EA27653"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D6F6FB" w14:textId="3AD57DAD" w:rsidR="0042372D" w:rsidRDefault="0042372D" w:rsidP="0042372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0CDE07C" w14:textId="484A89FC" w:rsidR="0042372D" w:rsidRDefault="0042372D" w:rsidP="0042372D">
            <w:pPr>
              <w:jc w:val="right"/>
              <w:rPr>
                <w:color w:val="000000"/>
                <w:sz w:val="20"/>
                <w:szCs w:val="20"/>
              </w:rPr>
            </w:pPr>
            <w:r>
              <w:rPr>
                <w:color w:val="000000"/>
                <w:sz w:val="20"/>
                <w:szCs w:val="20"/>
              </w:rPr>
              <w:t>0.706</w:t>
            </w:r>
          </w:p>
        </w:tc>
        <w:tc>
          <w:tcPr>
            <w:tcW w:w="768" w:type="dxa"/>
            <w:tcBorders>
              <w:top w:val="nil"/>
              <w:left w:val="nil"/>
              <w:bottom w:val="nil"/>
              <w:right w:val="nil"/>
            </w:tcBorders>
            <w:shd w:val="clear" w:color="auto" w:fill="auto"/>
            <w:noWrap/>
            <w:vAlign w:val="bottom"/>
            <w:hideMark/>
          </w:tcPr>
          <w:p w14:paraId="5529E510" w14:textId="00A81F71"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4585DB" w14:textId="1FC5B2DB" w:rsidR="0042372D" w:rsidRDefault="0042372D" w:rsidP="0042372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D2D03BD" w14:textId="727C4C7B" w:rsidR="0042372D" w:rsidRDefault="0042372D" w:rsidP="0042372D">
            <w:pPr>
              <w:jc w:val="right"/>
              <w:rPr>
                <w:color w:val="000000"/>
                <w:sz w:val="20"/>
                <w:szCs w:val="20"/>
              </w:rPr>
            </w:pPr>
            <w:r>
              <w:rPr>
                <w:color w:val="000000"/>
                <w:sz w:val="20"/>
                <w:szCs w:val="20"/>
              </w:rPr>
              <w:t>0.991</w:t>
            </w:r>
          </w:p>
        </w:tc>
        <w:tc>
          <w:tcPr>
            <w:tcW w:w="768" w:type="dxa"/>
            <w:tcBorders>
              <w:top w:val="nil"/>
              <w:left w:val="nil"/>
              <w:bottom w:val="nil"/>
              <w:right w:val="nil"/>
            </w:tcBorders>
            <w:shd w:val="clear" w:color="auto" w:fill="auto"/>
            <w:noWrap/>
            <w:vAlign w:val="bottom"/>
            <w:hideMark/>
          </w:tcPr>
          <w:p w14:paraId="22F55A0E" w14:textId="78B05A18"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8C903F" w14:textId="7DBF1ECC" w:rsidR="0042372D" w:rsidRDefault="0042372D" w:rsidP="0042372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0868D76" w14:textId="260A1B31" w:rsidR="0042372D" w:rsidRDefault="0042372D" w:rsidP="0042372D">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24EDDA23" w14:textId="651EB91C" w:rsidR="0042372D" w:rsidRDefault="0042372D" w:rsidP="0042372D">
            <w:pPr>
              <w:jc w:val="right"/>
              <w:rPr>
                <w:color w:val="000000"/>
                <w:sz w:val="20"/>
                <w:szCs w:val="20"/>
              </w:rPr>
            </w:pPr>
            <w:r>
              <w:rPr>
                <w:color w:val="000000"/>
                <w:sz w:val="20"/>
                <w:szCs w:val="20"/>
              </w:rPr>
              <w:t>0.000</w:t>
            </w:r>
          </w:p>
        </w:tc>
      </w:tr>
      <w:tr w:rsidR="0042372D" w14:paraId="6B3D4366" w14:textId="77777777" w:rsidTr="00E61467">
        <w:trPr>
          <w:trHeight w:val="320"/>
        </w:trPr>
        <w:tc>
          <w:tcPr>
            <w:tcW w:w="1176" w:type="dxa"/>
            <w:tcBorders>
              <w:top w:val="nil"/>
              <w:left w:val="nil"/>
              <w:bottom w:val="nil"/>
              <w:right w:val="nil"/>
            </w:tcBorders>
            <w:shd w:val="clear" w:color="auto" w:fill="auto"/>
            <w:noWrap/>
            <w:vAlign w:val="bottom"/>
            <w:hideMark/>
          </w:tcPr>
          <w:p w14:paraId="593A1D58" w14:textId="77777777" w:rsidR="0042372D" w:rsidRDefault="0042372D" w:rsidP="0042372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5848E3D" w14:textId="77777777" w:rsidR="0042372D" w:rsidRDefault="0042372D" w:rsidP="0042372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95188C2" w14:textId="131C9D5E" w:rsidR="0042372D" w:rsidRDefault="0042372D" w:rsidP="0042372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77F86911" w14:textId="34047F8E" w:rsidR="0042372D" w:rsidRDefault="0042372D" w:rsidP="0042372D">
            <w:pPr>
              <w:jc w:val="right"/>
              <w:rPr>
                <w:color w:val="000000"/>
                <w:sz w:val="20"/>
                <w:szCs w:val="20"/>
              </w:rPr>
            </w:pPr>
            <w:r>
              <w:rPr>
                <w:color w:val="000000"/>
                <w:sz w:val="20"/>
                <w:szCs w:val="20"/>
              </w:rPr>
              <w:t>0.285</w:t>
            </w:r>
          </w:p>
        </w:tc>
        <w:tc>
          <w:tcPr>
            <w:tcW w:w="768" w:type="dxa"/>
            <w:tcBorders>
              <w:top w:val="nil"/>
              <w:left w:val="nil"/>
              <w:bottom w:val="nil"/>
              <w:right w:val="nil"/>
            </w:tcBorders>
            <w:shd w:val="clear" w:color="auto" w:fill="auto"/>
            <w:noWrap/>
            <w:vAlign w:val="bottom"/>
            <w:hideMark/>
          </w:tcPr>
          <w:p w14:paraId="0FE3B547" w14:textId="6EE53B99" w:rsidR="0042372D" w:rsidRDefault="0042372D" w:rsidP="0042372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DAE2143" w14:textId="1F0A671D" w:rsidR="0042372D" w:rsidRDefault="0042372D" w:rsidP="0042372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0C3ED139" w14:textId="62A34D10" w:rsidR="0042372D" w:rsidRDefault="0042372D" w:rsidP="0042372D">
            <w:pPr>
              <w:jc w:val="right"/>
              <w:rPr>
                <w:color w:val="000000"/>
                <w:sz w:val="20"/>
                <w:szCs w:val="20"/>
              </w:rPr>
            </w:pPr>
            <w:r>
              <w:rPr>
                <w:color w:val="000000"/>
                <w:sz w:val="20"/>
                <w:szCs w:val="20"/>
              </w:rPr>
              <w:t>0.292</w:t>
            </w:r>
          </w:p>
        </w:tc>
        <w:tc>
          <w:tcPr>
            <w:tcW w:w="768" w:type="dxa"/>
            <w:tcBorders>
              <w:top w:val="nil"/>
              <w:left w:val="nil"/>
              <w:bottom w:val="nil"/>
              <w:right w:val="nil"/>
            </w:tcBorders>
            <w:shd w:val="clear" w:color="auto" w:fill="auto"/>
            <w:noWrap/>
            <w:vAlign w:val="bottom"/>
            <w:hideMark/>
          </w:tcPr>
          <w:p w14:paraId="60ED2EED" w14:textId="2D2D75E3" w:rsidR="0042372D" w:rsidRDefault="0042372D" w:rsidP="0042372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62E3549" w14:textId="3FE36A83" w:rsidR="0042372D" w:rsidRDefault="0042372D" w:rsidP="0042372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5BED64F" w14:textId="6DCB2D52" w:rsidR="0042372D" w:rsidRDefault="0042372D" w:rsidP="0042372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753075A7" w14:textId="77ADAD6B"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F1E8984" w14:textId="08359700" w:rsidR="0042372D" w:rsidRDefault="0042372D" w:rsidP="0042372D">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318E84EA" w14:textId="7B306342" w:rsidR="0042372D" w:rsidRDefault="0042372D" w:rsidP="0042372D">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438DD76E" w14:textId="2748A5C6" w:rsidR="0042372D" w:rsidRDefault="0042372D" w:rsidP="0042372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38E694F" w14:textId="5A3E82E4" w:rsidR="0042372D" w:rsidRDefault="0042372D" w:rsidP="0042372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96AC713" w14:textId="7459DDDE" w:rsidR="0042372D" w:rsidRDefault="0042372D" w:rsidP="0042372D">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106419C5" w14:textId="6F02538F" w:rsidR="0042372D" w:rsidRDefault="0042372D" w:rsidP="0042372D">
            <w:pPr>
              <w:jc w:val="right"/>
              <w:rPr>
                <w:color w:val="000000"/>
                <w:sz w:val="20"/>
                <w:szCs w:val="20"/>
              </w:rPr>
            </w:pPr>
            <w:r>
              <w:rPr>
                <w:color w:val="000000"/>
                <w:sz w:val="20"/>
                <w:szCs w:val="20"/>
              </w:rPr>
              <w:t>0.001</w:t>
            </w:r>
          </w:p>
        </w:tc>
      </w:tr>
      <w:tr w:rsidR="0042372D" w14:paraId="39A040E7" w14:textId="77777777" w:rsidTr="00A5290E">
        <w:trPr>
          <w:trHeight w:val="340"/>
        </w:trPr>
        <w:tc>
          <w:tcPr>
            <w:tcW w:w="1176" w:type="dxa"/>
            <w:tcBorders>
              <w:top w:val="nil"/>
              <w:left w:val="nil"/>
              <w:bottom w:val="single" w:sz="12" w:space="0" w:color="auto"/>
              <w:right w:val="nil"/>
            </w:tcBorders>
            <w:shd w:val="clear" w:color="auto" w:fill="auto"/>
            <w:noWrap/>
            <w:vAlign w:val="bottom"/>
            <w:hideMark/>
          </w:tcPr>
          <w:p w14:paraId="284FA009" w14:textId="77777777" w:rsidR="0042372D" w:rsidRDefault="0042372D" w:rsidP="0042372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11BB360A" w14:textId="77777777" w:rsidR="0042372D" w:rsidRDefault="0042372D" w:rsidP="0042372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5614DD05" w14:textId="5C0C18A4" w:rsidR="0042372D" w:rsidRDefault="0042372D" w:rsidP="0042372D">
            <w:pPr>
              <w:jc w:val="right"/>
              <w:rPr>
                <w:color w:val="000000"/>
                <w:sz w:val="20"/>
                <w:szCs w:val="20"/>
              </w:rPr>
            </w:pPr>
            <w:r>
              <w:rPr>
                <w:color w:val="000000"/>
                <w:sz w:val="20"/>
                <w:szCs w:val="20"/>
              </w:rPr>
              <w:t>0.080</w:t>
            </w:r>
          </w:p>
        </w:tc>
        <w:tc>
          <w:tcPr>
            <w:tcW w:w="768" w:type="dxa"/>
            <w:tcBorders>
              <w:top w:val="nil"/>
              <w:left w:val="nil"/>
              <w:bottom w:val="single" w:sz="12" w:space="0" w:color="auto"/>
              <w:right w:val="nil"/>
            </w:tcBorders>
            <w:shd w:val="clear" w:color="auto" w:fill="auto"/>
            <w:noWrap/>
            <w:vAlign w:val="bottom"/>
            <w:hideMark/>
          </w:tcPr>
          <w:p w14:paraId="796FFC47" w14:textId="22A9D992" w:rsidR="0042372D" w:rsidRDefault="0042372D" w:rsidP="0042372D">
            <w:pPr>
              <w:jc w:val="right"/>
              <w:rPr>
                <w:color w:val="000000"/>
                <w:sz w:val="20"/>
                <w:szCs w:val="20"/>
              </w:rPr>
            </w:pPr>
            <w:r>
              <w:rPr>
                <w:color w:val="000000"/>
                <w:sz w:val="20"/>
                <w:szCs w:val="20"/>
              </w:rPr>
              <w:t>0.120</w:t>
            </w:r>
          </w:p>
        </w:tc>
        <w:tc>
          <w:tcPr>
            <w:tcW w:w="768" w:type="dxa"/>
            <w:tcBorders>
              <w:top w:val="nil"/>
              <w:left w:val="nil"/>
              <w:bottom w:val="single" w:sz="12" w:space="0" w:color="auto"/>
              <w:right w:val="nil"/>
            </w:tcBorders>
            <w:shd w:val="clear" w:color="auto" w:fill="auto"/>
            <w:noWrap/>
            <w:vAlign w:val="bottom"/>
            <w:hideMark/>
          </w:tcPr>
          <w:p w14:paraId="582E2C79" w14:textId="1C8C1AE1" w:rsidR="0042372D" w:rsidRDefault="0042372D" w:rsidP="0042372D">
            <w:pPr>
              <w:jc w:val="right"/>
              <w:rPr>
                <w:color w:val="000000"/>
                <w:sz w:val="20"/>
                <w:szCs w:val="20"/>
              </w:rPr>
            </w:pPr>
            <w:r>
              <w:rPr>
                <w:color w:val="000000"/>
                <w:sz w:val="20"/>
                <w:szCs w:val="20"/>
              </w:rPr>
              <w:t>0.006</w:t>
            </w:r>
          </w:p>
        </w:tc>
        <w:tc>
          <w:tcPr>
            <w:tcW w:w="768" w:type="dxa"/>
            <w:tcBorders>
              <w:top w:val="nil"/>
              <w:left w:val="nil"/>
              <w:bottom w:val="single" w:sz="12" w:space="0" w:color="auto"/>
              <w:right w:val="nil"/>
            </w:tcBorders>
            <w:shd w:val="clear" w:color="auto" w:fill="auto"/>
            <w:noWrap/>
            <w:vAlign w:val="bottom"/>
            <w:hideMark/>
          </w:tcPr>
          <w:p w14:paraId="7E6D0162" w14:textId="1D4B8110" w:rsidR="0042372D" w:rsidRDefault="0042372D" w:rsidP="0042372D">
            <w:pPr>
              <w:jc w:val="right"/>
              <w:rPr>
                <w:color w:val="000000"/>
                <w:sz w:val="20"/>
                <w:szCs w:val="20"/>
              </w:rPr>
            </w:pPr>
            <w:r>
              <w:rPr>
                <w:color w:val="000000"/>
                <w:sz w:val="20"/>
                <w:szCs w:val="20"/>
              </w:rPr>
              <w:t>-0.023</w:t>
            </w:r>
          </w:p>
        </w:tc>
        <w:tc>
          <w:tcPr>
            <w:tcW w:w="768" w:type="dxa"/>
            <w:tcBorders>
              <w:top w:val="nil"/>
              <w:left w:val="nil"/>
              <w:bottom w:val="single" w:sz="12" w:space="0" w:color="auto"/>
              <w:right w:val="nil"/>
            </w:tcBorders>
            <w:shd w:val="clear" w:color="auto" w:fill="auto"/>
            <w:noWrap/>
            <w:vAlign w:val="bottom"/>
            <w:hideMark/>
          </w:tcPr>
          <w:p w14:paraId="36DB0E3A" w14:textId="2AA4287F" w:rsidR="0042372D" w:rsidRDefault="0042372D" w:rsidP="0042372D">
            <w:pPr>
              <w:jc w:val="right"/>
              <w:rPr>
                <w:color w:val="000000"/>
                <w:sz w:val="20"/>
                <w:szCs w:val="20"/>
              </w:rPr>
            </w:pPr>
            <w:r>
              <w:rPr>
                <w:color w:val="000000"/>
                <w:sz w:val="20"/>
                <w:szCs w:val="20"/>
              </w:rPr>
              <w:t>0.656</w:t>
            </w:r>
          </w:p>
        </w:tc>
        <w:tc>
          <w:tcPr>
            <w:tcW w:w="768" w:type="dxa"/>
            <w:tcBorders>
              <w:top w:val="nil"/>
              <w:left w:val="nil"/>
              <w:bottom w:val="single" w:sz="12" w:space="0" w:color="auto"/>
              <w:right w:val="nil"/>
            </w:tcBorders>
            <w:shd w:val="clear" w:color="auto" w:fill="auto"/>
            <w:noWrap/>
            <w:vAlign w:val="bottom"/>
            <w:hideMark/>
          </w:tcPr>
          <w:p w14:paraId="0CBDAA34" w14:textId="334E07E0"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63374C47" w14:textId="7AB873DB" w:rsidR="0042372D" w:rsidRDefault="0042372D" w:rsidP="0042372D">
            <w:pPr>
              <w:jc w:val="right"/>
              <w:rPr>
                <w:color w:val="000000"/>
                <w:sz w:val="20"/>
                <w:szCs w:val="20"/>
              </w:rPr>
            </w:pPr>
            <w:r>
              <w:rPr>
                <w:color w:val="000000"/>
                <w:sz w:val="20"/>
                <w:szCs w:val="20"/>
              </w:rPr>
              <w:t>-0.013</w:t>
            </w:r>
          </w:p>
        </w:tc>
        <w:tc>
          <w:tcPr>
            <w:tcW w:w="768" w:type="dxa"/>
            <w:tcBorders>
              <w:top w:val="nil"/>
              <w:left w:val="nil"/>
              <w:bottom w:val="single" w:sz="12" w:space="0" w:color="auto"/>
              <w:right w:val="nil"/>
            </w:tcBorders>
            <w:shd w:val="clear" w:color="auto" w:fill="auto"/>
            <w:noWrap/>
            <w:vAlign w:val="bottom"/>
            <w:hideMark/>
          </w:tcPr>
          <w:p w14:paraId="5B763342" w14:textId="1D62F905" w:rsidR="0042372D" w:rsidRDefault="0042372D" w:rsidP="0042372D">
            <w:pPr>
              <w:jc w:val="right"/>
              <w:rPr>
                <w:color w:val="000000"/>
                <w:sz w:val="20"/>
                <w:szCs w:val="20"/>
              </w:rPr>
            </w:pPr>
            <w:r>
              <w:rPr>
                <w:color w:val="000000"/>
                <w:sz w:val="20"/>
                <w:szCs w:val="20"/>
              </w:rPr>
              <w:t>0.706</w:t>
            </w:r>
          </w:p>
        </w:tc>
        <w:tc>
          <w:tcPr>
            <w:tcW w:w="768" w:type="dxa"/>
            <w:tcBorders>
              <w:top w:val="nil"/>
              <w:left w:val="nil"/>
              <w:bottom w:val="single" w:sz="12" w:space="0" w:color="auto"/>
              <w:right w:val="nil"/>
            </w:tcBorders>
            <w:shd w:val="clear" w:color="auto" w:fill="auto"/>
            <w:noWrap/>
            <w:vAlign w:val="bottom"/>
            <w:hideMark/>
          </w:tcPr>
          <w:p w14:paraId="6099414B" w14:textId="5ADC284E" w:rsidR="0042372D" w:rsidRDefault="0042372D" w:rsidP="0042372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26ABDAC" w14:textId="4F02A3D9" w:rsidR="0042372D" w:rsidRDefault="0042372D" w:rsidP="0042372D">
            <w:pPr>
              <w:jc w:val="right"/>
              <w:rPr>
                <w:color w:val="000000"/>
                <w:sz w:val="20"/>
                <w:szCs w:val="20"/>
              </w:rPr>
            </w:pPr>
            <w:r>
              <w:rPr>
                <w:color w:val="000000"/>
                <w:sz w:val="20"/>
                <w:szCs w:val="20"/>
              </w:rPr>
              <w:t>0.025</w:t>
            </w:r>
          </w:p>
        </w:tc>
        <w:tc>
          <w:tcPr>
            <w:tcW w:w="768" w:type="dxa"/>
            <w:tcBorders>
              <w:top w:val="nil"/>
              <w:left w:val="nil"/>
              <w:bottom w:val="single" w:sz="12" w:space="0" w:color="auto"/>
              <w:right w:val="nil"/>
            </w:tcBorders>
            <w:shd w:val="clear" w:color="auto" w:fill="auto"/>
            <w:noWrap/>
            <w:vAlign w:val="bottom"/>
            <w:hideMark/>
          </w:tcPr>
          <w:p w14:paraId="03FB711D" w14:textId="4FDEEF11" w:rsidR="0042372D" w:rsidRDefault="0042372D" w:rsidP="0042372D">
            <w:pPr>
              <w:jc w:val="right"/>
              <w:rPr>
                <w:color w:val="000000"/>
                <w:sz w:val="20"/>
                <w:szCs w:val="20"/>
              </w:rPr>
            </w:pPr>
            <w:r>
              <w:rPr>
                <w:color w:val="000000"/>
                <w:sz w:val="20"/>
                <w:szCs w:val="20"/>
              </w:rPr>
              <w:t>0.757</w:t>
            </w:r>
          </w:p>
        </w:tc>
        <w:tc>
          <w:tcPr>
            <w:tcW w:w="768" w:type="dxa"/>
            <w:tcBorders>
              <w:top w:val="nil"/>
              <w:left w:val="nil"/>
              <w:bottom w:val="single" w:sz="12" w:space="0" w:color="auto"/>
              <w:right w:val="nil"/>
            </w:tcBorders>
            <w:shd w:val="clear" w:color="auto" w:fill="auto"/>
            <w:noWrap/>
            <w:vAlign w:val="bottom"/>
            <w:hideMark/>
          </w:tcPr>
          <w:p w14:paraId="602F224D" w14:textId="59C6F7C6" w:rsidR="0042372D" w:rsidRDefault="0042372D" w:rsidP="0042372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0B43C9BB" w14:textId="76A537F0" w:rsidR="0042372D" w:rsidRDefault="0042372D" w:rsidP="0042372D">
            <w:pPr>
              <w:jc w:val="right"/>
              <w:rPr>
                <w:color w:val="000000"/>
                <w:sz w:val="20"/>
                <w:szCs w:val="20"/>
              </w:rPr>
            </w:pPr>
            <w:r>
              <w:rPr>
                <w:color w:val="000000"/>
                <w:sz w:val="20"/>
                <w:szCs w:val="20"/>
              </w:rPr>
              <w:t>0.021</w:t>
            </w:r>
          </w:p>
        </w:tc>
        <w:tc>
          <w:tcPr>
            <w:tcW w:w="768" w:type="dxa"/>
            <w:tcBorders>
              <w:top w:val="nil"/>
              <w:left w:val="nil"/>
              <w:bottom w:val="single" w:sz="12" w:space="0" w:color="auto"/>
              <w:right w:val="nil"/>
            </w:tcBorders>
            <w:shd w:val="clear" w:color="auto" w:fill="auto"/>
            <w:noWrap/>
            <w:vAlign w:val="bottom"/>
            <w:hideMark/>
          </w:tcPr>
          <w:p w14:paraId="429EB1AC" w14:textId="6AD73897" w:rsidR="0042372D" w:rsidRDefault="0042372D" w:rsidP="0042372D">
            <w:pPr>
              <w:jc w:val="right"/>
              <w:rPr>
                <w:color w:val="000000"/>
                <w:sz w:val="20"/>
                <w:szCs w:val="20"/>
              </w:rPr>
            </w:pPr>
            <w:r>
              <w:rPr>
                <w:color w:val="000000"/>
                <w:sz w:val="20"/>
                <w:szCs w:val="20"/>
              </w:rPr>
              <w:t>0.704</w:t>
            </w:r>
          </w:p>
        </w:tc>
        <w:tc>
          <w:tcPr>
            <w:tcW w:w="768" w:type="dxa"/>
            <w:tcBorders>
              <w:top w:val="nil"/>
              <w:left w:val="nil"/>
              <w:bottom w:val="single" w:sz="12" w:space="0" w:color="auto"/>
              <w:right w:val="nil"/>
            </w:tcBorders>
            <w:shd w:val="clear" w:color="auto" w:fill="auto"/>
            <w:noWrap/>
            <w:vAlign w:val="bottom"/>
            <w:hideMark/>
          </w:tcPr>
          <w:p w14:paraId="5D12E9CD" w14:textId="4DEC40C8" w:rsidR="0042372D" w:rsidRDefault="0042372D" w:rsidP="0042372D">
            <w:pPr>
              <w:jc w:val="right"/>
              <w:rPr>
                <w:color w:val="000000"/>
                <w:sz w:val="20"/>
                <w:szCs w:val="20"/>
              </w:rPr>
            </w:pPr>
            <w:r>
              <w:rPr>
                <w:color w:val="000000"/>
                <w:sz w:val="20"/>
                <w:szCs w:val="20"/>
              </w:rPr>
              <w:t>0.000</w:t>
            </w:r>
          </w:p>
        </w:tc>
      </w:tr>
      <w:tr w:rsidR="00E61467" w14:paraId="33664D0E" w14:textId="77777777" w:rsidTr="00A5290E">
        <w:trPr>
          <w:trHeight w:val="320"/>
        </w:trPr>
        <w:tc>
          <w:tcPr>
            <w:tcW w:w="1176" w:type="dxa"/>
            <w:tcBorders>
              <w:top w:val="single" w:sz="12" w:space="0" w:color="auto"/>
              <w:left w:val="nil"/>
              <w:bottom w:val="nil"/>
              <w:right w:val="nil"/>
            </w:tcBorders>
            <w:shd w:val="clear" w:color="auto" w:fill="auto"/>
            <w:noWrap/>
            <w:vAlign w:val="bottom"/>
            <w:hideMark/>
          </w:tcPr>
          <w:p w14:paraId="53E6B92E" w14:textId="77777777" w:rsidR="00E61467" w:rsidRDefault="00E61467">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555AFCB1" w14:textId="77777777" w:rsidR="00E61467" w:rsidRDefault="00E61467">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1E9CEA1E"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4CE563F"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ACF5E17"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05982D5"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4FCDD34"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3BED3BA"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ACD8BDA"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7B18DD"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F75BB11"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2963A6B"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84BDA09"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0F869D4"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500E3B4"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E2C2345" w14:textId="77777777" w:rsidR="00E61467" w:rsidRDefault="00E614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E51CE5B" w14:textId="77777777" w:rsidR="00E61467" w:rsidRDefault="00E61467">
            <w:pPr>
              <w:rPr>
                <w:sz w:val="20"/>
                <w:szCs w:val="20"/>
              </w:rPr>
            </w:pPr>
          </w:p>
        </w:tc>
      </w:tr>
    </w:tbl>
    <w:p w14:paraId="54A42D4C" w14:textId="1EEA2EC1" w:rsidR="00E61467" w:rsidRDefault="00E61467" w:rsidP="00AA3295">
      <w:pPr>
        <w:rPr>
          <w:rFonts w:eastAsia="Batang"/>
          <w:i/>
          <w:iCs/>
        </w:rPr>
      </w:pPr>
    </w:p>
    <w:p w14:paraId="19106BD8" w14:textId="77777777" w:rsidR="00E61467" w:rsidRDefault="00E61467">
      <w:pPr>
        <w:rPr>
          <w:rFonts w:eastAsia="Batang"/>
          <w:i/>
          <w:iCs/>
        </w:rPr>
      </w:pPr>
      <w:r>
        <w:rPr>
          <w:rFonts w:eastAsia="Batang"/>
          <w:i/>
          <w:iCs/>
        </w:rPr>
        <w:br w:type="page"/>
      </w:r>
    </w:p>
    <w:p w14:paraId="356C82FF" w14:textId="0E7E5EDF" w:rsidR="007A48E4" w:rsidRPr="009E2A20" w:rsidRDefault="00432B71" w:rsidP="009E2A20">
      <w:pPr>
        <w:pStyle w:val="Heading1"/>
        <w:rPr>
          <w:rFonts w:ascii="Times New Roman" w:hAnsi="Times New Roman" w:cs="Times New Roman"/>
          <w:color w:val="000000" w:themeColor="text1"/>
          <w:sz w:val="24"/>
          <w:szCs w:val="24"/>
        </w:rPr>
      </w:pPr>
      <w:bookmarkStart w:id="29" w:name="_Toc155817696"/>
      <w:r>
        <w:rPr>
          <w:rFonts w:ascii="Times New Roman" w:hAnsi="Times New Roman" w:cs="Times New Roman"/>
          <w:b/>
          <w:bCs/>
          <w:color w:val="000000" w:themeColor="text1"/>
          <w:sz w:val="24"/>
          <w:szCs w:val="24"/>
        </w:rPr>
        <w:lastRenderedPageBreak/>
        <w:t xml:space="preserve">Table </w:t>
      </w:r>
      <w:r w:rsidR="00DE156A">
        <w:rPr>
          <w:rFonts w:ascii="Times New Roman" w:hAnsi="Times New Roman" w:cs="Times New Roman"/>
          <w:b/>
          <w:bCs/>
          <w:color w:val="000000" w:themeColor="text1"/>
          <w:sz w:val="24"/>
          <w:szCs w:val="24"/>
        </w:rPr>
        <w:t>9</w:t>
      </w:r>
      <w:r w:rsidR="00E61467" w:rsidRPr="009E2A20">
        <w:rPr>
          <w:rFonts w:ascii="Times New Roman" w:hAnsi="Times New Roman" w:cs="Times New Roman"/>
          <w:b/>
          <w:bCs/>
          <w:color w:val="000000" w:themeColor="text1"/>
          <w:sz w:val="24"/>
          <w:szCs w:val="24"/>
        </w:rPr>
        <w:t xml:space="preserve">b. </w:t>
      </w:r>
      <w:r w:rsidR="00E61467"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diameter during emotional n-back task</w:t>
      </w:r>
      <w:bookmarkEnd w:id="29"/>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6E3CB6" w14:paraId="387133D6" w14:textId="77777777" w:rsidTr="00A5290E">
        <w:trPr>
          <w:trHeight w:val="340"/>
        </w:trPr>
        <w:tc>
          <w:tcPr>
            <w:tcW w:w="1176" w:type="dxa"/>
            <w:tcBorders>
              <w:top w:val="nil"/>
              <w:left w:val="nil"/>
              <w:bottom w:val="single" w:sz="12" w:space="0" w:color="auto"/>
              <w:right w:val="nil"/>
            </w:tcBorders>
            <w:shd w:val="clear" w:color="auto" w:fill="auto"/>
            <w:noWrap/>
            <w:vAlign w:val="bottom"/>
            <w:hideMark/>
          </w:tcPr>
          <w:p w14:paraId="4AD71A40" w14:textId="77777777" w:rsidR="006E3CB6" w:rsidRDefault="006E3CB6">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3916E483" w14:textId="77777777" w:rsidR="006E3CB6" w:rsidRDefault="006E3CB6">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3E495892" w14:textId="77777777" w:rsidR="006E3CB6" w:rsidRDefault="006E3CB6">
            <w:pPr>
              <w:rPr>
                <w:color w:val="000000"/>
              </w:rPr>
            </w:pPr>
          </w:p>
        </w:tc>
        <w:tc>
          <w:tcPr>
            <w:tcW w:w="768" w:type="dxa"/>
            <w:tcBorders>
              <w:top w:val="nil"/>
              <w:left w:val="nil"/>
              <w:bottom w:val="single" w:sz="12" w:space="0" w:color="auto"/>
              <w:right w:val="nil"/>
            </w:tcBorders>
            <w:shd w:val="clear" w:color="auto" w:fill="auto"/>
            <w:noWrap/>
            <w:vAlign w:val="bottom"/>
            <w:hideMark/>
          </w:tcPr>
          <w:p w14:paraId="1ED7B0DB"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3A896E7"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5B1F17D"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68A0C86"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90F286D"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58EBCD4"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FEF0C0D"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0AE0BF1"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00CDF63"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8E2B3B3"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C14E475"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88D397E"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CE35A36" w14:textId="77777777" w:rsidR="006E3CB6" w:rsidRDefault="006E3CB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9088F60" w14:textId="77777777" w:rsidR="006E3CB6" w:rsidRDefault="006E3CB6">
            <w:pPr>
              <w:rPr>
                <w:sz w:val="20"/>
                <w:szCs w:val="20"/>
              </w:rPr>
            </w:pPr>
          </w:p>
        </w:tc>
      </w:tr>
      <w:tr w:rsidR="006E3CB6" w14:paraId="6FA92DCC" w14:textId="77777777" w:rsidTr="00A5290E">
        <w:trPr>
          <w:trHeight w:val="340"/>
        </w:trPr>
        <w:tc>
          <w:tcPr>
            <w:tcW w:w="1176" w:type="dxa"/>
            <w:tcBorders>
              <w:top w:val="single" w:sz="12" w:space="0" w:color="auto"/>
              <w:left w:val="nil"/>
              <w:bottom w:val="nil"/>
              <w:right w:val="nil"/>
            </w:tcBorders>
            <w:shd w:val="clear" w:color="auto" w:fill="auto"/>
            <w:noWrap/>
            <w:vAlign w:val="bottom"/>
            <w:hideMark/>
          </w:tcPr>
          <w:p w14:paraId="69DE6A0A" w14:textId="77777777" w:rsidR="006E3CB6" w:rsidRDefault="006E3CB6">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1496DE8C" w14:textId="77777777" w:rsidR="006E3CB6" w:rsidRDefault="006E3CB6">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7AE45D53" w14:textId="58512D80" w:rsidR="006E3CB6" w:rsidRDefault="006E3CB6">
            <w:pPr>
              <w:jc w:val="center"/>
              <w:rPr>
                <w:color w:val="000000"/>
                <w:sz w:val="20"/>
                <w:szCs w:val="20"/>
              </w:rPr>
            </w:pPr>
            <w:r>
              <w:rPr>
                <w:color w:val="000000"/>
                <w:sz w:val="20"/>
                <w:szCs w:val="20"/>
              </w:rPr>
              <w:t>General</w:t>
            </w:r>
            <w:r w:rsidR="00A4374E">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5DD2966" w14:textId="77777777" w:rsidR="006E3CB6" w:rsidRDefault="006E3CB6">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089E56E" w14:textId="77777777" w:rsidR="006E3CB6" w:rsidRDefault="006E3CB6">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533695B" w14:textId="77777777" w:rsidR="006E3CB6" w:rsidRDefault="006E3CB6">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105D8AF9" w14:textId="77777777" w:rsidR="006E3CB6" w:rsidRDefault="006E3CB6">
            <w:pPr>
              <w:jc w:val="center"/>
              <w:rPr>
                <w:color w:val="000000"/>
                <w:sz w:val="20"/>
                <w:szCs w:val="20"/>
              </w:rPr>
            </w:pPr>
            <w:r>
              <w:rPr>
                <w:color w:val="000000"/>
                <w:sz w:val="20"/>
                <w:szCs w:val="20"/>
              </w:rPr>
              <w:t>Urbanicity</w:t>
            </w:r>
          </w:p>
        </w:tc>
      </w:tr>
      <w:tr w:rsidR="002125FE" w14:paraId="49954885" w14:textId="77777777" w:rsidTr="00A5290E">
        <w:trPr>
          <w:trHeight w:val="360"/>
        </w:trPr>
        <w:tc>
          <w:tcPr>
            <w:tcW w:w="1176" w:type="dxa"/>
            <w:tcBorders>
              <w:top w:val="nil"/>
              <w:left w:val="nil"/>
              <w:bottom w:val="single" w:sz="12" w:space="0" w:color="auto"/>
              <w:right w:val="nil"/>
            </w:tcBorders>
            <w:shd w:val="clear" w:color="auto" w:fill="auto"/>
            <w:noWrap/>
            <w:vAlign w:val="bottom"/>
            <w:hideMark/>
          </w:tcPr>
          <w:p w14:paraId="484EE5EB"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15D73720"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7C6A766D" w14:textId="1CF2C04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B4E2F75" w14:textId="3A03281C"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17F58B9" w14:textId="26269D27"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D7B740B" w14:textId="3267B8F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41FA4BB" w14:textId="6D67B065"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7CFF98DC" w14:textId="3DE6FD2A"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749824BB" w14:textId="618B1271"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0BC62108" w14:textId="1306112A"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4AEDF690" w14:textId="6ACD35D9"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2618D72B" w14:textId="5D97AB82"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220352D5" w14:textId="4F8F2184"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748D706B" w14:textId="4105A3E3"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11EBE2A" w14:textId="106D1AA1"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37256DB" w14:textId="44EE3B5A"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47AE44E" w14:textId="0267D486"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BD229F" w14:paraId="5E42FF96" w14:textId="77777777" w:rsidTr="00A5290E">
        <w:trPr>
          <w:trHeight w:val="320"/>
        </w:trPr>
        <w:tc>
          <w:tcPr>
            <w:tcW w:w="1176" w:type="dxa"/>
            <w:tcBorders>
              <w:top w:val="single" w:sz="12" w:space="0" w:color="auto"/>
              <w:left w:val="nil"/>
              <w:bottom w:val="nil"/>
              <w:right w:val="nil"/>
            </w:tcBorders>
            <w:shd w:val="clear" w:color="auto" w:fill="auto"/>
            <w:noWrap/>
            <w:vAlign w:val="bottom"/>
            <w:hideMark/>
          </w:tcPr>
          <w:p w14:paraId="7F0BFB64" w14:textId="77777777" w:rsidR="00BD229F" w:rsidRDefault="00BD229F" w:rsidP="00BD229F">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09B82CCF" w14:textId="77777777" w:rsidR="00BD229F" w:rsidRDefault="00BD229F" w:rsidP="00BD229F">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799BAFE0" w14:textId="55AE3BF6" w:rsidR="00BD229F" w:rsidRDefault="00BD229F" w:rsidP="00BD229F">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64B72ACB" w14:textId="487BBE81" w:rsidR="00BD229F" w:rsidRDefault="00BD229F" w:rsidP="00BD229F">
            <w:pPr>
              <w:jc w:val="right"/>
              <w:rPr>
                <w:color w:val="000000"/>
                <w:sz w:val="20"/>
                <w:szCs w:val="20"/>
              </w:rPr>
            </w:pPr>
            <w:r>
              <w:rPr>
                <w:color w:val="000000"/>
                <w:sz w:val="20"/>
                <w:szCs w:val="20"/>
              </w:rPr>
              <w:t>0.966</w:t>
            </w:r>
          </w:p>
        </w:tc>
        <w:tc>
          <w:tcPr>
            <w:tcW w:w="768" w:type="dxa"/>
            <w:tcBorders>
              <w:top w:val="single" w:sz="12" w:space="0" w:color="auto"/>
              <w:left w:val="nil"/>
              <w:bottom w:val="nil"/>
              <w:right w:val="nil"/>
            </w:tcBorders>
            <w:shd w:val="clear" w:color="auto" w:fill="auto"/>
            <w:noWrap/>
            <w:vAlign w:val="bottom"/>
            <w:hideMark/>
          </w:tcPr>
          <w:p w14:paraId="61F1A8DA" w14:textId="44A47D58" w:rsidR="00BD229F" w:rsidRDefault="00BD229F" w:rsidP="00BD229F">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EE79DBF" w14:textId="6AF5CEE4" w:rsidR="00BD229F" w:rsidRDefault="00BD229F" w:rsidP="00BD229F">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669B671A" w14:textId="21FD9DC7" w:rsidR="00BD229F" w:rsidRDefault="00BD229F" w:rsidP="00BD229F">
            <w:pPr>
              <w:jc w:val="right"/>
              <w:rPr>
                <w:color w:val="000000"/>
                <w:sz w:val="20"/>
                <w:szCs w:val="20"/>
              </w:rPr>
            </w:pPr>
            <w:r>
              <w:rPr>
                <w:color w:val="000000"/>
                <w:sz w:val="20"/>
                <w:szCs w:val="20"/>
              </w:rPr>
              <w:t>0.927</w:t>
            </w:r>
          </w:p>
        </w:tc>
        <w:tc>
          <w:tcPr>
            <w:tcW w:w="768" w:type="dxa"/>
            <w:tcBorders>
              <w:top w:val="single" w:sz="12" w:space="0" w:color="auto"/>
              <w:left w:val="nil"/>
              <w:bottom w:val="nil"/>
              <w:right w:val="nil"/>
            </w:tcBorders>
            <w:shd w:val="clear" w:color="auto" w:fill="auto"/>
            <w:noWrap/>
            <w:vAlign w:val="bottom"/>
            <w:hideMark/>
          </w:tcPr>
          <w:p w14:paraId="72CF2B8E" w14:textId="59193099" w:rsidR="00BD229F" w:rsidRDefault="00BD229F" w:rsidP="00BD229F">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0C6E1FF" w14:textId="285AC82D" w:rsidR="00BD229F" w:rsidRDefault="00BD229F" w:rsidP="00BD229F">
            <w:pPr>
              <w:jc w:val="right"/>
              <w:rPr>
                <w:color w:val="000000"/>
                <w:sz w:val="20"/>
                <w:szCs w:val="20"/>
              </w:rPr>
            </w:pPr>
            <w:r>
              <w:rPr>
                <w:color w:val="000000"/>
                <w:sz w:val="20"/>
                <w:szCs w:val="20"/>
              </w:rPr>
              <w:t>-0.059</w:t>
            </w:r>
          </w:p>
        </w:tc>
        <w:tc>
          <w:tcPr>
            <w:tcW w:w="768" w:type="dxa"/>
            <w:tcBorders>
              <w:top w:val="single" w:sz="12" w:space="0" w:color="auto"/>
              <w:left w:val="nil"/>
              <w:bottom w:val="nil"/>
              <w:right w:val="nil"/>
            </w:tcBorders>
            <w:shd w:val="clear" w:color="auto" w:fill="auto"/>
            <w:noWrap/>
            <w:vAlign w:val="bottom"/>
            <w:hideMark/>
          </w:tcPr>
          <w:p w14:paraId="38D8AD68" w14:textId="46CE01D1" w:rsidR="00BD229F" w:rsidRDefault="00BD229F" w:rsidP="00BD229F">
            <w:pPr>
              <w:jc w:val="right"/>
              <w:rPr>
                <w:color w:val="000000"/>
                <w:sz w:val="20"/>
                <w:szCs w:val="20"/>
              </w:rPr>
            </w:pPr>
            <w:r>
              <w:rPr>
                <w:color w:val="000000"/>
                <w:sz w:val="20"/>
                <w:szCs w:val="20"/>
              </w:rPr>
              <w:t>0.293</w:t>
            </w:r>
          </w:p>
        </w:tc>
        <w:tc>
          <w:tcPr>
            <w:tcW w:w="768" w:type="dxa"/>
            <w:tcBorders>
              <w:top w:val="single" w:sz="12" w:space="0" w:color="auto"/>
              <w:left w:val="nil"/>
              <w:bottom w:val="nil"/>
              <w:right w:val="nil"/>
            </w:tcBorders>
            <w:shd w:val="clear" w:color="auto" w:fill="auto"/>
            <w:noWrap/>
            <w:vAlign w:val="bottom"/>
            <w:hideMark/>
          </w:tcPr>
          <w:p w14:paraId="6B814A57" w14:textId="75951E90" w:rsidR="00BD229F" w:rsidRDefault="00BD229F" w:rsidP="00BD229F">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5A0DEA75" w14:textId="623F3E94" w:rsidR="00BD229F" w:rsidRDefault="00BD229F" w:rsidP="00BD229F">
            <w:pPr>
              <w:jc w:val="right"/>
              <w:rPr>
                <w:color w:val="000000"/>
                <w:sz w:val="20"/>
                <w:szCs w:val="20"/>
              </w:rPr>
            </w:pPr>
            <w:r>
              <w:rPr>
                <w:color w:val="000000"/>
                <w:sz w:val="20"/>
                <w:szCs w:val="20"/>
              </w:rPr>
              <w:t>0.020</w:t>
            </w:r>
          </w:p>
        </w:tc>
        <w:tc>
          <w:tcPr>
            <w:tcW w:w="768" w:type="dxa"/>
            <w:tcBorders>
              <w:top w:val="single" w:sz="12" w:space="0" w:color="auto"/>
              <w:left w:val="nil"/>
              <w:bottom w:val="nil"/>
              <w:right w:val="nil"/>
            </w:tcBorders>
            <w:shd w:val="clear" w:color="auto" w:fill="auto"/>
            <w:noWrap/>
            <w:vAlign w:val="bottom"/>
            <w:hideMark/>
          </w:tcPr>
          <w:p w14:paraId="62E87846" w14:textId="45404C56" w:rsidR="00BD229F" w:rsidRDefault="00BD229F" w:rsidP="00BD229F">
            <w:pPr>
              <w:jc w:val="right"/>
              <w:rPr>
                <w:color w:val="000000"/>
                <w:sz w:val="20"/>
                <w:szCs w:val="20"/>
              </w:rPr>
            </w:pPr>
            <w:r>
              <w:rPr>
                <w:color w:val="000000"/>
                <w:sz w:val="20"/>
                <w:szCs w:val="20"/>
              </w:rPr>
              <w:t>0.673</w:t>
            </w:r>
          </w:p>
        </w:tc>
        <w:tc>
          <w:tcPr>
            <w:tcW w:w="768" w:type="dxa"/>
            <w:tcBorders>
              <w:top w:val="single" w:sz="12" w:space="0" w:color="auto"/>
              <w:left w:val="nil"/>
              <w:bottom w:val="nil"/>
              <w:right w:val="nil"/>
            </w:tcBorders>
            <w:shd w:val="clear" w:color="auto" w:fill="auto"/>
            <w:noWrap/>
            <w:vAlign w:val="bottom"/>
            <w:hideMark/>
          </w:tcPr>
          <w:p w14:paraId="0B5AF33E" w14:textId="50B35070" w:rsidR="00BD229F" w:rsidRDefault="00BD229F" w:rsidP="00BD229F">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B3254E2" w14:textId="4C3D5A85" w:rsidR="00BD229F" w:rsidRDefault="00BD229F" w:rsidP="00BD229F">
            <w:pPr>
              <w:jc w:val="right"/>
              <w:rPr>
                <w:color w:val="000000"/>
                <w:sz w:val="20"/>
                <w:szCs w:val="20"/>
              </w:rPr>
            </w:pPr>
            <w:r>
              <w:rPr>
                <w:color w:val="000000"/>
                <w:sz w:val="20"/>
                <w:szCs w:val="20"/>
              </w:rPr>
              <w:t>-0.023</w:t>
            </w:r>
          </w:p>
        </w:tc>
        <w:tc>
          <w:tcPr>
            <w:tcW w:w="768" w:type="dxa"/>
            <w:tcBorders>
              <w:top w:val="single" w:sz="12" w:space="0" w:color="auto"/>
              <w:left w:val="nil"/>
              <w:bottom w:val="nil"/>
              <w:right w:val="nil"/>
            </w:tcBorders>
            <w:shd w:val="clear" w:color="auto" w:fill="auto"/>
            <w:noWrap/>
            <w:vAlign w:val="bottom"/>
            <w:hideMark/>
          </w:tcPr>
          <w:p w14:paraId="14EF4742" w14:textId="24907C71" w:rsidR="00BD229F" w:rsidRDefault="00BD229F" w:rsidP="00BD229F">
            <w:pPr>
              <w:jc w:val="right"/>
              <w:rPr>
                <w:color w:val="000000"/>
                <w:sz w:val="20"/>
                <w:szCs w:val="20"/>
              </w:rPr>
            </w:pPr>
            <w:r>
              <w:rPr>
                <w:color w:val="000000"/>
                <w:sz w:val="20"/>
                <w:szCs w:val="20"/>
              </w:rPr>
              <w:t>0.885</w:t>
            </w:r>
          </w:p>
        </w:tc>
        <w:tc>
          <w:tcPr>
            <w:tcW w:w="768" w:type="dxa"/>
            <w:tcBorders>
              <w:top w:val="single" w:sz="12" w:space="0" w:color="auto"/>
              <w:left w:val="nil"/>
              <w:bottom w:val="nil"/>
              <w:right w:val="nil"/>
            </w:tcBorders>
            <w:shd w:val="clear" w:color="auto" w:fill="auto"/>
            <w:noWrap/>
            <w:vAlign w:val="bottom"/>
            <w:hideMark/>
          </w:tcPr>
          <w:p w14:paraId="3A8D6AB2" w14:textId="43805997" w:rsidR="00BD229F" w:rsidRDefault="00BD229F" w:rsidP="00BD229F">
            <w:pPr>
              <w:jc w:val="right"/>
              <w:rPr>
                <w:color w:val="000000"/>
                <w:sz w:val="20"/>
                <w:szCs w:val="20"/>
              </w:rPr>
            </w:pPr>
            <w:r>
              <w:rPr>
                <w:color w:val="000000"/>
                <w:sz w:val="20"/>
                <w:szCs w:val="20"/>
              </w:rPr>
              <w:t>0.001</w:t>
            </w:r>
          </w:p>
        </w:tc>
      </w:tr>
      <w:tr w:rsidR="00BD229F" w14:paraId="63CACEA8" w14:textId="77777777" w:rsidTr="006E3CB6">
        <w:trPr>
          <w:trHeight w:val="340"/>
        </w:trPr>
        <w:tc>
          <w:tcPr>
            <w:tcW w:w="1176" w:type="dxa"/>
            <w:tcBorders>
              <w:top w:val="nil"/>
              <w:left w:val="nil"/>
              <w:bottom w:val="nil"/>
              <w:right w:val="nil"/>
            </w:tcBorders>
            <w:shd w:val="clear" w:color="auto" w:fill="auto"/>
            <w:noWrap/>
            <w:vAlign w:val="bottom"/>
            <w:hideMark/>
          </w:tcPr>
          <w:p w14:paraId="4B53FDED"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413E2B" w14:textId="77777777" w:rsidR="00BD229F" w:rsidRDefault="00BD229F" w:rsidP="00BD229F">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1FAE5FE" w14:textId="62A4BCB7" w:rsidR="00BD229F" w:rsidRDefault="00BD229F" w:rsidP="00BD229F">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1560A2D" w14:textId="4BCBC83C" w:rsidR="00BD229F" w:rsidRDefault="00BD229F" w:rsidP="00BD229F">
            <w:pPr>
              <w:jc w:val="right"/>
              <w:rPr>
                <w:color w:val="000000"/>
                <w:sz w:val="20"/>
                <w:szCs w:val="20"/>
              </w:rPr>
            </w:pPr>
            <w:r>
              <w:rPr>
                <w:color w:val="000000"/>
                <w:sz w:val="20"/>
                <w:szCs w:val="20"/>
              </w:rPr>
              <w:t>0.643</w:t>
            </w:r>
          </w:p>
        </w:tc>
        <w:tc>
          <w:tcPr>
            <w:tcW w:w="768" w:type="dxa"/>
            <w:tcBorders>
              <w:top w:val="nil"/>
              <w:left w:val="nil"/>
              <w:bottom w:val="nil"/>
              <w:right w:val="nil"/>
            </w:tcBorders>
            <w:shd w:val="clear" w:color="auto" w:fill="auto"/>
            <w:noWrap/>
            <w:vAlign w:val="bottom"/>
            <w:hideMark/>
          </w:tcPr>
          <w:p w14:paraId="3CD1566F" w14:textId="5BFCF507"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5EDC45A" w14:textId="4422B3C6"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D929D57" w14:textId="750224C0" w:rsidR="00BD229F" w:rsidRDefault="00BD229F" w:rsidP="00BD229F">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0CAAFAFC" w14:textId="7B9F1128"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6B4A00" w14:textId="71E11548" w:rsidR="00BD229F" w:rsidRDefault="00BD229F" w:rsidP="00BD229F">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D029B2C" w14:textId="3A602C7B" w:rsidR="00BD229F" w:rsidRDefault="00BD229F" w:rsidP="00BD229F">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5807B12A" w14:textId="4149DB97"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246B5B" w14:textId="677FBE1B" w:rsidR="00BD229F" w:rsidRDefault="00BD229F" w:rsidP="00BD229F">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2374665" w14:textId="4823A21B" w:rsidR="00BD229F" w:rsidRDefault="00BD229F" w:rsidP="00BD229F">
            <w:pPr>
              <w:jc w:val="right"/>
              <w:rPr>
                <w:color w:val="000000"/>
                <w:sz w:val="20"/>
                <w:szCs w:val="20"/>
              </w:rPr>
            </w:pPr>
            <w:r>
              <w:rPr>
                <w:color w:val="000000"/>
                <w:sz w:val="20"/>
                <w:szCs w:val="20"/>
              </w:rPr>
              <w:t>0.673</w:t>
            </w:r>
          </w:p>
        </w:tc>
        <w:tc>
          <w:tcPr>
            <w:tcW w:w="768" w:type="dxa"/>
            <w:tcBorders>
              <w:top w:val="nil"/>
              <w:left w:val="nil"/>
              <w:bottom w:val="nil"/>
              <w:right w:val="nil"/>
            </w:tcBorders>
            <w:shd w:val="clear" w:color="auto" w:fill="auto"/>
            <w:noWrap/>
            <w:vAlign w:val="bottom"/>
            <w:hideMark/>
          </w:tcPr>
          <w:p w14:paraId="3D945D58" w14:textId="40C18D29"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CDCBD6" w14:textId="334413ED"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511CCE7" w14:textId="57E26A2E" w:rsidR="00BD229F" w:rsidRDefault="00BD229F" w:rsidP="00BD229F">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66EE6CA4" w14:textId="1ED6CF68" w:rsidR="00BD229F" w:rsidRDefault="00BD229F" w:rsidP="00BD229F">
            <w:pPr>
              <w:jc w:val="right"/>
              <w:rPr>
                <w:color w:val="000000"/>
                <w:sz w:val="20"/>
                <w:szCs w:val="20"/>
              </w:rPr>
            </w:pPr>
            <w:r>
              <w:rPr>
                <w:color w:val="000000"/>
                <w:sz w:val="20"/>
                <w:szCs w:val="20"/>
              </w:rPr>
              <w:t>0.000</w:t>
            </w:r>
          </w:p>
        </w:tc>
      </w:tr>
      <w:tr w:rsidR="00BD229F" w14:paraId="4708443A" w14:textId="77777777" w:rsidTr="006E3CB6">
        <w:trPr>
          <w:trHeight w:val="320"/>
        </w:trPr>
        <w:tc>
          <w:tcPr>
            <w:tcW w:w="1176" w:type="dxa"/>
            <w:tcBorders>
              <w:top w:val="nil"/>
              <w:left w:val="nil"/>
              <w:bottom w:val="nil"/>
              <w:right w:val="nil"/>
            </w:tcBorders>
            <w:shd w:val="clear" w:color="auto" w:fill="auto"/>
            <w:noWrap/>
            <w:vAlign w:val="bottom"/>
            <w:hideMark/>
          </w:tcPr>
          <w:p w14:paraId="7666DF44"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390248B" w14:textId="77777777" w:rsidR="00BD229F" w:rsidRDefault="00BD229F" w:rsidP="00BD229F">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BD6D79E" w14:textId="66301BD4" w:rsidR="00BD229F" w:rsidRDefault="00BD229F" w:rsidP="00BD229F">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6C1A8A2F" w14:textId="7F6E5203" w:rsidR="00BD229F" w:rsidRDefault="00BD229F" w:rsidP="00BD229F">
            <w:pPr>
              <w:jc w:val="right"/>
              <w:rPr>
                <w:color w:val="000000"/>
                <w:sz w:val="20"/>
                <w:szCs w:val="20"/>
              </w:rPr>
            </w:pPr>
            <w:r>
              <w:rPr>
                <w:color w:val="000000"/>
                <w:sz w:val="20"/>
                <w:szCs w:val="20"/>
              </w:rPr>
              <w:t>0.228</w:t>
            </w:r>
          </w:p>
        </w:tc>
        <w:tc>
          <w:tcPr>
            <w:tcW w:w="768" w:type="dxa"/>
            <w:tcBorders>
              <w:top w:val="nil"/>
              <w:left w:val="nil"/>
              <w:bottom w:val="nil"/>
              <w:right w:val="nil"/>
            </w:tcBorders>
            <w:shd w:val="clear" w:color="auto" w:fill="auto"/>
            <w:noWrap/>
            <w:vAlign w:val="bottom"/>
            <w:hideMark/>
          </w:tcPr>
          <w:p w14:paraId="51341958" w14:textId="195838E6" w:rsidR="00BD229F" w:rsidRDefault="00BD229F" w:rsidP="00BD229F">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56BD30F0" w14:textId="4D5F225C" w:rsidR="00BD229F" w:rsidRDefault="00BD229F" w:rsidP="00BD229F">
            <w:pPr>
              <w:jc w:val="right"/>
              <w:rPr>
                <w:color w:val="000000"/>
                <w:sz w:val="20"/>
                <w:szCs w:val="20"/>
              </w:rPr>
            </w:pPr>
            <w:r>
              <w:rPr>
                <w:color w:val="000000"/>
                <w:sz w:val="20"/>
                <w:szCs w:val="20"/>
              </w:rPr>
              <w:t>0.159</w:t>
            </w:r>
          </w:p>
        </w:tc>
        <w:tc>
          <w:tcPr>
            <w:tcW w:w="768" w:type="dxa"/>
            <w:tcBorders>
              <w:top w:val="nil"/>
              <w:left w:val="nil"/>
              <w:bottom w:val="nil"/>
              <w:right w:val="nil"/>
            </w:tcBorders>
            <w:shd w:val="clear" w:color="auto" w:fill="auto"/>
            <w:noWrap/>
            <w:vAlign w:val="bottom"/>
            <w:hideMark/>
          </w:tcPr>
          <w:p w14:paraId="330B5D93" w14:textId="41FE224C" w:rsidR="00BD229F" w:rsidRDefault="00BD229F" w:rsidP="00BD229F">
            <w:pPr>
              <w:jc w:val="right"/>
              <w:rPr>
                <w:color w:val="000000"/>
                <w:sz w:val="20"/>
                <w:szCs w:val="20"/>
              </w:rPr>
            </w:pPr>
            <w:r>
              <w:rPr>
                <w:color w:val="000000"/>
                <w:sz w:val="20"/>
                <w:szCs w:val="20"/>
              </w:rPr>
              <w:t>0.184</w:t>
            </w:r>
          </w:p>
        </w:tc>
        <w:tc>
          <w:tcPr>
            <w:tcW w:w="768" w:type="dxa"/>
            <w:tcBorders>
              <w:top w:val="nil"/>
              <w:left w:val="nil"/>
              <w:bottom w:val="nil"/>
              <w:right w:val="nil"/>
            </w:tcBorders>
            <w:shd w:val="clear" w:color="auto" w:fill="auto"/>
            <w:noWrap/>
            <w:vAlign w:val="bottom"/>
            <w:hideMark/>
          </w:tcPr>
          <w:p w14:paraId="5611A9F1" w14:textId="58131A2A" w:rsidR="00BD229F" w:rsidRDefault="00BD229F" w:rsidP="00BD229F">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EB15EB6" w14:textId="73C21D10" w:rsidR="00BD229F" w:rsidRDefault="00BD229F" w:rsidP="00BD229F">
            <w:pPr>
              <w:jc w:val="right"/>
              <w:rPr>
                <w:color w:val="000000"/>
                <w:sz w:val="20"/>
                <w:szCs w:val="20"/>
              </w:rPr>
            </w:pPr>
            <w:r>
              <w:rPr>
                <w:color w:val="000000"/>
                <w:sz w:val="20"/>
                <w:szCs w:val="20"/>
              </w:rPr>
              <w:t>0.154</w:t>
            </w:r>
          </w:p>
        </w:tc>
        <w:tc>
          <w:tcPr>
            <w:tcW w:w="768" w:type="dxa"/>
            <w:tcBorders>
              <w:top w:val="nil"/>
              <w:left w:val="nil"/>
              <w:bottom w:val="nil"/>
              <w:right w:val="nil"/>
            </w:tcBorders>
            <w:shd w:val="clear" w:color="auto" w:fill="auto"/>
            <w:noWrap/>
            <w:vAlign w:val="bottom"/>
            <w:hideMark/>
          </w:tcPr>
          <w:p w14:paraId="758B55FD" w14:textId="0FD1B03C" w:rsidR="00BD229F" w:rsidRDefault="00BD229F" w:rsidP="00BD229F">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7D6EBE12" w14:textId="38192657" w:rsidR="00BD229F" w:rsidRDefault="00BD229F" w:rsidP="00BD229F">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C7EBFCA" w14:textId="3FDC4CEB" w:rsidR="00BD229F" w:rsidRDefault="00BD229F" w:rsidP="00BD229F">
            <w:pPr>
              <w:jc w:val="right"/>
              <w:rPr>
                <w:color w:val="000000"/>
                <w:sz w:val="20"/>
                <w:szCs w:val="20"/>
              </w:rPr>
            </w:pPr>
            <w:r>
              <w:rPr>
                <w:color w:val="000000"/>
                <w:sz w:val="20"/>
                <w:szCs w:val="20"/>
              </w:rPr>
              <w:t>0.110</w:t>
            </w:r>
          </w:p>
        </w:tc>
        <w:tc>
          <w:tcPr>
            <w:tcW w:w="768" w:type="dxa"/>
            <w:tcBorders>
              <w:top w:val="nil"/>
              <w:left w:val="nil"/>
              <w:bottom w:val="nil"/>
              <w:right w:val="nil"/>
            </w:tcBorders>
            <w:shd w:val="clear" w:color="auto" w:fill="auto"/>
            <w:noWrap/>
            <w:vAlign w:val="bottom"/>
            <w:hideMark/>
          </w:tcPr>
          <w:p w14:paraId="4590569D" w14:textId="17EB9BE6" w:rsidR="00BD229F" w:rsidRDefault="00BD229F" w:rsidP="00BD229F">
            <w:pPr>
              <w:jc w:val="right"/>
              <w:rPr>
                <w:color w:val="000000"/>
                <w:sz w:val="20"/>
                <w:szCs w:val="20"/>
              </w:rPr>
            </w:pPr>
            <w:r>
              <w:rPr>
                <w:color w:val="000000"/>
                <w:sz w:val="20"/>
                <w:szCs w:val="20"/>
              </w:rPr>
              <w:t>0.434</w:t>
            </w:r>
          </w:p>
        </w:tc>
        <w:tc>
          <w:tcPr>
            <w:tcW w:w="768" w:type="dxa"/>
            <w:tcBorders>
              <w:top w:val="nil"/>
              <w:left w:val="nil"/>
              <w:bottom w:val="nil"/>
              <w:right w:val="nil"/>
            </w:tcBorders>
            <w:shd w:val="clear" w:color="auto" w:fill="auto"/>
            <w:noWrap/>
            <w:vAlign w:val="bottom"/>
            <w:hideMark/>
          </w:tcPr>
          <w:p w14:paraId="4D57A1A5" w14:textId="5B79D102" w:rsidR="00BD229F" w:rsidRDefault="00BD229F" w:rsidP="00BD229F">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5E12443" w14:textId="149646CE" w:rsidR="00BD229F" w:rsidRDefault="00BD229F" w:rsidP="00BD229F">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938F8B5" w14:textId="4A8B28F9" w:rsidR="00BD229F" w:rsidRDefault="00BD229F" w:rsidP="00BD229F">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39A9ED7A" w14:textId="082A3860" w:rsidR="00BD229F" w:rsidRDefault="00BD229F" w:rsidP="00BD229F">
            <w:pPr>
              <w:jc w:val="right"/>
              <w:rPr>
                <w:color w:val="000000"/>
                <w:sz w:val="20"/>
                <w:szCs w:val="20"/>
              </w:rPr>
            </w:pPr>
            <w:r>
              <w:rPr>
                <w:color w:val="000000"/>
                <w:sz w:val="20"/>
                <w:szCs w:val="20"/>
              </w:rPr>
              <w:t>0.000</w:t>
            </w:r>
          </w:p>
        </w:tc>
      </w:tr>
      <w:tr w:rsidR="00BD229F" w14:paraId="6A8376EA" w14:textId="77777777" w:rsidTr="006E3CB6">
        <w:trPr>
          <w:trHeight w:val="320"/>
        </w:trPr>
        <w:tc>
          <w:tcPr>
            <w:tcW w:w="1176" w:type="dxa"/>
            <w:tcBorders>
              <w:top w:val="nil"/>
              <w:left w:val="nil"/>
              <w:bottom w:val="nil"/>
              <w:right w:val="nil"/>
            </w:tcBorders>
            <w:shd w:val="clear" w:color="auto" w:fill="auto"/>
            <w:noWrap/>
            <w:vAlign w:val="bottom"/>
            <w:hideMark/>
          </w:tcPr>
          <w:p w14:paraId="232E35EC"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D751D6" w14:textId="77777777" w:rsidR="00BD229F" w:rsidRDefault="00BD229F" w:rsidP="00BD229F">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56B53EF" w14:textId="54B64FBF"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17FE5D1" w14:textId="301D2184" w:rsidR="00BD229F" w:rsidRDefault="00BD229F" w:rsidP="00BD229F">
            <w:pPr>
              <w:jc w:val="right"/>
              <w:rPr>
                <w:color w:val="000000"/>
                <w:sz w:val="20"/>
                <w:szCs w:val="20"/>
              </w:rPr>
            </w:pPr>
            <w:r>
              <w:rPr>
                <w:color w:val="000000"/>
                <w:sz w:val="20"/>
                <w:szCs w:val="20"/>
              </w:rPr>
              <w:t>0.966</w:t>
            </w:r>
          </w:p>
        </w:tc>
        <w:tc>
          <w:tcPr>
            <w:tcW w:w="768" w:type="dxa"/>
            <w:tcBorders>
              <w:top w:val="nil"/>
              <w:left w:val="nil"/>
              <w:bottom w:val="nil"/>
              <w:right w:val="nil"/>
            </w:tcBorders>
            <w:shd w:val="clear" w:color="auto" w:fill="auto"/>
            <w:noWrap/>
            <w:vAlign w:val="bottom"/>
            <w:hideMark/>
          </w:tcPr>
          <w:p w14:paraId="02A075A5" w14:textId="337E368F"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CDF1F0" w14:textId="72788F8E"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7C76A77" w14:textId="1BE65CDD" w:rsidR="00BD229F" w:rsidRDefault="00BD229F" w:rsidP="00BD229F">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184C45C1" w14:textId="666B4A54"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1CAD84" w14:textId="11EDE6AE" w:rsidR="00BD229F" w:rsidRDefault="00BD229F" w:rsidP="00BD229F">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043987D5" w14:textId="0A443518" w:rsidR="00BD229F" w:rsidRDefault="00BD229F" w:rsidP="00BD229F">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2E1CB8EB" w14:textId="54326397" w:rsidR="00BD229F" w:rsidRDefault="00BD229F" w:rsidP="00BD229F">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1EEECE3D" w14:textId="671E07B6" w:rsidR="00BD229F" w:rsidRDefault="00BD229F" w:rsidP="00BD229F">
            <w:pPr>
              <w:jc w:val="right"/>
              <w:rPr>
                <w:color w:val="000000"/>
                <w:sz w:val="20"/>
                <w:szCs w:val="20"/>
              </w:rPr>
            </w:pPr>
            <w:r>
              <w:rPr>
                <w:color w:val="000000"/>
                <w:sz w:val="20"/>
                <w:szCs w:val="20"/>
              </w:rPr>
              <w:t>0.122</w:t>
            </w:r>
          </w:p>
        </w:tc>
        <w:tc>
          <w:tcPr>
            <w:tcW w:w="768" w:type="dxa"/>
            <w:tcBorders>
              <w:top w:val="nil"/>
              <w:left w:val="nil"/>
              <w:bottom w:val="nil"/>
              <w:right w:val="nil"/>
            </w:tcBorders>
            <w:shd w:val="clear" w:color="auto" w:fill="auto"/>
            <w:noWrap/>
            <w:vAlign w:val="bottom"/>
            <w:hideMark/>
          </w:tcPr>
          <w:p w14:paraId="4A6ABCD9" w14:textId="4DC049C1" w:rsidR="00BD229F" w:rsidRDefault="00BD229F" w:rsidP="00BD229F">
            <w:pPr>
              <w:jc w:val="right"/>
              <w:rPr>
                <w:color w:val="000000"/>
                <w:sz w:val="20"/>
                <w:szCs w:val="20"/>
              </w:rPr>
            </w:pPr>
            <w:r>
              <w:rPr>
                <w:color w:val="000000"/>
                <w:sz w:val="20"/>
                <w:szCs w:val="20"/>
              </w:rPr>
              <w:t>0.434</w:t>
            </w:r>
          </w:p>
        </w:tc>
        <w:tc>
          <w:tcPr>
            <w:tcW w:w="768" w:type="dxa"/>
            <w:tcBorders>
              <w:top w:val="nil"/>
              <w:left w:val="nil"/>
              <w:bottom w:val="nil"/>
              <w:right w:val="nil"/>
            </w:tcBorders>
            <w:shd w:val="clear" w:color="auto" w:fill="auto"/>
            <w:noWrap/>
            <w:vAlign w:val="bottom"/>
            <w:hideMark/>
          </w:tcPr>
          <w:p w14:paraId="7BDB9DA1" w14:textId="25D6402D" w:rsidR="00BD229F" w:rsidRDefault="00BD229F" w:rsidP="00BD229F">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33B30A9" w14:textId="79A558DA" w:rsidR="00BD229F" w:rsidRDefault="00BD229F" w:rsidP="00BD229F">
            <w:pPr>
              <w:jc w:val="right"/>
              <w:rPr>
                <w:color w:val="000000"/>
                <w:sz w:val="20"/>
                <w:szCs w:val="20"/>
              </w:rPr>
            </w:pPr>
            <w:r>
              <w:rPr>
                <w:color w:val="000000"/>
                <w:sz w:val="20"/>
                <w:szCs w:val="20"/>
              </w:rPr>
              <w:t>-0.239</w:t>
            </w:r>
          </w:p>
        </w:tc>
        <w:tc>
          <w:tcPr>
            <w:tcW w:w="768" w:type="dxa"/>
            <w:tcBorders>
              <w:top w:val="nil"/>
              <w:left w:val="nil"/>
              <w:bottom w:val="nil"/>
              <w:right w:val="nil"/>
            </w:tcBorders>
            <w:shd w:val="clear" w:color="auto" w:fill="auto"/>
            <w:noWrap/>
            <w:vAlign w:val="bottom"/>
            <w:hideMark/>
          </w:tcPr>
          <w:p w14:paraId="00C690F3" w14:textId="7D1EE5F9" w:rsidR="00BD229F" w:rsidRDefault="00BD229F" w:rsidP="00BD229F">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5CB36DAD" w14:textId="5B35A700" w:rsidR="00BD229F" w:rsidRDefault="00BD229F" w:rsidP="00BD229F">
            <w:pPr>
              <w:jc w:val="right"/>
              <w:rPr>
                <w:color w:val="000000"/>
                <w:sz w:val="20"/>
                <w:szCs w:val="20"/>
              </w:rPr>
            </w:pPr>
            <w:r>
              <w:rPr>
                <w:color w:val="000000"/>
                <w:sz w:val="20"/>
                <w:szCs w:val="20"/>
              </w:rPr>
              <w:t>0.057</w:t>
            </w:r>
          </w:p>
        </w:tc>
      </w:tr>
      <w:tr w:rsidR="00BD229F" w14:paraId="3278B6DA" w14:textId="77777777" w:rsidTr="006E3CB6">
        <w:trPr>
          <w:trHeight w:val="320"/>
        </w:trPr>
        <w:tc>
          <w:tcPr>
            <w:tcW w:w="1176" w:type="dxa"/>
            <w:tcBorders>
              <w:top w:val="nil"/>
              <w:left w:val="nil"/>
              <w:bottom w:val="nil"/>
              <w:right w:val="nil"/>
            </w:tcBorders>
            <w:shd w:val="clear" w:color="auto" w:fill="auto"/>
            <w:noWrap/>
            <w:vAlign w:val="bottom"/>
            <w:hideMark/>
          </w:tcPr>
          <w:p w14:paraId="5075D7FB"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3EBA461" w14:textId="77777777" w:rsidR="00BD229F" w:rsidRDefault="00BD229F" w:rsidP="00BD229F">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20E022B" w14:textId="2B59082E" w:rsidR="00BD229F" w:rsidRDefault="00BD229F" w:rsidP="00BD229F">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3E75F8CC" w14:textId="1B991DAA" w:rsidR="00BD229F" w:rsidRDefault="00BD229F" w:rsidP="00BD229F">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4ED68765" w14:textId="7D00796B" w:rsidR="00BD229F" w:rsidRDefault="00BD229F" w:rsidP="00BD229F">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7150D01" w14:textId="0B973A34"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DA094A4" w14:textId="04223D0E" w:rsidR="00BD229F" w:rsidRDefault="00BD229F" w:rsidP="00BD229F">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347310AD" w14:textId="29485769"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53800F" w14:textId="6B9ABDA9" w:rsidR="00BD229F" w:rsidRDefault="00BD229F" w:rsidP="00BD229F">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476496AA" w14:textId="6155DA33" w:rsidR="00BD229F" w:rsidRDefault="00BD229F" w:rsidP="00BD229F">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78F4E214" w14:textId="7080F8FB"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5920FCD" w14:textId="13E54B9D" w:rsidR="00BD229F" w:rsidRDefault="00BD229F" w:rsidP="00BD229F">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2F75131A" w14:textId="36EFE9DF" w:rsidR="00BD229F" w:rsidRDefault="00BD229F" w:rsidP="00BD229F">
            <w:pPr>
              <w:jc w:val="right"/>
              <w:rPr>
                <w:color w:val="000000"/>
                <w:sz w:val="20"/>
                <w:szCs w:val="20"/>
              </w:rPr>
            </w:pPr>
            <w:r>
              <w:rPr>
                <w:color w:val="000000"/>
                <w:sz w:val="20"/>
                <w:szCs w:val="20"/>
              </w:rPr>
              <w:t>0.395</w:t>
            </w:r>
          </w:p>
        </w:tc>
        <w:tc>
          <w:tcPr>
            <w:tcW w:w="768" w:type="dxa"/>
            <w:tcBorders>
              <w:top w:val="nil"/>
              <w:left w:val="nil"/>
              <w:bottom w:val="nil"/>
              <w:right w:val="nil"/>
            </w:tcBorders>
            <w:shd w:val="clear" w:color="auto" w:fill="auto"/>
            <w:noWrap/>
            <w:vAlign w:val="bottom"/>
            <w:hideMark/>
          </w:tcPr>
          <w:p w14:paraId="396A87F0" w14:textId="6FFE92CE"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6EDE491" w14:textId="4C1C1272" w:rsidR="00BD229F" w:rsidRDefault="00BD229F" w:rsidP="00BD229F">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F667B79" w14:textId="4FE422DD" w:rsidR="00BD229F" w:rsidRDefault="00BD229F" w:rsidP="00BD229F">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099BA0E9" w14:textId="51B3B3F8" w:rsidR="00BD229F" w:rsidRDefault="00BD229F" w:rsidP="00BD229F">
            <w:pPr>
              <w:jc w:val="right"/>
              <w:rPr>
                <w:color w:val="000000"/>
                <w:sz w:val="20"/>
                <w:szCs w:val="20"/>
              </w:rPr>
            </w:pPr>
            <w:r>
              <w:rPr>
                <w:color w:val="000000"/>
                <w:sz w:val="20"/>
                <w:szCs w:val="20"/>
              </w:rPr>
              <w:t>0.000</w:t>
            </w:r>
          </w:p>
        </w:tc>
      </w:tr>
      <w:tr w:rsidR="00BD229F" w14:paraId="5CBE6546" w14:textId="77777777" w:rsidTr="006E3CB6">
        <w:trPr>
          <w:trHeight w:val="320"/>
        </w:trPr>
        <w:tc>
          <w:tcPr>
            <w:tcW w:w="1176" w:type="dxa"/>
            <w:tcBorders>
              <w:top w:val="nil"/>
              <w:left w:val="nil"/>
              <w:bottom w:val="nil"/>
              <w:right w:val="nil"/>
            </w:tcBorders>
            <w:shd w:val="clear" w:color="auto" w:fill="auto"/>
            <w:noWrap/>
            <w:vAlign w:val="bottom"/>
            <w:hideMark/>
          </w:tcPr>
          <w:p w14:paraId="5C0BA97A"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7196D2" w14:textId="77777777" w:rsidR="00BD229F" w:rsidRDefault="00BD229F" w:rsidP="00BD229F">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EB3C68A" w14:textId="4A03225B" w:rsidR="00BD229F" w:rsidRDefault="00BD229F" w:rsidP="00BD229F">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21D46437" w14:textId="2AA99F8B" w:rsidR="00BD229F" w:rsidRDefault="00BD229F" w:rsidP="00BD229F">
            <w:pPr>
              <w:jc w:val="right"/>
              <w:rPr>
                <w:color w:val="000000"/>
                <w:sz w:val="20"/>
                <w:szCs w:val="20"/>
              </w:rPr>
            </w:pPr>
            <w:r>
              <w:rPr>
                <w:color w:val="000000"/>
                <w:sz w:val="20"/>
                <w:szCs w:val="20"/>
              </w:rPr>
              <w:t>0.228</w:t>
            </w:r>
          </w:p>
        </w:tc>
        <w:tc>
          <w:tcPr>
            <w:tcW w:w="768" w:type="dxa"/>
            <w:tcBorders>
              <w:top w:val="nil"/>
              <w:left w:val="nil"/>
              <w:bottom w:val="nil"/>
              <w:right w:val="nil"/>
            </w:tcBorders>
            <w:shd w:val="clear" w:color="auto" w:fill="auto"/>
            <w:noWrap/>
            <w:vAlign w:val="bottom"/>
            <w:hideMark/>
          </w:tcPr>
          <w:p w14:paraId="6C1561C7" w14:textId="4C0EF7B7"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B54FA4B" w14:textId="7E5C4DED" w:rsidR="00BD229F" w:rsidRDefault="00BD229F" w:rsidP="00BD229F">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612D168" w14:textId="7C99509D" w:rsidR="00BD229F" w:rsidRDefault="00BD229F" w:rsidP="00BD229F">
            <w:pPr>
              <w:jc w:val="right"/>
              <w:rPr>
                <w:color w:val="000000"/>
                <w:sz w:val="20"/>
                <w:szCs w:val="20"/>
              </w:rPr>
            </w:pPr>
            <w:r>
              <w:rPr>
                <w:color w:val="000000"/>
                <w:sz w:val="20"/>
                <w:szCs w:val="20"/>
              </w:rPr>
              <w:t>0.868</w:t>
            </w:r>
          </w:p>
        </w:tc>
        <w:tc>
          <w:tcPr>
            <w:tcW w:w="768" w:type="dxa"/>
            <w:tcBorders>
              <w:top w:val="nil"/>
              <w:left w:val="nil"/>
              <w:bottom w:val="nil"/>
              <w:right w:val="nil"/>
            </w:tcBorders>
            <w:shd w:val="clear" w:color="auto" w:fill="auto"/>
            <w:noWrap/>
            <w:vAlign w:val="bottom"/>
            <w:hideMark/>
          </w:tcPr>
          <w:p w14:paraId="2AF86B88" w14:textId="18226D7E"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4217B3" w14:textId="58C6210C"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D93F8F4" w14:textId="35FA6190" w:rsidR="00BD229F" w:rsidRDefault="00BD229F" w:rsidP="00BD229F">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10C29B0F" w14:textId="293375D9"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C34FF1" w14:textId="54C004CC" w:rsidR="00BD229F" w:rsidRDefault="00BD229F" w:rsidP="00BD229F">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23DE7A96" w14:textId="38E318AB" w:rsidR="00BD229F" w:rsidRDefault="00BD229F" w:rsidP="00BD229F">
            <w:pPr>
              <w:jc w:val="right"/>
              <w:rPr>
                <w:color w:val="000000"/>
                <w:sz w:val="20"/>
                <w:szCs w:val="20"/>
              </w:rPr>
            </w:pPr>
            <w:r>
              <w:rPr>
                <w:color w:val="000000"/>
                <w:sz w:val="20"/>
                <w:szCs w:val="20"/>
              </w:rPr>
              <w:t>0.220</w:t>
            </w:r>
          </w:p>
        </w:tc>
        <w:tc>
          <w:tcPr>
            <w:tcW w:w="768" w:type="dxa"/>
            <w:tcBorders>
              <w:top w:val="nil"/>
              <w:left w:val="nil"/>
              <w:bottom w:val="nil"/>
              <w:right w:val="nil"/>
            </w:tcBorders>
            <w:shd w:val="clear" w:color="auto" w:fill="auto"/>
            <w:noWrap/>
            <w:vAlign w:val="bottom"/>
            <w:hideMark/>
          </w:tcPr>
          <w:p w14:paraId="2911A283" w14:textId="6A412F5D"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4944326" w14:textId="0E3D1948" w:rsidR="00BD229F" w:rsidRDefault="00BD229F" w:rsidP="00BD229F">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6E0CE30" w14:textId="5D927A94" w:rsidR="00BD229F" w:rsidRDefault="00BD229F" w:rsidP="00BD229F">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5952E8EB" w14:textId="4BCD630D" w:rsidR="00BD229F" w:rsidRDefault="00BD229F" w:rsidP="00BD229F">
            <w:pPr>
              <w:jc w:val="right"/>
              <w:rPr>
                <w:color w:val="000000"/>
                <w:sz w:val="20"/>
                <w:szCs w:val="20"/>
              </w:rPr>
            </w:pPr>
            <w:r>
              <w:rPr>
                <w:color w:val="000000"/>
                <w:sz w:val="20"/>
                <w:szCs w:val="20"/>
              </w:rPr>
              <w:t>0.001</w:t>
            </w:r>
          </w:p>
        </w:tc>
      </w:tr>
      <w:tr w:rsidR="00BD229F" w14:paraId="1355CCC9" w14:textId="77777777" w:rsidTr="006E3CB6">
        <w:trPr>
          <w:trHeight w:val="320"/>
        </w:trPr>
        <w:tc>
          <w:tcPr>
            <w:tcW w:w="1176" w:type="dxa"/>
            <w:tcBorders>
              <w:top w:val="nil"/>
              <w:left w:val="nil"/>
              <w:bottom w:val="nil"/>
              <w:right w:val="nil"/>
            </w:tcBorders>
            <w:shd w:val="clear" w:color="auto" w:fill="auto"/>
            <w:noWrap/>
            <w:vAlign w:val="bottom"/>
            <w:hideMark/>
          </w:tcPr>
          <w:p w14:paraId="0F400979"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6B80EAC" w14:textId="77777777" w:rsidR="00BD229F" w:rsidRDefault="00BD229F" w:rsidP="00BD229F">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E179A4C" w14:textId="23751063" w:rsidR="00BD229F" w:rsidRDefault="00BD229F" w:rsidP="00BD229F">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A875031" w14:textId="3EC38F00" w:rsidR="00BD229F" w:rsidRDefault="00BD229F" w:rsidP="00BD229F">
            <w:pPr>
              <w:jc w:val="right"/>
              <w:rPr>
                <w:color w:val="000000"/>
                <w:sz w:val="20"/>
                <w:szCs w:val="20"/>
              </w:rPr>
            </w:pPr>
            <w:r>
              <w:rPr>
                <w:color w:val="000000"/>
                <w:sz w:val="20"/>
                <w:szCs w:val="20"/>
              </w:rPr>
              <w:t>0.597</w:t>
            </w:r>
          </w:p>
        </w:tc>
        <w:tc>
          <w:tcPr>
            <w:tcW w:w="768" w:type="dxa"/>
            <w:tcBorders>
              <w:top w:val="nil"/>
              <w:left w:val="nil"/>
              <w:bottom w:val="nil"/>
              <w:right w:val="nil"/>
            </w:tcBorders>
            <w:shd w:val="clear" w:color="auto" w:fill="auto"/>
            <w:noWrap/>
            <w:vAlign w:val="bottom"/>
            <w:hideMark/>
          </w:tcPr>
          <w:p w14:paraId="641C47EF" w14:textId="2CBC8D5A"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C007763" w14:textId="62CB55C0" w:rsidR="00BD229F" w:rsidRDefault="00BD229F" w:rsidP="00BD229F">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28F0E975" w14:textId="456A82AD" w:rsidR="00BD229F" w:rsidRDefault="00BD229F" w:rsidP="00BD229F">
            <w:pPr>
              <w:jc w:val="right"/>
              <w:rPr>
                <w:color w:val="000000"/>
                <w:sz w:val="20"/>
                <w:szCs w:val="20"/>
              </w:rPr>
            </w:pPr>
            <w:r>
              <w:rPr>
                <w:color w:val="000000"/>
                <w:sz w:val="20"/>
                <w:szCs w:val="20"/>
              </w:rPr>
              <w:t>0.285</w:t>
            </w:r>
          </w:p>
        </w:tc>
        <w:tc>
          <w:tcPr>
            <w:tcW w:w="768" w:type="dxa"/>
            <w:tcBorders>
              <w:top w:val="nil"/>
              <w:left w:val="nil"/>
              <w:bottom w:val="nil"/>
              <w:right w:val="nil"/>
            </w:tcBorders>
            <w:shd w:val="clear" w:color="auto" w:fill="auto"/>
            <w:noWrap/>
            <w:vAlign w:val="bottom"/>
            <w:hideMark/>
          </w:tcPr>
          <w:p w14:paraId="3D38F4D6" w14:textId="5B9FA192"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D158C95" w14:textId="0B71982F" w:rsidR="00BD229F" w:rsidRDefault="00BD229F" w:rsidP="00BD229F">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4EBF1DF9" w14:textId="225A4058" w:rsidR="00BD229F" w:rsidRDefault="00BD229F" w:rsidP="00BD229F">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14EDBE3D" w14:textId="26B24E4F"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FA7E965" w14:textId="54223590" w:rsidR="00BD229F" w:rsidRDefault="00BD229F" w:rsidP="00BD229F">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67B1D395" w14:textId="70636020" w:rsidR="00BD229F" w:rsidRDefault="00BD229F" w:rsidP="00BD229F">
            <w:pPr>
              <w:jc w:val="right"/>
              <w:rPr>
                <w:color w:val="000000"/>
                <w:sz w:val="20"/>
                <w:szCs w:val="20"/>
              </w:rPr>
            </w:pPr>
            <w:r>
              <w:rPr>
                <w:color w:val="000000"/>
                <w:sz w:val="20"/>
                <w:szCs w:val="20"/>
              </w:rPr>
              <w:t>0.220</w:t>
            </w:r>
          </w:p>
        </w:tc>
        <w:tc>
          <w:tcPr>
            <w:tcW w:w="768" w:type="dxa"/>
            <w:tcBorders>
              <w:top w:val="nil"/>
              <w:left w:val="nil"/>
              <w:bottom w:val="nil"/>
              <w:right w:val="nil"/>
            </w:tcBorders>
            <w:shd w:val="clear" w:color="auto" w:fill="auto"/>
            <w:noWrap/>
            <w:vAlign w:val="bottom"/>
            <w:hideMark/>
          </w:tcPr>
          <w:p w14:paraId="2C0ED9C4" w14:textId="517AAC73"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0C4F77D" w14:textId="4CFE2F3B" w:rsidR="00BD229F" w:rsidRDefault="00BD229F" w:rsidP="00BD229F">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2F575499" w14:textId="57B560E7" w:rsidR="00BD229F" w:rsidRDefault="00BD229F" w:rsidP="00BD229F">
            <w:pPr>
              <w:jc w:val="right"/>
              <w:rPr>
                <w:color w:val="000000"/>
                <w:sz w:val="20"/>
                <w:szCs w:val="20"/>
              </w:rPr>
            </w:pPr>
            <w:r>
              <w:rPr>
                <w:color w:val="000000"/>
                <w:sz w:val="20"/>
                <w:szCs w:val="20"/>
              </w:rPr>
              <w:t>0.371</w:t>
            </w:r>
          </w:p>
        </w:tc>
        <w:tc>
          <w:tcPr>
            <w:tcW w:w="768" w:type="dxa"/>
            <w:tcBorders>
              <w:top w:val="nil"/>
              <w:left w:val="nil"/>
              <w:bottom w:val="nil"/>
              <w:right w:val="nil"/>
            </w:tcBorders>
            <w:shd w:val="clear" w:color="auto" w:fill="auto"/>
            <w:noWrap/>
            <w:vAlign w:val="bottom"/>
            <w:hideMark/>
          </w:tcPr>
          <w:p w14:paraId="4455316C" w14:textId="6D491469" w:rsidR="00BD229F" w:rsidRDefault="00BD229F" w:rsidP="00BD229F">
            <w:pPr>
              <w:jc w:val="right"/>
              <w:rPr>
                <w:color w:val="000000"/>
                <w:sz w:val="20"/>
                <w:szCs w:val="20"/>
              </w:rPr>
            </w:pPr>
            <w:r>
              <w:rPr>
                <w:color w:val="000000"/>
                <w:sz w:val="20"/>
                <w:szCs w:val="20"/>
              </w:rPr>
              <w:t>0.005</w:t>
            </w:r>
          </w:p>
        </w:tc>
      </w:tr>
      <w:tr w:rsidR="00BD229F" w14:paraId="539F2468" w14:textId="77777777" w:rsidTr="006E3CB6">
        <w:trPr>
          <w:trHeight w:val="320"/>
        </w:trPr>
        <w:tc>
          <w:tcPr>
            <w:tcW w:w="1176" w:type="dxa"/>
            <w:tcBorders>
              <w:top w:val="nil"/>
              <w:left w:val="nil"/>
              <w:bottom w:val="single" w:sz="4" w:space="0" w:color="auto"/>
              <w:right w:val="nil"/>
            </w:tcBorders>
            <w:shd w:val="clear" w:color="auto" w:fill="auto"/>
            <w:noWrap/>
            <w:vAlign w:val="bottom"/>
            <w:hideMark/>
          </w:tcPr>
          <w:p w14:paraId="5D9DF89C" w14:textId="77777777" w:rsidR="00BD229F" w:rsidRDefault="00BD229F" w:rsidP="00BD229F">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0575E5A" w14:textId="77777777" w:rsidR="00BD229F" w:rsidRDefault="00BD229F" w:rsidP="00BD229F">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2CB68D5" w14:textId="67018337" w:rsidR="00BD229F" w:rsidRDefault="00BD229F" w:rsidP="00BD229F">
            <w:pPr>
              <w:jc w:val="right"/>
              <w:rPr>
                <w:color w:val="000000"/>
                <w:sz w:val="20"/>
                <w:szCs w:val="20"/>
              </w:rPr>
            </w:pPr>
            <w:r>
              <w:rPr>
                <w:color w:val="000000"/>
                <w:sz w:val="20"/>
                <w:szCs w:val="20"/>
              </w:rPr>
              <w:t>0.070</w:t>
            </w:r>
          </w:p>
        </w:tc>
        <w:tc>
          <w:tcPr>
            <w:tcW w:w="768" w:type="dxa"/>
            <w:tcBorders>
              <w:top w:val="nil"/>
              <w:left w:val="nil"/>
              <w:bottom w:val="single" w:sz="4" w:space="0" w:color="auto"/>
              <w:right w:val="nil"/>
            </w:tcBorders>
            <w:shd w:val="clear" w:color="auto" w:fill="auto"/>
            <w:noWrap/>
            <w:vAlign w:val="bottom"/>
            <w:hideMark/>
          </w:tcPr>
          <w:p w14:paraId="50816774" w14:textId="53FA5CD7" w:rsidR="00BD229F" w:rsidRDefault="00BD229F" w:rsidP="00BD229F">
            <w:pPr>
              <w:jc w:val="right"/>
              <w:rPr>
                <w:color w:val="000000"/>
                <w:sz w:val="20"/>
                <w:szCs w:val="20"/>
              </w:rPr>
            </w:pPr>
            <w:r>
              <w:rPr>
                <w:color w:val="000000"/>
                <w:sz w:val="20"/>
                <w:szCs w:val="20"/>
              </w:rPr>
              <w:t>0.597</w:t>
            </w:r>
          </w:p>
        </w:tc>
        <w:tc>
          <w:tcPr>
            <w:tcW w:w="768" w:type="dxa"/>
            <w:tcBorders>
              <w:top w:val="nil"/>
              <w:left w:val="nil"/>
              <w:bottom w:val="single" w:sz="4" w:space="0" w:color="auto"/>
              <w:right w:val="nil"/>
            </w:tcBorders>
            <w:shd w:val="clear" w:color="auto" w:fill="auto"/>
            <w:noWrap/>
            <w:vAlign w:val="bottom"/>
            <w:hideMark/>
          </w:tcPr>
          <w:p w14:paraId="0F6AB034" w14:textId="15F04EF1" w:rsidR="00BD229F" w:rsidRDefault="00BD229F" w:rsidP="00BD229F">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0AF663F4" w14:textId="1004A9DD" w:rsidR="00BD229F" w:rsidRDefault="00BD229F" w:rsidP="00BD229F">
            <w:pPr>
              <w:jc w:val="right"/>
              <w:rPr>
                <w:color w:val="000000"/>
                <w:sz w:val="20"/>
                <w:szCs w:val="20"/>
              </w:rPr>
            </w:pPr>
            <w:r>
              <w:rPr>
                <w:color w:val="000000"/>
                <w:sz w:val="20"/>
                <w:szCs w:val="20"/>
              </w:rPr>
              <w:t>0.106</w:t>
            </w:r>
          </w:p>
        </w:tc>
        <w:tc>
          <w:tcPr>
            <w:tcW w:w="768" w:type="dxa"/>
            <w:tcBorders>
              <w:top w:val="nil"/>
              <w:left w:val="nil"/>
              <w:bottom w:val="single" w:sz="4" w:space="0" w:color="auto"/>
              <w:right w:val="nil"/>
            </w:tcBorders>
            <w:shd w:val="clear" w:color="auto" w:fill="auto"/>
            <w:noWrap/>
            <w:vAlign w:val="bottom"/>
            <w:hideMark/>
          </w:tcPr>
          <w:p w14:paraId="29654FCC" w14:textId="6647E5B9" w:rsidR="00BD229F" w:rsidRDefault="00BD229F" w:rsidP="00BD229F">
            <w:pPr>
              <w:jc w:val="right"/>
              <w:rPr>
                <w:color w:val="000000"/>
                <w:sz w:val="20"/>
                <w:szCs w:val="20"/>
              </w:rPr>
            </w:pPr>
            <w:r>
              <w:rPr>
                <w:color w:val="000000"/>
                <w:sz w:val="20"/>
                <w:szCs w:val="20"/>
              </w:rPr>
              <w:t>0.256</w:t>
            </w:r>
          </w:p>
        </w:tc>
        <w:tc>
          <w:tcPr>
            <w:tcW w:w="768" w:type="dxa"/>
            <w:tcBorders>
              <w:top w:val="nil"/>
              <w:left w:val="nil"/>
              <w:bottom w:val="single" w:sz="4" w:space="0" w:color="auto"/>
              <w:right w:val="nil"/>
            </w:tcBorders>
            <w:shd w:val="clear" w:color="auto" w:fill="auto"/>
            <w:noWrap/>
            <w:vAlign w:val="bottom"/>
            <w:hideMark/>
          </w:tcPr>
          <w:p w14:paraId="2EB31BE1" w14:textId="3CA8EBF4"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28414741" w14:textId="7C98093B" w:rsidR="00BD229F" w:rsidRDefault="00BD229F" w:rsidP="00BD229F">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6B574B26" w14:textId="7A38DCFE" w:rsidR="00BD229F" w:rsidRDefault="00BD229F" w:rsidP="00BD229F">
            <w:pPr>
              <w:jc w:val="right"/>
              <w:rPr>
                <w:color w:val="000000"/>
                <w:sz w:val="20"/>
                <w:szCs w:val="20"/>
              </w:rPr>
            </w:pPr>
            <w:r>
              <w:rPr>
                <w:color w:val="000000"/>
                <w:sz w:val="20"/>
                <w:szCs w:val="20"/>
              </w:rPr>
              <w:t>0.446</w:t>
            </w:r>
          </w:p>
        </w:tc>
        <w:tc>
          <w:tcPr>
            <w:tcW w:w="768" w:type="dxa"/>
            <w:tcBorders>
              <w:top w:val="nil"/>
              <w:left w:val="nil"/>
              <w:bottom w:val="single" w:sz="4" w:space="0" w:color="auto"/>
              <w:right w:val="nil"/>
            </w:tcBorders>
            <w:shd w:val="clear" w:color="auto" w:fill="auto"/>
            <w:noWrap/>
            <w:vAlign w:val="bottom"/>
            <w:hideMark/>
          </w:tcPr>
          <w:p w14:paraId="0EEAD609" w14:textId="23A44285"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221DA07" w14:textId="513DD723" w:rsidR="00BD229F" w:rsidRDefault="00BD229F" w:rsidP="00BD229F">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47B638AD" w14:textId="7906B1D8" w:rsidR="00BD229F" w:rsidRDefault="00BD229F" w:rsidP="00BD229F">
            <w:pPr>
              <w:jc w:val="right"/>
              <w:rPr>
                <w:color w:val="000000"/>
                <w:sz w:val="20"/>
                <w:szCs w:val="20"/>
              </w:rPr>
            </w:pPr>
            <w:r>
              <w:rPr>
                <w:color w:val="000000"/>
                <w:sz w:val="20"/>
                <w:szCs w:val="20"/>
              </w:rPr>
              <w:t>0.673</w:t>
            </w:r>
          </w:p>
        </w:tc>
        <w:tc>
          <w:tcPr>
            <w:tcW w:w="768" w:type="dxa"/>
            <w:tcBorders>
              <w:top w:val="nil"/>
              <w:left w:val="nil"/>
              <w:bottom w:val="single" w:sz="4" w:space="0" w:color="auto"/>
              <w:right w:val="nil"/>
            </w:tcBorders>
            <w:shd w:val="clear" w:color="auto" w:fill="auto"/>
            <w:noWrap/>
            <w:vAlign w:val="bottom"/>
            <w:hideMark/>
          </w:tcPr>
          <w:p w14:paraId="34A92189" w14:textId="3A3391DF"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77852B2" w14:textId="4E55D614" w:rsidR="00BD229F" w:rsidRDefault="00BD229F" w:rsidP="00BD229F">
            <w:pPr>
              <w:jc w:val="right"/>
              <w:rPr>
                <w:color w:val="000000"/>
                <w:sz w:val="20"/>
                <w:szCs w:val="20"/>
              </w:rPr>
            </w:pPr>
            <w:r>
              <w:rPr>
                <w:color w:val="000000"/>
                <w:sz w:val="20"/>
                <w:szCs w:val="20"/>
              </w:rPr>
              <w:t>0.104</w:t>
            </w:r>
          </w:p>
        </w:tc>
        <w:tc>
          <w:tcPr>
            <w:tcW w:w="768" w:type="dxa"/>
            <w:tcBorders>
              <w:top w:val="nil"/>
              <w:left w:val="nil"/>
              <w:bottom w:val="single" w:sz="4" w:space="0" w:color="auto"/>
              <w:right w:val="nil"/>
            </w:tcBorders>
            <w:shd w:val="clear" w:color="auto" w:fill="auto"/>
            <w:noWrap/>
            <w:vAlign w:val="bottom"/>
            <w:hideMark/>
          </w:tcPr>
          <w:p w14:paraId="3E094CE8" w14:textId="579933E1" w:rsidR="00BD229F" w:rsidRDefault="00BD229F" w:rsidP="00BD229F">
            <w:pPr>
              <w:jc w:val="right"/>
              <w:rPr>
                <w:color w:val="000000"/>
                <w:sz w:val="20"/>
                <w:szCs w:val="20"/>
              </w:rPr>
            </w:pPr>
            <w:r>
              <w:rPr>
                <w:color w:val="000000"/>
                <w:sz w:val="20"/>
                <w:szCs w:val="20"/>
              </w:rPr>
              <w:t>0.371</w:t>
            </w:r>
          </w:p>
        </w:tc>
        <w:tc>
          <w:tcPr>
            <w:tcW w:w="768" w:type="dxa"/>
            <w:tcBorders>
              <w:top w:val="nil"/>
              <w:left w:val="nil"/>
              <w:bottom w:val="single" w:sz="4" w:space="0" w:color="auto"/>
              <w:right w:val="nil"/>
            </w:tcBorders>
            <w:shd w:val="clear" w:color="auto" w:fill="auto"/>
            <w:noWrap/>
            <w:vAlign w:val="bottom"/>
            <w:hideMark/>
          </w:tcPr>
          <w:p w14:paraId="05D83CBF" w14:textId="56E4F082" w:rsidR="00BD229F" w:rsidRDefault="00BD229F" w:rsidP="00BD229F">
            <w:pPr>
              <w:jc w:val="right"/>
              <w:rPr>
                <w:color w:val="000000"/>
                <w:sz w:val="20"/>
                <w:szCs w:val="20"/>
              </w:rPr>
            </w:pPr>
            <w:r>
              <w:rPr>
                <w:color w:val="000000"/>
                <w:sz w:val="20"/>
                <w:szCs w:val="20"/>
              </w:rPr>
              <w:t>0.011</w:t>
            </w:r>
          </w:p>
        </w:tc>
      </w:tr>
      <w:tr w:rsidR="00BD229F" w14:paraId="6F6DAA85" w14:textId="77777777" w:rsidTr="006E3CB6">
        <w:trPr>
          <w:trHeight w:val="320"/>
        </w:trPr>
        <w:tc>
          <w:tcPr>
            <w:tcW w:w="1176" w:type="dxa"/>
            <w:tcBorders>
              <w:top w:val="nil"/>
              <w:left w:val="nil"/>
              <w:bottom w:val="nil"/>
              <w:right w:val="nil"/>
            </w:tcBorders>
            <w:shd w:val="clear" w:color="auto" w:fill="auto"/>
            <w:noWrap/>
            <w:vAlign w:val="bottom"/>
            <w:hideMark/>
          </w:tcPr>
          <w:p w14:paraId="1B448C64" w14:textId="77777777" w:rsidR="00BD229F" w:rsidRDefault="00BD229F" w:rsidP="00BD229F">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2FCA8D4E" w14:textId="77777777" w:rsidR="00BD229F" w:rsidRDefault="00BD229F" w:rsidP="00BD229F">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89BACED" w14:textId="151FA387" w:rsidR="00BD229F" w:rsidRDefault="00BD229F" w:rsidP="00BD229F">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745AD6E" w14:textId="679C10DB" w:rsidR="00BD229F" w:rsidRDefault="00BD229F" w:rsidP="00BD229F">
            <w:pPr>
              <w:jc w:val="right"/>
              <w:rPr>
                <w:color w:val="000000"/>
                <w:sz w:val="20"/>
                <w:szCs w:val="20"/>
              </w:rPr>
            </w:pPr>
            <w:r>
              <w:rPr>
                <w:color w:val="000000"/>
                <w:sz w:val="20"/>
                <w:szCs w:val="20"/>
              </w:rPr>
              <w:t>0.696</w:t>
            </w:r>
          </w:p>
        </w:tc>
        <w:tc>
          <w:tcPr>
            <w:tcW w:w="768" w:type="dxa"/>
            <w:tcBorders>
              <w:top w:val="nil"/>
              <w:left w:val="nil"/>
              <w:bottom w:val="nil"/>
              <w:right w:val="nil"/>
            </w:tcBorders>
            <w:shd w:val="clear" w:color="auto" w:fill="auto"/>
            <w:noWrap/>
            <w:vAlign w:val="bottom"/>
            <w:hideMark/>
          </w:tcPr>
          <w:p w14:paraId="271B2AAE" w14:textId="48810F45"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412742" w14:textId="4CA1F03E" w:rsidR="00BD229F" w:rsidRDefault="00BD229F" w:rsidP="00BD229F">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568BE4D8" w14:textId="05A23C26" w:rsidR="00BD229F" w:rsidRDefault="00BD229F" w:rsidP="00BD229F">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4FD71274" w14:textId="23ECD7C2"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8EBB9C5" w14:textId="29F1CCC6"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64274EF" w14:textId="6D06F44F" w:rsidR="00BD229F" w:rsidRDefault="00BD229F" w:rsidP="00BD229F">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4E8CE1C5" w14:textId="69709A3C"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BE2074" w14:textId="046EFD7B" w:rsidR="00BD229F" w:rsidRDefault="00BD229F" w:rsidP="00BD229F">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51EFCC78" w14:textId="43D79001" w:rsidR="00BD229F" w:rsidRDefault="00BD229F" w:rsidP="00BD229F">
            <w:pPr>
              <w:jc w:val="right"/>
              <w:rPr>
                <w:color w:val="000000"/>
                <w:sz w:val="20"/>
                <w:szCs w:val="20"/>
              </w:rPr>
            </w:pPr>
            <w:r>
              <w:rPr>
                <w:color w:val="000000"/>
                <w:sz w:val="20"/>
                <w:szCs w:val="20"/>
              </w:rPr>
              <w:t>0.486</w:t>
            </w:r>
          </w:p>
        </w:tc>
        <w:tc>
          <w:tcPr>
            <w:tcW w:w="768" w:type="dxa"/>
            <w:tcBorders>
              <w:top w:val="nil"/>
              <w:left w:val="nil"/>
              <w:bottom w:val="nil"/>
              <w:right w:val="nil"/>
            </w:tcBorders>
            <w:shd w:val="clear" w:color="auto" w:fill="auto"/>
            <w:noWrap/>
            <w:vAlign w:val="bottom"/>
            <w:hideMark/>
          </w:tcPr>
          <w:p w14:paraId="7783F89F" w14:textId="387CF41F"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CE5F495" w14:textId="2DB6A2F1"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CE4C5AE" w14:textId="546FCA76" w:rsidR="00BD229F" w:rsidRDefault="00BD229F" w:rsidP="00BD229F">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2F807DFA" w14:textId="09B57824" w:rsidR="00BD229F" w:rsidRDefault="00BD229F" w:rsidP="00BD229F">
            <w:pPr>
              <w:jc w:val="right"/>
              <w:rPr>
                <w:color w:val="000000"/>
                <w:sz w:val="20"/>
                <w:szCs w:val="20"/>
              </w:rPr>
            </w:pPr>
            <w:r>
              <w:rPr>
                <w:color w:val="000000"/>
                <w:sz w:val="20"/>
                <w:szCs w:val="20"/>
              </w:rPr>
              <w:t>0.000</w:t>
            </w:r>
          </w:p>
        </w:tc>
      </w:tr>
      <w:tr w:rsidR="00BD229F" w14:paraId="5E3BD11D" w14:textId="77777777" w:rsidTr="006E3CB6">
        <w:trPr>
          <w:trHeight w:val="320"/>
        </w:trPr>
        <w:tc>
          <w:tcPr>
            <w:tcW w:w="1176" w:type="dxa"/>
            <w:tcBorders>
              <w:top w:val="nil"/>
              <w:left w:val="nil"/>
              <w:bottom w:val="nil"/>
              <w:right w:val="nil"/>
            </w:tcBorders>
            <w:shd w:val="clear" w:color="auto" w:fill="auto"/>
            <w:noWrap/>
            <w:vAlign w:val="bottom"/>
            <w:hideMark/>
          </w:tcPr>
          <w:p w14:paraId="5D33B430"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39489A7" w14:textId="77777777" w:rsidR="00BD229F" w:rsidRDefault="00BD229F" w:rsidP="00BD229F">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4719AF2" w14:textId="433253EB" w:rsidR="00BD229F" w:rsidRDefault="00BD229F" w:rsidP="00BD229F">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6551F022" w14:textId="765F4FD4" w:rsidR="00BD229F" w:rsidRDefault="00BD229F" w:rsidP="00BD229F">
            <w:pPr>
              <w:jc w:val="right"/>
              <w:rPr>
                <w:color w:val="000000"/>
                <w:sz w:val="20"/>
                <w:szCs w:val="20"/>
              </w:rPr>
            </w:pPr>
            <w:r>
              <w:rPr>
                <w:color w:val="000000"/>
                <w:sz w:val="20"/>
                <w:szCs w:val="20"/>
              </w:rPr>
              <w:t>0.696</w:t>
            </w:r>
          </w:p>
        </w:tc>
        <w:tc>
          <w:tcPr>
            <w:tcW w:w="768" w:type="dxa"/>
            <w:tcBorders>
              <w:top w:val="nil"/>
              <w:left w:val="nil"/>
              <w:bottom w:val="nil"/>
              <w:right w:val="nil"/>
            </w:tcBorders>
            <w:shd w:val="clear" w:color="auto" w:fill="auto"/>
            <w:noWrap/>
            <w:vAlign w:val="bottom"/>
            <w:hideMark/>
          </w:tcPr>
          <w:p w14:paraId="1376275D" w14:textId="5BCDAFF9"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D0DA8D" w14:textId="700DA975" w:rsidR="00BD229F" w:rsidRDefault="00BD229F" w:rsidP="00BD229F">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55D1CCE" w14:textId="232D9EAD" w:rsidR="00BD229F" w:rsidRDefault="00BD229F" w:rsidP="00BD229F">
            <w:pPr>
              <w:jc w:val="right"/>
              <w:rPr>
                <w:color w:val="000000"/>
                <w:sz w:val="20"/>
                <w:szCs w:val="20"/>
              </w:rPr>
            </w:pPr>
            <w:r>
              <w:rPr>
                <w:color w:val="000000"/>
                <w:sz w:val="20"/>
                <w:szCs w:val="20"/>
              </w:rPr>
              <w:t>0.321</w:t>
            </w:r>
          </w:p>
        </w:tc>
        <w:tc>
          <w:tcPr>
            <w:tcW w:w="768" w:type="dxa"/>
            <w:tcBorders>
              <w:top w:val="nil"/>
              <w:left w:val="nil"/>
              <w:bottom w:val="nil"/>
              <w:right w:val="nil"/>
            </w:tcBorders>
            <w:shd w:val="clear" w:color="auto" w:fill="auto"/>
            <w:noWrap/>
            <w:vAlign w:val="bottom"/>
            <w:hideMark/>
          </w:tcPr>
          <w:p w14:paraId="6026CC8C" w14:textId="67ADD264"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B81FC29" w14:textId="0501038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B3A0E9" w14:textId="54D7E867" w:rsidR="00BD229F" w:rsidRDefault="00BD229F" w:rsidP="00BD229F">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0A30F9B1" w14:textId="452B29B0"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E7B61F" w14:textId="0F83F8E6" w:rsidR="00BD229F" w:rsidRDefault="00BD229F" w:rsidP="00BD229F">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3B428D4B" w14:textId="1F2EA841" w:rsidR="00BD229F" w:rsidRDefault="00BD229F" w:rsidP="00BD229F">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03333B69" w14:textId="0F9E16E3"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F7AD15B" w14:textId="514E4694" w:rsidR="00BD229F" w:rsidRDefault="00BD229F" w:rsidP="00BD229F">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05BE8255" w14:textId="0654F29A" w:rsidR="00BD229F" w:rsidRDefault="00BD229F" w:rsidP="00BD229F">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789A9B11" w14:textId="046F88FF" w:rsidR="00BD229F" w:rsidRDefault="00BD229F" w:rsidP="00BD229F">
            <w:pPr>
              <w:jc w:val="right"/>
              <w:rPr>
                <w:color w:val="000000"/>
                <w:sz w:val="20"/>
                <w:szCs w:val="20"/>
              </w:rPr>
            </w:pPr>
            <w:r>
              <w:rPr>
                <w:color w:val="000000"/>
                <w:sz w:val="20"/>
                <w:szCs w:val="20"/>
              </w:rPr>
              <w:t>0.005</w:t>
            </w:r>
          </w:p>
        </w:tc>
      </w:tr>
      <w:tr w:rsidR="00BD229F" w14:paraId="09ED0E5A" w14:textId="77777777" w:rsidTr="006E3CB6">
        <w:trPr>
          <w:trHeight w:val="320"/>
        </w:trPr>
        <w:tc>
          <w:tcPr>
            <w:tcW w:w="1176" w:type="dxa"/>
            <w:tcBorders>
              <w:top w:val="nil"/>
              <w:left w:val="nil"/>
              <w:bottom w:val="nil"/>
              <w:right w:val="nil"/>
            </w:tcBorders>
            <w:shd w:val="clear" w:color="auto" w:fill="auto"/>
            <w:noWrap/>
            <w:vAlign w:val="bottom"/>
            <w:hideMark/>
          </w:tcPr>
          <w:p w14:paraId="37D21BC7"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2807DC2" w14:textId="77777777" w:rsidR="00BD229F" w:rsidRDefault="00BD229F" w:rsidP="00BD229F">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665347F" w14:textId="55BBFA6A" w:rsidR="00BD229F" w:rsidRDefault="00BD229F" w:rsidP="00BD229F">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39BCEBE" w14:textId="5770746F" w:rsidR="00BD229F" w:rsidRDefault="00BD229F" w:rsidP="00BD229F">
            <w:pPr>
              <w:jc w:val="right"/>
              <w:rPr>
                <w:color w:val="000000"/>
                <w:sz w:val="20"/>
                <w:szCs w:val="20"/>
              </w:rPr>
            </w:pPr>
            <w:r>
              <w:rPr>
                <w:color w:val="000000"/>
                <w:sz w:val="20"/>
                <w:szCs w:val="20"/>
              </w:rPr>
              <w:t>0.696</w:t>
            </w:r>
          </w:p>
        </w:tc>
        <w:tc>
          <w:tcPr>
            <w:tcW w:w="768" w:type="dxa"/>
            <w:tcBorders>
              <w:top w:val="nil"/>
              <w:left w:val="nil"/>
              <w:bottom w:val="nil"/>
              <w:right w:val="nil"/>
            </w:tcBorders>
            <w:shd w:val="clear" w:color="auto" w:fill="auto"/>
            <w:noWrap/>
            <w:vAlign w:val="bottom"/>
            <w:hideMark/>
          </w:tcPr>
          <w:p w14:paraId="1B572A5D" w14:textId="0E59BA59"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A00F55E" w14:textId="18D0707A" w:rsidR="00BD229F" w:rsidRDefault="00BD229F" w:rsidP="00BD229F">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11D21136" w14:textId="019B4E05" w:rsidR="00BD229F" w:rsidRDefault="00BD229F" w:rsidP="00BD229F">
            <w:pPr>
              <w:jc w:val="right"/>
              <w:rPr>
                <w:color w:val="000000"/>
                <w:sz w:val="20"/>
                <w:szCs w:val="20"/>
              </w:rPr>
            </w:pPr>
            <w:r>
              <w:rPr>
                <w:color w:val="000000"/>
                <w:sz w:val="20"/>
                <w:szCs w:val="20"/>
              </w:rPr>
              <w:t>0.237</w:t>
            </w:r>
          </w:p>
        </w:tc>
        <w:tc>
          <w:tcPr>
            <w:tcW w:w="768" w:type="dxa"/>
            <w:tcBorders>
              <w:top w:val="nil"/>
              <w:left w:val="nil"/>
              <w:bottom w:val="nil"/>
              <w:right w:val="nil"/>
            </w:tcBorders>
            <w:shd w:val="clear" w:color="auto" w:fill="auto"/>
            <w:noWrap/>
            <w:vAlign w:val="bottom"/>
            <w:hideMark/>
          </w:tcPr>
          <w:p w14:paraId="42EAF40C" w14:textId="0C7EC951"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AA14960" w14:textId="06AA3EE9" w:rsidR="00BD229F" w:rsidRDefault="00BD229F" w:rsidP="00BD229F">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888B9A0" w14:textId="385FA0A9" w:rsidR="00BD229F" w:rsidRDefault="00BD229F" w:rsidP="00BD229F">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2045E91F" w14:textId="5F0A8624"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0D145E" w14:textId="0486416D" w:rsidR="00BD229F" w:rsidRDefault="00BD229F" w:rsidP="00BD229F">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1D32646" w14:textId="6E3B39DD" w:rsidR="00BD229F" w:rsidRDefault="00BD229F" w:rsidP="00BD229F">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2C703A40" w14:textId="20453005"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777586" w14:textId="2D08554B" w:rsidR="00BD229F" w:rsidRDefault="00BD229F" w:rsidP="00BD229F">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49E4926F" w14:textId="7136104D" w:rsidR="00BD229F" w:rsidRDefault="00BD229F" w:rsidP="00BD229F">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60D296B9" w14:textId="5568BA55" w:rsidR="00BD229F" w:rsidRDefault="00BD229F" w:rsidP="00BD229F">
            <w:pPr>
              <w:jc w:val="right"/>
              <w:rPr>
                <w:color w:val="000000"/>
                <w:sz w:val="20"/>
                <w:szCs w:val="20"/>
              </w:rPr>
            </w:pPr>
            <w:r>
              <w:rPr>
                <w:color w:val="000000"/>
                <w:sz w:val="20"/>
                <w:szCs w:val="20"/>
              </w:rPr>
              <w:t>0.006</w:t>
            </w:r>
          </w:p>
        </w:tc>
      </w:tr>
      <w:tr w:rsidR="00BD229F" w14:paraId="73DB5BC5" w14:textId="77777777" w:rsidTr="006E3CB6">
        <w:trPr>
          <w:trHeight w:val="320"/>
        </w:trPr>
        <w:tc>
          <w:tcPr>
            <w:tcW w:w="1176" w:type="dxa"/>
            <w:tcBorders>
              <w:top w:val="nil"/>
              <w:left w:val="nil"/>
              <w:bottom w:val="nil"/>
              <w:right w:val="nil"/>
            </w:tcBorders>
            <w:shd w:val="clear" w:color="auto" w:fill="auto"/>
            <w:noWrap/>
            <w:vAlign w:val="bottom"/>
            <w:hideMark/>
          </w:tcPr>
          <w:p w14:paraId="664C4FAF"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99E73C" w14:textId="77777777" w:rsidR="00BD229F" w:rsidRDefault="00BD229F" w:rsidP="00BD229F">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348A988" w14:textId="6A6E5C89" w:rsidR="00BD229F" w:rsidRDefault="00BD229F" w:rsidP="00BD229F">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759CC435" w14:textId="1A03026C" w:rsidR="00BD229F" w:rsidRDefault="00BD229F" w:rsidP="00BD229F">
            <w:pPr>
              <w:jc w:val="right"/>
              <w:rPr>
                <w:color w:val="000000"/>
                <w:sz w:val="20"/>
                <w:szCs w:val="20"/>
              </w:rPr>
            </w:pPr>
            <w:r>
              <w:rPr>
                <w:color w:val="000000"/>
                <w:sz w:val="20"/>
                <w:szCs w:val="20"/>
              </w:rPr>
              <w:t>0.684</w:t>
            </w:r>
          </w:p>
        </w:tc>
        <w:tc>
          <w:tcPr>
            <w:tcW w:w="768" w:type="dxa"/>
            <w:tcBorders>
              <w:top w:val="nil"/>
              <w:left w:val="nil"/>
              <w:bottom w:val="nil"/>
              <w:right w:val="nil"/>
            </w:tcBorders>
            <w:shd w:val="clear" w:color="auto" w:fill="auto"/>
            <w:noWrap/>
            <w:vAlign w:val="bottom"/>
            <w:hideMark/>
          </w:tcPr>
          <w:p w14:paraId="1A20247C" w14:textId="6458BDA3"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E246D01" w14:textId="5210F26F" w:rsidR="00BD229F" w:rsidRDefault="00BD229F" w:rsidP="00BD229F">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3676B5E7" w14:textId="5723142B" w:rsidR="00BD229F" w:rsidRDefault="00BD229F" w:rsidP="00BD229F">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032D2009" w14:textId="0B0FEDDA"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532A6D3" w14:textId="7C96C191" w:rsidR="00BD229F" w:rsidRDefault="00BD229F" w:rsidP="00BD229F">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336D747" w14:textId="38B64D5A" w:rsidR="00BD229F" w:rsidRDefault="00BD229F" w:rsidP="00BD229F">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59ED9B7A" w14:textId="6E1BA4CF"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B728B9D" w14:textId="389D4D3D" w:rsidR="00BD229F" w:rsidRDefault="00BD229F" w:rsidP="00BD229F">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4462B5EA" w14:textId="3F579E51" w:rsidR="00BD229F" w:rsidRDefault="00BD229F" w:rsidP="00BD229F">
            <w:pPr>
              <w:jc w:val="right"/>
              <w:rPr>
                <w:color w:val="000000"/>
                <w:sz w:val="20"/>
                <w:szCs w:val="20"/>
              </w:rPr>
            </w:pPr>
            <w:r>
              <w:rPr>
                <w:color w:val="000000"/>
                <w:sz w:val="20"/>
                <w:szCs w:val="20"/>
              </w:rPr>
              <w:t>0.486</w:t>
            </w:r>
          </w:p>
        </w:tc>
        <w:tc>
          <w:tcPr>
            <w:tcW w:w="768" w:type="dxa"/>
            <w:tcBorders>
              <w:top w:val="nil"/>
              <w:left w:val="nil"/>
              <w:bottom w:val="nil"/>
              <w:right w:val="nil"/>
            </w:tcBorders>
            <w:shd w:val="clear" w:color="auto" w:fill="auto"/>
            <w:noWrap/>
            <w:vAlign w:val="bottom"/>
            <w:hideMark/>
          </w:tcPr>
          <w:p w14:paraId="19E9AE79" w14:textId="7688D51B"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4D710FA" w14:textId="7683A2C4" w:rsidR="00BD229F" w:rsidRDefault="00BD229F" w:rsidP="00BD229F">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39B3296D" w14:textId="5D611E99" w:rsidR="00BD229F" w:rsidRDefault="00BD229F" w:rsidP="00BD229F">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294915F0" w14:textId="2C690148" w:rsidR="00BD229F" w:rsidRDefault="00BD229F" w:rsidP="00BD229F">
            <w:pPr>
              <w:jc w:val="right"/>
              <w:rPr>
                <w:color w:val="000000"/>
                <w:sz w:val="20"/>
                <w:szCs w:val="20"/>
              </w:rPr>
            </w:pPr>
            <w:r>
              <w:rPr>
                <w:color w:val="000000"/>
                <w:sz w:val="20"/>
                <w:szCs w:val="20"/>
              </w:rPr>
              <w:t>0.006</w:t>
            </w:r>
          </w:p>
        </w:tc>
      </w:tr>
      <w:tr w:rsidR="00BD229F" w14:paraId="4F2C47A5" w14:textId="77777777" w:rsidTr="006E3CB6">
        <w:trPr>
          <w:trHeight w:val="320"/>
        </w:trPr>
        <w:tc>
          <w:tcPr>
            <w:tcW w:w="1176" w:type="dxa"/>
            <w:tcBorders>
              <w:top w:val="nil"/>
              <w:left w:val="nil"/>
              <w:bottom w:val="nil"/>
              <w:right w:val="nil"/>
            </w:tcBorders>
            <w:shd w:val="clear" w:color="auto" w:fill="auto"/>
            <w:noWrap/>
            <w:vAlign w:val="bottom"/>
            <w:hideMark/>
          </w:tcPr>
          <w:p w14:paraId="415C8EA0"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6D865EC" w14:textId="77777777" w:rsidR="00BD229F" w:rsidRDefault="00BD229F" w:rsidP="00BD229F">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6CAC164" w14:textId="13110307" w:rsidR="00BD229F" w:rsidRDefault="00BD229F" w:rsidP="00BD229F">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2B69C4B7" w14:textId="3CBA3C86" w:rsidR="00BD229F" w:rsidRDefault="00BD229F" w:rsidP="00BD229F">
            <w:pPr>
              <w:jc w:val="right"/>
              <w:rPr>
                <w:color w:val="000000"/>
                <w:sz w:val="20"/>
                <w:szCs w:val="20"/>
              </w:rPr>
            </w:pPr>
            <w:r>
              <w:rPr>
                <w:color w:val="000000"/>
                <w:sz w:val="20"/>
                <w:szCs w:val="20"/>
              </w:rPr>
              <w:t>0.684</w:t>
            </w:r>
          </w:p>
        </w:tc>
        <w:tc>
          <w:tcPr>
            <w:tcW w:w="768" w:type="dxa"/>
            <w:tcBorders>
              <w:top w:val="nil"/>
              <w:left w:val="nil"/>
              <w:bottom w:val="nil"/>
              <w:right w:val="nil"/>
            </w:tcBorders>
            <w:shd w:val="clear" w:color="auto" w:fill="auto"/>
            <w:noWrap/>
            <w:vAlign w:val="bottom"/>
            <w:hideMark/>
          </w:tcPr>
          <w:p w14:paraId="13AC5A7A" w14:textId="4BB67D8E"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617C46C" w14:textId="7711483B" w:rsidR="00BD229F" w:rsidRDefault="00BD229F" w:rsidP="00BD229F">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68D755B9" w14:textId="2775996E" w:rsidR="00BD229F" w:rsidRDefault="00BD229F" w:rsidP="00BD229F">
            <w:pPr>
              <w:jc w:val="right"/>
              <w:rPr>
                <w:color w:val="000000"/>
                <w:sz w:val="20"/>
                <w:szCs w:val="20"/>
              </w:rPr>
            </w:pPr>
            <w:r>
              <w:rPr>
                <w:color w:val="000000"/>
                <w:sz w:val="20"/>
                <w:szCs w:val="20"/>
              </w:rPr>
              <w:t>0.237</w:t>
            </w:r>
          </w:p>
        </w:tc>
        <w:tc>
          <w:tcPr>
            <w:tcW w:w="768" w:type="dxa"/>
            <w:tcBorders>
              <w:top w:val="nil"/>
              <w:left w:val="nil"/>
              <w:bottom w:val="nil"/>
              <w:right w:val="nil"/>
            </w:tcBorders>
            <w:shd w:val="clear" w:color="auto" w:fill="auto"/>
            <w:noWrap/>
            <w:vAlign w:val="bottom"/>
            <w:hideMark/>
          </w:tcPr>
          <w:p w14:paraId="28008907" w14:textId="3E7488EE"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7959DD2" w14:textId="3634BA4E" w:rsidR="00BD229F" w:rsidRDefault="00BD229F" w:rsidP="00BD229F">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1D457AF" w14:textId="58EA0AC3" w:rsidR="00BD229F" w:rsidRDefault="00BD229F" w:rsidP="00BD229F">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4A34989C" w14:textId="4898395D"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CF6FD0" w14:textId="56DF4B54" w:rsidR="00BD229F" w:rsidRDefault="00BD229F" w:rsidP="00BD229F">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570178EB" w14:textId="42355EDD" w:rsidR="00BD229F" w:rsidRDefault="00BD229F" w:rsidP="00BD229F">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6E88C0F6" w14:textId="5220C073"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F5F854C" w14:textId="593EB6AF" w:rsidR="00BD229F" w:rsidRDefault="00BD229F" w:rsidP="00BD229F">
            <w:pPr>
              <w:jc w:val="right"/>
              <w:rPr>
                <w:color w:val="000000"/>
                <w:sz w:val="20"/>
                <w:szCs w:val="20"/>
              </w:rPr>
            </w:pPr>
            <w:r>
              <w:rPr>
                <w:color w:val="000000"/>
                <w:sz w:val="20"/>
                <w:szCs w:val="20"/>
              </w:rPr>
              <w:t>-0.094</w:t>
            </w:r>
          </w:p>
        </w:tc>
        <w:tc>
          <w:tcPr>
            <w:tcW w:w="768" w:type="dxa"/>
            <w:tcBorders>
              <w:top w:val="nil"/>
              <w:left w:val="nil"/>
              <w:bottom w:val="nil"/>
              <w:right w:val="nil"/>
            </w:tcBorders>
            <w:shd w:val="clear" w:color="auto" w:fill="auto"/>
            <w:noWrap/>
            <w:vAlign w:val="bottom"/>
            <w:hideMark/>
          </w:tcPr>
          <w:p w14:paraId="5E8965B0" w14:textId="71421892" w:rsidR="00BD229F" w:rsidRDefault="00BD229F" w:rsidP="00BD229F">
            <w:pPr>
              <w:jc w:val="right"/>
              <w:rPr>
                <w:color w:val="000000"/>
                <w:sz w:val="20"/>
                <w:szCs w:val="20"/>
              </w:rPr>
            </w:pPr>
            <w:r>
              <w:rPr>
                <w:color w:val="000000"/>
                <w:sz w:val="20"/>
                <w:szCs w:val="20"/>
              </w:rPr>
              <w:t>0.352</w:t>
            </w:r>
          </w:p>
        </w:tc>
        <w:tc>
          <w:tcPr>
            <w:tcW w:w="768" w:type="dxa"/>
            <w:tcBorders>
              <w:top w:val="nil"/>
              <w:left w:val="nil"/>
              <w:bottom w:val="nil"/>
              <w:right w:val="nil"/>
            </w:tcBorders>
            <w:shd w:val="clear" w:color="auto" w:fill="auto"/>
            <w:noWrap/>
            <w:vAlign w:val="bottom"/>
            <w:hideMark/>
          </w:tcPr>
          <w:p w14:paraId="580EE9CD" w14:textId="4080626A" w:rsidR="00BD229F" w:rsidRDefault="00BD229F" w:rsidP="00BD229F">
            <w:pPr>
              <w:jc w:val="right"/>
              <w:rPr>
                <w:color w:val="000000"/>
                <w:sz w:val="20"/>
                <w:szCs w:val="20"/>
              </w:rPr>
            </w:pPr>
            <w:r>
              <w:rPr>
                <w:color w:val="000000"/>
                <w:sz w:val="20"/>
                <w:szCs w:val="20"/>
              </w:rPr>
              <w:t>0.009</w:t>
            </w:r>
          </w:p>
        </w:tc>
      </w:tr>
      <w:tr w:rsidR="00BD229F" w14:paraId="2FD5FB0B" w14:textId="77777777" w:rsidTr="006E3CB6">
        <w:trPr>
          <w:trHeight w:val="320"/>
        </w:trPr>
        <w:tc>
          <w:tcPr>
            <w:tcW w:w="1176" w:type="dxa"/>
            <w:tcBorders>
              <w:top w:val="nil"/>
              <w:left w:val="nil"/>
              <w:bottom w:val="nil"/>
              <w:right w:val="nil"/>
            </w:tcBorders>
            <w:shd w:val="clear" w:color="auto" w:fill="auto"/>
            <w:noWrap/>
            <w:vAlign w:val="bottom"/>
            <w:hideMark/>
          </w:tcPr>
          <w:p w14:paraId="70C56D8A"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10836D9" w14:textId="77777777" w:rsidR="00BD229F" w:rsidRDefault="00BD229F" w:rsidP="00BD229F">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32D1C72" w14:textId="438B06A7"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4A8ED52" w14:textId="39FDE253" w:rsidR="00BD229F" w:rsidRDefault="00BD229F" w:rsidP="00BD229F">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1FA54D90" w14:textId="4AEFF2DE"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9D60EF" w14:textId="5D0A5917" w:rsidR="00BD229F" w:rsidRDefault="00BD229F" w:rsidP="00BD229F">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79C7F92" w14:textId="74F437A0" w:rsidR="00BD229F" w:rsidRDefault="00BD229F" w:rsidP="00BD229F">
            <w:pPr>
              <w:jc w:val="right"/>
              <w:rPr>
                <w:color w:val="000000"/>
                <w:sz w:val="20"/>
                <w:szCs w:val="20"/>
              </w:rPr>
            </w:pPr>
            <w:r>
              <w:rPr>
                <w:color w:val="000000"/>
                <w:sz w:val="20"/>
                <w:szCs w:val="20"/>
              </w:rPr>
              <w:t>0.417</w:t>
            </w:r>
          </w:p>
        </w:tc>
        <w:tc>
          <w:tcPr>
            <w:tcW w:w="768" w:type="dxa"/>
            <w:tcBorders>
              <w:top w:val="nil"/>
              <w:left w:val="nil"/>
              <w:bottom w:val="nil"/>
              <w:right w:val="nil"/>
            </w:tcBorders>
            <w:shd w:val="clear" w:color="auto" w:fill="auto"/>
            <w:noWrap/>
            <w:vAlign w:val="bottom"/>
            <w:hideMark/>
          </w:tcPr>
          <w:p w14:paraId="79D70091" w14:textId="1A6692A6"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3DB688" w14:textId="7117CF3E" w:rsidR="00BD229F" w:rsidRDefault="00BD229F" w:rsidP="00BD229F">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029062FD" w14:textId="11DED907" w:rsidR="00BD229F" w:rsidRDefault="00BD229F" w:rsidP="00BD229F">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783246BE" w14:textId="6F468C26"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D0E821" w14:textId="1D6E66C9" w:rsidR="00BD229F" w:rsidRDefault="00BD229F" w:rsidP="00BD229F">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8660331" w14:textId="0EB34456" w:rsidR="00BD229F" w:rsidRDefault="00BD229F" w:rsidP="00BD229F">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5C955A65" w14:textId="5F8B3800"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B9CE99" w14:textId="6FDDD6D2" w:rsidR="00BD229F" w:rsidRDefault="00BD229F" w:rsidP="00BD229F">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3B37B1BA" w14:textId="5AD7CACB" w:rsidR="00BD229F" w:rsidRDefault="00BD229F" w:rsidP="00BD229F">
            <w:pPr>
              <w:jc w:val="right"/>
              <w:rPr>
                <w:color w:val="000000"/>
                <w:sz w:val="20"/>
                <w:szCs w:val="20"/>
              </w:rPr>
            </w:pPr>
            <w:r>
              <w:rPr>
                <w:color w:val="000000"/>
                <w:sz w:val="20"/>
                <w:szCs w:val="20"/>
              </w:rPr>
              <w:t>0.507</w:t>
            </w:r>
          </w:p>
        </w:tc>
        <w:tc>
          <w:tcPr>
            <w:tcW w:w="768" w:type="dxa"/>
            <w:tcBorders>
              <w:top w:val="nil"/>
              <w:left w:val="nil"/>
              <w:bottom w:val="nil"/>
              <w:right w:val="nil"/>
            </w:tcBorders>
            <w:shd w:val="clear" w:color="auto" w:fill="auto"/>
            <w:noWrap/>
            <w:vAlign w:val="bottom"/>
            <w:hideMark/>
          </w:tcPr>
          <w:p w14:paraId="62AA06DB" w14:textId="4304707F" w:rsidR="00BD229F" w:rsidRDefault="00BD229F" w:rsidP="00BD229F">
            <w:pPr>
              <w:jc w:val="right"/>
              <w:rPr>
                <w:color w:val="000000"/>
                <w:sz w:val="20"/>
                <w:szCs w:val="20"/>
              </w:rPr>
            </w:pPr>
            <w:r>
              <w:rPr>
                <w:color w:val="000000"/>
                <w:sz w:val="20"/>
                <w:szCs w:val="20"/>
              </w:rPr>
              <w:t>0.002</w:t>
            </w:r>
          </w:p>
        </w:tc>
      </w:tr>
      <w:tr w:rsidR="00BD229F" w14:paraId="11F61541" w14:textId="77777777" w:rsidTr="006E3CB6">
        <w:trPr>
          <w:trHeight w:val="320"/>
        </w:trPr>
        <w:tc>
          <w:tcPr>
            <w:tcW w:w="1176" w:type="dxa"/>
            <w:tcBorders>
              <w:top w:val="nil"/>
              <w:left w:val="nil"/>
              <w:bottom w:val="nil"/>
              <w:right w:val="nil"/>
            </w:tcBorders>
            <w:shd w:val="clear" w:color="auto" w:fill="auto"/>
            <w:noWrap/>
            <w:vAlign w:val="bottom"/>
            <w:hideMark/>
          </w:tcPr>
          <w:p w14:paraId="3F0C95A9"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0D644DE" w14:textId="77777777" w:rsidR="00BD229F" w:rsidRDefault="00BD229F" w:rsidP="00BD229F">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71CD5A3" w14:textId="25985E29" w:rsidR="00BD229F" w:rsidRDefault="00BD229F" w:rsidP="00BD229F">
            <w:pPr>
              <w:jc w:val="right"/>
              <w:rPr>
                <w:color w:val="000000"/>
                <w:sz w:val="20"/>
                <w:szCs w:val="20"/>
              </w:rPr>
            </w:pPr>
            <w:r>
              <w:rPr>
                <w:color w:val="000000"/>
                <w:sz w:val="20"/>
                <w:szCs w:val="20"/>
              </w:rPr>
              <w:t>0.101</w:t>
            </w:r>
          </w:p>
        </w:tc>
        <w:tc>
          <w:tcPr>
            <w:tcW w:w="768" w:type="dxa"/>
            <w:tcBorders>
              <w:top w:val="nil"/>
              <w:left w:val="nil"/>
              <w:bottom w:val="nil"/>
              <w:right w:val="nil"/>
            </w:tcBorders>
            <w:shd w:val="clear" w:color="auto" w:fill="auto"/>
            <w:noWrap/>
            <w:vAlign w:val="bottom"/>
            <w:hideMark/>
          </w:tcPr>
          <w:p w14:paraId="483C91A6" w14:textId="621C67E5" w:rsidR="00BD229F" w:rsidRDefault="00BD229F" w:rsidP="00BD229F">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56AC796D" w14:textId="596B2EB8"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1BB288F" w14:textId="207CEAF0" w:rsidR="00BD229F" w:rsidRDefault="00BD229F" w:rsidP="00BD229F">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40FC73E" w14:textId="0A0797D7" w:rsidR="00BD229F" w:rsidRDefault="00BD229F" w:rsidP="00BD229F">
            <w:pPr>
              <w:jc w:val="right"/>
              <w:rPr>
                <w:color w:val="000000"/>
                <w:sz w:val="20"/>
                <w:szCs w:val="20"/>
              </w:rPr>
            </w:pPr>
            <w:r>
              <w:rPr>
                <w:color w:val="000000"/>
                <w:sz w:val="20"/>
                <w:szCs w:val="20"/>
              </w:rPr>
              <w:t>0.417</w:t>
            </w:r>
          </w:p>
        </w:tc>
        <w:tc>
          <w:tcPr>
            <w:tcW w:w="768" w:type="dxa"/>
            <w:tcBorders>
              <w:top w:val="nil"/>
              <w:left w:val="nil"/>
              <w:bottom w:val="nil"/>
              <w:right w:val="nil"/>
            </w:tcBorders>
            <w:shd w:val="clear" w:color="auto" w:fill="auto"/>
            <w:noWrap/>
            <w:vAlign w:val="bottom"/>
            <w:hideMark/>
          </w:tcPr>
          <w:p w14:paraId="1C5B98CD" w14:textId="4B6D7548"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101ACF2" w14:textId="4636745D" w:rsidR="00BD229F" w:rsidRDefault="00BD229F" w:rsidP="00BD229F">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854636E" w14:textId="4DECE6DE" w:rsidR="00BD229F" w:rsidRDefault="00BD229F" w:rsidP="00BD229F">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1877508D" w14:textId="0073DC7C"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59EB25" w14:textId="232743A1" w:rsidR="00BD229F" w:rsidRDefault="00BD229F" w:rsidP="00BD229F">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789EAD93" w14:textId="0639E8D9" w:rsidR="00BD229F" w:rsidRDefault="00BD229F" w:rsidP="00BD229F">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7A75D703" w14:textId="6E66D36B"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5C67C9D" w14:textId="47133611" w:rsidR="00BD229F" w:rsidRDefault="00BD229F" w:rsidP="00BD229F">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7AA74383" w14:textId="7F6C62BE" w:rsidR="00BD229F" w:rsidRDefault="00BD229F" w:rsidP="00BD229F">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7DD5E66E" w14:textId="4F89AA13" w:rsidR="00BD229F" w:rsidRDefault="00BD229F" w:rsidP="00BD229F">
            <w:pPr>
              <w:jc w:val="right"/>
              <w:rPr>
                <w:color w:val="000000"/>
                <w:sz w:val="20"/>
                <w:szCs w:val="20"/>
              </w:rPr>
            </w:pPr>
            <w:r>
              <w:rPr>
                <w:color w:val="000000"/>
                <w:sz w:val="20"/>
                <w:szCs w:val="20"/>
              </w:rPr>
              <w:t>0.003</w:t>
            </w:r>
          </w:p>
        </w:tc>
      </w:tr>
      <w:tr w:rsidR="00BD229F" w14:paraId="3773733D" w14:textId="77777777" w:rsidTr="006E3CB6">
        <w:trPr>
          <w:trHeight w:val="320"/>
        </w:trPr>
        <w:tc>
          <w:tcPr>
            <w:tcW w:w="1176" w:type="dxa"/>
            <w:tcBorders>
              <w:top w:val="nil"/>
              <w:left w:val="nil"/>
              <w:bottom w:val="single" w:sz="4" w:space="0" w:color="auto"/>
              <w:right w:val="nil"/>
            </w:tcBorders>
            <w:shd w:val="clear" w:color="auto" w:fill="auto"/>
            <w:noWrap/>
            <w:vAlign w:val="bottom"/>
            <w:hideMark/>
          </w:tcPr>
          <w:p w14:paraId="289A2BDE" w14:textId="77777777" w:rsidR="00BD229F" w:rsidRDefault="00BD229F" w:rsidP="00BD229F">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D91A18A" w14:textId="77777777" w:rsidR="00BD229F" w:rsidRDefault="00BD229F" w:rsidP="00BD229F">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6EF0653" w14:textId="321A9517" w:rsidR="00BD229F" w:rsidRDefault="00BD229F" w:rsidP="00BD229F">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6AD253CC" w14:textId="7B89FB75" w:rsidR="00BD229F" w:rsidRDefault="00BD229F" w:rsidP="00BD229F">
            <w:pPr>
              <w:jc w:val="right"/>
              <w:rPr>
                <w:color w:val="000000"/>
                <w:sz w:val="20"/>
                <w:szCs w:val="20"/>
              </w:rPr>
            </w:pPr>
            <w:r>
              <w:rPr>
                <w:color w:val="000000"/>
                <w:sz w:val="20"/>
                <w:szCs w:val="20"/>
              </w:rPr>
              <w:t>0.684</w:t>
            </w:r>
          </w:p>
        </w:tc>
        <w:tc>
          <w:tcPr>
            <w:tcW w:w="768" w:type="dxa"/>
            <w:tcBorders>
              <w:top w:val="nil"/>
              <w:left w:val="nil"/>
              <w:bottom w:val="single" w:sz="4" w:space="0" w:color="auto"/>
              <w:right w:val="nil"/>
            </w:tcBorders>
            <w:shd w:val="clear" w:color="auto" w:fill="auto"/>
            <w:noWrap/>
            <w:vAlign w:val="bottom"/>
            <w:hideMark/>
          </w:tcPr>
          <w:p w14:paraId="21E5BB69" w14:textId="1CF55075"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05538031" w14:textId="7ACF6B86" w:rsidR="00BD229F" w:rsidRDefault="00BD229F" w:rsidP="00BD229F">
            <w:pPr>
              <w:jc w:val="right"/>
              <w:rPr>
                <w:color w:val="000000"/>
                <w:sz w:val="20"/>
                <w:szCs w:val="20"/>
              </w:rPr>
            </w:pPr>
            <w:r>
              <w:rPr>
                <w:color w:val="000000"/>
                <w:sz w:val="20"/>
                <w:szCs w:val="20"/>
              </w:rPr>
              <w:t>-0.095</w:t>
            </w:r>
          </w:p>
        </w:tc>
        <w:tc>
          <w:tcPr>
            <w:tcW w:w="768" w:type="dxa"/>
            <w:tcBorders>
              <w:top w:val="nil"/>
              <w:left w:val="nil"/>
              <w:bottom w:val="single" w:sz="4" w:space="0" w:color="auto"/>
              <w:right w:val="nil"/>
            </w:tcBorders>
            <w:shd w:val="clear" w:color="auto" w:fill="auto"/>
            <w:noWrap/>
            <w:vAlign w:val="bottom"/>
            <w:hideMark/>
          </w:tcPr>
          <w:p w14:paraId="6F69917E" w14:textId="4355733A" w:rsidR="00BD229F" w:rsidRDefault="00BD229F" w:rsidP="00BD229F">
            <w:pPr>
              <w:jc w:val="right"/>
              <w:rPr>
                <w:color w:val="000000"/>
                <w:sz w:val="20"/>
                <w:szCs w:val="20"/>
              </w:rPr>
            </w:pPr>
            <w:r>
              <w:rPr>
                <w:color w:val="000000"/>
                <w:sz w:val="20"/>
                <w:szCs w:val="20"/>
              </w:rPr>
              <w:t>0.187</w:t>
            </w:r>
          </w:p>
        </w:tc>
        <w:tc>
          <w:tcPr>
            <w:tcW w:w="768" w:type="dxa"/>
            <w:tcBorders>
              <w:top w:val="nil"/>
              <w:left w:val="nil"/>
              <w:bottom w:val="single" w:sz="4" w:space="0" w:color="auto"/>
              <w:right w:val="nil"/>
            </w:tcBorders>
            <w:shd w:val="clear" w:color="auto" w:fill="auto"/>
            <w:noWrap/>
            <w:vAlign w:val="bottom"/>
            <w:hideMark/>
          </w:tcPr>
          <w:p w14:paraId="3FFF89BB" w14:textId="666BD595" w:rsidR="00BD229F" w:rsidRDefault="00BD229F" w:rsidP="00BD229F">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4953A79F" w14:textId="2660DA6A"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29524CB0" w14:textId="0180DD3B" w:rsidR="00BD229F" w:rsidRDefault="00BD229F" w:rsidP="00BD229F">
            <w:pPr>
              <w:jc w:val="right"/>
              <w:rPr>
                <w:color w:val="000000"/>
                <w:sz w:val="20"/>
                <w:szCs w:val="20"/>
              </w:rPr>
            </w:pPr>
            <w:r>
              <w:rPr>
                <w:color w:val="000000"/>
                <w:sz w:val="20"/>
                <w:szCs w:val="20"/>
              </w:rPr>
              <w:t>0.996</w:t>
            </w:r>
          </w:p>
        </w:tc>
        <w:tc>
          <w:tcPr>
            <w:tcW w:w="768" w:type="dxa"/>
            <w:tcBorders>
              <w:top w:val="nil"/>
              <w:left w:val="nil"/>
              <w:bottom w:val="single" w:sz="4" w:space="0" w:color="auto"/>
              <w:right w:val="nil"/>
            </w:tcBorders>
            <w:shd w:val="clear" w:color="auto" w:fill="auto"/>
            <w:noWrap/>
            <w:vAlign w:val="bottom"/>
            <w:hideMark/>
          </w:tcPr>
          <w:p w14:paraId="5554D22E" w14:textId="5ACF4C8E"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2100B2C" w14:textId="1578570E" w:rsidR="00BD229F" w:rsidRDefault="00BD229F" w:rsidP="00BD229F">
            <w:pPr>
              <w:jc w:val="right"/>
              <w:rPr>
                <w:color w:val="000000"/>
                <w:sz w:val="20"/>
                <w:szCs w:val="20"/>
              </w:rPr>
            </w:pPr>
            <w:r>
              <w:rPr>
                <w:color w:val="000000"/>
                <w:sz w:val="20"/>
                <w:szCs w:val="20"/>
              </w:rPr>
              <w:t>0.052</w:t>
            </w:r>
          </w:p>
        </w:tc>
        <w:tc>
          <w:tcPr>
            <w:tcW w:w="768" w:type="dxa"/>
            <w:tcBorders>
              <w:top w:val="nil"/>
              <w:left w:val="nil"/>
              <w:bottom w:val="single" w:sz="4" w:space="0" w:color="auto"/>
              <w:right w:val="nil"/>
            </w:tcBorders>
            <w:shd w:val="clear" w:color="auto" w:fill="auto"/>
            <w:noWrap/>
            <w:vAlign w:val="bottom"/>
            <w:hideMark/>
          </w:tcPr>
          <w:p w14:paraId="2C89765F" w14:textId="3EBE2E45" w:rsidR="00BD229F" w:rsidRDefault="00BD229F" w:rsidP="00BD229F">
            <w:pPr>
              <w:jc w:val="right"/>
              <w:rPr>
                <w:color w:val="000000"/>
                <w:sz w:val="20"/>
                <w:szCs w:val="20"/>
              </w:rPr>
            </w:pPr>
            <w:r>
              <w:rPr>
                <w:color w:val="000000"/>
                <w:sz w:val="20"/>
                <w:szCs w:val="20"/>
              </w:rPr>
              <w:t>0.486</w:t>
            </w:r>
          </w:p>
        </w:tc>
        <w:tc>
          <w:tcPr>
            <w:tcW w:w="768" w:type="dxa"/>
            <w:tcBorders>
              <w:top w:val="nil"/>
              <w:left w:val="nil"/>
              <w:bottom w:val="single" w:sz="4" w:space="0" w:color="auto"/>
              <w:right w:val="nil"/>
            </w:tcBorders>
            <w:shd w:val="clear" w:color="auto" w:fill="auto"/>
            <w:noWrap/>
            <w:vAlign w:val="bottom"/>
            <w:hideMark/>
          </w:tcPr>
          <w:p w14:paraId="308ED6C1" w14:textId="5F7A55AB"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72D18573" w14:textId="64FD125A" w:rsidR="00BD229F" w:rsidRDefault="00BD229F" w:rsidP="00BD229F">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6AF976B9" w14:textId="6CAA2B79" w:rsidR="00BD229F" w:rsidRDefault="00BD229F" w:rsidP="00BD229F">
            <w:pPr>
              <w:jc w:val="right"/>
              <w:rPr>
                <w:color w:val="000000"/>
                <w:sz w:val="20"/>
                <w:szCs w:val="20"/>
              </w:rPr>
            </w:pPr>
            <w:r>
              <w:rPr>
                <w:color w:val="000000"/>
                <w:sz w:val="20"/>
                <w:szCs w:val="20"/>
              </w:rPr>
              <w:t>0.686</w:t>
            </w:r>
          </w:p>
        </w:tc>
        <w:tc>
          <w:tcPr>
            <w:tcW w:w="768" w:type="dxa"/>
            <w:tcBorders>
              <w:top w:val="nil"/>
              <w:left w:val="nil"/>
              <w:bottom w:val="single" w:sz="4" w:space="0" w:color="auto"/>
              <w:right w:val="nil"/>
            </w:tcBorders>
            <w:shd w:val="clear" w:color="auto" w:fill="auto"/>
            <w:noWrap/>
            <w:vAlign w:val="bottom"/>
            <w:hideMark/>
          </w:tcPr>
          <w:p w14:paraId="7F4C9169" w14:textId="19427C41" w:rsidR="00BD229F" w:rsidRDefault="00BD229F" w:rsidP="00BD229F">
            <w:pPr>
              <w:jc w:val="right"/>
              <w:rPr>
                <w:color w:val="000000"/>
                <w:sz w:val="20"/>
                <w:szCs w:val="20"/>
              </w:rPr>
            </w:pPr>
            <w:r>
              <w:rPr>
                <w:color w:val="000000"/>
                <w:sz w:val="20"/>
                <w:szCs w:val="20"/>
              </w:rPr>
              <w:t>0.001</w:t>
            </w:r>
          </w:p>
        </w:tc>
      </w:tr>
      <w:tr w:rsidR="00BD229F" w14:paraId="4D0B913B" w14:textId="77777777" w:rsidTr="006E3CB6">
        <w:trPr>
          <w:trHeight w:val="320"/>
        </w:trPr>
        <w:tc>
          <w:tcPr>
            <w:tcW w:w="1176" w:type="dxa"/>
            <w:tcBorders>
              <w:top w:val="nil"/>
              <w:left w:val="nil"/>
              <w:bottom w:val="nil"/>
              <w:right w:val="nil"/>
            </w:tcBorders>
            <w:shd w:val="clear" w:color="auto" w:fill="auto"/>
            <w:noWrap/>
            <w:vAlign w:val="bottom"/>
            <w:hideMark/>
          </w:tcPr>
          <w:p w14:paraId="6318BC02" w14:textId="77777777" w:rsidR="00BD229F" w:rsidRDefault="00BD229F" w:rsidP="00BD229F">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46F17231" w14:textId="77777777" w:rsidR="00BD229F" w:rsidRDefault="00BD229F" w:rsidP="00BD229F">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7B696FF" w14:textId="352A13A0" w:rsidR="00BD229F" w:rsidRDefault="00BD229F" w:rsidP="00BD229F">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2CB7C44" w14:textId="66E3AAB5" w:rsidR="00BD229F" w:rsidRDefault="00BD229F" w:rsidP="00BD229F">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036B2F6C" w14:textId="1CB05312"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06F94F" w14:textId="5D7E1636" w:rsidR="00BD229F" w:rsidRDefault="00BD229F" w:rsidP="00BD229F">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20971295" w14:textId="7AA554A8" w:rsidR="00BD229F" w:rsidRDefault="00BD229F" w:rsidP="00BD229F">
            <w:pPr>
              <w:jc w:val="right"/>
              <w:rPr>
                <w:color w:val="000000"/>
                <w:sz w:val="20"/>
                <w:szCs w:val="20"/>
              </w:rPr>
            </w:pPr>
            <w:r>
              <w:rPr>
                <w:color w:val="000000"/>
                <w:sz w:val="20"/>
                <w:szCs w:val="20"/>
              </w:rPr>
              <w:t>0.328</w:t>
            </w:r>
          </w:p>
        </w:tc>
        <w:tc>
          <w:tcPr>
            <w:tcW w:w="768" w:type="dxa"/>
            <w:tcBorders>
              <w:top w:val="nil"/>
              <w:left w:val="nil"/>
              <w:bottom w:val="nil"/>
              <w:right w:val="nil"/>
            </w:tcBorders>
            <w:shd w:val="clear" w:color="auto" w:fill="auto"/>
            <w:noWrap/>
            <w:vAlign w:val="bottom"/>
            <w:hideMark/>
          </w:tcPr>
          <w:p w14:paraId="5EB0B186" w14:textId="29B739A5"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B9741E3" w14:textId="17E49A38" w:rsidR="00BD229F" w:rsidRDefault="00BD229F" w:rsidP="00BD229F">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4C783FF" w14:textId="048DAB03" w:rsidR="00BD229F" w:rsidRDefault="00BD229F" w:rsidP="00BD229F">
            <w:pPr>
              <w:jc w:val="right"/>
              <w:rPr>
                <w:color w:val="000000"/>
                <w:sz w:val="20"/>
                <w:szCs w:val="20"/>
              </w:rPr>
            </w:pPr>
            <w:r>
              <w:rPr>
                <w:color w:val="000000"/>
                <w:sz w:val="20"/>
                <w:szCs w:val="20"/>
              </w:rPr>
              <w:t>0.535</w:t>
            </w:r>
          </w:p>
        </w:tc>
        <w:tc>
          <w:tcPr>
            <w:tcW w:w="768" w:type="dxa"/>
            <w:tcBorders>
              <w:top w:val="nil"/>
              <w:left w:val="nil"/>
              <w:bottom w:val="nil"/>
              <w:right w:val="nil"/>
            </w:tcBorders>
            <w:shd w:val="clear" w:color="auto" w:fill="auto"/>
            <w:noWrap/>
            <w:vAlign w:val="bottom"/>
            <w:hideMark/>
          </w:tcPr>
          <w:p w14:paraId="651FA201" w14:textId="22BF9513"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96EE70" w14:textId="239CEC69" w:rsidR="00BD229F" w:rsidRDefault="00BD229F" w:rsidP="00BD229F">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E45EBA4" w14:textId="15BF9242" w:rsidR="00BD229F" w:rsidRDefault="00BD229F" w:rsidP="00BD229F">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5B6DF22E" w14:textId="3EB6DC61"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F0B571" w14:textId="66CA82E7" w:rsidR="00BD229F" w:rsidRDefault="00BD229F" w:rsidP="00BD229F">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646D64A6" w14:textId="3CC9E89D" w:rsidR="00BD229F" w:rsidRDefault="00BD229F" w:rsidP="00BD229F">
            <w:pPr>
              <w:jc w:val="right"/>
              <w:rPr>
                <w:color w:val="000000"/>
                <w:sz w:val="20"/>
                <w:szCs w:val="20"/>
              </w:rPr>
            </w:pPr>
            <w:r>
              <w:rPr>
                <w:color w:val="000000"/>
                <w:sz w:val="20"/>
                <w:szCs w:val="20"/>
              </w:rPr>
              <w:t>0.597</w:t>
            </w:r>
          </w:p>
        </w:tc>
        <w:tc>
          <w:tcPr>
            <w:tcW w:w="768" w:type="dxa"/>
            <w:tcBorders>
              <w:top w:val="nil"/>
              <w:left w:val="nil"/>
              <w:bottom w:val="nil"/>
              <w:right w:val="nil"/>
            </w:tcBorders>
            <w:shd w:val="clear" w:color="auto" w:fill="auto"/>
            <w:noWrap/>
            <w:vAlign w:val="bottom"/>
            <w:hideMark/>
          </w:tcPr>
          <w:p w14:paraId="53BB21C6" w14:textId="3FDF08C6" w:rsidR="00BD229F" w:rsidRDefault="00BD229F" w:rsidP="00BD229F">
            <w:pPr>
              <w:jc w:val="right"/>
              <w:rPr>
                <w:color w:val="000000"/>
                <w:sz w:val="20"/>
                <w:szCs w:val="20"/>
              </w:rPr>
            </w:pPr>
            <w:r>
              <w:rPr>
                <w:color w:val="000000"/>
                <w:sz w:val="20"/>
                <w:szCs w:val="20"/>
              </w:rPr>
              <w:t>0.001</w:t>
            </w:r>
          </w:p>
        </w:tc>
      </w:tr>
      <w:tr w:rsidR="00BD229F" w14:paraId="5B469195" w14:textId="77777777" w:rsidTr="006E3CB6">
        <w:trPr>
          <w:trHeight w:val="320"/>
        </w:trPr>
        <w:tc>
          <w:tcPr>
            <w:tcW w:w="1176" w:type="dxa"/>
            <w:tcBorders>
              <w:top w:val="nil"/>
              <w:left w:val="nil"/>
              <w:bottom w:val="nil"/>
              <w:right w:val="nil"/>
            </w:tcBorders>
            <w:shd w:val="clear" w:color="auto" w:fill="auto"/>
            <w:noWrap/>
            <w:vAlign w:val="bottom"/>
            <w:hideMark/>
          </w:tcPr>
          <w:p w14:paraId="4FCF5847"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07A7F72" w14:textId="77777777" w:rsidR="00BD229F" w:rsidRDefault="00BD229F" w:rsidP="00BD229F">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6782895" w14:textId="125139DE" w:rsidR="00BD229F" w:rsidRDefault="00BD229F" w:rsidP="00BD229F">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AB9B2BF" w14:textId="2FC27B87" w:rsidR="00BD229F" w:rsidRDefault="00BD229F" w:rsidP="00BD229F">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210B2254" w14:textId="373F7733"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30BB4B" w14:textId="7ED0D542" w:rsidR="00BD229F" w:rsidRDefault="00BD229F" w:rsidP="00BD229F">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F8E10BA" w14:textId="0421141E" w:rsidR="00BD229F" w:rsidRDefault="00BD229F" w:rsidP="00BD229F">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4824794D" w14:textId="136933B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4E4E9F" w14:textId="625CB9A6" w:rsidR="00BD229F" w:rsidRDefault="00BD229F" w:rsidP="00BD229F">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692B06D2" w14:textId="4A68B1B9" w:rsidR="00BD229F" w:rsidRDefault="00BD229F" w:rsidP="00BD229F">
            <w:pPr>
              <w:jc w:val="right"/>
              <w:rPr>
                <w:color w:val="000000"/>
                <w:sz w:val="20"/>
                <w:szCs w:val="20"/>
              </w:rPr>
            </w:pPr>
            <w:r>
              <w:rPr>
                <w:color w:val="000000"/>
                <w:sz w:val="20"/>
                <w:szCs w:val="20"/>
              </w:rPr>
              <w:t>0.535</w:t>
            </w:r>
          </w:p>
        </w:tc>
        <w:tc>
          <w:tcPr>
            <w:tcW w:w="768" w:type="dxa"/>
            <w:tcBorders>
              <w:top w:val="nil"/>
              <w:left w:val="nil"/>
              <w:bottom w:val="nil"/>
              <w:right w:val="nil"/>
            </w:tcBorders>
            <w:shd w:val="clear" w:color="auto" w:fill="auto"/>
            <w:noWrap/>
            <w:vAlign w:val="bottom"/>
            <w:hideMark/>
          </w:tcPr>
          <w:p w14:paraId="32B1970F" w14:textId="43056EF9"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1FCDC16" w14:textId="225FF146" w:rsidR="00BD229F" w:rsidRDefault="00BD229F" w:rsidP="00BD229F">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C941654" w14:textId="08C5F360" w:rsidR="00BD229F" w:rsidRDefault="00BD229F" w:rsidP="00BD229F">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1829624B" w14:textId="4CCEC577"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6AC9F8E" w14:textId="723B3841" w:rsidR="00BD229F" w:rsidRDefault="00BD229F" w:rsidP="00BD229F">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771C8EE" w14:textId="013FFCAD" w:rsidR="00BD229F" w:rsidRDefault="00BD229F" w:rsidP="00BD229F">
            <w:pPr>
              <w:jc w:val="right"/>
              <w:rPr>
                <w:color w:val="000000"/>
                <w:sz w:val="20"/>
                <w:szCs w:val="20"/>
              </w:rPr>
            </w:pPr>
            <w:r>
              <w:rPr>
                <w:color w:val="000000"/>
                <w:sz w:val="20"/>
                <w:szCs w:val="20"/>
              </w:rPr>
              <w:t>0.768</w:t>
            </w:r>
          </w:p>
        </w:tc>
        <w:tc>
          <w:tcPr>
            <w:tcW w:w="768" w:type="dxa"/>
            <w:tcBorders>
              <w:top w:val="nil"/>
              <w:left w:val="nil"/>
              <w:bottom w:val="nil"/>
              <w:right w:val="nil"/>
            </w:tcBorders>
            <w:shd w:val="clear" w:color="auto" w:fill="auto"/>
            <w:noWrap/>
            <w:vAlign w:val="bottom"/>
            <w:hideMark/>
          </w:tcPr>
          <w:p w14:paraId="53360ABB" w14:textId="7174CEF3" w:rsidR="00BD229F" w:rsidRDefault="00BD229F" w:rsidP="00BD229F">
            <w:pPr>
              <w:jc w:val="right"/>
              <w:rPr>
                <w:color w:val="000000"/>
                <w:sz w:val="20"/>
                <w:szCs w:val="20"/>
              </w:rPr>
            </w:pPr>
            <w:r>
              <w:rPr>
                <w:color w:val="000000"/>
                <w:sz w:val="20"/>
                <w:szCs w:val="20"/>
              </w:rPr>
              <w:t>0.000</w:t>
            </w:r>
          </w:p>
        </w:tc>
      </w:tr>
      <w:tr w:rsidR="00BD229F" w14:paraId="3D53552F" w14:textId="77777777" w:rsidTr="006E3CB6">
        <w:trPr>
          <w:trHeight w:val="320"/>
        </w:trPr>
        <w:tc>
          <w:tcPr>
            <w:tcW w:w="1176" w:type="dxa"/>
            <w:tcBorders>
              <w:top w:val="nil"/>
              <w:left w:val="nil"/>
              <w:bottom w:val="nil"/>
              <w:right w:val="nil"/>
            </w:tcBorders>
            <w:shd w:val="clear" w:color="auto" w:fill="auto"/>
            <w:noWrap/>
            <w:vAlign w:val="bottom"/>
            <w:hideMark/>
          </w:tcPr>
          <w:p w14:paraId="3D4BDF50"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2C2E644" w14:textId="77777777" w:rsidR="00BD229F" w:rsidRDefault="00BD229F" w:rsidP="00BD229F">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A088F41" w14:textId="543A34B9"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56C6E35" w14:textId="689A4C27" w:rsidR="00BD229F" w:rsidRDefault="00BD229F" w:rsidP="00BD229F">
            <w:pPr>
              <w:jc w:val="right"/>
              <w:rPr>
                <w:color w:val="000000"/>
                <w:sz w:val="20"/>
                <w:szCs w:val="20"/>
              </w:rPr>
            </w:pPr>
            <w:r>
              <w:rPr>
                <w:color w:val="000000"/>
                <w:sz w:val="20"/>
                <w:szCs w:val="20"/>
              </w:rPr>
              <w:t>0.972</w:t>
            </w:r>
          </w:p>
        </w:tc>
        <w:tc>
          <w:tcPr>
            <w:tcW w:w="768" w:type="dxa"/>
            <w:tcBorders>
              <w:top w:val="nil"/>
              <w:left w:val="nil"/>
              <w:bottom w:val="nil"/>
              <w:right w:val="nil"/>
            </w:tcBorders>
            <w:shd w:val="clear" w:color="auto" w:fill="auto"/>
            <w:noWrap/>
            <w:vAlign w:val="bottom"/>
            <w:hideMark/>
          </w:tcPr>
          <w:p w14:paraId="4BCCA691" w14:textId="7A9EA531"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1EF52D" w14:textId="769CC2B9" w:rsidR="00BD229F" w:rsidRDefault="00BD229F" w:rsidP="00BD229F">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0FB0736D" w14:textId="1F167009" w:rsidR="00BD229F" w:rsidRDefault="00BD229F" w:rsidP="00BD229F">
            <w:pPr>
              <w:jc w:val="right"/>
              <w:rPr>
                <w:color w:val="000000"/>
                <w:sz w:val="20"/>
                <w:szCs w:val="20"/>
              </w:rPr>
            </w:pPr>
            <w:r>
              <w:rPr>
                <w:color w:val="000000"/>
                <w:sz w:val="20"/>
                <w:szCs w:val="20"/>
              </w:rPr>
              <w:t>0.378</w:t>
            </w:r>
          </w:p>
        </w:tc>
        <w:tc>
          <w:tcPr>
            <w:tcW w:w="768" w:type="dxa"/>
            <w:tcBorders>
              <w:top w:val="nil"/>
              <w:left w:val="nil"/>
              <w:bottom w:val="nil"/>
              <w:right w:val="nil"/>
            </w:tcBorders>
            <w:shd w:val="clear" w:color="auto" w:fill="auto"/>
            <w:noWrap/>
            <w:vAlign w:val="bottom"/>
            <w:hideMark/>
          </w:tcPr>
          <w:p w14:paraId="7F48D949" w14:textId="0E70BC07"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8C4CAAB" w14:textId="4F99A4F4"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09FD36C" w14:textId="1AEF0D15" w:rsidR="00BD229F" w:rsidRDefault="00BD229F" w:rsidP="00BD229F">
            <w:pPr>
              <w:jc w:val="right"/>
              <w:rPr>
                <w:color w:val="000000"/>
                <w:sz w:val="20"/>
                <w:szCs w:val="20"/>
              </w:rPr>
            </w:pPr>
            <w:r>
              <w:rPr>
                <w:color w:val="000000"/>
                <w:sz w:val="20"/>
                <w:szCs w:val="20"/>
              </w:rPr>
              <w:t>0.851</w:t>
            </w:r>
          </w:p>
        </w:tc>
        <w:tc>
          <w:tcPr>
            <w:tcW w:w="768" w:type="dxa"/>
            <w:tcBorders>
              <w:top w:val="nil"/>
              <w:left w:val="nil"/>
              <w:bottom w:val="nil"/>
              <w:right w:val="nil"/>
            </w:tcBorders>
            <w:shd w:val="clear" w:color="auto" w:fill="auto"/>
            <w:noWrap/>
            <w:vAlign w:val="bottom"/>
            <w:hideMark/>
          </w:tcPr>
          <w:p w14:paraId="2E7E8CC9" w14:textId="22A00176"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EBB77D" w14:textId="096349BF"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8EB004A" w14:textId="3C30A23C" w:rsidR="00BD229F" w:rsidRDefault="00BD229F" w:rsidP="00BD229F">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2A76F478" w14:textId="39A4B66B"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8D746A" w14:textId="65C90D71" w:rsidR="00BD229F" w:rsidRDefault="00BD229F" w:rsidP="00BD229F">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3DB7D1A9" w14:textId="6F6F3F1D" w:rsidR="00BD229F" w:rsidRDefault="00BD229F" w:rsidP="00BD229F">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4FF3215A" w14:textId="24D48E3C" w:rsidR="00BD229F" w:rsidRDefault="00BD229F" w:rsidP="00BD229F">
            <w:pPr>
              <w:jc w:val="right"/>
              <w:rPr>
                <w:color w:val="000000"/>
                <w:sz w:val="20"/>
                <w:szCs w:val="20"/>
              </w:rPr>
            </w:pPr>
            <w:r>
              <w:rPr>
                <w:color w:val="000000"/>
                <w:sz w:val="20"/>
                <w:szCs w:val="20"/>
              </w:rPr>
              <w:t>0.002</w:t>
            </w:r>
          </w:p>
        </w:tc>
      </w:tr>
      <w:tr w:rsidR="00BD229F" w14:paraId="0226DD38" w14:textId="77777777" w:rsidTr="006E3CB6">
        <w:trPr>
          <w:trHeight w:val="320"/>
        </w:trPr>
        <w:tc>
          <w:tcPr>
            <w:tcW w:w="1176" w:type="dxa"/>
            <w:tcBorders>
              <w:top w:val="nil"/>
              <w:left w:val="nil"/>
              <w:bottom w:val="nil"/>
              <w:right w:val="nil"/>
            </w:tcBorders>
            <w:shd w:val="clear" w:color="auto" w:fill="auto"/>
            <w:noWrap/>
            <w:vAlign w:val="bottom"/>
            <w:hideMark/>
          </w:tcPr>
          <w:p w14:paraId="40F7BD99"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B316208" w14:textId="77777777" w:rsidR="00BD229F" w:rsidRDefault="00BD229F" w:rsidP="00BD229F">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08AC9BD" w14:textId="78FD004A" w:rsidR="00BD229F" w:rsidRDefault="00BD229F" w:rsidP="00BD229F">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76A22D0" w14:textId="4DB45A9A" w:rsidR="00BD229F" w:rsidRDefault="00BD229F" w:rsidP="00BD229F">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1DC66686" w14:textId="1EE52BFE"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57D7CD" w14:textId="0D4890C7"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7FECB5C" w14:textId="3C3BBA5D" w:rsidR="00BD229F" w:rsidRDefault="00BD229F" w:rsidP="00BD229F">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14CC53E1" w14:textId="17ECAF4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BA8ED7" w14:textId="1438E7C6" w:rsidR="00BD229F" w:rsidRDefault="00BD229F" w:rsidP="00BD229F">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906BF78" w14:textId="027F6AAD" w:rsidR="00BD229F" w:rsidRDefault="00BD229F" w:rsidP="00BD229F">
            <w:pPr>
              <w:jc w:val="right"/>
              <w:rPr>
                <w:color w:val="000000"/>
                <w:sz w:val="20"/>
                <w:szCs w:val="20"/>
              </w:rPr>
            </w:pPr>
            <w:r>
              <w:rPr>
                <w:color w:val="000000"/>
                <w:sz w:val="20"/>
                <w:szCs w:val="20"/>
              </w:rPr>
              <w:t>0.657</w:t>
            </w:r>
          </w:p>
        </w:tc>
        <w:tc>
          <w:tcPr>
            <w:tcW w:w="768" w:type="dxa"/>
            <w:tcBorders>
              <w:top w:val="nil"/>
              <w:left w:val="nil"/>
              <w:bottom w:val="nil"/>
              <w:right w:val="nil"/>
            </w:tcBorders>
            <w:shd w:val="clear" w:color="auto" w:fill="auto"/>
            <w:noWrap/>
            <w:vAlign w:val="bottom"/>
            <w:hideMark/>
          </w:tcPr>
          <w:p w14:paraId="12EC580E" w14:textId="539A7FE4"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FAD580" w14:textId="6D1CC32F" w:rsidR="00BD229F" w:rsidRDefault="00BD229F" w:rsidP="00BD229F">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4DD3CC2" w14:textId="4DEFA22A" w:rsidR="00BD229F" w:rsidRDefault="00BD229F" w:rsidP="00BD229F">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5670AD3A" w14:textId="402F6BAE"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B2603D" w14:textId="7AD1A972" w:rsidR="00BD229F" w:rsidRDefault="00BD229F" w:rsidP="00BD229F">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4522D9A7" w14:textId="38BE71BC" w:rsidR="00BD229F" w:rsidRDefault="00BD229F" w:rsidP="00BD229F">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6504BF2C" w14:textId="0732877C" w:rsidR="00BD229F" w:rsidRDefault="00BD229F" w:rsidP="00BD229F">
            <w:pPr>
              <w:jc w:val="right"/>
              <w:rPr>
                <w:color w:val="000000"/>
                <w:sz w:val="20"/>
                <w:szCs w:val="20"/>
              </w:rPr>
            </w:pPr>
            <w:r>
              <w:rPr>
                <w:color w:val="000000"/>
                <w:sz w:val="20"/>
                <w:szCs w:val="20"/>
              </w:rPr>
              <w:t>0.004</w:t>
            </w:r>
          </w:p>
        </w:tc>
      </w:tr>
      <w:tr w:rsidR="00BD229F" w14:paraId="2D96CD26" w14:textId="77777777" w:rsidTr="006E3CB6">
        <w:trPr>
          <w:trHeight w:val="320"/>
        </w:trPr>
        <w:tc>
          <w:tcPr>
            <w:tcW w:w="1176" w:type="dxa"/>
            <w:tcBorders>
              <w:top w:val="nil"/>
              <w:left w:val="nil"/>
              <w:bottom w:val="nil"/>
              <w:right w:val="nil"/>
            </w:tcBorders>
            <w:shd w:val="clear" w:color="auto" w:fill="auto"/>
            <w:noWrap/>
            <w:vAlign w:val="bottom"/>
            <w:hideMark/>
          </w:tcPr>
          <w:p w14:paraId="280165D7"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8ACC14C" w14:textId="77777777" w:rsidR="00BD229F" w:rsidRDefault="00BD229F" w:rsidP="00BD229F">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680696E" w14:textId="463D5C18" w:rsidR="00BD229F" w:rsidRDefault="00BD229F" w:rsidP="00BD229F">
            <w:pPr>
              <w:jc w:val="right"/>
              <w:rPr>
                <w:color w:val="000000"/>
                <w:sz w:val="20"/>
                <w:szCs w:val="20"/>
              </w:rPr>
            </w:pPr>
            <w:r>
              <w:rPr>
                <w:color w:val="000000"/>
                <w:sz w:val="20"/>
                <w:szCs w:val="20"/>
              </w:rPr>
              <w:t>0.089</w:t>
            </w:r>
          </w:p>
        </w:tc>
        <w:tc>
          <w:tcPr>
            <w:tcW w:w="768" w:type="dxa"/>
            <w:tcBorders>
              <w:top w:val="nil"/>
              <w:left w:val="nil"/>
              <w:bottom w:val="nil"/>
              <w:right w:val="nil"/>
            </w:tcBorders>
            <w:shd w:val="clear" w:color="auto" w:fill="auto"/>
            <w:noWrap/>
            <w:vAlign w:val="bottom"/>
            <w:hideMark/>
          </w:tcPr>
          <w:p w14:paraId="3759A596" w14:textId="7979D619" w:rsidR="00BD229F" w:rsidRDefault="00BD229F" w:rsidP="00BD229F">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05323274" w14:textId="6ABDE4CC"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1C64023" w14:textId="0CDCCA0F" w:rsidR="00BD229F" w:rsidRDefault="00BD229F" w:rsidP="00BD229F">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D97812A" w14:textId="78547646" w:rsidR="00BD229F" w:rsidRDefault="00BD229F" w:rsidP="00BD229F">
            <w:pPr>
              <w:jc w:val="right"/>
              <w:rPr>
                <w:color w:val="000000"/>
                <w:sz w:val="20"/>
                <w:szCs w:val="20"/>
              </w:rPr>
            </w:pPr>
            <w:r>
              <w:rPr>
                <w:color w:val="000000"/>
                <w:sz w:val="20"/>
                <w:szCs w:val="20"/>
              </w:rPr>
              <w:t>0.733</w:t>
            </w:r>
          </w:p>
        </w:tc>
        <w:tc>
          <w:tcPr>
            <w:tcW w:w="768" w:type="dxa"/>
            <w:tcBorders>
              <w:top w:val="nil"/>
              <w:left w:val="nil"/>
              <w:bottom w:val="nil"/>
              <w:right w:val="nil"/>
            </w:tcBorders>
            <w:shd w:val="clear" w:color="auto" w:fill="auto"/>
            <w:noWrap/>
            <w:vAlign w:val="bottom"/>
            <w:hideMark/>
          </w:tcPr>
          <w:p w14:paraId="18430B3E" w14:textId="4F2B81B4"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F12FAF9" w14:textId="6927AEE3" w:rsidR="00BD229F" w:rsidRDefault="00BD229F" w:rsidP="00BD229F">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76331E29" w14:textId="209384C6" w:rsidR="00BD229F" w:rsidRDefault="00BD229F" w:rsidP="00BD229F">
            <w:pPr>
              <w:jc w:val="right"/>
              <w:rPr>
                <w:color w:val="000000"/>
                <w:sz w:val="20"/>
                <w:szCs w:val="20"/>
              </w:rPr>
            </w:pPr>
            <w:r>
              <w:rPr>
                <w:color w:val="000000"/>
                <w:sz w:val="20"/>
                <w:szCs w:val="20"/>
              </w:rPr>
              <w:t>0.535</w:t>
            </w:r>
          </w:p>
        </w:tc>
        <w:tc>
          <w:tcPr>
            <w:tcW w:w="768" w:type="dxa"/>
            <w:tcBorders>
              <w:top w:val="nil"/>
              <w:left w:val="nil"/>
              <w:bottom w:val="nil"/>
              <w:right w:val="nil"/>
            </w:tcBorders>
            <w:shd w:val="clear" w:color="auto" w:fill="auto"/>
            <w:noWrap/>
            <w:vAlign w:val="bottom"/>
            <w:hideMark/>
          </w:tcPr>
          <w:p w14:paraId="221906D4" w14:textId="3E12153C"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27B747" w14:textId="70EE342B" w:rsidR="00BD229F" w:rsidRDefault="00BD229F" w:rsidP="00BD229F">
            <w:pPr>
              <w:jc w:val="right"/>
              <w:rPr>
                <w:b/>
                <w:bCs/>
                <w:color w:val="000000"/>
                <w:sz w:val="20"/>
                <w:szCs w:val="20"/>
              </w:rPr>
            </w:pPr>
            <w:r>
              <w:rPr>
                <w:b/>
                <w:bCs/>
                <w:color w:val="000000"/>
                <w:sz w:val="20"/>
                <w:szCs w:val="20"/>
              </w:rPr>
              <w:t>0.126</w:t>
            </w:r>
          </w:p>
        </w:tc>
        <w:tc>
          <w:tcPr>
            <w:tcW w:w="768" w:type="dxa"/>
            <w:tcBorders>
              <w:top w:val="nil"/>
              <w:left w:val="nil"/>
              <w:bottom w:val="nil"/>
              <w:right w:val="nil"/>
            </w:tcBorders>
            <w:shd w:val="clear" w:color="auto" w:fill="auto"/>
            <w:noWrap/>
            <w:vAlign w:val="bottom"/>
            <w:hideMark/>
          </w:tcPr>
          <w:p w14:paraId="4FAEE47A" w14:textId="25E38332" w:rsidR="00BD229F" w:rsidRDefault="00BD229F" w:rsidP="00BD229F">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037FF351" w14:textId="65818898" w:rsidR="00BD229F" w:rsidRDefault="00BD229F" w:rsidP="00BD229F">
            <w:pPr>
              <w:jc w:val="right"/>
              <w:rPr>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5EA6197B" w14:textId="0DB48E1B" w:rsidR="00BD229F" w:rsidRDefault="00BD229F" w:rsidP="00BD229F">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252C6039" w14:textId="70038D76" w:rsidR="00BD229F" w:rsidRDefault="00BD229F" w:rsidP="00BD229F">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32742AB2" w14:textId="47BB902A" w:rsidR="00BD229F" w:rsidRDefault="00BD229F" w:rsidP="00BD229F">
            <w:pPr>
              <w:jc w:val="right"/>
              <w:rPr>
                <w:color w:val="000000"/>
                <w:sz w:val="20"/>
                <w:szCs w:val="20"/>
              </w:rPr>
            </w:pPr>
            <w:r>
              <w:rPr>
                <w:color w:val="000000"/>
                <w:sz w:val="20"/>
                <w:szCs w:val="20"/>
              </w:rPr>
              <w:t>0.007</w:t>
            </w:r>
          </w:p>
        </w:tc>
      </w:tr>
      <w:tr w:rsidR="00BD229F" w14:paraId="6112A0D7" w14:textId="77777777" w:rsidTr="006E3CB6">
        <w:trPr>
          <w:trHeight w:val="320"/>
        </w:trPr>
        <w:tc>
          <w:tcPr>
            <w:tcW w:w="1176" w:type="dxa"/>
            <w:tcBorders>
              <w:top w:val="nil"/>
              <w:left w:val="nil"/>
              <w:bottom w:val="nil"/>
              <w:right w:val="nil"/>
            </w:tcBorders>
            <w:shd w:val="clear" w:color="auto" w:fill="auto"/>
            <w:noWrap/>
            <w:vAlign w:val="bottom"/>
            <w:hideMark/>
          </w:tcPr>
          <w:p w14:paraId="0D490685"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58BDC61" w14:textId="77777777" w:rsidR="00BD229F" w:rsidRDefault="00BD229F" w:rsidP="00BD229F">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1925AB2" w14:textId="0658D7C3" w:rsidR="00BD229F" w:rsidRDefault="00BD229F" w:rsidP="00BD229F">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6AE0FE5" w14:textId="301F1158" w:rsidR="00BD229F" w:rsidRDefault="00BD229F" w:rsidP="00BD229F">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5EA484A1" w14:textId="344186F4"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80F66B" w14:textId="3306BA2B"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67A5039" w14:textId="18F16B2B" w:rsidR="00BD229F" w:rsidRDefault="00BD229F" w:rsidP="00BD229F">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0D645D06" w14:textId="6E964A2F"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515923" w14:textId="66C3BB2F" w:rsidR="00BD229F" w:rsidRDefault="00BD229F" w:rsidP="00BD229F">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1D58920" w14:textId="1EB03F22" w:rsidR="00BD229F" w:rsidRDefault="00BD229F" w:rsidP="00BD229F">
            <w:pPr>
              <w:jc w:val="right"/>
              <w:rPr>
                <w:color w:val="000000"/>
                <w:sz w:val="20"/>
                <w:szCs w:val="20"/>
              </w:rPr>
            </w:pPr>
            <w:r>
              <w:rPr>
                <w:color w:val="000000"/>
                <w:sz w:val="20"/>
                <w:szCs w:val="20"/>
              </w:rPr>
              <w:t>0.535</w:t>
            </w:r>
          </w:p>
        </w:tc>
        <w:tc>
          <w:tcPr>
            <w:tcW w:w="768" w:type="dxa"/>
            <w:tcBorders>
              <w:top w:val="nil"/>
              <w:left w:val="nil"/>
              <w:bottom w:val="nil"/>
              <w:right w:val="nil"/>
            </w:tcBorders>
            <w:shd w:val="clear" w:color="auto" w:fill="auto"/>
            <w:noWrap/>
            <w:vAlign w:val="bottom"/>
            <w:hideMark/>
          </w:tcPr>
          <w:p w14:paraId="27FA82AB" w14:textId="506421C0"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739F47" w14:textId="52B4490F" w:rsidR="00BD229F" w:rsidRDefault="00BD229F" w:rsidP="00BD229F">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EB259BB" w14:textId="2EA24436" w:rsidR="00BD229F" w:rsidRDefault="00BD229F" w:rsidP="00BD229F">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1B294D34" w14:textId="2FA03345"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837785" w14:textId="1714C008" w:rsidR="00BD229F" w:rsidRDefault="00BD229F" w:rsidP="00BD229F">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08CE290" w14:textId="30DB0953" w:rsidR="00BD229F" w:rsidRDefault="00BD229F" w:rsidP="00BD229F">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77DC7F75" w14:textId="7D1C74D7" w:rsidR="00BD229F" w:rsidRDefault="00BD229F" w:rsidP="00BD229F">
            <w:pPr>
              <w:jc w:val="right"/>
              <w:rPr>
                <w:color w:val="000000"/>
                <w:sz w:val="20"/>
                <w:szCs w:val="20"/>
              </w:rPr>
            </w:pPr>
            <w:r>
              <w:rPr>
                <w:color w:val="000000"/>
                <w:sz w:val="20"/>
                <w:szCs w:val="20"/>
              </w:rPr>
              <w:t>0.002</w:t>
            </w:r>
          </w:p>
        </w:tc>
      </w:tr>
      <w:tr w:rsidR="00BD229F" w14:paraId="2B99C468" w14:textId="77777777" w:rsidTr="006E3CB6">
        <w:trPr>
          <w:trHeight w:val="320"/>
        </w:trPr>
        <w:tc>
          <w:tcPr>
            <w:tcW w:w="1176" w:type="dxa"/>
            <w:tcBorders>
              <w:top w:val="nil"/>
              <w:left w:val="nil"/>
              <w:bottom w:val="nil"/>
              <w:right w:val="nil"/>
            </w:tcBorders>
            <w:shd w:val="clear" w:color="auto" w:fill="auto"/>
            <w:noWrap/>
            <w:vAlign w:val="bottom"/>
            <w:hideMark/>
          </w:tcPr>
          <w:p w14:paraId="22B14354"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70C496" w14:textId="77777777" w:rsidR="00BD229F" w:rsidRDefault="00BD229F" w:rsidP="00BD229F">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2326484" w14:textId="766CFB80" w:rsidR="00BD229F" w:rsidRDefault="00BD229F" w:rsidP="00BD229F">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7246F45E" w14:textId="70508DCC" w:rsidR="00BD229F" w:rsidRDefault="00BD229F" w:rsidP="00BD229F">
            <w:pPr>
              <w:jc w:val="right"/>
              <w:rPr>
                <w:color w:val="000000"/>
                <w:sz w:val="20"/>
                <w:szCs w:val="20"/>
              </w:rPr>
            </w:pPr>
            <w:r>
              <w:rPr>
                <w:color w:val="000000"/>
                <w:sz w:val="20"/>
                <w:szCs w:val="20"/>
              </w:rPr>
              <w:t>0.101</w:t>
            </w:r>
          </w:p>
        </w:tc>
        <w:tc>
          <w:tcPr>
            <w:tcW w:w="768" w:type="dxa"/>
            <w:tcBorders>
              <w:top w:val="nil"/>
              <w:left w:val="nil"/>
              <w:bottom w:val="nil"/>
              <w:right w:val="nil"/>
            </w:tcBorders>
            <w:shd w:val="clear" w:color="auto" w:fill="auto"/>
            <w:noWrap/>
            <w:vAlign w:val="bottom"/>
            <w:hideMark/>
          </w:tcPr>
          <w:p w14:paraId="2719A0E1" w14:textId="484A57EA"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D3D8C6A" w14:textId="276EB60C" w:rsidR="00BD229F" w:rsidRDefault="00BD229F" w:rsidP="00BD229F">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5D408C95" w14:textId="1561AC37" w:rsidR="00BD229F" w:rsidRDefault="00BD229F" w:rsidP="00BD229F">
            <w:pPr>
              <w:jc w:val="right"/>
              <w:rPr>
                <w:color w:val="000000"/>
                <w:sz w:val="20"/>
                <w:szCs w:val="20"/>
              </w:rPr>
            </w:pPr>
            <w:r>
              <w:rPr>
                <w:color w:val="000000"/>
                <w:sz w:val="20"/>
                <w:szCs w:val="20"/>
              </w:rPr>
              <w:t>0.328</w:t>
            </w:r>
          </w:p>
        </w:tc>
        <w:tc>
          <w:tcPr>
            <w:tcW w:w="768" w:type="dxa"/>
            <w:tcBorders>
              <w:top w:val="nil"/>
              <w:left w:val="nil"/>
              <w:bottom w:val="nil"/>
              <w:right w:val="nil"/>
            </w:tcBorders>
            <w:shd w:val="clear" w:color="auto" w:fill="auto"/>
            <w:noWrap/>
            <w:vAlign w:val="bottom"/>
            <w:hideMark/>
          </w:tcPr>
          <w:p w14:paraId="105E1450" w14:textId="488D8345"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43DEEEC" w14:textId="10444FD4" w:rsidR="00BD229F" w:rsidRDefault="00BD229F" w:rsidP="00BD229F">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7038D81" w14:textId="3B063BAF" w:rsidR="00BD229F" w:rsidRDefault="00BD229F" w:rsidP="00BD229F">
            <w:pPr>
              <w:jc w:val="right"/>
              <w:rPr>
                <w:color w:val="000000"/>
                <w:sz w:val="20"/>
                <w:szCs w:val="20"/>
              </w:rPr>
            </w:pPr>
            <w:r>
              <w:rPr>
                <w:color w:val="000000"/>
                <w:sz w:val="20"/>
                <w:szCs w:val="20"/>
              </w:rPr>
              <w:t>0.535</w:t>
            </w:r>
          </w:p>
        </w:tc>
        <w:tc>
          <w:tcPr>
            <w:tcW w:w="768" w:type="dxa"/>
            <w:tcBorders>
              <w:top w:val="nil"/>
              <w:left w:val="nil"/>
              <w:bottom w:val="nil"/>
              <w:right w:val="nil"/>
            </w:tcBorders>
            <w:shd w:val="clear" w:color="auto" w:fill="auto"/>
            <w:noWrap/>
            <w:vAlign w:val="bottom"/>
            <w:hideMark/>
          </w:tcPr>
          <w:p w14:paraId="3E58696D" w14:textId="3C0CA8C0"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D15316" w14:textId="79D1C02F" w:rsidR="00BD229F" w:rsidRDefault="00BD229F" w:rsidP="00BD229F">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596D60B0" w14:textId="2A298349" w:rsidR="00BD229F" w:rsidRDefault="00BD229F" w:rsidP="00BD229F">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542316C7" w14:textId="74B13EA1"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12DBE23" w14:textId="3653A60C" w:rsidR="00BD229F" w:rsidRDefault="00BD229F" w:rsidP="00BD229F">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32E4297F" w14:textId="60402EF2" w:rsidR="00BD229F" w:rsidRDefault="00BD229F" w:rsidP="00BD229F">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7618AC60" w14:textId="105B1A3D" w:rsidR="00BD229F" w:rsidRDefault="00BD229F" w:rsidP="00BD229F">
            <w:pPr>
              <w:jc w:val="right"/>
              <w:rPr>
                <w:color w:val="000000"/>
                <w:sz w:val="20"/>
                <w:szCs w:val="20"/>
              </w:rPr>
            </w:pPr>
            <w:r>
              <w:rPr>
                <w:color w:val="000000"/>
                <w:sz w:val="20"/>
                <w:szCs w:val="20"/>
              </w:rPr>
              <w:t>0.002</w:t>
            </w:r>
          </w:p>
        </w:tc>
      </w:tr>
      <w:tr w:rsidR="00BD229F" w14:paraId="0028FB35" w14:textId="77777777" w:rsidTr="006E3CB6">
        <w:trPr>
          <w:trHeight w:val="320"/>
        </w:trPr>
        <w:tc>
          <w:tcPr>
            <w:tcW w:w="1176" w:type="dxa"/>
            <w:tcBorders>
              <w:top w:val="nil"/>
              <w:left w:val="nil"/>
              <w:bottom w:val="single" w:sz="4" w:space="0" w:color="auto"/>
              <w:right w:val="nil"/>
            </w:tcBorders>
            <w:shd w:val="clear" w:color="auto" w:fill="auto"/>
            <w:noWrap/>
            <w:vAlign w:val="bottom"/>
            <w:hideMark/>
          </w:tcPr>
          <w:p w14:paraId="4510820D" w14:textId="77777777" w:rsidR="00BD229F" w:rsidRDefault="00BD229F" w:rsidP="00BD229F">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55A1660" w14:textId="77777777" w:rsidR="00BD229F" w:rsidRDefault="00BD229F" w:rsidP="00BD229F">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C1918B3" w14:textId="336F3915" w:rsidR="00BD229F" w:rsidRDefault="00BD229F" w:rsidP="00BD229F">
            <w:pPr>
              <w:jc w:val="right"/>
              <w:rPr>
                <w:b/>
                <w:bCs/>
                <w:color w:val="000000"/>
                <w:sz w:val="20"/>
                <w:szCs w:val="20"/>
              </w:rPr>
            </w:pPr>
            <w:r>
              <w:rPr>
                <w:b/>
                <w:bCs/>
                <w:color w:val="000000"/>
                <w:sz w:val="20"/>
                <w:szCs w:val="20"/>
              </w:rPr>
              <w:t>0.112</w:t>
            </w:r>
          </w:p>
        </w:tc>
        <w:tc>
          <w:tcPr>
            <w:tcW w:w="768" w:type="dxa"/>
            <w:tcBorders>
              <w:top w:val="nil"/>
              <w:left w:val="nil"/>
              <w:bottom w:val="single" w:sz="4" w:space="0" w:color="auto"/>
              <w:right w:val="nil"/>
            </w:tcBorders>
            <w:shd w:val="clear" w:color="auto" w:fill="auto"/>
            <w:noWrap/>
            <w:vAlign w:val="bottom"/>
            <w:hideMark/>
          </w:tcPr>
          <w:p w14:paraId="39D54ADE" w14:textId="52ECB6E6" w:rsidR="00BD229F" w:rsidRDefault="00BD229F" w:rsidP="00BD229F">
            <w:pPr>
              <w:jc w:val="right"/>
              <w:rPr>
                <w:b/>
                <w:bCs/>
                <w:color w:val="000000"/>
                <w:sz w:val="20"/>
                <w:szCs w:val="20"/>
              </w:rPr>
            </w:pPr>
            <w:r>
              <w:rPr>
                <w:b/>
                <w:bCs/>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46A5F732" w14:textId="2AF856F1" w:rsidR="00BD229F" w:rsidRDefault="00BD229F" w:rsidP="00BD229F">
            <w:pPr>
              <w:jc w:val="right"/>
              <w:rPr>
                <w:color w:val="000000"/>
                <w:sz w:val="20"/>
                <w:szCs w:val="20"/>
              </w:rPr>
            </w:pPr>
            <w:r>
              <w:rPr>
                <w:b/>
                <w:bCs/>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68091D1E" w14:textId="7B461A52" w:rsidR="00BD229F" w:rsidRDefault="00BD229F" w:rsidP="00BD229F">
            <w:pPr>
              <w:jc w:val="right"/>
              <w:rPr>
                <w:color w:val="000000"/>
                <w:sz w:val="20"/>
                <w:szCs w:val="20"/>
              </w:rPr>
            </w:pPr>
            <w:r>
              <w:rPr>
                <w:color w:val="000000"/>
                <w:sz w:val="20"/>
                <w:szCs w:val="20"/>
              </w:rPr>
              <w:t>-0.059</w:t>
            </w:r>
          </w:p>
        </w:tc>
        <w:tc>
          <w:tcPr>
            <w:tcW w:w="768" w:type="dxa"/>
            <w:tcBorders>
              <w:top w:val="nil"/>
              <w:left w:val="nil"/>
              <w:bottom w:val="single" w:sz="4" w:space="0" w:color="auto"/>
              <w:right w:val="nil"/>
            </w:tcBorders>
            <w:shd w:val="clear" w:color="auto" w:fill="auto"/>
            <w:noWrap/>
            <w:vAlign w:val="bottom"/>
            <w:hideMark/>
          </w:tcPr>
          <w:p w14:paraId="40AEED94" w14:textId="254F72C7" w:rsidR="00BD229F" w:rsidRDefault="00BD229F" w:rsidP="00BD229F">
            <w:pPr>
              <w:jc w:val="right"/>
              <w:rPr>
                <w:color w:val="000000"/>
                <w:sz w:val="20"/>
                <w:szCs w:val="20"/>
              </w:rPr>
            </w:pPr>
            <w:r>
              <w:rPr>
                <w:color w:val="000000"/>
                <w:sz w:val="20"/>
                <w:szCs w:val="20"/>
              </w:rPr>
              <w:t>0.328</w:t>
            </w:r>
          </w:p>
        </w:tc>
        <w:tc>
          <w:tcPr>
            <w:tcW w:w="768" w:type="dxa"/>
            <w:tcBorders>
              <w:top w:val="nil"/>
              <w:left w:val="nil"/>
              <w:bottom w:val="single" w:sz="4" w:space="0" w:color="auto"/>
              <w:right w:val="nil"/>
            </w:tcBorders>
            <w:shd w:val="clear" w:color="auto" w:fill="auto"/>
            <w:noWrap/>
            <w:vAlign w:val="bottom"/>
            <w:hideMark/>
          </w:tcPr>
          <w:p w14:paraId="11DD0CE7" w14:textId="4E3218B5"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6844ADFE" w14:textId="2FCBAFFB" w:rsidR="00BD229F" w:rsidRDefault="00BD229F" w:rsidP="00BD229F">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2DD3CC54" w14:textId="6E8903C0" w:rsidR="00BD229F" w:rsidRDefault="00BD229F" w:rsidP="00BD229F">
            <w:pPr>
              <w:jc w:val="right"/>
              <w:rPr>
                <w:color w:val="000000"/>
                <w:sz w:val="20"/>
                <w:szCs w:val="20"/>
              </w:rPr>
            </w:pPr>
            <w:r>
              <w:rPr>
                <w:color w:val="000000"/>
                <w:sz w:val="20"/>
                <w:szCs w:val="20"/>
              </w:rPr>
              <w:t>0.535</w:t>
            </w:r>
          </w:p>
        </w:tc>
        <w:tc>
          <w:tcPr>
            <w:tcW w:w="768" w:type="dxa"/>
            <w:tcBorders>
              <w:top w:val="nil"/>
              <w:left w:val="nil"/>
              <w:bottom w:val="single" w:sz="4" w:space="0" w:color="auto"/>
              <w:right w:val="nil"/>
            </w:tcBorders>
            <w:shd w:val="clear" w:color="auto" w:fill="auto"/>
            <w:noWrap/>
            <w:vAlign w:val="bottom"/>
            <w:hideMark/>
          </w:tcPr>
          <w:p w14:paraId="3152914D" w14:textId="59359C18"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79D0832" w14:textId="677E60C3" w:rsidR="00BD229F" w:rsidRDefault="00BD229F" w:rsidP="00BD229F">
            <w:pPr>
              <w:jc w:val="right"/>
              <w:rPr>
                <w:b/>
                <w:bCs/>
                <w:color w:val="000000"/>
                <w:sz w:val="20"/>
                <w:szCs w:val="20"/>
              </w:rPr>
            </w:pPr>
            <w:r>
              <w:rPr>
                <w:b/>
                <w:bCs/>
                <w:color w:val="000000"/>
                <w:sz w:val="20"/>
                <w:szCs w:val="20"/>
              </w:rPr>
              <w:t>0.125</w:t>
            </w:r>
          </w:p>
        </w:tc>
        <w:tc>
          <w:tcPr>
            <w:tcW w:w="768" w:type="dxa"/>
            <w:tcBorders>
              <w:top w:val="nil"/>
              <w:left w:val="nil"/>
              <w:bottom w:val="single" w:sz="4" w:space="0" w:color="auto"/>
              <w:right w:val="nil"/>
            </w:tcBorders>
            <w:shd w:val="clear" w:color="auto" w:fill="auto"/>
            <w:noWrap/>
            <w:vAlign w:val="bottom"/>
            <w:hideMark/>
          </w:tcPr>
          <w:p w14:paraId="6E503C1B" w14:textId="695CB60D" w:rsidR="00BD229F" w:rsidRDefault="00BD229F" w:rsidP="00BD229F">
            <w:pPr>
              <w:jc w:val="right"/>
              <w:rPr>
                <w:b/>
                <w:bCs/>
                <w:color w:val="000000"/>
                <w:sz w:val="20"/>
                <w:szCs w:val="20"/>
              </w:rPr>
            </w:pPr>
            <w:r>
              <w:rPr>
                <w:b/>
                <w:bCs/>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171EBEC3" w14:textId="1A0FCFAC" w:rsidR="00BD229F" w:rsidRDefault="00BD229F" w:rsidP="00BD229F">
            <w:pPr>
              <w:jc w:val="right"/>
              <w:rPr>
                <w:color w:val="000000"/>
                <w:sz w:val="20"/>
                <w:szCs w:val="20"/>
              </w:rPr>
            </w:pPr>
            <w:r>
              <w:rPr>
                <w:b/>
                <w:bCs/>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1189087F" w14:textId="45ED3688" w:rsidR="00BD229F" w:rsidRDefault="00BD229F" w:rsidP="00BD229F">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5117B8D1" w14:textId="392FFEBB" w:rsidR="00BD229F" w:rsidRDefault="00BD229F" w:rsidP="00BD229F">
            <w:pPr>
              <w:jc w:val="right"/>
              <w:rPr>
                <w:color w:val="000000"/>
                <w:sz w:val="20"/>
                <w:szCs w:val="20"/>
              </w:rPr>
            </w:pPr>
            <w:r>
              <w:rPr>
                <w:color w:val="000000"/>
                <w:sz w:val="20"/>
                <w:szCs w:val="20"/>
              </w:rPr>
              <w:t>0.597</w:t>
            </w:r>
          </w:p>
        </w:tc>
        <w:tc>
          <w:tcPr>
            <w:tcW w:w="768" w:type="dxa"/>
            <w:tcBorders>
              <w:top w:val="nil"/>
              <w:left w:val="nil"/>
              <w:bottom w:val="single" w:sz="4" w:space="0" w:color="auto"/>
              <w:right w:val="nil"/>
            </w:tcBorders>
            <w:shd w:val="clear" w:color="auto" w:fill="auto"/>
            <w:noWrap/>
            <w:vAlign w:val="bottom"/>
            <w:hideMark/>
          </w:tcPr>
          <w:p w14:paraId="161A0B1C" w14:textId="5DA8D8C3" w:rsidR="00BD229F" w:rsidRDefault="00BD229F" w:rsidP="00BD229F">
            <w:pPr>
              <w:jc w:val="right"/>
              <w:rPr>
                <w:color w:val="000000"/>
                <w:sz w:val="20"/>
                <w:szCs w:val="20"/>
              </w:rPr>
            </w:pPr>
            <w:r>
              <w:rPr>
                <w:color w:val="000000"/>
                <w:sz w:val="20"/>
                <w:szCs w:val="20"/>
              </w:rPr>
              <w:t>0.001</w:t>
            </w:r>
          </w:p>
        </w:tc>
      </w:tr>
      <w:tr w:rsidR="00BD229F" w14:paraId="45D8D575" w14:textId="77777777" w:rsidTr="006E3CB6">
        <w:trPr>
          <w:trHeight w:val="320"/>
        </w:trPr>
        <w:tc>
          <w:tcPr>
            <w:tcW w:w="1176" w:type="dxa"/>
            <w:tcBorders>
              <w:top w:val="nil"/>
              <w:left w:val="nil"/>
              <w:bottom w:val="nil"/>
              <w:right w:val="nil"/>
            </w:tcBorders>
            <w:shd w:val="clear" w:color="auto" w:fill="auto"/>
            <w:noWrap/>
            <w:vAlign w:val="bottom"/>
            <w:hideMark/>
          </w:tcPr>
          <w:p w14:paraId="3F39BF0D" w14:textId="77777777" w:rsidR="00BD229F" w:rsidRDefault="00BD229F" w:rsidP="00BD229F">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2563224E" w14:textId="77777777" w:rsidR="00BD229F" w:rsidRDefault="00BD229F" w:rsidP="00BD229F">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727BE42" w14:textId="113091D5" w:rsidR="00BD229F" w:rsidRDefault="00BD229F" w:rsidP="00BD229F">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7ABAE575" w14:textId="25086B15" w:rsidR="00BD229F" w:rsidRDefault="00BD229F" w:rsidP="00BD229F">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6F01A087" w14:textId="6E01E32C"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C7851F5" w14:textId="763CCB27" w:rsidR="00BD229F" w:rsidRDefault="00BD229F" w:rsidP="00BD229F">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EECE1AC" w14:textId="6584B889" w:rsidR="00BD229F" w:rsidRDefault="00BD229F" w:rsidP="00BD229F">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009A49C5" w14:textId="66EFE23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0CCC94" w14:textId="2F9A25D8" w:rsidR="00BD229F" w:rsidRDefault="00BD229F" w:rsidP="00BD229F">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8112495" w14:textId="7514DC92" w:rsidR="00BD229F" w:rsidRDefault="00BD229F" w:rsidP="00BD229F">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64B52CC3" w14:textId="1D16E823"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831D5E" w14:textId="7395524A" w:rsidR="00BD229F" w:rsidRDefault="00BD229F" w:rsidP="00BD229F">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620A6188" w14:textId="2E55E4F4" w:rsidR="00BD229F" w:rsidRDefault="00BD229F" w:rsidP="00BD229F">
            <w:pPr>
              <w:jc w:val="right"/>
              <w:rPr>
                <w:color w:val="000000"/>
                <w:sz w:val="20"/>
                <w:szCs w:val="20"/>
              </w:rPr>
            </w:pPr>
            <w:r>
              <w:rPr>
                <w:color w:val="000000"/>
                <w:sz w:val="20"/>
                <w:szCs w:val="20"/>
              </w:rPr>
              <w:t>0.424</w:t>
            </w:r>
          </w:p>
        </w:tc>
        <w:tc>
          <w:tcPr>
            <w:tcW w:w="768" w:type="dxa"/>
            <w:tcBorders>
              <w:top w:val="nil"/>
              <w:left w:val="nil"/>
              <w:bottom w:val="nil"/>
              <w:right w:val="nil"/>
            </w:tcBorders>
            <w:shd w:val="clear" w:color="auto" w:fill="auto"/>
            <w:noWrap/>
            <w:vAlign w:val="bottom"/>
            <w:hideMark/>
          </w:tcPr>
          <w:p w14:paraId="434C9C10" w14:textId="393C5EBA"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D0BDCBD" w14:textId="262707F8" w:rsidR="00BD229F" w:rsidRDefault="00BD229F" w:rsidP="00BD229F">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B203113" w14:textId="621C8C5B" w:rsidR="00BD229F" w:rsidRDefault="00BD229F" w:rsidP="00BD229F">
            <w:pPr>
              <w:jc w:val="right"/>
              <w:rPr>
                <w:color w:val="000000"/>
                <w:sz w:val="20"/>
                <w:szCs w:val="20"/>
              </w:rPr>
            </w:pPr>
            <w:r>
              <w:rPr>
                <w:color w:val="000000"/>
                <w:sz w:val="20"/>
                <w:szCs w:val="20"/>
              </w:rPr>
              <w:t>0.810</w:t>
            </w:r>
          </w:p>
        </w:tc>
        <w:tc>
          <w:tcPr>
            <w:tcW w:w="768" w:type="dxa"/>
            <w:tcBorders>
              <w:top w:val="nil"/>
              <w:left w:val="nil"/>
              <w:bottom w:val="nil"/>
              <w:right w:val="nil"/>
            </w:tcBorders>
            <w:shd w:val="clear" w:color="auto" w:fill="auto"/>
            <w:noWrap/>
            <w:vAlign w:val="bottom"/>
            <w:hideMark/>
          </w:tcPr>
          <w:p w14:paraId="1D078DD5" w14:textId="725B1CF5" w:rsidR="00BD229F" w:rsidRDefault="00BD229F" w:rsidP="00BD229F">
            <w:pPr>
              <w:jc w:val="right"/>
              <w:rPr>
                <w:color w:val="000000"/>
                <w:sz w:val="20"/>
                <w:szCs w:val="20"/>
              </w:rPr>
            </w:pPr>
            <w:r>
              <w:rPr>
                <w:color w:val="000000"/>
                <w:sz w:val="20"/>
                <w:szCs w:val="20"/>
              </w:rPr>
              <w:t>0.000</w:t>
            </w:r>
          </w:p>
        </w:tc>
      </w:tr>
      <w:tr w:rsidR="00BD229F" w14:paraId="6C540B69" w14:textId="77777777" w:rsidTr="006E3CB6">
        <w:trPr>
          <w:trHeight w:val="320"/>
        </w:trPr>
        <w:tc>
          <w:tcPr>
            <w:tcW w:w="1176" w:type="dxa"/>
            <w:tcBorders>
              <w:top w:val="nil"/>
              <w:left w:val="nil"/>
              <w:bottom w:val="nil"/>
              <w:right w:val="nil"/>
            </w:tcBorders>
            <w:shd w:val="clear" w:color="auto" w:fill="auto"/>
            <w:noWrap/>
            <w:vAlign w:val="bottom"/>
            <w:hideMark/>
          </w:tcPr>
          <w:p w14:paraId="2A81C25F"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0A7A52" w14:textId="77777777" w:rsidR="00BD229F" w:rsidRDefault="00BD229F" w:rsidP="00BD229F">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0038463" w14:textId="4B52DEBB"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1FAB9B0" w14:textId="7C3983F0" w:rsidR="00BD229F" w:rsidRDefault="00BD229F" w:rsidP="00BD229F">
            <w:pPr>
              <w:jc w:val="right"/>
              <w:rPr>
                <w:color w:val="000000"/>
                <w:sz w:val="20"/>
                <w:szCs w:val="20"/>
              </w:rPr>
            </w:pPr>
            <w:r>
              <w:rPr>
                <w:color w:val="000000"/>
                <w:sz w:val="20"/>
                <w:szCs w:val="20"/>
              </w:rPr>
              <w:t>0.962</w:t>
            </w:r>
          </w:p>
        </w:tc>
        <w:tc>
          <w:tcPr>
            <w:tcW w:w="768" w:type="dxa"/>
            <w:tcBorders>
              <w:top w:val="nil"/>
              <w:left w:val="nil"/>
              <w:bottom w:val="nil"/>
              <w:right w:val="nil"/>
            </w:tcBorders>
            <w:shd w:val="clear" w:color="auto" w:fill="auto"/>
            <w:noWrap/>
            <w:vAlign w:val="bottom"/>
            <w:hideMark/>
          </w:tcPr>
          <w:p w14:paraId="0AB241C0" w14:textId="7AC7D702"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9107B0" w14:textId="40AB15E6" w:rsidR="00BD229F" w:rsidRDefault="00BD229F" w:rsidP="00BD229F">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DE0F0D4" w14:textId="3E38A01E" w:rsidR="00BD229F" w:rsidRDefault="00BD229F" w:rsidP="00BD229F">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5983AFFC" w14:textId="0C43FA86"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032E84" w14:textId="2D65A222" w:rsidR="00BD229F" w:rsidRDefault="00BD229F" w:rsidP="00BD229F">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111C3ADF" w14:textId="222B30AB" w:rsidR="00BD229F" w:rsidRDefault="00BD229F" w:rsidP="00BD229F">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030B4A57" w14:textId="33B6DCD6"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32FB076" w14:textId="604A6F5B"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7919C4D" w14:textId="45661084" w:rsidR="00BD229F" w:rsidRDefault="00BD229F" w:rsidP="00BD229F">
            <w:pPr>
              <w:jc w:val="right"/>
              <w:rPr>
                <w:color w:val="000000"/>
                <w:sz w:val="20"/>
                <w:szCs w:val="20"/>
              </w:rPr>
            </w:pPr>
            <w:r>
              <w:rPr>
                <w:color w:val="000000"/>
                <w:sz w:val="20"/>
                <w:szCs w:val="20"/>
              </w:rPr>
              <w:t>0.777</w:t>
            </w:r>
          </w:p>
        </w:tc>
        <w:tc>
          <w:tcPr>
            <w:tcW w:w="768" w:type="dxa"/>
            <w:tcBorders>
              <w:top w:val="nil"/>
              <w:left w:val="nil"/>
              <w:bottom w:val="nil"/>
              <w:right w:val="nil"/>
            </w:tcBorders>
            <w:shd w:val="clear" w:color="auto" w:fill="auto"/>
            <w:noWrap/>
            <w:vAlign w:val="bottom"/>
            <w:hideMark/>
          </w:tcPr>
          <w:p w14:paraId="682602FF" w14:textId="1306DFA1"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4DE65A" w14:textId="566D6B0D"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88ACBE1" w14:textId="1D6A25B1" w:rsidR="00BD229F" w:rsidRDefault="00BD229F" w:rsidP="00BD229F">
            <w:pPr>
              <w:jc w:val="right"/>
              <w:rPr>
                <w:color w:val="000000"/>
                <w:sz w:val="20"/>
                <w:szCs w:val="20"/>
              </w:rPr>
            </w:pPr>
            <w:r>
              <w:rPr>
                <w:color w:val="000000"/>
                <w:sz w:val="20"/>
                <w:szCs w:val="20"/>
              </w:rPr>
              <w:t>0.810</w:t>
            </w:r>
          </w:p>
        </w:tc>
        <w:tc>
          <w:tcPr>
            <w:tcW w:w="768" w:type="dxa"/>
            <w:tcBorders>
              <w:top w:val="nil"/>
              <w:left w:val="nil"/>
              <w:bottom w:val="nil"/>
              <w:right w:val="nil"/>
            </w:tcBorders>
            <w:shd w:val="clear" w:color="auto" w:fill="auto"/>
            <w:noWrap/>
            <w:vAlign w:val="bottom"/>
            <w:hideMark/>
          </w:tcPr>
          <w:p w14:paraId="2FBC77FE" w14:textId="5B7CE67B" w:rsidR="00BD229F" w:rsidRDefault="00BD229F" w:rsidP="00BD229F">
            <w:pPr>
              <w:jc w:val="right"/>
              <w:rPr>
                <w:color w:val="000000"/>
                <w:sz w:val="20"/>
                <w:szCs w:val="20"/>
              </w:rPr>
            </w:pPr>
            <w:r>
              <w:rPr>
                <w:color w:val="000000"/>
                <w:sz w:val="20"/>
                <w:szCs w:val="20"/>
              </w:rPr>
              <w:t>0.000</w:t>
            </w:r>
          </w:p>
        </w:tc>
      </w:tr>
      <w:tr w:rsidR="00BD229F" w14:paraId="51869FC7" w14:textId="77777777" w:rsidTr="006E3CB6">
        <w:trPr>
          <w:trHeight w:val="320"/>
        </w:trPr>
        <w:tc>
          <w:tcPr>
            <w:tcW w:w="1176" w:type="dxa"/>
            <w:tcBorders>
              <w:top w:val="nil"/>
              <w:left w:val="nil"/>
              <w:bottom w:val="nil"/>
              <w:right w:val="nil"/>
            </w:tcBorders>
            <w:shd w:val="clear" w:color="auto" w:fill="auto"/>
            <w:noWrap/>
            <w:vAlign w:val="bottom"/>
            <w:hideMark/>
          </w:tcPr>
          <w:p w14:paraId="6F46A790"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497393A" w14:textId="77777777" w:rsidR="00BD229F" w:rsidRDefault="00BD229F" w:rsidP="00BD229F">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87B0790" w14:textId="4173C8AD" w:rsidR="00BD229F" w:rsidRDefault="00BD229F" w:rsidP="00BD229F">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2DE0091" w14:textId="5031279C" w:rsidR="00BD229F" w:rsidRDefault="00BD229F" w:rsidP="00BD229F">
            <w:pPr>
              <w:jc w:val="right"/>
              <w:rPr>
                <w:color w:val="000000"/>
                <w:sz w:val="20"/>
                <w:szCs w:val="20"/>
              </w:rPr>
            </w:pPr>
            <w:r>
              <w:rPr>
                <w:color w:val="000000"/>
                <w:sz w:val="20"/>
                <w:szCs w:val="20"/>
              </w:rPr>
              <w:t>0.574</w:t>
            </w:r>
          </w:p>
        </w:tc>
        <w:tc>
          <w:tcPr>
            <w:tcW w:w="768" w:type="dxa"/>
            <w:tcBorders>
              <w:top w:val="nil"/>
              <w:left w:val="nil"/>
              <w:bottom w:val="nil"/>
              <w:right w:val="nil"/>
            </w:tcBorders>
            <w:shd w:val="clear" w:color="auto" w:fill="auto"/>
            <w:noWrap/>
            <w:vAlign w:val="bottom"/>
            <w:hideMark/>
          </w:tcPr>
          <w:p w14:paraId="79C8B209" w14:textId="3136E50A"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62EAAC" w14:textId="1499ADF2" w:rsidR="00BD229F" w:rsidRDefault="00BD229F" w:rsidP="00BD229F">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24D19570" w14:textId="75FF91D7" w:rsidR="00BD229F" w:rsidRDefault="00BD229F" w:rsidP="00BD229F">
            <w:pPr>
              <w:jc w:val="right"/>
              <w:rPr>
                <w:color w:val="000000"/>
                <w:sz w:val="20"/>
                <w:szCs w:val="20"/>
              </w:rPr>
            </w:pPr>
            <w:r>
              <w:rPr>
                <w:color w:val="000000"/>
                <w:sz w:val="20"/>
                <w:szCs w:val="20"/>
              </w:rPr>
              <w:t>0.461</w:t>
            </w:r>
          </w:p>
        </w:tc>
        <w:tc>
          <w:tcPr>
            <w:tcW w:w="768" w:type="dxa"/>
            <w:tcBorders>
              <w:top w:val="nil"/>
              <w:left w:val="nil"/>
              <w:bottom w:val="nil"/>
              <w:right w:val="nil"/>
            </w:tcBorders>
            <w:shd w:val="clear" w:color="auto" w:fill="auto"/>
            <w:noWrap/>
            <w:vAlign w:val="bottom"/>
            <w:hideMark/>
          </w:tcPr>
          <w:p w14:paraId="175EB212" w14:textId="32EAE0B0"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6E221D9" w14:textId="4DBB4CAE" w:rsidR="00BD229F" w:rsidRDefault="00BD229F" w:rsidP="00BD229F">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C395C58" w14:textId="414F579F" w:rsidR="00BD229F" w:rsidRDefault="00BD229F" w:rsidP="00BD229F">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4F9885FE" w14:textId="2B8B9A8D"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9593BF0" w14:textId="276AA255" w:rsidR="00BD229F" w:rsidRDefault="00BD229F" w:rsidP="00BD229F">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5F5D37C8" w14:textId="48F720EE" w:rsidR="00BD229F" w:rsidRDefault="00BD229F" w:rsidP="00BD229F">
            <w:pPr>
              <w:jc w:val="right"/>
              <w:rPr>
                <w:color w:val="000000"/>
                <w:sz w:val="20"/>
                <w:szCs w:val="20"/>
              </w:rPr>
            </w:pPr>
            <w:r>
              <w:rPr>
                <w:color w:val="000000"/>
                <w:sz w:val="20"/>
                <w:szCs w:val="20"/>
              </w:rPr>
              <w:t>0.424</w:t>
            </w:r>
          </w:p>
        </w:tc>
        <w:tc>
          <w:tcPr>
            <w:tcW w:w="768" w:type="dxa"/>
            <w:tcBorders>
              <w:top w:val="nil"/>
              <w:left w:val="nil"/>
              <w:bottom w:val="nil"/>
              <w:right w:val="nil"/>
            </w:tcBorders>
            <w:shd w:val="clear" w:color="auto" w:fill="auto"/>
            <w:noWrap/>
            <w:vAlign w:val="bottom"/>
            <w:hideMark/>
          </w:tcPr>
          <w:p w14:paraId="1631EC72" w14:textId="4DB31BBA"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487D66" w14:textId="687C5854" w:rsidR="00BD229F" w:rsidRDefault="00BD229F" w:rsidP="00BD229F">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3BFF7D6F" w14:textId="3B711BA0" w:rsidR="00BD229F" w:rsidRDefault="00BD229F" w:rsidP="00BD229F">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537BDAD3" w14:textId="3DB09149" w:rsidR="00BD229F" w:rsidRDefault="00BD229F" w:rsidP="00BD229F">
            <w:pPr>
              <w:jc w:val="right"/>
              <w:rPr>
                <w:color w:val="000000"/>
                <w:sz w:val="20"/>
                <w:szCs w:val="20"/>
              </w:rPr>
            </w:pPr>
            <w:r>
              <w:rPr>
                <w:color w:val="000000"/>
                <w:sz w:val="20"/>
                <w:szCs w:val="20"/>
              </w:rPr>
              <w:t>0.002</w:t>
            </w:r>
          </w:p>
        </w:tc>
      </w:tr>
      <w:tr w:rsidR="00BD229F" w14:paraId="776E1B18" w14:textId="77777777" w:rsidTr="006E3CB6">
        <w:trPr>
          <w:trHeight w:val="320"/>
        </w:trPr>
        <w:tc>
          <w:tcPr>
            <w:tcW w:w="1176" w:type="dxa"/>
            <w:tcBorders>
              <w:top w:val="nil"/>
              <w:left w:val="nil"/>
              <w:bottom w:val="nil"/>
              <w:right w:val="nil"/>
            </w:tcBorders>
            <w:shd w:val="clear" w:color="auto" w:fill="auto"/>
            <w:noWrap/>
            <w:vAlign w:val="bottom"/>
            <w:hideMark/>
          </w:tcPr>
          <w:p w14:paraId="34AC67F1"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1C4970" w14:textId="77777777" w:rsidR="00BD229F" w:rsidRDefault="00BD229F" w:rsidP="00BD229F">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93A3311" w14:textId="752D4D4C" w:rsidR="00BD229F" w:rsidRDefault="00BD229F" w:rsidP="00BD229F">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8C5E3CD" w14:textId="7552BE42" w:rsidR="00BD229F" w:rsidRDefault="00BD229F" w:rsidP="00BD229F">
            <w:pPr>
              <w:jc w:val="right"/>
              <w:rPr>
                <w:color w:val="000000"/>
                <w:sz w:val="20"/>
                <w:szCs w:val="20"/>
              </w:rPr>
            </w:pPr>
            <w:r>
              <w:rPr>
                <w:color w:val="000000"/>
                <w:sz w:val="20"/>
                <w:szCs w:val="20"/>
              </w:rPr>
              <w:t>0.912</w:t>
            </w:r>
          </w:p>
        </w:tc>
        <w:tc>
          <w:tcPr>
            <w:tcW w:w="768" w:type="dxa"/>
            <w:tcBorders>
              <w:top w:val="nil"/>
              <w:left w:val="nil"/>
              <w:bottom w:val="nil"/>
              <w:right w:val="nil"/>
            </w:tcBorders>
            <w:shd w:val="clear" w:color="auto" w:fill="auto"/>
            <w:noWrap/>
            <w:vAlign w:val="bottom"/>
            <w:hideMark/>
          </w:tcPr>
          <w:p w14:paraId="2AC0F409" w14:textId="4C0434B4"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5EB876" w14:textId="7A843918" w:rsidR="00BD229F" w:rsidRDefault="00BD229F" w:rsidP="00BD229F">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7D773BE" w14:textId="3ACD4997" w:rsidR="00BD229F" w:rsidRDefault="00BD229F" w:rsidP="00BD229F">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3F7FF094" w14:textId="6A545731"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3D2C38" w14:textId="1B0937AF" w:rsidR="00BD229F" w:rsidRDefault="00BD229F" w:rsidP="00BD229F">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7D61AA4" w14:textId="507189CF" w:rsidR="00BD229F" w:rsidRDefault="00BD229F" w:rsidP="00BD229F">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3BC8C531" w14:textId="2E762FE9"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041CACF" w14:textId="5DE48F2B" w:rsidR="00BD229F" w:rsidRDefault="00BD229F" w:rsidP="00BD229F">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170E3128" w14:textId="7635BBEE" w:rsidR="00BD229F" w:rsidRDefault="00BD229F" w:rsidP="00BD229F">
            <w:pPr>
              <w:jc w:val="right"/>
              <w:rPr>
                <w:color w:val="000000"/>
                <w:sz w:val="20"/>
                <w:szCs w:val="20"/>
              </w:rPr>
            </w:pPr>
            <w:r>
              <w:rPr>
                <w:color w:val="000000"/>
                <w:sz w:val="20"/>
                <w:szCs w:val="20"/>
              </w:rPr>
              <w:t>0.424</w:t>
            </w:r>
          </w:p>
        </w:tc>
        <w:tc>
          <w:tcPr>
            <w:tcW w:w="768" w:type="dxa"/>
            <w:tcBorders>
              <w:top w:val="nil"/>
              <w:left w:val="nil"/>
              <w:bottom w:val="nil"/>
              <w:right w:val="nil"/>
            </w:tcBorders>
            <w:shd w:val="clear" w:color="auto" w:fill="auto"/>
            <w:noWrap/>
            <w:vAlign w:val="bottom"/>
            <w:hideMark/>
          </w:tcPr>
          <w:p w14:paraId="168089B9" w14:textId="3657549C"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C304EE7" w14:textId="23614878" w:rsidR="00BD229F" w:rsidRDefault="00BD229F" w:rsidP="00BD229F">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444FE5CF" w14:textId="55DAF226" w:rsidR="00BD229F" w:rsidRDefault="00BD229F" w:rsidP="00BD229F">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483013A2" w14:textId="4DE2236E" w:rsidR="00BD229F" w:rsidRDefault="00BD229F" w:rsidP="00BD229F">
            <w:pPr>
              <w:jc w:val="right"/>
              <w:rPr>
                <w:color w:val="000000"/>
                <w:sz w:val="20"/>
                <w:szCs w:val="20"/>
              </w:rPr>
            </w:pPr>
            <w:r>
              <w:rPr>
                <w:color w:val="000000"/>
                <w:sz w:val="20"/>
                <w:szCs w:val="20"/>
              </w:rPr>
              <w:t>0.003</w:t>
            </w:r>
          </w:p>
        </w:tc>
      </w:tr>
      <w:tr w:rsidR="00BD229F" w14:paraId="7A0C6B91" w14:textId="77777777" w:rsidTr="006E3CB6">
        <w:trPr>
          <w:trHeight w:val="320"/>
        </w:trPr>
        <w:tc>
          <w:tcPr>
            <w:tcW w:w="1176" w:type="dxa"/>
            <w:tcBorders>
              <w:top w:val="nil"/>
              <w:left w:val="nil"/>
              <w:bottom w:val="nil"/>
              <w:right w:val="nil"/>
            </w:tcBorders>
            <w:shd w:val="clear" w:color="auto" w:fill="auto"/>
            <w:noWrap/>
            <w:vAlign w:val="bottom"/>
            <w:hideMark/>
          </w:tcPr>
          <w:p w14:paraId="5612617A"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A32659B" w14:textId="77777777" w:rsidR="00BD229F" w:rsidRDefault="00BD229F" w:rsidP="00BD229F">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A70AE72" w14:textId="08E9AE39"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FE11BA9" w14:textId="709B78FC" w:rsidR="00BD229F" w:rsidRDefault="00BD229F" w:rsidP="00BD229F">
            <w:pPr>
              <w:jc w:val="right"/>
              <w:rPr>
                <w:color w:val="000000"/>
                <w:sz w:val="20"/>
                <w:szCs w:val="20"/>
              </w:rPr>
            </w:pPr>
            <w:r>
              <w:rPr>
                <w:color w:val="000000"/>
                <w:sz w:val="20"/>
                <w:szCs w:val="20"/>
              </w:rPr>
              <w:t>0.962</w:t>
            </w:r>
          </w:p>
        </w:tc>
        <w:tc>
          <w:tcPr>
            <w:tcW w:w="768" w:type="dxa"/>
            <w:tcBorders>
              <w:top w:val="nil"/>
              <w:left w:val="nil"/>
              <w:bottom w:val="nil"/>
              <w:right w:val="nil"/>
            </w:tcBorders>
            <w:shd w:val="clear" w:color="auto" w:fill="auto"/>
            <w:noWrap/>
            <w:vAlign w:val="bottom"/>
            <w:hideMark/>
          </w:tcPr>
          <w:p w14:paraId="29EF10D7" w14:textId="3C9504C2"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65D80E" w14:textId="451320CB" w:rsidR="00BD229F" w:rsidRDefault="00BD229F" w:rsidP="00BD229F">
            <w:pPr>
              <w:jc w:val="right"/>
              <w:rPr>
                <w:b/>
                <w:bCs/>
                <w:color w:val="000000"/>
                <w:sz w:val="20"/>
                <w:szCs w:val="20"/>
              </w:rPr>
            </w:pPr>
            <w:r>
              <w:rPr>
                <w:b/>
                <w:bCs/>
                <w:color w:val="000000"/>
                <w:sz w:val="20"/>
                <w:szCs w:val="20"/>
              </w:rPr>
              <w:t>-0.098</w:t>
            </w:r>
          </w:p>
        </w:tc>
        <w:tc>
          <w:tcPr>
            <w:tcW w:w="768" w:type="dxa"/>
            <w:tcBorders>
              <w:top w:val="nil"/>
              <w:left w:val="nil"/>
              <w:bottom w:val="nil"/>
              <w:right w:val="nil"/>
            </w:tcBorders>
            <w:shd w:val="clear" w:color="auto" w:fill="auto"/>
            <w:noWrap/>
            <w:vAlign w:val="bottom"/>
            <w:hideMark/>
          </w:tcPr>
          <w:p w14:paraId="051E63A9" w14:textId="21729505" w:rsidR="00BD229F" w:rsidRDefault="00BD229F" w:rsidP="00BD229F">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79E20450" w14:textId="7549A44D" w:rsidR="00BD229F" w:rsidRDefault="00BD229F" w:rsidP="00BD229F">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6ECC5A8F" w14:textId="67822020" w:rsidR="00BD229F" w:rsidRDefault="00BD229F" w:rsidP="00BD229F">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30BB1690" w14:textId="4965AEA6" w:rsidR="00BD229F" w:rsidRDefault="00BD229F" w:rsidP="00BD229F">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145D5A79" w14:textId="14137F9C"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C64845C" w14:textId="3D3A0754" w:rsidR="00BD229F" w:rsidRDefault="00BD229F" w:rsidP="00BD229F">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1736A44D" w14:textId="5B5113A3" w:rsidR="00BD229F" w:rsidRDefault="00BD229F" w:rsidP="00BD229F">
            <w:pPr>
              <w:jc w:val="right"/>
              <w:rPr>
                <w:color w:val="000000"/>
                <w:sz w:val="20"/>
                <w:szCs w:val="20"/>
              </w:rPr>
            </w:pPr>
            <w:r>
              <w:rPr>
                <w:color w:val="000000"/>
                <w:sz w:val="20"/>
                <w:szCs w:val="20"/>
              </w:rPr>
              <w:t>0.424</w:t>
            </w:r>
          </w:p>
        </w:tc>
        <w:tc>
          <w:tcPr>
            <w:tcW w:w="768" w:type="dxa"/>
            <w:tcBorders>
              <w:top w:val="nil"/>
              <w:left w:val="nil"/>
              <w:bottom w:val="nil"/>
              <w:right w:val="nil"/>
            </w:tcBorders>
            <w:shd w:val="clear" w:color="auto" w:fill="auto"/>
            <w:noWrap/>
            <w:vAlign w:val="bottom"/>
            <w:hideMark/>
          </w:tcPr>
          <w:p w14:paraId="2649E083" w14:textId="3BFD934F"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B36C074" w14:textId="18CAA6F7" w:rsidR="00BD229F" w:rsidRDefault="00BD229F" w:rsidP="00BD229F">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E820B30" w14:textId="4B770E3C" w:rsidR="00BD229F" w:rsidRDefault="00BD229F" w:rsidP="00BD229F">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5DF423C0" w14:textId="494F868F" w:rsidR="00BD229F" w:rsidRDefault="00BD229F" w:rsidP="00BD229F">
            <w:pPr>
              <w:jc w:val="right"/>
              <w:rPr>
                <w:color w:val="000000"/>
                <w:sz w:val="20"/>
                <w:szCs w:val="20"/>
              </w:rPr>
            </w:pPr>
            <w:r>
              <w:rPr>
                <w:color w:val="000000"/>
                <w:sz w:val="20"/>
                <w:szCs w:val="20"/>
              </w:rPr>
              <w:t>0.001</w:t>
            </w:r>
          </w:p>
        </w:tc>
      </w:tr>
      <w:tr w:rsidR="00BD229F" w14:paraId="116FBC55" w14:textId="77777777" w:rsidTr="006E3CB6">
        <w:trPr>
          <w:trHeight w:val="320"/>
        </w:trPr>
        <w:tc>
          <w:tcPr>
            <w:tcW w:w="1176" w:type="dxa"/>
            <w:tcBorders>
              <w:top w:val="nil"/>
              <w:left w:val="nil"/>
              <w:bottom w:val="nil"/>
              <w:right w:val="nil"/>
            </w:tcBorders>
            <w:shd w:val="clear" w:color="auto" w:fill="auto"/>
            <w:noWrap/>
            <w:vAlign w:val="bottom"/>
            <w:hideMark/>
          </w:tcPr>
          <w:p w14:paraId="49878C51"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1ED5F7" w14:textId="77777777" w:rsidR="00BD229F" w:rsidRDefault="00BD229F" w:rsidP="00BD229F">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A035D10" w14:textId="4A3132F4" w:rsidR="00BD229F" w:rsidRDefault="00BD229F" w:rsidP="00BD229F">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1E16243A" w14:textId="3441AE5F" w:rsidR="00BD229F" w:rsidRDefault="00BD229F" w:rsidP="00BD229F">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527890BF" w14:textId="4EAA7C79"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655DAC2" w14:textId="343E2CF9" w:rsidR="00BD229F" w:rsidRDefault="00BD229F" w:rsidP="00BD229F">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6B6297B" w14:textId="2AE3256D" w:rsidR="00BD229F" w:rsidRDefault="00BD229F" w:rsidP="00BD229F">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256227D4" w14:textId="3F9AA58E"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9EC92E" w14:textId="3DE23A10" w:rsidR="00BD229F" w:rsidRDefault="00BD229F" w:rsidP="00BD229F">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398C966" w14:textId="162A71F2" w:rsidR="00BD229F" w:rsidRDefault="00BD229F" w:rsidP="00BD229F">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1772FFCF" w14:textId="4B974A4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CC730E" w14:textId="2FE32452" w:rsidR="00BD229F" w:rsidRDefault="00BD229F" w:rsidP="00BD229F">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B66A52C" w14:textId="51535BFA" w:rsidR="00BD229F" w:rsidRDefault="00BD229F" w:rsidP="00BD229F">
            <w:pPr>
              <w:jc w:val="right"/>
              <w:rPr>
                <w:color w:val="000000"/>
                <w:sz w:val="20"/>
                <w:szCs w:val="20"/>
              </w:rPr>
            </w:pPr>
            <w:r>
              <w:rPr>
                <w:color w:val="000000"/>
                <w:sz w:val="20"/>
                <w:szCs w:val="20"/>
              </w:rPr>
              <w:t>0.424</w:t>
            </w:r>
          </w:p>
        </w:tc>
        <w:tc>
          <w:tcPr>
            <w:tcW w:w="768" w:type="dxa"/>
            <w:tcBorders>
              <w:top w:val="nil"/>
              <w:left w:val="nil"/>
              <w:bottom w:val="nil"/>
              <w:right w:val="nil"/>
            </w:tcBorders>
            <w:shd w:val="clear" w:color="auto" w:fill="auto"/>
            <w:noWrap/>
            <w:vAlign w:val="bottom"/>
            <w:hideMark/>
          </w:tcPr>
          <w:p w14:paraId="7BDB4E97" w14:textId="3D36B058"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62ED3E" w14:textId="100E14ED" w:rsidR="00BD229F" w:rsidRDefault="00BD229F" w:rsidP="00BD229F">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19343D11" w14:textId="128DE674" w:rsidR="00BD229F" w:rsidRDefault="00BD229F" w:rsidP="00BD229F">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04176AFA" w14:textId="5ABDF230" w:rsidR="00BD229F" w:rsidRDefault="00BD229F" w:rsidP="00BD229F">
            <w:pPr>
              <w:jc w:val="right"/>
              <w:rPr>
                <w:color w:val="000000"/>
                <w:sz w:val="20"/>
                <w:szCs w:val="20"/>
              </w:rPr>
            </w:pPr>
            <w:r>
              <w:rPr>
                <w:color w:val="000000"/>
                <w:sz w:val="20"/>
                <w:szCs w:val="20"/>
              </w:rPr>
              <w:t>0.003</w:t>
            </w:r>
          </w:p>
        </w:tc>
      </w:tr>
      <w:tr w:rsidR="00BD229F" w14:paraId="3DCEB09A" w14:textId="77777777" w:rsidTr="006E3CB6">
        <w:trPr>
          <w:trHeight w:val="320"/>
        </w:trPr>
        <w:tc>
          <w:tcPr>
            <w:tcW w:w="1176" w:type="dxa"/>
            <w:tcBorders>
              <w:top w:val="nil"/>
              <w:left w:val="nil"/>
              <w:bottom w:val="nil"/>
              <w:right w:val="nil"/>
            </w:tcBorders>
            <w:shd w:val="clear" w:color="auto" w:fill="auto"/>
            <w:noWrap/>
            <w:vAlign w:val="bottom"/>
            <w:hideMark/>
          </w:tcPr>
          <w:p w14:paraId="0698D59C"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0477526" w14:textId="77777777" w:rsidR="00BD229F" w:rsidRDefault="00BD229F" w:rsidP="00BD229F">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066047A" w14:textId="783543C4" w:rsidR="00BD229F" w:rsidRDefault="00BD229F" w:rsidP="00BD229F">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24C695B6" w14:textId="74314D8B" w:rsidR="00BD229F" w:rsidRDefault="00BD229F" w:rsidP="00BD229F">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716A3557" w14:textId="0E7E08F4"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28D3CB9" w14:textId="32D6D675" w:rsidR="00BD229F" w:rsidRDefault="00BD229F" w:rsidP="00BD229F">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4F5F5142" w14:textId="262B1ADC" w:rsidR="00BD229F" w:rsidRDefault="00BD229F" w:rsidP="00BD229F">
            <w:pPr>
              <w:jc w:val="right"/>
              <w:rPr>
                <w:color w:val="000000"/>
                <w:sz w:val="20"/>
                <w:szCs w:val="20"/>
              </w:rPr>
            </w:pPr>
            <w:r>
              <w:rPr>
                <w:color w:val="000000"/>
                <w:sz w:val="20"/>
                <w:szCs w:val="20"/>
              </w:rPr>
              <w:t>0.396</w:t>
            </w:r>
          </w:p>
        </w:tc>
        <w:tc>
          <w:tcPr>
            <w:tcW w:w="768" w:type="dxa"/>
            <w:tcBorders>
              <w:top w:val="nil"/>
              <w:left w:val="nil"/>
              <w:bottom w:val="nil"/>
              <w:right w:val="nil"/>
            </w:tcBorders>
            <w:shd w:val="clear" w:color="auto" w:fill="auto"/>
            <w:noWrap/>
            <w:vAlign w:val="bottom"/>
            <w:hideMark/>
          </w:tcPr>
          <w:p w14:paraId="16BD38D4" w14:textId="778265A6"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439ED69" w14:textId="08C7E000" w:rsidR="00BD229F" w:rsidRDefault="00BD229F" w:rsidP="00BD229F">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D55D186" w14:textId="652FF16A" w:rsidR="00BD229F" w:rsidRDefault="00BD229F" w:rsidP="00BD229F">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1053EF9A" w14:textId="62A7031A"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1BAC66" w14:textId="6CF373C6" w:rsidR="00BD229F" w:rsidRDefault="00BD229F" w:rsidP="00BD229F">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63B1D3DE" w14:textId="61498691" w:rsidR="00BD229F" w:rsidRDefault="00BD229F" w:rsidP="00BD229F">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3819CD95" w14:textId="3D53737F"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0F0901D" w14:textId="3FE9F862" w:rsidR="00BD229F" w:rsidRDefault="00BD229F" w:rsidP="00BD229F">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7D59136" w14:textId="7A9CBC1C" w:rsidR="00BD229F" w:rsidRDefault="00BD229F" w:rsidP="00BD229F">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173094F1" w14:textId="3EF80B4F" w:rsidR="00BD229F" w:rsidRDefault="00BD229F" w:rsidP="00BD229F">
            <w:pPr>
              <w:jc w:val="right"/>
              <w:rPr>
                <w:color w:val="000000"/>
                <w:sz w:val="20"/>
                <w:szCs w:val="20"/>
              </w:rPr>
            </w:pPr>
            <w:r>
              <w:rPr>
                <w:color w:val="000000"/>
                <w:sz w:val="20"/>
                <w:szCs w:val="20"/>
              </w:rPr>
              <w:t>0.002</w:t>
            </w:r>
          </w:p>
        </w:tc>
      </w:tr>
      <w:tr w:rsidR="00BD229F" w14:paraId="7F3D9F9B" w14:textId="77777777" w:rsidTr="00A5290E">
        <w:trPr>
          <w:trHeight w:val="340"/>
        </w:trPr>
        <w:tc>
          <w:tcPr>
            <w:tcW w:w="1176" w:type="dxa"/>
            <w:tcBorders>
              <w:top w:val="nil"/>
              <w:left w:val="nil"/>
              <w:bottom w:val="single" w:sz="12" w:space="0" w:color="auto"/>
              <w:right w:val="nil"/>
            </w:tcBorders>
            <w:shd w:val="clear" w:color="auto" w:fill="auto"/>
            <w:noWrap/>
            <w:vAlign w:val="bottom"/>
            <w:hideMark/>
          </w:tcPr>
          <w:p w14:paraId="3D59CFA0" w14:textId="77777777" w:rsidR="00BD229F" w:rsidRDefault="00BD229F" w:rsidP="00BD229F">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397EF222" w14:textId="77777777" w:rsidR="00BD229F" w:rsidRDefault="00BD229F" w:rsidP="00BD229F">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561BE75B" w14:textId="609DCF62" w:rsidR="00BD229F" w:rsidRDefault="00BD229F" w:rsidP="00BD229F">
            <w:pPr>
              <w:jc w:val="right"/>
              <w:rPr>
                <w:color w:val="000000"/>
                <w:sz w:val="20"/>
                <w:szCs w:val="20"/>
              </w:rPr>
            </w:pPr>
            <w:r>
              <w:rPr>
                <w:color w:val="000000"/>
                <w:sz w:val="20"/>
                <w:szCs w:val="20"/>
              </w:rPr>
              <w:t>0.104</w:t>
            </w:r>
          </w:p>
        </w:tc>
        <w:tc>
          <w:tcPr>
            <w:tcW w:w="768" w:type="dxa"/>
            <w:tcBorders>
              <w:top w:val="nil"/>
              <w:left w:val="nil"/>
              <w:bottom w:val="single" w:sz="12" w:space="0" w:color="auto"/>
              <w:right w:val="nil"/>
            </w:tcBorders>
            <w:shd w:val="clear" w:color="auto" w:fill="auto"/>
            <w:noWrap/>
            <w:vAlign w:val="bottom"/>
            <w:hideMark/>
          </w:tcPr>
          <w:p w14:paraId="07876235" w14:textId="5D5F3C7C" w:rsidR="00BD229F" w:rsidRDefault="00BD229F" w:rsidP="00BD229F">
            <w:pPr>
              <w:jc w:val="right"/>
              <w:rPr>
                <w:color w:val="000000"/>
                <w:sz w:val="20"/>
                <w:szCs w:val="20"/>
              </w:rPr>
            </w:pPr>
            <w:r>
              <w:rPr>
                <w:color w:val="000000"/>
                <w:sz w:val="20"/>
                <w:szCs w:val="20"/>
              </w:rPr>
              <w:t>0.064</w:t>
            </w:r>
          </w:p>
        </w:tc>
        <w:tc>
          <w:tcPr>
            <w:tcW w:w="768" w:type="dxa"/>
            <w:tcBorders>
              <w:top w:val="nil"/>
              <w:left w:val="nil"/>
              <w:bottom w:val="single" w:sz="12" w:space="0" w:color="auto"/>
              <w:right w:val="nil"/>
            </w:tcBorders>
            <w:shd w:val="clear" w:color="auto" w:fill="auto"/>
            <w:noWrap/>
            <w:vAlign w:val="bottom"/>
            <w:hideMark/>
          </w:tcPr>
          <w:p w14:paraId="6FCF3E0D" w14:textId="028A0D71"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single" w:sz="12" w:space="0" w:color="auto"/>
              <w:right w:val="nil"/>
            </w:tcBorders>
            <w:shd w:val="clear" w:color="auto" w:fill="auto"/>
            <w:noWrap/>
            <w:vAlign w:val="bottom"/>
            <w:hideMark/>
          </w:tcPr>
          <w:p w14:paraId="7C8C7EC4" w14:textId="7A2FE1B8" w:rsidR="00BD229F" w:rsidRDefault="00BD229F" w:rsidP="00BD229F">
            <w:pPr>
              <w:jc w:val="right"/>
              <w:rPr>
                <w:color w:val="000000"/>
                <w:sz w:val="20"/>
                <w:szCs w:val="20"/>
              </w:rPr>
            </w:pPr>
            <w:r>
              <w:rPr>
                <w:color w:val="000000"/>
                <w:sz w:val="20"/>
                <w:szCs w:val="20"/>
              </w:rPr>
              <w:t>-0.028</w:t>
            </w:r>
          </w:p>
        </w:tc>
        <w:tc>
          <w:tcPr>
            <w:tcW w:w="768" w:type="dxa"/>
            <w:tcBorders>
              <w:top w:val="nil"/>
              <w:left w:val="nil"/>
              <w:bottom w:val="single" w:sz="12" w:space="0" w:color="auto"/>
              <w:right w:val="nil"/>
            </w:tcBorders>
            <w:shd w:val="clear" w:color="auto" w:fill="auto"/>
            <w:noWrap/>
            <w:vAlign w:val="bottom"/>
            <w:hideMark/>
          </w:tcPr>
          <w:p w14:paraId="34E823C2" w14:textId="264C925B" w:rsidR="00BD229F" w:rsidRDefault="00BD229F" w:rsidP="00BD229F">
            <w:pPr>
              <w:jc w:val="right"/>
              <w:rPr>
                <w:color w:val="000000"/>
                <w:sz w:val="20"/>
                <w:szCs w:val="20"/>
              </w:rPr>
            </w:pPr>
            <w:r>
              <w:rPr>
                <w:color w:val="000000"/>
                <w:sz w:val="20"/>
                <w:szCs w:val="20"/>
              </w:rPr>
              <w:t>0.677</w:t>
            </w:r>
          </w:p>
        </w:tc>
        <w:tc>
          <w:tcPr>
            <w:tcW w:w="768" w:type="dxa"/>
            <w:tcBorders>
              <w:top w:val="nil"/>
              <w:left w:val="nil"/>
              <w:bottom w:val="single" w:sz="12" w:space="0" w:color="auto"/>
              <w:right w:val="nil"/>
            </w:tcBorders>
            <w:shd w:val="clear" w:color="auto" w:fill="auto"/>
            <w:noWrap/>
            <w:vAlign w:val="bottom"/>
            <w:hideMark/>
          </w:tcPr>
          <w:p w14:paraId="48B09B5F" w14:textId="66450395"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3A4579CF" w14:textId="30D9188B" w:rsidR="00BD229F" w:rsidRDefault="00BD229F" w:rsidP="00BD229F">
            <w:pPr>
              <w:jc w:val="right"/>
              <w:rPr>
                <w:color w:val="000000"/>
                <w:sz w:val="20"/>
                <w:szCs w:val="20"/>
              </w:rPr>
            </w:pPr>
            <w:r>
              <w:rPr>
                <w:color w:val="000000"/>
                <w:sz w:val="20"/>
                <w:szCs w:val="20"/>
              </w:rPr>
              <w:t>-0.012</w:t>
            </w:r>
          </w:p>
        </w:tc>
        <w:tc>
          <w:tcPr>
            <w:tcW w:w="768" w:type="dxa"/>
            <w:tcBorders>
              <w:top w:val="nil"/>
              <w:left w:val="nil"/>
              <w:bottom w:val="single" w:sz="12" w:space="0" w:color="auto"/>
              <w:right w:val="nil"/>
            </w:tcBorders>
            <w:shd w:val="clear" w:color="auto" w:fill="auto"/>
            <w:noWrap/>
            <w:vAlign w:val="bottom"/>
            <w:hideMark/>
          </w:tcPr>
          <w:p w14:paraId="165EBC10" w14:textId="00052688" w:rsidR="00BD229F" w:rsidRDefault="00BD229F" w:rsidP="00BD229F">
            <w:pPr>
              <w:jc w:val="right"/>
              <w:rPr>
                <w:color w:val="000000"/>
                <w:sz w:val="20"/>
                <w:szCs w:val="20"/>
              </w:rPr>
            </w:pPr>
            <w:r>
              <w:rPr>
                <w:color w:val="000000"/>
                <w:sz w:val="20"/>
                <w:szCs w:val="20"/>
              </w:rPr>
              <w:t>0.704</w:t>
            </w:r>
          </w:p>
        </w:tc>
        <w:tc>
          <w:tcPr>
            <w:tcW w:w="768" w:type="dxa"/>
            <w:tcBorders>
              <w:top w:val="nil"/>
              <w:left w:val="nil"/>
              <w:bottom w:val="single" w:sz="12" w:space="0" w:color="auto"/>
              <w:right w:val="nil"/>
            </w:tcBorders>
            <w:shd w:val="clear" w:color="auto" w:fill="auto"/>
            <w:noWrap/>
            <w:vAlign w:val="bottom"/>
            <w:hideMark/>
          </w:tcPr>
          <w:p w14:paraId="4B617EB0" w14:textId="093705DF"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6460DB6" w14:textId="689A4731" w:rsidR="00BD229F" w:rsidRDefault="00BD229F" w:rsidP="00BD229F">
            <w:pPr>
              <w:jc w:val="right"/>
              <w:rPr>
                <w:color w:val="000000"/>
                <w:sz w:val="20"/>
                <w:szCs w:val="20"/>
              </w:rPr>
            </w:pPr>
            <w:r>
              <w:rPr>
                <w:color w:val="000000"/>
                <w:sz w:val="20"/>
                <w:szCs w:val="20"/>
              </w:rPr>
              <w:t>0.088</w:t>
            </w:r>
          </w:p>
        </w:tc>
        <w:tc>
          <w:tcPr>
            <w:tcW w:w="768" w:type="dxa"/>
            <w:tcBorders>
              <w:top w:val="nil"/>
              <w:left w:val="nil"/>
              <w:bottom w:val="single" w:sz="12" w:space="0" w:color="auto"/>
              <w:right w:val="nil"/>
            </w:tcBorders>
            <w:shd w:val="clear" w:color="auto" w:fill="auto"/>
            <w:noWrap/>
            <w:vAlign w:val="bottom"/>
            <w:hideMark/>
          </w:tcPr>
          <w:p w14:paraId="7888EEE8" w14:textId="767555E3" w:rsidR="00BD229F" w:rsidRDefault="00BD229F" w:rsidP="00BD229F">
            <w:pPr>
              <w:jc w:val="right"/>
              <w:rPr>
                <w:color w:val="000000"/>
                <w:sz w:val="20"/>
                <w:szCs w:val="20"/>
              </w:rPr>
            </w:pPr>
            <w:r>
              <w:rPr>
                <w:color w:val="000000"/>
                <w:sz w:val="20"/>
                <w:szCs w:val="20"/>
              </w:rPr>
              <w:t>0.144</w:t>
            </w:r>
          </w:p>
        </w:tc>
        <w:tc>
          <w:tcPr>
            <w:tcW w:w="768" w:type="dxa"/>
            <w:tcBorders>
              <w:top w:val="nil"/>
              <w:left w:val="nil"/>
              <w:bottom w:val="single" w:sz="12" w:space="0" w:color="auto"/>
              <w:right w:val="nil"/>
            </w:tcBorders>
            <w:shd w:val="clear" w:color="auto" w:fill="auto"/>
            <w:noWrap/>
            <w:vAlign w:val="bottom"/>
            <w:hideMark/>
          </w:tcPr>
          <w:p w14:paraId="38423AC9" w14:textId="00DF236B"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single" w:sz="12" w:space="0" w:color="auto"/>
              <w:right w:val="nil"/>
            </w:tcBorders>
            <w:shd w:val="clear" w:color="auto" w:fill="auto"/>
            <w:noWrap/>
            <w:vAlign w:val="bottom"/>
            <w:hideMark/>
          </w:tcPr>
          <w:p w14:paraId="5FD5F846" w14:textId="3E70F20E"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2EA28BAB" w14:textId="1B6E5981" w:rsidR="00BD229F" w:rsidRDefault="00BD229F" w:rsidP="00BD229F">
            <w:pPr>
              <w:jc w:val="right"/>
              <w:rPr>
                <w:color w:val="000000"/>
                <w:sz w:val="20"/>
                <w:szCs w:val="20"/>
              </w:rPr>
            </w:pPr>
            <w:r>
              <w:rPr>
                <w:color w:val="000000"/>
                <w:sz w:val="20"/>
                <w:szCs w:val="20"/>
              </w:rPr>
              <w:t>0.810</w:t>
            </w:r>
          </w:p>
        </w:tc>
        <w:tc>
          <w:tcPr>
            <w:tcW w:w="768" w:type="dxa"/>
            <w:tcBorders>
              <w:top w:val="nil"/>
              <w:left w:val="nil"/>
              <w:bottom w:val="single" w:sz="12" w:space="0" w:color="auto"/>
              <w:right w:val="nil"/>
            </w:tcBorders>
            <w:shd w:val="clear" w:color="auto" w:fill="auto"/>
            <w:noWrap/>
            <w:vAlign w:val="bottom"/>
            <w:hideMark/>
          </w:tcPr>
          <w:p w14:paraId="2CD4EABA" w14:textId="1EDE28EF" w:rsidR="00BD229F" w:rsidRDefault="00BD229F" w:rsidP="00BD229F">
            <w:pPr>
              <w:jc w:val="right"/>
              <w:rPr>
                <w:color w:val="000000"/>
                <w:sz w:val="20"/>
                <w:szCs w:val="20"/>
              </w:rPr>
            </w:pPr>
            <w:r>
              <w:rPr>
                <w:color w:val="000000"/>
                <w:sz w:val="20"/>
                <w:szCs w:val="20"/>
              </w:rPr>
              <w:t>0.000</w:t>
            </w:r>
          </w:p>
        </w:tc>
      </w:tr>
      <w:tr w:rsidR="006E3CB6" w14:paraId="343F4D9D" w14:textId="77777777" w:rsidTr="00A5290E">
        <w:trPr>
          <w:trHeight w:val="320"/>
        </w:trPr>
        <w:tc>
          <w:tcPr>
            <w:tcW w:w="1176" w:type="dxa"/>
            <w:tcBorders>
              <w:top w:val="single" w:sz="12" w:space="0" w:color="auto"/>
              <w:left w:val="nil"/>
              <w:bottom w:val="nil"/>
              <w:right w:val="nil"/>
            </w:tcBorders>
            <w:shd w:val="clear" w:color="auto" w:fill="auto"/>
            <w:noWrap/>
            <w:vAlign w:val="bottom"/>
            <w:hideMark/>
          </w:tcPr>
          <w:p w14:paraId="7A210CCB" w14:textId="77777777" w:rsidR="006E3CB6" w:rsidRDefault="006E3CB6">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60F4C1F4" w14:textId="77777777" w:rsidR="006E3CB6" w:rsidRDefault="006E3CB6">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28C1915F"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4F2BA49"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EE15505"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58753C4"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3A573D2"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D593599"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26A2784"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D7AD33C"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C068E4B"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28DC9DB"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485C514"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E66709"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40B84C9"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8F1D58E" w14:textId="77777777" w:rsidR="006E3CB6" w:rsidRDefault="006E3CB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09A8DD1" w14:textId="77777777" w:rsidR="006E3CB6" w:rsidRDefault="006E3CB6">
            <w:pPr>
              <w:rPr>
                <w:sz w:val="20"/>
                <w:szCs w:val="20"/>
              </w:rPr>
            </w:pPr>
          </w:p>
        </w:tc>
      </w:tr>
    </w:tbl>
    <w:p w14:paraId="661D3F68" w14:textId="19EF20E9" w:rsidR="00A5290E" w:rsidRDefault="00A5290E" w:rsidP="00BA3AF4">
      <w:pPr>
        <w:spacing w:line="480" w:lineRule="auto"/>
      </w:pPr>
    </w:p>
    <w:p w14:paraId="05CE3B5A" w14:textId="77777777" w:rsidR="00A5290E" w:rsidRDefault="00A5290E">
      <w:r>
        <w:br w:type="page"/>
      </w:r>
    </w:p>
    <w:p w14:paraId="53C7A1B8" w14:textId="501120AC" w:rsidR="00A5290E" w:rsidRPr="009E2A20" w:rsidRDefault="00432B71" w:rsidP="009E2A20">
      <w:pPr>
        <w:pStyle w:val="Heading1"/>
        <w:rPr>
          <w:rFonts w:ascii="Times New Roman" w:hAnsi="Times New Roman" w:cs="Times New Roman"/>
          <w:color w:val="000000" w:themeColor="text1"/>
          <w:sz w:val="24"/>
          <w:szCs w:val="24"/>
        </w:rPr>
      </w:pPr>
      <w:bookmarkStart w:id="30" w:name="_Toc155817697"/>
      <w:r>
        <w:rPr>
          <w:rFonts w:ascii="Times New Roman" w:hAnsi="Times New Roman" w:cs="Times New Roman"/>
          <w:b/>
          <w:bCs/>
          <w:color w:val="000000" w:themeColor="text1"/>
          <w:sz w:val="24"/>
          <w:szCs w:val="24"/>
        </w:rPr>
        <w:lastRenderedPageBreak/>
        <w:t xml:space="preserve">Table </w:t>
      </w:r>
      <w:r w:rsidR="00DE156A">
        <w:rPr>
          <w:rFonts w:ascii="Times New Roman" w:hAnsi="Times New Roman" w:cs="Times New Roman"/>
          <w:b/>
          <w:bCs/>
          <w:color w:val="000000" w:themeColor="text1"/>
          <w:sz w:val="24"/>
          <w:szCs w:val="24"/>
        </w:rPr>
        <w:t>10</w:t>
      </w:r>
      <w:r w:rsidR="00A5290E" w:rsidRPr="009E2A20">
        <w:rPr>
          <w:rFonts w:ascii="Times New Roman" w:hAnsi="Times New Roman" w:cs="Times New Roman"/>
          <w:b/>
          <w:bCs/>
          <w:color w:val="000000" w:themeColor="text1"/>
          <w:sz w:val="24"/>
          <w:szCs w:val="24"/>
        </w:rPr>
        <w:t xml:space="preserve">a. </w:t>
      </w:r>
      <w:r w:rsidR="00A5290E"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local efficiency during </w:t>
      </w:r>
      <w:r w:rsidR="007463DD" w:rsidRPr="009E2A20">
        <w:rPr>
          <w:rFonts w:ascii="Times New Roman" w:hAnsi="Times New Roman" w:cs="Times New Roman"/>
          <w:color w:val="000000" w:themeColor="text1"/>
          <w:sz w:val="24"/>
          <w:szCs w:val="24"/>
        </w:rPr>
        <w:t>emotional n-back task</w:t>
      </w:r>
      <w:bookmarkEnd w:id="30"/>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731940" w14:paraId="648D0867" w14:textId="77777777" w:rsidTr="00731940">
        <w:trPr>
          <w:trHeight w:val="280"/>
        </w:trPr>
        <w:tc>
          <w:tcPr>
            <w:tcW w:w="1176" w:type="dxa"/>
            <w:tcBorders>
              <w:top w:val="nil"/>
              <w:left w:val="nil"/>
              <w:bottom w:val="single" w:sz="12" w:space="0" w:color="auto"/>
              <w:right w:val="nil"/>
            </w:tcBorders>
            <w:shd w:val="clear" w:color="auto" w:fill="auto"/>
            <w:noWrap/>
            <w:vAlign w:val="bottom"/>
            <w:hideMark/>
          </w:tcPr>
          <w:p w14:paraId="7622A5FC" w14:textId="77777777" w:rsidR="00731940" w:rsidRDefault="00731940">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bottom"/>
            <w:hideMark/>
          </w:tcPr>
          <w:p w14:paraId="2A46AB76" w14:textId="77777777" w:rsidR="00731940" w:rsidRDefault="00731940">
            <w:pPr>
              <w:rPr>
                <w:color w:val="000000"/>
                <w:sz w:val="20"/>
                <w:szCs w:val="20"/>
              </w:rPr>
            </w:pPr>
            <w:r>
              <w:rPr>
                <w:color w:val="000000"/>
                <w:sz w:val="20"/>
                <w:szCs w:val="20"/>
              </w:rPr>
              <w:t> </w:t>
            </w:r>
          </w:p>
        </w:tc>
        <w:tc>
          <w:tcPr>
            <w:tcW w:w="767" w:type="dxa"/>
            <w:tcBorders>
              <w:top w:val="nil"/>
              <w:left w:val="nil"/>
              <w:bottom w:val="single" w:sz="12" w:space="0" w:color="auto"/>
              <w:right w:val="nil"/>
            </w:tcBorders>
            <w:shd w:val="clear" w:color="auto" w:fill="auto"/>
            <w:noWrap/>
            <w:vAlign w:val="bottom"/>
            <w:hideMark/>
          </w:tcPr>
          <w:p w14:paraId="742C8B88" w14:textId="77777777" w:rsidR="00731940" w:rsidRDefault="00731940">
            <w:pPr>
              <w:rPr>
                <w:color w:val="000000"/>
                <w:sz w:val="20"/>
                <w:szCs w:val="20"/>
              </w:rPr>
            </w:pPr>
          </w:p>
        </w:tc>
        <w:tc>
          <w:tcPr>
            <w:tcW w:w="768" w:type="dxa"/>
            <w:tcBorders>
              <w:top w:val="nil"/>
              <w:left w:val="nil"/>
              <w:bottom w:val="single" w:sz="12" w:space="0" w:color="auto"/>
              <w:right w:val="nil"/>
            </w:tcBorders>
            <w:shd w:val="clear" w:color="auto" w:fill="auto"/>
            <w:noWrap/>
            <w:vAlign w:val="bottom"/>
            <w:hideMark/>
          </w:tcPr>
          <w:p w14:paraId="6BF1CD0D"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6545440"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C30DDB6"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9B66D60"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68EE90C"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38F3DC9"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9422C59"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AAC3490"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B69572D"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3420B2D"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7B38F2C"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E884BF3"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DD66F43" w14:textId="77777777" w:rsidR="00731940" w:rsidRDefault="0073194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67729D7" w14:textId="77777777" w:rsidR="00731940" w:rsidRDefault="00731940">
            <w:pPr>
              <w:rPr>
                <w:sz w:val="20"/>
                <w:szCs w:val="20"/>
              </w:rPr>
            </w:pPr>
          </w:p>
        </w:tc>
      </w:tr>
      <w:tr w:rsidR="00731940" w14:paraId="5E03D367" w14:textId="77777777" w:rsidTr="00731940">
        <w:trPr>
          <w:trHeight w:val="340"/>
        </w:trPr>
        <w:tc>
          <w:tcPr>
            <w:tcW w:w="1176" w:type="dxa"/>
            <w:tcBorders>
              <w:top w:val="single" w:sz="12" w:space="0" w:color="auto"/>
              <w:left w:val="nil"/>
              <w:bottom w:val="nil"/>
              <w:right w:val="nil"/>
            </w:tcBorders>
            <w:shd w:val="clear" w:color="auto" w:fill="auto"/>
            <w:noWrap/>
            <w:vAlign w:val="bottom"/>
            <w:hideMark/>
          </w:tcPr>
          <w:p w14:paraId="11883575" w14:textId="77777777" w:rsidR="00731940" w:rsidRDefault="00731940">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31777B68" w14:textId="77777777" w:rsidR="00731940" w:rsidRDefault="00731940">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4FC61D92" w14:textId="7EF45976" w:rsidR="00731940" w:rsidRDefault="00731940">
            <w:pPr>
              <w:jc w:val="center"/>
              <w:rPr>
                <w:color w:val="000000"/>
                <w:sz w:val="20"/>
                <w:szCs w:val="20"/>
              </w:rPr>
            </w:pPr>
            <w:r>
              <w:rPr>
                <w:color w:val="000000"/>
                <w:sz w:val="20"/>
                <w:szCs w:val="20"/>
              </w:rPr>
              <w:t>General</w:t>
            </w:r>
            <w:r w:rsidR="00AF352C">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E694D3E" w14:textId="77777777" w:rsidR="00731940" w:rsidRDefault="00731940">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8C5303F" w14:textId="77777777" w:rsidR="00731940" w:rsidRDefault="00731940">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FD8A9F1" w14:textId="77777777" w:rsidR="00731940" w:rsidRDefault="00731940">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25FC6037" w14:textId="77777777" w:rsidR="00731940" w:rsidRDefault="00731940">
            <w:pPr>
              <w:jc w:val="center"/>
              <w:rPr>
                <w:color w:val="000000"/>
                <w:sz w:val="20"/>
                <w:szCs w:val="20"/>
              </w:rPr>
            </w:pPr>
            <w:r>
              <w:rPr>
                <w:color w:val="000000"/>
                <w:sz w:val="20"/>
                <w:szCs w:val="20"/>
              </w:rPr>
              <w:t>Urbanicity</w:t>
            </w:r>
          </w:p>
        </w:tc>
      </w:tr>
      <w:tr w:rsidR="002125FE" w14:paraId="63CEC753" w14:textId="77777777" w:rsidTr="00731940">
        <w:trPr>
          <w:trHeight w:val="360"/>
        </w:trPr>
        <w:tc>
          <w:tcPr>
            <w:tcW w:w="1176" w:type="dxa"/>
            <w:tcBorders>
              <w:top w:val="nil"/>
              <w:left w:val="nil"/>
              <w:bottom w:val="single" w:sz="12" w:space="0" w:color="auto"/>
              <w:right w:val="nil"/>
            </w:tcBorders>
            <w:shd w:val="clear" w:color="auto" w:fill="auto"/>
            <w:noWrap/>
            <w:vAlign w:val="bottom"/>
            <w:hideMark/>
          </w:tcPr>
          <w:p w14:paraId="53D203D0"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3AE923E5"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1D12E029" w14:textId="0B5E8494"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82E41CF" w14:textId="56416CA4"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19F95E4" w14:textId="26F1B28F"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24610B1" w14:textId="215BEFC4"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4FB0701" w14:textId="1ED05B6E"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3D488DC1" w14:textId="3A504F12"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2372EE2C" w14:textId="35F643A6"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0B27C549" w14:textId="3D0380CD"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0FC836F2" w14:textId="4A711C0D"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0EF0A8F3" w14:textId="704E07EB"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418E2D3F" w14:textId="2561D199"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066AA1DB" w14:textId="34B2AFED"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3D00B7A" w14:textId="4613ECAA"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F5514A6" w14:textId="79C0558A"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E05E92B" w14:textId="629E94BA"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BD229F" w14:paraId="6EDE1D5B" w14:textId="77777777" w:rsidTr="00731940">
        <w:trPr>
          <w:trHeight w:val="260"/>
        </w:trPr>
        <w:tc>
          <w:tcPr>
            <w:tcW w:w="1176" w:type="dxa"/>
            <w:tcBorders>
              <w:top w:val="single" w:sz="12" w:space="0" w:color="auto"/>
              <w:left w:val="nil"/>
              <w:bottom w:val="nil"/>
              <w:right w:val="nil"/>
            </w:tcBorders>
            <w:shd w:val="clear" w:color="auto" w:fill="auto"/>
            <w:noWrap/>
            <w:vAlign w:val="bottom"/>
            <w:hideMark/>
          </w:tcPr>
          <w:p w14:paraId="0EC1978B" w14:textId="77777777" w:rsidR="00BD229F" w:rsidRDefault="00BD229F" w:rsidP="00BD229F">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33DF618D" w14:textId="77777777" w:rsidR="00BD229F" w:rsidRDefault="00BD229F" w:rsidP="00BD229F">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1BAE1E97" w14:textId="40B8BC64" w:rsidR="00BD229F" w:rsidRDefault="00BD229F" w:rsidP="00BD229F">
            <w:pPr>
              <w:jc w:val="right"/>
              <w:rPr>
                <w:color w:val="000000"/>
                <w:sz w:val="20"/>
                <w:szCs w:val="20"/>
              </w:rPr>
            </w:pPr>
            <w:r>
              <w:rPr>
                <w:color w:val="000000"/>
                <w:sz w:val="20"/>
                <w:szCs w:val="20"/>
              </w:rPr>
              <w:t>-0.031</w:t>
            </w:r>
          </w:p>
        </w:tc>
        <w:tc>
          <w:tcPr>
            <w:tcW w:w="768" w:type="dxa"/>
            <w:tcBorders>
              <w:top w:val="single" w:sz="12" w:space="0" w:color="auto"/>
              <w:left w:val="nil"/>
              <w:bottom w:val="nil"/>
              <w:right w:val="nil"/>
            </w:tcBorders>
            <w:shd w:val="clear" w:color="auto" w:fill="auto"/>
            <w:noWrap/>
            <w:vAlign w:val="bottom"/>
            <w:hideMark/>
          </w:tcPr>
          <w:p w14:paraId="01D83B76" w14:textId="0F892940" w:rsidR="00BD229F" w:rsidRDefault="00BD229F" w:rsidP="00BD229F">
            <w:pPr>
              <w:jc w:val="right"/>
              <w:rPr>
                <w:color w:val="000000"/>
                <w:sz w:val="20"/>
                <w:szCs w:val="20"/>
              </w:rPr>
            </w:pPr>
            <w:r>
              <w:rPr>
                <w:color w:val="000000"/>
                <w:sz w:val="20"/>
                <w:szCs w:val="20"/>
              </w:rPr>
              <w:t>0.635</w:t>
            </w:r>
          </w:p>
        </w:tc>
        <w:tc>
          <w:tcPr>
            <w:tcW w:w="768" w:type="dxa"/>
            <w:tcBorders>
              <w:top w:val="single" w:sz="12" w:space="0" w:color="auto"/>
              <w:left w:val="nil"/>
              <w:bottom w:val="nil"/>
              <w:right w:val="nil"/>
            </w:tcBorders>
            <w:shd w:val="clear" w:color="auto" w:fill="auto"/>
            <w:noWrap/>
            <w:vAlign w:val="bottom"/>
            <w:hideMark/>
          </w:tcPr>
          <w:p w14:paraId="5F6DBE9C" w14:textId="50250DDE" w:rsidR="00BD229F" w:rsidRDefault="00BD229F" w:rsidP="00BD229F">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10364EFA" w14:textId="5057AD50" w:rsidR="00BD229F" w:rsidRDefault="00BD229F" w:rsidP="00BD229F">
            <w:pPr>
              <w:jc w:val="right"/>
              <w:rPr>
                <w:color w:val="000000"/>
                <w:sz w:val="20"/>
                <w:szCs w:val="20"/>
              </w:rPr>
            </w:pPr>
            <w:r>
              <w:rPr>
                <w:color w:val="000000"/>
                <w:sz w:val="20"/>
                <w:szCs w:val="20"/>
              </w:rPr>
              <w:t>0.020</w:t>
            </w:r>
          </w:p>
        </w:tc>
        <w:tc>
          <w:tcPr>
            <w:tcW w:w="768" w:type="dxa"/>
            <w:tcBorders>
              <w:top w:val="single" w:sz="12" w:space="0" w:color="auto"/>
              <w:left w:val="nil"/>
              <w:bottom w:val="nil"/>
              <w:right w:val="nil"/>
            </w:tcBorders>
            <w:shd w:val="clear" w:color="auto" w:fill="auto"/>
            <w:noWrap/>
            <w:vAlign w:val="bottom"/>
            <w:hideMark/>
          </w:tcPr>
          <w:p w14:paraId="0E80914F" w14:textId="041BF305" w:rsidR="00BD229F" w:rsidRDefault="00BD229F" w:rsidP="00BD229F">
            <w:pPr>
              <w:jc w:val="right"/>
              <w:rPr>
                <w:color w:val="000000"/>
                <w:sz w:val="20"/>
                <w:szCs w:val="20"/>
              </w:rPr>
            </w:pPr>
            <w:r>
              <w:rPr>
                <w:color w:val="000000"/>
                <w:sz w:val="20"/>
                <w:szCs w:val="20"/>
              </w:rPr>
              <w:t>0.756</w:t>
            </w:r>
          </w:p>
        </w:tc>
        <w:tc>
          <w:tcPr>
            <w:tcW w:w="768" w:type="dxa"/>
            <w:tcBorders>
              <w:top w:val="single" w:sz="12" w:space="0" w:color="auto"/>
              <w:left w:val="nil"/>
              <w:bottom w:val="nil"/>
              <w:right w:val="nil"/>
            </w:tcBorders>
            <w:shd w:val="clear" w:color="auto" w:fill="auto"/>
            <w:noWrap/>
            <w:vAlign w:val="bottom"/>
            <w:hideMark/>
          </w:tcPr>
          <w:p w14:paraId="755337EC" w14:textId="1546595D" w:rsidR="00BD229F" w:rsidRDefault="00BD229F" w:rsidP="00BD229F">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49549BB" w14:textId="749340BD" w:rsidR="00BD229F" w:rsidRDefault="00BD229F" w:rsidP="00BD229F">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3E3A3B1D" w14:textId="19201B46" w:rsidR="00BD229F" w:rsidRDefault="00BD229F" w:rsidP="00BD229F">
            <w:pPr>
              <w:jc w:val="right"/>
              <w:rPr>
                <w:color w:val="000000"/>
                <w:sz w:val="20"/>
                <w:szCs w:val="20"/>
              </w:rPr>
            </w:pPr>
            <w:r>
              <w:rPr>
                <w:color w:val="000000"/>
                <w:sz w:val="20"/>
                <w:szCs w:val="20"/>
              </w:rPr>
              <w:t>0.898</w:t>
            </w:r>
          </w:p>
        </w:tc>
        <w:tc>
          <w:tcPr>
            <w:tcW w:w="768" w:type="dxa"/>
            <w:tcBorders>
              <w:top w:val="single" w:sz="12" w:space="0" w:color="auto"/>
              <w:left w:val="nil"/>
              <w:bottom w:val="nil"/>
              <w:right w:val="nil"/>
            </w:tcBorders>
            <w:shd w:val="clear" w:color="auto" w:fill="auto"/>
            <w:noWrap/>
            <w:vAlign w:val="bottom"/>
            <w:hideMark/>
          </w:tcPr>
          <w:p w14:paraId="5AFA9981" w14:textId="78B4C3DF" w:rsidR="00BD229F" w:rsidRDefault="00BD229F" w:rsidP="00BD229F">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ADFDF20" w14:textId="12BB6C22" w:rsidR="00BD229F" w:rsidRDefault="00BD229F" w:rsidP="00BD229F">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597FB2BA" w14:textId="3B3092A1" w:rsidR="00BD229F" w:rsidRDefault="00BD229F" w:rsidP="00BD229F">
            <w:pPr>
              <w:jc w:val="right"/>
              <w:rPr>
                <w:color w:val="000000"/>
                <w:sz w:val="20"/>
                <w:szCs w:val="20"/>
              </w:rPr>
            </w:pPr>
            <w:r>
              <w:rPr>
                <w:color w:val="000000"/>
                <w:sz w:val="20"/>
                <w:szCs w:val="20"/>
              </w:rPr>
              <w:t>0.974</w:t>
            </w:r>
          </w:p>
        </w:tc>
        <w:tc>
          <w:tcPr>
            <w:tcW w:w="768" w:type="dxa"/>
            <w:tcBorders>
              <w:top w:val="single" w:sz="12" w:space="0" w:color="auto"/>
              <w:left w:val="nil"/>
              <w:bottom w:val="nil"/>
              <w:right w:val="nil"/>
            </w:tcBorders>
            <w:shd w:val="clear" w:color="auto" w:fill="auto"/>
            <w:noWrap/>
            <w:vAlign w:val="bottom"/>
            <w:hideMark/>
          </w:tcPr>
          <w:p w14:paraId="12F87D30" w14:textId="37E9F82E" w:rsidR="00BD229F" w:rsidRDefault="00BD229F" w:rsidP="00BD229F">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1E75854" w14:textId="0856A788" w:rsidR="00BD229F" w:rsidRDefault="00BD229F" w:rsidP="00BD229F">
            <w:pPr>
              <w:jc w:val="right"/>
              <w:rPr>
                <w:color w:val="000000"/>
                <w:sz w:val="20"/>
                <w:szCs w:val="20"/>
              </w:rPr>
            </w:pPr>
            <w:r>
              <w:rPr>
                <w:color w:val="000000"/>
                <w:sz w:val="20"/>
                <w:szCs w:val="20"/>
              </w:rPr>
              <w:t>-0.023</w:t>
            </w:r>
          </w:p>
        </w:tc>
        <w:tc>
          <w:tcPr>
            <w:tcW w:w="768" w:type="dxa"/>
            <w:tcBorders>
              <w:top w:val="single" w:sz="12" w:space="0" w:color="auto"/>
              <w:left w:val="nil"/>
              <w:bottom w:val="nil"/>
              <w:right w:val="nil"/>
            </w:tcBorders>
            <w:shd w:val="clear" w:color="auto" w:fill="auto"/>
            <w:noWrap/>
            <w:vAlign w:val="bottom"/>
            <w:hideMark/>
          </w:tcPr>
          <w:p w14:paraId="033469B5" w14:textId="7C45C0DE" w:rsidR="00BD229F" w:rsidRDefault="00BD229F" w:rsidP="00BD229F">
            <w:pPr>
              <w:jc w:val="right"/>
              <w:rPr>
                <w:color w:val="000000"/>
                <w:sz w:val="20"/>
                <w:szCs w:val="20"/>
              </w:rPr>
            </w:pPr>
            <w:r>
              <w:rPr>
                <w:color w:val="000000"/>
                <w:sz w:val="20"/>
                <w:szCs w:val="20"/>
              </w:rPr>
              <w:t>0.760</w:t>
            </w:r>
          </w:p>
        </w:tc>
        <w:tc>
          <w:tcPr>
            <w:tcW w:w="768" w:type="dxa"/>
            <w:tcBorders>
              <w:top w:val="single" w:sz="12" w:space="0" w:color="auto"/>
              <w:left w:val="nil"/>
              <w:bottom w:val="nil"/>
              <w:right w:val="nil"/>
            </w:tcBorders>
            <w:shd w:val="clear" w:color="auto" w:fill="auto"/>
            <w:noWrap/>
            <w:vAlign w:val="bottom"/>
            <w:hideMark/>
          </w:tcPr>
          <w:p w14:paraId="0CC7FA68" w14:textId="28DD44DC" w:rsidR="00BD229F" w:rsidRDefault="00BD229F" w:rsidP="00BD229F">
            <w:pPr>
              <w:jc w:val="right"/>
              <w:rPr>
                <w:color w:val="000000"/>
                <w:sz w:val="20"/>
                <w:szCs w:val="20"/>
              </w:rPr>
            </w:pPr>
            <w:r>
              <w:rPr>
                <w:color w:val="000000"/>
                <w:sz w:val="20"/>
                <w:szCs w:val="20"/>
              </w:rPr>
              <w:t>0.001</w:t>
            </w:r>
          </w:p>
        </w:tc>
      </w:tr>
      <w:tr w:rsidR="00BD229F" w14:paraId="59144A9B" w14:textId="77777777" w:rsidTr="00432B71">
        <w:trPr>
          <w:trHeight w:val="317"/>
        </w:trPr>
        <w:tc>
          <w:tcPr>
            <w:tcW w:w="1176" w:type="dxa"/>
            <w:tcBorders>
              <w:top w:val="nil"/>
              <w:left w:val="nil"/>
              <w:bottom w:val="nil"/>
              <w:right w:val="nil"/>
            </w:tcBorders>
            <w:shd w:val="clear" w:color="auto" w:fill="auto"/>
            <w:noWrap/>
            <w:vAlign w:val="bottom"/>
            <w:hideMark/>
          </w:tcPr>
          <w:p w14:paraId="5A191805"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FBB5EFF" w14:textId="77777777" w:rsidR="00BD229F" w:rsidRDefault="00BD229F" w:rsidP="00BD229F">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23814AF" w14:textId="731CCE85" w:rsidR="00BD229F" w:rsidRDefault="00BD229F" w:rsidP="00BD229F">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C7E5251" w14:textId="2FDA22C1" w:rsidR="00BD229F" w:rsidRDefault="00BD229F" w:rsidP="00BD229F">
            <w:pPr>
              <w:jc w:val="right"/>
              <w:rPr>
                <w:color w:val="000000"/>
                <w:sz w:val="20"/>
                <w:szCs w:val="20"/>
              </w:rPr>
            </w:pPr>
            <w:r>
              <w:rPr>
                <w:color w:val="000000"/>
                <w:sz w:val="20"/>
                <w:szCs w:val="20"/>
              </w:rPr>
              <w:t>0.635</w:t>
            </w:r>
          </w:p>
        </w:tc>
        <w:tc>
          <w:tcPr>
            <w:tcW w:w="768" w:type="dxa"/>
            <w:tcBorders>
              <w:top w:val="nil"/>
              <w:left w:val="nil"/>
              <w:bottom w:val="nil"/>
              <w:right w:val="nil"/>
            </w:tcBorders>
            <w:shd w:val="clear" w:color="auto" w:fill="auto"/>
            <w:noWrap/>
            <w:vAlign w:val="bottom"/>
            <w:hideMark/>
          </w:tcPr>
          <w:p w14:paraId="7528D7F9" w14:textId="250C6712"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F25089" w14:textId="50B6B671" w:rsidR="00BD229F" w:rsidRDefault="00BD229F" w:rsidP="00BD229F">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7D0872F4" w14:textId="71EA8350" w:rsidR="00BD229F" w:rsidRDefault="00BD229F" w:rsidP="00BD229F">
            <w:pPr>
              <w:jc w:val="right"/>
              <w:rPr>
                <w:color w:val="000000"/>
                <w:sz w:val="20"/>
                <w:szCs w:val="20"/>
              </w:rPr>
            </w:pPr>
            <w:r>
              <w:rPr>
                <w:color w:val="000000"/>
                <w:sz w:val="20"/>
                <w:szCs w:val="20"/>
              </w:rPr>
              <w:t>0.756</w:t>
            </w:r>
          </w:p>
        </w:tc>
        <w:tc>
          <w:tcPr>
            <w:tcW w:w="768" w:type="dxa"/>
            <w:tcBorders>
              <w:top w:val="nil"/>
              <w:left w:val="nil"/>
              <w:bottom w:val="nil"/>
              <w:right w:val="nil"/>
            </w:tcBorders>
            <w:shd w:val="clear" w:color="auto" w:fill="auto"/>
            <w:noWrap/>
            <w:vAlign w:val="bottom"/>
            <w:hideMark/>
          </w:tcPr>
          <w:p w14:paraId="482EFD04" w14:textId="7657CB7D"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DAD5E64" w14:textId="5B2F56E2" w:rsidR="00BD229F" w:rsidRDefault="00BD229F" w:rsidP="00BD229F">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F0AF74D" w14:textId="20F2F998" w:rsidR="00BD229F" w:rsidRDefault="00BD229F" w:rsidP="00BD229F">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32BDF7B3" w14:textId="43D824CB"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D466BE" w14:textId="16E65DBF" w:rsidR="00BD229F" w:rsidRDefault="00BD229F" w:rsidP="00BD229F">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3B766343" w14:textId="1014EEB9" w:rsidR="00BD229F" w:rsidRDefault="00BD229F" w:rsidP="00BD229F">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47CACBD2" w14:textId="1E8D4A8D"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F9FFE5" w14:textId="00BC88B5" w:rsidR="00BD229F" w:rsidRDefault="00BD229F" w:rsidP="00BD229F">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16DACE68" w14:textId="20959DDB" w:rsidR="00BD229F" w:rsidRDefault="00BD229F" w:rsidP="00BD229F">
            <w:pPr>
              <w:jc w:val="right"/>
              <w:rPr>
                <w:color w:val="000000"/>
                <w:sz w:val="20"/>
                <w:szCs w:val="20"/>
              </w:rPr>
            </w:pPr>
            <w:r>
              <w:rPr>
                <w:color w:val="000000"/>
                <w:sz w:val="20"/>
                <w:szCs w:val="20"/>
              </w:rPr>
              <w:t>0.363</w:t>
            </w:r>
          </w:p>
        </w:tc>
        <w:tc>
          <w:tcPr>
            <w:tcW w:w="768" w:type="dxa"/>
            <w:tcBorders>
              <w:top w:val="nil"/>
              <w:left w:val="nil"/>
              <w:bottom w:val="nil"/>
              <w:right w:val="nil"/>
            </w:tcBorders>
            <w:shd w:val="clear" w:color="auto" w:fill="auto"/>
            <w:noWrap/>
            <w:vAlign w:val="bottom"/>
            <w:hideMark/>
          </w:tcPr>
          <w:p w14:paraId="632D39EE" w14:textId="6C79E120" w:rsidR="00BD229F" w:rsidRDefault="00BD229F" w:rsidP="00BD229F">
            <w:pPr>
              <w:jc w:val="right"/>
              <w:rPr>
                <w:color w:val="000000"/>
                <w:sz w:val="20"/>
                <w:szCs w:val="20"/>
              </w:rPr>
            </w:pPr>
            <w:r>
              <w:rPr>
                <w:color w:val="000000"/>
                <w:sz w:val="20"/>
                <w:szCs w:val="20"/>
              </w:rPr>
              <w:t>0.005</w:t>
            </w:r>
          </w:p>
        </w:tc>
      </w:tr>
      <w:tr w:rsidR="00BD229F" w14:paraId="35DF94B9" w14:textId="77777777" w:rsidTr="00432B71">
        <w:trPr>
          <w:trHeight w:val="317"/>
        </w:trPr>
        <w:tc>
          <w:tcPr>
            <w:tcW w:w="1176" w:type="dxa"/>
            <w:tcBorders>
              <w:top w:val="nil"/>
              <w:left w:val="nil"/>
              <w:bottom w:val="nil"/>
              <w:right w:val="nil"/>
            </w:tcBorders>
            <w:shd w:val="clear" w:color="auto" w:fill="auto"/>
            <w:noWrap/>
            <w:vAlign w:val="bottom"/>
            <w:hideMark/>
          </w:tcPr>
          <w:p w14:paraId="7A7F12C4"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7FFF012" w14:textId="77777777" w:rsidR="00BD229F" w:rsidRDefault="00BD229F" w:rsidP="00BD229F">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0A9E0F2" w14:textId="18101BBC" w:rsidR="00BD229F" w:rsidRDefault="00BD229F" w:rsidP="00BD229F">
            <w:pPr>
              <w:jc w:val="right"/>
              <w:rPr>
                <w:color w:val="000000"/>
                <w:sz w:val="20"/>
                <w:szCs w:val="20"/>
              </w:rPr>
            </w:pPr>
            <w:r>
              <w:rPr>
                <w:color w:val="000000"/>
                <w:sz w:val="20"/>
                <w:szCs w:val="20"/>
              </w:rPr>
              <w:t>-0.126</w:t>
            </w:r>
          </w:p>
        </w:tc>
        <w:tc>
          <w:tcPr>
            <w:tcW w:w="768" w:type="dxa"/>
            <w:tcBorders>
              <w:top w:val="nil"/>
              <w:left w:val="nil"/>
              <w:bottom w:val="nil"/>
              <w:right w:val="nil"/>
            </w:tcBorders>
            <w:shd w:val="clear" w:color="auto" w:fill="auto"/>
            <w:noWrap/>
            <w:vAlign w:val="bottom"/>
            <w:hideMark/>
          </w:tcPr>
          <w:p w14:paraId="002767E1" w14:textId="7907C435" w:rsidR="00BD229F" w:rsidRDefault="00BD229F" w:rsidP="00BD229F">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02C8CC8D" w14:textId="0D7A9D9A" w:rsidR="00BD229F" w:rsidRDefault="00BD229F" w:rsidP="00BD229F">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C5BFE56" w14:textId="0328442E" w:rsidR="00BD229F" w:rsidRDefault="00BD229F" w:rsidP="00BD229F">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20390B8A" w14:textId="4A8AFF80" w:rsidR="00BD229F" w:rsidRDefault="00BD229F" w:rsidP="00BD229F">
            <w:pPr>
              <w:jc w:val="right"/>
              <w:rPr>
                <w:color w:val="000000"/>
                <w:sz w:val="20"/>
                <w:szCs w:val="20"/>
              </w:rPr>
            </w:pPr>
            <w:r>
              <w:rPr>
                <w:color w:val="000000"/>
                <w:sz w:val="20"/>
                <w:szCs w:val="20"/>
              </w:rPr>
              <w:t>0.756</w:t>
            </w:r>
          </w:p>
        </w:tc>
        <w:tc>
          <w:tcPr>
            <w:tcW w:w="768" w:type="dxa"/>
            <w:tcBorders>
              <w:top w:val="nil"/>
              <w:left w:val="nil"/>
              <w:bottom w:val="nil"/>
              <w:right w:val="nil"/>
            </w:tcBorders>
            <w:shd w:val="clear" w:color="auto" w:fill="auto"/>
            <w:noWrap/>
            <w:vAlign w:val="bottom"/>
            <w:hideMark/>
          </w:tcPr>
          <w:p w14:paraId="477C6CBF" w14:textId="1CCDC03B"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B64BD65" w14:textId="686322F8" w:rsidR="00BD229F" w:rsidRDefault="00BD229F" w:rsidP="00BD229F">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2C295A6" w14:textId="71A872D9" w:rsidR="00BD229F" w:rsidRDefault="00BD229F" w:rsidP="00BD229F">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6DF3BF7E" w14:textId="63650227"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063BD6" w14:textId="558A522D" w:rsidR="00BD229F" w:rsidRDefault="00BD229F" w:rsidP="00BD229F">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79324C57" w14:textId="533C56B3" w:rsidR="00BD229F" w:rsidRDefault="00BD229F" w:rsidP="00BD229F">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19A7B060" w14:textId="6C78B2C2"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12615A3" w14:textId="48A8BAA8" w:rsidR="00BD229F" w:rsidRDefault="00BD229F" w:rsidP="00BD229F">
            <w:pPr>
              <w:jc w:val="right"/>
              <w:rPr>
                <w:color w:val="000000"/>
                <w:sz w:val="20"/>
                <w:szCs w:val="20"/>
              </w:rPr>
            </w:pPr>
            <w:r>
              <w:rPr>
                <w:color w:val="000000"/>
                <w:sz w:val="20"/>
                <w:szCs w:val="20"/>
              </w:rPr>
              <w:t>-0.175</w:t>
            </w:r>
          </w:p>
        </w:tc>
        <w:tc>
          <w:tcPr>
            <w:tcW w:w="768" w:type="dxa"/>
            <w:tcBorders>
              <w:top w:val="nil"/>
              <w:left w:val="nil"/>
              <w:bottom w:val="nil"/>
              <w:right w:val="nil"/>
            </w:tcBorders>
            <w:shd w:val="clear" w:color="auto" w:fill="auto"/>
            <w:noWrap/>
            <w:vAlign w:val="bottom"/>
            <w:hideMark/>
          </w:tcPr>
          <w:p w14:paraId="3D18E1FC" w14:textId="7EE2895F" w:rsidR="00BD229F" w:rsidRDefault="00BD229F" w:rsidP="00BD229F">
            <w:pPr>
              <w:jc w:val="right"/>
              <w:rPr>
                <w:color w:val="000000"/>
                <w:sz w:val="20"/>
                <w:szCs w:val="20"/>
              </w:rPr>
            </w:pPr>
            <w:r>
              <w:rPr>
                <w:color w:val="000000"/>
                <w:sz w:val="20"/>
                <w:szCs w:val="20"/>
              </w:rPr>
              <w:t>0.363</w:t>
            </w:r>
          </w:p>
        </w:tc>
        <w:tc>
          <w:tcPr>
            <w:tcW w:w="768" w:type="dxa"/>
            <w:tcBorders>
              <w:top w:val="nil"/>
              <w:left w:val="nil"/>
              <w:bottom w:val="nil"/>
              <w:right w:val="nil"/>
            </w:tcBorders>
            <w:shd w:val="clear" w:color="auto" w:fill="auto"/>
            <w:noWrap/>
            <w:vAlign w:val="bottom"/>
            <w:hideMark/>
          </w:tcPr>
          <w:p w14:paraId="7EA25D3B" w14:textId="15FA4F97" w:rsidR="00BD229F" w:rsidRDefault="00BD229F" w:rsidP="00BD229F">
            <w:pPr>
              <w:jc w:val="right"/>
              <w:rPr>
                <w:color w:val="000000"/>
                <w:sz w:val="20"/>
                <w:szCs w:val="20"/>
              </w:rPr>
            </w:pPr>
            <w:r>
              <w:rPr>
                <w:color w:val="000000"/>
                <w:sz w:val="20"/>
                <w:szCs w:val="20"/>
              </w:rPr>
              <w:t>0.031</w:t>
            </w:r>
          </w:p>
        </w:tc>
      </w:tr>
      <w:tr w:rsidR="00BD229F" w14:paraId="7000E79F" w14:textId="77777777" w:rsidTr="00432B71">
        <w:trPr>
          <w:trHeight w:val="317"/>
        </w:trPr>
        <w:tc>
          <w:tcPr>
            <w:tcW w:w="1176" w:type="dxa"/>
            <w:tcBorders>
              <w:top w:val="nil"/>
              <w:left w:val="nil"/>
              <w:bottom w:val="nil"/>
              <w:right w:val="nil"/>
            </w:tcBorders>
            <w:shd w:val="clear" w:color="auto" w:fill="auto"/>
            <w:noWrap/>
            <w:vAlign w:val="bottom"/>
            <w:hideMark/>
          </w:tcPr>
          <w:p w14:paraId="5D595373"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E33F3D" w14:textId="77777777" w:rsidR="00BD229F" w:rsidRDefault="00BD229F" w:rsidP="00BD229F">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6FDE68C" w14:textId="3724D851" w:rsidR="00BD229F" w:rsidRDefault="00BD229F" w:rsidP="00BD229F">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2582451B" w14:textId="4C8F4C5F" w:rsidR="00BD229F" w:rsidRDefault="00BD229F" w:rsidP="00BD229F">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11A1D1C9" w14:textId="151055A7" w:rsidR="00BD229F" w:rsidRDefault="00BD229F" w:rsidP="00BD229F">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7F9CF9C" w14:textId="192C9B9E" w:rsidR="00BD229F" w:rsidRDefault="00BD229F" w:rsidP="00BD229F">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59E4102" w14:textId="3927A75C" w:rsidR="00BD229F" w:rsidRDefault="00BD229F" w:rsidP="00BD229F">
            <w:pPr>
              <w:jc w:val="right"/>
              <w:rPr>
                <w:color w:val="000000"/>
                <w:sz w:val="20"/>
                <w:szCs w:val="20"/>
              </w:rPr>
            </w:pPr>
            <w:r>
              <w:rPr>
                <w:color w:val="000000"/>
                <w:sz w:val="20"/>
                <w:szCs w:val="20"/>
              </w:rPr>
              <w:t>0.756</w:t>
            </w:r>
          </w:p>
        </w:tc>
        <w:tc>
          <w:tcPr>
            <w:tcW w:w="768" w:type="dxa"/>
            <w:tcBorders>
              <w:top w:val="nil"/>
              <w:left w:val="nil"/>
              <w:bottom w:val="nil"/>
              <w:right w:val="nil"/>
            </w:tcBorders>
            <w:shd w:val="clear" w:color="auto" w:fill="auto"/>
            <w:noWrap/>
            <w:vAlign w:val="bottom"/>
            <w:hideMark/>
          </w:tcPr>
          <w:p w14:paraId="73309914" w14:textId="2896C42D"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6D8CAD" w14:textId="3FEDA09B" w:rsidR="00BD229F" w:rsidRDefault="00BD229F" w:rsidP="00BD229F">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47BA9ECA" w14:textId="51C19405" w:rsidR="00BD229F" w:rsidRDefault="00BD229F" w:rsidP="00BD229F">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5D6A9255" w14:textId="7D668CAC" w:rsidR="00BD229F" w:rsidRDefault="00BD229F" w:rsidP="00BD229F">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C7CB6BF" w14:textId="55D7CA69" w:rsidR="00BD229F" w:rsidRDefault="00BD229F" w:rsidP="00BD229F">
            <w:pPr>
              <w:jc w:val="right"/>
              <w:rPr>
                <w:b/>
                <w:bCs/>
                <w:color w:val="000000"/>
                <w:sz w:val="20"/>
                <w:szCs w:val="20"/>
              </w:rPr>
            </w:pPr>
            <w:r>
              <w:rPr>
                <w:b/>
                <w:bCs/>
                <w:color w:val="000000"/>
                <w:sz w:val="20"/>
                <w:szCs w:val="20"/>
              </w:rPr>
              <w:t>-0.255</w:t>
            </w:r>
          </w:p>
        </w:tc>
        <w:tc>
          <w:tcPr>
            <w:tcW w:w="768" w:type="dxa"/>
            <w:tcBorders>
              <w:top w:val="nil"/>
              <w:left w:val="nil"/>
              <w:bottom w:val="nil"/>
              <w:right w:val="nil"/>
            </w:tcBorders>
            <w:shd w:val="clear" w:color="auto" w:fill="auto"/>
            <w:noWrap/>
            <w:vAlign w:val="bottom"/>
            <w:hideMark/>
          </w:tcPr>
          <w:p w14:paraId="377B9E7F" w14:textId="1E2B7CC4" w:rsidR="00BD229F" w:rsidRDefault="00BD229F" w:rsidP="00BD229F">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1C7C3133" w14:textId="09248FDB" w:rsidR="00BD229F" w:rsidRDefault="00BD229F" w:rsidP="00BD229F">
            <w:pPr>
              <w:jc w:val="right"/>
              <w:rPr>
                <w:color w:val="000000"/>
                <w:sz w:val="20"/>
                <w:szCs w:val="20"/>
              </w:rPr>
            </w:pPr>
            <w:r>
              <w:rPr>
                <w:b/>
                <w:bCs/>
                <w:color w:val="000000"/>
                <w:sz w:val="20"/>
                <w:szCs w:val="20"/>
              </w:rPr>
              <w:t>0.065</w:t>
            </w:r>
          </w:p>
        </w:tc>
        <w:tc>
          <w:tcPr>
            <w:tcW w:w="768" w:type="dxa"/>
            <w:tcBorders>
              <w:top w:val="nil"/>
              <w:left w:val="nil"/>
              <w:bottom w:val="nil"/>
              <w:right w:val="nil"/>
            </w:tcBorders>
            <w:shd w:val="clear" w:color="auto" w:fill="auto"/>
            <w:noWrap/>
            <w:vAlign w:val="bottom"/>
            <w:hideMark/>
          </w:tcPr>
          <w:p w14:paraId="63783ACE" w14:textId="1BB33F61" w:rsidR="00BD229F" w:rsidRDefault="00BD229F" w:rsidP="00BD229F">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1674E367" w14:textId="17C6C38A" w:rsidR="00BD229F" w:rsidRDefault="00BD229F" w:rsidP="00BD229F">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1D44B5D8" w14:textId="52EC909B" w:rsidR="00BD229F" w:rsidRDefault="00BD229F" w:rsidP="00BD229F">
            <w:pPr>
              <w:jc w:val="right"/>
              <w:rPr>
                <w:color w:val="000000"/>
                <w:sz w:val="20"/>
                <w:szCs w:val="20"/>
              </w:rPr>
            </w:pPr>
            <w:r>
              <w:rPr>
                <w:color w:val="000000"/>
                <w:sz w:val="20"/>
                <w:szCs w:val="20"/>
              </w:rPr>
              <w:t>0.003</w:t>
            </w:r>
          </w:p>
        </w:tc>
      </w:tr>
      <w:tr w:rsidR="00BD229F" w14:paraId="600DC40F" w14:textId="77777777" w:rsidTr="00432B71">
        <w:trPr>
          <w:trHeight w:val="317"/>
        </w:trPr>
        <w:tc>
          <w:tcPr>
            <w:tcW w:w="1176" w:type="dxa"/>
            <w:tcBorders>
              <w:top w:val="nil"/>
              <w:left w:val="nil"/>
              <w:bottom w:val="nil"/>
              <w:right w:val="nil"/>
            </w:tcBorders>
            <w:shd w:val="clear" w:color="auto" w:fill="auto"/>
            <w:noWrap/>
            <w:vAlign w:val="bottom"/>
            <w:hideMark/>
          </w:tcPr>
          <w:p w14:paraId="6DC2BBE4"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2AF00DA" w14:textId="77777777" w:rsidR="00BD229F" w:rsidRDefault="00BD229F" w:rsidP="00BD229F">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EC0A21B" w14:textId="07B68F00" w:rsidR="00BD229F" w:rsidRDefault="00BD229F" w:rsidP="00BD229F">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6F17C9C3" w14:textId="5A50EFCF" w:rsidR="00BD229F" w:rsidRDefault="00BD229F" w:rsidP="00BD229F">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7EA423AA" w14:textId="77846D5C"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F92B43" w14:textId="5DA3D4CD" w:rsidR="00BD229F" w:rsidRDefault="00BD229F" w:rsidP="00BD229F">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6FDA8F1" w14:textId="16AFED62" w:rsidR="00BD229F" w:rsidRDefault="00BD229F" w:rsidP="00BD229F">
            <w:pPr>
              <w:jc w:val="right"/>
              <w:rPr>
                <w:color w:val="000000"/>
                <w:sz w:val="20"/>
                <w:szCs w:val="20"/>
              </w:rPr>
            </w:pPr>
            <w:r>
              <w:rPr>
                <w:color w:val="000000"/>
                <w:sz w:val="20"/>
                <w:szCs w:val="20"/>
              </w:rPr>
              <w:t>0.756</w:t>
            </w:r>
          </w:p>
        </w:tc>
        <w:tc>
          <w:tcPr>
            <w:tcW w:w="768" w:type="dxa"/>
            <w:tcBorders>
              <w:top w:val="nil"/>
              <w:left w:val="nil"/>
              <w:bottom w:val="nil"/>
              <w:right w:val="nil"/>
            </w:tcBorders>
            <w:shd w:val="clear" w:color="auto" w:fill="auto"/>
            <w:noWrap/>
            <w:vAlign w:val="bottom"/>
            <w:hideMark/>
          </w:tcPr>
          <w:p w14:paraId="2C470C47" w14:textId="0CD6FA06"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CAEDAC2" w14:textId="4511DEBD"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B0B0B96" w14:textId="22AA1443" w:rsidR="00BD229F" w:rsidRDefault="00BD229F" w:rsidP="00BD229F">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11C83B6F" w14:textId="08E6E84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9CBECE" w14:textId="0824328C" w:rsidR="00BD229F" w:rsidRDefault="00BD229F" w:rsidP="00BD229F">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1D50C87E" w14:textId="626AE24F" w:rsidR="00BD229F" w:rsidRDefault="00BD229F" w:rsidP="00BD229F">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3F285394" w14:textId="6B0755E8" w:rsidR="00BD229F" w:rsidRDefault="00BD229F" w:rsidP="00BD229F">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91B2B63" w14:textId="6AEFD306" w:rsidR="00BD229F" w:rsidRDefault="00BD229F" w:rsidP="00BD229F">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25C278A" w14:textId="6DBF440B" w:rsidR="00BD229F" w:rsidRDefault="00BD229F" w:rsidP="00BD229F">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5465CA46" w14:textId="369C5D2C" w:rsidR="00BD229F" w:rsidRDefault="00BD229F" w:rsidP="00BD229F">
            <w:pPr>
              <w:jc w:val="right"/>
              <w:rPr>
                <w:color w:val="000000"/>
                <w:sz w:val="20"/>
                <w:szCs w:val="20"/>
              </w:rPr>
            </w:pPr>
            <w:r>
              <w:rPr>
                <w:color w:val="000000"/>
                <w:sz w:val="20"/>
                <w:szCs w:val="20"/>
              </w:rPr>
              <w:t>0.000</w:t>
            </w:r>
          </w:p>
        </w:tc>
      </w:tr>
      <w:tr w:rsidR="00BD229F" w14:paraId="35EDFB46" w14:textId="77777777" w:rsidTr="00432B71">
        <w:trPr>
          <w:trHeight w:val="317"/>
        </w:trPr>
        <w:tc>
          <w:tcPr>
            <w:tcW w:w="1176" w:type="dxa"/>
            <w:tcBorders>
              <w:top w:val="nil"/>
              <w:left w:val="nil"/>
              <w:bottom w:val="nil"/>
              <w:right w:val="nil"/>
            </w:tcBorders>
            <w:shd w:val="clear" w:color="auto" w:fill="auto"/>
            <w:noWrap/>
            <w:vAlign w:val="bottom"/>
            <w:hideMark/>
          </w:tcPr>
          <w:p w14:paraId="0B274B1E"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D79854D" w14:textId="77777777" w:rsidR="00BD229F" w:rsidRDefault="00BD229F" w:rsidP="00BD229F">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9FBDF26" w14:textId="066839BC" w:rsidR="00BD229F" w:rsidRDefault="00BD229F" w:rsidP="00BD229F">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0EAC782B" w14:textId="0D828506" w:rsidR="00BD229F" w:rsidRDefault="00BD229F" w:rsidP="00BD229F">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098AC86A" w14:textId="27E51048"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C37463A" w14:textId="50E1DAA2" w:rsidR="00BD229F" w:rsidRDefault="00BD229F" w:rsidP="00BD229F">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F8DEFFE" w14:textId="5F84C3A7" w:rsidR="00BD229F" w:rsidRDefault="00BD229F" w:rsidP="00BD229F">
            <w:pPr>
              <w:jc w:val="right"/>
              <w:rPr>
                <w:color w:val="000000"/>
                <w:sz w:val="20"/>
                <w:szCs w:val="20"/>
              </w:rPr>
            </w:pPr>
            <w:r>
              <w:rPr>
                <w:color w:val="000000"/>
                <w:sz w:val="20"/>
                <w:szCs w:val="20"/>
              </w:rPr>
              <w:t>0.756</w:t>
            </w:r>
          </w:p>
        </w:tc>
        <w:tc>
          <w:tcPr>
            <w:tcW w:w="768" w:type="dxa"/>
            <w:tcBorders>
              <w:top w:val="nil"/>
              <w:left w:val="nil"/>
              <w:bottom w:val="nil"/>
              <w:right w:val="nil"/>
            </w:tcBorders>
            <w:shd w:val="clear" w:color="auto" w:fill="auto"/>
            <w:noWrap/>
            <w:vAlign w:val="bottom"/>
            <w:hideMark/>
          </w:tcPr>
          <w:p w14:paraId="633CC3B4" w14:textId="198D0E6D"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2CC7D4" w14:textId="68083016" w:rsidR="00BD229F" w:rsidRDefault="00BD229F" w:rsidP="00BD229F">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9FAD806" w14:textId="6131C95B" w:rsidR="00BD229F" w:rsidRDefault="00BD229F" w:rsidP="00BD229F">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173E2703" w14:textId="6F4CB133"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6B66D8" w14:textId="1293E84E" w:rsidR="00BD229F" w:rsidRDefault="00BD229F" w:rsidP="00BD229F">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155549F" w14:textId="732B9055" w:rsidR="00BD229F" w:rsidRDefault="00BD229F" w:rsidP="00BD229F">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619C1DAB" w14:textId="4C96E964"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D2B1505" w14:textId="7B9539D9" w:rsidR="00BD229F" w:rsidRDefault="00BD229F" w:rsidP="00BD229F">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8D229DF" w14:textId="74C571E9" w:rsidR="00BD229F" w:rsidRDefault="00BD229F" w:rsidP="00BD229F">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719D2DAB" w14:textId="58BBC90F" w:rsidR="00BD229F" w:rsidRDefault="00BD229F" w:rsidP="00BD229F">
            <w:pPr>
              <w:jc w:val="right"/>
              <w:rPr>
                <w:color w:val="000000"/>
                <w:sz w:val="20"/>
                <w:szCs w:val="20"/>
              </w:rPr>
            </w:pPr>
            <w:r>
              <w:rPr>
                <w:color w:val="000000"/>
                <w:sz w:val="20"/>
                <w:szCs w:val="20"/>
              </w:rPr>
              <w:t>0.001</w:t>
            </w:r>
          </w:p>
        </w:tc>
      </w:tr>
      <w:tr w:rsidR="00BD229F" w14:paraId="3BA5D86C" w14:textId="77777777" w:rsidTr="00432B71">
        <w:trPr>
          <w:trHeight w:val="317"/>
        </w:trPr>
        <w:tc>
          <w:tcPr>
            <w:tcW w:w="1176" w:type="dxa"/>
            <w:tcBorders>
              <w:top w:val="nil"/>
              <w:left w:val="nil"/>
              <w:bottom w:val="nil"/>
              <w:right w:val="nil"/>
            </w:tcBorders>
            <w:shd w:val="clear" w:color="auto" w:fill="auto"/>
            <w:noWrap/>
            <w:vAlign w:val="bottom"/>
            <w:hideMark/>
          </w:tcPr>
          <w:p w14:paraId="05CD738A"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D63712" w14:textId="77777777" w:rsidR="00BD229F" w:rsidRDefault="00BD229F" w:rsidP="00BD229F">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60B8161" w14:textId="77B1B9EA" w:rsidR="00BD229F" w:rsidRDefault="00BD229F" w:rsidP="00BD229F">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326F7042" w14:textId="56BA2592" w:rsidR="00BD229F" w:rsidRDefault="00BD229F" w:rsidP="00BD229F">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78325DED" w14:textId="4072964E"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F4A5804" w14:textId="33E4BB62" w:rsidR="00BD229F" w:rsidRDefault="00BD229F" w:rsidP="00BD229F">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221F624E" w14:textId="2AD86735" w:rsidR="00BD229F" w:rsidRDefault="00BD229F" w:rsidP="00BD229F">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290AFD70" w14:textId="48D0C719"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5A986E2" w14:textId="2E202C19" w:rsidR="00BD229F" w:rsidRDefault="00BD229F" w:rsidP="00BD229F">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73A853BB" w14:textId="30E2464A" w:rsidR="00BD229F" w:rsidRDefault="00BD229F" w:rsidP="00BD229F">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1BA11FA7" w14:textId="27EEC69C"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F4800BE" w14:textId="2F06BAE4" w:rsidR="00BD229F" w:rsidRDefault="00BD229F" w:rsidP="00BD229F">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8513FE8" w14:textId="1E813A66" w:rsidR="00BD229F" w:rsidRDefault="00BD229F" w:rsidP="00BD229F">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400D7AAD" w14:textId="41911450"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281F0E" w14:textId="269196FD" w:rsidR="00BD229F" w:rsidRDefault="00BD229F" w:rsidP="00BD229F">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7E3C3E9D" w14:textId="2EE1EABD" w:rsidR="00BD229F" w:rsidRDefault="00BD229F" w:rsidP="00BD229F">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683B07C4" w14:textId="455AEF30" w:rsidR="00BD229F" w:rsidRDefault="00BD229F" w:rsidP="00BD229F">
            <w:pPr>
              <w:jc w:val="right"/>
              <w:rPr>
                <w:color w:val="000000"/>
                <w:sz w:val="20"/>
                <w:szCs w:val="20"/>
              </w:rPr>
            </w:pPr>
            <w:r>
              <w:rPr>
                <w:color w:val="000000"/>
                <w:sz w:val="20"/>
                <w:szCs w:val="20"/>
              </w:rPr>
              <w:t>0.008</w:t>
            </w:r>
          </w:p>
        </w:tc>
      </w:tr>
      <w:tr w:rsidR="00BD229F" w14:paraId="4C340346" w14:textId="77777777" w:rsidTr="00432B71">
        <w:trPr>
          <w:trHeight w:val="317"/>
        </w:trPr>
        <w:tc>
          <w:tcPr>
            <w:tcW w:w="1176" w:type="dxa"/>
            <w:tcBorders>
              <w:top w:val="nil"/>
              <w:left w:val="nil"/>
              <w:bottom w:val="single" w:sz="4" w:space="0" w:color="auto"/>
              <w:right w:val="nil"/>
            </w:tcBorders>
            <w:shd w:val="clear" w:color="auto" w:fill="auto"/>
            <w:noWrap/>
            <w:vAlign w:val="bottom"/>
            <w:hideMark/>
          </w:tcPr>
          <w:p w14:paraId="646C887D" w14:textId="77777777" w:rsidR="00BD229F" w:rsidRDefault="00BD229F" w:rsidP="00BD229F">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2BD1AC6" w14:textId="77777777" w:rsidR="00BD229F" w:rsidRDefault="00BD229F" w:rsidP="00BD229F">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BB8DEF8" w14:textId="53EE0F0C" w:rsidR="00BD229F" w:rsidRDefault="00BD229F" w:rsidP="00BD229F">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1E4E9D0C" w14:textId="77EA1E73" w:rsidR="00BD229F" w:rsidRDefault="00BD229F" w:rsidP="00BD229F">
            <w:pPr>
              <w:jc w:val="right"/>
              <w:rPr>
                <w:color w:val="000000"/>
                <w:sz w:val="20"/>
                <w:szCs w:val="20"/>
              </w:rPr>
            </w:pPr>
            <w:r>
              <w:rPr>
                <w:color w:val="000000"/>
                <w:sz w:val="20"/>
                <w:szCs w:val="20"/>
              </w:rPr>
              <w:t>0.709</w:t>
            </w:r>
          </w:p>
        </w:tc>
        <w:tc>
          <w:tcPr>
            <w:tcW w:w="768" w:type="dxa"/>
            <w:tcBorders>
              <w:top w:val="nil"/>
              <w:left w:val="nil"/>
              <w:bottom w:val="single" w:sz="4" w:space="0" w:color="auto"/>
              <w:right w:val="nil"/>
            </w:tcBorders>
            <w:shd w:val="clear" w:color="auto" w:fill="auto"/>
            <w:noWrap/>
            <w:vAlign w:val="bottom"/>
            <w:hideMark/>
          </w:tcPr>
          <w:p w14:paraId="48EB9DBD" w14:textId="51DEF7D4"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20F4756" w14:textId="4792749C" w:rsidR="00BD229F" w:rsidRDefault="00BD229F" w:rsidP="00BD229F">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6F306264" w14:textId="356F9A4C" w:rsidR="00BD229F" w:rsidRDefault="00BD229F" w:rsidP="00BD229F">
            <w:pPr>
              <w:jc w:val="right"/>
              <w:rPr>
                <w:color w:val="000000"/>
                <w:sz w:val="20"/>
                <w:szCs w:val="20"/>
              </w:rPr>
            </w:pPr>
            <w:r>
              <w:rPr>
                <w:color w:val="000000"/>
                <w:sz w:val="20"/>
                <w:szCs w:val="20"/>
              </w:rPr>
              <w:t>0.756</w:t>
            </w:r>
          </w:p>
        </w:tc>
        <w:tc>
          <w:tcPr>
            <w:tcW w:w="768" w:type="dxa"/>
            <w:tcBorders>
              <w:top w:val="nil"/>
              <w:left w:val="nil"/>
              <w:bottom w:val="single" w:sz="4" w:space="0" w:color="auto"/>
              <w:right w:val="nil"/>
            </w:tcBorders>
            <w:shd w:val="clear" w:color="auto" w:fill="auto"/>
            <w:noWrap/>
            <w:vAlign w:val="bottom"/>
            <w:hideMark/>
          </w:tcPr>
          <w:p w14:paraId="2E3B805A" w14:textId="4A6BEA89"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BB7D76F" w14:textId="1D439108" w:rsidR="00BD229F" w:rsidRDefault="00BD229F" w:rsidP="00BD229F">
            <w:pPr>
              <w:jc w:val="right"/>
              <w:rPr>
                <w:color w:val="000000"/>
                <w:sz w:val="20"/>
                <w:szCs w:val="20"/>
              </w:rPr>
            </w:pPr>
            <w:r>
              <w:rPr>
                <w:color w:val="000000"/>
                <w:sz w:val="20"/>
                <w:szCs w:val="20"/>
              </w:rPr>
              <w:t>-0.050</w:t>
            </w:r>
          </w:p>
        </w:tc>
        <w:tc>
          <w:tcPr>
            <w:tcW w:w="768" w:type="dxa"/>
            <w:tcBorders>
              <w:top w:val="nil"/>
              <w:left w:val="nil"/>
              <w:bottom w:val="single" w:sz="4" w:space="0" w:color="auto"/>
              <w:right w:val="nil"/>
            </w:tcBorders>
            <w:shd w:val="clear" w:color="auto" w:fill="auto"/>
            <w:noWrap/>
            <w:vAlign w:val="bottom"/>
            <w:hideMark/>
          </w:tcPr>
          <w:p w14:paraId="16D095E4" w14:textId="0EF4F3C5" w:rsidR="00BD229F" w:rsidRDefault="00BD229F" w:rsidP="00BD229F">
            <w:pPr>
              <w:jc w:val="right"/>
              <w:rPr>
                <w:color w:val="000000"/>
                <w:sz w:val="20"/>
                <w:szCs w:val="20"/>
              </w:rPr>
            </w:pPr>
            <w:r>
              <w:rPr>
                <w:color w:val="000000"/>
                <w:sz w:val="20"/>
                <w:szCs w:val="20"/>
              </w:rPr>
              <w:t>0.898</w:t>
            </w:r>
          </w:p>
        </w:tc>
        <w:tc>
          <w:tcPr>
            <w:tcW w:w="768" w:type="dxa"/>
            <w:tcBorders>
              <w:top w:val="nil"/>
              <w:left w:val="nil"/>
              <w:bottom w:val="single" w:sz="4" w:space="0" w:color="auto"/>
              <w:right w:val="nil"/>
            </w:tcBorders>
            <w:shd w:val="clear" w:color="auto" w:fill="auto"/>
            <w:noWrap/>
            <w:vAlign w:val="bottom"/>
            <w:hideMark/>
          </w:tcPr>
          <w:p w14:paraId="5B131A20" w14:textId="22BCDED7"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06DE36B7" w14:textId="7F9D7ABE"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15E5ABFA" w14:textId="1CDEC14D" w:rsidR="00BD229F" w:rsidRDefault="00BD229F" w:rsidP="00BD229F">
            <w:pPr>
              <w:jc w:val="right"/>
              <w:rPr>
                <w:color w:val="000000"/>
                <w:sz w:val="20"/>
                <w:szCs w:val="20"/>
              </w:rPr>
            </w:pPr>
            <w:r>
              <w:rPr>
                <w:color w:val="000000"/>
                <w:sz w:val="20"/>
                <w:szCs w:val="20"/>
              </w:rPr>
              <w:t>0.974</w:t>
            </w:r>
          </w:p>
        </w:tc>
        <w:tc>
          <w:tcPr>
            <w:tcW w:w="768" w:type="dxa"/>
            <w:tcBorders>
              <w:top w:val="nil"/>
              <w:left w:val="nil"/>
              <w:bottom w:val="single" w:sz="4" w:space="0" w:color="auto"/>
              <w:right w:val="nil"/>
            </w:tcBorders>
            <w:shd w:val="clear" w:color="auto" w:fill="auto"/>
            <w:noWrap/>
            <w:vAlign w:val="bottom"/>
            <w:hideMark/>
          </w:tcPr>
          <w:p w14:paraId="270350B7" w14:textId="2E9E2E70"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53C4D7A" w14:textId="0AEE94B3"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357528B9" w14:textId="7A0D3302" w:rsidR="00BD229F" w:rsidRDefault="00BD229F" w:rsidP="00BD229F">
            <w:pPr>
              <w:jc w:val="right"/>
              <w:rPr>
                <w:color w:val="000000"/>
                <w:sz w:val="20"/>
                <w:szCs w:val="20"/>
              </w:rPr>
            </w:pPr>
            <w:r>
              <w:rPr>
                <w:color w:val="000000"/>
                <w:sz w:val="20"/>
                <w:szCs w:val="20"/>
              </w:rPr>
              <w:t>0.892</w:t>
            </w:r>
          </w:p>
        </w:tc>
        <w:tc>
          <w:tcPr>
            <w:tcW w:w="768" w:type="dxa"/>
            <w:tcBorders>
              <w:top w:val="nil"/>
              <w:left w:val="nil"/>
              <w:bottom w:val="single" w:sz="4" w:space="0" w:color="auto"/>
              <w:right w:val="nil"/>
            </w:tcBorders>
            <w:shd w:val="clear" w:color="auto" w:fill="auto"/>
            <w:noWrap/>
            <w:vAlign w:val="bottom"/>
            <w:hideMark/>
          </w:tcPr>
          <w:p w14:paraId="6AA80E28" w14:textId="068AF7A5" w:rsidR="00BD229F" w:rsidRDefault="00BD229F" w:rsidP="00BD229F">
            <w:pPr>
              <w:jc w:val="right"/>
              <w:rPr>
                <w:color w:val="000000"/>
                <w:sz w:val="20"/>
                <w:szCs w:val="20"/>
              </w:rPr>
            </w:pPr>
            <w:r>
              <w:rPr>
                <w:color w:val="000000"/>
                <w:sz w:val="20"/>
                <w:szCs w:val="20"/>
              </w:rPr>
              <w:t>0.000</w:t>
            </w:r>
          </w:p>
        </w:tc>
      </w:tr>
      <w:tr w:rsidR="00BD229F" w14:paraId="54C562EA" w14:textId="77777777" w:rsidTr="00731940">
        <w:trPr>
          <w:trHeight w:val="260"/>
        </w:trPr>
        <w:tc>
          <w:tcPr>
            <w:tcW w:w="1176" w:type="dxa"/>
            <w:tcBorders>
              <w:top w:val="nil"/>
              <w:left w:val="nil"/>
              <w:bottom w:val="nil"/>
              <w:right w:val="nil"/>
            </w:tcBorders>
            <w:shd w:val="clear" w:color="auto" w:fill="auto"/>
            <w:noWrap/>
            <w:vAlign w:val="bottom"/>
            <w:hideMark/>
          </w:tcPr>
          <w:p w14:paraId="026E801B" w14:textId="77777777" w:rsidR="00BD229F" w:rsidRDefault="00BD229F" w:rsidP="00BD229F">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64353FF5" w14:textId="77777777" w:rsidR="00BD229F" w:rsidRDefault="00BD229F" w:rsidP="00BD229F">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9E38407" w14:textId="0B2C391B" w:rsidR="00BD229F" w:rsidRDefault="00BD229F" w:rsidP="00BD229F">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84CF235" w14:textId="602C7C7E" w:rsidR="00BD229F" w:rsidRDefault="00BD229F" w:rsidP="00BD229F">
            <w:pPr>
              <w:jc w:val="right"/>
              <w:rPr>
                <w:color w:val="000000"/>
                <w:sz w:val="20"/>
                <w:szCs w:val="20"/>
              </w:rPr>
            </w:pPr>
            <w:r>
              <w:rPr>
                <w:color w:val="000000"/>
                <w:sz w:val="20"/>
                <w:szCs w:val="20"/>
              </w:rPr>
              <w:t>0.673</w:t>
            </w:r>
          </w:p>
        </w:tc>
        <w:tc>
          <w:tcPr>
            <w:tcW w:w="768" w:type="dxa"/>
            <w:tcBorders>
              <w:top w:val="nil"/>
              <w:left w:val="nil"/>
              <w:bottom w:val="nil"/>
              <w:right w:val="nil"/>
            </w:tcBorders>
            <w:shd w:val="clear" w:color="auto" w:fill="auto"/>
            <w:noWrap/>
            <w:vAlign w:val="bottom"/>
            <w:hideMark/>
          </w:tcPr>
          <w:p w14:paraId="1AF4CA26" w14:textId="0982083D"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FBE70D" w14:textId="1D8BD292"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DBAFFE" w14:textId="3856E7A1" w:rsidR="00BD229F" w:rsidRDefault="00BD229F" w:rsidP="00BD229F">
            <w:pPr>
              <w:jc w:val="right"/>
              <w:rPr>
                <w:color w:val="000000"/>
                <w:sz w:val="20"/>
                <w:szCs w:val="20"/>
              </w:rPr>
            </w:pPr>
            <w:r>
              <w:rPr>
                <w:color w:val="000000"/>
                <w:sz w:val="20"/>
                <w:szCs w:val="20"/>
              </w:rPr>
              <w:t>0.966</w:t>
            </w:r>
          </w:p>
        </w:tc>
        <w:tc>
          <w:tcPr>
            <w:tcW w:w="768" w:type="dxa"/>
            <w:tcBorders>
              <w:top w:val="nil"/>
              <w:left w:val="nil"/>
              <w:bottom w:val="nil"/>
              <w:right w:val="nil"/>
            </w:tcBorders>
            <w:shd w:val="clear" w:color="auto" w:fill="auto"/>
            <w:noWrap/>
            <w:vAlign w:val="bottom"/>
            <w:hideMark/>
          </w:tcPr>
          <w:p w14:paraId="0BFB8E0D" w14:textId="2F655BF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8535FB" w14:textId="6369EF91" w:rsidR="00BD229F" w:rsidRDefault="00BD229F" w:rsidP="00BD229F">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2D74ACEF" w14:textId="2E89F624" w:rsidR="00BD229F" w:rsidRDefault="00BD229F" w:rsidP="00BD229F">
            <w:pPr>
              <w:jc w:val="right"/>
              <w:rPr>
                <w:color w:val="000000"/>
                <w:sz w:val="20"/>
                <w:szCs w:val="20"/>
              </w:rPr>
            </w:pPr>
            <w:r>
              <w:rPr>
                <w:color w:val="000000"/>
                <w:sz w:val="20"/>
                <w:szCs w:val="20"/>
              </w:rPr>
              <w:t>0.850</w:t>
            </w:r>
          </w:p>
        </w:tc>
        <w:tc>
          <w:tcPr>
            <w:tcW w:w="768" w:type="dxa"/>
            <w:tcBorders>
              <w:top w:val="nil"/>
              <w:left w:val="nil"/>
              <w:bottom w:val="nil"/>
              <w:right w:val="nil"/>
            </w:tcBorders>
            <w:shd w:val="clear" w:color="auto" w:fill="auto"/>
            <w:noWrap/>
            <w:vAlign w:val="bottom"/>
            <w:hideMark/>
          </w:tcPr>
          <w:p w14:paraId="701B22FD" w14:textId="14BB37A2"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1A3FC4" w14:textId="7D0C5FDF"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0D25C8" w14:textId="1228F4A9" w:rsidR="00BD229F" w:rsidRDefault="00BD229F" w:rsidP="00BD229F">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716F52DA" w14:textId="271F9F55"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CA764C" w14:textId="6E3438F0" w:rsidR="00BD229F" w:rsidRDefault="00BD229F" w:rsidP="00BD229F">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0291A40" w14:textId="1D6EB201" w:rsidR="00BD229F" w:rsidRDefault="00BD229F" w:rsidP="00BD229F">
            <w:pPr>
              <w:jc w:val="right"/>
              <w:rPr>
                <w:color w:val="000000"/>
                <w:sz w:val="20"/>
                <w:szCs w:val="20"/>
              </w:rPr>
            </w:pPr>
            <w:r>
              <w:rPr>
                <w:color w:val="000000"/>
                <w:sz w:val="20"/>
                <w:szCs w:val="20"/>
              </w:rPr>
              <w:t>0.520</w:t>
            </w:r>
          </w:p>
        </w:tc>
        <w:tc>
          <w:tcPr>
            <w:tcW w:w="768" w:type="dxa"/>
            <w:tcBorders>
              <w:top w:val="nil"/>
              <w:left w:val="nil"/>
              <w:bottom w:val="nil"/>
              <w:right w:val="nil"/>
            </w:tcBorders>
            <w:shd w:val="clear" w:color="auto" w:fill="auto"/>
            <w:noWrap/>
            <w:vAlign w:val="bottom"/>
            <w:hideMark/>
          </w:tcPr>
          <w:p w14:paraId="33E0DE85" w14:textId="79B80868" w:rsidR="00BD229F" w:rsidRDefault="00BD229F" w:rsidP="00BD229F">
            <w:pPr>
              <w:jc w:val="right"/>
              <w:rPr>
                <w:color w:val="000000"/>
                <w:sz w:val="20"/>
                <w:szCs w:val="20"/>
              </w:rPr>
            </w:pPr>
            <w:r>
              <w:rPr>
                <w:color w:val="000000"/>
                <w:sz w:val="20"/>
                <w:szCs w:val="20"/>
              </w:rPr>
              <w:t>0.001</w:t>
            </w:r>
          </w:p>
        </w:tc>
      </w:tr>
      <w:tr w:rsidR="00BD229F" w14:paraId="02DAF363" w14:textId="77777777" w:rsidTr="00432B71">
        <w:trPr>
          <w:trHeight w:val="317"/>
        </w:trPr>
        <w:tc>
          <w:tcPr>
            <w:tcW w:w="1176" w:type="dxa"/>
            <w:tcBorders>
              <w:top w:val="nil"/>
              <w:left w:val="nil"/>
              <w:bottom w:val="nil"/>
              <w:right w:val="nil"/>
            </w:tcBorders>
            <w:shd w:val="clear" w:color="auto" w:fill="auto"/>
            <w:noWrap/>
            <w:vAlign w:val="bottom"/>
            <w:hideMark/>
          </w:tcPr>
          <w:p w14:paraId="3370999A"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C186AF" w14:textId="77777777" w:rsidR="00BD229F" w:rsidRDefault="00BD229F" w:rsidP="00BD229F">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858A3F7" w14:textId="16394AFD" w:rsidR="00BD229F" w:rsidRDefault="00BD229F" w:rsidP="00BD229F">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B972401" w14:textId="76C84F59" w:rsidR="00BD229F" w:rsidRDefault="00BD229F" w:rsidP="00BD229F">
            <w:pPr>
              <w:jc w:val="right"/>
              <w:rPr>
                <w:color w:val="000000"/>
                <w:sz w:val="20"/>
                <w:szCs w:val="20"/>
              </w:rPr>
            </w:pPr>
            <w:r>
              <w:rPr>
                <w:color w:val="000000"/>
                <w:sz w:val="20"/>
                <w:szCs w:val="20"/>
              </w:rPr>
              <w:t>0.716</w:t>
            </w:r>
          </w:p>
        </w:tc>
        <w:tc>
          <w:tcPr>
            <w:tcW w:w="768" w:type="dxa"/>
            <w:tcBorders>
              <w:top w:val="nil"/>
              <w:left w:val="nil"/>
              <w:bottom w:val="nil"/>
              <w:right w:val="nil"/>
            </w:tcBorders>
            <w:shd w:val="clear" w:color="auto" w:fill="auto"/>
            <w:noWrap/>
            <w:vAlign w:val="bottom"/>
            <w:hideMark/>
          </w:tcPr>
          <w:p w14:paraId="704D3312" w14:textId="6F2A2B51"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AD2B5B" w14:textId="291A9CDD" w:rsidR="00BD229F" w:rsidRDefault="00BD229F" w:rsidP="00BD229F">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7A651899" w14:textId="1A1E6E66" w:rsidR="00BD229F" w:rsidRDefault="00BD229F" w:rsidP="00BD229F">
            <w:pPr>
              <w:jc w:val="right"/>
              <w:rPr>
                <w:color w:val="000000"/>
                <w:sz w:val="20"/>
                <w:szCs w:val="20"/>
              </w:rPr>
            </w:pPr>
            <w:r>
              <w:rPr>
                <w:color w:val="000000"/>
                <w:sz w:val="20"/>
                <w:szCs w:val="20"/>
              </w:rPr>
              <w:t>0.706</w:t>
            </w:r>
          </w:p>
        </w:tc>
        <w:tc>
          <w:tcPr>
            <w:tcW w:w="768" w:type="dxa"/>
            <w:tcBorders>
              <w:top w:val="nil"/>
              <w:left w:val="nil"/>
              <w:bottom w:val="nil"/>
              <w:right w:val="nil"/>
            </w:tcBorders>
            <w:shd w:val="clear" w:color="auto" w:fill="auto"/>
            <w:noWrap/>
            <w:vAlign w:val="bottom"/>
            <w:hideMark/>
          </w:tcPr>
          <w:p w14:paraId="136D9DEC" w14:textId="27B9D27A"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F500F6B" w14:textId="1EA6E8E3" w:rsidR="00BD229F" w:rsidRDefault="00BD229F" w:rsidP="00BD229F">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D6C6DE9" w14:textId="4D42CB3D" w:rsidR="00BD229F" w:rsidRDefault="00BD229F" w:rsidP="00BD229F">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73C16F2A" w14:textId="25226E42"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D29145" w14:textId="75DE0010" w:rsidR="00BD229F" w:rsidRDefault="00BD229F" w:rsidP="00BD229F">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F1BFD60" w14:textId="290F0519" w:rsidR="00BD229F" w:rsidRDefault="00BD229F" w:rsidP="00BD229F">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7FD428A2" w14:textId="7590F0E9"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27CA1D" w14:textId="78CF22AE" w:rsidR="00BD229F" w:rsidRDefault="00BD229F" w:rsidP="00BD229F">
            <w:pPr>
              <w:jc w:val="right"/>
              <w:rPr>
                <w:b/>
                <w:bCs/>
                <w:color w:val="000000"/>
                <w:sz w:val="20"/>
                <w:szCs w:val="20"/>
              </w:rPr>
            </w:pPr>
            <w:r>
              <w:rPr>
                <w:b/>
                <w:bCs/>
                <w:color w:val="000000"/>
                <w:sz w:val="20"/>
                <w:szCs w:val="20"/>
              </w:rPr>
              <w:t>-0.130</w:t>
            </w:r>
          </w:p>
        </w:tc>
        <w:tc>
          <w:tcPr>
            <w:tcW w:w="768" w:type="dxa"/>
            <w:tcBorders>
              <w:top w:val="nil"/>
              <w:left w:val="nil"/>
              <w:bottom w:val="nil"/>
              <w:right w:val="nil"/>
            </w:tcBorders>
            <w:shd w:val="clear" w:color="auto" w:fill="auto"/>
            <w:noWrap/>
            <w:vAlign w:val="bottom"/>
            <w:hideMark/>
          </w:tcPr>
          <w:p w14:paraId="5681665E" w14:textId="6ABF631C" w:rsidR="00BD229F" w:rsidRDefault="00BD229F" w:rsidP="00BD229F">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3D4107F4" w14:textId="765BC278" w:rsidR="00BD229F" w:rsidRDefault="00BD229F" w:rsidP="00BD229F">
            <w:pPr>
              <w:jc w:val="right"/>
              <w:rPr>
                <w:color w:val="000000"/>
                <w:sz w:val="20"/>
                <w:szCs w:val="20"/>
              </w:rPr>
            </w:pPr>
            <w:r>
              <w:rPr>
                <w:b/>
                <w:bCs/>
                <w:color w:val="000000"/>
                <w:sz w:val="20"/>
                <w:szCs w:val="20"/>
              </w:rPr>
              <w:t>0.017</w:t>
            </w:r>
          </w:p>
        </w:tc>
      </w:tr>
      <w:tr w:rsidR="00BD229F" w14:paraId="7FCCBFEA" w14:textId="77777777" w:rsidTr="00432B71">
        <w:trPr>
          <w:trHeight w:val="317"/>
        </w:trPr>
        <w:tc>
          <w:tcPr>
            <w:tcW w:w="1176" w:type="dxa"/>
            <w:tcBorders>
              <w:top w:val="nil"/>
              <w:left w:val="nil"/>
              <w:bottom w:val="nil"/>
              <w:right w:val="nil"/>
            </w:tcBorders>
            <w:shd w:val="clear" w:color="auto" w:fill="auto"/>
            <w:noWrap/>
            <w:vAlign w:val="bottom"/>
            <w:hideMark/>
          </w:tcPr>
          <w:p w14:paraId="24B7C4FB"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90C8483" w14:textId="77777777" w:rsidR="00BD229F" w:rsidRDefault="00BD229F" w:rsidP="00BD229F">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0447054" w14:textId="75816C7B" w:rsidR="00BD229F" w:rsidRDefault="00BD229F" w:rsidP="00BD229F">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C961F15" w14:textId="0316BA7D" w:rsidR="00BD229F" w:rsidRDefault="00BD229F" w:rsidP="00BD229F">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363336EE" w14:textId="1B1D75DF"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5CF1B2E" w14:textId="27CF2068" w:rsidR="00BD229F" w:rsidRDefault="00BD229F" w:rsidP="00BD229F">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552A1EE" w14:textId="37CBC89A" w:rsidR="00BD229F" w:rsidRDefault="00BD229F" w:rsidP="00BD229F">
            <w:pPr>
              <w:jc w:val="right"/>
              <w:rPr>
                <w:color w:val="000000"/>
                <w:sz w:val="20"/>
                <w:szCs w:val="20"/>
              </w:rPr>
            </w:pPr>
            <w:r>
              <w:rPr>
                <w:color w:val="000000"/>
                <w:sz w:val="20"/>
                <w:szCs w:val="20"/>
              </w:rPr>
              <w:t>0.706</w:t>
            </w:r>
          </w:p>
        </w:tc>
        <w:tc>
          <w:tcPr>
            <w:tcW w:w="768" w:type="dxa"/>
            <w:tcBorders>
              <w:top w:val="nil"/>
              <w:left w:val="nil"/>
              <w:bottom w:val="nil"/>
              <w:right w:val="nil"/>
            </w:tcBorders>
            <w:shd w:val="clear" w:color="auto" w:fill="auto"/>
            <w:noWrap/>
            <w:vAlign w:val="bottom"/>
            <w:hideMark/>
          </w:tcPr>
          <w:p w14:paraId="5E1B08B7" w14:textId="42B2985C"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E2A4BD7" w14:textId="090583E7"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7AC5E82" w14:textId="65D3170F" w:rsidR="00BD229F" w:rsidRDefault="00BD229F" w:rsidP="00BD229F">
            <w:pPr>
              <w:jc w:val="right"/>
              <w:rPr>
                <w:color w:val="000000"/>
                <w:sz w:val="20"/>
                <w:szCs w:val="20"/>
              </w:rPr>
            </w:pPr>
            <w:r>
              <w:rPr>
                <w:color w:val="000000"/>
                <w:sz w:val="20"/>
                <w:szCs w:val="20"/>
              </w:rPr>
              <w:t>0.974</w:t>
            </w:r>
          </w:p>
        </w:tc>
        <w:tc>
          <w:tcPr>
            <w:tcW w:w="768" w:type="dxa"/>
            <w:tcBorders>
              <w:top w:val="nil"/>
              <w:left w:val="nil"/>
              <w:bottom w:val="nil"/>
              <w:right w:val="nil"/>
            </w:tcBorders>
            <w:shd w:val="clear" w:color="auto" w:fill="auto"/>
            <w:noWrap/>
            <w:vAlign w:val="bottom"/>
            <w:hideMark/>
          </w:tcPr>
          <w:p w14:paraId="3AB26E2E" w14:textId="245D85E3"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39A317" w14:textId="42F3DD8B" w:rsidR="00BD229F" w:rsidRDefault="00BD229F" w:rsidP="00BD229F">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40329507" w14:textId="753E6ABD" w:rsidR="00BD229F" w:rsidRDefault="00BD229F" w:rsidP="00BD229F">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6F8C080E" w14:textId="51D9C877"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A1DEB1B" w14:textId="48A9D5A4" w:rsidR="00BD229F" w:rsidRDefault="00BD229F" w:rsidP="00BD229F">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8D16BEA" w14:textId="60B62DF4" w:rsidR="00BD229F" w:rsidRDefault="00BD229F" w:rsidP="00BD229F">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3525A236" w14:textId="57E51FBF" w:rsidR="00BD229F" w:rsidRDefault="00BD229F" w:rsidP="00BD229F">
            <w:pPr>
              <w:jc w:val="right"/>
              <w:rPr>
                <w:color w:val="000000"/>
                <w:sz w:val="20"/>
                <w:szCs w:val="20"/>
              </w:rPr>
            </w:pPr>
            <w:r>
              <w:rPr>
                <w:color w:val="000000"/>
                <w:sz w:val="20"/>
                <w:szCs w:val="20"/>
              </w:rPr>
              <w:t>0.000</w:t>
            </w:r>
          </w:p>
        </w:tc>
      </w:tr>
      <w:tr w:rsidR="00BD229F" w14:paraId="7C3A7E9B" w14:textId="77777777" w:rsidTr="00432B71">
        <w:trPr>
          <w:trHeight w:val="317"/>
        </w:trPr>
        <w:tc>
          <w:tcPr>
            <w:tcW w:w="1176" w:type="dxa"/>
            <w:tcBorders>
              <w:top w:val="nil"/>
              <w:left w:val="nil"/>
              <w:bottom w:val="nil"/>
              <w:right w:val="nil"/>
            </w:tcBorders>
            <w:shd w:val="clear" w:color="auto" w:fill="auto"/>
            <w:noWrap/>
            <w:vAlign w:val="bottom"/>
            <w:hideMark/>
          </w:tcPr>
          <w:p w14:paraId="6CEB6D17"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C4F994" w14:textId="77777777" w:rsidR="00BD229F" w:rsidRDefault="00BD229F" w:rsidP="00BD229F">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5A75DBD" w14:textId="6BB9DC31" w:rsidR="00BD229F" w:rsidRDefault="00BD229F" w:rsidP="00BD229F">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0C3CD44" w14:textId="6206A3B8" w:rsidR="00BD229F" w:rsidRDefault="00BD229F" w:rsidP="00BD229F">
            <w:pPr>
              <w:jc w:val="right"/>
              <w:rPr>
                <w:color w:val="000000"/>
                <w:sz w:val="20"/>
                <w:szCs w:val="20"/>
              </w:rPr>
            </w:pPr>
            <w:r>
              <w:rPr>
                <w:color w:val="000000"/>
                <w:sz w:val="20"/>
                <w:szCs w:val="20"/>
              </w:rPr>
              <w:t>0.673</w:t>
            </w:r>
          </w:p>
        </w:tc>
        <w:tc>
          <w:tcPr>
            <w:tcW w:w="768" w:type="dxa"/>
            <w:tcBorders>
              <w:top w:val="nil"/>
              <w:left w:val="nil"/>
              <w:bottom w:val="nil"/>
              <w:right w:val="nil"/>
            </w:tcBorders>
            <w:shd w:val="clear" w:color="auto" w:fill="auto"/>
            <w:noWrap/>
            <w:vAlign w:val="bottom"/>
            <w:hideMark/>
          </w:tcPr>
          <w:p w14:paraId="72A6669E" w14:textId="757F0A51"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BBAF16" w14:textId="30431BAE" w:rsidR="00BD229F" w:rsidRDefault="00BD229F" w:rsidP="00BD229F">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F38D5C1" w14:textId="54142F7D" w:rsidR="00BD229F" w:rsidRDefault="00BD229F" w:rsidP="00BD229F">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226D2335" w14:textId="2295414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EC76C7" w14:textId="409A6D63" w:rsidR="00BD229F" w:rsidRDefault="00BD229F" w:rsidP="00BD229F">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D9597EB" w14:textId="1C3257F0" w:rsidR="00BD229F" w:rsidRDefault="00BD229F" w:rsidP="00BD229F">
            <w:pPr>
              <w:jc w:val="right"/>
              <w:rPr>
                <w:color w:val="000000"/>
                <w:sz w:val="20"/>
                <w:szCs w:val="20"/>
              </w:rPr>
            </w:pPr>
            <w:r>
              <w:rPr>
                <w:color w:val="000000"/>
                <w:sz w:val="20"/>
                <w:szCs w:val="20"/>
              </w:rPr>
              <w:t>0.850</w:t>
            </w:r>
          </w:p>
        </w:tc>
        <w:tc>
          <w:tcPr>
            <w:tcW w:w="768" w:type="dxa"/>
            <w:tcBorders>
              <w:top w:val="nil"/>
              <w:left w:val="nil"/>
              <w:bottom w:val="nil"/>
              <w:right w:val="nil"/>
            </w:tcBorders>
            <w:shd w:val="clear" w:color="auto" w:fill="auto"/>
            <w:noWrap/>
            <w:vAlign w:val="bottom"/>
            <w:hideMark/>
          </w:tcPr>
          <w:p w14:paraId="2EF1F43B" w14:textId="6C5B5638"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333774" w14:textId="49FC71BA" w:rsidR="00BD229F" w:rsidRDefault="00BD229F" w:rsidP="00BD229F">
            <w:pPr>
              <w:jc w:val="right"/>
              <w:rPr>
                <w:b/>
                <w:bCs/>
                <w:color w:val="000000"/>
                <w:sz w:val="20"/>
                <w:szCs w:val="20"/>
              </w:rPr>
            </w:pPr>
            <w:r>
              <w:rPr>
                <w:b/>
                <w:bCs/>
                <w:color w:val="000000"/>
                <w:sz w:val="20"/>
                <w:szCs w:val="20"/>
              </w:rPr>
              <w:t>-0.114</w:t>
            </w:r>
          </w:p>
        </w:tc>
        <w:tc>
          <w:tcPr>
            <w:tcW w:w="768" w:type="dxa"/>
            <w:tcBorders>
              <w:top w:val="nil"/>
              <w:left w:val="nil"/>
              <w:bottom w:val="nil"/>
              <w:right w:val="nil"/>
            </w:tcBorders>
            <w:shd w:val="clear" w:color="auto" w:fill="auto"/>
            <w:noWrap/>
            <w:vAlign w:val="bottom"/>
            <w:hideMark/>
          </w:tcPr>
          <w:p w14:paraId="2EE32393" w14:textId="4C5840C9" w:rsidR="00BD229F" w:rsidRDefault="00BD229F" w:rsidP="00BD229F">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5AD88E59" w14:textId="363D7DE7" w:rsidR="00BD229F" w:rsidRDefault="00BD229F" w:rsidP="00BD229F">
            <w:pPr>
              <w:jc w:val="right"/>
              <w:rPr>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40D9E544" w14:textId="41DC6F9A" w:rsidR="00BD229F" w:rsidRDefault="00BD229F" w:rsidP="00BD229F">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023D41FD" w14:textId="11EAAB01" w:rsidR="00BD229F" w:rsidRDefault="00BD229F" w:rsidP="00BD229F">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03194A0D" w14:textId="3F0E5073" w:rsidR="00BD229F" w:rsidRDefault="00BD229F" w:rsidP="00BD229F">
            <w:pPr>
              <w:jc w:val="right"/>
              <w:rPr>
                <w:color w:val="000000"/>
                <w:sz w:val="20"/>
                <w:szCs w:val="20"/>
              </w:rPr>
            </w:pPr>
            <w:r>
              <w:rPr>
                <w:color w:val="000000"/>
                <w:sz w:val="20"/>
                <w:szCs w:val="20"/>
              </w:rPr>
              <w:t>0.005</w:t>
            </w:r>
          </w:p>
        </w:tc>
      </w:tr>
      <w:tr w:rsidR="00BD229F" w14:paraId="3F96B656" w14:textId="77777777" w:rsidTr="00432B71">
        <w:trPr>
          <w:trHeight w:val="317"/>
        </w:trPr>
        <w:tc>
          <w:tcPr>
            <w:tcW w:w="1176" w:type="dxa"/>
            <w:tcBorders>
              <w:top w:val="nil"/>
              <w:left w:val="nil"/>
              <w:bottom w:val="nil"/>
              <w:right w:val="nil"/>
            </w:tcBorders>
            <w:shd w:val="clear" w:color="auto" w:fill="auto"/>
            <w:noWrap/>
            <w:vAlign w:val="bottom"/>
            <w:hideMark/>
          </w:tcPr>
          <w:p w14:paraId="6B1805C0"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3A17C48" w14:textId="77777777" w:rsidR="00BD229F" w:rsidRDefault="00BD229F" w:rsidP="00BD229F">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5298E6E" w14:textId="2D270AF9" w:rsidR="00BD229F" w:rsidRDefault="00BD229F" w:rsidP="00BD229F">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649D540" w14:textId="26BF3D83" w:rsidR="00BD229F" w:rsidRDefault="00BD229F" w:rsidP="00BD229F">
            <w:pPr>
              <w:jc w:val="right"/>
              <w:rPr>
                <w:color w:val="000000"/>
                <w:sz w:val="20"/>
                <w:szCs w:val="20"/>
              </w:rPr>
            </w:pPr>
            <w:r>
              <w:rPr>
                <w:color w:val="000000"/>
                <w:sz w:val="20"/>
                <w:szCs w:val="20"/>
              </w:rPr>
              <w:t>0.673</w:t>
            </w:r>
          </w:p>
        </w:tc>
        <w:tc>
          <w:tcPr>
            <w:tcW w:w="768" w:type="dxa"/>
            <w:tcBorders>
              <w:top w:val="nil"/>
              <w:left w:val="nil"/>
              <w:bottom w:val="nil"/>
              <w:right w:val="nil"/>
            </w:tcBorders>
            <w:shd w:val="clear" w:color="auto" w:fill="auto"/>
            <w:noWrap/>
            <w:vAlign w:val="bottom"/>
            <w:hideMark/>
          </w:tcPr>
          <w:p w14:paraId="2986B013" w14:textId="65C973BD"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F1D88BE" w14:textId="07D7855D" w:rsidR="00BD229F" w:rsidRDefault="00BD229F" w:rsidP="00BD229F">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1B13B193" w14:textId="6B275FF0" w:rsidR="00BD229F" w:rsidRDefault="00BD229F" w:rsidP="00BD229F">
            <w:pPr>
              <w:jc w:val="right"/>
              <w:rPr>
                <w:color w:val="000000"/>
                <w:sz w:val="20"/>
                <w:szCs w:val="20"/>
              </w:rPr>
            </w:pPr>
            <w:r>
              <w:rPr>
                <w:color w:val="000000"/>
                <w:sz w:val="20"/>
                <w:szCs w:val="20"/>
              </w:rPr>
              <w:t>0.706</w:t>
            </w:r>
          </w:p>
        </w:tc>
        <w:tc>
          <w:tcPr>
            <w:tcW w:w="768" w:type="dxa"/>
            <w:tcBorders>
              <w:top w:val="nil"/>
              <w:left w:val="nil"/>
              <w:bottom w:val="nil"/>
              <w:right w:val="nil"/>
            </w:tcBorders>
            <w:shd w:val="clear" w:color="auto" w:fill="auto"/>
            <w:noWrap/>
            <w:vAlign w:val="bottom"/>
            <w:hideMark/>
          </w:tcPr>
          <w:p w14:paraId="5D9011FE" w14:textId="50E1CB03"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B0F22F3" w14:textId="10802621"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EBCB0C7" w14:textId="7A60D183" w:rsidR="00BD229F" w:rsidRDefault="00BD229F" w:rsidP="00BD229F">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77D6765D" w14:textId="4C300F8C"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87D733" w14:textId="7A70676B" w:rsidR="00BD229F" w:rsidRDefault="00BD229F" w:rsidP="00BD229F">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6B57C4D3" w14:textId="3BEA46E4" w:rsidR="00BD229F" w:rsidRDefault="00BD229F" w:rsidP="00BD229F">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2126B1E3" w14:textId="2EDC8E0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832635" w14:textId="1213E45A" w:rsidR="00BD229F" w:rsidRDefault="00BD229F" w:rsidP="00BD229F">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165DA9CE" w14:textId="56F8D781" w:rsidR="00BD229F" w:rsidRDefault="00BD229F" w:rsidP="00BD229F">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2248028E" w14:textId="27801C47" w:rsidR="00BD229F" w:rsidRDefault="00BD229F" w:rsidP="00BD229F">
            <w:pPr>
              <w:jc w:val="right"/>
              <w:rPr>
                <w:color w:val="000000"/>
                <w:sz w:val="20"/>
                <w:szCs w:val="20"/>
              </w:rPr>
            </w:pPr>
            <w:r>
              <w:rPr>
                <w:color w:val="000000"/>
                <w:sz w:val="20"/>
                <w:szCs w:val="20"/>
              </w:rPr>
              <w:t>0.007</w:t>
            </w:r>
          </w:p>
        </w:tc>
      </w:tr>
      <w:tr w:rsidR="00BD229F" w14:paraId="249D8B4F" w14:textId="77777777" w:rsidTr="00432B71">
        <w:trPr>
          <w:trHeight w:val="317"/>
        </w:trPr>
        <w:tc>
          <w:tcPr>
            <w:tcW w:w="1176" w:type="dxa"/>
            <w:tcBorders>
              <w:top w:val="nil"/>
              <w:left w:val="nil"/>
              <w:bottom w:val="nil"/>
              <w:right w:val="nil"/>
            </w:tcBorders>
            <w:shd w:val="clear" w:color="auto" w:fill="auto"/>
            <w:noWrap/>
            <w:vAlign w:val="bottom"/>
            <w:hideMark/>
          </w:tcPr>
          <w:p w14:paraId="13DDD64A"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0728E94" w14:textId="77777777" w:rsidR="00BD229F" w:rsidRDefault="00BD229F" w:rsidP="00BD229F">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5D4985D" w14:textId="68EB3B23" w:rsidR="00BD229F" w:rsidRDefault="00BD229F" w:rsidP="00BD229F">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47E5DE08" w14:textId="33E93D34" w:rsidR="00BD229F" w:rsidRDefault="00BD229F" w:rsidP="00BD229F">
            <w:pPr>
              <w:jc w:val="right"/>
              <w:rPr>
                <w:color w:val="000000"/>
                <w:sz w:val="20"/>
                <w:szCs w:val="20"/>
              </w:rPr>
            </w:pPr>
            <w:r>
              <w:rPr>
                <w:color w:val="000000"/>
                <w:sz w:val="20"/>
                <w:szCs w:val="20"/>
              </w:rPr>
              <w:t>0.673</w:t>
            </w:r>
          </w:p>
        </w:tc>
        <w:tc>
          <w:tcPr>
            <w:tcW w:w="768" w:type="dxa"/>
            <w:tcBorders>
              <w:top w:val="nil"/>
              <w:left w:val="nil"/>
              <w:bottom w:val="nil"/>
              <w:right w:val="nil"/>
            </w:tcBorders>
            <w:shd w:val="clear" w:color="auto" w:fill="auto"/>
            <w:noWrap/>
            <w:vAlign w:val="bottom"/>
            <w:hideMark/>
          </w:tcPr>
          <w:p w14:paraId="5883C63A" w14:textId="768F6E9B"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258796F" w14:textId="6434A949" w:rsidR="00BD229F" w:rsidRDefault="00BD229F" w:rsidP="00BD229F">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737736A" w14:textId="207F6698" w:rsidR="00BD229F" w:rsidRDefault="00BD229F" w:rsidP="00BD229F">
            <w:pPr>
              <w:jc w:val="right"/>
              <w:rPr>
                <w:color w:val="000000"/>
                <w:sz w:val="20"/>
                <w:szCs w:val="20"/>
              </w:rPr>
            </w:pPr>
            <w:r>
              <w:rPr>
                <w:color w:val="000000"/>
                <w:sz w:val="20"/>
                <w:szCs w:val="20"/>
              </w:rPr>
              <w:t>0.706</w:t>
            </w:r>
          </w:p>
        </w:tc>
        <w:tc>
          <w:tcPr>
            <w:tcW w:w="768" w:type="dxa"/>
            <w:tcBorders>
              <w:top w:val="nil"/>
              <w:left w:val="nil"/>
              <w:bottom w:val="nil"/>
              <w:right w:val="nil"/>
            </w:tcBorders>
            <w:shd w:val="clear" w:color="auto" w:fill="auto"/>
            <w:noWrap/>
            <w:vAlign w:val="bottom"/>
            <w:hideMark/>
          </w:tcPr>
          <w:p w14:paraId="1553660E" w14:textId="6BD73428"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7ED192" w14:textId="182585D4" w:rsidR="00BD229F" w:rsidRDefault="00BD229F" w:rsidP="00BD229F">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0B3AA782" w14:textId="78E00B61" w:rsidR="00BD229F" w:rsidRDefault="00BD229F" w:rsidP="00BD229F">
            <w:pPr>
              <w:jc w:val="right"/>
              <w:rPr>
                <w:color w:val="000000"/>
                <w:sz w:val="20"/>
                <w:szCs w:val="20"/>
              </w:rPr>
            </w:pPr>
            <w:r>
              <w:rPr>
                <w:color w:val="000000"/>
                <w:sz w:val="20"/>
                <w:szCs w:val="20"/>
              </w:rPr>
              <w:t>0.576</w:t>
            </w:r>
          </w:p>
        </w:tc>
        <w:tc>
          <w:tcPr>
            <w:tcW w:w="768" w:type="dxa"/>
            <w:tcBorders>
              <w:top w:val="nil"/>
              <w:left w:val="nil"/>
              <w:bottom w:val="nil"/>
              <w:right w:val="nil"/>
            </w:tcBorders>
            <w:shd w:val="clear" w:color="auto" w:fill="auto"/>
            <w:noWrap/>
            <w:vAlign w:val="bottom"/>
            <w:hideMark/>
          </w:tcPr>
          <w:p w14:paraId="6438D50E" w14:textId="104B1F7D"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3526814" w14:textId="044D264D"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B6FB9FB" w14:textId="3BCBEA40" w:rsidR="00BD229F" w:rsidRDefault="00BD229F" w:rsidP="00BD229F">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483EAF9E" w14:textId="5CC8A04B"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E42DA5" w14:textId="5E4A73E1" w:rsidR="00BD229F" w:rsidRDefault="00BD229F" w:rsidP="00BD229F">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7B7E655" w14:textId="31031689" w:rsidR="00BD229F" w:rsidRDefault="00BD229F" w:rsidP="00BD229F">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650C5173" w14:textId="12F0C7EA" w:rsidR="00BD229F" w:rsidRDefault="00BD229F" w:rsidP="00BD229F">
            <w:pPr>
              <w:jc w:val="right"/>
              <w:rPr>
                <w:color w:val="000000"/>
                <w:sz w:val="20"/>
                <w:szCs w:val="20"/>
              </w:rPr>
            </w:pPr>
            <w:r>
              <w:rPr>
                <w:color w:val="000000"/>
                <w:sz w:val="20"/>
                <w:szCs w:val="20"/>
              </w:rPr>
              <w:t>0.000</w:t>
            </w:r>
          </w:p>
        </w:tc>
      </w:tr>
      <w:tr w:rsidR="00BD229F" w14:paraId="676EB027" w14:textId="77777777" w:rsidTr="00432B71">
        <w:trPr>
          <w:trHeight w:val="317"/>
        </w:trPr>
        <w:tc>
          <w:tcPr>
            <w:tcW w:w="1176" w:type="dxa"/>
            <w:tcBorders>
              <w:top w:val="nil"/>
              <w:left w:val="nil"/>
              <w:bottom w:val="nil"/>
              <w:right w:val="nil"/>
            </w:tcBorders>
            <w:shd w:val="clear" w:color="auto" w:fill="auto"/>
            <w:noWrap/>
            <w:vAlign w:val="bottom"/>
            <w:hideMark/>
          </w:tcPr>
          <w:p w14:paraId="4AF62A11"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0B8BC3E" w14:textId="77777777" w:rsidR="00BD229F" w:rsidRDefault="00BD229F" w:rsidP="00BD229F">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A1A9035" w14:textId="2D7A7A5E" w:rsidR="00BD229F" w:rsidRDefault="00BD229F" w:rsidP="00BD229F">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581B1A7E" w14:textId="17F6D803" w:rsidR="00BD229F" w:rsidRDefault="00BD229F" w:rsidP="00BD229F">
            <w:pPr>
              <w:jc w:val="right"/>
              <w:rPr>
                <w:color w:val="000000"/>
                <w:sz w:val="20"/>
                <w:szCs w:val="20"/>
              </w:rPr>
            </w:pPr>
            <w:r>
              <w:rPr>
                <w:color w:val="000000"/>
                <w:sz w:val="20"/>
                <w:szCs w:val="20"/>
              </w:rPr>
              <w:t>0.673</w:t>
            </w:r>
          </w:p>
        </w:tc>
        <w:tc>
          <w:tcPr>
            <w:tcW w:w="768" w:type="dxa"/>
            <w:tcBorders>
              <w:top w:val="nil"/>
              <w:left w:val="nil"/>
              <w:bottom w:val="nil"/>
              <w:right w:val="nil"/>
            </w:tcBorders>
            <w:shd w:val="clear" w:color="auto" w:fill="auto"/>
            <w:noWrap/>
            <w:vAlign w:val="bottom"/>
            <w:hideMark/>
          </w:tcPr>
          <w:p w14:paraId="22D43A6D" w14:textId="195C0C46"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2D23B98" w14:textId="358735D5" w:rsidR="00BD229F" w:rsidRDefault="00BD229F" w:rsidP="00BD229F">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16450173" w14:textId="0516D60D" w:rsidR="00BD229F" w:rsidRDefault="00BD229F" w:rsidP="00BD229F">
            <w:pPr>
              <w:jc w:val="right"/>
              <w:rPr>
                <w:color w:val="000000"/>
                <w:sz w:val="20"/>
                <w:szCs w:val="20"/>
              </w:rPr>
            </w:pPr>
            <w:r>
              <w:rPr>
                <w:color w:val="000000"/>
                <w:sz w:val="20"/>
                <w:szCs w:val="20"/>
              </w:rPr>
              <w:t>0.706</w:t>
            </w:r>
          </w:p>
        </w:tc>
        <w:tc>
          <w:tcPr>
            <w:tcW w:w="768" w:type="dxa"/>
            <w:tcBorders>
              <w:top w:val="nil"/>
              <w:left w:val="nil"/>
              <w:bottom w:val="nil"/>
              <w:right w:val="nil"/>
            </w:tcBorders>
            <w:shd w:val="clear" w:color="auto" w:fill="auto"/>
            <w:noWrap/>
            <w:vAlign w:val="bottom"/>
            <w:hideMark/>
          </w:tcPr>
          <w:p w14:paraId="70555A56" w14:textId="232FF098"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57792FA" w14:textId="541C10BE" w:rsidR="00BD229F" w:rsidRDefault="00BD229F" w:rsidP="00BD229F">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74E2C81" w14:textId="4FD5F728" w:rsidR="00BD229F" w:rsidRDefault="00BD229F" w:rsidP="00BD229F">
            <w:pPr>
              <w:jc w:val="right"/>
              <w:rPr>
                <w:color w:val="000000"/>
                <w:sz w:val="20"/>
                <w:szCs w:val="20"/>
              </w:rPr>
            </w:pPr>
            <w:r>
              <w:rPr>
                <w:color w:val="000000"/>
                <w:sz w:val="20"/>
                <w:szCs w:val="20"/>
              </w:rPr>
              <w:t>0.850</w:t>
            </w:r>
          </w:p>
        </w:tc>
        <w:tc>
          <w:tcPr>
            <w:tcW w:w="768" w:type="dxa"/>
            <w:tcBorders>
              <w:top w:val="nil"/>
              <w:left w:val="nil"/>
              <w:bottom w:val="nil"/>
              <w:right w:val="nil"/>
            </w:tcBorders>
            <w:shd w:val="clear" w:color="auto" w:fill="auto"/>
            <w:noWrap/>
            <w:vAlign w:val="bottom"/>
            <w:hideMark/>
          </w:tcPr>
          <w:p w14:paraId="7D0E26BA" w14:textId="300F2AA3"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F0B3EB" w14:textId="4205672A"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7330C13" w14:textId="7747242B" w:rsidR="00BD229F" w:rsidRDefault="00BD229F" w:rsidP="00BD229F">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4C62F63D" w14:textId="5DDED10C"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B8D6AFD" w14:textId="43602E20" w:rsidR="00BD229F" w:rsidRDefault="00BD229F" w:rsidP="00BD229F">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4B4E23CE" w14:textId="48D8FD67" w:rsidR="00BD229F" w:rsidRDefault="00BD229F" w:rsidP="00BD229F">
            <w:pPr>
              <w:jc w:val="right"/>
              <w:rPr>
                <w:color w:val="000000"/>
                <w:sz w:val="20"/>
                <w:szCs w:val="20"/>
              </w:rPr>
            </w:pPr>
            <w:r>
              <w:rPr>
                <w:color w:val="000000"/>
                <w:sz w:val="20"/>
                <w:szCs w:val="20"/>
              </w:rPr>
              <w:t>0.520</w:t>
            </w:r>
          </w:p>
        </w:tc>
        <w:tc>
          <w:tcPr>
            <w:tcW w:w="768" w:type="dxa"/>
            <w:tcBorders>
              <w:top w:val="nil"/>
              <w:left w:val="nil"/>
              <w:bottom w:val="nil"/>
              <w:right w:val="nil"/>
            </w:tcBorders>
            <w:shd w:val="clear" w:color="auto" w:fill="auto"/>
            <w:noWrap/>
            <w:vAlign w:val="bottom"/>
            <w:hideMark/>
          </w:tcPr>
          <w:p w14:paraId="0FC08302" w14:textId="509CD12A" w:rsidR="00BD229F" w:rsidRDefault="00BD229F" w:rsidP="00BD229F">
            <w:pPr>
              <w:jc w:val="right"/>
              <w:rPr>
                <w:color w:val="000000"/>
                <w:sz w:val="20"/>
                <w:szCs w:val="20"/>
              </w:rPr>
            </w:pPr>
            <w:r>
              <w:rPr>
                <w:color w:val="000000"/>
                <w:sz w:val="20"/>
                <w:szCs w:val="20"/>
              </w:rPr>
              <w:t>0.001</w:t>
            </w:r>
          </w:p>
        </w:tc>
      </w:tr>
      <w:tr w:rsidR="00BD229F" w14:paraId="71936F24" w14:textId="77777777" w:rsidTr="00432B71">
        <w:trPr>
          <w:trHeight w:val="317"/>
        </w:trPr>
        <w:tc>
          <w:tcPr>
            <w:tcW w:w="1176" w:type="dxa"/>
            <w:tcBorders>
              <w:top w:val="nil"/>
              <w:left w:val="nil"/>
              <w:bottom w:val="single" w:sz="4" w:space="0" w:color="auto"/>
              <w:right w:val="nil"/>
            </w:tcBorders>
            <w:shd w:val="clear" w:color="auto" w:fill="auto"/>
            <w:noWrap/>
            <w:vAlign w:val="bottom"/>
            <w:hideMark/>
          </w:tcPr>
          <w:p w14:paraId="1C68AC80" w14:textId="77777777" w:rsidR="00BD229F" w:rsidRDefault="00BD229F" w:rsidP="00BD229F">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6AE664A" w14:textId="77777777" w:rsidR="00BD229F" w:rsidRDefault="00BD229F" w:rsidP="00BD229F">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B972324" w14:textId="48B0DD99" w:rsidR="00BD229F" w:rsidRDefault="00BD229F" w:rsidP="00BD229F">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102BD21B" w14:textId="51B239A0" w:rsidR="00BD229F" w:rsidRDefault="00BD229F" w:rsidP="00BD229F">
            <w:pPr>
              <w:jc w:val="right"/>
              <w:rPr>
                <w:color w:val="000000"/>
                <w:sz w:val="20"/>
                <w:szCs w:val="20"/>
              </w:rPr>
            </w:pPr>
            <w:r>
              <w:rPr>
                <w:color w:val="000000"/>
                <w:sz w:val="20"/>
                <w:szCs w:val="20"/>
              </w:rPr>
              <w:t>0.673</w:t>
            </w:r>
          </w:p>
        </w:tc>
        <w:tc>
          <w:tcPr>
            <w:tcW w:w="768" w:type="dxa"/>
            <w:tcBorders>
              <w:top w:val="nil"/>
              <w:left w:val="nil"/>
              <w:bottom w:val="single" w:sz="4" w:space="0" w:color="auto"/>
              <w:right w:val="nil"/>
            </w:tcBorders>
            <w:shd w:val="clear" w:color="auto" w:fill="auto"/>
            <w:noWrap/>
            <w:vAlign w:val="bottom"/>
            <w:hideMark/>
          </w:tcPr>
          <w:p w14:paraId="7C2807DB" w14:textId="32A85235"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6C269A7" w14:textId="41138426" w:rsidR="00BD229F" w:rsidRDefault="00BD229F" w:rsidP="00BD229F">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0B5BE059" w14:textId="2E28302B" w:rsidR="00BD229F" w:rsidRDefault="00BD229F" w:rsidP="00BD229F">
            <w:pPr>
              <w:jc w:val="right"/>
              <w:rPr>
                <w:color w:val="000000"/>
                <w:sz w:val="20"/>
                <w:szCs w:val="20"/>
              </w:rPr>
            </w:pPr>
            <w:r>
              <w:rPr>
                <w:color w:val="000000"/>
                <w:sz w:val="20"/>
                <w:szCs w:val="20"/>
              </w:rPr>
              <w:t>0.883</w:t>
            </w:r>
          </w:p>
        </w:tc>
        <w:tc>
          <w:tcPr>
            <w:tcW w:w="768" w:type="dxa"/>
            <w:tcBorders>
              <w:top w:val="nil"/>
              <w:left w:val="nil"/>
              <w:bottom w:val="single" w:sz="4" w:space="0" w:color="auto"/>
              <w:right w:val="nil"/>
            </w:tcBorders>
            <w:shd w:val="clear" w:color="auto" w:fill="auto"/>
            <w:noWrap/>
            <w:vAlign w:val="bottom"/>
            <w:hideMark/>
          </w:tcPr>
          <w:p w14:paraId="5EBA5E0B" w14:textId="0318DF65"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EB6B02D" w14:textId="409729E2"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31918291" w14:textId="526CCE08" w:rsidR="00BD229F" w:rsidRDefault="00BD229F" w:rsidP="00BD229F">
            <w:pPr>
              <w:jc w:val="right"/>
              <w:rPr>
                <w:color w:val="000000"/>
                <w:sz w:val="20"/>
                <w:szCs w:val="20"/>
              </w:rPr>
            </w:pPr>
            <w:r>
              <w:rPr>
                <w:color w:val="000000"/>
                <w:sz w:val="20"/>
                <w:szCs w:val="20"/>
              </w:rPr>
              <w:t>0.896</w:t>
            </w:r>
          </w:p>
        </w:tc>
        <w:tc>
          <w:tcPr>
            <w:tcW w:w="768" w:type="dxa"/>
            <w:tcBorders>
              <w:top w:val="nil"/>
              <w:left w:val="nil"/>
              <w:bottom w:val="single" w:sz="4" w:space="0" w:color="auto"/>
              <w:right w:val="nil"/>
            </w:tcBorders>
            <w:shd w:val="clear" w:color="auto" w:fill="auto"/>
            <w:noWrap/>
            <w:vAlign w:val="bottom"/>
            <w:hideMark/>
          </w:tcPr>
          <w:p w14:paraId="364AD4CF" w14:textId="42BD9FFE"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FD2E4C2" w14:textId="11C1E103" w:rsidR="00BD229F" w:rsidRDefault="00BD229F" w:rsidP="00BD229F">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089EE555" w14:textId="56D5787C" w:rsidR="00BD229F" w:rsidRDefault="00BD229F" w:rsidP="00BD229F">
            <w:pPr>
              <w:jc w:val="right"/>
              <w:rPr>
                <w:color w:val="000000"/>
                <w:sz w:val="20"/>
                <w:szCs w:val="20"/>
              </w:rPr>
            </w:pPr>
            <w:r>
              <w:rPr>
                <w:color w:val="000000"/>
                <w:sz w:val="20"/>
                <w:szCs w:val="20"/>
              </w:rPr>
              <w:t>0.812</w:t>
            </w:r>
          </w:p>
        </w:tc>
        <w:tc>
          <w:tcPr>
            <w:tcW w:w="768" w:type="dxa"/>
            <w:tcBorders>
              <w:top w:val="nil"/>
              <w:left w:val="nil"/>
              <w:bottom w:val="single" w:sz="4" w:space="0" w:color="auto"/>
              <w:right w:val="nil"/>
            </w:tcBorders>
            <w:shd w:val="clear" w:color="auto" w:fill="auto"/>
            <w:noWrap/>
            <w:vAlign w:val="bottom"/>
            <w:hideMark/>
          </w:tcPr>
          <w:p w14:paraId="52D0B549" w14:textId="6EED4676"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BC78F55" w14:textId="01B61277" w:rsidR="00BD229F" w:rsidRDefault="00BD229F" w:rsidP="00BD229F">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21D2733E" w14:textId="2B9CBEBC" w:rsidR="00BD229F" w:rsidRDefault="00BD229F" w:rsidP="00BD229F">
            <w:pPr>
              <w:jc w:val="right"/>
              <w:rPr>
                <w:color w:val="000000"/>
                <w:sz w:val="20"/>
                <w:szCs w:val="20"/>
              </w:rPr>
            </w:pPr>
            <w:r>
              <w:rPr>
                <w:color w:val="000000"/>
                <w:sz w:val="20"/>
                <w:szCs w:val="20"/>
              </w:rPr>
              <w:t>0.687</w:t>
            </w:r>
          </w:p>
        </w:tc>
        <w:tc>
          <w:tcPr>
            <w:tcW w:w="768" w:type="dxa"/>
            <w:tcBorders>
              <w:top w:val="nil"/>
              <w:left w:val="nil"/>
              <w:bottom w:val="single" w:sz="4" w:space="0" w:color="auto"/>
              <w:right w:val="nil"/>
            </w:tcBorders>
            <w:shd w:val="clear" w:color="auto" w:fill="auto"/>
            <w:noWrap/>
            <w:vAlign w:val="bottom"/>
            <w:hideMark/>
          </w:tcPr>
          <w:p w14:paraId="219BD051" w14:textId="47B5F214" w:rsidR="00BD229F" w:rsidRDefault="00BD229F" w:rsidP="00BD229F">
            <w:pPr>
              <w:jc w:val="right"/>
              <w:rPr>
                <w:color w:val="000000"/>
                <w:sz w:val="20"/>
                <w:szCs w:val="20"/>
              </w:rPr>
            </w:pPr>
            <w:r>
              <w:rPr>
                <w:color w:val="000000"/>
                <w:sz w:val="20"/>
                <w:szCs w:val="20"/>
              </w:rPr>
              <w:t>0.001</w:t>
            </w:r>
          </w:p>
        </w:tc>
      </w:tr>
      <w:tr w:rsidR="00BD229F" w14:paraId="7EB84022" w14:textId="77777777" w:rsidTr="00731940">
        <w:trPr>
          <w:trHeight w:val="260"/>
        </w:trPr>
        <w:tc>
          <w:tcPr>
            <w:tcW w:w="1176" w:type="dxa"/>
            <w:tcBorders>
              <w:top w:val="nil"/>
              <w:left w:val="nil"/>
              <w:bottom w:val="nil"/>
              <w:right w:val="nil"/>
            </w:tcBorders>
            <w:shd w:val="clear" w:color="auto" w:fill="auto"/>
            <w:noWrap/>
            <w:vAlign w:val="bottom"/>
            <w:hideMark/>
          </w:tcPr>
          <w:p w14:paraId="401BAF5D" w14:textId="77777777" w:rsidR="00BD229F" w:rsidRDefault="00BD229F" w:rsidP="00BD229F">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01236339" w14:textId="77777777" w:rsidR="00BD229F" w:rsidRDefault="00BD229F" w:rsidP="00BD229F">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5A22C6B" w14:textId="77EA075C" w:rsidR="00BD229F" w:rsidRDefault="00BD229F" w:rsidP="00BD229F">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798ECCE0" w14:textId="12BD659A" w:rsidR="00BD229F" w:rsidRDefault="00BD229F" w:rsidP="00BD229F">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7656A808" w14:textId="2D2AAA8D" w:rsidR="00BD229F" w:rsidRDefault="00BD229F" w:rsidP="00BD229F">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5792214" w14:textId="4E09BC37"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31D5E1D" w14:textId="4F3CC39A" w:rsidR="00BD229F" w:rsidRDefault="00BD229F" w:rsidP="00BD229F">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58B05A52" w14:textId="5F8A5CB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85E930" w14:textId="567DEA2E"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C4F9168" w14:textId="55AA812D" w:rsidR="00BD229F" w:rsidRDefault="00BD229F" w:rsidP="00BD229F">
            <w:pPr>
              <w:jc w:val="right"/>
              <w:rPr>
                <w:color w:val="000000"/>
                <w:sz w:val="20"/>
                <w:szCs w:val="20"/>
              </w:rPr>
            </w:pPr>
            <w:r>
              <w:rPr>
                <w:color w:val="000000"/>
                <w:sz w:val="20"/>
                <w:szCs w:val="20"/>
              </w:rPr>
              <w:t>0.912</w:t>
            </w:r>
          </w:p>
        </w:tc>
        <w:tc>
          <w:tcPr>
            <w:tcW w:w="768" w:type="dxa"/>
            <w:tcBorders>
              <w:top w:val="nil"/>
              <w:left w:val="nil"/>
              <w:bottom w:val="nil"/>
              <w:right w:val="nil"/>
            </w:tcBorders>
            <w:shd w:val="clear" w:color="auto" w:fill="auto"/>
            <w:noWrap/>
            <w:vAlign w:val="bottom"/>
            <w:hideMark/>
          </w:tcPr>
          <w:p w14:paraId="038A1AC1" w14:textId="3E6E1222"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31002B" w14:textId="508E91B9" w:rsidR="00BD229F" w:rsidRDefault="00BD229F" w:rsidP="00BD229F">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6E04D98" w14:textId="2DE00670" w:rsidR="00BD229F" w:rsidRDefault="00BD229F" w:rsidP="00BD229F">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260DABD1" w14:textId="3E187EA8"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854478" w14:textId="72D61331" w:rsidR="00BD229F" w:rsidRDefault="00BD229F" w:rsidP="00BD229F">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4A09DBE" w14:textId="59AB3A63" w:rsidR="00BD229F" w:rsidRDefault="00BD229F" w:rsidP="00BD229F">
            <w:pPr>
              <w:jc w:val="right"/>
              <w:rPr>
                <w:color w:val="000000"/>
                <w:sz w:val="20"/>
                <w:szCs w:val="20"/>
              </w:rPr>
            </w:pPr>
            <w:r>
              <w:rPr>
                <w:color w:val="000000"/>
                <w:sz w:val="20"/>
                <w:szCs w:val="20"/>
              </w:rPr>
              <w:t>0.860</w:t>
            </w:r>
          </w:p>
        </w:tc>
        <w:tc>
          <w:tcPr>
            <w:tcW w:w="768" w:type="dxa"/>
            <w:tcBorders>
              <w:top w:val="nil"/>
              <w:left w:val="nil"/>
              <w:bottom w:val="nil"/>
              <w:right w:val="nil"/>
            </w:tcBorders>
            <w:shd w:val="clear" w:color="auto" w:fill="auto"/>
            <w:noWrap/>
            <w:vAlign w:val="bottom"/>
            <w:hideMark/>
          </w:tcPr>
          <w:p w14:paraId="70D03619" w14:textId="2A0ECFA3" w:rsidR="00BD229F" w:rsidRDefault="00BD229F" w:rsidP="00BD229F">
            <w:pPr>
              <w:jc w:val="right"/>
              <w:rPr>
                <w:color w:val="000000"/>
                <w:sz w:val="20"/>
                <w:szCs w:val="20"/>
              </w:rPr>
            </w:pPr>
            <w:r>
              <w:rPr>
                <w:color w:val="000000"/>
                <w:sz w:val="20"/>
                <w:szCs w:val="20"/>
              </w:rPr>
              <w:t>0.000</w:t>
            </w:r>
          </w:p>
        </w:tc>
      </w:tr>
      <w:tr w:rsidR="00BD229F" w14:paraId="302B6D68" w14:textId="77777777" w:rsidTr="00432B71">
        <w:trPr>
          <w:trHeight w:val="317"/>
        </w:trPr>
        <w:tc>
          <w:tcPr>
            <w:tcW w:w="1176" w:type="dxa"/>
            <w:tcBorders>
              <w:top w:val="nil"/>
              <w:left w:val="nil"/>
              <w:bottom w:val="nil"/>
              <w:right w:val="nil"/>
            </w:tcBorders>
            <w:shd w:val="clear" w:color="auto" w:fill="auto"/>
            <w:noWrap/>
            <w:vAlign w:val="bottom"/>
            <w:hideMark/>
          </w:tcPr>
          <w:p w14:paraId="7D815DA5"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6F28889" w14:textId="77777777" w:rsidR="00BD229F" w:rsidRDefault="00BD229F" w:rsidP="00BD229F">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16CEAE1" w14:textId="60D75376" w:rsidR="00BD229F" w:rsidRDefault="00BD229F" w:rsidP="00BD229F">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A7B7DEC" w14:textId="6E3C081A" w:rsidR="00BD229F" w:rsidRDefault="00BD229F" w:rsidP="00BD229F">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7E9AABCF" w14:textId="463AAE8B"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BE3125" w14:textId="3BFDC815" w:rsidR="00BD229F" w:rsidRDefault="00BD229F" w:rsidP="00BD229F">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16FFF2E" w14:textId="7DFD6069" w:rsidR="00BD229F" w:rsidRDefault="00BD229F" w:rsidP="00BD229F">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309D5E08" w14:textId="52DB8452"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2D15FA" w14:textId="48055BA5" w:rsidR="00BD229F" w:rsidRDefault="00BD229F" w:rsidP="00BD229F">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CB0CCB7" w14:textId="71236308" w:rsidR="00BD229F" w:rsidRDefault="00BD229F" w:rsidP="00BD229F">
            <w:pPr>
              <w:jc w:val="right"/>
              <w:rPr>
                <w:color w:val="000000"/>
                <w:sz w:val="20"/>
                <w:szCs w:val="20"/>
              </w:rPr>
            </w:pPr>
            <w:r>
              <w:rPr>
                <w:color w:val="000000"/>
                <w:sz w:val="20"/>
                <w:szCs w:val="20"/>
              </w:rPr>
              <w:t>0.548</w:t>
            </w:r>
          </w:p>
        </w:tc>
        <w:tc>
          <w:tcPr>
            <w:tcW w:w="768" w:type="dxa"/>
            <w:tcBorders>
              <w:top w:val="nil"/>
              <w:left w:val="nil"/>
              <w:bottom w:val="nil"/>
              <w:right w:val="nil"/>
            </w:tcBorders>
            <w:shd w:val="clear" w:color="auto" w:fill="auto"/>
            <w:noWrap/>
            <w:vAlign w:val="bottom"/>
            <w:hideMark/>
          </w:tcPr>
          <w:p w14:paraId="25AA91D3" w14:textId="5C2CCB9C"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A9238C" w14:textId="3D5A6EFD" w:rsidR="00BD229F" w:rsidRDefault="00BD229F" w:rsidP="00BD229F">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2C567CF" w14:textId="0450289E" w:rsidR="00BD229F" w:rsidRDefault="00BD229F" w:rsidP="00BD229F">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2A2C41A6" w14:textId="48729026"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EDF41C9" w14:textId="15BBF227" w:rsidR="00BD229F" w:rsidRDefault="00BD229F" w:rsidP="00BD229F">
            <w:pPr>
              <w:jc w:val="right"/>
              <w:rPr>
                <w:b/>
                <w:bCs/>
                <w:color w:val="000000"/>
                <w:sz w:val="20"/>
                <w:szCs w:val="20"/>
              </w:rPr>
            </w:pPr>
            <w:r>
              <w:rPr>
                <w:b/>
                <w:bCs/>
                <w:color w:val="000000"/>
                <w:sz w:val="20"/>
                <w:szCs w:val="20"/>
              </w:rPr>
              <w:t>-0.126</w:t>
            </w:r>
          </w:p>
        </w:tc>
        <w:tc>
          <w:tcPr>
            <w:tcW w:w="768" w:type="dxa"/>
            <w:tcBorders>
              <w:top w:val="nil"/>
              <w:left w:val="nil"/>
              <w:bottom w:val="nil"/>
              <w:right w:val="nil"/>
            </w:tcBorders>
            <w:shd w:val="clear" w:color="auto" w:fill="auto"/>
            <w:noWrap/>
            <w:vAlign w:val="bottom"/>
            <w:hideMark/>
          </w:tcPr>
          <w:p w14:paraId="55EBBCF8" w14:textId="14D868EC" w:rsidR="00BD229F" w:rsidRDefault="00BD229F" w:rsidP="00BD229F">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FBD6729" w14:textId="5AB6E7C9" w:rsidR="00BD229F" w:rsidRDefault="00BD229F" w:rsidP="00BD229F">
            <w:pPr>
              <w:jc w:val="right"/>
              <w:rPr>
                <w:color w:val="000000"/>
                <w:sz w:val="20"/>
                <w:szCs w:val="20"/>
              </w:rPr>
            </w:pPr>
            <w:r>
              <w:rPr>
                <w:b/>
                <w:bCs/>
                <w:color w:val="000000"/>
                <w:sz w:val="20"/>
                <w:szCs w:val="20"/>
              </w:rPr>
              <w:t>0.016</w:t>
            </w:r>
          </w:p>
        </w:tc>
      </w:tr>
      <w:tr w:rsidR="00BD229F" w14:paraId="7C7BA671" w14:textId="77777777" w:rsidTr="00432B71">
        <w:trPr>
          <w:trHeight w:val="317"/>
        </w:trPr>
        <w:tc>
          <w:tcPr>
            <w:tcW w:w="1176" w:type="dxa"/>
            <w:tcBorders>
              <w:top w:val="nil"/>
              <w:left w:val="nil"/>
              <w:bottom w:val="nil"/>
              <w:right w:val="nil"/>
            </w:tcBorders>
            <w:shd w:val="clear" w:color="auto" w:fill="auto"/>
            <w:noWrap/>
            <w:vAlign w:val="bottom"/>
            <w:hideMark/>
          </w:tcPr>
          <w:p w14:paraId="0D10FCA3"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FB8A220" w14:textId="77777777" w:rsidR="00BD229F" w:rsidRDefault="00BD229F" w:rsidP="00BD229F">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9308635" w14:textId="77752CEF" w:rsidR="00BD229F" w:rsidRDefault="00BD229F" w:rsidP="00BD229F">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65997E43" w14:textId="59572DCB" w:rsidR="00BD229F" w:rsidRDefault="00BD229F" w:rsidP="00BD229F">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4C8DB677" w14:textId="79F89B58"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9DE32C" w14:textId="482151AC" w:rsidR="00BD229F" w:rsidRDefault="00BD229F" w:rsidP="00BD229F">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0B20F710" w14:textId="5E8C12AD" w:rsidR="00BD229F" w:rsidRDefault="00BD229F" w:rsidP="00BD229F">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0AB2DFD5" w14:textId="4E2A12FF"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B4198A4" w14:textId="6C80B5F3" w:rsidR="00BD229F" w:rsidRDefault="00BD229F" w:rsidP="00BD229F">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6E899023" w14:textId="0F3C7060" w:rsidR="00BD229F" w:rsidRDefault="00BD229F" w:rsidP="00BD229F">
            <w:pPr>
              <w:jc w:val="right"/>
              <w:rPr>
                <w:color w:val="000000"/>
                <w:sz w:val="20"/>
                <w:szCs w:val="20"/>
              </w:rPr>
            </w:pPr>
            <w:r>
              <w:rPr>
                <w:color w:val="000000"/>
                <w:sz w:val="20"/>
                <w:szCs w:val="20"/>
              </w:rPr>
              <w:t>0.548</w:t>
            </w:r>
          </w:p>
        </w:tc>
        <w:tc>
          <w:tcPr>
            <w:tcW w:w="768" w:type="dxa"/>
            <w:tcBorders>
              <w:top w:val="nil"/>
              <w:left w:val="nil"/>
              <w:bottom w:val="nil"/>
              <w:right w:val="nil"/>
            </w:tcBorders>
            <w:shd w:val="clear" w:color="auto" w:fill="auto"/>
            <w:noWrap/>
            <w:vAlign w:val="bottom"/>
            <w:hideMark/>
          </w:tcPr>
          <w:p w14:paraId="2E6B7046" w14:textId="1CA17028"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ABEF416" w14:textId="74247C55" w:rsidR="00BD229F" w:rsidRDefault="00BD229F" w:rsidP="00BD229F">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3AA6D4D9" w14:textId="67D19195" w:rsidR="00BD229F" w:rsidRDefault="00BD229F" w:rsidP="00BD229F">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2D404F0B" w14:textId="1EC599A6"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25140B" w14:textId="41C26408"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47EA292" w14:textId="43CE7019" w:rsidR="00BD229F" w:rsidRDefault="00BD229F" w:rsidP="00BD229F">
            <w:pPr>
              <w:jc w:val="right"/>
              <w:rPr>
                <w:color w:val="000000"/>
                <w:sz w:val="20"/>
                <w:szCs w:val="20"/>
              </w:rPr>
            </w:pPr>
            <w:r>
              <w:rPr>
                <w:color w:val="000000"/>
                <w:sz w:val="20"/>
                <w:szCs w:val="20"/>
              </w:rPr>
              <w:t>0.860</w:t>
            </w:r>
          </w:p>
        </w:tc>
        <w:tc>
          <w:tcPr>
            <w:tcW w:w="768" w:type="dxa"/>
            <w:tcBorders>
              <w:top w:val="nil"/>
              <w:left w:val="nil"/>
              <w:bottom w:val="nil"/>
              <w:right w:val="nil"/>
            </w:tcBorders>
            <w:shd w:val="clear" w:color="auto" w:fill="auto"/>
            <w:noWrap/>
            <w:vAlign w:val="bottom"/>
            <w:hideMark/>
          </w:tcPr>
          <w:p w14:paraId="092F73D7" w14:textId="1B3A26AB" w:rsidR="00BD229F" w:rsidRDefault="00BD229F" w:rsidP="00BD229F">
            <w:pPr>
              <w:jc w:val="right"/>
              <w:rPr>
                <w:color w:val="000000"/>
                <w:sz w:val="20"/>
                <w:szCs w:val="20"/>
              </w:rPr>
            </w:pPr>
            <w:r>
              <w:rPr>
                <w:color w:val="000000"/>
                <w:sz w:val="20"/>
                <w:szCs w:val="20"/>
              </w:rPr>
              <w:t>0.000</w:t>
            </w:r>
          </w:p>
        </w:tc>
      </w:tr>
      <w:tr w:rsidR="00BD229F" w14:paraId="70F107F8" w14:textId="77777777" w:rsidTr="00432B71">
        <w:trPr>
          <w:trHeight w:val="317"/>
        </w:trPr>
        <w:tc>
          <w:tcPr>
            <w:tcW w:w="1176" w:type="dxa"/>
            <w:tcBorders>
              <w:top w:val="nil"/>
              <w:left w:val="nil"/>
              <w:bottom w:val="nil"/>
              <w:right w:val="nil"/>
            </w:tcBorders>
            <w:shd w:val="clear" w:color="auto" w:fill="auto"/>
            <w:noWrap/>
            <w:vAlign w:val="bottom"/>
            <w:hideMark/>
          </w:tcPr>
          <w:p w14:paraId="2EAD24C1"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367C293" w14:textId="77777777" w:rsidR="00BD229F" w:rsidRDefault="00BD229F" w:rsidP="00BD229F">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EA05FA9" w14:textId="54E91048" w:rsidR="00BD229F" w:rsidRDefault="00BD229F" w:rsidP="00BD229F">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982C390" w14:textId="2374F088" w:rsidR="00BD229F" w:rsidRDefault="00BD229F" w:rsidP="00BD229F">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58955E2D" w14:textId="1D9847D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4ACFA4" w14:textId="4BD4CFD0" w:rsidR="00BD229F" w:rsidRDefault="00BD229F" w:rsidP="00BD229F">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20CCAFA" w14:textId="19A22606" w:rsidR="00BD229F" w:rsidRDefault="00BD229F" w:rsidP="00BD229F">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4FD3B129" w14:textId="285D7956"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4051A8" w14:textId="3F1CADB7" w:rsidR="00BD229F" w:rsidRDefault="00BD229F" w:rsidP="00BD229F">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498952C0" w14:textId="41160A8C" w:rsidR="00BD229F" w:rsidRDefault="00BD229F" w:rsidP="00BD229F">
            <w:pPr>
              <w:jc w:val="right"/>
              <w:rPr>
                <w:color w:val="000000"/>
                <w:sz w:val="20"/>
                <w:szCs w:val="20"/>
              </w:rPr>
            </w:pPr>
            <w:r>
              <w:rPr>
                <w:color w:val="000000"/>
                <w:sz w:val="20"/>
                <w:szCs w:val="20"/>
              </w:rPr>
              <w:t>0.548</w:t>
            </w:r>
          </w:p>
        </w:tc>
        <w:tc>
          <w:tcPr>
            <w:tcW w:w="768" w:type="dxa"/>
            <w:tcBorders>
              <w:top w:val="nil"/>
              <w:left w:val="nil"/>
              <w:bottom w:val="nil"/>
              <w:right w:val="nil"/>
            </w:tcBorders>
            <w:shd w:val="clear" w:color="auto" w:fill="auto"/>
            <w:noWrap/>
            <w:vAlign w:val="bottom"/>
            <w:hideMark/>
          </w:tcPr>
          <w:p w14:paraId="34387CD9" w14:textId="4E69276D"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61A564A" w14:textId="17E66B83" w:rsidR="00BD229F" w:rsidRDefault="00BD229F" w:rsidP="00BD229F">
            <w:pPr>
              <w:jc w:val="right"/>
              <w:rPr>
                <w:b/>
                <w:bCs/>
                <w:color w:val="000000"/>
                <w:sz w:val="20"/>
                <w:szCs w:val="20"/>
              </w:rPr>
            </w:pPr>
            <w:r>
              <w:rPr>
                <w:b/>
                <w:bCs/>
                <w:color w:val="000000"/>
                <w:sz w:val="20"/>
                <w:szCs w:val="20"/>
              </w:rPr>
              <w:t>-0.093</w:t>
            </w:r>
          </w:p>
        </w:tc>
        <w:tc>
          <w:tcPr>
            <w:tcW w:w="768" w:type="dxa"/>
            <w:tcBorders>
              <w:top w:val="nil"/>
              <w:left w:val="nil"/>
              <w:bottom w:val="nil"/>
              <w:right w:val="nil"/>
            </w:tcBorders>
            <w:shd w:val="clear" w:color="auto" w:fill="auto"/>
            <w:noWrap/>
            <w:vAlign w:val="bottom"/>
            <w:hideMark/>
          </w:tcPr>
          <w:p w14:paraId="6B6D3D55" w14:textId="7C601349" w:rsidR="00BD229F" w:rsidRDefault="00BD229F" w:rsidP="00BD229F">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58D6C7CF" w14:textId="44C810BF" w:rsidR="00BD229F" w:rsidRDefault="00BD229F" w:rsidP="00BD229F">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42BC39A0" w14:textId="436EC55C" w:rsidR="00BD229F" w:rsidRDefault="00BD229F" w:rsidP="00BD229F">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49FB7868" w14:textId="1A013B4D" w:rsidR="00BD229F" w:rsidRDefault="00BD229F" w:rsidP="00BD229F">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4F46F9FC" w14:textId="68437E1F" w:rsidR="00BD229F" w:rsidRDefault="00BD229F" w:rsidP="00BD229F">
            <w:pPr>
              <w:jc w:val="right"/>
              <w:rPr>
                <w:color w:val="000000"/>
                <w:sz w:val="20"/>
                <w:szCs w:val="20"/>
              </w:rPr>
            </w:pPr>
            <w:r>
              <w:rPr>
                <w:color w:val="000000"/>
                <w:sz w:val="20"/>
                <w:szCs w:val="20"/>
              </w:rPr>
              <w:t>0.003</w:t>
            </w:r>
          </w:p>
        </w:tc>
      </w:tr>
      <w:tr w:rsidR="00BD229F" w14:paraId="43B8C481" w14:textId="77777777" w:rsidTr="00432B71">
        <w:trPr>
          <w:trHeight w:val="317"/>
        </w:trPr>
        <w:tc>
          <w:tcPr>
            <w:tcW w:w="1176" w:type="dxa"/>
            <w:tcBorders>
              <w:top w:val="nil"/>
              <w:left w:val="nil"/>
              <w:bottom w:val="nil"/>
              <w:right w:val="nil"/>
            </w:tcBorders>
            <w:shd w:val="clear" w:color="auto" w:fill="auto"/>
            <w:noWrap/>
            <w:vAlign w:val="bottom"/>
            <w:hideMark/>
          </w:tcPr>
          <w:p w14:paraId="69CBA39C"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5094E1" w14:textId="77777777" w:rsidR="00BD229F" w:rsidRDefault="00BD229F" w:rsidP="00BD229F">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26C4338" w14:textId="420C65C6" w:rsidR="00BD229F" w:rsidRDefault="00BD229F" w:rsidP="00BD229F">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E5BA01F" w14:textId="25F7AB84" w:rsidR="00BD229F" w:rsidRDefault="00BD229F" w:rsidP="00BD229F">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4C1AAADD" w14:textId="084763F6"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19C5D0" w14:textId="68B23B23" w:rsidR="00BD229F" w:rsidRDefault="00BD229F" w:rsidP="00BD229F">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15C69B20" w14:textId="7472A2D1" w:rsidR="00BD229F" w:rsidRDefault="00BD229F" w:rsidP="00BD229F">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7F39D6F0" w14:textId="79D6580C"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8F7BDDB" w14:textId="2E6A43F6" w:rsidR="00BD229F" w:rsidRDefault="00BD229F" w:rsidP="00BD229F">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33B6064" w14:textId="3F0E7A9B" w:rsidR="00BD229F" w:rsidRDefault="00BD229F" w:rsidP="00BD229F">
            <w:pPr>
              <w:jc w:val="right"/>
              <w:rPr>
                <w:color w:val="000000"/>
                <w:sz w:val="20"/>
                <w:szCs w:val="20"/>
              </w:rPr>
            </w:pPr>
            <w:r>
              <w:rPr>
                <w:color w:val="000000"/>
                <w:sz w:val="20"/>
                <w:szCs w:val="20"/>
              </w:rPr>
              <w:t>0.548</w:t>
            </w:r>
          </w:p>
        </w:tc>
        <w:tc>
          <w:tcPr>
            <w:tcW w:w="768" w:type="dxa"/>
            <w:tcBorders>
              <w:top w:val="nil"/>
              <w:left w:val="nil"/>
              <w:bottom w:val="nil"/>
              <w:right w:val="nil"/>
            </w:tcBorders>
            <w:shd w:val="clear" w:color="auto" w:fill="auto"/>
            <w:noWrap/>
            <w:vAlign w:val="bottom"/>
            <w:hideMark/>
          </w:tcPr>
          <w:p w14:paraId="17ED8A0A" w14:textId="0CCBD801"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D54D79" w14:textId="0892A24B" w:rsidR="00BD229F" w:rsidRDefault="00BD229F" w:rsidP="00BD229F">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809C90A" w14:textId="589E01BF" w:rsidR="00BD229F" w:rsidRDefault="00BD229F" w:rsidP="00BD229F">
            <w:pPr>
              <w:jc w:val="right"/>
              <w:rPr>
                <w:color w:val="000000"/>
                <w:sz w:val="20"/>
                <w:szCs w:val="20"/>
              </w:rPr>
            </w:pPr>
            <w:r>
              <w:rPr>
                <w:color w:val="000000"/>
                <w:sz w:val="20"/>
                <w:szCs w:val="20"/>
              </w:rPr>
              <w:t>0.851</w:t>
            </w:r>
          </w:p>
        </w:tc>
        <w:tc>
          <w:tcPr>
            <w:tcW w:w="768" w:type="dxa"/>
            <w:tcBorders>
              <w:top w:val="nil"/>
              <w:left w:val="nil"/>
              <w:bottom w:val="nil"/>
              <w:right w:val="nil"/>
            </w:tcBorders>
            <w:shd w:val="clear" w:color="auto" w:fill="auto"/>
            <w:noWrap/>
            <w:vAlign w:val="bottom"/>
            <w:hideMark/>
          </w:tcPr>
          <w:p w14:paraId="1A72534F" w14:textId="1BE5355D"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F2CCE6" w14:textId="15214C94" w:rsidR="00BD229F" w:rsidRDefault="00BD229F" w:rsidP="00BD229F">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33AB6D2C" w14:textId="0798E078" w:rsidR="00BD229F" w:rsidRDefault="00BD229F" w:rsidP="00BD229F">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5287EDC0" w14:textId="7A5A1765" w:rsidR="00BD229F" w:rsidRDefault="00BD229F" w:rsidP="00BD229F">
            <w:pPr>
              <w:jc w:val="right"/>
              <w:rPr>
                <w:color w:val="000000"/>
                <w:sz w:val="20"/>
                <w:szCs w:val="20"/>
              </w:rPr>
            </w:pPr>
            <w:r>
              <w:rPr>
                <w:color w:val="000000"/>
                <w:sz w:val="20"/>
                <w:szCs w:val="20"/>
              </w:rPr>
              <w:t>0.002</w:t>
            </w:r>
          </w:p>
        </w:tc>
      </w:tr>
      <w:tr w:rsidR="00BD229F" w14:paraId="3A61CC7E" w14:textId="77777777" w:rsidTr="00432B71">
        <w:trPr>
          <w:trHeight w:val="317"/>
        </w:trPr>
        <w:tc>
          <w:tcPr>
            <w:tcW w:w="1176" w:type="dxa"/>
            <w:tcBorders>
              <w:top w:val="nil"/>
              <w:left w:val="nil"/>
              <w:bottom w:val="nil"/>
              <w:right w:val="nil"/>
            </w:tcBorders>
            <w:shd w:val="clear" w:color="auto" w:fill="auto"/>
            <w:noWrap/>
            <w:vAlign w:val="bottom"/>
            <w:hideMark/>
          </w:tcPr>
          <w:p w14:paraId="225755F7"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B89BB0D" w14:textId="77777777" w:rsidR="00BD229F" w:rsidRDefault="00BD229F" w:rsidP="00BD229F">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DD99ECA" w14:textId="5BA6A8E8" w:rsidR="00BD229F" w:rsidRDefault="00BD229F" w:rsidP="00BD229F">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60AD86A5" w14:textId="660CB56A" w:rsidR="00BD229F" w:rsidRDefault="00BD229F" w:rsidP="00BD229F">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7C134AEB" w14:textId="459D4A8A"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B2E178E" w14:textId="6C57E079"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24A5192" w14:textId="260C6DCC" w:rsidR="00BD229F" w:rsidRDefault="00BD229F" w:rsidP="00BD229F">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7827FD3E" w14:textId="49F733C1"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2B1E00" w14:textId="4F9324B5" w:rsidR="00BD229F" w:rsidRDefault="00BD229F" w:rsidP="00BD229F">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5E2AB4C0" w14:textId="5E1C6483" w:rsidR="00BD229F" w:rsidRDefault="00BD229F" w:rsidP="00BD229F">
            <w:pPr>
              <w:jc w:val="right"/>
              <w:rPr>
                <w:color w:val="000000"/>
                <w:sz w:val="20"/>
                <w:szCs w:val="20"/>
              </w:rPr>
            </w:pPr>
            <w:r>
              <w:rPr>
                <w:color w:val="000000"/>
                <w:sz w:val="20"/>
                <w:szCs w:val="20"/>
              </w:rPr>
              <w:t>0.548</w:t>
            </w:r>
          </w:p>
        </w:tc>
        <w:tc>
          <w:tcPr>
            <w:tcW w:w="768" w:type="dxa"/>
            <w:tcBorders>
              <w:top w:val="nil"/>
              <w:left w:val="nil"/>
              <w:bottom w:val="nil"/>
              <w:right w:val="nil"/>
            </w:tcBorders>
            <w:shd w:val="clear" w:color="auto" w:fill="auto"/>
            <w:noWrap/>
            <w:vAlign w:val="bottom"/>
            <w:hideMark/>
          </w:tcPr>
          <w:p w14:paraId="2764FFEB" w14:textId="40EB225F"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BAAFDD" w14:textId="67129F32" w:rsidR="00BD229F" w:rsidRDefault="00BD229F" w:rsidP="00BD229F">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CF994CA" w14:textId="49C6EA62" w:rsidR="00BD229F" w:rsidRDefault="00BD229F" w:rsidP="00BD229F">
            <w:pPr>
              <w:jc w:val="right"/>
              <w:rPr>
                <w:color w:val="000000"/>
                <w:sz w:val="20"/>
                <w:szCs w:val="20"/>
              </w:rPr>
            </w:pPr>
            <w:r>
              <w:rPr>
                <w:color w:val="000000"/>
                <w:sz w:val="20"/>
                <w:szCs w:val="20"/>
              </w:rPr>
              <w:t>0.851</w:t>
            </w:r>
          </w:p>
        </w:tc>
        <w:tc>
          <w:tcPr>
            <w:tcW w:w="768" w:type="dxa"/>
            <w:tcBorders>
              <w:top w:val="nil"/>
              <w:left w:val="nil"/>
              <w:bottom w:val="nil"/>
              <w:right w:val="nil"/>
            </w:tcBorders>
            <w:shd w:val="clear" w:color="auto" w:fill="auto"/>
            <w:noWrap/>
            <w:vAlign w:val="bottom"/>
            <w:hideMark/>
          </w:tcPr>
          <w:p w14:paraId="6DCDEB9D" w14:textId="662279B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D4C4E6" w14:textId="61DD23EC" w:rsidR="00BD229F" w:rsidRDefault="00BD229F" w:rsidP="00BD229F">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0925D87" w14:textId="5A25D0A0" w:rsidR="00BD229F" w:rsidRDefault="00BD229F" w:rsidP="00BD229F">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3A1B0A2A" w14:textId="52C2B9C7" w:rsidR="00BD229F" w:rsidRDefault="00BD229F" w:rsidP="00BD229F">
            <w:pPr>
              <w:jc w:val="right"/>
              <w:rPr>
                <w:color w:val="000000"/>
                <w:sz w:val="20"/>
                <w:szCs w:val="20"/>
              </w:rPr>
            </w:pPr>
            <w:r>
              <w:rPr>
                <w:color w:val="000000"/>
                <w:sz w:val="20"/>
                <w:szCs w:val="20"/>
              </w:rPr>
              <w:t>0.000</w:t>
            </w:r>
          </w:p>
        </w:tc>
      </w:tr>
      <w:tr w:rsidR="00BD229F" w14:paraId="26C0015B" w14:textId="77777777" w:rsidTr="00432B71">
        <w:trPr>
          <w:trHeight w:val="317"/>
        </w:trPr>
        <w:tc>
          <w:tcPr>
            <w:tcW w:w="1176" w:type="dxa"/>
            <w:tcBorders>
              <w:top w:val="nil"/>
              <w:left w:val="nil"/>
              <w:bottom w:val="nil"/>
              <w:right w:val="nil"/>
            </w:tcBorders>
            <w:shd w:val="clear" w:color="auto" w:fill="auto"/>
            <w:noWrap/>
            <w:vAlign w:val="bottom"/>
            <w:hideMark/>
          </w:tcPr>
          <w:p w14:paraId="54EED271"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0C1CA1" w14:textId="77777777" w:rsidR="00BD229F" w:rsidRDefault="00BD229F" w:rsidP="00BD229F">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0B335B1" w14:textId="1695045E" w:rsidR="00BD229F" w:rsidRDefault="00BD229F" w:rsidP="00BD229F">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61F7BAD" w14:textId="29CF279B" w:rsidR="00BD229F" w:rsidRDefault="00BD229F" w:rsidP="00BD229F">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40D8746A" w14:textId="2EC46469"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F6D4CF" w14:textId="00862A97" w:rsidR="00BD229F" w:rsidRDefault="00BD229F" w:rsidP="00BD229F">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7A4EDBEB" w14:textId="02B181B1" w:rsidR="00BD229F" w:rsidRDefault="00BD229F" w:rsidP="00BD229F">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3E57B497" w14:textId="34FFB082"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B7E630" w14:textId="749BE928"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069767" w14:textId="3EF3A5EE" w:rsidR="00BD229F" w:rsidRDefault="00BD229F" w:rsidP="00BD229F">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06EB2DB4" w14:textId="17234B85"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44F95B" w14:textId="7DF7A6C8" w:rsidR="00BD229F" w:rsidRDefault="00BD229F" w:rsidP="00BD229F">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C1EDCEA" w14:textId="72B00B0C" w:rsidR="00BD229F" w:rsidRDefault="00BD229F" w:rsidP="00BD229F">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470DFA70" w14:textId="58A6E1B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4D7738" w14:textId="21C94C62" w:rsidR="00BD229F" w:rsidRDefault="00BD229F" w:rsidP="00BD229F">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7CE3AC0E" w14:textId="624415BB" w:rsidR="00BD229F" w:rsidRDefault="00BD229F" w:rsidP="00BD229F">
            <w:pPr>
              <w:jc w:val="right"/>
              <w:rPr>
                <w:color w:val="000000"/>
                <w:sz w:val="20"/>
                <w:szCs w:val="20"/>
              </w:rPr>
            </w:pPr>
            <w:r>
              <w:rPr>
                <w:color w:val="000000"/>
                <w:sz w:val="20"/>
                <w:szCs w:val="20"/>
              </w:rPr>
              <w:t>0.429</w:t>
            </w:r>
          </w:p>
        </w:tc>
        <w:tc>
          <w:tcPr>
            <w:tcW w:w="768" w:type="dxa"/>
            <w:tcBorders>
              <w:top w:val="nil"/>
              <w:left w:val="nil"/>
              <w:bottom w:val="nil"/>
              <w:right w:val="nil"/>
            </w:tcBorders>
            <w:shd w:val="clear" w:color="auto" w:fill="auto"/>
            <w:noWrap/>
            <w:vAlign w:val="bottom"/>
            <w:hideMark/>
          </w:tcPr>
          <w:p w14:paraId="454C9A15" w14:textId="21E78886" w:rsidR="00BD229F" w:rsidRDefault="00BD229F" w:rsidP="00BD229F">
            <w:pPr>
              <w:jc w:val="right"/>
              <w:rPr>
                <w:color w:val="000000"/>
                <w:sz w:val="20"/>
                <w:szCs w:val="20"/>
              </w:rPr>
            </w:pPr>
            <w:r>
              <w:rPr>
                <w:color w:val="000000"/>
                <w:sz w:val="20"/>
                <w:szCs w:val="20"/>
              </w:rPr>
              <w:t>0.002</w:t>
            </w:r>
          </w:p>
        </w:tc>
      </w:tr>
      <w:tr w:rsidR="00BD229F" w14:paraId="65153242" w14:textId="77777777" w:rsidTr="00432B71">
        <w:trPr>
          <w:trHeight w:val="317"/>
        </w:trPr>
        <w:tc>
          <w:tcPr>
            <w:tcW w:w="1176" w:type="dxa"/>
            <w:tcBorders>
              <w:top w:val="nil"/>
              <w:left w:val="nil"/>
              <w:bottom w:val="single" w:sz="4" w:space="0" w:color="auto"/>
              <w:right w:val="nil"/>
            </w:tcBorders>
            <w:shd w:val="clear" w:color="auto" w:fill="auto"/>
            <w:noWrap/>
            <w:vAlign w:val="bottom"/>
            <w:hideMark/>
          </w:tcPr>
          <w:p w14:paraId="2F00BEDA" w14:textId="77777777" w:rsidR="00BD229F" w:rsidRDefault="00BD229F" w:rsidP="00BD229F">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AA66CEA" w14:textId="77777777" w:rsidR="00BD229F" w:rsidRDefault="00BD229F" w:rsidP="00BD229F">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DAD1DEE" w14:textId="5C9D8084" w:rsidR="00BD229F" w:rsidRDefault="00BD229F" w:rsidP="00BD229F">
            <w:pPr>
              <w:jc w:val="right"/>
              <w:rPr>
                <w:color w:val="000000"/>
                <w:sz w:val="20"/>
                <w:szCs w:val="20"/>
              </w:rPr>
            </w:pPr>
            <w:r>
              <w:rPr>
                <w:color w:val="000000"/>
                <w:sz w:val="20"/>
                <w:szCs w:val="20"/>
              </w:rPr>
              <w:t>-0.049</w:t>
            </w:r>
          </w:p>
        </w:tc>
        <w:tc>
          <w:tcPr>
            <w:tcW w:w="768" w:type="dxa"/>
            <w:tcBorders>
              <w:top w:val="nil"/>
              <w:left w:val="nil"/>
              <w:bottom w:val="single" w:sz="4" w:space="0" w:color="auto"/>
              <w:right w:val="nil"/>
            </w:tcBorders>
            <w:shd w:val="clear" w:color="auto" w:fill="auto"/>
            <w:noWrap/>
            <w:vAlign w:val="bottom"/>
            <w:hideMark/>
          </w:tcPr>
          <w:p w14:paraId="256213E5" w14:textId="50EF2E0F" w:rsidR="00BD229F" w:rsidRDefault="00BD229F" w:rsidP="00BD229F">
            <w:pPr>
              <w:jc w:val="right"/>
              <w:rPr>
                <w:color w:val="000000"/>
                <w:sz w:val="20"/>
                <w:szCs w:val="20"/>
              </w:rPr>
            </w:pPr>
            <w:r>
              <w:rPr>
                <w:color w:val="000000"/>
                <w:sz w:val="20"/>
                <w:szCs w:val="20"/>
              </w:rPr>
              <w:t>0.416</w:t>
            </w:r>
          </w:p>
        </w:tc>
        <w:tc>
          <w:tcPr>
            <w:tcW w:w="768" w:type="dxa"/>
            <w:tcBorders>
              <w:top w:val="nil"/>
              <w:left w:val="nil"/>
              <w:bottom w:val="single" w:sz="4" w:space="0" w:color="auto"/>
              <w:right w:val="nil"/>
            </w:tcBorders>
            <w:shd w:val="clear" w:color="auto" w:fill="auto"/>
            <w:noWrap/>
            <w:vAlign w:val="bottom"/>
            <w:hideMark/>
          </w:tcPr>
          <w:p w14:paraId="3EA20957" w14:textId="20DCF21E"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94D1D94" w14:textId="78C20DD9" w:rsidR="00BD229F" w:rsidRDefault="00BD229F" w:rsidP="00BD229F">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4E74A1D6" w14:textId="018A4532" w:rsidR="00BD229F" w:rsidRDefault="00BD229F" w:rsidP="00BD229F">
            <w:pPr>
              <w:jc w:val="right"/>
              <w:rPr>
                <w:color w:val="000000"/>
                <w:sz w:val="20"/>
                <w:szCs w:val="20"/>
              </w:rPr>
            </w:pPr>
            <w:r>
              <w:rPr>
                <w:color w:val="000000"/>
                <w:sz w:val="20"/>
                <w:szCs w:val="20"/>
              </w:rPr>
              <w:t>0.774</w:t>
            </w:r>
          </w:p>
        </w:tc>
        <w:tc>
          <w:tcPr>
            <w:tcW w:w="768" w:type="dxa"/>
            <w:tcBorders>
              <w:top w:val="nil"/>
              <w:left w:val="nil"/>
              <w:bottom w:val="single" w:sz="4" w:space="0" w:color="auto"/>
              <w:right w:val="nil"/>
            </w:tcBorders>
            <w:shd w:val="clear" w:color="auto" w:fill="auto"/>
            <w:noWrap/>
            <w:vAlign w:val="bottom"/>
            <w:hideMark/>
          </w:tcPr>
          <w:p w14:paraId="6B717E3C" w14:textId="35D8040A"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C04A86C" w14:textId="49DD4D69" w:rsidR="00BD229F" w:rsidRDefault="00BD229F" w:rsidP="00BD229F">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59BE3556" w14:textId="08E24D7A" w:rsidR="00BD229F" w:rsidRDefault="00BD229F" w:rsidP="00BD229F">
            <w:pPr>
              <w:jc w:val="right"/>
              <w:rPr>
                <w:color w:val="000000"/>
                <w:sz w:val="20"/>
                <w:szCs w:val="20"/>
              </w:rPr>
            </w:pPr>
            <w:r>
              <w:rPr>
                <w:color w:val="000000"/>
                <w:sz w:val="20"/>
                <w:szCs w:val="20"/>
              </w:rPr>
              <w:t>0.548</w:t>
            </w:r>
          </w:p>
        </w:tc>
        <w:tc>
          <w:tcPr>
            <w:tcW w:w="768" w:type="dxa"/>
            <w:tcBorders>
              <w:top w:val="nil"/>
              <w:left w:val="nil"/>
              <w:bottom w:val="single" w:sz="4" w:space="0" w:color="auto"/>
              <w:right w:val="nil"/>
            </w:tcBorders>
            <w:shd w:val="clear" w:color="auto" w:fill="auto"/>
            <w:noWrap/>
            <w:vAlign w:val="bottom"/>
            <w:hideMark/>
          </w:tcPr>
          <w:p w14:paraId="7111190D" w14:textId="0FD3F529"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7FB0EBF" w14:textId="74524085" w:rsidR="00BD229F" w:rsidRDefault="00BD229F" w:rsidP="00BD229F">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35717527" w14:textId="2864A8E0" w:rsidR="00BD229F" w:rsidRDefault="00BD229F" w:rsidP="00BD229F">
            <w:pPr>
              <w:jc w:val="right"/>
              <w:rPr>
                <w:color w:val="000000"/>
                <w:sz w:val="20"/>
                <w:szCs w:val="20"/>
              </w:rPr>
            </w:pPr>
            <w:r>
              <w:rPr>
                <w:color w:val="000000"/>
                <w:sz w:val="20"/>
                <w:szCs w:val="20"/>
              </w:rPr>
              <w:t>0.552</w:t>
            </w:r>
          </w:p>
        </w:tc>
        <w:tc>
          <w:tcPr>
            <w:tcW w:w="768" w:type="dxa"/>
            <w:tcBorders>
              <w:top w:val="nil"/>
              <w:left w:val="nil"/>
              <w:bottom w:val="single" w:sz="4" w:space="0" w:color="auto"/>
              <w:right w:val="nil"/>
            </w:tcBorders>
            <w:shd w:val="clear" w:color="auto" w:fill="auto"/>
            <w:noWrap/>
            <w:vAlign w:val="bottom"/>
            <w:hideMark/>
          </w:tcPr>
          <w:p w14:paraId="5CA822BF" w14:textId="395D6AC5"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949E176" w14:textId="5CD031F5" w:rsidR="00BD229F" w:rsidRDefault="00BD229F" w:rsidP="00BD229F">
            <w:pPr>
              <w:jc w:val="right"/>
              <w:rPr>
                <w:color w:val="000000"/>
                <w:sz w:val="20"/>
                <w:szCs w:val="20"/>
              </w:rPr>
            </w:pPr>
            <w:r>
              <w:rPr>
                <w:color w:val="000000"/>
                <w:sz w:val="20"/>
                <w:szCs w:val="20"/>
              </w:rPr>
              <w:t>0.051</w:t>
            </w:r>
          </w:p>
        </w:tc>
        <w:tc>
          <w:tcPr>
            <w:tcW w:w="768" w:type="dxa"/>
            <w:tcBorders>
              <w:top w:val="nil"/>
              <w:left w:val="nil"/>
              <w:bottom w:val="single" w:sz="4" w:space="0" w:color="auto"/>
              <w:right w:val="nil"/>
            </w:tcBorders>
            <w:shd w:val="clear" w:color="auto" w:fill="auto"/>
            <w:noWrap/>
            <w:vAlign w:val="bottom"/>
            <w:hideMark/>
          </w:tcPr>
          <w:p w14:paraId="625B512B" w14:textId="7DCCAFA0" w:rsidR="00BD229F" w:rsidRDefault="00BD229F" w:rsidP="00BD229F">
            <w:pPr>
              <w:jc w:val="right"/>
              <w:rPr>
                <w:color w:val="000000"/>
                <w:sz w:val="20"/>
                <w:szCs w:val="20"/>
              </w:rPr>
            </w:pPr>
            <w:r>
              <w:rPr>
                <w:color w:val="000000"/>
                <w:sz w:val="20"/>
                <w:szCs w:val="20"/>
              </w:rPr>
              <w:t>0.320</w:t>
            </w:r>
          </w:p>
        </w:tc>
        <w:tc>
          <w:tcPr>
            <w:tcW w:w="768" w:type="dxa"/>
            <w:tcBorders>
              <w:top w:val="nil"/>
              <w:left w:val="nil"/>
              <w:bottom w:val="single" w:sz="4" w:space="0" w:color="auto"/>
              <w:right w:val="nil"/>
            </w:tcBorders>
            <w:shd w:val="clear" w:color="auto" w:fill="auto"/>
            <w:noWrap/>
            <w:vAlign w:val="bottom"/>
            <w:hideMark/>
          </w:tcPr>
          <w:p w14:paraId="6445CEA3" w14:textId="65B5620E" w:rsidR="00BD229F" w:rsidRDefault="00BD229F" w:rsidP="00BD229F">
            <w:pPr>
              <w:jc w:val="right"/>
              <w:rPr>
                <w:color w:val="000000"/>
                <w:sz w:val="20"/>
                <w:szCs w:val="20"/>
              </w:rPr>
            </w:pPr>
            <w:r>
              <w:rPr>
                <w:color w:val="000000"/>
                <w:sz w:val="20"/>
                <w:szCs w:val="20"/>
              </w:rPr>
              <w:t>0.003</w:t>
            </w:r>
          </w:p>
        </w:tc>
      </w:tr>
      <w:tr w:rsidR="00BD229F" w14:paraId="611968A0" w14:textId="77777777" w:rsidTr="00731940">
        <w:trPr>
          <w:trHeight w:val="260"/>
        </w:trPr>
        <w:tc>
          <w:tcPr>
            <w:tcW w:w="1176" w:type="dxa"/>
            <w:tcBorders>
              <w:top w:val="nil"/>
              <w:left w:val="nil"/>
              <w:bottom w:val="nil"/>
              <w:right w:val="nil"/>
            </w:tcBorders>
            <w:shd w:val="clear" w:color="auto" w:fill="auto"/>
            <w:noWrap/>
            <w:vAlign w:val="bottom"/>
            <w:hideMark/>
          </w:tcPr>
          <w:p w14:paraId="7935EF28" w14:textId="77777777" w:rsidR="00BD229F" w:rsidRDefault="00BD229F" w:rsidP="00BD229F">
            <w:pPr>
              <w:rPr>
                <w:color w:val="000000"/>
                <w:sz w:val="20"/>
                <w:szCs w:val="20"/>
              </w:rPr>
            </w:pPr>
            <w:r>
              <w:rPr>
                <w:color w:val="000000"/>
                <w:sz w:val="20"/>
                <w:szCs w:val="20"/>
              </w:rPr>
              <w:t>Threshold 30%</w:t>
            </w:r>
          </w:p>
        </w:tc>
        <w:tc>
          <w:tcPr>
            <w:tcW w:w="1705" w:type="dxa"/>
            <w:tcBorders>
              <w:top w:val="nil"/>
              <w:left w:val="nil"/>
              <w:bottom w:val="nil"/>
              <w:right w:val="nil"/>
            </w:tcBorders>
            <w:shd w:val="clear" w:color="auto" w:fill="auto"/>
            <w:noWrap/>
            <w:vAlign w:val="center"/>
            <w:hideMark/>
          </w:tcPr>
          <w:p w14:paraId="2524C1ED" w14:textId="77777777" w:rsidR="00BD229F" w:rsidRDefault="00BD229F" w:rsidP="00BD229F">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E306643" w14:textId="0D592EBA" w:rsidR="00BD229F" w:rsidRDefault="00BD229F" w:rsidP="00BD229F">
            <w:pPr>
              <w:jc w:val="right"/>
              <w:rPr>
                <w:b/>
                <w:bCs/>
                <w:color w:val="000000"/>
                <w:sz w:val="20"/>
                <w:szCs w:val="20"/>
              </w:rPr>
            </w:pPr>
            <w:r>
              <w:rPr>
                <w:b/>
                <w:bCs/>
                <w:color w:val="000000"/>
                <w:sz w:val="20"/>
                <w:szCs w:val="20"/>
              </w:rPr>
              <w:t>-0.093</w:t>
            </w:r>
          </w:p>
        </w:tc>
        <w:tc>
          <w:tcPr>
            <w:tcW w:w="768" w:type="dxa"/>
            <w:tcBorders>
              <w:top w:val="nil"/>
              <w:left w:val="nil"/>
              <w:bottom w:val="nil"/>
              <w:right w:val="nil"/>
            </w:tcBorders>
            <w:shd w:val="clear" w:color="auto" w:fill="auto"/>
            <w:noWrap/>
            <w:vAlign w:val="bottom"/>
            <w:hideMark/>
          </w:tcPr>
          <w:p w14:paraId="71CFBE8D" w14:textId="21E6EB0D" w:rsidR="00BD229F" w:rsidRDefault="00BD229F" w:rsidP="00BD229F">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49CE197D" w14:textId="0E929C44" w:rsidR="00BD229F" w:rsidRDefault="00BD229F" w:rsidP="00BD229F">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02B4AA67" w14:textId="6C6230EA" w:rsidR="00BD229F" w:rsidRDefault="00BD229F" w:rsidP="00BD229F">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7F9EAA9" w14:textId="7FBEFE3B" w:rsidR="00BD229F" w:rsidRDefault="00BD229F" w:rsidP="00BD229F">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79AC4CE8" w14:textId="7E0A0419"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0F4642" w14:textId="4166FFB7"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07340E" w14:textId="17E0E4BB" w:rsidR="00BD229F" w:rsidRDefault="00BD229F" w:rsidP="00BD229F">
            <w:pPr>
              <w:jc w:val="right"/>
              <w:rPr>
                <w:color w:val="000000"/>
                <w:sz w:val="20"/>
                <w:szCs w:val="20"/>
              </w:rPr>
            </w:pPr>
            <w:r>
              <w:rPr>
                <w:color w:val="000000"/>
                <w:sz w:val="20"/>
                <w:szCs w:val="20"/>
              </w:rPr>
              <w:t>0.968</w:t>
            </w:r>
          </w:p>
        </w:tc>
        <w:tc>
          <w:tcPr>
            <w:tcW w:w="768" w:type="dxa"/>
            <w:tcBorders>
              <w:top w:val="nil"/>
              <w:left w:val="nil"/>
              <w:bottom w:val="nil"/>
              <w:right w:val="nil"/>
            </w:tcBorders>
            <w:shd w:val="clear" w:color="auto" w:fill="auto"/>
            <w:noWrap/>
            <w:vAlign w:val="bottom"/>
            <w:hideMark/>
          </w:tcPr>
          <w:p w14:paraId="5264F45F" w14:textId="6B558382"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FFC0F3" w14:textId="6B158E27" w:rsidR="00BD229F" w:rsidRDefault="00BD229F" w:rsidP="00BD229F">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F99D4FD" w14:textId="2C67289A" w:rsidR="00BD229F" w:rsidRDefault="00BD229F" w:rsidP="00BD229F">
            <w:pPr>
              <w:jc w:val="right"/>
              <w:rPr>
                <w:color w:val="000000"/>
                <w:sz w:val="20"/>
                <w:szCs w:val="20"/>
              </w:rPr>
            </w:pPr>
            <w:r>
              <w:rPr>
                <w:color w:val="000000"/>
                <w:sz w:val="20"/>
                <w:szCs w:val="20"/>
              </w:rPr>
              <w:t>0.632</w:t>
            </w:r>
          </w:p>
        </w:tc>
        <w:tc>
          <w:tcPr>
            <w:tcW w:w="768" w:type="dxa"/>
            <w:tcBorders>
              <w:top w:val="nil"/>
              <w:left w:val="nil"/>
              <w:bottom w:val="nil"/>
              <w:right w:val="nil"/>
            </w:tcBorders>
            <w:shd w:val="clear" w:color="auto" w:fill="auto"/>
            <w:noWrap/>
            <w:vAlign w:val="bottom"/>
            <w:hideMark/>
          </w:tcPr>
          <w:p w14:paraId="0B8CB5EB" w14:textId="2954188C"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02BC134" w14:textId="6AD3F5C7"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99FB0A6" w14:textId="7943C231" w:rsidR="00BD229F" w:rsidRDefault="00BD229F" w:rsidP="00BD229F">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1E489218" w14:textId="70B1E4E6" w:rsidR="00BD229F" w:rsidRDefault="00BD229F" w:rsidP="00BD229F">
            <w:pPr>
              <w:jc w:val="right"/>
              <w:rPr>
                <w:color w:val="000000"/>
                <w:sz w:val="20"/>
                <w:szCs w:val="20"/>
              </w:rPr>
            </w:pPr>
            <w:r>
              <w:rPr>
                <w:color w:val="000000"/>
                <w:sz w:val="20"/>
                <w:szCs w:val="20"/>
              </w:rPr>
              <w:t>0.000</w:t>
            </w:r>
          </w:p>
        </w:tc>
      </w:tr>
      <w:tr w:rsidR="00BD229F" w14:paraId="3FABDD86" w14:textId="77777777" w:rsidTr="00432B71">
        <w:trPr>
          <w:trHeight w:val="317"/>
        </w:trPr>
        <w:tc>
          <w:tcPr>
            <w:tcW w:w="1176" w:type="dxa"/>
            <w:tcBorders>
              <w:top w:val="nil"/>
              <w:left w:val="nil"/>
              <w:bottom w:val="nil"/>
              <w:right w:val="nil"/>
            </w:tcBorders>
            <w:shd w:val="clear" w:color="auto" w:fill="auto"/>
            <w:noWrap/>
            <w:vAlign w:val="bottom"/>
            <w:hideMark/>
          </w:tcPr>
          <w:p w14:paraId="26CFAE06"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853E53D" w14:textId="77777777" w:rsidR="00BD229F" w:rsidRDefault="00BD229F" w:rsidP="00BD229F">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58E0C76" w14:textId="71D05D4A" w:rsidR="00BD229F" w:rsidRDefault="00BD229F" w:rsidP="00BD229F">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0580C04C" w14:textId="1A2C015D" w:rsidR="00BD229F" w:rsidRDefault="00BD229F" w:rsidP="00BD229F">
            <w:pPr>
              <w:jc w:val="right"/>
              <w:rPr>
                <w:color w:val="000000"/>
                <w:sz w:val="20"/>
                <w:szCs w:val="20"/>
              </w:rPr>
            </w:pPr>
            <w:r>
              <w:rPr>
                <w:color w:val="000000"/>
                <w:sz w:val="20"/>
                <w:szCs w:val="20"/>
              </w:rPr>
              <w:t>0.550</w:t>
            </w:r>
          </w:p>
        </w:tc>
        <w:tc>
          <w:tcPr>
            <w:tcW w:w="768" w:type="dxa"/>
            <w:tcBorders>
              <w:top w:val="nil"/>
              <w:left w:val="nil"/>
              <w:bottom w:val="nil"/>
              <w:right w:val="nil"/>
            </w:tcBorders>
            <w:shd w:val="clear" w:color="auto" w:fill="auto"/>
            <w:noWrap/>
            <w:vAlign w:val="bottom"/>
            <w:hideMark/>
          </w:tcPr>
          <w:p w14:paraId="375DC447" w14:textId="3145703F"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3FB920" w14:textId="3FEC175C" w:rsidR="00BD229F" w:rsidRDefault="00BD229F" w:rsidP="00BD229F">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EADD897" w14:textId="0FEA2F85" w:rsidR="00BD229F" w:rsidRDefault="00BD229F" w:rsidP="00BD229F">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4E5AFC23" w14:textId="461857E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87980B" w14:textId="7451ECA6"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3E0A2DB" w14:textId="7BA54DE7" w:rsidR="00BD229F" w:rsidRDefault="00BD229F" w:rsidP="00BD229F">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6BD4829F" w14:textId="1DA27B8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A41083" w14:textId="58E95C2F" w:rsidR="00BD229F" w:rsidRDefault="00BD229F" w:rsidP="00BD229F">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7B1A4A14" w14:textId="23721B25" w:rsidR="00BD229F" w:rsidRDefault="00BD229F" w:rsidP="00BD229F">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3A98CEF6" w14:textId="600EA513"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3488A36" w14:textId="1A32065B" w:rsidR="00BD229F" w:rsidRDefault="00BD229F" w:rsidP="00BD229F">
            <w:pPr>
              <w:jc w:val="right"/>
              <w:rPr>
                <w:b/>
                <w:bCs/>
                <w:color w:val="000000"/>
                <w:sz w:val="20"/>
                <w:szCs w:val="20"/>
              </w:rPr>
            </w:pPr>
            <w:r>
              <w:rPr>
                <w:b/>
                <w:bCs/>
                <w:color w:val="000000"/>
                <w:sz w:val="20"/>
                <w:szCs w:val="20"/>
              </w:rPr>
              <w:t>-0.116</w:t>
            </w:r>
          </w:p>
        </w:tc>
        <w:tc>
          <w:tcPr>
            <w:tcW w:w="768" w:type="dxa"/>
            <w:tcBorders>
              <w:top w:val="nil"/>
              <w:left w:val="nil"/>
              <w:bottom w:val="nil"/>
              <w:right w:val="nil"/>
            </w:tcBorders>
            <w:shd w:val="clear" w:color="auto" w:fill="auto"/>
            <w:noWrap/>
            <w:vAlign w:val="bottom"/>
            <w:hideMark/>
          </w:tcPr>
          <w:p w14:paraId="60EB0119" w14:textId="55569703" w:rsidR="00BD229F" w:rsidRDefault="00BD229F" w:rsidP="00BD229F">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29600DD" w14:textId="7F68AB45" w:rsidR="00BD229F" w:rsidRDefault="00BD229F" w:rsidP="00BD229F">
            <w:pPr>
              <w:jc w:val="right"/>
              <w:rPr>
                <w:color w:val="000000"/>
                <w:sz w:val="20"/>
                <w:szCs w:val="20"/>
              </w:rPr>
            </w:pPr>
            <w:r>
              <w:rPr>
                <w:b/>
                <w:bCs/>
                <w:color w:val="000000"/>
                <w:sz w:val="20"/>
                <w:szCs w:val="20"/>
              </w:rPr>
              <w:t>0.013</w:t>
            </w:r>
          </w:p>
        </w:tc>
      </w:tr>
      <w:tr w:rsidR="00BD229F" w14:paraId="2B124226" w14:textId="77777777" w:rsidTr="00432B71">
        <w:trPr>
          <w:trHeight w:val="317"/>
        </w:trPr>
        <w:tc>
          <w:tcPr>
            <w:tcW w:w="1176" w:type="dxa"/>
            <w:tcBorders>
              <w:top w:val="nil"/>
              <w:left w:val="nil"/>
              <w:bottom w:val="nil"/>
              <w:right w:val="nil"/>
            </w:tcBorders>
            <w:shd w:val="clear" w:color="auto" w:fill="auto"/>
            <w:noWrap/>
            <w:vAlign w:val="bottom"/>
            <w:hideMark/>
          </w:tcPr>
          <w:p w14:paraId="3F5E4335"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4526D1" w14:textId="77777777" w:rsidR="00BD229F" w:rsidRDefault="00BD229F" w:rsidP="00BD229F">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DEEDC3E" w14:textId="4AA1AC93" w:rsidR="00BD229F" w:rsidRDefault="00BD229F" w:rsidP="00BD229F">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F8418D5" w14:textId="702D4180" w:rsidR="00BD229F" w:rsidRDefault="00BD229F" w:rsidP="00BD229F">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79B962D7" w14:textId="3465F5D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11CC8A" w14:textId="6E445B78" w:rsidR="00BD229F" w:rsidRDefault="00BD229F" w:rsidP="00BD229F">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3DE09C7B" w14:textId="7CA33BC9" w:rsidR="00BD229F" w:rsidRDefault="00BD229F" w:rsidP="00BD229F">
            <w:pPr>
              <w:jc w:val="right"/>
              <w:rPr>
                <w:color w:val="000000"/>
                <w:sz w:val="20"/>
                <w:szCs w:val="20"/>
              </w:rPr>
            </w:pPr>
            <w:r>
              <w:rPr>
                <w:color w:val="000000"/>
                <w:sz w:val="20"/>
                <w:szCs w:val="20"/>
              </w:rPr>
              <w:t>0.336</w:t>
            </w:r>
          </w:p>
        </w:tc>
        <w:tc>
          <w:tcPr>
            <w:tcW w:w="768" w:type="dxa"/>
            <w:tcBorders>
              <w:top w:val="nil"/>
              <w:left w:val="nil"/>
              <w:bottom w:val="nil"/>
              <w:right w:val="nil"/>
            </w:tcBorders>
            <w:shd w:val="clear" w:color="auto" w:fill="auto"/>
            <w:noWrap/>
            <w:vAlign w:val="bottom"/>
            <w:hideMark/>
          </w:tcPr>
          <w:p w14:paraId="6CDFE60F" w14:textId="413AB340"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489C34F" w14:textId="5E861B31" w:rsidR="00BD229F" w:rsidRDefault="00BD229F" w:rsidP="00BD229F">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1416A344" w14:textId="54060B2F" w:rsidR="00BD229F" w:rsidRDefault="00BD229F" w:rsidP="00BD229F">
            <w:pPr>
              <w:jc w:val="right"/>
              <w:rPr>
                <w:color w:val="000000"/>
                <w:sz w:val="20"/>
                <w:szCs w:val="20"/>
              </w:rPr>
            </w:pPr>
            <w:r>
              <w:rPr>
                <w:color w:val="000000"/>
                <w:sz w:val="20"/>
                <w:szCs w:val="20"/>
              </w:rPr>
              <w:t>0.723</w:t>
            </w:r>
          </w:p>
        </w:tc>
        <w:tc>
          <w:tcPr>
            <w:tcW w:w="768" w:type="dxa"/>
            <w:tcBorders>
              <w:top w:val="nil"/>
              <w:left w:val="nil"/>
              <w:bottom w:val="nil"/>
              <w:right w:val="nil"/>
            </w:tcBorders>
            <w:shd w:val="clear" w:color="auto" w:fill="auto"/>
            <w:noWrap/>
            <w:vAlign w:val="bottom"/>
            <w:hideMark/>
          </w:tcPr>
          <w:p w14:paraId="43821AF4" w14:textId="07B809D9"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150E5C5" w14:textId="585E55D3" w:rsidR="00BD229F" w:rsidRDefault="00BD229F" w:rsidP="00BD229F">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78B9C52" w14:textId="06872156" w:rsidR="00BD229F" w:rsidRDefault="00BD229F" w:rsidP="00BD229F">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51F8C30A" w14:textId="42A3A637"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5F3AE3" w14:textId="0EE6B683"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362F1A8" w14:textId="132E8D84" w:rsidR="00BD229F" w:rsidRDefault="00BD229F" w:rsidP="00BD229F">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55DD6FAE" w14:textId="69E2C558" w:rsidR="00BD229F" w:rsidRDefault="00BD229F" w:rsidP="00BD229F">
            <w:pPr>
              <w:jc w:val="right"/>
              <w:rPr>
                <w:color w:val="000000"/>
                <w:sz w:val="20"/>
                <w:szCs w:val="20"/>
              </w:rPr>
            </w:pPr>
            <w:r>
              <w:rPr>
                <w:color w:val="000000"/>
                <w:sz w:val="20"/>
                <w:szCs w:val="20"/>
              </w:rPr>
              <w:t>0.000</w:t>
            </w:r>
          </w:p>
        </w:tc>
      </w:tr>
      <w:tr w:rsidR="00BD229F" w14:paraId="652D45F4" w14:textId="77777777" w:rsidTr="00432B71">
        <w:trPr>
          <w:trHeight w:val="317"/>
        </w:trPr>
        <w:tc>
          <w:tcPr>
            <w:tcW w:w="1176" w:type="dxa"/>
            <w:tcBorders>
              <w:top w:val="nil"/>
              <w:left w:val="nil"/>
              <w:bottom w:val="nil"/>
              <w:right w:val="nil"/>
            </w:tcBorders>
            <w:shd w:val="clear" w:color="auto" w:fill="auto"/>
            <w:noWrap/>
            <w:vAlign w:val="bottom"/>
            <w:hideMark/>
          </w:tcPr>
          <w:p w14:paraId="768080C5"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AD90505" w14:textId="77777777" w:rsidR="00BD229F" w:rsidRDefault="00BD229F" w:rsidP="00BD229F">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2A2699C" w14:textId="5EF854E1" w:rsidR="00BD229F" w:rsidRDefault="00BD229F" w:rsidP="00BD229F">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1BBA4284" w14:textId="7C31EB27" w:rsidR="00BD229F" w:rsidRDefault="00BD229F" w:rsidP="00BD229F">
            <w:pPr>
              <w:jc w:val="right"/>
              <w:rPr>
                <w:color w:val="000000"/>
                <w:sz w:val="20"/>
                <w:szCs w:val="20"/>
              </w:rPr>
            </w:pPr>
            <w:r>
              <w:rPr>
                <w:color w:val="000000"/>
                <w:sz w:val="20"/>
                <w:szCs w:val="20"/>
              </w:rPr>
              <w:t>0.614</w:t>
            </w:r>
          </w:p>
        </w:tc>
        <w:tc>
          <w:tcPr>
            <w:tcW w:w="768" w:type="dxa"/>
            <w:tcBorders>
              <w:top w:val="nil"/>
              <w:left w:val="nil"/>
              <w:bottom w:val="nil"/>
              <w:right w:val="nil"/>
            </w:tcBorders>
            <w:shd w:val="clear" w:color="auto" w:fill="auto"/>
            <w:noWrap/>
            <w:vAlign w:val="bottom"/>
            <w:hideMark/>
          </w:tcPr>
          <w:p w14:paraId="5396884F" w14:textId="6E2D1AD8"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F82E0B" w14:textId="68EC56EB" w:rsidR="00BD229F" w:rsidRDefault="00BD229F" w:rsidP="00BD229F">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C0B32B0" w14:textId="27F01BD4" w:rsidR="00BD229F" w:rsidRDefault="00BD229F" w:rsidP="00BD229F">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34A469D9" w14:textId="5E709A8C"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7D707E" w14:textId="2D6B8B84" w:rsidR="00BD229F" w:rsidRDefault="00BD229F" w:rsidP="00BD229F">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1515044" w14:textId="0EC1E28A" w:rsidR="00BD229F" w:rsidRDefault="00BD229F" w:rsidP="00BD229F">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678106E9" w14:textId="41B38D5F"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F2FA0D" w14:textId="512862CA" w:rsidR="00BD229F" w:rsidRDefault="00BD229F" w:rsidP="00BD229F">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136FA3A9" w14:textId="0862A622" w:rsidR="00BD229F" w:rsidRDefault="00BD229F" w:rsidP="00BD229F">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3CE64331" w14:textId="56B9A35A"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8AC7C80" w14:textId="224607A3" w:rsidR="00BD229F" w:rsidRDefault="00BD229F" w:rsidP="00BD229F">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C312234" w14:textId="5205BA64" w:rsidR="00BD229F" w:rsidRDefault="00BD229F" w:rsidP="00BD229F">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43F9E75A" w14:textId="7E34FABC" w:rsidR="00BD229F" w:rsidRDefault="00BD229F" w:rsidP="00BD229F">
            <w:pPr>
              <w:jc w:val="right"/>
              <w:rPr>
                <w:color w:val="000000"/>
                <w:sz w:val="20"/>
                <w:szCs w:val="20"/>
              </w:rPr>
            </w:pPr>
            <w:r>
              <w:rPr>
                <w:color w:val="000000"/>
                <w:sz w:val="20"/>
                <w:szCs w:val="20"/>
              </w:rPr>
              <w:t>0.000</w:t>
            </w:r>
          </w:p>
        </w:tc>
      </w:tr>
      <w:tr w:rsidR="00BD229F" w14:paraId="0B384552" w14:textId="77777777" w:rsidTr="00432B71">
        <w:trPr>
          <w:trHeight w:val="317"/>
        </w:trPr>
        <w:tc>
          <w:tcPr>
            <w:tcW w:w="1176" w:type="dxa"/>
            <w:tcBorders>
              <w:top w:val="nil"/>
              <w:left w:val="nil"/>
              <w:bottom w:val="nil"/>
              <w:right w:val="nil"/>
            </w:tcBorders>
            <w:shd w:val="clear" w:color="auto" w:fill="auto"/>
            <w:noWrap/>
            <w:vAlign w:val="bottom"/>
            <w:hideMark/>
          </w:tcPr>
          <w:p w14:paraId="14E18ED0"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C308DFE" w14:textId="77777777" w:rsidR="00BD229F" w:rsidRDefault="00BD229F" w:rsidP="00BD229F">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DC4073D" w14:textId="5125F678"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4569151" w14:textId="50B9D6BA" w:rsidR="00BD229F" w:rsidRDefault="00BD229F" w:rsidP="00BD229F">
            <w:pPr>
              <w:jc w:val="right"/>
              <w:rPr>
                <w:color w:val="000000"/>
                <w:sz w:val="20"/>
                <w:szCs w:val="20"/>
              </w:rPr>
            </w:pPr>
            <w:r>
              <w:rPr>
                <w:color w:val="000000"/>
                <w:sz w:val="20"/>
                <w:szCs w:val="20"/>
              </w:rPr>
              <w:t>0.931</w:t>
            </w:r>
          </w:p>
        </w:tc>
        <w:tc>
          <w:tcPr>
            <w:tcW w:w="768" w:type="dxa"/>
            <w:tcBorders>
              <w:top w:val="nil"/>
              <w:left w:val="nil"/>
              <w:bottom w:val="nil"/>
              <w:right w:val="nil"/>
            </w:tcBorders>
            <w:shd w:val="clear" w:color="auto" w:fill="auto"/>
            <w:noWrap/>
            <w:vAlign w:val="bottom"/>
            <w:hideMark/>
          </w:tcPr>
          <w:p w14:paraId="4811A851" w14:textId="45D14B76"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7307BC" w14:textId="45DAB6AE" w:rsidR="00BD229F" w:rsidRDefault="00BD229F" w:rsidP="00BD229F">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FFCAF1C" w14:textId="5949F0F9" w:rsidR="00BD229F" w:rsidRDefault="00BD229F" w:rsidP="00BD229F">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3BD689A8" w14:textId="3157956F"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6BCC9F" w14:textId="67E79B10" w:rsidR="00BD229F" w:rsidRDefault="00BD229F" w:rsidP="00BD229F">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295BA64" w14:textId="6FDD6E73" w:rsidR="00BD229F" w:rsidRDefault="00BD229F" w:rsidP="00BD229F">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351C64DF" w14:textId="528E411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5690FC" w14:textId="45E42F48" w:rsidR="00BD229F" w:rsidRDefault="00BD229F" w:rsidP="00BD229F">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D04E273" w14:textId="5EA5F17C" w:rsidR="00BD229F" w:rsidRDefault="00BD229F" w:rsidP="00BD229F">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5F701384" w14:textId="4621773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A9A291" w14:textId="31C8B704" w:rsidR="00BD229F" w:rsidRDefault="00BD229F" w:rsidP="00BD229F">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2BCE78EE" w14:textId="3D01A1F2" w:rsidR="00BD229F" w:rsidRDefault="00BD229F" w:rsidP="00BD229F">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2B021DA6" w14:textId="7CB08F99" w:rsidR="00BD229F" w:rsidRDefault="00BD229F" w:rsidP="00BD229F">
            <w:pPr>
              <w:jc w:val="right"/>
              <w:rPr>
                <w:color w:val="000000"/>
                <w:sz w:val="20"/>
                <w:szCs w:val="20"/>
              </w:rPr>
            </w:pPr>
            <w:r>
              <w:rPr>
                <w:color w:val="000000"/>
                <w:sz w:val="20"/>
                <w:szCs w:val="20"/>
              </w:rPr>
              <w:t>0.006</w:t>
            </w:r>
          </w:p>
        </w:tc>
      </w:tr>
      <w:tr w:rsidR="00BD229F" w14:paraId="63DF18AC" w14:textId="77777777" w:rsidTr="00432B71">
        <w:trPr>
          <w:trHeight w:val="317"/>
        </w:trPr>
        <w:tc>
          <w:tcPr>
            <w:tcW w:w="1176" w:type="dxa"/>
            <w:tcBorders>
              <w:top w:val="nil"/>
              <w:left w:val="nil"/>
              <w:bottom w:val="nil"/>
              <w:right w:val="nil"/>
            </w:tcBorders>
            <w:shd w:val="clear" w:color="auto" w:fill="auto"/>
            <w:noWrap/>
            <w:vAlign w:val="bottom"/>
            <w:hideMark/>
          </w:tcPr>
          <w:p w14:paraId="08C8105E"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2894C0" w14:textId="77777777" w:rsidR="00BD229F" w:rsidRDefault="00BD229F" w:rsidP="00BD229F">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5DF8933" w14:textId="3A3B0E7E" w:rsidR="00BD229F" w:rsidRDefault="00BD229F" w:rsidP="00BD229F">
            <w:pPr>
              <w:jc w:val="right"/>
              <w:rPr>
                <w:color w:val="000000"/>
                <w:sz w:val="20"/>
                <w:szCs w:val="20"/>
              </w:rPr>
            </w:pPr>
            <w:r>
              <w:rPr>
                <w:b/>
                <w:bCs/>
                <w:color w:val="000000"/>
                <w:sz w:val="20"/>
                <w:szCs w:val="20"/>
              </w:rPr>
              <w:t>-0.082</w:t>
            </w:r>
          </w:p>
        </w:tc>
        <w:tc>
          <w:tcPr>
            <w:tcW w:w="768" w:type="dxa"/>
            <w:tcBorders>
              <w:top w:val="nil"/>
              <w:left w:val="nil"/>
              <w:bottom w:val="nil"/>
              <w:right w:val="nil"/>
            </w:tcBorders>
            <w:shd w:val="clear" w:color="auto" w:fill="auto"/>
            <w:noWrap/>
            <w:vAlign w:val="bottom"/>
            <w:hideMark/>
          </w:tcPr>
          <w:p w14:paraId="1B9F68AF" w14:textId="6F01A721" w:rsidR="00BD229F" w:rsidRDefault="00BD229F" w:rsidP="00BD229F">
            <w:pPr>
              <w:jc w:val="right"/>
              <w:rPr>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4D7FBE7E" w14:textId="0F568997" w:rsidR="00BD229F" w:rsidRDefault="00BD229F" w:rsidP="00BD229F">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38BBB51A" w14:textId="5A864329"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41F6B4F" w14:textId="767912DE" w:rsidR="00BD229F" w:rsidRDefault="00BD229F" w:rsidP="00BD229F">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14646668" w14:textId="2ABE7D5D"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B959CD" w14:textId="5F223D3D" w:rsidR="00BD229F" w:rsidRDefault="00BD229F" w:rsidP="00BD229F">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63B70C40" w14:textId="35FBAAE2" w:rsidR="00BD229F" w:rsidRDefault="00BD229F" w:rsidP="00BD229F">
            <w:pPr>
              <w:jc w:val="right"/>
              <w:rPr>
                <w:color w:val="000000"/>
                <w:sz w:val="20"/>
                <w:szCs w:val="20"/>
              </w:rPr>
            </w:pPr>
            <w:r>
              <w:rPr>
                <w:color w:val="000000"/>
                <w:sz w:val="20"/>
                <w:szCs w:val="20"/>
              </w:rPr>
              <w:t>0.676</w:t>
            </w:r>
          </w:p>
        </w:tc>
        <w:tc>
          <w:tcPr>
            <w:tcW w:w="768" w:type="dxa"/>
            <w:tcBorders>
              <w:top w:val="nil"/>
              <w:left w:val="nil"/>
              <w:bottom w:val="nil"/>
              <w:right w:val="nil"/>
            </w:tcBorders>
            <w:shd w:val="clear" w:color="auto" w:fill="auto"/>
            <w:noWrap/>
            <w:vAlign w:val="bottom"/>
            <w:hideMark/>
          </w:tcPr>
          <w:p w14:paraId="005DD9FB" w14:textId="6D4E9CAA" w:rsidR="00BD229F" w:rsidRDefault="00BD229F" w:rsidP="00BD229F">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B8026C9" w14:textId="69F2AEFB"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E5CB420" w14:textId="2BB64FAC" w:rsidR="00BD229F" w:rsidRDefault="00BD229F" w:rsidP="00BD229F">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7577264F" w14:textId="0E7832EA"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7059A1C" w14:textId="7BF74467" w:rsidR="00BD229F" w:rsidRDefault="00BD229F" w:rsidP="00BD229F">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2CF6164A" w14:textId="4A1AAA37" w:rsidR="00BD229F" w:rsidRDefault="00BD229F" w:rsidP="00BD229F">
            <w:pPr>
              <w:jc w:val="right"/>
              <w:rPr>
                <w:color w:val="000000"/>
                <w:sz w:val="20"/>
                <w:szCs w:val="20"/>
              </w:rPr>
            </w:pPr>
            <w:r>
              <w:rPr>
                <w:color w:val="000000"/>
                <w:sz w:val="20"/>
                <w:szCs w:val="20"/>
              </w:rPr>
              <w:t>0.462</w:t>
            </w:r>
          </w:p>
        </w:tc>
        <w:tc>
          <w:tcPr>
            <w:tcW w:w="768" w:type="dxa"/>
            <w:tcBorders>
              <w:top w:val="nil"/>
              <w:left w:val="nil"/>
              <w:bottom w:val="nil"/>
              <w:right w:val="nil"/>
            </w:tcBorders>
            <w:shd w:val="clear" w:color="auto" w:fill="auto"/>
            <w:noWrap/>
            <w:vAlign w:val="bottom"/>
            <w:hideMark/>
          </w:tcPr>
          <w:p w14:paraId="77C1E0EF" w14:textId="4AE45A1A" w:rsidR="00BD229F" w:rsidRDefault="00BD229F" w:rsidP="00BD229F">
            <w:pPr>
              <w:jc w:val="right"/>
              <w:rPr>
                <w:color w:val="000000"/>
                <w:sz w:val="20"/>
                <w:szCs w:val="20"/>
              </w:rPr>
            </w:pPr>
            <w:r>
              <w:rPr>
                <w:color w:val="000000"/>
                <w:sz w:val="20"/>
                <w:szCs w:val="20"/>
              </w:rPr>
              <w:t>0.002</w:t>
            </w:r>
          </w:p>
        </w:tc>
      </w:tr>
      <w:tr w:rsidR="00BD229F" w14:paraId="40D2CB22" w14:textId="77777777" w:rsidTr="00432B71">
        <w:trPr>
          <w:trHeight w:val="317"/>
        </w:trPr>
        <w:tc>
          <w:tcPr>
            <w:tcW w:w="1176" w:type="dxa"/>
            <w:tcBorders>
              <w:top w:val="nil"/>
              <w:left w:val="nil"/>
              <w:bottom w:val="nil"/>
              <w:right w:val="nil"/>
            </w:tcBorders>
            <w:shd w:val="clear" w:color="auto" w:fill="auto"/>
            <w:noWrap/>
            <w:vAlign w:val="bottom"/>
            <w:hideMark/>
          </w:tcPr>
          <w:p w14:paraId="00C27566" w14:textId="77777777" w:rsidR="00BD229F" w:rsidRDefault="00BD229F" w:rsidP="00BD229F">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F1E87A5" w14:textId="77777777" w:rsidR="00BD229F" w:rsidRDefault="00BD229F" w:rsidP="00BD229F">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146AAA0" w14:textId="786BB65C" w:rsidR="00BD229F" w:rsidRDefault="00BD229F" w:rsidP="00BD229F">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F0C675B" w14:textId="45FCA108" w:rsidR="00BD229F" w:rsidRDefault="00BD229F" w:rsidP="00BD229F">
            <w:pPr>
              <w:jc w:val="right"/>
              <w:rPr>
                <w:color w:val="000000"/>
                <w:sz w:val="20"/>
                <w:szCs w:val="20"/>
              </w:rPr>
            </w:pPr>
            <w:r>
              <w:rPr>
                <w:color w:val="000000"/>
                <w:sz w:val="20"/>
                <w:szCs w:val="20"/>
              </w:rPr>
              <w:t>0.919</w:t>
            </w:r>
          </w:p>
        </w:tc>
        <w:tc>
          <w:tcPr>
            <w:tcW w:w="768" w:type="dxa"/>
            <w:tcBorders>
              <w:top w:val="nil"/>
              <w:left w:val="nil"/>
              <w:bottom w:val="nil"/>
              <w:right w:val="nil"/>
            </w:tcBorders>
            <w:shd w:val="clear" w:color="auto" w:fill="auto"/>
            <w:noWrap/>
            <w:vAlign w:val="bottom"/>
            <w:hideMark/>
          </w:tcPr>
          <w:p w14:paraId="79E606D7" w14:textId="1B5A0984"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A15ED2" w14:textId="74C687FF" w:rsidR="00BD229F" w:rsidRDefault="00BD229F" w:rsidP="00BD229F">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1BF4361" w14:textId="0FC718C2" w:rsidR="00BD229F" w:rsidRDefault="00BD229F" w:rsidP="00BD229F">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1188B6B5" w14:textId="7432D07C"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D608C2" w14:textId="1106C955" w:rsidR="00BD229F" w:rsidRDefault="00BD229F" w:rsidP="00BD229F">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21ACD7F" w14:textId="147CB588" w:rsidR="00BD229F" w:rsidRDefault="00BD229F" w:rsidP="00BD229F">
            <w:pPr>
              <w:jc w:val="right"/>
              <w:rPr>
                <w:color w:val="000000"/>
                <w:sz w:val="20"/>
                <w:szCs w:val="20"/>
              </w:rPr>
            </w:pPr>
            <w:r>
              <w:rPr>
                <w:color w:val="000000"/>
                <w:sz w:val="20"/>
                <w:szCs w:val="20"/>
              </w:rPr>
              <w:t>0.968</w:t>
            </w:r>
          </w:p>
        </w:tc>
        <w:tc>
          <w:tcPr>
            <w:tcW w:w="768" w:type="dxa"/>
            <w:tcBorders>
              <w:top w:val="nil"/>
              <w:left w:val="nil"/>
              <w:bottom w:val="nil"/>
              <w:right w:val="nil"/>
            </w:tcBorders>
            <w:shd w:val="clear" w:color="auto" w:fill="auto"/>
            <w:noWrap/>
            <w:vAlign w:val="bottom"/>
            <w:hideMark/>
          </w:tcPr>
          <w:p w14:paraId="394A64DE" w14:textId="1317A0DF"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0C696B" w14:textId="20B681F5" w:rsidR="00BD229F" w:rsidRDefault="00BD229F" w:rsidP="00BD229F">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53526BB" w14:textId="7F4E14B8" w:rsidR="00BD229F" w:rsidRDefault="00BD229F" w:rsidP="00BD229F">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731BAD52" w14:textId="04C68C7E" w:rsidR="00BD229F" w:rsidRDefault="00BD229F" w:rsidP="00BD229F">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D51762" w14:textId="6C75125F" w:rsidR="00BD229F" w:rsidRDefault="00BD229F" w:rsidP="00BD229F">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4EEAFFE" w14:textId="00FC8552" w:rsidR="00BD229F" w:rsidRDefault="00BD229F" w:rsidP="00BD229F">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23E26F41" w14:textId="183CB7BB" w:rsidR="00BD229F" w:rsidRDefault="00BD229F" w:rsidP="00BD229F">
            <w:pPr>
              <w:jc w:val="right"/>
              <w:rPr>
                <w:color w:val="000000"/>
                <w:sz w:val="20"/>
                <w:szCs w:val="20"/>
              </w:rPr>
            </w:pPr>
            <w:r>
              <w:rPr>
                <w:color w:val="000000"/>
                <w:sz w:val="20"/>
                <w:szCs w:val="20"/>
              </w:rPr>
              <w:t>0.000</w:t>
            </w:r>
          </w:p>
        </w:tc>
      </w:tr>
      <w:tr w:rsidR="00BD229F" w14:paraId="0BBB03AF" w14:textId="77777777" w:rsidTr="00432B71">
        <w:trPr>
          <w:trHeight w:val="317"/>
        </w:trPr>
        <w:tc>
          <w:tcPr>
            <w:tcW w:w="1176" w:type="dxa"/>
            <w:tcBorders>
              <w:top w:val="nil"/>
              <w:left w:val="nil"/>
              <w:bottom w:val="single" w:sz="12" w:space="0" w:color="auto"/>
              <w:right w:val="nil"/>
            </w:tcBorders>
            <w:shd w:val="clear" w:color="auto" w:fill="auto"/>
            <w:noWrap/>
            <w:vAlign w:val="bottom"/>
            <w:hideMark/>
          </w:tcPr>
          <w:p w14:paraId="71C7ABDE" w14:textId="77777777" w:rsidR="00BD229F" w:rsidRDefault="00BD229F" w:rsidP="00BD229F">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14195FA8" w14:textId="77777777" w:rsidR="00BD229F" w:rsidRDefault="00BD229F" w:rsidP="00BD229F">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2C777B30" w14:textId="6C79FFE5" w:rsidR="00BD229F" w:rsidRDefault="00BD229F" w:rsidP="00BD229F">
            <w:pPr>
              <w:jc w:val="right"/>
              <w:rPr>
                <w:color w:val="000000"/>
                <w:sz w:val="20"/>
                <w:szCs w:val="20"/>
              </w:rPr>
            </w:pPr>
            <w:r>
              <w:rPr>
                <w:b/>
                <w:bCs/>
                <w:color w:val="000000"/>
                <w:sz w:val="20"/>
                <w:szCs w:val="20"/>
              </w:rPr>
              <w:t>-0.087</w:t>
            </w:r>
          </w:p>
        </w:tc>
        <w:tc>
          <w:tcPr>
            <w:tcW w:w="768" w:type="dxa"/>
            <w:tcBorders>
              <w:top w:val="nil"/>
              <w:left w:val="nil"/>
              <w:bottom w:val="single" w:sz="12" w:space="0" w:color="auto"/>
              <w:right w:val="nil"/>
            </w:tcBorders>
            <w:shd w:val="clear" w:color="auto" w:fill="auto"/>
            <w:noWrap/>
            <w:vAlign w:val="bottom"/>
            <w:hideMark/>
          </w:tcPr>
          <w:p w14:paraId="7EBD9B07" w14:textId="7CA137FE" w:rsidR="00BD229F" w:rsidRDefault="00BD229F" w:rsidP="00BD229F">
            <w:pPr>
              <w:jc w:val="right"/>
              <w:rPr>
                <w:color w:val="000000"/>
                <w:sz w:val="20"/>
                <w:szCs w:val="20"/>
              </w:rPr>
            </w:pPr>
            <w:r>
              <w:rPr>
                <w:b/>
                <w:bCs/>
                <w:color w:val="000000"/>
                <w:sz w:val="20"/>
                <w:szCs w:val="20"/>
              </w:rPr>
              <w:t>0.024</w:t>
            </w:r>
          </w:p>
        </w:tc>
        <w:tc>
          <w:tcPr>
            <w:tcW w:w="768" w:type="dxa"/>
            <w:tcBorders>
              <w:top w:val="nil"/>
              <w:left w:val="nil"/>
              <w:bottom w:val="single" w:sz="12" w:space="0" w:color="auto"/>
              <w:right w:val="nil"/>
            </w:tcBorders>
            <w:shd w:val="clear" w:color="auto" w:fill="auto"/>
            <w:noWrap/>
            <w:vAlign w:val="bottom"/>
            <w:hideMark/>
          </w:tcPr>
          <w:p w14:paraId="4AF15D65" w14:textId="76ABE223" w:rsidR="00BD229F" w:rsidRDefault="00BD229F" w:rsidP="00BD229F">
            <w:pPr>
              <w:jc w:val="right"/>
              <w:rPr>
                <w:color w:val="000000"/>
                <w:sz w:val="20"/>
                <w:szCs w:val="20"/>
              </w:rPr>
            </w:pPr>
            <w:r>
              <w:rPr>
                <w:b/>
                <w:bCs/>
                <w:color w:val="000000"/>
                <w:sz w:val="20"/>
                <w:szCs w:val="20"/>
              </w:rPr>
              <w:t>0.008</w:t>
            </w:r>
          </w:p>
        </w:tc>
        <w:tc>
          <w:tcPr>
            <w:tcW w:w="768" w:type="dxa"/>
            <w:tcBorders>
              <w:top w:val="nil"/>
              <w:left w:val="nil"/>
              <w:bottom w:val="single" w:sz="12" w:space="0" w:color="auto"/>
              <w:right w:val="nil"/>
            </w:tcBorders>
            <w:shd w:val="clear" w:color="auto" w:fill="auto"/>
            <w:noWrap/>
            <w:vAlign w:val="bottom"/>
            <w:hideMark/>
          </w:tcPr>
          <w:p w14:paraId="2898BD4A" w14:textId="536648A3" w:rsidR="00BD229F" w:rsidRDefault="00BD229F" w:rsidP="00BD229F">
            <w:pPr>
              <w:jc w:val="right"/>
              <w:rPr>
                <w:color w:val="000000"/>
                <w:sz w:val="20"/>
                <w:szCs w:val="20"/>
              </w:rPr>
            </w:pPr>
            <w:r>
              <w:rPr>
                <w:color w:val="000000"/>
                <w:sz w:val="20"/>
                <w:szCs w:val="20"/>
              </w:rPr>
              <w:t>0.057</w:t>
            </w:r>
          </w:p>
        </w:tc>
        <w:tc>
          <w:tcPr>
            <w:tcW w:w="768" w:type="dxa"/>
            <w:tcBorders>
              <w:top w:val="nil"/>
              <w:left w:val="nil"/>
              <w:bottom w:val="single" w:sz="12" w:space="0" w:color="auto"/>
              <w:right w:val="nil"/>
            </w:tcBorders>
            <w:shd w:val="clear" w:color="auto" w:fill="auto"/>
            <w:noWrap/>
            <w:vAlign w:val="bottom"/>
            <w:hideMark/>
          </w:tcPr>
          <w:p w14:paraId="06A2924F" w14:textId="3743D621" w:rsidR="00BD229F" w:rsidRDefault="00BD229F" w:rsidP="00BD229F">
            <w:pPr>
              <w:jc w:val="right"/>
              <w:rPr>
                <w:color w:val="000000"/>
                <w:sz w:val="20"/>
                <w:szCs w:val="20"/>
              </w:rPr>
            </w:pPr>
            <w:r>
              <w:rPr>
                <w:color w:val="000000"/>
                <w:sz w:val="20"/>
                <w:szCs w:val="20"/>
              </w:rPr>
              <w:t>0.368</w:t>
            </w:r>
          </w:p>
        </w:tc>
        <w:tc>
          <w:tcPr>
            <w:tcW w:w="768" w:type="dxa"/>
            <w:tcBorders>
              <w:top w:val="nil"/>
              <w:left w:val="nil"/>
              <w:bottom w:val="single" w:sz="12" w:space="0" w:color="auto"/>
              <w:right w:val="nil"/>
            </w:tcBorders>
            <w:shd w:val="clear" w:color="auto" w:fill="auto"/>
            <w:noWrap/>
            <w:vAlign w:val="bottom"/>
            <w:hideMark/>
          </w:tcPr>
          <w:p w14:paraId="25D38CAF" w14:textId="3603D2D6" w:rsidR="00BD229F" w:rsidRDefault="00BD229F" w:rsidP="00BD229F">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3FC8E0F4" w14:textId="0F9F7873" w:rsidR="00BD229F" w:rsidRDefault="00BD229F" w:rsidP="00BD229F">
            <w:pPr>
              <w:jc w:val="right"/>
              <w:rPr>
                <w:color w:val="000000"/>
                <w:sz w:val="20"/>
                <w:szCs w:val="20"/>
              </w:rPr>
            </w:pPr>
            <w:r>
              <w:rPr>
                <w:color w:val="000000"/>
                <w:sz w:val="20"/>
                <w:szCs w:val="20"/>
              </w:rPr>
              <w:t>0.064</w:t>
            </w:r>
          </w:p>
        </w:tc>
        <w:tc>
          <w:tcPr>
            <w:tcW w:w="768" w:type="dxa"/>
            <w:tcBorders>
              <w:top w:val="nil"/>
              <w:left w:val="nil"/>
              <w:bottom w:val="single" w:sz="12" w:space="0" w:color="auto"/>
              <w:right w:val="nil"/>
            </w:tcBorders>
            <w:shd w:val="clear" w:color="auto" w:fill="auto"/>
            <w:noWrap/>
            <w:vAlign w:val="bottom"/>
            <w:hideMark/>
          </w:tcPr>
          <w:p w14:paraId="186AC024" w14:textId="6E9C7604" w:rsidR="00BD229F" w:rsidRDefault="00BD229F" w:rsidP="00BD229F">
            <w:pPr>
              <w:jc w:val="right"/>
              <w:rPr>
                <w:color w:val="000000"/>
                <w:sz w:val="20"/>
                <w:szCs w:val="20"/>
              </w:rPr>
            </w:pPr>
            <w:r>
              <w:rPr>
                <w:color w:val="000000"/>
                <w:sz w:val="20"/>
                <w:szCs w:val="20"/>
              </w:rPr>
              <w:t>0.376</w:t>
            </w:r>
          </w:p>
        </w:tc>
        <w:tc>
          <w:tcPr>
            <w:tcW w:w="768" w:type="dxa"/>
            <w:tcBorders>
              <w:top w:val="nil"/>
              <w:left w:val="nil"/>
              <w:bottom w:val="single" w:sz="12" w:space="0" w:color="auto"/>
              <w:right w:val="nil"/>
            </w:tcBorders>
            <w:shd w:val="clear" w:color="auto" w:fill="auto"/>
            <w:noWrap/>
            <w:vAlign w:val="bottom"/>
            <w:hideMark/>
          </w:tcPr>
          <w:p w14:paraId="5259F434" w14:textId="5692DE81" w:rsidR="00BD229F" w:rsidRDefault="00BD229F" w:rsidP="00BD229F">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5FFA4189" w14:textId="49C84230" w:rsidR="00BD229F" w:rsidRDefault="00BD229F" w:rsidP="00BD229F">
            <w:pPr>
              <w:jc w:val="right"/>
              <w:rPr>
                <w:color w:val="000000"/>
                <w:sz w:val="20"/>
                <w:szCs w:val="20"/>
              </w:rPr>
            </w:pPr>
            <w:r>
              <w:rPr>
                <w:color w:val="000000"/>
                <w:sz w:val="20"/>
                <w:szCs w:val="20"/>
              </w:rPr>
              <w:t>-0.025</w:t>
            </w:r>
          </w:p>
        </w:tc>
        <w:tc>
          <w:tcPr>
            <w:tcW w:w="768" w:type="dxa"/>
            <w:tcBorders>
              <w:top w:val="nil"/>
              <w:left w:val="nil"/>
              <w:bottom w:val="single" w:sz="12" w:space="0" w:color="auto"/>
              <w:right w:val="nil"/>
            </w:tcBorders>
            <w:shd w:val="clear" w:color="auto" w:fill="auto"/>
            <w:noWrap/>
            <w:vAlign w:val="bottom"/>
            <w:hideMark/>
          </w:tcPr>
          <w:p w14:paraId="1EB10C06" w14:textId="6E50B979" w:rsidR="00BD229F" w:rsidRDefault="00BD229F" w:rsidP="00BD229F">
            <w:pPr>
              <w:jc w:val="right"/>
              <w:rPr>
                <w:color w:val="000000"/>
                <w:sz w:val="20"/>
                <w:szCs w:val="20"/>
              </w:rPr>
            </w:pPr>
            <w:r>
              <w:rPr>
                <w:color w:val="000000"/>
                <w:sz w:val="20"/>
                <w:szCs w:val="20"/>
              </w:rPr>
              <w:t>0.809</w:t>
            </w:r>
          </w:p>
        </w:tc>
        <w:tc>
          <w:tcPr>
            <w:tcW w:w="768" w:type="dxa"/>
            <w:tcBorders>
              <w:top w:val="nil"/>
              <w:left w:val="nil"/>
              <w:bottom w:val="single" w:sz="12" w:space="0" w:color="auto"/>
              <w:right w:val="nil"/>
            </w:tcBorders>
            <w:shd w:val="clear" w:color="auto" w:fill="auto"/>
            <w:noWrap/>
            <w:vAlign w:val="bottom"/>
            <w:hideMark/>
          </w:tcPr>
          <w:p w14:paraId="09270133" w14:textId="501FC054" w:rsidR="00BD229F" w:rsidRDefault="00BD229F" w:rsidP="00BD229F">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3865ABCA" w14:textId="56776445" w:rsidR="00BD229F" w:rsidRDefault="00BD229F" w:rsidP="00BD229F">
            <w:pPr>
              <w:jc w:val="right"/>
              <w:rPr>
                <w:color w:val="000000"/>
                <w:sz w:val="20"/>
                <w:szCs w:val="20"/>
              </w:rPr>
            </w:pPr>
            <w:r>
              <w:rPr>
                <w:color w:val="000000"/>
                <w:sz w:val="20"/>
                <w:szCs w:val="20"/>
              </w:rPr>
              <w:t>0.042</w:t>
            </w:r>
          </w:p>
        </w:tc>
        <w:tc>
          <w:tcPr>
            <w:tcW w:w="768" w:type="dxa"/>
            <w:tcBorders>
              <w:top w:val="nil"/>
              <w:left w:val="nil"/>
              <w:bottom w:val="single" w:sz="12" w:space="0" w:color="auto"/>
              <w:right w:val="nil"/>
            </w:tcBorders>
            <w:shd w:val="clear" w:color="auto" w:fill="auto"/>
            <w:noWrap/>
            <w:vAlign w:val="bottom"/>
            <w:hideMark/>
          </w:tcPr>
          <w:p w14:paraId="2F7C28F2" w14:textId="0875C825" w:rsidR="00BD229F" w:rsidRDefault="00BD229F" w:rsidP="00BD229F">
            <w:pPr>
              <w:jc w:val="right"/>
              <w:rPr>
                <w:color w:val="000000"/>
                <w:sz w:val="20"/>
                <w:szCs w:val="20"/>
              </w:rPr>
            </w:pPr>
            <w:r>
              <w:rPr>
                <w:color w:val="000000"/>
                <w:sz w:val="20"/>
                <w:szCs w:val="20"/>
              </w:rPr>
              <w:t>0.462</w:t>
            </w:r>
          </w:p>
        </w:tc>
        <w:tc>
          <w:tcPr>
            <w:tcW w:w="768" w:type="dxa"/>
            <w:tcBorders>
              <w:top w:val="nil"/>
              <w:left w:val="nil"/>
              <w:bottom w:val="single" w:sz="12" w:space="0" w:color="auto"/>
              <w:right w:val="nil"/>
            </w:tcBorders>
            <w:shd w:val="clear" w:color="auto" w:fill="auto"/>
            <w:noWrap/>
            <w:vAlign w:val="bottom"/>
            <w:hideMark/>
          </w:tcPr>
          <w:p w14:paraId="493B871B" w14:textId="79EF76F8" w:rsidR="00BD229F" w:rsidRDefault="00BD229F" w:rsidP="00BD229F">
            <w:pPr>
              <w:jc w:val="right"/>
              <w:rPr>
                <w:color w:val="000000"/>
                <w:sz w:val="20"/>
                <w:szCs w:val="20"/>
              </w:rPr>
            </w:pPr>
            <w:r>
              <w:rPr>
                <w:color w:val="000000"/>
                <w:sz w:val="20"/>
                <w:szCs w:val="20"/>
              </w:rPr>
              <w:t>0.002</w:t>
            </w:r>
          </w:p>
        </w:tc>
      </w:tr>
      <w:tr w:rsidR="00731940" w14:paraId="2A509064" w14:textId="77777777" w:rsidTr="00731940">
        <w:trPr>
          <w:trHeight w:val="260"/>
        </w:trPr>
        <w:tc>
          <w:tcPr>
            <w:tcW w:w="1176" w:type="dxa"/>
            <w:tcBorders>
              <w:top w:val="single" w:sz="12" w:space="0" w:color="auto"/>
              <w:left w:val="nil"/>
              <w:bottom w:val="nil"/>
              <w:right w:val="nil"/>
            </w:tcBorders>
            <w:shd w:val="clear" w:color="auto" w:fill="auto"/>
            <w:noWrap/>
            <w:vAlign w:val="bottom"/>
            <w:hideMark/>
          </w:tcPr>
          <w:p w14:paraId="20890121" w14:textId="77777777" w:rsidR="00731940" w:rsidRDefault="00731940">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42FD1D70" w14:textId="77777777" w:rsidR="00731940" w:rsidRDefault="00731940">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035F3259"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61B3FF1"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E7108EC"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1700FB1"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316B77D"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98A2D78"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4FF467C"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03FE07C"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D93BBED"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79D6CDC"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D65EDD7"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623A9B"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56F1C8F"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2A76207" w14:textId="77777777" w:rsidR="00731940" w:rsidRDefault="0073194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A689CB4" w14:textId="77777777" w:rsidR="00731940" w:rsidRDefault="00731940">
            <w:pPr>
              <w:rPr>
                <w:sz w:val="20"/>
                <w:szCs w:val="20"/>
              </w:rPr>
            </w:pPr>
          </w:p>
        </w:tc>
      </w:tr>
    </w:tbl>
    <w:p w14:paraId="22A4737C" w14:textId="0A03521C" w:rsidR="00731940" w:rsidRDefault="00731940" w:rsidP="00BA3AF4">
      <w:pPr>
        <w:spacing w:line="480" w:lineRule="auto"/>
      </w:pPr>
    </w:p>
    <w:p w14:paraId="3C71BFFC" w14:textId="77777777" w:rsidR="00731940" w:rsidRDefault="00731940">
      <w:r>
        <w:br w:type="page"/>
      </w:r>
    </w:p>
    <w:p w14:paraId="72DEE8C8" w14:textId="15B9974B" w:rsidR="00731940" w:rsidRPr="009E2A20" w:rsidRDefault="00432B71" w:rsidP="009E2A20">
      <w:pPr>
        <w:pStyle w:val="Heading1"/>
        <w:rPr>
          <w:rFonts w:ascii="Times New Roman" w:hAnsi="Times New Roman" w:cs="Times New Roman"/>
          <w:color w:val="000000" w:themeColor="text1"/>
          <w:sz w:val="24"/>
          <w:szCs w:val="24"/>
        </w:rPr>
      </w:pPr>
      <w:bookmarkStart w:id="31" w:name="_Toc155817698"/>
      <w:r>
        <w:rPr>
          <w:rFonts w:ascii="Times New Roman" w:hAnsi="Times New Roman" w:cs="Times New Roman"/>
          <w:b/>
          <w:bCs/>
          <w:color w:val="000000" w:themeColor="text1"/>
          <w:sz w:val="24"/>
          <w:szCs w:val="24"/>
        </w:rPr>
        <w:lastRenderedPageBreak/>
        <w:t xml:space="preserve">Table </w:t>
      </w:r>
      <w:r w:rsidR="00DE156A">
        <w:rPr>
          <w:rFonts w:ascii="Times New Roman" w:hAnsi="Times New Roman" w:cs="Times New Roman"/>
          <w:b/>
          <w:bCs/>
          <w:color w:val="000000" w:themeColor="text1"/>
          <w:sz w:val="24"/>
          <w:szCs w:val="24"/>
        </w:rPr>
        <w:t>10</w:t>
      </w:r>
      <w:r w:rsidR="00731940" w:rsidRPr="009E2A20">
        <w:rPr>
          <w:rFonts w:ascii="Times New Roman" w:hAnsi="Times New Roman" w:cs="Times New Roman"/>
          <w:b/>
          <w:bCs/>
          <w:color w:val="000000" w:themeColor="text1"/>
          <w:sz w:val="24"/>
          <w:szCs w:val="24"/>
        </w:rPr>
        <w:t xml:space="preserve">b. </w:t>
      </w:r>
      <w:r w:rsidR="00731940"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local efficiency during emotional n-back task</w:t>
      </w:r>
      <w:bookmarkEnd w:id="31"/>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FD5355" w14:paraId="55AEC467" w14:textId="77777777" w:rsidTr="00FD5355">
        <w:trPr>
          <w:trHeight w:val="340"/>
        </w:trPr>
        <w:tc>
          <w:tcPr>
            <w:tcW w:w="1176" w:type="dxa"/>
            <w:tcBorders>
              <w:top w:val="nil"/>
              <w:left w:val="nil"/>
              <w:bottom w:val="single" w:sz="12" w:space="0" w:color="auto"/>
              <w:right w:val="nil"/>
            </w:tcBorders>
            <w:shd w:val="clear" w:color="auto" w:fill="auto"/>
            <w:noWrap/>
            <w:vAlign w:val="bottom"/>
            <w:hideMark/>
          </w:tcPr>
          <w:p w14:paraId="289EDA7F" w14:textId="77777777" w:rsidR="00FD5355" w:rsidRDefault="00FD5355">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131085C" w14:textId="77777777" w:rsidR="00FD5355" w:rsidRDefault="00FD5355">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011AA38B" w14:textId="77777777" w:rsidR="00FD5355" w:rsidRDefault="00FD5355">
            <w:pPr>
              <w:rPr>
                <w:color w:val="000000"/>
              </w:rPr>
            </w:pPr>
          </w:p>
        </w:tc>
        <w:tc>
          <w:tcPr>
            <w:tcW w:w="768" w:type="dxa"/>
            <w:tcBorders>
              <w:top w:val="nil"/>
              <w:left w:val="nil"/>
              <w:bottom w:val="single" w:sz="12" w:space="0" w:color="auto"/>
              <w:right w:val="nil"/>
            </w:tcBorders>
            <w:shd w:val="clear" w:color="auto" w:fill="auto"/>
            <w:noWrap/>
            <w:vAlign w:val="bottom"/>
            <w:hideMark/>
          </w:tcPr>
          <w:p w14:paraId="7600B12F"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39A3FEE"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F934309"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F7F853C"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A274E41"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0F1C60B"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64750D6"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8F50E77"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C38B449"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669322F"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CB6EA80"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04EF788" w14:textId="77777777" w:rsidR="00FD5355" w:rsidRDefault="00FD535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07AFDBD" w14:textId="77777777" w:rsidR="00FD5355" w:rsidRDefault="00FD5355">
            <w:pPr>
              <w:rPr>
                <w:sz w:val="20"/>
                <w:szCs w:val="20"/>
              </w:rPr>
            </w:pPr>
          </w:p>
        </w:tc>
        <w:tc>
          <w:tcPr>
            <w:tcW w:w="768" w:type="dxa"/>
            <w:tcBorders>
              <w:top w:val="nil"/>
              <w:left w:val="nil"/>
              <w:bottom w:val="nil"/>
              <w:right w:val="nil"/>
            </w:tcBorders>
            <w:shd w:val="clear" w:color="auto" w:fill="auto"/>
            <w:noWrap/>
            <w:vAlign w:val="bottom"/>
            <w:hideMark/>
          </w:tcPr>
          <w:p w14:paraId="196513A1" w14:textId="77777777" w:rsidR="00FD5355" w:rsidRDefault="00FD5355">
            <w:pPr>
              <w:rPr>
                <w:sz w:val="20"/>
                <w:szCs w:val="20"/>
              </w:rPr>
            </w:pPr>
          </w:p>
        </w:tc>
      </w:tr>
      <w:tr w:rsidR="00FD5355" w14:paraId="2549BC2A" w14:textId="77777777" w:rsidTr="00FD5355">
        <w:trPr>
          <w:trHeight w:val="340"/>
        </w:trPr>
        <w:tc>
          <w:tcPr>
            <w:tcW w:w="1176" w:type="dxa"/>
            <w:tcBorders>
              <w:top w:val="single" w:sz="12" w:space="0" w:color="auto"/>
              <w:left w:val="nil"/>
              <w:bottom w:val="nil"/>
              <w:right w:val="nil"/>
            </w:tcBorders>
            <w:shd w:val="clear" w:color="auto" w:fill="auto"/>
            <w:noWrap/>
            <w:vAlign w:val="bottom"/>
            <w:hideMark/>
          </w:tcPr>
          <w:p w14:paraId="2CB1971C" w14:textId="77777777" w:rsidR="00FD5355" w:rsidRDefault="00FD5355">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33FED208" w14:textId="77777777" w:rsidR="00FD5355" w:rsidRDefault="00FD5355">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51CC53F9" w14:textId="4B52B2BE" w:rsidR="00FD5355" w:rsidRDefault="00FD5355">
            <w:pPr>
              <w:jc w:val="center"/>
              <w:rPr>
                <w:color w:val="000000"/>
                <w:sz w:val="20"/>
                <w:szCs w:val="20"/>
              </w:rPr>
            </w:pPr>
            <w:r>
              <w:rPr>
                <w:color w:val="000000"/>
                <w:sz w:val="20"/>
                <w:szCs w:val="20"/>
              </w:rPr>
              <w:t>General</w:t>
            </w:r>
            <w:r w:rsidR="003A428B">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6BE53D8" w14:textId="77777777" w:rsidR="00FD5355" w:rsidRDefault="00FD5355">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EA35DE2" w14:textId="77777777" w:rsidR="00FD5355" w:rsidRDefault="00FD5355">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C558DD5" w14:textId="77777777" w:rsidR="00FD5355" w:rsidRDefault="00FD5355">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492ED90E" w14:textId="77777777" w:rsidR="00FD5355" w:rsidRDefault="00FD5355">
            <w:pPr>
              <w:jc w:val="center"/>
              <w:rPr>
                <w:color w:val="000000"/>
                <w:sz w:val="20"/>
                <w:szCs w:val="20"/>
              </w:rPr>
            </w:pPr>
            <w:r>
              <w:rPr>
                <w:color w:val="000000"/>
                <w:sz w:val="20"/>
                <w:szCs w:val="20"/>
              </w:rPr>
              <w:t>Urbanicity</w:t>
            </w:r>
          </w:p>
        </w:tc>
      </w:tr>
      <w:tr w:rsidR="002125FE" w14:paraId="614A5336" w14:textId="77777777" w:rsidTr="00FD5355">
        <w:trPr>
          <w:trHeight w:val="360"/>
        </w:trPr>
        <w:tc>
          <w:tcPr>
            <w:tcW w:w="1176" w:type="dxa"/>
            <w:tcBorders>
              <w:top w:val="nil"/>
              <w:left w:val="nil"/>
              <w:bottom w:val="single" w:sz="12" w:space="0" w:color="auto"/>
              <w:right w:val="nil"/>
            </w:tcBorders>
            <w:shd w:val="clear" w:color="auto" w:fill="auto"/>
            <w:noWrap/>
            <w:vAlign w:val="bottom"/>
            <w:hideMark/>
          </w:tcPr>
          <w:p w14:paraId="18C45514"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3F008E1F"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13591B66" w14:textId="77203D65"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C7CCD41" w14:textId="75C1907E"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ADB0F1B" w14:textId="1DD12BE9"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0DF4625" w14:textId="7C8E401D"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092A9EC" w14:textId="14C3F8FE"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658D8A37" w14:textId="3D33ED22"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01FC5044" w14:textId="0C1D086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479FE844" w14:textId="28473565"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5C9E4EF2" w14:textId="4ED8240E"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40478D61" w14:textId="54EC080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1407988F" w14:textId="06362A52"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02746305" w14:textId="67023945"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6076BB7" w14:textId="5B5BEFB8"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5BC2E77" w14:textId="67D887B4"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F4F53B0" w14:textId="3832A7FA"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384B20" w14:paraId="23C29261" w14:textId="77777777" w:rsidTr="00FD5355">
        <w:trPr>
          <w:trHeight w:val="320"/>
        </w:trPr>
        <w:tc>
          <w:tcPr>
            <w:tcW w:w="1176" w:type="dxa"/>
            <w:tcBorders>
              <w:top w:val="single" w:sz="12" w:space="0" w:color="auto"/>
              <w:left w:val="nil"/>
              <w:bottom w:val="nil"/>
              <w:right w:val="nil"/>
            </w:tcBorders>
            <w:shd w:val="clear" w:color="auto" w:fill="auto"/>
            <w:noWrap/>
            <w:vAlign w:val="bottom"/>
            <w:hideMark/>
          </w:tcPr>
          <w:p w14:paraId="7B673B5F" w14:textId="77777777" w:rsidR="00384B20" w:rsidRDefault="00384B20" w:rsidP="00384B20">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425D95E9" w14:textId="77777777" w:rsidR="00384B20" w:rsidRDefault="00384B20" w:rsidP="00384B20">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1B4CE2CA" w14:textId="67D1A2C1" w:rsidR="00384B20" w:rsidRDefault="00384B20" w:rsidP="00384B20">
            <w:pPr>
              <w:jc w:val="right"/>
              <w:rPr>
                <w:color w:val="000000"/>
                <w:sz w:val="20"/>
                <w:szCs w:val="20"/>
              </w:rPr>
            </w:pPr>
            <w:r>
              <w:rPr>
                <w:color w:val="000000"/>
                <w:sz w:val="20"/>
                <w:szCs w:val="20"/>
              </w:rPr>
              <w:t>-0.035</w:t>
            </w:r>
          </w:p>
        </w:tc>
        <w:tc>
          <w:tcPr>
            <w:tcW w:w="768" w:type="dxa"/>
            <w:tcBorders>
              <w:top w:val="single" w:sz="12" w:space="0" w:color="auto"/>
              <w:left w:val="nil"/>
              <w:bottom w:val="nil"/>
              <w:right w:val="nil"/>
            </w:tcBorders>
            <w:shd w:val="clear" w:color="auto" w:fill="auto"/>
            <w:noWrap/>
            <w:vAlign w:val="bottom"/>
            <w:hideMark/>
          </w:tcPr>
          <w:p w14:paraId="6FA51C5F" w14:textId="57A22DB4" w:rsidR="00384B20" w:rsidRDefault="00384B20" w:rsidP="00384B20">
            <w:pPr>
              <w:jc w:val="right"/>
              <w:rPr>
                <w:color w:val="000000"/>
                <w:sz w:val="20"/>
                <w:szCs w:val="20"/>
              </w:rPr>
            </w:pPr>
            <w:r>
              <w:rPr>
                <w:color w:val="000000"/>
                <w:sz w:val="20"/>
                <w:szCs w:val="20"/>
              </w:rPr>
              <w:t>0.757</w:t>
            </w:r>
          </w:p>
        </w:tc>
        <w:tc>
          <w:tcPr>
            <w:tcW w:w="768" w:type="dxa"/>
            <w:tcBorders>
              <w:top w:val="single" w:sz="12" w:space="0" w:color="auto"/>
              <w:left w:val="nil"/>
              <w:bottom w:val="nil"/>
              <w:right w:val="nil"/>
            </w:tcBorders>
            <w:shd w:val="clear" w:color="auto" w:fill="auto"/>
            <w:noWrap/>
            <w:vAlign w:val="bottom"/>
            <w:hideMark/>
          </w:tcPr>
          <w:p w14:paraId="2C3E632C" w14:textId="7D42B28D" w:rsidR="00384B20" w:rsidRDefault="00384B20" w:rsidP="00384B20">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706F4FCB" w14:textId="6D1C9BBD" w:rsidR="00384B20" w:rsidRDefault="00384B20" w:rsidP="00384B20">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79552384" w14:textId="06958E54" w:rsidR="00384B20" w:rsidRDefault="00384B20" w:rsidP="00384B20">
            <w:pPr>
              <w:jc w:val="right"/>
              <w:rPr>
                <w:color w:val="000000"/>
                <w:sz w:val="20"/>
                <w:szCs w:val="20"/>
              </w:rPr>
            </w:pPr>
            <w:r>
              <w:rPr>
                <w:color w:val="000000"/>
                <w:sz w:val="20"/>
                <w:szCs w:val="20"/>
              </w:rPr>
              <w:t>0.935</w:t>
            </w:r>
          </w:p>
        </w:tc>
        <w:tc>
          <w:tcPr>
            <w:tcW w:w="768" w:type="dxa"/>
            <w:tcBorders>
              <w:top w:val="single" w:sz="12" w:space="0" w:color="auto"/>
              <w:left w:val="nil"/>
              <w:bottom w:val="nil"/>
              <w:right w:val="nil"/>
            </w:tcBorders>
            <w:shd w:val="clear" w:color="auto" w:fill="auto"/>
            <w:noWrap/>
            <w:vAlign w:val="bottom"/>
            <w:hideMark/>
          </w:tcPr>
          <w:p w14:paraId="52407A0F" w14:textId="3BD6E0CF" w:rsidR="00384B20" w:rsidRDefault="00384B20" w:rsidP="00384B2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E977C13" w14:textId="3999120D" w:rsidR="00384B20" w:rsidRDefault="00384B20" w:rsidP="00384B20">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647FAA95" w14:textId="49833829" w:rsidR="00384B20" w:rsidRDefault="00384B20" w:rsidP="00384B20">
            <w:pPr>
              <w:jc w:val="right"/>
              <w:rPr>
                <w:color w:val="000000"/>
                <w:sz w:val="20"/>
                <w:szCs w:val="20"/>
              </w:rPr>
            </w:pPr>
            <w:r>
              <w:rPr>
                <w:color w:val="000000"/>
                <w:sz w:val="20"/>
                <w:szCs w:val="20"/>
              </w:rPr>
              <w:t>0.896</w:t>
            </w:r>
          </w:p>
        </w:tc>
        <w:tc>
          <w:tcPr>
            <w:tcW w:w="768" w:type="dxa"/>
            <w:tcBorders>
              <w:top w:val="single" w:sz="12" w:space="0" w:color="auto"/>
              <w:left w:val="nil"/>
              <w:bottom w:val="nil"/>
              <w:right w:val="nil"/>
            </w:tcBorders>
            <w:shd w:val="clear" w:color="auto" w:fill="auto"/>
            <w:noWrap/>
            <w:vAlign w:val="bottom"/>
            <w:hideMark/>
          </w:tcPr>
          <w:p w14:paraId="10C0137D" w14:textId="21AC8CC9" w:rsidR="00384B20" w:rsidRDefault="00384B20" w:rsidP="00384B2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3B85177" w14:textId="1C6B12EA" w:rsidR="00384B20" w:rsidRDefault="00384B20" w:rsidP="00384B20">
            <w:pPr>
              <w:jc w:val="right"/>
              <w:rPr>
                <w:color w:val="000000"/>
                <w:sz w:val="20"/>
                <w:szCs w:val="20"/>
              </w:rPr>
            </w:pPr>
            <w:r>
              <w:rPr>
                <w:color w:val="000000"/>
                <w:sz w:val="20"/>
                <w:szCs w:val="20"/>
              </w:rPr>
              <w:t>-0.033</w:t>
            </w:r>
          </w:p>
        </w:tc>
        <w:tc>
          <w:tcPr>
            <w:tcW w:w="768" w:type="dxa"/>
            <w:tcBorders>
              <w:top w:val="single" w:sz="12" w:space="0" w:color="auto"/>
              <w:left w:val="nil"/>
              <w:bottom w:val="nil"/>
              <w:right w:val="nil"/>
            </w:tcBorders>
            <w:shd w:val="clear" w:color="auto" w:fill="auto"/>
            <w:noWrap/>
            <w:vAlign w:val="bottom"/>
            <w:hideMark/>
          </w:tcPr>
          <w:p w14:paraId="411A1EC4" w14:textId="603416F4" w:rsidR="00384B20" w:rsidRDefault="00384B20" w:rsidP="00384B20">
            <w:pPr>
              <w:jc w:val="right"/>
              <w:rPr>
                <w:color w:val="000000"/>
                <w:sz w:val="20"/>
                <w:szCs w:val="20"/>
              </w:rPr>
            </w:pPr>
            <w:r>
              <w:rPr>
                <w:color w:val="000000"/>
                <w:sz w:val="20"/>
                <w:szCs w:val="20"/>
              </w:rPr>
              <w:t>0.629</w:t>
            </w:r>
          </w:p>
        </w:tc>
        <w:tc>
          <w:tcPr>
            <w:tcW w:w="768" w:type="dxa"/>
            <w:tcBorders>
              <w:top w:val="single" w:sz="12" w:space="0" w:color="auto"/>
              <w:left w:val="nil"/>
              <w:bottom w:val="nil"/>
              <w:right w:val="nil"/>
            </w:tcBorders>
            <w:shd w:val="clear" w:color="auto" w:fill="auto"/>
            <w:noWrap/>
            <w:vAlign w:val="bottom"/>
            <w:hideMark/>
          </w:tcPr>
          <w:p w14:paraId="221B2B8F" w14:textId="3C841F3B" w:rsidR="00384B20" w:rsidRDefault="00384B20" w:rsidP="00384B20">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0762C513" w14:textId="58E0FE7B" w:rsidR="00384B20" w:rsidRDefault="00384B20" w:rsidP="00384B20">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732F1F40" w14:textId="02E51F21" w:rsidR="00384B20" w:rsidRDefault="00384B20" w:rsidP="00384B20">
            <w:pPr>
              <w:jc w:val="right"/>
              <w:rPr>
                <w:color w:val="000000"/>
                <w:sz w:val="20"/>
                <w:szCs w:val="20"/>
              </w:rPr>
            </w:pPr>
            <w:r>
              <w:rPr>
                <w:color w:val="000000"/>
                <w:sz w:val="20"/>
                <w:szCs w:val="20"/>
              </w:rPr>
              <w:t>0.907</w:t>
            </w:r>
          </w:p>
        </w:tc>
        <w:tc>
          <w:tcPr>
            <w:tcW w:w="768" w:type="dxa"/>
            <w:tcBorders>
              <w:top w:val="single" w:sz="12" w:space="0" w:color="auto"/>
              <w:left w:val="nil"/>
              <w:bottom w:val="nil"/>
              <w:right w:val="nil"/>
            </w:tcBorders>
            <w:shd w:val="clear" w:color="auto" w:fill="auto"/>
            <w:noWrap/>
            <w:vAlign w:val="bottom"/>
            <w:hideMark/>
          </w:tcPr>
          <w:p w14:paraId="71CEC0AD" w14:textId="1C24820C" w:rsidR="00384B20" w:rsidRDefault="00384B20" w:rsidP="00384B20">
            <w:pPr>
              <w:jc w:val="right"/>
              <w:rPr>
                <w:color w:val="000000"/>
                <w:sz w:val="20"/>
                <w:szCs w:val="20"/>
              </w:rPr>
            </w:pPr>
            <w:r>
              <w:rPr>
                <w:color w:val="000000"/>
                <w:sz w:val="20"/>
                <w:szCs w:val="20"/>
              </w:rPr>
              <w:t>0.000</w:t>
            </w:r>
          </w:p>
        </w:tc>
      </w:tr>
      <w:tr w:rsidR="00384B20" w14:paraId="700DDF72" w14:textId="77777777" w:rsidTr="00FD5355">
        <w:trPr>
          <w:trHeight w:val="340"/>
        </w:trPr>
        <w:tc>
          <w:tcPr>
            <w:tcW w:w="1176" w:type="dxa"/>
            <w:tcBorders>
              <w:top w:val="nil"/>
              <w:left w:val="nil"/>
              <w:bottom w:val="nil"/>
              <w:right w:val="nil"/>
            </w:tcBorders>
            <w:shd w:val="clear" w:color="auto" w:fill="auto"/>
            <w:noWrap/>
            <w:vAlign w:val="bottom"/>
            <w:hideMark/>
          </w:tcPr>
          <w:p w14:paraId="7A764B82"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73BA3E1" w14:textId="77777777" w:rsidR="00384B20" w:rsidRDefault="00384B20" w:rsidP="00384B2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60AA6B6" w14:textId="23BAD837" w:rsidR="00384B20" w:rsidRDefault="00384B20" w:rsidP="00384B2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1AA61E4" w14:textId="360D0F45" w:rsidR="00384B20" w:rsidRDefault="00384B20" w:rsidP="00384B20">
            <w:pPr>
              <w:jc w:val="right"/>
              <w:rPr>
                <w:color w:val="000000"/>
                <w:sz w:val="20"/>
                <w:szCs w:val="20"/>
              </w:rPr>
            </w:pPr>
            <w:r>
              <w:rPr>
                <w:color w:val="000000"/>
                <w:sz w:val="20"/>
                <w:szCs w:val="20"/>
              </w:rPr>
              <w:t>0.876</w:t>
            </w:r>
          </w:p>
        </w:tc>
        <w:tc>
          <w:tcPr>
            <w:tcW w:w="768" w:type="dxa"/>
            <w:tcBorders>
              <w:top w:val="nil"/>
              <w:left w:val="nil"/>
              <w:bottom w:val="nil"/>
              <w:right w:val="nil"/>
            </w:tcBorders>
            <w:shd w:val="clear" w:color="auto" w:fill="auto"/>
            <w:noWrap/>
            <w:vAlign w:val="bottom"/>
            <w:hideMark/>
          </w:tcPr>
          <w:p w14:paraId="107A5680" w14:textId="27C53BD4"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552AD7" w14:textId="7178A7D0" w:rsidR="00384B20" w:rsidRDefault="00384B20" w:rsidP="00384B2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E5958BE" w14:textId="47F5048C" w:rsidR="00384B20" w:rsidRDefault="00384B20" w:rsidP="00384B20">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64AE344F" w14:textId="58C28947"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1998E3" w14:textId="7A4E4248" w:rsidR="00384B20" w:rsidRDefault="00384B20" w:rsidP="00384B2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30AFC4F" w14:textId="0670F48D" w:rsidR="00384B20" w:rsidRDefault="00384B20" w:rsidP="00384B2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277E0CE3" w14:textId="7955ECDD"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C11E0F" w14:textId="17AB45C1" w:rsidR="00384B20" w:rsidRDefault="00384B20" w:rsidP="00384B20">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70AAE4C3" w14:textId="29E75B49" w:rsidR="00384B20" w:rsidRDefault="00384B20" w:rsidP="00384B20">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6716F955" w14:textId="146831E8"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76832AD" w14:textId="0AE1F790" w:rsidR="00384B20" w:rsidRDefault="00384B20" w:rsidP="00384B20">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736D2043" w14:textId="347BD63B" w:rsidR="00384B20" w:rsidRDefault="00384B20" w:rsidP="00384B20">
            <w:pPr>
              <w:jc w:val="right"/>
              <w:rPr>
                <w:color w:val="000000"/>
                <w:sz w:val="20"/>
                <w:szCs w:val="20"/>
              </w:rPr>
            </w:pPr>
            <w:r>
              <w:rPr>
                <w:color w:val="000000"/>
                <w:sz w:val="20"/>
                <w:szCs w:val="20"/>
              </w:rPr>
              <w:t>0.702</w:t>
            </w:r>
          </w:p>
        </w:tc>
        <w:tc>
          <w:tcPr>
            <w:tcW w:w="768" w:type="dxa"/>
            <w:tcBorders>
              <w:top w:val="nil"/>
              <w:left w:val="nil"/>
              <w:bottom w:val="nil"/>
              <w:right w:val="nil"/>
            </w:tcBorders>
            <w:shd w:val="clear" w:color="auto" w:fill="auto"/>
            <w:noWrap/>
            <w:vAlign w:val="bottom"/>
            <w:hideMark/>
          </w:tcPr>
          <w:p w14:paraId="3C7BAFA3" w14:textId="725B916F" w:rsidR="00384B20" w:rsidRDefault="00384B20" w:rsidP="00384B20">
            <w:pPr>
              <w:jc w:val="right"/>
              <w:rPr>
                <w:color w:val="000000"/>
                <w:sz w:val="20"/>
                <w:szCs w:val="20"/>
              </w:rPr>
            </w:pPr>
            <w:r>
              <w:rPr>
                <w:color w:val="000000"/>
                <w:sz w:val="20"/>
                <w:szCs w:val="20"/>
              </w:rPr>
              <w:t>0.003</w:t>
            </w:r>
          </w:p>
        </w:tc>
      </w:tr>
      <w:tr w:rsidR="00384B20" w14:paraId="23E4D1BB" w14:textId="77777777" w:rsidTr="00FD5355">
        <w:trPr>
          <w:trHeight w:val="320"/>
        </w:trPr>
        <w:tc>
          <w:tcPr>
            <w:tcW w:w="1176" w:type="dxa"/>
            <w:tcBorders>
              <w:top w:val="nil"/>
              <w:left w:val="nil"/>
              <w:bottom w:val="nil"/>
              <w:right w:val="nil"/>
            </w:tcBorders>
            <w:shd w:val="clear" w:color="auto" w:fill="auto"/>
            <w:noWrap/>
            <w:vAlign w:val="bottom"/>
            <w:hideMark/>
          </w:tcPr>
          <w:p w14:paraId="5F421372"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4F0E026" w14:textId="77777777" w:rsidR="00384B20" w:rsidRDefault="00384B20" w:rsidP="00384B2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7D3BC37" w14:textId="69E36DD4" w:rsidR="00384B20" w:rsidRDefault="00384B20" w:rsidP="00384B20">
            <w:pPr>
              <w:jc w:val="right"/>
              <w:rPr>
                <w:color w:val="000000"/>
                <w:sz w:val="20"/>
                <w:szCs w:val="20"/>
              </w:rPr>
            </w:pPr>
            <w:r>
              <w:rPr>
                <w:color w:val="000000"/>
                <w:sz w:val="20"/>
                <w:szCs w:val="20"/>
              </w:rPr>
              <w:t>-0.155</w:t>
            </w:r>
          </w:p>
        </w:tc>
        <w:tc>
          <w:tcPr>
            <w:tcW w:w="768" w:type="dxa"/>
            <w:tcBorders>
              <w:top w:val="nil"/>
              <w:left w:val="nil"/>
              <w:bottom w:val="nil"/>
              <w:right w:val="nil"/>
            </w:tcBorders>
            <w:shd w:val="clear" w:color="auto" w:fill="auto"/>
            <w:noWrap/>
            <w:vAlign w:val="bottom"/>
            <w:hideMark/>
          </w:tcPr>
          <w:p w14:paraId="00E85C7B" w14:textId="7A3F22F0" w:rsidR="00384B20" w:rsidRDefault="00384B20" w:rsidP="00384B20">
            <w:pPr>
              <w:jc w:val="right"/>
              <w:rPr>
                <w:color w:val="000000"/>
                <w:sz w:val="20"/>
                <w:szCs w:val="20"/>
              </w:rPr>
            </w:pPr>
            <w:r>
              <w:rPr>
                <w:color w:val="000000"/>
                <w:sz w:val="20"/>
                <w:szCs w:val="20"/>
              </w:rPr>
              <w:t>0.520</w:t>
            </w:r>
          </w:p>
        </w:tc>
        <w:tc>
          <w:tcPr>
            <w:tcW w:w="768" w:type="dxa"/>
            <w:tcBorders>
              <w:top w:val="nil"/>
              <w:left w:val="nil"/>
              <w:bottom w:val="nil"/>
              <w:right w:val="nil"/>
            </w:tcBorders>
            <w:shd w:val="clear" w:color="auto" w:fill="auto"/>
            <w:noWrap/>
            <w:vAlign w:val="bottom"/>
            <w:hideMark/>
          </w:tcPr>
          <w:p w14:paraId="6D308DA2" w14:textId="381585A9" w:rsidR="00384B20" w:rsidRDefault="00384B20" w:rsidP="00384B2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7AB66D78" w14:textId="4B3CA402" w:rsidR="00384B20" w:rsidRDefault="00384B20" w:rsidP="00384B2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3929672" w14:textId="1909DE26" w:rsidR="00384B20" w:rsidRDefault="00384B20" w:rsidP="00384B20">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69A26502" w14:textId="40CE0ACB"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09F684" w14:textId="59588D26" w:rsidR="00384B20" w:rsidRDefault="00384B20" w:rsidP="00384B2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1742D1F0" w14:textId="6C93AF0F" w:rsidR="00384B20" w:rsidRDefault="00384B20" w:rsidP="00384B2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797CAF90" w14:textId="07D014DB"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681D2D" w14:textId="69DAEB8B" w:rsidR="00384B20" w:rsidRDefault="00384B20" w:rsidP="00384B20">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1834168D" w14:textId="0979D7AC" w:rsidR="00384B20" w:rsidRDefault="00384B20" w:rsidP="00384B20">
            <w:pPr>
              <w:jc w:val="right"/>
              <w:rPr>
                <w:color w:val="000000"/>
                <w:sz w:val="20"/>
                <w:szCs w:val="20"/>
              </w:rPr>
            </w:pPr>
            <w:r>
              <w:rPr>
                <w:color w:val="000000"/>
                <w:sz w:val="20"/>
                <w:szCs w:val="20"/>
              </w:rPr>
              <w:t>0.700</w:t>
            </w:r>
          </w:p>
        </w:tc>
        <w:tc>
          <w:tcPr>
            <w:tcW w:w="768" w:type="dxa"/>
            <w:tcBorders>
              <w:top w:val="nil"/>
              <w:left w:val="nil"/>
              <w:bottom w:val="nil"/>
              <w:right w:val="nil"/>
            </w:tcBorders>
            <w:shd w:val="clear" w:color="auto" w:fill="auto"/>
            <w:noWrap/>
            <w:vAlign w:val="bottom"/>
            <w:hideMark/>
          </w:tcPr>
          <w:p w14:paraId="2151D27A" w14:textId="7E779127"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044F16" w14:textId="7D0B699A" w:rsidR="00384B20" w:rsidRDefault="00384B20" w:rsidP="00384B20">
            <w:pPr>
              <w:jc w:val="right"/>
              <w:rPr>
                <w:color w:val="000000"/>
                <w:sz w:val="20"/>
                <w:szCs w:val="20"/>
              </w:rPr>
            </w:pPr>
            <w:r>
              <w:rPr>
                <w:color w:val="000000"/>
                <w:sz w:val="20"/>
                <w:szCs w:val="20"/>
              </w:rPr>
              <w:t>-0.175</w:t>
            </w:r>
          </w:p>
        </w:tc>
        <w:tc>
          <w:tcPr>
            <w:tcW w:w="768" w:type="dxa"/>
            <w:tcBorders>
              <w:top w:val="nil"/>
              <w:left w:val="nil"/>
              <w:bottom w:val="nil"/>
              <w:right w:val="nil"/>
            </w:tcBorders>
            <w:shd w:val="clear" w:color="auto" w:fill="auto"/>
            <w:noWrap/>
            <w:vAlign w:val="bottom"/>
            <w:hideMark/>
          </w:tcPr>
          <w:p w14:paraId="4F5AE4BF" w14:textId="42446846" w:rsidR="00384B20" w:rsidRDefault="00384B20" w:rsidP="00384B20">
            <w:pPr>
              <w:jc w:val="right"/>
              <w:rPr>
                <w:color w:val="000000"/>
                <w:sz w:val="20"/>
                <w:szCs w:val="20"/>
              </w:rPr>
            </w:pPr>
            <w:r>
              <w:rPr>
                <w:color w:val="000000"/>
                <w:sz w:val="20"/>
                <w:szCs w:val="20"/>
              </w:rPr>
              <w:t>0.532</w:t>
            </w:r>
          </w:p>
        </w:tc>
        <w:tc>
          <w:tcPr>
            <w:tcW w:w="768" w:type="dxa"/>
            <w:tcBorders>
              <w:top w:val="nil"/>
              <w:left w:val="nil"/>
              <w:bottom w:val="nil"/>
              <w:right w:val="nil"/>
            </w:tcBorders>
            <w:shd w:val="clear" w:color="auto" w:fill="auto"/>
            <w:noWrap/>
            <w:vAlign w:val="bottom"/>
            <w:hideMark/>
          </w:tcPr>
          <w:p w14:paraId="6D06407C" w14:textId="0BFBF498" w:rsidR="00384B20" w:rsidRDefault="00384B20" w:rsidP="00384B20">
            <w:pPr>
              <w:jc w:val="right"/>
              <w:rPr>
                <w:color w:val="000000"/>
                <w:sz w:val="20"/>
                <w:szCs w:val="20"/>
              </w:rPr>
            </w:pPr>
            <w:r>
              <w:rPr>
                <w:color w:val="000000"/>
                <w:sz w:val="20"/>
                <w:szCs w:val="20"/>
              </w:rPr>
              <w:t>0.031</w:t>
            </w:r>
          </w:p>
        </w:tc>
      </w:tr>
      <w:tr w:rsidR="00384B20" w14:paraId="1A642E4C" w14:textId="77777777" w:rsidTr="00FD5355">
        <w:trPr>
          <w:trHeight w:val="320"/>
        </w:trPr>
        <w:tc>
          <w:tcPr>
            <w:tcW w:w="1176" w:type="dxa"/>
            <w:tcBorders>
              <w:top w:val="nil"/>
              <w:left w:val="nil"/>
              <w:bottom w:val="nil"/>
              <w:right w:val="nil"/>
            </w:tcBorders>
            <w:shd w:val="clear" w:color="auto" w:fill="auto"/>
            <w:noWrap/>
            <w:vAlign w:val="bottom"/>
            <w:hideMark/>
          </w:tcPr>
          <w:p w14:paraId="1C4EB001"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1C2CB44" w14:textId="77777777" w:rsidR="00384B20" w:rsidRDefault="00384B20" w:rsidP="00384B2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8FCAC51" w14:textId="31BBD43F" w:rsidR="00384B20" w:rsidRDefault="00384B20" w:rsidP="00384B20">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106B9D9C" w14:textId="20A35C23" w:rsidR="00384B20" w:rsidRDefault="00384B20" w:rsidP="00384B20">
            <w:pPr>
              <w:jc w:val="right"/>
              <w:rPr>
                <w:color w:val="000000"/>
                <w:sz w:val="20"/>
                <w:szCs w:val="20"/>
              </w:rPr>
            </w:pPr>
            <w:r>
              <w:rPr>
                <w:color w:val="000000"/>
                <w:sz w:val="20"/>
                <w:szCs w:val="20"/>
              </w:rPr>
              <w:t>0.785</w:t>
            </w:r>
          </w:p>
        </w:tc>
        <w:tc>
          <w:tcPr>
            <w:tcW w:w="768" w:type="dxa"/>
            <w:tcBorders>
              <w:top w:val="nil"/>
              <w:left w:val="nil"/>
              <w:bottom w:val="nil"/>
              <w:right w:val="nil"/>
            </w:tcBorders>
            <w:shd w:val="clear" w:color="auto" w:fill="auto"/>
            <w:noWrap/>
            <w:vAlign w:val="bottom"/>
            <w:hideMark/>
          </w:tcPr>
          <w:p w14:paraId="0B8A18A8" w14:textId="7F03F24C" w:rsidR="00384B20" w:rsidRDefault="00384B20" w:rsidP="00384B2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BE0943C" w14:textId="44828A9E" w:rsidR="00384B20" w:rsidRDefault="00384B20" w:rsidP="00384B2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1A3AC46" w14:textId="015596E6" w:rsidR="00384B20" w:rsidRDefault="00384B20" w:rsidP="00384B20">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7F14B12C" w14:textId="233B35CB"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DDEA95" w14:textId="4FDC83FE" w:rsidR="00384B20" w:rsidRDefault="00384B20" w:rsidP="00384B20">
            <w:pPr>
              <w:jc w:val="right"/>
              <w:rPr>
                <w:color w:val="000000"/>
                <w:sz w:val="20"/>
                <w:szCs w:val="20"/>
              </w:rPr>
            </w:pPr>
            <w:r>
              <w:rPr>
                <w:color w:val="000000"/>
                <w:sz w:val="20"/>
                <w:szCs w:val="20"/>
              </w:rPr>
              <w:t>-0.094</w:t>
            </w:r>
          </w:p>
        </w:tc>
        <w:tc>
          <w:tcPr>
            <w:tcW w:w="768" w:type="dxa"/>
            <w:tcBorders>
              <w:top w:val="nil"/>
              <w:left w:val="nil"/>
              <w:bottom w:val="nil"/>
              <w:right w:val="nil"/>
            </w:tcBorders>
            <w:shd w:val="clear" w:color="auto" w:fill="auto"/>
            <w:noWrap/>
            <w:vAlign w:val="bottom"/>
            <w:hideMark/>
          </w:tcPr>
          <w:p w14:paraId="777D3669" w14:textId="4A063D1F" w:rsidR="00384B20" w:rsidRDefault="00384B20" w:rsidP="00384B2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199D43A5" w14:textId="43F5D8FC" w:rsidR="00384B20" w:rsidRDefault="00384B20" w:rsidP="00384B2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138E131" w14:textId="0148EB4D" w:rsidR="00384B20" w:rsidRDefault="00384B20" w:rsidP="00384B20">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3E23DCE2" w14:textId="37720832" w:rsidR="00384B20" w:rsidRDefault="00384B20" w:rsidP="00384B20">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00DD99E8" w14:textId="244236F2" w:rsidR="00384B20" w:rsidRDefault="00384B20" w:rsidP="00384B2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065F78D" w14:textId="68386328" w:rsidR="00384B20" w:rsidRDefault="00384B20" w:rsidP="00384B20">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72D6C4BF" w14:textId="12AA7B4B" w:rsidR="00384B20" w:rsidRDefault="00384B20" w:rsidP="00384B20">
            <w:pPr>
              <w:jc w:val="right"/>
              <w:rPr>
                <w:color w:val="000000"/>
                <w:sz w:val="20"/>
                <w:szCs w:val="20"/>
              </w:rPr>
            </w:pPr>
            <w:r>
              <w:rPr>
                <w:color w:val="000000"/>
                <w:sz w:val="20"/>
                <w:szCs w:val="20"/>
              </w:rPr>
              <w:t>0.907</w:t>
            </w:r>
          </w:p>
        </w:tc>
        <w:tc>
          <w:tcPr>
            <w:tcW w:w="768" w:type="dxa"/>
            <w:tcBorders>
              <w:top w:val="nil"/>
              <w:left w:val="nil"/>
              <w:bottom w:val="nil"/>
              <w:right w:val="nil"/>
            </w:tcBorders>
            <w:shd w:val="clear" w:color="auto" w:fill="auto"/>
            <w:noWrap/>
            <w:vAlign w:val="bottom"/>
            <w:hideMark/>
          </w:tcPr>
          <w:p w14:paraId="3446C79A" w14:textId="4D184BDE" w:rsidR="00384B20" w:rsidRDefault="00384B20" w:rsidP="00384B20">
            <w:pPr>
              <w:jc w:val="right"/>
              <w:rPr>
                <w:color w:val="000000"/>
                <w:sz w:val="20"/>
                <w:szCs w:val="20"/>
              </w:rPr>
            </w:pPr>
            <w:r>
              <w:rPr>
                <w:color w:val="000000"/>
                <w:sz w:val="20"/>
                <w:szCs w:val="20"/>
              </w:rPr>
              <w:t>0.003</w:t>
            </w:r>
          </w:p>
        </w:tc>
      </w:tr>
      <w:tr w:rsidR="00384B20" w14:paraId="228D9059" w14:textId="77777777" w:rsidTr="00FD5355">
        <w:trPr>
          <w:trHeight w:val="320"/>
        </w:trPr>
        <w:tc>
          <w:tcPr>
            <w:tcW w:w="1176" w:type="dxa"/>
            <w:tcBorders>
              <w:top w:val="nil"/>
              <w:left w:val="nil"/>
              <w:bottom w:val="nil"/>
              <w:right w:val="nil"/>
            </w:tcBorders>
            <w:shd w:val="clear" w:color="auto" w:fill="auto"/>
            <w:noWrap/>
            <w:vAlign w:val="bottom"/>
            <w:hideMark/>
          </w:tcPr>
          <w:p w14:paraId="1050DACD"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8E69F00" w14:textId="77777777" w:rsidR="00384B20" w:rsidRDefault="00384B20" w:rsidP="00384B2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26E8324" w14:textId="3E42478B" w:rsidR="00384B20" w:rsidRDefault="00384B20" w:rsidP="00384B20">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34A9C223" w14:textId="3CB06BAB" w:rsidR="00384B20" w:rsidRDefault="00384B20" w:rsidP="00384B20">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6F898C2F" w14:textId="68CA055B" w:rsidR="00384B20" w:rsidRDefault="00384B20" w:rsidP="00384B2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AD3CE41" w14:textId="0CEC3B0B" w:rsidR="00384B20" w:rsidRDefault="00384B20" w:rsidP="00384B2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A9C4BBB" w14:textId="251B5E88" w:rsidR="00384B20" w:rsidRDefault="00384B20" w:rsidP="00384B20">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59124702" w14:textId="5CC22B96"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3AFE28" w14:textId="787A36F8"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B35039F" w14:textId="0B59F22F" w:rsidR="00384B20" w:rsidRDefault="00384B20" w:rsidP="00384B20">
            <w:pPr>
              <w:jc w:val="right"/>
              <w:rPr>
                <w:color w:val="000000"/>
                <w:sz w:val="20"/>
                <w:szCs w:val="20"/>
              </w:rPr>
            </w:pPr>
            <w:r>
              <w:rPr>
                <w:color w:val="000000"/>
                <w:sz w:val="20"/>
                <w:szCs w:val="20"/>
              </w:rPr>
              <w:t>0.974</w:t>
            </w:r>
          </w:p>
        </w:tc>
        <w:tc>
          <w:tcPr>
            <w:tcW w:w="768" w:type="dxa"/>
            <w:tcBorders>
              <w:top w:val="nil"/>
              <w:left w:val="nil"/>
              <w:bottom w:val="nil"/>
              <w:right w:val="nil"/>
            </w:tcBorders>
            <w:shd w:val="clear" w:color="auto" w:fill="auto"/>
            <w:noWrap/>
            <w:vAlign w:val="bottom"/>
            <w:hideMark/>
          </w:tcPr>
          <w:p w14:paraId="4BD8C25A" w14:textId="3ED39A82"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A4DD7F" w14:textId="33569EF7" w:rsidR="00384B20" w:rsidRDefault="00384B20" w:rsidP="00384B20">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0D23312" w14:textId="03045443" w:rsidR="00384B20" w:rsidRDefault="00384B20" w:rsidP="00384B20">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0AFDFC87" w14:textId="10CC8ABF"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CD895B" w14:textId="4655373F" w:rsidR="00384B20" w:rsidRDefault="00384B20" w:rsidP="00384B2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41B3863" w14:textId="6D8FB8EE" w:rsidR="00384B20" w:rsidRDefault="00384B20" w:rsidP="00384B20">
            <w:pPr>
              <w:jc w:val="right"/>
              <w:rPr>
                <w:color w:val="000000"/>
                <w:sz w:val="20"/>
                <w:szCs w:val="20"/>
              </w:rPr>
            </w:pPr>
            <w:r>
              <w:rPr>
                <w:color w:val="000000"/>
                <w:sz w:val="20"/>
                <w:szCs w:val="20"/>
              </w:rPr>
              <w:t>0.907</w:t>
            </w:r>
          </w:p>
        </w:tc>
        <w:tc>
          <w:tcPr>
            <w:tcW w:w="768" w:type="dxa"/>
            <w:tcBorders>
              <w:top w:val="nil"/>
              <w:left w:val="nil"/>
              <w:bottom w:val="nil"/>
              <w:right w:val="nil"/>
            </w:tcBorders>
            <w:shd w:val="clear" w:color="auto" w:fill="auto"/>
            <w:noWrap/>
            <w:vAlign w:val="bottom"/>
            <w:hideMark/>
          </w:tcPr>
          <w:p w14:paraId="234ED6A7" w14:textId="197576E9" w:rsidR="00384B20" w:rsidRDefault="00384B20" w:rsidP="00384B20">
            <w:pPr>
              <w:jc w:val="right"/>
              <w:rPr>
                <w:color w:val="000000"/>
                <w:sz w:val="20"/>
                <w:szCs w:val="20"/>
              </w:rPr>
            </w:pPr>
            <w:r>
              <w:rPr>
                <w:color w:val="000000"/>
                <w:sz w:val="20"/>
                <w:szCs w:val="20"/>
              </w:rPr>
              <w:t>0.001</w:t>
            </w:r>
          </w:p>
        </w:tc>
      </w:tr>
      <w:tr w:rsidR="00384B20" w14:paraId="552BDC0F" w14:textId="77777777" w:rsidTr="00FD5355">
        <w:trPr>
          <w:trHeight w:val="320"/>
        </w:trPr>
        <w:tc>
          <w:tcPr>
            <w:tcW w:w="1176" w:type="dxa"/>
            <w:tcBorders>
              <w:top w:val="nil"/>
              <w:left w:val="nil"/>
              <w:bottom w:val="nil"/>
              <w:right w:val="nil"/>
            </w:tcBorders>
            <w:shd w:val="clear" w:color="auto" w:fill="auto"/>
            <w:noWrap/>
            <w:vAlign w:val="bottom"/>
            <w:hideMark/>
          </w:tcPr>
          <w:p w14:paraId="2BE76B58"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80DCD9B" w14:textId="77777777" w:rsidR="00384B20" w:rsidRDefault="00384B20" w:rsidP="00384B2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495ADD0" w14:textId="4D57555B" w:rsidR="00384B20" w:rsidRDefault="00384B20" w:rsidP="00384B20">
            <w:pPr>
              <w:jc w:val="right"/>
              <w:rPr>
                <w:b/>
                <w:bCs/>
                <w:color w:val="000000"/>
                <w:sz w:val="20"/>
                <w:szCs w:val="20"/>
              </w:rPr>
            </w:pPr>
            <w:r>
              <w:rPr>
                <w:b/>
                <w:bCs/>
                <w:color w:val="000000"/>
                <w:sz w:val="20"/>
                <w:szCs w:val="20"/>
              </w:rPr>
              <w:t>-0.119</w:t>
            </w:r>
          </w:p>
        </w:tc>
        <w:tc>
          <w:tcPr>
            <w:tcW w:w="768" w:type="dxa"/>
            <w:tcBorders>
              <w:top w:val="nil"/>
              <w:left w:val="nil"/>
              <w:bottom w:val="nil"/>
              <w:right w:val="nil"/>
            </w:tcBorders>
            <w:shd w:val="clear" w:color="auto" w:fill="auto"/>
            <w:noWrap/>
            <w:vAlign w:val="bottom"/>
            <w:hideMark/>
          </w:tcPr>
          <w:p w14:paraId="2D3A0418" w14:textId="7EDCC57E" w:rsidR="00384B20" w:rsidRDefault="00384B20" w:rsidP="00384B20">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25BBC631" w14:textId="44EC12E1" w:rsidR="00384B20" w:rsidRDefault="00384B20" w:rsidP="00384B20">
            <w:pPr>
              <w:jc w:val="right"/>
              <w:rPr>
                <w:color w:val="000000"/>
                <w:sz w:val="20"/>
                <w:szCs w:val="20"/>
              </w:rPr>
            </w:pPr>
            <w:r>
              <w:rPr>
                <w:b/>
                <w:bCs/>
                <w:color w:val="000000"/>
                <w:sz w:val="20"/>
                <w:szCs w:val="20"/>
              </w:rPr>
              <w:t>0.014</w:t>
            </w:r>
          </w:p>
        </w:tc>
        <w:tc>
          <w:tcPr>
            <w:tcW w:w="768" w:type="dxa"/>
            <w:tcBorders>
              <w:top w:val="nil"/>
              <w:left w:val="nil"/>
              <w:bottom w:val="nil"/>
              <w:right w:val="nil"/>
            </w:tcBorders>
            <w:shd w:val="clear" w:color="auto" w:fill="auto"/>
            <w:noWrap/>
            <w:vAlign w:val="bottom"/>
            <w:hideMark/>
          </w:tcPr>
          <w:p w14:paraId="2FAF057E" w14:textId="3B03B9BF" w:rsidR="00384B20" w:rsidRDefault="00384B20" w:rsidP="00384B2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8727562" w14:textId="3C7885EF" w:rsidR="00384B20" w:rsidRDefault="00384B20" w:rsidP="00384B20">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0A0E1CCD" w14:textId="6490FE0D"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73A309" w14:textId="2527EFFC" w:rsidR="00384B20" w:rsidRDefault="00384B20" w:rsidP="00384B20">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14283D0" w14:textId="78891869" w:rsidR="00384B20" w:rsidRDefault="00384B20" w:rsidP="00384B2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0FC7797D" w14:textId="78B1E464"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8C695A" w14:textId="4D0D8D42" w:rsidR="00384B20" w:rsidRDefault="00384B20" w:rsidP="00384B20">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0FB2A3B3" w14:textId="07BD9024" w:rsidR="00384B20" w:rsidRDefault="00384B20" w:rsidP="00384B20">
            <w:pPr>
              <w:jc w:val="right"/>
              <w:rPr>
                <w:color w:val="000000"/>
                <w:sz w:val="20"/>
                <w:szCs w:val="20"/>
              </w:rPr>
            </w:pPr>
            <w:r>
              <w:rPr>
                <w:color w:val="000000"/>
                <w:sz w:val="20"/>
                <w:szCs w:val="20"/>
              </w:rPr>
              <w:t>0.308</w:t>
            </w:r>
          </w:p>
        </w:tc>
        <w:tc>
          <w:tcPr>
            <w:tcW w:w="768" w:type="dxa"/>
            <w:tcBorders>
              <w:top w:val="nil"/>
              <w:left w:val="nil"/>
              <w:bottom w:val="nil"/>
              <w:right w:val="nil"/>
            </w:tcBorders>
            <w:shd w:val="clear" w:color="auto" w:fill="auto"/>
            <w:noWrap/>
            <w:vAlign w:val="bottom"/>
            <w:hideMark/>
          </w:tcPr>
          <w:p w14:paraId="533EC332" w14:textId="1A36A10F" w:rsidR="00384B20" w:rsidRDefault="00384B20" w:rsidP="00384B2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9D345B5" w14:textId="31AD38DD" w:rsidR="00384B20" w:rsidRDefault="00384B20" w:rsidP="00384B20">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92603DA" w14:textId="77A31C2B" w:rsidR="00384B20" w:rsidRDefault="00384B20" w:rsidP="00384B20">
            <w:pPr>
              <w:jc w:val="right"/>
              <w:rPr>
                <w:color w:val="000000"/>
                <w:sz w:val="20"/>
                <w:szCs w:val="20"/>
              </w:rPr>
            </w:pPr>
            <w:r>
              <w:rPr>
                <w:color w:val="000000"/>
                <w:sz w:val="20"/>
                <w:szCs w:val="20"/>
              </w:rPr>
              <w:t>0.702</w:t>
            </w:r>
          </w:p>
        </w:tc>
        <w:tc>
          <w:tcPr>
            <w:tcW w:w="768" w:type="dxa"/>
            <w:tcBorders>
              <w:top w:val="nil"/>
              <w:left w:val="nil"/>
              <w:bottom w:val="nil"/>
              <w:right w:val="nil"/>
            </w:tcBorders>
            <w:shd w:val="clear" w:color="auto" w:fill="auto"/>
            <w:noWrap/>
            <w:vAlign w:val="bottom"/>
            <w:hideMark/>
          </w:tcPr>
          <w:p w14:paraId="326E8688" w14:textId="0EF6C50F" w:rsidR="00384B20" w:rsidRDefault="00384B20" w:rsidP="00384B20">
            <w:pPr>
              <w:jc w:val="right"/>
              <w:rPr>
                <w:color w:val="000000"/>
                <w:sz w:val="20"/>
                <w:szCs w:val="20"/>
              </w:rPr>
            </w:pPr>
            <w:r>
              <w:rPr>
                <w:color w:val="000000"/>
                <w:sz w:val="20"/>
                <w:szCs w:val="20"/>
              </w:rPr>
              <w:t>0.002</w:t>
            </w:r>
          </w:p>
        </w:tc>
      </w:tr>
      <w:tr w:rsidR="00384B20" w14:paraId="00CD9C53" w14:textId="77777777" w:rsidTr="00FD5355">
        <w:trPr>
          <w:trHeight w:val="320"/>
        </w:trPr>
        <w:tc>
          <w:tcPr>
            <w:tcW w:w="1176" w:type="dxa"/>
            <w:tcBorders>
              <w:top w:val="nil"/>
              <w:left w:val="nil"/>
              <w:bottom w:val="nil"/>
              <w:right w:val="nil"/>
            </w:tcBorders>
            <w:shd w:val="clear" w:color="auto" w:fill="auto"/>
            <w:noWrap/>
            <w:vAlign w:val="bottom"/>
            <w:hideMark/>
          </w:tcPr>
          <w:p w14:paraId="0EA5FE53"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11A6596" w14:textId="77777777" w:rsidR="00384B20" w:rsidRDefault="00384B20" w:rsidP="00384B2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CB7DE25" w14:textId="14E9682C" w:rsidR="00384B20" w:rsidRDefault="00384B20" w:rsidP="00384B20">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4D2032F" w14:textId="26AEA09D" w:rsidR="00384B20" w:rsidRDefault="00384B20" w:rsidP="00384B20">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37D128CC" w14:textId="06E419F1"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E16E45C" w14:textId="315F4C16" w:rsidR="00384B20" w:rsidRDefault="00384B20" w:rsidP="00384B20">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7F439DD8" w14:textId="27CA61D0" w:rsidR="00384B20" w:rsidRDefault="00384B20" w:rsidP="00384B20">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600B748F" w14:textId="0619A099" w:rsidR="00384B20" w:rsidRDefault="00384B20" w:rsidP="00384B2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2836CFD" w14:textId="56F424CF" w:rsidR="00384B20" w:rsidRDefault="00384B20" w:rsidP="00384B20">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76F8F3FB" w14:textId="5ED2477E" w:rsidR="00384B20" w:rsidRDefault="00384B20" w:rsidP="00384B2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47B4EEBA" w14:textId="56148527"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33729DE" w14:textId="3296471A" w:rsidR="00384B20" w:rsidRDefault="00384B20" w:rsidP="00384B20">
            <w:pPr>
              <w:jc w:val="right"/>
              <w:rPr>
                <w:color w:val="000000"/>
                <w:sz w:val="20"/>
                <w:szCs w:val="20"/>
              </w:rPr>
            </w:pPr>
            <w:r>
              <w:rPr>
                <w:color w:val="000000"/>
                <w:sz w:val="20"/>
                <w:szCs w:val="20"/>
              </w:rPr>
              <w:t>-0.108</w:t>
            </w:r>
          </w:p>
        </w:tc>
        <w:tc>
          <w:tcPr>
            <w:tcW w:w="768" w:type="dxa"/>
            <w:tcBorders>
              <w:top w:val="nil"/>
              <w:left w:val="nil"/>
              <w:bottom w:val="nil"/>
              <w:right w:val="nil"/>
            </w:tcBorders>
            <w:shd w:val="clear" w:color="auto" w:fill="auto"/>
            <w:noWrap/>
            <w:vAlign w:val="bottom"/>
            <w:hideMark/>
          </w:tcPr>
          <w:p w14:paraId="764DEA62" w14:textId="0D3E033C" w:rsidR="00384B20" w:rsidRDefault="00384B20" w:rsidP="00384B20">
            <w:pPr>
              <w:jc w:val="right"/>
              <w:rPr>
                <w:color w:val="000000"/>
                <w:sz w:val="20"/>
                <w:szCs w:val="20"/>
              </w:rPr>
            </w:pPr>
            <w:r>
              <w:rPr>
                <w:color w:val="000000"/>
                <w:sz w:val="20"/>
                <w:szCs w:val="20"/>
              </w:rPr>
              <w:t>0.232</w:t>
            </w:r>
          </w:p>
        </w:tc>
        <w:tc>
          <w:tcPr>
            <w:tcW w:w="768" w:type="dxa"/>
            <w:tcBorders>
              <w:top w:val="nil"/>
              <w:left w:val="nil"/>
              <w:bottom w:val="nil"/>
              <w:right w:val="nil"/>
            </w:tcBorders>
            <w:shd w:val="clear" w:color="auto" w:fill="auto"/>
            <w:noWrap/>
            <w:vAlign w:val="bottom"/>
            <w:hideMark/>
          </w:tcPr>
          <w:p w14:paraId="2625AF69" w14:textId="13D2C65D" w:rsidR="00384B20" w:rsidRDefault="00384B20" w:rsidP="00384B2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EC718A7" w14:textId="5272DD0A" w:rsidR="00384B20" w:rsidRDefault="00384B20" w:rsidP="00384B20">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0709796A" w14:textId="7F8FEED9" w:rsidR="00384B20" w:rsidRDefault="00384B20" w:rsidP="00384B20">
            <w:pPr>
              <w:jc w:val="right"/>
              <w:rPr>
                <w:color w:val="000000"/>
                <w:sz w:val="20"/>
                <w:szCs w:val="20"/>
              </w:rPr>
            </w:pPr>
            <w:r>
              <w:rPr>
                <w:color w:val="000000"/>
                <w:sz w:val="20"/>
                <w:szCs w:val="20"/>
              </w:rPr>
              <w:t>0.532</w:t>
            </w:r>
          </w:p>
        </w:tc>
        <w:tc>
          <w:tcPr>
            <w:tcW w:w="768" w:type="dxa"/>
            <w:tcBorders>
              <w:top w:val="nil"/>
              <w:left w:val="nil"/>
              <w:bottom w:val="nil"/>
              <w:right w:val="nil"/>
            </w:tcBorders>
            <w:shd w:val="clear" w:color="auto" w:fill="auto"/>
            <w:noWrap/>
            <w:vAlign w:val="bottom"/>
            <w:hideMark/>
          </w:tcPr>
          <w:p w14:paraId="11839A92" w14:textId="35BA804C" w:rsidR="00384B20" w:rsidRDefault="00384B20" w:rsidP="00384B20">
            <w:pPr>
              <w:jc w:val="right"/>
              <w:rPr>
                <w:color w:val="000000"/>
                <w:sz w:val="20"/>
                <w:szCs w:val="20"/>
              </w:rPr>
            </w:pPr>
            <w:r>
              <w:rPr>
                <w:color w:val="000000"/>
                <w:sz w:val="20"/>
                <w:szCs w:val="20"/>
              </w:rPr>
              <w:t>0.007</w:t>
            </w:r>
          </w:p>
        </w:tc>
      </w:tr>
      <w:tr w:rsidR="00384B20" w14:paraId="6BE88489" w14:textId="77777777" w:rsidTr="00FD5355">
        <w:trPr>
          <w:trHeight w:val="320"/>
        </w:trPr>
        <w:tc>
          <w:tcPr>
            <w:tcW w:w="1176" w:type="dxa"/>
            <w:tcBorders>
              <w:top w:val="nil"/>
              <w:left w:val="nil"/>
              <w:bottom w:val="single" w:sz="4" w:space="0" w:color="auto"/>
              <w:right w:val="nil"/>
            </w:tcBorders>
            <w:shd w:val="clear" w:color="auto" w:fill="auto"/>
            <w:noWrap/>
            <w:vAlign w:val="bottom"/>
            <w:hideMark/>
          </w:tcPr>
          <w:p w14:paraId="6AF2C1FD" w14:textId="77777777" w:rsidR="00384B20" w:rsidRDefault="00384B20" w:rsidP="00384B2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E08FCB2" w14:textId="77777777" w:rsidR="00384B20" w:rsidRDefault="00384B20" w:rsidP="00384B2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9D332B9" w14:textId="6BB7D8A5" w:rsidR="00384B20" w:rsidRDefault="00384B20" w:rsidP="00384B20">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764DB8FF" w14:textId="06227367" w:rsidR="00384B20" w:rsidRDefault="00384B20" w:rsidP="00384B20">
            <w:pPr>
              <w:jc w:val="right"/>
              <w:rPr>
                <w:color w:val="000000"/>
                <w:sz w:val="20"/>
                <w:szCs w:val="20"/>
              </w:rPr>
            </w:pPr>
            <w:r>
              <w:rPr>
                <w:color w:val="000000"/>
                <w:sz w:val="20"/>
                <w:szCs w:val="20"/>
              </w:rPr>
              <w:t>0.800</w:t>
            </w:r>
          </w:p>
        </w:tc>
        <w:tc>
          <w:tcPr>
            <w:tcW w:w="768" w:type="dxa"/>
            <w:tcBorders>
              <w:top w:val="nil"/>
              <w:left w:val="nil"/>
              <w:bottom w:val="single" w:sz="4" w:space="0" w:color="auto"/>
              <w:right w:val="nil"/>
            </w:tcBorders>
            <w:shd w:val="clear" w:color="auto" w:fill="auto"/>
            <w:noWrap/>
            <w:vAlign w:val="bottom"/>
            <w:hideMark/>
          </w:tcPr>
          <w:p w14:paraId="1EBF0E04" w14:textId="2F835B10"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2898134" w14:textId="5CA69904" w:rsidR="00384B20" w:rsidRDefault="00384B20" w:rsidP="00384B20">
            <w:pPr>
              <w:jc w:val="right"/>
              <w:rPr>
                <w:color w:val="000000"/>
                <w:sz w:val="20"/>
                <w:szCs w:val="20"/>
              </w:rPr>
            </w:pPr>
            <w:r>
              <w:rPr>
                <w:color w:val="000000"/>
                <w:sz w:val="20"/>
                <w:szCs w:val="20"/>
              </w:rPr>
              <w:t>-0.039</w:t>
            </w:r>
          </w:p>
        </w:tc>
        <w:tc>
          <w:tcPr>
            <w:tcW w:w="768" w:type="dxa"/>
            <w:tcBorders>
              <w:top w:val="nil"/>
              <w:left w:val="nil"/>
              <w:bottom w:val="single" w:sz="4" w:space="0" w:color="auto"/>
              <w:right w:val="nil"/>
            </w:tcBorders>
            <w:shd w:val="clear" w:color="auto" w:fill="auto"/>
            <w:noWrap/>
            <w:vAlign w:val="bottom"/>
            <w:hideMark/>
          </w:tcPr>
          <w:p w14:paraId="102E61E3" w14:textId="5553D9F3" w:rsidR="00384B20" w:rsidRDefault="00384B20" w:rsidP="00384B20">
            <w:pPr>
              <w:jc w:val="right"/>
              <w:rPr>
                <w:color w:val="000000"/>
                <w:sz w:val="20"/>
                <w:szCs w:val="20"/>
              </w:rPr>
            </w:pPr>
            <w:r>
              <w:rPr>
                <w:color w:val="000000"/>
                <w:sz w:val="20"/>
                <w:szCs w:val="20"/>
              </w:rPr>
              <w:t>0.935</w:t>
            </w:r>
          </w:p>
        </w:tc>
        <w:tc>
          <w:tcPr>
            <w:tcW w:w="768" w:type="dxa"/>
            <w:tcBorders>
              <w:top w:val="nil"/>
              <w:left w:val="nil"/>
              <w:bottom w:val="single" w:sz="4" w:space="0" w:color="auto"/>
              <w:right w:val="nil"/>
            </w:tcBorders>
            <w:shd w:val="clear" w:color="auto" w:fill="auto"/>
            <w:noWrap/>
            <w:vAlign w:val="bottom"/>
            <w:hideMark/>
          </w:tcPr>
          <w:p w14:paraId="5E6E0B91" w14:textId="18B1EA3B"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EBEAC2B" w14:textId="771CE1E2" w:rsidR="00384B20" w:rsidRDefault="00384B20" w:rsidP="00384B20">
            <w:pPr>
              <w:jc w:val="right"/>
              <w:rPr>
                <w:color w:val="000000"/>
                <w:sz w:val="20"/>
                <w:szCs w:val="20"/>
              </w:rPr>
            </w:pPr>
            <w:r>
              <w:rPr>
                <w:color w:val="000000"/>
                <w:sz w:val="20"/>
                <w:szCs w:val="20"/>
              </w:rPr>
              <w:t>-0.050</w:t>
            </w:r>
          </w:p>
        </w:tc>
        <w:tc>
          <w:tcPr>
            <w:tcW w:w="768" w:type="dxa"/>
            <w:tcBorders>
              <w:top w:val="nil"/>
              <w:left w:val="nil"/>
              <w:bottom w:val="single" w:sz="4" w:space="0" w:color="auto"/>
              <w:right w:val="nil"/>
            </w:tcBorders>
            <w:shd w:val="clear" w:color="auto" w:fill="auto"/>
            <w:noWrap/>
            <w:vAlign w:val="bottom"/>
            <w:hideMark/>
          </w:tcPr>
          <w:p w14:paraId="33DFB614" w14:textId="2680D539" w:rsidR="00384B20" w:rsidRDefault="00384B20" w:rsidP="00384B20">
            <w:pPr>
              <w:jc w:val="right"/>
              <w:rPr>
                <w:color w:val="000000"/>
                <w:sz w:val="20"/>
                <w:szCs w:val="20"/>
              </w:rPr>
            </w:pPr>
            <w:r>
              <w:rPr>
                <w:color w:val="000000"/>
                <w:sz w:val="20"/>
                <w:szCs w:val="20"/>
              </w:rPr>
              <w:t>0.896</w:t>
            </w:r>
          </w:p>
        </w:tc>
        <w:tc>
          <w:tcPr>
            <w:tcW w:w="768" w:type="dxa"/>
            <w:tcBorders>
              <w:top w:val="nil"/>
              <w:left w:val="nil"/>
              <w:bottom w:val="single" w:sz="4" w:space="0" w:color="auto"/>
              <w:right w:val="nil"/>
            </w:tcBorders>
            <w:shd w:val="clear" w:color="auto" w:fill="auto"/>
            <w:noWrap/>
            <w:vAlign w:val="bottom"/>
            <w:hideMark/>
          </w:tcPr>
          <w:p w14:paraId="2858E98B" w14:textId="5FE59786"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76044FE3" w14:textId="517F7E94" w:rsidR="00384B20" w:rsidRDefault="00384B20" w:rsidP="00384B20">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1E79A1DE" w14:textId="49831F6B" w:rsidR="00384B20" w:rsidRDefault="00384B20" w:rsidP="00384B20">
            <w:pPr>
              <w:jc w:val="right"/>
              <w:rPr>
                <w:color w:val="000000"/>
                <w:sz w:val="20"/>
                <w:szCs w:val="20"/>
              </w:rPr>
            </w:pPr>
            <w:r>
              <w:rPr>
                <w:color w:val="000000"/>
                <w:sz w:val="20"/>
                <w:szCs w:val="20"/>
              </w:rPr>
              <w:t>0.629</w:t>
            </w:r>
          </w:p>
        </w:tc>
        <w:tc>
          <w:tcPr>
            <w:tcW w:w="768" w:type="dxa"/>
            <w:tcBorders>
              <w:top w:val="nil"/>
              <w:left w:val="nil"/>
              <w:bottom w:val="single" w:sz="4" w:space="0" w:color="auto"/>
              <w:right w:val="nil"/>
            </w:tcBorders>
            <w:shd w:val="clear" w:color="auto" w:fill="auto"/>
            <w:noWrap/>
            <w:vAlign w:val="bottom"/>
            <w:hideMark/>
          </w:tcPr>
          <w:p w14:paraId="3B43726D" w14:textId="6727D058"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589A2F4" w14:textId="67BA5E7A" w:rsidR="00384B20" w:rsidRDefault="00384B20" w:rsidP="00384B20">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2C3D3EF0" w14:textId="40CBCBAF" w:rsidR="00384B20" w:rsidRDefault="00384B20" w:rsidP="00384B20">
            <w:pPr>
              <w:jc w:val="right"/>
              <w:rPr>
                <w:color w:val="000000"/>
                <w:sz w:val="20"/>
                <w:szCs w:val="20"/>
              </w:rPr>
            </w:pPr>
            <w:r>
              <w:rPr>
                <w:color w:val="000000"/>
                <w:sz w:val="20"/>
                <w:szCs w:val="20"/>
              </w:rPr>
              <w:t>0.907</w:t>
            </w:r>
          </w:p>
        </w:tc>
        <w:tc>
          <w:tcPr>
            <w:tcW w:w="768" w:type="dxa"/>
            <w:tcBorders>
              <w:top w:val="nil"/>
              <w:left w:val="nil"/>
              <w:bottom w:val="single" w:sz="4" w:space="0" w:color="auto"/>
              <w:right w:val="nil"/>
            </w:tcBorders>
            <w:shd w:val="clear" w:color="auto" w:fill="auto"/>
            <w:noWrap/>
            <w:vAlign w:val="bottom"/>
            <w:hideMark/>
          </w:tcPr>
          <w:p w14:paraId="44A43DED" w14:textId="10C26A02" w:rsidR="00384B20" w:rsidRDefault="00384B20" w:rsidP="00384B20">
            <w:pPr>
              <w:jc w:val="right"/>
              <w:rPr>
                <w:color w:val="000000"/>
                <w:sz w:val="20"/>
                <w:szCs w:val="20"/>
              </w:rPr>
            </w:pPr>
            <w:r>
              <w:rPr>
                <w:color w:val="000000"/>
                <w:sz w:val="20"/>
                <w:szCs w:val="20"/>
              </w:rPr>
              <w:t>0.000</w:t>
            </w:r>
          </w:p>
        </w:tc>
      </w:tr>
      <w:tr w:rsidR="00384B20" w14:paraId="7D75A779" w14:textId="77777777" w:rsidTr="00FD5355">
        <w:trPr>
          <w:trHeight w:val="320"/>
        </w:trPr>
        <w:tc>
          <w:tcPr>
            <w:tcW w:w="1176" w:type="dxa"/>
            <w:tcBorders>
              <w:top w:val="nil"/>
              <w:left w:val="nil"/>
              <w:bottom w:val="nil"/>
              <w:right w:val="nil"/>
            </w:tcBorders>
            <w:shd w:val="clear" w:color="auto" w:fill="auto"/>
            <w:noWrap/>
            <w:vAlign w:val="bottom"/>
            <w:hideMark/>
          </w:tcPr>
          <w:p w14:paraId="52317AFF" w14:textId="77777777" w:rsidR="00384B20" w:rsidRDefault="00384B20" w:rsidP="00384B20">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4F4872F6" w14:textId="77777777" w:rsidR="00384B20" w:rsidRDefault="00384B20" w:rsidP="00384B2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96F178B" w14:textId="2508074E" w:rsidR="00384B20" w:rsidRDefault="00384B20" w:rsidP="00384B20">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25E6F09C" w14:textId="4CFE5E8B" w:rsidR="00384B20" w:rsidRDefault="00384B20" w:rsidP="00384B20">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27A96498" w14:textId="5622861B"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884DF7B" w14:textId="09FF9C9A"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C7E375F" w14:textId="3A7E082A" w:rsidR="00384B20" w:rsidRDefault="00384B20" w:rsidP="00384B20">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611EE823" w14:textId="3A8A3C4E"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BC827E" w14:textId="5F409A2D" w:rsidR="00384B20" w:rsidRDefault="00384B20" w:rsidP="00384B20">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4FE71EAC" w14:textId="3BAB9F6B" w:rsidR="00384B20" w:rsidRDefault="00384B20" w:rsidP="00384B20">
            <w:pPr>
              <w:jc w:val="right"/>
              <w:rPr>
                <w:color w:val="000000"/>
                <w:sz w:val="20"/>
                <w:szCs w:val="20"/>
              </w:rPr>
            </w:pPr>
            <w:r>
              <w:rPr>
                <w:color w:val="000000"/>
                <w:sz w:val="20"/>
                <w:szCs w:val="20"/>
              </w:rPr>
              <w:t>0.860</w:t>
            </w:r>
          </w:p>
        </w:tc>
        <w:tc>
          <w:tcPr>
            <w:tcW w:w="768" w:type="dxa"/>
            <w:tcBorders>
              <w:top w:val="nil"/>
              <w:left w:val="nil"/>
              <w:bottom w:val="nil"/>
              <w:right w:val="nil"/>
            </w:tcBorders>
            <w:shd w:val="clear" w:color="auto" w:fill="auto"/>
            <w:noWrap/>
            <w:vAlign w:val="bottom"/>
            <w:hideMark/>
          </w:tcPr>
          <w:p w14:paraId="709092E9" w14:textId="6ED63775"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60DA18" w14:textId="30E5A367" w:rsidR="00384B20" w:rsidRDefault="00384B20" w:rsidP="00384B2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F9BC8D3" w14:textId="2F0B75DA" w:rsidR="00384B20" w:rsidRDefault="00384B20" w:rsidP="00384B20">
            <w:pPr>
              <w:jc w:val="right"/>
              <w:rPr>
                <w:color w:val="000000"/>
                <w:sz w:val="20"/>
                <w:szCs w:val="20"/>
              </w:rPr>
            </w:pPr>
            <w:r>
              <w:rPr>
                <w:color w:val="000000"/>
                <w:sz w:val="20"/>
                <w:szCs w:val="20"/>
              </w:rPr>
              <w:t>0.780</w:t>
            </w:r>
          </w:p>
        </w:tc>
        <w:tc>
          <w:tcPr>
            <w:tcW w:w="768" w:type="dxa"/>
            <w:tcBorders>
              <w:top w:val="nil"/>
              <w:left w:val="nil"/>
              <w:bottom w:val="nil"/>
              <w:right w:val="nil"/>
            </w:tcBorders>
            <w:shd w:val="clear" w:color="auto" w:fill="auto"/>
            <w:noWrap/>
            <w:vAlign w:val="bottom"/>
            <w:hideMark/>
          </w:tcPr>
          <w:p w14:paraId="3674151A" w14:textId="6B342A45"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5A671B" w14:textId="6AE666AE" w:rsidR="00384B20" w:rsidRDefault="00384B20" w:rsidP="00384B2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D32366D" w14:textId="623E8BEA" w:rsidR="00384B20" w:rsidRDefault="00384B20" w:rsidP="00384B2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5A5EAF3D" w14:textId="1D1F9A9A" w:rsidR="00384B20" w:rsidRDefault="00384B20" w:rsidP="00384B20">
            <w:pPr>
              <w:jc w:val="right"/>
              <w:rPr>
                <w:color w:val="000000"/>
                <w:sz w:val="20"/>
                <w:szCs w:val="20"/>
              </w:rPr>
            </w:pPr>
            <w:r>
              <w:rPr>
                <w:color w:val="000000"/>
                <w:sz w:val="20"/>
                <w:szCs w:val="20"/>
              </w:rPr>
              <w:t>0.000</w:t>
            </w:r>
          </w:p>
        </w:tc>
      </w:tr>
      <w:tr w:rsidR="00384B20" w14:paraId="662BD295" w14:textId="77777777" w:rsidTr="00FD5355">
        <w:trPr>
          <w:trHeight w:val="320"/>
        </w:trPr>
        <w:tc>
          <w:tcPr>
            <w:tcW w:w="1176" w:type="dxa"/>
            <w:tcBorders>
              <w:top w:val="nil"/>
              <w:left w:val="nil"/>
              <w:bottom w:val="nil"/>
              <w:right w:val="nil"/>
            </w:tcBorders>
            <w:shd w:val="clear" w:color="auto" w:fill="auto"/>
            <w:noWrap/>
            <w:vAlign w:val="bottom"/>
            <w:hideMark/>
          </w:tcPr>
          <w:p w14:paraId="25A6D7E0"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B47D3A" w14:textId="77777777" w:rsidR="00384B20" w:rsidRDefault="00384B20" w:rsidP="00384B2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334CD2D" w14:textId="60840642" w:rsidR="00384B20" w:rsidRDefault="00384B20" w:rsidP="00384B2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BAFE62E" w14:textId="0C85233F" w:rsidR="00384B20" w:rsidRDefault="00384B20" w:rsidP="00384B20">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461E3A58" w14:textId="7AE28DAA"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B12554" w14:textId="1FA2731D" w:rsidR="00384B20" w:rsidRDefault="00384B20" w:rsidP="00384B20">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6F1B572" w14:textId="0C3777B8" w:rsidR="00384B20" w:rsidRDefault="00384B20" w:rsidP="00384B20">
            <w:pPr>
              <w:jc w:val="right"/>
              <w:rPr>
                <w:color w:val="000000"/>
                <w:sz w:val="20"/>
                <w:szCs w:val="20"/>
              </w:rPr>
            </w:pPr>
            <w:r>
              <w:rPr>
                <w:color w:val="000000"/>
                <w:sz w:val="20"/>
                <w:szCs w:val="20"/>
              </w:rPr>
              <w:t>0.642</w:t>
            </w:r>
          </w:p>
        </w:tc>
        <w:tc>
          <w:tcPr>
            <w:tcW w:w="768" w:type="dxa"/>
            <w:tcBorders>
              <w:top w:val="nil"/>
              <w:left w:val="nil"/>
              <w:bottom w:val="nil"/>
              <w:right w:val="nil"/>
            </w:tcBorders>
            <w:shd w:val="clear" w:color="auto" w:fill="auto"/>
            <w:noWrap/>
            <w:vAlign w:val="bottom"/>
            <w:hideMark/>
          </w:tcPr>
          <w:p w14:paraId="31CABD84" w14:textId="48774216"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D54865" w14:textId="07380549" w:rsidR="00384B20" w:rsidRDefault="00384B20" w:rsidP="00384B20">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647238F" w14:textId="353B1CBC" w:rsidR="00384B20" w:rsidRDefault="00384B20" w:rsidP="00384B2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422BE8C2" w14:textId="60D2F2D4"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8D4314" w14:textId="6BCD57F5" w:rsidR="00384B20" w:rsidRDefault="00384B20" w:rsidP="00384B20">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2B531F9F" w14:textId="03A8AE3E" w:rsidR="00384B20" w:rsidRDefault="00384B20" w:rsidP="00384B20">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2EF0E9EF" w14:textId="71794097"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B4B4120" w14:textId="1A5D3099" w:rsidR="00384B20" w:rsidRPr="00A4230A" w:rsidRDefault="00384B20" w:rsidP="00384B20">
            <w:pPr>
              <w:jc w:val="right"/>
              <w:rPr>
                <w:b/>
                <w:bCs/>
                <w:color w:val="000000"/>
                <w:sz w:val="20"/>
                <w:szCs w:val="20"/>
              </w:rPr>
            </w:pPr>
            <w:r w:rsidRPr="00A4230A">
              <w:rPr>
                <w:b/>
                <w:bCs/>
                <w:color w:val="000000"/>
                <w:sz w:val="20"/>
                <w:szCs w:val="20"/>
              </w:rPr>
              <w:t>-0.135</w:t>
            </w:r>
          </w:p>
        </w:tc>
        <w:tc>
          <w:tcPr>
            <w:tcW w:w="768" w:type="dxa"/>
            <w:tcBorders>
              <w:top w:val="nil"/>
              <w:left w:val="nil"/>
              <w:bottom w:val="nil"/>
              <w:right w:val="nil"/>
            </w:tcBorders>
            <w:shd w:val="clear" w:color="auto" w:fill="auto"/>
            <w:noWrap/>
            <w:vAlign w:val="bottom"/>
            <w:hideMark/>
          </w:tcPr>
          <w:p w14:paraId="410E5785" w14:textId="14C86CDA" w:rsidR="00384B20" w:rsidRPr="00A4230A" w:rsidRDefault="00384B20" w:rsidP="00384B20">
            <w:pPr>
              <w:jc w:val="right"/>
              <w:rPr>
                <w:b/>
                <w:bCs/>
                <w:color w:val="000000"/>
                <w:sz w:val="20"/>
                <w:szCs w:val="20"/>
              </w:rPr>
            </w:pPr>
            <w:r w:rsidRPr="00A4230A">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E405C8F" w14:textId="1407A626" w:rsidR="00384B20" w:rsidRPr="00A4230A" w:rsidRDefault="00384B20" w:rsidP="00384B20">
            <w:pPr>
              <w:jc w:val="right"/>
              <w:rPr>
                <w:b/>
                <w:bCs/>
                <w:color w:val="000000"/>
                <w:sz w:val="20"/>
                <w:szCs w:val="20"/>
              </w:rPr>
            </w:pPr>
            <w:r w:rsidRPr="00A4230A">
              <w:rPr>
                <w:b/>
                <w:bCs/>
                <w:color w:val="000000"/>
                <w:sz w:val="20"/>
                <w:szCs w:val="20"/>
              </w:rPr>
              <w:t>0.018</w:t>
            </w:r>
          </w:p>
        </w:tc>
      </w:tr>
      <w:tr w:rsidR="00384B20" w14:paraId="789AC637" w14:textId="77777777" w:rsidTr="00FD5355">
        <w:trPr>
          <w:trHeight w:val="320"/>
        </w:trPr>
        <w:tc>
          <w:tcPr>
            <w:tcW w:w="1176" w:type="dxa"/>
            <w:tcBorders>
              <w:top w:val="nil"/>
              <w:left w:val="nil"/>
              <w:bottom w:val="nil"/>
              <w:right w:val="nil"/>
            </w:tcBorders>
            <w:shd w:val="clear" w:color="auto" w:fill="auto"/>
            <w:noWrap/>
            <w:vAlign w:val="bottom"/>
            <w:hideMark/>
          </w:tcPr>
          <w:p w14:paraId="3A3A88E7"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2A2D989" w14:textId="77777777" w:rsidR="00384B20" w:rsidRDefault="00384B20" w:rsidP="00384B2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C8051E1" w14:textId="691C573E" w:rsidR="00384B20" w:rsidRDefault="00384B20" w:rsidP="00384B20">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11D22159" w14:textId="1C7F9057" w:rsidR="00384B20" w:rsidRDefault="00384B20" w:rsidP="00384B20">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45560981" w14:textId="46F4C201"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0B78038" w14:textId="01820D9B" w:rsidR="00384B20" w:rsidRDefault="00384B20" w:rsidP="00384B20">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ABE9C76" w14:textId="30C80DF4" w:rsidR="00384B20" w:rsidRDefault="00384B20" w:rsidP="00384B20">
            <w:pPr>
              <w:jc w:val="right"/>
              <w:rPr>
                <w:color w:val="000000"/>
                <w:sz w:val="20"/>
                <w:szCs w:val="20"/>
              </w:rPr>
            </w:pPr>
            <w:r>
              <w:rPr>
                <w:color w:val="000000"/>
                <w:sz w:val="20"/>
                <w:szCs w:val="20"/>
              </w:rPr>
              <w:t>0.642</w:t>
            </w:r>
          </w:p>
        </w:tc>
        <w:tc>
          <w:tcPr>
            <w:tcW w:w="768" w:type="dxa"/>
            <w:tcBorders>
              <w:top w:val="nil"/>
              <w:left w:val="nil"/>
              <w:bottom w:val="nil"/>
              <w:right w:val="nil"/>
            </w:tcBorders>
            <w:shd w:val="clear" w:color="auto" w:fill="auto"/>
            <w:noWrap/>
            <w:vAlign w:val="bottom"/>
            <w:hideMark/>
          </w:tcPr>
          <w:p w14:paraId="2D855CF2" w14:textId="034639B0"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04B6FFA" w14:textId="35E5615B"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913AF47" w14:textId="6A42E5DB" w:rsidR="00384B20" w:rsidRDefault="00384B20" w:rsidP="00384B20">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2337E82C" w14:textId="708C1120"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D2AE5C" w14:textId="0A938B75" w:rsidR="00384B20" w:rsidRDefault="00384B20" w:rsidP="00384B20">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5777D91C" w14:textId="64248CCF" w:rsidR="00384B20" w:rsidRDefault="00384B20" w:rsidP="00384B20">
            <w:pPr>
              <w:jc w:val="right"/>
              <w:rPr>
                <w:color w:val="000000"/>
                <w:sz w:val="20"/>
                <w:szCs w:val="20"/>
              </w:rPr>
            </w:pPr>
            <w:r>
              <w:rPr>
                <w:color w:val="000000"/>
                <w:sz w:val="20"/>
                <w:szCs w:val="20"/>
              </w:rPr>
              <w:t>0.780</w:t>
            </w:r>
          </w:p>
        </w:tc>
        <w:tc>
          <w:tcPr>
            <w:tcW w:w="768" w:type="dxa"/>
            <w:tcBorders>
              <w:top w:val="nil"/>
              <w:left w:val="nil"/>
              <w:bottom w:val="nil"/>
              <w:right w:val="nil"/>
            </w:tcBorders>
            <w:shd w:val="clear" w:color="auto" w:fill="auto"/>
            <w:noWrap/>
            <w:vAlign w:val="bottom"/>
            <w:hideMark/>
          </w:tcPr>
          <w:p w14:paraId="2BD0F146" w14:textId="0F1789EF"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C4C5B4" w14:textId="2242E5E0" w:rsidR="00384B20" w:rsidRDefault="00384B20" w:rsidP="00384B2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CE13180" w14:textId="01FDAC15" w:rsidR="00384B20" w:rsidRDefault="00384B20" w:rsidP="00384B2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4634F4A9" w14:textId="741456CB" w:rsidR="00384B20" w:rsidRDefault="00384B20" w:rsidP="00384B20">
            <w:pPr>
              <w:jc w:val="right"/>
              <w:rPr>
                <w:color w:val="000000"/>
                <w:sz w:val="20"/>
                <w:szCs w:val="20"/>
              </w:rPr>
            </w:pPr>
            <w:r>
              <w:rPr>
                <w:color w:val="000000"/>
                <w:sz w:val="20"/>
                <w:szCs w:val="20"/>
              </w:rPr>
              <w:t>0.000</w:t>
            </w:r>
          </w:p>
        </w:tc>
      </w:tr>
      <w:tr w:rsidR="00384B20" w14:paraId="7BCB8EB2" w14:textId="77777777" w:rsidTr="00FD5355">
        <w:trPr>
          <w:trHeight w:val="320"/>
        </w:trPr>
        <w:tc>
          <w:tcPr>
            <w:tcW w:w="1176" w:type="dxa"/>
            <w:tcBorders>
              <w:top w:val="nil"/>
              <w:left w:val="nil"/>
              <w:bottom w:val="nil"/>
              <w:right w:val="nil"/>
            </w:tcBorders>
            <w:shd w:val="clear" w:color="auto" w:fill="auto"/>
            <w:noWrap/>
            <w:vAlign w:val="bottom"/>
            <w:hideMark/>
          </w:tcPr>
          <w:p w14:paraId="64B32F7A"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315321" w14:textId="77777777" w:rsidR="00384B20" w:rsidRDefault="00384B20" w:rsidP="00384B2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44F03D7" w14:textId="3C126F40" w:rsidR="00384B20" w:rsidRDefault="00384B20" w:rsidP="00384B20">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66530354" w14:textId="5E5558EE" w:rsidR="00384B20" w:rsidRDefault="00384B20" w:rsidP="00384B20">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19B39E83" w14:textId="6E8BD6A1" w:rsidR="00384B20" w:rsidRDefault="00384B20" w:rsidP="00384B2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AD4B7C5" w14:textId="29028DF4" w:rsidR="00384B20" w:rsidRDefault="00384B20" w:rsidP="00384B2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D9AD289" w14:textId="18FFA1D5" w:rsidR="00384B20" w:rsidRDefault="00384B20" w:rsidP="00384B20">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678BC708" w14:textId="17602495"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5F6215" w14:textId="5B5C7674" w:rsidR="00384B20" w:rsidRDefault="00384B20" w:rsidP="00384B20">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7E42BA35" w14:textId="7BF6D4B9" w:rsidR="00384B20" w:rsidRDefault="00384B20" w:rsidP="00384B20">
            <w:pPr>
              <w:jc w:val="right"/>
              <w:rPr>
                <w:color w:val="000000"/>
                <w:sz w:val="20"/>
                <w:szCs w:val="20"/>
              </w:rPr>
            </w:pPr>
            <w:r>
              <w:rPr>
                <w:color w:val="000000"/>
                <w:sz w:val="20"/>
                <w:szCs w:val="20"/>
              </w:rPr>
              <w:t>0.860</w:t>
            </w:r>
          </w:p>
        </w:tc>
        <w:tc>
          <w:tcPr>
            <w:tcW w:w="768" w:type="dxa"/>
            <w:tcBorders>
              <w:top w:val="nil"/>
              <w:left w:val="nil"/>
              <w:bottom w:val="nil"/>
              <w:right w:val="nil"/>
            </w:tcBorders>
            <w:shd w:val="clear" w:color="auto" w:fill="auto"/>
            <w:noWrap/>
            <w:vAlign w:val="bottom"/>
            <w:hideMark/>
          </w:tcPr>
          <w:p w14:paraId="60EE89C0" w14:textId="3C587D60"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276663" w14:textId="7930BE35" w:rsidR="00384B20" w:rsidRDefault="00384B20" w:rsidP="00384B20">
            <w:pPr>
              <w:jc w:val="right"/>
              <w:rPr>
                <w:color w:val="000000"/>
                <w:sz w:val="20"/>
                <w:szCs w:val="20"/>
              </w:rPr>
            </w:pPr>
            <w:r>
              <w:rPr>
                <w:color w:val="000000"/>
                <w:sz w:val="20"/>
                <w:szCs w:val="20"/>
              </w:rPr>
              <w:t>-0.106</w:t>
            </w:r>
          </w:p>
        </w:tc>
        <w:tc>
          <w:tcPr>
            <w:tcW w:w="768" w:type="dxa"/>
            <w:tcBorders>
              <w:top w:val="nil"/>
              <w:left w:val="nil"/>
              <w:bottom w:val="nil"/>
              <w:right w:val="nil"/>
            </w:tcBorders>
            <w:shd w:val="clear" w:color="auto" w:fill="auto"/>
            <w:noWrap/>
            <w:vAlign w:val="bottom"/>
            <w:hideMark/>
          </w:tcPr>
          <w:p w14:paraId="148FC36D" w14:textId="728F7ABC" w:rsidR="00384B20" w:rsidRDefault="00384B20" w:rsidP="00384B20">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6A48EFCE" w14:textId="79140050" w:rsidR="00384B20" w:rsidRDefault="00384B20" w:rsidP="00384B2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B24AF6B" w14:textId="7D198F46" w:rsidR="00384B20" w:rsidRDefault="00384B20" w:rsidP="00384B20">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196A5FD5" w14:textId="34CF0BFB" w:rsidR="00384B20" w:rsidRDefault="00384B20" w:rsidP="00384B20">
            <w:pPr>
              <w:jc w:val="right"/>
              <w:rPr>
                <w:color w:val="000000"/>
                <w:sz w:val="20"/>
                <w:szCs w:val="20"/>
              </w:rPr>
            </w:pPr>
            <w:r>
              <w:rPr>
                <w:color w:val="000000"/>
                <w:sz w:val="20"/>
                <w:szCs w:val="20"/>
              </w:rPr>
              <w:t>0.373</w:t>
            </w:r>
          </w:p>
        </w:tc>
        <w:tc>
          <w:tcPr>
            <w:tcW w:w="768" w:type="dxa"/>
            <w:tcBorders>
              <w:top w:val="nil"/>
              <w:left w:val="nil"/>
              <w:bottom w:val="nil"/>
              <w:right w:val="nil"/>
            </w:tcBorders>
            <w:shd w:val="clear" w:color="auto" w:fill="auto"/>
            <w:noWrap/>
            <w:vAlign w:val="bottom"/>
            <w:hideMark/>
          </w:tcPr>
          <w:p w14:paraId="20EB3E8E" w14:textId="7EE14B30" w:rsidR="00384B20" w:rsidRDefault="00384B20" w:rsidP="00384B20">
            <w:pPr>
              <w:jc w:val="right"/>
              <w:rPr>
                <w:color w:val="000000"/>
                <w:sz w:val="20"/>
                <w:szCs w:val="20"/>
              </w:rPr>
            </w:pPr>
            <w:r>
              <w:rPr>
                <w:color w:val="000000"/>
                <w:sz w:val="20"/>
                <w:szCs w:val="20"/>
              </w:rPr>
              <w:t>0.007</w:t>
            </w:r>
          </w:p>
        </w:tc>
      </w:tr>
      <w:tr w:rsidR="00384B20" w14:paraId="50AE1C23" w14:textId="77777777" w:rsidTr="00FD5355">
        <w:trPr>
          <w:trHeight w:val="320"/>
        </w:trPr>
        <w:tc>
          <w:tcPr>
            <w:tcW w:w="1176" w:type="dxa"/>
            <w:tcBorders>
              <w:top w:val="nil"/>
              <w:left w:val="nil"/>
              <w:bottom w:val="nil"/>
              <w:right w:val="nil"/>
            </w:tcBorders>
            <w:shd w:val="clear" w:color="auto" w:fill="auto"/>
            <w:noWrap/>
            <w:vAlign w:val="bottom"/>
            <w:hideMark/>
          </w:tcPr>
          <w:p w14:paraId="4B2E3CF2"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E4FA89" w14:textId="77777777" w:rsidR="00384B20" w:rsidRDefault="00384B20" w:rsidP="00384B2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66C45D1" w14:textId="575D8843" w:rsidR="00384B20" w:rsidRDefault="00384B20" w:rsidP="00384B2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2BF39EA" w14:textId="74CF80FE" w:rsidR="00384B20" w:rsidRDefault="00384B20" w:rsidP="00384B20">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2D1DC1CA" w14:textId="7A324195"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A03EEB" w14:textId="3FE1BB50" w:rsidR="00384B20" w:rsidRDefault="00384B20" w:rsidP="00384B20">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439AA3B9" w14:textId="7771FE84" w:rsidR="00384B20" w:rsidRDefault="00384B20" w:rsidP="00384B20">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1E87CEB2" w14:textId="483E946E"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B113803" w14:textId="29D74820" w:rsidR="00384B20" w:rsidRDefault="00384B20" w:rsidP="00384B2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E9EB184" w14:textId="1071A8B3" w:rsidR="00384B20" w:rsidRDefault="00384B20" w:rsidP="00384B20">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690CFA67" w14:textId="0253E924"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EF3F60" w14:textId="3D73CA8A" w:rsidR="00384B20" w:rsidRDefault="00384B20" w:rsidP="00384B2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25F0650" w14:textId="5F5F4AB1" w:rsidR="00384B20" w:rsidRDefault="00384B20" w:rsidP="00384B20">
            <w:pPr>
              <w:jc w:val="right"/>
              <w:rPr>
                <w:color w:val="000000"/>
                <w:sz w:val="20"/>
                <w:szCs w:val="20"/>
              </w:rPr>
            </w:pPr>
            <w:r>
              <w:rPr>
                <w:color w:val="000000"/>
                <w:sz w:val="20"/>
                <w:szCs w:val="20"/>
              </w:rPr>
              <w:t>0.780</w:t>
            </w:r>
          </w:p>
        </w:tc>
        <w:tc>
          <w:tcPr>
            <w:tcW w:w="768" w:type="dxa"/>
            <w:tcBorders>
              <w:top w:val="nil"/>
              <w:left w:val="nil"/>
              <w:bottom w:val="nil"/>
              <w:right w:val="nil"/>
            </w:tcBorders>
            <w:shd w:val="clear" w:color="auto" w:fill="auto"/>
            <w:noWrap/>
            <w:vAlign w:val="bottom"/>
            <w:hideMark/>
          </w:tcPr>
          <w:p w14:paraId="52820CFE" w14:textId="451E2DB4"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39559F" w14:textId="00148D42" w:rsidR="00384B20" w:rsidRDefault="00384B20" w:rsidP="00384B20">
            <w:pPr>
              <w:jc w:val="right"/>
              <w:rPr>
                <w:color w:val="000000"/>
                <w:sz w:val="20"/>
                <w:szCs w:val="20"/>
              </w:rPr>
            </w:pPr>
            <w:r>
              <w:rPr>
                <w:color w:val="000000"/>
                <w:sz w:val="20"/>
                <w:szCs w:val="20"/>
              </w:rPr>
              <w:t>-0.110</w:t>
            </w:r>
          </w:p>
        </w:tc>
        <w:tc>
          <w:tcPr>
            <w:tcW w:w="768" w:type="dxa"/>
            <w:tcBorders>
              <w:top w:val="nil"/>
              <w:left w:val="nil"/>
              <w:bottom w:val="nil"/>
              <w:right w:val="nil"/>
            </w:tcBorders>
            <w:shd w:val="clear" w:color="auto" w:fill="auto"/>
            <w:noWrap/>
            <w:vAlign w:val="bottom"/>
            <w:hideMark/>
          </w:tcPr>
          <w:p w14:paraId="4C969D70" w14:textId="3A9173FB" w:rsidR="00384B20" w:rsidRDefault="00384B20" w:rsidP="00384B20">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4922A203" w14:textId="23D6ECFC" w:rsidR="00384B20" w:rsidRDefault="00384B20" w:rsidP="00384B20">
            <w:pPr>
              <w:jc w:val="right"/>
              <w:rPr>
                <w:color w:val="000000"/>
                <w:sz w:val="20"/>
                <w:szCs w:val="20"/>
              </w:rPr>
            </w:pPr>
            <w:r>
              <w:rPr>
                <w:color w:val="000000"/>
                <w:sz w:val="20"/>
                <w:szCs w:val="20"/>
              </w:rPr>
              <w:t>0.012</w:t>
            </w:r>
          </w:p>
        </w:tc>
      </w:tr>
      <w:tr w:rsidR="00384B20" w14:paraId="4DDD5D00" w14:textId="77777777" w:rsidTr="00FD5355">
        <w:trPr>
          <w:trHeight w:val="320"/>
        </w:trPr>
        <w:tc>
          <w:tcPr>
            <w:tcW w:w="1176" w:type="dxa"/>
            <w:tcBorders>
              <w:top w:val="nil"/>
              <w:left w:val="nil"/>
              <w:bottom w:val="nil"/>
              <w:right w:val="nil"/>
            </w:tcBorders>
            <w:shd w:val="clear" w:color="auto" w:fill="auto"/>
            <w:noWrap/>
            <w:vAlign w:val="bottom"/>
            <w:hideMark/>
          </w:tcPr>
          <w:p w14:paraId="427A5CC2"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B45437C" w14:textId="77777777" w:rsidR="00384B20" w:rsidRDefault="00384B20" w:rsidP="00384B2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B3AD10D" w14:textId="613E59DD" w:rsidR="00384B20" w:rsidRDefault="00384B20" w:rsidP="00384B20">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7A72B3DD" w14:textId="17C484B6" w:rsidR="00384B20" w:rsidRDefault="00384B20" w:rsidP="00384B20">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1D6B24D1" w14:textId="248C58CE"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701F66" w14:textId="699C66E7" w:rsidR="00384B20" w:rsidRDefault="00384B20" w:rsidP="00384B2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12714BBF" w14:textId="08E93E94" w:rsidR="00384B20" w:rsidRDefault="00384B20" w:rsidP="00384B20">
            <w:pPr>
              <w:jc w:val="right"/>
              <w:rPr>
                <w:color w:val="000000"/>
                <w:sz w:val="20"/>
                <w:szCs w:val="20"/>
              </w:rPr>
            </w:pPr>
            <w:r>
              <w:rPr>
                <w:color w:val="000000"/>
                <w:sz w:val="20"/>
                <w:szCs w:val="20"/>
              </w:rPr>
              <w:t>0.642</w:t>
            </w:r>
          </w:p>
        </w:tc>
        <w:tc>
          <w:tcPr>
            <w:tcW w:w="768" w:type="dxa"/>
            <w:tcBorders>
              <w:top w:val="nil"/>
              <w:left w:val="nil"/>
              <w:bottom w:val="nil"/>
              <w:right w:val="nil"/>
            </w:tcBorders>
            <w:shd w:val="clear" w:color="auto" w:fill="auto"/>
            <w:noWrap/>
            <w:vAlign w:val="bottom"/>
            <w:hideMark/>
          </w:tcPr>
          <w:p w14:paraId="1F73A100" w14:textId="16159DF6"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1F442D6" w14:textId="45DA4BDE" w:rsidR="00384B20" w:rsidRDefault="00384B20" w:rsidP="00384B20">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02B4CA50" w14:textId="47A5B246" w:rsidR="00384B20" w:rsidRDefault="00384B20" w:rsidP="00384B20">
            <w:pPr>
              <w:jc w:val="right"/>
              <w:rPr>
                <w:color w:val="000000"/>
                <w:sz w:val="20"/>
                <w:szCs w:val="20"/>
              </w:rPr>
            </w:pPr>
            <w:r>
              <w:rPr>
                <w:color w:val="000000"/>
                <w:sz w:val="20"/>
                <w:szCs w:val="20"/>
              </w:rPr>
              <w:t>0.576</w:t>
            </w:r>
          </w:p>
        </w:tc>
        <w:tc>
          <w:tcPr>
            <w:tcW w:w="768" w:type="dxa"/>
            <w:tcBorders>
              <w:top w:val="nil"/>
              <w:left w:val="nil"/>
              <w:bottom w:val="nil"/>
              <w:right w:val="nil"/>
            </w:tcBorders>
            <w:shd w:val="clear" w:color="auto" w:fill="auto"/>
            <w:noWrap/>
            <w:vAlign w:val="bottom"/>
            <w:hideMark/>
          </w:tcPr>
          <w:p w14:paraId="6CC205DF" w14:textId="4F546AD6" w:rsidR="00384B20" w:rsidRDefault="00384B20" w:rsidP="00384B2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A683FA9" w14:textId="5A94541F" w:rsidR="00384B20" w:rsidRDefault="00384B20" w:rsidP="00384B20">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3C5F2CB5" w14:textId="58D92A6C" w:rsidR="00384B20" w:rsidRDefault="00384B20" w:rsidP="00384B20">
            <w:pPr>
              <w:jc w:val="right"/>
              <w:rPr>
                <w:color w:val="000000"/>
                <w:sz w:val="20"/>
                <w:szCs w:val="20"/>
              </w:rPr>
            </w:pPr>
            <w:r>
              <w:rPr>
                <w:color w:val="000000"/>
                <w:sz w:val="20"/>
                <w:szCs w:val="20"/>
              </w:rPr>
              <w:t>0.644</w:t>
            </w:r>
          </w:p>
        </w:tc>
        <w:tc>
          <w:tcPr>
            <w:tcW w:w="768" w:type="dxa"/>
            <w:tcBorders>
              <w:top w:val="nil"/>
              <w:left w:val="nil"/>
              <w:bottom w:val="nil"/>
              <w:right w:val="nil"/>
            </w:tcBorders>
            <w:shd w:val="clear" w:color="auto" w:fill="auto"/>
            <w:noWrap/>
            <w:vAlign w:val="bottom"/>
            <w:hideMark/>
          </w:tcPr>
          <w:p w14:paraId="2A42EE54" w14:textId="326A1313"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4BDC66F" w14:textId="528E0E40" w:rsidR="00384B20" w:rsidRDefault="00384B20" w:rsidP="00384B2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F7279D2" w14:textId="6EA7E350" w:rsidR="00384B20" w:rsidRDefault="00384B20" w:rsidP="00384B2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45B863E7" w14:textId="5849BBA8" w:rsidR="00384B20" w:rsidRDefault="00384B20" w:rsidP="00384B20">
            <w:pPr>
              <w:jc w:val="right"/>
              <w:rPr>
                <w:color w:val="000000"/>
                <w:sz w:val="20"/>
                <w:szCs w:val="20"/>
              </w:rPr>
            </w:pPr>
            <w:r>
              <w:rPr>
                <w:color w:val="000000"/>
                <w:sz w:val="20"/>
                <w:szCs w:val="20"/>
              </w:rPr>
              <w:t>0.000</w:t>
            </w:r>
          </w:p>
        </w:tc>
      </w:tr>
      <w:tr w:rsidR="00384B20" w14:paraId="47AA01FD" w14:textId="77777777" w:rsidTr="00FD5355">
        <w:trPr>
          <w:trHeight w:val="320"/>
        </w:trPr>
        <w:tc>
          <w:tcPr>
            <w:tcW w:w="1176" w:type="dxa"/>
            <w:tcBorders>
              <w:top w:val="nil"/>
              <w:left w:val="nil"/>
              <w:bottom w:val="nil"/>
              <w:right w:val="nil"/>
            </w:tcBorders>
            <w:shd w:val="clear" w:color="auto" w:fill="auto"/>
            <w:noWrap/>
            <w:vAlign w:val="bottom"/>
            <w:hideMark/>
          </w:tcPr>
          <w:p w14:paraId="404598CD"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03B51B" w14:textId="77777777" w:rsidR="00384B20" w:rsidRDefault="00384B20" w:rsidP="00384B2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E47B556" w14:textId="675BA990" w:rsidR="00384B20" w:rsidRDefault="00384B20" w:rsidP="00384B20">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00466A2" w14:textId="00A782AD" w:rsidR="00384B20" w:rsidRDefault="00384B20" w:rsidP="00384B20">
            <w:pPr>
              <w:jc w:val="right"/>
              <w:rPr>
                <w:color w:val="000000"/>
                <w:sz w:val="20"/>
                <w:szCs w:val="20"/>
              </w:rPr>
            </w:pPr>
            <w:r>
              <w:rPr>
                <w:color w:val="000000"/>
                <w:sz w:val="20"/>
                <w:szCs w:val="20"/>
              </w:rPr>
              <w:t>0.607</w:t>
            </w:r>
          </w:p>
        </w:tc>
        <w:tc>
          <w:tcPr>
            <w:tcW w:w="768" w:type="dxa"/>
            <w:tcBorders>
              <w:top w:val="nil"/>
              <w:left w:val="nil"/>
              <w:bottom w:val="nil"/>
              <w:right w:val="nil"/>
            </w:tcBorders>
            <w:shd w:val="clear" w:color="auto" w:fill="auto"/>
            <w:noWrap/>
            <w:vAlign w:val="bottom"/>
            <w:hideMark/>
          </w:tcPr>
          <w:p w14:paraId="13E205C8" w14:textId="5E4CABC0"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1049495" w14:textId="613A9DD2" w:rsidR="00384B20" w:rsidRDefault="00384B20" w:rsidP="00384B20">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07C50A8C" w14:textId="4E799055" w:rsidR="00384B20" w:rsidRDefault="00384B20" w:rsidP="00384B20">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2D325E59" w14:textId="0CCA6EE6"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05A4CBC" w14:textId="0B9C42E0" w:rsidR="00384B20" w:rsidRDefault="00384B20" w:rsidP="00384B20">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33E77F4" w14:textId="11D9FEBB" w:rsidR="00384B20" w:rsidRDefault="00384B20" w:rsidP="00384B20">
            <w:pPr>
              <w:jc w:val="right"/>
              <w:rPr>
                <w:color w:val="000000"/>
                <w:sz w:val="20"/>
                <w:szCs w:val="20"/>
              </w:rPr>
            </w:pPr>
            <w:r>
              <w:rPr>
                <w:color w:val="000000"/>
                <w:sz w:val="20"/>
                <w:szCs w:val="20"/>
              </w:rPr>
              <w:t>0.860</w:t>
            </w:r>
          </w:p>
        </w:tc>
        <w:tc>
          <w:tcPr>
            <w:tcW w:w="768" w:type="dxa"/>
            <w:tcBorders>
              <w:top w:val="nil"/>
              <w:left w:val="nil"/>
              <w:bottom w:val="nil"/>
              <w:right w:val="nil"/>
            </w:tcBorders>
            <w:shd w:val="clear" w:color="auto" w:fill="auto"/>
            <w:noWrap/>
            <w:vAlign w:val="bottom"/>
            <w:hideMark/>
          </w:tcPr>
          <w:p w14:paraId="2E8C9333" w14:textId="7E36CC58"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1F7DF4C" w14:textId="169899E9" w:rsidR="00384B20" w:rsidRDefault="00384B20" w:rsidP="00384B20">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7D3E434B" w14:textId="1A2CA2B9" w:rsidR="00384B20" w:rsidRDefault="00384B20" w:rsidP="00384B20">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58A88889" w14:textId="574FBB93"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48AC603" w14:textId="135DB15F"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ADB3D8D" w14:textId="645634B3" w:rsidR="00384B20" w:rsidRDefault="00384B20" w:rsidP="00384B2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77D5299A" w14:textId="15F2D226" w:rsidR="00384B20" w:rsidRDefault="00384B20" w:rsidP="00384B20">
            <w:pPr>
              <w:jc w:val="right"/>
              <w:rPr>
                <w:color w:val="000000"/>
                <w:sz w:val="20"/>
                <w:szCs w:val="20"/>
              </w:rPr>
            </w:pPr>
            <w:r>
              <w:rPr>
                <w:color w:val="000000"/>
                <w:sz w:val="20"/>
                <w:szCs w:val="20"/>
              </w:rPr>
              <w:t>0.000</w:t>
            </w:r>
          </w:p>
        </w:tc>
      </w:tr>
      <w:tr w:rsidR="00384B20" w14:paraId="6723B877" w14:textId="77777777" w:rsidTr="00FD5355">
        <w:trPr>
          <w:trHeight w:val="320"/>
        </w:trPr>
        <w:tc>
          <w:tcPr>
            <w:tcW w:w="1176" w:type="dxa"/>
            <w:tcBorders>
              <w:top w:val="nil"/>
              <w:left w:val="nil"/>
              <w:bottom w:val="single" w:sz="4" w:space="0" w:color="auto"/>
              <w:right w:val="nil"/>
            </w:tcBorders>
            <w:shd w:val="clear" w:color="auto" w:fill="auto"/>
            <w:noWrap/>
            <w:vAlign w:val="bottom"/>
            <w:hideMark/>
          </w:tcPr>
          <w:p w14:paraId="601B294A" w14:textId="77777777" w:rsidR="00384B20" w:rsidRDefault="00384B20" w:rsidP="00384B2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D0BE8AF" w14:textId="77777777" w:rsidR="00384B20" w:rsidRDefault="00384B20" w:rsidP="00384B2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CEA2B29" w14:textId="5BC85F91" w:rsidR="00384B20" w:rsidRDefault="00384B20" w:rsidP="00384B20">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5E869677" w14:textId="79E9DFEE" w:rsidR="00384B20" w:rsidRDefault="00384B20" w:rsidP="00384B20">
            <w:pPr>
              <w:jc w:val="right"/>
              <w:rPr>
                <w:color w:val="000000"/>
                <w:sz w:val="20"/>
                <w:szCs w:val="20"/>
              </w:rPr>
            </w:pPr>
            <w:r>
              <w:rPr>
                <w:color w:val="000000"/>
                <w:sz w:val="20"/>
                <w:szCs w:val="20"/>
              </w:rPr>
              <w:t>0.836</w:t>
            </w:r>
          </w:p>
        </w:tc>
        <w:tc>
          <w:tcPr>
            <w:tcW w:w="768" w:type="dxa"/>
            <w:tcBorders>
              <w:top w:val="nil"/>
              <w:left w:val="nil"/>
              <w:bottom w:val="single" w:sz="4" w:space="0" w:color="auto"/>
              <w:right w:val="nil"/>
            </w:tcBorders>
            <w:shd w:val="clear" w:color="auto" w:fill="auto"/>
            <w:noWrap/>
            <w:vAlign w:val="bottom"/>
            <w:hideMark/>
          </w:tcPr>
          <w:p w14:paraId="6C473383" w14:textId="772DF1B1"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2901218" w14:textId="2419E522" w:rsidR="00384B20" w:rsidRDefault="00384B20" w:rsidP="00384B20">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6C12CC9A" w14:textId="6633C24C" w:rsidR="00384B20" w:rsidRDefault="00384B20" w:rsidP="00384B20">
            <w:pPr>
              <w:jc w:val="right"/>
              <w:rPr>
                <w:color w:val="000000"/>
                <w:sz w:val="20"/>
                <w:szCs w:val="20"/>
              </w:rPr>
            </w:pPr>
            <w:r>
              <w:rPr>
                <w:color w:val="000000"/>
                <w:sz w:val="20"/>
                <w:szCs w:val="20"/>
              </w:rPr>
              <w:t>0.946</w:t>
            </w:r>
          </w:p>
        </w:tc>
        <w:tc>
          <w:tcPr>
            <w:tcW w:w="768" w:type="dxa"/>
            <w:tcBorders>
              <w:top w:val="nil"/>
              <w:left w:val="nil"/>
              <w:bottom w:val="single" w:sz="4" w:space="0" w:color="auto"/>
              <w:right w:val="nil"/>
            </w:tcBorders>
            <w:shd w:val="clear" w:color="auto" w:fill="auto"/>
            <w:noWrap/>
            <w:vAlign w:val="bottom"/>
            <w:hideMark/>
          </w:tcPr>
          <w:p w14:paraId="28401E65" w14:textId="42ABBC59"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EDAC934" w14:textId="3F677DFD" w:rsidR="00384B20" w:rsidRDefault="00384B20" w:rsidP="00384B20">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6A65B8CA" w14:textId="79FC5D90" w:rsidR="00384B20" w:rsidRDefault="00384B20" w:rsidP="00384B20">
            <w:pPr>
              <w:jc w:val="right"/>
              <w:rPr>
                <w:color w:val="000000"/>
                <w:sz w:val="20"/>
                <w:szCs w:val="20"/>
              </w:rPr>
            </w:pPr>
            <w:r>
              <w:rPr>
                <w:color w:val="000000"/>
                <w:sz w:val="20"/>
                <w:szCs w:val="20"/>
              </w:rPr>
              <w:t>0.904</w:t>
            </w:r>
          </w:p>
        </w:tc>
        <w:tc>
          <w:tcPr>
            <w:tcW w:w="768" w:type="dxa"/>
            <w:tcBorders>
              <w:top w:val="nil"/>
              <w:left w:val="nil"/>
              <w:bottom w:val="single" w:sz="4" w:space="0" w:color="auto"/>
              <w:right w:val="nil"/>
            </w:tcBorders>
            <w:shd w:val="clear" w:color="auto" w:fill="auto"/>
            <w:noWrap/>
            <w:vAlign w:val="bottom"/>
            <w:hideMark/>
          </w:tcPr>
          <w:p w14:paraId="5B6F029C" w14:textId="12821C02"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CC403B9" w14:textId="5798F8F3" w:rsidR="00384B20" w:rsidRDefault="00384B20" w:rsidP="00384B20">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16CF9D03" w14:textId="0C0AC803" w:rsidR="00384B20" w:rsidRDefault="00384B20" w:rsidP="00384B20">
            <w:pPr>
              <w:jc w:val="right"/>
              <w:rPr>
                <w:color w:val="000000"/>
                <w:sz w:val="20"/>
                <w:szCs w:val="20"/>
              </w:rPr>
            </w:pPr>
            <w:r>
              <w:rPr>
                <w:color w:val="000000"/>
                <w:sz w:val="20"/>
                <w:szCs w:val="20"/>
              </w:rPr>
              <w:t>0.780</w:t>
            </w:r>
          </w:p>
        </w:tc>
        <w:tc>
          <w:tcPr>
            <w:tcW w:w="768" w:type="dxa"/>
            <w:tcBorders>
              <w:top w:val="nil"/>
              <w:left w:val="nil"/>
              <w:bottom w:val="single" w:sz="4" w:space="0" w:color="auto"/>
              <w:right w:val="nil"/>
            </w:tcBorders>
            <w:shd w:val="clear" w:color="auto" w:fill="auto"/>
            <w:noWrap/>
            <w:vAlign w:val="bottom"/>
            <w:hideMark/>
          </w:tcPr>
          <w:p w14:paraId="35C73689" w14:textId="0425486E"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683F352" w14:textId="4955D2E7"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7F1A6A8D" w14:textId="253064A4" w:rsidR="00384B20" w:rsidRDefault="00384B20" w:rsidP="00384B20">
            <w:pPr>
              <w:jc w:val="right"/>
              <w:rPr>
                <w:color w:val="000000"/>
                <w:sz w:val="20"/>
                <w:szCs w:val="20"/>
              </w:rPr>
            </w:pPr>
            <w:r>
              <w:rPr>
                <w:color w:val="000000"/>
                <w:sz w:val="20"/>
                <w:szCs w:val="20"/>
              </w:rPr>
              <w:t>0.969</w:t>
            </w:r>
          </w:p>
        </w:tc>
        <w:tc>
          <w:tcPr>
            <w:tcW w:w="768" w:type="dxa"/>
            <w:tcBorders>
              <w:top w:val="nil"/>
              <w:left w:val="nil"/>
              <w:bottom w:val="single" w:sz="4" w:space="0" w:color="auto"/>
              <w:right w:val="nil"/>
            </w:tcBorders>
            <w:shd w:val="clear" w:color="auto" w:fill="auto"/>
            <w:noWrap/>
            <w:vAlign w:val="bottom"/>
            <w:hideMark/>
          </w:tcPr>
          <w:p w14:paraId="3376944A" w14:textId="0E14FECA" w:rsidR="00384B20" w:rsidRDefault="00384B20" w:rsidP="00384B20">
            <w:pPr>
              <w:jc w:val="right"/>
              <w:rPr>
                <w:color w:val="000000"/>
                <w:sz w:val="20"/>
                <w:szCs w:val="20"/>
              </w:rPr>
            </w:pPr>
            <w:r>
              <w:rPr>
                <w:color w:val="000000"/>
                <w:sz w:val="20"/>
                <w:szCs w:val="20"/>
              </w:rPr>
              <w:t>0.000</w:t>
            </w:r>
          </w:p>
        </w:tc>
      </w:tr>
      <w:tr w:rsidR="00384B20" w14:paraId="64D9F198" w14:textId="77777777" w:rsidTr="00FD5355">
        <w:trPr>
          <w:trHeight w:val="320"/>
        </w:trPr>
        <w:tc>
          <w:tcPr>
            <w:tcW w:w="1176" w:type="dxa"/>
            <w:tcBorders>
              <w:top w:val="nil"/>
              <w:left w:val="nil"/>
              <w:bottom w:val="nil"/>
              <w:right w:val="nil"/>
            </w:tcBorders>
            <w:shd w:val="clear" w:color="auto" w:fill="auto"/>
            <w:noWrap/>
            <w:vAlign w:val="bottom"/>
            <w:hideMark/>
          </w:tcPr>
          <w:p w14:paraId="6068A869" w14:textId="77777777" w:rsidR="00384B20" w:rsidRDefault="00384B20" w:rsidP="00384B20">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2A11B5AA" w14:textId="77777777" w:rsidR="00384B20" w:rsidRDefault="00384B20" w:rsidP="00384B2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472F55B" w14:textId="6AA10F55" w:rsidR="00384B20" w:rsidRDefault="00384B20" w:rsidP="00384B20">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493B592F" w14:textId="15B1F64E" w:rsidR="00384B20" w:rsidRDefault="00384B20" w:rsidP="00384B20">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04D9319A" w14:textId="09A73C7E" w:rsidR="00384B20" w:rsidRDefault="00384B20" w:rsidP="00384B2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B50860A" w14:textId="76E5934C" w:rsidR="00384B20" w:rsidRDefault="00384B20" w:rsidP="00384B2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B32DDBC" w14:textId="13C3FEDE" w:rsidR="00384B20" w:rsidRDefault="00384B20" w:rsidP="00384B20">
            <w:pPr>
              <w:jc w:val="right"/>
              <w:rPr>
                <w:color w:val="000000"/>
                <w:sz w:val="20"/>
                <w:szCs w:val="20"/>
              </w:rPr>
            </w:pPr>
            <w:r>
              <w:rPr>
                <w:color w:val="000000"/>
                <w:sz w:val="20"/>
                <w:szCs w:val="20"/>
              </w:rPr>
              <w:t>0.797</w:t>
            </w:r>
          </w:p>
        </w:tc>
        <w:tc>
          <w:tcPr>
            <w:tcW w:w="768" w:type="dxa"/>
            <w:tcBorders>
              <w:top w:val="nil"/>
              <w:left w:val="nil"/>
              <w:bottom w:val="nil"/>
              <w:right w:val="nil"/>
            </w:tcBorders>
            <w:shd w:val="clear" w:color="auto" w:fill="auto"/>
            <w:noWrap/>
            <w:vAlign w:val="bottom"/>
            <w:hideMark/>
          </w:tcPr>
          <w:p w14:paraId="697166A9" w14:textId="092DAA15"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7C5ADB" w14:textId="0BA189C5" w:rsidR="00384B20" w:rsidRDefault="00384B20" w:rsidP="00384B2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3B647E5" w14:textId="574AEF62" w:rsidR="00384B20" w:rsidRDefault="00384B20" w:rsidP="00384B20">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42F0E8D8" w14:textId="3BCADE09"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F217957" w14:textId="66304AE0" w:rsidR="00384B20" w:rsidRDefault="00384B20" w:rsidP="00384B2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3238D466" w14:textId="799EEEC9" w:rsidR="00384B20" w:rsidRDefault="00384B20" w:rsidP="00384B20">
            <w:pPr>
              <w:jc w:val="right"/>
              <w:rPr>
                <w:color w:val="000000"/>
                <w:sz w:val="20"/>
                <w:szCs w:val="20"/>
              </w:rPr>
            </w:pPr>
            <w:r>
              <w:rPr>
                <w:color w:val="000000"/>
                <w:sz w:val="20"/>
                <w:szCs w:val="20"/>
              </w:rPr>
              <w:t>0.282</w:t>
            </w:r>
          </w:p>
        </w:tc>
        <w:tc>
          <w:tcPr>
            <w:tcW w:w="768" w:type="dxa"/>
            <w:tcBorders>
              <w:top w:val="nil"/>
              <w:left w:val="nil"/>
              <w:bottom w:val="nil"/>
              <w:right w:val="nil"/>
            </w:tcBorders>
            <w:shd w:val="clear" w:color="auto" w:fill="auto"/>
            <w:noWrap/>
            <w:vAlign w:val="bottom"/>
            <w:hideMark/>
          </w:tcPr>
          <w:p w14:paraId="49392612" w14:textId="42FE5E4D"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0765249" w14:textId="1B75841B" w:rsidR="00384B20" w:rsidRDefault="00384B20" w:rsidP="00384B2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63F9AE1" w14:textId="3A036BE8" w:rsidR="00384B20" w:rsidRDefault="00384B20" w:rsidP="00384B20">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112573D8" w14:textId="75E72FC4" w:rsidR="00384B20" w:rsidRDefault="00384B20" w:rsidP="00384B20">
            <w:pPr>
              <w:jc w:val="right"/>
              <w:rPr>
                <w:color w:val="000000"/>
                <w:sz w:val="20"/>
                <w:szCs w:val="20"/>
              </w:rPr>
            </w:pPr>
            <w:r>
              <w:rPr>
                <w:color w:val="000000"/>
                <w:sz w:val="20"/>
                <w:szCs w:val="20"/>
              </w:rPr>
              <w:t>0.000</w:t>
            </w:r>
          </w:p>
        </w:tc>
      </w:tr>
      <w:tr w:rsidR="00384B20" w14:paraId="2AD28FED" w14:textId="77777777" w:rsidTr="00FD5355">
        <w:trPr>
          <w:trHeight w:val="320"/>
        </w:trPr>
        <w:tc>
          <w:tcPr>
            <w:tcW w:w="1176" w:type="dxa"/>
            <w:tcBorders>
              <w:top w:val="nil"/>
              <w:left w:val="nil"/>
              <w:bottom w:val="nil"/>
              <w:right w:val="nil"/>
            </w:tcBorders>
            <w:shd w:val="clear" w:color="auto" w:fill="auto"/>
            <w:noWrap/>
            <w:vAlign w:val="bottom"/>
            <w:hideMark/>
          </w:tcPr>
          <w:p w14:paraId="1816430A"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916A2E9" w14:textId="77777777" w:rsidR="00384B20" w:rsidRDefault="00384B20" w:rsidP="00384B2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4749B09" w14:textId="124B0EB4" w:rsidR="00384B20" w:rsidRDefault="00384B20" w:rsidP="00384B20">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86C92AA" w14:textId="17630DCB" w:rsidR="00384B20" w:rsidRDefault="00384B20" w:rsidP="00384B20">
            <w:pPr>
              <w:jc w:val="right"/>
              <w:rPr>
                <w:color w:val="000000"/>
                <w:sz w:val="20"/>
                <w:szCs w:val="20"/>
              </w:rPr>
            </w:pPr>
            <w:r>
              <w:rPr>
                <w:color w:val="000000"/>
                <w:sz w:val="20"/>
                <w:szCs w:val="20"/>
              </w:rPr>
              <w:t>0.599</w:t>
            </w:r>
          </w:p>
        </w:tc>
        <w:tc>
          <w:tcPr>
            <w:tcW w:w="768" w:type="dxa"/>
            <w:tcBorders>
              <w:top w:val="nil"/>
              <w:left w:val="nil"/>
              <w:bottom w:val="nil"/>
              <w:right w:val="nil"/>
            </w:tcBorders>
            <w:shd w:val="clear" w:color="auto" w:fill="auto"/>
            <w:noWrap/>
            <w:vAlign w:val="bottom"/>
            <w:hideMark/>
          </w:tcPr>
          <w:p w14:paraId="28438144" w14:textId="127B2014"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0C2CAB2" w14:textId="0E4A2C8D" w:rsidR="00384B20" w:rsidRDefault="00384B20" w:rsidP="00384B2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BE6E2F6" w14:textId="4BE70616" w:rsidR="00384B20" w:rsidRDefault="00384B20" w:rsidP="00384B20">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339DB81B" w14:textId="767C8E01"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ACBB40" w14:textId="52B00718" w:rsidR="00384B20" w:rsidRDefault="00384B20" w:rsidP="00384B20">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1985F1E" w14:textId="7A1D977E" w:rsidR="00384B20" w:rsidRDefault="00384B20" w:rsidP="00384B20">
            <w:pPr>
              <w:jc w:val="right"/>
              <w:rPr>
                <w:color w:val="000000"/>
                <w:sz w:val="20"/>
                <w:szCs w:val="20"/>
              </w:rPr>
            </w:pPr>
            <w:r>
              <w:rPr>
                <w:color w:val="000000"/>
                <w:sz w:val="20"/>
                <w:szCs w:val="20"/>
              </w:rPr>
              <w:t>0.533</w:t>
            </w:r>
          </w:p>
        </w:tc>
        <w:tc>
          <w:tcPr>
            <w:tcW w:w="768" w:type="dxa"/>
            <w:tcBorders>
              <w:top w:val="nil"/>
              <w:left w:val="nil"/>
              <w:bottom w:val="nil"/>
              <w:right w:val="nil"/>
            </w:tcBorders>
            <w:shd w:val="clear" w:color="auto" w:fill="auto"/>
            <w:noWrap/>
            <w:vAlign w:val="bottom"/>
            <w:hideMark/>
          </w:tcPr>
          <w:p w14:paraId="3D85C5B6" w14:textId="101AE03A"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FFE995A" w14:textId="3E667BEF" w:rsidR="00384B20" w:rsidRDefault="00384B20" w:rsidP="00384B20">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754E0169" w14:textId="1EF9FB97" w:rsidR="00384B20" w:rsidRDefault="00384B20" w:rsidP="00384B20">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4C9912AE" w14:textId="5E210157" w:rsidR="00384B20" w:rsidRDefault="00384B20" w:rsidP="00384B2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76E68AA" w14:textId="4F5FACC7" w:rsidR="00384B20" w:rsidRDefault="00384B20" w:rsidP="00384B20">
            <w:pPr>
              <w:jc w:val="right"/>
              <w:rPr>
                <w:color w:val="000000"/>
                <w:sz w:val="20"/>
                <w:szCs w:val="20"/>
              </w:rPr>
            </w:pPr>
            <w:r>
              <w:rPr>
                <w:b/>
                <w:bCs/>
                <w:color w:val="000000"/>
                <w:sz w:val="20"/>
                <w:szCs w:val="20"/>
              </w:rPr>
              <w:t>-0.130</w:t>
            </w:r>
          </w:p>
        </w:tc>
        <w:tc>
          <w:tcPr>
            <w:tcW w:w="768" w:type="dxa"/>
            <w:tcBorders>
              <w:top w:val="nil"/>
              <w:left w:val="nil"/>
              <w:bottom w:val="nil"/>
              <w:right w:val="nil"/>
            </w:tcBorders>
            <w:shd w:val="clear" w:color="auto" w:fill="auto"/>
            <w:noWrap/>
            <w:vAlign w:val="bottom"/>
            <w:hideMark/>
          </w:tcPr>
          <w:p w14:paraId="51B21839" w14:textId="1590C4E8" w:rsidR="00384B20" w:rsidRDefault="00384B20" w:rsidP="00384B20">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8583413" w14:textId="164CD6AA" w:rsidR="00384B20" w:rsidRDefault="00384B20" w:rsidP="00384B20">
            <w:pPr>
              <w:jc w:val="right"/>
              <w:rPr>
                <w:color w:val="000000"/>
                <w:sz w:val="20"/>
                <w:szCs w:val="20"/>
              </w:rPr>
            </w:pPr>
            <w:r>
              <w:rPr>
                <w:b/>
                <w:bCs/>
                <w:color w:val="000000"/>
                <w:sz w:val="20"/>
                <w:szCs w:val="20"/>
              </w:rPr>
              <w:t>0.017</w:t>
            </w:r>
          </w:p>
        </w:tc>
      </w:tr>
      <w:tr w:rsidR="00384B20" w14:paraId="1503C3A0" w14:textId="77777777" w:rsidTr="00FD5355">
        <w:trPr>
          <w:trHeight w:val="320"/>
        </w:trPr>
        <w:tc>
          <w:tcPr>
            <w:tcW w:w="1176" w:type="dxa"/>
            <w:tcBorders>
              <w:top w:val="nil"/>
              <w:left w:val="nil"/>
              <w:bottom w:val="nil"/>
              <w:right w:val="nil"/>
            </w:tcBorders>
            <w:shd w:val="clear" w:color="auto" w:fill="auto"/>
            <w:noWrap/>
            <w:vAlign w:val="bottom"/>
            <w:hideMark/>
          </w:tcPr>
          <w:p w14:paraId="6AE83476"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318A00" w14:textId="77777777" w:rsidR="00384B20" w:rsidRDefault="00384B20" w:rsidP="00384B2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C881B03" w14:textId="092DABE3" w:rsidR="00384B20" w:rsidRDefault="00384B20" w:rsidP="00384B2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C8102F9" w14:textId="6A81F7D3" w:rsidR="00384B20" w:rsidRDefault="00384B20" w:rsidP="00384B20">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7C5C1632" w14:textId="751205AD"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CC7339" w14:textId="34237FDE" w:rsidR="00384B20" w:rsidRDefault="00384B20" w:rsidP="00384B20">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056D43AD" w14:textId="354A345F" w:rsidR="00384B20" w:rsidRDefault="00384B20" w:rsidP="00384B20">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4BCA01F6" w14:textId="6585B8BC" w:rsidR="00384B20" w:rsidRDefault="00384B20" w:rsidP="00384B2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FBA2A76" w14:textId="4A72CB31" w:rsidR="00384B20" w:rsidRDefault="00384B20" w:rsidP="00384B20">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43FBC084" w14:textId="1A628E03" w:rsidR="00384B20" w:rsidRDefault="00384B20" w:rsidP="00384B20">
            <w:pPr>
              <w:jc w:val="right"/>
              <w:rPr>
                <w:color w:val="000000"/>
                <w:sz w:val="20"/>
                <w:szCs w:val="20"/>
              </w:rPr>
            </w:pPr>
            <w:r>
              <w:rPr>
                <w:color w:val="000000"/>
                <w:sz w:val="20"/>
                <w:szCs w:val="20"/>
              </w:rPr>
              <w:t>0.533</w:t>
            </w:r>
          </w:p>
        </w:tc>
        <w:tc>
          <w:tcPr>
            <w:tcW w:w="768" w:type="dxa"/>
            <w:tcBorders>
              <w:top w:val="nil"/>
              <w:left w:val="nil"/>
              <w:bottom w:val="nil"/>
              <w:right w:val="nil"/>
            </w:tcBorders>
            <w:shd w:val="clear" w:color="auto" w:fill="auto"/>
            <w:noWrap/>
            <w:vAlign w:val="bottom"/>
            <w:hideMark/>
          </w:tcPr>
          <w:p w14:paraId="2C156504" w14:textId="4E9C9A28"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BD114DB" w14:textId="7C7ECF97" w:rsidR="00384B20" w:rsidRDefault="00384B20" w:rsidP="00384B2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F19FD8F" w14:textId="0FD15AA2" w:rsidR="00384B20" w:rsidRDefault="00384B20" w:rsidP="00384B20">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13213549" w14:textId="13A15945"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05FF4B" w14:textId="5040080F" w:rsidR="00384B20" w:rsidRDefault="00384B20" w:rsidP="00384B2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D1FCEEB" w14:textId="7046E538" w:rsidR="00384B20" w:rsidRDefault="00384B20" w:rsidP="00384B20">
            <w:pPr>
              <w:jc w:val="right"/>
              <w:rPr>
                <w:color w:val="000000"/>
                <w:sz w:val="20"/>
                <w:szCs w:val="20"/>
              </w:rPr>
            </w:pPr>
            <w:r>
              <w:rPr>
                <w:color w:val="000000"/>
                <w:sz w:val="20"/>
                <w:szCs w:val="20"/>
              </w:rPr>
              <w:t>0.717</w:t>
            </w:r>
          </w:p>
        </w:tc>
        <w:tc>
          <w:tcPr>
            <w:tcW w:w="768" w:type="dxa"/>
            <w:tcBorders>
              <w:top w:val="nil"/>
              <w:left w:val="nil"/>
              <w:bottom w:val="nil"/>
              <w:right w:val="nil"/>
            </w:tcBorders>
            <w:shd w:val="clear" w:color="auto" w:fill="auto"/>
            <w:noWrap/>
            <w:vAlign w:val="bottom"/>
            <w:hideMark/>
          </w:tcPr>
          <w:p w14:paraId="1851CBCA" w14:textId="793D64CF" w:rsidR="00384B20" w:rsidRDefault="00384B20" w:rsidP="00384B20">
            <w:pPr>
              <w:jc w:val="right"/>
              <w:rPr>
                <w:color w:val="000000"/>
                <w:sz w:val="20"/>
                <w:szCs w:val="20"/>
              </w:rPr>
            </w:pPr>
            <w:r>
              <w:rPr>
                <w:color w:val="000000"/>
                <w:sz w:val="20"/>
                <w:szCs w:val="20"/>
              </w:rPr>
              <w:t>0.001</w:t>
            </w:r>
          </w:p>
        </w:tc>
      </w:tr>
      <w:tr w:rsidR="00384B20" w14:paraId="5444A0DB" w14:textId="77777777" w:rsidTr="00FD5355">
        <w:trPr>
          <w:trHeight w:val="320"/>
        </w:trPr>
        <w:tc>
          <w:tcPr>
            <w:tcW w:w="1176" w:type="dxa"/>
            <w:tcBorders>
              <w:top w:val="nil"/>
              <w:left w:val="nil"/>
              <w:bottom w:val="nil"/>
              <w:right w:val="nil"/>
            </w:tcBorders>
            <w:shd w:val="clear" w:color="auto" w:fill="auto"/>
            <w:noWrap/>
            <w:vAlign w:val="bottom"/>
            <w:hideMark/>
          </w:tcPr>
          <w:p w14:paraId="4C74904A"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ED04572" w14:textId="77777777" w:rsidR="00384B20" w:rsidRDefault="00384B20" w:rsidP="00384B2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704E2BC" w14:textId="221C1EF6" w:rsidR="00384B20" w:rsidRDefault="00384B20" w:rsidP="00384B2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17B023D" w14:textId="46828EB7" w:rsidR="00384B20" w:rsidRDefault="00384B20" w:rsidP="00384B20">
            <w:pPr>
              <w:jc w:val="right"/>
              <w:rPr>
                <w:color w:val="000000"/>
                <w:sz w:val="20"/>
                <w:szCs w:val="20"/>
              </w:rPr>
            </w:pPr>
            <w:r>
              <w:rPr>
                <w:color w:val="000000"/>
                <w:sz w:val="20"/>
                <w:szCs w:val="20"/>
              </w:rPr>
              <w:t>0.599</w:t>
            </w:r>
          </w:p>
        </w:tc>
        <w:tc>
          <w:tcPr>
            <w:tcW w:w="768" w:type="dxa"/>
            <w:tcBorders>
              <w:top w:val="nil"/>
              <w:left w:val="nil"/>
              <w:bottom w:val="nil"/>
              <w:right w:val="nil"/>
            </w:tcBorders>
            <w:shd w:val="clear" w:color="auto" w:fill="auto"/>
            <w:noWrap/>
            <w:vAlign w:val="bottom"/>
            <w:hideMark/>
          </w:tcPr>
          <w:p w14:paraId="4711C3FD" w14:textId="23CC6F18"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F9894FC" w14:textId="379E1D3D" w:rsidR="00384B20" w:rsidRDefault="00384B20" w:rsidP="00384B2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6B983361" w14:textId="3F96994F" w:rsidR="00384B20" w:rsidRDefault="00384B20" w:rsidP="00384B20">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48F7F40B" w14:textId="618C03DF"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5A21BC" w14:textId="0CA3BB93" w:rsidR="00384B20" w:rsidRDefault="00384B20" w:rsidP="00384B20">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7BCD1E08" w14:textId="739FD067" w:rsidR="00384B20" w:rsidRDefault="00384B20" w:rsidP="00384B20">
            <w:pPr>
              <w:jc w:val="right"/>
              <w:rPr>
                <w:color w:val="000000"/>
                <w:sz w:val="20"/>
                <w:szCs w:val="20"/>
              </w:rPr>
            </w:pPr>
            <w:r>
              <w:rPr>
                <w:color w:val="000000"/>
                <w:sz w:val="20"/>
                <w:szCs w:val="20"/>
              </w:rPr>
              <w:t>0.533</w:t>
            </w:r>
          </w:p>
        </w:tc>
        <w:tc>
          <w:tcPr>
            <w:tcW w:w="768" w:type="dxa"/>
            <w:tcBorders>
              <w:top w:val="nil"/>
              <w:left w:val="nil"/>
              <w:bottom w:val="nil"/>
              <w:right w:val="nil"/>
            </w:tcBorders>
            <w:shd w:val="clear" w:color="auto" w:fill="auto"/>
            <w:noWrap/>
            <w:vAlign w:val="bottom"/>
            <w:hideMark/>
          </w:tcPr>
          <w:p w14:paraId="0706191D" w14:textId="225F1280"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FFE18EC" w14:textId="4E5DED7F" w:rsidR="00384B20" w:rsidRDefault="00384B20" w:rsidP="00384B20">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220ECFBB" w14:textId="662CA03D" w:rsidR="00384B20" w:rsidRDefault="00384B20" w:rsidP="00384B20">
            <w:pPr>
              <w:jc w:val="right"/>
              <w:rPr>
                <w:color w:val="000000"/>
                <w:sz w:val="20"/>
                <w:szCs w:val="20"/>
              </w:rPr>
            </w:pPr>
            <w:r>
              <w:rPr>
                <w:color w:val="000000"/>
                <w:sz w:val="20"/>
                <w:szCs w:val="20"/>
              </w:rPr>
              <w:t>0.282</w:t>
            </w:r>
          </w:p>
        </w:tc>
        <w:tc>
          <w:tcPr>
            <w:tcW w:w="768" w:type="dxa"/>
            <w:tcBorders>
              <w:top w:val="nil"/>
              <w:left w:val="nil"/>
              <w:bottom w:val="nil"/>
              <w:right w:val="nil"/>
            </w:tcBorders>
            <w:shd w:val="clear" w:color="auto" w:fill="auto"/>
            <w:noWrap/>
            <w:vAlign w:val="bottom"/>
            <w:hideMark/>
          </w:tcPr>
          <w:p w14:paraId="2D44030A" w14:textId="41F30BA5"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53562C3" w14:textId="7792F474" w:rsidR="00384B20" w:rsidRDefault="00384B20" w:rsidP="00384B20">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0C1A9B4D" w14:textId="64C2094D" w:rsidR="00384B20" w:rsidRDefault="00384B20" w:rsidP="00384B20">
            <w:pPr>
              <w:jc w:val="right"/>
              <w:rPr>
                <w:color w:val="000000"/>
                <w:sz w:val="20"/>
                <w:szCs w:val="20"/>
              </w:rPr>
            </w:pPr>
            <w:r>
              <w:rPr>
                <w:color w:val="000000"/>
                <w:sz w:val="20"/>
                <w:szCs w:val="20"/>
              </w:rPr>
              <w:t>0.301</w:t>
            </w:r>
          </w:p>
        </w:tc>
        <w:tc>
          <w:tcPr>
            <w:tcW w:w="768" w:type="dxa"/>
            <w:tcBorders>
              <w:top w:val="nil"/>
              <w:left w:val="nil"/>
              <w:bottom w:val="nil"/>
              <w:right w:val="nil"/>
            </w:tcBorders>
            <w:shd w:val="clear" w:color="auto" w:fill="auto"/>
            <w:noWrap/>
            <w:vAlign w:val="bottom"/>
            <w:hideMark/>
          </w:tcPr>
          <w:p w14:paraId="73C47EE2" w14:textId="29E27542" w:rsidR="00384B20" w:rsidRDefault="00384B20" w:rsidP="00384B20">
            <w:pPr>
              <w:jc w:val="right"/>
              <w:rPr>
                <w:color w:val="000000"/>
                <w:sz w:val="20"/>
                <w:szCs w:val="20"/>
              </w:rPr>
            </w:pPr>
            <w:r>
              <w:rPr>
                <w:color w:val="000000"/>
                <w:sz w:val="20"/>
                <w:szCs w:val="20"/>
              </w:rPr>
              <w:t>0.004</w:t>
            </w:r>
          </w:p>
        </w:tc>
      </w:tr>
      <w:tr w:rsidR="00384B20" w14:paraId="08021E81" w14:textId="77777777" w:rsidTr="00FD5355">
        <w:trPr>
          <w:trHeight w:val="320"/>
        </w:trPr>
        <w:tc>
          <w:tcPr>
            <w:tcW w:w="1176" w:type="dxa"/>
            <w:tcBorders>
              <w:top w:val="nil"/>
              <w:left w:val="nil"/>
              <w:bottom w:val="nil"/>
              <w:right w:val="nil"/>
            </w:tcBorders>
            <w:shd w:val="clear" w:color="auto" w:fill="auto"/>
            <w:noWrap/>
            <w:vAlign w:val="bottom"/>
            <w:hideMark/>
          </w:tcPr>
          <w:p w14:paraId="67DBDC08"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894FD03" w14:textId="77777777" w:rsidR="00384B20" w:rsidRDefault="00384B20" w:rsidP="00384B2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6BB61B1" w14:textId="2BB259E5" w:rsidR="00384B20" w:rsidRDefault="00384B20" w:rsidP="00384B2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D9F71AE" w14:textId="5989B008" w:rsidR="00384B20" w:rsidRDefault="00384B20" w:rsidP="00384B20">
            <w:pPr>
              <w:jc w:val="right"/>
              <w:rPr>
                <w:color w:val="000000"/>
                <w:sz w:val="20"/>
                <w:szCs w:val="20"/>
              </w:rPr>
            </w:pPr>
            <w:r>
              <w:rPr>
                <w:color w:val="000000"/>
                <w:sz w:val="20"/>
                <w:szCs w:val="20"/>
              </w:rPr>
              <w:t>0.599</w:t>
            </w:r>
          </w:p>
        </w:tc>
        <w:tc>
          <w:tcPr>
            <w:tcW w:w="768" w:type="dxa"/>
            <w:tcBorders>
              <w:top w:val="nil"/>
              <w:left w:val="nil"/>
              <w:bottom w:val="nil"/>
              <w:right w:val="nil"/>
            </w:tcBorders>
            <w:shd w:val="clear" w:color="auto" w:fill="auto"/>
            <w:noWrap/>
            <w:vAlign w:val="bottom"/>
            <w:hideMark/>
          </w:tcPr>
          <w:p w14:paraId="48D90AC2" w14:textId="4995775E"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7E998E" w14:textId="5D2C2C40" w:rsidR="00384B20" w:rsidRDefault="00384B20" w:rsidP="00384B20">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18D5B7B4" w14:textId="6291B5B6" w:rsidR="00384B20" w:rsidRDefault="00384B20" w:rsidP="00384B20">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59F52312" w14:textId="714FA9B1"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C4F4999" w14:textId="31C24771" w:rsidR="00384B20" w:rsidRDefault="00384B20" w:rsidP="00384B2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8C7472C" w14:textId="5621ABFA" w:rsidR="00384B20" w:rsidRDefault="00384B20" w:rsidP="00384B20">
            <w:pPr>
              <w:jc w:val="right"/>
              <w:rPr>
                <w:color w:val="000000"/>
                <w:sz w:val="20"/>
                <w:szCs w:val="20"/>
              </w:rPr>
            </w:pPr>
            <w:r>
              <w:rPr>
                <w:color w:val="000000"/>
                <w:sz w:val="20"/>
                <w:szCs w:val="20"/>
              </w:rPr>
              <w:t>0.533</w:t>
            </w:r>
          </w:p>
        </w:tc>
        <w:tc>
          <w:tcPr>
            <w:tcW w:w="768" w:type="dxa"/>
            <w:tcBorders>
              <w:top w:val="nil"/>
              <w:left w:val="nil"/>
              <w:bottom w:val="nil"/>
              <w:right w:val="nil"/>
            </w:tcBorders>
            <w:shd w:val="clear" w:color="auto" w:fill="auto"/>
            <w:noWrap/>
            <w:vAlign w:val="bottom"/>
            <w:hideMark/>
          </w:tcPr>
          <w:p w14:paraId="100265F6" w14:textId="087F2F97"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70E5553" w14:textId="5A0F815E" w:rsidR="00384B20" w:rsidRDefault="00384B20" w:rsidP="00384B2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BEC2B85" w14:textId="5A4C3E2D" w:rsidR="00384B20" w:rsidRDefault="00384B20" w:rsidP="00384B20">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7E4E4309" w14:textId="4E13EA33"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6EB98A" w14:textId="15743300" w:rsidR="00384B20" w:rsidRDefault="00384B20" w:rsidP="00384B20">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01D0B3FC" w14:textId="04307DF5" w:rsidR="00384B20" w:rsidRDefault="00384B20" w:rsidP="00384B20">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3E957DA6" w14:textId="29B4382B" w:rsidR="00384B20" w:rsidRDefault="00384B20" w:rsidP="00384B20">
            <w:pPr>
              <w:jc w:val="right"/>
              <w:rPr>
                <w:color w:val="000000"/>
                <w:sz w:val="20"/>
                <w:szCs w:val="20"/>
              </w:rPr>
            </w:pPr>
            <w:r>
              <w:rPr>
                <w:color w:val="000000"/>
                <w:sz w:val="20"/>
                <w:szCs w:val="20"/>
              </w:rPr>
              <w:t>0.006</w:t>
            </w:r>
          </w:p>
        </w:tc>
      </w:tr>
      <w:tr w:rsidR="00384B20" w14:paraId="7F8E2999" w14:textId="77777777" w:rsidTr="00FD5355">
        <w:trPr>
          <w:trHeight w:val="320"/>
        </w:trPr>
        <w:tc>
          <w:tcPr>
            <w:tcW w:w="1176" w:type="dxa"/>
            <w:tcBorders>
              <w:top w:val="nil"/>
              <w:left w:val="nil"/>
              <w:bottom w:val="nil"/>
              <w:right w:val="nil"/>
            </w:tcBorders>
            <w:shd w:val="clear" w:color="auto" w:fill="auto"/>
            <w:noWrap/>
            <w:vAlign w:val="bottom"/>
            <w:hideMark/>
          </w:tcPr>
          <w:p w14:paraId="5458F322"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37448FF" w14:textId="77777777" w:rsidR="00384B20" w:rsidRDefault="00384B20" w:rsidP="00384B2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F21632F" w14:textId="61D5BAA4" w:rsidR="00384B20" w:rsidRDefault="00384B20" w:rsidP="00384B20">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4EE6E85A" w14:textId="6A462F0A" w:rsidR="00384B20" w:rsidRDefault="00384B20" w:rsidP="00384B20">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0B6C9C37" w14:textId="66CBA7EC" w:rsidR="00384B20" w:rsidRDefault="00384B20" w:rsidP="00384B2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0B1A373" w14:textId="52D01036" w:rsidR="00384B20" w:rsidRDefault="00384B20" w:rsidP="00384B20">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9D858D5" w14:textId="2144794E" w:rsidR="00384B20" w:rsidRDefault="00384B20" w:rsidP="00384B20">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1BD4A5FE" w14:textId="05D1C9BA"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F0C71B" w14:textId="6B2F59B5" w:rsidR="00384B20" w:rsidRDefault="00384B20" w:rsidP="00384B20">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7B133BBC" w14:textId="6E2A303D" w:rsidR="00384B20" w:rsidRDefault="00384B20" w:rsidP="00384B20">
            <w:pPr>
              <w:jc w:val="right"/>
              <w:rPr>
                <w:color w:val="000000"/>
                <w:sz w:val="20"/>
                <w:szCs w:val="20"/>
              </w:rPr>
            </w:pPr>
            <w:r>
              <w:rPr>
                <w:color w:val="000000"/>
                <w:sz w:val="20"/>
                <w:szCs w:val="20"/>
              </w:rPr>
              <w:t>0.533</w:t>
            </w:r>
          </w:p>
        </w:tc>
        <w:tc>
          <w:tcPr>
            <w:tcW w:w="768" w:type="dxa"/>
            <w:tcBorders>
              <w:top w:val="nil"/>
              <w:left w:val="nil"/>
              <w:bottom w:val="nil"/>
              <w:right w:val="nil"/>
            </w:tcBorders>
            <w:shd w:val="clear" w:color="auto" w:fill="auto"/>
            <w:noWrap/>
            <w:vAlign w:val="bottom"/>
            <w:hideMark/>
          </w:tcPr>
          <w:p w14:paraId="2BE78ED6" w14:textId="2D58C4C7"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D5F852D" w14:textId="2A221C55" w:rsidR="00384B20" w:rsidRDefault="00384B20" w:rsidP="00384B20">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0484FC99" w14:textId="65E14D63" w:rsidR="00384B20" w:rsidRDefault="00384B20" w:rsidP="00384B20">
            <w:pPr>
              <w:jc w:val="right"/>
              <w:rPr>
                <w:color w:val="000000"/>
                <w:sz w:val="20"/>
                <w:szCs w:val="20"/>
              </w:rPr>
            </w:pPr>
            <w:r>
              <w:rPr>
                <w:color w:val="000000"/>
                <w:sz w:val="20"/>
                <w:szCs w:val="20"/>
              </w:rPr>
              <w:t>0.282</w:t>
            </w:r>
          </w:p>
        </w:tc>
        <w:tc>
          <w:tcPr>
            <w:tcW w:w="768" w:type="dxa"/>
            <w:tcBorders>
              <w:top w:val="nil"/>
              <w:left w:val="nil"/>
              <w:bottom w:val="nil"/>
              <w:right w:val="nil"/>
            </w:tcBorders>
            <w:shd w:val="clear" w:color="auto" w:fill="auto"/>
            <w:noWrap/>
            <w:vAlign w:val="bottom"/>
            <w:hideMark/>
          </w:tcPr>
          <w:p w14:paraId="7CDB26C3" w14:textId="58ECA1BF"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E6AF4FB" w14:textId="453C9B4F" w:rsidR="00384B20" w:rsidRDefault="00384B20" w:rsidP="00384B20">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684541FC" w14:textId="5FFB833F" w:rsidR="00384B20" w:rsidRDefault="00384B20" w:rsidP="00384B20">
            <w:pPr>
              <w:jc w:val="right"/>
              <w:rPr>
                <w:color w:val="000000"/>
                <w:sz w:val="20"/>
                <w:szCs w:val="20"/>
              </w:rPr>
            </w:pPr>
            <w:r>
              <w:rPr>
                <w:color w:val="000000"/>
                <w:sz w:val="20"/>
                <w:szCs w:val="20"/>
              </w:rPr>
              <w:t>0.648</w:t>
            </w:r>
          </w:p>
        </w:tc>
        <w:tc>
          <w:tcPr>
            <w:tcW w:w="768" w:type="dxa"/>
            <w:tcBorders>
              <w:top w:val="nil"/>
              <w:left w:val="nil"/>
              <w:bottom w:val="nil"/>
              <w:right w:val="nil"/>
            </w:tcBorders>
            <w:shd w:val="clear" w:color="auto" w:fill="auto"/>
            <w:noWrap/>
            <w:vAlign w:val="bottom"/>
            <w:hideMark/>
          </w:tcPr>
          <w:p w14:paraId="440143AD" w14:textId="0EE67AC6" w:rsidR="00384B20" w:rsidRDefault="00384B20" w:rsidP="00384B20">
            <w:pPr>
              <w:jc w:val="right"/>
              <w:rPr>
                <w:color w:val="000000"/>
                <w:sz w:val="20"/>
                <w:szCs w:val="20"/>
              </w:rPr>
            </w:pPr>
            <w:r>
              <w:rPr>
                <w:color w:val="000000"/>
                <w:sz w:val="20"/>
                <w:szCs w:val="20"/>
              </w:rPr>
              <w:t>0.001</w:t>
            </w:r>
          </w:p>
        </w:tc>
      </w:tr>
      <w:tr w:rsidR="00384B20" w14:paraId="75279AED" w14:textId="77777777" w:rsidTr="00FD5355">
        <w:trPr>
          <w:trHeight w:val="320"/>
        </w:trPr>
        <w:tc>
          <w:tcPr>
            <w:tcW w:w="1176" w:type="dxa"/>
            <w:tcBorders>
              <w:top w:val="nil"/>
              <w:left w:val="nil"/>
              <w:bottom w:val="nil"/>
              <w:right w:val="nil"/>
            </w:tcBorders>
            <w:shd w:val="clear" w:color="auto" w:fill="auto"/>
            <w:noWrap/>
            <w:vAlign w:val="bottom"/>
            <w:hideMark/>
          </w:tcPr>
          <w:p w14:paraId="0BDEC60D"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C6090C0" w14:textId="77777777" w:rsidR="00384B20" w:rsidRDefault="00384B20" w:rsidP="00384B2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F9E0027" w14:textId="25FBA4F0" w:rsidR="00384B20" w:rsidRDefault="00384B20" w:rsidP="00384B20">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B7888F3" w14:textId="2C478AF7" w:rsidR="00384B20" w:rsidRDefault="00384B20" w:rsidP="00384B20">
            <w:pPr>
              <w:jc w:val="right"/>
              <w:rPr>
                <w:color w:val="000000"/>
                <w:sz w:val="20"/>
                <w:szCs w:val="20"/>
              </w:rPr>
            </w:pPr>
            <w:r>
              <w:rPr>
                <w:color w:val="000000"/>
                <w:sz w:val="20"/>
                <w:szCs w:val="20"/>
              </w:rPr>
              <w:t>0.599</w:t>
            </w:r>
          </w:p>
        </w:tc>
        <w:tc>
          <w:tcPr>
            <w:tcW w:w="768" w:type="dxa"/>
            <w:tcBorders>
              <w:top w:val="nil"/>
              <w:left w:val="nil"/>
              <w:bottom w:val="nil"/>
              <w:right w:val="nil"/>
            </w:tcBorders>
            <w:shd w:val="clear" w:color="auto" w:fill="auto"/>
            <w:noWrap/>
            <w:vAlign w:val="bottom"/>
            <w:hideMark/>
          </w:tcPr>
          <w:p w14:paraId="2A2A8F45" w14:textId="6BE7EF0E"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DC71E5C" w14:textId="7316E1C8" w:rsidR="00384B20" w:rsidRDefault="00384B20" w:rsidP="00384B2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1AE49687" w14:textId="7990F765" w:rsidR="00384B20" w:rsidRDefault="00384B20" w:rsidP="00384B20">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4E6F6A1F" w14:textId="6175A4F9"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470021" w14:textId="2A7AD5B9"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DCB5CC" w14:textId="6FB2ABAC" w:rsidR="00384B20" w:rsidRDefault="00384B20" w:rsidP="00384B20">
            <w:pPr>
              <w:jc w:val="right"/>
              <w:rPr>
                <w:color w:val="000000"/>
                <w:sz w:val="20"/>
                <w:szCs w:val="20"/>
              </w:rPr>
            </w:pPr>
            <w:r>
              <w:rPr>
                <w:color w:val="000000"/>
                <w:sz w:val="20"/>
                <w:szCs w:val="20"/>
              </w:rPr>
              <w:t>0.998</w:t>
            </w:r>
          </w:p>
        </w:tc>
        <w:tc>
          <w:tcPr>
            <w:tcW w:w="768" w:type="dxa"/>
            <w:tcBorders>
              <w:top w:val="nil"/>
              <w:left w:val="nil"/>
              <w:bottom w:val="nil"/>
              <w:right w:val="nil"/>
            </w:tcBorders>
            <w:shd w:val="clear" w:color="auto" w:fill="auto"/>
            <w:noWrap/>
            <w:vAlign w:val="bottom"/>
            <w:hideMark/>
          </w:tcPr>
          <w:p w14:paraId="2F373BB6" w14:textId="67BB7E9E"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FA7E78" w14:textId="45C5F621" w:rsidR="00384B20" w:rsidRDefault="00384B20" w:rsidP="00384B2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8D2BB21" w14:textId="10863C86" w:rsidR="00384B20" w:rsidRDefault="00384B20" w:rsidP="00384B20">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5761AC71" w14:textId="2BEF2D9C"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214184" w14:textId="7B175AB8" w:rsidR="00384B20" w:rsidRDefault="00384B20" w:rsidP="00384B2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6BDB5651" w14:textId="071DD26B" w:rsidR="00384B20" w:rsidRDefault="00384B20" w:rsidP="00384B20">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588B5ACF" w14:textId="011CF38D" w:rsidR="00384B20" w:rsidRDefault="00384B20" w:rsidP="00384B20">
            <w:pPr>
              <w:jc w:val="right"/>
              <w:rPr>
                <w:color w:val="000000"/>
                <w:sz w:val="20"/>
                <w:szCs w:val="20"/>
              </w:rPr>
            </w:pPr>
            <w:r>
              <w:rPr>
                <w:color w:val="000000"/>
                <w:sz w:val="20"/>
                <w:szCs w:val="20"/>
              </w:rPr>
              <w:t>0.000</w:t>
            </w:r>
          </w:p>
        </w:tc>
      </w:tr>
      <w:tr w:rsidR="00384B20" w14:paraId="17240A64" w14:textId="77777777" w:rsidTr="00FD5355">
        <w:trPr>
          <w:trHeight w:val="320"/>
        </w:trPr>
        <w:tc>
          <w:tcPr>
            <w:tcW w:w="1176" w:type="dxa"/>
            <w:tcBorders>
              <w:top w:val="nil"/>
              <w:left w:val="nil"/>
              <w:bottom w:val="single" w:sz="4" w:space="0" w:color="auto"/>
              <w:right w:val="nil"/>
            </w:tcBorders>
            <w:shd w:val="clear" w:color="auto" w:fill="auto"/>
            <w:noWrap/>
            <w:vAlign w:val="bottom"/>
            <w:hideMark/>
          </w:tcPr>
          <w:p w14:paraId="0B6F6D3D" w14:textId="77777777" w:rsidR="00384B20" w:rsidRDefault="00384B20" w:rsidP="00384B2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CBE6971" w14:textId="77777777" w:rsidR="00384B20" w:rsidRDefault="00384B20" w:rsidP="00384B2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FDFFB4D" w14:textId="07BDD732" w:rsidR="00384B20" w:rsidRDefault="00384B20" w:rsidP="00384B20">
            <w:pPr>
              <w:jc w:val="right"/>
              <w:rPr>
                <w:color w:val="000000"/>
                <w:sz w:val="20"/>
                <w:szCs w:val="20"/>
              </w:rPr>
            </w:pPr>
            <w:r>
              <w:rPr>
                <w:color w:val="000000"/>
                <w:sz w:val="20"/>
                <w:szCs w:val="20"/>
              </w:rPr>
              <w:t>-0.061</w:t>
            </w:r>
          </w:p>
        </w:tc>
        <w:tc>
          <w:tcPr>
            <w:tcW w:w="768" w:type="dxa"/>
            <w:tcBorders>
              <w:top w:val="nil"/>
              <w:left w:val="nil"/>
              <w:bottom w:val="single" w:sz="4" w:space="0" w:color="auto"/>
              <w:right w:val="nil"/>
            </w:tcBorders>
            <w:shd w:val="clear" w:color="auto" w:fill="auto"/>
            <w:noWrap/>
            <w:vAlign w:val="bottom"/>
            <w:hideMark/>
          </w:tcPr>
          <w:p w14:paraId="0EB89E5B" w14:textId="169DF4D6" w:rsidR="00384B20" w:rsidRDefault="00384B20" w:rsidP="00384B20">
            <w:pPr>
              <w:jc w:val="right"/>
              <w:rPr>
                <w:color w:val="000000"/>
                <w:sz w:val="20"/>
                <w:szCs w:val="20"/>
              </w:rPr>
            </w:pPr>
            <w:r>
              <w:rPr>
                <w:color w:val="000000"/>
                <w:sz w:val="20"/>
                <w:szCs w:val="20"/>
              </w:rPr>
              <w:t>0.368</w:t>
            </w:r>
          </w:p>
        </w:tc>
        <w:tc>
          <w:tcPr>
            <w:tcW w:w="768" w:type="dxa"/>
            <w:tcBorders>
              <w:top w:val="nil"/>
              <w:left w:val="nil"/>
              <w:bottom w:val="single" w:sz="4" w:space="0" w:color="auto"/>
              <w:right w:val="nil"/>
            </w:tcBorders>
            <w:shd w:val="clear" w:color="auto" w:fill="auto"/>
            <w:noWrap/>
            <w:vAlign w:val="bottom"/>
            <w:hideMark/>
          </w:tcPr>
          <w:p w14:paraId="5B9FB351" w14:textId="0EA1EE46" w:rsidR="00384B20" w:rsidRDefault="00384B20" w:rsidP="00384B20">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18AF155A" w14:textId="7E8D6FD9" w:rsidR="00384B20" w:rsidRDefault="00384B20" w:rsidP="00384B20">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0FD2D8E4" w14:textId="549CAB4B" w:rsidR="00384B20" w:rsidRDefault="00384B20" w:rsidP="00384B20">
            <w:pPr>
              <w:jc w:val="right"/>
              <w:rPr>
                <w:color w:val="000000"/>
                <w:sz w:val="20"/>
                <w:szCs w:val="20"/>
              </w:rPr>
            </w:pPr>
            <w:r>
              <w:rPr>
                <w:color w:val="000000"/>
                <w:sz w:val="20"/>
                <w:szCs w:val="20"/>
              </w:rPr>
              <w:t>0.790</w:t>
            </w:r>
          </w:p>
        </w:tc>
        <w:tc>
          <w:tcPr>
            <w:tcW w:w="768" w:type="dxa"/>
            <w:tcBorders>
              <w:top w:val="nil"/>
              <w:left w:val="nil"/>
              <w:bottom w:val="single" w:sz="4" w:space="0" w:color="auto"/>
              <w:right w:val="nil"/>
            </w:tcBorders>
            <w:shd w:val="clear" w:color="auto" w:fill="auto"/>
            <w:noWrap/>
            <w:vAlign w:val="bottom"/>
            <w:hideMark/>
          </w:tcPr>
          <w:p w14:paraId="26D76956" w14:textId="34BDD8B1"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0F0DF29" w14:textId="0760AEB2" w:rsidR="00384B20" w:rsidRDefault="00384B20" w:rsidP="00384B20">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23ADF659" w14:textId="51011217" w:rsidR="00384B20" w:rsidRDefault="00384B20" w:rsidP="00384B20">
            <w:pPr>
              <w:jc w:val="right"/>
              <w:rPr>
                <w:color w:val="000000"/>
                <w:sz w:val="20"/>
                <w:szCs w:val="20"/>
              </w:rPr>
            </w:pPr>
            <w:r>
              <w:rPr>
                <w:color w:val="000000"/>
                <w:sz w:val="20"/>
                <w:szCs w:val="20"/>
              </w:rPr>
              <w:t>0.533</w:t>
            </w:r>
          </w:p>
        </w:tc>
        <w:tc>
          <w:tcPr>
            <w:tcW w:w="768" w:type="dxa"/>
            <w:tcBorders>
              <w:top w:val="nil"/>
              <w:left w:val="nil"/>
              <w:bottom w:val="single" w:sz="4" w:space="0" w:color="auto"/>
              <w:right w:val="nil"/>
            </w:tcBorders>
            <w:shd w:val="clear" w:color="auto" w:fill="auto"/>
            <w:noWrap/>
            <w:vAlign w:val="bottom"/>
            <w:hideMark/>
          </w:tcPr>
          <w:p w14:paraId="63D06EA0" w14:textId="2E8E40A5"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E30D61A" w14:textId="5EC16F42" w:rsidR="00384B20" w:rsidRDefault="00384B20" w:rsidP="00384B20">
            <w:pPr>
              <w:jc w:val="right"/>
              <w:rPr>
                <w:color w:val="000000"/>
                <w:sz w:val="20"/>
                <w:szCs w:val="20"/>
              </w:rPr>
            </w:pPr>
            <w:r>
              <w:rPr>
                <w:color w:val="000000"/>
                <w:sz w:val="20"/>
                <w:szCs w:val="20"/>
              </w:rPr>
              <w:t>-0.090</w:t>
            </w:r>
          </w:p>
        </w:tc>
        <w:tc>
          <w:tcPr>
            <w:tcW w:w="768" w:type="dxa"/>
            <w:tcBorders>
              <w:top w:val="nil"/>
              <w:left w:val="nil"/>
              <w:bottom w:val="single" w:sz="4" w:space="0" w:color="auto"/>
              <w:right w:val="nil"/>
            </w:tcBorders>
            <w:shd w:val="clear" w:color="auto" w:fill="auto"/>
            <w:noWrap/>
            <w:vAlign w:val="bottom"/>
            <w:hideMark/>
          </w:tcPr>
          <w:p w14:paraId="42928574" w14:textId="59DCA1C0" w:rsidR="00384B20" w:rsidRDefault="00384B20" w:rsidP="00384B20">
            <w:pPr>
              <w:jc w:val="right"/>
              <w:rPr>
                <w:color w:val="000000"/>
                <w:sz w:val="20"/>
                <w:szCs w:val="20"/>
              </w:rPr>
            </w:pPr>
            <w:r>
              <w:rPr>
                <w:color w:val="000000"/>
                <w:sz w:val="20"/>
                <w:szCs w:val="20"/>
              </w:rPr>
              <w:t>0.132</w:t>
            </w:r>
          </w:p>
        </w:tc>
        <w:tc>
          <w:tcPr>
            <w:tcW w:w="768" w:type="dxa"/>
            <w:tcBorders>
              <w:top w:val="nil"/>
              <w:left w:val="nil"/>
              <w:bottom w:val="single" w:sz="4" w:space="0" w:color="auto"/>
              <w:right w:val="nil"/>
            </w:tcBorders>
            <w:shd w:val="clear" w:color="auto" w:fill="auto"/>
            <w:noWrap/>
            <w:vAlign w:val="bottom"/>
            <w:hideMark/>
          </w:tcPr>
          <w:p w14:paraId="0A167D19" w14:textId="37E513AA" w:rsidR="00384B20" w:rsidRDefault="00384B20" w:rsidP="00384B20">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1BC9E646" w14:textId="571121F8" w:rsidR="00384B20" w:rsidRDefault="00384B20" w:rsidP="00384B20">
            <w:pPr>
              <w:jc w:val="right"/>
              <w:rPr>
                <w:color w:val="000000"/>
                <w:sz w:val="20"/>
                <w:szCs w:val="20"/>
              </w:rPr>
            </w:pPr>
            <w:r>
              <w:rPr>
                <w:color w:val="000000"/>
                <w:sz w:val="20"/>
                <w:szCs w:val="20"/>
              </w:rPr>
              <w:t>0.064</w:t>
            </w:r>
          </w:p>
        </w:tc>
        <w:tc>
          <w:tcPr>
            <w:tcW w:w="768" w:type="dxa"/>
            <w:tcBorders>
              <w:top w:val="nil"/>
              <w:left w:val="nil"/>
              <w:bottom w:val="single" w:sz="4" w:space="0" w:color="auto"/>
              <w:right w:val="nil"/>
            </w:tcBorders>
            <w:shd w:val="clear" w:color="auto" w:fill="auto"/>
            <w:noWrap/>
            <w:vAlign w:val="bottom"/>
            <w:hideMark/>
          </w:tcPr>
          <w:p w14:paraId="2B93DC21" w14:textId="0872AFF3" w:rsidR="00384B20" w:rsidRDefault="00384B20" w:rsidP="00384B20">
            <w:pPr>
              <w:jc w:val="right"/>
              <w:rPr>
                <w:color w:val="000000"/>
                <w:sz w:val="20"/>
                <w:szCs w:val="20"/>
              </w:rPr>
            </w:pPr>
            <w:r>
              <w:rPr>
                <w:color w:val="000000"/>
                <w:sz w:val="20"/>
                <w:szCs w:val="20"/>
              </w:rPr>
              <w:t>0.324</w:t>
            </w:r>
          </w:p>
        </w:tc>
        <w:tc>
          <w:tcPr>
            <w:tcW w:w="768" w:type="dxa"/>
            <w:tcBorders>
              <w:top w:val="nil"/>
              <w:left w:val="nil"/>
              <w:bottom w:val="single" w:sz="4" w:space="0" w:color="auto"/>
              <w:right w:val="nil"/>
            </w:tcBorders>
            <w:shd w:val="clear" w:color="auto" w:fill="auto"/>
            <w:noWrap/>
            <w:vAlign w:val="bottom"/>
            <w:hideMark/>
          </w:tcPr>
          <w:p w14:paraId="6270A984" w14:textId="2579632F" w:rsidR="00384B20" w:rsidRDefault="00384B20" w:rsidP="00384B20">
            <w:pPr>
              <w:jc w:val="right"/>
              <w:rPr>
                <w:color w:val="000000"/>
                <w:sz w:val="20"/>
                <w:szCs w:val="20"/>
              </w:rPr>
            </w:pPr>
            <w:r>
              <w:rPr>
                <w:color w:val="000000"/>
                <w:sz w:val="20"/>
                <w:szCs w:val="20"/>
              </w:rPr>
              <w:t>0.004</w:t>
            </w:r>
          </w:p>
        </w:tc>
      </w:tr>
      <w:tr w:rsidR="00384B20" w14:paraId="493D4AE0" w14:textId="77777777" w:rsidTr="00FD5355">
        <w:trPr>
          <w:trHeight w:val="320"/>
        </w:trPr>
        <w:tc>
          <w:tcPr>
            <w:tcW w:w="1176" w:type="dxa"/>
            <w:tcBorders>
              <w:top w:val="nil"/>
              <w:left w:val="nil"/>
              <w:bottom w:val="nil"/>
              <w:right w:val="nil"/>
            </w:tcBorders>
            <w:shd w:val="clear" w:color="auto" w:fill="auto"/>
            <w:noWrap/>
            <w:vAlign w:val="bottom"/>
            <w:hideMark/>
          </w:tcPr>
          <w:p w14:paraId="5CAF6535" w14:textId="77777777" w:rsidR="00384B20" w:rsidRDefault="00384B20" w:rsidP="00384B20">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4FCA9C03" w14:textId="77777777" w:rsidR="00384B20" w:rsidRDefault="00384B20" w:rsidP="00384B2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ACFFF4D" w14:textId="47F027FF" w:rsidR="00384B20" w:rsidRDefault="00384B20" w:rsidP="00384B20">
            <w:pPr>
              <w:jc w:val="right"/>
              <w:rPr>
                <w:b/>
                <w:bCs/>
                <w:color w:val="000000"/>
                <w:sz w:val="20"/>
                <w:szCs w:val="20"/>
              </w:rPr>
            </w:pPr>
            <w:r>
              <w:rPr>
                <w:b/>
                <w:bCs/>
                <w:color w:val="000000"/>
                <w:sz w:val="20"/>
                <w:szCs w:val="20"/>
              </w:rPr>
              <w:t>-0.088</w:t>
            </w:r>
          </w:p>
        </w:tc>
        <w:tc>
          <w:tcPr>
            <w:tcW w:w="768" w:type="dxa"/>
            <w:tcBorders>
              <w:top w:val="nil"/>
              <w:left w:val="nil"/>
              <w:bottom w:val="nil"/>
              <w:right w:val="nil"/>
            </w:tcBorders>
            <w:shd w:val="clear" w:color="auto" w:fill="auto"/>
            <w:noWrap/>
            <w:vAlign w:val="bottom"/>
            <w:hideMark/>
          </w:tcPr>
          <w:p w14:paraId="0881E925" w14:textId="7300C201" w:rsidR="00384B20" w:rsidRDefault="00384B20" w:rsidP="00384B20">
            <w:pPr>
              <w:jc w:val="right"/>
              <w:rPr>
                <w:b/>
                <w:bCs/>
                <w:color w:val="000000"/>
                <w:sz w:val="20"/>
                <w:szCs w:val="20"/>
              </w:rPr>
            </w:pPr>
            <w:r>
              <w:rPr>
                <w:b/>
                <w:bCs/>
                <w:color w:val="000000"/>
                <w:sz w:val="20"/>
                <w:szCs w:val="20"/>
              </w:rPr>
              <w:t>0.043</w:t>
            </w:r>
          </w:p>
        </w:tc>
        <w:tc>
          <w:tcPr>
            <w:tcW w:w="768" w:type="dxa"/>
            <w:tcBorders>
              <w:top w:val="nil"/>
              <w:left w:val="nil"/>
              <w:bottom w:val="nil"/>
              <w:right w:val="nil"/>
            </w:tcBorders>
            <w:shd w:val="clear" w:color="auto" w:fill="auto"/>
            <w:noWrap/>
            <w:vAlign w:val="bottom"/>
            <w:hideMark/>
          </w:tcPr>
          <w:p w14:paraId="7AD9DE72" w14:textId="7C73A001" w:rsidR="00384B20" w:rsidRDefault="00384B20" w:rsidP="00384B20">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1337A97D" w14:textId="55A703BC" w:rsidR="00384B20" w:rsidRDefault="00384B20" w:rsidP="00384B2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96DCD71" w14:textId="59AB9F98" w:rsidR="00384B20" w:rsidRDefault="00384B20" w:rsidP="00384B20">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646F4842" w14:textId="7EDE328D"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33EE83" w14:textId="7BA6137A"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F51C599" w14:textId="79C20C2D" w:rsidR="00384B20" w:rsidRDefault="00384B20" w:rsidP="00384B20">
            <w:pPr>
              <w:jc w:val="right"/>
              <w:rPr>
                <w:color w:val="000000"/>
                <w:sz w:val="20"/>
                <w:szCs w:val="20"/>
              </w:rPr>
            </w:pPr>
            <w:r>
              <w:rPr>
                <w:color w:val="000000"/>
                <w:sz w:val="20"/>
                <w:szCs w:val="20"/>
              </w:rPr>
              <w:t>0.956</w:t>
            </w:r>
          </w:p>
        </w:tc>
        <w:tc>
          <w:tcPr>
            <w:tcW w:w="768" w:type="dxa"/>
            <w:tcBorders>
              <w:top w:val="nil"/>
              <w:left w:val="nil"/>
              <w:bottom w:val="nil"/>
              <w:right w:val="nil"/>
            </w:tcBorders>
            <w:shd w:val="clear" w:color="auto" w:fill="auto"/>
            <w:noWrap/>
            <w:vAlign w:val="bottom"/>
            <w:hideMark/>
          </w:tcPr>
          <w:p w14:paraId="4F16464A" w14:textId="315FF209"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935834" w14:textId="3043C9F1" w:rsidR="00384B20" w:rsidRDefault="00384B20" w:rsidP="00384B20">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43AB9C21" w14:textId="29162F87" w:rsidR="00384B20" w:rsidRDefault="00384B20" w:rsidP="00384B20">
            <w:pPr>
              <w:jc w:val="right"/>
              <w:rPr>
                <w:color w:val="000000"/>
                <w:sz w:val="20"/>
                <w:szCs w:val="20"/>
              </w:rPr>
            </w:pPr>
            <w:r>
              <w:rPr>
                <w:color w:val="000000"/>
                <w:sz w:val="20"/>
                <w:szCs w:val="20"/>
              </w:rPr>
              <w:t>0.165</w:t>
            </w:r>
          </w:p>
        </w:tc>
        <w:tc>
          <w:tcPr>
            <w:tcW w:w="768" w:type="dxa"/>
            <w:tcBorders>
              <w:top w:val="nil"/>
              <w:left w:val="nil"/>
              <w:bottom w:val="nil"/>
              <w:right w:val="nil"/>
            </w:tcBorders>
            <w:shd w:val="clear" w:color="auto" w:fill="auto"/>
            <w:noWrap/>
            <w:vAlign w:val="bottom"/>
            <w:hideMark/>
          </w:tcPr>
          <w:p w14:paraId="299184A4" w14:textId="0F2FA9FB" w:rsidR="00384B20" w:rsidRDefault="00384B20" w:rsidP="00384B2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E9A5B92" w14:textId="28A03902" w:rsidR="00384B20" w:rsidRDefault="00384B20" w:rsidP="00384B2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2B7E1A2" w14:textId="147B7462" w:rsidR="00384B20" w:rsidRDefault="00384B20" w:rsidP="00384B20">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3357C56A" w14:textId="4C5AA403" w:rsidR="00384B20" w:rsidRDefault="00384B20" w:rsidP="00384B20">
            <w:pPr>
              <w:jc w:val="right"/>
              <w:rPr>
                <w:color w:val="000000"/>
                <w:sz w:val="20"/>
                <w:szCs w:val="20"/>
              </w:rPr>
            </w:pPr>
            <w:r>
              <w:rPr>
                <w:color w:val="000000"/>
                <w:sz w:val="20"/>
                <w:szCs w:val="20"/>
              </w:rPr>
              <w:t>0.000</w:t>
            </w:r>
          </w:p>
        </w:tc>
      </w:tr>
      <w:tr w:rsidR="00384B20" w14:paraId="20957DF8" w14:textId="77777777" w:rsidTr="00FD5355">
        <w:trPr>
          <w:trHeight w:val="320"/>
        </w:trPr>
        <w:tc>
          <w:tcPr>
            <w:tcW w:w="1176" w:type="dxa"/>
            <w:tcBorders>
              <w:top w:val="nil"/>
              <w:left w:val="nil"/>
              <w:bottom w:val="nil"/>
              <w:right w:val="nil"/>
            </w:tcBorders>
            <w:shd w:val="clear" w:color="auto" w:fill="auto"/>
            <w:noWrap/>
            <w:vAlign w:val="bottom"/>
            <w:hideMark/>
          </w:tcPr>
          <w:p w14:paraId="4F6E4545"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64565C" w14:textId="77777777" w:rsidR="00384B20" w:rsidRDefault="00384B20" w:rsidP="00384B2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851EFA6" w14:textId="23357481" w:rsidR="00384B20" w:rsidRDefault="00384B20" w:rsidP="00384B20">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A63802E" w14:textId="62460C36" w:rsidR="00384B20" w:rsidRDefault="00384B20" w:rsidP="00384B20">
            <w:pPr>
              <w:jc w:val="right"/>
              <w:rPr>
                <w:color w:val="000000"/>
                <w:sz w:val="20"/>
                <w:szCs w:val="20"/>
              </w:rPr>
            </w:pPr>
            <w:r>
              <w:rPr>
                <w:color w:val="000000"/>
                <w:sz w:val="20"/>
                <w:szCs w:val="20"/>
              </w:rPr>
              <w:t>0.402</w:t>
            </w:r>
          </w:p>
        </w:tc>
        <w:tc>
          <w:tcPr>
            <w:tcW w:w="768" w:type="dxa"/>
            <w:tcBorders>
              <w:top w:val="nil"/>
              <w:left w:val="nil"/>
              <w:bottom w:val="nil"/>
              <w:right w:val="nil"/>
            </w:tcBorders>
            <w:shd w:val="clear" w:color="auto" w:fill="auto"/>
            <w:noWrap/>
            <w:vAlign w:val="bottom"/>
            <w:hideMark/>
          </w:tcPr>
          <w:p w14:paraId="06394C7E" w14:textId="629A64D2"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3820D7" w14:textId="11C2ED65" w:rsidR="00384B20" w:rsidRDefault="00384B20" w:rsidP="00384B20">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0750B23F" w14:textId="468598F0" w:rsidR="00384B20" w:rsidRDefault="00384B20" w:rsidP="00384B20">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3DD2E212" w14:textId="20A77D57"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379571" w14:textId="573597C7" w:rsidR="00384B20" w:rsidRDefault="00384B20" w:rsidP="00384B2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56D0624" w14:textId="02ABA963" w:rsidR="00384B20" w:rsidRDefault="00384B20" w:rsidP="00384B20">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129150BF" w14:textId="77D8A183"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D375AB" w14:textId="74B4055B" w:rsidR="00384B20" w:rsidRDefault="00384B20" w:rsidP="00384B20">
            <w:pPr>
              <w:jc w:val="right"/>
              <w:rPr>
                <w:b/>
                <w:bCs/>
                <w:color w:val="000000"/>
                <w:sz w:val="20"/>
                <w:szCs w:val="20"/>
              </w:rPr>
            </w:pPr>
            <w:r>
              <w:rPr>
                <w:b/>
                <w:bCs/>
                <w:color w:val="000000"/>
                <w:sz w:val="20"/>
                <w:szCs w:val="20"/>
              </w:rPr>
              <w:t>0.103</w:t>
            </w:r>
          </w:p>
        </w:tc>
        <w:tc>
          <w:tcPr>
            <w:tcW w:w="768" w:type="dxa"/>
            <w:tcBorders>
              <w:top w:val="nil"/>
              <w:left w:val="nil"/>
              <w:bottom w:val="nil"/>
              <w:right w:val="nil"/>
            </w:tcBorders>
            <w:shd w:val="clear" w:color="auto" w:fill="auto"/>
            <w:noWrap/>
            <w:vAlign w:val="bottom"/>
            <w:hideMark/>
          </w:tcPr>
          <w:p w14:paraId="2A56097F" w14:textId="29B1BAAD" w:rsidR="00384B20" w:rsidRDefault="00384B20" w:rsidP="00384B20">
            <w:pPr>
              <w:jc w:val="right"/>
              <w:rPr>
                <w:b/>
                <w:bCs/>
                <w:color w:val="000000"/>
                <w:sz w:val="20"/>
                <w:szCs w:val="20"/>
              </w:rPr>
            </w:pPr>
            <w:r>
              <w:rPr>
                <w:b/>
                <w:bCs/>
                <w:color w:val="000000"/>
                <w:sz w:val="20"/>
                <w:szCs w:val="20"/>
              </w:rPr>
              <w:t>0.036</w:t>
            </w:r>
          </w:p>
        </w:tc>
        <w:tc>
          <w:tcPr>
            <w:tcW w:w="768" w:type="dxa"/>
            <w:tcBorders>
              <w:top w:val="nil"/>
              <w:left w:val="nil"/>
              <w:bottom w:val="nil"/>
              <w:right w:val="nil"/>
            </w:tcBorders>
            <w:shd w:val="clear" w:color="auto" w:fill="auto"/>
            <w:noWrap/>
            <w:vAlign w:val="bottom"/>
            <w:hideMark/>
          </w:tcPr>
          <w:p w14:paraId="41B72806" w14:textId="6EE3731F" w:rsidR="00384B20" w:rsidRDefault="00384B20" w:rsidP="00384B20">
            <w:pPr>
              <w:jc w:val="right"/>
              <w:rPr>
                <w:color w:val="000000"/>
                <w:sz w:val="20"/>
                <w:szCs w:val="20"/>
              </w:rPr>
            </w:pPr>
            <w:r>
              <w:rPr>
                <w:b/>
                <w:bCs/>
                <w:color w:val="000000"/>
                <w:sz w:val="20"/>
                <w:szCs w:val="20"/>
              </w:rPr>
              <w:t>0.011</w:t>
            </w:r>
          </w:p>
        </w:tc>
        <w:tc>
          <w:tcPr>
            <w:tcW w:w="768" w:type="dxa"/>
            <w:tcBorders>
              <w:top w:val="nil"/>
              <w:left w:val="nil"/>
              <w:bottom w:val="nil"/>
              <w:right w:val="nil"/>
            </w:tcBorders>
            <w:shd w:val="clear" w:color="auto" w:fill="auto"/>
            <w:noWrap/>
            <w:vAlign w:val="bottom"/>
            <w:hideMark/>
          </w:tcPr>
          <w:p w14:paraId="2A8754AF" w14:textId="5576E5F3" w:rsidR="00384B20" w:rsidRDefault="00384B20" w:rsidP="00384B20">
            <w:pPr>
              <w:jc w:val="right"/>
              <w:rPr>
                <w:b/>
                <w:bCs/>
                <w:color w:val="000000"/>
                <w:sz w:val="20"/>
                <w:szCs w:val="20"/>
              </w:rPr>
            </w:pPr>
            <w:r>
              <w:rPr>
                <w:b/>
                <w:bCs/>
                <w:color w:val="000000"/>
                <w:sz w:val="20"/>
                <w:szCs w:val="20"/>
              </w:rPr>
              <w:t>-0.125</w:t>
            </w:r>
          </w:p>
        </w:tc>
        <w:tc>
          <w:tcPr>
            <w:tcW w:w="768" w:type="dxa"/>
            <w:tcBorders>
              <w:top w:val="nil"/>
              <w:left w:val="nil"/>
              <w:bottom w:val="nil"/>
              <w:right w:val="nil"/>
            </w:tcBorders>
            <w:shd w:val="clear" w:color="auto" w:fill="auto"/>
            <w:noWrap/>
            <w:vAlign w:val="bottom"/>
            <w:hideMark/>
          </w:tcPr>
          <w:p w14:paraId="24C883A2" w14:textId="090C6AFA" w:rsidR="00384B20" w:rsidRDefault="00384B20" w:rsidP="00384B20">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3B6EB153" w14:textId="4C7CEF87" w:rsidR="00384B20" w:rsidRDefault="00384B20" w:rsidP="00384B20">
            <w:pPr>
              <w:jc w:val="right"/>
              <w:rPr>
                <w:color w:val="000000"/>
                <w:sz w:val="20"/>
                <w:szCs w:val="20"/>
              </w:rPr>
            </w:pPr>
            <w:r>
              <w:rPr>
                <w:b/>
                <w:bCs/>
                <w:color w:val="000000"/>
                <w:sz w:val="20"/>
                <w:szCs w:val="20"/>
              </w:rPr>
              <w:t>0.016</w:t>
            </w:r>
          </w:p>
        </w:tc>
      </w:tr>
      <w:tr w:rsidR="00384B20" w14:paraId="6270BE80" w14:textId="77777777" w:rsidTr="00FD5355">
        <w:trPr>
          <w:trHeight w:val="320"/>
        </w:trPr>
        <w:tc>
          <w:tcPr>
            <w:tcW w:w="1176" w:type="dxa"/>
            <w:tcBorders>
              <w:top w:val="nil"/>
              <w:left w:val="nil"/>
              <w:bottom w:val="nil"/>
              <w:right w:val="nil"/>
            </w:tcBorders>
            <w:shd w:val="clear" w:color="auto" w:fill="auto"/>
            <w:noWrap/>
            <w:vAlign w:val="bottom"/>
            <w:hideMark/>
          </w:tcPr>
          <w:p w14:paraId="220E4B24"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6578D3" w14:textId="77777777" w:rsidR="00384B20" w:rsidRDefault="00384B20" w:rsidP="00384B2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4D8FAD6" w14:textId="7A6DBE01" w:rsidR="00384B20" w:rsidRDefault="00384B20" w:rsidP="00384B2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31BC8D1" w14:textId="48205DE4" w:rsidR="00384B20" w:rsidRDefault="00384B20" w:rsidP="00384B20">
            <w:pPr>
              <w:jc w:val="right"/>
              <w:rPr>
                <w:color w:val="000000"/>
                <w:sz w:val="20"/>
                <w:szCs w:val="20"/>
              </w:rPr>
            </w:pPr>
            <w:r>
              <w:rPr>
                <w:color w:val="000000"/>
                <w:sz w:val="20"/>
                <w:szCs w:val="20"/>
              </w:rPr>
              <w:t>0.861</w:t>
            </w:r>
          </w:p>
        </w:tc>
        <w:tc>
          <w:tcPr>
            <w:tcW w:w="768" w:type="dxa"/>
            <w:tcBorders>
              <w:top w:val="nil"/>
              <w:left w:val="nil"/>
              <w:bottom w:val="nil"/>
              <w:right w:val="nil"/>
            </w:tcBorders>
            <w:shd w:val="clear" w:color="auto" w:fill="auto"/>
            <w:noWrap/>
            <w:vAlign w:val="bottom"/>
            <w:hideMark/>
          </w:tcPr>
          <w:p w14:paraId="0BF3FB68" w14:textId="5EE7CAA9"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007377" w14:textId="01D22826" w:rsidR="00384B20" w:rsidRDefault="00384B20" w:rsidP="00384B20">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6E5A55EC" w14:textId="16AD1318" w:rsidR="00384B20" w:rsidRDefault="00384B20" w:rsidP="00384B20">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1A9F39B2" w14:textId="216026BB" w:rsidR="00384B20" w:rsidRDefault="00384B20" w:rsidP="00384B2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97517FC" w14:textId="0F11D702" w:rsidR="00384B20" w:rsidRDefault="00384B20" w:rsidP="00384B2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4C2612D6" w14:textId="495356FE" w:rsidR="00384B20" w:rsidRDefault="00384B20" w:rsidP="00384B20">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6BAD71FB" w14:textId="4CA9242F"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7FAAD01" w14:textId="512D1FFB" w:rsidR="00384B20" w:rsidRDefault="00384B20" w:rsidP="00384B2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6CC0542" w14:textId="299F0FDC" w:rsidR="00384B20" w:rsidRDefault="00384B20" w:rsidP="00384B20">
            <w:pPr>
              <w:jc w:val="right"/>
              <w:rPr>
                <w:color w:val="000000"/>
                <w:sz w:val="20"/>
                <w:szCs w:val="20"/>
              </w:rPr>
            </w:pPr>
            <w:r>
              <w:rPr>
                <w:color w:val="000000"/>
                <w:sz w:val="20"/>
                <w:szCs w:val="20"/>
              </w:rPr>
              <w:t>0.897</w:t>
            </w:r>
          </w:p>
        </w:tc>
        <w:tc>
          <w:tcPr>
            <w:tcW w:w="768" w:type="dxa"/>
            <w:tcBorders>
              <w:top w:val="nil"/>
              <w:left w:val="nil"/>
              <w:bottom w:val="nil"/>
              <w:right w:val="nil"/>
            </w:tcBorders>
            <w:shd w:val="clear" w:color="auto" w:fill="auto"/>
            <w:noWrap/>
            <w:vAlign w:val="bottom"/>
            <w:hideMark/>
          </w:tcPr>
          <w:p w14:paraId="3BF2A598" w14:textId="1152867A"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C79248" w14:textId="10731CC2" w:rsidR="00384B20" w:rsidRDefault="00384B20" w:rsidP="00384B20">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1143BABC" w14:textId="76A60F70" w:rsidR="00384B20" w:rsidRDefault="00384B20" w:rsidP="00384B20">
            <w:pPr>
              <w:jc w:val="right"/>
              <w:rPr>
                <w:color w:val="000000"/>
                <w:sz w:val="20"/>
                <w:szCs w:val="20"/>
              </w:rPr>
            </w:pPr>
            <w:r>
              <w:rPr>
                <w:color w:val="000000"/>
                <w:sz w:val="20"/>
                <w:szCs w:val="20"/>
              </w:rPr>
              <w:t>0.533</w:t>
            </w:r>
          </w:p>
        </w:tc>
        <w:tc>
          <w:tcPr>
            <w:tcW w:w="768" w:type="dxa"/>
            <w:tcBorders>
              <w:top w:val="nil"/>
              <w:left w:val="nil"/>
              <w:bottom w:val="nil"/>
              <w:right w:val="nil"/>
            </w:tcBorders>
            <w:shd w:val="clear" w:color="auto" w:fill="auto"/>
            <w:noWrap/>
            <w:vAlign w:val="bottom"/>
            <w:hideMark/>
          </w:tcPr>
          <w:p w14:paraId="6E5F8B52" w14:textId="53B2452A" w:rsidR="00384B20" w:rsidRDefault="00384B20" w:rsidP="00384B20">
            <w:pPr>
              <w:jc w:val="right"/>
              <w:rPr>
                <w:color w:val="000000"/>
                <w:sz w:val="20"/>
                <w:szCs w:val="20"/>
              </w:rPr>
            </w:pPr>
            <w:r>
              <w:rPr>
                <w:color w:val="000000"/>
                <w:sz w:val="20"/>
                <w:szCs w:val="20"/>
              </w:rPr>
              <w:t>0.002</w:t>
            </w:r>
          </w:p>
        </w:tc>
      </w:tr>
      <w:tr w:rsidR="00384B20" w14:paraId="17E71E2D" w14:textId="77777777" w:rsidTr="00FD5355">
        <w:trPr>
          <w:trHeight w:val="320"/>
        </w:trPr>
        <w:tc>
          <w:tcPr>
            <w:tcW w:w="1176" w:type="dxa"/>
            <w:tcBorders>
              <w:top w:val="nil"/>
              <w:left w:val="nil"/>
              <w:bottom w:val="nil"/>
              <w:right w:val="nil"/>
            </w:tcBorders>
            <w:shd w:val="clear" w:color="auto" w:fill="auto"/>
            <w:noWrap/>
            <w:vAlign w:val="bottom"/>
            <w:hideMark/>
          </w:tcPr>
          <w:p w14:paraId="1A491C21"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C8D97C" w14:textId="77777777" w:rsidR="00384B20" w:rsidRDefault="00384B20" w:rsidP="00384B2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14C2611" w14:textId="15D6E0FE" w:rsidR="00384B20" w:rsidRDefault="00384B20" w:rsidP="00384B2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15D209D" w14:textId="6F6B855E" w:rsidR="00384B20" w:rsidRDefault="00384B20" w:rsidP="00384B20">
            <w:pPr>
              <w:jc w:val="right"/>
              <w:rPr>
                <w:color w:val="000000"/>
                <w:sz w:val="20"/>
                <w:szCs w:val="20"/>
              </w:rPr>
            </w:pPr>
            <w:r>
              <w:rPr>
                <w:color w:val="000000"/>
                <w:sz w:val="20"/>
                <w:szCs w:val="20"/>
              </w:rPr>
              <w:t>0.861</w:t>
            </w:r>
          </w:p>
        </w:tc>
        <w:tc>
          <w:tcPr>
            <w:tcW w:w="768" w:type="dxa"/>
            <w:tcBorders>
              <w:top w:val="nil"/>
              <w:left w:val="nil"/>
              <w:bottom w:val="nil"/>
              <w:right w:val="nil"/>
            </w:tcBorders>
            <w:shd w:val="clear" w:color="auto" w:fill="auto"/>
            <w:noWrap/>
            <w:vAlign w:val="bottom"/>
            <w:hideMark/>
          </w:tcPr>
          <w:p w14:paraId="5CB8E79F" w14:textId="0DC3DC9F"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9AAEA1" w14:textId="71D4C318" w:rsidR="00384B20" w:rsidRDefault="00384B20" w:rsidP="00384B20">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152A3799" w14:textId="558F7C24" w:rsidR="00384B20" w:rsidRDefault="00384B20" w:rsidP="00384B20">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0FA3ABA5" w14:textId="485272DC"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FCA239" w14:textId="7C2ABFFA" w:rsidR="00384B20" w:rsidRDefault="00384B20" w:rsidP="00384B2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AE830E9" w14:textId="03F11459" w:rsidR="00384B20" w:rsidRDefault="00384B20" w:rsidP="00384B20">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78A92A11" w14:textId="5356D51A"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BFBCB3" w14:textId="6088529D" w:rsidR="00384B20" w:rsidRDefault="00384B20" w:rsidP="00384B2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2B6CF82" w14:textId="7ED81B45" w:rsidR="00384B20" w:rsidRDefault="00384B20" w:rsidP="00384B20">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2A4375B6" w14:textId="33C44378"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078588" w14:textId="1064912A" w:rsidR="00384B20" w:rsidRDefault="00384B20" w:rsidP="00384B2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09A9803" w14:textId="0F83FFF2" w:rsidR="00384B20" w:rsidRDefault="00384B20" w:rsidP="00384B20">
            <w:pPr>
              <w:jc w:val="right"/>
              <w:rPr>
                <w:color w:val="000000"/>
                <w:sz w:val="20"/>
                <w:szCs w:val="20"/>
              </w:rPr>
            </w:pPr>
            <w:r>
              <w:rPr>
                <w:color w:val="000000"/>
                <w:sz w:val="20"/>
                <w:szCs w:val="20"/>
              </w:rPr>
              <w:t>0.695</w:t>
            </w:r>
          </w:p>
        </w:tc>
        <w:tc>
          <w:tcPr>
            <w:tcW w:w="768" w:type="dxa"/>
            <w:tcBorders>
              <w:top w:val="nil"/>
              <w:left w:val="nil"/>
              <w:bottom w:val="nil"/>
              <w:right w:val="nil"/>
            </w:tcBorders>
            <w:shd w:val="clear" w:color="auto" w:fill="auto"/>
            <w:noWrap/>
            <w:vAlign w:val="bottom"/>
            <w:hideMark/>
          </w:tcPr>
          <w:p w14:paraId="35C66A41" w14:textId="261C217B" w:rsidR="00384B20" w:rsidRDefault="00384B20" w:rsidP="00384B20">
            <w:pPr>
              <w:jc w:val="right"/>
              <w:rPr>
                <w:color w:val="000000"/>
                <w:sz w:val="20"/>
                <w:szCs w:val="20"/>
              </w:rPr>
            </w:pPr>
            <w:r>
              <w:rPr>
                <w:color w:val="000000"/>
                <w:sz w:val="20"/>
                <w:szCs w:val="20"/>
              </w:rPr>
              <w:t>0.001</w:t>
            </w:r>
          </w:p>
        </w:tc>
      </w:tr>
      <w:tr w:rsidR="00384B20" w14:paraId="64E1CCEF" w14:textId="77777777" w:rsidTr="00FD5355">
        <w:trPr>
          <w:trHeight w:val="320"/>
        </w:trPr>
        <w:tc>
          <w:tcPr>
            <w:tcW w:w="1176" w:type="dxa"/>
            <w:tcBorders>
              <w:top w:val="nil"/>
              <w:left w:val="nil"/>
              <w:bottom w:val="nil"/>
              <w:right w:val="nil"/>
            </w:tcBorders>
            <w:shd w:val="clear" w:color="auto" w:fill="auto"/>
            <w:noWrap/>
            <w:vAlign w:val="bottom"/>
            <w:hideMark/>
          </w:tcPr>
          <w:p w14:paraId="187D60AB"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CF23C11" w14:textId="77777777" w:rsidR="00384B20" w:rsidRDefault="00384B20" w:rsidP="00384B2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3F717A5" w14:textId="678A4F67" w:rsidR="00384B20" w:rsidRDefault="00384B20" w:rsidP="00384B2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952C2A7" w14:textId="05B00182" w:rsidR="00384B20" w:rsidRDefault="00384B20" w:rsidP="00384B20">
            <w:pPr>
              <w:jc w:val="right"/>
              <w:rPr>
                <w:color w:val="000000"/>
                <w:sz w:val="20"/>
                <w:szCs w:val="20"/>
              </w:rPr>
            </w:pPr>
            <w:r>
              <w:rPr>
                <w:color w:val="000000"/>
                <w:sz w:val="20"/>
                <w:szCs w:val="20"/>
              </w:rPr>
              <w:t>0.861</w:t>
            </w:r>
          </w:p>
        </w:tc>
        <w:tc>
          <w:tcPr>
            <w:tcW w:w="768" w:type="dxa"/>
            <w:tcBorders>
              <w:top w:val="nil"/>
              <w:left w:val="nil"/>
              <w:bottom w:val="nil"/>
              <w:right w:val="nil"/>
            </w:tcBorders>
            <w:shd w:val="clear" w:color="auto" w:fill="auto"/>
            <w:noWrap/>
            <w:vAlign w:val="bottom"/>
            <w:hideMark/>
          </w:tcPr>
          <w:p w14:paraId="47022C80" w14:textId="61EB1D76"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720E4E" w14:textId="170797B4" w:rsidR="00384B20" w:rsidRDefault="00384B20" w:rsidP="00384B2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79B9E13" w14:textId="36E046AE" w:rsidR="00384B20" w:rsidRDefault="00384B20" w:rsidP="00384B20">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580C33A4" w14:textId="2256DCB5"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25F444" w14:textId="20A59C42" w:rsidR="00384B20" w:rsidRDefault="00384B20" w:rsidP="00384B2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618BECD" w14:textId="1854FAC7" w:rsidR="00384B20" w:rsidRDefault="00384B20" w:rsidP="00384B20">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6E5CA01A" w14:textId="2A7C0603"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76F948" w14:textId="49CBFFCB" w:rsidR="00384B20" w:rsidRDefault="00384B20" w:rsidP="00384B2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59463877" w14:textId="34EC0421" w:rsidR="00384B20" w:rsidRDefault="00384B20" w:rsidP="00384B20">
            <w:pPr>
              <w:jc w:val="right"/>
              <w:rPr>
                <w:color w:val="000000"/>
                <w:sz w:val="20"/>
                <w:szCs w:val="20"/>
              </w:rPr>
            </w:pPr>
            <w:r>
              <w:rPr>
                <w:color w:val="000000"/>
                <w:sz w:val="20"/>
                <w:szCs w:val="20"/>
              </w:rPr>
              <w:t>0.458</w:t>
            </w:r>
          </w:p>
        </w:tc>
        <w:tc>
          <w:tcPr>
            <w:tcW w:w="768" w:type="dxa"/>
            <w:tcBorders>
              <w:top w:val="nil"/>
              <w:left w:val="nil"/>
              <w:bottom w:val="nil"/>
              <w:right w:val="nil"/>
            </w:tcBorders>
            <w:shd w:val="clear" w:color="auto" w:fill="auto"/>
            <w:noWrap/>
            <w:vAlign w:val="bottom"/>
            <w:hideMark/>
          </w:tcPr>
          <w:p w14:paraId="75F10A10" w14:textId="5B1FCFAC" w:rsidR="00384B20" w:rsidRDefault="00384B20" w:rsidP="00384B2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1C0A0A" w14:textId="2E1DD846" w:rsidR="00384B20" w:rsidRDefault="00384B20" w:rsidP="00384B20">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3DB9EFC9" w14:textId="4B070DEB" w:rsidR="00384B20" w:rsidRDefault="00384B20" w:rsidP="00384B20">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2130B6CE" w14:textId="6C4AA146" w:rsidR="00384B20" w:rsidRDefault="00384B20" w:rsidP="00384B20">
            <w:pPr>
              <w:jc w:val="right"/>
              <w:rPr>
                <w:color w:val="000000"/>
                <w:sz w:val="20"/>
                <w:szCs w:val="20"/>
              </w:rPr>
            </w:pPr>
            <w:r>
              <w:rPr>
                <w:color w:val="000000"/>
                <w:sz w:val="20"/>
                <w:szCs w:val="20"/>
              </w:rPr>
              <w:t>0.009</w:t>
            </w:r>
          </w:p>
        </w:tc>
      </w:tr>
      <w:tr w:rsidR="00384B20" w14:paraId="729EF906" w14:textId="77777777" w:rsidTr="00FD5355">
        <w:trPr>
          <w:trHeight w:val="320"/>
        </w:trPr>
        <w:tc>
          <w:tcPr>
            <w:tcW w:w="1176" w:type="dxa"/>
            <w:tcBorders>
              <w:top w:val="nil"/>
              <w:left w:val="nil"/>
              <w:bottom w:val="nil"/>
              <w:right w:val="nil"/>
            </w:tcBorders>
            <w:shd w:val="clear" w:color="auto" w:fill="auto"/>
            <w:noWrap/>
            <w:vAlign w:val="bottom"/>
            <w:hideMark/>
          </w:tcPr>
          <w:p w14:paraId="457FCD55"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2F50DEB" w14:textId="77777777" w:rsidR="00384B20" w:rsidRDefault="00384B20" w:rsidP="00384B2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E23DA9F" w14:textId="29611C43" w:rsidR="00384B20" w:rsidRDefault="00384B20" w:rsidP="00384B20">
            <w:pPr>
              <w:jc w:val="right"/>
              <w:rPr>
                <w:b/>
                <w:bCs/>
                <w:color w:val="000000"/>
                <w:sz w:val="20"/>
                <w:szCs w:val="20"/>
              </w:rPr>
            </w:pPr>
            <w:r>
              <w:rPr>
                <w:b/>
                <w:bCs/>
                <w:color w:val="000000"/>
                <w:sz w:val="20"/>
                <w:szCs w:val="20"/>
              </w:rPr>
              <w:t>-0.106</w:t>
            </w:r>
          </w:p>
        </w:tc>
        <w:tc>
          <w:tcPr>
            <w:tcW w:w="768" w:type="dxa"/>
            <w:tcBorders>
              <w:top w:val="nil"/>
              <w:left w:val="nil"/>
              <w:bottom w:val="nil"/>
              <w:right w:val="nil"/>
            </w:tcBorders>
            <w:shd w:val="clear" w:color="auto" w:fill="auto"/>
            <w:noWrap/>
            <w:vAlign w:val="bottom"/>
            <w:hideMark/>
          </w:tcPr>
          <w:p w14:paraId="6086CEF7" w14:textId="67D1CCCA" w:rsidR="00384B20" w:rsidRDefault="00384B20" w:rsidP="00384B20">
            <w:pPr>
              <w:jc w:val="right"/>
              <w:rPr>
                <w:b/>
                <w:bCs/>
                <w:color w:val="000000"/>
                <w:sz w:val="20"/>
                <w:szCs w:val="20"/>
              </w:rPr>
            </w:pPr>
            <w:r>
              <w:rPr>
                <w:b/>
                <w:bCs/>
                <w:color w:val="000000"/>
                <w:sz w:val="20"/>
                <w:szCs w:val="20"/>
              </w:rPr>
              <w:t>0.043</w:t>
            </w:r>
          </w:p>
        </w:tc>
        <w:tc>
          <w:tcPr>
            <w:tcW w:w="768" w:type="dxa"/>
            <w:tcBorders>
              <w:top w:val="nil"/>
              <w:left w:val="nil"/>
              <w:bottom w:val="nil"/>
              <w:right w:val="nil"/>
            </w:tcBorders>
            <w:shd w:val="clear" w:color="auto" w:fill="auto"/>
            <w:noWrap/>
            <w:vAlign w:val="bottom"/>
            <w:hideMark/>
          </w:tcPr>
          <w:p w14:paraId="2EBEC554" w14:textId="00D07048" w:rsidR="00384B20" w:rsidRDefault="00384B20" w:rsidP="00384B20">
            <w:pPr>
              <w:jc w:val="right"/>
              <w:rPr>
                <w:color w:val="000000"/>
                <w:sz w:val="20"/>
                <w:szCs w:val="20"/>
              </w:rPr>
            </w:pPr>
            <w:r>
              <w:rPr>
                <w:b/>
                <w:bCs/>
                <w:color w:val="000000"/>
                <w:sz w:val="20"/>
                <w:szCs w:val="20"/>
              </w:rPr>
              <w:t>0.011</w:t>
            </w:r>
          </w:p>
        </w:tc>
        <w:tc>
          <w:tcPr>
            <w:tcW w:w="768" w:type="dxa"/>
            <w:tcBorders>
              <w:top w:val="nil"/>
              <w:left w:val="nil"/>
              <w:bottom w:val="nil"/>
              <w:right w:val="nil"/>
            </w:tcBorders>
            <w:shd w:val="clear" w:color="auto" w:fill="auto"/>
            <w:noWrap/>
            <w:vAlign w:val="bottom"/>
            <w:hideMark/>
          </w:tcPr>
          <w:p w14:paraId="67A4FB0F" w14:textId="04FDF841"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F405C98" w14:textId="39C2316F" w:rsidR="00384B20" w:rsidRDefault="00384B20" w:rsidP="00384B20">
            <w:pPr>
              <w:jc w:val="right"/>
              <w:rPr>
                <w:color w:val="000000"/>
                <w:sz w:val="20"/>
                <w:szCs w:val="20"/>
              </w:rPr>
            </w:pPr>
            <w:r>
              <w:rPr>
                <w:color w:val="000000"/>
                <w:sz w:val="20"/>
                <w:szCs w:val="20"/>
              </w:rPr>
              <w:t>0.938</w:t>
            </w:r>
          </w:p>
        </w:tc>
        <w:tc>
          <w:tcPr>
            <w:tcW w:w="768" w:type="dxa"/>
            <w:tcBorders>
              <w:top w:val="nil"/>
              <w:left w:val="nil"/>
              <w:bottom w:val="nil"/>
              <w:right w:val="nil"/>
            </w:tcBorders>
            <w:shd w:val="clear" w:color="auto" w:fill="auto"/>
            <w:noWrap/>
            <w:vAlign w:val="bottom"/>
            <w:hideMark/>
          </w:tcPr>
          <w:p w14:paraId="232D0D82" w14:textId="1BAB83DF"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6C0959" w14:textId="6D27C660" w:rsidR="00384B20" w:rsidRDefault="00384B20" w:rsidP="00384B20">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55AF5BFF" w14:textId="502B9D4A" w:rsidR="00384B20" w:rsidRDefault="00384B20" w:rsidP="00384B20">
            <w:pPr>
              <w:jc w:val="right"/>
              <w:rPr>
                <w:color w:val="000000"/>
                <w:sz w:val="20"/>
                <w:szCs w:val="20"/>
              </w:rPr>
            </w:pPr>
            <w:r>
              <w:rPr>
                <w:color w:val="000000"/>
                <w:sz w:val="20"/>
                <w:szCs w:val="20"/>
              </w:rPr>
              <w:t>0.660</w:t>
            </w:r>
          </w:p>
        </w:tc>
        <w:tc>
          <w:tcPr>
            <w:tcW w:w="768" w:type="dxa"/>
            <w:tcBorders>
              <w:top w:val="nil"/>
              <w:left w:val="nil"/>
              <w:bottom w:val="nil"/>
              <w:right w:val="nil"/>
            </w:tcBorders>
            <w:shd w:val="clear" w:color="auto" w:fill="auto"/>
            <w:noWrap/>
            <w:vAlign w:val="bottom"/>
            <w:hideMark/>
          </w:tcPr>
          <w:p w14:paraId="4369161C" w14:textId="4B3A0201" w:rsidR="00384B20" w:rsidRDefault="00384B20" w:rsidP="00384B2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1820D29" w14:textId="3FD3030E" w:rsidR="00384B20" w:rsidRDefault="00384B20" w:rsidP="00384B20">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53FA154" w14:textId="472460A9" w:rsidR="00384B20" w:rsidRDefault="00384B20" w:rsidP="00384B20">
            <w:pPr>
              <w:jc w:val="right"/>
              <w:rPr>
                <w:color w:val="000000"/>
                <w:sz w:val="20"/>
                <w:szCs w:val="20"/>
              </w:rPr>
            </w:pPr>
            <w:r>
              <w:rPr>
                <w:color w:val="000000"/>
                <w:sz w:val="20"/>
                <w:szCs w:val="20"/>
              </w:rPr>
              <w:t>0.292</w:t>
            </w:r>
          </w:p>
        </w:tc>
        <w:tc>
          <w:tcPr>
            <w:tcW w:w="768" w:type="dxa"/>
            <w:tcBorders>
              <w:top w:val="nil"/>
              <w:left w:val="nil"/>
              <w:bottom w:val="nil"/>
              <w:right w:val="nil"/>
            </w:tcBorders>
            <w:shd w:val="clear" w:color="auto" w:fill="auto"/>
            <w:noWrap/>
            <w:vAlign w:val="bottom"/>
            <w:hideMark/>
          </w:tcPr>
          <w:p w14:paraId="551CFFA3" w14:textId="7BBAC9D1"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487EE2D" w14:textId="0EAF9DFB" w:rsidR="00384B20" w:rsidRDefault="00384B20" w:rsidP="00384B20">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7DC905A4" w14:textId="477A0A29" w:rsidR="00384B20" w:rsidRDefault="00384B20" w:rsidP="00384B20">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23EA67DB" w14:textId="6FACA3D7" w:rsidR="00384B20" w:rsidRDefault="00384B20" w:rsidP="00384B20">
            <w:pPr>
              <w:jc w:val="right"/>
              <w:rPr>
                <w:color w:val="000000"/>
                <w:sz w:val="20"/>
                <w:szCs w:val="20"/>
              </w:rPr>
            </w:pPr>
            <w:r>
              <w:rPr>
                <w:color w:val="000000"/>
                <w:sz w:val="20"/>
                <w:szCs w:val="20"/>
              </w:rPr>
              <w:t>0.004</w:t>
            </w:r>
          </w:p>
        </w:tc>
      </w:tr>
      <w:tr w:rsidR="00384B20" w14:paraId="3A87F98A" w14:textId="77777777" w:rsidTr="00FD5355">
        <w:trPr>
          <w:trHeight w:val="320"/>
        </w:trPr>
        <w:tc>
          <w:tcPr>
            <w:tcW w:w="1176" w:type="dxa"/>
            <w:tcBorders>
              <w:top w:val="nil"/>
              <w:left w:val="nil"/>
              <w:bottom w:val="nil"/>
              <w:right w:val="nil"/>
            </w:tcBorders>
            <w:shd w:val="clear" w:color="auto" w:fill="auto"/>
            <w:noWrap/>
            <w:vAlign w:val="bottom"/>
            <w:hideMark/>
          </w:tcPr>
          <w:p w14:paraId="57C44B6C" w14:textId="77777777" w:rsidR="00384B20" w:rsidRDefault="00384B20" w:rsidP="00384B2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08E4BF9" w14:textId="77777777" w:rsidR="00384B20" w:rsidRDefault="00384B20" w:rsidP="00384B2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E054BDA" w14:textId="71543476" w:rsidR="00384B20" w:rsidRDefault="00384B20" w:rsidP="00384B2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C3BAD1A" w14:textId="710F74FB" w:rsidR="00384B20" w:rsidRDefault="00384B20" w:rsidP="00384B20">
            <w:pPr>
              <w:jc w:val="right"/>
              <w:rPr>
                <w:color w:val="000000"/>
                <w:sz w:val="20"/>
                <w:szCs w:val="20"/>
              </w:rPr>
            </w:pPr>
            <w:r>
              <w:rPr>
                <w:color w:val="000000"/>
                <w:sz w:val="20"/>
                <w:szCs w:val="20"/>
              </w:rPr>
              <w:t>0.861</w:t>
            </w:r>
          </w:p>
        </w:tc>
        <w:tc>
          <w:tcPr>
            <w:tcW w:w="768" w:type="dxa"/>
            <w:tcBorders>
              <w:top w:val="nil"/>
              <w:left w:val="nil"/>
              <w:bottom w:val="nil"/>
              <w:right w:val="nil"/>
            </w:tcBorders>
            <w:shd w:val="clear" w:color="auto" w:fill="auto"/>
            <w:noWrap/>
            <w:vAlign w:val="bottom"/>
            <w:hideMark/>
          </w:tcPr>
          <w:p w14:paraId="186CC685" w14:textId="37C3F99C"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088A66" w14:textId="14939D8B" w:rsidR="00384B20" w:rsidRDefault="00384B20" w:rsidP="00384B2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2B239BC" w14:textId="381C5C67" w:rsidR="00384B20" w:rsidRDefault="00384B20" w:rsidP="00384B20">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0A5D8A23" w14:textId="4912FA45"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8913F8" w14:textId="4C2E9036" w:rsidR="00384B20" w:rsidRDefault="00384B20" w:rsidP="00384B2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2CFE4DB" w14:textId="2F89E9BA" w:rsidR="00384B20" w:rsidRDefault="00384B20" w:rsidP="00384B20">
            <w:pPr>
              <w:jc w:val="right"/>
              <w:rPr>
                <w:color w:val="000000"/>
                <w:sz w:val="20"/>
                <w:szCs w:val="20"/>
              </w:rPr>
            </w:pPr>
            <w:r>
              <w:rPr>
                <w:color w:val="000000"/>
                <w:sz w:val="20"/>
                <w:szCs w:val="20"/>
              </w:rPr>
              <w:t>0.956</w:t>
            </w:r>
          </w:p>
        </w:tc>
        <w:tc>
          <w:tcPr>
            <w:tcW w:w="768" w:type="dxa"/>
            <w:tcBorders>
              <w:top w:val="nil"/>
              <w:left w:val="nil"/>
              <w:bottom w:val="nil"/>
              <w:right w:val="nil"/>
            </w:tcBorders>
            <w:shd w:val="clear" w:color="auto" w:fill="auto"/>
            <w:noWrap/>
            <w:vAlign w:val="bottom"/>
            <w:hideMark/>
          </w:tcPr>
          <w:p w14:paraId="3C8B72F6" w14:textId="7E9C7FF8"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C61332" w14:textId="22AEA8AB"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DB381C" w14:textId="301850E6" w:rsidR="00384B20" w:rsidRDefault="00384B20" w:rsidP="00384B20">
            <w:pPr>
              <w:jc w:val="right"/>
              <w:rPr>
                <w:color w:val="000000"/>
                <w:sz w:val="20"/>
                <w:szCs w:val="20"/>
              </w:rPr>
            </w:pPr>
            <w:r>
              <w:rPr>
                <w:color w:val="000000"/>
                <w:sz w:val="20"/>
                <w:szCs w:val="20"/>
              </w:rPr>
              <w:t>0.990</w:t>
            </w:r>
          </w:p>
        </w:tc>
        <w:tc>
          <w:tcPr>
            <w:tcW w:w="768" w:type="dxa"/>
            <w:tcBorders>
              <w:top w:val="nil"/>
              <w:left w:val="nil"/>
              <w:bottom w:val="nil"/>
              <w:right w:val="nil"/>
            </w:tcBorders>
            <w:shd w:val="clear" w:color="auto" w:fill="auto"/>
            <w:noWrap/>
            <w:vAlign w:val="bottom"/>
            <w:hideMark/>
          </w:tcPr>
          <w:p w14:paraId="260466EF" w14:textId="6531AB9D" w:rsidR="00384B20" w:rsidRDefault="00384B20" w:rsidP="00384B2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EDB3B9" w14:textId="1675716A" w:rsidR="00384B20" w:rsidRDefault="00384B20" w:rsidP="00384B2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67146BF7" w14:textId="59DF3D80" w:rsidR="00384B20" w:rsidRDefault="00384B20" w:rsidP="00384B20">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157EBF92" w14:textId="1BCC364E" w:rsidR="00384B20" w:rsidRDefault="00384B20" w:rsidP="00384B20">
            <w:pPr>
              <w:jc w:val="right"/>
              <w:rPr>
                <w:color w:val="000000"/>
                <w:sz w:val="20"/>
                <w:szCs w:val="20"/>
              </w:rPr>
            </w:pPr>
            <w:r>
              <w:rPr>
                <w:color w:val="000000"/>
                <w:sz w:val="20"/>
                <w:szCs w:val="20"/>
              </w:rPr>
              <w:t>0.000</w:t>
            </w:r>
          </w:p>
        </w:tc>
      </w:tr>
      <w:tr w:rsidR="00384B20" w14:paraId="4528B9CC" w14:textId="77777777" w:rsidTr="00FD5355">
        <w:trPr>
          <w:trHeight w:val="340"/>
        </w:trPr>
        <w:tc>
          <w:tcPr>
            <w:tcW w:w="1176" w:type="dxa"/>
            <w:tcBorders>
              <w:top w:val="nil"/>
              <w:left w:val="nil"/>
              <w:bottom w:val="single" w:sz="12" w:space="0" w:color="auto"/>
              <w:right w:val="nil"/>
            </w:tcBorders>
            <w:shd w:val="clear" w:color="auto" w:fill="auto"/>
            <w:noWrap/>
            <w:vAlign w:val="bottom"/>
            <w:hideMark/>
          </w:tcPr>
          <w:p w14:paraId="0D7CF123" w14:textId="77777777" w:rsidR="00384B20" w:rsidRDefault="00384B20" w:rsidP="00384B20">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0D3B8291" w14:textId="77777777" w:rsidR="00384B20" w:rsidRDefault="00384B20" w:rsidP="00384B20">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3F0CA6A7" w14:textId="7341B67B" w:rsidR="00384B20" w:rsidRDefault="00384B20" w:rsidP="00384B20">
            <w:pPr>
              <w:jc w:val="right"/>
              <w:rPr>
                <w:b/>
                <w:bCs/>
                <w:color w:val="000000"/>
                <w:sz w:val="20"/>
                <w:szCs w:val="20"/>
              </w:rPr>
            </w:pPr>
            <w:r>
              <w:rPr>
                <w:b/>
                <w:bCs/>
                <w:color w:val="000000"/>
                <w:sz w:val="20"/>
                <w:szCs w:val="20"/>
              </w:rPr>
              <w:t>-0.095</w:t>
            </w:r>
          </w:p>
        </w:tc>
        <w:tc>
          <w:tcPr>
            <w:tcW w:w="768" w:type="dxa"/>
            <w:tcBorders>
              <w:top w:val="nil"/>
              <w:left w:val="nil"/>
              <w:bottom w:val="single" w:sz="12" w:space="0" w:color="auto"/>
              <w:right w:val="nil"/>
            </w:tcBorders>
            <w:shd w:val="clear" w:color="auto" w:fill="auto"/>
            <w:noWrap/>
            <w:vAlign w:val="bottom"/>
            <w:hideMark/>
          </w:tcPr>
          <w:p w14:paraId="6362346D" w14:textId="6B28DAB1" w:rsidR="00384B20" w:rsidRDefault="00384B20" w:rsidP="00384B20">
            <w:pPr>
              <w:jc w:val="right"/>
              <w:rPr>
                <w:b/>
                <w:bCs/>
                <w:color w:val="000000"/>
                <w:sz w:val="20"/>
                <w:szCs w:val="20"/>
              </w:rPr>
            </w:pPr>
            <w:r>
              <w:rPr>
                <w:b/>
                <w:bCs/>
                <w:color w:val="000000"/>
                <w:sz w:val="20"/>
                <w:szCs w:val="20"/>
              </w:rPr>
              <w:t>0.043</w:t>
            </w:r>
          </w:p>
        </w:tc>
        <w:tc>
          <w:tcPr>
            <w:tcW w:w="768" w:type="dxa"/>
            <w:tcBorders>
              <w:top w:val="nil"/>
              <w:left w:val="nil"/>
              <w:bottom w:val="single" w:sz="12" w:space="0" w:color="auto"/>
              <w:right w:val="nil"/>
            </w:tcBorders>
            <w:shd w:val="clear" w:color="auto" w:fill="auto"/>
            <w:noWrap/>
            <w:vAlign w:val="bottom"/>
            <w:hideMark/>
          </w:tcPr>
          <w:p w14:paraId="498218AE" w14:textId="4490CAC9" w:rsidR="00384B20" w:rsidRDefault="00384B20" w:rsidP="00384B20">
            <w:pPr>
              <w:jc w:val="right"/>
              <w:rPr>
                <w:color w:val="000000"/>
                <w:sz w:val="20"/>
                <w:szCs w:val="20"/>
              </w:rPr>
            </w:pPr>
            <w:r>
              <w:rPr>
                <w:b/>
                <w:bCs/>
                <w:color w:val="000000"/>
                <w:sz w:val="20"/>
                <w:szCs w:val="20"/>
              </w:rPr>
              <w:t>0.009</w:t>
            </w:r>
          </w:p>
        </w:tc>
        <w:tc>
          <w:tcPr>
            <w:tcW w:w="768" w:type="dxa"/>
            <w:tcBorders>
              <w:top w:val="nil"/>
              <w:left w:val="nil"/>
              <w:bottom w:val="single" w:sz="12" w:space="0" w:color="auto"/>
              <w:right w:val="nil"/>
            </w:tcBorders>
            <w:shd w:val="clear" w:color="auto" w:fill="auto"/>
            <w:noWrap/>
            <w:vAlign w:val="bottom"/>
            <w:hideMark/>
          </w:tcPr>
          <w:p w14:paraId="1EF9B84F" w14:textId="4B509CC2" w:rsidR="00384B20" w:rsidRDefault="00384B20" w:rsidP="00384B20">
            <w:pPr>
              <w:jc w:val="right"/>
              <w:rPr>
                <w:color w:val="000000"/>
                <w:sz w:val="20"/>
                <w:szCs w:val="20"/>
              </w:rPr>
            </w:pPr>
            <w:r>
              <w:rPr>
                <w:color w:val="000000"/>
                <w:sz w:val="20"/>
                <w:szCs w:val="20"/>
              </w:rPr>
              <w:t>0.054</w:t>
            </w:r>
          </w:p>
        </w:tc>
        <w:tc>
          <w:tcPr>
            <w:tcW w:w="768" w:type="dxa"/>
            <w:tcBorders>
              <w:top w:val="nil"/>
              <w:left w:val="nil"/>
              <w:bottom w:val="single" w:sz="12" w:space="0" w:color="auto"/>
              <w:right w:val="nil"/>
            </w:tcBorders>
            <w:shd w:val="clear" w:color="auto" w:fill="auto"/>
            <w:noWrap/>
            <w:vAlign w:val="bottom"/>
            <w:hideMark/>
          </w:tcPr>
          <w:p w14:paraId="6D207428" w14:textId="3B902713" w:rsidR="00384B20" w:rsidRDefault="00384B20" w:rsidP="00384B20">
            <w:pPr>
              <w:jc w:val="right"/>
              <w:rPr>
                <w:color w:val="000000"/>
                <w:sz w:val="20"/>
                <w:szCs w:val="20"/>
              </w:rPr>
            </w:pPr>
            <w:r>
              <w:rPr>
                <w:color w:val="000000"/>
                <w:sz w:val="20"/>
                <w:szCs w:val="20"/>
              </w:rPr>
              <w:t>0.444</w:t>
            </w:r>
          </w:p>
        </w:tc>
        <w:tc>
          <w:tcPr>
            <w:tcW w:w="768" w:type="dxa"/>
            <w:tcBorders>
              <w:top w:val="nil"/>
              <w:left w:val="nil"/>
              <w:bottom w:val="single" w:sz="12" w:space="0" w:color="auto"/>
              <w:right w:val="nil"/>
            </w:tcBorders>
            <w:shd w:val="clear" w:color="auto" w:fill="auto"/>
            <w:noWrap/>
            <w:vAlign w:val="bottom"/>
            <w:hideMark/>
          </w:tcPr>
          <w:p w14:paraId="11150AFC" w14:textId="0F9004B2" w:rsidR="00384B20" w:rsidRDefault="00384B20" w:rsidP="00384B20">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6F53211D" w14:textId="5AAF57D5" w:rsidR="00384B20" w:rsidRDefault="00384B20" w:rsidP="00384B20">
            <w:pPr>
              <w:jc w:val="right"/>
              <w:rPr>
                <w:color w:val="000000"/>
                <w:sz w:val="20"/>
                <w:szCs w:val="20"/>
              </w:rPr>
            </w:pPr>
            <w:r>
              <w:rPr>
                <w:color w:val="000000"/>
                <w:sz w:val="20"/>
                <w:szCs w:val="20"/>
              </w:rPr>
              <w:t>0.064</w:t>
            </w:r>
          </w:p>
        </w:tc>
        <w:tc>
          <w:tcPr>
            <w:tcW w:w="768" w:type="dxa"/>
            <w:tcBorders>
              <w:top w:val="nil"/>
              <w:left w:val="nil"/>
              <w:bottom w:val="single" w:sz="12" w:space="0" w:color="auto"/>
              <w:right w:val="nil"/>
            </w:tcBorders>
            <w:shd w:val="clear" w:color="auto" w:fill="auto"/>
            <w:noWrap/>
            <w:vAlign w:val="bottom"/>
            <w:hideMark/>
          </w:tcPr>
          <w:p w14:paraId="632A3EE2" w14:textId="2F66170D" w:rsidR="00384B20" w:rsidRDefault="00384B20" w:rsidP="00384B20">
            <w:pPr>
              <w:jc w:val="right"/>
              <w:rPr>
                <w:color w:val="000000"/>
                <w:sz w:val="20"/>
                <w:szCs w:val="20"/>
              </w:rPr>
            </w:pPr>
            <w:r>
              <w:rPr>
                <w:color w:val="000000"/>
                <w:sz w:val="20"/>
                <w:szCs w:val="20"/>
              </w:rPr>
              <w:t>0.368</w:t>
            </w:r>
          </w:p>
        </w:tc>
        <w:tc>
          <w:tcPr>
            <w:tcW w:w="768" w:type="dxa"/>
            <w:tcBorders>
              <w:top w:val="nil"/>
              <w:left w:val="nil"/>
              <w:bottom w:val="single" w:sz="12" w:space="0" w:color="auto"/>
              <w:right w:val="nil"/>
            </w:tcBorders>
            <w:shd w:val="clear" w:color="auto" w:fill="auto"/>
            <w:noWrap/>
            <w:vAlign w:val="bottom"/>
            <w:hideMark/>
          </w:tcPr>
          <w:p w14:paraId="66BB4CED" w14:textId="600D5B12" w:rsidR="00384B20" w:rsidRDefault="00384B20" w:rsidP="00384B20">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3A82FE5C" w14:textId="6C511198" w:rsidR="00384B20" w:rsidRDefault="00384B20" w:rsidP="00384B20">
            <w:pPr>
              <w:jc w:val="right"/>
              <w:rPr>
                <w:b/>
                <w:bCs/>
                <w:color w:val="000000"/>
                <w:sz w:val="20"/>
                <w:szCs w:val="20"/>
              </w:rPr>
            </w:pPr>
            <w:r>
              <w:rPr>
                <w:b/>
                <w:bCs/>
                <w:color w:val="000000"/>
                <w:sz w:val="20"/>
                <w:szCs w:val="20"/>
              </w:rPr>
              <w:t>-0.115</w:t>
            </w:r>
          </w:p>
        </w:tc>
        <w:tc>
          <w:tcPr>
            <w:tcW w:w="768" w:type="dxa"/>
            <w:tcBorders>
              <w:top w:val="nil"/>
              <w:left w:val="nil"/>
              <w:bottom w:val="single" w:sz="12" w:space="0" w:color="auto"/>
              <w:right w:val="nil"/>
            </w:tcBorders>
            <w:shd w:val="clear" w:color="auto" w:fill="auto"/>
            <w:noWrap/>
            <w:vAlign w:val="bottom"/>
            <w:hideMark/>
          </w:tcPr>
          <w:p w14:paraId="4E64D63B" w14:textId="59AEB26E" w:rsidR="00384B20" w:rsidRDefault="00384B20" w:rsidP="00384B20">
            <w:pPr>
              <w:jc w:val="right"/>
              <w:rPr>
                <w:b/>
                <w:bCs/>
                <w:color w:val="000000"/>
                <w:sz w:val="20"/>
                <w:szCs w:val="20"/>
              </w:rPr>
            </w:pPr>
            <w:r>
              <w:rPr>
                <w:b/>
                <w:bCs/>
                <w:color w:val="000000"/>
                <w:sz w:val="20"/>
                <w:szCs w:val="20"/>
              </w:rPr>
              <w:t>0.032</w:t>
            </w:r>
          </w:p>
        </w:tc>
        <w:tc>
          <w:tcPr>
            <w:tcW w:w="768" w:type="dxa"/>
            <w:tcBorders>
              <w:top w:val="nil"/>
              <w:left w:val="nil"/>
              <w:bottom w:val="single" w:sz="12" w:space="0" w:color="auto"/>
              <w:right w:val="nil"/>
            </w:tcBorders>
            <w:shd w:val="clear" w:color="auto" w:fill="auto"/>
            <w:noWrap/>
            <w:vAlign w:val="bottom"/>
            <w:hideMark/>
          </w:tcPr>
          <w:p w14:paraId="0D7B61DD" w14:textId="02FF1663" w:rsidR="00384B20" w:rsidRDefault="00384B20" w:rsidP="00384B20">
            <w:pPr>
              <w:jc w:val="right"/>
              <w:rPr>
                <w:color w:val="000000"/>
                <w:sz w:val="20"/>
                <w:szCs w:val="20"/>
              </w:rPr>
            </w:pPr>
            <w:r>
              <w:rPr>
                <w:b/>
                <w:bCs/>
                <w:color w:val="000000"/>
                <w:sz w:val="20"/>
                <w:szCs w:val="20"/>
              </w:rPr>
              <w:t>0.013</w:t>
            </w:r>
          </w:p>
        </w:tc>
        <w:tc>
          <w:tcPr>
            <w:tcW w:w="768" w:type="dxa"/>
            <w:tcBorders>
              <w:top w:val="nil"/>
              <w:left w:val="nil"/>
              <w:bottom w:val="single" w:sz="12" w:space="0" w:color="auto"/>
              <w:right w:val="nil"/>
            </w:tcBorders>
            <w:shd w:val="clear" w:color="auto" w:fill="auto"/>
            <w:noWrap/>
            <w:vAlign w:val="bottom"/>
            <w:hideMark/>
          </w:tcPr>
          <w:p w14:paraId="51661940" w14:textId="2273864C" w:rsidR="00384B20" w:rsidRDefault="00384B20" w:rsidP="00384B20">
            <w:pPr>
              <w:jc w:val="right"/>
              <w:rPr>
                <w:b/>
                <w:bCs/>
                <w:color w:val="000000"/>
                <w:sz w:val="20"/>
                <w:szCs w:val="20"/>
              </w:rPr>
            </w:pPr>
            <w:r>
              <w:rPr>
                <w:color w:val="000000"/>
                <w:sz w:val="20"/>
                <w:szCs w:val="20"/>
              </w:rPr>
              <w:t>0.043</w:t>
            </w:r>
          </w:p>
        </w:tc>
        <w:tc>
          <w:tcPr>
            <w:tcW w:w="768" w:type="dxa"/>
            <w:tcBorders>
              <w:top w:val="nil"/>
              <w:left w:val="nil"/>
              <w:bottom w:val="single" w:sz="12" w:space="0" w:color="auto"/>
              <w:right w:val="nil"/>
            </w:tcBorders>
            <w:shd w:val="clear" w:color="auto" w:fill="auto"/>
            <w:noWrap/>
            <w:vAlign w:val="bottom"/>
            <w:hideMark/>
          </w:tcPr>
          <w:p w14:paraId="54E38E68" w14:textId="574CC99F" w:rsidR="00384B20" w:rsidRDefault="00384B20" w:rsidP="00384B20">
            <w:pPr>
              <w:jc w:val="right"/>
              <w:rPr>
                <w:b/>
                <w:bCs/>
                <w:color w:val="000000"/>
                <w:sz w:val="20"/>
                <w:szCs w:val="20"/>
              </w:rPr>
            </w:pPr>
            <w:r>
              <w:rPr>
                <w:color w:val="000000"/>
                <w:sz w:val="20"/>
                <w:szCs w:val="20"/>
              </w:rPr>
              <w:t>0.533</w:t>
            </w:r>
          </w:p>
        </w:tc>
        <w:tc>
          <w:tcPr>
            <w:tcW w:w="768" w:type="dxa"/>
            <w:tcBorders>
              <w:top w:val="nil"/>
              <w:left w:val="nil"/>
              <w:bottom w:val="single" w:sz="12" w:space="0" w:color="auto"/>
              <w:right w:val="nil"/>
            </w:tcBorders>
            <w:shd w:val="clear" w:color="auto" w:fill="auto"/>
            <w:noWrap/>
            <w:vAlign w:val="bottom"/>
            <w:hideMark/>
          </w:tcPr>
          <w:p w14:paraId="38DB03AC" w14:textId="1AAB7CF1" w:rsidR="00384B20" w:rsidRDefault="00384B20" w:rsidP="00384B20">
            <w:pPr>
              <w:jc w:val="right"/>
              <w:rPr>
                <w:color w:val="000000"/>
                <w:sz w:val="20"/>
                <w:szCs w:val="20"/>
              </w:rPr>
            </w:pPr>
            <w:r>
              <w:rPr>
                <w:color w:val="000000"/>
                <w:sz w:val="20"/>
                <w:szCs w:val="20"/>
              </w:rPr>
              <w:t>0.002</w:t>
            </w:r>
          </w:p>
        </w:tc>
      </w:tr>
      <w:tr w:rsidR="00FD5355" w14:paraId="3037D0F1" w14:textId="77777777" w:rsidTr="00FD5355">
        <w:trPr>
          <w:trHeight w:val="320"/>
        </w:trPr>
        <w:tc>
          <w:tcPr>
            <w:tcW w:w="1176" w:type="dxa"/>
            <w:tcBorders>
              <w:top w:val="single" w:sz="12" w:space="0" w:color="auto"/>
              <w:left w:val="nil"/>
              <w:bottom w:val="nil"/>
              <w:right w:val="nil"/>
            </w:tcBorders>
            <w:shd w:val="clear" w:color="auto" w:fill="auto"/>
            <w:noWrap/>
            <w:vAlign w:val="bottom"/>
            <w:hideMark/>
          </w:tcPr>
          <w:p w14:paraId="466C988E" w14:textId="77777777" w:rsidR="00FD5355" w:rsidRDefault="00FD5355">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4F256A6F" w14:textId="77777777" w:rsidR="00FD5355" w:rsidRDefault="00FD5355">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6970FEE9"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F021A3"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D4740C2"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18C2473"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85F1EAD"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428B6F4"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8FF7BE5"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C40BE16"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AC906D0"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D175BF1"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42EE220"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5A5BA98"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1F4324F"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03AD969" w14:textId="77777777" w:rsidR="00FD5355" w:rsidRDefault="00FD535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CB393BF" w14:textId="77777777" w:rsidR="00FD5355" w:rsidRDefault="00FD5355">
            <w:pPr>
              <w:rPr>
                <w:sz w:val="20"/>
                <w:szCs w:val="20"/>
              </w:rPr>
            </w:pPr>
          </w:p>
        </w:tc>
      </w:tr>
    </w:tbl>
    <w:p w14:paraId="6E193A17" w14:textId="453E14C6" w:rsidR="00FD5355" w:rsidRDefault="00FD5355" w:rsidP="00731940">
      <w:pPr>
        <w:rPr>
          <w:rFonts w:eastAsia="Batang"/>
          <w:i/>
          <w:iCs/>
        </w:rPr>
      </w:pPr>
    </w:p>
    <w:p w14:paraId="79AFD1C8" w14:textId="77777777" w:rsidR="00FD5355" w:rsidRDefault="00FD5355">
      <w:pPr>
        <w:rPr>
          <w:rFonts w:eastAsia="Batang"/>
          <w:i/>
          <w:iCs/>
        </w:rPr>
      </w:pPr>
      <w:r>
        <w:rPr>
          <w:rFonts w:eastAsia="Batang"/>
          <w:i/>
          <w:iCs/>
        </w:rPr>
        <w:br w:type="page"/>
      </w:r>
    </w:p>
    <w:p w14:paraId="33B9C403" w14:textId="64BAF1F6" w:rsidR="008378D4" w:rsidRPr="009E2A20" w:rsidRDefault="00432B71" w:rsidP="009E2A20">
      <w:pPr>
        <w:pStyle w:val="Heading1"/>
        <w:rPr>
          <w:rFonts w:ascii="Times New Roman" w:hAnsi="Times New Roman" w:cs="Times New Roman"/>
          <w:color w:val="000000" w:themeColor="text1"/>
          <w:sz w:val="24"/>
          <w:szCs w:val="24"/>
        </w:rPr>
      </w:pPr>
      <w:bookmarkStart w:id="32" w:name="_Toc155817699"/>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994E15">
        <w:rPr>
          <w:rFonts w:ascii="Times New Roman" w:hAnsi="Times New Roman" w:cs="Times New Roman"/>
          <w:b/>
          <w:bCs/>
          <w:color w:val="000000" w:themeColor="text1"/>
          <w:sz w:val="24"/>
          <w:szCs w:val="24"/>
        </w:rPr>
        <w:t>1</w:t>
      </w:r>
      <w:r w:rsidR="00810BF2" w:rsidRPr="009E2A20">
        <w:rPr>
          <w:rFonts w:ascii="Times New Roman" w:hAnsi="Times New Roman" w:cs="Times New Roman"/>
          <w:b/>
          <w:bCs/>
          <w:color w:val="000000" w:themeColor="text1"/>
          <w:sz w:val="24"/>
          <w:szCs w:val="24"/>
        </w:rPr>
        <w:t xml:space="preserve">a. </w:t>
      </w:r>
      <w:r w:rsidR="00810BF2"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average shortest path length during </w:t>
      </w:r>
      <w:r w:rsidR="00105D78" w:rsidRPr="009E2A20">
        <w:rPr>
          <w:rFonts w:ascii="Times New Roman" w:hAnsi="Times New Roman" w:cs="Times New Roman"/>
          <w:color w:val="000000" w:themeColor="text1"/>
          <w:sz w:val="24"/>
          <w:szCs w:val="24"/>
        </w:rPr>
        <w:t>the monetary incentive delay task</w:t>
      </w:r>
      <w:bookmarkEnd w:id="32"/>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8378D4" w14:paraId="13B06B81" w14:textId="77777777" w:rsidTr="00E3739F">
        <w:trPr>
          <w:trHeight w:val="340"/>
        </w:trPr>
        <w:tc>
          <w:tcPr>
            <w:tcW w:w="1176" w:type="dxa"/>
            <w:tcBorders>
              <w:top w:val="nil"/>
              <w:left w:val="nil"/>
              <w:bottom w:val="single" w:sz="12" w:space="0" w:color="auto"/>
              <w:right w:val="nil"/>
            </w:tcBorders>
            <w:shd w:val="clear" w:color="auto" w:fill="auto"/>
            <w:noWrap/>
            <w:vAlign w:val="bottom"/>
            <w:hideMark/>
          </w:tcPr>
          <w:p w14:paraId="50ABC2E3" w14:textId="77777777" w:rsidR="008378D4" w:rsidRDefault="008378D4">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68605CA6" w14:textId="77777777" w:rsidR="008378D4" w:rsidRDefault="008378D4">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53CF3282" w14:textId="77777777" w:rsidR="008378D4" w:rsidRDefault="008378D4">
            <w:pPr>
              <w:rPr>
                <w:color w:val="000000"/>
              </w:rPr>
            </w:pPr>
          </w:p>
        </w:tc>
        <w:tc>
          <w:tcPr>
            <w:tcW w:w="768" w:type="dxa"/>
            <w:tcBorders>
              <w:top w:val="nil"/>
              <w:left w:val="nil"/>
              <w:bottom w:val="single" w:sz="12" w:space="0" w:color="auto"/>
              <w:right w:val="nil"/>
            </w:tcBorders>
            <w:shd w:val="clear" w:color="auto" w:fill="auto"/>
            <w:noWrap/>
            <w:vAlign w:val="bottom"/>
            <w:hideMark/>
          </w:tcPr>
          <w:p w14:paraId="4ED175C6"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4A010E2"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BB493C8"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99625C9"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03490D3"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BA4AB6B"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7510DA1"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B84803A"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5380764"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1804465"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0CCB1F4"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7D3C09E"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1916BA8" w14:textId="77777777" w:rsidR="008378D4" w:rsidRDefault="008378D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2DBC20F" w14:textId="77777777" w:rsidR="008378D4" w:rsidRDefault="008378D4">
            <w:pPr>
              <w:rPr>
                <w:sz w:val="20"/>
                <w:szCs w:val="20"/>
              </w:rPr>
            </w:pPr>
          </w:p>
        </w:tc>
      </w:tr>
      <w:tr w:rsidR="008378D4" w14:paraId="6D7A1F04" w14:textId="77777777" w:rsidTr="00E3739F">
        <w:trPr>
          <w:trHeight w:val="340"/>
        </w:trPr>
        <w:tc>
          <w:tcPr>
            <w:tcW w:w="1176" w:type="dxa"/>
            <w:tcBorders>
              <w:top w:val="single" w:sz="12" w:space="0" w:color="auto"/>
              <w:left w:val="nil"/>
              <w:bottom w:val="nil"/>
              <w:right w:val="nil"/>
            </w:tcBorders>
            <w:shd w:val="clear" w:color="auto" w:fill="auto"/>
            <w:noWrap/>
            <w:vAlign w:val="bottom"/>
            <w:hideMark/>
          </w:tcPr>
          <w:p w14:paraId="7218F439" w14:textId="77777777" w:rsidR="008378D4" w:rsidRDefault="008378D4">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25E3009" w14:textId="77777777" w:rsidR="008378D4" w:rsidRDefault="008378D4">
            <w:pPr>
              <w:rPr>
                <w:color w:val="000000"/>
                <w:sz w:val="20"/>
                <w:szCs w:val="20"/>
              </w:rPr>
            </w:pPr>
            <w:r>
              <w:rPr>
                <w:color w:val="000000"/>
                <w:sz w:val="20"/>
                <w:szCs w:val="20"/>
              </w:rPr>
              <w:t>Brain network</w:t>
            </w:r>
          </w:p>
        </w:tc>
        <w:tc>
          <w:tcPr>
            <w:tcW w:w="2303" w:type="dxa"/>
            <w:gridSpan w:val="3"/>
            <w:tcBorders>
              <w:top w:val="single" w:sz="8" w:space="0" w:color="auto"/>
              <w:left w:val="nil"/>
              <w:bottom w:val="single" w:sz="12" w:space="0" w:color="auto"/>
              <w:right w:val="nil"/>
            </w:tcBorders>
            <w:shd w:val="clear" w:color="auto" w:fill="auto"/>
            <w:noWrap/>
            <w:vAlign w:val="center"/>
            <w:hideMark/>
          </w:tcPr>
          <w:p w14:paraId="32659087" w14:textId="2E2E61BB" w:rsidR="008378D4" w:rsidRDefault="008378D4">
            <w:pPr>
              <w:jc w:val="center"/>
              <w:rPr>
                <w:color w:val="000000"/>
                <w:sz w:val="20"/>
                <w:szCs w:val="20"/>
              </w:rPr>
            </w:pPr>
            <w:r>
              <w:rPr>
                <w:color w:val="000000"/>
                <w:sz w:val="20"/>
                <w:szCs w:val="20"/>
              </w:rPr>
              <w:t>General</w:t>
            </w:r>
            <w:r w:rsidR="009A7008">
              <w:rPr>
                <w:color w:val="000000"/>
                <w:sz w:val="20"/>
                <w:szCs w:val="20"/>
              </w:rPr>
              <w:t xml:space="preserve"> Environ</w:t>
            </w:r>
            <w:r w:rsidR="00E3739F">
              <w:rPr>
                <w:color w:val="000000"/>
                <w:sz w:val="20"/>
                <w:szCs w:val="20"/>
              </w:rPr>
              <w:t>m</w:t>
            </w:r>
            <w:r w:rsidR="009A7008">
              <w:rPr>
                <w:color w:val="000000"/>
                <w:sz w:val="20"/>
                <w:szCs w:val="20"/>
              </w:rPr>
              <w:t>e</w:t>
            </w:r>
            <w:r w:rsidR="00E3739F">
              <w:rPr>
                <w:color w:val="000000"/>
                <w:sz w:val="20"/>
                <w:szCs w:val="20"/>
              </w:rPr>
              <w:t>n</w:t>
            </w:r>
            <w:r w:rsidR="009A7008">
              <w:rPr>
                <w:color w:val="000000"/>
                <w:sz w:val="20"/>
                <w:szCs w:val="20"/>
              </w:rPr>
              <w:t>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D665AEA" w14:textId="77777777" w:rsidR="008378D4" w:rsidRDefault="008378D4">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ABAB4F9" w14:textId="77777777" w:rsidR="008378D4" w:rsidRDefault="008378D4">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7BD98F0" w14:textId="77777777" w:rsidR="008378D4" w:rsidRDefault="008378D4">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4FA0F8EB" w14:textId="77777777" w:rsidR="008378D4" w:rsidRDefault="008378D4">
            <w:pPr>
              <w:jc w:val="center"/>
              <w:rPr>
                <w:color w:val="000000"/>
                <w:sz w:val="20"/>
                <w:szCs w:val="20"/>
              </w:rPr>
            </w:pPr>
            <w:r>
              <w:rPr>
                <w:color w:val="000000"/>
                <w:sz w:val="20"/>
                <w:szCs w:val="20"/>
              </w:rPr>
              <w:t>Urbanicity</w:t>
            </w:r>
          </w:p>
        </w:tc>
      </w:tr>
      <w:tr w:rsidR="002125FE" w14:paraId="18127EB9" w14:textId="77777777" w:rsidTr="00E3739F">
        <w:trPr>
          <w:trHeight w:val="360"/>
        </w:trPr>
        <w:tc>
          <w:tcPr>
            <w:tcW w:w="1176" w:type="dxa"/>
            <w:tcBorders>
              <w:top w:val="nil"/>
              <w:left w:val="nil"/>
              <w:bottom w:val="single" w:sz="12" w:space="0" w:color="auto"/>
              <w:right w:val="nil"/>
            </w:tcBorders>
            <w:shd w:val="clear" w:color="auto" w:fill="auto"/>
            <w:noWrap/>
            <w:vAlign w:val="bottom"/>
            <w:hideMark/>
          </w:tcPr>
          <w:p w14:paraId="0104DFE2"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330D854B"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28BF5DD3" w14:textId="419CF31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07F22E2" w14:textId="28BC8ADC"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86A1547" w14:textId="6427D676"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8BF066E" w14:textId="675B6413"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366884C" w14:textId="058FD722"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F879962" w14:textId="7A3CD49E"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0143346" w14:textId="0AB5A41E"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1FFC2D8" w14:textId="5D021C56"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BE2BE11" w14:textId="35060927"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4A29E11" w14:textId="2A7FDEA7"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D96D0D0" w14:textId="7B68BDAF"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DD57EDA" w14:textId="7C41DE5A"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2702904" w14:textId="05FC2599"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3E264A8" w14:textId="38138565"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F3C5195" w14:textId="5FF14B48"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2E484C" w14:paraId="6083379F" w14:textId="77777777" w:rsidTr="00E3739F">
        <w:trPr>
          <w:trHeight w:val="320"/>
        </w:trPr>
        <w:tc>
          <w:tcPr>
            <w:tcW w:w="1176" w:type="dxa"/>
            <w:tcBorders>
              <w:top w:val="single" w:sz="12" w:space="0" w:color="auto"/>
              <w:left w:val="nil"/>
              <w:bottom w:val="nil"/>
              <w:right w:val="nil"/>
            </w:tcBorders>
            <w:shd w:val="clear" w:color="auto" w:fill="auto"/>
            <w:noWrap/>
            <w:vAlign w:val="bottom"/>
            <w:hideMark/>
          </w:tcPr>
          <w:p w14:paraId="18943E86" w14:textId="77777777" w:rsidR="002E484C" w:rsidRDefault="002E484C" w:rsidP="002E484C">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0A2F60D1" w14:textId="77777777" w:rsidR="002E484C" w:rsidRDefault="002E484C" w:rsidP="002E484C">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56A1E600" w14:textId="721A2BA5" w:rsidR="002E484C" w:rsidRDefault="002E484C" w:rsidP="002E484C">
            <w:pPr>
              <w:jc w:val="right"/>
              <w:rPr>
                <w:color w:val="000000"/>
                <w:sz w:val="20"/>
                <w:szCs w:val="20"/>
              </w:rPr>
            </w:pPr>
            <w:r>
              <w:rPr>
                <w:color w:val="000000"/>
                <w:sz w:val="20"/>
                <w:szCs w:val="20"/>
              </w:rPr>
              <w:t>0.022</w:t>
            </w:r>
          </w:p>
        </w:tc>
        <w:tc>
          <w:tcPr>
            <w:tcW w:w="768" w:type="dxa"/>
            <w:tcBorders>
              <w:top w:val="single" w:sz="12" w:space="0" w:color="auto"/>
              <w:left w:val="nil"/>
              <w:bottom w:val="nil"/>
              <w:right w:val="nil"/>
            </w:tcBorders>
            <w:shd w:val="clear" w:color="auto" w:fill="auto"/>
            <w:noWrap/>
            <w:vAlign w:val="bottom"/>
            <w:hideMark/>
          </w:tcPr>
          <w:p w14:paraId="1C01710F" w14:textId="0C0190F9" w:rsidR="002E484C" w:rsidRDefault="002E484C" w:rsidP="002E484C">
            <w:pPr>
              <w:jc w:val="right"/>
              <w:rPr>
                <w:color w:val="000000"/>
                <w:sz w:val="20"/>
                <w:szCs w:val="20"/>
              </w:rPr>
            </w:pPr>
            <w:r>
              <w:rPr>
                <w:color w:val="000000"/>
                <w:sz w:val="20"/>
                <w:szCs w:val="20"/>
              </w:rPr>
              <w:t>0.581</w:t>
            </w:r>
          </w:p>
        </w:tc>
        <w:tc>
          <w:tcPr>
            <w:tcW w:w="768" w:type="dxa"/>
            <w:tcBorders>
              <w:top w:val="single" w:sz="12" w:space="0" w:color="auto"/>
              <w:left w:val="nil"/>
              <w:bottom w:val="nil"/>
              <w:right w:val="nil"/>
            </w:tcBorders>
            <w:shd w:val="clear" w:color="auto" w:fill="auto"/>
            <w:noWrap/>
            <w:vAlign w:val="bottom"/>
            <w:hideMark/>
          </w:tcPr>
          <w:p w14:paraId="7E5B04DE" w14:textId="6BD69AD3" w:rsidR="002E484C" w:rsidRDefault="002E484C" w:rsidP="002E484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4D6B03D" w14:textId="177B9C2D" w:rsidR="002E484C" w:rsidRDefault="002E484C" w:rsidP="002E484C">
            <w:pPr>
              <w:jc w:val="right"/>
              <w:rPr>
                <w:color w:val="000000"/>
                <w:sz w:val="20"/>
                <w:szCs w:val="20"/>
              </w:rPr>
            </w:pPr>
            <w:r>
              <w:rPr>
                <w:color w:val="000000"/>
                <w:sz w:val="20"/>
                <w:szCs w:val="20"/>
              </w:rPr>
              <w:t>-0.005</w:t>
            </w:r>
          </w:p>
        </w:tc>
        <w:tc>
          <w:tcPr>
            <w:tcW w:w="768" w:type="dxa"/>
            <w:tcBorders>
              <w:top w:val="single" w:sz="12" w:space="0" w:color="auto"/>
              <w:left w:val="nil"/>
              <w:bottom w:val="nil"/>
              <w:right w:val="nil"/>
            </w:tcBorders>
            <w:shd w:val="clear" w:color="auto" w:fill="auto"/>
            <w:noWrap/>
            <w:vAlign w:val="bottom"/>
            <w:hideMark/>
          </w:tcPr>
          <w:p w14:paraId="3B33C3BE" w14:textId="6AE591B1" w:rsidR="002E484C" w:rsidRDefault="002E484C" w:rsidP="002E484C">
            <w:pPr>
              <w:jc w:val="right"/>
              <w:rPr>
                <w:color w:val="000000"/>
                <w:sz w:val="20"/>
                <w:szCs w:val="20"/>
              </w:rPr>
            </w:pPr>
            <w:r>
              <w:rPr>
                <w:color w:val="000000"/>
                <w:sz w:val="20"/>
                <w:szCs w:val="20"/>
              </w:rPr>
              <w:t>0.956</w:t>
            </w:r>
          </w:p>
        </w:tc>
        <w:tc>
          <w:tcPr>
            <w:tcW w:w="768" w:type="dxa"/>
            <w:tcBorders>
              <w:top w:val="single" w:sz="12" w:space="0" w:color="auto"/>
              <w:left w:val="nil"/>
              <w:bottom w:val="nil"/>
              <w:right w:val="nil"/>
            </w:tcBorders>
            <w:shd w:val="clear" w:color="auto" w:fill="auto"/>
            <w:noWrap/>
            <w:vAlign w:val="bottom"/>
            <w:hideMark/>
          </w:tcPr>
          <w:p w14:paraId="4BE9109C" w14:textId="6DAC04A1" w:rsidR="002E484C" w:rsidRDefault="002E484C" w:rsidP="002E484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72F208A" w14:textId="0D53AAEC" w:rsidR="002E484C" w:rsidRDefault="002E484C" w:rsidP="002E484C">
            <w:pPr>
              <w:jc w:val="right"/>
              <w:rPr>
                <w:color w:val="000000"/>
                <w:sz w:val="20"/>
                <w:szCs w:val="20"/>
              </w:rPr>
            </w:pPr>
            <w:r>
              <w:rPr>
                <w:color w:val="000000"/>
                <w:sz w:val="20"/>
                <w:szCs w:val="20"/>
              </w:rPr>
              <w:t>-0.016</w:t>
            </w:r>
          </w:p>
        </w:tc>
        <w:tc>
          <w:tcPr>
            <w:tcW w:w="768" w:type="dxa"/>
            <w:tcBorders>
              <w:top w:val="single" w:sz="12" w:space="0" w:color="auto"/>
              <w:left w:val="nil"/>
              <w:bottom w:val="nil"/>
              <w:right w:val="nil"/>
            </w:tcBorders>
            <w:shd w:val="clear" w:color="auto" w:fill="auto"/>
            <w:noWrap/>
            <w:vAlign w:val="bottom"/>
            <w:hideMark/>
          </w:tcPr>
          <w:p w14:paraId="76002F3D" w14:textId="2F2C9153" w:rsidR="002E484C" w:rsidRDefault="002E484C" w:rsidP="002E484C">
            <w:pPr>
              <w:jc w:val="right"/>
              <w:rPr>
                <w:color w:val="000000"/>
                <w:sz w:val="20"/>
                <w:szCs w:val="20"/>
              </w:rPr>
            </w:pPr>
            <w:r>
              <w:rPr>
                <w:color w:val="000000"/>
                <w:sz w:val="20"/>
                <w:szCs w:val="20"/>
              </w:rPr>
              <w:t>0.857</w:t>
            </w:r>
          </w:p>
        </w:tc>
        <w:tc>
          <w:tcPr>
            <w:tcW w:w="768" w:type="dxa"/>
            <w:tcBorders>
              <w:top w:val="single" w:sz="12" w:space="0" w:color="auto"/>
              <w:left w:val="nil"/>
              <w:bottom w:val="nil"/>
              <w:right w:val="nil"/>
            </w:tcBorders>
            <w:shd w:val="clear" w:color="auto" w:fill="auto"/>
            <w:noWrap/>
            <w:vAlign w:val="bottom"/>
            <w:hideMark/>
          </w:tcPr>
          <w:p w14:paraId="00212097" w14:textId="53630A08" w:rsidR="002E484C" w:rsidRDefault="002E484C" w:rsidP="002E484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1EBE3DA" w14:textId="144D0EC0" w:rsidR="002E484C" w:rsidRDefault="002E484C" w:rsidP="002E484C">
            <w:pPr>
              <w:jc w:val="right"/>
              <w:rPr>
                <w:color w:val="000000"/>
                <w:sz w:val="20"/>
                <w:szCs w:val="20"/>
              </w:rPr>
            </w:pPr>
            <w:r>
              <w:rPr>
                <w:color w:val="000000"/>
                <w:sz w:val="20"/>
                <w:szCs w:val="20"/>
              </w:rPr>
              <w:t>-0.038</w:t>
            </w:r>
          </w:p>
        </w:tc>
        <w:tc>
          <w:tcPr>
            <w:tcW w:w="768" w:type="dxa"/>
            <w:tcBorders>
              <w:top w:val="single" w:sz="12" w:space="0" w:color="auto"/>
              <w:left w:val="nil"/>
              <w:bottom w:val="nil"/>
              <w:right w:val="nil"/>
            </w:tcBorders>
            <w:shd w:val="clear" w:color="auto" w:fill="auto"/>
            <w:noWrap/>
            <w:vAlign w:val="bottom"/>
            <w:hideMark/>
          </w:tcPr>
          <w:p w14:paraId="2190CF02" w14:textId="65C1C373" w:rsidR="002E484C" w:rsidRDefault="002E484C" w:rsidP="002E484C">
            <w:pPr>
              <w:jc w:val="right"/>
              <w:rPr>
                <w:color w:val="000000"/>
                <w:sz w:val="20"/>
                <w:szCs w:val="20"/>
              </w:rPr>
            </w:pPr>
            <w:r>
              <w:rPr>
                <w:color w:val="000000"/>
                <w:sz w:val="20"/>
                <w:szCs w:val="20"/>
              </w:rPr>
              <w:t>0.667</w:t>
            </w:r>
          </w:p>
        </w:tc>
        <w:tc>
          <w:tcPr>
            <w:tcW w:w="768" w:type="dxa"/>
            <w:tcBorders>
              <w:top w:val="single" w:sz="12" w:space="0" w:color="auto"/>
              <w:left w:val="nil"/>
              <w:bottom w:val="nil"/>
              <w:right w:val="nil"/>
            </w:tcBorders>
            <w:shd w:val="clear" w:color="auto" w:fill="auto"/>
            <w:noWrap/>
            <w:vAlign w:val="bottom"/>
            <w:hideMark/>
          </w:tcPr>
          <w:p w14:paraId="4B623309" w14:textId="5D71223D" w:rsidR="002E484C" w:rsidRDefault="002E484C" w:rsidP="002E484C">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114CABE0" w14:textId="79C2719D" w:rsidR="002E484C" w:rsidRDefault="002E484C" w:rsidP="002E484C">
            <w:pPr>
              <w:jc w:val="right"/>
              <w:rPr>
                <w:color w:val="000000"/>
                <w:sz w:val="20"/>
                <w:szCs w:val="20"/>
              </w:rPr>
            </w:pPr>
            <w:r>
              <w:rPr>
                <w:color w:val="000000"/>
                <w:sz w:val="20"/>
                <w:szCs w:val="20"/>
              </w:rPr>
              <w:t>0.040</w:t>
            </w:r>
          </w:p>
        </w:tc>
        <w:tc>
          <w:tcPr>
            <w:tcW w:w="768" w:type="dxa"/>
            <w:tcBorders>
              <w:top w:val="single" w:sz="12" w:space="0" w:color="auto"/>
              <w:left w:val="nil"/>
              <w:bottom w:val="nil"/>
              <w:right w:val="nil"/>
            </w:tcBorders>
            <w:shd w:val="clear" w:color="auto" w:fill="auto"/>
            <w:noWrap/>
            <w:vAlign w:val="bottom"/>
            <w:hideMark/>
          </w:tcPr>
          <w:p w14:paraId="456A6E6A" w14:textId="59883963" w:rsidR="002E484C" w:rsidRDefault="002E484C" w:rsidP="002E484C">
            <w:pPr>
              <w:jc w:val="right"/>
              <w:rPr>
                <w:color w:val="000000"/>
                <w:sz w:val="20"/>
                <w:szCs w:val="20"/>
              </w:rPr>
            </w:pPr>
            <w:r>
              <w:rPr>
                <w:color w:val="000000"/>
                <w:sz w:val="20"/>
                <w:szCs w:val="20"/>
              </w:rPr>
              <w:t>0.469</w:t>
            </w:r>
          </w:p>
        </w:tc>
        <w:tc>
          <w:tcPr>
            <w:tcW w:w="768" w:type="dxa"/>
            <w:tcBorders>
              <w:top w:val="single" w:sz="12" w:space="0" w:color="auto"/>
              <w:left w:val="nil"/>
              <w:bottom w:val="nil"/>
              <w:right w:val="nil"/>
            </w:tcBorders>
            <w:shd w:val="clear" w:color="auto" w:fill="auto"/>
            <w:noWrap/>
            <w:vAlign w:val="bottom"/>
            <w:hideMark/>
          </w:tcPr>
          <w:p w14:paraId="1F1AC1A2" w14:textId="797F737D" w:rsidR="002E484C" w:rsidRDefault="002E484C" w:rsidP="002E484C">
            <w:pPr>
              <w:jc w:val="right"/>
              <w:rPr>
                <w:color w:val="000000"/>
                <w:sz w:val="20"/>
                <w:szCs w:val="20"/>
              </w:rPr>
            </w:pPr>
            <w:r>
              <w:rPr>
                <w:color w:val="000000"/>
                <w:sz w:val="20"/>
                <w:szCs w:val="20"/>
              </w:rPr>
              <w:t>0.002</w:t>
            </w:r>
          </w:p>
        </w:tc>
      </w:tr>
      <w:tr w:rsidR="002E484C" w14:paraId="2C724D0E" w14:textId="77777777" w:rsidTr="008378D4">
        <w:trPr>
          <w:trHeight w:val="340"/>
        </w:trPr>
        <w:tc>
          <w:tcPr>
            <w:tcW w:w="1176" w:type="dxa"/>
            <w:tcBorders>
              <w:top w:val="nil"/>
              <w:left w:val="nil"/>
              <w:bottom w:val="nil"/>
              <w:right w:val="nil"/>
            </w:tcBorders>
            <w:shd w:val="clear" w:color="auto" w:fill="auto"/>
            <w:noWrap/>
            <w:vAlign w:val="bottom"/>
            <w:hideMark/>
          </w:tcPr>
          <w:p w14:paraId="24F9AB73"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3328B5" w14:textId="77777777" w:rsidR="002E484C" w:rsidRDefault="002E484C" w:rsidP="002E484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AAD57A2" w14:textId="76FAE078" w:rsidR="002E484C" w:rsidRDefault="002E484C" w:rsidP="002E484C">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4707BE50" w14:textId="501F9D68" w:rsidR="002E484C" w:rsidRDefault="002E484C" w:rsidP="002E484C">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0F1CE273" w14:textId="0FFBD9F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281205" w14:textId="2403442F" w:rsidR="002E484C" w:rsidRDefault="002E484C" w:rsidP="002E484C">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6482528" w14:textId="4C2972AD" w:rsidR="002E484C" w:rsidRDefault="002E484C" w:rsidP="002E484C">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08C6331F" w14:textId="30386060"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A3D998" w14:textId="168C1306" w:rsidR="002E484C" w:rsidRDefault="002E484C" w:rsidP="002E484C">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6DF71F0" w14:textId="3E7282D8" w:rsidR="002E484C" w:rsidRDefault="002E484C" w:rsidP="002E484C">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0522D63D" w14:textId="3D6AF865"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8191AB" w14:textId="53501387" w:rsidR="002E484C" w:rsidRDefault="002E484C" w:rsidP="002E484C">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19BE06BE" w14:textId="17A2F5A7" w:rsidR="002E484C" w:rsidRDefault="002E484C" w:rsidP="002E484C">
            <w:pPr>
              <w:jc w:val="right"/>
              <w:rPr>
                <w:color w:val="000000"/>
                <w:sz w:val="20"/>
                <w:szCs w:val="20"/>
              </w:rPr>
            </w:pPr>
            <w:r>
              <w:rPr>
                <w:color w:val="000000"/>
                <w:sz w:val="20"/>
                <w:szCs w:val="20"/>
              </w:rPr>
              <w:t>0.828</w:t>
            </w:r>
          </w:p>
        </w:tc>
        <w:tc>
          <w:tcPr>
            <w:tcW w:w="768" w:type="dxa"/>
            <w:tcBorders>
              <w:top w:val="nil"/>
              <w:left w:val="nil"/>
              <w:bottom w:val="nil"/>
              <w:right w:val="nil"/>
            </w:tcBorders>
            <w:shd w:val="clear" w:color="auto" w:fill="auto"/>
            <w:noWrap/>
            <w:vAlign w:val="bottom"/>
            <w:hideMark/>
          </w:tcPr>
          <w:p w14:paraId="2A1574A7" w14:textId="3939577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28E50A" w14:textId="5A37397A" w:rsidR="002E484C" w:rsidRDefault="002E484C" w:rsidP="002E484C">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7FE77736" w14:textId="39F5627E" w:rsidR="002E484C" w:rsidRDefault="002E484C" w:rsidP="002E484C">
            <w:pPr>
              <w:jc w:val="right"/>
              <w:rPr>
                <w:color w:val="000000"/>
                <w:sz w:val="20"/>
                <w:szCs w:val="20"/>
              </w:rPr>
            </w:pPr>
            <w:r>
              <w:rPr>
                <w:color w:val="000000"/>
                <w:sz w:val="20"/>
                <w:szCs w:val="20"/>
              </w:rPr>
              <w:t>0.469</w:t>
            </w:r>
          </w:p>
        </w:tc>
        <w:tc>
          <w:tcPr>
            <w:tcW w:w="768" w:type="dxa"/>
            <w:tcBorders>
              <w:top w:val="nil"/>
              <w:left w:val="nil"/>
              <w:bottom w:val="nil"/>
              <w:right w:val="nil"/>
            </w:tcBorders>
            <w:shd w:val="clear" w:color="auto" w:fill="auto"/>
            <w:noWrap/>
            <w:vAlign w:val="bottom"/>
            <w:hideMark/>
          </w:tcPr>
          <w:p w14:paraId="6DD556DD" w14:textId="73CA8134" w:rsidR="002E484C" w:rsidRDefault="002E484C" w:rsidP="002E484C">
            <w:pPr>
              <w:jc w:val="right"/>
              <w:rPr>
                <w:color w:val="000000"/>
                <w:sz w:val="20"/>
                <w:szCs w:val="20"/>
              </w:rPr>
            </w:pPr>
            <w:r>
              <w:rPr>
                <w:color w:val="000000"/>
                <w:sz w:val="20"/>
                <w:szCs w:val="20"/>
              </w:rPr>
              <w:t>0.004</w:t>
            </w:r>
          </w:p>
        </w:tc>
      </w:tr>
      <w:tr w:rsidR="002E484C" w14:paraId="0CBD2B7F" w14:textId="77777777" w:rsidTr="008378D4">
        <w:trPr>
          <w:trHeight w:val="320"/>
        </w:trPr>
        <w:tc>
          <w:tcPr>
            <w:tcW w:w="1176" w:type="dxa"/>
            <w:tcBorders>
              <w:top w:val="nil"/>
              <w:left w:val="nil"/>
              <w:bottom w:val="nil"/>
              <w:right w:val="nil"/>
            </w:tcBorders>
            <w:shd w:val="clear" w:color="auto" w:fill="auto"/>
            <w:noWrap/>
            <w:vAlign w:val="bottom"/>
            <w:hideMark/>
          </w:tcPr>
          <w:p w14:paraId="3802D3CD"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F841E69" w14:textId="77777777" w:rsidR="002E484C" w:rsidRDefault="002E484C" w:rsidP="002E484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A8F9229" w14:textId="333E63FB" w:rsidR="002E484C" w:rsidRDefault="002E484C" w:rsidP="002E484C">
            <w:pPr>
              <w:jc w:val="right"/>
              <w:rPr>
                <w:color w:val="000000"/>
                <w:sz w:val="20"/>
                <w:szCs w:val="20"/>
              </w:rPr>
            </w:pPr>
            <w:r>
              <w:rPr>
                <w:color w:val="000000"/>
                <w:sz w:val="20"/>
                <w:szCs w:val="20"/>
              </w:rPr>
              <w:t>-0.131</w:t>
            </w:r>
          </w:p>
        </w:tc>
        <w:tc>
          <w:tcPr>
            <w:tcW w:w="768" w:type="dxa"/>
            <w:tcBorders>
              <w:top w:val="nil"/>
              <w:left w:val="nil"/>
              <w:bottom w:val="nil"/>
              <w:right w:val="nil"/>
            </w:tcBorders>
            <w:shd w:val="clear" w:color="auto" w:fill="auto"/>
            <w:noWrap/>
            <w:vAlign w:val="bottom"/>
            <w:hideMark/>
          </w:tcPr>
          <w:p w14:paraId="20E71DF1" w14:textId="22EBC4AC" w:rsidR="002E484C" w:rsidRDefault="002E484C" w:rsidP="002E484C">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5D74615E" w14:textId="67092FFB" w:rsidR="002E484C" w:rsidRDefault="002E484C" w:rsidP="002E484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4C8438A" w14:textId="3EC1171F" w:rsidR="002E484C" w:rsidRDefault="002E484C" w:rsidP="002E484C">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21D3F0A8" w14:textId="03524659" w:rsidR="002E484C" w:rsidRDefault="002E484C" w:rsidP="002E484C">
            <w:pPr>
              <w:jc w:val="right"/>
              <w:rPr>
                <w:color w:val="000000"/>
                <w:sz w:val="20"/>
                <w:szCs w:val="20"/>
              </w:rPr>
            </w:pPr>
            <w:r>
              <w:rPr>
                <w:color w:val="000000"/>
                <w:sz w:val="20"/>
                <w:szCs w:val="20"/>
              </w:rPr>
              <w:t>0.341</w:t>
            </w:r>
          </w:p>
        </w:tc>
        <w:tc>
          <w:tcPr>
            <w:tcW w:w="768" w:type="dxa"/>
            <w:tcBorders>
              <w:top w:val="nil"/>
              <w:left w:val="nil"/>
              <w:bottom w:val="nil"/>
              <w:right w:val="nil"/>
            </w:tcBorders>
            <w:shd w:val="clear" w:color="auto" w:fill="auto"/>
            <w:noWrap/>
            <w:vAlign w:val="bottom"/>
            <w:hideMark/>
          </w:tcPr>
          <w:p w14:paraId="5AC4299B" w14:textId="65C50048" w:rsidR="002E484C" w:rsidRDefault="002E484C" w:rsidP="002E484C">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27D1193" w14:textId="53480281" w:rsidR="002E484C" w:rsidRDefault="002E484C" w:rsidP="002E484C">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03180E52" w14:textId="4859AB6F" w:rsidR="002E484C" w:rsidRDefault="002E484C" w:rsidP="002E484C">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4CEA1211" w14:textId="69D4E314"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AC3EB72" w14:textId="6C04FF1F" w:rsidR="002E484C" w:rsidRDefault="002E484C" w:rsidP="002E484C">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592C5A04" w14:textId="5093AAA2" w:rsidR="002E484C" w:rsidRDefault="002E484C" w:rsidP="002E484C">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158630FC" w14:textId="1B62F49E" w:rsidR="002E484C" w:rsidRDefault="002E484C" w:rsidP="002E484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811EBBE" w14:textId="7BF30F15" w:rsidR="002E484C" w:rsidRDefault="002E484C" w:rsidP="002E484C">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428DBAB4" w14:textId="494422C8" w:rsidR="002E484C" w:rsidRDefault="002E484C" w:rsidP="002E484C">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52406DB2" w14:textId="04538E41" w:rsidR="002E484C" w:rsidRDefault="002E484C" w:rsidP="002E484C">
            <w:pPr>
              <w:jc w:val="right"/>
              <w:rPr>
                <w:color w:val="000000"/>
                <w:sz w:val="20"/>
                <w:szCs w:val="20"/>
              </w:rPr>
            </w:pPr>
            <w:r>
              <w:rPr>
                <w:color w:val="000000"/>
                <w:sz w:val="20"/>
                <w:szCs w:val="20"/>
              </w:rPr>
              <w:t>0.003</w:t>
            </w:r>
          </w:p>
        </w:tc>
      </w:tr>
      <w:tr w:rsidR="002E484C" w14:paraId="6C207244" w14:textId="77777777" w:rsidTr="008378D4">
        <w:trPr>
          <w:trHeight w:val="320"/>
        </w:trPr>
        <w:tc>
          <w:tcPr>
            <w:tcW w:w="1176" w:type="dxa"/>
            <w:tcBorders>
              <w:top w:val="nil"/>
              <w:left w:val="nil"/>
              <w:bottom w:val="nil"/>
              <w:right w:val="nil"/>
            </w:tcBorders>
            <w:shd w:val="clear" w:color="auto" w:fill="auto"/>
            <w:noWrap/>
            <w:vAlign w:val="bottom"/>
            <w:hideMark/>
          </w:tcPr>
          <w:p w14:paraId="503A54D8"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8D5B4AA" w14:textId="77777777" w:rsidR="002E484C" w:rsidRDefault="002E484C" w:rsidP="002E484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980C18F" w14:textId="501A1BC2" w:rsidR="002E484C" w:rsidRDefault="002E484C" w:rsidP="002E484C">
            <w:pPr>
              <w:jc w:val="right"/>
              <w:rPr>
                <w:color w:val="000000"/>
                <w:sz w:val="20"/>
                <w:szCs w:val="20"/>
              </w:rPr>
            </w:pPr>
            <w:r>
              <w:rPr>
                <w:color w:val="000000"/>
                <w:sz w:val="20"/>
                <w:szCs w:val="20"/>
              </w:rPr>
              <w:t>0.210</w:t>
            </w:r>
          </w:p>
        </w:tc>
        <w:tc>
          <w:tcPr>
            <w:tcW w:w="768" w:type="dxa"/>
            <w:tcBorders>
              <w:top w:val="nil"/>
              <w:left w:val="nil"/>
              <w:bottom w:val="nil"/>
              <w:right w:val="nil"/>
            </w:tcBorders>
            <w:shd w:val="clear" w:color="auto" w:fill="auto"/>
            <w:noWrap/>
            <w:vAlign w:val="bottom"/>
            <w:hideMark/>
          </w:tcPr>
          <w:p w14:paraId="0B8E890F" w14:textId="01B00544" w:rsidR="002E484C" w:rsidRDefault="002E484C" w:rsidP="002E484C">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762CAC75" w14:textId="59DF5A5C" w:rsidR="002E484C" w:rsidRDefault="002E484C" w:rsidP="002E484C">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AE1048F" w14:textId="041BF923" w:rsidR="002E484C" w:rsidRDefault="002E484C" w:rsidP="002E484C">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1578A5C3" w14:textId="40F7A3FE" w:rsidR="002E484C" w:rsidRDefault="002E484C" w:rsidP="002E484C">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507BEC13" w14:textId="7D5FEF39"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D1C849F" w14:textId="373F1CAC" w:rsidR="002E484C" w:rsidRDefault="002E484C" w:rsidP="002E484C">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0A189AF0" w14:textId="0D431E8C" w:rsidR="002E484C" w:rsidRDefault="002E484C" w:rsidP="002E484C">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6CFC8E20" w14:textId="4FF6CDEC" w:rsidR="002E484C" w:rsidRDefault="002E484C" w:rsidP="002E484C">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FE55085" w14:textId="141EF285" w:rsidR="002E484C" w:rsidRDefault="002E484C" w:rsidP="002E484C">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B4ED191" w14:textId="7FE7A7AA" w:rsidR="002E484C" w:rsidRDefault="002E484C" w:rsidP="002E484C">
            <w:pPr>
              <w:jc w:val="right"/>
              <w:rPr>
                <w:color w:val="000000"/>
                <w:sz w:val="20"/>
                <w:szCs w:val="20"/>
              </w:rPr>
            </w:pPr>
            <w:r>
              <w:rPr>
                <w:color w:val="000000"/>
                <w:sz w:val="20"/>
                <w:szCs w:val="20"/>
              </w:rPr>
              <w:t>0.782</w:t>
            </w:r>
          </w:p>
        </w:tc>
        <w:tc>
          <w:tcPr>
            <w:tcW w:w="768" w:type="dxa"/>
            <w:tcBorders>
              <w:top w:val="nil"/>
              <w:left w:val="nil"/>
              <w:bottom w:val="nil"/>
              <w:right w:val="nil"/>
            </w:tcBorders>
            <w:shd w:val="clear" w:color="auto" w:fill="auto"/>
            <w:noWrap/>
            <w:vAlign w:val="bottom"/>
            <w:hideMark/>
          </w:tcPr>
          <w:p w14:paraId="69CA5395" w14:textId="3C3A6401"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1F565E8" w14:textId="5BFBFD45" w:rsidR="002E484C" w:rsidRDefault="002E484C" w:rsidP="002E484C">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0E53228B" w14:textId="6E2CF399" w:rsidR="002E484C" w:rsidRDefault="002E484C" w:rsidP="002E484C">
            <w:pPr>
              <w:jc w:val="right"/>
              <w:rPr>
                <w:color w:val="000000"/>
                <w:sz w:val="20"/>
                <w:szCs w:val="20"/>
              </w:rPr>
            </w:pPr>
            <w:r>
              <w:rPr>
                <w:color w:val="000000"/>
                <w:sz w:val="20"/>
                <w:szCs w:val="20"/>
              </w:rPr>
              <w:t>0.469</w:t>
            </w:r>
          </w:p>
        </w:tc>
        <w:tc>
          <w:tcPr>
            <w:tcW w:w="768" w:type="dxa"/>
            <w:tcBorders>
              <w:top w:val="nil"/>
              <w:left w:val="nil"/>
              <w:bottom w:val="nil"/>
              <w:right w:val="nil"/>
            </w:tcBorders>
            <w:shd w:val="clear" w:color="auto" w:fill="auto"/>
            <w:noWrap/>
            <w:vAlign w:val="bottom"/>
            <w:hideMark/>
          </w:tcPr>
          <w:p w14:paraId="2660D6E2" w14:textId="4A2ED3BB" w:rsidR="002E484C" w:rsidRDefault="002E484C" w:rsidP="002E484C">
            <w:pPr>
              <w:jc w:val="right"/>
              <w:rPr>
                <w:color w:val="000000"/>
                <w:sz w:val="20"/>
                <w:szCs w:val="20"/>
              </w:rPr>
            </w:pPr>
            <w:r>
              <w:rPr>
                <w:color w:val="000000"/>
                <w:sz w:val="20"/>
                <w:szCs w:val="20"/>
              </w:rPr>
              <w:t>0.007</w:t>
            </w:r>
          </w:p>
        </w:tc>
      </w:tr>
      <w:tr w:rsidR="002E484C" w14:paraId="6FC79421" w14:textId="77777777" w:rsidTr="008378D4">
        <w:trPr>
          <w:trHeight w:val="320"/>
        </w:trPr>
        <w:tc>
          <w:tcPr>
            <w:tcW w:w="1176" w:type="dxa"/>
            <w:tcBorders>
              <w:top w:val="nil"/>
              <w:left w:val="nil"/>
              <w:bottom w:val="nil"/>
              <w:right w:val="nil"/>
            </w:tcBorders>
            <w:shd w:val="clear" w:color="auto" w:fill="auto"/>
            <w:noWrap/>
            <w:vAlign w:val="bottom"/>
            <w:hideMark/>
          </w:tcPr>
          <w:p w14:paraId="33CC9690"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AB8CF87" w14:textId="77777777" w:rsidR="002E484C" w:rsidRDefault="002E484C" w:rsidP="002E484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EFE573E" w14:textId="4971370A" w:rsidR="002E484C" w:rsidRDefault="002E484C" w:rsidP="002E484C">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6E65C042" w14:textId="5883692C" w:rsidR="002E484C" w:rsidRDefault="002E484C" w:rsidP="002E484C">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508DA2E8" w14:textId="2DB7F9B5"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4AF6CBB" w14:textId="63B073E0" w:rsidR="002E484C" w:rsidRDefault="002E484C" w:rsidP="002E484C">
            <w:pPr>
              <w:jc w:val="right"/>
              <w:rPr>
                <w:color w:val="000000"/>
                <w:sz w:val="20"/>
                <w:szCs w:val="20"/>
              </w:rPr>
            </w:pPr>
            <w:r>
              <w:rPr>
                <w:color w:val="000000"/>
                <w:sz w:val="20"/>
                <w:szCs w:val="20"/>
              </w:rPr>
              <w:t>0.115</w:t>
            </w:r>
          </w:p>
        </w:tc>
        <w:tc>
          <w:tcPr>
            <w:tcW w:w="768" w:type="dxa"/>
            <w:tcBorders>
              <w:top w:val="nil"/>
              <w:left w:val="nil"/>
              <w:bottom w:val="nil"/>
              <w:right w:val="nil"/>
            </w:tcBorders>
            <w:shd w:val="clear" w:color="auto" w:fill="auto"/>
            <w:noWrap/>
            <w:vAlign w:val="bottom"/>
            <w:hideMark/>
          </w:tcPr>
          <w:p w14:paraId="38EB2298" w14:textId="3A5B8A94" w:rsidR="002E484C" w:rsidRDefault="002E484C" w:rsidP="002E484C">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2F9AE0D6" w14:textId="0602387C" w:rsidR="002E484C" w:rsidRDefault="002E484C" w:rsidP="002E484C">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3B02D62" w14:textId="3E85F7DE" w:rsidR="002E484C" w:rsidRDefault="002E484C" w:rsidP="002E484C">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78C9F8EA" w14:textId="1A9F24EE" w:rsidR="002E484C" w:rsidRDefault="002E484C" w:rsidP="002E484C">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775F33EC" w14:textId="6C1D3E94"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A57DBF3" w14:textId="696359DC" w:rsidR="002E484C" w:rsidRDefault="002E484C" w:rsidP="002E484C">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79DAC74" w14:textId="4837253E" w:rsidR="002E484C" w:rsidRDefault="002E484C" w:rsidP="002E484C">
            <w:pPr>
              <w:jc w:val="right"/>
              <w:rPr>
                <w:color w:val="000000"/>
                <w:sz w:val="20"/>
                <w:szCs w:val="20"/>
              </w:rPr>
            </w:pPr>
            <w:r>
              <w:rPr>
                <w:color w:val="000000"/>
                <w:sz w:val="20"/>
                <w:szCs w:val="20"/>
              </w:rPr>
              <w:t>0.782</w:t>
            </w:r>
          </w:p>
        </w:tc>
        <w:tc>
          <w:tcPr>
            <w:tcW w:w="768" w:type="dxa"/>
            <w:tcBorders>
              <w:top w:val="nil"/>
              <w:left w:val="nil"/>
              <w:bottom w:val="nil"/>
              <w:right w:val="nil"/>
            </w:tcBorders>
            <w:shd w:val="clear" w:color="auto" w:fill="auto"/>
            <w:noWrap/>
            <w:vAlign w:val="bottom"/>
            <w:hideMark/>
          </w:tcPr>
          <w:p w14:paraId="36EDBA4E" w14:textId="4001039F"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1105D8" w14:textId="25E4FC98" w:rsidR="002E484C" w:rsidRDefault="002E484C" w:rsidP="002E484C">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7D1A228E" w14:textId="10A044F3" w:rsidR="002E484C" w:rsidRDefault="002E484C" w:rsidP="002E484C">
            <w:pPr>
              <w:jc w:val="right"/>
              <w:rPr>
                <w:color w:val="000000"/>
                <w:sz w:val="20"/>
                <w:szCs w:val="20"/>
              </w:rPr>
            </w:pPr>
            <w:r>
              <w:rPr>
                <w:color w:val="000000"/>
                <w:sz w:val="20"/>
                <w:szCs w:val="20"/>
              </w:rPr>
              <w:t>0.469</w:t>
            </w:r>
          </w:p>
        </w:tc>
        <w:tc>
          <w:tcPr>
            <w:tcW w:w="768" w:type="dxa"/>
            <w:tcBorders>
              <w:top w:val="nil"/>
              <w:left w:val="nil"/>
              <w:bottom w:val="nil"/>
              <w:right w:val="nil"/>
            </w:tcBorders>
            <w:shd w:val="clear" w:color="auto" w:fill="auto"/>
            <w:noWrap/>
            <w:vAlign w:val="bottom"/>
            <w:hideMark/>
          </w:tcPr>
          <w:p w14:paraId="6EACA1C9" w14:textId="65440929" w:rsidR="002E484C" w:rsidRDefault="002E484C" w:rsidP="002E484C">
            <w:pPr>
              <w:jc w:val="right"/>
              <w:rPr>
                <w:color w:val="000000"/>
                <w:sz w:val="20"/>
                <w:szCs w:val="20"/>
              </w:rPr>
            </w:pPr>
            <w:r>
              <w:rPr>
                <w:color w:val="000000"/>
                <w:sz w:val="20"/>
                <w:szCs w:val="20"/>
              </w:rPr>
              <w:t>0.003</w:t>
            </w:r>
          </w:p>
        </w:tc>
      </w:tr>
      <w:tr w:rsidR="002E484C" w14:paraId="597D733D" w14:textId="77777777" w:rsidTr="008378D4">
        <w:trPr>
          <w:trHeight w:val="320"/>
        </w:trPr>
        <w:tc>
          <w:tcPr>
            <w:tcW w:w="1176" w:type="dxa"/>
            <w:tcBorders>
              <w:top w:val="nil"/>
              <w:left w:val="nil"/>
              <w:bottom w:val="nil"/>
              <w:right w:val="nil"/>
            </w:tcBorders>
            <w:shd w:val="clear" w:color="auto" w:fill="auto"/>
            <w:noWrap/>
            <w:vAlign w:val="bottom"/>
            <w:hideMark/>
          </w:tcPr>
          <w:p w14:paraId="568A966C"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DB97E62" w14:textId="77777777" w:rsidR="002E484C" w:rsidRDefault="002E484C" w:rsidP="002E484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0324493" w14:textId="372F50D5" w:rsidR="002E484C" w:rsidRDefault="002E484C" w:rsidP="002E484C">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537DA679" w14:textId="0F3D3481" w:rsidR="002E484C" w:rsidRDefault="002E484C" w:rsidP="002E484C">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16685F87" w14:textId="2C21B777" w:rsidR="002E484C" w:rsidRDefault="002E484C" w:rsidP="002E484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D258347" w14:textId="143EE32F"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32A0E56" w14:textId="0FC3F089" w:rsidR="002E484C" w:rsidRDefault="002E484C" w:rsidP="002E484C">
            <w:pPr>
              <w:jc w:val="right"/>
              <w:rPr>
                <w:color w:val="000000"/>
                <w:sz w:val="20"/>
                <w:szCs w:val="20"/>
              </w:rPr>
            </w:pPr>
            <w:r>
              <w:rPr>
                <w:color w:val="000000"/>
                <w:sz w:val="20"/>
                <w:szCs w:val="20"/>
              </w:rPr>
              <w:t>0.956</w:t>
            </w:r>
          </w:p>
        </w:tc>
        <w:tc>
          <w:tcPr>
            <w:tcW w:w="768" w:type="dxa"/>
            <w:tcBorders>
              <w:top w:val="nil"/>
              <w:left w:val="nil"/>
              <w:bottom w:val="nil"/>
              <w:right w:val="nil"/>
            </w:tcBorders>
            <w:shd w:val="clear" w:color="auto" w:fill="auto"/>
            <w:noWrap/>
            <w:vAlign w:val="bottom"/>
            <w:hideMark/>
          </w:tcPr>
          <w:p w14:paraId="5F74E763" w14:textId="7F11949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DD9B41" w14:textId="1B659FED" w:rsidR="002E484C" w:rsidRDefault="002E484C" w:rsidP="002E484C">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A99E1BC" w14:textId="5067AF45" w:rsidR="002E484C" w:rsidRDefault="002E484C" w:rsidP="002E484C">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6C75A9F5" w14:textId="21B95411"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0612D6" w14:textId="31B813FB" w:rsidR="002E484C" w:rsidRDefault="002E484C" w:rsidP="002E484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90D9F3D" w14:textId="14C652EF" w:rsidR="002E484C" w:rsidRDefault="002E484C" w:rsidP="002E484C">
            <w:pPr>
              <w:jc w:val="right"/>
              <w:rPr>
                <w:color w:val="000000"/>
                <w:sz w:val="20"/>
                <w:szCs w:val="20"/>
              </w:rPr>
            </w:pPr>
            <w:r>
              <w:rPr>
                <w:color w:val="000000"/>
                <w:sz w:val="20"/>
                <w:szCs w:val="20"/>
              </w:rPr>
              <w:t>0.828</w:t>
            </w:r>
          </w:p>
        </w:tc>
        <w:tc>
          <w:tcPr>
            <w:tcW w:w="768" w:type="dxa"/>
            <w:tcBorders>
              <w:top w:val="nil"/>
              <w:left w:val="nil"/>
              <w:bottom w:val="nil"/>
              <w:right w:val="nil"/>
            </w:tcBorders>
            <w:shd w:val="clear" w:color="auto" w:fill="auto"/>
            <w:noWrap/>
            <w:vAlign w:val="bottom"/>
            <w:hideMark/>
          </w:tcPr>
          <w:p w14:paraId="1AA2DEF9" w14:textId="1A70908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50BB03" w14:textId="3A2A1F03" w:rsidR="002E484C" w:rsidRDefault="002E484C" w:rsidP="002E484C">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35236A03" w14:textId="4E05E657" w:rsidR="002E484C" w:rsidRDefault="002E484C" w:rsidP="002E484C">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2AA6BBC0" w14:textId="00DB08C8" w:rsidR="002E484C" w:rsidRDefault="002E484C" w:rsidP="002E484C">
            <w:pPr>
              <w:jc w:val="right"/>
              <w:rPr>
                <w:color w:val="000000"/>
                <w:sz w:val="20"/>
                <w:szCs w:val="20"/>
              </w:rPr>
            </w:pPr>
            <w:r>
              <w:rPr>
                <w:color w:val="000000"/>
                <w:sz w:val="20"/>
                <w:szCs w:val="20"/>
              </w:rPr>
              <w:t>0.008</w:t>
            </w:r>
          </w:p>
        </w:tc>
      </w:tr>
      <w:tr w:rsidR="002E484C" w14:paraId="2E6EA756" w14:textId="77777777" w:rsidTr="008378D4">
        <w:trPr>
          <w:trHeight w:val="320"/>
        </w:trPr>
        <w:tc>
          <w:tcPr>
            <w:tcW w:w="1176" w:type="dxa"/>
            <w:tcBorders>
              <w:top w:val="nil"/>
              <w:left w:val="nil"/>
              <w:bottom w:val="nil"/>
              <w:right w:val="nil"/>
            </w:tcBorders>
            <w:shd w:val="clear" w:color="auto" w:fill="auto"/>
            <w:noWrap/>
            <w:vAlign w:val="bottom"/>
            <w:hideMark/>
          </w:tcPr>
          <w:p w14:paraId="3CBAD7BB"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6F30257" w14:textId="77777777" w:rsidR="002E484C" w:rsidRDefault="002E484C" w:rsidP="002E484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3ADA28B" w14:textId="28FE6263" w:rsidR="002E484C" w:rsidRDefault="002E484C" w:rsidP="002E484C">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741674C" w14:textId="2A1B8E99" w:rsidR="002E484C" w:rsidRDefault="002E484C" w:rsidP="002E484C">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732475F2" w14:textId="1F21D54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CDAC9D" w14:textId="541B9C9B"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563EBDC" w14:textId="24DF225F" w:rsidR="002E484C" w:rsidRDefault="002E484C" w:rsidP="002E484C">
            <w:pPr>
              <w:jc w:val="right"/>
              <w:rPr>
                <w:color w:val="000000"/>
                <w:sz w:val="20"/>
                <w:szCs w:val="20"/>
              </w:rPr>
            </w:pPr>
            <w:r>
              <w:rPr>
                <w:color w:val="000000"/>
                <w:sz w:val="20"/>
                <w:szCs w:val="20"/>
              </w:rPr>
              <w:t>0.956</w:t>
            </w:r>
          </w:p>
        </w:tc>
        <w:tc>
          <w:tcPr>
            <w:tcW w:w="768" w:type="dxa"/>
            <w:tcBorders>
              <w:top w:val="nil"/>
              <w:left w:val="nil"/>
              <w:bottom w:val="nil"/>
              <w:right w:val="nil"/>
            </w:tcBorders>
            <w:shd w:val="clear" w:color="auto" w:fill="auto"/>
            <w:noWrap/>
            <w:vAlign w:val="bottom"/>
            <w:hideMark/>
          </w:tcPr>
          <w:p w14:paraId="455C352F" w14:textId="038FE041"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7112E1" w14:textId="6C17A83B" w:rsidR="002E484C" w:rsidRDefault="002E484C" w:rsidP="002E484C">
            <w:pPr>
              <w:jc w:val="right"/>
              <w:rPr>
                <w:b/>
                <w:bCs/>
                <w:color w:val="000000"/>
                <w:sz w:val="20"/>
                <w:szCs w:val="20"/>
              </w:rPr>
            </w:pPr>
            <w:r>
              <w:rPr>
                <w:b/>
                <w:bCs/>
                <w:color w:val="000000"/>
                <w:sz w:val="20"/>
                <w:szCs w:val="20"/>
              </w:rPr>
              <w:t>-0.101</w:t>
            </w:r>
          </w:p>
        </w:tc>
        <w:tc>
          <w:tcPr>
            <w:tcW w:w="768" w:type="dxa"/>
            <w:tcBorders>
              <w:top w:val="nil"/>
              <w:left w:val="nil"/>
              <w:bottom w:val="nil"/>
              <w:right w:val="nil"/>
            </w:tcBorders>
            <w:shd w:val="clear" w:color="auto" w:fill="auto"/>
            <w:noWrap/>
            <w:vAlign w:val="bottom"/>
            <w:hideMark/>
          </w:tcPr>
          <w:p w14:paraId="75EE3487" w14:textId="5BC796E9" w:rsidR="002E484C" w:rsidRDefault="002E484C" w:rsidP="002E484C">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4E62035F" w14:textId="694E9AD3" w:rsidR="002E484C" w:rsidRDefault="002E484C" w:rsidP="002E484C">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212835BF" w14:textId="3374336F" w:rsidR="002E484C" w:rsidRDefault="002E484C" w:rsidP="002E484C">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1EA298E3" w14:textId="10902564" w:rsidR="002E484C" w:rsidRDefault="002E484C" w:rsidP="002E484C">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5ECFEE4A" w14:textId="1A83D00D"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9F58511" w14:textId="6E3E7284" w:rsidR="002E484C" w:rsidRDefault="002E484C" w:rsidP="002E484C">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AFEC481" w14:textId="08843563" w:rsidR="002E484C" w:rsidRDefault="002E484C" w:rsidP="002E484C">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6AC54ED8" w14:textId="5F43AFA7" w:rsidR="002E484C" w:rsidRDefault="002E484C" w:rsidP="002E484C">
            <w:pPr>
              <w:jc w:val="right"/>
              <w:rPr>
                <w:color w:val="000000"/>
                <w:sz w:val="20"/>
                <w:szCs w:val="20"/>
              </w:rPr>
            </w:pPr>
            <w:r>
              <w:rPr>
                <w:color w:val="000000"/>
                <w:sz w:val="20"/>
                <w:szCs w:val="20"/>
              </w:rPr>
              <w:t>0.000</w:t>
            </w:r>
          </w:p>
        </w:tc>
      </w:tr>
      <w:tr w:rsidR="002E484C" w14:paraId="37E71461" w14:textId="77777777" w:rsidTr="008378D4">
        <w:trPr>
          <w:trHeight w:val="320"/>
        </w:trPr>
        <w:tc>
          <w:tcPr>
            <w:tcW w:w="1176" w:type="dxa"/>
            <w:tcBorders>
              <w:top w:val="nil"/>
              <w:left w:val="nil"/>
              <w:bottom w:val="single" w:sz="4" w:space="0" w:color="auto"/>
              <w:right w:val="nil"/>
            </w:tcBorders>
            <w:shd w:val="clear" w:color="auto" w:fill="auto"/>
            <w:noWrap/>
            <w:vAlign w:val="bottom"/>
            <w:hideMark/>
          </w:tcPr>
          <w:p w14:paraId="66165340" w14:textId="77777777" w:rsidR="002E484C" w:rsidRDefault="002E484C" w:rsidP="002E484C">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184A342" w14:textId="77777777" w:rsidR="002E484C" w:rsidRDefault="002E484C" w:rsidP="002E484C">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877C8C2" w14:textId="70AD2387" w:rsidR="002E484C" w:rsidRDefault="002E484C" w:rsidP="002E484C">
            <w:pPr>
              <w:jc w:val="right"/>
              <w:rPr>
                <w:color w:val="000000"/>
                <w:sz w:val="20"/>
                <w:szCs w:val="20"/>
              </w:rPr>
            </w:pPr>
            <w:r>
              <w:rPr>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065D93A5" w14:textId="4B9E390C" w:rsidR="002E484C" w:rsidRDefault="002E484C" w:rsidP="002E484C">
            <w:pPr>
              <w:jc w:val="right"/>
              <w:rPr>
                <w:color w:val="000000"/>
                <w:sz w:val="20"/>
                <w:szCs w:val="20"/>
              </w:rPr>
            </w:pPr>
            <w:r>
              <w:rPr>
                <w:color w:val="000000"/>
                <w:sz w:val="20"/>
                <w:szCs w:val="20"/>
              </w:rPr>
              <w:t>0.581</w:t>
            </w:r>
          </w:p>
        </w:tc>
        <w:tc>
          <w:tcPr>
            <w:tcW w:w="768" w:type="dxa"/>
            <w:tcBorders>
              <w:top w:val="nil"/>
              <w:left w:val="nil"/>
              <w:bottom w:val="single" w:sz="4" w:space="0" w:color="auto"/>
              <w:right w:val="nil"/>
            </w:tcBorders>
            <w:shd w:val="clear" w:color="auto" w:fill="auto"/>
            <w:noWrap/>
            <w:vAlign w:val="bottom"/>
            <w:hideMark/>
          </w:tcPr>
          <w:p w14:paraId="4EF5E5BA" w14:textId="55208541"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A7AE0AB" w14:textId="63143DAD" w:rsidR="002E484C" w:rsidRDefault="002E484C" w:rsidP="002E484C">
            <w:pPr>
              <w:jc w:val="right"/>
              <w:rPr>
                <w:color w:val="000000"/>
                <w:sz w:val="20"/>
                <w:szCs w:val="20"/>
              </w:rPr>
            </w:pPr>
            <w:r>
              <w:rPr>
                <w:color w:val="000000"/>
                <w:sz w:val="20"/>
                <w:szCs w:val="20"/>
              </w:rPr>
              <w:t>0.107</w:t>
            </w:r>
          </w:p>
        </w:tc>
        <w:tc>
          <w:tcPr>
            <w:tcW w:w="768" w:type="dxa"/>
            <w:tcBorders>
              <w:top w:val="nil"/>
              <w:left w:val="nil"/>
              <w:bottom w:val="single" w:sz="4" w:space="0" w:color="auto"/>
              <w:right w:val="nil"/>
            </w:tcBorders>
            <w:shd w:val="clear" w:color="auto" w:fill="auto"/>
            <w:noWrap/>
            <w:vAlign w:val="bottom"/>
            <w:hideMark/>
          </w:tcPr>
          <w:p w14:paraId="6709E0A0" w14:textId="7E11651B" w:rsidR="002E484C" w:rsidRDefault="002E484C" w:rsidP="002E484C">
            <w:pPr>
              <w:jc w:val="right"/>
              <w:rPr>
                <w:color w:val="000000"/>
                <w:sz w:val="20"/>
                <w:szCs w:val="20"/>
              </w:rPr>
            </w:pPr>
            <w:r>
              <w:rPr>
                <w:color w:val="000000"/>
                <w:sz w:val="20"/>
                <w:szCs w:val="20"/>
              </w:rPr>
              <w:t>0.172</w:t>
            </w:r>
          </w:p>
        </w:tc>
        <w:tc>
          <w:tcPr>
            <w:tcW w:w="768" w:type="dxa"/>
            <w:tcBorders>
              <w:top w:val="nil"/>
              <w:left w:val="nil"/>
              <w:bottom w:val="single" w:sz="4" w:space="0" w:color="auto"/>
              <w:right w:val="nil"/>
            </w:tcBorders>
            <w:shd w:val="clear" w:color="auto" w:fill="auto"/>
            <w:noWrap/>
            <w:vAlign w:val="bottom"/>
            <w:hideMark/>
          </w:tcPr>
          <w:p w14:paraId="00FB5888" w14:textId="27A73D99" w:rsidR="002E484C" w:rsidRDefault="002E484C" w:rsidP="002E484C">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45801D4B" w14:textId="617A4DE0"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5EF08F73" w14:textId="25FE204B" w:rsidR="002E484C" w:rsidRDefault="002E484C" w:rsidP="002E484C">
            <w:pPr>
              <w:jc w:val="right"/>
              <w:rPr>
                <w:color w:val="000000"/>
                <w:sz w:val="20"/>
                <w:szCs w:val="20"/>
              </w:rPr>
            </w:pPr>
            <w:r>
              <w:rPr>
                <w:color w:val="000000"/>
                <w:sz w:val="20"/>
                <w:szCs w:val="20"/>
              </w:rPr>
              <w:t>0.882</w:t>
            </w:r>
          </w:p>
        </w:tc>
        <w:tc>
          <w:tcPr>
            <w:tcW w:w="768" w:type="dxa"/>
            <w:tcBorders>
              <w:top w:val="nil"/>
              <w:left w:val="nil"/>
              <w:bottom w:val="single" w:sz="4" w:space="0" w:color="auto"/>
              <w:right w:val="nil"/>
            </w:tcBorders>
            <w:shd w:val="clear" w:color="auto" w:fill="auto"/>
            <w:noWrap/>
            <w:vAlign w:val="bottom"/>
            <w:hideMark/>
          </w:tcPr>
          <w:p w14:paraId="4DBC25D6" w14:textId="53C14DF2"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60474A2" w14:textId="3357EB7E" w:rsidR="002E484C" w:rsidRDefault="002E484C" w:rsidP="002E484C">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33FB484A" w14:textId="35CEEEEB" w:rsidR="002E484C" w:rsidRDefault="002E484C" w:rsidP="002E484C">
            <w:pPr>
              <w:jc w:val="right"/>
              <w:rPr>
                <w:color w:val="000000"/>
                <w:sz w:val="20"/>
                <w:szCs w:val="20"/>
              </w:rPr>
            </w:pPr>
            <w:r>
              <w:rPr>
                <w:color w:val="000000"/>
                <w:sz w:val="20"/>
                <w:szCs w:val="20"/>
              </w:rPr>
              <w:t>0.828</w:t>
            </w:r>
          </w:p>
        </w:tc>
        <w:tc>
          <w:tcPr>
            <w:tcW w:w="768" w:type="dxa"/>
            <w:tcBorders>
              <w:top w:val="nil"/>
              <w:left w:val="nil"/>
              <w:bottom w:val="single" w:sz="4" w:space="0" w:color="auto"/>
              <w:right w:val="nil"/>
            </w:tcBorders>
            <w:shd w:val="clear" w:color="auto" w:fill="auto"/>
            <w:noWrap/>
            <w:vAlign w:val="bottom"/>
            <w:hideMark/>
          </w:tcPr>
          <w:p w14:paraId="4A1105C4" w14:textId="35A1AFE5"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A17039A" w14:textId="02E6B68E"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2FF1E4CB" w14:textId="645DACD1" w:rsidR="002E484C" w:rsidRDefault="002E484C" w:rsidP="002E484C">
            <w:pPr>
              <w:jc w:val="right"/>
              <w:rPr>
                <w:color w:val="000000"/>
                <w:sz w:val="20"/>
                <w:szCs w:val="20"/>
              </w:rPr>
            </w:pPr>
            <w:r>
              <w:rPr>
                <w:color w:val="000000"/>
                <w:sz w:val="20"/>
                <w:szCs w:val="20"/>
              </w:rPr>
              <w:t>0.637</w:t>
            </w:r>
          </w:p>
        </w:tc>
        <w:tc>
          <w:tcPr>
            <w:tcW w:w="768" w:type="dxa"/>
            <w:tcBorders>
              <w:top w:val="nil"/>
              <w:left w:val="nil"/>
              <w:bottom w:val="single" w:sz="4" w:space="0" w:color="auto"/>
              <w:right w:val="nil"/>
            </w:tcBorders>
            <w:shd w:val="clear" w:color="auto" w:fill="auto"/>
            <w:noWrap/>
            <w:vAlign w:val="bottom"/>
            <w:hideMark/>
          </w:tcPr>
          <w:p w14:paraId="6DE2FBE9" w14:textId="54AC5E84" w:rsidR="002E484C" w:rsidRDefault="002E484C" w:rsidP="002E484C">
            <w:pPr>
              <w:jc w:val="right"/>
              <w:rPr>
                <w:color w:val="000000"/>
                <w:sz w:val="20"/>
                <w:szCs w:val="20"/>
              </w:rPr>
            </w:pPr>
            <w:r>
              <w:rPr>
                <w:color w:val="000000"/>
                <w:sz w:val="20"/>
                <w:szCs w:val="20"/>
              </w:rPr>
              <w:t>0.001</w:t>
            </w:r>
          </w:p>
        </w:tc>
      </w:tr>
      <w:tr w:rsidR="002E484C" w14:paraId="16365E4C" w14:textId="77777777" w:rsidTr="008378D4">
        <w:trPr>
          <w:trHeight w:val="320"/>
        </w:trPr>
        <w:tc>
          <w:tcPr>
            <w:tcW w:w="1176" w:type="dxa"/>
            <w:tcBorders>
              <w:top w:val="nil"/>
              <w:left w:val="nil"/>
              <w:bottom w:val="nil"/>
              <w:right w:val="nil"/>
            </w:tcBorders>
            <w:shd w:val="clear" w:color="auto" w:fill="auto"/>
            <w:noWrap/>
            <w:vAlign w:val="bottom"/>
            <w:hideMark/>
          </w:tcPr>
          <w:p w14:paraId="37059518" w14:textId="77777777" w:rsidR="002E484C" w:rsidRDefault="002E484C" w:rsidP="002E484C">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6C359AF9" w14:textId="77777777" w:rsidR="002E484C" w:rsidRDefault="002E484C" w:rsidP="002E484C">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F8739D1" w14:textId="3022A054"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1C1EE66" w14:textId="737BD96B" w:rsidR="002E484C" w:rsidRDefault="002E484C" w:rsidP="002E484C">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67E3B956" w14:textId="47670502"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4A02DE" w14:textId="3F06E5FB" w:rsidR="002E484C" w:rsidRDefault="002E484C" w:rsidP="002E484C">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05CC456" w14:textId="6A1A2DBE" w:rsidR="002E484C" w:rsidRDefault="002E484C" w:rsidP="002E484C">
            <w:pPr>
              <w:jc w:val="right"/>
              <w:rPr>
                <w:color w:val="000000"/>
                <w:sz w:val="20"/>
                <w:szCs w:val="20"/>
              </w:rPr>
            </w:pPr>
            <w:r>
              <w:rPr>
                <w:color w:val="000000"/>
                <w:sz w:val="20"/>
                <w:szCs w:val="20"/>
              </w:rPr>
              <w:t>0.657</w:t>
            </w:r>
          </w:p>
        </w:tc>
        <w:tc>
          <w:tcPr>
            <w:tcW w:w="768" w:type="dxa"/>
            <w:tcBorders>
              <w:top w:val="nil"/>
              <w:left w:val="nil"/>
              <w:bottom w:val="nil"/>
              <w:right w:val="nil"/>
            </w:tcBorders>
            <w:shd w:val="clear" w:color="auto" w:fill="auto"/>
            <w:noWrap/>
            <w:vAlign w:val="bottom"/>
            <w:hideMark/>
          </w:tcPr>
          <w:p w14:paraId="01E4C7E0" w14:textId="5598101B"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D48B6F" w14:textId="59398176" w:rsidR="002E484C" w:rsidRDefault="002E484C" w:rsidP="002E484C">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4F5E5DF" w14:textId="3EEF6122" w:rsidR="002E484C" w:rsidRDefault="002E484C" w:rsidP="002E484C">
            <w:pPr>
              <w:jc w:val="right"/>
              <w:rPr>
                <w:color w:val="000000"/>
                <w:sz w:val="20"/>
                <w:szCs w:val="20"/>
              </w:rPr>
            </w:pPr>
            <w:r>
              <w:rPr>
                <w:color w:val="000000"/>
                <w:sz w:val="20"/>
                <w:szCs w:val="20"/>
              </w:rPr>
              <w:t>0.452</w:t>
            </w:r>
          </w:p>
        </w:tc>
        <w:tc>
          <w:tcPr>
            <w:tcW w:w="768" w:type="dxa"/>
            <w:tcBorders>
              <w:top w:val="nil"/>
              <w:left w:val="nil"/>
              <w:bottom w:val="nil"/>
              <w:right w:val="nil"/>
            </w:tcBorders>
            <w:shd w:val="clear" w:color="auto" w:fill="auto"/>
            <w:noWrap/>
            <w:vAlign w:val="bottom"/>
            <w:hideMark/>
          </w:tcPr>
          <w:p w14:paraId="58807DA4" w14:textId="1D96C22A"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460F06B" w14:textId="0D77B224" w:rsidR="002E484C" w:rsidRDefault="002E484C" w:rsidP="002E484C">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5F40BAB" w14:textId="5FF72FC4" w:rsidR="002E484C" w:rsidRDefault="002E484C" w:rsidP="002E484C">
            <w:pPr>
              <w:jc w:val="right"/>
              <w:rPr>
                <w:color w:val="000000"/>
                <w:sz w:val="20"/>
                <w:szCs w:val="20"/>
              </w:rPr>
            </w:pPr>
            <w:r>
              <w:rPr>
                <w:color w:val="000000"/>
                <w:sz w:val="20"/>
                <w:szCs w:val="20"/>
              </w:rPr>
              <w:t>0.576</w:t>
            </w:r>
          </w:p>
        </w:tc>
        <w:tc>
          <w:tcPr>
            <w:tcW w:w="768" w:type="dxa"/>
            <w:tcBorders>
              <w:top w:val="nil"/>
              <w:left w:val="nil"/>
              <w:bottom w:val="nil"/>
              <w:right w:val="nil"/>
            </w:tcBorders>
            <w:shd w:val="clear" w:color="auto" w:fill="auto"/>
            <w:noWrap/>
            <w:vAlign w:val="bottom"/>
            <w:hideMark/>
          </w:tcPr>
          <w:p w14:paraId="1E706DF3" w14:textId="26236DDA"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36BA0C" w14:textId="23C268F1" w:rsidR="002E484C" w:rsidRDefault="002E484C" w:rsidP="002E484C">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008C5619" w14:textId="701E31FA" w:rsidR="002E484C" w:rsidRDefault="002E484C" w:rsidP="002E484C">
            <w:pPr>
              <w:jc w:val="right"/>
              <w:rPr>
                <w:color w:val="000000"/>
                <w:sz w:val="20"/>
                <w:szCs w:val="20"/>
              </w:rPr>
            </w:pPr>
            <w:r>
              <w:rPr>
                <w:color w:val="000000"/>
                <w:sz w:val="20"/>
                <w:szCs w:val="20"/>
              </w:rPr>
              <w:t>0.358</w:t>
            </w:r>
          </w:p>
        </w:tc>
        <w:tc>
          <w:tcPr>
            <w:tcW w:w="768" w:type="dxa"/>
            <w:tcBorders>
              <w:top w:val="nil"/>
              <w:left w:val="nil"/>
              <w:bottom w:val="nil"/>
              <w:right w:val="nil"/>
            </w:tcBorders>
            <w:shd w:val="clear" w:color="auto" w:fill="auto"/>
            <w:noWrap/>
            <w:vAlign w:val="bottom"/>
            <w:hideMark/>
          </w:tcPr>
          <w:p w14:paraId="22CFBA9A" w14:textId="576214CB" w:rsidR="002E484C" w:rsidRDefault="002E484C" w:rsidP="002E484C">
            <w:pPr>
              <w:jc w:val="right"/>
              <w:rPr>
                <w:color w:val="000000"/>
                <w:sz w:val="20"/>
                <w:szCs w:val="20"/>
              </w:rPr>
            </w:pPr>
            <w:r>
              <w:rPr>
                <w:color w:val="000000"/>
                <w:sz w:val="20"/>
                <w:szCs w:val="20"/>
              </w:rPr>
              <w:t>0.002</w:t>
            </w:r>
          </w:p>
        </w:tc>
      </w:tr>
      <w:tr w:rsidR="002E484C" w14:paraId="13F684BC" w14:textId="77777777" w:rsidTr="008378D4">
        <w:trPr>
          <w:trHeight w:val="320"/>
        </w:trPr>
        <w:tc>
          <w:tcPr>
            <w:tcW w:w="1176" w:type="dxa"/>
            <w:tcBorders>
              <w:top w:val="nil"/>
              <w:left w:val="nil"/>
              <w:bottom w:val="nil"/>
              <w:right w:val="nil"/>
            </w:tcBorders>
            <w:shd w:val="clear" w:color="auto" w:fill="auto"/>
            <w:noWrap/>
            <w:vAlign w:val="bottom"/>
            <w:hideMark/>
          </w:tcPr>
          <w:p w14:paraId="3ECC3900"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BB39DB6" w14:textId="77777777" w:rsidR="002E484C" w:rsidRDefault="002E484C" w:rsidP="002E484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4B63611" w14:textId="5788A988" w:rsidR="002E484C" w:rsidRDefault="002E484C" w:rsidP="002E484C">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D451A0C" w14:textId="1EB9977F" w:rsidR="002E484C" w:rsidRDefault="002E484C" w:rsidP="002E484C">
            <w:pPr>
              <w:jc w:val="right"/>
              <w:rPr>
                <w:color w:val="000000"/>
                <w:sz w:val="20"/>
                <w:szCs w:val="20"/>
              </w:rPr>
            </w:pPr>
            <w:r>
              <w:rPr>
                <w:color w:val="000000"/>
                <w:sz w:val="20"/>
                <w:szCs w:val="20"/>
              </w:rPr>
              <w:t>0.707</w:t>
            </w:r>
          </w:p>
        </w:tc>
        <w:tc>
          <w:tcPr>
            <w:tcW w:w="768" w:type="dxa"/>
            <w:tcBorders>
              <w:top w:val="nil"/>
              <w:left w:val="nil"/>
              <w:bottom w:val="nil"/>
              <w:right w:val="nil"/>
            </w:tcBorders>
            <w:shd w:val="clear" w:color="auto" w:fill="auto"/>
            <w:noWrap/>
            <w:vAlign w:val="bottom"/>
            <w:hideMark/>
          </w:tcPr>
          <w:p w14:paraId="2F04F92E" w14:textId="79DEE859"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D823BD" w14:textId="36219B2D" w:rsidR="002E484C" w:rsidRDefault="002E484C" w:rsidP="002E484C">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ADFF52F" w14:textId="4B6392D6" w:rsidR="002E484C" w:rsidRDefault="002E484C" w:rsidP="002E484C">
            <w:pPr>
              <w:jc w:val="right"/>
              <w:rPr>
                <w:color w:val="000000"/>
                <w:sz w:val="20"/>
                <w:szCs w:val="20"/>
              </w:rPr>
            </w:pPr>
            <w:r>
              <w:rPr>
                <w:color w:val="000000"/>
                <w:sz w:val="20"/>
                <w:szCs w:val="20"/>
              </w:rPr>
              <w:t>0.657</w:t>
            </w:r>
          </w:p>
        </w:tc>
        <w:tc>
          <w:tcPr>
            <w:tcW w:w="768" w:type="dxa"/>
            <w:tcBorders>
              <w:top w:val="nil"/>
              <w:left w:val="nil"/>
              <w:bottom w:val="nil"/>
              <w:right w:val="nil"/>
            </w:tcBorders>
            <w:shd w:val="clear" w:color="auto" w:fill="auto"/>
            <w:noWrap/>
            <w:vAlign w:val="bottom"/>
            <w:hideMark/>
          </w:tcPr>
          <w:p w14:paraId="3CCDD8BA" w14:textId="4A2845F4"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002A71" w14:textId="3FA90303" w:rsidR="002E484C" w:rsidRDefault="002E484C" w:rsidP="002E484C">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16906D8" w14:textId="6A091E2E" w:rsidR="002E484C" w:rsidRDefault="002E484C" w:rsidP="002E484C">
            <w:pPr>
              <w:jc w:val="right"/>
              <w:rPr>
                <w:color w:val="000000"/>
                <w:sz w:val="20"/>
                <w:szCs w:val="20"/>
              </w:rPr>
            </w:pPr>
            <w:r>
              <w:rPr>
                <w:color w:val="000000"/>
                <w:sz w:val="20"/>
                <w:szCs w:val="20"/>
              </w:rPr>
              <w:t>0.452</w:t>
            </w:r>
          </w:p>
        </w:tc>
        <w:tc>
          <w:tcPr>
            <w:tcW w:w="768" w:type="dxa"/>
            <w:tcBorders>
              <w:top w:val="nil"/>
              <w:left w:val="nil"/>
              <w:bottom w:val="nil"/>
              <w:right w:val="nil"/>
            </w:tcBorders>
            <w:shd w:val="clear" w:color="auto" w:fill="auto"/>
            <w:noWrap/>
            <w:vAlign w:val="bottom"/>
            <w:hideMark/>
          </w:tcPr>
          <w:p w14:paraId="1538657D" w14:textId="412EE019"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F9A17CC" w14:textId="4E9C56ED" w:rsidR="002E484C" w:rsidRDefault="002E484C" w:rsidP="002E484C">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58FA71B" w14:textId="771BDFE0" w:rsidR="002E484C" w:rsidRDefault="002E484C" w:rsidP="002E484C">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330A80EA" w14:textId="5C135AC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005D23" w14:textId="1DE5C7E3" w:rsidR="002E484C" w:rsidRDefault="002E484C" w:rsidP="002E484C">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6A01D02B" w14:textId="019EDE1B" w:rsidR="002E484C" w:rsidRDefault="002E484C" w:rsidP="002E484C">
            <w:pPr>
              <w:jc w:val="right"/>
              <w:rPr>
                <w:color w:val="000000"/>
                <w:sz w:val="20"/>
                <w:szCs w:val="20"/>
              </w:rPr>
            </w:pPr>
            <w:r>
              <w:rPr>
                <w:color w:val="000000"/>
                <w:sz w:val="20"/>
                <w:szCs w:val="20"/>
              </w:rPr>
              <w:t>0.140</w:t>
            </w:r>
          </w:p>
        </w:tc>
        <w:tc>
          <w:tcPr>
            <w:tcW w:w="768" w:type="dxa"/>
            <w:tcBorders>
              <w:top w:val="nil"/>
              <w:left w:val="nil"/>
              <w:bottom w:val="nil"/>
              <w:right w:val="nil"/>
            </w:tcBorders>
            <w:shd w:val="clear" w:color="auto" w:fill="auto"/>
            <w:noWrap/>
            <w:vAlign w:val="bottom"/>
            <w:hideMark/>
          </w:tcPr>
          <w:p w14:paraId="629BF442" w14:textId="1CB983C0" w:rsidR="002E484C" w:rsidRDefault="002E484C" w:rsidP="002E484C">
            <w:pPr>
              <w:jc w:val="right"/>
              <w:rPr>
                <w:color w:val="000000"/>
                <w:sz w:val="20"/>
                <w:szCs w:val="20"/>
              </w:rPr>
            </w:pPr>
            <w:r>
              <w:rPr>
                <w:color w:val="000000"/>
                <w:sz w:val="20"/>
                <w:szCs w:val="20"/>
              </w:rPr>
              <w:t>0.005</w:t>
            </w:r>
          </w:p>
        </w:tc>
      </w:tr>
      <w:tr w:rsidR="002E484C" w14:paraId="370BBCED" w14:textId="77777777" w:rsidTr="008378D4">
        <w:trPr>
          <w:trHeight w:val="320"/>
        </w:trPr>
        <w:tc>
          <w:tcPr>
            <w:tcW w:w="1176" w:type="dxa"/>
            <w:tcBorders>
              <w:top w:val="nil"/>
              <w:left w:val="nil"/>
              <w:bottom w:val="nil"/>
              <w:right w:val="nil"/>
            </w:tcBorders>
            <w:shd w:val="clear" w:color="auto" w:fill="auto"/>
            <w:noWrap/>
            <w:vAlign w:val="bottom"/>
            <w:hideMark/>
          </w:tcPr>
          <w:p w14:paraId="734EE454"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9A6806" w14:textId="77777777" w:rsidR="002E484C" w:rsidRDefault="002E484C" w:rsidP="002E484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2956B40" w14:textId="61B1F049" w:rsidR="002E484C" w:rsidRDefault="002E484C" w:rsidP="002E484C">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59402B26" w14:textId="1D52D097" w:rsidR="002E484C" w:rsidRDefault="002E484C" w:rsidP="002E484C">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0DC433CA" w14:textId="0E58A0EE"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B037DD6" w14:textId="3A8E3A23" w:rsidR="002E484C" w:rsidRDefault="002E484C" w:rsidP="002E484C">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FFF5017" w14:textId="5FFEE40D" w:rsidR="002E484C" w:rsidRDefault="002E484C" w:rsidP="002E484C">
            <w:pPr>
              <w:jc w:val="right"/>
              <w:rPr>
                <w:color w:val="000000"/>
                <w:sz w:val="20"/>
                <w:szCs w:val="20"/>
              </w:rPr>
            </w:pPr>
            <w:r>
              <w:rPr>
                <w:color w:val="000000"/>
                <w:sz w:val="20"/>
                <w:szCs w:val="20"/>
              </w:rPr>
              <w:t>0.574</w:t>
            </w:r>
          </w:p>
        </w:tc>
        <w:tc>
          <w:tcPr>
            <w:tcW w:w="768" w:type="dxa"/>
            <w:tcBorders>
              <w:top w:val="nil"/>
              <w:left w:val="nil"/>
              <w:bottom w:val="nil"/>
              <w:right w:val="nil"/>
            </w:tcBorders>
            <w:shd w:val="clear" w:color="auto" w:fill="auto"/>
            <w:noWrap/>
            <w:vAlign w:val="bottom"/>
            <w:hideMark/>
          </w:tcPr>
          <w:p w14:paraId="50B0318F" w14:textId="4CF47254"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26A256D" w14:textId="2A1B7D3C" w:rsidR="002E484C" w:rsidRDefault="002E484C" w:rsidP="002E484C">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D2A7E59" w14:textId="4C051419" w:rsidR="002E484C" w:rsidRDefault="002E484C" w:rsidP="002E484C">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323DD534" w14:textId="40493546"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290090" w14:textId="77150365" w:rsidR="002E484C" w:rsidRDefault="002E484C" w:rsidP="002E484C">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05075188" w14:textId="5FE226AE" w:rsidR="002E484C" w:rsidRDefault="002E484C" w:rsidP="002E484C">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04CF913F" w14:textId="5A65D7B8" w:rsidR="002E484C" w:rsidRDefault="002E484C" w:rsidP="002E484C">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A03D243" w14:textId="0B8F2D41" w:rsidR="002E484C" w:rsidRDefault="002E484C" w:rsidP="002E484C">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6FA62CE7" w14:textId="20339674" w:rsidR="002E484C" w:rsidRDefault="002E484C" w:rsidP="002E484C">
            <w:pPr>
              <w:jc w:val="right"/>
              <w:rPr>
                <w:color w:val="000000"/>
                <w:sz w:val="20"/>
                <w:szCs w:val="20"/>
              </w:rPr>
            </w:pPr>
            <w:r>
              <w:rPr>
                <w:color w:val="000000"/>
                <w:sz w:val="20"/>
                <w:szCs w:val="20"/>
              </w:rPr>
              <w:t>0.157</w:t>
            </w:r>
          </w:p>
        </w:tc>
        <w:tc>
          <w:tcPr>
            <w:tcW w:w="768" w:type="dxa"/>
            <w:tcBorders>
              <w:top w:val="nil"/>
              <w:left w:val="nil"/>
              <w:bottom w:val="nil"/>
              <w:right w:val="nil"/>
            </w:tcBorders>
            <w:shd w:val="clear" w:color="auto" w:fill="auto"/>
            <w:noWrap/>
            <w:vAlign w:val="bottom"/>
            <w:hideMark/>
          </w:tcPr>
          <w:p w14:paraId="55158E95" w14:textId="380F5C4D" w:rsidR="002E484C" w:rsidRDefault="002E484C" w:rsidP="002E484C">
            <w:pPr>
              <w:jc w:val="right"/>
              <w:rPr>
                <w:color w:val="000000"/>
                <w:sz w:val="20"/>
                <w:szCs w:val="20"/>
              </w:rPr>
            </w:pPr>
            <w:r>
              <w:rPr>
                <w:color w:val="000000"/>
                <w:sz w:val="20"/>
                <w:szCs w:val="20"/>
              </w:rPr>
              <w:t>0.009</w:t>
            </w:r>
          </w:p>
        </w:tc>
      </w:tr>
      <w:tr w:rsidR="002E484C" w14:paraId="13382020" w14:textId="77777777" w:rsidTr="008378D4">
        <w:trPr>
          <w:trHeight w:val="320"/>
        </w:trPr>
        <w:tc>
          <w:tcPr>
            <w:tcW w:w="1176" w:type="dxa"/>
            <w:tcBorders>
              <w:top w:val="nil"/>
              <w:left w:val="nil"/>
              <w:bottom w:val="nil"/>
              <w:right w:val="nil"/>
            </w:tcBorders>
            <w:shd w:val="clear" w:color="auto" w:fill="auto"/>
            <w:noWrap/>
            <w:vAlign w:val="bottom"/>
            <w:hideMark/>
          </w:tcPr>
          <w:p w14:paraId="585B9EEC"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DECA0DF" w14:textId="77777777" w:rsidR="002E484C" w:rsidRDefault="002E484C" w:rsidP="002E484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9E45C63" w14:textId="0CA49F0E" w:rsidR="002E484C" w:rsidRDefault="002E484C" w:rsidP="002E484C">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18B8FF7C" w14:textId="38B66143" w:rsidR="002E484C" w:rsidRDefault="002E484C" w:rsidP="002E484C">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0C2DF065" w14:textId="63427C6F"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96C1CF2" w14:textId="60DBE34E"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39F49FB" w14:textId="580C2923" w:rsidR="002E484C" w:rsidRDefault="002E484C" w:rsidP="002E484C">
            <w:pPr>
              <w:jc w:val="right"/>
              <w:rPr>
                <w:color w:val="000000"/>
                <w:sz w:val="20"/>
                <w:szCs w:val="20"/>
              </w:rPr>
            </w:pPr>
            <w:r>
              <w:rPr>
                <w:color w:val="000000"/>
                <w:sz w:val="20"/>
                <w:szCs w:val="20"/>
              </w:rPr>
              <w:t>0.657</w:t>
            </w:r>
          </w:p>
        </w:tc>
        <w:tc>
          <w:tcPr>
            <w:tcW w:w="768" w:type="dxa"/>
            <w:tcBorders>
              <w:top w:val="nil"/>
              <w:left w:val="nil"/>
              <w:bottom w:val="nil"/>
              <w:right w:val="nil"/>
            </w:tcBorders>
            <w:shd w:val="clear" w:color="auto" w:fill="auto"/>
            <w:noWrap/>
            <w:vAlign w:val="bottom"/>
            <w:hideMark/>
          </w:tcPr>
          <w:p w14:paraId="30E5E266" w14:textId="577CCF90"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E2B3014" w14:textId="5907EEDB" w:rsidR="002E484C" w:rsidRDefault="002E484C" w:rsidP="002E484C">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59E064FA" w14:textId="19BF6CCB" w:rsidR="002E484C" w:rsidRDefault="002E484C" w:rsidP="002E484C">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108EB273" w14:textId="003E95EA"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D60A145" w14:textId="239B8D60" w:rsidR="002E484C" w:rsidRDefault="002E484C" w:rsidP="002E484C">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0F17B673" w14:textId="7CDC8E69" w:rsidR="002E484C" w:rsidRDefault="002E484C" w:rsidP="002E484C">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1BBF2036" w14:textId="06858854"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E438792" w14:textId="5E6FE65A" w:rsidR="002E484C" w:rsidRDefault="002E484C" w:rsidP="002E484C">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4FB4983F" w14:textId="3B9B70DC" w:rsidR="002E484C" w:rsidRDefault="002E484C" w:rsidP="002E484C">
            <w:pPr>
              <w:jc w:val="right"/>
              <w:rPr>
                <w:color w:val="000000"/>
                <w:sz w:val="20"/>
                <w:szCs w:val="20"/>
              </w:rPr>
            </w:pPr>
            <w:r>
              <w:rPr>
                <w:color w:val="000000"/>
                <w:sz w:val="20"/>
                <w:szCs w:val="20"/>
              </w:rPr>
              <w:t>0.402</w:t>
            </w:r>
          </w:p>
        </w:tc>
        <w:tc>
          <w:tcPr>
            <w:tcW w:w="768" w:type="dxa"/>
            <w:tcBorders>
              <w:top w:val="nil"/>
              <w:left w:val="nil"/>
              <w:bottom w:val="nil"/>
              <w:right w:val="nil"/>
            </w:tcBorders>
            <w:shd w:val="clear" w:color="auto" w:fill="auto"/>
            <w:noWrap/>
            <w:vAlign w:val="bottom"/>
            <w:hideMark/>
          </w:tcPr>
          <w:p w14:paraId="5E41892B" w14:textId="67FCF716" w:rsidR="002E484C" w:rsidRDefault="002E484C" w:rsidP="002E484C">
            <w:pPr>
              <w:jc w:val="right"/>
              <w:rPr>
                <w:color w:val="000000"/>
                <w:sz w:val="20"/>
                <w:szCs w:val="20"/>
              </w:rPr>
            </w:pPr>
            <w:r>
              <w:rPr>
                <w:color w:val="000000"/>
                <w:sz w:val="20"/>
                <w:szCs w:val="20"/>
              </w:rPr>
              <w:t>0.002</w:t>
            </w:r>
          </w:p>
        </w:tc>
      </w:tr>
      <w:tr w:rsidR="002E484C" w14:paraId="3BCB9B01" w14:textId="77777777" w:rsidTr="008378D4">
        <w:trPr>
          <w:trHeight w:val="320"/>
        </w:trPr>
        <w:tc>
          <w:tcPr>
            <w:tcW w:w="1176" w:type="dxa"/>
            <w:tcBorders>
              <w:top w:val="nil"/>
              <w:left w:val="nil"/>
              <w:bottom w:val="nil"/>
              <w:right w:val="nil"/>
            </w:tcBorders>
            <w:shd w:val="clear" w:color="auto" w:fill="auto"/>
            <w:noWrap/>
            <w:vAlign w:val="bottom"/>
            <w:hideMark/>
          </w:tcPr>
          <w:p w14:paraId="6B351582"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E870AAB" w14:textId="77777777" w:rsidR="002E484C" w:rsidRDefault="002E484C" w:rsidP="002E484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DB1386F" w14:textId="087DE62A" w:rsidR="002E484C" w:rsidRDefault="002E484C" w:rsidP="002E484C">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2CECCF9" w14:textId="7A485B84" w:rsidR="002E484C" w:rsidRDefault="002E484C" w:rsidP="002E484C">
            <w:pPr>
              <w:jc w:val="right"/>
              <w:rPr>
                <w:color w:val="000000"/>
                <w:sz w:val="20"/>
                <w:szCs w:val="20"/>
              </w:rPr>
            </w:pPr>
            <w:r>
              <w:rPr>
                <w:color w:val="000000"/>
                <w:sz w:val="20"/>
                <w:szCs w:val="20"/>
              </w:rPr>
              <w:t>0.827</w:t>
            </w:r>
          </w:p>
        </w:tc>
        <w:tc>
          <w:tcPr>
            <w:tcW w:w="768" w:type="dxa"/>
            <w:tcBorders>
              <w:top w:val="nil"/>
              <w:left w:val="nil"/>
              <w:bottom w:val="nil"/>
              <w:right w:val="nil"/>
            </w:tcBorders>
            <w:shd w:val="clear" w:color="auto" w:fill="auto"/>
            <w:noWrap/>
            <w:vAlign w:val="bottom"/>
            <w:hideMark/>
          </w:tcPr>
          <w:p w14:paraId="729A2D58" w14:textId="284218E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CA6E59" w14:textId="67729610" w:rsidR="002E484C" w:rsidRDefault="002E484C" w:rsidP="002E484C">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3F81D08" w14:textId="723D791E" w:rsidR="002E484C" w:rsidRDefault="002E484C" w:rsidP="002E484C">
            <w:pPr>
              <w:jc w:val="right"/>
              <w:rPr>
                <w:color w:val="000000"/>
                <w:sz w:val="20"/>
                <w:szCs w:val="20"/>
              </w:rPr>
            </w:pPr>
            <w:r>
              <w:rPr>
                <w:color w:val="000000"/>
                <w:sz w:val="20"/>
                <w:szCs w:val="20"/>
              </w:rPr>
              <w:t>0.574</w:t>
            </w:r>
          </w:p>
        </w:tc>
        <w:tc>
          <w:tcPr>
            <w:tcW w:w="768" w:type="dxa"/>
            <w:tcBorders>
              <w:top w:val="nil"/>
              <w:left w:val="nil"/>
              <w:bottom w:val="nil"/>
              <w:right w:val="nil"/>
            </w:tcBorders>
            <w:shd w:val="clear" w:color="auto" w:fill="auto"/>
            <w:noWrap/>
            <w:vAlign w:val="bottom"/>
            <w:hideMark/>
          </w:tcPr>
          <w:p w14:paraId="507E876F" w14:textId="6274D6EC"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11E8AC3" w14:textId="5E067483" w:rsidR="002E484C" w:rsidRDefault="002E484C" w:rsidP="002E484C">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2BBE21B9" w14:textId="6D005830" w:rsidR="002E484C" w:rsidRDefault="002E484C" w:rsidP="002E484C">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3820899A" w14:textId="6D2F7F38"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4BB927" w14:textId="28C48F17" w:rsidR="002E484C" w:rsidRDefault="002E484C" w:rsidP="002E484C">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B0AEFB4" w14:textId="2B01606B" w:rsidR="002E484C" w:rsidRDefault="002E484C" w:rsidP="002E484C">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0D9A7A66" w14:textId="21F0A24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5662C2" w14:textId="27D69CFD" w:rsidR="002E484C" w:rsidRDefault="002E484C" w:rsidP="002E484C">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F17A629" w14:textId="21EE2DC9" w:rsidR="002E484C" w:rsidRDefault="002E484C" w:rsidP="002E484C">
            <w:pPr>
              <w:jc w:val="right"/>
              <w:rPr>
                <w:color w:val="000000"/>
                <w:sz w:val="20"/>
                <w:szCs w:val="20"/>
              </w:rPr>
            </w:pPr>
            <w:r>
              <w:rPr>
                <w:color w:val="000000"/>
                <w:sz w:val="20"/>
                <w:szCs w:val="20"/>
              </w:rPr>
              <w:t>0.402</w:t>
            </w:r>
          </w:p>
        </w:tc>
        <w:tc>
          <w:tcPr>
            <w:tcW w:w="768" w:type="dxa"/>
            <w:tcBorders>
              <w:top w:val="nil"/>
              <w:left w:val="nil"/>
              <w:bottom w:val="nil"/>
              <w:right w:val="nil"/>
            </w:tcBorders>
            <w:shd w:val="clear" w:color="auto" w:fill="auto"/>
            <w:noWrap/>
            <w:vAlign w:val="bottom"/>
            <w:hideMark/>
          </w:tcPr>
          <w:p w14:paraId="294E4C23" w14:textId="67924513" w:rsidR="002E484C" w:rsidRDefault="002E484C" w:rsidP="002E484C">
            <w:pPr>
              <w:jc w:val="right"/>
              <w:rPr>
                <w:color w:val="000000"/>
                <w:sz w:val="20"/>
                <w:szCs w:val="20"/>
              </w:rPr>
            </w:pPr>
            <w:r>
              <w:rPr>
                <w:color w:val="000000"/>
                <w:sz w:val="20"/>
                <w:szCs w:val="20"/>
              </w:rPr>
              <w:t>0.001</w:t>
            </w:r>
          </w:p>
        </w:tc>
      </w:tr>
      <w:tr w:rsidR="002E484C" w14:paraId="292BF300" w14:textId="77777777" w:rsidTr="008378D4">
        <w:trPr>
          <w:trHeight w:val="320"/>
        </w:trPr>
        <w:tc>
          <w:tcPr>
            <w:tcW w:w="1176" w:type="dxa"/>
            <w:tcBorders>
              <w:top w:val="nil"/>
              <w:left w:val="nil"/>
              <w:bottom w:val="nil"/>
              <w:right w:val="nil"/>
            </w:tcBorders>
            <w:shd w:val="clear" w:color="auto" w:fill="auto"/>
            <w:noWrap/>
            <w:vAlign w:val="bottom"/>
            <w:hideMark/>
          </w:tcPr>
          <w:p w14:paraId="0D06495D"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53919A6" w14:textId="77777777" w:rsidR="002E484C" w:rsidRDefault="002E484C" w:rsidP="002E484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A99DD3B" w14:textId="13EE9E31" w:rsidR="002E484C" w:rsidRDefault="002E484C" w:rsidP="002E484C">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3BC8F7CD" w14:textId="1D830828" w:rsidR="002E484C" w:rsidRDefault="002E484C" w:rsidP="002E484C">
            <w:pPr>
              <w:jc w:val="right"/>
              <w:rPr>
                <w:color w:val="000000"/>
                <w:sz w:val="20"/>
                <w:szCs w:val="20"/>
              </w:rPr>
            </w:pPr>
            <w:r>
              <w:rPr>
                <w:color w:val="000000"/>
                <w:sz w:val="20"/>
                <w:szCs w:val="20"/>
              </w:rPr>
              <w:t>0.184</w:t>
            </w:r>
          </w:p>
        </w:tc>
        <w:tc>
          <w:tcPr>
            <w:tcW w:w="768" w:type="dxa"/>
            <w:tcBorders>
              <w:top w:val="nil"/>
              <w:left w:val="nil"/>
              <w:bottom w:val="nil"/>
              <w:right w:val="nil"/>
            </w:tcBorders>
            <w:shd w:val="clear" w:color="auto" w:fill="auto"/>
            <w:noWrap/>
            <w:vAlign w:val="bottom"/>
            <w:hideMark/>
          </w:tcPr>
          <w:p w14:paraId="27D7455F" w14:textId="1C292111" w:rsidR="002E484C" w:rsidRDefault="002E484C" w:rsidP="002E484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88D1572" w14:textId="4F8E77DA" w:rsidR="002E484C" w:rsidRDefault="002E484C" w:rsidP="002E484C">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77C7847" w14:textId="2A45685B" w:rsidR="002E484C" w:rsidRDefault="002E484C" w:rsidP="002E484C">
            <w:pPr>
              <w:jc w:val="right"/>
              <w:rPr>
                <w:color w:val="000000"/>
                <w:sz w:val="20"/>
                <w:szCs w:val="20"/>
              </w:rPr>
            </w:pPr>
            <w:r>
              <w:rPr>
                <w:color w:val="000000"/>
                <w:sz w:val="20"/>
                <w:szCs w:val="20"/>
              </w:rPr>
              <w:t>0.574</w:t>
            </w:r>
          </w:p>
        </w:tc>
        <w:tc>
          <w:tcPr>
            <w:tcW w:w="768" w:type="dxa"/>
            <w:tcBorders>
              <w:top w:val="nil"/>
              <w:left w:val="nil"/>
              <w:bottom w:val="nil"/>
              <w:right w:val="nil"/>
            </w:tcBorders>
            <w:shd w:val="clear" w:color="auto" w:fill="auto"/>
            <w:noWrap/>
            <w:vAlign w:val="bottom"/>
            <w:hideMark/>
          </w:tcPr>
          <w:p w14:paraId="6D1F08AB" w14:textId="679147D4"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9C6FE5" w14:textId="29E79378" w:rsidR="002E484C" w:rsidRDefault="002E484C" w:rsidP="002E484C">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3E7D940F" w14:textId="0F74379C" w:rsidR="002E484C" w:rsidRDefault="002E484C" w:rsidP="002E484C">
            <w:pPr>
              <w:jc w:val="right"/>
              <w:rPr>
                <w:color w:val="000000"/>
                <w:sz w:val="20"/>
                <w:szCs w:val="20"/>
              </w:rPr>
            </w:pPr>
            <w:r>
              <w:rPr>
                <w:color w:val="000000"/>
                <w:sz w:val="20"/>
                <w:szCs w:val="20"/>
              </w:rPr>
              <w:t>0.452</w:t>
            </w:r>
          </w:p>
        </w:tc>
        <w:tc>
          <w:tcPr>
            <w:tcW w:w="768" w:type="dxa"/>
            <w:tcBorders>
              <w:top w:val="nil"/>
              <w:left w:val="nil"/>
              <w:bottom w:val="nil"/>
              <w:right w:val="nil"/>
            </w:tcBorders>
            <w:shd w:val="clear" w:color="auto" w:fill="auto"/>
            <w:noWrap/>
            <w:vAlign w:val="bottom"/>
            <w:hideMark/>
          </w:tcPr>
          <w:p w14:paraId="72A5E48E" w14:textId="4B086A94"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13E0502" w14:textId="6065C9BD" w:rsidR="002E484C" w:rsidRDefault="002E484C" w:rsidP="002E484C">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23530D72" w14:textId="61C48EFB" w:rsidR="002E484C" w:rsidRDefault="002E484C" w:rsidP="002E484C">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4437A196" w14:textId="4F0AD043"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53EC2CC" w14:textId="12D11FD1" w:rsidR="002E484C" w:rsidRDefault="002E484C" w:rsidP="002E484C">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73C3D4A3" w14:textId="50CC47FB" w:rsidR="002E484C" w:rsidRDefault="002E484C" w:rsidP="002E484C">
            <w:pPr>
              <w:jc w:val="right"/>
              <w:rPr>
                <w:color w:val="000000"/>
                <w:sz w:val="20"/>
                <w:szCs w:val="20"/>
              </w:rPr>
            </w:pPr>
            <w:r>
              <w:rPr>
                <w:color w:val="000000"/>
                <w:sz w:val="20"/>
                <w:szCs w:val="20"/>
              </w:rPr>
              <w:t>0.140</w:t>
            </w:r>
          </w:p>
        </w:tc>
        <w:tc>
          <w:tcPr>
            <w:tcW w:w="768" w:type="dxa"/>
            <w:tcBorders>
              <w:top w:val="nil"/>
              <w:left w:val="nil"/>
              <w:bottom w:val="nil"/>
              <w:right w:val="nil"/>
            </w:tcBorders>
            <w:shd w:val="clear" w:color="auto" w:fill="auto"/>
            <w:noWrap/>
            <w:vAlign w:val="bottom"/>
            <w:hideMark/>
          </w:tcPr>
          <w:p w14:paraId="3AC16AD3" w14:textId="36B01143" w:rsidR="002E484C" w:rsidRDefault="002E484C" w:rsidP="002E484C">
            <w:pPr>
              <w:jc w:val="right"/>
              <w:rPr>
                <w:color w:val="000000"/>
                <w:sz w:val="20"/>
                <w:szCs w:val="20"/>
              </w:rPr>
            </w:pPr>
            <w:r>
              <w:rPr>
                <w:color w:val="000000"/>
                <w:sz w:val="20"/>
                <w:szCs w:val="20"/>
              </w:rPr>
              <w:t>0.006</w:t>
            </w:r>
          </w:p>
        </w:tc>
      </w:tr>
      <w:tr w:rsidR="002E484C" w14:paraId="5EBE320E" w14:textId="77777777" w:rsidTr="008378D4">
        <w:trPr>
          <w:trHeight w:val="320"/>
        </w:trPr>
        <w:tc>
          <w:tcPr>
            <w:tcW w:w="1176" w:type="dxa"/>
            <w:tcBorders>
              <w:top w:val="nil"/>
              <w:left w:val="nil"/>
              <w:bottom w:val="nil"/>
              <w:right w:val="nil"/>
            </w:tcBorders>
            <w:shd w:val="clear" w:color="auto" w:fill="auto"/>
            <w:noWrap/>
            <w:vAlign w:val="bottom"/>
            <w:hideMark/>
          </w:tcPr>
          <w:p w14:paraId="16161261"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7CBE2BC" w14:textId="77777777" w:rsidR="002E484C" w:rsidRDefault="002E484C" w:rsidP="002E484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3C63BCA" w14:textId="738E28D0" w:rsidR="002E484C" w:rsidRDefault="002E484C" w:rsidP="002E484C">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6F060AB" w14:textId="0BDD5910" w:rsidR="002E484C" w:rsidRDefault="002E484C" w:rsidP="002E484C">
            <w:pPr>
              <w:jc w:val="right"/>
              <w:rPr>
                <w:color w:val="000000"/>
                <w:sz w:val="20"/>
                <w:szCs w:val="20"/>
              </w:rPr>
            </w:pPr>
            <w:r>
              <w:rPr>
                <w:color w:val="000000"/>
                <w:sz w:val="20"/>
                <w:szCs w:val="20"/>
              </w:rPr>
              <w:t>0.707</w:t>
            </w:r>
          </w:p>
        </w:tc>
        <w:tc>
          <w:tcPr>
            <w:tcW w:w="768" w:type="dxa"/>
            <w:tcBorders>
              <w:top w:val="nil"/>
              <w:left w:val="nil"/>
              <w:bottom w:val="nil"/>
              <w:right w:val="nil"/>
            </w:tcBorders>
            <w:shd w:val="clear" w:color="auto" w:fill="auto"/>
            <w:noWrap/>
            <w:vAlign w:val="bottom"/>
            <w:hideMark/>
          </w:tcPr>
          <w:p w14:paraId="3EB94102" w14:textId="4DE41469"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3FFCF1A" w14:textId="2A5C40C8" w:rsidR="002E484C" w:rsidRDefault="002E484C" w:rsidP="002E484C">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7B90F6E" w14:textId="6DA03C52" w:rsidR="002E484C" w:rsidRDefault="002E484C" w:rsidP="002E484C">
            <w:pPr>
              <w:jc w:val="right"/>
              <w:rPr>
                <w:color w:val="000000"/>
                <w:sz w:val="20"/>
                <w:szCs w:val="20"/>
              </w:rPr>
            </w:pPr>
            <w:r>
              <w:rPr>
                <w:color w:val="000000"/>
                <w:sz w:val="20"/>
                <w:szCs w:val="20"/>
              </w:rPr>
              <w:t>0.574</w:t>
            </w:r>
          </w:p>
        </w:tc>
        <w:tc>
          <w:tcPr>
            <w:tcW w:w="768" w:type="dxa"/>
            <w:tcBorders>
              <w:top w:val="nil"/>
              <w:left w:val="nil"/>
              <w:bottom w:val="nil"/>
              <w:right w:val="nil"/>
            </w:tcBorders>
            <w:shd w:val="clear" w:color="auto" w:fill="auto"/>
            <w:noWrap/>
            <w:vAlign w:val="bottom"/>
            <w:hideMark/>
          </w:tcPr>
          <w:p w14:paraId="4191D9E2" w14:textId="56EEE778"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6094A9" w14:textId="085A2278" w:rsidR="002E484C" w:rsidRDefault="002E484C" w:rsidP="002E484C">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7B33DDE6" w14:textId="7A2AB36D" w:rsidR="002E484C" w:rsidRDefault="002E484C" w:rsidP="002E484C">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0FD4BDD7" w14:textId="4B19B915"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F838931" w14:textId="4CFCC0D7" w:rsidR="002E484C" w:rsidRDefault="002E484C" w:rsidP="002E484C">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2432FD76" w14:textId="7945CBB1" w:rsidR="002E484C" w:rsidRDefault="002E484C" w:rsidP="002E484C">
            <w:pPr>
              <w:jc w:val="right"/>
              <w:rPr>
                <w:color w:val="000000"/>
                <w:sz w:val="20"/>
                <w:szCs w:val="20"/>
              </w:rPr>
            </w:pPr>
            <w:r>
              <w:rPr>
                <w:color w:val="000000"/>
                <w:sz w:val="20"/>
                <w:szCs w:val="20"/>
              </w:rPr>
              <w:t>0.576</w:t>
            </w:r>
          </w:p>
        </w:tc>
        <w:tc>
          <w:tcPr>
            <w:tcW w:w="768" w:type="dxa"/>
            <w:tcBorders>
              <w:top w:val="nil"/>
              <w:left w:val="nil"/>
              <w:bottom w:val="nil"/>
              <w:right w:val="nil"/>
            </w:tcBorders>
            <w:shd w:val="clear" w:color="auto" w:fill="auto"/>
            <w:noWrap/>
            <w:vAlign w:val="bottom"/>
            <w:hideMark/>
          </w:tcPr>
          <w:p w14:paraId="533257A1" w14:textId="09E5D95F"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D58AB6E" w14:textId="4FAF2044" w:rsidR="002E484C" w:rsidRDefault="002E484C" w:rsidP="002E484C">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DB58309" w14:textId="18395263" w:rsidR="002E484C" w:rsidRDefault="002E484C" w:rsidP="002E484C">
            <w:pPr>
              <w:jc w:val="right"/>
              <w:rPr>
                <w:color w:val="000000"/>
                <w:sz w:val="20"/>
                <w:szCs w:val="20"/>
              </w:rPr>
            </w:pPr>
            <w:r>
              <w:rPr>
                <w:color w:val="000000"/>
                <w:sz w:val="20"/>
                <w:szCs w:val="20"/>
              </w:rPr>
              <w:t>0.402</w:t>
            </w:r>
          </w:p>
        </w:tc>
        <w:tc>
          <w:tcPr>
            <w:tcW w:w="768" w:type="dxa"/>
            <w:tcBorders>
              <w:top w:val="nil"/>
              <w:left w:val="nil"/>
              <w:bottom w:val="nil"/>
              <w:right w:val="nil"/>
            </w:tcBorders>
            <w:shd w:val="clear" w:color="auto" w:fill="auto"/>
            <w:noWrap/>
            <w:vAlign w:val="bottom"/>
            <w:hideMark/>
          </w:tcPr>
          <w:p w14:paraId="1770D593" w14:textId="11BA684D" w:rsidR="002E484C" w:rsidRDefault="002E484C" w:rsidP="002E484C">
            <w:pPr>
              <w:jc w:val="right"/>
              <w:rPr>
                <w:color w:val="000000"/>
                <w:sz w:val="20"/>
                <w:szCs w:val="20"/>
              </w:rPr>
            </w:pPr>
            <w:r>
              <w:rPr>
                <w:color w:val="000000"/>
                <w:sz w:val="20"/>
                <w:szCs w:val="20"/>
              </w:rPr>
              <w:t>0.001</w:t>
            </w:r>
          </w:p>
        </w:tc>
      </w:tr>
      <w:tr w:rsidR="002E484C" w14:paraId="72F57800" w14:textId="77777777" w:rsidTr="008378D4">
        <w:trPr>
          <w:trHeight w:val="320"/>
        </w:trPr>
        <w:tc>
          <w:tcPr>
            <w:tcW w:w="1176" w:type="dxa"/>
            <w:tcBorders>
              <w:top w:val="nil"/>
              <w:left w:val="nil"/>
              <w:bottom w:val="single" w:sz="4" w:space="0" w:color="auto"/>
              <w:right w:val="nil"/>
            </w:tcBorders>
            <w:shd w:val="clear" w:color="auto" w:fill="auto"/>
            <w:noWrap/>
            <w:vAlign w:val="bottom"/>
            <w:hideMark/>
          </w:tcPr>
          <w:p w14:paraId="41933221" w14:textId="77777777" w:rsidR="002E484C" w:rsidRDefault="002E484C" w:rsidP="002E484C">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6F6FD2C" w14:textId="77777777" w:rsidR="002E484C" w:rsidRDefault="002E484C" w:rsidP="002E484C">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C5B4B04" w14:textId="2D744615" w:rsidR="002E484C" w:rsidRDefault="002E484C" w:rsidP="002E484C">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25599D9D" w14:textId="0DE1B2E3" w:rsidR="002E484C" w:rsidRDefault="002E484C" w:rsidP="002E484C">
            <w:pPr>
              <w:jc w:val="right"/>
              <w:rPr>
                <w:color w:val="000000"/>
                <w:sz w:val="20"/>
                <w:szCs w:val="20"/>
              </w:rPr>
            </w:pPr>
            <w:r>
              <w:rPr>
                <w:color w:val="000000"/>
                <w:sz w:val="20"/>
                <w:szCs w:val="20"/>
              </w:rPr>
              <w:t>0.707</w:t>
            </w:r>
          </w:p>
        </w:tc>
        <w:tc>
          <w:tcPr>
            <w:tcW w:w="768" w:type="dxa"/>
            <w:tcBorders>
              <w:top w:val="nil"/>
              <w:left w:val="nil"/>
              <w:bottom w:val="single" w:sz="4" w:space="0" w:color="auto"/>
              <w:right w:val="nil"/>
            </w:tcBorders>
            <w:shd w:val="clear" w:color="auto" w:fill="auto"/>
            <w:noWrap/>
            <w:vAlign w:val="bottom"/>
            <w:hideMark/>
          </w:tcPr>
          <w:p w14:paraId="7A005C9C" w14:textId="3F3A08FD"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AEDBEEF" w14:textId="7BC2425F" w:rsidR="002E484C" w:rsidRDefault="002E484C" w:rsidP="002E484C">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0DC2D72E" w14:textId="552625C7" w:rsidR="002E484C" w:rsidRDefault="002E484C" w:rsidP="002E484C">
            <w:pPr>
              <w:jc w:val="right"/>
              <w:rPr>
                <w:color w:val="000000"/>
                <w:sz w:val="20"/>
                <w:szCs w:val="20"/>
              </w:rPr>
            </w:pPr>
            <w:r>
              <w:rPr>
                <w:color w:val="000000"/>
                <w:sz w:val="20"/>
                <w:szCs w:val="20"/>
              </w:rPr>
              <w:t>0.657</w:t>
            </w:r>
          </w:p>
        </w:tc>
        <w:tc>
          <w:tcPr>
            <w:tcW w:w="768" w:type="dxa"/>
            <w:tcBorders>
              <w:top w:val="nil"/>
              <w:left w:val="nil"/>
              <w:bottom w:val="single" w:sz="4" w:space="0" w:color="auto"/>
              <w:right w:val="nil"/>
            </w:tcBorders>
            <w:shd w:val="clear" w:color="auto" w:fill="auto"/>
            <w:noWrap/>
            <w:vAlign w:val="bottom"/>
            <w:hideMark/>
          </w:tcPr>
          <w:p w14:paraId="06C5B909" w14:textId="70B17840"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A584005" w14:textId="543F373C" w:rsidR="002E484C" w:rsidRDefault="002E484C" w:rsidP="002E484C">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569CF108" w14:textId="0DDBFF1E" w:rsidR="002E484C" w:rsidRDefault="002E484C" w:rsidP="002E484C">
            <w:pPr>
              <w:jc w:val="right"/>
              <w:rPr>
                <w:color w:val="000000"/>
                <w:sz w:val="20"/>
                <w:szCs w:val="20"/>
              </w:rPr>
            </w:pPr>
            <w:r>
              <w:rPr>
                <w:color w:val="000000"/>
                <w:sz w:val="20"/>
                <w:szCs w:val="20"/>
              </w:rPr>
              <w:t>0.522</w:t>
            </w:r>
          </w:p>
        </w:tc>
        <w:tc>
          <w:tcPr>
            <w:tcW w:w="768" w:type="dxa"/>
            <w:tcBorders>
              <w:top w:val="nil"/>
              <w:left w:val="nil"/>
              <w:bottom w:val="single" w:sz="4" w:space="0" w:color="auto"/>
              <w:right w:val="nil"/>
            </w:tcBorders>
            <w:shd w:val="clear" w:color="auto" w:fill="auto"/>
            <w:noWrap/>
            <w:vAlign w:val="bottom"/>
            <w:hideMark/>
          </w:tcPr>
          <w:p w14:paraId="5DD7AB5A" w14:textId="0D70E248"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5D587AB" w14:textId="719D14AF" w:rsidR="002E484C" w:rsidRDefault="002E484C" w:rsidP="002E484C">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5BC27B25" w14:textId="62B6EFF0" w:rsidR="002E484C" w:rsidRDefault="002E484C" w:rsidP="002E484C">
            <w:pPr>
              <w:jc w:val="right"/>
              <w:rPr>
                <w:color w:val="000000"/>
                <w:sz w:val="20"/>
                <w:szCs w:val="20"/>
              </w:rPr>
            </w:pPr>
            <w:r>
              <w:rPr>
                <w:color w:val="000000"/>
                <w:sz w:val="20"/>
                <w:szCs w:val="20"/>
              </w:rPr>
              <w:t>0.722</w:t>
            </w:r>
          </w:p>
        </w:tc>
        <w:tc>
          <w:tcPr>
            <w:tcW w:w="768" w:type="dxa"/>
            <w:tcBorders>
              <w:top w:val="nil"/>
              <w:left w:val="nil"/>
              <w:bottom w:val="single" w:sz="4" w:space="0" w:color="auto"/>
              <w:right w:val="nil"/>
            </w:tcBorders>
            <w:shd w:val="clear" w:color="auto" w:fill="auto"/>
            <w:noWrap/>
            <w:vAlign w:val="bottom"/>
            <w:hideMark/>
          </w:tcPr>
          <w:p w14:paraId="4EFB13FB" w14:textId="1E87F3D3"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13A6059" w14:textId="36C38763" w:rsidR="002E484C" w:rsidRDefault="002E484C" w:rsidP="002E484C">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078EF9D9" w14:textId="23BD5E80" w:rsidR="002E484C" w:rsidRDefault="002E484C" w:rsidP="002E484C">
            <w:pPr>
              <w:jc w:val="right"/>
              <w:rPr>
                <w:color w:val="000000"/>
                <w:sz w:val="20"/>
                <w:szCs w:val="20"/>
              </w:rPr>
            </w:pPr>
            <w:r>
              <w:rPr>
                <w:color w:val="000000"/>
                <w:sz w:val="20"/>
                <w:szCs w:val="20"/>
              </w:rPr>
              <w:t>0.648</w:t>
            </w:r>
          </w:p>
        </w:tc>
        <w:tc>
          <w:tcPr>
            <w:tcW w:w="768" w:type="dxa"/>
            <w:tcBorders>
              <w:top w:val="nil"/>
              <w:left w:val="nil"/>
              <w:bottom w:val="single" w:sz="4" w:space="0" w:color="auto"/>
              <w:right w:val="nil"/>
            </w:tcBorders>
            <w:shd w:val="clear" w:color="auto" w:fill="auto"/>
            <w:noWrap/>
            <w:vAlign w:val="bottom"/>
            <w:hideMark/>
          </w:tcPr>
          <w:p w14:paraId="1313A033" w14:textId="350A87E9" w:rsidR="002E484C" w:rsidRDefault="002E484C" w:rsidP="002E484C">
            <w:pPr>
              <w:jc w:val="right"/>
              <w:rPr>
                <w:color w:val="000000"/>
                <w:sz w:val="20"/>
                <w:szCs w:val="20"/>
              </w:rPr>
            </w:pPr>
            <w:r>
              <w:rPr>
                <w:color w:val="000000"/>
                <w:sz w:val="20"/>
                <w:szCs w:val="20"/>
              </w:rPr>
              <w:t>0.000</w:t>
            </w:r>
          </w:p>
        </w:tc>
      </w:tr>
      <w:tr w:rsidR="002E484C" w14:paraId="108B6751" w14:textId="77777777" w:rsidTr="008378D4">
        <w:trPr>
          <w:trHeight w:val="320"/>
        </w:trPr>
        <w:tc>
          <w:tcPr>
            <w:tcW w:w="1176" w:type="dxa"/>
            <w:tcBorders>
              <w:top w:val="nil"/>
              <w:left w:val="nil"/>
              <w:bottom w:val="nil"/>
              <w:right w:val="nil"/>
            </w:tcBorders>
            <w:shd w:val="clear" w:color="auto" w:fill="auto"/>
            <w:noWrap/>
            <w:vAlign w:val="bottom"/>
            <w:hideMark/>
          </w:tcPr>
          <w:p w14:paraId="4E099009" w14:textId="77777777" w:rsidR="002E484C" w:rsidRDefault="002E484C" w:rsidP="002E484C">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FE782CF" w14:textId="77777777" w:rsidR="002E484C" w:rsidRDefault="002E484C" w:rsidP="002E484C">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F921B5C" w14:textId="354747D1" w:rsidR="002E484C" w:rsidRDefault="002E484C" w:rsidP="002E484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330824C" w14:textId="743EE2CA"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67036A55" w14:textId="33A0EE47"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133F16" w14:textId="5A0482C1" w:rsidR="002E484C" w:rsidRDefault="002E484C" w:rsidP="002E484C">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4267DA4D" w14:textId="2FFFB8B2" w:rsidR="002E484C" w:rsidRDefault="002E484C" w:rsidP="002E484C">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252E955D" w14:textId="1897D13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24DF04" w14:textId="436CA330" w:rsidR="002E484C" w:rsidRDefault="002E484C" w:rsidP="002E484C">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C8C41D8" w14:textId="2CBD965A" w:rsidR="002E484C" w:rsidRDefault="002E484C" w:rsidP="002E484C">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1BC6C773" w14:textId="5F99573B"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3DE414C" w14:textId="5CA78265" w:rsidR="002E484C" w:rsidRDefault="002E484C" w:rsidP="002E484C">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07BD520" w14:textId="04C84A5B" w:rsidR="002E484C" w:rsidRDefault="002E484C" w:rsidP="002E484C">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59AC28A1" w14:textId="34AAD6CD"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9F9A01" w14:textId="14E9E80C" w:rsidR="002E484C" w:rsidRDefault="002E484C" w:rsidP="002E484C">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51E3F952" w14:textId="4E61BE90" w:rsidR="002E484C" w:rsidRDefault="002E484C" w:rsidP="002E484C">
            <w:pPr>
              <w:jc w:val="right"/>
              <w:rPr>
                <w:color w:val="000000"/>
                <w:sz w:val="20"/>
                <w:szCs w:val="20"/>
              </w:rPr>
            </w:pPr>
            <w:r>
              <w:rPr>
                <w:color w:val="000000"/>
                <w:sz w:val="20"/>
                <w:szCs w:val="20"/>
              </w:rPr>
              <w:t>0.397</w:t>
            </w:r>
          </w:p>
        </w:tc>
        <w:tc>
          <w:tcPr>
            <w:tcW w:w="768" w:type="dxa"/>
            <w:tcBorders>
              <w:top w:val="nil"/>
              <w:left w:val="nil"/>
              <w:bottom w:val="nil"/>
              <w:right w:val="nil"/>
            </w:tcBorders>
            <w:shd w:val="clear" w:color="auto" w:fill="auto"/>
            <w:noWrap/>
            <w:vAlign w:val="bottom"/>
            <w:hideMark/>
          </w:tcPr>
          <w:p w14:paraId="31E09A47" w14:textId="0A513DCF" w:rsidR="002E484C" w:rsidRDefault="002E484C" w:rsidP="002E484C">
            <w:pPr>
              <w:jc w:val="right"/>
              <w:rPr>
                <w:color w:val="000000"/>
                <w:sz w:val="20"/>
                <w:szCs w:val="20"/>
              </w:rPr>
            </w:pPr>
            <w:r>
              <w:rPr>
                <w:color w:val="000000"/>
                <w:sz w:val="20"/>
                <w:szCs w:val="20"/>
              </w:rPr>
              <w:t>0.002</w:t>
            </w:r>
          </w:p>
        </w:tc>
      </w:tr>
      <w:tr w:rsidR="002E484C" w14:paraId="0CB2B7E0" w14:textId="77777777" w:rsidTr="008378D4">
        <w:trPr>
          <w:trHeight w:val="320"/>
        </w:trPr>
        <w:tc>
          <w:tcPr>
            <w:tcW w:w="1176" w:type="dxa"/>
            <w:tcBorders>
              <w:top w:val="nil"/>
              <w:left w:val="nil"/>
              <w:bottom w:val="nil"/>
              <w:right w:val="nil"/>
            </w:tcBorders>
            <w:shd w:val="clear" w:color="auto" w:fill="auto"/>
            <w:noWrap/>
            <w:vAlign w:val="bottom"/>
            <w:hideMark/>
          </w:tcPr>
          <w:p w14:paraId="4F0759E1"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80FE334" w14:textId="77777777" w:rsidR="002E484C" w:rsidRDefault="002E484C" w:rsidP="002E484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48C3342" w14:textId="0C41D18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973DFF" w14:textId="64168982"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3232435E" w14:textId="33A18012"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4F3DEC" w14:textId="032A3EAC" w:rsidR="002E484C" w:rsidRDefault="002E484C" w:rsidP="002E484C">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7407593A" w14:textId="1E907555" w:rsidR="002E484C" w:rsidRDefault="002E484C" w:rsidP="002E484C">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58F705BF" w14:textId="2F0614BE"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A45E02" w14:textId="6ED10A6F" w:rsidR="002E484C" w:rsidRDefault="002E484C" w:rsidP="002E484C">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17B7429A" w14:textId="269D9A77" w:rsidR="002E484C" w:rsidRDefault="002E484C" w:rsidP="002E484C">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6C82D98C" w14:textId="116351F8"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2E0B443" w14:textId="4EA15482"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1705777" w14:textId="477CC2F1" w:rsidR="002E484C" w:rsidRDefault="002E484C" w:rsidP="002E484C">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3DD84413" w14:textId="397349E0"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B8708F" w14:textId="0A748B3D" w:rsidR="002E484C" w:rsidRDefault="002E484C" w:rsidP="002E484C">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AC2E7C1" w14:textId="26355058" w:rsidR="002E484C" w:rsidRDefault="002E484C" w:rsidP="002E484C">
            <w:pPr>
              <w:jc w:val="right"/>
              <w:rPr>
                <w:color w:val="000000"/>
                <w:sz w:val="20"/>
                <w:szCs w:val="20"/>
              </w:rPr>
            </w:pPr>
            <w:r>
              <w:rPr>
                <w:color w:val="000000"/>
                <w:sz w:val="20"/>
                <w:szCs w:val="20"/>
              </w:rPr>
              <w:t>0.397</w:t>
            </w:r>
          </w:p>
        </w:tc>
        <w:tc>
          <w:tcPr>
            <w:tcW w:w="768" w:type="dxa"/>
            <w:tcBorders>
              <w:top w:val="nil"/>
              <w:left w:val="nil"/>
              <w:bottom w:val="nil"/>
              <w:right w:val="nil"/>
            </w:tcBorders>
            <w:shd w:val="clear" w:color="auto" w:fill="auto"/>
            <w:noWrap/>
            <w:vAlign w:val="bottom"/>
            <w:hideMark/>
          </w:tcPr>
          <w:p w14:paraId="6241ADBB" w14:textId="5A67A873" w:rsidR="002E484C" w:rsidRDefault="002E484C" w:rsidP="002E484C">
            <w:pPr>
              <w:jc w:val="right"/>
              <w:rPr>
                <w:color w:val="000000"/>
                <w:sz w:val="20"/>
                <w:szCs w:val="20"/>
              </w:rPr>
            </w:pPr>
            <w:r>
              <w:rPr>
                <w:color w:val="000000"/>
                <w:sz w:val="20"/>
                <w:szCs w:val="20"/>
              </w:rPr>
              <w:t>0.002</w:t>
            </w:r>
          </w:p>
        </w:tc>
      </w:tr>
      <w:tr w:rsidR="002E484C" w14:paraId="67A83169" w14:textId="77777777" w:rsidTr="008378D4">
        <w:trPr>
          <w:trHeight w:val="320"/>
        </w:trPr>
        <w:tc>
          <w:tcPr>
            <w:tcW w:w="1176" w:type="dxa"/>
            <w:tcBorders>
              <w:top w:val="nil"/>
              <w:left w:val="nil"/>
              <w:bottom w:val="nil"/>
              <w:right w:val="nil"/>
            </w:tcBorders>
            <w:shd w:val="clear" w:color="auto" w:fill="auto"/>
            <w:noWrap/>
            <w:vAlign w:val="bottom"/>
            <w:hideMark/>
          </w:tcPr>
          <w:p w14:paraId="3F44D727"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EFED7A5" w14:textId="77777777" w:rsidR="002E484C" w:rsidRDefault="002E484C" w:rsidP="002E484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1A3C509" w14:textId="4ACB37D5"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2CAB9EC" w14:textId="694A1B51"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564B496E" w14:textId="311BC441"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4CF1BB" w14:textId="1327A1E4" w:rsidR="002E484C" w:rsidRDefault="002E484C" w:rsidP="002E484C">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1FE25493" w14:textId="5B91CB0F" w:rsidR="002E484C" w:rsidRDefault="002E484C" w:rsidP="002E484C">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48D34360" w14:textId="2AE65D74"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CC87A6" w14:textId="1313E0EB" w:rsidR="002E484C" w:rsidRDefault="002E484C" w:rsidP="002E484C">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07CD9FA" w14:textId="6068CBB3" w:rsidR="002E484C" w:rsidRDefault="002E484C" w:rsidP="002E484C">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70C30A3C" w14:textId="63511DC8"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6C8567" w14:textId="5776CBD7" w:rsidR="002E484C" w:rsidRDefault="002E484C" w:rsidP="002E484C">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2F467F95" w14:textId="7FCD6A7F" w:rsidR="002E484C" w:rsidRDefault="002E484C" w:rsidP="002E484C">
            <w:pPr>
              <w:jc w:val="right"/>
              <w:rPr>
                <w:color w:val="000000"/>
                <w:sz w:val="20"/>
                <w:szCs w:val="20"/>
              </w:rPr>
            </w:pPr>
            <w:r>
              <w:rPr>
                <w:color w:val="000000"/>
                <w:sz w:val="20"/>
                <w:szCs w:val="20"/>
              </w:rPr>
              <w:t>0.814</w:t>
            </w:r>
          </w:p>
        </w:tc>
        <w:tc>
          <w:tcPr>
            <w:tcW w:w="768" w:type="dxa"/>
            <w:tcBorders>
              <w:top w:val="nil"/>
              <w:left w:val="nil"/>
              <w:bottom w:val="nil"/>
              <w:right w:val="nil"/>
            </w:tcBorders>
            <w:shd w:val="clear" w:color="auto" w:fill="auto"/>
            <w:noWrap/>
            <w:vAlign w:val="bottom"/>
            <w:hideMark/>
          </w:tcPr>
          <w:p w14:paraId="3E9955B0" w14:textId="4CDE78B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79239F" w14:textId="7961987D" w:rsidR="002E484C" w:rsidRDefault="002E484C" w:rsidP="002E484C">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15846B5" w14:textId="6A772B8C" w:rsidR="002E484C" w:rsidRDefault="002E484C" w:rsidP="002E484C">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029D4D39" w14:textId="258C70EE" w:rsidR="002E484C" w:rsidRDefault="002E484C" w:rsidP="002E484C">
            <w:pPr>
              <w:jc w:val="right"/>
              <w:rPr>
                <w:color w:val="000000"/>
                <w:sz w:val="20"/>
                <w:szCs w:val="20"/>
              </w:rPr>
            </w:pPr>
            <w:r>
              <w:rPr>
                <w:color w:val="000000"/>
                <w:sz w:val="20"/>
                <w:szCs w:val="20"/>
              </w:rPr>
              <w:t>0.002</w:t>
            </w:r>
          </w:p>
        </w:tc>
      </w:tr>
      <w:tr w:rsidR="002E484C" w14:paraId="5464AE17" w14:textId="77777777" w:rsidTr="008378D4">
        <w:trPr>
          <w:trHeight w:val="320"/>
        </w:trPr>
        <w:tc>
          <w:tcPr>
            <w:tcW w:w="1176" w:type="dxa"/>
            <w:tcBorders>
              <w:top w:val="nil"/>
              <w:left w:val="nil"/>
              <w:bottom w:val="nil"/>
              <w:right w:val="nil"/>
            </w:tcBorders>
            <w:shd w:val="clear" w:color="auto" w:fill="auto"/>
            <w:noWrap/>
            <w:vAlign w:val="bottom"/>
            <w:hideMark/>
          </w:tcPr>
          <w:p w14:paraId="3A7C81B5"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88D132" w14:textId="77777777" w:rsidR="002E484C" w:rsidRDefault="002E484C" w:rsidP="002E484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CCE6033" w14:textId="67DA0FF0" w:rsidR="002E484C" w:rsidRDefault="002E484C" w:rsidP="002E484C">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44D7A18" w14:textId="761AEF8D"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7B519E0B" w14:textId="7726FE26"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28F619" w14:textId="11A09F62" w:rsidR="002E484C" w:rsidRDefault="002E484C" w:rsidP="002E484C">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0F75D85B" w14:textId="137F3011" w:rsidR="002E484C" w:rsidRDefault="002E484C" w:rsidP="002E484C">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36F9C22C" w14:textId="3BFCA14F"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69AE4C8" w14:textId="58E0F3C2" w:rsidR="002E484C" w:rsidRDefault="002E484C" w:rsidP="002E484C">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1F479B7C" w14:textId="5FF92734" w:rsidR="002E484C" w:rsidRDefault="002E484C" w:rsidP="002E484C">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19249AD2" w14:textId="67B8A71D"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C543BAA" w14:textId="5A90B799" w:rsidR="002E484C" w:rsidRDefault="002E484C" w:rsidP="002E484C">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681A646" w14:textId="42A5F7CD" w:rsidR="002E484C" w:rsidRDefault="002E484C" w:rsidP="002E484C">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26D4AA24" w14:textId="18A42C52"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8FF155" w14:textId="0B5D68E5" w:rsidR="002E484C" w:rsidRDefault="002E484C" w:rsidP="002E484C">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782A23F1" w14:textId="6FB81060" w:rsidR="002E484C" w:rsidRDefault="002E484C" w:rsidP="002E484C">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03B1BB22" w14:textId="10D28EF6" w:rsidR="002E484C" w:rsidRDefault="002E484C" w:rsidP="002E484C">
            <w:pPr>
              <w:jc w:val="right"/>
              <w:rPr>
                <w:color w:val="000000"/>
                <w:sz w:val="20"/>
                <w:szCs w:val="20"/>
              </w:rPr>
            </w:pPr>
            <w:r>
              <w:rPr>
                <w:color w:val="000000"/>
                <w:sz w:val="20"/>
                <w:szCs w:val="20"/>
              </w:rPr>
              <w:t>0.005</w:t>
            </w:r>
          </w:p>
        </w:tc>
      </w:tr>
      <w:tr w:rsidR="002E484C" w14:paraId="26FFF579" w14:textId="77777777" w:rsidTr="008378D4">
        <w:trPr>
          <w:trHeight w:val="320"/>
        </w:trPr>
        <w:tc>
          <w:tcPr>
            <w:tcW w:w="1176" w:type="dxa"/>
            <w:tcBorders>
              <w:top w:val="nil"/>
              <w:left w:val="nil"/>
              <w:bottom w:val="nil"/>
              <w:right w:val="nil"/>
            </w:tcBorders>
            <w:shd w:val="clear" w:color="auto" w:fill="auto"/>
            <w:noWrap/>
            <w:vAlign w:val="bottom"/>
            <w:hideMark/>
          </w:tcPr>
          <w:p w14:paraId="35777EAD"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436FEA" w14:textId="77777777" w:rsidR="002E484C" w:rsidRDefault="002E484C" w:rsidP="002E484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A293F45" w14:textId="75733312" w:rsidR="002E484C" w:rsidRDefault="002E484C" w:rsidP="002E484C">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B6D1D0C" w14:textId="16A4F14A"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34002D2D" w14:textId="57F54CE9"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D1ECB2" w14:textId="715A0ECA" w:rsidR="002E484C" w:rsidRDefault="002E484C" w:rsidP="002E484C">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17217DE" w14:textId="54D0D37A" w:rsidR="002E484C" w:rsidRDefault="002E484C" w:rsidP="002E484C">
            <w:pPr>
              <w:jc w:val="right"/>
              <w:rPr>
                <w:color w:val="000000"/>
                <w:sz w:val="20"/>
                <w:szCs w:val="20"/>
              </w:rPr>
            </w:pPr>
            <w:r>
              <w:rPr>
                <w:color w:val="000000"/>
                <w:sz w:val="20"/>
                <w:szCs w:val="20"/>
              </w:rPr>
              <w:t>0.864</w:t>
            </w:r>
          </w:p>
        </w:tc>
        <w:tc>
          <w:tcPr>
            <w:tcW w:w="768" w:type="dxa"/>
            <w:tcBorders>
              <w:top w:val="nil"/>
              <w:left w:val="nil"/>
              <w:bottom w:val="nil"/>
              <w:right w:val="nil"/>
            </w:tcBorders>
            <w:shd w:val="clear" w:color="auto" w:fill="auto"/>
            <w:noWrap/>
            <w:vAlign w:val="bottom"/>
            <w:hideMark/>
          </w:tcPr>
          <w:p w14:paraId="710A8A1E" w14:textId="49556B96"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61A55F" w14:textId="2F3D6CA1"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9120CC0" w14:textId="762D221E" w:rsidR="002E484C" w:rsidRDefault="002E484C" w:rsidP="002E484C">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147FD00F" w14:textId="03E93F86"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5D8CAB" w14:textId="1842E6DF" w:rsidR="002E484C" w:rsidRDefault="002E484C" w:rsidP="002E484C">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DEA3EF5" w14:textId="61607E46" w:rsidR="002E484C" w:rsidRDefault="002E484C" w:rsidP="002E484C">
            <w:pPr>
              <w:jc w:val="right"/>
              <w:rPr>
                <w:color w:val="000000"/>
                <w:sz w:val="20"/>
                <w:szCs w:val="20"/>
              </w:rPr>
            </w:pPr>
            <w:r>
              <w:rPr>
                <w:color w:val="000000"/>
                <w:sz w:val="20"/>
                <w:szCs w:val="20"/>
              </w:rPr>
              <w:t>0.814</w:t>
            </w:r>
          </w:p>
        </w:tc>
        <w:tc>
          <w:tcPr>
            <w:tcW w:w="768" w:type="dxa"/>
            <w:tcBorders>
              <w:top w:val="nil"/>
              <w:left w:val="nil"/>
              <w:bottom w:val="nil"/>
              <w:right w:val="nil"/>
            </w:tcBorders>
            <w:shd w:val="clear" w:color="auto" w:fill="auto"/>
            <w:noWrap/>
            <w:vAlign w:val="bottom"/>
            <w:hideMark/>
          </w:tcPr>
          <w:p w14:paraId="2E7E17BE" w14:textId="1FBFF529"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61AC97" w14:textId="2F08F2C3" w:rsidR="002E484C" w:rsidRDefault="002E484C" w:rsidP="002E484C">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C26EB27" w14:textId="4B087C35" w:rsidR="002E484C" w:rsidRDefault="002E484C" w:rsidP="002E484C">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5C183040" w14:textId="38D02713" w:rsidR="002E484C" w:rsidRDefault="002E484C" w:rsidP="002E484C">
            <w:pPr>
              <w:jc w:val="right"/>
              <w:rPr>
                <w:color w:val="000000"/>
                <w:sz w:val="20"/>
                <w:szCs w:val="20"/>
              </w:rPr>
            </w:pPr>
            <w:r>
              <w:rPr>
                <w:color w:val="000000"/>
                <w:sz w:val="20"/>
                <w:szCs w:val="20"/>
              </w:rPr>
              <w:t>0.001</w:t>
            </w:r>
          </w:p>
        </w:tc>
      </w:tr>
      <w:tr w:rsidR="002E484C" w14:paraId="41EFC4B9" w14:textId="77777777" w:rsidTr="008378D4">
        <w:trPr>
          <w:trHeight w:val="320"/>
        </w:trPr>
        <w:tc>
          <w:tcPr>
            <w:tcW w:w="1176" w:type="dxa"/>
            <w:tcBorders>
              <w:top w:val="nil"/>
              <w:left w:val="nil"/>
              <w:bottom w:val="nil"/>
              <w:right w:val="nil"/>
            </w:tcBorders>
            <w:shd w:val="clear" w:color="auto" w:fill="auto"/>
            <w:noWrap/>
            <w:vAlign w:val="bottom"/>
            <w:hideMark/>
          </w:tcPr>
          <w:p w14:paraId="4478DDDA"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BE3C531" w14:textId="77777777" w:rsidR="002E484C" w:rsidRDefault="002E484C" w:rsidP="002E484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C10D034" w14:textId="21F91C6F" w:rsidR="002E484C" w:rsidRDefault="002E484C" w:rsidP="002E484C">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4C1027D7" w14:textId="4E745070" w:rsidR="002E484C" w:rsidRDefault="002E484C" w:rsidP="002E484C">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22D551DA" w14:textId="067E5240" w:rsidR="002E484C" w:rsidRDefault="002E484C" w:rsidP="002E484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CB1DD80" w14:textId="4935896B" w:rsidR="002E484C" w:rsidRDefault="002E484C" w:rsidP="002E484C">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7E8B7860" w14:textId="74EA1399" w:rsidR="002E484C" w:rsidRDefault="002E484C" w:rsidP="002E484C">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4795E4E6" w14:textId="14F0F7E0"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7B264B" w14:textId="782E508C" w:rsidR="002E484C" w:rsidRDefault="002E484C" w:rsidP="002E484C">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B78E3CF" w14:textId="3E3600A6" w:rsidR="002E484C" w:rsidRDefault="002E484C" w:rsidP="002E484C">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67C870DC" w14:textId="4530ECFD"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9EA116" w14:textId="0A0F677D" w:rsidR="002E484C" w:rsidRDefault="002E484C" w:rsidP="002E484C">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3967174" w14:textId="3D22215F" w:rsidR="002E484C" w:rsidRDefault="002E484C" w:rsidP="002E484C">
            <w:pPr>
              <w:jc w:val="right"/>
              <w:rPr>
                <w:color w:val="000000"/>
                <w:sz w:val="20"/>
                <w:szCs w:val="20"/>
              </w:rPr>
            </w:pPr>
            <w:r>
              <w:rPr>
                <w:color w:val="000000"/>
                <w:sz w:val="20"/>
                <w:szCs w:val="20"/>
              </w:rPr>
              <w:t>0.814</w:t>
            </w:r>
          </w:p>
        </w:tc>
        <w:tc>
          <w:tcPr>
            <w:tcW w:w="768" w:type="dxa"/>
            <w:tcBorders>
              <w:top w:val="nil"/>
              <w:left w:val="nil"/>
              <w:bottom w:val="nil"/>
              <w:right w:val="nil"/>
            </w:tcBorders>
            <w:shd w:val="clear" w:color="auto" w:fill="auto"/>
            <w:noWrap/>
            <w:vAlign w:val="bottom"/>
            <w:hideMark/>
          </w:tcPr>
          <w:p w14:paraId="4D8B4C47" w14:textId="4C03526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3FA112A" w14:textId="5B859D1E" w:rsidR="002E484C" w:rsidRDefault="002E484C" w:rsidP="002E484C">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B715C23" w14:textId="285FD570" w:rsidR="002E484C" w:rsidRDefault="002E484C" w:rsidP="002E484C">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26E88980" w14:textId="344B9EF2" w:rsidR="002E484C" w:rsidRDefault="002E484C" w:rsidP="002E484C">
            <w:pPr>
              <w:jc w:val="right"/>
              <w:rPr>
                <w:color w:val="000000"/>
                <w:sz w:val="20"/>
                <w:szCs w:val="20"/>
              </w:rPr>
            </w:pPr>
            <w:r>
              <w:rPr>
                <w:color w:val="000000"/>
                <w:sz w:val="20"/>
                <w:szCs w:val="20"/>
              </w:rPr>
              <w:t>0.000</w:t>
            </w:r>
          </w:p>
        </w:tc>
      </w:tr>
      <w:tr w:rsidR="002E484C" w14:paraId="6653AE4C" w14:textId="77777777" w:rsidTr="008378D4">
        <w:trPr>
          <w:trHeight w:val="320"/>
        </w:trPr>
        <w:tc>
          <w:tcPr>
            <w:tcW w:w="1176" w:type="dxa"/>
            <w:tcBorders>
              <w:top w:val="nil"/>
              <w:left w:val="nil"/>
              <w:bottom w:val="nil"/>
              <w:right w:val="nil"/>
            </w:tcBorders>
            <w:shd w:val="clear" w:color="auto" w:fill="auto"/>
            <w:noWrap/>
            <w:vAlign w:val="bottom"/>
            <w:hideMark/>
          </w:tcPr>
          <w:p w14:paraId="265AC327"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2FD6FC3" w14:textId="77777777" w:rsidR="002E484C" w:rsidRDefault="002E484C" w:rsidP="002E484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FB52EFB" w14:textId="0C684860"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74D8344A" w14:textId="6A60A9D5"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255AFB50" w14:textId="1DF7C1B3"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67EC6D" w14:textId="4B6563DB"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3E5EC8F" w14:textId="2C39EF8E" w:rsidR="002E484C" w:rsidRDefault="002E484C" w:rsidP="002E484C">
            <w:pPr>
              <w:jc w:val="right"/>
              <w:rPr>
                <w:color w:val="000000"/>
                <w:sz w:val="20"/>
                <w:szCs w:val="20"/>
              </w:rPr>
            </w:pPr>
            <w:r>
              <w:rPr>
                <w:color w:val="000000"/>
                <w:sz w:val="20"/>
                <w:szCs w:val="20"/>
              </w:rPr>
              <w:t>0.864</w:t>
            </w:r>
          </w:p>
        </w:tc>
        <w:tc>
          <w:tcPr>
            <w:tcW w:w="768" w:type="dxa"/>
            <w:tcBorders>
              <w:top w:val="nil"/>
              <w:left w:val="nil"/>
              <w:bottom w:val="nil"/>
              <w:right w:val="nil"/>
            </w:tcBorders>
            <w:shd w:val="clear" w:color="auto" w:fill="auto"/>
            <w:noWrap/>
            <w:vAlign w:val="bottom"/>
            <w:hideMark/>
          </w:tcPr>
          <w:p w14:paraId="06B1176C" w14:textId="55929FB4"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DC4C2C" w14:textId="7227A9B0" w:rsidR="002E484C" w:rsidRDefault="002E484C" w:rsidP="002E484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86307D4" w14:textId="5157BE83" w:rsidR="002E484C" w:rsidRDefault="002E484C" w:rsidP="002E484C">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3A3033AC" w14:textId="31DA0DA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3B1749" w14:textId="7AC1E02A" w:rsidR="002E484C" w:rsidRDefault="002E484C" w:rsidP="002E484C">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3F94881" w14:textId="73431AF5" w:rsidR="002E484C" w:rsidRDefault="002E484C" w:rsidP="002E484C">
            <w:pPr>
              <w:jc w:val="right"/>
              <w:rPr>
                <w:color w:val="000000"/>
                <w:sz w:val="20"/>
                <w:szCs w:val="20"/>
              </w:rPr>
            </w:pPr>
            <w:r>
              <w:rPr>
                <w:color w:val="000000"/>
                <w:sz w:val="20"/>
                <w:szCs w:val="20"/>
              </w:rPr>
              <w:t>0.814</w:t>
            </w:r>
          </w:p>
        </w:tc>
        <w:tc>
          <w:tcPr>
            <w:tcW w:w="768" w:type="dxa"/>
            <w:tcBorders>
              <w:top w:val="nil"/>
              <w:left w:val="nil"/>
              <w:bottom w:val="nil"/>
              <w:right w:val="nil"/>
            </w:tcBorders>
            <w:shd w:val="clear" w:color="auto" w:fill="auto"/>
            <w:noWrap/>
            <w:vAlign w:val="bottom"/>
            <w:hideMark/>
          </w:tcPr>
          <w:p w14:paraId="0D5F2F71" w14:textId="4930560A"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ABCCD5" w14:textId="635E3336" w:rsidR="002E484C" w:rsidRDefault="002E484C" w:rsidP="002E484C">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4DDC57F" w14:textId="2C5923F4" w:rsidR="002E484C" w:rsidRDefault="002E484C" w:rsidP="002E484C">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3AEE62DE" w14:textId="0ADF7431" w:rsidR="002E484C" w:rsidRDefault="002E484C" w:rsidP="002E484C">
            <w:pPr>
              <w:jc w:val="right"/>
              <w:rPr>
                <w:color w:val="000000"/>
                <w:sz w:val="20"/>
                <w:szCs w:val="20"/>
              </w:rPr>
            </w:pPr>
            <w:r>
              <w:rPr>
                <w:color w:val="000000"/>
                <w:sz w:val="20"/>
                <w:szCs w:val="20"/>
              </w:rPr>
              <w:t>0.000</w:t>
            </w:r>
          </w:p>
        </w:tc>
      </w:tr>
      <w:tr w:rsidR="002E484C" w14:paraId="48D806A5" w14:textId="77777777" w:rsidTr="008378D4">
        <w:trPr>
          <w:trHeight w:val="320"/>
        </w:trPr>
        <w:tc>
          <w:tcPr>
            <w:tcW w:w="1176" w:type="dxa"/>
            <w:tcBorders>
              <w:top w:val="nil"/>
              <w:left w:val="nil"/>
              <w:bottom w:val="single" w:sz="4" w:space="0" w:color="auto"/>
              <w:right w:val="nil"/>
            </w:tcBorders>
            <w:shd w:val="clear" w:color="auto" w:fill="auto"/>
            <w:noWrap/>
            <w:vAlign w:val="bottom"/>
            <w:hideMark/>
          </w:tcPr>
          <w:p w14:paraId="335276AC" w14:textId="77777777" w:rsidR="002E484C" w:rsidRDefault="002E484C" w:rsidP="002E484C">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D9F6EE2" w14:textId="77777777" w:rsidR="002E484C" w:rsidRDefault="002E484C" w:rsidP="002E484C">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86DE277" w14:textId="7C30E4C4" w:rsidR="002E484C" w:rsidRDefault="002E484C" w:rsidP="002E484C">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5A95CD90" w14:textId="7C461806"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single" w:sz="4" w:space="0" w:color="auto"/>
              <w:right w:val="nil"/>
            </w:tcBorders>
            <w:shd w:val="clear" w:color="auto" w:fill="auto"/>
            <w:noWrap/>
            <w:vAlign w:val="bottom"/>
            <w:hideMark/>
          </w:tcPr>
          <w:p w14:paraId="3FFC0174" w14:textId="371049C0"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1D08772" w14:textId="5E11F778" w:rsidR="002E484C" w:rsidRDefault="002E484C" w:rsidP="002E484C">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77E9051D" w14:textId="71BDDFFC" w:rsidR="002E484C" w:rsidRDefault="002E484C" w:rsidP="002E484C">
            <w:pPr>
              <w:jc w:val="right"/>
              <w:rPr>
                <w:color w:val="000000"/>
                <w:sz w:val="20"/>
                <w:szCs w:val="20"/>
              </w:rPr>
            </w:pPr>
            <w:r>
              <w:rPr>
                <w:color w:val="000000"/>
                <w:sz w:val="20"/>
                <w:szCs w:val="20"/>
              </w:rPr>
              <w:t>0.864</w:t>
            </w:r>
          </w:p>
        </w:tc>
        <w:tc>
          <w:tcPr>
            <w:tcW w:w="768" w:type="dxa"/>
            <w:tcBorders>
              <w:top w:val="nil"/>
              <w:left w:val="nil"/>
              <w:bottom w:val="single" w:sz="4" w:space="0" w:color="auto"/>
              <w:right w:val="nil"/>
            </w:tcBorders>
            <w:shd w:val="clear" w:color="auto" w:fill="auto"/>
            <w:noWrap/>
            <w:vAlign w:val="bottom"/>
            <w:hideMark/>
          </w:tcPr>
          <w:p w14:paraId="41762E88" w14:textId="604F5BF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DE40121" w14:textId="2F7D03F6"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F0C3424" w14:textId="2C765268" w:rsidR="002E484C" w:rsidRDefault="002E484C" w:rsidP="002E484C">
            <w:pPr>
              <w:jc w:val="right"/>
              <w:rPr>
                <w:color w:val="000000"/>
                <w:sz w:val="20"/>
                <w:szCs w:val="20"/>
              </w:rPr>
            </w:pPr>
            <w:r>
              <w:rPr>
                <w:color w:val="000000"/>
                <w:sz w:val="20"/>
                <w:szCs w:val="20"/>
              </w:rPr>
              <w:t>0.990</w:t>
            </w:r>
          </w:p>
        </w:tc>
        <w:tc>
          <w:tcPr>
            <w:tcW w:w="768" w:type="dxa"/>
            <w:tcBorders>
              <w:top w:val="nil"/>
              <w:left w:val="nil"/>
              <w:bottom w:val="single" w:sz="4" w:space="0" w:color="auto"/>
              <w:right w:val="nil"/>
            </w:tcBorders>
            <w:shd w:val="clear" w:color="auto" w:fill="auto"/>
            <w:noWrap/>
            <w:vAlign w:val="bottom"/>
            <w:hideMark/>
          </w:tcPr>
          <w:p w14:paraId="72392B4E" w14:textId="1980F2B1"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63F5490" w14:textId="15E74B81"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69BCA4B" w14:textId="242477E8" w:rsidR="002E484C" w:rsidRDefault="002E484C" w:rsidP="002E484C">
            <w:pPr>
              <w:jc w:val="right"/>
              <w:rPr>
                <w:color w:val="000000"/>
                <w:sz w:val="20"/>
                <w:szCs w:val="20"/>
              </w:rPr>
            </w:pPr>
            <w:r>
              <w:rPr>
                <w:color w:val="000000"/>
                <w:sz w:val="20"/>
                <w:szCs w:val="20"/>
              </w:rPr>
              <w:t>0.979</w:t>
            </w:r>
          </w:p>
        </w:tc>
        <w:tc>
          <w:tcPr>
            <w:tcW w:w="768" w:type="dxa"/>
            <w:tcBorders>
              <w:top w:val="nil"/>
              <w:left w:val="nil"/>
              <w:bottom w:val="single" w:sz="4" w:space="0" w:color="auto"/>
              <w:right w:val="nil"/>
            </w:tcBorders>
            <w:shd w:val="clear" w:color="auto" w:fill="auto"/>
            <w:noWrap/>
            <w:vAlign w:val="bottom"/>
            <w:hideMark/>
          </w:tcPr>
          <w:p w14:paraId="71AC58A3" w14:textId="209F1F56"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BD16AA9" w14:textId="781FB2CA"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2BF5C291" w14:textId="67F686D0" w:rsidR="002E484C" w:rsidRDefault="002E484C" w:rsidP="002E484C">
            <w:pPr>
              <w:jc w:val="right"/>
              <w:rPr>
                <w:color w:val="000000"/>
                <w:sz w:val="20"/>
                <w:szCs w:val="20"/>
              </w:rPr>
            </w:pPr>
            <w:r>
              <w:rPr>
                <w:color w:val="000000"/>
                <w:sz w:val="20"/>
                <w:szCs w:val="20"/>
              </w:rPr>
              <w:t>0.855</w:t>
            </w:r>
          </w:p>
        </w:tc>
        <w:tc>
          <w:tcPr>
            <w:tcW w:w="768" w:type="dxa"/>
            <w:tcBorders>
              <w:top w:val="nil"/>
              <w:left w:val="nil"/>
              <w:bottom w:val="single" w:sz="4" w:space="0" w:color="auto"/>
              <w:right w:val="nil"/>
            </w:tcBorders>
            <w:shd w:val="clear" w:color="auto" w:fill="auto"/>
            <w:noWrap/>
            <w:vAlign w:val="bottom"/>
            <w:hideMark/>
          </w:tcPr>
          <w:p w14:paraId="0E36012E" w14:textId="1E94853F" w:rsidR="002E484C" w:rsidRDefault="002E484C" w:rsidP="002E484C">
            <w:pPr>
              <w:jc w:val="right"/>
              <w:rPr>
                <w:color w:val="000000"/>
                <w:sz w:val="20"/>
                <w:szCs w:val="20"/>
              </w:rPr>
            </w:pPr>
            <w:r>
              <w:rPr>
                <w:color w:val="000000"/>
                <w:sz w:val="20"/>
                <w:szCs w:val="20"/>
              </w:rPr>
              <w:t>0.000</w:t>
            </w:r>
          </w:p>
        </w:tc>
      </w:tr>
      <w:tr w:rsidR="002E484C" w14:paraId="74BAB429" w14:textId="77777777" w:rsidTr="008378D4">
        <w:trPr>
          <w:trHeight w:val="320"/>
        </w:trPr>
        <w:tc>
          <w:tcPr>
            <w:tcW w:w="1176" w:type="dxa"/>
            <w:tcBorders>
              <w:top w:val="nil"/>
              <w:left w:val="nil"/>
              <w:bottom w:val="nil"/>
              <w:right w:val="nil"/>
            </w:tcBorders>
            <w:shd w:val="clear" w:color="auto" w:fill="auto"/>
            <w:noWrap/>
            <w:vAlign w:val="bottom"/>
            <w:hideMark/>
          </w:tcPr>
          <w:p w14:paraId="2283C5FB" w14:textId="77777777" w:rsidR="002E484C" w:rsidRDefault="002E484C" w:rsidP="002E484C">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344EE016" w14:textId="77777777" w:rsidR="002E484C" w:rsidRDefault="002E484C" w:rsidP="002E484C">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0F784C8" w14:textId="22E31913"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2ADCFDD" w14:textId="76D36F4C" w:rsidR="002E484C" w:rsidRDefault="002E484C" w:rsidP="002E484C">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210C17A5" w14:textId="492A8A3D"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F3DDEB" w14:textId="05F81253" w:rsidR="002E484C" w:rsidRDefault="002E484C" w:rsidP="002E484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1957D6E" w14:textId="6ECE583D" w:rsidR="002E484C" w:rsidRDefault="002E484C" w:rsidP="002E484C">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2EF99E82" w14:textId="3A29292D"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42A7E2" w14:textId="0001D8F9" w:rsidR="002E484C" w:rsidRDefault="002E484C" w:rsidP="002E484C">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D2F6DF4" w14:textId="6F3C8B8C" w:rsidR="002E484C" w:rsidRDefault="002E484C" w:rsidP="002E484C">
            <w:pPr>
              <w:jc w:val="right"/>
              <w:rPr>
                <w:color w:val="000000"/>
                <w:sz w:val="20"/>
                <w:szCs w:val="20"/>
              </w:rPr>
            </w:pPr>
            <w:r>
              <w:rPr>
                <w:color w:val="000000"/>
                <w:sz w:val="20"/>
                <w:szCs w:val="20"/>
              </w:rPr>
              <w:t>0.796</w:t>
            </w:r>
          </w:p>
        </w:tc>
        <w:tc>
          <w:tcPr>
            <w:tcW w:w="768" w:type="dxa"/>
            <w:tcBorders>
              <w:top w:val="nil"/>
              <w:left w:val="nil"/>
              <w:bottom w:val="nil"/>
              <w:right w:val="nil"/>
            </w:tcBorders>
            <w:shd w:val="clear" w:color="auto" w:fill="auto"/>
            <w:noWrap/>
            <w:vAlign w:val="bottom"/>
            <w:hideMark/>
          </w:tcPr>
          <w:p w14:paraId="2F9A1637" w14:textId="3C6A90AC"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52F706" w14:textId="3D333BF0"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DB801E" w14:textId="20F6CE70"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71CEB7B1" w14:textId="24222C7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69F55E" w14:textId="7E7D4211" w:rsidR="002E484C" w:rsidRDefault="002E484C" w:rsidP="002E484C">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55F6D88F" w14:textId="476AFFAC" w:rsidR="002E484C" w:rsidRDefault="002E484C" w:rsidP="002E484C">
            <w:pPr>
              <w:jc w:val="right"/>
              <w:rPr>
                <w:color w:val="000000"/>
                <w:sz w:val="20"/>
                <w:szCs w:val="20"/>
              </w:rPr>
            </w:pPr>
            <w:r>
              <w:rPr>
                <w:color w:val="000000"/>
                <w:sz w:val="20"/>
                <w:szCs w:val="20"/>
              </w:rPr>
              <w:t>0.389</w:t>
            </w:r>
          </w:p>
        </w:tc>
        <w:tc>
          <w:tcPr>
            <w:tcW w:w="768" w:type="dxa"/>
            <w:tcBorders>
              <w:top w:val="nil"/>
              <w:left w:val="nil"/>
              <w:bottom w:val="nil"/>
              <w:right w:val="nil"/>
            </w:tcBorders>
            <w:shd w:val="clear" w:color="auto" w:fill="auto"/>
            <w:noWrap/>
            <w:vAlign w:val="bottom"/>
            <w:hideMark/>
          </w:tcPr>
          <w:p w14:paraId="79DED5BD" w14:textId="08A79BFD" w:rsidR="002E484C" w:rsidRDefault="002E484C" w:rsidP="002E484C">
            <w:pPr>
              <w:jc w:val="right"/>
              <w:rPr>
                <w:color w:val="000000"/>
                <w:sz w:val="20"/>
                <w:szCs w:val="20"/>
              </w:rPr>
            </w:pPr>
            <w:r>
              <w:rPr>
                <w:color w:val="000000"/>
                <w:sz w:val="20"/>
                <w:szCs w:val="20"/>
              </w:rPr>
              <w:t>0.002</w:t>
            </w:r>
          </w:p>
        </w:tc>
      </w:tr>
      <w:tr w:rsidR="002E484C" w14:paraId="206716AD" w14:textId="77777777" w:rsidTr="008378D4">
        <w:trPr>
          <w:trHeight w:val="320"/>
        </w:trPr>
        <w:tc>
          <w:tcPr>
            <w:tcW w:w="1176" w:type="dxa"/>
            <w:tcBorders>
              <w:top w:val="nil"/>
              <w:left w:val="nil"/>
              <w:bottom w:val="nil"/>
              <w:right w:val="nil"/>
            </w:tcBorders>
            <w:shd w:val="clear" w:color="auto" w:fill="auto"/>
            <w:noWrap/>
            <w:vAlign w:val="bottom"/>
            <w:hideMark/>
          </w:tcPr>
          <w:p w14:paraId="399E7684"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F3575E8" w14:textId="77777777" w:rsidR="002E484C" w:rsidRDefault="002E484C" w:rsidP="002E484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0F8F17E" w14:textId="2E08214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5528B2" w14:textId="6148D52F" w:rsidR="002E484C" w:rsidRDefault="002E484C" w:rsidP="002E484C">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1306F7CE" w14:textId="779534F8"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5D43B9" w14:textId="46734738" w:rsidR="002E484C" w:rsidRDefault="002E484C" w:rsidP="002E484C">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DFBD84A" w14:textId="7C635376" w:rsidR="002E484C" w:rsidRDefault="002E484C" w:rsidP="002E484C">
            <w:pPr>
              <w:jc w:val="right"/>
              <w:rPr>
                <w:color w:val="000000"/>
                <w:sz w:val="20"/>
                <w:szCs w:val="20"/>
              </w:rPr>
            </w:pPr>
            <w:r>
              <w:rPr>
                <w:color w:val="000000"/>
                <w:sz w:val="20"/>
                <w:szCs w:val="20"/>
              </w:rPr>
              <w:t>0.685</w:t>
            </w:r>
          </w:p>
        </w:tc>
        <w:tc>
          <w:tcPr>
            <w:tcW w:w="768" w:type="dxa"/>
            <w:tcBorders>
              <w:top w:val="nil"/>
              <w:left w:val="nil"/>
              <w:bottom w:val="nil"/>
              <w:right w:val="nil"/>
            </w:tcBorders>
            <w:shd w:val="clear" w:color="auto" w:fill="auto"/>
            <w:noWrap/>
            <w:vAlign w:val="bottom"/>
            <w:hideMark/>
          </w:tcPr>
          <w:p w14:paraId="51A55EAE" w14:textId="6CC035BD"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02E2435" w14:textId="6BDB2B7B" w:rsidR="002E484C" w:rsidRDefault="002E484C" w:rsidP="002E484C">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152FEDC8" w14:textId="31EFB8BA" w:rsidR="002E484C" w:rsidRDefault="002E484C" w:rsidP="002E484C">
            <w:pPr>
              <w:jc w:val="right"/>
              <w:rPr>
                <w:color w:val="000000"/>
                <w:sz w:val="20"/>
                <w:szCs w:val="20"/>
              </w:rPr>
            </w:pPr>
            <w:r>
              <w:rPr>
                <w:color w:val="000000"/>
                <w:sz w:val="20"/>
                <w:szCs w:val="20"/>
              </w:rPr>
              <w:t>0.796</w:t>
            </w:r>
          </w:p>
        </w:tc>
        <w:tc>
          <w:tcPr>
            <w:tcW w:w="768" w:type="dxa"/>
            <w:tcBorders>
              <w:top w:val="nil"/>
              <w:left w:val="nil"/>
              <w:bottom w:val="nil"/>
              <w:right w:val="nil"/>
            </w:tcBorders>
            <w:shd w:val="clear" w:color="auto" w:fill="auto"/>
            <w:noWrap/>
            <w:vAlign w:val="bottom"/>
            <w:hideMark/>
          </w:tcPr>
          <w:p w14:paraId="6AC1D40A" w14:textId="7D89CE0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8F0814A" w14:textId="6A9E1EB9"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D9CBED0" w14:textId="560B8EF3"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7150FD9D" w14:textId="55116168"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1E57E3" w14:textId="2B54C003" w:rsidR="002E484C" w:rsidRDefault="002E484C" w:rsidP="002E484C">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661E7003" w14:textId="3E7B44F0" w:rsidR="002E484C" w:rsidRDefault="002E484C" w:rsidP="002E484C">
            <w:pPr>
              <w:jc w:val="right"/>
              <w:rPr>
                <w:color w:val="000000"/>
                <w:sz w:val="20"/>
                <w:szCs w:val="20"/>
              </w:rPr>
            </w:pPr>
            <w:r>
              <w:rPr>
                <w:color w:val="000000"/>
                <w:sz w:val="20"/>
                <w:szCs w:val="20"/>
              </w:rPr>
              <w:t>0.300</w:t>
            </w:r>
          </w:p>
        </w:tc>
        <w:tc>
          <w:tcPr>
            <w:tcW w:w="768" w:type="dxa"/>
            <w:tcBorders>
              <w:top w:val="nil"/>
              <w:left w:val="nil"/>
              <w:bottom w:val="nil"/>
              <w:right w:val="nil"/>
            </w:tcBorders>
            <w:shd w:val="clear" w:color="auto" w:fill="auto"/>
            <w:noWrap/>
            <w:vAlign w:val="bottom"/>
            <w:hideMark/>
          </w:tcPr>
          <w:p w14:paraId="38BC070C" w14:textId="04A4480D" w:rsidR="002E484C" w:rsidRDefault="002E484C" w:rsidP="002E484C">
            <w:pPr>
              <w:jc w:val="right"/>
              <w:rPr>
                <w:color w:val="000000"/>
                <w:sz w:val="20"/>
                <w:szCs w:val="20"/>
              </w:rPr>
            </w:pPr>
            <w:r>
              <w:rPr>
                <w:color w:val="000000"/>
                <w:sz w:val="20"/>
                <w:szCs w:val="20"/>
              </w:rPr>
              <w:t>0.003</w:t>
            </w:r>
          </w:p>
        </w:tc>
      </w:tr>
      <w:tr w:rsidR="002E484C" w14:paraId="6CC44103" w14:textId="77777777" w:rsidTr="008378D4">
        <w:trPr>
          <w:trHeight w:val="320"/>
        </w:trPr>
        <w:tc>
          <w:tcPr>
            <w:tcW w:w="1176" w:type="dxa"/>
            <w:tcBorders>
              <w:top w:val="nil"/>
              <w:left w:val="nil"/>
              <w:bottom w:val="nil"/>
              <w:right w:val="nil"/>
            </w:tcBorders>
            <w:shd w:val="clear" w:color="auto" w:fill="auto"/>
            <w:noWrap/>
            <w:vAlign w:val="bottom"/>
            <w:hideMark/>
          </w:tcPr>
          <w:p w14:paraId="2DDDB0FB"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CDB67A0" w14:textId="77777777" w:rsidR="002E484C" w:rsidRDefault="002E484C" w:rsidP="002E484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82321D0" w14:textId="3FF625CE" w:rsidR="002E484C" w:rsidRDefault="002E484C" w:rsidP="002E484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6D52DB5" w14:textId="05681274" w:rsidR="002E484C" w:rsidRDefault="002E484C" w:rsidP="002E484C">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6B477069" w14:textId="6D168EBE"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B06F7F" w14:textId="5DDF15E3" w:rsidR="002E484C" w:rsidRDefault="002E484C" w:rsidP="002E484C">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1B21EA6" w14:textId="06648F57" w:rsidR="002E484C" w:rsidRDefault="002E484C" w:rsidP="002E484C">
            <w:pPr>
              <w:jc w:val="right"/>
              <w:rPr>
                <w:color w:val="000000"/>
                <w:sz w:val="20"/>
                <w:szCs w:val="20"/>
              </w:rPr>
            </w:pPr>
            <w:r>
              <w:rPr>
                <w:color w:val="000000"/>
                <w:sz w:val="20"/>
                <w:szCs w:val="20"/>
              </w:rPr>
              <w:t>0.884</w:t>
            </w:r>
          </w:p>
        </w:tc>
        <w:tc>
          <w:tcPr>
            <w:tcW w:w="768" w:type="dxa"/>
            <w:tcBorders>
              <w:top w:val="nil"/>
              <w:left w:val="nil"/>
              <w:bottom w:val="nil"/>
              <w:right w:val="nil"/>
            </w:tcBorders>
            <w:shd w:val="clear" w:color="auto" w:fill="auto"/>
            <w:noWrap/>
            <w:vAlign w:val="bottom"/>
            <w:hideMark/>
          </w:tcPr>
          <w:p w14:paraId="694E9307" w14:textId="3B57AC46"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6B73C0" w14:textId="0CA48E64" w:rsidR="002E484C" w:rsidRDefault="002E484C" w:rsidP="002E484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344380F" w14:textId="6ED003E4" w:rsidR="002E484C" w:rsidRDefault="002E484C" w:rsidP="002E484C">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4B2770D7" w14:textId="48984735"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20B655" w14:textId="6C958A12" w:rsidR="002E484C" w:rsidRDefault="002E484C" w:rsidP="002E484C">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8FFA6A1" w14:textId="5F0AD76E" w:rsidR="002E484C" w:rsidRDefault="002E484C" w:rsidP="002E484C">
            <w:pPr>
              <w:jc w:val="right"/>
              <w:rPr>
                <w:color w:val="000000"/>
                <w:sz w:val="20"/>
                <w:szCs w:val="20"/>
              </w:rPr>
            </w:pPr>
            <w:r>
              <w:rPr>
                <w:color w:val="000000"/>
                <w:sz w:val="20"/>
                <w:szCs w:val="20"/>
              </w:rPr>
              <w:t>0.628</w:t>
            </w:r>
          </w:p>
        </w:tc>
        <w:tc>
          <w:tcPr>
            <w:tcW w:w="768" w:type="dxa"/>
            <w:tcBorders>
              <w:top w:val="nil"/>
              <w:left w:val="nil"/>
              <w:bottom w:val="nil"/>
              <w:right w:val="nil"/>
            </w:tcBorders>
            <w:shd w:val="clear" w:color="auto" w:fill="auto"/>
            <w:noWrap/>
            <w:vAlign w:val="bottom"/>
            <w:hideMark/>
          </w:tcPr>
          <w:p w14:paraId="62A860D4" w14:textId="5D6F2370"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09785E5" w14:textId="64321D5F" w:rsidR="002E484C" w:rsidRDefault="002E484C" w:rsidP="002E484C">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7FF89D12" w14:textId="4B947C37" w:rsidR="002E484C" w:rsidRDefault="002E484C" w:rsidP="002E484C">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7FAEB78B" w14:textId="0D754B92" w:rsidR="002E484C" w:rsidRDefault="002E484C" w:rsidP="002E484C">
            <w:pPr>
              <w:jc w:val="right"/>
              <w:rPr>
                <w:color w:val="000000"/>
                <w:sz w:val="20"/>
                <w:szCs w:val="20"/>
              </w:rPr>
            </w:pPr>
            <w:r>
              <w:rPr>
                <w:color w:val="000000"/>
                <w:sz w:val="20"/>
                <w:szCs w:val="20"/>
              </w:rPr>
              <w:t>0.001</w:t>
            </w:r>
          </w:p>
        </w:tc>
      </w:tr>
      <w:tr w:rsidR="002E484C" w14:paraId="0D48CA80" w14:textId="77777777" w:rsidTr="008378D4">
        <w:trPr>
          <w:trHeight w:val="320"/>
        </w:trPr>
        <w:tc>
          <w:tcPr>
            <w:tcW w:w="1176" w:type="dxa"/>
            <w:tcBorders>
              <w:top w:val="nil"/>
              <w:left w:val="nil"/>
              <w:bottom w:val="nil"/>
              <w:right w:val="nil"/>
            </w:tcBorders>
            <w:shd w:val="clear" w:color="auto" w:fill="auto"/>
            <w:noWrap/>
            <w:vAlign w:val="bottom"/>
            <w:hideMark/>
          </w:tcPr>
          <w:p w14:paraId="3FFEF11F"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27514CB" w14:textId="77777777" w:rsidR="002E484C" w:rsidRDefault="002E484C" w:rsidP="002E484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0AB841D" w14:textId="35F44E13" w:rsidR="002E484C" w:rsidRDefault="002E484C" w:rsidP="002E484C">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EF83A9A" w14:textId="319BE817" w:rsidR="002E484C" w:rsidRDefault="002E484C" w:rsidP="002E484C">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73ED1FA0" w14:textId="020187F1"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AE33CBA" w14:textId="2849033C" w:rsidR="002E484C" w:rsidRDefault="002E484C" w:rsidP="002E484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A9D924C" w14:textId="744F62FB" w:rsidR="002E484C" w:rsidRDefault="002E484C" w:rsidP="002E484C">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7A0248A5" w14:textId="09BD16B0"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A9D661" w14:textId="6BC1191A" w:rsidR="002E484C" w:rsidRDefault="002E484C" w:rsidP="002E484C">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2922B91" w14:textId="428C6D29" w:rsidR="002E484C" w:rsidRDefault="002E484C" w:rsidP="002E484C">
            <w:pPr>
              <w:jc w:val="right"/>
              <w:rPr>
                <w:color w:val="000000"/>
                <w:sz w:val="20"/>
                <w:szCs w:val="20"/>
              </w:rPr>
            </w:pPr>
            <w:r>
              <w:rPr>
                <w:color w:val="000000"/>
                <w:sz w:val="20"/>
                <w:szCs w:val="20"/>
              </w:rPr>
              <w:t>0.796</w:t>
            </w:r>
          </w:p>
        </w:tc>
        <w:tc>
          <w:tcPr>
            <w:tcW w:w="768" w:type="dxa"/>
            <w:tcBorders>
              <w:top w:val="nil"/>
              <w:left w:val="nil"/>
              <w:bottom w:val="nil"/>
              <w:right w:val="nil"/>
            </w:tcBorders>
            <w:shd w:val="clear" w:color="auto" w:fill="auto"/>
            <w:noWrap/>
            <w:vAlign w:val="bottom"/>
            <w:hideMark/>
          </w:tcPr>
          <w:p w14:paraId="7C9E3BD4" w14:textId="00479273"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D6A3245" w14:textId="64495A54"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E175D74" w14:textId="4588E8A7"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7169038E" w14:textId="5A9298C7"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BA4550" w14:textId="0FA2300F" w:rsidR="002E484C" w:rsidRDefault="002E484C" w:rsidP="002E484C">
            <w:pPr>
              <w:jc w:val="right"/>
              <w:rPr>
                <w:b/>
                <w:bCs/>
                <w:color w:val="000000"/>
                <w:sz w:val="20"/>
                <w:szCs w:val="20"/>
              </w:rPr>
            </w:pPr>
            <w:r>
              <w:rPr>
                <w:b/>
                <w:bCs/>
                <w:color w:val="000000"/>
                <w:sz w:val="20"/>
                <w:szCs w:val="20"/>
              </w:rPr>
              <w:t>-0.091</w:t>
            </w:r>
          </w:p>
        </w:tc>
        <w:tc>
          <w:tcPr>
            <w:tcW w:w="768" w:type="dxa"/>
            <w:tcBorders>
              <w:top w:val="nil"/>
              <w:left w:val="nil"/>
              <w:bottom w:val="nil"/>
              <w:right w:val="nil"/>
            </w:tcBorders>
            <w:shd w:val="clear" w:color="auto" w:fill="auto"/>
            <w:noWrap/>
            <w:vAlign w:val="bottom"/>
            <w:hideMark/>
          </w:tcPr>
          <w:p w14:paraId="5901E919" w14:textId="7D8B1629" w:rsidR="002E484C" w:rsidRDefault="002E484C" w:rsidP="002E484C">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39585885" w14:textId="72575A73" w:rsidR="002E484C" w:rsidRDefault="002E484C" w:rsidP="002E484C">
            <w:pPr>
              <w:jc w:val="right"/>
              <w:rPr>
                <w:color w:val="000000"/>
                <w:sz w:val="20"/>
                <w:szCs w:val="20"/>
              </w:rPr>
            </w:pPr>
            <w:r>
              <w:rPr>
                <w:b/>
                <w:bCs/>
                <w:color w:val="000000"/>
                <w:sz w:val="20"/>
                <w:szCs w:val="20"/>
              </w:rPr>
              <w:t>0.008</w:t>
            </w:r>
          </w:p>
        </w:tc>
      </w:tr>
      <w:tr w:rsidR="002E484C" w14:paraId="628E154D" w14:textId="77777777" w:rsidTr="008378D4">
        <w:trPr>
          <w:trHeight w:val="320"/>
        </w:trPr>
        <w:tc>
          <w:tcPr>
            <w:tcW w:w="1176" w:type="dxa"/>
            <w:tcBorders>
              <w:top w:val="nil"/>
              <w:left w:val="nil"/>
              <w:bottom w:val="nil"/>
              <w:right w:val="nil"/>
            </w:tcBorders>
            <w:shd w:val="clear" w:color="auto" w:fill="auto"/>
            <w:noWrap/>
            <w:vAlign w:val="bottom"/>
            <w:hideMark/>
          </w:tcPr>
          <w:p w14:paraId="3C8D3E5B"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19E0932" w14:textId="77777777" w:rsidR="002E484C" w:rsidRDefault="002E484C" w:rsidP="002E484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6D3785C" w14:textId="59E3BFEE" w:rsidR="002E484C" w:rsidRDefault="002E484C" w:rsidP="002E484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9BD6047" w14:textId="696ED7C5" w:rsidR="002E484C" w:rsidRDefault="002E484C" w:rsidP="002E484C">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61234B33" w14:textId="4D02EF6C"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08C157" w14:textId="3722B188" w:rsidR="002E484C" w:rsidRDefault="002E484C" w:rsidP="002E484C">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44EDE9F7" w14:textId="59AC97E1" w:rsidR="002E484C" w:rsidRDefault="002E484C" w:rsidP="002E484C">
            <w:pPr>
              <w:jc w:val="right"/>
              <w:rPr>
                <w:color w:val="000000"/>
                <w:sz w:val="20"/>
                <w:szCs w:val="20"/>
              </w:rPr>
            </w:pPr>
            <w:r>
              <w:rPr>
                <w:color w:val="000000"/>
                <w:sz w:val="20"/>
                <w:szCs w:val="20"/>
              </w:rPr>
              <w:t>0.685</w:t>
            </w:r>
          </w:p>
        </w:tc>
        <w:tc>
          <w:tcPr>
            <w:tcW w:w="768" w:type="dxa"/>
            <w:tcBorders>
              <w:top w:val="nil"/>
              <w:left w:val="nil"/>
              <w:bottom w:val="nil"/>
              <w:right w:val="nil"/>
            </w:tcBorders>
            <w:shd w:val="clear" w:color="auto" w:fill="auto"/>
            <w:noWrap/>
            <w:vAlign w:val="bottom"/>
            <w:hideMark/>
          </w:tcPr>
          <w:p w14:paraId="76358DE1" w14:textId="61DED7F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90F92E" w14:textId="0C826FF8"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7B45112" w14:textId="534D387E" w:rsidR="002E484C" w:rsidRDefault="002E484C" w:rsidP="002E484C">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5B970704" w14:textId="60491579"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F4F873" w14:textId="4865C636" w:rsidR="002E484C" w:rsidRDefault="002E484C" w:rsidP="002E484C">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0FEC1F02" w14:textId="42CFDA97" w:rsidR="002E484C" w:rsidRDefault="002E484C" w:rsidP="002E484C">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706E5149" w14:textId="495F44F1"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315B40" w14:textId="6C64FA73" w:rsidR="002E484C" w:rsidRDefault="002E484C" w:rsidP="002E484C">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786784C" w14:textId="1AF61F8B" w:rsidR="002E484C" w:rsidRDefault="002E484C" w:rsidP="002E484C">
            <w:pPr>
              <w:jc w:val="right"/>
              <w:rPr>
                <w:color w:val="000000"/>
                <w:sz w:val="20"/>
                <w:szCs w:val="20"/>
              </w:rPr>
            </w:pPr>
            <w:r>
              <w:rPr>
                <w:color w:val="000000"/>
                <w:sz w:val="20"/>
                <w:szCs w:val="20"/>
              </w:rPr>
              <w:t>0.891</w:t>
            </w:r>
          </w:p>
        </w:tc>
        <w:tc>
          <w:tcPr>
            <w:tcW w:w="768" w:type="dxa"/>
            <w:tcBorders>
              <w:top w:val="nil"/>
              <w:left w:val="nil"/>
              <w:bottom w:val="nil"/>
              <w:right w:val="nil"/>
            </w:tcBorders>
            <w:shd w:val="clear" w:color="auto" w:fill="auto"/>
            <w:noWrap/>
            <w:vAlign w:val="bottom"/>
            <w:hideMark/>
          </w:tcPr>
          <w:p w14:paraId="6CC1D17A" w14:textId="73A22C12" w:rsidR="002E484C" w:rsidRDefault="002E484C" w:rsidP="002E484C">
            <w:pPr>
              <w:jc w:val="right"/>
              <w:rPr>
                <w:color w:val="000000"/>
                <w:sz w:val="20"/>
                <w:szCs w:val="20"/>
              </w:rPr>
            </w:pPr>
            <w:r>
              <w:rPr>
                <w:color w:val="000000"/>
                <w:sz w:val="20"/>
                <w:szCs w:val="20"/>
              </w:rPr>
              <w:t>0.000</w:t>
            </w:r>
          </w:p>
        </w:tc>
      </w:tr>
      <w:tr w:rsidR="002E484C" w14:paraId="0205D56E" w14:textId="77777777" w:rsidTr="008378D4">
        <w:trPr>
          <w:trHeight w:val="320"/>
        </w:trPr>
        <w:tc>
          <w:tcPr>
            <w:tcW w:w="1176" w:type="dxa"/>
            <w:tcBorders>
              <w:top w:val="nil"/>
              <w:left w:val="nil"/>
              <w:bottom w:val="nil"/>
              <w:right w:val="nil"/>
            </w:tcBorders>
            <w:shd w:val="clear" w:color="auto" w:fill="auto"/>
            <w:noWrap/>
            <w:vAlign w:val="bottom"/>
            <w:hideMark/>
          </w:tcPr>
          <w:p w14:paraId="7FD41F08"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B783F9" w14:textId="77777777" w:rsidR="002E484C" w:rsidRDefault="002E484C" w:rsidP="002E484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64EA9EC" w14:textId="1D250041" w:rsidR="002E484C" w:rsidRDefault="002E484C" w:rsidP="002E484C">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32D97AA2" w14:textId="7E4BC002" w:rsidR="002E484C" w:rsidRDefault="002E484C" w:rsidP="002E484C">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5C425FA8" w14:textId="401C25E6"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95CA2D1" w14:textId="38D398D7" w:rsidR="002E484C" w:rsidRDefault="002E484C" w:rsidP="002E484C">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71DF369E" w14:textId="66A78F26" w:rsidR="002E484C" w:rsidRDefault="002E484C" w:rsidP="002E484C">
            <w:pPr>
              <w:jc w:val="right"/>
              <w:rPr>
                <w:color w:val="000000"/>
                <w:sz w:val="20"/>
                <w:szCs w:val="20"/>
              </w:rPr>
            </w:pPr>
            <w:r>
              <w:rPr>
                <w:color w:val="000000"/>
                <w:sz w:val="20"/>
                <w:szCs w:val="20"/>
              </w:rPr>
              <w:t>0.685</w:t>
            </w:r>
          </w:p>
        </w:tc>
        <w:tc>
          <w:tcPr>
            <w:tcW w:w="768" w:type="dxa"/>
            <w:tcBorders>
              <w:top w:val="nil"/>
              <w:left w:val="nil"/>
              <w:bottom w:val="nil"/>
              <w:right w:val="nil"/>
            </w:tcBorders>
            <w:shd w:val="clear" w:color="auto" w:fill="auto"/>
            <w:noWrap/>
            <w:vAlign w:val="bottom"/>
            <w:hideMark/>
          </w:tcPr>
          <w:p w14:paraId="1B3F2DA2" w14:textId="310AED17"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1C6586C" w14:textId="3C6593EC" w:rsidR="002E484C" w:rsidRDefault="002E484C" w:rsidP="002E484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113B0666" w14:textId="36C2857C" w:rsidR="002E484C" w:rsidRDefault="002E484C" w:rsidP="002E484C">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20711E65" w14:textId="753B203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A7CA08" w14:textId="58711808" w:rsidR="002E484C" w:rsidRDefault="002E484C" w:rsidP="002E484C">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75FE575D" w14:textId="5CD4A1F4" w:rsidR="002E484C" w:rsidRDefault="002E484C" w:rsidP="002E484C">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396A8F69" w14:textId="50F9D03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0C761A" w14:textId="2BADA396" w:rsidR="002E484C" w:rsidRDefault="002E484C" w:rsidP="002E484C">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11B9DD0" w14:textId="4B5E783A" w:rsidR="002E484C" w:rsidRDefault="002E484C" w:rsidP="002E484C">
            <w:pPr>
              <w:jc w:val="right"/>
              <w:rPr>
                <w:color w:val="000000"/>
                <w:sz w:val="20"/>
                <w:szCs w:val="20"/>
              </w:rPr>
            </w:pPr>
            <w:r>
              <w:rPr>
                <w:color w:val="000000"/>
                <w:sz w:val="20"/>
                <w:szCs w:val="20"/>
              </w:rPr>
              <w:t>0.869</w:t>
            </w:r>
          </w:p>
        </w:tc>
        <w:tc>
          <w:tcPr>
            <w:tcW w:w="768" w:type="dxa"/>
            <w:tcBorders>
              <w:top w:val="nil"/>
              <w:left w:val="nil"/>
              <w:bottom w:val="nil"/>
              <w:right w:val="nil"/>
            </w:tcBorders>
            <w:shd w:val="clear" w:color="auto" w:fill="auto"/>
            <w:noWrap/>
            <w:vAlign w:val="bottom"/>
            <w:hideMark/>
          </w:tcPr>
          <w:p w14:paraId="3B81EA49" w14:textId="1AC6F95A" w:rsidR="002E484C" w:rsidRDefault="002E484C" w:rsidP="002E484C">
            <w:pPr>
              <w:jc w:val="right"/>
              <w:rPr>
                <w:color w:val="000000"/>
                <w:sz w:val="20"/>
                <w:szCs w:val="20"/>
              </w:rPr>
            </w:pPr>
            <w:r>
              <w:rPr>
                <w:color w:val="000000"/>
                <w:sz w:val="20"/>
                <w:szCs w:val="20"/>
              </w:rPr>
              <w:t>0.000</w:t>
            </w:r>
          </w:p>
        </w:tc>
      </w:tr>
      <w:tr w:rsidR="002E484C" w14:paraId="682E6B90" w14:textId="77777777" w:rsidTr="008378D4">
        <w:trPr>
          <w:trHeight w:val="320"/>
        </w:trPr>
        <w:tc>
          <w:tcPr>
            <w:tcW w:w="1176" w:type="dxa"/>
            <w:tcBorders>
              <w:top w:val="nil"/>
              <w:left w:val="nil"/>
              <w:bottom w:val="nil"/>
              <w:right w:val="nil"/>
            </w:tcBorders>
            <w:shd w:val="clear" w:color="auto" w:fill="auto"/>
            <w:noWrap/>
            <w:vAlign w:val="bottom"/>
            <w:hideMark/>
          </w:tcPr>
          <w:p w14:paraId="34D98772"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2DF9E2" w14:textId="77777777" w:rsidR="002E484C" w:rsidRDefault="002E484C" w:rsidP="002E484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6D818F0" w14:textId="09583694"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416DC1" w14:textId="6353EA30" w:rsidR="002E484C" w:rsidRDefault="002E484C" w:rsidP="002E484C">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381C524A" w14:textId="72558693"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8DBE2B" w14:textId="09BD1282"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5C556EF" w14:textId="68B128CF" w:rsidR="002E484C" w:rsidRDefault="002E484C" w:rsidP="002E484C">
            <w:pPr>
              <w:jc w:val="right"/>
              <w:rPr>
                <w:color w:val="000000"/>
                <w:sz w:val="20"/>
                <w:szCs w:val="20"/>
              </w:rPr>
            </w:pPr>
            <w:r>
              <w:rPr>
                <w:color w:val="000000"/>
                <w:sz w:val="20"/>
                <w:szCs w:val="20"/>
              </w:rPr>
              <w:t>0.884</w:t>
            </w:r>
          </w:p>
        </w:tc>
        <w:tc>
          <w:tcPr>
            <w:tcW w:w="768" w:type="dxa"/>
            <w:tcBorders>
              <w:top w:val="nil"/>
              <w:left w:val="nil"/>
              <w:bottom w:val="nil"/>
              <w:right w:val="nil"/>
            </w:tcBorders>
            <w:shd w:val="clear" w:color="auto" w:fill="auto"/>
            <w:noWrap/>
            <w:vAlign w:val="bottom"/>
            <w:hideMark/>
          </w:tcPr>
          <w:p w14:paraId="1EA4C41A" w14:textId="53C41047"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03D28B" w14:textId="63FC1186"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7B0E1B5" w14:textId="21D04FC4" w:rsidR="002E484C" w:rsidRDefault="002E484C" w:rsidP="002E484C">
            <w:pPr>
              <w:jc w:val="right"/>
              <w:rPr>
                <w:color w:val="000000"/>
                <w:sz w:val="20"/>
                <w:szCs w:val="20"/>
              </w:rPr>
            </w:pPr>
            <w:r>
              <w:rPr>
                <w:color w:val="000000"/>
                <w:sz w:val="20"/>
                <w:szCs w:val="20"/>
              </w:rPr>
              <w:t>0.796</w:t>
            </w:r>
          </w:p>
        </w:tc>
        <w:tc>
          <w:tcPr>
            <w:tcW w:w="768" w:type="dxa"/>
            <w:tcBorders>
              <w:top w:val="nil"/>
              <w:left w:val="nil"/>
              <w:bottom w:val="nil"/>
              <w:right w:val="nil"/>
            </w:tcBorders>
            <w:shd w:val="clear" w:color="auto" w:fill="auto"/>
            <w:noWrap/>
            <w:vAlign w:val="bottom"/>
            <w:hideMark/>
          </w:tcPr>
          <w:p w14:paraId="37CFB3F9" w14:textId="039FCBFC"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381B6B" w14:textId="417089B2" w:rsidR="002E484C" w:rsidRDefault="002E484C" w:rsidP="002E484C">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2180A80C" w14:textId="033F6CC8" w:rsidR="002E484C" w:rsidRDefault="002E484C" w:rsidP="002E484C">
            <w:pPr>
              <w:jc w:val="right"/>
              <w:rPr>
                <w:color w:val="000000"/>
                <w:sz w:val="20"/>
                <w:szCs w:val="20"/>
              </w:rPr>
            </w:pPr>
            <w:r>
              <w:rPr>
                <w:color w:val="000000"/>
                <w:sz w:val="20"/>
                <w:szCs w:val="20"/>
              </w:rPr>
              <w:t>0.628</w:t>
            </w:r>
          </w:p>
        </w:tc>
        <w:tc>
          <w:tcPr>
            <w:tcW w:w="768" w:type="dxa"/>
            <w:tcBorders>
              <w:top w:val="nil"/>
              <w:left w:val="nil"/>
              <w:bottom w:val="nil"/>
              <w:right w:val="nil"/>
            </w:tcBorders>
            <w:shd w:val="clear" w:color="auto" w:fill="auto"/>
            <w:noWrap/>
            <w:vAlign w:val="bottom"/>
            <w:hideMark/>
          </w:tcPr>
          <w:p w14:paraId="5FBB9578" w14:textId="42A7F1C4"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A6216E1" w14:textId="61C96CF7"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01479FF" w14:textId="75A4888A" w:rsidR="002E484C" w:rsidRDefault="002E484C" w:rsidP="002E484C">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0C9917B0" w14:textId="45534C78" w:rsidR="002E484C" w:rsidRDefault="002E484C" w:rsidP="002E484C">
            <w:pPr>
              <w:jc w:val="right"/>
              <w:rPr>
                <w:color w:val="000000"/>
                <w:sz w:val="20"/>
                <w:szCs w:val="20"/>
              </w:rPr>
            </w:pPr>
            <w:r>
              <w:rPr>
                <w:color w:val="000000"/>
                <w:sz w:val="20"/>
                <w:szCs w:val="20"/>
              </w:rPr>
              <w:t>0.000</w:t>
            </w:r>
          </w:p>
        </w:tc>
      </w:tr>
      <w:tr w:rsidR="002E484C" w14:paraId="10FA5929" w14:textId="77777777" w:rsidTr="00E3739F">
        <w:trPr>
          <w:trHeight w:val="340"/>
        </w:trPr>
        <w:tc>
          <w:tcPr>
            <w:tcW w:w="1176" w:type="dxa"/>
            <w:tcBorders>
              <w:top w:val="nil"/>
              <w:left w:val="nil"/>
              <w:bottom w:val="single" w:sz="12" w:space="0" w:color="auto"/>
              <w:right w:val="nil"/>
            </w:tcBorders>
            <w:shd w:val="clear" w:color="auto" w:fill="auto"/>
            <w:noWrap/>
            <w:vAlign w:val="bottom"/>
            <w:hideMark/>
          </w:tcPr>
          <w:p w14:paraId="57E16F18" w14:textId="77777777" w:rsidR="002E484C" w:rsidRDefault="002E484C" w:rsidP="002E484C">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7E6FC840" w14:textId="77777777" w:rsidR="002E484C" w:rsidRDefault="002E484C" w:rsidP="002E484C">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21624BF8" w14:textId="29B6A967" w:rsidR="002E484C" w:rsidRDefault="002E484C" w:rsidP="002E484C">
            <w:pPr>
              <w:jc w:val="right"/>
              <w:rPr>
                <w:color w:val="000000"/>
                <w:sz w:val="20"/>
                <w:szCs w:val="20"/>
              </w:rPr>
            </w:pPr>
            <w:r>
              <w:rPr>
                <w:color w:val="000000"/>
                <w:sz w:val="20"/>
                <w:szCs w:val="20"/>
              </w:rPr>
              <w:t>-0.012</w:t>
            </w:r>
          </w:p>
        </w:tc>
        <w:tc>
          <w:tcPr>
            <w:tcW w:w="768" w:type="dxa"/>
            <w:tcBorders>
              <w:top w:val="nil"/>
              <w:left w:val="nil"/>
              <w:bottom w:val="single" w:sz="12" w:space="0" w:color="auto"/>
              <w:right w:val="nil"/>
            </w:tcBorders>
            <w:shd w:val="clear" w:color="auto" w:fill="auto"/>
            <w:noWrap/>
            <w:vAlign w:val="bottom"/>
            <w:hideMark/>
          </w:tcPr>
          <w:p w14:paraId="5309215D" w14:textId="5937CD96" w:rsidR="002E484C" w:rsidRDefault="002E484C" w:rsidP="002E484C">
            <w:pPr>
              <w:jc w:val="right"/>
              <w:rPr>
                <w:color w:val="000000"/>
                <w:sz w:val="20"/>
                <w:szCs w:val="20"/>
              </w:rPr>
            </w:pPr>
            <w:r>
              <w:rPr>
                <w:color w:val="000000"/>
                <w:sz w:val="20"/>
                <w:szCs w:val="20"/>
              </w:rPr>
              <w:t>0.995</w:t>
            </w:r>
          </w:p>
        </w:tc>
        <w:tc>
          <w:tcPr>
            <w:tcW w:w="768" w:type="dxa"/>
            <w:tcBorders>
              <w:top w:val="nil"/>
              <w:left w:val="nil"/>
              <w:bottom w:val="single" w:sz="12" w:space="0" w:color="auto"/>
              <w:right w:val="nil"/>
            </w:tcBorders>
            <w:shd w:val="clear" w:color="auto" w:fill="auto"/>
            <w:noWrap/>
            <w:vAlign w:val="bottom"/>
            <w:hideMark/>
          </w:tcPr>
          <w:p w14:paraId="2051D670" w14:textId="6B027FD8"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E9C3E81" w14:textId="545CD482" w:rsidR="002E484C" w:rsidRDefault="002E484C" w:rsidP="002E484C">
            <w:pPr>
              <w:jc w:val="right"/>
              <w:rPr>
                <w:color w:val="000000"/>
                <w:sz w:val="20"/>
                <w:szCs w:val="20"/>
              </w:rPr>
            </w:pPr>
            <w:r>
              <w:rPr>
                <w:color w:val="000000"/>
                <w:sz w:val="20"/>
                <w:szCs w:val="20"/>
              </w:rPr>
              <w:t>0.028</w:t>
            </w:r>
          </w:p>
        </w:tc>
        <w:tc>
          <w:tcPr>
            <w:tcW w:w="768" w:type="dxa"/>
            <w:tcBorders>
              <w:top w:val="nil"/>
              <w:left w:val="nil"/>
              <w:bottom w:val="single" w:sz="12" w:space="0" w:color="auto"/>
              <w:right w:val="nil"/>
            </w:tcBorders>
            <w:shd w:val="clear" w:color="auto" w:fill="auto"/>
            <w:noWrap/>
            <w:vAlign w:val="bottom"/>
            <w:hideMark/>
          </w:tcPr>
          <w:p w14:paraId="4B16E76E" w14:textId="366AB4F9" w:rsidR="002E484C" w:rsidRDefault="002E484C" w:rsidP="002E484C">
            <w:pPr>
              <w:jc w:val="right"/>
              <w:rPr>
                <w:color w:val="000000"/>
                <w:sz w:val="20"/>
                <w:szCs w:val="20"/>
              </w:rPr>
            </w:pPr>
            <w:r>
              <w:rPr>
                <w:color w:val="000000"/>
                <w:sz w:val="20"/>
                <w:szCs w:val="20"/>
              </w:rPr>
              <w:t>0.692</w:t>
            </w:r>
          </w:p>
        </w:tc>
        <w:tc>
          <w:tcPr>
            <w:tcW w:w="768" w:type="dxa"/>
            <w:tcBorders>
              <w:top w:val="nil"/>
              <w:left w:val="nil"/>
              <w:bottom w:val="single" w:sz="12" w:space="0" w:color="auto"/>
              <w:right w:val="nil"/>
            </w:tcBorders>
            <w:shd w:val="clear" w:color="auto" w:fill="auto"/>
            <w:noWrap/>
            <w:vAlign w:val="bottom"/>
            <w:hideMark/>
          </w:tcPr>
          <w:p w14:paraId="48B93782" w14:textId="3C389FC6"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04935A2F" w14:textId="7CE84521"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23F77C64" w14:textId="1FBDC40A" w:rsidR="002E484C" w:rsidRDefault="002E484C" w:rsidP="002E484C">
            <w:pPr>
              <w:jc w:val="right"/>
              <w:rPr>
                <w:color w:val="000000"/>
                <w:sz w:val="20"/>
                <w:szCs w:val="20"/>
              </w:rPr>
            </w:pPr>
            <w:r>
              <w:rPr>
                <w:color w:val="000000"/>
                <w:sz w:val="20"/>
                <w:szCs w:val="20"/>
              </w:rPr>
              <w:t>0.946</w:t>
            </w:r>
          </w:p>
        </w:tc>
        <w:tc>
          <w:tcPr>
            <w:tcW w:w="768" w:type="dxa"/>
            <w:tcBorders>
              <w:top w:val="nil"/>
              <w:left w:val="nil"/>
              <w:bottom w:val="single" w:sz="12" w:space="0" w:color="auto"/>
              <w:right w:val="nil"/>
            </w:tcBorders>
            <w:shd w:val="clear" w:color="auto" w:fill="auto"/>
            <w:noWrap/>
            <w:vAlign w:val="bottom"/>
            <w:hideMark/>
          </w:tcPr>
          <w:p w14:paraId="686BCE75" w14:textId="4F8C4BAB"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ADC5F4F" w14:textId="2A54564D" w:rsidR="002E484C" w:rsidRDefault="002E484C" w:rsidP="002E484C">
            <w:pPr>
              <w:jc w:val="right"/>
              <w:rPr>
                <w:color w:val="000000"/>
                <w:sz w:val="20"/>
                <w:szCs w:val="20"/>
              </w:rPr>
            </w:pPr>
            <w:r>
              <w:rPr>
                <w:color w:val="000000"/>
                <w:sz w:val="20"/>
                <w:szCs w:val="20"/>
              </w:rPr>
              <w:t>0.013</w:t>
            </w:r>
          </w:p>
        </w:tc>
        <w:tc>
          <w:tcPr>
            <w:tcW w:w="768" w:type="dxa"/>
            <w:tcBorders>
              <w:top w:val="nil"/>
              <w:left w:val="nil"/>
              <w:bottom w:val="single" w:sz="12" w:space="0" w:color="auto"/>
              <w:right w:val="nil"/>
            </w:tcBorders>
            <w:shd w:val="clear" w:color="auto" w:fill="auto"/>
            <w:noWrap/>
            <w:vAlign w:val="bottom"/>
            <w:hideMark/>
          </w:tcPr>
          <w:p w14:paraId="43411664" w14:textId="3981107B" w:rsidR="002E484C" w:rsidRDefault="002E484C" w:rsidP="002E484C">
            <w:pPr>
              <w:jc w:val="right"/>
              <w:rPr>
                <w:color w:val="000000"/>
                <w:sz w:val="20"/>
                <w:szCs w:val="20"/>
              </w:rPr>
            </w:pPr>
            <w:r>
              <w:rPr>
                <w:color w:val="000000"/>
                <w:sz w:val="20"/>
                <w:szCs w:val="20"/>
              </w:rPr>
              <w:t>0.967</w:t>
            </w:r>
          </w:p>
        </w:tc>
        <w:tc>
          <w:tcPr>
            <w:tcW w:w="768" w:type="dxa"/>
            <w:tcBorders>
              <w:top w:val="nil"/>
              <w:left w:val="nil"/>
              <w:bottom w:val="single" w:sz="12" w:space="0" w:color="auto"/>
              <w:right w:val="nil"/>
            </w:tcBorders>
            <w:shd w:val="clear" w:color="auto" w:fill="auto"/>
            <w:noWrap/>
            <w:vAlign w:val="bottom"/>
            <w:hideMark/>
          </w:tcPr>
          <w:p w14:paraId="3304D91D" w14:textId="76400D3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C09FEC2" w14:textId="1D19D7EF" w:rsidR="002E484C" w:rsidRDefault="002E484C" w:rsidP="002E484C">
            <w:pPr>
              <w:jc w:val="right"/>
              <w:rPr>
                <w:color w:val="000000"/>
                <w:sz w:val="20"/>
                <w:szCs w:val="20"/>
              </w:rPr>
            </w:pPr>
            <w:r>
              <w:rPr>
                <w:color w:val="000000"/>
                <w:sz w:val="20"/>
                <w:szCs w:val="20"/>
              </w:rPr>
              <w:t>0.015</w:t>
            </w:r>
          </w:p>
        </w:tc>
        <w:tc>
          <w:tcPr>
            <w:tcW w:w="768" w:type="dxa"/>
            <w:tcBorders>
              <w:top w:val="nil"/>
              <w:left w:val="nil"/>
              <w:bottom w:val="single" w:sz="12" w:space="0" w:color="auto"/>
              <w:right w:val="nil"/>
            </w:tcBorders>
            <w:shd w:val="clear" w:color="auto" w:fill="auto"/>
            <w:noWrap/>
            <w:vAlign w:val="bottom"/>
            <w:hideMark/>
          </w:tcPr>
          <w:p w14:paraId="067F2E6C" w14:textId="06F02C28" w:rsidR="002E484C" w:rsidRDefault="002E484C" w:rsidP="002E484C">
            <w:pPr>
              <w:jc w:val="right"/>
              <w:rPr>
                <w:color w:val="000000"/>
                <w:sz w:val="20"/>
                <w:szCs w:val="20"/>
              </w:rPr>
            </w:pPr>
            <w:r>
              <w:rPr>
                <w:color w:val="000000"/>
                <w:sz w:val="20"/>
                <w:szCs w:val="20"/>
              </w:rPr>
              <w:t>0.889</w:t>
            </w:r>
          </w:p>
        </w:tc>
        <w:tc>
          <w:tcPr>
            <w:tcW w:w="768" w:type="dxa"/>
            <w:tcBorders>
              <w:top w:val="nil"/>
              <w:left w:val="nil"/>
              <w:bottom w:val="single" w:sz="12" w:space="0" w:color="auto"/>
              <w:right w:val="nil"/>
            </w:tcBorders>
            <w:shd w:val="clear" w:color="auto" w:fill="auto"/>
            <w:noWrap/>
            <w:vAlign w:val="bottom"/>
            <w:hideMark/>
          </w:tcPr>
          <w:p w14:paraId="5824A5D2" w14:textId="4C2D4D19" w:rsidR="002E484C" w:rsidRDefault="002E484C" w:rsidP="002E484C">
            <w:pPr>
              <w:jc w:val="right"/>
              <w:rPr>
                <w:color w:val="000000"/>
                <w:sz w:val="20"/>
                <w:szCs w:val="20"/>
              </w:rPr>
            </w:pPr>
            <w:r>
              <w:rPr>
                <w:color w:val="000000"/>
                <w:sz w:val="20"/>
                <w:szCs w:val="20"/>
              </w:rPr>
              <w:t>0.000</w:t>
            </w:r>
          </w:p>
        </w:tc>
      </w:tr>
      <w:tr w:rsidR="008378D4" w14:paraId="61C4B4F4" w14:textId="77777777" w:rsidTr="00E3739F">
        <w:trPr>
          <w:trHeight w:val="320"/>
        </w:trPr>
        <w:tc>
          <w:tcPr>
            <w:tcW w:w="1176" w:type="dxa"/>
            <w:tcBorders>
              <w:top w:val="single" w:sz="12" w:space="0" w:color="auto"/>
              <w:left w:val="nil"/>
              <w:bottom w:val="nil"/>
              <w:right w:val="nil"/>
            </w:tcBorders>
            <w:shd w:val="clear" w:color="auto" w:fill="auto"/>
            <w:noWrap/>
            <w:vAlign w:val="bottom"/>
            <w:hideMark/>
          </w:tcPr>
          <w:p w14:paraId="6F3B34A3" w14:textId="77777777" w:rsidR="008378D4" w:rsidRDefault="008378D4">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4D5F3AA3" w14:textId="77777777" w:rsidR="008378D4" w:rsidRDefault="008378D4">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59596EEF"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70199FE"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37D96F0"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4146415"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D504CE1"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CA1FFA5"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DD947B7"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3A10B1A"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433B331"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E6E5B54"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AB2A185"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1EB5CD5"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D553857"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95F16BA" w14:textId="77777777" w:rsidR="008378D4" w:rsidRDefault="008378D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FF7D574" w14:textId="77777777" w:rsidR="008378D4" w:rsidRDefault="008378D4">
            <w:pPr>
              <w:rPr>
                <w:sz w:val="20"/>
                <w:szCs w:val="20"/>
              </w:rPr>
            </w:pPr>
          </w:p>
        </w:tc>
      </w:tr>
    </w:tbl>
    <w:p w14:paraId="0EAE8AD1" w14:textId="1C3287BA" w:rsidR="00DC74C4" w:rsidRDefault="00DC74C4" w:rsidP="00BA3AF4">
      <w:pPr>
        <w:spacing w:line="480" w:lineRule="auto"/>
      </w:pPr>
    </w:p>
    <w:p w14:paraId="598D9B1F" w14:textId="77777777" w:rsidR="00DC74C4" w:rsidRDefault="00DC74C4">
      <w:r>
        <w:br w:type="page"/>
      </w:r>
    </w:p>
    <w:p w14:paraId="2884E914" w14:textId="48338729" w:rsidR="00DC74C4" w:rsidRPr="009E2A20" w:rsidRDefault="00432B71" w:rsidP="009E2A20">
      <w:pPr>
        <w:pStyle w:val="Heading1"/>
        <w:rPr>
          <w:rFonts w:ascii="Times New Roman" w:hAnsi="Times New Roman" w:cs="Times New Roman"/>
          <w:color w:val="000000" w:themeColor="text1"/>
          <w:sz w:val="24"/>
          <w:szCs w:val="24"/>
        </w:rPr>
      </w:pPr>
      <w:bookmarkStart w:id="33" w:name="_Toc155817700"/>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994E15">
        <w:rPr>
          <w:rFonts w:ascii="Times New Roman" w:hAnsi="Times New Roman" w:cs="Times New Roman"/>
          <w:b/>
          <w:bCs/>
          <w:color w:val="000000" w:themeColor="text1"/>
          <w:sz w:val="24"/>
          <w:szCs w:val="24"/>
        </w:rPr>
        <w:t>1</w:t>
      </w:r>
      <w:r w:rsidR="00DC74C4" w:rsidRPr="009E2A20">
        <w:rPr>
          <w:rFonts w:ascii="Times New Roman" w:hAnsi="Times New Roman" w:cs="Times New Roman"/>
          <w:b/>
          <w:bCs/>
          <w:color w:val="000000" w:themeColor="text1"/>
          <w:sz w:val="24"/>
          <w:szCs w:val="24"/>
        </w:rPr>
        <w:t xml:space="preserve">b. </w:t>
      </w:r>
      <w:r w:rsidR="00DC74C4" w:rsidRPr="009E2A20">
        <w:rPr>
          <w:rFonts w:ascii="Times New Roman" w:hAnsi="Times New Roman" w:cs="Times New Roman"/>
          <w:color w:val="000000" w:themeColor="text1"/>
          <w:sz w:val="24"/>
          <w:szCs w:val="24"/>
        </w:rPr>
        <w:t xml:space="preserve">Results examining the relationship between environmental stress factors obtained from higher-order modeling and Shen-268 network average shortest path length during </w:t>
      </w:r>
      <w:r w:rsidR="000B2066" w:rsidRPr="009E2A20">
        <w:rPr>
          <w:rFonts w:ascii="Times New Roman" w:hAnsi="Times New Roman" w:cs="Times New Roman"/>
          <w:color w:val="000000" w:themeColor="text1"/>
          <w:sz w:val="24"/>
          <w:szCs w:val="24"/>
        </w:rPr>
        <w:t>the monetary incentive delay task</w:t>
      </w:r>
      <w:bookmarkEnd w:id="33"/>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966A65" w14:paraId="01467E8D" w14:textId="77777777" w:rsidTr="00BB1BC7">
        <w:trPr>
          <w:trHeight w:val="340"/>
        </w:trPr>
        <w:tc>
          <w:tcPr>
            <w:tcW w:w="1176" w:type="dxa"/>
            <w:tcBorders>
              <w:top w:val="nil"/>
              <w:left w:val="nil"/>
              <w:bottom w:val="single" w:sz="12" w:space="0" w:color="auto"/>
              <w:right w:val="nil"/>
            </w:tcBorders>
            <w:shd w:val="clear" w:color="auto" w:fill="auto"/>
            <w:noWrap/>
            <w:vAlign w:val="bottom"/>
            <w:hideMark/>
          </w:tcPr>
          <w:p w14:paraId="53BB4516" w14:textId="77777777" w:rsidR="00966A65" w:rsidRDefault="00966A65">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52564E35" w14:textId="77777777" w:rsidR="00966A65" w:rsidRDefault="00966A65">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540332B3" w14:textId="77777777" w:rsidR="00966A65" w:rsidRDefault="00966A65">
            <w:pPr>
              <w:rPr>
                <w:color w:val="000000"/>
              </w:rPr>
            </w:pPr>
          </w:p>
        </w:tc>
        <w:tc>
          <w:tcPr>
            <w:tcW w:w="768" w:type="dxa"/>
            <w:tcBorders>
              <w:top w:val="nil"/>
              <w:left w:val="nil"/>
              <w:bottom w:val="single" w:sz="12" w:space="0" w:color="auto"/>
              <w:right w:val="nil"/>
            </w:tcBorders>
            <w:shd w:val="clear" w:color="auto" w:fill="auto"/>
            <w:noWrap/>
            <w:vAlign w:val="bottom"/>
            <w:hideMark/>
          </w:tcPr>
          <w:p w14:paraId="19BCE900"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F437505"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9ED40B8"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DD8AF14"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CC1831B"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6CF91EE"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41E1954"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1BE5208"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D5DBE51"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05B1939"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1E3537B"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906833A" w14:textId="77777777" w:rsidR="00966A65" w:rsidRDefault="00966A65">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9E53757" w14:textId="77777777" w:rsidR="00966A65" w:rsidRDefault="00966A65">
            <w:pPr>
              <w:rPr>
                <w:sz w:val="20"/>
                <w:szCs w:val="20"/>
              </w:rPr>
            </w:pPr>
          </w:p>
        </w:tc>
        <w:tc>
          <w:tcPr>
            <w:tcW w:w="768" w:type="dxa"/>
            <w:tcBorders>
              <w:top w:val="nil"/>
              <w:left w:val="nil"/>
              <w:bottom w:val="nil"/>
              <w:right w:val="nil"/>
            </w:tcBorders>
            <w:shd w:val="clear" w:color="auto" w:fill="auto"/>
            <w:noWrap/>
            <w:vAlign w:val="bottom"/>
            <w:hideMark/>
          </w:tcPr>
          <w:p w14:paraId="2988D455" w14:textId="77777777" w:rsidR="00966A65" w:rsidRDefault="00966A65">
            <w:pPr>
              <w:rPr>
                <w:sz w:val="20"/>
                <w:szCs w:val="20"/>
              </w:rPr>
            </w:pPr>
          </w:p>
        </w:tc>
      </w:tr>
      <w:tr w:rsidR="00966A65" w14:paraId="427B1466" w14:textId="77777777" w:rsidTr="00BB1BC7">
        <w:trPr>
          <w:trHeight w:val="340"/>
        </w:trPr>
        <w:tc>
          <w:tcPr>
            <w:tcW w:w="1176" w:type="dxa"/>
            <w:tcBorders>
              <w:top w:val="single" w:sz="12" w:space="0" w:color="auto"/>
              <w:left w:val="nil"/>
              <w:bottom w:val="nil"/>
              <w:right w:val="nil"/>
            </w:tcBorders>
            <w:shd w:val="clear" w:color="auto" w:fill="auto"/>
            <w:noWrap/>
            <w:vAlign w:val="bottom"/>
            <w:hideMark/>
          </w:tcPr>
          <w:p w14:paraId="08718725" w14:textId="77777777" w:rsidR="00966A65" w:rsidRDefault="00966A65">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065A5875" w14:textId="77777777" w:rsidR="00966A65" w:rsidRDefault="00966A65">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53004074" w14:textId="013EF62A" w:rsidR="00966A65" w:rsidRDefault="00966A65">
            <w:pPr>
              <w:jc w:val="center"/>
              <w:rPr>
                <w:color w:val="000000"/>
                <w:sz w:val="20"/>
                <w:szCs w:val="20"/>
              </w:rPr>
            </w:pPr>
            <w:r>
              <w:rPr>
                <w:color w:val="000000"/>
                <w:sz w:val="20"/>
                <w:szCs w:val="20"/>
              </w:rPr>
              <w:t>General</w:t>
            </w:r>
            <w:r w:rsidR="00BB1BC7">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BB59053" w14:textId="77777777" w:rsidR="00966A65" w:rsidRDefault="00966A65">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F6E8AC9" w14:textId="77777777" w:rsidR="00966A65" w:rsidRDefault="00966A65">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ECEF133" w14:textId="77777777" w:rsidR="00966A65" w:rsidRDefault="00966A65">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04080381" w14:textId="77777777" w:rsidR="00966A65" w:rsidRDefault="00966A65">
            <w:pPr>
              <w:jc w:val="center"/>
              <w:rPr>
                <w:color w:val="000000"/>
                <w:sz w:val="20"/>
                <w:szCs w:val="20"/>
              </w:rPr>
            </w:pPr>
            <w:r>
              <w:rPr>
                <w:color w:val="000000"/>
                <w:sz w:val="20"/>
                <w:szCs w:val="20"/>
              </w:rPr>
              <w:t>Urbanicity</w:t>
            </w:r>
          </w:p>
        </w:tc>
      </w:tr>
      <w:tr w:rsidR="002125FE" w14:paraId="7A27F90D" w14:textId="77777777" w:rsidTr="00BB1BC7">
        <w:trPr>
          <w:trHeight w:val="360"/>
        </w:trPr>
        <w:tc>
          <w:tcPr>
            <w:tcW w:w="1176" w:type="dxa"/>
            <w:tcBorders>
              <w:top w:val="nil"/>
              <w:left w:val="nil"/>
              <w:bottom w:val="single" w:sz="12" w:space="0" w:color="auto"/>
              <w:right w:val="nil"/>
            </w:tcBorders>
            <w:shd w:val="clear" w:color="auto" w:fill="auto"/>
            <w:noWrap/>
            <w:vAlign w:val="bottom"/>
            <w:hideMark/>
          </w:tcPr>
          <w:p w14:paraId="06CA712A"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1F63FF26"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5A4012B2" w14:textId="64BF6BEF"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71A11DA" w14:textId="78AD15A8"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E2BB434" w14:textId="2324C4B8"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DAD3131" w14:textId="549B95E4"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844F9D9" w14:textId="6F9C5905"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931B387" w14:textId="5C0FF9E5"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2C116A2" w14:textId="6BF2A160"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48E47D3" w14:textId="06658D31"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16656FA" w14:textId="00E63F69"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E2368E6" w14:textId="3EE2C3F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F7BFC3F" w14:textId="45D4B6E3"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288DBAB" w14:textId="0C79091F"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76026B5" w14:textId="1A5F97E5"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EB9C3B1" w14:textId="69EAABCB"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7956A9E" w14:textId="6ACD8879"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2E484C" w14:paraId="465CBCAB" w14:textId="77777777" w:rsidTr="00BB1BC7">
        <w:trPr>
          <w:trHeight w:val="320"/>
        </w:trPr>
        <w:tc>
          <w:tcPr>
            <w:tcW w:w="1176" w:type="dxa"/>
            <w:tcBorders>
              <w:top w:val="single" w:sz="12" w:space="0" w:color="auto"/>
              <w:left w:val="nil"/>
              <w:bottom w:val="nil"/>
              <w:right w:val="nil"/>
            </w:tcBorders>
            <w:shd w:val="clear" w:color="auto" w:fill="auto"/>
            <w:noWrap/>
            <w:vAlign w:val="bottom"/>
            <w:hideMark/>
          </w:tcPr>
          <w:p w14:paraId="6A8A56C4" w14:textId="77777777" w:rsidR="002E484C" w:rsidRDefault="002E484C" w:rsidP="002E484C">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582F7E89" w14:textId="77777777" w:rsidR="002E484C" w:rsidRDefault="002E484C" w:rsidP="002E484C">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311625BD" w14:textId="27A1AC18" w:rsidR="002E484C" w:rsidRDefault="002E484C" w:rsidP="002E484C">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39B28094" w14:textId="2F0D9475" w:rsidR="002E484C" w:rsidRDefault="002E484C" w:rsidP="002E484C">
            <w:pPr>
              <w:jc w:val="right"/>
              <w:rPr>
                <w:color w:val="000000"/>
                <w:sz w:val="20"/>
                <w:szCs w:val="20"/>
              </w:rPr>
            </w:pPr>
            <w:r>
              <w:rPr>
                <w:color w:val="000000"/>
                <w:sz w:val="20"/>
                <w:szCs w:val="20"/>
              </w:rPr>
              <w:t>0.787</w:t>
            </w:r>
          </w:p>
        </w:tc>
        <w:tc>
          <w:tcPr>
            <w:tcW w:w="768" w:type="dxa"/>
            <w:tcBorders>
              <w:top w:val="single" w:sz="12" w:space="0" w:color="auto"/>
              <w:left w:val="nil"/>
              <w:bottom w:val="nil"/>
              <w:right w:val="nil"/>
            </w:tcBorders>
            <w:shd w:val="clear" w:color="auto" w:fill="auto"/>
            <w:noWrap/>
            <w:vAlign w:val="bottom"/>
            <w:hideMark/>
          </w:tcPr>
          <w:p w14:paraId="0FFB7B18" w14:textId="5BBC7C9A" w:rsidR="002E484C" w:rsidRDefault="002E484C" w:rsidP="002E484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DAE0C94" w14:textId="02DA9890" w:rsidR="002E484C" w:rsidRDefault="002E484C" w:rsidP="002E484C">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592560D5" w14:textId="121F7B4C" w:rsidR="002E484C" w:rsidRDefault="002E484C" w:rsidP="002E484C">
            <w:pPr>
              <w:jc w:val="right"/>
              <w:rPr>
                <w:color w:val="000000"/>
                <w:sz w:val="20"/>
                <w:szCs w:val="20"/>
              </w:rPr>
            </w:pPr>
            <w:r>
              <w:rPr>
                <w:color w:val="000000"/>
                <w:sz w:val="20"/>
                <w:szCs w:val="20"/>
              </w:rPr>
              <w:t>0.940</w:t>
            </w:r>
          </w:p>
        </w:tc>
        <w:tc>
          <w:tcPr>
            <w:tcW w:w="768" w:type="dxa"/>
            <w:tcBorders>
              <w:top w:val="single" w:sz="12" w:space="0" w:color="auto"/>
              <w:left w:val="nil"/>
              <w:bottom w:val="nil"/>
              <w:right w:val="nil"/>
            </w:tcBorders>
            <w:shd w:val="clear" w:color="auto" w:fill="auto"/>
            <w:noWrap/>
            <w:vAlign w:val="bottom"/>
            <w:hideMark/>
          </w:tcPr>
          <w:p w14:paraId="0A00A7C5" w14:textId="44E07EBB" w:rsidR="002E484C" w:rsidRDefault="002E484C" w:rsidP="002E484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630E29E" w14:textId="5ED09E4E" w:rsidR="002E484C" w:rsidRDefault="002E484C" w:rsidP="002E484C">
            <w:pPr>
              <w:jc w:val="right"/>
              <w:rPr>
                <w:color w:val="000000"/>
                <w:sz w:val="20"/>
                <w:szCs w:val="20"/>
              </w:rPr>
            </w:pPr>
            <w:r>
              <w:rPr>
                <w:color w:val="000000"/>
                <w:sz w:val="20"/>
                <w:szCs w:val="20"/>
              </w:rPr>
              <w:t>-0.016</w:t>
            </w:r>
          </w:p>
        </w:tc>
        <w:tc>
          <w:tcPr>
            <w:tcW w:w="768" w:type="dxa"/>
            <w:tcBorders>
              <w:top w:val="single" w:sz="12" w:space="0" w:color="auto"/>
              <w:left w:val="nil"/>
              <w:bottom w:val="nil"/>
              <w:right w:val="nil"/>
            </w:tcBorders>
            <w:shd w:val="clear" w:color="auto" w:fill="auto"/>
            <w:noWrap/>
            <w:vAlign w:val="bottom"/>
            <w:hideMark/>
          </w:tcPr>
          <w:p w14:paraId="2C72AE20" w14:textId="7286A203" w:rsidR="002E484C" w:rsidRDefault="002E484C" w:rsidP="002E484C">
            <w:pPr>
              <w:jc w:val="right"/>
              <w:rPr>
                <w:color w:val="000000"/>
                <w:sz w:val="20"/>
                <w:szCs w:val="20"/>
              </w:rPr>
            </w:pPr>
            <w:r>
              <w:rPr>
                <w:color w:val="000000"/>
                <w:sz w:val="20"/>
                <w:szCs w:val="20"/>
              </w:rPr>
              <w:t>0.871</w:t>
            </w:r>
          </w:p>
        </w:tc>
        <w:tc>
          <w:tcPr>
            <w:tcW w:w="768" w:type="dxa"/>
            <w:tcBorders>
              <w:top w:val="single" w:sz="12" w:space="0" w:color="auto"/>
              <w:left w:val="nil"/>
              <w:bottom w:val="nil"/>
              <w:right w:val="nil"/>
            </w:tcBorders>
            <w:shd w:val="clear" w:color="auto" w:fill="auto"/>
            <w:noWrap/>
            <w:vAlign w:val="bottom"/>
            <w:hideMark/>
          </w:tcPr>
          <w:p w14:paraId="468EDC96" w14:textId="1DBDC399" w:rsidR="002E484C" w:rsidRDefault="002E484C" w:rsidP="002E484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1B153F6" w14:textId="33D566DA" w:rsidR="002E484C" w:rsidRDefault="002E484C" w:rsidP="002E484C">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3AEEECAB" w14:textId="127051A1" w:rsidR="002E484C" w:rsidRDefault="002E484C" w:rsidP="002E484C">
            <w:pPr>
              <w:jc w:val="right"/>
              <w:rPr>
                <w:color w:val="000000"/>
                <w:sz w:val="20"/>
                <w:szCs w:val="20"/>
              </w:rPr>
            </w:pPr>
            <w:r>
              <w:rPr>
                <w:color w:val="000000"/>
                <w:sz w:val="20"/>
                <w:szCs w:val="20"/>
              </w:rPr>
              <w:t>0.979</w:t>
            </w:r>
          </w:p>
        </w:tc>
        <w:tc>
          <w:tcPr>
            <w:tcW w:w="768" w:type="dxa"/>
            <w:tcBorders>
              <w:top w:val="single" w:sz="12" w:space="0" w:color="auto"/>
              <w:left w:val="nil"/>
              <w:bottom w:val="nil"/>
              <w:right w:val="nil"/>
            </w:tcBorders>
            <w:shd w:val="clear" w:color="auto" w:fill="auto"/>
            <w:noWrap/>
            <w:vAlign w:val="bottom"/>
            <w:hideMark/>
          </w:tcPr>
          <w:p w14:paraId="7AFA2FF6" w14:textId="45A46119" w:rsidR="002E484C" w:rsidRDefault="002E484C" w:rsidP="002E484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B0EFA62" w14:textId="502C8821" w:rsidR="002E484C" w:rsidRDefault="002E484C" w:rsidP="002E484C">
            <w:pPr>
              <w:jc w:val="right"/>
              <w:rPr>
                <w:color w:val="000000"/>
                <w:sz w:val="20"/>
                <w:szCs w:val="20"/>
              </w:rPr>
            </w:pPr>
            <w:r>
              <w:rPr>
                <w:color w:val="000000"/>
                <w:sz w:val="20"/>
                <w:szCs w:val="20"/>
              </w:rPr>
              <w:t>0.020</w:t>
            </w:r>
          </w:p>
        </w:tc>
        <w:tc>
          <w:tcPr>
            <w:tcW w:w="768" w:type="dxa"/>
            <w:tcBorders>
              <w:top w:val="single" w:sz="12" w:space="0" w:color="auto"/>
              <w:left w:val="nil"/>
              <w:bottom w:val="nil"/>
              <w:right w:val="nil"/>
            </w:tcBorders>
            <w:shd w:val="clear" w:color="auto" w:fill="auto"/>
            <w:noWrap/>
            <w:vAlign w:val="bottom"/>
            <w:hideMark/>
          </w:tcPr>
          <w:p w14:paraId="38A871EB" w14:textId="60CAD62F" w:rsidR="002E484C" w:rsidRDefault="002E484C" w:rsidP="002E484C">
            <w:pPr>
              <w:jc w:val="right"/>
              <w:rPr>
                <w:color w:val="000000"/>
                <w:sz w:val="20"/>
                <w:szCs w:val="20"/>
              </w:rPr>
            </w:pPr>
            <w:r>
              <w:rPr>
                <w:color w:val="000000"/>
                <w:sz w:val="20"/>
                <w:szCs w:val="20"/>
              </w:rPr>
              <w:t>0.669</w:t>
            </w:r>
          </w:p>
        </w:tc>
        <w:tc>
          <w:tcPr>
            <w:tcW w:w="768" w:type="dxa"/>
            <w:tcBorders>
              <w:top w:val="single" w:sz="12" w:space="0" w:color="auto"/>
              <w:left w:val="nil"/>
              <w:bottom w:val="nil"/>
              <w:right w:val="nil"/>
            </w:tcBorders>
            <w:shd w:val="clear" w:color="auto" w:fill="auto"/>
            <w:noWrap/>
            <w:vAlign w:val="bottom"/>
            <w:hideMark/>
          </w:tcPr>
          <w:p w14:paraId="31272900" w14:textId="52DD0A80" w:rsidR="002E484C" w:rsidRDefault="002E484C" w:rsidP="002E484C">
            <w:pPr>
              <w:jc w:val="right"/>
              <w:rPr>
                <w:color w:val="000000"/>
                <w:sz w:val="20"/>
                <w:szCs w:val="20"/>
              </w:rPr>
            </w:pPr>
            <w:r>
              <w:rPr>
                <w:color w:val="000000"/>
                <w:sz w:val="20"/>
                <w:szCs w:val="20"/>
              </w:rPr>
              <w:t>0.000</w:t>
            </w:r>
          </w:p>
        </w:tc>
      </w:tr>
      <w:tr w:rsidR="002E484C" w14:paraId="7A88136C" w14:textId="77777777" w:rsidTr="00966A65">
        <w:trPr>
          <w:trHeight w:val="340"/>
        </w:trPr>
        <w:tc>
          <w:tcPr>
            <w:tcW w:w="1176" w:type="dxa"/>
            <w:tcBorders>
              <w:top w:val="nil"/>
              <w:left w:val="nil"/>
              <w:bottom w:val="nil"/>
              <w:right w:val="nil"/>
            </w:tcBorders>
            <w:shd w:val="clear" w:color="auto" w:fill="auto"/>
            <w:noWrap/>
            <w:vAlign w:val="bottom"/>
            <w:hideMark/>
          </w:tcPr>
          <w:p w14:paraId="6EBEB386"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FA1FDB" w14:textId="77777777" w:rsidR="002E484C" w:rsidRDefault="002E484C" w:rsidP="002E484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AA4D7EC" w14:textId="6EA1C8D7" w:rsidR="002E484C" w:rsidRDefault="002E484C" w:rsidP="002E484C">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0FC3787" w14:textId="369B076A" w:rsidR="002E484C" w:rsidRDefault="002E484C" w:rsidP="002E484C">
            <w:pPr>
              <w:jc w:val="right"/>
              <w:rPr>
                <w:color w:val="000000"/>
                <w:sz w:val="20"/>
                <w:szCs w:val="20"/>
              </w:rPr>
            </w:pPr>
            <w:r>
              <w:rPr>
                <w:color w:val="000000"/>
                <w:sz w:val="20"/>
                <w:szCs w:val="20"/>
              </w:rPr>
              <w:t>0.787</w:t>
            </w:r>
          </w:p>
        </w:tc>
        <w:tc>
          <w:tcPr>
            <w:tcW w:w="768" w:type="dxa"/>
            <w:tcBorders>
              <w:top w:val="nil"/>
              <w:left w:val="nil"/>
              <w:bottom w:val="nil"/>
              <w:right w:val="nil"/>
            </w:tcBorders>
            <w:shd w:val="clear" w:color="auto" w:fill="auto"/>
            <w:noWrap/>
            <w:vAlign w:val="bottom"/>
            <w:hideMark/>
          </w:tcPr>
          <w:p w14:paraId="36EAF1C3" w14:textId="415F40A8"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4996C3" w14:textId="026770A3" w:rsidR="002E484C" w:rsidRDefault="002E484C" w:rsidP="002E484C">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18299746" w14:textId="4AE36CA1" w:rsidR="002E484C" w:rsidRDefault="002E484C" w:rsidP="002E484C">
            <w:pPr>
              <w:jc w:val="right"/>
              <w:rPr>
                <w:color w:val="000000"/>
                <w:sz w:val="20"/>
                <w:szCs w:val="20"/>
              </w:rPr>
            </w:pPr>
            <w:r>
              <w:rPr>
                <w:color w:val="000000"/>
                <w:sz w:val="20"/>
                <w:szCs w:val="20"/>
              </w:rPr>
              <w:t>0.434</w:t>
            </w:r>
          </w:p>
        </w:tc>
        <w:tc>
          <w:tcPr>
            <w:tcW w:w="768" w:type="dxa"/>
            <w:tcBorders>
              <w:top w:val="nil"/>
              <w:left w:val="nil"/>
              <w:bottom w:val="nil"/>
              <w:right w:val="nil"/>
            </w:tcBorders>
            <w:shd w:val="clear" w:color="auto" w:fill="auto"/>
            <w:noWrap/>
            <w:vAlign w:val="bottom"/>
            <w:hideMark/>
          </w:tcPr>
          <w:p w14:paraId="0E9D2995" w14:textId="3E8DC80E"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E50E1BE" w14:textId="2947EA7D" w:rsidR="002E484C" w:rsidRDefault="002E484C" w:rsidP="002E484C">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FF0FABC" w14:textId="388DD5F9" w:rsidR="002E484C" w:rsidRDefault="002E484C" w:rsidP="002E484C">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1ACFC76E" w14:textId="74A3F160"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22853A" w14:textId="7242D676" w:rsidR="002E484C" w:rsidRDefault="002E484C" w:rsidP="002E484C">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375DD9BD" w14:textId="378DEC91" w:rsidR="002E484C" w:rsidRDefault="002E484C" w:rsidP="002E484C">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2676EF12" w14:textId="0FCBE6BA"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BBE3CFD" w14:textId="096C708F" w:rsidR="002E484C" w:rsidRDefault="002E484C" w:rsidP="002E484C">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0C367946" w14:textId="0DE3A143" w:rsidR="002E484C" w:rsidRDefault="002E484C" w:rsidP="002E484C">
            <w:pPr>
              <w:jc w:val="right"/>
              <w:rPr>
                <w:color w:val="000000"/>
                <w:sz w:val="20"/>
                <w:szCs w:val="20"/>
              </w:rPr>
            </w:pPr>
            <w:r>
              <w:rPr>
                <w:color w:val="000000"/>
                <w:sz w:val="20"/>
                <w:szCs w:val="20"/>
              </w:rPr>
              <w:t>0.389</w:t>
            </w:r>
          </w:p>
        </w:tc>
        <w:tc>
          <w:tcPr>
            <w:tcW w:w="768" w:type="dxa"/>
            <w:tcBorders>
              <w:top w:val="nil"/>
              <w:left w:val="nil"/>
              <w:bottom w:val="nil"/>
              <w:right w:val="nil"/>
            </w:tcBorders>
            <w:shd w:val="clear" w:color="auto" w:fill="auto"/>
            <w:noWrap/>
            <w:vAlign w:val="bottom"/>
            <w:hideMark/>
          </w:tcPr>
          <w:p w14:paraId="20D73139" w14:textId="68358889" w:rsidR="002E484C" w:rsidRDefault="002E484C" w:rsidP="002E484C">
            <w:pPr>
              <w:jc w:val="right"/>
              <w:rPr>
                <w:color w:val="000000"/>
                <w:sz w:val="20"/>
                <w:szCs w:val="20"/>
              </w:rPr>
            </w:pPr>
            <w:r>
              <w:rPr>
                <w:color w:val="000000"/>
                <w:sz w:val="20"/>
                <w:szCs w:val="20"/>
              </w:rPr>
              <w:t>0.006</w:t>
            </w:r>
          </w:p>
        </w:tc>
      </w:tr>
      <w:tr w:rsidR="002E484C" w14:paraId="6449131A" w14:textId="77777777" w:rsidTr="00966A65">
        <w:trPr>
          <w:trHeight w:val="320"/>
        </w:trPr>
        <w:tc>
          <w:tcPr>
            <w:tcW w:w="1176" w:type="dxa"/>
            <w:tcBorders>
              <w:top w:val="nil"/>
              <w:left w:val="nil"/>
              <w:bottom w:val="nil"/>
              <w:right w:val="nil"/>
            </w:tcBorders>
            <w:shd w:val="clear" w:color="auto" w:fill="auto"/>
            <w:noWrap/>
            <w:vAlign w:val="bottom"/>
            <w:hideMark/>
          </w:tcPr>
          <w:p w14:paraId="515E0D85"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03987C0" w14:textId="77777777" w:rsidR="002E484C" w:rsidRDefault="002E484C" w:rsidP="002E484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A19A1D2" w14:textId="3AE92E08" w:rsidR="002E484C" w:rsidRDefault="002E484C" w:rsidP="002E484C">
            <w:pPr>
              <w:jc w:val="right"/>
              <w:rPr>
                <w:color w:val="000000"/>
                <w:sz w:val="20"/>
                <w:szCs w:val="20"/>
              </w:rPr>
            </w:pPr>
            <w:r>
              <w:rPr>
                <w:color w:val="000000"/>
                <w:sz w:val="20"/>
                <w:szCs w:val="20"/>
              </w:rPr>
              <w:t>-0.191</w:t>
            </w:r>
          </w:p>
        </w:tc>
        <w:tc>
          <w:tcPr>
            <w:tcW w:w="768" w:type="dxa"/>
            <w:tcBorders>
              <w:top w:val="nil"/>
              <w:left w:val="nil"/>
              <w:bottom w:val="nil"/>
              <w:right w:val="nil"/>
            </w:tcBorders>
            <w:shd w:val="clear" w:color="auto" w:fill="auto"/>
            <w:noWrap/>
            <w:vAlign w:val="bottom"/>
            <w:hideMark/>
          </w:tcPr>
          <w:p w14:paraId="2461E3A9" w14:textId="408C9A3F" w:rsidR="002E484C" w:rsidRDefault="002E484C" w:rsidP="002E484C">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5A679339" w14:textId="2376FBB1" w:rsidR="002E484C" w:rsidRDefault="002E484C" w:rsidP="002E484C">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287E0D3" w14:textId="43A53D68" w:rsidR="002E484C" w:rsidRDefault="002E484C" w:rsidP="002E484C">
            <w:pPr>
              <w:jc w:val="right"/>
              <w:rPr>
                <w:color w:val="000000"/>
                <w:sz w:val="20"/>
                <w:szCs w:val="20"/>
              </w:rPr>
            </w:pPr>
            <w:r>
              <w:rPr>
                <w:color w:val="000000"/>
                <w:sz w:val="20"/>
                <w:szCs w:val="20"/>
              </w:rPr>
              <w:t>0.113</w:t>
            </w:r>
          </w:p>
        </w:tc>
        <w:tc>
          <w:tcPr>
            <w:tcW w:w="768" w:type="dxa"/>
            <w:tcBorders>
              <w:top w:val="nil"/>
              <w:left w:val="nil"/>
              <w:bottom w:val="nil"/>
              <w:right w:val="nil"/>
            </w:tcBorders>
            <w:shd w:val="clear" w:color="auto" w:fill="auto"/>
            <w:noWrap/>
            <w:vAlign w:val="bottom"/>
            <w:hideMark/>
          </w:tcPr>
          <w:p w14:paraId="41C8E6CE" w14:textId="4C8A887B" w:rsidR="002E484C" w:rsidRDefault="002E484C" w:rsidP="002E484C">
            <w:pPr>
              <w:jc w:val="right"/>
              <w:rPr>
                <w:color w:val="000000"/>
                <w:sz w:val="20"/>
                <w:szCs w:val="20"/>
              </w:rPr>
            </w:pPr>
            <w:r>
              <w:rPr>
                <w:color w:val="000000"/>
                <w:sz w:val="20"/>
                <w:szCs w:val="20"/>
              </w:rPr>
              <w:t>0.229</w:t>
            </w:r>
          </w:p>
        </w:tc>
        <w:tc>
          <w:tcPr>
            <w:tcW w:w="768" w:type="dxa"/>
            <w:tcBorders>
              <w:top w:val="nil"/>
              <w:left w:val="nil"/>
              <w:bottom w:val="nil"/>
              <w:right w:val="nil"/>
            </w:tcBorders>
            <w:shd w:val="clear" w:color="auto" w:fill="auto"/>
            <w:noWrap/>
            <w:vAlign w:val="bottom"/>
            <w:hideMark/>
          </w:tcPr>
          <w:p w14:paraId="534B32BE" w14:textId="74B92F8D" w:rsidR="002E484C" w:rsidRDefault="002E484C" w:rsidP="002E484C">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06E68EED" w14:textId="74291ADC" w:rsidR="002E484C" w:rsidRDefault="002E484C" w:rsidP="002E484C">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605BCCA" w14:textId="40681B3C" w:rsidR="002E484C" w:rsidRDefault="002E484C" w:rsidP="002E484C">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35286F0B" w14:textId="4120BE9B"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38D4C8" w14:textId="6171C8E0" w:rsidR="002E484C" w:rsidRDefault="002E484C" w:rsidP="002E484C">
            <w:pPr>
              <w:jc w:val="right"/>
              <w:rPr>
                <w:color w:val="000000"/>
                <w:sz w:val="20"/>
                <w:szCs w:val="20"/>
              </w:rPr>
            </w:pPr>
            <w:r>
              <w:rPr>
                <w:color w:val="000000"/>
                <w:sz w:val="20"/>
                <w:szCs w:val="20"/>
              </w:rPr>
              <w:t>-0.170</w:t>
            </w:r>
          </w:p>
        </w:tc>
        <w:tc>
          <w:tcPr>
            <w:tcW w:w="768" w:type="dxa"/>
            <w:tcBorders>
              <w:top w:val="nil"/>
              <w:left w:val="nil"/>
              <w:bottom w:val="nil"/>
              <w:right w:val="nil"/>
            </w:tcBorders>
            <w:shd w:val="clear" w:color="auto" w:fill="auto"/>
            <w:noWrap/>
            <w:vAlign w:val="bottom"/>
            <w:hideMark/>
          </w:tcPr>
          <w:p w14:paraId="7E47EA0C" w14:textId="1A676FEE" w:rsidR="002E484C" w:rsidRDefault="002E484C" w:rsidP="002E484C">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27EAD60E" w14:textId="1509DE39" w:rsidR="002E484C" w:rsidRDefault="002E484C" w:rsidP="002E484C">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722AF20" w14:textId="07D5BA10" w:rsidR="002E484C" w:rsidRDefault="002E484C" w:rsidP="002E484C">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8A548E1" w14:textId="62D2D9EB" w:rsidR="002E484C" w:rsidRDefault="002E484C" w:rsidP="002E484C">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47E982BB" w14:textId="4836E741" w:rsidR="002E484C" w:rsidRDefault="002E484C" w:rsidP="002E484C">
            <w:pPr>
              <w:jc w:val="right"/>
              <w:rPr>
                <w:color w:val="000000"/>
                <w:sz w:val="20"/>
                <w:szCs w:val="20"/>
              </w:rPr>
            </w:pPr>
            <w:r>
              <w:rPr>
                <w:color w:val="000000"/>
                <w:sz w:val="20"/>
                <w:szCs w:val="20"/>
              </w:rPr>
              <w:t>0.002</w:t>
            </w:r>
          </w:p>
        </w:tc>
      </w:tr>
      <w:tr w:rsidR="002E484C" w14:paraId="59C116D0" w14:textId="77777777" w:rsidTr="00966A65">
        <w:trPr>
          <w:trHeight w:val="320"/>
        </w:trPr>
        <w:tc>
          <w:tcPr>
            <w:tcW w:w="1176" w:type="dxa"/>
            <w:tcBorders>
              <w:top w:val="nil"/>
              <w:left w:val="nil"/>
              <w:bottom w:val="nil"/>
              <w:right w:val="nil"/>
            </w:tcBorders>
            <w:shd w:val="clear" w:color="auto" w:fill="auto"/>
            <w:noWrap/>
            <w:vAlign w:val="bottom"/>
            <w:hideMark/>
          </w:tcPr>
          <w:p w14:paraId="626EBE1C"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D802711" w14:textId="77777777" w:rsidR="002E484C" w:rsidRDefault="002E484C" w:rsidP="002E484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8678A6C" w14:textId="5F7AC3CC" w:rsidR="002E484C" w:rsidRDefault="002E484C" w:rsidP="002E484C">
            <w:pPr>
              <w:jc w:val="right"/>
              <w:rPr>
                <w:color w:val="000000"/>
                <w:sz w:val="20"/>
                <w:szCs w:val="20"/>
              </w:rPr>
            </w:pPr>
            <w:r>
              <w:rPr>
                <w:color w:val="000000"/>
                <w:sz w:val="20"/>
                <w:szCs w:val="20"/>
              </w:rPr>
              <w:t>0.259</w:t>
            </w:r>
          </w:p>
        </w:tc>
        <w:tc>
          <w:tcPr>
            <w:tcW w:w="768" w:type="dxa"/>
            <w:tcBorders>
              <w:top w:val="nil"/>
              <w:left w:val="nil"/>
              <w:bottom w:val="nil"/>
              <w:right w:val="nil"/>
            </w:tcBorders>
            <w:shd w:val="clear" w:color="auto" w:fill="auto"/>
            <w:noWrap/>
            <w:vAlign w:val="bottom"/>
            <w:hideMark/>
          </w:tcPr>
          <w:p w14:paraId="47362381" w14:textId="03A32566" w:rsidR="002E484C" w:rsidRDefault="002E484C" w:rsidP="002E484C">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2FCF6A4" w14:textId="057B7C4E" w:rsidR="002E484C" w:rsidRDefault="002E484C" w:rsidP="002E484C">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3D8E9ED6" w14:textId="0D8DD7FF" w:rsidR="002E484C" w:rsidRDefault="002E484C" w:rsidP="002E484C">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2370467F" w14:textId="52E8DE3D" w:rsidR="002E484C" w:rsidRDefault="002E484C" w:rsidP="002E484C">
            <w:pPr>
              <w:jc w:val="right"/>
              <w:rPr>
                <w:color w:val="000000"/>
                <w:sz w:val="20"/>
                <w:szCs w:val="20"/>
              </w:rPr>
            </w:pPr>
            <w:r>
              <w:rPr>
                <w:color w:val="000000"/>
                <w:sz w:val="20"/>
                <w:szCs w:val="20"/>
              </w:rPr>
              <w:t>0.749</w:t>
            </w:r>
          </w:p>
        </w:tc>
        <w:tc>
          <w:tcPr>
            <w:tcW w:w="768" w:type="dxa"/>
            <w:tcBorders>
              <w:top w:val="nil"/>
              <w:left w:val="nil"/>
              <w:bottom w:val="nil"/>
              <w:right w:val="nil"/>
            </w:tcBorders>
            <w:shd w:val="clear" w:color="auto" w:fill="auto"/>
            <w:noWrap/>
            <w:vAlign w:val="bottom"/>
            <w:hideMark/>
          </w:tcPr>
          <w:p w14:paraId="254D3CF2" w14:textId="5C0D2A96"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F27DC58" w14:textId="0A2687E6" w:rsidR="002E484C" w:rsidRDefault="002E484C" w:rsidP="002E484C">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573CD9EF" w14:textId="1F2FE8F0" w:rsidR="002E484C" w:rsidRDefault="002E484C" w:rsidP="002E484C">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548187FB" w14:textId="2C96AB1D" w:rsidR="002E484C" w:rsidRDefault="002E484C" w:rsidP="002E484C">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84A8014" w14:textId="4E4F4435" w:rsidR="002E484C" w:rsidRDefault="002E484C" w:rsidP="002E484C">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2D203537" w14:textId="43E8DC22" w:rsidR="002E484C" w:rsidRDefault="002E484C" w:rsidP="002E484C">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47A6506D" w14:textId="7C1EBFF3" w:rsidR="002E484C" w:rsidRDefault="002E484C" w:rsidP="002E484C">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2685072" w14:textId="7A8572F6" w:rsidR="002E484C" w:rsidRDefault="002E484C" w:rsidP="002E484C">
            <w:pPr>
              <w:jc w:val="right"/>
              <w:rPr>
                <w:color w:val="000000"/>
                <w:sz w:val="20"/>
                <w:szCs w:val="20"/>
              </w:rPr>
            </w:pPr>
            <w:r>
              <w:rPr>
                <w:color w:val="000000"/>
                <w:sz w:val="20"/>
                <w:szCs w:val="20"/>
              </w:rPr>
              <w:t>0.111</w:t>
            </w:r>
          </w:p>
        </w:tc>
        <w:tc>
          <w:tcPr>
            <w:tcW w:w="768" w:type="dxa"/>
            <w:tcBorders>
              <w:top w:val="nil"/>
              <w:left w:val="nil"/>
              <w:bottom w:val="nil"/>
              <w:right w:val="nil"/>
            </w:tcBorders>
            <w:shd w:val="clear" w:color="auto" w:fill="auto"/>
            <w:noWrap/>
            <w:vAlign w:val="bottom"/>
            <w:hideMark/>
          </w:tcPr>
          <w:p w14:paraId="06E30002" w14:textId="27D66B09" w:rsidR="002E484C" w:rsidRDefault="002E484C" w:rsidP="002E484C">
            <w:pPr>
              <w:jc w:val="right"/>
              <w:rPr>
                <w:color w:val="000000"/>
                <w:sz w:val="20"/>
                <w:szCs w:val="20"/>
              </w:rPr>
            </w:pPr>
            <w:r>
              <w:rPr>
                <w:color w:val="000000"/>
                <w:sz w:val="20"/>
                <w:szCs w:val="20"/>
              </w:rPr>
              <w:t>0.484</w:t>
            </w:r>
          </w:p>
        </w:tc>
        <w:tc>
          <w:tcPr>
            <w:tcW w:w="768" w:type="dxa"/>
            <w:tcBorders>
              <w:top w:val="nil"/>
              <w:left w:val="nil"/>
              <w:bottom w:val="nil"/>
              <w:right w:val="nil"/>
            </w:tcBorders>
            <w:shd w:val="clear" w:color="auto" w:fill="auto"/>
            <w:noWrap/>
            <w:vAlign w:val="bottom"/>
            <w:hideMark/>
          </w:tcPr>
          <w:p w14:paraId="4D83F0FE" w14:textId="6EB54C6F" w:rsidR="002E484C" w:rsidRDefault="002E484C" w:rsidP="002E484C">
            <w:pPr>
              <w:jc w:val="right"/>
              <w:rPr>
                <w:color w:val="000000"/>
                <w:sz w:val="20"/>
                <w:szCs w:val="20"/>
              </w:rPr>
            </w:pPr>
            <w:r>
              <w:rPr>
                <w:color w:val="000000"/>
                <w:sz w:val="20"/>
                <w:szCs w:val="20"/>
              </w:rPr>
              <w:t>0.012</w:t>
            </w:r>
          </w:p>
        </w:tc>
      </w:tr>
      <w:tr w:rsidR="002E484C" w14:paraId="76458702" w14:textId="77777777" w:rsidTr="00966A65">
        <w:trPr>
          <w:trHeight w:val="320"/>
        </w:trPr>
        <w:tc>
          <w:tcPr>
            <w:tcW w:w="1176" w:type="dxa"/>
            <w:tcBorders>
              <w:top w:val="nil"/>
              <w:left w:val="nil"/>
              <w:bottom w:val="nil"/>
              <w:right w:val="nil"/>
            </w:tcBorders>
            <w:shd w:val="clear" w:color="auto" w:fill="auto"/>
            <w:noWrap/>
            <w:vAlign w:val="bottom"/>
            <w:hideMark/>
          </w:tcPr>
          <w:p w14:paraId="5F9521E5"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7424373" w14:textId="77777777" w:rsidR="002E484C" w:rsidRDefault="002E484C" w:rsidP="002E484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4229D3F" w14:textId="5448D415" w:rsidR="002E484C" w:rsidRDefault="002E484C" w:rsidP="002E484C">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7EF74722" w14:textId="6EE23419" w:rsidR="002E484C" w:rsidRDefault="002E484C" w:rsidP="002E484C">
            <w:pPr>
              <w:jc w:val="right"/>
              <w:rPr>
                <w:color w:val="000000"/>
                <w:sz w:val="20"/>
                <w:szCs w:val="20"/>
              </w:rPr>
            </w:pPr>
            <w:r>
              <w:rPr>
                <w:color w:val="000000"/>
                <w:sz w:val="20"/>
                <w:szCs w:val="20"/>
              </w:rPr>
              <w:t>0.506</w:t>
            </w:r>
          </w:p>
        </w:tc>
        <w:tc>
          <w:tcPr>
            <w:tcW w:w="768" w:type="dxa"/>
            <w:tcBorders>
              <w:top w:val="nil"/>
              <w:left w:val="nil"/>
              <w:bottom w:val="nil"/>
              <w:right w:val="nil"/>
            </w:tcBorders>
            <w:shd w:val="clear" w:color="auto" w:fill="auto"/>
            <w:noWrap/>
            <w:vAlign w:val="bottom"/>
            <w:hideMark/>
          </w:tcPr>
          <w:p w14:paraId="6F70EDF7" w14:textId="45FF3671"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A661E6E" w14:textId="0832AA0F" w:rsidR="002E484C" w:rsidRDefault="002E484C" w:rsidP="002E484C">
            <w:pPr>
              <w:jc w:val="right"/>
              <w:rPr>
                <w:color w:val="000000"/>
                <w:sz w:val="20"/>
                <w:szCs w:val="20"/>
              </w:rPr>
            </w:pPr>
            <w:r>
              <w:rPr>
                <w:color w:val="000000"/>
                <w:sz w:val="20"/>
                <w:szCs w:val="20"/>
              </w:rPr>
              <w:t>0.126</w:t>
            </w:r>
          </w:p>
        </w:tc>
        <w:tc>
          <w:tcPr>
            <w:tcW w:w="768" w:type="dxa"/>
            <w:tcBorders>
              <w:top w:val="nil"/>
              <w:left w:val="nil"/>
              <w:bottom w:val="nil"/>
              <w:right w:val="nil"/>
            </w:tcBorders>
            <w:shd w:val="clear" w:color="auto" w:fill="auto"/>
            <w:noWrap/>
            <w:vAlign w:val="bottom"/>
            <w:hideMark/>
          </w:tcPr>
          <w:p w14:paraId="1AAA4BFD" w14:textId="55FEAC52" w:rsidR="002E484C" w:rsidRDefault="002E484C" w:rsidP="002E484C">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1231DD37" w14:textId="0B5B8152" w:rsidR="002E484C" w:rsidRDefault="002E484C" w:rsidP="002E484C">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E003237" w14:textId="614CAEAF" w:rsidR="002E484C" w:rsidRDefault="002E484C" w:rsidP="002E484C">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08933A68" w14:textId="1A4C67DA" w:rsidR="002E484C" w:rsidRDefault="002E484C" w:rsidP="002E484C">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133453C4" w14:textId="210775D8"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97E5194" w14:textId="683AD7FC" w:rsidR="002E484C" w:rsidRDefault="002E484C" w:rsidP="002E484C">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E0C90A0" w14:textId="332FD7CE" w:rsidR="002E484C" w:rsidRDefault="002E484C" w:rsidP="002E484C">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23153F9D" w14:textId="6213ABFC"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1363CAF" w14:textId="1D8DDBD8" w:rsidR="002E484C" w:rsidRDefault="002E484C" w:rsidP="002E484C">
            <w:pPr>
              <w:jc w:val="right"/>
              <w:rPr>
                <w:color w:val="000000"/>
                <w:sz w:val="20"/>
                <w:szCs w:val="20"/>
              </w:rPr>
            </w:pPr>
            <w:r>
              <w:rPr>
                <w:color w:val="000000"/>
                <w:sz w:val="20"/>
                <w:szCs w:val="20"/>
              </w:rPr>
              <w:t>-0.108</w:t>
            </w:r>
          </w:p>
        </w:tc>
        <w:tc>
          <w:tcPr>
            <w:tcW w:w="768" w:type="dxa"/>
            <w:tcBorders>
              <w:top w:val="nil"/>
              <w:left w:val="nil"/>
              <w:bottom w:val="nil"/>
              <w:right w:val="nil"/>
            </w:tcBorders>
            <w:shd w:val="clear" w:color="auto" w:fill="auto"/>
            <w:noWrap/>
            <w:vAlign w:val="bottom"/>
            <w:hideMark/>
          </w:tcPr>
          <w:p w14:paraId="18C2C677" w14:textId="006DE6D9" w:rsidR="002E484C" w:rsidRDefault="002E484C" w:rsidP="002E484C">
            <w:pPr>
              <w:jc w:val="right"/>
              <w:rPr>
                <w:color w:val="000000"/>
                <w:sz w:val="20"/>
                <w:szCs w:val="20"/>
              </w:rPr>
            </w:pPr>
            <w:r>
              <w:rPr>
                <w:color w:val="000000"/>
                <w:sz w:val="20"/>
                <w:szCs w:val="20"/>
              </w:rPr>
              <w:t>0.316</w:t>
            </w:r>
          </w:p>
        </w:tc>
        <w:tc>
          <w:tcPr>
            <w:tcW w:w="768" w:type="dxa"/>
            <w:tcBorders>
              <w:top w:val="nil"/>
              <w:left w:val="nil"/>
              <w:bottom w:val="nil"/>
              <w:right w:val="nil"/>
            </w:tcBorders>
            <w:shd w:val="clear" w:color="auto" w:fill="auto"/>
            <w:noWrap/>
            <w:vAlign w:val="bottom"/>
            <w:hideMark/>
          </w:tcPr>
          <w:p w14:paraId="03448240" w14:textId="42722772" w:rsidR="002E484C" w:rsidRDefault="002E484C" w:rsidP="002E484C">
            <w:pPr>
              <w:jc w:val="right"/>
              <w:rPr>
                <w:color w:val="000000"/>
                <w:sz w:val="20"/>
                <w:szCs w:val="20"/>
              </w:rPr>
            </w:pPr>
            <w:r>
              <w:rPr>
                <w:color w:val="000000"/>
                <w:sz w:val="20"/>
                <w:szCs w:val="20"/>
              </w:rPr>
              <w:t>0.012</w:t>
            </w:r>
          </w:p>
        </w:tc>
      </w:tr>
      <w:tr w:rsidR="002E484C" w14:paraId="3D695B8E" w14:textId="77777777" w:rsidTr="00966A65">
        <w:trPr>
          <w:trHeight w:val="320"/>
        </w:trPr>
        <w:tc>
          <w:tcPr>
            <w:tcW w:w="1176" w:type="dxa"/>
            <w:tcBorders>
              <w:top w:val="nil"/>
              <w:left w:val="nil"/>
              <w:bottom w:val="nil"/>
              <w:right w:val="nil"/>
            </w:tcBorders>
            <w:shd w:val="clear" w:color="auto" w:fill="auto"/>
            <w:noWrap/>
            <w:vAlign w:val="bottom"/>
            <w:hideMark/>
          </w:tcPr>
          <w:p w14:paraId="6459514C"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90C99E" w14:textId="77777777" w:rsidR="002E484C" w:rsidRDefault="002E484C" w:rsidP="002E484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A9399A6" w14:textId="6ECCB490" w:rsidR="002E484C" w:rsidRDefault="002E484C" w:rsidP="002E484C">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4B7A5AAF" w14:textId="008B5CA4" w:rsidR="002E484C" w:rsidRDefault="002E484C" w:rsidP="002E484C">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2FF5BC33" w14:textId="73869CC0"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141B517" w14:textId="232595AC"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0CCEE8C" w14:textId="3073C33D" w:rsidR="002E484C" w:rsidRDefault="002E484C" w:rsidP="002E484C">
            <w:pPr>
              <w:jc w:val="right"/>
              <w:rPr>
                <w:color w:val="000000"/>
                <w:sz w:val="20"/>
                <w:szCs w:val="20"/>
              </w:rPr>
            </w:pPr>
            <w:r>
              <w:rPr>
                <w:color w:val="000000"/>
                <w:sz w:val="20"/>
                <w:szCs w:val="20"/>
              </w:rPr>
              <w:t>0.940</w:t>
            </w:r>
          </w:p>
        </w:tc>
        <w:tc>
          <w:tcPr>
            <w:tcW w:w="768" w:type="dxa"/>
            <w:tcBorders>
              <w:top w:val="nil"/>
              <w:left w:val="nil"/>
              <w:bottom w:val="nil"/>
              <w:right w:val="nil"/>
            </w:tcBorders>
            <w:shd w:val="clear" w:color="auto" w:fill="auto"/>
            <w:noWrap/>
            <w:vAlign w:val="bottom"/>
            <w:hideMark/>
          </w:tcPr>
          <w:p w14:paraId="60E85DBB" w14:textId="338AFED4"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60B150" w14:textId="31FCF18B" w:rsidR="002E484C" w:rsidRDefault="002E484C" w:rsidP="002E484C">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17F36DD" w14:textId="3E77548A" w:rsidR="002E484C" w:rsidRDefault="002E484C" w:rsidP="002E484C">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586865DF" w14:textId="434CC80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18EE95" w14:textId="5056DDCD" w:rsidR="002E484C" w:rsidRDefault="002E484C" w:rsidP="002E484C">
            <w:pPr>
              <w:jc w:val="right"/>
              <w:rPr>
                <w:b/>
                <w:bCs/>
                <w:color w:val="000000"/>
                <w:sz w:val="20"/>
                <w:szCs w:val="20"/>
              </w:rPr>
            </w:pPr>
            <w:r>
              <w:rPr>
                <w:b/>
                <w:bCs/>
                <w:color w:val="000000"/>
                <w:sz w:val="20"/>
                <w:szCs w:val="20"/>
              </w:rPr>
              <w:t>0.116</w:t>
            </w:r>
          </w:p>
        </w:tc>
        <w:tc>
          <w:tcPr>
            <w:tcW w:w="768" w:type="dxa"/>
            <w:tcBorders>
              <w:top w:val="nil"/>
              <w:left w:val="nil"/>
              <w:bottom w:val="nil"/>
              <w:right w:val="nil"/>
            </w:tcBorders>
            <w:shd w:val="clear" w:color="auto" w:fill="auto"/>
            <w:noWrap/>
            <w:vAlign w:val="bottom"/>
            <w:hideMark/>
          </w:tcPr>
          <w:p w14:paraId="2F85AA6A" w14:textId="0D5976AE" w:rsidR="002E484C" w:rsidRDefault="002E484C" w:rsidP="002E484C">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35E767A5" w14:textId="4E21A166" w:rsidR="002E484C" w:rsidRDefault="002E484C" w:rsidP="002E484C">
            <w:pPr>
              <w:jc w:val="right"/>
              <w:rPr>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097FF531" w14:textId="6C33ABCF" w:rsidR="002E484C" w:rsidRDefault="002E484C" w:rsidP="002E484C">
            <w:pPr>
              <w:jc w:val="right"/>
              <w:rPr>
                <w:color w:val="000000"/>
                <w:sz w:val="20"/>
                <w:szCs w:val="20"/>
              </w:rPr>
            </w:pPr>
            <w:r>
              <w:rPr>
                <w:color w:val="000000"/>
                <w:sz w:val="20"/>
                <w:szCs w:val="20"/>
              </w:rPr>
              <w:t>-0.095</w:t>
            </w:r>
          </w:p>
        </w:tc>
        <w:tc>
          <w:tcPr>
            <w:tcW w:w="768" w:type="dxa"/>
            <w:tcBorders>
              <w:top w:val="nil"/>
              <w:left w:val="nil"/>
              <w:bottom w:val="nil"/>
              <w:right w:val="nil"/>
            </w:tcBorders>
            <w:shd w:val="clear" w:color="auto" w:fill="auto"/>
            <w:noWrap/>
            <w:vAlign w:val="bottom"/>
            <w:hideMark/>
          </w:tcPr>
          <w:p w14:paraId="0CEE20E3" w14:textId="3140D9D2" w:rsidR="002E484C" w:rsidRDefault="002E484C" w:rsidP="002E484C">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26704DE7" w14:textId="01AD8C35" w:rsidR="002E484C" w:rsidRDefault="002E484C" w:rsidP="002E484C">
            <w:pPr>
              <w:jc w:val="right"/>
              <w:rPr>
                <w:color w:val="000000"/>
                <w:sz w:val="20"/>
                <w:szCs w:val="20"/>
              </w:rPr>
            </w:pPr>
            <w:r>
              <w:rPr>
                <w:color w:val="000000"/>
                <w:sz w:val="20"/>
                <w:szCs w:val="20"/>
              </w:rPr>
              <w:t>0.009</w:t>
            </w:r>
          </w:p>
        </w:tc>
      </w:tr>
      <w:tr w:rsidR="002E484C" w14:paraId="035B82C1" w14:textId="77777777" w:rsidTr="00966A65">
        <w:trPr>
          <w:trHeight w:val="320"/>
        </w:trPr>
        <w:tc>
          <w:tcPr>
            <w:tcW w:w="1176" w:type="dxa"/>
            <w:tcBorders>
              <w:top w:val="nil"/>
              <w:left w:val="nil"/>
              <w:bottom w:val="nil"/>
              <w:right w:val="nil"/>
            </w:tcBorders>
            <w:shd w:val="clear" w:color="auto" w:fill="auto"/>
            <w:noWrap/>
            <w:vAlign w:val="bottom"/>
            <w:hideMark/>
          </w:tcPr>
          <w:p w14:paraId="0DEA18C0"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8C44022" w14:textId="77777777" w:rsidR="002E484C" w:rsidRDefault="002E484C" w:rsidP="002E484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BDD5602" w14:textId="6751BB19" w:rsidR="002E484C" w:rsidRDefault="002E484C" w:rsidP="002E484C">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053955A9" w14:textId="64D0DA13" w:rsidR="002E484C" w:rsidRDefault="002E484C" w:rsidP="002E484C">
            <w:pPr>
              <w:jc w:val="right"/>
              <w:rPr>
                <w:color w:val="000000"/>
                <w:sz w:val="20"/>
                <w:szCs w:val="20"/>
              </w:rPr>
            </w:pPr>
            <w:r>
              <w:rPr>
                <w:color w:val="000000"/>
                <w:sz w:val="20"/>
                <w:szCs w:val="20"/>
              </w:rPr>
              <w:t>0.506</w:t>
            </w:r>
          </w:p>
        </w:tc>
        <w:tc>
          <w:tcPr>
            <w:tcW w:w="768" w:type="dxa"/>
            <w:tcBorders>
              <w:top w:val="nil"/>
              <w:left w:val="nil"/>
              <w:bottom w:val="nil"/>
              <w:right w:val="nil"/>
            </w:tcBorders>
            <w:shd w:val="clear" w:color="auto" w:fill="auto"/>
            <w:noWrap/>
            <w:vAlign w:val="bottom"/>
            <w:hideMark/>
          </w:tcPr>
          <w:p w14:paraId="0397DA16" w14:textId="43F995E7"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3963F7A" w14:textId="52377119" w:rsidR="002E484C" w:rsidRDefault="002E484C" w:rsidP="002E484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60E2214" w14:textId="33FB068B" w:rsidR="002E484C" w:rsidRDefault="002E484C" w:rsidP="002E484C">
            <w:pPr>
              <w:jc w:val="right"/>
              <w:rPr>
                <w:color w:val="000000"/>
                <w:sz w:val="20"/>
                <w:szCs w:val="20"/>
              </w:rPr>
            </w:pPr>
            <w:r>
              <w:rPr>
                <w:color w:val="000000"/>
                <w:sz w:val="20"/>
                <w:szCs w:val="20"/>
              </w:rPr>
              <w:t>0.940</w:t>
            </w:r>
          </w:p>
        </w:tc>
        <w:tc>
          <w:tcPr>
            <w:tcW w:w="768" w:type="dxa"/>
            <w:tcBorders>
              <w:top w:val="nil"/>
              <w:left w:val="nil"/>
              <w:bottom w:val="nil"/>
              <w:right w:val="nil"/>
            </w:tcBorders>
            <w:shd w:val="clear" w:color="auto" w:fill="auto"/>
            <w:noWrap/>
            <w:vAlign w:val="bottom"/>
            <w:hideMark/>
          </w:tcPr>
          <w:p w14:paraId="473E55B9" w14:textId="10D581C4"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6B68BB" w14:textId="508D25C7" w:rsidR="002E484C" w:rsidRDefault="002E484C" w:rsidP="002E484C">
            <w:pPr>
              <w:jc w:val="right"/>
              <w:rPr>
                <w:b/>
                <w:bCs/>
                <w:color w:val="000000"/>
                <w:sz w:val="20"/>
                <w:szCs w:val="20"/>
              </w:rPr>
            </w:pPr>
            <w:r>
              <w:rPr>
                <w:b/>
                <w:bCs/>
                <w:color w:val="000000"/>
                <w:sz w:val="20"/>
                <w:szCs w:val="20"/>
              </w:rPr>
              <w:t>-0.101</w:t>
            </w:r>
          </w:p>
        </w:tc>
        <w:tc>
          <w:tcPr>
            <w:tcW w:w="768" w:type="dxa"/>
            <w:tcBorders>
              <w:top w:val="nil"/>
              <w:left w:val="nil"/>
              <w:bottom w:val="nil"/>
              <w:right w:val="nil"/>
            </w:tcBorders>
            <w:shd w:val="clear" w:color="auto" w:fill="auto"/>
            <w:noWrap/>
            <w:vAlign w:val="bottom"/>
            <w:hideMark/>
          </w:tcPr>
          <w:p w14:paraId="5C9DB58F" w14:textId="5CF2B662" w:rsidR="002E484C" w:rsidRDefault="002E484C" w:rsidP="002E484C">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294B10CF" w14:textId="03E137FF" w:rsidR="002E484C" w:rsidRDefault="002E484C" w:rsidP="002E484C">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3FD09138" w14:textId="65D819E9" w:rsidR="002E484C" w:rsidRDefault="002E484C" w:rsidP="002E484C">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F5FD7C7" w14:textId="3FF37F32" w:rsidR="002E484C" w:rsidRDefault="002E484C" w:rsidP="002E484C">
            <w:pPr>
              <w:jc w:val="right"/>
              <w:rPr>
                <w:color w:val="000000"/>
                <w:sz w:val="20"/>
                <w:szCs w:val="20"/>
              </w:rPr>
            </w:pPr>
            <w:r>
              <w:rPr>
                <w:color w:val="000000"/>
                <w:sz w:val="20"/>
                <w:szCs w:val="20"/>
              </w:rPr>
              <w:t>0.580</w:t>
            </w:r>
          </w:p>
        </w:tc>
        <w:tc>
          <w:tcPr>
            <w:tcW w:w="768" w:type="dxa"/>
            <w:tcBorders>
              <w:top w:val="nil"/>
              <w:left w:val="nil"/>
              <w:bottom w:val="nil"/>
              <w:right w:val="nil"/>
            </w:tcBorders>
            <w:shd w:val="clear" w:color="auto" w:fill="auto"/>
            <w:noWrap/>
            <w:vAlign w:val="bottom"/>
            <w:hideMark/>
          </w:tcPr>
          <w:p w14:paraId="5AE5BD3D" w14:textId="30CEF9EB"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A99C618" w14:textId="0384AD05" w:rsidR="002E484C" w:rsidRDefault="002E484C" w:rsidP="002E484C">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8516701" w14:textId="38256897" w:rsidR="002E484C" w:rsidRDefault="002E484C" w:rsidP="002E484C">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25E95480" w14:textId="069DF4B8" w:rsidR="002E484C" w:rsidRDefault="002E484C" w:rsidP="002E484C">
            <w:pPr>
              <w:jc w:val="right"/>
              <w:rPr>
                <w:color w:val="000000"/>
                <w:sz w:val="20"/>
                <w:szCs w:val="20"/>
              </w:rPr>
            </w:pPr>
            <w:r>
              <w:rPr>
                <w:color w:val="000000"/>
                <w:sz w:val="20"/>
                <w:szCs w:val="20"/>
              </w:rPr>
              <w:t>0.001</w:t>
            </w:r>
          </w:p>
        </w:tc>
      </w:tr>
      <w:tr w:rsidR="002E484C" w14:paraId="55370D30" w14:textId="77777777" w:rsidTr="00966A65">
        <w:trPr>
          <w:trHeight w:val="320"/>
        </w:trPr>
        <w:tc>
          <w:tcPr>
            <w:tcW w:w="1176" w:type="dxa"/>
            <w:tcBorders>
              <w:top w:val="nil"/>
              <w:left w:val="nil"/>
              <w:bottom w:val="single" w:sz="4" w:space="0" w:color="auto"/>
              <w:right w:val="nil"/>
            </w:tcBorders>
            <w:shd w:val="clear" w:color="auto" w:fill="auto"/>
            <w:noWrap/>
            <w:vAlign w:val="bottom"/>
            <w:hideMark/>
          </w:tcPr>
          <w:p w14:paraId="68B3C7D4" w14:textId="77777777" w:rsidR="002E484C" w:rsidRDefault="002E484C" w:rsidP="002E484C">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406062D" w14:textId="77777777" w:rsidR="002E484C" w:rsidRDefault="002E484C" w:rsidP="002E484C">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627D759" w14:textId="4E2A5EC1" w:rsidR="002E484C" w:rsidRDefault="002E484C" w:rsidP="002E484C">
            <w:pPr>
              <w:jc w:val="right"/>
              <w:rPr>
                <w:color w:val="000000"/>
                <w:sz w:val="20"/>
                <w:szCs w:val="20"/>
              </w:rPr>
            </w:pPr>
            <w:r>
              <w:rPr>
                <w:color w:val="000000"/>
                <w:sz w:val="20"/>
                <w:szCs w:val="20"/>
              </w:rPr>
              <w:t>-0.022</w:t>
            </w:r>
          </w:p>
        </w:tc>
        <w:tc>
          <w:tcPr>
            <w:tcW w:w="768" w:type="dxa"/>
            <w:tcBorders>
              <w:top w:val="nil"/>
              <w:left w:val="nil"/>
              <w:bottom w:val="single" w:sz="4" w:space="0" w:color="auto"/>
              <w:right w:val="nil"/>
            </w:tcBorders>
            <w:shd w:val="clear" w:color="auto" w:fill="auto"/>
            <w:noWrap/>
            <w:vAlign w:val="bottom"/>
            <w:hideMark/>
          </w:tcPr>
          <w:p w14:paraId="417D337E" w14:textId="75A1BD2C" w:rsidR="002E484C" w:rsidRDefault="002E484C" w:rsidP="002E484C">
            <w:pPr>
              <w:jc w:val="right"/>
              <w:rPr>
                <w:color w:val="000000"/>
                <w:sz w:val="20"/>
                <w:szCs w:val="20"/>
              </w:rPr>
            </w:pPr>
            <w:r>
              <w:rPr>
                <w:color w:val="000000"/>
                <w:sz w:val="20"/>
                <w:szCs w:val="20"/>
              </w:rPr>
              <w:t>0.787</w:t>
            </w:r>
          </w:p>
        </w:tc>
        <w:tc>
          <w:tcPr>
            <w:tcW w:w="768" w:type="dxa"/>
            <w:tcBorders>
              <w:top w:val="nil"/>
              <w:left w:val="nil"/>
              <w:bottom w:val="single" w:sz="4" w:space="0" w:color="auto"/>
              <w:right w:val="nil"/>
            </w:tcBorders>
            <w:shd w:val="clear" w:color="auto" w:fill="auto"/>
            <w:noWrap/>
            <w:vAlign w:val="bottom"/>
            <w:hideMark/>
          </w:tcPr>
          <w:p w14:paraId="7B2D5185" w14:textId="1EB37DEE"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49D58F9" w14:textId="0FD15CCC" w:rsidR="002E484C" w:rsidRDefault="002E484C" w:rsidP="002E484C">
            <w:pPr>
              <w:jc w:val="right"/>
              <w:rPr>
                <w:color w:val="000000"/>
                <w:sz w:val="20"/>
                <w:szCs w:val="20"/>
              </w:rPr>
            </w:pPr>
            <w:r>
              <w:rPr>
                <w:color w:val="000000"/>
                <w:sz w:val="20"/>
                <w:szCs w:val="20"/>
              </w:rPr>
              <w:t>0.109</w:t>
            </w:r>
          </w:p>
        </w:tc>
        <w:tc>
          <w:tcPr>
            <w:tcW w:w="768" w:type="dxa"/>
            <w:tcBorders>
              <w:top w:val="nil"/>
              <w:left w:val="nil"/>
              <w:bottom w:val="single" w:sz="4" w:space="0" w:color="auto"/>
              <w:right w:val="nil"/>
            </w:tcBorders>
            <w:shd w:val="clear" w:color="auto" w:fill="auto"/>
            <w:noWrap/>
            <w:vAlign w:val="bottom"/>
            <w:hideMark/>
          </w:tcPr>
          <w:p w14:paraId="736B1375" w14:textId="04FF4955" w:rsidR="002E484C" w:rsidRDefault="002E484C" w:rsidP="002E484C">
            <w:pPr>
              <w:jc w:val="right"/>
              <w:rPr>
                <w:color w:val="000000"/>
                <w:sz w:val="20"/>
                <w:szCs w:val="20"/>
              </w:rPr>
            </w:pPr>
            <w:r>
              <w:rPr>
                <w:color w:val="000000"/>
                <w:sz w:val="20"/>
                <w:szCs w:val="20"/>
              </w:rPr>
              <w:t>0.184</w:t>
            </w:r>
          </w:p>
        </w:tc>
        <w:tc>
          <w:tcPr>
            <w:tcW w:w="768" w:type="dxa"/>
            <w:tcBorders>
              <w:top w:val="nil"/>
              <w:left w:val="nil"/>
              <w:bottom w:val="single" w:sz="4" w:space="0" w:color="auto"/>
              <w:right w:val="nil"/>
            </w:tcBorders>
            <w:shd w:val="clear" w:color="auto" w:fill="auto"/>
            <w:noWrap/>
            <w:vAlign w:val="bottom"/>
            <w:hideMark/>
          </w:tcPr>
          <w:p w14:paraId="6DD668E3" w14:textId="18B49A0F" w:rsidR="002E484C" w:rsidRDefault="002E484C" w:rsidP="002E484C">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5582B032" w14:textId="490929C5"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11AE3F04" w14:textId="75FFDC3A" w:rsidR="002E484C" w:rsidRDefault="002E484C" w:rsidP="002E484C">
            <w:pPr>
              <w:jc w:val="right"/>
              <w:rPr>
                <w:color w:val="000000"/>
                <w:sz w:val="20"/>
                <w:szCs w:val="20"/>
              </w:rPr>
            </w:pPr>
            <w:r>
              <w:rPr>
                <w:color w:val="000000"/>
                <w:sz w:val="20"/>
                <w:szCs w:val="20"/>
              </w:rPr>
              <w:t>0.879</w:t>
            </w:r>
          </w:p>
        </w:tc>
        <w:tc>
          <w:tcPr>
            <w:tcW w:w="768" w:type="dxa"/>
            <w:tcBorders>
              <w:top w:val="nil"/>
              <w:left w:val="nil"/>
              <w:bottom w:val="single" w:sz="4" w:space="0" w:color="auto"/>
              <w:right w:val="nil"/>
            </w:tcBorders>
            <w:shd w:val="clear" w:color="auto" w:fill="auto"/>
            <w:noWrap/>
            <w:vAlign w:val="bottom"/>
            <w:hideMark/>
          </w:tcPr>
          <w:p w14:paraId="64B42F8D" w14:textId="5771F07D"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F912FC7" w14:textId="7E6F619B" w:rsidR="002E484C" w:rsidRDefault="002E484C" w:rsidP="002E484C">
            <w:pPr>
              <w:jc w:val="right"/>
              <w:rPr>
                <w:color w:val="000000"/>
                <w:sz w:val="20"/>
                <w:szCs w:val="20"/>
              </w:rPr>
            </w:pPr>
            <w:r>
              <w:rPr>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2FE2D34A" w14:textId="35C4FC0C" w:rsidR="002E484C" w:rsidRDefault="002E484C" w:rsidP="002E484C">
            <w:pPr>
              <w:jc w:val="right"/>
              <w:rPr>
                <w:color w:val="000000"/>
                <w:sz w:val="20"/>
                <w:szCs w:val="20"/>
              </w:rPr>
            </w:pPr>
            <w:r>
              <w:rPr>
                <w:color w:val="000000"/>
                <w:sz w:val="20"/>
                <w:szCs w:val="20"/>
              </w:rPr>
              <w:t>0.669</w:t>
            </w:r>
          </w:p>
        </w:tc>
        <w:tc>
          <w:tcPr>
            <w:tcW w:w="768" w:type="dxa"/>
            <w:tcBorders>
              <w:top w:val="nil"/>
              <w:left w:val="nil"/>
              <w:bottom w:val="single" w:sz="4" w:space="0" w:color="auto"/>
              <w:right w:val="nil"/>
            </w:tcBorders>
            <w:shd w:val="clear" w:color="auto" w:fill="auto"/>
            <w:noWrap/>
            <w:vAlign w:val="bottom"/>
            <w:hideMark/>
          </w:tcPr>
          <w:p w14:paraId="2BD08A3C" w14:textId="43341D8E"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A53FD27" w14:textId="69E1F091" w:rsidR="002E484C" w:rsidRDefault="002E484C" w:rsidP="002E484C">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0323CDD0" w14:textId="1BF28E76" w:rsidR="002E484C" w:rsidRDefault="002E484C" w:rsidP="002E484C">
            <w:pPr>
              <w:jc w:val="right"/>
              <w:rPr>
                <w:color w:val="000000"/>
                <w:sz w:val="20"/>
                <w:szCs w:val="20"/>
              </w:rPr>
            </w:pPr>
            <w:r>
              <w:rPr>
                <w:color w:val="000000"/>
                <w:sz w:val="20"/>
                <w:szCs w:val="20"/>
              </w:rPr>
              <w:t>0.669</w:t>
            </w:r>
          </w:p>
        </w:tc>
        <w:tc>
          <w:tcPr>
            <w:tcW w:w="768" w:type="dxa"/>
            <w:tcBorders>
              <w:top w:val="nil"/>
              <w:left w:val="nil"/>
              <w:bottom w:val="single" w:sz="4" w:space="0" w:color="auto"/>
              <w:right w:val="nil"/>
            </w:tcBorders>
            <w:shd w:val="clear" w:color="auto" w:fill="auto"/>
            <w:noWrap/>
            <w:vAlign w:val="bottom"/>
            <w:hideMark/>
          </w:tcPr>
          <w:p w14:paraId="0F9B55CB" w14:textId="6E89B30B" w:rsidR="002E484C" w:rsidRDefault="002E484C" w:rsidP="002E484C">
            <w:pPr>
              <w:jc w:val="right"/>
              <w:rPr>
                <w:color w:val="000000"/>
                <w:sz w:val="20"/>
                <w:szCs w:val="20"/>
              </w:rPr>
            </w:pPr>
            <w:r>
              <w:rPr>
                <w:color w:val="000000"/>
                <w:sz w:val="20"/>
                <w:szCs w:val="20"/>
              </w:rPr>
              <w:t>0.001</w:t>
            </w:r>
          </w:p>
        </w:tc>
      </w:tr>
      <w:tr w:rsidR="002E484C" w14:paraId="3F093F52" w14:textId="77777777" w:rsidTr="00966A65">
        <w:trPr>
          <w:trHeight w:val="320"/>
        </w:trPr>
        <w:tc>
          <w:tcPr>
            <w:tcW w:w="1176" w:type="dxa"/>
            <w:tcBorders>
              <w:top w:val="nil"/>
              <w:left w:val="nil"/>
              <w:bottom w:val="nil"/>
              <w:right w:val="nil"/>
            </w:tcBorders>
            <w:shd w:val="clear" w:color="auto" w:fill="auto"/>
            <w:noWrap/>
            <w:vAlign w:val="bottom"/>
            <w:hideMark/>
          </w:tcPr>
          <w:p w14:paraId="3C01BD02" w14:textId="77777777" w:rsidR="002E484C" w:rsidRDefault="002E484C" w:rsidP="002E484C">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29BCD603" w14:textId="77777777" w:rsidR="002E484C" w:rsidRDefault="002E484C" w:rsidP="002E484C">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C6AF43A" w14:textId="197DCFAA" w:rsidR="002E484C" w:rsidRDefault="002E484C" w:rsidP="002E484C">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E282552" w14:textId="78F4D2B3" w:rsidR="002E484C" w:rsidRDefault="002E484C" w:rsidP="002E484C">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252C82DF" w14:textId="454227B4"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A574D0" w14:textId="323093E4" w:rsidR="002E484C" w:rsidRDefault="002E484C" w:rsidP="002E484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17F1432" w14:textId="6746B340" w:rsidR="002E484C" w:rsidRDefault="002E484C" w:rsidP="002E484C">
            <w:pPr>
              <w:jc w:val="right"/>
              <w:rPr>
                <w:color w:val="000000"/>
                <w:sz w:val="20"/>
                <w:szCs w:val="20"/>
              </w:rPr>
            </w:pPr>
            <w:r>
              <w:rPr>
                <w:color w:val="000000"/>
                <w:sz w:val="20"/>
                <w:szCs w:val="20"/>
              </w:rPr>
              <w:t>0.712</w:t>
            </w:r>
          </w:p>
        </w:tc>
        <w:tc>
          <w:tcPr>
            <w:tcW w:w="768" w:type="dxa"/>
            <w:tcBorders>
              <w:top w:val="nil"/>
              <w:left w:val="nil"/>
              <w:bottom w:val="nil"/>
              <w:right w:val="nil"/>
            </w:tcBorders>
            <w:shd w:val="clear" w:color="auto" w:fill="auto"/>
            <w:noWrap/>
            <w:vAlign w:val="bottom"/>
            <w:hideMark/>
          </w:tcPr>
          <w:p w14:paraId="6336AAB0" w14:textId="1CD1FA17"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3F0AB0" w14:textId="04223F18" w:rsidR="002E484C" w:rsidRDefault="002E484C" w:rsidP="002E484C">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6489D93A" w14:textId="6526F1E4" w:rsidR="002E484C" w:rsidRDefault="002E484C" w:rsidP="002E484C">
            <w:pPr>
              <w:jc w:val="right"/>
              <w:rPr>
                <w:color w:val="000000"/>
                <w:sz w:val="20"/>
                <w:szCs w:val="20"/>
              </w:rPr>
            </w:pPr>
            <w:r>
              <w:rPr>
                <w:color w:val="000000"/>
                <w:sz w:val="20"/>
                <w:szCs w:val="20"/>
              </w:rPr>
              <w:t>0.468</w:t>
            </w:r>
          </w:p>
        </w:tc>
        <w:tc>
          <w:tcPr>
            <w:tcW w:w="768" w:type="dxa"/>
            <w:tcBorders>
              <w:top w:val="nil"/>
              <w:left w:val="nil"/>
              <w:bottom w:val="nil"/>
              <w:right w:val="nil"/>
            </w:tcBorders>
            <w:shd w:val="clear" w:color="auto" w:fill="auto"/>
            <w:noWrap/>
            <w:vAlign w:val="bottom"/>
            <w:hideMark/>
          </w:tcPr>
          <w:p w14:paraId="175F775D" w14:textId="75974223"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72F6D6" w14:textId="613F9B30" w:rsidR="002E484C" w:rsidRDefault="002E484C" w:rsidP="002E484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09745799" w14:textId="600DCB37" w:rsidR="002E484C" w:rsidRDefault="002E484C" w:rsidP="002E484C">
            <w:pPr>
              <w:jc w:val="right"/>
              <w:rPr>
                <w:color w:val="000000"/>
                <w:sz w:val="20"/>
                <w:szCs w:val="20"/>
              </w:rPr>
            </w:pPr>
            <w:r>
              <w:rPr>
                <w:color w:val="000000"/>
                <w:sz w:val="20"/>
                <w:szCs w:val="20"/>
              </w:rPr>
              <w:t>0.727</w:t>
            </w:r>
          </w:p>
        </w:tc>
        <w:tc>
          <w:tcPr>
            <w:tcW w:w="768" w:type="dxa"/>
            <w:tcBorders>
              <w:top w:val="nil"/>
              <w:left w:val="nil"/>
              <w:bottom w:val="nil"/>
              <w:right w:val="nil"/>
            </w:tcBorders>
            <w:shd w:val="clear" w:color="auto" w:fill="auto"/>
            <w:noWrap/>
            <w:vAlign w:val="bottom"/>
            <w:hideMark/>
          </w:tcPr>
          <w:p w14:paraId="4F51329E" w14:textId="228B611C"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0FAD6A" w14:textId="59051872" w:rsidR="002E484C" w:rsidRDefault="002E484C" w:rsidP="002E484C">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697CA96D" w14:textId="7A91E775" w:rsidR="002E484C" w:rsidRDefault="002E484C" w:rsidP="002E484C">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6E7CA66B" w14:textId="493867B5" w:rsidR="002E484C" w:rsidRDefault="002E484C" w:rsidP="002E484C">
            <w:pPr>
              <w:jc w:val="right"/>
              <w:rPr>
                <w:color w:val="000000"/>
                <w:sz w:val="20"/>
                <w:szCs w:val="20"/>
              </w:rPr>
            </w:pPr>
            <w:r>
              <w:rPr>
                <w:color w:val="000000"/>
                <w:sz w:val="20"/>
                <w:szCs w:val="20"/>
              </w:rPr>
              <w:t>0.000</w:t>
            </w:r>
          </w:p>
        </w:tc>
      </w:tr>
      <w:tr w:rsidR="002E484C" w14:paraId="094B1E37" w14:textId="77777777" w:rsidTr="00966A65">
        <w:trPr>
          <w:trHeight w:val="320"/>
        </w:trPr>
        <w:tc>
          <w:tcPr>
            <w:tcW w:w="1176" w:type="dxa"/>
            <w:tcBorders>
              <w:top w:val="nil"/>
              <w:left w:val="nil"/>
              <w:bottom w:val="nil"/>
              <w:right w:val="nil"/>
            </w:tcBorders>
            <w:shd w:val="clear" w:color="auto" w:fill="auto"/>
            <w:noWrap/>
            <w:vAlign w:val="bottom"/>
            <w:hideMark/>
          </w:tcPr>
          <w:p w14:paraId="60CF0EB8"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2749232" w14:textId="77777777" w:rsidR="002E484C" w:rsidRDefault="002E484C" w:rsidP="002E484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D194A7A" w14:textId="617D1231"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4AFAA5" w14:textId="42801A41" w:rsidR="002E484C" w:rsidRDefault="002E484C" w:rsidP="002E484C">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7D7E71FE" w14:textId="7ECAFE8E"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E8063F" w14:textId="7B1BA406" w:rsidR="002E484C" w:rsidRDefault="002E484C" w:rsidP="002E484C">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3E448B29" w14:textId="6C10F38D" w:rsidR="002E484C" w:rsidRDefault="002E484C" w:rsidP="002E484C">
            <w:pPr>
              <w:jc w:val="right"/>
              <w:rPr>
                <w:color w:val="000000"/>
                <w:sz w:val="20"/>
                <w:szCs w:val="20"/>
              </w:rPr>
            </w:pPr>
            <w:r>
              <w:rPr>
                <w:color w:val="000000"/>
                <w:sz w:val="20"/>
                <w:szCs w:val="20"/>
              </w:rPr>
              <w:t>0.532</w:t>
            </w:r>
          </w:p>
        </w:tc>
        <w:tc>
          <w:tcPr>
            <w:tcW w:w="768" w:type="dxa"/>
            <w:tcBorders>
              <w:top w:val="nil"/>
              <w:left w:val="nil"/>
              <w:bottom w:val="nil"/>
              <w:right w:val="nil"/>
            </w:tcBorders>
            <w:shd w:val="clear" w:color="auto" w:fill="auto"/>
            <w:noWrap/>
            <w:vAlign w:val="bottom"/>
            <w:hideMark/>
          </w:tcPr>
          <w:p w14:paraId="669B6980" w14:textId="2E05930A"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32B49E2" w14:textId="7C675FA7" w:rsidR="002E484C" w:rsidRDefault="002E484C" w:rsidP="002E484C">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5EBE6301" w14:textId="7C0F631A" w:rsidR="002E484C" w:rsidRDefault="002E484C" w:rsidP="002E484C">
            <w:pPr>
              <w:jc w:val="right"/>
              <w:rPr>
                <w:color w:val="000000"/>
                <w:sz w:val="20"/>
                <w:szCs w:val="20"/>
              </w:rPr>
            </w:pPr>
            <w:r>
              <w:rPr>
                <w:color w:val="000000"/>
                <w:sz w:val="20"/>
                <w:szCs w:val="20"/>
              </w:rPr>
              <w:t>0.468</w:t>
            </w:r>
          </w:p>
        </w:tc>
        <w:tc>
          <w:tcPr>
            <w:tcW w:w="768" w:type="dxa"/>
            <w:tcBorders>
              <w:top w:val="nil"/>
              <w:left w:val="nil"/>
              <w:bottom w:val="nil"/>
              <w:right w:val="nil"/>
            </w:tcBorders>
            <w:shd w:val="clear" w:color="auto" w:fill="auto"/>
            <w:noWrap/>
            <w:vAlign w:val="bottom"/>
            <w:hideMark/>
          </w:tcPr>
          <w:p w14:paraId="48E8F99A" w14:textId="146CB2E1"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CBC536D" w14:textId="75A13022" w:rsidR="002E484C" w:rsidRDefault="002E484C" w:rsidP="002E484C">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4FD94534" w14:textId="49B9DE8F" w:rsidR="002E484C" w:rsidRDefault="002E484C" w:rsidP="002E484C">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5D40B61A" w14:textId="4D907270"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96F7F6" w14:textId="75C34ED9" w:rsidR="002E484C" w:rsidRDefault="002E484C" w:rsidP="002E484C">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38B35D27" w14:textId="12699ADE" w:rsidR="002E484C" w:rsidRDefault="002E484C" w:rsidP="002E484C">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54097144" w14:textId="21CE612B" w:rsidR="002E484C" w:rsidRDefault="002E484C" w:rsidP="002E484C">
            <w:pPr>
              <w:jc w:val="right"/>
              <w:rPr>
                <w:color w:val="000000"/>
                <w:sz w:val="20"/>
                <w:szCs w:val="20"/>
              </w:rPr>
            </w:pPr>
            <w:r>
              <w:rPr>
                <w:color w:val="000000"/>
                <w:sz w:val="20"/>
                <w:szCs w:val="20"/>
              </w:rPr>
              <w:t>0.007</w:t>
            </w:r>
          </w:p>
        </w:tc>
      </w:tr>
      <w:tr w:rsidR="002E484C" w14:paraId="609D8988" w14:textId="77777777" w:rsidTr="00966A65">
        <w:trPr>
          <w:trHeight w:val="320"/>
        </w:trPr>
        <w:tc>
          <w:tcPr>
            <w:tcW w:w="1176" w:type="dxa"/>
            <w:tcBorders>
              <w:top w:val="nil"/>
              <w:left w:val="nil"/>
              <w:bottom w:val="nil"/>
              <w:right w:val="nil"/>
            </w:tcBorders>
            <w:shd w:val="clear" w:color="auto" w:fill="auto"/>
            <w:noWrap/>
            <w:vAlign w:val="bottom"/>
            <w:hideMark/>
          </w:tcPr>
          <w:p w14:paraId="21D2D5A9"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05B7848" w14:textId="77777777" w:rsidR="002E484C" w:rsidRDefault="002E484C" w:rsidP="002E484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0222B5D" w14:textId="0FF0AD58" w:rsidR="002E484C" w:rsidRDefault="002E484C" w:rsidP="002E484C">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79E65404" w14:textId="12B16A09" w:rsidR="002E484C" w:rsidRDefault="002E484C" w:rsidP="002E484C">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1432175D" w14:textId="464BE805"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0B712A4" w14:textId="48DE6DFF" w:rsidR="002E484C" w:rsidRDefault="002E484C" w:rsidP="002E484C">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6A52FED5" w14:textId="4EDE1960" w:rsidR="002E484C" w:rsidRDefault="002E484C" w:rsidP="002E484C">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0D0728BE" w14:textId="0A3BF19F"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6B2C20F" w14:textId="7E732208" w:rsidR="002E484C" w:rsidRDefault="002E484C" w:rsidP="002E484C">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2CBACC3" w14:textId="3292EE2D" w:rsidR="002E484C" w:rsidRDefault="002E484C" w:rsidP="002E484C">
            <w:pPr>
              <w:jc w:val="right"/>
              <w:rPr>
                <w:color w:val="000000"/>
                <w:sz w:val="20"/>
                <w:szCs w:val="20"/>
              </w:rPr>
            </w:pPr>
            <w:r>
              <w:rPr>
                <w:color w:val="000000"/>
                <w:sz w:val="20"/>
                <w:szCs w:val="20"/>
              </w:rPr>
              <w:t>0.527</w:t>
            </w:r>
          </w:p>
        </w:tc>
        <w:tc>
          <w:tcPr>
            <w:tcW w:w="768" w:type="dxa"/>
            <w:tcBorders>
              <w:top w:val="nil"/>
              <w:left w:val="nil"/>
              <w:bottom w:val="nil"/>
              <w:right w:val="nil"/>
            </w:tcBorders>
            <w:shd w:val="clear" w:color="auto" w:fill="auto"/>
            <w:noWrap/>
            <w:vAlign w:val="bottom"/>
            <w:hideMark/>
          </w:tcPr>
          <w:p w14:paraId="0AAFA396" w14:textId="1A64FE28"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F2376F4" w14:textId="031ACAA2" w:rsidR="002E484C" w:rsidRDefault="002E484C" w:rsidP="002E484C">
            <w:pPr>
              <w:jc w:val="right"/>
              <w:rPr>
                <w:color w:val="000000"/>
                <w:sz w:val="20"/>
                <w:szCs w:val="20"/>
              </w:rPr>
            </w:pPr>
            <w:r>
              <w:rPr>
                <w:b/>
                <w:bCs/>
                <w:color w:val="000000"/>
                <w:sz w:val="20"/>
                <w:szCs w:val="20"/>
              </w:rPr>
              <w:t>-0.149</w:t>
            </w:r>
          </w:p>
        </w:tc>
        <w:tc>
          <w:tcPr>
            <w:tcW w:w="768" w:type="dxa"/>
            <w:tcBorders>
              <w:top w:val="nil"/>
              <w:left w:val="nil"/>
              <w:bottom w:val="nil"/>
              <w:right w:val="nil"/>
            </w:tcBorders>
            <w:shd w:val="clear" w:color="auto" w:fill="auto"/>
            <w:noWrap/>
            <w:vAlign w:val="bottom"/>
            <w:hideMark/>
          </w:tcPr>
          <w:p w14:paraId="5E9730BA" w14:textId="63082617" w:rsidR="002E484C" w:rsidRDefault="002E484C" w:rsidP="002E484C">
            <w:pPr>
              <w:jc w:val="right"/>
              <w:rPr>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69353159" w14:textId="7FC947A3" w:rsidR="002E484C" w:rsidRDefault="002E484C" w:rsidP="002E484C">
            <w:pPr>
              <w:jc w:val="right"/>
              <w:rPr>
                <w:color w:val="000000"/>
                <w:sz w:val="20"/>
                <w:szCs w:val="20"/>
              </w:rPr>
            </w:pPr>
            <w:r>
              <w:rPr>
                <w:b/>
                <w:bCs/>
                <w:color w:val="000000"/>
                <w:sz w:val="20"/>
                <w:szCs w:val="20"/>
              </w:rPr>
              <w:t>0.022</w:t>
            </w:r>
          </w:p>
        </w:tc>
        <w:tc>
          <w:tcPr>
            <w:tcW w:w="768" w:type="dxa"/>
            <w:tcBorders>
              <w:top w:val="nil"/>
              <w:left w:val="nil"/>
              <w:bottom w:val="nil"/>
              <w:right w:val="nil"/>
            </w:tcBorders>
            <w:shd w:val="clear" w:color="auto" w:fill="auto"/>
            <w:noWrap/>
            <w:vAlign w:val="bottom"/>
            <w:hideMark/>
          </w:tcPr>
          <w:p w14:paraId="38B3251C" w14:textId="6B51C9E5" w:rsidR="002E484C" w:rsidRDefault="002E484C" w:rsidP="002E484C">
            <w:pPr>
              <w:jc w:val="right"/>
              <w:rPr>
                <w:color w:val="000000"/>
                <w:sz w:val="20"/>
                <w:szCs w:val="20"/>
              </w:rPr>
            </w:pPr>
            <w:r>
              <w:rPr>
                <w:color w:val="000000"/>
                <w:sz w:val="20"/>
                <w:szCs w:val="20"/>
              </w:rPr>
              <w:t>0.123</w:t>
            </w:r>
          </w:p>
        </w:tc>
        <w:tc>
          <w:tcPr>
            <w:tcW w:w="768" w:type="dxa"/>
            <w:tcBorders>
              <w:top w:val="nil"/>
              <w:left w:val="nil"/>
              <w:bottom w:val="nil"/>
              <w:right w:val="nil"/>
            </w:tcBorders>
            <w:shd w:val="clear" w:color="auto" w:fill="auto"/>
            <w:noWrap/>
            <w:vAlign w:val="bottom"/>
            <w:hideMark/>
          </w:tcPr>
          <w:p w14:paraId="4BA36DBA" w14:textId="1A16F33C" w:rsidR="002E484C" w:rsidRDefault="002E484C" w:rsidP="002E484C">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57B54825" w14:textId="67B5640D" w:rsidR="002E484C" w:rsidRDefault="002E484C" w:rsidP="002E484C">
            <w:pPr>
              <w:jc w:val="right"/>
              <w:rPr>
                <w:color w:val="000000"/>
                <w:sz w:val="20"/>
                <w:szCs w:val="20"/>
              </w:rPr>
            </w:pPr>
            <w:r>
              <w:rPr>
                <w:color w:val="000000"/>
                <w:sz w:val="20"/>
                <w:szCs w:val="20"/>
              </w:rPr>
              <w:t>0.015</w:t>
            </w:r>
          </w:p>
        </w:tc>
      </w:tr>
      <w:tr w:rsidR="002E484C" w14:paraId="3CC3A250" w14:textId="77777777" w:rsidTr="00966A65">
        <w:trPr>
          <w:trHeight w:val="320"/>
        </w:trPr>
        <w:tc>
          <w:tcPr>
            <w:tcW w:w="1176" w:type="dxa"/>
            <w:tcBorders>
              <w:top w:val="nil"/>
              <w:left w:val="nil"/>
              <w:bottom w:val="nil"/>
              <w:right w:val="nil"/>
            </w:tcBorders>
            <w:shd w:val="clear" w:color="auto" w:fill="auto"/>
            <w:noWrap/>
            <w:vAlign w:val="bottom"/>
            <w:hideMark/>
          </w:tcPr>
          <w:p w14:paraId="16B21B4C"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CDF3DF" w14:textId="77777777" w:rsidR="002E484C" w:rsidRDefault="002E484C" w:rsidP="002E484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D1193DD" w14:textId="1B178BCA"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6628E08" w14:textId="3A6F59A9" w:rsidR="002E484C" w:rsidRDefault="002E484C" w:rsidP="002E484C">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2DEF8F6A" w14:textId="1BE735F6"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5DAC6C" w14:textId="7CE1E104" w:rsidR="002E484C" w:rsidRDefault="002E484C" w:rsidP="002E484C">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6ACA00C" w14:textId="2479AED0" w:rsidR="002E484C" w:rsidRDefault="002E484C" w:rsidP="002E484C">
            <w:pPr>
              <w:jc w:val="right"/>
              <w:rPr>
                <w:color w:val="000000"/>
                <w:sz w:val="20"/>
                <w:szCs w:val="20"/>
              </w:rPr>
            </w:pPr>
            <w:r>
              <w:rPr>
                <w:color w:val="000000"/>
                <w:sz w:val="20"/>
                <w:szCs w:val="20"/>
              </w:rPr>
              <w:t>0.532</w:t>
            </w:r>
          </w:p>
        </w:tc>
        <w:tc>
          <w:tcPr>
            <w:tcW w:w="768" w:type="dxa"/>
            <w:tcBorders>
              <w:top w:val="nil"/>
              <w:left w:val="nil"/>
              <w:bottom w:val="nil"/>
              <w:right w:val="nil"/>
            </w:tcBorders>
            <w:shd w:val="clear" w:color="auto" w:fill="auto"/>
            <w:noWrap/>
            <w:vAlign w:val="bottom"/>
            <w:hideMark/>
          </w:tcPr>
          <w:p w14:paraId="3784CD05" w14:textId="4B5C782C"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CB9F86D" w14:textId="4CDB6DD3" w:rsidR="002E484C" w:rsidRDefault="002E484C" w:rsidP="002E484C">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57C75F9" w14:textId="3D74707B" w:rsidR="002E484C" w:rsidRDefault="002E484C" w:rsidP="002E484C">
            <w:pPr>
              <w:jc w:val="right"/>
              <w:rPr>
                <w:color w:val="000000"/>
                <w:sz w:val="20"/>
                <w:szCs w:val="20"/>
              </w:rPr>
            </w:pPr>
            <w:r>
              <w:rPr>
                <w:color w:val="000000"/>
                <w:sz w:val="20"/>
                <w:szCs w:val="20"/>
              </w:rPr>
              <w:t>0.527</w:t>
            </w:r>
          </w:p>
        </w:tc>
        <w:tc>
          <w:tcPr>
            <w:tcW w:w="768" w:type="dxa"/>
            <w:tcBorders>
              <w:top w:val="nil"/>
              <w:left w:val="nil"/>
              <w:bottom w:val="nil"/>
              <w:right w:val="nil"/>
            </w:tcBorders>
            <w:shd w:val="clear" w:color="auto" w:fill="auto"/>
            <w:noWrap/>
            <w:vAlign w:val="bottom"/>
            <w:hideMark/>
          </w:tcPr>
          <w:p w14:paraId="12C6750D" w14:textId="631029EB"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8531E9" w14:textId="6B1D4641" w:rsidR="002E484C" w:rsidRDefault="002E484C" w:rsidP="002E484C">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AD8AEB5" w14:textId="3E2A7C18" w:rsidR="002E484C" w:rsidRDefault="002E484C" w:rsidP="002E484C">
            <w:pPr>
              <w:jc w:val="right"/>
              <w:rPr>
                <w:color w:val="000000"/>
                <w:sz w:val="20"/>
                <w:szCs w:val="20"/>
              </w:rPr>
            </w:pPr>
            <w:r>
              <w:rPr>
                <w:color w:val="000000"/>
                <w:sz w:val="20"/>
                <w:szCs w:val="20"/>
              </w:rPr>
              <w:t>0.751</w:t>
            </w:r>
          </w:p>
        </w:tc>
        <w:tc>
          <w:tcPr>
            <w:tcW w:w="768" w:type="dxa"/>
            <w:tcBorders>
              <w:top w:val="nil"/>
              <w:left w:val="nil"/>
              <w:bottom w:val="nil"/>
              <w:right w:val="nil"/>
            </w:tcBorders>
            <w:shd w:val="clear" w:color="auto" w:fill="auto"/>
            <w:noWrap/>
            <w:vAlign w:val="bottom"/>
            <w:hideMark/>
          </w:tcPr>
          <w:p w14:paraId="55B32148" w14:textId="1128AE8C"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10A497" w14:textId="4BE0AE46"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D87221A" w14:textId="2E8B6B0D" w:rsidR="002E484C" w:rsidRDefault="002E484C" w:rsidP="002E484C">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643412D7" w14:textId="6EA85759" w:rsidR="002E484C" w:rsidRDefault="002E484C" w:rsidP="002E484C">
            <w:pPr>
              <w:jc w:val="right"/>
              <w:rPr>
                <w:color w:val="000000"/>
                <w:sz w:val="20"/>
                <w:szCs w:val="20"/>
              </w:rPr>
            </w:pPr>
            <w:r>
              <w:rPr>
                <w:color w:val="000000"/>
                <w:sz w:val="20"/>
                <w:szCs w:val="20"/>
              </w:rPr>
              <w:t>0.000</w:t>
            </w:r>
          </w:p>
        </w:tc>
      </w:tr>
      <w:tr w:rsidR="002E484C" w14:paraId="3EC0DC68" w14:textId="77777777" w:rsidTr="00966A65">
        <w:trPr>
          <w:trHeight w:val="320"/>
        </w:trPr>
        <w:tc>
          <w:tcPr>
            <w:tcW w:w="1176" w:type="dxa"/>
            <w:tcBorders>
              <w:top w:val="nil"/>
              <w:left w:val="nil"/>
              <w:bottom w:val="nil"/>
              <w:right w:val="nil"/>
            </w:tcBorders>
            <w:shd w:val="clear" w:color="auto" w:fill="auto"/>
            <w:noWrap/>
            <w:vAlign w:val="bottom"/>
            <w:hideMark/>
          </w:tcPr>
          <w:p w14:paraId="3836B998"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67AD097" w14:textId="77777777" w:rsidR="002E484C" w:rsidRDefault="002E484C" w:rsidP="002E484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0A0F890" w14:textId="6B8298B1"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A6C7FA2" w14:textId="1143D6A5" w:rsidR="002E484C" w:rsidRDefault="002E484C" w:rsidP="002E484C">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3F694317" w14:textId="56B97049"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3FB002" w14:textId="0E2B7D3F" w:rsidR="002E484C" w:rsidRDefault="002E484C" w:rsidP="002E484C">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A5010B8" w14:textId="3B506A6C" w:rsidR="002E484C" w:rsidRDefault="002E484C" w:rsidP="002E484C">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4C9E546F" w14:textId="486E7F8F"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11A0E3F" w14:textId="421D8880" w:rsidR="002E484C" w:rsidRDefault="002E484C" w:rsidP="002E484C">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FA1849F" w14:textId="66E33B7F" w:rsidR="002E484C" w:rsidRDefault="002E484C" w:rsidP="002E484C">
            <w:pPr>
              <w:jc w:val="right"/>
              <w:rPr>
                <w:color w:val="000000"/>
                <w:sz w:val="20"/>
                <w:szCs w:val="20"/>
              </w:rPr>
            </w:pPr>
            <w:r>
              <w:rPr>
                <w:color w:val="000000"/>
                <w:sz w:val="20"/>
                <w:szCs w:val="20"/>
              </w:rPr>
              <w:t>0.527</w:t>
            </w:r>
          </w:p>
        </w:tc>
        <w:tc>
          <w:tcPr>
            <w:tcW w:w="768" w:type="dxa"/>
            <w:tcBorders>
              <w:top w:val="nil"/>
              <w:left w:val="nil"/>
              <w:bottom w:val="nil"/>
              <w:right w:val="nil"/>
            </w:tcBorders>
            <w:shd w:val="clear" w:color="auto" w:fill="auto"/>
            <w:noWrap/>
            <w:vAlign w:val="bottom"/>
            <w:hideMark/>
          </w:tcPr>
          <w:p w14:paraId="42697372" w14:textId="4638B50A"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7EB248" w14:textId="1CD4B892" w:rsidR="002E484C" w:rsidRDefault="002E484C" w:rsidP="002E484C">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18A5424" w14:textId="1050EC72" w:rsidR="002E484C" w:rsidRDefault="002E484C" w:rsidP="002E484C">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22CAB6B5" w14:textId="0489B894"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5CFF81F" w14:textId="29CAE991" w:rsidR="002E484C" w:rsidRDefault="002E484C" w:rsidP="002E484C">
            <w:pPr>
              <w:jc w:val="right"/>
              <w:rPr>
                <w:color w:val="000000"/>
                <w:sz w:val="20"/>
                <w:szCs w:val="20"/>
              </w:rPr>
            </w:pPr>
            <w:r>
              <w:rPr>
                <w:color w:val="000000"/>
                <w:sz w:val="20"/>
                <w:szCs w:val="20"/>
              </w:rPr>
              <w:t>-0.106</w:t>
            </w:r>
          </w:p>
        </w:tc>
        <w:tc>
          <w:tcPr>
            <w:tcW w:w="768" w:type="dxa"/>
            <w:tcBorders>
              <w:top w:val="nil"/>
              <w:left w:val="nil"/>
              <w:bottom w:val="nil"/>
              <w:right w:val="nil"/>
            </w:tcBorders>
            <w:shd w:val="clear" w:color="auto" w:fill="auto"/>
            <w:noWrap/>
            <w:vAlign w:val="bottom"/>
            <w:hideMark/>
          </w:tcPr>
          <w:p w14:paraId="266EAA36" w14:textId="0BFBC5C7" w:rsidR="002E484C" w:rsidRDefault="002E484C" w:rsidP="002E484C">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7E849123" w14:textId="0EB866E3" w:rsidR="002E484C" w:rsidRDefault="002E484C" w:rsidP="002E484C">
            <w:pPr>
              <w:jc w:val="right"/>
              <w:rPr>
                <w:color w:val="000000"/>
                <w:sz w:val="20"/>
                <w:szCs w:val="20"/>
              </w:rPr>
            </w:pPr>
            <w:r>
              <w:rPr>
                <w:color w:val="000000"/>
                <w:sz w:val="20"/>
                <w:szCs w:val="20"/>
              </w:rPr>
              <w:t>0.011</w:t>
            </w:r>
          </w:p>
        </w:tc>
      </w:tr>
      <w:tr w:rsidR="002E484C" w14:paraId="66ECE26A" w14:textId="77777777" w:rsidTr="00966A65">
        <w:trPr>
          <w:trHeight w:val="320"/>
        </w:trPr>
        <w:tc>
          <w:tcPr>
            <w:tcW w:w="1176" w:type="dxa"/>
            <w:tcBorders>
              <w:top w:val="nil"/>
              <w:left w:val="nil"/>
              <w:bottom w:val="nil"/>
              <w:right w:val="nil"/>
            </w:tcBorders>
            <w:shd w:val="clear" w:color="auto" w:fill="auto"/>
            <w:noWrap/>
            <w:vAlign w:val="bottom"/>
            <w:hideMark/>
          </w:tcPr>
          <w:p w14:paraId="07D462D1"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DFA804" w14:textId="77777777" w:rsidR="002E484C" w:rsidRDefault="002E484C" w:rsidP="002E484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43D9538" w14:textId="36C85BF5" w:rsidR="002E484C" w:rsidRDefault="002E484C" w:rsidP="002E484C">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9925140" w14:textId="27D9B800" w:rsidR="002E484C" w:rsidRDefault="002E484C" w:rsidP="002E484C">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1D43B7CE" w14:textId="238FD108"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EF0C1D" w14:textId="0C1613A4" w:rsidR="002E484C" w:rsidRDefault="002E484C" w:rsidP="002E484C">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2B089CD" w14:textId="78096F09" w:rsidR="002E484C" w:rsidRDefault="002E484C" w:rsidP="002E484C">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79A3726F" w14:textId="1975FDCE"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69FAFF" w14:textId="506F81EE" w:rsidR="002E484C" w:rsidRDefault="002E484C" w:rsidP="002E484C">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12CEC70E" w14:textId="677B7FC1" w:rsidR="002E484C" w:rsidRDefault="002E484C" w:rsidP="002E484C">
            <w:pPr>
              <w:jc w:val="right"/>
              <w:rPr>
                <w:color w:val="000000"/>
                <w:sz w:val="20"/>
                <w:szCs w:val="20"/>
              </w:rPr>
            </w:pPr>
            <w:r>
              <w:rPr>
                <w:color w:val="000000"/>
                <w:sz w:val="20"/>
                <w:szCs w:val="20"/>
              </w:rPr>
              <w:t>0.468</w:t>
            </w:r>
          </w:p>
        </w:tc>
        <w:tc>
          <w:tcPr>
            <w:tcW w:w="768" w:type="dxa"/>
            <w:tcBorders>
              <w:top w:val="nil"/>
              <w:left w:val="nil"/>
              <w:bottom w:val="nil"/>
              <w:right w:val="nil"/>
            </w:tcBorders>
            <w:shd w:val="clear" w:color="auto" w:fill="auto"/>
            <w:noWrap/>
            <w:vAlign w:val="bottom"/>
            <w:hideMark/>
          </w:tcPr>
          <w:p w14:paraId="21B72354" w14:textId="5F7D0EF3"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D30CAF" w14:textId="0E803570" w:rsidR="002E484C" w:rsidRDefault="002E484C" w:rsidP="002E484C">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009A4DC6" w14:textId="6CD8C4F3" w:rsidR="002E484C" w:rsidRDefault="002E484C" w:rsidP="002E484C">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3AA6613F" w14:textId="0A61A121"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BED9032" w14:textId="69D49207" w:rsidR="002E484C" w:rsidRDefault="002E484C" w:rsidP="002E484C">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03C19919" w14:textId="78A2E73D" w:rsidR="002E484C" w:rsidRDefault="002E484C" w:rsidP="002E484C">
            <w:pPr>
              <w:jc w:val="right"/>
              <w:rPr>
                <w:color w:val="000000"/>
                <w:sz w:val="20"/>
                <w:szCs w:val="20"/>
              </w:rPr>
            </w:pPr>
            <w:r>
              <w:rPr>
                <w:color w:val="000000"/>
                <w:sz w:val="20"/>
                <w:szCs w:val="20"/>
              </w:rPr>
              <w:t>0.242</w:t>
            </w:r>
          </w:p>
        </w:tc>
        <w:tc>
          <w:tcPr>
            <w:tcW w:w="768" w:type="dxa"/>
            <w:tcBorders>
              <w:top w:val="nil"/>
              <w:left w:val="nil"/>
              <w:bottom w:val="nil"/>
              <w:right w:val="nil"/>
            </w:tcBorders>
            <w:shd w:val="clear" w:color="auto" w:fill="auto"/>
            <w:noWrap/>
            <w:vAlign w:val="bottom"/>
            <w:hideMark/>
          </w:tcPr>
          <w:p w14:paraId="351AF9C6" w14:textId="11604F91" w:rsidR="002E484C" w:rsidRDefault="002E484C" w:rsidP="002E484C">
            <w:pPr>
              <w:jc w:val="right"/>
              <w:rPr>
                <w:color w:val="000000"/>
                <w:sz w:val="20"/>
                <w:szCs w:val="20"/>
              </w:rPr>
            </w:pPr>
            <w:r>
              <w:rPr>
                <w:color w:val="000000"/>
                <w:sz w:val="20"/>
                <w:szCs w:val="20"/>
              </w:rPr>
              <w:t>0.004</w:t>
            </w:r>
          </w:p>
        </w:tc>
      </w:tr>
      <w:tr w:rsidR="002E484C" w14:paraId="7F48672C" w14:textId="77777777" w:rsidTr="00966A65">
        <w:trPr>
          <w:trHeight w:val="320"/>
        </w:trPr>
        <w:tc>
          <w:tcPr>
            <w:tcW w:w="1176" w:type="dxa"/>
            <w:tcBorders>
              <w:top w:val="nil"/>
              <w:left w:val="nil"/>
              <w:bottom w:val="nil"/>
              <w:right w:val="nil"/>
            </w:tcBorders>
            <w:shd w:val="clear" w:color="auto" w:fill="auto"/>
            <w:noWrap/>
            <w:vAlign w:val="bottom"/>
            <w:hideMark/>
          </w:tcPr>
          <w:p w14:paraId="28B6F345"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D9F7416" w14:textId="77777777" w:rsidR="002E484C" w:rsidRDefault="002E484C" w:rsidP="002E484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935378D" w14:textId="43C83C1B" w:rsidR="002E484C" w:rsidRDefault="002E484C" w:rsidP="002E484C">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49A0E19B" w14:textId="43345A31" w:rsidR="002E484C" w:rsidRDefault="002E484C" w:rsidP="002E484C">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3BFBD8CA" w14:textId="0164DB38"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7B8A349" w14:textId="06DC4F6E" w:rsidR="002E484C" w:rsidRDefault="002E484C" w:rsidP="002E484C">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115D0290" w14:textId="4522773C" w:rsidR="002E484C" w:rsidRDefault="002E484C" w:rsidP="002E484C">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3837F606" w14:textId="3084846F"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5E6285C" w14:textId="3DF03598" w:rsidR="002E484C" w:rsidRDefault="002E484C" w:rsidP="002E484C">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79A725A3" w14:textId="45B23ED6" w:rsidR="002E484C" w:rsidRDefault="002E484C" w:rsidP="002E484C">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1C5BE4B7" w14:textId="36D02128"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C61F5C2" w14:textId="0D491502" w:rsidR="002E484C" w:rsidRDefault="002E484C" w:rsidP="002E484C">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251DCC93" w14:textId="69AA8554" w:rsidR="002E484C" w:rsidRDefault="002E484C" w:rsidP="002E484C">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033DE69E" w14:textId="546F7F2A"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8C4EC40" w14:textId="25BC99A9" w:rsidR="002E484C" w:rsidRDefault="002E484C" w:rsidP="002E484C">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35A83D94" w14:textId="262CFAAC" w:rsidR="002E484C" w:rsidRDefault="002E484C" w:rsidP="002E484C">
            <w:pPr>
              <w:jc w:val="right"/>
              <w:rPr>
                <w:color w:val="000000"/>
                <w:sz w:val="20"/>
                <w:szCs w:val="20"/>
              </w:rPr>
            </w:pPr>
            <w:r>
              <w:rPr>
                <w:color w:val="000000"/>
                <w:sz w:val="20"/>
                <w:szCs w:val="20"/>
              </w:rPr>
              <w:t>0.802</w:t>
            </w:r>
          </w:p>
        </w:tc>
        <w:tc>
          <w:tcPr>
            <w:tcW w:w="768" w:type="dxa"/>
            <w:tcBorders>
              <w:top w:val="nil"/>
              <w:left w:val="nil"/>
              <w:bottom w:val="nil"/>
              <w:right w:val="nil"/>
            </w:tcBorders>
            <w:shd w:val="clear" w:color="auto" w:fill="auto"/>
            <w:noWrap/>
            <w:vAlign w:val="bottom"/>
            <w:hideMark/>
          </w:tcPr>
          <w:p w14:paraId="124F1795" w14:textId="63993BCD" w:rsidR="002E484C" w:rsidRDefault="002E484C" w:rsidP="002E484C">
            <w:pPr>
              <w:jc w:val="right"/>
              <w:rPr>
                <w:color w:val="000000"/>
                <w:sz w:val="20"/>
                <w:szCs w:val="20"/>
              </w:rPr>
            </w:pPr>
            <w:r>
              <w:rPr>
                <w:color w:val="000000"/>
                <w:sz w:val="20"/>
                <w:szCs w:val="20"/>
              </w:rPr>
              <w:t>0.000</w:t>
            </w:r>
          </w:p>
        </w:tc>
      </w:tr>
      <w:tr w:rsidR="002E484C" w14:paraId="38C2846C" w14:textId="77777777" w:rsidTr="00966A65">
        <w:trPr>
          <w:trHeight w:val="320"/>
        </w:trPr>
        <w:tc>
          <w:tcPr>
            <w:tcW w:w="1176" w:type="dxa"/>
            <w:tcBorders>
              <w:top w:val="nil"/>
              <w:left w:val="nil"/>
              <w:bottom w:val="single" w:sz="4" w:space="0" w:color="auto"/>
              <w:right w:val="nil"/>
            </w:tcBorders>
            <w:shd w:val="clear" w:color="auto" w:fill="auto"/>
            <w:noWrap/>
            <w:vAlign w:val="bottom"/>
            <w:hideMark/>
          </w:tcPr>
          <w:p w14:paraId="17AAFE18" w14:textId="77777777" w:rsidR="002E484C" w:rsidRDefault="002E484C" w:rsidP="002E484C">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5E2A2FB" w14:textId="77777777" w:rsidR="002E484C" w:rsidRDefault="002E484C" w:rsidP="002E484C">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2933CDE" w14:textId="4F4E13FF" w:rsidR="002E484C" w:rsidRDefault="002E484C" w:rsidP="002E484C">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5592E7A4" w14:textId="2496C98F" w:rsidR="002E484C" w:rsidRDefault="002E484C" w:rsidP="002E484C">
            <w:pPr>
              <w:jc w:val="right"/>
              <w:rPr>
                <w:color w:val="000000"/>
                <w:sz w:val="20"/>
                <w:szCs w:val="20"/>
              </w:rPr>
            </w:pPr>
            <w:r>
              <w:rPr>
                <w:color w:val="000000"/>
                <w:sz w:val="20"/>
                <w:szCs w:val="20"/>
              </w:rPr>
              <w:t>0.872</w:t>
            </w:r>
          </w:p>
        </w:tc>
        <w:tc>
          <w:tcPr>
            <w:tcW w:w="768" w:type="dxa"/>
            <w:tcBorders>
              <w:top w:val="nil"/>
              <w:left w:val="nil"/>
              <w:bottom w:val="single" w:sz="4" w:space="0" w:color="auto"/>
              <w:right w:val="nil"/>
            </w:tcBorders>
            <w:shd w:val="clear" w:color="auto" w:fill="auto"/>
            <w:noWrap/>
            <w:vAlign w:val="bottom"/>
            <w:hideMark/>
          </w:tcPr>
          <w:p w14:paraId="7FCD53FE" w14:textId="0B969C40"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31C3A2D" w14:textId="6D6E08FA" w:rsidR="002E484C" w:rsidRDefault="002E484C" w:rsidP="002E484C">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6CF09069" w14:textId="15B30509" w:rsidR="002E484C" w:rsidRDefault="002E484C" w:rsidP="002E484C">
            <w:pPr>
              <w:jc w:val="right"/>
              <w:rPr>
                <w:color w:val="000000"/>
                <w:sz w:val="20"/>
                <w:szCs w:val="20"/>
              </w:rPr>
            </w:pPr>
            <w:r>
              <w:rPr>
                <w:color w:val="000000"/>
                <w:sz w:val="20"/>
                <w:szCs w:val="20"/>
              </w:rPr>
              <w:t>0.689</w:t>
            </w:r>
          </w:p>
        </w:tc>
        <w:tc>
          <w:tcPr>
            <w:tcW w:w="768" w:type="dxa"/>
            <w:tcBorders>
              <w:top w:val="nil"/>
              <w:left w:val="nil"/>
              <w:bottom w:val="single" w:sz="4" w:space="0" w:color="auto"/>
              <w:right w:val="nil"/>
            </w:tcBorders>
            <w:shd w:val="clear" w:color="auto" w:fill="auto"/>
            <w:noWrap/>
            <w:vAlign w:val="bottom"/>
            <w:hideMark/>
          </w:tcPr>
          <w:p w14:paraId="63E0F199" w14:textId="75CFC899"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7A16940" w14:textId="683E13B4" w:rsidR="002E484C" w:rsidRDefault="002E484C" w:rsidP="002E484C">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164FA0F5" w14:textId="3D04CB33" w:rsidR="002E484C" w:rsidRDefault="002E484C" w:rsidP="002E484C">
            <w:pPr>
              <w:jc w:val="right"/>
              <w:rPr>
                <w:color w:val="000000"/>
                <w:sz w:val="20"/>
                <w:szCs w:val="20"/>
              </w:rPr>
            </w:pPr>
            <w:r>
              <w:rPr>
                <w:color w:val="000000"/>
                <w:sz w:val="20"/>
                <w:szCs w:val="20"/>
              </w:rPr>
              <w:t>0.527</w:t>
            </w:r>
          </w:p>
        </w:tc>
        <w:tc>
          <w:tcPr>
            <w:tcW w:w="768" w:type="dxa"/>
            <w:tcBorders>
              <w:top w:val="nil"/>
              <w:left w:val="nil"/>
              <w:bottom w:val="single" w:sz="4" w:space="0" w:color="auto"/>
              <w:right w:val="nil"/>
            </w:tcBorders>
            <w:shd w:val="clear" w:color="auto" w:fill="auto"/>
            <w:noWrap/>
            <w:vAlign w:val="bottom"/>
            <w:hideMark/>
          </w:tcPr>
          <w:p w14:paraId="07DE8F47" w14:textId="62987FB1"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02B5A15" w14:textId="1318B6FE" w:rsidR="002E484C" w:rsidRDefault="002E484C" w:rsidP="002E484C">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1A2B8F74" w14:textId="0CCA0EFE" w:rsidR="002E484C" w:rsidRDefault="002E484C" w:rsidP="002E484C">
            <w:pPr>
              <w:jc w:val="right"/>
              <w:rPr>
                <w:color w:val="000000"/>
                <w:sz w:val="20"/>
                <w:szCs w:val="20"/>
              </w:rPr>
            </w:pPr>
            <w:r>
              <w:rPr>
                <w:color w:val="000000"/>
                <w:sz w:val="20"/>
                <w:szCs w:val="20"/>
              </w:rPr>
              <w:t>0.651</w:t>
            </w:r>
          </w:p>
        </w:tc>
        <w:tc>
          <w:tcPr>
            <w:tcW w:w="768" w:type="dxa"/>
            <w:tcBorders>
              <w:top w:val="nil"/>
              <w:left w:val="nil"/>
              <w:bottom w:val="single" w:sz="4" w:space="0" w:color="auto"/>
              <w:right w:val="nil"/>
            </w:tcBorders>
            <w:shd w:val="clear" w:color="auto" w:fill="auto"/>
            <w:noWrap/>
            <w:vAlign w:val="bottom"/>
            <w:hideMark/>
          </w:tcPr>
          <w:p w14:paraId="142B14FC" w14:textId="3144CCDE"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3D0C019" w14:textId="7FACEDD2" w:rsidR="002E484C" w:rsidRDefault="002E484C" w:rsidP="002E484C">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0A666618" w14:textId="522F5100" w:rsidR="002E484C" w:rsidRDefault="002E484C" w:rsidP="002E484C">
            <w:pPr>
              <w:jc w:val="right"/>
              <w:rPr>
                <w:color w:val="000000"/>
                <w:sz w:val="20"/>
                <w:szCs w:val="20"/>
              </w:rPr>
            </w:pPr>
            <w:r>
              <w:rPr>
                <w:color w:val="000000"/>
                <w:sz w:val="20"/>
                <w:szCs w:val="20"/>
              </w:rPr>
              <w:t>0.802</w:t>
            </w:r>
          </w:p>
        </w:tc>
        <w:tc>
          <w:tcPr>
            <w:tcW w:w="768" w:type="dxa"/>
            <w:tcBorders>
              <w:top w:val="nil"/>
              <w:left w:val="nil"/>
              <w:bottom w:val="single" w:sz="4" w:space="0" w:color="auto"/>
              <w:right w:val="nil"/>
            </w:tcBorders>
            <w:shd w:val="clear" w:color="auto" w:fill="auto"/>
            <w:noWrap/>
            <w:vAlign w:val="bottom"/>
            <w:hideMark/>
          </w:tcPr>
          <w:p w14:paraId="156758B3" w14:textId="3D9C8549" w:rsidR="002E484C" w:rsidRDefault="002E484C" w:rsidP="002E484C">
            <w:pPr>
              <w:jc w:val="right"/>
              <w:rPr>
                <w:color w:val="000000"/>
                <w:sz w:val="20"/>
                <w:szCs w:val="20"/>
              </w:rPr>
            </w:pPr>
            <w:r>
              <w:rPr>
                <w:color w:val="000000"/>
                <w:sz w:val="20"/>
                <w:szCs w:val="20"/>
              </w:rPr>
              <w:t>0.000</w:t>
            </w:r>
          </w:p>
        </w:tc>
      </w:tr>
      <w:tr w:rsidR="002E484C" w14:paraId="3CCC9237" w14:textId="77777777" w:rsidTr="00966A65">
        <w:trPr>
          <w:trHeight w:val="320"/>
        </w:trPr>
        <w:tc>
          <w:tcPr>
            <w:tcW w:w="1176" w:type="dxa"/>
            <w:tcBorders>
              <w:top w:val="nil"/>
              <w:left w:val="nil"/>
              <w:bottom w:val="nil"/>
              <w:right w:val="nil"/>
            </w:tcBorders>
            <w:shd w:val="clear" w:color="auto" w:fill="auto"/>
            <w:noWrap/>
            <w:vAlign w:val="bottom"/>
            <w:hideMark/>
          </w:tcPr>
          <w:p w14:paraId="195F0252" w14:textId="77777777" w:rsidR="002E484C" w:rsidRDefault="002E484C" w:rsidP="002E484C">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CE8CA85" w14:textId="77777777" w:rsidR="002E484C" w:rsidRDefault="002E484C" w:rsidP="002E484C">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9AE3C24" w14:textId="21AE42AB" w:rsidR="002E484C" w:rsidRDefault="002E484C" w:rsidP="002E484C">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C45F33D" w14:textId="01381DE0" w:rsidR="002E484C" w:rsidRDefault="002E484C" w:rsidP="002E484C">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529153E9" w14:textId="5EF930F4"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4CE916" w14:textId="2D1344C7" w:rsidR="002E484C" w:rsidRDefault="002E484C" w:rsidP="002E484C">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1D96C9DC" w14:textId="26C27D4B" w:rsidR="002E484C" w:rsidRDefault="002E484C" w:rsidP="002E484C">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3CCAC0BC" w14:textId="4E2EFE0D"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50AE89" w14:textId="39FEFB6C" w:rsidR="002E484C" w:rsidRDefault="002E484C" w:rsidP="002E484C">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7448720" w14:textId="50EFC886" w:rsidR="002E484C" w:rsidRDefault="002E484C" w:rsidP="002E484C">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5B00A9CB" w14:textId="23EFC2A5"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7EC26A" w14:textId="0247CCE7" w:rsidR="002E484C" w:rsidRDefault="002E484C" w:rsidP="002E484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0F52509" w14:textId="00F19182" w:rsidR="002E484C" w:rsidRDefault="002E484C" w:rsidP="002E484C">
            <w:pPr>
              <w:jc w:val="right"/>
              <w:rPr>
                <w:color w:val="000000"/>
                <w:sz w:val="20"/>
                <w:szCs w:val="20"/>
              </w:rPr>
            </w:pPr>
            <w:r>
              <w:rPr>
                <w:color w:val="000000"/>
                <w:sz w:val="20"/>
                <w:szCs w:val="20"/>
              </w:rPr>
              <w:t>0.889</w:t>
            </w:r>
          </w:p>
        </w:tc>
        <w:tc>
          <w:tcPr>
            <w:tcW w:w="768" w:type="dxa"/>
            <w:tcBorders>
              <w:top w:val="nil"/>
              <w:left w:val="nil"/>
              <w:bottom w:val="nil"/>
              <w:right w:val="nil"/>
            </w:tcBorders>
            <w:shd w:val="clear" w:color="auto" w:fill="auto"/>
            <w:noWrap/>
            <w:vAlign w:val="bottom"/>
            <w:hideMark/>
          </w:tcPr>
          <w:p w14:paraId="079AC3E2" w14:textId="0189B863"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596115" w14:textId="33CD04F8" w:rsidR="002E484C" w:rsidRDefault="002E484C" w:rsidP="002E484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AEE545F" w14:textId="68B91B99" w:rsidR="002E484C" w:rsidRDefault="002E484C" w:rsidP="002E484C">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44279003" w14:textId="526C2B0C" w:rsidR="002E484C" w:rsidRDefault="002E484C" w:rsidP="002E484C">
            <w:pPr>
              <w:jc w:val="right"/>
              <w:rPr>
                <w:color w:val="000000"/>
                <w:sz w:val="20"/>
                <w:szCs w:val="20"/>
              </w:rPr>
            </w:pPr>
            <w:r>
              <w:rPr>
                <w:color w:val="000000"/>
                <w:sz w:val="20"/>
                <w:szCs w:val="20"/>
              </w:rPr>
              <w:t>0.000</w:t>
            </w:r>
          </w:p>
        </w:tc>
      </w:tr>
      <w:tr w:rsidR="002E484C" w14:paraId="58AE1130" w14:textId="77777777" w:rsidTr="00966A65">
        <w:trPr>
          <w:trHeight w:val="320"/>
        </w:trPr>
        <w:tc>
          <w:tcPr>
            <w:tcW w:w="1176" w:type="dxa"/>
            <w:tcBorders>
              <w:top w:val="nil"/>
              <w:left w:val="nil"/>
              <w:bottom w:val="nil"/>
              <w:right w:val="nil"/>
            </w:tcBorders>
            <w:shd w:val="clear" w:color="auto" w:fill="auto"/>
            <w:noWrap/>
            <w:vAlign w:val="bottom"/>
            <w:hideMark/>
          </w:tcPr>
          <w:p w14:paraId="0F121AA1"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945360" w14:textId="77777777" w:rsidR="002E484C" w:rsidRDefault="002E484C" w:rsidP="002E484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94F6F42" w14:textId="43362D05" w:rsidR="002E484C" w:rsidRDefault="002E484C" w:rsidP="002E484C">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76BE13C" w14:textId="4A895479" w:rsidR="002E484C" w:rsidRDefault="002E484C" w:rsidP="002E484C">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10ACA5B9" w14:textId="2229B66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5E6566" w14:textId="377B320D" w:rsidR="002E484C" w:rsidRDefault="002E484C" w:rsidP="002E484C">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264E6ED" w14:textId="71F0752F" w:rsidR="002E484C" w:rsidRDefault="002E484C" w:rsidP="002E484C">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13FBE904" w14:textId="2E03E17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2270CE7" w14:textId="42B035C3" w:rsidR="002E484C" w:rsidRDefault="002E484C" w:rsidP="002E484C">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F26DA93" w14:textId="34CD0072" w:rsidR="002E484C" w:rsidRDefault="002E484C" w:rsidP="002E484C">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409C1F61" w14:textId="34CCDDA1"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06CAE52" w14:textId="0C58F72C" w:rsidR="002E484C" w:rsidRDefault="002E484C" w:rsidP="002E484C">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46850B7" w14:textId="795A98CF" w:rsidR="002E484C" w:rsidRDefault="002E484C" w:rsidP="002E484C">
            <w:pPr>
              <w:jc w:val="right"/>
              <w:rPr>
                <w:color w:val="000000"/>
                <w:sz w:val="20"/>
                <w:szCs w:val="20"/>
              </w:rPr>
            </w:pPr>
            <w:r>
              <w:rPr>
                <w:color w:val="000000"/>
                <w:sz w:val="20"/>
                <w:szCs w:val="20"/>
              </w:rPr>
              <w:t>0.713</w:t>
            </w:r>
          </w:p>
        </w:tc>
        <w:tc>
          <w:tcPr>
            <w:tcW w:w="768" w:type="dxa"/>
            <w:tcBorders>
              <w:top w:val="nil"/>
              <w:left w:val="nil"/>
              <w:bottom w:val="nil"/>
              <w:right w:val="nil"/>
            </w:tcBorders>
            <w:shd w:val="clear" w:color="auto" w:fill="auto"/>
            <w:noWrap/>
            <w:vAlign w:val="bottom"/>
            <w:hideMark/>
          </w:tcPr>
          <w:p w14:paraId="50ED368D" w14:textId="14DB2E0C"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52904C" w14:textId="1B99EA6C" w:rsidR="002E484C" w:rsidRDefault="002E484C" w:rsidP="002E484C">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75767B9D" w14:textId="2414718A" w:rsidR="002E484C" w:rsidRDefault="002E484C" w:rsidP="002E484C">
            <w:pPr>
              <w:jc w:val="right"/>
              <w:rPr>
                <w:color w:val="000000"/>
                <w:sz w:val="20"/>
                <w:szCs w:val="20"/>
              </w:rPr>
            </w:pPr>
            <w:r>
              <w:rPr>
                <w:color w:val="000000"/>
                <w:sz w:val="20"/>
                <w:szCs w:val="20"/>
              </w:rPr>
              <w:t>0.234</w:t>
            </w:r>
          </w:p>
        </w:tc>
        <w:tc>
          <w:tcPr>
            <w:tcW w:w="768" w:type="dxa"/>
            <w:tcBorders>
              <w:top w:val="nil"/>
              <w:left w:val="nil"/>
              <w:bottom w:val="nil"/>
              <w:right w:val="nil"/>
            </w:tcBorders>
            <w:shd w:val="clear" w:color="auto" w:fill="auto"/>
            <w:noWrap/>
            <w:vAlign w:val="bottom"/>
            <w:hideMark/>
          </w:tcPr>
          <w:p w14:paraId="5D71253A" w14:textId="26325C30" w:rsidR="002E484C" w:rsidRDefault="002E484C" w:rsidP="002E484C">
            <w:pPr>
              <w:jc w:val="right"/>
              <w:rPr>
                <w:color w:val="000000"/>
                <w:sz w:val="20"/>
                <w:szCs w:val="20"/>
              </w:rPr>
            </w:pPr>
            <w:r>
              <w:rPr>
                <w:color w:val="000000"/>
                <w:sz w:val="20"/>
                <w:szCs w:val="20"/>
              </w:rPr>
              <w:t>0.004</w:t>
            </w:r>
          </w:p>
        </w:tc>
      </w:tr>
      <w:tr w:rsidR="002E484C" w14:paraId="629A3681" w14:textId="77777777" w:rsidTr="00966A65">
        <w:trPr>
          <w:trHeight w:val="320"/>
        </w:trPr>
        <w:tc>
          <w:tcPr>
            <w:tcW w:w="1176" w:type="dxa"/>
            <w:tcBorders>
              <w:top w:val="nil"/>
              <w:left w:val="nil"/>
              <w:bottom w:val="nil"/>
              <w:right w:val="nil"/>
            </w:tcBorders>
            <w:shd w:val="clear" w:color="auto" w:fill="auto"/>
            <w:noWrap/>
            <w:vAlign w:val="bottom"/>
            <w:hideMark/>
          </w:tcPr>
          <w:p w14:paraId="28D64697"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F5ED4C4" w14:textId="77777777" w:rsidR="002E484C" w:rsidRDefault="002E484C" w:rsidP="002E484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41528BD" w14:textId="39D6B7B5" w:rsidR="002E484C" w:rsidRDefault="002E484C" w:rsidP="002E484C">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AC8A3B8" w14:textId="5F5B3C5F" w:rsidR="002E484C" w:rsidRDefault="002E484C" w:rsidP="002E484C">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6E3D8123" w14:textId="7A5F431E"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901DDD" w14:textId="6FD331D4" w:rsidR="002E484C" w:rsidRDefault="002E484C" w:rsidP="002E484C">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BD694C1" w14:textId="63004945" w:rsidR="002E484C" w:rsidRDefault="002E484C" w:rsidP="002E484C">
            <w:pPr>
              <w:jc w:val="right"/>
              <w:rPr>
                <w:color w:val="000000"/>
                <w:sz w:val="20"/>
                <w:szCs w:val="20"/>
              </w:rPr>
            </w:pPr>
            <w:r>
              <w:rPr>
                <w:color w:val="000000"/>
                <w:sz w:val="20"/>
                <w:szCs w:val="20"/>
              </w:rPr>
              <w:t>0.770</w:t>
            </w:r>
          </w:p>
        </w:tc>
        <w:tc>
          <w:tcPr>
            <w:tcW w:w="768" w:type="dxa"/>
            <w:tcBorders>
              <w:top w:val="nil"/>
              <w:left w:val="nil"/>
              <w:bottom w:val="nil"/>
              <w:right w:val="nil"/>
            </w:tcBorders>
            <w:shd w:val="clear" w:color="auto" w:fill="auto"/>
            <w:noWrap/>
            <w:vAlign w:val="bottom"/>
            <w:hideMark/>
          </w:tcPr>
          <w:p w14:paraId="5215986A" w14:textId="4D52E603"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84EE5B" w14:textId="6BB613B1" w:rsidR="002E484C" w:rsidRDefault="002E484C" w:rsidP="002E484C">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03B8D65B" w14:textId="7F1A07EA" w:rsidR="002E484C" w:rsidRDefault="002E484C" w:rsidP="002E484C">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6504047F" w14:textId="5689995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2D791D" w14:textId="27F71016" w:rsidR="002E484C" w:rsidRDefault="002E484C" w:rsidP="002E484C">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798C4CD6" w14:textId="08FE2FF9" w:rsidR="002E484C" w:rsidRDefault="002E484C" w:rsidP="002E484C">
            <w:pPr>
              <w:jc w:val="right"/>
              <w:rPr>
                <w:color w:val="000000"/>
                <w:sz w:val="20"/>
                <w:szCs w:val="20"/>
              </w:rPr>
            </w:pPr>
            <w:r>
              <w:rPr>
                <w:color w:val="000000"/>
                <w:sz w:val="20"/>
                <w:szCs w:val="20"/>
              </w:rPr>
              <w:t>0.396</w:t>
            </w:r>
          </w:p>
        </w:tc>
        <w:tc>
          <w:tcPr>
            <w:tcW w:w="768" w:type="dxa"/>
            <w:tcBorders>
              <w:top w:val="nil"/>
              <w:left w:val="nil"/>
              <w:bottom w:val="nil"/>
              <w:right w:val="nil"/>
            </w:tcBorders>
            <w:shd w:val="clear" w:color="auto" w:fill="auto"/>
            <w:noWrap/>
            <w:vAlign w:val="bottom"/>
            <w:hideMark/>
          </w:tcPr>
          <w:p w14:paraId="166C9EE3" w14:textId="34AE827E" w:rsidR="002E484C" w:rsidRDefault="002E484C" w:rsidP="002E484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01828BB" w14:textId="5CCD154F" w:rsidR="002E484C" w:rsidRDefault="002E484C" w:rsidP="002E484C">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19DF659A" w14:textId="0FAE5690" w:rsidR="002E484C" w:rsidRDefault="002E484C" w:rsidP="002E484C">
            <w:pPr>
              <w:jc w:val="right"/>
              <w:rPr>
                <w:color w:val="000000"/>
                <w:sz w:val="20"/>
                <w:szCs w:val="20"/>
              </w:rPr>
            </w:pPr>
            <w:r>
              <w:rPr>
                <w:color w:val="000000"/>
                <w:sz w:val="20"/>
                <w:szCs w:val="20"/>
              </w:rPr>
              <w:t>0.234</w:t>
            </w:r>
          </w:p>
        </w:tc>
        <w:tc>
          <w:tcPr>
            <w:tcW w:w="768" w:type="dxa"/>
            <w:tcBorders>
              <w:top w:val="nil"/>
              <w:left w:val="nil"/>
              <w:bottom w:val="nil"/>
              <w:right w:val="nil"/>
            </w:tcBorders>
            <w:shd w:val="clear" w:color="auto" w:fill="auto"/>
            <w:noWrap/>
            <w:vAlign w:val="bottom"/>
            <w:hideMark/>
          </w:tcPr>
          <w:p w14:paraId="2A498C5B" w14:textId="3F79862C" w:rsidR="002E484C" w:rsidRDefault="002E484C" w:rsidP="002E484C">
            <w:pPr>
              <w:jc w:val="right"/>
              <w:rPr>
                <w:color w:val="000000"/>
                <w:sz w:val="20"/>
                <w:szCs w:val="20"/>
              </w:rPr>
            </w:pPr>
            <w:r>
              <w:rPr>
                <w:color w:val="000000"/>
                <w:sz w:val="20"/>
                <w:szCs w:val="20"/>
              </w:rPr>
              <w:t>0.005</w:t>
            </w:r>
          </w:p>
        </w:tc>
      </w:tr>
      <w:tr w:rsidR="002E484C" w14:paraId="0EDAA4B2" w14:textId="77777777" w:rsidTr="00966A65">
        <w:trPr>
          <w:trHeight w:val="320"/>
        </w:trPr>
        <w:tc>
          <w:tcPr>
            <w:tcW w:w="1176" w:type="dxa"/>
            <w:tcBorders>
              <w:top w:val="nil"/>
              <w:left w:val="nil"/>
              <w:bottom w:val="nil"/>
              <w:right w:val="nil"/>
            </w:tcBorders>
            <w:shd w:val="clear" w:color="auto" w:fill="auto"/>
            <w:noWrap/>
            <w:vAlign w:val="bottom"/>
            <w:hideMark/>
          </w:tcPr>
          <w:p w14:paraId="5129DC96"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E004BA5" w14:textId="77777777" w:rsidR="002E484C" w:rsidRDefault="002E484C" w:rsidP="002E484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C62DB05" w14:textId="5B74BDAB"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7794619" w14:textId="32ABA280" w:rsidR="002E484C" w:rsidRDefault="002E484C" w:rsidP="002E484C">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028333E2" w14:textId="142676D5"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6A0FE2" w14:textId="5CC59C9B" w:rsidR="002E484C" w:rsidRDefault="002E484C" w:rsidP="002E484C">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5F04671" w14:textId="7475E113" w:rsidR="002E484C" w:rsidRDefault="002E484C" w:rsidP="002E484C">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2DCB38D7" w14:textId="1D55025B"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505723" w14:textId="26F6AF31" w:rsidR="002E484C" w:rsidRDefault="002E484C" w:rsidP="002E484C">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6D2BBB0B" w14:textId="33EF2F70" w:rsidR="002E484C" w:rsidRDefault="002E484C" w:rsidP="002E484C">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41B39353" w14:textId="486CEDD8"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127BA96" w14:textId="4CE4CEE8" w:rsidR="002E484C" w:rsidRDefault="002E484C" w:rsidP="002E484C">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C2DC165" w14:textId="085A3449" w:rsidR="002E484C" w:rsidRDefault="002E484C" w:rsidP="002E484C">
            <w:pPr>
              <w:jc w:val="right"/>
              <w:rPr>
                <w:color w:val="000000"/>
                <w:sz w:val="20"/>
                <w:szCs w:val="20"/>
              </w:rPr>
            </w:pPr>
            <w:r>
              <w:rPr>
                <w:color w:val="000000"/>
                <w:sz w:val="20"/>
                <w:szCs w:val="20"/>
              </w:rPr>
              <w:t>0.713</w:t>
            </w:r>
          </w:p>
        </w:tc>
        <w:tc>
          <w:tcPr>
            <w:tcW w:w="768" w:type="dxa"/>
            <w:tcBorders>
              <w:top w:val="nil"/>
              <w:left w:val="nil"/>
              <w:bottom w:val="nil"/>
              <w:right w:val="nil"/>
            </w:tcBorders>
            <w:shd w:val="clear" w:color="auto" w:fill="auto"/>
            <w:noWrap/>
            <w:vAlign w:val="bottom"/>
            <w:hideMark/>
          </w:tcPr>
          <w:p w14:paraId="5260FC4F" w14:textId="68715BF6"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DBC3A83" w14:textId="79477E4B" w:rsidR="002E484C" w:rsidRDefault="002E484C" w:rsidP="002E484C">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691DAF4B" w14:textId="0D6D382F" w:rsidR="002E484C" w:rsidRDefault="002E484C" w:rsidP="002E484C">
            <w:pPr>
              <w:jc w:val="right"/>
              <w:rPr>
                <w:color w:val="000000"/>
                <w:sz w:val="20"/>
                <w:szCs w:val="20"/>
              </w:rPr>
            </w:pPr>
            <w:r>
              <w:rPr>
                <w:color w:val="000000"/>
                <w:sz w:val="20"/>
                <w:szCs w:val="20"/>
              </w:rPr>
              <w:t>0.234</w:t>
            </w:r>
          </w:p>
        </w:tc>
        <w:tc>
          <w:tcPr>
            <w:tcW w:w="768" w:type="dxa"/>
            <w:tcBorders>
              <w:top w:val="nil"/>
              <w:left w:val="nil"/>
              <w:bottom w:val="nil"/>
              <w:right w:val="nil"/>
            </w:tcBorders>
            <w:shd w:val="clear" w:color="auto" w:fill="auto"/>
            <w:noWrap/>
            <w:vAlign w:val="bottom"/>
            <w:hideMark/>
          </w:tcPr>
          <w:p w14:paraId="32DACC41" w14:textId="5777EFEA" w:rsidR="002E484C" w:rsidRDefault="002E484C" w:rsidP="002E484C">
            <w:pPr>
              <w:jc w:val="right"/>
              <w:rPr>
                <w:color w:val="000000"/>
                <w:sz w:val="20"/>
                <w:szCs w:val="20"/>
              </w:rPr>
            </w:pPr>
            <w:r>
              <w:rPr>
                <w:color w:val="000000"/>
                <w:sz w:val="20"/>
                <w:szCs w:val="20"/>
              </w:rPr>
              <w:t>0.005</w:t>
            </w:r>
          </w:p>
        </w:tc>
      </w:tr>
      <w:tr w:rsidR="002E484C" w14:paraId="3BB590FB" w14:textId="77777777" w:rsidTr="00966A65">
        <w:trPr>
          <w:trHeight w:val="320"/>
        </w:trPr>
        <w:tc>
          <w:tcPr>
            <w:tcW w:w="1176" w:type="dxa"/>
            <w:tcBorders>
              <w:top w:val="nil"/>
              <w:left w:val="nil"/>
              <w:bottom w:val="nil"/>
              <w:right w:val="nil"/>
            </w:tcBorders>
            <w:shd w:val="clear" w:color="auto" w:fill="auto"/>
            <w:noWrap/>
            <w:vAlign w:val="bottom"/>
            <w:hideMark/>
          </w:tcPr>
          <w:p w14:paraId="74ECF449"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649A7E" w14:textId="77777777" w:rsidR="002E484C" w:rsidRDefault="002E484C" w:rsidP="002E484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B87A4EC" w14:textId="255BB810" w:rsidR="002E484C" w:rsidRDefault="002E484C" w:rsidP="002E484C">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DCEC0B6" w14:textId="027006B0" w:rsidR="002E484C" w:rsidRDefault="002E484C" w:rsidP="002E484C">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6FC3CAD3" w14:textId="5B69C95D"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48F025" w14:textId="480C350D" w:rsidR="002E484C" w:rsidRDefault="002E484C" w:rsidP="002E484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A31A013" w14:textId="4078AAE2" w:rsidR="002E484C" w:rsidRDefault="002E484C" w:rsidP="002E484C">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7CD6AA34" w14:textId="73D52CC1"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4C7AA9" w14:textId="5AAA3800"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B0A8347" w14:textId="7950FF2E" w:rsidR="002E484C" w:rsidRDefault="002E484C" w:rsidP="002E484C">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3D5B2B7C" w14:textId="32F1CF9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A01514" w14:textId="5D860021" w:rsidR="002E484C" w:rsidRDefault="002E484C" w:rsidP="002E484C">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315582B9" w14:textId="7109CC0B" w:rsidR="002E484C" w:rsidRDefault="002E484C" w:rsidP="002E484C">
            <w:pPr>
              <w:jc w:val="right"/>
              <w:rPr>
                <w:color w:val="000000"/>
                <w:sz w:val="20"/>
                <w:szCs w:val="20"/>
              </w:rPr>
            </w:pPr>
            <w:r>
              <w:rPr>
                <w:color w:val="000000"/>
                <w:sz w:val="20"/>
                <w:szCs w:val="20"/>
              </w:rPr>
              <w:t>0.396</w:t>
            </w:r>
          </w:p>
        </w:tc>
        <w:tc>
          <w:tcPr>
            <w:tcW w:w="768" w:type="dxa"/>
            <w:tcBorders>
              <w:top w:val="nil"/>
              <w:left w:val="nil"/>
              <w:bottom w:val="nil"/>
              <w:right w:val="nil"/>
            </w:tcBorders>
            <w:shd w:val="clear" w:color="auto" w:fill="auto"/>
            <w:noWrap/>
            <w:vAlign w:val="bottom"/>
            <w:hideMark/>
          </w:tcPr>
          <w:p w14:paraId="3884C0C2" w14:textId="47DA2401"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7E3AC3D" w14:textId="3073F762" w:rsidR="002E484C" w:rsidRDefault="002E484C" w:rsidP="002E484C">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5453913A" w14:textId="78307F02" w:rsidR="002E484C" w:rsidRDefault="002E484C" w:rsidP="002E484C">
            <w:pPr>
              <w:jc w:val="right"/>
              <w:rPr>
                <w:color w:val="000000"/>
                <w:sz w:val="20"/>
                <w:szCs w:val="20"/>
              </w:rPr>
            </w:pPr>
            <w:r>
              <w:rPr>
                <w:color w:val="000000"/>
                <w:sz w:val="20"/>
                <w:szCs w:val="20"/>
              </w:rPr>
              <w:t>0.234</w:t>
            </w:r>
          </w:p>
        </w:tc>
        <w:tc>
          <w:tcPr>
            <w:tcW w:w="768" w:type="dxa"/>
            <w:tcBorders>
              <w:top w:val="nil"/>
              <w:left w:val="nil"/>
              <w:bottom w:val="nil"/>
              <w:right w:val="nil"/>
            </w:tcBorders>
            <w:shd w:val="clear" w:color="auto" w:fill="auto"/>
            <w:noWrap/>
            <w:vAlign w:val="bottom"/>
            <w:hideMark/>
          </w:tcPr>
          <w:p w14:paraId="24F73B95" w14:textId="55D04772" w:rsidR="002E484C" w:rsidRDefault="002E484C" w:rsidP="002E484C">
            <w:pPr>
              <w:jc w:val="right"/>
              <w:rPr>
                <w:color w:val="000000"/>
                <w:sz w:val="20"/>
                <w:szCs w:val="20"/>
              </w:rPr>
            </w:pPr>
            <w:r>
              <w:rPr>
                <w:color w:val="000000"/>
                <w:sz w:val="20"/>
                <w:szCs w:val="20"/>
              </w:rPr>
              <w:t>0.004</w:t>
            </w:r>
          </w:p>
        </w:tc>
      </w:tr>
      <w:tr w:rsidR="002E484C" w14:paraId="05D9270A" w14:textId="77777777" w:rsidTr="00966A65">
        <w:trPr>
          <w:trHeight w:val="320"/>
        </w:trPr>
        <w:tc>
          <w:tcPr>
            <w:tcW w:w="1176" w:type="dxa"/>
            <w:tcBorders>
              <w:top w:val="nil"/>
              <w:left w:val="nil"/>
              <w:bottom w:val="nil"/>
              <w:right w:val="nil"/>
            </w:tcBorders>
            <w:shd w:val="clear" w:color="auto" w:fill="auto"/>
            <w:noWrap/>
            <w:vAlign w:val="bottom"/>
            <w:hideMark/>
          </w:tcPr>
          <w:p w14:paraId="3F87BC75"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55B516" w14:textId="77777777" w:rsidR="002E484C" w:rsidRDefault="002E484C" w:rsidP="002E484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410EC00" w14:textId="0890712E" w:rsidR="002E484C" w:rsidRDefault="002E484C" w:rsidP="002E484C">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283AA221" w14:textId="05C0324D" w:rsidR="002E484C" w:rsidRDefault="002E484C" w:rsidP="002E484C">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6C6A9591" w14:textId="45945860" w:rsidR="002E484C" w:rsidRDefault="002E484C" w:rsidP="002E484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FF8C3C0" w14:textId="4F65CB22"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157A8222" w14:textId="0C8CFF45" w:rsidR="002E484C" w:rsidRDefault="002E484C" w:rsidP="002E484C">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17DEFC9D" w14:textId="13A2ABC6"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8DD798" w14:textId="5ADA35BB" w:rsidR="002E484C" w:rsidRDefault="002E484C" w:rsidP="002E484C">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C94C3C7" w14:textId="02C8E6A9" w:rsidR="002E484C" w:rsidRDefault="002E484C" w:rsidP="002E484C">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32276FCD" w14:textId="3598AFA6"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F8E264" w14:textId="701B5A40" w:rsidR="002E484C" w:rsidRDefault="002E484C" w:rsidP="002E484C">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4011E4C7" w14:textId="265B9EE9" w:rsidR="002E484C" w:rsidRDefault="002E484C" w:rsidP="002E484C">
            <w:pPr>
              <w:jc w:val="right"/>
              <w:rPr>
                <w:color w:val="000000"/>
                <w:sz w:val="20"/>
                <w:szCs w:val="20"/>
              </w:rPr>
            </w:pPr>
            <w:r>
              <w:rPr>
                <w:color w:val="000000"/>
                <w:sz w:val="20"/>
                <w:szCs w:val="20"/>
              </w:rPr>
              <w:t>0.453</w:t>
            </w:r>
          </w:p>
        </w:tc>
        <w:tc>
          <w:tcPr>
            <w:tcW w:w="768" w:type="dxa"/>
            <w:tcBorders>
              <w:top w:val="nil"/>
              <w:left w:val="nil"/>
              <w:bottom w:val="nil"/>
              <w:right w:val="nil"/>
            </w:tcBorders>
            <w:shd w:val="clear" w:color="auto" w:fill="auto"/>
            <w:noWrap/>
            <w:vAlign w:val="bottom"/>
            <w:hideMark/>
          </w:tcPr>
          <w:p w14:paraId="098286F4" w14:textId="34B99925"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F7FFE41" w14:textId="3C532645"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49E59F" w14:textId="7FBF28AE" w:rsidR="002E484C" w:rsidRDefault="002E484C" w:rsidP="002E484C">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59FACEB7" w14:textId="0AA5247F" w:rsidR="002E484C" w:rsidRDefault="002E484C" w:rsidP="002E484C">
            <w:pPr>
              <w:jc w:val="right"/>
              <w:rPr>
                <w:color w:val="000000"/>
                <w:sz w:val="20"/>
                <w:szCs w:val="20"/>
              </w:rPr>
            </w:pPr>
            <w:r>
              <w:rPr>
                <w:color w:val="000000"/>
                <w:sz w:val="20"/>
                <w:szCs w:val="20"/>
              </w:rPr>
              <w:t>0.000</w:t>
            </w:r>
          </w:p>
        </w:tc>
      </w:tr>
      <w:tr w:rsidR="002E484C" w14:paraId="4573E823" w14:textId="77777777" w:rsidTr="00966A65">
        <w:trPr>
          <w:trHeight w:val="320"/>
        </w:trPr>
        <w:tc>
          <w:tcPr>
            <w:tcW w:w="1176" w:type="dxa"/>
            <w:tcBorders>
              <w:top w:val="nil"/>
              <w:left w:val="nil"/>
              <w:bottom w:val="nil"/>
              <w:right w:val="nil"/>
            </w:tcBorders>
            <w:shd w:val="clear" w:color="auto" w:fill="auto"/>
            <w:noWrap/>
            <w:vAlign w:val="bottom"/>
            <w:hideMark/>
          </w:tcPr>
          <w:p w14:paraId="76BB54F7"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BB779A0" w14:textId="77777777" w:rsidR="002E484C" w:rsidRDefault="002E484C" w:rsidP="002E484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8C1A633" w14:textId="507F16A0" w:rsidR="002E484C" w:rsidRDefault="002E484C" w:rsidP="002E484C">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5811B969" w14:textId="62ADE296" w:rsidR="002E484C" w:rsidRDefault="002E484C" w:rsidP="002E484C">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3B02C48A" w14:textId="31035F4E"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43AC256" w14:textId="718D05A8" w:rsidR="002E484C" w:rsidRDefault="002E484C" w:rsidP="002E484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D3E6624" w14:textId="1D6BCAD4" w:rsidR="002E484C" w:rsidRDefault="002E484C" w:rsidP="002E484C">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2DE12129" w14:textId="7A50691F"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C1F092" w14:textId="49968C77" w:rsidR="002E484C" w:rsidRDefault="002E484C" w:rsidP="002E484C">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B36E03E" w14:textId="66CCE008" w:rsidR="002E484C" w:rsidRDefault="002E484C" w:rsidP="002E484C">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23455DC7" w14:textId="21B43A1B"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2B5810" w14:textId="3BAC0339"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14DE1D34" w14:textId="30F0DEF8" w:rsidR="002E484C" w:rsidRDefault="002E484C" w:rsidP="002E484C">
            <w:pPr>
              <w:jc w:val="right"/>
              <w:rPr>
                <w:color w:val="000000"/>
                <w:sz w:val="20"/>
                <w:szCs w:val="20"/>
              </w:rPr>
            </w:pPr>
            <w:r>
              <w:rPr>
                <w:color w:val="000000"/>
                <w:sz w:val="20"/>
                <w:szCs w:val="20"/>
              </w:rPr>
              <w:t>0.713</w:t>
            </w:r>
          </w:p>
        </w:tc>
        <w:tc>
          <w:tcPr>
            <w:tcW w:w="768" w:type="dxa"/>
            <w:tcBorders>
              <w:top w:val="nil"/>
              <w:left w:val="nil"/>
              <w:bottom w:val="nil"/>
              <w:right w:val="nil"/>
            </w:tcBorders>
            <w:shd w:val="clear" w:color="auto" w:fill="auto"/>
            <w:noWrap/>
            <w:vAlign w:val="bottom"/>
            <w:hideMark/>
          </w:tcPr>
          <w:p w14:paraId="281320FE" w14:textId="487F2DC7"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E58698" w14:textId="30F18940"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069324A" w14:textId="3CA76EF6" w:rsidR="002E484C" w:rsidRDefault="002E484C" w:rsidP="002E484C">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5EBAF5C8" w14:textId="296CEDC6" w:rsidR="002E484C" w:rsidRDefault="002E484C" w:rsidP="002E484C">
            <w:pPr>
              <w:jc w:val="right"/>
              <w:rPr>
                <w:color w:val="000000"/>
                <w:sz w:val="20"/>
                <w:szCs w:val="20"/>
              </w:rPr>
            </w:pPr>
            <w:r>
              <w:rPr>
                <w:color w:val="000000"/>
                <w:sz w:val="20"/>
                <w:szCs w:val="20"/>
              </w:rPr>
              <w:t>0.001</w:t>
            </w:r>
          </w:p>
        </w:tc>
      </w:tr>
      <w:tr w:rsidR="002E484C" w14:paraId="349B828F" w14:textId="77777777" w:rsidTr="00966A65">
        <w:trPr>
          <w:trHeight w:val="320"/>
        </w:trPr>
        <w:tc>
          <w:tcPr>
            <w:tcW w:w="1176" w:type="dxa"/>
            <w:tcBorders>
              <w:top w:val="nil"/>
              <w:left w:val="nil"/>
              <w:bottom w:val="single" w:sz="4" w:space="0" w:color="auto"/>
              <w:right w:val="nil"/>
            </w:tcBorders>
            <w:shd w:val="clear" w:color="auto" w:fill="auto"/>
            <w:noWrap/>
            <w:vAlign w:val="bottom"/>
            <w:hideMark/>
          </w:tcPr>
          <w:p w14:paraId="0A9D5911" w14:textId="77777777" w:rsidR="002E484C" w:rsidRDefault="002E484C" w:rsidP="002E484C">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16E8631" w14:textId="77777777" w:rsidR="002E484C" w:rsidRDefault="002E484C" w:rsidP="002E484C">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81ED54D" w14:textId="0CC5C9A8"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71E9BA18" w14:textId="1C8D29FC" w:rsidR="002E484C" w:rsidRDefault="002E484C" w:rsidP="002E484C">
            <w:pPr>
              <w:jc w:val="right"/>
              <w:rPr>
                <w:color w:val="000000"/>
                <w:sz w:val="20"/>
                <w:szCs w:val="20"/>
              </w:rPr>
            </w:pPr>
            <w:r>
              <w:rPr>
                <w:color w:val="000000"/>
                <w:sz w:val="20"/>
                <w:szCs w:val="20"/>
              </w:rPr>
              <w:t>0.922</w:t>
            </w:r>
          </w:p>
        </w:tc>
        <w:tc>
          <w:tcPr>
            <w:tcW w:w="768" w:type="dxa"/>
            <w:tcBorders>
              <w:top w:val="nil"/>
              <w:left w:val="nil"/>
              <w:bottom w:val="single" w:sz="4" w:space="0" w:color="auto"/>
              <w:right w:val="nil"/>
            </w:tcBorders>
            <w:shd w:val="clear" w:color="auto" w:fill="auto"/>
            <w:noWrap/>
            <w:vAlign w:val="bottom"/>
            <w:hideMark/>
          </w:tcPr>
          <w:p w14:paraId="2E9523BB" w14:textId="35B6865E"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A887DE6" w14:textId="57D2E5B0" w:rsidR="002E484C" w:rsidRDefault="002E484C" w:rsidP="002E484C">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5152A689" w14:textId="5055C5A2" w:rsidR="002E484C" w:rsidRDefault="002E484C" w:rsidP="002E484C">
            <w:pPr>
              <w:jc w:val="right"/>
              <w:rPr>
                <w:color w:val="000000"/>
                <w:sz w:val="20"/>
                <w:szCs w:val="20"/>
              </w:rPr>
            </w:pPr>
            <w:r>
              <w:rPr>
                <w:color w:val="000000"/>
                <w:sz w:val="20"/>
                <w:szCs w:val="20"/>
              </w:rPr>
              <w:t>0.836</w:t>
            </w:r>
          </w:p>
        </w:tc>
        <w:tc>
          <w:tcPr>
            <w:tcW w:w="768" w:type="dxa"/>
            <w:tcBorders>
              <w:top w:val="nil"/>
              <w:left w:val="nil"/>
              <w:bottom w:val="single" w:sz="4" w:space="0" w:color="auto"/>
              <w:right w:val="nil"/>
            </w:tcBorders>
            <w:shd w:val="clear" w:color="auto" w:fill="auto"/>
            <w:noWrap/>
            <w:vAlign w:val="bottom"/>
            <w:hideMark/>
          </w:tcPr>
          <w:p w14:paraId="6ACBC8A2" w14:textId="5BF01C2D"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6DCDA27" w14:textId="35E249D9"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1A9C1D8" w14:textId="08A53782" w:rsidR="002E484C" w:rsidRDefault="002E484C" w:rsidP="002E484C">
            <w:pPr>
              <w:jc w:val="right"/>
              <w:rPr>
                <w:color w:val="000000"/>
                <w:sz w:val="20"/>
                <w:szCs w:val="20"/>
              </w:rPr>
            </w:pPr>
            <w:r>
              <w:rPr>
                <w:color w:val="000000"/>
                <w:sz w:val="20"/>
                <w:szCs w:val="20"/>
              </w:rPr>
              <w:t>0.987</w:t>
            </w:r>
          </w:p>
        </w:tc>
        <w:tc>
          <w:tcPr>
            <w:tcW w:w="768" w:type="dxa"/>
            <w:tcBorders>
              <w:top w:val="nil"/>
              <w:left w:val="nil"/>
              <w:bottom w:val="single" w:sz="4" w:space="0" w:color="auto"/>
              <w:right w:val="nil"/>
            </w:tcBorders>
            <w:shd w:val="clear" w:color="auto" w:fill="auto"/>
            <w:noWrap/>
            <w:vAlign w:val="bottom"/>
            <w:hideMark/>
          </w:tcPr>
          <w:p w14:paraId="687E2D5E" w14:textId="0BE54EB3"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B9F6E4D" w14:textId="2B92806E" w:rsidR="002E484C" w:rsidRDefault="002E484C" w:rsidP="002E484C">
            <w:pPr>
              <w:jc w:val="right"/>
              <w:rPr>
                <w:color w:val="000000"/>
                <w:sz w:val="20"/>
                <w:szCs w:val="20"/>
              </w:rPr>
            </w:pPr>
            <w:r>
              <w:rPr>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3E576EA4" w14:textId="2DB2EE40" w:rsidR="002E484C" w:rsidRDefault="002E484C" w:rsidP="002E484C">
            <w:pPr>
              <w:jc w:val="right"/>
              <w:rPr>
                <w:color w:val="000000"/>
                <w:sz w:val="20"/>
                <w:szCs w:val="20"/>
              </w:rPr>
            </w:pPr>
            <w:r>
              <w:rPr>
                <w:color w:val="000000"/>
                <w:sz w:val="20"/>
                <w:szCs w:val="20"/>
              </w:rPr>
              <w:t>0.713</w:t>
            </w:r>
          </w:p>
        </w:tc>
        <w:tc>
          <w:tcPr>
            <w:tcW w:w="768" w:type="dxa"/>
            <w:tcBorders>
              <w:top w:val="nil"/>
              <w:left w:val="nil"/>
              <w:bottom w:val="single" w:sz="4" w:space="0" w:color="auto"/>
              <w:right w:val="nil"/>
            </w:tcBorders>
            <w:shd w:val="clear" w:color="auto" w:fill="auto"/>
            <w:noWrap/>
            <w:vAlign w:val="bottom"/>
            <w:hideMark/>
          </w:tcPr>
          <w:p w14:paraId="3B3C6E48" w14:textId="51B20BBD"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85F9ECB" w14:textId="60952A09" w:rsidR="002E484C" w:rsidRDefault="002E484C" w:rsidP="002E484C">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275B9509" w14:textId="55FCC411" w:rsidR="002E484C" w:rsidRDefault="002E484C" w:rsidP="002E484C">
            <w:pPr>
              <w:jc w:val="right"/>
              <w:rPr>
                <w:color w:val="000000"/>
                <w:sz w:val="20"/>
                <w:szCs w:val="20"/>
              </w:rPr>
            </w:pPr>
            <w:r>
              <w:rPr>
                <w:color w:val="000000"/>
                <w:sz w:val="20"/>
                <w:szCs w:val="20"/>
              </w:rPr>
              <w:t>0.701</w:t>
            </w:r>
          </w:p>
        </w:tc>
        <w:tc>
          <w:tcPr>
            <w:tcW w:w="768" w:type="dxa"/>
            <w:tcBorders>
              <w:top w:val="nil"/>
              <w:left w:val="nil"/>
              <w:bottom w:val="single" w:sz="4" w:space="0" w:color="auto"/>
              <w:right w:val="nil"/>
            </w:tcBorders>
            <w:shd w:val="clear" w:color="auto" w:fill="auto"/>
            <w:noWrap/>
            <w:vAlign w:val="bottom"/>
            <w:hideMark/>
          </w:tcPr>
          <w:p w14:paraId="7F713216" w14:textId="16ED465E" w:rsidR="002E484C" w:rsidRDefault="002E484C" w:rsidP="002E484C">
            <w:pPr>
              <w:jc w:val="right"/>
              <w:rPr>
                <w:color w:val="000000"/>
                <w:sz w:val="20"/>
                <w:szCs w:val="20"/>
              </w:rPr>
            </w:pPr>
            <w:r>
              <w:rPr>
                <w:color w:val="000000"/>
                <w:sz w:val="20"/>
                <w:szCs w:val="20"/>
              </w:rPr>
              <w:t>0.001</w:t>
            </w:r>
          </w:p>
        </w:tc>
      </w:tr>
      <w:tr w:rsidR="002E484C" w14:paraId="11CA86AD" w14:textId="77777777" w:rsidTr="00966A65">
        <w:trPr>
          <w:trHeight w:val="320"/>
        </w:trPr>
        <w:tc>
          <w:tcPr>
            <w:tcW w:w="1176" w:type="dxa"/>
            <w:tcBorders>
              <w:top w:val="nil"/>
              <w:left w:val="nil"/>
              <w:bottom w:val="nil"/>
              <w:right w:val="nil"/>
            </w:tcBorders>
            <w:shd w:val="clear" w:color="auto" w:fill="auto"/>
            <w:noWrap/>
            <w:vAlign w:val="bottom"/>
            <w:hideMark/>
          </w:tcPr>
          <w:p w14:paraId="4CEC787F" w14:textId="77777777" w:rsidR="002E484C" w:rsidRDefault="002E484C" w:rsidP="002E484C">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26D78418" w14:textId="77777777" w:rsidR="002E484C" w:rsidRDefault="002E484C" w:rsidP="002E484C">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4F34C09" w14:textId="5528815D" w:rsidR="002E484C" w:rsidRDefault="002E484C" w:rsidP="002E484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4B8BB66" w14:textId="737D7A3D" w:rsidR="002E484C" w:rsidRDefault="002E484C" w:rsidP="002E484C">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6DFA38DB" w14:textId="10CCEE47"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640CB1" w14:textId="7A7CE630" w:rsidR="002E484C" w:rsidRDefault="002E484C" w:rsidP="002E484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047A1C4" w14:textId="6D3DE149" w:rsidR="002E484C" w:rsidRDefault="002E484C" w:rsidP="002E484C">
            <w:pPr>
              <w:jc w:val="right"/>
              <w:rPr>
                <w:color w:val="000000"/>
                <w:sz w:val="20"/>
                <w:szCs w:val="20"/>
              </w:rPr>
            </w:pPr>
            <w:r>
              <w:rPr>
                <w:color w:val="000000"/>
                <w:sz w:val="20"/>
                <w:szCs w:val="20"/>
              </w:rPr>
              <w:t>0.731</w:t>
            </w:r>
          </w:p>
        </w:tc>
        <w:tc>
          <w:tcPr>
            <w:tcW w:w="768" w:type="dxa"/>
            <w:tcBorders>
              <w:top w:val="nil"/>
              <w:left w:val="nil"/>
              <w:bottom w:val="nil"/>
              <w:right w:val="nil"/>
            </w:tcBorders>
            <w:shd w:val="clear" w:color="auto" w:fill="auto"/>
            <w:noWrap/>
            <w:vAlign w:val="bottom"/>
            <w:hideMark/>
          </w:tcPr>
          <w:p w14:paraId="7715B045" w14:textId="50FA28E3"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183FA1" w14:textId="0BD69215" w:rsidR="002E484C" w:rsidRDefault="002E484C" w:rsidP="002E484C">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3B4DC101" w14:textId="6B9C27E1" w:rsidR="002E484C" w:rsidRDefault="002E484C" w:rsidP="002E484C">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30F22213" w14:textId="448EC4CA"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411FD28" w14:textId="54C13EED"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129C198" w14:textId="214FA887" w:rsidR="002E484C" w:rsidRDefault="002E484C" w:rsidP="002E484C">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49F4CACC" w14:textId="290F31B4"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14C123" w14:textId="63BAB775" w:rsidR="002E484C" w:rsidRDefault="002E484C" w:rsidP="002E484C">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A422B10" w14:textId="2CA2AE3F" w:rsidR="002E484C" w:rsidRDefault="002E484C" w:rsidP="002E484C">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077AEC5E" w14:textId="38689D03" w:rsidR="002E484C" w:rsidRDefault="002E484C" w:rsidP="002E484C">
            <w:pPr>
              <w:jc w:val="right"/>
              <w:rPr>
                <w:color w:val="000000"/>
                <w:sz w:val="20"/>
                <w:szCs w:val="20"/>
              </w:rPr>
            </w:pPr>
            <w:r>
              <w:rPr>
                <w:color w:val="000000"/>
                <w:sz w:val="20"/>
                <w:szCs w:val="20"/>
              </w:rPr>
              <w:t>0.000</w:t>
            </w:r>
          </w:p>
        </w:tc>
      </w:tr>
      <w:tr w:rsidR="002E484C" w14:paraId="50D2D300" w14:textId="77777777" w:rsidTr="00966A65">
        <w:trPr>
          <w:trHeight w:val="320"/>
        </w:trPr>
        <w:tc>
          <w:tcPr>
            <w:tcW w:w="1176" w:type="dxa"/>
            <w:tcBorders>
              <w:top w:val="nil"/>
              <w:left w:val="nil"/>
              <w:bottom w:val="nil"/>
              <w:right w:val="nil"/>
            </w:tcBorders>
            <w:shd w:val="clear" w:color="auto" w:fill="auto"/>
            <w:noWrap/>
            <w:vAlign w:val="bottom"/>
            <w:hideMark/>
          </w:tcPr>
          <w:p w14:paraId="219D5AFD"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CB861F8" w14:textId="77777777" w:rsidR="002E484C" w:rsidRDefault="002E484C" w:rsidP="002E484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8933A91" w14:textId="10006CA8" w:rsidR="002E484C" w:rsidRDefault="002E484C" w:rsidP="002E484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33A8D7E" w14:textId="0A8140EC" w:rsidR="002E484C" w:rsidRDefault="002E484C" w:rsidP="002E484C">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7852D2D1" w14:textId="07C6ED92"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6E970A" w14:textId="65AE9D28" w:rsidR="002E484C" w:rsidRDefault="002E484C" w:rsidP="002E484C">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59A50F75" w14:textId="20EBC0D7" w:rsidR="002E484C" w:rsidRDefault="002E484C" w:rsidP="002E484C">
            <w:pPr>
              <w:jc w:val="right"/>
              <w:rPr>
                <w:color w:val="000000"/>
                <w:sz w:val="20"/>
                <w:szCs w:val="20"/>
              </w:rPr>
            </w:pPr>
            <w:r>
              <w:rPr>
                <w:color w:val="000000"/>
                <w:sz w:val="20"/>
                <w:szCs w:val="20"/>
              </w:rPr>
              <w:t>0.684</w:t>
            </w:r>
          </w:p>
        </w:tc>
        <w:tc>
          <w:tcPr>
            <w:tcW w:w="768" w:type="dxa"/>
            <w:tcBorders>
              <w:top w:val="nil"/>
              <w:left w:val="nil"/>
              <w:bottom w:val="nil"/>
              <w:right w:val="nil"/>
            </w:tcBorders>
            <w:shd w:val="clear" w:color="auto" w:fill="auto"/>
            <w:noWrap/>
            <w:vAlign w:val="bottom"/>
            <w:hideMark/>
          </w:tcPr>
          <w:p w14:paraId="2C4ED784" w14:textId="4D7AAA6B"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7AEBEE3" w14:textId="7970E6DF" w:rsidR="002E484C" w:rsidRDefault="002E484C" w:rsidP="002E484C">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35DE05CC" w14:textId="2BBC8AF0" w:rsidR="002E484C" w:rsidRDefault="002E484C" w:rsidP="002E484C">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21913C34" w14:textId="35DD51B4"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BF493E" w14:textId="00206CBB" w:rsidR="002E484C" w:rsidRDefault="002E484C" w:rsidP="002E484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469ABC2" w14:textId="2188CF14" w:rsidR="002E484C" w:rsidRDefault="002E484C" w:rsidP="002E484C">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74EF2251" w14:textId="0DD9556B"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046C66" w14:textId="77F0E454" w:rsidR="002E484C" w:rsidRDefault="002E484C" w:rsidP="002E484C">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65BF38FA" w14:textId="5D158A48" w:rsidR="002E484C" w:rsidRDefault="002E484C" w:rsidP="002E484C">
            <w:pPr>
              <w:jc w:val="right"/>
              <w:rPr>
                <w:color w:val="000000"/>
                <w:sz w:val="20"/>
                <w:szCs w:val="20"/>
              </w:rPr>
            </w:pPr>
            <w:r>
              <w:rPr>
                <w:color w:val="000000"/>
                <w:sz w:val="20"/>
                <w:szCs w:val="20"/>
              </w:rPr>
              <w:t>0.276</w:t>
            </w:r>
          </w:p>
        </w:tc>
        <w:tc>
          <w:tcPr>
            <w:tcW w:w="768" w:type="dxa"/>
            <w:tcBorders>
              <w:top w:val="nil"/>
              <w:left w:val="nil"/>
              <w:bottom w:val="nil"/>
              <w:right w:val="nil"/>
            </w:tcBorders>
            <w:shd w:val="clear" w:color="auto" w:fill="auto"/>
            <w:noWrap/>
            <w:vAlign w:val="bottom"/>
            <w:hideMark/>
          </w:tcPr>
          <w:p w14:paraId="73F9CA4D" w14:textId="6C7DE2FD" w:rsidR="002E484C" w:rsidRDefault="002E484C" w:rsidP="002E484C">
            <w:pPr>
              <w:jc w:val="right"/>
              <w:rPr>
                <w:color w:val="000000"/>
                <w:sz w:val="20"/>
                <w:szCs w:val="20"/>
              </w:rPr>
            </w:pPr>
            <w:r>
              <w:rPr>
                <w:color w:val="000000"/>
                <w:sz w:val="20"/>
                <w:szCs w:val="20"/>
              </w:rPr>
              <w:t>0.005</w:t>
            </w:r>
          </w:p>
        </w:tc>
      </w:tr>
      <w:tr w:rsidR="002E484C" w14:paraId="2EC067A4" w14:textId="77777777" w:rsidTr="00966A65">
        <w:trPr>
          <w:trHeight w:val="320"/>
        </w:trPr>
        <w:tc>
          <w:tcPr>
            <w:tcW w:w="1176" w:type="dxa"/>
            <w:tcBorders>
              <w:top w:val="nil"/>
              <w:left w:val="nil"/>
              <w:bottom w:val="nil"/>
              <w:right w:val="nil"/>
            </w:tcBorders>
            <w:shd w:val="clear" w:color="auto" w:fill="auto"/>
            <w:noWrap/>
            <w:vAlign w:val="bottom"/>
            <w:hideMark/>
          </w:tcPr>
          <w:p w14:paraId="42F5778C"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DF819D0" w14:textId="77777777" w:rsidR="002E484C" w:rsidRDefault="002E484C" w:rsidP="002E484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203263E" w14:textId="473EE6D1" w:rsidR="002E484C" w:rsidRDefault="002E484C" w:rsidP="002E484C">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DDEDEA9" w14:textId="0446B4AE" w:rsidR="002E484C" w:rsidRDefault="002E484C" w:rsidP="002E484C">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0A10AD79" w14:textId="1250A766"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DBB7A6" w14:textId="23C1A204"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4213A17" w14:textId="51D4BD42" w:rsidR="002E484C" w:rsidRDefault="002E484C" w:rsidP="002E484C">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19BE5595" w14:textId="2367A49C"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E5E4B6" w14:textId="031477E1" w:rsidR="002E484C" w:rsidRDefault="002E484C" w:rsidP="002E484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F83DAB4" w14:textId="2F7B3540" w:rsidR="002E484C" w:rsidRDefault="002E484C" w:rsidP="002E484C">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106A1B43" w14:textId="0D964828"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A49415" w14:textId="0B9E6518" w:rsidR="002E484C" w:rsidRDefault="002E484C" w:rsidP="002E484C">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31D1D30E" w14:textId="4738ED32" w:rsidR="002E484C" w:rsidRDefault="002E484C" w:rsidP="002E484C">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599A895D" w14:textId="3E036FD3"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894A75A" w14:textId="20E4599E" w:rsidR="002E484C" w:rsidRDefault="002E484C" w:rsidP="002E484C">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19E4F71F" w14:textId="2FBACBFE" w:rsidR="002E484C" w:rsidRDefault="002E484C" w:rsidP="002E484C">
            <w:pPr>
              <w:jc w:val="right"/>
              <w:rPr>
                <w:color w:val="000000"/>
                <w:sz w:val="20"/>
                <w:szCs w:val="20"/>
              </w:rPr>
            </w:pPr>
            <w:r>
              <w:rPr>
                <w:color w:val="000000"/>
                <w:sz w:val="20"/>
                <w:szCs w:val="20"/>
              </w:rPr>
              <w:t>0.395</w:t>
            </w:r>
          </w:p>
        </w:tc>
        <w:tc>
          <w:tcPr>
            <w:tcW w:w="768" w:type="dxa"/>
            <w:tcBorders>
              <w:top w:val="nil"/>
              <w:left w:val="nil"/>
              <w:bottom w:val="nil"/>
              <w:right w:val="nil"/>
            </w:tcBorders>
            <w:shd w:val="clear" w:color="auto" w:fill="auto"/>
            <w:noWrap/>
            <w:vAlign w:val="bottom"/>
            <w:hideMark/>
          </w:tcPr>
          <w:p w14:paraId="7FE9286A" w14:textId="61E00EB0" w:rsidR="002E484C" w:rsidRDefault="002E484C" w:rsidP="002E484C">
            <w:pPr>
              <w:jc w:val="right"/>
              <w:rPr>
                <w:color w:val="000000"/>
                <w:sz w:val="20"/>
                <w:szCs w:val="20"/>
              </w:rPr>
            </w:pPr>
            <w:r>
              <w:rPr>
                <w:color w:val="000000"/>
                <w:sz w:val="20"/>
                <w:szCs w:val="20"/>
              </w:rPr>
              <w:t>0.004</w:t>
            </w:r>
          </w:p>
        </w:tc>
      </w:tr>
      <w:tr w:rsidR="002E484C" w14:paraId="309A4F4A" w14:textId="77777777" w:rsidTr="00966A65">
        <w:trPr>
          <w:trHeight w:val="320"/>
        </w:trPr>
        <w:tc>
          <w:tcPr>
            <w:tcW w:w="1176" w:type="dxa"/>
            <w:tcBorders>
              <w:top w:val="nil"/>
              <w:left w:val="nil"/>
              <w:bottom w:val="nil"/>
              <w:right w:val="nil"/>
            </w:tcBorders>
            <w:shd w:val="clear" w:color="auto" w:fill="auto"/>
            <w:noWrap/>
            <w:vAlign w:val="bottom"/>
            <w:hideMark/>
          </w:tcPr>
          <w:p w14:paraId="2654BF3E"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C397E00" w14:textId="77777777" w:rsidR="002E484C" w:rsidRDefault="002E484C" w:rsidP="002E484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4A37C9F" w14:textId="035771FB" w:rsidR="002E484C" w:rsidRDefault="002E484C" w:rsidP="002E484C">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EF0C98F" w14:textId="72E8DC7A" w:rsidR="002E484C" w:rsidRDefault="002E484C" w:rsidP="002E484C">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26715F13" w14:textId="5DDCB38D"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591392" w14:textId="32FEBBA1" w:rsidR="002E484C" w:rsidRDefault="002E484C" w:rsidP="002E484C">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250C6AC" w14:textId="12C2980E" w:rsidR="002E484C" w:rsidRDefault="002E484C" w:rsidP="002E484C">
            <w:pPr>
              <w:jc w:val="right"/>
              <w:rPr>
                <w:color w:val="000000"/>
                <w:sz w:val="20"/>
                <w:szCs w:val="20"/>
              </w:rPr>
            </w:pPr>
            <w:r>
              <w:rPr>
                <w:color w:val="000000"/>
                <w:sz w:val="20"/>
                <w:szCs w:val="20"/>
              </w:rPr>
              <w:t>0.731</w:t>
            </w:r>
          </w:p>
        </w:tc>
        <w:tc>
          <w:tcPr>
            <w:tcW w:w="768" w:type="dxa"/>
            <w:tcBorders>
              <w:top w:val="nil"/>
              <w:left w:val="nil"/>
              <w:bottom w:val="nil"/>
              <w:right w:val="nil"/>
            </w:tcBorders>
            <w:shd w:val="clear" w:color="auto" w:fill="auto"/>
            <w:noWrap/>
            <w:vAlign w:val="bottom"/>
            <w:hideMark/>
          </w:tcPr>
          <w:p w14:paraId="6FE266E9" w14:textId="6EE2D8F2"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92DBDA" w14:textId="7E60541B" w:rsidR="002E484C" w:rsidRDefault="002E484C" w:rsidP="002E484C">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2C0917A2" w14:textId="7C226F75" w:rsidR="002E484C" w:rsidRDefault="002E484C" w:rsidP="002E484C">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73DC68BB" w14:textId="2F073C20"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9AAC7B1" w14:textId="129606BB" w:rsidR="002E484C" w:rsidRDefault="002E484C" w:rsidP="002E484C">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57BBB195" w14:textId="59C44B3C" w:rsidR="002E484C" w:rsidRDefault="002E484C" w:rsidP="002E484C">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56988AA0" w14:textId="0F8FADF2" w:rsidR="002E484C" w:rsidRDefault="002E484C" w:rsidP="002E484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50B12BD" w14:textId="1E0EBE64" w:rsidR="002E484C" w:rsidRDefault="002E484C" w:rsidP="002E484C">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04DAA4BF" w14:textId="4FD67CF2" w:rsidR="002E484C" w:rsidRDefault="002E484C" w:rsidP="002E484C">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52EEDCD2" w14:textId="52BB88DD" w:rsidR="002E484C" w:rsidRDefault="002E484C" w:rsidP="002E484C">
            <w:pPr>
              <w:jc w:val="right"/>
              <w:rPr>
                <w:color w:val="000000"/>
                <w:sz w:val="20"/>
                <w:szCs w:val="20"/>
              </w:rPr>
            </w:pPr>
            <w:r>
              <w:rPr>
                <w:color w:val="000000"/>
                <w:sz w:val="20"/>
                <w:szCs w:val="20"/>
              </w:rPr>
              <w:t>0.008</w:t>
            </w:r>
          </w:p>
        </w:tc>
      </w:tr>
      <w:tr w:rsidR="002E484C" w14:paraId="065AC5C6" w14:textId="77777777" w:rsidTr="00966A65">
        <w:trPr>
          <w:trHeight w:val="320"/>
        </w:trPr>
        <w:tc>
          <w:tcPr>
            <w:tcW w:w="1176" w:type="dxa"/>
            <w:tcBorders>
              <w:top w:val="nil"/>
              <w:left w:val="nil"/>
              <w:bottom w:val="nil"/>
              <w:right w:val="nil"/>
            </w:tcBorders>
            <w:shd w:val="clear" w:color="auto" w:fill="auto"/>
            <w:noWrap/>
            <w:vAlign w:val="bottom"/>
            <w:hideMark/>
          </w:tcPr>
          <w:p w14:paraId="2AE08C0C"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3696AC0" w14:textId="77777777" w:rsidR="002E484C" w:rsidRDefault="002E484C" w:rsidP="002E484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E30F8AD" w14:textId="2E73FAB6" w:rsidR="002E484C" w:rsidRDefault="002E484C" w:rsidP="002E484C">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7C0F624" w14:textId="0B1A2006" w:rsidR="002E484C" w:rsidRDefault="002E484C" w:rsidP="002E484C">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00AF8F22" w14:textId="58484D2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12CCD6" w14:textId="6CFDF84E" w:rsidR="002E484C" w:rsidRDefault="002E484C" w:rsidP="002E484C">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E492481" w14:textId="349197BB" w:rsidR="002E484C" w:rsidRDefault="002E484C" w:rsidP="002E484C">
            <w:pPr>
              <w:jc w:val="right"/>
              <w:rPr>
                <w:color w:val="000000"/>
                <w:sz w:val="20"/>
                <w:szCs w:val="20"/>
              </w:rPr>
            </w:pPr>
            <w:r>
              <w:rPr>
                <w:color w:val="000000"/>
                <w:sz w:val="20"/>
                <w:szCs w:val="20"/>
              </w:rPr>
              <w:t>0.684</w:t>
            </w:r>
          </w:p>
        </w:tc>
        <w:tc>
          <w:tcPr>
            <w:tcW w:w="768" w:type="dxa"/>
            <w:tcBorders>
              <w:top w:val="nil"/>
              <w:left w:val="nil"/>
              <w:bottom w:val="nil"/>
              <w:right w:val="nil"/>
            </w:tcBorders>
            <w:shd w:val="clear" w:color="auto" w:fill="auto"/>
            <w:noWrap/>
            <w:vAlign w:val="bottom"/>
            <w:hideMark/>
          </w:tcPr>
          <w:p w14:paraId="070A4A59" w14:textId="756C7529"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0D2F7F3" w14:textId="55CA18E6" w:rsidR="002E484C" w:rsidRDefault="002E484C" w:rsidP="002E484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87EE0EC" w14:textId="7863DD1C" w:rsidR="002E484C" w:rsidRDefault="002E484C" w:rsidP="002E484C">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268787B1" w14:textId="21F03CB2"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6D4F7E" w14:textId="183D3F39" w:rsidR="002E484C" w:rsidRDefault="002E484C" w:rsidP="002E484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48F6578" w14:textId="5E0286EB" w:rsidR="002E484C" w:rsidRDefault="002E484C" w:rsidP="002E484C">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1C349E7D" w14:textId="4969C4AB"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B0D87C" w14:textId="25E03105" w:rsidR="002E484C" w:rsidRDefault="002E484C" w:rsidP="002E484C">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006DD3EF" w14:textId="433C957F" w:rsidR="002E484C" w:rsidRDefault="002E484C" w:rsidP="002E484C">
            <w:pPr>
              <w:jc w:val="right"/>
              <w:rPr>
                <w:color w:val="000000"/>
                <w:sz w:val="20"/>
                <w:szCs w:val="20"/>
              </w:rPr>
            </w:pPr>
            <w:r>
              <w:rPr>
                <w:color w:val="000000"/>
                <w:sz w:val="20"/>
                <w:szCs w:val="20"/>
              </w:rPr>
              <w:t>0.554</w:t>
            </w:r>
          </w:p>
        </w:tc>
        <w:tc>
          <w:tcPr>
            <w:tcW w:w="768" w:type="dxa"/>
            <w:tcBorders>
              <w:top w:val="nil"/>
              <w:left w:val="nil"/>
              <w:bottom w:val="nil"/>
              <w:right w:val="nil"/>
            </w:tcBorders>
            <w:shd w:val="clear" w:color="auto" w:fill="auto"/>
            <w:noWrap/>
            <w:vAlign w:val="bottom"/>
            <w:hideMark/>
          </w:tcPr>
          <w:p w14:paraId="106824DC" w14:textId="626E2F17" w:rsidR="002E484C" w:rsidRDefault="002E484C" w:rsidP="002E484C">
            <w:pPr>
              <w:jc w:val="right"/>
              <w:rPr>
                <w:color w:val="000000"/>
                <w:sz w:val="20"/>
                <w:szCs w:val="20"/>
              </w:rPr>
            </w:pPr>
            <w:r>
              <w:rPr>
                <w:color w:val="000000"/>
                <w:sz w:val="20"/>
                <w:szCs w:val="20"/>
              </w:rPr>
              <w:t>0.002</w:t>
            </w:r>
          </w:p>
        </w:tc>
      </w:tr>
      <w:tr w:rsidR="002E484C" w14:paraId="544D2B11" w14:textId="77777777" w:rsidTr="00966A65">
        <w:trPr>
          <w:trHeight w:val="320"/>
        </w:trPr>
        <w:tc>
          <w:tcPr>
            <w:tcW w:w="1176" w:type="dxa"/>
            <w:tcBorders>
              <w:top w:val="nil"/>
              <w:left w:val="nil"/>
              <w:bottom w:val="nil"/>
              <w:right w:val="nil"/>
            </w:tcBorders>
            <w:shd w:val="clear" w:color="auto" w:fill="auto"/>
            <w:noWrap/>
            <w:vAlign w:val="bottom"/>
            <w:hideMark/>
          </w:tcPr>
          <w:p w14:paraId="6361DE3C"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C9786D1" w14:textId="77777777" w:rsidR="002E484C" w:rsidRDefault="002E484C" w:rsidP="002E484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C1BC802" w14:textId="128598E7" w:rsidR="002E484C" w:rsidRDefault="002E484C" w:rsidP="002E484C">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70D4C486" w14:textId="14A5826B" w:rsidR="002E484C" w:rsidRDefault="002E484C" w:rsidP="002E484C">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2D8433AE" w14:textId="204AE462"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3BF5C5F" w14:textId="462C080F" w:rsidR="002E484C" w:rsidRDefault="002E484C" w:rsidP="002E484C">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1F479144" w14:textId="3E6B5513" w:rsidR="002E484C" w:rsidRDefault="002E484C" w:rsidP="002E484C">
            <w:pPr>
              <w:jc w:val="right"/>
              <w:rPr>
                <w:color w:val="000000"/>
                <w:sz w:val="20"/>
                <w:szCs w:val="20"/>
              </w:rPr>
            </w:pPr>
            <w:r>
              <w:rPr>
                <w:color w:val="000000"/>
                <w:sz w:val="20"/>
                <w:szCs w:val="20"/>
              </w:rPr>
              <w:t>0.684</w:t>
            </w:r>
          </w:p>
        </w:tc>
        <w:tc>
          <w:tcPr>
            <w:tcW w:w="768" w:type="dxa"/>
            <w:tcBorders>
              <w:top w:val="nil"/>
              <w:left w:val="nil"/>
              <w:bottom w:val="nil"/>
              <w:right w:val="nil"/>
            </w:tcBorders>
            <w:shd w:val="clear" w:color="auto" w:fill="auto"/>
            <w:noWrap/>
            <w:vAlign w:val="bottom"/>
            <w:hideMark/>
          </w:tcPr>
          <w:p w14:paraId="179C8EA2" w14:textId="6E9D79B6"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C18A7C7" w14:textId="541221D0" w:rsidR="002E484C" w:rsidRDefault="002E484C" w:rsidP="002E484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08E96FB6" w14:textId="09597999" w:rsidR="002E484C" w:rsidRDefault="002E484C" w:rsidP="002E484C">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7E6F5AAD" w14:textId="6E6FE420"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F69C95" w14:textId="01218348" w:rsidR="002E484C" w:rsidRDefault="002E484C" w:rsidP="002E484C">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FE1ABCF" w14:textId="4E5EEFB9" w:rsidR="002E484C" w:rsidRDefault="002E484C" w:rsidP="002E484C">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6F89206E" w14:textId="6CA0C2CA"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AADFBF1" w14:textId="1CF0763A"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FA7409C" w14:textId="68818857" w:rsidR="002E484C" w:rsidRDefault="002E484C" w:rsidP="002E484C">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4E66AECF" w14:textId="7527857E" w:rsidR="002E484C" w:rsidRDefault="002E484C" w:rsidP="002E484C">
            <w:pPr>
              <w:jc w:val="right"/>
              <w:rPr>
                <w:color w:val="000000"/>
                <w:sz w:val="20"/>
                <w:szCs w:val="20"/>
              </w:rPr>
            </w:pPr>
            <w:r>
              <w:rPr>
                <w:color w:val="000000"/>
                <w:sz w:val="20"/>
                <w:szCs w:val="20"/>
              </w:rPr>
              <w:t>0.000</w:t>
            </w:r>
          </w:p>
        </w:tc>
      </w:tr>
      <w:tr w:rsidR="002E484C" w14:paraId="6E3E8CBA" w14:textId="77777777" w:rsidTr="00966A65">
        <w:trPr>
          <w:trHeight w:val="320"/>
        </w:trPr>
        <w:tc>
          <w:tcPr>
            <w:tcW w:w="1176" w:type="dxa"/>
            <w:tcBorders>
              <w:top w:val="nil"/>
              <w:left w:val="nil"/>
              <w:bottom w:val="nil"/>
              <w:right w:val="nil"/>
            </w:tcBorders>
            <w:shd w:val="clear" w:color="auto" w:fill="auto"/>
            <w:noWrap/>
            <w:vAlign w:val="bottom"/>
            <w:hideMark/>
          </w:tcPr>
          <w:p w14:paraId="2F7A0C49" w14:textId="77777777" w:rsidR="002E484C" w:rsidRDefault="002E484C" w:rsidP="002E484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8360F94" w14:textId="77777777" w:rsidR="002E484C" w:rsidRDefault="002E484C" w:rsidP="002E484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D009069" w14:textId="14ECB800" w:rsidR="002E484C" w:rsidRDefault="002E484C" w:rsidP="002E484C">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9B0D880" w14:textId="4EEDCBDB" w:rsidR="002E484C" w:rsidRDefault="002E484C" w:rsidP="002E484C">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006E5D80" w14:textId="41859BC0"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05B76A" w14:textId="5EDEE34C"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5A3506" w14:textId="74DC0293" w:rsidR="002E484C" w:rsidRDefault="002E484C" w:rsidP="002E484C">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0AB11285" w14:textId="5405A12A"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202054" w14:textId="083B85B7" w:rsidR="002E484C" w:rsidRDefault="002E484C" w:rsidP="002E484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9851034" w14:textId="0F2605DF" w:rsidR="002E484C" w:rsidRDefault="002E484C" w:rsidP="002E484C">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60CB84FD" w14:textId="048EE3B5"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AB9BF8A" w14:textId="50A0CB5D" w:rsidR="002E484C" w:rsidRDefault="002E484C" w:rsidP="002E484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2F604F9" w14:textId="67FF2658" w:rsidR="002E484C" w:rsidRDefault="002E484C" w:rsidP="002E484C">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73299766" w14:textId="360B7BD0"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A2272E" w14:textId="31291F67" w:rsidR="002E484C" w:rsidRDefault="002E484C" w:rsidP="002E484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0C5E4C0" w14:textId="3926C247" w:rsidR="002E484C" w:rsidRDefault="002E484C" w:rsidP="002E484C">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72E5A02B" w14:textId="2651BCA7" w:rsidR="002E484C" w:rsidRDefault="002E484C" w:rsidP="002E484C">
            <w:pPr>
              <w:jc w:val="right"/>
              <w:rPr>
                <w:color w:val="000000"/>
                <w:sz w:val="20"/>
                <w:szCs w:val="20"/>
              </w:rPr>
            </w:pPr>
            <w:r>
              <w:rPr>
                <w:color w:val="000000"/>
                <w:sz w:val="20"/>
                <w:szCs w:val="20"/>
              </w:rPr>
              <w:t>0.000</w:t>
            </w:r>
          </w:p>
        </w:tc>
      </w:tr>
      <w:tr w:rsidR="002E484C" w14:paraId="69C0A2DF"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70A9A631" w14:textId="77777777" w:rsidR="002E484C" w:rsidRDefault="002E484C" w:rsidP="002E484C">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375991EC" w14:textId="77777777" w:rsidR="002E484C" w:rsidRDefault="002E484C" w:rsidP="002E484C">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023FE8C6" w14:textId="44360149"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68D1A5D4" w14:textId="25DC11BC" w:rsidR="002E484C" w:rsidRDefault="002E484C" w:rsidP="002E484C">
            <w:pPr>
              <w:jc w:val="right"/>
              <w:rPr>
                <w:color w:val="000000"/>
                <w:sz w:val="20"/>
                <w:szCs w:val="20"/>
              </w:rPr>
            </w:pPr>
            <w:r>
              <w:rPr>
                <w:color w:val="000000"/>
                <w:sz w:val="20"/>
                <w:szCs w:val="20"/>
              </w:rPr>
              <w:t>1.000</w:t>
            </w:r>
          </w:p>
        </w:tc>
        <w:tc>
          <w:tcPr>
            <w:tcW w:w="768" w:type="dxa"/>
            <w:tcBorders>
              <w:top w:val="nil"/>
              <w:left w:val="nil"/>
              <w:bottom w:val="single" w:sz="12" w:space="0" w:color="auto"/>
              <w:right w:val="nil"/>
            </w:tcBorders>
            <w:shd w:val="clear" w:color="auto" w:fill="auto"/>
            <w:noWrap/>
            <w:vAlign w:val="bottom"/>
            <w:hideMark/>
          </w:tcPr>
          <w:p w14:paraId="4DD3B52C" w14:textId="6F39AE25"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DDA2CD4" w14:textId="6CA86FAB" w:rsidR="002E484C" w:rsidRDefault="002E484C" w:rsidP="002E484C">
            <w:pPr>
              <w:jc w:val="right"/>
              <w:rPr>
                <w:color w:val="000000"/>
                <w:sz w:val="20"/>
                <w:szCs w:val="20"/>
              </w:rPr>
            </w:pPr>
            <w:r>
              <w:rPr>
                <w:color w:val="000000"/>
                <w:sz w:val="20"/>
                <w:szCs w:val="20"/>
              </w:rPr>
              <w:t>0.028</w:t>
            </w:r>
          </w:p>
        </w:tc>
        <w:tc>
          <w:tcPr>
            <w:tcW w:w="768" w:type="dxa"/>
            <w:tcBorders>
              <w:top w:val="nil"/>
              <w:left w:val="nil"/>
              <w:bottom w:val="single" w:sz="12" w:space="0" w:color="auto"/>
              <w:right w:val="nil"/>
            </w:tcBorders>
            <w:shd w:val="clear" w:color="auto" w:fill="auto"/>
            <w:noWrap/>
            <w:vAlign w:val="bottom"/>
            <w:hideMark/>
          </w:tcPr>
          <w:p w14:paraId="45F6A4AC" w14:textId="2EE86AC4" w:rsidR="002E484C" w:rsidRDefault="002E484C" w:rsidP="002E484C">
            <w:pPr>
              <w:jc w:val="right"/>
              <w:rPr>
                <w:color w:val="000000"/>
                <w:sz w:val="20"/>
                <w:szCs w:val="20"/>
              </w:rPr>
            </w:pPr>
            <w:r>
              <w:rPr>
                <w:color w:val="000000"/>
                <w:sz w:val="20"/>
                <w:szCs w:val="20"/>
              </w:rPr>
              <w:t>0.684</w:t>
            </w:r>
          </w:p>
        </w:tc>
        <w:tc>
          <w:tcPr>
            <w:tcW w:w="768" w:type="dxa"/>
            <w:tcBorders>
              <w:top w:val="nil"/>
              <w:left w:val="nil"/>
              <w:bottom w:val="single" w:sz="12" w:space="0" w:color="auto"/>
              <w:right w:val="nil"/>
            </w:tcBorders>
            <w:shd w:val="clear" w:color="auto" w:fill="auto"/>
            <w:noWrap/>
            <w:vAlign w:val="bottom"/>
            <w:hideMark/>
          </w:tcPr>
          <w:p w14:paraId="2218244A" w14:textId="3C4B212E"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3350181" w14:textId="4CEA413F" w:rsidR="002E484C" w:rsidRDefault="002E484C" w:rsidP="002E484C">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73876470" w14:textId="18BF9E5F" w:rsidR="002E484C" w:rsidRDefault="002E484C" w:rsidP="002E484C">
            <w:pPr>
              <w:jc w:val="right"/>
              <w:rPr>
                <w:color w:val="000000"/>
                <w:sz w:val="20"/>
                <w:szCs w:val="20"/>
              </w:rPr>
            </w:pPr>
            <w:r>
              <w:rPr>
                <w:color w:val="000000"/>
                <w:sz w:val="20"/>
                <w:szCs w:val="20"/>
              </w:rPr>
              <w:t>0.939</w:t>
            </w:r>
          </w:p>
        </w:tc>
        <w:tc>
          <w:tcPr>
            <w:tcW w:w="768" w:type="dxa"/>
            <w:tcBorders>
              <w:top w:val="nil"/>
              <w:left w:val="nil"/>
              <w:bottom w:val="single" w:sz="12" w:space="0" w:color="auto"/>
              <w:right w:val="nil"/>
            </w:tcBorders>
            <w:shd w:val="clear" w:color="auto" w:fill="auto"/>
            <w:noWrap/>
            <w:vAlign w:val="bottom"/>
            <w:hideMark/>
          </w:tcPr>
          <w:p w14:paraId="2C250DD5" w14:textId="3C8E7113"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49062A5" w14:textId="45427396" w:rsidR="002E484C" w:rsidRDefault="002E484C" w:rsidP="002E484C">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52252B9B" w14:textId="75239EE6" w:rsidR="002E484C" w:rsidRDefault="002E484C" w:rsidP="002E484C">
            <w:pPr>
              <w:jc w:val="right"/>
              <w:rPr>
                <w:color w:val="000000"/>
                <w:sz w:val="20"/>
                <w:szCs w:val="20"/>
              </w:rPr>
            </w:pPr>
            <w:r>
              <w:rPr>
                <w:color w:val="000000"/>
                <w:sz w:val="20"/>
                <w:szCs w:val="20"/>
              </w:rPr>
              <w:t>0.981</w:t>
            </w:r>
          </w:p>
        </w:tc>
        <w:tc>
          <w:tcPr>
            <w:tcW w:w="768" w:type="dxa"/>
            <w:tcBorders>
              <w:top w:val="nil"/>
              <w:left w:val="nil"/>
              <w:bottom w:val="single" w:sz="12" w:space="0" w:color="auto"/>
              <w:right w:val="nil"/>
            </w:tcBorders>
            <w:shd w:val="clear" w:color="auto" w:fill="auto"/>
            <w:noWrap/>
            <w:vAlign w:val="bottom"/>
            <w:hideMark/>
          </w:tcPr>
          <w:p w14:paraId="7706C713" w14:textId="2AFA6C78" w:rsidR="002E484C" w:rsidRDefault="002E484C" w:rsidP="002E484C">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A102813" w14:textId="38EE532D" w:rsidR="002E484C" w:rsidRDefault="002E484C" w:rsidP="002E484C">
            <w:pPr>
              <w:jc w:val="right"/>
              <w:rPr>
                <w:color w:val="000000"/>
                <w:sz w:val="20"/>
                <w:szCs w:val="20"/>
              </w:rPr>
            </w:pPr>
            <w:r>
              <w:rPr>
                <w:color w:val="000000"/>
                <w:sz w:val="20"/>
                <w:szCs w:val="20"/>
              </w:rPr>
              <w:t>-0.016</w:t>
            </w:r>
          </w:p>
        </w:tc>
        <w:tc>
          <w:tcPr>
            <w:tcW w:w="768" w:type="dxa"/>
            <w:tcBorders>
              <w:top w:val="nil"/>
              <w:left w:val="nil"/>
              <w:bottom w:val="single" w:sz="12" w:space="0" w:color="auto"/>
              <w:right w:val="nil"/>
            </w:tcBorders>
            <w:shd w:val="clear" w:color="auto" w:fill="auto"/>
            <w:noWrap/>
            <w:vAlign w:val="bottom"/>
            <w:hideMark/>
          </w:tcPr>
          <w:p w14:paraId="38DE4AA0" w14:textId="6B3FBC18" w:rsidR="002E484C" w:rsidRDefault="002E484C" w:rsidP="002E484C">
            <w:pPr>
              <w:jc w:val="right"/>
              <w:rPr>
                <w:color w:val="000000"/>
                <w:sz w:val="20"/>
                <w:szCs w:val="20"/>
              </w:rPr>
            </w:pPr>
            <w:r>
              <w:rPr>
                <w:color w:val="000000"/>
                <w:sz w:val="20"/>
                <w:szCs w:val="20"/>
              </w:rPr>
              <w:t>0.899</w:t>
            </w:r>
          </w:p>
        </w:tc>
        <w:tc>
          <w:tcPr>
            <w:tcW w:w="768" w:type="dxa"/>
            <w:tcBorders>
              <w:top w:val="nil"/>
              <w:left w:val="nil"/>
              <w:bottom w:val="single" w:sz="12" w:space="0" w:color="auto"/>
              <w:right w:val="nil"/>
            </w:tcBorders>
            <w:shd w:val="clear" w:color="auto" w:fill="auto"/>
            <w:noWrap/>
            <w:vAlign w:val="bottom"/>
            <w:hideMark/>
          </w:tcPr>
          <w:p w14:paraId="42E1C147" w14:textId="694E3524" w:rsidR="002E484C" w:rsidRDefault="002E484C" w:rsidP="002E484C">
            <w:pPr>
              <w:jc w:val="right"/>
              <w:rPr>
                <w:color w:val="000000"/>
                <w:sz w:val="20"/>
                <w:szCs w:val="20"/>
              </w:rPr>
            </w:pPr>
            <w:r>
              <w:rPr>
                <w:color w:val="000000"/>
                <w:sz w:val="20"/>
                <w:szCs w:val="20"/>
              </w:rPr>
              <w:t>0.000</w:t>
            </w:r>
          </w:p>
        </w:tc>
      </w:tr>
      <w:tr w:rsidR="00966A65" w14:paraId="55FA94E1"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1E353C4D" w14:textId="77777777" w:rsidR="00966A65" w:rsidRDefault="00966A65">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7B57100A" w14:textId="77777777" w:rsidR="00966A65" w:rsidRDefault="00966A65">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560F4711"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32645B2"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E4C946F"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E726D7"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0C9C8A5"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82320CE"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6AE67E3"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BD447BA"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9D0A9BA"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50C017C"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8A1E5BC"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5F74885"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AA5ED63"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A90A4FC" w14:textId="77777777" w:rsidR="00966A65" w:rsidRDefault="00966A65">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A165653" w14:textId="77777777" w:rsidR="00966A65" w:rsidRDefault="00966A65">
            <w:pPr>
              <w:rPr>
                <w:sz w:val="20"/>
                <w:szCs w:val="20"/>
              </w:rPr>
            </w:pPr>
          </w:p>
        </w:tc>
      </w:tr>
    </w:tbl>
    <w:p w14:paraId="574564A2" w14:textId="73F0366F" w:rsidR="00966A65" w:rsidRDefault="00966A65" w:rsidP="00BA3AF4">
      <w:pPr>
        <w:spacing w:line="480" w:lineRule="auto"/>
      </w:pPr>
    </w:p>
    <w:p w14:paraId="3EDE547A" w14:textId="1221C953" w:rsidR="00DE156A" w:rsidRPr="009E2A20" w:rsidRDefault="00966A65" w:rsidP="00DE156A">
      <w:pPr>
        <w:pStyle w:val="Heading1"/>
        <w:rPr>
          <w:rFonts w:ascii="Times New Roman" w:hAnsi="Times New Roman" w:cs="Times New Roman"/>
          <w:b/>
          <w:bCs/>
          <w:color w:val="000000" w:themeColor="text1"/>
          <w:sz w:val="24"/>
          <w:szCs w:val="24"/>
        </w:rPr>
      </w:pPr>
      <w:r>
        <w:br w:type="page"/>
      </w:r>
      <w:bookmarkStart w:id="34" w:name="_Toc155817701"/>
      <w:r w:rsidR="00DE156A">
        <w:rPr>
          <w:rFonts w:ascii="Times New Roman" w:hAnsi="Times New Roman" w:cs="Times New Roman"/>
          <w:b/>
          <w:bCs/>
          <w:color w:val="000000" w:themeColor="text1"/>
          <w:sz w:val="24"/>
          <w:szCs w:val="24"/>
        </w:rPr>
        <w:lastRenderedPageBreak/>
        <w:t>Table 12</w:t>
      </w:r>
      <w:r w:rsidR="00DE156A" w:rsidRPr="009E2A20">
        <w:rPr>
          <w:rFonts w:ascii="Times New Roman" w:hAnsi="Times New Roman" w:cs="Times New Roman"/>
          <w:b/>
          <w:bCs/>
          <w:color w:val="000000" w:themeColor="text1"/>
          <w:sz w:val="24"/>
          <w:szCs w:val="24"/>
        </w:rPr>
        <w:t xml:space="preserve">a. </w:t>
      </w:r>
      <w:r w:rsidR="00DE156A" w:rsidRPr="009E2A20">
        <w:rPr>
          <w:rFonts w:ascii="Times New Roman" w:hAnsi="Times New Roman" w:cs="Times New Roman"/>
          <w:color w:val="000000" w:themeColor="text1"/>
          <w:sz w:val="24"/>
          <w:szCs w:val="24"/>
        </w:rPr>
        <w:t>Results examining the relationship between environmental stress factors obtained from bifactor modeling and Shen-268 network small world omega during the monetary incentive delay task</w:t>
      </w:r>
      <w:bookmarkEnd w:id="34"/>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DE156A" w14:paraId="117AC2AC"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725B9586" w14:textId="77777777" w:rsidR="00DE156A" w:rsidRDefault="00DE156A"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3E842147" w14:textId="77777777" w:rsidR="00DE156A" w:rsidRDefault="00DE156A"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6DFD7456" w14:textId="77777777" w:rsidR="00DE156A" w:rsidRDefault="00DE156A"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2F64F563"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F26B167"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A709F7A"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DA2C3BD"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83C2140"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5D443D4"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B3B02F7"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1EDAD99"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629A7B1"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712F45E"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D355D10"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3402162"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E4D55BD"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7DF02CA" w14:textId="77777777" w:rsidR="00DE156A" w:rsidRDefault="00DE156A" w:rsidP="005A3B4D">
            <w:pPr>
              <w:rPr>
                <w:sz w:val="20"/>
                <w:szCs w:val="20"/>
              </w:rPr>
            </w:pPr>
          </w:p>
        </w:tc>
      </w:tr>
      <w:tr w:rsidR="00DE156A" w14:paraId="60C4E888"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2D8AF84F" w14:textId="77777777" w:rsidR="00DE156A" w:rsidRDefault="00DE156A"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764AE8A" w14:textId="77777777" w:rsidR="00DE156A" w:rsidRDefault="00DE156A"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7C88B4AD" w14:textId="77777777" w:rsidR="00DE156A" w:rsidRDefault="00DE156A"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3885B2B" w14:textId="77777777" w:rsidR="00DE156A" w:rsidRDefault="00DE156A"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11E4016" w14:textId="77777777" w:rsidR="00DE156A" w:rsidRDefault="00DE156A"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08D6010" w14:textId="77777777" w:rsidR="00DE156A" w:rsidRDefault="00DE156A"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0AAB1803" w14:textId="77777777" w:rsidR="00DE156A" w:rsidRDefault="00DE156A" w:rsidP="005A3B4D">
            <w:pPr>
              <w:jc w:val="center"/>
              <w:rPr>
                <w:color w:val="000000"/>
                <w:sz w:val="20"/>
                <w:szCs w:val="20"/>
              </w:rPr>
            </w:pPr>
            <w:r>
              <w:rPr>
                <w:color w:val="000000"/>
                <w:sz w:val="20"/>
                <w:szCs w:val="20"/>
              </w:rPr>
              <w:t>Urbanicity</w:t>
            </w:r>
          </w:p>
        </w:tc>
      </w:tr>
      <w:tr w:rsidR="00DE156A" w14:paraId="6D6F60F3"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7D198125" w14:textId="77777777" w:rsidR="00DE156A" w:rsidRDefault="00DE156A"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567C5D2E" w14:textId="77777777" w:rsidR="00DE156A" w:rsidRDefault="00DE156A"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7C0F878C"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ACFFDE4"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84C13BC"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99DC92C"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53B6776"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2FD08D7"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048D408"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4FB0C07"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E094035"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3F11F05"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4400712"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75BE195"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AE9D2C5"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747878A"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E2786E9"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DE156A" w14:paraId="7CDDEC17"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64E72EFB" w14:textId="77777777" w:rsidR="00DE156A" w:rsidRDefault="00DE156A"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140231D2" w14:textId="77777777" w:rsidR="00DE156A" w:rsidRDefault="00DE156A"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333E0893" w14:textId="77777777" w:rsidR="00DE156A" w:rsidRDefault="00DE156A" w:rsidP="005A3B4D">
            <w:pPr>
              <w:jc w:val="right"/>
              <w:rPr>
                <w:color w:val="000000"/>
                <w:sz w:val="20"/>
                <w:szCs w:val="20"/>
              </w:rPr>
            </w:pPr>
            <w:r>
              <w:rPr>
                <w:color w:val="000000"/>
                <w:sz w:val="20"/>
                <w:szCs w:val="20"/>
              </w:rPr>
              <w:t>-0.022</w:t>
            </w:r>
          </w:p>
        </w:tc>
        <w:tc>
          <w:tcPr>
            <w:tcW w:w="768" w:type="dxa"/>
            <w:tcBorders>
              <w:top w:val="single" w:sz="12" w:space="0" w:color="auto"/>
              <w:left w:val="nil"/>
              <w:bottom w:val="nil"/>
              <w:right w:val="nil"/>
            </w:tcBorders>
            <w:shd w:val="clear" w:color="auto" w:fill="auto"/>
            <w:noWrap/>
            <w:vAlign w:val="bottom"/>
            <w:hideMark/>
          </w:tcPr>
          <w:p w14:paraId="6DDBCD96" w14:textId="77777777" w:rsidR="00DE156A" w:rsidRDefault="00DE156A" w:rsidP="005A3B4D">
            <w:pPr>
              <w:jc w:val="right"/>
              <w:rPr>
                <w:color w:val="000000"/>
                <w:sz w:val="20"/>
                <w:szCs w:val="20"/>
              </w:rPr>
            </w:pPr>
            <w:r>
              <w:rPr>
                <w:color w:val="000000"/>
                <w:sz w:val="20"/>
                <w:szCs w:val="20"/>
              </w:rPr>
              <w:t>0.685</w:t>
            </w:r>
          </w:p>
        </w:tc>
        <w:tc>
          <w:tcPr>
            <w:tcW w:w="768" w:type="dxa"/>
            <w:tcBorders>
              <w:top w:val="single" w:sz="12" w:space="0" w:color="auto"/>
              <w:left w:val="nil"/>
              <w:bottom w:val="nil"/>
              <w:right w:val="nil"/>
            </w:tcBorders>
            <w:shd w:val="clear" w:color="auto" w:fill="auto"/>
            <w:noWrap/>
            <w:vAlign w:val="bottom"/>
            <w:hideMark/>
          </w:tcPr>
          <w:p w14:paraId="246AD9B2"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22E5237" w14:textId="77777777" w:rsidR="00DE156A" w:rsidRDefault="00DE156A" w:rsidP="005A3B4D">
            <w:pPr>
              <w:jc w:val="right"/>
              <w:rPr>
                <w:color w:val="000000"/>
                <w:sz w:val="20"/>
                <w:szCs w:val="20"/>
              </w:rPr>
            </w:pPr>
            <w:r>
              <w:rPr>
                <w:color w:val="000000"/>
                <w:sz w:val="20"/>
                <w:szCs w:val="20"/>
              </w:rPr>
              <w:t>-0.039</w:t>
            </w:r>
          </w:p>
        </w:tc>
        <w:tc>
          <w:tcPr>
            <w:tcW w:w="768" w:type="dxa"/>
            <w:tcBorders>
              <w:top w:val="single" w:sz="12" w:space="0" w:color="auto"/>
              <w:left w:val="nil"/>
              <w:bottom w:val="nil"/>
              <w:right w:val="nil"/>
            </w:tcBorders>
            <w:shd w:val="clear" w:color="auto" w:fill="auto"/>
            <w:noWrap/>
            <w:vAlign w:val="bottom"/>
            <w:hideMark/>
          </w:tcPr>
          <w:p w14:paraId="3614C593" w14:textId="77777777" w:rsidR="00DE156A" w:rsidRDefault="00DE156A" w:rsidP="005A3B4D">
            <w:pPr>
              <w:jc w:val="right"/>
              <w:rPr>
                <w:color w:val="000000"/>
                <w:sz w:val="20"/>
                <w:szCs w:val="20"/>
              </w:rPr>
            </w:pPr>
            <w:r>
              <w:rPr>
                <w:color w:val="000000"/>
                <w:sz w:val="20"/>
                <w:szCs w:val="20"/>
              </w:rPr>
              <w:t>0.432</w:t>
            </w:r>
          </w:p>
        </w:tc>
        <w:tc>
          <w:tcPr>
            <w:tcW w:w="768" w:type="dxa"/>
            <w:tcBorders>
              <w:top w:val="single" w:sz="12" w:space="0" w:color="auto"/>
              <w:left w:val="nil"/>
              <w:bottom w:val="nil"/>
              <w:right w:val="nil"/>
            </w:tcBorders>
            <w:shd w:val="clear" w:color="auto" w:fill="auto"/>
            <w:noWrap/>
            <w:vAlign w:val="bottom"/>
            <w:hideMark/>
          </w:tcPr>
          <w:p w14:paraId="55EC57B7" w14:textId="77777777" w:rsidR="00DE156A" w:rsidRDefault="00DE156A" w:rsidP="005A3B4D">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66EDF3F9" w14:textId="77777777" w:rsidR="00DE156A" w:rsidRDefault="00DE156A" w:rsidP="005A3B4D">
            <w:pPr>
              <w:jc w:val="right"/>
              <w:rPr>
                <w:color w:val="000000"/>
                <w:sz w:val="20"/>
                <w:szCs w:val="20"/>
              </w:rPr>
            </w:pPr>
            <w:r>
              <w:rPr>
                <w:color w:val="000000"/>
                <w:sz w:val="20"/>
                <w:szCs w:val="20"/>
              </w:rPr>
              <w:t>0.019</w:t>
            </w:r>
          </w:p>
        </w:tc>
        <w:tc>
          <w:tcPr>
            <w:tcW w:w="768" w:type="dxa"/>
            <w:tcBorders>
              <w:top w:val="single" w:sz="12" w:space="0" w:color="auto"/>
              <w:left w:val="nil"/>
              <w:bottom w:val="nil"/>
              <w:right w:val="nil"/>
            </w:tcBorders>
            <w:shd w:val="clear" w:color="auto" w:fill="auto"/>
            <w:noWrap/>
            <w:vAlign w:val="bottom"/>
            <w:hideMark/>
          </w:tcPr>
          <w:p w14:paraId="51B59842" w14:textId="77777777" w:rsidR="00DE156A" w:rsidRDefault="00DE156A" w:rsidP="005A3B4D">
            <w:pPr>
              <w:jc w:val="right"/>
              <w:rPr>
                <w:color w:val="000000"/>
                <w:sz w:val="20"/>
                <w:szCs w:val="20"/>
              </w:rPr>
            </w:pPr>
            <w:r>
              <w:rPr>
                <w:color w:val="000000"/>
                <w:sz w:val="20"/>
                <w:szCs w:val="20"/>
              </w:rPr>
              <w:t>0.885</w:t>
            </w:r>
          </w:p>
        </w:tc>
        <w:tc>
          <w:tcPr>
            <w:tcW w:w="768" w:type="dxa"/>
            <w:tcBorders>
              <w:top w:val="single" w:sz="12" w:space="0" w:color="auto"/>
              <w:left w:val="nil"/>
              <w:bottom w:val="nil"/>
              <w:right w:val="nil"/>
            </w:tcBorders>
            <w:shd w:val="clear" w:color="auto" w:fill="auto"/>
            <w:noWrap/>
            <w:vAlign w:val="bottom"/>
            <w:hideMark/>
          </w:tcPr>
          <w:p w14:paraId="3E9EFF08"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4AAB4B0" w14:textId="77777777" w:rsidR="00DE156A" w:rsidRDefault="00DE156A" w:rsidP="005A3B4D">
            <w:pPr>
              <w:jc w:val="right"/>
              <w:rPr>
                <w:color w:val="000000"/>
                <w:sz w:val="20"/>
                <w:szCs w:val="20"/>
              </w:rPr>
            </w:pPr>
            <w:r>
              <w:rPr>
                <w:color w:val="000000"/>
                <w:sz w:val="20"/>
                <w:szCs w:val="20"/>
              </w:rPr>
              <w:t>0.026</w:t>
            </w:r>
          </w:p>
        </w:tc>
        <w:tc>
          <w:tcPr>
            <w:tcW w:w="768" w:type="dxa"/>
            <w:tcBorders>
              <w:top w:val="single" w:sz="12" w:space="0" w:color="auto"/>
              <w:left w:val="nil"/>
              <w:bottom w:val="nil"/>
              <w:right w:val="nil"/>
            </w:tcBorders>
            <w:shd w:val="clear" w:color="auto" w:fill="auto"/>
            <w:noWrap/>
            <w:vAlign w:val="bottom"/>
            <w:hideMark/>
          </w:tcPr>
          <w:p w14:paraId="53E2BB86" w14:textId="77777777" w:rsidR="00DE156A" w:rsidRDefault="00DE156A" w:rsidP="005A3B4D">
            <w:pPr>
              <w:jc w:val="right"/>
              <w:rPr>
                <w:color w:val="000000"/>
                <w:sz w:val="20"/>
                <w:szCs w:val="20"/>
              </w:rPr>
            </w:pPr>
            <w:r>
              <w:rPr>
                <w:color w:val="000000"/>
                <w:sz w:val="20"/>
                <w:szCs w:val="20"/>
              </w:rPr>
              <w:t>0.768</w:t>
            </w:r>
          </w:p>
        </w:tc>
        <w:tc>
          <w:tcPr>
            <w:tcW w:w="768" w:type="dxa"/>
            <w:tcBorders>
              <w:top w:val="single" w:sz="12" w:space="0" w:color="auto"/>
              <w:left w:val="nil"/>
              <w:bottom w:val="nil"/>
              <w:right w:val="nil"/>
            </w:tcBorders>
            <w:shd w:val="clear" w:color="auto" w:fill="auto"/>
            <w:noWrap/>
            <w:vAlign w:val="bottom"/>
            <w:hideMark/>
          </w:tcPr>
          <w:p w14:paraId="3C40D99F" w14:textId="77777777" w:rsidR="00DE156A" w:rsidRDefault="00DE156A"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1EE98FB7" w14:textId="77777777" w:rsidR="00DE156A" w:rsidRDefault="00DE156A" w:rsidP="005A3B4D">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013B28FD" w14:textId="77777777" w:rsidR="00DE156A" w:rsidRDefault="00DE156A" w:rsidP="005A3B4D">
            <w:pPr>
              <w:jc w:val="right"/>
              <w:rPr>
                <w:color w:val="000000"/>
                <w:sz w:val="20"/>
                <w:szCs w:val="20"/>
              </w:rPr>
            </w:pPr>
            <w:r>
              <w:rPr>
                <w:color w:val="000000"/>
                <w:sz w:val="20"/>
                <w:szCs w:val="20"/>
              </w:rPr>
              <w:t>0.856</w:t>
            </w:r>
          </w:p>
        </w:tc>
        <w:tc>
          <w:tcPr>
            <w:tcW w:w="768" w:type="dxa"/>
            <w:tcBorders>
              <w:top w:val="single" w:sz="12" w:space="0" w:color="auto"/>
              <w:left w:val="nil"/>
              <w:bottom w:val="nil"/>
              <w:right w:val="nil"/>
            </w:tcBorders>
            <w:shd w:val="clear" w:color="auto" w:fill="auto"/>
            <w:noWrap/>
            <w:vAlign w:val="bottom"/>
            <w:hideMark/>
          </w:tcPr>
          <w:p w14:paraId="55A02CA7" w14:textId="77777777" w:rsidR="00DE156A" w:rsidRDefault="00DE156A" w:rsidP="005A3B4D">
            <w:pPr>
              <w:jc w:val="right"/>
              <w:rPr>
                <w:color w:val="000000"/>
                <w:sz w:val="20"/>
                <w:szCs w:val="20"/>
              </w:rPr>
            </w:pPr>
            <w:r>
              <w:rPr>
                <w:color w:val="000000"/>
                <w:sz w:val="20"/>
                <w:szCs w:val="20"/>
              </w:rPr>
              <w:t>0.000</w:t>
            </w:r>
          </w:p>
        </w:tc>
      </w:tr>
      <w:tr w:rsidR="00DE156A" w14:paraId="597F6D91" w14:textId="77777777" w:rsidTr="005A3B4D">
        <w:trPr>
          <w:trHeight w:val="340"/>
        </w:trPr>
        <w:tc>
          <w:tcPr>
            <w:tcW w:w="1176" w:type="dxa"/>
            <w:tcBorders>
              <w:top w:val="nil"/>
              <w:left w:val="nil"/>
              <w:bottom w:val="nil"/>
              <w:right w:val="nil"/>
            </w:tcBorders>
            <w:shd w:val="clear" w:color="auto" w:fill="auto"/>
            <w:noWrap/>
            <w:vAlign w:val="bottom"/>
            <w:hideMark/>
          </w:tcPr>
          <w:p w14:paraId="68B72976"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BE7E7D"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8076D76"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FFEF87F" w14:textId="77777777" w:rsidR="00DE156A" w:rsidRDefault="00DE156A" w:rsidP="005A3B4D">
            <w:pPr>
              <w:jc w:val="right"/>
              <w:rPr>
                <w:color w:val="000000"/>
                <w:sz w:val="20"/>
                <w:szCs w:val="20"/>
              </w:rPr>
            </w:pPr>
            <w:r>
              <w:rPr>
                <w:color w:val="000000"/>
                <w:sz w:val="20"/>
                <w:szCs w:val="20"/>
              </w:rPr>
              <w:t>0.842</w:t>
            </w:r>
          </w:p>
        </w:tc>
        <w:tc>
          <w:tcPr>
            <w:tcW w:w="768" w:type="dxa"/>
            <w:tcBorders>
              <w:top w:val="nil"/>
              <w:left w:val="nil"/>
              <w:bottom w:val="nil"/>
              <w:right w:val="nil"/>
            </w:tcBorders>
            <w:shd w:val="clear" w:color="auto" w:fill="auto"/>
            <w:noWrap/>
            <w:vAlign w:val="bottom"/>
            <w:hideMark/>
          </w:tcPr>
          <w:p w14:paraId="138FF58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CC2520"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6B8FC9C" w14:textId="77777777" w:rsidR="00DE156A" w:rsidRDefault="00DE156A" w:rsidP="005A3B4D">
            <w:pPr>
              <w:jc w:val="right"/>
              <w:rPr>
                <w:color w:val="000000"/>
                <w:sz w:val="20"/>
                <w:szCs w:val="20"/>
              </w:rPr>
            </w:pPr>
            <w:r>
              <w:rPr>
                <w:color w:val="000000"/>
                <w:sz w:val="20"/>
                <w:szCs w:val="20"/>
              </w:rPr>
              <w:t>0.635</w:t>
            </w:r>
          </w:p>
        </w:tc>
        <w:tc>
          <w:tcPr>
            <w:tcW w:w="768" w:type="dxa"/>
            <w:tcBorders>
              <w:top w:val="nil"/>
              <w:left w:val="nil"/>
              <w:bottom w:val="nil"/>
              <w:right w:val="nil"/>
            </w:tcBorders>
            <w:shd w:val="clear" w:color="auto" w:fill="auto"/>
            <w:noWrap/>
            <w:vAlign w:val="bottom"/>
            <w:hideMark/>
          </w:tcPr>
          <w:p w14:paraId="31BFF18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A1571B" w14:textId="77777777" w:rsidR="00DE156A" w:rsidRDefault="00DE156A" w:rsidP="005A3B4D">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67976DD7" w14:textId="77777777" w:rsidR="00DE156A" w:rsidRDefault="00DE156A" w:rsidP="005A3B4D">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375DB270"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0934AA8" w14:textId="77777777" w:rsidR="00DE156A" w:rsidRDefault="00DE156A"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4DA3CBF3" w14:textId="77777777" w:rsidR="00DE156A" w:rsidRDefault="00DE156A" w:rsidP="005A3B4D">
            <w:pPr>
              <w:jc w:val="right"/>
              <w:rPr>
                <w:color w:val="000000"/>
                <w:sz w:val="20"/>
                <w:szCs w:val="20"/>
              </w:rPr>
            </w:pPr>
            <w:r>
              <w:rPr>
                <w:color w:val="000000"/>
                <w:sz w:val="20"/>
                <w:szCs w:val="20"/>
              </w:rPr>
              <w:t>0.768</w:t>
            </w:r>
          </w:p>
        </w:tc>
        <w:tc>
          <w:tcPr>
            <w:tcW w:w="768" w:type="dxa"/>
            <w:tcBorders>
              <w:top w:val="nil"/>
              <w:left w:val="nil"/>
              <w:bottom w:val="nil"/>
              <w:right w:val="nil"/>
            </w:tcBorders>
            <w:shd w:val="clear" w:color="auto" w:fill="auto"/>
            <w:noWrap/>
            <w:vAlign w:val="bottom"/>
            <w:hideMark/>
          </w:tcPr>
          <w:p w14:paraId="1FD3F69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A85D2B" w14:textId="77777777" w:rsidR="00DE156A" w:rsidRDefault="00DE156A"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30B11B0" w14:textId="77777777" w:rsidR="00DE156A" w:rsidRDefault="00DE156A" w:rsidP="005A3B4D">
            <w:pPr>
              <w:jc w:val="right"/>
              <w:rPr>
                <w:color w:val="000000"/>
                <w:sz w:val="20"/>
                <w:szCs w:val="20"/>
              </w:rPr>
            </w:pPr>
            <w:r>
              <w:rPr>
                <w:color w:val="000000"/>
                <w:sz w:val="20"/>
                <w:szCs w:val="20"/>
              </w:rPr>
              <w:t>0.856</w:t>
            </w:r>
          </w:p>
        </w:tc>
        <w:tc>
          <w:tcPr>
            <w:tcW w:w="768" w:type="dxa"/>
            <w:tcBorders>
              <w:top w:val="nil"/>
              <w:left w:val="nil"/>
              <w:bottom w:val="nil"/>
              <w:right w:val="nil"/>
            </w:tcBorders>
            <w:shd w:val="clear" w:color="auto" w:fill="auto"/>
            <w:noWrap/>
            <w:vAlign w:val="bottom"/>
            <w:hideMark/>
          </w:tcPr>
          <w:p w14:paraId="6AB26952" w14:textId="77777777" w:rsidR="00DE156A" w:rsidRDefault="00DE156A" w:rsidP="005A3B4D">
            <w:pPr>
              <w:jc w:val="right"/>
              <w:rPr>
                <w:color w:val="000000"/>
                <w:sz w:val="20"/>
                <w:szCs w:val="20"/>
              </w:rPr>
            </w:pPr>
            <w:r>
              <w:rPr>
                <w:color w:val="000000"/>
                <w:sz w:val="20"/>
                <w:szCs w:val="20"/>
              </w:rPr>
              <w:t>0.000</w:t>
            </w:r>
          </w:p>
        </w:tc>
      </w:tr>
      <w:tr w:rsidR="00DE156A" w14:paraId="4B3DF99E" w14:textId="77777777" w:rsidTr="005A3B4D">
        <w:trPr>
          <w:trHeight w:val="320"/>
        </w:trPr>
        <w:tc>
          <w:tcPr>
            <w:tcW w:w="1176" w:type="dxa"/>
            <w:tcBorders>
              <w:top w:val="nil"/>
              <w:left w:val="nil"/>
              <w:bottom w:val="nil"/>
              <w:right w:val="nil"/>
            </w:tcBorders>
            <w:shd w:val="clear" w:color="auto" w:fill="auto"/>
            <w:noWrap/>
            <w:vAlign w:val="bottom"/>
            <w:hideMark/>
          </w:tcPr>
          <w:p w14:paraId="089B3A68"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1C5C62"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910E2B5" w14:textId="77777777" w:rsidR="00DE156A" w:rsidRDefault="00DE156A" w:rsidP="005A3B4D">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27D6220E" w14:textId="77777777" w:rsidR="00DE156A" w:rsidRDefault="00DE156A" w:rsidP="005A3B4D">
            <w:pPr>
              <w:jc w:val="right"/>
              <w:rPr>
                <w:color w:val="000000"/>
                <w:sz w:val="20"/>
                <w:szCs w:val="20"/>
              </w:rPr>
            </w:pPr>
            <w:r>
              <w:rPr>
                <w:color w:val="000000"/>
                <w:sz w:val="20"/>
                <w:szCs w:val="20"/>
              </w:rPr>
              <w:t>0.627</w:t>
            </w:r>
          </w:p>
        </w:tc>
        <w:tc>
          <w:tcPr>
            <w:tcW w:w="768" w:type="dxa"/>
            <w:tcBorders>
              <w:top w:val="nil"/>
              <w:left w:val="nil"/>
              <w:bottom w:val="nil"/>
              <w:right w:val="nil"/>
            </w:tcBorders>
            <w:shd w:val="clear" w:color="auto" w:fill="auto"/>
            <w:noWrap/>
            <w:vAlign w:val="bottom"/>
            <w:hideMark/>
          </w:tcPr>
          <w:p w14:paraId="5CE546EE"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2DEFC1D" w14:textId="77777777" w:rsidR="00DE156A" w:rsidRDefault="00DE156A" w:rsidP="005A3B4D">
            <w:pPr>
              <w:jc w:val="right"/>
              <w:rPr>
                <w:b/>
                <w:bCs/>
                <w:color w:val="000000"/>
                <w:sz w:val="20"/>
                <w:szCs w:val="20"/>
              </w:rPr>
            </w:pPr>
            <w:r>
              <w:rPr>
                <w:b/>
                <w:bCs/>
                <w:color w:val="000000"/>
                <w:sz w:val="20"/>
                <w:szCs w:val="20"/>
              </w:rPr>
              <w:t>-0.122</w:t>
            </w:r>
          </w:p>
        </w:tc>
        <w:tc>
          <w:tcPr>
            <w:tcW w:w="768" w:type="dxa"/>
            <w:tcBorders>
              <w:top w:val="nil"/>
              <w:left w:val="nil"/>
              <w:bottom w:val="nil"/>
              <w:right w:val="nil"/>
            </w:tcBorders>
            <w:shd w:val="clear" w:color="auto" w:fill="auto"/>
            <w:noWrap/>
            <w:vAlign w:val="bottom"/>
            <w:hideMark/>
          </w:tcPr>
          <w:p w14:paraId="1F7AD4B5" w14:textId="77777777" w:rsidR="00DE156A" w:rsidRDefault="00DE156A" w:rsidP="005A3B4D">
            <w:pPr>
              <w:jc w:val="right"/>
              <w:rPr>
                <w:b/>
                <w:bCs/>
                <w:color w:val="000000"/>
                <w:sz w:val="20"/>
                <w:szCs w:val="20"/>
              </w:rPr>
            </w:pPr>
            <w:r>
              <w:rPr>
                <w:b/>
                <w:bCs/>
                <w:color w:val="000000"/>
                <w:sz w:val="20"/>
                <w:szCs w:val="20"/>
              </w:rPr>
              <w:t>0.020</w:t>
            </w:r>
          </w:p>
        </w:tc>
        <w:tc>
          <w:tcPr>
            <w:tcW w:w="768" w:type="dxa"/>
            <w:tcBorders>
              <w:top w:val="nil"/>
              <w:left w:val="nil"/>
              <w:bottom w:val="nil"/>
              <w:right w:val="nil"/>
            </w:tcBorders>
            <w:shd w:val="clear" w:color="auto" w:fill="auto"/>
            <w:noWrap/>
            <w:vAlign w:val="bottom"/>
            <w:hideMark/>
          </w:tcPr>
          <w:p w14:paraId="463ED402" w14:textId="77777777" w:rsidR="00DE156A" w:rsidRDefault="00DE156A" w:rsidP="005A3B4D">
            <w:pPr>
              <w:jc w:val="right"/>
              <w:rPr>
                <w:color w:val="000000"/>
                <w:sz w:val="20"/>
                <w:szCs w:val="20"/>
              </w:rPr>
            </w:pPr>
            <w:r>
              <w:rPr>
                <w:b/>
                <w:bCs/>
                <w:color w:val="000000"/>
                <w:sz w:val="20"/>
                <w:szCs w:val="20"/>
              </w:rPr>
              <w:t>0.015</w:t>
            </w:r>
          </w:p>
        </w:tc>
        <w:tc>
          <w:tcPr>
            <w:tcW w:w="768" w:type="dxa"/>
            <w:tcBorders>
              <w:top w:val="nil"/>
              <w:left w:val="nil"/>
              <w:bottom w:val="nil"/>
              <w:right w:val="nil"/>
            </w:tcBorders>
            <w:shd w:val="clear" w:color="auto" w:fill="auto"/>
            <w:noWrap/>
            <w:vAlign w:val="bottom"/>
            <w:hideMark/>
          </w:tcPr>
          <w:p w14:paraId="735829AA"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8434FE7"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695D0F2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1C55BE" w14:textId="77777777" w:rsidR="00DE156A" w:rsidRDefault="00DE156A"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412216F" w14:textId="77777777" w:rsidR="00DE156A" w:rsidRDefault="00DE156A" w:rsidP="005A3B4D">
            <w:pPr>
              <w:jc w:val="right"/>
              <w:rPr>
                <w:color w:val="000000"/>
                <w:sz w:val="20"/>
                <w:szCs w:val="20"/>
              </w:rPr>
            </w:pPr>
            <w:r>
              <w:rPr>
                <w:color w:val="000000"/>
                <w:sz w:val="20"/>
                <w:szCs w:val="20"/>
              </w:rPr>
              <w:t>0.769</w:t>
            </w:r>
          </w:p>
        </w:tc>
        <w:tc>
          <w:tcPr>
            <w:tcW w:w="768" w:type="dxa"/>
            <w:tcBorders>
              <w:top w:val="nil"/>
              <w:left w:val="nil"/>
              <w:bottom w:val="nil"/>
              <w:right w:val="nil"/>
            </w:tcBorders>
            <w:shd w:val="clear" w:color="auto" w:fill="auto"/>
            <w:noWrap/>
            <w:vAlign w:val="bottom"/>
            <w:hideMark/>
          </w:tcPr>
          <w:p w14:paraId="469956C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3A2AD4B"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2DED50A" w14:textId="77777777" w:rsidR="00DE156A" w:rsidRDefault="00DE156A" w:rsidP="005A3B4D">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099F9C5B" w14:textId="77777777" w:rsidR="00DE156A" w:rsidRDefault="00DE156A" w:rsidP="005A3B4D">
            <w:pPr>
              <w:jc w:val="right"/>
              <w:rPr>
                <w:color w:val="000000"/>
                <w:sz w:val="20"/>
                <w:szCs w:val="20"/>
              </w:rPr>
            </w:pPr>
            <w:r>
              <w:rPr>
                <w:color w:val="000000"/>
                <w:sz w:val="20"/>
                <w:szCs w:val="20"/>
              </w:rPr>
              <w:t>0.000</w:t>
            </w:r>
          </w:p>
        </w:tc>
      </w:tr>
      <w:tr w:rsidR="00DE156A" w14:paraId="5A1EA4FF" w14:textId="77777777" w:rsidTr="005A3B4D">
        <w:trPr>
          <w:trHeight w:val="320"/>
        </w:trPr>
        <w:tc>
          <w:tcPr>
            <w:tcW w:w="1176" w:type="dxa"/>
            <w:tcBorders>
              <w:top w:val="nil"/>
              <w:left w:val="nil"/>
              <w:bottom w:val="nil"/>
              <w:right w:val="nil"/>
            </w:tcBorders>
            <w:shd w:val="clear" w:color="auto" w:fill="auto"/>
            <w:noWrap/>
            <w:vAlign w:val="bottom"/>
            <w:hideMark/>
          </w:tcPr>
          <w:p w14:paraId="239E02D5"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FDF7673"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AD00826" w14:textId="77777777" w:rsidR="00DE156A" w:rsidRDefault="00DE156A" w:rsidP="005A3B4D">
            <w:pPr>
              <w:jc w:val="right"/>
              <w:rPr>
                <w:color w:val="000000"/>
                <w:sz w:val="20"/>
                <w:szCs w:val="20"/>
              </w:rPr>
            </w:pPr>
            <w:r>
              <w:rPr>
                <w:color w:val="000000"/>
                <w:sz w:val="20"/>
                <w:szCs w:val="20"/>
              </w:rPr>
              <w:t>-0.197</w:t>
            </w:r>
          </w:p>
        </w:tc>
        <w:tc>
          <w:tcPr>
            <w:tcW w:w="768" w:type="dxa"/>
            <w:tcBorders>
              <w:top w:val="nil"/>
              <w:left w:val="nil"/>
              <w:bottom w:val="nil"/>
              <w:right w:val="nil"/>
            </w:tcBorders>
            <w:shd w:val="clear" w:color="auto" w:fill="auto"/>
            <w:noWrap/>
            <w:vAlign w:val="bottom"/>
            <w:hideMark/>
          </w:tcPr>
          <w:p w14:paraId="59D562B5" w14:textId="77777777" w:rsidR="00DE156A" w:rsidRDefault="00DE156A" w:rsidP="005A3B4D">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6A38AFD7" w14:textId="77777777" w:rsidR="00DE156A" w:rsidRDefault="00DE156A"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1BBEAF23" w14:textId="77777777" w:rsidR="00DE156A" w:rsidRDefault="00DE156A" w:rsidP="005A3B4D">
            <w:pPr>
              <w:jc w:val="right"/>
              <w:rPr>
                <w:b/>
                <w:bCs/>
                <w:color w:val="000000"/>
                <w:sz w:val="20"/>
                <w:szCs w:val="20"/>
              </w:rPr>
            </w:pPr>
            <w:r>
              <w:rPr>
                <w:b/>
                <w:bCs/>
                <w:color w:val="000000"/>
                <w:sz w:val="20"/>
                <w:szCs w:val="20"/>
              </w:rPr>
              <w:t>0.323</w:t>
            </w:r>
          </w:p>
        </w:tc>
        <w:tc>
          <w:tcPr>
            <w:tcW w:w="768" w:type="dxa"/>
            <w:tcBorders>
              <w:top w:val="nil"/>
              <w:left w:val="nil"/>
              <w:bottom w:val="nil"/>
              <w:right w:val="nil"/>
            </w:tcBorders>
            <w:shd w:val="clear" w:color="auto" w:fill="auto"/>
            <w:noWrap/>
            <w:vAlign w:val="bottom"/>
            <w:hideMark/>
          </w:tcPr>
          <w:p w14:paraId="7D5197FF" w14:textId="77777777" w:rsidR="00DE156A" w:rsidRDefault="00DE156A"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3E40FA03" w14:textId="77777777" w:rsidR="00DE156A" w:rsidRDefault="00DE156A" w:rsidP="005A3B4D">
            <w:pPr>
              <w:jc w:val="right"/>
              <w:rPr>
                <w:color w:val="000000"/>
                <w:sz w:val="20"/>
                <w:szCs w:val="20"/>
              </w:rPr>
            </w:pPr>
            <w:r>
              <w:rPr>
                <w:b/>
                <w:bCs/>
                <w:color w:val="000000"/>
                <w:sz w:val="20"/>
                <w:szCs w:val="20"/>
              </w:rPr>
              <w:t>0.104</w:t>
            </w:r>
          </w:p>
        </w:tc>
        <w:tc>
          <w:tcPr>
            <w:tcW w:w="768" w:type="dxa"/>
            <w:tcBorders>
              <w:top w:val="nil"/>
              <w:left w:val="nil"/>
              <w:bottom w:val="nil"/>
              <w:right w:val="nil"/>
            </w:tcBorders>
            <w:shd w:val="clear" w:color="auto" w:fill="auto"/>
            <w:noWrap/>
            <w:vAlign w:val="bottom"/>
            <w:hideMark/>
          </w:tcPr>
          <w:p w14:paraId="5DC41FFA" w14:textId="77777777" w:rsidR="00DE156A" w:rsidRDefault="00DE156A"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480BA052" w14:textId="77777777" w:rsidR="00DE156A" w:rsidRDefault="00DE156A" w:rsidP="005A3B4D">
            <w:pPr>
              <w:jc w:val="right"/>
              <w:rPr>
                <w:color w:val="000000"/>
                <w:sz w:val="20"/>
                <w:szCs w:val="20"/>
              </w:rPr>
            </w:pPr>
            <w:r>
              <w:rPr>
                <w:color w:val="000000"/>
                <w:sz w:val="20"/>
                <w:szCs w:val="20"/>
              </w:rPr>
              <w:t>0.678</w:t>
            </w:r>
          </w:p>
        </w:tc>
        <w:tc>
          <w:tcPr>
            <w:tcW w:w="768" w:type="dxa"/>
            <w:tcBorders>
              <w:top w:val="nil"/>
              <w:left w:val="nil"/>
              <w:bottom w:val="nil"/>
              <w:right w:val="nil"/>
            </w:tcBorders>
            <w:shd w:val="clear" w:color="auto" w:fill="auto"/>
            <w:noWrap/>
            <w:vAlign w:val="bottom"/>
            <w:hideMark/>
          </w:tcPr>
          <w:p w14:paraId="01125637"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7822917"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176F182C" w14:textId="77777777" w:rsidR="00DE156A" w:rsidRDefault="00DE156A" w:rsidP="005A3B4D">
            <w:pPr>
              <w:jc w:val="right"/>
              <w:rPr>
                <w:color w:val="000000"/>
                <w:sz w:val="20"/>
                <w:szCs w:val="20"/>
              </w:rPr>
            </w:pPr>
            <w:r>
              <w:rPr>
                <w:color w:val="000000"/>
                <w:sz w:val="20"/>
                <w:szCs w:val="20"/>
              </w:rPr>
              <w:t>0.769</w:t>
            </w:r>
          </w:p>
        </w:tc>
        <w:tc>
          <w:tcPr>
            <w:tcW w:w="768" w:type="dxa"/>
            <w:tcBorders>
              <w:top w:val="nil"/>
              <w:left w:val="nil"/>
              <w:bottom w:val="nil"/>
              <w:right w:val="nil"/>
            </w:tcBorders>
            <w:shd w:val="clear" w:color="auto" w:fill="auto"/>
            <w:noWrap/>
            <w:vAlign w:val="bottom"/>
            <w:hideMark/>
          </w:tcPr>
          <w:p w14:paraId="1BFF137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9BBBDE" w14:textId="77777777" w:rsidR="00DE156A" w:rsidRDefault="00DE156A" w:rsidP="005A3B4D">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2882E720" w14:textId="77777777" w:rsidR="00DE156A" w:rsidRDefault="00DE156A" w:rsidP="005A3B4D">
            <w:pPr>
              <w:jc w:val="right"/>
              <w:rPr>
                <w:color w:val="000000"/>
                <w:sz w:val="20"/>
                <w:szCs w:val="20"/>
              </w:rPr>
            </w:pPr>
            <w:r>
              <w:rPr>
                <w:color w:val="000000"/>
                <w:sz w:val="20"/>
                <w:szCs w:val="20"/>
              </w:rPr>
              <w:t>0.651</w:t>
            </w:r>
          </w:p>
        </w:tc>
        <w:tc>
          <w:tcPr>
            <w:tcW w:w="768" w:type="dxa"/>
            <w:tcBorders>
              <w:top w:val="nil"/>
              <w:left w:val="nil"/>
              <w:bottom w:val="nil"/>
              <w:right w:val="nil"/>
            </w:tcBorders>
            <w:shd w:val="clear" w:color="auto" w:fill="auto"/>
            <w:noWrap/>
            <w:vAlign w:val="bottom"/>
            <w:hideMark/>
          </w:tcPr>
          <w:p w14:paraId="40E9884C" w14:textId="77777777" w:rsidR="00DE156A" w:rsidRDefault="00DE156A" w:rsidP="005A3B4D">
            <w:pPr>
              <w:jc w:val="right"/>
              <w:rPr>
                <w:color w:val="000000"/>
                <w:sz w:val="20"/>
                <w:szCs w:val="20"/>
              </w:rPr>
            </w:pPr>
            <w:r>
              <w:rPr>
                <w:color w:val="000000"/>
                <w:sz w:val="20"/>
                <w:szCs w:val="20"/>
              </w:rPr>
              <w:t>0.010</w:t>
            </w:r>
          </w:p>
        </w:tc>
      </w:tr>
      <w:tr w:rsidR="00DE156A" w14:paraId="498EE83F" w14:textId="77777777" w:rsidTr="005A3B4D">
        <w:trPr>
          <w:trHeight w:val="320"/>
        </w:trPr>
        <w:tc>
          <w:tcPr>
            <w:tcW w:w="1176" w:type="dxa"/>
            <w:tcBorders>
              <w:top w:val="nil"/>
              <w:left w:val="nil"/>
              <w:bottom w:val="nil"/>
              <w:right w:val="nil"/>
            </w:tcBorders>
            <w:shd w:val="clear" w:color="auto" w:fill="auto"/>
            <w:noWrap/>
            <w:vAlign w:val="bottom"/>
            <w:hideMark/>
          </w:tcPr>
          <w:p w14:paraId="64ACBF39"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230DFD2"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8076DA1" w14:textId="77777777" w:rsidR="00DE156A" w:rsidRDefault="00DE156A" w:rsidP="005A3B4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10059A60" w14:textId="77777777" w:rsidR="00DE156A" w:rsidRDefault="00DE156A" w:rsidP="005A3B4D">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42000308"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5811F8D" w14:textId="77777777" w:rsidR="00DE156A" w:rsidRDefault="00DE156A" w:rsidP="005A3B4D">
            <w:pPr>
              <w:jc w:val="right"/>
              <w:rPr>
                <w:b/>
                <w:bCs/>
                <w:color w:val="000000"/>
                <w:sz w:val="20"/>
                <w:szCs w:val="20"/>
              </w:rPr>
            </w:pPr>
            <w:r>
              <w:rPr>
                <w:b/>
                <w:bCs/>
                <w:color w:val="000000"/>
                <w:sz w:val="20"/>
                <w:szCs w:val="20"/>
              </w:rPr>
              <w:t>-0.119</w:t>
            </w:r>
          </w:p>
        </w:tc>
        <w:tc>
          <w:tcPr>
            <w:tcW w:w="768" w:type="dxa"/>
            <w:tcBorders>
              <w:top w:val="nil"/>
              <w:left w:val="nil"/>
              <w:bottom w:val="nil"/>
              <w:right w:val="nil"/>
            </w:tcBorders>
            <w:shd w:val="clear" w:color="auto" w:fill="auto"/>
            <w:noWrap/>
            <w:vAlign w:val="bottom"/>
            <w:hideMark/>
          </w:tcPr>
          <w:p w14:paraId="15A42F4E" w14:textId="77777777" w:rsidR="00DE156A" w:rsidRDefault="00DE156A" w:rsidP="005A3B4D">
            <w:pPr>
              <w:jc w:val="right"/>
              <w:rPr>
                <w:b/>
                <w:bCs/>
                <w:color w:val="000000"/>
                <w:sz w:val="20"/>
                <w:szCs w:val="20"/>
              </w:rPr>
            </w:pPr>
            <w:r>
              <w:rPr>
                <w:b/>
                <w:bCs/>
                <w:color w:val="000000"/>
                <w:sz w:val="20"/>
                <w:szCs w:val="20"/>
              </w:rPr>
              <w:t>0.035</w:t>
            </w:r>
          </w:p>
        </w:tc>
        <w:tc>
          <w:tcPr>
            <w:tcW w:w="768" w:type="dxa"/>
            <w:tcBorders>
              <w:top w:val="nil"/>
              <w:left w:val="nil"/>
              <w:bottom w:val="nil"/>
              <w:right w:val="nil"/>
            </w:tcBorders>
            <w:shd w:val="clear" w:color="auto" w:fill="auto"/>
            <w:noWrap/>
            <w:vAlign w:val="bottom"/>
            <w:hideMark/>
          </w:tcPr>
          <w:p w14:paraId="56B776F6" w14:textId="77777777" w:rsidR="00DE156A" w:rsidRDefault="00DE156A" w:rsidP="005A3B4D">
            <w:pPr>
              <w:jc w:val="right"/>
              <w:rPr>
                <w:color w:val="000000"/>
                <w:sz w:val="20"/>
                <w:szCs w:val="20"/>
              </w:rPr>
            </w:pPr>
            <w:r>
              <w:rPr>
                <w:b/>
                <w:bCs/>
                <w:color w:val="000000"/>
                <w:sz w:val="20"/>
                <w:szCs w:val="20"/>
              </w:rPr>
              <w:t>0.014</w:t>
            </w:r>
          </w:p>
        </w:tc>
        <w:tc>
          <w:tcPr>
            <w:tcW w:w="768" w:type="dxa"/>
            <w:tcBorders>
              <w:top w:val="nil"/>
              <w:left w:val="nil"/>
              <w:bottom w:val="nil"/>
              <w:right w:val="nil"/>
            </w:tcBorders>
            <w:shd w:val="clear" w:color="auto" w:fill="auto"/>
            <w:noWrap/>
            <w:vAlign w:val="bottom"/>
            <w:hideMark/>
          </w:tcPr>
          <w:p w14:paraId="575B9AF9"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05539F7"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109DAE1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2BAD67" w14:textId="77777777" w:rsidR="00DE156A" w:rsidRDefault="00DE156A"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02A7F920" w14:textId="77777777" w:rsidR="00DE156A" w:rsidRDefault="00DE156A" w:rsidP="005A3B4D">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010CF6A7"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95F16B8" w14:textId="77777777" w:rsidR="00DE156A" w:rsidRDefault="00DE156A"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7FF78E90" w14:textId="77777777" w:rsidR="00DE156A" w:rsidRDefault="00DE156A" w:rsidP="005A3B4D">
            <w:pPr>
              <w:jc w:val="right"/>
              <w:rPr>
                <w:color w:val="000000"/>
                <w:sz w:val="20"/>
                <w:szCs w:val="20"/>
              </w:rPr>
            </w:pPr>
            <w:r>
              <w:rPr>
                <w:color w:val="000000"/>
                <w:sz w:val="20"/>
                <w:szCs w:val="20"/>
              </w:rPr>
              <w:t>0.852</w:t>
            </w:r>
          </w:p>
        </w:tc>
        <w:tc>
          <w:tcPr>
            <w:tcW w:w="768" w:type="dxa"/>
            <w:tcBorders>
              <w:top w:val="nil"/>
              <w:left w:val="nil"/>
              <w:bottom w:val="nil"/>
              <w:right w:val="nil"/>
            </w:tcBorders>
            <w:shd w:val="clear" w:color="auto" w:fill="auto"/>
            <w:noWrap/>
            <w:vAlign w:val="bottom"/>
            <w:hideMark/>
          </w:tcPr>
          <w:p w14:paraId="572535D4" w14:textId="77777777" w:rsidR="00DE156A" w:rsidRDefault="00DE156A" w:rsidP="005A3B4D">
            <w:pPr>
              <w:jc w:val="right"/>
              <w:rPr>
                <w:color w:val="000000"/>
                <w:sz w:val="20"/>
                <w:szCs w:val="20"/>
              </w:rPr>
            </w:pPr>
            <w:r>
              <w:rPr>
                <w:color w:val="000000"/>
                <w:sz w:val="20"/>
                <w:szCs w:val="20"/>
              </w:rPr>
              <w:t>0.002</w:t>
            </w:r>
          </w:p>
        </w:tc>
      </w:tr>
      <w:tr w:rsidR="00DE156A" w14:paraId="45CC0B05" w14:textId="77777777" w:rsidTr="005A3B4D">
        <w:trPr>
          <w:trHeight w:val="320"/>
        </w:trPr>
        <w:tc>
          <w:tcPr>
            <w:tcW w:w="1176" w:type="dxa"/>
            <w:tcBorders>
              <w:top w:val="nil"/>
              <w:left w:val="nil"/>
              <w:bottom w:val="nil"/>
              <w:right w:val="nil"/>
            </w:tcBorders>
            <w:shd w:val="clear" w:color="auto" w:fill="auto"/>
            <w:noWrap/>
            <w:vAlign w:val="bottom"/>
            <w:hideMark/>
          </w:tcPr>
          <w:p w14:paraId="0A7097C0"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C7A5294"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BBEC997" w14:textId="77777777" w:rsidR="00DE156A" w:rsidRDefault="00DE156A"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14866D3" w14:textId="77777777" w:rsidR="00DE156A" w:rsidRDefault="00DE156A" w:rsidP="005A3B4D">
            <w:pPr>
              <w:jc w:val="right"/>
              <w:rPr>
                <w:color w:val="000000"/>
                <w:sz w:val="20"/>
                <w:szCs w:val="20"/>
              </w:rPr>
            </w:pPr>
            <w:r>
              <w:rPr>
                <w:color w:val="000000"/>
                <w:sz w:val="20"/>
                <w:szCs w:val="20"/>
              </w:rPr>
              <w:t>0.424</w:t>
            </w:r>
          </w:p>
        </w:tc>
        <w:tc>
          <w:tcPr>
            <w:tcW w:w="768" w:type="dxa"/>
            <w:tcBorders>
              <w:top w:val="nil"/>
              <w:left w:val="nil"/>
              <w:bottom w:val="nil"/>
              <w:right w:val="nil"/>
            </w:tcBorders>
            <w:shd w:val="clear" w:color="auto" w:fill="auto"/>
            <w:noWrap/>
            <w:vAlign w:val="bottom"/>
            <w:hideMark/>
          </w:tcPr>
          <w:p w14:paraId="519D4C45"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A83E5EF"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118D239" w14:textId="77777777" w:rsidR="00DE156A" w:rsidRDefault="00DE156A" w:rsidP="005A3B4D">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4045AAB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B36920"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CD4DC5F" w14:textId="77777777" w:rsidR="00DE156A" w:rsidRDefault="00DE156A" w:rsidP="005A3B4D">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4D1709F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E73B2E"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CD60863" w14:textId="77777777" w:rsidR="00DE156A" w:rsidRDefault="00DE156A" w:rsidP="005A3B4D">
            <w:pPr>
              <w:jc w:val="right"/>
              <w:rPr>
                <w:color w:val="000000"/>
                <w:sz w:val="20"/>
                <w:szCs w:val="20"/>
              </w:rPr>
            </w:pPr>
            <w:r>
              <w:rPr>
                <w:color w:val="000000"/>
                <w:sz w:val="20"/>
                <w:szCs w:val="20"/>
              </w:rPr>
              <w:t>0.810</w:t>
            </w:r>
          </w:p>
        </w:tc>
        <w:tc>
          <w:tcPr>
            <w:tcW w:w="768" w:type="dxa"/>
            <w:tcBorders>
              <w:top w:val="nil"/>
              <w:left w:val="nil"/>
              <w:bottom w:val="nil"/>
              <w:right w:val="nil"/>
            </w:tcBorders>
            <w:shd w:val="clear" w:color="auto" w:fill="auto"/>
            <w:noWrap/>
            <w:vAlign w:val="bottom"/>
            <w:hideMark/>
          </w:tcPr>
          <w:p w14:paraId="4A0C8C0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653FCF" w14:textId="77777777" w:rsidR="00DE156A" w:rsidRDefault="00DE156A" w:rsidP="005A3B4D">
            <w:pPr>
              <w:jc w:val="right"/>
              <w:rPr>
                <w:b/>
                <w:bCs/>
                <w:color w:val="000000"/>
                <w:sz w:val="20"/>
                <w:szCs w:val="20"/>
              </w:rPr>
            </w:pPr>
            <w:r>
              <w:rPr>
                <w:b/>
                <w:bCs/>
                <w:color w:val="000000"/>
                <w:sz w:val="20"/>
                <w:szCs w:val="20"/>
              </w:rPr>
              <w:t>0.111</w:t>
            </w:r>
          </w:p>
        </w:tc>
        <w:tc>
          <w:tcPr>
            <w:tcW w:w="768" w:type="dxa"/>
            <w:tcBorders>
              <w:top w:val="nil"/>
              <w:left w:val="nil"/>
              <w:bottom w:val="nil"/>
              <w:right w:val="nil"/>
            </w:tcBorders>
            <w:shd w:val="clear" w:color="auto" w:fill="auto"/>
            <w:noWrap/>
            <w:vAlign w:val="bottom"/>
            <w:hideMark/>
          </w:tcPr>
          <w:p w14:paraId="6D4DE2C8" w14:textId="77777777" w:rsidR="00DE156A" w:rsidRDefault="00DE156A" w:rsidP="005A3B4D">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6001F2CA" w14:textId="77777777" w:rsidR="00DE156A" w:rsidRDefault="00DE156A" w:rsidP="005A3B4D">
            <w:pPr>
              <w:jc w:val="right"/>
              <w:rPr>
                <w:color w:val="000000"/>
                <w:sz w:val="20"/>
                <w:szCs w:val="20"/>
              </w:rPr>
            </w:pPr>
            <w:r>
              <w:rPr>
                <w:b/>
                <w:bCs/>
                <w:color w:val="000000"/>
                <w:sz w:val="20"/>
                <w:szCs w:val="20"/>
              </w:rPr>
              <w:t>0.012</w:t>
            </w:r>
          </w:p>
        </w:tc>
      </w:tr>
      <w:tr w:rsidR="00DE156A" w14:paraId="477E34DA" w14:textId="77777777" w:rsidTr="005A3B4D">
        <w:trPr>
          <w:trHeight w:val="320"/>
        </w:trPr>
        <w:tc>
          <w:tcPr>
            <w:tcW w:w="1176" w:type="dxa"/>
            <w:tcBorders>
              <w:top w:val="nil"/>
              <w:left w:val="nil"/>
              <w:bottom w:val="nil"/>
              <w:right w:val="nil"/>
            </w:tcBorders>
            <w:shd w:val="clear" w:color="auto" w:fill="auto"/>
            <w:noWrap/>
            <w:vAlign w:val="bottom"/>
            <w:hideMark/>
          </w:tcPr>
          <w:p w14:paraId="3FCF9E46"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AF7CD02"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F807695"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E51F616" w14:textId="77777777" w:rsidR="00DE156A" w:rsidRDefault="00DE156A"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595AA087"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CD42AC" w14:textId="77777777" w:rsidR="00DE156A" w:rsidRDefault="00DE156A"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51837BFA" w14:textId="77777777" w:rsidR="00DE156A" w:rsidRDefault="00DE156A" w:rsidP="005A3B4D">
            <w:pPr>
              <w:jc w:val="right"/>
              <w:rPr>
                <w:color w:val="000000"/>
                <w:sz w:val="20"/>
                <w:szCs w:val="20"/>
              </w:rPr>
            </w:pPr>
            <w:r>
              <w:rPr>
                <w:color w:val="000000"/>
                <w:sz w:val="20"/>
                <w:szCs w:val="20"/>
              </w:rPr>
              <w:t>0.597</w:t>
            </w:r>
          </w:p>
        </w:tc>
        <w:tc>
          <w:tcPr>
            <w:tcW w:w="768" w:type="dxa"/>
            <w:tcBorders>
              <w:top w:val="nil"/>
              <w:left w:val="nil"/>
              <w:bottom w:val="nil"/>
              <w:right w:val="nil"/>
            </w:tcBorders>
            <w:shd w:val="clear" w:color="auto" w:fill="auto"/>
            <w:noWrap/>
            <w:vAlign w:val="bottom"/>
            <w:hideMark/>
          </w:tcPr>
          <w:p w14:paraId="3C380834"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9F7953" w14:textId="77777777" w:rsidR="00DE156A" w:rsidRDefault="00DE156A" w:rsidP="005A3B4D">
            <w:pPr>
              <w:jc w:val="right"/>
              <w:rPr>
                <w:b/>
                <w:bCs/>
                <w:color w:val="000000"/>
                <w:sz w:val="20"/>
                <w:szCs w:val="20"/>
              </w:rPr>
            </w:pPr>
            <w:r>
              <w:rPr>
                <w:b/>
                <w:bCs/>
                <w:color w:val="000000"/>
                <w:sz w:val="20"/>
                <w:szCs w:val="20"/>
              </w:rPr>
              <w:t>0.097</w:t>
            </w:r>
          </w:p>
        </w:tc>
        <w:tc>
          <w:tcPr>
            <w:tcW w:w="768" w:type="dxa"/>
            <w:tcBorders>
              <w:top w:val="nil"/>
              <w:left w:val="nil"/>
              <w:bottom w:val="nil"/>
              <w:right w:val="nil"/>
            </w:tcBorders>
            <w:shd w:val="clear" w:color="auto" w:fill="auto"/>
            <w:noWrap/>
            <w:vAlign w:val="bottom"/>
            <w:hideMark/>
          </w:tcPr>
          <w:p w14:paraId="1CFE351A" w14:textId="77777777" w:rsidR="00DE156A" w:rsidRDefault="00DE156A" w:rsidP="005A3B4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5F47F904" w14:textId="77777777" w:rsidR="00DE156A" w:rsidRDefault="00DE156A" w:rsidP="005A3B4D">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6728EEBC" w14:textId="77777777" w:rsidR="00DE156A" w:rsidRDefault="00DE156A"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85B8BCC" w14:textId="77777777" w:rsidR="00DE156A" w:rsidRDefault="00DE156A" w:rsidP="005A3B4D">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5B0EE15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E84E80"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187AAA" w14:textId="77777777" w:rsidR="00DE156A" w:rsidRDefault="00DE156A" w:rsidP="005A3B4D">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29269065" w14:textId="77777777" w:rsidR="00DE156A" w:rsidRDefault="00DE156A" w:rsidP="005A3B4D">
            <w:pPr>
              <w:jc w:val="right"/>
              <w:rPr>
                <w:color w:val="000000"/>
                <w:sz w:val="20"/>
                <w:szCs w:val="20"/>
              </w:rPr>
            </w:pPr>
            <w:r>
              <w:rPr>
                <w:color w:val="000000"/>
                <w:sz w:val="20"/>
                <w:szCs w:val="20"/>
              </w:rPr>
              <w:t>0.000</w:t>
            </w:r>
          </w:p>
        </w:tc>
      </w:tr>
      <w:tr w:rsidR="00DE156A" w14:paraId="40005CC9"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4FBE77F2"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90C5634"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953FA2F" w14:textId="77777777" w:rsidR="00DE156A" w:rsidRDefault="00DE156A" w:rsidP="005A3B4D">
            <w:pPr>
              <w:jc w:val="right"/>
              <w:rPr>
                <w:color w:val="000000"/>
                <w:sz w:val="20"/>
                <w:szCs w:val="20"/>
              </w:rPr>
            </w:pPr>
            <w:r>
              <w:rPr>
                <w:color w:val="000000"/>
                <w:sz w:val="20"/>
                <w:szCs w:val="20"/>
              </w:rPr>
              <w:t>-0.050</w:t>
            </w:r>
          </w:p>
        </w:tc>
        <w:tc>
          <w:tcPr>
            <w:tcW w:w="768" w:type="dxa"/>
            <w:tcBorders>
              <w:top w:val="nil"/>
              <w:left w:val="nil"/>
              <w:bottom w:val="single" w:sz="4" w:space="0" w:color="auto"/>
              <w:right w:val="nil"/>
            </w:tcBorders>
            <w:shd w:val="clear" w:color="auto" w:fill="auto"/>
            <w:noWrap/>
            <w:vAlign w:val="bottom"/>
            <w:hideMark/>
          </w:tcPr>
          <w:p w14:paraId="35B1A921" w14:textId="77777777" w:rsidR="00DE156A" w:rsidRDefault="00DE156A" w:rsidP="005A3B4D">
            <w:pPr>
              <w:jc w:val="right"/>
              <w:rPr>
                <w:color w:val="000000"/>
                <w:sz w:val="20"/>
                <w:szCs w:val="20"/>
              </w:rPr>
            </w:pPr>
            <w:r>
              <w:rPr>
                <w:color w:val="000000"/>
                <w:sz w:val="20"/>
                <w:szCs w:val="20"/>
              </w:rPr>
              <w:t>0.627</w:t>
            </w:r>
          </w:p>
        </w:tc>
        <w:tc>
          <w:tcPr>
            <w:tcW w:w="768" w:type="dxa"/>
            <w:tcBorders>
              <w:top w:val="nil"/>
              <w:left w:val="nil"/>
              <w:bottom w:val="single" w:sz="4" w:space="0" w:color="auto"/>
              <w:right w:val="nil"/>
            </w:tcBorders>
            <w:shd w:val="clear" w:color="auto" w:fill="auto"/>
            <w:noWrap/>
            <w:vAlign w:val="bottom"/>
            <w:hideMark/>
          </w:tcPr>
          <w:p w14:paraId="7BB21879"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7A61D0B7"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1590F8F0" w14:textId="77777777" w:rsidR="00DE156A" w:rsidRDefault="00DE156A" w:rsidP="005A3B4D">
            <w:pPr>
              <w:jc w:val="right"/>
              <w:rPr>
                <w:color w:val="000000"/>
                <w:sz w:val="20"/>
                <w:szCs w:val="20"/>
              </w:rPr>
            </w:pPr>
            <w:r>
              <w:rPr>
                <w:color w:val="000000"/>
                <w:sz w:val="20"/>
                <w:szCs w:val="20"/>
              </w:rPr>
              <w:t>0.792</w:t>
            </w:r>
          </w:p>
        </w:tc>
        <w:tc>
          <w:tcPr>
            <w:tcW w:w="768" w:type="dxa"/>
            <w:tcBorders>
              <w:top w:val="nil"/>
              <w:left w:val="nil"/>
              <w:bottom w:val="single" w:sz="4" w:space="0" w:color="auto"/>
              <w:right w:val="nil"/>
            </w:tcBorders>
            <w:shd w:val="clear" w:color="auto" w:fill="auto"/>
            <w:noWrap/>
            <w:vAlign w:val="bottom"/>
            <w:hideMark/>
          </w:tcPr>
          <w:p w14:paraId="75AADDC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70B569D" w14:textId="77777777" w:rsidR="00DE156A" w:rsidRDefault="00DE156A" w:rsidP="005A3B4D">
            <w:pPr>
              <w:jc w:val="right"/>
              <w:rPr>
                <w:color w:val="000000"/>
                <w:sz w:val="20"/>
                <w:szCs w:val="20"/>
              </w:rPr>
            </w:pPr>
            <w:r>
              <w:rPr>
                <w:color w:val="000000"/>
                <w:sz w:val="20"/>
                <w:szCs w:val="20"/>
              </w:rPr>
              <w:t>0.043</w:t>
            </w:r>
          </w:p>
        </w:tc>
        <w:tc>
          <w:tcPr>
            <w:tcW w:w="768" w:type="dxa"/>
            <w:tcBorders>
              <w:top w:val="nil"/>
              <w:left w:val="nil"/>
              <w:bottom w:val="single" w:sz="4" w:space="0" w:color="auto"/>
              <w:right w:val="nil"/>
            </w:tcBorders>
            <w:shd w:val="clear" w:color="auto" w:fill="auto"/>
            <w:noWrap/>
            <w:vAlign w:val="bottom"/>
            <w:hideMark/>
          </w:tcPr>
          <w:p w14:paraId="4906A2C5" w14:textId="77777777" w:rsidR="00DE156A" w:rsidRDefault="00DE156A" w:rsidP="005A3B4D">
            <w:pPr>
              <w:jc w:val="right"/>
              <w:rPr>
                <w:color w:val="000000"/>
                <w:sz w:val="20"/>
                <w:szCs w:val="20"/>
              </w:rPr>
            </w:pPr>
            <w:r>
              <w:rPr>
                <w:color w:val="000000"/>
                <w:sz w:val="20"/>
                <w:szCs w:val="20"/>
              </w:rPr>
              <w:t>0.678</w:t>
            </w:r>
          </w:p>
        </w:tc>
        <w:tc>
          <w:tcPr>
            <w:tcW w:w="768" w:type="dxa"/>
            <w:tcBorders>
              <w:top w:val="nil"/>
              <w:left w:val="nil"/>
              <w:bottom w:val="single" w:sz="4" w:space="0" w:color="auto"/>
              <w:right w:val="nil"/>
            </w:tcBorders>
            <w:shd w:val="clear" w:color="auto" w:fill="auto"/>
            <w:noWrap/>
            <w:vAlign w:val="bottom"/>
            <w:hideMark/>
          </w:tcPr>
          <w:p w14:paraId="1E9F4253"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5EC02D10" w14:textId="77777777" w:rsidR="00DE156A" w:rsidRDefault="00DE156A" w:rsidP="005A3B4D">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0D8DA086" w14:textId="77777777" w:rsidR="00DE156A" w:rsidRDefault="00DE156A" w:rsidP="005A3B4D">
            <w:pPr>
              <w:jc w:val="right"/>
              <w:rPr>
                <w:color w:val="000000"/>
                <w:sz w:val="20"/>
                <w:szCs w:val="20"/>
              </w:rPr>
            </w:pPr>
            <w:r>
              <w:rPr>
                <w:color w:val="000000"/>
                <w:sz w:val="20"/>
                <w:szCs w:val="20"/>
              </w:rPr>
              <w:t>0.768</w:t>
            </w:r>
          </w:p>
        </w:tc>
        <w:tc>
          <w:tcPr>
            <w:tcW w:w="768" w:type="dxa"/>
            <w:tcBorders>
              <w:top w:val="nil"/>
              <w:left w:val="nil"/>
              <w:bottom w:val="single" w:sz="4" w:space="0" w:color="auto"/>
              <w:right w:val="nil"/>
            </w:tcBorders>
            <w:shd w:val="clear" w:color="auto" w:fill="auto"/>
            <w:noWrap/>
            <w:vAlign w:val="bottom"/>
            <w:hideMark/>
          </w:tcPr>
          <w:p w14:paraId="0D53E2C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62F2183" w14:textId="77777777" w:rsidR="00DE156A" w:rsidRDefault="00DE156A" w:rsidP="005A3B4D">
            <w:pPr>
              <w:jc w:val="right"/>
              <w:rPr>
                <w:color w:val="000000"/>
                <w:sz w:val="20"/>
                <w:szCs w:val="20"/>
              </w:rPr>
            </w:pPr>
            <w:r>
              <w:rPr>
                <w:color w:val="000000"/>
                <w:sz w:val="20"/>
                <w:szCs w:val="20"/>
              </w:rPr>
              <w:t>-0.064</w:t>
            </w:r>
          </w:p>
        </w:tc>
        <w:tc>
          <w:tcPr>
            <w:tcW w:w="768" w:type="dxa"/>
            <w:tcBorders>
              <w:top w:val="nil"/>
              <w:left w:val="nil"/>
              <w:bottom w:val="single" w:sz="4" w:space="0" w:color="auto"/>
              <w:right w:val="nil"/>
            </w:tcBorders>
            <w:shd w:val="clear" w:color="auto" w:fill="auto"/>
            <w:noWrap/>
            <w:vAlign w:val="bottom"/>
            <w:hideMark/>
          </w:tcPr>
          <w:p w14:paraId="39259427" w14:textId="77777777" w:rsidR="00DE156A" w:rsidRDefault="00DE156A" w:rsidP="005A3B4D">
            <w:pPr>
              <w:jc w:val="right"/>
              <w:rPr>
                <w:color w:val="000000"/>
                <w:sz w:val="20"/>
                <w:szCs w:val="20"/>
              </w:rPr>
            </w:pPr>
            <w:r>
              <w:rPr>
                <w:color w:val="000000"/>
                <w:sz w:val="20"/>
                <w:szCs w:val="20"/>
              </w:rPr>
              <w:t>0.320</w:t>
            </w:r>
          </w:p>
        </w:tc>
        <w:tc>
          <w:tcPr>
            <w:tcW w:w="768" w:type="dxa"/>
            <w:tcBorders>
              <w:top w:val="nil"/>
              <w:left w:val="nil"/>
              <w:bottom w:val="single" w:sz="4" w:space="0" w:color="auto"/>
              <w:right w:val="nil"/>
            </w:tcBorders>
            <w:shd w:val="clear" w:color="auto" w:fill="auto"/>
            <w:noWrap/>
            <w:vAlign w:val="bottom"/>
            <w:hideMark/>
          </w:tcPr>
          <w:p w14:paraId="71B175C8" w14:textId="77777777" w:rsidR="00DE156A" w:rsidRDefault="00DE156A" w:rsidP="005A3B4D">
            <w:pPr>
              <w:jc w:val="right"/>
              <w:rPr>
                <w:color w:val="000000"/>
                <w:sz w:val="20"/>
                <w:szCs w:val="20"/>
              </w:rPr>
            </w:pPr>
            <w:r>
              <w:rPr>
                <w:color w:val="000000"/>
                <w:sz w:val="20"/>
                <w:szCs w:val="20"/>
              </w:rPr>
              <w:t>0.004</w:t>
            </w:r>
          </w:p>
        </w:tc>
      </w:tr>
      <w:tr w:rsidR="00DE156A" w14:paraId="2459E632" w14:textId="77777777" w:rsidTr="005A3B4D">
        <w:trPr>
          <w:trHeight w:val="320"/>
        </w:trPr>
        <w:tc>
          <w:tcPr>
            <w:tcW w:w="1176" w:type="dxa"/>
            <w:tcBorders>
              <w:top w:val="nil"/>
              <w:left w:val="nil"/>
              <w:bottom w:val="nil"/>
              <w:right w:val="nil"/>
            </w:tcBorders>
            <w:shd w:val="clear" w:color="auto" w:fill="auto"/>
            <w:noWrap/>
            <w:vAlign w:val="bottom"/>
            <w:hideMark/>
          </w:tcPr>
          <w:p w14:paraId="68F470D8" w14:textId="77777777" w:rsidR="00DE156A" w:rsidRDefault="00DE156A"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049A08E8"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454581E"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2C53457" w14:textId="77777777" w:rsidR="00DE156A" w:rsidRDefault="00DE156A" w:rsidP="005A3B4D">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7275C55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20B5B5"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0E7BA98" w14:textId="77777777" w:rsidR="00DE156A" w:rsidRDefault="00DE156A" w:rsidP="005A3B4D">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74EE2AE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F04637" w14:textId="77777777" w:rsidR="00DE156A" w:rsidRDefault="00DE156A"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6FC2A0A4" w14:textId="77777777" w:rsidR="00DE156A" w:rsidRDefault="00DE156A"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1899ACBD"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849D8F"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C9D5B0E" w14:textId="77777777" w:rsidR="00DE156A" w:rsidRDefault="00DE156A" w:rsidP="005A3B4D">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2BBAF557"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62C87F" w14:textId="77777777" w:rsidR="00DE156A" w:rsidRDefault="00DE156A"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EB28B52" w14:textId="77777777" w:rsidR="00DE156A" w:rsidRDefault="00DE156A" w:rsidP="005A3B4D">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5297CB2A" w14:textId="77777777" w:rsidR="00DE156A" w:rsidRDefault="00DE156A" w:rsidP="005A3B4D">
            <w:pPr>
              <w:jc w:val="right"/>
              <w:rPr>
                <w:color w:val="000000"/>
                <w:sz w:val="20"/>
                <w:szCs w:val="20"/>
              </w:rPr>
            </w:pPr>
            <w:r>
              <w:rPr>
                <w:color w:val="000000"/>
                <w:sz w:val="20"/>
                <w:szCs w:val="20"/>
              </w:rPr>
              <w:t>0.002</w:t>
            </w:r>
          </w:p>
        </w:tc>
      </w:tr>
      <w:tr w:rsidR="00DE156A" w14:paraId="09BE6536" w14:textId="77777777" w:rsidTr="005A3B4D">
        <w:trPr>
          <w:trHeight w:val="320"/>
        </w:trPr>
        <w:tc>
          <w:tcPr>
            <w:tcW w:w="1176" w:type="dxa"/>
            <w:tcBorders>
              <w:top w:val="nil"/>
              <w:left w:val="nil"/>
              <w:bottom w:val="nil"/>
              <w:right w:val="nil"/>
            </w:tcBorders>
            <w:shd w:val="clear" w:color="auto" w:fill="auto"/>
            <w:noWrap/>
            <w:vAlign w:val="bottom"/>
            <w:hideMark/>
          </w:tcPr>
          <w:p w14:paraId="27E0E122"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29AE70"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F15FDC4"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9B52471" w14:textId="77777777" w:rsidR="00DE156A" w:rsidRDefault="00DE156A" w:rsidP="005A3B4D">
            <w:pPr>
              <w:jc w:val="right"/>
              <w:rPr>
                <w:color w:val="000000"/>
                <w:sz w:val="20"/>
                <w:szCs w:val="20"/>
              </w:rPr>
            </w:pPr>
            <w:r>
              <w:rPr>
                <w:color w:val="000000"/>
                <w:sz w:val="20"/>
                <w:szCs w:val="20"/>
              </w:rPr>
              <w:t>0.693</w:t>
            </w:r>
          </w:p>
        </w:tc>
        <w:tc>
          <w:tcPr>
            <w:tcW w:w="768" w:type="dxa"/>
            <w:tcBorders>
              <w:top w:val="nil"/>
              <w:left w:val="nil"/>
              <w:bottom w:val="nil"/>
              <w:right w:val="nil"/>
            </w:tcBorders>
            <w:shd w:val="clear" w:color="auto" w:fill="auto"/>
            <w:noWrap/>
            <w:vAlign w:val="bottom"/>
            <w:hideMark/>
          </w:tcPr>
          <w:p w14:paraId="5543CD87"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30A304"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5EA844D" w14:textId="77777777" w:rsidR="00DE156A" w:rsidRDefault="00DE156A" w:rsidP="005A3B4D">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20E2727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4EEA32"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07B5044" w14:textId="77777777" w:rsidR="00DE156A" w:rsidRDefault="00DE156A" w:rsidP="005A3B4D">
            <w:pPr>
              <w:jc w:val="right"/>
              <w:rPr>
                <w:color w:val="000000"/>
                <w:sz w:val="20"/>
                <w:szCs w:val="20"/>
              </w:rPr>
            </w:pPr>
            <w:r>
              <w:rPr>
                <w:color w:val="000000"/>
                <w:sz w:val="20"/>
                <w:szCs w:val="20"/>
              </w:rPr>
              <w:t>0.685</w:t>
            </w:r>
          </w:p>
        </w:tc>
        <w:tc>
          <w:tcPr>
            <w:tcW w:w="768" w:type="dxa"/>
            <w:tcBorders>
              <w:top w:val="nil"/>
              <w:left w:val="nil"/>
              <w:bottom w:val="nil"/>
              <w:right w:val="nil"/>
            </w:tcBorders>
            <w:shd w:val="clear" w:color="auto" w:fill="auto"/>
            <w:noWrap/>
            <w:vAlign w:val="bottom"/>
            <w:hideMark/>
          </w:tcPr>
          <w:p w14:paraId="05C2FAD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1E2EE0" w14:textId="77777777" w:rsidR="00DE156A" w:rsidRDefault="00DE156A"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4F90B43" w14:textId="77777777" w:rsidR="00DE156A" w:rsidRDefault="00DE156A" w:rsidP="005A3B4D">
            <w:pPr>
              <w:jc w:val="right"/>
              <w:rPr>
                <w:color w:val="000000"/>
                <w:sz w:val="20"/>
                <w:szCs w:val="20"/>
              </w:rPr>
            </w:pPr>
            <w:r>
              <w:rPr>
                <w:color w:val="000000"/>
                <w:sz w:val="20"/>
                <w:szCs w:val="20"/>
              </w:rPr>
              <w:t>0.376</w:t>
            </w:r>
          </w:p>
        </w:tc>
        <w:tc>
          <w:tcPr>
            <w:tcW w:w="768" w:type="dxa"/>
            <w:tcBorders>
              <w:top w:val="nil"/>
              <w:left w:val="nil"/>
              <w:bottom w:val="nil"/>
              <w:right w:val="nil"/>
            </w:tcBorders>
            <w:shd w:val="clear" w:color="auto" w:fill="auto"/>
            <w:noWrap/>
            <w:vAlign w:val="bottom"/>
            <w:hideMark/>
          </w:tcPr>
          <w:p w14:paraId="5131D28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670A17"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EFB0E44" w14:textId="77777777" w:rsidR="00DE156A" w:rsidRDefault="00DE156A" w:rsidP="005A3B4D">
            <w:pPr>
              <w:jc w:val="right"/>
              <w:rPr>
                <w:color w:val="000000"/>
                <w:sz w:val="20"/>
                <w:szCs w:val="20"/>
              </w:rPr>
            </w:pPr>
            <w:r>
              <w:rPr>
                <w:color w:val="000000"/>
                <w:sz w:val="20"/>
                <w:szCs w:val="20"/>
              </w:rPr>
              <w:t>0.603</w:t>
            </w:r>
          </w:p>
        </w:tc>
        <w:tc>
          <w:tcPr>
            <w:tcW w:w="768" w:type="dxa"/>
            <w:tcBorders>
              <w:top w:val="nil"/>
              <w:left w:val="nil"/>
              <w:bottom w:val="nil"/>
              <w:right w:val="nil"/>
            </w:tcBorders>
            <w:shd w:val="clear" w:color="auto" w:fill="auto"/>
            <w:noWrap/>
            <w:vAlign w:val="bottom"/>
            <w:hideMark/>
          </w:tcPr>
          <w:p w14:paraId="705F0E8F" w14:textId="77777777" w:rsidR="00DE156A" w:rsidRDefault="00DE156A" w:rsidP="005A3B4D">
            <w:pPr>
              <w:jc w:val="right"/>
              <w:rPr>
                <w:color w:val="000000"/>
                <w:sz w:val="20"/>
                <w:szCs w:val="20"/>
              </w:rPr>
            </w:pPr>
            <w:r>
              <w:rPr>
                <w:color w:val="000000"/>
                <w:sz w:val="20"/>
                <w:szCs w:val="20"/>
              </w:rPr>
              <w:t>0.000</w:t>
            </w:r>
          </w:p>
        </w:tc>
      </w:tr>
      <w:tr w:rsidR="00DE156A" w14:paraId="3EFCA735" w14:textId="77777777" w:rsidTr="005A3B4D">
        <w:trPr>
          <w:trHeight w:val="320"/>
        </w:trPr>
        <w:tc>
          <w:tcPr>
            <w:tcW w:w="1176" w:type="dxa"/>
            <w:tcBorders>
              <w:top w:val="nil"/>
              <w:left w:val="nil"/>
              <w:bottom w:val="nil"/>
              <w:right w:val="nil"/>
            </w:tcBorders>
            <w:shd w:val="clear" w:color="auto" w:fill="auto"/>
            <w:noWrap/>
            <w:vAlign w:val="bottom"/>
            <w:hideMark/>
          </w:tcPr>
          <w:p w14:paraId="683D7366"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810565"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8B8B867" w14:textId="77777777" w:rsidR="00DE156A" w:rsidRDefault="00DE156A"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187108C" w14:textId="77777777" w:rsidR="00DE156A" w:rsidRDefault="00DE156A" w:rsidP="005A3B4D">
            <w:pPr>
              <w:jc w:val="right"/>
              <w:rPr>
                <w:color w:val="000000"/>
                <w:sz w:val="20"/>
                <w:szCs w:val="20"/>
              </w:rPr>
            </w:pPr>
            <w:r>
              <w:rPr>
                <w:color w:val="000000"/>
                <w:sz w:val="20"/>
                <w:szCs w:val="20"/>
              </w:rPr>
              <w:t>0.693</w:t>
            </w:r>
          </w:p>
        </w:tc>
        <w:tc>
          <w:tcPr>
            <w:tcW w:w="768" w:type="dxa"/>
            <w:tcBorders>
              <w:top w:val="nil"/>
              <w:left w:val="nil"/>
              <w:bottom w:val="nil"/>
              <w:right w:val="nil"/>
            </w:tcBorders>
            <w:shd w:val="clear" w:color="auto" w:fill="auto"/>
            <w:noWrap/>
            <w:vAlign w:val="bottom"/>
            <w:hideMark/>
          </w:tcPr>
          <w:p w14:paraId="4592AF7D"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632614" w14:textId="77777777" w:rsidR="00DE156A" w:rsidRDefault="00DE156A"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21B894AD" w14:textId="77777777" w:rsidR="00DE156A" w:rsidRDefault="00DE156A" w:rsidP="005A3B4D">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412C684B"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A9EEF8" w14:textId="77777777" w:rsidR="00DE156A" w:rsidRDefault="00DE156A"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15418540" w14:textId="77777777" w:rsidR="00DE156A" w:rsidRDefault="00DE156A"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0DA1A3F9"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D1C3205" w14:textId="77777777" w:rsidR="00DE156A" w:rsidRDefault="00DE156A" w:rsidP="005A3B4D">
            <w:pPr>
              <w:jc w:val="right"/>
              <w:rPr>
                <w:color w:val="000000"/>
                <w:sz w:val="20"/>
                <w:szCs w:val="20"/>
              </w:rPr>
            </w:pPr>
            <w:r>
              <w:rPr>
                <w:color w:val="000000"/>
                <w:sz w:val="20"/>
                <w:szCs w:val="20"/>
              </w:rPr>
              <w:t>0.089</w:t>
            </w:r>
          </w:p>
        </w:tc>
        <w:tc>
          <w:tcPr>
            <w:tcW w:w="768" w:type="dxa"/>
            <w:tcBorders>
              <w:top w:val="nil"/>
              <w:left w:val="nil"/>
              <w:bottom w:val="nil"/>
              <w:right w:val="nil"/>
            </w:tcBorders>
            <w:shd w:val="clear" w:color="auto" w:fill="auto"/>
            <w:noWrap/>
            <w:vAlign w:val="bottom"/>
            <w:hideMark/>
          </w:tcPr>
          <w:p w14:paraId="0DB7A3E4" w14:textId="77777777" w:rsidR="00DE156A" w:rsidRDefault="00DE156A" w:rsidP="005A3B4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59170C89"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448D223" w14:textId="77777777" w:rsidR="00DE156A" w:rsidRDefault="00DE156A" w:rsidP="005A3B4D">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58B277E8" w14:textId="77777777" w:rsidR="00DE156A" w:rsidRDefault="00DE156A" w:rsidP="005A3B4D">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51AEEE66" w14:textId="77777777" w:rsidR="00DE156A" w:rsidRDefault="00DE156A" w:rsidP="005A3B4D">
            <w:pPr>
              <w:jc w:val="right"/>
              <w:rPr>
                <w:color w:val="000000"/>
                <w:sz w:val="20"/>
                <w:szCs w:val="20"/>
              </w:rPr>
            </w:pPr>
            <w:r>
              <w:rPr>
                <w:color w:val="000000"/>
                <w:sz w:val="20"/>
                <w:szCs w:val="20"/>
              </w:rPr>
              <w:t>0.008</w:t>
            </w:r>
          </w:p>
        </w:tc>
      </w:tr>
      <w:tr w:rsidR="00DE156A" w14:paraId="4F988083" w14:textId="77777777" w:rsidTr="005A3B4D">
        <w:trPr>
          <w:trHeight w:val="320"/>
        </w:trPr>
        <w:tc>
          <w:tcPr>
            <w:tcW w:w="1176" w:type="dxa"/>
            <w:tcBorders>
              <w:top w:val="nil"/>
              <w:left w:val="nil"/>
              <w:bottom w:val="nil"/>
              <w:right w:val="nil"/>
            </w:tcBorders>
            <w:shd w:val="clear" w:color="auto" w:fill="auto"/>
            <w:noWrap/>
            <w:vAlign w:val="bottom"/>
            <w:hideMark/>
          </w:tcPr>
          <w:p w14:paraId="7DA76229"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6DAACB"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F3DF6CE"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2731F423" w14:textId="77777777" w:rsidR="00DE156A" w:rsidRDefault="00DE156A" w:rsidP="005A3B4D">
            <w:pPr>
              <w:jc w:val="right"/>
              <w:rPr>
                <w:color w:val="000000"/>
                <w:sz w:val="20"/>
                <w:szCs w:val="20"/>
              </w:rPr>
            </w:pPr>
            <w:r>
              <w:rPr>
                <w:color w:val="000000"/>
                <w:sz w:val="20"/>
                <w:szCs w:val="20"/>
              </w:rPr>
              <w:t>0.693</w:t>
            </w:r>
          </w:p>
        </w:tc>
        <w:tc>
          <w:tcPr>
            <w:tcW w:w="768" w:type="dxa"/>
            <w:tcBorders>
              <w:top w:val="nil"/>
              <w:left w:val="nil"/>
              <w:bottom w:val="nil"/>
              <w:right w:val="nil"/>
            </w:tcBorders>
            <w:shd w:val="clear" w:color="auto" w:fill="auto"/>
            <w:noWrap/>
            <w:vAlign w:val="bottom"/>
            <w:hideMark/>
          </w:tcPr>
          <w:p w14:paraId="426F982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E2C641C"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8096782" w14:textId="77777777" w:rsidR="00DE156A" w:rsidRDefault="00DE156A" w:rsidP="005A3B4D">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3BD497D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D1834B"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1A6C7F0" w14:textId="77777777" w:rsidR="00DE156A" w:rsidRDefault="00DE156A"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6651070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D882E6D" w14:textId="77777777" w:rsidR="00DE156A" w:rsidRDefault="00DE156A" w:rsidP="005A3B4D">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7C69E7FB" w14:textId="77777777" w:rsidR="00DE156A" w:rsidRDefault="00DE156A"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05F586F7"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7477218" w14:textId="77777777" w:rsidR="00DE156A" w:rsidRDefault="00DE156A"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AF0DDAE" w14:textId="77777777" w:rsidR="00DE156A" w:rsidRDefault="00DE156A" w:rsidP="005A3B4D">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157549AF" w14:textId="77777777" w:rsidR="00DE156A" w:rsidRDefault="00DE156A" w:rsidP="005A3B4D">
            <w:pPr>
              <w:jc w:val="right"/>
              <w:rPr>
                <w:color w:val="000000"/>
                <w:sz w:val="20"/>
                <w:szCs w:val="20"/>
              </w:rPr>
            </w:pPr>
            <w:r>
              <w:rPr>
                <w:color w:val="000000"/>
                <w:sz w:val="20"/>
                <w:szCs w:val="20"/>
              </w:rPr>
              <w:t>0.003</w:t>
            </w:r>
          </w:p>
        </w:tc>
      </w:tr>
      <w:tr w:rsidR="00DE156A" w14:paraId="0623E8AD" w14:textId="77777777" w:rsidTr="005A3B4D">
        <w:trPr>
          <w:trHeight w:val="320"/>
        </w:trPr>
        <w:tc>
          <w:tcPr>
            <w:tcW w:w="1176" w:type="dxa"/>
            <w:tcBorders>
              <w:top w:val="nil"/>
              <w:left w:val="nil"/>
              <w:bottom w:val="nil"/>
              <w:right w:val="nil"/>
            </w:tcBorders>
            <w:shd w:val="clear" w:color="auto" w:fill="auto"/>
            <w:noWrap/>
            <w:vAlign w:val="bottom"/>
            <w:hideMark/>
          </w:tcPr>
          <w:p w14:paraId="2886F570"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C8286FA"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68114FE" w14:textId="77777777" w:rsidR="00DE156A" w:rsidRDefault="00DE156A"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710F0486" w14:textId="77777777" w:rsidR="00DE156A" w:rsidRDefault="00DE156A" w:rsidP="005A3B4D">
            <w:pPr>
              <w:jc w:val="right"/>
              <w:rPr>
                <w:color w:val="000000"/>
                <w:sz w:val="20"/>
                <w:szCs w:val="20"/>
              </w:rPr>
            </w:pPr>
            <w:r>
              <w:rPr>
                <w:color w:val="000000"/>
                <w:sz w:val="20"/>
                <w:szCs w:val="20"/>
              </w:rPr>
              <w:t>0.693</w:t>
            </w:r>
          </w:p>
        </w:tc>
        <w:tc>
          <w:tcPr>
            <w:tcW w:w="768" w:type="dxa"/>
            <w:tcBorders>
              <w:top w:val="nil"/>
              <w:left w:val="nil"/>
              <w:bottom w:val="nil"/>
              <w:right w:val="nil"/>
            </w:tcBorders>
            <w:shd w:val="clear" w:color="auto" w:fill="auto"/>
            <w:noWrap/>
            <w:vAlign w:val="bottom"/>
            <w:hideMark/>
          </w:tcPr>
          <w:p w14:paraId="682D87F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C69967" w14:textId="77777777" w:rsidR="00DE156A" w:rsidRDefault="00DE156A"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EF7C981" w14:textId="77777777" w:rsidR="00DE156A" w:rsidRDefault="00DE156A" w:rsidP="005A3B4D">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22FA1F79"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9634FA"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D7B5AB9" w14:textId="77777777" w:rsidR="00DE156A" w:rsidRDefault="00DE156A"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10544772"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C45AAE5" w14:textId="77777777" w:rsidR="00DE156A" w:rsidRDefault="00DE156A"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67B9DBCB" w14:textId="77777777" w:rsidR="00DE156A" w:rsidRDefault="00DE156A" w:rsidP="005A3B4D">
            <w:pPr>
              <w:jc w:val="right"/>
              <w:rPr>
                <w:color w:val="000000"/>
                <w:sz w:val="20"/>
                <w:szCs w:val="20"/>
              </w:rPr>
            </w:pPr>
            <w:r>
              <w:rPr>
                <w:color w:val="000000"/>
                <w:sz w:val="20"/>
                <w:szCs w:val="20"/>
              </w:rPr>
              <w:t>0.376</w:t>
            </w:r>
          </w:p>
        </w:tc>
        <w:tc>
          <w:tcPr>
            <w:tcW w:w="768" w:type="dxa"/>
            <w:tcBorders>
              <w:top w:val="nil"/>
              <w:left w:val="nil"/>
              <w:bottom w:val="nil"/>
              <w:right w:val="nil"/>
            </w:tcBorders>
            <w:shd w:val="clear" w:color="auto" w:fill="auto"/>
            <w:noWrap/>
            <w:vAlign w:val="bottom"/>
            <w:hideMark/>
          </w:tcPr>
          <w:p w14:paraId="6031FB52"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8836D4D"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5050E1E" w14:textId="77777777" w:rsidR="00DE156A" w:rsidRDefault="00DE156A" w:rsidP="005A3B4D">
            <w:pPr>
              <w:jc w:val="right"/>
              <w:rPr>
                <w:color w:val="000000"/>
                <w:sz w:val="20"/>
                <w:szCs w:val="20"/>
              </w:rPr>
            </w:pPr>
            <w:r>
              <w:rPr>
                <w:color w:val="000000"/>
                <w:sz w:val="20"/>
                <w:szCs w:val="20"/>
              </w:rPr>
              <w:t>0.353</w:t>
            </w:r>
          </w:p>
        </w:tc>
        <w:tc>
          <w:tcPr>
            <w:tcW w:w="768" w:type="dxa"/>
            <w:tcBorders>
              <w:top w:val="nil"/>
              <w:left w:val="nil"/>
              <w:bottom w:val="nil"/>
              <w:right w:val="nil"/>
            </w:tcBorders>
            <w:shd w:val="clear" w:color="auto" w:fill="auto"/>
            <w:noWrap/>
            <w:vAlign w:val="bottom"/>
            <w:hideMark/>
          </w:tcPr>
          <w:p w14:paraId="0DFB8B83" w14:textId="77777777" w:rsidR="00DE156A" w:rsidRDefault="00DE156A" w:rsidP="005A3B4D">
            <w:pPr>
              <w:jc w:val="right"/>
              <w:rPr>
                <w:color w:val="000000"/>
                <w:sz w:val="20"/>
                <w:szCs w:val="20"/>
              </w:rPr>
            </w:pPr>
            <w:r>
              <w:rPr>
                <w:color w:val="000000"/>
                <w:sz w:val="20"/>
                <w:szCs w:val="20"/>
              </w:rPr>
              <w:t>0.002</w:t>
            </w:r>
          </w:p>
        </w:tc>
      </w:tr>
      <w:tr w:rsidR="00DE156A" w14:paraId="7F1D7364" w14:textId="77777777" w:rsidTr="005A3B4D">
        <w:trPr>
          <w:trHeight w:val="320"/>
        </w:trPr>
        <w:tc>
          <w:tcPr>
            <w:tcW w:w="1176" w:type="dxa"/>
            <w:tcBorders>
              <w:top w:val="nil"/>
              <w:left w:val="nil"/>
              <w:bottom w:val="nil"/>
              <w:right w:val="nil"/>
            </w:tcBorders>
            <w:shd w:val="clear" w:color="auto" w:fill="auto"/>
            <w:noWrap/>
            <w:vAlign w:val="bottom"/>
            <w:hideMark/>
          </w:tcPr>
          <w:p w14:paraId="2AA1DE49"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D95B28"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38ACFB2" w14:textId="77777777" w:rsidR="00DE156A" w:rsidRDefault="00DE156A"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F4EA20D" w14:textId="77777777" w:rsidR="00DE156A" w:rsidRDefault="00DE156A" w:rsidP="005A3B4D">
            <w:pPr>
              <w:jc w:val="right"/>
              <w:rPr>
                <w:color w:val="000000"/>
                <w:sz w:val="20"/>
                <w:szCs w:val="20"/>
              </w:rPr>
            </w:pPr>
            <w:r>
              <w:rPr>
                <w:color w:val="000000"/>
                <w:sz w:val="20"/>
                <w:szCs w:val="20"/>
              </w:rPr>
              <w:t>0.693</w:t>
            </w:r>
          </w:p>
        </w:tc>
        <w:tc>
          <w:tcPr>
            <w:tcW w:w="768" w:type="dxa"/>
            <w:tcBorders>
              <w:top w:val="nil"/>
              <w:left w:val="nil"/>
              <w:bottom w:val="nil"/>
              <w:right w:val="nil"/>
            </w:tcBorders>
            <w:shd w:val="clear" w:color="auto" w:fill="auto"/>
            <w:noWrap/>
            <w:vAlign w:val="bottom"/>
            <w:hideMark/>
          </w:tcPr>
          <w:p w14:paraId="16ABA40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1BFF861" w14:textId="77777777" w:rsidR="00DE156A" w:rsidRDefault="00DE156A"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4CA893A7" w14:textId="77777777" w:rsidR="00DE156A" w:rsidRDefault="00DE156A" w:rsidP="005A3B4D">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7A35558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B1E9FB6" w14:textId="77777777" w:rsidR="00DE156A" w:rsidRDefault="00DE156A"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10E20594" w14:textId="77777777" w:rsidR="00DE156A" w:rsidRDefault="00DE156A"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49FCA700"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C9F9997" w14:textId="77777777" w:rsidR="00DE156A" w:rsidRDefault="00DE156A"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11D439F5" w14:textId="77777777" w:rsidR="00DE156A" w:rsidRDefault="00DE156A" w:rsidP="005A3B4D">
            <w:pPr>
              <w:jc w:val="right"/>
              <w:rPr>
                <w:color w:val="000000"/>
                <w:sz w:val="20"/>
                <w:szCs w:val="20"/>
              </w:rPr>
            </w:pPr>
            <w:r>
              <w:rPr>
                <w:color w:val="000000"/>
                <w:sz w:val="20"/>
                <w:szCs w:val="20"/>
              </w:rPr>
              <w:t>0.171</w:t>
            </w:r>
          </w:p>
        </w:tc>
        <w:tc>
          <w:tcPr>
            <w:tcW w:w="768" w:type="dxa"/>
            <w:tcBorders>
              <w:top w:val="nil"/>
              <w:left w:val="nil"/>
              <w:bottom w:val="nil"/>
              <w:right w:val="nil"/>
            </w:tcBorders>
            <w:shd w:val="clear" w:color="auto" w:fill="auto"/>
            <w:noWrap/>
            <w:vAlign w:val="bottom"/>
            <w:hideMark/>
          </w:tcPr>
          <w:p w14:paraId="15C02879"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7DD73D7" w14:textId="77777777" w:rsidR="00DE156A" w:rsidRDefault="00DE156A" w:rsidP="005A3B4D">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55B1B654" w14:textId="77777777" w:rsidR="00DE156A" w:rsidRDefault="00DE156A" w:rsidP="005A3B4D">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1DAC8956" w14:textId="77777777" w:rsidR="00DE156A" w:rsidRDefault="00DE156A" w:rsidP="005A3B4D">
            <w:pPr>
              <w:jc w:val="right"/>
              <w:rPr>
                <w:color w:val="000000"/>
                <w:sz w:val="20"/>
                <w:szCs w:val="20"/>
              </w:rPr>
            </w:pPr>
            <w:r>
              <w:rPr>
                <w:color w:val="000000"/>
                <w:sz w:val="20"/>
                <w:szCs w:val="20"/>
              </w:rPr>
              <w:t>0.004</w:t>
            </w:r>
          </w:p>
        </w:tc>
      </w:tr>
      <w:tr w:rsidR="00DE156A" w14:paraId="288259C4" w14:textId="77777777" w:rsidTr="005A3B4D">
        <w:trPr>
          <w:trHeight w:val="320"/>
        </w:trPr>
        <w:tc>
          <w:tcPr>
            <w:tcW w:w="1176" w:type="dxa"/>
            <w:tcBorders>
              <w:top w:val="nil"/>
              <w:left w:val="nil"/>
              <w:bottom w:val="nil"/>
              <w:right w:val="nil"/>
            </w:tcBorders>
            <w:shd w:val="clear" w:color="auto" w:fill="auto"/>
            <w:noWrap/>
            <w:vAlign w:val="bottom"/>
            <w:hideMark/>
          </w:tcPr>
          <w:p w14:paraId="27E0CAA7"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CB1DF0"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C488603" w14:textId="77777777" w:rsidR="00DE156A" w:rsidRDefault="00DE156A"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549E473" w14:textId="77777777" w:rsidR="00DE156A" w:rsidRDefault="00DE156A" w:rsidP="005A3B4D">
            <w:pPr>
              <w:jc w:val="right"/>
              <w:rPr>
                <w:color w:val="000000"/>
                <w:sz w:val="20"/>
                <w:szCs w:val="20"/>
              </w:rPr>
            </w:pPr>
            <w:r>
              <w:rPr>
                <w:color w:val="000000"/>
                <w:sz w:val="20"/>
                <w:szCs w:val="20"/>
              </w:rPr>
              <w:t>0.712</w:t>
            </w:r>
          </w:p>
        </w:tc>
        <w:tc>
          <w:tcPr>
            <w:tcW w:w="768" w:type="dxa"/>
            <w:tcBorders>
              <w:top w:val="nil"/>
              <w:left w:val="nil"/>
              <w:bottom w:val="nil"/>
              <w:right w:val="nil"/>
            </w:tcBorders>
            <w:shd w:val="clear" w:color="auto" w:fill="auto"/>
            <w:noWrap/>
            <w:vAlign w:val="bottom"/>
            <w:hideMark/>
          </w:tcPr>
          <w:p w14:paraId="0ECDF4E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3A308C"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965156B" w14:textId="77777777" w:rsidR="00DE156A" w:rsidRDefault="00DE156A" w:rsidP="005A3B4D">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65F38A4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0DA368" w14:textId="77777777" w:rsidR="00DE156A" w:rsidRDefault="00DE156A"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6542BB26" w14:textId="77777777" w:rsidR="00DE156A" w:rsidRDefault="00DE156A" w:rsidP="005A3B4D">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4C128FFF"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F2B18C0" w14:textId="77777777" w:rsidR="00DE156A" w:rsidRDefault="00DE156A"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33618C44" w14:textId="77777777" w:rsidR="00DE156A" w:rsidRDefault="00DE156A" w:rsidP="005A3B4D">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404ED2C3"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F85650" w14:textId="77777777" w:rsidR="00DE156A" w:rsidRDefault="00DE156A"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413FBE1" w14:textId="77777777" w:rsidR="00DE156A" w:rsidRDefault="00DE156A" w:rsidP="005A3B4D">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5DB29EC8" w14:textId="77777777" w:rsidR="00DE156A" w:rsidRDefault="00DE156A" w:rsidP="005A3B4D">
            <w:pPr>
              <w:jc w:val="right"/>
              <w:rPr>
                <w:color w:val="000000"/>
                <w:sz w:val="20"/>
                <w:szCs w:val="20"/>
              </w:rPr>
            </w:pPr>
            <w:r>
              <w:rPr>
                <w:color w:val="000000"/>
                <w:sz w:val="20"/>
                <w:szCs w:val="20"/>
              </w:rPr>
              <w:t>0.002</w:t>
            </w:r>
          </w:p>
        </w:tc>
      </w:tr>
      <w:tr w:rsidR="00DE156A" w14:paraId="1BAD13C5"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2BBA7864"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BA9530B"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9E3A81D" w14:textId="77777777" w:rsidR="00DE156A" w:rsidRDefault="00DE156A" w:rsidP="005A3B4D">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4DB50F37" w14:textId="77777777" w:rsidR="00DE156A" w:rsidRDefault="00DE156A" w:rsidP="005A3B4D">
            <w:pPr>
              <w:jc w:val="right"/>
              <w:rPr>
                <w:color w:val="000000"/>
                <w:sz w:val="20"/>
                <w:szCs w:val="20"/>
              </w:rPr>
            </w:pPr>
            <w:r>
              <w:rPr>
                <w:color w:val="000000"/>
                <w:sz w:val="20"/>
                <w:szCs w:val="20"/>
              </w:rPr>
              <w:t>0.693</w:t>
            </w:r>
          </w:p>
        </w:tc>
        <w:tc>
          <w:tcPr>
            <w:tcW w:w="768" w:type="dxa"/>
            <w:tcBorders>
              <w:top w:val="nil"/>
              <w:left w:val="nil"/>
              <w:bottom w:val="single" w:sz="4" w:space="0" w:color="auto"/>
              <w:right w:val="nil"/>
            </w:tcBorders>
            <w:shd w:val="clear" w:color="auto" w:fill="auto"/>
            <w:noWrap/>
            <w:vAlign w:val="bottom"/>
            <w:hideMark/>
          </w:tcPr>
          <w:p w14:paraId="3615910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46A0139"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21BDEAAF" w14:textId="77777777" w:rsidR="00DE156A" w:rsidRDefault="00DE156A" w:rsidP="005A3B4D">
            <w:pPr>
              <w:jc w:val="right"/>
              <w:rPr>
                <w:color w:val="000000"/>
                <w:sz w:val="20"/>
                <w:szCs w:val="20"/>
              </w:rPr>
            </w:pPr>
            <w:r>
              <w:rPr>
                <w:color w:val="000000"/>
                <w:sz w:val="20"/>
                <w:szCs w:val="20"/>
              </w:rPr>
              <w:t>0.763</w:t>
            </w:r>
          </w:p>
        </w:tc>
        <w:tc>
          <w:tcPr>
            <w:tcW w:w="768" w:type="dxa"/>
            <w:tcBorders>
              <w:top w:val="nil"/>
              <w:left w:val="nil"/>
              <w:bottom w:val="single" w:sz="4" w:space="0" w:color="auto"/>
              <w:right w:val="nil"/>
            </w:tcBorders>
            <w:shd w:val="clear" w:color="auto" w:fill="auto"/>
            <w:noWrap/>
            <w:vAlign w:val="bottom"/>
            <w:hideMark/>
          </w:tcPr>
          <w:p w14:paraId="0DE1028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C2AF5C6" w14:textId="77777777" w:rsidR="00DE156A" w:rsidRDefault="00DE156A" w:rsidP="005A3B4D">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672362A7" w14:textId="77777777" w:rsidR="00DE156A" w:rsidRDefault="00DE156A" w:rsidP="005A3B4D">
            <w:pPr>
              <w:jc w:val="right"/>
              <w:rPr>
                <w:color w:val="000000"/>
                <w:sz w:val="20"/>
                <w:szCs w:val="20"/>
              </w:rPr>
            </w:pPr>
            <w:r>
              <w:rPr>
                <w:color w:val="000000"/>
                <w:sz w:val="20"/>
                <w:szCs w:val="20"/>
              </w:rPr>
              <w:t>0.545</w:t>
            </w:r>
          </w:p>
        </w:tc>
        <w:tc>
          <w:tcPr>
            <w:tcW w:w="768" w:type="dxa"/>
            <w:tcBorders>
              <w:top w:val="nil"/>
              <w:left w:val="nil"/>
              <w:bottom w:val="single" w:sz="4" w:space="0" w:color="auto"/>
              <w:right w:val="nil"/>
            </w:tcBorders>
            <w:shd w:val="clear" w:color="auto" w:fill="auto"/>
            <w:noWrap/>
            <w:vAlign w:val="bottom"/>
            <w:hideMark/>
          </w:tcPr>
          <w:p w14:paraId="538C8393"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0A06F40" w14:textId="77777777" w:rsidR="00DE156A" w:rsidRDefault="00DE156A" w:rsidP="005A3B4D">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35D8C3B7" w14:textId="77777777" w:rsidR="00DE156A" w:rsidRDefault="00DE156A" w:rsidP="005A3B4D">
            <w:pPr>
              <w:jc w:val="right"/>
              <w:rPr>
                <w:color w:val="000000"/>
                <w:sz w:val="20"/>
                <w:szCs w:val="20"/>
              </w:rPr>
            </w:pPr>
            <w:r>
              <w:rPr>
                <w:color w:val="000000"/>
                <w:sz w:val="20"/>
                <w:szCs w:val="20"/>
              </w:rPr>
              <w:t>0.576</w:t>
            </w:r>
          </w:p>
        </w:tc>
        <w:tc>
          <w:tcPr>
            <w:tcW w:w="768" w:type="dxa"/>
            <w:tcBorders>
              <w:top w:val="nil"/>
              <w:left w:val="nil"/>
              <w:bottom w:val="single" w:sz="4" w:space="0" w:color="auto"/>
              <w:right w:val="nil"/>
            </w:tcBorders>
            <w:shd w:val="clear" w:color="auto" w:fill="auto"/>
            <w:noWrap/>
            <w:vAlign w:val="bottom"/>
            <w:hideMark/>
          </w:tcPr>
          <w:p w14:paraId="57D918AC"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E946C7B" w14:textId="77777777" w:rsidR="00DE156A" w:rsidRDefault="00DE156A" w:rsidP="005A3B4D">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5F127709" w14:textId="77777777" w:rsidR="00DE156A" w:rsidRDefault="00DE156A" w:rsidP="005A3B4D">
            <w:pPr>
              <w:jc w:val="right"/>
              <w:rPr>
                <w:color w:val="000000"/>
                <w:sz w:val="20"/>
                <w:szCs w:val="20"/>
              </w:rPr>
            </w:pPr>
            <w:r>
              <w:rPr>
                <w:color w:val="000000"/>
                <w:sz w:val="20"/>
                <w:szCs w:val="20"/>
              </w:rPr>
              <w:t>0.478</w:t>
            </w:r>
          </w:p>
        </w:tc>
        <w:tc>
          <w:tcPr>
            <w:tcW w:w="768" w:type="dxa"/>
            <w:tcBorders>
              <w:top w:val="nil"/>
              <w:left w:val="nil"/>
              <w:bottom w:val="single" w:sz="4" w:space="0" w:color="auto"/>
              <w:right w:val="nil"/>
            </w:tcBorders>
            <w:shd w:val="clear" w:color="auto" w:fill="auto"/>
            <w:noWrap/>
            <w:vAlign w:val="bottom"/>
            <w:hideMark/>
          </w:tcPr>
          <w:p w14:paraId="626D71A1" w14:textId="77777777" w:rsidR="00DE156A" w:rsidRDefault="00DE156A" w:rsidP="005A3B4D">
            <w:pPr>
              <w:jc w:val="right"/>
              <w:rPr>
                <w:color w:val="000000"/>
                <w:sz w:val="20"/>
                <w:szCs w:val="20"/>
              </w:rPr>
            </w:pPr>
            <w:r>
              <w:rPr>
                <w:color w:val="000000"/>
                <w:sz w:val="20"/>
                <w:szCs w:val="20"/>
              </w:rPr>
              <w:t>0.001</w:t>
            </w:r>
          </w:p>
        </w:tc>
      </w:tr>
      <w:tr w:rsidR="00DE156A" w14:paraId="0AA9BF6B" w14:textId="77777777" w:rsidTr="005A3B4D">
        <w:trPr>
          <w:trHeight w:val="320"/>
        </w:trPr>
        <w:tc>
          <w:tcPr>
            <w:tcW w:w="1176" w:type="dxa"/>
            <w:tcBorders>
              <w:top w:val="nil"/>
              <w:left w:val="nil"/>
              <w:bottom w:val="nil"/>
              <w:right w:val="nil"/>
            </w:tcBorders>
            <w:shd w:val="clear" w:color="auto" w:fill="auto"/>
            <w:noWrap/>
            <w:vAlign w:val="bottom"/>
            <w:hideMark/>
          </w:tcPr>
          <w:p w14:paraId="59DC1DB8" w14:textId="77777777" w:rsidR="00DE156A" w:rsidRDefault="00DE156A"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C6CFBAD"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C0001E7" w14:textId="77777777" w:rsidR="00DE156A" w:rsidRDefault="00DE156A"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755BDAF" w14:textId="77777777" w:rsidR="00DE156A" w:rsidRDefault="00DE156A" w:rsidP="005A3B4D">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4F5A8FF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526CDE" w14:textId="77777777" w:rsidR="00DE156A" w:rsidRDefault="00DE156A"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52774F0" w14:textId="77777777" w:rsidR="00DE156A" w:rsidRDefault="00DE156A" w:rsidP="005A3B4D">
            <w:pPr>
              <w:jc w:val="right"/>
              <w:rPr>
                <w:color w:val="000000"/>
                <w:sz w:val="20"/>
                <w:szCs w:val="20"/>
              </w:rPr>
            </w:pPr>
            <w:r>
              <w:rPr>
                <w:color w:val="000000"/>
                <w:sz w:val="20"/>
                <w:szCs w:val="20"/>
              </w:rPr>
              <w:t>0.507</w:t>
            </w:r>
          </w:p>
        </w:tc>
        <w:tc>
          <w:tcPr>
            <w:tcW w:w="768" w:type="dxa"/>
            <w:tcBorders>
              <w:top w:val="nil"/>
              <w:left w:val="nil"/>
              <w:bottom w:val="nil"/>
              <w:right w:val="nil"/>
            </w:tcBorders>
            <w:shd w:val="clear" w:color="auto" w:fill="auto"/>
            <w:noWrap/>
            <w:vAlign w:val="bottom"/>
            <w:hideMark/>
          </w:tcPr>
          <w:p w14:paraId="65BDF16E"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2E3E56C"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BE53F9E"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64C6730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36C8B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CBE64FA" w14:textId="77777777" w:rsidR="00DE156A" w:rsidRDefault="00DE156A"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3F349E8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B203AB"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843AF88" w14:textId="77777777" w:rsidR="00DE156A" w:rsidRDefault="00DE156A"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47B1CA46" w14:textId="77777777" w:rsidR="00DE156A" w:rsidRDefault="00DE156A" w:rsidP="005A3B4D">
            <w:pPr>
              <w:jc w:val="right"/>
              <w:rPr>
                <w:color w:val="000000"/>
                <w:sz w:val="20"/>
                <w:szCs w:val="20"/>
              </w:rPr>
            </w:pPr>
            <w:r>
              <w:rPr>
                <w:color w:val="000000"/>
                <w:sz w:val="20"/>
                <w:szCs w:val="20"/>
              </w:rPr>
              <w:t>0.000</w:t>
            </w:r>
          </w:p>
        </w:tc>
      </w:tr>
      <w:tr w:rsidR="00DE156A" w14:paraId="0CCFF8E9" w14:textId="77777777" w:rsidTr="005A3B4D">
        <w:trPr>
          <w:trHeight w:val="320"/>
        </w:trPr>
        <w:tc>
          <w:tcPr>
            <w:tcW w:w="1176" w:type="dxa"/>
            <w:tcBorders>
              <w:top w:val="nil"/>
              <w:left w:val="nil"/>
              <w:bottom w:val="nil"/>
              <w:right w:val="nil"/>
            </w:tcBorders>
            <w:shd w:val="clear" w:color="auto" w:fill="auto"/>
            <w:noWrap/>
            <w:vAlign w:val="bottom"/>
            <w:hideMark/>
          </w:tcPr>
          <w:p w14:paraId="2D211323"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8E7E015"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28C7294" w14:textId="77777777" w:rsidR="00DE156A" w:rsidRDefault="00DE156A"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01144F4B" w14:textId="77777777" w:rsidR="00DE156A" w:rsidRDefault="00DE156A" w:rsidP="005A3B4D">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03329437"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66CBCA7"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48E1A42" w14:textId="77777777" w:rsidR="00DE156A" w:rsidRDefault="00DE156A" w:rsidP="005A3B4D">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6A92416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E4B836" w14:textId="77777777" w:rsidR="00DE156A" w:rsidRDefault="00DE156A"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C7B9946"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5CB4125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30231F"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8C00060" w14:textId="77777777" w:rsidR="00DE156A" w:rsidRDefault="00DE156A"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28DB51D9"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DFBCB1"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2567106" w14:textId="77777777" w:rsidR="00DE156A" w:rsidRDefault="00DE156A"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693AB8C9" w14:textId="77777777" w:rsidR="00DE156A" w:rsidRDefault="00DE156A" w:rsidP="005A3B4D">
            <w:pPr>
              <w:jc w:val="right"/>
              <w:rPr>
                <w:color w:val="000000"/>
                <w:sz w:val="20"/>
                <w:szCs w:val="20"/>
              </w:rPr>
            </w:pPr>
            <w:r>
              <w:rPr>
                <w:color w:val="000000"/>
                <w:sz w:val="20"/>
                <w:szCs w:val="20"/>
              </w:rPr>
              <w:t>0.000</w:t>
            </w:r>
          </w:p>
        </w:tc>
      </w:tr>
      <w:tr w:rsidR="00DE156A" w14:paraId="29DD12AC" w14:textId="77777777" w:rsidTr="005A3B4D">
        <w:trPr>
          <w:trHeight w:val="320"/>
        </w:trPr>
        <w:tc>
          <w:tcPr>
            <w:tcW w:w="1176" w:type="dxa"/>
            <w:tcBorders>
              <w:top w:val="nil"/>
              <w:left w:val="nil"/>
              <w:bottom w:val="nil"/>
              <w:right w:val="nil"/>
            </w:tcBorders>
            <w:shd w:val="clear" w:color="auto" w:fill="auto"/>
            <w:noWrap/>
            <w:vAlign w:val="bottom"/>
            <w:hideMark/>
          </w:tcPr>
          <w:p w14:paraId="218CC46F"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0589C3C"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26E6F54"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1B1D8EE" w14:textId="77777777" w:rsidR="00DE156A" w:rsidRDefault="00DE156A" w:rsidP="005A3B4D">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4EDC267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BD3EFB"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D261E83" w14:textId="77777777" w:rsidR="00DE156A" w:rsidRDefault="00DE156A"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6A6D873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E84988"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8599B02"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409C62D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886DAE"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EE4800E" w14:textId="77777777" w:rsidR="00DE156A" w:rsidRDefault="00DE156A"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4F117CB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EB4EFA"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A41B160" w14:textId="77777777" w:rsidR="00DE156A" w:rsidRDefault="00DE156A"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653E80B8" w14:textId="77777777" w:rsidR="00DE156A" w:rsidRDefault="00DE156A" w:rsidP="005A3B4D">
            <w:pPr>
              <w:jc w:val="right"/>
              <w:rPr>
                <w:color w:val="000000"/>
                <w:sz w:val="20"/>
                <w:szCs w:val="20"/>
              </w:rPr>
            </w:pPr>
            <w:r>
              <w:rPr>
                <w:color w:val="000000"/>
                <w:sz w:val="20"/>
                <w:szCs w:val="20"/>
              </w:rPr>
              <w:t>0.000</w:t>
            </w:r>
          </w:p>
        </w:tc>
      </w:tr>
      <w:tr w:rsidR="00DE156A" w14:paraId="030942FF" w14:textId="77777777" w:rsidTr="005A3B4D">
        <w:trPr>
          <w:trHeight w:val="320"/>
        </w:trPr>
        <w:tc>
          <w:tcPr>
            <w:tcW w:w="1176" w:type="dxa"/>
            <w:tcBorders>
              <w:top w:val="nil"/>
              <w:left w:val="nil"/>
              <w:bottom w:val="nil"/>
              <w:right w:val="nil"/>
            </w:tcBorders>
            <w:shd w:val="clear" w:color="auto" w:fill="auto"/>
            <w:noWrap/>
            <w:vAlign w:val="bottom"/>
            <w:hideMark/>
          </w:tcPr>
          <w:p w14:paraId="212225AE"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60C4BD8"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0C669D3"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6D67AA7" w14:textId="77777777" w:rsidR="00DE156A" w:rsidRDefault="00DE156A" w:rsidP="005A3B4D">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0D2C189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B7E3A4" w14:textId="77777777" w:rsidR="00DE156A" w:rsidRDefault="00DE156A"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7CA510C5" w14:textId="77777777" w:rsidR="00DE156A" w:rsidRDefault="00DE156A" w:rsidP="005A3B4D">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6381620E"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59BA31A" w14:textId="77777777" w:rsidR="00DE156A" w:rsidRDefault="00DE156A"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ECD0B7D" w14:textId="77777777" w:rsidR="00DE156A" w:rsidRDefault="00DE156A" w:rsidP="005A3B4D">
            <w:pPr>
              <w:jc w:val="right"/>
              <w:rPr>
                <w:color w:val="000000"/>
                <w:sz w:val="20"/>
                <w:szCs w:val="20"/>
              </w:rPr>
            </w:pPr>
            <w:r>
              <w:rPr>
                <w:color w:val="000000"/>
                <w:sz w:val="20"/>
                <w:szCs w:val="20"/>
              </w:rPr>
              <w:t>0.856</w:t>
            </w:r>
          </w:p>
        </w:tc>
        <w:tc>
          <w:tcPr>
            <w:tcW w:w="768" w:type="dxa"/>
            <w:tcBorders>
              <w:top w:val="nil"/>
              <w:left w:val="nil"/>
              <w:bottom w:val="nil"/>
              <w:right w:val="nil"/>
            </w:tcBorders>
            <w:shd w:val="clear" w:color="auto" w:fill="auto"/>
            <w:noWrap/>
            <w:vAlign w:val="bottom"/>
            <w:hideMark/>
          </w:tcPr>
          <w:p w14:paraId="4B3E9BBE"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BE9A011" w14:textId="77777777" w:rsidR="00DE156A" w:rsidRDefault="00DE156A"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CAE7010" w14:textId="77777777" w:rsidR="00DE156A" w:rsidRDefault="00DE156A"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1B0DDF0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E31880C" w14:textId="77777777" w:rsidR="00DE156A" w:rsidRDefault="00DE156A" w:rsidP="005A3B4D">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4D3D2E44"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F24D4EC" w14:textId="77777777" w:rsidR="00DE156A" w:rsidRDefault="00DE156A" w:rsidP="005A3B4D">
            <w:pPr>
              <w:jc w:val="right"/>
              <w:rPr>
                <w:color w:val="000000"/>
                <w:sz w:val="20"/>
                <w:szCs w:val="20"/>
              </w:rPr>
            </w:pPr>
            <w:r>
              <w:rPr>
                <w:color w:val="000000"/>
                <w:sz w:val="20"/>
                <w:szCs w:val="20"/>
              </w:rPr>
              <w:t>0.008</w:t>
            </w:r>
          </w:p>
        </w:tc>
      </w:tr>
      <w:tr w:rsidR="00DE156A" w14:paraId="29AE59B3" w14:textId="77777777" w:rsidTr="005A3B4D">
        <w:trPr>
          <w:trHeight w:val="320"/>
        </w:trPr>
        <w:tc>
          <w:tcPr>
            <w:tcW w:w="1176" w:type="dxa"/>
            <w:tcBorders>
              <w:top w:val="nil"/>
              <w:left w:val="nil"/>
              <w:bottom w:val="nil"/>
              <w:right w:val="nil"/>
            </w:tcBorders>
            <w:shd w:val="clear" w:color="auto" w:fill="auto"/>
            <w:noWrap/>
            <w:vAlign w:val="bottom"/>
            <w:hideMark/>
          </w:tcPr>
          <w:p w14:paraId="155BDB46"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FF7CD77"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092588C" w14:textId="77777777" w:rsidR="00DE156A" w:rsidRDefault="00DE156A"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95BD8AF" w14:textId="77777777" w:rsidR="00DE156A" w:rsidRDefault="00DE156A" w:rsidP="005A3B4D">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0394AC0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979AEB"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81F338A" w14:textId="77777777" w:rsidR="00DE156A" w:rsidRDefault="00DE156A" w:rsidP="005A3B4D">
            <w:pPr>
              <w:jc w:val="right"/>
              <w:rPr>
                <w:color w:val="000000"/>
                <w:sz w:val="20"/>
                <w:szCs w:val="20"/>
              </w:rPr>
            </w:pPr>
            <w:r>
              <w:rPr>
                <w:color w:val="000000"/>
                <w:sz w:val="20"/>
                <w:szCs w:val="20"/>
              </w:rPr>
              <w:t>0.738</w:t>
            </w:r>
          </w:p>
        </w:tc>
        <w:tc>
          <w:tcPr>
            <w:tcW w:w="768" w:type="dxa"/>
            <w:tcBorders>
              <w:top w:val="nil"/>
              <w:left w:val="nil"/>
              <w:bottom w:val="nil"/>
              <w:right w:val="nil"/>
            </w:tcBorders>
            <w:shd w:val="clear" w:color="auto" w:fill="auto"/>
            <w:noWrap/>
            <w:vAlign w:val="bottom"/>
            <w:hideMark/>
          </w:tcPr>
          <w:p w14:paraId="70090CD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3FBBC0"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6128E96"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40F50887"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54FC96"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E6ABC4B" w14:textId="77777777" w:rsidR="00DE156A" w:rsidRDefault="00DE156A"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1FC64CC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7B7B35"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D3253BB" w14:textId="77777777" w:rsidR="00DE156A" w:rsidRDefault="00DE156A"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4EC2FE9B" w14:textId="77777777" w:rsidR="00DE156A" w:rsidRDefault="00DE156A" w:rsidP="005A3B4D">
            <w:pPr>
              <w:jc w:val="right"/>
              <w:rPr>
                <w:color w:val="000000"/>
                <w:sz w:val="20"/>
                <w:szCs w:val="20"/>
              </w:rPr>
            </w:pPr>
            <w:r>
              <w:rPr>
                <w:color w:val="000000"/>
                <w:sz w:val="20"/>
                <w:szCs w:val="20"/>
              </w:rPr>
              <w:t>0.000</w:t>
            </w:r>
          </w:p>
        </w:tc>
      </w:tr>
      <w:tr w:rsidR="00DE156A" w14:paraId="003305AD" w14:textId="77777777" w:rsidTr="005A3B4D">
        <w:trPr>
          <w:trHeight w:val="320"/>
        </w:trPr>
        <w:tc>
          <w:tcPr>
            <w:tcW w:w="1176" w:type="dxa"/>
            <w:tcBorders>
              <w:top w:val="nil"/>
              <w:left w:val="nil"/>
              <w:bottom w:val="nil"/>
              <w:right w:val="nil"/>
            </w:tcBorders>
            <w:shd w:val="clear" w:color="auto" w:fill="auto"/>
            <w:noWrap/>
            <w:vAlign w:val="bottom"/>
            <w:hideMark/>
          </w:tcPr>
          <w:p w14:paraId="20B3F641"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2FAE75E"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E8ACD20" w14:textId="77777777" w:rsidR="00DE156A" w:rsidRDefault="00DE156A"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DEC2583" w14:textId="77777777" w:rsidR="00DE156A" w:rsidRDefault="00DE156A" w:rsidP="005A3B4D">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3767C0BF"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25A3508" w14:textId="77777777" w:rsidR="00DE156A" w:rsidRDefault="00DE156A"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79B13EFB" w14:textId="77777777" w:rsidR="00DE156A" w:rsidRDefault="00DE156A" w:rsidP="005A3B4D">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1FCA238A"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8C21E74"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A172042"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243D4ED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060676"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532C8D8" w14:textId="77777777" w:rsidR="00DE156A" w:rsidRDefault="00DE156A"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084FB022"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24BB86"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03B0635" w14:textId="77777777" w:rsidR="00DE156A" w:rsidRDefault="00DE156A"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3369E2EA" w14:textId="77777777" w:rsidR="00DE156A" w:rsidRDefault="00DE156A" w:rsidP="005A3B4D">
            <w:pPr>
              <w:jc w:val="right"/>
              <w:rPr>
                <w:color w:val="000000"/>
                <w:sz w:val="20"/>
                <w:szCs w:val="20"/>
              </w:rPr>
            </w:pPr>
            <w:r>
              <w:rPr>
                <w:color w:val="000000"/>
                <w:sz w:val="20"/>
                <w:szCs w:val="20"/>
              </w:rPr>
              <w:t>0.000</w:t>
            </w:r>
          </w:p>
        </w:tc>
      </w:tr>
      <w:tr w:rsidR="00DE156A" w14:paraId="461822BA" w14:textId="77777777" w:rsidTr="005A3B4D">
        <w:trPr>
          <w:trHeight w:val="320"/>
        </w:trPr>
        <w:tc>
          <w:tcPr>
            <w:tcW w:w="1176" w:type="dxa"/>
            <w:tcBorders>
              <w:top w:val="nil"/>
              <w:left w:val="nil"/>
              <w:bottom w:val="nil"/>
              <w:right w:val="nil"/>
            </w:tcBorders>
            <w:shd w:val="clear" w:color="auto" w:fill="auto"/>
            <w:noWrap/>
            <w:vAlign w:val="bottom"/>
            <w:hideMark/>
          </w:tcPr>
          <w:p w14:paraId="406D6915"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0651D0D"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2185C76" w14:textId="77777777" w:rsidR="00DE156A" w:rsidRDefault="00DE156A"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B9FBB15" w14:textId="77777777" w:rsidR="00DE156A" w:rsidRDefault="00DE156A" w:rsidP="005A3B4D">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39D918E1"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9C5112" w14:textId="77777777" w:rsidR="00DE156A" w:rsidRDefault="00DE156A"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FDEF780" w14:textId="77777777" w:rsidR="00DE156A" w:rsidRDefault="00DE156A" w:rsidP="005A3B4D">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27C9F32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819FD9"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CDDED4C"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78E54F8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29D75A"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0374660" w14:textId="77777777" w:rsidR="00DE156A" w:rsidRDefault="00DE156A" w:rsidP="005A3B4D">
            <w:pPr>
              <w:jc w:val="right"/>
              <w:rPr>
                <w:color w:val="000000"/>
                <w:sz w:val="20"/>
                <w:szCs w:val="20"/>
              </w:rPr>
            </w:pPr>
            <w:r>
              <w:rPr>
                <w:color w:val="000000"/>
                <w:sz w:val="20"/>
                <w:szCs w:val="20"/>
              </w:rPr>
              <w:t>0.950</w:t>
            </w:r>
          </w:p>
        </w:tc>
        <w:tc>
          <w:tcPr>
            <w:tcW w:w="768" w:type="dxa"/>
            <w:tcBorders>
              <w:top w:val="nil"/>
              <w:left w:val="nil"/>
              <w:bottom w:val="nil"/>
              <w:right w:val="nil"/>
            </w:tcBorders>
            <w:shd w:val="clear" w:color="auto" w:fill="auto"/>
            <w:noWrap/>
            <w:vAlign w:val="bottom"/>
            <w:hideMark/>
          </w:tcPr>
          <w:p w14:paraId="5393B0E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F7956B"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C2C067C" w14:textId="77777777" w:rsidR="00DE156A" w:rsidRDefault="00DE156A" w:rsidP="005A3B4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30018A01" w14:textId="77777777" w:rsidR="00DE156A" w:rsidRDefault="00DE156A" w:rsidP="005A3B4D">
            <w:pPr>
              <w:jc w:val="right"/>
              <w:rPr>
                <w:color w:val="000000"/>
                <w:sz w:val="20"/>
                <w:szCs w:val="20"/>
              </w:rPr>
            </w:pPr>
            <w:r>
              <w:rPr>
                <w:color w:val="000000"/>
                <w:sz w:val="20"/>
                <w:szCs w:val="20"/>
              </w:rPr>
              <w:t>0.000</w:t>
            </w:r>
          </w:p>
        </w:tc>
      </w:tr>
      <w:tr w:rsidR="00DE156A" w14:paraId="2E290B0A"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26F915A9"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CC0B0F0"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750B809"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EB10ABB" w14:textId="77777777" w:rsidR="00DE156A" w:rsidRDefault="00DE156A" w:rsidP="005A3B4D">
            <w:pPr>
              <w:jc w:val="right"/>
              <w:rPr>
                <w:color w:val="000000"/>
                <w:sz w:val="20"/>
                <w:szCs w:val="20"/>
              </w:rPr>
            </w:pPr>
            <w:r>
              <w:rPr>
                <w:color w:val="000000"/>
                <w:sz w:val="20"/>
                <w:szCs w:val="20"/>
              </w:rPr>
              <w:t>0.949</w:t>
            </w:r>
          </w:p>
        </w:tc>
        <w:tc>
          <w:tcPr>
            <w:tcW w:w="768" w:type="dxa"/>
            <w:tcBorders>
              <w:top w:val="nil"/>
              <w:left w:val="nil"/>
              <w:bottom w:val="single" w:sz="4" w:space="0" w:color="auto"/>
              <w:right w:val="nil"/>
            </w:tcBorders>
            <w:shd w:val="clear" w:color="auto" w:fill="auto"/>
            <w:noWrap/>
            <w:vAlign w:val="bottom"/>
            <w:hideMark/>
          </w:tcPr>
          <w:p w14:paraId="68F5A37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28DE07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7E9A202" w14:textId="77777777" w:rsidR="00DE156A" w:rsidRDefault="00DE156A" w:rsidP="005A3B4D">
            <w:pPr>
              <w:jc w:val="right"/>
              <w:rPr>
                <w:color w:val="000000"/>
                <w:sz w:val="20"/>
                <w:szCs w:val="20"/>
              </w:rPr>
            </w:pPr>
            <w:r>
              <w:rPr>
                <w:color w:val="000000"/>
                <w:sz w:val="20"/>
                <w:szCs w:val="20"/>
              </w:rPr>
              <w:t>0.988</w:t>
            </w:r>
          </w:p>
        </w:tc>
        <w:tc>
          <w:tcPr>
            <w:tcW w:w="768" w:type="dxa"/>
            <w:tcBorders>
              <w:top w:val="nil"/>
              <w:left w:val="nil"/>
              <w:bottom w:val="single" w:sz="4" w:space="0" w:color="auto"/>
              <w:right w:val="nil"/>
            </w:tcBorders>
            <w:shd w:val="clear" w:color="auto" w:fill="auto"/>
            <w:noWrap/>
            <w:vAlign w:val="bottom"/>
            <w:hideMark/>
          </w:tcPr>
          <w:p w14:paraId="28F8D99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DC0CF98"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18E8F494" w14:textId="77777777" w:rsidR="00DE156A" w:rsidRDefault="00DE156A" w:rsidP="005A3B4D">
            <w:pPr>
              <w:jc w:val="right"/>
              <w:rPr>
                <w:color w:val="000000"/>
                <w:sz w:val="20"/>
                <w:szCs w:val="20"/>
              </w:rPr>
            </w:pPr>
            <w:r>
              <w:rPr>
                <w:color w:val="000000"/>
                <w:sz w:val="20"/>
                <w:szCs w:val="20"/>
              </w:rPr>
              <w:t>0.946</w:t>
            </w:r>
          </w:p>
        </w:tc>
        <w:tc>
          <w:tcPr>
            <w:tcW w:w="768" w:type="dxa"/>
            <w:tcBorders>
              <w:top w:val="nil"/>
              <w:left w:val="nil"/>
              <w:bottom w:val="single" w:sz="4" w:space="0" w:color="auto"/>
              <w:right w:val="nil"/>
            </w:tcBorders>
            <w:shd w:val="clear" w:color="auto" w:fill="auto"/>
            <w:noWrap/>
            <w:vAlign w:val="bottom"/>
            <w:hideMark/>
          </w:tcPr>
          <w:p w14:paraId="3BFB9D1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EC58412"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3A6879C9" w14:textId="77777777" w:rsidR="00DE156A" w:rsidRDefault="00DE156A" w:rsidP="005A3B4D">
            <w:pPr>
              <w:jc w:val="right"/>
              <w:rPr>
                <w:color w:val="000000"/>
                <w:sz w:val="20"/>
                <w:szCs w:val="20"/>
              </w:rPr>
            </w:pPr>
            <w:r>
              <w:rPr>
                <w:color w:val="000000"/>
                <w:sz w:val="20"/>
                <w:szCs w:val="20"/>
              </w:rPr>
              <w:t>0.950</w:t>
            </w:r>
          </w:p>
        </w:tc>
        <w:tc>
          <w:tcPr>
            <w:tcW w:w="768" w:type="dxa"/>
            <w:tcBorders>
              <w:top w:val="nil"/>
              <w:left w:val="nil"/>
              <w:bottom w:val="single" w:sz="4" w:space="0" w:color="auto"/>
              <w:right w:val="nil"/>
            </w:tcBorders>
            <w:shd w:val="clear" w:color="auto" w:fill="auto"/>
            <w:noWrap/>
            <w:vAlign w:val="bottom"/>
            <w:hideMark/>
          </w:tcPr>
          <w:p w14:paraId="5514E64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DD38FA8" w14:textId="77777777" w:rsidR="00DE156A" w:rsidRDefault="00DE156A" w:rsidP="005A3B4D">
            <w:pPr>
              <w:jc w:val="right"/>
              <w:rPr>
                <w:color w:val="000000"/>
                <w:sz w:val="20"/>
                <w:szCs w:val="20"/>
              </w:rPr>
            </w:pPr>
            <w:r>
              <w:rPr>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583AF3A6" w14:textId="77777777" w:rsidR="00DE156A" w:rsidRDefault="00DE156A" w:rsidP="005A3B4D">
            <w:pPr>
              <w:jc w:val="right"/>
              <w:rPr>
                <w:color w:val="000000"/>
                <w:sz w:val="20"/>
                <w:szCs w:val="20"/>
              </w:rPr>
            </w:pPr>
            <w:r>
              <w:rPr>
                <w:color w:val="000000"/>
                <w:sz w:val="20"/>
                <w:szCs w:val="20"/>
              </w:rPr>
              <w:t>0.911</w:t>
            </w:r>
          </w:p>
        </w:tc>
        <w:tc>
          <w:tcPr>
            <w:tcW w:w="768" w:type="dxa"/>
            <w:tcBorders>
              <w:top w:val="nil"/>
              <w:left w:val="nil"/>
              <w:bottom w:val="single" w:sz="4" w:space="0" w:color="auto"/>
              <w:right w:val="nil"/>
            </w:tcBorders>
            <w:shd w:val="clear" w:color="auto" w:fill="auto"/>
            <w:noWrap/>
            <w:vAlign w:val="bottom"/>
            <w:hideMark/>
          </w:tcPr>
          <w:p w14:paraId="68A21C6A" w14:textId="77777777" w:rsidR="00DE156A" w:rsidRDefault="00DE156A" w:rsidP="005A3B4D">
            <w:pPr>
              <w:jc w:val="right"/>
              <w:rPr>
                <w:color w:val="000000"/>
                <w:sz w:val="20"/>
                <w:szCs w:val="20"/>
              </w:rPr>
            </w:pPr>
            <w:r>
              <w:rPr>
                <w:color w:val="000000"/>
                <w:sz w:val="20"/>
                <w:szCs w:val="20"/>
              </w:rPr>
              <w:t>0.001</w:t>
            </w:r>
          </w:p>
        </w:tc>
      </w:tr>
      <w:tr w:rsidR="00DE156A" w14:paraId="41826CCC" w14:textId="77777777" w:rsidTr="005A3B4D">
        <w:trPr>
          <w:trHeight w:val="320"/>
        </w:trPr>
        <w:tc>
          <w:tcPr>
            <w:tcW w:w="1176" w:type="dxa"/>
            <w:tcBorders>
              <w:top w:val="nil"/>
              <w:left w:val="nil"/>
              <w:bottom w:val="nil"/>
              <w:right w:val="nil"/>
            </w:tcBorders>
            <w:shd w:val="clear" w:color="auto" w:fill="auto"/>
            <w:noWrap/>
            <w:vAlign w:val="bottom"/>
            <w:hideMark/>
          </w:tcPr>
          <w:p w14:paraId="7799541F" w14:textId="77777777" w:rsidR="00DE156A" w:rsidRDefault="00DE156A"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503D3321"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6DF5B38"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1BB5234" w14:textId="77777777" w:rsidR="00DE156A" w:rsidRDefault="00DE156A" w:rsidP="005A3B4D">
            <w:pPr>
              <w:jc w:val="right"/>
              <w:rPr>
                <w:color w:val="000000"/>
                <w:sz w:val="20"/>
                <w:szCs w:val="20"/>
              </w:rPr>
            </w:pPr>
            <w:r>
              <w:rPr>
                <w:color w:val="000000"/>
                <w:sz w:val="20"/>
                <w:szCs w:val="20"/>
              </w:rPr>
              <w:t>0.940</w:t>
            </w:r>
          </w:p>
        </w:tc>
        <w:tc>
          <w:tcPr>
            <w:tcW w:w="768" w:type="dxa"/>
            <w:tcBorders>
              <w:top w:val="nil"/>
              <w:left w:val="nil"/>
              <w:bottom w:val="nil"/>
              <w:right w:val="nil"/>
            </w:tcBorders>
            <w:shd w:val="clear" w:color="auto" w:fill="auto"/>
            <w:noWrap/>
            <w:vAlign w:val="bottom"/>
            <w:hideMark/>
          </w:tcPr>
          <w:p w14:paraId="1A4D6D1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5E9074"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1D8731A" w14:textId="77777777" w:rsidR="00DE156A" w:rsidRDefault="00DE156A"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17C498C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C267065"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9B2CBEE" w14:textId="77777777" w:rsidR="00DE156A" w:rsidRDefault="00DE156A" w:rsidP="005A3B4D">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7B46190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3B7B9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00F326" w14:textId="77777777" w:rsidR="00DE156A" w:rsidRDefault="00DE156A" w:rsidP="005A3B4D">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737CC17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17933B" w14:textId="77777777" w:rsidR="00DE156A" w:rsidRDefault="00DE156A"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7780889" w14:textId="77777777" w:rsidR="00DE156A" w:rsidRDefault="00DE156A" w:rsidP="005A3B4D">
            <w:pPr>
              <w:jc w:val="right"/>
              <w:rPr>
                <w:color w:val="000000"/>
                <w:sz w:val="20"/>
                <w:szCs w:val="20"/>
              </w:rPr>
            </w:pPr>
            <w:r>
              <w:rPr>
                <w:color w:val="000000"/>
                <w:sz w:val="20"/>
                <w:szCs w:val="20"/>
              </w:rPr>
              <w:t>0.397</w:t>
            </w:r>
          </w:p>
        </w:tc>
        <w:tc>
          <w:tcPr>
            <w:tcW w:w="768" w:type="dxa"/>
            <w:tcBorders>
              <w:top w:val="nil"/>
              <w:left w:val="nil"/>
              <w:bottom w:val="nil"/>
              <w:right w:val="nil"/>
            </w:tcBorders>
            <w:shd w:val="clear" w:color="auto" w:fill="auto"/>
            <w:noWrap/>
            <w:vAlign w:val="bottom"/>
            <w:hideMark/>
          </w:tcPr>
          <w:p w14:paraId="02EC6244" w14:textId="77777777" w:rsidR="00DE156A" w:rsidRDefault="00DE156A" w:rsidP="005A3B4D">
            <w:pPr>
              <w:jc w:val="right"/>
              <w:rPr>
                <w:color w:val="000000"/>
                <w:sz w:val="20"/>
                <w:szCs w:val="20"/>
              </w:rPr>
            </w:pPr>
            <w:r>
              <w:rPr>
                <w:color w:val="000000"/>
                <w:sz w:val="20"/>
                <w:szCs w:val="20"/>
              </w:rPr>
              <w:t>0.001</w:t>
            </w:r>
          </w:p>
        </w:tc>
      </w:tr>
      <w:tr w:rsidR="00DE156A" w14:paraId="1E75BD26" w14:textId="77777777" w:rsidTr="005A3B4D">
        <w:trPr>
          <w:trHeight w:val="320"/>
        </w:trPr>
        <w:tc>
          <w:tcPr>
            <w:tcW w:w="1176" w:type="dxa"/>
            <w:tcBorders>
              <w:top w:val="nil"/>
              <w:left w:val="nil"/>
              <w:bottom w:val="nil"/>
              <w:right w:val="nil"/>
            </w:tcBorders>
            <w:shd w:val="clear" w:color="auto" w:fill="auto"/>
            <w:noWrap/>
            <w:vAlign w:val="bottom"/>
            <w:hideMark/>
          </w:tcPr>
          <w:p w14:paraId="43949A64"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6F3B55C"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E816BC1" w14:textId="77777777" w:rsidR="00DE156A" w:rsidRDefault="00DE156A"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60FA315" w14:textId="77777777" w:rsidR="00DE156A" w:rsidRDefault="00DE156A" w:rsidP="005A3B4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20F0198C"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10DD30"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0023F4C" w14:textId="77777777" w:rsidR="00DE156A" w:rsidRDefault="00DE156A"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31431DA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D6523B"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71DA037" w14:textId="77777777" w:rsidR="00DE156A" w:rsidRDefault="00DE156A" w:rsidP="005A3B4D">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66981E5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D0F0EE"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B7C7EF" w14:textId="77777777" w:rsidR="00DE156A" w:rsidRDefault="00DE156A" w:rsidP="005A3B4D">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3B7DDDD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B4358E" w14:textId="77777777" w:rsidR="00DE156A" w:rsidRDefault="00DE156A" w:rsidP="005A3B4D">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2A77681F" w14:textId="77777777" w:rsidR="00DE156A" w:rsidRDefault="00DE156A" w:rsidP="005A3B4D">
            <w:pPr>
              <w:jc w:val="right"/>
              <w:rPr>
                <w:color w:val="000000"/>
                <w:sz w:val="20"/>
                <w:szCs w:val="20"/>
              </w:rPr>
            </w:pPr>
            <w:r>
              <w:rPr>
                <w:color w:val="000000"/>
                <w:sz w:val="20"/>
                <w:szCs w:val="20"/>
              </w:rPr>
              <w:t>0.267</w:t>
            </w:r>
          </w:p>
        </w:tc>
        <w:tc>
          <w:tcPr>
            <w:tcW w:w="768" w:type="dxa"/>
            <w:tcBorders>
              <w:top w:val="nil"/>
              <w:left w:val="nil"/>
              <w:bottom w:val="nil"/>
              <w:right w:val="nil"/>
            </w:tcBorders>
            <w:shd w:val="clear" w:color="auto" w:fill="auto"/>
            <w:noWrap/>
            <w:vAlign w:val="bottom"/>
            <w:hideMark/>
          </w:tcPr>
          <w:p w14:paraId="41E23771" w14:textId="77777777" w:rsidR="00DE156A" w:rsidRDefault="00DE156A" w:rsidP="005A3B4D">
            <w:pPr>
              <w:jc w:val="right"/>
              <w:rPr>
                <w:color w:val="000000"/>
                <w:sz w:val="20"/>
                <w:szCs w:val="20"/>
              </w:rPr>
            </w:pPr>
            <w:r>
              <w:rPr>
                <w:color w:val="000000"/>
                <w:sz w:val="20"/>
                <w:szCs w:val="20"/>
              </w:rPr>
              <w:t>0.003</w:t>
            </w:r>
          </w:p>
        </w:tc>
      </w:tr>
      <w:tr w:rsidR="00DE156A" w14:paraId="392C5607" w14:textId="77777777" w:rsidTr="005A3B4D">
        <w:trPr>
          <w:trHeight w:val="320"/>
        </w:trPr>
        <w:tc>
          <w:tcPr>
            <w:tcW w:w="1176" w:type="dxa"/>
            <w:tcBorders>
              <w:top w:val="nil"/>
              <w:left w:val="nil"/>
              <w:bottom w:val="nil"/>
              <w:right w:val="nil"/>
            </w:tcBorders>
            <w:shd w:val="clear" w:color="auto" w:fill="auto"/>
            <w:noWrap/>
            <w:vAlign w:val="bottom"/>
            <w:hideMark/>
          </w:tcPr>
          <w:p w14:paraId="25E61F24"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84574BC"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B9BFCCD"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A3E40A1" w14:textId="77777777" w:rsidR="00DE156A" w:rsidRDefault="00DE156A" w:rsidP="005A3B4D">
            <w:pPr>
              <w:jc w:val="right"/>
              <w:rPr>
                <w:color w:val="000000"/>
                <w:sz w:val="20"/>
                <w:szCs w:val="20"/>
              </w:rPr>
            </w:pPr>
            <w:r>
              <w:rPr>
                <w:color w:val="000000"/>
                <w:sz w:val="20"/>
                <w:szCs w:val="20"/>
              </w:rPr>
              <w:t>0.687</w:t>
            </w:r>
          </w:p>
        </w:tc>
        <w:tc>
          <w:tcPr>
            <w:tcW w:w="768" w:type="dxa"/>
            <w:tcBorders>
              <w:top w:val="nil"/>
              <w:left w:val="nil"/>
              <w:bottom w:val="nil"/>
              <w:right w:val="nil"/>
            </w:tcBorders>
            <w:shd w:val="clear" w:color="auto" w:fill="auto"/>
            <w:noWrap/>
            <w:vAlign w:val="bottom"/>
            <w:hideMark/>
          </w:tcPr>
          <w:p w14:paraId="2142399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A7BB7C" w14:textId="77777777" w:rsidR="00DE156A" w:rsidRDefault="00DE156A"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1D039EC" w14:textId="77777777" w:rsidR="00DE156A" w:rsidRDefault="00DE156A"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1C4ADD37"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154F95" w14:textId="77777777" w:rsidR="00DE156A" w:rsidRDefault="00DE156A"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F9B07B4" w14:textId="77777777" w:rsidR="00DE156A" w:rsidRDefault="00DE156A" w:rsidP="005A3B4D">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298378E8"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3C22124" w14:textId="77777777" w:rsidR="00DE156A" w:rsidRDefault="00DE156A"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97E3925" w14:textId="77777777" w:rsidR="00DE156A" w:rsidRDefault="00DE156A" w:rsidP="005A3B4D">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3A631CD4"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55C96F" w14:textId="77777777" w:rsidR="00DE156A" w:rsidRDefault="00DE156A"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011D67B1" w14:textId="77777777" w:rsidR="00DE156A" w:rsidRDefault="00DE156A" w:rsidP="005A3B4D">
            <w:pPr>
              <w:jc w:val="right"/>
              <w:rPr>
                <w:color w:val="000000"/>
                <w:sz w:val="20"/>
                <w:szCs w:val="20"/>
              </w:rPr>
            </w:pPr>
            <w:r>
              <w:rPr>
                <w:color w:val="000000"/>
                <w:sz w:val="20"/>
                <w:szCs w:val="20"/>
              </w:rPr>
              <w:t>0.267</w:t>
            </w:r>
          </w:p>
        </w:tc>
        <w:tc>
          <w:tcPr>
            <w:tcW w:w="768" w:type="dxa"/>
            <w:tcBorders>
              <w:top w:val="nil"/>
              <w:left w:val="nil"/>
              <w:bottom w:val="nil"/>
              <w:right w:val="nil"/>
            </w:tcBorders>
            <w:shd w:val="clear" w:color="auto" w:fill="auto"/>
            <w:noWrap/>
            <w:vAlign w:val="bottom"/>
            <w:hideMark/>
          </w:tcPr>
          <w:p w14:paraId="601FA5E6" w14:textId="77777777" w:rsidR="00DE156A" w:rsidRDefault="00DE156A" w:rsidP="005A3B4D">
            <w:pPr>
              <w:jc w:val="right"/>
              <w:rPr>
                <w:color w:val="000000"/>
                <w:sz w:val="20"/>
                <w:szCs w:val="20"/>
              </w:rPr>
            </w:pPr>
            <w:r>
              <w:rPr>
                <w:color w:val="000000"/>
                <w:sz w:val="20"/>
                <w:szCs w:val="20"/>
              </w:rPr>
              <w:t>0.003</w:t>
            </w:r>
          </w:p>
        </w:tc>
      </w:tr>
      <w:tr w:rsidR="00DE156A" w14:paraId="40A7EF1C" w14:textId="77777777" w:rsidTr="005A3B4D">
        <w:trPr>
          <w:trHeight w:val="320"/>
        </w:trPr>
        <w:tc>
          <w:tcPr>
            <w:tcW w:w="1176" w:type="dxa"/>
            <w:tcBorders>
              <w:top w:val="nil"/>
              <w:left w:val="nil"/>
              <w:bottom w:val="nil"/>
              <w:right w:val="nil"/>
            </w:tcBorders>
            <w:shd w:val="clear" w:color="auto" w:fill="auto"/>
            <w:noWrap/>
            <w:vAlign w:val="bottom"/>
            <w:hideMark/>
          </w:tcPr>
          <w:p w14:paraId="74ED17F1"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BC6ABE"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557CDF8"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4857FDB" w14:textId="77777777" w:rsidR="00DE156A" w:rsidRDefault="00DE156A" w:rsidP="005A3B4D">
            <w:pPr>
              <w:jc w:val="right"/>
              <w:rPr>
                <w:color w:val="000000"/>
                <w:sz w:val="20"/>
                <w:szCs w:val="20"/>
              </w:rPr>
            </w:pPr>
            <w:r>
              <w:rPr>
                <w:color w:val="000000"/>
                <w:sz w:val="20"/>
                <w:szCs w:val="20"/>
              </w:rPr>
              <w:t>0.687</w:t>
            </w:r>
          </w:p>
        </w:tc>
        <w:tc>
          <w:tcPr>
            <w:tcW w:w="768" w:type="dxa"/>
            <w:tcBorders>
              <w:top w:val="nil"/>
              <w:left w:val="nil"/>
              <w:bottom w:val="nil"/>
              <w:right w:val="nil"/>
            </w:tcBorders>
            <w:shd w:val="clear" w:color="auto" w:fill="auto"/>
            <w:noWrap/>
            <w:vAlign w:val="bottom"/>
            <w:hideMark/>
          </w:tcPr>
          <w:p w14:paraId="2086C97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EB3942" w14:textId="77777777" w:rsidR="00DE156A" w:rsidRDefault="00DE156A"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4009C2C" w14:textId="77777777" w:rsidR="00DE156A" w:rsidRDefault="00DE156A"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5674464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B93390" w14:textId="77777777" w:rsidR="00DE156A" w:rsidRDefault="00DE156A"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6CFBFB5E" w14:textId="77777777" w:rsidR="00DE156A" w:rsidRDefault="00DE156A" w:rsidP="005A3B4D">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19E7401C"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793287E"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855E10" w14:textId="77777777" w:rsidR="00DE156A" w:rsidRDefault="00DE156A" w:rsidP="005A3B4D">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6E76620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9C8F8C" w14:textId="77777777" w:rsidR="00DE156A" w:rsidRDefault="00DE156A" w:rsidP="005A3B4D">
            <w:pPr>
              <w:jc w:val="right"/>
              <w:rPr>
                <w:b/>
                <w:bCs/>
                <w:color w:val="000000"/>
                <w:sz w:val="20"/>
                <w:szCs w:val="20"/>
              </w:rPr>
            </w:pPr>
            <w:r>
              <w:rPr>
                <w:b/>
                <w:bCs/>
                <w:color w:val="000000"/>
                <w:sz w:val="20"/>
                <w:szCs w:val="20"/>
              </w:rPr>
              <w:t>0.124</w:t>
            </w:r>
          </w:p>
        </w:tc>
        <w:tc>
          <w:tcPr>
            <w:tcW w:w="768" w:type="dxa"/>
            <w:tcBorders>
              <w:top w:val="nil"/>
              <w:left w:val="nil"/>
              <w:bottom w:val="nil"/>
              <w:right w:val="nil"/>
            </w:tcBorders>
            <w:shd w:val="clear" w:color="auto" w:fill="auto"/>
            <w:noWrap/>
            <w:vAlign w:val="bottom"/>
            <w:hideMark/>
          </w:tcPr>
          <w:p w14:paraId="673BCD64" w14:textId="77777777" w:rsidR="00DE156A" w:rsidRDefault="00DE156A"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7C4365DE" w14:textId="77777777" w:rsidR="00DE156A" w:rsidRDefault="00DE156A" w:rsidP="005A3B4D">
            <w:pPr>
              <w:jc w:val="right"/>
              <w:rPr>
                <w:color w:val="000000"/>
                <w:sz w:val="20"/>
                <w:szCs w:val="20"/>
              </w:rPr>
            </w:pPr>
            <w:r>
              <w:rPr>
                <w:b/>
                <w:bCs/>
                <w:color w:val="000000"/>
                <w:sz w:val="20"/>
                <w:szCs w:val="20"/>
              </w:rPr>
              <w:t>0.015</w:t>
            </w:r>
          </w:p>
        </w:tc>
      </w:tr>
      <w:tr w:rsidR="00DE156A" w14:paraId="7D521749" w14:textId="77777777" w:rsidTr="005A3B4D">
        <w:trPr>
          <w:trHeight w:val="320"/>
        </w:trPr>
        <w:tc>
          <w:tcPr>
            <w:tcW w:w="1176" w:type="dxa"/>
            <w:tcBorders>
              <w:top w:val="nil"/>
              <w:left w:val="nil"/>
              <w:bottom w:val="nil"/>
              <w:right w:val="nil"/>
            </w:tcBorders>
            <w:shd w:val="clear" w:color="auto" w:fill="auto"/>
            <w:noWrap/>
            <w:vAlign w:val="bottom"/>
            <w:hideMark/>
          </w:tcPr>
          <w:p w14:paraId="058CC996"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1E2CC1"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1A7907F" w14:textId="77777777" w:rsidR="00DE156A" w:rsidRDefault="00DE156A"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445F54AB" w14:textId="77777777" w:rsidR="00DE156A" w:rsidRDefault="00DE156A" w:rsidP="005A3B4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183FF9C4"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5D9F47" w14:textId="77777777" w:rsidR="00DE156A" w:rsidRDefault="00DE156A"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7B46725" w14:textId="77777777" w:rsidR="00DE156A" w:rsidRDefault="00DE156A"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6EE5D60C"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5181E0"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0BF01711" w14:textId="77777777" w:rsidR="00DE156A" w:rsidRDefault="00DE156A" w:rsidP="005A3B4D">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14B18C7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6799C6" w14:textId="77777777" w:rsidR="00DE156A" w:rsidRDefault="00DE156A"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38333FB" w14:textId="77777777" w:rsidR="00DE156A" w:rsidRDefault="00DE156A" w:rsidP="005A3B4D">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0B6E0DC3"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812A2C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FB2A7F" w14:textId="77777777" w:rsidR="00DE156A" w:rsidRDefault="00DE156A" w:rsidP="005A3B4D">
            <w:pPr>
              <w:jc w:val="right"/>
              <w:rPr>
                <w:color w:val="000000"/>
                <w:sz w:val="20"/>
                <w:szCs w:val="20"/>
              </w:rPr>
            </w:pPr>
            <w:r>
              <w:rPr>
                <w:color w:val="000000"/>
                <w:sz w:val="20"/>
                <w:szCs w:val="20"/>
              </w:rPr>
              <w:t>0.991</w:t>
            </w:r>
          </w:p>
        </w:tc>
        <w:tc>
          <w:tcPr>
            <w:tcW w:w="768" w:type="dxa"/>
            <w:tcBorders>
              <w:top w:val="nil"/>
              <w:left w:val="nil"/>
              <w:bottom w:val="nil"/>
              <w:right w:val="nil"/>
            </w:tcBorders>
            <w:shd w:val="clear" w:color="auto" w:fill="auto"/>
            <w:noWrap/>
            <w:vAlign w:val="bottom"/>
            <w:hideMark/>
          </w:tcPr>
          <w:p w14:paraId="479A1630" w14:textId="77777777" w:rsidR="00DE156A" w:rsidRDefault="00DE156A" w:rsidP="005A3B4D">
            <w:pPr>
              <w:jc w:val="right"/>
              <w:rPr>
                <w:color w:val="000000"/>
                <w:sz w:val="20"/>
                <w:szCs w:val="20"/>
              </w:rPr>
            </w:pPr>
            <w:r>
              <w:rPr>
                <w:color w:val="000000"/>
                <w:sz w:val="20"/>
                <w:szCs w:val="20"/>
              </w:rPr>
              <w:t>0.000</w:t>
            </w:r>
          </w:p>
        </w:tc>
      </w:tr>
      <w:tr w:rsidR="00DE156A" w14:paraId="1E9FB21F" w14:textId="77777777" w:rsidTr="005A3B4D">
        <w:trPr>
          <w:trHeight w:val="320"/>
        </w:trPr>
        <w:tc>
          <w:tcPr>
            <w:tcW w:w="1176" w:type="dxa"/>
            <w:tcBorders>
              <w:top w:val="nil"/>
              <w:left w:val="nil"/>
              <w:bottom w:val="nil"/>
              <w:right w:val="nil"/>
            </w:tcBorders>
            <w:shd w:val="clear" w:color="auto" w:fill="auto"/>
            <w:noWrap/>
            <w:vAlign w:val="bottom"/>
            <w:hideMark/>
          </w:tcPr>
          <w:p w14:paraId="51544248"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7F9A40"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24D57C6" w14:textId="77777777" w:rsidR="00DE156A" w:rsidRDefault="00DE156A"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C2D2E8F" w14:textId="77777777" w:rsidR="00DE156A" w:rsidRDefault="00DE156A" w:rsidP="005A3B4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5C5FDF71"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50BD46E" w14:textId="77777777" w:rsidR="00DE156A" w:rsidRDefault="00DE156A"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11E16CC3" w14:textId="77777777" w:rsidR="00DE156A" w:rsidRDefault="00DE156A" w:rsidP="005A3B4D">
            <w:pPr>
              <w:jc w:val="right"/>
              <w:rPr>
                <w:color w:val="000000"/>
                <w:sz w:val="20"/>
                <w:szCs w:val="20"/>
              </w:rPr>
            </w:pPr>
            <w:r>
              <w:rPr>
                <w:color w:val="000000"/>
                <w:sz w:val="20"/>
                <w:szCs w:val="20"/>
              </w:rPr>
              <w:t>0.216</w:t>
            </w:r>
          </w:p>
        </w:tc>
        <w:tc>
          <w:tcPr>
            <w:tcW w:w="768" w:type="dxa"/>
            <w:tcBorders>
              <w:top w:val="nil"/>
              <w:left w:val="nil"/>
              <w:bottom w:val="nil"/>
              <w:right w:val="nil"/>
            </w:tcBorders>
            <w:shd w:val="clear" w:color="auto" w:fill="auto"/>
            <w:noWrap/>
            <w:vAlign w:val="bottom"/>
            <w:hideMark/>
          </w:tcPr>
          <w:p w14:paraId="10161E6E"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B9A0E2B" w14:textId="77777777" w:rsidR="00DE156A" w:rsidRDefault="00DE156A"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201E67E8" w14:textId="77777777" w:rsidR="00DE156A" w:rsidRDefault="00DE156A" w:rsidP="005A3B4D">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4984F26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54C31F" w14:textId="77777777" w:rsidR="00DE156A" w:rsidRDefault="00DE156A"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2ACE4458" w14:textId="77777777" w:rsidR="00DE156A" w:rsidRDefault="00DE156A" w:rsidP="005A3B4D">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4620B3C4"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F9D5133"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140FA0E" w14:textId="77777777" w:rsidR="00DE156A" w:rsidRDefault="00DE156A" w:rsidP="005A3B4D">
            <w:pPr>
              <w:jc w:val="right"/>
              <w:rPr>
                <w:color w:val="000000"/>
                <w:sz w:val="20"/>
                <w:szCs w:val="20"/>
              </w:rPr>
            </w:pPr>
            <w:r>
              <w:rPr>
                <w:color w:val="000000"/>
                <w:sz w:val="20"/>
                <w:szCs w:val="20"/>
              </w:rPr>
              <w:t>0.931</w:t>
            </w:r>
          </w:p>
        </w:tc>
        <w:tc>
          <w:tcPr>
            <w:tcW w:w="768" w:type="dxa"/>
            <w:tcBorders>
              <w:top w:val="nil"/>
              <w:left w:val="nil"/>
              <w:bottom w:val="nil"/>
              <w:right w:val="nil"/>
            </w:tcBorders>
            <w:shd w:val="clear" w:color="auto" w:fill="auto"/>
            <w:noWrap/>
            <w:vAlign w:val="bottom"/>
            <w:hideMark/>
          </w:tcPr>
          <w:p w14:paraId="34C5AD8C" w14:textId="77777777" w:rsidR="00DE156A" w:rsidRDefault="00DE156A" w:rsidP="005A3B4D">
            <w:pPr>
              <w:jc w:val="right"/>
              <w:rPr>
                <w:color w:val="000000"/>
                <w:sz w:val="20"/>
                <w:szCs w:val="20"/>
              </w:rPr>
            </w:pPr>
            <w:r>
              <w:rPr>
                <w:color w:val="000000"/>
                <w:sz w:val="20"/>
                <w:szCs w:val="20"/>
              </w:rPr>
              <w:t>0.000</w:t>
            </w:r>
          </w:p>
        </w:tc>
      </w:tr>
      <w:tr w:rsidR="00DE156A" w14:paraId="501D7795" w14:textId="77777777" w:rsidTr="005A3B4D">
        <w:trPr>
          <w:trHeight w:val="320"/>
        </w:trPr>
        <w:tc>
          <w:tcPr>
            <w:tcW w:w="1176" w:type="dxa"/>
            <w:tcBorders>
              <w:top w:val="nil"/>
              <w:left w:val="nil"/>
              <w:bottom w:val="nil"/>
              <w:right w:val="nil"/>
            </w:tcBorders>
            <w:shd w:val="clear" w:color="auto" w:fill="auto"/>
            <w:noWrap/>
            <w:vAlign w:val="bottom"/>
            <w:hideMark/>
          </w:tcPr>
          <w:p w14:paraId="6F812191"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F1B91D"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F577251" w14:textId="77777777" w:rsidR="00DE156A" w:rsidRDefault="00DE156A"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8C94CAA" w14:textId="77777777" w:rsidR="00DE156A" w:rsidRDefault="00DE156A" w:rsidP="005A3B4D">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5D8EFB49"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4AFE27"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50507D1" w14:textId="77777777" w:rsidR="00DE156A" w:rsidRDefault="00DE156A" w:rsidP="005A3B4D">
            <w:pPr>
              <w:jc w:val="right"/>
              <w:rPr>
                <w:color w:val="000000"/>
                <w:sz w:val="20"/>
                <w:szCs w:val="20"/>
              </w:rPr>
            </w:pPr>
            <w:r>
              <w:rPr>
                <w:color w:val="000000"/>
                <w:sz w:val="20"/>
                <w:szCs w:val="20"/>
              </w:rPr>
              <w:t>0.793</w:t>
            </w:r>
          </w:p>
        </w:tc>
        <w:tc>
          <w:tcPr>
            <w:tcW w:w="768" w:type="dxa"/>
            <w:tcBorders>
              <w:top w:val="nil"/>
              <w:left w:val="nil"/>
              <w:bottom w:val="nil"/>
              <w:right w:val="nil"/>
            </w:tcBorders>
            <w:shd w:val="clear" w:color="auto" w:fill="auto"/>
            <w:noWrap/>
            <w:vAlign w:val="bottom"/>
            <w:hideMark/>
          </w:tcPr>
          <w:p w14:paraId="6D09BB1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5C0760"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A93BE6C" w14:textId="77777777" w:rsidR="00DE156A" w:rsidRDefault="00DE156A" w:rsidP="005A3B4D">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20FD193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BC2C1E"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5F54108" w14:textId="77777777" w:rsidR="00DE156A" w:rsidRDefault="00DE156A" w:rsidP="005A3B4D">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3CCCAA5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AFD507"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E8C25F6" w14:textId="77777777" w:rsidR="00DE156A" w:rsidRDefault="00DE156A" w:rsidP="005A3B4D">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619945F3" w14:textId="77777777" w:rsidR="00DE156A" w:rsidRDefault="00DE156A" w:rsidP="005A3B4D">
            <w:pPr>
              <w:jc w:val="right"/>
              <w:rPr>
                <w:color w:val="000000"/>
                <w:sz w:val="20"/>
                <w:szCs w:val="20"/>
              </w:rPr>
            </w:pPr>
            <w:r>
              <w:rPr>
                <w:color w:val="000000"/>
                <w:sz w:val="20"/>
                <w:szCs w:val="20"/>
              </w:rPr>
              <w:t>0.000</w:t>
            </w:r>
          </w:p>
        </w:tc>
      </w:tr>
      <w:tr w:rsidR="00DE156A" w14:paraId="5DE88CD5"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15817615"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229BCD23"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4E197275"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single" w:sz="12" w:space="0" w:color="auto"/>
              <w:right w:val="nil"/>
            </w:tcBorders>
            <w:shd w:val="clear" w:color="auto" w:fill="auto"/>
            <w:noWrap/>
            <w:vAlign w:val="bottom"/>
            <w:hideMark/>
          </w:tcPr>
          <w:p w14:paraId="4148DBEE" w14:textId="77777777" w:rsidR="00DE156A" w:rsidRDefault="00DE156A" w:rsidP="005A3B4D">
            <w:pPr>
              <w:jc w:val="right"/>
              <w:rPr>
                <w:color w:val="000000"/>
                <w:sz w:val="20"/>
                <w:szCs w:val="20"/>
              </w:rPr>
            </w:pPr>
            <w:r>
              <w:rPr>
                <w:color w:val="000000"/>
                <w:sz w:val="20"/>
                <w:szCs w:val="20"/>
              </w:rPr>
              <w:t>0.656</w:t>
            </w:r>
          </w:p>
        </w:tc>
        <w:tc>
          <w:tcPr>
            <w:tcW w:w="768" w:type="dxa"/>
            <w:tcBorders>
              <w:top w:val="nil"/>
              <w:left w:val="nil"/>
              <w:bottom w:val="single" w:sz="12" w:space="0" w:color="auto"/>
              <w:right w:val="nil"/>
            </w:tcBorders>
            <w:shd w:val="clear" w:color="auto" w:fill="auto"/>
            <w:noWrap/>
            <w:vAlign w:val="bottom"/>
            <w:hideMark/>
          </w:tcPr>
          <w:p w14:paraId="232A02BE"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DB7FF3A"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single" w:sz="12" w:space="0" w:color="auto"/>
              <w:right w:val="nil"/>
            </w:tcBorders>
            <w:shd w:val="clear" w:color="auto" w:fill="auto"/>
            <w:noWrap/>
            <w:vAlign w:val="bottom"/>
            <w:hideMark/>
          </w:tcPr>
          <w:p w14:paraId="36C7237F" w14:textId="77777777" w:rsidR="00DE156A" w:rsidRDefault="00DE156A" w:rsidP="005A3B4D">
            <w:pPr>
              <w:jc w:val="right"/>
              <w:rPr>
                <w:color w:val="000000"/>
                <w:sz w:val="20"/>
                <w:szCs w:val="20"/>
              </w:rPr>
            </w:pPr>
            <w:r>
              <w:rPr>
                <w:color w:val="000000"/>
                <w:sz w:val="20"/>
                <w:szCs w:val="20"/>
              </w:rPr>
              <w:t>0.743</w:t>
            </w:r>
          </w:p>
        </w:tc>
        <w:tc>
          <w:tcPr>
            <w:tcW w:w="768" w:type="dxa"/>
            <w:tcBorders>
              <w:top w:val="nil"/>
              <w:left w:val="nil"/>
              <w:bottom w:val="single" w:sz="12" w:space="0" w:color="auto"/>
              <w:right w:val="nil"/>
            </w:tcBorders>
            <w:shd w:val="clear" w:color="auto" w:fill="auto"/>
            <w:noWrap/>
            <w:vAlign w:val="bottom"/>
            <w:hideMark/>
          </w:tcPr>
          <w:p w14:paraId="10A9874C"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52B81F03"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single" w:sz="12" w:space="0" w:color="auto"/>
              <w:right w:val="nil"/>
            </w:tcBorders>
            <w:shd w:val="clear" w:color="auto" w:fill="auto"/>
            <w:noWrap/>
            <w:vAlign w:val="bottom"/>
            <w:hideMark/>
          </w:tcPr>
          <w:p w14:paraId="7C8A9CF7" w14:textId="77777777" w:rsidR="00DE156A" w:rsidRDefault="00DE156A" w:rsidP="005A3B4D">
            <w:pPr>
              <w:jc w:val="right"/>
              <w:rPr>
                <w:color w:val="000000"/>
                <w:sz w:val="20"/>
                <w:szCs w:val="20"/>
              </w:rPr>
            </w:pPr>
            <w:r>
              <w:rPr>
                <w:color w:val="000000"/>
                <w:sz w:val="20"/>
                <w:szCs w:val="20"/>
              </w:rPr>
              <w:t>0.699</w:t>
            </w:r>
          </w:p>
        </w:tc>
        <w:tc>
          <w:tcPr>
            <w:tcW w:w="768" w:type="dxa"/>
            <w:tcBorders>
              <w:top w:val="nil"/>
              <w:left w:val="nil"/>
              <w:bottom w:val="single" w:sz="12" w:space="0" w:color="auto"/>
              <w:right w:val="nil"/>
            </w:tcBorders>
            <w:shd w:val="clear" w:color="auto" w:fill="auto"/>
            <w:noWrap/>
            <w:vAlign w:val="bottom"/>
            <w:hideMark/>
          </w:tcPr>
          <w:p w14:paraId="6CB498A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67503DB7"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single" w:sz="12" w:space="0" w:color="auto"/>
              <w:right w:val="nil"/>
            </w:tcBorders>
            <w:shd w:val="clear" w:color="auto" w:fill="auto"/>
            <w:noWrap/>
            <w:vAlign w:val="bottom"/>
            <w:hideMark/>
          </w:tcPr>
          <w:p w14:paraId="0C5C7E9C" w14:textId="77777777" w:rsidR="00DE156A" w:rsidRDefault="00DE156A" w:rsidP="005A3B4D">
            <w:pPr>
              <w:jc w:val="right"/>
              <w:rPr>
                <w:color w:val="000000"/>
                <w:sz w:val="20"/>
                <w:szCs w:val="20"/>
              </w:rPr>
            </w:pPr>
            <w:r>
              <w:rPr>
                <w:color w:val="000000"/>
                <w:sz w:val="20"/>
                <w:szCs w:val="20"/>
              </w:rPr>
              <w:t>0.979</w:t>
            </w:r>
          </w:p>
        </w:tc>
        <w:tc>
          <w:tcPr>
            <w:tcW w:w="768" w:type="dxa"/>
            <w:tcBorders>
              <w:top w:val="nil"/>
              <w:left w:val="nil"/>
              <w:bottom w:val="single" w:sz="12" w:space="0" w:color="auto"/>
              <w:right w:val="nil"/>
            </w:tcBorders>
            <w:shd w:val="clear" w:color="auto" w:fill="auto"/>
            <w:noWrap/>
            <w:vAlign w:val="bottom"/>
            <w:hideMark/>
          </w:tcPr>
          <w:p w14:paraId="5371D41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0E1DFF4" w14:textId="77777777" w:rsidR="00DE156A" w:rsidRDefault="00DE156A" w:rsidP="005A3B4D">
            <w:pPr>
              <w:jc w:val="right"/>
              <w:rPr>
                <w:color w:val="000000"/>
                <w:sz w:val="20"/>
                <w:szCs w:val="20"/>
              </w:rPr>
            </w:pPr>
            <w:r>
              <w:rPr>
                <w:color w:val="000000"/>
                <w:sz w:val="20"/>
                <w:szCs w:val="20"/>
              </w:rPr>
              <w:t>0.043</w:t>
            </w:r>
          </w:p>
        </w:tc>
        <w:tc>
          <w:tcPr>
            <w:tcW w:w="768" w:type="dxa"/>
            <w:tcBorders>
              <w:top w:val="nil"/>
              <w:left w:val="nil"/>
              <w:bottom w:val="single" w:sz="12" w:space="0" w:color="auto"/>
              <w:right w:val="nil"/>
            </w:tcBorders>
            <w:shd w:val="clear" w:color="auto" w:fill="auto"/>
            <w:noWrap/>
            <w:vAlign w:val="bottom"/>
            <w:hideMark/>
          </w:tcPr>
          <w:p w14:paraId="04596192" w14:textId="77777777" w:rsidR="00DE156A" w:rsidRDefault="00DE156A" w:rsidP="005A3B4D">
            <w:pPr>
              <w:jc w:val="right"/>
              <w:rPr>
                <w:color w:val="000000"/>
                <w:sz w:val="20"/>
                <w:szCs w:val="20"/>
              </w:rPr>
            </w:pPr>
            <w:r>
              <w:rPr>
                <w:color w:val="000000"/>
                <w:sz w:val="20"/>
                <w:szCs w:val="20"/>
              </w:rPr>
              <w:t>0.397</w:t>
            </w:r>
          </w:p>
        </w:tc>
        <w:tc>
          <w:tcPr>
            <w:tcW w:w="768" w:type="dxa"/>
            <w:tcBorders>
              <w:top w:val="nil"/>
              <w:left w:val="nil"/>
              <w:bottom w:val="single" w:sz="12" w:space="0" w:color="auto"/>
              <w:right w:val="nil"/>
            </w:tcBorders>
            <w:shd w:val="clear" w:color="auto" w:fill="auto"/>
            <w:noWrap/>
            <w:vAlign w:val="bottom"/>
            <w:hideMark/>
          </w:tcPr>
          <w:p w14:paraId="7400CDEA" w14:textId="77777777" w:rsidR="00DE156A" w:rsidRDefault="00DE156A" w:rsidP="005A3B4D">
            <w:pPr>
              <w:jc w:val="right"/>
              <w:rPr>
                <w:color w:val="000000"/>
                <w:sz w:val="20"/>
                <w:szCs w:val="20"/>
              </w:rPr>
            </w:pPr>
            <w:r>
              <w:rPr>
                <w:color w:val="000000"/>
                <w:sz w:val="20"/>
                <w:szCs w:val="20"/>
              </w:rPr>
              <w:t>0.002</w:t>
            </w:r>
          </w:p>
        </w:tc>
      </w:tr>
      <w:tr w:rsidR="00DE156A" w14:paraId="470C0B29"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3D6FA6EA" w14:textId="77777777" w:rsidR="00DE156A" w:rsidRDefault="00DE156A"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7F63292F" w14:textId="77777777" w:rsidR="00DE156A" w:rsidRDefault="00DE156A"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1A2FE989"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B1EF12E"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D174555"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0CB9CA0"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E44A2A8"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20DCAD"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9BEA3EE"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1A39516"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B9B4C9A"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FD68118"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32344B1"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B0F2560"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F199D14"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4ABF3DE"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3B738D5" w14:textId="77777777" w:rsidR="00DE156A" w:rsidRDefault="00DE156A" w:rsidP="005A3B4D">
            <w:pPr>
              <w:rPr>
                <w:sz w:val="20"/>
                <w:szCs w:val="20"/>
              </w:rPr>
            </w:pPr>
          </w:p>
        </w:tc>
      </w:tr>
    </w:tbl>
    <w:p w14:paraId="3414FE2F" w14:textId="77777777" w:rsidR="00DE156A" w:rsidRDefault="00DE156A" w:rsidP="00DE156A">
      <w:pPr>
        <w:spacing w:line="480" w:lineRule="auto"/>
      </w:pPr>
    </w:p>
    <w:p w14:paraId="24682632" w14:textId="77777777" w:rsidR="00DE156A" w:rsidRDefault="00DE156A" w:rsidP="00DE156A">
      <w:r>
        <w:br w:type="page"/>
      </w:r>
    </w:p>
    <w:p w14:paraId="4A8E0CD4" w14:textId="51A9CE13" w:rsidR="00DE156A" w:rsidRPr="009E2A20" w:rsidRDefault="00DE156A" w:rsidP="00DE156A">
      <w:pPr>
        <w:pStyle w:val="Heading1"/>
        <w:rPr>
          <w:rFonts w:ascii="Times New Roman" w:hAnsi="Times New Roman" w:cs="Times New Roman"/>
          <w:color w:val="000000" w:themeColor="text1"/>
          <w:sz w:val="24"/>
          <w:szCs w:val="24"/>
        </w:rPr>
      </w:pPr>
      <w:bookmarkStart w:id="35" w:name="_Toc155817702"/>
      <w:r>
        <w:rPr>
          <w:rFonts w:ascii="Times New Roman" w:hAnsi="Times New Roman" w:cs="Times New Roman"/>
          <w:b/>
          <w:bCs/>
          <w:color w:val="000000" w:themeColor="text1"/>
          <w:sz w:val="24"/>
          <w:szCs w:val="24"/>
        </w:rPr>
        <w:lastRenderedPageBreak/>
        <w:t>Table 12</w:t>
      </w:r>
      <w:r w:rsidRPr="009E2A20">
        <w:rPr>
          <w:rFonts w:ascii="Times New Roman" w:hAnsi="Times New Roman" w:cs="Times New Roman"/>
          <w:b/>
          <w:bCs/>
          <w:color w:val="000000" w:themeColor="text1"/>
          <w:sz w:val="24"/>
          <w:szCs w:val="24"/>
        </w:rPr>
        <w:t xml:space="preserve">b. </w:t>
      </w:r>
      <w:r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small world omega during the monetary incentive delay task</w:t>
      </w:r>
      <w:bookmarkEnd w:id="35"/>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DE156A" w14:paraId="7BD897A1"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468EF17D" w14:textId="77777777" w:rsidR="00DE156A" w:rsidRDefault="00DE156A"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4D32565" w14:textId="77777777" w:rsidR="00DE156A" w:rsidRDefault="00DE156A"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634E7D7D" w14:textId="77777777" w:rsidR="00DE156A" w:rsidRDefault="00DE156A"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55311088"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6540F5E"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1DE5A71"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A40A452"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CECE6FC"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7661B80"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339E20E"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EA203C8"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878018C"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EE0354B"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A696B7E"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94D9452" w14:textId="77777777" w:rsidR="00DE156A" w:rsidRDefault="00DE156A"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03FD593" w14:textId="77777777" w:rsidR="00DE156A" w:rsidRDefault="00DE156A" w:rsidP="005A3B4D">
            <w:pPr>
              <w:rPr>
                <w:sz w:val="20"/>
                <w:szCs w:val="20"/>
              </w:rPr>
            </w:pPr>
          </w:p>
        </w:tc>
        <w:tc>
          <w:tcPr>
            <w:tcW w:w="768" w:type="dxa"/>
            <w:tcBorders>
              <w:top w:val="nil"/>
              <w:left w:val="nil"/>
              <w:bottom w:val="nil"/>
              <w:right w:val="nil"/>
            </w:tcBorders>
            <w:shd w:val="clear" w:color="auto" w:fill="auto"/>
            <w:noWrap/>
            <w:vAlign w:val="bottom"/>
            <w:hideMark/>
          </w:tcPr>
          <w:p w14:paraId="4BF11C54" w14:textId="77777777" w:rsidR="00DE156A" w:rsidRDefault="00DE156A" w:rsidP="005A3B4D">
            <w:pPr>
              <w:rPr>
                <w:sz w:val="20"/>
                <w:szCs w:val="20"/>
              </w:rPr>
            </w:pPr>
          </w:p>
        </w:tc>
      </w:tr>
      <w:tr w:rsidR="00DE156A" w14:paraId="720D148B"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3F3E08E1" w14:textId="77777777" w:rsidR="00DE156A" w:rsidRDefault="00DE156A"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9E77049" w14:textId="77777777" w:rsidR="00DE156A" w:rsidRDefault="00DE156A"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4ECB8479" w14:textId="77777777" w:rsidR="00DE156A" w:rsidRDefault="00DE156A"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0A5FBA2" w14:textId="77777777" w:rsidR="00DE156A" w:rsidRDefault="00DE156A"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AB36259" w14:textId="77777777" w:rsidR="00DE156A" w:rsidRDefault="00DE156A"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ED0CAC5" w14:textId="77777777" w:rsidR="00DE156A" w:rsidRDefault="00DE156A"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8" w:space="0" w:color="auto"/>
              <w:right w:val="nil"/>
            </w:tcBorders>
            <w:shd w:val="clear" w:color="auto" w:fill="auto"/>
            <w:noWrap/>
            <w:vAlign w:val="center"/>
            <w:hideMark/>
          </w:tcPr>
          <w:p w14:paraId="6AFFCA9F" w14:textId="77777777" w:rsidR="00DE156A" w:rsidRDefault="00DE156A" w:rsidP="005A3B4D">
            <w:pPr>
              <w:jc w:val="center"/>
              <w:rPr>
                <w:color w:val="000000"/>
                <w:sz w:val="20"/>
                <w:szCs w:val="20"/>
              </w:rPr>
            </w:pPr>
            <w:r>
              <w:rPr>
                <w:color w:val="000000"/>
                <w:sz w:val="20"/>
                <w:szCs w:val="20"/>
              </w:rPr>
              <w:t>Urbanicity</w:t>
            </w:r>
          </w:p>
        </w:tc>
      </w:tr>
      <w:tr w:rsidR="00DE156A" w14:paraId="4FC664AA"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7ADA1027" w14:textId="77777777" w:rsidR="00DE156A" w:rsidRDefault="00DE156A"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1AAAAB85" w14:textId="77777777" w:rsidR="00DE156A" w:rsidRDefault="00DE156A"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2082D0D4"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59221BE"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2254FDC"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C75A2F5"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7F96A64"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67372EB"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60C6D1F"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5C3309B"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C2C64D4"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E24ED89"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9B9766A"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B008B96"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EF7D37B" w14:textId="77777777" w:rsidR="00DE156A" w:rsidRDefault="00DE156A"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478F54B" w14:textId="77777777" w:rsidR="00DE156A" w:rsidRDefault="00DE156A"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F670F65" w14:textId="77777777" w:rsidR="00DE156A" w:rsidRDefault="00DE156A"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DE156A" w14:paraId="5035F04F"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0910B8D6" w14:textId="77777777" w:rsidR="00DE156A" w:rsidRDefault="00DE156A"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618F8C82" w14:textId="77777777" w:rsidR="00DE156A" w:rsidRDefault="00DE156A"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5B0E3BDB" w14:textId="77777777" w:rsidR="00DE156A" w:rsidRDefault="00DE156A" w:rsidP="005A3B4D">
            <w:pPr>
              <w:jc w:val="right"/>
              <w:rPr>
                <w:color w:val="000000"/>
                <w:sz w:val="20"/>
                <w:szCs w:val="20"/>
              </w:rPr>
            </w:pPr>
            <w:r>
              <w:rPr>
                <w:color w:val="000000"/>
                <w:sz w:val="20"/>
                <w:szCs w:val="20"/>
              </w:rPr>
              <w:t>-0.019</w:t>
            </w:r>
          </w:p>
        </w:tc>
        <w:tc>
          <w:tcPr>
            <w:tcW w:w="768" w:type="dxa"/>
            <w:tcBorders>
              <w:top w:val="single" w:sz="12" w:space="0" w:color="auto"/>
              <w:left w:val="nil"/>
              <w:bottom w:val="nil"/>
              <w:right w:val="nil"/>
            </w:tcBorders>
            <w:shd w:val="clear" w:color="auto" w:fill="auto"/>
            <w:noWrap/>
            <w:vAlign w:val="bottom"/>
            <w:hideMark/>
          </w:tcPr>
          <w:p w14:paraId="4C1B1839" w14:textId="77777777" w:rsidR="00DE156A" w:rsidRDefault="00DE156A" w:rsidP="005A3B4D">
            <w:pPr>
              <w:jc w:val="right"/>
              <w:rPr>
                <w:color w:val="000000"/>
                <w:sz w:val="20"/>
                <w:szCs w:val="20"/>
              </w:rPr>
            </w:pPr>
            <w:r>
              <w:rPr>
                <w:color w:val="000000"/>
                <w:sz w:val="20"/>
                <w:szCs w:val="20"/>
              </w:rPr>
              <w:t>0.651</w:t>
            </w:r>
          </w:p>
        </w:tc>
        <w:tc>
          <w:tcPr>
            <w:tcW w:w="768" w:type="dxa"/>
            <w:tcBorders>
              <w:top w:val="single" w:sz="12" w:space="0" w:color="auto"/>
              <w:left w:val="nil"/>
              <w:bottom w:val="nil"/>
              <w:right w:val="nil"/>
            </w:tcBorders>
            <w:shd w:val="clear" w:color="auto" w:fill="auto"/>
            <w:noWrap/>
            <w:vAlign w:val="bottom"/>
            <w:hideMark/>
          </w:tcPr>
          <w:p w14:paraId="467D307A"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BB99621" w14:textId="77777777" w:rsidR="00DE156A" w:rsidRDefault="00DE156A" w:rsidP="005A3B4D">
            <w:pPr>
              <w:jc w:val="right"/>
              <w:rPr>
                <w:color w:val="000000"/>
                <w:sz w:val="20"/>
                <w:szCs w:val="20"/>
              </w:rPr>
            </w:pPr>
            <w:r>
              <w:rPr>
                <w:color w:val="000000"/>
                <w:sz w:val="20"/>
                <w:szCs w:val="20"/>
              </w:rPr>
              <w:t>-0.035</w:t>
            </w:r>
          </w:p>
        </w:tc>
        <w:tc>
          <w:tcPr>
            <w:tcW w:w="768" w:type="dxa"/>
            <w:tcBorders>
              <w:top w:val="single" w:sz="12" w:space="0" w:color="auto"/>
              <w:left w:val="nil"/>
              <w:bottom w:val="nil"/>
              <w:right w:val="nil"/>
            </w:tcBorders>
            <w:shd w:val="clear" w:color="auto" w:fill="auto"/>
            <w:noWrap/>
            <w:vAlign w:val="bottom"/>
            <w:hideMark/>
          </w:tcPr>
          <w:p w14:paraId="29C159B7" w14:textId="77777777" w:rsidR="00DE156A" w:rsidRDefault="00DE156A" w:rsidP="005A3B4D">
            <w:pPr>
              <w:jc w:val="right"/>
              <w:rPr>
                <w:color w:val="000000"/>
                <w:sz w:val="20"/>
                <w:szCs w:val="20"/>
              </w:rPr>
            </w:pPr>
            <w:r>
              <w:rPr>
                <w:color w:val="000000"/>
                <w:sz w:val="20"/>
                <w:szCs w:val="20"/>
              </w:rPr>
              <w:t>0.556</w:t>
            </w:r>
          </w:p>
        </w:tc>
        <w:tc>
          <w:tcPr>
            <w:tcW w:w="768" w:type="dxa"/>
            <w:tcBorders>
              <w:top w:val="single" w:sz="12" w:space="0" w:color="auto"/>
              <w:left w:val="nil"/>
              <w:bottom w:val="nil"/>
              <w:right w:val="nil"/>
            </w:tcBorders>
            <w:shd w:val="clear" w:color="auto" w:fill="auto"/>
            <w:noWrap/>
            <w:vAlign w:val="bottom"/>
            <w:hideMark/>
          </w:tcPr>
          <w:p w14:paraId="799B8044" w14:textId="77777777" w:rsidR="00DE156A" w:rsidRDefault="00DE156A"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5D94B925" w14:textId="77777777" w:rsidR="00DE156A" w:rsidRDefault="00DE156A" w:rsidP="005A3B4D">
            <w:pPr>
              <w:jc w:val="right"/>
              <w:rPr>
                <w:color w:val="000000"/>
                <w:sz w:val="20"/>
                <w:szCs w:val="20"/>
              </w:rPr>
            </w:pPr>
            <w:r>
              <w:rPr>
                <w:color w:val="000000"/>
                <w:sz w:val="20"/>
                <w:szCs w:val="20"/>
              </w:rPr>
              <w:t>0.019</w:t>
            </w:r>
          </w:p>
        </w:tc>
        <w:tc>
          <w:tcPr>
            <w:tcW w:w="768" w:type="dxa"/>
            <w:tcBorders>
              <w:top w:val="single" w:sz="12" w:space="0" w:color="auto"/>
              <w:left w:val="nil"/>
              <w:bottom w:val="nil"/>
              <w:right w:val="nil"/>
            </w:tcBorders>
            <w:shd w:val="clear" w:color="auto" w:fill="auto"/>
            <w:noWrap/>
            <w:vAlign w:val="bottom"/>
            <w:hideMark/>
          </w:tcPr>
          <w:p w14:paraId="2D8FB7CE" w14:textId="77777777" w:rsidR="00DE156A" w:rsidRDefault="00DE156A" w:rsidP="005A3B4D">
            <w:pPr>
              <w:jc w:val="right"/>
              <w:rPr>
                <w:color w:val="000000"/>
                <w:sz w:val="20"/>
                <w:szCs w:val="20"/>
              </w:rPr>
            </w:pPr>
            <w:r>
              <w:rPr>
                <w:color w:val="000000"/>
                <w:sz w:val="20"/>
                <w:szCs w:val="20"/>
              </w:rPr>
              <w:t>0.882</w:t>
            </w:r>
          </w:p>
        </w:tc>
        <w:tc>
          <w:tcPr>
            <w:tcW w:w="768" w:type="dxa"/>
            <w:tcBorders>
              <w:top w:val="single" w:sz="12" w:space="0" w:color="auto"/>
              <w:left w:val="nil"/>
              <w:bottom w:val="nil"/>
              <w:right w:val="nil"/>
            </w:tcBorders>
            <w:shd w:val="clear" w:color="auto" w:fill="auto"/>
            <w:noWrap/>
            <w:vAlign w:val="bottom"/>
            <w:hideMark/>
          </w:tcPr>
          <w:p w14:paraId="7D8B1ADF"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C92D053" w14:textId="77777777" w:rsidR="00DE156A" w:rsidRDefault="00DE156A" w:rsidP="005A3B4D">
            <w:pPr>
              <w:jc w:val="right"/>
              <w:rPr>
                <w:color w:val="000000"/>
                <w:sz w:val="20"/>
                <w:szCs w:val="20"/>
              </w:rPr>
            </w:pPr>
            <w:r>
              <w:rPr>
                <w:color w:val="000000"/>
                <w:sz w:val="20"/>
                <w:szCs w:val="20"/>
              </w:rPr>
              <w:t>-0.008</w:t>
            </w:r>
          </w:p>
        </w:tc>
        <w:tc>
          <w:tcPr>
            <w:tcW w:w="768" w:type="dxa"/>
            <w:tcBorders>
              <w:top w:val="single" w:sz="12" w:space="0" w:color="auto"/>
              <w:left w:val="nil"/>
              <w:bottom w:val="nil"/>
              <w:right w:val="nil"/>
            </w:tcBorders>
            <w:shd w:val="clear" w:color="auto" w:fill="auto"/>
            <w:noWrap/>
            <w:vAlign w:val="bottom"/>
            <w:hideMark/>
          </w:tcPr>
          <w:p w14:paraId="074EEEFA" w14:textId="77777777" w:rsidR="00DE156A" w:rsidRDefault="00DE156A" w:rsidP="005A3B4D">
            <w:pPr>
              <w:jc w:val="right"/>
              <w:rPr>
                <w:color w:val="000000"/>
                <w:sz w:val="20"/>
                <w:szCs w:val="20"/>
              </w:rPr>
            </w:pPr>
            <w:r>
              <w:rPr>
                <w:color w:val="000000"/>
                <w:sz w:val="20"/>
                <w:szCs w:val="20"/>
              </w:rPr>
              <w:t>0.835</w:t>
            </w:r>
          </w:p>
        </w:tc>
        <w:tc>
          <w:tcPr>
            <w:tcW w:w="768" w:type="dxa"/>
            <w:tcBorders>
              <w:top w:val="single" w:sz="12" w:space="0" w:color="auto"/>
              <w:left w:val="nil"/>
              <w:bottom w:val="nil"/>
              <w:right w:val="nil"/>
            </w:tcBorders>
            <w:shd w:val="clear" w:color="auto" w:fill="auto"/>
            <w:noWrap/>
            <w:vAlign w:val="bottom"/>
            <w:hideMark/>
          </w:tcPr>
          <w:p w14:paraId="7A3292BB" w14:textId="77777777" w:rsidR="00DE156A" w:rsidRDefault="00DE156A"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1340CB2" w14:textId="77777777" w:rsidR="00DE156A" w:rsidRDefault="00DE156A" w:rsidP="005A3B4D">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44D7A669" w14:textId="77777777" w:rsidR="00DE156A" w:rsidRDefault="00DE156A" w:rsidP="005A3B4D">
            <w:pPr>
              <w:jc w:val="right"/>
              <w:rPr>
                <w:color w:val="000000"/>
                <w:sz w:val="20"/>
                <w:szCs w:val="20"/>
              </w:rPr>
            </w:pPr>
            <w:r>
              <w:rPr>
                <w:color w:val="000000"/>
                <w:sz w:val="20"/>
                <w:szCs w:val="20"/>
              </w:rPr>
              <w:t>0.887</w:t>
            </w:r>
          </w:p>
        </w:tc>
        <w:tc>
          <w:tcPr>
            <w:tcW w:w="768" w:type="dxa"/>
            <w:tcBorders>
              <w:top w:val="single" w:sz="12" w:space="0" w:color="auto"/>
              <w:left w:val="nil"/>
              <w:bottom w:val="nil"/>
              <w:right w:val="nil"/>
            </w:tcBorders>
            <w:shd w:val="clear" w:color="auto" w:fill="auto"/>
            <w:noWrap/>
            <w:vAlign w:val="bottom"/>
            <w:hideMark/>
          </w:tcPr>
          <w:p w14:paraId="2017E842" w14:textId="77777777" w:rsidR="00DE156A" w:rsidRDefault="00DE156A" w:rsidP="005A3B4D">
            <w:pPr>
              <w:jc w:val="right"/>
              <w:rPr>
                <w:color w:val="000000"/>
                <w:sz w:val="20"/>
                <w:szCs w:val="20"/>
              </w:rPr>
            </w:pPr>
            <w:r>
              <w:rPr>
                <w:color w:val="000000"/>
                <w:sz w:val="20"/>
                <w:szCs w:val="20"/>
              </w:rPr>
              <w:t>0.000</w:t>
            </w:r>
          </w:p>
        </w:tc>
      </w:tr>
      <w:tr w:rsidR="00DE156A" w14:paraId="160B165F" w14:textId="77777777" w:rsidTr="005A3B4D">
        <w:trPr>
          <w:trHeight w:val="340"/>
        </w:trPr>
        <w:tc>
          <w:tcPr>
            <w:tcW w:w="1176" w:type="dxa"/>
            <w:tcBorders>
              <w:top w:val="nil"/>
              <w:left w:val="nil"/>
              <w:bottom w:val="nil"/>
              <w:right w:val="nil"/>
            </w:tcBorders>
            <w:shd w:val="clear" w:color="auto" w:fill="auto"/>
            <w:noWrap/>
            <w:vAlign w:val="bottom"/>
            <w:hideMark/>
          </w:tcPr>
          <w:p w14:paraId="4050F9B7"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D88B459"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07BB67E"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514B280" w14:textId="77777777" w:rsidR="00DE156A" w:rsidRDefault="00DE156A" w:rsidP="005A3B4D">
            <w:pPr>
              <w:jc w:val="right"/>
              <w:rPr>
                <w:color w:val="000000"/>
                <w:sz w:val="20"/>
                <w:szCs w:val="20"/>
              </w:rPr>
            </w:pPr>
            <w:r>
              <w:rPr>
                <w:color w:val="000000"/>
                <w:sz w:val="20"/>
                <w:szCs w:val="20"/>
              </w:rPr>
              <w:t>0.602</w:t>
            </w:r>
          </w:p>
        </w:tc>
        <w:tc>
          <w:tcPr>
            <w:tcW w:w="768" w:type="dxa"/>
            <w:tcBorders>
              <w:top w:val="nil"/>
              <w:left w:val="nil"/>
              <w:bottom w:val="nil"/>
              <w:right w:val="nil"/>
            </w:tcBorders>
            <w:shd w:val="clear" w:color="auto" w:fill="auto"/>
            <w:noWrap/>
            <w:vAlign w:val="bottom"/>
            <w:hideMark/>
          </w:tcPr>
          <w:p w14:paraId="2610B138"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6B72B7" w14:textId="77777777" w:rsidR="00DE156A" w:rsidRDefault="00DE156A"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A1CD5F8" w14:textId="77777777" w:rsidR="00DE156A" w:rsidRDefault="00DE156A" w:rsidP="005A3B4D">
            <w:pPr>
              <w:jc w:val="right"/>
              <w:rPr>
                <w:color w:val="000000"/>
                <w:sz w:val="20"/>
                <w:szCs w:val="20"/>
              </w:rPr>
            </w:pPr>
            <w:r>
              <w:rPr>
                <w:color w:val="000000"/>
                <w:sz w:val="20"/>
                <w:szCs w:val="20"/>
              </w:rPr>
              <w:t>0.681</w:t>
            </w:r>
          </w:p>
        </w:tc>
        <w:tc>
          <w:tcPr>
            <w:tcW w:w="768" w:type="dxa"/>
            <w:tcBorders>
              <w:top w:val="nil"/>
              <w:left w:val="nil"/>
              <w:bottom w:val="nil"/>
              <w:right w:val="nil"/>
            </w:tcBorders>
            <w:shd w:val="clear" w:color="auto" w:fill="auto"/>
            <w:noWrap/>
            <w:vAlign w:val="bottom"/>
            <w:hideMark/>
          </w:tcPr>
          <w:p w14:paraId="1F497A7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EAF161" w14:textId="77777777" w:rsidR="00DE156A" w:rsidRDefault="00DE156A" w:rsidP="005A3B4D">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303AF626" w14:textId="77777777" w:rsidR="00DE156A" w:rsidRDefault="00DE156A" w:rsidP="005A3B4D">
            <w:pPr>
              <w:jc w:val="right"/>
              <w:rPr>
                <w:color w:val="000000"/>
                <w:sz w:val="20"/>
                <w:szCs w:val="20"/>
              </w:rPr>
            </w:pPr>
            <w:r>
              <w:rPr>
                <w:color w:val="000000"/>
                <w:sz w:val="20"/>
                <w:szCs w:val="20"/>
              </w:rPr>
              <w:t>0.384</w:t>
            </w:r>
          </w:p>
        </w:tc>
        <w:tc>
          <w:tcPr>
            <w:tcW w:w="768" w:type="dxa"/>
            <w:tcBorders>
              <w:top w:val="nil"/>
              <w:left w:val="nil"/>
              <w:bottom w:val="nil"/>
              <w:right w:val="nil"/>
            </w:tcBorders>
            <w:shd w:val="clear" w:color="auto" w:fill="auto"/>
            <w:noWrap/>
            <w:vAlign w:val="bottom"/>
            <w:hideMark/>
          </w:tcPr>
          <w:p w14:paraId="6101D676"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E8D51B9" w14:textId="77777777" w:rsidR="00DE156A" w:rsidRDefault="00DE156A"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E84EC6B" w14:textId="77777777" w:rsidR="00DE156A" w:rsidRDefault="00DE156A" w:rsidP="005A3B4D">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3C6E7FE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2E12F0"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09986B5" w14:textId="77777777" w:rsidR="00DE156A" w:rsidRDefault="00DE156A" w:rsidP="005A3B4D">
            <w:pPr>
              <w:jc w:val="right"/>
              <w:rPr>
                <w:color w:val="000000"/>
                <w:sz w:val="20"/>
                <w:szCs w:val="20"/>
              </w:rPr>
            </w:pPr>
            <w:r>
              <w:rPr>
                <w:color w:val="000000"/>
                <w:sz w:val="20"/>
                <w:szCs w:val="20"/>
              </w:rPr>
              <w:t>0.887</w:t>
            </w:r>
          </w:p>
        </w:tc>
        <w:tc>
          <w:tcPr>
            <w:tcW w:w="768" w:type="dxa"/>
            <w:tcBorders>
              <w:top w:val="nil"/>
              <w:left w:val="nil"/>
              <w:bottom w:val="nil"/>
              <w:right w:val="nil"/>
            </w:tcBorders>
            <w:shd w:val="clear" w:color="auto" w:fill="auto"/>
            <w:noWrap/>
            <w:vAlign w:val="bottom"/>
            <w:hideMark/>
          </w:tcPr>
          <w:p w14:paraId="7CD1C1F7" w14:textId="77777777" w:rsidR="00DE156A" w:rsidRDefault="00DE156A" w:rsidP="005A3B4D">
            <w:pPr>
              <w:jc w:val="right"/>
              <w:rPr>
                <w:color w:val="000000"/>
                <w:sz w:val="20"/>
                <w:szCs w:val="20"/>
              </w:rPr>
            </w:pPr>
            <w:r>
              <w:rPr>
                <w:color w:val="000000"/>
                <w:sz w:val="20"/>
                <w:szCs w:val="20"/>
              </w:rPr>
              <w:t>0.000</w:t>
            </w:r>
          </w:p>
        </w:tc>
      </w:tr>
      <w:tr w:rsidR="00DE156A" w14:paraId="44D5A9AE" w14:textId="77777777" w:rsidTr="005A3B4D">
        <w:trPr>
          <w:trHeight w:val="320"/>
        </w:trPr>
        <w:tc>
          <w:tcPr>
            <w:tcW w:w="1176" w:type="dxa"/>
            <w:tcBorders>
              <w:top w:val="nil"/>
              <w:left w:val="nil"/>
              <w:bottom w:val="nil"/>
              <w:right w:val="nil"/>
            </w:tcBorders>
            <w:shd w:val="clear" w:color="auto" w:fill="auto"/>
            <w:noWrap/>
            <w:vAlign w:val="bottom"/>
            <w:hideMark/>
          </w:tcPr>
          <w:p w14:paraId="4265F4E2"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C7048AF"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AA13F75" w14:textId="77777777" w:rsidR="00DE156A" w:rsidRDefault="00DE156A"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770C5C31" w14:textId="77777777" w:rsidR="00DE156A" w:rsidRDefault="00DE156A" w:rsidP="005A3B4D">
            <w:pPr>
              <w:jc w:val="right"/>
              <w:rPr>
                <w:color w:val="000000"/>
                <w:sz w:val="20"/>
                <w:szCs w:val="20"/>
              </w:rPr>
            </w:pPr>
            <w:r>
              <w:rPr>
                <w:color w:val="000000"/>
                <w:sz w:val="20"/>
                <w:szCs w:val="20"/>
              </w:rPr>
              <w:t>0.602</w:t>
            </w:r>
          </w:p>
        </w:tc>
        <w:tc>
          <w:tcPr>
            <w:tcW w:w="768" w:type="dxa"/>
            <w:tcBorders>
              <w:top w:val="nil"/>
              <w:left w:val="nil"/>
              <w:bottom w:val="nil"/>
              <w:right w:val="nil"/>
            </w:tcBorders>
            <w:shd w:val="clear" w:color="auto" w:fill="auto"/>
            <w:noWrap/>
            <w:vAlign w:val="bottom"/>
            <w:hideMark/>
          </w:tcPr>
          <w:p w14:paraId="3039CB33"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4351FB2" w14:textId="77777777" w:rsidR="00DE156A" w:rsidRDefault="00DE156A" w:rsidP="005A3B4D">
            <w:pPr>
              <w:jc w:val="right"/>
              <w:rPr>
                <w:b/>
                <w:bCs/>
                <w:color w:val="000000"/>
                <w:sz w:val="20"/>
                <w:szCs w:val="20"/>
              </w:rPr>
            </w:pPr>
            <w:r>
              <w:rPr>
                <w:b/>
                <w:bCs/>
                <w:color w:val="000000"/>
                <w:sz w:val="20"/>
                <w:szCs w:val="20"/>
              </w:rPr>
              <w:t>-0.128</w:t>
            </w:r>
          </w:p>
        </w:tc>
        <w:tc>
          <w:tcPr>
            <w:tcW w:w="768" w:type="dxa"/>
            <w:tcBorders>
              <w:top w:val="nil"/>
              <w:left w:val="nil"/>
              <w:bottom w:val="nil"/>
              <w:right w:val="nil"/>
            </w:tcBorders>
            <w:shd w:val="clear" w:color="auto" w:fill="auto"/>
            <w:noWrap/>
            <w:vAlign w:val="bottom"/>
            <w:hideMark/>
          </w:tcPr>
          <w:p w14:paraId="750DC408" w14:textId="77777777" w:rsidR="00DE156A" w:rsidRDefault="00DE156A"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2C2654FA" w14:textId="77777777" w:rsidR="00DE156A" w:rsidRDefault="00DE156A" w:rsidP="005A3B4D">
            <w:pPr>
              <w:jc w:val="right"/>
              <w:rPr>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5596CE37" w14:textId="77777777" w:rsidR="00DE156A" w:rsidRDefault="00DE156A"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571F431" w14:textId="77777777" w:rsidR="00DE156A" w:rsidRDefault="00DE156A" w:rsidP="005A3B4D">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4FB1B7F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EB7976" w14:textId="77777777" w:rsidR="00DE156A" w:rsidRDefault="00DE156A" w:rsidP="005A3B4D">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379F91F0" w14:textId="77777777" w:rsidR="00DE156A" w:rsidRDefault="00DE156A" w:rsidP="005A3B4D">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7FAE7794"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32E6F56" w14:textId="77777777" w:rsidR="00DE156A" w:rsidRDefault="00DE156A"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77218C7" w14:textId="77777777" w:rsidR="00DE156A" w:rsidRDefault="00DE156A" w:rsidP="005A3B4D">
            <w:pPr>
              <w:jc w:val="right"/>
              <w:rPr>
                <w:color w:val="000000"/>
                <w:sz w:val="20"/>
                <w:szCs w:val="20"/>
              </w:rPr>
            </w:pPr>
            <w:r>
              <w:rPr>
                <w:color w:val="000000"/>
                <w:sz w:val="20"/>
                <w:szCs w:val="20"/>
              </w:rPr>
              <w:t>0.887</w:t>
            </w:r>
          </w:p>
        </w:tc>
        <w:tc>
          <w:tcPr>
            <w:tcW w:w="768" w:type="dxa"/>
            <w:tcBorders>
              <w:top w:val="nil"/>
              <w:left w:val="nil"/>
              <w:bottom w:val="nil"/>
              <w:right w:val="nil"/>
            </w:tcBorders>
            <w:shd w:val="clear" w:color="auto" w:fill="auto"/>
            <w:noWrap/>
            <w:vAlign w:val="bottom"/>
            <w:hideMark/>
          </w:tcPr>
          <w:p w14:paraId="3F2D384D" w14:textId="77777777" w:rsidR="00DE156A" w:rsidRDefault="00DE156A" w:rsidP="005A3B4D">
            <w:pPr>
              <w:jc w:val="right"/>
              <w:rPr>
                <w:color w:val="000000"/>
                <w:sz w:val="20"/>
                <w:szCs w:val="20"/>
              </w:rPr>
            </w:pPr>
            <w:r>
              <w:rPr>
                <w:color w:val="000000"/>
                <w:sz w:val="20"/>
                <w:szCs w:val="20"/>
              </w:rPr>
              <w:t>0.001</w:t>
            </w:r>
          </w:p>
        </w:tc>
      </w:tr>
      <w:tr w:rsidR="00DE156A" w14:paraId="6BFAF95F" w14:textId="77777777" w:rsidTr="005A3B4D">
        <w:trPr>
          <w:trHeight w:val="320"/>
        </w:trPr>
        <w:tc>
          <w:tcPr>
            <w:tcW w:w="1176" w:type="dxa"/>
            <w:tcBorders>
              <w:top w:val="nil"/>
              <w:left w:val="nil"/>
              <w:bottom w:val="nil"/>
              <w:right w:val="nil"/>
            </w:tcBorders>
            <w:shd w:val="clear" w:color="auto" w:fill="auto"/>
            <w:noWrap/>
            <w:vAlign w:val="bottom"/>
            <w:hideMark/>
          </w:tcPr>
          <w:p w14:paraId="53DB4B88"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ED79A6"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7609599" w14:textId="77777777" w:rsidR="00DE156A" w:rsidRDefault="00DE156A" w:rsidP="005A3B4D">
            <w:pPr>
              <w:jc w:val="right"/>
              <w:rPr>
                <w:color w:val="000000"/>
                <w:sz w:val="20"/>
                <w:szCs w:val="20"/>
              </w:rPr>
            </w:pPr>
            <w:r>
              <w:rPr>
                <w:color w:val="000000"/>
                <w:sz w:val="20"/>
                <w:szCs w:val="20"/>
              </w:rPr>
              <w:t>-0.194</w:t>
            </w:r>
          </w:p>
        </w:tc>
        <w:tc>
          <w:tcPr>
            <w:tcW w:w="768" w:type="dxa"/>
            <w:tcBorders>
              <w:top w:val="nil"/>
              <w:left w:val="nil"/>
              <w:bottom w:val="nil"/>
              <w:right w:val="nil"/>
            </w:tcBorders>
            <w:shd w:val="clear" w:color="auto" w:fill="auto"/>
            <w:noWrap/>
            <w:vAlign w:val="bottom"/>
            <w:hideMark/>
          </w:tcPr>
          <w:p w14:paraId="6F57BC36" w14:textId="77777777" w:rsidR="00DE156A" w:rsidRDefault="00DE156A" w:rsidP="005A3B4D">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13DC5536" w14:textId="77777777" w:rsidR="00DE156A" w:rsidRDefault="00DE156A"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06BDBA2F" w14:textId="77777777" w:rsidR="00DE156A" w:rsidRDefault="00DE156A" w:rsidP="005A3B4D">
            <w:pPr>
              <w:jc w:val="right"/>
              <w:rPr>
                <w:b/>
                <w:bCs/>
                <w:color w:val="000000"/>
                <w:sz w:val="20"/>
                <w:szCs w:val="20"/>
              </w:rPr>
            </w:pPr>
            <w:r>
              <w:rPr>
                <w:b/>
                <w:bCs/>
                <w:color w:val="000000"/>
                <w:sz w:val="20"/>
                <w:szCs w:val="20"/>
              </w:rPr>
              <w:t>0.500</w:t>
            </w:r>
          </w:p>
        </w:tc>
        <w:tc>
          <w:tcPr>
            <w:tcW w:w="768" w:type="dxa"/>
            <w:tcBorders>
              <w:top w:val="nil"/>
              <w:left w:val="nil"/>
              <w:bottom w:val="nil"/>
              <w:right w:val="nil"/>
            </w:tcBorders>
            <w:shd w:val="clear" w:color="auto" w:fill="auto"/>
            <w:noWrap/>
            <w:vAlign w:val="bottom"/>
            <w:hideMark/>
          </w:tcPr>
          <w:p w14:paraId="379C4E14" w14:textId="77777777" w:rsidR="00DE156A" w:rsidRDefault="00DE156A"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026C272B" w14:textId="77777777" w:rsidR="00DE156A" w:rsidRDefault="00DE156A" w:rsidP="005A3B4D">
            <w:pPr>
              <w:jc w:val="right"/>
              <w:rPr>
                <w:color w:val="000000"/>
                <w:sz w:val="20"/>
                <w:szCs w:val="20"/>
              </w:rPr>
            </w:pPr>
            <w:r>
              <w:rPr>
                <w:b/>
                <w:bCs/>
                <w:color w:val="000000"/>
                <w:sz w:val="20"/>
                <w:szCs w:val="20"/>
              </w:rPr>
              <w:t>0.250</w:t>
            </w:r>
          </w:p>
        </w:tc>
        <w:tc>
          <w:tcPr>
            <w:tcW w:w="768" w:type="dxa"/>
            <w:tcBorders>
              <w:top w:val="nil"/>
              <w:left w:val="nil"/>
              <w:bottom w:val="nil"/>
              <w:right w:val="nil"/>
            </w:tcBorders>
            <w:shd w:val="clear" w:color="auto" w:fill="auto"/>
            <w:noWrap/>
            <w:vAlign w:val="bottom"/>
            <w:hideMark/>
          </w:tcPr>
          <w:p w14:paraId="0A273E31" w14:textId="77777777" w:rsidR="00DE156A" w:rsidRDefault="00DE156A" w:rsidP="005A3B4D">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1E899FAB" w14:textId="77777777" w:rsidR="00DE156A" w:rsidRDefault="00DE156A" w:rsidP="005A3B4D">
            <w:pPr>
              <w:jc w:val="right"/>
              <w:rPr>
                <w:color w:val="000000"/>
                <w:sz w:val="20"/>
                <w:szCs w:val="20"/>
              </w:rPr>
            </w:pPr>
            <w:r>
              <w:rPr>
                <w:color w:val="000000"/>
                <w:sz w:val="20"/>
                <w:szCs w:val="20"/>
              </w:rPr>
              <w:t>0.690</w:t>
            </w:r>
          </w:p>
        </w:tc>
        <w:tc>
          <w:tcPr>
            <w:tcW w:w="768" w:type="dxa"/>
            <w:tcBorders>
              <w:top w:val="nil"/>
              <w:left w:val="nil"/>
              <w:bottom w:val="nil"/>
              <w:right w:val="nil"/>
            </w:tcBorders>
            <w:shd w:val="clear" w:color="auto" w:fill="auto"/>
            <w:noWrap/>
            <w:vAlign w:val="bottom"/>
            <w:hideMark/>
          </w:tcPr>
          <w:p w14:paraId="20BF20A1"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F538FF3" w14:textId="77777777" w:rsidR="00DE156A" w:rsidRDefault="00DE156A" w:rsidP="005A3B4D">
            <w:pPr>
              <w:jc w:val="right"/>
              <w:rPr>
                <w:color w:val="000000"/>
                <w:sz w:val="20"/>
                <w:szCs w:val="20"/>
              </w:rPr>
            </w:pPr>
            <w:r>
              <w:rPr>
                <w:b/>
                <w:bCs/>
                <w:color w:val="000000"/>
                <w:sz w:val="20"/>
                <w:szCs w:val="20"/>
              </w:rPr>
              <w:t>-0.235</w:t>
            </w:r>
          </w:p>
        </w:tc>
        <w:tc>
          <w:tcPr>
            <w:tcW w:w="768" w:type="dxa"/>
            <w:tcBorders>
              <w:top w:val="nil"/>
              <w:left w:val="nil"/>
              <w:bottom w:val="nil"/>
              <w:right w:val="nil"/>
            </w:tcBorders>
            <w:shd w:val="clear" w:color="auto" w:fill="auto"/>
            <w:noWrap/>
            <w:vAlign w:val="bottom"/>
            <w:hideMark/>
          </w:tcPr>
          <w:p w14:paraId="23C63C1A" w14:textId="77777777" w:rsidR="00DE156A" w:rsidRDefault="00DE156A" w:rsidP="005A3B4D">
            <w:pPr>
              <w:jc w:val="right"/>
              <w:rPr>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06FC72F0" w14:textId="77777777" w:rsidR="00DE156A" w:rsidRDefault="00DE156A" w:rsidP="005A3B4D">
            <w:pPr>
              <w:jc w:val="right"/>
              <w:rPr>
                <w:color w:val="000000"/>
                <w:sz w:val="20"/>
                <w:szCs w:val="20"/>
              </w:rPr>
            </w:pPr>
            <w:r>
              <w:rPr>
                <w:b/>
                <w:bCs/>
                <w:color w:val="000000"/>
                <w:sz w:val="20"/>
                <w:szCs w:val="20"/>
              </w:rPr>
              <w:t>0.055</w:t>
            </w:r>
          </w:p>
        </w:tc>
        <w:tc>
          <w:tcPr>
            <w:tcW w:w="768" w:type="dxa"/>
            <w:tcBorders>
              <w:top w:val="nil"/>
              <w:left w:val="nil"/>
              <w:bottom w:val="nil"/>
              <w:right w:val="nil"/>
            </w:tcBorders>
            <w:shd w:val="clear" w:color="auto" w:fill="auto"/>
            <w:noWrap/>
            <w:vAlign w:val="bottom"/>
            <w:hideMark/>
          </w:tcPr>
          <w:p w14:paraId="1DD20B3A" w14:textId="77777777" w:rsidR="00DE156A" w:rsidRDefault="00DE156A" w:rsidP="005A3B4D">
            <w:pPr>
              <w:jc w:val="right"/>
              <w:rPr>
                <w:color w:val="000000"/>
                <w:sz w:val="20"/>
                <w:szCs w:val="20"/>
              </w:rPr>
            </w:pPr>
            <w:r>
              <w:rPr>
                <w:color w:val="000000"/>
                <w:sz w:val="20"/>
                <w:szCs w:val="20"/>
              </w:rPr>
              <w:t>-0.127</w:t>
            </w:r>
          </w:p>
        </w:tc>
        <w:tc>
          <w:tcPr>
            <w:tcW w:w="768" w:type="dxa"/>
            <w:tcBorders>
              <w:top w:val="nil"/>
              <w:left w:val="nil"/>
              <w:bottom w:val="nil"/>
              <w:right w:val="nil"/>
            </w:tcBorders>
            <w:shd w:val="clear" w:color="auto" w:fill="auto"/>
            <w:noWrap/>
            <w:vAlign w:val="bottom"/>
            <w:hideMark/>
          </w:tcPr>
          <w:p w14:paraId="1E055FBA" w14:textId="77777777" w:rsidR="00DE156A" w:rsidRDefault="00DE156A" w:rsidP="005A3B4D">
            <w:pPr>
              <w:jc w:val="right"/>
              <w:rPr>
                <w:color w:val="000000"/>
                <w:sz w:val="20"/>
                <w:szCs w:val="20"/>
              </w:rPr>
            </w:pPr>
            <w:r>
              <w:rPr>
                <w:color w:val="000000"/>
                <w:sz w:val="20"/>
                <w:szCs w:val="20"/>
              </w:rPr>
              <w:t>0.590</w:t>
            </w:r>
          </w:p>
        </w:tc>
        <w:tc>
          <w:tcPr>
            <w:tcW w:w="768" w:type="dxa"/>
            <w:tcBorders>
              <w:top w:val="nil"/>
              <w:left w:val="nil"/>
              <w:bottom w:val="nil"/>
              <w:right w:val="nil"/>
            </w:tcBorders>
            <w:shd w:val="clear" w:color="auto" w:fill="auto"/>
            <w:noWrap/>
            <w:vAlign w:val="bottom"/>
            <w:hideMark/>
          </w:tcPr>
          <w:p w14:paraId="4F362A20" w14:textId="77777777" w:rsidR="00DE156A" w:rsidRDefault="00DE156A" w:rsidP="005A3B4D">
            <w:pPr>
              <w:jc w:val="right"/>
              <w:rPr>
                <w:color w:val="000000"/>
                <w:sz w:val="20"/>
                <w:szCs w:val="20"/>
              </w:rPr>
            </w:pPr>
            <w:r>
              <w:rPr>
                <w:color w:val="000000"/>
                <w:sz w:val="20"/>
                <w:szCs w:val="20"/>
              </w:rPr>
              <w:t>0.016</w:t>
            </w:r>
          </w:p>
        </w:tc>
      </w:tr>
      <w:tr w:rsidR="00DE156A" w14:paraId="147B43CE" w14:textId="77777777" w:rsidTr="005A3B4D">
        <w:trPr>
          <w:trHeight w:val="320"/>
        </w:trPr>
        <w:tc>
          <w:tcPr>
            <w:tcW w:w="1176" w:type="dxa"/>
            <w:tcBorders>
              <w:top w:val="nil"/>
              <w:left w:val="nil"/>
              <w:bottom w:val="nil"/>
              <w:right w:val="nil"/>
            </w:tcBorders>
            <w:shd w:val="clear" w:color="auto" w:fill="auto"/>
            <w:noWrap/>
            <w:vAlign w:val="bottom"/>
            <w:hideMark/>
          </w:tcPr>
          <w:p w14:paraId="163D92FF"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33D0040"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63F7941" w14:textId="77777777" w:rsidR="00DE156A" w:rsidRDefault="00DE156A" w:rsidP="005A3B4D">
            <w:pPr>
              <w:jc w:val="right"/>
              <w:rPr>
                <w:color w:val="000000"/>
                <w:sz w:val="20"/>
                <w:szCs w:val="20"/>
              </w:rPr>
            </w:pPr>
            <w:r>
              <w:rPr>
                <w:color w:val="000000"/>
                <w:sz w:val="20"/>
                <w:szCs w:val="20"/>
              </w:rPr>
              <w:t>0.094</w:t>
            </w:r>
          </w:p>
        </w:tc>
        <w:tc>
          <w:tcPr>
            <w:tcW w:w="768" w:type="dxa"/>
            <w:tcBorders>
              <w:top w:val="nil"/>
              <w:left w:val="nil"/>
              <w:bottom w:val="nil"/>
              <w:right w:val="nil"/>
            </w:tcBorders>
            <w:shd w:val="clear" w:color="auto" w:fill="auto"/>
            <w:noWrap/>
            <w:vAlign w:val="bottom"/>
            <w:hideMark/>
          </w:tcPr>
          <w:p w14:paraId="2C1BA2EF" w14:textId="77777777" w:rsidR="00DE156A" w:rsidRDefault="00DE156A" w:rsidP="005A3B4D">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3B466904"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7378F27" w14:textId="77777777" w:rsidR="00DE156A" w:rsidRDefault="00DE156A" w:rsidP="005A3B4D">
            <w:pPr>
              <w:jc w:val="right"/>
              <w:rPr>
                <w:b/>
                <w:bCs/>
                <w:color w:val="000000"/>
                <w:sz w:val="20"/>
                <w:szCs w:val="20"/>
              </w:rPr>
            </w:pPr>
            <w:r>
              <w:rPr>
                <w:b/>
                <w:bCs/>
                <w:color w:val="000000"/>
                <w:sz w:val="20"/>
                <w:szCs w:val="20"/>
              </w:rPr>
              <w:t>-0.118</w:t>
            </w:r>
          </w:p>
        </w:tc>
        <w:tc>
          <w:tcPr>
            <w:tcW w:w="768" w:type="dxa"/>
            <w:tcBorders>
              <w:top w:val="nil"/>
              <w:left w:val="nil"/>
              <w:bottom w:val="nil"/>
              <w:right w:val="nil"/>
            </w:tcBorders>
            <w:shd w:val="clear" w:color="auto" w:fill="auto"/>
            <w:noWrap/>
            <w:vAlign w:val="bottom"/>
            <w:hideMark/>
          </w:tcPr>
          <w:p w14:paraId="497B96B2" w14:textId="77777777" w:rsidR="00DE156A" w:rsidRDefault="00DE156A" w:rsidP="005A3B4D">
            <w:pPr>
              <w:jc w:val="right"/>
              <w:rPr>
                <w:b/>
                <w:bCs/>
                <w:color w:val="000000"/>
                <w:sz w:val="20"/>
                <w:szCs w:val="20"/>
              </w:rPr>
            </w:pPr>
            <w:r>
              <w:rPr>
                <w:b/>
                <w:bCs/>
                <w:color w:val="000000"/>
                <w:sz w:val="20"/>
                <w:szCs w:val="20"/>
              </w:rPr>
              <w:t>0.029</w:t>
            </w:r>
          </w:p>
        </w:tc>
        <w:tc>
          <w:tcPr>
            <w:tcW w:w="768" w:type="dxa"/>
            <w:tcBorders>
              <w:top w:val="nil"/>
              <w:left w:val="nil"/>
              <w:bottom w:val="nil"/>
              <w:right w:val="nil"/>
            </w:tcBorders>
            <w:shd w:val="clear" w:color="auto" w:fill="auto"/>
            <w:noWrap/>
            <w:vAlign w:val="bottom"/>
            <w:hideMark/>
          </w:tcPr>
          <w:p w14:paraId="2551081A" w14:textId="77777777" w:rsidR="00DE156A" w:rsidRDefault="00DE156A" w:rsidP="005A3B4D">
            <w:pPr>
              <w:jc w:val="right"/>
              <w:rPr>
                <w:color w:val="000000"/>
                <w:sz w:val="20"/>
                <w:szCs w:val="20"/>
              </w:rPr>
            </w:pPr>
            <w:r>
              <w:rPr>
                <w:b/>
                <w:bCs/>
                <w:color w:val="000000"/>
                <w:sz w:val="20"/>
                <w:szCs w:val="20"/>
              </w:rPr>
              <w:t>0.014</w:t>
            </w:r>
          </w:p>
        </w:tc>
        <w:tc>
          <w:tcPr>
            <w:tcW w:w="768" w:type="dxa"/>
            <w:tcBorders>
              <w:top w:val="nil"/>
              <w:left w:val="nil"/>
              <w:bottom w:val="nil"/>
              <w:right w:val="nil"/>
            </w:tcBorders>
            <w:shd w:val="clear" w:color="auto" w:fill="auto"/>
            <w:noWrap/>
            <w:vAlign w:val="bottom"/>
            <w:hideMark/>
          </w:tcPr>
          <w:p w14:paraId="30B09454"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1372DEA" w14:textId="77777777" w:rsidR="00DE156A" w:rsidRDefault="00DE156A" w:rsidP="005A3B4D">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3CE923D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1144BA" w14:textId="77777777" w:rsidR="00DE156A" w:rsidRDefault="00DE156A" w:rsidP="005A3B4D">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4C867367" w14:textId="77777777" w:rsidR="00DE156A" w:rsidRDefault="00DE156A" w:rsidP="005A3B4D">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5D061C78"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E7F1091" w14:textId="77777777" w:rsidR="00DE156A" w:rsidRDefault="00DE156A"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7BAB76DE" w14:textId="77777777" w:rsidR="00DE156A" w:rsidRDefault="00DE156A" w:rsidP="005A3B4D">
            <w:pPr>
              <w:jc w:val="right"/>
              <w:rPr>
                <w:color w:val="000000"/>
                <w:sz w:val="20"/>
                <w:szCs w:val="20"/>
              </w:rPr>
            </w:pPr>
            <w:r>
              <w:rPr>
                <w:color w:val="000000"/>
                <w:sz w:val="20"/>
                <w:szCs w:val="20"/>
              </w:rPr>
              <w:t>0.590</w:t>
            </w:r>
          </w:p>
        </w:tc>
        <w:tc>
          <w:tcPr>
            <w:tcW w:w="768" w:type="dxa"/>
            <w:tcBorders>
              <w:top w:val="nil"/>
              <w:left w:val="nil"/>
              <w:bottom w:val="nil"/>
              <w:right w:val="nil"/>
            </w:tcBorders>
            <w:shd w:val="clear" w:color="auto" w:fill="auto"/>
            <w:noWrap/>
            <w:vAlign w:val="bottom"/>
            <w:hideMark/>
          </w:tcPr>
          <w:p w14:paraId="7BFC2DF0" w14:textId="77777777" w:rsidR="00DE156A" w:rsidRDefault="00DE156A" w:rsidP="005A3B4D">
            <w:pPr>
              <w:jc w:val="right"/>
              <w:rPr>
                <w:color w:val="000000"/>
                <w:sz w:val="20"/>
                <w:szCs w:val="20"/>
              </w:rPr>
            </w:pPr>
            <w:r>
              <w:rPr>
                <w:color w:val="000000"/>
                <w:sz w:val="20"/>
                <w:szCs w:val="20"/>
              </w:rPr>
              <w:t>0.005</w:t>
            </w:r>
          </w:p>
        </w:tc>
      </w:tr>
      <w:tr w:rsidR="00DE156A" w14:paraId="13166BDC" w14:textId="77777777" w:rsidTr="005A3B4D">
        <w:trPr>
          <w:trHeight w:val="320"/>
        </w:trPr>
        <w:tc>
          <w:tcPr>
            <w:tcW w:w="1176" w:type="dxa"/>
            <w:tcBorders>
              <w:top w:val="nil"/>
              <w:left w:val="nil"/>
              <w:bottom w:val="nil"/>
              <w:right w:val="nil"/>
            </w:tcBorders>
            <w:shd w:val="clear" w:color="auto" w:fill="auto"/>
            <w:noWrap/>
            <w:vAlign w:val="bottom"/>
            <w:hideMark/>
          </w:tcPr>
          <w:p w14:paraId="57E4F3CD"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69E1A2"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A01B561" w14:textId="77777777" w:rsidR="00DE156A" w:rsidRDefault="00DE156A"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E98268D" w14:textId="77777777" w:rsidR="00DE156A" w:rsidRDefault="00DE156A" w:rsidP="005A3B4D">
            <w:pPr>
              <w:jc w:val="right"/>
              <w:rPr>
                <w:color w:val="000000"/>
                <w:sz w:val="20"/>
                <w:szCs w:val="20"/>
              </w:rPr>
            </w:pPr>
            <w:r>
              <w:rPr>
                <w:color w:val="000000"/>
                <w:sz w:val="20"/>
                <w:szCs w:val="20"/>
              </w:rPr>
              <w:t>0.538</w:t>
            </w:r>
          </w:p>
        </w:tc>
        <w:tc>
          <w:tcPr>
            <w:tcW w:w="768" w:type="dxa"/>
            <w:tcBorders>
              <w:top w:val="nil"/>
              <w:left w:val="nil"/>
              <w:bottom w:val="nil"/>
              <w:right w:val="nil"/>
            </w:tcBorders>
            <w:shd w:val="clear" w:color="auto" w:fill="auto"/>
            <w:noWrap/>
            <w:vAlign w:val="bottom"/>
            <w:hideMark/>
          </w:tcPr>
          <w:p w14:paraId="6E0BC0AB"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EB4AF8" w14:textId="77777777" w:rsidR="00DE156A" w:rsidRDefault="00DE156A"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4A7E6D6" w14:textId="77777777" w:rsidR="00DE156A" w:rsidRDefault="00DE156A" w:rsidP="005A3B4D">
            <w:pPr>
              <w:jc w:val="right"/>
              <w:rPr>
                <w:color w:val="000000"/>
                <w:sz w:val="20"/>
                <w:szCs w:val="20"/>
              </w:rPr>
            </w:pPr>
            <w:r>
              <w:rPr>
                <w:color w:val="000000"/>
                <w:sz w:val="20"/>
                <w:szCs w:val="20"/>
              </w:rPr>
              <w:t>0.681</w:t>
            </w:r>
          </w:p>
        </w:tc>
        <w:tc>
          <w:tcPr>
            <w:tcW w:w="768" w:type="dxa"/>
            <w:tcBorders>
              <w:top w:val="nil"/>
              <w:left w:val="nil"/>
              <w:bottom w:val="nil"/>
              <w:right w:val="nil"/>
            </w:tcBorders>
            <w:shd w:val="clear" w:color="auto" w:fill="auto"/>
            <w:noWrap/>
            <w:vAlign w:val="bottom"/>
            <w:hideMark/>
          </w:tcPr>
          <w:p w14:paraId="384F51F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077F37"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8A833B3" w14:textId="77777777" w:rsidR="00DE156A" w:rsidRDefault="00DE156A" w:rsidP="005A3B4D">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67D4483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E47A38" w14:textId="77777777" w:rsidR="00DE156A" w:rsidRDefault="00DE156A" w:rsidP="005A3B4D">
            <w:pPr>
              <w:jc w:val="right"/>
              <w:rPr>
                <w:color w:val="000000"/>
                <w:sz w:val="20"/>
                <w:szCs w:val="20"/>
              </w:rPr>
            </w:pPr>
            <w:r>
              <w:rPr>
                <w:b/>
                <w:bCs/>
                <w:color w:val="000000"/>
                <w:sz w:val="20"/>
                <w:szCs w:val="20"/>
              </w:rPr>
              <w:t>-0.082</w:t>
            </w:r>
          </w:p>
        </w:tc>
        <w:tc>
          <w:tcPr>
            <w:tcW w:w="768" w:type="dxa"/>
            <w:tcBorders>
              <w:top w:val="nil"/>
              <w:left w:val="nil"/>
              <w:bottom w:val="nil"/>
              <w:right w:val="nil"/>
            </w:tcBorders>
            <w:shd w:val="clear" w:color="auto" w:fill="auto"/>
            <w:noWrap/>
            <w:vAlign w:val="bottom"/>
            <w:hideMark/>
          </w:tcPr>
          <w:p w14:paraId="39318E4F" w14:textId="77777777" w:rsidR="00DE156A" w:rsidRDefault="00DE156A" w:rsidP="005A3B4D">
            <w:pPr>
              <w:jc w:val="right"/>
              <w:rPr>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3D2D4FFB" w14:textId="77777777" w:rsidR="00DE156A" w:rsidRDefault="00DE156A" w:rsidP="005A3B4D">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0E621D83" w14:textId="77777777" w:rsidR="00DE156A" w:rsidRDefault="00DE156A" w:rsidP="005A3B4D">
            <w:pPr>
              <w:jc w:val="right"/>
              <w:rPr>
                <w:color w:val="000000"/>
                <w:sz w:val="20"/>
                <w:szCs w:val="20"/>
              </w:rPr>
            </w:pPr>
            <w:r>
              <w:rPr>
                <w:color w:val="000000"/>
                <w:sz w:val="20"/>
                <w:szCs w:val="20"/>
              </w:rPr>
              <w:t>0.115</w:t>
            </w:r>
          </w:p>
        </w:tc>
        <w:tc>
          <w:tcPr>
            <w:tcW w:w="768" w:type="dxa"/>
            <w:tcBorders>
              <w:top w:val="nil"/>
              <w:left w:val="nil"/>
              <w:bottom w:val="nil"/>
              <w:right w:val="nil"/>
            </w:tcBorders>
            <w:shd w:val="clear" w:color="auto" w:fill="auto"/>
            <w:noWrap/>
            <w:vAlign w:val="bottom"/>
            <w:hideMark/>
          </w:tcPr>
          <w:p w14:paraId="6512EF72" w14:textId="77777777" w:rsidR="00DE156A" w:rsidRDefault="00DE156A"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2278E5D9" w14:textId="77777777" w:rsidR="00DE156A" w:rsidRDefault="00DE156A" w:rsidP="005A3B4D">
            <w:pPr>
              <w:jc w:val="right"/>
              <w:rPr>
                <w:color w:val="000000"/>
                <w:sz w:val="20"/>
                <w:szCs w:val="20"/>
              </w:rPr>
            </w:pPr>
            <w:r>
              <w:rPr>
                <w:color w:val="000000"/>
                <w:sz w:val="20"/>
                <w:szCs w:val="20"/>
              </w:rPr>
              <w:t>0.013</w:t>
            </w:r>
          </w:p>
        </w:tc>
      </w:tr>
      <w:tr w:rsidR="00DE156A" w14:paraId="1D8C6B07" w14:textId="77777777" w:rsidTr="005A3B4D">
        <w:trPr>
          <w:trHeight w:val="320"/>
        </w:trPr>
        <w:tc>
          <w:tcPr>
            <w:tcW w:w="1176" w:type="dxa"/>
            <w:tcBorders>
              <w:top w:val="nil"/>
              <w:left w:val="nil"/>
              <w:bottom w:val="nil"/>
              <w:right w:val="nil"/>
            </w:tcBorders>
            <w:shd w:val="clear" w:color="auto" w:fill="auto"/>
            <w:noWrap/>
            <w:vAlign w:val="bottom"/>
            <w:hideMark/>
          </w:tcPr>
          <w:p w14:paraId="5E3488F9"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0779F30"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822A90A" w14:textId="77777777" w:rsidR="00DE156A" w:rsidRDefault="00DE156A"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54BBABBD" w14:textId="77777777" w:rsidR="00DE156A" w:rsidRDefault="00DE156A" w:rsidP="005A3B4D">
            <w:pPr>
              <w:jc w:val="right"/>
              <w:rPr>
                <w:color w:val="000000"/>
                <w:sz w:val="20"/>
                <w:szCs w:val="20"/>
              </w:rPr>
            </w:pPr>
            <w:r>
              <w:rPr>
                <w:color w:val="000000"/>
                <w:sz w:val="20"/>
                <w:szCs w:val="20"/>
              </w:rPr>
              <w:t>0.538</w:t>
            </w:r>
          </w:p>
        </w:tc>
        <w:tc>
          <w:tcPr>
            <w:tcW w:w="768" w:type="dxa"/>
            <w:tcBorders>
              <w:top w:val="nil"/>
              <w:left w:val="nil"/>
              <w:bottom w:val="nil"/>
              <w:right w:val="nil"/>
            </w:tcBorders>
            <w:shd w:val="clear" w:color="auto" w:fill="auto"/>
            <w:noWrap/>
            <w:vAlign w:val="bottom"/>
            <w:hideMark/>
          </w:tcPr>
          <w:p w14:paraId="3EB859F6"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600636" w14:textId="77777777" w:rsidR="00DE156A" w:rsidRDefault="00DE156A"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BDB2946" w14:textId="77777777" w:rsidR="00DE156A" w:rsidRDefault="00DE156A" w:rsidP="005A3B4D">
            <w:pPr>
              <w:jc w:val="right"/>
              <w:rPr>
                <w:color w:val="000000"/>
                <w:sz w:val="20"/>
                <w:szCs w:val="20"/>
              </w:rPr>
            </w:pPr>
            <w:r>
              <w:rPr>
                <w:color w:val="000000"/>
                <w:sz w:val="20"/>
                <w:szCs w:val="20"/>
              </w:rPr>
              <w:t>0.681</w:t>
            </w:r>
          </w:p>
        </w:tc>
        <w:tc>
          <w:tcPr>
            <w:tcW w:w="768" w:type="dxa"/>
            <w:tcBorders>
              <w:top w:val="nil"/>
              <w:left w:val="nil"/>
              <w:bottom w:val="nil"/>
              <w:right w:val="nil"/>
            </w:tcBorders>
            <w:shd w:val="clear" w:color="auto" w:fill="auto"/>
            <w:noWrap/>
            <w:vAlign w:val="bottom"/>
            <w:hideMark/>
          </w:tcPr>
          <w:p w14:paraId="41CB2C3C"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6CD06A" w14:textId="77777777" w:rsidR="00DE156A" w:rsidRDefault="00DE156A" w:rsidP="005A3B4D">
            <w:pPr>
              <w:jc w:val="right"/>
              <w:rPr>
                <w:b/>
                <w:bCs/>
                <w:color w:val="000000"/>
                <w:sz w:val="20"/>
                <w:szCs w:val="20"/>
              </w:rPr>
            </w:pPr>
            <w:r>
              <w:rPr>
                <w:b/>
                <w:bCs/>
                <w:color w:val="000000"/>
                <w:sz w:val="20"/>
                <w:szCs w:val="20"/>
              </w:rPr>
              <w:t>0.097</w:t>
            </w:r>
          </w:p>
        </w:tc>
        <w:tc>
          <w:tcPr>
            <w:tcW w:w="768" w:type="dxa"/>
            <w:tcBorders>
              <w:top w:val="nil"/>
              <w:left w:val="nil"/>
              <w:bottom w:val="nil"/>
              <w:right w:val="nil"/>
            </w:tcBorders>
            <w:shd w:val="clear" w:color="auto" w:fill="auto"/>
            <w:noWrap/>
            <w:vAlign w:val="bottom"/>
            <w:hideMark/>
          </w:tcPr>
          <w:p w14:paraId="2B844B73" w14:textId="77777777" w:rsidR="00DE156A" w:rsidRDefault="00DE156A" w:rsidP="005A3B4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0D4F458F" w14:textId="77777777" w:rsidR="00DE156A" w:rsidRDefault="00DE156A" w:rsidP="005A3B4D">
            <w:pPr>
              <w:jc w:val="right"/>
              <w:rPr>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352C3D11"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7D2F7EE7" w14:textId="77777777" w:rsidR="00DE156A" w:rsidRDefault="00DE156A" w:rsidP="005A3B4D">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222459E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9ADC98"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B0DAAF4" w14:textId="77777777" w:rsidR="00DE156A" w:rsidRDefault="00DE156A" w:rsidP="005A3B4D">
            <w:pPr>
              <w:jc w:val="right"/>
              <w:rPr>
                <w:color w:val="000000"/>
                <w:sz w:val="20"/>
                <w:szCs w:val="20"/>
              </w:rPr>
            </w:pPr>
            <w:r>
              <w:rPr>
                <w:color w:val="000000"/>
                <w:sz w:val="20"/>
                <w:szCs w:val="20"/>
              </w:rPr>
              <w:t>0.887</w:t>
            </w:r>
          </w:p>
        </w:tc>
        <w:tc>
          <w:tcPr>
            <w:tcW w:w="768" w:type="dxa"/>
            <w:tcBorders>
              <w:top w:val="nil"/>
              <w:left w:val="nil"/>
              <w:bottom w:val="nil"/>
              <w:right w:val="nil"/>
            </w:tcBorders>
            <w:shd w:val="clear" w:color="auto" w:fill="auto"/>
            <w:noWrap/>
            <w:vAlign w:val="bottom"/>
            <w:hideMark/>
          </w:tcPr>
          <w:p w14:paraId="16643686" w14:textId="77777777" w:rsidR="00DE156A" w:rsidRDefault="00DE156A" w:rsidP="005A3B4D">
            <w:pPr>
              <w:jc w:val="right"/>
              <w:rPr>
                <w:color w:val="000000"/>
                <w:sz w:val="20"/>
                <w:szCs w:val="20"/>
              </w:rPr>
            </w:pPr>
            <w:r>
              <w:rPr>
                <w:color w:val="000000"/>
                <w:sz w:val="20"/>
                <w:szCs w:val="20"/>
              </w:rPr>
              <w:t>0.000</w:t>
            </w:r>
          </w:p>
        </w:tc>
      </w:tr>
      <w:tr w:rsidR="00DE156A" w14:paraId="67CC1FF0"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2EF2B5CC"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0352D2D"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312D791" w14:textId="77777777" w:rsidR="00DE156A" w:rsidRDefault="00DE156A" w:rsidP="005A3B4D">
            <w:pPr>
              <w:jc w:val="right"/>
              <w:rPr>
                <w:color w:val="000000"/>
                <w:sz w:val="20"/>
                <w:szCs w:val="20"/>
              </w:rPr>
            </w:pPr>
            <w:r>
              <w:rPr>
                <w:color w:val="000000"/>
                <w:sz w:val="20"/>
                <w:szCs w:val="20"/>
              </w:rPr>
              <w:t>-0.053</w:t>
            </w:r>
          </w:p>
        </w:tc>
        <w:tc>
          <w:tcPr>
            <w:tcW w:w="768" w:type="dxa"/>
            <w:tcBorders>
              <w:top w:val="nil"/>
              <w:left w:val="nil"/>
              <w:bottom w:val="single" w:sz="4" w:space="0" w:color="auto"/>
              <w:right w:val="nil"/>
            </w:tcBorders>
            <w:shd w:val="clear" w:color="auto" w:fill="auto"/>
            <w:noWrap/>
            <w:vAlign w:val="bottom"/>
            <w:hideMark/>
          </w:tcPr>
          <w:p w14:paraId="04E47C58" w14:textId="77777777" w:rsidR="00DE156A" w:rsidRDefault="00DE156A" w:rsidP="005A3B4D">
            <w:pPr>
              <w:jc w:val="right"/>
              <w:rPr>
                <w:color w:val="000000"/>
                <w:sz w:val="20"/>
                <w:szCs w:val="20"/>
              </w:rPr>
            </w:pPr>
            <w:r>
              <w:rPr>
                <w:color w:val="000000"/>
                <w:sz w:val="20"/>
                <w:szCs w:val="20"/>
              </w:rPr>
              <w:t>0.602</w:t>
            </w:r>
          </w:p>
        </w:tc>
        <w:tc>
          <w:tcPr>
            <w:tcW w:w="768" w:type="dxa"/>
            <w:tcBorders>
              <w:top w:val="nil"/>
              <w:left w:val="nil"/>
              <w:bottom w:val="single" w:sz="4" w:space="0" w:color="auto"/>
              <w:right w:val="nil"/>
            </w:tcBorders>
            <w:shd w:val="clear" w:color="auto" w:fill="auto"/>
            <w:noWrap/>
            <w:vAlign w:val="bottom"/>
            <w:hideMark/>
          </w:tcPr>
          <w:p w14:paraId="4C82E4F5"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5496632F"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single" w:sz="4" w:space="0" w:color="auto"/>
              <w:right w:val="nil"/>
            </w:tcBorders>
            <w:shd w:val="clear" w:color="auto" w:fill="auto"/>
            <w:noWrap/>
            <w:vAlign w:val="bottom"/>
            <w:hideMark/>
          </w:tcPr>
          <w:p w14:paraId="2867EAFA" w14:textId="77777777" w:rsidR="00DE156A" w:rsidRDefault="00DE156A" w:rsidP="005A3B4D">
            <w:pPr>
              <w:jc w:val="right"/>
              <w:rPr>
                <w:color w:val="000000"/>
                <w:sz w:val="20"/>
                <w:szCs w:val="20"/>
              </w:rPr>
            </w:pPr>
            <w:r>
              <w:rPr>
                <w:color w:val="000000"/>
                <w:sz w:val="20"/>
                <w:szCs w:val="20"/>
              </w:rPr>
              <w:t>0.681</w:t>
            </w:r>
          </w:p>
        </w:tc>
        <w:tc>
          <w:tcPr>
            <w:tcW w:w="768" w:type="dxa"/>
            <w:tcBorders>
              <w:top w:val="nil"/>
              <w:left w:val="nil"/>
              <w:bottom w:val="single" w:sz="4" w:space="0" w:color="auto"/>
              <w:right w:val="nil"/>
            </w:tcBorders>
            <w:shd w:val="clear" w:color="auto" w:fill="auto"/>
            <w:noWrap/>
            <w:vAlign w:val="bottom"/>
            <w:hideMark/>
          </w:tcPr>
          <w:p w14:paraId="35AE37B0"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79B1D9F"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14CC4FEE" w14:textId="77777777" w:rsidR="00DE156A" w:rsidRDefault="00DE156A" w:rsidP="005A3B4D">
            <w:pPr>
              <w:jc w:val="right"/>
              <w:rPr>
                <w:color w:val="000000"/>
                <w:sz w:val="20"/>
                <w:szCs w:val="20"/>
              </w:rPr>
            </w:pPr>
            <w:r>
              <w:rPr>
                <w:color w:val="000000"/>
                <w:sz w:val="20"/>
                <w:szCs w:val="20"/>
              </w:rPr>
              <w:t>0.690</w:t>
            </w:r>
          </w:p>
        </w:tc>
        <w:tc>
          <w:tcPr>
            <w:tcW w:w="768" w:type="dxa"/>
            <w:tcBorders>
              <w:top w:val="nil"/>
              <w:left w:val="nil"/>
              <w:bottom w:val="single" w:sz="4" w:space="0" w:color="auto"/>
              <w:right w:val="nil"/>
            </w:tcBorders>
            <w:shd w:val="clear" w:color="auto" w:fill="auto"/>
            <w:noWrap/>
            <w:vAlign w:val="bottom"/>
            <w:hideMark/>
          </w:tcPr>
          <w:p w14:paraId="7D2317FA"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65BCCB4"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4AC8EB09" w14:textId="77777777" w:rsidR="00DE156A" w:rsidRDefault="00DE156A" w:rsidP="005A3B4D">
            <w:pPr>
              <w:jc w:val="right"/>
              <w:rPr>
                <w:color w:val="000000"/>
                <w:sz w:val="20"/>
                <w:szCs w:val="20"/>
              </w:rPr>
            </w:pPr>
            <w:r>
              <w:rPr>
                <w:color w:val="000000"/>
                <w:sz w:val="20"/>
                <w:szCs w:val="20"/>
              </w:rPr>
              <w:t>0.760</w:t>
            </w:r>
          </w:p>
        </w:tc>
        <w:tc>
          <w:tcPr>
            <w:tcW w:w="768" w:type="dxa"/>
            <w:tcBorders>
              <w:top w:val="nil"/>
              <w:left w:val="nil"/>
              <w:bottom w:val="single" w:sz="4" w:space="0" w:color="auto"/>
              <w:right w:val="nil"/>
            </w:tcBorders>
            <w:shd w:val="clear" w:color="auto" w:fill="auto"/>
            <w:noWrap/>
            <w:vAlign w:val="bottom"/>
            <w:hideMark/>
          </w:tcPr>
          <w:p w14:paraId="18ED835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AD4C752" w14:textId="77777777" w:rsidR="00DE156A" w:rsidRDefault="00DE156A" w:rsidP="005A3B4D">
            <w:pPr>
              <w:jc w:val="right"/>
              <w:rPr>
                <w:color w:val="000000"/>
                <w:sz w:val="20"/>
                <w:szCs w:val="20"/>
              </w:rPr>
            </w:pPr>
            <w:r>
              <w:rPr>
                <w:color w:val="000000"/>
                <w:sz w:val="20"/>
                <w:szCs w:val="20"/>
              </w:rPr>
              <w:t>-0.094</w:t>
            </w:r>
          </w:p>
        </w:tc>
        <w:tc>
          <w:tcPr>
            <w:tcW w:w="768" w:type="dxa"/>
            <w:tcBorders>
              <w:top w:val="nil"/>
              <w:left w:val="nil"/>
              <w:bottom w:val="single" w:sz="4" w:space="0" w:color="auto"/>
              <w:right w:val="nil"/>
            </w:tcBorders>
            <w:shd w:val="clear" w:color="auto" w:fill="auto"/>
            <w:noWrap/>
            <w:vAlign w:val="bottom"/>
            <w:hideMark/>
          </w:tcPr>
          <w:p w14:paraId="7FEF7465" w14:textId="77777777" w:rsidR="00DE156A" w:rsidRDefault="00DE156A" w:rsidP="005A3B4D">
            <w:pPr>
              <w:jc w:val="right"/>
              <w:rPr>
                <w:color w:val="000000"/>
                <w:sz w:val="20"/>
                <w:szCs w:val="20"/>
              </w:rPr>
            </w:pPr>
            <w:r>
              <w:rPr>
                <w:color w:val="000000"/>
                <w:sz w:val="20"/>
                <w:szCs w:val="20"/>
              </w:rPr>
              <w:t>0.340</w:t>
            </w:r>
          </w:p>
        </w:tc>
        <w:tc>
          <w:tcPr>
            <w:tcW w:w="768" w:type="dxa"/>
            <w:tcBorders>
              <w:top w:val="nil"/>
              <w:left w:val="nil"/>
              <w:bottom w:val="single" w:sz="4" w:space="0" w:color="auto"/>
              <w:right w:val="nil"/>
            </w:tcBorders>
            <w:shd w:val="clear" w:color="auto" w:fill="auto"/>
            <w:noWrap/>
            <w:vAlign w:val="bottom"/>
            <w:hideMark/>
          </w:tcPr>
          <w:p w14:paraId="20513E34" w14:textId="77777777" w:rsidR="00DE156A" w:rsidRDefault="00DE156A" w:rsidP="005A3B4D">
            <w:pPr>
              <w:jc w:val="right"/>
              <w:rPr>
                <w:color w:val="000000"/>
                <w:sz w:val="20"/>
                <w:szCs w:val="20"/>
              </w:rPr>
            </w:pPr>
            <w:r>
              <w:rPr>
                <w:color w:val="000000"/>
                <w:sz w:val="20"/>
                <w:szCs w:val="20"/>
              </w:rPr>
              <w:t>0.009</w:t>
            </w:r>
          </w:p>
        </w:tc>
      </w:tr>
      <w:tr w:rsidR="00DE156A" w14:paraId="0D382B0D" w14:textId="77777777" w:rsidTr="005A3B4D">
        <w:trPr>
          <w:trHeight w:val="320"/>
        </w:trPr>
        <w:tc>
          <w:tcPr>
            <w:tcW w:w="1176" w:type="dxa"/>
            <w:tcBorders>
              <w:top w:val="nil"/>
              <w:left w:val="nil"/>
              <w:bottom w:val="nil"/>
              <w:right w:val="nil"/>
            </w:tcBorders>
            <w:shd w:val="clear" w:color="auto" w:fill="auto"/>
            <w:noWrap/>
            <w:vAlign w:val="bottom"/>
            <w:hideMark/>
          </w:tcPr>
          <w:p w14:paraId="1CF22C3B" w14:textId="77777777" w:rsidR="00DE156A" w:rsidRDefault="00DE156A"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11979872"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FC00C0D"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59B493C" w14:textId="77777777" w:rsidR="00DE156A" w:rsidRDefault="00DE156A" w:rsidP="005A3B4D">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315535A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F8EE23"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4D488B5" w14:textId="77777777" w:rsidR="00DE156A" w:rsidRDefault="00DE156A" w:rsidP="005A3B4D">
            <w:pPr>
              <w:jc w:val="right"/>
              <w:rPr>
                <w:color w:val="000000"/>
                <w:sz w:val="20"/>
                <w:szCs w:val="20"/>
              </w:rPr>
            </w:pPr>
            <w:r>
              <w:rPr>
                <w:color w:val="000000"/>
                <w:sz w:val="20"/>
                <w:szCs w:val="20"/>
              </w:rPr>
              <w:t>0.851</w:t>
            </w:r>
          </w:p>
        </w:tc>
        <w:tc>
          <w:tcPr>
            <w:tcW w:w="768" w:type="dxa"/>
            <w:tcBorders>
              <w:top w:val="nil"/>
              <w:left w:val="nil"/>
              <w:bottom w:val="nil"/>
              <w:right w:val="nil"/>
            </w:tcBorders>
            <w:shd w:val="clear" w:color="auto" w:fill="auto"/>
            <w:noWrap/>
            <w:vAlign w:val="bottom"/>
            <w:hideMark/>
          </w:tcPr>
          <w:p w14:paraId="488D795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750CE4" w14:textId="77777777" w:rsidR="00DE156A" w:rsidRDefault="00DE156A"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037C8490" w14:textId="77777777" w:rsidR="00DE156A" w:rsidRDefault="00DE156A" w:rsidP="005A3B4D">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5AF633F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359381"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C689BD9" w14:textId="77777777" w:rsidR="00DE156A" w:rsidRDefault="00DE156A"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642FA17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51E63D" w14:textId="77777777" w:rsidR="00DE156A" w:rsidRDefault="00DE156A"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AFA78BE" w14:textId="77777777" w:rsidR="00DE156A" w:rsidRDefault="00DE156A" w:rsidP="005A3B4D">
            <w:pPr>
              <w:jc w:val="right"/>
              <w:rPr>
                <w:color w:val="000000"/>
                <w:sz w:val="20"/>
                <w:szCs w:val="20"/>
              </w:rPr>
            </w:pPr>
            <w:r>
              <w:rPr>
                <w:color w:val="000000"/>
                <w:sz w:val="20"/>
                <w:szCs w:val="20"/>
              </w:rPr>
              <w:t>0.776</w:t>
            </w:r>
          </w:p>
        </w:tc>
        <w:tc>
          <w:tcPr>
            <w:tcW w:w="768" w:type="dxa"/>
            <w:tcBorders>
              <w:top w:val="nil"/>
              <w:left w:val="nil"/>
              <w:bottom w:val="nil"/>
              <w:right w:val="nil"/>
            </w:tcBorders>
            <w:shd w:val="clear" w:color="auto" w:fill="auto"/>
            <w:noWrap/>
            <w:vAlign w:val="bottom"/>
            <w:hideMark/>
          </w:tcPr>
          <w:p w14:paraId="25F6EEE9" w14:textId="77777777" w:rsidR="00DE156A" w:rsidRDefault="00DE156A" w:rsidP="005A3B4D">
            <w:pPr>
              <w:jc w:val="right"/>
              <w:rPr>
                <w:color w:val="000000"/>
                <w:sz w:val="20"/>
                <w:szCs w:val="20"/>
              </w:rPr>
            </w:pPr>
            <w:r>
              <w:rPr>
                <w:color w:val="000000"/>
                <w:sz w:val="20"/>
                <w:szCs w:val="20"/>
              </w:rPr>
              <w:t>0.001</w:t>
            </w:r>
          </w:p>
        </w:tc>
      </w:tr>
      <w:tr w:rsidR="00DE156A" w14:paraId="3D4E3944" w14:textId="77777777" w:rsidTr="005A3B4D">
        <w:trPr>
          <w:trHeight w:val="320"/>
        </w:trPr>
        <w:tc>
          <w:tcPr>
            <w:tcW w:w="1176" w:type="dxa"/>
            <w:tcBorders>
              <w:top w:val="nil"/>
              <w:left w:val="nil"/>
              <w:bottom w:val="nil"/>
              <w:right w:val="nil"/>
            </w:tcBorders>
            <w:shd w:val="clear" w:color="auto" w:fill="auto"/>
            <w:noWrap/>
            <w:vAlign w:val="bottom"/>
            <w:hideMark/>
          </w:tcPr>
          <w:p w14:paraId="3ED8535C"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02CEC3"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2C2B640"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D6A3EB" w14:textId="77777777" w:rsidR="00DE156A" w:rsidRDefault="00DE156A" w:rsidP="005A3B4D">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5F5B531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8EDE89" w14:textId="77777777" w:rsidR="00DE156A" w:rsidRDefault="00DE156A"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CFC176A" w14:textId="77777777" w:rsidR="00DE156A" w:rsidRDefault="00DE156A" w:rsidP="005A3B4D">
            <w:pPr>
              <w:jc w:val="right"/>
              <w:rPr>
                <w:color w:val="000000"/>
                <w:sz w:val="20"/>
                <w:szCs w:val="20"/>
              </w:rPr>
            </w:pPr>
            <w:r>
              <w:rPr>
                <w:color w:val="000000"/>
                <w:sz w:val="20"/>
                <w:szCs w:val="20"/>
              </w:rPr>
              <w:t>0.752</w:t>
            </w:r>
          </w:p>
        </w:tc>
        <w:tc>
          <w:tcPr>
            <w:tcW w:w="768" w:type="dxa"/>
            <w:tcBorders>
              <w:top w:val="nil"/>
              <w:left w:val="nil"/>
              <w:bottom w:val="nil"/>
              <w:right w:val="nil"/>
            </w:tcBorders>
            <w:shd w:val="clear" w:color="auto" w:fill="auto"/>
            <w:noWrap/>
            <w:vAlign w:val="bottom"/>
            <w:hideMark/>
          </w:tcPr>
          <w:p w14:paraId="6E1B420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C1F95D" w14:textId="77777777" w:rsidR="00DE156A" w:rsidRDefault="00DE156A"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A883C60" w14:textId="77777777" w:rsidR="00DE156A" w:rsidRDefault="00DE156A" w:rsidP="005A3B4D">
            <w:pPr>
              <w:jc w:val="right"/>
              <w:rPr>
                <w:color w:val="000000"/>
                <w:sz w:val="20"/>
                <w:szCs w:val="20"/>
              </w:rPr>
            </w:pPr>
            <w:r>
              <w:rPr>
                <w:color w:val="000000"/>
                <w:sz w:val="20"/>
                <w:szCs w:val="20"/>
              </w:rPr>
              <w:t>0.676</w:t>
            </w:r>
          </w:p>
        </w:tc>
        <w:tc>
          <w:tcPr>
            <w:tcW w:w="768" w:type="dxa"/>
            <w:tcBorders>
              <w:top w:val="nil"/>
              <w:left w:val="nil"/>
              <w:bottom w:val="nil"/>
              <w:right w:val="nil"/>
            </w:tcBorders>
            <w:shd w:val="clear" w:color="auto" w:fill="auto"/>
            <w:noWrap/>
            <w:vAlign w:val="bottom"/>
            <w:hideMark/>
          </w:tcPr>
          <w:p w14:paraId="578115A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296FC8"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B20EA4" w14:textId="77777777" w:rsidR="00DE156A" w:rsidRDefault="00DE156A"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57E89240"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3F97F1"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2B4A13C" w14:textId="77777777" w:rsidR="00DE156A" w:rsidRDefault="00DE156A" w:rsidP="005A3B4D">
            <w:pPr>
              <w:jc w:val="right"/>
              <w:rPr>
                <w:color w:val="000000"/>
                <w:sz w:val="20"/>
                <w:szCs w:val="20"/>
              </w:rPr>
            </w:pPr>
            <w:r>
              <w:rPr>
                <w:color w:val="000000"/>
                <w:sz w:val="20"/>
                <w:szCs w:val="20"/>
              </w:rPr>
              <w:t>0.786</w:t>
            </w:r>
          </w:p>
        </w:tc>
        <w:tc>
          <w:tcPr>
            <w:tcW w:w="768" w:type="dxa"/>
            <w:tcBorders>
              <w:top w:val="nil"/>
              <w:left w:val="nil"/>
              <w:bottom w:val="nil"/>
              <w:right w:val="nil"/>
            </w:tcBorders>
            <w:shd w:val="clear" w:color="auto" w:fill="auto"/>
            <w:noWrap/>
            <w:vAlign w:val="bottom"/>
            <w:hideMark/>
          </w:tcPr>
          <w:p w14:paraId="169A6CD7" w14:textId="77777777" w:rsidR="00DE156A" w:rsidRDefault="00DE156A" w:rsidP="005A3B4D">
            <w:pPr>
              <w:jc w:val="right"/>
              <w:rPr>
                <w:color w:val="000000"/>
                <w:sz w:val="20"/>
                <w:szCs w:val="20"/>
              </w:rPr>
            </w:pPr>
            <w:r>
              <w:rPr>
                <w:color w:val="000000"/>
                <w:sz w:val="20"/>
                <w:szCs w:val="20"/>
              </w:rPr>
              <w:t>0.000</w:t>
            </w:r>
          </w:p>
        </w:tc>
      </w:tr>
      <w:tr w:rsidR="00DE156A" w14:paraId="4598E960" w14:textId="77777777" w:rsidTr="005A3B4D">
        <w:trPr>
          <w:trHeight w:val="320"/>
        </w:trPr>
        <w:tc>
          <w:tcPr>
            <w:tcW w:w="1176" w:type="dxa"/>
            <w:tcBorders>
              <w:top w:val="nil"/>
              <w:left w:val="nil"/>
              <w:bottom w:val="nil"/>
              <w:right w:val="nil"/>
            </w:tcBorders>
            <w:shd w:val="clear" w:color="auto" w:fill="auto"/>
            <w:noWrap/>
            <w:vAlign w:val="bottom"/>
            <w:hideMark/>
          </w:tcPr>
          <w:p w14:paraId="7CF7B247"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57F400F"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DC95970" w14:textId="77777777" w:rsidR="00DE156A" w:rsidRDefault="00DE156A"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7078FD4B" w14:textId="77777777" w:rsidR="00DE156A" w:rsidRDefault="00DE156A" w:rsidP="005A3B4D">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6C9A1DC1"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F746A86"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02788CB" w14:textId="77777777" w:rsidR="00DE156A" w:rsidRDefault="00DE156A" w:rsidP="005A3B4D">
            <w:pPr>
              <w:jc w:val="right"/>
              <w:rPr>
                <w:color w:val="000000"/>
                <w:sz w:val="20"/>
                <w:szCs w:val="20"/>
              </w:rPr>
            </w:pPr>
            <w:r>
              <w:rPr>
                <w:color w:val="000000"/>
                <w:sz w:val="20"/>
                <w:szCs w:val="20"/>
              </w:rPr>
              <w:t>0.752</w:t>
            </w:r>
          </w:p>
        </w:tc>
        <w:tc>
          <w:tcPr>
            <w:tcW w:w="768" w:type="dxa"/>
            <w:tcBorders>
              <w:top w:val="nil"/>
              <w:left w:val="nil"/>
              <w:bottom w:val="nil"/>
              <w:right w:val="nil"/>
            </w:tcBorders>
            <w:shd w:val="clear" w:color="auto" w:fill="auto"/>
            <w:noWrap/>
            <w:vAlign w:val="bottom"/>
            <w:hideMark/>
          </w:tcPr>
          <w:p w14:paraId="67B7C629"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039FAC0" w14:textId="77777777" w:rsidR="00DE156A" w:rsidRDefault="00DE156A"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1B5541CA" w14:textId="77777777" w:rsidR="00DE156A" w:rsidRDefault="00DE156A" w:rsidP="005A3B4D">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30C9920A"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FF45131" w14:textId="77777777" w:rsidR="00DE156A" w:rsidRDefault="00DE156A" w:rsidP="005A3B4D">
            <w:pPr>
              <w:jc w:val="right"/>
              <w:rPr>
                <w:color w:val="000000"/>
                <w:sz w:val="20"/>
                <w:szCs w:val="20"/>
              </w:rPr>
            </w:pPr>
            <w:r>
              <w:rPr>
                <w:color w:val="000000"/>
                <w:sz w:val="20"/>
                <w:szCs w:val="20"/>
              </w:rPr>
              <w:t>0.130</w:t>
            </w:r>
          </w:p>
        </w:tc>
        <w:tc>
          <w:tcPr>
            <w:tcW w:w="768" w:type="dxa"/>
            <w:tcBorders>
              <w:top w:val="nil"/>
              <w:left w:val="nil"/>
              <w:bottom w:val="nil"/>
              <w:right w:val="nil"/>
            </w:tcBorders>
            <w:shd w:val="clear" w:color="auto" w:fill="auto"/>
            <w:noWrap/>
            <w:vAlign w:val="bottom"/>
            <w:hideMark/>
          </w:tcPr>
          <w:p w14:paraId="1ADB8A30" w14:textId="77777777" w:rsidR="00DE156A" w:rsidRDefault="00DE156A"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73510E8E"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07A8437E" w14:textId="77777777" w:rsidR="00DE156A" w:rsidRDefault="00DE156A" w:rsidP="005A3B4D">
            <w:pPr>
              <w:jc w:val="right"/>
              <w:rPr>
                <w:color w:val="000000"/>
                <w:sz w:val="20"/>
                <w:szCs w:val="20"/>
              </w:rPr>
            </w:pPr>
            <w:r>
              <w:rPr>
                <w:color w:val="000000"/>
                <w:sz w:val="20"/>
                <w:szCs w:val="20"/>
              </w:rPr>
              <w:t>-0.122</w:t>
            </w:r>
          </w:p>
        </w:tc>
        <w:tc>
          <w:tcPr>
            <w:tcW w:w="768" w:type="dxa"/>
            <w:tcBorders>
              <w:top w:val="nil"/>
              <w:left w:val="nil"/>
              <w:bottom w:val="nil"/>
              <w:right w:val="nil"/>
            </w:tcBorders>
            <w:shd w:val="clear" w:color="auto" w:fill="auto"/>
            <w:noWrap/>
            <w:vAlign w:val="bottom"/>
            <w:hideMark/>
          </w:tcPr>
          <w:p w14:paraId="5D31ED72" w14:textId="77777777" w:rsidR="00DE156A" w:rsidRDefault="00DE156A" w:rsidP="005A3B4D">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5F6F22DA" w14:textId="77777777" w:rsidR="00DE156A" w:rsidRDefault="00DE156A" w:rsidP="005A3B4D">
            <w:pPr>
              <w:jc w:val="right"/>
              <w:rPr>
                <w:color w:val="000000"/>
                <w:sz w:val="20"/>
                <w:szCs w:val="20"/>
              </w:rPr>
            </w:pPr>
            <w:r>
              <w:rPr>
                <w:color w:val="000000"/>
                <w:sz w:val="20"/>
                <w:szCs w:val="20"/>
              </w:rPr>
              <w:t>0.015</w:t>
            </w:r>
          </w:p>
        </w:tc>
      </w:tr>
      <w:tr w:rsidR="00DE156A" w14:paraId="6347D1B0" w14:textId="77777777" w:rsidTr="005A3B4D">
        <w:trPr>
          <w:trHeight w:val="320"/>
        </w:trPr>
        <w:tc>
          <w:tcPr>
            <w:tcW w:w="1176" w:type="dxa"/>
            <w:tcBorders>
              <w:top w:val="nil"/>
              <w:left w:val="nil"/>
              <w:bottom w:val="nil"/>
              <w:right w:val="nil"/>
            </w:tcBorders>
            <w:shd w:val="clear" w:color="auto" w:fill="auto"/>
            <w:noWrap/>
            <w:vAlign w:val="bottom"/>
            <w:hideMark/>
          </w:tcPr>
          <w:p w14:paraId="163DDC19"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3164DA"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7F6DAC2"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331CF8" w14:textId="77777777" w:rsidR="00DE156A" w:rsidRDefault="00DE156A" w:rsidP="005A3B4D">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77EB1D6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D4B571"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841779C" w14:textId="77777777" w:rsidR="00DE156A" w:rsidRDefault="00DE156A" w:rsidP="005A3B4D">
            <w:pPr>
              <w:jc w:val="right"/>
              <w:rPr>
                <w:color w:val="000000"/>
                <w:sz w:val="20"/>
                <w:szCs w:val="20"/>
              </w:rPr>
            </w:pPr>
            <w:r>
              <w:rPr>
                <w:color w:val="000000"/>
                <w:sz w:val="20"/>
                <w:szCs w:val="20"/>
              </w:rPr>
              <w:t>0.752</w:t>
            </w:r>
          </w:p>
        </w:tc>
        <w:tc>
          <w:tcPr>
            <w:tcW w:w="768" w:type="dxa"/>
            <w:tcBorders>
              <w:top w:val="nil"/>
              <w:left w:val="nil"/>
              <w:bottom w:val="nil"/>
              <w:right w:val="nil"/>
            </w:tcBorders>
            <w:shd w:val="clear" w:color="auto" w:fill="auto"/>
            <w:noWrap/>
            <w:vAlign w:val="bottom"/>
            <w:hideMark/>
          </w:tcPr>
          <w:p w14:paraId="7296610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163792" w14:textId="77777777" w:rsidR="00DE156A" w:rsidRDefault="00DE156A"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055E9BA8" w14:textId="77777777" w:rsidR="00DE156A" w:rsidRDefault="00DE156A" w:rsidP="005A3B4D">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198637AD"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D12B1CD"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13BEA06" w14:textId="77777777" w:rsidR="00DE156A" w:rsidRDefault="00DE156A"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528DDF3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BA190E"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95FE529" w14:textId="77777777" w:rsidR="00DE156A" w:rsidRDefault="00DE156A" w:rsidP="005A3B4D">
            <w:pPr>
              <w:jc w:val="right"/>
              <w:rPr>
                <w:color w:val="000000"/>
                <w:sz w:val="20"/>
                <w:szCs w:val="20"/>
              </w:rPr>
            </w:pPr>
            <w:r>
              <w:rPr>
                <w:color w:val="000000"/>
                <w:sz w:val="20"/>
                <w:szCs w:val="20"/>
              </w:rPr>
              <w:t>0.776</w:t>
            </w:r>
          </w:p>
        </w:tc>
        <w:tc>
          <w:tcPr>
            <w:tcW w:w="768" w:type="dxa"/>
            <w:tcBorders>
              <w:top w:val="nil"/>
              <w:left w:val="nil"/>
              <w:bottom w:val="nil"/>
              <w:right w:val="nil"/>
            </w:tcBorders>
            <w:shd w:val="clear" w:color="auto" w:fill="auto"/>
            <w:noWrap/>
            <w:vAlign w:val="bottom"/>
            <w:hideMark/>
          </w:tcPr>
          <w:p w14:paraId="5EE71CC6" w14:textId="77777777" w:rsidR="00DE156A" w:rsidRDefault="00DE156A" w:rsidP="005A3B4D">
            <w:pPr>
              <w:jc w:val="right"/>
              <w:rPr>
                <w:color w:val="000000"/>
                <w:sz w:val="20"/>
                <w:szCs w:val="20"/>
              </w:rPr>
            </w:pPr>
            <w:r>
              <w:rPr>
                <w:color w:val="000000"/>
                <w:sz w:val="20"/>
                <w:szCs w:val="20"/>
              </w:rPr>
              <w:t>0.000</w:t>
            </w:r>
          </w:p>
        </w:tc>
      </w:tr>
      <w:tr w:rsidR="00DE156A" w14:paraId="0A2337F0" w14:textId="77777777" w:rsidTr="005A3B4D">
        <w:trPr>
          <w:trHeight w:val="320"/>
        </w:trPr>
        <w:tc>
          <w:tcPr>
            <w:tcW w:w="1176" w:type="dxa"/>
            <w:tcBorders>
              <w:top w:val="nil"/>
              <w:left w:val="nil"/>
              <w:bottom w:val="nil"/>
              <w:right w:val="nil"/>
            </w:tcBorders>
            <w:shd w:val="clear" w:color="auto" w:fill="auto"/>
            <w:noWrap/>
            <w:vAlign w:val="bottom"/>
            <w:hideMark/>
          </w:tcPr>
          <w:p w14:paraId="55442D25"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384C6F9"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7D212D4" w14:textId="77777777" w:rsidR="00DE156A" w:rsidRDefault="00DE156A"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212916B9" w14:textId="77777777" w:rsidR="00DE156A" w:rsidRDefault="00DE156A" w:rsidP="005A3B4D">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40598A87"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6243648"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76434ECE" w14:textId="77777777" w:rsidR="00DE156A" w:rsidRDefault="00DE156A" w:rsidP="005A3B4D">
            <w:pPr>
              <w:jc w:val="right"/>
              <w:rPr>
                <w:color w:val="000000"/>
                <w:sz w:val="20"/>
                <w:szCs w:val="20"/>
              </w:rPr>
            </w:pPr>
            <w:r>
              <w:rPr>
                <w:color w:val="000000"/>
                <w:sz w:val="20"/>
                <w:szCs w:val="20"/>
              </w:rPr>
              <w:t>0.752</w:t>
            </w:r>
          </w:p>
        </w:tc>
        <w:tc>
          <w:tcPr>
            <w:tcW w:w="768" w:type="dxa"/>
            <w:tcBorders>
              <w:top w:val="nil"/>
              <w:left w:val="nil"/>
              <w:bottom w:val="nil"/>
              <w:right w:val="nil"/>
            </w:tcBorders>
            <w:shd w:val="clear" w:color="auto" w:fill="auto"/>
            <w:noWrap/>
            <w:vAlign w:val="bottom"/>
            <w:hideMark/>
          </w:tcPr>
          <w:p w14:paraId="0F332F32"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A65C78" w14:textId="77777777" w:rsidR="00DE156A" w:rsidRDefault="00DE156A"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E363020" w14:textId="77777777" w:rsidR="00DE156A" w:rsidRDefault="00DE156A" w:rsidP="005A3B4D">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3FE10EDF"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8045349"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18FBDBEF" w14:textId="77777777" w:rsidR="00DE156A" w:rsidRDefault="00DE156A"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11310D1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CFAD61" w14:textId="77777777" w:rsidR="00DE156A" w:rsidRDefault="00DE156A" w:rsidP="005A3B4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373B3868" w14:textId="77777777" w:rsidR="00DE156A" w:rsidRDefault="00DE156A" w:rsidP="005A3B4D">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75EFC345" w14:textId="77777777" w:rsidR="00DE156A" w:rsidRDefault="00DE156A" w:rsidP="005A3B4D">
            <w:pPr>
              <w:jc w:val="right"/>
              <w:rPr>
                <w:color w:val="000000"/>
                <w:sz w:val="20"/>
                <w:szCs w:val="20"/>
              </w:rPr>
            </w:pPr>
            <w:r>
              <w:rPr>
                <w:color w:val="000000"/>
                <w:sz w:val="20"/>
                <w:szCs w:val="20"/>
              </w:rPr>
              <w:t>0.004</w:t>
            </w:r>
          </w:p>
        </w:tc>
      </w:tr>
      <w:tr w:rsidR="00DE156A" w14:paraId="5D17CF63" w14:textId="77777777" w:rsidTr="005A3B4D">
        <w:trPr>
          <w:trHeight w:val="320"/>
        </w:trPr>
        <w:tc>
          <w:tcPr>
            <w:tcW w:w="1176" w:type="dxa"/>
            <w:tcBorders>
              <w:top w:val="nil"/>
              <w:left w:val="nil"/>
              <w:bottom w:val="nil"/>
              <w:right w:val="nil"/>
            </w:tcBorders>
            <w:shd w:val="clear" w:color="auto" w:fill="auto"/>
            <w:noWrap/>
            <w:vAlign w:val="bottom"/>
            <w:hideMark/>
          </w:tcPr>
          <w:p w14:paraId="0425AE0F"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932DF2"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D56751C" w14:textId="77777777" w:rsidR="00DE156A" w:rsidRDefault="00DE156A"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8D75EA1" w14:textId="77777777" w:rsidR="00DE156A" w:rsidRDefault="00DE156A" w:rsidP="005A3B4D">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09562DD1"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A2870E9" w14:textId="77777777" w:rsidR="00DE156A" w:rsidRDefault="00DE156A"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0C806726" w14:textId="77777777" w:rsidR="00DE156A" w:rsidRDefault="00DE156A" w:rsidP="005A3B4D">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3501E1BD"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43DEDB2"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76D49DED" w14:textId="77777777" w:rsidR="00DE156A" w:rsidRDefault="00DE156A" w:rsidP="005A3B4D">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55BB8C40"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005688"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3046CBC" w14:textId="77777777" w:rsidR="00DE156A" w:rsidRDefault="00DE156A"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5BCC2D28"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2ED2E9A" w14:textId="77777777" w:rsidR="00DE156A" w:rsidRDefault="00DE156A"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202196F9" w14:textId="77777777" w:rsidR="00DE156A" w:rsidRDefault="00DE156A" w:rsidP="005A3B4D">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43A99DCE" w14:textId="77777777" w:rsidR="00DE156A" w:rsidRDefault="00DE156A" w:rsidP="005A3B4D">
            <w:pPr>
              <w:jc w:val="right"/>
              <w:rPr>
                <w:color w:val="000000"/>
                <w:sz w:val="20"/>
                <w:szCs w:val="20"/>
              </w:rPr>
            </w:pPr>
            <w:r>
              <w:rPr>
                <w:color w:val="000000"/>
                <w:sz w:val="20"/>
                <w:szCs w:val="20"/>
              </w:rPr>
              <w:t>0.002</w:t>
            </w:r>
          </w:p>
        </w:tc>
      </w:tr>
      <w:tr w:rsidR="00DE156A" w14:paraId="11BE36D6" w14:textId="77777777" w:rsidTr="005A3B4D">
        <w:trPr>
          <w:trHeight w:val="320"/>
        </w:trPr>
        <w:tc>
          <w:tcPr>
            <w:tcW w:w="1176" w:type="dxa"/>
            <w:tcBorders>
              <w:top w:val="nil"/>
              <w:left w:val="nil"/>
              <w:bottom w:val="nil"/>
              <w:right w:val="nil"/>
            </w:tcBorders>
            <w:shd w:val="clear" w:color="auto" w:fill="auto"/>
            <w:noWrap/>
            <w:vAlign w:val="bottom"/>
            <w:hideMark/>
          </w:tcPr>
          <w:p w14:paraId="757BE3DA"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CE108B3"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0178116"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0BFFC77" w14:textId="77777777" w:rsidR="00DE156A" w:rsidRDefault="00DE156A" w:rsidP="005A3B4D">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5045220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37DE69" w14:textId="77777777" w:rsidR="00DE156A" w:rsidRDefault="00DE156A"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55C1087" w14:textId="77777777" w:rsidR="00DE156A" w:rsidRDefault="00DE156A" w:rsidP="005A3B4D">
            <w:pPr>
              <w:jc w:val="right"/>
              <w:rPr>
                <w:color w:val="000000"/>
                <w:sz w:val="20"/>
                <w:szCs w:val="20"/>
              </w:rPr>
            </w:pPr>
            <w:r>
              <w:rPr>
                <w:color w:val="000000"/>
                <w:sz w:val="20"/>
                <w:szCs w:val="20"/>
              </w:rPr>
              <w:t>0.752</w:t>
            </w:r>
          </w:p>
        </w:tc>
        <w:tc>
          <w:tcPr>
            <w:tcW w:w="768" w:type="dxa"/>
            <w:tcBorders>
              <w:top w:val="nil"/>
              <w:left w:val="nil"/>
              <w:bottom w:val="nil"/>
              <w:right w:val="nil"/>
            </w:tcBorders>
            <w:shd w:val="clear" w:color="auto" w:fill="auto"/>
            <w:noWrap/>
            <w:vAlign w:val="bottom"/>
            <w:hideMark/>
          </w:tcPr>
          <w:p w14:paraId="37F2CF3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04C925" w14:textId="77777777" w:rsidR="00DE156A" w:rsidRDefault="00DE156A"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7A591EB" w14:textId="77777777" w:rsidR="00DE156A" w:rsidRDefault="00DE156A" w:rsidP="005A3B4D">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35DBB96A"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64F791"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17A4A45" w14:textId="77777777" w:rsidR="00DE156A" w:rsidRDefault="00DE156A"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0B8015A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CC7B2B" w14:textId="77777777" w:rsidR="00DE156A" w:rsidRDefault="00DE156A"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E9DFAFB" w14:textId="77777777" w:rsidR="00DE156A" w:rsidRDefault="00DE156A" w:rsidP="005A3B4D">
            <w:pPr>
              <w:jc w:val="right"/>
              <w:rPr>
                <w:color w:val="000000"/>
                <w:sz w:val="20"/>
                <w:szCs w:val="20"/>
              </w:rPr>
            </w:pPr>
            <w:r>
              <w:rPr>
                <w:color w:val="000000"/>
                <w:sz w:val="20"/>
                <w:szCs w:val="20"/>
              </w:rPr>
              <w:t>0.776</w:t>
            </w:r>
          </w:p>
        </w:tc>
        <w:tc>
          <w:tcPr>
            <w:tcW w:w="768" w:type="dxa"/>
            <w:tcBorders>
              <w:top w:val="nil"/>
              <w:left w:val="nil"/>
              <w:bottom w:val="nil"/>
              <w:right w:val="nil"/>
            </w:tcBorders>
            <w:shd w:val="clear" w:color="auto" w:fill="auto"/>
            <w:noWrap/>
            <w:vAlign w:val="bottom"/>
            <w:hideMark/>
          </w:tcPr>
          <w:p w14:paraId="0DB271A3" w14:textId="77777777" w:rsidR="00DE156A" w:rsidRDefault="00DE156A" w:rsidP="005A3B4D">
            <w:pPr>
              <w:jc w:val="right"/>
              <w:rPr>
                <w:color w:val="000000"/>
                <w:sz w:val="20"/>
                <w:szCs w:val="20"/>
              </w:rPr>
            </w:pPr>
            <w:r>
              <w:rPr>
                <w:color w:val="000000"/>
                <w:sz w:val="20"/>
                <w:szCs w:val="20"/>
              </w:rPr>
              <w:t>0.001</w:t>
            </w:r>
          </w:p>
        </w:tc>
      </w:tr>
      <w:tr w:rsidR="00DE156A" w14:paraId="0DA9B1F6"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494A6132"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57F9082"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9D7A0CB"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70407637" w14:textId="77777777" w:rsidR="00DE156A" w:rsidRDefault="00DE156A" w:rsidP="005A3B4D">
            <w:pPr>
              <w:jc w:val="right"/>
              <w:rPr>
                <w:color w:val="000000"/>
                <w:sz w:val="20"/>
                <w:szCs w:val="20"/>
              </w:rPr>
            </w:pPr>
            <w:r>
              <w:rPr>
                <w:color w:val="000000"/>
                <w:sz w:val="20"/>
                <w:szCs w:val="20"/>
              </w:rPr>
              <w:t>0.986</w:t>
            </w:r>
          </w:p>
        </w:tc>
        <w:tc>
          <w:tcPr>
            <w:tcW w:w="768" w:type="dxa"/>
            <w:tcBorders>
              <w:top w:val="nil"/>
              <w:left w:val="nil"/>
              <w:bottom w:val="single" w:sz="4" w:space="0" w:color="auto"/>
              <w:right w:val="nil"/>
            </w:tcBorders>
            <w:shd w:val="clear" w:color="auto" w:fill="auto"/>
            <w:noWrap/>
            <w:vAlign w:val="bottom"/>
            <w:hideMark/>
          </w:tcPr>
          <w:p w14:paraId="7404207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D5DE15F" w14:textId="77777777" w:rsidR="00DE156A" w:rsidRDefault="00DE156A" w:rsidP="005A3B4D">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759BF49E" w14:textId="77777777" w:rsidR="00DE156A" w:rsidRDefault="00DE156A" w:rsidP="005A3B4D">
            <w:pPr>
              <w:jc w:val="right"/>
              <w:rPr>
                <w:color w:val="000000"/>
                <w:sz w:val="20"/>
                <w:szCs w:val="20"/>
              </w:rPr>
            </w:pPr>
            <w:r>
              <w:rPr>
                <w:color w:val="000000"/>
                <w:sz w:val="20"/>
                <w:szCs w:val="20"/>
              </w:rPr>
              <w:t>0.752</w:t>
            </w:r>
          </w:p>
        </w:tc>
        <w:tc>
          <w:tcPr>
            <w:tcW w:w="768" w:type="dxa"/>
            <w:tcBorders>
              <w:top w:val="nil"/>
              <w:left w:val="nil"/>
              <w:bottom w:val="single" w:sz="4" w:space="0" w:color="auto"/>
              <w:right w:val="nil"/>
            </w:tcBorders>
            <w:shd w:val="clear" w:color="auto" w:fill="auto"/>
            <w:noWrap/>
            <w:vAlign w:val="bottom"/>
            <w:hideMark/>
          </w:tcPr>
          <w:p w14:paraId="7B043BF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C7C9824" w14:textId="77777777" w:rsidR="00DE156A" w:rsidRDefault="00DE156A" w:rsidP="005A3B4D">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02E58635" w14:textId="77777777" w:rsidR="00DE156A" w:rsidRDefault="00DE156A" w:rsidP="005A3B4D">
            <w:pPr>
              <w:jc w:val="right"/>
              <w:rPr>
                <w:color w:val="000000"/>
                <w:sz w:val="20"/>
                <w:szCs w:val="20"/>
              </w:rPr>
            </w:pPr>
            <w:r>
              <w:rPr>
                <w:color w:val="000000"/>
                <w:sz w:val="20"/>
                <w:szCs w:val="20"/>
              </w:rPr>
              <w:t>0.551</w:t>
            </w:r>
          </w:p>
        </w:tc>
        <w:tc>
          <w:tcPr>
            <w:tcW w:w="768" w:type="dxa"/>
            <w:tcBorders>
              <w:top w:val="nil"/>
              <w:left w:val="nil"/>
              <w:bottom w:val="single" w:sz="4" w:space="0" w:color="auto"/>
              <w:right w:val="nil"/>
            </w:tcBorders>
            <w:shd w:val="clear" w:color="auto" w:fill="auto"/>
            <w:noWrap/>
            <w:vAlign w:val="bottom"/>
            <w:hideMark/>
          </w:tcPr>
          <w:p w14:paraId="3A5A4CBC"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53EABF4" w14:textId="77777777" w:rsidR="00DE156A" w:rsidRDefault="00DE156A" w:rsidP="005A3B4D">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40579073" w14:textId="77777777" w:rsidR="00DE156A" w:rsidRDefault="00DE156A" w:rsidP="005A3B4D">
            <w:pPr>
              <w:jc w:val="right"/>
              <w:rPr>
                <w:color w:val="000000"/>
                <w:sz w:val="20"/>
                <w:szCs w:val="20"/>
              </w:rPr>
            </w:pPr>
            <w:r>
              <w:rPr>
                <w:color w:val="000000"/>
                <w:sz w:val="20"/>
                <w:szCs w:val="20"/>
              </w:rPr>
              <w:t>0.980</w:t>
            </w:r>
          </w:p>
        </w:tc>
        <w:tc>
          <w:tcPr>
            <w:tcW w:w="768" w:type="dxa"/>
            <w:tcBorders>
              <w:top w:val="nil"/>
              <w:left w:val="nil"/>
              <w:bottom w:val="single" w:sz="4" w:space="0" w:color="auto"/>
              <w:right w:val="nil"/>
            </w:tcBorders>
            <w:shd w:val="clear" w:color="auto" w:fill="auto"/>
            <w:noWrap/>
            <w:vAlign w:val="bottom"/>
            <w:hideMark/>
          </w:tcPr>
          <w:p w14:paraId="7A4D595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468C549" w14:textId="77777777" w:rsidR="00DE156A" w:rsidRDefault="00DE156A" w:rsidP="005A3B4D">
            <w:pPr>
              <w:jc w:val="right"/>
              <w:rPr>
                <w:color w:val="000000"/>
                <w:sz w:val="20"/>
                <w:szCs w:val="20"/>
              </w:rPr>
            </w:pPr>
            <w:r>
              <w:rPr>
                <w:color w:val="000000"/>
                <w:sz w:val="20"/>
                <w:szCs w:val="20"/>
              </w:rPr>
              <w:t>0.023</w:t>
            </w:r>
          </w:p>
        </w:tc>
        <w:tc>
          <w:tcPr>
            <w:tcW w:w="768" w:type="dxa"/>
            <w:tcBorders>
              <w:top w:val="nil"/>
              <w:left w:val="nil"/>
              <w:bottom w:val="single" w:sz="4" w:space="0" w:color="auto"/>
              <w:right w:val="nil"/>
            </w:tcBorders>
            <w:shd w:val="clear" w:color="auto" w:fill="auto"/>
            <w:noWrap/>
            <w:vAlign w:val="bottom"/>
            <w:hideMark/>
          </w:tcPr>
          <w:p w14:paraId="42652603" w14:textId="77777777" w:rsidR="00DE156A" w:rsidRDefault="00DE156A" w:rsidP="005A3B4D">
            <w:pPr>
              <w:jc w:val="right"/>
              <w:rPr>
                <w:color w:val="000000"/>
                <w:sz w:val="20"/>
                <w:szCs w:val="20"/>
              </w:rPr>
            </w:pPr>
            <w:r>
              <w:rPr>
                <w:color w:val="000000"/>
                <w:sz w:val="20"/>
                <w:szCs w:val="20"/>
              </w:rPr>
              <w:t>0.776</w:t>
            </w:r>
          </w:p>
        </w:tc>
        <w:tc>
          <w:tcPr>
            <w:tcW w:w="768" w:type="dxa"/>
            <w:tcBorders>
              <w:top w:val="nil"/>
              <w:left w:val="nil"/>
              <w:bottom w:val="single" w:sz="4" w:space="0" w:color="auto"/>
              <w:right w:val="nil"/>
            </w:tcBorders>
            <w:shd w:val="clear" w:color="auto" w:fill="auto"/>
            <w:noWrap/>
            <w:vAlign w:val="bottom"/>
            <w:hideMark/>
          </w:tcPr>
          <w:p w14:paraId="3D70062D" w14:textId="77777777" w:rsidR="00DE156A" w:rsidRDefault="00DE156A" w:rsidP="005A3B4D">
            <w:pPr>
              <w:jc w:val="right"/>
              <w:rPr>
                <w:color w:val="000000"/>
                <w:sz w:val="20"/>
                <w:szCs w:val="20"/>
              </w:rPr>
            </w:pPr>
            <w:r>
              <w:rPr>
                <w:color w:val="000000"/>
                <w:sz w:val="20"/>
                <w:szCs w:val="20"/>
              </w:rPr>
              <w:t>0.001</w:t>
            </w:r>
          </w:p>
        </w:tc>
      </w:tr>
      <w:tr w:rsidR="00DE156A" w14:paraId="35D74467" w14:textId="77777777" w:rsidTr="005A3B4D">
        <w:trPr>
          <w:trHeight w:val="320"/>
        </w:trPr>
        <w:tc>
          <w:tcPr>
            <w:tcW w:w="1176" w:type="dxa"/>
            <w:tcBorders>
              <w:top w:val="nil"/>
              <w:left w:val="nil"/>
              <w:bottom w:val="nil"/>
              <w:right w:val="nil"/>
            </w:tcBorders>
            <w:shd w:val="clear" w:color="auto" w:fill="auto"/>
            <w:noWrap/>
            <w:vAlign w:val="bottom"/>
            <w:hideMark/>
          </w:tcPr>
          <w:p w14:paraId="421CD407" w14:textId="77777777" w:rsidR="00DE156A" w:rsidRDefault="00DE156A"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6FEEA15"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C6703CA"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77094641" w14:textId="77777777" w:rsidR="00DE156A" w:rsidRDefault="00DE156A" w:rsidP="005A3B4D">
            <w:pPr>
              <w:jc w:val="right"/>
              <w:rPr>
                <w:color w:val="000000"/>
                <w:sz w:val="20"/>
                <w:szCs w:val="20"/>
              </w:rPr>
            </w:pPr>
            <w:r>
              <w:rPr>
                <w:color w:val="000000"/>
                <w:sz w:val="20"/>
                <w:szCs w:val="20"/>
              </w:rPr>
              <w:t>0.799</w:t>
            </w:r>
          </w:p>
        </w:tc>
        <w:tc>
          <w:tcPr>
            <w:tcW w:w="768" w:type="dxa"/>
            <w:tcBorders>
              <w:top w:val="nil"/>
              <w:left w:val="nil"/>
              <w:bottom w:val="nil"/>
              <w:right w:val="nil"/>
            </w:tcBorders>
            <w:shd w:val="clear" w:color="auto" w:fill="auto"/>
            <w:noWrap/>
            <w:vAlign w:val="bottom"/>
            <w:hideMark/>
          </w:tcPr>
          <w:p w14:paraId="39D91EB4"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7BB93A"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A7DDE1A" w14:textId="77777777" w:rsidR="00DE156A" w:rsidRDefault="00DE156A" w:rsidP="005A3B4D">
            <w:pPr>
              <w:jc w:val="right"/>
              <w:rPr>
                <w:color w:val="000000"/>
                <w:sz w:val="20"/>
                <w:szCs w:val="20"/>
              </w:rPr>
            </w:pPr>
            <w:r>
              <w:rPr>
                <w:color w:val="000000"/>
                <w:sz w:val="20"/>
                <w:szCs w:val="20"/>
              </w:rPr>
              <w:t>0.484</w:t>
            </w:r>
          </w:p>
        </w:tc>
        <w:tc>
          <w:tcPr>
            <w:tcW w:w="768" w:type="dxa"/>
            <w:tcBorders>
              <w:top w:val="nil"/>
              <w:left w:val="nil"/>
              <w:bottom w:val="nil"/>
              <w:right w:val="nil"/>
            </w:tcBorders>
            <w:shd w:val="clear" w:color="auto" w:fill="auto"/>
            <w:noWrap/>
            <w:vAlign w:val="bottom"/>
            <w:hideMark/>
          </w:tcPr>
          <w:p w14:paraId="49BE8B33"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DEEF1D4"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2C024BD" w14:textId="77777777" w:rsidR="00DE156A" w:rsidRDefault="00DE156A" w:rsidP="005A3B4D">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604E2E8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5B5F36" w14:textId="77777777" w:rsidR="00DE156A" w:rsidRDefault="00DE156A"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6606B9D" w14:textId="77777777" w:rsidR="00DE156A" w:rsidRDefault="00DE156A"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6C0D4D6F"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608EA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4CF208" w14:textId="77777777" w:rsidR="00DE156A" w:rsidRDefault="00DE156A"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46EE0F8C" w14:textId="77777777" w:rsidR="00DE156A" w:rsidRDefault="00DE156A" w:rsidP="005A3B4D">
            <w:pPr>
              <w:jc w:val="right"/>
              <w:rPr>
                <w:color w:val="000000"/>
                <w:sz w:val="20"/>
                <w:szCs w:val="20"/>
              </w:rPr>
            </w:pPr>
            <w:r>
              <w:rPr>
                <w:color w:val="000000"/>
                <w:sz w:val="20"/>
                <w:szCs w:val="20"/>
              </w:rPr>
              <w:t>0.000</w:t>
            </w:r>
          </w:p>
        </w:tc>
      </w:tr>
      <w:tr w:rsidR="00DE156A" w14:paraId="1B691021" w14:textId="77777777" w:rsidTr="005A3B4D">
        <w:trPr>
          <w:trHeight w:val="320"/>
        </w:trPr>
        <w:tc>
          <w:tcPr>
            <w:tcW w:w="1176" w:type="dxa"/>
            <w:tcBorders>
              <w:top w:val="nil"/>
              <w:left w:val="nil"/>
              <w:bottom w:val="nil"/>
              <w:right w:val="nil"/>
            </w:tcBorders>
            <w:shd w:val="clear" w:color="auto" w:fill="auto"/>
            <w:noWrap/>
            <w:vAlign w:val="bottom"/>
            <w:hideMark/>
          </w:tcPr>
          <w:p w14:paraId="1E67F564"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53DCC3B"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ED0B12C" w14:textId="77777777" w:rsidR="00DE156A" w:rsidRDefault="00DE156A"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729D89A" w14:textId="77777777" w:rsidR="00DE156A" w:rsidRDefault="00DE156A" w:rsidP="005A3B4D">
            <w:pPr>
              <w:jc w:val="right"/>
              <w:rPr>
                <w:color w:val="000000"/>
                <w:sz w:val="20"/>
                <w:szCs w:val="20"/>
              </w:rPr>
            </w:pPr>
            <w:r>
              <w:rPr>
                <w:color w:val="000000"/>
                <w:sz w:val="20"/>
                <w:szCs w:val="20"/>
              </w:rPr>
              <w:t>0.799</w:t>
            </w:r>
          </w:p>
        </w:tc>
        <w:tc>
          <w:tcPr>
            <w:tcW w:w="768" w:type="dxa"/>
            <w:tcBorders>
              <w:top w:val="nil"/>
              <w:left w:val="nil"/>
              <w:bottom w:val="nil"/>
              <w:right w:val="nil"/>
            </w:tcBorders>
            <w:shd w:val="clear" w:color="auto" w:fill="auto"/>
            <w:noWrap/>
            <w:vAlign w:val="bottom"/>
            <w:hideMark/>
          </w:tcPr>
          <w:p w14:paraId="0B6749E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8B51CE"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CDFD5D" w14:textId="77777777" w:rsidR="00DE156A" w:rsidRDefault="00DE156A" w:rsidP="005A3B4D">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5C7DB518"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995187" w14:textId="77777777" w:rsidR="00DE156A" w:rsidRDefault="00DE156A"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DD992E4" w14:textId="77777777" w:rsidR="00DE156A" w:rsidRDefault="00DE156A" w:rsidP="005A3B4D">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7EE50F6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8D4680"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AD6730B" w14:textId="77777777" w:rsidR="00DE156A" w:rsidRDefault="00DE156A"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00083EF9"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647EFE"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568BA61" w14:textId="77777777" w:rsidR="00DE156A" w:rsidRDefault="00DE156A"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5DC2F620" w14:textId="77777777" w:rsidR="00DE156A" w:rsidRDefault="00DE156A" w:rsidP="005A3B4D">
            <w:pPr>
              <w:jc w:val="right"/>
              <w:rPr>
                <w:color w:val="000000"/>
                <w:sz w:val="20"/>
                <w:szCs w:val="20"/>
              </w:rPr>
            </w:pPr>
            <w:r>
              <w:rPr>
                <w:color w:val="000000"/>
                <w:sz w:val="20"/>
                <w:szCs w:val="20"/>
              </w:rPr>
              <w:t>0.000</w:t>
            </w:r>
          </w:p>
        </w:tc>
      </w:tr>
      <w:tr w:rsidR="00DE156A" w14:paraId="6A24A852" w14:textId="77777777" w:rsidTr="005A3B4D">
        <w:trPr>
          <w:trHeight w:val="320"/>
        </w:trPr>
        <w:tc>
          <w:tcPr>
            <w:tcW w:w="1176" w:type="dxa"/>
            <w:tcBorders>
              <w:top w:val="nil"/>
              <w:left w:val="nil"/>
              <w:bottom w:val="nil"/>
              <w:right w:val="nil"/>
            </w:tcBorders>
            <w:shd w:val="clear" w:color="auto" w:fill="auto"/>
            <w:noWrap/>
            <w:vAlign w:val="bottom"/>
            <w:hideMark/>
          </w:tcPr>
          <w:p w14:paraId="289C880C"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1C07D5"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6653732"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4033135" w14:textId="77777777" w:rsidR="00DE156A" w:rsidRDefault="00DE156A" w:rsidP="005A3B4D">
            <w:pPr>
              <w:jc w:val="right"/>
              <w:rPr>
                <w:color w:val="000000"/>
                <w:sz w:val="20"/>
                <w:szCs w:val="20"/>
              </w:rPr>
            </w:pPr>
            <w:r>
              <w:rPr>
                <w:color w:val="000000"/>
                <w:sz w:val="20"/>
                <w:szCs w:val="20"/>
              </w:rPr>
              <w:t>0.799</w:t>
            </w:r>
          </w:p>
        </w:tc>
        <w:tc>
          <w:tcPr>
            <w:tcW w:w="768" w:type="dxa"/>
            <w:tcBorders>
              <w:top w:val="nil"/>
              <w:left w:val="nil"/>
              <w:bottom w:val="nil"/>
              <w:right w:val="nil"/>
            </w:tcBorders>
            <w:shd w:val="clear" w:color="auto" w:fill="auto"/>
            <w:noWrap/>
            <w:vAlign w:val="bottom"/>
            <w:hideMark/>
          </w:tcPr>
          <w:p w14:paraId="3983B95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6AE90C"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97B370B" w14:textId="77777777" w:rsidR="00DE156A" w:rsidRDefault="00DE156A" w:rsidP="005A3B4D">
            <w:pPr>
              <w:jc w:val="right"/>
              <w:rPr>
                <w:color w:val="000000"/>
                <w:sz w:val="20"/>
                <w:szCs w:val="20"/>
              </w:rPr>
            </w:pPr>
            <w:r>
              <w:rPr>
                <w:color w:val="000000"/>
                <w:sz w:val="20"/>
                <w:szCs w:val="20"/>
              </w:rPr>
              <w:t>0.936</w:t>
            </w:r>
          </w:p>
        </w:tc>
        <w:tc>
          <w:tcPr>
            <w:tcW w:w="768" w:type="dxa"/>
            <w:tcBorders>
              <w:top w:val="nil"/>
              <w:left w:val="nil"/>
              <w:bottom w:val="nil"/>
              <w:right w:val="nil"/>
            </w:tcBorders>
            <w:shd w:val="clear" w:color="auto" w:fill="auto"/>
            <w:noWrap/>
            <w:vAlign w:val="bottom"/>
            <w:hideMark/>
          </w:tcPr>
          <w:p w14:paraId="66FB77F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36FA54"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02E450D" w14:textId="77777777" w:rsidR="00DE156A" w:rsidRDefault="00DE156A" w:rsidP="005A3B4D">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1A1BEA1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EFB963" w14:textId="77777777" w:rsidR="00DE156A" w:rsidRDefault="00DE156A"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76A7E6AD" w14:textId="77777777" w:rsidR="00DE156A" w:rsidRDefault="00DE156A"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22496147"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259FF4" w14:textId="77777777" w:rsidR="00DE156A" w:rsidRDefault="00DE156A"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2765890" w14:textId="77777777" w:rsidR="00DE156A" w:rsidRDefault="00DE156A" w:rsidP="005A3B4D">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71306F24" w14:textId="77777777" w:rsidR="00DE156A" w:rsidRDefault="00DE156A" w:rsidP="005A3B4D">
            <w:pPr>
              <w:jc w:val="right"/>
              <w:rPr>
                <w:color w:val="000000"/>
                <w:sz w:val="20"/>
                <w:szCs w:val="20"/>
              </w:rPr>
            </w:pPr>
            <w:r>
              <w:rPr>
                <w:color w:val="000000"/>
                <w:sz w:val="20"/>
                <w:szCs w:val="20"/>
              </w:rPr>
              <w:t>0.001</w:t>
            </w:r>
          </w:p>
        </w:tc>
      </w:tr>
      <w:tr w:rsidR="00DE156A" w14:paraId="12F3E8AD" w14:textId="77777777" w:rsidTr="005A3B4D">
        <w:trPr>
          <w:trHeight w:val="320"/>
        </w:trPr>
        <w:tc>
          <w:tcPr>
            <w:tcW w:w="1176" w:type="dxa"/>
            <w:tcBorders>
              <w:top w:val="nil"/>
              <w:left w:val="nil"/>
              <w:bottom w:val="nil"/>
              <w:right w:val="nil"/>
            </w:tcBorders>
            <w:shd w:val="clear" w:color="auto" w:fill="auto"/>
            <w:noWrap/>
            <w:vAlign w:val="bottom"/>
            <w:hideMark/>
          </w:tcPr>
          <w:p w14:paraId="1B5A2F87"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DDE0A6F"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A432D98"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E39285C" w14:textId="77777777" w:rsidR="00DE156A" w:rsidRDefault="00DE156A" w:rsidP="005A3B4D">
            <w:pPr>
              <w:jc w:val="right"/>
              <w:rPr>
                <w:color w:val="000000"/>
                <w:sz w:val="20"/>
                <w:szCs w:val="20"/>
              </w:rPr>
            </w:pPr>
            <w:r>
              <w:rPr>
                <w:color w:val="000000"/>
                <w:sz w:val="20"/>
                <w:szCs w:val="20"/>
              </w:rPr>
              <w:t>0.799</w:t>
            </w:r>
          </w:p>
        </w:tc>
        <w:tc>
          <w:tcPr>
            <w:tcW w:w="768" w:type="dxa"/>
            <w:tcBorders>
              <w:top w:val="nil"/>
              <w:left w:val="nil"/>
              <w:bottom w:val="nil"/>
              <w:right w:val="nil"/>
            </w:tcBorders>
            <w:shd w:val="clear" w:color="auto" w:fill="auto"/>
            <w:noWrap/>
            <w:vAlign w:val="bottom"/>
            <w:hideMark/>
          </w:tcPr>
          <w:p w14:paraId="71CE534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5D7608" w14:textId="77777777" w:rsidR="00DE156A" w:rsidRDefault="00DE156A"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0385BD0B" w14:textId="77777777" w:rsidR="00DE156A" w:rsidRDefault="00DE156A" w:rsidP="005A3B4D">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3CB201F3" w14:textId="77777777" w:rsidR="00DE156A" w:rsidRDefault="00DE156A"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4018E8A" w14:textId="77777777" w:rsidR="00DE156A" w:rsidRDefault="00DE156A"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1AC5EDA5" w14:textId="77777777" w:rsidR="00DE156A" w:rsidRDefault="00DE156A" w:rsidP="005A3B4D">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363A9E8C"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1E11EE7"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46B46AE" w14:textId="77777777" w:rsidR="00DE156A" w:rsidRDefault="00DE156A"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128354FC"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6014DF" w14:textId="77777777" w:rsidR="00DE156A" w:rsidRDefault="00DE156A"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280D9A3C" w14:textId="77777777" w:rsidR="00DE156A" w:rsidRDefault="00DE156A" w:rsidP="005A3B4D">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2CE2C6DD" w14:textId="77777777" w:rsidR="00DE156A" w:rsidRDefault="00DE156A" w:rsidP="005A3B4D">
            <w:pPr>
              <w:jc w:val="right"/>
              <w:rPr>
                <w:color w:val="000000"/>
                <w:sz w:val="20"/>
                <w:szCs w:val="20"/>
              </w:rPr>
            </w:pPr>
            <w:r>
              <w:rPr>
                <w:color w:val="000000"/>
                <w:sz w:val="20"/>
                <w:szCs w:val="20"/>
              </w:rPr>
              <w:t>0.008</w:t>
            </w:r>
          </w:p>
        </w:tc>
      </w:tr>
      <w:tr w:rsidR="00DE156A" w14:paraId="49A7756A" w14:textId="77777777" w:rsidTr="005A3B4D">
        <w:trPr>
          <w:trHeight w:val="320"/>
        </w:trPr>
        <w:tc>
          <w:tcPr>
            <w:tcW w:w="1176" w:type="dxa"/>
            <w:tcBorders>
              <w:top w:val="nil"/>
              <w:left w:val="nil"/>
              <w:bottom w:val="nil"/>
              <w:right w:val="nil"/>
            </w:tcBorders>
            <w:shd w:val="clear" w:color="auto" w:fill="auto"/>
            <w:noWrap/>
            <w:vAlign w:val="bottom"/>
            <w:hideMark/>
          </w:tcPr>
          <w:p w14:paraId="3231E6E7"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F73EC48"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D3C611E" w14:textId="77777777" w:rsidR="00DE156A" w:rsidRDefault="00DE156A"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066A95E" w14:textId="77777777" w:rsidR="00DE156A" w:rsidRDefault="00DE156A" w:rsidP="005A3B4D">
            <w:pPr>
              <w:jc w:val="right"/>
              <w:rPr>
                <w:color w:val="000000"/>
                <w:sz w:val="20"/>
                <w:szCs w:val="20"/>
              </w:rPr>
            </w:pPr>
            <w:r>
              <w:rPr>
                <w:color w:val="000000"/>
                <w:sz w:val="20"/>
                <w:szCs w:val="20"/>
              </w:rPr>
              <w:t>0.799</w:t>
            </w:r>
          </w:p>
        </w:tc>
        <w:tc>
          <w:tcPr>
            <w:tcW w:w="768" w:type="dxa"/>
            <w:tcBorders>
              <w:top w:val="nil"/>
              <w:left w:val="nil"/>
              <w:bottom w:val="nil"/>
              <w:right w:val="nil"/>
            </w:tcBorders>
            <w:shd w:val="clear" w:color="auto" w:fill="auto"/>
            <w:noWrap/>
            <w:vAlign w:val="bottom"/>
            <w:hideMark/>
          </w:tcPr>
          <w:p w14:paraId="2D7C637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80006A0"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40AE56A" w14:textId="77777777" w:rsidR="00DE156A" w:rsidRDefault="00DE156A"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411003A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69DA78"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DEEE02B" w14:textId="77777777" w:rsidR="00DE156A" w:rsidRDefault="00DE156A" w:rsidP="005A3B4D">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301AC2C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AE9752"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DEFEE84" w14:textId="77777777" w:rsidR="00DE156A" w:rsidRDefault="00DE156A" w:rsidP="005A3B4D">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789E33F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3C67DD" w14:textId="77777777" w:rsidR="00DE156A" w:rsidRDefault="00DE156A"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70698118" w14:textId="77777777" w:rsidR="00DE156A" w:rsidRDefault="00DE156A" w:rsidP="005A3B4D">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1A8A6092" w14:textId="77777777" w:rsidR="00DE156A" w:rsidRDefault="00DE156A" w:rsidP="005A3B4D">
            <w:pPr>
              <w:jc w:val="right"/>
              <w:rPr>
                <w:color w:val="000000"/>
                <w:sz w:val="20"/>
                <w:szCs w:val="20"/>
              </w:rPr>
            </w:pPr>
            <w:r>
              <w:rPr>
                <w:color w:val="000000"/>
                <w:sz w:val="20"/>
                <w:szCs w:val="20"/>
              </w:rPr>
              <w:t>0.002</w:t>
            </w:r>
          </w:p>
        </w:tc>
      </w:tr>
      <w:tr w:rsidR="00DE156A" w14:paraId="39ABDD96" w14:textId="77777777" w:rsidTr="005A3B4D">
        <w:trPr>
          <w:trHeight w:val="320"/>
        </w:trPr>
        <w:tc>
          <w:tcPr>
            <w:tcW w:w="1176" w:type="dxa"/>
            <w:tcBorders>
              <w:top w:val="nil"/>
              <w:left w:val="nil"/>
              <w:bottom w:val="nil"/>
              <w:right w:val="nil"/>
            </w:tcBorders>
            <w:shd w:val="clear" w:color="auto" w:fill="auto"/>
            <w:noWrap/>
            <w:vAlign w:val="bottom"/>
            <w:hideMark/>
          </w:tcPr>
          <w:p w14:paraId="38503C13"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1D7333"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9D9649C" w14:textId="77777777" w:rsidR="00DE156A" w:rsidRDefault="00DE156A" w:rsidP="005A3B4D">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23F5A2E5" w14:textId="77777777" w:rsidR="00DE156A" w:rsidRDefault="00DE156A" w:rsidP="005A3B4D">
            <w:pPr>
              <w:jc w:val="right"/>
              <w:rPr>
                <w:color w:val="000000"/>
                <w:sz w:val="20"/>
                <w:szCs w:val="20"/>
              </w:rPr>
            </w:pPr>
            <w:r>
              <w:rPr>
                <w:color w:val="000000"/>
                <w:sz w:val="20"/>
                <w:szCs w:val="20"/>
              </w:rPr>
              <w:t>0.632</w:t>
            </w:r>
          </w:p>
        </w:tc>
        <w:tc>
          <w:tcPr>
            <w:tcW w:w="768" w:type="dxa"/>
            <w:tcBorders>
              <w:top w:val="nil"/>
              <w:left w:val="nil"/>
              <w:bottom w:val="nil"/>
              <w:right w:val="nil"/>
            </w:tcBorders>
            <w:shd w:val="clear" w:color="auto" w:fill="auto"/>
            <w:noWrap/>
            <w:vAlign w:val="bottom"/>
            <w:hideMark/>
          </w:tcPr>
          <w:p w14:paraId="2176E62A"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9688ADC" w14:textId="77777777" w:rsidR="00DE156A" w:rsidRDefault="00DE156A"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6AA3FD33" w14:textId="77777777" w:rsidR="00DE156A" w:rsidRDefault="00DE156A" w:rsidP="005A3B4D">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30358138"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FAB0635"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F19CFF5" w14:textId="77777777" w:rsidR="00DE156A" w:rsidRDefault="00DE156A" w:rsidP="005A3B4D">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0C4BC66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06C2BE"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869D9BF" w14:textId="77777777" w:rsidR="00DE156A" w:rsidRDefault="00DE156A"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3FD375B7"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57B497"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5B7C6CA" w14:textId="77777777" w:rsidR="00DE156A" w:rsidRDefault="00DE156A"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26522D98" w14:textId="77777777" w:rsidR="00DE156A" w:rsidRDefault="00DE156A" w:rsidP="005A3B4D">
            <w:pPr>
              <w:jc w:val="right"/>
              <w:rPr>
                <w:color w:val="000000"/>
                <w:sz w:val="20"/>
                <w:szCs w:val="20"/>
              </w:rPr>
            </w:pPr>
            <w:r>
              <w:rPr>
                <w:color w:val="000000"/>
                <w:sz w:val="20"/>
                <w:szCs w:val="20"/>
              </w:rPr>
              <w:t>0.000</w:t>
            </w:r>
          </w:p>
        </w:tc>
      </w:tr>
      <w:tr w:rsidR="00DE156A" w14:paraId="5761EF2C" w14:textId="77777777" w:rsidTr="005A3B4D">
        <w:trPr>
          <w:trHeight w:val="320"/>
        </w:trPr>
        <w:tc>
          <w:tcPr>
            <w:tcW w:w="1176" w:type="dxa"/>
            <w:tcBorders>
              <w:top w:val="nil"/>
              <w:left w:val="nil"/>
              <w:bottom w:val="nil"/>
              <w:right w:val="nil"/>
            </w:tcBorders>
            <w:shd w:val="clear" w:color="auto" w:fill="auto"/>
            <w:noWrap/>
            <w:vAlign w:val="bottom"/>
            <w:hideMark/>
          </w:tcPr>
          <w:p w14:paraId="11609445"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24C733"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AFAC8D8" w14:textId="77777777" w:rsidR="00DE156A" w:rsidRDefault="00DE156A"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41F7CDBA" w14:textId="77777777" w:rsidR="00DE156A" w:rsidRDefault="00DE156A" w:rsidP="005A3B4D">
            <w:pPr>
              <w:jc w:val="right"/>
              <w:rPr>
                <w:color w:val="000000"/>
                <w:sz w:val="20"/>
                <w:szCs w:val="20"/>
              </w:rPr>
            </w:pPr>
            <w:r>
              <w:rPr>
                <w:color w:val="000000"/>
                <w:sz w:val="20"/>
                <w:szCs w:val="20"/>
              </w:rPr>
              <w:t>0.748</w:t>
            </w:r>
          </w:p>
        </w:tc>
        <w:tc>
          <w:tcPr>
            <w:tcW w:w="768" w:type="dxa"/>
            <w:tcBorders>
              <w:top w:val="nil"/>
              <w:left w:val="nil"/>
              <w:bottom w:val="nil"/>
              <w:right w:val="nil"/>
            </w:tcBorders>
            <w:shd w:val="clear" w:color="auto" w:fill="auto"/>
            <w:noWrap/>
            <w:vAlign w:val="bottom"/>
            <w:hideMark/>
          </w:tcPr>
          <w:p w14:paraId="5A9C2871"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3C86905" w14:textId="77777777" w:rsidR="00DE156A" w:rsidRDefault="00DE156A"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A71A2DC" w14:textId="77777777" w:rsidR="00DE156A" w:rsidRDefault="00DE156A" w:rsidP="005A3B4D">
            <w:pPr>
              <w:jc w:val="right"/>
              <w:rPr>
                <w:color w:val="000000"/>
                <w:sz w:val="20"/>
                <w:szCs w:val="20"/>
              </w:rPr>
            </w:pPr>
            <w:r>
              <w:rPr>
                <w:color w:val="000000"/>
                <w:sz w:val="20"/>
                <w:szCs w:val="20"/>
              </w:rPr>
              <w:t>0.484</w:t>
            </w:r>
          </w:p>
        </w:tc>
        <w:tc>
          <w:tcPr>
            <w:tcW w:w="768" w:type="dxa"/>
            <w:tcBorders>
              <w:top w:val="nil"/>
              <w:left w:val="nil"/>
              <w:bottom w:val="nil"/>
              <w:right w:val="nil"/>
            </w:tcBorders>
            <w:shd w:val="clear" w:color="auto" w:fill="auto"/>
            <w:noWrap/>
            <w:vAlign w:val="bottom"/>
            <w:hideMark/>
          </w:tcPr>
          <w:p w14:paraId="648194AE"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31D158" w14:textId="77777777" w:rsidR="00DE156A" w:rsidRDefault="00DE156A"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438F9A8" w14:textId="77777777" w:rsidR="00DE156A" w:rsidRDefault="00DE156A" w:rsidP="005A3B4D">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58CE6FF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A9E040" w14:textId="77777777" w:rsidR="00DE156A" w:rsidRDefault="00DE156A"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A0CAD59" w14:textId="77777777" w:rsidR="00DE156A" w:rsidRDefault="00DE156A"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63630EB7"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A387C16" w14:textId="77777777" w:rsidR="00DE156A" w:rsidRDefault="00DE156A"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13FD50A1" w14:textId="77777777" w:rsidR="00DE156A" w:rsidRDefault="00DE156A" w:rsidP="005A3B4D">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780AF4E5" w14:textId="77777777" w:rsidR="00DE156A" w:rsidRDefault="00DE156A" w:rsidP="005A3B4D">
            <w:pPr>
              <w:jc w:val="right"/>
              <w:rPr>
                <w:color w:val="000000"/>
                <w:sz w:val="20"/>
                <w:szCs w:val="20"/>
              </w:rPr>
            </w:pPr>
            <w:r>
              <w:rPr>
                <w:color w:val="000000"/>
                <w:sz w:val="20"/>
                <w:szCs w:val="20"/>
              </w:rPr>
              <w:t>0.001</w:t>
            </w:r>
          </w:p>
        </w:tc>
      </w:tr>
      <w:tr w:rsidR="00DE156A" w14:paraId="71D747F4"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63216018"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2707541"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F4EEDBD" w14:textId="77777777" w:rsidR="00DE156A" w:rsidRDefault="00DE156A" w:rsidP="005A3B4D">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12037588" w14:textId="77777777" w:rsidR="00DE156A" w:rsidRDefault="00DE156A" w:rsidP="005A3B4D">
            <w:pPr>
              <w:jc w:val="right"/>
              <w:rPr>
                <w:color w:val="000000"/>
                <w:sz w:val="20"/>
                <w:szCs w:val="20"/>
              </w:rPr>
            </w:pPr>
            <w:r>
              <w:rPr>
                <w:color w:val="000000"/>
                <w:sz w:val="20"/>
                <w:szCs w:val="20"/>
              </w:rPr>
              <w:t>0.799</w:t>
            </w:r>
          </w:p>
        </w:tc>
        <w:tc>
          <w:tcPr>
            <w:tcW w:w="768" w:type="dxa"/>
            <w:tcBorders>
              <w:top w:val="nil"/>
              <w:left w:val="nil"/>
              <w:bottom w:val="single" w:sz="4" w:space="0" w:color="auto"/>
              <w:right w:val="nil"/>
            </w:tcBorders>
            <w:shd w:val="clear" w:color="auto" w:fill="auto"/>
            <w:noWrap/>
            <w:vAlign w:val="bottom"/>
            <w:hideMark/>
          </w:tcPr>
          <w:p w14:paraId="29C09E47"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D84C24A"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91E6913" w14:textId="77777777" w:rsidR="00DE156A" w:rsidRDefault="00DE156A" w:rsidP="005A3B4D">
            <w:pPr>
              <w:jc w:val="right"/>
              <w:rPr>
                <w:color w:val="000000"/>
                <w:sz w:val="20"/>
                <w:szCs w:val="20"/>
              </w:rPr>
            </w:pPr>
            <w:r>
              <w:rPr>
                <w:color w:val="000000"/>
                <w:sz w:val="20"/>
                <w:szCs w:val="20"/>
              </w:rPr>
              <w:t>0.960</w:t>
            </w:r>
          </w:p>
        </w:tc>
        <w:tc>
          <w:tcPr>
            <w:tcW w:w="768" w:type="dxa"/>
            <w:tcBorders>
              <w:top w:val="nil"/>
              <w:left w:val="nil"/>
              <w:bottom w:val="single" w:sz="4" w:space="0" w:color="auto"/>
              <w:right w:val="nil"/>
            </w:tcBorders>
            <w:shd w:val="clear" w:color="auto" w:fill="auto"/>
            <w:noWrap/>
            <w:vAlign w:val="bottom"/>
            <w:hideMark/>
          </w:tcPr>
          <w:p w14:paraId="2EB1CFB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67AD388"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6111F4C0" w14:textId="77777777" w:rsidR="00DE156A" w:rsidRDefault="00DE156A" w:rsidP="005A3B4D">
            <w:pPr>
              <w:jc w:val="right"/>
              <w:rPr>
                <w:color w:val="000000"/>
                <w:sz w:val="20"/>
                <w:szCs w:val="20"/>
              </w:rPr>
            </w:pPr>
            <w:r>
              <w:rPr>
                <w:color w:val="000000"/>
                <w:sz w:val="20"/>
                <w:szCs w:val="20"/>
              </w:rPr>
              <w:t>0.941</w:t>
            </w:r>
          </w:p>
        </w:tc>
        <w:tc>
          <w:tcPr>
            <w:tcW w:w="768" w:type="dxa"/>
            <w:tcBorders>
              <w:top w:val="nil"/>
              <w:left w:val="nil"/>
              <w:bottom w:val="single" w:sz="4" w:space="0" w:color="auto"/>
              <w:right w:val="nil"/>
            </w:tcBorders>
            <w:shd w:val="clear" w:color="auto" w:fill="auto"/>
            <w:noWrap/>
            <w:vAlign w:val="bottom"/>
            <w:hideMark/>
          </w:tcPr>
          <w:p w14:paraId="08E75CC5"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EDE9E13" w14:textId="77777777" w:rsidR="00DE156A" w:rsidRDefault="00DE156A" w:rsidP="005A3B4D">
            <w:pPr>
              <w:jc w:val="right"/>
              <w:rPr>
                <w:color w:val="000000"/>
                <w:sz w:val="20"/>
                <w:szCs w:val="20"/>
              </w:rPr>
            </w:pPr>
            <w:r>
              <w:rPr>
                <w:color w:val="000000"/>
                <w:sz w:val="20"/>
                <w:szCs w:val="20"/>
              </w:rPr>
              <w:t>-0.015</w:t>
            </w:r>
          </w:p>
        </w:tc>
        <w:tc>
          <w:tcPr>
            <w:tcW w:w="768" w:type="dxa"/>
            <w:tcBorders>
              <w:top w:val="nil"/>
              <w:left w:val="nil"/>
              <w:bottom w:val="single" w:sz="4" w:space="0" w:color="auto"/>
              <w:right w:val="nil"/>
            </w:tcBorders>
            <w:shd w:val="clear" w:color="auto" w:fill="auto"/>
            <w:noWrap/>
            <w:vAlign w:val="bottom"/>
            <w:hideMark/>
          </w:tcPr>
          <w:p w14:paraId="2D6314B2" w14:textId="77777777" w:rsidR="00DE156A" w:rsidRDefault="00DE156A" w:rsidP="005A3B4D">
            <w:pPr>
              <w:jc w:val="right"/>
              <w:rPr>
                <w:color w:val="000000"/>
                <w:sz w:val="20"/>
                <w:szCs w:val="20"/>
              </w:rPr>
            </w:pPr>
            <w:r>
              <w:rPr>
                <w:color w:val="000000"/>
                <w:sz w:val="20"/>
                <w:szCs w:val="20"/>
              </w:rPr>
              <w:t>0.914</w:t>
            </w:r>
          </w:p>
        </w:tc>
        <w:tc>
          <w:tcPr>
            <w:tcW w:w="768" w:type="dxa"/>
            <w:tcBorders>
              <w:top w:val="nil"/>
              <w:left w:val="nil"/>
              <w:bottom w:val="single" w:sz="4" w:space="0" w:color="auto"/>
              <w:right w:val="nil"/>
            </w:tcBorders>
            <w:shd w:val="clear" w:color="auto" w:fill="auto"/>
            <w:noWrap/>
            <w:vAlign w:val="bottom"/>
            <w:hideMark/>
          </w:tcPr>
          <w:p w14:paraId="4D1DC9A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ACEE9F6" w14:textId="77777777" w:rsidR="00DE156A" w:rsidRDefault="00DE156A" w:rsidP="005A3B4D">
            <w:pPr>
              <w:jc w:val="right"/>
              <w:rPr>
                <w:color w:val="000000"/>
                <w:sz w:val="20"/>
                <w:szCs w:val="20"/>
              </w:rPr>
            </w:pPr>
            <w:r>
              <w:rPr>
                <w:color w:val="000000"/>
                <w:sz w:val="20"/>
                <w:szCs w:val="20"/>
              </w:rPr>
              <w:t>0.044</w:t>
            </w:r>
          </w:p>
        </w:tc>
        <w:tc>
          <w:tcPr>
            <w:tcW w:w="768" w:type="dxa"/>
            <w:tcBorders>
              <w:top w:val="nil"/>
              <w:left w:val="nil"/>
              <w:bottom w:val="single" w:sz="4" w:space="0" w:color="auto"/>
              <w:right w:val="nil"/>
            </w:tcBorders>
            <w:shd w:val="clear" w:color="auto" w:fill="auto"/>
            <w:noWrap/>
            <w:vAlign w:val="bottom"/>
            <w:hideMark/>
          </w:tcPr>
          <w:p w14:paraId="3EF23C5D" w14:textId="77777777" w:rsidR="00DE156A" w:rsidRDefault="00DE156A" w:rsidP="005A3B4D">
            <w:pPr>
              <w:jc w:val="right"/>
              <w:rPr>
                <w:color w:val="000000"/>
                <w:sz w:val="20"/>
                <w:szCs w:val="20"/>
              </w:rPr>
            </w:pPr>
            <w:r>
              <w:rPr>
                <w:color w:val="000000"/>
                <w:sz w:val="20"/>
                <w:szCs w:val="20"/>
              </w:rPr>
              <w:t>0.764</w:t>
            </w:r>
          </w:p>
        </w:tc>
        <w:tc>
          <w:tcPr>
            <w:tcW w:w="768" w:type="dxa"/>
            <w:tcBorders>
              <w:top w:val="nil"/>
              <w:left w:val="nil"/>
              <w:bottom w:val="single" w:sz="4" w:space="0" w:color="auto"/>
              <w:right w:val="nil"/>
            </w:tcBorders>
            <w:shd w:val="clear" w:color="auto" w:fill="auto"/>
            <w:noWrap/>
            <w:vAlign w:val="bottom"/>
            <w:hideMark/>
          </w:tcPr>
          <w:p w14:paraId="6E0285E3" w14:textId="77777777" w:rsidR="00DE156A" w:rsidRDefault="00DE156A" w:rsidP="005A3B4D">
            <w:pPr>
              <w:jc w:val="right"/>
              <w:rPr>
                <w:color w:val="000000"/>
                <w:sz w:val="20"/>
                <w:szCs w:val="20"/>
              </w:rPr>
            </w:pPr>
            <w:r>
              <w:rPr>
                <w:color w:val="000000"/>
                <w:sz w:val="20"/>
                <w:szCs w:val="20"/>
              </w:rPr>
              <w:t>0.002</w:t>
            </w:r>
          </w:p>
        </w:tc>
      </w:tr>
      <w:tr w:rsidR="00DE156A" w14:paraId="2277FF47" w14:textId="77777777" w:rsidTr="005A3B4D">
        <w:trPr>
          <w:trHeight w:val="320"/>
        </w:trPr>
        <w:tc>
          <w:tcPr>
            <w:tcW w:w="1176" w:type="dxa"/>
            <w:tcBorders>
              <w:top w:val="nil"/>
              <w:left w:val="nil"/>
              <w:bottom w:val="nil"/>
              <w:right w:val="nil"/>
            </w:tcBorders>
            <w:shd w:val="clear" w:color="auto" w:fill="auto"/>
            <w:noWrap/>
            <w:vAlign w:val="bottom"/>
            <w:hideMark/>
          </w:tcPr>
          <w:p w14:paraId="6AF04A75" w14:textId="77777777" w:rsidR="00DE156A" w:rsidRDefault="00DE156A"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1F655D39" w14:textId="77777777" w:rsidR="00DE156A" w:rsidRDefault="00DE156A"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EB60AC8"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8C86189"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3A52BE87"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642154" w14:textId="77777777" w:rsidR="00DE156A" w:rsidRDefault="00DE156A"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35F56A8" w14:textId="77777777" w:rsidR="00DE156A" w:rsidRDefault="00DE156A" w:rsidP="005A3B4D">
            <w:pPr>
              <w:jc w:val="right"/>
              <w:rPr>
                <w:color w:val="000000"/>
                <w:sz w:val="20"/>
                <w:szCs w:val="20"/>
              </w:rPr>
            </w:pPr>
            <w:r>
              <w:rPr>
                <w:color w:val="000000"/>
                <w:sz w:val="20"/>
                <w:szCs w:val="20"/>
              </w:rPr>
              <w:t>0.651</w:t>
            </w:r>
          </w:p>
        </w:tc>
        <w:tc>
          <w:tcPr>
            <w:tcW w:w="768" w:type="dxa"/>
            <w:tcBorders>
              <w:top w:val="nil"/>
              <w:left w:val="nil"/>
              <w:bottom w:val="nil"/>
              <w:right w:val="nil"/>
            </w:tcBorders>
            <w:shd w:val="clear" w:color="auto" w:fill="auto"/>
            <w:noWrap/>
            <w:vAlign w:val="bottom"/>
            <w:hideMark/>
          </w:tcPr>
          <w:p w14:paraId="7B8C14EA"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0B4374" w14:textId="77777777" w:rsidR="00DE156A" w:rsidRDefault="00DE156A"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3278916" w14:textId="77777777" w:rsidR="00DE156A" w:rsidRDefault="00DE156A"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4EC309E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60A988" w14:textId="77777777" w:rsidR="00DE156A" w:rsidRDefault="00DE156A"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654977B" w14:textId="77777777" w:rsidR="00DE156A" w:rsidRDefault="00DE156A" w:rsidP="005A3B4D">
            <w:pPr>
              <w:jc w:val="right"/>
              <w:rPr>
                <w:color w:val="000000"/>
                <w:sz w:val="20"/>
                <w:szCs w:val="20"/>
              </w:rPr>
            </w:pPr>
            <w:r>
              <w:rPr>
                <w:color w:val="000000"/>
                <w:sz w:val="20"/>
                <w:szCs w:val="20"/>
              </w:rPr>
              <w:t>0.907</w:t>
            </w:r>
          </w:p>
        </w:tc>
        <w:tc>
          <w:tcPr>
            <w:tcW w:w="768" w:type="dxa"/>
            <w:tcBorders>
              <w:top w:val="nil"/>
              <w:left w:val="nil"/>
              <w:bottom w:val="nil"/>
              <w:right w:val="nil"/>
            </w:tcBorders>
            <w:shd w:val="clear" w:color="auto" w:fill="auto"/>
            <w:noWrap/>
            <w:vAlign w:val="bottom"/>
            <w:hideMark/>
          </w:tcPr>
          <w:p w14:paraId="664411B0"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677C21"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0911ED1C" w14:textId="77777777" w:rsidR="00DE156A" w:rsidRDefault="00DE156A" w:rsidP="005A3B4D">
            <w:pPr>
              <w:jc w:val="right"/>
              <w:rPr>
                <w:color w:val="000000"/>
                <w:sz w:val="20"/>
                <w:szCs w:val="20"/>
              </w:rPr>
            </w:pPr>
            <w:r>
              <w:rPr>
                <w:color w:val="000000"/>
                <w:sz w:val="20"/>
                <w:szCs w:val="20"/>
              </w:rPr>
              <w:t>0.867</w:t>
            </w:r>
          </w:p>
        </w:tc>
        <w:tc>
          <w:tcPr>
            <w:tcW w:w="768" w:type="dxa"/>
            <w:tcBorders>
              <w:top w:val="nil"/>
              <w:left w:val="nil"/>
              <w:bottom w:val="nil"/>
              <w:right w:val="nil"/>
            </w:tcBorders>
            <w:shd w:val="clear" w:color="auto" w:fill="auto"/>
            <w:noWrap/>
            <w:vAlign w:val="bottom"/>
            <w:hideMark/>
          </w:tcPr>
          <w:p w14:paraId="0FC20CF6" w14:textId="77777777" w:rsidR="00DE156A" w:rsidRDefault="00DE156A" w:rsidP="005A3B4D">
            <w:pPr>
              <w:jc w:val="right"/>
              <w:rPr>
                <w:color w:val="000000"/>
                <w:sz w:val="20"/>
                <w:szCs w:val="20"/>
              </w:rPr>
            </w:pPr>
            <w:r>
              <w:rPr>
                <w:color w:val="000000"/>
                <w:sz w:val="20"/>
                <w:szCs w:val="20"/>
              </w:rPr>
              <w:t>0.000</w:t>
            </w:r>
          </w:p>
        </w:tc>
      </w:tr>
      <w:tr w:rsidR="00DE156A" w14:paraId="3F111D01" w14:textId="77777777" w:rsidTr="005A3B4D">
        <w:trPr>
          <w:trHeight w:val="320"/>
        </w:trPr>
        <w:tc>
          <w:tcPr>
            <w:tcW w:w="1176" w:type="dxa"/>
            <w:tcBorders>
              <w:top w:val="nil"/>
              <w:left w:val="nil"/>
              <w:bottom w:val="nil"/>
              <w:right w:val="nil"/>
            </w:tcBorders>
            <w:shd w:val="clear" w:color="auto" w:fill="auto"/>
            <w:noWrap/>
            <w:vAlign w:val="bottom"/>
            <w:hideMark/>
          </w:tcPr>
          <w:p w14:paraId="70890C53"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AABB92" w14:textId="77777777" w:rsidR="00DE156A" w:rsidRDefault="00DE156A"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4EAADC6" w14:textId="77777777" w:rsidR="00DE156A" w:rsidRDefault="00DE156A"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A1967B0"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2BAB8DD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6D9F89" w14:textId="77777777" w:rsidR="00DE156A" w:rsidRDefault="00DE156A"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B8E4593" w14:textId="77777777" w:rsidR="00DE156A" w:rsidRDefault="00DE156A" w:rsidP="005A3B4D">
            <w:pPr>
              <w:jc w:val="right"/>
              <w:rPr>
                <w:color w:val="000000"/>
                <w:sz w:val="20"/>
                <w:szCs w:val="20"/>
              </w:rPr>
            </w:pPr>
            <w:r>
              <w:rPr>
                <w:color w:val="000000"/>
                <w:sz w:val="20"/>
                <w:szCs w:val="20"/>
              </w:rPr>
              <w:t>0.651</w:t>
            </w:r>
          </w:p>
        </w:tc>
        <w:tc>
          <w:tcPr>
            <w:tcW w:w="768" w:type="dxa"/>
            <w:tcBorders>
              <w:top w:val="nil"/>
              <w:left w:val="nil"/>
              <w:bottom w:val="nil"/>
              <w:right w:val="nil"/>
            </w:tcBorders>
            <w:shd w:val="clear" w:color="auto" w:fill="auto"/>
            <w:noWrap/>
            <w:vAlign w:val="bottom"/>
            <w:hideMark/>
          </w:tcPr>
          <w:p w14:paraId="7C100D83"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E35720" w14:textId="77777777" w:rsidR="00DE156A" w:rsidRDefault="00DE156A"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29215E8" w14:textId="77777777" w:rsidR="00DE156A" w:rsidRDefault="00DE156A"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795F305B"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CF1369"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A2882D4" w14:textId="77777777" w:rsidR="00DE156A" w:rsidRDefault="00DE156A"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0F2FD722"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95CFE35" w14:textId="77777777" w:rsidR="00DE156A" w:rsidRDefault="00DE156A" w:rsidP="005A3B4D">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3F90FC57" w14:textId="77777777" w:rsidR="00DE156A" w:rsidRDefault="00DE156A" w:rsidP="005A3B4D">
            <w:pPr>
              <w:jc w:val="right"/>
              <w:rPr>
                <w:color w:val="000000"/>
                <w:sz w:val="20"/>
                <w:szCs w:val="20"/>
              </w:rPr>
            </w:pPr>
            <w:r>
              <w:rPr>
                <w:color w:val="000000"/>
                <w:sz w:val="20"/>
                <w:szCs w:val="20"/>
              </w:rPr>
              <w:t>0.268</w:t>
            </w:r>
          </w:p>
        </w:tc>
        <w:tc>
          <w:tcPr>
            <w:tcW w:w="768" w:type="dxa"/>
            <w:tcBorders>
              <w:top w:val="nil"/>
              <w:left w:val="nil"/>
              <w:bottom w:val="nil"/>
              <w:right w:val="nil"/>
            </w:tcBorders>
            <w:shd w:val="clear" w:color="auto" w:fill="auto"/>
            <w:noWrap/>
            <w:vAlign w:val="bottom"/>
            <w:hideMark/>
          </w:tcPr>
          <w:p w14:paraId="382D5B37" w14:textId="77777777" w:rsidR="00DE156A" w:rsidRDefault="00DE156A" w:rsidP="005A3B4D">
            <w:pPr>
              <w:jc w:val="right"/>
              <w:rPr>
                <w:color w:val="000000"/>
                <w:sz w:val="20"/>
                <w:szCs w:val="20"/>
              </w:rPr>
            </w:pPr>
            <w:r>
              <w:rPr>
                <w:color w:val="000000"/>
                <w:sz w:val="20"/>
                <w:szCs w:val="20"/>
              </w:rPr>
              <w:t>0.006</w:t>
            </w:r>
          </w:p>
        </w:tc>
      </w:tr>
      <w:tr w:rsidR="00DE156A" w14:paraId="058AE504" w14:textId="77777777" w:rsidTr="005A3B4D">
        <w:trPr>
          <w:trHeight w:val="320"/>
        </w:trPr>
        <w:tc>
          <w:tcPr>
            <w:tcW w:w="1176" w:type="dxa"/>
            <w:tcBorders>
              <w:top w:val="nil"/>
              <w:left w:val="nil"/>
              <w:bottom w:val="nil"/>
              <w:right w:val="nil"/>
            </w:tcBorders>
            <w:shd w:val="clear" w:color="auto" w:fill="auto"/>
            <w:noWrap/>
            <w:vAlign w:val="bottom"/>
            <w:hideMark/>
          </w:tcPr>
          <w:p w14:paraId="0E9288E8"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69AE215" w14:textId="77777777" w:rsidR="00DE156A" w:rsidRDefault="00DE156A"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EE00324"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2E548CF"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0126E0AE"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861E85"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34DADB4" w14:textId="77777777" w:rsidR="00DE156A" w:rsidRDefault="00DE156A" w:rsidP="005A3B4D">
            <w:pPr>
              <w:jc w:val="right"/>
              <w:rPr>
                <w:color w:val="000000"/>
                <w:sz w:val="20"/>
                <w:szCs w:val="20"/>
              </w:rPr>
            </w:pPr>
            <w:r>
              <w:rPr>
                <w:color w:val="000000"/>
                <w:sz w:val="20"/>
                <w:szCs w:val="20"/>
              </w:rPr>
              <w:t>0.891</w:t>
            </w:r>
          </w:p>
        </w:tc>
        <w:tc>
          <w:tcPr>
            <w:tcW w:w="768" w:type="dxa"/>
            <w:tcBorders>
              <w:top w:val="nil"/>
              <w:left w:val="nil"/>
              <w:bottom w:val="nil"/>
              <w:right w:val="nil"/>
            </w:tcBorders>
            <w:shd w:val="clear" w:color="auto" w:fill="auto"/>
            <w:noWrap/>
            <w:vAlign w:val="bottom"/>
            <w:hideMark/>
          </w:tcPr>
          <w:p w14:paraId="060DD27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4F2339" w14:textId="77777777" w:rsidR="00DE156A" w:rsidRDefault="00DE156A"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06072A50" w14:textId="77777777" w:rsidR="00DE156A" w:rsidRDefault="00DE156A"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5BEEE20D"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630641"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FF3DD47" w14:textId="77777777" w:rsidR="00DE156A" w:rsidRDefault="00DE156A" w:rsidP="005A3B4D">
            <w:pPr>
              <w:jc w:val="right"/>
              <w:rPr>
                <w:color w:val="000000"/>
                <w:sz w:val="20"/>
                <w:szCs w:val="20"/>
              </w:rPr>
            </w:pPr>
            <w:r>
              <w:rPr>
                <w:color w:val="000000"/>
                <w:sz w:val="20"/>
                <w:szCs w:val="20"/>
              </w:rPr>
              <w:t>0.907</w:t>
            </w:r>
          </w:p>
        </w:tc>
        <w:tc>
          <w:tcPr>
            <w:tcW w:w="768" w:type="dxa"/>
            <w:tcBorders>
              <w:top w:val="nil"/>
              <w:left w:val="nil"/>
              <w:bottom w:val="nil"/>
              <w:right w:val="nil"/>
            </w:tcBorders>
            <w:shd w:val="clear" w:color="auto" w:fill="auto"/>
            <w:noWrap/>
            <w:vAlign w:val="bottom"/>
            <w:hideMark/>
          </w:tcPr>
          <w:p w14:paraId="597CDBC3"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07A20E"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0DE0C13D" w14:textId="77777777" w:rsidR="00DE156A" w:rsidRDefault="00DE156A" w:rsidP="005A3B4D">
            <w:pPr>
              <w:jc w:val="right"/>
              <w:rPr>
                <w:color w:val="000000"/>
                <w:sz w:val="20"/>
                <w:szCs w:val="20"/>
              </w:rPr>
            </w:pPr>
            <w:r>
              <w:rPr>
                <w:color w:val="000000"/>
                <w:sz w:val="20"/>
                <w:szCs w:val="20"/>
              </w:rPr>
              <w:t>0.556</w:t>
            </w:r>
          </w:p>
        </w:tc>
        <w:tc>
          <w:tcPr>
            <w:tcW w:w="768" w:type="dxa"/>
            <w:tcBorders>
              <w:top w:val="nil"/>
              <w:left w:val="nil"/>
              <w:bottom w:val="nil"/>
              <w:right w:val="nil"/>
            </w:tcBorders>
            <w:shd w:val="clear" w:color="auto" w:fill="auto"/>
            <w:noWrap/>
            <w:vAlign w:val="bottom"/>
            <w:hideMark/>
          </w:tcPr>
          <w:p w14:paraId="026205F3" w14:textId="77777777" w:rsidR="00DE156A" w:rsidRDefault="00DE156A" w:rsidP="005A3B4D">
            <w:pPr>
              <w:jc w:val="right"/>
              <w:rPr>
                <w:color w:val="000000"/>
                <w:sz w:val="20"/>
                <w:szCs w:val="20"/>
              </w:rPr>
            </w:pPr>
            <w:r>
              <w:rPr>
                <w:color w:val="000000"/>
                <w:sz w:val="20"/>
                <w:szCs w:val="20"/>
              </w:rPr>
              <w:t>0.002</w:t>
            </w:r>
          </w:p>
        </w:tc>
      </w:tr>
      <w:tr w:rsidR="00DE156A" w14:paraId="12CD0B18" w14:textId="77777777" w:rsidTr="005A3B4D">
        <w:trPr>
          <w:trHeight w:val="320"/>
        </w:trPr>
        <w:tc>
          <w:tcPr>
            <w:tcW w:w="1176" w:type="dxa"/>
            <w:tcBorders>
              <w:top w:val="nil"/>
              <w:left w:val="nil"/>
              <w:bottom w:val="nil"/>
              <w:right w:val="nil"/>
            </w:tcBorders>
            <w:shd w:val="clear" w:color="auto" w:fill="auto"/>
            <w:noWrap/>
            <w:vAlign w:val="bottom"/>
            <w:hideMark/>
          </w:tcPr>
          <w:p w14:paraId="3C80849A"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96BD09E" w14:textId="77777777" w:rsidR="00DE156A" w:rsidRDefault="00DE156A"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82F0F4C"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06A9E8B" w14:textId="77777777" w:rsidR="00DE156A" w:rsidRDefault="00DE156A" w:rsidP="005A3B4D">
            <w:pPr>
              <w:jc w:val="right"/>
              <w:rPr>
                <w:color w:val="000000"/>
                <w:sz w:val="20"/>
                <w:szCs w:val="20"/>
              </w:rPr>
            </w:pPr>
            <w:r>
              <w:rPr>
                <w:color w:val="000000"/>
                <w:sz w:val="20"/>
                <w:szCs w:val="20"/>
              </w:rPr>
              <w:t>0.981</w:t>
            </w:r>
          </w:p>
        </w:tc>
        <w:tc>
          <w:tcPr>
            <w:tcW w:w="768" w:type="dxa"/>
            <w:tcBorders>
              <w:top w:val="nil"/>
              <w:left w:val="nil"/>
              <w:bottom w:val="nil"/>
              <w:right w:val="nil"/>
            </w:tcBorders>
            <w:shd w:val="clear" w:color="auto" w:fill="auto"/>
            <w:noWrap/>
            <w:vAlign w:val="bottom"/>
            <w:hideMark/>
          </w:tcPr>
          <w:p w14:paraId="0550FC5D"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EE224D" w14:textId="77777777" w:rsidR="00DE156A" w:rsidRDefault="00DE156A"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0A6A562" w14:textId="77777777" w:rsidR="00DE156A" w:rsidRDefault="00DE156A" w:rsidP="005A3B4D">
            <w:pPr>
              <w:jc w:val="right"/>
              <w:rPr>
                <w:color w:val="000000"/>
                <w:sz w:val="20"/>
                <w:szCs w:val="20"/>
              </w:rPr>
            </w:pPr>
            <w:r>
              <w:rPr>
                <w:color w:val="000000"/>
                <w:sz w:val="20"/>
                <w:szCs w:val="20"/>
              </w:rPr>
              <w:t>0.651</w:t>
            </w:r>
          </w:p>
        </w:tc>
        <w:tc>
          <w:tcPr>
            <w:tcW w:w="768" w:type="dxa"/>
            <w:tcBorders>
              <w:top w:val="nil"/>
              <w:left w:val="nil"/>
              <w:bottom w:val="nil"/>
              <w:right w:val="nil"/>
            </w:tcBorders>
            <w:shd w:val="clear" w:color="auto" w:fill="auto"/>
            <w:noWrap/>
            <w:vAlign w:val="bottom"/>
            <w:hideMark/>
          </w:tcPr>
          <w:p w14:paraId="74239064"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674CD5" w14:textId="77777777" w:rsidR="00DE156A" w:rsidRDefault="00DE156A"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7CFB4EA2" w14:textId="77777777" w:rsidR="00DE156A" w:rsidRDefault="00DE156A"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50049316"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A8BA51B" w14:textId="77777777" w:rsidR="00DE156A" w:rsidRDefault="00DE156A" w:rsidP="005A3B4D">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3A49EF26" w14:textId="77777777" w:rsidR="00DE156A" w:rsidRDefault="00DE156A" w:rsidP="005A3B4D">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416865B0"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D11E575" w14:textId="77777777" w:rsidR="00DE156A" w:rsidRDefault="00DE156A" w:rsidP="005A3B4D">
            <w:pPr>
              <w:jc w:val="right"/>
              <w:rPr>
                <w:b/>
                <w:bCs/>
                <w:color w:val="000000"/>
                <w:sz w:val="20"/>
                <w:szCs w:val="20"/>
              </w:rPr>
            </w:pPr>
            <w:r>
              <w:rPr>
                <w:b/>
                <w:bCs/>
                <w:color w:val="000000"/>
                <w:sz w:val="20"/>
                <w:szCs w:val="20"/>
              </w:rPr>
              <w:t>0.130</w:t>
            </w:r>
          </w:p>
        </w:tc>
        <w:tc>
          <w:tcPr>
            <w:tcW w:w="768" w:type="dxa"/>
            <w:tcBorders>
              <w:top w:val="nil"/>
              <w:left w:val="nil"/>
              <w:bottom w:val="nil"/>
              <w:right w:val="nil"/>
            </w:tcBorders>
            <w:shd w:val="clear" w:color="auto" w:fill="auto"/>
            <w:noWrap/>
            <w:vAlign w:val="bottom"/>
            <w:hideMark/>
          </w:tcPr>
          <w:p w14:paraId="129C8F26" w14:textId="77777777" w:rsidR="00DE156A" w:rsidRDefault="00DE156A"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1B2C6FE3" w14:textId="77777777" w:rsidR="00DE156A" w:rsidRDefault="00DE156A" w:rsidP="005A3B4D">
            <w:pPr>
              <w:jc w:val="right"/>
              <w:rPr>
                <w:color w:val="000000"/>
                <w:sz w:val="20"/>
                <w:szCs w:val="20"/>
              </w:rPr>
            </w:pPr>
            <w:r>
              <w:rPr>
                <w:b/>
                <w:bCs/>
                <w:color w:val="000000"/>
                <w:sz w:val="20"/>
                <w:szCs w:val="20"/>
              </w:rPr>
              <w:t>0.017</w:t>
            </w:r>
          </w:p>
        </w:tc>
      </w:tr>
      <w:tr w:rsidR="00DE156A" w14:paraId="4F99DAA7" w14:textId="77777777" w:rsidTr="005A3B4D">
        <w:trPr>
          <w:trHeight w:val="320"/>
        </w:trPr>
        <w:tc>
          <w:tcPr>
            <w:tcW w:w="1176" w:type="dxa"/>
            <w:tcBorders>
              <w:top w:val="nil"/>
              <w:left w:val="nil"/>
              <w:bottom w:val="nil"/>
              <w:right w:val="nil"/>
            </w:tcBorders>
            <w:shd w:val="clear" w:color="auto" w:fill="auto"/>
            <w:noWrap/>
            <w:vAlign w:val="bottom"/>
            <w:hideMark/>
          </w:tcPr>
          <w:p w14:paraId="5F2F50F6"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41E4E1" w14:textId="77777777" w:rsidR="00DE156A" w:rsidRDefault="00DE156A"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BF65AB7" w14:textId="77777777" w:rsidR="00DE156A" w:rsidRDefault="00DE156A"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7502E330" w14:textId="77777777" w:rsidR="00DE156A" w:rsidRDefault="00DE156A"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0AD297EF"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C1B6A17" w14:textId="77777777" w:rsidR="00DE156A" w:rsidRDefault="00DE156A"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2C1CC05" w14:textId="77777777" w:rsidR="00DE156A" w:rsidRDefault="00DE156A" w:rsidP="005A3B4D">
            <w:pPr>
              <w:jc w:val="right"/>
              <w:rPr>
                <w:color w:val="000000"/>
                <w:sz w:val="20"/>
                <w:szCs w:val="20"/>
              </w:rPr>
            </w:pPr>
            <w:r>
              <w:rPr>
                <w:color w:val="000000"/>
                <w:sz w:val="20"/>
                <w:szCs w:val="20"/>
              </w:rPr>
              <w:t>0.651</w:t>
            </w:r>
          </w:p>
        </w:tc>
        <w:tc>
          <w:tcPr>
            <w:tcW w:w="768" w:type="dxa"/>
            <w:tcBorders>
              <w:top w:val="nil"/>
              <w:left w:val="nil"/>
              <w:bottom w:val="nil"/>
              <w:right w:val="nil"/>
            </w:tcBorders>
            <w:shd w:val="clear" w:color="auto" w:fill="auto"/>
            <w:noWrap/>
            <w:vAlign w:val="bottom"/>
            <w:hideMark/>
          </w:tcPr>
          <w:p w14:paraId="6FBCC995"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88E5D4E" w14:textId="77777777" w:rsidR="00DE156A" w:rsidRDefault="00DE156A"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89E3CB2" w14:textId="77777777" w:rsidR="00DE156A" w:rsidRDefault="00DE156A"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798B5DD0"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9AFD01" w14:textId="77777777" w:rsidR="00DE156A" w:rsidRDefault="00DE156A"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3EE906B9" w14:textId="77777777" w:rsidR="00DE156A" w:rsidRDefault="00DE156A"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0CB3CEB0"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0CE37E" w14:textId="77777777" w:rsidR="00DE156A" w:rsidRDefault="00DE156A"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E804366" w14:textId="77777777" w:rsidR="00DE156A" w:rsidRDefault="00DE156A" w:rsidP="005A3B4D">
            <w:pPr>
              <w:jc w:val="right"/>
              <w:rPr>
                <w:color w:val="000000"/>
                <w:sz w:val="20"/>
                <w:szCs w:val="20"/>
              </w:rPr>
            </w:pPr>
            <w:r>
              <w:rPr>
                <w:color w:val="000000"/>
                <w:sz w:val="20"/>
                <w:szCs w:val="20"/>
              </w:rPr>
              <w:t>0.867</w:t>
            </w:r>
          </w:p>
        </w:tc>
        <w:tc>
          <w:tcPr>
            <w:tcW w:w="768" w:type="dxa"/>
            <w:tcBorders>
              <w:top w:val="nil"/>
              <w:left w:val="nil"/>
              <w:bottom w:val="nil"/>
              <w:right w:val="nil"/>
            </w:tcBorders>
            <w:shd w:val="clear" w:color="auto" w:fill="auto"/>
            <w:noWrap/>
            <w:vAlign w:val="bottom"/>
            <w:hideMark/>
          </w:tcPr>
          <w:p w14:paraId="09A665BE" w14:textId="77777777" w:rsidR="00DE156A" w:rsidRDefault="00DE156A" w:rsidP="005A3B4D">
            <w:pPr>
              <w:jc w:val="right"/>
              <w:rPr>
                <w:color w:val="000000"/>
                <w:sz w:val="20"/>
                <w:szCs w:val="20"/>
              </w:rPr>
            </w:pPr>
            <w:r>
              <w:rPr>
                <w:color w:val="000000"/>
                <w:sz w:val="20"/>
                <w:szCs w:val="20"/>
              </w:rPr>
              <w:t>0.000</w:t>
            </w:r>
          </w:p>
        </w:tc>
      </w:tr>
      <w:tr w:rsidR="00DE156A" w14:paraId="52A1B8C4" w14:textId="77777777" w:rsidTr="005A3B4D">
        <w:trPr>
          <w:trHeight w:val="320"/>
        </w:trPr>
        <w:tc>
          <w:tcPr>
            <w:tcW w:w="1176" w:type="dxa"/>
            <w:tcBorders>
              <w:top w:val="nil"/>
              <w:left w:val="nil"/>
              <w:bottom w:val="nil"/>
              <w:right w:val="nil"/>
            </w:tcBorders>
            <w:shd w:val="clear" w:color="auto" w:fill="auto"/>
            <w:noWrap/>
            <w:vAlign w:val="bottom"/>
            <w:hideMark/>
          </w:tcPr>
          <w:p w14:paraId="5C660E16"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2373E87" w14:textId="77777777" w:rsidR="00DE156A" w:rsidRDefault="00DE156A"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C66A766" w14:textId="77777777" w:rsidR="00DE156A" w:rsidRDefault="00DE156A"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930AC2C" w14:textId="77777777" w:rsidR="00DE156A" w:rsidRDefault="00DE156A" w:rsidP="005A3B4D">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5B4A160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3D23E0" w14:textId="77777777" w:rsidR="00DE156A" w:rsidRDefault="00DE156A" w:rsidP="005A3B4D">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78962DD3" w14:textId="77777777" w:rsidR="00DE156A" w:rsidRDefault="00DE156A" w:rsidP="005A3B4D">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3468F59C" w14:textId="77777777" w:rsidR="00DE156A" w:rsidRDefault="00DE156A"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9A32230" w14:textId="77777777" w:rsidR="00DE156A" w:rsidRDefault="00DE156A"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2634DF9" w14:textId="77777777" w:rsidR="00DE156A" w:rsidRDefault="00DE156A"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76B32EA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12D89F"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0D3F14" w14:textId="77777777" w:rsidR="00DE156A" w:rsidRDefault="00DE156A" w:rsidP="005A3B4D">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3839AAA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54679E"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C17CC8D" w14:textId="77777777" w:rsidR="00DE156A" w:rsidRDefault="00DE156A" w:rsidP="005A3B4D">
            <w:pPr>
              <w:jc w:val="right"/>
              <w:rPr>
                <w:color w:val="000000"/>
                <w:sz w:val="20"/>
                <w:szCs w:val="20"/>
              </w:rPr>
            </w:pPr>
            <w:r>
              <w:rPr>
                <w:color w:val="000000"/>
                <w:sz w:val="20"/>
                <w:szCs w:val="20"/>
              </w:rPr>
              <w:t>0.867</w:t>
            </w:r>
          </w:p>
        </w:tc>
        <w:tc>
          <w:tcPr>
            <w:tcW w:w="768" w:type="dxa"/>
            <w:tcBorders>
              <w:top w:val="nil"/>
              <w:left w:val="nil"/>
              <w:bottom w:val="nil"/>
              <w:right w:val="nil"/>
            </w:tcBorders>
            <w:shd w:val="clear" w:color="auto" w:fill="auto"/>
            <w:noWrap/>
            <w:vAlign w:val="bottom"/>
            <w:hideMark/>
          </w:tcPr>
          <w:p w14:paraId="580F00E2" w14:textId="77777777" w:rsidR="00DE156A" w:rsidRDefault="00DE156A" w:rsidP="005A3B4D">
            <w:pPr>
              <w:jc w:val="right"/>
              <w:rPr>
                <w:color w:val="000000"/>
                <w:sz w:val="20"/>
                <w:szCs w:val="20"/>
              </w:rPr>
            </w:pPr>
            <w:r>
              <w:rPr>
                <w:color w:val="000000"/>
                <w:sz w:val="20"/>
                <w:szCs w:val="20"/>
              </w:rPr>
              <w:t>0.000</w:t>
            </w:r>
          </w:p>
        </w:tc>
      </w:tr>
      <w:tr w:rsidR="00DE156A" w14:paraId="3721319A" w14:textId="77777777" w:rsidTr="005A3B4D">
        <w:trPr>
          <w:trHeight w:val="320"/>
        </w:trPr>
        <w:tc>
          <w:tcPr>
            <w:tcW w:w="1176" w:type="dxa"/>
            <w:tcBorders>
              <w:top w:val="nil"/>
              <w:left w:val="nil"/>
              <w:bottom w:val="nil"/>
              <w:right w:val="nil"/>
            </w:tcBorders>
            <w:shd w:val="clear" w:color="auto" w:fill="auto"/>
            <w:noWrap/>
            <w:vAlign w:val="bottom"/>
            <w:hideMark/>
          </w:tcPr>
          <w:p w14:paraId="213A08CD" w14:textId="77777777" w:rsidR="00DE156A" w:rsidRDefault="00DE156A"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A7072E5" w14:textId="77777777" w:rsidR="00DE156A" w:rsidRDefault="00DE156A"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6F48D89" w14:textId="77777777" w:rsidR="00DE156A" w:rsidRDefault="00DE156A"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7EE6B282" w14:textId="77777777" w:rsidR="00DE156A" w:rsidRDefault="00DE156A" w:rsidP="005A3B4D">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735B1B16"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2B108F" w14:textId="77777777" w:rsidR="00DE156A" w:rsidRDefault="00DE156A"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426F146" w14:textId="77777777" w:rsidR="00DE156A" w:rsidRDefault="00DE156A"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7502F486"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6BC0AE" w14:textId="77777777" w:rsidR="00DE156A" w:rsidRDefault="00DE156A"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9CB7A65" w14:textId="77777777" w:rsidR="00DE156A" w:rsidRDefault="00DE156A" w:rsidP="005A3B4D">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0E2374D2"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456726" w14:textId="77777777" w:rsidR="00DE156A" w:rsidRDefault="00DE156A"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E92BB86" w14:textId="77777777" w:rsidR="00DE156A" w:rsidRDefault="00DE156A"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3E30EFA7"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66B527" w14:textId="77777777" w:rsidR="00DE156A" w:rsidRDefault="00DE156A"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D40910D" w14:textId="77777777" w:rsidR="00DE156A" w:rsidRDefault="00DE156A" w:rsidP="005A3B4D">
            <w:pPr>
              <w:jc w:val="right"/>
              <w:rPr>
                <w:color w:val="000000"/>
                <w:sz w:val="20"/>
                <w:szCs w:val="20"/>
              </w:rPr>
            </w:pPr>
            <w:r>
              <w:rPr>
                <w:color w:val="000000"/>
                <w:sz w:val="20"/>
                <w:szCs w:val="20"/>
              </w:rPr>
              <w:t>0.867</w:t>
            </w:r>
          </w:p>
        </w:tc>
        <w:tc>
          <w:tcPr>
            <w:tcW w:w="768" w:type="dxa"/>
            <w:tcBorders>
              <w:top w:val="nil"/>
              <w:left w:val="nil"/>
              <w:bottom w:val="nil"/>
              <w:right w:val="nil"/>
            </w:tcBorders>
            <w:shd w:val="clear" w:color="auto" w:fill="auto"/>
            <w:noWrap/>
            <w:vAlign w:val="bottom"/>
            <w:hideMark/>
          </w:tcPr>
          <w:p w14:paraId="1109918B" w14:textId="77777777" w:rsidR="00DE156A" w:rsidRDefault="00DE156A" w:rsidP="005A3B4D">
            <w:pPr>
              <w:jc w:val="right"/>
              <w:rPr>
                <w:color w:val="000000"/>
                <w:sz w:val="20"/>
                <w:szCs w:val="20"/>
              </w:rPr>
            </w:pPr>
            <w:r>
              <w:rPr>
                <w:color w:val="000000"/>
                <w:sz w:val="20"/>
                <w:szCs w:val="20"/>
              </w:rPr>
              <w:t>0.000</w:t>
            </w:r>
          </w:p>
        </w:tc>
      </w:tr>
      <w:tr w:rsidR="00DE156A" w14:paraId="379A1A0B"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0F78ABF4" w14:textId="77777777" w:rsidR="00DE156A" w:rsidRDefault="00DE156A"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23695C4D" w14:textId="77777777" w:rsidR="00DE156A" w:rsidRDefault="00DE156A"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1C06B357" w14:textId="77777777" w:rsidR="00DE156A" w:rsidRDefault="00DE156A" w:rsidP="005A3B4D">
            <w:pPr>
              <w:jc w:val="right"/>
              <w:rPr>
                <w:color w:val="000000"/>
                <w:sz w:val="20"/>
                <w:szCs w:val="20"/>
              </w:rPr>
            </w:pPr>
            <w:r>
              <w:rPr>
                <w:color w:val="000000"/>
                <w:sz w:val="20"/>
                <w:szCs w:val="20"/>
              </w:rPr>
              <w:t>0.045</w:t>
            </w:r>
          </w:p>
        </w:tc>
        <w:tc>
          <w:tcPr>
            <w:tcW w:w="768" w:type="dxa"/>
            <w:tcBorders>
              <w:top w:val="nil"/>
              <w:left w:val="nil"/>
              <w:bottom w:val="single" w:sz="12" w:space="0" w:color="auto"/>
              <w:right w:val="nil"/>
            </w:tcBorders>
            <w:shd w:val="clear" w:color="auto" w:fill="auto"/>
            <w:noWrap/>
            <w:vAlign w:val="bottom"/>
            <w:hideMark/>
          </w:tcPr>
          <w:p w14:paraId="481AE161" w14:textId="77777777" w:rsidR="00DE156A" w:rsidRDefault="00DE156A" w:rsidP="005A3B4D">
            <w:pPr>
              <w:jc w:val="right"/>
              <w:rPr>
                <w:color w:val="000000"/>
                <w:sz w:val="20"/>
                <w:szCs w:val="20"/>
              </w:rPr>
            </w:pPr>
            <w:r>
              <w:rPr>
                <w:color w:val="000000"/>
                <w:sz w:val="20"/>
                <w:szCs w:val="20"/>
              </w:rPr>
              <w:t>0.757</w:t>
            </w:r>
          </w:p>
        </w:tc>
        <w:tc>
          <w:tcPr>
            <w:tcW w:w="768" w:type="dxa"/>
            <w:tcBorders>
              <w:top w:val="nil"/>
              <w:left w:val="nil"/>
              <w:bottom w:val="single" w:sz="12" w:space="0" w:color="auto"/>
              <w:right w:val="nil"/>
            </w:tcBorders>
            <w:shd w:val="clear" w:color="auto" w:fill="auto"/>
            <w:noWrap/>
            <w:vAlign w:val="bottom"/>
            <w:hideMark/>
          </w:tcPr>
          <w:p w14:paraId="4A4518BC" w14:textId="77777777" w:rsidR="00DE156A" w:rsidRDefault="00DE156A"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57D2BD9C" w14:textId="77777777" w:rsidR="00DE156A" w:rsidRDefault="00DE156A" w:rsidP="005A3B4D">
            <w:pPr>
              <w:jc w:val="right"/>
              <w:rPr>
                <w:color w:val="000000"/>
                <w:sz w:val="20"/>
                <w:szCs w:val="20"/>
              </w:rPr>
            </w:pPr>
            <w:r>
              <w:rPr>
                <w:color w:val="000000"/>
                <w:sz w:val="20"/>
                <w:szCs w:val="20"/>
              </w:rPr>
              <w:t>-0.031</w:t>
            </w:r>
          </w:p>
        </w:tc>
        <w:tc>
          <w:tcPr>
            <w:tcW w:w="768" w:type="dxa"/>
            <w:tcBorders>
              <w:top w:val="nil"/>
              <w:left w:val="nil"/>
              <w:bottom w:val="single" w:sz="12" w:space="0" w:color="auto"/>
              <w:right w:val="nil"/>
            </w:tcBorders>
            <w:shd w:val="clear" w:color="auto" w:fill="auto"/>
            <w:noWrap/>
            <w:vAlign w:val="bottom"/>
            <w:hideMark/>
          </w:tcPr>
          <w:p w14:paraId="4AC0F74B" w14:textId="77777777" w:rsidR="00DE156A" w:rsidRDefault="00DE156A" w:rsidP="005A3B4D">
            <w:pPr>
              <w:jc w:val="right"/>
              <w:rPr>
                <w:color w:val="000000"/>
                <w:sz w:val="20"/>
                <w:szCs w:val="20"/>
              </w:rPr>
            </w:pPr>
            <w:r>
              <w:rPr>
                <w:color w:val="000000"/>
                <w:sz w:val="20"/>
                <w:szCs w:val="20"/>
              </w:rPr>
              <w:t>0.651</w:t>
            </w:r>
          </w:p>
        </w:tc>
        <w:tc>
          <w:tcPr>
            <w:tcW w:w="768" w:type="dxa"/>
            <w:tcBorders>
              <w:top w:val="nil"/>
              <w:left w:val="nil"/>
              <w:bottom w:val="single" w:sz="12" w:space="0" w:color="auto"/>
              <w:right w:val="nil"/>
            </w:tcBorders>
            <w:shd w:val="clear" w:color="auto" w:fill="auto"/>
            <w:noWrap/>
            <w:vAlign w:val="bottom"/>
            <w:hideMark/>
          </w:tcPr>
          <w:p w14:paraId="67DBC81E" w14:textId="77777777" w:rsidR="00DE156A" w:rsidRDefault="00DE156A"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759918DD" w14:textId="77777777" w:rsidR="00DE156A" w:rsidRDefault="00DE156A" w:rsidP="005A3B4D">
            <w:pPr>
              <w:jc w:val="right"/>
              <w:rPr>
                <w:color w:val="000000"/>
                <w:sz w:val="20"/>
                <w:szCs w:val="20"/>
              </w:rPr>
            </w:pPr>
            <w:r>
              <w:rPr>
                <w:color w:val="000000"/>
                <w:sz w:val="20"/>
                <w:szCs w:val="20"/>
              </w:rPr>
              <w:t>-0.015</w:t>
            </w:r>
          </w:p>
        </w:tc>
        <w:tc>
          <w:tcPr>
            <w:tcW w:w="768" w:type="dxa"/>
            <w:tcBorders>
              <w:top w:val="nil"/>
              <w:left w:val="nil"/>
              <w:bottom w:val="single" w:sz="12" w:space="0" w:color="auto"/>
              <w:right w:val="nil"/>
            </w:tcBorders>
            <w:shd w:val="clear" w:color="auto" w:fill="auto"/>
            <w:noWrap/>
            <w:vAlign w:val="bottom"/>
            <w:hideMark/>
          </w:tcPr>
          <w:p w14:paraId="0D5BBAB1" w14:textId="77777777" w:rsidR="00DE156A" w:rsidRDefault="00DE156A" w:rsidP="005A3B4D">
            <w:pPr>
              <w:jc w:val="right"/>
              <w:rPr>
                <w:color w:val="000000"/>
                <w:sz w:val="20"/>
                <w:szCs w:val="20"/>
              </w:rPr>
            </w:pPr>
            <w:r>
              <w:rPr>
                <w:color w:val="000000"/>
                <w:sz w:val="20"/>
                <w:szCs w:val="20"/>
              </w:rPr>
              <w:t>0.708</w:t>
            </w:r>
          </w:p>
        </w:tc>
        <w:tc>
          <w:tcPr>
            <w:tcW w:w="768" w:type="dxa"/>
            <w:tcBorders>
              <w:top w:val="nil"/>
              <w:left w:val="nil"/>
              <w:bottom w:val="single" w:sz="12" w:space="0" w:color="auto"/>
              <w:right w:val="nil"/>
            </w:tcBorders>
            <w:shd w:val="clear" w:color="auto" w:fill="auto"/>
            <w:noWrap/>
            <w:vAlign w:val="bottom"/>
            <w:hideMark/>
          </w:tcPr>
          <w:p w14:paraId="1315DB11"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881C895" w14:textId="77777777" w:rsidR="00DE156A" w:rsidRDefault="00DE156A" w:rsidP="005A3B4D">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35F8D8D1" w14:textId="77777777" w:rsidR="00DE156A" w:rsidRDefault="00DE156A" w:rsidP="005A3B4D">
            <w:pPr>
              <w:jc w:val="right"/>
              <w:rPr>
                <w:color w:val="000000"/>
                <w:sz w:val="20"/>
                <w:szCs w:val="20"/>
              </w:rPr>
            </w:pPr>
            <w:r>
              <w:rPr>
                <w:color w:val="000000"/>
                <w:sz w:val="20"/>
                <w:szCs w:val="20"/>
              </w:rPr>
              <w:t>0.907</w:t>
            </w:r>
          </w:p>
        </w:tc>
        <w:tc>
          <w:tcPr>
            <w:tcW w:w="768" w:type="dxa"/>
            <w:tcBorders>
              <w:top w:val="nil"/>
              <w:left w:val="nil"/>
              <w:bottom w:val="single" w:sz="12" w:space="0" w:color="auto"/>
              <w:right w:val="nil"/>
            </w:tcBorders>
            <w:shd w:val="clear" w:color="auto" w:fill="auto"/>
            <w:noWrap/>
            <w:vAlign w:val="bottom"/>
            <w:hideMark/>
          </w:tcPr>
          <w:p w14:paraId="26A297DA" w14:textId="77777777" w:rsidR="00DE156A" w:rsidRDefault="00DE156A"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6A85C70" w14:textId="77777777" w:rsidR="00DE156A" w:rsidRDefault="00DE156A" w:rsidP="005A3B4D">
            <w:pPr>
              <w:jc w:val="right"/>
              <w:rPr>
                <w:color w:val="000000"/>
                <w:sz w:val="20"/>
                <w:szCs w:val="20"/>
              </w:rPr>
            </w:pPr>
            <w:r>
              <w:rPr>
                <w:color w:val="000000"/>
                <w:sz w:val="20"/>
                <w:szCs w:val="20"/>
              </w:rPr>
              <w:t>0.067</w:t>
            </w:r>
          </w:p>
        </w:tc>
        <w:tc>
          <w:tcPr>
            <w:tcW w:w="768" w:type="dxa"/>
            <w:tcBorders>
              <w:top w:val="nil"/>
              <w:left w:val="nil"/>
              <w:bottom w:val="single" w:sz="12" w:space="0" w:color="auto"/>
              <w:right w:val="nil"/>
            </w:tcBorders>
            <w:shd w:val="clear" w:color="auto" w:fill="auto"/>
            <w:noWrap/>
            <w:vAlign w:val="bottom"/>
            <w:hideMark/>
          </w:tcPr>
          <w:p w14:paraId="43EF1126" w14:textId="77777777" w:rsidR="00DE156A" w:rsidRDefault="00DE156A" w:rsidP="005A3B4D">
            <w:pPr>
              <w:jc w:val="right"/>
              <w:rPr>
                <w:color w:val="000000"/>
                <w:sz w:val="20"/>
                <w:szCs w:val="20"/>
              </w:rPr>
            </w:pPr>
            <w:r>
              <w:rPr>
                <w:color w:val="000000"/>
                <w:sz w:val="20"/>
                <w:szCs w:val="20"/>
              </w:rPr>
              <w:t>0.333</w:t>
            </w:r>
          </w:p>
        </w:tc>
        <w:tc>
          <w:tcPr>
            <w:tcW w:w="768" w:type="dxa"/>
            <w:tcBorders>
              <w:top w:val="nil"/>
              <w:left w:val="nil"/>
              <w:bottom w:val="single" w:sz="12" w:space="0" w:color="auto"/>
              <w:right w:val="nil"/>
            </w:tcBorders>
            <w:shd w:val="clear" w:color="auto" w:fill="auto"/>
            <w:noWrap/>
            <w:vAlign w:val="bottom"/>
            <w:hideMark/>
          </w:tcPr>
          <w:p w14:paraId="4571BE30" w14:textId="77777777" w:rsidR="00DE156A" w:rsidRDefault="00DE156A" w:rsidP="005A3B4D">
            <w:pPr>
              <w:jc w:val="right"/>
              <w:rPr>
                <w:color w:val="000000"/>
                <w:sz w:val="20"/>
                <w:szCs w:val="20"/>
              </w:rPr>
            </w:pPr>
            <w:r>
              <w:rPr>
                <w:color w:val="000000"/>
                <w:sz w:val="20"/>
                <w:szCs w:val="20"/>
              </w:rPr>
              <w:t>0.004</w:t>
            </w:r>
          </w:p>
        </w:tc>
      </w:tr>
      <w:tr w:rsidR="00DE156A" w14:paraId="74376F95"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2DE5F356" w14:textId="77777777" w:rsidR="00DE156A" w:rsidRDefault="00DE156A"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69B4EDD3" w14:textId="77777777" w:rsidR="00DE156A" w:rsidRDefault="00DE156A"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5D14B1B6"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DF268D5"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7ACABCA"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6473A54"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595691B"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FEDFA51"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7A8B02C"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D7B4B0B"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DFAD4A3"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ABC63C7"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84CBF15"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34B50C9"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B6705CA"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A55D6E5" w14:textId="77777777" w:rsidR="00DE156A" w:rsidRDefault="00DE156A"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21F818" w14:textId="77777777" w:rsidR="00DE156A" w:rsidRDefault="00DE156A" w:rsidP="005A3B4D">
            <w:pPr>
              <w:rPr>
                <w:sz w:val="20"/>
                <w:szCs w:val="20"/>
              </w:rPr>
            </w:pPr>
          </w:p>
        </w:tc>
      </w:tr>
    </w:tbl>
    <w:p w14:paraId="0DC0902F" w14:textId="77777777" w:rsidR="00DE156A" w:rsidRDefault="00DE156A" w:rsidP="00DE156A">
      <w:pPr>
        <w:spacing w:line="480" w:lineRule="auto"/>
      </w:pPr>
    </w:p>
    <w:p w14:paraId="2F6801AA" w14:textId="77777777" w:rsidR="00DE156A" w:rsidRDefault="00DE156A" w:rsidP="00DE156A">
      <w:r>
        <w:br w:type="page"/>
      </w:r>
    </w:p>
    <w:p w14:paraId="60B2AA7C" w14:textId="74BF8F84" w:rsidR="00966A65" w:rsidRPr="009E2A20" w:rsidRDefault="00432B71" w:rsidP="009E2A20">
      <w:pPr>
        <w:pStyle w:val="Heading1"/>
        <w:rPr>
          <w:rFonts w:ascii="Times New Roman" w:hAnsi="Times New Roman" w:cs="Times New Roman"/>
          <w:color w:val="000000" w:themeColor="text1"/>
          <w:sz w:val="24"/>
          <w:szCs w:val="24"/>
        </w:rPr>
      </w:pPr>
      <w:bookmarkStart w:id="36" w:name="_Toc155817703"/>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DE156A">
        <w:rPr>
          <w:rFonts w:ascii="Times New Roman" w:hAnsi="Times New Roman" w:cs="Times New Roman"/>
          <w:b/>
          <w:bCs/>
          <w:color w:val="000000" w:themeColor="text1"/>
          <w:sz w:val="24"/>
          <w:szCs w:val="24"/>
        </w:rPr>
        <w:t>3</w:t>
      </w:r>
      <w:r w:rsidR="00966A65" w:rsidRPr="009E2A20">
        <w:rPr>
          <w:rFonts w:ascii="Times New Roman" w:hAnsi="Times New Roman" w:cs="Times New Roman"/>
          <w:b/>
          <w:bCs/>
          <w:color w:val="000000" w:themeColor="text1"/>
          <w:sz w:val="24"/>
          <w:szCs w:val="24"/>
        </w:rPr>
        <w:t xml:space="preserve">a. </w:t>
      </w:r>
      <w:r w:rsidR="00966A65" w:rsidRPr="009E2A20">
        <w:rPr>
          <w:rFonts w:ascii="Times New Roman" w:hAnsi="Times New Roman" w:cs="Times New Roman"/>
          <w:color w:val="000000" w:themeColor="text1"/>
          <w:sz w:val="24"/>
          <w:szCs w:val="24"/>
        </w:rPr>
        <w:t>Results examining the relationship between environmental stress factors obtained from bifactor modeling and Shen-268 network diameter during the monetary incentive delay task</w:t>
      </w:r>
      <w:bookmarkEnd w:id="36"/>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22212F" w14:paraId="718E568A"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05A267E5" w14:textId="77777777" w:rsidR="0022212F" w:rsidRDefault="0022212F">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42787822" w14:textId="77777777" w:rsidR="0022212F" w:rsidRDefault="0022212F">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22A5962E" w14:textId="77777777" w:rsidR="0022212F" w:rsidRDefault="0022212F">
            <w:pPr>
              <w:rPr>
                <w:color w:val="000000"/>
              </w:rPr>
            </w:pPr>
          </w:p>
        </w:tc>
        <w:tc>
          <w:tcPr>
            <w:tcW w:w="768" w:type="dxa"/>
            <w:tcBorders>
              <w:top w:val="nil"/>
              <w:left w:val="nil"/>
              <w:bottom w:val="single" w:sz="12" w:space="0" w:color="auto"/>
              <w:right w:val="nil"/>
            </w:tcBorders>
            <w:shd w:val="clear" w:color="auto" w:fill="auto"/>
            <w:noWrap/>
            <w:vAlign w:val="bottom"/>
            <w:hideMark/>
          </w:tcPr>
          <w:p w14:paraId="457F36C8"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C6568DA"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9745701"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F3A72BE"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050B167"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2B26FBE"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275B620"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8D8A4E5"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A3AB2AB"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8E51CEB"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8933233"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1F9854C"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C7BAC58" w14:textId="77777777" w:rsidR="0022212F" w:rsidRDefault="0022212F">
            <w:pPr>
              <w:rPr>
                <w:sz w:val="20"/>
                <w:szCs w:val="20"/>
              </w:rPr>
            </w:pPr>
          </w:p>
        </w:tc>
        <w:tc>
          <w:tcPr>
            <w:tcW w:w="768" w:type="dxa"/>
            <w:tcBorders>
              <w:top w:val="nil"/>
              <w:left w:val="nil"/>
              <w:bottom w:val="nil"/>
              <w:right w:val="nil"/>
            </w:tcBorders>
            <w:shd w:val="clear" w:color="auto" w:fill="auto"/>
            <w:noWrap/>
            <w:vAlign w:val="bottom"/>
            <w:hideMark/>
          </w:tcPr>
          <w:p w14:paraId="6F8F8FD8" w14:textId="77777777" w:rsidR="0022212F" w:rsidRDefault="0022212F">
            <w:pPr>
              <w:rPr>
                <w:sz w:val="20"/>
                <w:szCs w:val="20"/>
              </w:rPr>
            </w:pPr>
          </w:p>
        </w:tc>
      </w:tr>
      <w:tr w:rsidR="0022212F" w14:paraId="1FEB3DEC" w14:textId="77777777" w:rsidTr="00964DCF">
        <w:trPr>
          <w:trHeight w:val="340"/>
        </w:trPr>
        <w:tc>
          <w:tcPr>
            <w:tcW w:w="1176" w:type="dxa"/>
            <w:tcBorders>
              <w:top w:val="single" w:sz="12" w:space="0" w:color="auto"/>
              <w:left w:val="nil"/>
              <w:bottom w:val="nil"/>
              <w:right w:val="nil"/>
            </w:tcBorders>
            <w:shd w:val="clear" w:color="auto" w:fill="auto"/>
            <w:noWrap/>
            <w:vAlign w:val="bottom"/>
            <w:hideMark/>
          </w:tcPr>
          <w:p w14:paraId="7C9ADCBF" w14:textId="77777777" w:rsidR="0022212F" w:rsidRDefault="0022212F">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5C138BE3" w14:textId="77777777" w:rsidR="0022212F" w:rsidRDefault="0022212F">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74EA7115" w14:textId="039E74C2" w:rsidR="0022212F" w:rsidRDefault="0022212F">
            <w:pPr>
              <w:jc w:val="center"/>
              <w:rPr>
                <w:color w:val="000000"/>
                <w:sz w:val="20"/>
                <w:szCs w:val="20"/>
              </w:rPr>
            </w:pPr>
            <w:r>
              <w:rPr>
                <w:color w:val="000000"/>
                <w:sz w:val="20"/>
                <w:szCs w:val="20"/>
              </w:rPr>
              <w:t>General</w:t>
            </w:r>
            <w:r w:rsidR="009E6B6D">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10128DD" w14:textId="77777777" w:rsidR="0022212F" w:rsidRDefault="0022212F">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4899868" w14:textId="77777777" w:rsidR="0022212F" w:rsidRDefault="0022212F">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DA87366" w14:textId="77777777" w:rsidR="0022212F" w:rsidRDefault="0022212F">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325FCA93" w14:textId="77777777" w:rsidR="0022212F" w:rsidRDefault="0022212F">
            <w:pPr>
              <w:jc w:val="center"/>
              <w:rPr>
                <w:color w:val="000000"/>
                <w:sz w:val="20"/>
                <w:szCs w:val="20"/>
              </w:rPr>
            </w:pPr>
            <w:r>
              <w:rPr>
                <w:color w:val="000000"/>
                <w:sz w:val="20"/>
                <w:szCs w:val="20"/>
              </w:rPr>
              <w:t>Urbanicity</w:t>
            </w:r>
          </w:p>
        </w:tc>
      </w:tr>
      <w:tr w:rsidR="002125FE" w14:paraId="412EF849" w14:textId="77777777" w:rsidTr="00964DCF">
        <w:trPr>
          <w:trHeight w:val="360"/>
        </w:trPr>
        <w:tc>
          <w:tcPr>
            <w:tcW w:w="1176" w:type="dxa"/>
            <w:tcBorders>
              <w:top w:val="nil"/>
              <w:left w:val="nil"/>
              <w:bottom w:val="single" w:sz="12" w:space="0" w:color="auto"/>
              <w:right w:val="nil"/>
            </w:tcBorders>
            <w:shd w:val="clear" w:color="auto" w:fill="auto"/>
            <w:noWrap/>
            <w:vAlign w:val="bottom"/>
            <w:hideMark/>
          </w:tcPr>
          <w:p w14:paraId="1EB35C61"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61EBC051"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2C3DBD6B" w14:textId="7E345386"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7986B1D" w14:textId="6087AD42"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D522F0D" w14:textId="500EB71C"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4E3AE56" w14:textId="5F9389DB"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DA3DDF3" w14:textId="74077D12"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286A2C6" w14:textId="5E561E5D"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21F4432" w14:textId="28D7B552"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48809D5" w14:textId="091E0131"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11EDF7CA" w14:textId="5F207935"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7147B7D4" w14:textId="7BD6E03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676429BD" w14:textId="332A8AE3"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08A21CE4" w14:textId="021F0301"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E3B1984" w14:textId="7AC2FD59"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C4EA9C1" w14:textId="780A8B6C"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0D331ED" w14:textId="4793B1F5"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B23446" w14:paraId="3E8B7A64"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41F7E249" w14:textId="77777777" w:rsidR="00B23446" w:rsidRDefault="00B23446" w:rsidP="00B23446">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5DB0E0B0" w14:textId="77777777" w:rsidR="00B23446" w:rsidRDefault="00B23446" w:rsidP="00B23446">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65A8956E" w14:textId="290D571D" w:rsidR="00B23446" w:rsidRDefault="00B23446" w:rsidP="00B23446">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0F798078" w14:textId="76870694" w:rsidR="00B23446" w:rsidRDefault="00B23446" w:rsidP="00B23446">
            <w:pPr>
              <w:jc w:val="right"/>
              <w:rPr>
                <w:color w:val="000000"/>
                <w:sz w:val="20"/>
                <w:szCs w:val="20"/>
              </w:rPr>
            </w:pPr>
            <w:r>
              <w:rPr>
                <w:color w:val="000000"/>
                <w:sz w:val="20"/>
                <w:szCs w:val="20"/>
              </w:rPr>
              <w:t>0.817</w:t>
            </w:r>
          </w:p>
        </w:tc>
        <w:tc>
          <w:tcPr>
            <w:tcW w:w="768" w:type="dxa"/>
            <w:tcBorders>
              <w:top w:val="single" w:sz="12" w:space="0" w:color="auto"/>
              <w:left w:val="nil"/>
              <w:bottom w:val="nil"/>
              <w:right w:val="nil"/>
            </w:tcBorders>
            <w:shd w:val="clear" w:color="auto" w:fill="auto"/>
            <w:noWrap/>
            <w:vAlign w:val="bottom"/>
            <w:hideMark/>
          </w:tcPr>
          <w:p w14:paraId="43423776" w14:textId="656FF500"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E5688BA" w14:textId="6FED0F3B" w:rsidR="00B23446" w:rsidRDefault="00B23446" w:rsidP="00B23446">
            <w:pPr>
              <w:jc w:val="right"/>
              <w:rPr>
                <w:color w:val="000000"/>
                <w:sz w:val="20"/>
                <w:szCs w:val="20"/>
              </w:rPr>
            </w:pPr>
            <w:r>
              <w:rPr>
                <w:color w:val="000000"/>
                <w:sz w:val="20"/>
                <w:szCs w:val="20"/>
              </w:rPr>
              <w:t>-0.039</w:t>
            </w:r>
          </w:p>
        </w:tc>
        <w:tc>
          <w:tcPr>
            <w:tcW w:w="768" w:type="dxa"/>
            <w:tcBorders>
              <w:top w:val="single" w:sz="12" w:space="0" w:color="auto"/>
              <w:left w:val="nil"/>
              <w:bottom w:val="nil"/>
              <w:right w:val="nil"/>
            </w:tcBorders>
            <w:shd w:val="clear" w:color="auto" w:fill="auto"/>
            <w:noWrap/>
            <w:vAlign w:val="bottom"/>
            <w:hideMark/>
          </w:tcPr>
          <w:p w14:paraId="38C81FC3" w14:textId="43B6DD9E" w:rsidR="00B23446" w:rsidRDefault="00B23446" w:rsidP="00B23446">
            <w:pPr>
              <w:jc w:val="right"/>
              <w:rPr>
                <w:color w:val="000000"/>
                <w:sz w:val="20"/>
                <w:szCs w:val="20"/>
              </w:rPr>
            </w:pPr>
            <w:r>
              <w:rPr>
                <w:color w:val="000000"/>
                <w:sz w:val="20"/>
                <w:szCs w:val="20"/>
              </w:rPr>
              <w:t>0.924</w:t>
            </w:r>
          </w:p>
        </w:tc>
        <w:tc>
          <w:tcPr>
            <w:tcW w:w="768" w:type="dxa"/>
            <w:tcBorders>
              <w:top w:val="single" w:sz="12" w:space="0" w:color="auto"/>
              <w:left w:val="nil"/>
              <w:bottom w:val="nil"/>
              <w:right w:val="nil"/>
            </w:tcBorders>
            <w:shd w:val="clear" w:color="auto" w:fill="auto"/>
            <w:noWrap/>
            <w:vAlign w:val="bottom"/>
            <w:hideMark/>
          </w:tcPr>
          <w:p w14:paraId="70774DA9" w14:textId="72AB7F9F" w:rsidR="00B23446" w:rsidRDefault="00B23446" w:rsidP="00B23446">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2BEB33B9" w14:textId="5456FE99" w:rsidR="00B23446" w:rsidRDefault="00B23446" w:rsidP="00B23446">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792C0643" w14:textId="3CD27EE1" w:rsidR="00B23446" w:rsidRDefault="00B23446" w:rsidP="00B23446">
            <w:pPr>
              <w:jc w:val="right"/>
              <w:rPr>
                <w:color w:val="000000"/>
                <w:sz w:val="20"/>
                <w:szCs w:val="20"/>
              </w:rPr>
            </w:pPr>
            <w:r>
              <w:rPr>
                <w:color w:val="000000"/>
                <w:sz w:val="20"/>
                <w:szCs w:val="20"/>
              </w:rPr>
              <w:t>0.831</w:t>
            </w:r>
          </w:p>
        </w:tc>
        <w:tc>
          <w:tcPr>
            <w:tcW w:w="768" w:type="dxa"/>
            <w:tcBorders>
              <w:top w:val="single" w:sz="12" w:space="0" w:color="auto"/>
              <w:left w:val="nil"/>
              <w:bottom w:val="nil"/>
              <w:right w:val="nil"/>
            </w:tcBorders>
            <w:shd w:val="clear" w:color="auto" w:fill="auto"/>
            <w:noWrap/>
            <w:vAlign w:val="bottom"/>
            <w:hideMark/>
          </w:tcPr>
          <w:p w14:paraId="28F9322D" w14:textId="0C355917"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B06A94F" w14:textId="37B5314E" w:rsidR="00B23446" w:rsidRDefault="00B23446" w:rsidP="00B23446">
            <w:pPr>
              <w:jc w:val="right"/>
              <w:rPr>
                <w:color w:val="000000"/>
                <w:sz w:val="20"/>
                <w:szCs w:val="20"/>
              </w:rPr>
            </w:pPr>
            <w:r>
              <w:rPr>
                <w:color w:val="000000"/>
                <w:sz w:val="20"/>
                <w:szCs w:val="20"/>
              </w:rPr>
              <w:t>-0.077</w:t>
            </w:r>
          </w:p>
        </w:tc>
        <w:tc>
          <w:tcPr>
            <w:tcW w:w="768" w:type="dxa"/>
            <w:tcBorders>
              <w:top w:val="single" w:sz="12" w:space="0" w:color="auto"/>
              <w:left w:val="nil"/>
              <w:bottom w:val="nil"/>
              <w:right w:val="nil"/>
            </w:tcBorders>
            <w:shd w:val="clear" w:color="auto" w:fill="auto"/>
            <w:noWrap/>
            <w:vAlign w:val="bottom"/>
            <w:hideMark/>
          </w:tcPr>
          <w:p w14:paraId="499A280C" w14:textId="2A881866" w:rsidR="00B23446" w:rsidRDefault="00B23446" w:rsidP="00B23446">
            <w:pPr>
              <w:jc w:val="right"/>
              <w:rPr>
                <w:color w:val="000000"/>
                <w:sz w:val="20"/>
                <w:szCs w:val="20"/>
              </w:rPr>
            </w:pPr>
            <w:r>
              <w:rPr>
                <w:color w:val="000000"/>
                <w:sz w:val="20"/>
                <w:szCs w:val="20"/>
              </w:rPr>
              <w:t>0.224</w:t>
            </w:r>
          </w:p>
        </w:tc>
        <w:tc>
          <w:tcPr>
            <w:tcW w:w="768" w:type="dxa"/>
            <w:tcBorders>
              <w:top w:val="single" w:sz="12" w:space="0" w:color="auto"/>
              <w:left w:val="nil"/>
              <w:bottom w:val="nil"/>
              <w:right w:val="nil"/>
            </w:tcBorders>
            <w:shd w:val="clear" w:color="auto" w:fill="auto"/>
            <w:noWrap/>
            <w:vAlign w:val="bottom"/>
            <w:hideMark/>
          </w:tcPr>
          <w:p w14:paraId="39FF2103" w14:textId="654334AD" w:rsidR="00B23446" w:rsidRDefault="00B23446" w:rsidP="00B23446">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0BA242F7" w14:textId="272A5832" w:rsidR="00B23446" w:rsidRDefault="00B23446" w:rsidP="00B23446">
            <w:pPr>
              <w:jc w:val="right"/>
              <w:rPr>
                <w:color w:val="000000"/>
                <w:sz w:val="20"/>
                <w:szCs w:val="20"/>
              </w:rPr>
            </w:pPr>
            <w:r>
              <w:rPr>
                <w:color w:val="000000"/>
                <w:sz w:val="20"/>
                <w:szCs w:val="20"/>
              </w:rPr>
              <w:t>0.082</w:t>
            </w:r>
          </w:p>
        </w:tc>
        <w:tc>
          <w:tcPr>
            <w:tcW w:w="768" w:type="dxa"/>
            <w:tcBorders>
              <w:top w:val="single" w:sz="12" w:space="0" w:color="auto"/>
              <w:left w:val="nil"/>
              <w:bottom w:val="nil"/>
              <w:right w:val="nil"/>
            </w:tcBorders>
            <w:shd w:val="clear" w:color="auto" w:fill="auto"/>
            <w:noWrap/>
            <w:vAlign w:val="bottom"/>
            <w:hideMark/>
          </w:tcPr>
          <w:p w14:paraId="6AEFAD28" w14:textId="1D347C07" w:rsidR="00B23446" w:rsidRDefault="00B23446" w:rsidP="00B23446">
            <w:pPr>
              <w:jc w:val="right"/>
              <w:rPr>
                <w:color w:val="000000"/>
                <w:sz w:val="20"/>
                <w:szCs w:val="20"/>
              </w:rPr>
            </w:pPr>
            <w:r>
              <w:rPr>
                <w:color w:val="000000"/>
                <w:sz w:val="20"/>
                <w:szCs w:val="20"/>
              </w:rPr>
              <w:t>0.224</w:t>
            </w:r>
          </w:p>
        </w:tc>
        <w:tc>
          <w:tcPr>
            <w:tcW w:w="768" w:type="dxa"/>
            <w:tcBorders>
              <w:top w:val="single" w:sz="12" w:space="0" w:color="auto"/>
              <w:left w:val="nil"/>
              <w:bottom w:val="nil"/>
              <w:right w:val="nil"/>
            </w:tcBorders>
            <w:shd w:val="clear" w:color="auto" w:fill="auto"/>
            <w:noWrap/>
            <w:vAlign w:val="bottom"/>
            <w:hideMark/>
          </w:tcPr>
          <w:p w14:paraId="07D2D6EA" w14:textId="2C4AA21C" w:rsidR="00B23446" w:rsidRDefault="00B23446" w:rsidP="00B23446">
            <w:pPr>
              <w:jc w:val="right"/>
              <w:rPr>
                <w:color w:val="000000"/>
                <w:sz w:val="20"/>
                <w:szCs w:val="20"/>
              </w:rPr>
            </w:pPr>
            <w:r>
              <w:rPr>
                <w:color w:val="000000"/>
                <w:sz w:val="20"/>
                <w:szCs w:val="20"/>
              </w:rPr>
              <w:t>0.007</w:t>
            </w:r>
          </w:p>
        </w:tc>
      </w:tr>
      <w:tr w:rsidR="00B23446" w14:paraId="3C7762AA" w14:textId="77777777" w:rsidTr="0022212F">
        <w:trPr>
          <w:trHeight w:val="340"/>
        </w:trPr>
        <w:tc>
          <w:tcPr>
            <w:tcW w:w="1176" w:type="dxa"/>
            <w:tcBorders>
              <w:top w:val="nil"/>
              <w:left w:val="nil"/>
              <w:bottom w:val="nil"/>
              <w:right w:val="nil"/>
            </w:tcBorders>
            <w:shd w:val="clear" w:color="auto" w:fill="auto"/>
            <w:noWrap/>
            <w:vAlign w:val="bottom"/>
            <w:hideMark/>
          </w:tcPr>
          <w:p w14:paraId="07E32EB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82E00B"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4D9D221" w14:textId="338DBD0B"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335EDE15" w14:textId="37BE8FAF" w:rsidR="00B23446" w:rsidRDefault="00B23446" w:rsidP="00B23446">
            <w:pPr>
              <w:jc w:val="right"/>
              <w:rPr>
                <w:color w:val="000000"/>
                <w:sz w:val="20"/>
                <w:szCs w:val="20"/>
              </w:rPr>
            </w:pPr>
            <w:r>
              <w:rPr>
                <w:color w:val="000000"/>
                <w:sz w:val="20"/>
                <w:szCs w:val="20"/>
              </w:rPr>
              <w:t>0.817</w:t>
            </w:r>
          </w:p>
        </w:tc>
        <w:tc>
          <w:tcPr>
            <w:tcW w:w="768" w:type="dxa"/>
            <w:tcBorders>
              <w:top w:val="nil"/>
              <w:left w:val="nil"/>
              <w:bottom w:val="nil"/>
              <w:right w:val="nil"/>
            </w:tcBorders>
            <w:shd w:val="clear" w:color="auto" w:fill="auto"/>
            <w:noWrap/>
            <w:vAlign w:val="bottom"/>
            <w:hideMark/>
          </w:tcPr>
          <w:p w14:paraId="597A97E8" w14:textId="67A2E11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2275AC" w14:textId="57564B35"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80931E1" w14:textId="482D265E" w:rsidR="00B23446" w:rsidRDefault="00B23446" w:rsidP="00B23446">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13CB823F" w14:textId="504C49A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5067F5" w14:textId="17DFC3B8"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4B0D6E8" w14:textId="64DF00C4" w:rsidR="00B23446" w:rsidRDefault="00B23446" w:rsidP="00B23446">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0F313EE7" w14:textId="15EC15E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46E0DD" w14:textId="3A281481"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D2D8105" w14:textId="65E5D7B8" w:rsidR="00B23446" w:rsidRDefault="00B23446" w:rsidP="00B23446">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25BB56BD" w14:textId="178722C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FB53CC" w14:textId="65E74AB8" w:rsidR="00B23446" w:rsidRDefault="00B23446" w:rsidP="00B2344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2ACA895C" w14:textId="73A91AC7" w:rsidR="00B23446" w:rsidRDefault="00B23446" w:rsidP="00B23446">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37045681" w14:textId="609E273B" w:rsidR="00B23446" w:rsidRDefault="00B23446" w:rsidP="00B23446">
            <w:pPr>
              <w:jc w:val="right"/>
              <w:rPr>
                <w:color w:val="000000"/>
                <w:sz w:val="20"/>
                <w:szCs w:val="20"/>
              </w:rPr>
            </w:pPr>
            <w:r>
              <w:rPr>
                <w:color w:val="000000"/>
                <w:sz w:val="20"/>
                <w:szCs w:val="20"/>
              </w:rPr>
              <w:t>0.001</w:t>
            </w:r>
          </w:p>
        </w:tc>
      </w:tr>
      <w:tr w:rsidR="00B23446" w14:paraId="5B7D822D" w14:textId="77777777" w:rsidTr="0022212F">
        <w:trPr>
          <w:trHeight w:val="320"/>
        </w:trPr>
        <w:tc>
          <w:tcPr>
            <w:tcW w:w="1176" w:type="dxa"/>
            <w:tcBorders>
              <w:top w:val="nil"/>
              <w:left w:val="nil"/>
              <w:bottom w:val="nil"/>
              <w:right w:val="nil"/>
            </w:tcBorders>
            <w:shd w:val="clear" w:color="auto" w:fill="auto"/>
            <w:noWrap/>
            <w:vAlign w:val="bottom"/>
            <w:hideMark/>
          </w:tcPr>
          <w:p w14:paraId="4B10D864"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04A5CDA"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FD8FFF3" w14:textId="6380CC3A" w:rsidR="00B23446" w:rsidRDefault="00B23446" w:rsidP="00B23446">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62DFBE34" w14:textId="12E1404A" w:rsidR="00B23446" w:rsidRDefault="00B23446" w:rsidP="00B23446">
            <w:pPr>
              <w:jc w:val="right"/>
              <w:rPr>
                <w:color w:val="000000"/>
                <w:sz w:val="20"/>
                <w:szCs w:val="20"/>
              </w:rPr>
            </w:pPr>
            <w:r>
              <w:rPr>
                <w:color w:val="000000"/>
                <w:sz w:val="20"/>
                <w:szCs w:val="20"/>
              </w:rPr>
              <w:t>0.817</w:t>
            </w:r>
          </w:p>
        </w:tc>
        <w:tc>
          <w:tcPr>
            <w:tcW w:w="768" w:type="dxa"/>
            <w:tcBorders>
              <w:top w:val="nil"/>
              <w:left w:val="nil"/>
              <w:bottom w:val="nil"/>
              <w:right w:val="nil"/>
            </w:tcBorders>
            <w:shd w:val="clear" w:color="auto" w:fill="auto"/>
            <w:noWrap/>
            <w:vAlign w:val="bottom"/>
            <w:hideMark/>
          </w:tcPr>
          <w:p w14:paraId="3C90C22F" w14:textId="5A46580C"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8765121" w14:textId="18D5874F"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0E13207B" w14:textId="75194D86" w:rsidR="00B23446" w:rsidRDefault="00B23446" w:rsidP="00B23446">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0ED1B8B9" w14:textId="7162C2F3"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A840DD" w14:textId="00762A4B" w:rsidR="00B23446" w:rsidRDefault="00B23446" w:rsidP="00B23446">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37CD25D8" w14:textId="6F803DAC" w:rsidR="00B23446" w:rsidRDefault="00B23446" w:rsidP="00B23446">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543194DA" w14:textId="73013FC9"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D2850AE" w14:textId="17B4C398" w:rsidR="00B23446" w:rsidRDefault="00B23446" w:rsidP="00B23446">
            <w:pPr>
              <w:jc w:val="right"/>
              <w:rPr>
                <w:color w:val="000000"/>
                <w:sz w:val="20"/>
                <w:szCs w:val="20"/>
              </w:rPr>
            </w:pPr>
            <w:r>
              <w:rPr>
                <w:color w:val="000000"/>
                <w:sz w:val="20"/>
                <w:szCs w:val="20"/>
              </w:rPr>
              <w:t>-0.118</w:t>
            </w:r>
          </w:p>
        </w:tc>
        <w:tc>
          <w:tcPr>
            <w:tcW w:w="768" w:type="dxa"/>
            <w:tcBorders>
              <w:top w:val="nil"/>
              <w:left w:val="nil"/>
              <w:bottom w:val="nil"/>
              <w:right w:val="nil"/>
            </w:tcBorders>
            <w:shd w:val="clear" w:color="auto" w:fill="auto"/>
            <w:noWrap/>
            <w:vAlign w:val="bottom"/>
            <w:hideMark/>
          </w:tcPr>
          <w:p w14:paraId="5EABE2C0" w14:textId="4A32FE04" w:rsidR="00B23446" w:rsidRDefault="00B23446" w:rsidP="00B23446">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0326BACB" w14:textId="572C28F6"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FD8A574" w14:textId="41873A28" w:rsidR="00B23446" w:rsidRDefault="00B23446" w:rsidP="00B23446">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35505DB0" w14:textId="4D3B6216" w:rsidR="00B23446" w:rsidRDefault="00B23446" w:rsidP="00B23446">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6726EDCB" w14:textId="70200D6D" w:rsidR="00B23446" w:rsidRDefault="00B23446" w:rsidP="00B23446">
            <w:pPr>
              <w:jc w:val="right"/>
              <w:rPr>
                <w:color w:val="000000"/>
                <w:sz w:val="20"/>
                <w:szCs w:val="20"/>
              </w:rPr>
            </w:pPr>
            <w:r>
              <w:rPr>
                <w:color w:val="000000"/>
                <w:sz w:val="20"/>
                <w:szCs w:val="20"/>
              </w:rPr>
              <w:t>0.003</w:t>
            </w:r>
          </w:p>
        </w:tc>
      </w:tr>
      <w:tr w:rsidR="00B23446" w14:paraId="5C033FE4" w14:textId="77777777" w:rsidTr="0022212F">
        <w:trPr>
          <w:trHeight w:val="320"/>
        </w:trPr>
        <w:tc>
          <w:tcPr>
            <w:tcW w:w="1176" w:type="dxa"/>
            <w:tcBorders>
              <w:top w:val="nil"/>
              <w:left w:val="nil"/>
              <w:bottom w:val="nil"/>
              <w:right w:val="nil"/>
            </w:tcBorders>
            <w:shd w:val="clear" w:color="auto" w:fill="auto"/>
            <w:noWrap/>
            <w:vAlign w:val="bottom"/>
            <w:hideMark/>
          </w:tcPr>
          <w:p w14:paraId="78F7D4BB"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6A908B6"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DC014D8" w14:textId="32773FC7" w:rsidR="00B23446" w:rsidRDefault="00B23446" w:rsidP="00B23446">
            <w:pPr>
              <w:jc w:val="right"/>
              <w:rPr>
                <w:color w:val="000000"/>
                <w:sz w:val="20"/>
                <w:szCs w:val="20"/>
              </w:rPr>
            </w:pPr>
            <w:r>
              <w:rPr>
                <w:color w:val="000000"/>
                <w:sz w:val="20"/>
                <w:szCs w:val="20"/>
              </w:rPr>
              <w:t>0.206</w:t>
            </w:r>
          </w:p>
        </w:tc>
        <w:tc>
          <w:tcPr>
            <w:tcW w:w="768" w:type="dxa"/>
            <w:tcBorders>
              <w:top w:val="nil"/>
              <w:left w:val="nil"/>
              <w:bottom w:val="nil"/>
              <w:right w:val="nil"/>
            </w:tcBorders>
            <w:shd w:val="clear" w:color="auto" w:fill="auto"/>
            <w:noWrap/>
            <w:vAlign w:val="bottom"/>
            <w:hideMark/>
          </w:tcPr>
          <w:p w14:paraId="3CEC7D6F" w14:textId="75AEA604" w:rsidR="00B23446" w:rsidRDefault="00B23446" w:rsidP="00B23446">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5794D26E" w14:textId="24B746FD" w:rsidR="00B23446" w:rsidRDefault="00B23446" w:rsidP="00B2344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359AE44" w14:textId="60969623"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227F1430" w14:textId="114C4893" w:rsidR="00B23446" w:rsidRDefault="00B23446" w:rsidP="00B23446">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003632BC" w14:textId="3DA83593"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A44F9BD" w14:textId="4471F7B1" w:rsidR="00B23446" w:rsidRDefault="00B23446" w:rsidP="00B23446">
            <w:pPr>
              <w:jc w:val="right"/>
              <w:rPr>
                <w:color w:val="000000"/>
                <w:sz w:val="20"/>
                <w:szCs w:val="20"/>
              </w:rPr>
            </w:pPr>
            <w:r>
              <w:rPr>
                <w:color w:val="000000"/>
                <w:sz w:val="20"/>
                <w:szCs w:val="20"/>
              </w:rPr>
              <w:t>0.101</w:t>
            </w:r>
          </w:p>
        </w:tc>
        <w:tc>
          <w:tcPr>
            <w:tcW w:w="768" w:type="dxa"/>
            <w:tcBorders>
              <w:top w:val="nil"/>
              <w:left w:val="nil"/>
              <w:bottom w:val="nil"/>
              <w:right w:val="nil"/>
            </w:tcBorders>
            <w:shd w:val="clear" w:color="auto" w:fill="auto"/>
            <w:noWrap/>
            <w:vAlign w:val="bottom"/>
            <w:hideMark/>
          </w:tcPr>
          <w:p w14:paraId="032D9E48" w14:textId="79621229" w:rsidR="00B23446" w:rsidRDefault="00B23446" w:rsidP="00B23446">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081DF11F" w14:textId="6D87CFE9"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FB7F83E" w14:textId="4AA0D834" w:rsidR="00B23446" w:rsidRDefault="00B23446" w:rsidP="00B23446">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4FBB6C62" w14:textId="04AA821D" w:rsidR="00B23446" w:rsidRDefault="00B23446" w:rsidP="00B23446">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6439BEB2" w14:textId="02D507C6"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559D5D" w14:textId="7B3692E5" w:rsidR="00B23446" w:rsidRDefault="00B23446" w:rsidP="00B23446">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6D82C56F" w14:textId="73ADA933" w:rsidR="00B23446" w:rsidRDefault="00B23446" w:rsidP="00B23446">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4CDD2C8F" w14:textId="1F78BB34" w:rsidR="00B23446" w:rsidRDefault="00B23446" w:rsidP="00B23446">
            <w:pPr>
              <w:jc w:val="right"/>
              <w:rPr>
                <w:color w:val="000000"/>
                <w:sz w:val="20"/>
                <w:szCs w:val="20"/>
              </w:rPr>
            </w:pPr>
            <w:r>
              <w:rPr>
                <w:color w:val="000000"/>
                <w:sz w:val="20"/>
                <w:szCs w:val="20"/>
              </w:rPr>
              <w:t>0.008</w:t>
            </w:r>
          </w:p>
        </w:tc>
      </w:tr>
      <w:tr w:rsidR="00B23446" w14:paraId="3E9164A1" w14:textId="77777777" w:rsidTr="0022212F">
        <w:trPr>
          <w:trHeight w:val="320"/>
        </w:trPr>
        <w:tc>
          <w:tcPr>
            <w:tcW w:w="1176" w:type="dxa"/>
            <w:tcBorders>
              <w:top w:val="nil"/>
              <w:left w:val="nil"/>
              <w:bottom w:val="nil"/>
              <w:right w:val="nil"/>
            </w:tcBorders>
            <w:shd w:val="clear" w:color="auto" w:fill="auto"/>
            <w:noWrap/>
            <w:vAlign w:val="bottom"/>
            <w:hideMark/>
          </w:tcPr>
          <w:p w14:paraId="03B6F4C9"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CD9662A"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B311400" w14:textId="5C19FE4A"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4D92D6E" w14:textId="052F5473" w:rsidR="00B23446" w:rsidRDefault="00B23446" w:rsidP="00B23446">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1AB077E1" w14:textId="15B4554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F3BEF0" w14:textId="6012C57D" w:rsidR="00B23446" w:rsidRDefault="00B23446" w:rsidP="00B23446">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67F0F2F9" w14:textId="70057B6E" w:rsidR="00B23446" w:rsidRDefault="00B23446" w:rsidP="00B23446">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21A628FA" w14:textId="17DB1833"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E7ED595" w14:textId="5DA0011B" w:rsidR="00B23446" w:rsidRDefault="00B23446" w:rsidP="00B23446">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62D4C25E" w14:textId="5867A0A7" w:rsidR="00B23446" w:rsidRDefault="00B23446" w:rsidP="00B23446">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17317920" w14:textId="61A22CC4"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0008675" w14:textId="79BC1E57"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F331B70" w14:textId="272D2844" w:rsidR="00B23446" w:rsidRDefault="00B23446" w:rsidP="00B23446">
            <w:pPr>
              <w:jc w:val="right"/>
              <w:rPr>
                <w:color w:val="000000"/>
                <w:sz w:val="20"/>
                <w:szCs w:val="20"/>
              </w:rPr>
            </w:pPr>
            <w:r>
              <w:rPr>
                <w:color w:val="000000"/>
                <w:sz w:val="20"/>
                <w:szCs w:val="20"/>
              </w:rPr>
              <w:t>0.964</w:t>
            </w:r>
          </w:p>
        </w:tc>
        <w:tc>
          <w:tcPr>
            <w:tcW w:w="768" w:type="dxa"/>
            <w:tcBorders>
              <w:top w:val="nil"/>
              <w:left w:val="nil"/>
              <w:bottom w:val="nil"/>
              <w:right w:val="nil"/>
            </w:tcBorders>
            <w:shd w:val="clear" w:color="auto" w:fill="auto"/>
            <w:noWrap/>
            <w:vAlign w:val="bottom"/>
            <w:hideMark/>
          </w:tcPr>
          <w:p w14:paraId="36B03E80" w14:textId="4A8F02F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5A91CA" w14:textId="293C90A1" w:rsidR="00B23446" w:rsidRDefault="00B23446" w:rsidP="00B23446">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0797AB55" w14:textId="79D7DD53" w:rsidR="00B23446" w:rsidRDefault="00B23446" w:rsidP="00B23446">
            <w:pPr>
              <w:jc w:val="right"/>
              <w:rPr>
                <w:color w:val="000000"/>
                <w:sz w:val="20"/>
                <w:szCs w:val="20"/>
              </w:rPr>
            </w:pPr>
            <w:r>
              <w:rPr>
                <w:color w:val="000000"/>
                <w:sz w:val="20"/>
                <w:szCs w:val="20"/>
              </w:rPr>
              <w:t>0.400</w:t>
            </w:r>
          </w:p>
        </w:tc>
        <w:tc>
          <w:tcPr>
            <w:tcW w:w="768" w:type="dxa"/>
            <w:tcBorders>
              <w:top w:val="nil"/>
              <w:left w:val="nil"/>
              <w:bottom w:val="nil"/>
              <w:right w:val="nil"/>
            </w:tcBorders>
            <w:shd w:val="clear" w:color="auto" w:fill="auto"/>
            <w:noWrap/>
            <w:vAlign w:val="bottom"/>
            <w:hideMark/>
          </w:tcPr>
          <w:p w14:paraId="60949127" w14:textId="24F6F14F" w:rsidR="00B23446" w:rsidRDefault="00B23446" w:rsidP="00B23446">
            <w:pPr>
              <w:jc w:val="right"/>
              <w:rPr>
                <w:color w:val="000000"/>
                <w:sz w:val="20"/>
                <w:szCs w:val="20"/>
              </w:rPr>
            </w:pPr>
            <w:r>
              <w:rPr>
                <w:color w:val="000000"/>
                <w:sz w:val="20"/>
                <w:szCs w:val="20"/>
              </w:rPr>
              <w:t>0.007</w:t>
            </w:r>
          </w:p>
        </w:tc>
      </w:tr>
      <w:tr w:rsidR="00B23446" w14:paraId="2E85E384" w14:textId="77777777" w:rsidTr="0022212F">
        <w:trPr>
          <w:trHeight w:val="320"/>
        </w:trPr>
        <w:tc>
          <w:tcPr>
            <w:tcW w:w="1176" w:type="dxa"/>
            <w:tcBorders>
              <w:top w:val="nil"/>
              <w:left w:val="nil"/>
              <w:bottom w:val="nil"/>
              <w:right w:val="nil"/>
            </w:tcBorders>
            <w:shd w:val="clear" w:color="auto" w:fill="auto"/>
            <w:noWrap/>
            <w:vAlign w:val="bottom"/>
            <w:hideMark/>
          </w:tcPr>
          <w:p w14:paraId="6ACE37B2"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43BA53F"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F3F25D8" w14:textId="3E973082" w:rsidR="00B23446" w:rsidRDefault="00B23446" w:rsidP="00B23446">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349BC602" w14:textId="5560110C" w:rsidR="00B23446" w:rsidRDefault="00B23446" w:rsidP="00B23446">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5707FBFD" w14:textId="3EF4097C"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85AFAC4" w14:textId="704A7055"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5531396" w14:textId="70E21B1B" w:rsidR="00B23446" w:rsidRDefault="00B23446" w:rsidP="00B23446">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5F2327EC" w14:textId="29E1F1D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BF7F0B" w14:textId="2BF09582"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779C1EE" w14:textId="0AF91FDC" w:rsidR="00B23446" w:rsidRDefault="00B23446" w:rsidP="00B23446">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4511A7BE" w14:textId="6E661BA5"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5D0D86" w14:textId="437DA4A5"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9DC9DED" w14:textId="25772B30" w:rsidR="00B23446" w:rsidRDefault="00B23446" w:rsidP="00B23446">
            <w:pPr>
              <w:jc w:val="right"/>
              <w:rPr>
                <w:color w:val="000000"/>
                <w:sz w:val="20"/>
                <w:szCs w:val="20"/>
              </w:rPr>
            </w:pPr>
            <w:r>
              <w:rPr>
                <w:color w:val="000000"/>
                <w:sz w:val="20"/>
                <w:szCs w:val="20"/>
              </w:rPr>
              <w:t>0.964</w:t>
            </w:r>
          </w:p>
        </w:tc>
        <w:tc>
          <w:tcPr>
            <w:tcW w:w="768" w:type="dxa"/>
            <w:tcBorders>
              <w:top w:val="nil"/>
              <w:left w:val="nil"/>
              <w:bottom w:val="nil"/>
              <w:right w:val="nil"/>
            </w:tcBorders>
            <w:shd w:val="clear" w:color="auto" w:fill="auto"/>
            <w:noWrap/>
            <w:vAlign w:val="bottom"/>
            <w:hideMark/>
          </w:tcPr>
          <w:p w14:paraId="1FA37B8B" w14:textId="6063503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C75371" w14:textId="669F7DF8" w:rsidR="00B23446" w:rsidRDefault="00B23446" w:rsidP="00B23446">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42D90EFC" w14:textId="03AB00D0" w:rsidR="00B23446" w:rsidRDefault="00B23446" w:rsidP="00B23446">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1C20B9D5" w14:textId="1BE884FD" w:rsidR="00B23446" w:rsidRDefault="00B23446" w:rsidP="00B23446">
            <w:pPr>
              <w:jc w:val="right"/>
              <w:rPr>
                <w:color w:val="000000"/>
                <w:sz w:val="20"/>
                <w:szCs w:val="20"/>
              </w:rPr>
            </w:pPr>
            <w:r>
              <w:rPr>
                <w:color w:val="000000"/>
                <w:sz w:val="20"/>
                <w:szCs w:val="20"/>
              </w:rPr>
              <w:t>0.001</w:t>
            </w:r>
          </w:p>
        </w:tc>
      </w:tr>
      <w:tr w:rsidR="00B23446" w14:paraId="6B822D8F" w14:textId="77777777" w:rsidTr="0022212F">
        <w:trPr>
          <w:trHeight w:val="320"/>
        </w:trPr>
        <w:tc>
          <w:tcPr>
            <w:tcW w:w="1176" w:type="dxa"/>
            <w:tcBorders>
              <w:top w:val="nil"/>
              <w:left w:val="nil"/>
              <w:bottom w:val="nil"/>
              <w:right w:val="nil"/>
            </w:tcBorders>
            <w:shd w:val="clear" w:color="auto" w:fill="auto"/>
            <w:noWrap/>
            <w:vAlign w:val="bottom"/>
            <w:hideMark/>
          </w:tcPr>
          <w:p w14:paraId="61760F33"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93205FA"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F1BF141" w14:textId="13ACFCA4" w:rsidR="00B23446" w:rsidRDefault="00B23446" w:rsidP="00B2344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E03359C" w14:textId="2FBC1255" w:rsidR="00B23446" w:rsidRDefault="00B23446" w:rsidP="00B23446">
            <w:pPr>
              <w:jc w:val="right"/>
              <w:rPr>
                <w:color w:val="000000"/>
                <w:sz w:val="20"/>
                <w:szCs w:val="20"/>
              </w:rPr>
            </w:pPr>
            <w:r>
              <w:rPr>
                <w:color w:val="000000"/>
                <w:sz w:val="20"/>
                <w:szCs w:val="20"/>
              </w:rPr>
              <w:t>0.817</w:t>
            </w:r>
          </w:p>
        </w:tc>
        <w:tc>
          <w:tcPr>
            <w:tcW w:w="768" w:type="dxa"/>
            <w:tcBorders>
              <w:top w:val="nil"/>
              <w:left w:val="nil"/>
              <w:bottom w:val="nil"/>
              <w:right w:val="nil"/>
            </w:tcBorders>
            <w:shd w:val="clear" w:color="auto" w:fill="auto"/>
            <w:noWrap/>
            <w:vAlign w:val="bottom"/>
            <w:hideMark/>
          </w:tcPr>
          <w:p w14:paraId="6C2C8A32" w14:textId="01054C05"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BE88EB" w14:textId="5993736F"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F975073" w14:textId="545602FD" w:rsidR="00B23446" w:rsidRDefault="00B23446" w:rsidP="00B23446">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2AF624A5" w14:textId="3A1265F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FE891C0" w14:textId="058D4EA3" w:rsidR="00B23446" w:rsidRDefault="00B23446" w:rsidP="00B23446">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582C5B59" w14:textId="5CE61F36" w:rsidR="00B23446" w:rsidRDefault="00B23446" w:rsidP="00B23446">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38B9550D" w14:textId="0489F8BF"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900A6E5" w14:textId="1285E966" w:rsidR="00B23446" w:rsidRDefault="00B23446" w:rsidP="00B23446">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90F6A7E" w14:textId="5BAE86A3" w:rsidR="00B23446" w:rsidRDefault="00B23446" w:rsidP="00B23446">
            <w:pPr>
              <w:jc w:val="right"/>
              <w:rPr>
                <w:color w:val="000000"/>
                <w:sz w:val="20"/>
                <w:szCs w:val="20"/>
              </w:rPr>
            </w:pPr>
            <w:r>
              <w:rPr>
                <w:color w:val="000000"/>
                <w:sz w:val="20"/>
                <w:szCs w:val="20"/>
              </w:rPr>
              <w:t>0.698</w:t>
            </w:r>
          </w:p>
        </w:tc>
        <w:tc>
          <w:tcPr>
            <w:tcW w:w="768" w:type="dxa"/>
            <w:tcBorders>
              <w:top w:val="nil"/>
              <w:left w:val="nil"/>
              <w:bottom w:val="nil"/>
              <w:right w:val="nil"/>
            </w:tcBorders>
            <w:shd w:val="clear" w:color="auto" w:fill="auto"/>
            <w:noWrap/>
            <w:vAlign w:val="bottom"/>
            <w:hideMark/>
          </w:tcPr>
          <w:p w14:paraId="0F7552AC" w14:textId="4FF0820F"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F13D5E" w14:textId="7EB57414" w:rsidR="00B23446" w:rsidRDefault="00B23446" w:rsidP="00B23446">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1BCC116C" w14:textId="4D71B519" w:rsidR="00B23446" w:rsidRDefault="00B23446" w:rsidP="00B23446">
            <w:pPr>
              <w:jc w:val="right"/>
              <w:rPr>
                <w:color w:val="000000"/>
                <w:sz w:val="20"/>
                <w:szCs w:val="20"/>
              </w:rPr>
            </w:pPr>
            <w:r>
              <w:rPr>
                <w:color w:val="000000"/>
                <w:sz w:val="20"/>
                <w:szCs w:val="20"/>
              </w:rPr>
              <w:t>0.551</w:t>
            </w:r>
          </w:p>
        </w:tc>
        <w:tc>
          <w:tcPr>
            <w:tcW w:w="768" w:type="dxa"/>
            <w:tcBorders>
              <w:top w:val="nil"/>
              <w:left w:val="nil"/>
              <w:bottom w:val="nil"/>
              <w:right w:val="nil"/>
            </w:tcBorders>
            <w:shd w:val="clear" w:color="auto" w:fill="auto"/>
            <w:noWrap/>
            <w:vAlign w:val="bottom"/>
            <w:hideMark/>
          </w:tcPr>
          <w:p w14:paraId="7EC520A4" w14:textId="33E31692" w:rsidR="00B23446" w:rsidRDefault="00B23446" w:rsidP="00B23446">
            <w:pPr>
              <w:jc w:val="right"/>
              <w:rPr>
                <w:color w:val="000000"/>
                <w:sz w:val="20"/>
                <w:szCs w:val="20"/>
              </w:rPr>
            </w:pPr>
            <w:r>
              <w:rPr>
                <w:color w:val="000000"/>
                <w:sz w:val="20"/>
                <w:szCs w:val="20"/>
              </w:rPr>
              <w:t>0.001</w:t>
            </w:r>
          </w:p>
        </w:tc>
      </w:tr>
      <w:tr w:rsidR="00B23446" w14:paraId="4FE4A21D" w14:textId="77777777" w:rsidTr="0022212F">
        <w:trPr>
          <w:trHeight w:val="320"/>
        </w:trPr>
        <w:tc>
          <w:tcPr>
            <w:tcW w:w="1176" w:type="dxa"/>
            <w:tcBorders>
              <w:top w:val="nil"/>
              <w:left w:val="nil"/>
              <w:bottom w:val="single" w:sz="4" w:space="0" w:color="auto"/>
              <w:right w:val="nil"/>
            </w:tcBorders>
            <w:shd w:val="clear" w:color="auto" w:fill="auto"/>
            <w:noWrap/>
            <w:vAlign w:val="bottom"/>
            <w:hideMark/>
          </w:tcPr>
          <w:p w14:paraId="7C1ABC0F"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8AD880F"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4495DA0" w14:textId="6A09E2E7"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2D99831D" w14:textId="37577B7B" w:rsidR="00B23446" w:rsidRDefault="00B23446" w:rsidP="00B23446">
            <w:pPr>
              <w:jc w:val="right"/>
              <w:rPr>
                <w:color w:val="000000"/>
                <w:sz w:val="20"/>
                <w:szCs w:val="20"/>
              </w:rPr>
            </w:pPr>
            <w:r>
              <w:rPr>
                <w:color w:val="000000"/>
                <w:sz w:val="20"/>
                <w:szCs w:val="20"/>
              </w:rPr>
              <w:t>0.817</w:t>
            </w:r>
          </w:p>
        </w:tc>
        <w:tc>
          <w:tcPr>
            <w:tcW w:w="768" w:type="dxa"/>
            <w:tcBorders>
              <w:top w:val="nil"/>
              <w:left w:val="nil"/>
              <w:bottom w:val="single" w:sz="4" w:space="0" w:color="auto"/>
              <w:right w:val="nil"/>
            </w:tcBorders>
            <w:shd w:val="clear" w:color="auto" w:fill="auto"/>
            <w:noWrap/>
            <w:vAlign w:val="bottom"/>
            <w:hideMark/>
          </w:tcPr>
          <w:p w14:paraId="7547CE04" w14:textId="6545A88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EB77187" w14:textId="3679D3C8"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3E8B2E78" w14:textId="751A5368" w:rsidR="00B23446" w:rsidRDefault="00B23446" w:rsidP="00B23446">
            <w:pPr>
              <w:jc w:val="right"/>
              <w:rPr>
                <w:color w:val="000000"/>
                <w:sz w:val="20"/>
                <w:szCs w:val="20"/>
              </w:rPr>
            </w:pPr>
            <w:r>
              <w:rPr>
                <w:color w:val="000000"/>
                <w:sz w:val="20"/>
                <w:szCs w:val="20"/>
              </w:rPr>
              <w:t>0.924</w:t>
            </w:r>
          </w:p>
        </w:tc>
        <w:tc>
          <w:tcPr>
            <w:tcW w:w="768" w:type="dxa"/>
            <w:tcBorders>
              <w:top w:val="nil"/>
              <w:left w:val="nil"/>
              <w:bottom w:val="single" w:sz="4" w:space="0" w:color="auto"/>
              <w:right w:val="nil"/>
            </w:tcBorders>
            <w:shd w:val="clear" w:color="auto" w:fill="auto"/>
            <w:noWrap/>
            <w:vAlign w:val="bottom"/>
            <w:hideMark/>
          </w:tcPr>
          <w:p w14:paraId="7C82970B" w14:textId="7D2409A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8E97EF4" w14:textId="1CC4774D"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70B81727" w14:textId="7ACE1AA4" w:rsidR="00B23446" w:rsidRDefault="00B23446" w:rsidP="00B23446">
            <w:pPr>
              <w:jc w:val="right"/>
              <w:rPr>
                <w:color w:val="000000"/>
                <w:sz w:val="20"/>
                <w:szCs w:val="20"/>
              </w:rPr>
            </w:pPr>
            <w:r>
              <w:rPr>
                <w:color w:val="000000"/>
                <w:sz w:val="20"/>
                <w:szCs w:val="20"/>
              </w:rPr>
              <w:t>0.831</w:t>
            </w:r>
          </w:p>
        </w:tc>
        <w:tc>
          <w:tcPr>
            <w:tcW w:w="768" w:type="dxa"/>
            <w:tcBorders>
              <w:top w:val="nil"/>
              <w:left w:val="nil"/>
              <w:bottom w:val="single" w:sz="4" w:space="0" w:color="auto"/>
              <w:right w:val="nil"/>
            </w:tcBorders>
            <w:shd w:val="clear" w:color="auto" w:fill="auto"/>
            <w:noWrap/>
            <w:vAlign w:val="bottom"/>
            <w:hideMark/>
          </w:tcPr>
          <w:p w14:paraId="615D1C11" w14:textId="036320F7"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C0A9D67" w14:textId="162F6D81" w:rsidR="00B23446" w:rsidRDefault="00B23446" w:rsidP="00B23446">
            <w:pPr>
              <w:jc w:val="right"/>
              <w:rPr>
                <w:color w:val="000000"/>
                <w:sz w:val="20"/>
                <w:szCs w:val="20"/>
              </w:rPr>
            </w:pPr>
            <w:r>
              <w:rPr>
                <w:color w:val="000000"/>
                <w:sz w:val="20"/>
                <w:szCs w:val="20"/>
              </w:rPr>
              <w:t>-0.059</w:t>
            </w:r>
          </w:p>
        </w:tc>
        <w:tc>
          <w:tcPr>
            <w:tcW w:w="768" w:type="dxa"/>
            <w:tcBorders>
              <w:top w:val="nil"/>
              <w:left w:val="nil"/>
              <w:bottom w:val="single" w:sz="4" w:space="0" w:color="auto"/>
              <w:right w:val="nil"/>
            </w:tcBorders>
            <w:shd w:val="clear" w:color="auto" w:fill="auto"/>
            <w:noWrap/>
            <w:vAlign w:val="bottom"/>
            <w:hideMark/>
          </w:tcPr>
          <w:p w14:paraId="4E456178" w14:textId="7A9F2162" w:rsidR="00B23446" w:rsidRDefault="00B23446" w:rsidP="00B23446">
            <w:pPr>
              <w:jc w:val="right"/>
              <w:rPr>
                <w:color w:val="000000"/>
                <w:sz w:val="20"/>
                <w:szCs w:val="20"/>
              </w:rPr>
            </w:pPr>
            <w:r>
              <w:rPr>
                <w:color w:val="000000"/>
                <w:sz w:val="20"/>
                <w:szCs w:val="20"/>
              </w:rPr>
              <w:t>0.698</w:t>
            </w:r>
          </w:p>
        </w:tc>
        <w:tc>
          <w:tcPr>
            <w:tcW w:w="768" w:type="dxa"/>
            <w:tcBorders>
              <w:top w:val="nil"/>
              <w:left w:val="nil"/>
              <w:bottom w:val="single" w:sz="4" w:space="0" w:color="auto"/>
              <w:right w:val="nil"/>
            </w:tcBorders>
            <w:shd w:val="clear" w:color="auto" w:fill="auto"/>
            <w:noWrap/>
            <w:vAlign w:val="bottom"/>
            <w:hideMark/>
          </w:tcPr>
          <w:p w14:paraId="56B90565" w14:textId="715CCE56"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1310D480" w14:textId="01B84CEC" w:rsidR="00B23446" w:rsidRDefault="00B23446" w:rsidP="00B23446">
            <w:pPr>
              <w:jc w:val="right"/>
              <w:rPr>
                <w:color w:val="000000"/>
                <w:sz w:val="20"/>
                <w:szCs w:val="20"/>
              </w:rPr>
            </w:pPr>
            <w:r>
              <w:rPr>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07B5000E" w14:textId="3D145474" w:rsidR="00B23446" w:rsidRDefault="00B23446" w:rsidP="00B23446">
            <w:pPr>
              <w:jc w:val="right"/>
              <w:rPr>
                <w:color w:val="000000"/>
                <w:sz w:val="20"/>
                <w:szCs w:val="20"/>
              </w:rPr>
            </w:pPr>
            <w:r>
              <w:rPr>
                <w:color w:val="000000"/>
                <w:sz w:val="20"/>
                <w:szCs w:val="20"/>
              </w:rPr>
              <w:t>0.551</w:t>
            </w:r>
          </w:p>
        </w:tc>
        <w:tc>
          <w:tcPr>
            <w:tcW w:w="768" w:type="dxa"/>
            <w:tcBorders>
              <w:top w:val="nil"/>
              <w:left w:val="nil"/>
              <w:bottom w:val="single" w:sz="4" w:space="0" w:color="auto"/>
              <w:right w:val="nil"/>
            </w:tcBorders>
            <w:shd w:val="clear" w:color="auto" w:fill="auto"/>
            <w:noWrap/>
            <w:vAlign w:val="bottom"/>
            <w:hideMark/>
          </w:tcPr>
          <w:p w14:paraId="45CFCC7D" w14:textId="1573CBA7" w:rsidR="00B23446" w:rsidRDefault="00B23446" w:rsidP="00B23446">
            <w:pPr>
              <w:jc w:val="right"/>
              <w:rPr>
                <w:color w:val="000000"/>
                <w:sz w:val="20"/>
                <w:szCs w:val="20"/>
              </w:rPr>
            </w:pPr>
            <w:r>
              <w:rPr>
                <w:color w:val="000000"/>
                <w:sz w:val="20"/>
                <w:szCs w:val="20"/>
              </w:rPr>
              <w:t>0.002</w:t>
            </w:r>
          </w:p>
        </w:tc>
      </w:tr>
      <w:tr w:rsidR="00B23446" w14:paraId="04F6C50D" w14:textId="77777777" w:rsidTr="0022212F">
        <w:trPr>
          <w:trHeight w:val="320"/>
        </w:trPr>
        <w:tc>
          <w:tcPr>
            <w:tcW w:w="1176" w:type="dxa"/>
            <w:tcBorders>
              <w:top w:val="nil"/>
              <w:left w:val="nil"/>
              <w:bottom w:val="nil"/>
              <w:right w:val="nil"/>
            </w:tcBorders>
            <w:shd w:val="clear" w:color="auto" w:fill="auto"/>
            <w:noWrap/>
            <w:vAlign w:val="bottom"/>
            <w:hideMark/>
          </w:tcPr>
          <w:p w14:paraId="112C100D" w14:textId="77777777" w:rsidR="00B23446" w:rsidRDefault="00B23446" w:rsidP="00B23446">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62706A35"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DA768E5" w14:textId="5A351D3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A6FD369" w14:textId="5E688FE2" w:rsidR="00B23446" w:rsidRDefault="00B23446" w:rsidP="00B23446">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5F0E4227" w14:textId="7006CE4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0CB84C" w14:textId="44D07121" w:rsidR="00B23446" w:rsidRDefault="00B23446" w:rsidP="00B2344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0070531" w14:textId="4F062CBF" w:rsidR="00B23446" w:rsidRDefault="00B23446" w:rsidP="00B23446">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485EEA83" w14:textId="119BCAC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5788E4" w14:textId="63C64CDD" w:rsidR="00B23446" w:rsidRDefault="00B23446" w:rsidP="00B2344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52B82D9" w14:textId="43A684A5"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31478797" w14:textId="12930F53"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296DA5" w14:textId="0A5829C1" w:rsidR="00B23446" w:rsidRDefault="00B23446" w:rsidP="00B2344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06018D9" w14:textId="73D500F7"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31A628BB" w14:textId="186D233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7556FD" w14:textId="6F658FDE" w:rsidR="00B23446" w:rsidRDefault="00B23446" w:rsidP="00B23446">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06970593" w14:textId="76CCCCE9" w:rsidR="00B23446" w:rsidRDefault="00B23446" w:rsidP="00B23446">
            <w:pPr>
              <w:jc w:val="right"/>
              <w:rPr>
                <w:color w:val="000000"/>
                <w:sz w:val="20"/>
                <w:szCs w:val="20"/>
              </w:rPr>
            </w:pPr>
            <w:r>
              <w:rPr>
                <w:color w:val="000000"/>
                <w:sz w:val="20"/>
                <w:szCs w:val="20"/>
              </w:rPr>
              <w:t>0.407</w:t>
            </w:r>
          </w:p>
        </w:tc>
        <w:tc>
          <w:tcPr>
            <w:tcW w:w="768" w:type="dxa"/>
            <w:tcBorders>
              <w:top w:val="nil"/>
              <w:left w:val="nil"/>
              <w:bottom w:val="nil"/>
              <w:right w:val="nil"/>
            </w:tcBorders>
            <w:shd w:val="clear" w:color="auto" w:fill="auto"/>
            <w:noWrap/>
            <w:vAlign w:val="bottom"/>
            <w:hideMark/>
          </w:tcPr>
          <w:p w14:paraId="6ABD8DD3" w14:textId="41A053DC" w:rsidR="00B23446" w:rsidRDefault="00B23446" w:rsidP="00B23446">
            <w:pPr>
              <w:jc w:val="right"/>
              <w:rPr>
                <w:color w:val="000000"/>
                <w:sz w:val="20"/>
                <w:szCs w:val="20"/>
              </w:rPr>
            </w:pPr>
            <w:r>
              <w:rPr>
                <w:color w:val="000000"/>
                <w:sz w:val="20"/>
                <w:szCs w:val="20"/>
              </w:rPr>
              <w:t>0.002</w:t>
            </w:r>
          </w:p>
        </w:tc>
      </w:tr>
      <w:tr w:rsidR="00B23446" w14:paraId="4507F3DB" w14:textId="77777777" w:rsidTr="0022212F">
        <w:trPr>
          <w:trHeight w:val="320"/>
        </w:trPr>
        <w:tc>
          <w:tcPr>
            <w:tcW w:w="1176" w:type="dxa"/>
            <w:tcBorders>
              <w:top w:val="nil"/>
              <w:left w:val="nil"/>
              <w:bottom w:val="nil"/>
              <w:right w:val="nil"/>
            </w:tcBorders>
            <w:shd w:val="clear" w:color="auto" w:fill="auto"/>
            <w:noWrap/>
            <w:vAlign w:val="bottom"/>
            <w:hideMark/>
          </w:tcPr>
          <w:p w14:paraId="09F23EB2"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D5BE445"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950E7FC" w14:textId="16765F9D" w:rsidR="00B23446" w:rsidRDefault="00B23446" w:rsidP="00B2344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6FE07BDF" w14:textId="40E1F1C9" w:rsidR="00B23446" w:rsidRDefault="00B23446" w:rsidP="00B23446">
            <w:pPr>
              <w:jc w:val="right"/>
              <w:rPr>
                <w:color w:val="000000"/>
                <w:sz w:val="20"/>
                <w:szCs w:val="20"/>
              </w:rPr>
            </w:pPr>
            <w:r>
              <w:rPr>
                <w:color w:val="000000"/>
                <w:sz w:val="20"/>
                <w:szCs w:val="20"/>
              </w:rPr>
              <w:t>0.542</w:t>
            </w:r>
          </w:p>
        </w:tc>
        <w:tc>
          <w:tcPr>
            <w:tcW w:w="768" w:type="dxa"/>
            <w:tcBorders>
              <w:top w:val="nil"/>
              <w:left w:val="nil"/>
              <w:bottom w:val="nil"/>
              <w:right w:val="nil"/>
            </w:tcBorders>
            <w:shd w:val="clear" w:color="auto" w:fill="auto"/>
            <w:noWrap/>
            <w:vAlign w:val="bottom"/>
            <w:hideMark/>
          </w:tcPr>
          <w:p w14:paraId="11FD053D" w14:textId="6B93A795"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BEA5F1" w14:textId="4302C6B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F0CB8B" w14:textId="4606DCEC" w:rsidR="00B23446" w:rsidRDefault="00B23446" w:rsidP="00B23446">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6EBD67CA" w14:textId="55B3582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43977B" w14:textId="0BF5BAFD"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317477E" w14:textId="120B31CA"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2F1E5F5A" w14:textId="58D24C1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3CCA7A" w14:textId="2B010F9C"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26307F71" w14:textId="1112F733"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2D95D2B7" w14:textId="2B7FF3D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C186F4" w14:textId="16940659" w:rsidR="00B23446" w:rsidRDefault="00B23446" w:rsidP="00B2344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6631BA1" w14:textId="4D7593AE" w:rsidR="00B23446" w:rsidRDefault="00B23446" w:rsidP="00B23446">
            <w:pPr>
              <w:jc w:val="right"/>
              <w:rPr>
                <w:color w:val="000000"/>
                <w:sz w:val="20"/>
                <w:szCs w:val="20"/>
              </w:rPr>
            </w:pPr>
            <w:r>
              <w:rPr>
                <w:color w:val="000000"/>
                <w:sz w:val="20"/>
                <w:szCs w:val="20"/>
              </w:rPr>
              <w:t>0.407</w:t>
            </w:r>
          </w:p>
        </w:tc>
        <w:tc>
          <w:tcPr>
            <w:tcW w:w="768" w:type="dxa"/>
            <w:tcBorders>
              <w:top w:val="nil"/>
              <w:left w:val="nil"/>
              <w:bottom w:val="nil"/>
              <w:right w:val="nil"/>
            </w:tcBorders>
            <w:shd w:val="clear" w:color="auto" w:fill="auto"/>
            <w:noWrap/>
            <w:vAlign w:val="bottom"/>
            <w:hideMark/>
          </w:tcPr>
          <w:p w14:paraId="2327B2ED" w14:textId="0E0CA7CF" w:rsidR="00B23446" w:rsidRDefault="00B23446" w:rsidP="00B23446">
            <w:pPr>
              <w:jc w:val="right"/>
              <w:rPr>
                <w:color w:val="000000"/>
                <w:sz w:val="20"/>
                <w:szCs w:val="20"/>
              </w:rPr>
            </w:pPr>
            <w:r>
              <w:rPr>
                <w:color w:val="000000"/>
                <w:sz w:val="20"/>
                <w:szCs w:val="20"/>
              </w:rPr>
              <w:t>0.001</w:t>
            </w:r>
          </w:p>
        </w:tc>
      </w:tr>
      <w:tr w:rsidR="00B23446" w14:paraId="086FA456" w14:textId="77777777" w:rsidTr="0022212F">
        <w:trPr>
          <w:trHeight w:val="320"/>
        </w:trPr>
        <w:tc>
          <w:tcPr>
            <w:tcW w:w="1176" w:type="dxa"/>
            <w:tcBorders>
              <w:top w:val="nil"/>
              <w:left w:val="nil"/>
              <w:bottom w:val="nil"/>
              <w:right w:val="nil"/>
            </w:tcBorders>
            <w:shd w:val="clear" w:color="auto" w:fill="auto"/>
            <w:noWrap/>
            <w:vAlign w:val="bottom"/>
            <w:hideMark/>
          </w:tcPr>
          <w:p w14:paraId="5D22F684"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1581D9E"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C74ECF2" w14:textId="6F19FAF3" w:rsidR="00B23446" w:rsidRDefault="00B23446" w:rsidP="00B2344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CB2E2BF" w14:textId="3DE62D8A" w:rsidR="00B23446" w:rsidRDefault="00B23446" w:rsidP="00B23446">
            <w:pPr>
              <w:jc w:val="right"/>
              <w:rPr>
                <w:color w:val="000000"/>
                <w:sz w:val="20"/>
                <w:szCs w:val="20"/>
              </w:rPr>
            </w:pPr>
            <w:r>
              <w:rPr>
                <w:color w:val="000000"/>
                <w:sz w:val="20"/>
                <w:szCs w:val="20"/>
              </w:rPr>
              <w:t>0.542</w:t>
            </w:r>
          </w:p>
        </w:tc>
        <w:tc>
          <w:tcPr>
            <w:tcW w:w="768" w:type="dxa"/>
            <w:tcBorders>
              <w:top w:val="nil"/>
              <w:left w:val="nil"/>
              <w:bottom w:val="nil"/>
              <w:right w:val="nil"/>
            </w:tcBorders>
            <w:shd w:val="clear" w:color="auto" w:fill="auto"/>
            <w:noWrap/>
            <w:vAlign w:val="bottom"/>
            <w:hideMark/>
          </w:tcPr>
          <w:p w14:paraId="35B18344" w14:textId="0A76B7FD"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05A549" w14:textId="65EF3632" w:rsidR="00B23446" w:rsidRDefault="00B23446" w:rsidP="00B23446">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51A2DCB3" w14:textId="6507EC55" w:rsidR="00B23446" w:rsidRDefault="00B23446" w:rsidP="00B23446">
            <w:pPr>
              <w:jc w:val="right"/>
              <w:rPr>
                <w:color w:val="000000"/>
                <w:sz w:val="20"/>
                <w:szCs w:val="20"/>
              </w:rPr>
            </w:pPr>
            <w:r>
              <w:rPr>
                <w:color w:val="000000"/>
                <w:sz w:val="20"/>
                <w:szCs w:val="20"/>
              </w:rPr>
              <w:t>0.304</w:t>
            </w:r>
          </w:p>
        </w:tc>
        <w:tc>
          <w:tcPr>
            <w:tcW w:w="768" w:type="dxa"/>
            <w:tcBorders>
              <w:top w:val="nil"/>
              <w:left w:val="nil"/>
              <w:bottom w:val="nil"/>
              <w:right w:val="nil"/>
            </w:tcBorders>
            <w:shd w:val="clear" w:color="auto" w:fill="auto"/>
            <w:noWrap/>
            <w:vAlign w:val="bottom"/>
            <w:hideMark/>
          </w:tcPr>
          <w:p w14:paraId="6FF9B08B" w14:textId="058750D5"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8F6A574" w14:textId="05B4E9CA" w:rsidR="00B23446" w:rsidRDefault="00B23446" w:rsidP="00B23446">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09362EC8" w14:textId="3B28A3ED"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7EAD67C0" w14:textId="364335BA"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D721A53" w14:textId="47E1A437" w:rsidR="00B23446" w:rsidRDefault="00B23446" w:rsidP="00B23446">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7D68B971" w14:textId="736C80C1" w:rsidR="00B23446" w:rsidRDefault="00B23446" w:rsidP="00B23446">
            <w:pPr>
              <w:jc w:val="right"/>
              <w:rPr>
                <w:color w:val="000000"/>
                <w:sz w:val="20"/>
                <w:szCs w:val="20"/>
              </w:rPr>
            </w:pPr>
            <w:r>
              <w:rPr>
                <w:color w:val="000000"/>
                <w:sz w:val="20"/>
                <w:szCs w:val="20"/>
              </w:rPr>
              <w:t>0.376</w:t>
            </w:r>
          </w:p>
        </w:tc>
        <w:tc>
          <w:tcPr>
            <w:tcW w:w="768" w:type="dxa"/>
            <w:tcBorders>
              <w:top w:val="nil"/>
              <w:left w:val="nil"/>
              <w:bottom w:val="nil"/>
              <w:right w:val="nil"/>
            </w:tcBorders>
            <w:shd w:val="clear" w:color="auto" w:fill="auto"/>
            <w:noWrap/>
            <w:vAlign w:val="bottom"/>
            <w:hideMark/>
          </w:tcPr>
          <w:p w14:paraId="359F1558" w14:textId="6BA20177"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3029D06" w14:textId="632C9186" w:rsidR="00B23446" w:rsidRDefault="00B23446" w:rsidP="00B23446">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64EB0AC" w14:textId="4EA9A126" w:rsidR="00B23446" w:rsidRDefault="00B23446" w:rsidP="00B23446">
            <w:pPr>
              <w:jc w:val="right"/>
              <w:rPr>
                <w:color w:val="000000"/>
                <w:sz w:val="20"/>
                <w:szCs w:val="20"/>
              </w:rPr>
            </w:pPr>
            <w:r>
              <w:rPr>
                <w:color w:val="000000"/>
                <w:sz w:val="20"/>
                <w:szCs w:val="20"/>
              </w:rPr>
              <w:t>0.407</w:t>
            </w:r>
          </w:p>
        </w:tc>
        <w:tc>
          <w:tcPr>
            <w:tcW w:w="768" w:type="dxa"/>
            <w:tcBorders>
              <w:top w:val="nil"/>
              <w:left w:val="nil"/>
              <w:bottom w:val="nil"/>
              <w:right w:val="nil"/>
            </w:tcBorders>
            <w:shd w:val="clear" w:color="auto" w:fill="auto"/>
            <w:noWrap/>
            <w:vAlign w:val="bottom"/>
            <w:hideMark/>
          </w:tcPr>
          <w:p w14:paraId="13DC6086" w14:textId="5267B2E5" w:rsidR="00B23446" w:rsidRDefault="00B23446" w:rsidP="00B23446">
            <w:pPr>
              <w:jc w:val="right"/>
              <w:rPr>
                <w:color w:val="000000"/>
                <w:sz w:val="20"/>
                <w:szCs w:val="20"/>
              </w:rPr>
            </w:pPr>
            <w:r>
              <w:rPr>
                <w:color w:val="000000"/>
                <w:sz w:val="20"/>
                <w:szCs w:val="20"/>
              </w:rPr>
              <w:t>0.002</w:t>
            </w:r>
          </w:p>
        </w:tc>
      </w:tr>
      <w:tr w:rsidR="00B23446" w14:paraId="1DE50C04" w14:textId="77777777" w:rsidTr="0022212F">
        <w:trPr>
          <w:trHeight w:val="320"/>
        </w:trPr>
        <w:tc>
          <w:tcPr>
            <w:tcW w:w="1176" w:type="dxa"/>
            <w:tcBorders>
              <w:top w:val="nil"/>
              <w:left w:val="nil"/>
              <w:bottom w:val="nil"/>
              <w:right w:val="nil"/>
            </w:tcBorders>
            <w:shd w:val="clear" w:color="auto" w:fill="auto"/>
            <w:noWrap/>
            <w:vAlign w:val="bottom"/>
            <w:hideMark/>
          </w:tcPr>
          <w:p w14:paraId="3E003ECD"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7603DC"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C7ECA0B" w14:textId="0A509220" w:rsidR="00B23446" w:rsidRDefault="00B23446" w:rsidP="00B23446">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7719C788" w14:textId="0EAE20F6" w:rsidR="00B23446" w:rsidRDefault="00B23446" w:rsidP="00B23446">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3308ADCF" w14:textId="4E5E03B0"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F00AC59" w14:textId="79F2DC6D" w:rsidR="00B23446" w:rsidRDefault="00B23446" w:rsidP="00B23446">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07E0BD7C" w14:textId="7C504C76" w:rsidR="00B23446" w:rsidRDefault="00B23446" w:rsidP="00B23446">
            <w:pPr>
              <w:jc w:val="right"/>
              <w:rPr>
                <w:color w:val="000000"/>
                <w:sz w:val="20"/>
                <w:szCs w:val="20"/>
              </w:rPr>
            </w:pPr>
            <w:r>
              <w:rPr>
                <w:color w:val="000000"/>
                <w:sz w:val="20"/>
                <w:szCs w:val="20"/>
              </w:rPr>
              <w:t>0.395</w:t>
            </w:r>
          </w:p>
        </w:tc>
        <w:tc>
          <w:tcPr>
            <w:tcW w:w="768" w:type="dxa"/>
            <w:tcBorders>
              <w:top w:val="nil"/>
              <w:left w:val="nil"/>
              <w:bottom w:val="nil"/>
              <w:right w:val="nil"/>
            </w:tcBorders>
            <w:shd w:val="clear" w:color="auto" w:fill="auto"/>
            <w:noWrap/>
            <w:vAlign w:val="bottom"/>
            <w:hideMark/>
          </w:tcPr>
          <w:p w14:paraId="53D1E7EE" w14:textId="1AF7BC0C"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6BB83E8" w14:textId="6D7CB832"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2C02B14" w14:textId="4C2826CC"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31418944" w14:textId="379D77B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3BB7DE" w14:textId="3ED74CE3" w:rsidR="00B23446" w:rsidRDefault="00B23446" w:rsidP="00B2344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009820A" w14:textId="6CB005B9"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27CE6A90" w14:textId="0790A359"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DAE13E" w14:textId="2811A909" w:rsidR="00B23446" w:rsidRDefault="00B23446" w:rsidP="00B2344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4BFFD393" w14:textId="1E85BD57" w:rsidR="00B23446" w:rsidRDefault="00B23446" w:rsidP="00B23446">
            <w:pPr>
              <w:jc w:val="right"/>
              <w:rPr>
                <w:color w:val="000000"/>
                <w:sz w:val="20"/>
                <w:szCs w:val="20"/>
              </w:rPr>
            </w:pPr>
            <w:r>
              <w:rPr>
                <w:color w:val="000000"/>
                <w:sz w:val="20"/>
                <w:szCs w:val="20"/>
              </w:rPr>
              <w:t>0.407</w:t>
            </w:r>
          </w:p>
        </w:tc>
        <w:tc>
          <w:tcPr>
            <w:tcW w:w="768" w:type="dxa"/>
            <w:tcBorders>
              <w:top w:val="nil"/>
              <w:left w:val="nil"/>
              <w:bottom w:val="nil"/>
              <w:right w:val="nil"/>
            </w:tcBorders>
            <w:shd w:val="clear" w:color="auto" w:fill="auto"/>
            <w:noWrap/>
            <w:vAlign w:val="bottom"/>
            <w:hideMark/>
          </w:tcPr>
          <w:p w14:paraId="30649641" w14:textId="00AAEFA2" w:rsidR="00B23446" w:rsidRDefault="00B23446" w:rsidP="00B23446">
            <w:pPr>
              <w:jc w:val="right"/>
              <w:rPr>
                <w:color w:val="000000"/>
                <w:sz w:val="20"/>
                <w:szCs w:val="20"/>
              </w:rPr>
            </w:pPr>
            <w:r>
              <w:rPr>
                <w:color w:val="000000"/>
                <w:sz w:val="20"/>
                <w:szCs w:val="20"/>
              </w:rPr>
              <w:t>0.003</w:t>
            </w:r>
          </w:p>
        </w:tc>
      </w:tr>
      <w:tr w:rsidR="00B23446" w14:paraId="193B16B0" w14:textId="77777777" w:rsidTr="0022212F">
        <w:trPr>
          <w:trHeight w:val="320"/>
        </w:trPr>
        <w:tc>
          <w:tcPr>
            <w:tcW w:w="1176" w:type="dxa"/>
            <w:tcBorders>
              <w:top w:val="nil"/>
              <w:left w:val="nil"/>
              <w:bottom w:val="nil"/>
              <w:right w:val="nil"/>
            </w:tcBorders>
            <w:shd w:val="clear" w:color="auto" w:fill="auto"/>
            <w:noWrap/>
            <w:vAlign w:val="bottom"/>
            <w:hideMark/>
          </w:tcPr>
          <w:p w14:paraId="770AA51B"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E6CEABA"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375CD64" w14:textId="00A5A62A" w:rsidR="00B23446" w:rsidRDefault="00B23446" w:rsidP="00B2344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39555DDB" w14:textId="696F24D5" w:rsidR="00B23446" w:rsidRDefault="00B23446" w:rsidP="00B23446">
            <w:pPr>
              <w:jc w:val="right"/>
              <w:rPr>
                <w:color w:val="000000"/>
                <w:sz w:val="20"/>
                <w:szCs w:val="20"/>
              </w:rPr>
            </w:pPr>
            <w:r>
              <w:rPr>
                <w:color w:val="000000"/>
                <w:sz w:val="20"/>
                <w:szCs w:val="20"/>
              </w:rPr>
              <w:t>0.542</w:t>
            </w:r>
          </w:p>
        </w:tc>
        <w:tc>
          <w:tcPr>
            <w:tcW w:w="768" w:type="dxa"/>
            <w:tcBorders>
              <w:top w:val="nil"/>
              <w:left w:val="nil"/>
              <w:bottom w:val="nil"/>
              <w:right w:val="nil"/>
            </w:tcBorders>
            <w:shd w:val="clear" w:color="auto" w:fill="auto"/>
            <w:noWrap/>
            <w:vAlign w:val="bottom"/>
            <w:hideMark/>
          </w:tcPr>
          <w:p w14:paraId="1AFE5CF3" w14:textId="5339F653"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408735" w14:textId="60335A23"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58FC72E" w14:textId="37B7FEE1" w:rsidR="00B23446" w:rsidRDefault="00B23446" w:rsidP="00B23446">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57D92220" w14:textId="7C8A5AB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FFF0D7A" w14:textId="6A9D7128"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6B4D1B8" w14:textId="03CB1D1A"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51DE55DC" w14:textId="7937061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90C6D7" w14:textId="02959F4D"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22911DB" w14:textId="27F44EB1" w:rsidR="00B23446" w:rsidRDefault="00B23446" w:rsidP="00B23446">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1C9EB9AE" w14:textId="3A670A0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4607C1" w14:textId="69BED6C3" w:rsidR="00B23446" w:rsidRDefault="00B23446" w:rsidP="00B2344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9A42BC9" w14:textId="4F8A56E1" w:rsidR="00B23446" w:rsidRDefault="00B23446" w:rsidP="00B23446">
            <w:pPr>
              <w:jc w:val="right"/>
              <w:rPr>
                <w:color w:val="000000"/>
                <w:sz w:val="20"/>
                <w:szCs w:val="20"/>
              </w:rPr>
            </w:pPr>
            <w:r>
              <w:rPr>
                <w:color w:val="000000"/>
                <w:sz w:val="20"/>
                <w:szCs w:val="20"/>
              </w:rPr>
              <w:t>0.407</w:t>
            </w:r>
          </w:p>
        </w:tc>
        <w:tc>
          <w:tcPr>
            <w:tcW w:w="768" w:type="dxa"/>
            <w:tcBorders>
              <w:top w:val="nil"/>
              <w:left w:val="nil"/>
              <w:bottom w:val="nil"/>
              <w:right w:val="nil"/>
            </w:tcBorders>
            <w:shd w:val="clear" w:color="auto" w:fill="auto"/>
            <w:noWrap/>
            <w:vAlign w:val="bottom"/>
            <w:hideMark/>
          </w:tcPr>
          <w:p w14:paraId="5A30B275" w14:textId="2410EE0B" w:rsidR="00B23446" w:rsidRDefault="00B23446" w:rsidP="00B23446">
            <w:pPr>
              <w:jc w:val="right"/>
              <w:rPr>
                <w:color w:val="000000"/>
                <w:sz w:val="20"/>
                <w:szCs w:val="20"/>
              </w:rPr>
            </w:pPr>
            <w:r>
              <w:rPr>
                <w:color w:val="000000"/>
                <w:sz w:val="20"/>
                <w:szCs w:val="20"/>
              </w:rPr>
              <w:t>0.002</w:t>
            </w:r>
          </w:p>
        </w:tc>
      </w:tr>
      <w:tr w:rsidR="00B23446" w14:paraId="7BE6C174" w14:textId="77777777" w:rsidTr="0022212F">
        <w:trPr>
          <w:trHeight w:val="320"/>
        </w:trPr>
        <w:tc>
          <w:tcPr>
            <w:tcW w:w="1176" w:type="dxa"/>
            <w:tcBorders>
              <w:top w:val="nil"/>
              <w:left w:val="nil"/>
              <w:bottom w:val="nil"/>
              <w:right w:val="nil"/>
            </w:tcBorders>
            <w:shd w:val="clear" w:color="auto" w:fill="auto"/>
            <w:noWrap/>
            <w:vAlign w:val="bottom"/>
            <w:hideMark/>
          </w:tcPr>
          <w:p w14:paraId="0AE20BCC"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CEB4AE2"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9A4754E" w14:textId="757A9062"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534E378" w14:textId="36F0B3EA" w:rsidR="00B23446" w:rsidRDefault="00B23446" w:rsidP="00B23446">
            <w:pPr>
              <w:jc w:val="right"/>
              <w:rPr>
                <w:color w:val="000000"/>
                <w:sz w:val="20"/>
                <w:szCs w:val="20"/>
              </w:rPr>
            </w:pPr>
            <w:r>
              <w:rPr>
                <w:color w:val="000000"/>
                <w:sz w:val="20"/>
                <w:szCs w:val="20"/>
              </w:rPr>
              <w:t>0.542</w:t>
            </w:r>
          </w:p>
        </w:tc>
        <w:tc>
          <w:tcPr>
            <w:tcW w:w="768" w:type="dxa"/>
            <w:tcBorders>
              <w:top w:val="nil"/>
              <w:left w:val="nil"/>
              <w:bottom w:val="nil"/>
              <w:right w:val="nil"/>
            </w:tcBorders>
            <w:shd w:val="clear" w:color="auto" w:fill="auto"/>
            <w:noWrap/>
            <w:vAlign w:val="bottom"/>
            <w:hideMark/>
          </w:tcPr>
          <w:p w14:paraId="59071390" w14:textId="7C9D21B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865227" w14:textId="4B24DFC0" w:rsidR="00B23446" w:rsidRDefault="00B23446" w:rsidP="00B23446">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5F0A9003" w14:textId="437D497B" w:rsidR="00B23446" w:rsidRDefault="00B23446" w:rsidP="00B23446">
            <w:pPr>
              <w:jc w:val="right"/>
              <w:rPr>
                <w:color w:val="000000"/>
                <w:sz w:val="20"/>
                <w:szCs w:val="20"/>
              </w:rPr>
            </w:pPr>
            <w:r>
              <w:rPr>
                <w:color w:val="000000"/>
                <w:sz w:val="20"/>
                <w:szCs w:val="20"/>
              </w:rPr>
              <w:t>0.304</w:t>
            </w:r>
          </w:p>
        </w:tc>
        <w:tc>
          <w:tcPr>
            <w:tcW w:w="768" w:type="dxa"/>
            <w:tcBorders>
              <w:top w:val="nil"/>
              <w:left w:val="nil"/>
              <w:bottom w:val="nil"/>
              <w:right w:val="nil"/>
            </w:tcBorders>
            <w:shd w:val="clear" w:color="auto" w:fill="auto"/>
            <w:noWrap/>
            <w:vAlign w:val="bottom"/>
            <w:hideMark/>
          </w:tcPr>
          <w:p w14:paraId="3343A805" w14:textId="0CBC4781"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59194FE" w14:textId="2EC43272" w:rsidR="00B23446" w:rsidRDefault="00B23446" w:rsidP="00B2344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7D0DB18E" w14:textId="420A2AF4" w:rsidR="00B23446" w:rsidRDefault="00B23446" w:rsidP="00B23446">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11619A43" w14:textId="0369D53F"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867B19D" w14:textId="774CED27"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D15B37E" w14:textId="03FE56E2"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7493D258" w14:textId="7819430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F9779F" w14:textId="0C8531A0"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2E6F0021" w14:textId="203BCAC2" w:rsidR="00B23446" w:rsidRDefault="00B23446" w:rsidP="00B23446">
            <w:pPr>
              <w:jc w:val="right"/>
              <w:rPr>
                <w:color w:val="000000"/>
                <w:sz w:val="20"/>
                <w:szCs w:val="20"/>
              </w:rPr>
            </w:pPr>
            <w:r>
              <w:rPr>
                <w:color w:val="000000"/>
                <w:sz w:val="20"/>
                <w:szCs w:val="20"/>
              </w:rPr>
              <w:t>0.407</w:t>
            </w:r>
          </w:p>
        </w:tc>
        <w:tc>
          <w:tcPr>
            <w:tcW w:w="768" w:type="dxa"/>
            <w:tcBorders>
              <w:top w:val="nil"/>
              <w:left w:val="nil"/>
              <w:bottom w:val="nil"/>
              <w:right w:val="nil"/>
            </w:tcBorders>
            <w:shd w:val="clear" w:color="auto" w:fill="auto"/>
            <w:noWrap/>
            <w:vAlign w:val="bottom"/>
            <w:hideMark/>
          </w:tcPr>
          <w:p w14:paraId="7364C502" w14:textId="5ACE5257" w:rsidR="00B23446" w:rsidRDefault="00B23446" w:rsidP="00B23446">
            <w:pPr>
              <w:jc w:val="right"/>
              <w:rPr>
                <w:color w:val="000000"/>
                <w:sz w:val="20"/>
                <w:szCs w:val="20"/>
              </w:rPr>
            </w:pPr>
            <w:r>
              <w:rPr>
                <w:color w:val="000000"/>
                <w:sz w:val="20"/>
                <w:szCs w:val="20"/>
              </w:rPr>
              <w:t>0.002</w:t>
            </w:r>
          </w:p>
        </w:tc>
      </w:tr>
      <w:tr w:rsidR="00B23446" w14:paraId="3BEB7D7A" w14:textId="77777777" w:rsidTr="0022212F">
        <w:trPr>
          <w:trHeight w:val="320"/>
        </w:trPr>
        <w:tc>
          <w:tcPr>
            <w:tcW w:w="1176" w:type="dxa"/>
            <w:tcBorders>
              <w:top w:val="nil"/>
              <w:left w:val="nil"/>
              <w:bottom w:val="nil"/>
              <w:right w:val="nil"/>
            </w:tcBorders>
            <w:shd w:val="clear" w:color="auto" w:fill="auto"/>
            <w:noWrap/>
            <w:vAlign w:val="bottom"/>
            <w:hideMark/>
          </w:tcPr>
          <w:p w14:paraId="5E98765A"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A01343D"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B3DBDF6" w14:textId="17C57FD4" w:rsidR="00B23446" w:rsidRDefault="00B23446" w:rsidP="00B23446">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4AAD49E1" w14:textId="525D4F3B" w:rsidR="00B23446" w:rsidRDefault="00B23446" w:rsidP="00B23446">
            <w:pPr>
              <w:jc w:val="right"/>
              <w:rPr>
                <w:color w:val="000000"/>
                <w:sz w:val="20"/>
                <w:szCs w:val="20"/>
              </w:rPr>
            </w:pPr>
            <w:r>
              <w:rPr>
                <w:color w:val="000000"/>
                <w:sz w:val="20"/>
                <w:szCs w:val="20"/>
              </w:rPr>
              <w:t>0.542</w:t>
            </w:r>
          </w:p>
        </w:tc>
        <w:tc>
          <w:tcPr>
            <w:tcW w:w="768" w:type="dxa"/>
            <w:tcBorders>
              <w:top w:val="nil"/>
              <w:left w:val="nil"/>
              <w:bottom w:val="nil"/>
              <w:right w:val="nil"/>
            </w:tcBorders>
            <w:shd w:val="clear" w:color="auto" w:fill="auto"/>
            <w:noWrap/>
            <w:vAlign w:val="bottom"/>
            <w:hideMark/>
          </w:tcPr>
          <w:p w14:paraId="74F80976" w14:textId="2C69C55C"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A8FF411" w14:textId="5450EF9A"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F93284A" w14:textId="14670E09" w:rsidR="00B23446" w:rsidRDefault="00B23446" w:rsidP="00B23446">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3B7D58E1" w14:textId="1270FDD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C779D7" w14:textId="7C021602"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99A1F98" w14:textId="3BBB0C5D" w:rsidR="00B23446" w:rsidRDefault="00B23446" w:rsidP="00B23446">
            <w:pPr>
              <w:jc w:val="right"/>
              <w:rPr>
                <w:color w:val="000000"/>
                <w:sz w:val="20"/>
                <w:szCs w:val="20"/>
              </w:rPr>
            </w:pPr>
            <w:r>
              <w:rPr>
                <w:color w:val="000000"/>
                <w:sz w:val="20"/>
                <w:szCs w:val="20"/>
              </w:rPr>
              <w:t>0.376</w:t>
            </w:r>
          </w:p>
        </w:tc>
        <w:tc>
          <w:tcPr>
            <w:tcW w:w="768" w:type="dxa"/>
            <w:tcBorders>
              <w:top w:val="nil"/>
              <w:left w:val="nil"/>
              <w:bottom w:val="nil"/>
              <w:right w:val="nil"/>
            </w:tcBorders>
            <w:shd w:val="clear" w:color="auto" w:fill="auto"/>
            <w:noWrap/>
            <w:vAlign w:val="bottom"/>
            <w:hideMark/>
          </w:tcPr>
          <w:p w14:paraId="38BAF90A" w14:textId="5BAE27FE"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7F0C0E8" w14:textId="32105401"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A258109" w14:textId="6192FF60" w:rsidR="00B23446" w:rsidRDefault="00B23446" w:rsidP="00B23446">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3BD420BE" w14:textId="67AA073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F8F722" w14:textId="3720ED04" w:rsidR="00B23446" w:rsidRDefault="00B23446" w:rsidP="00B23446">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112DB297" w14:textId="560B96F9" w:rsidR="00B23446" w:rsidRDefault="00B23446" w:rsidP="00B23446">
            <w:pPr>
              <w:jc w:val="right"/>
              <w:rPr>
                <w:color w:val="000000"/>
                <w:sz w:val="20"/>
                <w:szCs w:val="20"/>
              </w:rPr>
            </w:pPr>
            <w:r>
              <w:rPr>
                <w:color w:val="000000"/>
                <w:sz w:val="20"/>
                <w:szCs w:val="20"/>
              </w:rPr>
              <w:t>0.407</w:t>
            </w:r>
          </w:p>
        </w:tc>
        <w:tc>
          <w:tcPr>
            <w:tcW w:w="768" w:type="dxa"/>
            <w:tcBorders>
              <w:top w:val="nil"/>
              <w:left w:val="nil"/>
              <w:bottom w:val="nil"/>
              <w:right w:val="nil"/>
            </w:tcBorders>
            <w:shd w:val="clear" w:color="auto" w:fill="auto"/>
            <w:noWrap/>
            <w:vAlign w:val="bottom"/>
            <w:hideMark/>
          </w:tcPr>
          <w:p w14:paraId="2128F92A" w14:textId="7486E73D" w:rsidR="00B23446" w:rsidRDefault="00B23446" w:rsidP="00B23446">
            <w:pPr>
              <w:jc w:val="right"/>
              <w:rPr>
                <w:color w:val="000000"/>
                <w:sz w:val="20"/>
                <w:szCs w:val="20"/>
              </w:rPr>
            </w:pPr>
            <w:r>
              <w:rPr>
                <w:color w:val="000000"/>
                <w:sz w:val="20"/>
                <w:szCs w:val="20"/>
              </w:rPr>
              <w:t>0.001</w:t>
            </w:r>
          </w:p>
        </w:tc>
      </w:tr>
      <w:tr w:rsidR="00B23446" w14:paraId="1C296E4C" w14:textId="77777777" w:rsidTr="0022212F">
        <w:trPr>
          <w:trHeight w:val="320"/>
        </w:trPr>
        <w:tc>
          <w:tcPr>
            <w:tcW w:w="1176" w:type="dxa"/>
            <w:tcBorders>
              <w:top w:val="nil"/>
              <w:left w:val="nil"/>
              <w:bottom w:val="single" w:sz="4" w:space="0" w:color="auto"/>
              <w:right w:val="nil"/>
            </w:tcBorders>
            <w:shd w:val="clear" w:color="auto" w:fill="auto"/>
            <w:noWrap/>
            <w:vAlign w:val="bottom"/>
            <w:hideMark/>
          </w:tcPr>
          <w:p w14:paraId="54397428"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B29FD45"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4E618A1" w14:textId="26B2C579" w:rsidR="00B23446" w:rsidRDefault="00B23446" w:rsidP="00B23446">
            <w:pPr>
              <w:jc w:val="right"/>
              <w:rPr>
                <w:color w:val="000000"/>
                <w:sz w:val="20"/>
                <w:szCs w:val="20"/>
              </w:rPr>
            </w:pPr>
            <w:r>
              <w:rPr>
                <w:color w:val="000000"/>
                <w:sz w:val="20"/>
                <w:szCs w:val="20"/>
              </w:rPr>
              <w:t>-0.043</w:t>
            </w:r>
          </w:p>
        </w:tc>
        <w:tc>
          <w:tcPr>
            <w:tcW w:w="768" w:type="dxa"/>
            <w:tcBorders>
              <w:top w:val="nil"/>
              <w:left w:val="nil"/>
              <w:bottom w:val="single" w:sz="4" w:space="0" w:color="auto"/>
              <w:right w:val="nil"/>
            </w:tcBorders>
            <w:shd w:val="clear" w:color="auto" w:fill="auto"/>
            <w:noWrap/>
            <w:vAlign w:val="bottom"/>
            <w:hideMark/>
          </w:tcPr>
          <w:p w14:paraId="1A4BCD27" w14:textId="65C75370" w:rsidR="00B23446" w:rsidRDefault="00B23446" w:rsidP="00B23446">
            <w:pPr>
              <w:jc w:val="right"/>
              <w:rPr>
                <w:color w:val="000000"/>
                <w:sz w:val="20"/>
                <w:szCs w:val="20"/>
              </w:rPr>
            </w:pPr>
            <w:r>
              <w:rPr>
                <w:color w:val="000000"/>
                <w:sz w:val="20"/>
                <w:szCs w:val="20"/>
              </w:rPr>
              <w:t>0.542</w:t>
            </w:r>
          </w:p>
        </w:tc>
        <w:tc>
          <w:tcPr>
            <w:tcW w:w="768" w:type="dxa"/>
            <w:tcBorders>
              <w:top w:val="nil"/>
              <w:left w:val="nil"/>
              <w:bottom w:val="single" w:sz="4" w:space="0" w:color="auto"/>
              <w:right w:val="nil"/>
            </w:tcBorders>
            <w:shd w:val="clear" w:color="auto" w:fill="auto"/>
            <w:noWrap/>
            <w:vAlign w:val="bottom"/>
            <w:hideMark/>
          </w:tcPr>
          <w:p w14:paraId="690A23E3" w14:textId="5B89BCC3"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50FA9AF" w14:textId="0E6A6417" w:rsidR="00B23446" w:rsidRDefault="00B23446" w:rsidP="00B23446">
            <w:pPr>
              <w:jc w:val="right"/>
              <w:rPr>
                <w:color w:val="000000"/>
                <w:sz w:val="20"/>
                <w:szCs w:val="20"/>
              </w:rPr>
            </w:pPr>
            <w:r>
              <w:rPr>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04ED7FD6" w14:textId="4D8601D4" w:rsidR="00B23446" w:rsidRDefault="00B23446" w:rsidP="00B23446">
            <w:pPr>
              <w:jc w:val="right"/>
              <w:rPr>
                <w:color w:val="000000"/>
                <w:sz w:val="20"/>
                <w:szCs w:val="20"/>
              </w:rPr>
            </w:pPr>
            <w:r>
              <w:rPr>
                <w:color w:val="000000"/>
                <w:sz w:val="20"/>
                <w:szCs w:val="20"/>
              </w:rPr>
              <w:t>0.644</w:t>
            </w:r>
          </w:p>
        </w:tc>
        <w:tc>
          <w:tcPr>
            <w:tcW w:w="768" w:type="dxa"/>
            <w:tcBorders>
              <w:top w:val="nil"/>
              <w:left w:val="nil"/>
              <w:bottom w:val="single" w:sz="4" w:space="0" w:color="auto"/>
              <w:right w:val="nil"/>
            </w:tcBorders>
            <w:shd w:val="clear" w:color="auto" w:fill="auto"/>
            <w:noWrap/>
            <w:vAlign w:val="bottom"/>
            <w:hideMark/>
          </w:tcPr>
          <w:p w14:paraId="264DDF61" w14:textId="2654CC06"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47F4D47" w14:textId="5FC5489C"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72C469BE" w14:textId="69407E42"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single" w:sz="4" w:space="0" w:color="auto"/>
              <w:right w:val="nil"/>
            </w:tcBorders>
            <w:shd w:val="clear" w:color="auto" w:fill="auto"/>
            <w:noWrap/>
            <w:vAlign w:val="bottom"/>
            <w:hideMark/>
          </w:tcPr>
          <w:p w14:paraId="74198CC4" w14:textId="182DD7AF"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33A2707" w14:textId="7C02AD6D"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38F7F9B5" w14:textId="39640A4F" w:rsidR="00B23446" w:rsidRDefault="00B23446" w:rsidP="00B23446">
            <w:pPr>
              <w:jc w:val="right"/>
              <w:rPr>
                <w:color w:val="000000"/>
                <w:sz w:val="20"/>
                <w:szCs w:val="20"/>
              </w:rPr>
            </w:pPr>
            <w:r>
              <w:rPr>
                <w:color w:val="000000"/>
                <w:sz w:val="20"/>
                <w:szCs w:val="20"/>
              </w:rPr>
              <w:t>0.935</w:t>
            </w:r>
          </w:p>
        </w:tc>
        <w:tc>
          <w:tcPr>
            <w:tcW w:w="768" w:type="dxa"/>
            <w:tcBorders>
              <w:top w:val="nil"/>
              <w:left w:val="nil"/>
              <w:bottom w:val="single" w:sz="4" w:space="0" w:color="auto"/>
              <w:right w:val="nil"/>
            </w:tcBorders>
            <w:shd w:val="clear" w:color="auto" w:fill="auto"/>
            <w:noWrap/>
            <w:vAlign w:val="bottom"/>
            <w:hideMark/>
          </w:tcPr>
          <w:p w14:paraId="1C335725" w14:textId="7B8F47AD"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8A2D75E" w14:textId="0228499C"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1A2D2271" w14:textId="39D42B29" w:rsidR="00B23446" w:rsidRDefault="00B23446" w:rsidP="00B23446">
            <w:pPr>
              <w:jc w:val="right"/>
              <w:rPr>
                <w:color w:val="000000"/>
                <w:sz w:val="20"/>
                <w:szCs w:val="20"/>
              </w:rPr>
            </w:pPr>
            <w:r>
              <w:rPr>
                <w:color w:val="000000"/>
                <w:sz w:val="20"/>
                <w:szCs w:val="20"/>
              </w:rPr>
              <w:t>0.898</w:t>
            </w:r>
          </w:p>
        </w:tc>
        <w:tc>
          <w:tcPr>
            <w:tcW w:w="768" w:type="dxa"/>
            <w:tcBorders>
              <w:top w:val="nil"/>
              <w:left w:val="nil"/>
              <w:bottom w:val="single" w:sz="4" w:space="0" w:color="auto"/>
              <w:right w:val="nil"/>
            </w:tcBorders>
            <w:shd w:val="clear" w:color="auto" w:fill="auto"/>
            <w:noWrap/>
            <w:vAlign w:val="bottom"/>
            <w:hideMark/>
          </w:tcPr>
          <w:p w14:paraId="508F151A" w14:textId="605AA686" w:rsidR="00B23446" w:rsidRDefault="00B23446" w:rsidP="00B23446">
            <w:pPr>
              <w:jc w:val="right"/>
              <w:rPr>
                <w:color w:val="000000"/>
                <w:sz w:val="20"/>
                <w:szCs w:val="20"/>
              </w:rPr>
            </w:pPr>
            <w:r>
              <w:rPr>
                <w:color w:val="000000"/>
                <w:sz w:val="20"/>
                <w:szCs w:val="20"/>
              </w:rPr>
              <w:t>0.000</w:t>
            </w:r>
          </w:p>
        </w:tc>
      </w:tr>
      <w:tr w:rsidR="00B23446" w14:paraId="2C07AC86" w14:textId="77777777" w:rsidTr="0022212F">
        <w:trPr>
          <w:trHeight w:val="320"/>
        </w:trPr>
        <w:tc>
          <w:tcPr>
            <w:tcW w:w="1176" w:type="dxa"/>
            <w:tcBorders>
              <w:top w:val="nil"/>
              <w:left w:val="nil"/>
              <w:bottom w:val="nil"/>
              <w:right w:val="nil"/>
            </w:tcBorders>
            <w:shd w:val="clear" w:color="auto" w:fill="auto"/>
            <w:noWrap/>
            <w:vAlign w:val="bottom"/>
            <w:hideMark/>
          </w:tcPr>
          <w:p w14:paraId="7C792A01" w14:textId="77777777" w:rsidR="00B23446" w:rsidRDefault="00B23446" w:rsidP="00B23446">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4F4D64BE"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71EBAF1" w14:textId="484ABECC" w:rsidR="00B23446" w:rsidRDefault="00B23446" w:rsidP="00B23446">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0F69B4D" w14:textId="1EFC46E2" w:rsidR="00B23446" w:rsidRDefault="00B23446" w:rsidP="00B23446">
            <w:pPr>
              <w:jc w:val="right"/>
              <w:rPr>
                <w:color w:val="000000"/>
                <w:sz w:val="20"/>
                <w:szCs w:val="20"/>
              </w:rPr>
            </w:pPr>
            <w:r>
              <w:rPr>
                <w:color w:val="000000"/>
                <w:sz w:val="20"/>
                <w:szCs w:val="20"/>
              </w:rPr>
              <w:t>0.493</w:t>
            </w:r>
          </w:p>
        </w:tc>
        <w:tc>
          <w:tcPr>
            <w:tcW w:w="768" w:type="dxa"/>
            <w:tcBorders>
              <w:top w:val="nil"/>
              <w:left w:val="nil"/>
              <w:bottom w:val="nil"/>
              <w:right w:val="nil"/>
            </w:tcBorders>
            <w:shd w:val="clear" w:color="auto" w:fill="auto"/>
            <w:noWrap/>
            <w:vAlign w:val="bottom"/>
            <w:hideMark/>
          </w:tcPr>
          <w:p w14:paraId="2FB09418" w14:textId="33E71055"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42E1C43" w14:textId="06A8B5E2"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7FEEB04" w14:textId="3668D7EC" w:rsidR="00B23446" w:rsidRDefault="00B23446" w:rsidP="00B23446">
            <w:pPr>
              <w:jc w:val="right"/>
              <w:rPr>
                <w:color w:val="000000"/>
                <w:sz w:val="20"/>
                <w:szCs w:val="20"/>
              </w:rPr>
            </w:pPr>
            <w:r>
              <w:rPr>
                <w:color w:val="000000"/>
                <w:sz w:val="20"/>
                <w:szCs w:val="20"/>
              </w:rPr>
              <w:t>0.737</w:t>
            </w:r>
          </w:p>
        </w:tc>
        <w:tc>
          <w:tcPr>
            <w:tcW w:w="768" w:type="dxa"/>
            <w:tcBorders>
              <w:top w:val="nil"/>
              <w:left w:val="nil"/>
              <w:bottom w:val="nil"/>
              <w:right w:val="nil"/>
            </w:tcBorders>
            <w:shd w:val="clear" w:color="auto" w:fill="auto"/>
            <w:noWrap/>
            <w:vAlign w:val="bottom"/>
            <w:hideMark/>
          </w:tcPr>
          <w:p w14:paraId="298AC688" w14:textId="2BF961C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EF0D39" w14:textId="56C5D27F" w:rsidR="00B23446" w:rsidRDefault="00B23446" w:rsidP="00B23446">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CDB17EE" w14:textId="10A4F829" w:rsidR="00B23446" w:rsidRDefault="00B23446" w:rsidP="00B23446">
            <w:pPr>
              <w:jc w:val="right"/>
              <w:rPr>
                <w:color w:val="000000"/>
                <w:sz w:val="20"/>
                <w:szCs w:val="20"/>
              </w:rPr>
            </w:pPr>
            <w:r>
              <w:rPr>
                <w:color w:val="000000"/>
                <w:sz w:val="20"/>
                <w:szCs w:val="20"/>
              </w:rPr>
              <w:t>0.703</w:t>
            </w:r>
          </w:p>
        </w:tc>
        <w:tc>
          <w:tcPr>
            <w:tcW w:w="768" w:type="dxa"/>
            <w:tcBorders>
              <w:top w:val="nil"/>
              <w:left w:val="nil"/>
              <w:bottom w:val="nil"/>
              <w:right w:val="nil"/>
            </w:tcBorders>
            <w:shd w:val="clear" w:color="auto" w:fill="auto"/>
            <w:noWrap/>
            <w:vAlign w:val="bottom"/>
            <w:hideMark/>
          </w:tcPr>
          <w:p w14:paraId="6C31BF3A" w14:textId="257F11B3"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8215FF" w14:textId="45E4EB35" w:rsidR="00B23446" w:rsidRDefault="00B23446" w:rsidP="00B23446">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5892B047" w14:textId="3F4C28C5" w:rsidR="00B23446" w:rsidRDefault="00B23446" w:rsidP="00B23446">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0E816911" w14:textId="07D7537E"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5A8596A" w14:textId="32247F03" w:rsidR="00B23446" w:rsidRDefault="00B23446" w:rsidP="00B23446">
            <w:pPr>
              <w:jc w:val="right"/>
              <w:rPr>
                <w:color w:val="000000"/>
                <w:sz w:val="20"/>
                <w:szCs w:val="20"/>
              </w:rPr>
            </w:pPr>
            <w:r>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767AFFBC" w14:textId="76147908" w:rsidR="00B23446" w:rsidRDefault="00B23446" w:rsidP="00B23446">
            <w:pPr>
              <w:jc w:val="right"/>
              <w:rPr>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67B1D365" w14:textId="2402D9A1" w:rsidR="00B23446" w:rsidRDefault="00B23446" w:rsidP="00B23446">
            <w:pPr>
              <w:jc w:val="right"/>
              <w:rPr>
                <w:color w:val="000000"/>
                <w:sz w:val="20"/>
                <w:szCs w:val="20"/>
              </w:rPr>
            </w:pPr>
            <w:r>
              <w:rPr>
                <w:b/>
                <w:bCs/>
                <w:color w:val="000000"/>
                <w:sz w:val="20"/>
                <w:szCs w:val="20"/>
              </w:rPr>
              <w:t>0.008</w:t>
            </w:r>
          </w:p>
        </w:tc>
      </w:tr>
      <w:tr w:rsidR="00B23446" w14:paraId="7606B771" w14:textId="77777777" w:rsidTr="0022212F">
        <w:trPr>
          <w:trHeight w:val="320"/>
        </w:trPr>
        <w:tc>
          <w:tcPr>
            <w:tcW w:w="1176" w:type="dxa"/>
            <w:tcBorders>
              <w:top w:val="nil"/>
              <w:left w:val="nil"/>
              <w:bottom w:val="nil"/>
              <w:right w:val="nil"/>
            </w:tcBorders>
            <w:shd w:val="clear" w:color="auto" w:fill="auto"/>
            <w:noWrap/>
            <w:vAlign w:val="bottom"/>
            <w:hideMark/>
          </w:tcPr>
          <w:p w14:paraId="3D725A8F"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708FD88"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EF34596" w14:textId="3989188C" w:rsidR="00B23446" w:rsidRDefault="00B23446" w:rsidP="00B2344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35C17D02" w14:textId="43AACA36" w:rsidR="00B23446" w:rsidRDefault="00B23446" w:rsidP="00B23446">
            <w:pPr>
              <w:jc w:val="right"/>
              <w:rPr>
                <w:color w:val="000000"/>
                <w:sz w:val="20"/>
                <w:szCs w:val="20"/>
              </w:rPr>
            </w:pPr>
            <w:r>
              <w:rPr>
                <w:color w:val="000000"/>
                <w:sz w:val="20"/>
                <w:szCs w:val="20"/>
              </w:rPr>
              <w:t>0.440</w:t>
            </w:r>
          </w:p>
        </w:tc>
        <w:tc>
          <w:tcPr>
            <w:tcW w:w="768" w:type="dxa"/>
            <w:tcBorders>
              <w:top w:val="nil"/>
              <w:left w:val="nil"/>
              <w:bottom w:val="nil"/>
              <w:right w:val="nil"/>
            </w:tcBorders>
            <w:shd w:val="clear" w:color="auto" w:fill="auto"/>
            <w:noWrap/>
            <w:vAlign w:val="bottom"/>
            <w:hideMark/>
          </w:tcPr>
          <w:p w14:paraId="5AE596AF" w14:textId="7E6F4201"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4D29310" w14:textId="0A34C5E8" w:rsidR="00B23446" w:rsidRDefault="00B23446" w:rsidP="00B23446">
            <w:pPr>
              <w:jc w:val="right"/>
              <w:rPr>
                <w:b/>
                <w:bCs/>
                <w:color w:val="000000"/>
                <w:sz w:val="20"/>
                <w:szCs w:val="20"/>
              </w:rPr>
            </w:pPr>
            <w:r>
              <w:rPr>
                <w:b/>
                <w:bCs/>
                <w:color w:val="000000"/>
                <w:sz w:val="20"/>
                <w:szCs w:val="20"/>
              </w:rPr>
              <w:t>-0.091</w:t>
            </w:r>
          </w:p>
        </w:tc>
        <w:tc>
          <w:tcPr>
            <w:tcW w:w="768" w:type="dxa"/>
            <w:tcBorders>
              <w:top w:val="nil"/>
              <w:left w:val="nil"/>
              <w:bottom w:val="nil"/>
              <w:right w:val="nil"/>
            </w:tcBorders>
            <w:shd w:val="clear" w:color="auto" w:fill="auto"/>
            <w:noWrap/>
            <w:vAlign w:val="bottom"/>
            <w:hideMark/>
          </w:tcPr>
          <w:p w14:paraId="0D609E57" w14:textId="7A36F48D" w:rsidR="00B23446" w:rsidRDefault="00B23446" w:rsidP="00B23446">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4EA714B2" w14:textId="1A879A36" w:rsidR="00B23446" w:rsidRDefault="00B23446" w:rsidP="00B23446">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AD1C721" w14:textId="625C8BB0"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CD12E5A" w14:textId="0D36DB52" w:rsidR="00B23446" w:rsidRDefault="00B23446" w:rsidP="00B23446">
            <w:pPr>
              <w:jc w:val="right"/>
              <w:rPr>
                <w:color w:val="000000"/>
                <w:sz w:val="20"/>
                <w:szCs w:val="20"/>
              </w:rPr>
            </w:pPr>
            <w:r>
              <w:rPr>
                <w:color w:val="000000"/>
                <w:sz w:val="20"/>
                <w:szCs w:val="20"/>
              </w:rPr>
              <w:t>0.880</w:t>
            </w:r>
          </w:p>
        </w:tc>
        <w:tc>
          <w:tcPr>
            <w:tcW w:w="768" w:type="dxa"/>
            <w:tcBorders>
              <w:top w:val="nil"/>
              <w:left w:val="nil"/>
              <w:bottom w:val="nil"/>
              <w:right w:val="nil"/>
            </w:tcBorders>
            <w:shd w:val="clear" w:color="auto" w:fill="auto"/>
            <w:noWrap/>
            <w:vAlign w:val="bottom"/>
            <w:hideMark/>
          </w:tcPr>
          <w:p w14:paraId="5FEC2C27" w14:textId="7011E08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66BEDF" w14:textId="085577C5"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AB5174D" w14:textId="2D48FF38" w:rsidR="00B23446" w:rsidRDefault="00B23446" w:rsidP="00B23446">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504BB7D8" w14:textId="48DE046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D8C645" w14:textId="61BAF69A" w:rsidR="00B23446" w:rsidRDefault="00B23446" w:rsidP="00B2344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E3AEEA7" w14:textId="1F21B265" w:rsidR="00B23446" w:rsidRDefault="00B23446" w:rsidP="00B23446">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25E24F3E" w14:textId="363A3EA3" w:rsidR="00B23446" w:rsidRDefault="00B23446" w:rsidP="00B23446">
            <w:pPr>
              <w:jc w:val="right"/>
              <w:rPr>
                <w:color w:val="000000"/>
                <w:sz w:val="20"/>
                <w:szCs w:val="20"/>
              </w:rPr>
            </w:pPr>
            <w:r>
              <w:rPr>
                <w:color w:val="000000"/>
                <w:sz w:val="20"/>
                <w:szCs w:val="20"/>
              </w:rPr>
              <w:t>0.001</w:t>
            </w:r>
          </w:p>
        </w:tc>
      </w:tr>
      <w:tr w:rsidR="00B23446" w14:paraId="604569CB" w14:textId="77777777" w:rsidTr="0022212F">
        <w:trPr>
          <w:trHeight w:val="320"/>
        </w:trPr>
        <w:tc>
          <w:tcPr>
            <w:tcW w:w="1176" w:type="dxa"/>
            <w:tcBorders>
              <w:top w:val="nil"/>
              <w:left w:val="nil"/>
              <w:bottom w:val="nil"/>
              <w:right w:val="nil"/>
            </w:tcBorders>
            <w:shd w:val="clear" w:color="auto" w:fill="auto"/>
            <w:noWrap/>
            <w:vAlign w:val="bottom"/>
            <w:hideMark/>
          </w:tcPr>
          <w:p w14:paraId="7AB8538C"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6A1879"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D39A21D" w14:textId="565C5B7B" w:rsidR="00B23446" w:rsidRDefault="00B23446" w:rsidP="00B23446">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70D094E" w14:textId="7D8CF997" w:rsidR="00B23446" w:rsidRDefault="00B23446" w:rsidP="00B23446">
            <w:pPr>
              <w:jc w:val="right"/>
              <w:rPr>
                <w:color w:val="000000"/>
                <w:sz w:val="20"/>
                <w:szCs w:val="20"/>
              </w:rPr>
            </w:pPr>
            <w:r>
              <w:rPr>
                <w:color w:val="000000"/>
                <w:sz w:val="20"/>
                <w:szCs w:val="20"/>
              </w:rPr>
              <w:t>0.493</w:t>
            </w:r>
          </w:p>
        </w:tc>
        <w:tc>
          <w:tcPr>
            <w:tcW w:w="768" w:type="dxa"/>
            <w:tcBorders>
              <w:top w:val="nil"/>
              <w:left w:val="nil"/>
              <w:bottom w:val="nil"/>
              <w:right w:val="nil"/>
            </w:tcBorders>
            <w:shd w:val="clear" w:color="auto" w:fill="auto"/>
            <w:noWrap/>
            <w:vAlign w:val="bottom"/>
            <w:hideMark/>
          </w:tcPr>
          <w:p w14:paraId="1A2AB5DA" w14:textId="2CCA6D76"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38F2EBB" w14:textId="69DB7C56"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700A129" w14:textId="720FF405" w:rsidR="00B23446" w:rsidRDefault="00B23446" w:rsidP="00B23446">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4E338B05" w14:textId="5BDD9E1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691296" w14:textId="5357AD59" w:rsidR="00B23446" w:rsidRDefault="00B23446" w:rsidP="00B23446">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1BFAE12E" w14:textId="161B3994" w:rsidR="00B23446" w:rsidRDefault="00B23446" w:rsidP="00B23446">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029D6FA4" w14:textId="225CDA83"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CD09674" w14:textId="741F5C7C" w:rsidR="00B23446" w:rsidRDefault="00B23446" w:rsidP="00B2344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928E2F8" w14:textId="1E0A9C7C" w:rsidR="00B23446" w:rsidRDefault="00B23446" w:rsidP="00B23446">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50981431" w14:textId="6A890085"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4B7C4E" w14:textId="22F981A1"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BECBABD" w14:textId="5BCD99F3" w:rsidR="00B23446" w:rsidRDefault="00B23446" w:rsidP="00B23446">
            <w:pPr>
              <w:jc w:val="right"/>
              <w:rPr>
                <w:color w:val="000000"/>
                <w:sz w:val="20"/>
                <w:szCs w:val="20"/>
              </w:rPr>
            </w:pPr>
            <w:r>
              <w:rPr>
                <w:color w:val="000000"/>
                <w:sz w:val="20"/>
                <w:szCs w:val="20"/>
              </w:rPr>
              <w:t>0.787</w:t>
            </w:r>
          </w:p>
        </w:tc>
        <w:tc>
          <w:tcPr>
            <w:tcW w:w="768" w:type="dxa"/>
            <w:tcBorders>
              <w:top w:val="nil"/>
              <w:left w:val="nil"/>
              <w:bottom w:val="nil"/>
              <w:right w:val="nil"/>
            </w:tcBorders>
            <w:shd w:val="clear" w:color="auto" w:fill="auto"/>
            <w:noWrap/>
            <w:vAlign w:val="bottom"/>
            <w:hideMark/>
          </w:tcPr>
          <w:p w14:paraId="73C4CEFB" w14:textId="50D5EC8E" w:rsidR="00B23446" w:rsidRDefault="00B23446" w:rsidP="00B23446">
            <w:pPr>
              <w:jc w:val="right"/>
              <w:rPr>
                <w:color w:val="000000"/>
                <w:sz w:val="20"/>
                <w:szCs w:val="20"/>
              </w:rPr>
            </w:pPr>
            <w:r>
              <w:rPr>
                <w:color w:val="000000"/>
                <w:sz w:val="20"/>
                <w:szCs w:val="20"/>
              </w:rPr>
              <w:t>0.000</w:t>
            </w:r>
          </w:p>
        </w:tc>
      </w:tr>
      <w:tr w:rsidR="00B23446" w14:paraId="3CC14F22" w14:textId="77777777" w:rsidTr="0022212F">
        <w:trPr>
          <w:trHeight w:val="320"/>
        </w:trPr>
        <w:tc>
          <w:tcPr>
            <w:tcW w:w="1176" w:type="dxa"/>
            <w:tcBorders>
              <w:top w:val="nil"/>
              <w:left w:val="nil"/>
              <w:bottom w:val="nil"/>
              <w:right w:val="nil"/>
            </w:tcBorders>
            <w:shd w:val="clear" w:color="auto" w:fill="auto"/>
            <w:noWrap/>
            <w:vAlign w:val="bottom"/>
            <w:hideMark/>
          </w:tcPr>
          <w:p w14:paraId="61F87F43"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5372A79"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0652479" w14:textId="0164FE3E"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334F87E" w14:textId="5D33E0D4" w:rsidR="00B23446" w:rsidRDefault="00B23446" w:rsidP="00B23446">
            <w:pPr>
              <w:jc w:val="right"/>
              <w:rPr>
                <w:color w:val="000000"/>
                <w:sz w:val="20"/>
                <w:szCs w:val="20"/>
              </w:rPr>
            </w:pPr>
            <w:r>
              <w:rPr>
                <w:color w:val="000000"/>
                <w:sz w:val="20"/>
                <w:szCs w:val="20"/>
              </w:rPr>
              <w:t>0.503</w:t>
            </w:r>
          </w:p>
        </w:tc>
        <w:tc>
          <w:tcPr>
            <w:tcW w:w="768" w:type="dxa"/>
            <w:tcBorders>
              <w:top w:val="nil"/>
              <w:left w:val="nil"/>
              <w:bottom w:val="nil"/>
              <w:right w:val="nil"/>
            </w:tcBorders>
            <w:shd w:val="clear" w:color="auto" w:fill="auto"/>
            <w:noWrap/>
            <w:vAlign w:val="bottom"/>
            <w:hideMark/>
          </w:tcPr>
          <w:p w14:paraId="622DDF00" w14:textId="38D00135"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D0FA70" w14:textId="6FFF52B8" w:rsidR="00B23446" w:rsidRDefault="00B23446" w:rsidP="00B23446">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302462B2" w14:textId="1AB97174" w:rsidR="00B23446" w:rsidRDefault="00B23446" w:rsidP="00B23446">
            <w:pPr>
              <w:jc w:val="right"/>
              <w:rPr>
                <w:color w:val="000000"/>
                <w:sz w:val="20"/>
                <w:szCs w:val="20"/>
              </w:rPr>
            </w:pPr>
            <w:r>
              <w:rPr>
                <w:color w:val="000000"/>
                <w:sz w:val="20"/>
                <w:szCs w:val="20"/>
              </w:rPr>
              <w:t>0.364</w:t>
            </w:r>
          </w:p>
        </w:tc>
        <w:tc>
          <w:tcPr>
            <w:tcW w:w="768" w:type="dxa"/>
            <w:tcBorders>
              <w:top w:val="nil"/>
              <w:left w:val="nil"/>
              <w:bottom w:val="nil"/>
              <w:right w:val="nil"/>
            </w:tcBorders>
            <w:shd w:val="clear" w:color="auto" w:fill="auto"/>
            <w:noWrap/>
            <w:vAlign w:val="bottom"/>
            <w:hideMark/>
          </w:tcPr>
          <w:p w14:paraId="7EEB0F7E" w14:textId="239AC682"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ABE43E5" w14:textId="2F4BD7F8" w:rsidR="00B23446" w:rsidRDefault="00B23446" w:rsidP="00B23446">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103F6A0E" w14:textId="709639B2"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6BD467F6" w14:textId="2CFCE34D"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EA53024" w14:textId="73F659B5"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234C4F2" w14:textId="3EB9812F" w:rsidR="00B23446" w:rsidRDefault="00B23446" w:rsidP="00B23446">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2D745906" w14:textId="58F6D63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87FE3D" w14:textId="766493D7" w:rsidR="00B23446" w:rsidRDefault="00B23446" w:rsidP="00B23446">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733159CD" w14:textId="1251B717" w:rsidR="00B23446" w:rsidRDefault="00B23446" w:rsidP="00B23446">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474F000A" w14:textId="13DD47CA" w:rsidR="00B23446" w:rsidRDefault="00B23446" w:rsidP="00B23446">
            <w:pPr>
              <w:jc w:val="right"/>
              <w:rPr>
                <w:color w:val="000000"/>
                <w:sz w:val="20"/>
                <w:szCs w:val="20"/>
              </w:rPr>
            </w:pPr>
            <w:r>
              <w:rPr>
                <w:color w:val="000000"/>
                <w:sz w:val="20"/>
                <w:szCs w:val="20"/>
              </w:rPr>
              <w:t>0.005</w:t>
            </w:r>
          </w:p>
        </w:tc>
      </w:tr>
      <w:tr w:rsidR="00B23446" w14:paraId="784E545D" w14:textId="77777777" w:rsidTr="0022212F">
        <w:trPr>
          <w:trHeight w:val="320"/>
        </w:trPr>
        <w:tc>
          <w:tcPr>
            <w:tcW w:w="1176" w:type="dxa"/>
            <w:tcBorders>
              <w:top w:val="nil"/>
              <w:left w:val="nil"/>
              <w:bottom w:val="nil"/>
              <w:right w:val="nil"/>
            </w:tcBorders>
            <w:shd w:val="clear" w:color="auto" w:fill="auto"/>
            <w:noWrap/>
            <w:vAlign w:val="bottom"/>
            <w:hideMark/>
          </w:tcPr>
          <w:p w14:paraId="5F059A79"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040CF7"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77246FC" w14:textId="4934C6EE" w:rsidR="00B23446" w:rsidRDefault="00B23446" w:rsidP="00B23446">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3619F0B6" w14:textId="5B6094F6" w:rsidR="00B23446" w:rsidRDefault="00B23446" w:rsidP="00B23446">
            <w:pPr>
              <w:jc w:val="right"/>
              <w:rPr>
                <w:color w:val="000000"/>
                <w:sz w:val="20"/>
                <w:szCs w:val="20"/>
              </w:rPr>
            </w:pPr>
            <w:r>
              <w:rPr>
                <w:color w:val="000000"/>
                <w:sz w:val="20"/>
                <w:szCs w:val="20"/>
              </w:rPr>
              <w:t>0.440</w:t>
            </w:r>
          </w:p>
        </w:tc>
        <w:tc>
          <w:tcPr>
            <w:tcW w:w="768" w:type="dxa"/>
            <w:tcBorders>
              <w:top w:val="nil"/>
              <w:left w:val="nil"/>
              <w:bottom w:val="nil"/>
              <w:right w:val="nil"/>
            </w:tcBorders>
            <w:shd w:val="clear" w:color="auto" w:fill="auto"/>
            <w:noWrap/>
            <w:vAlign w:val="bottom"/>
            <w:hideMark/>
          </w:tcPr>
          <w:p w14:paraId="1C3454AE" w14:textId="56270943"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EA15388" w14:textId="0454093A"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E0E445A" w14:textId="436573CD" w:rsidR="00B23446" w:rsidRDefault="00B23446" w:rsidP="00B23446">
            <w:pPr>
              <w:jc w:val="right"/>
              <w:rPr>
                <w:color w:val="000000"/>
                <w:sz w:val="20"/>
                <w:szCs w:val="20"/>
              </w:rPr>
            </w:pPr>
            <w:r>
              <w:rPr>
                <w:color w:val="000000"/>
                <w:sz w:val="20"/>
                <w:szCs w:val="20"/>
              </w:rPr>
              <w:t>0.737</w:t>
            </w:r>
          </w:p>
        </w:tc>
        <w:tc>
          <w:tcPr>
            <w:tcW w:w="768" w:type="dxa"/>
            <w:tcBorders>
              <w:top w:val="nil"/>
              <w:left w:val="nil"/>
              <w:bottom w:val="nil"/>
              <w:right w:val="nil"/>
            </w:tcBorders>
            <w:shd w:val="clear" w:color="auto" w:fill="auto"/>
            <w:noWrap/>
            <w:vAlign w:val="bottom"/>
            <w:hideMark/>
          </w:tcPr>
          <w:p w14:paraId="7460F028" w14:textId="11C4E59B"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EA28F7" w14:textId="77D27967"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3325E14" w14:textId="6CF04944" w:rsidR="00B23446" w:rsidRDefault="00B23446" w:rsidP="00B23446">
            <w:pPr>
              <w:jc w:val="right"/>
              <w:rPr>
                <w:color w:val="000000"/>
                <w:sz w:val="20"/>
                <w:szCs w:val="20"/>
              </w:rPr>
            </w:pPr>
            <w:r>
              <w:rPr>
                <w:color w:val="000000"/>
                <w:sz w:val="20"/>
                <w:szCs w:val="20"/>
              </w:rPr>
              <w:t>0.703</w:t>
            </w:r>
          </w:p>
        </w:tc>
        <w:tc>
          <w:tcPr>
            <w:tcW w:w="768" w:type="dxa"/>
            <w:tcBorders>
              <w:top w:val="nil"/>
              <w:left w:val="nil"/>
              <w:bottom w:val="nil"/>
              <w:right w:val="nil"/>
            </w:tcBorders>
            <w:shd w:val="clear" w:color="auto" w:fill="auto"/>
            <w:noWrap/>
            <w:vAlign w:val="bottom"/>
            <w:hideMark/>
          </w:tcPr>
          <w:p w14:paraId="7E4FF0A4" w14:textId="46C3943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CFB970" w14:textId="5F135F4A"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B09F340" w14:textId="56969D93" w:rsidR="00B23446" w:rsidRDefault="00B23446" w:rsidP="00B23446">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57C5B7DD" w14:textId="7607360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2B7C6A" w14:textId="65D9DB87" w:rsidR="00B23446" w:rsidRDefault="00B23446" w:rsidP="00B2344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A50D443" w14:textId="1836899B" w:rsidR="00B23446" w:rsidRDefault="00B23446" w:rsidP="00B23446">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49EBDB71" w14:textId="4A650ECB" w:rsidR="00B23446" w:rsidRDefault="00B23446" w:rsidP="00B23446">
            <w:pPr>
              <w:jc w:val="right"/>
              <w:rPr>
                <w:color w:val="000000"/>
                <w:sz w:val="20"/>
                <w:szCs w:val="20"/>
              </w:rPr>
            </w:pPr>
            <w:r>
              <w:rPr>
                <w:color w:val="000000"/>
                <w:sz w:val="20"/>
                <w:szCs w:val="20"/>
              </w:rPr>
              <w:t>0.001</w:t>
            </w:r>
          </w:p>
        </w:tc>
      </w:tr>
      <w:tr w:rsidR="00B23446" w14:paraId="2BA11B23" w14:textId="77777777" w:rsidTr="0022212F">
        <w:trPr>
          <w:trHeight w:val="320"/>
        </w:trPr>
        <w:tc>
          <w:tcPr>
            <w:tcW w:w="1176" w:type="dxa"/>
            <w:tcBorders>
              <w:top w:val="nil"/>
              <w:left w:val="nil"/>
              <w:bottom w:val="nil"/>
              <w:right w:val="nil"/>
            </w:tcBorders>
            <w:shd w:val="clear" w:color="auto" w:fill="auto"/>
            <w:noWrap/>
            <w:vAlign w:val="bottom"/>
            <w:hideMark/>
          </w:tcPr>
          <w:p w14:paraId="70077D93"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A69721A"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A4B3977" w14:textId="5D6853EC" w:rsidR="00B23446" w:rsidRDefault="00B23446" w:rsidP="00B23446">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62E88B41" w14:textId="6CD8C0E2" w:rsidR="00B23446" w:rsidRDefault="00B23446" w:rsidP="00B23446">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0E333494" w14:textId="291689B6"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D74BDD2" w14:textId="0508384D" w:rsidR="00B23446" w:rsidRDefault="00B23446" w:rsidP="00B23446">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62A319FF" w14:textId="55F4AEE9" w:rsidR="00B23446" w:rsidRDefault="00B23446" w:rsidP="00B23446">
            <w:pPr>
              <w:jc w:val="right"/>
              <w:rPr>
                <w:color w:val="000000"/>
                <w:sz w:val="20"/>
                <w:szCs w:val="20"/>
              </w:rPr>
            </w:pPr>
            <w:r>
              <w:rPr>
                <w:color w:val="000000"/>
                <w:sz w:val="20"/>
                <w:szCs w:val="20"/>
              </w:rPr>
              <w:t>0.737</w:t>
            </w:r>
          </w:p>
        </w:tc>
        <w:tc>
          <w:tcPr>
            <w:tcW w:w="768" w:type="dxa"/>
            <w:tcBorders>
              <w:top w:val="nil"/>
              <w:left w:val="nil"/>
              <w:bottom w:val="nil"/>
              <w:right w:val="nil"/>
            </w:tcBorders>
            <w:shd w:val="clear" w:color="auto" w:fill="auto"/>
            <w:noWrap/>
            <w:vAlign w:val="bottom"/>
            <w:hideMark/>
          </w:tcPr>
          <w:p w14:paraId="26293D61" w14:textId="05DC5BF5"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2481BD" w14:textId="7E212AF3"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E91FEC8" w14:textId="2B734116" w:rsidR="00B23446" w:rsidRDefault="00B23446" w:rsidP="00B23446">
            <w:pPr>
              <w:jc w:val="right"/>
              <w:rPr>
                <w:color w:val="000000"/>
                <w:sz w:val="20"/>
                <w:szCs w:val="20"/>
              </w:rPr>
            </w:pPr>
            <w:r>
              <w:rPr>
                <w:color w:val="000000"/>
                <w:sz w:val="20"/>
                <w:szCs w:val="20"/>
              </w:rPr>
              <w:t>0.880</w:t>
            </w:r>
          </w:p>
        </w:tc>
        <w:tc>
          <w:tcPr>
            <w:tcW w:w="768" w:type="dxa"/>
            <w:tcBorders>
              <w:top w:val="nil"/>
              <w:left w:val="nil"/>
              <w:bottom w:val="nil"/>
              <w:right w:val="nil"/>
            </w:tcBorders>
            <w:shd w:val="clear" w:color="auto" w:fill="auto"/>
            <w:noWrap/>
            <w:vAlign w:val="bottom"/>
            <w:hideMark/>
          </w:tcPr>
          <w:p w14:paraId="71E837AA" w14:textId="0939D49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AC5C15" w14:textId="5C87457B"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3557E0E" w14:textId="1DD207A0" w:rsidR="00B23446" w:rsidRDefault="00B23446" w:rsidP="00B23446">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51D18C44" w14:textId="1B53FC5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FEFAD8" w14:textId="2DB6C8A3"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6EA311F" w14:textId="0CAB1E78" w:rsidR="00B23446" w:rsidRDefault="00B23446" w:rsidP="00B23446">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216B4775" w14:textId="2AE0DA09" w:rsidR="00B23446" w:rsidRDefault="00B23446" w:rsidP="00B23446">
            <w:pPr>
              <w:jc w:val="right"/>
              <w:rPr>
                <w:color w:val="000000"/>
                <w:sz w:val="20"/>
                <w:szCs w:val="20"/>
              </w:rPr>
            </w:pPr>
            <w:r>
              <w:rPr>
                <w:color w:val="000000"/>
                <w:sz w:val="20"/>
                <w:szCs w:val="20"/>
              </w:rPr>
              <w:t>0.000</w:t>
            </w:r>
          </w:p>
        </w:tc>
      </w:tr>
      <w:tr w:rsidR="00B23446" w14:paraId="5FA53668" w14:textId="77777777" w:rsidTr="0022212F">
        <w:trPr>
          <w:trHeight w:val="320"/>
        </w:trPr>
        <w:tc>
          <w:tcPr>
            <w:tcW w:w="1176" w:type="dxa"/>
            <w:tcBorders>
              <w:top w:val="nil"/>
              <w:left w:val="nil"/>
              <w:bottom w:val="nil"/>
              <w:right w:val="nil"/>
            </w:tcBorders>
            <w:shd w:val="clear" w:color="auto" w:fill="auto"/>
            <w:noWrap/>
            <w:vAlign w:val="bottom"/>
            <w:hideMark/>
          </w:tcPr>
          <w:p w14:paraId="5E9ADA1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AC9B89"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9D7BD0B" w14:textId="5829C44E" w:rsidR="00B23446" w:rsidRDefault="00B23446" w:rsidP="00B2344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47C4CF3" w14:textId="64571ABB" w:rsidR="00B23446" w:rsidRDefault="00B23446" w:rsidP="00B23446">
            <w:pPr>
              <w:jc w:val="right"/>
              <w:rPr>
                <w:color w:val="000000"/>
                <w:sz w:val="20"/>
                <w:szCs w:val="20"/>
              </w:rPr>
            </w:pPr>
            <w:r>
              <w:rPr>
                <w:color w:val="000000"/>
                <w:sz w:val="20"/>
                <w:szCs w:val="20"/>
              </w:rPr>
              <w:t>0.440</w:t>
            </w:r>
          </w:p>
        </w:tc>
        <w:tc>
          <w:tcPr>
            <w:tcW w:w="768" w:type="dxa"/>
            <w:tcBorders>
              <w:top w:val="nil"/>
              <w:left w:val="nil"/>
              <w:bottom w:val="nil"/>
              <w:right w:val="nil"/>
            </w:tcBorders>
            <w:shd w:val="clear" w:color="auto" w:fill="auto"/>
            <w:noWrap/>
            <w:vAlign w:val="bottom"/>
            <w:hideMark/>
          </w:tcPr>
          <w:p w14:paraId="0FA0ED28" w14:textId="088D3544"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BB6DA12" w14:textId="5BC315CB"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0D8A368" w14:textId="25F38114" w:rsidR="00B23446" w:rsidRDefault="00B23446" w:rsidP="00B23446">
            <w:pPr>
              <w:jc w:val="right"/>
              <w:rPr>
                <w:color w:val="000000"/>
                <w:sz w:val="20"/>
                <w:szCs w:val="20"/>
              </w:rPr>
            </w:pPr>
            <w:r>
              <w:rPr>
                <w:color w:val="000000"/>
                <w:sz w:val="20"/>
                <w:szCs w:val="20"/>
              </w:rPr>
              <w:t>0.965</w:t>
            </w:r>
          </w:p>
        </w:tc>
        <w:tc>
          <w:tcPr>
            <w:tcW w:w="768" w:type="dxa"/>
            <w:tcBorders>
              <w:top w:val="nil"/>
              <w:left w:val="nil"/>
              <w:bottom w:val="nil"/>
              <w:right w:val="nil"/>
            </w:tcBorders>
            <w:shd w:val="clear" w:color="auto" w:fill="auto"/>
            <w:noWrap/>
            <w:vAlign w:val="bottom"/>
            <w:hideMark/>
          </w:tcPr>
          <w:p w14:paraId="32018F78" w14:textId="1690B3D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E9BB66" w14:textId="6B1549B8"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1C6F280" w14:textId="3E3F6CDE" w:rsidR="00B23446" w:rsidRDefault="00B23446" w:rsidP="00B23446">
            <w:pPr>
              <w:jc w:val="right"/>
              <w:rPr>
                <w:color w:val="000000"/>
                <w:sz w:val="20"/>
                <w:szCs w:val="20"/>
              </w:rPr>
            </w:pPr>
            <w:r>
              <w:rPr>
                <w:color w:val="000000"/>
                <w:sz w:val="20"/>
                <w:szCs w:val="20"/>
              </w:rPr>
              <w:t>0.566</w:t>
            </w:r>
          </w:p>
        </w:tc>
        <w:tc>
          <w:tcPr>
            <w:tcW w:w="768" w:type="dxa"/>
            <w:tcBorders>
              <w:top w:val="nil"/>
              <w:left w:val="nil"/>
              <w:bottom w:val="nil"/>
              <w:right w:val="nil"/>
            </w:tcBorders>
            <w:shd w:val="clear" w:color="auto" w:fill="auto"/>
            <w:noWrap/>
            <w:vAlign w:val="bottom"/>
            <w:hideMark/>
          </w:tcPr>
          <w:p w14:paraId="6851E60D" w14:textId="1A4C5A0A"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8F365FD" w14:textId="39C7DFF3"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C9C743A" w14:textId="1AF097F4" w:rsidR="00B23446" w:rsidRDefault="00B23446" w:rsidP="00B23446">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39239C54" w14:textId="3B53D4D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311264" w14:textId="72462528"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39B51EE" w14:textId="5D922ECA" w:rsidR="00B23446" w:rsidRDefault="00B23446" w:rsidP="00B23446">
            <w:pPr>
              <w:jc w:val="right"/>
              <w:rPr>
                <w:color w:val="000000"/>
                <w:sz w:val="20"/>
                <w:szCs w:val="20"/>
              </w:rPr>
            </w:pPr>
            <w:r>
              <w:rPr>
                <w:color w:val="000000"/>
                <w:sz w:val="20"/>
                <w:szCs w:val="20"/>
              </w:rPr>
              <w:t>0.917</w:t>
            </w:r>
          </w:p>
        </w:tc>
        <w:tc>
          <w:tcPr>
            <w:tcW w:w="768" w:type="dxa"/>
            <w:tcBorders>
              <w:top w:val="nil"/>
              <w:left w:val="nil"/>
              <w:bottom w:val="nil"/>
              <w:right w:val="nil"/>
            </w:tcBorders>
            <w:shd w:val="clear" w:color="auto" w:fill="auto"/>
            <w:noWrap/>
            <w:vAlign w:val="bottom"/>
            <w:hideMark/>
          </w:tcPr>
          <w:p w14:paraId="38A2FBDE" w14:textId="1560A588" w:rsidR="00B23446" w:rsidRDefault="00B23446" w:rsidP="00B23446">
            <w:pPr>
              <w:jc w:val="right"/>
              <w:rPr>
                <w:color w:val="000000"/>
                <w:sz w:val="20"/>
                <w:szCs w:val="20"/>
              </w:rPr>
            </w:pPr>
            <w:r>
              <w:rPr>
                <w:color w:val="000000"/>
                <w:sz w:val="20"/>
                <w:szCs w:val="20"/>
              </w:rPr>
              <w:t>0.000</w:t>
            </w:r>
          </w:p>
        </w:tc>
      </w:tr>
      <w:tr w:rsidR="00B23446" w14:paraId="4729EBCD" w14:textId="77777777" w:rsidTr="0022212F">
        <w:trPr>
          <w:trHeight w:val="320"/>
        </w:trPr>
        <w:tc>
          <w:tcPr>
            <w:tcW w:w="1176" w:type="dxa"/>
            <w:tcBorders>
              <w:top w:val="nil"/>
              <w:left w:val="nil"/>
              <w:bottom w:val="single" w:sz="4" w:space="0" w:color="auto"/>
              <w:right w:val="nil"/>
            </w:tcBorders>
            <w:shd w:val="clear" w:color="auto" w:fill="auto"/>
            <w:noWrap/>
            <w:vAlign w:val="bottom"/>
            <w:hideMark/>
          </w:tcPr>
          <w:p w14:paraId="60252DEA"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D5F46B3"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B27E898" w14:textId="1B7630F1"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6512BF19" w14:textId="5E6FBFAB" w:rsidR="00B23446" w:rsidRDefault="00B23446" w:rsidP="00B23446">
            <w:pPr>
              <w:jc w:val="right"/>
              <w:rPr>
                <w:color w:val="000000"/>
                <w:sz w:val="20"/>
                <w:szCs w:val="20"/>
              </w:rPr>
            </w:pPr>
            <w:r>
              <w:rPr>
                <w:color w:val="000000"/>
                <w:sz w:val="20"/>
                <w:szCs w:val="20"/>
              </w:rPr>
              <w:t>0.849</w:t>
            </w:r>
          </w:p>
        </w:tc>
        <w:tc>
          <w:tcPr>
            <w:tcW w:w="768" w:type="dxa"/>
            <w:tcBorders>
              <w:top w:val="nil"/>
              <w:left w:val="nil"/>
              <w:bottom w:val="single" w:sz="4" w:space="0" w:color="auto"/>
              <w:right w:val="nil"/>
            </w:tcBorders>
            <w:shd w:val="clear" w:color="auto" w:fill="auto"/>
            <w:noWrap/>
            <w:vAlign w:val="bottom"/>
            <w:hideMark/>
          </w:tcPr>
          <w:p w14:paraId="1B39FE8C" w14:textId="557FB3E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AE6F9E2" w14:textId="1F710532"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2A0D0F58" w14:textId="4FE0D4B3" w:rsidR="00B23446" w:rsidRDefault="00B23446" w:rsidP="00B23446">
            <w:pPr>
              <w:jc w:val="right"/>
              <w:rPr>
                <w:color w:val="000000"/>
                <w:sz w:val="20"/>
                <w:szCs w:val="20"/>
              </w:rPr>
            </w:pPr>
            <w:r>
              <w:rPr>
                <w:color w:val="000000"/>
                <w:sz w:val="20"/>
                <w:szCs w:val="20"/>
              </w:rPr>
              <w:t>0.737</w:t>
            </w:r>
          </w:p>
        </w:tc>
        <w:tc>
          <w:tcPr>
            <w:tcW w:w="768" w:type="dxa"/>
            <w:tcBorders>
              <w:top w:val="nil"/>
              <w:left w:val="nil"/>
              <w:bottom w:val="single" w:sz="4" w:space="0" w:color="auto"/>
              <w:right w:val="nil"/>
            </w:tcBorders>
            <w:shd w:val="clear" w:color="auto" w:fill="auto"/>
            <w:noWrap/>
            <w:vAlign w:val="bottom"/>
            <w:hideMark/>
          </w:tcPr>
          <w:p w14:paraId="52127E4E" w14:textId="3FE17B8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A846049" w14:textId="2F82B2EC" w:rsidR="00B23446" w:rsidRDefault="00B23446" w:rsidP="00B23446">
            <w:pPr>
              <w:jc w:val="right"/>
              <w:rPr>
                <w:color w:val="000000"/>
                <w:sz w:val="20"/>
                <w:szCs w:val="20"/>
              </w:rPr>
            </w:pPr>
            <w:r>
              <w:rPr>
                <w:color w:val="000000"/>
                <w:sz w:val="20"/>
                <w:szCs w:val="20"/>
              </w:rPr>
              <w:t>0.062</w:t>
            </w:r>
          </w:p>
        </w:tc>
        <w:tc>
          <w:tcPr>
            <w:tcW w:w="768" w:type="dxa"/>
            <w:tcBorders>
              <w:top w:val="nil"/>
              <w:left w:val="nil"/>
              <w:bottom w:val="single" w:sz="4" w:space="0" w:color="auto"/>
              <w:right w:val="nil"/>
            </w:tcBorders>
            <w:shd w:val="clear" w:color="auto" w:fill="auto"/>
            <w:noWrap/>
            <w:vAlign w:val="bottom"/>
            <w:hideMark/>
          </w:tcPr>
          <w:p w14:paraId="336EA437" w14:textId="3DA78CC3" w:rsidR="00B23446" w:rsidRDefault="00B23446" w:rsidP="00B23446">
            <w:pPr>
              <w:jc w:val="right"/>
              <w:rPr>
                <w:color w:val="000000"/>
                <w:sz w:val="20"/>
                <w:szCs w:val="20"/>
              </w:rPr>
            </w:pPr>
            <w:r>
              <w:rPr>
                <w:color w:val="000000"/>
                <w:sz w:val="20"/>
                <w:szCs w:val="20"/>
              </w:rPr>
              <w:t>0.213</w:t>
            </w:r>
          </w:p>
        </w:tc>
        <w:tc>
          <w:tcPr>
            <w:tcW w:w="768" w:type="dxa"/>
            <w:tcBorders>
              <w:top w:val="nil"/>
              <w:left w:val="nil"/>
              <w:bottom w:val="single" w:sz="4" w:space="0" w:color="auto"/>
              <w:right w:val="nil"/>
            </w:tcBorders>
            <w:shd w:val="clear" w:color="auto" w:fill="auto"/>
            <w:noWrap/>
            <w:vAlign w:val="bottom"/>
            <w:hideMark/>
          </w:tcPr>
          <w:p w14:paraId="369EA7B3" w14:textId="487A0A12"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7F945012" w14:textId="35DF8F5C"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77D0BEC4" w14:textId="7055ADED" w:rsidR="00B23446" w:rsidRDefault="00B23446" w:rsidP="00B23446">
            <w:pPr>
              <w:jc w:val="right"/>
              <w:rPr>
                <w:color w:val="000000"/>
                <w:sz w:val="20"/>
                <w:szCs w:val="20"/>
              </w:rPr>
            </w:pPr>
            <w:r>
              <w:rPr>
                <w:color w:val="000000"/>
                <w:sz w:val="20"/>
                <w:szCs w:val="20"/>
              </w:rPr>
              <w:t>0.843</w:t>
            </w:r>
          </w:p>
        </w:tc>
        <w:tc>
          <w:tcPr>
            <w:tcW w:w="768" w:type="dxa"/>
            <w:tcBorders>
              <w:top w:val="nil"/>
              <w:left w:val="nil"/>
              <w:bottom w:val="single" w:sz="4" w:space="0" w:color="auto"/>
              <w:right w:val="nil"/>
            </w:tcBorders>
            <w:shd w:val="clear" w:color="auto" w:fill="auto"/>
            <w:noWrap/>
            <w:vAlign w:val="bottom"/>
            <w:hideMark/>
          </w:tcPr>
          <w:p w14:paraId="1E336BB4" w14:textId="339C43C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5B78DAA" w14:textId="123B6F55" w:rsidR="00B23446" w:rsidRDefault="00B23446" w:rsidP="00B23446">
            <w:pPr>
              <w:jc w:val="right"/>
              <w:rPr>
                <w:color w:val="000000"/>
                <w:sz w:val="20"/>
                <w:szCs w:val="20"/>
              </w:rPr>
            </w:pPr>
            <w:r>
              <w:rPr>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5DC29237" w14:textId="4074FF1D" w:rsidR="00B23446" w:rsidRDefault="00B23446" w:rsidP="00B23446">
            <w:pPr>
              <w:jc w:val="right"/>
              <w:rPr>
                <w:color w:val="000000"/>
                <w:sz w:val="20"/>
                <w:szCs w:val="20"/>
              </w:rPr>
            </w:pPr>
            <w:r>
              <w:rPr>
                <w:color w:val="000000"/>
                <w:sz w:val="20"/>
                <w:szCs w:val="20"/>
              </w:rPr>
              <w:t>0.624</w:t>
            </w:r>
          </w:p>
        </w:tc>
        <w:tc>
          <w:tcPr>
            <w:tcW w:w="768" w:type="dxa"/>
            <w:tcBorders>
              <w:top w:val="nil"/>
              <w:left w:val="nil"/>
              <w:bottom w:val="single" w:sz="4" w:space="0" w:color="auto"/>
              <w:right w:val="nil"/>
            </w:tcBorders>
            <w:shd w:val="clear" w:color="auto" w:fill="auto"/>
            <w:noWrap/>
            <w:vAlign w:val="bottom"/>
            <w:hideMark/>
          </w:tcPr>
          <w:p w14:paraId="0C70318F" w14:textId="3A7B3A55" w:rsidR="00B23446" w:rsidRDefault="00B23446" w:rsidP="00B23446">
            <w:pPr>
              <w:jc w:val="right"/>
              <w:rPr>
                <w:color w:val="000000"/>
                <w:sz w:val="20"/>
                <w:szCs w:val="20"/>
              </w:rPr>
            </w:pPr>
            <w:r>
              <w:rPr>
                <w:color w:val="000000"/>
                <w:sz w:val="20"/>
                <w:szCs w:val="20"/>
              </w:rPr>
              <w:t>0.002</w:t>
            </w:r>
          </w:p>
        </w:tc>
      </w:tr>
      <w:tr w:rsidR="00B23446" w14:paraId="7671790F" w14:textId="77777777" w:rsidTr="0022212F">
        <w:trPr>
          <w:trHeight w:val="320"/>
        </w:trPr>
        <w:tc>
          <w:tcPr>
            <w:tcW w:w="1176" w:type="dxa"/>
            <w:tcBorders>
              <w:top w:val="nil"/>
              <w:left w:val="nil"/>
              <w:bottom w:val="nil"/>
              <w:right w:val="nil"/>
            </w:tcBorders>
            <w:shd w:val="clear" w:color="auto" w:fill="auto"/>
            <w:noWrap/>
            <w:vAlign w:val="bottom"/>
            <w:hideMark/>
          </w:tcPr>
          <w:p w14:paraId="2E4801CC" w14:textId="77777777" w:rsidR="00B23446" w:rsidRDefault="00B23446" w:rsidP="00B23446">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1B79BF49"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8AC14A2" w14:textId="6A13CEF8"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CA05EC5" w14:textId="095B5358" w:rsidR="00B23446" w:rsidRDefault="00B23446" w:rsidP="00B23446">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5F609630" w14:textId="7F5D501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6E9B90" w14:textId="24D1F71D" w:rsidR="00B23446" w:rsidRDefault="00B23446" w:rsidP="00B23446">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9529AEA" w14:textId="2ED79D45" w:rsidR="00B23446" w:rsidRDefault="00B23446" w:rsidP="00B23446">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410DADF1" w14:textId="7ACA43A7"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4D6D376" w14:textId="5350C68D"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007B38B4" w14:textId="4B4DD970" w:rsidR="00B23446" w:rsidRDefault="00B23446" w:rsidP="00B23446">
            <w:pPr>
              <w:jc w:val="right"/>
              <w:rPr>
                <w:color w:val="000000"/>
                <w:sz w:val="20"/>
                <w:szCs w:val="20"/>
              </w:rPr>
            </w:pPr>
            <w:r>
              <w:rPr>
                <w:color w:val="000000"/>
                <w:sz w:val="20"/>
                <w:szCs w:val="20"/>
              </w:rPr>
              <w:t>0.897</w:t>
            </w:r>
          </w:p>
        </w:tc>
        <w:tc>
          <w:tcPr>
            <w:tcW w:w="768" w:type="dxa"/>
            <w:tcBorders>
              <w:top w:val="nil"/>
              <w:left w:val="nil"/>
              <w:bottom w:val="nil"/>
              <w:right w:val="nil"/>
            </w:tcBorders>
            <w:shd w:val="clear" w:color="auto" w:fill="auto"/>
            <w:noWrap/>
            <w:vAlign w:val="bottom"/>
            <w:hideMark/>
          </w:tcPr>
          <w:p w14:paraId="123AF4E9" w14:textId="5A902FD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D245DD" w14:textId="6B154C76"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FCF35F7" w14:textId="00A849E2" w:rsidR="00B23446" w:rsidRDefault="00B23446" w:rsidP="00B23446">
            <w:pPr>
              <w:jc w:val="right"/>
              <w:rPr>
                <w:color w:val="000000"/>
                <w:sz w:val="20"/>
                <w:szCs w:val="20"/>
              </w:rPr>
            </w:pPr>
            <w:r>
              <w:rPr>
                <w:color w:val="000000"/>
                <w:sz w:val="20"/>
                <w:szCs w:val="20"/>
              </w:rPr>
              <w:t>0.768</w:t>
            </w:r>
          </w:p>
        </w:tc>
        <w:tc>
          <w:tcPr>
            <w:tcW w:w="768" w:type="dxa"/>
            <w:tcBorders>
              <w:top w:val="nil"/>
              <w:left w:val="nil"/>
              <w:bottom w:val="nil"/>
              <w:right w:val="nil"/>
            </w:tcBorders>
            <w:shd w:val="clear" w:color="auto" w:fill="auto"/>
            <w:noWrap/>
            <w:vAlign w:val="bottom"/>
            <w:hideMark/>
          </w:tcPr>
          <w:p w14:paraId="7B5644EE" w14:textId="1E38165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9F5692" w14:textId="42AD53DB" w:rsidR="00B23446" w:rsidRDefault="00B23446" w:rsidP="00B23446">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76C8FF78" w14:textId="004CDAE7" w:rsidR="00B23446" w:rsidRDefault="00B23446" w:rsidP="00B23446">
            <w:pPr>
              <w:jc w:val="right"/>
              <w:rPr>
                <w:color w:val="000000"/>
                <w:sz w:val="20"/>
                <w:szCs w:val="20"/>
              </w:rPr>
            </w:pPr>
            <w:r>
              <w:rPr>
                <w:color w:val="000000"/>
                <w:sz w:val="20"/>
                <w:szCs w:val="20"/>
              </w:rPr>
              <w:t>0.232</w:t>
            </w:r>
          </w:p>
        </w:tc>
        <w:tc>
          <w:tcPr>
            <w:tcW w:w="768" w:type="dxa"/>
            <w:tcBorders>
              <w:top w:val="nil"/>
              <w:left w:val="nil"/>
              <w:bottom w:val="nil"/>
              <w:right w:val="nil"/>
            </w:tcBorders>
            <w:shd w:val="clear" w:color="auto" w:fill="auto"/>
            <w:noWrap/>
            <w:vAlign w:val="bottom"/>
            <w:hideMark/>
          </w:tcPr>
          <w:p w14:paraId="17FD9608" w14:textId="1F98D702" w:rsidR="00B23446" w:rsidRDefault="00B23446" w:rsidP="00B23446">
            <w:pPr>
              <w:jc w:val="right"/>
              <w:rPr>
                <w:color w:val="000000"/>
                <w:sz w:val="20"/>
                <w:szCs w:val="20"/>
              </w:rPr>
            </w:pPr>
            <w:r>
              <w:rPr>
                <w:color w:val="000000"/>
                <w:sz w:val="20"/>
                <w:szCs w:val="20"/>
              </w:rPr>
              <w:t>0.003</w:t>
            </w:r>
          </w:p>
        </w:tc>
      </w:tr>
      <w:tr w:rsidR="00B23446" w14:paraId="6B0F129D" w14:textId="77777777" w:rsidTr="0022212F">
        <w:trPr>
          <w:trHeight w:val="320"/>
        </w:trPr>
        <w:tc>
          <w:tcPr>
            <w:tcW w:w="1176" w:type="dxa"/>
            <w:tcBorders>
              <w:top w:val="nil"/>
              <w:left w:val="nil"/>
              <w:bottom w:val="nil"/>
              <w:right w:val="nil"/>
            </w:tcBorders>
            <w:shd w:val="clear" w:color="auto" w:fill="auto"/>
            <w:noWrap/>
            <w:vAlign w:val="bottom"/>
            <w:hideMark/>
          </w:tcPr>
          <w:p w14:paraId="7A3E3194"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F00E1CB"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FE2F94C" w14:textId="6BB7697E"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61829633" w14:textId="7F8066EE" w:rsidR="00B23446" w:rsidRDefault="00B23446" w:rsidP="00B23446">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69C90834" w14:textId="382DCC7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4C9F63" w14:textId="3FC9B4C6" w:rsidR="00B23446" w:rsidRDefault="00B23446" w:rsidP="00B2344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68B7366" w14:textId="15BC6F4F" w:rsidR="00B23446" w:rsidRDefault="00B23446" w:rsidP="00B23446">
            <w:pPr>
              <w:jc w:val="right"/>
              <w:rPr>
                <w:color w:val="000000"/>
                <w:sz w:val="20"/>
                <w:szCs w:val="20"/>
              </w:rPr>
            </w:pPr>
            <w:r>
              <w:rPr>
                <w:color w:val="000000"/>
                <w:sz w:val="20"/>
                <w:szCs w:val="20"/>
              </w:rPr>
              <w:t>0.835</w:t>
            </w:r>
          </w:p>
        </w:tc>
        <w:tc>
          <w:tcPr>
            <w:tcW w:w="768" w:type="dxa"/>
            <w:tcBorders>
              <w:top w:val="nil"/>
              <w:left w:val="nil"/>
              <w:bottom w:val="nil"/>
              <w:right w:val="nil"/>
            </w:tcBorders>
            <w:shd w:val="clear" w:color="auto" w:fill="auto"/>
            <w:noWrap/>
            <w:vAlign w:val="bottom"/>
            <w:hideMark/>
          </w:tcPr>
          <w:p w14:paraId="5ED71979" w14:textId="18CA08BA"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CF915E3" w14:textId="17C12F08"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AC9AAFC" w14:textId="570EB1E0" w:rsidR="00B23446" w:rsidRDefault="00B23446" w:rsidP="00B23446">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25B179C3" w14:textId="22F8516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98FD31" w14:textId="67A8AF8C" w:rsidR="00B23446" w:rsidRDefault="00B23446" w:rsidP="00B2344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C3601FE" w14:textId="7E67D7D4" w:rsidR="00B23446" w:rsidRDefault="00B23446" w:rsidP="00B23446">
            <w:pPr>
              <w:jc w:val="right"/>
              <w:rPr>
                <w:color w:val="000000"/>
                <w:sz w:val="20"/>
                <w:szCs w:val="20"/>
              </w:rPr>
            </w:pPr>
            <w:r>
              <w:rPr>
                <w:color w:val="000000"/>
                <w:sz w:val="20"/>
                <w:szCs w:val="20"/>
              </w:rPr>
              <w:t>0.768</w:t>
            </w:r>
          </w:p>
        </w:tc>
        <w:tc>
          <w:tcPr>
            <w:tcW w:w="768" w:type="dxa"/>
            <w:tcBorders>
              <w:top w:val="nil"/>
              <w:left w:val="nil"/>
              <w:bottom w:val="nil"/>
              <w:right w:val="nil"/>
            </w:tcBorders>
            <w:shd w:val="clear" w:color="auto" w:fill="auto"/>
            <w:noWrap/>
            <w:vAlign w:val="bottom"/>
            <w:hideMark/>
          </w:tcPr>
          <w:p w14:paraId="5EF721CC" w14:textId="6F7271C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D8759C" w14:textId="0C0E9B24"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024CE19" w14:textId="073F4C56" w:rsidR="00B23446" w:rsidRDefault="00B23446" w:rsidP="00B23446">
            <w:pPr>
              <w:jc w:val="right"/>
              <w:rPr>
                <w:color w:val="000000"/>
                <w:sz w:val="20"/>
                <w:szCs w:val="20"/>
              </w:rPr>
            </w:pPr>
            <w:r>
              <w:rPr>
                <w:color w:val="000000"/>
                <w:sz w:val="20"/>
                <w:szCs w:val="20"/>
              </w:rPr>
              <w:t>0.826</w:t>
            </w:r>
          </w:p>
        </w:tc>
        <w:tc>
          <w:tcPr>
            <w:tcW w:w="768" w:type="dxa"/>
            <w:tcBorders>
              <w:top w:val="nil"/>
              <w:left w:val="nil"/>
              <w:bottom w:val="nil"/>
              <w:right w:val="nil"/>
            </w:tcBorders>
            <w:shd w:val="clear" w:color="auto" w:fill="auto"/>
            <w:noWrap/>
            <w:vAlign w:val="bottom"/>
            <w:hideMark/>
          </w:tcPr>
          <w:p w14:paraId="6F034230" w14:textId="603026E2" w:rsidR="00B23446" w:rsidRDefault="00B23446" w:rsidP="00B23446">
            <w:pPr>
              <w:jc w:val="right"/>
              <w:rPr>
                <w:color w:val="000000"/>
                <w:sz w:val="20"/>
                <w:szCs w:val="20"/>
              </w:rPr>
            </w:pPr>
            <w:r>
              <w:rPr>
                <w:color w:val="000000"/>
                <w:sz w:val="20"/>
                <w:szCs w:val="20"/>
              </w:rPr>
              <w:t>0.000</w:t>
            </w:r>
          </w:p>
        </w:tc>
      </w:tr>
      <w:tr w:rsidR="00B23446" w14:paraId="42975F62" w14:textId="77777777" w:rsidTr="0022212F">
        <w:trPr>
          <w:trHeight w:val="320"/>
        </w:trPr>
        <w:tc>
          <w:tcPr>
            <w:tcW w:w="1176" w:type="dxa"/>
            <w:tcBorders>
              <w:top w:val="nil"/>
              <w:left w:val="nil"/>
              <w:bottom w:val="nil"/>
              <w:right w:val="nil"/>
            </w:tcBorders>
            <w:shd w:val="clear" w:color="auto" w:fill="auto"/>
            <w:noWrap/>
            <w:vAlign w:val="bottom"/>
            <w:hideMark/>
          </w:tcPr>
          <w:p w14:paraId="3C49EF85"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B769D1A"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075DBD8" w14:textId="59EC7528" w:rsidR="00B23446" w:rsidRDefault="00B23446" w:rsidP="00B23446">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147FA871" w14:textId="364B74D4" w:rsidR="00B23446" w:rsidRDefault="00B23446" w:rsidP="00B23446">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006DA8A8" w14:textId="7C17F8F6"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EBF1F4" w14:textId="08C478B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ADC49B" w14:textId="6F87A171" w:rsidR="00B23446" w:rsidRDefault="00B23446" w:rsidP="00B23446">
            <w:pPr>
              <w:jc w:val="right"/>
              <w:rPr>
                <w:color w:val="000000"/>
                <w:sz w:val="20"/>
                <w:szCs w:val="20"/>
              </w:rPr>
            </w:pPr>
            <w:r>
              <w:rPr>
                <w:color w:val="000000"/>
                <w:sz w:val="20"/>
                <w:szCs w:val="20"/>
              </w:rPr>
              <w:t>0.994</w:t>
            </w:r>
          </w:p>
        </w:tc>
        <w:tc>
          <w:tcPr>
            <w:tcW w:w="768" w:type="dxa"/>
            <w:tcBorders>
              <w:top w:val="nil"/>
              <w:left w:val="nil"/>
              <w:bottom w:val="nil"/>
              <w:right w:val="nil"/>
            </w:tcBorders>
            <w:shd w:val="clear" w:color="auto" w:fill="auto"/>
            <w:noWrap/>
            <w:vAlign w:val="bottom"/>
            <w:hideMark/>
          </w:tcPr>
          <w:p w14:paraId="145C3EAC" w14:textId="37BC978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DD0BE0" w14:textId="770317B2"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81D5D7B" w14:textId="40172F7F" w:rsidR="00B23446" w:rsidRDefault="00B23446" w:rsidP="00B23446">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6997E7A3" w14:textId="2EBE32E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9E3BA6" w14:textId="72B34842"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8630434" w14:textId="7A8FB962" w:rsidR="00B23446" w:rsidRDefault="00B23446" w:rsidP="00B23446">
            <w:pPr>
              <w:jc w:val="right"/>
              <w:rPr>
                <w:color w:val="000000"/>
                <w:sz w:val="20"/>
                <w:szCs w:val="20"/>
              </w:rPr>
            </w:pPr>
            <w:r>
              <w:rPr>
                <w:color w:val="000000"/>
                <w:sz w:val="20"/>
                <w:szCs w:val="20"/>
              </w:rPr>
              <w:t>0.768</w:t>
            </w:r>
          </w:p>
        </w:tc>
        <w:tc>
          <w:tcPr>
            <w:tcW w:w="768" w:type="dxa"/>
            <w:tcBorders>
              <w:top w:val="nil"/>
              <w:left w:val="nil"/>
              <w:bottom w:val="nil"/>
              <w:right w:val="nil"/>
            </w:tcBorders>
            <w:shd w:val="clear" w:color="auto" w:fill="auto"/>
            <w:noWrap/>
            <w:vAlign w:val="bottom"/>
            <w:hideMark/>
          </w:tcPr>
          <w:p w14:paraId="39A521DF" w14:textId="6DE3A1A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113FD5" w14:textId="390A8C04" w:rsidR="00B23446" w:rsidRDefault="00B23446" w:rsidP="00B23446">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23CA7D5C" w14:textId="727A7B64" w:rsidR="00B23446" w:rsidRDefault="00B23446" w:rsidP="00B23446">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2A3807FE" w14:textId="308AA81F" w:rsidR="00B23446" w:rsidRDefault="00B23446" w:rsidP="00B23446">
            <w:pPr>
              <w:jc w:val="right"/>
              <w:rPr>
                <w:color w:val="000000"/>
                <w:sz w:val="20"/>
                <w:szCs w:val="20"/>
              </w:rPr>
            </w:pPr>
            <w:r>
              <w:rPr>
                <w:color w:val="000000"/>
                <w:sz w:val="20"/>
                <w:szCs w:val="20"/>
              </w:rPr>
              <w:t>0.002</w:t>
            </w:r>
          </w:p>
        </w:tc>
      </w:tr>
      <w:tr w:rsidR="00B23446" w14:paraId="00051273" w14:textId="77777777" w:rsidTr="0022212F">
        <w:trPr>
          <w:trHeight w:val="320"/>
        </w:trPr>
        <w:tc>
          <w:tcPr>
            <w:tcW w:w="1176" w:type="dxa"/>
            <w:tcBorders>
              <w:top w:val="nil"/>
              <w:left w:val="nil"/>
              <w:bottom w:val="nil"/>
              <w:right w:val="nil"/>
            </w:tcBorders>
            <w:shd w:val="clear" w:color="auto" w:fill="auto"/>
            <w:noWrap/>
            <w:vAlign w:val="bottom"/>
            <w:hideMark/>
          </w:tcPr>
          <w:p w14:paraId="443310B6"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14F559"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D15525E" w14:textId="5A8AF4DE"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6059D84" w14:textId="0FD0C1B6" w:rsidR="00B23446" w:rsidRDefault="00B23446" w:rsidP="00B23446">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3078A1BA" w14:textId="6FB03AA3"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EE12F12" w14:textId="18AB56B1"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FD7787E" w14:textId="5396EB70" w:rsidR="00B23446" w:rsidRDefault="00B23446" w:rsidP="00B23446">
            <w:pPr>
              <w:jc w:val="right"/>
              <w:rPr>
                <w:color w:val="000000"/>
                <w:sz w:val="20"/>
                <w:szCs w:val="20"/>
              </w:rPr>
            </w:pPr>
            <w:r>
              <w:rPr>
                <w:color w:val="000000"/>
                <w:sz w:val="20"/>
                <w:szCs w:val="20"/>
              </w:rPr>
              <w:t>0.994</w:t>
            </w:r>
          </w:p>
        </w:tc>
        <w:tc>
          <w:tcPr>
            <w:tcW w:w="768" w:type="dxa"/>
            <w:tcBorders>
              <w:top w:val="nil"/>
              <w:left w:val="nil"/>
              <w:bottom w:val="nil"/>
              <w:right w:val="nil"/>
            </w:tcBorders>
            <w:shd w:val="clear" w:color="auto" w:fill="auto"/>
            <w:noWrap/>
            <w:vAlign w:val="bottom"/>
            <w:hideMark/>
          </w:tcPr>
          <w:p w14:paraId="48364108" w14:textId="3B98677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699FC7" w14:textId="5118DE1D" w:rsidR="00B23446" w:rsidRDefault="00B23446" w:rsidP="00B2344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43238742" w14:textId="2AADEFF8" w:rsidR="00B23446" w:rsidRDefault="00B23446" w:rsidP="00B23446">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4508D361" w14:textId="217EB24A"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EA2195C" w14:textId="209E6813"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BB3D88E" w14:textId="6AAD257D" w:rsidR="00B23446" w:rsidRDefault="00B23446" w:rsidP="00B23446">
            <w:pPr>
              <w:jc w:val="right"/>
              <w:rPr>
                <w:color w:val="000000"/>
                <w:sz w:val="20"/>
                <w:szCs w:val="20"/>
              </w:rPr>
            </w:pPr>
            <w:r>
              <w:rPr>
                <w:color w:val="000000"/>
                <w:sz w:val="20"/>
                <w:szCs w:val="20"/>
              </w:rPr>
              <w:t>0.768</w:t>
            </w:r>
          </w:p>
        </w:tc>
        <w:tc>
          <w:tcPr>
            <w:tcW w:w="768" w:type="dxa"/>
            <w:tcBorders>
              <w:top w:val="nil"/>
              <w:left w:val="nil"/>
              <w:bottom w:val="nil"/>
              <w:right w:val="nil"/>
            </w:tcBorders>
            <w:shd w:val="clear" w:color="auto" w:fill="auto"/>
            <w:noWrap/>
            <w:vAlign w:val="bottom"/>
            <w:hideMark/>
          </w:tcPr>
          <w:p w14:paraId="2D879C6C" w14:textId="58A58343"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88B719" w14:textId="64B2F9AB" w:rsidR="00B23446" w:rsidRDefault="00B23446" w:rsidP="00B23446">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05E50816" w14:textId="2B647809" w:rsidR="00B23446" w:rsidRDefault="00B23446" w:rsidP="00B23446">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3E73EAD7" w14:textId="4F011CF8" w:rsidR="00B23446" w:rsidRDefault="00B23446" w:rsidP="00B23446">
            <w:pPr>
              <w:jc w:val="right"/>
              <w:rPr>
                <w:color w:val="000000"/>
                <w:sz w:val="20"/>
                <w:szCs w:val="20"/>
              </w:rPr>
            </w:pPr>
            <w:r>
              <w:rPr>
                <w:color w:val="000000"/>
                <w:sz w:val="20"/>
                <w:szCs w:val="20"/>
              </w:rPr>
              <w:t>0.006</w:t>
            </w:r>
          </w:p>
        </w:tc>
      </w:tr>
      <w:tr w:rsidR="00B23446" w14:paraId="30AB9557" w14:textId="77777777" w:rsidTr="0022212F">
        <w:trPr>
          <w:trHeight w:val="320"/>
        </w:trPr>
        <w:tc>
          <w:tcPr>
            <w:tcW w:w="1176" w:type="dxa"/>
            <w:tcBorders>
              <w:top w:val="nil"/>
              <w:left w:val="nil"/>
              <w:bottom w:val="nil"/>
              <w:right w:val="nil"/>
            </w:tcBorders>
            <w:shd w:val="clear" w:color="auto" w:fill="auto"/>
            <w:noWrap/>
            <w:vAlign w:val="bottom"/>
            <w:hideMark/>
          </w:tcPr>
          <w:p w14:paraId="5DA17F2C"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7989A13"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45B7922" w14:textId="248CCA31"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442E9F6" w14:textId="45B68291" w:rsidR="00B23446" w:rsidRDefault="00B23446" w:rsidP="00B23446">
            <w:pPr>
              <w:jc w:val="right"/>
              <w:rPr>
                <w:color w:val="000000"/>
                <w:sz w:val="20"/>
                <w:szCs w:val="20"/>
              </w:rPr>
            </w:pPr>
            <w:r>
              <w:rPr>
                <w:color w:val="000000"/>
                <w:sz w:val="20"/>
                <w:szCs w:val="20"/>
              </w:rPr>
              <w:t>0.905</w:t>
            </w:r>
          </w:p>
        </w:tc>
        <w:tc>
          <w:tcPr>
            <w:tcW w:w="768" w:type="dxa"/>
            <w:tcBorders>
              <w:top w:val="nil"/>
              <w:left w:val="nil"/>
              <w:bottom w:val="nil"/>
              <w:right w:val="nil"/>
            </w:tcBorders>
            <w:shd w:val="clear" w:color="auto" w:fill="auto"/>
            <w:noWrap/>
            <w:vAlign w:val="bottom"/>
            <w:hideMark/>
          </w:tcPr>
          <w:p w14:paraId="26166FB1" w14:textId="1189A8A5"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C78D4D" w14:textId="45144F21"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3849F10" w14:textId="3F2D3228" w:rsidR="00B23446" w:rsidRDefault="00B23446" w:rsidP="00B23446">
            <w:pPr>
              <w:jc w:val="right"/>
              <w:rPr>
                <w:color w:val="000000"/>
                <w:sz w:val="20"/>
                <w:szCs w:val="20"/>
              </w:rPr>
            </w:pPr>
            <w:r>
              <w:rPr>
                <w:color w:val="000000"/>
                <w:sz w:val="20"/>
                <w:szCs w:val="20"/>
              </w:rPr>
              <w:t>0.994</w:t>
            </w:r>
          </w:p>
        </w:tc>
        <w:tc>
          <w:tcPr>
            <w:tcW w:w="768" w:type="dxa"/>
            <w:tcBorders>
              <w:top w:val="nil"/>
              <w:left w:val="nil"/>
              <w:bottom w:val="nil"/>
              <w:right w:val="nil"/>
            </w:tcBorders>
            <w:shd w:val="clear" w:color="auto" w:fill="auto"/>
            <w:noWrap/>
            <w:vAlign w:val="bottom"/>
            <w:hideMark/>
          </w:tcPr>
          <w:p w14:paraId="61D6E55A" w14:textId="0261541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29A4E9" w14:textId="3479ACCE" w:rsidR="00B23446" w:rsidRDefault="00B23446" w:rsidP="00B23446">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34A831BF" w14:textId="510537BA" w:rsidR="00B23446" w:rsidRDefault="00B23446" w:rsidP="00B23446">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33894195" w14:textId="078C09BB"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3A5B8C3" w14:textId="0929E883"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7ADDD30" w14:textId="7D9E1B34" w:rsidR="00B23446" w:rsidRDefault="00B23446" w:rsidP="00B23446">
            <w:pPr>
              <w:jc w:val="right"/>
              <w:rPr>
                <w:color w:val="000000"/>
                <w:sz w:val="20"/>
                <w:szCs w:val="20"/>
              </w:rPr>
            </w:pPr>
            <w:r>
              <w:rPr>
                <w:color w:val="000000"/>
                <w:sz w:val="20"/>
                <w:szCs w:val="20"/>
              </w:rPr>
              <w:t>0.925</w:t>
            </w:r>
          </w:p>
        </w:tc>
        <w:tc>
          <w:tcPr>
            <w:tcW w:w="768" w:type="dxa"/>
            <w:tcBorders>
              <w:top w:val="nil"/>
              <w:left w:val="nil"/>
              <w:bottom w:val="nil"/>
              <w:right w:val="nil"/>
            </w:tcBorders>
            <w:shd w:val="clear" w:color="auto" w:fill="auto"/>
            <w:noWrap/>
            <w:vAlign w:val="bottom"/>
            <w:hideMark/>
          </w:tcPr>
          <w:p w14:paraId="640B7E29" w14:textId="09A9C74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F3D153" w14:textId="3722C937"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FB21C3E" w14:textId="0095F141" w:rsidR="00B23446" w:rsidRDefault="00B23446" w:rsidP="00B23446">
            <w:pPr>
              <w:jc w:val="right"/>
              <w:rPr>
                <w:color w:val="000000"/>
                <w:sz w:val="20"/>
                <w:szCs w:val="20"/>
              </w:rPr>
            </w:pPr>
            <w:r>
              <w:rPr>
                <w:color w:val="000000"/>
                <w:sz w:val="20"/>
                <w:szCs w:val="20"/>
              </w:rPr>
              <w:t>0.826</w:t>
            </w:r>
          </w:p>
        </w:tc>
        <w:tc>
          <w:tcPr>
            <w:tcW w:w="768" w:type="dxa"/>
            <w:tcBorders>
              <w:top w:val="nil"/>
              <w:left w:val="nil"/>
              <w:bottom w:val="nil"/>
              <w:right w:val="nil"/>
            </w:tcBorders>
            <w:shd w:val="clear" w:color="auto" w:fill="auto"/>
            <w:noWrap/>
            <w:vAlign w:val="bottom"/>
            <w:hideMark/>
          </w:tcPr>
          <w:p w14:paraId="7EF24E1C" w14:textId="3CA7C0EB" w:rsidR="00B23446" w:rsidRDefault="00B23446" w:rsidP="00B23446">
            <w:pPr>
              <w:jc w:val="right"/>
              <w:rPr>
                <w:color w:val="000000"/>
                <w:sz w:val="20"/>
                <w:szCs w:val="20"/>
              </w:rPr>
            </w:pPr>
            <w:r>
              <w:rPr>
                <w:color w:val="000000"/>
                <w:sz w:val="20"/>
                <w:szCs w:val="20"/>
              </w:rPr>
              <w:t>0.000</w:t>
            </w:r>
          </w:p>
        </w:tc>
      </w:tr>
      <w:tr w:rsidR="00B23446" w14:paraId="7403D111" w14:textId="77777777" w:rsidTr="0022212F">
        <w:trPr>
          <w:trHeight w:val="320"/>
        </w:trPr>
        <w:tc>
          <w:tcPr>
            <w:tcW w:w="1176" w:type="dxa"/>
            <w:tcBorders>
              <w:top w:val="nil"/>
              <w:left w:val="nil"/>
              <w:bottom w:val="nil"/>
              <w:right w:val="nil"/>
            </w:tcBorders>
            <w:shd w:val="clear" w:color="auto" w:fill="auto"/>
            <w:noWrap/>
            <w:vAlign w:val="bottom"/>
            <w:hideMark/>
          </w:tcPr>
          <w:p w14:paraId="418CE62C"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670F55"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DC4188D" w14:textId="5842F245" w:rsidR="00B23446" w:rsidRDefault="00B23446" w:rsidP="00B2344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6EECFE9" w14:textId="2CB0B40A" w:rsidR="00B23446" w:rsidRDefault="00B23446" w:rsidP="00B23446">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62AAECB1" w14:textId="64FC415B"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2473457" w14:textId="6A1C7D60" w:rsidR="00B23446" w:rsidRDefault="00B23446" w:rsidP="00B2344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10AFD8FB" w14:textId="1EA70099" w:rsidR="00B23446" w:rsidRDefault="00B23446" w:rsidP="00B23446">
            <w:pPr>
              <w:jc w:val="right"/>
              <w:rPr>
                <w:color w:val="000000"/>
                <w:sz w:val="20"/>
                <w:szCs w:val="20"/>
              </w:rPr>
            </w:pPr>
            <w:r>
              <w:rPr>
                <w:color w:val="000000"/>
                <w:sz w:val="20"/>
                <w:szCs w:val="20"/>
              </w:rPr>
              <w:t>0.812</w:t>
            </w:r>
          </w:p>
        </w:tc>
        <w:tc>
          <w:tcPr>
            <w:tcW w:w="768" w:type="dxa"/>
            <w:tcBorders>
              <w:top w:val="nil"/>
              <w:left w:val="nil"/>
              <w:bottom w:val="nil"/>
              <w:right w:val="nil"/>
            </w:tcBorders>
            <w:shd w:val="clear" w:color="auto" w:fill="auto"/>
            <w:noWrap/>
            <w:vAlign w:val="bottom"/>
            <w:hideMark/>
          </w:tcPr>
          <w:p w14:paraId="4523D3D3" w14:textId="1ED7392C"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A8219CD" w14:textId="74B1D9BD"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3C248046" w14:textId="6DD66ACF" w:rsidR="00B23446" w:rsidRDefault="00B23446" w:rsidP="00B23446">
            <w:pPr>
              <w:jc w:val="right"/>
              <w:rPr>
                <w:color w:val="000000"/>
                <w:sz w:val="20"/>
                <w:szCs w:val="20"/>
              </w:rPr>
            </w:pPr>
            <w:r>
              <w:rPr>
                <w:color w:val="000000"/>
                <w:sz w:val="20"/>
                <w:szCs w:val="20"/>
              </w:rPr>
              <w:t>0.786</w:t>
            </w:r>
          </w:p>
        </w:tc>
        <w:tc>
          <w:tcPr>
            <w:tcW w:w="768" w:type="dxa"/>
            <w:tcBorders>
              <w:top w:val="nil"/>
              <w:left w:val="nil"/>
              <w:bottom w:val="nil"/>
              <w:right w:val="nil"/>
            </w:tcBorders>
            <w:shd w:val="clear" w:color="auto" w:fill="auto"/>
            <w:noWrap/>
            <w:vAlign w:val="bottom"/>
            <w:hideMark/>
          </w:tcPr>
          <w:p w14:paraId="5F59DD1D" w14:textId="1E48DC1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8479A7" w14:textId="73411D62"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63BC686" w14:textId="41F6DD04" w:rsidR="00B23446" w:rsidRDefault="00B23446" w:rsidP="00B23446">
            <w:pPr>
              <w:jc w:val="right"/>
              <w:rPr>
                <w:color w:val="000000"/>
                <w:sz w:val="20"/>
                <w:szCs w:val="20"/>
              </w:rPr>
            </w:pPr>
            <w:r>
              <w:rPr>
                <w:color w:val="000000"/>
                <w:sz w:val="20"/>
                <w:szCs w:val="20"/>
              </w:rPr>
              <w:t>0.768</w:t>
            </w:r>
          </w:p>
        </w:tc>
        <w:tc>
          <w:tcPr>
            <w:tcW w:w="768" w:type="dxa"/>
            <w:tcBorders>
              <w:top w:val="nil"/>
              <w:left w:val="nil"/>
              <w:bottom w:val="nil"/>
              <w:right w:val="nil"/>
            </w:tcBorders>
            <w:shd w:val="clear" w:color="auto" w:fill="auto"/>
            <w:noWrap/>
            <w:vAlign w:val="bottom"/>
            <w:hideMark/>
          </w:tcPr>
          <w:p w14:paraId="0E3BC7C4" w14:textId="5DDB317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6B6FD0" w14:textId="288C5FDE"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2AD4E97" w14:textId="2C496E9C" w:rsidR="00B23446" w:rsidRDefault="00B23446" w:rsidP="00B23446">
            <w:pPr>
              <w:jc w:val="right"/>
              <w:rPr>
                <w:color w:val="000000"/>
                <w:sz w:val="20"/>
                <w:szCs w:val="20"/>
              </w:rPr>
            </w:pPr>
            <w:r>
              <w:rPr>
                <w:color w:val="000000"/>
                <w:sz w:val="20"/>
                <w:szCs w:val="20"/>
              </w:rPr>
              <w:t>0.826</w:t>
            </w:r>
          </w:p>
        </w:tc>
        <w:tc>
          <w:tcPr>
            <w:tcW w:w="768" w:type="dxa"/>
            <w:tcBorders>
              <w:top w:val="nil"/>
              <w:left w:val="nil"/>
              <w:bottom w:val="nil"/>
              <w:right w:val="nil"/>
            </w:tcBorders>
            <w:shd w:val="clear" w:color="auto" w:fill="auto"/>
            <w:noWrap/>
            <w:vAlign w:val="bottom"/>
            <w:hideMark/>
          </w:tcPr>
          <w:p w14:paraId="4DACAA08" w14:textId="645013F1" w:rsidR="00B23446" w:rsidRDefault="00B23446" w:rsidP="00B23446">
            <w:pPr>
              <w:jc w:val="right"/>
              <w:rPr>
                <w:color w:val="000000"/>
                <w:sz w:val="20"/>
                <w:szCs w:val="20"/>
              </w:rPr>
            </w:pPr>
            <w:r>
              <w:rPr>
                <w:color w:val="000000"/>
                <w:sz w:val="20"/>
                <w:szCs w:val="20"/>
              </w:rPr>
              <w:t>0.000</w:t>
            </w:r>
          </w:p>
        </w:tc>
      </w:tr>
      <w:tr w:rsidR="00B23446" w14:paraId="4FA4CF23" w14:textId="77777777" w:rsidTr="0022212F">
        <w:trPr>
          <w:trHeight w:val="320"/>
        </w:trPr>
        <w:tc>
          <w:tcPr>
            <w:tcW w:w="1176" w:type="dxa"/>
            <w:tcBorders>
              <w:top w:val="nil"/>
              <w:left w:val="nil"/>
              <w:bottom w:val="nil"/>
              <w:right w:val="nil"/>
            </w:tcBorders>
            <w:shd w:val="clear" w:color="auto" w:fill="auto"/>
            <w:noWrap/>
            <w:vAlign w:val="bottom"/>
            <w:hideMark/>
          </w:tcPr>
          <w:p w14:paraId="51787A0D"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5EF2EC0"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3E1300E" w14:textId="53521C00"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0FD3452" w14:textId="47EF3B39" w:rsidR="00B23446" w:rsidRDefault="00B23446" w:rsidP="00B23446">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4CCD0036" w14:textId="3BDBC24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8DE9F6" w14:textId="669A0638"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255741C" w14:textId="58F19205" w:rsidR="00B23446" w:rsidRDefault="00B23446" w:rsidP="00B23446">
            <w:pPr>
              <w:jc w:val="right"/>
              <w:rPr>
                <w:color w:val="000000"/>
                <w:sz w:val="20"/>
                <w:szCs w:val="20"/>
              </w:rPr>
            </w:pPr>
            <w:r>
              <w:rPr>
                <w:color w:val="000000"/>
                <w:sz w:val="20"/>
                <w:szCs w:val="20"/>
              </w:rPr>
              <w:t>0.994</w:t>
            </w:r>
          </w:p>
        </w:tc>
        <w:tc>
          <w:tcPr>
            <w:tcW w:w="768" w:type="dxa"/>
            <w:tcBorders>
              <w:top w:val="nil"/>
              <w:left w:val="nil"/>
              <w:bottom w:val="nil"/>
              <w:right w:val="nil"/>
            </w:tcBorders>
            <w:shd w:val="clear" w:color="auto" w:fill="auto"/>
            <w:noWrap/>
            <w:vAlign w:val="bottom"/>
            <w:hideMark/>
          </w:tcPr>
          <w:p w14:paraId="135425D3" w14:textId="12925B1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3BC65A" w14:textId="395337A7" w:rsidR="00B23446" w:rsidRDefault="00B23446" w:rsidP="00B23446">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76353519" w14:textId="107BAE44" w:rsidR="00B23446" w:rsidRDefault="00B23446" w:rsidP="00B23446">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7242E814" w14:textId="6C329858"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BCE4BF8" w14:textId="0AC54776"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4451096" w14:textId="0C414C29" w:rsidR="00B23446" w:rsidRDefault="00B23446" w:rsidP="00B23446">
            <w:pPr>
              <w:jc w:val="right"/>
              <w:rPr>
                <w:color w:val="000000"/>
                <w:sz w:val="20"/>
                <w:szCs w:val="20"/>
              </w:rPr>
            </w:pPr>
            <w:r>
              <w:rPr>
                <w:color w:val="000000"/>
                <w:sz w:val="20"/>
                <w:szCs w:val="20"/>
              </w:rPr>
              <w:t>0.768</w:t>
            </w:r>
          </w:p>
        </w:tc>
        <w:tc>
          <w:tcPr>
            <w:tcW w:w="768" w:type="dxa"/>
            <w:tcBorders>
              <w:top w:val="nil"/>
              <w:left w:val="nil"/>
              <w:bottom w:val="nil"/>
              <w:right w:val="nil"/>
            </w:tcBorders>
            <w:shd w:val="clear" w:color="auto" w:fill="auto"/>
            <w:noWrap/>
            <w:vAlign w:val="bottom"/>
            <w:hideMark/>
          </w:tcPr>
          <w:p w14:paraId="6899F367" w14:textId="4524F50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1B96FF" w14:textId="5F36D4FE"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E7CBA02" w14:textId="779CB502" w:rsidR="00B23446" w:rsidRDefault="00B23446" w:rsidP="00B23446">
            <w:pPr>
              <w:jc w:val="right"/>
              <w:rPr>
                <w:color w:val="000000"/>
                <w:sz w:val="20"/>
                <w:szCs w:val="20"/>
              </w:rPr>
            </w:pPr>
            <w:r>
              <w:rPr>
                <w:color w:val="000000"/>
                <w:sz w:val="20"/>
                <w:szCs w:val="20"/>
              </w:rPr>
              <w:t>0.826</w:t>
            </w:r>
          </w:p>
        </w:tc>
        <w:tc>
          <w:tcPr>
            <w:tcW w:w="768" w:type="dxa"/>
            <w:tcBorders>
              <w:top w:val="nil"/>
              <w:left w:val="nil"/>
              <w:bottom w:val="nil"/>
              <w:right w:val="nil"/>
            </w:tcBorders>
            <w:shd w:val="clear" w:color="auto" w:fill="auto"/>
            <w:noWrap/>
            <w:vAlign w:val="bottom"/>
            <w:hideMark/>
          </w:tcPr>
          <w:p w14:paraId="51F8C4DA" w14:textId="0F992DF8" w:rsidR="00B23446" w:rsidRDefault="00B23446" w:rsidP="00B23446">
            <w:pPr>
              <w:jc w:val="right"/>
              <w:rPr>
                <w:color w:val="000000"/>
                <w:sz w:val="20"/>
                <w:szCs w:val="20"/>
              </w:rPr>
            </w:pPr>
            <w:r>
              <w:rPr>
                <w:color w:val="000000"/>
                <w:sz w:val="20"/>
                <w:szCs w:val="20"/>
              </w:rPr>
              <w:t>0.000</w:t>
            </w:r>
          </w:p>
        </w:tc>
      </w:tr>
      <w:tr w:rsidR="00B23446" w14:paraId="70829E17"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00AB59CB"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48A07FB0"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504F4C98" w14:textId="4C6E667E"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single" w:sz="12" w:space="0" w:color="auto"/>
              <w:right w:val="nil"/>
            </w:tcBorders>
            <w:shd w:val="clear" w:color="auto" w:fill="auto"/>
            <w:noWrap/>
            <w:vAlign w:val="bottom"/>
            <w:hideMark/>
          </w:tcPr>
          <w:p w14:paraId="0D3A375E" w14:textId="4C4C3379" w:rsidR="00B23446" w:rsidRDefault="00B23446" w:rsidP="00B23446">
            <w:pPr>
              <w:jc w:val="right"/>
              <w:rPr>
                <w:color w:val="000000"/>
                <w:sz w:val="20"/>
                <w:szCs w:val="20"/>
              </w:rPr>
            </w:pPr>
            <w:r>
              <w:rPr>
                <w:color w:val="000000"/>
                <w:sz w:val="20"/>
                <w:szCs w:val="20"/>
              </w:rPr>
              <w:t>0.913</w:t>
            </w:r>
          </w:p>
        </w:tc>
        <w:tc>
          <w:tcPr>
            <w:tcW w:w="768" w:type="dxa"/>
            <w:tcBorders>
              <w:top w:val="nil"/>
              <w:left w:val="nil"/>
              <w:bottom w:val="single" w:sz="12" w:space="0" w:color="auto"/>
              <w:right w:val="nil"/>
            </w:tcBorders>
            <w:shd w:val="clear" w:color="auto" w:fill="auto"/>
            <w:noWrap/>
            <w:vAlign w:val="bottom"/>
            <w:hideMark/>
          </w:tcPr>
          <w:p w14:paraId="0D6AC3F4" w14:textId="45FE543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3EC20F6" w14:textId="726D5896"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24B9557C" w14:textId="740D3303" w:rsidR="00B23446" w:rsidRDefault="00B23446" w:rsidP="00B23446">
            <w:pPr>
              <w:jc w:val="right"/>
              <w:rPr>
                <w:color w:val="000000"/>
                <w:sz w:val="20"/>
                <w:szCs w:val="20"/>
              </w:rPr>
            </w:pPr>
            <w:r>
              <w:rPr>
                <w:color w:val="000000"/>
                <w:sz w:val="20"/>
                <w:szCs w:val="20"/>
              </w:rPr>
              <w:t>0.994</w:t>
            </w:r>
          </w:p>
        </w:tc>
        <w:tc>
          <w:tcPr>
            <w:tcW w:w="768" w:type="dxa"/>
            <w:tcBorders>
              <w:top w:val="nil"/>
              <w:left w:val="nil"/>
              <w:bottom w:val="single" w:sz="12" w:space="0" w:color="auto"/>
              <w:right w:val="nil"/>
            </w:tcBorders>
            <w:shd w:val="clear" w:color="auto" w:fill="auto"/>
            <w:noWrap/>
            <w:vAlign w:val="bottom"/>
            <w:hideMark/>
          </w:tcPr>
          <w:p w14:paraId="751140E6" w14:textId="57F1425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31F3A301" w14:textId="345844D6" w:rsidR="00B23446" w:rsidRDefault="00B23446" w:rsidP="00B23446">
            <w:pPr>
              <w:jc w:val="right"/>
              <w:rPr>
                <w:color w:val="000000"/>
                <w:sz w:val="20"/>
                <w:szCs w:val="20"/>
              </w:rPr>
            </w:pPr>
            <w:r>
              <w:rPr>
                <w:color w:val="000000"/>
                <w:sz w:val="20"/>
                <w:szCs w:val="20"/>
              </w:rPr>
              <w:t>0.031</w:t>
            </w:r>
          </w:p>
        </w:tc>
        <w:tc>
          <w:tcPr>
            <w:tcW w:w="768" w:type="dxa"/>
            <w:tcBorders>
              <w:top w:val="nil"/>
              <w:left w:val="nil"/>
              <w:bottom w:val="single" w:sz="12" w:space="0" w:color="auto"/>
              <w:right w:val="nil"/>
            </w:tcBorders>
            <w:shd w:val="clear" w:color="auto" w:fill="auto"/>
            <w:noWrap/>
            <w:vAlign w:val="bottom"/>
            <w:hideMark/>
          </w:tcPr>
          <w:p w14:paraId="6AC1231F" w14:textId="22C9E078" w:rsidR="00B23446" w:rsidRDefault="00B23446" w:rsidP="00B23446">
            <w:pPr>
              <w:jc w:val="right"/>
              <w:rPr>
                <w:color w:val="000000"/>
                <w:sz w:val="20"/>
                <w:szCs w:val="20"/>
              </w:rPr>
            </w:pPr>
            <w:r>
              <w:rPr>
                <w:color w:val="000000"/>
                <w:sz w:val="20"/>
                <w:szCs w:val="20"/>
              </w:rPr>
              <w:t>0.674</w:t>
            </w:r>
          </w:p>
        </w:tc>
        <w:tc>
          <w:tcPr>
            <w:tcW w:w="768" w:type="dxa"/>
            <w:tcBorders>
              <w:top w:val="nil"/>
              <w:left w:val="nil"/>
              <w:bottom w:val="single" w:sz="12" w:space="0" w:color="auto"/>
              <w:right w:val="nil"/>
            </w:tcBorders>
            <w:shd w:val="clear" w:color="auto" w:fill="auto"/>
            <w:noWrap/>
            <w:vAlign w:val="bottom"/>
            <w:hideMark/>
          </w:tcPr>
          <w:p w14:paraId="0E6D3A3A" w14:textId="01C76C68"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0F5F6E02" w14:textId="5DFE4A11" w:rsidR="00B23446" w:rsidRDefault="00B23446" w:rsidP="00B23446">
            <w:pPr>
              <w:jc w:val="right"/>
              <w:rPr>
                <w:color w:val="000000"/>
                <w:sz w:val="20"/>
                <w:szCs w:val="20"/>
              </w:rPr>
            </w:pPr>
            <w:r>
              <w:rPr>
                <w:color w:val="000000"/>
                <w:sz w:val="20"/>
                <w:szCs w:val="20"/>
              </w:rPr>
              <w:t>-0.043</w:t>
            </w:r>
          </w:p>
        </w:tc>
        <w:tc>
          <w:tcPr>
            <w:tcW w:w="768" w:type="dxa"/>
            <w:tcBorders>
              <w:top w:val="nil"/>
              <w:left w:val="nil"/>
              <w:bottom w:val="single" w:sz="12" w:space="0" w:color="auto"/>
              <w:right w:val="nil"/>
            </w:tcBorders>
            <w:shd w:val="clear" w:color="auto" w:fill="auto"/>
            <w:noWrap/>
            <w:vAlign w:val="bottom"/>
            <w:hideMark/>
          </w:tcPr>
          <w:p w14:paraId="5B0BF946" w14:textId="7CF31AFF" w:rsidR="00B23446" w:rsidRDefault="00B23446" w:rsidP="00B23446">
            <w:pPr>
              <w:jc w:val="right"/>
              <w:rPr>
                <w:color w:val="000000"/>
                <w:sz w:val="20"/>
                <w:szCs w:val="20"/>
              </w:rPr>
            </w:pPr>
            <w:r>
              <w:rPr>
                <w:color w:val="000000"/>
                <w:sz w:val="20"/>
                <w:szCs w:val="20"/>
              </w:rPr>
              <w:t>0.768</w:t>
            </w:r>
          </w:p>
        </w:tc>
        <w:tc>
          <w:tcPr>
            <w:tcW w:w="768" w:type="dxa"/>
            <w:tcBorders>
              <w:top w:val="nil"/>
              <w:left w:val="nil"/>
              <w:bottom w:val="single" w:sz="12" w:space="0" w:color="auto"/>
              <w:right w:val="nil"/>
            </w:tcBorders>
            <w:shd w:val="clear" w:color="auto" w:fill="auto"/>
            <w:noWrap/>
            <w:vAlign w:val="bottom"/>
            <w:hideMark/>
          </w:tcPr>
          <w:p w14:paraId="7566D542" w14:textId="0E39BBC2"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05103539" w14:textId="7BD967FE" w:rsidR="00B23446" w:rsidRDefault="00B23446" w:rsidP="00B23446">
            <w:pPr>
              <w:jc w:val="right"/>
              <w:rPr>
                <w:color w:val="000000"/>
                <w:sz w:val="20"/>
                <w:szCs w:val="20"/>
              </w:rPr>
            </w:pPr>
            <w:r>
              <w:rPr>
                <w:color w:val="000000"/>
                <w:sz w:val="20"/>
                <w:szCs w:val="20"/>
              </w:rPr>
              <w:t>0.063</w:t>
            </w:r>
          </w:p>
        </w:tc>
        <w:tc>
          <w:tcPr>
            <w:tcW w:w="768" w:type="dxa"/>
            <w:tcBorders>
              <w:top w:val="nil"/>
              <w:left w:val="nil"/>
              <w:bottom w:val="single" w:sz="12" w:space="0" w:color="auto"/>
              <w:right w:val="nil"/>
            </w:tcBorders>
            <w:shd w:val="clear" w:color="auto" w:fill="auto"/>
            <w:noWrap/>
            <w:vAlign w:val="bottom"/>
            <w:hideMark/>
          </w:tcPr>
          <w:p w14:paraId="59D68314" w14:textId="253F51BB" w:rsidR="00B23446" w:rsidRDefault="00B23446" w:rsidP="00B23446">
            <w:pPr>
              <w:jc w:val="right"/>
              <w:rPr>
                <w:color w:val="000000"/>
                <w:sz w:val="20"/>
                <w:szCs w:val="20"/>
              </w:rPr>
            </w:pPr>
            <w:r>
              <w:rPr>
                <w:color w:val="000000"/>
                <w:sz w:val="20"/>
                <w:szCs w:val="20"/>
              </w:rPr>
              <w:t>0.204</w:t>
            </w:r>
          </w:p>
        </w:tc>
        <w:tc>
          <w:tcPr>
            <w:tcW w:w="768" w:type="dxa"/>
            <w:tcBorders>
              <w:top w:val="nil"/>
              <w:left w:val="nil"/>
              <w:bottom w:val="single" w:sz="12" w:space="0" w:color="auto"/>
              <w:right w:val="nil"/>
            </w:tcBorders>
            <w:shd w:val="clear" w:color="auto" w:fill="auto"/>
            <w:noWrap/>
            <w:vAlign w:val="bottom"/>
            <w:hideMark/>
          </w:tcPr>
          <w:p w14:paraId="156F7906" w14:textId="75A1451C" w:rsidR="00B23446" w:rsidRDefault="00B23446" w:rsidP="00B23446">
            <w:pPr>
              <w:jc w:val="right"/>
              <w:rPr>
                <w:color w:val="000000"/>
                <w:sz w:val="20"/>
                <w:szCs w:val="20"/>
              </w:rPr>
            </w:pPr>
            <w:r>
              <w:rPr>
                <w:color w:val="000000"/>
                <w:sz w:val="20"/>
                <w:szCs w:val="20"/>
              </w:rPr>
              <w:t>0.004</w:t>
            </w:r>
          </w:p>
        </w:tc>
      </w:tr>
      <w:tr w:rsidR="0022212F" w14:paraId="05858419"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5DF7BA0F" w14:textId="77777777" w:rsidR="0022212F" w:rsidRDefault="0022212F">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03A9CC43" w14:textId="77777777" w:rsidR="0022212F" w:rsidRDefault="0022212F">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240DCEA7"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0BDABDE"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7773D43"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4761678"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148DF5A"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3AD266E"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4A846A6"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6AAF079"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6D82534"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D180E29"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E425AB"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185E4BF"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8A51BC7"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1275119"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C5F0D14" w14:textId="77777777" w:rsidR="0022212F" w:rsidRDefault="0022212F">
            <w:pPr>
              <w:rPr>
                <w:sz w:val="20"/>
                <w:szCs w:val="20"/>
              </w:rPr>
            </w:pPr>
          </w:p>
        </w:tc>
      </w:tr>
    </w:tbl>
    <w:p w14:paraId="51C0FE7F" w14:textId="6B7C87CC" w:rsidR="007C294A" w:rsidRDefault="007C294A">
      <w:r>
        <w:br w:type="page"/>
      </w:r>
    </w:p>
    <w:p w14:paraId="7BFBFAFC" w14:textId="1A584E48" w:rsidR="007C294A" w:rsidRPr="009E2A20" w:rsidRDefault="00432B71" w:rsidP="009E2A20">
      <w:pPr>
        <w:pStyle w:val="Heading1"/>
        <w:rPr>
          <w:rFonts w:ascii="Times New Roman" w:hAnsi="Times New Roman" w:cs="Times New Roman"/>
          <w:b/>
          <w:bCs/>
          <w:color w:val="000000" w:themeColor="text1"/>
          <w:sz w:val="24"/>
          <w:szCs w:val="24"/>
        </w:rPr>
      </w:pPr>
      <w:bookmarkStart w:id="37" w:name="_Toc155817704"/>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DE156A">
        <w:rPr>
          <w:rFonts w:ascii="Times New Roman" w:hAnsi="Times New Roman" w:cs="Times New Roman"/>
          <w:b/>
          <w:bCs/>
          <w:color w:val="000000" w:themeColor="text1"/>
          <w:sz w:val="24"/>
          <w:szCs w:val="24"/>
        </w:rPr>
        <w:t>3</w:t>
      </w:r>
      <w:r w:rsidR="007C294A" w:rsidRPr="009E2A20">
        <w:rPr>
          <w:rFonts w:ascii="Times New Roman" w:hAnsi="Times New Roman" w:cs="Times New Roman"/>
          <w:b/>
          <w:bCs/>
          <w:color w:val="000000" w:themeColor="text1"/>
          <w:sz w:val="24"/>
          <w:szCs w:val="24"/>
        </w:rPr>
        <w:t>b</w:t>
      </w:r>
      <w:r w:rsidR="007C294A" w:rsidRPr="009E2A20">
        <w:rPr>
          <w:rFonts w:ascii="Times New Roman" w:hAnsi="Times New Roman" w:cs="Times New Roman"/>
          <w:color w:val="000000" w:themeColor="text1"/>
          <w:sz w:val="24"/>
          <w:szCs w:val="24"/>
        </w:rPr>
        <w:t>. Results examining the relationship between environmental stress factors obtained from higher-order modeling and Shen-268 network diameter during the monetary incentive delay task</w:t>
      </w:r>
      <w:bookmarkEnd w:id="37"/>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22212F" w14:paraId="74535A25"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38E16E94" w14:textId="77777777" w:rsidR="0022212F" w:rsidRDefault="0022212F">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bottom"/>
            <w:hideMark/>
          </w:tcPr>
          <w:p w14:paraId="3B5BE913" w14:textId="77777777" w:rsidR="0022212F" w:rsidRDefault="0022212F">
            <w:pPr>
              <w:rPr>
                <w:color w:val="000000"/>
                <w:sz w:val="20"/>
                <w:szCs w:val="20"/>
              </w:rPr>
            </w:pPr>
            <w:r>
              <w:rPr>
                <w:color w:val="000000"/>
                <w:sz w:val="20"/>
                <w:szCs w:val="20"/>
              </w:rPr>
              <w:t> </w:t>
            </w:r>
          </w:p>
        </w:tc>
        <w:tc>
          <w:tcPr>
            <w:tcW w:w="767" w:type="dxa"/>
            <w:tcBorders>
              <w:top w:val="nil"/>
              <w:left w:val="nil"/>
              <w:bottom w:val="single" w:sz="12" w:space="0" w:color="auto"/>
              <w:right w:val="nil"/>
            </w:tcBorders>
            <w:shd w:val="clear" w:color="auto" w:fill="auto"/>
            <w:noWrap/>
            <w:vAlign w:val="bottom"/>
            <w:hideMark/>
          </w:tcPr>
          <w:p w14:paraId="5009586A" w14:textId="77777777" w:rsidR="0022212F" w:rsidRDefault="0022212F">
            <w:pPr>
              <w:rPr>
                <w:color w:val="000000"/>
                <w:sz w:val="20"/>
                <w:szCs w:val="20"/>
              </w:rPr>
            </w:pPr>
          </w:p>
        </w:tc>
        <w:tc>
          <w:tcPr>
            <w:tcW w:w="768" w:type="dxa"/>
            <w:tcBorders>
              <w:top w:val="nil"/>
              <w:left w:val="nil"/>
              <w:bottom w:val="single" w:sz="12" w:space="0" w:color="auto"/>
              <w:right w:val="nil"/>
            </w:tcBorders>
            <w:shd w:val="clear" w:color="auto" w:fill="auto"/>
            <w:noWrap/>
            <w:vAlign w:val="bottom"/>
            <w:hideMark/>
          </w:tcPr>
          <w:p w14:paraId="1191C489"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02D7012"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A313424"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CA9F523"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F2E1210"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577BB30"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D55164D"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445571A"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32B2CBA"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A5FC2D2"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6C1D7D2"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5814B7B"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C39B6B9" w14:textId="77777777" w:rsidR="0022212F" w:rsidRDefault="0022212F">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D23DFF3" w14:textId="77777777" w:rsidR="0022212F" w:rsidRDefault="0022212F">
            <w:pPr>
              <w:rPr>
                <w:sz w:val="20"/>
                <w:szCs w:val="20"/>
              </w:rPr>
            </w:pPr>
          </w:p>
        </w:tc>
      </w:tr>
      <w:tr w:rsidR="0022212F" w14:paraId="53989489" w14:textId="77777777" w:rsidTr="00964DCF">
        <w:trPr>
          <w:trHeight w:val="340"/>
        </w:trPr>
        <w:tc>
          <w:tcPr>
            <w:tcW w:w="1176" w:type="dxa"/>
            <w:tcBorders>
              <w:top w:val="single" w:sz="12" w:space="0" w:color="auto"/>
              <w:left w:val="nil"/>
              <w:bottom w:val="nil"/>
              <w:right w:val="nil"/>
            </w:tcBorders>
            <w:shd w:val="clear" w:color="auto" w:fill="auto"/>
            <w:noWrap/>
            <w:vAlign w:val="bottom"/>
            <w:hideMark/>
          </w:tcPr>
          <w:p w14:paraId="3CB63AB9" w14:textId="77777777" w:rsidR="0022212F" w:rsidRDefault="0022212F">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35F799A8" w14:textId="77777777" w:rsidR="0022212F" w:rsidRDefault="0022212F">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8" w:space="0" w:color="auto"/>
              <w:right w:val="nil"/>
            </w:tcBorders>
            <w:shd w:val="clear" w:color="auto" w:fill="auto"/>
            <w:noWrap/>
            <w:vAlign w:val="center"/>
            <w:hideMark/>
          </w:tcPr>
          <w:p w14:paraId="76CEA2B0" w14:textId="4F83D7AF" w:rsidR="0022212F" w:rsidRDefault="0022212F">
            <w:pPr>
              <w:jc w:val="center"/>
              <w:rPr>
                <w:color w:val="000000"/>
                <w:sz w:val="20"/>
                <w:szCs w:val="20"/>
              </w:rPr>
            </w:pPr>
            <w:r>
              <w:rPr>
                <w:color w:val="000000"/>
                <w:sz w:val="20"/>
                <w:szCs w:val="20"/>
              </w:rPr>
              <w:t>General</w:t>
            </w:r>
            <w:r w:rsidR="00E735DC">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0441FEA" w14:textId="77777777" w:rsidR="0022212F" w:rsidRDefault="0022212F">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0893618" w14:textId="77777777" w:rsidR="0022212F" w:rsidRDefault="0022212F">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AECE15B" w14:textId="77777777" w:rsidR="0022212F" w:rsidRDefault="0022212F">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5C8E2119" w14:textId="77777777" w:rsidR="0022212F" w:rsidRDefault="0022212F">
            <w:pPr>
              <w:jc w:val="center"/>
              <w:rPr>
                <w:color w:val="000000"/>
                <w:sz w:val="20"/>
                <w:szCs w:val="20"/>
              </w:rPr>
            </w:pPr>
            <w:r>
              <w:rPr>
                <w:color w:val="000000"/>
                <w:sz w:val="20"/>
                <w:szCs w:val="20"/>
              </w:rPr>
              <w:t>Urbanicity</w:t>
            </w:r>
          </w:p>
        </w:tc>
      </w:tr>
      <w:tr w:rsidR="002125FE" w14:paraId="5BB20B06" w14:textId="77777777" w:rsidTr="00964DCF">
        <w:trPr>
          <w:trHeight w:val="360"/>
        </w:trPr>
        <w:tc>
          <w:tcPr>
            <w:tcW w:w="1176" w:type="dxa"/>
            <w:tcBorders>
              <w:top w:val="nil"/>
              <w:left w:val="nil"/>
              <w:bottom w:val="single" w:sz="12" w:space="0" w:color="auto"/>
              <w:right w:val="nil"/>
            </w:tcBorders>
            <w:shd w:val="clear" w:color="auto" w:fill="auto"/>
            <w:noWrap/>
            <w:vAlign w:val="bottom"/>
            <w:hideMark/>
          </w:tcPr>
          <w:p w14:paraId="1F8722D7"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1E504822"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08EBF268" w14:textId="2514636A"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EBF4025" w14:textId="3F34F2E2"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A0CA667" w14:textId="6D56AA08"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258AAE4" w14:textId="30C5DE42"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EA0AEC4" w14:textId="513D42F2"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155D690E" w14:textId="363E2B16"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3B93EC05" w14:textId="0A07B76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34D23C8E" w14:textId="5AEE4EAF"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0069EB08" w14:textId="034D6778"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7A6A4468" w14:textId="4B871C8B"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59CF33F4" w14:textId="65A90C66"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7D090EB3" w14:textId="214D9CF1"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F85DAEB" w14:textId="398A9501"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D2C46CF" w14:textId="051C3F63"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6A53A16" w14:textId="27B865A0"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B23446" w14:paraId="6F7C3C0A"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585DC563" w14:textId="77777777" w:rsidR="00B23446" w:rsidRDefault="00B23446" w:rsidP="00B23446">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206A497F" w14:textId="77777777" w:rsidR="00B23446" w:rsidRDefault="00B23446" w:rsidP="00B23446">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28926182" w14:textId="533F870E" w:rsidR="00B23446" w:rsidRDefault="00B23446" w:rsidP="00B23446">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12B37FF0" w14:textId="2785D733" w:rsidR="00B23446" w:rsidRDefault="00B23446" w:rsidP="00B23446">
            <w:pPr>
              <w:jc w:val="right"/>
              <w:rPr>
                <w:color w:val="000000"/>
                <w:sz w:val="20"/>
                <w:szCs w:val="20"/>
              </w:rPr>
            </w:pPr>
            <w:r>
              <w:rPr>
                <w:color w:val="000000"/>
                <w:sz w:val="20"/>
                <w:szCs w:val="20"/>
              </w:rPr>
              <w:t>0.941</w:t>
            </w:r>
          </w:p>
        </w:tc>
        <w:tc>
          <w:tcPr>
            <w:tcW w:w="768" w:type="dxa"/>
            <w:tcBorders>
              <w:top w:val="single" w:sz="12" w:space="0" w:color="auto"/>
              <w:left w:val="nil"/>
              <w:bottom w:val="nil"/>
              <w:right w:val="nil"/>
            </w:tcBorders>
            <w:shd w:val="clear" w:color="auto" w:fill="auto"/>
            <w:noWrap/>
            <w:vAlign w:val="bottom"/>
            <w:hideMark/>
          </w:tcPr>
          <w:p w14:paraId="0B3FC726" w14:textId="37FE3747"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8C7AFAF" w14:textId="1ACF0ECA" w:rsidR="00B23446" w:rsidRDefault="00B23446" w:rsidP="00B23446">
            <w:pPr>
              <w:jc w:val="right"/>
              <w:rPr>
                <w:color w:val="000000"/>
                <w:sz w:val="20"/>
                <w:szCs w:val="20"/>
              </w:rPr>
            </w:pPr>
            <w:r>
              <w:rPr>
                <w:color w:val="000000"/>
                <w:sz w:val="20"/>
                <w:szCs w:val="20"/>
              </w:rPr>
              <w:t>-0.042</w:t>
            </w:r>
          </w:p>
        </w:tc>
        <w:tc>
          <w:tcPr>
            <w:tcW w:w="768" w:type="dxa"/>
            <w:tcBorders>
              <w:top w:val="single" w:sz="12" w:space="0" w:color="auto"/>
              <w:left w:val="nil"/>
              <w:bottom w:val="nil"/>
              <w:right w:val="nil"/>
            </w:tcBorders>
            <w:shd w:val="clear" w:color="auto" w:fill="auto"/>
            <w:noWrap/>
            <w:vAlign w:val="bottom"/>
            <w:hideMark/>
          </w:tcPr>
          <w:p w14:paraId="0FAB8CDE" w14:textId="3739D751" w:rsidR="00B23446" w:rsidRDefault="00B23446" w:rsidP="00B23446">
            <w:pPr>
              <w:jc w:val="right"/>
              <w:rPr>
                <w:color w:val="000000"/>
                <w:sz w:val="20"/>
                <w:szCs w:val="20"/>
              </w:rPr>
            </w:pPr>
            <w:r>
              <w:rPr>
                <w:color w:val="000000"/>
                <w:sz w:val="20"/>
                <w:szCs w:val="20"/>
              </w:rPr>
              <w:t>0.986</w:t>
            </w:r>
          </w:p>
        </w:tc>
        <w:tc>
          <w:tcPr>
            <w:tcW w:w="768" w:type="dxa"/>
            <w:tcBorders>
              <w:top w:val="single" w:sz="12" w:space="0" w:color="auto"/>
              <w:left w:val="nil"/>
              <w:bottom w:val="nil"/>
              <w:right w:val="nil"/>
            </w:tcBorders>
            <w:shd w:val="clear" w:color="auto" w:fill="auto"/>
            <w:noWrap/>
            <w:vAlign w:val="bottom"/>
            <w:hideMark/>
          </w:tcPr>
          <w:p w14:paraId="4347CE48" w14:textId="228472E0" w:rsidR="00B23446" w:rsidRDefault="00B23446" w:rsidP="00B23446">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34C16B63" w14:textId="4D9700B0" w:rsidR="00B23446" w:rsidRDefault="00B23446" w:rsidP="00B23446">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7B417686" w14:textId="33358488" w:rsidR="00B23446" w:rsidRDefault="00B23446" w:rsidP="00B23446">
            <w:pPr>
              <w:jc w:val="right"/>
              <w:rPr>
                <w:color w:val="000000"/>
                <w:sz w:val="20"/>
                <w:szCs w:val="20"/>
              </w:rPr>
            </w:pPr>
            <w:r>
              <w:rPr>
                <w:color w:val="000000"/>
                <w:sz w:val="20"/>
                <w:szCs w:val="20"/>
              </w:rPr>
              <w:t>0.842</w:t>
            </w:r>
          </w:p>
        </w:tc>
        <w:tc>
          <w:tcPr>
            <w:tcW w:w="768" w:type="dxa"/>
            <w:tcBorders>
              <w:top w:val="single" w:sz="12" w:space="0" w:color="auto"/>
              <w:left w:val="nil"/>
              <w:bottom w:val="nil"/>
              <w:right w:val="nil"/>
            </w:tcBorders>
            <w:shd w:val="clear" w:color="auto" w:fill="auto"/>
            <w:noWrap/>
            <w:vAlign w:val="bottom"/>
            <w:hideMark/>
          </w:tcPr>
          <w:p w14:paraId="196CF069" w14:textId="187A5487"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34FBE32" w14:textId="0E38E175" w:rsidR="00B23446" w:rsidRDefault="00B23446" w:rsidP="00B23446">
            <w:pPr>
              <w:jc w:val="right"/>
              <w:rPr>
                <w:color w:val="000000"/>
                <w:sz w:val="20"/>
                <w:szCs w:val="20"/>
              </w:rPr>
            </w:pPr>
            <w:r>
              <w:rPr>
                <w:color w:val="000000"/>
                <w:sz w:val="20"/>
                <w:szCs w:val="20"/>
              </w:rPr>
              <w:t>-0.036</w:t>
            </w:r>
          </w:p>
        </w:tc>
        <w:tc>
          <w:tcPr>
            <w:tcW w:w="768" w:type="dxa"/>
            <w:tcBorders>
              <w:top w:val="single" w:sz="12" w:space="0" w:color="auto"/>
              <w:left w:val="nil"/>
              <w:bottom w:val="nil"/>
              <w:right w:val="nil"/>
            </w:tcBorders>
            <w:shd w:val="clear" w:color="auto" w:fill="auto"/>
            <w:noWrap/>
            <w:vAlign w:val="bottom"/>
            <w:hideMark/>
          </w:tcPr>
          <w:p w14:paraId="254033AC" w14:textId="79200D94" w:rsidR="00B23446" w:rsidRDefault="00B23446" w:rsidP="00B23446">
            <w:pPr>
              <w:jc w:val="right"/>
              <w:rPr>
                <w:color w:val="000000"/>
                <w:sz w:val="20"/>
                <w:szCs w:val="20"/>
              </w:rPr>
            </w:pPr>
            <w:r>
              <w:rPr>
                <w:color w:val="000000"/>
                <w:sz w:val="20"/>
                <w:szCs w:val="20"/>
              </w:rPr>
              <w:t>0.545</w:t>
            </w:r>
          </w:p>
        </w:tc>
        <w:tc>
          <w:tcPr>
            <w:tcW w:w="768" w:type="dxa"/>
            <w:tcBorders>
              <w:top w:val="single" w:sz="12" w:space="0" w:color="auto"/>
              <w:left w:val="nil"/>
              <w:bottom w:val="nil"/>
              <w:right w:val="nil"/>
            </w:tcBorders>
            <w:shd w:val="clear" w:color="auto" w:fill="auto"/>
            <w:noWrap/>
            <w:vAlign w:val="bottom"/>
            <w:hideMark/>
          </w:tcPr>
          <w:p w14:paraId="2B0B071C" w14:textId="23F7E609" w:rsidR="00B23446" w:rsidRDefault="00B23446" w:rsidP="00B23446">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611C7B70" w14:textId="64DE9C21" w:rsidR="00B23446" w:rsidRDefault="00B23446" w:rsidP="00B23446">
            <w:pPr>
              <w:jc w:val="right"/>
              <w:rPr>
                <w:color w:val="000000"/>
                <w:sz w:val="20"/>
                <w:szCs w:val="20"/>
              </w:rPr>
            </w:pPr>
            <w:r>
              <w:rPr>
                <w:color w:val="000000"/>
                <w:sz w:val="20"/>
                <w:szCs w:val="20"/>
              </w:rPr>
              <w:t>0.079</w:t>
            </w:r>
          </w:p>
        </w:tc>
        <w:tc>
          <w:tcPr>
            <w:tcW w:w="768" w:type="dxa"/>
            <w:tcBorders>
              <w:top w:val="single" w:sz="12" w:space="0" w:color="auto"/>
              <w:left w:val="nil"/>
              <w:bottom w:val="nil"/>
              <w:right w:val="nil"/>
            </w:tcBorders>
            <w:shd w:val="clear" w:color="auto" w:fill="auto"/>
            <w:noWrap/>
            <w:vAlign w:val="bottom"/>
            <w:hideMark/>
          </w:tcPr>
          <w:p w14:paraId="1CB84F5B" w14:textId="087FA63D" w:rsidR="00B23446" w:rsidRDefault="00B23446" w:rsidP="00B23446">
            <w:pPr>
              <w:jc w:val="right"/>
              <w:rPr>
                <w:color w:val="000000"/>
                <w:sz w:val="20"/>
                <w:szCs w:val="20"/>
              </w:rPr>
            </w:pPr>
            <w:r>
              <w:rPr>
                <w:color w:val="000000"/>
                <w:sz w:val="20"/>
                <w:szCs w:val="20"/>
              </w:rPr>
              <w:t>0.368</w:t>
            </w:r>
          </w:p>
        </w:tc>
        <w:tc>
          <w:tcPr>
            <w:tcW w:w="768" w:type="dxa"/>
            <w:tcBorders>
              <w:top w:val="single" w:sz="12" w:space="0" w:color="auto"/>
              <w:left w:val="nil"/>
              <w:bottom w:val="nil"/>
              <w:right w:val="nil"/>
            </w:tcBorders>
            <w:shd w:val="clear" w:color="auto" w:fill="auto"/>
            <w:noWrap/>
            <w:vAlign w:val="bottom"/>
            <w:hideMark/>
          </w:tcPr>
          <w:p w14:paraId="65C91D77" w14:textId="732A76DE" w:rsidR="00B23446" w:rsidRDefault="00B23446" w:rsidP="00B23446">
            <w:pPr>
              <w:jc w:val="right"/>
              <w:rPr>
                <w:color w:val="000000"/>
                <w:sz w:val="20"/>
                <w:szCs w:val="20"/>
              </w:rPr>
            </w:pPr>
            <w:r>
              <w:rPr>
                <w:color w:val="000000"/>
                <w:sz w:val="20"/>
                <w:szCs w:val="20"/>
              </w:rPr>
              <w:t>0.006</w:t>
            </w:r>
          </w:p>
        </w:tc>
      </w:tr>
      <w:tr w:rsidR="00B23446" w14:paraId="592DC879" w14:textId="77777777" w:rsidTr="0022212F">
        <w:trPr>
          <w:trHeight w:val="340"/>
        </w:trPr>
        <w:tc>
          <w:tcPr>
            <w:tcW w:w="1176" w:type="dxa"/>
            <w:tcBorders>
              <w:top w:val="nil"/>
              <w:left w:val="nil"/>
              <w:bottom w:val="nil"/>
              <w:right w:val="nil"/>
            </w:tcBorders>
            <w:shd w:val="clear" w:color="auto" w:fill="auto"/>
            <w:noWrap/>
            <w:vAlign w:val="bottom"/>
            <w:hideMark/>
          </w:tcPr>
          <w:p w14:paraId="0C18355C"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7C3C94A"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D0DDE92" w14:textId="275264E9" w:rsidR="00B23446" w:rsidRDefault="00B23446" w:rsidP="00B2344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82053D8" w14:textId="60C5CDD9" w:rsidR="00B23446" w:rsidRDefault="00B23446" w:rsidP="00B23446">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7B3D3FE9" w14:textId="306FEE4D"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7C9C18E" w14:textId="4AB71BBF"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21364CB" w14:textId="21846B94" w:rsidR="00B23446" w:rsidRDefault="00B23446" w:rsidP="00B23446">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0D0E6B22" w14:textId="0DB4557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30B158" w14:textId="5B9C7718"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0106D6F" w14:textId="1F70ADF2" w:rsidR="00B23446" w:rsidRDefault="00B23446" w:rsidP="00B23446">
            <w:pPr>
              <w:jc w:val="right"/>
              <w:rPr>
                <w:color w:val="000000"/>
                <w:sz w:val="20"/>
                <w:szCs w:val="20"/>
              </w:rPr>
            </w:pPr>
            <w:r>
              <w:rPr>
                <w:color w:val="000000"/>
                <w:sz w:val="20"/>
                <w:szCs w:val="20"/>
              </w:rPr>
              <w:t>0.842</w:t>
            </w:r>
          </w:p>
        </w:tc>
        <w:tc>
          <w:tcPr>
            <w:tcW w:w="768" w:type="dxa"/>
            <w:tcBorders>
              <w:top w:val="nil"/>
              <w:left w:val="nil"/>
              <w:bottom w:val="nil"/>
              <w:right w:val="nil"/>
            </w:tcBorders>
            <w:shd w:val="clear" w:color="auto" w:fill="auto"/>
            <w:noWrap/>
            <w:vAlign w:val="bottom"/>
            <w:hideMark/>
          </w:tcPr>
          <w:p w14:paraId="21432DE4" w14:textId="35D9BA4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445341" w14:textId="65B2E584" w:rsidR="00B23446" w:rsidRDefault="00B23446" w:rsidP="00B23446">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3D3AACC5" w14:textId="172773C3" w:rsidR="00B23446" w:rsidRDefault="00B23446" w:rsidP="00B23446">
            <w:pPr>
              <w:jc w:val="right"/>
              <w:rPr>
                <w:color w:val="000000"/>
                <w:sz w:val="20"/>
                <w:szCs w:val="20"/>
              </w:rPr>
            </w:pPr>
            <w:r>
              <w:rPr>
                <w:color w:val="000000"/>
                <w:sz w:val="20"/>
                <w:szCs w:val="20"/>
              </w:rPr>
              <w:t>0.478</w:t>
            </w:r>
          </w:p>
        </w:tc>
        <w:tc>
          <w:tcPr>
            <w:tcW w:w="768" w:type="dxa"/>
            <w:tcBorders>
              <w:top w:val="nil"/>
              <w:left w:val="nil"/>
              <w:bottom w:val="nil"/>
              <w:right w:val="nil"/>
            </w:tcBorders>
            <w:shd w:val="clear" w:color="auto" w:fill="auto"/>
            <w:noWrap/>
            <w:vAlign w:val="bottom"/>
            <w:hideMark/>
          </w:tcPr>
          <w:p w14:paraId="0F02D856" w14:textId="51079062"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B321BC1" w14:textId="329CE8B8" w:rsidR="00B23446" w:rsidRDefault="00B23446" w:rsidP="00B23446">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4C5FA403" w14:textId="2313C95F" w:rsidR="00B23446" w:rsidRDefault="00B23446" w:rsidP="00B23446">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0C23EC52" w14:textId="14573210" w:rsidR="00B23446" w:rsidRDefault="00B23446" w:rsidP="00B23446">
            <w:pPr>
              <w:jc w:val="right"/>
              <w:rPr>
                <w:color w:val="000000"/>
                <w:sz w:val="20"/>
                <w:szCs w:val="20"/>
              </w:rPr>
            </w:pPr>
            <w:r>
              <w:rPr>
                <w:color w:val="000000"/>
                <w:sz w:val="20"/>
                <w:szCs w:val="20"/>
              </w:rPr>
              <w:t>0.005</w:t>
            </w:r>
          </w:p>
        </w:tc>
      </w:tr>
      <w:tr w:rsidR="00B23446" w14:paraId="76D22DD7" w14:textId="77777777" w:rsidTr="0022212F">
        <w:trPr>
          <w:trHeight w:val="320"/>
        </w:trPr>
        <w:tc>
          <w:tcPr>
            <w:tcW w:w="1176" w:type="dxa"/>
            <w:tcBorders>
              <w:top w:val="nil"/>
              <w:left w:val="nil"/>
              <w:bottom w:val="nil"/>
              <w:right w:val="nil"/>
            </w:tcBorders>
            <w:shd w:val="clear" w:color="auto" w:fill="auto"/>
            <w:noWrap/>
            <w:vAlign w:val="bottom"/>
            <w:hideMark/>
          </w:tcPr>
          <w:p w14:paraId="4C70BD1F"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C142F12"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D5E9317" w14:textId="54ACF3EA" w:rsidR="00B23446" w:rsidRDefault="00B23446" w:rsidP="00B23446">
            <w:pPr>
              <w:jc w:val="right"/>
              <w:rPr>
                <w:color w:val="000000"/>
                <w:sz w:val="20"/>
                <w:szCs w:val="20"/>
              </w:rPr>
            </w:pPr>
            <w:r>
              <w:rPr>
                <w:color w:val="000000"/>
                <w:sz w:val="20"/>
                <w:szCs w:val="20"/>
              </w:rPr>
              <w:t>-0.131</w:t>
            </w:r>
          </w:p>
        </w:tc>
        <w:tc>
          <w:tcPr>
            <w:tcW w:w="768" w:type="dxa"/>
            <w:tcBorders>
              <w:top w:val="nil"/>
              <w:left w:val="nil"/>
              <w:bottom w:val="nil"/>
              <w:right w:val="nil"/>
            </w:tcBorders>
            <w:shd w:val="clear" w:color="auto" w:fill="auto"/>
            <w:noWrap/>
            <w:vAlign w:val="bottom"/>
            <w:hideMark/>
          </w:tcPr>
          <w:p w14:paraId="403DB31F" w14:textId="125A8E4C" w:rsidR="00B23446" w:rsidRDefault="00B23446" w:rsidP="00B23446">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1A0D76F8" w14:textId="3E4C1E18" w:rsidR="00B23446" w:rsidRDefault="00B23446" w:rsidP="00B2344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1199BF3E" w14:textId="5C84538E" w:rsidR="00B23446" w:rsidRDefault="00B23446" w:rsidP="00B2344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24A7B60" w14:textId="4AAF0298" w:rsidR="00B23446" w:rsidRDefault="00B23446" w:rsidP="00B23446">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0E6BE127" w14:textId="196F819A"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A94F63" w14:textId="5418AABF"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095767FA" w14:textId="33CDF3D0" w:rsidR="00B23446" w:rsidRDefault="00B23446" w:rsidP="00B23446">
            <w:pPr>
              <w:jc w:val="right"/>
              <w:rPr>
                <w:color w:val="000000"/>
                <w:sz w:val="20"/>
                <w:szCs w:val="20"/>
              </w:rPr>
            </w:pPr>
            <w:r>
              <w:rPr>
                <w:color w:val="000000"/>
                <w:sz w:val="20"/>
                <w:szCs w:val="20"/>
              </w:rPr>
              <w:t>0.842</w:t>
            </w:r>
          </w:p>
        </w:tc>
        <w:tc>
          <w:tcPr>
            <w:tcW w:w="768" w:type="dxa"/>
            <w:tcBorders>
              <w:top w:val="nil"/>
              <w:left w:val="nil"/>
              <w:bottom w:val="nil"/>
              <w:right w:val="nil"/>
            </w:tcBorders>
            <w:shd w:val="clear" w:color="auto" w:fill="auto"/>
            <w:noWrap/>
            <w:vAlign w:val="bottom"/>
            <w:hideMark/>
          </w:tcPr>
          <w:p w14:paraId="793CA195" w14:textId="0743B07E"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60FC113" w14:textId="23583333" w:rsidR="00B23446" w:rsidRDefault="00B23446" w:rsidP="00B23446">
            <w:pPr>
              <w:jc w:val="right"/>
              <w:rPr>
                <w:color w:val="000000"/>
                <w:sz w:val="20"/>
                <w:szCs w:val="20"/>
              </w:rPr>
            </w:pPr>
            <w:r>
              <w:rPr>
                <w:color w:val="000000"/>
                <w:sz w:val="20"/>
                <w:szCs w:val="20"/>
              </w:rPr>
              <w:t>-0.126</w:t>
            </w:r>
          </w:p>
        </w:tc>
        <w:tc>
          <w:tcPr>
            <w:tcW w:w="768" w:type="dxa"/>
            <w:tcBorders>
              <w:top w:val="nil"/>
              <w:left w:val="nil"/>
              <w:bottom w:val="nil"/>
              <w:right w:val="nil"/>
            </w:tcBorders>
            <w:shd w:val="clear" w:color="auto" w:fill="auto"/>
            <w:noWrap/>
            <w:vAlign w:val="bottom"/>
            <w:hideMark/>
          </w:tcPr>
          <w:p w14:paraId="456EB7C4" w14:textId="63B82064" w:rsidR="00B23446" w:rsidRDefault="00B23446" w:rsidP="00B23446">
            <w:pPr>
              <w:jc w:val="right"/>
              <w:rPr>
                <w:color w:val="000000"/>
                <w:sz w:val="20"/>
                <w:szCs w:val="20"/>
              </w:rPr>
            </w:pPr>
            <w:r>
              <w:rPr>
                <w:color w:val="000000"/>
                <w:sz w:val="20"/>
                <w:szCs w:val="20"/>
              </w:rPr>
              <w:t>0.478</w:t>
            </w:r>
          </w:p>
        </w:tc>
        <w:tc>
          <w:tcPr>
            <w:tcW w:w="768" w:type="dxa"/>
            <w:tcBorders>
              <w:top w:val="nil"/>
              <w:left w:val="nil"/>
              <w:bottom w:val="nil"/>
              <w:right w:val="nil"/>
            </w:tcBorders>
            <w:shd w:val="clear" w:color="auto" w:fill="auto"/>
            <w:noWrap/>
            <w:vAlign w:val="bottom"/>
            <w:hideMark/>
          </w:tcPr>
          <w:p w14:paraId="438CA714" w14:textId="3615E864"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5F2920C" w14:textId="4FD6FBA8"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5D9796D" w14:textId="4A60F91C" w:rsidR="00B23446" w:rsidRDefault="00B23446" w:rsidP="00B23446">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431424BD" w14:textId="3FA2A35F" w:rsidR="00B23446" w:rsidRDefault="00B23446" w:rsidP="00B23446">
            <w:pPr>
              <w:jc w:val="right"/>
              <w:rPr>
                <w:color w:val="000000"/>
                <w:sz w:val="20"/>
                <w:szCs w:val="20"/>
              </w:rPr>
            </w:pPr>
            <w:r>
              <w:rPr>
                <w:color w:val="000000"/>
                <w:sz w:val="20"/>
                <w:szCs w:val="20"/>
              </w:rPr>
              <w:t>0.000</w:t>
            </w:r>
          </w:p>
        </w:tc>
      </w:tr>
      <w:tr w:rsidR="00B23446" w14:paraId="276BE77F" w14:textId="77777777" w:rsidTr="0022212F">
        <w:trPr>
          <w:trHeight w:val="320"/>
        </w:trPr>
        <w:tc>
          <w:tcPr>
            <w:tcW w:w="1176" w:type="dxa"/>
            <w:tcBorders>
              <w:top w:val="nil"/>
              <w:left w:val="nil"/>
              <w:bottom w:val="nil"/>
              <w:right w:val="nil"/>
            </w:tcBorders>
            <w:shd w:val="clear" w:color="auto" w:fill="auto"/>
            <w:noWrap/>
            <w:vAlign w:val="bottom"/>
            <w:hideMark/>
          </w:tcPr>
          <w:p w14:paraId="7835805F"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78AB2AD"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EF55B8E" w14:textId="1DC5B850" w:rsidR="00B23446" w:rsidRDefault="00B23446" w:rsidP="00B23446">
            <w:pPr>
              <w:jc w:val="right"/>
              <w:rPr>
                <w:color w:val="000000"/>
                <w:sz w:val="20"/>
                <w:szCs w:val="20"/>
              </w:rPr>
            </w:pPr>
            <w:r>
              <w:rPr>
                <w:color w:val="000000"/>
                <w:sz w:val="20"/>
                <w:szCs w:val="20"/>
              </w:rPr>
              <w:t>0.249</w:t>
            </w:r>
          </w:p>
        </w:tc>
        <w:tc>
          <w:tcPr>
            <w:tcW w:w="768" w:type="dxa"/>
            <w:tcBorders>
              <w:top w:val="nil"/>
              <w:left w:val="nil"/>
              <w:bottom w:val="nil"/>
              <w:right w:val="nil"/>
            </w:tcBorders>
            <w:shd w:val="clear" w:color="auto" w:fill="auto"/>
            <w:noWrap/>
            <w:vAlign w:val="bottom"/>
            <w:hideMark/>
          </w:tcPr>
          <w:p w14:paraId="05C64615" w14:textId="3EA803CC" w:rsidR="00B23446" w:rsidRDefault="00B23446" w:rsidP="00B23446">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227B51E5" w14:textId="63036C94" w:rsidR="00B23446" w:rsidRDefault="00B23446" w:rsidP="00B23446">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700195DB" w14:textId="06D9CEDE" w:rsidR="00B23446" w:rsidRDefault="00B23446" w:rsidP="00B23446">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07DEE055" w14:textId="2BEFE758" w:rsidR="00B23446" w:rsidRDefault="00B23446" w:rsidP="00B23446">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0C50D467" w14:textId="44CD92AB"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3F13DC0" w14:textId="64E91655" w:rsidR="00B23446" w:rsidRDefault="00B23446" w:rsidP="00B23446">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28DAA96C" w14:textId="7CFA85DA" w:rsidR="00B23446" w:rsidRDefault="00B23446" w:rsidP="00B23446">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67A25053" w14:textId="131DD99D"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8F073EA" w14:textId="4BC3382A" w:rsidR="00B23446" w:rsidRDefault="00B23446" w:rsidP="00B23446">
            <w:pPr>
              <w:jc w:val="right"/>
              <w:rPr>
                <w:color w:val="000000"/>
                <w:sz w:val="20"/>
                <w:szCs w:val="20"/>
              </w:rPr>
            </w:pPr>
            <w:r>
              <w:rPr>
                <w:color w:val="000000"/>
                <w:sz w:val="20"/>
                <w:szCs w:val="20"/>
              </w:rPr>
              <w:t>0.183</w:t>
            </w:r>
          </w:p>
        </w:tc>
        <w:tc>
          <w:tcPr>
            <w:tcW w:w="768" w:type="dxa"/>
            <w:tcBorders>
              <w:top w:val="nil"/>
              <w:left w:val="nil"/>
              <w:bottom w:val="nil"/>
              <w:right w:val="nil"/>
            </w:tcBorders>
            <w:shd w:val="clear" w:color="auto" w:fill="auto"/>
            <w:noWrap/>
            <w:vAlign w:val="bottom"/>
            <w:hideMark/>
          </w:tcPr>
          <w:p w14:paraId="1B9BCA33" w14:textId="2EBFE722" w:rsidR="00B23446" w:rsidRDefault="00B23446" w:rsidP="00B23446">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42A8D979" w14:textId="52F95249"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62ABD3B7" w14:textId="6267C3AD" w:rsidR="00B23446" w:rsidRDefault="00B23446" w:rsidP="00B23446">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74E60EBC" w14:textId="164C6C63" w:rsidR="00B23446" w:rsidRDefault="00B23446" w:rsidP="00B23446">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38D03AC8" w14:textId="0D2E4658" w:rsidR="00B23446" w:rsidRDefault="00B23446" w:rsidP="00B23446">
            <w:pPr>
              <w:jc w:val="right"/>
              <w:rPr>
                <w:color w:val="000000"/>
                <w:sz w:val="20"/>
                <w:szCs w:val="20"/>
              </w:rPr>
            </w:pPr>
            <w:r>
              <w:rPr>
                <w:color w:val="000000"/>
                <w:sz w:val="20"/>
                <w:szCs w:val="20"/>
              </w:rPr>
              <w:t>0.008</w:t>
            </w:r>
          </w:p>
        </w:tc>
      </w:tr>
      <w:tr w:rsidR="00B23446" w14:paraId="573A95F7" w14:textId="77777777" w:rsidTr="0022212F">
        <w:trPr>
          <w:trHeight w:val="320"/>
        </w:trPr>
        <w:tc>
          <w:tcPr>
            <w:tcW w:w="1176" w:type="dxa"/>
            <w:tcBorders>
              <w:top w:val="nil"/>
              <w:left w:val="nil"/>
              <w:bottom w:val="nil"/>
              <w:right w:val="nil"/>
            </w:tcBorders>
            <w:shd w:val="clear" w:color="auto" w:fill="auto"/>
            <w:noWrap/>
            <w:vAlign w:val="bottom"/>
            <w:hideMark/>
          </w:tcPr>
          <w:p w14:paraId="719CA8A2"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1FE4338"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2657244" w14:textId="0B4DF0A7"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8DD7A02" w14:textId="0EF4BA63" w:rsidR="00B23446" w:rsidRDefault="00B23446" w:rsidP="00B23446">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639EA0BA" w14:textId="3EAFAFE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88DF1A" w14:textId="0D311EB1" w:rsidR="00B23446" w:rsidRDefault="00B23446" w:rsidP="00B23446">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38E3D8FD" w14:textId="4BE76358" w:rsidR="00B23446" w:rsidRDefault="00B23446" w:rsidP="00B23446">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18083502" w14:textId="1A9E182B"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DE65211" w14:textId="4EB7D59D" w:rsidR="00B23446" w:rsidRDefault="00B23446" w:rsidP="00B23446">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57E6FC77" w14:textId="52671B93" w:rsidR="00B23446" w:rsidRDefault="00B23446" w:rsidP="00B23446">
            <w:pPr>
              <w:jc w:val="right"/>
              <w:rPr>
                <w:color w:val="000000"/>
                <w:sz w:val="20"/>
                <w:szCs w:val="20"/>
              </w:rPr>
            </w:pPr>
            <w:r>
              <w:rPr>
                <w:color w:val="000000"/>
                <w:sz w:val="20"/>
                <w:szCs w:val="20"/>
              </w:rPr>
              <w:t>0.684</w:t>
            </w:r>
          </w:p>
        </w:tc>
        <w:tc>
          <w:tcPr>
            <w:tcW w:w="768" w:type="dxa"/>
            <w:tcBorders>
              <w:top w:val="nil"/>
              <w:left w:val="nil"/>
              <w:bottom w:val="nil"/>
              <w:right w:val="nil"/>
            </w:tcBorders>
            <w:shd w:val="clear" w:color="auto" w:fill="auto"/>
            <w:noWrap/>
            <w:vAlign w:val="bottom"/>
            <w:hideMark/>
          </w:tcPr>
          <w:p w14:paraId="5370341A" w14:textId="1F0A5E28"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28B9F3E" w14:textId="6417A4FE"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168C02E" w14:textId="776AB118" w:rsidR="00B23446" w:rsidRDefault="00B23446" w:rsidP="00B23446">
            <w:pPr>
              <w:jc w:val="right"/>
              <w:rPr>
                <w:color w:val="000000"/>
                <w:sz w:val="20"/>
                <w:szCs w:val="20"/>
              </w:rPr>
            </w:pPr>
            <w:r>
              <w:rPr>
                <w:color w:val="000000"/>
                <w:sz w:val="20"/>
                <w:szCs w:val="20"/>
              </w:rPr>
              <w:t>0.745</w:t>
            </w:r>
          </w:p>
        </w:tc>
        <w:tc>
          <w:tcPr>
            <w:tcW w:w="768" w:type="dxa"/>
            <w:tcBorders>
              <w:top w:val="nil"/>
              <w:left w:val="nil"/>
              <w:bottom w:val="nil"/>
              <w:right w:val="nil"/>
            </w:tcBorders>
            <w:shd w:val="clear" w:color="auto" w:fill="auto"/>
            <w:noWrap/>
            <w:vAlign w:val="bottom"/>
            <w:hideMark/>
          </w:tcPr>
          <w:p w14:paraId="7AA15017" w14:textId="7AC0FCEE"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98A8914" w14:textId="137F96A5" w:rsidR="00B23446" w:rsidRDefault="00B23446" w:rsidP="00B23446">
            <w:pPr>
              <w:jc w:val="right"/>
              <w:rPr>
                <w:color w:val="000000"/>
                <w:sz w:val="20"/>
                <w:szCs w:val="20"/>
              </w:rPr>
            </w:pPr>
            <w:r>
              <w:rPr>
                <w:color w:val="000000"/>
                <w:sz w:val="20"/>
                <w:szCs w:val="20"/>
              </w:rPr>
              <w:t>-0.127</w:t>
            </w:r>
          </w:p>
        </w:tc>
        <w:tc>
          <w:tcPr>
            <w:tcW w:w="768" w:type="dxa"/>
            <w:tcBorders>
              <w:top w:val="nil"/>
              <w:left w:val="nil"/>
              <w:bottom w:val="nil"/>
              <w:right w:val="nil"/>
            </w:tcBorders>
            <w:shd w:val="clear" w:color="auto" w:fill="auto"/>
            <w:noWrap/>
            <w:vAlign w:val="bottom"/>
            <w:hideMark/>
          </w:tcPr>
          <w:p w14:paraId="72B98E84" w14:textId="71F64C38" w:rsidR="00B23446" w:rsidRDefault="00B23446" w:rsidP="00B23446">
            <w:pPr>
              <w:jc w:val="right"/>
              <w:rPr>
                <w:color w:val="000000"/>
                <w:sz w:val="20"/>
                <w:szCs w:val="20"/>
              </w:rPr>
            </w:pPr>
            <w:r>
              <w:rPr>
                <w:color w:val="000000"/>
                <w:sz w:val="20"/>
                <w:szCs w:val="20"/>
              </w:rPr>
              <w:t>0.296</w:t>
            </w:r>
          </w:p>
        </w:tc>
        <w:tc>
          <w:tcPr>
            <w:tcW w:w="768" w:type="dxa"/>
            <w:tcBorders>
              <w:top w:val="nil"/>
              <w:left w:val="nil"/>
              <w:bottom w:val="nil"/>
              <w:right w:val="nil"/>
            </w:tcBorders>
            <w:shd w:val="clear" w:color="auto" w:fill="auto"/>
            <w:noWrap/>
            <w:vAlign w:val="bottom"/>
            <w:hideMark/>
          </w:tcPr>
          <w:p w14:paraId="539D5E61" w14:textId="22CCB194" w:rsidR="00B23446" w:rsidRDefault="00B23446" w:rsidP="00B23446">
            <w:pPr>
              <w:jc w:val="right"/>
              <w:rPr>
                <w:color w:val="000000"/>
                <w:sz w:val="20"/>
                <w:szCs w:val="20"/>
              </w:rPr>
            </w:pPr>
            <w:r>
              <w:rPr>
                <w:color w:val="000000"/>
                <w:sz w:val="20"/>
                <w:szCs w:val="20"/>
              </w:rPr>
              <w:t>0.016</w:t>
            </w:r>
          </w:p>
        </w:tc>
      </w:tr>
      <w:tr w:rsidR="00B23446" w14:paraId="16EA42B8" w14:textId="77777777" w:rsidTr="0022212F">
        <w:trPr>
          <w:trHeight w:val="320"/>
        </w:trPr>
        <w:tc>
          <w:tcPr>
            <w:tcW w:w="1176" w:type="dxa"/>
            <w:tcBorders>
              <w:top w:val="nil"/>
              <w:left w:val="nil"/>
              <w:bottom w:val="nil"/>
              <w:right w:val="nil"/>
            </w:tcBorders>
            <w:shd w:val="clear" w:color="auto" w:fill="auto"/>
            <w:noWrap/>
            <w:vAlign w:val="bottom"/>
            <w:hideMark/>
          </w:tcPr>
          <w:p w14:paraId="7D97FFB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3916C5"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82B6BF0" w14:textId="2591666E" w:rsidR="00B23446" w:rsidRDefault="00B23446" w:rsidP="00B23446">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64D8D75D" w14:textId="3C621543" w:rsidR="00B23446" w:rsidRDefault="00B23446" w:rsidP="00B23446">
            <w:pPr>
              <w:jc w:val="right"/>
              <w:rPr>
                <w:color w:val="000000"/>
                <w:sz w:val="20"/>
                <w:szCs w:val="20"/>
              </w:rPr>
            </w:pPr>
            <w:r>
              <w:rPr>
                <w:color w:val="000000"/>
                <w:sz w:val="20"/>
                <w:szCs w:val="20"/>
              </w:rPr>
              <w:t>0.352</w:t>
            </w:r>
          </w:p>
        </w:tc>
        <w:tc>
          <w:tcPr>
            <w:tcW w:w="768" w:type="dxa"/>
            <w:tcBorders>
              <w:top w:val="nil"/>
              <w:left w:val="nil"/>
              <w:bottom w:val="nil"/>
              <w:right w:val="nil"/>
            </w:tcBorders>
            <w:shd w:val="clear" w:color="auto" w:fill="auto"/>
            <w:noWrap/>
            <w:vAlign w:val="bottom"/>
            <w:hideMark/>
          </w:tcPr>
          <w:p w14:paraId="6DCAEA51" w14:textId="575B14E3"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C8C15F8" w14:textId="33F4927F"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5339E57" w14:textId="77266835" w:rsidR="00B23446" w:rsidRDefault="00B23446" w:rsidP="00B23446">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684E41E0" w14:textId="0E63E43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421926" w14:textId="0C31E420"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BCB9A6E" w14:textId="0CCBC95F" w:rsidR="00B23446" w:rsidRDefault="00B23446" w:rsidP="00B23446">
            <w:pPr>
              <w:jc w:val="right"/>
              <w:rPr>
                <w:color w:val="000000"/>
                <w:sz w:val="20"/>
                <w:szCs w:val="20"/>
              </w:rPr>
            </w:pPr>
            <w:r>
              <w:rPr>
                <w:color w:val="000000"/>
                <w:sz w:val="20"/>
                <w:szCs w:val="20"/>
              </w:rPr>
              <w:t>0.842</w:t>
            </w:r>
          </w:p>
        </w:tc>
        <w:tc>
          <w:tcPr>
            <w:tcW w:w="768" w:type="dxa"/>
            <w:tcBorders>
              <w:top w:val="nil"/>
              <w:left w:val="nil"/>
              <w:bottom w:val="nil"/>
              <w:right w:val="nil"/>
            </w:tcBorders>
            <w:shd w:val="clear" w:color="auto" w:fill="auto"/>
            <w:noWrap/>
            <w:vAlign w:val="bottom"/>
            <w:hideMark/>
          </w:tcPr>
          <w:p w14:paraId="1CF0165A" w14:textId="6BC9C95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962A80" w14:textId="5A3C9B08" w:rsidR="00B23446" w:rsidRDefault="00B23446" w:rsidP="00B23446">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38E945FE" w14:textId="420DA030" w:rsidR="00B23446" w:rsidRDefault="00B23446" w:rsidP="00B23446">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682F04C7" w14:textId="3760EE21"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ED72885" w14:textId="3000E5EC" w:rsidR="00B23446" w:rsidRDefault="00B23446" w:rsidP="00B23446">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4F3A7B8A" w14:textId="595BF826" w:rsidR="00B23446" w:rsidRDefault="00B23446" w:rsidP="00B23446">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11A2357A" w14:textId="4C21BC76" w:rsidR="00B23446" w:rsidRDefault="00B23446" w:rsidP="00B23446">
            <w:pPr>
              <w:jc w:val="right"/>
              <w:rPr>
                <w:color w:val="000000"/>
                <w:sz w:val="20"/>
                <w:szCs w:val="20"/>
              </w:rPr>
            </w:pPr>
            <w:r>
              <w:rPr>
                <w:color w:val="000000"/>
                <w:sz w:val="20"/>
                <w:szCs w:val="20"/>
              </w:rPr>
              <w:t>0.003</w:t>
            </w:r>
          </w:p>
        </w:tc>
      </w:tr>
      <w:tr w:rsidR="00B23446" w14:paraId="05D9819B" w14:textId="77777777" w:rsidTr="0022212F">
        <w:trPr>
          <w:trHeight w:val="320"/>
        </w:trPr>
        <w:tc>
          <w:tcPr>
            <w:tcW w:w="1176" w:type="dxa"/>
            <w:tcBorders>
              <w:top w:val="nil"/>
              <w:left w:val="nil"/>
              <w:bottom w:val="nil"/>
              <w:right w:val="nil"/>
            </w:tcBorders>
            <w:shd w:val="clear" w:color="auto" w:fill="auto"/>
            <w:noWrap/>
            <w:vAlign w:val="bottom"/>
            <w:hideMark/>
          </w:tcPr>
          <w:p w14:paraId="340E459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28F9269"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8F08B9A" w14:textId="716FC1A3" w:rsidR="00B23446" w:rsidRDefault="00B23446" w:rsidP="00B2344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F287B65" w14:textId="148CBA50" w:rsidR="00B23446" w:rsidRDefault="00B23446" w:rsidP="00B23446">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0F12B3A0" w14:textId="6AC19D09"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81C41C" w14:textId="749B6318"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4D4ED9" w14:textId="08D6AE62" w:rsidR="00B23446" w:rsidRDefault="00B23446" w:rsidP="00B23446">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5CD6AB27" w14:textId="4607027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70EC95" w14:textId="0CEC4E78" w:rsidR="00B23446" w:rsidRDefault="00B23446" w:rsidP="00B23446">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3130DBCF" w14:textId="51316AFE" w:rsidR="00B23446" w:rsidRDefault="00B23446" w:rsidP="00B23446">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3A6D5935" w14:textId="5F3D24F8"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0042B43" w14:textId="31966426" w:rsidR="00B23446" w:rsidRDefault="00B23446" w:rsidP="00B2344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AFC5720" w14:textId="440AD303" w:rsidR="00B23446" w:rsidRDefault="00B23446" w:rsidP="00B23446">
            <w:pPr>
              <w:jc w:val="right"/>
              <w:rPr>
                <w:color w:val="000000"/>
                <w:sz w:val="20"/>
                <w:szCs w:val="20"/>
              </w:rPr>
            </w:pPr>
            <w:r>
              <w:rPr>
                <w:color w:val="000000"/>
                <w:sz w:val="20"/>
                <w:szCs w:val="20"/>
              </w:rPr>
              <w:t>0.545</w:t>
            </w:r>
          </w:p>
        </w:tc>
        <w:tc>
          <w:tcPr>
            <w:tcW w:w="768" w:type="dxa"/>
            <w:tcBorders>
              <w:top w:val="nil"/>
              <w:left w:val="nil"/>
              <w:bottom w:val="nil"/>
              <w:right w:val="nil"/>
            </w:tcBorders>
            <w:shd w:val="clear" w:color="auto" w:fill="auto"/>
            <w:noWrap/>
            <w:vAlign w:val="bottom"/>
            <w:hideMark/>
          </w:tcPr>
          <w:p w14:paraId="0DA7196E" w14:textId="3D82DAEE"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874A48" w14:textId="3A9B09AE"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7398447" w14:textId="718619F5" w:rsidR="00B23446" w:rsidRDefault="00B23446" w:rsidP="00B23446">
            <w:pPr>
              <w:jc w:val="right"/>
              <w:rPr>
                <w:color w:val="000000"/>
                <w:sz w:val="20"/>
                <w:szCs w:val="20"/>
              </w:rPr>
            </w:pPr>
            <w:r>
              <w:rPr>
                <w:color w:val="000000"/>
                <w:sz w:val="20"/>
                <w:szCs w:val="20"/>
              </w:rPr>
              <w:t>0.860</w:t>
            </w:r>
          </w:p>
        </w:tc>
        <w:tc>
          <w:tcPr>
            <w:tcW w:w="768" w:type="dxa"/>
            <w:tcBorders>
              <w:top w:val="nil"/>
              <w:left w:val="nil"/>
              <w:bottom w:val="nil"/>
              <w:right w:val="nil"/>
            </w:tcBorders>
            <w:shd w:val="clear" w:color="auto" w:fill="auto"/>
            <w:noWrap/>
            <w:vAlign w:val="bottom"/>
            <w:hideMark/>
          </w:tcPr>
          <w:p w14:paraId="44943C48" w14:textId="2723DDF8" w:rsidR="00B23446" w:rsidRDefault="00B23446" w:rsidP="00B23446">
            <w:pPr>
              <w:jc w:val="right"/>
              <w:rPr>
                <w:color w:val="000000"/>
                <w:sz w:val="20"/>
                <w:szCs w:val="20"/>
              </w:rPr>
            </w:pPr>
            <w:r>
              <w:rPr>
                <w:color w:val="000000"/>
                <w:sz w:val="20"/>
                <w:szCs w:val="20"/>
              </w:rPr>
              <w:t>0.000</w:t>
            </w:r>
          </w:p>
        </w:tc>
      </w:tr>
      <w:tr w:rsidR="00B23446" w14:paraId="457DB6E6" w14:textId="77777777" w:rsidTr="0022212F">
        <w:trPr>
          <w:trHeight w:val="320"/>
        </w:trPr>
        <w:tc>
          <w:tcPr>
            <w:tcW w:w="1176" w:type="dxa"/>
            <w:tcBorders>
              <w:top w:val="nil"/>
              <w:left w:val="nil"/>
              <w:bottom w:val="single" w:sz="4" w:space="0" w:color="auto"/>
              <w:right w:val="nil"/>
            </w:tcBorders>
            <w:shd w:val="clear" w:color="auto" w:fill="auto"/>
            <w:noWrap/>
            <w:vAlign w:val="bottom"/>
            <w:hideMark/>
          </w:tcPr>
          <w:p w14:paraId="044DDCEC"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A20F365"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D26433C" w14:textId="7D288C25"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5FEE0A98" w14:textId="592EDCB1" w:rsidR="00B23446" w:rsidRDefault="00B23446" w:rsidP="00B23446">
            <w:pPr>
              <w:jc w:val="right"/>
              <w:rPr>
                <w:color w:val="000000"/>
                <w:sz w:val="20"/>
                <w:szCs w:val="20"/>
              </w:rPr>
            </w:pPr>
            <w:r>
              <w:rPr>
                <w:color w:val="000000"/>
                <w:sz w:val="20"/>
                <w:szCs w:val="20"/>
              </w:rPr>
              <w:t>0.950</w:t>
            </w:r>
          </w:p>
        </w:tc>
        <w:tc>
          <w:tcPr>
            <w:tcW w:w="768" w:type="dxa"/>
            <w:tcBorders>
              <w:top w:val="nil"/>
              <w:left w:val="nil"/>
              <w:bottom w:val="single" w:sz="4" w:space="0" w:color="auto"/>
              <w:right w:val="nil"/>
            </w:tcBorders>
            <w:shd w:val="clear" w:color="auto" w:fill="auto"/>
            <w:noWrap/>
            <w:vAlign w:val="bottom"/>
            <w:hideMark/>
          </w:tcPr>
          <w:p w14:paraId="4A195318" w14:textId="130D704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8958C72" w14:textId="772CAC06"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2C39CB41" w14:textId="5F1929D5" w:rsidR="00B23446" w:rsidRDefault="00B23446" w:rsidP="00B23446">
            <w:pPr>
              <w:jc w:val="right"/>
              <w:rPr>
                <w:color w:val="000000"/>
                <w:sz w:val="20"/>
                <w:szCs w:val="20"/>
              </w:rPr>
            </w:pPr>
            <w:r>
              <w:rPr>
                <w:color w:val="000000"/>
                <w:sz w:val="20"/>
                <w:szCs w:val="20"/>
              </w:rPr>
              <w:t>0.986</w:t>
            </w:r>
          </w:p>
        </w:tc>
        <w:tc>
          <w:tcPr>
            <w:tcW w:w="768" w:type="dxa"/>
            <w:tcBorders>
              <w:top w:val="nil"/>
              <w:left w:val="nil"/>
              <w:bottom w:val="single" w:sz="4" w:space="0" w:color="auto"/>
              <w:right w:val="nil"/>
            </w:tcBorders>
            <w:shd w:val="clear" w:color="auto" w:fill="auto"/>
            <w:noWrap/>
            <w:vAlign w:val="bottom"/>
            <w:hideMark/>
          </w:tcPr>
          <w:p w14:paraId="40374E49" w14:textId="75C50AB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4C31FE9" w14:textId="3C069394"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6CABFBDE" w14:textId="539D9636" w:rsidR="00B23446" w:rsidRDefault="00B23446" w:rsidP="00B23446">
            <w:pPr>
              <w:jc w:val="right"/>
              <w:rPr>
                <w:color w:val="000000"/>
                <w:sz w:val="20"/>
                <w:szCs w:val="20"/>
              </w:rPr>
            </w:pPr>
            <w:r>
              <w:rPr>
                <w:color w:val="000000"/>
                <w:sz w:val="20"/>
                <w:szCs w:val="20"/>
              </w:rPr>
              <w:t>0.842</w:t>
            </w:r>
          </w:p>
        </w:tc>
        <w:tc>
          <w:tcPr>
            <w:tcW w:w="768" w:type="dxa"/>
            <w:tcBorders>
              <w:top w:val="nil"/>
              <w:left w:val="nil"/>
              <w:bottom w:val="single" w:sz="4" w:space="0" w:color="auto"/>
              <w:right w:val="nil"/>
            </w:tcBorders>
            <w:shd w:val="clear" w:color="auto" w:fill="auto"/>
            <w:noWrap/>
            <w:vAlign w:val="bottom"/>
            <w:hideMark/>
          </w:tcPr>
          <w:p w14:paraId="1CEA65C4" w14:textId="7731FF1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74EDC41" w14:textId="0C27F724"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57649176" w14:textId="75F260E7" w:rsidR="00B23446" w:rsidRDefault="00B23446" w:rsidP="00B23446">
            <w:pPr>
              <w:jc w:val="right"/>
              <w:rPr>
                <w:color w:val="000000"/>
                <w:sz w:val="20"/>
                <w:szCs w:val="20"/>
              </w:rPr>
            </w:pPr>
            <w:r>
              <w:rPr>
                <w:color w:val="000000"/>
                <w:sz w:val="20"/>
                <w:szCs w:val="20"/>
              </w:rPr>
              <w:t>0.939</w:t>
            </w:r>
          </w:p>
        </w:tc>
        <w:tc>
          <w:tcPr>
            <w:tcW w:w="768" w:type="dxa"/>
            <w:tcBorders>
              <w:top w:val="nil"/>
              <w:left w:val="nil"/>
              <w:bottom w:val="single" w:sz="4" w:space="0" w:color="auto"/>
              <w:right w:val="nil"/>
            </w:tcBorders>
            <w:shd w:val="clear" w:color="auto" w:fill="auto"/>
            <w:noWrap/>
            <w:vAlign w:val="bottom"/>
            <w:hideMark/>
          </w:tcPr>
          <w:p w14:paraId="482D52A1" w14:textId="36479C4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DC7C082" w14:textId="78D662E5" w:rsidR="00B23446" w:rsidRDefault="00B23446" w:rsidP="00B23446">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433102C9" w14:textId="448F63FE" w:rsidR="00B23446" w:rsidRDefault="00B23446" w:rsidP="00B23446">
            <w:pPr>
              <w:jc w:val="right"/>
              <w:rPr>
                <w:color w:val="000000"/>
                <w:sz w:val="20"/>
                <w:szCs w:val="20"/>
              </w:rPr>
            </w:pPr>
            <w:r>
              <w:rPr>
                <w:color w:val="000000"/>
                <w:sz w:val="20"/>
                <w:szCs w:val="20"/>
              </w:rPr>
              <w:t>0.899</w:t>
            </w:r>
          </w:p>
        </w:tc>
        <w:tc>
          <w:tcPr>
            <w:tcW w:w="768" w:type="dxa"/>
            <w:tcBorders>
              <w:top w:val="nil"/>
              <w:left w:val="nil"/>
              <w:bottom w:val="single" w:sz="4" w:space="0" w:color="auto"/>
              <w:right w:val="nil"/>
            </w:tcBorders>
            <w:shd w:val="clear" w:color="auto" w:fill="auto"/>
            <w:noWrap/>
            <w:vAlign w:val="bottom"/>
            <w:hideMark/>
          </w:tcPr>
          <w:p w14:paraId="4A449E67" w14:textId="18820C83" w:rsidR="00B23446" w:rsidRDefault="00B23446" w:rsidP="00B23446">
            <w:pPr>
              <w:jc w:val="right"/>
              <w:rPr>
                <w:color w:val="000000"/>
                <w:sz w:val="20"/>
                <w:szCs w:val="20"/>
              </w:rPr>
            </w:pPr>
            <w:r>
              <w:rPr>
                <w:color w:val="000000"/>
                <w:sz w:val="20"/>
                <w:szCs w:val="20"/>
              </w:rPr>
              <w:t>0.000</w:t>
            </w:r>
          </w:p>
        </w:tc>
      </w:tr>
      <w:tr w:rsidR="00B23446" w14:paraId="6D40EC54" w14:textId="77777777" w:rsidTr="0022212F">
        <w:trPr>
          <w:trHeight w:val="320"/>
        </w:trPr>
        <w:tc>
          <w:tcPr>
            <w:tcW w:w="1176" w:type="dxa"/>
            <w:tcBorders>
              <w:top w:val="nil"/>
              <w:left w:val="nil"/>
              <w:bottom w:val="nil"/>
              <w:right w:val="nil"/>
            </w:tcBorders>
            <w:shd w:val="clear" w:color="auto" w:fill="auto"/>
            <w:noWrap/>
            <w:vAlign w:val="bottom"/>
            <w:hideMark/>
          </w:tcPr>
          <w:p w14:paraId="02DE7B76" w14:textId="77777777" w:rsidR="00B23446" w:rsidRDefault="00B23446" w:rsidP="00B23446">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2C33128B"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E5B2C93" w14:textId="79A570DA"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AC9D839" w14:textId="7531F1D6" w:rsidR="00B23446" w:rsidRDefault="00B23446" w:rsidP="00B23446">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3C78CDDC" w14:textId="5A9BB9D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7E51E2" w14:textId="785E3ADC" w:rsidR="00B23446" w:rsidRDefault="00B23446" w:rsidP="00B2344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6180039" w14:textId="269E9C95" w:rsidR="00B23446" w:rsidRDefault="00B23446" w:rsidP="00B23446">
            <w:pPr>
              <w:jc w:val="right"/>
              <w:rPr>
                <w:color w:val="000000"/>
                <w:sz w:val="20"/>
                <w:szCs w:val="20"/>
              </w:rPr>
            </w:pPr>
            <w:r>
              <w:rPr>
                <w:color w:val="000000"/>
                <w:sz w:val="20"/>
                <w:szCs w:val="20"/>
              </w:rPr>
              <w:t>0.953</w:t>
            </w:r>
          </w:p>
        </w:tc>
        <w:tc>
          <w:tcPr>
            <w:tcW w:w="768" w:type="dxa"/>
            <w:tcBorders>
              <w:top w:val="nil"/>
              <w:left w:val="nil"/>
              <w:bottom w:val="nil"/>
              <w:right w:val="nil"/>
            </w:tcBorders>
            <w:shd w:val="clear" w:color="auto" w:fill="auto"/>
            <w:noWrap/>
            <w:vAlign w:val="bottom"/>
            <w:hideMark/>
          </w:tcPr>
          <w:p w14:paraId="41CD8298" w14:textId="7DD2027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17D824" w14:textId="719951AA"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1CB852B" w14:textId="7AC5F15C" w:rsidR="00B23446" w:rsidRDefault="00B23446" w:rsidP="00B23446">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17C07CEB" w14:textId="4291C68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8502FC" w14:textId="7D5483B1" w:rsidR="00B23446" w:rsidRDefault="00B23446" w:rsidP="00B23446">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FD05F8D" w14:textId="5F1B737D" w:rsidR="00B23446" w:rsidRDefault="00B23446" w:rsidP="00B23446">
            <w:pPr>
              <w:jc w:val="right"/>
              <w:rPr>
                <w:color w:val="000000"/>
                <w:sz w:val="20"/>
                <w:szCs w:val="20"/>
              </w:rPr>
            </w:pPr>
            <w:r>
              <w:rPr>
                <w:color w:val="000000"/>
                <w:sz w:val="20"/>
                <w:szCs w:val="20"/>
              </w:rPr>
              <w:t>0.633</w:t>
            </w:r>
          </w:p>
        </w:tc>
        <w:tc>
          <w:tcPr>
            <w:tcW w:w="768" w:type="dxa"/>
            <w:tcBorders>
              <w:top w:val="nil"/>
              <w:left w:val="nil"/>
              <w:bottom w:val="nil"/>
              <w:right w:val="nil"/>
            </w:tcBorders>
            <w:shd w:val="clear" w:color="auto" w:fill="auto"/>
            <w:noWrap/>
            <w:vAlign w:val="bottom"/>
            <w:hideMark/>
          </w:tcPr>
          <w:p w14:paraId="57EE948A" w14:textId="65639AED"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C556AF" w14:textId="35BE019B" w:rsidR="00B23446" w:rsidRDefault="00B23446" w:rsidP="00B23446">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B9B6EA4" w14:textId="0B1CE474" w:rsidR="00B23446" w:rsidRDefault="00B23446" w:rsidP="00B23446">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64F02ED1" w14:textId="16304434" w:rsidR="00B23446" w:rsidRDefault="00B23446" w:rsidP="00B23446">
            <w:pPr>
              <w:jc w:val="right"/>
              <w:rPr>
                <w:color w:val="000000"/>
                <w:sz w:val="20"/>
                <w:szCs w:val="20"/>
              </w:rPr>
            </w:pPr>
            <w:r>
              <w:rPr>
                <w:color w:val="000000"/>
                <w:sz w:val="20"/>
                <w:szCs w:val="20"/>
              </w:rPr>
              <w:t>0.002</w:t>
            </w:r>
          </w:p>
        </w:tc>
      </w:tr>
      <w:tr w:rsidR="00B23446" w14:paraId="4A9B950F" w14:textId="77777777" w:rsidTr="0022212F">
        <w:trPr>
          <w:trHeight w:val="320"/>
        </w:trPr>
        <w:tc>
          <w:tcPr>
            <w:tcW w:w="1176" w:type="dxa"/>
            <w:tcBorders>
              <w:top w:val="nil"/>
              <w:left w:val="nil"/>
              <w:bottom w:val="nil"/>
              <w:right w:val="nil"/>
            </w:tcBorders>
            <w:shd w:val="clear" w:color="auto" w:fill="auto"/>
            <w:noWrap/>
            <w:vAlign w:val="bottom"/>
            <w:hideMark/>
          </w:tcPr>
          <w:p w14:paraId="6EB73BA3"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677D66D"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E69D0F7" w14:textId="46E9CB5B" w:rsidR="00B23446" w:rsidRDefault="00B23446" w:rsidP="00B2344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7C826480" w14:textId="1D725194" w:rsidR="00B23446" w:rsidRDefault="00B23446" w:rsidP="00B23446">
            <w:pPr>
              <w:jc w:val="right"/>
              <w:rPr>
                <w:color w:val="000000"/>
                <w:sz w:val="20"/>
                <w:szCs w:val="20"/>
              </w:rPr>
            </w:pPr>
            <w:r>
              <w:rPr>
                <w:color w:val="000000"/>
                <w:sz w:val="20"/>
                <w:szCs w:val="20"/>
              </w:rPr>
              <w:t>0.501</w:t>
            </w:r>
          </w:p>
        </w:tc>
        <w:tc>
          <w:tcPr>
            <w:tcW w:w="768" w:type="dxa"/>
            <w:tcBorders>
              <w:top w:val="nil"/>
              <w:left w:val="nil"/>
              <w:bottom w:val="nil"/>
              <w:right w:val="nil"/>
            </w:tcBorders>
            <w:shd w:val="clear" w:color="auto" w:fill="auto"/>
            <w:noWrap/>
            <w:vAlign w:val="bottom"/>
            <w:hideMark/>
          </w:tcPr>
          <w:p w14:paraId="31567B5C" w14:textId="17F5AF5A"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DC751CF" w14:textId="1D681746"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29A66CA" w14:textId="7FF7AC57" w:rsidR="00B23446" w:rsidRDefault="00B23446" w:rsidP="00B23446">
            <w:pPr>
              <w:jc w:val="right"/>
              <w:rPr>
                <w:color w:val="000000"/>
                <w:sz w:val="20"/>
                <w:szCs w:val="20"/>
              </w:rPr>
            </w:pPr>
            <w:r>
              <w:rPr>
                <w:color w:val="000000"/>
                <w:sz w:val="20"/>
                <w:szCs w:val="20"/>
              </w:rPr>
              <w:t>0.953</w:t>
            </w:r>
          </w:p>
        </w:tc>
        <w:tc>
          <w:tcPr>
            <w:tcW w:w="768" w:type="dxa"/>
            <w:tcBorders>
              <w:top w:val="nil"/>
              <w:left w:val="nil"/>
              <w:bottom w:val="nil"/>
              <w:right w:val="nil"/>
            </w:tcBorders>
            <w:shd w:val="clear" w:color="auto" w:fill="auto"/>
            <w:noWrap/>
            <w:vAlign w:val="bottom"/>
            <w:hideMark/>
          </w:tcPr>
          <w:p w14:paraId="38661F23" w14:textId="79E496D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C54DB1" w14:textId="3FFD5573"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C42602E" w14:textId="1C350472" w:rsidR="00B23446" w:rsidRDefault="00B23446" w:rsidP="00B23446">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4970BF98" w14:textId="26EB810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72FFDE" w14:textId="01CEB7D1"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CE8C5D" w14:textId="1606ECA9" w:rsidR="00B23446" w:rsidRDefault="00B23446" w:rsidP="00B23446">
            <w:pPr>
              <w:jc w:val="right"/>
              <w:rPr>
                <w:color w:val="000000"/>
                <w:sz w:val="20"/>
                <w:szCs w:val="20"/>
              </w:rPr>
            </w:pPr>
            <w:r>
              <w:rPr>
                <w:color w:val="000000"/>
                <w:sz w:val="20"/>
                <w:szCs w:val="20"/>
              </w:rPr>
              <w:t>0.976</w:t>
            </w:r>
          </w:p>
        </w:tc>
        <w:tc>
          <w:tcPr>
            <w:tcW w:w="768" w:type="dxa"/>
            <w:tcBorders>
              <w:top w:val="nil"/>
              <w:left w:val="nil"/>
              <w:bottom w:val="nil"/>
              <w:right w:val="nil"/>
            </w:tcBorders>
            <w:shd w:val="clear" w:color="auto" w:fill="auto"/>
            <w:noWrap/>
            <w:vAlign w:val="bottom"/>
            <w:hideMark/>
          </w:tcPr>
          <w:p w14:paraId="39EBA5C6" w14:textId="1C1A0DD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437C8A" w14:textId="07E44209" w:rsidR="00B23446" w:rsidRDefault="00B23446" w:rsidP="00B23446">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580D8B47" w14:textId="77D5B7E3" w:rsidR="00B23446" w:rsidRDefault="00B23446" w:rsidP="00B23446">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1AA51822" w14:textId="5B816E79" w:rsidR="00B23446" w:rsidRDefault="00B23446" w:rsidP="00B23446">
            <w:pPr>
              <w:jc w:val="right"/>
              <w:rPr>
                <w:color w:val="000000"/>
                <w:sz w:val="20"/>
                <w:szCs w:val="20"/>
              </w:rPr>
            </w:pPr>
            <w:r>
              <w:rPr>
                <w:color w:val="000000"/>
                <w:sz w:val="20"/>
                <w:szCs w:val="20"/>
              </w:rPr>
              <w:t>0.004</w:t>
            </w:r>
          </w:p>
        </w:tc>
      </w:tr>
      <w:tr w:rsidR="00B23446" w14:paraId="3637EDBE" w14:textId="77777777" w:rsidTr="0022212F">
        <w:trPr>
          <w:trHeight w:val="320"/>
        </w:trPr>
        <w:tc>
          <w:tcPr>
            <w:tcW w:w="1176" w:type="dxa"/>
            <w:tcBorders>
              <w:top w:val="nil"/>
              <w:left w:val="nil"/>
              <w:bottom w:val="nil"/>
              <w:right w:val="nil"/>
            </w:tcBorders>
            <w:shd w:val="clear" w:color="auto" w:fill="auto"/>
            <w:noWrap/>
            <w:vAlign w:val="bottom"/>
            <w:hideMark/>
          </w:tcPr>
          <w:p w14:paraId="4DB24FF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CB1B52E"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8807D60" w14:textId="0A0AB3B0"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5456B9A5" w14:textId="19A2D236" w:rsidR="00B23446" w:rsidRDefault="00B23446" w:rsidP="00B23446">
            <w:pPr>
              <w:jc w:val="right"/>
              <w:rPr>
                <w:color w:val="000000"/>
                <w:sz w:val="20"/>
                <w:szCs w:val="20"/>
              </w:rPr>
            </w:pPr>
            <w:r>
              <w:rPr>
                <w:color w:val="000000"/>
                <w:sz w:val="20"/>
                <w:szCs w:val="20"/>
              </w:rPr>
              <w:t>0.501</w:t>
            </w:r>
          </w:p>
        </w:tc>
        <w:tc>
          <w:tcPr>
            <w:tcW w:w="768" w:type="dxa"/>
            <w:tcBorders>
              <w:top w:val="nil"/>
              <w:left w:val="nil"/>
              <w:bottom w:val="nil"/>
              <w:right w:val="nil"/>
            </w:tcBorders>
            <w:shd w:val="clear" w:color="auto" w:fill="auto"/>
            <w:noWrap/>
            <w:vAlign w:val="bottom"/>
            <w:hideMark/>
          </w:tcPr>
          <w:p w14:paraId="1E1CCCC1" w14:textId="0B816CD1"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1E7CB79" w14:textId="2D2BF2D7" w:rsidR="00B23446" w:rsidRDefault="00B23446" w:rsidP="00B23446">
            <w:pPr>
              <w:jc w:val="right"/>
              <w:rPr>
                <w:color w:val="000000"/>
                <w:sz w:val="20"/>
                <w:szCs w:val="20"/>
              </w:rPr>
            </w:pPr>
            <w:r>
              <w:rPr>
                <w:color w:val="000000"/>
                <w:sz w:val="20"/>
                <w:szCs w:val="20"/>
              </w:rPr>
              <w:t>0.089</w:t>
            </w:r>
          </w:p>
        </w:tc>
        <w:tc>
          <w:tcPr>
            <w:tcW w:w="768" w:type="dxa"/>
            <w:tcBorders>
              <w:top w:val="nil"/>
              <w:left w:val="nil"/>
              <w:bottom w:val="nil"/>
              <w:right w:val="nil"/>
            </w:tcBorders>
            <w:shd w:val="clear" w:color="auto" w:fill="auto"/>
            <w:noWrap/>
            <w:vAlign w:val="bottom"/>
            <w:hideMark/>
          </w:tcPr>
          <w:p w14:paraId="4475C61C" w14:textId="20361C20" w:rsidR="00B23446" w:rsidRDefault="00B23446" w:rsidP="00B23446">
            <w:pPr>
              <w:jc w:val="right"/>
              <w:rPr>
                <w:color w:val="000000"/>
                <w:sz w:val="20"/>
                <w:szCs w:val="20"/>
              </w:rPr>
            </w:pPr>
            <w:r>
              <w:rPr>
                <w:color w:val="000000"/>
                <w:sz w:val="20"/>
                <w:szCs w:val="20"/>
              </w:rPr>
              <w:t>0.269</w:t>
            </w:r>
          </w:p>
        </w:tc>
        <w:tc>
          <w:tcPr>
            <w:tcW w:w="768" w:type="dxa"/>
            <w:tcBorders>
              <w:top w:val="nil"/>
              <w:left w:val="nil"/>
              <w:bottom w:val="nil"/>
              <w:right w:val="nil"/>
            </w:tcBorders>
            <w:shd w:val="clear" w:color="auto" w:fill="auto"/>
            <w:noWrap/>
            <w:vAlign w:val="bottom"/>
            <w:hideMark/>
          </w:tcPr>
          <w:p w14:paraId="753E0240" w14:textId="2D87326D"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6E94889" w14:textId="22F65B13" w:rsidR="00B23446" w:rsidRDefault="00B23446" w:rsidP="00B23446">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1E909034" w14:textId="79DA9640" w:rsidR="00B23446" w:rsidRDefault="00B23446" w:rsidP="00B23446">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2AF8EBF7" w14:textId="4226AB6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812ABD" w14:textId="26C32D7A" w:rsidR="00B23446" w:rsidRDefault="00B23446" w:rsidP="00B23446">
            <w:pPr>
              <w:jc w:val="right"/>
              <w:rPr>
                <w:color w:val="000000"/>
                <w:sz w:val="20"/>
                <w:szCs w:val="20"/>
              </w:rPr>
            </w:pPr>
            <w:r>
              <w:rPr>
                <w:color w:val="000000"/>
                <w:sz w:val="20"/>
                <w:szCs w:val="20"/>
              </w:rPr>
              <w:t>-0.107</w:t>
            </w:r>
          </w:p>
        </w:tc>
        <w:tc>
          <w:tcPr>
            <w:tcW w:w="768" w:type="dxa"/>
            <w:tcBorders>
              <w:top w:val="nil"/>
              <w:left w:val="nil"/>
              <w:bottom w:val="nil"/>
              <w:right w:val="nil"/>
            </w:tcBorders>
            <w:shd w:val="clear" w:color="auto" w:fill="auto"/>
            <w:noWrap/>
            <w:vAlign w:val="bottom"/>
            <w:hideMark/>
          </w:tcPr>
          <w:p w14:paraId="38515D7E" w14:textId="2CAF5F0C" w:rsidR="00B23446" w:rsidRDefault="00B23446" w:rsidP="00B23446">
            <w:pPr>
              <w:jc w:val="right"/>
              <w:rPr>
                <w:color w:val="000000"/>
                <w:sz w:val="20"/>
                <w:szCs w:val="20"/>
              </w:rPr>
            </w:pPr>
            <w:r>
              <w:rPr>
                <w:color w:val="000000"/>
                <w:sz w:val="20"/>
                <w:szCs w:val="20"/>
              </w:rPr>
              <w:t>0.276</w:t>
            </w:r>
          </w:p>
        </w:tc>
        <w:tc>
          <w:tcPr>
            <w:tcW w:w="768" w:type="dxa"/>
            <w:tcBorders>
              <w:top w:val="nil"/>
              <w:left w:val="nil"/>
              <w:bottom w:val="nil"/>
              <w:right w:val="nil"/>
            </w:tcBorders>
            <w:shd w:val="clear" w:color="auto" w:fill="auto"/>
            <w:noWrap/>
            <w:vAlign w:val="bottom"/>
            <w:hideMark/>
          </w:tcPr>
          <w:p w14:paraId="247C7388" w14:textId="06FCF376" w:rsidR="00B23446" w:rsidRDefault="00B23446" w:rsidP="00B2344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568EA31" w14:textId="7F109964" w:rsidR="00B23446" w:rsidRDefault="00B23446" w:rsidP="00B23446">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4ED4613" w14:textId="452FDCEB" w:rsidR="00B23446" w:rsidRDefault="00B23446" w:rsidP="00B23446">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0DA60C70" w14:textId="69BD760A" w:rsidR="00B23446" w:rsidRDefault="00B23446" w:rsidP="00B23446">
            <w:pPr>
              <w:jc w:val="right"/>
              <w:rPr>
                <w:color w:val="000000"/>
                <w:sz w:val="20"/>
                <w:szCs w:val="20"/>
              </w:rPr>
            </w:pPr>
            <w:r>
              <w:rPr>
                <w:color w:val="000000"/>
                <w:sz w:val="20"/>
                <w:szCs w:val="20"/>
              </w:rPr>
              <w:t>0.002</w:t>
            </w:r>
          </w:p>
        </w:tc>
      </w:tr>
      <w:tr w:rsidR="00B23446" w14:paraId="0FCA4D43" w14:textId="77777777" w:rsidTr="0022212F">
        <w:trPr>
          <w:trHeight w:val="320"/>
        </w:trPr>
        <w:tc>
          <w:tcPr>
            <w:tcW w:w="1176" w:type="dxa"/>
            <w:tcBorders>
              <w:top w:val="nil"/>
              <w:left w:val="nil"/>
              <w:bottom w:val="nil"/>
              <w:right w:val="nil"/>
            </w:tcBorders>
            <w:shd w:val="clear" w:color="auto" w:fill="auto"/>
            <w:noWrap/>
            <w:vAlign w:val="bottom"/>
            <w:hideMark/>
          </w:tcPr>
          <w:p w14:paraId="1AA86FB0"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AD1685C"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E9D7ED1" w14:textId="010347C7" w:rsidR="00B23446" w:rsidRDefault="00B23446" w:rsidP="00B23446">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5B16F942" w14:textId="7B0A73B5" w:rsidR="00B23446" w:rsidRDefault="00B23446" w:rsidP="00B23446">
            <w:pPr>
              <w:jc w:val="right"/>
              <w:rPr>
                <w:color w:val="000000"/>
                <w:sz w:val="20"/>
                <w:szCs w:val="20"/>
              </w:rPr>
            </w:pPr>
            <w:r>
              <w:rPr>
                <w:color w:val="000000"/>
                <w:sz w:val="20"/>
                <w:szCs w:val="20"/>
              </w:rPr>
              <w:t>0.501</w:t>
            </w:r>
          </w:p>
        </w:tc>
        <w:tc>
          <w:tcPr>
            <w:tcW w:w="768" w:type="dxa"/>
            <w:tcBorders>
              <w:top w:val="nil"/>
              <w:left w:val="nil"/>
              <w:bottom w:val="nil"/>
              <w:right w:val="nil"/>
            </w:tcBorders>
            <w:shd w:val="clear" w:color="auto" w:fill="auto"/>
            <w:noWrap/>
            <w:vAlign w:val="bottom"/>
            <w:hideMark/>
          </w:tcPr>
          <w:p w14:paraId="1B6530F2" w14:textId="0CE19219"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41370D5" w14:textId="76AAD793" w:rsidR="00B23446" w:rsidRDefault="00B23446" w:rsidP="00B23446">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48DC68B4" w14:textId="5BF6F1D2" w:rsidR="00B23446" w:rsidRDefault="00B23446" w:rsidP="00B23446">
            <w:pPr>
              <w:jc w:val="right"/>
              <w:rPr>
                <w:color w:val="000000"/>
                <w:sz w:val="20"/>
                <w:szCs w:val="20"/>
              </w:rPr>
            </w:pPr>
            <w:r>
              <w:rPr>
                <w:color w:val="000000"/>
                <w:sz w:val="20"/>
                <w:szCs w:val="20"/>
              </w:rPr>
              <w:t>0.269</w:t>
            </w:r>
          </w:p>
        </w:tc>
        <w:tc>
          <w:tcPr>
            <w:tcW w:w="768" w:type="dxa"/>
            <w:tcBorders>
              <w:top w:val="nil"/>
              <w:left w:val="nil"/>
              <w:bottom w:val="nil"/>
              <w:right w:val="nil"/>
            </w:tcBorders>
            <w:shd w:val="clear" w:color="auto" w:fill="auto"/>
            <w:noWrap/>
            <w:vAlign w:val="bottom"/>
            <w:hideMark/>
          </w:tcPr>
          <w:p w14:paraId="4AA9AC9D" w14:textId="647ACBE3"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A4FDA19" w14:textId="75AE3937"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46EF3D6" w14:textId="23BFDC57" w:rsidR="00B23446" w:rsidRDefault="00B23446" w:rsidP="00B23446">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7F8D0ACA" w14:textId="244A50F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E3F479" w14:textId="7FB8E4EF" w:rsidR="00B23446" w:rsidRDefault="00B23446" w:rsidP="00B23446">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2426A0FF" w14:textId="1E9F7742" w:rsidR="00B23446" w:rsidRDefault="00B23446" w:rsidP="00B23446">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78FB24B5" w14:textId="5B428405"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5BC3E4C" w14:textId="334EEE22" w:rsidR="00B23446" w:rsidRDefault="00B23446" w:rsidP="00B2344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1AEBDE8" w14:textId="3B6D6EE3" w:rsidR="00B23446" w:rsidRDefault="00B23446" w:rsidP="00B23446">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17B82E06" w14:textId="744E905A" w:rsidR="00B23446" w:rsidRDefault="00B23446" w:rsidP="00B23446">
            <w:pPr>
              <w:jc w:val="right"/>
              <w:rPr>
                <w:color w:val="000000"/>
                <w:sz w:val="20"/>
                <w:szCs w:val="20"/>
              </w:rPr>
            </w:pPr>
            <w:r>
              <w:rPr>
                <w:color w:val="000000"/>
                <w:sz w:val="20"/>
                <w:szCs w:val="20"/>
              </w:rPr>
              <w:t>0.001</w:t>
            </w:r>
          </w:p>
        </w:tc>
      </w:tr>
      <w:tr w:rsidR="00B23446" w14:paraId="3DE94A88" w14:textId="77777777" w:rsidTr="0022212F">
        <w:trPr>
          <w:trHeight w:val="320"/>
        </w:trPr>
        <w:tc>
          <w:tcPr>
            <w:tcW w:w="1176" w:type="dxa"/>
            <w:tcBorders>
              <w:top w:val="nil"/>
              <w:left w:val="nil"/>
              <w:bottom w:val="nil"/>
              <w:right w:val="nil"/>
            </w:tcBorders>
            <w:shd w:val="clear" w:color="auto" w:fill="auto"/>
            <w:noWrap/>
            <w:vAlign w:val="bottom"/>
            <w:hideMark/>
          </w:tcPr>
          <w:p w14:paraId="5F02B5D7"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606E348"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14A0364" w14:textId="21D400B9"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F71030C" w14:textId="0BFEEB00" w:rsidR="00B23446" w:rsidRDefault="00B23446" w:rsidP="00B23446">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4D8EB687" w14:textId="458BFD23"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FD4AB5" w14:textId="59A982BA"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E27F0A5" w14:textId="11D881FF" w:rsidR="00B23446" w:rsidRDefault="00B23446" w:rsidP="00B23446">
            <w:pPr>
              <w:jc w:val="right"/>
              <w:rPr>
                <w:color w:val="000000"/>
                <w:sz w:val="20"/>
                <w:szCs w:val="20"/>
              </w:rPr>
            </w:pPr>
            <w:r>
              <w:rPr>
                <w:color w:val="000000"/>
                <w:sz w:val="20"/>
                <w:szCs w:val="20"/>
              </w:rPr>
              <w:t>0.953</w:t>
            </w:r>
          </w:p>
        </w:tc>
        <w:tc>
          <w:tcPr>
            <w:tcW w:w="768" w:type="dxa"/>
            <w:tcBorders>
              <w:top w:val="nil"/>
              <w:left w:val="nil"/>
              <w:bottom w:val="nil"/>
              <w:right w:val="nil"/>
            </w:tcBorders>
            <w:shd w:val="clear" w:color="auto" w:fill="auto"/>
            <w:noWrap/>
            <w:vAlign w:val="bottom"/>
            <w:hideMark/>
          </w:tcPr>
          <w:p w14:paraId="0D47E38E" w14:textId="2336245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F16A92" w14:textId="42C11F71"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D922E6A" w14:textId="015CE2AC" w:rsidR="00B23446" w:rsidRDefault="00B23446" w:rsidP="00B23446">
            <w:pPr>
              <w:jc w:val="right"/>
              <w:rPr>
                <w:color w:val="000000"/>
                <w:sz w:val="20"/>
                <w:szCs w:val="20"/>
              </w:rPr>
            </w:pPr>
            <w:r>
              <w:rPr>
                <w:color w:val="000000"/>
                <w:sz w:val="20"/>
                <w:szCs w:val="20"/>
              </w:rPr>
              <w:t>0.922</w:t>
            </w:r>
          </w:p>
        </w:tc>
        <w:tc>
          <w:tcPr>
            <w:tcW w:w="768" w:type="dxa"/>
            <w:tcBorders>
              <w:top w:val="nil"/>
              <w:left w:val="nil"/>
              <w:bottom w:val="nil"/>
              <w:right w:val="nil"/>
            </w:tcBorders>
            <w:shd w:val="clear" w:color="auto" w:fill="auto"/>
            <w:noWrap/>
            <w:vAlign w:val="bottom"/>
            <w:hideMark/>
          </w:tcPr>
          <w:p w14:paraId="4C0B8E5F" w14:textId="72FFBDF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61A1A2" w14:textId="1DE46156" w:rsidR="00B23446" w:rsidRDefault="00B23446" w:rsidP="00B23446">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2682BCDD" w14:textId="335A235F" w:rsidR="00B23446" w:rsidRDefault="00B23446" w:rsidP="00B23446">
            <w:pPr>
              <w:jc w:val="right"/>
              <w:rPr>
                <w:color w:val="000000"/>
                <w:sz w:val="20"/>
                <w:szCs w:val="20"/>
              </w:rPr>
            </w:pPr>
            <w:r>
              <w:rPr>
                <w:color w:val="000000"/>
                <w:sz w:val="20"/>
                <w:szCs w:val="20"/>
              </w:rPr>
              <w:t>0.276</w:t>
            </w:r>
          </w:p>
        </w:tc>
        <w:tc>
          <w:tcPr>
            <w:tcW w:w="768" w:type="dxa"/>
            <w:tcBorders>
              <w:top w:val="nil"/>
              <w:left w:val="nil"/>
              <w:bottom w:val="nil"/>
              <w:right w:val="nil"/>
            </w:tcBorders>
            <w:shd w:val="clear" w:color="auto" w:fill="auto"/>
            <w:noWrap/>
            <w:vAlign w:val="bottom"/>
            <w:hideMark/>
          </w:tcPr>
          <w:p w14:paraId="00942B41" w14:textId="6F56DAF7"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F4BFC3B" w14:textId="18138D9B" w:rsidR="00B23446" w:rsidRDefault="00B23446" w:rsidP="00B23446">
            <w:pPr>
              <w:jc w:val="right"/>
              <w:rPr>
                <w:color w:val="000000"/>
                <w:sz w:val="20"/>
                <w:szCs w:val="20"/>
              </w:rPr>
            </w:pPr>
            <w:r>
              <w:rPr>
                <w:color w:val="000000"/>
                <w:sz w:val="20"/>
                <w:szCs w:val="20"/>
              </w:rPr>
              <w:t>-0.099</w:t>
            </w:r>
          </w:p>
        </w:tc>
        <w:tc>
          <w:tcPr>
            <w:tcW w:w="768" w:type="dxa"/>
            <w:tcBorders>
              <w:top w:val="nil"/>
              <w:left w:val="nil"/>
              <w:bottom w:val="nil"/>
              <w:right w:val="nil"/>
            </w:tcBorders>
            <w:shd w:val="clear" w:color="auto" w:fill="auto"/>
            <w:noWrap/>
            <w:vAlign w:val="bottom"/>
            <w:hideMark/>
          </w:tcPr>
          <w:p w14:paraId="3118564D" w14:textId="5970954E" w:rsidR="00B23446" w:rsidRDefault="00B23446" w:rsidP="00B23446">
            <w:pPr>
              <w:jc w:val="right"/>
              <w:rPr>
                <w:color w:val="000000"/>
                <w:sz w:val="20"/>
                <w:szCs w:val="20"/>
              </w:rPr>
            </w:pPr>
            <w:r>
              <w:rPr>
                <w:color w:val="000000"/>
                <w:sz w:val="20"/>
                <w:szCs w:val="20"/>
              </w:rPr>
              <w:t>0.328</w:t>
            </w:r>
          </w:p>
        </w:tc>
        <w:tc>
          <w:tcPr>
            <w:tcW w:w="768" w:type="dxa"/>
            <w:tcBorders>
              <w:top w:val="nil"/>
              <w:left w:val="nil"/>
              <w:bottom w:val="nil"/>
              <w:right w:val="nil"/>
            </w:tcBorders>
            <w:shd w:val="clear" w:color="auto" w:fill="auto"/>
            <w:noWrap/>
            <w:vAlign w:val="bottom"/>
            <w:hideMark/>
          </w:tcPr>
          <w:p w14:paraId="0DB39860" w14:textId="1D66466A" w:rsidR="00B23446" w:rsidRDefault="00B23446" w:rsidP="00B23446">
            <w:pPr>
              <w:jc w:val="right"/>
              <w:rPr>
                <w:color w:val="000000"/>
                <w:sz w:val="20"/>
                <w:szCs w:val="20"/>
              </w:rPr>
            </w:pPr>
            <w:r>
              <w:rPr>
                <w:color w:val="000000"/>
                <w:sz w:val="20"/>
                <w:szCs w:val="20"/>
              </w:rPr>
              <w:t>0.010</w:t>
            </w:r>
          </w:p>
        </w:tc>
      </w:tr>
      <w:tr w:rsidR="00B23446" w14:paraId="0C65CC71" w14:textId="77777777" w:rsidTr="0022212F">
        <w:trPr>
          <w:trHeight w:val="320"/>
        </w:trPr>
        <w:tc>
          <w:tcPr>
            <w:tcW w:w="1176" w:type="dxa"/>
            <w:tcBorders>
              <w:top w:val="nil"/>
              <w:left w:val="nil"/>
              <w:bottom w:val="nil"/>
              <w:right w:val="nil"/>
            </w:tcBorders>
            <w:shd w:val="clear" w:color="auto" w:fill="auto"/>
            <w:noWrap/>
            <w:vAlign w:val="bottom"/>
            <w:hideMark/>
          </w:tcPr>
          <w:p w14:paraId="39DD0AF7"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FFA6B1D"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4EC1904" w14:textId="05291B27"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088946F" w14:textId="3BA54A07" w:rsidR="00B23446" w:rsidRDefault="00B23446" w:rsidP="00B23446">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32B3220B" w14:textId="136FD55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2DD0EC" w14:textId="22D4F4BE" w:rsidR="00B23446" w:rsidRDefault="00B23446" w:rsidP="00B23446">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01B4A7CF" w14:textId="35CEAF53" w:rsidR="00B23446" w:rsidRDefault="00B23446" w:rsidP="00B23446">
            <w:pPr>
              <w:jc w:val="right"/>
              <w:rPr>
                <w:color w:val="000000"/>
                <w:sz w:val="20"/>
                <w:szCs w:val="20"/>
              </w:rPr>
            </w:pPr>
            <w:r>
              <w:rPr>
                <w:color w:val="000000"/>
                <w:sz w:val="20"/>
                <w:szCs w:val="20"/>
              </w:rPr>
              <w:t>0.269</w:t>
            </w:r>
          </w:p>
        </w:tc>
        <w:tc>
          <w:tcPr>
            <w:tcW w:w="768" w:type="dxa"/>
            <w:tcBorders>
              <w:top w:val="nil"/>
              <w:left w:val="nil"/>
              <w:bottom w:val="nil"/>
              <w:right w:val="nil"/>
            </w:tcBorders>
            <w:shd w:val="clear" w:color="auto" w:fill="auto"/>
            <w:noWrap/>
            <w:vAlign w:val="bottom"/>
            <w:hideMark/>
          </w:tcPr>
          <w:p w14:paraId="0A965AE9" w14:textId="19FDE19B"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52A64A7" w14:textId="04AA5DBF" w:rsidR="00B23446" w:rsidRDefault="00B23446" w:rsidP="00B2344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06643A7F" w14:textId="6C675A5F" w:rsidR="00B23446" w:rsidRDefault="00B23446" w:rsidP="00B23446">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4E24CA8A" w14:textId="0E2E0402"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47AF702" w14:textId="75780E53"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C62F0A1" w14:textId="08A84D5C" w:rsidR="00B23446" w:rsidRDefault="00B23446" w:rsidP="00B23446">
            <w:pPr>
              <w:jc w:val="right"/>
              <w:rPr>
                <w:color w:val="000000"/>
                <w:sz w:val="20"/>
                <w:szCs w:val="20"/>
              </w:rPr>
            </w:pPr>
            <w:r>
              <w:rPr>
                <w:color w:val="000000"/>
                <w:sz w:val="20"/>
                <w:szCs w:val="20"/>
              </w:rPr>
              <w:t>0.633</w:t>
            </w:r>
          </w:p>
        </w:tc>
        <w:tc>
          <w:tcPr>
            <w:tcW w:w="768" w:type="dxa"/>
            <w:tcBorders>
              <w:top w:val="nil"/>
              <w:left w:val="nil"/>
              <w:bottom w:val="nil"/>
              <w:right w:val="nil"/>
            </w:tcBorders>
            <w:shd w:val="clear" w:color="auto" w:fill="auto"/>
            <w:noWrap/>
            <w:vAlign w:val="bottom"/>
            <w:hideMark/>
          </w:tcPr>
          <w:p w14:paraId="6AB60F5A" w14:textId="628166B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77D8BE" w14:textId="0A45AE92" w:rsidR="00B23446" w:rsidRDefault="00B23446" w:rsidP="00B23446">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41C2E430" w14:textId="6DB71168" w:rsidR="00B23446" w:rsidRDefault="00B23446" w:rsidP="00B23446">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6CB8E63E" w14:textId="2B1F1033" w:rsidR="00B23446" w:rsidRDefault="00B23446" w:rsidP="00B23446">
            <w:pPr>
              <w:jc w:val="right"/>
              <w:rPr>
                <w:color w:val="000000"/>
                <w:sz w:val="20"/>
                <w:szCs w:val="20"/>
              </w:rPr>
            </w:pPr>
            <w:r>
              <w:rPr>
                <w:color w:val="000000"/>
                <w:sz w:val="20"/>
                <w:szCs w:val="20"/>
              </w:rPr>
              <w:t>0.002</w:t>
            </w:r>
          </w:p>
        </w:tc>
      </w:tr>
      <w:tr w:rsidR="00B23446" w14:paraId="331D3EB6" w14:textId="77777777" w:rsidTr="0022212F">
        <w:trPr>
          <w:trHeight w:val="320"/>
        </w:trPr>
        <w:tc>
          <w:tcPr>
            <w:tcW w:w="1176" w:type="dxa"/>
            <w:tcBorders>
              <w:top w:val="nil"/>
              <w:left w:val="nil"/>
              <w:bottom w:val="nil"/>
              <w:right w:val="nil"/>
            </w:tcBorders>
            <w:shd w:val="clear" w:color="auto" w:fill="auto"/>
            <w:noWrap/>
            <w:vAlign w:val="bottom"/>
            <w:hideMark/>
          </w:tcPr>
          <w:p w14:paraId="3860BE87"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27A12B6"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02CCFDF" w14:textId="32E506D1" w:rsidR="00B23446" w:rsidRDefault="00B23446" w:rsidP="00B2344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622F6C4F" w14:textId="0E13E32A" w:rsidR="00B23446" w:rsidRDefault="00B23446" w:rsidP="00B23446">
            <w:pPr>
              <w:jc w:val="right"/>
              <w:rPr>
                <w:color w:val="000000"/>
                <w:sz w:val="20"/>
                <w:szCs w:val="20"/>
              </w:rPr>
            </w:pPr>
            <w:r>
              <w:rPr>
                <w:color w:val="000000"/>
                <w:sz w:val="20"/>
                <w:szCs w:val="20"/>
              </w:rPr>
              <w:t>0.501</w:t>
            </w:r>
          </w:p>
        </w:tc>
        <w:tc>
          <w:tcPr>
            <w:tcW w:w="768" w:type="dxa"/>
            <w:tcBorders>
              <w:top w:val="nil"/>
              <w:left w:val="nil"/>
              <w:bottom w:val="nil"/>
              <w:right w:val="nil"/>
            </w:tcBorders>
            <w:shd w:val="clear" w:color="auto" w:fill="auto"/>
            <w:noWrap/>
            <w:vAlign w:val="bottom"/>
            <w:hideMark/>
          </w:tcPr>
          <w:p w14:paraId="505B0BC8" w14:textId="5A6DB0AF"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FDFE5E0" w14:textId="143D7C7F"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B82A3A1" w14:textId="797335DE" w:rsidR="00B23446" w:rsidRDefault="00B23446" w:rsidP="00B23446">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3DCC4ED9" w14:textId="4AC14F5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F9C23B" w14:textId="46B90457"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59D44C0" w14:textId="68CB26ED" w:rsidR="00B23446" w:rsidRDefault="00B23446" w:rsidP="00B23446">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3D634222" w14:textId="4897CB68"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3ECD7AA" w14:textId="340B83E6" w:rsidR="00B23446" w:rsidRDefault="00B23446" w:rsidP="00B2344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501A48E8" w14:textId="17D7789D" w:rsidR="00B23446" w:rsidRDefault="00B23446" w:rsidP="00B23446">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1B6BD64F" w14:textId="2FA16F9C"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3094901" w14:textId="3DFD47BC" w:rsidR="00B23446" w:rsidRDefault="00B23446" w:rsidP="00B23446">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6425698" w14:textId="33754E42" w:rsidR="00B23446" w:rsidRDefault="00B23446" w:rsidP="00B23446">
            <w:pPr>
              <w:jc w:val="right"/>
              <w:rPr>
                <w:color w:val="000000"/>
                <w:sz w:val="20"/>
                <w:szCs w:val="20"/>
              </w:rPr>
            </w:pPr>
            <w:r>
              <w:rPr>
                <w:color w:val="000000"/>
                <w:sz w:val="20"/>
                <w:szCs w:val="20"/>
              </w:rPr>
              <w:t>0.727</w:t>
            </w:r>
          </w:p>
        </w:tc>
        <w:tc>
          <w:tcPr>
            <w:tcW w:w="768" w:type="dxa"/>
            <w:tcBorders>
              <w:top w:val="nil"/>
              <w:left w:val="nil"/>
              <w:bottom w:val="nil"/>
              <w:right w:val="nil"/>
            </w:tcBorders>
            <w:shd w:val="clear" w:color="auto" w:fill="auto"/>
            <w:noWrap/>
            <w:vAlign w:val="bottom"/>
            <w:hideMark/>
          </w:tcPr>
          <w:p w14:paraId="1A00FE01" w14:textId="02D75103" w:rsidR="00B23446" w:rsidRDefault="00B23446" w:rsidP="00B23446">
            <w:pPr>
              <w:jc w:val="right"/>
              <w:rPr>
                <w:color w:val="000000"/>
                <w:sz w:val="20"/>
                <w:szCs w:val="20"/>
              </w:rPr>
            </w:pPr>
            <w:r>
              <w:rPr>
                <w:color w:val="000000"/>
                <w:sz w:val="20"/>
                <w:szCs w:val="20"/>
              </w:rPr>
              <w:t>0.001</w:t>
            </w:r>
          </w:p>
        </w:tc>
      </w:tr>
      <w:tr w:rsidR="00B23446" w14:paraId="777F35A6" w14:textId="77777777" w:rsidTr="0022212F">
        <w:trPr>
          <w:trHeight w:val="320"/>
        </w:trPr>
        <w:tc>
          <w:tcPr>
            <w:tcW w:w="1176" w:type="dxa"/>
            <w:tcBorders>
              <w:top w:val="nil"/>
              <w:left w:val="nil"/>
              <w:bottom w:val="single" w:sz="4" w:space="0" w:color="auto"/>
              <w:right w:val="nil"/>
            </w:tcBorders>
            <w:shd w:val="clear" w:color="auto" w:fill="auto"/>
            <w:noWrap/>
            <w:vAlign w:val="bottom"/>
            <w:hideMark/>
          </w:tcPr>
          <w:p w14:paraId="03FB9780"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5EFB2A2"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7A4E657" w14:textId="02CADA78" w:rsidR="00B23446" w:rsidRDefault="00B23446" w:rsidP="00B23446">
            <w:pPr>
              <w:jc w:val="right"/>
              <w:rPr>
                <w:color w:val="000000"/>
                <w:sz w:val="20"/>
                <w:szCs w:val="20"/>
              </w:rPr>
            </w:pPr>
            <w:r>
              <w:rPr>
                <w:color w:val="000000"/>
                <w:sz w:val="20"/>
                <w:szCs w:val="20"/>
              </w:rPr>
              <w:t>-0.065</w:t>
            </w:r>
          </w:p>
        </w:tc>
        <w:tc>
          <w:tcPr>
            <w:tcW w:w="768" w:type="dxa"/>
            <w:tcBorders>
              <w:top w:val="nil"/>
              <w:left w:val="nil"/>
              <w:bottom w:val="single" w:sz="4" w:space="0" w:color="auto"/>
              <w:right w:val="nil"/>
            </w:tcBorders>
            <w:shd w:val="clear" w:color="auto" w:fill="auto"/>
            <w:noWrap/>
            <w:vAlign w:val="bottom"/>
            <w:hideMark/>
          </w:tcPr>
          <w:p w14:paraId="4C256A40" w14:textId="1A80A295" w:rsidR="00B23446" w:rsidRDefault="00B23446" w:rsidP="00B23446">
            <w:pPr>
              <w:jc w:val="right"/>
              <w:rPr>
                <w:color w:val="000000"/>
                <w:sz w:val="20"/>
                <w:szCs w:val="20"/>
              </w:rPr>
            </w:pPr>
            <w:r>
              <w:rPr>
                <w:color w:val="000000"/>
                <w:sz w:val="20"/>
                <w:szCs w:val="20"/>
              </w:rPr>
              <w:t>0.501</w:t>
            </w:r>
          </w:p>
        </w:tc>
        <w:tc>
          <w:tcPr>
            <w:tcW w:w="768" w:type="dxa"/>
            <w:tcBorders>
              <w:top w:val="nil"/>
              <w:left w:val="nil"/>
              <w:bottom w:val="single" w:sz="4" w:space="0" w:color="auto"/>
              <w:right w:val="nil"/>
            </w:tcBorders>
            <w:shd w:val="clear" w:color="auto" w:fill="auto"/>
            <w:noWrap/>
            <w:vAlign w:val="bottom"/>
            <w:hideMark/>
          </w:tcPr>
          <w:p w14:paraId="526A0080" w14:textId="503E54EF"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47A213E1" w14:textId="67F54B0E" w:rsidR="00B23446" w:rsidRDefault="00B23446" w:rsidP="00B23446">
            <w:pPr>
              <w:jc w:val="right"/>
              <w:rPr>
                <w:color w:val="000000"/>
                <w:sz w:val="20"/>
                <w:szCs w:val="20"/>
              </w:rPr>
            </w:pPr>
            <w:r>
              <w:rPr>
                <w:color w:val="000000"/>
                <w:sz w:val="20"/>
                <w:szCs w:val="20"/>
              </w:rPr>
              <w:t>-0.043</w:t>
            </w:r>
          </w:p>
        </w:tc>
        <w:tc>
          <w:tcPr>
            <w:tcW w:w="768" w:type="dxa"/>
            <w:tcBorders>
              <w:top w:val="nil"/>
              <w:left w:val="nil"/>
              <w:bottom w:val="single" w:sz="4" w:space="0" w:color="auto"/>
              <w:right w:val="nil"/>
            </w:tcBorders>
            <w:shd w:val="clear" w:color="auto" w:fill="auto"/>
            <w:noWrap/>
            <w:vAlign w:val="bottom"/>
            <w:hideMark/>
          </w:tcPr>
          <w:p w14:paraId="2FE16F5D" w14:textId="56D43F00" w:rsidR="00B23446" w:rsidRDefault="00B23446" w:rsidP="00B23446">
            <w:pPr>
              <w:jc w:val="right"/>
              <w:rPr>
                <w:color w:val="000000"/>
                <w:sz w:val="20"/>
                <w:szCs w:val="20"/>
              </w:rPr>
            </w:pPr>
            <w:r>
              <w:rPr>
                <w:color w:val="000000"/>
                <w:sz w:val="20"/>
                <w:szCs w:val="20"/>
              </w:rPr>
              <w:t>0.574</w:t>
            </w:r>
          </w:p>
        </w:tc>
        <w:tc>
          <w:tcPr>
            <w:tcW w:w="768" w:type="dxa"/>
            <w:tcBorders>
              <w:top w:val="nil"/>
              <w:left w:val="nil"/>
              <w:bottom w:val="single" w:sz="4" w:space="0" w:color="auto"/>
              <w:right w:val="nil"/>
            </w:tcBorders>
            <w:shd w:val="clear" w:color="auto" w:fill="auto"/>
            <w:noWrap/>
            <w:vAlign w:val="bottom"/>
            <w:hideMark/>
          </w:tcPr>
          <w:p w14:paraId="767A0757" w14:textId="3A2D33A3"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2789C87" w14:textId="17259955"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2819ADB4" w14:textId="51BCAB59" w:rsidR="00B23446" w:rsidRDefault="00B23446" w:rsidP="00B23446">
            <w:pPr>
              <w:jc w:val="right"/>
              <w:rPr>
                <w:color w:val="000000"/>
                <w:sz w:val="20"/>
                <w:szCs w:val="20"/>
              </w:rPr>
            </w:pPr>
            <w:r>
              <w:rPr>
                <w:color w:val="000000"/>
                <w:sz w:val="20"/>
                <w:szCs w:val="20"/>
              </w:rPr>
              <w:t>0.922</w:t>
            </w:r>
          </w:p>
        </w:tc>
        <w:tc>
          <w:tcPr>
            <w:tcW w:w="768" w:type="dxa"/>
            <w:tcBorders>
              <w:top w:val="nil"/>
              <w:left w:val="nil"/>
              <w:bottom w:val="single" w:sz="4" w:space="0" w:color="auto"/>
              <w:right w:val="nil"/>
            </w:tcBorders>
            <w:shd w:val="clear" w:color="auto" w:fill="auto"/>
            <w:noWrap/>
            <w:vAlign w:val="bottom"/>
            <w:hideMark/>
          </w:tcPr>
          <w:p w14:paraId="7C2990E1" w14:textId="638557BD"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1A7F44F" w14:textId="18BF0F2B"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03545C2F" w14:textId="766D7F2E" w:rsidR="00B23446" w:rsidRDefault="00B23446" w:rsidP="00B23446">
            <w:pPr>
              <w:jc w:val="right"/>
              <w:rPr>
                <w:color w:val="000000"/>
                <w:sz w:val="20"/>
                <w:szCs w:val="20"/>
              </w:rPr>
            </w:pPr>
            <w:r>
              <w:rPr>
                <w:color w:val="000000"/>
                <w:sz w:val="20"/>
                <w:szCs w:val="20"/>
              </w:rPr>
              <w:t>0.475</w:t>
            </w:r>
          </w:p>
        </w:tc>
        <w:tc>
          <w:tcPr>
            <w:tcW w:w="768" w:type="dxa"/>
            <w:tcBorders>
              <w:top w:val="nil"/>
              <w:left w:val="nil"/>
              <w:bottom w:val="single" w:sz="4" w:space="0" w:color="auto"/>
              <w:right w:val="nil"/>
            </w:tcBorders>
            <w:shd w:val="clear" w:color="auto" w:fill="auto"/>
            <w:noWrap/>
            <w:vAlign w:val="bottom"/>
            <w:hideMark/>
          </w:tcPr>
          <w:p w14:paraId="5661369D" w14:textId="7936EB2A"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A790013" w14:textId="5AFFE144"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3F04BDFB" w14:textId="19FB05EB" w:rsidR="00B23446" w:rsidRDefault="00B23446" w:rsidP="00B23446">
            <w:pPr>
              <w:jc w:val="right"/>
              <w:rPr>
                <w:color w:val="000000"/>
                <w:sz w:val="20"/>
                <w:szCs w:val="20"/>
              </w:rPr>
            </w:pPr>
            <w:r>
              <w:rPr>
                <w:color w:val="000000"/>
                <w:sz w:val="20"/>
                <w:szCs w:val="20"/>
              </w:rPr>
              <w:t>0.840</w:t>
            </w:r>
          </w:p>
        </w:tc>
        <w:tc>
          <w:tcPr>
            <w:tcW w:w="768" w:type="dxa"/>
            <w:tcBorders>
              <w:top w:val="nil"/>
              <w:left w:val="nil"/>
              <w:bottom w:val="single" w:sz="4" w:space="0" w:color="auto"/>
              <w:right w:val="nil"/>
            </w:tcBorders>
            <w:shd w:val="clear" w:color="auto" w:fill="auto"/>
            <w:noWrap/>
            <w:vAlign w:val="bottom"/>
            <w:hideMark/>
          </w:tcPr>
          <w:p w14:paraId="33F9214C" w14:textId="0FCAFAF5" w:rsidR="00B23446" w:rsidRDefault="00B23446" w:rsidP="00B23446">
            <w:pPr>
              <w:jc w:val="right"/>
              <w:rPr>
                <w:color w:val="000000"/>
                <w:sz w:val="20"/>
                <w:szCs w:val="20"/>
              </w:rPr>
            </w:pPr>
            <w:r>
              <w:rPr>
                <w:color w:val="000000"/>
                <w:sz w:val="20"/>
                <w:szCs w:val="20"/>
              </w:rPr>
              <w:t>0.000</w:t>
            </w:r>
          </w:p>
        </w:tc>
      </w:tr>
      <w:tr w:rsidR="00B23446" w14:paraId="0BC97457" w14:textId="77777777" w:rsidTr="0022212F">
        <w:trPr>
          <w:trHeight w:val="320"/>
        </w:trPr>
        <w:tc>
          <w:tcPr>
            <w:tcW w:w="1176" w:type="dxa"/>
            <w:tcBorders>
              <w:top w:val="nil"/>
              <w:left w:val="nil"/>
              <w:bottom w:val="nil"/>
              <w:right w:val="nil"/>
            </w:tcBorders>
            <w:shd w:val="clear" w:color="auto" w:fill="auto"/>
            <w:noWrap/>
            <w:vAlign w:val="bottom"/>
            <w:hideMark/>
          </w:tcPr>
          <w:p w14:paraId="663A27B9" w14:textId="77777777" w:rsidR="00B23446" w:rsidRDefault="00B23446" w:rsidP="00B23446">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012DF50"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F0DEA9C" w14:textId="1C76818D"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3EE47C0" w14:textId="13B014FE" w:rsidR="00B23446" w:rsidRDefault="00B23446" w:rsidP="00B23446">
            <w:pPr>
              <w:jc w:val="right"/>
              <w:rPr>
                <w:color w:val="000000"/>
                <w:sz w:val="20"/>
                <w:szCs w:val="20"/>
              </w:rPr>
            </w:pPr>
            <w:r>
              <w:rPr>
                <w:color w:val="000000"/>
                <w:sz w:val="20"/>
                <w:szCs w:val="20"/>
              </w:rPr>
              <w:t>0.850</w:t>
            </w:r>
          </w:p>
        </w:tc>
        <w:tc>
          <w:tcPr>
            <w:tcW w:w="768" w:type="dxa"/>
            <w:tcBorders>
              <w:top w:val="nil"/>
              <w:left w:val="nil"/>
              <w:bottom w:val="nil"/>
              <w:right w:val="nil"/>
            </w:tcBorders>
            <w:shd w:val="clear" w:color="auto" w:fill="auto"/>
            <w:noWrap/>
            <w:vAlign w:val="bottom"/>
            <w:hideMark/>
          </w:tcPr>
          <w:p w14:paraId="47436BDD" w14:textId="665F191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8DD255" w14:textId="369BF0F3" w:rsidR="00B23446" w:rsidRDefault="00B23446" w:rsidP="00B2344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BCAC093" w14:textId="5CD0F304" w:rsidR="00B23446" w:rsidRDefault="00B23446" w:rsidP="00B23446">
            <w:pPr>
              <w:jc w:val="right"/>
              <w:rPr>
                <w:color w:val="000000"/>
                <w:sz w:val="20"/>
                <w:szCs w:val="20"/>
              </w:rPr>
            </w:pPr>
            <w:r>
              <w:rPr>
                <w:color w:val="000000"/>
                <w:sz w:val="20"/>
                <w:szCs w:val="20"/>
              </w:rPr>
              <w:t>0.653</w:t>
            </w:r>
          </w:p>
        </w:tc>
        <w:tc>
          <w:tcPr>
            <w:tcW w:w="768" w:type="dxa"/>
            <w:tcBorders>
              <w:top w:val="nil"/>
              <w:left w:val="nil"/>
              <w:bottom w:val="nil"/>
              <w:right w:val="nil"/>
            </w:tcBorders>
            <w:shd w:val="clear" w:color="auto" w:fill="auto"/>
            <w:noWrap/>
            <w:vAlign w:val="bottom"/>
            <w:hideMark/>
          </w:tcPr>
          <w:p w14:paraId="0C4A9C00" w14:textId="6287B29E"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4F6DB7" w14:textId="3F679FA8"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330C46B" w14:textId="054E10F3" w:rsidR="00B23446" w:rsidRDefault="00B23446" w:rsidP="00B23446">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30EC2CE4" w14:textId="007B6D0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82EF95" w14:textId="5559C57E"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D2E0F48" w14:textId="748014F5" w:rsidR="00B23446" w:rsidRDefault="00B23446" w:rsidP="00B23446">
            <w:pPr>
              <w:jc w:val="right"/>
              <w:rPr>
                <w:color w:val="000000"/>
                <w:sz w:val="20"/>
                <w:szCs w:val="20"/>
              </w:rPr>
            </w:pPr>
            <w:r>
              <w:rPr>
                <w:color w:val="000000"/>
                <w:sz w:val="20"/>
                <w:szCs w:val="20"/>
              </w:rPr>
              <w:t>0.776</w:t>
            </w:r>
          </w:p>
        </w:tc>
        <w:tc>
          <w:tcPr>
            <w:tcW w:w="768" w:type="dxa"/>
            <w:tcBorders>
              <w:top w:val="nil"/>
              <w:left w:val="nil"/>
              <w:bottom w:val="nil"/>
              <w:right w:val="nil"/>
            </w:tcBorders>
            <w:shd w:val="clear" w:color="auto" w:fill="auto"/>
            <w:noWrap/>
            <w:vAlign w:val="bottom"/>
            <w:hideMark/>
          </w:tcPr>
          <w:p w14:paraId="3B0D0337" w14:textId="4D211A5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412872" w14:textId="3FDA1622" w:rsidR="00B23446" w:rsidRDefault="00B23446" w:rsidP="00B23446">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47B9AAF4" w14:textId="2A010DD6" w:rsidR="00B23446" w:rsidRDefault="00B23446" w:rsidP="00B23446">
            <w:pPr>
              <w:jc w:val="right"/>
              <w:rPr>
                <w:color w:val="000000"/>
                <w:sz w:val="20"/>
                <w:szCs w:val="20"/>
              </w:rPr>
            </w:pPr>
            <w:r>
              <w:rPr>
                <w:color w:val="000000"/>
                <w:sz w:val="20"/>
                <w:szCs w:val="20"/>
              </w:rPr>
              <w:t>0.435</w:t>
            </w:r>
          </w:p>
        </w:tc>
        <w:tc>
          <w:tcPr>
            <w:tcW w:w="768" w:type="dxa"/>
            <w:tcBorders>
              <w:top w:val="nil"/>
              <w:left w:val="nil"/>
              <w:bottom w:val="nil"/>
              <w:right w:val="nil"/>
            </w:tcBorders>
            <w:shd w:val="clear" w:color="auto" w:fill="auto"/>
            <w:noWrap/>
            <w:vAlign w:val="bottom"/>
            <w:hideMark/>
          </w:tcPr>
          <w:p w14:paraId="38E03120" w14:textId="15DA66CF" w:rsidR="00B23446" w:rsidRDefault="00B23446" w:rsidP="00B23446">
            <w:pPr>
              <w:jc w:val="right"/>
              <w:rPr>
                <w:color w:val="000000"/>
                <w:sz w:val="20"/>
                <w:szCs w:val="20"/>
              </w:rPr>
            </w:pPr>
            <w:r>
              <w:rPr>
                <w:color w:val="000000"/>
                <w:sz w:val="20"/>
                <w:szCs w:val="20"/>
              </w:rPr>
              <w:t>0.003</w:t>
            </w:r>
          </w:p>
        </w:tc>
      </w:tr>
      <w:tr w:rsidR="00B23446" w14:paraId="216FD859" w14:textId="77777777" w:rsidTr="0022212F">
        <w:trPr>
          <w:trHeight w:val="320"/>
        </w:trPr>
        <w:tc>
          <w:tcPr>
            <w:tcW w:w="1176" w:type="dxa"/>
            <w:tcBorders>
              <w:top w:val="nil"/>
              <w:left w:val="nil"/>
              <w:bottom w:val="nil"/>
              <w:right w:val="nil"/>
            </w:tcBorders>
            <w:shd w:val="clear" w:color="auto" w:fill="auto"/>
            <w:noWrap/>
            <w:vAlign w:val="bottom"/>
            <w:hideMark/>
          </w:tcPr>
          <w:p w14:paraId="4A80EDAB"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2A9E93"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11244FF" w14:textId="7942D3F2" w:rsidR="00B23446" w:rsidRDefault="00B23446" w:rsidP="00B23446">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24EDAB14" w14:textId="41E0CB94" w:rsidR="00B23446" w:rsidRDefault="00B23446" w:rsidP="00B23446">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4CC8D9D5" w14:textId="506B0147"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059A9BA" w14:textId="54B10B5B" w:rsidR="00B23446" w:rsidRDefault="00B23446" w:rsidP="00B23446">
            <w:pPr>
              <w:jc w:val="right"/>
              <w:rPr>
                <w:b/>
                <w:bCs/>
                <w:color w:val="000000"/>
                <w:sz w:val="20"/>
                <w:szCs w:val="20"/>
              </w:rPr>
            </w:pPr>
            <w:r>
              <w:rPr>
                <w:b/>
                <w:bCs/>
                <w:color w:val="000000"/>
                <w:sz w:val="20"/>
                <w:szCs w:val="20"/>
              </w:rPr>
              <w:t>-0.104</w:t>
            </w:r>
          </w:p>
        </w:tc>
        <w:tc>
          <w:tcPr>
            <w:tcW w:w="768" w:type="dxa"/>
            <w:tcBorders>
              <w:top w:val="nil"/>
              <w:left w:val="nil"/>
              <w:bottom w:val="nil"/>
              <w:right w:val="nil"/>
            </w:tcBorders>
            <w:shd w:val="clear" w:color="auto" w:fill="auto"/>
            <w:noWrap/>
            <w:vAlign w:val="bottom"/>
            <w:hideMark/>
          </w:tcPr>
          <w:p w14:paraId="1AD12D3F" w14:textId="4BE991A1" w:rsidR="00B23446" w:rsidRDefault="00B23446" w:rsidP="00B23446">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65C19A35" w14:textId="3102516F" w:rsidR="00B23446" w:rsidRDefault="00B23446" w:rsidP="00B23446">
            <w:pPr>
              <w:jc w:val="right"/>
              <w:rPr>
                <w:color w:val="000000"/>
                <w:sz w:val="20"/>
                <w:szCs w:val="20"/>
              </w:rPr>
            </w:pPr>
            <w:r>
              <w:rPr>
                <w:b/>
                <w:bCs/>
                <w:color w:val="000000"/>
                <w:sz w:val="20"/>
                <w:szCs w:val="20"/>
              </w:rPr>
              <w:t>0.011</w:t>
            </w:r>
          </w:p>
        </w:tc>
        <w:tc>
          <w:tcPr>
            <w:tcW w:w="768" w:type="dxa"/>
            <w:tcBorders>
              <w:top w:val="nil"/>
              <w:left w:val="nil"/>
              <w:bottom w:val="nil"/>
              <w:right w:val="nil"/>
            </w:tcBorders>
            <w:shd w:val="clear" w:color="auto" w:fill="auto"/>
            <w:noWrap/>
            <w:vAlign w:val="bottom"/>
            <w:hideMark/>
          </w:tcPr>
          <w:p w14:paraId="4F45D8AA" w14:textId="7487E529"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595E3CC" w14:textId="7466C459" w:rsidR="00B23446" w:rsidRDefault="00B23446" w:rsidP="00B23446">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2250F47C" w14:textId="5B70206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BFF7B1" w14:textId="737E348D" w:rsidR="00B23446" w:rsidRDefault="00B23446" w:rsidP="00B23446">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D8DEF15" w14:textId="2E2EB4FC" w:rsidR="00B23446" w:rsidRDefault="00B23446" w:rsidP="00B23446">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2919D1CC" w14:textId="05C70DE5"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92386E" w14:textId="282DA9DA" w:rsidR="00B23446" w:rsidRDefault="00B23446" w:rsidP="00B23446">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2A8BAC14" w14:textId="14789281" w:rsidR="00B23446" w:rsidRDefault="00B23446" w:rsidP="00B23446">
            <w:pPr>
              <w:jc w:val="right"/>
              <w:rPr>
                <w:color w:val="000000"/>
                <w:sz w:val="20"/>
                <w:szCs w:val="20"/>
              </w:rPr>
            </w:pPr>
            <w:r>
              <w:rPr>
                <w:color w:val="000000"/>
                <w:sz w:val="20"/>
                <w:szCs w:val="20"/>
              </w:rPr>
              <w:t>0.435</w:t>
            </w:r>
          </w:p>
        </w:tc>
        <w:tc>
          <w:tcPr>
            <w:tcW w:w="768" w:type="dxa"/>
            <w:tcBorders>
              <w:top w:val="nil"/>
              <w:left w:val="nil"/>
              <w:bottom w:val="nil"/>
              <w:right w:val="nil"/>
            </w:tcBorders>
            <w:shd w:val="clear" w:color="auto" w:fill="auto"/>
            <w:noWrap/>
            <w:vAlign w:val="bottom"/>
            <w:hideMark/>
          </w:tcPr>
          <w:p w14:paraId="4B55461E" w14:textId="3EE23CEE" w:rsidR="00B23446" w:rsidRDefault="00B23446" w:rsidP="00B23446">
            <w:pPr>
              <w:jc w:val="right"/>
              <w:rPr>
                <w:color w:val="000000"/>
                <w:sz w:val="20"/>
                <w:szCs w:val="20"/>
              </w:rPr>
            </w:pPr>
            <w:r>
              <w:rPr>
                <w:color w:val="000000"/>
                <w:sz w:val="20"/>
                <w:szCs w:val="20"/>
              </w:rPr>
              <w:t>0.004</w:t>
            </w:r>
          </w:p>
        </w:tc>
      </w:tr>
      <w:tr w:rsidR="00B23446" w14:paraId="05029B53" w14:textId="77777777" w:rsidTr="0022212F">
        <w:trPr>
          <w:trHeight w:val="320"/>
        </w:trPr>
        <w:tc>
          <w:tcPr>
            <w:tcW w:w="1176" w:type="dxa"/>
            <w:tcBorders>
              <w:top w:val="nil"/>
              <w:left w:val="nil"/>
              <w:bottom w:val="nil"/>
              <w:right w:val="nil"/>
            </w:tcBorders>
            <w:shd w:val="clear" w:color="auto" w:fill="auto"/>
            <w:noWrap/>
            <w:vAlign w:val="bottom"/>
            <w:hideMark/>
          </w:tcPr>
          <w:p w14:paraId="5ACB93F0"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EF75493"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17464F2" w14:textId="563B0E4E"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9514DB6" w14:textId="55E5FEC3" w:rsidR="00B23446" w:rsidRDefault="00B23446" w:rsidP="00B23446">
            <w:pPr>
              <w:jc w:val="right"/>
              <w:rPr>
                <w:color w:val="000000"/>
                <w:sz w:val="20"/>
                <w:szCs w:val="20"/>
              </w:rPr>
            </w:pPr>
            <w:r>
              <w:rPr>
                <w:color w:val="000000"/>
                <w:sz w:val="20"/>
                <w:szCs w:val="20"/>
              </w:rPr>
              <w:t>0.787</w:t>
            </w:r>
          </w:p>
        </w:tc>
        <w:tc>
          <w:tcPr>
            <w:tcW w:w="768" w:type="dxa"/>
            <w:tcBorders>
              <w:top w:val="nil"/>
              <w:left w:val="nil"/>
              <w:bottom w:val="nil"/>
              <w:right w:val="nil"/>
            </w:tcBorders>
            <w:shd w:val="clear" w:color="auto" w:fill="auto"/>
            <w:noWrap/>
            <w:vAlign w:val="bottom"/>
            <w:hideMark/>
          </w:tcPr>
          <w:p w14:paraId="6F1F28FD" w14:textId="798ECD5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747077" w14:textId="3FC33F26"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30B5721" w14:textId="65F21D07" w:rsidR="00B23446" w:rsidRDefault="00B23446" w:rsidP="00B23446">
            <w:pPr>
              <w:jc w:val="right"/>
              <w:rPr>
                <w:color w:val="000000"/>
                <w:sz w:val="20"/>
                <w:szCs w:val="20"/>
              </w:rPr>
            </w:pPr>
            <w:r>
              <w:rPr>
                <w:color w:val="000000"/>
                <w:sz w:val="20"/>
                <w:szCs w:val="20"/>
              </w:rPr>
              <w:t>0.890</w:t>
            </w:r>
          </w:p>
        </w:tc>
        <w:tc>
          <w:tcPr>
            <w:tcW w:w="768" w:type="dxa"/>
            <w:tcBorders>
              <w:top w:val="nil"/>
              <w:left w:val="nil"/>
              <w:bottom w:val="nil"/>
              <w:right w:val="nil"/>
            </w:tcBorders>
            <w:shd w:val="clear" w:color="auto" w:fill="auto"/>
            <w:noWrap/>
            <w:vAlign w:val="bottom"/>
            <w:hideMark/>
          </w:tcPr>
          <w:p w14:paraId="051A54EC" w14:textId="712EE1D5"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38A398" w14:textId="7ECC27AA" w:rsidR="00B23446" w:rsidRDefault="00B23446" w:rsidP="00B23446">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3DE8F175" w14:textId="0E4B6249" w:rsidR="00B23446" w:rsidRDefault="00B23446" w:rsidP="00B23446">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2C83FD48" w14:textId="76FA8979"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E987C96" w14:textId="2CBEE7DA"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AF060A2" w14:textId="23E42790" w:rsidR="00B23446" w:rsidRDefault="00B23446" w:rsidP="00B23446">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12B7EE09" w14:textId="455E5DD2"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33982D" w14:textId="14D5359F"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61C613" w14:textId="3282171C" w:rsidR="00B23446" w:rsidRDefault="00B23446" w:rsidP="00B23446">
            <w:pPr>
              <w:jc w:val="right"/>
              <w:rPr>
                <w:color w:val="000000"/>
                <w:sz w:val="20"/>
                <w:szCs w:val="20"/>
              </w:rPr>
            </w:pPr>
            <w:r>
              <w:rPr>
                <w:color w:val="000000"/>
                <w:sz w:val="20"/>
                <w:szCs w:val="20"/>
              </w:rPr>
              <w:t>0.974</w:t>
            </w:r>
          </w:p>
        </w:tc>
        <w:tc>
          <w:tcPr>
            <w:tcW w:w="768" w:type="dxa"/>
            <w:tcBorders>
              <w:top w:val="nil"/>
              <w:left w:val="nil"/>
              <w:bottom w:val="nil"/>
              <w:right w:val="nil"/>
            </w:tcBorders>
            <w:shd w:val="clear" w:color="auto" w:fill="auto"/>
            <w:noWrap/>
            <w:vAlign w:val="bottom"/>
            <w:hideMark/>
          </w:tcPr>
          <w:p w14:paraId="1CF88492" w14:textId="50B61756" w:rsidR="00B23446" w:rsidRDefault="00B23446" w:rsidP="00B23446">
            <w:pPr>
              <w:jc w:val="right"/>
              <w:rPr>
                <w:color w:val="000000"/>
                <w:sz w:val="20"/>
                <w:szCs w:val="20"/>
              </w:rPr>
            </w:pPr>
            <w:r>
              <w:rPr>
                <w:color w:val="000000"/>
                <w:sz w:val="20"/>
                <w:szCs w:val="20"/>
              </w:rPr>
              <w:t>0.000</w:t>
            </w:r>
          </w:p>
        </w:tc>
      </w:tr>
      <w:tr w:rsidR="00B23446" w14:paraId="70AF683A" w14:textId="77777777" w:rsidTr="0022212F">
        <w:trPr>
          <w:trHeight w:val="320"/>
        </w:trPr>
        <w:tc>
          <w:tcPr>
            <w:tcW w:w="1176" w:type="dxa"/>
            <w:tcBorders>
              <w:top w:val="nil"/>
              <w:left w:val="nil"/>
              <w:bottom w:val="nil"/>
              <w:right w:val="nil"/>
            </w:tcBorders>
            <w:shd w:val="clear" w:color="auto" w:fill="auto"/>
            <w:noWrap/>
            <w:vAlign w:val="bottom"/>
            <w:hideMark/>
          </w:tcPr>
          <w:p w14:paraId="500D812A"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210312"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A7FA912" w14:textId="3B9BB89D"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6E860814" w14:textId="682E4D26" w:rsidR="00B23446" w:rsidRDefault="00B23446" w:rsidP="00B23446">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26F0E0BA" w14:textId="259F7B97"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1EA03FC" w14:textId="4536857A" w:rsidR="00B23446" w:rsidRDefault="00B23446" w:rsidP="00B23446">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09A787CF" w14:textId="69732649" w:rsidR="00B23446" w:rsidRDefault="00B23446" w:rsidP="00B23446">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7B11B896" w14:textId="26F1E7E7"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1E33FA7" w14:textId="066CC4A0" w:rsidR="00B23446" w:rsidRDefault="00B23446" w:rsidP="00B23446">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360DCD40" w14:textId="7F485B24"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A87D329" w14:textId="6BB5D085"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7BCAD9A" w14:textId="5442F6EE" w:rsidR="00B23446" w:rsidRDefault="00B23446" w:rsidP="00B23446">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7C5CC163" w14:textId="51DA91A2" w:rsidR="00B23446" w:rsidRDefault="00B23446" w:rsidP="00B23446">
            <w:pPr>
              <w:jc w:val="right"/>
              <w:rPr>
                <w:color w:val="000000"/>
                <w:sz w:val="20"/>
                <w:szCs w:val="20"/>
              </w:rPr>
            </w:pPr>
            <w:r>
              <w:rPr>
                <w:color w:val="000000"/>
                <w:sz w:val="20"/>
                <w:szCs w:val="20"/>
              </w:rPr>
              <w:t>0.452</w:t>
            </w:r>
          </w:p>
        </w:tc>
        <w:tc>
          <w:tcPr>
            <w:tcW w:w="768" w:type="dxa"/>
            <w:tcBorders>
              <w:top w:val="nil"/>
              <w:left w:val="nil"/>
              <w:bottom w:val="nil"/>
              <w:right w:val="nil"/>
            </w:tcBorders>
            <w:shd w:val="clear" w:color="auto" w:fill="auto"/>
            <w:noWrap/>
            <w:vAlign w:val="bottom"/>
            <w:hideMark/>
          </w:tcPr>
          <w:p w14:paraId="0D73E802" w14:textId="4ED58564"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2983DB7" w14:textId="58911C63" w:rsidR="00B23446" w:rsidRDefault="00B23446" w:rsidP="00B23446">
            <w:pPr>
              <w:jc w:val="right"/>
              <w:rPr>
                <w:color w:val="000000"/>
                <w:sz w:val="20"/>
                <w:szCs w:val="20"/>
              </w:rPr>
            </w:pPr>
            <w:r>
              <w:rPr>
                <w:color w:val="000000"/>
                <w:sz w:val="20"/>
                <w:szCs w:val="20"/>
              </w:rPr>
              <w:t>-0.095</w:t>
            </w:r>
          </w:p>
        </w:tc>
        <w:tc>
          <w:tcPr>
            <w:tcW w:w="768" w:type="dxa"/>
            <w:tcBorders>
              <w:top w:val="nil"/>
              <w:left w:val="nil"/>
              <w:bottom w:val="nil"/>
              <w:right w:val="nil"/>
            </w:tcBorders>
            <w:shd w:val="clear" w:color="auto" w:fill="auto"/>
            <w:noWrap/>
            <w:vAlign w:val="bottom"/>
            <w:hideMark/>
          </w:tcPr>
          <w:p w14:paraId="158456AC" w14:textId="23D45136" w:rsidR="00B23446" w:rsidRDefault="00B23446" w:rsidP="00B23446">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10FDB903" w14:textId="5B4E9F36" w:rsidR="00B23446" w:rsidRDefault="00B23446" w:rsidP="00B23446">
            <w:pPr>
              <w:jc w:val="right"/>
              <w:rPr>
                <w:color w:val="000000"/>
                <w:sz w:val="20"/>
                <w:szCs w:val="20"/>
              </w:rPr>
            </w:pPr>
            <w:r>
              <w:rPr>
                <w:color w:val="000000"/>
                <w:sz w:val="20"/>
                <w:szCs w:val="20"/>
              </w:rPr>
              <w:t>0.009</w:t>
            </w:r>
          </w:p>
        </w:tc>
      </w:tr>
      <w:tr w:rsidR="00B23446" w14:paraId="7A28CF04" w14:textId="77777777" w:rsidTr="0022212F">
        <w:trPr>
          <w:trHeight w:val="320"/>
        </w:trPr>
        <w:tc>
          <w:tcPr>
            <w:tcW w:w="1176" w:type="dxa"/>
            <w:tcBorders>
              <w:top w:val="nil"/>
              <w:left w:val="nil"/>
              <w:bottom w:val="nil"/>
              <w:right w:val="nil"/>
            </w:tcBorders>
            <w:shd w:val="clear" w:color="auto" w:fill="auto"/>
            <w:noWrap/>
            <w:vAlign w:val="bottom"/>
            <w:hideMark/>
          </w:tcPr>
          <w:p w14:paraId="143E657F"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8C86652"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B0A1F91" w14:textId="6F0A4B38" w:rsidR="00B23446" w:rsidRDefault="00B23446" w:rsidP="00B2344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4E69FE54" w14:textId="5A4499D9" w:rsidR="00B23446" w:rsidRDefault="00B23446" w:rsidP="00B23446">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534EB1B5" w14:textId="66213438"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D045AC1" w14:textId="1A526148" w:rsidR="00B23446" w:rsidRDefault="00B23446" w:rsidP="00B2344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B1A4419" w14:textId="4B6CA02D" w:rsidR="00B23446" w:rsidRDefault="00B23446" w:rsidP="00B23446">
            <w:pPr>
              <w:jc w:val="right"/>
              <w:rPr>
                <w:color w:val="000000"/>
                <w:sz w:val="20"/>
                <w:szCs w:val="20"/>
              </w:rPr>
            </w:pPr>
            <w:r>
              <w:rPr>
                <w:color w:val="000000"/>
                <w:sz w:val="20"/>
                <w:szCs w:val="20"/>
              </w:rPr>
              <w:t>0.653</w:t>
            </w:r>
          </w:p>
        </w:tc>
        <w:tc>
          <w:tcPr>
            <w:tcW w:w="768" w:type="dxa"/>
            <w:tcBorders>
              <w:top w:val="nil"/>
              <w:left w:val="nil"/>
              <w:bottom w:val="nil"/>
              <w:right w:val="nil"/>
            </w:tcBorders>
            <w:shd w:val="clear" w:color="auto" w:fill="auto"/>
            <w:noWrap/>
            <w:vAlign w:val="bottom"/>
            <w:hideMark/>
          </w:tcPr>
          <w:p w14:paraId="39B376CF" w14:textId="267080FD"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E1A344" w14:textId="3E4A9D7F"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F4126CB" w14:textId="532F848B" w:rsidR="00B23446" w:rsidRDefault="00B23446" w:rsidP="00B23446">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117A1157" w14:textId="57318BC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F7F70C" w14:textId="3DF91C26" w:rsidR="00B23446" w:rsidRDefault="00B23446" w:rsidP="00B23446">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4DCD42ED" w14:textId="247FAC61" w:rsidR="00B23446" w:rsidRDefault="00B23446" w:rsidP="00B23446">
            <w:pPr>
              <w:jc w:val="right"/>
              <w:rPr>
                <w:color w:val="000000"/>
                <w:sz w:val="20"/>
                <w:szCs w:val="20"/>
              </w:rPr>
            </w:pPr>
            <w:r>
              <w:rPr>
                <w:color w:val="000000"/>
                <w:sz w:val="20"/>
                <w:szCs w:val="20"/>
              </w:rPr>
              <w:t>0.344</w:t>
            </w:r>
          </w:p>
        </w:tc>
        <w:tc>
          <w:tcPr>
            <w:tcW w:w="768" w:type="dxa"/>
            <w:tcBorders>
              <w:top w:val="nil"/>
              <w:left w:val="nil"/>
              <w:bottom w:val="nil"/>
              <w:right w:val="nil"/>
            </w:tcBorders>
            <w:shd w:val="clear" w:color="auto" w:fill="auto"/>
            <w:noWrap/>
            <w:vAlign w:val="bottom"/>
            <w:hideMark/>
          </w:tcPr>
          <w:p w14:paraId="568D6772" w14:textId="3F3A3E9E"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9C66918" w14:textId="46A9D414" w:rsidR="00B23446" w:rsidRDefault="00B23446" w:rsidP="00B23446">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1BBA67AE" w14:textId="5276EB65" w:rsidR="00B23446" w:rsidRDefault="00B23446" w:rsidP="00B23446">
            <w:pPr>
              <w:jc w:val="right"/>
              <w:rPr>
                <w:color w:val="000000"/>
                <w:sz w:val="20"/>
                <w:szCs w:val="20"/>
              </w:rPr>
            </w:pPr>
            <w:r>
              <w:rPr>
                <w:color w:val="000000"/>
                <w:sz w:val="20"/>
                <w:szCs w:val="20"/>
              </w:rPr>
              <w:t>0.604</w:t>
            </w:r>
          </w:p>
        </w:tc>
        <w:tc>
          <w:tcPr>
            <w:tcW w:w="768" w:type="dxa"/>
            <w:tcBorders>
              <w:top w:val="nil"/>
              <w:left w:val="nil"/>
              <w:bottom w:val="nil"/>
              <w:right w:val="nil"/>
            </w:tcBorders>
            <w:shd w:val="clear" w:color="auto" w:fill="auto"/>
            <w:noWrap/>
            <w:vAlign w:val="bottom"/>
            <w:hideMark/>
          </w:tcPr>
          <w:p w14:paraId="59284D42" w14:textId="7BF8BD6B" w:rsidR="00B23446" w:rsidRDefault="00B23446" w:rsidP="00B23446">
            <w:pPr>
              <w:jc w:val="right"/>
              <w:rPr>
                <w:color w:val="000000"/>
                <w:sz w:val="20"/>
                <w:szCs w:val="20"/>
              </w:rPr>
            </w:pPr>
            <w:r>
              <w:rPr>
                <w:color w:val="000000"/>
                <w:sz w:val="20"/>
                <w:szCs w:val="20"/>
              </w:rPr>
              <w:t>0.002</w:t>
            </w:r>
          </w:p>
        </w:tc>
      </w:tr>
      <w:tr w:rsidR="00B23446" w14:paraId="4B6F1B74" w14:textId="77777777" w:rsidTr="0022212F">
        <w:trPr>
          <w:trHeight w:val="320"/>
        </w:trPr>
        <w:tc>
          <w:tcPr>
            <w:tcW w:w="1176" w:type="dxa"/>
            <w:tcBorders>
              <w:top w:val="nil"/>
              <w:left w:val="nil"/>
              <w:bottom w:val="nil"/>
              <w:right w:val="nil"/>
            </w:tcBorders>
            <w:shd w:val="clear" w:color="auto" w:fill="auto"/>
            <w:noWrap/>
            <w:vAlign w:val="bottom"/>
            <w:hideMark/>
          </w:tcPr>
          <w:p w14:paraId="0A9AB7D4"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C8AFEBA"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B5B270C" w14:textId="41798CA2" w:rsidR="00B23446" w:rsidRDefault="00B23446" w:rsidP="00B23446">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62F5CC67" w14:textId="105D6470" w:rsidR="00B23446" w:rsidRDefault="00B23446" w:rsidP="00B23446">
            <w:pPr>
              <w:jc w:val="right"/>
              <w:rPr>
                <w:color w:val="000000"/>
                <w:sz w:val="20"/>
                <w:szCs w:val="20"/>
              </w:rPr>
            </w:pPr>
            <w:r>
              <w:rPr>
                <w:color w:val="000000"/>
                <w:sz w:val="20"/>
                <w:szCs w:val="20"/>
              </w:rPr>
              <w:t>0.328</w:t>
            </w:r>
          </w:p>
        </w:tc>
        <w:tc>
          <w:tcPr>
            <w:tcW w:w="768" w:type="dxa"/>
            <w:tcBorders>
              <w:top w:val="nil"/>
              <w:left w:val="nil"/>
              <w:bottom w:val="nil"/>
              <w:right w:val="nil"/>
            </w:tcBorders>
            <w:shd w:val="clear" w:color="auto" w:fill="auto"/>
            <w:noWrap/>
            <w:vAlign w:val="bottom"/>
            <w:hideMark/>
          </w:tcPr>
          <w:p w14:paraId="0AAF6B7B" w14:textId="3D13B009"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6BAFBEB" w14:textId="55B2978E"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E5F1C9E" w14:textId="522B3E22" w:rsidR="00B23446" w:rsidRDefault="00B23446" w:rsidP="00B23446">
            <w:pPr>
              <w:jc w:val="right"/>
              <w:rPr>
                <w:color w:val="000000"/>
                <w:sz w:val="20"/>
                <w:szCs w:val="20"/>
              </w:rPr>
            </w:pPr>
            <w:r>
              <w:rPr>
                <w:color w:val="000000"/>
                <w:sz w:val="20"/>
                <w:szCs w:val="20"/>
              </w:rPr>
              <w:t>0.653</w:t>
            </w:r>
          </w:p>
        </w:tc>
        <w:tc>
          <w:tcPr>
            <w:tcW w:w="768" w:type="dxa"/>
            <w:tcBorders>
              <w:top w:val="nil"/>
              <w:left w:val="nil"/>
              <w:bottom w:val="nil"/>
              <w:right w:val="nil"/>
            </w:tcBorders>
            <w:shd w:val="clear" w:color="auto" w:fill="auto"/>
            <w:noWrap/>
            <w:vAlign w:val="bottom"/>
            <w:hideMark/>
          </w:tcPr>
          <w:p w14:paraId="31D9C6B8" w14:textId="4D5000B2"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AA95B36" w14:textId="1C29BDC7"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E1CDC58" w14:textId="3A21C7CF" w:rsidR="00B23446" w:rsidRDefault="00B23446" w:rsidP="00B23446">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543DD883" w14:textId="078635F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A7EA70" w14:textId="6A46E774" w:rsidR="00B23446" w:rsidRDefault="00B23446" w:rsidP="00B23446">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3BD9A427" w14:textId="167F2D57" w:rsidR="00B23446" w:rsidRDefault="00B23446" w:rsidP="00B23446">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277B415D" w14:textId="671AAED5"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E87546B" w14:textId="1B8BBC27" w:rsidR="00B23446" w:rsidRDefault="00B23446" w:rsidP="00B2344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8BE5939" w14:textId="4045E3C5" w:rsidR="00B23446" w:rsidRDefault="00B23446" w:rsidP="00B23446">
            <w:pPr>
              <w:jc w:val="right"/>
              <w:rPr>
                <w:color w:val="000000"/>
                <w:sz w:val="20"/>
                <w:szCs w:val="20"/>
              </w:rPr>
            </w:pPr>
            <w:r>
              <w:rPr>
                <w:color w:val="000000"/>
                <w:sz w:val="20"/>
                <w:szCs w:val="20"/>
              </w:rPr>
              <w:t>0.903</w:t>
            </w:r>
          </w:p>
        </w:tc>
        <w:tc>
          <w:tcPr>
            <w:tcW w:w="768" w:type="dxa"/>
            <w:tcBorders>
              <w:top w:val="nil"/>
              <w:left w:val="nil"/>
              <w:bottom w:val="nil"/>
              <w:right w:val="nil"/>
            </w:tcBorders>
            <w:shd w:val="clear" w:color="auto" w:fill="auto"/>
            <w:noWrap/>
            <w:vAlign w:val="bottom"/>
            <w:hideMark/>
          </w:tcPr>
          <w:p w14:paraId="6971BD11" w14:textId="2DE93E49" w:rsidR="00B23446" w:rsidRDefault="00B23446" w:rsidP="00B23446">
            <w:pPr>
              <w:jc w:val="right"/>
              <w:rPr>
                <w:color w:val="000000"/>
                <w:sz w:val="20"/>
                <w:szCs w:val="20"/>
              </w:rPr>
            </w:pPr>
            <w:r>
              <w:rPr>
                <w:color w:val="000000"/>
                <w:sz w:val="20"/>
                <w:szCs w:val="20"/>
              </w:rPr>
              <w:t>0.000</w:t>
            </w:r>
          </w:p>
        </w:tc>
      </w:tr>
      <w:tr w:rsidR="00B23446" w14:paraId="0DDAFE59" w14:textId="77777777" w:rsidTr="0022212F">
        <w:trPr>
          <w:trHeight w:val="320"/>
        </w:trPr>
        <w:tc>
          <w:tcPr>
            <w:tcW w:w="1176" w:type="dxa"/>
            <w:tcBorders>
              <w:top w:val="nil"/>
              <w:left w:val="nil"/>
              <w:bottom w:val="nil"/>
              <w:right w:val="nil"/>
            </w:tcBorders>
            <w:shd w:val="clear" w:color="auto" w:fill="auto"/>
            <w:noWrap/>
            <w:vAlign w:val="bottom"/>
            <w:hideMark/>
          </w:tcPr>
          <w:p w14:paraId="007D08A9"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7C1F4DD"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6DBA857" w14:textId="796984B2" w:rsidR="00B23446" w:rsidRDefault="00B23446" w:rsidP="00B23446">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3D5DFAE" w14:textId="13E7A554" w:rsidR="00B23446" w:rsidRDefault="00B23446" w:rsidP="00B23446">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6EF2FA63" w14:textId="74DB9497"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A7CA29F" w14:textId="06D7418D"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A7794F1" w14:textId="456FCB9F" w:rsidR="00B23446" w:rsidRDefault="00B23446" w:rsidP="00B23446">
            <w:pPr>
              <w:jc w:val="right"/>
              <w:rPr>
                <w:color w:val="000000"/>
                <w:sz w:val="20"/>
                <w:szCs w:val="20"/>
              </w:rPr>
            </w:pPr>
            <w:r>
              <w:rPr>
                <w:color w:val="000000"/>
                <w:sz w:val="20"/>
                <w:szCs w:val="20"/>
              </w:rPr>
              <w:t>0.933</w:t>
            </w:r>
          </w:p>
        </w:tc>
        <w:tc>
          <w:tcPr>
            <w:tcW w:w="768" w:type="dxa"/>
            <w:tcBorders>
              <w:top w:val="nil"/>
              <w:left w:val="nil"/>
              <w:bottom w:val="nil"/>
              <w:right w:val="nil"/>
            </w:tcBorders>
            <w:shd w:val="clear" w:color="auto" w:fill="auto"/>
            <w:noWrap/>
            <w:vAlign w:val="bottom"/>
            <w:hideMark/>
          </w:tcPr>
          <w:p w14:paraId="789999AB" w14:textId="6B7105A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A93733" w14:textId="7829D444"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71B75F97" w14:textId="478537B8" w:rsidR="00B23446" w:rsidRDefault="00B23446" w:rsidP="00B23446">
            <w:pPr>
              <w:jc w:val="right"/>
              <w:rPr>
                <w:color w:val="000000"/>
                <w:sz w:val="20"/>
                <w:szCs w:val="20"/>
              </w:rPr>
            </w:pPr>
            <w:r>
              <w:rPr>
                <w:color w:val="000000"/>
                <w:sz w:val="20"/>
                <w:szCs w:val="20"/>
              </w:rPr>
              <w:t>0.564</w:t>
            </w:r>
          </w:p>
        </w:tc>
        <w:tc>
          <w:tcPr>
            <w:tcW w:w="768" w:type="dxa"/>
            <w:tcBorders>
              <w:top w:val="nil"/>
              <w:left w:val="nil"/>
              <w:bottom w:val="nil"/>
              <w:right w:val="nil"/>
            </w:tcBorders>
            <w:shd w:val="clear" w:color="auto" w:fill="auto"/>
            <w:noWrap/>
            <w:vAlign w:val="bottom"/>
            <w:hideMark/>
          </w:tcPr>
          <w:p w14:paraId="22DB094F" w14:textId="02CC795B"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00F371" w14:textId="48D87527" w:rsidR="00B23446" w:rsidRDefault="00B23446" w:rsidP="00B2344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788046C" w14:textId="051C886F" w:rsidR="00B23446" w:rsidRDefault="00B23446" w:rsidP="00B23446">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681EA349" w14:textId="5AD2F80F"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A6B119D" w14:textId="466E30E6"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88FBC07" w14:textId="77F84958" w:rsidR="00B23446" w:rsidRDefault="00B23446" w:rsidP="00B23446">
            <w:pPr>
              <w:jc w:val="right"/>
              <w:rPr>
                <w:color w:val="000000"/>
                <w:sz w:val="20"/>
                <w:szCs w:val="20"/>
              </w:rPr>
            </w:pPr>
            <w:r>
              <w:rPr>
                <w:color w:val="000000"/>
                <w:sz w:val="20"/>
                <w:szCs w:val="20"/>
              </w:rPr>
              <w:t>0.974</w:t>
            </w:r>
          </w:p>
        </w:tc>
        <w:tc>
          <w:tcPr>
            <w:tcW w:w="768" w:type="dxa"/>
            <w:tcBorders>
              <w:top w:val="nil"/>
              <w:left w:val="nil"/>
              <w:bottom w:val="nil"/>
              <w:right w:val="nil"/>
            </w:tcBorders>
            <w:shd w:val="clear" w:color="auto" w:fill="auto"/>
            <w:noWrap/>
            <w:vAlign w:val="bottom"/>
            <w:hideMark/>
          </w:tcPr>
          <w:p w14:paraId="3D2D4C75" w14:textId="49B05738" w:rsidR="00B23446" w:rsidRDefault="00B23446" w:rsidP="00B23446">
            <w:pPr>
              <w:jc w:val="right"/>
              <w:rPr>
                <w:color w:val="000000"/>
                <w:sz w:val="20"/>
                <w:szCs w:val="20"/>
              </w:rPr>
            </w:pPr>
            <w:r>
              <w:rPr>
                <w:color w:val="000000"/>
                <w:sz w:val="20"/>
                <w:szCs w:val="20"/>
              </w:rPr>
              <w:t>0.000</w:t>
            </w:r>
          </w:p>
        </w:tc>
      </w:tr>
      <w:tr w:rsidR="00B23446" w14:paraId="6095CB15" w14:textId="77777777" w:rsidTr="0022212F">
        <w:trPr>
          <w:trHeight w:val="320"/>
        </w:trPr>
        <w:tc>
          <w:tcPr>
            <w:tcW w:w="1176" w:type="dxa"/>
            <w:tcBorders>
              <w:top w:val="nil"/>
              <w:left w:val="nil"/>
              <w:bottom w:val="single" w:sz="4" w:space="0" w:color="auto"/>
              <w:right w:val="nil"/>
            </w:tcBorders>
            <w:shd w:val="clear" w:color="auto" w:fill="auto"/>
            <w:noWrap/>
            <w:vAlign w:val="bottom"/>
            <w:hideMark/>
          </w:tcPr>
          <w:p w14:paraId="255C47A4"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03537F7"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4B0F351" w14:textId="0E63C99A"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43735C8B" w14:textId="36A8EE4B" w:rsidR="00B23446" w:rsidRDefault="00B23446" w:rsidP="00B23446">
            <w:pPr>
              <w:jc w:val="right"/>
              <w:rPr>
                <w:color w:val="000000"/>
                <w:sz w:val="20"/>
                <w:szCs w:val="20"/>
              </w:rPr>
            </w:pPr>
            <w:r>
              <w:rPr>
                <w:color w:val="000000"/>
                <w:sz w:val="20"/>
                <w:szCs w:val="20"/>
              </w:rPr>
              <w:t>0.807</w:t>
            </w:r>
          </w:p>
        </w:tc>
        <w:tc>
          <w:tcPr>
            <w:tcW w:w="768" w:type="dxa"/>
            <w:tcBorders>
              <w:top w:val="nil"/>
              <w:left w:val="nil"/>
              <w:bottom w:val="single" w:sz="4" w:space="0" w:color="auto"/>
              <w:right w:val="nil"/>
            </w:tcBorders>
            <w:shd w:val="clear" w:color="auto" w:fill="auto"/>
            <w:noWrap/>
            <w:vAlign w:val="bottom"/>
            <w:hideMark/>
          </w:tcPr>
          <w:p w14:paraId="3BB20C8D" w14:textId="39B6009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8983EB6" w14:textId="18890D6B" w:rsidR="00B23446" w:rsidRDefault="00B23446" w:rsidP="00B23446">
            <w:pPr>
              <w:jc w:val="right"/>
              <w:rPr>
                <w:color w:val="000000"/>
                <w:sz w:val="20"/>
                <w:szCs w:val="20"/>
              </w:rPr>
            </w:pPr>
            <w:r>
              <w:rPr>
                <w:color w:val="000000"/>
                <w:sz w:val="20"/>
                <w:szCs w:val="20"/>
              </w:rPr>
              <w:t>-0.025</w:t>
            </w:r>
          </w:p>
        </w:tc>
        <w:tc>
          <w:tcPr>
            <w:tcW w:w="768" w:type="dxa"/>
            <w:tcBorders>
              <w:top w:val="nil"/>
              <w:left w:val="nil"/>
              <w:bottom w:val="single" w:sz="4" w:space="0" w:color="auto"/>
              <w:right w:val="nil"/>
            </w:tcBorders>
            <w:shd w:val="clear" w:color="auto" w:fill="auto"/>
            <w:noWrap/>
            <w:vAlign w:val="bottom"/>
            <w:hideMark/>
          </w:tcPr>
          <w:p w14:paraId="43AA9C84" w14:textId="61AE9A93" w:rsidR="00B23446" w:rsidRDefault="00B23446" w:rsidP="00B23446">
            <w:pPr>
              <w:jc w:val="right"/>
              <w:rPr>
                <w:color w:val="000000"/>
                <w:sz w:val="20"/>
                <w:szCs w:val="20"/>
              </w:rPr>
            </w:pPr>
            <w:r>
              <w:rPr>
                <w:color w:val="000000"/>
                <w:sz w:val="20"/>
                <w:szCs w:val="20"/>
              </w:rPr>
              <w:t>0.653</w:t>
            </w:r>
          </w:p>
        </w:tc>
        <w:tc>
          <w:tcPr>
            <w:tcW w:w="768" w:type="dxa"/>
            <w:tcBorders>
              <w:top w:val="nil"/>
              <w:left w:val="nil"/>
              <w:bottom w:val="single" w:sz="4" w:space="0" w:color="auto"/>
              <w:right w:val="nil"/>
            </w:tcBorders>
            <w:shd w:val="clear" w:color="auto" w:fill="auto"/>
            <w:noWrap/>
            <w:vAlign w:val="bottom"/>
            <w:hideMark/>
          </w:tcPr>
          <w:p w14:paraId="034349FA" w14:textId="26608722"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7799D03" w14:textId="371FDED1" w:rsidR="00B23446" w:rsidRDefault="00B23446" w:rsidP="00B23446">
            <w:pPr>
              <w:jc w:val="right"/>
              <w:rPr>
                <w:color w:val="000000"/>
                <w:sz w:val="20"/>
                <w:szCs w:val="20"/>
              </w:rPr>
            </w:pPr>
            <w:r>
              <w:rPr>
                <w:color w:val="000000"/>
                <w:sz w:val="20"/>
                <w:szCs w:val="20"/>
              </w:rPr>
              <w:t>0.062</w:t>
            </w:r>
          </w:p>
        </w:tc>
        <w:tc>
          <w:tcPr>
            <w:tcW w:w="768" w:type="dxa"/>
            <w:tcBorders>
              <w:top w:val="nil"/>
              <w:left w:val="nil"/>
              <w:bottom w:val="single" w:sz="4" w:space="0" w:color="auto"/>
              <w:right w:val="nil"/>
            </w:tcBorders>
            <w:shd w:val="clear" w:color="auto" w:fill="auto"/>
            <w:noWrap/>
            <w:vAlign w:val="bottom"/>
            <w:hideMark/>
          </w:tcPr>
          <w:p w14:paraId="1F8967D7" w14:textId="7680C088" w:rsidR="00B23446" w:rsidRDefault="00B23446" w:rsidP="00B23446">
            <w:pPr>
              <w:jc w:val="right"/>
              <w:rPr>
                <w:color w:val="000000"/>
                <w:sz w:val="20"/>
                <w:szCs w:val="20"/>
              </w:rPr>
            </w:pPr>
            <w:r>
              <w:rPr>
                <w:color w:val="000000"/>
                <w:sz w:val="20"/>
                <w:szCs w:val="20"/>
              </w:rPr>
              <w:t>0.213</w:t>
            </w:r>
          </w:p>
        </w:tc>
        <w:tc>
          <w:tcPr>
            <w:tcW w:w="768" w:type="dxa"/>
            <w:tcBorders>
              <w:top w:val="nil"/>
              <w:left w:val="nil"/>
              <w:bottom w:val="single" w:sz="4" w:space="0" w:color="auto"/>
              <w:right w:val="nil"/>
            </w:tcBorders>
            <w:shd w:val="clear" w:color="auto" w:fill="auto"/>
            <w:noWrap/>
            <w:vAlign w:val="bottom"/>
            <w:hideMark/>
          </w:tcPr>
          <w:p w14:paraId="75617539" w14:textId="42397E29"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36DB0EE8" w14:textId="3851766C"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0CD7B639" w14:textId="2AA3AE76" w:rsidR="00B23446" w:rsidRDefault="00B23446" w:rsidP="00B23446">
            <w:pPr>
              <w:jc w:val="right"/>
              <w:rPr>
                <w:color w:val="000000"/>
                <w:sz w:val="20"/>
                <w:szCs w:val="20"/>
              </w:rPr>
            </w:pPr>
            <w:r>
              <w:rPr>
                <w:color w:val="000000"/>
                <w:sz w:val="20"/>
                <w:szCs w:val="20"/>
              </w:rPr>
              <w:t>0.776</w:t>
            </w:r>
          </w:p>
        </w:tc>
        <w:tc>
          <w:tcPr>
            <w:tcW w:w="768" w:type="dxa"/>
            <w:tcBorders>
              <w:top w:val="nil"/>
              <w:left w:val="nil"/>
              <w:bottom w:val="single" w:sz="4" w:space="0" w:color="auto"/>
              <w:right w:val="nil"/>
            </w:tcBorders>
            <w:shd w:val="clear" w:color="auto" w:fill="auto"/>
            <w:noWrap/>
            <w:vAlign w:val="bottom"/>
            <w:hideMark/>
          </w:tcPr>
          <w:p w14:paraId="4A765750" w14:textId="21DED22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9007127" w14:textId="539E3573"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6101BDE2" w14:textId="6ACB059A" w:rsidR="00B23446" w:rsidRDefault="00B23446" w:rsidP="00B23446">
            <w:pPr>
              <w:jc w:val="right"/>
              <w:rPr>
                <w:color w:val="000000"/>
                <w:sz w:val="20"/>
                <w:szCs w:val="20"/>
              </w:rPr>
            </w:pPr>
            <w:r>
              <w:rPr>
                <w:color w:val="000000"/>
                <w:sz w:val="20"/>
                <w:szCs w:val="20"/>
              </w:rPr>
              <w:t>0.903</w:t>
            </w:r>
          </w:p>
        </w:tc>
        <w:tc>
          <w:tcPr>
            <w:tcW w:w="768" w:type="dxa"/>
            <w:tcBorders>
              <w:top w:val="nil"/>
              <w:left w:val="nil"/>
              <w:bottom w:val="single" w:sz="4" w:space="0" w:color="auto"/>
              <w:right w:val="nil"/>
            </w:tcBorders>
            <w:shd w:val="clear" w:color="auto" w:fill="auto"/>
            <w:noWrap/>
            <w:vAlign w:val="bottom"/>
            <w:hideMark/>
          </w:tcPr>
          <w:p w14:paraId="1ADE6357" w14:textId="49B0AF61" w:rsidR="00B23446" w:rsidRDefault="00B23446" w:rsidP="00B23446">
            <w:pPr>
              <w:jc w:val="right"/>
              <w:rPr>
                <w:color w:val="000000"/>
                <w:sz w:val="20"/>
                <w:szCs w:val="20"/>
              </w:rPr>
            </w:pPr>
            <w:r>
              <w:rPr>
                <w:color w:val="000000"/>
                <w:sz w:val="20"/>
                <w:szCs w:val="20"/>
              </w:rPr>
              <w:t>0.000</w:t>
            </w:r>
          </w:p>
        </w:tc>
      </w:tr>
      <w:tr w:rsidR="00B23446" w14:paraId="59732096" w14:textId="77777777" w:rsidTr="0022212F">
        <w:trPr>
          <w:trHeight w:val="320"/>
        </w:trPr>
        <w:tc>
          <w:tcPr>
            <w:tcW w:w="1176" w:type="dxa"/>
            <w:tcBorders>
              <w:top w:val="nil"/>
              <w:left w:val="nil"/>
              <w:bottom w:val="nil"/>
              <w:right w:val="nil"/>
            </w:tcBorders>
            <w:shd w:val="clear" w:color="auto" w:fill="auto"/>
            <w:noWrap/>
            <w:vAlign w:val="bottom"/>
            <w:hideMark/>
          </w:tcPr>
          <w:p w14:paraId="6D9CD398" w14:textId="77777777" w:rsidR="00B23446" w:rsidRDefault="00B23446" w:rsidP="00B23446">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346E6ECC"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B9D5643" w14:textId="61E65758"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E030D20" w14:textId="25E14CD0" w:rsidR="00B23446" w:rsidRDefault="00B23446" w:rsidP="00B23446">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461B54B9" w14:textId="478B789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8E1DB8" w14:textId="788DA10B" w:rsidR="00B23446" w:rsidRDefault="00B23446" w:rsidP="00B23446">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416CD85" w14:textId="6EF371B0" w:rsidR="00B23446" w:rsidRDefault="00B23446" w:rsidP="00B23446">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59D75190" w14:textId="748A6E58"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460F0E2" w14:textId="19DCF77E"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605D357" w14:textId="63634C6F" w:rsidR="00B23446" w:rsidRDefault="00B23446" w:rsidP="00B23446">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28895DCA" w14:textId="6177929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DFD62A" w14:textId="08622813"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7E27E38B" w14:textId="2305E035" w:rsidR="00B23446" w:rsidRDefault="00B23446" w:rsidP="00B23446">
            <w:pPr>
              <w:jc w:val="right"/>
              <w:rPr>
                <w:color w:val="000000"/>
                <w:sz w:val="20"/>
                <w:szCs w:val="20"/>
              </w:rPr>
            </w:pPr>
            <w:r>
              <w:rPr>
                <w:color w:val="000000"/>
                <w:sz w:val="20"/>
                <w:szCs w:val="20"/>
              </w:rPr>
              <w:t>0.901</w:t>
            </w:r>
          </w:p>
        </w:tc>
        <w:tc>
          <w:tcPr>
            <w:tcW w:w="768" w:type="dxa"/>
            <w:tcBorders>
              <w:top w:val="nil"/>
              <w:left w:val="nil"/>
              <w:bottom w:val="nil"/>
              <w:right w:val="nil"/>
            </w:tcBorders>
            <w:shd w:val="clear" w:color="auto" w:fill="auto"/>
            <w:noWrap/>
            <w:vAlign w:val="bottom"/>
            <w:hideMark/>
          </w:tcPr>
          <w:p w14:paraId="5B5146FA" w14:textId="78594777"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1CCBD8" w14:textId="66DD71D0" w:rsidR="00B23446" w:rsidRDefault="00B23446" w:rsidP="00B2344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63C5144E" w14:textId="172D7106" w:rsidR="00B23446" w:rsidRDefault="00B23446" w:rsidP="00B23446">
            <w:pPr>
              <w:jc w:val="right"/>
              <w:rPr>
                <w:color w:val="000000"/>
                <w:sz w:val="20"/>
                <w:szCs w:val="20"/>
              </w:rPr>
            </w:pPr>
            <w:r>
              <w:rPr>
                <w:color w:val="000000"/>
                <w:sz w:val="20"/>
                <w:szCs w:val="20"/>
              </w:rPr>
              <w:t>0.621</w:t>
            </w:r>
          </w:p>
        </w:tc>
        <w:tc>
          <w:tcPr>
            <w:tcW w:w="768" w:type="dxa"/>
            <w:tcBorders>
              <w:top w:val="nil"/>
              <w:left w:val="nil"/>
              <w:bottom w:val="nil"/>
              <w:right w:val="nil"/>
            </w:tcBorders>
            <w:shd w:val="clear" w:color="auto" w:fill="auto"/>
            <w:noWrap/>
            <w:vAlign w:val="bottom"/>
            <w:hideMark/>
          </w:tcPr>
          <w:p w14:paraId="1AA8D153" w14:textId="063FBAA8" w:rsidR="00B23446" w:rsidRDefault="00B23446" w:rsidP="00B23446">
            <w:pPr>
              <w:jc w:val="right"/>
              <w:rPr>
                <w:color w:val="000000"/>
                <w:sz w:val="20"/>
                <w:szCs w:val="20"/>
              </w:rPr>
            </w:pPr>
            <w:r>
              <w:rPr>
                <w:color w:val="000000"/>
                <w:sz w:val="20"/>
                <w:szCs w:val="20"/>
              </w:rPr>
              <w:t>0.002</w:t>
            </w:r>
          </w:p>
        </w:tc>
      </w:tr>
      <w:tr w:rsidR="00B23446" w14:paraId="1CE2C52D" w14:textId="77777777" w:rsidTr="0022212F">
        <w:trPr>
          <w:trHeight w:val="320"/>
        </w:trPr>
        <w:tc>
          <w:tcPr>
            <w:tcW w:w="1176" w:type="dxa"/>
            <w:tcBorders>
              <w:top w:val="nil"/>
              <w:left w:val="nil"/>
              <w:bottom w:val="nil"/>
              <w:right w:val="nil"/>
            </w:tcBorders>
            <w:shd w:val="clear" w:color="auto" w:fill="auto"/>
            <w:noWrap/>
            <w:vAlign w:val="bottom"/>
            <w:hideMark/>
          </w:tcPr>
          <w:p w14:paraId="30B6069D"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22892FF"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99C11EE" w14:textId="53E1FB5A"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368DABC" w14:textId="54D1C354" w:rsidR="00B23446" w:rsidRDefault="00B23446" w:rsidP="00B23446">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189C4121" w14:textId="2D171A6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7B58F1" w14:textId="286290B1" w:rsidR="00B23446" w:rsidRDefault="00B23446" w:rsidP="00B2344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00FFA1B" w14:textId="39928F6A" w:rsidR="00B23446" w:rsidRDefault="00B23446" w:rsidP="00B23446">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3FFAAE82" w14:textId="5228CEB8"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F057CC2" w14:textId="4BBEF39A"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08FD58C" w14:textId="0B389184" w:rsidR="00B23446" w:rsidRDefault="00B23446" w:rsidP="00B23446">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0900491C" w14:textId="0D012ED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016434" w14:textId="0ADAF295"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F6DFF1A" w14:textId="63039E46" w:rsidR="00B23446" w:rsidRDefault="00B23446" w:rsidP="00B23446">
            <w:pPr>
              <w:jc w:val="right"/>
              <w:rPr>
                <w:color w:val="000000"/>
                <w:sz w:val="20"/>
                <w:szCs w:val="20"/>
              </w:rPr>
            </w:pPr>
            <w:r>
              <w:rPr>
                <w:color w:val="000000"/>
                <w:sz w:val="20"/>
                <w:szCs w:val="20"/>
              </w:rPr>
              <w:t>0.920</w:t>
            </w:r>
          </w:p>
        </w:tc>
        <w:tc>
          <w:tcPr>
            <w:tcW w:w="768" w:type="dxa"/>
            <w:tcBorders>
              <w:top w:val="nil"/>
              <w:left w:val="nil"/>
              <w:bottom w:val="nil"/>
              <w:right w:val="nil"/>
            </w:tcBorders>
            <w:shd w:val="clear" w:color="auto" w:fill="auto"/>
            <w:noWrap/>
            <w:vAlign w:val="bottom"/>
            <w:hideMark/>
          </w:tcPr>
          <w:p w14:paraId="29E0449D" w14:textId="3633939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B50F68" w14:textId="2E7C5919" w:rsidR="00B23446" w:rsidRDefault="00B23446" w:rsidP="00B2344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C1CD07E" w14:textId="18BCE3D3" w:rsidR="00B23446" w:rsidRDefault="00B23446" w:rsidP="00B23446">
            <w:pPr>
              <w:jc w:val="right"/>
              <w:rPr>
                <w:color w:val="000000"/>
                <w:sz w:val="20"/>
                <w:szCs w:val="20"/>
              </w:rPr>
            </w:pPr>
            <w:r>
              <w:rPr>
                <w:color w:val="000000"/>
                <w:sz w:val="20"/>
                <w:szCs w:val="20"/>
              </w:rPr>
              <w:t>0.621</w:t>
            </w:r>
          </w:p>
        </w:tc>
        <w:tc>
          <w:tcPr>
            <w:tcW w:w="768" w:type="dxa"/>
            <w:tcBorders>
              <w:top w:val="nil"/>
              <w:left w:val="nil"/>
              <w:bottom w:val="nil"/>
              <w:right w:val="nil"/>
            </w:tcBorders>
            <w:shd w:val="clear" w:color="auto" w:fill="auto"/>
            <w:noWrap/>
            <w:vAlign w:val="bottom"/>
            <w:hideMark/>
          </w:tcPr>
          <w:p w14:paraId="48771EBB" w14:textId="4FA395F7" w:rsidR="00B23446" w:rsidRDefault="00B23446" w:rsidP="00B23446">
            <w:pPr>
              <w:jc w:val="right"/>
              <w:rPr>
                <w:color w:val="000000"/>
                <w:sz w:val="20"/>
                <w:szCs w:val="20"/>
              </w:rPr>
            </w:pPr>
            <w:r>
              <w:rPr>
                <w:color w:val="000000"/>
                <w:sz w:val="20"/>
                <w:szCs w:val="20"/>
              </w:rPr>
              <w:t>0.002</w:t>
            </w:r>
          </w:p>
        </w:tc>
      </w:tr>
      <w:tr w:rsidR="00B23446" w14:paraId="03A4B65D" w14:textId="77777777" w:rsidTr="0022212F">
        <w:trPr>
          <w:trHeight w:val="320"/>
        </w:trPr>
        <w:tc>
          <w:tcPr>
            <w:tcW w:w="1176" w:type="dxa"/>
            <w:tcBorders>
              <w:top w:val="nil"/>
              <w:left w:val="nil"/>
              <w:bottom w:val="nil"/>
              <w:right w:val="nil"/>
            </w:tcBorders>
            <w:shd w:val="clear" w:color="auto" w:fill="auto"/>
            <w:noWrap/>
            <w:vAlign w:val="bottom"/>
            <w:hideMark/>
          </w:tcPr>
          <w:p w14:paraId="42B30FA3"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A6BB435"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0ED46D8" w14:textId="59CCC0BA" w:rsidR="00B23446" w:rsidRDefault="00B23446" w:rsidP="00B2344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9C3B464" w14:textId="739AD7E1" w:rsidR="00B23446" w:rsidRDefault="00B23446" w:rsidP="00B23446">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13EC5E10" w14:textId="64BEA60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E13758" w14:textId="4C7AA60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151943" w14:textId="05B8AF54" w:rsidR="00B23446" w:rsidRDefault="00B23446" w:rsidP="00B23446">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68770790" w14:textId="19CC2C3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6A12A1" w14:textId="5A42AD1D"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55972DF" w14:textId="297FEC0C" w:rsidR="00B23446" w:rsidRDefault="00B23446" w:rsidP="00B23446">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43989A52" w14:textId="3552A03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65164D" w14:textId="6FC42573"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11571FF" w14:textId="1D58E9E6" w:rsidR="00B23446" w:rsidRDefault="00B23446" w:rsidP="00B23446">
            <w:pPr>
              <w:jc w:val="right"/>
              <w:rPr>
                <w:color w:val="000000"/>
                <w:sz w:val="20"/>
                <w:szCs w:val="20"/>
              </w:rPr>
            </w:pPr>
            <w:r>
              <w:rPr>
                <w:color w:val="000000"/>
                <w:sz w:val="20"/>
                <w:szCs w:val="20"/>
              </w:rPr>
              <w:t>0.901</w:t>
            </w:r>
          </w:p>
        </w:tc>
        <w:tc>
          <w:tcPr>
            <w:tcW w:w="768" w:type="dxa"/>
            <w:tcBorders>
              <w:top w:val="nil"/>
              <w:left w:val="nil"/>
              <w:bottom w:val="nil"/>
              <w:right w:val="nil"/>
            </w:tcBorders>
            <w:shd w:val="clear" w:color="auto" w:fill="auto"/>
            <w:noWrap/>
            <w:vAlign w:val="bottom"/>
            <w:hideMark/>
          </w:tcPr>
          <w:p w14:paraId="3EC31E4D" w14:textId="032FA005"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6E4191" w14:textId="770D3BDE"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6D65076" w14:textId="1951C330" w:rsidR="00B23446" w:rsidRDefault="00B23446" w:rsidP="00B23446">
            <w:pPr>
              <w:jc w:val="right"/>
              <w:rPr>
                <w:color w:val="000000"/>
                <w:sz w:val="20"/>
                <w:szCs w:val="20"/>
              </w:rPr>
            </w:pPr>
            <w:r>
              <w:rPr>
                <w:color w:val="000000"/>
                <w:sz w:val="20"/>
                <w:szCs w:val="20"/>
              </w:rPr>
              <w:t>0.641</w:t>
            </w:r>
          </w:p>
        </w:tc>
        <w:tc>
          <w:tcPr>
            <w:tcW w:w="768" w:type="dxa"/>
            <w:tcBorders>
              <w:top w:val="nil"/>
              <w:left w:val="nil"/>
              <w:bottom w:val="nil"/>
              <w:right w:val="nil"/>
            </w:tcBorders>
            <w:shd w:val="clear" w:color="auto" w:fill="auto"/>
            <w:noWrap/>
            <w:vAlign w:val="bottom"/>
            <w:hideMark/>
          </w:tcPr>
          <w:p w14:paraId="26D99137" w14:textId="21CC61C6" w:rsidR="00B23446" w:rsidRDefault="00B23446" w:rsidP="00B23446">
            <w:pPr>
              <w:jc w:val="right"/>
              <w:rPr>
                <w:color w:val="000000"/>
                <w:sz w:val="20"/>
                <w:szCs w:val="20"/>
              </w:rPr>
            </w:pPr>
            <w:r>
              <w:rPr>
                <w:color w:val="000000"/>
                <w:sz w:val="20"/>
                <w:szCs w:val="20"/>
              </w:rPr>
              <w:t>0.001</w:t>
            </w:r>
          </w:p>
        </w:tc>
      </w:tr>
      <w:tr w:rsidR="00B23446" w14:paraId="5B26533E" w14:textId="77777777" w:rsidTr="0022212F">
        <w:trPr>
          <w:trHeight w:val="320"/>
        </w:trPr>
        <w:tc>
          <w:tcPr>
            <w:tcW w:w="1176" w:type="dxa"/>
            <w:tcBorders>
              <w:top w:val="nil"/>
              <w:left w:val="nil"/>
              <w:bottom w:val="nil"/>
              <w:right w:val="nil"/>
            </w:tcBorders>
            <w:shd w:val="clear" w:color="auto" w:fill="auto"/>
            <w:noWrap/>
            <w:vAlign w:val="bottom"/>
            <w:hideMark/>
          </w:tcPr>
          <w:p w14:paraId="60F4B6EB"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71A4ADC"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6B6AC92" w14:textId="14281FFC"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19071DEE" w14:textId="0EC93A56" w:rsidR="00B23446" w:rsidRDefault="00B23446" w:rsidP="00B23446">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4113F27A" w14:textId="3218260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4A02F2" w14:textId="229AF156"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35FC278" w14:textId="1E8B58AC" w:rsidR="00B23446" w:rsidRDefault="00B23446" w:rsidP="00B23446">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3BB47D84" w14:textId="351992A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3FF79D" w14:textId="1A86E64B" w:rsidR="00B23446" w:rsidRDefault="00B23446" w:rsidP="00B23446">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2F0B0087" w14:textId="07AEBFD0" w:rsidR="00B23446" w:rsidRDefault="00B23446" w:rsidP="00B23446">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54200140" w14:textId="083597FB"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ADCD5A8" w14:textId="22D2A1ED" w:rsidR="00B23446" w:rsidRDefault="00B23446" w:rsidP="00B23446">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34FD6CF7" w14:textId="1EABD36F" w:rsidR="00B23446" w:rsidRDefault="00B23446" w:rsidP="00B23446">
            <w:pPr>
              <w:jc w:val="right"/>
              <w:rPr>
                <w:color w:val="000000"/>
                <w:sz w:val="20"/>
                <w:szCs w:val="20"/>
              </w:rPr>
            </w:pPr>
            <w:r>
              <w:rPr>
                <w:color w:val="000000"/>
                <w:sz w:val="20"/>
                <w:szCs w:val="20"/>
              </w:rPr>
              <w:t>0.901</w:t>
            </w:r>
          </w:p>
        </w:tc>
        <w:tc>
          <w:tcPr>
            <w:tcW w:w="768" w:type="dxa"/>
            <w:tcBorders>
              <w:top w:val="nil"/>
              <w:left w:val="nil"/>
              <w:bottom w:val="nil"/>
              <w:right w:val="nil"/>
            </w:tcBorders>
            <w:shd w:val="clear" w:color="auto" w:fill="auto"/>
            <w:noWrap/>
            <w:vAlign w:val="bottom"/>
            <w:hideMark/>
          </w:tcPr>
          <w:p w14:paraId="794A1EF6" w14:textId="2E6B7BC3"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B92BE67" w14:textId="49BB3CF8" w:rsidR="00B23446" w:rsidRDefault="00B23446" w:rsidP="00B23446">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379F32C9" w14:textId="4B91DBB4" w:rsidR="00B23446" w:rsidRDefault="00B23446" w:rsidP="00B23446">
            <w:pPr>
              <w:jc w:val="right"/>
              <w:rPr>
                <w:color w:val="000000"/>
                <w:sz w:val="20"/>
                <w:szCs w:val="20"/>
              </w:rPr>
            </w:pPr>
            <w:r>
              <w:rPr>
                <w:color w:val="000000"/>
                <w:sz w:val="20"/>
                <w:szCs w:val="20"/>
              </w:rPr>
              <w:t>0.304</w:t>
            </w:r>
          </w:p>
        </w:tc>
        <w:tc>
          <w:tcPr>
            <w:tcW w:w="768" w:type="dxa"/>
            <w:tcBorders>
              <w:top w:val="nil"/>
              <w:left w:val="nil"/>
              <w:bottom w:val="nil"/>
              <w:right w:val="nil"/>
            </w:tcBorders>
            <w:shd w:val="clear" w:color="auto" w:fill="auto"/>
            <w:noWrap/>
            <w:vAlign w:val="bottom"/>
            <w:hideMark/>
          </w:tcPr>
          <w:p w14:paraId="716C19CA" w14:textId="4BE7F989" w:rsidR="00B23446" w:rsidRDefault="00B23446" w:rsidP="00B23446">
            <w:pPr>
              <w:jc w:val="right"/>
              <w:rPr>
                <w:color w:val="000000"/>
                <w:sz w:val="20"/>
                <w:szCs w:val="20"/>
              </w:rPr>
            </w:pPr>
            <w:r>
              <w:rPr>
                <w:color w:val="000000"/>
                <w:sz w:val="20"/>
                <w:szCs w:val="20"/>
              </w:rPr>
              <w:t>0.007</w:t>
            </w:r>
          </w:p>
        </w:tc>
      </w:tr>
      <w:tr w:rsidR="00B23446" w14:paraId="0557DEE5" w14:textId="77777777" w:rsidTr="0022212F">
        <w:trPr>
          <w:trHeight w:val="320"/>
        </w:trPr>
        <w:tc>
          <w:tcPr>
            <w:tcW w:w="1176" w:type="dxa"/>
            <w:tcBorders>
              <w:top w:val="nil"/>
              <w:left w:val="nil"/>
              <w:bottom w:val="nil"/>
              <w:right w:val="nil"/>
            </w:tcBorders>
            <w:shd w:val="clear" w:color="auto" w:fill="auto"/>
            <w:noWrap/>
            <w:vAlign w:val="bottom"/>
            <w:hideMark/>
          </w:tcPr>
          <w:p w14:paraId="68544AE9"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4CAC13D"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163E68C" w14:textId="0DDB6DC3" w:rsidR="00B23446" w:rsidRDefault="00B23446" w:rsidP="00B2344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0907B34" w14:textId="653190B3" w:rsidR="00B23446" w:rsidRDefault="00B23446" w:rsidP="00B23446">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61D3348F" w14:textId="5BEE6D8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943467" w14:textId="10016EAB"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6AB472F" w14:textId="5ABFB85B" w:rsidR="00B23446" w:rsidRDefault="00B23446" w:rsidP="00B23446">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43D6A1FA" w14:textId="7631063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10CDBD" w14:textId="347D7F1E" w:rsidR="00B23446" w:rsidRDefault="00B23446" w:rsidP="00B23446">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4BB17DF0" w14:textId="20FFFCC6" w:rsidR="00B23446" w:rsidRDefault="00B23446" w:rsidP="00B23446">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73393574" w14:textId="32696F7E"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4C4981A" w14:textId="64543AC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0C0C1E" w14:textId="35DB5786" w:rsidR="00B23446" w:rsidRDefault="00B23446" w:rsidP="00B23446">
            <w:pPr>
              <w:jc w:val="right"/>
              <w:rPr>
                <w:color w:val="000000"/>
                <w:sz w:val="20"/>
                <w:szCs w:val="20"/>
              </w:rPr>
            </w:pPr>
            <w:r>
              <w:rPr>
                <w:color w:val="000000"/>
                <w:sz w:val="20"/>
                <w:szCs w:val="20"/>
              </w:rPr>
              <w:t>0.991</w:t>
            </w:r>
          </w:p>
        </w:tc>
        <w:tc>
          <w:tcPr>
            <w:tcW w:w="768" w:type="dxa"/>
            <w:tcBorders>
              <w:top w:val="nil"/>
              <w:left w:val="nil"/>
              <w:bottom w:val="nil"/>
              <w:right w:val="nil"/>
            </w:tcBorders>
            <w:shd w:val="clear" w:color="auto" w:fill="auto"/>
            <w:noWrap/>
            <w:vAlign w:val="bottom"/>
            <w:hideMark/>
          </w:tcPr>
          <w:p w14:paraId="2A399951" w14:textId="7A7EA94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BB77A9" w14:textId="17057C82" w:rsidR="00B23446" w:rsidRDefault="00B23446" w:rsidP="00B2344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8EA9A48" w14:textId="64555138" w:rsidR="00B23446" w:rsidRDefault="00B23446" w:rsidP="00B23446">
            <w:pPr>
              <w:jc w:val="right"/>
              <w:rPr>
                <w:color w:val="000000"/>
                <w:sz w:val="20"/>
                <w:szCs w:val="20"/>
              </w:rPr>
            </w:pPr>
            <w:r>
              <w:rPr>
                <w:color w:val="000000"/>
                <w:sz w:val="20"/>
                <w:szCs w:val="20"/>
              </w:rPr>
              <w:t>0.621</w:t>
            </w:r>
          </w:p>
        </w:tc>
        <w:tc>
          <w:tcPr>
            <w:tcW w:w="768" w:type="dxa"/>
            <w:tcBorders>
              <w:top w:val="nil"/>
              <w:left w:val="nil"/>
              <w:bottom w:val="nil"/>
              <w:right w:val="nil"/>
            </w:tcBorders>
            <w:shd w:val="clear" w:color="auto" w:fill="auto"/>
            <w:noWrap/>
            <w:vAlign w:val="bottom"/>
            <w:hideMark/>
          </w:tcPr>
          <w:p w14:paraId="5B2DC127" w14:textId="4F1335DA" w:rsidR="00B23446" w:rsidRDefault="00B23446" w:rsidP="00B23446">
            <w:pPr>
              <w:jc w:val="right"/>
              <w:rPr>
                <w:color w:val="000000"/>
                <w:sz w:val="20"/>
                <w:szCs w:val="20"/>
              </w:rPr>
            </w:pPr>
            <w:r>
              <w:rPr>
                <w:color w:val="000000"/>
                <w:sz w:val="20"/>
                <w:szCs w:val="20"/>
              </w:rPr>
              <w:t>0.001</w:t>
            </w:r>
          </w:p>
        </w:tc>
      </w:tr>
      <w:tr w:rsidR="00B23446" w14:paraId="57C5A564" w14:textId="77777777" w:rsidTr="0022212F">
        <w:trPr>
          <w:trHeight w:val="320"/>
        </w:trPr>
        <w:tc>
          <w:tcPr>
            <w:tcW w:w="1176" w:type="dxa"/>
            <w:tcBorders>
              <w:top w:val="nil"/>
              <w:left w:val="nil"/>
              <w:bottom w:val="nil"/>
              <w:right w:val="nil"/>
            </w:tcBorders>
            <w:shd w:val="clear" w:color="auto" w:fill="auto"/>
            <w:noWrap/>
            <w:vAlign w:val="bottom"/>
            <w:hideMark/>
          </w:tcPr>
          <w:p w14:paraId="170EB5FC"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684044"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C76419F" w14:textId="0E7F16EF" w:rsidR="00B23446" w:rsidRDefault="00B23446" w:rsidP="00B23446">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FC0778E" w14:textId="4CD2871A" w:rsidR="00B23446" w:rsidRDefault="00B23446" w:rsidP="00B23446">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75B77A18" w14:textId="674FA3BA"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AD3E00F" w14:textId="1020D9EC" w:rsidR="00B23446" w:rsidRDefault="00B23446" w:rsidP="00B2344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4D47644F" w14:textId="727A4FF9" w:rsidR="00B23446" w:rsidRDefault="00B23446" w:rsidP="00B23446">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46E001C4" w14:textId="0FD12860"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B09898" w14:textId="266E9A73"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3DAB146" w14:textId="212FE9D5" w:rsidR="00B23446" w:rsidRDefault="00B23446" w:rsidP="00B23446">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77CF8ACA" w14:textId="5E2F3D9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0C68B5" w14:textId="15C4819C"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2719D560" w14:textId="3BC8CF2F" w:rsidR="00B23446" w:rsidRDefault="00B23446" w:rsidP="00B23446">
            <w:pPr>
              <w:jc w:val="right"/>
              <w:rPr>
                <w:color w:val="000000"/>
                <w:sz w:val="20"/>
                <w:szCs w:val="20"/>
              </w:rPr>
            </w:pPr>
            <w:r>
              <w:rPr>
                <w:color w:val="000000"/>
                <w:sz w:val="20"/>
                <w:szCs w:val="20"/>
              </w:rPr>
              <w:t>0.901</w:t>
            </w:r>
          </w:p>
        </w:tc>
        <w:tc>
          <w:tcPr>
            <w:tcW w:w="768" w:type="dxa"/>
            <w:tcBorders>
              <w:top w:val="nil"/>
              <w:left w:val="nil"/>
              <w:bottom w:val="nil"/>
              <w:right w:val="nil"/>
            </w:tcBorders>
            <w:shd w:val="clear" w:color="auto" w:fill="auto"/>
            <w:noWrap/>
            <w:vAlign w:val="bottom"/>
            <w:hideMark/>
          </w:tcPr>
          <w:p w14:paraId="251B93D3" w14:textId="0740C360"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02D83A" w14:textId="7661BA3F"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E2DE2FE" w14:textId="242770D5" w:rsidR="00B23446" w:rsidRDefault="00B23446" w:rsidP="00B23446">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0169ED6A" w14:textId="2BBD0AE0" w:rsidR="00B23446" w:rsidRDefault="00B23446" w:rsidP="00B23446">
            <w:pPr>
              <w:jc w:val="right"/>
              <w:rPr>
                <w:color w:val="000000"/>
                <w:sz w:val="20"/>
                <w:szCs w:val="20"/>
              </w:rPr>
            </w:pPr>
            <w:r>
              <w:rPr>
                <w:color w:val="000000"/>
                <w:sz w:val="20"/>
                <w:szCs w:val="20"/>
              </w:rPr>
              <w:t>0.000</w:t>
            </w:r>
          </w:p>
        </w:tc>
      </w:tr>
      <w:tr w:rsidR="00B23446" w14:paraId="351D96AB" w14:textId="77777777" w:rsidTr="0022212F">
        <w:trPr>
          <w:trHeight w:val="320"/>
        </w:trPr>
        <w:tc>
          <w:tcPr>
            <w:tcW w:w="1176" w:type="dxa"/>
            <w:tcBorders>
              <w:top w:val="nil"/>
              <w:left w:val="nil"/>
              <w:bottom w:val="nil"/>
              <w:right w:val="nil"/>
            </w:tcBorders>
            <w:shd w:val="clear" w:color="auto" w:fill="auto"/>
            <w:noWrap/>
            <w:vAlign w:val="bottom"/>
            <w:hideMark/>
          </w:tcPr>
          <w:p w14:paraId="5466DBC6"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90A1632"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30238C7" w14:textId="3D01A463"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7492878" w14:textId="055ECC5F" w:rsidR="00B23446" w:rsidRDefault="00B23446" w:rsidP="00B23446">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7CA27F4C" w14:textId="59384BD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FA828C" w14:textId="2C561186"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6ED2C2" w14:textId="62BF4CA9" w:rsidR="00B23446" w:rsidRDefault="00B23446" w:rsidP="00B23446">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2798222A" w14:textId="1A4150D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636164" w14:textId="3BD0CF73" w:rsidR="00B23446" w:rsidRDefault="00B23446" w:rsidP="00B23446">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099BF709" w14:textId="7D51A2EE" w:rsidR="00B23446" w:rsidRDefault="00B23446" w:rsidP="00B23446">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3F60CADB" w14:textId="3A2D1D40"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F5306B0" w14:textId="651CFE2C"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F348F44" w14:textId="25A73926" w:rsidR="00B23446" w:rsidRDefault="00B23446" w:rsidP="00B23446">
            <w:pPr>
              <w:jc w:val="right"/>
              <w:rPr>
                <w:color w:val="000000"/>
                <w:sz w:val="20"/>
                <w:szCs w:val="20"/>
              </w:rPr>
            </w:pPr>
            <w:r>
              <w:rPr>
                <w:color w:val="000000"/>
                <w:sz w:val="20"/>
                <w:szCs w:val="20"/>
              </w:rPr>
              <w:t>0.920</w:t>
            </w:r>
          </w:p>
        </w:tc>
        <w:tc>
          <w:tcPr>
            <w:tcW w:w="768" w:type="dxa"/>
            <w:tcBorders>
              <w:top w:val="nil"/>
              <w:left w:val="nil"/>
              <w:bottom w:val="nil"/>
              <w:right w:val="nil"/>
            </w:tcBorders>
            <w:shd w:val="clear" w:color="auto" w:fill="auto"/>
            <w:noWrap/>
            <w:vAlign w:val="bottom"/>
            <w:hideMark/>
          </w:tcPr>
          <w:p w14:paraId="0E68EAF7" w14:textId="39EB3965"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0AAF3D" w14:textId="458F7F0B"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6F1A921" w14:textId="667674E0" w:rsidR="00B23446" w:rsidRDefault="00B23446" w:rsidP="00B23446">
            <w:pPr>
              <w:jc w:val="right"/>
              <w:rPr>
                <w:color w:val="000000"/>
                <w:sz w:val="20"/>
                <w:szCs w:val="20"/>
              </w:rPr>
            </w:pPr>
            <w:r>
              <w:rPr>
                <w:color w:val="000000"/>
                <w:sz w:val="20"/>
                <w:szCs w:val="20"/>
              </w:rPr>
              <w:t>0.941</w:t>
            </w:r>
          </w:p>
        </w:tc>
        <w:tc>
          <w:tcPr>
            <w:tcW w:w="768" w:type="dxa"/>
            <w:tcBorders>
              <w:top w:val="nil"/>
              <w:left w:val="nil"/>
              <w:bottom w:val="nil"/>
              <w:right w:val="nil"/>
            </w:tcBorders>
            <w:shd w:val="clear" w:color="auto" w:fill="auto"/>
            <w:noWrap/>
            <w:vAlign w:val="bottom"/>
            <w:hideMark/>
          </w:tcPr>
          <w:p w14:paraId="6FF21507" w14:textId="56A34729" w:rsidR="00B23446" w:rsidRDefault="00B23446" w:rsidP="00B23446">
            <w:pPr>
              <w:jc w:val="right"/>
              <w:rPr>
                <w:color w:val="000000"/>
                <w:sz w:val="20"/>
                <w:szCs w:val="20"/>
              </w:rPr>
            </w:pPr>
            <w:r>
              <w:rPr>
                <w:color w:val="000000"/>
                <w:sz w:val="20"/>
                <w:szCs w:val="20"/>
              </w:rPr>
              <w:t>0.000</w:t>
            </w:r>
          </w:p>
        </w:tc>
      </w:tr>
      <w:tr w:rsidR="00B23446" w14:paraId="7914197A"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4B29F1F7"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23347463"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2E61C3C5" w14:textId="50AE1CF2"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single" w:sz="12" w:space="0" w:color="auto"/>
              <w:right w:val="nil"/>
            </w:tcBorders>
            <w:shd w:val="clear" w:color="auto" w:fill="auto"/>
            <w:noWrap/>
            <w:vAlign w:val="bottom"/>
            <w:hideMark/>
          </w:tcPr>
          <w:p w14:paraId="77A0332E" w14:textId="100527E3" w:rsidR="00B23446" w:rsidRDefault="00B23446" w:rsidP="00B23446">
            <w:pPr>
              <w:jc w:val="right"/>
              <w:rPr>
                <w:color w:val="000000"/>
                <w:sz w:val="20"/>
                <w:szCs w:val="20"/>
              </w:rPr>
            </w:pPr>
            <w:r>
              <w:rPr>
                <w:color w:val="000000"/>
                <w:sz w:val="20"/>
                <w:szCs w:val="20"/>
              </w:rPr>
              <w:t>0.910</w:t>
            </w:r>
          </w:p>
        </w:tc>
        <w:tc>
          <w:tcPr>
            <w:tcW w:w="768" w:type="dxa"/>
            <w:tcBorders>
              <w:top w:val="nil"/>
              <w:left w:val="nil"/>
              <w:bottom w:val="single" w:sz="12" w:space="0" w:color="auto"/>
              <w:right w:val="nil"/>
            </w:tcBorders>
            <w:shd w:val="clear" w:color="auto" w:fill="auto"/>
            <w:noWrap/>
            <w:vAlign w:val="bottom"/>
            <w:hideMark/>
          </w:tcPr>
          <w:p w14:paraId="57D86B03" w14:textId="68DE9E8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48E434F" w14:textId="0CB3553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0B8F2CA" w14:textId="6482493E" w:rsidR="00B23446" w:rsidRDefault="00B23446" w:rsidP="00B23446">
            <w:pPr>
              <w:jc w:val="right"/>
              <w:rPr>
                <w:color w:val="000000"/>
                <w:sz w:val="20"/>
                <w:szCs w:val="20"/>
              </w:rPr>
            </w:pPr>
            <w:r>
              <w:rPr>
                <w:color w:val="000000"/>
                <w:sz w:val="20"/>
                <w:szCs w:val="20"/>
              </w:rPr>
              <w:t>0.999</w:t>
            </w:r>
          </w:p>
        </w:tc>
        <w:tc>
          <w:tcPr>
            <w:tcW w:w="768" w:type="dxa"/>
            <w:tcBorders>
              <w:top w:val="nil"/>
              <w:left w:val="nil"/>
              <w:bottom w:val="single" w:sz="12" w:space="0" w:color="auto"/>
              <w:right w:val="nil"/>
            </w:tcBorders>
            <w:shd w:val="clear" w:color="auto" w:fill="auto"/>
            <w:noWrap/>
            <w:vAlign w:val="bottom"/>
            <w:hideMark/>
          </w:tcPr>
          <w:p w14:paraId="5246CEA1" w14:textId="4E6312C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171C684" w14:textId="0DBD90FB" w:rsidR="00B23446" w:rsidRDefault="00B23446" w:rsidP="00B23446">
            <w:pPr>
              <w:jc w:val="right"/>
              <w:rPr>
                <w:color w:val="000000"/>
                <w:sz w:val="20"/>
                <w:szCs w:val="20"/>
              </w:rPr>
            </w:pPr>
            <w:r>
              <w:rPr>
                <w:color w:val="000000"/>
                <w:sz w:val="20"/>
                <w:szCs w:val="20"/>
              </w:rPr>
              <w:t>0.030</w:t>
            </w:r>
          </w:p>
        </w:tc>
        <w:tc>
          <w:tcPr>
            <w:tcW w:w="768" w:type="dxa"/>
            <w:tcBorders>
              <w:top w:val="nil"/>
              <w:left w:val="nil"/>
              <w:bottom w:val="single" w:sz="12" w:space="0" w:color="auto"/>
              <w:right w:val="nil"/>
            </w:tcBorders>
            <w:shd w:val="clear" w:color="auto" w:fill="auto"/>
            <w:noWrap/>
            <w:vAlign w:val="bottom"/>
            <w:hideMark/>
          </w:tcPr>
          <w:p w14:paraId="04D97499" w14:textId="241F664A" w:rsidR="00B23446" w:rsidRDefault="00B23446" w:rsidP="00B23446">
            <w:pPr>
              <w:jc w:val="right"/>
              <w:rPr>
                <w:color w:val="000000"/>
                <w:sz w:val="20"/>
                <w:szCs w:val="20"/>
              </w:rPr>
            </w:pPr>
            <w:r>
              <w:rPr>
                <w:color w:val="000000"/>
                <w:sz w:val="20"/>
                <w:szCs w:val="20"/>
              </w:rPr>
              <w:t>0.678</w:t>
            </w:r>
          </w:p>
        </w:tc>
        <w:tc>
          <w:tcPr>
            <w:tcW w:w="768" w:type="dxa"/>
            <w:tcBorders>
              <w:top w:val="nil"/>
              <w:left w:val="nil"/>
              <w:bottom w:val="single" w:sz="12" w:space="0" w:color="auto"/>
              <w:right w:val="nil"/>
            </w:tcBorders>
            <w:shd w:val="clear" w:color="auto" w:fill="auto"/>
            <w:noWrap/>
            <w:vAlign w:val="bottom"/>
            <w:hideMark/>
          </w:tcPr>
          <w:p w14:paraId="255ABF5E" w14:textId="221CF729"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256C3773" w14:textId="35A00132"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single" w:sz="12" w:space="0" w:color="auto"/>
              <w:right w:val="nil"/>
            </w:tcBorders>
            <w:shd w:val="clear" w:color="auto" w:fill="auto"/>
            <w:noWrap/>
            <w:vAlign w:val="bottom"/>
            <w:hideMark/>
          </w:tcPr>
          <w:p w14:paraId="4397F71A" w14:textId="6FBF45F7" w:rsidR="00B23446" w:rsidRDefault="00B23446" w:rsidP="00B23446">
            <w:pPr>
              <w:jc w:val="right"/>
              <w:rPr>
                <w:color w:val="000000"/>
                <w:sz w:val="20"/>
                <w:szCs w:val="20"/>
              </w:rPr>
            </w:pPr>
            <w:r>
              <w:rPr>
                <w:color w:val="000000"/>
                <w:sz w:val="20"/>
                <w:szCs w:val="20"/>
              </w:rPr>
              <w:t>0.901</w:t>
            </w:r>
          </w:p>
        </w:tc>
        <w:tc>
          <w:tcPr>
            <w:tcW w:w="768" w:type="dxa"/>
            <w:tcBorders>
              <w:top w:val="nil"/>
              <w:left w:val="nil"/>
              <w:bottom w:val="single" w:sz="12" w:space="0" w:color="auto"/>
              <w:right w:val="nil"/>
            </w:tcBorders>
            <w:shd w:val="clear" w:color="auto" w:fill="auto"/>
            <w:noWrap/>
            <w:vAlign w:val="bottom"/>
            <w:hideMark/>
          </w:tcPr>
          <w:p w14:paraId="37EF8B1B" w14:textId="555F386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BB8671E" w14:textId="5A448A2D" w:rsidR="00B23446" w:rsidRDefault="00B23446" w:rsidP="00B23446">
            <w:pPr>
              <w:jc w:val="right"/>
              <w:rPr>
                <w:color w:val="000000"/>
                <w:sz w:val="20"/>
                <w:szCs w:val="20"/>
              </w:rPr>
            </w:pPr>
            <w:r>
              <w:rPr>
                <w:color w:val="000000"/>
                <w:sz w:val="20"/>
                <w:szCs w:val="20"/>
              </w:rPr>
              <w:t>0.038</w:t>
            </w:r>
          </w:p>
        </w:tc>
        <w:tc>
          <w:tcPr>
            <w:tcW w:w="768" w:type="dxa"/>
            <w:tcBorders>
              <w:top w:val="nil"/>
              <w:left w:val="nil"/>
              <w:bottom w:val="single" w:sz="12" w:space="0" w:color="auto"/>
              <w:right w:val="nil"/>
            </w:tcBorders>
            <w:shd w:val="clear" w:color="auto" w:fill="auto"/>
            <w:noWrap/>
            <w:vAlign w:val="bottom"/>
            <w:hideMark/>
          </w:tcPr>
          <w:p w14:paraId="6C58E1B5" w14:textId="4B3DA08C" w:rsidR="00B23446" w:rsidRDefault="00B23446" w:rsidP="00B23446">
            <w:pPr>
              <w:jc w:val="right"/>
              <w:rPr>
                <w:color w:val="000000"/>
                <w:sz w:val="20"/>
                <w:szCs w:val="20"/>
              </w:rPr>
            </w:pPr>
            <w:r>
              <w:rPr>
                <w:color w:val="000000"/>
                <w:sz w:val="20"/>
                <w:szCs w:val="20"/>
              </w:rPr>
              <w:t>0.621</w:t>
            </w:r>
          </w:p>
        </w:tc>
        <w:tc>
          <w:tcPr>
            <w:tcW w:w="768" w:type="dxa"/>
            <w:tcBorders>
              <w:top w:val="nil"/>
              <w:left w:val="nil"/>
              <w:bottom w:val="single" w:sz="12" w:space="0" w:color="auto"/>
              <w:right w:val="nil"/>
            </w:tcBorders>
            <w:shd w:val="clear" w:color="auto" w:fill="auto"/>
            <w:noWrap/>
            <w:vAlign w:val="bottom"/>
            <w:hideMark/>
          </w:tcPr>
          <w:p w14:paraId="28D7C7AE" w14:textId="6DE52EC6" w:rsidR="00B23446" w:rsidRDefault="00B23446" w:rsidP="00B23446">
            <w:pPr>
              <w:jc w:val="right"/>
              <w:rPr>
                <w:color w:val="000000"/>
                <w:sz w:val="20"/>
                <w:szCs w:val="20"/>
              </w:rPr>
            </w:pPr>
            <w:r>
              <w:rPr>
                <w:color w:val="000000"/>
                <w:sz w:val="20"/>
                <w:szCs w:val="20"/>
              </w:rPr>
              <w:t>0.001</w:t>
            </w:r>
          </w:p>
        </w:tc>
      </w:tr>
      <w:tr w:rsidR="0022212F" w14:paraId="5D62B98D"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1322512A" w14:textId="77777777" w:rsidR="0022212F" w:rsidRDefault="0022212F">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269064D8" w14:textId="77777777" w:rsidR="0022212F" w:rsidRDefault="0022212F">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0C7968DF"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8B8E18B"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7B1639E"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B47813C"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135B6AA"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4AD3F65"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565E2E8"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0BE9043"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9B113BD"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94EF263"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4B56BD6"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F6C4DA"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BEAA1B2"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349F83B" w14:textId="77777777" w:rsidR="0022212F" w:rsidRDefault="0022212F">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7C4A109" w14:textId="77777777" w:rsidR="0022212F" w:rsidRDefault="0022212F">
            <w:pPr>
              <w:rPr>
                <w:sz w:val="20"/>
                <w:szCs w:val="20"/>
              </w:rPr>
            </w:pPr>
          </w:p>
        </w:tc>
      </w:tr>
    </w:tbl>
    <w:p w14:paraId="237288EF" w14:textId="17C50222" w:rsidR="0022212F" w:rsidRDefault="0022212F" w:rsidP="00BA3AF4">
      <w:pPr>
        <w:spacing w:line="480" w:lineRule="auto"/>
      </w:pPr>
    </w:p>
    <w:p w14:paraId="3F541561" w14:textId="3E64F66A" w:rsidR="0022212F" w:rsidRDefault="0022212F">
      <w:r>
        <w:br w:type="page"/>
      </w:r>
    </w:p>
    <w:p w14:paraId="7B3B09D7" w14:textId="62D957F3" w:rsidR="0022212F" w:rsidRPr="009E2A20" w:rsidRDefault="00432B71" w:rsidP="009E2A20">
      <w:pPr>
        <w:pStyle w:val="Heading1"/>
        <w:rPr>
          <w:rFonts w:ascii="Times New Roman" w:hAnsi="Times New Roman" w:cs="Times New Roman"/>
          <w:b/>
          <w:bCs/>
          <w:color w:val="000000" w:themeColor="text1"/>
          <w:sz w:val="24"/>
          <w:szCs w:val="24"/>
        </w:rPr>
      </w:pPr>
      <w:bookmarkStart w:id="38" w:name="_Toc155817705"/>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BC241F">
        <w:rPr>
          <w:rFonts w:ascii="Times New Roman" w:hAnsi="Times New Roman" w:cs="Times New Roman"/>
          <w:b/>
          <w:bCs/>
          <w:color w:val="000000" w:themeColor="text1"/>
          <w:sz w:val="24"/>
          <w:szCs w:val="24"/>
        </w:rPr>
        <w:t>4</w:t>
      </w:r>
      <w:r w:rsidR="0022212F" w:rsidRPr="009E2A20">
        <w:rPr>
          <w:rFonts w:ascii="Times New Roman" w:hAnsi="Times New Roman" w:cs="Times New Roman"/>
          <w:b/>
          <w:bCs/>
          <w:color w:val="000000" w:themeColor="text1"/>
          <w:sz w:val="24"/>
          <w:szCs w:val="24"/>
        </w:rPr>
        <w:t xml:space="preserve">a. </w:t>
      </w:r>
      <w:r w:rsidR="0022212F"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local efficiency during </w:t>
      </w:r>
      <w:r w:rsidR="009C530D" w:rsidRPr="009E2A20">
        <w:rPr>
          <w:rFonts w:ascii="Times New Roman" w:hAnsi="Times New Roman" w:cs="Times New Roman"/>
          <w:color w:val="000000" w:themeColor="text1"/>
          <w:sz w:val="24"/>
          <w:szCs w:val="24"/>
        </w:rPr>
        <w:t>the monetary incentive delay task</w:t>
      </w:r>
      <w:bookmarkEnd w:id="38"/>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6909E3" w14:paraId="64B4F883"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34A9133C" w14:textId="77777777" w:rsidR="006909E3" w:rsidRDefault="006909E3">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5553C049" w14:textId="77777777" w:rsidR="006909E3" w:rsidRDefault="006909E3">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0904820C" w14:textId="77777777" w:rsidR="006909E3" w:rsidRDefault="006909E3">
            <w:pPr>
              <w:rPr>
                <w:color w:val="000000"/>
              </w:rPr>
            </w:pPr>
          </w:p>
        </w:tc>
        <w:tc>
          <w:tcPr>
            <w:tcW w:w="768" w:type="dxa"/>
            <w:tcBorders>
              <w:top w:val="nil"/>
              <w:left w:val="nil"/>
              <w:bottom w:val="single" w:sz="12" w:space="0" w:color="auto"/>
              <w:right w:val="nil"/>
            </w:tcBorders>
            <w:shd w:val="clear" w:color="auto" w:fill="auto"/>
            <w:noWrap/>
            <w:vAlign w:val="bottom"/>
            <w:hideMark/>
          </w:tcPr>
          <w:p w14:paraId="0CFDAB74"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AA7313E"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B1908E3"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A76E5ED"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E5F7983"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FC543D8"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DC8AA95"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644EC60"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D2CD4F9"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BF333D6"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C18A1B6"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8009E75"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ACBB216" w14:textId="77777777" w:rsidR="006909E3" w:rsidRDefault="006909E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37BF00D" w14:textId="77777777" w:rsidR="006909E3" w:rsidRDefault="006909E3">
            <w:pPr>
              <w:rPr>
                <w:sz w:val="20"/>
                <w:szCs w:val="20"/>
              </w:rPr>
            </w:pPr>
          </w:p>
        </w:tc>
      </w:tr>
      <w:tr w:rsidR="006909E3" w14:paraId="07F88FE6" w14:textId="77777777" w:rsidTr="00964DCF">
        <w:trPr>
          <w:trHeight w:val="340"/>
        </w:trPr>
        <w:tc>
          <w:tcPr>
            <w:tcW w:w="1176" w:type="dxa"/>
            <w:tcBorders>
              <w:top w:val="single" w:sz="12" w:space="0" w:color="auto"/>
              <w:left w:val="nil"/>
              <w:bottom w:val="nil"/>
              <w:right w:val="nil"/>
            </w:tcBorders>
            <w:shd w:val="clear" w:color="auto" w:fill="auto"/>
            <w:noWrap/>
            <w:vAlign w:val="bottom"/>
            <w:hideMark/>
          </w:tcPr>
          <w:p w14:paraId="0DAEB8F9" w14:textId="77777777" w:rsidR="006909E3" w:rsidRDefault="006909E3">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02FAD3D8" w14:textId="77777777" w:rsidR="006909E3" w:rsidRDefault="006909E3">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6B9DBF76" w14:textId="5751D501" w:rsidR="006909E3" w:rsidRDefault="006909E3">
            <w:pPr>
              <w:jc w:val="center"/>
              <w:rPr>
                <w:color w:val="000000"/>
                <w:sz w:val="20"/>
                <w:szCs w:val="20"/>
              </w:rPr>
            </w:pPr>
            <w:r>
              <w:rPr>
                <w:color w:val="000000"/>
                <w:sz w:val="20"/>
                <w:szCs w:val="20"/>
              </w:rPr>
              <w:t>General</w:t>
            </w:r>
            <w:r w:rsidR="00195B9F">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DC70257" w14:textId="77777777" w:rsidR="006909E3" w:rsidRDefault="006909E3">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6B1805F" w14:textId="77777777" w:rsidR="006909E3" w:rsidRDefault="006909E3">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296A244" w14:textId="77777777" w:rsidR="006909E3" w:rsidRDefault="006909E3">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37DBD7F4" w14:textId="77777777" w:rsidR="006909E3" w:rsidRDefault="006909E3">
            <w:pPr>
              <w:jc w:val="center"/>
              <w:rPr>
                <w:color w:val="000000"/>
                <w:sz w:val="20"/>
                <w:szCs w:val="20"/>
              </w:rPr>
            </w:pPr>
            <w:r>
              <w:rPr>
                <w:color w:val="000000"/>
                <w:sz w:val="20"/>
                <w:szCs w:val="20"/>
              </w:rPr>
              <w:t>Urbanicity</w:t>
            </w:r>
          </w:p>
        </w:tc>
      </w:tr>
      <w:tr w:rsidR="002125FE" w14:paraId="3D49D6E8" w14:textId="77777777" w:rsidTr="00964DCF">
        <w:trPr>
          <w:trHeight w:val="360"/>
        </w:trPr>
        <w:tc>
          <w:tcPr>
            <w:tcW w:w="1176" w:type="dxa"/>
            <w:tcBorders>
              <w:top w:val="nil"/>
              <w:left w:val="nil"/>
              <w:bottom w:val="single" w:sz="12" w:space="0" w:color="auto"/>
              <w:right w:val="nil"/>
            </w:tcBorders>
            <w:shd w:val="clear" w:color="auto" w:fill="auto"/>
            <w:noWrap/>
            <w:vAlign w:val="bottom"/>
            <w:hideMark/>
          </w:tcPr>
          <w:p w14:paraId="65B51F61"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7081A83F"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39207B30" w14:textId="17F87A8D"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E22B57C" w14:textId="44F9BF60"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4990FBF" w14:textId="3C2F8D22"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EFDC09D" w14:textId="0746213B"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7D34A02" w14:textId="3DC99FE4"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FCB1C0C" w14:textId="7B07B096"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DFFD2BA" w14:textId="710E649F"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A43DF4A" w14:textId="6F77FB4D"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8DA2327" w14:textId="68F0B44D"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3836005" w14:textId="7541ED93"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20752EA" w14:textId="35CF783B"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E04D690" w14:textId="734448AC"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AA8404F" w14:textId="1DA4D523"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3B7E30E" w14:textId="02169817"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08E4716" w14:textId="37D563AD"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B23446" w14:paraId="2252A44E"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54C659CC" w14:textId="77777777" w:rsidR="00B23446" w:rsidRDefault="00B23446" w:rsidP="00B23446">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586FC6F1" w14:textId="77777777" w:rsidR="00B23446" w:rsidRDefault="00B23446" w:rsidP="00B23446">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532FF19A" w14:textId="5B163ADD" w:rsidR="00B23446" w:rsidRDefault="00B23446" w:rsidP="00B23446">
            <w:pPr>
              <w:jc w:val="right"/>
              <w:rPr>
                <w:color w:val="000000"/>
                <w:sz w:val="20"/>
                <w:szCs w:val="20"/>
              </w:rPr>
            </w:pPr>
            <w:r>
              <w:rPr>
                <w:color w:val="000000"/>
                <w:sz w:val="20"/>
                <w:szCs w:val="20"/>
              </w:rPr>
              <w:t>0.020</w:t>
            </w:r>
          </w:p>
        </w:tc>
        <w:tc>
          <w:tcPr>
            <w:tcW w:w="768" w:type="dxa"/>
            <w:tcBorders>
              <w:top w:val="single" w:sz="12" w:space="0" w:color="auto"/>
              <w:left w:val="nil"/>
              <w:bottom w:val="nil"/>
              <w:right w:val="nil"/>
            </w:tcBorders>
            <w:shd w:val="clear" w:color="auto" w:fill="auto"/>
            <w:noWrap/>
            <w:vAlign w:val="bottom"/>
            <w:hideMark/>
          </w:tcPr>
          <w:p w14:paraId="715489EB" w14:textId="0183D7AC" w:rsidR="00B23446" w:rsidRDefault="00B23446" w:rsidP="00B23446">
            <w:pPr>
              <w:jc w:val="right"/>
              <w:rPr>
                <w:color w:val="000000"/>
                <w:sz w:val="20"/>
                <w:szCs w:val="20"/>
              </w:rPr>
            </w:pPr>
            <w:r>
              <w:rPr>
                <w:color w:val="000000"/>
                <w:sz w:val="20"/>
                <w:szCs w:val="20"/>
              </w:rPr>
              <w:t>0.763</w:t>
            </w:r>
          </w:p>
        </w:tc>
        <w:tc>
          <w:tcPr>
            <w:tcW w:w="768" w:type="dxa"/>
            <w:tcBorders>
              <w:top w:val="single" w:sz="12" w:space="0" w:color="auto"/>
              <w:left w:val="nil"/>
              <w:bottom w:val="nil"/>
              <w:right w:val="nil"/>
            </w:tcBorders>
            <w:shd w:val="clear" w:color="auto" w:fill="auto"/>
            <w:noWrap/>
            <w:vAlign w:val="bottom"/>
            <w:hideMark/>
          </w:tcPr>
          <w:p w14:paraId="533BE891" w14:textId="1B60CA10"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C55E79B" w14:textId="59C35C86" w:rsidR="00B23446" w:rsidRDefault="00B23446" w:rsidP="00B23446">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46A2F27C" w14:textId="35D3CE4C" w:rsidR="00B23446" w:rsidRDefault="00B23446" w:rsidP="00B23446">
            <w:pPr>
              <w:jc w:val="right"/>
              <w:rPr>
                <w:color w:val="000000"/>
                <w:sz w:val="20"/>
                <w:szCs w:val="20"/>
              </w:rPr>
            </w:pPr>
            <w:r>
              <w:rPr>
                <w:color w:val="000000"/>
                <w:sz w:val="20"/>
                <w:szCs w:val="20"/>
              </w:rPr>
              <w:t>0.899</w:t>
            </w:r>
          </w:p>
        </w:tc>
        <w:tc>
          <w:tcPr>
            <w:tcW w:w="768" w:type="dxa"/>
            <w:tcBorders>
              <w:top w:val="single" w:sz="12" w:space="0" w:color="auto"/>
              <w:left w:val="nil"/>
              <w:bottom w:val="nil"/>
              <w:right w:val="nil"/>
            </w:tcBorders>
            <w:shd w:val="clear" w:color="auto" w:fill="auto"/>
            <w:noWrap/>
            <w:vAlign w:val="bottom"/>
            <w:hideMark/>
          </w:tcPr>
          <w:p w14:paraId="743D5C54" w14:textId="5C916029"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10C082F" w14:textId="667C904F" w:rsidR="00B23446" w:rsidRDefault="00B23446" w:rsidP="00B23446">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75A2F512" w14:textId="7F221417" w:rsidR="00B23446" w:rsidRDefault="00B23446" w:rsidP="00B23446">
            <w:pPr>
              <w:jc w:val="right"/>
              <w:rPr>
                <w:color w:val="000000"/>
                <w:sz w:val="20"/>
                <w:szCs w:val="20"/>
              </w:rPr>
            </w:pPr>
            <w:r>
              <w:rPr>
                <w:color w:val="000000"/>
                <w:sz w:val="20"/>
                <w:szCs w:val="20"/>
              </w:rPr>
              <w:t>0.990</w:t>
            </w:r>
          </w:p>
        </w:tc>
        <w:tc>
          <w:tcPr>
            <w:tcW w:w="768" w:type="dxa"/>
            <w:tcBorders>
              <w:top w:val="single" w:sz="12" w:space="0" w:color="auto"/>
              <w:left w:val="nil"/>
              <w:bottom w:val="nil"/>
              <w:right w:val="nil"/>
            </w:tcBorders>
            <w:shd w:val="clear" w:color="auto" w:fill="auto"/>
            <w:noWrap/>
            <w:vAlign w:val="bottom"/>
            <w:hideMark/>
          </w:tcPr>
          <w:p w14:paraId="07A0B971" w14:textId="45B5F2E8"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BF6C7F1" w14:textId="291D8D08" w:rsidR="00B23446" w:rsidRDefault="00B23446" w:rsidP="00B23446">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0561429E" w14:textId="4F9DD5F9" w:rsidR="00B23446" w:rsidRDefault="00B23446" w:rsidP="00B23446">
            <w:pPr>
              <w:jc w:val="right"/>
              <w:rPr>
                <w:color w:val="000000"/>
                <w:sz w:val="20"/>
                <w:szCs w:val="20"/>
              </w:rPr>
            </w:pPr>
            <w:r>
              <w:rPr>
                <w:color w:val="000000"/>
                <w:sz w:val="20"/>
                <w:szCs w:val="20"/>
              </w:rPr>
              <w:t>0.856</w:t>
            </w:r>
          </w:p>
        </w:tc>
        <w:tc>
          <w:tcPr>
            <w:tcW w:w="768" w:type="dxa"/>
            <w:tcBorders>
              <w:top w:val="single" w:sz="12" w:space="0" w:color="auto"/>
              <w:left w:val="nil"/>
              <w:bottom w:val="nil"/>
              <w:right w:val="nil"/>
            </w:tcBorders>
            <w:shd w:val="clear" w:color="auto" w:fill="auto"/>
            <w:noWrap/>
            <w:vAlign w:val="bottom"/>
            <w:hideMark/>
          </w:tcPr>
          <w:p w14:paraId="7F45679C" w14:textId="65C8911A"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4A4BF10" w14:textId="1D804AFB" w:rsidR="00B23446" w:rsidRDefault="00B23446" w:rsidP="00B23446">
            <w:pPr>
              <w:jc w:val="right"/>
              <w:rPr>
                <w:color w:val="000000"/>
                <w:sz w:val="20"/>
                <w:szCs w:val="20"/>
              </w:rPr>
            </w:pPr>
            <w:r>
              <w:rPr>
                <w:color w:val="000000"/>
                <w:sz w:val="20"/>
                <w:szCs w:val="20"/>
              </w:rPr>
              <w:t>0.017</w:t>
            </w:r>
          </w:p>
        </w:tc>
        <w:tc>
          <w:tcPr>
            <w:tcW w:w="768" w:type="dxa"/>
            <w:tcBorders>
              <w:top w:val="single" w:sz="12" w:space="0" w:color="auto"/>
              <w:left w:val="nil"/>
              <w:bottom w:val="nil"/>
              <w:right w:val="nil"/>
            </w:tcBorders>
            <w:shd w:val="clear" w:color="auto" w:fill="auto"/>
            <w:noWrap/>
            <w:vAlign w:val="bottom"/>
            <w:hideMark/>
          </w:tcPr>
          <w:p w14:paraId="5F429829" w14:textId="0D3E7153" w:rsidR="00B23446" w:rsidRDefault="00B23446" w:rsidP="00B23446">
            <w:pPr>
              <w:jc w:val="right"/>
              <w:rPr>
                <w:color w:val="000000"/>
                <w:sz w:val="20"/>
                <w:szCs w:val="20"/>
              </w:rPr>
            </w:pPr>
            <w:r>
              <w:rPr>
                <w:color w:val="000000"/>
                <w:sz w:val="20"/>
                <w:szCs w:val="20"/>
              </w:rPr>
              <w:t>0.745</w:t>
            </w:r>
          </w:p>
        </w:tc>
        <w:tc>
          <w:tcPr>
            <w:tcW w:w="768" w:type="dxa"/>
            <w:tcBorders>
              <w:top w:val="single" w:sz="12" w:space="0" w:color="auto"/>
              <w:left w:val="nil"/>
              <w:bottom w:val="nil"/>
              <w:right w:val="nil"/>
            </w:tcBorders>
            <w:shd w:val="clear" w:color="auto" w:fill="auto"/>
            <w:noWrap/>
            <w:vAlign w:val="bottom"/>
            <w:hideMark/>
          </w:tcPr>
          <w:p w14:paraId="18D44473" w14:textId="7E8A4F89" w:rsidR="00B23446" w:rsidRDefault="00B23446" w:rsidP="00B23446">
            <w:pPr>
              <w:jc w:val="right"/>
              <w:rPr>
                <w:color w:val="000000"/>
                <w:sz w:val="20"/>
                <w:szCs w:val="20"/>
              </w:rPr>
            </w:pPr>
            <w:r>
              <w:rPr>
                <w:color w:val="000000"/>
                <w:sz w:val="20"/>
                <w:szCs w:val="20"/>
              </w:rPr>
              <w:t>0.000</w:t>
            </w:r>
          </w:p>
        </w:tc>
      </w:tr>
      <w:tr w:rsidR="00B23446" w14:paraId="61A2F279" w14:textId="77777777" w:rsidTr="006909E3">
        <w:trPr>
          <w:trHeight w:val="340"/>
        </w:trPr>
        <w:tc>
          <w:tcPr>
            <w:tcW w:w="1176" w:type="dxa"/>
            <w:tcBorders>
              <w:top w:val="nil"/>
              <w:left w:val="nil"/>
              <w:bottom w:val="nil"/>
              <w:right w:val="nil"/>
            </w:tcBorders>
            <w:shd w:val="clear" w:color="auto" w:fill="auto"/>
            <w:noWrap/>
            <w:vAlign w:val="bottom"/>
            <w:hideMark/>
          </w:tcPr>
          <w:p w14:paraId="57760479"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5968260"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A1496B5" w14:textId="55921404" w:rsidR="00B23446" w:rsidRDefault="00B23446" w:rsidP="00B23446">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2E684EE" w14:textId="65EF4279" w:rsidR="00B23446" w:rsidRDefault="00B23446" w:rsidP="00B23446">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40867CDF" w14:textId="7A8DF5E8"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714BC2" w14:textId="62CE6FE7"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4F7415A9" w14:textId="548A611B" w:rsidR="00B23446" w:rsidRDefault="00B23446" w:rsidP="00B23446">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336FD97A" w14:textId="5A61F94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F6E912" w14:textId="1F0953F6" w:rsidR="00B23446" w:rsidRDefault="00B23446" w:rsidP="00B23446">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6F5849E1" w14:textId="05ABE532" w:rsidR="00B23446" w:rsidRDefault="00B23446" w:rsidP="00B23446">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29171D9F" w14:textId="280DFC26"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6D8315A" w14:textId="7826CDAB" w:rsidR="00B23446" w:rsidRDefault="00B23446" w:rsidP="00B23446">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5EEA4CAB" w14:textId="1F69FCAA" w:rsidR="00B23446" w:rsidRDefault="00B23446" w:rsidP="00B23446">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5D8C2971" w14:textId="12FB80E8"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51EAE6A" w14:textId="1E9BE189" w:rsidR="00B23446" w:rsidRDefault="00B23446" w:rsidP="00B23446">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515F498" w14:textId="63A760D2" w:rsidR="00B23446" w:rsidRDefault="00B23446" w:rsidP="00B23446">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16554E21" w14:textId="0225A52F" w:rsidR="00B23446" w:rsidRDefault="00B23446" w:rsidP="00B23446">
            <w:pPr>
              <w:jc w:val="right"/>
              <w:rPr>
                <w:color w:val="000000"/>
                <w:sz w:val="20"/>
                <w:szCs w:val="20"/>
              </w:rPr>
            </w:pPr>
            <w:r>
              <w:rPr>
                <w:color w:val="000000"/>
                <w:sz w:val="20"/>
                <w:szCs w:val="20"/>
              </w:rPr>
              <w:t>0.002</w:t>
            </w:r>
          </w:p>
        </w:tc>
      </w:tr>
      <w:tr w:rsidR="00B23446" w14:paraId="44431F1C" w14:textId="77777777" w:rsidTr="006909E3">
        <w:trPr>
          <w:trHeight w:val="320"/>
        </w:trPr>
        <w:tc>
          <w:tcPr>
            <w:tcW w:w="1176" w:type="dxa"/>
            <w:tcBorders>
              <w:top w:val="nil"/>
              <w:left w:val="nil"/>
              <w:bottom w:val="nil"/>
              <w:right w:val="nil"/>
            </w:tcBorders>
            <w:shd w:val="clear" w:color="auto" w:fill="auto"/>
            <w:noWrap/>
            <w:vAlign w:val="bottom"/>
            <w:hideMark/>
          </w:tcPr>
          <w:p w14:paraId="433CE56C"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23A356E"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E208497" w14:textId="76FB0DB6" w:rsidR="00B23446" w:rsidRDefault="00B23446" w:rsidP="00B23446">
            <w:pPr>
              <w:jc w:val="right"/>
              <w:rPr>
                <w:color w:val="000000"/>
                <w:sz w:val="20"/>
                <w:szCs w:val="20"/>
              </w:rPr>
            </w:pPr>
            <w:r>
              <w:rPr>
                <w:color w:val="000000"/>
                <w:sz w:val="20"/>
                <w:szCs w:val="20"/>
              </w:rPr>
              <w:t>0.098</w:t>
            </w:r>
          </w:p>
        </w:tc>
        <w:tc>
          <w:tcPr>
            <w:tcW w:w="768" w:type="dxa"/>
            <w:tcBorders>
              <w:top w:val="nil"/>
              <w:left w:val="nil"/>
              <w:bottom w:val="nil"/>
              <w:right w:val="nil"/>
            </w:tcBorders>
            <w:shd w:val="clear" w:color="auto" w:fill="auto"/>
            <w:noWrap/>
            <w:vAlign w:val="bottom"/>
            <w:hideMark/>
          </w:tcPr>
          <w:p w14:paraId="208B8793" w14:textId="66F4DFA4" w:rsidR="00B23446" w:rsidRDefault="00B23446" w:rsidP="00B23446">
            <w:pPr>
              <w:jc w:val="right"/>
              <w:rPr>
                <w:color w:val="000000"/>
                <w:sz w:val="20"/>
                <w:szCs w:val="20"/>
              </w:rPr>
            </w:pPr>
            <w:r>
              <w:rPr>
                <w:color w:val="000000"/>
                <w:sz w:val="20"/>
                <w:szCs w:val="20"/>
              </w:rPr>
              <w:t>0.507</w:t>
            </w:r>
          </w:p>
        </w:tc>
        <w:tc>
          <w:tcPr>
            <w:tcW w:w="768" w:type="dxa"/>
            <w:tcBorders>
              <w:top w:val="nil"/>
              <w:left w:val="nil"/>
              <w:bottom w:val="nil"/>
              <w:right w:val="nil"/>
            </w:tcBorders>
            <w:shd w:val="clear" w:color="auto" w:fill="auto"/>
            <w:noWrap/>
            <w:vAlign w:val="bottom"/>
            <w:hideMark/>
          </w:tcPr>
          <w:p w14:paraId="23DCC967" w14:textId="09A37E30"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8273454" w14:textId="2D777B3E"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30F7865" w14:textId="643440F8" w:rsidR="00B23446" w:rsidRDefault="00B23446" w:rsidP="00B23446">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438A9A86" w14:textId="6E6F1BC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56ECBC" w14:textId="5CD0B823"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C4AAE9" w14:textId="6130DB6B" w:rsidR="00B23446" w:rsidRDefault="00B23446" w:rsidP="00B23446">
            <w:pPr>
              <w:jc w:val="right"/>
              <w:rPr>
                <w:color w:val="000000"/>
                <w:sz w:val="20"/>
                <w:szCs w:val="20"/>
              </w:rPr>
            </w:pPr>
            <w:r>
              <w:rPr>
                <w:color w:val="000000"/>
                <w:sz w:val="20"/>
                <w:szCs w:val="20"/>
              </w:rPr>
              <w:t>0.990</w:t>
            </w:r>
          </w:p>
        </w:tc>
        <w:tc>
          <w:tcPr>
            <w:tcW w:w="768" w:type="dxa"/>
            <w:tcBorders>
              <w:top w:val="nil"/>
              <w:left w:val="nil"/>
              <w:bottom w:val="nil"/>
              <w:right w:val="nil"/>
            </w:tcBorders>
            <w:shd w:val="clear" w:color="auto" w:fill="auto"/>
            <w:noWrap/>
            <w:vAlign w:val="bottom"/>
            <w:hideMark/>
          </w:tcPr>
          <w:p w14:paraId="3FDD727A" w14:textId="07146413"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7D9740" w14:textId="7648E774" w:rsidR="00B23446" w:rsidRDefault="00B23446" w:rsidP="00B23446">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46203F6D" w14:textId="7F1101D3" w:rsidR="00B23446" w:rsidRDefault="00B23446" w:rsidP="00B23446">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5E2E15E2" w14:textId="28449108"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90A5E69" w14:textId="6FD7D29A" w:rsidR="00B23446" w:rsidRDefault="00B23446" w:rsidP="00B23446">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0DD4BDC9" w14:textId="233CB0AA" w:rsidR="00B23446" w:rsidRDefault="00B23446" w:rsidP="00B23446">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3581811E" w14:textId="6E4ED4E7" w:rsidR="00B23446" w:rsidRDefault="00B23446" w:rsidP="00B23446">
            <w:pPr>
              <w:jc w:val="right"/>
              <w:rPr>
                <w:color w:val="000000"/>
                <w:sz w:val="20"/>
                <w:szCs w:val="20"/>
              </w:rPr>
            </w:pPr>
            <w:r>
              <w:rPr>
                <w:color w:val="000000"/>
                <w:sz w:val="20"/>
                <w:szCs w:val="20"/>
              </w:rPr>
              <w:t>0.008</w:t>
            </w:r>
          </w:p>
        </w:tc>
      </w:tr>
      <w:tr w:rsidR="00B23446" w14:paraId="4A8F9E42" w14:textId="77777777" w:rsidTr="006909E3">
        <w:trPr>
          <w:trHeight w:val="320"/>
        </w:trPr>
        <w:tc>
          <w:tcPr>
            <w:tcW w:w="1176" w:type="dxa"/>
            <w:tcBorders>
              <w:top w:val="nil"/>
              <w:left w:val="nil"/>
              <w:bottom w:val="nil"/>
              <w:right w:val="nil"/>
            </w:tcBorders>
            <w:shd w:val="clear" w:color="auto" w:fill="auto"/>
            <w:noWrap/>
            <w:vAlign w:val="bottom"/>
            <w:hideMark/>
          </w:tcPr>
          <w:p w14:paraId="5E0D4C63"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F385C4A"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039530E" w14:textId="040CD589" w:rsidR="00B23446" w:rsidRDefault="00B23446" w:rsidP="00B23446">
            <w:pPr>
              <w:jc w:val="right"/>
              <w:rPr>
                <w:color w:val="000000"/>
                <w:sz w:val="20"/>
                <w:szCs w:val="20"/>
              </w:rPr>
            </w:pPr>
            <w:r>
              <w:rPr>
                <w:color w:val="000000"/>
                <w:sz w:val="20"/>
                <w:szCs w:val="20"/>
              </w:rPr>
              <w:t>-0.150</w:t>
            </w:r>
          </w:p>
        </w:tc>
        <w:tc>
          <w:tcPr>
            <w:tcW w:w="768" w:type="dxa"/>
            <w:tcBorders>
              <w:top w:val="nil"/>
              <w:left w:val="nil"/>
              <w:bottom w:val="nil"/>
              <w:right w:val="nil"/>
            </w:tcBorders>
            <w:shd w:val="clear" w:color="auto" w:fill="auto"/>
            <w:noWrap/>
            <w:vAlign w:val="bottom"/>
            <w:hideMark/>
          </w:tcPr>
          <w:p w14:paraId="6234278F" w14:textId="797AF4D2" w:rsidR="00B23446" w:rsidRDefault="00B23446" w:rsidP="00B23446">
            <w:pPr>
              <w:jc w:val="right"/>
              <w:rPr>
                <w:color w:val="000000"/>
                <w:sz w:val="20"/>
                <w:szCs w:val="20"/>
              </w:rPr>
            </w:pPr>
            <w:r>
              <w:rPr>
                <w:color w:val="000000"/>
                <w:sz w:val="20"/>
                <w:szCs w:val="20"/>
              </w:rPr>
              <w:t>0.292</w:t>
            </w:r>
          </w:p>
        </w:tc>
        <w:tc>
          <w:tcPr>
            <w:tcW w:w="768" w:type="dxa"/>
            <w:tcBorders>
              <w:top w:val="nil"/>
              <w:left w:val="nil"/>
              <w:bottom w:val="nil"/>
              <w:right w:val="nil"/>
            </w:tcBorders>
            <w:shd w:val="clear" w:color="auto" w:fill="auto"/>
            <w:noWrap/>
            <w:vAlign w:val="bottom"/>
            <w:hideMark/>
          </w:tcPr>
          <w:p w14:paraId="05DE9350" w14:textId="458BB920" w:rsidR="00B23446" w:rsidRDefault="00B23446" w:rsidP="00B2344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6C608ED" w14:textId="5AD87BAC" w:rsidR="00B23446" w:rsidRDefault="00B23446" w:rsidP="00B23446">
            <w:pPr>
              <w:jc w:val="right"/>
              <w:rPr>
                <w:color w:val="000000"/>
                <w:sz w:val="20"/>
                <w:szCs w:val="20"/>
              </w:rPr>
            </w:pPr>
            <w:r>
              <w:rPr>
                <w:color w:val="000000"/>
                <w:sz w:val="20"/>
                <w:szCs w:val="20"/>
              </w:rPr>
              <w:t>0.139</w:t>
            </w:r>
          </w:p>
        </w:tc>
        <w:tc>
          <w:tcPr>
            <w:tcW w:w="768" w:type="dxa"/>
            <w:tcBorders>
              <w:top w:val="nil"/>
              <w:left w:val="nil"/>
              <w:bottom w:val="nil"/>
              <w:right w:val="nil"/>
            </w:tcBorders>
            <w:shd w:val="clear" w:color="auto" w:fill="auto"/>
            <w:noWrap/>
            <w:vAlign w:val="bottom"/>
            <w:hideMark/>
          </w:tcPr>
          <w:p w14:paraId="36515406" w14:textId="23BF45C0" w:rsidR="00B23446" w:rsidRDefault="00B23446" w:rsidP="00B23446">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6911418B" w14:textId="6853AA07" w:rsidR="00B23446" w:rsidRDefault="00B23446" w:rsidP="00B23446">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60C69C1" w14:textId="04C07ACB" w:rsidR="00B23446" w:rsidRDefault="00B23446" w:rsidP="00B23446">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3541FF69" w14:textId="3B51EBF7" w:rsidR="00B23446" w:rsidRDefault="00B23446" w:rsidP="00B23446">
            <w:pPr>
              <w:jc w:val="right"/>
              <w:rPr>
                <w:color w:val="000000"/>
                <w:sz w:val="20"/>
                <w:szCs w:val="20"/>
              </w:rPr>
            </w:pPr>
            <w:r>
              <w:rPr>
                <w:color w:val="000000"/>
                <w:sz w:val="20"/>
                <w:szCs w:val="20"/>
              </w:rPr>
              <w:t>0.990</w:t>
            </w:r>
          </w:p>
        </w:tc>
        <w:tc>
          <w:tcPr>
            <w:tcW w:w="768" w:type="dxa"/>
            <w:tcBorders>
              <w:top w:val="nil"/>
              <w:left w:val="nil"/>
              <w:bottom w:val="nil"/>
              <w:right w:val="nil"/>
            </w:tcBorders>
            <w:shd w:val="clear" w:color="auto" w:fill="auto"/>
            <w:noWrap/>
            <w:vAlign w:val="bottom"/>
            <w:hideMark/>
          </w:tcPr>
          <w:p w14:paraId="3FF02102" w14:textId="46A7B5A8"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A2F169A" w14:textId="74E268A4" w:rsidR="00B23446" w:rsidRDefault="00B23446" w:rsidP="00B23446">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7B82F9B8" w14:textId="115F8BB3" w:rsidR="00B23446" w:rsidRDefault="00B23446" w:rsidP="00B23446">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6AB2F7B6" w14:textId="37C3E5E4"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ED5E24C" w14:textId="3931589D" w:rsidR="00B23446" w:rsidRDefault="00B23446" w:rsidP="00B23446">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1E576E01" w14:textId="5A58A6AF" w:rsidR="00B23446" w:rsidRDefault="00B23446" w:rsidP="00B23446">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1B23E186" w14:textId="050EC5BB" w:rsidR="00B23446" w:rsidRDefault="00B23446" w:rsidP="00B23446">
            <w:pPr>
              <w:jc w:val="right"/>
              <w:rPr>
                <w:color w:val="000000"/>
                <w:sz w:val="20"/>
                <w:szCs w:val="20"/>
              </w:rPr>
            </w:pPr>
            <w:r>
              <w:rPr>
                <w:color w:val="000000"/>
                <w:sz w:val="20"/>
                <w:szCs w:val="20"/>
              </w:rPr>
              <w:t>0.005</w:t>
            </w:r>
          </w:p>
        </w:tc>
      </w:tr>
      <w:tr w:rsidR="00B23446" w14:paraId="48351C94" w14:textId="77777777" w:rsidTr="006909E3">
        <w:trPr>
          <w:trHeight w:val="320"/>
        </w:trPr>
        <w:tc>
          <w:tcPr>
            <w:tcW w:w="1176" w:type="dxa"/>
            <w:tcBorders>
              <w:top w:val="nil"/>
              <w:left w:val="nil"/>
              <w:bottom w:val="nil"/>
              <w:right w:val="nil"/>
            </w:tcBorders>
            <w:shd w:val="clear" w:color="auto" w:fill="auto"/>
            <w:noWrap/>
            <w:vAlign w:val="bottom"/>
            <w:hideMark/>
          </w:tcPr>
          <w:p w14:paraId="02B715E2"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CF32A7"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BD7094F" w14:textId="5ECC36CC" w:rsidR="00B23446" w:rsidRDefault="00B23446" w:rsidP="00B2344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38D07F8" w14:textId="6C96CCB3" w:rsidR="00B23446" w:rsidRDefault="00B23446" w:rsidP="00B23446">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3477A0FE" w14:textId="2A85D757"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C67F953" w14:textId="657B7EEE" w:rsidR="00B23446" w:rsidRDefault="00B23446" w:rsidP="00B23446">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6BD4E92C" w14:textId="0FF807D9" w:rsidR="00B23446" w:rsidRDefault="00B23446" w:rsidP="00B23446">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62023F48" w14:textId="12792B75"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B42A891" w14:textId="7F61035E" w:rsidR="00B23446" w:rsidRDefault="00B23446" w:rsidP="00B2344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17497C60" w14:textId="55B208CF" w:rsidR="00B23446" w:rsidRDefault="00B23446" w:rsidP="00B23446">
            <w:pPr>
              <w:jc w:val="right"/>
              <w:rPr>
                <w:color w:val="000000"/>
                <w:sz w:val="20"/>
                <w:szCs w:val="20"/>
              </w:rPr>
            </w:pPr>
            <w:r>
              <w:rPr>
                <w:color w:val="000000"/>
                <w:sz w:val="20"/>
                <w:szCs w:val="20"/>
              </w:rPr>
              <w:t>0.990</w:t>
            </w:r>
          </w:p>
        </w:tc>
        <w:tc>
          <w:tcPr>
            <w:tcW w:w="768" w:type="dxa"/>
            <w:tcBorders>
              <w:top w:val="nil"/>
              <w:left w:val="nil"/>
              <w:bottom w:val="nil"/>
              <w:right w:val="nil"/>
            </w:tcBorders>
            <w:shd w:val="clear" w:color="auto" w:fill="auto"/>
            <w:noWrap/>
            <w:vAlign w:val="bottom"/>
            <w:hideMark/>
          </w:tcPr>
          <w:p w14:paraId="79351D1A" w14:textId="2D1F03F0"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5AA716D" w14:textId="468072D5" w:rsidR="00B23446" w:rsidRDefault="00B23446" w:rsidP="00B23446">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76CE0330" w14:textId="5CE225C8" w:rsidR="00B23446" w:rsidRDefault="00B23446" w:rsidP="00B23446">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585D492A" w14:textId="5477BCC3"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DCCAC7F" w14:textId="35DE3462"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00024E9F" w14:textId="2A448848" w:rsidR="00B23446" w:rsidRDefault="00B23446" w:rsidP="00B23446">
            <w:pPr>
              <w:jc w:val="right"/>
              <w:rPr>
                <w:color w:val="000000"/>
                <w:sz w:val="20"/>
                <w:szCs w:val="20"/>
              </w:rPr>
            </w:pPr>
            <w:r>
              <w:rPr>
                <w:color w:val="000000"/>
                <w:sz w:val="20"/>
                <w:szCs w:val="20"/>
              </w:rPr>
              <w:t>0.789</w:t>
            </w:r>
          </w:p>
        </w:tc>
        <w:tc>
          <w:tcPr>
            <w:tcW w:w="768" w:type="dxa"/>
            <w:tcBorders>
              <w:top w:val="nil"/>
              <w:left w:val="nil"/>
              <w:bottom w:val="nil"/>
              <w:right w:val="nil"/>
            </w:tcBorders>
            <w:shd w:val="clear" w:color="auto" w:fill="auto"/>
            <w:noWrap/>
            <w:vAlign w:val="bottom"/>
            <w:hideMark/>
          </w:tcPr>
          <w:p w14:paraId="738ECC00" w14:textId="333DDDD0" w:rsidR="00B23446" w:rsidRDefault="00B23446" w:rsidP="00B23446">
            <w:pPr>
              <w:jc w:val="right"/>
              <w:rPr>
                <w:color w:val="000000"/>
                <w:sz w:val="20"/>
                <w:szCs w:val="20"/>
              </w:rPr>
            </w:pPr>
            <w:r>
              <w:rPr>
                <w:color w:val="000000"/>
                <w:sz w:val="20"/>
                <w:szCs w:val="20"/>
              </w:rPr>
              <w:t>0.000</w:t>
            </w:r>
          </w:p>
        </w:tc>
      </w:tr>
      <w:tr w:rsidR="00B23446" w14:paraId="05FBEA15" w14:textId="77777777" w:rsidTr="006909E3">
        <w:trPr>
          <w:trHeight w:val="320"/>
        </w:trPr>
        <w:tc>
          <w:tcPr>
            <w:tcW w:w="1176" w:type="dxa"/>
            <w:tcBorders>
              <w:top w:val="nil"/>
              <w:left w:val="nil"/>
              <w:bottom w:val="nil"/>
              <w:right w:val="nil"/>
            </w:tcBorders>
            <w:shd w:val="clear" w:color="auto" w:fill="auto"/>
            <w:noWrap/>
            <w:vAlign w:val="bottom"/>
            <w:hideMark/>
          </w:tcPr>
          <w:p w14:paraId="389635DA"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9CCF19"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BC1E94C" w14:textId="4BBC2C4D" w:rsidR="00B23446" w:rsidRDefault="00B23446" w:rsidP="00B23446">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791FBBC8" w14:textId="46AFDA5C" w:rsidR="00B23446" w:rsidRDefault="00B23446" w:rsidP="00B23446">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5173EA2E" w14:textId="602E51B4"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6EBD0BB" w14:textId="080C9D78"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FB396F5" w14:textId="49D6C700" w:rsidR="00B23446" w:rsidRDefault="00B23446" w:rsidP="00B23446">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27B32CF7" w14:textId="5CBD453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D0D23B" w14:textId="0CDF725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91DD463" w14:textId="55EC9C45" w:rsidR="00B23446" w:rsidRDefault="00B23446" w:rsidP="00B23446">
            <w:pPr>
              <w:jc w:val="right"/>
              <w:rPr>
                <w:color w:val="000000"/>
                <w:sz w:val="20"/>
                <w:szCs w:val="20"/>
              </w:rPr>
            </w:pPr>
            <w:r>
              <w:rPr>
                <w:color w:val="000000"/>
                <w:sz w:val="20"/>
                <w:szCs w:val="20"/>
              </w:rPr>
              <w:t>0.990</w:t>
            </w:r>
          </w:p>
        </w:tc>
        <w:tc>
          <w:tcPr>
            <w:tcW w:w="768" w:type="dxa"/>
            <w:tcBorders>
              <w:top w:val="nil"/>
              <w:left w:val="nil"/>
              <w:bottom w:val="nil"/>
              <w:right w:val="nil"/>
            </w:tcBorders>
            <w:shd w:val="clear" w:color="auto" w:fill="auto"/>
            <w:noWrap/>
            <w:vAlign w:val="bottom"/>
            <w:hideMark/>
          </w:tcPr>
          <w:p w14:paraId="7869A138" w14:textId="7054E36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5AD796" w14:textId="0E5D7BCE"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30D3AE2" w14:textId="016E9002" w:rsidR="00B23446" w:rsidRDefault="00B23446" w:rsidP="00B23446">
            <w:pPr>
              <w:jc w:val="right"/>
              <w:rPr>
                <w:color w:val="000000"/>
                <w:sz w:val="20"/>
                <w:szCs w:val="20"/>
              </w:rPr>
            </w:pPr>
            <w:r>
              <w:rPr>
                <w:color w:val="000000"/>
                <w:sz w:val="20"/>
                <w:szCs w:val="20"/>
              </w:rPr>
              <w:t>0.856</w:t>
            </w:r>
          </w:p>
        </w:tc>
        <w:tc>
          <w:tcPr>
            <w:tcW w:w="768" w:type="dxa"/>
            <w:tcBorders>
              <w:top w:val="nil"/>
              <w:left w:val="nil"/>
              <w:bottom w:val="nil"/>
              <w:right w:val="nil"/>
            </w:tcBorders>
            <w:shd w:val="clear" w:color="auto" w:fill="auto"/>
            <w:noWrap/>
            <w:vAlign w:val="bottom"/>
            <w:hideMark/>
          </w:tcPr>
          <w:p w14:paraId="6D98BC14" w14:textId="0A3DAB7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742C27" w14:textId="3520C84E" w:rsidR="00B23446" w:rsidRDefault="00B23446" w:rsidP="00B23446">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5ECE8266" w14:textId="377D5570" w:rsidR="00B23446" w:rsidRDefault="00B23446" w:rsidP="00B23446">
            <w:pPr>
              <w:jc w:val="right"/>
              <w:rPr>
                <w:color w:val="000000"/>
                <w:sz w:val="20"/>
                <w:szCs w:val="20"/>
              </w:rPr>
            </w:pPr>
            <w:r>
              <w:rPr>
                <w:color w:val="000000"/>
                <w:sz w:val="20"/>
                <w:szCs w:val="20"/>
              </w:rPr>
              <w:t>0.592</w:t>
            </w:r>
          </w:p>
        </w:tc>
        <w:tc>
          <w:tcPr>
            <w:tcW w:w="768" w:type="dxa"/>
            <w:tcBorders>
              <w:top w:val="nil"/>
              <w:left w:val="nil"/>
              <w:bottom w:val="nil"/>
              <w:right w:val="nil"/>
            </w:tcBorders>
            <w:shd w:val="clear" w:color="auto" w:fill="auto"/>
            <w:noWrap/>
            <w:vAlign w:val="bottom"/>
            <w:hideMark/>
          </w:tcPr>
          <w:p w14:paraId="336D5FAB" w14:textId="5DBAF37E" w:rsidR="00B23446" w:rsidRDefault="00B23446" w:rsidP="00B23446">
            <w:pPr>
              <w:jc w:val="right"/>
              <w:rPr>
                <w:color w:val="000000"/>
                <w:sz w:val="20"/>
                <w:szCs w:val="20"/>
              </w:rPr>
            </w:pPr>
            <w:r>
              <w:rPr>
                <w:color w:val="000000"/>
                <w:sz w:val="20"/>
                <w:szCs w:val="20"/>
              </w:rPr>
              <w:t>0.004</w:t>
            </w:r>
          </w:p>
        </w:tc>
      </w:tr>
      <w:tr w:rsidR="00B23446" w14:paraId="5C4E018E" w14:textId="77777777" w:rsidTr="006909E3">
        <w:trPr>
          <w:trHeight w:val="320"/>
        </w:trPr>
        <w:tc>
          <w:tcPr>
            <w:tcW w:w="1176" w:type="dxa"/>
            <w:tcBorders>
              <w:top w:val="nil"/>
              <w:left w:val="nil"/>
              <w:bottom w:val="nil"/>
              <w:right w:val="nil"/>
            </w:tcBorders>
            <w:shd w:val="clear" w:color="auto" w:fill="auto"/>
            <w:noWrap/>
            <w:vAlign w:val="bottom"/>
            <w:hideMark/>
          </w:tcPr>
          <w:p w14:paraId="2C4FDBA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A98B94"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95C694F" w14:textId="16270C81"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940CC8D" w14:textId="6279FA66" w:rsidR="00B23446" w:rsidRDefault="00B23446" w:rsidP="00B23446">
            <w:pPr>
              <w:jc w:val="right"/>
              <w:rPr>
                <w:color w:val="000000"/>
                <w:sz w:val="20"/>
                <w:szCs w:val="20"/>
              </w:rPr>
            </w:pPr>
            <w:r>
              <w:rPr>
                <w:color w:val="000000"/>
                <w:sz w:val="20"/>
                <w:szCs w:val="20"/>
              </w:rPr>
              <w:t>0.783</w:t>
            </w:r>
          </w:p>
        </w:tc>
        <w:tc>
          <w:tcPr>
            <w:tcW w:w="768" w:type="dxa"/>
            <w:tcBorders>
              <w:top w:val="nil"/>
              <w:left w:val="nil"/>
              <w:bottom w:val="nil"/>
              <w:right w:val="nil"/>
            </w:tcBorders>
            <w:shd w:val="clear" w:color="auto" w:fill="auto"/>
            <w:noWrap/>
            <w:vAlign w:val="bottom"/>
            <w:hideMark/>
          </w:tcPr>
          <w:p w14:paraId="15F3F054" w14:textId="081837D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577558" w14:textId="0F810357"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83D9EF7" w14:textId="6CA6CA8F" w:rsidR="00B23446" w:rsidRDefault="00B23446" w:rsidP="00B23446">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0F083616" w14:textId="3910D02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0FA0FD" w14:textId="287E4B61" w:rsidR="00B23446" w:rsidRDefault="00B23446" w:rsidP="00B23446">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79FF02F" w14:textId="7EF83091" w:rsidR="00B23446" w:rsidRDefault="00B23446" w:rsidP="00B23446">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4DCE38F4" w14:textId="5C22DB22"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B6BC878" w14:textId="16A57788" w:rsidR="00B23446" w:rsidRDefault="00B23446" w:rsidP="00B2344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0F6B002" w14:textId="18E7C32A" w:rsidR="00B23446" w:rsidRDefault="00B23446" w:rsidP="00B23446">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42CB25DA" w14:textId="6A7B6A67"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677F00B" w14:textId="7A941882" w:rsidR="00B23446" w:rsidRDefault="00B23446" w:rsidP="00B2344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4240934A" w14:textId="44617253" w:rsidR="00B23446" w:rsidRDefault="00B23446" w:rsidP="00B23446">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425F47B0" w14:textId="65ADF461" w:rsidR="00B23446" w:rsidRDefault="00B23446" w:rsidP="00B23446">
            <w:pPr>
              <w:jc w:val="right"/>
              <w:rPr>
                <w:color w:val="000000"/>
                <w:sz w:val="20"/>
                <w:szCs w:val="20"/>
              </w:rPr>
            </w:pPr>
            <w:r>
              <w:rPr>
                <w:color w:val="000000"/>
                <w:sz w:val="20"/>
                <w:szCs w:val="20"/>
              </w:rPr>
              <w:t>0.002</w:t>
            </w:r>
          </w:p>
        </w:tc>
      </w:tr>
      <w:tr w:rsidR="00B23446" w14:paraId="33A66F7D" w14:textId="77777777" w:rsidTr="006909E3">
        <w:trPr>
          <w:trHeight w:val="320"/>
        </w:trPr>
        <w:tc>
          <w:tcPr>
            <w:tcW w:w="1176" w:type="dxa"/>
            <w:tcBorders>
              <w:top w:val="nil"/>
              <w:left w:val="nil"/>
              <w:bottom w:val="single" w:sz="4" w:space="0" w:color="auto"/>
              <w:right w:val="nil"/>
            </w:tcBorders>
            <w:shd w:val="clear" w:color="auto" w:fill="auto"/>
            <w:noWrap/>
            <w:vAlign w:val="bottom"/>
            <w:hideMark/>
          </w:tcPr>
          <w:p w14:paraId="379E7D87"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6426ED2"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DA252C4" w14:textId="58A5FFCD"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674E194B" w14:textId="5A67AD47" w:rsidR="00B23446" w:rsidRDefault="00B23446" w:rsidP="00B23446">
            <w:pPr>
              <w:jc w:val="right"/>
              <w:rPr>
                <w:color w:val="000000"/>
                <w:sz w:val="20"/>
                <w:szCs w:val="20"/>
              </w:rPr>
            </w:pPr>
            <w:r>
              <w:rPr>
                <w:color w:val="000000"/>
                <w:sz w:val="20"/>
                <w:szCs w:val="20"/>
              </w:rPr>
              <w:t>0.783</w:t>
            </w:r>
          </w:p>
        </w:tc>
        <w:tc>
          <w:tcPr>
            <w:tcW w:w="768" w:type="dxa"/>
            <w:tcBorders>
              <w:top w:val="nil"/>
              <w:left w:val="nil"/>
              <w:bottom w:val="single" w:sz="4" w:space="0" w:color="auto"/>
              <w:right w:val="nil"/>
            </w:tcBorders>
            <w:shd w:val="clear" w:color="auto" w:fill="auto"/>
            <w:noWrap/>
            <w:vAlign w:val="bottom"/>
            <w:hideMark/>
          </w:tcPr>
          <w:p w14:paraId="3A2D4842" w14:textId="081099E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639E909" w14:textId="2BCE577E" w:rsidR="00B23446" w:rsidRDefault="00B23446" w:rsidP="00B23446">
            <w:pPr>
              <w:jc w:val="right"/>
              <w:rPr>
                <w:color w:val="000000"/>
                <w:sz w:val="20"/>
                <w:szCs w:val="20"/>
              </w:rPr>
            </w:pPr>
            <w:r>
              <w:rPr>
                <w:color w:val="000000"/>
                <w:sz w:val="20"/>
                <w:szCs w:val="20"/>
              </w:rPr>
              <w:t>-0.073</w:t>
            </w:r>
          </w:p>
        </w:tc>
        <w:tc>
          <w:tcPr>
            <w:tcW w:w="768" w:type="dxa"/>
            <w:tcBorders>
              <w:top w:val="nil"/>
              <w:left w:val="nil"/>
              <w:bottom w:val="single" w:sz="4" w:space="0" w:color="auto"/>
              <w:right w:val="nil"/>
            </w:tcBorders>
            <w:shd w:val="clear" w:color="auto" w:fill="auto"/>
            <w:noWrap/>
            <w:vAlign w:val="bottom"/>
            <w:hideMark/>
          </w:tcPr>
          <w:p w14:paraId="26ADEF0A" w14:textId="4FCD1528" w:rsidR="00B23446" w:rsidRDefault="00B23446" w:rsidP="00B23446">
            <w:pPr>
              <w:jc w:val="right"/>
              <w:rPr>
                <w:color w:val="000000"/>
                <w:sz w:val="20"/>
                <w:szCs w:val="20"/>
              </w:rPr>
            </w:pPr>
            <w:r>
              <w:rPr>
                <w:color w:val="000000"/>
                <w:sz w:val="20"/>
                <w:szCs w:val="20"/>
              </w:rPr>
              <w:t>0.624</w:t>
            </w:r>
          </w:p>
        </w:tc>
        <w:tc>
          <w:tcPr>
            <w:tcW w:w="768" w:type="dxa"/>
            <w:tcBorders>
              <w:top w:val="nil"/>
              <w:left w:val="nil"/>
              <w:bottom w:val="single" w:sz="4" w:space="0" w:color="auto"/>
              <w:right w:val="nil"/>
            </w:tcBorders>
            <w:shd w:val="clear" w:color="auto" w:fill="auto"/>
            <w:noWrap/>
            <w:vAlign w:val="bottom"/>
            <w:hideMark/>
          </w:tcPr>
          <w:p w14:paraId="79B81457" w14:textId="76CF5719"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25F15946" w14:textId="2EDB934E"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36FA9C16" w14:textId="2A1F4041" w:rsidR="00B23446" w:rsidRDefault="00B23446" w:rsidP="00B23446">
            <w:pPr>
              <w:jc w:val="right"/>
              <w:rPr>
                <w:color w:val="000000"/>
                <w:sz w:val="20"/>
                <w:szCs w:val="20"/>
              </w:rPr>
            </w:pPr>
            <w:r>
              <w:rPr>
                <w:color w:val="000000"/>
                <w:sz w:val="20"/>
                <w:szCs w:val="20"/>
              </w:rPr>
              <w:t>0.990</w:t>
            </w:r>
          </w:p>
        </w:tc>
        <w:tc>
          <w:tcPr>
            <w:tcW w:w="768" w:type="dxa"/>
            <w:tcBorders>
              <w:top w:val="nil"/>
              <w:left w:val="nil"/>
              <w:bottom w:val="single" w:sz="4" w:space="0" w:color="auto"/>
              <w:right w:val="nil"/>
            </w:tcBorders>
            <w:shd w:val="clear" w:color="auto" w:fill="auto"/>
            <w:noWrap/>
            <w:vAlign w:val="bottom"/>
            <w:hideMark/>
          </w:tcPr>
          <w:p w14:paraId="4742C0AC" w14:textId="2FA6446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6E667AA" w14:textId="1807BF02" w:rsidR="00B23446" w:rsidRDefault="00B23446" w:rsidP="00B23446">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3023D527" w14:textId="73AEF604" w:rsidR="00B23446" w:rsidRDefault="00B23446" w:rsidP="00B23446">
            <w:pPr>
              <w:jc w:val="right"/>
              <w:rPr>
                <w:color w:val="000000"/>
                <w:sz w:val="20"/>
                <w:szCs w:val="20"/>
              </w:rPr>
            </w:pPr>
            <w:r>
              <w:rPr>
                <w:color w:val="000000"/>
                <w:sz w:val="20"/>
                <w:szCs w:val="20"/>
              </w:rPr>
              <w:t>0.847</w:t>
            </w:r>
          </w:p>
        </w:tc>
        <w:tc>
          <w:tcPr>
            <w:tcW w:w="768" w:type="dxa"/>
            <w:tcBorders>
              <w:top w:val="nil"/>
              <w:left w:val="nil"/>
              <w:bottom w:val="single" w:sz="4" w:space="0" w:color="auto"/>
              <w:right w:val="nil"/>
            </w:tcBorders>
            <w:shd w:val="clear" w:color="auto" w:fill="auto"/>
            <w:noWrap/>
            <w:vAlign w:val="bottom"/>
            <w:hideMark/>
          </w:tcPr>
          <w:p w14:paraId="69B4FE53" w14:textId="7DF7B7B5"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F8DA917" w14:textId="3CD0BF2B" w:rsidR="00B23446" w:rsidRDefault="00B23446" w:rsidP="00B23446">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589CC99F" w14:textId="29827531" w:rsidR="00B23446" w:rsidRDefault="00B23446" w:rsidP="00B23446">
            <w:pPr>
              <w:jc w:val="right"/>
              <w:rPr>
                <w:color w:val="000000"/>
                <w:sz w:val="20"/>
                <w:szCs w:val="20"/>
              </w:rPr>
            </w:pPr>
            <w:r>
              <w:rPr>
                <w:color w:val="000000"/>
                <w:sz w:val="20"/>
                <w:szCs w:val="20"/>
              </w:rPr>
              <w:t>0.637</w:t>
            </w:r>
          </w:p>
        </w:tc>
        <w:tc>
          <w:tcPr>
            <w:tcW w:w="768" w:type="dxa"/>
            <w:tcBorders>
              <w:top w:val="nil"/>
              <w:left w:val="nil"/>
              <w:bottom w:val="single" w:sz="4" w:space="0" w:color="auto"/>
              <w:right w:val="nil"/>
            </w:tcBorders>
            <w:shd w:val="clear" w:color="auto" w:fill="auto"/>
            <w:noWrap/>
            <w:vAlign w:val="bottom"/>
            <w:hideMark/>
          </w:tcPr>
          <w:p w14:paraId="11EFB2AE" w14:textId="206293DA" w:rsidR="00B23446" w:rsidRDefault="00B23446" w:rsidP="00B23446">
            <w:pPr>
              <w:jc w:val="right"/>
              <w:rPr>
                <w:color w:val="000000"/>
                <w:sz w:val="20"/>
                <w:szCs w:val="20"/>
              </w:rPr>
            </w:pPr>
            <w:r>
              <w:rPr>
                <w:color w:val="000000"/>
                <w:sz w:val="20"/>
                <w:szCs w:val="20"/>
              </w:rPr>
              <w:t>0.002</w:t>
            </w:r>
          </w:p>
        </w:tc>
      </w:tr>
      <w:tr w:rsidR="00B23446" w14:paraId="7C302D78" w14:textId="77777777" w:rsidTr="006909E3">
        <w:trPr>
          <w:trHeight w:val="320"/>
        </w:trPr>
        <w:tc>
          <w:tcPr>
            <w:tcW w:w="1176" w:type="dxa"/>
            <w:tcBorders>
              <w:top w:val="nil"/>
              <w:left w:val="nil"/>
              <w:bottom w:val="nil"/>
              <w:right w:val="nil"/>
            </w:tcBorders>
            <w:shd w:val="clear" w:color="auto" w:fill="auto"/>
            <w:noWrap/>
            <w:vAlign w:val="bottom"/>
            <w:hideMark/>
          </w:tcPr>
          <w:p w14:paraId="130FE3AE" w14:textId="77777777" w:rsidR="00B23446" w:rsidRDefault="00B23446" w:rsidP="00B23446">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639E58CF"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CC1EBCB" w14:textId="19BE2F6C" w:rsidR="00B23446" w:rsidRDefault="00B23446" w:rsidP="00B2344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67FA87B" w14:textId="71BBDBCF" w:rsidR="00B23446" w:rsidRDefault="00B23446" w:rsidP="00B23446">
            <w:pPr>
              <w:jc w:val="right"/>
              <w:rPr>
                <w:color w:val="000000"/>
                <w:sz w:val="20"/>
                <w:szCs w:val="20"/>
              </w:rPr>
            </w:pPr>
            <w:r>
              <w:rPr>
                <w:color w:val="000000"/>
                <w:sz w:val="20"/>
                <w:szCs w:val="20"/>
              </w:rPr>
              <w:t>0.767</w:t>
            </w:r>
          </w:p>
        </w:tc>
        <w:tc>
          <w:tcPr>
            <w:tcW w:w="768" w:type="dxa"/>
            <w:tcBorders>
              <w:top w:val="nil"/>
              <w:left w:val="nil"/>
              <w:bottom w:val="nil"/>
              <w:right w:val="nil"/>
            </w:tcBorders>
            <w:shd w:val="clear" w:color="auto" w:fill="auto"/>
            <w:noWrap/>
            <w:vAlign w:val="bottom"/>
            <w:hideMark/>
          </w:tcPr>
          <w:p w14:paraId="2A6F5971" w14:textId="6391C5E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C706F7" w14:textId="25AA3C4D"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A62ED13" w14:textId="13F48FAA" w:rsidR="00B23446" w:rsidRDefault="00B23446" w:rsidP="00B23446">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502DC659" w14:textId="0CC08965"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1F1303" w14:textId="74EB764D"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E2902ED" w14:textId="408C254E"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166217B7" w14:textId="56EAE97E"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34843F" w14:textId="32D9EB0E"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5C24AA4" w14:textId="4C875E3E" w:rsidR="00B23446" w:rsidRDefault="00B23446" w:rsidP="00B23446">
            <w:pPr>
              <w:jc w:val="right"/>
              <w:rPr>
                <w:color w:val="000000"/>
                <w:sz w:val="20"/>
                <w:szCs w:val="20"/>
              </w:rPr>
            </w:pPr>
            <w:r>
              <w:rPr>
                <w:color w:val="000000"/>
                <w:sz w:val="20"/>
                <w:szCs w:val="20"/>
              </w:rPr>
              <w:t>0.845</w:t>
            </w:r>
          </w:p>
        </w:tc>
        <w:tc>
          <w:tcPr>
            <w:tcW w:w="768" w:type="dxa"/>
            <w:tcBorders>
              <w:top w:val="nil"/>
              <w:left w:val="nil"/>
              <w:bottom w:val="nil"/>
              <w:right w:val="nil"/>
            </w:tcBorders>
            <w:shd w:val="clear" w:color="auto" w:fill="auto"/>
            <w:noWrap/>
            <w:vAlign w:val="bottom"/>
            <w:hideMark/>
          </w:tcPr>
          <w:p w14:paraId="59B642AE" w14:textId="657FD43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28E387" w14:textId="352E5DBB" w:rsidR="00B23446" w:rsidRDefault="00B23446" w:rsidP="00B2344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BAD9578" w14:textId="67561ACF" w:rsidR="00B23446" w:rsidRDefault="00B23446" w:rsidP="00B23446">
            <w:pPr>
              <w:jc w:val="right"/>
              <w:rPr>
                <w:color w:val="000000"/>
                <w:sz w:val="20"/>
                <w:szCs w:val="20"/>
              </w:rPr>
            </w:pPr>
            <w:r>
              <w:rPr>
                <w:color w:val="000000"/>
                <w:sz w:val="20"/>
                <w:szCs w:val="20"/>
              </w:rPr>
              <w:t>0.770</w:t>
            </w:r>
          </w:p>
        </w:tc>
        <w:tc>
          <w:tcPr>
            <w:tcW w:w="768" w:type="dxa"/>
            <w:tcBorders>
              <w:top w:val="nil"/>
              <w:left w:val="nil"/>
              <w:bottom w:val="nil"/>
              <w:right w:val="nil"/>
            </w:tcBorders>
            <w:shd w:val="clear" w:color="auto" w:fill="auto"/>
            <w:noWrap/>
            <w:vAlign w:val="bottom"/>
            <w:hideMark/>
          </w:tcPr>
          <w:p w14:paraId="4D4C1E38" w14:textId="1A5FD637" w:rsidR="00B23446" w:rsidRDefault="00B23446" w:rsidP="00B23446">
            <w:pPr>
              <w:jc w:val="right"/>
              <w:rPr>
                <w:color w:val="000000"/>
                <w:sz w:val="20"/>
                <w:szCs w:val="20"/>
              </w:rPr>
            </w:pPr>
            <w:r>
              <w:rPr>
                <w:color w:val="000000"/>
                <w:sz w:val="20"/>
                <w:szCs w:val="20"/>
              </w:rPr>
              <w:t>0.001</w:t>
            </w:r>
          </w:p>
        </w:tc>
      </w:tr>
      <w:tr w:rsidR="00B23446" w14:paraId="730FCA17" w14:textId="77777777" w:rsidTr="006909E3">
        <w:trPr>
          <w:trHeight w:val="320"/>
        </w:trPr>
        <w:tc>
          <w:tcPr>
            <w:tcW w:w="1176" w:type="dxa"/>
            <w:tcBorders>
              <w:top w:val="nil"/>
              <w:left w:val="nil"/>
              <w:bottom w:val="nil"/>
              <w:right w:val="nil"/>
            </w:tcBorders>
            <w:shd w:val="clear" w:color="auto" w:fill="auto"/>
            <w:noWrap/>
            <w:vAlign w:val="bottom"/>
            <w:hideMark/>
          </w:tcPr>
          <w:p w14:paraId="5F4D60B5"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683F35F"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F1C4166" w14:textId="31B0BFA7" w:rsidR="00B23446" w:rsidRDefault="00B23446" w:rsidP="00B23446">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7A05E79A" w14:textId="19EE5843" w:rsidR="00B23446" w:rsidRDefault="00B23446" w:rsidP="00B23446">
            <w:pPr>
              <w:jc w:val="right"/>
              <w:rPr>
                <w:color w:val="000000"/>
                <w:sz w:val="20"/>
                <w:szCs w:val="20"/>
              </w:rPr>
            </w:pPr>
            <w:r>
              <w:rPr>
                <w:color w:val="000000"/>
                <w:sz w:val="20"/>
                <w:szCs w:val="20"/>
              </w:rPr>
              <w:t>0.767</w:t>
            </w:r>
          </w:p>
        </w:tc>
        <w:tc>
          <w:tcPr>
            <w:tcW w:w="768" w:type="dxa"/>
            <w:tcBorders>
              <w:top w:val="nil"/>
              <w:left w:val="nil"/>
              <w:bottom w:val="nil"/>
              <w:right w:val="nil"/>
            </w:tcBorders>
            <w:shd w:val="clear" w:color="auto" w:fill="auto"/>
            <w:noWrap/>
            <w:vAlign w:val="bottom"/>
            <w:hideMark/>
          </w:tcPr>
          <w:p w14:paraId="4F930165" w14:textId="4F6F4F63"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A962AC" w14:textId="0F0E71F0"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E3B384C" w14:textId="0326A027" w:rsidR="00B23446" w:rsidRDefault="00B23446" w:rsidP="00B23446">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20EBB751" w14:textId="10115DF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E473FF" w14:textId="133689DD" w:rsidR="00B23446" w:rsidRDefault="00B23446" w:rsidP="00B23446">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1042C1C0" w14:textId="5AF6240A" w:rsidR="00B23446" w:rsidRDefault="00B23446" w:rsidP="00B23446">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6C0F9A7F" w14:textId="1460DE98"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DA6D95F" w14:textId="5FA56F26"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74EDE641" w14:textId="3E1634B8" w:rsidR="00B23446" w:rsidRDefault="00B23446" w:rsidP="00B23446">
            <w:pPr>
              <w:jc w:val="right"/>
              <w:rPr>
                <w:color w:val="000000"/>
                <w:sz w:val="20"/>
                <w:szCs w:val="20"/>
              </w:rPr>
            </w:pPr>
            <w:r>
              <w:rPr>
                <w:color w:val="000000"/>
                <w:sz w:val="20"/>
                <w:szCs w:val="20"/>
              </w:rPr>
              <w:t>0.587</w:t>
            </w:r>
          </w:p>
        </w:tc>
        <w:tc>
          <w:tcPr>
            <w:tcW w:w="768" w:type="dxa"/>
            <w:tcBorders>
              <w:top w:val="nil"/>
              <w:left w:val="nil"/>
              <w:bottom w:val="nil"/>
              <w:right w:val="nil"/>
            </w:tcBorders>
            <w:shd w:val="clear" w:color="auto" w:fill="auto"/>
            <w:noWrap/>
            <w:vAlign w:val="bottom"/>
            <w:hideMark/>
          </w:tcPr>
          <w:p w14:paraId="65A73629" w14:textId="6632F7F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D5A81F" w14:textId="7DFBFA00" w:rsidR="00B23446" w:rsidRDefault="00B23446" w:rsidP="00B23446">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519F964F" w14:textId="554825DC" w:rsidR="00B23446" w:rsidRDefault="00B23446" w:rsidP="00B23446">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725647DC" w14:textId="1ED041BA" w:rsidR="00B23446" w:rsidRDefault="00B23446" w:rsidP="00B23446">
            <w:pPr>
              <w:jc w:val="right"/>
              <w:rPr>
                <w:color w:val="000000"/>
                <w:sz w:val="20"/>
                <w:szCs w:val="20"/>
              </w:rPr>
            </w:pPr>
            <w:r>
              <w:rPr>
                <w:color w:val="000000"/>
                <w:sz w:val="20"/>
                <w:szCs w:val="20"/>
              </w:rPr>
              <w:t>0.007</w:t>
            </w:r>
          </w:p>
        </w:tc>
      </w:tr>
      <w:tr w:rsidR="00B23446" w14:paraId="334AA5A2" w14:textId="77777777" w:rsidTr="006909E3">
        <w:trPr>
          <w:trHeight w:val="320"/>
        </w:trPr>
        <w:tc>
          <w:tcPr>
            <w:tcW w:w="1176" w:type="dxa"/>
            <w:tcBorders>
              <w:top w:val="nil"/>
              <w:left w:val="nil"/>
              <w:bottom w:val="nil"/>
              <w:right w:val="nil"/>
            </w:tcBorders>
            <w:shd w:val="clear" w:color="auto" w:fill="auto"/>
            <w:noWrap/>
            <w:vAlign w:val="bottom"/>
            <w:hideMark/>
          </w:tcPr>
          <w:p w14:paraId="3FC8C845"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4B7D8E9"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C090DF3" w14:textId="6FA527F3" w:rsidR="00B23446" w:rsidRDefault="00B23446" w:rsidP="00B23446">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32692308" w14:textId="00EC455E" w:rsidR="00B23446" w:rsidRDefault="00B23446" w:rsidP="00B23446">
            <w:pPr>
              <w:jc w:val="right"/>
              <w:rPr>
                <w:color w:val="000000"/>
                <w:sz w:val="20"/>
                <w:szCs w:val="20"/>
              </w:rPr>
            </w:pPr>
            <w:r>
              <w:rPr>
                <w:color w:val="000000"/>
                <w:sz w:val="20"/>
                <w:szCs w:val="20"/>
              </w:rPr>
              <w:t>0.108</w:t>
            </w:r>
          </w:p>
        </w:tc>
        <w:tc>
          <w:tcPr>
            <w:tcW w:w="768" w:type="dxa"/>
            <w:tcBorders>
              <w:top w:val="nil"/>
              <w:left w:val="nil"/>
              <w:bottom w:val="nil"/>
              <w:right w:val="nil"/>
            </w:tcBorders>
            <w:shd w:val="clear" w:color="auto" w:fill="auto"/>
            <w:noWrap/>
            <w:vAlign w:val="bottom"/>
            <w:hideMark/>
          </w:tcPr>
          <w:p w14:paraId="0671B836" w14:textId="12FD88B9"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3B49BF9" w14:textId="060FB6ED" w:rsidR="00B23446" w:rsidRDefault="00B23446" w:rsidP="00B23446">
            <w:pPr>
              <w:jc w:val="right"/>
              <w:rPr>
                <w:color w:val="000000"/>
                <w:sz w:val="20"/>
                <w:szCs w:val="20"/>
              </w:rPr>
            </w:pPr>
            <w:r>
              <w:rPr>
                <w:color w:val="000000"/>
                <w:sz w:val="20"/>
                <w:szCs w:val="20"/>
              </w:rPr>
              <w:t>-0.102</w:t>
            </w:r>
          </w:p>
        </w:tc>
        <w:tc>
          <w:tcPr>
            <w:tcW w:w="768" w:type="dxa"/>
            <w:tcBorders>
              <w:top w:val="nil"/>
              <w:left w:val="nil"/>
              <w:bottom w:val="nil"/>
              <w:right w:val="nil"/>
            </w:tcBorders>
            <w:shd w:val="clear" w:color="auto" w:fill="auto"/>
            <w:noWrap/>
            <w:vAlign w:val="bottom"/>
            <w:hideMark/>
          </w:tcPr>
          <w:p w14:paraId="52D08DAD" w14:textId="490A8F92" w:rsidR="00B23446" w:rsidRDefault="00B23446" w:rsidP="00B23446">
            <w:pPr>
              <w:jc w:val="right"/>
              <w:rPr>
                <w:color w:val="000000"/>
                <w:sz w:val="20"/>
                <w:szCs w:val="20"/>
              </w:rPr>
            </w:pPr>
            <w:r>
              <w:rPr>
                <w:color w:val="000000"/>
                <w:sz w:val="20"/>
                <w:szCs w:val="20"/>
              </w:rPr>
              <w:t>0.192</w:t>
            </w:r>
          </w:p>
        </w:tc>
        <w:tc>
          <w:tcPr>
            <w:tcW w:w="768" w:type="dxa"/>
            <w:tcBorders>
              <w:top w:val="nil"/>
              <w:left w:val="nil"/>
              <w:bottom w:val="nil"/>
              <w:right w:val="nil"/>
            </w:tcBorders>
            <w:shd w:val="clear" w:color="auto" w:fill="auto"/>
            <w:noWrap/>
            <w:vAlign w:val="bottom"/>
            <w:hideMark/>
          </w:tcPr>
          <w:p w14:paraId="25D8071B" w14:textId="74946EE3"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B9567CE" w14:textId="264B3B98"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DBC313C" w14:textId="5D7C0FAD"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17B9BE1D" w14:textId="6BE77AE5"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BBF26EA" w14:textId="234BC0A6" w:rsidR="00B23446" w:rsidRDefault="00B23446" w:rsidP="00B23446">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7F44CAAD" w14:textId="73635D35" w:rsidR="00B23446" w:rsidRDefault="00B23446" w:rsidP="00B23446">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0D204FBA" w14:textId="636F6038"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B9F563B" w14:textId="08FDB876" w:rsidR="00B23446" w:rsidRDefault="00B23446" w:rsidP="00B23446">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1ABBF019" w14:textId="1EF0FCD3" w:rsidR="00B23446" w:rsidRDefault="00B23446" w:rsidP="00B23446">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36F6C0AE" w14:textId="4B22E0EC" w:rsidR="00B23446" w:rsidRDefault="00B23446" w:rsidP="00B23446">
            <w:pPr>
              <w:jc w:val="right"/>
              <w:rPr>
                <w:color w:val="000000"/>
                <w:sz w:val="20"/>
                <w:szCs w:val="20"/>
              </w:rPr>
            </w:pPr>
            <w:r>
              <w:rPr>
                <w:color w:val="000000"/>
                <w:sz w:val="20"/>
                <w:szCs w:val="20"/>
              </w:rPr>
              <w:t>0.013</w:t>
            </w:r>
          </w:p>
        </w:tc>
      </w:tr>
      <w:tr w:rsidR="00B23446" w14:paraId="0BB2F3F7" w14:textId="77777777" w:rsidTr="006909E3">
        <w:trPr>
          <w:trHeight w:val="320"/>
        </w:trPr>
        <w:tc>
          <w:tcPr>
            <w:tcW w:w="1176" w:type="dxa"/>
            <w:tcBorders>
              <w:top w:val="nil"/>
              <w:left w:val="nil"/>
              <w:bottom w:val="nil"/>
              <w:right w:val="nil"/>
            </w:tcBorders>
            <w:shd w:val="clear" w:color="auto" w:fill="auto"/>
            <w:noWrap/>
            <w:vAlign w:val="bottom"/>
            <w:hideMark/>
          </w:tcPr>
          <w:p w14:paraId="51C10A32"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B111E7"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508C0C8" w14:textId="02700A1F" w:rsidR="00B23446" w:rsidRDefault="00B23446" w:rsidP="00B2344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BD887DB" w14:textId="193F2917" w:rsidR="00B23446" w:rsidRDefault="00B23446" w:rsidP="00B23446">
            <w:pPr>
              <w:jc w:val="right"/>
              <w:rPr>
                <w:color w:val="000000"/>
                <w:sz w:val="20"/>
                <w:szCs w:val="20"/>
              </w:rPr>
            </w:pPr>
            <w:r>
              <w:rPr>
                <w:color w:val="000000"/>
                <w:sz w:val="20"/>
                <w:szCs w:val="20"/>
              </w:rPr>
              <w:t>0.767</w:t>
            </w:r>
          </w:p>
        </w:tc>
        <w:tc>
          <w:tcPr>
            <w:tcW w:w="768" w:type="dxa"/>
            <w:tcBorders>
              <w:top w:val="nil"/>
              <w:left w:val="nil"/>
              <w:bottom w:val="nil"/>
              <w:right w:val="nil"/>
            </w:tcBorders>
            <w:shd w:val="clear" w:color="auto" w:fill="auto"/>
            <w:noWrap/>
            <w:vAlign w:val="bottom"/>
            <w:hideMark/>
          </w:tcPr>
          <w:p w14:paraId="1CE0B62D" w14:textId="6155D43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B9991D" w14:textId="60B52ACA" w:rsidR="00B23446" w:rsidRDefault="00B23446" w:rsidP="00B2344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233D34A" w14:textId="69E65C56" w:rsidR="00B23446" w:rsidRDefault="00B23446" w:rsidP="00B23446">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093D8B23" w14:textId="22E5896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90F7B9C" w14:textId="53502E9D"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205C480" w14:textId="4CE291C9"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32501826" w14:textId="2E56A5E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BB45BE" w14:textId="7AC57956" w:rsidR="00B23446" w:rsidRDefault="00B23446" w:rsidP="00B23446">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3C6F75FF" w14:textId="4147E2C8" w:rsidR="00B23446" w:rsidRDefault="00B23446" w:rsidP="00B23446">
            <w:pPr>
              <w:jc w:val="right"/>
              <w:rPr>
                <w:color w:val="000000"/>
                <w:sz w:val="20"/>
                <w:szCs w:val="20"/>
              </w:rPr>
            </w:pPr>
            <w:r>
              <w:rPr>
                <w:color w:val="000000"/>
                <w:sz w:val="20"/>
                <w:szCs w:val="20"/>
              </w:rPr>
              <w:t>0.587</w:t>
            </w:r>
          </w:p>
        </w:tc>
        <w:tc>
          <w:tcPr>
            <w:tcW w:w="768" w:type="dxa"/>
            <w:tcBorders>
              <w:top w:val="nil"/>
              <w:left w:val="nil"/>
              <w:bottom w:val="nil"/>
              <w:right w:val="nil"/>
            </w:tcBorders>
            <w:shd w:val="clear" w:color="auto" w:fill="auto"/>
            <w:noWrap/>
            <w:vAlign w:val="bottom"/>
            <w:hideMark/>
          </w:tcPr>
          <w:p w14:paraId="1B0E87AA" w14:textId="472A2A0A"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7737F0" w14:textId="68E47467" w:rsidR="00B23446" w:rsidRDefault="00B23446" w:rsidP="00B23446">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53A9A7FC" w14:textId="39334345" w:rsidR="00B23446" w:rsidRDefault="00B23446" w:rsidP="00B23446">
            <w:pPr>
              <w:jc w:val="right"/>
              <w:rPr>
                <w:color w:val="000000"/>
                <w:sz w:val="20"/>
                <w:szCs w:val="20"/>
              </w:rPr>
            </w:pPr>
            <w:r>
              <w:rPr>
                <w:color w:val="000000"/>
                <w:sz w:val="20"/>
                <w:szCs w:val="20"/>
              </w:rPr>
              <w:t>0.594</w:t>
            </w:r>
          </w:p>
        </w:tc>
        <w:tc>
          <w:tcPr>
            <w:tcW w:w="768" w:type="dxa"/>
            <w:tcBorders>
              <w:top w:val="nil"/>
              <w:left w:val="nil"/>
              <w:bottom w:val="nil"/>
              <w:right w:val="nil"/>
            </w:tcBorders>
            <w:shd w:val="clear" w:color="auto" w:fill="auto"/>
            <w:noWrap/>
            <w:vAlign w:val="bottom"/>
            <w:hideMark/>
          </w:tcPr>
          <w:p w14:paraId="2E9E586C" w14:textId="1FC67FBC" w:rsidR="00B23446" w:rsidRDefault="00B23446" w:rsidP="00B23446">
            <w:pPr>
              <w:jc w:val="right"/>
              <w:rPr>
                <w:color w:val="000000"/>
                <w:sz w:val="20"/>
                <w:szCs w:val="20"/>
              </w:rPr>
            </w:pPr>
            <w:r>
              <w:rPr>
                <w:color w:val="000000"/>
                <w:sz w:val="20"/>
                <w:szCs w:val="20"/>
              </w:rPr>
              <w:t>0.002</w:t>
            </w:r>
          </w:p>
        </w:tc>
      </w:tr>
      <w:tr w:rsidR="00B23446" w14:paraId="7D9B0F48" w14:textId="77777777" w:rsidTr="006909E3">
        <w:trPr>
          <w:trHeight w:val="320"/>
        </w:trPr>
        <w:tc>
          <w:tcPr>
            <w:tcW w:w="1176" w:type="dxa"/>
            <w:tcBorders>
              <w:top w:val="nil"/>
              <w:left w:val="nil"/>
              <w:bottom w:val="nil"/>
              <w:right w:val="nil"/>
            </w:tcBorders>
            <w:shd w:val="clear" w:color="auto" w:fill="auto"/>
            <w:noWrap/>
            <w:vAlign w:val="bottom"/>
            <w:hideMark/>
          </w:tcPr>
          <w:p w14:paraId="6B45FE34"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73608EC"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F0145A2" w14:textId="4CEA92DF" w:rsidR="00B23446" w:rsidRDefault="00B23446" w:rsidP="00B23446">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1ED95A74" w14:textId="5BCDF30D" w:rsidR="00B23446" w:rsidRDefault="00B23446" w:rsidP="00B23446">
            <w:pPr>
              <w:jc w:val="right"/>
              <w:rPr>
                <w:color w:val="000000"/>
                <w:sz w:val="20"/>
                <w:szCs w:val="20"/>
              </w:rPr>
            </w:pPr>
            <w:r>
              <w:rPr>
                <w:color w:val="000000"/>
                <w:sz w:val="20"/>
                <w:szCs w:val="20"/>
              </w:rPr>
              <w:t>0.157</w:t>
            </w:r>
          </w:p>
        </w:tc>
        <w:tc>
          <w:tcPr>
            <w:tcW w:w="768" w:type="dxa"/>
            <w:tcBorders>
              <w:top w:val="nil"/>
              <w:left w:val="nil"/>
              <w:bottom w:val="nil"/>
              <w:right w:val="nil"/>
            </w:tcBorders>
            <w:shd w:val="clear" w:color="auto" w:fill="auto"/>
            <w:noWrap/>
            <w:vAlign w:val="bottom"/>
            <w:hideMark/>
          </w:tcPr>
          <w:p w14:paraId="136FDEB3" w14:textId="132127BE"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5BF223D" w14:textId="2DBA57D0"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0915441" w14:textId="60C1165F" w:rsidR="00B23446" w:rsidRDefault="00B23446" w:rsidP="00B23446">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725A1023" w14:textId="6977C21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29F658" w14:textId="38656AE8"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8DC4989" w14:textId="4A15D289"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15FDF61F" w14:textId="61C4BB1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D7C593" w14:textId="703E5885"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2C368BA" w14:textId="28705869" w:rsidR="00B23446" w:rsidRDefault="00B23446" w:rsidP="00B23446">
            <w:pPr>
              <w:jc w:val="right"/>
              <w:rPr>
                <w:color w:val="000000"/>
                <w:sz w:val="20"/>
                <w:szCs w:val="20"/>
              </w:rPr>
            </w:pPr>
            <w:r>
              <w:rPr>
                <w:color w:val="000000"/>
                <w:sz w:val="20"/>
                <w:szCs w:val="20"/>
              </w:rPr>
              <w:t>0.845</w:t>
            </w:r>
          </w:p>
        </w:tc>
        <w:tc>
          <w:tcPr>
            <w:tcW w:w="768" w:type="dxa"/>
            <w:tcBorders>
              <w:top w:val="nil"/>
              <w:left w:val="nil"/>
              <w:bottom w:val="nil"/>
              <w:right w:val="nil"/>
            </w:tcBorders>
            <w:shd w:val="clear" w:color="auto" w:fill="auto"/>
            <w:noWrap/>
            <w:vAlign w:val="bottom"/>
            <w:hideMark/>
          </w:tcPr>
          <w:p w14:paraId="2D95769F" w14:textId="0A83FDD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F47D70" w14:textId="49ADD8DC"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37D1D10" w14:textId="1FAF27D4" w:rsidR="00B23446" w:rsidRDefault="00B23446" w:rsidP="00B23446">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41D0AD74" w14:textId="5E761E4A" w:rsidR="00B23446" w:rsidRDefault="00B23446" w:rsidP="00B23446">
            <w:pPr>
              <w:jc w:val="right"/>
              <w:rPr>
                <w:color w:val="000000"/>
                <w:sz w:val="20"/>
                <w:szCs w:val="20"/>
              </w:rPr>
            </w:pPr>
            <w:r>
              <w:rPr>
                <w:color w:val="000000"/>
                <w:sz w:val="20"/>
                <w:szCs w:val="20"/>
              </w:rPr>
              <w:t>0.000</w:t>
            </w:r>
          </w:p>
        </w:tc>
      </w:tr>
      <w:tr w:rsidR="00B23446" w14:paraId="7A4BCCAC" w14:textId="77777777" w:rsidTr="006909E3">
        <w:trPr>
          <w:trHeight w:val="320"/>
        </w:trPr>
        <w:tc>
          <w:tcPr>
            <w:tcW w:w="1176" w:type="dxa"/>
            <w:tcBorders>
              <w:top w:val="nil"/>
              <w:left w:val="nil"/>
              <w:bottom w:val="nil"/>
              <w:right w:val="nil"/>
            </w:tcBorders>
            <w:shd w:val="clear" w:color="auto" w:fill="auto"/>
            <w:noWrap/>
            <w:vAlign w:val="bottom"/>
            <w:hideMark/>
          </w:tcPr>
          <w:p w14:paraId="40A63CAF"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72E568"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6D7ACD6" w14:textId="40BD501F" w:rsidR="00B23446" w:rsidRDefault="00B23446" w:rsidP="00B23446">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1B0E505B" w14:textId="52052999" w:rsidR="00B23446" w:rsidRDefault="00B23446" w:rsidP="00B23446">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0F2D78E5" w14:textId="162E97EC"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E83A7C1" w14:textId="18A793B4" w:rsidR="00B23446" w:rsidRDefault="00B23446" w:rsidP="00B2344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BC78AA6" w14:textId="1E66A43C" w:rsidR="00B23446" w:rsidRDefault="00B23446" w:rsidP="00B23446">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311F05F4" w14:textId="2CC3D64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344107" w14:textId="4D3A1561" w:rsidR="00B23446" w:rsidRDefault="00B23446" w:rsidP="00B2344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5AF65CA" w14:textId="31D65BB3"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34E0AB5C" w14:textId="2300CC4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1AAC02" w14:textId="5C7F6BFC" w:rsidR="00B23446" w:rsidRDefault="00B23446" w:rsidP="00B23446">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5C459C6C" w14:textId="0A408C53" w:rsidR="00B23446" w:rsidRDefault="00B23446" w:rsidP="00B23446">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758EB0F3" w14:textId="586B3F2C"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E2752AF" w14:textId="72E74436"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59BFFE1" w14:textId="4430473A" w:rsidR="00B23446" w:rsidRDefault="00B23446" w:rsidP="00B23446">
            <w:pPr>
              <w:jc w:val="right"/>
              <w:rPr>
                <w:color w:val="000000"/>
                <w:sz w:val="20"/>
                <w:szCs w:val="20"/>
              </w:rPr>
            </w:pPr>
            <w:r>
              <w:rPr>
                <w:color w:val="000000"/>
                <w:sz w:val="20"/>
                <w:szCs w:val="20"/>
              </w:rPr>
              <w:t>0.125</w:t>
            </w:r>
          </w:p>
        </w:tc>
        <w:tc>
          <w:tcPr>
            <w:tcW w:w="768" w:type="dxa"/>
            <w:tcBorders>
              <w:top w:val="nil"/>
              <w:left w:val="nil"/>
              <w:bottom w:val="nil"/>
              <w:right w:val="nil"/>
            </w:tcBorders>
            <w:shd w:val="clear" w:color="auto" w:fill="auto"/>
            <w:noWrap/>
            <w:vAlign w:val="bottom"/>
            <w:hideMark/>
          </w:tcPr>
          <w:p w14:paraId="0CB441C5" w14:textId="49E6136E" w:rsidR="00B23446" w:rsidRDefault="00B23446" w:rsidP="00B23446">
            <w:pPr>
              <w:jc w:val="right"/>
              <w:rPr>
                <w:color w:val="000000"/>
                <w:sz w:val="20"/>
                <w:szCs w:val="20"/>
              </w:rPr>
            </w:pPr>
            <w:r>
              <w:rPr>
                <w:color w:val="000000"/>
                <w:sz w:val="20"/>
                <w:szCs w:val="20"/>
              </w:rPr>
              <w:t>0.004</w:t>
            </w:r>
          </w:p>
        </w:tc>
      </w:tr>
      <w:tr w:rsidR="00B23446" w14:paraId="1F196CC1" w14:textId="77777777" w:rsidTr="006909E3">
        <w:trPr>
          <w:trHeight w:val="320"/>
        </w:trPr>
        <w:tc>
          <w:tcPr>
            <w:tcW w:w="1176" w:type="dxa"/>
            <w:tcBorders>
              <w:top w:val="nil"/>
              <w:left w:val="nil"/>
              <w:bottom w:val="nil"/>
              <w:right w:val="nil"/>
            </w:tcBorders>
            <w:shd w:val="clear" w:color="auto" w:fill="auto"/>
            <w:noWrap/>
            <w:vAlign w:val="bottom"/>
            <w:hideMark/>
          </w:tcPr>
          <w:p w14:paraId="48F7E5D5"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390640"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BB1B857" w14:textId="602B5E7A" w:rsidR="00B23446" w:rsidRDefault="00B23446" w:rsidP="00B2344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BF9BB71" w14:textId="3EC6E8B6" w:rsidR="00B23446" w:rsidRDefault="00B23446" w:rsidP="00B23446">
            <w:pPr>
              <w:jc w:val="right"/>
              <w:rPr>
                <w:color w:val="000000"/>
                <w:sz w:val="20"/>
                <w:szCs w:val="20"/>
              </w:rPr>
            </w:pPr>
            <w:r>
              <w:rPr>
                <w:color w:val="000000"/>
                <w:sz w:val="20"/>
                <w:szCs w:val="20"/>
              </w:rPr>
              <w:t>0.767</w:t>
            </w:r>
          </w:p>
        </w:tc>
        <w:tc>
          <w:tcPr>
            <w:tcW w:w="768" w:type="dxa"/>
            <w:tcBorders>
              <w:top w:val="nil"/>
              <w:left w:val="nil"/>
              <w:bottom w:val="nil"/>
              <w:right w:val="nil"/>
            </w:tcBorders>
            <w:shd w:val="clear" w:color="auto" w:fill="auto"/>
            <w:noWrap/>
            <w:vAlign w:val="bottom"/>
            <w:hideMark/>
          </w:tcPr>
          <w:p w14:paraId="3698D616" w14:textId="27E17E8A"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059E389" w14:textId="3C931A18"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37AB492" w14:textId="7176CB15" w:rsidR="00B23446" w:rsidRDefault="00B23446" w:rsidP="00B23446">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056E088E" w14:textId="141717D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4AD5F2" w14:textId="360D1AFB"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76FEA51D" w14:textId="788ECAA1" w:rsidR="00B23446" w:rsidRDefault="00B23446" w:rsidP="00B23446">
            <w:pPr>
              <w:jc w:val="right"/>
              <w:rPr>
                <w:color w:val="000000"/>
                <w:sz w:val="20"/>
                <w:szCs w:val="20"/>
              </w:rPr>
            </w:pPr>
            <w:r>
              <w:rPr>
                <w:color w:val="000000"/>
                <w:sz w:val="20"/>
                <w:szCs w:val="20"/>
              </w:rPr>
              <w:t>0.576</w:t>
            </w:r>
          </w:p>
        </w:tc>
        <w:tc>
          <w:tcPr>
            <w:tcW w:w="768" w:type="dxa"/>
            <w:tcBorders>
              <w:top w:val="nil"/>
              <w:left w:val="nil"/>
              <w:bottom w:val="nil"/>
              <w:right w:val="nil"/>
            </w:tcBorders>
            <w:shd w:val="clear" w:color="auto" w:fill="auto"/>
            <w:noWrap/>
            <w:vAlign w:val="bottom"/>
            <w:hideMark/>
          </w:tcPr>
          <w:p w14:paraId="22114193" w14:textId="43B99103"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B0D5795" w14:textId="45D5FC92" w:rsidR="00B23446" w:rsidRDefault="00B23446" w:rsidP="00B2344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19E5A4EE" w14:textId="71EFDD7C" w:rsidR="00B23446" w:rsidRDefault="00B23446" w:rsidP="00B23446">
            <w:pPr>
              <w:jc w:val="right"/>
              <w:rPr>
                <w:color w:val="000000"/>
                <w:sz w:val="20"/>
                <w:szCs w:val="20"/>
              </w:rPr>
            </w:pPr>
            <w:r>
              <w:rPr>
                <w:color w:val="000000"/>
                <w:sz w:val="20"/>
                <w:szCs w:val="20"/>
              </w:rPr>
              <w:t>0.587</w:t>
            </w:r>
          </w:p>
        </w:tc>
        <w:tc>
          <w:tcPr>
            <w:tcW w:w="768" w:type="dxa"/>
            <w:tcBorders>
              <w:top w:val="nil"/>
              <w:left w:val="nil"/>
              <w:bottom w:val="nil"/>
              <w:right w:val="nil"/>
            </w:tcBorders>
            <w:shd w:val="clear" w:color="auto" w:fill="auto"/>
            <w:noWrap/>
            <w:vAlign w:val="bottom"/>
            <w:hideMark/>
          </w:tcPr>
          <w:p w14:paraId="19F501F9" w14:textId="1461AC9E"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597A2E" w14:textId="501A5A7C"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EB136E9" w14:textId="1E897338" w:rsidR="00B23446" w:rsidRDefault="00B23446" w:rsidP="00B23446">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1F9480AF" w14:textId="58AC7AF0" w:rsidR="00B23446" w:rsidRDefault="00B23446" w:rsidP="00B23446">
            <w:pPr>
              <w:jc w:val="right"/>
              <w:rPr>
                <w:color w:val="000000"/>
                <w:sz w:val="20"/>
                <w:szCs w:val="20"/>
              </w:rPr>
            </w:pPr>
            <w:r>
              <w:rPr>
                <w:color w:val="000000"/>
                <w:sz w:val="20"/>
                <w:szCs w:val="20"/>
              </w:rPr>
              <w:t>0.000</w:t>
            </w:r>
          </w:p>
        </w:tc>
      </w:tr>
      <w:tr w:rsidR="00B23446" w14:paraId="3EB66583" w14:textId="77777777" w:rsidTr="006909E3">
        <w:trPr>
          <w:trHeight w:val="320"/>
        </w:trPr>
        <w:tc>
          <w:tcPr>
            <w:tcW w:w="1176" w:type="dxa"/>
            <w:tcBorders>
              <w:top w:val="nil"/>
              <w:left w:val="nil"/>
              <w:bottom w:val="single" w:sz="4" w:space="0" w:color="auto"/>
              <w:right w:val="nil"/>
            </w:tcBorders>
            <w:shd w:val="clear" w:color="auto" w:fill="auto"/>
            <w:noWrap/>
            <w:vAlign w:val="bottom"/>
            <w:hideMark/>
          </w:tcPr>
          <w:p w14:paraId="2D6DDDEA"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AE71D84"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F64440B" w14:textId="35FD18D6" w:rsidR="00B23446" w:rsidRDefault="00B23446" w:rsidP="00B23446">
            <w:pPr>
              <w:jc w:val="right"/>
              <w:rPr>
                <w:color w:val="000000"/>
                <w:sz w:val="20"/>
                <w:szCs w:val="20"/>
              </w:rPr>
            </w:pPr>
            <w:r>
              <w:rPr>
                <w:color w:val="000000"/>
                <w:sz w:val="20"/>
                <w:szCs w:val="20"/>
              </w:rPr>
              <w:t>0.025</w:t>
            </w:r>
          </w:p>
        </w:tc>
        <w:tc>
          <w:tcPr>
            <w:tcW w:w="768" w:type="dxa"/>
            <w:tcBorders>
              <w:top w:val="nil"/>
              <w:left w:val="nil"/>
              <w:bottom w:val="single" w:sz="4" w:space="0" w:color="auto"/>
              <w:right w:val="nil"/>
            </w:tcBorders>
            <w:shd w:val="clear" w:color="auto" w:fill="auto"/>
            <w:noWrap/>
            <w:vAlign w:val="bottom"/>
            <w:hideMark/>
          </w:tcPr>
          <w:p w14:paraId="049333D7" w14:textId="4BC65CCD" w:rsidR="00B23446" w:rsidRDefault="00B23446" w:rsidP="00B23446">
            <w:pPr>
              <w:jc w:val="right"/>
              <w:rPr>
                <w:color w:val="000000"/>
                <w:sz w:val="20"/>
                <w:szCs w:val="20"/>
              </w:rPr>
            </w:pPr>
            <w:r>
              <w:rPr>
                <w:color w:val="000000"/>
                <w:sz w:val="20"/>
                <w:szCs w:val="20"/>
              </w:rPr>
              <w:t>0.767</w:t>
            </w:r>
          </w:p>
        </w:tc>
        <w:tc>
          <w:tcPr>
            <w:tcW w:w="768" w:type="dxa"/>
            <w:tcBorders>
              <w:top w:val="nil"/>
              <w:left w:val="nil"/>
              <w:bottom w:val="single" w:sz="4" w:space="0" w:color="auto"/>
              <w:right w:val="nil"/>
            </w:tcBorders>
            <w:shd w:val="clear" w:color="auto" w:fill="auto"/>
            <w:noWrap/>
            <w:vAlign w:val="bottom"/>
            <w:hideMark/>
          </w:tcPr>
          <w:p w14:paraId="1E386A6B" w14:textId="0631D58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5573DE5" w14:textId="5870D1F2"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EEE6EC8" w14:textId="713E93A0" w:rsidR="00B23446" w:rsidRDefault="00B23446" w:rsidP="00B23446">
            <w:pPr>
              <w:jc w:val="right"/>
              <w:rPr>
                <w:color w:val="000000"/>
                <w:sz w:val="20"/>
                <w:szCs w:val="20"/>
              </w:rPr>
            </w:pPr>
            <w:r>
              <w:rPr>
                <w:color w:val="000000"/>
                <w:sz w:val="20"/>
                <w:szCs w:val="20"/>
              </w:rPr>
              <w:t>0.960</w:t>
            </w:r>
          </w:p>
        </w:tc>
        <w:tc>
          <w:tcPr>
            <w:tcW w:w="768" w:type="dxa"/>
            <w:tcBorders>
              <w:top w:val="nil"/>
              <w:left w:val="nil"/>
              <w:bottom w:val="single" w:sz="4" w:space="0" w:color="auto"/>
              <w:right w:val="nil"/>
            </w:tcBorders>
            <w:shd w:val="clear" w:color="auto" w:fill="auto"/>
            <w:noWrap/>
            <w:vAlign w:val="bottom"/>
            <w:hideMark/>
          </w:tcPr>
          <w:p w14:paraId="0C1CBA6A" w14:textId="3DABAC8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5281A1F" w14:textId="3B83A0C7"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2E7EF825" w14:textId="1556D441" w:rsidR="00B23446" w:rsidRDefault="00B23446" w:rsidP="00B23446">
            <w:pPr>
              <w:jc w:val="right"/>
              <w:rPr>
                <w:color w:val="000000"/>
                <w:sz w:val="20"/>
                <w:szCs w:val="20"/>
              </w:rPr>
            </w:pPr>
            <w:r>
              <w:rPr>
                <w:color w:val="000000"/>
                <w:sz w:val="20"/>
                <w:szCs w:val="20"/>
              </w:rPr>
              <w:t>0.875</w:t>
            </w:r>
          </w:p>
        </w:tc>
        <w:tc>
          <w:tcPr>
            <w:tcW w:w="768" w:type="dxa"/>
            <w:tcBorders>
              <w:top w:val="nil"/>
              <w:left w:val="nil"/>
              <w:bottom w:val="single" w:sz="4" w:space="0" w:color="auto"/>
              <w:right w:val="nil"/>
            </w:tcBorders>
            <w:shd w:val="clear" w:color="auto" w:fill="auto"/>
            <w:noWrap/>
            <w:vAlign w:val="bottom"/>
            <w:hideMark/>
          </w:tcPr>
          <w:p w14:paraId="580277F6" w14:textId="4D8E51F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1C0EE02" w14:textId="414C28C6" w:rsidR="00B23446" w:rsidRDefault="00B23446" w:rsidP="00B23446">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1177B42C" w14:textId="1E9A1CA8" w:rsidR="00B23446" w:rsidRDefault="00B23446" w:rsidP="00B23446">
            <w:pPr>
              <w:jc w:val="right"/>
              <w:rPr>
                <w:color w:val="000000"/>
                <w:sz w:val="20"/>
                <w:szCs w:val="20"/>
              </w:rPr>
            </w:pPr>
            <w:r>
              <w:rPr>
                <w:color w:val="000000"/>
                <w:sz w:val="20"/>
                <w:szCs w:val="20"/>
              </w:rPr>
              <w:t>0.845</w:t>
            </w:r>
          </w:p>
        </w:tc>
        <w:tc>
          <w:tcPr>
            <w:tcW w:w="768" w:type="dxa"/>
            <w:tcBorders>
              <w:top w:val="nil"/>
              <w:left w:val="nil"/>
              <w:bottom w:val="single" w:sz="4" w:space="0" w:color="auto"/>
              <w:right w:val="nil"/>
            </w:tcBorders>
            <w:shd w:val="clear" w:color="auto" w:fill="auto"/>
            <w:noWrap/>
            <w:vAlign w:val="bottom"/>
            <w:hideMark/>
          </w:tcPr>
          <w:p w14:paraId="3847AFC3" w14:textId="4A8954F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12E9306" w14:textId="1173495E" w:rsidR="00B23446" w:rsidRDefault="00B23446" w:rsidP="00B23446">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62CB1615" w14:textId="37F940F3" w:rsidR="00B23446" w:rsidRDefault="00B23446" w:rsidP="00B23446">
            <w:pPr>
              <w:jc w:val="right"/>
              <w:rPr>
                <w:color w:val="000000"/>
                <w:sz w:val="20"/>
                <w:szCs w:val="20"/>
              </w:rPr>
            </w:pPr>
            <w:r>
              <w:rPr>
                <w:color w:val="000000"/>
                <w:sz w:val="20"/>
                <w:szCs w:val="20"/>
              </w:rPr>
              <w:t>0.884</w:t>
            </w:r>
          </w:p>
        </w:tc>
        <w:tc>
          <w:tcPr>
            <w:tcW w:w="768" w:type="dxa"/>
            <w:tcBorders>
              <w:top w:val="nil"/>
              <w:left w:val="nil"/>
              <w:bottom w:val="single" w:sz="4" w:space="0" w:color="auto"/>
              <w:right w:val="nil"/>
            </w:tcBorders>
            <w:shd w:val="clear" w:color="auto" w:fill="auto"/>
            <w:noWrap/>
            <w:vAlign w:val="bottom"/>
            <w:hideMark/>
          </w:tcPr>
          <w:p w14:paraId="241B19B8" w14:textId="014D583B" w:rsidR="00B23446" w:rsidRDefault="00B23446" w:rsidP="00B23446">
            <w:pPr>
              <w:jc w:val="right"/>
              <w:rPr>
                <w:color w:val="000000"/>
                <w:sz w:val="20"/>
                <w:szCs w:val="20"/>
              </w:rPr>
            </w:pPr>
            <w:r>
              <w:rPr>
                <w:color w:val="000000"/>
                <w:sz w:val="20"/>
                <w:szCs w:val="20"/>
              </w:rPr>
              <w:t>0.000</w:t>
            </w:r>
          </w:p>
        </w:tc>
      </w:tr>
      <w:tr w:rsidR="00B23446" w14:paraId="75A53293" w14:textId="77777777" w:rsidTr="006909E3">
        <w:trPr>
          <w:trHeight w:val="320"/>
        </w:trPr>
        <w:tc>
          <w:tcPr>
            <w:tcW w:w="1176" w:type="dxa"/>
            <w:tcBorders>
              <w:top w:val="nil"/>
              <w:left w:val="nil"/>
              <w:bottom w:val="nil"/>
              <w:right w:val="nil"/>
            </w:tcBorders>
            <w:shd w:val="clear" w:color="auto" w:fill="auto"/>
            <w:noWrap/>
            <w:vAlign w:val="bottom"/>
            <w:hideMark/>
          </w:tcPr>
          <w:p w14:paraId="766118DF" w14:textId="77777777" w:rsidR="00B23446" w:rsidRDefault="00B23446" w:rsidP="00B23446">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06040B64"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435AFDA" w14:textId="6E08611B"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AA824B2" w14:textId="69536FAA" w:rsidR="00B23446" w:rsidRDefault="00B23446" w:rsidP="00B23446">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1F94AD16" w14:textId="46EAD55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C0F88A" w14:textId="3343FA1A" w:rsidR="00B23446" w:rsidRDefault="00B23446" w:rsidP="00B2344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70B8DE9" w14:textId="6075E657" w:rsidR="00B23446" w:rsidRDefault="00B23446" w:rsidP="00B23446">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1150244D" w14:textId="2DD605B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8D4CCD" w14:textId="44374955" w:rsidR="00B23446" w:rsidRDefault="00B23446" w:rsidP="00B2344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9C84278" w14:textId="1991B629" w:rsidR="00B23446" w:rsidRDefault="00B23446" w:rsidP="00B23446">
            <w:pPr>
              <w:jc w:val="right"/>
              <w:rPr>
                <w:color w:val="000000"/>
                <w:sz w:val="20"/>
                <w:szCs w:val="20"/>
              </w:rPr>
            </w:pPr>
            <w:r>
              <w:rPr>
                <w:color w:val="000000"/>
                <w:sz w:val="20"/>
                <w:szCs w:val="20"/>
              </w:rPr>
              <w:t>0.609</w:t>
            </w:r>
          </w:p>
        </w:tc>
        <w:tc>
          <w:tcPr>
            <w:tcW w:w="768" w:type="dxa"/>
            <w:tcBorders>
              <w:top w:val="nil"/>
              <w:left w:val="nil"/>
              <w:bottom w:val="nil"/>
              <w:right w:val="nil"/>
            </w:tcBorders>
            <w:shd w:val="clear" w:color="auto" w:fill="auto"/>
            <w:noWrap/>
            <w:vAlign w:val="bottom"/>
            <w:hideMark/>
          </w:tcPr>
          <w:p w14:paraId="02AAC1F3" w14:textId="3141A439"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DF3E46" w14:textId="1C2F121D"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E64E9B5" w14:textId="48CF910B" w:rsidR="00B23446" w:rsidRDefault="00B23446" w:rsidP="00B23446">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3066B346" w14:textId="2FE06D7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F85B45" w14:textId="75F2D7F6" w:rsidR="00B23446" w:rsidRDefault="00B23446" w:rsidP="00B2344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48D253E9" w14:textId="2FB8F345" w:rsidR="00B23446" w:rsidRDefault="00B23446" w:rsidP="00B23446">
            <w:pPr>
              <w:jc w:val="right"/>
              <w:rPr>
                <w:color w:val="000000"/>
                <w:sz w:val="20"/>
                <w:szCs w:val="20"/>
              </w:rPr>
            </w:pPr>
            <w:r>
              <w:rPr>
                <w:color w:val="000000"/>
                <w:sz w:val="20"/>
                <w:szCs w:val="20"/>
              </w:rPr>
              <w:t>0.381</w:t>
            </w:r>
          </w:p>
        </w:tc>
        <w:tc>
          <w:tcPr>
            <w:tcW w:w="768" w:type="dxa"/>
            <w:tcBorders>
              <w:top w:val="nil"/>
              <w:left w:val="nil"/>
              <w:bottom w:val="nil"/>
              <w:right w:val="nil"/>
            </w:tcBorders>
            <w:shd w:val="clear" w:color="auto" w:fill="auto"/>
            <w:noWrap/>
            <w:vAlign w:val="bottom"/>
            <w:hideMark/>
          </w:tcPr>
          <w:p w14:paraId="47E9F693" w14:textId="3085AB71" w:rsidR="00B23446" w:rsidRDefault="00B23446" w:rsidP="00B23446">
            <w:pPr>
              <w:jc w:val="right"/>
              <w:rPr>
                <w:color w:val="000000"/>
                <w:sz w:val="20"/>
                <w:szCs w:val="20"/>
              </w:rPr>
            </w:pPr>
            <w:r>
              <w:rPr>
                <w:color w:val="000000"/>
                <w:sz w:val="20"/>
                <w:szCs w:val="20"/>
              </w:rPr>
              <w:t>0.001</w:t>
            </w:r>
          </w:p>
        </w:tc>
      </w:tr>
      <w:tr w:rsidR="00B23446" w14:paraId="182C52E3" w14:textId="77777777" w:rsidTr="006909E3">
        <w:trPr>
          <w:trHeight w:val="320"/>
        </w:trPr>
        <w:tc>
          <w:tcPr>
            <w:tcW w:w="1176" w:type="dxa"/>
            <w:tcBorders>
              <w:top w:val="nil"/>
              <w:left w:val="nil"/>
              <w:bottom w:val="nil"/>
              <w:right w:val="nil"/>
            </w:tcBorders>
            <w:shd w:val="clear" w:color="auto" w:fill="auto"/>
            <w:noWrap/>
            <w:vAlign w:val="bottom"/>
            <w:hideMark/>
          </w:tcPr>
          <w:p w14:paraId="5D92350D"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D0A131B"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68BD56B" w14:textId="3AFA68FF" w:rsidR="00B23446" w:rsidRDefault="00B23446" w:rsidP="00B23446">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0D871ED9" w14:textId="5558BE89" w:rsidR="00B23446" w:rsidRDefault="00B23446" w:rsidP="00B23446">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13B72E6C" w14:textId="35F6625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7C9290" w14:textId="08DC9C07"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70F9A65" w14:textId="34810FE0" w:rsidR="00B23446" w:rsidRDefault="00B23446" w:rsidP="00B23446">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3CA2E6BD" w14:textId="0DB7FE2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7AB687" w14:textId="36457B36" w:rsidR="00B23446" w:rsidRDefault="00B23446" w:rsidP="00B23446">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0EB93908" w14:textId="37364435" w:rsidR="00B23446" w:rsidRDefault="00B23446" w:rsidP="00B23446">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72CD8F2A" w14:textId="2CFCF3FD"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2FA455A" w14:textId="617D7CBA" w:rsidR="00B23446" w:rsidRDefault="00B23446" w:rsidP="00B23446">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6437AB7" w14:textId="3A41C9DE" w:rsidR="00B23446" w:rsidRDefault="00B23446" w:rsidP="00B23446">
            <w:pPr>
              <w:jc w:val="right"/>
              <w:rPr>
                <w:color w:val="000000"/>
                <w:sz w:val="20"/>
                <w:szCs w:val="20"/>
              </w:rPr>
            </w:pPr>
            <w:r>
              <w:rPr>
                <w:color w:val="000000"/>
                <w:sz w:val="20"/>
                <w:szCs w:val="20"/>
              </w:rPr>
              <w:t>0.555</w:t>
            </w:r>
          </w:p>
        </w:tc>
        <w:tc>
          <w:tcPr>
            <w:tcW w:w="768" w:type="dxa"/>
            <w:tcBorders>
              <w:top w:val="nil"/>
              <w:left w:val="nil"/>
              <w:bottom w:val="nil"/>
              <w:right w:val="nil"/>
            </w:tcBorders>
            <w:shd w:val="clear" w:color="auto" w:fill="auto"/>
            <w:noWrap/>
            <w:vAlign w:val="bottom"/>
            <w:hideMark/>
          </w:tcPr>
          <w:p w14:paraId="45C7A355" w14:textId="16FEDF80"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6D1E074" w14:textId="4F4E2A0E" w:rsidR="00B23446" w:rsidRDefault="00B23446" w:rsidP="00B23446">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0C9C7D30" w14:textId="7775338F" w:rsidR="00B23446" w:rsidRDefault="00B23446" w:rsidP="00B23446">
            <w:pPr>
              <w:jc w:val="right"/>
              <w:rPr>
                <w:color w:val="000000"/>
                <w:sz w:val="20"/>
                <w:szCs w:val="20"/>
              </w:rPr>
            </w:pPr>
            <w:r>
              <w:rPr>
                <w:color w:val="000000"/>
                <w:sz w:val="20"/>
                <w:szCs w:val="20"/>
              </w:rPr>
              <w:t>0.131</w:t>
            </w:r>
          </w:p>
        </w:tc>
        <w:tc>
          <w:tcPr>
            <w:tcW w:w="768" w:type="dxa"/>
            <w:tcBorders>
              <w:top w:val="nil"/>
              <w:left w:val="nil"/>
              <w:bottom w:val="nil"/>
              <w:right w:val="nil"/>
            </w:tcBorders>
            <w:shd w:val="clear" w:color="auto" w:fill="auto"/>
            <w:noWrap/>
            <w:vAlign w:val="bottom"/>
            <w:hideMark/>
          </w:tcPr>
          <w:p w14:paraId="6A7B5302" w14:textId="709D7609" w:rsidR="00B23446" w:rsidRDefault="00B23446" w:rsidP="00B23446">
            <w:pPr>
              <w:jc w:val="right"/>
              <w:rPr>
                <w:color w:val="000000"/>
                <w:sz w:val="20"/>
                <w:szCs w:val="20"/>
              </w:rPr>
            </w:pPr>
            <w:r>
              <w:rPr>
                <w:color w:val="000000"/>
                <w:sz w:val="20"/>
                <w:szCs w:val="20"/>
              </w:rPr>
              <w:t>0.007</w:t>
            </w:r>
          </w:p>
        </w:tc>
      </w:tr>
      <w:tr w:rsidR="00B23446" w14:paraId="520A2FA5" w14:textId="77777777" w:rsidTr="006909E3">
        <w:trPr>
          <w:trHeight w:val="320"/>
        </w:trPr>
        <w:tc>
          <w:tcPr>
            <w:tcW w:w="1176" w:type="dxa"/>
            <w:tcBorders>
              <w:top w:val="nil"/>
              <w:left w:val="nil"/>
              <w:bottom w:val="nil"/>
              <w:right w:val="nil"/>
            </w:tcBorders>
            <w:shd w:val="clear" w:color="auto" w:fill="auto"/>
            <w:noWrap/>
            <w:vAlign w:val="bottom"/>
            <w:hideMark/>
          </w:tcPr>
          <w:p w14:paraId="77749C2A"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97DEF5"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05145D5" w14:textId="42E3F5D1" w:rsidR="00B23446" w:rsidRDefault="00B23446" w:rsidP="00B2344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18F0B447" w14:textId="21CAEB87" w:rsidR="00B23446" w:rsidRDefault="00B23446" w:rsidP="00B23446">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6540CE99" w14:textId="08CEFB60"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42B660" w14:textId="7A437121" w:rsidR="00B23446" w:rsidRDefault="00B23446" w:rsidP="00B2344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45B3ED7" w14:textId="32DBBCF7" w:rsidR="00B23446" w:rsidRDefault="00B23446" w:rsidP="00B23446">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4B86A043" w14:textId="4C3E9BCB"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6BF193D" w14:textId="2073B2E2"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C37E60A" w14:textId="193BBE46" w:rsidR="00B23446" w:rsidRDefault="00B23446" w:rsidP="00B23446">
            <w:pPr>
              <w:jc w:val="right"/>
              <w:rPr>
                <w:color w:val="000000"/>
                <w:sz w:val="20"/>
                <w:szCs w:val="20"/>
              </w:rPr>
            </w:pPr>
            <w:r>
              <w:rPr>
                <w:color w:val="000000"/>
                <w:sz w:val="20"/>
                <w:szCs w:val="20"/>
              </w:rPr>
              <w:t>0.968</w:t>
            </w:r>
          </w:p>
        </w:tc>
        <w:tc>
          <w:tcPr>
            <w:tcW w:w="768" w:type="dxa"/>
            <w:tcBorders>
              <w:top w:val="nil"/>
              <w:left w:val="nil"/>
              <w:bottom w:val="nil"/>
              <w:right w:val="nil"/>
            </w:tcBorders>
            <w:shd w:val="clear" w:color="auto" w:fill="auto"/>
            <w:noWrap/>
            <w:vAlign w:val="bottom"/>
            <w:hideMark/>
          </w:tcPr>
          <w:p w14:paraId="37810645" w14:textId="14232ED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DA49A0" w14:textId="40D47853" w:rsidR="00B23446" w:rsidRDefault="00B23446" w:rsidP="00B23446">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304760AF" w14:textId="01492BF0" w:rsidR="00B23446" w:rsidRDefault="00B23446" w:rsidP="00B23446">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3D54E03B" w14:textId="5264235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2B1C49" w14:textId="3175AC5B" w:rsidR="00B23446" w:rsidRDefault="00B23446" w:rsidP="00B23446">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1CE90918" w14:textId="69ECF45D" w:rsidR="00B23446" w:rsidRDefault="00B23446" w:rsidP="00B23446">
            <w:pPr>
              <w:jc w:val="right"/>
              <w:rPr>
                <w:color w:val="000000"/>
                <w:sz w:val="20"/>
                <w:szCs w:val="20"/>
              </w:rPr>
            </w:pPr>
            <w:r>
              <w:rPr>
                <w:color w:val="000000"/>
                <w:sz w:val="20"/>
                <w:szCs w:val="20"/>
              </w:rPr>
              <w:t>0.131</w:t>
            </w:r>
          </w:p>
        </w:tc>
        <w:tc>
          <w:tcPr>
            <w:tcW w:w="768" w:type="dxa"/>
            <w:tcBorders>
              <w:top w:val="nil"/>
              <w:left w:val="nil"/>
              <w:bottom w:val="nil"/>
              <w:right w:val="nil"/>
            </w:tcBorders>
            <w:shd w:val="clear" w:color="auto" w:fill="auto"/>
            <w:noWrap/>
            <w:vAlign w:val="bottom"/>
            <w:hideMark/>
          </w:tcPr>
          <w:p w14:paraId="330E98D7" w14:textId="19FE6A16" w:rsidR="00B23446" w:rsidRDefault="00B23446" w:rsidP="00B23446">
            <w:pPr>
              <w:jc w:val="right"/>
              <w:rPr>
                <w:color w:val="000000"/>
                <w:sz w:val="20"/>
                <w:szCs w:val="20"/>
              </w:rPr>
            </w:pPr>
            <w:r>
              <w:rPr>
                <w:color w:val="000000"/>
                <w:sz w:val="20"/>
                <w:szCs w:val="20"/>
              </w:rPr>
              <w:t>0.007</w:t>
            </w:r>
          </w:p>
        </w:tc>
      </w:tr>
      <w:tr w:rsidR="00B23446" w14:paraId="0F2487EA" w14:textId="77777777" w:rsidTr="006909E3">
        <w:trPr>
          <w:trHeight w:val="320"/>
        </w:trPr>
        <w:tc>
          <w:tcPr>
            <w:tcW w:w="1176" w:type="dxa"/>
            <w:tcBorders>
              <w:top w:val="nil"/>
              <w:left w:val="nil"/>
              <w:bottom w:val="nil"/>
              <w:right w:val="nil"/>
            </w:tcBorders>
            <w:shd w:val="clear" w:color="auto" w:fill="auto"/>
            <w:noWrap/>
            <w:vAlign w:val="bottom"/>
            <w:hideMark/>
          </w:tcPr>
          <w:p w14:paraId="6BD2A7FA"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B831643"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EF9C64E" w14:textId="240D9BC8"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F39807F" w14:textId="53B899A7" w:rsidR="00B23446" w:rsidRDefault="00B23446" w:rsidP="00B23446">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2C0339AA" w14:textId="450D369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C80B13" w14:textId="29683B61"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F5D82FD" w14:textId="7F7EE1EB" w:rsidR="00B23446" w:rsidRDefault="00B23446" w:rsidP="00B23446">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6176E865" w14:textId="48560B1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BE4548" w14:textId="08E36E78" w:rsidR="00B23446" w:rsidRDefault="00B23446" w:rsidP="00B23446">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0374A5CA" w14:textId="7569F291" w:rsidR="00B23446" w:rsidRDefault="00B23446" w:rsidP="00B23446">
            <w:pPr>
              <w:jc w:val="right"/>
              <w:rPr>
                <w:color w:val="000000"/>
                <w:sz w:val="20"/>
                <w:szCs w:val="20"/>
              </w:rPr>
            </w:pPr>
            <w:r>
              <w:rPr>
                <w:color w:val="000000"/>
                <w:sz w:val="20"/>
                <w:szCs w:val="20"/>
              </w:rPr>
              <w:t>0.609</w:t>
            </w:r>
          </w:p>
        </w:tc>
        <w:tc>
          <w:tcPr>
            <w:tcW w:w="768" w:type="dxa"/>
            <w:tcBorders>
              <w:top w:val="nil"/>
              <w:left w:val="nil"/>
              <w:bottom w:val="nil"/>
              <w:right w:val="nil"/>
            </w:tcBorders>
            <w:shd w:val="clear" w:color="auto" w:fill="auto"/>
            <w:noWrap/>
            <w:vAlign w:val="bottom"/>
            <w:hideMark/>
          </w:tcPr>
          <w:p w14:paraId="2D08E690" w14:textId="10A66714"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81F449" w14:textId="09095E90"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985636C" w14:textId="31FAEF48" w:rsidR="00B23446" w:rsidRDefault="00B23446" w:rsidP="00B23446">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2D43E3FA" w14:textId="42AE11C3"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8DBB13" w14:textId="44CC9974"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84E85CA" w14:textId="2BEA8EF3" w:rsidR="00B23446" w:rsidRDefault="00B23446" w:rsidP="00B23446">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776F97EE" w14:textId="62C6D150" w:rsidR="00B23446" w:rsidRDefault="00B23446" w:rsidP="00B23446">
            <w:pPr>
              <w:jc w:val="right"/>
              <w:rPr>
                <w:color w:val="000000"/>
                <w:sz w:val="20"/>
                <w:szCs w:val="20"/>
              </w:rPr>
            </w:pPr>
            <w:r>
              <w:rPr>
                <w:color w:val="000000"/>
                <w:sz w:val="20"/>
                <w:szCs w:val="20"/>
              </w:rPr>
              <w:t>0.000</w:t>
            </w:r>
          </w:p>
        </w:tc>
      </w:tr>
      <w:tr w:rsidR="00B23446" w14:paraId="4DD6B999" w14:textId="77777777" w:rsidTr="006909E3">
        <w:trPr>
          <w:trHeight w:val="320"/>
        </w:trPr>
        <w:tc>
          <w:tcPr>
            <w:tcW w:w="1176" w:type="dxa"/>
            <w:tcBorders>
              <w:top w:val="nil"/>
              <w:left w:val="nil"/>
              <w:bottom w:val="nil"/>
              <w:right w:val="nil"/>
            </w:tcBorders>
            <w:shd w:val="clear" w:color="auto" w:fill="auto"/>
            <w:noWrap/>
            <w:vAlign w:val="bottom"/>
            <w:hideMark/>
          </w:tcPr>
          <w:p w14:paraId="077ED8A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4949F1"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EA677E5" w14:textId="69B93712"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35261C2" w14:textId="08202DD5" w:rsidR="00B23446" w:rsidRDefault="00B23446" w:rsidP="00B23446">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3A7D39F3" w14:textId="5227C92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24FD76" w14:textId="7F5E2C41"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31C7E12" w14:textId="2B57165D" w:rsidR="00B23446" w:rsidRDefault="00B23446" w:rsidP="00B23446">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671D4916" w14:textId="2A0C3A0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89B4F2" w14:textId="53974CA8"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2EF8D97" w14:textId="255EBB78" w:rsidR="00B23446" w:rsidRDefault="00B23446" w:rsidP="00B23446">
            <w:pPr>
              <w:jc w:val="right"/>
              <w:rPr>
                <w:color w:val="000000"/>
                <w:sz w:val="20"/>
                <w:szCs w:val="20"/>
              </w:rPr>
            </w:pPr>
            <w:r>
              <w:rPr>
                <w:color w:val="000000"/>
                <w:sz w:val="20"/>
                <w:szCs w:val="20"/>
              </w:rPr>
              <w:t>0.609</w:t>
            </w:r>
          </w:p>
        </w:tc>
        <w:tc>
          <w:tcPr>
            <w:tcW w:w="768" w:type="dxa"/>
            <w:tcBorders>
              <w:top w:val="nil"/>
              <w:left w:val="nil"/>
              <w:bottom w:val="nil"/>
              <w:right w:val="nil"/>
            </w:tcBorders>
            <w:shd w:val="clear" w:color="auto" w:fill="auto"/>
            <w:noWrap/>
            <w:vAlign w:val="bottom"/>
            <w:hideMark/>
          </w:tcPr>
          <w:p w14:paraId="1B17C65B" w14:textId="552AEA53"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A214521" w14:textId="5739261E" w:rsidR="00B23446" w:rsidRDefault="00B23446" w:rsidP="00B23446">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69660C68" w14:textId="0C169F74" w:rsidR="00B23446" w:rsidRDefault="00B23446" w:rsidP="00B23446">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0AF6D0B8" w14:textId="401662E5"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9B1DBA4" w14:textId="72D2C651"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743F047" w14:textId="28304CC2" w:rsidR="00B23446" w:rsidRDefault="00B23446" w:rsidP="00B23446">
            <w:pPr>
              <w:jc w:val="right"/>
              <w:rPr>
                <w:color w:val="000000"/>
                <w:sz w:val="20"/>
                <w:szCs w:val="20"/>
              </w:rPr>
            </w:pPr>
            <w:r>
              <w:rPr>
                <w:color w:val="000000"/>
                <w:sz w:val="20"/>
                <w:szCs w:val="20"/>
              </w:rPr>
              <w:t>0.842</w:t>
            </w:r>
          </w:p>
        </w:tc>
        <w:tc>
          <w:tcPr>
            <w:tcW w:w="768" w:type="dxa"/>
            <w:tcBorders>
              <w:top w:val="nil"/>
              <w:left w:val="nil"/>
              <w:bottom w:val="nil"/>
              <w:right w:val="nil"/>
            </w:tcBorders>
            <w:shd w:val="clear" w:color="auto" w:fill="auto"/>
            <w:noWrap/>
            <w:vAlign w:val="bottom"/>
            <w:hideMark/>
          </w:tcPr>
          <w:p w14:paraId="0465BB7F" w14:textId="1C497E44" w:rsidR="00B23446" w:rsidRDefault="00B23446" w:rsidP="00B23446">
            <w:pPr>
              <w:jc w:val="right"/>
              <w:rPr>
                <w:color w:val="000000"/>
                <w:sz w:val="20"/>
                <w:szCs w:val="20"/>
              </w:rPr>
            </w:pPr>
            <w:r>
              <w:rPr>
                <w:color w:val="000000"/>
                <w:sz w:val="20"/>
                <w:szCs w:val="20"/>
              </w:rPr>
              <w:t>0.000</w:t>
            </w:r>
          </w:p>
        </w:tc>
      </w:tr>
      <w:tr w:rsidR="00B23446" w14:paraId="3D04B07A" w14:textId="77777777" w:rsidTr="006909E3">
        <w:trPr>
          <w:trHeight w:val="320"/>
        </w:trPr>
        <w:tc>
          <w:tcPr>
            <w:tcW w:w="1176" w:type="dxa"/>
            <w:tcBorders>
              <w:top w:val="nil"/>
              <w:left w:val="nil"/>
              <w:bottom w:val="nil"/>
              <w:right w:val="nil"/>
            </w:tcBorders>
            <w:shd w:val="clear" w:color="auto" w:fill="auto"/>
            <w:noWrap/>
            <w:vAlign w:val="bottom"/>
            <w:hideMark/>
          </w:tcPr>
          <w:p w14:paraId="419B00D8"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27C2546"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FAEE139" w14:textId="51B45B5B" w:rsidR="00B23446" w:rsidRDefault="00B23446" w:rsidP="00B23446">
            <w:pPr>
              <w:jc w:val="right"/>
              <w:rPr>
                <w:color w:val="000000"/>
                <w:sz w:val="20"/>
                <w:szCs w:val="20"/>
              </w:rPr>
            </w:pPr>
            <w:r>
              <w:rPr>
                <w:b/>
                <w:bCs/>
                <w:color w:val="000000"/>
                <w:sz w:val="20"/>
                <w:szCs w:val="20"/>
              </w:rPr>
              <w:t>-0.083</w:t>
            </w:r>
          </w:p>
        </w:tc>
        <w:tc>
          <w:tcPr>
            <w:tcW w:w="768" w:type="dxa"/>
            <w:tcBorders>
              <w:top w:val="nil"/>
              <w:left w:val="nil"/>
              <w:bottom w:val="nil"/>
              <w:right w:val="nil"/>
            </w:tcBorders>
            <w:shd w:val="clear" w:color="auto" w:fill="auto"/>
            <w:noWrap/>
            <w:vAlign w:val="bottom"/>
            <w:hideMark/>
          </w:tcPr>
          <w:p w14:paraId="130305AD" w14:textId="17A449D6" w:rsidR="00B23446" w:rsidRDefault="00B23446" w:rsidP="00B23446">
            <w:pPr>
              <w:jc w:val="right"/>
              <w:rPr>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75FD79A3" w14:textId="74C046BD" w:rsidR="00B23446" w:rsidRDefault="00B23446" w:rsidP="00B23446">
            <w:pPr>
              <w:jc w:val="right"/>
              <w:rPr>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18306079" w14:textId="745ACC18"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2F1B7FC" w14:textId="7ECD3221" w:rsidR="00B23446" w:rsidRDefault="00B23446" w:rsidP="00B23446">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5E2BF099" w14:textId="76856A5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BA044F" w14:textId="1D402622"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94425AA" w14:textId="425F299E" w:rsidR="00B23446" w:rsidRDefault="00B23446" w:rsidP="00B23446">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0665B1DE" w14:textId="59EDDFF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655397" w14:textId="1B253CC7" w:rsidR="00B23446" w:rsidRDefault="00B23446" w:rsidP="00B2344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8447555" w14:textId="5AAF0691" w:rsidR="00B23446" w:rsidRDefault="00B23446" w:rsidP="00B23446">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755647E5" w14:textId="7D0F18C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110C83" w14:textId="2B0EA025" w:rsidR="00B23446" w:rsidRDefault="00B23446" w:rsidP="00B23446">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4B19BBDB" w14:textId="236BEED8" w:rsidR="00B23446" w:rsidRDefault="00B23446" w:rsidP="00B23446">
            <w:pPr>
              <w:jc w:val="right"/>
              <w:rPr>
                <w:color w:val="000000"/>
                <w:sz w:val="20"/>
                <w:szCs w:val="20"/>
              </w:rPr>
            </w:pPr>
            <w:r>
              <w:rPr>
                <w:color w:val="000000"/>
                <w:sz w:val="20"/>
                <w:szCs w:val="20"/>
              </w:rPr>
              <w:t>0.316</w:t>
            </w:r>
          </w:p>
        </w:tc>
        <w:tc>
          <w:tcPr>
            <w:tcW w:w="768" w:type="dxa"/>
            <w:tcBorders>
              <w:top w:val="nil"/>
              <w:left w:val="nil"/>
              <w:bottom w:val="nil"/>
              <w:right w:val="nil"/>
            </w:tcBorders>
            <w:shd w:val="clear" w:color="auto" w:fill="auto"/>
            <w:noWrap/>
            <w:vAlign w:val="bottom"/>
            <w:hideMark/>
          </w:tcPr>
          <w:p w14:paraId="3548983A" w14:textId="3CEE908D" w:rsidR="00B23446" w:rsidRDefault="00B23446" w:rsidP="00B23446">
            <w:pPr>
              <w:jc w:val="right"/>
              <w:rPr>
                <w:color w:val="000000"/>
                <w:sz w:val="20"/>
                <w:szCs w:val="20"/>
              </w:rPr>
            </w:pPr>
            <w:r>
              <w:rPr>
                <w:color w:val="000000"/>
                <w:sz w:val="20"/>
                <w:szCs w:val="20"/>
              </w:rPr>
              <w:t>0.002</w:t>
            </w:r>
          </w:p>
        </w:tc>
      </w:tr>
      <w:tr w:rsidR="00B23446" w14:paraId="36A53BA1" w14:textId="77777777" w:rsidTr="006909E3">
        <w:trPr>
          <w:trHeight w:val="320"/>
        </w:trPr>
        <w:tc>
          <w:tcPr>
            <w:tcW w:w="1176" w:type="dxa"/>
            <w:tcBorders>
              <w:top w:val="nil"/>
              <w:left w:val="nil"/>
              <w:bottom w:val="nil"/>
              <w:right w:val="nil"/>
            </w:tcBorders>
            <w:shd w:val="clear" w:color="auto" w:fill="auto"/>
            <w:noWrap/>
            <w:vAlign w:val="bottom"/>
            <w:hideMark/>
          </w:tcPr>
          <w:p w14:paraId="77F3162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3A4D9B6"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6410059" w14:textId="67658C36" w:rsidR="00B23446" w:rsidRDefault="00B23446" w:rsidP="00B23446">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26B71905" w14:textId="28CA90DA" w:rsidR="00B23446" w:rsidRDefault="00B23446" w:rsidP="00B23446">
            <w:pPr>
              <w:jc w:val="right"/>
              <w:rPr>
                <w:color w:val="000000"/>
                <w:sz w:val="20"/>
                <w:szCs w:val="20"/>
              </w:rPr>
            </w:pPr>
            <w:r>
              <w:rPr>
                <w:color w:val="000000"/>
                <w:sz w:val="20"/>
                <w:szCs w:val="20"/>
              </w:rPr>
              <w:t>0.300</w:t>
            </w:r>
          </w:p>
        </w:tc>
        <w:tc>
          <w:tcPr>
            <w:tcW w:w="768" w:type="dxa"/>
            <w:tcBorders>
              <w:top w:val="nil"/>
              <w:left w:val="nil"/>
              <w:bottom w:val="nil"/>
              <w:right w:val="nil"/>
            </w:tcBorders>
            <w:shd w:val="clear" w:color="auto" w:fill="auto"/>
            <w:noWrap/>
            <w:vAlign w:val="bottom"/>
            <w:hideMark/>
          </w:tcPr>
          <w:p w14:paraId="5947A19E" w14:textId="3A414A89"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C100B35" w14:textId="11788A62" w:rsidR="00B23446" w:rsidRDefault="00B23446" w:rsidP="00B2344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7E8ABDCD" w14:textId="2F60ABC4" w:rsidR="00B23446" w:rsidRDefault="00B23446" w:rsidP="00B23446">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2BA0619A" w14:textId="64E0A594"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2CD1BCD" w14:textId="569AFBA1"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1B04C8E" w14:textId="2759EDE4" w:rsidR="00B23446" w:rsidRDefault="00B23446" w:rsidP="00B23446">
            <w:pPr>
              <w:jc w:val="right"/>
              <w:rPr>
                <w:color w:val="000000"/>
                <w:sz w:val="20"/>
                <w:szCs w:val="20"/>
              </w:rPr>
            </w:pPr>
            <w:r>
              <w:rPr>
                <w:color w:val="000000"/>
                <w:sz w:val="20"/>
                <w:szCs w:val="20"/>
              </w:rPr>
              <w:t>0.609</w:t>
            </w:r>
          </w:p>
        </w:tc>
        <w:tc>
          <w:tcPr>
            <w:tcW w:w="768" w:type="dxa"/>
            <w:tcBorders>
              <w:top w:val="nil"/>
              <w:left w:val="nil"/>
              <w:bottom w:val="nil"/>
              <w:right w:val="nil"/>
            </w:tcBorders>
            <w:shd w:val="clear" w:color="auto" w:fill="auto"/>
            <w:noWrap/>
            <w:vAlign w:val="bottom"/>
            <w:hideMark/>
          </w:tcPr>
          <w:p w14:paraId="7375CF8E" w14:textId="125B7B5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A870FA" w14:textId="58432721" w:rsidR="00B23446" w:rsidRDefault="00B23446" w:rsidP="00B2344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E02DA00" w14:textId="0E49F4B1" w:rsidR="00B23446" w:rsidRDefault="00B23446" w:rsidP="00B23446">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6E71E7CC" w14:textId="2803ADB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D666FC" w14:textId="4DDC2745" w:rsidR="00B23446" w:rsidRDefault="00B23446" w:rsidP="00B23446">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16399E5A" w14:textId="286FD8CC" w:rsidR="00B23446" w:rsidRDefault="00B23446" w:rsidP="00B23446">
            <w:pPr>
              <w:jc w:val="right"/>
              <w:rPr>
                <w:color w:val="000000"/>
                <w:sz w:val="20"/>
                <w:szCs w:val="20"/>
              </w:rPr>
            </w:pPr>
            <w:r>
              <w:rPr>
                <w:color w:val="000000"/>
                <w:sz w:val="20"/>
                <w:szCs w:val="20"/>
              </w:rPr>
              <w:t>0.131</w:t>
            </w:r>
          </w:p>
        </w:tc>
        <w:tc>
          <w:tcPr>
            <w:tcW w:w="768" w:type="dxa"/>
            <w:tcBorders>
              <w:top w:val="nil"/>
              <w:left w:val="nil"/>
              <w:bottom w:val="nil"/>
              <w:right w:val="nil"/>
            </w:tcBorders>
            <w:shd w:val="clear" w:color="auto" w:fill="auto"/>
            <w:noWrap/>
            <w:vAlign w:val="bottom"/>
            <w:hideMark/>
          </w:tcPr>
          <w:p w14:paraId="3B7C9D24" w14:textId="6580BA31" w:rsidR="00B23446" w:rsidRDefault="00B23446" w:rsidP="00B23446">
            <w:pPr>
              <w:jc w:val="right"/>
              <w:rPr>
                <w:color w:val="000000"/>
                <w:sz w:val="20"/>
                <w:szCs w:val="20"/>
              </w:rPr>
            </w:pPr>
            <w:r>
              <w:rPr>
                <w:color w:val="000000"/>
                <w:sz w:val="20"/>
                <w:szCs w:val="20"/>
              </w:rPr>
              <w:t>0.005</w:t>
            </w:r>
          </w:p>
        </w:tc>
      </w:tr>
      <w:tr w:rsidR="00B23446" w14:paraId="6286C17C" w14:textId="77777777" w:rsidTr="006909E3">
        <w:trPr>
          <w:trHeight w:val="320"/>
        </w:trPr>
        <w:tc>
          <w:tcPr>
            <w:tcW w:w="1176" w:type="dxa"/>
            <w:tcBorders>
              <w:top w:val="nil"/>
              <w:left w:val="nil"/>
              <w:bottom w:val="single" w:sz="4" w:space="0" w:color="auto"/>
              <w:right w:val="nil"/>
            </w:tcBorders>
            <w:shd w:val="clear" w:color="auto" w:fill="auto"/>
            <w:noWrap/>
            <w:vAlign w:val="bottom"/>
            <w:hideMark/>
          </w:tcPr>
          <w:p w14:paraId="7BED6940"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DEBAD51"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564DA03" w14:textId="722AFBFD" w:rsidR="00B23446" w:rsidRDefault="00B23446" w:rsidP="00B23446">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790C79E8" w14:textId="2E0CCE49" w:rsidR="00B23446" w:rsidRDefault="00B23446" w:rsidP="00B23446">
            <w:pPr>
              <w:jc w:val="right"/>
              <w:rPr>
                <w:color w:val="000000"/>
                <w:sz w:val="20"/>
                <w:szCs w:val="20"/>
              </w:rPr>
            </w:pPr>
            <w:r>
              <w:rPr>
                <w:color w:val="000000"/>
                <w:sz w:val="20"/>
                <w:szCs w:val="20"/>
              </w:rPr>
              <w:t>0.746</w:t>
            </w:r>
          </w:p>
        </w:tc>
        <w:tc>
          <w:tcPr>
            <w:tcW w:w="768" w:type="dxa"/>
            <w:tcBorders>
              <w:top w:val="nil"/>
              <w:left w:val="nil"/>
              <w:bottom w:val="single" w:sz="4" w:space="0" w:color="auto"/>
              <w:right w:val="nil"/>
            </w:tcBorders>
            <w:shd w:val="clear" w:color="auto" w:fill="auto"/>
            <w:noWrap/>
            <w:vAlign w:val="bottom"/>
            <w:hideMark/>
          </w:tcPr>
          <w:p w14:paraId="6EADAACC" w14:textId="46C25368"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77E3525" w14:textId="20DB5747"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5FC9889B" w14:textId="130CD7C5" w:rsidR="00B23446" w:rsidRDefault="00B23446" w:rsidP="00B23446">
            <w:pPr>
              <w:jc w:val="right"/>
              <w:rPr>
                <w:color w:val="000000"/>
                <w:sz w:val="20"/>
                <w:szCs w:val="20"/>
              </w:rPr>
            </w:pPr>
            <w:r>
              <w:rPr>
                <w:color w:val="000000"/>
                <w:sz w:val="20"/>
                <w:szCs w:val="20"/>
              </w:rPr>
              <w:t>0.813</w:t>
            </w:r>
          </w:p>
        </w:tc>
        <w:tc>
          <w:tcPr>
            <w:tcW w:w="768" w:type="dxa"/>
            <w:tcBorders>
              <w:top w:val="nil"/>
              <w:left w:val="nil"/>
              <w:bottom w:val="single" w:sz="4" w:space="0" w:color="auto"/>
              <w:right w:val="nil"/>
            </w:tcBorders>
            <w:shd w:val="clear" w:color="auto" w:fill="auto"/>
            <w:noWrap/>
            <w:vAlign w:val="bottom"/>
            <w:hideMark/>
          </w:tcPr>
          <w:p w14:paraId="518A9D0A" w14:textId="16B0BB6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DB776B4" w14:textId="0137183A" w:rsidR="00B23446" w:rsidRDefault="00B23446" w:rsidP="00B23446">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1251AAB7" w14:textId="248E5D01" w:rsidR="00B23446" w:rsidRDefault="00B23446" w:rsidP="00B23446">
            <w:pPr>
              <w:jc w:val="right"/>
              <w:rPr>
                <w:color w:val="000000"/>
                <w:sz w:val="20"/>
                <w:szCs w:val="20"/>
              </w:rPr>
            </w:pPr>
            <w:r>
              <w:rPr>
                <w:color w:val="000000"/>
                <w:sz w:val="20"/>
                <w:szCs w:val="20"/>
              </w:rPr>
              <w:t>0.609</w:t>
            </w:r>
          </w:p>
        </w:tc>
        <w:tc>
          <w:tcPr>
            <w:tcW w:w="768" w:type="dxa"/>
            <w:tcBorders>
              <w:top w:val="nil"/>
              <w:left w:val="nil"/>
              <w:bottom w:val="single" w:sz="4" w:space="0" w:color="auto"/>
              <w:right w:val="nil"/>
            </w:tcBorders>
            <w:shd w:val="clear" w:color="auto" w:fill="auto"/>
            <w:noWrap/>
            <w:vAlign w:val="bottom"/>
            <w:hideMark/>
          </w:tcPr>
          <w:p w14:paraId="620EE15B" w14:textId="0BD39D5F"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FE846B5" w14:textId="1B006E06" w:rsidR="00B23446" w:rsidRDefault="00B23446" w:rsidP="00B23446">
            <w:pPr>
              <w:jc w:val="right"/>
              <w:rPr>
                <w:color w:val="000000"/>
                <w:sz w:val="20"/>
                <w:szCs w:val="20"/>
              </w:rPr>
            </w:pPr>
            <w:r>
              <w:rPr>
                <w:color w:val="000000"/>
                <w:sz w:val="20"/>
                <w:szCs w:val="20"/>
              </w:rPr>
              <w:t>-0.050</w:t>
            </w:r>
          </w:p>
        </w:tc>
        <w:tc>
          <w:tcPr>
            <w:tcW w:w="768" w:type="dxa"/>
            <w:tcBorders>
              <w:top w:val="nil"/>
              <w:left w:val="nil"/>
              <w:bottom w:val="single" w:sz="4" w:space="0" w:color="auto"/>
              <w:right w:val="nil"/>
            </w:tcBorders>
            <w:shd w:val="clear" w:color="auto" w:fill="auto"/>
            <w:noWrap/>
            <w:vAlign w:val="bottom"/>
            <w:hideMark/>
          </w:tcPr>
          <w:p w14:paraId="3CED881D" w14:textId="0C783944" w:rsidR="00B23446" w:rsidRDefault="00B23446" w:rsidP="00B23446">
            <w:pPr>
              <w:jc w:val="right"/>
              <w:rPr>
                <w:color w:val="000000"/>
                <w:sz w:val="20"/>
                <w:szCs w:val="20"/>
              </w:rPr>
            </w:pPr>
            <w:r>
              <w:rPr>
                <w:color w:val="000000"/>
                <w:sz w:val="20"/>
                <w:szCs w:val="20"/>
              </w:rPr>
              <w:t>0.528</w:t>
            </w:r>
          </w:p>
        </w:tc>
        <w:tc>
          <w:tcPr>
            <w:tcW w:w="768" w:type="dxa"/>
            <w:tcBorders>
              <w:top w:val="nil"/>
              <w:left w:val="nil"/>
              <w:bottom w:val="single" w:sz="4" w:space="0" w:color="auto"/>
              <w:right w:val="nil"/>
            </w:tcBorders>
            <w:shd w:val="clear" w:color="auto" w:fill="auto"/>
            <w:noWrap/>
            <w:vAlign w:val="bottom"/>
            <w:hideMark/>
          </w:tcPr>
          <w:p w14:paraId="7F8B8BD6" w14:textId="69EA6013"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27807FA3" w14:textId="1736C8CD"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07AD6377" w14:textId="501F5BF7" w:rsidR="00B23446" w:rsidRDefault="00B23446" w:rsidP="00B23446">
            <w:pPr>
              <w:jc w:val="right"/>
              <w:rPr>
                <w:color w:val="000000"/>
                <w:sz w:val="20"/>
                <w:szCs w:val="20"/>
              </w:rPr>
            </w:pPr>
            <w:r>
              <w:rPr>
                <w:color w:val="000000"/>
                <w:sz w:val="20"/>
                <w:szCs w:val="20"/>
              </w:rPr>
              <w:t>0.842</w:t>
            </w:r>
          </w:p>
        </w:tc>
        <w:tc>
          <w:tcPr>
            <w:tcW w:w="768" w:type="dxa"/>
            <w:tcBorders>
              <w:top w:val="nil"/>
              <w:left w:val="nil"/>
              <w:bottom w:val="single" w:sz="4" w:space="0" w:color="auto"/>
              <w:right w:val="nil"/>
            </w:tcBorders>
            <w:shd w:val="clear" w:color="auto" w:fill="auto"/>
            <w:noWrap/>
            <w:vAlign w:val="bottom"/>
            <w:hideMark/>
          </w:tcPr>
          <w:p w14:paraId="21CD7824" w14:textId="57EF624B" w:rsidR="00B23446" w:rsidRDefault="00B23446" w:rsidP="00B23446">
            <w:pPr>
              <w:jc w:val="right"/>
              <w:rPr>
                <w:color w:val="000000"/>
                <w:sz w:val="20"/>
                <w:szCs w:val="20"/>
              </w:rPr>
            </w:pPr>
            <w:r>
              <w:rPr>
                <w:color w:val="000000"/>
                <w:sz w:val="20"/>
                <w:szCs w:val="20"/>
              </w:rPr>
              <w:t>0.000</w:t>
            </w:r>
          </w:p>
        </w:tc>
      </w:tr>
      <w:tr w:rsidR="00B23446" w14:paraId="1D568BBD" w14:textId="77777777" w:rsidTr="006909E3">
        <w:trPr>
          <w:trHeight w:val="320"/>
        </w:trPr>
        <w:tc>
          <w:tcPr>
            <w:tcW w:w="1176" w:type="dxa"/>
            <w:tcBorders>
              <w:top w:val="nil"/>
              <w:left w:val="nil"/>
              <w:bottom w:val="nil"/>
              <w:right w:val="nil"/>
            </w:tcBorders>
            <w:shd w:val="clear" w:color="auto" w:fill="auto"/>
            <w:noWrap/>
            <w:vAlign w:val="bottom"/>
            <w:hideMark/>
          </w:tcPr>
          <w:p w14:paraId="66B9AC07" w14:textId="77777777" w:rsidR="00B23446" w:rsidRDefault="00B23446" w:rsidP="00B23446">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7C097DA7"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3266C34" w14:textId="6E6AFDEA"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411B62C" w14:textId="0ED24744" w:rsidR="00B23446" w:rsidRDefault="00B23446" w:rsidP="00B23446">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7686810F" w14:textId="330EE5E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121CCE" w14:textId="67170CF9"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EE7C428" w14:textId="5864F910" w:rsidR="00B23446" w:rsidRDefault="00B23446" w:rsidP="00B23446">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2C5D0AA6" w14:textId="700BDAF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6E4D29" w14:textId="4F600F40"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A92E2FB" w14:textId="363CAF5D" w:rsidR="00B23446" w:rsidRDefault="00B23446" w:rsidP="00B23446">
            <w:pPr>
              <w:jc w:val="right"/>
              <w:rPr>
                <w:color w:val="000000"/>
                <w:sz w:val="20"/>
                <w:szCs w:val="20"/>
              </w:rPr>
            </w:pPr>
            <w:r>
              <w:rPr>
                <w:color w:val="000000"/>
                <w:sz w:val="20"/>
                <w:szCs w:val="20"/>
              </w:rPr>
              <w:t>0.796</w:t>
            </w:r>
          </w:p>
        </w:tc>
        <w:tc>
          <w:tcPr>
            <w:tcW w:w="768" w:type="dxa"/>
            <w:tcBorders>
              <w:top w:val="nil"/>
              <w:left w:val="nil"/>
              <w:bottom w:val="nil"/>
              <w:right w:val="nil"/>
            </w:tcBorders>
            <w:shd w:val="clear" w:color="auto" w:fill="auto"/>
            <w:noWrap/>
            <w:vAlign w:val="bottom"/>
            <w:hideMark/>
          </w:tcPr>
          <w:p w14:paraId="401A7CCB" w14:textId="605AA5A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3247C5" w14:textId="2B268508"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AF82A1B" w14:textId="0E593E25" w:rsidR="00B23446" w:rsidRDefault="00B23446" w:rsidP="00B23446">
            <w:pPr>
              <w:jc w:val="right"/>
              <w:rPr>
                <w:color w:val="000000"/>
                <w:sz w:val="20"/>
                <w:szCs w:val="20"/>
              </w:rPr>
            </w:pPr>
            <w:r>
              <w:rPr>
                <w:color w:val="000000"/>
                <w:sz w:val="20"/>
                <w:szCs w:val="20"/>
              </w:rPr>
              <w:t>0.752</w:t>
            </w:r>
          </w:p>
        </w:tc>
        <w:tc>
          <w:tcPr>
            <w:tcW w:w="768" w:type="dxa"/>
            <w:tcBorders>
              <w:top w:val="nil"/>
              <w:left w:val="nil"/>
              <w:bottom w:val="nil"/>
              <w:right w:val="nil"/>
            </w:tcBorders>
            <w:shd w:val="clear" w:color="auto" w:fill="auto"/>
            <w:noWrap/>
            <w:vAlign w:val="bottom"/>
            <w:hideMark/>
          </w:tcPr>
          <w:p w14:paraId="2D7429F9" w14:textId="0EA2BFA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7AF8F7" w14:textId="1B386823" w:rsidR="00B23446" w:rsidRDefault="00B23446" w:rsidP="00B2344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4AE0ED1" w14:textId="39489C6F" w:rsidR="00B23446" w:rsidRDefault="00B23446" w:rsidP="00B23446">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547B6821" w14:textId="4F905738" w:rsidR="00B23446" w:rsidRDefault="00B23446" w:rsidP="00B23446">
            <w:pPr>
              <w:jc w:val="right"/>
              <w:rPr>
                <w:color w:val="000000"/>
                <w:sz w:val="20"/>
                <w:szCs w:val="20"/>
              </w:rPr>
            </w:pPr>
            <w:r>
              <w:rPr>
                <w:color w:val="000000"/>
                <w:sz w:val="20"/>
                <w:szCs w:val="20"/>
              </w:rPr>
              <w:t>0.001</w:t>
            </w:r>
          </w:p>
        </w:tc>
      </w:tr>
      <w:tr w:rsidR="00B23446" w14:paraId="6D2CDB8A" w14:textId="77777777" w:rsidTr="006909E3">
        <w:trPr>
          <w:trHeight w:val="320"/>
        </w:trPr>
        <w:tc>
          <w:tcPr>
            <w:tcW w:w="1176" w:type="dxa"/>
            <w:tcBorders>
              <w:top w:val="nil"/>
              <w:left w:val="nil"/>
              <w:bottom w:val="nil"/>
              <w:right w:val="nil"/>
            </w:tcBorders>
            <w:shd w:val="clear" w:color="auto" w:fill="auto"/>
            <w:noWrap/>
            <w:vAlign w:val="bottom"/>
            <w:hideMark/>
          </w:tcPr>
          <w:p w14:paraId="1C3B8BA8"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3697623"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FE5E8D7" w14:textId="0E0409EB" w:rsidR="00B23446" w:rsidRDefault="00B23446" w:rsidP="00B2344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2226EEC" w14:textId="4A976FB6" w:rsidR="00B23446" w:rsidRDefault="00B23446" w:rsidP="00B23446">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5E064673" w14:textId="1D0CA91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1C98724" w14:textId="31361164"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B522FFF" w14:textId="5208A4E6" w:rsidR="00B23446" w:rsidRDefault="00B23446" w:rsidP="00B23446">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3B07FACA" w14:textId="260449D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2CF737" w14:textId="026A05EC"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2414DF09" w14:textId="05059787" w:rsidR="00B23446" w:rsidRDefault="00B23446" w:rsidP="00B23446">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4FBD1EE1" w14:textId="1335D168"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55689F0" w14:textId="687BFFBB"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03F67AC2" w14:textId="624B1A1D" w:rsidR="00B23446" w:rsidRDefault="00B23446" w:rsidP="00B23446">
            <w:pPr>
              <w:jc w:val="right"/>
              <w:rPr>
                <w:color w:val="000000"/>
                <w:sz w:val="20"/>
                <w:szCs w:val="20"/>
              </w:rPr>
            </w:pPr>
            <w:r>
              <w:rPr>
                <w:color w:val="000000"/>
                <w:sz w:val="20"/>
                <w:szCs w:val="20"/>
              </w:rPr>
              <w:t>0.606</w:t>
            </w:r>
          </w:p>
        </w:tc>
        <w:tc>
          <w:tcPr>
            <w:tcW w:w="768" w:type="dxa"/>
            <w:tcBorders>
              <w:top w:val="nil"/>
              <w:left w:val="nil"/>
              <w:bottom w:val="nil"/>
              <w:right w:val="nil"/>
            </w:tcBorders>
            <w:shd w:val="clear" w:color="auto" w:fill="auto"/>
            <w:noWrap/>
            <w:vAlign w:val="bottom"/>
            <w:hideMark/>
          </w:tcPr>
          <w:p w14:paraId="21D00B4B" w14:textId="05CFA771"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4DF32B" w14:textId="551A6520" w:rsidR="00B23446" w:rsidRDefault="00B23446" w:rsidP="00B23446">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5A7697EE" w14:textId="37D72A56" w:rsidR="00B23446" w:rsidRDefault="00B23446" w:rsidP="00B23446">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12AF611A" w14:textId="4A89BB68" w:rsidR="00B23446" w:rsidRDefault="00B23446" w:rsidP="00B23446">
            <w:pPr>
              <w:jc w:val="right"/>
              <w:rPr>
                <w:color w:val="000000"/>
                <w:sz w:val="20"/>
                <w:szCs w:val="20"/>
              </w:rPr>
            </w:pPr>
            <w:r>
              <w:rPr>
                <w:color w:val="000000"/>
                <w:sz w:val="20"/>
                <w:szCs w:val="20"/>
              </w:rPr>
              <w:t>0.006</w:t>
            </w:r>
          </w:p>
        </w:tc>
      </w:tr>
      <w:tr w:rsidR="00B23446" w14:paraId="4DEBB3FD" w14:textId="77777777" w:rsidTr="006909E3">
        <w:trPr>
          <w:trHeight w:val="320"/>
        </w:trPr>
        <w:tc>
          <w:tcPr>
            <w:tcW w:w="1176" w:type="dxa"/>
            <w:tcBorders>
              <w:top w:val="nil"/>
              <w:left w:val="nil"/>
              <w:bottom w:val="nil"/>
              <w:right w:val="nil"/>
            </w:tcBorders>
            <w:shd w:val="clear" w:color="auto" w:fill="auto"/>
            <w:noWrap/>
            <w:vAlign w:val="bottom"/>
            <w:hideMark/>
          </w:tcPr>
          <w:p w14:paraId="6CEF26B4"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DACC50C"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810285D" w14:textId="69F46B1A"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EE94ACD" w14:textId="66319F65" w:rsidR="00B23446" w:rsidRDefault="00B23446" w:rsidP="00B23446">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56E7A490" w14:textId="1FFAA8D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A11F87" w14:textId="06ECE03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433125" w14:textId="13065EE9" w:rsidR="00B23446" w:rsidRDefault="00B23446" w:rsidP="00B23446">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33C12DA3" w14:textId="528DE70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008DD9" w14:textId="1426AE4B" w:rsidR="00B23446" w:rsidRDefault="00B23446" w:rsidP="00B2344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14E8A2F" w14:textId="329D20E6" w:rsidR="00B23446" w:rsidRDefault="00B23446" w:rsidP="00B23446">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4D180A6F" w14:textId="1D4B18A5"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552A9A" w14:textId="606E7613" w:rsidR="00B23446" w:rsidRDefault="00B23446" w:rsidP="00B23446">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14502D77" w14:textId="1307905A" w:rsidR="00B23446" w:rsidRDefault="00B23446" w:rsidP="00B23446">
            <w:pPr>
              <w:jc w:val="right"/>
              <w:rPr>
                <w:color w:val="000000"/>
                <w:sz w:val="20"/>
                <w:szCs w:val="20"/>
              </w:rPr>
            </w:pPr>
            <w:r>
              <w:rPr>
                <w:color w:val="000000"/>
                <w:sz w:val="20"/>
                <w:szCs w:val="20"/>
              </w:rPr>
              <w:t>0.244</w:t>
            </w:r>
          </w:p>
        </w:tc>
        <w:tc>
          <w:tcPr>
            <w:tcW w:w="768" w:type="dxa"/>
            <w:tcBorders>
              <w:top w:val="nil"/>
              <w:left w:val="nil"/>
              <w:bottom w:val="nil"/>
              <w:right w:val="nil"/>
            </w:tcBorders>
            <w:shd w:val="clear" w:color="auto" w:fill="auto"/>
            <w:noWrap/>
            <w:vAlign w:val="bottom"/>
            <w:hideMark/>
          </w:tcPr>
          <w:p w14:paraId="62ECE7B3" w14:textId="4F3B8F88"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581A415" w14:textId="45EA656B" w:rsidR="00B23446" w:rsidRDefault="00B23446" w:rsidP="00B23446">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49807C3D" w14:textId="0B50B8D8" w:rsidR="00B23446" w:rsidRDefault="00B23446" w:rsidP="00B23446">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612B1C5B" w14:textId="6D93B77B" w:rsidR="00B23446" w:rsidRDefault="00B23446" w:rsidP="00B23446">
            <w:pPr>
              <w:jc w:val="right"/>
              <w:rPr>
                <w:color w:val="000000"/>
                <w:sz w:val="20"/>
                <w:szCs w:val="20"/>
              </w:rPr>
            </w:pPr>
            <w:r>
              <w:rPr>
                <w:color w:val="000000"/>
                <w:sz w:val="20"/>
                <w:szCs w:val="20"/>
              </w:rPr>
              <w:t>0.007</w:t>
            </w:r>
          </w:p>
        </w:tc>
      </w:tr>
      <w:tr w:rsidR="00B23446" w14:paraId="15F21F2C" w14:textId="77777777" w:rsidTr="006909E3">
        <w:trPr>
          <w:trHeight w:val="320"/>
        </w:trPr>
        <w:tc>
          <w:tcPr>
            <w:tcW w:w="1176" w:type="dxa"/>
            <w:tcBorders>
              <w:top w:val="nil"/>
              <w:left w:val="nil"/>
              <w:bottom w:val="nil"/>
              <w:right w:val="nil"/>
            </w:tcBorders>
            <w:shd w:val="clear" w:color="auto" w:fill="auto"/>
            <w:noWrap/>
            <w:vAlign w:val="bottom"/>
            <w:hideMark/>
          </w:tcPr>
          <w:p w14:paraId="6664BE16"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DD2F47"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D6B961A" w14:textId="3C9F6245" w:rsidR="00B23446" w:rsidRDefault="00B23446" w:rsidP="00B2344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36A3F16" w14:textId="43FDF1B0" w:rsidR="00B23446" w:rsidRDefault="00B23446" w:rsidP="00B23446">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1E02E817" w14:textId="794919C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8E7D90" w14:textId="2D2139CB"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2573FAE5" w14:textId="5F7B69BF" w:rsidR="00B23446" w:rsidRDefault="00B23446" w:rsidP="00B23446">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6D6CE726" w14:textId="0DA09C12"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5EC9358" w14:textId="65B6569A" w:rsidR="00B23446" w:rsidRDefault="00B23446" w:rsidP="00B2344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FDD583B" w14:textId="73B6A587" w:rsidR="00B23446" w:rsidRDefault="00B23446" w:rsidP="00B23446">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498EB14A" w14:textId="31F540B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344645" w14:textId="6B0AB77A"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A786523" w14:textId="1296D833" w:rsidR="00B23446" w:rsidRDefault="00B23446" w:rsidP="00B23446">
            <w:pPr>
              <w:jc w:val="right"/>
              <w:rPr>
                <w:color w:val="000000"/>
                <w:sz w:val="20"/>
                <w:szCs w:val="20"/>
              </w:rPr>
            </w:pPr>
            <w:r>
              <w:rPr>
                <w:color w:val="000000"/>
                <w:sz w:val="20"/>
                <w:szCs w:val="20"/>
              </w:rPr>
              <w:t>0.777</w:t>
            </w:r>
          </w:p>
        </w:tc>
        <w:tc>
          <w:tcPr>
            <w:tcW w:w="768" w:type="dxa"/>
            <w:tcBorders>
              <w:top w:val="nil"/>
              <w:left w:val="nil"/>
              <w:bottom w:val="nil"/>
              <w:right w:val="nil"/>
            </w:tcBorders>
            <w:shd w:val="clear" w:color="auto" w:fill="auto"/>
            <w:noWrap/>
            <w:vAlign w:val="bottom"/>
            <w:hideMark/>
          </w:tcPr>
          <w:p w14:paraId="67CCBFAA" w14:textId="13A230F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E1C655" w14:textId="51A375A1"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4828218" w14:textId="062B3964" w:rsidR="00B23446" w:rsidRDefault="00B23446" w:rsidP="00B23446">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2DC5BD0B" w14:textId="5727F0CB" w:rsidR="00B23446" w:rsidRDefault="00B23446" w:rsidP="00B23446">
            <w:pPr>
              <w:jc w:val="right"/>
              <w:rPr>
                <w:color w:val="000000"/>
                <w:sz w:val="20"/>
                <w:szCs w:val="20"/>
              </w:rPr>
            </w:pPr>
            <w:r>
              <w:rPr>
                <w:color w:val="000000"/>
                <w:sz w:val="20"/>
                <w:szCs w:val="20"/>
              </w:rPr>
              <w:t>0.000</w:t>
            </w:r>
          </w:p>
        </w:tc>
      </w:tr>
      <w:tr w:rsidR="00B23446" w14:paraId="723DB62B" w14:textId="77777777" w:rsidTr="006909E3">
        <w:trPr>
          <w:trHeight w:val="320"/>
        </w:trPr>
        <w:tc>
          <w:tcPr>
            <w:tcW w:w="1176" w:type="dxa"/>
            <w:tcBorders>
              <w:top w:val="nil"/>
              <w:left w:val="nil"/>
              <w:bottom w:val="nil"/>
              <w:right w:val="nil"/>
            </w:tcBorders>
            <w:shd w:val="clear" w:color="auto" w:fill="auto"/>
            <w:noWrap/>
            <w:vAlign w:val="bottom"/>
            <w:hideMark/>
          </w:tcPr>
          <w:p w14:paraId="04A29C1A"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D4B3F00"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ABCCD9F" w14:textId="61C1605C" w:rsidR="00B23446" w:rsidRDefault="00B23446" w:rsidP="00B23446">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382938E2" w14:textId="0EB2BB9B" w:rsidR="00B23446" w:rsidRDefault="00B23446" w:rsidP="00B23446">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20781424" w14:textId="52EBD89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A95AFB" w14:textId="39A6DBF8"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11427FA" w14:textId="41003230" w:rsidR="00B23446" w:rsidRDefault="00B23446" w:rsidP="00B23446">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6D4E5EA9" w14:textId="656F095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92661D" w14:textId="29A70062" w:rsidR="00B23446" w:rsidRDefault="00B23446" w:rsidP="00B2344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56455F3" w14:textId="09CD0324" w:rsidR="00B23446" w:rsidRDefault="00B23446" w:rsidP="00B23446">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25424F61" w14:textId="698776D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BEBF8B4" w14:textId="33E368BF" w:rsidR="00B23446" w:rsidRDefault="00B23446" w:rsidP="00B23446">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6B101A3" w14:textId="5B5CD523" w:rsidR="00B23446" w:rsidRDefault="00B23446" w:rsidP="00B23446">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6F988196" w14:textId="5171825C"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8B03A3F" w14:textId="25AA5E08" w:rsidR="00B23446" w:rsidRDefault="00B23446" w:rsidP="00B23446">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BB76C50" w14:textId="7C89D0DB" w:rsidR="00B23446" w:rsidRDefault="00B23446" w:rsidP="00B23446">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36C30258" w14:textId="7CBC1D0D" w:rsidR="00B23446" w:rsidRDefault="00B23446" w:rsidP="00B23446">
            <w:pPr>
              <w:jc w:val="right"/>
              <w:rPr>
                <w:color w:val="000000"/>
                <w:sz w:val="20"/>
                <w:szCs w:val="20"/>
              </w:rPr>
            </w:pPr>
            <w:r>
              <w:rPr>
                <w:color w:val="000000"/>
                <w:sz w:val="20"/>
                <w:szCs w:val="20"/>
              </w:rPr>
              <w:t>0.001</w:t>
            </w:r>
          </w:p>
        </w:tc>
      </w:tr>
      <w:tr w:rsidR="00B23446" w14:paraId="0076B83A" w14:textId="77777777" w:rsidTr="006909E3">
        <w:trPr>
          <w:trHeight w:val="320"/>
        </w:trPr>
        <w:tc>
          <w:tcPr>
            <w:tcW w:w="1176" w:type="dxa"/>
            <w:tcBorders>
              <w:top w:val="nil"/>
              <w:left w:val="nil"/>
              <w:bottom w:val="nil"/>
              <w:right w:val="nil"/>
            </w:tcBorders>
            <w:shd w:val="clear" w:color="auto" w:fill="auto"/>
            <w:noWrap/>
            <w:vAlign w:val="bottom"/>
            <w:hideMark/>
          </w:tcPr>
          <w:p w14:paraId="44828569"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44D54D"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1B7C1BE" w14:textId="1BA8E4A5" w:rsidR="00B23446" w:rsidRDefault="00B23446" w:rsidP="00B23446">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51905689" w14:textId="09231F6F" w:rsidR="00B23446" w:rsidRDefault="00B23446" w:rsidP="00B23446">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2954AEAC" w14:textId="0E03FE53"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0BDBB5A" w14:textId="257727C6"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9C92E61" w14:textId="40215BE0" w:rsidR="00B23446" w:rsidRDefault="00B23446" w:rsidP="00B23446">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36053267" w14:textId="3C8714E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6B7A4E" w14:textId="4F9AE876"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3FB07E" w14:textId="75208CDC" w:rsidR="00B23446" w:rsidRDefault="00B23446" w:rsidP="00B23446">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4462A76B" w14:textId="3EF7876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BD8A6B" w14:textId="67328690" w:rsidR="00B23446" w:rsidRDefault="00B23446" w:rsidP="00B2344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D73D67A" w14:textId="6555DE3A" w:rsidR="00B23446" w:rsidRDefault="00B23446" w:rsidP="00B23446">
            <w:pPr>
              <w:jc w:val="right"/>
              <w:rPr>
                <w:color w:val="000000"/>
                <w:sz w:val="20"/>
                <w:szCs w:val="20"/>
              </w:rPr>
            </w:pPr>
            <w:r>
              <w:rPr>
                <w:color w:val="000000"/>
                <w:sz w:val="20"/>
                <w:szCs w:val="20"/>
              </w:rPr>
              <w:t>0.606</w:t>
            </w:r>
          </w:p>
        </w:tc>
        <w:tc>
          <w:tcPr>
            <w:tcW w:w="768" w:type="dxa"/>
            <w:tcBorders>
              <w:top w:val="nil"/>
              <w:left w:val="nil"/>
              <w:bottom w:val="nil"/>
              <w:right w:val="nil"/>
            </w:tcBorders>
            <w:shd w:val="clear" w:color="auto" w:fill="auto"/>
            <w:noWrap/>
            <w:vAlign w:val="bottom"/>
            <w:hideMark/>
          </w:tcPr>
          <w:p w14:paraId="3FF7FB95" w14:textId="4064F78D"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7B673C" w14:textId="65360AE1" w:rsidR="00B23446" w:rsidRDefault="00B23446" w:rsidP="00B23446">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4434360C" w14:textId="386BFA8A" w:rsidR="00B23446" w:rsidRDefault="00B23446" w:rsidP="00B23446">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220A4E9E" w14:textId="7B5EB024" w:rsidR="00B23446" w:rsidRDefault="00B23446" w:rsidP="00B23446">
            <w:pPr>
              <w:jc w:val="right"/>
              <w:rPr>
                <w:color w:val="000000"/>
                <w:sz w:val="20"/>
                <w:szCs w:val="20"/>
              </w:rPr>
            </w:pPr>
            <w:r>
              <w:rPr>
                <w:color w:val="000000"/>
                <w:sz w:val="20"/>
                <w:szCs w:val="20"/>
              </w:rPr>
              <w:t>0.001</w:t>
            </w:r>
          </w:p>
        </w:tc>
      </w:tr>
      <w:tr w:rsidR="00B23446" w14:paraId="0F2AD584" w14:textId="77777777" w:rsidTr="006909E3">
        <w:trPr>
          <w:trHeight w:val="320"/>
        </w:trPr>
        <w:tc>
          <w:tcPr>
            <w:tcW w:w="1176" w:type="dxa"/>
            <w:tcBorders>
              <w:top w:val="nil"/>
              <w:left w:val="nil"/>
              <w:bottom w:val="nil"/>
              <w:right w:val="nil"/>
            </w:tcBorders>
            <w:shd w:val="clear" w:color="auto" w:fill="auto"/>
            <w:noWrap/>
            <w:vAlign w:val="bottom"/>
            <w:hideMark/>
          </w:tcPr>
          <w:p w14:paraId="65863EB8"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A20F4C8"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D5B7D18" w14:textId="4220707D" w:rsidR="00B23446" w:rsidRDefault="00B23446" w:rsidP="00B2344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09DAAC6E" w14:textId="1306833D" w:rsidR="00B23446" w:rsidRDefault="00B23446" w:rsidP="00B23446">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2515BFF8" w14:textId="2A3FC6FE"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E7255EC" w14:textId="06BAA024"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3572DDB" w14:textId="127EDF28" w:rsidR="00B23446" w:rsidRDefault="00B23446" w:rsidP="00B23446">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1286EC59" w14:textId="483922C3"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25D83D" w14:textId="77CF2F5D" w:rsidR="00B23446" w:rsidRDefault="00B23446" w:rsidP="00B23446">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FE5880F" w14:textId="0BF1345E" w:rsidR="00B23446" w:rsidRDefault="00B23446" w:rsidP="00B23446">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73A17080" w14:textId="2E087E76"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65E287" w14:textId="678AF9A9" w:rsidR="00B23446" w:rsidRDefault="00B23446" w:rsidP="00B23446">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46B00A9E" w14:textId="505B008B" w:rsidR="00B23446" w:rsidRDefault="00B23446" w:rsidP="00B23446">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6A94245D" w14:textId="3FECE4C3"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044033D" w14:textId="6B263F18" w:rsidR="00B23446" w:rsidRDefault="00B23446" w:rsidP="00B2344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C3D13E0" w14:textId="42C27BF8" w:rsidR="00B23446" w:rsidRDefault="00B23446" w:rsidP="00B23446">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2E30549D" w14:textId="2B5E02DF" w:rsidR="00B23446" w:rsidRDefault="00B23446" w:rsidP="00B23446">
            <w:pPr>
              <w:jc w:val="right"/>
              <w:rPr>
                <w:color w:val="000000"/>
                <w:sz w:val="20"/>
                <w:szCs w:val="20"/>
              </w:rPr>
            </w:pPr>
            <w:r>
              <w:rPr>
                <w:color w:val="000000"/>
                <w:sz w:val="20"/>
                <w:szCs w:val="20"/>
              </w:rPr>
              <w:t>0.001</w:t>
            </w:r>
          </w:p>
        </w:tc>
      </w:tr>
      <w:tr w:rsidR="00B23446" w14:paraId="0E30FE34"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794DF18E"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3E38D52A"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25567A69" w14:textId="48E83F30" w:rsidR="00B23446" w:rsidRDefault="00B23446" w:rsidP="00B23446">
            <w:pPr>
              <w:jc w:val="right"/>
              <w:rPr>
                <w:color w:val="000000"/>
                <w:sz w:val="20"/>
                <w:szCs w:val="20"/>
              </w:rPr>
            </w:pPr>
            <w:r>
              <w:rPr>
                <w:color w:val="000000"/>
                <w:sz w:val="20"/>
                <w:szCs w:val="20"/>
              </w:rPr>
              <w:t>0.039</w:t>
            </w:r>
          </w:p>
        </w:tc>
        <w:tc>
          <w:tcPr>
            <w:tcW w:w="768" w:type="dxa"/>
            <w:tcBorders>
              <w:top w:val="nil"/>
              <w:left w:val="nil"/>
              <w:bottom w:val="single" w:sz="12" w:space="0" w:color="auto"/>
              <w:right w:val="nil"/>
            </w:tcBorders>
            <w:shd w:val="clear" w:color="auto" w:fill="auto"/>
            <w:noWrap/>
            <w:vAlign w:val="bottom"/>
            <w:hideMark/>
          </w:tcPr>
          <w:p w14:paraId="01A2D2EF" w14:textId="23D1E974" w:rsidR="00B23446" w:rsidRDefault="00B23446" w:rsidP="00B23446">
            <w:pPr>
              <w:jc w:val="right"/>
              <w:rPr>
                <w:color w:val="000000"/>
                <w:sz w:val="20"/>
                <w:szCs w:val="20"/>
              </w:rPr>
            </w:pPr>
            <w:r>
              <w:rPr>
                <w:color w:val="000000"/>
                <w:sz w:val="20"/>
                <w:szCs w:val="20"/>
              </w:rPr>
              <w:t>0.522</w:t>
            </w:r>
          </w:p>
        </w:tc>
        <w:tc>
          <w:tcPr>
            <w:tcW w:w="768" w:type="dxa"/>
            <w:tcBorders>
              <w:top w:val="nil"/>
              <w:left w:val="nil"/>
              <w:bottom w:val="single" w:sz="12" w:space="0" w:color="auto"/>
              <w:right w:val="nil"/>
            </w:tcBorders>
            <w:shd w:val="clear" w:color="auto" w:fill="auto"/>
            <w:noWrap/>
            <w:vAlign w:val="bottom"/>
            <w:hideMark/>
          </w:tcPr>
          <w:p w14:paraId="5E82C48F" w14:textId="6040C050"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59BB8275" w14:textId="46616D21"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single" w:sz="12" w:space="0" w:color="auto"/>
              <w:right w:val="nil"/>
            </w:tcBorders>
            <w:shd w:val="clear" w:color="auto" w:fill="auto"/>
            <w:noWrap/>
            <w:vAlign w:val="bottom"/>
            <w:hideMark/>
          </w:tcPr>
          <w:p w14:paraId="0988A603" w14:textId="17E24902" w:rsidR="00B23446" w:rsidRDefault="00B23446" w:rsidP="00B23446">
            <w:pPr>
              <w:jc w:val="right"/>
              <w:rPr>
                <w:color w:val="000000"/>
                <w:sz w:val="20"/>
                <w:szCs w:val="20"/>
              </w:rPr>
            </w:pPr>
            <w:r>
              <w:rPr>
                <w:color w:val="000000"/>
                <w:sz w:val="20"/>
                <w:szCs w:val="20"/>
              </w:rPr>
              <w:t>1.000</w:t>
            </w:r>
          </w:p>
        </w:tc>
        <w:tc>
          <w:tcPr>
            <w:tcW w:w="768" w:type="dxa"/>
            <w:tcBorders>
              <w:top w:val="nil"/>
              <w:left w:val="nil"/>
              <w:bottom w:val="single" w:sz="12" w:space="0" w:color="auto"/>
              <w:right w:val="nil"/>
            </w:tcBorders>
            <w:shd w:val="clear" w:color="auto" w:fill="auto"/>
            <w:noWrap/>
            <w:vAlign w:val="bottom"/>
            <w:hideMark/>
          </w:tcPr>
          <w:p w14:paraId="5A557CF5" w14:textId="27C4E66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1CA7A1DE" w14:textId="32E2630E"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single" w:sz="12" w:space="0" w:color="auto"/>
              <w:right w:val="nil"/>
            </w:tcBorders>
            <w:shd w:val="clear" w:color="auto" w:fill="auto"/>
            <w:noWrap/>
            <w:vAlign w:val="bottom"/>
            <w:hideMark/>
          </w:tcPr>
          <w:p w14:paraId="65F97379" w14:textId="1A55A6CD" w:rsidR="00B23446" w:rsidRDefault="00B23446" w:rsidP="00B23446">
            <w:pPr>
              <w:jc w:val="right"/>
              <w:rPr>
                <w:color w:val="000000"/>
                <w:sz w:val="20"/>
                <w:szCs w:val="20"/>
              </w:rPr>
            </w:pPr>
            <w:r>
              <w:rPr>
                <w:color w:val="000000"/>
                <w:sz w:val="20"/>
                <w:szCs w:val="20"/>
              </w:rPr>
              <w:t>0.832</w:t>
            </w:r>
          </w:p>
        </w:tc>
        <w:tc>
          <w:tcPr>
            <w:tcW w:w="768" w:type="dxa"/>
            <w:tcBorders>
              <w:top w:val="nil"/>
              <w:left w:val="nil"/>
              <w:bottom w:val="single" w:sz="12" w:space="0" w:color="auto"/>
              <w:right w:val="nil"/>
            </w:tcBorders>
            <w:shd w:val="clear" w:color="auto" w:fill="auto"/>
            <w:noWrap/>
            <w:vAlign w:val="bottom"/>
            <w:hideMark/>
          </w:tcPr>
          <w:p w14:paraId="2DCFE125" w14:textId="2E86D26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1AFD0968" w14:textId="3914431E"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785EA0C3" w14:textId="44D7AF00" w:rsidR="00B23446" w:rsidRDefault="00B23446" w:rsidP="00B23446">
            <w:pPr>
              <w:jc w:val="right"/>
              <w:rPr>
                <w:color w:val="000000"/>
                <w:sz w:val="20"/>
                <w:szCs w:val="20"/>
              </w:rPr>
            </w:pPr>
            <w:r>
              <w:rPr>
                <w:color w:val="000000"/>
                <w:sz w:val="20"/>
                <w:szCs w:val="20"/>
              </w:rPr>
              <w:t>0.920</w:t>
            </w:r>
          </w:p>
        </w:tc>
        <w:tc>
          <w:tcPr>
            <w:tcW w:w="768" w:type="dxa"/>
            <w:tcBorders>
              <w:top w:val="nil"/>
              <w:left w:val="nil"/>
              <w:bottom w:val="single" w:sz="12" w:space="0" w:color="auto"/>
              <w:right w:val="nil"/>
            </w:tcBorders>
            <w:shd w:val="clear" w:color="auto" w:fill="auto"/>
            <w:noWrap/>
            <w:vAlign w:val="bottom"/>
            <w:hideMark/>
          </w:tcPr>
          <w:p w14:paraId="614A4BB4" w14:textId="2F90FD3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A4723C2" w14:textId="0E5C9F1A"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1633D4D9" w14:textId="31504DFC" w:rsidR="00B23446" w:rsidRDefault="00B23446" w:rsidP="00B23446">
            <w:pPr>
              <w:jc w:val="right"/>
              <w:rPr>
                <w:color w:val="000000"/>
                <w:sz w:val="20"/>
                <w:szCs w:val="20"/>
              </w:rPr>
            </w:pPr>
            <w:r>
              <w:rPr>
                <w:color w:val="000000"/>
                <w:sz w:val="20"/>
                <w:szCs w:val="20"/>
              </w:rPr>
              <w:t>0.773</w:t>
            </w:r>
          </w:p>
        </w:tc>
        <w:tc>
          <w:tcPr>
            <w:tcW w:w="768" w:type="dxa"/>
            <w:tcBorders>
              <w:top w:val="nil"/>
              <w:left w:val="nil"/>
              <w:bottom w:val="single" w:sz="12" w:space="0" w:color="auto"/>
              <w:right w:val="nil"/>
            </w:tcBorders>
            <w:shd w:val="clear" w:color="auto" w:fill="auto"/>
            <w:noWrap/>
            <w:vAlign w:val="bottom"/>
            <w:hideMark/>
          </w:tcPr>
          <w:p w14:paraId="5D79369D" w14:textId="6FEF30F5" w:rsidR="00B23446" w:rsidRDefault="00B23446" w:rsidP="00B23446">
            <w:pPr>
              <w:jc w:val="right"/>
              <w:rPr>
                <w:color w:val="000000"/>
                <w:sz w:val="20"/>
                <w:szCs w:val="20"/>
              </w:rPr>
            </w:pPr>
            <w:r>
              <w:rPr>
                <w:color w:val="000000"/>
                <w:sz w:val="20"/>
                <w:szCs w:val="20"/>
              </w:rPr>
              <w:t>0.000</w:t>
            </w:r>
          </w:p>
        </w:tc>
      </w:tr>
      <w:tr w:rsidR="006909E3" w14:paraId="18D34DAD"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0894CA37" w14:textId="77777777" w:rsidR="006909E3" w:rsidRDefault="006909E3">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4F1E51BB" w14:textId="77777777" w:rsidR="006909E3" w:rsidRDefault="006909E3">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59326426"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D38F140"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C8C103A"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4572ACD"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F120158"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0CA6504"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F91E7F9"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B7D2B07"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BE87C65"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0F8E1CB"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6FAFDF1"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5ECCE30"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8AEAD6D"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0400BF6" w14:textId="77777777" w:rsidR="006909E3" w:rsidRDefault="006909E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4179C49" w14:textId="77777777" w:rsidR="006909E3" w:rsidRDefault="006909E3">
            <w:pPr>
              <w:rPr>
                <w:sz w:val="20"/>
                <w:szCs w:val="20"/>
              </w:rPr>
            </w:pPr>
          </w:p>
        </w:tc>
      </w:tr>
    </w:tbl>
    <w:p w14:paraId="2EF1CACC" w14:textId="03F3E230" w:rsidR="006909E3" w:rsidRDefault="006909E3" w:rsidP="00BA3AF4">
      <w:pPr>
        <w:spacing w:line="480" w:lineRule="auto"/>
      </w:pPr>
    </w:p>
    <w:p w14:paraId="3E3901C3" w14:textId="77777777" w:rsidR="006909E3" w:rsidRDefault="006909E3">
      <w:r>
        <w:br w:type="page"/>
      </w:r>
    </w:p>
    <w:p w14:paraId="2C0563C4" w14:textId="481A461F" w:rsidR="006909E3" w:rsidRPr="009E2A20" w:rsidRDefault="00432B71" w:rsidP="009E2A20">
      <w:pPr>
        <w:pStyle w:val="Heading1"/>
        <w:rPr>
          <w:rFonts w:ascii="Times New Roman" w:hAnsi="Times New Roman" w:cs="Times New Roman"/>
          <w:color w:val="000000" w:themeColor="text1"/>
          <w:sz w:val="24"/>
          <w:szCs w:val="24"/>
        </w:rPr>
      </w:pPr>
      <w:bookmarkStart w:id="39" w:name="_Toc155817706"/>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BC241F">
        <w:rPr>
          <w:rFonts w:ascii="Times New Roman" w:hAnsi="Times New Roman" w:cs="Times New Roman"/>
          <w:b/>
          <w:bCs/>
          <w:color w:val="000000" w:themeColor="text1"/>
          <w:sz w:val="24"/>
          <w:szCs w:val="24"/>
        </w:rPr>
        <w:t>4</w:t>
      </w:r>
      <w:r w:rsidR="006909E3" w:rsidRPr="009E2A20">
        <w:rPr>
          <w:rFonts w:ascii="Times New Roman" w:hAnsi="Times New Roman" w:cs="Times New Roman"/>
          <w:b/>
          <w:bCs/>
          <w:color w:val="000000" w:themeColor="text1"/>
          <w:sz w:val="24"/>
          <w:szCs w:val="24"/>
        </w:rPr>
        <w:t xml:space="preserve">b. </w:t>
      </w:r>
      <w:r w:rsidR="006909E3"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local efficiency during the monetary incentive delay task</w:t>
      </w:r>
      <w:bookmarkEnd w:id="39"/>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2C78E1" w14:paraId="465E652A"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5FE54851" w14:textId="77777777" w:rsidR="002C78E1" w:rsidRDefault="002C78E1">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A142B7B" w14:textId="77777777" w:rsidR="002C78E1" w:rsidRDefault="002C78E1">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72D508A3" w14:textId="77777777" w:rsidR="002C78E1" w:rsidRDefault="002C78E1">
            <w:pPr>
              <w:rPr>
                <w:color w:val="000000"/>
              </w:rPr>
            </w:pPr>
          </w:p>
        </w:tc>
        <w:tc>
          <w:tcPr>
            <w:tcW w:w="768" w:type="dxa"/>
            <w:tcBorders>
              <w:top w:val="nil"/>
              <w:left w:val="nil"/>
              <w:bottom w:val="single" w:sz="12" w:space="0" w:color="auto"/>
              <w:right w:val="nil"/>
            </w:tcBorders>
            <w:shd w:val="clear" w:color="auto" w:fill="auto"/>
            <w:noWrap/>
            <w:vAlign w:val="bottom"/>
            <w:hideMark/>
          </w:tcPr>
          <w:p w14:paraId="71B95843"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E7BF6B3"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4B434AE"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055B03C"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256AA0A"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1C61CF9"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852400C"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66FB9B1"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7339105"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04F3EDE"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B2B7A26"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DFA0A27" w14:textId="77777777" w:rsidR="002C78E1" w:rsidRDefault="002C78E1">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C645642" w14:textId="77777777" w:rsidR="002C78E1" w:rsidRDefault="002C78E1">
            <w:pPr>
              <w:rPr>
                <w:sz w:val="20"/>
                <w:szCs w:val="20"/>
              </w:rPr>
            </w:pPr>
          </w:p>
        </w:tc>
        <w:tc>
          <w:tcPr>
            <w:tcW w:w="768" w:type="dxa"/>
            <w:tcBorders>
              <w:top w:val="nil"/>
              <w:left w:val="nil"/>
              <w:bottom w:val="nil"/>
              <w:right w:val="nil"/>
            </w:tcBorders>
            <w:shd w:val="clear" w:color="auto" w:fill="auto"/>
            <w:noWrap/>
            <w:vAlign w:val="bottom"/>
            <w:hideMark/>
          </w:tcPr>
          <w:p w14:paraId="004DDE86" w14:textId="77777777" w:rsidR="002C78E1" w:rsidRDefault="002C78E1">
            <w:pPr>
              <w:rPr>
                <w:sz w:val="20"/>
                <w:szCs w:val="20"/>
              </w:rPr>
            </w:pPr>
          </w:p>
        </w:tc>
      </w:tr>
      <w:tr w:rsidR="002C78E1" w14:paraId="644F115E" w14:textId="77777777" w:rsidTr="00964DCF">
        <w:trPr>
          <w:trHeight w:val="340"/>
        </w:trPr>
        <w:tc>
          <w:tcPr>
            <w:tcW w:w="1176" w:type="dxa"/>
            <w:tcBorders>
              <w:top w:val="single" w:sz="12" w:space="0" w:color="auto"/>
              <w:left w:val="nil"/>
              <w:bottom w:val="nil"/>
              <w:right w:val="nil"/>
            </w:tcBorders>
            <w:shd w:val="clear" w:color="auto" w:fill="auto"/>
            <w:noWrap/>
            <w:vAlign w:val="bottom"/>
            <w:hideMark/>
          </w:tcPr>
          <w:p w14:paraId="2E5BD5BA" w14:textId="77777777" w:rsidR="002C78E1" w:rsidRDefault="002C78E1">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1422FDCA" w14:textId="77777777" w:rsidR="002C78E1" w:rsidRDefault="002C78E1">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1D6EF139" w14:textId="6F7A29A6" w:rsidR="002C78E1" w:rsidRDefault="002C78E1">
            <w:pPr>
              <w:jc w:val="center"/>
              <w:rPr>
                <w:color w:val="000000"/>
                <w:sz w:val="20"/>
                <w:szCs w:val="20"/>
              </w:rPr>
            </w:pPr>
            <w:r>
              <w:rPr>
                <w:color w:val="000000"/>
                <w:sz w:val="20"/>
                <w:szCs w:val="20"/>
              </w:rPr>
              <w:t>General</w:t>
            </w:r>
            <w:r w:rsidR="00030D95">
              <w:rPr>
                <w:color w:val="000000"/>
                <w:sz w:val="20"/>
                <w:szCs w:val="20"/>
              </w:rPr>
              <w:t xml:space="preserve"> Environ</w:t>
            </w:r>
            <w:r w:rsidR="009E2A20">
              <w:rPr>
                <w:color w:val="000000"/>
                <w:sz w:val="20"/>
                <w:szCs w:val="20"/>
              </w:rPr>
              <w:t>m</w:t>
            </w:r>
            <w:r w:rsidR="00030D95">
              <w:rPr>
                <w:color w:val="000000"/>
                <w:sz w:val="20"/>
                <w:szCs w:val="20"/>
              </w:rPr>
              <w:t>e</w:t>
            </w:r>
            <w:r w:rsidR="009E2A20">
              <w:rPr>
                <w:color w:val="000000"/>
                <w:sz w:val="20"/>
                <w:szCs w:val="20"/>
              </w:rPr>
              <w:t>n</w:t>
            </w:r>
            <w:r w:rsidR="00030D95">
              <w:rPr>
                <w:color w:val="000000"/>
                <w:sz w:val="20"/>
                <w:szCs w:val="20"/>
              </w:rPr>
              <w:t>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428CC15" w14:textId="77777777" w:rsidR="002C78E1" w:rsidRDefault="002C78E1">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C2A1A31" w14:textId="77777777" w:rsidR="002C78E1" w:rsidRDefault="002C78E1">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63BBE77" w14:textId="77777777" w:rsidR="002C78E1" w:rsidRDefault="002C78E1">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5D06AE06" w14:textId="77777777" w:rsidR="002C78E1" w:rsidRDefault="002C78E1">
            <w:pPr>
              <w:jc w:val="center"/>
              <w:rPr>
                <w:color w:val="000000"/>
                <w:sz w:val="20"/>
                <w:szCs w:val="20"/>
              </w:rPr>
            </w:pPr>
            <w:r>
              <w:rPr>
                <w:color w:val="000000"/>
                <w:sz w:val="20"/>
                <w:szCs w:val="20"/>
              </w:rPr>
              <w:t>Urbanicity</w:t>
            </w:r>
          </w:p>
        </w:tc>
      </w:tr>
      <w:tr w:rsidR="002125FE" w14:paraId="6A0C8FBA" w14:textId="77777777" w:rsidTr="00964DCF">
        <w:trPr>
          <w:trHeight w:val="360"/>
        </w:trPr>
        <w:tc>
          <w:tcPr>
            <w:tcW w:w="1176" w:type="dxa"/>
            <w:tcBorders>
              <w:top w:val="nil"/>
              <w:left w:val="nil"/>
              <w:bottom w:val="single" w:sz="12" w:space="0" w:color="auto"/>
              <w:right w:val="nil"/>
            </w:tcBorders>
            <w:shd w:val="clear" w:color="auto" w:fill="auto"/>
            <w:noWrap/>
            <w:vAlign w:val="bottom"/>
            <w:hideMark/>
          </w:tcPr>
          <w:p w14:paraId="485A2049"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449561E4"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31D94BB5" w14:textId="7700D495"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83A3D76" w14:textId="6ED937E1"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D54C87B" w14:textId="1E41B018"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89C172F" w14:textId="590D5E36"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73253B2" w14:textId="7AD7847D"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0C1A389" w14:textId="3902B4B5"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FABB0BC" w14:textId="37DB62FD"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8A800C8" w14:textId="75600958"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0329C06" w14:textId="00535E3F"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09861D5" w14:textId="1953524F"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0EDDF14" w14:textId="2BAB7FAC"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093CCAC" w14:textId="6D4DBC21"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11FA420" w14:textId="5A37253D"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5E8179A" w14:textId="5E1B907F"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3DE165C" w14:textId="62833AD1"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B23446" w14:paraId="16A67EA9"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7EF2B745" w14:textId="77777777" w:rsidR="00B23446" w:rsidRDefault="00B23446" w:rsidP="00B23446">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406DD710" w14:textId="77777777" w:rsidR="00B23446" w:rsidRDefault="00B23446" w:rsidP="00B23446">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50E06A89" w14:textId="20538490" w:rsidR="00B23446" w:rsidRDefault="00B23446" w:rsidP="00B23446">
            <w:pPr>
              <w:jc w:val="right"/>
              <w:rPr>
                <w:color w:val="000000"/>
                <w:sz w:val="20"/>
                <w:szCs w:val="20"/>
              </w:rPr>
            </w:pPr>
            <w:r>
              <w:rPr>
                <w:color w:val="000000"/>
                <w:sz w:val="20"/>
                <w:szCs w:val="20"/>
              </w:rPr>
              <w:t>0.023</w:t>
            </w:r>
          </w:p>
        </w:tc>
        <w:tc>
          <w:tcPr>
            <w:tcW w:w="768" w:type="dxa"/>
            <w:tcBorders>
              <w:top w:val="single" w:sz="12" w:space="0" w:color="auto"/>
              <w:left w:val="nil"/>
              <w:bottom w:val="nil"/>
              <w:right w:val="nil"/>
            </w:tcBorders>
            <w:shd w:val="clear" w:color="auto" w:fill="auto"/>
            <w:noWrap/>
            <w:vAlign w:val="bottom"/>
            <w:hideMark/>
          </w:tcPr>
          <w:p w14:paraId="4C63EEEC" w14:textId="16967EDF" w:rsidR="00B23446" w:rsidRDefault="00B23446" w:rsidP="00B23446">
            <w:pPr>
              <w:jc w:val="right"/>
              <w:rPr>
                <w:color w:val="000000"/>
                <w:sz w:val="20"/>
                <w:szCs w:val="20"/>
              </w:rPr>
            </w:pPr>
            <w:r>
              <w:rPr>
                <w:color w:val="000000"/>
                <w:sz w:val="20"/>
                <w:szCs w:val="20"/>
              </w:rPr>
              <w:t>0.800</w:t>
            </w:r>
          </w:p>
        </w:tc>
        <w:tc>
          <w:tcPr>
            <w:tcW w:w="768" w:type="dxa"/>
            <w:tcBorders>
              <w:top w:val="single" w:sz="12" w:space="0" w:color="auto"/>
              <w:left w:val="nil"/>
              <w:bottom w:val="nil"/>
              <w:right w:val="nil"/>
            </w:tcBorders>
            <w:shd w:val="clear" w:color="auto" w:fill="auto"/>
            <w:noWrap/>
            <w:vAlign w:val="bottom"/>
            <w:hideMark/>
          </w:tcPr>
          <w:p w14:paraId="30D1B5D1" w14:textId="2F0A23FC" w:rsidR="00B23446" w:rsidRDefault="00B23446" w:rsidP="00B23446">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7838E3D8" w14:textId="068DD7AB" w:rsidR="00B23446" w:rsidRDefault="00B23446" w:rsidP="00B23446">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3989DC44" w14:textId="6E5B16AD" w:rsidR="00B23446" w:rsidRDefault="00B23446" w:rsidP="00B23446">
            <w:pPr>
              <w:jc w:val="right"/>
              <w:rPr>
                <w:color w:val="000000"/>
                <w:sz w:val="20"/>
                <w:szCs w:val="20"/>
              </w:rPr>
            </w:pPr>
            <w:r>
              <w:rPr>
                <w:color w:val="000000"/>
                <w:sz w:val="20"/>
                <w:szCs w:val="20"/>
              </w:rPr>
              <w:t>0.799</w:t>
            </w:r>
          </w:p>
        </w:tc>
        <w:tc>
          <w:tcPr>
            <w:tcW w:w="768" w:type="dxa"/>
            <w:tcBorders>
              <w:top w:val="single" w:sz="12" w:space="0" w:color="auto"/>
              <w:left w:val="nil"/>
              <w:bottom w:val="nil"/>
              <w:right w:val="nil"/>
            </w:tcBorders>
            <w:shd w:val="clear" w:color="auto" w:fill="auto"/>
            <w:noWrap/>
            <w:vAlign w:val="bottom"/>
            <w:hideMark/>
          </w:tcPr>
          <w:p w14:paraId="78D3EDD9" w14:textId="095D7A83"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558932B" w14:textId="25EBA876" w:rsidR="00B23446" w:rsidRDefault="00B23446" w:rsidP="00B23446">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6212C3D7" w14:textId="1492B78B" w:rsidR="00B23446" w:rsidRDefault="00B23446" w:rsidP="00B23446">
            <w:pPr>
              <w:jc w:val="right"/>
              <w:rPr>
                <w:color w:val="000000"/>
                <w:sz w:val="20"/>
                <w:szCs w:val="20"/>
              </w:rPr>
            </w:pPr>
            <w:r>
              <w:rPr>
                <w:color w:val="000000"/>
                <w:sz w:val="20"/>
                <w:szCs w:val="20"/>
              </w:rPr>
              <w:t>0.983</w:t>
            </w:r>
          </w:p>
        </w:tc>
        <w:tc>
          <w:tcPr>
            <w:tcW w:w="768" w:type="dxa"/>
            <w:tcBorders>
              <w:top w:val="single" w:sz="12" w:space="0" w:color="auto"/>
              <w:left w:val="nil"/>
              <w:bottom w:val="nil"/>
              <w:right w:val="nil"/>
            </w:tcBorders>
            <w:shd w:val="clear" w:color="auto" w:fill="auto"/>
            <w:noWrap/>
            <w:vAlign w:val="bottom"/>
            <w:hideMark/>
          </w:tcPr>
          <w:p w14:paraId="04F00C9D" w14:textId="73C4E476"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820A008" w14:textId="5D402791" w:rsidR="00B23446" w:rsidRDefault="00B23446" w:rsidP="00B23446">
            <w:pPr>
              <w:jc w:val="right"/>
              <w:rPr>
                <w:color w:val="000000"/>
                <w:sz w:val="20"/>
                <w:szCs w:val="20"/>
              </w:rPr>
            </w:pPr>
            <w:r>
              <w:rPr>
                <w:color w:val="000000"/>
                <w:sz w:val="20"/>
                <w:szCs w:val="20"/>
              </w:rPr>
              <w:t>-0.021</w:t>
            </w:r>
          </w:p>
        </w:tc>
        <w:tc>
          <w:tcPr>
            <w:tcW w:w="768" w:type="dxa"/>
            <w:tcBorders>
              <w:top w:val="single" w:sz="12" w:space="0" w:color="auto"/>
              <w:left w:val="nil"/>
              <w:bottom w:val="nil"/>
              <w:right w:val="nil"/>
            </w:tcBorders>
            <w:shd w:val="clear" w:color="auto" w:fill="auto"/>
            <w:noWrap/>
            <w:vAlign w:val="bottom"/>
            <w:hideMark/>
          </w:tcPr>
          <w:p w14:paraId="66A800D6" w14:textId="4A9D6567" w:rsidR="00B23446" w:rsidRDefault="00B23446" w:rsidP="00B23446">
            <w:pPr>
              <w:jc w:val="right"/>
              <w:rPr>
                <w:color w:val="000000"/>
                <w:sz w:val="20"/>
                <w:szCs w:val="20"/>
              </w:rPr>
            </w:pPr>
            <w:r>
              <w:rPr>
                <w:color w:val="000000"/>
                <w:sz w:val="20"/>
                <w:szCs w:val="20"/>
              </w:rPr>
              <w:t>0.704</w:t>
            </w:r>
          </w:p>
        </w:tc>
        <w:tc>
          <w:tcPr>
            <w:tcW w:w="768" w:type="dxa"/>
            <w:tcBorders>
              <w:top w:val="single" w:sz="12" w:space="0" w:color="auto"/>
              <w:left w:val="nil"/>
              <w:bottom w:val="nil"/>
              <w:right w:val="nil"/>
            </w:tcBorders>
            <w:shd w:val="clear" w:color="auto" w:fill="auto"/>
            <w:noWrap/>
            <w:vAlign w:val="bottom"/>
            <w:hideMark/>
          </w:tcPr>
          <w:p w14:paraId="5634F8D8" w14:textId="4C07EB39" w:rsidR="00B23446" w:rsidRDefault="00B23446" w:rsidP="00B2344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93B4DE9" w14:textId="7FC31487" w:rsidR="00B23446" w:rsidRDefault="00B23446" w:rsidP="00B23446">
            <w:pPr>
              <w:jc w:val="right"/>
              <w:rPr>
                <w:color w:val="000000"/>
                <w:sz w:val="20"/>
                <w:szCs w:val="20"/>
              </w:rPr>
            </w:pPr>
            <w:r>
              <w:rPr>
                <w:color w:val="000000"/>
                <w:sz w:val="20"/>
                <w:szCs w:val="20"/>
              </w:rPr>
              <w:t>0.064</w:t>
            </w:r>
          </w:p>
        </w:tc>
        <w:tc>
          <w:tcPr>
            <w:tcW w:w="768" w:type="dxa"/>
            <w:tcBorders>
              <w:top w:val="single" w:sz="12" w:space="0" w:color="auto"/>
              <w:left w:val="nil"/>
              <w:bottom w:val="nil"/>
              <w:right w:val="nil"/>
            </w:tcBorders>
            <w:shd w:val="clear" w:color="auto" w:fill="auto"/>
            <w:noWrap/>
            <w:vAlign w:val="bottom"/>
            <w:hideMark/>
          </w:tcPr>
          <w:p w14:paraId="0328BC83" w14:textId="2421C4EF" w:rsidR="00B23446" w:rsidRDefault="00B23446" w:rsidP="00B23446">
            <w:pPr>
              <w:jc w:val="right"/>
              <w:rPr>
                <w:color w:val="000000"/>
                <w:sz w:val="20"/>
                <w:szCs w:val="20"/>
              </w:rPr>
            </w:pPr>
            <w:r>
              <w:rPr>
                <w:color w:val="000000"/>
                <w:sz w:val="20"/>
                <w:szCs w:val="20"/>
              </w:rPr>
              <w:t>0.464</w:t>
            </w:r>
          </w:p>
        </w:tc>
        <w:tc>
          <w:tcPr>
            <w:tcW w:w="768" w:type="dxa"/>
            <w:tcBorders>
              <w:top w:val="single" w:sz="12" w:space="0" w:color="auto"/>
              <w:left w:val="nil"/>
              <w:bottom w:val="nil"/>
              <w:right w:val="nil"/>
            </w:tcBorders>
            <w:shd w:val="clear" w:color="auto" w:fill="auto"/>
            <w:noWrap/>
            <w:vAlign w:val="bottom"/>
            <w:hideMark/>
          </w:tcPr>
          <w:p w14:paraId="4CD4B166" w14:textId="387E6886" w:rsidR="00B23446" w:rsidRDefault="00B23446" w:rsidP="00B23446">
            <w:pPr>
              <w:jc w:val="right"/>
              <w:rPr>
                <w:color w:val="000000"/>
                <w:sz w:val="20"/>
                <w:szCs w:val="20"/>
              </w:rPr>
            </w:pPr>
            <w:r>
              <w:rPr>
                <w:color w:val="000000"/>
                <w:sz w:val="20"/>
                <w:szCs w:val="20"/>
              </w:rPr>
              <w:t>0.004</w:t>
            </w:r>
          </w:p>
        </w:tc>
      </w:tr>
      <w:tr w:rsidR="00B23446" w14:paraId="4236966A" w14:textId="77777777" w:rsidTr="002C78E1">
        <w:trPr>
          <w:trHeight w:val="340"/>
        </w:trPr>
        <w:tc>
          <w:tcPr>
            <w:tcW w:w="1176" w:type="dxa"/>
            <w:tcBorders>
              <w:top w:val="nil"/>
              <w:left w:val="nil"/>
              <w:bottom w:val="nil"/>
              <w:right w:val="nil"/>
            </w:tcBorders>
            <w:shd w:val="clear" w:color="auto" w:fill="auto"/>
            <w:noWrap/>
            <w:vAlign w:val="bottom"/>
            <w:hideMark/>
          </w:tcPr>
          <w:p w14:paraId="0C55D364"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39B6D6E"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CC20774" w14:textId="1E02EE8B" w:rsidR="00B23446" w:rsidRDefault="00B23446" w:rsidP="00B23446">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0AA4B59A" w14:textId="40AB9A3E" w:rsidR="00B23446" w:rsidRDefault="00B23446" w:rsidP="00B23446">
            <w:pPr>
              <w:jc w:val="right"/>
              <w:rPr>
                <w:color w:val="000000"/>
                <w:sz w:val="20"/>
                <w:szCs w:val="20"/>
              </w:rPr>
            </w:pPr>
            <w:r>
              <w:rPr>
                <w:color w:val="000000"/>
                <w:sz w:val="20"/>
                <w:szCs w:val="20"/>
              </w:rPr>
              <w:t>0.362</w:t>
            </w:r>
          </w:p>
        </w:tc>
        <w:tc>
          <w:tcPr>
            <w:tcW w:w="768" w:type="dxa"/>
            <w:tcBorders>
              <w:top w:val="nil"/>
              <w:left w:val="nil"/>
              <w:bottom w:val="nil"/>
              <w:right w:val="nil"/>
            </w:tcBorders>
            <w:shd w:val="clear" w:color="auto" w:fill="auto"/>
            <w:noWrap/>
            <w:vAlign w:val="bottom"/>
            <w:hideMark/>
          </w:tcPr>
          <w:p w14:paraId="6BD77ADB" w14:textId="1B1F261D"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4912050" w14:textId="1C27BB29" w:rsidR="00B23446" w:rsidRDefault="00B23446" w:rsidP="00B2344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E91878A" w14:textId="35F32EC4" w:rsidR="00B23446" w:rsidRDefault="00B23446" w:rsidP="00B23446">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000970E2" w14:textId="73561AF6"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53C46FA" w14:textId="661D0557" w:rsidR="00B23446" w:rsidRDefault="00B23446" w:rsidP="00B23446">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747B9320" w14:textId="21E1D1DF" w:rsidR="00B23446" w:rsidRDefault="00B23446" w:rsidP="00B23446">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43C823DC" w14:textId="142B005F"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01492A6" w14:textId="0B186D7A" w:rsidR="00B23446" w:rsidRDefault="00B23446" w:rsidP="00B23446">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04AE170" w14:textId="2323C774" w:rsidR="00B23446" w:rsidRDefault="00B23446" w:rsidP="00B23446">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33B77EB3" w14:textId="66F5D646"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18459EB" w14:textId="6D6CDC79" w:rsidR="00B23446" w:rsidRDefault="00B23446" w:rsidP="00B23446">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D7A4B62" w14:textId="7DD24360" w:rsidR="00B23446" w:rsidRDefault="00B23446" w:rsidP="00B23446">
            <w:pPr>
              <w:jc w:val="right"/>
              <w:rPr>
                <w:color w:val="000000"/>
                <w:sz w:val="20"/>
                <w:szCs w:val="20"/>
              </w:rPr>
            </w:pPr>
            <w:r>
              <w:rPr>
                <w:color w:val="000000"/>
                <w:sz w:val="20"/>
                <w:szCs w:val="20"/>
              </w:rPr>
              <w:t>0.734</w:t>
            </w:r>
          </w:p>
        </w:tc>
        <w:tc>
          <w:tcPr>
            <w:tcW w:w="768" w:type="dxa"/>
            <w:tcBorders>
              <w:top w:val="nil"/>
              <w:left w:val="nil"/>
              <w:bottom w:val="nil"/>
              <w:right w:val="nil"/>
            </w:tcBorders>
            <w:shd w:val="clear" w:color="auto" w:fill="auto"/>
            <w:noWrap/>
            <w:vAlign w:val="bottom"/>
            <w:hideMark/>
          </w:tcPr>
          <w:p w14:paraId="07AAE597" w14:textId="04BBA031" w:rsidR="00B23446" w:rsidRDefault="00B23446" w:rsidP="00B23446">
            <w:pPr>
              <w:jc w:val="right"/>
              <w:rPr>
                <w:color w:val="000000"/>
                <w:sz w:val="20"/>
                <w:szCs w:val="20"/>
              </w:rPr>
            </w:pPr>
            <w:r>
              <w:rPr>
                <w:color w:val="000000"/>
                <w:sz w:val="20"/>
                <w:szCs w:val="20"/>
              </w:rPr>
              <w:t>0.001</w:t>
            </w:r>
          </w:p>
        </w:tc>
      </w:tr>
      <w:tr w:rsidR="00B23446" w14:paraId="3442184E" w14:textId="77777777" w:rsidTr="002C78E1">
        <w:trPr>
          <w:trHeight w:val="320"/>
        </w:trPr>
        <w:tc>
          <w:tcPr>
            <w:tcW w:w="1176" w:type="dxa"/>
            <w:tcBorders>
              <w:top w:val="nil"/>
              <w:left w:val="nil"/>
              <w:bottom w:val="nil"/>
              <w:right w:val="nil"/>
            </w:tcBorders>
            <w:shd w:val="clear" w:color="auto" w:fill="auto"/>
            <w:noWrap/>
            <w:vAlign w:val="bottom"/>
            <w:hideMark/>
          </w:tcPr>
          <w:p w14:paraId="4335421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D344CAE"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A6EAC7F" w14:textId="04B1D427" w:rsidR="00B23446" w:rsidRDefault="00B23446" w:rsidP="00B23446">
            <w:pPr>
              <w:jc w:val="right"/>
              <w:rPr>
                <w:color w:val="000000"/>
                <w:sz w:val="20"/>
                <w:szCs w:val="20"/>
              </w:rPr>
            </w:pPr>
            <w:r>
              <w:rPr>
                <w:color w:val="000000"/>
                <w:sz w:val="20"/>
                <w:szCs w:val="20"/>
              </w:rPr>
              <w:t>0.157</w:t>
            </w:r>
          </w:p>
        </w:tc>
        <w:tc>
          <w:tcPr>
            <w:tcW w:w="768" w:type="dxa"/>
            <w:tcBorders>
              <w:top w:val="nil"/>
              <w:left w:val="nil"/>
              <w:bottom w:val="nil"/>
              <w:right w:val="nil"/>
            </w:tcBorders>
            <w:shd w:val="clear" w:color="auto" w:fill="auto"/>
            <w:noWrap/>
            <w:vAlign w:val="bottom"/>
            <w:hideMark/>
          </w:tcPr>
          <w:p w14:paraId="52DC2C39" w14:textId="586ACA4F" w:rsidR="00B23446" w:rsidRDefault="00B23446" w:rsidP="00B23446">
            <w:pPr>
              <w:jc w:val="right"/>
              <w:rPr>
                <w:color w:val="000000"/>
                <w:sz w:val="20"/>
                <w:szCs w:val="20"/>
              </w:rPr>
            </w:pPr>
            <w:r>
              <w:rPr>
                <w:color w:val="000000"/>
                <w:sz w:val="20"/>
                <w:szCs w:val="20"/>
              </w:rPr>
              <w:t>0.362</w:t>
            </w:r>
          </w:p>
        </w:tc>
        <w:tc>
          <w:tcPr>
            <w:tcW w:w="768" w:type="dxa"/>
            <w:tcBorders>
              <w:top w:val="nil"/>
              <w:left w:val="nil"/>
              <w:bottom w:val="nil"/>
              <w:right w:val="nil"/>
            </w:tcBorders>
            <w:shd w:val="clear" w:color="auto" w:fill="auto"/>
            <w:noWrap/>
            <w:vAlign w:val="bottom"/>
            <w:hideMark/>
          </w:tcPr>
          <w:p w14:paraId="6399675D" w14:textId="16E921A9" w:rsidR="00B23446" w:rsidRDefault="00B23446" w:rsidP="00B2344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F1F40C4" w14:textId="578F2512" w:rsidR="00B23446" w:rsidRDefault="00B23446" w:rsidP="00B23446">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D045AD9" w14:textId="4660EDDE" w:rsidR="00B23446" w:rsidRDefault="00B23446" w:rsidP="00B23446">
            <w:pPr>
              <w:jc w:val="right"/>
              <w:rPr>
                <w:color w:val="000000"/>
                <w:sz w:val="20"/>
                <w:szCs w:val="20"/>
              </w:rPr>
            </w:pPr>
            <w:r>
              <w:rPr>
                <w:color w:val="000000"/>
                <w:sz w:val="20"/>
                <w:szCs w:val="20"/>
              </w:rPr>
              <w:t>0.799</w:t>
            </w:r>
          </w:p>
        </w:tc>
        <w:tc>
          <w:tcPr>
            <w:tcW w:w="768" w:type="dxa"/>
            <w:tcBorders>
              <w:top w:val="nil"/>
              <w:left w:val="nil"/>
              <w:bottom w:val="nil"/>
              <w:right w:val="nil"/>
            </w:tcBorders>
            <w:shd w:val="clear" w:color="auto" w:fill="auto"/>
            <w:noWrap/>
            <w:vAlign w:val="bottom"/>
            <w:hideMark/>
          </w:tcPr>
          <w:p w14:paraId="6B1E00C9" w14:textId="78E5D6E1"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9110392" w14:textId="2E0EA429"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CC2EF41" w14:textId="161CB611" w:rsidR="00B23446" w:rsidRDefault="00B23446" w:rsidP="00B23446">
            <w:pPr>
              <w:jc w:val="right"/>
              <w:rPr>
                <w:color w:val="000000"/>
                <w:sz w:val="20"/>
                <w:szCs w:val="20"/>
              </w:rPr>
            </w:pPr>
            <w:r>
              <w:rPr>
                <w:color w:val="000000"/>
                <w:sz w:val="20"/>
                <w:szCs w:val="20"/>
              </w:rPr>
              <w:t>0.983</w:t>
            </w:r>
          </w:p>
        </w:tc>
        <w:tc>
          <w:tcPr>
            <w:tcW w:w="768" w:type="dxa"/>
            <w:tcBorders>
              <w:top w:val="nil"/>
              <w:left w:val="nil"/>
              <w:bottom w:val="nil"/>
              <w:right w:val="nil"/>
            </w:tcBorders>
            <w:shd w:val="clear" w:color="auto" w:fill="auto"/>
            <w:noWrap/>
            <w:vAlign w:val="bottom"/>
            <w:hideMark/>
          </w:tcPr>
          <w:p w14:paraId="7D6143C9" w14:textId="0FF4EA2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72788C" w14:textId="44605CAF" w:rsidR="00B23446" w:rsidRDefault="00B23446" w:rsidP="00B23446">
            <w:pPr>
              <w:jc w:val="right"/>
              <w:rPr>
                <w:color w:val="000000"/>
                <w:sz w:val="20"/>
                <w:szCs w:val="20"/>
              </w:rPr>
            </w:pPr>
            <w:r>
              <w:rPr>
                <w:color w:val="000000"/>
                <w:sz w:val="20"/>
                <w:szCs w:val="20"/>
              </w:rPr>
              <w:t>0.089</w:t>
            </w:r>
          </w:p>
        </w:tc>
        <w:tc>
          <w:tcPr>
            <w:tcW w:w="768" w:type="dxa"/>
            <w:tcBorders>
              <w:top w:val="nil"/>
              <w:left w:val="nil"/>
              <w:bottom w:val="nil"/>
              <w:right w:val="nil"/>
            </w:tcBorders>
            <w:shd w:val="clear" w:color="auto" w:fill="auto"/>
            <w:noWrap/>
            <w:vAlign w:val="bottom"/>
            <w:hideMark/>
          </w:tcPr>
          <w:p w14:paraId="1D875686" w14:textId="3BE5E07E" w:rsidR="00B23446" w:rsidRDefault="00B23446" w:rsidP="00B23446">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6C0F06FA" w14:textId="07B1FA13"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78B9CC9" w14:textId="363CF0E0" w:rsidR="00B23446" w:rsidRDefault="00B23446" w:rsidP="00B23446">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620A7727" w14:textId="7FF3B4A2" w:rsidR="00B23446" w:rsidRDefault="00B23446" w:rsidP="00B23446">
            <w:pPr>
              <w:jc w:val="right"/>
              <w:rPr>
                <w:color w:val="000000"/>
                <w:sz w:val="20"/>
                <w:szCs w:val="20"/>
              </w:rPr>
            </w:pPr>
            <w:r>
              <w:rPr>
                <w:color w:val="000000"/>
                <w:sz w:val="20"/>
                <w:szCs w:val="20"/>
              </w:rPr>
              <w:t>0.493</w:t>
            </w:r>
          </w:p>
        </w:tc>
        <w:tc>
          <w:tcPr>
            <w:tcW w:w="768" w:type="dxa"/>
            <w:tcBorders>
              <w:top w:val="nil"/>
              <w:left w:val="nil"/>
              <w:bottom w:val="nil"/>
              <w:right w:val="nil"/>
            </w:tcBorders>
            <w:shd w:val="clear" w:color="auto" w:fill="auto"/>
            <w:noWrap/>
            <w:vAlign w:val="bottom"/>
            <w:hideMark/>
          </w:tcPr>
          <w:p w14:paraId="4689EC7B" w14:textId="2FCFF948" w:rsidR="00B23446" w:rsidRDefault="00B23446" w:rsidP="00B23446">
            <w:pPr>
              <w:jc w:val="right"/>
              <w:rPr>
                <w:color w:val="000000"/>
                <w:sz w:val="20"/>
                <w:szCs w:val="20"/>
              </w:rPr>
            </w:pPr>
            <w:r>
              <w:rPr>
                <w:color w:val="000000"/>
                <w:sz w:val="20"/>
                <w:szCs w:val="20"/>
              </w:rPr>
              <w:t>0.008</w:t>
            </w:r>
          </w:p>
        </w:tc>
      </w:tr>
      <w:tr w:rsidR="00B23446" w14:paraId="25B2A3AA" w14:textId="77777777" w:rsidTr="002C78E1">
        <w:trPr>
          <w:trHeight w:val="320"/>
        </w:trPr>
        <w:tc>
          <w:tcPr>
            <w:tcW w:w="1176" w:type="dxa"/>
            <w:tcBorders>
              <w:top w:val="nil"/>
              <w:left w:val="nil"/>
              <w:bottom w:val="nil"/>
              <w:right w:val="nil"/>
            </w:tcBorders>
            <w:shd w:val="clear" w:color="auto" w:fill="auto"/>
            <w:noWrap/>
            <w:vAlign w:val="bottom"/>
            <w:hideMark/>
          </w:tcPr>
          <w:p w14:paraId="66AB3835"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983B38"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824B7BF" w14:textId="4DC506B8" w:rsidR="00B23446" w:rsidRDefault="00B23446" w:rsidP="00B23446">
            <w:pPr>
              <w:jc w:val="right"/>
              <w:rPr>
                <w:color w:val="000000"/>
                <w:sz w:val="20"/>
                <w:szCs w:val="20"/>
              </w:rPr>
            </w:pPr>
            <w:r>
              <w:rPr>
                <w:color w:val="000000"/>
                <w:sz w:val="20"/>
                <w:szCs w:val="20"/>
              </w:rPr>
              <w:t>-0.118</w:t>
            </w:r>
          </w:p>
        </w:tc>
        <w:tc>
          <w:tcPr>
            <w:tcW w:w="768" w:type="dxa"/>
            <w:tcBorders>
              <w:top w:val="nil"/>
              <w:left w:val="nil"/>
              <w:bottom w:val="nil"/>
              <w:right w:val="nil"/>
            </w:tcBorders>
            <w:shd w:val="clear" w:color="auto" w:fill="auto"/>
            <w:noWrap/>
            <w:vAlign w:val="bottom"/>
            <w:hideMark/>
          </w:tcPr>
          <w:p w14:paraId="13AA0384" w14:textId="775FE45B" w:rsidR="00B23446" w:rsidRDefault="00B23446" w:rsidP="00B23446">
            <w:pPr>
              <w:jc w:val="right"/>
              <w:rPr>
                <w:color w:val="000000"/>
                <w:sz w:val="20"/>
                <w:szCs w:val="20"/>
              </w:rPr>
            </w:pPr>
            <w:r>
              <w:rPr>
                <w:color w:val="000000"/>
                <w:sz w:val="20"/>
                <w:szCs w:val="20"/>
              </w:rPr>
              <w:t>0.362</w:t>
            </w:r>
          </w:p>
        </w:tc>
        <w:tc>
          <w:tcPr>
            <w:tcW w:w="768" w:type="dxa"/>
            <w:tcBorders>
              <w:top w:val="nil"/>
              <w:left w:val="nil"/>
              <w:bottom w:val="nil"/>
              <w:right w:val="nil"/>
            </w:tcBorders>
            <w:shd w:val="clear" w:color="auto" w:fill="auto"/>
            <w:noWrap/>
            <w:vAlign w:val="bottom"/>
            <w:hideMark/>
          </w:tcPr>
          <w:p w14:paraId="7C558C5B" w14:textId="08FBBE05"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8F6821B" w14:textId="193D20F2" w:rsidR="00B23446" w:rsidRDefault="00B23446" w:rsidP="00B23446">
            <w:pPr>
              <w:jc w:val="right"/>
              <w:rPr>
                <w:color w:val="000000"/>
                <w:sz w:val="20"/>
                <w:szCs w:val="20"/>
              </w:rPr>
            </w:pPr>
            <w:r>
              <w:rPr>
                <w:color w:val="000000"/>
                <w:sz w:val="20"/>
                <w:szCs w:val="20"/>
              </w:rPr>
              <w:t>0.131</w:t>
            </w:r>
          </w:p>
        </w:tc>
        <w:tc>
          <w:tcPr>
            <w:tcW w:w="768" w:type="dxa"/>
            <w:tcBorders>
              <w:top w:val="nil"/>
              <w:left w:val="nil"/>
              <w:bottom w:val="nil"/>
              <w:right w:val="nil"/>
            </w:tcBorders>
            <w:shd w:val="clear" w:color="auto" w:fill="auto"/>
            <w:noWrap/>
            <w:vAlign w:val="bottom"/>
            <w:hideMark/>
          </w:tcPr>
          <w:p w14:paraId="23EA3A2D" w14:textId="152766BB" w:rsidR="00B23446" w:rsidRDefault="00B23446" w:rsidP="00B23446">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6BC68745" w14:textId="539A5649" w:rsidR="00B23446" w:rsidRDefault="00B23446" w:rsidP="00B2344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A404160" w14:textId="3C29CECA" w:rsidR="00B23446" w:rsidRDefault="00B23446" w:rsidP="00B23446">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4E18DB83" w14:textId="2CF7753C" w:rsidR="00B23446" w:rsidRDefault="00B23446" w:rsidP="00B23446">
            <w:pPr>
              <w:jc w:val="right"/>
              <w:rPr>
                <w:color w:val="000000"/>
                <w:sz w:val="20"/>
                <w:szCs w:val="20"/>
              </w:rPr>
            </w:pPr>
            <w:r>
              <w:rPr>
                <w:color w:val="000000"/>
                <w:sz w:val="20"/>
                <w:szCs w:val="20"/>
              </w:rPr>
              <w:t>0.983</w:t>
            </w:r>
          </w:p>
        </w:tc>
        <w:tc>
          <w:tcPr>
            <w:tcW w:w="768" w:type="dxa"/>
            <w:tcBorders>
              <w:top w:val="nil"/>
              <w:left w:val="nil"/>
              <w:bottom w:val="nil"/>
              <w:right w:val="nil"/>
            </w:tcBorders>
            <w:shd w:val="clear" w:color="auto" w:fill="auto"/>
            <w:noWrap/>
            <w:vAlign w:val="bottom"/>
            <w:hideMark/>
          </w:tcPr>
          <w:p w14:paraId="2AAA100D" w14:textId="762F4A7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3685EF" w14:textId="0F934E08" w:rsidR="00B23446" w:rsidRDefault="00B23446" w:rsidP="00B23446">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1BBCF90B" w14:textId="301F4405" w:rsidR="00B23446" w:rsidRDefault="00B23446" w:rsidP="00B23446">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3BAADEF5" w14:textId="0BF1EA33"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5382D2E" w14:textId="093632E4" w:rsidR="00B23446" w:rsidRDefault="00B23446" w:rsidP="00B23446">
            <w:pPr>
              <w:jc w:val="right"/>
              <w:rPr>
                <w:color w:val="000000"/>
                <w:sz w:val="20"/>
                <w:szCs w:val="20"/>
              </w:rPr>
            </w:pPr>
            <w:r>
              <w:rPr>
                <w:color w:val="000000"/>
                <w:sz w:val="20"/>
                <w:szCs w:val="20"/>
              </w:rPr>
              <w:t>-0.138</w:t>
            </w:r>
          </w:p>
        </w:tc>
        <w:tc>
          <w:tcPr>
            <w:tcW w:w="768" w:type="dxa"/>
            <w:tcBorders>
              <w:top w:val="nil"/>
              <w:left w:val="nil"/>
              <w:bottom w:val="nil"/>
              <w:right w:val="nil"/>
            </w:tcBorders>
            <w:shd w:val="clear" w:color="auto" w:fill="auto"/>
            <w:noWrap/>
            <w:vAlign w:val="bottom"/>
            <w:hideMark/>
          </w:tcPr>
          <w:p w14:paraId="7729FED2" w14:textId="7B28D9E9" w:rsidR="00B23446" w:rsidRDefault="00B23446" w:rsidP="00B23446">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2121B893" w14:textId="5BC3AC21" w:rsidR="00B23446" w:rsidRDefault="00B23446" w:rsidP="00B23446">
            <w:pPr>
              <w:jc w:val="right"/>
              <w:rPr>
                <w:color w:val="000000"/>
                <w:sz w:val="20"/>
                <w:szCs w:val="20"/>
              </w:rPr>
            </w:pPr>
            <w:r>
              <w:rPr>
                <w:color w:val="000000"/>
                <w:sz w:val="20"/>
                <w:szCs w:val="20"/>
              </w:rPr>
              <w:t>0.019</w:t>
            </w:r>
          </w:p>
        </w:tc>
      </w:tr>
      <w:tr w:rsidR="00B23446" w14:paraId="372A8766" w14:textId="77777777" w:rsidTr="002C78E1">
        <w:trPr>
          <w:trHeight w:val="320"/>
        </w:trPr>
        <w:tc>
          <w:tcPr>
            <w:tcW w:w="1176" w:type="dxa"/>
            <w:tcBorders>
              <w:top w:val="nil"/>
              <w:left w:val="nil"/>
              <w:bottom w:val="nil"/>
              <w:right w:val="nil"/>
            </w:tcBorders>
            <w:shd w:val="clear" w:color="auto" w:fill="auto"/>
            <w:noWrap/>
            <w:vAlign w:val="bottom"/>
            <w:hideMark/>
          </w:tcPr>
          <w:p w14:paraId="513D7671"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F5A40B"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3A30F6B" w14:textId="6B6081D1" w:rsidR="00B23446" w:rsidRDefault="00B23446" w:rsidP="00B23446">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7193320B" w14:textId="5629D27C" w:rsidR="00B23446" w:rsidRDefault="00B23446" w:rsidP="00B23446">
            <w:pPr>
              <w:jc w:val="right"/>
              <w:rPr>
                <w:color w:val="000000"/>
                <w:sz w:val="20"/>
                <w:szCs w:val="20"/>
              </w:rPr>
            </w:pPr>
            <w:r>
              <w:rPr>
                <w:color w:val="000000"/>
                <w:sz w:val="20"/>
                <w:szCs w:val="20"/>
              </w:rPr>
              <w:t>0.362</w:t>
            </w:r>
          </w:p>
        </w:tc>
        <w:tc>
          <w:tcPr>
            <w:tcW w:w="768" w:type="dxa"/>
            <w:tcBorders>
              <w:top w:val="nil"/>
              <w:left w:val="nil"/>
              <w:bottom w:val="nil"/>
              <w:right w:val="nil"/>
            </w:tcBorders>
            <w:shd w:val="clear" w:color="auto" w:fill="auto"/>
            <w:noWrap/>
            <w:vAlign w:val="bottom"/>
            <w:hideMark/>
          </w:tcPr>
          <w:p w14:paraId="36F3B659" w14:textId="53A87B54"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EA752F8" w14:textId="10BF3B5B" w:rsidR="00B23446" w:rsidRDefault="00B23446" w:rsidP="00B2344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3426B761" w14:textId="36253634" w:rsidR="00B23446" w:rsidRDefault="00B23446" w:rsidP="00B23446">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4C55E26C" w14:textId="45B2FD20"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5DC2F71" w14:textId="2FCD431C" w:rsidR="00B23446" w:rsidRDefault="00B23446" w:rsidP="00B2344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B14AC3C" w14:textId="0881B1F0" w:rsidR="00B23446" w:rsidRDefault="00B23446" w:rsidP="00B23446">
            <w:pPr>
              <w:jc w:val="right"/>
              <w:rPr>
                <w:color w:val="000000"/>
                <w:sz w:val="20"/>
                <w:szCs w:val="20"/>
              </w:rPr>
            </w:pPr>
            <w:r>
              <w:rPr>
                <w:color w:val="000000"/>
                <w:sz w:val="20"/>
                <w:szCs w:val="20"/>
              </w:rPr>
              <w:t>0.983</w:t>
            </w:r>
          </w:p>
        </w:tc>
        <w:tc>
          <w:tcPr>
            <w:tcW w:w="768" w:type="dxa"/>
            <w:tcBorders>
              <w:top w:val="nil"/>
              <w:left w:val="nil"/>
              <w:bottom w:val="nil"/>
              <w:right w:val="nil"/>
            </w:tcBorders>
            <w:shd w:val="clear" w:color="auto" w:fill="auto"/>
            <w:noWrap/>
            <w:vAlign w:val="bottom"/>
            <w:hideMark/>
          </w:tcPr>
          <w:p w14:paraId="23205DC1" w14:textId="309411D0"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B9746E" w14:textId="23760FD2" w:rsidR="00B23446" w:rsidRDefault="00B23446" w:rsidP="00B23446">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04B46619" w14:textId="3D36B607" w:rsidR="00B23446" w:rsidRDefault="00B23446" w:rsidP="00B23446">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17BD8129" w14:textId="3BEA1FEF"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C10BE96" w14:textId="3A3E1F00"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096C5F48" w14:textId="0CB4D871" w:rsidR="00B23446" w:rsidRDefault="00B23446" w:rsidP="00B23446">
            <w:pPr>
              <w:jc w:val="right"/>
              <w:rPr>
                <w:color w:val="000000"/>
                <w:sz w:val="20"/>
                <w:szCs w:val="20"/>
              </w:rPr>
            </w:pPr>
            <w:r>
              <w:rPr>
                <w:color w:val="000000"/>
                <w:sz w:val="20"/>
                <w:szCs w:val="20"/>
              </w:rPr>
              <w:t>0.734</w:t>
            </w:r>
          </w:p>
        </w:tc>
        <w:tc>
          <w:tcPr>
            <w:tcW w:w="768" w:type="dxa"/>
            <w:tcBorders>
              <w:top w:val="nil"/>
              <w:left w:val="nil"/>
              <w:bottom w:val="nil"/>
              <w:right w:val="nil"/>
            </w:tcBorders>
            <w:shd w:val="clear" w:color="auto" w:fill="auto"/>
            <w:noWrap/>
            <w:vAlign w:val="bottom"/>
            <w:hideMark/>
          </w:tcPr>
          <w:p w14:paraId="1D8FF805" w14:textId="7F248D32" w:rsidR="00B23446" w:rsidRDefault="00B23446" w:rsidP="00B23446">
            <w:pPr>
              <w:jc w:val="right"/>
              <w:rPr>
                <w:color w:val="000000"/>
                <w:sz w:val="20"/>
                <w:szCs w:val="20"/>
              </w:rPr>
            </w:pPr>
            <w:r>
              <w:rPr>
                <w:color w:val="000000"/>
                <w:sz w:val="20"/>
                <w:szCs w:val="20"/>
              </w:rPr>
              <w:t>0.001</w:t>
            </w:r>
          </w:p>
        </w:tc>
      </w:tr>
      <w:tr w:rsidR="00B23446" w14:paraId="6AF20947" w14:textId="77777777" w:rsidTr="002C78E1">
        <w:trPr>
          <w:trHeight w:val="320"/>
        </w:trPr>
        <w:tc>
          <w:tcPr>
            <w:tcW w:w="1176" w:type="dxa"/>
            <w:tcBorders>
              <w:top w:val="nil"/>
              <w:left w:val="nil"/>
              <w:bottom w:val="nil"/>
              <w:right w:val="nil"/>
            </w:tcBorders>
            <w:shd w:val="clear" w:color="auto" w:fill="auto"/>
            <w:noWrap/>
            <w:vAlign w:val="bottom"/>
            <w:hideMark/>
          </w:tcPr>
          <w:p w14:paraId="759914A4"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B9C773"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E254198" w14:textId="7F292199" w:rsidR="00B23446" w:rsidRDefault="00B23446" w:rsidP="00B23446">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0652549D" w14:textId="209ACC5B" w:rsidR="00B23446" w:rsidRDefault="00B23446" w:rsidP="00B23446">
            <w:pPr>
              <w:jc w:val="right"/>
              <w:rPr>
                <w:color w:val="000000"/>
                <w:sz w:val="20"/>
                <w:szCs w:val="20"/>
              </w:rPr>
            </w:pPr>
            <w:r>
              <w:rPr>
                <w:color w:val="000000"/>
                <w:sz w:val="20"/>
                <w:szCs w:val="20"/>
              </w:rPr>
              <w:t>0.362</w:t>
            </w:r>
          </w:p>
        </w:tc>
        <w:tc>
          <w:tcPr>
            <w:tcW w:w="768" w:type="dxa"/>
            <w:tcBorders>
              <w:top w:val="nil"/>
              <w:left w:val="nil"/>
              <w:bottom w:val="nil"/>
              <w:right w:val="nil"/>
            </w:tcBorders>
            <w:shd w:val="clear" w:color="auto" w:fill="auto"/>
            <w:noWrap/>
            <w:vAlign w:val="bottom"/>
            <w:hideMark/>
          </w:tcPr>
          <w:p w14:paraId="1F84D032" w14:textId="76C73375"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533DABE" w14:textId="5E469B72"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15B76EC" w14:textId="350C4A38" w:rsidR="00B23446" w:rsidRDefault="00B23446" w:rsidP="00B23446">
            <w:pPr>
              <w:jc w:val="right"/>
              <w:rPr>
                <w:color w:val="000000"/>
                <w:sz w:val="20"/>
                <w:szCs w:val="20"/>
              </w:rPr>
            </w:pPr>
            <w:r>
              <w:rPr>
                <w:color w:val="000000"/>
                <w:sz w:val="20"/>
                <w:szCs w:val="20"/>
              </w:rPr>
              <w:t>0.799</w:t>
            </w:r>
          </w:p>
        </w:tc>
        <w:tc>
          <w:tcPr>
            <w:tcW w:w="768" w:type="dxa"/>
            <w:tcBorders>
              <w:top w:val="nil"/>
              <w:left w:val="nil"/>
              <w:bottom w:val="nil"/>
              <w:right w:val="nil"/>
            </w:tcBorders>
            <w:shd w:val="clear" w:color="auto" w:fill="auto"/>
            <w:noWrap/>
            <w:vAlign w:val="bottom"/>
            <w:hideMark/>
          </w:tcPr>
          <w:p w14:paraId="5CEE3C03" w14:textId="09868E65"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8117BB" w14:textId="59CE5B06"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5783635" w14:textId="3D4D4722" w:rsidR="00B23446" w:rsidRDefault="00B23446" w:rsidP="00B23446">
            <w:pPr>
              <w:jc w:val="right"/>
              <w:rPr>
                <w:color w:val="000000"/>
                <w:sz w:val="20"/>
                <w:szCs w:val="20"/>
              </w:rPr>
            </w:pPr>
            <w:r>
              <w:rPr>
                <w:color w:val="000000"/>
                <w:sz w:val="20"/>
                <w:szCs w:val="20"/>
              </w:rPr>
              <w:t>0.983</w:t>
            </w:r>
          </w:p>
        </w:tc>
        <w:tc>
          <w:tcPr>
            <w:tcW w:w="768" w:type="dxa"/>
            <w:tcBorders>
              <w:top w:val="nil"/>
              <w:left w:val="nil"/>
              <w:bottom w:val="nil"/>
              <w:right w:val="nil"/>
            </w:tcBorders>
            <w:shd w:val="clear" w:color="auto" w:fill="auto"/>
            <w:noWrap/>
            <w:vAlign w:val="bottom"/>
            <w:hideMark/>
          </w:tcPr>
          <w:p w14:paraId="6FC4377D" w14:textId="40554CB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91A501" w14:textId="33449C66" w:rsidR="00B23446" w:rsidRDefault="00B23446" w:rsidP="00B23446">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4F73F519" w14:textId="6948095C" w:rsidR="00B23446" w:rsidRDefault="00B23446" w:rsidP="00B23446">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2E8EA2D7" w14:textId="78B9B208"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109D505" w14:textId="3B55A918" w:rsidR="00B23446" w:rsidRDefault="00B23446" w:rsidP="00B23446">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13DDC28" w14:textId="4B538307" w:rsidR="00B23446" w:rsidRDefault="00B23446" w:rsidP="00B23446">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1D33E557" w14:textId="0869CC38" w:rsidR="00B23446" w:rsidRDefault="00B23446" w:rsidP="00B23446">
            <w:pPr>
              <w:jc w:val="right"/>
              <w:rPr>
                <w:color w:val="000000"/>
                <w:sz w:val="20"/>
                <w:szCs w:val="20"/>
              </w:rPr>
            </w:pPr>
            <w:r>
              <w:rPr>
                <w:color w:val="000000"/>
                <w:sz w:val="20"/>
                <w:szCs w:val="20"/>
              </w:rPr>
              <w:t>0.003</w:t>
            </w:r>
          </w:p>
        </w:tc>
      </w:tr>
      <w:tr w:rsidR="00B23446" w14:paraId="5EC864C5" w14:textId="77777777" w:rsidTr="002C78E1">
        <w:trPr>
          <w:trHeight w:val="320"/>
        </w:trPr>
        <w:tc>
          <w:tcPr>
            <w:tcW w:w="1176" w:type="dxa"/>
            <w:tcBorders>
              <w:top w:val="nil"/>
              <w:left w:val="nil"/>
              <w:bottom w:val="nil"/>
              <w:right w:val="nil"/>
            </w:tcBorders>
            <w:shd w:val="clear" w:color="auto" w:fill="auto"/>
            <w:noWrap/>
            <w:vAlign w:val="bottom"/>
            <w:hideMark/>
          </w:tcPr>
          <w:p w14:paraId="625ADE5B"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31122BF"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36EE37C" w14:textId="7B9F8B78" w:rsidR="00B23446" w:rsidRDefault="00B23446" w:rsidP="00B2344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019EDAD" w14:textId="1DA01523" w:rsidR="00B23446" w:rsidRDefault="00B23446" w:rsidP="00B23446">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5DBFF9AF" w14:textId="3A4E929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DAA7BC" w14:textId="7F20C265" w:rsidR="00B23446" w:rsidRDefault="00B23446" w:rsidP="00B23446">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761A61F" w14:textId="5C1E74B3" w:rsidR="00B23446" w:rsidRDefault="00B23446" w:rsidP="00B23446">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282ED066" w14:textId="3AC322C2"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6FDAA6E" w14:textId="407DE7B2" w:rsidR="00B23446" w:rsidRDefault="00B23446" w:rsidP="00B23446">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C7FFB7A" w14:textId="480419AB" w:rsidR="00B23446" w:rsidRDefault="00B23446" w:rsidP="00B23446">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04DF5609" w14:textId="69B3E3AC"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6F43B2A" w14:textId="5F480AB8"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28E6DF5" w14:textId="6D85649B" w:rsidR="00B23446" w:rsidRDefault="00B23446" w:rsidP="00B23446">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0D1D3696" w14:textId="6B3317D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C3BF28" w14:textId="1B97AF7E" w:rsidR="00B23446" w:rsidRDefault="00B23446" w:rsidP="00B2344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48930E1" w14:textId="5E9F7DE9" w:rsidR="00B23446" w:rsidRDefault="00B23446" w:rsidP="00B23446">
            <w:pPr>
              <w:jc w:val="right"/>
              <w:rPr>
                <w:color w:val="000000"/>
                <w:sz w:val="20"/>
                <w:szCs w:val="20"/>
              </w:rPr>
            </w:pPr>
            <w:r>
              <w:rPr>
                <w:color w:val="000000"/>
                <w:sz w:val="20"/>
                <w:szCs w:val="20"/>
              </w:rPr>
              <w:t>0.734</w:t>
            </w:r>
          </w:p>
        </w:tc>
        <w:tc>
          <w:tcPr>
            <w:tcW w:w="768" w:type="dxa"/>
            <w:tcBorders>
              <w:top w:val="nil"/>
              <w:left w:val="nil"/>
              <w:bottom w:val="nil"/>
              <w:right w:val="nil"/>
            </w:tcBorders>
            <w:shd w:val="clear" w:color="auto" w:fill="auto"/>
            <w:noWrap/>
            <w:vAlign w:val="bottom"/>
            <w:hideMark/>
          </w:tcPr>
          <w:p w14:paraId="2E250F4A" w14:textId="613612A8" w:rsidR="00B23446" w:rsidRDefault="00B23446" w:rsidP="00B23446">
            <w:pPr>
              <w:jc w:val="right"/>
              <w:rPr>
                <w:color w:val="000000"/>
                <w:sz w:val="20"/>
                <w:szCs w:val="20"/>
              </w:rPr>
            </w:pPr>
            <w:r>
              <w:rPr>
                <w:color w:val="000000"/>
                <w:sz w:val="20"/>
                <w:szCs w:val="20"/>
              </w:rPr>
              <w:t>0.000</w:t>
            </w:r>
          </w:p>
        </w:tc>
      </w:tr>
      <w:tr w:rsidR="00B23446" w14:paraId="14C3B3BE" w14:textId="77777777" w:rsidTr="002C78E1">
        <w:trPr>
          <w:trHeight w:val="320"/>
        </w:trPr>
        <w:tc>
          <w:tcPr>
            <w:tcW w:w="1176" w:type="dxa"/>
            <w:tcBorders>
              <w:top w:val="nil"/>
              <w:left w:val="nil"/>
              <w:bottom w:val="single" w:sz="4" w:space="0" w:color="auto"/>
              <w:right w:val="nil"/>
            </w:tcBorders>
            <w:shd w:val="clear" w:color="auto" w:fill="auto"/>
            <w:noWrap/>
            <w:vAlign w:val="bottom"/>
            <w:hideMark/>
          </w:tcPr>
          <w:p w14:paraId="48CEC011"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EAB3899"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9A7190D" w14:textId="4A6CA380"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2A78EEE7" w14:textId="79A66638" w:rsidR="00B23446" w:rsidRDefault="00B23446" w:rsidP="00B23446">
            <w:pPr>
              <w:jc w:val="right"/>
              <w:rPr>
                <w:color w:val="000000"/>
                <w:sz w:val="20"/>
                <w:szCs w:val="20"/>
              </w:rPr>
            </w:pPr>
            <w:r>
              <w:rPr>
                <w:color w:val="000000"/>
                <w:sz w:val="20"/>
                <w:szCs w:val="20"/>
              </w:rPr>
              <w:t>0.919</w:t>
            </w:r>
          </w:p>
        </w:tc>
        <w:tc>
          <w:tcPr>
            <w:tcW w:w="768" w:type="dxa"/>
            <w:tcBorders>
              <w:top w:val="nil"/>
              <w:left w:val="nil"/>
              <w:bottom w:val="single" w:sz="4" w:space="0" w:color="auto"/>
              <w:right w:val="nil"/>
            </w:tcBorders>
            <w:shd w:val="clear" w:color="auto" w:fill="auto"/>
            <w:noWrap/>
            <w:vAlign w:val="bottom"/>
            <w:hideMark/>
          </w:tcPr>
          <w:p w14:paraId="7C71CBF6" w14:textId="15BEB61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4AA977A" w14:textId="02E762E9" w:rsidR="00B23446" w:rsidRDefault="00B23446" w:rsidP="00B23446">
            <w:pPr>
              <w:jc w:val="right"/>
              <w:rPr>
                <w:color w:val="000000"/>
                <w:sz w:val="20"/>
                <w:szCs w:val="20"/>
              </w:rPr>
            </w:pPr>
            <w:r>
              <w:rPr>
                <w:color w:val="000000"/>
                <w:sz w:val="20"/>
                <w:szCs w:val="20"/>
              </w:rPr>
              <w:t>-0.080</w:t>
            </w:r>
          </w:p>
        </w:tc>
        <w:tc>
          <w:tcPr>
            <w:tcW w:w="768" w:type="dxa"/>
            <w:tcBorders>
              <w:top w:val="nil"/>
              <w:left w:val="nil"/>
              <w:bottom w:val="single" w:sz="4" w:space="0" w:color="auto"/>
              <w:right w:val="nil"/>
            </w:tcBorders>
            <w:shd w:val="clear" w:color="auto" w:fill="auto"/>
            <w:noWrap/>
            <w:vAlign w:val="bottom"/>
            <w:hideMark/>
          </w:tcPr>
          <w:p w14:paraId="0F81E795" w14:textId="46CF03D0" w:rsidR="00B23446" w:rsidRDefault="00B23446" w:rsidP="00B23446">
            <w:pPr>
              <w:jc w:val="right"/>
              <w:rPr>
                <w:color w:val="000000"/>
                <w:sz w:val="20"/>
                <w:szCs w:val="20"/>
              </w:rPr>
            </w:pPr>
            <w:r>
              <w:rPr>
                <w:color w:val="000000"/>
                <w:sz w:val="20"/>
                <w:szCs w:val="20"/>
              </w:rPr>
              <w:t>0.557</w:t>
            </w:r>
          </w:p>
        </w:tc>
        <w:tc>
          <w:tcPr>
            <w:tcW w:w="768" w:type="dxa"/>
            <w:tcBorders>
              <w:top w:val="nil"/>
              <w:left w:val="nil"/>
              <w:bottom w:val="single" w:sz="4" w:space="0" w:color="auto"/>
              <w:right w:val="nil"/>
            </w:tcBorders>
            <w:shd w:val="clear" w:color="auto" w:fill="auto"/>
            <w:noWrap/>
            <w:vAlign w:val="bottom"/>
            <w:hideMark/>
          </w:tcPr>
          <w:p w14:paraId="059E04D1" w14:textId="2F9AC7F0"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1A2B768F" w14:textId="54D75D0A"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106FFB02" w14:textId="117A200E" w:rsidR="00B23446" w:rsidRDefault="00B23446" w:rsidP="00B23446">
            <w:pPr>
              <w:jc w:val="right"/>
              <w:rPr>
                <w:color w:val="000000"/>
                <w:sz w:val="20"/>
                <w:szCs w:val="20"/>
              </w:rPr>
            </w:pPr>
            <w:r>
              <w:rPr>
                <w:color w:val="000000"/>
                <w:sz w:val="20"/>
                <w:szCs w:val="20"/>
              </w:rPr>
              <w:t>0.983</w:t>
            </w:r>
          </w:p>
        </w:tc>
        <w:tc>
          <w:tcPr>
            <w:tcW w:w="768" w:type="dxa"/>
            <w:tcBorders>
              <w:top w:val="nil"/>
              <w:left w:val="nil"/>
              <w:bottom w:val="single" w:sz="4" w:space="0" w:color="auto"/>
              <w:right w:val="nil"/>
            </w:tcBorders>
            <w:shd w:val="clear" w:color="auto" w:fill="auto"/>
            <w:noWrap/>
            <w:vAlign w:val="bottom"/>
            <w:hideMark/>
          </w:tcPr>
          <w:p w14:paraId="32FD31E7" w14:textId="62A1554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6702AE8" w14:textId="44212C33" w:rsidR="00B23446" w:rsidRDefault="00B23446" w:rsidP="00B23446">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082AE4C5" w14:textId="4D914542" w:rsidR="00B23446" w:rsidRDefault="00B23446" w:rsidP="00B23446">
            <w:pPr>
              <w:jc w:val="right"/>
              <w:rPr>
                <w:color w:val="000000"/>
                <w:sz w:val="20"/>
                <w:szCs w:val="20"/>
              </w:rPr>
            </w:pPr>
            <w:r>
              <w:rPr>
                <w:color w:val="000000"/>
                <w:sz w:val="20"/>
                <w:szCs w:val="20"/>
              </w:rPr>
              <w:t>0.704</w:t>
            </w:r>
          </w:p>
        </w:tc>
        <w:tc>
          <w:tcPr>
            <w:tcW w:w="768" w:type="dxa"/>
            <w:tcBorders>
              <w:top w:val="nil"/>
              <w:left w:val="nil"/>
              <w:bottom w:val="single" w:sz="4" w:space="0" w:color="auto"/>
              <w:right w:val="nil"/>
            </w:tcBorders>
            <w:shd w:val="clear" w:color="auto" w:fill="auto"/>
            <w:noWrap/>
            <w:vAlign w:val="bottom"/>
            <w:hideMark/>
          </w:tcPr>
          <w:p w14:paraId="70970EEA" w14:textId="73F5DFA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E240D6F" w14:textId="2C86D44E" w:rsidR="00B23446" w:rsidRDefault="00B23446" w:rsidP="00B23446">
            <w:pPr>
              <w:jc w:val="right"/>
              <w:rPr>
                <w:color w:val="000000"/>
                <w:sz w:val="20"/>
                <w:szCs w:val="20"/>
              </w:rPr>
            </w:pPr>
            <w:r>
              <w:rPr>
                <w:color w:val="000000"/>
                <w:sz w:val="20"/>
                <w:szCs w:val="20"/>
              </w:rPr>
              <w:t>0.114</w:t>
            </w:r>
          </w:p>
        </w:tc>
        <w:tc>
          <w:tcPr>
            <w:tcW w:w="768" w:type="dxa"/>
            <w:tcBorders>
              <w:top w:val="nil"/>
              <w:left w:val="nil"/>
              <w:bottom w:val="single" w:sz="4" w:space="0" w:color="auto"/>
              <w:right w:val="nil"/>
            </w:tcBorders>
            <w:shd w:val="clear" w:color="auto" w:fill="auto"/>
            <w:noWrap/>
            <w:vAlign w:val="bottom"/>
            <w:hideMark/>
          </w:tcPr>
          <w:p w14:paraId="782440D9" w14:textId="3FE373AC" w:rsidR="00B23446" w:rsidRDefault="00B23446" w:rsidP="00B23446">
            <w:pPr>
              <w:jc w:val="right"/>
              <w:rPr>
                <w:color w:val="000000"/>
                <w:sz w:val="20"/>
                <w:szCs w:val="20"/>
              </w:rPr>
            </w:pPr>
            <w:r>
              <w:rPr>
                <w:color w:val="000000"/>
                <w:sz w:val="20"/>
                <w:szCs w:val="20"/>
              </w:rPr>
              <w:t>0.464</w:t>
            </w:r>
          </w:p>
        </w:tc>
        <w:tc>
          <w:tcPr>
            <w:tcW w:w="768" w:type="dxa"/>
            <w:tcBorders>
              <w:top w:val="nil"/>
              <w:left w:val="nil"/>
              <w:bottom w:val="single" w:sz="4" w:space="0" w:color="auto"/>
              <w:right w:val="nil"/>
            </w:tcBorders>
            <w:shd w:val="clear" w:color="auto" w:fill="auto"/>
            <w:noWrap/>
            <w:vAlign w:val="bottom"/>
            <w:hideMark/>
          </w:tcPr>
          <w:p w14:paraId="21D8C9D5" w14:textId="15D692E8" w:rsidR="00B23446" w:rsidRDefault="00B23446" w:rsidP="00B23446">
            <w:pPr>
              <w:jc w:val="right"/>
              <w:rPr>
                <w:color w:val="000000"/>
                <w:sz w:val="20"/>
                <w:szCs w:val="20"/>
              </w:rPr>
            </w:pPr>
            <w:r>
              <w:rPr>
                <w:color w:val="000000"/>
                <w:sz w:val="20"/>
                <w:szCs w:val="20"/>
              </w:rPr>
              <w:t>0.013</w:t>
            </w:r>
          </w:p>
        </w:tc>
      </w:tr>
      <w:tr w:rsidR="00B23446" w14:paraId="0DD8DF6D" w14:textId="77777777" w:rsidTr="002C78E1">
        <w:trPr>
          <w:trHeight w:val="320"/>
        </w:trPr>
        <w:tc>
          <w:tcPr>
            <w:tcW w:w="1176" w:type="dxa"/>
            <w:tcBorders>
              <w:top w:val="nil"/>
              <w:left w:val="nil"/>
              <w:bottom w:val="nil"/>
              <w:right w:val="nil"/>
            </w:tcBorders>
            <w:shd w:val="clear" w:color="auto" w:fill="auto"/>
            <w:noWrap/>
            <w:vAlign w:val="bottom"/>
            <w:hideMark/>
          </w:tcPr>
          <w:p w14:paraId="32D33ED1" w14:textId="77777777" w:rsidR="00B23446" w:rsidRDefault="00B23446" w:rsidP="00B23446">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6D1D93A4"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2B5F1DE" w14:textId="048B5EB2"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90C8BB8" w14:textId="6825483D" w:rsidR="00B23446" w:rsidRDefault="00B23446" w:rsidP="00B23446">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3158E2EB" w14:textId="3E4A64B3"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061961" w14:textId="4C6795CD"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7086712" w14:textId="1623F0C0" w:rsidR="00B23446" w:rsidRDefault="00B23446" w:rsidP="00B23446">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3866E64C" w14:textId="1D0AD62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9DB365" w14:textId="30F7350D"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2F815F6" w14:textId="20A26362"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626F6A43" w14:textId="67FA5884"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4C7BC2" w14:textId="70C8607F"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C349F22" w14:textId="5062C2E8" w:rsidR="00B23446" w:rsidRDefault="00B23446" w:rsidP="00B23446">
            <w:pPr>
              <w:jc w:val="right"/>
              <w:rPr>
                <w:color w:val="000000"/>
                <w:sz w:val="20"/>
                <w:szCs w:val="20"/>
              </w:rPr>
            </w:pPr>
            <w:r>
              <w:rPr>
                <w:color w:val="000000"/>
                <w:sz w:val="20"/>
                <w:szCs w:val="20"/>
              </w:rPr>
              <w:t>0.751</w:t>
            </w:r>
          </w:p>
        </w:tc>
        <w:tc>
          <w:tcPr>
            <w:tcW w:w="768" w:type="dxa"/>
            <w:tcBorders>
              <w:top w:val="nil"/>
              <w:left w:val="nil"/>
              <w:bottom w:val="nil"/>
              <w:right w:val="nil"/>
            </w:tcBorders>
            <w:shd w:val="clear" w:color="auto" w:fill="auto"/>
            <w:noWrap/>
            <w:vAlign w:val="bottom"/>
            <w:hideMark/>
          </w:tcPr>
          <w:p w14:paraId="09C9DD81" w14:textId="53C6B5B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4364F9" w14:textId="7902E39D"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4856665" w14:textId="631854BC" w:rsidR="00B23446" w:rsidRDefault="00B23446" w:rsidP="00B23446">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1CB6048A" w14:textId="048FFDA0" w:rsidR="00B23446" w:rsidRDefault="00B23446" w:rsidP="00B23446">
            <w:pPr>
              <w:jc w:val="right"/>
              <w:rPr>
                <w:color w:val="000000"/>
                <w:sz w:val="20"/>
                <w:szCs w:val="20"/>
              </w:rPr>
            </w:pPr>
            <w:r>
              <w:rPr>
                <w:color w:val="000000"/>
                <w:sz w:val="20"/>
                <w:szCs w:val="20"/>
              </w:rPr>
              <w:t>0.000</w:t>
            </w:r>
          </w:p>
        </w:tc>
      </w:tr>
      <w:tr w:rsidR="00B23446" w14:paraId="46B79136" w14:textId="77777777" w:rsidTr="002C78E1">
        <w:trPr>
          <w:trHeight w:val="320"/>
        </w:trPr>
        <w:tc>
          <w:tcPr>
            <w:tcW w:w="1176" w:type="dxa"/>
            <w:tcBorders>
              <w:top w:val="nil"/>
              <w:left w:val="nil"/>
              <w:bottom w:val="nil"/>
              <w:right w:val="nil"/>
            </w:tcBorders>
            <w:shd w:val="clear" w:color="auto" w:fill="auto"/>
            <w:noWrap/>
            <w:vAlign w:val="bottom"/>
            <w:hideMark/>
          </w:tcPr>
          <w:p w14:paraId="54002267"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34A009"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1EC5236" w14:textId="0FE71904" w:rsidR="00B23446" w:rsidRDefault="00B23446" w:rsidP="00B23446">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321AAC66" w14:textId="2A3D2D3D" w:rsidR="00B23446" w:rsidRDefault="00B23446" w:rsidP="00B23446">
            <w:pPr>
              <w:jc w:val="right"/>
              <w:rPr>
                <w:color w:val="000000"/>
                <w:sz w:val="20"/>
                <w:szCs w:val="20"/>
              </w:rPr>
            </w:pPr>
            <w:r>
              <w:rPr>
                <w:color w:val="000000"/>
                <w:sz w:val="20"/>
                <w:szCs w:val="20"/>
              </w:rPr>
              <w:t>0.390</w:t>
            </w:r>
          </w:p>
        </w:tc>
        <w:tc>
          <w:tcPr>
            <w:tcW w:w="768" w:type="dxa"/>
            <w:tcBorders>
              <w:top w:val="nil"/>
              <w:left w:val="nil"/>
              <w:bottom w:val="nil"/>
              <w:right w:val="nil"/>
            </w:tcBorders>
            <w:shd w:val="clear" w:color="auto" w:fill="auto"/>
            <w:noWrap/>
            <w:vAlign w:val="bottom"/>
            <w:hideMark/>
          </w:tcPr>
          <w:p w14:paraId="4454832C" w14:textId="17DAE7E8"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938F8B6" w14:textId="389071B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9AA5422" w14:textId="69D5CCDA" w:rsidR="00B23446" w:rsidRDefault="00B23446" w:rsidP="00B23446">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366A5320" w14:textId="6585F19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03C400" w14:textId="563DFDF0" w:rsidR="00B23446" w:rsidRDefault="00B23446" w:rsidP="00B23446">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3382F184" w14:textId="78B76B0A" w:rsidR="00B23446" w:rsidRDefault="00B23446" w:rsidP="00B23446">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417833AA" w14:textId="1B86DDED"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B62CB03" w14:textId="35AF2FA2"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8130C27" w14:textId="087A7547" w:rsidR="00B23446" w:rsidRDefault="00B23446" w:rsidP="00B23446">
            <w:pPr>
              <w:jc w:val="right"/>
              <w:rPr>
                <w:color w:val="000000"/>
                <w:sz w:val="20"/>
                <w:szCs w:val="20"/>
              </w:rPr>
            </w:pPr>
            <w:r>
              <w:rPr>
                <w:color w:val="000000"/>
                <w:sz w:val="20"/>
                <w:szCs w:val="20"/>
              </w:rPr>
              <w:t>0.876</w:t>
            </w:r>
          </w:p>
        </w:tc>
        <w:tc>
          <w:tcPr>
            <w:tcW w:w="768" w:type="dxa"/>
            <w:tcBorders>
              <w:top w:val="nil"/>
              <w:left w:val="nil"/>
              <w:bottom w:val="nil"/>
              <w:right w:val="nil"/>
            </w:tcBorders>
            <w:shd w:val="clear" w:color="auto" w:fill="auto"/>
            <w:noWrap/>
            <w:vAlign w:val="bottom"/>
            <w:hideMark/>
          </w:tcPr>
          <w:p w14:paraId="6DC61ABE" w14:textId="449E054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FCDE69" w14:textId="214C65DA" w:rsidR="00B23446" w:rsidRDefault="00B23446" w:rsidP="00B23446">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76ED57DB" w14:textId="22019308" w:rsidR="00B23446" w:rsidRDefault="00B23446" w:rsidP="00B23446">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0A50541D" w14:textId="0B2BE1F7" w:rsidR="00B23446" w:rsidRDefault="00B23446" w:rsidP="00B23446">
            <w:pPr>
              <w:jc w:val="right"/>
              <w:rPr>
                <w:color w:val="000000"/>
                <w:sz w:val="20"/>
                <w:szCs w:val="20"/>
              </w:rPr>
            </w:pPr>
            <w:r>
              <w:rPr>
                <w:color w:val="000000"/>
                <w:sz w:val="20"/>
                <w:szCs w:val="20"/>
              </w:rPr>
              <w:t>0.008</w:t>
            </w:r>
          </w:p>
        </w:tc>
      </w:tr>
      <w:tr w:rsidR="00B23446" w14:paraId="47914F59" w14:textId="77777777" w:rsidTr="002C78E1">
        <w:trPr>
          <w:trHeight w:val="320"/>
        </w:trPr>
        <w:tc>
          <w:tcPr>
            <w:tcW w:w="1176" w:type="dxa"/>
            <w:tcBorders>
              <w:top w:val="nil"/>
              <w:left w:val="nil"/>
              <w:bottom w:val="nil"/>
              <w:right w:val="nil"/>
            </w:tcBorders>
            <w:shd w:val="clear" w:color="auto" w:fill="auto"/>
            <w:noWrap/>
            <w:vAlign w:val="bottom"/>
            <w:hideMark/>
          </w:tcPr>
          <w:p w14:paraId="0B4A92B2"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EA747B"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B8366E8" w14:textId="65AE34A2" w:rsidR="00B23446" w:rsidRDefault="00B23446" w:rsidP="00B23446">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6B0F8C0C" w14:textId="3AB6B325" w:rsidR="00B23446" w:rsidRDefault="00B23446" w:rsidP="00B23446">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4E7CAA49" w14:textId="30B4C1FD"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F9D8B29" w14:textId="350076E8" w:rsidR="00B23446" w:rsidRDefault="00B23446" w:rsidP="00B23446">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79F07929" w14:textId="08C2E02A" w:rsidR="00B23446" w:rsidRDefault="00B23446" w:rsidP="00B23446">
            <w:pPr>
              <w:jc w:val="right"/>
              <w:rPr>
                <w:color w:val="000000"/>
                <w:sz w:val="20"/>
                <w:szCs w:val="20"/>
              </w:rPr>
            </w:pPr>
            <w:r>
              <w:rPr>
                <w:color w:val="000000"/>
                <w:sz w:val="20"/>
                <w:szCs w:val="20"/>
              </w:rPr>
              <w:t>0.280</w:t>
            </w:r>
          </w:p>
        </w:tc>
        <w:tc>
          <w:tcPr>
            <w:tcW w:w="768" w:type="dxa"/>
            <w:tcBorders>
              <w:top w:val="nil"/>
              <w:left w:val="nil"/>
              <w:bottom w:val="nil"/>
              <w:right w:val="nil"/>
            </w:tcBorders>
            <w:shd w:val="clear" w:color="auto" w:fill="auto"/>
            <w:noWrap/>
            <w:vAlign w:val="bottom"/>
            <w:hideMark/>
          </w:tcPr>
          <w:p w14:paraId="19650EDC" w14:textId="24AC1262"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4F7D63A" w14:textId="494690D9" w:rsidR="00B23446" w:rsidRDefault="00B23446" w:rsidP="00B2344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2E253C6" w14:textId="48274454"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7FB4B190" w14:textId="18FDD45F"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20CCAF6" w14:textId="280AD721" w:rsidR="00B23446" w:rsidRDefault="00B23446" w:rsidP="00B23446">
            <w:pPr>
              <w:jc w:val="right"/>
              <w:rPr>
                <w:color w:val="000000"/>
                <w:sz w:val="20"/>
                <w:szCs w:val="20"/>
              </w:rPr>
            </w:pPr>
            <w:r>
              <w:rPr>
                <w:b/>
                <w:bCs/>
                <w:color w:val="000000"/>
                <w:sz w:val="20"/>
                <w:szCs w:val="20"/>
              </w:rPr>
              <w:t>0.180</w:t>
            </w:r>
          </w:p>
        </w:tc>
        <w:tc>
          <w:tcPr>
            <w:tcW w:w="768" w:type="dxa"/>
            <w:tcBorders>
              <w:top w:val="nil"/>
              <w:left w:val="nil"/>
              <w:bottom w:val="nil"/>
              <w:right w:val="nil"/>
            </w:tcBorders>
            <w:shd w:val="clear" w:color="auto" w:fill="auto"/>
            <w:noWrap/>
            <w:vAlign w:val="bottom"/>
            <w:hideMark/>
          </w:tcPr>
          <w:p w14:paraId="4FD31DB4" w14:textId="6E67EBAB" w:rsidR="00B23446" w:rsidRDefault="00B23446" w:rsidP="00B23446">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127502A" w14:textId="6FC172DD" w:rsidR="00B23446" w:rsidRDefault="00B23446" w:rsidP="00B23446">
            <w:pPr>
              <w:jc w:val="right"/>
              <w:rPr>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0C3B49EE" w14:textId="7010A45C" w:rsidR="00B23446" w:rsidRDefault="00B23446" w:rsidP="00B23446">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598FEDE0" w14:textId="0F679A0C" w:rsidR="00B23446" w:rsidRDefault="00B23446" w:rsidP="00B23446">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01A58FFB" w14:textId="1403F182" w:rsidR="00B23446" w:rsidRDefault="00B23446" w:rsidP="00B23446">
            <w:pPr>
              <w:jc w:val="right"/>
              <w:rPr>
                <w:color w:val="000000"/>
                <w:sz w:val="20"/>
                <w:szCs w:val="20"/>
              </w:rPr>
            </w:pPr>
            <w:r>
              <w:rPr>
                <w:color w:val="000000"/>
                <w:sz w:val="20"/>
                <w:szCs w:val="20"/>
              </w:rPr>
              <w:t>0.013</w:t>
            </w:r>
          </w:p>
        </w:tc>
      </w:tr>
      <w:tr w:rsidR="00B23446" w14:paraId="61B7603E" w14:textId="77777777" w:rsidTr="002C78E1">
        <w:trPr>
          <w:trHeight w:val="320"/>
        </w:trPr>
        <w:tc>
          <w:tcPr>
            <w:tcW w:w="1176" w:type="dxa"/>
            <w:tcBorders>
              <w:top w:val="nil"/>
              <w:left w:val="nil"/>
              <w:bottom w:val="nil"/>
              <w:right w:val="nil"/>
            </w:tcBorders>
            <w:shd w:val="clear" w:color="auto" w:fill="auto"/>
            <w:noWrap/>
            <w:vAlign w:val="bottom"/>
            <w:hideMark/>
          </w:tcPr>
          <w:p w14:paraId="2C9DE7E5"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0D603F9"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D6341BE" w14:textId="2D80853E"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DE1182" w14:textId="10D6D6A3" w:rsidR="00B23446" w:rsidRDefault="00B23446" w:rsidP="00B23446">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495268E4" w14:textId="779A4EC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8EC34C" w14:textId="601222C5" w:rsidR="00B23446" w:rsidRDefault="00B23446" w:rsidP="00B2344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4E73DF5" w14:textId="77416ACA" w:rsidR="00B23446" w:rsidRDefault="00B23446" w:rsidP="00B23446">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6640C9E0" w14:textId="68366891"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8D898A" w14:textId="3166C040"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6E253F0" w14:textId="2C16B4C8"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63BB121A" w14:textId="7C6A132A"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B24949" w14:textId="7C4796F4" w:rsidR="00B23446" w:rsidRDefault="00B23446" w:rsidP="00B23446">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44B24731" w14:textId="2E9870C4" w:rsidR="00B23446" w:rsidRDefault="00B23446" w:rsidP="00B23446">
            <w:pPr>
              <w:jc w:val="right"/>
              <w:rPr>
                <w:color w:val="000000"/>
                <w:sz w:val="20"/>
                <w:szCs w:val="20"/>
              </w:rPr>
            </w:pPr>
            <w:r>
              <w:rPr>
                <w:color w:val="000000"/>
                <w:sz w:val="20"/>
                <w:szCs w:val="20"/>
              </w:rPr>
              <w:t>0.751</w:t>
            </w:r>
          </w:p>
        </w:tc>
        <w:tc>
          <w:tcPr>
            <w:tcW w:w="768" w:type="dxa"/>
            <w:tcBorders>
              <w:top w:val="nil"/>
              <w:left w:val="nil"/>
              <w:bottom w:val="nil"/>
              <w:right w:val="nil"/>
            </w:tcBorders>
            <w:shd w:val="clear" w:color="auto" w:fill="auto"/>
            <w:noWrap/>
            <w:vAlign w:val="bottom"/>
            <w:hideMark/>
          </w:tcPr>
          <w:p w14:paraId="0661FC32" w14:textId="6E88B92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814B206" w14:textId="1B31D64B"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CFE824C" w14:textId="507CD6A9" w:rsidR="00B23446" w:rsidRDefault="00B23446" w:rsidP="00B23446">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5AD969A9" w14:textId="2B86ED3C" w:rsidR="00B23446" w:rsidRDefault="00B23446" w:rsidP="00B23446">
            <w:pPr>
              <w:jc w:val="right"/>
              <w:rPr>
                <w:color w:val="000000"/>
                <w:sz w:val="20"/>
                <w:szCs w:val="20"/>
              </w:rPr>
            </w:pPr>
            <w:r>
              <w:rPr>
                <w:color w:val="000000"/>
                <w:sz w:val="20"/>
                <w:szCs w:val="20"/>
              </w:rPr>
              <w:t>0.004</w:t>
            </w:r>
          </w:p>
        </w:tc>
      </w:tr>
      <w:tr w:rsidR="00B23446" w14:paraId="11FC7DA4" w14:textId="77777777" w:rsidTr="002C78E1">
        <w:trPr>
          <w:trHeight w:val="320"/>
        </w:trPr>
        <w:tc>
          <w:tcPr>
            <w:tcW w:w="1176" w:type="dxa"/>
            <w:tcBorders>
              <w:top w:val="nil"/>
              <w:left w:val="nil"/>
              <w:bottom w:val="nil"/>
              <w:right w:val="nil"/>
            </w:tcBorders>
            <w:shd w:val="clear" w:color="auto" w:fill="auto"/>
            <w:noWrap/>
            <w:vAlign w:val="bottom"/>
            <w:hideMark/>
          </w:tcPr>
          <w:p w14:paraId="52F42149"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AADC389"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7334CB0" w14:textId="495837E2" w:rsidR="00B23446" w:rsidRDefault="00B23446" w:rsidP="00B23446">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0611E7C3" w14:textId="2A70D661" w:rsidR="00B23446" w:rsidRDefault="00B23446" w:rsidP="00B23446">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77F4E600" w14:textId="4D22E6C4"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92876C1" w14:textId="2F965A10"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0607B30" w14:textId="3244167C" w:rsidR="00B23446" w:rsidRDefault="00B23446" w:rsidP="00B23446">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4062DFAB" w14:textId="44875ED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2B6715" w14:textId="60BE0029"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81E60CE" w14:textId="018EDA54"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60747FF2" w14:textId="0C9DF69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5D6132" w14:textId="25B1CD24" w:rsidR="00B23446" w:rsidRDefault="00B23446" w:rsidP="00B23446">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4966A5C9" w14:textId="72EC8716" w:rsidR="00B23446" w:rsidRDefault="00B23446" w:rsidP="00B23446">
            <w:pPr>
              <w:jc w:val="right"/>
              <w:rPr>
                <w:color w:val="000000"/>
                <w:sz w:val="20"/>
                <w:szCs w:val="20"/>
              </w:rPr>
            </w:pPr>
            <w:r>
              <w:rPr>
                <w:color w:val="000000"/>
                <w:sz w:val="20"/>
                <w:szCs w:val="20"/>
              </w:rPr>
              <w:t>0.267</w:t>
            </w:r>
          </w:p>
        </w:tc>
        <w:tc>
          <w:tcPr>
            <w:tcW w:w="768" w:type="dxa"/>
            <w:tcBorders>
              <w:top w:val="nil"/>
              <w:left w:val="nil"/>
              <w:bottom w:val="nil"/>
              <w:right w:val="nil"/>
            </w:tcBorders>
            <w:shd w:val="clear" w:color="auto" w:fill="auto"/>
            <w:noWrap/>
            <w:vAlign w:val="bottom"/>
            <w:hideMark/>
          </w:tcPr>
          <w:p w14:paraId="01F2FC25" w14:textId="703B8463"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1BFCF09" w14:textId="206AADA6"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67683EF" w14:textId="5460235A" w:rsidR="00B23446" w:rsidRDefault="00B23446" w:rsidP="00B23446">
            <w:pPr>
              <w:jc w:val="right"/>
              <w:rPr>
                <w:color w:val="000000"/>
                <w:sz w:val="20"/>
                <w:szCs w:val="20"/>
              </w:rPr>
            </w:pPr>
            <w:r>
              <w:rPr>
                <w:color w:val="000000"/>
                <w:sz w:val="20"/>
                <w:szCs w:val="20"/>
              </w:rPr>
              <w:t>0.790</w:t>
            </w:r>
          </w:p>
        </w:tc>
        <w:tc>
          <w:tcPr>
            <w:tcW w:w="768" w:type="dxa"/>
            <w:tcBorders>
              <w:top w:val="nil"/>
              <w:left w:val="nil"/>
              <w:bottom w:val="nil"/>
              <w:right w:val="nil"/>
            </w:tcBorders>
            <w:shd w:val="clear" w:color="auto" w:fill="auto"/>
            <w:noWrap/>
            <w:vAlign w:val="bottom"/>
            <w:hideMark/>
          </w:tcPr>
          <w:p w14:paraId="5BB03560" w14:textId="35C2D02C" w:rsidR="00B23446" w:rsidRDefault="00B23446" w:rsidP="00B23446">
            <w:pPr>
              <w:jc w:val="right"/>
              <w:rPr>
                <w:color w:val="000000"/>
                <w:sz w:val="20"/>
                <w:szCs w:val="20"/>
              </w:rPr>
            </w:pPr>
            <w:r>
              <w:rPr>
                <w:color w:val="000000"/>
                <w:sz w:val="20"/>
                <w:szCs w:val="20"/>
              </w:rPr>
              <w:t>0.000</w:t>
            </w:r>
          </w:p>
        </w:tc>
      </w:tr>
      <w:tr w:rsidR="00B23446" w14:paraId="22B622C9" w14:textId="77777777" w:rsidTr="002C78E1">
        <w:trPr>
          <w:trHeight w:val="320"/>
        </w:trPr>
        <w:tc>
          <w:tcPr>
            <w:tcW w:w="1176" w:type="dxa"/>
            <w:tcBorders>
              <w:top w:val="nil"/>
              <w:left w:val="nil"/>
              <w:bottom w:val="nil"/>
              <w:right w:val="nil"/>
            </w:tcBorders>
            <w:shd w:val="clear" w:color="auto" w:fill="auto"/>
            <w:noWrap/>
            <w:vAlign w:val="bottom"/>
            <w:hideMark/>
          </w:tcPr>
          <w:p w14:paraId="1E6CC749"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E25F2AB"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0DB57F9" w14:textId="0AC78D03"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19CABABC" w14:textId="61175B0B" w:rsidR="00B23446" w:rsidRDefault="00B23446" w:rsidP="00B23446">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116A7885" w14:textId="75859143"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C9E3EF6" w14:textId="702CF28D"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DE2497F" w14:textId="567FD060" w:rsidR="00B23446" w:rsidRDefault="00B23446" w:rsidP="00B23446">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0D2A56B8" w14:textId="797450E5"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4D928F" w14:textId="6B1A323E"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6FC36E4" w14:textId="79468887" w:rsidR="00B23446" w:rsidRDefault="00B23446" w:rsidP="00B2344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04D2927D" w14:textId="26072CFB"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4A67BB" w14:textId="7178C966" w:rsidR="00B23446" w:rsidRDefault="00B23446" w:rsidP="00B23446">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A7A2BC1" w14:textId="5E96F7F4" w:rsidR="00B23446" w:rsidRDefault="00B23446" w:rsidP="00B23446">
            <w:pPr>
              <w:jc w:val="right"/>
              <w:rPr>
                <w:color w:val="000000"/>
                <w:sz w:val="20"/>
                <w:szCs w:val="20"/>
              </w:rPr>
            </w:pPr>
            <w:r>
              <w:rPr>
                <w:color w:val="000000"/>
                <w:sz w:val="20"/>
                <w:szCs w:val="20"/>
              </w:rPr>
              <w:t>0.267</w:t>
            </w:r>
          </w:p>
        </w:tc>
        <w:tc>
          <w:tcPr>
            <w:tcW w:w="768" w:type="dxa"/>
            <w:tcBorders>
              <w:top w:val="nil"/>
              <w:left w:val="nil"/>
              <w:bottom w:val="nil"/>
              <w:right w:val="nil"/>
            </w:tcBorders>
            <w:shd w:val="clear" w:color="auto" w:fill="auto"/>
            <w:noWrap/>
            <w:vAlign w:val="bottom"/>
            <w:hideMark/>
          </w:tcPr>
          <w:p w14:paraId="4BED5524" w14:textId="532A976F"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AE83199" w14:textId="3C535579" w:rsidR="00B23446" w:rsidRDefault="00B23446" w:rsidP="00B23446">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8C3AD85" w14:textId="5C8FB346" w:rsidR="00B23446" w:rsidRDefault="00B23446" w:rsidP="00B23446">
            <w:pPr>
              <w:jc w:val="right"/>
              <w:rPr>
                <w:color w:val="000000"/>
                <w:sz w:val="20"/>
                <w:szCs w:val="20"/>
              </w:rPr>
            </w:pPr>
            <w:r>
              <w:rPr>
                <w:color w:val="000000"/>
                <w:sz w:val="20"/>
                <w:szCs w:val="20"/>
              </w:rPr>
              <w:t>0.597</w:t>
            </w:r>
          </w:p>
        </w:tc>
        <w:tc>
          <w:tcPr>
            <w:tcW w:w="768" w:type="dxa"/>
            <w:tcBorders>
              <w:top w:val="nil"/>
              <w:left w:val="nil"/>
              <w:bottom w:val="nil"/>
              <w:right w:val="nil"/>
            </w:tcBorders>
            <w:shd w:val="clear" w:color="auto" w:fill="auto"/>
            <w:noWrap/>
            <w:vAlign w:val="bottom"/>
            <w:hideMark/>
          </w:tcPr>
          <w:p w14:paraId="35E4B9BC" w14:textId="39D2761C" w:rsidR="00B23446" w:rsidRDefault="00B23446" w:rsidP="00B23446">
            <w:pPr>
              <w:jc w:val="right"/>
              <w:rPr>
                <w:color w:val="000000"/>
                <w:sz w:val="20"/>
                <w:szCs w:val="20"/>
              </w:rPr>
            </w:pPr>
            <w:r>
              <w:rPr>
                <w:color w:val="000000"/>
                <w:sz w:val="20"/>
                <w:szCs w:val="20"/>
              </w:rPr>
              <w:t>0.001</w:t>
            </w:r>
          </w:p>
        </w:tc>
      </w:tr>
      <w:tr w:rsidR="00B23446" w14:paraId="0C9525BB" w14:textId="77777777" w:rsidTr="002C78E1">
        <w:trPr>
          <w:trHeight w:val="320"/>
        </w:trPr>
        <w:tc>
          <w:tcPr>
            <w:tcW w:w="1176" w:type="dxa"/>
            <w:tcBorders>
              <w:top w:val="nil"/>
              <w:left w:val="nil"/>
              <w:bottom w:val="nil"/>
              <w:right w:val="nil"/>
            </w:tcBorders>
            <w:shd w:val="clear" w:color="auto" w:fill="auto"/>
            <w:noWrap/>
            <w:vAlign w:val="bottom"/>
            <w:hideMark/>
          </w:tcPr>
          <w:p w14:paraId="4061496B"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F4A63E3"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3E6E963" w14:textId="4A071F64" w:rsidR="00B23446" w:rsidRDefault="00B23446" w:rsidP="00B23446">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C94406D" w14:textId="17A80138" w:rsidR="00B23446" w:rsidRDefault="00B23446" w:rsidP="00B23446">
            <w:pPr>
              <w:jc w:val="right"/>
              <w:rPr>
                <w:color w:val="000000"/>
                <w:sz w:val="20"/>
                <w:szCs w:val="20"/>
              </w:rPr>
            </w:pPr>
            <w:r>
              <w:rPr>
                <w:color w:val="000000"/>
                <w:sz w:val="20"/>
                <w:szCs w:val="20"/>
              </w:rPr>
              <w:t>0.462</w:t>
            </w:r>
          </w:p>
        </w:tc>
        <w:tc>
          <w:tcPr>
            <w:tcW w:w="768" w:type="dxa"/>
            <w:tcBorders>
              <w:top w:val="nil"/>
              <w:left w:val="nil"/>
              <w:bottom w:val="nil"/>
              <w:right w:val="nil"/>
            </w:tcBorders>
            <w:shd w:val="clear" w:color="auto" w:fill="auto"/>
            <w:noWrap/>
            <w:vAlign w:val="bottom"/>
            <w:hideMark/>
          </w:tcPr>
          <w:p w14:paraId="7E7857AE" w14:textId="7032B372"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9C8B65A" w14:textId="7EF4CD6A"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4089C8C" w14:textId="1BC5BB2C" w:rsidR="00B23446" w:rsidRDefault="00B23446" w:rsidP="00B23446">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696A7861" w14:textId="1FE18C6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99130E" w14:textId="125EFBB9"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6F7CD68D" w14:textId="4CEDD5A5" w:rsidR="00B23446" w:rsidRDefault="00B23446" w:rsidP="00B23446">
            <w:pPr>
              <w:jc w:val="right"/>
              <w:rPr>
                <w:color w:val="000000"/>
                <w:sz w:val="20"/>
                <w:szCs w:val="20"/>
              </w:rPr>
            </w:pPr>
            <w:r>
              <w:rPr>
                <w:color w:val="000000"/>
                <w:sz w:val="20"/>
                <w:szCs w:val="20"/>
              </w:rPr>
              <w:t>0.580</w:t>
            </w:r>
          </w:p>
        </w:tc>
        <w:tc>
          <w:tcPr>
            <w:tcW w:w="768" w:type="dxa"/>
            <w:tcBorders>
              <w:top w:val="nil"/>
              <w:left w:val="nil"/>
              <w:bottom w:val="nil"/>
              <w:right w:val="nil"/>
            </w:tcBorders>
            <w:shd w:val="clear" w:color="auto" w:fill="auto"/>
            <w:noWrap/>
            <w:vAlign w:val="bottom"/>
            <w:hideMark/>
          </w:tcPr>
          <w:p w14:paraId="233FD097" w14:textId="7701A766"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23203F3" w14:textId="66CD90B0"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33CE6BFA" w14:textId="37AFF0C8" w:rsidR="00B23446" w:rsidRDefault="00B23446" w:rsidP="00B23446">
            <w:pPr>
              <w:jc w:val="right"/>
              <w:rPr>
                <w:color w:val="000000"/>
                <w:sz w:val="20"/>
                <w:szCs w:val="20"/>
              </w:rPr>
            </w:pPr>
            <w:r>
              <w:rPr>
                <w:color w:val="000000"/>
                <w:sz w:val="20"/>
                <w:szCs w:val="20"/>
              </w:rPr>
              <w:t>0.508</w:t>
            </w:r>
          </w:p>
        </w:tc>
        <w:tc>
          <w:tcPr>
            <w:tcW w:w="768" w:type="dxa"/>
            <w:tcBorders>
              <w:top w:val="nil"/>
              <w:left w:val="nil"/>
              <w:bottom w:val="nil"/>
              <w:right w:val="nil"/>
            </w:tcBorders>
            <w:shd w:val="clear" w:color="auto" w:fill="auto"/>
            <w:noWrap/>
            <w:vAlign w:val="bottom"/>
            <w:hideMark/>
          </w:tcPr>
          <w:p w14:paraId="1111227A" w14:textId="019DDA47"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9644ED4" w14:textId="606ED5F1"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830F0CE" w14:textId="38D6B372" w:rsidR="00B23446" w:rsidRDefault="00B23446" w:rsidP="00B23446">
            <w:pPr>
              <w:jc w:val="right"/>
              <w:rPr>
                <w:color w:val="000000"/>
                <w:sz w:val="20"/>
                <w:szCs w:val="20"/>
              </w:rPr>
            </w:pPr>
            <w:r>
              <w:rPr>
                <w:color w:val="000000"/>
                <w:sz w:val="20"/>
                <w:szCs w:val="20"/>
              </w:rPr>
              <w:t>0.842</w:t>
            </w:r>
          </w:p>
        </w:tc>
        <w:tc>
          <w:tcPr>
            <w:tcW w:w="768" w:type="dxa"/>
            <w:tcBorders>
              <w:top w:val="nil"/>
              <w:left w:val="nil"/>
              <w:bottom w:val="nil"/>
              <w:right w:val="nil"/>
            </w:tcBorders>
            <w:shd w:val="clear" w:color="auto" w:fill="auto"/>
            <w:noWrap/>
            <w:vAlign w:val="bottom"/>
            <w:hideMark/>
          </w:tcPr>
          <w:p w14:paraId="08930E38" w14:textId="126418BE" w:rsidR="00B23446" w:rsidRDefault="00B23446" w:rsidP="00B23446">
            <w:pPr>
              <w:jc w:val="right"/>
              <w:rPr>
                <w:color w:val="000000"/>
                <w:sz w:val="20"/>
                <w:szCs w:val="20"/>
              </w:rPr>
            </w:pPr>
            <w:r>
              <w:rPr>
                <w:color w:val="000000"/>
                <w:sz w:val="20"/>
                <w:szCs w:val="20"/>
              </w:rPr>
              <w:t>0.000</w:t>
            </w:r>
          </w:p>
        </w:tc>
      </w:tr>
      <w:tr w:rsidR="00B23446" w14:paraId="3B93E7EB" w14:textId="77777777" w:rsidTr="002C78E1">
        <w:trPr>
          <w:trHeight w:val="320"/>
        </w:trPr>
        <w:tc>
          <w:tcPr>
            <w:tcW w:w="1176" w:type="dxa"/>
            <w:tcBorders>
              <w:top w:val="nil"/>
              <w:left w:val="nil"/>
              <w:bottom w:val="single" w:sz="4" w:space="0" w:color="auto"/>
              <w:right w:val="nil"/>
            </w:tcBorders>
            <w:shd w:val="clear" w:color="auto" w:fill="auto"/>
            <w:noWrap/>
            <w:vAlign w:val="bottom"/>
            <w:hideMark/>
          </w:tcPr>
          <w:p w14:paraId="50D530ED"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DC2E491"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8C75ACD" w14:textId="54648EBD"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single" w:sz="4" w:space="0" w:color="auto"/>
              <w:right w:val="nil"/>
            </w:tcBorders>
            <w:shd w:val="clear" w:color="auto" w:fill="auto"/>
            <w:noWrap/>
            <w:vAlign w:val="bottom"/>
            <w:hideMark/>
          </w:tcPr>
          <w:p w14:paraId="72F3594A" w14:textId="0A23DA9F" w:rsidR="00B23446" w:rsidRDefault="00B23446" w:rsidP="00B23446">
            <w:pPr>
              <w:jc w:val="right"/>
              <w:rPr>
                <w:color w:val="000000"/>
                <w:sz w:val="20"/>
                <w:szCs w:val="20"/>
              </w:rPr>
            </w:pPr>
            <w:r>
              <w:rPr>
                <w:color w:val="000000"/>
                <w:sz w:val="20"/>
                <w:szCs w:val="20"/>
              </w:rPr>
              <w:t>0.866</w:t>
            </w:r>
          </w:p>
        </w:tc>
        <w:tc>
          <w:tcPr>
            <w:tcW w:w="768" w:type="dxa"/>
            <w:tcBorders>
              <w:top w:val="nil"/>
              <w:left w:val="nil"/>
              <w:bottom w:val="single" w:sz="4" w:space="0" w:color="auto"/>
              <w:right w:val="nil"/>
            </w:tcBorders>
            <w:shd w:val="clear" w:color="auto" w:fill="auto"/>
            <w:noWrap/>
            <w:vAlign w:val="bottom"/>
            <w:hideMark/>
          </w:tcPr>
          <w:p w14:paraId="7CB55E85" w14:textId="7635799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4F81139" w14:textId="36D1CAC1"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BB989C1" w14:textId="4B53BCE7" w:rsidR="00B23446" w:rsidRDefault="00B23446" w:rsidP="00B23446">
            <w:pPr>
              <w:jc w:val="right"/>
              <w:rPr>
                <w:color w:val="000000"/>
                <w:sz w:val="20"/>
                <w:szCs w:val="20"/>
              </w:rPr>
            </w:pPr>
            <w:r>
              <w:rPr>
                <w:color w:val="000000"/>
                <w:sz w:val="20"/>
                <w:szCs w:val="20"/>
              </w:rPr>
              <w:t>0.985</w:t>
            </w:r>
          </w:p>
        </w:tc>
        <w:tc>
          <w:tcPr>
            <w:tcW w:w="768" w:type="dxa"/>
            <w:tcBorders>
              <w:top w:val="nil"/>
              <w:left w:val="nil"/>
              <w:bottom w:val="single" w:sz="4" w:space="0" w:color="auto"/>
              <w:right w:val="nil"/>
            </w:tcBorders>
            <w:shd w:val="clear" w:color="auto" w:fill="auto"/>
            <w:noWrap/>
            <w:vAlign w:val="bottom"/>
            <w:hideMark/>
          </w:tcPr>
          <w:p w14:paraId="27E686FC" w14:textId="449958B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1D52B2A" w14:textId="5DDBF453"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79E5DE3E" w14:textId="564B2CB8" w:rsidR="00B23446" w:rsidRDefault="00B23446" w:rsidP="00B23446">
            <w:pPr>
              <w:jc w:val="right"/>
              <w:rPr>
                <w:color w:val="000000"/>
                <w:sz w:val="20"/>
                <w:szCs w:val="20"/>
              </w:rPr>
            </w:pPr>
            <w:r>
              <w:rPr>
                <w:color w:val="000000"/>
                <w:sz w:val="20"/>
                <w:szCs w:val="20"/>
              </w:rPr>
              <w:t>0.874</w:t>
            </w:r>
          </w:p>
        </w:tc>
        <w:tc>
          <w:tcPr>
            <w:tcW w:w="768" w:type="dxa"/>
            <w:tcBorders>
              <w:top w:val="nil"/>
              <w:left w:val="nil"/>
              <w:bottom w:val="single" w:sz="4" w:space="0" w:color="auto"/>
              <w:right w:val="nil"/>
            </w:tcBorders>
            <w:shd w:val="clear" w:color="auto" w:fill="auto"/>
            <w:noWrap/>
            <w:vAlign w:val="bottom"/>
            <w:hideMark/>
          </w:tcPr>
          <w:p w14:paraId="028BF7A0" w14:textId="0E5CC7D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EA7556B" w14:textId="0F6B90DD"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0484CEBB" w14:textId="3FC962C9" w:rsidR="00B23446" w:rsidRDefault="00B23446" w:rsidP="00B23446">
            <w:pPr>
              <w:jc w:val="right"/>
              <w:rPr>
                <w:color w:val="000000"/>
                <w:sz w:val="20"/>
                <w:szCs w:val="20"/>
              </w:rPr>
            </w:pPr>
            <w:r>
              <w:rPr>
                <w:color w:val="000000"/>
                <w:sz w:val="20"/>
                <w:szCs w:val="20"/>
              </w:rPr>
              <w:t>0.876</w:t>
            </w:r>
          </w:p>
        </w:tc>
        <w:tc>
          <w:tcPr>
            <w:tcW w:w="768" w:type="dxa"/>
            <w:tcBorders>
              <w:top w:val="nil"/>
              <w:left w:val="nil"/>
              <w:bottom w:val="single" w:sz="4" w:space="0" w:color="auto"/>
              <w:right w:val="nil"/>
            </w:tcBorders>
            <w:shd w:val="clear" w:color="auto" w:fill="auto"/>
            <w:noWrap/>
            <w:vAlign w:val="bottom"/>
            <w:hideMark/>
          </w:tcPr>
          <w:p w14:paraId="75FB92C7" w14:textId="381535F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F3ADAFF" w14:textId="4A4FA3F6"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1FF04879" w14:textId="1E76F591" w:rsidR="00B23446" w:rsidRDefault="00B23446" w:rsidP="00B23446">
            <w:pPr>
              <w:jc w:val="right"/>
              <w:rPr>
                <w:color w:val="000000"/>
                <w:sz w:val="20"/>
                <w:szCs w:val="20"/>
              </w:rPr>
            </w:pPr>
            <w:r>
              <w:rPr>
                <w:color w:val="000000"/>
                <w:sz w:val="20"/>
                <w:szCs w:val="20"/>
              </w:rPr>
              <w:t>0.597</w:t>
            </w:r>
          </w:p>
        </w:tc>
        <w:tc>
          <w:tcPr>
            <w:tcW w:w="768" w:type="dxa"/>
            <w:tcBorders>
              <w:top w:val="nil"/>
              <w:left w:val="nil"/>
              <w:bottom w:val="single" w:sz="4" w:space="0" w:color="auto"/>
              <w:right w:val="nil"/>
            </w:tcBorders>
            <w:shd w:val="clear" w:color="auto" w:fill="auto"/>
            <w:noWrap/>
            <w:vAlign w:val="bottom"/>
            <w:hideMark/>
          </w:tcPr>
          <w:p w14:paraId="601909A5" w14:textId="1D4F6FE9" w:rsidR="00B23446" w:rsidRDefault="00B23446" w:rsidP="00B23446">
            <w:pPr>
              <w:jc w:val="right"/>
              <w:rPr>
                <w:color w:val="000000"/>
                <w:sz w:val="20"/>
                <w:szCs w:val="20"/>
              </w:rPr>
            </w:pPr>
            <w:r>
              <w:rPr>
                <w:color w:val="000000"/>
                <w:sz w:val="20"/>
                <w:szCs w:val="20"/>
              </w:rPr>
              <w:t>0.002</w:t>
            </w:r>
          </w:p>
        </w:tc>
      </w:tr>
      <w:tr w:rsidR="00B23446" w14:paraId="3C474D43" w14:textId="77777777" w:rsidTr="002C78E1">
        <w:trPr>
          <w:trHeight w:val="320"/>
        </w:trPr>
        <w:tc>
          <w:tcPr>
            <w:tcW w:w="1176" w:type="dxa"/>
            <w:tcBorders>
              <w:top w:val="nil"/>
              <w:left w:val="nil"/>
              <w:bottom w:val="nil"/>
              <w:right w:val="nil"/>
            </w:tcBorders>
            <w:shd w:val="clear" w:color="auto" w:fill="auto"/>
            <w:noWrap/>
            <w:vAlign w:val="bottom"/>
            <w:hideMark/>
          </w:tcPr>
          <w:p w14:paraId="3434E835" w14:textId="77777777" w:rsidR="00B23446" w:rsidRDefault="00B23446" w:rsidP="00B23446">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CBCF7D1"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87C0078" w14:textId="078D33A4"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382AB2AB" w14:textId="3C42A2C1" w:rsidR="00B23446" w:rsidRDefault="00B23446" w:rsidP="00B23446">
            <w:pPr>
              <w:jc w:val="right"/>
              <w:rPr>
                <w:color w:val="000000"/>
                <w:sz w:val="20"/>
                <w:szCs w:val="20"/>
              </w:rPr>
            </w:pPr>
            <w:r>
              <w:rPr>
                <w:color w:val="000000"/>
                <w:sz w:val="20"/>
                <w:szCs w:val="20"/>
              </w:rPr>
              <w:t>0.635</w:t>
            </w:r>
          </w:p>
        </w:tc>
        <w:tc>
          <w:tcPr>
            <w:tcW w:w="768" w:type="dxa"/>
            <w:tcBorders>
              <w:top w:val="nil"/>
              <w:left w:val="nil"/>
              <w:bottom w:val="nil"/>
              <w:right w:val="nil"/>
            </w:tcBorders>
            <w:shd w:val="clear" w:color="auto" w:fill="auto"/>
            <w:noWrap/>
            <w:vAlign w:val="bottom"/>
            <w:hideMark/>
          </w:tcPr>
          <w:p w14:paraId="59151101" w14:textId="0CE8E0EB"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83A26C3" w14:textId="4A77A242"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9EDC0B0" w14:textId="7DF61CB6" w:rsidR="00B23446" w:rsidRDefault="00B23446" w:rsidP="00B23446">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0105DC1C" w14:textId="6F208FE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D9CC2D" w14:textId="641AE105" w:rsidR="00B23446" w:rsidRDefault="00B23446" w:rsidP="00B2344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67AC86B" w14:textId="4606C58E" w:rsidR="00B23446" w:rsidRDefault="00B23446" w:rsidP="00B23446">
            <w:pPr>
              <w:jc w:val="right"/>
              <w:rPr>
                <w:color w:val="000000"/>
                <w:sz w:val="20"/>
                <w:szCs w:val="20"/>
              </w:rPr>
            </w:pPr>
            <w:r>
              <w:rPr>
                <w:color w:val="000000"/>
                <w:sz w:val="20"/>
                <w:szCs w:val="20"/>
              </w:rPr>
              <w:t>0.623</w:t>
            </w:r>
          </w:p>
        </w:tc>
        <w:tc>
          <w:tcPr>
            <w:tcW w:w="768" w:type="dxa"/>
            <w:tcBorders>
              <w:top w:val="nil"/>
              <w:left w:val="nil"/>
              <w:bottom w:val="nil"/>
              <w:right w:val="nil"/>
            </w:tcBorders>
            <w:shd w:val="clear" w:color="auto" w:fill="auto"/>
            <w:noWrap/>
            <w:vAlign w:val="bottom"/>
            <w:hideMark/>
          </w:tcPr>
          <w:p w14:paraId="1F678FA8" w14:textId="7BCC210B"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FEF140" w14:textId="2337A712"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97A208E" w14:textId="0EDAB739" w:rsidR="00B23446" w:rsidRDefault="00B23446" w:rsidP="00B23446">
            <w:pPr>
              <w:jc w:val="right"/>
              <w:rPr>
                <w:color w:val="000000"/>
                <w:sz w:val="20"/>
                <w:szCs w:val="20"/>
              </w:rPr>
            </w:pPr>
            <w:r>
              <w:rPr>
                <w:color w:val="000000"/>
                <w:sz w:val="20"/>
                <w:szCs w:val="20"/>
              </w:rPr>
              <w:t>0.849</w:t>
            </w:r>
          </w:p>
        </w:tc>
        <w:tc>
          <w:tcPr>
            <w:tcW w:w="768" w:type="dxa"/>
            <w:tcBorders>
              <w:top w:val="nil"/>
              <w:left w:val="nil"/>
              <w:bottom w:val="nil"/>
              <w:right w:val="nil"/>
            </w:tcBorders>
            <w:shd w:val="clear" w:color="auto" w:fill="auto"/>
            <w:noWrap/>
            <w:vAlign w:val="bottom"/>
            <w:hideMark/>
          </w:tcPr>
          <w:p w14:paraId="0D3FCE8A" w14:textId="462FE21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E34DA3" w14:textId="7A2E59EC"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2264753" w14:textId="3350D979" w:rsidR="00B23446" w:rsidRDefault="00B23446" w:rsidP="00B23446">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318AFE37" w14:textId="716947C0" w:rsidR="00B23446" w:rsidRDefault="00B23446" w:rsidP="00B23446">
            <w:pPr>
              <w:jc w:val="right"/>
              <w:rPr>
                <w:color w:val="000000"/>
                <w:sz w:val="20"/>
                <w:szCs w:val="20"/>
              </w:rPr>
            </w:pPr>
            <w:r>
              <w:rPr>
                <w:color w:val="000000"/>
                <w:sz w:val="20"/>
                <w:szCs w:val="20"/>
              </w:rPr>
              <w:t>0.000</w:t>
            </w:r>
          </w:p>
        </w:tc>
      </w:tr>
      <w:tr w:rsidR="00B23446" w14:paraId="2A5CDD65" w14:textId="77777777" w:rsidTr="002C78E1">
        <w:trPr>
          <w:trHeight w:val="320"/>
        </w:trPr>
        <w:tc>
          <w:tcPr>
            <w:tcW w:w="1176" w:type="dxa"/>
            <w:tcBorders>
              <w:top w:val="nil"/>
              <w:left w:val="nil"/>
              <w:bottom w:val="nil"/>
              <w:right w:val="nil"/>
            </w:tcBorders>
            <w:shd w:val="clear" w:color="auto" w:fill="auto"/>
            <w:noWrap/>
            <w:vAlign w:val="bottom"/>
            <w:hideMark/>
          </w:tcPr>
          <w:p w14:paraId="166BCF8B"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05D6EC"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812E3E5" w14:textId="6AACD297" w:rsidR="00B23446" w:rsidRDefault="00B23446" w:rsidP="00B23446">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27BD7899" w14:textId="448813D1" w:rsidR="00B23446" w:rsidRDefault="00B23446" w:rsidP="00B23446">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2AC84619" w14:textId="785F29EE"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035EF9E" w14:textId="0E82704D"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03665A1" w14:textId="4D7BA1CB" w:rsidR="00B23446" w:rsidRDefault="00B23446" w:rsidP="00B23446">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11E5942D" w14:textId="21B9FE2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F724F27" w14:textId="7B35A519" w:rsidR="00B23446" w:rsidRDefault="00B23446" w:rsidP="00B23446">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4F53459D" w14:textId="5F2635E3" w:rsidR="00B23446" w:rsidRDefault="00B23446" w:rsidP="00B23446">
            <w:pPr>
              <w:jc w:val="right"/>
              <w:rPr>
                <w:color w:val="000000"/>
                <w:sz w:val="20"/>
                <w:szCs w:val="20"/>
              </w:rPr>
            </w:pPr>
            <w:r>
              <w:rPr>
                <w:color w:val="000000"/>
                <w:sz w:val="20"/>
                <w:szCs w:val="20"/>
              </w:rPr>
              <w:t>0.184</w:t>
            </w:r>
          </w:p>
        </w:tc>
        <w:tc>
          <w:tcPr>
            <w:tcW w:w="768" w:type="dxa"/>
            <w:tcBorders>
              <w:top w:val="nil"/>
              <w:left w:val="nil"/>
              <w:bottom w:val="nil"/>
              <w:right w:val="nil"/>
            </w:tcBorders>
            <w:shd w:val="clear" w:color="auto" w:fill="auto"/>
            <w:noWrap/>
            <w:vAlign w:val="bottom"/>
            <w:hideMark/>
          </w:tcPr>
          <w:p w14:paraId="48A26596" w14:textId="6639593D"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9200542" w14:textId="37B34A93"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C767FAD" w14:textId="752A00B3" w:rsidR="00B23446" w:rsidRDefault="00B23446" w:rsidP="00B23446">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690D13B8" w14:textId="5FB728C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BA6E0F" w14:textId="6188571E" w:rsidR="00B23446" w:rsidRDefault="00B23446" w:rsidP="00B23446">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4C1D04B9" w14:textId="294905C6" w:rsidR="00B23446" w:rsidRDefault="00B23446" w:rsidP="00B23446">
            <w:pPr>
              <w:jc w:val="right"/>
              <w:rPr>
                <w:color w:val="000000"/>
                <w:sz w:val="20"/>
                <w:szCs w:val="20"/>
              </w:rPr>
            </w:pPr>
            <w:r>
              <w:rPr>
                <w:color w:val="000000"/>
                <w:sz w:val="20"/>
                <w:szCs w:val="20"/>
              </w:rPr>
              <w:t>0.115</w:t>
            </w:r>
          </w:p>
        </w:tc>
        <w:tc>
          <w:tcPr>
            <w:tcW w:w="768" w:type="dxa"/>
            <w:tcBorders>
              <w:top w:val="nil"/>
              <w:left w:val="nil"/>
              <w:bottom w:val="nil"/>
              <w:right w:val="nil"/>
            </w:tcBorders>
            <w:shd w:val="clear" w:color="auto" w:fill="auto"/>
            <w:noWrap/>
            <w:vAlign w:val="bottom"/>
            <w:hideMark/>
          </w:tcPr>
          <w:p w14:paraId="104B0DCB" w14:textId="53C01F02" w:rsidR="00B23446" w:rsidRDefault="00B23446" w:rsidP="00B23446">
            <w:pPr>
              <w:jc w:val="right"/>
              <w:rPr>
                <w:color w:val="000000"/>
                <w:sz w:val="20"/>
                <w:szCs w:val="20"/>
              </w:rPr>
            </w:pPr>
            <w:r>
              <w:rPr>
                <w:color w:val="000000"/>
                <w:sz w:val="20"/>
                <w:szCs w:val="20"/>
              </w:rPr>
              <w:t>0.007</w:t>
            </w:r>
          </w:p>
        </w:tc>
      </w:tr>
      <w:tr w:rsidR="00B23446" w14:paraId="567B7AE4" w14:textId="77777777" w:rsidTr="002C78E1">
        <w:trPr>
          <w:trHeight w:val="320"/>
        </w:trPr>
        <w:tc>
          <w:tcPr>
            <w:tcW w:w="1176" w:type="dxa"/>
            <w:tcBorders>
              <w:top w:val="nil"/>
              <w:left w:val="nil"/>
              <w:bottom w:val="nil"/>
              <w:right w:val="nil"/>
            </w:tcBorders>
            <w:shd w:val="clear" w:color="auto" w:fill="auto"/>
            <w:noWrap/>
            <w:vAlign w:val="bottom"/>
            <w:hideMark/>
          </w:tcPr>
          <w:p w14:paraId="47A62B75"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CDDF115"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9769AB3" w14:textId="203C83D4" w:rsidR="00B23446" w:rsidRDefault="00B23446" w:rsidP="00B2344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619D0B1" w14:textId="4E53DACE" w:rsidR="00B23446" w:rsidRDefault="00B23446" w:rsidP="00B23446">
            <w:pPr>
              <w:jc w:val="right"/>
              <w:rPr>
                <w:color w:val="000000"/>
                <w:sz w:val="20"/>
                <w:szCs w:val="20"/>
              </w:rPr>
            </w:pPr>
            <w:r>
              <w:rPr>
                <w:color w:val="000000"/>
                <w:sz w:val="20"/>
                <w:szCs w:val="20"/>
              </w:rPr>
              <w:t>0.687</w:t>
            </w:r>
          </w:p>
        </w:tc>
        <w:tc>
          <w:tcPr>
            <w:tcW w:w="768" w:type="dxa"/>
            <w:tcBorders>
              <w:top w:val="nil"/>
              <w:left w:val="nil"/>
              <w:bottom w:val="nil"/>
              <w:right w:val="nil"/>
            </w:tcBorders>
            <w:shd w:val="clear" w:color="auto" w:fill="auto"/>
            <w:noWrap/>
            <w:vAlign w:val="bottom"/>
            <w:hideMark/>
          </w:tcPr>
          <w:p w14:paraId="37680652" w14:textId="06F82B5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C74079" w14:textId="64F47139" w:rsidR="00B23446" w:rsidRDefault="00B23446" w:rsidP="00B2344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3011CC6" w14:textId="2E881AF0" w:rsidR="00B23446" w:rsidRDefault="00B23446" w:rsidP="00B23446">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0CB9C853" w14:textId="24D8757A"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E46DD50" w14:textId="172E6256"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FA512A4" w14:textId="4E6EA0AC" w:rsidR="00B23446" w:rsidRDefault="00B23446" w:rsidP="00B23446">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4AC8E97B" w14:textId="555B7C22"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8B1ED9A" w14:textId="2F669E25" w:rsidR="00B23446" w:rsidRDefault="00B23446" w:rsidP="00B23446">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7CF4DF38" w14:textId="05A675BB" w:rsidR="00B23446" w:rsidRDefault="00B23446" w:rsidP="00B23446">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592462F9" w14:textId="255949D5"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3F5DF91" w14:textId="5303AA1F" w:rsidR="00B23446" w:rsidRDefault="00B23446" w:rsidP="00B23446">
            <w:pPr>
              <w:jc w:val="right"/>
              <w:rPr>
                <w:color w:val="000000"/>
                <w:sz w:val="20"/>
                <w:szCs w:val="20"/>
              </w:rPr>
            </w:pPr>
            <w:r>
              <w:rPr>
                <w:color w:val="000000"/>
                <w:sz w:val="20"/>
                <w:szCs w:val="20"/>
              </w:rPr>
              <w:t>-0.102</w:t>
            </w:r>
          </w:p>
        </w:tc>
        <w:tc>
          <w:tcPr>
            <w:tcW w:w="768" w:type="dxa"/>
            <w:tcBorders>
              <w:top w:val="nil"/>
              <w:left w:val="nil"/>
              <w:bottom w:val="nil"/>
              <w:right w:val="nil"/>
            </w:tcBorders>
            <w:shd w:val="clear" w:color="auto" w:fill="auto"/>
            <w:noWrap/>
            <w:vAlign w:val="bottom"/>
            <w:hideMark/>
          </w:tcPr>
          <w:p w14:paraId="6A8EBA34" w14:textId="41D6520C" w:rsidR="00B23446" w:rsidRDefault="00B23446" w:rsidP="00B23446">
            <w:pPr>
              <w:jc w:val="right"/>
              <w:rPr>
                <w:color w:val="000000"/>
                <w:sz w:val="20"/>
                <w:szCs w:val="20"/>
              </w:rPr>
            </w:pPr>
            <w:r>
              <w:rPr>
                <w:color w:val="000000"/>
                <w:sz w:val="20"/>
                <w:szCs w:val="20"/>
              </w:rPr>
              <w:t>0.115</w:t>
            </w:r>
          </w:p>
        </w:tc>
        <w:tc>
          <w:tcPr>
            <w:tcW w:w="768" w:type="dxa"/>
            <w:tcBorders>
              <w:top w:val="nil"/>
              <w:left w:val="nil"/>
              <w:bottom w:val="nil"/>
              <w:right w:val="nil"/>
            </w:tcBorders>
            <w:shd w:val="clear" w:color="auto" w:fill="auto"/>
            <w:noWrap/>
            <w:vAlign w:val="bottom"/>
            <w:hideMark/>
          </w:tcPr>
          <w:p w14:paraId="008A58C0" w14:textId="3767D45A" w:rsidR="00B23446" w:rsidRDefault="00B23446" w:rsidP="00B23446">
            <w:pPr>
              <w:jc w:val="right"/>
              <w:rPr>
                <w:color w:val="000000"/>
                <w:sz w:val="20"/>
                <w:szCs w:val="20"/>
              </w:rPr>
            </w:pPr>
            <w:r>
              <w:rPr>
                <w:color w:val="000000"/>
                <w:sz w:val="20"/>
                <w:szCs w:val="20"/>
              </w:rPr>
              <w:t>0.010</w:t>
            </w:r>
          </w:p>
        </w:tc>
      </w:tr>
      <w:tr w:rsidR="00B23446" w14:paraId="26AB8FB8" w14:textId="77777777" w:rsidTr="002C78E1">
        <w:trPr>
          <w:trHeight w:val="320"/>
        </w:trPr>
        <w:tc>
          <w:tcPr>
            <w:tcW w:w="1176" w:type="dxa"/>
            <w:tcBorders>
              <w:top w:val="nil"/>
              <w:left w:val="nil"/>
              <w:bottom w:val="nil"/>
              <w:right w:val="nil"/>
            </w:tcBorders>
            <w:shd w:val="clear" w:color="auto" w:fill="auto"/>
            <w:noWrap/>
            <w:vAlign w:val="bottom"/>
            <w:hideMark/>
          </w:tcPr>
          <w:p w14:paraId="5A265F0F"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D19ACC7"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D05F81B" w14:textId="31718094" w:rsidR="00B23446" w:rsidRDefault="00B23446" w:rsidP="00B23446">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90BE4EC" w14:textId="4751594F" w:rsidR="00B23446" w:rsidRDefault="00B23446" w:rsidP="00B23446">
            <w:pPr>
              <w:jc w:val="right"/>
              <w:rPr>
                <w:color w:val="000000"/>
                <w:sz w:val="20"/>
                <w:szCs w:val="20"/>
              </w:rPr>
            </w:pPr>
            <w:r>
              <w:rPr>
                <w:color w:val="000000"/>
                <w:sz w:val="20"/>
                <w:szCs w:val="20"/>
              </w:rPr>
              <w:t>0.635</w:t>
            </w:r>
          </w:p>
        </w:tc>
        <w:tc>
          <w:tcPr>
            <w:tcW w:w="768" w:type="dxa"/>
            <w:tcBorders>
              <w:top w:val="nil"/>
              <w:left w:val="nil"/>
              <w:bottom w:val="nil"/>
              <w:right w:val="nil"/>
            </w:tcBorders>
            <w:shd w:val="clear" w:color="auto" w:fill="auto"/>
            <w:noWrap/>
            <w:vAlign w:val="bottom"/>
            <w:hideMark/>
          </w:tcPr>
          <w:p w14:paraId="385A05A8" w14:textId="115A55FB"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97C24A" w14:textId="319E9F30" w:rsidR="00B23446" w:rsidRDefault="00B23446" w:rsidP="00B2344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9057CEF" w14:textId="18EFF982" w:rsidR="00B23446" w:rsidRDefault="00B23446" w:rsidP="00B23446">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32968D9B" w14:textId="443F32CD"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C3304D" w14:textId="7EED060A" w:rsidR="00B23446" w:rsidRDefault="00B23446" w:rsidP="00B23446">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5F20CE44" w14:textId="34AD89AE" w:rsidR="00B23446" w:rsidRDefault="00B23446" w:rsidP="00B23446">
            <w:pPr>
              <w:jc w:val="right"/>
              <w:rPr>
                <w:color w:val="000000"/>
                <w:sz w:val="20"/>
                <w:szCs w:val="20"/>
              </w:rPr>
            </w:pPr>
            <w:r>
              <w:rPr>
                <w:color w:val="000000"/>
                <w:sz w:val="20"/>
                <w:szCs w:val="20"/>
              </w:rPr>
              <w:t>0.623</w:t>
            </w:r>
          </w:p>
        </w:tc>
        <w:tc>
          <w:tcPr>
            <w:tcW w:w="768" w:type="dxa"/>
            <w:tcBorders>
              <w:top w:val="nil"/>
              <w:left w:val="nil"/>
              <w:bottom w:val="nil"/>
              <w:right w:val="nil"/>
            </w:tcBorders>
            <w:shd w:val="clear" w:color="auto" w:fill="auto"/>
            <w:noWrap/>
            <w:vAlign w:val="bottom"/>
            <w:hideMark/>
          </w:tcPr>
          <w:p w14:paraId="0895EDCF" w14:textId="718145FC"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AD0CF46" w14:textId="0F054693"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37ACAFA9" w14:textId="0BE60720" w:rsidR="00B23446" w:rsidRDefault="00B23446" w:rsidP="00B23446">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76DBAA5A" w14:textId="6C40424C"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23353B" w14:textId="3CB17FDD"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5BE000F" w14:textId="3DEB8C5F" w:rsidR="00B23446" w:rsidRDefault="00B23446" w:rsidP="00B23446">
            <w:pPr>
              <w:jc w:val="right"/>
              <w:rPr>
                <w:color w:val="000000"/>
                <w:sz w:val="20"/>
                <w:szCs w:val="20"/>
              </w:rPr>
            </w:pPr>
            <w:r>
              <w:rPr>
                <w:color w:val="000000"/>
                <w:sz w:val="20"/>
                <w:szCs w:val="20"/>
              </w:rPr>
              <w:t>0.755</w:t>
            </w:r>
          </w:p>
        </w:tc>
        <w:tc>
          <w:tcPr>
            <w:tcW w:w="768" w:type="dxa"/>
            <w:tcBorders>
              <w:top w:val="nil"/>
              <w:left w:val="nil"/>
              <w:bottom w:val="nil"/>
              <w:right w:val="nil"/>
            </w:tcBorders>
            <w:shd w:val="clear" w:color="auto" w:fill="auto"/>
            <w:noWrap/>
            <w:vAlign w:val="bottom"/>
            <w:hideMark/>
          </w:tcPr>
          <w:p w14:paraId="5515214E" w14:textId="6F601C67" w:rsidR="00B23446" w:rsidRDefault="00B23446" w:rsidP="00B23446">
            <w:pPr>
              <w:jc w:val="right"/>
              <w:rPr>
                <w:color w:val="000000"/>
                <w:sz w:val="20"/>
                <w:szCs w:val="20"/>
              </w:rPr>
            </w:pPr>
            <w:r>
              <w:rPr>
                <w:color w:val="000000"/>
                <w:sz w:val="20"/>
                <w:szCs w:val="20"/>
              </w:rPr>
              <w:t>0.001</w:t>
            </w:r>
          </w:p>
        </w:tc>
      </w:tr>
      <w:tr w:rsidR="00B23446" w14:paraId="2FBD75CB" w14:textId="77777777" w:rsidTr="002C78E1">
        <w:trPr>
          <w:trHeight w:val="320"/>
        </w:trPr>
        <w:tc>
          <w:tcPr>
            <w:tcW w:w="1176" w:type="dxa"/>
            <w:tcBorders>
              <w:top w:val="nil"/>
              <w:left w:val="nil"/>
              <w:bottom w:val="nil"/>
              <w:right w:val="nil"/>
            </w:tcBorders>
            <w:shd w:val="clear" w:color="auto" w:fill="auto"/>
            <w:noWrap/>
            <w:vAlign w:val="bottom"/>
            <w:hideMark/>
          </w:tcPr>
          <w:p w14:paraId="1EB54C47"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C3C0FBE"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734BE99" w14:textId="736C0A1A" w:rsidR="00B23446" w:rsidRDefault="00B23446" w:rsidP="00B23446">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5D80AD80" w14:textId="490179B5" w:rsidR="00B23446" w:rsidRDefault="00B23446" w:rsidP="00B23446">
            <w:pPr>
              <w:jc w:val="right"/>
              <w:rPr>
                <w:color w:val="000000"/>
                <w:sz w:val="20"/>
                <w:szCs w:val="20"/>
              </w:rPr>
            </w:pPr>
            <w:r>
              <w:rPr>
                <w:color w:val="000000"/>
                <w:sz w:val="20"/>
                <w:szCs w:val="20"/>
              </w:rPr>
              <w:t>0.518</w:t>
            </w:r>
          </w:p>
        </w:tc>
        <w:tc>
          <w:tcPr>
            <w:tcW w:w="768" w:type="dxa"/>
            <w:tcBorders>
              <w:top w:val="nil"/>
              <w:left w:val="nil"/>
              <w:bottom w:val="nil"/>
              <w:right w:val="nil"/>
            </w:tcBorders>
            <w:shd w:val="clear" w:color="auto" w:fill="auto"/>
            <w:noWrap/>
            <w:vAlign w:val="bottom"/>
            <w:hideMark/>
          </w:tcPr>
          <w:p w14:paraId="2C8CF100" w14:textId="17A328D1"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6065D40" w14:textId="5E215E19"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D342855" w14:textId="1534C054" w:rsidR="00B23446" w:rsidRDefault="00B23446" w:rsidP="00B23446">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44FC14AD" w14:textId="0F236744"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B21BD9" w14:textId="352D9F3D" w:rsidR="00B23446" w:rsidRDefault="00B23446" w:rsidP="00B2344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6CE315FE" w14:textId="46C4C53B" w:rsidR="00B23446" w:rsidRDefault="00B23446" w:rsidP="00B23446">
            <w:pPr>
              <w:jc w:val="right"/>
              <w:rPr>
                <w:color w:val="000000"/>
                <w:sz w:val="20"/>
                <w:szCs w:val="20"/>
              </w:rPr>
            </w:pPr>
            <w:r>
              <w:rPr>
                <w:color w:val="000000"/>
                <w:sz w:val="20"/>
                <w:szCs w:val="20"/>
              </w:rPr>
              <w:t>0.623</w:t>
            </w:r>
          </w:p>
        </w:tc>
        <w:tc>
          <w:tcPr>
            <w:tcW w:w="768" w:type="dxa"/>
            <w:tcBorders>
              <w:top w:val="nil"/>
              <w:left w:val="nil"/>
              <w:bottom w:val="nil"/>
              <w:right w:val="nil"/>
            </w:tcBorders>
            <w:shd w:val="clear" w:color="auto" w:fill="auto"/>
            <w:noWrap/>
            <w:vAlign w:val="bottom"/>
            <w:hideMark/>
          </w:tcPr>
          <w:p w14:paraId="5ECF9A06" w14:textId="7C05DF66"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D54AF9F" w14:textId="3E0DB62D"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4E23FA1" w14:textId="7A7151CA" w:rsidR="00B23446" w:rsidRDefault="00B23446" w:rsidP="00B23446">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46AFC74C" w14:textId="1FFBE062"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7D9735" w14:textId="38922883"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D1EBBF9" w14:textId="71CBCC43" w:rsidR="00B23446" w:rsidRDefault="00B23446" w:rsidP="00B23446">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2F1E12A1" w14:textId="5CBBC0EF" w:rsidR="00B23446" w:rsidRDefault="00B23446" w:rsidP="00B23446">
            <w:pPr>
              <w:jc w:val="right"/>
              <w:rPr>
                <w:color w:val="000000"/>
                <w:sz w:val="20"/>
                <w:szCs w:val="20"/>
              </w:rPr>
            </w:pPr>
            <w:r>
              <w:rPr>
                <w:color w:val="000000"/>
                <w:sz w:val="20"/>
                <w:szCs w:val="20"/>
              </w:rPr>
              <w:t>0.000</w:t>
            </w:r>
          </w:p>
        </w:tc>
      </w:tr>
      <w:tr w:rsidR="00B23446" w14:paraId="73153357" w14:textId="77777777" w:rsidTr="002C78E1">
        <w:trPr>
          <w:trHeight w:val="320"/>
        </w:trPr>
        <w:tc>
          <w:tcPr>
            <w:tcW w:w="1176" w:type="dxa"/>
            <w:tcBorders>
              <w:top w:val="nil"/>
              <w:left w:val="nil"/>
              <w:bottom w:val="nil"/>
              <w:right w:val="nil"/>
            </w:tcBorders>
            <w:shd w:val="clear" w:color="auto" w:fill="auto"/>
            <w:noWrap/>
            <w:vAlign w:val="bottom"/>
            <w:hideMark/>
          </w:tcPr>
          <w:p w14:paraId="125CB548"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9A3380B"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5A9A9E7" w14:textId="63985224" w:rsidR="00B23446" w:rsidRDefault="00B23446" w:rsidP="00B23446">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68E7EDB0" w14:textId="7D013BB3" w:rsidR="00B23446" w:rsidRDefault="00B23446" w:rsidP="00B23446">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249672EC" w14:textId="76E9B1CB"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AC3967C" w14:textId="5F24BE0E"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C70E936" w14:textId="41414463" w:rsidR="00B23446" w:rsidRDefault="00B23446" w:rsidP="00B23446">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12AFB87A" w14:textId="356D811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44DD89" w14:textId="0979167B"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EF3B9F8" w14:textId="52A4E33D" w:rsidR="00B23446" w:rsidRDefault="00B23446" w:rsidP="00B23446">
            <w:pPr>
              <w:jc w:val="right"/>
              <w:rPr>
                <w:color w:val="000000"/>
                <w:sz w:val="20"/>
                <w:szCs w:val="20"/>
              </w:rPr>
            </w:pPr>
            <w:r>
              <w:rPr>
                <w:color w:val="000000"/>
                <w:sz w:val="20"/>
                <w:szCs w:val="20"/>
              </w:rPr>
              <w:t>0.805</w:t>
            </w:r>
          </w:p>
        </w:tc>
        <w:tc>
          <w:tcPr>
            <w:tcW w:w="768" w:type="dxa"/>
            <w:tcBorders>
              <w:top w:val="nil"/>
              <w:left w:val="nil"/>
              <w:bottom w:val="nil"/>
              <w:right w:val="nil"/>
            </w:tcBorders>
            <w:shd w:val="clear" w:color="auto" w:fill="auto"/>
            <w:noWrap/>
            <w:vAlign w:val="bottom"/>
            <w:hideMark/>
          </w:tcPr>
          <w:p w14:paraId="273239D5" w14:textId="34C2308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E178F2" w14:textId="7CB03A21" w:rsidR="00B23446" w:rsidRDefault="00B23446" w:rsidP="00B23446">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00E9AA38" w14:textId="5E3F4561" w:rsidR="00B23446" w:rsidRDefault="00B23446" w:rsidP="00B23446">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1F33D2B4" w14:textId="36CB83FF"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2270B40" w14:textId="13112A8E" w:rsidR="00B23446" w:rsidRDefault="00B23446" w:rsidP="00B2344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EE75CA5" w14:textId="7FA35843" w:rsidR="00B23446" w:rsidRDefault="00B23446" w:rsidP="00B23446">
            <w:pPr>
              <w:jc w:val="right"/>
              <w:rPr>
                <w:color w:val="000000"/>
                <w:sz w:val="20"/>
                <w:szCs w:val="20"/>
              </w:rPr>
            </w:pPr>
            <w:r>
              <w:rPr>
                <w:color w:val="000000"/>
                <w:sz w:val="20"/>
                <w:szCs w:val="20"/>
              </w:rPr>
              <w:t>0.755</w:t>
            </w:r>
          </w:p>
        </w:tc>
        <w:tc>
          <w:tcPr>
            <w:tcW w:w="768" w:type="dxa"/>
            <w:tcBorders>
              <w:top w:val="nil"/>
              <w:left w:val="nil"/>
              <w:bottom w:val="nil"/>
              <w:right w:val="nil"/>
            </w:tcBorders>
            <w:shd w:val="clear" w:color="auto" w:fill="auto"/>
            <w:noWrap/>
            <w:vAlign w:val="bottom"/>
            <w:hideMark/>
          </w:tcPr>
          <w:p w14:paraId="1CDA0597" w14:textId="52CA5BF9" w:rsidR="00B23446" w:rsidRDefault="00B23446" w:rsidP="00B23446">
            <w:pPr>
              <w:jc w:val="right"/>
              <w:rPr>
                <w:color w:val="000000"/>
                <w:sz w:val="20"/>
                <w:szCs w:val="20"/>
              </w:rPr>
            </w:pPr>
            <w:r>
              <w:rPr>
                <w:color w:val="000000"/>
                <w:sz w:val="20"/>
                <w:szCs w:val="20"/>
              </w:rPr>
              <w:t>0.001</w:t>
            </w:r>
          </w:p>
        </w:tc>
      </w:tr>
      <w:tr w:rsidR="00B23446" w14:paraId="611DA8E7" w14:textId="77777777" w:rsidTr="002C78E1">
        <w:trPr>
          <w:trHeight w:val="320"/>
        </w:trPr>
        <w:tc>
          <w:tcPr>
            <w:tcW w:w="1176" w:type="dxa"/>
            <w:tcBorders>
              <w:top w:val="nil"/>
              <w:left w:val="nil"/>
              <w:bottom w:val="nil"/>
              <w:right w:val="nil"/>
            </w:tcBorders>
            <w:shd w:val="clear" w:color="auto" w:fill="auto"/>
            <w:noWrap/>
            <w:vAlign w:val="bottom"/>
            <w:hideMark/>
          </w:tcPr>
          <w:p w14:paraId="0F5F875F"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D8F73D"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491D40C" w14:textId="3A1984B9" w:rsidR="00B23446" w:rsidRDefault="00B23446" w:rsidP="00B23446">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2980B7FD" w14:textId="6B7A32CD" w:rsidR="00B23446" w:rsidRDefault="00B23446" w:rsidP="00B23446">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4A1F2067" w14:textId="5D651B47"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72AF1CD" w14:textId="0DF15000" w:rsidR="00B23446" w:rsidRDefault="00B23446" w:rsidP="00B23446">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358B0BE8" w14:textId="1D2641DD" w:rsidR="00B23446" w:rsidRDefault="00B23446" w:rsidP="00B23446">
            <w:pPr>
              <w:jc w:val="right"/>
              <w:rPr>
                <w:color w:val="000000"/>
                <w:sz w:val="20"/>
                <w:szCs w:val="20"/>
              </w:rPr>
            </w:pPr>
            <w:r>
              <w:rPr>
                <w:color w:val="000000"/>
                <w:sz w:val="20"/>
                <w:szCs w:val="20"/>
              </w:rPr>
              <w:t>0.801</w:t>
            </w:r>
          </w:p>
        </w:tc>
        <w:tc>
          <w:tcPr>
            <w:tcW w:w="768" w:type="dxa"/>
            <w:tcBorders>
              <w:top w:val="nil"/>
              <w:left w:val="nil"/>
              <w:bottom w:val="nil"/>
              <w:right w:val="nil"/>
            </w:tcBorders>
            <w:shd w:val="clear" w:color="auto" w:fill="auto"/>
            <w:noWrap/>
            <w:vAlign w:val="bottom"/>
            <w:hideMark/>
          </w:tcPr>
          <w:p w14:paraId="3254933B" w14:textId="6A47E493"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1A11100" w14:textId="4A716935" w:rsidR="00B23446" w:rsidRDefault="00B23446" w:rsidP="00B2344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B1633A5" w14:textId="0B312754" w:rsidR="00B23446" w:rsidRDefault="00B23446" w:rsidP="00B23446">
            <w:pPr>
              <w:jc w:val="right"/>
              <w:rPr>
                <w:color w:val="000000"/>
                <w:sz w:val="20"/>
                <w:szCs w:val="20"/>
              </w:rPr>
            </w:pPr>
            <w:r>
              <w:rPr>
                <w:color w:val="000000"/>
                <w:sz w:val="20"/>
                <w:szCs w:val="20"/>
              </w:rPr>
              <w:t>0.623</w:t>
            </w:r>
          </w:p>
        </w:tc>
        <w:tc>
          <w:tcPr>
            <w:tcW w:w="768" w:type="dxa"/>
            <w:tcBorders>
              <w:top w:val="nil"/>
              <w:left w:val="nil"/>
              <w:bottom w:val="nil"/>
              <w:right w:val="nil"/>
            </w:tcBorders>
            <w:shd w:val="clear" w:color="auto" w:fill="auto"/>
            <w:noWrap/>
            <w:vAlign w:val="bottom"/>
            <w:hideMark/>
          </w:tcPr>
          <w:p w14:paraId="2DC82A84" w14:textId="5F14178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13E12B" w14:textId="0D2118BB"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CB218F1" w14:textId="2981E149" w:rsidR="00B23446" w:rsidRDefault="00B23446" w:rsidP="00B23446">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3773CC2A" w14:textId="5022D083"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6C2F56" w14:textId="185EBDA2" w:rsidR="00B23446" w:rsidRDefault="00B23446" w:rsidP="00B23446">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0160EC69" w14:textId="0E97BC46" w:rsidR="00B23446" w:rsidRDefault="00B23446" w:rsidP="00B23446">
            <w:pPr>
              <w:jc w:val="right"/>
              <w:rPr>
                <w:color w:val="000000"/>
                <w:sz w:val="20"/>
                <w:szCs w:val="20"/>
              </w:rPr>
            </w:pPr>
            <w:r>
              <w:rPr>
                <w:color w:val="000000"/>
                <w:sz w:val="20"/>
                <w:szCs w:val="20"/>
              </w:rPr>
              <w:t>0.115</w:t>
            </w:r>
          </w:p>
        </w:tc>
        <w:tc>
          <w:tcPr>
            <w:tcW w:w="768" w:type="dxa"/>
            <w:tcBorders>
              <w:top w:val="nil"/>
              <w:left w:val="nil"/>
              <w:bottom w:val="nil"/>
              <w:right w:val="nil"/>
            </w:tcBorders>
            <w:shd w:val="clear" w:color="auto" w:fill="auto"/>
            <w:noWrap/>
            <w:vAlign w:val="bottom"/>
            <w:hideMark/>
          </w:tcPr>
          <w:p w14:paraId="7E5A167D" w14:textId="2293A2FD" w:rsidR="00B23446" w:rsidRDefault="00B23446" w:rsidP="00B23446">
            <w:pPr>
              <w:jc w:val="right"/>
              <w:rPr>
                <w:color w:val="000000"/>
                <w:sz w:val="20"/>
                <w:szCs w:val="20"/>
              </w:rPr>
            </w:pPr>
            <w:r>
              <w:rPr>
                <w:color w:val="000000"/>
                <w:sz w:val="20"/>
                <w:szCs w:val="20"/>
              </w:rPr>
              <w:t>0.007</w:t>
            </w:r>
          </w:p>
        </w:tc>
      </w:tr>
      <w:tr w:rsidR="00B23446" w14:paraId="6CBD6C73" w14:textId="77777777" w:rsidTr="002C78E1">
        <w:trPr>
          <w:trHeight w:val="320"/>
        </w:trPr>
        <w:tc>
          <w:tcPr>
            <w:tcW w:w="1176" w:type="dxa"/>
            <w:tcBorders>
              <w:top w:val="nil"/>
              <w:left w:val="nil"/>
              <w:bottom w:val="single" w:sz="4" w:space="0" w:color="auto"/>
              <w:right w:val="nil"/>
            </w:tcBorders>
            <w:shd w:val="clear" w:color="auto" w:fill="auto"/>
            <w:noWrap/>
            <w:vAlign w:val="bottom"/>
            <w:hideMark/>
          </w:tcPr>
          <w:p w14:paraId="49E59616"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7BBA09D"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40D599D" w14:textId="07362A41"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4F33A6D0" w14:textId="446680F1" w:rsidR="00B23446" w:rsidRDefault="00B23446" w:rsidP="00B23446">
            <w:pPr>
              <w:jc w:val="right"/>
              <w:rPr>
                <w:color w:val="000000"/>
                <w:sz w:val="20"/>
                <w:szCs w:val="20"/>
              </w:rPr>
            </w:pPr>
            <w:r>
              <w:rPr>
                <w:color w:val="000000"/>
                <w:sz w:val="20"/>
                <w:szCs w:val="20"/>
              </w:rPr>
              <w:t>0.687</w:t>
            </w:r>
          </w:p>
        </w:tc>
        <w:tc>
          <w:tcPr>
            <w:tcW w:w="768" w:type="dxa"/>
            <w:tcBorders>
              <w:top w:val="nil"/>
              <w:left w:val="nil"/>
              <w:bottom w:val="single" w:sz="4" w:space="0" w:color="auto"/>
              <w:right w:val="nil"/>
            </w:tcBorders>
            <w:shd w:val="clear" w:color="auto" w:fill="auto"/>
            <w:noWrap/>
            <w:vAlign w:val="bottom"/>
            <w:hideMark/>
          </w:tcPr>
          <w:p w14:paraId="0B935E0B" w14:textId="1F4B22D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F8B95BA" w14:textId="38640800" w:rsidR="00B23446" w:rsidRDefault="00B23446" w:rsidP="00B23446">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18FBD039" w14:textId="6F74A74B" w:rsidR="00B23446" w:rsidRDefault="00B23446" w:rsidP="00B23446">
            <w:pPr>
              <w:jc w:val="right"/>
              <w:rPr>
                <w:color w:val="000000"/>
                <w:sz w:val="20"/>
                <w:szCs w:val="20"/>
              </w:rPr>
            </w:pPr>
            <w:r>
              <w:rPr>
                <w:color w:val="000000"/>
                <w:sz w:val="20"/>
                <w:szCs w:val="20"/>
              </w:rPr>
              <w:t>0.801</w:t>
            </w:r>
          </w:p>
        </w:tc>
        <w:tc>
          <w:tcPr>
            <w:tcW w:w="768" w:type="dxa"/>
            <w:tcBorders>
              <w:top w:val="nil"/>
              <w:left w:val="nil"/>
              <w:bottom w:val="single" w:sz="4" w:space="0" w:color="auto"/>
              <w:right w:val="nil"/>
            </w:tcBorders>
            <w:shd w:val="clear" w:color="auto" w:fill="auto"/>
            <w:noWrap/>
            <w:vAlign w:val="bottom"/>
            <w:hideMark/>
          </w:tcPr>
          <w:p w14:paraId="0F6FD168" w14:textId="43897BC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FC14D2F" w14:textId="42E84BB8" w:rsidR="00B23446" w:rsidRDefault="00B23446" w:rsidP="00B23446">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45BAEC13" w14:textId="748F1687" w:rsidR="00B23446" w:rsidRDefault="00B23446" w:rsidP="00B23446">
            <w:pPr>
              <w:jc w:val="right"/>
              <w:rPr>
                <w:color w:val="000000"/>
                <w:sz w:val="20"/>
                <w:szCs w:val="20"/>
              </w:rPr>
            </w:pPr>
            <w:r>
              <w:rPr>
                <w:color w:val="000000"/>
                <w:sz w:val="20"/>
                <w:szCs w:val="20"/>
              </w:rPr>
              <w:t>0.623</w:t>
            </w:r>
          </w:p>
        </w:tc>
        <w:tc>
          <w:tcPr>
            <w:tcW w:w="768" w:type="dxa"/>
            <w:tcBorders>
              <w:top w:val="nil"/>
              <w:left w:val="nil"/>
              <w:bottom w:val="single" w:sz="4" w:space="0" w:color="auto"/>
              <w:right w:val="nil"/>
            </w:tcBorders>
            <w:shd w:val="clear" w:color="auto" w:fill="auto"/>
            <w:noWrap/>
            <w:vAlign w:val="bottom"/>
            <w:hideMark/>
          </w:tcPr>
          <w:p w14:paraId="2EFF733D" w14:textId="779D8AE7"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8F4B8F0" w14:textId="3AC469D6" w:rsidR="00B23446" w:rsidRDefault="00B23446" w:rsidP="00B23446">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7F67977D" w14:textId="21AA7A75" w:rsidR="00B23446" w:rsidRDefault="00B23446" w:rsidP="00B23446">
            <w:pPr>
              <w:jc w:val="right"/>
              <w:rPr>
                <w:color w:val="000000"/>
                <w:sz w:val="20"/>
                <w:szCs w:val="20"/>
              </w:rPr>
            </w:pPr>
            <w:r>
              <w:rPr>
                <w:color w:val="000000"/>
                <w:sz w:val="20"/>
                <w:szCs w:val="20"/>
              </w:rPr>
              <w:t>0.943</w:t>
            </w:r>
          </w:p>
        </w:tc>
        <w:tc>
          <w:tcPr>
            <w:tcW w:w="768" w:type="dxa"/>
            <w:tcBorders>
              <w:top w:val="nil"/>
              <w:left w:val="nil"/>
              <w:bottom w:val="single" w:sz="4" w:space="0" w:color="auto"/>
              <w:right w:val="nil"/>
            </w:tcBorders>
            <w:shd w:val="clear" w:color="auto" w:fill="auto"/>
            <w:noWrap/>
            <w:vAlign w:val="bottom"/>
            <w:hideMark/>
          </w:tcPr>
          <w:p w14:paraId="442BA17A" w14:textId="47C6AF3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8DEA3F4" w14:textId="28565251" w:rsidR="00B23446" w:rsidRDefault="00B23446" w:rsidP="00B23446">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7044B149" w14:textId="39BC3366" w:rsidR="00B23446" w:rsidRDefault="00B23446" w:rsidP="00B23446">
            <w:pPr>
              <w:jc w:val="right"/>
              <w:rPr>
                <w:color w:val="000000"/>
                <w:sz w:val="20"/>
                <w:szCs w:val="20"/>
              </w:rPr>
            </w:pPr>
            <w:r>
              <w:rPr>
                <w:color w:val="000000"/>
                <w:sz w:val="20"/>
                <w:szCs w:val="20"/>
              </w:rPr>
              <w:t>0.755</w:t>
            </w:r>
          </w:p>
        </w:tc>
        <w:tc>
          <w:tcPr>
            <w:tcW w:w="768" w:type="dxa"/>
            <w:tcBorders>
              <w:top w:val="nil"/>
              <w:left w:val="nil"/>
              <w:bottom w:val="single" w:sz="4" w:space="0" w:color="auto"/>
              <w:right w:val="nil"/>
            </w:tcBorders>
            <w:shd w:val="clear" w:color="auto" w:fill="auto"/>
            <w:noWrap/>
            <w:vAlign w:val="bottom"/>
            <w:hideMark/>
          </w:tcPr>
          <w:p w14:paraId="16524212" w14:textId="72662450" w:rsidR="00B23446" w:rsidRDefault="00B23446" w:rsidP="00B23446">
            <w:pPr>
              <w:jc w:val="right"/>
              <w:rPr>
                <w:color w:val="000000"/>
                <w:sz w:val="20"/>
                <w:szCs w:val="20"/>
              </w:rPr>
            </w:pPr>
            <w:r>
              <w:rPr>
                <w:color w:val="000000"/>
                <w:sz w:val="20"/>
                <w:szCs w:val="20"/>
              </w:rPr>
              <w:t>0.001</w:t>
            </w:r>
          </w:p>
        </w:tc>
      </w:tr>
      <w:tr w:rsidR="00B23446" w14:paraId="339391B2" w14:textId="77777777" w:rsidTr="002C78E1">
        <w:trPr>
          <w:trHeight w:val="320"/>
        </w:trPr>
        <w:tc>
          <w:tcPr>
            <w:tcW w:w="1176" w:type="dxa"/>
            <w:tcBorders>
              <w:top w:val="nil"/>
              <w:left w:val="nil"/>
              <w:bottom w:val="nil"/>
              <w:right w:val="nil"/>
            </w:tcBorders>
            <w:shd w:val="clear" w:color="auto" w:fill="auto"/>
            <w:noWrap/>
            <w:vAlign w:val="bottom"/>
            <w:hideMark/>
          </w:tcPr>
          <w:p w14:paraId="39F675A8" w14:textId="77777777" w:rsidR="00B23446" w:rsidRDefault="00B23446" w:rsidP="00B23446">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3F0C8DDD" w14:textId="77777777" w:rsidR="00B23446" w:rsidRDefault="00B23446" w:rsidP="00B2344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FAB3D56" w14:textId="3D51888A" w:rsidR="00B23446" w:rsidRDefault="00B23446" w:rsidP="00B2344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75CF537" w14:textId="3EE4547C" w:rsidR="00B23446" w:rsidRDefault="00B23446" w:rsidP="00B23446">
            <w:pPr>
              <w:jc w:val="right"/>
              <w:rPr>
                <w:color w:val="000000"/>
                <w:sz w:val="20"/>
                <w:szCs w:val="20"/>
              </w:rPr>
            </w:pPr>
            <w:r>
              <w:rPr>
                <w:color w:val="000000"/>
                <w:sz w:val="20"/>
                <w:szCs w:val="20"/>
              </w:rPr>
              <w:t>0.834</w:t>
            </w:r>
          </w:p>
        </w:tc>
        <w:tc>
          <w:tcPr>
            <w:tcW w:w="768" w:type="dxa"/>
            <w:tcBorders>
              <w:top w:val="nil"/>
              <w:left w:val="nil"/>
              <w:bottom w:val="nil"/>
              <w:right w:val="nil"/>
            </w:tcBorders>
            <w:shd w:val="clear" w:color="auto" w:fill="auto"/>
            <w:noWrap/>
            <w:vAlign w:val="bottom"/>
            <w:hideMark/>
          </w:tcPr>
          <w:p w14:paraId="54382B2D" w14:textId="3C12E45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DD4248" w14:textId="10419943"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8446AF9" w14:textId="2CE1575B" w:rsidR="00B23446" w:rsidRDefault="00B23446" w:rsidP="00B23446">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43C88961" w14:textId="6290048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4B2D8B" w14:textId="3E4A1067" w:rsidR="00B23446" w:rsidRDefault="00B23446" w:rsidP="00B2344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21F2F80" w14:textId="2AC2A653" w:rsidR="00B23446" w:rsidRDefault="00B23446" w:rsidP="00B2344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016DFAAD" w14:textId="55783E7F"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3662AA" w14:textId="55F3E120"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873FDDB" w14:textId="7BD71BBD" w:rsidR="00B23446" w:rsidRDefault="00B23446" w:rsidP="00B23446">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64DE62CB" w14:textId="47AC359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80F457" w14:textId="2998513C"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82A8B57" w14:textId="37D97BA0" w:rsidR="00B23446" w:rsidRDefault="00B23446" w:rsidP="00B23446">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43306B5C" w14:textId="1C753AEA" w:rsidR="00B23446" w:rsidRDefault="00B23446" w:rsidP="00B23446">
            <w:pPr>
              <w:jc w:val="right"/>
              <w:rPr>
                <w:color w:val="000000"/>
                <w:sz w:val="20"/>
                <w:szCs w:val="20"/>
              </w:rPr>
            </w:pPr>
            <w:r>
              <w:rPr>
                <w:color w:val="000000"/>
                <w:sz w:val="20"/>
                <w:szCs w:val="20"/>
              </w:rPr>
              <w:t>0.000</w:t>
            </w:r>
          </w:p>
        </w:tc>
      </w:tr>
      <w:tr w:rsidR="00B23446" w14:paraId="5D0CA77B" w14:textId="77777777" w:rsidTr="002C78E1">
        <w:trPr>
          <w:trHeight w:val="320"/>
        </w:trPr>
        <w:tc>
          <w:tcPr>
            <w:tcW w:w="1176" w:type="dxa"/>
            <w:tcBorders>
              <w:top w:val="nil"/>
              <w:left w:val="nil"/>
              <w:bottom w:val="nil"/>
              <w:right w:val="nil"/>
            </w:tcBorders>
            <w:shd w:val="clear" w:color="auto" w:fill="auto"/>
            <w:noWrap/>
            <w:vAlign w:val="bottom"/>
            <w:hideMark/>
          </w:tcPr>
          <w:p w14:paraId="3F493B5F"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7777FF4" w14:textId="77777777" w:rsidR="00B23446" w:rsidRDefault="00B23446" w:rsidP="00B2344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E74A8AE" w14:textId="3F95E061" w:rsidR="00B23446" w:rsidRDefault="00B23446" w:rsidP="00B23446">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1C77EA90" w14:textId="369F5500" w:rsidR="00B23446" w:rsidRDefault="00B23446" w:rsidP="00B23446">
            <w:pPr>
              <w:jc w:val="right"/>
              <w:rPr>
                <w:color w:val="000000"/>
                <w:sz w:val="20"/>
                <w:szCs w:val="20"/>
              </w:rPr>
            </w:pPr>
            <w:r>
              <w:rPr>
                <w:color w:val="000000"/>
                <w:sz w:val="20"/>
                <w:szCs w:val="20"/>
              </w:rPr>
              <w:t>0.420</w:t>
            </w:r>
          </w:p>
        </w:tc>
        <w:tc>
          <w:tcPr>
            <w:tcW w:w="768" w:type="dxa"/>
            <w:tcBorders>
              <w:top w:val="nil"/>
              <w:left w:val="nil"/>
              <w:bottom w:val="nil"/>
              <w:right w:val="nil"/>
            </w:tcBorders>
            <w:shd w:val="clear" w:color="auto" w:fill="auto"/>
            <w:noWrap/>
            <w:vAlign w:val="bottom"/>
            <w:hideMark/>
          </w:tcPr>
          <w:p w14:paraId="3F6E5780" w14:textId="45FCE662" w:rsidR="00B23446" w:rsidRDefault="00B23446" w:rsidP="00B2344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71FA464" w14:textId="4CA8292C" w:rsidR="00B23446" w:rsidRDefault="00B23446" w:rsidP="00B2344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3F25077" w14:textId="423B63B8" w:rsidR="00B23446" w:rsidRDefault="00B23446" w:rsidP="00B23446">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6205D1A6" w14:textId="2F9E7659"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48C724" w14:textId="41E0786A"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70C70E4" w14:textId="32262D8F" w:rsidR="00B23446" w:rsidRDefault="00B23446" w:rsidP="00B23446">
            <w:pPr>
              <w:jc w:val="right"/>
              <w:rPr>
                <w:color w:val="000000"/>
                <w:sz w:val="20"/>
                <w:szCs w:val="20"/>
              </w:rPr>
            </w:pPr>
            <w:r>
              <w:rPr>
                <w:color w:val="000000"/>
                <w:sz w:val="20"/>
                <w:szCs w:val="20"/>
              </w:rPr>
              <w:t>0.670</w:t>
            </w:r>
          </w:p>
        </w:tc>
        <w:tc>
          <w:tcPr>
            <w:tcW w:w="768" w:type="dxa"/>
            <w:tcBorders>
              <w:top w:val="nil"/>
              <w:left w:val="nil"/>
              <w:bottom w:val="nil"/>
              <w:right w:val="nil"/>
            </w:tcBorders>
            <w:shd w:val="clear" w:color="auto" w:fill="auto"/>
            <w:noWrap/>
            <w:vAlign w:val="bottom"/>
            <w:hideMark/>
          </w:tcPr>
          <w:p w14:paraId="4353B93D" w14:textId="2B33A6E8"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DF62DE7" w14:textId="72664485"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84BE177" w14:textId="65A03472" w:rsidR="00B23446" w:rsidRDefault="00B23446" w:rsidP="00B23446">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42157775" w14:textId="4418D0B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94AC8E" w14:textId="79C89C96" w:rsidR="00B23446" w:rsidRDefault="00B23446" w:rsidP="00B23446">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7EAC9062" w14:textId="5706814E" w:rsidR="00B23446" w:rsidRDefault="00B23446" w:rsidP="00B23446">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3D2C06C6" w14:textId="7B897036" w:rsidR="00B23446" w:rsidRDefault="00B23446" w:rsidP="00B23446">
            <w:pPr>
              <w:jc w:val="right"/>
              <w:rPr>
                <w:color w:val="000000"/>
                <w:sz w:val="20"/>
                <w:szCs w:val="20"/>
              </w:rPr>
            </w:pPr>
            <w:r>
              <w:rPr>
                <w:color w:val="000000"/>
                <w:sz w:val="20"/>
                <w:szCs w:val="20"/>
              </w:rPr>
              <w:t>0.008</w:t>
            </w:r>
          </w:p>
        </w:tc>
      </w:tr>
      <w:tr w:rsidR="00B23446" w14:paraId="58FB645D" w14:textId="77777777" w:rsidTr="002C78E1">
        <w:trPr>
          <w:trHeight w:val="320"/>
        </w:trPr>
        <w:tc>
          <w:tcPr>
            <w:tcW w:w="1176" w:type="dxa"/>
            <w:tcBorders>
              <w:top w:val="nil"/>
              <w:left w:val="nil"/>
              <w:bottom w:val="nil"/>
              <w:right w:val="nil"/>
            </w:tcBorders>
            <w:shd w:val="clear" w:color="auto" w:fill="auto"/>
            <w:noWrap/>
            <w:vAlign w:val="bottom"/>
            <w:hideMark/>
          </w:tcPr>
          <w:p w14:paraId="4981F373"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654D7C" w14:textId="77777777" w:rsidR="00B23446" w:rsidRDefault="00B23446" w:rsidP="00B2344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E5A4531" w14:textId="16941A99" w:rsidR="00B23446" w:rsidRDefault="00B23446" w:rsidP="00B2344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81D5D04" w14:textId="39CE07B3" w:rsidR="00B23446" w:rsidRDefault="00B23446" w:rsidP="00B23446">
            <w:pPr>
              <w:jc w:val="right"/>
              <w:rPr>
                <w:color w:val="000000"/>
                <w:sz w:val="20"/>
                <w:szCs w:val="20"/>
              </w:rPr>
            </w:pPr>
            <w:r>
              <w:rPr>
                <w:color w:val="000000"/>
                <w:sz w:val="20"/>
                <w:szCs w:val="20"/>
              </w:rPr>
              <w:t>0.834</w:t>
            </w:r>
          </w:p>
        </w:tc>
        <w:tc>
          <w:tcPr>
            <w:tcW w:w="768" w:type="dxa"/>
            <w:tcBorders>
              <w:top w:val="nil"/>
              <w:left w:val="nil"/>
              <w:bottom w:val="nil"/>
              <w:right w:val="nil"/>
            </w:tcBorders>
            <w:shd w:val="clear" w:color="auto" w:fill="auto"/>
            <w:noWrap/>
            <w:vAlign w:val="bottom"/>
            <w:hideMark/>
          </w:tcPr>
          <w:p w14:paraId="298631BB" w14:textId="0F4B1CA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2E8D28" w14:textId="6522CF02"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0E9F02D" w14:textId="70EB27DE" w:rsidR="00B23446" w:rsidRDefault="00B23446" w:rsidP="00B23446">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69AFD479" w14:textId="3580FB87"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7715E7" w14:textId="5F3DAC97" w:rsidR="00B23446" w:rsidRDefault="00B23446" w:rsidP="00B2344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89000A2" w14:textId="634905E3" w:rsidR="00B23446" w:rsidRDefault="00B23446" w:rsidP="00B23446">
            <w:pPr>
              <w:jc w:val="right"/>
              <w:rPr>
                <w:color w:val="000000"/>
                <w:sz w:val="20"/>
                <w:szCs w:val="20"/>
              </w:rPr>
            </w:pPr>
            <w:r>
              <w:rPr>
                <w:color w:val="000000"/>
                <w:sz w:val="20"/>
                <w:szCs w:val="20"/>
              </w:rPr>
              <w:t>0.670</w:t>
            </w:r>
          </w:p>
        </w:tc>
        <w:tc>
          <w:tcPr>
            <w:tcW w:w="768" w:type="dxa"/>
            <w:tcBorders>
              <w:top w:val="nil"/>
              <w:left w:val="nil"/>
              <w:bottom w:val="nil"/>
              <w:right w:val="nil"/>
            </w:tcBorders>
            <w:shd w:val="clear" w:color="auto" w:fill="auto"/>
            <w:noWrap/>
            <w:vAlign w:val="bottom"/>
            <w:hideMark/>
          </w:tcPr>
          <w:p w14:paraId="177505CB" w14:textId="0C7D0272"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6C0666" w14:textId="773D1767" w:rsidR="00B23446" w:rsidRDefault="00B23446" w:rsidP="00B23446">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6E3E6619" w14:textId="0D66B8CA" w:rsidR="00B23446" w:rsidRDefault="00B23446" w:rsidP="00B23446">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6ADFAE69" w14:textId="7C077163" w:rsidR="00B23446" w:rsidRDefault="00B23446" w:rsidP="00B2344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232F08D" w14:textId="43CE8AAA" w:rsidR="00B23446" w:rsidRDefault="00B23446" w:rsidP="00B23446">
            <w:pPr>
              <w:jc w:val="right"/>
              <w:rPr>
                <w:color w:val="000000"/>
                <w:sz w:val="20"/>
                <w:szCs w:val="20"/>
              </w:rPr>
            </w:pPr>
            <w:r>
              <w:rPr>
                <w:color w:val="000000"/>
                <w:sz w:val="20"/>
                <w:szCs w:val="20"/>
              </w:rPr>
              <w:t>-0.113</w:t>
            </w:r>
          </w:p>
        </w:tc>
        <w:tc>
          <w:tcPr>
            <w:tcW w:w="768" w:type="dxa"/>
            <w:tcBorders>
              <w:top w:val="nil"/>
              <w:left w:val="nil"/>
              <w:bottom w:val="nil"/>
              <w:right w:val="nil"/>
            </w:tcBorders>
            <w:shd w:val="clear" w:color="auto" w:fill="auto"/>
            <w:noWrap/>
            <w:vAlign w:val="bottom"/>
            <w:hideMark/>
          </w:tcPr>
          <w:p w14:paraId="1743152F" w14:textId="55BC33C8" w:rsidR="00B23446" w:rsidRDefault="00B23446" w:rsidP="00B23446">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03907C40" w14:textId="2578C0F9" w:rsidR="00B23446" w:rsidRDefault="00B23446" w:rsidP="00B23446">
            <w:pPr>
              <w:jc w:val="right"/>
              <w:rPr>
                <w:color w:val="000000"/>
                <w:sz w:val="20"/>
                <w:szCs w:val="20"/>
              </w:rPr>
            </w:pPr>
            <w:r>
              <w:rPr>
                <w:color w:val="000000"/>
                <w:sz w:val="20"/>
                <w:szCs w:val="20"/>
              </w:rPr>
              <w:t>0.013</w:t>
            </w:r>
          </w:p>
        </w:tc>
      </w:tr>
      <w:tr w:rsidR="00B23446" w14:paraId="69C91330" w14:textId="77777777" w:rsidTr="002C78E1">
        <w:trPr>
          <w:trHeight w:val="320"/>
        </w:trPr>
        <w:tc>
          <w:tcPr>
            <w:tcW w:w="1176" w:type="dxa"/>
            <w:tcBorders>
              <w:top w:val="nil"/>
              <w:left w:val="nil"/>
              <w:bottom w:val="nil"/>
              <w:right w:val="nil"/>
            </w:tcBorders>
            <w:shd w:val="clear" w:color="auto" w:fill="auto"/>
            <w:noWrap/>
            <w:vAlign w:val="bottom"/>
            <w:hideMark/>
          </w:tcPr>
          <w:p w14:paraId="3F4617B5"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F083F03" w14:textId="77777777" w:rsidR="00B23446" w:rsidRDefault="00B23446" w:rsidP="00B2344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A664222" w14:textId="3D33B8C7" w:rsidR="00B23446" w:rsidRDefault="00B23446" w:rsidP="00B2344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0040FDB" w14:textId="52770A91" w:rsidR="00B23446" w:rsidRDefault="00B23446" w:rsidP="00B23446">
            <w:pPr>
              <w:jc w:val="right"/>
              <w:rPr>
                <w:color w:val="000000"/>
                <w:sz w:val="20"/>
                <w:szCs w:val="20"/>
              </w:rPr>
            </w:pPr>
            <w:r>
              <w:rPr>
                <w:color w:val="000000"/>
                <w:sz w:val="20"/>
                <w:szCs w:val="20"/>
              </w:rPr>
              <w:t>0.741</w:t>
            </w:r>
          </w:p>
        </w:tc>
        <w:tc>
          <w:tcPr>
            <w:tcW w:w="768" w:type="dxa"/>
            <w:tcBorders>
              <w:top w:val="nil"/>
              <w:left w:val="nil"/>
              <w:bottom w:val="nil"/>
              <w:right w:val="nil"/>
            </w:tcBorders>
            <w:shd w:val="clear" w:color="auto" w:fill="auto"/>
            <w:noWrap/>
            <w:vAlign w:val="bottom"/>
            <w:hideMark/>
          </w:tcPr>
          <w:p w14:paraId="76E127FC" w14:textId="32D9FC99"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C7F02C" w14:textId="242FE68F"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F55AB1E" w14:textId="6A67DC86" w:rsidR="00B23446" w:rsidRDefault="00B23446" w:rsidP="00B23446">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04925D4B" w14:textId="3800DF5E"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E11ACFB" w14:textId="6F048565"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72615DE" w14:textId="59D290BC" w:rsidR="00B23446" w:rsidRDefault="00B23446" w:rsidP="00B23446">
            <w:pPr>
              <w:jc w:val="right"/>
              <w:rPr>
                <w:color w:val="000000"/>
                <w:sz w:val="20"/>
                <w:szCs w:val="20"/>
              </w:rPr>
            </w:pPr>
            <w:r>
              <w:rPr>
                <w:color w:val="000000"/>
                <w:sz w:val="20"/>
                <w:szCs w:val="20"/>
              </w:rPr>
              <w:t>0.670</w:t>
            </w:r>
          </w:p>
        </w:tc>
        <w:tc>
          <w:tcPr>
            <w:tcW w:w="768" w:type="dxa"/>
            <w:tcBorders>
              <w:top w:val="nil"/>
              <w:left w:val="nil"/>
              <w:bottom w:val="nil"/>
              <w:right w:val="nil"/>
            </w:tcBorders>
            <w:shd w:val="clear" w:color="auto" w:fill="auto"/>
            <w:noWrap/>
            <w:vAlign w:val="bottom"/>
            <w:hideMark/>
          </w:tcPr>
          <w:p w14:paraId="5B21A2B7" w14:textId="7CC7D421"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6C21BF" w14:textId="47FCBB64" w:rsidR="00B23446" w:rsidRDefault="00B23446" w:rsidP="00B2344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3575901" w14:textId="36DC2F82" w:rsidR="00B23446" w:rsidRDefault="00B23446" w:rsidP="00B23446">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38FE532E" w14:textId="751444F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C9E10F" w14:textId="6108BD5A"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ECBABA7" w14:textId="02CD9D18" w:rsidR="00B23446" w:rsidRDefault="00B23446" w:rsidP="00B23446">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76851023" w14:textId="7BE6B043" w:rsidR="00B23446" w:rsidRDefault="00B23446" w:rsidP="00B23446">
            <w:pPr>
              <w:jc w:val="right"/>
              <w:rPr>
                <w:color w:val="000000"/>
                <w:sz w:val="20"/>
                <w:szCs w:val="20"/>
              </w:rPr>
            </w:pPr>
            <w:r>
              <w:rPr>
                <w:color w:val="000000"/>
                <w:sz w:val="20"/>
                <w:szCs w:val="20"/>
              </w:rPr>
              <w:t>0.000</w:t>
            </w:r>
          </w:p>
        </w:tc>
      </w:tr>
      <w:tr w:rsidR="00B23446" w14:paraId="5E063F90" w14:textId="77777777" w:rsidTr="002C78E1">
        <w:trPr>
          <w:trHeight w:val="320"/>
        </w:trPr>
        <w:tc>
          <w:tcPr>
            <w:tcW w:w="1176" w:type="dxa"/>
            <w:tcBorders>
              <w:top w:val="nil"/>
              <w:left w:val="nil"/>
              <w:bottom w:val="nil"/>
              <w:right w:val="nil"/>
            </w:tcBorders>
            <w:shd w:val="clear" w:color="auto" w:fill="auto"/>
            <w:noWrap/>
            <w:vAlign w:val="bottom"/>
            <w:hideMark/>
          </w:tcPr>
          <w:p w14:paraId="61F1F7AB"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AB75628" w14:textId="77777777" w:rsidR="00B23446" w:rsidRDefault="00B23446" w:rsidP="00B2344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670F9C0" w14:textId="44464CAD"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729FD96" w14:textId="6FC0A22A" w:rsidR="00B23446" w:rsidRDefault="00B23446" w:rsidP="00B23446">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60F23E3B" w14:textId="22F387FE"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4A3600" w14:textId="7C1E79E4"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2066C4C" w14:textId="348173EA" w:rsidR="00B23446" w:rsidRDefault="00B23446" w:rsidP="00B23446">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2B7598B2" w14:textId="2FF88DB9"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6FAC85" w14:textId="58D87CD2" w:rsidR="00B23446" w:rsidRDefault="00B23446" w:rsidP="00B23446">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2C3A4B93" w14:textId="2736312A" w:rsidR="00B23446" w:rsidRDefault="00B23446" w:rsidP="00B23446">
            <w:pPr>
              <w:jc w:val="right"/>
              <w:rPr>
                <w:color w:val="000000"/>
                <w:sz w:val="20"/>
                <w:szCs w:val="20"/>
              </w:rPr>
            </w:pPr>
            <w:r>
              <w:rPr>
                <w:color w:val="000000"/>
                <w:sz w:val="20"/>
                <w:szCs w:val="20"/>
              </w:rPr>
              <w:t>0.670</w:t>
            </w:r>
          </w:p>
        </w:tc>
        <w:tc>
          <w:tcPr>
            <w:tcW w:w="768" w:type="dxa"/>
            <w:tcBorders>
              <w:top w:val="nil"/>
              <w:left w:val="nil"/>
              <w:bottom w:val="nil"/>
              <w:right w:val="nil"/>
            </w:tcBorders>
            <w:shd w:val="clear" w:color="auto" w:fill="auto"/>
            <w:noWrap/>
            <w:vAlign w:val="bottom"/>
            <w:hideMark/>
          </w:tcPr>
          <w:p w14:paraId="53721766" w14:textId="1EBEAE7D"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F88B74" w14:textId="5BDB2CFB" w:rsidR="00B23446" w:rsidRDefault="00B23446" w:rsidP="00B2344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C0AD475" w14:textId="3EA3E793" w:rsidR="00B23446" w:rsidRDefault="00B23446" w:rsidP="00B23446">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168554E3" w14:textId="2B63A63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164DC7" w14:textId="150FE128"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6B27F72" w14:textId="58AD5356" w:rsidR="00B23446" w:rsidRDefault="00B23446" w:rsidP="00B23446">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78CFFC12" w14:textId="4C474399" w:rsidR="00B23446" w:rsidRDefault="00B23446" w:rsidP="00B23446">
            <w:pPr>
              <w:jc w:val="right"/>
              <w:rPr>
                <w:color w:val="000000"/>
                <w:sz w:val="20"/>
                <w:szCs w:val="20"/>
              </w:rPr>
            </w:pPr>
            <w:r>
              <w:rPr>
                <w:color w:val="000000"/>
                <w:sz w:val="20"/>
                <w:szCs w:val="20"/>
              </w:rPr>
              <w:t>0.000</w:t>
            </w:r>
          </w:p>
        </w:tc>
      </w:tr>
      <w:tr w:rsidR="00B23446" w14:paraId="11F7CB25" w14:textId="77777777" w:rsidTr="002C78E1">
        <w:trPr>
          <w:trHeight w:val="320"/>
        </w:trPr>
        <w:tc>
          <w:tcPr>
            <w:tcW w:w="1176" w:type="dxa"/>
            <w:tcBorders>
              <w:top w:val="nil"/>
              <w:left w:val="nil"/>
              <w:bottom w:val="nil"/>
              <w:right w:val="nil"/>
            </w:tcBorders>
            <w:shd w:val="clear" w:color="auto" w:fill="auto"/>
            <w:noWrap/>
            <w:vAlign w:val="bottom"/>
            <w:hideMark/>
          </w:tcPr>
          <w:p w14:paraId="30C16F6C"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DC6299" w14:textId="77777777" w:rsidR="00B23446" w:rsidRDefault="00B23446" w:rsidP="00B2344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CBF2B53" w14:textId="441F4642" w:rsidR="00B23446" w:rsidRDefault="00B23446" w:rsidP="00B23446">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3CEDDB48" w14:textId="2250C4BA" w:rsidR="00B23446" w:rsidRDefault="00B23446" w:rsidP="00B23446">
            <w:pPr>
              <w:jc w:val="right"/>
              <w:rPr>
                <w:color w:val="000000"/>
                <w:sz w:val="20"/>
                <w:szCs w:val="20"/>
              </w:rPr>
            </w:pPr>
            <w:r>
              <w:rPr>
                <w:color w:val="000000"/>
                <w:sz w:val="20"/>
                <w:szCs w:val="20"/>
              </w:rPr>
              <w:t>0.539</w:t>
            </w:r>
          </w:p>
        </w:tc>
        <w:tc>
          <w:tcPr>
            <w:tcW w:w="768" w:type="dxa"/>
            <w:tcBorders>
              <w:top w:val="nil"/>
              <w:left w:val="nil"/>
              <w:bottom w:val="nil"/>
              <w:right w:val="nil"/>
            </w:tcBorders>
            <w:shd w:val="clear" w:color="auto" w:fill="auto"/>
            <w:noWrap/>
            <w:vAlign w:val="bottom"/>
            <w:hideMark/>
          </w:tcPr>
          <w:p w14:paraId="0C02219E" w14:textId="4DBE9D64"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8D05050" w14:textId="7F5DB114" w:rsidR="00B23446" w:rsidRDefault="00B23446" w:rsidP="00B2344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AA5E374" w14:textId="0D2790C6" w:rsidR="00B23446" w:rsidRDefault="00B23446" w:rsidP="00B23446">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4913C38A" w14:textId="3B996A5C"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415C47" w14:textId="0DD45FB2"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7DCCC8" w14:textId="571192CB" w:rsidR="00B23446" w:rsidRDefault="00B23446" w:rsidP="00B23446">
            <w:pPr>
              <w:jc w:val="right"/>
              <w:rPr>
                <w:color w:val="000000"/>
                <w:sz w:val="20"/>
                <w:szCs w:val="20"/>
              </w:rPr>
            </w:pPr>
            <w:r>
              <w:rPr>
                <w:color w:val="000000"/>
                <w:sz w:val="20"/>
                <w:szCs w:val="20"/>
              </w:rPr>
              <w:t>0.964</w:t>
            </w:r>
          </w:p>
        </w:tc>
        <w:tc>
          <w:tcPr>
            <w:tcW w:w="768" w:type="dxa"/>
            <w:tcBorders>
              <w:top w:val="nil"/>
              <w:left w:val="nil"/>
              <w:bottom w:val="nil"/>
              <w:right w:val="nil"/>
            </w:tcBorders>
            <w:shd w:val="clear" w:color="auto" w:fill="auto"/>
            <w:noWrap/>
            <w:vAlign w:val="bottom"/>
            <w:hideMark/>
          </w:tcPr>
          <w:p w14:paraId="49260F50" w14:textId="2AB49366"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26572A" w14:textId="223B7BFC" w:rsidR="00B23446" w:rsidRDefault="00B23446" w:rsidP="00B2344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DEABDB3" w14:textId="0B2D733B" w:rsidR="00B23446" w:rsidRDefault="00B23446" w:rsidP="00B23446">
            <w:pPr>
              <w:jc w:val="right"/>
              <w:rPr>
                <w:color w:val="000000"/>
                <w:sz w:val="20"/>
                <w:szCs w:val="20"/>
              </w:rPr>
            </w:pPr>
            <w:r>
              <w:rPr>
                <w:color w:val="000000"/>
                <w:sz w:val="20"/>
                <w:szCs w:val="20"/>
              </w:rPr>
              <w:t>0.541</w:t>
            </w:r>
          </w:p>
        </w:tc>
        <w:tc>
          <w:tcPr>
            <w:tcW w:w="768" w:type="dxa"/>
            <w:tcBorders>
              <w:top w:val="nil"/>
              <w:left w:val="nil"/>
              <w:bottom w:val="nil"/>
              <w:right w:val="nil"/>
            </w:tcBorders>
            <w:shd w:val="clear" w:color="auto" w:fill="auto"/>
            <w:noWrap/>
            <w:vAlign w:val="bottom"/>
            <w:hideMark/>
          </w:tcPr>
          <w:p w14:paraId="117C54E5" w14:textId="4911C6EA"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9D19900" w14:textId="52D53316" w:rsidR="00B23446" w:rsidRDefault="00B23446" w:rsidP="00B2344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8E77D9A" w14:textId="53D06AD3" w:rsidR="00B23446" w:rsidRDefault="00B23446" w:rsidP="00B23446">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53CA464D" w14:textId="57F97A10" w:rsidR="00B23446" w:rsidRDefault="00B23446" w:rsidP="00B23446">
            <w:pPr>
              <w:jc w:val="right"/>
              <w:rPr>
                <w:color w:val="000000"/>
                <w:sz w:val="20"/>
                <w:szCs w:val="20"/>
              </w:rPr>
            </w:pPr>
            <w:r>
              <w:rPr>
                <w:color w:val="000000"/>
                <w:sz w:val="20"/>
                <w:szCs w:val="20"/>
              </w:rPr>
              <w:t>0.001</w:t>
            </w:r>
          </w:p>
        </w:tc>
      </w:tr>
      <w:tr w:rsidR="00B23446" w14:paraId="63791307" w14:textId="77777777" w:rsidTr="002C78E1">
        <w:trPr>
          <w:trHeight w:val="320"/>
        </w:trPr>
        <w:tc>
          <w:tcPr>
            <w:tcW w:w="1176" w:type="dxa"/>
            <w:tcBorders>
              <w:top w:val="nil"/>
              <w:left w:val="nil"/>
              <w:bottom w:val="nil"/>
              <w:right w:val="nil"/>
            </w:tcBorders>
            <w:shd w:val="clear" w:color="auto" w:fill="auto"/>
            <w:noWrap/>
            <w:vAlign w:val="bottom"/>
            <w:hideMark/>
          </w:tcPr>
          <w:p w14:paraId="6A3915BE" w14:textId="77777777" w:rsidR="00B23446" w:rsidRDefault="00B23446" w:rsidP="00B2344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B0408EB" w14:textId="77777777" w:rsidR="00B23446" w:rsidRDefault="00B23446" w:rsidP="00B2344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4D6F29E" w14:textId="7E15E1A4" w:rsidR="00B23446" w:rsidRDefault="00B23446" w:rsidP="00B23446">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552669AB" w14:textId="12E203E7" w:rsidR="00B23446" w:rsidRDefault="00B23446" w:rsidP="00B23446">
            <w:pPr>
              <w:jc w:val="right"/>
              <w:rPr>
                <w:color w:val="000000"/>
                <w:sz w:val="20"/>
                <w:szCs w:val="20"/>
              </w:rPr>
            </w:pPr>
            <w:r>
              <w:rPr>
                <w:color w:val="000000"/>
                <w:sz w:val="20"/>
                <w:szCs w:val="20"/>
              </w:rPr>
              <w:t>0.192</w:t>
            </w:r>
          </w:p>
        </w:tc>
        <w:tc>
          <w:tcPr>
            <w:tcW w:w="768" w:type="dxa"/>
            <w:tcBorders>
              <w:top w:val="nil"/>
              <w:left w:val="nil"/>
              <w:bottom w:val="nil"/>
              <w:right w:val="nil"/>
            </w:tcBorders>
            <w:shd w:val="clear" w:color="auto" w:fill="auto"/>
            <w:noWrap/>
            <w:vAlign w:val="bottom"/>
            <w:hideMark/>
          </w:tcPr>
          <w:p w14:paraId="3DB0AFE5" w14:textId="70BDFCAD"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E58B7D0" w14:textId="09B1EF67"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C90754F" w14:textId="6F83A25E" w:rsidR="00B23446" w:rsidRDefault="00B23446" w:rsidP="00B23446">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7CF1543A" w14:textId="0F5E1598"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393113" w14:textId="6BB476C6" w:rsidR="00B23446" w:rsidRDefault="00B23446" w:rsidP="00B2344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A1C976C" w14:textId="23EEF747" w:rsidR="00B23446" w:rsidRDefault="00B23446" w:rsidP="00B23446">
            <w:pPr>
              <w:jc w:val="right"/>
              <w:rPr>
                <w:color w:val="000000"/>
                <w:sz w:val="20"/>
                <w:szCs w:val="20"/>
              </w:rPr>
            </w:pPr>
            <w:r>
              <w:rPr>
                <w:color w:val="000000"/>
                <w:sz w:val="20"/>
                <w:szCs w:val="20"/>
              </w:rPr>
              <w:t>0.670</w:t>
            </w:r>
          </w:p>
        </w:tc>
        <w:tc>
          <w:tcPr>
            <w:tcW w:w="768" w:type="dxa"/>
            <w:tcBorders>
              <w:top w:val="nil"/>
              <w:left w:val="nil"/>
              <w:bottom w:val="nil"/>
              <w:right w:val="nil"/>
            </w:tcBorders>
            <w:shd w:val="clear" w:color="auto" w:fill="auto"/>
            <w:noWrap/>
            <w:vAlign w:val="bottom"/>
            <w:hideMark/>
          </w:tcPr>
          <w:p w14:paraId="55E9C4D4" w14:textId="57623C9F"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430D482" w14:textId="5321119F" w:rsidR="00B23446" w:rsidRDefault="00B23446" w:rsidP="00B23446">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60552A62" w14:textId="464C1BC1" w:rsidR="00B23446" w:rsidRDefault="00B23446" w:rsidP="00B23446">
            <w:pPr>
              <w:jc w:val="right"/>
              <w:rPr>
                <w:color w:val="000000"/>
                <w:sz w:val="20"/>
                <w:szCs w:val="20"/>
              </w:rPr>
            </w:pPr>
            <w:r>
              <w:rPr>
                <w:color w:val="000000"/>
                <w:sz w:val="20"/>
                <w:szCs w:val="20"/>
              </w:rPr>
              <w:t>0.484</w:t>
            </w:r>
          </w:p>
        </w:tc>
        <w:tc>
          <w:tcPr>
            <w:tcW w:w="768" w:type="dxa"/>
            <w:tcBorders>
              <w:top w:val="nil"/>
              <w:left w:val="nil"/>
              <w:bottom w:val="nil"/>
              <w:right w:val="nil"/>
            </w:tcBorders>
            <w:shd w:val="clear" w:color="auto" w:fill="auto"/>
            <w:noWrap/>
            <w:vAlign w:val="bottom"/>
            <w:hideMark/>
          </w:tcPr>
          <w:p w14:paraId="3E47E36B" w14:textId="35BECA1F" w:rsidR="00B23446" w:rsidRDefault="00B23446" w:rsidP="00B2344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6EC5656" w14:textId="4ABC1092" w:rsidR="00B23446" w:rsidRDefault="00B23446" w:rsidP="00B2344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3B9129D" w14:textId="11B8C43E" w:rsidR="00B23446" w:rsidRDefault="00B23446" w:rsidP="00B23446">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3E0BBDB1" w14:textId="480A9310" w:rsidR="00B23446" w:rsidRDefault="00B23446" w:rsidP="00B23446">
            <w:pPr>
              <w:jc w:val="right"/>
              <w:rPr>
                <w:color w:val="000000"/>
                <w:sz w:val="20"/>
                <w:szCs w:val="20"/>
              </w:rPr>
            </w:pPr>
            <w:r>
              <w:rPr>
                <w:color w:val="000000"/>
                <w:sz w:val="20"/>
                <w:szCs w:val="20"/>
              </w:rPr>
              <w:t>0.001</w:t>
            </w:r>
          </w:p>
        </w:tc>
      </w:tr>
      <w:tr w:rsidR="00B23446" w14:paraId="50398BCE"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36DBEAAE" w14:textId="77777777" w:rsidR="00B23446" w:rsidRDefault="00B23446" w:rsidP="00B23446">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2DC6E7B5" w14:textId="77777777" w:rsidR="00B23446" w:rsidRDefault="00B23446" w:rsidP="00B23446">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42B3E412" w14:textId="40599545" w:rsidR="00B23446" w:rsidRDefault="00B23446" w:rsidP="00B23446">
            <w:pPr>
              <w:jc w:val="right"/>
              <w:rPr>
                <w:color w:val="000000"/>
                <w:sz w:val="20"/>
                <w:szCs w:val="20"/>
              </w:rPr>
            </w:pPr>
            <w:r>
              <w:rPr>
                <w:color w:val="000000"/>
                <w:sz w:val="20"/>
                <w:szCs w:val="20"/>
              </w:rPr>
              <w:t>0.040</w:t>
            </w:r>
          </w:p>
        </w:tc>
        <w:tc>
          <w:tcPr>
            <w:tcW w:w="768" w:type="dxa"/>
            <w:tcBorders>
              <w:top w:val="nil"/>
              <w:left w:val="nil"/>
              <w:bottom w:val="single" w:sz="12" w:space="0" w:color="auto"/>
              <w:right w:val="nil"/>
            </w:tcBorders>
            <w:shd w:val="clear" w:color="auto" w:fill="auto"/>
            <w:noWrap/>
            <w:vAlign w:val="bottom"/>
            <w:hideMark/>
          </w:tcPr>
          <w:p w14:paraId="0A414DCD" w14:textId="36F94FA1" w:rsidR="00B23446" w:rsidRDefault="00B23446" w:rsidP="00B23446">
            <w:pPr>
              <w:jc w:val="right"/>
              <w:rPr>
                <w:color w:val="000000"/>
                <w:sz w:val="20"/>
                <w:szCs w:val="20"/>
              </w:rPr>
            </w:pPr>
            <w:r>
              <w:rPr>
                <w:color w:val="000000"/>
                <w:sz w:val="20"/>
                <w:szCs w:val="20"/>
              </w:rPr>
              <w:t>0.620</w:t>
            </w:r>
          </w:p>
        </w:tc>
        <w:tc>
          <w:tcPr>
            <w:tcW w:w="768" w:type="dxa"/>
            <w:tcBorders>
              <w:top w:val="nil"/>
              <w:left w:val="nil"/>
              <w:bottom w:val="single" w:sz="12" w:space="0" w:color="auto"/>
              <w:right w:val="nil"/>
            </w:tcBorders>
            <w:shd w:val="clear" w:color="auto" w:fill="auto"/>
            <w:noWrap/>
            <w:vAlign w:val="bottom"/>
            <w:hideMark/>
          </w:tcPr>
          <w:p w14:paraId="06525AFD" w14:textId="1BED6143" w:rsidR="00B23446" w:rsidRDefault="00B23446" w:rsidP="00B23446">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20794127" w14:textId="63188BF4" w:rsidR="00B23446" w:rsidRDefault="00B23446" w:rsidP="00B23446">
            <w:pPr>
              <w:jc w:val="right"/>
              <w:rPr>
                <w:color w:val="000000"/>
                <w:sz w:val="20"/>
                <w:szCs w:val="20"/>
              </w:rPr>
            </w:pPr>
            <w:r>
              <w:rPr>
                <w:color w:val="000000"/>
                <w:sz w:val="20"/>
                <w:szCs w:val="20"/>
              </w:rPr>
              <w:t>0.006</w:t>
            </w:r>
          </w:p>
        </w:tc>
        <w:tc>
          <w:tcPr>
            <w:tcW w:w="768" w:type="dxa"/>
            <w:tcBorders>
              <w:top w:val="nil"/>
              <w:left w:val="nil"/>
              <w:bottom w:val="single" w:sz="12" w:space="0" w:color="auto"/>
              <w:right w:val="nil"/>
            </w:tcBorders>
            <w:shd w:val="clear" w:color="auto" w:fill="auto"/>
            <w:noWrap/>
            <w:vAlign w:val="bottom"/>
            <w:hideMark/>
          </w:tcPr>
          <w:p w14:paraId="66C53335" w14:textId="75FD4AF8" w:rsidR="00B23446" w:rsidRDefault="00B23446" w:rsidP="00B23446">
            <w:pPr>
              <w:jc w:val="right"/>
              <w:rPr>
                <w:color w:val="000000"/>
                <w:sz w:val="20"/>
                <w:szCs w:val="20"/>
              </w:rPr>
            </w:pPr>
            <w:r>
              <w:rPr>
                <w:color w:val="000000"/>
                <w:sz w:val="20"/>
                <w:szCs w:val="20"/>
              </w:rPr>
              <w:t>0.855</w:t>
            </w:r>
          </w:p>
        </w:tc>
        <w:tc>
          <w:tcPr>
            <w:tcW w:w="768" w:type="dxa"/>
            <w:tcBorders>
              <w:top w:val="nil"/>
              <w:left w:val="nil"/>
              <w:bottom w:val="single" w:sz="12" w:space="0" w:color="auto"/>
              <w:right w:val="nil"/>
            </w:tcBorders>
            <w:shd w:val="clear" w:color="auto" w:fill="auto"/>
            <w:noWrap/>
            <w:vAlign w:val="bottom"/>
            <w:hideMark/>
          </w:tcPr>
          <w:p w14:paraId="364A6161" w14:textId="487BCC71"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E869A02" w14:textId="64012AAE" w:rsidR="00B23446" w:rsidRDefault="00B23446" w:rsidP="00B23446">
            <w:pPr>
              <w:jc w:val="right"/>
              <w:rPr>
                <w:color w:val="000000"/>
                <w:sz w:val="20"/>
                <w:szCs w:val="20"/>
              </w:rPr>
            </w:pPr>
            <w:r>
              <w:rPr>
                <w:color w:val="000000"/>
                <w:sz w:val="20"/>
                <w:szCs w:val="20"/>
              </w:rPr>
              <w:t>0.012</w:t>
            </w:r>
          </w:p>
        </w:tc>
        <w:tc>
          <w:tcPr>
            <w:tcW w:w="768" w:type="dxa"/>
            <w:tcBorders>
              <w:top w:val="nil"/>
              <w:left w:val="nil"/>
              <w:bottom w:val="single" w:sz="12" w:space="0" w:color="auto"/>
              <w:right w:val="nil"/>
            </w:tcBorders>
            <w:shd w:val="clear" w:color="auto" w:fill="auto"/>
            <w:noWrap/>
            <w:vAlign w:val="bottom"/>
            <w:hideMark/>
          </w:tcPr>
          <w:p w14:paraId="6CCF1B69" w14:textId="772FED2D" w:rsidR="00B23446" w:rsidRDefault="00B23446" w:rsidP="00B23446">
            <w:pPr>
              <w:jc w:val="right"/>
              <w:rPr>
                <w:color w:val="000000"/>
                <w:sz w:val="20"/>
                <w:szCs w:val="20"/>
              </w:rPr>
            </w:pPr>
            <w:r>
              <w:rPr>
                <w:color w:val="000000"/>
                <w:sz w:val="20"/>
                <w:szCs w:val="20"/>
              </w:rPr>
              <w:t>0.837</w:t>
            </w:r>
          </w:p>
        </w:tc>
        <w:tc>
          <w:tcPr>
            <w:tcW w:w="768" w:type="dxa"/>
            <w:tcBorders>
              <w:top w:val="nil"/>
              <w:left w:val="nil"/>
              <w:bottom w:val="single" w:sz="12" w:space="0" w:color="auto"/>
              <w:right w:val="nil"/>
            </w:tcBorders>
            <w:shd w:val="clear" w:color="auto" w:fill="auto"/>
            <w:noWrap/>
            <w:vAlign w:val="bottom"/>
            <w:hideMark/>
          </w:tcPr>
          <w:p w14:paraId="605B7F6E" w14:textId="263F0EE0" w:rsidR="00B23446" w:rsidRDefault="00B23446" w:rsidP="00B2344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31349B91" w14:textId="621CB5A6" w:rsidR="00B23446" w:rsidRDefault="00B23446" w:rsidP="00B23446">
            <w:pPr>
              <w:jc w:val="right"/>
              <w:rPr>
                <w:color w:val="000000"/>
                <w:sz w:val="20"/>
                <w:szCs w:val="20"/>
              </w:rPr>
            </w:pPr>
            <w:r>
              <w:rPr>
                <w:color w:val="000000"/>
                <w:sz w:val="20"/>
                <w:szCs w:val="20"/>
              </w:rPr>
              <w:t>0.027</w:t>
            </w:r>
          </w:p>
        </w:tc>
        <w:tc>
          <w:tcPr>
            <w:tcW w:w="768" w:type="dxa"/>
            <w:tcBorders>
              <w:top w:val="nil"/>
              <w:left w:val="nil"/>
              <w:bottom w:val="single" w:sz="12" w:space="0" w:color="auto"/>
              <w:right w:val="nil"/>
            </w:tcBorders>
            <w:shd w:val="clear" w:color="auto" w:fill="auto"/>
            <w:noWrap/>
            <w:vAlign w:val="bottom"/>
            <w:hideMark/>
          </w:tcPr>
          <w:p w14:paraId="4A40E623" w14:textId="56CA6965" w:rsidR="00B23446" w:rsidRDefault="00B23446" w:rsidP="00B23446">
            <w:pPr>
              <w:jc w:val="right"/>
              <w:rPr>
                <w:color w:val="000000"/>
                <w:sz w:val="20"/>
                <w:szCs w:val="20"/>
              </w:rPr>
            </w:pPr>
            <w:r>
              <w:rPr>
                <w:color w:val="000000"/>
                <w:sz w:val="20"/>
                <w:szCs w:val="20"/>
              </w:rPr>
              <w:t>0.892</w:t>
            </w:r>
          </w:p>
        </w:tc>
        <w:tc>
          <w:tcPr>
            <w:tcW w:w="768" w:type="dxa"/>
            <w:tcBorders>
              <w:top w:val="nil"/>
              <w:left w:val="nil"/>
              <w:bottom w:val="single" w:sz="12" w:space="0" w:color="auto"/>
              <w:right w:val="nil"/>
            </w:tcBorders>
            <w:shd w:val="clear" w:color="auto" w:fill="auto"/>
            <w:noWrap/>
            <w:vAlign w:val="bottom"/>
            <w:hideMark/>
          </w:tcPr>
          <w:p w14:paraId="36C9AC19" w14:textId="0B5B3696" w:rsidR="00B23446" w:rsidRDefault="00B23446" w:rsidP="00B23446">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71DC1DAF" w14:textId="3DD49BBA" w:rsidR="00B23446" w:rsidRDefault="00B23446" w:rsidP="00B23446">
            <w:pPr>
              <w:jc w:val="right"/>
              <w:rPr>
                <w:color w:val="000000"/>
                <w:sz w:val="20"/>
                <w:szCs w:val="20"/>
              </w:rPr>
            </w:pPr>
            <w:r>
              <w:rPr>
                <w:color w:val="000000"/>
                <w:sz w:val="20"/>
                <w:szCs w:val="20"/>
              </w:rPr>
              <w:t>0.007</w:t>
            </w:r>
          </w:p>
        </w:tc>
        <w:tc>
          <w:tcPr>
            <w:tcW w:w="768" w:type="dxa"/>
            <w:tcBorders>
              <w:top w:val="nil"/>
              <w:left w:val="nil"/>
              <w:bottom w:val="single" w:sz="12" w:space="0" w:color="auto"/>
              <w:right w:val="nil"/>
            </w:tcBorders>
            <w:shd w:val="clear" w:color="auto" w:fill="auto"/>
            <w:noWrap/>
            <w:vAlign w:val="bottom"/>
            <w:hideMark/>
          </w:tcPr>
          <w:p w14:paraId="246BC447" w14:textId="2CEB281C" w:rsidR="00B23446" w:rsidRDefault="00B23446" w:rsidP="00B23446">
            <w:pPr>
              <w:jc w:val="right"/>
              <w:rPr>
                <w:color w:val="000000"/>
                <w:sz w:val="20"/>
                <w:szCs w:val="20"/>
              </w:rPr>
            </w:pPr>
            <w:r>
              <w:rPr>
                <w:color w:val="000000"/>
                <w:sz w:val="20"/>
                <w:szCs w:val="20"/>
              </w:rPr>
              <w:t>0.952</w:t>
            </w:r>
          </w:p>
        </w:tc>
        <w:tc>
          <w:tcPr>
            <w:tcW w:w="768" w:type="dxa"/>
            <w:tcBorders>
              <w:top w:val="nil"/>
              <w:left w:val="nil"/>
              <w:bottom w:val="single" w:sz="12" w:space="0" w:color="auto"/>
              <w:right w:val="nil"/>
            </w:tcBorders>
            <w:shd w:val="clear" w:color="auto" w:fill="auto"/>
            <w:noWrap/>
            <w:vAlign w:val="bottom"/>
            <w:hideMark/>
          </w:tcPr>
          <w:p w14:paraId="55559B74" w14:textId="2EE6A325" w:rsidR="00B23446" w:rsidRDefault="00B23446" w:rsidP="00B23446">
            <w:pPr>
              <w:jc w:val="right"/>
              <w:rPr>
                <w:color w:val="000000"/>
                <w:sz w:val="20"/>
                <w:szCs w:val="20"/>
              </w:rPr>
            </w:pPr>
            <w:r>
              <w:rPr>
                <w:color w:val="000000"/>
                <w:sz w:val="20"/>
                <w:szCs w:val="20"/>
              </w:rPr>
              <w:t>0.000</w:t>
            </w:r>
          </w:p>
        </w:tc>
      </w:tr>
      <w:tr w:rsidR="002C78E1" w14:paraId="3BCC5860"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4AB52F6F" w14:textId="77777777" w:rsidR="002C78E1" w:rsidRDefault="002C78E1">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23E987BF" w14:textId="77777777" w:rsidR="002C78E1" w:rsidRDefault="002C78E1">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51097CBB"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40303AC"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2B0D359"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4A8CC88"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ABB5706"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0063DF3"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8352AB"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B07373A"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DE5C07"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37D359D"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57E7CF0"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08BBFCE"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C4A19A6"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1C6F103" w14:textId="77777777" w:rsidR="002C78E1" w:rsidRDefault="002C78E1">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818D5BD" w14:textId="77777777" w:rsidR="002C78E1" w:rsidRDefault="002C78E1">
            <w:pPr>
              <w:rPr>
                <w:sz w:val="20"/>
                <w:szCs w:val="20"/>
              </w:rPr>
            </w:pPr>
          </w:p>
        </w:tc>
      </w:tr>
    </w:tbl>
    <w:p w14:paraId="65BC4D71" w14:textId="1459B650" w:rsidR="00445FEB" w:rsidRDefault="00445FEB" w:rsidP="00BA3AF4">
      <w:pPr>
        <w:spacing w:line="480" w:lineRule="auto"/>
      </w:pPr>
    </w:p>
    <w:p w14:paraId="50B3DE0C" w14:textId="77777777" w:rsidR="00445FEB" w:rsidRDefault="00445FEB">
      <w:r>
        <w:br w:type="page"/>
      </w:r>
    </w:p>
    <w:p w14:paraId="693BB60F" w14:textId="26CF4E50" w:rsidR="0039188C" w:rsidRPr="009E2A20" w:rsidRDefault="00432B71" w:rsidP="009E2A20">
      <w:pPr>
        <w:pStyle w:val="Heading1"/>
        <w:rPr>
          <w:rFonts w:ascii="Times New Roman" w:hAnsi="Times New Roman" w:cs="Times New Roman"/>
          <w:color w:val="000000" w:themeColor="text1"/>
          <w:sz w:val="24"/>
          <w:szCs w:val="24"/>
        </w:rPr>
      </w:pPr>
      <w:bookmarkStart w:id="40" w:name="_Toc155817707"/>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994E15">
        <w:rPr>
          <w:rFonts w:ascii="Times New Roman" w:hAnsi="Times New Roman" w:cs="Times New Roman"/>
          <w:b/>
          <w:bCs/>
          <w:color w:val="000000" w:themeColor="text1"/>
          <w:sz w:val="24"/>
          <w:szCs w:val="24"/>
        </w:rPr>
        <w:t>5</w:t>
      </w:r>
      <w:r w:rsidR="0039188C" w:rsidRPr="009E2A20">
        <w:rPr>
          <w:rFonts w:ascii="Times New Roman" w:hAnsi="Times New Roman" w:cs="Times New Roman"/>
          <w:b/>
          <w:bCs/>
          <w:color w:val="000000" w:themeColor="text1"/>
          <w:sz w:val="24"/>
          <w:szCs w:val="24"/>
        </w:rPr>
        <w:t xml:space="preserve">a. </w:t>
      </w:r>
      <w:r w:rsidR="0039188C"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average shortest path length during </w:t>
      </w:r>
      <w:r w:rsidR="005C1B96" w:rsidRPr="009E2A20">
        <w:rPr>
          <w:rFonts w:ascii="Times New Roman" w:hAnsi="Times New Roman" w:cs="Times New Roman"/>
          <w:color w:val="000000" w:themeColor="text1"/>
          <w:sz w:val="24"/>
          <w:szCs w:val="24"/>
        </w:rPr>
        <w:t>the stop signal task</w:t>
      </w:r>
      <w:bookmarkEnd w:id="40"/>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774967" w14:paraId="3F7891D8"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539568C0" w14:textId="77777777" w:rsidR="00774967" w:rsidRDefault="00774967">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25E07F1E" w14:textId="77777777" w:rsidR="00774967" w:rsidRDefault="00774967">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307974EC" w14:textId="77777777" w:rsidR="00774967" w:rsidRDefault="00774967">
            <w:pPr>
              <w:rPr>
                <w:color w:val="000000"/>
              </w:rPr>
            </w:pPr>
          </w:p>
        </w:tc>
        <w:tc>
          <w:tcPr>
            <w:tcW w:w="768" w:type="dxa"/>
            <w:tcBorders>
              <w:top w:val="nil"/>
              <w:left w:val="nil"/>
              <w:bottom w:val="single" w:sz="12" w:space="0" w:color="auto"/>
              <w:right w:val="nil"/>
            </w:tcBorders>
            <w:shd w:val="clear" w:color="auto" w:fill="auto"/>
            <w:noWrap/>
            <w:vAlign w:val="bottom"/>
            <w:hideMark/>
          </w:tcPr>
          <w:p w14:paraId="3E873F1A"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58C9937"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DDECBD7"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73ED06B"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FCE867E"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10A5FA6"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6042EE8"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9885EB0"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FA548B2"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2E2CECC"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22444F2"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475D3C8" w14:textId="77777777" w:rsidR="00774967" w:rsidRDefault="0077496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74A474B" w14:textId="77777777" w:rsidR="00774967" w:rsidRDefault="00774967">
            <w:pPr>
              <w:rPr>
                <w:sz w:val="20"/>
                <w:szCs w:val="20"/>
              </w:rPr>
            </w:pPr>
          </w:p>
        </w:tc>
        <w:tc>
          <w:tcPr>
            <w:tcW w:w="768" w:type="dxa"/>
            <w:tcBorders>
              <w:top w:val="nil"/>
              <w:left w:val="nil"/>
              <w:bottom w:val="nil"/>
              <w:right w:val="nil"/>
            </w:tcBorders>
            <w:shd w:val="clear" w:color="auto" w:fill="auto"/>
            <w:noWrap/>
            <w:vAlign w:val="bottom"/>
            <w:hideMark/>
          </w:tcPr>
          <w:p w14:paraId="379DE575" w14:textId="77777777" w:rsidR="00774967" w:rsidRDefault="00774967">
            <w:pPr>
              <w:rPr>
                <w:sz w:val="20"/>
                <w:szCs w:val="20"/>
              </w:rPr>
            </w:pPr>
          </w:p>
        </w:tc>
      </w:tr>
      <w:tr w:rsidR="00774967" w14:paraId="0F87D1D1" w14:textId="77777777" w:rsidTr="00964DCF">
        <w:trPr>
          <w:trHeight w:val="340"/>
        </w:trPr>
        <w:tc>
          <w:tcPr>
            <w:tcW w:w="1176" w:type="dxa"/>
            <w:tcBorders>
              <w:top w:val="single" w:sz="12" w:space="0" w:color="auto"/>
              <w:left w:val="nil"/>
              <w:bottom w:val="nil"/>
              <w:right w:val="nil"/>
            </w:tcBorders>
            <w:shd w:val="clear" w:color="auto" w:fill="auto"/>
            <w:noWrap/>
            <w:vAlign w:val="bottom"/>
            <w:hideMark/>
          </w:tcPr>
          <w:p w14:paraId="0F7FEB3B" w14:textId="77777777" w:rsidR="00774967" w:rsidRDefault="00774967">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396FEF28" w14:textId="77777777" w:rsidR="00774967" w:rsidRDefault="00774967">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16369844" w14:textId="4D4444EB" w:rsidR="00774967" w:rsidRDefault="00774967">
            <w:pPr>
              <w:jc w:val="center"/>
              <w:rPr>
                <w:color w:val="000000"/>
                <w:sz w:val="20"/>
                <w:szCs w:val="20"/>
              </w:rPr>
            </w:pPr>
            <w:r>
              <w:rPr>
                <w:color w:val="000000"/>
                <w:sz w:val="20"/>
                <w:szCs w:val="20"/>
              </w:rPr>
              <w:t>General</w:t>
            </w:r>
            <w:r w:rsidR="00C07F0E">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77C2E29" w14:textId="77777777" w:rsidR="00774967" w:rsidRDefault="00774967">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203C359" w14:textId="77777777" w:rsidR="00774967" w:rsidRDefault="00774967">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569E8C0" w14:textId="77777777" w:rsidR="00774967" w:rsidRDefault="00774967">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B12E92B" w14:textId="77777777" w:rsidR="00774967" w:rsidRDefault="00774967">
            <w:pPr>
              <w:jc w:val="center"/>
              <w:rPr>
                <w:color w:val="000000"/>
                <w:sz w:val="20"/>
                <w:szCs w:val="20"/>
              </w:rPr>
            </w:pPr>
            <w:r>
              <w:rPr>
                <w:color w:val="000000"/>
                <w:sz w:val="20"/>
                <w:szCs w:val="20"/>
              </w:rPr>
              <w:t>Urbanicity</w:t>
            </w:r>
          </w:p>
        </w:tc>
      </w:tr>
      <w:tr w:rsidR="002125FE" w14:paraId="566F3FD9" w14:textId="77777777" w:rsidTr="00964DCF">
        <w:trPr>
          <w:trHeight w:val="360"/>
        </w:trPr>
        <w:tc>
          <w:tcPr>
            <w:tcW w:w="1176" w:type="dxa"/>
            <w:tcBorders>
              <w:top w:val="nil"/>
              <w:left w:val="nil"/>
              <w:bottom w:val="single" w:sz="12" w:space="0" w:color="auto"/>
              <w:right w:val="nil"/>
            </w:tcBorders>
            <w:shd w:val="clear" w:color="auto" w:fill="auto"/>
            <w:noWrap/>
            <w:vAlign w:val="bottom"/>
            <w:hideMark/>
          </w:tcPr>
          <w:p w14:paraId="6889056E"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6BA24A3D"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4C06FAF9" w14:textId="73D98A3F"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2D70331" w14:textId="4E4AC410"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DA23562" w14:textId="255084BD"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2E6CE7C" w14:textId="1D0101DB"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B8C5BBD" w14:textId="01B66419"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2A842B1" w14:textId="4D2ABB2B"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C1362C1" w14:textId="7B5B4147"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EC079E1" w14:textId="2D22ADDF"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91078A3" w14:textId="26750EDE"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7F1057F" w14:textId="73C81FBB"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46C8B6A" w14:textId="54D87861"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32D36C7" w14:textId="0F8F01C0"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89B3EE4" w14:textId="7C42D46D"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6C89F6D" w14:textId="5F23A52F"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998CFF8" w14:textId="7584F59B"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446FB1" w14:paraId="392B57C3"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04F1511C" w14:textId="77777777" w:rsidR="00446FB1" w:rsidRDefault="00446FB1" w:rsidP="00446FB1">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38C15A84" w14:textId="77777777" w:rsidR="00446FB1" w:rsidRDefault="00446FB1" w:rsidP="00446FB1">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6CBA4E65" w14:textId="375AD3BA" w:rsidR="00446FB1" w:rsidRDefault="00446FB1" w:rsidP="00446FB1">
            <w:pPr>
              <w:jc w:val="right"/>
              <w:rPr>
                <w:color w:val="000000"/>
                <w:sz w:val="20"/>
                <w:szCs w:val="20"/>
              </w:rPr>
            </w:pPr>
            <w:r>
              <w:rPr>
                <w:color w:val="000000"/>
                <w:sz w:val="20"/>
                <w:szCs w:val="20"/>
              </w:rPr>
              <w:t>0.037</w:t>
            </w:r>
          </w:p>
        </w:tc>
        <w:tc>
          <w:tcPr>
            <w:tcW w:w="768" w:type="dxa"/>
            <w:tcBorders>
              <w:top w:val="single" w:sz="12" w:space="0" w:color="auto"/>
              <w:left w:val="nil"/>
              <w:bottom w:val="nil"/>
              <w:right w:val="nil"/>
            </w:tcBorders>
            <w:shd w:val="clear" w:color="auto" w:fill="auto"/>
            <w:noWrap/>
            <w:vAlign w:val="bottom"/>
            <w:hideMark/>
          </w:tcPr>
          <w:p w14:paraId="425E6DBB" w14:textId="76FB5C3A" w:rsidR="00446FB1" w:rsidRDefault="00446FB1" w:rsidP="00446FB1">
            <w:pPr>
              <w:jc w:val="right"/>
              <w:rPr>
                <w:color w:val="000000"/>
                <w:sz w:val="20"/>
                <w:szCs w:val="20"/>
              </w:rPr>
            </w:pPr>
            <w:r>
              <w:rPr>
                <w:color w:val="000000"/>
                <w:sz w:val="20"/>
                <w:szCs w:val="20"/>
              </w:rPr>
              <w:t>0.494</w:t>
            </w:r>
          </w:p>
        </w:tc>
        <w:tc>
          <w:tcPr>
            <w:tcW w:w="768" w:type="dxa"/>
            <w:tcBorders>
              <w:top w:val="single" w:sz="12" w:space="0" w:color="auto"/>
              <w:left w:val="nil"/>
              <w:bottom w:val="nil"/>
              <w:right w:val="nil"/>
            </w:tcBorders>
            <w:shd w:val="clear" w:color="auto" w:fill="auto"/>
            <w:noWrap/>
            <w:vAlign w:val="bottom"/>
            <w:hideMark/>
          </w:tcPr>
          <w:p w14:paraId="3BA46E49" w14:textId="48F3C14D" w:rsidR="00446FB1" w:rsidRDefault="00446FB1" w:rsidP="00446FB1">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2E27A7B5" w14:textId="4F7F4761" w:rsidR="00446FB1" w:rsidRDefault="00446FB1" w:rsidP="00446FB1">
            <w:pPr>
              <w:jc w:val="right"/>
              <w:rPr>
                <w:color w:val="000000"/>
                <w:sz w:val="20"/>
                <w:szCs w:val="20"/>
              </w:rPr>
            </w:pPr>
            <w:r>
              <w:rPr>
                <w:color w:val="000000"/>
                <w:sz w:val="20"/>
                <w:szCs w:val="20"/>
              </w:rPr>
              <w:t>0.020</w:t>
            </w:r>
          </w:p>
        </w:tc>
        <w:tc>
          <w:tcPr>
            <w:tcW w:w="768" w:type="dxa"/>
            <w:tcBorders>
              <w:top w:val="single" w:sz="12" w:space="0" w:color="auto"/>
              <w:left w:val="nil"/>
              <w:bottom w:val="nil"/>
              <w:right w:val="nil"/>
            </w:tcBorders>
            <w:shd w:val="clear" w:color="auto" w:fill="auto"/>
            <w:noWrap/>
            <w:vAlign w:val="bottom"/>
            <w:hideMark/>
          </w:tcPr>
          <w:p w14:paraId="4259A5A4" w14:textId="5F1A31EE" w:rsidR="00446FB1" w:rsidRDefault="00446FB1" w:rsidP="00446FB1">
            <w:pPr>
              <w:jc w:val="right"/>
              <w:rPr>
                <w:color w:val="000000"/>
                <w:sz w:val="20"/>
                <w:szCs w:val="20"/>
              </w:rPr>
            </w:pPr>
            <w:r>
              <w:rPr>
                <w:color w:val="000000"/>
                <w:sz w:val="20"/>
                <w:szCs w:val="20"/>
              </w:rPr>
              <w:t>0.944</w:t>
            </w:r>
          </w:p>
        </w:tc>
        <w:tc>
          <w:tcPr>
            <w:tcW w:w="768" w:type="dxa"/>
            <w:tcBorders>
              <w:top w:val="single" w:sz="12" w:space="0" w:color="auto"/>
              <w:left w:val="nil"/>
              <w:bottom w:val="nil"/>
              <w:right w:val="nil"/>
            </w:tcBorders>
            <w:shd w:val="clear" w:color="auto" w:fill="auto"/>
            <w:noWrap/>
            <w:vAlign w:val="bottom"/>
            <w:hideMark/>
          </w:tcPr>
          <w:p w14:paraId="04346B16" w14:textId="40BD20C2" w:rsidR="00446FB1" w:rsidRDefault="00446FB1" w:rsidP="00446FB1">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9FCCAAF" w14:textId="043B167A" w:rsidR="00446FB1" w:rsidRDefault="00446FB1" w:rsidP="00446FB1">
            <w:pPr>
              <w:jc w:val="right"/>
              <w:rPr>
                <w:color w:val="000000"/>
                <w:sz w:val="20"/>
                <w:szCs w:val="20"/>
              </w:rPr>
            </w:pPr>
            <w:r>
              <w:rPr>
                <w:color w:val="000000"/>
                <w:sz w:val="20"/>
                <w:szCs w:val="20"/>
              </w:rPr>
              <w:t>0.022</w:t>
            </w:r>
          </w:p>
        </w:tc>
        <w:tc>
          <w:tcPr>
            <w:tcW w:w="768" w:type="dxa"/>
            <w:tcBorders>
              <w:top w:val="single" w:sz="12" w:space="0" w:color="auto"/>
              <w:left w:val="nil"/>
              <w:bottom w:val="nil"/>
              <w:right w:val="nil"/>
            </w:tcBorders>
            <w:shd w:val="clear" w:color="auto" w:fill="auto"/>
            <w:noWrap/>
            <w:vAlign w:val="bottom"/>
            <w:hideMark/>
          </w:tcPr>
          <w:p w14:paraId="21F89569" w14:textId="6A81B695" w:rsidR="00446FB1" w:rsidRDefault="00446FB1" w:rsidP="00446FB1">
            <w:pPr>
              <w:jc w:val="right"/>
              <w:rPr>
                <w:color w:val="000000"/>
                <w:sz w:val="20"/>
                <w:szCs w:val="20"/>
              </w:rPr>
            </w:pPr>
            <w:r>
              <w:rPr>
                <w:color w:val="000000"/>
                <w:sz w:val="20"/>
                <w:szCs w:val="20"/>
              </w:rPr>
              <w:t>0.920</w:t>
            </w:r>
          </w:p>
        </w:tc>
        <w:tc>
          <w:tcPr>
            <w:tcW w:w="768" w:type="dxa"/>
            <w:tcBorders>
              <w:top w:val="single" w:sz="12" w:space="0" w:color="auto"/>
              <w:left w:val="nil"/>
              <w:bottom w:val="nil"/>
              <w:right w:val="nil"/>
            </w:tcBorders>
            <w:shd w:val="clear" w:color="auto" w:fill="auto"/>
            <w:noWrap/>
            <w:vAlign w:val="bottom"/>
            <w:hideMark/>
          </w:tcPr>
          <w:p w14:paraId="58889DF5" w14:textId="5DCBD008" w:rsidR="00446FB1" w:rsidRDefault="00446FB1" w:rsidP="00446FB1">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C209E6B" w14:textId="530C7846" w:rsidR="00446FB1" w:rsidRDefault="00446FB1" w:rsidP="00446FB1">
            <w:pPr>
              <w:jc w:val="right"/>
              <w:rPr>
                <w:color w:val="000000"/>
                <w:sz w:val="20"/>
                <w:szCs w:val="20"/>
              </w:rPr>
            </w:pPr>
            <w:r>
              <w:rPr>
                <w:color w:val="000000"/>
                <w:sz w:val="20"/>
                <w:szCs w:val="20"/>
              </w:rPr>
              <w:t>0.080</w:t>
            </w:r>
          </w:p>
        </w:tc>
        <w:tc>
          <w:tcPr>
            <w:tcW w:w="768" w:type="dxa"/>
            <w:tcBorders>
              <w:top w:val="single" w:sz="12" w:space="0" w:color="auto"/>
              <w:left w:val="nil"/>
              <w:bottom w:val="nil"/>
              <w:right w:val="nil"/>
            </w:tcBorders>
            <w:shd w:val="clear" w:color="auto" w:fill="auto"/>
            <w:noWrap/>
            <w:vAlign w:val="bottom"/>
            <w:hideMark/>
          </w:tcPr>
          <w:p w14:paraId="5A6A1D40" w14:textId="5AF4FAB4" w:rsidR="00446FB1" w:rsidRDefault="00446FB1" w:rsidP="00446FB1">
            <w:pPr>
              <w:jc w:val="right"/>
              <w:rPr>
                <w:color w:val="000000"/>
                <w:sz w:val="20"/>
                <w:szCs w:val="20"/>
              </w:rPr>
            </w:pPr>
            <w:r>
              <w:rPr>
                <w:color w:val="000000"/>
                <w:sz w:val="20"/>
                <w:szCs w:val="20"/>
              </w:rPr>
              <w:t>0.160</w:t>
            </w:r>
          </w:p>
        </w:tc>
        <w:tc>
          <w:tcPr>
            <w:tcW w:w="768" w:type="dxa"/>
            <w:tcBorders>
              <w:top w:val="single" w:sz="12" w:space="0" w:color="auto"/>
              <w:left w:val="nil"/>
              <w:bottom w:val="nil"/>
              <w:right w:val="nil"/>
            </w:tcBorders>
            <w:shd w:val="clear" w:color="auto" w:fill="auto"/>
            <w:noWrap/>
            <w:vAlign w:val="bottom"/>
            <w:hideMark/>
          </w:tcPr>
          <w:p w14:paraId="33F10ACD" w14:textId="2F875192" w:rsidR="00446FB1" w:rsidRDefault="00446FB1" w:rsidP="00446FB1">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41381930" w14:textId="44DE5223" w:rsidR="00446FB1" w:rsidRDefault="00446FB1" w:rsidP="00446FB1">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202B218D" w14:textId="05515CC2" w:rsidR="00446FB1" w:rsidRDefault="00446FB1" w:rsidP="00446FB1">
            <w:pPr>
              <w:jc w:val="right"/>
              <w:rPr>
                <w:color w:val="000000"/>
                <w:sz w:val="20"/>
                <w:szCs w:val="20"/>
              </w:rPr>
            </w:pPr>
            <w:r>
              <w:rPr>
                <w:color w:val="000000"/>
                <w:sz w:val="20"/>
                <w:szCs w:val="20"/>
              </w:rPr>
              <w:t>0.908</w:t>
            </w:r>
          </w:p>
        </w:tc>
        <w:tc>
          <w:tcPr>
            <w:tcW w:w="768" w:type="dxa"/>
            <w:tcBorders>
              <w:top w:val="single" w:sz="12" w:space="0" w:color="auto"/>
              <w:left w:val="nil"/>
              <w:bottom w:val="nil"/>
              <w:right w:val="nil"/>
            </w:tcBorders>
            <w:shd w:val="clear" w:color="auto" w:fill="auto"/>
            <w:noWrap/>
            <w:vAlign w:val="bottom"/>
            <w:hideMark/>
          </w:tcPr>
          <w:p w14:paraId="31B2F344" w14:textId="101E1BA8" w:rsidR="00446FB1" w:rsidRDefault="00446FB1" w:rsidP="00446FB1">
            <w:pPr>
              <w:jc w:val="right"/>
              <w:rPr>
                <w:color w:val="000000"/>
                <w:sz w:val="20"/>
                <w:szCs w:val="20"/>
              </w:rPr>
            </w:pPr>
            <w:r>
              <w:rPr>
                <w:color w:val="000000"/>
                <w:sz w:val="20"/>
                <w:szCs w:val="20"/>
              </w:rPr>
              <w:t>0.000</w:t>
            </w:r>
          </w:p>
        </w:tc>
      </w:tr>
      <w:tr w:rsidR="00446FB1" w14:paraId="3D3654A3" w14:textId="77777777" w:rsidTr="00774967">
        <w:trPr>
          <w:trHeight w:val="340"/>
        </w:trPr>
        <w:tc>
          <w:tcPr>
            <w:tcW w:w="1176" w:type="dxa"/>
            <w:tcBorders>
              <w:top w:val="nil"/>
              <w:left w:val="nil"/>
              <w:bottom w:val="nil"/>
              <w:right w:val="nil"/>
            </w:tcBorders>
            <w:shd w:val="clear" w:color="auto" w:fill="auto"/>
            <w:noWrap/>
            <w:vAlign w:val="bottom"/>
            <w:hideMark/>
          </w:tcPr>
          <w:p w14:paraId="4ED2A86F"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29486F1" w14:textId="77777777" w:rsidR="00446FB1" w:rsidRDefault="00446FB1" w:rsidP="00446FB1">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7096C26" w14:textId="21807430" w:rsidR="00446FB1" w:rsidRDefault="00446FB1" w:rsidP="00446FB1">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F86A1CE" w14:textId="18A91DAD" w:rsidR="00446FB1" w:rsidRDefault="00446FB1" w:rsidP="00446FB1">
            <w:pPr>
              <w:jc w:val="right"/>
              <w:rPr>
                <w:color w:val="000000"/>
                <w:sz w:val="20"/>
                <w:szCs w:val="20"/>
              </w:rPr>
            </w:pPr>
            <w:r>
              <w:rPr>
                <w:color w:val="000000"/>
                <w:sz w:val="20"/>
                <w:szCs w:val="20"/>
              </w:rPr>
              <w:t>0.695</w:t>
            </w:r>
          </w:p>
        </w:tc>
        <w:tc>
          <w:tcPr>
            <w:tcW w:w="768" w:type="dxa"/>
            <w:tcBorders>
              <w:top w:val="nil"/>
              <w:left w:val="nil"/>
              <w:bottom w:val="nil"/>
              <w:right w:val="nil"/>
            </w:tcBorders>
            <w:shd w:val="clear" w:color="auto" w:fill="auto"/>
            <w:noWrap/>
            <w:vAlign w:val="bottom"/>
            <w:hideMark/>
          </w:tcPr>
          <w:p w14:paraId="4AFA4EED" w14:textId="118D3EBC"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B2B3EF" w14:textId="5EBD0114" w:rsidR="00446FB1" w:rsidRDefault="00446FB1" w:rsidP="00446FB1">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5ADCFDD" w14:textId="7633EF94" w:rsidR="00446FB1" w:rsidRDefault="00446FB1" w:rsidP="00446FB1">
            <w:pPr>
              <w:jc w:val="right"/>
              <w:rPr>
                <w:color w:val="000000"/>
                <w:sz w:val="20"/>
                <w:szCs w:val="20"/>
              </w:rPr>
            </w:pPr>
            <w:r>
              <w:rPr>
                <w:color w:val="000000"/>
                <w:sz w:val="20"/>
                <w:szCs w:val="20"/>
              </w:rPr>
              <w:t>0.944</w:t>
            </w:r>
          </w:p>
        </w:tc>
        <w:tc>
          <w:tcPr>
            <w:tcW w:w="768" w:type="dxa"/>
            <w:tcBorders>
              <w:top w:val="nil"/>
              <w:left w:val="nil"/>
              <w:bottom w:val="nil"/>
              <w:right w:val="nil"/>
            </w:tcBorders>
            <w:shd w:val="clear" w:color="auto" w:fill="auto"/>
            <w:noWrap/>
            <w:vAlign w:val="bottom"/>
            <w:hideMark/>
          </w:tcPr>
          <w:p w14:paraId="780C0475" w14:textId="277C34DC"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13FF09" w14:textId="431D5549" w:rsidR="00446FB1" w:rsidRDefault="00446FB1" w:rsidP="00446FB1">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1A2B9992" w14:textId="3DB4EEEA" w:rsidR="00446FB1" w:rsidRDefault="00446FB1" w:rsidP="00446FB1">
            <w:pPr>
              <w:jc w:val="right"/>
              <w:rPr>
                <w:color w:val="000000"/>
                <w:sz w:val="20"/>
                <w:szCs w:val="20"/>
              </w:rPr>
            </w:pPr>
            <w:r>
              <w:rPr>
                <w:color w:val="000000"/>
                <w:sz w:val="20"/>
                <w:szCs w:val="20"/>
              </w:rPr>
              <w:t>0.920</w:t>
            </w:r>
          </w:p>
        </w:tc>
        <w:tc>
          <w:tcPr>
            <w:tcW w:w="768" w:type="dxa"/>
            <w:tcBorders>
              <w:top w:val="nil"/>
              <w:left w:val="nil"/>
              <w:bottom w:val="nil"/>
              <w:right w:val="nil"/>
            </w:tcBorders>
            <w:shd w:val="clear" w:color="auto" w:fill="auto"/>
            <w:noWrap/>
            <w:vAlign w:val="bottom"/>
            <w:hideMark/>
          </w:tcPr>
          <w:p w14:paraId="15AF2A58" w14:textId="32B703C1"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BF82ADB" w14:textId="5523153D" w:rsidR="00446FB1" w:rsidRDefault="00446FB1" w:rsidP="00446FB1">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A9106BD" w14:textId="21A4DF56" w:rsidR="00446FB1" w:rsidRDefault="00446FB1" w:rsidP="00446FB1">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28BC801D" w14:textId="4552080E"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8BB153" w14:textId="1FA64792" w:rsidR="00446FB1" w:rsidRDefault="00446FB1" w:rsidP="00446FB1">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241EA05C" w14:textId="2F058C97" w:rsidR="00446FB1" w:rsidRDefault="00446FB1" w:rsidP="00446FB1">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45FAAFC8" w14:textId="30F51253" w:rsidR="00446FB1" w:rsidRDefault="00446FB1" w:rsidP="00446FB1">
            <w:pPr>
              <w:jc w:val="right"/>
              <w:rPr>
                <w:color w:val="000000"/>
                <w:sz w:val="20"/>
                <w:szCs w:val="20"/>
              </w:rPr>
            </w:pPr>
            <w:r>
              <w:rPr>
                <w:color w:val="000000"/>
                <w:sz w:val="20"/>
                <w:szCs w:val="20"/>
              </w:rPr>
              <w:t>0.008</w:t>
            </w:r>
          </w:p>
        </w:tc>
      </w:tr>
      <w:tr w:rsidR="00446FB1" w14:paraId="1253D70C" w14:textId="77777777" w:rsidTr="00774967">
        <w:trPr>
          <w:trHeight w:val="320"/>
        </w:trPr>
        <w:tc>
          <w:tcPr>
            <w:tcW w:w="1176" w:type="dxa"/>
            <w:tcBorders>
              <w:top w:val="nil"/>
              <w:left w:val="nil"/>
              <w:bottom w:val="nil"/>
              <w:right w:val="nil"/>
            </w:tcBorders>
            <w:shd w:val="clear" w:color="auto" w:fill="auto"/>
            <w:noWrap/>
            <w:vAlign w:val="bottom"/>
            <w:hideMark/>
          </w:tcPr>
          <w:p w14:paraId="6859C7E8"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756EF30" w14:textId="77777777" w:rsidR="00446FB1" w:rsidRDefault="00446FB1" w:rsidP="00446FB1">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D22F175" w14:textId="7C9DD19B" w:rsidR="00446FB1" w:rsidRDefault="00446FB1" w:rsidP="00446FB1">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0095FA5D" w14:textId="221E7E22" w:rsidR="00446FB1" w:rsidRDefault="00446FB1" w:rsidP="00446FB1">
            <w:pPr>
              <w:jc w:val="right"/>
              <w:rPr>
                <w:color w:val="000000"/>
                <w:sz w:val="20"/>
                <w:szCs w:val="20"/>
              </w:rPr>
            </w:pPr>
            <w:r>
              <w:rPr>
                <w:color w:val="000000"/>
                <w:sz w:val="20"/>
                <w:szCs w:val="20"/>
              </w:rPr>
              <w:t>0.440</w:t>
            </w:r>
          </w:p>
        </w:tc>
        <w:tc>
          <w:tcPr>
            <w:tcW w:w="768" w:type="dxa"/>
            <w:tcBorders>
              <w:top w:val="nil"/>
              <w:left w:val="nil"/>
              <w:bottom w:val="nil"/>
              <w:right w:val="nil"/>
            </w:tcBorders>
            <w:shd w:val="clear" w:color="auto" w:fill="auto"/>
            <w:noWrap/>
            <w:vAlign w:val="bottom"/>
            <w:hideMark/>
          </w:tcPr>
          <w:p w14:paraId="14B261A2" w14:textId="68CCA95C" w:rsidR="00446FB1" w:rsidRDefault="00446FB1" w:rsidP="00446FB1">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A583EE6" w14:textId="63880030" w:rsidR="00446FB1" w:rsidRDefault="00446FB1" w:rsidP="00446FB1">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671C1A1" w14:textId="7A1F8512" w:rsidR="00446FB1" w:rsidRDefault="00446FB1" w:rsidP="00446FB1">
            <w:pPr>
              <w:jc w:val="right"/>
              <w:rPr>
                <w:color w:val="000000"/>
                <w:sz w:val="20"/>
                <w:szCs w:val="20"/>
              </w:rPr>
            </w:pPr>
            <w:r>
              <w:rPr>
                <w:color w:val="000000"/>
                <w:sz w:val="20"/>
                <w:szCs w:val="20"/>
              </w:rPr>
              <w:t>0.944</w:t>
            </w:r>
          </w:p>
        </w:tc>
        <w:tc>
          <w:tcPr>
            <w:tcW w:w="768" w:type="dxa"/>
            <w:tcBorders>
              <w:top w:val="nil"/>
              <w:left w:val="nil"/>
              <w:bottom w:val="nil"/>
              <w:right w:val="nil"/>
            </w:tcBorders>
            <w:shd w:val="clear" w:color="auto" w:fill="auto"/>
            <w:noWrap/>
            <w:vAlign w:val="bottom"/>
            <w:hideMark/>
          </w:tcPr>
          <w:p w14:paraId="151E04EF" w14:textId="286A1410"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B012E6" w14:textId="29D85DB2" w:rsidR="00446FB1" w:rsidRDefault="00446FB1" w:rsidP="00446FB1">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6CD1E5BB" w14:textId="50687F5B" w:rsidR="00446FB1" w:rsidRDefault="00446FB1" w:rsidP="00446FB1">
            <w:pPr>
              <w:jc w:val="right"/>
              <w:rPr>
                <w:color w:val="000000"/>
                <w:sz w:val="20"/>
                <w:szCs w:val="20"/>
              </w:rPr>
            </w:pPr>
            <w:r>
              <w:rPr>
                <w:color w:val="000000"/>
                <w:sz w:val="20"/>
                <w:szCs w:val="20"/>
              </w:rPr>
              <w:t>0.716</w:t>
            </w:r>
          </w:p>
        </w:tc>
        <w:tc>
          <w:tcPr>
            <w:tcW w:w="768" w:type="dxa"/>
            <w:tcBorders>
              <w:top w:val="nil"/>
              <w:left w:val="nil"/>
              <w:bottom w:val="nil"/>
              <w:right w:val="nil"/>
            </w:tcBorders>
            <w:shd w:val="clear" w:color="auto" w:fill="auto"/>
            <w:noWrap/>
            <w:vAlign w:val="bottom"/>
            <w:hideMark/>
          </w:tcPr>
          <w:p w14:paraId="4B673184" w14:textId="6A0257DD" w:rsidR="00446FB1" w:rsidRDefault="00446FB1" w:rsidP="00446FB1">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0E37516" w14:textId="306BD8D8" w:rsidR="00446FB1" w:rsidRDefault="00446FB1" w:rsidP="00446FB1">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10FA88E" w14:textId="7B651F18" w:rsidR="00446FB1" w:rsidRDefault="00446FB1" w:rsidP="00446FB1">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10C22814" w14:textId="0F9D1AAD"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3884E9A" w14:textId="5BD0E4C4" w:rsidR="00446FB1" w:rsidRDefault="00446FB1" w:rsidP="00446FB1">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1F3C1A6D" w14:textId="2C570C75" w:rsidR="00446FB1" w:rsidRDefault="00446FB1" w:rsidP="00446FB1">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5FCE8F14" w14:textId="7F658D54" w:rsidR="00446FB1" w:rsidRDefault="00446FB1" w:rsidP="00446FB1">
            <w:pPr>
              <w:jc w:val="right"/>
              <w:rPr>
                <w:color w:val="000000"/>
                <w:sz w:val="20"/>
                <w:szCs w:val="20"/>
              </w:rPr>
            </w:pPr>
            <w:r>
              <w:rPr>
                <w:color w:val="000000"/>
                <w:sz w:val="20"/>
                <w:szCs w:val="20"/>
              </w:rPr>
              <w:t>0.001</w:t>
            </w:r>
          </w:p>
        </w:tc>
      </w:tr>
      <w:tr w:rsidR="00446FB1" w14:paraId="2186BAFE" w14:textId="77777777" w:rsidTr="00774967">
        <w:trPr>
          <w:trHeight w:val="320"/>
        </w:trPr>
        <w:tc>
          <w:tcPr>
            <w:tcW w:w="1176" w:type="dxa"/>
            <w:tcBorders>
              <w:top w:val="nil"/>
              <w:left w:val="nil"/>
              <w:bottom w:val="nil"/>
              <w:right w:val="nil"/>
            </w:tcBorders>
            <w:shd w:val="clear" w:color="auto" w:fill="auto"/>
            <w:noWrap/>
            <w:vAlign w:val="bottom"/>
            <w:hideMark/>
          </w:tcPr>
          <w:p w14:paraId="356DA69A"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A9D211C" w14:textId="77777777" w:rsidR="00446FB1" w:rsidRDefault="00446FB1" w:rsidP="00446FB1">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90C0DBC" w14:textId="70E8EA78" w:rsidR="00446FB1" w:rsidRDefault="00446FB1" w:rsidP="00446FB1">
            <w:pPr>
              <w:jc w:val="right"/>
              <w:rPr>
                <w:color w:val="000000"/>
                <w:sz w:val="20"/>
                <w:szCs w:val="20"/>
              </w:rPr>
            </w:pPr>
            <w:r>
              <w:rPr>
                <w:color w:val="000000"/>
                <w:sz w:val="20"/>
                <w:szCs w:val="20"/>
              </w:rPr>
              <w:t>-0.121</w:t>
            </w:r>
          </w:p>
        </w:tc>
        <w:tc>
          <w:tcPr>
            <w:tcW w:w="768" w:type="dxa"/>
            <w:tcBorders>
              <w:top w:val="nil"/>
              <w:left w:val="nil"/>
              <w:bottom w:val="nil"/>
              <w:right w:val="nil"/>
            </w:tcBorders>
            <w:shd w:val="clear" w:color="auto" w:fill="auto"/>
            <w:noWrap/>
            <w:vAlign w:val="bottom"/>
            <w:hideMark/>
          </w:tcPr>
          <w:p w14:paraId="2E77A19E" w14:textId="3F7B966D" w:rsidR="00446FB1" w:rsidRDefault="00446FB1" w:rsidP="00446FB1">
            <w:pPr>
              <w:jc w:val="right"/>
              <w:rPr>
                <w:color w:val="000000"/>
                <w:sz w:val="20"/>
                <w:szCs w:val="20"/>
              </w:rPr>
            </w:pPr>
            <w:r>
              <w:rPr>
                <w:color w:val="000000"/>
                <w:sz w:val="20"/>
                <w:szCs w:val="20"/>
              </w:rPr>
              <w:t>0.494</w:t>
            </w:r>
          </w:p>
        </w:tc>
        <w:tc>
          <w:tcPr>
            <w:tcW w:w="768" w:type="dxa"/>
            <w:tcBorders>
              <w:top w:val="nil"/>
              <w:left w:val="nil"/>
              <w:bottom w:val="nil"/>
              <w:right w:val="nil"/>
            </w:tcBorders>
            <w:shd w:val="clear" w:color="auto" w:fill="auto"/>
            <w:noWrap/>
            <w:vAlign w:val="bottom"/>
            <w:hideMark/>
          </w:tcPr>
          <w:p w14:paraId="3E7FE657" w14:textId="4A27CB78" w:rsidR="00446FB1" w:rsidRDefault="00446FB1" w:rsidP="00446FB1">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BB47D6F" w14:textId="1A8D5229" w:rsidR="00446FB1" w:rsidRDefault="00446FB1" w:rsidP="00446FB1">
            <w:pPr>
              <w:jc w:val="right"/>
              <w:rPr>
                <w:color w:val="000000"/>
                <w:sz w:val="20"/>
                <w:szCs w:val="20"/>
              </w:rPr>
            </w:pPr>
            <w:r>
              <w:rPr>
                <w:color w:val="000000"/>
                <w:sz w:val="20"/>
                <w:szCs w:val="20"/>
              </w:rPr>
              <w:t>0.094</w:t>
            </w:r>
          </w:p>
        </w:tc>
        <w:tc>
          <w:tcPr>
            <w:tcW w:w="768" w:type="dxa"/>
            <w:tcBorders>
              <w:top w:val="nil"/>
              <w:left w:val="nil"/>
              <w:bottom w:val="nil"/>
              <w:right w:val="nil"/>
            </w:tcBorders>
            <w:shd w:val="clear" w:color="auto" w:fill="auto"/>
            <w:noWrap/>
            <w:vAlign w:val="bottom"/>
            <w:hideMark/>
          </w:tcPr>
          <w:p w14:paraId="663CDF64" w14:textId="1E17B36C" w:rsidR="00446FB1" w:rsidRDefault="00446FB1" w:rsidP="00446FB1">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4852F7E3" w14:textId="6BE0722F" w:rsidR="00446FB1" w:rsidRDefault="00446FB1" w:rsidP="00446FB1">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1FCA345" w14:textId="5BADACDB" w:rsidR="00446FB1" w:rsidRDefault="00446FB1" w:rsidP="00446FB1">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41065CF" w14:textId="4B13D2B7" w:rsidR="00446FB1" w:rsidRDefault="00446FB1" w:rsidP="00446FB1">
            <w:pPr>
              <w:jc w:val="right"/>
              <w:rPr>
                <w:color w:val="000000"/>
                <w:sz w:val="20"/>
                <w:szCs w:val="20"/>
              </w:rPr>
            </w:pPr>
            <w:r>
              <w:rPr>
                <w:color w:val="000000"/>
                <w:sz w:val="20"/>
                <w:szCs w:val="20"/>
              </w:rPr>
              <w:t>0.920</w:t>
            </w:r>
          </w:p>
        </w:tc>
        <w:tc>
          <w:tcPr>
            <w:tcW w:w="768" w:type="dxa"/>
            <w:tcBorders>
              <w:top w:val="nil"/>
              <w:left w:val="nil"/>
              <w:bottom w:val="nil"/>
              <w:right w:val="nil"/>
            </w:tcBorders>
            <w:shd w:val="clear" w:color="auto" w:fill="auto"/>
            <w:noWrap/>
            <w:vAlign w:val="bottom"/>
            <w:hideMark/>
          </w:tcPr>
          <w:p w14:paraId="441E8493" w14:textId="36DABE66"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D0D517" w14:textId="7444C1AE" w:rsidR="00446FB1" w:rsidRDefault="00446FB1" w:rsidP="00446FB1">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38BBD75" w14:textId="4CED3A02" w:rsidR="00446FB1" w:rsidRDefault="00446FB1" w:rsidP="00446FB1">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42EFECC6" w14:textId="33233E87"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5B3569" w14:textId="4D7FB78E" w:rsidR="00446FB1" w:rsidRDefault="00446FB1" w:rsidP="00446FB1">
            <w:pPr>
              <w:jc w:val="right"/>
              <w:rPr>
                <w:color w:val="000000"/>
                <w:sz w:val="20"/>
                <w:szCs w:val="20"/>
              </w:rPr>
            </w:pPr>
            <w:r>
              <w:rPr>
                <w:color w:val="000000"/>
                <w:sz w:val="20"/>
                <w:szCs w:val="20"/>
              </w:rPr>
              <w:t>0.119</w:t>
            </w:r>
          </w:p>
        </w:tc>
        <w:tc>
          <w:tcPr>
            <w:tcW w:w="768" w:type="dxa"/>
            <w:tcBorders>
              <w:top w:val="nil"/>
              <w:left w:val="nil"/>
              <w:bottom w:val="nil"/>
              <w:right w:val="nil"/>
            </w:tcBorders>
            <w:shd w:val="clear" w:color="auto" w:fill="auto"/>
            <w:noWrap/>
            <w:vAlign w:val="bottom"/>
            <w:hideMark/>
          </w:tcPr>
          <w:p w14:paraId="0B1CA995" w14:textId="36AD9209" w:rsidR="00446FB1" w:rsidRDefault="00446FB1" w:rsidP="00446FB1">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65A26197" w14:textId="084DF5D8" w:rsidR="00446FB1" w:rsidRDefault="00446FB1" w:rsidP="00446FB1">
            <w:pPr>
              <w:jc w:val="right"/>
              <w:rPr>
                <w:color w:val="000000"/>
                <w:sz w:val="20"/>
                <w:szCs w:val="20"/>
              </w:rPr>
            </w:pPr>
            <w:r>
              <w:rPr>
                <w:color w:val="000000"/>
                <w:sz w:val="20"/>
                <w:szCs w:val="20"/>
              </w:rPr>
              <w:t>0.014</w:t>
            </w:r>
          </w:p>
        </w:tc>
      </w:tr>
      <w:tr w:rsidR="00446FB1" w14:paraId="0B512892" w14:textId="77777777" w:rsidTr="00774967">
        <w:trPr>
          <w:trHeight w:val="320"/>
        </w:trPr>
        <w:tc>
          <w:tcPr>
            <w:tcW w:w="1176" w:type="dxa"/>
            <w:tcBorders>
              <w:top w:val="nil"/>
              <w:left w:val="nil"/>
              <w:bottom w:val="nil"/>
              <w:right w:val="nil"/>
            </w:tcBorders>
            <w:shd w:val="clear" w:color="auto" w:fill="auto"/>
            <w:noWrap/>
            <w:vAlign w:val="bottom"/>
            <w:hideMark/>
          </w:tcPr>
          <w:p w14:paraId="48C073A5"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A2164D3" w14:textId="77777777" w:rsidR="00446FB1" w:rsidRDefault="00446FB1" w:rsidP="00446FB1">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E25AB00" w14:textId="0968FCE0" w:rsidR="00446FB1" w:rsidRDefault="00446FB1" w:rsidP="00446FB1">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561DE941" w14:textId="41043E96" w:rsidR="00446FB1" w:rsidRDefault="00446FB1" w:rsidP="00446FB1">
            <w:pPr>
              <w:jc w:val="right"/>
              <w:rPr>
                <w:color w:val="000000"/>
                <w:sz w:val="20"/>
                <w:szCs w:val="20"/>
              </w:rPr>
            </w:pPr>
            <w:r>
              <w:rPr>
                <w:color w:val="000000"/>
                <w:sz w:val="20"/>
                <w:szCs w:val="20"/>
              </w:rPr>
              <w:t>0.440</w:t>
            </w:r>
          </w:p>
        </w:tc>
        <w:tc>
          <w:tcPr>
            <w:tcW w:w="768" w:type="dxa"/>
            <w:tcBorders>
              <w:top w:val="nil"/>
              <w:left w:val="nil"/>
              <w:bottom w:val="nil"/>
              <w:right w:val="nil"/>
            </w:tcBorders>
            <w:shd w:val="clear" w:color="auto" w:fill="auto"/>
            <w:noWrap/>
            <w:vAlign w:val="bottom"/>
            <w:hideMark/>
          </w:tcPr>
          <w:p w14:paraId="548A3CAD" w14:textId="23CFB415" w:rsidR="00446FB1" w:rsidRDefault="00446FB1" w:rsidP="00446FB1">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6469F6C" w14:textId="0D3498A5" w:rsidR="00446FB1" w:rsidRDefault="00446FB1" w:rsidP="00446FB1">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6E5EE59F" w14:textId="2340EAB2" w:rsidR="00446FB1" w:rsidRDefault="00446FB1" w:rsidP="00446FB1">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499BFA79" w14:textId="0564A232"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FE4DB94" w14:textId="58300F4C" w:rsidR="00446FB1" w:rsidRDefault="00446FB1" w:rsidP="00446FB1">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9C8C4FD" w14:textId="7927621D" w:rsidR="00446FB1" w:rsidRDefault="00446FB1" w:rsidP="00446FB1">
            <w:pPr>
              <w:jc w:val="right"/>
              <w:rPr>
                <w:color w:val="000000"/>
                <w:sz w:val="20"/>
                <w:szCs w:val="20"/>
              </w:rPr>
            </w:pPr>
            <w:r>
              <w:rPr>
                <w:color w:val="000000"/>
                <w:sz w:val="20"/>
                <w:szCs w:val="20"/>
              </w:rPr>
              <w:t>0.920</w:t>
            </w:r>
          </w:p>
        </w:tc>
        <w:tc>
          <w:tcPr>
            <w:tcW w:w="768" w:type="dxa"/>
            <w:tcBorders>
              <w:top w:val="nil"/>
              <w:left w:val="nil"/>
              <w:bottom w:val="nil"/>
              <w:right w:val="nil"/>
            </w:tcBorders>
            <w:shd w:val="clear" w:color="auto" w:fill="auto"/>
            <w:noWrap/>
            <w:vAlign w:val="bottom"/>
            <w:hideMark/>
          </w:tcPr>
          <w:p w14:paraId="7639DA13" w14:textId="5239CC19"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47005A3" w14:textId="557F9682" w:rsidR="00446FB1" w:rsidRDefault="00446FB1" w:rsidP="00446FB1">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78950611" w14:textId="02989F59" w:rsidR="00446FB1" w:rsidRDefault="00446FB1" w:rsidP="00446FB1">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0816C1CD" w14:textId="283D7DBD" w:rsidR="00446FB1" w:rsidRDefault="00446FB1" w:rsidP="00446FB1">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C158041" w14:textId="53F11AE8" w:rsidR="00446FB1" w:rsidRDefault="00446FB1" w:rsidP="00446FB1">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FE632F4" w14:textId="5D6ACEC0" w:rsidR="00446FB1" w:rsidRDefault="00446FB1" w:rsidP="00446FB1">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0D3D7F81" w14:textId="0B3B5A20" w:rsidR="00446FB1" w:rsidRDefault="00446FB1" w:rsidP="00446FB1">
            <w:pPr>
              <w:jc w:val="right"/>
              <w:rPr>
                <w:color w:val="000000"/>
                <w:sz w:val="20"/>
                <w:szCs w:val="20"/>
              </w:rPr>
            </w:pPr>
            <w:r>
              <w:rPr>
                <w:color w:val="000000"/>
                <w:sz w:val="20"/>
                <w:szCs w:val="20"/>
              </w:rPr>
              <w:t>0.000</w:t>
            </w:r>
          </w:p>
        </w:tc>
      </w:tr>
      <w:tr w:rsidR="00446FB1" w14:paraId="019DB006" w14:textId="77777777" w:rsidTr="00774967">
        <w:trPr>
          <w:trHeight w:val="320"/>
        </w:trPr>
        <w:tc>
          <w:tcPr>
            <w:tcW w:w="1176" w:type="dxa"/>
            <w:tcBorders>
              <w:top w:val="nil"/>
              <w:left w:val="nil"/>
              <w:bottom w:val="nil"/>
              <w:right w:val="nil"/>
            </w:tcBorders>
            <w:shd w:val="clear" w:color="auto" w:fill="auto"/>
            <w:noWrap/>
            <w:vAlign w:val="bottom"/>
            <w:hideMark/>
          </w:tcPr>
          <w:p w14:paraId="438E1F10"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4A813A" w14:textId="77777777" w:rsidR="00446FB1" w:rsidRDefault="00446FB1" w:rsidP="00446FB1">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B4C74CC" w14:textId="55008535" w:rsidR="00446FB1" w:rsidRDefault="00446FB1" w:rsidP="00446FB1">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F299112" w14:textId="642B4170" w:rsidR="00446FB1" w:rsidRDefault="00446FB1" w:rsidP="00446FB1">
            <w:pPr>
              <w:jc w:val="right"/>
              <w:rPr>
                <w:color w:val="000000"/>
                <w:sz w:val="20"/>
                <w:szCs w:val="20"/>
              </w:rPr>
            </w:pPr>
            <w:r>
              <w:rPr>
                <w:color w:val="000000"/>
                <w:sz w:val="20"/>
                <w:szCs w:val="20"/>
              </w:rPr>
              <w:t>0.695</w:t>
            </w:r>
          </w:p>
        </w:tc>
        <w:tc>
          <w:tcPr>
            <w:tcW w:w="768" w:type="dxa"/>
            <w:tcBorders>
              <w:top w:val="nil"/>
              <w:left w:val="nil"/>
              <w:bottom w:val="nil"/>
              <w:right w:val="nil"/>
            </w:tcBorders>
            <w:shd w:val="clear" w:color="auto" w:fill="auto"/>
            <w:noWrap/>
            <w:vAlign w:val="bottom"/>
            <w:hideMark/>
          </w:tcPr>
          <w:p w14:paraId="08AF4D03" w14:textId="724248EA"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2A2E07" w14:textId="79E4EE23"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349664" w14:textId="72119AC0" w:rsidR="00446FB1" w:rsidRDefault="00446FB1" w:rsidP="00446FB1">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1D7A379F" w14:textId="20A442E0"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B49890" w14:textId="0043FAA7" w:rsidR="00446FB1" w:rsidRDefault="00446FB1" w:rsidP="00446FB1">
            <w:pPr>
              <w:jc w:val="right"/>
              <w:rPr>
                <w:color w:val="000000"/>
                <w:sz w:val="20"/>
                <w:szCs w:val="20"/>
              </w:rPr>
            </w:pPr>
            <w:r>
              <w:rPr>
                <w:color w:val="000000"/>
                <w:sz w:val="20"/>
                <w:szCs w:val="20"/>
              </w:rPr>
              <w:t>0.095</w:t>
            </w:r>
          </w:p>
        </w:tc>
        <w:tc>
          <w:tcPr>
            <w:tcW w:w="768" w:type="dxa"/>
            <w:tcBorders>
              <w:top w:val="nil"/>
              <w:left w:val="nil"/>
              <w:bottom w:val="nil"/>
              <w:right w:val="nil"/>
            </w:tcBorders>
            <w:shd w:val="clear" w:color="auto" w:fill="auto"/>
            <w:noWrap/>
            <w:vAlign w:val="bottom"/>
            <w:hideMark/>
          </w:tcPr>
          <w:p w14:paraId="4F4DC94B" w14:textId="79EA34EB" w:rsidR="00446FB1" w:rsidRDefault="00446FB1" w:rsidP="00446FB1">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76301B2F" w14:textId="0DFB6C0D" w:rsidR="00446FB1" w:rsidRDefault="00446FB1" w:rsidP="00446FB1">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E8FCB38" w14:textId="49CCA916"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D73E19C" w14:textId="7773C536" w:rsidR="00446FB1" w:rsidRDefault="00446FB1" w:rsidP="00446FB1">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41A2F557" w14:textId="4CFE7B6B"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AAD204" w14:textId="5AF1C0B5" w:rsidR="00446FB1" w:rsidRDefault="00446FB1" w:rsidP="00446FB1">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B479AE6" w14:textId="0A48ACBB" w:rsidR="00446FB1" w:rsidRDefault="00446FB1" w:rsidP="00446FB1">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350E5348" w14:textId="12886D66" w:rsidR="00446FB1" w:rsidRDefault="00446FB1" w:rsidP="00446FB1">
            <w:pPr>
              <w:jc w:val="right"/>
              <w:rPr>
                <w:color w:val="000000"/>
                <w:sz w:val="20"/>
                <w:szCs w:val="20"/>
              </w:rPr>
            </w:pPr>
            <w:r>
              <w:rPr>
                <w:color w:val="000000"/>
                <w:sz w:val="20"/>
                <w:szCs w:val="20"/>
              </w:rPr>
              <w:t>0.000</w:t>
            </w:r>
          </w:p>
        </w:tc>
      </w:tr>
      <w:tr w:rsidR="00446FB1" w14:paraId="17506664" w14:textId="77777777" w:rsidTr="00774967">
        <w:trPr>
          <w:trHeight w:val="320"/>
        </w:trPr>
        <w:tc>
          <w:tcPr>
            <w:tcW w:w="1176" w:type="dxa"/>
            <w:tcBorders>
              <w:top w:val="nil"/>
              <w:left w:val="nil"/>
              <w:bottom w:val="nil"/>
              <w:right w:val="nil"/>
            </w:tcBorders>
            <w:shd w:val="clear" w:color="auto" w:fill="auto"/>
            <w:noWrap/>
            <w:vAlign w:val="bottom"/>
            <w:hideMark/>
          </w:tcPr>
          <w:p w14:paraId="197698DE"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D34973" w14:textId="77777777" w:rsidR="00446FB1" w:rsidRDefault="00446FB1" w:rsidP="00446FB1">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5B5AD16" w14:textId="332DC0E2" w:rsidR="00446FB1" w:rsidRDefault="00446FB1" w:rsidP="00446FB1">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5BE013A" w14:textId="1DD4632F" w:rsidR="00446FB1" w:rsidRDefault="00446FB1" w:rsidP="00446FB1">
            <w:pPr>
              <w:jc w:val="right"/>
              <w:rPr>
                <w:color w:val="000000"/>
                <w:sz w:val="20"/>
                <w:szCs w:val="20"/>
              </w:rPr>
            </w:pPr>
            <w:r>
              <w:rPr>
                <w:color w:val="000000"/>
                <w:sz w:val="20"/>
                <w:szCs w:val="20"/>
              </w:rPr>
              <w:t>0.856</w:t>
            </w:r>
          </w:p>
        </w:tc>
        <w:tc>
          <w:tcPr>
            <w:tcW w:w="768" w:type="dxa"/>
            <w:tcBorders>
              <w:top w:val="nil"/>
              <w:left w:val="nil"/>
              <w:bottom w:val="nil"/>
              <w:right w:val="nil"/>
            </w:tcBorders>
            <w:shd w:val="clear" w:color="auto" w:fill="auto"/>
            <w:noWrap/>
            <w:vAlign w:val="bottom"/>
            <w:hideMark/>
          </w:tcPr>
          <w:p w14:paraId="4541FEEA" w14:textId="7982440A"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DD1F9E" w14:textId="672ADA73" w:rsidR="00446FB1" w:rsidRDefault="00446FB1" w:rsidP="00446FB1">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3112A440" w14:textId="3AA9B1D0" w:rsidR="00446FB1" w:rsidRDefault="00446FB1" w:rsidP="00446FB1">
            <w:pPr>
              <w:jc w:val="right"/>
              <w:rPr>
                <w:color w:val="000000"/>
                <w:sz w:val="20"/>
                <w:szCs w:val="20"/>
              </w:rPr>
            </w:pPr>
            <w:r>
              <w:rPr>
                <w:color w:val="000000"/>
                <w:sz w:val="20"/>
                <w:szCs w:val="20"/>
              </w:rPr>
              <w:t>0.944</w:t>
            </w:r>
          </w:p>
        </w:tc>
        <w:tc>
          <w:tcPr>
            <w:tcW w:w="768" w:type="dxa"/>
            <w:tcBorders>
              <w:top w:val="nil"/>
              <w:left w:val="nil"/>
              <w:bottom w:val="nil"/>
              <w:right w:val="nil"/>
            </w:tcBorders>
            <w:shd w:val="clear" w:color="auto" w:fill="auto"/>
            <w:noWrap/>
            <w:vAlign w:val="bottom"/>
            <w:hideMark/>
          </w:tcPr>
          <w:p w14:paraId="3333F967" w14:textId="6A4239C2"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F3A933" w14:textId="0ED94AC9" w:rsidR="00446FB1" w:rsidRDefault="00446FB1" w:rsidP="00446FB1">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7DAEFFFC" w14:textId="20FFE7D3" w:rsidR="00446FB1" w:rsidRDefault="00446FB1" w:rsidP="00446FB1">
            <w:pPr>
              <w:jc w:val="right"/>
              <w:rPr>
                <w:color w:val="000000"/>
                <w:sz w:val="20"/>
                <w:szCs w:val="20"/>
              </w:rPr>
            </w:pPr>
            <w:r>
              <w:rPr>
                <w:color w:val="000000"/>
                <w:sz w:val="20"/>
                <w:szCs w:val="20"/>
              </w:rPr>
              <w:t>0.920</w:t>
            </w:r>
          </w:p>
        </w:tc>
        <w:tc>
          <w:tcPr>
            <w:tcW w:w="768" w:type="dxa"/>
            <w:tcBorders>
              <w:top w:val="nil"/>
              <w:left w:val="nil"/>
              <w:bottom w:val="nil"/>
              <w:right w:val="nil"/>
            </w:tcBorders>
            <w:shd w:val="clear" w:color="auto" w:fill="auto"/>
            <w:noWrap/>
            <w:vAlign w:val="bottom"/>
            <w:hideMark/>
          </w:tcPr>
          <w:p w14:paraId="3D9F6D7E" w14:textId="41FC3C8D"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3859DC" w14:textId="4D28C0AC" w:rsidR="00446FB1" w:rsidRDefault="00446FB1" w:rsidP="00446FB1">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14DC13A8" w14:textId="216901C1" w:rsidR="00446FB1" w:rsidRDefault="00446FB1" w:rsidP="00446FB1">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59EAD97D" w14:textId="290AA782" w:rsidR="00446FB1" w:rsidRDefault="00446FB1" w:rsidP="00446FB1">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1A678DD" w14:textId="7150E6A4" w:rsidR="00446FB1" w:rsidRDefault="00446FB1" w:rsidP="00446FB1">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A7771B5" w14:textId="53E53638" w:rsidR="00446FB1" w:rsidRDefault="00446FB1" w:rsidP="00446FB1">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2351E1CE" w14:textId="7B2824FE" w:rsidR="00446FB1" w:rsidRDefault="00446FB1" w:rsidP="00446FB1">
            <w:pPr>
              <w:jc w:val="right"/>
              <w:rPr>
                <w:color w:val="000000"/>
                <w:sz w:val="20"/>
                <w:szCs w:val="20"/>
              </w:rPr>
            </w:pPr>
            <w:r>
              <w:rPr>
                <w:color w:val="000000"/>
                <w:sz w:val="20"/>
                <w:szCs w:val="20"/>
              </w:rPr>
              <w:t>0.000</w:t>
            </w:r>
          </w:p>
        </w:tc>
      </w:tr>
      <w:tr w:rsidR="00446FB1" w14:paraId="6D5D5AD0" w14:textId="77777777" w:rsidTr="00774967">
        <w:trPr>
          <w:trHeight w:val="320"/>
        </w:trPr>
        <w:tc>
          <w:tcPr>
            <w:tcW w:w="1176" w:type="dxa"/>
            <w:tcBorders>
              <w:top w:val="nil"/>
              <w:left w:val="nil"/>
              <w:bottom w:val="single" w:sz="4" w:space="0" w:color="auto"/>
              <w:right w:val="nil"/>
            </w:tcBorders>
            <w:shd w:val="clear" w:color="auto" w:fill="auto"/>
            <w:noWrap/>
            <w:vAlign w:val="bottom"/>
            <w:hideMark/>
          </w:tcPr>
          <w:p w14:paraId="0274D9E8" w14:textId="77777777" w:rsidR="00446FB1" w:rsidRDefault="00446FB1" w:rsidP="00446FB1">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7D84902" w14:textId="77777777" w:rsidR="00446FB1" w:rsidRDefault="00446FB1" w:rsidP="00446FB1">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F75C69F" w14:textId="4169568C" w:rsidR="00446FB1" w:rsidRDefault="00446FB1" w:rsidP="00446FB1">
            <w:pPr>
              <w:jc w:val="right"/>
              <w:rPr>
                <w:color w:val="000000"/>
                <w:sz w:val="20"/>
                <w:szCs w:val="20"/>
              </w:rPr>
            </w:pPr>
            <w:r>
              <w:rPr>
                <w:color w:val="000000"/>
                <w:sz w:val="20"/>
                <w:szCs w:val="20"/>
              </w:rPr>
              <w:t>-0.074</w:t>
            </w:r>
          </w:p>
        </w:tc>
        <w:tc>
          <w:tcPr>
            <w:tcW w:w="768" w:type="dxa"/>
            <w:tcBorders>
              <w:top w:val="nil"/>
              <w:left w:val="nil"/>
              <w:bottom w:val="single" w:sz="4" w:space="0" w:color="auto"/>
              <w:right w:val="nil"/>
            </w:tcBorders>
            <w:shd w:val="clear" w:color="auto" w:fill="auto"/>
            <w:noWrap/>
            <w:vAlign w:val="bottom"/>
            <w:hideMark/>
          </w:tcPr>
          <w:p w14:paraId="045173AB" w14:textId="4807B896" w:rsidR="00446FB1" w:rsidRDefault="00446FB1" w:rsidP="00446FB1">
            <w:pPr>
              <w:jc w:val="right"/>
              <w:rPr>
                <w:color w:val="000000"/>
                <w:sz w:val="20"/>
                <w:szCs w:val="20"/>
              </w:rPr>
            </w:pPr>
            <w:r>
              <w:rPr>
                <w:color w:val="000000"/>
                <w:sz w:val="20"/>
                <w:szCs w:val="20"/>
              </w:rPr>
              <w:t>0.440</w:t>
            </w:r>
          </w:p>
        </w:tc>
        <w:tc>
          <w:tcPr>
            <w:tcW w:w="768" w:type="dxa"/>
            <w:tcBorders>
              <w:top w:val="nil"/>
              <w:left w:val="nil"/>
              <w:bottom w:val="single" w:sz="4" w:space="0" w:color="auto"/>
              <w:right w:val="nil"/>
            </w:tcBorders>
            <w:shd w:val="clear" w:color="auto" w:fill="auto"/>
            <w:noWrap/>
            <w:vAlign w:val="bottom"/>
            <w:hideMark/>
          </w:tcPr>
          <w:p w14:paraId="43CF198C" w14:textId="3C1E0F3C" w:rsidR="00446FB1" w:rsidRDefault="00446FB1" w:rsidP="00446FB1">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7B13F310" w14:textId="4418B2FE" w:rsidR="00446FB1" w:rsidRDefault="00446FB1" w:rsidP="00446FB1">
            <w:pPr>
              <w:jc w:val="right"/>
              <w:rPr>
                <w:color w:val="000000"/>
                <w:sz w:val="20"/>
                <w:szCs w:val="20"/>
              </w:rPr>
            </w:pPr>
            <w:r>
              <w:rPr>
                <w:color w:val="000000"/>
                <w:sz w:val="20"/>
                <w:szCs w:val="20"/>
              </w:rPr>
              <w:t>-0.066</w:t>
            </w:r>
          </w:p>
        </w:tc>
        <w:tc>
          <w:tcPr>
            <w:tcW w:w="768" w:type="dxa"/>
            <w:tcBorders>
              <w:top w:val="nil"/>
              <w:left w:val="nil"/>
              <w:bottom w:val="single" w:sz="4" w:space="0" w:color="auto"/>
              <w:right w:val="nil"/>
            </w:tcBorders>
            <w:shd w:val="clear" w:color="auto" w:fill="auto"/>
            <w:noWrap/>
            <w:vAlign w:val="bottom"/>
            <w:hideMark/>
          </w:tcPr>
          <w:p w14:paraId="47609989" w14:textId="0C422C66" w:rsidR="00446FB1" w:rsidRDefault="00446FB1" w:rsidP="00446FB1">
            <w:pPr>
              <w:jc w:val="right"/>
              <w:rPr>
                <w:color w:val="000000"/>
                <w:sz w:val="20"/>
                <w:szCs w:val="20"/>
              </w:rPr>
            </w:pPr>
            <w:r>
              <w:rPr>
                <w:color w:val="000000"/>
                <w:sz w:val="20"/>
                <w:szCs w:val="20"/>
              </w:rPr>
              <w:t>0.720</w:t>
            </w:r>
          </w:p>
        </w:tc>
        <w:tc>
          <w:tcPr>
            <w:tcW w:w="768" w:type="dxa"/>
            <w:tcBorders>
              <w:top w:val="nil"/>
              <w:left w:val="nil"/>
              <w:bottom w:val="single" w:sz="4" w:space="0" w:color="auto"/>
              <w:right w:val="nil"/>
            </w:tcBorders>
            <w:shd w:val="clear" w:color="auto" w:fill="auto"/>
            <w:noWrap/>
            <w:vAlign w:val="bottom"/>
            <w:hideMark/>
          </w:tcPr>
          <w:p w14:paraId="5FEEE5D3" w14:textId="6CED41FF" w:rsidR="00446FB1" w:rsidRDefault="00446FB1" w:rsidP="00446FB1">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6AF3AD4F" w14:textId="436A23CA" w:rsidR="00446FB1" w:rsidRDefault="00446FB1" w:rsidP="00446FB1">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214CB1DA" w14:textId="464148FE" w:rsidR="00446FB1" w:rsidRDefault="00446FB1" w:rsidP="00446FB1">
            <w:pPr>
              <w:jc w:val="right"/>
              <w:rPr>
                <w:color w:val="000000"/>
                <w:sz w:val="20"/>
                <w:szCs w:val="20"/>
              </w:rPr>
            </w:pPr>
            <w:r>
              <w:rPr>
                <w:color w:val="000000"/>
                <w:sz w:val="20"/>
                <w:szCs w:val="20"/>
              </w:rPr>
              <w:t>0.920</w:t>
            </w:r>
          </w:p>
        </w:tc>
        <w:tc>
          <w:tcPr>
            <w:tcW w:w="768" w:type="dxa"/>
            <w:tcBorders>
              <w:top w:val="nil"/>
              <w:left w:val="nil"/>
              <w:bottom w:val="single" w:sz="4" w:space="0" w:color="auto"/>
              <w:right w:val="nil"/>
            </w:tcBorders>
            <w:shd w:val="clear" w:color="auto" w:fill="auto"/>
            <w:noWrap/>
            <w:vAlign w:val="bottom"/>
            <w:hideMark/>
          </w:tcPr>
          <w:p w14:paraId="164FBF4E" w14:textId="1F708BCE"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C6AD547" w14:textId="6C9D9B58" w:rsidR="00446FB1" w:rsidRDefault="00446FB1" w:rsidP="00446FB1">
            <w:pPr>
              <w:jc w:val="right"/>
              <w:rPr>
                <w:color w:val="000000"/>
                <w:sz w:val="20"/>
                <w:szCs w:val="20"/>
              </w:rPr>
            </w:pPr>
            <w:r>
              <w:rPr>
                <w:color w:val="000000"/>
                <w:sz w:val="20"/>
                <w:szCs w:val="20"/>
              </w:rPr>
              <w:t>0.023</w:t>
            </w:r>
          </w:p>
        </w:tc>
        <w:tc>
          <w:tcPr>
            <w:tcW w:w="768" w:type="dxa"/>
            <w:tcBorders>
              <w:top w:val="nil"/>
              <w:left w:val="nil"/>
              <w:bottom w:val="single" w:sz="4" w:space="0" w:color="auto"/>
              <w:right w:val="nil"/>
            </w:tcBorders>
            <w:shd w:val="clear" w:color="auto" w:fill="auto"/>
            <w:noWrap/>
            <w:vAlign w:val="bottom"/>
            <w:hideMark/>
          </w:tcPr>
          <w:p w14:paraId="7984B245" w14:textId="1CF902C6" w:rsidR="00446FB1" w:rsidRDefault="00446FB1" w:rsidP="00446FB1">
            <w:pPr>
              <w:jc w:val="right"/>
              <w:rPr>
                <w:color w:val="000000"/>
                <w:sz w:val="20"/>
                <w:szCs w:val="20"/>
              </w:rPr>
            </w:pPr>
            <w:r>
              <w:rPr>
                <w:color w:val="000000"/>
                <w:sz w:val="20"/>
                <w:szCs w:val="20"/>
              </w:rPr>
              <w:t>0.932</w:t>
            </w:r>
          </w:p>
        </w:tc>
        <w:tc>
          <w:tcPr>
            <w:tcW w:w="768" w:type="dxa"/>
            <w:tcBorders>
              <w:top w:val="nil"/>
              <w:left w:val="nil"/>
              <w:bottom w:val="single" w:sz="4" w:space="0" w:color="auto"/>
              <w:right w:val="nil"/>
            </w:tcBorders>
            <w:shd w:val="clear" w:color="auto" w:fill="auto"/>
            <w:noWrap/>
            <w:vAlign w:val="bottom"/>
            <w:hideMark/>
          </w:tcPr>
          <w:p w14:paraId="72B80B15" w14:textId="59A864A8"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98E14F3" w14:textId="71349FF0" w:rsidR="00446FB1" w:rsidRDefault="00446FB1" w:rsidP="00446FB1">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7AC66C8A" w14:textId="1BC7F126" w:rsidR="00446FB1" w:rsidRDefault="00446FB1" w:rsidP="00446FB1">
            <w:pPr>
              <w:jc w:val="right"/>
              <w:rPr>
                <w:color w:val="000000"/>
                <w:sz w:val="20"/>
                <w:szCs w:val="20"/>
              </w:rPr>
            </w:pPr>
            <w:r>
              <w:rPr>
                <w:color w:val="000000"/>
                <w:sz w:val="20"/>
                <w:szCs w:val="20"/>
              </w:rPr>
              <w:t>0.908</w:t>
            </w:r>
          </w:p>
        </w:tc>
        <w:tc>
          <w:tcPr>
            <w:tcW w:w="768" w:type="dxa"/>
            <w:tcBorders>
              <w:top w:val="nil"/>
              <w:left w:val="nil"/>
              <w:bottom w:val="single" w:sz="4" w:space="0" w:color="auto"/>
              <w:right w:val="nil"/>
            </w:tcBorders>
            <w:shd w:val="clear" w:color="auto" w:fill="auto"/>
            <w:noWrap/>
            <w:vAlign w:val="bottom"/>
            <w:hideMark/>
          </w:tcPr>
          <w:p w14:paraId="293EE82A" w14:textId="69B00EAD" w:rsidR="00446FB1" w:rsidRDefault="00446FB1" w:rsidP="00446FB1">
            <w:pPr>
              <w:jc w:val="right"/>
              <w:rPr>
                <w:color w:val="000000"/>
                <w:sz w:val="20"/>
                <w:szCs w:val="20"/>
              </w:rPr>
            </w:pPr>
            <w:r>
              <w:rPr>
                <w:color w:val="000000"/>
                <w:sz w:val="20"/>
                <w:szCs w:val="20"/>
              </w:rPr>
              <w:t>0.000</w:t>
            </w:r>
          </w:p>
        </w:tc>
      </w:tr>
      <w:tr w:rsidR="00446FB1" w14:paraId="7252ADA7" w14:textId="77777777" w:rsidTr="00774967">
        <w:trPr>
          <w:trHeight w:val="320"/>
        </w:trPr>
        <w:tc>
          <w:tcPr>
            <w:tcW w:w="1176" w:type="dxa"/>
            <w:tcBorders>
              <w:top w:val="nil"/>
              <w:left w:val="nil"/>
              <w:bottom w:val="nil"/>
              <w:right w:val="nil"/>
            </w:tcBorders>
            <w:shd w:val="clear" w:color="auto" w:fill="auto"/>
            <w:noWrap/>
            <w:vAlign w:val="bottom"/>
            <w:hideMark/>
          </w:tcPr>
          <w:p w14:paraId="3171C950" w14:textId="77777777" w:rsidR="00446FB1" w:rsidRDefault="00446FB1" w:rsidP="00446FB1">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7544BD54" w14:textId="77777777" w:rsidR="00446FB1" w:rsidRDefault="00446FB1" w:rsidP="00446FB1">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920335A" w14:textId="25904B4E" w:rsidR="00446FB1" w:rsidRDefault="00446FB1" w:rsidP="00446FB1">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135EFD02" w14:textId="0D8BE9EB" w:rsidR="00446FB1" w:rsidRDefault="00446FB1" w:rsidP="00446FB1">
            <w:pPr>
              <w:jc w:val="right"/>
              <w:rPr>
                <w:color w:val="000000"/>
                <w:sz w:val="20"/>
                <w:szCs w:val="20"/>
              </w:rPr>
            </w:pPr>
            <w:r>
              <w:rPr>
                <w:color w:val="000000"/>
                <w:sz w:val="20"/>
                <w:szCs w:val="20"/>
              </w:rPr>
              <w:t>0.358</w:t>
            </w:r>
          </w:p>
        </w:tc>
        <w:tc>
          <w:tcPr>
            <w:tcW w:w="768" w:type="dxa"/>
            <w:tcBorders>
              <w:top w:val="nil"/>
              <w:left w:val="nil"/>
              <w:bottom w:val="nil"/>
              <w:right w:val="nil"/>
            </w:tcBorders>
            <w:shd w:val="clear" w:color="auto" w:fill="auto"/>
            <w:noWrap/>
            <w:vAlign w:val="bottom"/>
            <w:hideMark/>
          </w:tcPr>
          <w:p w14:paraId="3E1CEC20" w14:textId="5CC02E8C"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69B5C84" w14:textId="03C95AEF" w:rsidR="00446FB1" w:rsidRDefault="00446FB1" w:rsidP="00446FB1">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41392C70" w14:textId="77134B8C" w:rsidR="00446FB1" w:rsidRDefault="00446FB1" w:rsidP="00446FB1">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496AA186" w14:textId="2F09995B"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AC36D8B" w14:textId="0DA616E0" w:rsidR="00446FB1" w:rsidRDefault="00446FB1" w:rsidP="00446FB1">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64E3B7F" w14:textId="1BBEB415" w:rsidR="00446FB1" w:rsidRDefault="00446FB1" w:rsidP="00446FB1">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124D545A" w14:textId="2A2F2067"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A9B2AC" w14:textId="707D1E87" w:rsidR="00446FB1" w:rsidRDefault="00446FB1" w:rsidP="00446FB1">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7838503D" w14:textId="73C3F3E1" w:rsidR="00446FB1" w:rsidRDefault="00446FB1" w:rsidP="00446FB1">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36B399C" w14:textId="4418F1F4" w:rsidR="00446FB1" w:rsidRDefault="00446FB1" w:rsidP="00446FB1">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38DDC7A" w14:textId="02D81548"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50271C" w14:textId="5D0BE289" w:rsidR="00446FB1" w:rsidRDefault="00446FB1" w:rsidP="00446FB1">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21F94181" w14:textId="5C6026C6" w:rsidR="00446FB1" w:rsidRDefault="00446FB1" w:rsidP="00446FB1">
            <w:pPr>
              <w:jc w:val="right"/>
              <w:rPr>
                <w:color w:val="000000"/>
                <w:sz w:val="20"/>
                <w:szCs w:val="20"/>
              </w:rPr>
            </w:pPr>
            <w:r>
              <w:rPr>
                <w:color w:val="000000"/>
                <w:sz w:val="20"/>
                <w:szCs w:val="20"/>
              </w:rPr>
              <w:t>0.000</w:t>
            </w:r>
          </w:p>
        </w:tc>
      </w:tr>
      <w:tr w:rsidR="00446FB1" w14:paraId="1CB485A5" w14:textId="77777777" w:rsidTr="00774967">
        <w:trPr>
          <w:trHeight w:val="320"/>
        </w:trPr>
        <w:tc>
          <w:tcPr>
            <w:tcW w:w="1176" w:type="dxa"/>
            <w:tcBorders>
              <w:top w:val="nil"/>
              <w:left w:val="nil"/>
              <w:bottom w:val="nil"/>
              <w:right w:val="nil"/>
            </w:tcBorders>
            <w:shd w:val="clear" w:color="auto" w:fill="auto"/>
            <w:noWrap/>
            <w:vAlign w:val="bottom"/>
            <w:hideMark/>
          </w:tcPr>
          <w:p w14:paraId="68DCDDEC"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C3A831E" w14:textId="77777777" w:rsidR="00446FB1" w:rsidRDefault="00446FB1" w:rsidP="00446FB1">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BC514AD" w14:textId="29C65D22" w:rsidR="00446FB1" w:rsidRDefault="00446FB1" w:rsidP="00446FB1">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2B71794" w14:textId="3A01BA19" w:rsidR="00446FB1" w:rsidRDefault="00446FB1" w:rsidP="00446FB1">
            <w:pPr>
              <w:jc w:val="right"/>
              <w:rPr>
                <w:color w:val="000000"/>
                <w:sz w:val="20"/>
                <w:szCs w:val="20"/>
              </w:rPr>
            </w:pPr>
            <w:r>
              <w:rPr>
                <w:color w:val="000000"/>
                <w:sz w:val="20"/>
                <w:szCs w:val="20"/>
              </w:rPr>
              <w:t>0.587</w:t>
            </w:r>
          </w:p>
        </w:tc>
        <w:tc>
          <w:tcPr>
            <w:tcW w:w="768" w:type="dxa"/>
            <w:tcBorders>
              <w:top w:val="nil"/>
              <w:left w:val="nil"/>
              <w:bottom w:val="nil"/>
              <w:right w:val="nil"/>
            </w:tcBorders>
            <w:shd w:val="clear" w:color="auto" w:fill="auto"/>
            <w:noWrap/>
            <w:vAlign w:val="bottom"/>
            <w:hideMark/>
          </w:tcPr>
          <w:p w14:paraId="45103D71" w14:textId="7DFBB6D6"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11E622" w14:textId="323649C5" w:rsidR="00446FB1" w:rsidRDefault="00446FB1" w:rsidP="00446FB1">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18B654CF" w14:textId="3939714F" w:rsidR="00446FB1" w:rsidRDefault="00446FB1" w:rsidP="00446FB1">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25E0545B" w14:textId="4391FF5D"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10E1A7" w14:textId="06747DF9"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4AD9F27" w14:textId="3C8A2A23" w:rsidR="00446FB1" w:rsidRDefault="00446FB1" w:rsidP="00446FB1">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73BF930D" w14:textId="7DC7E204"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794B8B" w14:textId="64FBCCC2" w:rsidR="00446FB1" w:rsidRDefault="00446FB1" w:rsidP="00446FB1">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2353C3AD" w14:textId="1B425CB2" w:rsidR="00446FB1" w:rsidRDefault="00446FB1" w:rsidP="00446FB1">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5F8695D1" w14:textId="5C7AB229"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2E6830" w14:textId="420A4B67" w:rsidR="00446FB1" w:rsidRDefault="00446FB1" w:rsidP="00446FB1">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145FDD8B" w14:textId="0CC73EC2" w:rsidR="00446FB1" w:rsidRDefault="00446FB1" w:rsidP="00446FB1">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3CC2EABF" w14:textId="12A040FC" w:rsidR="00446FB1" w:rsidRDefault="00446FB1" w:rsidP="00446FB1">
            <w:pPr>
              <w:jc w:val="right"/>
              <w:rPr>
                <w:color w:val="000000"/>
                <w:sz w:val="20"/>
                <w:szCs w:val="20"/>
              </w:rPr>
            </w:pPr>
            <w:r>
              <w:rPr>
                <w:color w:val="000000"/>
                <w:sz w:val="20"/>
                <w:szCs w:val="20"/>
              </w:rPr>
              <w:t>0.006</w:t>
            </w:r>
          </w:p>
        </w:tc>
      </w:tr>
      <w:tr w:rsidR="00446FB1" w14:paraId="512C1B72" w14:textId="77777777" w:rsidTr="00774967">
        <w:trPr>
          <w:trHeight w:val="320"/>
        </w:trPr>
        <w:tc>
          <w:tcPr>
            <w:tcW w:w="1176" w:type="dxa"/>
            <w:tcBorders>
              <w:top w:val="nil"/>
              <w:left w:val="nil"/>
              <w:bottom w:val="nil"/>
              <w:right w:val="nil"/>
            </w:tcBorders>
            <w:shd w:val="clear" w:color="auto" w:fill="auto"/>
            <w:noWrap/>
            <w:vAlign w:val="bottom"/>
            <w:hideMark/>
          </w:tcPr>
          <w:p w14:paraId="5477BFC4"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1049E38" w14:textId="77777777" w:rsidR="00446FB1" w:rsidRDefault="00446FB1" w:rsidP="00446FB1">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9367FEA" w14:textId="29E2AA0F" w:rsidR="00446FB1" w:rsidRDefault="00446FB1" w:rsidP="00446FB1">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3AD62F57" w14:textId="3BF1CC82" w:rsidR="00446FB1" w:rsidRDefault="00446FB1" w:rsidP="00446FB1">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45E2F5D8" w14:textId="07609333" w:rsidR="00446FB1" w:rsidRDefault="00446FB1" w:rsidP="00446FB1">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EFE461F" w14:textId="3DC0F9AB" w:rsidR="00446FB1" w:rsidRDefault="00446FB1" w:rsidP="00446FB1">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BD4E741" w14:textId="6B0C92EE" w:rsidR="00446FB1" w:rsidRDefault="00446FB1" w:rsidP="00446FB1">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61B89A34" w14:textId="776DF2DD"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00A4D2" w14:textId="521AD78A"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DBFBD4A" w14:textId="21631A31" w:rsidR="00446FB1" w:rsidRDefault="00446FB1" w:rsidP="00446FB1">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6FCDB824" w14:textId="34308560"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1E4260" w14:textId="0718ED54" w:rsidR="00446FB1" w:rsidRDefault="00446FB1" w:rsidP="00446FB1">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DE53C1C" w14:textId="7FC0C795" w:rsidR="00446FB1" w:rsidRDefault="00446FB1" w:rsidP="00446FB1">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7E3FD2D6" w14:textId="4DB46863"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8865AF" w14:textId="5C120676" w:rsidR="00446FB1" w:rsidRDefault="00446FB1" w:rsidP="00446FB1">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8B1D3DA" w14:textId="149BBA89" w:rsidR="00446FB1" w:rsidRDefault="00446FB1" w:rsidP="00446FB1">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79190D9C" w14:textId="51CF5811" w:rsidR="00446FB1" w:rsidRDefault="00446FB1" w:rsidP="00446FB1">
            <w:pPr>
              <w:jc w:val="right"/>
              <w:rPr>
                <w:color w:val="000000"/>
                <w:sz w:val="20"/>
                <w:szCs w:val="20"/>
              </w:rPr>
            </w:pPr>
            <w:r>
              <w:rPr>
                <w:color w:val="000000"/>
                <w:sz w:val="20"/>
                <w:szCs w:val="20"/>
              </w:rPr>
              <w:t>0.000</w:t>
            </w:r>
          </w:p>
        </w:tc>
      </w:tr>
      <w:tr w:rsidR="00446FB1" w14:paraId="2DE818A7" w14:textId="77777777" w:rsidTr="00774967">
        <w:trPr>
          <w:trHeight w:val="320"/>
        </w:trPr>
        <w:tc>
          <w:tcPr>
            <w:tcW w:w="1176" w:type="dxa"/>
            <w:tcBorders>
              <w:top w:val="nil"/>
              <w:left w:val="nil"/>
              <w:bottom w:val="nil"/>
              <w:right w:val="nil"/>
            </w:tcBorders>
            <w:shd w:val="clear" w:color="auto" w:fill="auto"/>
            <w:noWrap/>
            <w:vAlign w:val="bottom"/>
            <w:hideMark/>
          </w:tcPr>
          <w:p w14:paraId="2425D555"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A75ED74" w14:textId="77777777" w:rsidR="00446FB1" w:rsidRDefault="00446FB1" w:rsidP="00446FB1">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923513B" w14:textId="310EEB4E" w:rsidR="00446FB1" w:rsidRDefault="00446FB1" w:rsidP="00446FB1">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AF03952" w14:textId="75924ACD" w:rsidR="00446FB1" w:rsidRDefault="00446FB1" w:rsidP="00446FB1">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4CD3E66A" w14:textId="7AF9B17F"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83B525C" w14:textId="2816856D" w:rsidR="00446FB1" w:rsidRDefault="00446FB1" w:rsidP="00446FB1">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16D39C2B" w14:textId="1B2461CE" w:rsidR="00446FB1" w:rsidRDefault="00446FB1" w:rsidP="00446FB1">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4F1AE421" w14:textId="0018C6F3" w:rsidR="00446FB1" w:rsidRDefault="00446FB1" w:rsidP="00446FB1">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5AE9CE7" w14:textId="603562A9" w:rsidR="00446FB1" w:rsidRDefault="00446FB1" w:rsidP="00446FB1">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6C63EBC" w14:textId="379AAFCB" w:rsidR="00446FB1" w:rsidRDefault="00446FB1" w:rsidP="00446FB1">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1E616C98" w14:textId="501962AF"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8FC2D6" w14:textId="065CB6AE" w:rsidR="00446FB1" w:rsidRDefault="00446FB1" w:rsidP="00446FB1">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18324763" w14:textId="767EF1F3" w:rsidR="00446FB1" w:rsidRDefault="00446FB1" w:rsidP="00446FB1">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5BE96AEB" w14:textId="6072D1EE"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4B79DED" w14:textId="21B9EF7C" w:rsidR="00446FB1" w:rsidRDefault="00446FB1" w:rsidP="00446FB1">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33325DCC" w14:textId="2E8913BA" w:rsidR="00446FB1" w:rsidRDefault="00446FB1" w:rsidP="00446FB1">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2E4526A3" w14:textId="6E60A9AD" w:rsidR="00446FB1" w:rsidRDefault="00446FB1" w:rsidP="00446FB1">
            <w:pPr>
              <w:jc w:val="right"/>
              <w:rPr>
                <w:color w:val="000000"/>
                <w:sz w:val="20"/>
                <w:szCs w:val="20"/>
              </w:rPr>
            </w:pPr>
            <w:r>
              <w:rPr>
                <w:color w:val="000000"/>
                <w:sz w:val="20"/>
                <w:szCs w:val="20"/>
              </w:rPr>
              <w:t>0.008</w:t>
            </w:r>
          </w:p>
        </w:tc>
      </w:tr>
      <w:tr w:rsidR="00446FB1" w14:paraId="53AD2DD6" w14:textId="77777777" w:rsidTr="00774967">
        <w:trPr>
          <w:trHeight w:val="320"/>
        </w:trPr>
        <w:tc>
          <w:tcPr>
            <w:tcW w:w="1176" w:type="dxa"/>
            <w:tcBorders>
              <w:top w:val="nil"/>
              <w:left w:val="nil"/>
              <w:bottom w:val="nil"/>
              <w:right w:val="nil"/>
            </w:tcBorders>
            <w:shd w:val="clear" w:color="auto" w:fill="auto"/>
            <w:noWrap/>
            <w:vAlign w:val="bottom"/>
            <w:hideMark/>
          </w:tcPr>
          <w:p w14:paraId="3C06858D"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13E459E" w14:textId="77777777" w:rsidR="00446FB1" w:rsidRDefault="00446FB1" w:rsidP="00446FB1">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D019E9C" w14:textId="5A756C37" w:rsidR="00446FB1" w:rsidRDefault="00446FB1" w:rsidP="00446FB1">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322E82D7" w14:textId="5D78591B" w:rsidR="00446FB1" w:rsidRDefault="00446FB1" w:rsidP="00446FB1">
            <w:pPr>
              <w:jc w:val="right"/>
              <w:rPr>
                <w:color w:val="000000"/>
                <w:sz w:val="20"/>
                <w:szCs w:val="20"/>
              </w:rPr>
            </w:pPr>
            <w:r>
              <w:rPr>
                <w:color w:val="000000"/>
                <w:sz w:val="20"/>
                <w:szCs w:val="20"/>
              </w:rPr>
              <w:t>0.358</w:t>
            </w:r>
          </w:p>
        </w:tc>
        <w:tc>
          <w:tcPr>
            <w:tcW w:w="768" w:type="dxa"/>
            <w:tcBorders>
              <w:top w:val="nil"/>
              <w:left w:val="nil"/>
              <w:bottom w:val="nil"/>
              <w:right w:val="nil"/>
            </w:tcBorders>
            <w:shd w:val="clear" w:color="auto" w:fill="auto"/>
            <w:noWrap/>
            <w:vAlign w:val="bottom"/>
            <w:hideMark/>
          </w:tcPr>
          <w:p w14:paraId="3D5E467A" w14:textId="1AD231EE" w:rsidR="00446FB1" w:rsidRDefault="00446FB1" w:rsidP="00446FB1">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4C27E06" w14:textId="782D2F2E" w:rsidR="00446FB1" w:rsidRDefault="00446FB1" w:rsidP="00446FB1">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469A5DE" w14:textId="2D6E9DC2" w:rsidR="00446FB1" w:rsidRDefault="00446FB1" w:rsidP="00446FB1">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340CE887" w14:textId="265B2CEF"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414354" w14:textId="73757835" w:rsidR="00446FB1" w:rsidRDefault="00446FB1" w:rsidP="00446FB1">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8C0E7DF" w14:textId="73C3BCBC" w:rsidR="00446FB1" w:rsidRDefault="00446FB1" w:rsidP="00446FB1">
            <w:pPr>
              <w:jc w:val="right"/>
              <w:rPr>
                <w:color w:val="000000"/>
                <w:sz w:val="20"/>
                <w:szCs w:val="20"/>
              </w:rPr>
            </w:pPr>
            <w:r>
              <w:rPr>
                <w:color w:val="000000"/>
                <w:sz w:val="20"/>
                <w:szCs w:val="20"/>
              </w:rPr>
              <w:t>0.946</w:t>
            </w:r>
          </w:p>
        </w:tc>
        <w:tc>
          <w:tcPr>
            <w:tcW w:w="768" w:type="dxa"/>
            <w:tcBorders>
              <w:top w:val="nil"/>
              <w:left w:val="nil"/>
              <w:bottom w:val="nil"/>
              <w:right w:val="nil"/>
            </w:tcBorders>
            <w:shd w:val="clear" w:color="auto" w:fill="auto"/>
            <w:noWrap/>
            <w:vAlign w:val="bottom"/>
            <w:hideMark/>
          </w:tcPr>
          <w:p w14:paraId="7B8C47AD" w14:textId="3E292E7E"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A6A6BE" w14:textId="30B01D1E" w:rsidR="00446FB1" w:rsidRDefault="00446FB1" w:rsidP="00446FB1">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7579A45" w14:textId="62F166F7" w:rsidR="00446FB1" w:rsidRDefault="00446FB1" w:rsidP="00446FB1">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06C61B57" w14:textId="66550128"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139D03" w14:textId="17DCFF69" w:rsidR="00446FB1" w:rsidRDefault="00446FB1" w:rsidP="00446FB1">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07B7614" w14:textId="520DB731" w:rsidR="00446FB1" w:rsidRDefault="00446FB1" w:rsidP="00446FB1">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1B6D85A8" w14:textId="091F048B" w:rsidR="00446FB1" w:rsidRDefault="00446FB1" w:rsidP="00446FB1">
            <w:pPr>
              <w:jc w:val="right"/>
              <w:rPr>
                <w:color w:val="000000"/>
                <w:sz w:val="20"/>
                <w:szCs w:val="20"/>
              </w:rPr>
            </w:pPr>
            <w:r>
              <w:rPr>
                <w:color w:val="000000"/>
                <w:sz w:val="20"/>
                <w:szCs w:val="20"/>
              </w:rPr>
              <w:t>0.004</w:t>
            </w:r>
          </w:p>
        </w:tc>
      </w:tr>
      <w:tr w:rsidR="00446FB1" w14:paraId="6A895C14" w14:textId="77777777" w:rsidTr="00774967">
        <w:trPr>
          <w:trHeight w:val="320"/>
        </w:trPr>
        <w:tc>
          <w:tcPr>
            <w:tcW w:w="1176" w:type="dxa"/>
            <w:tcBorders>
              <w:top w:val="nil"/>
              <w:left w:val="nil"/>
              <w:bottom w:val="nil"/>
              <w:right w:val="nil"/>
            </w:tcBorders>
            <w:shd w:val="clear" w:color="auto" w:fill="auto"/>
            <w:noWrap/>
            <w:vAlign w:val="bottom"/>
            <w:hideMark/>
          </w:tcPr>
          <w:p w14:paraId="35C44BBD"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9A5D7D" w14:textId="77777777" w:rsidR="00446FB1" w:rsidRDefault="00446FB1" w:rsidP="00446FB1">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B01575B" w14:textId="7C8747D0" w:rsidR="00446FB1" w:rsidRDefault="00446FB1" w:rsidP="00446FB1">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6D811AD1" w14:textId="28AF3E24" w:rsidR="00446FB1" w:rsidRDefault="00446FB1" w:rsidP="00446FB1">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0CEEBF30" w14:textId="35D3318D"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E294045" w14:textId="3C5D79DE"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F937ADF" w14:textId="017DD18E" w:rsidR="00446FB1" w:rsidRDefault="00446FB1" w:rsidP="00446FB1">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67DD94C0" w14:textId="00749758"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A07E7D" w14:textId="6079CCE6" w:rsidR="00446FB1" w:rsidRDefault="00446FB1" w:rsidP="00446FB1">
            <w:pPr>
              <w:jc w:val="right"/>
              <w:rPr>
                <w:color w:val="000000"/>
                <w:sz w:val="20"/>
                <w:szCs w:val="20"/>
              </w:rPr>
            </w:pPr>
            <w:r>
              <w:rPr>
                <w:color w:val="000000"/>
                <w:sz w:val="20"/>
                <w:szCs w:val="20"/>
              </w:rPr>
              <w:t>0.099</w:t>
            </w:r>
          </w:p>
        </w:tc>
        <w:tc>
          <w:tcPr>
            <w:tcW w:w="768" w:type="dxa"/>
            <w:tcBorders>
              <w:top w:val="nil"/>
              <w:left w:val="nil"/>
              <w:bottom w:val="nil"/>
              <w:right w:val="nil"/>
            </w:tcBorders>
            <w:shd w:val="clear" w:color="auto" w:fill="auto"/>
            <w:noWrap/>
            <w:vAlign w:val="bottom"/>
            <w:hideMark/>
          </w:tcPr>
          <w:p w14:paraId="3A215B1A" w14:textId="64AA2E21" w:rsidR="00446FB1" w:rsidRDefault="00446FB1" w:rsidP="00446FB1">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2CB0B82F" w14:textId="190AFDA2" w:rsidR="00446FB1" w:rsidRDefault="00446FB1" w:rsidP="00446FB1">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2969E58" w14:textId="7E8C597E"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7456372" w14:textId="1395153E" w:rsidR="00446FB1" w:rsidRDefault="00446FB1" w:rsidP="00446FB1">
            <w:pPr>
              <w:jc w:val="right"/>
              <w:rPr>
                <w:color w:val="000000"/>
                <w:sz w:val="20"/>
                <w:szCs w:val="20"/>
              </w:rPr>
            </w:pPr>
            <w:r>
              <w:rPr>
                <w:color w:val="000000"/>
                <w:sz w:val="20"/>
                <w:szCs w:val="20"/>
              </w:rPr>
              <w:t>0.957</w:t>
            </w:r>
          </w:p>
        </w:tc>
        <w:tc>
          <w:tcPr>
            <w:tcW w:w="768" w:type="dxa"/>
            <w:tcBorders>
              <w:top w:val="nil"/>
              <w:left w:val="nil"/>
              <w:bottom w:val="nil"/>
              <w:right w:val="nil"/>
            </w:tcBorders>
            <w:shd w:val="clear" w:color="auto" w:fill="auto"/>
            <w:noWrap/>
            <w:vAlign w:val="bottom"/>
            <w:hideMark/>
          </w:tcPr>
          <w:p w14:paraId="7C04DF35" w14:textId="5002038B"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F3E971" w14:textId="02EC4F49" w:rsidR="00446FB1" w:rsidRDefault="00446FB1" w:rsidP="00446FB1">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54F712F" w14:textId="28F1F9A4" w:rsidR="00446FB1" w:rsidRDefault="00446FB1" w:rsidP="00446FB1">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33B60FD0" w14:textId="124E52C0" w:rsidR="00446FB1" w:rsidRDefault="00446FB1" w:rsidP="00446FB1">
            <w:pPr>
              <w:jc w:val="right"/>
              <w:rPr>
                <w:color w:val="000000"/>
                <w:sz w:val="20"/>
                <w:szCs w:val="20"/>
              </w:rPr>
            </w:pPr>
            <w:r>
              <w:rPr>
                <w:color w:val="000000"/>
                <w:sz w:val="20"/>
                <w:szCs w:val="20"/>
              </w:rPr>
              <w:t>0.000</w:t>
            </w:r>
          </w:p>
        </w:tc>
      </w:tr>
      <w:tr w:rsidR="00446FB1" w14:paraId="41625968" w14:textId="77777777" w:rsidTr="00774967">
        <w:trPr>
          <w:trHeight w:val="320"/>
        </w:trPr>
        <w:tc>
          <w:tcPr>
            <w:tcW w:w="1176" w:type="dxa"/>
            <w:tcBorders>
              <w:top w:val="nil"/>
              <w:left w:val="nil"/>
              <w:bottom w:val="nil"/>
              <w:right w:val="nil"/>
            </w:tcBorders>
            <w:shd w:val="clear" w:color="auto" w:fill="auto"/>
            <w:noWrap/>
            <w:vAlign w:val="bottom"/>
            <w:hideMark/>
          </w:tcPr>
          <w:p w14:paraId="329E49FA"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D88C612" w14:textId="77777777" w:rsidR="00446FB1" w:rsidRDefault="00446FB1" w:rsidP="00446FB1">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323A0F8" w14:textId="04ED8E2A" w:rsidR="00446FB1" w:rsidRDefault="00446FB1" w:rsidP="00446FB1">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8E30A76" w14:textId="73E47010" w:rsidR="00446FB1" w:rsidRDefault="00446FB1" w:rsidP="00446FB1">
            <w:pPr>
              <w:jc w:val="right"/>
              <w:rPr>
                <w:color w:val="000000"/>
                <w:sz w:val="20"/>
                <w:szCs w:val="20"/>
              </w:rPr>
            </w:pPr>
            <w:r>
              <w:rPr>
                <w:color w:val="000000"/>
                <w:sz w:val="20"/>
                <w:szCs w:val="20"/>
              </w:rPr>
              <w:t>0.358</w:t>
            </w:r>
          </w:p>
        </w:tc>
        <w:tc>
          <w:tcPr>
            <w:tcW w:w="768" w:type="dxa"/>
            <w:tcBorders>
              <w:top w:val="nil"/>
              <w:left w:val="nil"/>
              <w:bottom w:val="nil"/>
              <w:right w:val="nil"/>
            </w:tcBorders>
            <w:shd w:val="clear" w:color="auto" w:fill="auto"/>
            <w:noWrap/>
            <w:vAlign w:val="bottom"/>
            <w:hideMark/>
          </w:tcPr>
          <w:p w14:paraId="09150579" w14:textId="6C17DD2B"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67FAAB3" w14:textId="31D43A67" w:rsidR="00446FB1" w:rsidRDefault="00446FB1" w:rsidP="00446FB1">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6AC43EA3" w14:textId="373197FE" w:rsidR="00446FB1" w:rsidRDefault="00446FB1" w:rsidP="00446FB1">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05A3F390" w14:textId="249D3365"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DC38558" w14:textId="7178273F" w:rsidR="00446FB1" w:rsidRDefault="00446FB1" w:rsidP="00446FB1">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50DF7D59" w14:textId="2AF6DD59" w:rsidR="00446FB1" w:rsidRDefault="00446FB1" w:rsidP="00446FB1">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8D8AD41" w14:textId="3700FB2A" w:rsidR="00446FB1" w:rsidRDefault="00446FB1" w:rsidP="00446FB1">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B7B5C00" w14:textId="77186EEE" w:rsidR="00446FB1" w:rsidRDefault="00446FB1" w:rsidP="00446FB1">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685271E" w14:textId="5357815D" w:rsidR="00446FB1" w:rsidRDefault="00446FB1" w:rsidP="00446FB1">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1D3A8FCE" w14:textId="35E3A298"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AB8682" w14:textId="792A2EEF" w:rsidR="00446FB1" w:rsidRDefault="00446FB1" w:rsidP="00446FB1">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1541DAA" w14:textId="522BF191" w:rsidR="00446FB1" w:rsidRDefault="00446FB1" w:rsidP="00446FB1">
            <w:pPr>
              <w:jc w:val="right"/>
              <w:rPr>
                <w:color w:val="000000"/>
                <w:sz w:val="20"/>
                <w:szCs w:val="20"/>
              </w:rPr>
            </w:pPr>
            <w:r>
              <w:rPr>
                <w:color w:val="000000"/>
                <w:sz w:val="20"/>
                <w:szCs w:val="20"/>
              </w:rPr>
              <w:t>0.636</w:t>
            </w:r>
          </w:p>
        </w:tc>
        <w:tc>
          <w:tcPr>
            <w:tcW w:w="768" w:type="dxa"/>
            <w:tcBorders>
              <w:top w:val="nil"/>
              <w:left w:val="nil"/>
              <w:bottom w:val="nil"/>
              <w:right w:val="nil"/>
            </w:tcBorders>
            <w:shd w:val="clear" w:color="auto" w:fill="auto"/>
            <w:noWrap/>
            <w:vAlign w:val="bottom"/>
            <w:hideMark/>
          </w:tcPr>
          <w:p w14:paraId="2302E6F0" w14:textId="5D57B3A6" w:rsidR="00446FB1" w:rsidRDefault="00446FB1" w:rsidP="00446FB1">
            <w:pPr>
              <w:jc w:val="right"/>
              <w:rPr>
                <w:color w:val="000000"/>
                <w:sz w:val="20"/>
                <w:szCs w:val="20"/>
              </w:rPr>
            </w:pPr>
            <w:r>
              <w:rPr>
                <w:color w:val="000000"/>
                <w:sz w:val="20"/>
                <w:szCs w:val="20"/>
              </w:rPr>
              <w:t>0.001</w:t>
            </w:r>
          </w:p>
        </w:tc>
      </w:tr>
      <w:tr w:rsidR="00446FB1" w14:paraId="2EF0D1C9" w14:textId="77777777" w:rsidTr="00774967">
        <w:trPr>
          <w:trHeight w:val="320"/>
        </w:trPr>
        <w:tc>
          <w:tcPr>
            <w:tcW w:w="1176" w:type="dxa"/>
            <w:tcBorders>
              <w:top w:val="nil"/>
              <w:left w:val="nil"/>
              <w:bottom w:val="single" w:sz="4" w:space="0" w:color="auto"/>
              <w:right w:val="nil"/>
            </w:tcBorders>
            <w:shd w:val="clear" w:color="auto" w:fill="auto"/>
            <w:noWrap/>
            <w:vAlign w:val="bottom"/>
            <w:hideMark/>
          </w:tcPr>
          <w:p w14:paraId="750CCAE9" w14:textId="77777777" w:rsidR="00446FB1" w:rsidRDefault="00446FB1" w:rsidP="00446FB1">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6D14E93" w14:textId="77777777" w:rsidR="00446FB1" w:rsidRDefault="00446FB1" w:rsidP="00446FB1">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6C00FAE" w14:textId="2A6217B7" w:rsidR="00446FB1" w:rsidRDefault="00446FB1" w:rsidP="00446FB1">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31265B7B" w14:textId="4ABF3F42" w:rsidR="00446FB1" w:rsidRDefault="00446FB1" w:rsidP="00446FB1">
            <w:pPr>
              <w:jc w:val="right"/>
              <w:rPr>
                <w:color w:val="000000"/>
                <w:sz w:val="20"/>
                <w:szCs w:val="20"/>
              </w:rPr>
            </w:pPr>
            <w:r>
              <w:rPr>
                <w:color w:val="000000"/>
                <w:sz w:val="20"/>
                <w:szCs w:val="20"/>
              </w:rPr>
              <w:t>0.587</w:t>
            </w:r>
          </w:p>
        </w:tc>
        <w:tc>
          <w:tcPr>
            <w:tcW w:w="768" w:type="dxa"/>
            <w:tcBorders>
              <w:top w:val="nil"/>
              <w:left w:val="nil"/>
              <w:bottom w:val="single" w:sz="4" w:space="0" w:color="auto"/>
              <w:right w:val="nil"/>
            </w:tcBorders>
            <w:shd w:val="clear" w:color="auto" w:fill="auto"/>
            <w:noWrap/>
            <w:vAlign w:val="bottom"/>
            <w:hideMark/>
          </w:tcPr>
          <w:p w14:paraId="27904C49" w14:textId="3664755F"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5CB54C0" w14:textId="24731DFD"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47F277C" w14:textId="40AB1234" w:rsidR="00446FB1" w:rsidRDefault="00446FB1" w:rsidP="00446FB1">
            <w:pPr>
              <w:jc w:val="right"/>
              <w:rPr>
                <w:color w:val="000000"/>
                <w:sz w:val="20"/>
                <w:szCs w:val="20"/>
              </w:rPr>
            </w:pPr>
            <w:r>
              <w:rPr>
                <w:color w:val="000000"/>
                <w:sz w:val="20"/>
                <w:szCs w:val="20"/>
              </w:rPr>
              <w:t>0.971</w:t>
            </w:r>
          </w:p>
        </w:tc>
        <w:tc>
          <w:tcPr>
            <w:tcW w:w="768" w:type="dxa"/>
            <w:tcBorders>
              <w:top w:val="nil"/>
              <w:left w:val="nil"/>
              <w:bottom w:val="single" w:sz="4" w:space="0" w:color="auto"/>
              <w:right w:val="nil"/>
            </w:tcBorders>
            <w:shd w:val="clear" w:color="auto" w:fill="auto"/>
            <w:noWrap/>
            <w:vAlign w:val="bottom"/>
            <w:hideMark/>
          </w:tcPr>
          <w:p w14:paraId="5D1AA2CD" w14:textId="000C2B19"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1E47BBF" w14:textId="785D8EC3" w:rsidR="00446FB1" w:rsidRDefault="00446FB1" w:rsidP="00446FB1">
            <w:pPr>
              <w:jc w:val="right"/>
              <w:rPr>
                <w:color w:val="000000"/>
                <w:sz w:val="20"/>
                <w:szCs w:val="20"/>
              </w:rPr>
            </w:pPr>
            <w:r>
              <w:rPr>
                <w:color w:val="000000"/>
                <w:sz w:val="20"/>
                <w:szCs w:val="20"/>
              </w:rPr>
              <w:t>0.049</w:t>
            </w:r>
          </w:p>
        </w:tc>
        <w:tc>
          <w:tcPr>
            <w:tcW w:w="768" w:type="dxa"/>
            <w:tcBorders>
              <w:top w:val="nil"/>
              <w:left w:val="nil"/>
              <w:bottom w:val="single" w:sz="4" w:space="0" w:color="auto"/>
              <w:right w:val="nil"/>
            </w:tcBorders>
            <w:shd w:val="clear" w:color="auto" w:fill="auto"/>
            <w:noWrap/>
            <w:vAlign w:val="bottom"/>
            <w:hideMark/>
          </w:tcPr>
          <w:p w14:paraId="156C3019" w14:textId="41767E24" w:rsidR="00446FB1" w:rsidRDefault="00446FB1" w:rsidP="00446FB1">
            <w:pPr>
              <w:jc w:val="right"/>
              <w:rPr>
                <w:color w:val="000000"/>
                <w:sz w:val="20"/>
                <w:szCs w:val="20"/>
              </w:rPr>
            </w:pPr>
            <w:r>
              <w:rPr>
                <w:color w:val="000000"/>
                <w:sz w:val="20"/>
                <w:szCs w:val="20"/>
              </w:rPr>
              <w:t>0.459</w:t>
            </w:r>
          </w:p>
        </w:tc>
        <w:tc>
          <w:tcPr>
            <w:tcW w:w="768" w:type="dxa"/>
            <w:tcBorders>
              <w:top w:val="nil"/>
              <w:left w:val="nil"/>
              <w:bottom w:val="single" w:sz="4" w:space="0" w:color="auto"/>
              <w:right w:val="nil"/>
            </w:tcBorders>
            <w:shd w:val="clear" w:color="auto" w:fill="auto"/>
            <w:noWrap/>
            <w:vAlign w:val="bottom"/>
            <w:hideMark/>
          </w:tcPr>
          <w:p w14:paraId="727DDD29" w14:textId="0AB44A4B"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19A62EE" w14:textId="3B0C3976" w:rsidR="00446FB1" w:rsidRDefault="00446FB1" w:rsidP="00446FB1">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7AD23A2C" w14:textId="68594C33" w:rsidR="00446FB1" w:rsidRDefault="00446FB1" w:rsidP="00446FB1">
            <w:pPr>
              <w:jc w:val="right"/>
              <w:rPr>
                <w:color w:val="000000"/>
                <w:sz w:val="20"/>
                <w:szCs w:val="20"/>
              </w:rPr>
            </w:pPr>
            <w:r>
              <w:rPr>
                <w:color w:val="000000"/>
                <w:sz w:val="20"/>
                <w:szCs w:val="20"/>
              </w:rPr>
              <w:t>0.872</w:t>
            </w:r>
          </w:p>
        </w:tc>
        <w:tc>
          <w:tcPr>
            <w:tcW w:w="768" w:type="dxa"/>
            <w:tcBorders>
              <w:top w:val="nil"/>
              <w:left w:val="nil"/>
              <w:bottom w:val="single" w:sz="4" w:space="0" w:color="auto"/>
              <w:right w:val="nil"/>
            </w:tcBorders>
            <w:shd w:val="clear" w:color="auto" w:fill="auto"/>
            <w:noWrap/>
            <w:vAlign w:val="bottom"/>
            <w:hideMark/>
          </w:tcPr>
          <w:p w14:paraId="6E0E9188" w14:textId="0C764E71"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FF20FCF" w14:textId="307DC148" w:rsidR="00446FB1" w:rsidRDefault="00446FB1" w:rsidP="00446FB1">
            <w:pPr>
              <w:jc w:val="right"/>
              <w:rPr>
                <w:color w:val="000000"/>
                <w:sz w:val="20"/>
                <w:szCs w:val="20"/>
              </w:rPr>
            </w:pPr>
            <w:r>
              <w:rPr>
                <w:color w:val="000000"/>
                <w:sz w:val="20"/>
                <w:szCs w:val="20"/>
              </w:rPr>
              <w:t>0.023</w:t>
            </w:r>
          </w:p>
        </w:tc>
        <w:tc>
          <w:tcPr>
            <w:tcW w:w="768" w:type="dxa"/>
            <w:tcBorders>
              <w:top w:val="nil"/>
              <w:left w:val="nil"/>
              <w:bottom w:val="single" w:sz="4" w:space="0" w:color="auto"/>
              <w:right w:val="nil"/>
            </w:tcBorders>
            <w:shd w:val="clear" w:color="auto" w:fill="auto"/>
            <w:noWrap/>
            <w:vAlign w:val="bottom"/>
            <w:hideMark/>
          </w:tcPr>
          <w:p w14:paraId="44554659" w14:textId="5BA565CB" w:rsidR="00446FB1" w:rsidRDefault="00446FB1" w:rsidP="00446FB1">
            <w:pPr>
              <w:jc w:val="right"/>
              <w:rPr>
                <w:color w:val="000000"/>
                <w:sz w:val="20"/>
                <w:szCs w:val="20"/>
              </w:rPr>
            </w:pPr>
            <w:r>
              <w:rPr>
                <w:color w:val="000000"/>
                <w:sz w:val="20"/>
                <w:szCs w:val="20"/>
              </w:rPr>
              <w:t>0.888</w:t>
            </w:r>
          </w:p>
        </w:tc>
        <w:tc>
          <w:tcPr>
            <w:tcW w:w="768" w:type="dxa"/>
            <w:tcBorders>
              <w:top w:val="nil"/>
              <w:left w:val="nil"/>
              <w:bottom w:val="single" w:sz="4" w:space="0" w:color="auto"/>
              <w:right w:val="nil"/>
            </w:tcBorders>
            <w:shd w:val="clear" w:color="auto" w:fill="auto"/>
            <w:noWrap/>
            <w:vAlign w:val="bottom"/>
            <w:hideMark/>
          </w:tcPr>
          <w:p w14:paraId="1678AF7B" w14:textId="5449CA59" w:rsidR="00446FB1" w:rsidRDefault="00446FB1" w:rsidP="00446FB1">
            <w:pPr>
              <w:jc w:val="right"/>
              <w:rPr>
                <w:color w:val="000000"/>
                <w:sz w:val="20"/>
                <w:szCs w:val="20"/>
              </w:rPr>
            </w:pPr>
            <w:r>
              <w:rPr>
                <w:color w:val="000000"/>
                <w:sz w:val="20"/>
                <w:szCs w:val="20"/>
              </w:rPr>
              <w:t>0.001</w:t>
            </w:r>
          </w:p>
        </w:tc>
      </w:tr>
      <w:tr w:rsidR="00446FB1" w14:paraId="3E6F0674" w14:textId="77777777" w:rsidTr="00774967">
        <w:trPr>
          <w:trHeight w:val="320"/>
        </w:trPr>
        <w:tc>
          <w:tcPr>
            <w:tcW w:w="1176" w:type="dxa"/>
            <w:tcBorders>
              <w:top w:val="nil"/>
              <w:left w:val="nil"/>
              <w:bottom w:val="nil"/>
              <w:right w:val="nil"/>
            </w:tcBorders>
            <w:shd w:val="clear" w:color="auto" w:fill="auto"/>
            <w:noWrap/>
            <w:vAlign w:val="bottom"/>
            <w:hideMark/>
          </w:tcPr>
          <w:p w14:paraId="67ACC629" w14:textId="77777777" w:rsidR="00446FB1" w:rsidRDefault="00446FB1" w:rsidP="00446FB1">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A3B114C" w14:textId="77777777" w:rsidR="00446FB1" w:rsidRDefault="00446FB1" w:rsidP="00446FB1">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7137ADB" w14:textId="38044E69" w:rsidR="00446FB1" w:rsidRDefault="00446FB1" w:rsidP="00446FB1">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15D1321" w14:textId="0DF4B0DC" w:rsidR="00446FB1" w:rsidRDefault="00446FB1" w:rsidP="00446FB1">
            <w:pPr>
              <w:jc w:val="right"/>
              <w:rPr>
                <w:color w:val="000000"/>
                <w:sz w:val="20"/>
                <w:szCs w:val="20"/>
              </w:rPr>
            </w:pPr>
            <w:r>
              <w:rPr>
                <w:color w:val="000000"/>
                <w:sz w:val="20"/>
                <w:szCs w:val="20"/>
              </w:rPr>
              <w:t>0.548</w:t>
            </w:r>
          </w:p>
        </w:tc>
        <w:tc>
          <w:tcPr>
            <w:tcW w:w="768" w:type="dxa"/>
            <w:tcBorders>
              <w:top w:val="nil"/>
              <w:left w:val="nil"/>
              <w:bottom w:val="nil"/>
              <w:right w:val="nil"/>
            </w:tcBorders>
            <w:shd w:val="clear" w:color="auto" w:fill="auto"/>
            <w:noWrap/>
            <w:vAlign w:val="bottom"/>
            <w:hideMark/>
          </w:tcPr>
          <w:p w14:paraId="2AB39E4C" w14:textId="2E42DCCC"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7CCA41F" w14:textId="3A74089C" w:rsidR="00446FB1" w:rsidRDefault="00446FB1" w:rsidP="00446FB1">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10C1234A" w14:textId="60467D7B" w:rsidR="00446FB1" w:rsidRDefault="00446FB1" w:rsidP="00446FB1">
            <w:pPr>
              <w:jc w:val="right"/>
              <w:rPr>
                <w:color w:val="000000"/>
                <w:sz w:val="20"/>
                <w:szCs w:val="20"/>
              </w:rPr>
            </w:pPr>
            <w:r>
              <w:rPr>
                <w:color w:val="000000"/>
                <w:sz w:val="20"/>
                <w:szCs w:val="20"/>
              </w:rPr>
              <w:t>0.304</w:t>
            </w:r>
          </w:p>
        </w:tc>
        <w:tc>
          <w:tcPr>
            <w:tcW w:w="768" w:type="dxa"/>
            <w:tcBorders>
              <w:top w:val="nil"/>
              <w:left w:val="nil"/>
              <w:bottom w:val="nil"/>
              <w:right w:val="nil"/>
            </w:tcBorders>
            <w:shd w:val="clear" w:color="auto" w:fill="auto"/>
            <w:noWrap/>
            <w:vAlign w:val="bottom"/>
            <w:hideMark/>
          </w:tcPr>
          <w:p w14:paraId="5C73822E" w14:textId="03E278E6"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65616AC" w14:textId="4578FEDE" w:rsidR="00446FB1" w:rsidRDefault="00446FB1" w:rsidP="00446FB1">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FB096E8" w14:textId="35A8D7C6" w:rsidR="00446FB1" w:rsidRDefault="00446FB1" w:rsidP="00446FB1">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749A14A0" w14:textId="765C68A3"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162FDD" w14:textId="455B9A11" w:rsidR="00446FB1" w:rsidRDefault="00446FB1" w:rsidP="00446FB1">
            <w:pPr>
              <w:jc w:val="right"/>
              <w:rPr>
                <w:b/>
                <w:bCs/>
                <w:color w:val="000000"/>
                <w:sz w:val="20"/>
                <w:szCs w:val="20"/>
              </w:rPr>
            </w:pPr>
            <w:r>
              <w:rPr>
                <w:b/>
                <w:bCs/>
                <w:color w:val="000000"/>
                <w:sz w:val="20"/>
                <w:szCs w:val="20"/>
              </w:rPr>
              <w:t>0.069</w:t>
            </w:r>
          </w:p>
        </w:tc>
        <w:tc>
          <w:tcPr>
            <w:tcW w:w="768" w:type="dxa"/>
            <w:tcBorders>
              <w:top w:val="nil"/>
              <w:left w:val="nil"/>
              <w:bottom w:val="nil"/>
              <w:right w:val="nil"/>
            </w:tcBorders>
            <w:shd w:val="clear" w:color="auto" w:fill="auto"/>
            <w:noWrap/>
            <w:vAlign w:val="bottom"/>
            <w:hideMark/>
          </w:tcPr>
          <w:p w14:paraId="2C37274C" w14:textId="33B80B04" w:rsidR="00446FB1" w:rsidRDefault="00446FB1" w:rsidP="00446FB1">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5AEB6BAB" w14:textId="1C08F750" w:rsidR="00446FB1" w:rsidRDefault="00446FB1" w:rsidP="00446FB1">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148E6FE4" w14:textId="08F46F6B" w:rsidR="00446FB1" w:rsidRDefault="00446FB1" w:rsidP="00446FB1">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37673F77" w14:textId="087E6D6E" w:rsidR="00446FB1" w:rsidRDefault="00446FB1" w:rsidP="00446FB1">
            <w:pPr>
              <w:jc w:val="right"/>
              <w:rPr>
                <w:color w:val="000000"/>
                <w:sz w:val="20"/>
                <w:szCs w:val="20"/>
              </w:rPr>
            </w:pPr>
            <w:r>
              <w:rPr>
                <w:color w:val="000000"/>
                <w:sz w:val="20"/>
                <w:szCs w:val="20"/>
              </w:rPr>
              <w:t>0.578</w:t>
            </w:r>
          </w:p>
        </w:tc>
        <w:tc>
          <w:tcPr>
            <w:tcW w:w="768" w:type="dxa"/>
            <w:tcBorders>
              <w:top w:val="nil"/>
              <w:left w:val="nil"/>
              <w:bottom w:val="nil"/>
              <w:right w:val="nil"/>
            </w:tcBorders>
            <w:shd w:val="clear" w:color="auto" w:fill="auto"/>
            <w:noWrap/>
            <w:vAlign w:val="bottom"/>
            <w:hideMark/>
          </w:tcPr>
          <w:p w14:paraId="0EFA9692" w14:textId="1CC1F5A2" w:rsidR="00446FB1" w:rsidRDefault="00446FB1" w:rsidP="00446FB1">
            <w:pPr>
              <w:jc w:val="right"/>
              <w:rPr>
                <w:color w:val="000000"/>
                <w:sz w:val="20"/>
                <w:szCs w:val="20"/>
              </w:rPr>
            </w:pPr>
            <w:r>
              <w:rPr>
                <w:color w:val="000000"/>
                <w:sz w:val="20"/>
                <w:szCs w:val="20"/>
              </w:rPr>
              <w:t>0.000</w:t>
            </w:r>
          </w:p>
        </w:tc>
      </w:tr>
      <w:tr w:rsidR="00446FB1" w14:paraId="759E8FE2" w14:textId="77777777" w:rsidTr="00774967">
        <w:trPr>
          <w:trHeight w:val="320"/>
        </w:trPr>
        <w:tc>
          <w:tcPr>
            <w:tcW w:w="1176" w:type="dxa"/>
            <w:tcBorders>
              <w:top w:val="nil"/>
              <w:left w:val="nil"/>
              <w:bottom w:val="nil"/>
              <w:right w:val="nil"/>
            </w:tcBorders>
            <w:shd w:val="clear" w:color="auto" w:fill="auto"/>
            <w:noWrap/>
            <w:vAlign w:val="bottom"/>
            <w:hideMark/>
          </w:tcPr>
          <w:p w14:paraId="44575872"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5E8F21E" w14:textId="77777777" w:rsidR="00446FB1" w:rsidRDefault="00446FB1" w:rsidP="00446FB1">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49D4789" w14:textId="05C8D773" w:rsidR="00446FB1" w:rsidRDefault="00446FB1" w:rsidP="00446FB1">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10CE160F" w14:textId="220723D6" w:rsidR="00446FB1" w:rsidRDefault="00446FB1" w:rsidP="00446FB1">
            <w:pPr>
              <w:jc w:val="right"/>
              <w:rPr>
                <w:color w:val="000000"/>
                <w:sz w:val="20"/>
                <w:szCs w:val="20"/>
              </w:rPr>
            </w:pPr>
            <w:r>
              <w:rPr>
                <w:color w:val="000000"/>
                <w:sz w:val="20"/>
                <w:szCs w:val="20"/>
              </w:rPr>
              <w:t>0.548</w:t>
            </w:r>
          </w:p>
        </w:tc>
        <w:tc>
          <w:tcPr>
            <w:tcW w:w="768" w:type="dxa"/>
            <w:tcBorders>
              <w:top w:val="nil"/>
              <w:left w:val="nil"/>
              <w:bottom w:val="nil"/>
              <w:right w:val="nil"/>
            </w:tcBorders>
            <w:shd w:val="clear" w:color="auto" w:fill="auto"/>
            <w:noWrap/>
            <w:vAlign w:val="bottom"/>
            <w:hideMark/>
          </w:tcPr>
          <w:p w14:paraId="4D30F545" w14:textId="3DB9CBF5"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A3E3E44" w14:textId="6ECC5D73" w:rsidR="00446FB1" w:rsidRDefault="00446FB1" w:rsidP="00446FB1">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0E7AD9D" w14:textId="2FCF53D1" w:rsidR="00446FB1" w:rsidRDefault="00446FB1" w:rsidP="00446FB1">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02FC43FE" w14:textId="0E5C69C0"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C926BD" w14:textId="7A26F21B" w:rsidR="00446FB1" w:rsidRDefault="00446FB1" w:rsidP="00446FB1">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19DFF4BC" w14:textId="305B7638" w:rsidR="00446FB1" w:rsidRDefault="00446FB1" w:rsidP="00446FB1">
            <w:pPr>
              <w:jc w:val="right"/>
              <w:rPr>
                <w:color w:val="000000"/>
                <w:sz w:val="20"/>
                <w:szCs w:val="20"/>
              </w:rPr>
            </w:pPr>
            <w:r>
              <w:rPr>
                <w:color w:val="000000"/>
                <w:sz w:val="20"/>
                <w:szCs w:val="20"/>
              </w:rPr>
              <w:t>0.695</w:t>
            </w:r>
          </w:p>
        </w:tc>
        <w:tc>
          <w:tcPr>
            <w:tcW w:w="768" w:type="dxa"/>
            <w:tcBorders>
              <w:top w:val="nil"/>
              <w:left w:val="nil"/>
              <w:bottom w:val="nil"/>
              <w:right w:val="nil"/>
            </w:tcBorders>
            <w:shd w:val="clear" w:color="auto" w:fill="auto"/>
            <w:noWrap/>
            <w:vAlign w:val="bottom"/>
            <w:hideMark/>
          </w:tcPr>
          <w:p w14:paraId="3FBC9322" w14:textId="1E71C554"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655A17" w14:textId="192D43B6" w:rsidR="00446FB1" w:rsidRDefault="00446FB1" w:rsidP="00446FB1">
            <w:pPr>
              <w:jc w:val="right"/>
              <w:rPr>
                <w:b/>
                <w:bCs/>
                <w:color w:val="000000"/>
                <w:sz w:val="20"/>
                <w:szCs w:val="20"/>
              </w:rPr>
            </w:pPr>
            <w:r>
              <w:rPr>
                <w:b/>
                <w:bCs/>
                <w:color w:val="000000"/>
                <w:sz w:val="20"/>
                <w:szCs w:val="20"/>
              </w:rPr>
              <w:t>-0.068</w:t>
            </w:r>
          </w:p>
        </w:tc>
        <w:tc>
          <w:tcPr>
            <w:tcW w:w="768" w:type="dxa"/>
            <w:tcBorders>
              <w:top w:val="nil"/>
              <w:left w:val="nil"/>
              <w:bottom w:val="nil"/>
              <w:right w:val="nil"/>
            </w:tcBorders>
            <w:shd w:val="clear" w:color="auto" w:fill="auto"/>
            <w:noWrap/>
            <w:vAlign w:val="bottom"/>
            <w:hideMark/>
          </w:tcPr>
          <w:p w14:paraId="0B3DFCED" w14:textId="1329CE32" w:rsidR="00446FB1" w:rsidRDefault="00446FB1" w:rsidP="00446FB1">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641CB808" w14:textId="0DEE9621" w:rsidR="00446FB1" w:rsidRDefault="00446FB1" w:rsidP="00446FB1">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3CCD03FE" w14:textId="0FC0CAC4" w:rsidR="00446FB1" w:rsidRDefault="00446FB1" w:rsidP="00446FB1">
            <w:pPr>
              <w:jc w:val="right"/>
              <w:rPr>
                <w:b/>
                <w:bCs/>
                <w:color w:val="000000"/>
                <w:sz w:val="20"/>
                <w:szCs w:val="20"/>
              </w:rPr>
            </w:pPr>
            <w:r>
              <w:rPr>
                <w:b/>
                <w:bCs/>
                <w:color w:val="000000"/>
                <w:sz w:val="20"/>
                <w:szCs w:val="20"/>
              </w:rPr>
              <w:t>0.090</w:t>
            </w:r>
          </w:p>
        </w:tc>
        <w:tc>
          <w:tcPr>
            <w:tcW w:w="768" w:type="dxa"/>
            <w:tcBorders>
              <w:top w:val="nil"/>
              <w:left w:val="nil"/>
              <w:bottom w:val="nil"/>
              <w:right w:val="nil"/>
            </w:tcBorders>
            <w:shd w:val="clear" w:color="auto" w:fill="auto"/>
            <w:noWrap/>
            <w:vAlign w:val="bottom"/>
            <w:hideMark/>
          </w:tcPr>
          <w:p w14:paraId="201EEF22" w14:textId="222042F0" w:rsidR="00446FB1" w:rsidRDefault="00446FB1" w:rsidP="00446FB1">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5DC8A63E" w14:textId="0F62DC54" w:rsidR="00446FB1" w:rsidRDefault="00446FB1" w:rsidP="00446FB1">
            <w:pPr>
              <w:jc w:val="right"/>
              <w:rPr>
                <w:color w:val="000000"/>
                <w:sz w:val="20"/>
                <w:szCs w:val="20"/>
              </w:rPr>
            </w:pPr>
            <w:r>
              <w:rPr>
                <w:color w:val="000000"/>
                <w:sz w:val="20"/>
                <w:szCs w:val="20"/>
              </w:rPr>
              <w:t>0.008</w:t>
            </w:r>
          </w:p>
        </w:tc>
      </w:tr>
      <w:tr w:rsidR="00446FB1" w14:paraId="6C54F1E0" w14:textId="77777777" w:rsidTr="00774967">
        <w:trPr>
          <w:trHeight w:val="320"/>
        </w:trPr>
        <w:tc>
          <w:tcPr>
            <w:tcW w:w="1176" w:type="dxa"/>
            <w:tcBorders>
              <w:top w:val="nil"/>
              <w:left w:val="nil"/>
              <w:bottom w:val="nil"/>
              <w:right w:val="nil"/>
            </w:tcBorders>
            <w:shd w:val="clear" w:color="auto" w:fill="auto"/>
            <w:noWrap/>
            <w:vAlign w:val="bottom"/>
            <w:hideMark/>
          </w:tcPr>
          <w:p w14:paraId="5F02B880"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66CF9D2" w14:textId="77777777" w:rsidR="00446FB1" w:rsidRDefault="00446FB1" w:rsidP="00446FB1">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DB88F4F" w14:textId="6B9EC7C9" w:rsidR="00446FB1" w:rsidRDefault="00446FB1" w:rsidP="00446FB1">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C5E8F02" w14:textId="0EA78438" w:rsidR="00446FB1" w:rsidRDefault="00446FB1" w:rsidP="00446FB1">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62A11A3D" w14:textId="4050C566"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78802F" w14:textId="3A21AE77" w:rsidR="00446FB1" w:rsidRDefault="00446FB1" w:rsidP="00446FB1">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7EDA65BC" w14:textId="5395DD8F" w:rsidR="00446FB1" w:rsidRDefault="00446FB1" w:rsidP="00446FB1">
            <w:pPr>
              <w:jc w:val="right"/>
              <w:rPr>
                <w:color w:val="000000"/>
                <w:sz w:val="20"/>
                <w:szCs w:val="20"/>
              </w:rPr>
            </w:pPr>
            <w:r>
              <w:rPr>
                <w:color w:val="000000"/>
                <w:sz w:val="20"/>
                <w:szCs w:val="20"/>
              </w:rPr>
              <w:t>0.363</w:t>
            </w:r>
          </w:p>
        </w:tc>
        <w:tc>
          <w:tcPr>
            <w:tcW w:w="768" w:type="dxa"/>
            <w:tcBorders>
              <w:top w:val="nil"/>
              <w:left w:val="nil"/>
              <w:bottom w:val="nil"/>
              <w:right w:val="nil"/>
            </w:tcBorders>
            <w:shd w:val="clear" w:color="auto" w:fill="auto"/>
            <w:noWrap/>
            <w:vAlign w:val="bottom"/>
            <w:hideMark/>
          </w:tcPr>
          <w:p w14:paraId="1B7DD542" w14:textId="37E205B0"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56B1779" w14:textId="4599B3DC" w:rsidR="00446FB1" w:rsidRDefault="00446FB1" w:rsidP="00446FB1">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8705646" w14:textId="7364859D" w:rsidR="00446FB1" w:rsidRDefault="00446FB1" w:rsidP="00446FB1">
            <w:pPr>
              <w:jc w:val="right"/>
              <w:rPr>
                <w:color w:val="000000"/>
                <w:sz w:val="20"/>
                <w:szCs w:val="20"/>
              </w:rPr>
            </w:pPr>
            <w:r>
              <w:rPr>
                <w:color w:val="000000"/>
                <w:sz w:val="20"/>
                <w:szCs w:val="20"/>
              </w:rPr>
              <w:t>0.695</w:t>
            </w:r>
          </w:p>
        </w:tc>
        <w:tc>
          <w:tcPr>
            <w:tcW w:w="768" w:type="dxa"/>
            <w:tcBorders>
              <w:top w:val="nil"/>
              <w:left w:val="nil"/>
              <w:bottom w:val="nil"/>
              <w:right w:val="nil"/>
            </w:tcBorders>
            <w:shd w:val="clear" w:color="auto" w:fill="auto"/>
            <w:noWrap/>
            <w:vAlign w:val="bottom"/>
            <w:hideMark/>
          </w:tcPr>
          <w:p w14:paraId="48AA82B0" w14:textId="6C044A9D"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6469CF" w14:textId="1381D99E" w:rsidR="00446FB1" w:rsidRDefault="00446FB1" w:rsidP="00446FB1">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73C1C2A" w14:textId="735D5D94" w:rsidR="00446FB1" w:rsidRDefault="00446FB1" w:rsidP="00446FB1">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18115BAA" w14:textId="126AF331"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F64B84" w14:textId="24ABD098" w:rsidR="00446FB1" w:rsidRDefault="00446FB1" w:rsidP="00446FB1">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FBC0116" w14:textId="1243564F" w:rsidR="00446FB1" w:rsidRDefault="00446FB1" w:rsidP="00446FB1">
            <w:pPr>
              <w:jc w:val="right"/>
              <w:rPr>
                <w:color w:val="000000"/>
                <w:sz w:val="20"/>
                <w:szCs w:val="20"/>
              </w:rPr>
            </w:pPr>
            <w:r>
              <w:rPr>
                <w:color w:val="000000"/>
                <w:sz w:val="20"/>
                <w:szCs w:val="20"/>
              </w:rPr>
              <w:t>0.730</w:t>
            </w:r>
          </w:p>
        </w:tc>
        <w:tc>
          <w:tcPr>
            <w:tcW w:w="768" w:type="dxa"/>
            <w:tcBorders>
              <w:top w:val="nil"/>
              <w:left w:val="nil"/>
              <w:bottom w:val="nil"/>
              <w:right w:val="nil"/>
            </w:tcBorders>
            <w:shd w:val="clear" w:color="auto" w:fill="auto"/>
            <w:noWrap/>
            <w:vAlign w:val="bottom"/>
            <w:hideMark/>
          </w:tcPr>
          <w:p w14:paraId="2A8285D4" w14:textId="4F4932D9" w:rsidR="00446FB1" w:rsidRDefault="00446FB1" w:rsidP="00446FB1">
            <w:pPr>
              <w:jc w:val="right"/>
              <w:rPr>
                <w:color w:val="000000"/>
                <w:sz w:val="20"/>
                <w:szCs w:val="20"/>
              </w:rPr>
            </w:pPr>
            <w:r>
              <w:rPr>
                <w:color w:val="000000"/>
                <w:sz w:val="20"/>
                <w:szCs w:val="20"/>
              </w:rPr>
              <w:t>0.000</w:t>
            </w:r>
          </w:p>
        </w:tc>
      </w:tr>
      <w:tr w:rsidR="00446FB1" w14:paraId="04A7B1F3" w14:textId="77777777" w:rsidTr="00774967">
        <w:trPr>
          <w:trHeight w:val="320"/>
        </w:trPr>
        <w:tc>
          <w:tcPr>
            <w:tcW w:w="1176" w:type="dxa"/>
            <w:tcBorders>
              <w:top w:val="nil"/>
              <w:left w:val="nil"/>
              <w:bottom w:val="nil"/>
              <w:right w:val="nil"/>
            </w:tcBorders>
            <w:shd w:val="clear" w:color="auto" w:fill="auto"/>
            <w:noWrap/>
            <w:vAlign w:val="bottom"/>
            <w:hideMark/>
          </w:tcPr>
          <w:p w14:paraId="11D012BE"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6BB9F1" w14:textId="77777777" w:rsidR="00446FB1" w:rsidRDefault="00446FB1" w:rsidP="00446FB1">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DC9583A" w14:textId="4D31D497" w:rsidR="00446FB1" w:rsidRDefault="00446FB1" w:rsidP="00446FB1">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04A5E58" w14:textId="4C90C6EC" w:rsidR="00446FB1" w:rsidRDefault="00446FB1" w:rsidP="00446FB1">
            <w:pPr>
              <w:jc w:val="right"/>
              <w:rPr>
                <w:color w:val="000000"/>
                <w:sz w:val="20"/>
                <w:szCs w:val="20"/>
              </w:rPr>
            </w:pPr>
            <w:r>
              <w:rPr>
                <w:color w:val="000000"/>
                <w:sz w:val="20"/>
                <w:szCs w:val="20"/>
              </w:rPr>
              <w:t>0.597</w:t>
            </w:r>
          </w:p>
        </w:tc>
        <w:tc>
          <w:tcPr>
            <w:tcW w:w="768" w:type="dxa"/>
            <w:tcBorders>
              <w:top w:val="nil"/>
              <w:left w:val="nil"/>
              <w:bottom w:val="nil"/>
              <w:right w:val="nil"/>
            </w:tcBorders>
            <w:shd w:val="clear" w:color="auto" w:fill="auto"/>
            <w:noWrap/>
            <w:vAlign w:val="bottom"/>
            <w:hideMark/>
          </w:tcPr>
          <w:p w14:paraId="5012356D" w14:textId="5E738105"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98802B" w14:textId="246BBDAB" w:rsidR="00446FB1" w:rsidRDefault="00446FB1" w:rsidP="00446FB1">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2679EF34" w14:textId="4FB2FD8B" w:rsidR="00446FB1" w:rsidRDefault="00446FB1" w:rsidP="00446FB1">
            <w:pPr>
              <w:jc w:val="right"/>
              <w:rPr>
                <w:color w:val="000000"/>
                <w:sz w:val="20"/>
                <w:szCs w:val="20"/>
              </w:rPr>
            </w:pPr>
            <w:r>
              <w:rPr>
                <w:color w:val="000000"/>
                <w:sz w:val="20"/>
                <w:szCs w:val="20"/>
              </w:rPr>
              <w:t>0.192</w:t>
            </w:r>
          </w:p>
        </w:tc>
        <w:tc>
          <w:tcPr>
            <w:tcW w:w="768" w:type="dxa"/>
            <w:tcBorders>
              <w:top w:val="nil"/>
              <w:left w:val="nil"/>
              <w:bottom w:val="nil"/>
              <w:right w:val="nil"/>
            </w:tcBorders>
            <w:shd w:val="clear" w:color="auto" w:fill="auto"/>
            <w:noWrap/>
            <w:vAlign w:val="bottom"/>
            <w:hideMark/>
          </w:tcPr>
          <w:p w14:paraId="2EDA61DA" w14:textId="74F0E814" w:rsidR="00446FB1" w:rsidRDefault="00446FB1" w:rsidP="00446FB1">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AE8B85F" w14:textId="13A6DECF" w:rsidR="00446FB1" w:rsidRDefault="00446FB1" w:rsidP="00446FB1">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1CF5D5A0" w14:textId="3C5F20B2" w:rsidR="00446FB1" w:rsidRDefault="00446FB1" w:rsidP="00446FB1">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1E112F0C" w14:textId="59060525"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446A39F" w14:textId="3F5D0C40" w:rsidR="00446FB1" w:rsidRDefault="00446FB1" w:rsidP="00446FB1">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4FFD071" w14:textId="2B3B704C" w:rsidR="00446FB1" w:rsidRDefault="00446FB1" w:rsidP="00446FB1">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14EC7C69" w14:textId="6F4F66B5"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F6D7746" w14:textId="066F1685" w:rsidR="00446FB1" w:rsidRDefault="00446FB1" w:rsidP="00446FB1">
            <w:pPr>
              <w:jc w:val="right"/>
              <w:rPr>
                <w:b/>
                <w:bCs/>
                <w:color w:val="000000"/>
                <w:sz w:val="20"/>
                <w:szCs w:val="20"/>
              </w:rPr>
            </w:pPr>
            <w:r>
              <w:rPr>
                <w:b/>
                <w:bCs/>
                <w:color w:val="000000"/>
                <w:sz w:val="20"/>
                <w:szCs w:val="20"/>
              </w:rPr>
              <w:t>-0.089</w:t>
            </w:r>
          </w:p>
        </w:tc>
        <w:tc>
          <w:tcPr>
            <w:tcW w:w="768" w:type="dxa"/>
            <w:tcBorders>
              <w:top w:val="nil"/>
              <w:left w:val="nil"/>
              <w:bottom w:val="nil"/>
              <w:right w:val="nil"/>
            </w:tcBorders>
            <w:shd w:val="clear" w:color="auto" w:fill="auto"/>
            <w:noWrap/>
            <w:vAlign w:val="bottom"/>
            <w:hideMark/>
          </w:tcPr>
          <w:p w14:paraId="35859BEF" w14:textId="485F208C" w:rsidR="00446FB1" w:rsidRDefault="00446FB1" w:rsidP="00446FB1">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61BC020E" w14:textId="69C9823B" w:rsidR="00446FB1" w:rsidRDefault="00446FB1" w:rsidP="00446FB1">
            <w:pPr>
              <w:jc w:val="right"/>
              <w:rPr>
                <w:color w:val="000000"/>
                <w:sz w:val="20"/>
                <w:szCs w:val="20"/>
              </w:rPr>
            </w:pPr>
            <w:r>
              <w:rPr>
                <w:color w:val="000000"/>
                <w:sz w:val="20"/>
                <w:szCs w:val="20"/>
              </w:rPr>
              <w:t>0.008</w:t>
            </w:r>
          </w:p>
        </w:tc>
      </w:tr>
      <w:tr w:rsidR="00446FB1" w14:paraId="2CC03E98" w14:textId="77777777" w:rsidTr="00774967">
        <w:trPr>
          <w:trHeight w:val="320"/>
        </w:trPr>
        <w:tc>
          <w:tcPr>
            <w:tcW w:w="1176" w:type="dxa"/>
            <w:tcBorders>
              <w:top w:val="nil"/>
              <w:left w:val="nil"/>
              <w:bottom w:val="nil"/>
              <w:right w:val="nil"/>
            </w:tcBorders>
            <w:shd w:val="clear" w:color="auto" w:fill="auto"/>
            <w:noWrap/>
            <w:vAlign w:val="bottom"/>
            <w:hideMark/>
          </w:tcPr>
          <w:p w14:paraId="3062691B"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A6702A1" w14:textId="77777777" w:rsidR="00446FB1" w:rsidRDefault="00446FB1" w:rsidP="00446FB1">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CDCC1D0" w14:textId="7FFC053B" w:rsidR="00446FB1" w:rsidRDefault="00446FB1" w:rsidP="00446FB1">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6C0434E8" w14:textId="77D443DB" w:rsidR="00446FB1" w:rsidRDefault="00446FB1" w:rsidP="00446FB1">
            <w:pPr>
              <w:jc w:val="right"/>
              <w:rPr>
                <w:color w:val="000000"/>
                <w:sz w:val="20"/>
                <w:szCs w:val="20"/>
              </w:rPr>
            </w:pPr>
            <w:r>
              <w:rPr>
                <w:color w:val="000000"/>
                <w:sz w:val="20"/>
                <w:szCs w:val="20"/>
              </w:rPr>
              <w:t>0.548</w:t>
            </w:r>
          </w:p>
        </w:tc>
        <w:tc>
          <w:tcPr>
            <w:tcW w:w="768" w:type="dxa"/>
            <w:tcBorders>
              <w:top w:val="nil"/>
              <w:left w:val="nil"/>
              <w:bottom w:val="nil"/>
              <w:right w:val="nil"/>
            </w:tcBorders>
            <w:shd w:val="clear" w:color="auto" w:fill="auto"/>
            <w:noWrap/>
            <w:vAlign w:val="bottom"/>
            <w:hideMark/>
          </w:tcPr>
          <w:p w14:paraId="786E9B4B" w14:textId="0D9BE49F"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648858E" w14:textId="48554B5B"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38756C" w14:textId="198D63BD" w:rsidR="00446FB1" w:rsidRDefault="00446FB1" w:rsidP="00446FB1">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7BFD8C18" w14:textId="621EB50B"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F46915" w14:textId="5BA58E42" w:rsidR="00446FB1" w:rsidRDefault="00446FB1" w:rsidP="00446FB1">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637027EA" w14:textId="7820731D" w:rsidR="00446FB1" w:rsidRDefault="00446FB1" w:rsidP="00446FB1">
            <w:pPr>
              <w:jc w:val="right"/>
              <w:rPr>
                <w:color w:val="000000"/>
                <w:sz w:val="20"/>
                <w:szCs w:val="20"/>
              </w:rPr>
            </w:pPr>
            <w:r>
              <w:rPr>
                <w:color w:val="000000"/>
                <w:sz w:val="20"/>
                <w:szCs w:val="20"/>
              </w:rPr>
              <w:t>0.642</w:t>
            </w:r>
          </w:p>
        </w:tc>
        <w:tc>
          <w:tcPr>
            <w:tcW w:w="768" w:type="dxa"/>
            <w:tcBorders>
              <w:top w:val="nil"/>
              <w:left w:val="nil"/>
              <w:bottom w:val="nil"/>
              <w:right w:val="nil"/>
            </w:tcBorders>
            <w:shd w:val="clear" w:color="auto" w:fill="auto"/>
            <w:noWrap/>
            <w:vAlign w:val="bottom"/>
            <w:hideMark/>
          </w:tcPr>
          <w:p w14:paraId="60B81B51" w14:textId="165D6D9E"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FCCE11" w14:textId="3B58E273" w:rsidR="00446FB1" w:rsidRDefault="00446FB1" w:rsidP="00446FB1">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A7A1B46" w14:textId="421B6ED6" w:rsidR="00446FB1" w:rsidRDefault="00446FB1" w:rsidP="00446FB1">
            <w:pPr>
              <w:jc w:val="right"/>
              <w:rPr>
                <w:color w:val="000000"/>
                <w:sz w:val="20"/>
                <w:szCs w:val="20"/>
              </w:rPr>
            </w:pPr>
            <w:r>
              <w:rPr>
                <w:color w:val="000000"/>
                <w:sz w:val="20"/>
                <w:szCs w:val="20"/>
              </w:rPr>
              <w:t>0.791</w:t>
            </w:r>
          </w:p>
        </w:tc>
        <w:tc>
          <w:tcPr>
            <w:tcW w:w="768" w:type="dxa"/>
            <w:tcBorders>
              <w:top w:val="nil"/>
              <w:left w:val="nil"/>
              <w:bottom w:val="nil"/>
              <w:right w:val="nil"/>
            </w:tcBorders>
            <w:shd w:val="clear" w:color="auto" w:fill="auto"/>
            <w:noWrap/>
            <w:vAlign w:val="bottom"/>
            <w:hideMark/>
          </w:tcPr>
          <w:p w14:paraId="29750FA4" w14:textId="60D36EC1"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E5DDCC" w14:textId="5EC49AF0" w:rsidR="00446FB1" w:rsidRDefault="00446FB1" w:rsidP="00446FB1">
            <w:pPr>
              <w:jc w:val="right"/>
              <w:rPr>
                <w:b/>
                <w:bCs/>
                <w:color w:val="000000"/>
                <w:sz w:val="20"/>
                <w:szCs w:val="20"/>
              </w:rPr>
            </w:pPr>
            <w:r>
              <w:rPr>
                <w:b/>
                <w:bCs/>
                <w:color w:val="000000"/>
                <w:sz w:val="20"/>
                <w:szCs w:val="20"/>
              </w:rPr>
              <w:t>0.088</w:t>
            </w:r>
          </w:p>
        </w:tc>
        <w:tc>
          <w:tcPr>
            <w:tcW w:w="768" w:type="dxa"/>
            <w:tcBorders>
              <w:top w:val="nil"/>
              <w:left w:val="nil"/>
              <w:bottom w:val="nil"/>
              <w:right w:val="nil"/>
            </w:tcBorders>
            <w:shd w:val="clear" w:color="auto" w:fill="auto"/>
            <w:noWrap/>
            <w:vAlign w:val="bottom"/>
            <w:hideMark/>
          </w:tcPr>
          <w:p w14:paraId="2F7A9F12" w14:textId="3131BA72" w:rsidR="00446FB1" w:rsidRDefault="00446FB1" w:rsidP="00446FB1">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0E3545B7" w14:textId="01605CB7" w:rsidR="00446FB1" w:rsidRDefault="00446FB1" w:rsidP="00446FB1">
            <w:pPr>
              <w:jc w:val="right"/>
              <w:rPr>
                <w:color w:val="000000"/>
                <w:sz w:val="20"/>
                <w:szCs w:val="20"/>
              </w:rPr>
            </w:pPr>
            <w:r>
              <w:rPr>
                <w:color w:val="000000"/>
                <w:sz w:val="20"/>
                <w:szCs w:val="20"/>
              </w:rPr>
              <w:t>0.008</w:t>
            </w:r>
          </w:p>
        </w:tc>
      </w:tr>
      <w:tr w:rsidR="00446FB1" w14:paraId="43227B9C" w14:textId="77777777" w:rsidTr="00774967">
        <w:trPr>
          <w:trHeight w:val="320"/>
        </w:trPr>
        <w:tc>
          <w:tcPr>
            <w:tcW w:w="1176" w:type="dxa"/>
            <w:tcBorders>
              <w:top w:val="nil"/>
              <w:left w:val="nil"/>
              <w:bottom w:val="nil"/>
              <w:right w:val="nil"/>
            </w:tcBorders>
            <w:shd w:val="clear" w:color="auto" w:fill="auto"/>
            <w:noWrap/>
            <w:vAlign w:val="bottom"/>
            <w:hideMark/>
          </w:tcPr>
          <w:p w14:paraId="662E2123"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2BA2657" w14:textId="77777777" w:rsidR="00446FB1" w:rsidRDefault="00446FB1" w:rsidP="00446FB1">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A5D9D4B" w14:textId="47D3C01F" w:rsidR="00446FB1" w:rsidRDefault="00446FB1" w:rsidP="00446FB1">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4467F6E0" w14:textId="00EBF548" w:rsidR="00446FB1" w:rsidRDefault="00446FB1" w:rsidP="00446FB1">
            <w:pPr>
              <w:jc w:val="right"/>
              <w:rPr>
                <w:color w:val="000000"/>
                <w:sz w:val="20"/>
                <w:szCs w:val="20"/>
              </w:rPr>
            </w:pPr>
            <w:r>
              <w:rPr>
                <w:color w:val="000000"/>
                <w:sz w:val="20"/>
                <w:szCs w:val="20"/>
              </w:rPr>
              <w:t>0.308</w:t>
            </w:r>
          </w:p>
        </w:tc>
        <w:tc>
          <w:tcPr>
            <w:tcW w:w="768" w:type="dxa"/>
            <w:tcBorders>
              <w:top w:val="nil"/>
              <w:left w:val="nil"/>
              <w:bottom w:val="nil"/>
              <w:right w:val="nil"/>
            </w:tcBorders>
            <w:shd w:val="clear" w:color="auto" w:fill="auto"/>
            <w:noWrap/>
            <w:vAlign w:val="bottom"/>
            <w:hideMark/>
          </w:tcPr>
          <w:p w14:paraId="6376C4CB" w14:textId="24C4FC88" w:rsidR="00446FB1" w:rsidRDefault="00446FB1" w:rsidP="00446FB1">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E687C48" w14:textId="311741CF" w:rsidR="00446FB1" w:rsidRDefault="00446FB1" w:rsidP="00446FB1">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974BC82" w14:textId="2ED0C5EA" w:rsidR="00446FB1" w:rsidRDefault="00446FB1" w:rsidP="00446FB1">
            <w:pPr>
              <w:jc w:val="right"/>
              <w:rPr>
                <w:color w:val="000000"/>
                <w:sz w:val="20"/>
                <w:szCs w:val="20"/>
              </w:rPr>
            </w:pPr>
            <w:r>
              <w:rPr>
                <w:color w:val="000000"/>
                <w:sz w:val="20"/>
                <w:szCs w:val="20"/>
              </w:rPr>
              <w:t>0.864</w:t>
            </w:r>
          </w:p>
        </w:tc>
        <w:tc>
          <w:tcPr>
            <w:tcW w:w="768" w:type="dxa"/>
            <w:tcBorders>
              <w:top w:val="nil"/>
              <w:left w:val="nil"/>
              <w:bottom w:val="nil"/>
              <w:right w:val="nil"/>
            </w:tcBorders>
            <w:shd w:val="clear" w:color="auto" w:fill="auto"/>
            <w:noWrap/>
            <w:vAlign w:val="bottom"/>
            <w:hideMark/>
          </w:tcPr>
          <w:p w14:paraId="3E70A5B6" w14:textId="750F1820"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9212D5" w14:textId="073811B8" w:rsidR="00446FB1" w:rsidRDefault="00446FB1" w:rsidP="00446FB1">
            <w:pPr>
              <w:jc w:val="right"/>
              <w:rPr>
                <w:b/>
                <w:bCs/>
                <w:color w:val="000000"/>
                <w:sz w:val="20"/>
                <w:szCs w:val="20"/>
              </w:rPr>
            </w:pPr>
            <w:r>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38E93571" w14:textId="31E1C043" w:rsidR="00446FB1" w:rsidRDefault="00446FB1" w:rsidP="00446FB1">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65B41581" w14:textId="6E2ADFA5" w:rsidR="00446FB1" w:rsidRDefault="00446FB1" w:rsidP="00446FB1">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8A9E475" w14:textId="19196155" w:rsidR="00446FB1" w:rsidRDefault="00446FB1" w:rsidP="00446FB1">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8AE3A3D" w14:textId="0A994CB3" w:rsidR="00446FB1" w:rsidRDefault="00446FB1" w:rsidP="00446FB1">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0EFD18EB" w14:textId="0A9BF7BF"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EB1B249" w14:textId="5C5AFDE8" w:rsidR="00446FB1" w:rsidRDefault="00446FB1" w:rsidP="00446FB1">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21155DD" w14:textId="024A6813" w:rsidR="00446FB1" w:rsidRDefault="00446FB1" w:rsidP="00446FB1">
            <w:pPr>
              <w:jc w:val="right"/>
              <w:rPr>
                <w:color w:val="000000"/>
                <w:sz w:val="20"/>
                <w:szCs w:val="20"/>
              </w:rPr>
            </w:pPr>
            <w:r>
              <w:rPr>
                <w:color w:val="000000"/>
                <w:sz w:val="20"/>
                <w:szCs w:val="20"/>
              </w:rPr>
              <w:t>0.508</w:t>
            </w:r>
          </w:p>
        </w:tc>
        <w:tc>
          <w:tcPr>
            <w:tcW w:w="768" w:type="dxa"/>
            <w:tcBorders>
              <w:top w:val="nil"/>
              <w:left w:val="nil"/>
              <w:bottom w:val="nil"/>
              <w:right w:val="nil"/>
            </w:tcBorders>
            <w:shd w:val="clear" w:color="auto" w:fill="auto"/>
            <w:noWrap/>
            <w:vAlign w:val="bottom"/>
            <w:hideMark/>
          </w:tcPr>
          <w:p w14:paraId="0E17D3BC" w14:textId="0EE2BFC4" w:rsidR="00446FB1" w:rsidRDefault="00446FB1" w:rsidP="00446FB1">
            <w:pPr>
              <w:jc w:val="right"/>
              <w:rPr>
                <w:color w:val="000000"/>
                <w:sz w:val="20"/>
                <w:szCs w:val="20"/>
              </w:rPr>
            </w:pPr>
            <w:r>
              <w:rPr>
                <w:color w:val="000000"/>
                <w:sz w:val="20"/>
                <w:szCs w:val="20"/>
              </w:rPr>
              <w:t>0.001</w:t>
            </w:r>
          </w:p>
        </w:tc>
      </w:tr>
      <w:tr w:rsidR="00446FB1" w14:paraId="0C2F2452" w14:textId="77777777" w:rsidTr="00774967">
        <w:trPr>
          <w:trHeight w:val="320"/>
        </w:trPr>
        <w:tc>
          <w:tcPr>
            <w:tcW w:w="1176" w:type="dxa"/>
            <w:tcBorders>
              <w:top w:val="nil"/>
              <w:left w:val="nil"/>
              <w:bottom w:val="nil"/>
              <w:right w:val="nil"/>
            </w:tcBorders>
            <w:shd w:val="clear" w:color="auto" w:fill="auto"/>
            <w:noWrap/>
            <w:vAlign w:val="bottom"/>
            <w:hideMark/>
          </w:tcPr>
          <w:p w14:paraId="1CECDEE0"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2EEAA0" w14:textId="77777777" w:rsidR="00446FB1" w:rsidRDefault="00446FB1" w:rsidP="00446FB1">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0EBDF42" w14:textId="4F6E6E29" w:rsidR="00446FB1" w:rsidRDefault="00446FB1" w:rsidP="00446FB1">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43E0A65E" w14:textId="38E46B06" w:rsidR="00446FB1" w:rsidRDefault="00446FB1" w:rsidP="00446FB1">
            <w:pPr>
              <w:jc w:val="right"/>
              <w:rPr>
                <w:color w:val="000000"/>
                <w:sz w:val="20"/>
                <w:szCs w:val="20"/>
              </w:rPr>
            </w:pPr>
            <w:r>
              <w:rPr>
                <w:color w:val="000000"/>
                <w:sz w:val="20"/>
                <w:szCs w:val="20"/>
              </w:rPr>
              <w:t>0.308</w:t>
            </w:r>
          </w:p>
        </w:tc>
        <w:tc>
          <w:tcPr>
            <w:tcW w:w="768" w:type="dxa"/>
            <w:tcBorders>
              <w:top w:val="nil"/>
              <w:left w:val="nil"/>
              <w:bottom w:val="nil"/>
              <w:right w:val="nil"/>
            </w:tcBorders>
            <w:shd w:val="clear" w:color="auto" w:fill="auto"/>
            <w:noWrap/>
            <w:vAlign w:val="bottom"/>
            <w:hideMark/>
          </w:tcPr>
          <w:p w14:paraId="1C5B3141" w14:textId="1A0EF515"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17D3A91" w14:textId="15FE4B9B" w:rsidR="00446FB1" w:rsidRDefault="00446FB1" w:rsidP="00446FB1">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6C3CB01A" w14:textId="4214FC36" w:rsidR="00446FB1" w:rsidRDefault="00446FB1" w:rsidP="00446FB1">
            <w:pPr>
              <w:jc w:val="right"/>
              <w:rPr>
                <w:color w:val="000000"/>
                <w:sz w:val="20"/>
                <w:szCs w:val="20"/>
              </w:rPr>
            </w:pPr>
            <w:r>
              <w:rPr>
                <w:color w:val="000000"/>
                <w:sz w:val="20"/>
                <w:szCs w:val="20"/>
              </w:rPr>
              <w:t>0.782</w:t>
            </w:r>
          </w:p>
        </w:tc>
        <w:tc>
          <w:tcPr>
            <w:tcW w:w="768" w:type="dxa"/>
            <w:tcBorders>
              <w:top w:val="nil"/>
              <w:left w:val="nil"/>
              <w:bottom w:val="nil"/>
              <w:right w:val="nil"/>
            </w:tcBorders>
            <w:shd w:val="clear" w:color="auto" w:fill="auto"/>
            <w:noWrap/>
            <w:vAlign w:val="bottom"/>
            <w:hideMark/>
          </w:tcPr>
          <w:p w14:paraId="6F3CD725" w14:textId="71538B31"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169078" w14:textId="51B2AA63" w:rsidR="00446FB1" w:rsidRDefault="00446FB1" w:rsidP="00446FB1">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58B0FFF8" w14:textId="75E63C02" w:rsidR="00446FB1" w:rsidRDefault="00446FB1" w:rsidP="00446FB1">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1958A5A9" w14:textId="39528924"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8D812B1" w14:textId="4D25497C" w:rsidR="00446FB1" w:rsidRDefault="00446FB1" w:rsidP="00446FB1">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4520963" w14:textId="2F1F0864" w:rsidR="00446FB1" w:rsidRDefault="00446FB1" w:rsidP="00446FB1">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2A3EE2D3" w14:textId="72651564"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90738C" w14:textId="3661B54C" w:rsidR="00446FB1" w:rsidRDefault="00446FB1" w:rsidP="00446FB1">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45AD92DB" w14:textId="6BF377B7" w:rsidR="00446FB1" w:rsidRDefault="00446FB1" w:rsidP="00446FB1">
            <w:pPr>
              <w:jc w:val="right"/>
              <w:rPr>
                <w:color w:val="000000"/>
                <w:sz w:val="20"/>
                <w:szCs w:val="20"/>
              </w:rPr>
            </w:pPr>
            <w:r>
              <w:rPr>
                <w:color w:val="000000"/>
                <w:sz w:val="20"/>
                <w:szCs w:val="20"/>
              </w:rPr>
              <w:t>0.508</w:t>
            </w:r>
          </w:p>
        </w:tc>
        <w:tc>
          <w:tcPr>
            <w:tcW w:w="768" w:type="dxa"/>
            <w:tcBorders>
              <w:top w:val="nil"/>
              <w:left w:val="nil"/>
              <w:bottom w:val="nil"/>
              <w:right w:val="nil"/>
            </w:tcBorders>
            <w:shd w:val="clear" w:color="auto" w:fill="auto"/>
            <w:noWrap/>
            <w:vAlign w:val="bottom"/>
            <w:hideMark/>
          </w:tcPr>
          <w:p w14:paraId="2EE7C2F6" w14:textId="4032B528" w:rsidR="00446FB1" w:rsidRDefault="00446FB1" w:rsidP="00446FB1">
            <w:pPr>
              <w:jc w:val="right"/>
              <w:rPr>
                <w:color w:val="000000"/>
                <w:sz w:val="20"/>
                <w:szCs w:val="20"/>
              </w:rPr>
            </w:pPr>
            <w:r>
              <w:rPr>
                <w:color w:val="000000"/>
                <w:sz w:val="20"/>
                <w:szCs w:val="20"/>
              </w:rPr>
              <w:t>0.001</w:t>
            </w:r>
          </w:p>
        </w:tc>
      </w:tr>
      <w:tr w:rsidR="00446FB1" w14:paraId="559433D5" w14:textId="77777777" w:rsidTr="00774967">
        <w:trPr>
          <w:trHeight w:val="320"/>
        </w:trPr>
        <w:tc>
          <w:tcPr>
            <w:tcW w:w="1176" w:type="dxa"/>
            <w:tcBorders>
              <w:top w:val="nil"/>
              <w:left w:val="nil"/>
              <w:bottom w:val="single" w:sz="4" w:space="0" w:color="auto"/>
              <w:right w:val="nil"/>
            </w:tcBorders>
            <w:shd w:val="clear" w:color="auto" w:fill="auto"/>
            <w:noWrap/>
            <w:vAlign w:val="bottom"/>
            <w:hideMark/>
          </w:tcPr>
          <w:p w14:paraId="0791262C" w14:textId="77777777" w:rsidR="00446FB1" w:rsidRDefault="00446FB1" w:rsidP="00446FB1">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6722B4B" w14:textId="77777777" w:rsidR="00446FB1" w:rsidRDefault="00446FB1" w:rsidP="00446FB1">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4F3B6C2" w14:textId="1D86396E" w:rsidR="00446FB1" w:rsidRDefault="00446FB1" w:rsidP="00446FB1">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54B71A80" w14:textId="19DB4F53" w:rsidR="00446FB1" w:rsidRDefault="00446FB1" w:rsidP="00446FB1">
            <w:pPr>
              <w:jc w:val="right"/>
              <w:rPr>
                <w:color w:val="000000"/>
                <w:sz w:val="20"/>
                <w:szCs w:val="20"/>
              </w:rPr>
            </w:pPr>
            <w:r>
              <w:rPr>
                <w:color w:val="000000"/>
                <w:sz w:val="20"/>
                <w:szCs w:val="20"/>
              </w:rPr>
              <w:t>0.548</w:t>
            </w:r>
          </w:p>
        </w:tc>
        <w:tc>
          <w:tcPr>
            <w:tcW w:w="768" w:type="dxa"/>
            <w:tcBorders>
              <w:top w:val="nil"/>
              <w:left w:val="nil"/>
              <w:bottom w:val="single" w:sz="4" w:space="0" w:color="auto"/>
              <w:right w:val="nil"/>
            </w:tcBorders>
            <w:shd w:val="clear" w:color="auto" w:fill="auto"/>
            <w:noWrap/>
            <w:vAlign w:val="bottom"/>
            <w:hideMark/>
          </w:tcPr>
          <w:p w14:paraId="0F807B2B" w14:textId="572D6273"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F01CBDB" w14:textId="01A16A3E" w:rsidR="00446FB1" w:rsidRDefault="00446FB1" w:rsidP="00446FB1">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12F662FC" w14:textId="3E2CAF23" w:rsidR="00446FB1" w:rsidRDefault="00446FB1" w:rsidP="00446FB1">
            <w:pPr>
              <w:jc w:val="right"/>
              <w:rPr>
                <w:color w:val="000000"/>
                <w:sz w:val="20"/>
                <w:szCs w:val="20"/>
              </w:rPr>
            </w:pPr>
            <w:r>
              <w:rPr>
                <w:color w:val="000000"/>
                <w:sz w:val="20"/>
                <w:szCs w:val="20"/>
              </w:rPr>
              <w:t>0.913</w:t>
            </w:r>
          </w:p>
        </w:tc>
        <w:tc>
          <w:tcPr>
            <w:tcW w:w="768" w:type="dxa"/>
            <w:tcBorders>
              <w:top w:val="nil"/>
              <w:left w:val="nil"/>
              <w:bottom w:val="single" w:sz="4" w:space="0" w:color="auto"/>
              <w:right w:val="nil"/>
            </w:tcBorders>
            <w:shd w:val="clear" w:color="auto" w:fill="auto"/>
            <w:noWrap/>
            <w:vAlign w:val="bottom"/>
            <w:hideMark/>
          </w:tcPr>
          <w:p w14:paraId="11400988" w14:textId="7D63E130"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0BA71C8" w14:textId="7EE56B5C" w:rsidR="00446FB1" w:rsidRDefault="00446FB1" w:rsidP="00446FB1">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6BABFB84" w14:textId="41EA757F" w:rsidR="00446FB1" w:rsidRDefault="00446FB1" w:rsidP="00446FB1">
            <w:pPr>
              <w:jc w:val="right"/>
              <w:rPr>
                <w:color w:val="000000"/>
                <w:sz w:val="20"/>
                <w:szCs w:val="20"/>
              </w:rPr>
            </w:pPr>
            <w:r>
              <w:rPr>
                <w:color w:val="000000"/>
                <w:sz w:val="20"/>
                <w:szCs w:val="20"/>
              </w:rPr>
              <w:t>0.642</w:t>
            </w:r>
          </w:p>
        </w:tc>
        <w:tc>
          <w:tcPr>
            <w:tcW w:w="768" w:type="dxa"/>
            <w:tcBorders>
              <w:top w:val="nil"/>
              <w:left w:val="nil"/>
              <w:bottom w:val="single" w:sz="4" w:space="0" w:color="auto"/>
              <w:right w:val="nil"/>
            </w:tcBorders>
            <w:shd w:val="clear" w:color="auto" w:fill="auto"/>
            <w:noWrap/>
            <w:vAlign w:val="bottom"/>
            <w:hideMark/>
          </w:tcPr>
          <w:p w14:paraId="3FDCEC71" w14:textId="56367BE5"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9677DB3" w14:textId="2D1674D3" w:rsidR="00446FB1" w:rsidRDefault="00446FB1" w:rsidP="00446FB1">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324DFCEB" w14:textId="1A1499AF" w:rsidR="00446FB1" w:rsidRDefault="00446FB1" w:rsidP="00446FB1">
            <w:pPr>
              <w:jc w:val="right"/>
              <w:rPr>
                <w:color w:val="000000"/>
                <w:sz w:val="20"/>
                <w:szCs w:val="20"/>
              </w:rPr>
            </w:pPr>
            <w:r>
              <w:rPr>
                <w:color w:val="000000"/>
                <w:sz w:val="20"/>
                <w:szCs w:val="20"/>
              </w:rPr>
              <w:t>0.739</w:t>
            </w:r>
          </w:p>
        </w:tc>
        <w:tc>
          <w:tcPr>
            <w:tcW w:w="768" w:type="dxa"/>
            <w:tcBorders>
              <w:top w:val="nil"/>
              <w:left w:val="nil"/>
              <w:bottom w:val="single" w:sz="4" w:space="0" w:color="auto"/>
              <w:right w:val="nil"/>
            </w:tcBorders>
            <w:shd w:val="clear" w:color="auto" w:fill="auto"/>
            <w:noWrap/>
            <w:vAlign w:val="bottom"/>
            <w:hideMark/>
          </w:tcPr>
          <w:p w14:paraId="74EC8262" w14:textId="1805E16E"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052E097" w14:textId="5BFF1B46" w:rsidR="00446FB1" w:rsidRDefault="00446FB1" w:rsidP="00446FB1">
            <w:pPr>
              <w:jc w:val="right"/>
              <w:rPr>
                <w:color w:val="000000"/>
                <w:sz w:val="20"/>
                <w:szCs w:val="20"/>
              </w:rPr>
            </w:pPr>
            <w:r>
              <w:rPr>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767EC569" w14:textId="211E7216" w:rsidR="00446FB1" w:rsidRDefault="00446FB1" w:rsidP="00446FB1">
            <w:pPr>
              <w:jc w:val="right"/>
              <w:rPr>
                <w:color w:val="000000"/>
                <w:sz w:val="20"/>
                <w:szCs w:val="20"/>
              </w:rPr>
            </w:pPr>
            <w:r>
              <w:rPr>
                <w:color w:val="000000"/>
                <w:sz w:val="20"/>
                <w:szCs w:val="20"/>
              </w:rPr>
              <w:t>0.508</w:t>
            </w:r>
          </w:p>
        </w:tc>
        <w:tc>
          <w:tcPr>
            <w:tcW w:w="768" w:type="dxa"/>
            <w:tcBorders>
              <w:top w:val="nil"/>
              <w:left w:val="nil"/>
              <w:bottom w:val="single" w:sz="4" w:space="0" w:color="auto"/>
              <w:right w:val="nil"/>
            </w:tcBorders>
            <w:shd w:val="clear" w:color="auto" w:fill="auto"/>
            <w:noWrap/>
            <w:vAlign w:val="bottom"/>
            <w:hideMark/>
          </w:tcPr>
          <w:p w14:paraId="78685510" w14:textId="598C2A3F" w:rsidR="00446FB1" w:rsidRDefault="00446FB1" w:rsidP="00446FB1">
            <w:pPr>
              <w:jc w:val="right"/>
              <w:rPr>
                <w:color w:val="000000"/>
                <w:sz w:val="20"/>
                <w:szCs w:val="20"/>
              </w:rPr>
            </w:pPr>
            <w:r>
              <w:rPr>
                <w:color w:val="000000"/>
                <w:sz w:val="20"/>
                <w:szCs w:val="20"/>
              </w:rPr>
              <w:t>0.001</w:t>
            </w:r>
          </w:p>
        </w:tc>
      </w:tr>
      <w:tr w:rsidR="00446FB1" w14:paraId="5DC53EC5" w14:textId="77777777" w:rsidTr="00774967">
        <w:trPr>
          <w:trHeight w:val="320"/>
        </w:trPr>
        <w:tc>
          <w:tcPr>
            <w:tcW w:w="1176" w:type="dxa"/>
            <w:tcBorders>
              <w:top w:val="nil"/>
              <w:left w:val="nil"/>
              <w:bottom w:val="nil"/>
              <w:right w:val="nil"/>
            </w:tcBorders>
            <w:shd w:val="clear" w:color="auto" w:fill="auto"/>
            <w:noWrap/>
            <w:vAlign w:val="bottom"/>
            <w:hideMark/>
          </w:tcPr>
          <w:p w14:paraId="3195574F" w14:textId="77777777" w:rsidR="00446FB1" w:rsidRDefault="00446FB1" w:rsidP="00446FB1">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49433EE0" w14:textId="77777777" w:rsidR="00446FB1" w:rsidRDefault="00446FB1" w:rsidP="00446FB1">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3CFF4A9" w14:textId="632F7783" w:rsidR="00446FB1" w:rsidRDefault="00446FB1" w:rsidP="00446FB1">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4BE9D6B4" w14:textId="01BAAD0B" w:rsidR="00446FB1" w:rsidRDefault="00446FB1" w:rsidP="00446FB1">
            <w:pPr>
              <w:jc w:val="right"/>
              <w:rPr>
                <w:color w:val="000000"/>
                <w:sz w:val="20"/>
                <w:szCs w:val="20"/>
              </w:rPr>
            </w:pPr>
            <w:r>
              <w:rPr>
                <w:color w:val="000000"/>
                <w:sz w:val="20"/>
                <w:szCs w:val="20"/>
              </w:rPr>
              <w:t>0.419</w:t>
            </w:r>
          </w:p>
        </w:tc>
        <w:tc>
          <w:tcPr>
            <w:tcW w:w="768" w:type="dxa"/>
            <w:tcBorders>
              <w:top w:val="nil"/>
              <w:left w:val="nil"/>
              <w:bottom w:val="nil"/>
              <w:right w:val="nil"/>
            </w:tcBorders>
            <w:shd w:val="clear" w:color="auto" w:fill="auto"/>
            <w:noWrap/>
            <w:vAlign w:val="bottom"/>
            <w:hideMark/>
          </w:tcPr>
          <w:p w14:paraId="64DE9307" w14:textId="50D05DE4"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BB5300" w14:textId="1FF577BA" w:rsidR="00446FB1" w:rsidRDefault="00446FB1" w:rsidP="00446FB1">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26C1093" w14:textId="1C6683AA" w:rsidR="00446FB1" w:rsidRDefault="00446FB1" w:rsidP="00446FB1">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76C4AE9E" w14:textId="5F81CDAB"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26BCDB8" w14:textId="741F451F" w:rsidR="00446FB1" w:rsidRDefault="00446FB1" w:rsidP="00446FB1">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CC00275" w14:textId="495369B5" w:rsidR="00446FB1" w:rsidRDefault="00446FB1" w:rsidP="00446FB1">
            <w:pPr>
              <w:jc w:val="right"/>
              <w:rPr>
                <w:color w:val="000000"/>
                <w:sz w:val="20"/>
                <w:szCs w:val="20"/>
              </w:rPr>
            </w:pPr>
            <w:r>
              <w:rPr>
                <w:color w:val="000000"/>
                <w:sz w:val="20"/>
                <w:szCs w:val="20"/>
              </w:rPr>
              <w:t>0.655</w:t>
            </w:r>
          </w:p>
        </w:tc>
        <w:tc>
          <w:tcPr>
            <w:tcW w:w="768" w:type="dxa"/>
            <w:tcBorders>
              <w:top w:val="nil"/>
              <w:left w:val="nil"/>
              <w:bottom w:val="nil"/>
              <w:right w:val="nil"/>
            </w:tcBorders>
            <w:shd w:val="clear" w:color="auto" w:fill="auto"/>
            <w:noWrap/>
            <w:vAlign w:val="bottom"/>
            <w:hideMark/>
          </w:tcPr>
          <w:p w14:paraId="5D2B0AA9" w14:textId="63CA1419"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744CC29" w14:textId="60B03350" w:rsidR="00446FB1" w:rsidRDefault="00446FB1" w:rsidP="00446FB1">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55927C6" w14:textId="33EC0B11" w:rsidR="00446FB1" w:rsidRDefault="00446FB1" w:rsidP="00446FB1">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48579977" w14:textId="773FD07C" w:rsidR="00446FB1" w:rsidRDefault="00446FB1" w:rsidP="00446FB1">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3A74F75" w14:textId="0F6F928B" w:rsidR="00446FB1" w:rsidRDefault="00446FB1" w:rsidP="00446FB1">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24A0248E" w14:textId="5ED30C57" w:rsidR="00446FB1" w:rsidRDefault="00446FB1" w:rsidP="00446FB1">
            <w:pPr>
              <w:jc w:val="right"/>
              <w:rPr>
                <w:color w:val="000000"/>
                <w:sz w:val="20"/>
                <w:szCs w:val="20"/>
              </w:rPr>
            </w:pPr>
            <w:r>
              <w:rPr>
                <w:color w:val="000000"/>
                <w:sz w:val="20"/>
                <w:szCs w:val="20"/>
              </w:rPr>
              <w:t>0.588</w:t>
            </w:r>
          </w:p>
        </w:tc>
        <w:tc>
          <w:tcPr>
            <w:tcW w:w="768" w:type="dxa"/>
            <w:tcBorders>
              <w:top w:val="nil"/>
              <w:left w:val="nil"/>
              <w:bottom w:val="nil"/>
              <w:right w:val="nil"/>
            </w:tcBorders>
            <w:shd w:val="clear" w:color="auto" w:fill="auto"/>
            <w:noWrap/>
            <w:vAlign w:val="bottom"/>
            <w:hideMark/>
          </w:tcPr>
          <w:p w14:paraId="2EA72864" w14:textId="034EE403" w:rsidR="00446FB1" w:rsidRDefault="00446FB1" w:rsidP="00446FB1">
            <w:pPr>
              <w:jc w:val="right"/>
              <w:rPr>
                <w:color w:val="000000"/>
                <w:sz w:val="20"/>
                <w:szCs w:val="20"/>
              </w:rPr>
            </w:pPr>
            <w:r>
              <w:rPr>
                <w:color w:val="000000"/>
                <w:sz w:val="20"/>
                <w:szCs w:val="20"/>
              </w:rPr>
              <w:t>0.001</w:t>
            </w:r>
          </w:p>
        </w:tc>
      </w:tr>
      <w:tr w:rsidR="00446FB1" w14:paraId="0172252D" w14:textId="77777777" w:rsidTr="00774967">
        <w:trPr>
          <w:trHeight w:val="320"/>
        </w:trPr>
        <w:tc>
          <w:tcPr>
            <w:tcW w:w="1176" w:type="dxa"/>
            <w:tcBorders>
              <w:top w:val="nil"/>
              <w:left w:val="nil"/>
              <w:bottom w:val="nil"/>
              <w:right w:val="nil"/>
            </w:tcBorders>
            <w:shd w:val="clear" w:color="auto" w:fill="auto"/>
            <w:noWrap/>
            <w:vAlign w:val="bottom"/>
            <w:hideMark/>
          </w:tcPr>
          <w:p w14:paraId="7305FF7A"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826EB73" w14:textId="77777777" w:rsidR="00446FB1" w:rsidRDefault="00446FB1" w:rsidP="00446FB1">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82365A2" w14:textId="5579425C" w:rsidR="00446FB1" w:rsidRDefault="00446FB1" w:rsidP="00446FB1">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0FEBCF0" w14:textId="476BCE6E" w:rsidR="00446FB1" w:rsidRDefault="00446FB1" w:rsidP="00446FB1">
            <w:pPr>
              <w:jc w:val="right"/>
              <w:rPr>
                <w:color w:val="000000"/>
                <w:sz w:val="20"/>
                <w:szCs w:val="20"/>
              </w:rPr>
            </w:pPr>
            <w:r>
              <w:rPr>
                <w:color w:val="000000"/>
                <w:sz w:val="20"/>
                <w:szCs w:val="20"/>
              </w:rPr>
              <w:t>0.750</w:t>
            </w:r>
          </w:p>
        </w:tc>
        <w:tc>
          <w:tcPr>
            <w:tcW w:w="768" w:type="dxa"/>
            <w:tcBorders>
              <w:top w:val="nil"/>
              <w:left w:val="nil"/>
              <w:bottom w:val="nil"/>
              <w:right w:val="nil"/>
            </w:tcBorders>
            <w:shd w:val="clear" w:color="auto" w:fill="auto"/>
            <w:noWrap/>
            <w:vAlign w:val="bottom"/>
            <w:hideMark/>
          </w:tcPr>
          <w:p w14:paraId="67A308CB" w14:textId="2EBB8BA9"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954A21" w14:textId="7B9BACD5" w:rsidR="00446FB1" w:rsidRDefault="00446FB1" w:rsidP="00446FB1">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1E49D3E5" w14:textId="72D7A488" w:rsidR="00446FB1" w:rsidRDefault="00446FB1" w:rsidP="00446FB1">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1152AE11" w14:textId="232B74BB"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EC8CA8" w14:textId="47A33751"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DCD1A3" w14:textId="71E16A35" w:rsidR="00446FB1" w:rsidRDefault="00446FB1" w:rsidP="00446FB1">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2E63346E" w14:textId="76375E6C"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DF2E1D" w14:textId="1AD31AFE" w:rsidR="00446FB1" w:rsidRDefault="00446FB1" w:rsidP="00446FB1">
            <w:pPr>
              <w:jc w:val="right"/>
              <w:rPr>
                <w:b/>
                <w:bCs/>
                <w:color w:val="000000"/>
                <w:sz w:val="20"/>
                <w:szCs w:val="20"/>
              </w:rPr>
            </w:pPr>
            <w:r>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42F8D352" w14:textId="57AE5F34" w:rsidR="00446FB1" w:rsidRDefault="00446FB1" w:rsidP="00446FB1">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ECFC0E3" w14:textId="77485FE3" w:rsidR="00446FB1" w:rsidRDefault="00446FB1" w:rsidP="00446FB1">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6327A4F8" w14:textId="6B3EAEA8" w:rsidR="00446FB1" w:rsidRDefault="00446FB1" w:rsidP="00446FB1">
            <w:pPr>
              <w:jc w:val="right"/>
              <w:rPr>
                <w:b/>
                <w:bCs/>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02F0BC80" w14:textId="6FB36217" w:rsidR="00446FB1" w:rsidRDefault="00446FB1" w:rsidP="00446FB1">
            <w:pPr>
              <w:jc w:val="right"/>
              <w:rPr>
                <w:b/>
                <w:bCs/>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687C3E62" w14:textId="1FE0D6CD" w:rsidR="00446FB1" w:rsidRDefault="00446FB1" w:rsidP="00446FB1">
            <w:pPr>
              <w:jc w:val="right"/>
              <w:rPr>
                <w:color w:val="000000"/>
                <w:sz w:val="20"/>
                <w:szCs w:val="20"/>
              </w:rPr>
            </w:pPr>
            <w:r>
              <w:rPr>
                <w:color w:val="000000"/>
                <w:sz w:val="20"/>
                <w:szCs w:val="20"/>
              </w:rPr>
              <w:t>0.008</w:t>
            </w:r>
          </w:p>
        </w:tc>
      </w:tr>
      <w:tr w:rsidR="00446FB1" w14:paraId="00E2B5E5" w14:textId="77777777" w:rsidTr="00774967">
        <w:trPr>
          <w:trHeight w:val="320"/>
        </w:trPr>
        <w:tc>
          <w:tcPr>
            <w:tcW w:w="1176" w:type="dxa"/>
            <w:tcBorders>
              <w:top w:val="nil"/>
              <w:left w:val="nil"/>
              <w:bottom w:val="nil"/>
              <w:right w:val="nil"/>
            </w:tcBorders>
            <w:shd w:val="clear" w:color="auto" w:fill="auto"/>
            <w:noWrap/>
            <w:vAlign w:val="bottom"/>
            <w:hideMark/>
          </w:tcPr>
          <w:p w14:paraId="1308E539"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74E8630" w14:textId="77777777" w:rsidR="00446FB1" w:rsidRDefault="00446FB1" w:rsidP="00446FB1">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A7EB38B" w14:textId="1FFC8BCC" w:rsidR="00446FB1" w:rsidRDefault="00446FB1" w:rsidP="00446FB1">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9BAC465" w14:textId="2FD2A8AF" w:rsidR="00446FB1" w:rsidRDefault="00446FB1" w:rsidP="00446FB1">
            <w:pPr>
              <w:jc w:val="right"/>
              <w:rPr>
                <w:color w:val="000000"/>
                <w:sz w:val="20"/>
                <w:szCs w:val="20"/>
              </w:rPr>
            </w:pPr>
            <w:r>
              <w:rPr>
                <w:color w:val="000000"/>
                <w:sz w:val="20"/>
                <w:szCs w:val="20"/>
              </w:rPr>
              <w:t>0.419</w:t>
            </w:r>
          </w:p>
        </w:tc>
        <w:tc>
          <w:tcPr>
            <w:tcW w:w="768" w:type="dxa"/>
            <w:tcBorders>
              <w:top w:val="nil"/>
              <w:left w:val="nil"/>
              <w:bottom w:val="nil"/>
              <w:right w:val="nil"/>
            </w:tcBorders>
            <w:shd w:val="clear" w:color="auto" w:fill="auto"/>
            <w:noWrap/>
            <w:vAlign w:val="bottom"/>
            <w:hideMark/>
          </w:tcPr>
          <w:p w14:paraId="3D0D3BEC" w14:textId="2F01A985"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C08F6C" w14:textId="08713ABD" w:rsidR="00446FB1" w:rsidRDefault="00446FB1" w:rsidP="00446FB1">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594AEF09" w14:textId="0F593F99" w:rsidR="00446FB1" w:rsidRDefault="00446FB1" w:rsidP="00446FB1">
            <w:pPr>
              <w:jc w:val="right"/>
              <w:rPr>
                <w:color w:val="000000"/>
                <w:sz w:val="20"/>
                <w:szCs w:val="20"/>
              </w:rPr>
            </w:pPr>
            <w:r>
              <w:rPr>
                <w:color w:val="000000"/>
                <w:sz w:val="20"/>
                <w:szCs w:val="20"/>
              </w:rPr>
              <w:t>0.237</w:t>
            </w:r>
          </w:p>
        </w:tc>
        <w:tc>
          <w:tcPr>
            <w:tcW w:w="768" w:type="dxa"/>
            <w:tcBorders>
              <w:top w:val="nil"/>
              <w:left w:val="nil"/>
              <w:bottom w:val="nil"/>
              <w:right w:val="nil"/>
            </w:tcBorders>
            <w:shd w:val="clear" w:color="auto" w:fill="auto"/>
            <w:noWrap/>
            <w:vAlign w:val="bottom"/>
            <w:hideMark/>
          </w:tcPr>
          <w:p w14:paraId="2AC10D14" w14:textId="30B019D1"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B1F85D1" w14:textId="67992731" w:rsidR="00446FB1" w:rsidRDefault="00446FB1" w:rsidP="00446FB1">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35D7CB1" w14:textId="736CCA01" w:rsidR="00446FB1" w:rsidRDefault="00446FB1" w:rsidP="00446FB1">
            <w:pPr>
              <w:jc w:val="right"/>
              <w:rPr>
                <w:color w:val="000000"/>
                <w:sz w:val="20"/>
                <w:szCs w:val="20"/>
              </w:rPr>
            </w:pPr>
            <w:r>
              <w:rPr>
                <w:color w:val="000000"/>
                <w:sz w:val="20"/>
                <w:szCs w:val="20"/>
              </w:rPr>
              <w:t>0.723</w:t>
            </w:r>
          </w:p>
        </w:tc>
        <w:tc>
          <w:tcPr>
            <w:tcW w:w="768" w:type="dxa"/>
            <w:tcBorders>
              <w:top w:val="nil"/>
              <w:left w:val="nil"/>
              <w:bottom w:val="nil"/>
              <w:right w:val="nil"/>
            </w:tcBorders>
            <w:shd w:val="clear" w:color="auto" w:fill="auto"/>
            <w:noWrap/>
            <w:vAlign w:val="bottom"/>
            <w:hideMark/>
          </w:tcPr>
          <w:p w14:paraId="04855D02" w14:textId="09F775FA"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B4DCCE1" w14:textId="40DCD5E4" w:rsidR="00446FB1" w:rsidRDefault="00446FB1" w:rsidP="00446FB1">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2B97B3A" w14:textId="5601739B" w:rsidR="00446FB1" w:rsidRDefault="00446FB1" w:rsidP="00446FB1">
            <w:pPr>
              <w:jc w:val="right"/>
              <w:rPr>
                <w:color w:val="000000"/>
                <w:sz w:val="20"/>
                <w:szCs w:val="20"/>
              </w:rPr>
            </w:pPr>
            <w:r>
              <w:rPr>
                <w:color w:val="000000"/>
                <w:sz w:val="20"/>
                <w:szCs w:val="20"/>
              </w:rPr>
              <w:t>0.537</w:t>
            </w:r>
          </w:p>
        </w:tc>
        <w:tc>
          <w:tcPr>
            <w:tcW w:w="768" w:type="dxa"/>
            <w:tcBorders>
              <w:top w:val="nil"/>
              <w:left w:val="nil"/>
              <w:bottom w:val="nil"/>
              <w:right w:val="nil"/>
            </w:tcBorders>
            <w:shd w:val="clear" w:color="auto" w:fill="auto"/>
            <w:noWrap/>
            <w:vAlign w:val="bottom"/>
            <w:hideMark/>
          </w:tcPr>
          <w:p w14:paraId="60B92F58" w14:textId="37EB1595"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5A238D" w14:textId="4E3DAE7A" w:rsidR="00446FB1" w:rsidRDefault="00446FB1" w:rsidP="00446FB1">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C12B73C" w14:textId="5D60796E" w:rsidR="00446FB1" w:rsidRDefault="00446FB1" w:rsidP="00446FB1">
            <w:pPr>
              <w:jc w:val="right"/>
              <w:rPr>
                <w:color w:val="000000"/>
                <w:sz w:val="20"/>
                <w:szCs w:val="20"/>
              </w:rPr>
            </w:pPr>
            <w:r>
              <w:rPr>
                <w:color w:val="000000"/>
                <w:sz w:val="20"/>
                <w:szCs w:val="20"/>
              </w:rPr>
              <w:t>0.620</w:t>
            </w:r>
          </w:p>
        </w:tc>
        <w:tc>
          <w:tcPr>
            <w:tcW w:w="768" w:type="dxa"/>
            <w:tcBorders>
              <w:top w:val="nil"/>
              <w:left w:val="nil"/>
              <w:bottom w:val="nil"/>
              <w:right w:val="nil"/>
            </w:tcBorders>
            <w:shd w:val="clear" w:color="auto" w:fill="auto"/>
            <w:noWrap/>
            <w:vAlign w:val="bottom"/>
            <w:hideMark/>
          </w:tcPr>
          <w:p w14:paraId="450C3890" w14:textId="2096AB5F" w:rsidR="00446FB1" w:rsidRDefault="00446FB1" w:rsidP="00446FB1">
            <w:pPr>
              <w:jc w:val="right"/>
              <w:rPr>
                <w:color w:val="000000"/>
                <w:sz w:val="20"/>
                <w:szCs w:val="20"/>
              </w:rPr>
            </w:pPr>
            <w:r>
              <w:rPr>
                <w:color w:val="000000"/>
                <w:sz w:val="20"/>
                <w:szCs w:val="20"/>
              </w:rPr>
              <w:t>0.001</w:t>
            </w:r>
          </w:p>
        </w:tc>
      </w:tr>
      <w:tr w:rsidR="00446FB1" w14:paraId="2150B92C" w14:textId="77777777" w:rsidTr="00774967">
        <w:trPr>
          <w:trHeight w:val="320"/>
        </w:trPr>
        <w:tc>
          <w:tcPr>
            <w:tcW w:w="1176" w:type="dxa"/>
            <w:tcBorders>
              <w:top w:val="nil"/>
              <w:left w:val="nil"/>
              <w:bottom w:val="nil"/>
              <w:right w:val="nil"/>
            </w:tcBorders>
            <w:shd w:val="clear" w:color="auto" w:fill="auto"/>
            <w:noWrap/>
            <w:vAlign w:val="bottom"/>
            <w:hideMark/>
          </w:tcPr>
          <w:p w14:paraId="1468D3E8"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4962A3A" w14:textId="77777777" w:rsidR="00446FB1" w:rsidRDefault="00446FB1" w:rsidP="00446FB1">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FDEA1DD" w14:textId="5CFABAD2"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AF4729C" w14:textId="70FE523A" w:rsidR="00446FB1" w:rsidRDefault="00446FB1" w:rsidP="00446FB1">
            <w:pPr>
              <w:jc w:val="right"/>
              <w:rPr>
                <w:color w:val="000000"/>
                <w:sz w:val="20"/>
                <w:szCs w:val="20"/>
              </w:rPr>
            </w:pPr>
            <w:r>
              <w:rPr>
                <w:color w:val="000000"/>
                <w:sz w:val="20"/>
                <w:szCs w:val="20"/>
              </w:rPr>
              <w:t>0.978</w:t>
            </w:r>
          </w:p>
        </w:tc>
        <w:tc>
          <w:tcPr>
            <w:tcW w:w="768" w:type="dxa"/>
            <w:tcBorders>
              <w:top w:val="nil"/>
              <w:left w:val="nil"/>
              <w:bottom w:val="nil"/>
              <w:right w:val="nil"/>
            </w:tcBorders>
            <w:shd w:val="clear" w:color="auto" w:fill="auto"/>
            <w:noWrap/>
            <w:vAlign w:val="bottom"/>
            <w:hideMark/>
          </w:tcPr>
          <w:p w14:paraId="0EDDD298" w14:textId="4F74A0D6"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E4D7E0" w14:textId="01CBC785" w:rsidR="00446FB1" w:rsidRDefault="00446FB1" w:rsidP="00446FB1">
            <w:pPr>
              <w:jc w:val="right"/>
              <w:rPr>
                <w:b/>
                <w:bCs/>
                <w:color w:val="000000"/>
                <w:sz w:val="20"/>
                <w:szCs w:val="20"/>
              </w:rPr>
            </w:pPr>
            <w:r>
              <w:rPr>
                <w:b/>
                <w:bCs/>
                <w:color w:val="000000"/>
                <w:sz w:val="20"/>
                <w:szCs w:val="20"/>
              </w:rPr>
              <w:t>0.129</w:t>
            </w:r>
          </w:p>
        </w:tc>
        <w:tc>
          <w:tcPr>
            <w:tcW w:w="768" w:type="dxa"/>
            <w:tcBorders>
              <w:top w:val="nil"/>
              <w:left w:val="nil"/>
              <w:bottom w:val="nil"/>
              <w:right w:val="nil"/>
            </w:tcBorders>
            <w:shd w:val="clear" w:color="auto" w:fill="auto"/>
            <w:noWrap/>
            <w:vAlign w:val="bottom"/>
            <w:hideMark/>
          </w:tcPr>
          <w:p w14:paraId="5C3A913A" w14:textId="233D4942" w:rsidR="00446FB1" w:rsidRDefault="00446FB1" w:rsidP="00446FB1">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DE24ACA" w14:textId="2EABE734" w:rsidR="00446FB1" w:rsidRDefault="00446FB1" w:rsidP="00446FB1">
            <w:pPr>
              <w:jc w:val="right"/>
              <w:rPr>
                <w:color w:val="000000"/>
                <w:sz w:val="20"/>
                <w:szCs w:val="20"/>
              </w:rPr>
            </w:pPr>
            <w:r>
              <w:rPr>
                <w:b/>
                <w:bCs/>
                <w:color w:val="000000"/>
                <w:sz w:val="20"/>
                <w:szCs w:val="20"/>
              </w:rPr>
              <w:t>0.017</w:t>
            </w:r>
          </w:p>
        </w:tc>
        <w:tc>
          <w:tcPr>
            <w:tcW w:w="768" w:type="dxa"/>
            <w:tcBorders>
              <w:top w:val="nil"/>
              <w:left w:val="nil"/>
              <w:bottom w:val="nil"/>
              <w:right w:val="nil"/>
            </w:tcBorders>
            <w:shd w:val="clear" w:color="auto" w:fill="auto"/>
            <w:noWrap/>
            <w:vAlign w:val="bottom"/>
            <w:hideMark/>
          </w:tcPr>
          <w:p w14:paraId="7D5C16B9" w14:textId="67842D20" w:rsidR="00446FB1" w:rsidRDefault="00446FB1" w:rsidP="00446FB1">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50E0B443" w14:textId="00D8DC6B" w:rsidR="00446FB1" w:rsidRDefault="00446FB1" w:rsidP="00446FB1">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57704E52" w14:textId="217F2BDE" w:rsidR="00446FB1" w:rsidRDefault="00446FB1" w:rsidP="00446FB1">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A7993C8" w14:textId="17104FFA" w:rsidR="00446FB1" w:rsidRDefault="00446FB1" w:rsidP="00446FB1">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5271A06" w14:textId="09BD9F89" w:rsidR="00446FB1" w:rsidRDefault="00446FB1" w:rsidP="00446FB1">
            <w:pPr>
              <w:jc w:val="right"/>
              <w:rPr>
                <w:color w:val="000000"/>
                <w:sz w:val="20"/>
                <w:szCs w:val="20"/>
              </w:rPr>
            </w:pPr>
            <w:r>
              <w:rPr>
                <w:color w:val="000000"/>
                <w:sz w:val="20"/>
                <w:szCs w:val="20"/>
              </w:rPr>
              <w:t>0.420</w:t>
            </w:r>
          </w:p>
        </w:tc>
        <w:tc>
          <w:tcPr>
            <w:tcW w:w="768" w:type="dxa"/>
            <w:tcBorders>
              <w:top w:val="nil"/>
              <w:left w:val="nil"/>
              <w:bottom w:val="nil"/>
              <w:right w:val="nil"/>
            </w:tcBorders>
            <w:shd w:val="clear" w:color="auto" w:fill="auto"/>
            <w:noWrap/>
            <w:vAlign w:val="bottom"/>
            <w:hideMark/>
          </w:tcPr>
          <w:p w14:paraId="781E451F" w14:textId="2832BF73"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C4EBAA9" w14:textId="740DF6F0" w:rsidR="00446FB1" w:rsidRDefault="00446FB1" w:rsidP="00446FB1">
            <w:pPr>
              <w:jc w:val="right"/>
              <w:rPr>
                <w:b/>
                <w:bCs/>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335BBDBC" w14:textId="3774570A" w:rsidR="00446FB1" w:rsidRDefault="00446FB1" w:rsidP="00446FB1">
            <w:pPr>
              <w:jc w:val="right"/>
              <w:rPr>
                <w:b/>
                <w:bCs/>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618AB50E" w14:textId="6791BDF7" w:rsidR="00446FB1" w:rsidRDefault="00446FB1" w:rsidP="00446FB1">
            <w:pPr>
              <w:jc w:val="right"/>
              <w:rPr>
                <w:color w:val="000000"/>
                <w:sz w:val="20"/>
                <w:szCs w:val="20"/>
              </w:rPr>
            </w:pPr>
            <w:r>
              <w:rPr>
                <w:color w:val="000000"/>
                <w:sz w:val="20"/>
                <w:szCs w:val="20"/>
              </w:rPr>
              <w:t>0.006</w:t>
            </w:r>
          </w:p>
        </w:tc>
      </w:tr>
      <w:tr w:rsidR="00446FB1" w14:paraId="199B328F" w14:textId="77777777" w:rsidTr="00774967">
        <w:trPr>
          <w:trHeight w:val="320"/>
        </w:trPr>
        <w:tc>
          <w:tcPr>
            <w:tcW w:w="1176" w:type="dxa"/>
            <w:tcBorders>
              <w:top w:val="nil"/>
              <w:left w:val="nil"/>
              <w:bottom w:val="nil"/>
              <w:right w:val="nil"/>
            </w:tcBorders>
            <w:shd w:val="clear" w:color="auto" w:fill="auto"/>
            <w:noWrap/>
            <w:vAlign w:val="bottom"/>
            <w:hideMark/>
          </w:tcPr>
          <w:p w14:paraId="30DC93B8"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1BBF4E" w14:textId="77777777" w:rsidR="00446FB1" w:rsidRDefault="00446FB1" w:rsidP="00446FB1">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886D56C" w14:textId="51773007" w:rsidR="00446FB1" w:rsidRDefault="00446FB1" w:rsidP="00446FB1">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47B67204" w14:textId="4511569C" w:rsidR="00446FB1" w:rsidRDefault="00446FB1" w:rsidP="00446FB1">
            <w:pPr>
              <w:jc w:val="right"/>
              <w:rPr>
                <w:color w:val="000000"/>
                <w:sz w:val="20"/>
                <w:szCs w:val="20"/>
              </w:rPr>
            </w:pPr>
            <w:r>
              <w:rPr>
                <w:color w:val="000000"/>
                <w:sz w:val="20"/>
                <w:szCs w:val="20"/>
              </w:rPr>
              <w:t>0.419</w:t>
            </w:r>
          </w:p>
        </w:tc>
        <w:tc>
          <w:tcPr>
            <w:tcW w:w="768" w:type="dxa"/>
            <w:tcBorders>
              <w:top w:val="nil"/>
              <w:left w:val="nil"/>
              <w:bottom w:val="nil"/>
              <w:right w:val="nil"/>
            </w:tcBorders>
            <w:shd w:val="clear" w:color="auto" w:fill="auto"/>
            <w:noWrap/>
            <w:vAlign w:val="bottom"/>
            <w:hideMark/>
          </w:tcPr>
          <w:p w14:paraId="3D40DEDE" w14:textId="07CC791A"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CB2B533" w14:textId="456D6876"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EDE5B76" w14:textId="60BBC34B" w:rsidR="00446FB1" w:rsidRDefault="00446FB1" w:rsidP="00446FB1">
            <w:pPr>
              <w:jc w:val="right"/>
              <w:rPr>
                <w:color w:val="000000"/>
                <w:sz w:val="20"/>
                <w:szCs w:val="20"/>
              </w:rPr>
            </w:pPr>
            <w:r>
              <w:rPr>
                <w:color w:val="000000"/>
                <w:sz w:val="20"/>
                <w:szCs w:val="20"/>
              </w:rPr>
              <w:t>0.972</w:t>
            </w:r>
          </w:p>
        </w:tc>
        <w:tc>
          <w:tcPr>
            <w:tcW w:w="768" w:type="dxa"/>
            <w:tcBorders>
              <w:top w:val="nil"/>
              <w:left w:val="nil"/>
              <w:bottom w:val="nil"/>
              <w:right w:val="nil"/>
            </w:tcBorders>
            <w:shd w:val="clear" w:color="auto" w:fill="auto"/>
            <w:noWrap/>
            <w:vAlign w:val="bottom"/>
            <w:hideMark/>
          </w:tcPr>
          <w:p w14:paraId="6367BA79" w14:textId="15613662"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69907F" w14:textId="5E4D7DC5" w:rsidR="00446FB1" w:rsidRDefault="00446FB1" w:rsidP="00446FB1">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5D9181F" w14:textId="49F40A56" w:rsidR="00446FB1" w:rsidRDefault="00446FB1" w:rsidP="00446FB1">
            <w:pPr>
              <w:jc w:val="right"/>
              <w:rPr>
                <w:color w:val="000000"/>
                <w:sz w:val="20"/>
                <w:szCs w:val="20"/>
              </w:rPr>
            </w:pPr>
            <w:r>
              <w:rPr>
                <w:color w:val="000000"/>
                <w:sz w:val="20"/>
                <w:szCs w:val="20"/>
              </w:rPr>
              <w:t>0.655</w:t>
            </w:r>
          </w:p>
        </w:tc>
        <w:tc>
          <w:tcPr>
            <w:tcW w:w="768" w:type="dxa"/>
            <w:tcBorders>
              <w:top w:val="nil"/>
              <w:left w:val="nil"/>
              <w:bottom w:val="nil"/>
              <w:right w:val="nil"/>
            </w:tcBorders>
            <w:shd w:val="clear" w:color="auto" w:fill="auto"/>
            <w:noWrap/>
            <w:vAlign w:val="bottom"/>
            <w:hideMark/>
          </w:tcPr>
          <w:p w14:paraId="247F621D" w14:textId="785E4FD2"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E3A7F6" w14:textId="291CDF96" w:rsidR="00446FB1" w:rsidRDefault="00446FB1" w:rsidP="00446FB1">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9AF4F66" w14:textId="2C2E66A7" w:rsidR="00446FB1" w:rsidRDefault="00446FB1" w:rsidP="00446FB1">
            <w:pPr>
              <w:jc w:val="right"/>
              <w:rPr>
                <w:color w:val="000000"/>
                <w:sz w:val="20"/>
                <w:szCs w:val="20"/>
              </w:rPr>
            </w:pPr>
            <w:r>
              <w:rPr>
                <w:color w:val="000000"/>
                <w:sz w:val="20"/>
                <w:szCs w:val="20"/>
              </w:rPr>
              <w:t>0.646</w:t>
            </w:r>
          </w:p>
        </w:tc>
        <w:tc>
          <w:tcPr>
            <w:tcW w:w="768" w:type="dxa"/>
            <w:tcBorders>
              <w:top w:val="nil"/>
              <w:left w:val="nil"/>
              <w:bottom w:val="nil"/>
              <w:right w:val="nil"/>
            </w:tcBorders>
            <w:shd w:val="clear" w:color="auto" w:fill="auto"/>
            <w:noWrap/>
            <w:vAlign w:val="bottom"/>
            <w:hideMark/>
          </w:tcPr>
          <w:p w14:paraId="6585DD62" w14:textId="1E07DAA4"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8AF6EE" w14:textId="07E66CC0" w:rsidR="00446FB1" w:rsidRDefault="00446FB1" w:rsidP="00446FB1">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7D2FEBBD" w14:textId="07E596AF" w:rsidR="00446FB1" w:rsidRDefault="00446FB1" w:rsidP="00446FB1">
            <w:pPr>
              <w:jc w:val="right"/>
              <w:rPr>
                <w:color w:val="000000"/>
                <w:sz w:val="20"/>
                <w:szCs w:val="20"/>
              </w:rPr>
            </w:pPr>
            <w:r>
              <w:rPr>
                <w:color w:val="000000"/>
                <w:sz w:val="20"/>
                <w:szCs w:val="20"/>
              </w:rPr>
              <w:t>0.139</w:t>
            </w:r>
          </w:p>
        </w:tc>
        <w:tc>
          <w:tcPr>
            <w:tcW w:w="768" w:type="dxa"/>
            <w:tcBorders>
              <w:top w:val="nil"/>
              <w:left w:val="nil"/>
              <w:bottom w:val="nil"/>
              <w:right w:val="nil"/>
            </w:tcBorders>
            <w:shd w:val="clear" w:color="auto" w:fill="auto"/>
            <w:noWrap/>
            <w:vAlign w:val="bottom"/>
            <w:hideMark/>
          </w:tcPr>
          <w:p w14:paraId="3273A55A" w14:textId="5D2DBA36" w:rsidR="00446FB1" w:rsidRDefault="00446FB1" w:rsidP="00446FB1">
            <w:pPr>
              <w:jc w:val="right"/>
              <w:rPr>
                <w:color w:val="000000"/>
                <w:sz w:val="20"/>
                <w:szCs w:val="20"/>
              </w:rPr>
            </w:pPr>
            <w:r>
              <w:rPr>
                <w:color w:val="000000"/>
                <w:sz w:val="20"/>
                <w:szCs w:val="20"/>
              </w:rPr>
              <w:t>0.004</w:t>
            </w:r>
          </w:p>
        </w:tc>
      </w:tr>
      <w:tr w:rsidR="00446FB1" w14:paraId="0A72EB37" w14:textId="77777777" w:rsidTr="00774967">
        <w:trPr>
          <w:trHeight w:val="320"/>
        </w:trPr>
        <w:tc>
          <w:tcPr>
            <w:tcW w:w="1176" w:type="dxa"/>
            <w:tcBorders>
              <w:top w:val="nil"/>
              <w:left w:val="nil"/>
              <w:bottom w:val="nil"/>
              <w:right w:val="nil"/>
            </w:tcBorders>
            <w:shd w:val="clear" w:color="auto" w:fill="auto"/>
            <w:noWrap/>
            <w:vAlign w:val="bottom"/>
            <w:hideMark/>
          </w:tcPr>
          <w:p w14:paraId="71EF48A6"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3C30B0F" w14:textId="77777777" w:rsidR="00446FB1" w:rsidRDefault="00446FB1" w:rsidP="00446FB1">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C8BF093" w14:textId="40CCB940" w:rsidR="00446FB1" w:rsidRDefault="00446FB1" w:rsidP="00446FB1">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4F992519" w14:textId="53F92A65" w:rsidR="00446FB1" w:rsidRDefault="00446FB1" w:rsidP="00446FB1">
            <w:pPr>
              <w:jc w:val="right"/>
              <w:rPr>
                <w:color w:val="000000"/>
                <w:sz w:val="20"/>
                <w:szCs w:val="20"/>
              </w:rPr>
            </w:pPr>
            <w:r>
              <w:rPr>
                <w:color w:val="000000"/>
                <w:sz w:val="20"/>
                <w:szCs w:val="20"/>
              </w:rPr>
              <w:t>0.419</w:t>
            </w:r>
          </w:p>
        </w:tc>
        <w:tc>
          <w:tcPr>
            <w:tcW w:w="768" w:type="dxa"/>
            <w:tcBorders>
              <w:top w:val="nil"/>
              <w:left w:val="nil"/>
              <w:bottom w:val="nil"/>
              <w:right w:val="nil"/>
            </w:tcBorders>
            <w:shd w:val="clear" w:color="auto" w:fill="auto"/>
            <w:noWrap/>
            <w:vAlign w:val="bottom"/>
            <w:hideMark/>
          </w:tcPr>
          <w:p w14:paraId="413106ED" w14:textId="5814EE03"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0E37995" w14:textId="17B107C8" w:rsidR="00446FB1" w:rsidRDefault="00446FB1" w:rsidP="00446FB1">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1BC078C" w14:textId="54A2C0C1" w:rsidR="00446FB1" w:rsidRDefault="00446FB1" w:rsidP="00446FB1">
            <w:pPr>
              <w:jc w:val="right"/>
              <w:rPr>
                <w:color w:val="000000"/>
                <w:sz w:val="20"/>
                <w:szCs w:val="20"/>
              </w:rPr>
            </w:pPr>
            <w:r>
              <w:rPr>
                <w:color w:val="000000"/>
                <w:sz w:val="20"/>
                <w:szCs w:val="20"/>
              </w:rPr>
              <w:t>0.747</w:t>
            </w:r>
          </w:p>
        </w:tc>
        <w:tc>
          <w:tcPr>
            <w:tcW w:w="768" w:type="dxa"/>
            <w:tcBorders>
              <w:top w:val="nil"/>
              <w:left w:val="nil"/>
              <w:bottom w:val="nil"/>
              <w:right w:val="nil"/>
            </w:tcBorders>
            <w:shd w:val="clear" w:color="auto" w:fill="auto"/>
            <w:noWrap/>
            <w:vAlign w:val="bottom"/>
            <w:hideMark/>
          </w:tcPr>
          <w:p w14:paraId="257A451A" w14:textId="0AB415D4"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B9B59C" w14:textId="1CD6FE98" w:rsidR="00446FB1" w:rsidRDefault="00446FB1" w:rsidP="00446FB1">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1579173D" w14:textId="1BDED9D0" w:rsidR="00446FB1" w:rsidRDefault="00446FB1" w:rsidP="00446FB1">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617D3269" w14:textId="4D98E60B" w:rsidR="00446FB1" w:rsidRDefault="00446FB1" w:rsidP="00446FB1">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B03C947" w14:textId="00F187BA" w:rsidR="00446FB1" w:rsidRDefault="00446FB1" w:rsidP="00446FB1">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B4D682E" w14:textId="44CC90F7" w:rsidR="00446FB1" w:rsidRDefault="00446FB1" w:rsidP="00446FB1">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63A2A02C" w14:textId="5E2629C5"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E7B4BD" w14:textId="7503C25C" w:rsidR="00446FB1" w:rsidRDefault="00446FB1" w:rsidP="00446FB1">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040DA110" w14:textId="52BD990B" w:rsidR="00446FB1" w:rsidRDefault="00446FB1" w:rsidP="00446FB1">
            <w:pPr>
              <w:jc w:val="right"/>
              <w:rPr>
                <w:color w:val="000000"/>
                <w:sz w:val="20"/>
                <w:szCs w:val="20"/>
              </w:rPr>
            </w:pPr>
            <w:r>
              <w:rPr>
                <w:color w:val="000000"/>
                <w:sz w:val="20"/>
                <w:szCs w:val="20"/>
              </w:rPr>
              <w:t>0.620</w:t>
            </w:r>
          </w:p>
        </w:tc>
        <w:tc>
          <w:tcPr>
            <w:tcW w:w="768" w:type="dxa"/>
            <w:tcBorders>
              <w:top w:val="nil"/>
              <w:left w:val="nil"/>
              <w:bottom w:val="nil"/>
              <w:right w:val="nil"/>
            </w:tcBorders>
            <w:shd w:val="clear" w:color="auto" w:fill="auto"/>
            <w:noWrap/>
            <w:vAlign w:val="bottom"/>
            <w:hideMark/>
          </w:tcPr>
          <w:p w14:paraId="19E89398" w14:textId="2E25C707" w:rsidR="00446FB1" w:rsidRDefault="00446FB1" w:rsidP="00446FB1">
            <w:pPr>
              <w:jc w:val="right"/>
              <w:rPr>
                <w:color w:val="000000"/>
                <w:sz w:val="20"/>
                <w:szCs w:val="20"/>
              </w:rPr>
            </w:pPr>
            <w:r>
              <w:rPr>
                <w:color w:val="000000"/>
                <w:sz w:val="20"/>
                <w:szCs w:val="20"/>
              </w:rPr>
              <w:t>0.001</w:t>
            </w:r>
          </w:p>
        </w:tc>
      </w:tr>
      <w:tr w:rsidR="00446FB1" w14:paraId="725E0A46" w14:textId="77777777" w:rsidTr="00774967">
        <w:trPr>
          <w:trHeight w:val="320"/>
        </w:trPr>
        <w:tc>
          <w:tcPr>
            <w:tcW w:w="1176" w:type="dxa"/>
            <w:tcBorders>
              <w:top w:val="nil"/>
              <w:left w:val="nil"/>
              <w:bottom w:val="nil"/>
              <w:right w:val="nil"/>
            </w:tcBorders>
            <w:shd w:val="clear" w:color="auto" w:fill="auto"/>
            <w:noWrap/>
            <w:vAlign w:val="bottom"/>
            <w:hideMark/>
          </w:tcPr>
          <w:p w14:paraId="75B64AE9" w14:textId="77777777" w:rsidR="00446FB1" w:rsidRDefault="00446FB1" w:rsidP="00446FB1">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D64B3BE" w14:textId="77777777" w:rsidR="00446FB1" w:rsidRDefault="00446FB1" w:rsidP="00446FB1">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B507DD4" w14:textId="15F4C464" w:rsidR="00446FB1" w:rsidRDefault="00446FB1" w:rsidP="00446FB1">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69F806F4" w14:textId="40270FB6" w:rsidR="00446FB1" w:rsidRDefault="00446FB1" w:rsidP="00446FB1">
            <w:pPr>
              <w:jc w:val="right"/>
              <w:rPr>
                <w:color w:val="000000"/>
                <w:sz w:val="20"/>
                <w:szCs w:val="20"/>
              </w:rPr>
            </w:pPr>
            <w:r>
              <w:rPr>
                <w:color w:val="000000"/>
                <w:sz w:val="20"/>
                <w:szCs w:val="20"/>
              </w:rPr>
              <w:t>0.419</w:t>
            </w:r>
          </w:p>
        </w:tc>
        <w:tc>
          <w:tcPr>
            <w:tcW w:w="768" w:type="dxa"/>
            <w:tcBorders>
              <w:top w:val="nil"/>
              <w:left w:val="nil"/>
              <w:bottom w:val="nil"/>
              <w:right w:val="nil"/>
            </w:tcBorders>
            <w:shd w:val="clear" w:color="auto" w:fill="auto"/>
            <w:noWrap/>
            <w:vAlign w:val="bottom"/>
            <w:hideMark/>
          </w:tcPr>
          <w:p w14:paraId="6B2FAFC8" w14:textId="546443EF"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F777023" w14:textId="78C4397F" w:rsidR="00446FB1" w:rsidRDefault="00446FB1" w:rsidP="00446FB1">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4415B885" w14:textId="6F09B93A" w:rsidR="00446FB1" w:rsidRDefault="00446FB1" w:rsidP="00446FB1">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10549CF0" w14:textId="0D1141A2" w:rsidR="00446FB1" w:rsidRDefault="00446FB1" w:rsidP="00446FB1">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91555C4" w14:textId="71BA73DE" w:rsidR="00446FB1" w:rsidRDefault="00446FB1" w:rsidP="00446FB1">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62880AFB" w14:textId="177C6616" w:rsidR="00446FB1" w:rsidRDefault="00446FB1" w:rsidP="00446FB1">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181A23AA" w14:textId="347D06D7"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DD6FA7D" w14:textId="28046038" w:rsidR="00446FB1" w:rsidRDefault="00446FB1" w:rsidP="00446FB1">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7B545D0E" w14:textId="5B6F0F5D" w:rsidR="00446FB1" w:rsidRDefault="00446FB1" w:rsidP="00446FB1">
            <w:pPr>
              <w:jc w:val="right"/>
              <w:rPr>
                <w:color w:val="000000"/>
                <w:sz w:val="20"/>
                <w:szCs w:val="20"/>
              </w:rPr>
            </w:pPr>
            <w:r>
              <w:rPr>
                <w:color w:val="000000"/>
                <w:sz w:val="20"/>
                <w:szCs w:val="20"/>
              </w:rPr>
              <w:t>0.253</w:t>
            </w:r>
          </w:p>
        </w:tc>
        <w:tc>
          <w:tcPr>
            <w:tcW w:w="768" w:type="dxa"/>
            <w:tcBorders>
              <w:top w:val="nil"/>
              <w:left w:val="nil"/>
              <w:bottom w:val="nil"/>
              <w:right w:val="nil"/>
            </w:tcBorders>
            <w:shd w:val="clear" w:color="auto" w:fill="auto"/>
            <w:noWrap/>
            <w:vAlign w:val="bottom"/>
            <w:hideMark/>
          </w:tcPr>
          <w:p w14:paraId="6E82E582" w14:textId="67437490" w:rsidR="00446FB1" w:rsidRDefault="00446FB1" w:rsidP="00446FB1">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EAB9D25" w14:textId="01403FCC" w:rsidR="00446FB1" w:rsidRDefault="00446FB1" w:rsidP="00446FB1">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8B86418" w14:textId="52FF1DCA" w:rsidR="00446FB1" w:rsidRDefault="00446FB1" w:rsidP="00446FB1">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24E4A36B" w14:textId="0A1CA5B9" w:rsidR="00446FB1" w:rsidRDefault="00446FB1" w:rsidP="00446FB1">
            <w:pPr>
              <w:jc w:val="right"/>
              <w:rPr>
                <w:color w:val="000000"/>
                <w:sz w:val="20"/>
                <w:szCs w:val="20"/>
              </w:rPr>
            </w:pPr>
            <w:r>
              <w:rPr>
                <w:color w:val="000000"/>
                <w:sz w:val="20"/>
                <w:szCs w:val="20"/>
              </w:rPr>
              <w:t>0.000</w:t>
            </w:r>
          </w:p>
        </w:tc>
      </w:tr>
      <w:tr w:rsidR="00446FB1" w14:paraId="42683ECE"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1CBD076F" w14:textId="77777777" w:rsidR="00446FB1" w:rsidRDefault="00446FB1" w:rsidP="00446FB1">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1AD2E54C" w14:textId="77777777" w:rsidR="00446FB1" w:rsidRDefault="00446FB1" w:rsidP="00446FB1">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27B36263" w14:textId="2B29C8DE" w:rsidR="00446FB1" w:rsidRDefault="00446FB1" w:rsidP="00446FB1">
            <w:pPr>
              <w:jc w:val="right"/>
              <w:rPr>
                <w:color w:val="000000"/>
                <w:sz w:val="20"/>
                <w:szCs w:val="20"/>
              </w:rPr>
            </w:pPr>
            <w:r>
              <w:rPr>
                <w:color w:val="000000"/>
                <w:sz w:val="20"/>
                <w:szCs w:val="20"/>
              </w:rPr>
              <w:t>-0.020</w:t>
            </w:r>
          </w:p>
        </w:tc>
        <w:tc>
          <w:tcPr>
            <w:tcW w:w="768" w:type="dxa"/>
            <w:tcBorders>
              <w:top w:val="nil"/>
              <w:left w:val="nil"/>
              <w:bottom w:val="single" w:sz="12" w:space="0" w:color="auto"/>
              <w:right w:val="nil"/>
            </w:tcBorders>
            <w:shd w:val="clear" w:color="auto" w:fill="auto"/>
            <w:noWrap/>
            <w:vAlign w:val="bottom"/>
            <w:hideMark/>
          </w:tcPr>
          <w:p w14:paraId="27D23846" w14:textId="451E59DD" w:rsidR="00446FB1" w:rsidRDefault="00446FB1" w:rsidP="00446FB1">
            <w:pPr>
              <w:jc w:val="right"/>
              <w:rPr>
                <w:color w:val="000000"/>
                <w:sz w:val="20"/>
                <w:szCs w:val="20"/>
              </w:rPr>
            </w:pPr>
            <w:r>
              <w:rPr>
                <w:color w:val="000000"/>
                <w:sz w:val="20"/>
                <w:szCs w:val="20"/>
              </w:rPr>
              <w:t>0.720</w:t>
            </w:r>
          </w:p>
        </w:tc>
        <w:tc>
          <w:tcPr>
            <w:tcW w:w="768" w:type="dxa"/>
            <w:tcBorders>
              <w:top w:val="nil"/>
              <w:left w:val="nil"/>
              <w:bottom w:val="single" w:sz="12" w:space="0" w:color="auto"/>
              <w:right w:val="nil"/>
            </w:tcBorders>
            <w:shd w:val="clear" w:color="auto" w:fill="auto"/>
            <w:noWrap/>
            <w:vAlign w:val="bottom"/>
            <w:hideMark/>
          </w:tcPr>
          <w:p w14:paraId="46C593C5" w14:textId="5E8E33C8"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4C2CB34" w14:textId="1DEA4EFF" w:rsidR="00446FB1" w:rsidRDefault="00446FB1" w:rsidP="00446FB1">
            <w:pPr>
              <w:jc w:val="right"/>
              <w:rPr>
                <w:color w:val="000000"/>
                <w:sz w:val="20"/>
                <w:szCs w:val="20"/>
              </w:rPr>
            </w:pPr>
            <w:r>
              <w:rPr>
                <w:color w:val="000000"/>
                <w:sz w:val="20"/>
                <w:szCs w:val="20"/>
              </w:rPr>
              <w:t>-0.019</w:t>
            </w:r>
          </w:p>
        </w:tc>
        <w:tc>
          <w:tcPr>
            <w:tcW w:w="768" w:type="dxa"/>
            <w:tcBorders>
              <w:top w:val="nil"/>
              <w:left w:val="nil"/>
              <w:bottom w:val="single" w:sz="12" w:space="0" w:color="auto"/>
              <w:right w:val="nil"/>
            </w:tcBorders>
            <w:shd w:val="clear" w:color="auto" w:fill="auto"/>
            <w:noWrap/>
            <w:vAlign w:val="bottom"/>
            <w:hideMark/>
          </w:tcPr>
          <w:p w14:paraId="5FFA4D2D" w14:textId="391544F6" w:rsidR="00446FB1" w:rsidRDefault="00446FB1" w:rsidP="00446FB1">
            <w:pPr>
              <w:jc w:val="right"/>
              <w:rPr>
                <w:color w:val="000000"/>
                <w:sz w:val="20"/>
                <w:szCs w:val="20"/>
              </w:rPr>
            </w:pPr>
            <w:r>
              <w:rPr>
                <w:color w:val="000000"/>
                <w:sz w:val="20"/>
                <w:szCs w:val="20"/>
              </w:rPr>
              <w:t>0.716</w:t>
            </w:r>
          </w:p>
        </w:tc>
        <w:tc>
          <w:tcPr>
            <w:tcW w:w="768" w:type="dxa"/>
            <w:tcBorders>
              <w:top w:val="nil"/>
              <w:left w:val="nil"/>
              <w:bottom w:val="single" w:sz="12" w:space="0" w:color="auto"/>
              <w:right w:val="nil"/>
            </w:tcBorders>
            <w:shd w:val="clear" w:color="auto" w:fill="auto"/>
            <w:noWrap/>
            <w:vAlign w:val="bottom"/>
            <w:hideMark/>
          </w:tcPr>
          <w:p w14:paraId="206F9589" w14:textId="1E7F5E91"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3C8689B" w14:textId="306EEEBC" w:rsidR="00446FB1" w:rsidRDefault="00446FB1" w:rsidP="00446FB1">
            <w:pPr>
              <w:jc w:val="right"/>
              <w:rPr>
                <w:color w:val="000000"/>
                <w:sz w:val="20"/>
                <w:szCs w:val="20"/>
              </w:rPr>
            </w:pPr>
            <w:r>
              <w:rPr>
                <w:color w:val="000000"/>
                <w:sz w:val="20"/>
                <w:szCs w:val="20"/>
              </w:rPr>
              <w:t>0.033</w:t>
            </w:r>
          </w:p>
        </w:tc>
        <w:tc>
          <w:tcPr>
            <w:tcW w:w="768" w:type="dxa"/>
            <w:tcBorders>
              <w:top w:val="nil"/>
              <w:left w:val="nil"/>
              <w:bottom w:val="single" w:sz="12" w:space="0" w:color="auto"/>
              <w:right w:val="nil"/>
            </w:tcBorders>
            <w:shd w:val="clear" w:color="auto" w:fill="auto"/>
            <w:noWrap/>
            <w:vAlign w:val="bottom"/>
            <w:hideMark/>
          </w:tcPr>
          <w:p w14:paraId="6A61F938" w14:textId="0A693D78" w:rsidR="00446FB1" w:rsidRDefault="00446FB1" w:rsidP="00446FB1">
            <w:pPr>
              <w:jc w:val="right"/>
              <w:rPr>
                <w:color w:val="000000"/>
                <w:sz w:val="20"/>
                <w:szCs w:val="20"/>
              </w:rPr>
            </w:pPr>
            <w:r>
              <w:rPr>
                <w:color w:val="000000"/>
                <w:sz w:val="20"/>
                <w:szCs w:val="20"/>
              </w:rPr>
              <w:t>0.566</w:t>
            </w:r>
          </w:p>
        </w:tc>
        <w:tc>
          <w:tcPr>
            <w:tcW w:w="768" w:type="dxa"/>
            <w:tcBorders>
              <w:top w:val="nil"/>
              <w:left w:val="nil"/>
              <w:bottom w:val="single" w:sz="12" w:space="0" w:color="auto"/>
              <w:right w:val="nil"/>
            </w:tcBorders>
            <w:shd w:val="clear" w:color="auto" w:fill="auto"/>
            <w:noWrap/>
            <w:vAlign w:val="bottom"/>
            <w:hideMark/>
          </w:tcPr>
          <w:p w14:paraId="4BA2BD5F" w14:textId="66501B55" w:rsidR="00446FB1" w:rsidRDefault="00446FB1" w:rsidP="00446FB1">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3D47D229" w14:textId="603F7D60" w:rsidR="00446FB1" w:rsidRDefault="00446FB1" w:rsidP="00446FB1">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075630E9" w14:textId="37D71873" w:rsidR="00446FB1" w:rsidRDefault="00446FB1" w:rsidP="00446FB1">
            <w:pPr>
              <w:jc w:val="right"/>
              <w:rPr>
                <w:color w:val="000000"/>
                <w:sz w:val="20"/>
                <w:szCs w:val="20"/>
              </w:rPr>
            </w:pPr>
            <w:r>
              <w:rPr>
                <w:color w:val="000000"/>
                <w:sz w:val="20"/>
                <w:szCs w:val="20"/>
              </w:rPr>
              <w:t>0.894</w:t>
            </w:r>
          </w:p>
        </w:tc>
        <w:tc>
          <w:tcPr>
            <w:tcW w:w="768" w:type="dxa"/>
            <w:tcBorders>
              <w:top w:val="nil"/>
              <w:left w:val="nil"/>
              <w:bottom w:val="single" w:sz="12" w:space="0" w:color="auto"/>
              <w:right w:val="nil"/>
            </w:tcBorders>
            <w:shd w:val="clear" w:color="auto" w:fill="auto"/>
            <w:noWrap/>
            <w:vAlign w:val="bottom"/>
            <w:hideMark/>
          </w:tcPr>
          <w:p w14:paraId="109F0F19" w14:textId="7634D5D0" w:rsidR="00446FB1" w:rsidRDefault="00446FB1" w:rsidP="00446FB1">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112EB41" w14:textId="4293A120" w:rsidR="00446FB1" w:rsidRDefault="00446FB1" w:rsidP="00446FB1">
            <w:pPr>
              <w:jc w:val="right"/>
              <w:rPr>
                <w:color w:val="000000"/>
                <w:sz w:val="20"/>
                <w:szCs w:val="20"/>
              </w:rPr>
            </w:pPr>
            <w:r>
              <w:rPr>
                <w:color w:val="000000"/>
                <w:sz w:val="20"/>
                <w:szCs w:val="20"/>
              </w:rPr>
              <w:t>0.015</w:t>
            </w:r>
          </w:p>
        </w:tc>
        <w:tc>
          <w:tcPr>
            <w:tcW w:w="768" w:type="dxa"/>
            <w:tcBorders>
              <w:top w:val="nil"/>
              <w:left w:val="nil"/>
              <w:bottom w:val="single" w:sz="12" w:space="0" w:color="auto"/>
              <w:right w:val="nil"/>
            </w:tcBorders>
            <w:shd w:val="clear" w:color="auto" w:fill="auto"/>
            <w:noWrap/>
            <w:vAlign w:val="bottom"/>
            <w:hideMark/>
          </w:tcPr>
          <w:p w14:paraId="0DD7E6CC" w14:textId="7161A5AF" w:rsidR="00446FB1" w:rsidRDefault="00446FB1" w:rsidP="00446FB1">
            <w:pPr>
              <w:jc w:val="right"/>
              <w:rPr>
                <w:color w:val="000000"/>
                <w:sz w:val="20"/>
                <w:szCs w:val="20"/>
              </w:rPr>
            </w:pPr>
            <w:r>
              <w:rPr>
                <w:color w:val="000000"/>
                <w:sz w:val="20"/>
                <w:szCs w:val="20"/>
              </w:rPr>
              <w:t>0.741</w:t>
            </w:r>
          </w:p>
        </w:tc>
        <w:tc>
          <w:tcPr>
            <w:tcW w:w="768" w:type="dxa"/>
            <w:tcBorders>
              <w:top w:val="nil"/>
              <w:left w:val="nil"/>
              <w:bottom w:val="single" w:sz="12" w:space="0" w:color="auto"/>
              <w:right w:val="nil"/>
            </w:tcBorders>
            <w:shd w:val="clear" w:color="auto" w:fill="auto"/>
            <w:noWrap/>
            <w:vAlign w:val="bottom"/>
            <w:hideMark/>
          </w:tcPr>
          <w:p w14:paraId="2EBDCCD8" w14:textId="0225486D" w:rsidR="00446FB1" w:rsidRDefault="00446FB1" w:rsidP="00446FB1">
            <w:pPr>
              <w:jc w:val="right"/>
              <w:rPr>
                <w:color w:val="000000"/>
                <w:sz w:val="20"/>
                <w:szCs w:val="20"/>
              </w:rPr>
            </w:pPr>
            <w:r>
              <w:rPr>
                <w:color w:val="000000"/>
                <w:sz w:val="20"/>
                <w:szCs w:val="20"/>
              </w:rPr>
              <w:t>0.000</w:t>
            </w:r>
          </w:p>
        </w:tc>
      </w:tr>
      <w:tr w:rsidR="00774967" w14:paraId="15B70EDB"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343E317D" w14:textId="77777777" w:rsidR="00774967" w:rsidRDefault="00774967">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50FD5B48" w14:textId="77777777" w:rsidR="00774967" w:rsidRDefault="00774967">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22A3AEF4"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C7B794A"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7E903FF"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14B07B5"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6737BD4"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7623C06"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EA57B02"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D6CEAD8"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67A489F"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C40C1AB"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B52A905"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D2AEDDE"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2F461AB"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453DF6C" w14:textId="77777777" w:rsidR="00774967" w:rsidRDefault="0077496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0AF0747" w14:textId="77777777" w:rsidR="00774967" w:rsidRDefault="00774967">
            <w:pPr>
              <w:rPr>
                <w:sz w:val="20"/>
                <w:szCs w:val="20"/>
              </w:rPr>
            </w:pPr>
          </w:p>
        </w:tc>
      </w:tr>
    </w:tbl>
    <w:p w14:paraId="2988C360" w14:textId="7694802D" w:rsidR="00B209E0" w:rsidRDefault="00B209E0" w:rsidP="00BA3AF4">
      <w:pPr>
        <w:spacing w:line="480" w:lineRule="auto"/>
      </w:pPr>
    </w:p>
    <w:p w14:paraId="3A063975" w14:textId="77777777" w:rsidR="00B209E0" w:rsidRDefault="00B209E0">
      <w:r>
        <w:br w:type="page"/>
      </w:r>
    </w:p>
    <w:p w14:paraId="1BD701C4" w14:textId="2672E4FB" w:rsidR="00B209E0" w:rsidRPr="009E2A20" w:rsidRDefault="00432B71" w:rsidP="009E2A20">
      <w:pPr>
        <w:pStyle w:val="Heading1"/>
        <w:rPr>
          <w:rFonts w:ascii="Times New Roman" w:hAnsi="Times New Roman" w:cs="Times New Roman"/>
          <w:color w:val="000000" w:themeColor="text1"/>
          <w:sz w:val="24"/>
          <w:szCs w:val="24"/>
        </w:rPr>
      </w:pPr>
      <w:bookmarkStart w:id="41" w:name="_Toc155817708"/>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994E15">
        <w:rPr>
          <w:rFonts w:ascii="Times New Roman" w:hAnsi="Times New Roman" w:cs="Times New Roman"/>
          <w:b/>
          <w:bCs/>
          <w:color w:val="000000" w:themeColor="text1"/>
          <w:sz w:val="24"/>
          <w:szCs w:val="24"/>
        </w:rPr>
        <w:t>5</w:t>
      </w:r>
      <w:r w:rsidR="00B209E0" w:rsidRPr="009E2A20">
        <w:rPr>
          <w:rFonts w:ascii="Times New Roman" w:hAnsi="Times New Roman" w:cs="Times New Roman"/>
          <w:b/>
          <w:bCs/>
          <w:color w:val="000000" w:themeColor="text1"/>
          <w:sz w:val="24"/>
          <w:szCs w:val="24"/>
        </w:rPr>
        <w:t xml:space="preserve">b. </w:t>
      </w:r>
      <w:r w:rsidR="00B209E0"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average shortest path length during the stop signal tas</w:t>
      </w:r>
      <w:r w:rsidR="001617D3" w:rsidRPr="009E2A20">
        <w:rPr>
          <w:rFonts w:ascii="Times New Roman" w:hAnsi="Times New Roman" w:cs="Times New Roman"/>
          <w:color w:val="000000" w:themeColor="text1"/>
          <w:sz w:val="24"/>
          <w:szCs w:val="24"/>
        </w:rPr>
        <w:t>k</w:t>
      </w:r>
      <w:bookmarkEnd w:id="41"/>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7C047B" w14:paraId="377AC1A4" w14:textId="77777777" w:rsidTr="00964DCF">
        <w:trPr>
          <w:trHeight w:val="340"/>
        </w:trPr>
        <w:tc>
          <w:tcPr>
            <w:tcW w:w="1176" w:type="dxa"/>
            <w:tcBorders>
              <w:top w:val="nil"/>
              <w:left w:val="nil"/>
              <w:bottom w:val="single" w:sz="12" w:space="0" w:color="auto"/>
              <w:right w:val="nil"/>
            </w:tcBorders>
            <w:shd w:val="clear" w:color="auto" w:fill="auto"/>
            <w:noWrap/>
            <w:vAlign w:val="bottom"/>
            <w:hideMark/>
          </w:tcPr>
          <w:p w14:paraId="05A0629E" w14:textId="77777777" w:rsidR="007C047B" w:rsidRDefault="007C047B">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4F3FEB1" w14:textId="77777777" w:rsidR="007C047B" w:rsidRDefault="007C047B">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4F7ECE73" w14:textId="77777777" w:rsidR="007C047B" w:rsidRDefault="007C047B">
            <w:pPr>
              <w:rPr>
                <w:color w:val="000000"/>
              </w:rPr>
            </w:pPr>
          </w:p>
        </w:tc>
        <w:tc>
          <w:tcPr>
            <w:tcW w:w="768" w:type="dxa"/>
            <w:tcBorders>
              <w:top w:val="nil"/>
              <w:left w:val="nil"/>
              <w:bottom w:val="single" w:sz="12" w:space="0" w:color="auto"/>
              <w:right w:val="nil"/>
            </w:tcBorders>
            <w:shd w:val="clear" w:color="auto" w:fill="auto"/>
            <w:noWrap/>
            <w:vAlign w:val="bottom"/>
            <w:hideMark/>
          </w:tcPr>
          <w:p w14:paraId="4EC2FF3F"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9C6FC30"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1C59148"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3635AD0"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59FA75E"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8E497C4"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49F1326"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5AE3D38"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86F71D2"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66E7562"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69A0041"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D08744F" w14:textId="77777777" w:rsidR="007C047B" w:rsidRDefault="007C047B">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862EB77" w14:textId="77777777" w:rsidR="007C047B" w:rsidRDefault="007C047B">
            <w:pPr>
              <w:rPr>
                <w:sz w:val="20"/>
                <w:szCs w:val="20"/>
              </w:rPr>
            </w:pPr>
          </w:p>
        </w:tc>
        <w:tc>
          <w:tcPr>
            <w:tcW w:w="768" w:type="dxa"/>
            <w:tcBorders>
              <w:top w:val="nil"/>
              <w:left w:val="nil"/>
              <w:bottom w:val="nil"/>
              <w:right w:val="nil"/>
            </w:tcBorders>
            <w:shd w:val="clear" w:color="auto" w:fill="auto"/>
            <w:noWrap/>
            <w:vAlign w:val="bottom"/>
            <w:hideMark/>
          </w:tcPr>
          <w:p w14:paraId="15F01C4F" w14:textId="77777777" w:rsidR="007C047B" w:rsidRDefault="007C047B">
            <w:pPr>
              <w:rPr>
                <w:sz w:val="20"/>
                <w:szCs w:val="20"/>
              </w:rPr>
            </w:pPr>
          </w:p>
        </w:tc>
      </w:tr>
      <w:tr w:rsidR="007C047B" w14:paraId="44E42B9B" w14:textId="77777777" w:rsidTr="00964DCF">
        <w:trPr>
          <w:trHeight w:val="340"/>
        </w:trPr>
        <w:tc>
          <w:tcPr>
            <w:tcW w:w="1176" w:type="dxa"/>
            <w:tcBorders>
              <w:top w:val="single" w:sz="12" w:space="0" w:color="auto"/>
              <w:left w:val="nil"/>
              <w:bottom w:val="nil"/>
              <w:right w:val="nil"/>
            </w:tcBorders>
            <w:shd w:val="clear" w:color="auto" w:fill="auto"/>
            <w:noWrap/>
            <w:vAlign w:val="bottom"/>
            <w:hideMark/>
          </w:tcPr>
          <w:p w14:paraId="7B637A3B" w14:textId="77777777" w:rsidR="007C047B" w:rsidRDefault="007C047B">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3255187A" w14:textId="77777777" w:rsidR="007C047B" w:rsidRDefault="007C047B">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0598E1A8" w14:textId="7316F2B9" w:rsidR="007C047B" w:rsidRDefault="007C047B">
            <w:pPr>
              <w:jc w:val="center"/>
              <w:rPr>
                <w:color w:val="000000"/>
                <w:sz w:val="20"/>
                <w:szCs w:val="20"/>
              </w:rPr>
            </w:pPr>
            <w:r>
              <w:rPr>
                <w:color w:val="000000"/>
                <w:sz w:val="20"/>
                <w:szCs w:val="20"/>
              </w:rPr>
              <w:t>General</w:t>
            </w:r>
            <w:r w:rsidR="00926BE7">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5159BA2" w14:textId="77777777" w:rsidR="007C047B" w:rsidRDefault="007C047B">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9007922" w14:textId="77777777" w:rsidR="007C047B" w:rsidRDefault="007C047B">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233DAAD" w14:textId="77777777" w:rsidR="007C047B" w:rsidRDefault="007C047B">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7A590A11" w14:textId="77777777" w:rsidR="007C047B" w:rsidRDefault="007C047B">
            <w:pPr>
              <w:jc w:val="center"/>
              <w:rPr>
                <w:color w:val="000000"/>
                <w:sz w:val="20"/>
                <w:szCs w:val="20"/>
              </w:rPr>
            </w:pPr>
            <w:r>
              <w:rPr>
                <w:color w:val="000000"/>
                <w:sz w:val="20"/>
                <w:szCs w:val="20"/>
              </w:rPr>
              <w:t>Urbanicity</w:t>
            </w:r>
          </w:p>
        </w:tc>
      </w:tr>
      <w:tr w:rsidR="002125FE" w14:paraId="5767D66F" w14:textId="77777777" w:rsidTr="00964DCF">
        <w:trPr>
          <w:trHeight w:val="360"/>
        </w:trPr>
        <w:tc>
          <w:tcPr>
            <w:tcW w:w="1176" w:type="dxa"/>
            <w:tcBorders>
              <w:top w:val="nil"/>
              <w:left w:val="nil"/>
              <w:bottom w:val="single" w:sz="12" w:space="0" w:color="auto"/>
              <w:right w:val="nil"/>
            </w:tcBorders>
            <w:shd w:val="clear" w:color="auto" w:fill="auto"/>
            <w:noWrap/>
            <w:vAlign w:val="bottom"/>
            <w:hideMark/>
          </w:tcPr>
          <w:p w14:paraId="0069B5D9"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727205D1"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1B5627C7" w14:textId="0EFD3B6E"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340C11A" w14:textId="08225FB7"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63CEB0B" w14:textId="29BEB444"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A11F4B8" w14:textId="141664CE"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DE5E3BA" w14:textId="5C013139"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375E28D8" w14:textId="34CA41F5"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3251AAE1" w14:textId="4E511D35"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02154D5D" w14:textId="0D822FBE"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0645912D" w14:textId="566E53CE"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nil"/>
              <w:left w:val="nil"/>
              <w:bottom w:val="single" w:sz="12" w:space="0" w:color="auto"/>
              <w:right w:val="nil"/>
            </w:tcBorders>
            <w:shd w:val="clear" w:color="auto" w:fill="auto"/>
            <w:noWrap/>
            <w:vAlign w:val="center"/>
            <w:hideMark/>
          </w:tcPr>
          <w:p w14:paraId="35DF1B28" w14:textId="6191E01F"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4B2193A8" w14:textId="7C39600C"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622A5F2F" w14:textId="4026A332"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E926F09" w14:textId="254F924D"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2BA6165" w14:textId="08B8C4DA"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3373136" w14:textId="3364979E"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9A7A37" w14:paraId="69179809" w14:textId="77777777" w:rsidTr="00964DCF">
        <w:trPr>
          <w:trHeight w:val="320"/>
        </w:trPr>
        <w:tc>
          <w:tcPr>
            <w:tcW w:w="1176" w:type="dxa"/>
            <w:tcBorders>
              <w:top w:val="single" w:sz="12" w:space="0" w:color="auto"/>
              <w:left w:val="nil"/>
              <w:bottom w:val="nil"/>
              <w:right w:val="nil"/>
            </w:tcBorders>
            <w:shd w:val="clear" w:color="auto" w:fill="auto"/>
            <w:noWrap/>
            <w:vAlign w:val="bottom"/>
            <w:hideMark/>
          </w:tcPr>
          <w:p w14:paraId="459A36CB" w14:textId="77777777" w:rsidR="009A7A37" w:rsidRDefault="009A7A37" w:rsidP="009A7A37">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4834D4C0" w14:textId="77777777" w:rsidR="009A7A37" w:rsidRDefault="009A7A37" w:rsidP="009A7A37">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2DD29CC6" w14:textId="57A54330" w:rsidR="009A7A37" w:rsidRDefault="009A7A37" w:rsidP="009A7A37">
            <w:pPr>
              <w:jc w:val="right"/>
              <w:rPr>
                <w:color w:val="000000"/>
                <w:sz w:val="20"/>
                <w:szCs w:val="20"/>
              </w:rPr>
            </w:pPr>
            <w:r>
              <w:rPr>
                <w:color w:val="000000"/>
                <w:sz w:val="20"/>
                <w:szCs w:val="20"/>
              </w:rPr>
              <w:t>0.082</w:t>
            </w:r>
          </w:p>
        </w:tc>
        <w:tc>
          <w:tcPr>
            <w:tcW w:w="768" w:type="dxa"/>
            <w:tcBorders>
              <w:top w:val="single" w:sz="12" w:space="0" w:color="auto"/>
              <w:left w:val="nil"/>
              <w:bottom w:val="nil"/>
              <w:right w:val="nil"/>
            </w:tcBorders>
            <w:shd w:val="clear" w:color="auto" w:fill="auto"/>
            <w:noWrap/>
            <w:vAlign w:val="bottom"/>
            <w:hideMark/>
          </w:tcPr>
          <w:p w14:paraId="03D5154D" w14:textId="3ACCD461" w:rsidR="009A7A37" w:rsidRDefault="009A7A37" w:rsidP="009A7A37">
            <w:pPr>
              <w:jc w:val="right"/>
              <w:rPr>
                <w:color w:val="000000"/>
                <w:sz w:val="20"/>
                <w:szCs w:val="20"/>
              </w:rPr>
            </w:pPr>
            <w:r>
              <w:rPr>
                <w:color w:val="000000"/>
                <w:sz w:val="20"/>
                <w:szCs w:val="20"/>
              </w:rPr>
              <w:t>0.260</w:t>
            </w:r>
          </w:p>
        </w:tc>
        <w:tc>
          <w:tcPr>
            <w:tcW w:w="768" w:type="dxa"/>
            <w:tcBorders>
              <w:top w:val="single" w:sz="12" w:space="0" w:color="auto"/>
              <w:left w:val="nil"/>
              <w:bottom w:val="nil"/>
              <w:right w:val="nil"/>
            </w:tcBorders>
            <w:shd w:val="clear" w:color="auto" w:fill="auto"/>
            <w:noWrap/>
            <w:vAlign w:val="bottom"/>
            <w:hideMark/>
          </w:tcPr>
          <w:p w14:paraId="209ED562" w14:textId="1472B749" w:rsidR="009A7A37" w:rsidRDefault="009A7A37" w:rsidP="009A7A37">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086CE31A" w14:textId="3DDA264A" w:rsidR="009A7A37" w:rsidRDefault="009A7A37" w:rsidP="009A7A37">
            <w:pPr>
              <w:jc w:val="right"/>
              <w:rPr>
                <w:color w:val="000000"/>
                <w:sz w:val="20"/>
                <w:szCs w:val="20"/>
              </w:rPr>
            </w:pPr>
            <w:r>
              <w:rPr>
                <w:color w:val="000000"/>
                <w:sz w:val="20"/>
                <w:szCs w:val="20"/>
              </w:rPr>
              <w:t>0.013</w:t>
            </w:r>
          </w:p>
        </w:tc>
        <w:tc>
          <w:tcPr>
            <w:tcW w:w="768" w:type="dxa"/>
            <w:tcBorders>
              <w:top w:val="single" w:sz="12" w:space="0" w:color="auto"/>
              <w:left w:val="nil"/>
              <w:bottom w:val="nil"/>
              <w:right w:val="nil"/>
            </w:tcBorders>
            <w:shd w:val="clear" w:color="auto" w:fill="auto"/>
            <w:noWrap/>
            <w:vAlign w:val="bottom"/>
            <w:hideMark/>
          </w:tcPr>
          <w:p w14:paraId="54510F65" w14:textId="7AB37B26" w:rsidR="009A7A37" w:rsidRDefault="009A7A37" w:rsidP="009A7A37">
            <w:pPr>
              <w:jc w:val="right"/>
              <w:rPr>
                <w:color w:val="000000"/>
                <w:sz w:val="20"/>
                <w:szCs w:val="20"/>
              </w:rPr>
            </w:pPr>
            <w:r>
              <w:rPr>
                <w:color w:val="000000"/>
                <w:sz w:val="20"/>
                <w:szCs w:val="20"/>
              </w:rPr>
              <w:t>0.955</w:t>
            </w:r>
          </w:p>
        </w:tc>
        <w:tc>
          <w:tcPr>
            <w:tcW w:w="768" w:type="dxa"/>
            <w:tcBorders>
              <w:top w:val="single" w:sz="12" w:space="0" w:color="auto"/>
              <w:left w:val="nil"/>
              <w:bottom w:val="nil"/>
              <w:right w:val="nil"/>
            </w:tcBorders>
            <w:shd w:val="clear" w:color="auto" w:fill="auto"/>
            <w:noWrap/>
            <w:vAlign w:val="bottom"/>
            <w:hideMark/>
          </w:tcPr>
          <w:p w14:paraId="44C88350" w14:textId="54ADDF18" w:rsidR="009A7A37" w:rsidRDefault="009A7A37" w:rsidP="009A7A37">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B6263EF" w14:textId="1D3454DB" w:rsidR="009A7A37" w:rsidRDefault="009A7A37" w:rsidP="009A7A37">
            <w:pPr>
              <w:jc w:val="right"/>
              <w:rPr>
                <w:color w:val="000000"/>
                <w:sz w:val="20"/>
                <w:szCs w:val="20"/>
              </w:rPr>
            </w:pPr>
            <w:r>
              <w:rPr>
                <w:color w:val="000000"/>
                <w:sz w:val="20"/>
                <w:szCs w:val="20"/>
              </w:rPr>
              <w:t>0.023</w:t>
            </w:r>
          </w:p>
        </w:tc>
        <w:tc>
          <w:tcPr>
            <w:tcW w:w="768" w:type="dxa"/>
            <w:tcBorders>
              <w:top w:val="single" w:sz="12" w:space="0" w:color="auto"/>
              <w:left w:val="nil"/>
              <w:bottom w:val="nil"/>
              <w:right w:val="nil"/>
            </w:tcBorders>
            <w:shd w:val="clear" w:color="auto" w:fill="auto"/>
            <w:noWrap/>
            <w:vAlign w:val="bottom"/>
            <w:hideMark/>
          </w:tcPr>
          <w:p w14:paraId="68A0B9CA" w14:textId="79A8C1D7" w:rsidR="009A7A37" w:rsidRDefault="009A7A37" w:rsidP="009A7A37">
            <w:pPr>
              <w:jc w:val="right"/>
              <w:rPr>
                <w:color w:val="000000"/>
                <w:sz w:val="20"/>
                <w:szCs w:val="20"/>
              </w:rPr>
            </w:pPr>
            <w:r>
              <w:rPr>
                <w:color w:val="000000"/>
                <w:sz w:val="20"/>
                <w:szCs w:val="20"/>
              </w:rPr>
              <w:t>0.898</w:t>
            </w:r>
          </w:p>
        </w:tc>
        <w:tc>
          <w:tcPr>
            <w:tcW w:w="768" w:type="dxa"/>
            <w:tcBorders>
              <w:top w:val="single" w:sz="12" w:space="0" w:color="auto"/>
              <w:left w:val="nil"/>
              <w:bottom w:val="nil"/>
              <w:right w:val="nil"/>
            </w:tcBorders>
            <w:shd w:val="clear" w:color="auto" w:fill="auto"/>
            <w:noWrap/>
            <w:vAlign w:val="bottom"/>
            <w:hideMark/>
          </w:tcPr>
          <w:p w14:paraId="79045EC9" w14:textId="4D7076D3" w:rsidR="009A7A37" w:rsidRDefault="009A7A37" w:rsidP="009A7A37">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37B52E25" w14:textId="70CA253B" w:rsidR="009A7A37" w:rsidRDefault="009A7A37" w:rsidP="009A7A37">
            <w:pPr>
              <w:jc w:val="right"/>
              <w:rPr>
                <w:color w:val="000000"/>
                <w:sz w:val="20"/>
                <w:szCs w:val="20"/>
              </w:rPr>
            </w:pPr>
            <w:r>
              <w:rPr>
                <w:color w:val="000000"/>
                <w:sz w:val="20"/>
                <w:szCs w:val="20"/>
              </w:rPr>
              <w:t>0.079</w:t>
            </w:r>
          </w:p>
        </w:tc>
        <w:tc>
          <w:tcPr>
            <w:tcW w:w="768" w:type="dxa"/>
            <w:tcBorders>
              <w:top w:val="single" w:sz="12" w:space="0" w:color="auto"/>
              <w:left w:val="nil"/>
              <w:bottom w:val="nil"/>
              <w:right w:val="nil"/>
            </w:tcBorders>
            <w:shd w:val="clear" w:color="auto" w:fill="auto"/>
            <w:noWrap/>
            <w:vAlign w:val="bottom"/>
            <w:hideMark/>
          </w:tcPr>
          <w:p w14:paraId="3CB81549" w14:textId="13B94CFD" w:rsidR="009A7A37" w:rsidRDefault="009A7A37" w:rsidP="009A7A37">
            <w:pPr>
              <w:jc w:val="right"/>
              <w:rPr>
                <w:color w:val="000000"/>
                <w:sz w:val="20"/>
                <w:szCs w:val="20"/>
              </w:rPr>
            </w:pPr>
            <w:r>
              <w:rPr>
                <w:color w:val="000000"/>
                <w:sz w:val="20"/>
                <w:szCs w:val="20"/>
              </w:rPr>
              <w:t>0.236</w:t>
            </w:r>
          </w:p>
        </w:tc>
        <w:tc>
          <w:tcPr>
            <w:tcW w:w="768" w:type="dxa"/>
            <w:tcBorders>
              <w:top w:val="single" w:sz="12" w:space="0" w:color="auto"/>
              <w:left w:val="nil"/>
              <w:bottom w:val="nil"/>
              <w:right w:val="nil"/>
            </w:tcBorders>
            <w:shd w:val="clear" w:color="auto" w:fill="auto"/>
            <w:noWrap/>
            <w:vAlign w:val="bottom"/>
            <w:hideMark/>
          </w:tcPr>
          <w:p w14:paraId="7D15752C" w14:textId="7BF84D0F" w:rsidR="009A7A37" w:rsidRDefault="009A7A37" w:rsidP="009A7A37">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3B3D0927" w14:textId="4AB7E8EF" w:rsidR="009A7A37" w:rsidRDefault="009A7A37" w:rsidP="009A7A37">
            <w:pPr>
              <w:jc w:val="right"/>
              <w:rPr>
                <w:color w:val="000000"/>
                <w:sz w:val="20"/>
                <w:szCs w:val="20"/>
              </w:rPr>
            </w:pPr>
            <w:r>
              <w:rPr>
                <w:color w:val="000000"/>
                <w:sz w:val="20"/>
                <w:szCs w:val="20"/>
              </w:rPr>
              <w:t>-0.025</w:t>
            </w:r>
          </w:p>
        </w:tc>
        <w:tc>
          <w:tcPr>
            <w:tcW w:w="768" w:type="dxa"/>
            <w:tcBorders>
              <w:top w:val="single" w:sz="12" w:space="0" w:color="auto"/>
              <w:left w:val="nil"/>
              <w:bottom w:val="nil"/>
              <w:right w:val="nil"/>
            </w:tcBorders>
            <w:shd w:val="clear" w:color="auto" w:fill="auto"/>
            <w:noWrap/>
            <w:vAlign w:val="bottom"/>
            <w:hideMark/>
          </w:tcPr>
          <w:p w14:paraId="2F94F3DD" w14:textId="3BC34C31" w:rsidR="009A7A37" w:rsidRDefault="009A7A37" w:rsidP="009A7A37">
            <w:pPr>
              <w:jc w:val="right"/>
              <w:rPr>
                <w:color w:val="000000"/>
                <w:sz w:val="20"/>
                <w:szCs w:val="20"/>
              </w:rPr>
            </w:pPr>
            <w:r>
              <w:rPr>
                <w:color w:val="000000"/>
                <w:sz w:val="20"/>
                <w:szCs w:val="20"/>
              </w:rPr>
              <w:t>0.985</w:t>
            </w:r>
          </w:p>
        </w:tc>
        <w:tc>
          <w:tcPr>
            <w:tcW w:w="768" w:type="dxa"/>
            <w:tcBorders>
              <w:top w:val="single" w:sz="12" w:space="0" w:color="auto"/>
              <w:left w:val="nil"/>
              <w:bottom w:val="nil"/>
              <w:right w:val="nil"/>
            </w:tcBorders>
            <w:shd w:val="clear" w:color="auto" w:fill="auto"/>
            <w:noWrap/>
            <w:vAlign w:val="bottom"/>
            <w:hideMark/>
          </w:tcPr>
          <w:p w14:paraId="005C1ED6" w14:textId="3F98A53C" w:rsidR="009A7A37" w:rsidRDefault="009A7A37" w:rsidP="009A7A37">
            <w:pPr>
              <w:jc w:val="right"/>
              <w:rPr>
                <w:color w:val="000000"/>
                <w:sz w:val="20"/>
                <w:szCs w:val="20"/>
              </w:rPr>
            </w:pPr>
            <w:r>
              <w:rPr>
                <w:color w:val="000000"/>
                <w:sz w:val="20"/>
                <w:szCs w:val="20"/>
              </w:rPr>
              <w:t>0.001</w:t>
            </w:r>
          </w:p>
        </w:tc>
      </w:tr>
      <w:tr w:rsidR="009A7A37" w14:paraId="1CBCDEA2" w14:textId="77777777" w:rsidTr="007C047B">
        <w:trPr>
          <w:trHeight w:val="340"/>
        </w:trPr>
        <w:tc>
          <w:tcPr>
            <w:tcW w:w="1176" w:type="dxa"/>
            <w:tcBorders>
              <w:top w:val="nil"/>
              <w:left w:val="nil"/>
              <w:bottom w:val="nil"/>
              <w:right w:val="nil"/>
            </w:tcBorders>
            <w:shd w:val="clear" w:color="auto" w:fill="auto"/>
            <w:noWrap/>
            <w:vAlign w:val="bottom"/>
            <w:hideMark/>
          </w:tcPr>
          <w:p w14:paraId="49307620"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3307E38" w14:textId="77777777" w:rsidR="009A7A37" w:rsidRDefault="009A7A37" w:rsidP="009A7A37">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66706F4" w14:textId="6A7274DA" w:rsidR="009A7A37" w:rsidRDefault="009A7A37" w:rsidP="009A7A37">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4982ABF6" w14:textId="5F3AA8E2" w:rsidR="009A7A37" w:rsidRDefault="009A7A37" w:rsidP="009A7A37">
            <w:pPr>
              <w:jc w:val="right"/>
              <w:rPr>
                <w:color w:val="000000"/>
                <w:sz w:val="20"/>
                <w:szCs w:val="20"/>
              </w:rPr>
            </w:pPr>
            <w:r>
              <w:rPr>
                <w:color w:val="000000"/>
                <w:sz w:val="20"/>
                <w:szCs w:val="20"/>
              </w:rPr>
              <w:t>0.544</w:t>
            </w:r>
          </w:p>
        </w:tc>
        <w:tc>
          <w:tcPr>
            <w:tcW w:w="768" w:type="dxa"/>
            <w:tcBorders>
              <w:top w:val="nil"/>
              <w:left w:val="nil"/>
              <w:bottom w:val="nil"/>
              <w:right w:val="nil"/>
            </w:tcBorders>
            <w:shd w:val="clear" w:color="auto" w:fill="auto"/>
            <w:noWrap/>
            <w:vAlign w:val="bottom"/>
            <w:hideMark/>
          </w:tcPr>
          <w:p w14:paraId="350BD6BB" w14:textId="588E2E03"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239A006" w14:textId="3960FC15" w:rsidR="009A7A37" w:rsidRDefault="009A7A37" w:rsidP="009A7A37">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7BCC2B9" w14:textId="7A92D0EB" w:rsidR="009A7A37" w:rsidRDefault="009A7A37" w:rsidP="009A7A37">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3F87040E" w14:textId="73D16DB7"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B3668D" w14:textId="5978144D" w:rsidR="009A7A37" w:rsidRDefault="009A7A37" w:rsidP="009A7A37">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272046B" w14:textId="66B3E67A" w:rsidR="009A7A37" w:rsidRDefault="009A7A37" w:rsidP="009A7A37">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5B204480" w14:textId="27F6A775"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F0D536" w14:textId="0825975B" w:rsidR="009A7A37" w:rsidRDefault="009A7A37" w:rsidP="009A7A37">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5307C57" w14:textId="2A83B14E" w:rsidR="009A7A37" w:rsidRDefault="009A7A37" w:rsidP="009A7A37">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401EFC08" w14:textId="419DEA3E"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B7A45B" w14:textId="6E3678B1" w:rsidR="009A7A37" w:rsidRDefault="009A7A37" w:rsidP="009A7A37">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43293503" w14:textId="1E34C72E" w:rsidR="009A7A37" w:rsidRDefault="009A7A37" w:rsidP="009A7A37">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1EE39AF8" w14:textId="04E62E88" w:rsidR="009A7A37" w:rsidRDefault="009A7A37" w:rsidP="009A7A37">
            <w:pPr>
              <w:jc w:val="right"/>
              <w:rPr>
                <w:color w:val="000000"/>
                <w:sz w:val="20"/>
                <w:szCs w:val="20"/>
              </w:rPr>
            </w:pPr>
            <w:r>
              <w:rPr>
                <w:color w:val="000000"/>
                <w:sz w:val="20"/>
                <w:szCs w:val="20"/>
              </w:rPr>
              <w:t>0.004</w:t>
            </w:r>
          </w:p>
        </w:tc>
      </w:tr>
      <w:tr w:rsidR="009A7A37" w14:paraId="5C40AE93" w14:textId="77777777" w:rsidTr="007C047B">
        <w:trPr>
          <w:trHeight w:val="320"/>
        </w:trPr>
        <w:tc>
          <w:tcPr>
            <w:tcW w:w="1176" w:type="dxa"/>
            <w:tcBorders>
              <w:top w:val="nil"/>
              <w:left w:val="nil"/>
              <w:bottom w:val="nil"/>
              <w:right w:val="nil"/>
            </w:tcBorders>
            <w:shd w:val="clear" w:color="auto" w:fill="auto"/>
            <w:noWrap/>
            <w:vAlign w:val="bottom"/>
            <w:hideMark/>
          </w:tcPr>
          <w:p w14:paraId="14B5ABB8"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897488" w14:textId="77777777" w:rsidR="009A7A37" w:rsidRDefault="009A7A37" w:rsidP="009A7A37">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C485235" w14:textId="78A1BFDE" w:rsidR="009A7A37" w:rsidRDefault="009A7A37" w:rsidP="009A7A37">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2D869C10" w14:textId="79589BE9" w:rsidR="009A7A37" w:rsidRDefault="009A7A37" w:rsidP="009A7A37">
            <w:pPr>
              <w:jc w:val="right"/>
              <w:rPr>
                <w:color w:val="000000"/>
                <w:sz w:val="20"/>
                <w:szCs w:val="20"/>
              </w:rPr>
            </w:pPr>
            <w:r>
              <w:rPr>
                <w:color w:val="000000"/>
                <w:sz w:val="20"/>
                <w:szCs w:val="20"/>
              </w:rPr>
              <w:t>0.339</w:t>
            </w:r>
          </w:p>
        </w:tc>
        <w:tc>
          <w:tcPr>
            <w:tcW w:w="768" w:type="dxa"/>
            <w:tcBorders>
              <w:top w:val="nil"/>
              <w:left w:val="nil"/>
              <w:bottom w:val="nil"/>
              <w:right w:val="nil"/>
            </w:tcBorders>
            <w:shd w:val="clear" w:color="auto" w:fill="auto"/>
            <w:noWrap/>
            <w:vAlign w:val="bottom"/>
            <w:hideMark/>
          </w:tcPr>
          <w:p w14:paraId="201DDF5E" w14:textId="6C41235F" w:rsidR="009A7A37" w:rsidRDefault="009A7A37" w:rsidP="009A7A37">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50ECC8D" w14:textId="3191A992" w:rsidR="009A7A37" w:rsidRDefault="009A7A37" w:rsidP="009A7A37">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3CA07EE" w14:textId="29F27344" w:rsidR="009A7A37" w:rsidRDefault="009A7A37" w:rsidP="009A7A37">
            <w:pPr>
              <w:jc w:val="right"/>
              <w:rPr>
                <w:color w:val="000000"/>
                <w:sz w:val="20"/>
                <w:szCs w:val="20"/>
              </w:rPr>
            </w:pPr>
            <w:r>
              <w:rPr>
                <w:color w:val="000000"/>
                <w:sz w:val="20"/>
                <w:szCs w:val="20"/>
              </w:rPr>
              <w:t>0.968</w:t>
            </w:r>
          </w:p>
        </w:tc>
        <w:tc>
          <w:tcPr>
            <w:tcW w:w="768" w:type="dxa"/>
            <w:tcBorders>
              <w:top w:val="nil"/>
              <w:left w:val="nil"/>
              <w:bottom w:val="nil"/>
              <w:right w:val="nil"/>
            </w:tcBorders>
            <w:shd w:val="clear" w:color="auto" w:fill="auto"/>
            <w:noWrap/>
            <w:vAlign w:val="bottom"/>
            <w:hideMark/>
          </w:tcPr>
          <w:p w14:paraId="489EEC9C" w14:textId="176B0840"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E7EA86" w14:textId="240BDA44" w:rsidR="009A7A37" w:rsidRDefault="009A7A37" w:rsidP="009A7A37">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431CE5F4" w14:textId="0EE97B54" w:rsidR="009A7A37" w:rsidRDefault="009A7A37" w:rsidP="009A7A37">
            <w:pPr>
              <w:jc w:val="right"/>
              <w:rPr>
                <w:color w:val="000000"/>
                <w:sz w:val="20"/>
                <w:szCs w:val="20"/>
              </w:rPr>
            </w:pPr>
            <w:r>
              <w:rPr>
                <w:color w:val="000000"/>
                <w:sz w:val="20"/>
                <w:szCs w:val="20"/>
              </w:rPr>
              <w:t>0.716</w:t>
            </w:r>
          </w:p>
        </w:tc>
        <w:tc>
          <w:tcPr>
            <w:tcW w:w="768" w:type="dxa"/>
            <w:tcBorders>
              <w:top w:val="nil"/>
              <w:left w:val="nil"/>
              <w:bottom w:val="nil"/>
              <w:right w:val="nil"/>
            </w:tcBorders>
            <w:shd w:val="clear" w:color="auto" w:fill="auto"/>
            <w:noWrap/>
            <w:vAlign w:val="bottom"/>
            <w:hideMark/>
          </w:tcPr>
          <w:p w14:paraId="46AEA239" w14:textId="0EEE7339" w:rsidR="009A7A37" w:rsidRDefault="009A7A37" w:rsidP="009A7A37">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49243B8" w14:textId="2C6ED31B" w:rsidR="009A7A37" w:rsidRDefault="009A7A37" w:rsidP="009A7A37">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6A3CA99B" w14:textId="1342974B" w:rsidR="009A7A37" w:rsidRDefault="009A7A37" w:rsidP="009A7A37">
            <w:pPr>
              <w:jc w:val="right"/>
              <w:rPr>
                <w:color w:val="000000"/>
                <w:sz w:val="20"/>
                <w:szCs w:val="20"/>
              </w:rPr>
            </w:pPr>
            <w:r>
              <w:rPr>
                <w:color w:val="000000"/>
                <w:sz w:val="20"/>
                <w:szCs w:val="20"/>
              </w:rPr>
              <w:t>0.721</w:t>
            </w:r>
          </w:p>
        </w:tc>
        <w:tc>
          <w:tcPr>
            <w:tcW w:w="768" w:type="dxa"/>
            <w:tcBorders>
              <w:top w:val="nil"/>
              <w:left w:val="nil"/>
              <w:bottom w:val="nil"/>
              <w:right w:val="nil"/>
            </w:tcBorders>
            <w:shd w:val="clear" w:color="auto" w:fill="auto"/>
            <w:noWrap/>
            <w:vAlign w:val="bottom"/>
            <w:hideMark/>
          </w:tcPr>
          <w:p w14:paraId="34438F41" w14:textId="70A61C3E"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EDB7254" w14:textId="35FA417F" w:rsidR="009A7A37" w:rsidRDefault="009A7A37" w:rsidP="009A7A37">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63BDBF74" w14:textId="52C9B873" w:rsidR="009A7A37" w:rsidRDefault="009A7A37" w:rsidP="009A7A37">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0166B52A" w14:textId="22E7E6DF" w:rsidR="009A7A37" w:rsidRDefault="009A7A37" w:rsidP="009A7A37">
            <w:pPr>
              <w:jc w:val="right"/>
              <w:rPr>
                <w:color w:val="000000"/>
                <w:sz w:val="20"/>
                <w:szCs w:val="20"/>
              </w:rPr>
            </w:pPr>
            <w:r>
              <w:rPr>
                <w:color w:val="000000"/>
                <w:sz w:val="20"/>
                <w:szCs w:val="20"/>
              </w:rPr>
              <w:t>0.004</w:t>
            </w:r>
          </w:p>
        </w:tc>
      </w:tr>
      <w:tr w:rsidR="009A7A37" w14:paraId="36B5BE12" w14:textId="77777777" w:rsidTr="007C047B">
        <w:trPr>
          <w:trHeight w:val="320"/>
        </w:trPr>
        <w:tc>
          <w:tcPr>
            <w:tcW w:w="1176" w:type="dxa"/>
            <w:tcBorders>
              <w:top w:val="nil"/>
              <w:left w:val="nil"/>
              <w:bottom w:val="nil"/>
              <w:right w:val="nil"/>
            </w:tcBorders>
            <w:shd w:val="clear" w:color="auto" w:fill="auto"/>
            <w:noWrap/>
            <w:vAlign w:val="bottom"/>
            <w:hideMark/>
          </w:tcPr>
          <w:p w14:paraId="38761E96"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68035FD" w14:textId="77777777" w:rsidR="009A7A37" w:rsidRDefault="009A7A37" w:rsidP="009A7A37">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FA3E80E" w14:textId="0E3DFAA8" w:rsidR="009A7A37" w:rsidRDefault="009A7A37" w:rsidP="009A7A37">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6E0A1CF3" w14:textId="0FCDBAD7" w:rsidR="009A7A37" w:rsidRDefault="009A7A37" w:rsidP="009A7A37">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15059B81" w14:textId="34582403" w:rsidR="009A7A37" w:rsidRDefault="009A7A37" w:rsidP="009A7A37">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32B55D8" w14:textId="6DD0B641" w:rsidR="009A7A37" w:rsidRDefault="009A7A37" w:rsidP="009A7A37">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0088F8DE" w14:textId="69EDC75D" w:rsidR="009A7A37" w:rsidRDefault="009A7A37" w:rsidP="009A7A37">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21C0155F" w14:textId="2062F801" w:rsidR="009A7A37" w:rsidRDefault="009A7A37" w:rsidP="009A7A37">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100A43E" w14:textId="5F224808" w:rsidR="009A7A37" w:rsidRDefault="009A7A37" w:rsidP="009A7A37">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0A9D5D8" w14:textId="4262A3EA" w:rsidR="009A7A37" w:rsidRDefault="009A7A37" w:rsidP="009A7A37">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3E7DB69B" w14:textId="28118862"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7D32AF4" w14:textId="68305E46" w:rsidR="009A7A37" w:rsidRDefault="009A7A37" w:rsidP="009A7A37">
            <w:pPr>
              <w:jc w:val="right"/>
              <w:rPr>
                <w:color w:val="000000"/>
                <w:sz w:val="20"/>
                <w:szCs w:val="20"/>
              </w:rPr>
            </w:pPr>
            <w:r>
              <w:rPr>
                <w:color w:val="000000"/>
                <w:sz w:val="20"/>
                <w:szCs w:val="20"/>
              </w:rPr>
              <w:t>-0.102</w:t>
            </w:r>
          </w:p>
        </w:tc>
        <w:tc>
          <w:tcPr>
            <w:tcW w:w="768" w:type="dxa"/>
            <w:tcBorders>
              <w:top w:val="nil"/>
              <w:left w:val="nil"/>
              <w:bottom w:val="nil"/>
              <w:right w:val="nil"/>
            </w:tcBorders>
            <w:shd w:val="clear" w:color="auto" w:fill="auto"/>
            <w:noWrap/>
            <w:vAlign w:val="bottom"/>
            <w:hideMark/>
          </w:tcPr>
          <w:p w14:paraId="7B23B9E3" w14:textId="131A20DB" w:rsidR="009A7A37" w:rsidRDefault="009A7A37" w:rsidP="009A7A37">
            <w:pPr>
              <w:jc w:val="right"/>
              <w:rPr>
                <w:color w:val="000000"/>
                <w:sz w:val="20"/>
                <w:szCs w:val="20"/>
              </w:rPr>
            </w:pPr>
            <w:r>
              <w:rPr>
                <w:color w:val="000000"/>
                <w:sz w:val="20"/>
                <w:szCs w:val="20"/>
              </w:rPr>
              <w:t>0.721</w:t>
            </w:r>
          </w:p>
        </w:tc>
        <w:tc>
          <w:tcPr>
            <w:tcW w:w="768" w:type="dxa"/>
            <w:tcBorders>
              <w:top w:val="nil"/>
              <w:left w:val="nil"/>
              <w:bottom w:val="nil"/>
              <w:right w:val="nil"/>
            </w:tcBorders>
            <w:shd w:val="clear" w:color="auto" w:fill="auto"/>
            <w:noWrap/>
            <w:vAlign w:val="bottom"/>
            <w:hideMark/>
          </w:tcPr>
          <w:p w14:paraId="249F455C" w14:textId="67AC0297" w:rsidR="009A7A37" w:rsidRDefault="009A7A37" w:rsidP="009A7A37">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D3492B2" w14:textId="22122443" w:rsidR="009A7A37" w:rsidRDefault="009A7A37" w:rsidP="009A7A37">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4EC79F3" w14:textId="55C1B467" w:rsidR="009A7A37" w:rsidRDefault="009A7A37" w:rsidP="009A7A37">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6F0F3D76" w14:textId="4D74E8E2" w:rsidR="009A7A37" w:rsidRDefault="009A7A37" w:rsidP="009A7A37">
            <w:pPr>
              <w:jc w:val="right"/>
              <w:rPr>
                <w:color w:val="000000"/>
                <w:sz w:val="20"/>
                <w:szCs w:val="20"/>
              </w:rPr>
            </w:pPr>
            <w:r>
              <w:rPr>
                <w:color w:val="000000"/>
                <w:sz w:val="20"/>
                <w:szCs w:val="20"/>
              </w:rPr>
              <w:t>0.001</w:t>
            </w:r>
          </w:p>
        </w:tc>
      </w:tr>
      <w:tr w:rsidR="009A7A37" w14:paraId="35168553" w14:textId="77777777" w:rsidTr="007C047B">
        <w:trPr>
          <w:trHeight w:val="320"/>
        </w:trPr>
        <w:tc>
          <w:tcPr>
            <w:tcW w:w="1176" w:type="dxa"/>
            <w:tcBorders>
              <w:top w:val="nil"/>
              <w:left w:val="nil"/>
              <w:bottom w:val="nil"/>
              <w:right w:val="nil"/>
            </w:tcBorders>
            <w:shd w:val="clear" w:color="auto" w:fill="auto"/>
            <w:noWrap/>
            <w:vAlign w:val="bottom"/>
            <w:hideMark/>
          </w:tcPr>
          <w:p w14:paraId="75498916"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11CF4F3" w14:textId="77777777" w:rsidR="009A7A37" w:rsidRDefault="009A7A37" w:rsidP="009A7A37">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EEDCDBD" w14:textId="25F7C01A" w:rsidR="009A7A37" w:rsidRDefault="009A7A37" w:rsidP="009A7A37">
            <w:pPr>
              <w:jc w:val="right"/>
              <w:rPr>
                <w:color w:val="000000"/>
                <w:sz w:val="20"/>
                <w:szCs w:val="20"/>
              </w:rPr>
            </w:pPr>
            <w:r>
              <w:rPr>
                <w:color w:val="000000"/>
                <w:sz w:val="20"/>
                <w:szCs w:val="20"/>
              </w:rPr>
              <w:t>-0.125</w:t>
            </w:r>
          </w:p>
        </w:tc>
        <w:tc>
          <w:tcPr>
            <w:tcW w:w="768" w:type="dxa"/>
            <w:tcBorders>
              <w:top w:val="nil"/>
              <w:left w:val="nil"/>
              <w:bottom w:val="nil"/>
              <w:right w:val="nil"/>
            </w:tcBorders>
            <w:shd w:val="clear" w:color="auto" w:fill="auto"/>
            <w:noWrap/>
            <w:vAlign w:val="bottom"/>
            <w:hideMark/>
          </w:tcPr>
          <w:p w14:paraId="33FAC618" w14:textId="62742038" w:rsidR="009A7A37" w:rsidRDefault="009A7A37" w:rsidP="009A7A37">
            <w:pPr>
              <w:jc w:val="right"/>
              <w:rPr>
                <w:color w:val="000000"/>
                <w:sz w:val="20"/>
                <w:szCs w:val="20"/>
              </w:rPr>
            </w:pPr>
            <w:r>
              <w:rPr>
                <w:color w:val="000000"/>
                <w:sz w:val="20"/>
                <w:szCs w:val="20"/>
              </w:rPr>
              <w:t>0.260</w:t>
            </w:r>
          </w:p>
        </w:tc>
        <w:tc>
          <w:tcPr>
            <w:tcW w:w="768" w:type="dxa"/>
            <w:tcBorders>
              <w:top w:val="nil"/>
              <w:left w:val="nil"/>
              <w:bottom w:val="nil"/>
              <w:right w:val="nil"/>
            </w:tcBorders>
            <w:shd w:val="clear" w:color="auto" w:fill="auto"/>
            <w:noWrap/>
            <w:vAlign w:val="bottom"/>
            <w:hideMark/>
          </w:tcPr>
          <w:p w14:paraId="368E5911" w14:textId="045345A7" w:rsidR="009A7A37" w:rsidRDefault="009A7A37" w:rsidP="009A7A37">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DFBAC8F" w14:textId="6AA9C823" w:rsidR="009A7A37" w:rsidRDefault="009A7A37" w:rsidP="009A7A37">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0B179317" w14:textId="75DAF876" w:rsidR="009A7A37" w:rsidRDefault="009A7A37" w:rsidP="009A7A37">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2272821E" w14:textId="3E2DE41C" w:rsidR="009A7A37" w:rsidRDefault="009A7A37" w:rsidP="009A7A37">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DF68B8C" w14:textId="476E243F" w:rsidR="009A7A37" w:rsidRDefault="009A7A37" w:rsidP="009A7A37">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6543AC0" w14:textId="00C23FF0" w:rsidR="009A7A37" w:rsidRDefault="009A7A37" w:rsidP="009A7A37">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385E96C4" w14:textId="3769E0AE"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CAADD4" w14:textId="0CDEB204" w:rsidR="009A7A37" w:rsidRDefault="009A7A37" w:rsidP="009A7A37">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3D7B6293" w14:textId="3DAA3670" w:rsidR="009A7A37" w:rsidRDefault="009A7A37" w:rsidP="009A7A37">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418182F6" w14:textId="3B677636" w:rsidR="009A7A37" w:rsidRDefault="009A7A37" w:rsidP="009A7A37">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089DDE1" w14:textId="1F8E7985" w:rsidR="009A7A37" w:rsidRDefault="009A7A37" w:rsidP="009A7A37">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411B14A" w14:textId="0EE94FB6" w:rsidR="009A7A37" w:rsidRDefault="009A7A37" w:rsidP="009A7A37">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15CB58B3" w14:textId="4B49AA1A" w:rsidR="009A7A37" w:rsidRDefault="009A7A37" w:rsidP="009A7A37">
            <w:pPr>
              <w:jc w:val="right"/>
              <w:rPr>
                <w:color w:val="000000"/>
                <w:sz w:val="20"/>
                <w:szCs w:val="20"/>
              </w:rPr>
            </w:pPr>
            <w:r>
              <w:rPr>
                <w:color w:val="000000"/>
                <w:sz w:val="20"/>
                <w:szCs w:val="20"/>
              </w:rPr>
              <w:t>0.003</w:t>
            </w:r>
          </w:p>
        </w:tc>
      </w:tr>
      <w:tr w:rsidR="009A7A37" w14:paraId="50AA7549" w14:textId="77777777" w:rsidTr="007C047B">
        <w:trPr>
          <w:trHeight w:val="320"/>
        </w:trPr>
        <w:tc>
          <w:tcPr>
            <w:tcW w:w="1176" w:type="dxa"/>
            <w:tcBorders>
              <w:top w:val="nil"/>
              <w:left w:val="nil"/>
              <w:bottom w:val="nil"/>
              <w:right w:val="nil"/>
            </w:tcBorders>
            <w:shd w:val="clear" w:color="auto" w:fill="auto"/>
            <w:noWrap/>
            <w:vAlign w:val="bottom"/>
            <w:hideMark/>
          </w:tcPr>
          <w:p w14:paraId="3C0580C4"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A29C136" w14:textId="77777777" w:rsidR="009A7A37" w:rsidRDefault="009A7A37" w:rsidP="009A7A37">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EE5FE92" w14:textId="3F9AF951" w:rsidR="009A7A37" w:rsidRDefault="009A7A37" w:rsidP="009A7A37">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8640B99" w14:textId="486F8111" w:rsidR="009A7A37" w:rsidRDefault="009A7A37" w:rsidP="009A7A37">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011D9712" w14:textId="2A95767D"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3940A3" w14:textId="733CDCED"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A71A8C6" w14:textId="38E7755D" w:rsidR="009A7A37" w:rsidRDefault="009A7A37" w:rsidP="009A7A37">
            <w:pPr>
              <w:jc w:val="right"/>
              <w:rPr>
                <w:color w:val="000000"/>
                <w:sz w:val="20"/>
                <w:szCs w:val="20"/>
              </w:rPr>
            </w:pPr>
            <w:r>
              <w:rPr>
                <w:color w:val="000000"/>
                <w:sz w:val="20"/>
                <w:szCs w:val="20"/>
              </w:rPr>
              <w:t>0.968</w:t>
            </w:r>
          </w:p>
        </w:tc>
        <w:tc>
          <w:tcPr>
            <w:tcW w:w="768" w:type="dxa"/>
            <w:tcBorders>
              <w:top w:val="nil"/>
              <w:left w:val="nil"/>
              <w:bottom w:val="nil"/>
              <w:right w:val="nil"/>
            </w:tcBorders>
            <w:shd w:val="clear" w:color="auto" w:fill="auto"/>
            <w:noWrap/>
            <w:vAlign w:val="bottom"/>
            <w:hideMark/>
          </w:tcPr>
          <w:p w14:paraId="15648707" w14:textId="4670292B"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9CDBE1" w14:textId="018C710F" w:rsidR="009A7A37" w:rsidRDefault="009A7A37" w:rsidP="009A7A37">
            <w:pPr>
              <w:jc w:val="right"/>
              <w:rPr>
                <w:color w:val="000000"/>
                <w:sz w:val="20"/>
                <w:szCs w:val="20"/>
              </w:rPr>
            </w:pPr>
            <w:r>
              <w:rPr>
                <w:color w:val="000000"/>
                <w:sz w:val="20"/>
                <w:szCs w:val="20"/>
              </w:rPr>
              <w:t>0.095</w:t>
            </w:r>
          </w:p>
        </w:tc>
        <w:tc>
          <w:tcPr>
            <w:tcW w:w="768" w:type="dxa"/>
            <w:tcBorders>
              <w:top w:val="nil"/>
              <w:left w:val="nil"/>
              <w:bottom w:val="nil"/>
              <w:right w:val="nil"/>
            </w:tcBorders>
            <w:shd w:val="clear" w:color="auto" w:fill="auto"/>
            <w:noWrap/>
            <w:vAlign w:val="bottom"/>
            <w:hideMark/>
          </w:tcPr>
          <w:p w14:paraId="38AC1364" w14:textId="5FA31D18" w:rsidR="009A7A37" w:rsidRDefault="009A7A37" w:rsidP="009A7A37">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3C70B633" w14:textId="093B7CCE" w:rsidR="009A7A37" w:rsidRDefault="009A7A37" w:rsidP="009A7A37">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B0A9852" w14:textId="20353099" w:rsidR="009A7A37" w:rsidRDefault="009A7A37" w:rsidP="009A7A37">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0825ACD" w14:textId="2243D9A7" w:rsidR="009A7A37" w:rsidRDefault="009A7A37" w:rsidP="009A7A37">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53E26295" w14:textId="7ADCA212"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ECCE90" w14:textId="7BA87794" w:rsidR="009A7A37" w:rsidRDefault="009A7A37" w:rsidP="009A7A37">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DBD3B62" w14:textId="7090FAC9" w:rsidR="009A7A37" w:rsidRDefault="009A7A37" w:rsidP="009A7A37">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6F9C0CF8" w14:textId="4EBD6087" w:rsidR="009A7A37" w:rsidRDefault="009A7A37" w:rsidP="009A7A37">
            <w:pPr>
              <w:jc w:val="right"/>
              <w:rPr>
                <w:color w:val="000000"/>
                <w:sz w:val="20"/>
                <w:szCs w:val="20"/>
              </w:rPr>
            </w:pPr>
            <w:r>
              <w:rPr>
                <w:color w:val="000000"/>
                <w:sz w:val="20"/>
                <w:szCs w:val="20"/>
              </w:rPr>
              <w:t>0.000</w:t>
            </w:r>
          </w:p>
        </w:tc>
      </w:tr>
      <w:tr w:rsidR="009A7A37" w14:paraId="13FCBDAD" w14:textId="77777777" w:rsidTr="007C047B">
        <w:trPr>
          <w:trHeight w:val="320"/>
        </w:trPr>
        <w:tc>
          <w:tcPr>
            <w:tcW w:w="1176" w:type="dxa"/>
            <w:tcBorders>
              <w:top w:val="nil"/>
              <w:left w:val="nil"/>
              <w:bottom w:val="nil"/>
              <w:right w:val="nil"/>
            </w:tcBorders>
            <w:shd w:val="clear" w:color="auto" w:fill="auto"/>
            <w:noWrap/>
            <w:vAlign w:val="bottom"/>
            <w:hideMark/>
          </w:tcPr>
          <w:p w14:paraId="366260A4"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722355D" w14:textId="77777777" w:rsidR="009A7A37" w:rsidRDefault="009A7A37" w:rsidP="009A7A37">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6661D0E" w14:textId="22FA656C" w:rsidR="009A7A37" w:rsidRDefault="009A7A37" w:rsidP="009A7A37">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46758E0F" w14:textId="6CBB5A85" w:rsidR="009A7A37" w:rsidRDefault="009A7A37" w:rsidP="009A7A37">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26D7A58D" w14:textId="2CC684CB"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9F6CC5E" w14:textId="1790B681" w:rsidR="009A7A37" w:rsidRDefault="009A7A37" w:rsidP="009A7A37">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C0B0A30" w14:textId="5C02DA12" w:rsidR="009A7A37" w:rsidRDefault="009A7A37" w:rsidP="009A7A37">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5E92BDAF" w14:textId="42334D4F"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83D225" w14:textId="6B179C44" w:rsidR="009A7A37" w:rsidRDefault="009A7A37" w:rsidP="009A7A37">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2219AAC" w14:textId="4ADC08C1" w:rsidR="009A7A37" w:rsidRDefault="009A7A37" w:rsidP="009A7A37">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3E37B265" w14:textId="5BDEEB7A"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C39478" w14:textId="215AF7E5" w:rsidR="009A7A37" w:rsidRDefault="009A7A37" w:rsidP="009A7A37">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F23C03E" w14:textId="1799D4CC" w:rsidR="009A7A37" w:rsidRDefault="009A7A37" w:rsidP="009A7A37">
            <w:pPr>
              <w:jc w:val="right"/>
              <w:rPr>
                <w:color w:val="000000"/>
                <w:sz w:val="20"/>
                <w:szCs w:val="20"/>
              </w:rPr>
            </w:pPr>
            <w:r>
              <w:rPr>
                <w:color w:val="000000"/>
                <w:sz w:val="20"/>
                <w:szCs w:val="20"/>
              </w:rPr>
              <w:t>0.721</w:t>
            </w:r>
          </w:p>
        </w:tc>
        <w:tc>
          <w:tcPr>
            <w:tcW w:w="768" w:type="dxa"/>
            <w:tcBorders>
              <w:top w:val="nil"/>
              <w:left w:val="nil"/>
              <w:bottom w:val="nil"/>
              <w:right w:val="nil"/>
            </w:tcBorders>
            <w:shd w:val="clear" w:color="auto" w:fill="auto"/>
            <w:noWrap/>
            <w:vAlign w:val="bottom"/>
            <w:hideMark/>
          </w:tcPr>
          <w:p w14:paraId="79930614" w14:textId="2B5391F1"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85D1B43" w14:textId="241CFA51" w:rsidR="009A7A37" w:rsidRDefault="009A7A37" w:rsidP="009A7A37">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6EBA5B1" w14:textId="6959AB6E" w:rsidR="009A7A37" w:rsidRDefault="009A7A37" w:rsidP="009A7A37">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594054A9" w14:textId="5436732C" w:rsidR="009A7A37" w:rsidRDefault="009A7A37" w:rsidP="009A7A37">
            <w:pPr>
              <w:jc w:val="right"/>
              <w:rPr>
                <w:color w:val="000000"/>
                <w:sz w:val="20"/>
                <w:szCs w:val="20"/>
              </w:rPr>
            </w:pPr>
            <w:r>
              <w:rPr>
                <w:color w:val="000000"/>
                <w:sz w:val="20"/>
                <w:szCs w:val="20"/>
              </w:rPr>
              <w:t>0.000</w:t>
            </w:r>
          </w:p>
        </w:tc>
      </w:tr>
      <w:tr w:rsidR="009A7A37" w14:paraId="2C7BCC7A" w14:textId="77777777" w:rsidTr="007C047B">
        <w:trPr>
          <w:trHeight w:val="320"/>
        </w:trPr>
        <w:tc>
          <w:tcPr>
            <w:tcW w:w="1176" w:type="dxa"/>
            <w:tcBorders>
              <w:top w:val="nil"/>
              <w:left w:val="nil"/>
              <w:bottom w:val="single" w:sz="4" w:space="0" w:color="auto"/>
              <w:right w:val="nil"/>
            </w:tcBorders>
            <w:shd w:val="clear" w:color="auto" w:fill="auto"/>
            <w:noWrap/>
            <w:vAlign w:val="bottom"/>
            <w:hideMark/>
          </w:tcPr>
          <w:p w14:paraId="62054700" w14:textId="77777777" w:rsidR="009A7A37" w:rsidRDefault="009A7A37" w:rsidP="009A7A37">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F81AAD4" w14:textId="77777777" w:rsidR="009A7A37" w:rsidRDefault="009A7A37" w:rsidP="009A7A37">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C83936F" w14:textId="72AF8810" w:rsidR="009A7A37" w:rsidRDefault="009A7A37" w:rsidP="009A7A37">
            <w:pPr>
              <w:jc w:val="right"/>
              <w:rPr>
                <w:color w:val="000000"/>
                <w:sz w:val="20"/>
                <w:szCs w:val="20"/>
              </w:rPr>
            </w:pPr>
            <w:r>
              <w:rPr>
                <w:color w:val="000000"/>
                <w:sz w:val="20"/>
                <w:szCs w:val="20"/>
              </w:rPr>
              <w:t>-0.074</w:t>
            </w:r>
          </w:p>
        </w:tc>
        <w:tc>
          <w:tcPr>
            <w:tcW w:w="768" w:type="dxa"/>
            <w:tcBorders>
              <w:top w:val="nil"/>
              <w:left w:val="nil"/>
              <w:bottom w:val="single" w:sz="4" w:space="0" w:color="auto"/>
              <w:right w:val="nil"/>
            </w:tcBorders>
            <w:shd w:val="clear" w:color="auto" w:fill="auto"/>
            <w:noWrap/>
            <w:vAlign w:val="bottom"/>
            <w:hideMark/>
          </w:tcPr>
          <w:p w14:paraId="4EBBCC16" w14:textId="52B5D033" w:rsidR="009A7A37" w:rsidRDefault="009A7A37" w:rsidP="009A7A37">
            <w:pPr>
              <w:jc w:val="right"/>
              <w:rPr>
                <w:color w:val="000000"/>
                <w:sz w:val="20"/>
                <w:szCs w:val="20"/>
              </w:rPr>
            </w:pPr>
            <w:r>
              <w:rPr>
                <w:color w:val="000000"/>
                <w:sz w:val="20"/>
                <w:szCs w:val="20"/>
              </w:rPr>
              <w:t>0.438</w:t>
            </w:r>
          </w:p>
        </w:tc>
        <w:tc>
          <w:tcPr>
            <w:tcW w:w="768" w:type="dxa"/>
            <w:tcBorders>
              <w:top w:val="nil"/>
              <w:left w:val="nil"/>
              <w:bottom w:val="single" w:sz="4" w:space="0" w:color="auto"/>
              <w:right w:val="nil"/>
            </w:tcBorders>
            <w:shd w:val="clear" w:color="auto" w:fill="auto"/>
            <w:noWrap/>
            <w:vAlign w:val="bottom"/>
            <w:hideMark/>
          </w:tcPr>
          <w:p w14:paraId="15913BC4" w14:textId="5B31740C"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7FAE8486" w14:textId="462F24EE" w:rsidR="009A7A37" w:rsidRDefault="009A7A37" w:rsidP="009A7A37">
            <w:pPr>
              <w:jc w:val="right"/>
              <w:rPr>
                <w:color w:val="000000"/>
                <w:sz w:val="20"/>
                <w:szCs w:val="20"/>
              </w:rPr>
            </w:pPr>
            <w:r>
              <w:rPr>
                <w:color w:val="000000"/>
                <w:sz w:val="20"/>
                <w:szCs w:val="20"/>
              </w:rPr>
              <w:t>-0.072</w:t>
            </w:r>
          </w:p>
        </w:tc>
        <w:tc>
          <w:tcPr>
            <w:tcW w:w="768" w:type="dxa"/>
            <w:tcBorders>
              <w:top w:val="nil"/>
              <w:left w:val="nil"/>
              <w:bottom w:val="single" w:sz="4" w:space="0" w:color="auto"/>
              <w:right w:val="nil"/>
            </w:tcBorders>
            <w:shd w:val="clear" w:color="auto" w:fill="auto"/>
            <w:noWrap/>
            <w:vAlign w:val="bottom"/>
            <w:hideMark/>
          </w:tcPr>
          <w:p w14:paraId="651EFCF7" w14:textId="73CDB4CE" w:rsidR="009A7A37" w:rsidRDefault="009A7A37" w:rsidP="009A7A37">
            <w:pPr>
              <w:jc w:val="right"/>
              <w:rPr>
                <w:color w:val="000000"/>
                <w:sz w:val="20"/>
                <w:szCs w:val="20"/>
              </w:rPr>
            </w:pPr>
            <w:r>
              <w:rPr>
                <w:color w:val="000000"/>
                <w:sz w:val="20"/>
                <w:szCs w:val="20"/>
              </w:rPr>
              <w:t>0.763</w:t>
            </w:r>
          </w:p>
        </w:tc>
        <w:tc>
          <w:tcPr>
            <w:tcW w:w="768" w:type="dxa"/>
            <w:tcBorders>
              <w:top w:val="nil"/>
              <w:left w:val="nil"/>
              <w:bottom w:val="single" w:sz="4" w:space="0" w:color="auto"/>
              <w:right w:val="nil"/>
            </w:tcBorders>
            <w:shd w:val="clear" w:color="auto" w:fill="auto"/>
            <w:noWrap/>
            <w:vAlign w:val="bottom"/>
            <w:hideMark/>
          </w:tcPr>
          <w:p w14:paraId="70DB8C55" w14:textId="133C8B48"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31A39BB4" w14:textId="74072621" w:rsidR="009A7A37" w:rsidRDefault="009A7A37" w:rsidP="009A7A37">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6C9927EC" w14:textId="53B75A6A" w:rsidR="009A7A37" w:rsidRDefault="009A7A37" w:rsidP="009A7A37">
            <w:pPr>
              <w:jc w:val="right"/>
              <w:rPr>
                <w:color w:val="000000"/>
                <w:sz w:val="20"/>
                <w:szCs w:val="20"/>
              </w:rPr>
            </w:pPr>
            <w:r>
              <w:rPr>
                <w:color w:val="000000"/>
                <w:sz w:val="20"/>
                <w:szCs w:val="20"/>
              </w:rPr>
              <w:t>0.898</w:t>
            </w:r>
          </w:p>
        </w:tc>
        <w:tc>
          <w:tcPr>
            <w:tcW w:w="768" w:type="dxa"/>
            <w:tcBorders>
              <w:top w:val="nil"/>
              <w:left w:val="nil"/>
              <w:bottom w:val="single" w:sz="4" w:space="0" w:color="auto"/>
              <w:right w:val="nil"/>
            </w:tcBorders>
            <w:shd w:val="clear" w:color="auto" w:fill="auto"/>
            <w:noWrap/>
            <w:vAlign w:val="bottom"/>
            <w:hideMark/>
          </w:tcPr>
          <w:p w14:paraId="4A9D7947" w14:textId="773339FE"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6426C0B" w14:textId="7E61A19F" w:rsidR="009A7A37" w:rsidRDefault="009A7A37" w:rsidP="009A7A37">
            <w:pPr>
              <w:jc w:val="right"/>
              <w:rPr>
                <w:color w:val="000000"/>
                <w:sz w:val="20"/>
                <w:szCs w:val="20"/>
              </w:rPr>
            </w:pPr>
            <w:r>
              <w:rPr>
                <w:color w:val="000000"/>
                <w:sz w:val="20"/>
                <w:szCs w:val="20"/>
              </w:rPr>
              <w:t>-0.038</w:t>
            </w:r>
          </w:p>
        </w:tc>
        <w:tc>
          <w:tcPr>
            <w:tcW w:w="768" w:type="dxa"/>
            <w:tcBorders>
              <w:top w:val="nil"/>
              <w:left w:val="nil"/>
              <w:bottom w:val="single" w:sz="4" w:space="0" w:color="auto"/>
              <w:right w:val="nil"/>
            </w:tcBorders>
            <w:shd w:val="clear" w:color="auto" w:fill="auto"/>
            <w:noWrap/>
            <w:vAlign w:val="bottom"/>
            <w:hideMark/>
          </w:tcPr>
          <w:p w14:paraId="0D378DE8" w14:textId="5B2FAA93" w:rsidR="009A7A37" w:rsidRDefault="009A7A37" w:rsidP="009A7A37">
            <w:pPr>
              <w:jc w:val="right"/>
              <w:rPr>
                <w:color w:val="000000"/>
                <w:sz w:val="20"/>
                <w:szCs w:val="20"/>
              </w:rPr>
            </w:pPr>
            <w:r>
              <w:rPr>
                <w:color w:val="000000"/>
                <w:sz w:val="20"/>
                <w:szCs w:val="20"/>
              </w:rPr>
              <w:t>0.721</w:t>
            </w:r>
          </w:p>
        </w:tc>
        <w:tc>
          <w:tcPr>
            <w:tcW w:w="768" w:type="dxa"/>
            <w:tcBorders>
              <w:top w:val="nil"/>
              <w:left w:val="nil"/>
              <w:bottom w:val="single" w:sz="4" w:space="0" w:color="auto"/>
              <w:right w:val="nil"/>
            </w:tcBorders>
            <w:shd w:val="clear" w:color="auto" w:fill="auto"/>
            <w:noWrap/>
            <w:vAlign w:val="bottom"/>
            <w:hideMark/>
          </w:tcPr>
          <w:p w14:paraId="274BC1B1" w14:textId="46C81FA6"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05276EC" w14:textId="06C1EAF5"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6A90A7D" w14:textId="6249DFE7" w:rsidR="009A7A37" w:rsidRDefault="009A7A37" w:rsidP="009A7A37">
            <w:pPr>
              <w:jc w:val="right"/>
              <w:rPr>
                <w:color w:val="000000"/>
                <w:sz w:val="20"/>
                <w:szCs w:val="20"/>
              </w:rPr>
            </w:pPr>
            <w:r>
              <w:rPr>
                <w:color w:val="000000"/>
                <w:sz w:val="20"/>
                <w:szCs w:val="20"/>
              </w:rPr>
              <w:t>0.990</w:t>
            </w:r>
          </w:p>
        </w:tc>
        <w:tc>
          <w:tcPr>
            <w:tcW w:w="768" w:type="dxa"/>
            <w:tcBorders>
              <w:top w:val="nil"/>
              <w:left w:val="nil"/>
              <w:bottom w:val="single" w:sz="4" w:space="0" w:color="auto"/>
              <w:right w:val="nil"/>
            </w:tcBorders>
            <w:shd w:val="clear" w:color="auto" w:fill="auto"/>
            <w:noWrap/>
            <w:vAlign w:val="bottom"/>
            <w:hideMark/>
          </w:tcPr>
          <w:p w14:paraId="6E040D36" w14:textId="1FC05E9D" w:rsidR="009A7A37" w:rsidRDefault="009A7A37" w:rsidP="009A7A37">
            <w:pPr>
              <w:jc w:val="right"/>
              <w:rPr>
                <w:color w:val="000000"/>
                <w:sz w:val="20"/>
                <w:szCs w:val="20"/>
              </w:rPr>
            </w:pPr>
            <w:r>
              <w:rPr>
                <w:color w:val="000000"/>
                <w:sz w:val="20"/>
                <w:szCs w:val="20"/>
              </w:rPr>
              <w:t>0.000</w:t>
            </w:r>
          </w:p>
        </w:tc>
      </w:tr>
      <w:tr w:rsidR="009A7A37" w14:paraId="03880EA1" w14:textId="77777777" w:rsidTr="007C047B">
        <w:trPr>
          <w:trHeight w:val="320"/>
        </w:trPr>
        <w:tc>
          <w:tcPr>
            <w:tcW w:w="1176" w:type="dxa"/>
            <w:tcBorders>
              <w:top w:val="nil"/>
              <w:left w:val="nil"/>
              <w:bottom w:val="nil"/>
              <w:right w:val="nil"/>
            </w:tcBorders>
            <w:shd w:val="clear" w:color="auto" w:fill="auto"/>
            <w:noWrap/>
            <w:vAlign w:val="bottom"/>
            <w:hideMark/>
          </w:tcPr>
          <w:p w14:paraId="2460218A" w14:textId="77777777" w:rsidR="009A7A37" w:rsidRDefault="009A7A37" w:rsidP="009A7A37">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16F36DF9" w14:textId="77777777" w:rsidR="009A7A37" w:rsidRDefault="009A7A37" w:rsidP="009A7A37">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3CE9DD6" w14:textId="6FD9364A" w:rsidR="009A7A37" w:rsidRDefault="009A7A37" w:rsidP="009A7A37">
            <w:pPr>
              <w:jc w:val="right"/>
              <w:rPr>
                <w:color w:val="000000"/>
                <w:sz w:val="20"/>
                <w:szCs w:val="20"/>
              </w:rPr>
            </w:pPr>
            <w:r>
              <w:rPr>
                <w:color w:val="000000"/>
                <w:sz w:val="20"/>
                <w:szCs w:val="20"/>
              </w:rPr>
              <w:t>0.105</w:t>
            </w:r>
          </w:p>
        </w:tc>
        <w:tc>
          <w:tcPr>
            <w:tcW w:w="768" w:type="dxa"/>
            <w:tcBorders>
              <w:top w:val="nil"/>
              <w:left w:val="nil"/>
              <w:bottom w:val="nil"/>
              <w:right w:val="nil"/>
            </w:tcBorders>
            <w:shd w:val="clear" w:color="auto" w:fill="auto"/>
            <w:noWrap/>
            <w:vAlign w:val="bottom"/>
            <w:hideMark/>
          </w:tcPr>
          <w:p w14:paraId="7889CCF1" w14:textId="7E36A3A6" w:rsidR="009A7A37" w:rsidRDefault="009A7A37" w:rsidP="009A7A37">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59882E37" w14:textId="24D5572A" w:rsidR="009A7A37" w:rsidRDefault="009A7A37" w:rsidP="009A7A37">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861C6C6" w14:textId="19AD6564" w:rsidR="009A7A37" w:rsidRDefault="009A7A37" w:rsidP="009A7A37">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A138F1E" w14:textId="1BFD0191" w:rsidR="009A7A37" w:rsidRDefault="009A7A37" w:rsidP="009A7A37">
            <w:pPr>
              <w:jc w:val="right"/>
              <w:rPr>
                <w:color w:val="000000"/>
                <w:sz w:val="20"/>
                <w:szCs w:val="20"/>
              </w:rPr>
            </w:pPr>
            <w:r>
              <w:rPr>
                <w:color w:val="000000"/>
                <w:sz w:val="20"/>
                <w:szCs w:val="20"/>
              </w:rPr>
              <w:t>0.912</w:t>
            </w:r>
          </w:p>
        </w:tc>
        <w:tc>
          <w:tcPr>
            <w:tcW w:w="768" w:type="dxa"/>
            <w:tcBorders>
              <w:top w:val="nil"/>
              <w:left w:val="nil"/>
              <w:bottom w:val="nil"/>
              <w:right w:val="nil"/>
            </w:tcBorders>
            <w:shd w:val="clear" w:color="auto" w:fill="auto"/>
            <w:noWrap/>
            <w:vAlign w:val="bottom"/>
            <w:hideMark/>
          </w:tcPr>
          <w:p w14:paraId="1B664F09" w14:textId="1542C93B"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EF2DDA4" w14:textId="1D1CBAC2"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62DC076" w14:textId="02F4E365" w:rsidR="009A7A37" w:rsidRDefault="009A7A37" w:rsidP="009A7A37">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243D2737" w14:textId="110AB9B6"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16333C" w14:textId="3D25B5D1" w:rsidR="009A7A37" w:rsidRDefault="009A7A37" w:rsidP="009A7A37">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43B85EDC" w14:textId="6EDC3577" w:rsidR="009A7A37" w:rsidRDefault="009A7A37" w:rsidP="009A7A37">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131C0480" w14:textId="2F57B048" w:rsidR="009A7A37" w:rsidRDefault="009A7A37" w:rsidP="009A7A37">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4E56F87" w14:textId="2A35384E" w:rsidR="009A7A37" w:rsidRDefault="009A7A37" w:rsidP="009A7A37">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0F45D64" w14:textId="4DD7074E" w:rsidR="009A7A37" w:rsidRDefault="009A7A37" w:rsidP="009A7A37">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19AFACE2" w14:textId="2CEF62BD" w:rsidR="009A7A37" w:rsidRDefault="009A7A37" w:rsidP="009A7A37">
            <w:pPr>
              <w:jc w:val="right"/>
              <w:rPr>
                <w:color w:val="000000"/>
                <w:sz w:val="20"/>
                <w:szCs w:val="20"/>
              </w:rPr>
            </w:pPr>
            <w:r>
              <w:rPr>
                <w:color w:val="000000"/>
                <w:sz w:val="20"/>
                <w:szCs w:val="20"/>
              </w:rPr>
              <w:t>0.000</w:t>
            </w:r>
          </w:p>
        </w:tc>
      </w:tr>
      <w:tr w:rsidR="009A7A37" w14:paraId="28D18659" w14:textId="77777777" w:rsidTr="007C047B">
        <w:trPr>
          <w:trHeight w:val="320"/>
        </w:trPr>
        <w:tc>
          <w:tcPr>
            <w:tcW w:w="1176" w:type="dxa"/>
            <w:tcBorders>
              <w:top w:val="nil"/>
              <w:left w:val="nil"/>
              <w:bottom w:val="nil"/>
              <w:right w:val="nil"/>
            </w:tcBorders>
            <w:shd w:val="clear" w:color="auto" w:fill="auto"/>
            <w:noWrap/>
            <w:vAlign w:val="bottom"/>
            <w:hideMark/>
          </w:tcPr>
          <w:p w14:paraId="15A5F6A1"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AF3448C" w14:textId="77777777" w:rsidR="009A7A37" w:rsidRDefault="009A7A37" w:rsidP="009A7A37">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1998255" w14:textId="3538E1B3" w:rsidR="009A7A37" w:rsidRDefault="009A7A37" w:rsidP="009A7A37">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929B7B0" w14:textId="041BAD5B" w:rsidR="009A7A37" w:rsidRDefault="009A7A37" w:rsidP="009A7A37">
            <w:pPr>
              <w:jc w:val="right"/>
              <w:rPr>
                <w:color w:val="000000"/>
                <w:sz w:val="20"/>
                <w:szCs w:val="20"/>
              </w:rPr>
            </w:pPr>
            <w:r>
              <w:rPr>
                <w:color w:val="000000"/>
                <w:sz w:val="20"/>
                <w:szCs w:val="20"/>
              </w:rPr>
              <w:t>0.758</w:t>
            </w:r>
          </w:p>
        </w:tc>
        <w:tc>
          <w:tcPr>
            <w:tcW w:w="768" w:type="dxa"/>
            <w:tcBorders>
              <w:top w:val="nil"/>
              <w:left w:val="nil"/>
              <w:bottom w:val="nil"/>
              <w:right w:val="nil"/>
            </w:tcBorders>
            <w:shd w:val="clear" w:color="auto" w:fill="auto"/>
            <w:noWrap/>
            <w:vAlign w:val="bottom"/>
            <w:hideMark/>
          </w:tcPr>
          <w:p w14:paraId="5078DFB6" w14:textId="1A2392D6"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2B2966" w14:textId="5A70396C" w:rsidR="009A7A37" w:rsidRDefault="009A7A37" w:rsidP="009A7A37">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AE0178E" w14:textId="29C45250" w:rsidR="009A7A37" w:rsidRDefault="009A7A37" w:rsidP="009A7A37">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41F472D6" w14:textId="0BCD196C"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E643D2" w14:textId="1595C872"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1C4C573" w14:textId="22375261" w:rsidR="009A7A37" w:rsidRDefault="009A7A37" w:rsidP="009A7A37">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24D7B7C7" w14:textId="6397D903"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B20F75" w14:textId="1D3FB330" w:rsidR="009A7A37" w:rsidRDefault="009A7A37" w:rsidP="009A7A37">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407BDE5" w14:textId="70B13E93" w:rsidR="009A7A37" w:rsidRDefault="009A7A37" w:rsidP="009A7A37">
            <w:pPr>
              <w:jc w:val="right"/>
              <w:rPr>
                <w:color w:val="000000"/>
                <w:sz w:val="20"/>
                <w:szCs w:val="20"/>
              </w:rPr>
            </w:pPr>
            <w:r>
              <w:rPr>
                <w:color w:val="000000"/>
                <w:sz w:val="20"/>
                <w:szCs w:val="20"/>
              </w:rPr>
              <w:t>0.458</w:t>
            </w:r>
          </w:p>
        </w:tc>
        <w:tc>
          <w:tcPr>
            <w:tcW w:w="768" w:type="dxa"/>
            <w:tcBorders>
              <w:top w:val="nil"/>
              <w:left w:val="nil"/>
              <w:bottom w:val="nil"/>
              <w:right w:val="nil"/>
            </w:tcBorders>
            <w:shd w:val="clear" w:color="auto" w:fill="auto"/>
            <w:noWrap/>
            <w:vAlign w:val="bottom"/>
            <w:hideMark/>
          </w:tcPr>
          <w:p w14:paraId="380CAB1F" w14:textId="3E732C1D"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90DA62F" w14:textId="5F73E448" w:rsidR="009A7A37" w:rsidRDefault="009A7A37" w:rsidP="009A7A37">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7BAD3322" w14:textId="1466CB21" w:rsidR="009A7A37" w:rsidRDefault="009A7A37" w:rsidP="009A7A37">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3E8FAC4B" w14:textId="6C0A415E" w:rsidR="009A7A37" w:rsidRDefault="009A7A37" w:rsidP="009A7A37">
            <w:pPr>
              <w:jc w:val="right"/>
              <w:rPr>
                <w:color w:val="000000"/>
                <w:sz w:val="20"/>
                <w:szCs w:val="20"/>
              </w:rPr>
            </w:pPr>
            <w:r>
              <w:rPr>
                <w:color w:val="000000"/>
                <w:sz w:val="20"/>
                <w:szCs w:val="20"/>
              </w:rPr>
              <w:t>0.003</w:t>
            </w:r>
          </w:p>
        </w:tc>
      </w:tr>
      <w:tr w:rsidR="009A7A37" w14:paraId="45D64AAA" w14:textId="77777777" w:rsidTr="007C047B">
        <w:trPr>
          <w:trHeight w:val="320"/>
        </w:trPr>
        <w:tc>
          <w:tcPr>
            <w:tcW w:w="1176" w:type="dxa"/>
            <w:tcBorders>
              <w:top w:val="nil"/>
              <w:left w:val="nil"/>
              <w:bottom w:val="nil"/>
              <w:right w:val="nil"/>
            </w:tcBorders>
            <w:shd w:val="clear" w:color="auto" w:fill="auto"/>
            <w:noWrap/>
            <w:vAlign w:val="bottom"/>
            <w:hideMark/>
          </w:tcPr>
          <w:p w14:paraId="091BDAA7"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9FF5BD" w14:textId="77777777" w:rsidR="009A7A37" w:rsidRDefault="009A7A37" w:rsidP="009A7A37">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FA3088F" w14:textId="5A907FDC" w:rsidR="009A7A37" w:rsidRDefault="009A7A37" w:rsidP="009A7A37">
            <w:pPr>
              <w:jc w:val="right"/>
              <w:rPr>
                <w:color w:val="000000"/>
                <w:sz w:val="20"/>
                <w:szCs w:val="20"/>
              </w:rPr>
            </w:pPr>
            <w:r>
              <w:rPr>
                <w:color w:val="000000"/>
                <w:sz w:val="20"/>
                <w:szCs w:val="20"/>
              </w:rPr>
              <w:t>0.119</w:t>
            </w:r>
          </w:p>
        </w:tc>
        <w:tc>
          <w:tcPr>
            <w:tcW w:w="768" w:type="dxa"/>
            <w:tcBorders>
              <w:top w:val="nil"/>
              <w:left w:val="nil"/>
              <w:bottom w:val="nil"/>
              <w:right w:val="nil"/>
            </w:tcBorders>
            <w:shd w:val="clear" w:color="auto" w:fill="auto"/>
            <w:noWrap/>
            <w:vAlign w:val="bottom"/>
            <w:hideMark/>
          </w:tcPr>
          <w:p w14:paraId="5C8C38EE" w14:textId="545EB3BE" w:rsidR="009A7A37" w:rsidRDefault="009A7A37" w:rsidP="009A7A37">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0A70DA5B" w14:textId="4F741540" w:rsidR="009A7A37" w:rsidRDefault="009A7A37" w:rsidP="009A7A37">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6758B02" w14:textId="0AA52B5F" w:rsidR="009A7A37" w:rsidRDefault="009A7A37" w:rsidP="009A7A37">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6629D2D" w14:textId="56088464" w:rsidR="009A7A37" w:rsidRDefault="009A7A37" w:rsidP="009A7A37">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10348BD6" w14:textId="6845A339"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E544F8" w14:textId="054FC9B0"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893A8B9" w14:textId="501BE151" w:rsidR="009A7A37" w:rsidRDefault="009A7A37" w:rsidP="009A7A37">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33BC97C0" w14:textId="0285D6B5"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1672B8" w14:textId="557F5B48" w:rsidR="009A7A37" w:rsidRDefault="009A7A37" w:rsidP="009A7A37">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293BF21C" w14:textId="007F19F1" w:rsidR="009A7A37" w:rsidRDefault="009A7A37" w:rsidP="009A7A37">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7BC3D9E9" w14:textId="1CEF769F" w:rsidR="009A7A37" w:rsidRDefault="009A7A37" w:rsidP="009A7A37">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38BB343" w14:textId="7187BFBF"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68CF4E" w14:textId="7F81CA05" w:rsidR="009A7A37" w:rsidRDefault="009A7A37" w:rsidP="009A7A37">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6CE5C57D" w14:textId="1DAA362C" w:rsidR="009A7A37" w:rsidRDefault="009A7A37" w:rsidP="009A7A37">
            <w:pPr>
              <w:jc w:val="right"/>
              <w:rPr>
                <w:color w:val="000000"/>
                <w:sz w:val="20"/>
                <w:szCs w:val="20"/>
              </w:rPr>
            </w:pPr>
            <w:r>
              <w:rPr>
                <w:color w:val="000000"/>
                <w:sz w:val="20"/>
                <w:szCs w:val="20"/>
              </w:rPr>
              <w:t>0.000</w:t>
            </w:r>
          </w:p>
        </w:tc>
      </w:tr>
      <w:tr w:rsidR="009A7A37" w14:paraId="2DFF53D3" w14:textId="77777777" w:rsidTr="007C047B">
        <w:trPr>
          <w:trHeight w:val="320"/>
        </w:trPr>
        <w:tc>
          <w:tcPr>
            <w:tcW w:w="1176" w:type="dxa"/>
            <w:tcBorders>
              <w:top w:val="nil"/>
              <w:left w:val="nil"/>
              <w:bottom w:val="nil"/>
              <w:right w:val="nil"/>
            </w:tcBorders>
            <w:shd w:val="clear" w:color="auto" w:fill="auto"/>
            <w:noWrap/>
            <w:vAlign w:val="bottom"/>
            <w:hideMark/>
          </w:tcPr>
          <w:p w14:paraId="48FB3825"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8A5BBDB" w14:textId="77777777" w:rsidR="009A7A37" w:rsidRDefault="009A7A37" w:rsidP="009A7A37">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924A749" w14:textId="0CA586F7" w:rsidR="009A7A37" w:rsidRDefault="009A7A37" w:rsidP="009A7A37">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4E32767B" w14:textId="7A2C88AC" w:rsidR="009A7A37" w:rsidRDefault="009A7A37" w:rsidP="009A7A37">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00F83A28" w14:textId="7CF1DF46"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DDBD278" w14:textId="79BE5014" w:rsidR="009A7A37" w:rsidRDefault="009A7A37" w:rsidP="009A7A37">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05261972" w14:textId="16176DFF" w:rsidR="009A7A37" w:rsidRDefault="009A7A37" w:rsidP="009A7A37">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21AACCCF" w14:textId="05CA3770"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07FE2FD" w14:textId="363DA4A9" w:rsidR="009A7A37" w:rsidRDefault="009A7A37" w:rsidP="009A7A37">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533C9D2" w14:textId="17020DA3" w:rsidR="009A7A37" w:rsidRDefault="009A7A37" w:rsidP="009A7A37">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1ED242D3" w14:textId="4159EFD1"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35A61B6" w14:textId="10ACDF99" w:rsidR="009A7A37" w:rsidRDefault="009A7A37" w:rsidP="009A7A37">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3D633A6A" w14:textId="5E04B9ED" w:rsidR="009A7A37" w:rsidRDefault="009A7A37" w:rsidP="009A7A37">
            <w:pPr>
              <w:jc w:val="right"/>
              <w:rPr>
                <w:color w:val="000000"/>
                <w:sz w:val="20"/>
                <w:szCs w:val="20"/>
              </w:rPr>
            </w:pPr>
            <w:r>
              <w:rPr>
                <w:color w:val="000000"/>
                <w:sz w:val="20"/>
                <w:szCs w:val="20"/>
              </w:rPr>
              <w:t>0.458</w:t>
            </w:r>
          </w:p>
        </w:tc>
        <w:tc>
          <w:tcPr>
            <w:tcW w:w="768" w:type="dxa"/>
            <w:tcBorders>
              <w:top w:val="nil"/>
              <w:left w:val="nil"/>
              <w:bottom w:val="nil"/>
              <w:right w:val="nil"/>
            </w:tcBorders>
            <w:shd w:val="clear" w:color="auto" w:fill="auto"/>
            <w:noWrap/>
            <w:vAlign w:val="bottom"/>
            <w:hideMark/>
          </w:tcPr>
          <w:p w14:paraId="22C4D04C" w14:textId="7F7BCB9D"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377BAA3" w14:textId="5553E575" w:rsidR="009A7A37" w:rsidRDefault="009A7A37" w:rsidP="009A7A37">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534006E9" w14:textId="4442EA40" w:rsidR="009A7A37" w:rsidRDefault="009A7A37" w:rsidP="009A7A37">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5A55F0AF" w14:textId="5AD07BF8" w:rsidR="009A7A37" w:rsidRDefault="009A7A37" w:rsidP="009A7A37">
            <w:pPr>
              <w:jc w:val="right"/>
              <w:rPr>
                <w:color w:val="000000"/>
                <w:sz w:val="20"/>
                <w:szCs w:val="20"/>
              </w:rPr>
            </w:pPr>
            <w:r>
              <w:rPr>
                <w:color w:val="000000"/>
                <w:sz w:val="20"/>
                <w:szCs w:val="20"/>
              </w:rPr>
              <w:t>0.003</w:t>
            </w:r>
          </w:p>
        </w:tc>
      </w:tr>
      <w:tr w:rsidR="009A7A37" w14:paraId="6F46F2EF" w14:textId="77777777" w:rsidTr="007C047B">
        <w:trPr>
          <w:trHeight w:val="320"/>
        </w:trPr>
        <w:tc>
          <w:tcPr>
            <w:tcW w:w="1176" w:type="dxa"/>
            <w:tcBorders>
              <w:top w:val="nil"/>
              <w:left w:val="nil"/>
              <w:bottom w:val="nil"/>
              <w:right w:val="nil"/>
            </w:tcBorders>
            <w:shd w:val="clear" w:color="auto" w:fill="auto"/>
            <w:noWrap/>
            <w:vAlign w:val="bottom"/>
            <w:hideMark/>
          </w:tcPr>
          <w:p w14:paraId="373F8EDC"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C585328" w14:textId="77777777" w:rsidR="009A7A37" w:rsidRDefault="009A7A37" w:rsidP="009A7A37">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37AF915" w14:textId="66A6687C" w:rsidR="009A7A37" w:rsidRDefault="009A7A37" w:rsidP="009A7A37">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1FB23C0D" w14:textId="2F26288E" w:rsidR="009A7A37" w:rsidRDefault="009A7A37" w:rsidP="009A7A37">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13B672A7" w14:textId="0EAD3A5F"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9591F6C" w14:textId="218C8CA1" w:rsidR="009A7A37" w:rsidRDefault="009A7A37" w:rsidP="009A7A37">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B175943" w14:textId="01465E1E" w:rsidR="009A7A37" w:rsidRDefault="009A7A37" w:rsidP="009A7A37">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59C82FD0" w14:textId="12A015BC"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DF1B8C" w14:textId="03D1C53E" w:rsidR="009A7A37" w:rsidRDefault="009A7A37" w:rsidP="009A7A37">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D30B3A8" w14:textId="115B2839" w:rsidR="009A7A37" w:rsidRDefault="009A7A37" w:rsidP="009A7A37">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30692027" w14:textId="6024F335"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035621" w14:textId="1BADD76D" w:rsidR="009A7A37" w:rsidRDefault="009A7A37" w:rsidP="009A7A37">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370C0149" w14:textId="3FBD837D" w:rsidR="009A7A37" w:rsidRDefault="009A7A37" w:rsidP="009A7A37">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629A2A6E" w14:textId="5897E044"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F5AA0CA" w14:textId="2E4D6027" w:rsidR="009A7A37" w:rsidRDefault="009A7A37" w:rsidP="009A7A37">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62D755A0" w14:textId="4E0754E3" w:rsidR="009A7A37" w:rsidRDefault="009A7A37" w:rsidP="009A7A37">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79FCB8B5" w14:textId="4881DFE3" w:rsidR="009A7A37" w:rsidRDefault="009A7A37" w:rsidP="009A7A37">
            <w:pPr>
              <w:jc w:val="right"/>
              <w:rPr>
                <w:color w:val="000000"/>
                <w:sz w:val="20"/>
                <w:szCs w:val="20"/>
              </w:rPr>
            </w:pPr>
            <w:r>
              <w:rPr>
                <w:color w:val="000000"/>
                <w:sz w:val="20"/>
                <w:szCs w:val="20"/>
              </w:rPr>
              <w:t>0.003</w:t>
            </w:r>
          </w:p>
        </w:tc>
      </w:tr>
      <w:tr w:rsidR="009A7A37" w14:paraId="69692BAE" w14:textId="77777777" w:rsidTr="007C047B">
        <w:trPr>
          <w:trHeight w:val="320"/>
        </w:trPr>
        <w:tc>
          <w:tcPr>
            <w:tcW w:w="1176" w:type="dxa"/>
            <w:tcBorders>
              <w:top w:val="nil"/>
              <w:left w:val="nil"/>
              <w:bottom w:val="nil"/>
              <w:right w:val="nil"/>
            </w:tcBorders>
            <w:shd w:val="clear" w:color="auto" w:fill="auto"/>
            <w:noWrap/>
            <w:vAlign w:val="bottom"/>
            <w:hideMark/>
          </w:tcPr>
          <w:p w14:paraId="0FE2AC58"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FA66A4" w14:textId="77777777" w:rsidR="009A7A37" w:rsidRDefault="009A7A37" w:rsidP="009A7A37">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2405DAB" w14:textId="21E4B10B" w:rsidR="009A7A37" w:rsidRDefault="009A7A37" w:rsidP="009A7A37">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A565CE3" w14:textId="15006806" w:rsidR="009A7A37" w:rsidRDefault="009A7A37" w:rsidP="009A7A37">
            <w:pPr>
              <w:jc w:val="right"/>
              <w:rPr>
                <w:color w:val="000000"/>
                <w:sz w:val="20"/>
                <w:szCs w:val="20"/>
              </w:rPr>
            </w:pPr>
            <w:r>
              <w:rPr>
                <w:color w:val="000000"/>
                <w:sz w:val="20"/>
                <w:szCs w:val="20"/>
              </w:rPr>
              <w:t>0.599</w:t>
            </w:r>
          </w:p>
        </w:tc>
        <w:tc>
          <w:tcPr>
            <w:tcW w:w="768" w:type="dxa"/>
            <w:tcBorders>
              <w:top w:val="nil"/>
              <w:left w:val="nil"/>
              <w:bottom w:val="nil"/>
              <w:right w:val="nil"/>
            </w:tcBorders>
            <w:shd w:val="clear" w:color="auto" w:fill="auto"/>
            <w:noWrap/>
            <w:vAlign w:val="bottom"/>
            <w:hideMark/>
          </w:tcPr>
          <w:p w14:paraId="4E363C5E" w14:textId="5A080C1C"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B6BC11" w14:textId="0FD4AE81"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A598A74" w14:textId="7A85021B" w:rsidR="009A7A37" w:rsidRDefault="009A7A37" w:rsidP="009A7A37">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48215969" w14:textId="5A767844"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6FDFBF" w14:textId="6783B308" w:rsidR="009A7A37" w:rsidRDefault="009A7A37" w:rsidP="009A7A37">
            <w:pPr>
              <w:jc w:val="right"/>
              <w:rPr>
                <w:b/>
                <w:bCs/>
                <w:color w:val="000000"/>
                <w:sz w:val="20"/>
                <w:szCs w:val="20"/>
              </w:rPr>
            </w:pPr>
            <w:r>
              <w:rPr>
                <w:b/>
                <w:bCs/>
                <w:color w:val="000000"/>
                <w:sz w:val="20"/>
                <w:szCs w:val="20"/>
              </w:rPr>
              <w:t>0.099</w:t>
            </w:r>
          </w:p>
        </w:tc>
        <w:tc>
          <w:tcPr>
            <w:tcW w:w="768" w:type="dxa"/>
            <w:tcBorders>
              <w:top w:val="nil"/>
              <w:left w:val="nil"/>
              <w:bottom w:val="nil"/>
              <w:right w:val="nil"/>
            </w:tcBorders>
            <w:shd w:val="clear" w:color="auto" w:fill="auto"/>
            <w:noWrap/>
            <w:vAlign w:val="bottom"/>
            <w:hideMark/>
          </w:tcPr>
          <w:p w14:paraId="58E76A9E" w14:textId="16775715" w:rsidR="009A7A37" w:rsidRDefault="009A7A37" w:rsidP="009A7A37">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40F20D22" w14:textId="7563BA08" w:rsidR="009A7A37" w:rsidRDefault="009A7A37" w:rsidP="009A7A37">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20EEB41C" w14:textId="1DB805EB" w:rsidR="009A7A37" w:rsidRDefault="009A7A37" w:rsidP="009A7A37">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0805916" w14:textId="0891B690" w:rsidR="009A7A37" w:rsidRDefault="009A7A37" w:rsidP="009A7A37">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56E65C56" w14:textId="24E62872"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7123B0" w14:textId="1EB717F1" w:rsidR="009A7A37" w:rsidRDefault="009A7A37" w:rsidP="009A7A37">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572F114" w14:textId="2D04C04B" w:rsidR="009A7A37" w:rsidRDefault="009A7A37" w:rsidP="009A7A37">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15975373" w14:textId="20EEB614" w:rsidR="009A7A37" w:rsidRDefault="009A7A37" w:rsidP="009A7A37">
            <w:pPr>
              <w:jc w:val="right"/>
              <w:rPr>
                <w:color w:val="000000"/>
                <w:sz w:val="20"/>
                <w:szCs w:val="20"/>
              </w:rPr>
            </w:pPr>
            <w:r>
              <w:rPr>
                <w:color w:val="000000"/>
                <w:sz w:val="20"/>
                <w:szCs w:val="20"/>
              </w:rPr>
              <w:t>0.000</w:t>
            </w:r>
          </w:p>
        </w:tc>
      </w:tr>
      <w:tr w:rsidR="009A7A37" w14:paraId="05C26BC3" w14:textId="77777777" w:rsidTr="007C047B">
        <w:trPr>
          <w:trHeight w:val="320"/>
        </w:trPr>
        <w:tc>
          <w:tcPr>
            <w:tcW w:w="1176" w:type="dxa"/>
            <w:tcBorders>
              <w:top w:val="nil"/>
              <w:left w:val="nil"/>
              <w:bottom w:val="nil"/>
              <w:right w:val="nil"/>
            </w:tcBorders>
            <w:shd w:val="clear" w:color="auto" w:fill="auto"/>
            <w:noWrap/>
            <w:vAlign w:val="bottom"/>
            <w:hideMark/>
          </w:tcPr>
          <w:p w14:paraId="02BDA84D"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0EE4FA4" w14:textId="77777777" w:rsidR="009A7A37" w:rsidRDefault="009A7A37" w:rsidP="009A7A37">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1720CDE" w14:textId="2AE7E316" w:rsidR="009A7A37" w:rsidRDefault="009A7A37" w:rsidP="009A7A37">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5F64534C" w14:textId="14058201" w:rsidR="009A7A37" w:rsidRDefault="009A7A37" w:rsidP="009A7A37">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26DC82B9" w14:textId="21789CE4"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48FAD33" w14:textId="2AD88712" w:rsidR="009A7A37" w:rsidRDefault="009A7A37" w:rsidP="009A7A37">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6F46DFF" w14:textId="7260BD95" w:rsidR="009A7A37" w:rsidRDefault="009A7A37" w:rsidP="009A7A37">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2A2C9BD7" w14:textId="705AA96A"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635688" w14:textId="7B8A7E69" w:rsidR="009A7A37" w:rsidRDefault="009A7A37" w:rsidP="009A7A37">
            <w:pPr>
              <w:jc w:val="right"/>
              <w:rPr>
                <w:b/>
                <w:bCs/>
                <w:color w:val="000000"/>
                <w:sz w:val="20"/>
                <w:szCs w:val="20"/>
              </w:rPr>
            </w:pPr>
            <w:r>
              <w:rPr>
                <w:b/>
                <w:bCs/>
                <w:color w:val="000000"/>
                <w:sz w:val="20"/>
                <w:szCs w:val="20"/>
              </w:rPr>
              <w:t>0.091</w:t>
            </w:r>
          </w:p>
        </w:tc>
        <w:tc>
          <w:tcPr>
            <w:tcW w:w="768" w:type="dxa"/>
            <w:tcBorders>
              <w:top w:val="nil"/>
              <w:left w:val="nil"/>
              <w:bottom w:val="nil"/>
              <w:right w:val="nil"/>
            </w:tcBorders>
            <w:shd w:val="clear" w:color="auto" w:fill="auto"/>
            <w:noWrap/>
            <w:vAlign w:val="bottom"/>
            <w:hideMark/>
          </w:tcPr>
          <w:p w14:paraId="59FB6790" w14:textId="76DC9D2E" w:rsidR="009A7A37" w:rsidRDefault="009A7A37" w:rsidP="009A7A37">
            <w:pPr>
              <w:jc w:val="right"/>
              <w:rPr>
                <w:b/>
                <w:bCs/>
                <w:color w:val="000000"/>
                <w:sz w:val="20"/>
                <w:szCs w:val="20"/>
              </w:rPr>
            </w:pPr>
            <w:r>
              <w:rPr>
                <w:b/>
                <w:bCs/>
                <w:color w:val="000000"/>
                <w:sz w:val="20"/>
                <w:szCs w:val="20"/>
              </w:rPr>
              <w:t>0.044</w:t>
            </w:r>
          </w:p>
        </w:tc>
        <w:tc>
          <w:tcPr>
            <w:tcW w:w="768" w:type="dxa"/>
            <w:tcBorders>
              <w:top w:val="nil"/>
              <w:left w:val="nil"/>
              <w:bottom w:val="nil"/>
              <w:right w:val="nil"/>
            </w:tcBorders>
            <w:shd w:val="clear" w:color="auto" w:fill="auto"/>
            <w:noWrap/>
            <w:vAlign w:val="bottom"/>
            <w:hideMark/>
          </w:tcPr>
          <w:p w14:paraId="1CC0D615" w14:textId="3A3FA8E4" w:rsidR="009A7A37" w:rsidRDefault="009A7A37" w:rsidP="009A7A37">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CE1A425" w14:textId="09FDE07A" w:rsidR="009A7A37" w:rsidRDefault="009A7A37" w:rsidP="009A7A37">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762E1FA" w14:textId="74F357D2" w:rsidR="009A7A37" w:rsidRDefault="009A7A37" w:rsidP="009A7A37">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5784190C" w14:textId="786A0E9E"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C1CA6A" w14:textId="346649C2" w:rsidR="009A7A37" w:rsidRDefault="009A7A37" w:rsidP="009A7A37">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27EEAF3" w14:textId="4F093F32" w:rsidR="009A7A37" w:rsidRDefault="009A7A37" w:rsidP="009A7A37">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5A0826B9" w14:textId="5A2F3C8F" w:rsidR="009A7A37" w:rsidRDefault="009A7A37" w:rsidP="009A7A37">
            <w:pPr>
              <w:jc w:val="right"/>
              <w:rPr>
                <w:color w:val="000000"/>
                <w:sz w:val="20"/>
                <w:szCs w:val="20"/>
              </w:rPr>
            </w:pPr>
            <w:r>
              <w:rPr>
                <w:color w:val="000000"/>
                <w:sz w:val="20"/>
                <w:szCs w:val="20"/>
              </w:rPr>
              <w:t>0.001</w:t>
            </w:r>
          </w:p>
        </w:tc>
      </w:tr>
      <w:tr w:rsidR="009A7A37" w14:paraId="67D4502B" w14:textId="77777777" w:rsidTr="007C047B">
        <w:trPr>
          <w:trHeight w:val="320"/>
        </w:trPr>
        <w:tc>
          <w:tcPr>
            <w:tcW w:w="1176" w:type="dxa"/>
            <w:tcBorders>
              <w:top w:val="nil"/>
              <w:left w:val="nil"/>
              <w:bottom w:val="single" w:sz="4" w:space="0" w:color="auto"/>
              <w:right w:val="nil"/>
            </w:tcBorders>
            <w:shd w:val="clear" w:color="auto" w:fill="auto"/>
            <w:noWrap/>
            <w:vAlign w:val="bottom"/>
            <w:hideMark/>
          </w:tcPr>
          <w:p w14:paraId="0EACBA89" w14:textId="77777777" w:rsidR="009A7A37" w:rsidRDefault="009A7A37" w:rsidP="009A7A37">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37CD112" w14:textId="77777777" w:rsidR="009A7A37" w:rsidRDefault="009A7A37" w:rsidP="009A7A37">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66D54F7" w14:textId="01318B0C" w:rsidR="009A7A37" w:rsidRDefault="009A7A37" w:rsidP="009A7A37">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1B614EC4" w14:textId="4FF27C5A" w:rsidR="009A7A37" w:rsidRDefault="009A7A37" w:rsidP="009A7A37">
            <w:pPr>
              <w:jc w:val="right"/>
              <w:rPr>
                <w:color w:val="000000"/>
                <w:sz w:val="20"/>
                <w:szCs w:val="20"/>
              </w:rPr>
            </w:pPr>
            <w:r>
              <w:rPr>
                <w:color w:val="000000"/>
                <w:sz w:val="20"/>
                <w:szCs w:val="20"/>
              </w:rPr>
              <w:t>0.830</w:t>
            </w:r>
          </w:p>
        </w:tc>
        <w:tc>
          <w:tcPr>
            <w:tcW w:w="768" w:type="dxa"/>
            <w:tcBorders>
              <w:top w:val="nil"/>
              <w:left w:val="nil"/>
              <w:bottom w:val="single" w:sz="4" w:space="0" w:color="auto"/>
              <w:right w:val="nil"/>
            </w:tcBorders>
            <w:shd w:val="clear" w:color="auto" w:fill="auto"/>
            <w:noWrap/>
            <w:vAlign w:val="bottom"/>
            <w:hideMark/>
          </w:tcPr>
          <w:p w14:paraId="7F17702B" w14:textId="2DE9D679"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1371FF3" w14:textId="67D85DB2"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7AD190B4" w14:textId="7F5154E0" w:rsidR="009A7A37" w:rsidRDefault="009A7A37" w:rsidP="009A7A37">
            <w:pPr>
              <w:jc w:val="right"/>
              <w:rPr>
                <w:color w:val="000000"/>
                <w:sz w:val="20"/>
                <w:szCs w:val="20"/>
              </w:rPr>
            </w:pPr>
            <w:r>
              <w:rPr>
                <w:color w:val="000000"/>
                <w:sz w:val="20"/>
                <w:szCs w:val="20"/>
              </w:rPr>
              <w:t>0.959</w:t>
            </w:r>
          </w:p>
        </w:tc>
        <w:tc>
          <w:tcPr>
            <w:tcW w:w="768" w:type="dxa"/>
            <w:tcBorders>
              <w:top w:val="nil"/>
              <w:left w:val="nil"/>
              <w:bottom w:val="single" w:sz="4" w:space="0" w:color="auto"/>
              <w:right w:val="nil"/>
            </w:tcBorders>
            <w:shd w:val="clear" w:color="auto" w:fill="auto"/>
            <w:noWrap/>
            <w:vAlign w:val="bottom"/>
            <w:hideMark/>
          </w:tcPr>
          <w:p w14:paraId="54A94B04" w14:textId="132A983D"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DAFBB94" w14:textId="185C9E3B" w:rsidR="009A7A37" w:rsidRDefault="009A7A37" w:rsidP="009A7A37">
            <w:pPr>
              <w:jc w:val="right"/>
              <w:rPr>
                <w:color w:val="000000"/>
                <w:sz w:val="20"/>
                <w:szCs w:val="20"/>
              </w:rPr>
            </w:pPr>
            <w:r>
              <w:rPr>
                <w:color w:val="000000"/>
                <w:sz w:val="20"/>
                <w:szCs w:val="20"/>
              </w:rPr>
              <w:t>0.049</w:t>
            </w:r>
          </w:p>
        </w:tc>
        <w:tc>
          <w:tcPr>
            <w:tcW w:w="768" w:type="dxa"/>
            <w:tcBorders>
              <w:top w:val="nil"/>
              <w:left w:val="nil"/>
              <w:bottom w:val="single" w:sz="4" w:space="0" w:color="auto"/>
              <w:right w:val="nil"/>
            </w:tcBorders>
            <w:shd w:val="clear" w:color="auto" w:fill="auto"/>
            <w:noWrap/>
            <w:vAlign w:val="bottom"/>
            <w:hideMark/>
          </w:tcPr>
          <w:p w14:paraId="59BC28E1" w14:textId="0BA8809C" w:rsidR="009A7A37" w:rsidRDefault="009A7A37" w:rsidP="009A7A37">
            <w:pPr>
              <w:jc w:val="right"/>
              <w:rPr>
                <w:color w:val="000000"/>
                <w:sz w:val="20"/>
                <w:szCs w:val="20"/>
              </w:rPr>
            </w:pPr>
            <w:r>
              <w:rPr>
                <w:color w:val="000000"/>
                <w:sz w:val="20"/>
                <w:szCs w:val="20"/>
              </w:rPr>
              <w:t>0.453</w:t>
            </w:r>
          </w:p>
        </w:tc>
        <w:tc>
          <w:tcPr>
            <w:tcW w:w="768" w:type="dxa"/>
            <w:tcBorders>
              <w:top w:val="nil"/>
              <w:left w:val="nil"/>
              <w:bottom w:val="single" w:sz="4" w:space="0" w:color="auto"/>
              <w:right w:val="nil"/>
            </w:tcBorders>
            <w:shd w:val="clear" w:color="auto" w:fill="auto"/>
            <w:noWrap/>
            <w:vAlign w:val="bottom"/>
            <w:hideMark/>
          </w:tcPr>
          <w:p w14:paraId="2279335B" w14:textId="5E1ADCAF"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EB3E7F4" w14:textId="241E6F17" w:rsidR="009A7A37" w:rsidRDefault="009A7A37" w:rsidP="009A7A37">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76D63076" w14:textId="7E542786" w:rsidR="009A7A37" w:rsidRDefault="009A7A37" w:rsidP="009A7A37">
            <w:pPr>
              <w:jc w:val="right"/>
              <w:rPr>
                <w:color w:val="000000"/>
                <w:sz w:val="20"/>
                <w:szCs w:val="20"/>
              </w:rPr>
            </w:pPr>
            <w:r>
              <w:rPr>
                <w:color w:val="000000"/>
                <w:sz w:val="20"/>
                <w:szCs w:val="20"/>
              </w:rPr>
              <w:t>0.843</w:t>
            </w:r>
          </w:p>
        </w:tc>
        <w:tc>
          <w:tcPr>
            <w:tcW w:w="768" w:type="dxa"/>
            <w:tcBorders>
              <w:top w:val="nil"/>
              <w:left w:val="nil"/>
              <w:bottom w:val="single" w:sz="4" w:space="0" w:color="auto"/>
              <w:right w:val="nil"/>
            </w:tcBorders>
            <w:shd w:val="clear" w:color="auto" w:fill="auto"/>
            <w:noWrap/>
            <w:vAlign w:val="bottom"/>
            <w:hideMark/>
          </w:tcPr>
          <w:p w14:paraId="120E213F" w14:textId="4A0B4735"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31E2376" w14:textId="79EB8705" w:rsidR="009A7A37" w:rsidRDefault="009A7A37" w:rsidP="009A7A37">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76433AD5" w14:textId="50B6BE75" w:rsidR="009A7A37" w:rsidRDefault="009A7A37" w:rsidP="009A7A37">
            <w:pPr>
              <w:jc w:val="right"/>
              <w:rPr>
                <w:color w:val="000000"/>
                <w:sz w:val="20"/>
                <w:szCs w:val="20"/>
              </w:rPr>
            </w:pPr>
            <w:r>
              <w:rPr>
                <w:color w:val="000000"/>
                <w:sz w:val="20"/>
                <w:szCs w:val="20"/>
              </w:rPr>
              <w:t>0.979</w:t>
            </w:r>
          </w:p>
        </w:tc>
        <w:tc>
          <w:tcPr>
            <w:tcW w:w="768" w:type="dxa"/>
            <w:tcBorders>
              <w:top w:val="nil"/>
              <w:left w:val="nil"/>
              <w:bottom w:val="single" w:sz="4" w:space="0" w:color="auto"/>
              <w:right w:val="nil"/>
            </w:tcBorders>
            <w:shd w:val="clear" w:color="auto" w:fill="auto"/>
            <w:noWrap/>
            <w:vAlign w:val="bottom"/>
            <w:hideMark/>
          </w:tcPr>
          <w:p w14:paraId="0C34FCD6" w14:textId="043160FB" w:rsidR="009A7A37" w:rsidRDefault="009A7A37" w:rsidP="009A7A37">
            <w:pPr>
              <w:jc w:val="right"/>
              <w:rPr>
                <w:color w:val="000000"/>
                <w:sz w:val="20"/>
                <w:szCs w:val="20"/>
              </w:rPr>
            </w:pPr>
            <w:r>
              <w:rPr>
                <w:color w:val="000000"/>
                <w:sz w:val="20"/>
                <w:szCs w:val="20"/>
              </w:rPr>
              <w:t>0.000</w:t>
            </w:r>
          </w:p>
        </w:tc>
      </w:tr>
      <w:tr w:rsidR="009A7A37" w14:paraId="4D072C8B" w14:textId="77777777" w:rsidTr="007C047B">
        <w:trPr>
          <w:trHeight w:val="320"/>
        </w:trPr>
        <w:tc>
          <w:tcPr>
            <w:tcW w:w="1176" w:type="dxa"/>
            <w:tcBorders>
              <w:top w:val="nil"/>
              <w:left w:val="nil"/>
              <w:bottom w:val="nil"/>
              <w:right w:val="nil"/>
            </w:tcBorders>
            <w:shd w:val="clear" w:color="auto" w:fill="auto"/>
            <w:noWrap/>
            <w:vAlign w:val="bottom"/>
            <w:hideMark/>
          </w:tcPr>
          <w:p w14:paraId="571464D3" w14:textId="77777777" w:rsidR="009A7A37" w:rsidRDefault="009A7A37" w:rsidP="009A7A37">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446CDF60" w14:textId="77777777" w:rsidR="009A7A37" w:rsidRDefault="009A7A37" w:rsidP="009A7A37">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FC22EDC" w14:textId="51BE02E7" w:rsidR="009A7A37" w:rsidRDefault="009A7A37" w:rsidP="009A7A37">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778C5E3F" w14:textId="7D849112" w:rsidR="009A7A37" w:rsidRDefault="009A7A37" w:rsidP="009A7A37">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5F089D28" w14:textId="616B824A" w:rsidR="009A7A37" w:rsidRDefault="009A7A37" w:rsidP="009A7A37">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881F48D" w14:textId="5AFD6B74" w:rsidR="009A7A37" w:rsidRDefault="009A7A37" w:rsidP="009A7A37">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C8FAA13" w14:textId="548DEB50" w:rsidR="009A7A37" w:rsidRDefault="009A7A37" w:rsidP="009A7A37">
            <w:pPr>
              <w:jc w:val="right"/>
              <w:rPr>
                <w:color w:val="000000"/>
                <w:sz w:val="20"/>
                <w:szCs w:val="20"/>
              </w:rPr>
            </w:pPr>
            <w:r>
              <w:rPr>
                <w:color w:val="000000"/>
                <w:sz w:val="20"/>
                <w:szCs w:val="20"/>
              </w:rPr>
              <w:t>0.371</w:t>
            </w:r>
          </w:p>
        </w:tc>
        <w:tc>
          <w:tcPr>
            <w:tcW w:w="768" w:type="dxa"/>
            <w:tcBorders>
              <w:top w:val="nil"/>
              <w:left w:val="nil"/>
              <w:bottom w:val="nil"/>
              <w:right w:val="nil"/>
            </w:tcBorders>
            <w:shd w:val="clear" w:color="auto" w:fill="auto"/>
            <w:noWrap/>
            <w:vAlign w:val="bottom"/>
            <w:hideMark/>
          </w:tcPr>
          <w:p w14:paraId="0E7C877A" w14:textId="24DC8E73"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A660E5D" w14:textId="220F76A5" w:rsidR="009A7A37" w:rsidRDefault="009A7A37" w:rsidP="009A7A37">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841E4B9" w14:textId="3A6F7F29" w:rsidR="009A7A37" w:rsidRDefault="009A7A37" w:rsidP="009A7A37">
            <w:pPr>
              <w:jc w:val="right"/>
              <w:rPr>
                <w:color w:val="000000"/>
                <w:sz w:val="20"/>
                <w:szCs w:val="20"/>
              </w:rPr>
            </w:pPr>
            <w:r>
              <w:rPr>
                <w:color w:val="000000"/>
                <w:sz w:val="20"/>
                <w:szCs w:val="20"/>
              </w:rPr>
              <w:t>0.712</w:t>
            </w:r>
          </w:p>
        </w:tc>
        <w:tc>
          <w:tcPr>
            <w:tcW w:w="768" w:type="dxa"/>
            <w:tcBorders>
              <w:top w:val="nil"/>
              <w:left w:val="nil"/>
              <w:bottom w:val="nil"/>
              <w:right w:val="nil"/>
            </w:tcBorders>
            <w:shd w:val="clear" w:color="auto" w:fill="auto"/>
            <w:noWrap/>
            <w:vAlign w:val="bottom"/>
            <w:hideMark/>
          </w:tcPr>
          <w:p w14:paraId="32F04601" w14:textId="367E360E"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BA6210" w14:textId="67F6ABFA" w:rsidR="009A7A37" w:rsidRDefault="009A7A37" w:rsidP="009A7A37">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7750E783" w14:textId="470D2E7F" w:rsidR="009A7A37" w:rsidRDefault="009A7A37" w:rsidP="009A7A37">
            <w:pPr>
              <w:jc w:val="right"/>
              <w:rPr>
                <w:color w:val="000000"/>
                <w:sz w:val="20"/>
                <w:szCs w:val="20"/>
              </w:rPr>
            </w:pPr>
            <w:r>
              <w:rPr>
                <w:color w:val="000000"/>
                <w:sz w:val="20"/>
                <w:szCs w:val="20"/>
              </w:rPr>
              <w:t>0.228</w:t>
            </w:r>
          </w:p>
        </w:tc>
        <w:tc>
          <w:tcPr>
            <w:tcW w:w="768" w:type="dxa"/>
            <w:tcBorders>
              <w:top w:val="nil"/>
              <w:left w:val="nil"/>
              <w:bottom w:val="nil"/>
              <w:right w:val="nil"/>
            </w:tcBorders>
            <w:shd w:val="clear" w:color="auto" w:fill="auto"/>
            <w:noWrap/>
            <w:vAlign w:val="bottom"/>
            <w:hideMark/>
          </w:tcPr>
          <w:p w14:paraId="75CE7569" w14:textId="07B5A0E9" w:rsidR="009A7A37" w:rsidRDefault="009A7A37" w:rsidP="009A7A37">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C7B41D9" w14:textId="10A0C78B" w:rsidR="009A7A37" w:rsidRDefault="009A7A37" w:rsidP="009A7A37">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6F99C951" w14:textId="29667995" w:rsidR="009A7A37" w:rsidRDefault="009A7A37" w:rsidP="009A7A37">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79CD1E0F" w14:textId="1A9D6462" w:rsidR="009A7A37" w:rsidRDefault="009A7A37" w:rsidP="009A7A37">
            <w:pPr>
              <w:jc w:val="right"/>
              <w:rPr>
                <w:color w:val="000000"/>
                <w:sz w:val="20"/>
                <w:szCs w:val="20"/>
              </w:rPr>
            </w:pPr>
            <w:r>
              <w:rPr>
                <w:color w:val="000000"/>
                <w:sz w:val="20"/>
                <w:szCs w:val="20"/>
              </w:rPr>
              <w:t>0.001</w:t>
            </w:r>
          </w:p>
        </w:tc>
      </w:tr>
      <w:tr w:rsidR="009A7A37" w14:paraId="72F5E0D0" w14:textId="77777777" w:rsidTr="007C047B">
        <w:trPr>
          <w:trHeight w:val="320"/>
        </w:trPr>
        <w:tc>
          <w:tcPr>
            <w:tcW w:w="1176" w:type="dxa"/>
            <w:tcBorders>
              <w:top w:val="nil"/>
              <w:left w:val="nil"/>
              <w:bottom w:val="nil"/>
              <w:right w:val="nil"/>
            </w:tcBorders>
            <w:shd w:val="clear" w:color="auto" w:fill="auto"/>
            <w:noWrap/>
            <w:vAlign w:val="bottom"/>
            <w:hideMark/>
          </w:tcPr>
          <w:p w14:paraId="2744BD85"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32755CF" w14:textId="77777777" w:rsidR="009A7A37" w:rsidRDefault="009A7A37" w:rsidP="009A7A37">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713AC68" w14:textId="38C8EFB0" w:rsidR="009A7A37" w:rsidRDefault="009A7A37" w:rsidP="009A7A37">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78C9F32F" w14:textId="0AAF591D" w:rsidR="009A7A37" w:rsidRDefault="009A7A37" w:rsidP="009A7A37">
            <w:pPr>
              <w:jc w:val="right"/>
              <w:rPr>
                <w:color w:val="000000"/>
                <w:sz w:val="20"/>
                <w:szCs w:val="20"/>
              </w:rPr>
            </w:pPr>
            <w:r>
              <w:rPr>
                <w:color w:val="000000"/>
                <w:sz w:val="20"/>
                <w:szCs w:val="20"/>
              </w:rPr>
              <w:t>0.342</w:t>
            </w:r>
          </w:p>
        </w:tc>
        <w:tc>
          <w:tcPr>
            <w:tcW w:w="768" w:type="dxa"/>
            <w:tcBorders>
              <w:top w:val="nil"/>
              <w:left w:val="nil"/>
              <w:bottom w:val="nil"/>
              <w:right w:val="nil"/>
            </w:tcBorders>
            <w:shd w:val="clear" w:color="auto" w:fill="auto"/>
            <w:noWrap/>
            <w:vAlign w:val="bottom"/>
            <w:hideMark/>
          </w:tcPr>
          <w:p w14:paraId="7683575E" w14:textId="391A8E3C"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7BBB6BF" w14:textId="1157C748" w:rsidR="009A7A37" w:rsidRDefault="009A7A37" w:rsidP="009A7A37">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75E9221" w14:textId="52C16FA7" w:rsidR="009A7A37" w:rsidRDefault="009A7A37" w:rsidP="009A7A37">
            <w:pPr>
              <w:jc w:val="right"/>
              <w:rPr>
                <w:color w:val="000000"/>
                <w:sz w:val="20"/>
                <w:szCs w:val="20"/>
              </w:rPr>
            </w:pPr>
            <w:r>
              <w:rPr>
                <w:color w:val="000000"/>
                <w:sz w:val="20"/>
                <w:szCs w:val="20"/>
              </w:rPr>
              <w:t>0.759</w:t>
            </w:r>
          </w:p>
        </w:tc>
        <w:tc>
          <w:tcPr>
            <w:tcW w:w="768" w:type="dxa"/>
            <w:tcBorders>
              <w:top w:val="nil"/>
              <w:left w:val="nil"/>
              <w:bottom w:val="nil"/>
              <w:right w:val="nil"/>
            </w:tcBorders>
            <w:shd w:val="clear" w:color="auto" w:fill="auto"/>
            <w:noWrap/>
            <w:vAlign w:val="bottom"/>
            <w:hideMark/>
          </w:tcPr>
          <w:p w14:paraId="3218E68A" w14:textId="342BEEEA"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50FADA" w14:textId="0B4C6722" w:rsidR="009A7A37" w:rsidRDefault="009A7A37" w:rsidP="009A7A37">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DB431F2" w14:textId="36FADB99" w:rsidR="009A7A37" w:rsidRDefault="009A7A37" w:rsidP="009A7A37">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44ECE5F6" w14:textId="0B25B515"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3ED673" w14:textId="6B421B1E" w:rsidR="009A7A37" w:rsidRDefault="009A7A37" w:rsidP="009A7A37">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38B5C994" w14:textId="312223F4" w:rsidR="009A7A37" w:rsidRDefault="009A7A37" w:rsidP="009A7A37">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3102F767" w14:textId="36E35850" w:rsidR="009A7A37" w:rsidRDefault="009A7A37" w:rsidP="009A7A37">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9D9EC94" w14:textId="3A4932E9" w:rsidR="009A7A37" w:rsidRDefault="009A7A37" w:rsidP="009A7A37">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1855D285" w14:textId="2E41793A" w:rsidR="009A7A37" w:rsidRDefault="009A7A37" w:rsidP="009A7A37">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2F79E93F" w14:textId="13BD3980" w:rsidR="009A7A37" w:rsidRDefault="009A7A37" w:rsidP="009A7A37">
            <w:pPr>
              <w:jc w:val="right"/>
              <w:rPr>
                <w:color w:val="000000"/>
                <w:sz w:val="20"/>
                <w:szCs w:val="20"/>
              </w:rPr>
            </w:pPr>
            <w:r>
              <w:rPr>
                <w:color w:val="000000"/>
                <w:sz w:val="20"/>
                <w:szCs w:val="20"/>
              </w:rPr>
              <w:t>0.007</w:t>
            </w:r>
          </w:p>
        </w:tc>
      </w:tr>
      <w:tr w:rsidR="009A7A37" w14:paraId="7B3221A7" w14:textId="77777777" w:rsidTr="007C047B">
        <w:trPr>
          <w:trHeight w:val="320"/>
        </w:trPr>
        <w:tc>
          <w:tcPr>
            <w:tcW w:w="1176" w:type="dxa"/>
            <w:tcBorders>
              <w:top w:val="nil"/>
              <w:left w:val="nil"/>
              <w:bottom w:val="nil"/>
              <w:right w:val="nil"/>
            </w:tcBorders>
            <w:shd w:val="clear" w:color="auto" w:fill="auto"/>
            <w:noWrap/>
            <w:vAlign w:val="bottom"/>
            <w:hideMark/>
          </w:tcPr>
          <w:p w14:paraId="5DBE7DFA"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FF3C7BE" w14:textId="77777777" w:rsidR="009A7A37" w:rsidRDefault="009A7A37" w:rsidP="009A7A37">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642C1C0" w14:textId="6BB6DC46" w:rsidR="009A7A37" w:rsidRDefault="009A7A37" w:rsidP="009A7A37">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A0FDB28" w14:textId="235D3E81" w:rsidR="009A7A37" w:rsidRDefault="009A7A37" w:rsidP="009A7A37">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4D5789D6" w14:textId="1618F810"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4FBDC5" w14:textId="7E3912D6" w:rsidR="009A7A37" w:rsidRDefault="009A7A37" w:rsidP="009A7A37">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382FFF0A" w14:textId="54A59674" w:rsidR="009A7A37" w:rsidRDefault="009A7A37" w:rsidP="009A7A37">
            <w:pPr>
              <w:jc w:val="right"/>
              <w:rPr>
                <w:color w:val="000000"/>
                <w:sz w:val="20"/>
                <w:szCs w:val="20"/>
              </w:rPr>
            </w:pPr>
            <w:r>
              <w:rPr>
                <w:color w:val="000000"/>
                <w:sz w:val="20"/>
                <w:szCs w:val="20"/>
              </w:rPr>
              <w:t>0.371</w:t>
            </w:r>
          </w:p>
        </w:tc>
        <w:tc>
          <w:tcPr>
            <w:tcW w:w="768" w:type="dxa"/>
            <w:tcBorders>
              <w:top w:val="nil"/>
              <w:left w:val="nil"/>
              <w:bottom w:val="nil"/>
              <w:right w:val="nil"/>
            </w:tcBorders>
            <w:shd w:val="clear" w:color="auto" w:fill="auto"/>
            <w:noWrap/>
            <w:vAlign w:val="bottom"/>
            <w:hideMark/>
          </w:tcPr>
          <w:p w14:paraId="2457FF9F" w14:textId="12181F34"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EF63A32" w14:textId="21CBFC8C" w:rsidR="009A7A37" w:rsidRDefault="009A7A37" w:rsidP="009A7A37">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7237C4A" w14:textId="1D057F6A" w:rsidR="009A7A37" w:rsidRDefault="009A7A37" w:rsidP="009A7A37">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1763DA7B" w14:textId="5021BB0A"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C171FA" w14:textId="68E206EF" w:rsidR="009A7A37" w:rsidRDefault="009A7A37" w:rsidP="009A7A37">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43E8718" w14:textId="6B8F4E67" w:rsidR="009A7A37" w:rsidRDefault="009A7A37" w:rsidP="009A7A37">
            <w:pPr>
              <w:jc w:val="right"/>
              <w:rPr>
                <w:color w:val="000000"/>
                <w:sz w:val="20"/>
                <w:szCs w:val="20"/>
              </w:rPr>
            </w:pPr>
            <w:r>
              <w:rPr>
                <w:color w:val="000000"/>
                <w:sz w:val="20"/>
                <w:szCs w:val="20"/>
              </w:rPr>
              <w:t>0.648</w:t>
            </w:r>
          </w:p>
        </w:tc>
        <w:tc>
          <w:tcPr>
            <w:tcW w:w="768" w:type="dxa"/>
            <w:tcBorders>
              <w:top w:val="nil"/>
              <w:left w:val="nil"/>
              <w:bottom w:val="nil"/>
              <w:right w:val="nil"/>
            </w:tcBorders>
            <w:shd w:val="clear" w:color="auto" w:fill="auto"/>
            <w:noWrap/>
            <w:vAlign w:val="bottom"/>
            <w:hideMark/>
          </w:tcPr>
          <w:p w14:paraId="7DD1868C" w14:textId="1EBCBA22"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23991A" w14:textId="534DD3CA" w:rsidR="009A7A37" w:rsidRDefault="009A7A37" w:rsidP="009A7A37">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72B5582E" w14:textId="2AD68366" w:rsidR="009A7A37" w:rsidRDefault="009A7A37" w:rsidP="009A7A37">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3204BF78" w14:textId="5AEB8DA9" w:rsidR="009A7A37" w:rsidRDefault="009A7A37" w:rsidP="009A7A37">
            <w:pPr>
              <w:jc w:val="right"/>
              <w:rPr>
                <w:color w:val="000000"/>
                <w:sz w:val="20"/>
                <w:szCs w:val="20"/>
              </w:rPr>
            </w:pPr>
            <w:r>
              <w:rPr>
                <w:color w:val="000000"/>
                <w:sz w:val="20"/>
                <w:szCs w:val="20"/>
              </w:rPr>
              <w:t>0.001</w:t>
            </w:r>
          </w:p>
        </w:tc>
      </w:tr>
      <w:tr w:rsidR="009A7A37" w14:paraId="735E9A16" w14:textId="77777777" w:rsidTr="007C047B">
        <w:trPr>
          <w:trHeight w:val="320"/>
        </w:trPr>
        <w:tc>
          <w:tcPr>
            <w:tcW w:w="1176" w:type="dxa"/>
            <w:tcBorders>
              <w:top w:val="nil"/>
              <w:left w:val="nil"/>
              <w:bottom w:val="nil"/>
              <w:right w:val="nil"/>
            </w:tcBorders>
            <w:shd w:val="clear" w:color="auto" w:fill="auto"/>
            <w:noWrap/>
            <w:vAlign w:val="bottom"/>
            <w:hideMark/>
          </w:tcPr>
          <w:p w14:paraId="4D41F350"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201069" w14:textId="77777777" w:rsidR="009A7A37" w:rsidRDefault="009A7A37" w:rsidP="009A7A37">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7228FDE" w14:textId="238F87BA" w:rsidR="009A7A37" w:rsidRDefault="009A7A37" w:rsidP="009A7A37">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3F61E14" w14:textId="1D557D5D" w:rsidR="009A7A37" w:rsidRDefault="009A7A37" w:rsidP="009A7A37">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63ECA45A" w14:textId="555D5E76"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86A0EA7" w14:textId="15381B03" w:rsidR="009A7A37" w:rsidRDefault="009A7A37" w:rsidP="009A7A37">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67C0DD1B" w14:textId="2071E058" w:rsidR="009A7A37" w:rsidRDefault="009A7A37" w:rsidP="009A7A37">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6CEF36BD" w14:textId="7A7B55FE" w:rsidR="009A7A37" w:rsidRDefault="009A7A37" w:rsidP="009A7A37">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013DA03" w14:textId="32D6BBC3" w:rsidR="009A7A37" w:rsidRDefault="009A7A37" w:rsidP="009A7A37">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049F678E" w14:textId="2C118C6F" w:rsidR="009A7A37" w:rsidRDefault="009A7A37" w:rsidP="009A7A37">
            <w:pPr>
              <w:jc w:val="right"/>
              <w:rPr>
                <w:color w:val="000000"/>
                <w:sz w:val="20"/>
                <w:szCs w:val="20"/>
              </w:rPr>
            </w:pPr>
            <w:r>
              <w:rPr>
                <w:color w:val="000000"/>
                <w:sz w:val="20"/>
                <w:szCs w:val="20"/>
              </w:rPr>
              <w:t>0.608</w:t>
            </w:r>
          </w:p>
        </w:tc>
        <w:tc>
          <w:tcPr>
            <w:tcW w:w="768" w:type="dxa"/>
            <w:tcBorders>
              <w:top w:val="nil"/>
              <w:left w:val="nil"/>
              <w:bottom w:val="nil"/>
              <w:right w:val="nil"/>
            </w:tcBorders>
            <w:shd w:val="clear" w:color="auto" w:fill="auto"/>
            <w:noWrap/>
            <w:vAlign w:val="bottom"/>
            <w:hideMark/>
          </w:tcPr>
          <w:p w14:paraId="72546A7B" w14:textId="537D0129"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B85DDDB" w14:textId="57139F13" w:rsidR="009A7A37" w:rsidRDefault="009A7A37" w:rsidP="009A7A37">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499CE70F" w14:textId="4041C9A0" w:rsidR="009A7A37" w:rsidRDefault="009A7A37" w:rsidP="009A7A37">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235915C0" w14:textId="6C7CFB8E"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BA41E6C" w14:textId="40CAAC7B" w:rsidR="009A7A37" w:rsidRDefault="009A7A37" w:rsidP="009A7A37">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522FED80" w14:textId="6F22B0A6" w:rsidR="009A7A37" w:rsidRDefault="009A7A37" w:rsidP="009A7A37">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13B7204B" w14:textId="44EA416D" w:rsidR="009A7A37" w:rsidRDefault="009A7A37" w:rsidP="009A7A37">
            <w:pPr>
              <w:jc w:val="right"/>
              <w:rPr>
                <w:color w:val="000000"/>
                <w:sz w:val="20"/>
                <w:szCs w:val="20"/>
              </w:rPr>
            </w:pPr>
            <w:r>
              <w:rPr>
                <w:color w:val="000000"/>
                <w:sz w:val="20"/>
                <w:szCs w:val="20"/>
              </w:rPr>
              <w:t>0.011</w:t>
            </w:r>
          </w:p>
        </w:tc>
      </w:tr>
      <w:tr w:rsidR="009A7A37" w14:paraId="01337F44" w14:textId="77777777" w:rsidTr="007C047B">
        <w:trPr>
          <w:trHeight w:val="320"/>
        </w:trPr>
        <w:tc>
          <w:tcPr>
            <w:tcW w:w="1176" w:type="dxa"/>
            <w:tcBorders>
              <w:top w:val="nil"/>
              <w:left w:val="nil"/>
              <w:bottom w:val="nil"/>
              <w:right w:val="nil"/>
            </w:tcBorders>
            <w:shd w:val="clear" w:color="auto" w:fill="auto"/>
            <w:noWrap/>
            <w:vAlign w:val="bottom"/>
            <w:hideMark/>
          </w:tcPr>
          <w:p w14:paraId="0F4A2AB7"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B55778A" w14:textId="77777777" w:rsidR="009A7A37" w:rsidRDefault="009A7A37" w:rsidP="009A7A37">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8D7A06F" w14:textId="5528E70B" w:rsidR="009A7A37" w:rsidRDefault="009A7A37" w:rsidP="009A7A37">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33277BF" w14:textId="7E104FA1" w:rsidR="009A7A37" w:rsidRDefault="009A7A37" w:rsidP="009A7A37">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5228C7C8" w14:textId="6D7FC1E9"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8524FE" w14:textId="5DCA3371"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BE8D5E0" w14:textId="5D2D208E" w:rsidR="009A7A37" w:rsidRDefault="009A7A37" w:rsidP="009A7A37">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5E61D5A8" w14:textId="606EA4A8"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4E66F8" w14:textId="609E3A1E" w:rsidR="009A7A37" w:rsidRDefault="009A7A37" w:rsidP="009A7A37">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CD1293C" w14:textId="7BCC4A31" w:rsidR="009A7A37" w:rsidRDefault="009A7A37" w:rsidP="009A7A37">
            <w:pPr>
              <w:jc w:val="right"/>
              <w:rPr>
                <w:color w:val="000000"/>
                <w:sz w:val="20"/>
                <w:szCs w:val="20"/>
              </w:rPr>
            </w:pPr>
            <w:r>
              <w:rPr>
                <w:color w:val="000000"/>
                <w:sz w:val="20"/>
                <w:szCs w:val="20"/>
              </w:rPr>
              <w:t>0.621</w:t>
            </w:r>
          </w:p>
        </w:tc>
        <w:tc>
          <w:tcPr>
            <w:tcW w:w="768" w:type="dxa"/>
            <w:tcBorders>
              <w:top w:val="nil"/>
              <w:left w:val="nil"/>
              <w:bottom w:val="nil"/>
              <w:right w:val="nil"/>
            </w:tcBorders>
            <w:shd w:val="clear" w:color="auto" w:fill="auto"/>
            <w:noWrap/>
            <w:vAlign w:val="bottom"/>
            <w:hideMark/>
          </w:tcPr>
          <w:p w14:paraId="5F27C746" w14:textId="32BFA7BB"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14B887" w14:textId="75EBED40" w:rsidR="009A7A37" w:rsidRDefault="009A7A37" w:rsidP="009A7A37">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79F7BC53" w14:textId="636EE9D6" w:rsidR="009A7A37" w:rsidRDefault="009A7A37" w:rsidP="009A7A37">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3000BF94" w14:textId="71172E4C"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7C25B52" w14:textId="4A7EA258" w:rsidR="009A7A37" w:rsidRDefault="009A7A37" w:rsidP="009A7A37">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6636285C" w14:textId="2CCFCD69" w:rsidR="009A7A37" w:rsidRDefault="009A7A37" w:rsidP="009A7A37">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46B74DE1" w14:textId="3F5BE969" w:rsidR="009A7A37" w:rsidRDefault="009A7A37" w:rsidP="009A7A37">
            <w:pPr>
              <w:jc w:val="right"/>
              <w:rPr>
                <w:color w:val="000000"/>
                <w:sz w:val="20"/>
                <w:szCs w:val="20"/>
              </w:rPr>
            </w:pPr>
            <w:r>
              <w:rPr>
                <w:color w:val="000000"/>
                <w:sz w:val="20"/>
                <w:szCs w:val="20"/>
              </w:rPr>
              <w:t>0.007</w:t>
            </w:r>
          </w:p>
        </w:tc>
      </w:tr>
      <w:tr w:rsidR="009A7A37" w14:paraId="28718140" w14:textId="77777777" w:rsidTr="007C047B">
        <w:trPr>
          <w:trHeight w:val="320"/>
        </w:trPr>
        <w:tc>
          <w:tcPr>
            <w:tcW w:w="1176" w:type="dxa"/>
            <w:tcBorders>
              <w:top w:val="nil"/>
              <w:left w:val="nil"/>
              <w:bottom w:val="nil"/>
              <w:right w:val="nil"/>
            </w:tcBorders>
            <w:shd w:val="clear" w:color="auto" w:fill="auto"/>
            <w:noWrap/>
            <w:vAlign w:val="bottom"/>
            <w:hideMark/>
          </w:tcPr>
          <w:p w14:paraId="2FA614F8"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17F2997" w14:textId="77777777" w:rsidR="009A7A37" w:rsidRDefault="009A7A37" w:rsidP="009A7A37">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66B4D60" w14:textId="20EAC95D" w:rsidR="009A7A37" w:rsidRDefault="009A7A37" w:rsidP="009A7A37">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6D8430F4" w14:textId="0FB28CFF" w:rsidR="009A7A37" w:rsidRDefault="009A7A37" w:rsidP="009A7A37">
            <w:pPr>
              <w:jc w:val="right"/>
              <w:rPr>
                <w:color w:val="000000"/>
                <w:sz w:val="20"/>
                <w:szCs w:val="20"/>
              </w:rPr>
            </w:pPr>
            <w:r>
              <w:rPr>
                <w:color w:val="000000"/>
                <w:sz w:val="20"/>
                <w:szCs w:val="20"/>
              </w:rPr>
              <w:t>0.342</w:t>
            </w:r>
          </w:p>
        </w:tc>
        <w:tc>
          <w:tcPr>
            <w:tcW w:w="768" w:type="dxa"/>
            <w:tcBorders>
              <w:top w:val="nil"/>
              <w:left w:val="nil"/>
              <w:bottom w:val="nil"/>
              <w:right w:val="nil"/>
            </w:tcBorders>
            <w:shd w:val="clear" w:color="auto" w:fill="auto"/>
            <w:noWrap/>
            <w:vAlign w:val="bottom"/>
            <w:hideMark/>
          </w:tcPr>
          <w:p w14:paraId="0356F755" w14:textId="2314A101"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A5B2091" w14:textId="3DCC7461" w:rsidR="009A7A37" w:rsidRDefault="009A7A37" w:rsidP="009A7A37">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4FD265A" w14:textId="0727E438" w:rsidR="009A7A37" w:rsidRDefault="009A7A37" w:rsidP="009A7A37">
            <w:pPr>
              <w:jc w:val="right"/>
              <w:rPr>
                <w:color w:val="000000"/>
                <w:sz w:val="20"/>
                <w:szCs w:val="20"/>
              </w:rPr>
            </w:pPr>
            <w:r>
              <w:rPr>
                <w:color w:val="000000"/>
                <w:sz w:val="20"/>
                <w:szCs w:val="20"/>
              </w:rPr>
              <w:t>0.759</w:t>
            </w:r>
          </w:p>
        </w:tc>
        <w:tc>
          <w:tcPr>
            <w:tcW w:w="768" w:type="dxa"/>
            <w:tcBorders>
              <w:top w:val="nil"/>
              <w:left w:val="nil"/>
              <w:bottom w:val="nil"/>
              <w:right w:val="nil"/>
            </w:tcBorders>
            <w:shd w:val="clear" w:color="auto" w:fill="auto"/>
            <w:noWrap/>
            <w:vAlign w:val="bottom"/>
            <w:hideMark/>
          </w:tcPr>
          <w:p w14:paraId="0EB53612" w14:textId="401C7204"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E80F2E" w14:textId="4FB7F882" w:rsidR="009A7A37" w:rsidRDefault="009A7A37" w:rsidP="009A7A37">
            <w:pPr>
              <w:jc w:val="right"/>
              <w:rPr>
                <w:b/>
                <w:bCs/>
                <w:color w:val="000000"/>
                <w:sz w:val="20"/>
                <w:szCs w:val="20"/>
              </w:rPr>
            </w:pPr>
            <w:r>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599B2BDB" w14:textId="344C32F8" w:rsidR="009A7A37" w:rsidRDefault="009A7A37" w:rsidP="009A7A37">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30EE49B9" w14:textId="06320B05" w:rsidR="009A7A37" w:rsidRDefault="009A7A37" w:rsidP="009A7A37">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08F1DE4" w14:textId="71C440EF" w:rsidR="009A7A37" w:rsidRDefault="009A7A37" w:rsidP="009A7A37">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4D7A8BF1" w14:textId="2F20A292" w:rsidR="009A7A37" w:rsidRDefault="009A7A37" w:rsidP="009A7A37">
            <w:pPr>
              <w:jc w:val="right"/>
              <w:rPr>
                <w:color w:val="000000"/>
                <w:sz w:val="20"/>
                <w:szCs w:val="20"/>
              </w:rPr>
            </w:pPr>
            <w:r>
              <w:rPr>
                <w:color w:val="000000"/>
                <w:sz w:val="20"/>
                <w:szCs w:val="20"/>
              </w:rPr>
              <w:t>0.566</w:t>
            </w:r>
          </w:p>
        </w:tc>
        <w:tc>
          <w:tcPr>
            <w:tcW w:w="768" w:type="dxa"/>
            <w:tcBorders>
              <w:top w:val="nil"/>
              <w:left w:val="nil"/>
              <w:bottom w:val="nil"/>
              <w:right w:val="nil"/>
            </w:tcBorders>
            <w:shd w:val="clear" w:color="auto" w:fill="auto"/>
            <w:noWrap/>
            <w:vAlign w:val="bottom"/>
            <w:hideMark/>
          </w:tcPr>
          <w:p w14:paraId="71578DC4" w14:textId="11CA0E22"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6E683A6" w14:textId="2BB4A8B2" w:rsidR="009A7A37" w:rsidRDefault="009A7A37" w:rsidP="009A7A37">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1455636E" w14:textId="5E6DE5F9" w:rsidR="009A7A37" w:rsidRDefault="009A7A37" w:rsidP="009A7A37">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2AD42A8F" w14:textId="14ACED52" w:rsidR="009A7A37" w:rsidRDefault="009A7A37" w:rsidP="009A7A37">
            <w:pPr>
              <w:jc w:val="right"/>
              <w:rPr>
                <w:color w:val="000000"/>
                <w:sz w:val="20"/>
                <w:szCs w:val="20"/>
              </w:rPr>
            </w:pPr>
            <w:r>
              <w:rPr>
                <w:color w:val="000000"/>
                <w:sz w:val="20"/>
                <w:szCs w:val="20"/>
              </w:rPr>
              <w:t>0.003</w:t>
            </w:r>
          </w:p>
        </w:tc>
      </w:tr>
      <w:tr w:rsidR="009A7A37" w14:paraId="33449CB0" w14:textId="77777777" w:rsidTr="007C047B">
        <w:trPr>
          <w:trHeight w:val="320"/>
        </w:trPr>
        <w:tc>
          <w:tcPr>
            <w:tcW w:w="1176" w:type="dxa"/>
            <w:tcBorders>
              <w:top w:val="nil"/>
              <w:left w:val="nil"/>
              <w:bottom w:val="nil"/>
              <w:right w:val="nil"/>
            </w:tcBorders>
            <w:shd w:val="clear" w:color="auto" w:fill="auto"/>
            <w:noWrap/>
            <w:vAlign w:val="bottom"/>
            <w:hideMark/>
          </w:tcPr>
          <w:p w14:paraId="25782ACD"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0EB6F1" w14:textId="77777777" w:rsidR="009A7A37" w:rsidRDefault="009A7A37" w:rsidP="009A7A37">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58D056E" w14:textId="64638A42" w:rsidR="009A7A37" w:rsidRDefault="009A7A37" w:rsidP="009A7A37">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E162A8B" w14:textId="1B155D9B" w:rsidR="009A7A37" w:rsidRDefault="009A7A37" w:rsidP="009A7A37">
            <w:pPr>
              <w:jc w:val="right"/>
              <w:rPr>
                <w:color w:val="000000"/>
                <w:sz w:val="20"/>
                <w:szCs w:val="20"/>
              </w:rPr>
            </w:pPr>
            <w:r>
              <w:rPr>
                <w:color w:val="000000"/>
                <w:sz w:val="20"/>
                <w:szCs w:val="20"/>
              </w:rPr>
              <w:t>0.342</w:t>
            </w:r>
          </w:p>
        </w:tc>
        <w:tc>
          <w:tcPr>
            <w:tcW w:w="768" w:type="dxa"/>
            <w:tcBorders>
              <w:top w:val="nil"/>
              <w:left w:val="nil"/>
              <w:bottom w:val="nil"/>
              <w:right w:val="nil"/>
            </w:tcBorders>
            <w:shd w:val="clear" w:color="auto" w:fill="auto"/>
            <w:noWrap/>
            <w:vAlign w:val="bottom"/>
            <w:hideMark/>
          </w:tcPr>
          <w:p w14:paraId="636B11AD" w14:textId="387632F6"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D920B5E" w14:textId="40567ED6" w:rsidR="009A7A37" w:rsidRDefault="009A7A37" w:rsidP="009A7A37">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6CACFBF" w14:textId="0454292E" w:rsidR="009A7A37" w:rsidRDefault="009A7A37" w:rsidP="009A7A37">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2D908783" w14:textId="76A5E86E"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AB7E1D" w14:textId="0EF09149" w:rsidR="009A7A37" w:rsidRDefault="009A7A37" w:rsidP="009A7A37">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7A11E9FC" w14:textId="7A7CB1B6" w:rsidR="009A7A37" w:rsidRDefault="009A7A37" w:rsidP="009A7A37">
            <w:pPr>
              <w:jc w:val="right"/>
              <w:rPr>
                <w:color w:val="000000"/>
                <w:sz w:val="20"/>
                <w:szCs w:val="20"/>
              </w:rPr>
            </w:pPr>
            <w:r>
              <w:rPr>
                <w:color w:val="000000"/>
                <w:sz w:val="20"/>
                <w:szCs w:val="20"/>
              </w:rPr>
              <w:t>0.608</w:t>
            </w:r>
          </w:p>
        </w:tc>
        <w:tc>
          <w:tcPr>
            <w:tcW w:w="768" w:type="dxa"/>
            <w:tcBorders>
              <w:top w:val="nil"/>
              <w:left w:val="nil"/>
              <w:bottom w:val="nil"/>
              <w:right w:val="nil"/>
            </w:tcBorders>
            <w:shd w:val="clear" w:color="auto" w:fill="auto"/>
            <w:noWrap/>
            <w:vAlign w:val="bottom"/>
            <w:hideMark/>
          </w:tcPr>
          <w:p w14:paraId="1C4A6561" w14:textId="39E102EC"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D200564" w14:textId="31AD894F" w:rsidR="009A7A37" w:rsidRDefault="009A7A37" w:rsidP="009A7A37">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007BAE4A" w14:textId="71BEF666" w:rsidR="009A7A37" w:rsidRDefault="009A7A37" w:rsidP="009A7A37">
            <w:pPr>
              <w:jc w:val="right"/>
              <w:rPr>
                <w:color w:val="000000"/>
                <w:sz w:val="20"/>
                <w:szCs w:val="20"/>
              </w:rPr>
            </w:pPr>
            <w:r>
              <w:rPr>
                <w:color w:val="000000"/>
                <w:sz w:val="20"/>
                <w:szCs w:val="20"/>
              </w:rPr>
              <w:t>0.566</w:t>
            </w:r>
          </w:p>
        </w:tc>
        <w:tc>
          <w:tcPr>
            <w:tcW w:w="768" w:type="dxa"/>
            <w:tcBorders>
              <w:top w:val="nil"/>
              <w:left w:val="nil"/>
              <w:bottom w:val="nil"/>
              <w:right w:val="nil"/>
            </w:tcBorders>
            <w:shd w:val="clear" w:color="auto" w:fill="auto"/>
            <w:noWrap/>
            <w:vAlign w:val="bottom"/>
            <w:hideMark/>
          </w:tcPr>
          <w:p w14:paraId="23DA0229" w14:textId="7B560594"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D9197FD" w14:textId="44C24C51" w:rsidR="009A7A37" w:rsidRDefault="009A7A37" w:rsidP="009A7A37">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580B9FC" w14:textId="4DC11C16" w:rsidR="009A7A37" w:rsidRDefault="009A7A37" w:rsidP="009A7A37">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466BDE86" w14:textId="59B05495" w:rsidR="009A7A37" w:rsidRDefault="009A7A37" w:rsidP="009A7A37">
            <w:pPr>
              <w:jc w:val="right"/>
              <w:rPr>
                <w:color w:val="000000"/>
                <w:sz w:val="20"/>
                <w:szCs w:val="20"/>
              </w:rPr>
            </w:pPr>
            <w:r>
              <w:rPr>
                <w:color w:val="000000"/>
                <w:sz w:val="20"/>
                <w:szCs w:val="20"/>
              </w:rPr>
              <w:t>0.000</w:t>
            </w:r>
          </w:p>
        </w:tc>
      </w:tr>
      <w:tr w:rsidR="009A7A37" w14:paraId="128565E0" w14:textId="77777777" w:rsidTr="007C047B">
        <w:trPr>
          <w:trHeight w:val="320"/>
        </w:trPr>
        <w:tc>
          <w:tcPr>
            <w:tcW w:w="1176" w:type="dxa"/>
            <w:tcBorders>
              <w:top w:val="nil"/>
              <w:left w:val="nil"/>
              <w:bottom w:val="single" w:sz="4" w:space="0" w:color="auto"/>
              <w:right w:val="nil"/>
            </w:tcBorders>
            <w:shd w:val="clear" w:color="auto" w:fill="auto"/>
            <w:noWrap/>
            <w:vAlign w:val="bottom"/>
            <w:hideMark/>
          </w:tcPr>
          <w:p w14:paraId="6A3BD5E4" w14:textId="77777777" w:rsidR="009A7A37" w:rsidRDefault="009A7A37" w:rsidP="009A7A37">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4897063" w14:textId="77777777" w:rsidR="009A7A37" w:rsidRDefault="009A7A37" w:rsidP="009A7A37">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7A9304C" w14:textId="76033E6B" w:rsidR="009A7A37" w:rsidRDefault="009A7A37" w:rsidP="009A7A37">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30AEC580" w14:textId="0FC885BE" w:rsidR="009A7A37" w:rsidRDefault="009A7A37" w:rsidP="009A7A37">
            <w:pPr>
              <w:jc w:val="right"/>
              <w:rPr>
                <w:color w:val="000000"/>
                <w:sz w:val="20"/>
                <w:szCs w:val="20"/>
              </w:rPr>
            </w:pPr>
            <w:r>
              <w:rPr>
                <w:color w:val="000000"/>
                <w:sz w:val="20"/>
                <w:szCs w:val="20"/>
              </w:rPr>
              <w:t>0.677</w:t>
            </w:r>
          </w:p>
        </w:tc>
        <w:tc>
          <w:tcPr>
            <w:tcW w:w="768" w:type="dxa"/>
            <w:tcBorders>
              <w:top w:val="nil"/>
              <w:left w:val="nil"/>
              <w:bottom w:val="single" w:sz="4" w:space="0" w:color="auto"/>
              <w:right w:val="nil"/>
            </w:tcBorders>
            <w:shd w:val="clear" w:color="auto" w:fill="auto"/>
            <w:noWrap/>
            <w:vAlign w:val="bottom"/>
            <w:hideMark/>
          </w:tcPr>
          <w:p w14:paraId="3BDB9CF0" w14:textId="41F609E0"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3206A11" w14:textId="049A802C"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3D9207EF" w14:textId="7E7863DC" w:rsidR="009A7A37" w:rsidRDefault="009A7A37" w:rsidP="009A7A37">
            <w:pPr>
              <w:jc w:val="right"/>
              <w:rPr>
                <w:color w:val="000000"/>
                <w:sz w:val="20"/>
                <w:szCs w:val="20"/>
              </w:rPr>
            </w:pPr>
            <w:r>
              <w:rPr>
                <w:color w:val="000000"/>
                <w:sz w:val="20"/>
                <w:szCs w:val="20"/>
              </w:rPr>
              <w:t>0.883</w:t>
            </w:r>
          </w:p>
        </w:tc>
        <w:tc>
          <w:tcPr>
            <w:tcW w:w="768" w:type="dxa"/>
            <w:tcBorders>
              <w:top w:val="nil"/>
              <w:left w:val="nil"/>
              <w:bottom w:val="single" w:sz="4" w:space="0" w:color="auto"/>
              <w:right w:val="nil"/>
            </w:tcBorders>
            <w:shd w:val="clear" w:color="auto" w:fill="auto"/>
            <w:noWrap/>
            <w:vAlign w:val="bottom"/>
            <w:hideMark/>
          </w:tcPr>
          <w:p w14:paraId="26473C1C" w14:textId="5831705F"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5D9C14F" w14:textId="48B330FC" w:rsidR="009A7A37" w:rsidRDefault="009A7A37" w:rsidP="009A7A37">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5DD9C3F2" w14:textId="3206BCF2" w:rsidR="009A7A37" w:rsidRDefault="009A7A37" w:rsidP="009A7A37">
            <w:pPr>
              <w:jc w:val="right"/>
              <w:rPr>
                <w:color w:val="000000"/>
                <w:sz w:val="20"/>
                <w:szCs w:val="20"/>
              </w:rPr>
            </w:pPr>
            <w:r>
              <w:rPr>
                <w:color w:val="000000"/>
                <w:sz w:val="20"/>
                <w:szCs w:val="20"/>
              </w:rPr>
              <w:t>0.621</w:t>
            </w:r>
          </w:p>
        </w:tc>
        <w:tc>
          <w:tcPr>
            <w:tcW w:w="768" w:type="dxa"/>
            <w:tcBorders>
              <w:top w:val="nil"/>
              <w:left w:val="nil"/>
              <w:bottom w:val="single" w:sz="4" w:space="0" w:color="auto"/>
              <w:right w:val="nil"/>
            </w:tcBorders>
            <w:shd w:val="clear" w:color="auto" w:fill="auto"/>
            <w:noWrap/>
            <w:vAlign w:val="bottom"/>
            <w:hideMark/>
          </w:tcPr>
          <w:p w14:paraId="063F095D" w14:textId="46994E7F"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B56DE39" w14:textId="01D62FD7" w:rsidR="009A7A37" w:rsidRDefault="009A7A37" w:rsidP="009A7A37">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0E97F558" w14:textId="4640594D" w:rsidR="009A7A37" w:rsidRDefault="009A7A37" w:rsidP="009A7A37">
            <w:pPr>
              <w:jc w:val="right"/>
              <w:rPr>
                <w:color w:val="000000"/>
                <w:sz w:val="20"/>
                <w:szCs w:val="20"/>
              </w:rPr>
            </w:pPr>
            <w:r>
              <w:rPr>
                <w:color w:val="000000"/>
                <w:sz w:val="20"/>
                <w:szCs w:val="20"/>
              </w:rPr>
              <w:t>0.566</w:t>
            </w:r>
          </w:p>
        </w:tc>
        <w:tc>
          <w:tcPr>
            <w:tcW w:w="768" w:type="dxa"/>
            <w:tcBorders>
              <w:top w:val="nil"/>
              <w:left w:val="nil"/>
              <w:bottom w:val="single" w:sz="4" w:space="0" w:color="auto"/>
              <w:right w:val="nil"/>
            </w:tcBorders>
            <w:shd w:val="clear" w:color="auto" w:fill="auto"/>
            <w:noWrap/>
            <w:vAlign w:val="bottom"/>
            <w:hideMark/>
          </w:tcPr>
          <w:p w14:paraId="76ABF321" w14:textId="245CDD05"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D9B21BD" w14:textId="6FEDFA95" w:rsidR="009A7A37" w:rsidRDefault="009A7A37" w:rsidP="009A7A37">
            <w:pPr>
              <w:jc w:val="right"/>
              <w:rPr>
                <w:color w:val="000000"/>
                <w:sz w:val="20"/>
                <w:szCs w:val="20"/>
              </w:rPr>
            </w:pPr>
            <w:r>
              <w:rPr>
                <w:color w:val="000000"/>
                <w:sz w:val="20"/>
                <w:szCs w:val="20"/>
              </w:rPr>
              <w:t>0.022</w:t>
            </w:r>
          </w:p>
        </w:tc>
        <w:tc>
          <w:tcPr>
            <w:tcW w:w="768" w:type="dxa"/>
            <w:tcBorders>
              <w:top w:val="nil"/>
              <w:left w:val="nil"/>
              <w:bottom w:val="single" w:sz="4" w:space="0" w:color="auto"/>
              <w:right w:val="nil"/>
            </w:tcBorders>
            <w:shd w:val="clear" w:color="auto" w:fill="auto"/>
            <w:noWrap/>
            <w:vAlign w:val="bottom"/>
            <w:hideMark/>
          </w:tcPr>
          <w:p w14:paraId="036A271B" w14:textId="4F95D3D5" w:rsidR="009A7A37" w:rsidRDefault="009A7A37" w:rsidP="009A7A37">
            <w:pPr>
              <w:jc w:val="right"/>
              <w:rPr>
                <w:color w:val="000000"/>
                <w:sz w:val="20"/>
                <w:szCs w:val="20"/>
              </w:rPr>
            </w:pPr>
            <w:r>
              <w:rPr>
                <w:color w:val="000000"/>
                <w:sz w:val="20"/>
                <w:szCs w:val="20"/>
              </w:rPr>
              <w:t>0.664</w:t>
            </w:r>
          </w:p>
        </w:tc>
        <w:tc>
          <w:tcPr>
            <w:tcW w:w="768" w:type="dxa"/>
            <w:tcBorders>
              <w:top w:val="nil"/>
              <w:left w:val="nil"/>
              <w:bottom w:val="single" w:sz="4" w:space="0" w:color="auto"/>
              <w:right w:val="nil"/>
            </w:tcBorders>
            <w:shd w:val="clear" w:color="auto" w:fill="auto"/>
            <w:noWrap/>
            <w:vAlign w:val="bottom"/>
            <w:hideMark/>
          </w:tcPr>
          <w:p w14:paraId="1A6AE950" w14:textId="253A1AF1" w:rsidR="009A7A37" w:rsidRDefault="009A7A37" w:rsidP="009A7A37">
            <w:pPr>
              <w:jc w:val="right"/>
              <w:rPr>
                <w:color w:val="000000"/>
                <w:sz w:val="20"/>
                <w:szCs w:val="20"/>
              </w:rPr>
            </w:pPr>
            <w:r>
              <w:rPr>
                <w:color w:val="000000"/>
                <w:sz w:val="20"/>
                <w:szCs w:val="20"/>
              </w:rPr>
              <w:t>0.000</w:t>
            </w:r>
          </w:p>
        </w:tc>
      </w:tr>
      <w:tr w:rsidR="009A7A37" w14:paraId="0FDF26E4" w14:textId="77777777" w:rsidTr="007C047B">
        <w:trPr>
          <w:trHeight w:val="320"/>
        </w:trPr>
        <w:tc>
          <w:tcPr>
            <w:tcW w:w="1176" w:type="dxa"/>
            <w:tcBorders>
              <w:top w:val="nil"/>
              <w:left w:val="nil"/>
              <w:bottom w:val="nil"/>
              <w:right w:val="nil"/>
            </w:tcBorders>
            <w:shd w:val="clear" w:color="auto" w:fill="auto"/>
            <w:noWrap/>
            <w:vAlign w:val="bottom"/>
            <w:hideMark/>
          </w:tcPr>
          <w:p w14:paraId="22A2049D" w14:textId="77777777" w:rsidR="009A7A37" w:rsidRDefault="009A7A37" w:rsidP="009A7A37">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3C97C464" w14:textId="77777777" w:rsidR="009A7A37" w:rsidRDefault="009A7A37" w:rsidP="009A7A37">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5560380" w14:textId="42ED7AB4" w:rsidR="009A7A37" w:rsidRDefault="009A7A37" w:rsidP="009A7A37">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6FD110CD" w14:textId="47353C4E" w:rsidR="009A7A37" w:rsidRDefault="009A7A37" w:rsidP="009A7A37">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427E775E" w14:textId="1080BA4F" w:rsidR="009A7A37" w:rsidRDefault="009A7A37" w:rsidP="009A7A37">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8B62466" w14:textId="5CFA4F37" w:rsidR="009A7A37" w:rsidRDefault="009A7A37" w:rsidP="009A7A37">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E9F08F6" w14:textId="5322F48D" w:rsidR="009A7A37" w:rsidRDefault="009A7A37" w:rsidP="009A7A37">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4627B024" w14:textId="2560F668"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9D28B2" w14:textId="200F1F5B" w:rsidR="009A7A37" w:rsidRDefault="009A7A37" w:rsidP="009A7A37">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72F29C7" w14:textId="587A31EA" w:rsidR="009A7A37" w:rsidRDefault="009A7A37" w:rsidP="009A7A37">
            <w:pPr>
              <w:jc w:val="right"/>
              <w:rPr>
                <w:color w:val="000000"/>
                <w:sz w:val="20"/>
                <w:szCs w:val="20"/>
              </w:rPr>
            </w:pPr>
            <w:r>
              <w:rPr>
                <w:color w:val="000000"/>
                <w:sz w:val="20"/>
                <w:szCs w:val="20"/>
              </w:rPr>
              <w:t>0.648</w:t>
            </w:r>
          </w:p>
        </w:tc>
        <w:tc>
          <w:tcPr>
            <w:tcW w:w="768" w:type="dxa"/>
            <w:tcBorders>
              <w:top w:val="nil"/>
              <w:left w:val="nil"/>
              <w:bottom w:val="nil"/>
              <w:right w:val="nil"/>
            </w:tcBorders>
            <w:shd w:val="clear" w:color="auto" w:fill="auto"/>
            <w:noWrap/>
            <w:vAlign w:val="bottom"/>
            <w:hideMark/>
          </w:tcPr>
          <w:p w14:paraId="47628D89" w14:textId="5990A1E9"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DC9D3C" w14:textId="4D9DA575" w:rsidR="009A7A37" w:rsidRDefault="009A7A37" w:rsidP="009A7A37">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6C88BFD1" w14:textId="656CB278" w:rsidR="009A7A37" w:rsidRDefault="009A7A37" w:rsidP="009A7A37">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55339788" w14:textId="3990CCE9"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74917BF" w14:textId="5D9EE095" w:rsidR="009A7A37" w:rsidRDefault="009A7A37" w:rsidP="009A7A37">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A20BDFA" w14:textId="1F7CEC79" w:rsidR="009A7A37" w:rsidRDefault="009A7A37" w:rsidP="009A7A37">
            <w:pPr>
              <w:jc w:val="right"/>
              <w:rPr>
                <w:color w:val="000000"/>
                <w:sz w:val="20"/>
                <w:szCs w:val="20"/>
              </w:rPr>
            </w:pPr>
            <w:r>
              <w:rPr>
                <w:color w:val="000000"/>
                <w:sz w:val="20"/>
                <w:szCs w:val="20"/>
              </w:rPr>
              <w:t>0.509</w:t>
            </w:r>
          </w:p>
        </w:tc>
        <w:tc>
          <w:tcPr>
            <w:tcW w:w="768" w:type="dxa"/>
            <w:tcBorders>
              <w:top w:val="nil"/>
              <w:left w:val="nil"/>
              <w:bottom w:val="nil"/>
              <w:right w:val="nil"/>
            </w:tcBorders>
            <w:shd w:val="clear" w:color="auto" w:fill="auto"/>
            <w:noWrap/>
            <w:vAlign w:val="bottom"/>
            <w:hideMark/>
          </w:tcPr>
          <w:p w14:paraId="2524CD27" w14:textId="14988EF3" w:rsidR="009A7A37" w:rsidRDefault="009A7A37" w:rsidP="009A7A37">
            <w:pPr>
              <w:jc w:val="right"/>
              <w:rPr>
                <w:color w:val="000000"/>
                <w:sz w:val="20"/>
                <w:szCs w:val="20"/>
              </w:rPr>
            </w:pPr>
            <w:r>
              <w:rPr>
                <w:color w:val="000000"/>
                <w:sz w:val="20"/>
                <w:szCs w:val="20"/>
              </w:rPr>
              <w:t>0.001</w:t>
            </w:r>
          </w:p>
        </w:tc>
      </w:tr>
      <w:tr w:rsidR="009A7A37" w14:paraId="538D3202" w14:textId="77777777" w:rsidTr="007C047B">
        <w:trPr>
          <w:trHeight w:val="320"/>
        </w:trPr>
        <w:tc>
          <w:tcPr>
            <w:tcW w:w="1176" w:type="dxa"/>
            <w:tcBorders>
              <w:top w:val="nil"/>
              <w:left w:val="nil"/>
              <w:bottom w:val="nil"/>
              <w:right w:val="nil"/>
            </w:tcBorders>
            <w:shd w:val="clear" w:color="auto" w:fill="auto"/>
            <w:noWrap/>
            <w:vAlign w:val="bottom"/>
            <w:hideMark/>
          </w:tcPr>
          <w:p w14:paraId="7EE3A482"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2B0B74" w14:textId="77777777" w:rsidR="009A7A37" w:rsidRDefault="009A7A37" w:rsidP="009A7A37">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46367A3" w14:textId="0751093E" w:rsidR="009A7A37" w:rsidRDefault="009A7A37" w:rsidP="009A7A37">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48BB3DB" w14:textId="7FA1418E" w:rsidR="009A7A37" w:rsidRDefault="009A7A37" w:rsidP="009A7A37">
            <w:pPr>
              <w:jc w:val="right"/>
              <w:rPr>
                <w:color w:val="000000"/>
                <w:sz w:val="20"/>
                <w:szCs w:val="20"/>
              </w:rPr>
            </w:pPr>
            <w:r>
              <w:rPr>
                <w:color w:val="000000"/>
                <w:sz w:val="20"/>
                <w:szCs w:val="20"/>
              </w:rPr>
              <w:t>0.556</w:t>
            </w:r>
          </w:p>
        </w:tc>
        <w:tc>
          <w:tcPr>
            <w:tcW w:w="768" w:type="dxa"/>
            <w:tcBorders>
              <w:top w:val="nil"/>
              <w:left w:val="nil"/>
              <w:bottom w:val="nil"/>
              <w:right w:val="nil"/>
            </w:tcBorders>
            <w:shd w:val="clear" w:color="auto" w:fill="auto"/>
            <w:noWrap/>
            <w:vAlign w:val="bottom"/>
            <w:hideMark/>
          </w:tcPr>
          <w:p w14:paraId="7E7F91A7" w14:textId="4F37C5C0"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F039D3D" w14:textId="04725BDD" w:rsidR="009A7A37" w:rsidRDefault="009A7A37" w:rsidP="009A7A37">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8B42AD1" w14:textId="170CD32E" w:rsidR="009A7A37" w:rsidRDefault="009A7A37" w:rsidP="009A7A37">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42DB5EEE" w14:textId="58ABF9D2"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D5A37B" w14:textId="6FB3BACC"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ED896A" w14:textId="1B8688B5" w:rsidR="009A7A37" w:rsidRDefault="009A7A37" w:rsidP="009A7A37">
            <w:pPr>
              <w:jc w:val="right"/>
              <w:rPr>
                <w:color w:val="000000"/>
                <w:sz w:val="20"/>
                <w:szCs w:val="20"/>
              </w:rPr>
            </w:pPr>
            <w:r>
              <w:rPr>
                <w:color w:val="000000"/>
                <w:sz w:val="20"/>
                <w:szCs w:val="20"/>
              </w:rPr>
              <w:t>0.989</w:t>
            </w:r>
          </w:p>
        </w:tc>
        <w:tc>
          <w:tcPr>
            <w:tcW w:w="768" w:type="dxa"/>
            <w:tcBorders>
              <w:top w:val="nil"/>
              <w:left w:val="nil"/>
              <w:bottom w:val="nil"/>
              <w:right w:val="nil"/>
            </w:tcBorders>
            <w:shd w:val="clear" w:color="auto" w:fill="auto"/>
            <w:noWrap/>
            <w:vAlign w:val="bottom"/>
            <w:hideMark/>
          </w:tcPr>
          <w:p w14:paraId="2DBD785B" w14:textId="49F92BD2"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BF1486" w14:textId="2B7A3F04" w:rsidR="009A7A37" w:rsidRDefault="009A7A37" w:rsidP="009A7A37">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35832DE0" w14:textId="520CD29C" w:rsidR="009A7A37" w:rsidRDefault="009A7A37" w:rsidP="009A7A37">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0483B203" w14:textId="675CBA24" w:rsidR="009A7A37" w:rsidRDefault="009A7A37" w:rsidP="009A7A37">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B50C314" w14:textId="0D016C8F" w:rsidR="009A7A37" w:rsidRDefault="009A7A37" w:rsidP="009A7A37">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7458B3A0" w14:textId="5E7C6DAE" w:rsidR="009A7A37" w:rsidRDefault="009A7A37" w:rsidP="009A7A37">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09EFE768" w14:textId="235F7AC9" w:rsidR="009A7A37" w:rsidRDefault="009A7A37" w:rsidP="009A7A37">
            <w:pPr>
              <w:jc w:val="right"/>
              <w:rPr>
                <w:color w:val="000000"/>
                <w:sz w:val="20"/>
                <w:szCs w:val="20"/>
              </w:rPr>
            </w:pPr>
            <w:r>
              <w:rPr>
                <w:color w:val="000000"/>
                <w:sz w:val="20"/>
                <w:szCs w:val="20"/>
              </w:rPr>
              <w:t>0.007</w:t>
            </w:r>
          </w:p>
        </w:tc>
      </w:tr>
      <w:tr w:rsidR="009A7A37" w14:paraId="3FD236B2" w14:textId="77777777" w:rsidTr="007C047B">
        <w:trPr>
          <w:trHeight w:val="320"/>
        </w:trPr>
        <w:tc>
          <w:tcPr>
            <w:tcW w:w="1176" w:type="dxa"/>
            <w:tcBorders>
              <w:top w:val="nil"/>
              <w:left w:val="nil"/>
              <w:bottom w:val="nil"/>
              <w:right w:val="nil"/>
            </w:tcBorders>
            <w:shd w:val="clear" w:color="auto" w:fill="auto"/>
            <w:noWrap/>
            <w:vAlign w:val="bottom"/>
            <w:hideMark/>
          </w:tcPr>
          <w:p w14:paraId="6AC45D87"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A44E5FA" w14:textId="77777777" w:rsidR="009A7A37" w:rsidRDefault="009A7A37" w:rsidP="009A7A37">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0376AE2" w14:textId="2277B90C" w:rsidR="009A7A37" w:rsidRDefault="009A7A37" w:rsidP="009A7A37">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90C2962" w14:textId="11CBFCD0" w:rsidR="009A7A37" w:rsidRDefault="009A7A37" w:rsidP="009A7A37">
            <w:pPr>
              <w:jc w:val="right"/>
              <w:rPr>
                <w:color w:val="000000"/>
                <w:sz w:val="20"/>
                <w:szCs w:val="20"/>
              </w:rPr>
            </w:pPr>
            <w:r>
              <w:rPr>
                <w:color w:val="000000"/>
                <w:sz w:val="20"/>
                <w:szCs w:val="20"/>
              </w:rPr>
              <w:t>0.556</w:t>
            </w:r>
          </w:p>
        </w:tc>
        <w:tc>
          <w:tcPr>
            <w:tcW w:w="768" w:type="dxa"/>
            <w:tcBorders>
              <w:top w:val="nil"/>
              <w:left w:val="nil"/>
              <w:bottom w:val="nil"/>
              <w:right w:val="nil"/>
            </w:tcBorders>
            <w:shd w:val="clear" w:color="auto" w:fill="auto"/>
            <w:noWrap/>
            <w:vAlign w:val="bottom"/>
            <w:hideMark/>
          </w:tcPr>
          <w:p w14:paraId="229C60CE" w14:textId="1455A469"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3A8E42" w14:textId="3ADFF573" w:rsidR="009A7A37" w:rsidRDefault="009A7A37" w:rsidP="009A7A37">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3570687F" w14:textId="49FC70A8" w:rsidR="009A7A37" w:rsidRDefault="009A7A37" w:rsidP="009A7A37">
            <w:pPr>
              <w:jc w:val="right"/>
              <w:rPr>
                <w:color w:val="000000"/>
                <w:sz w:val="20"/>
                <w:szCs w:val="20"/>
              </w:rPr>
            </w:pPr>
            <w:r>
              <w:rPr>
                <w:color w:val="000000"/>
                <w:sz w:val="20"/>
                <w:szCs w:val="20"/>
              </w:rPr>
              <w:t>0.197</w:t>
            </w:r>
          </w:p>
        </w:tc>
        <w:tc>
          <w:tcPr>
            <w:tcW w:w="768" w:type="dxa"/>
            <w:tcBorders>
              <w:top w:val="nil"/>
              <w:left w:val="nil"/>
              <w:bottom w:val="nil"/>
              <w:right w:val="nil"/>
            </w:tcBorders>
            <w:shd w:val="clear" w:color="auto" w:fill="auto"/>
            <w:noWrap/>
            <w:vAlign w:val="bottom"/>
            <w:hideMark/>
          </w:tcPr>
          <w:p w14:paraId="3465A6E8" w14:textId="20E93027"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AC0D2CC" w14:textId="05C2044D" w:rsidR="009A7A37" w:rsidRDefault="009A7A37" w:rsidP="009A7A37">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2639EA6" w14:textId="4985A2FC" w:rsidR="009A7A37" w:rsidRDefault="009A7A37" w:rsidP="009A7A37">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12CA052C" w14:textId="40C5DD77"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352BAB" w14:textId="53EC70A5" w:rsidR="009A7A37" w:rsidRDefault="009A7A37" w:rsidP="009A7A37">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1D93248" w14:textId="0EBDBAEC" w:rsidR="009A7A37" w:rsidRDefault="009A7A37" w:rsidP="009A7A37">
            <w:pPr>
              <w:jc w:val="right"/>
              <w:rPr>
                <w:color w:val="000000"/>
                <w:sz w:val="20"/>
                <w:szCs w:val="20"/>
              </w:rPr>
            </w:pPr>
            <w:r>
              <w:rPr>
                <w:color w:val="000000"/>
                <w:sz w:val="20"/>
                <w:szCs w:val="20"/>
              </w:rPr>
              <w:t>0.626</w:t>
            </w:r>
          </w:p>
        </w:tc>
        <w:tc>
          <w:tcPr>
            <w:tcW w:w="768" w:type="dxa"/>
            <w:tcBorders>
              <w:top w:val="nil"/>
              <w:left w:val="nil"/>
              <w:bottom w:val="nil"/>
              <w:right w:val="nil"/>
            </w:tcBorders>
            <w:shd w:val="clear" w:color="auto" w:fill="auto"/>
            <w:noWrap/>
            <w:vAlign w:val="bottom"/>
            <w:hideMark/>
          </w:tcPr>
          <w:p w14:paraId="346AFB67" w14:textId="08C786E3"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3B7304" w14:textId="1998A151" w:rsidR="009A7A37" w:rsidRDefault="009A7A37" w:rsidP="009A7A37">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0EB816B4" w14:textId="0B7B61C6" w:rsidR="009A7A37" w:rsidRDefault="009A7A37" w:rsidP="009A7A37">
            <w:pPr>
              <w:jc w:val="right"/>
              <w:rPr>
                <w:color w:val="000000"/>
                <w:sz w:val="20"/>
                <w:szCs w:val="20"/>
              </w:rPr>
            </w:pPr>
            <w:r>
              <w:rPr>
                <w:color w:val="000000"/>
                <w:sz w:val="20"/>
                <w:szCs w:val="20"/>
              </w:rPr>
              <w:t>0.509</w:t>
            </w:r>
          </w:p>
        </w:tc>
        <w:tc>
          <w:tcPr>
            <w:tcW w:w="768" w:type="dxa"/>
            <w:tcBorders>
              <w:top w:val="nil"/>
              <w:left w:val="nil"/>
              <w:bottom w:val="nil"/>
              <w:right w:val="nil"/>
            </w:tcBorders>
            <w:shd w:val="clear" w:color="auto" w:fill="auto"/>
            <w:noWrap/>
            <w:vAlign w:val="bottom"/>
            <w:hideMark/>
          </w:tcPr>
          <w:p w14:paraId="474BBE59" w14:textId="3B53C7C2" w:rsidR="009A7A37" w:rsidRDefault="009A7A37" w:rsidP="009A7A37">
            <w:pPr>
              <w:jc w:val="right"/>
              <w:rPr>
                <w:color w:val="000000"/>
                <w:sz w:val="20"/>
                <w:szCs w:val="20"/>
              </w:rPr>
            </w:pPr>
            <w:r>
              <w:rPr>
                <w:color w:val="000000"/>
                <w:sz w:val="20"/>
                <w:szCs w:val="20"/>
              </w:rPr>
              <w:t>0.002</w:t>
            </w:r>
          </w:p>
        </w:tc>
      </w:tr>
      <w:tr w:rsidR="009A7A37" w14:paraId="42555EF5" w14:textId="77777777" w:rsidTr="007C047B">
        <w:trPr>
          <w:trHeight w:val="320"/>
        </w:trPr>
        <w:tc>
          <w:tcPr>
            <w:tcW w:w="1176" w:type="dxa"/>
            <w:tcBorders>
              <w:top w:val="nil"/>
              <w:left w:val="nil"/>
              <w:bottom w:val="nil"/>
              <w:right w:val="nil"/>
            </w:tcBorders>
            <w:shd w:val="clear" w:color="auto" w:fill="auto"/>
            <w:noWrap/>
            <w:vAlign w:val="bottom"/>
            <w:hideMark/>
          </w:tcPr>
          <w:p w14:paraId="7E8926BF"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EA076A7" w14:textId="77777777" w:rsidR="009A7A37" w:rsidRDefault="009A7A37" w:rsidP="009A7A37">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CF4DBE2" w14:textId="193659CD" w:rsidR="009A7A37" w:rsidRDefault="009A7A37" w:rsidP="009A7A37">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8A42046" w14:textId="3E7C18FA" w:rsidR="009A7A37" w:rsidRDefault="009A7A37" w:rsidP="009A7A37">
            <w:pPr>
              <w:jc w:val="right"/>
              <w:rPr>
                <w:color w:val="000000"/>
                <w:sz w:val="20"/>
                <w:szCs w:val="20"/>
              </w:rPr>
            </w:pPr>
            <w:r>
              <w:rPr>
                <w:color w:val="000000"/>
                <w:sz w:val="20"/>
                <w:szCs w:val="20"/>
              </w:rPr>
              <w:t>0.683</w:t>
            </w:r>
          </w:p>
        </w:tc>
        <w:tc>
          <w:tcPr>
            <w:tcW w:w="768" w:type="dxa"/>
            <w:tcBorders>
              <w:top w:val="nil"/>
              <w:left w:val="nil"/>
              <w:bottom w:val="nil"/>
              <w:right w:val="nil"/>
            </w:tcBorders>
            <w:shd w:val="clear" w:color="auto" w:fill="auto"/>
            <w:noWrap/>
            <w:vAlign w:val="bottom"/>
            <w:hideMark/>
          </w:tcPr>
          <w:p w14:paraId="4B771FF4" w14:textId="06AE0D04"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11BDAA" w14:textId="56CE0CD1" w:rsidR="009A7A37" w:rsidRDefault="009A7A37" w:rsidP="009A7A37">
            <w:pPr>
              <w:jc w:val="right"/>
              <w:rPr>
                <w:b/>
                <w:bCs/>
                <w:color w:val="000000"/>
                <w:sz w:val="20"/>
                <w:szCs w:val="20"/>
              </w:rPr>
            </w:pPr>
            <w:r>
              <w:rPr>
                <w:b/>
                <w:bCs/>
                <w:color w:val="000000"/>
                <w:sz w:val="20"/>
                <w:szCs w:val="20"/>
              </w:rPr>
              <w:t>0.137</w:t>
            </w:r>
          </w:p>
        </w:tc>
        <w:tc>
          <w:tcPr>
            <w:tcW w:w="768" w:type="dxa"/>
            <w:tcBorders>
              <w:top w:val="nil"/>
              <w:left w:val="nil"/>
              <w:bottom w:val="nil"/>
              <w:right w:val="nil"/>
            </w:tcBorders>
            <w:shd w:val="clear" w:color="auto" w:fill="auto"/>
            <w:noWrap/>
            <w:vAlign w:val="bottom"/>
            <w:hideMark/>
          </w:tcPr>
          <w:p w14:paraId="27A5FD6C" w14:textId="44FE8792" w:rsidR="009A7A37" w:rsidRDefault="009A7A37" w:rsidP="009A7A37">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25F7E9D5" w14:textId="6DA03243" w:rsidR="009A7A37" w:rsidRDefault="009A7A37" w:rsidP="009A7A37">
            <w:pPr>
              <w:jc w:val="right"/>
              <w:rPr>
                <w:color w:val="000000"/>
                <w:sz w:val="20"/>
                <w:szCs w:val="20"/>
              </w:rPr>
            </w:pPr>
            <w:r>
              <w:rPr>
                <w:b/>
                <w:bCs/>
                <w:color w:val="000000"/>
                <w:sz w:val="20"/>
                <w:szCs w:val="20"/>
              </w:rPr>
              <w:t>0.019</w:t>
            </w:r>
          </w:p>
        </w:tc>
        <w:tc>
          <w:tcPr>
            <w:tcW w:w="768" w:type="dxa"/>
            <w:tcBorders>
              <w:top w:val="nil"/>
              <w:left w:val="nil"/>
              <w:bottom w:val="nil"/>
              <w:right w:val="nil"/>
            </w:tcBorders>
            <w:shd w:val="clear" w:color="auto" w:fill="auto"/>
            <w:noWrap/>
            <w:vAlign w:val="bottom"/>
            <w:hideMark/>
          </w:tcPr>
          <w:p w14:paraId="32D262CD" w14:textId="7F357DB6" w:rsidR="009A7A37" w:rsidRDefault="009A7A37" w:rsidP="009A7A37">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4C2524D2" w14:textId="13F69382" w:rsidR="009A7A37" w:rsidRDefault="009A7A37" w:rsidP="009A7A37">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480257AB" w14:textId="21D2804C" w:rsidR="009A7A37" w:rsidRDefault="009A7A37" w:rsidP="009A7A37">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CEA0A9F" w14:textId="7E3D2A6F" w:rsidR="009A7A37" w:rsidRDefault="009A7A37" w:rsidP="009A7A37">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9A644E2" w14:textId="77F5D568" w:rsidR="009A7A37" w:rsidRDefault="009A7A37" w:rsidP="009A7A37">
            <w:pPr>
              <w:jc w:val="right"/>
              <w:rPr>
                <w:color w:val="000000"/>
                <w:sz w:val="20"/>
                <w:szCs w:val="20"/>
              </w:rPr>
            </w:pPr>
            <w:r>
              <w:rPr>
                <w:color w:val="000000"/>
                <w:sz w:val="20"/>
                <w:szCs w:val="20"/>
              </w:rPr>
              <w:t>0.626</w:t>
            </w:r>
          </w:p>
        </w:tc>
        <w:tc>
          <w:tcPr>
            <w:tcW w:w="768" w:type="dxa"/>
            <w:tcBorders>
              <w:top w:val="nil"/>
              <w:left w:val="nil"/>
              <w:bottom w:val="nil"/>
              <w:right w:val="nil"/>
            </w:tcBorders>
            <w:shd w:val="clear" w:color="auto" w:fill="auto"/>
            <w:noWrap/>
            <w:vAlign w:val="bottom"/>
            <w:hideMark/>
          </w:tcPr>
          <w:p w14:paraId="5AAD8B1C" w14:textId="4A57261F"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EBE986C" w14:textId="185654E8" w:rsidR="009A7A37" w:rsidRDefault="009A7A37" w:rsidP="009A7A37">
            <w:pPr>
              <w:jc w:val="right"/>
              <w:rPr>
                <w:b/>
                <w:bCs/>
                <w:color w:val="000000"/>
                <w:sz w:val="20"/>
                <w:szCs w:val="20"/>
              </w:rPr>
            </w:pPr>
            <w:r>
              <w:rPr>
                <w:b/>
                <w:bCs/>
                <w:color w:val="000000"/>
                <w:sz w:val="20"/>
                <w:szCs w:val="20"/>
              </w:rPr>
              <w:t>-0.108</w:t>
            </w:r>
          </w:p>
        </w:tc>
        <w:tc>
          <w:tcPr>
            <w:tcW w:w="768" w:type="dxa"/>
            <w:tcBorders>
              <w:top w:val="nil"/>
              <w:left w:val="nil"/>
              <w:bottom w:val="nil"/>
              <w:right w:val="nil"/>
            </w:tcBorders>
            <w:shd w:val="clear" w:color="auto" w:fill="auto"/>
            <w:noWrap/>
            <w:vAlign w:val="bottom"/>
            <w:hideMark/>
          </w:tcPr>
          <w:p w14:paraId="00EA4C9E" w14:textId="0AA7759C" w:rsidR="009A7A37" w:rsidRDefault="009A7A37" w:rsidP="009A7A37">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3789F3A9" w14:textId="1C2CC28A" w:rsidR="009A7A37" w:rsidRDefault="009A7A37" w:rsidP="009A7A37">
            <w:pPr>
              <w:jc w:val="right"/>
              <w:rPr>
                <w:color w:val="000000"/>
                <w:sz w:val="20"/>
                <w:szCs w:val="20"/>
              </w:rPr>
            </w:pPr>
            <w:r>
              <w:rPr>
                <w:b/>
                <w:bCs/>
                <w:color w:val="000000"/>
                <w:sz w:val="20"/>
                <w:szCs w:val="20"/>
              </w:rPr>
              <w:t>0.012</w:t>
            </w:r>
          </w:p>
        </w:tc>
      </w:tr>
      <w:tr w:rsidR="009A7A37" w14:paraId="45A78C93" w14:textId="77777777" w:rsidTr="007C047B">
        <w:trPr>
          <w:trHeight w:val="320"/>
        </w:trPr>
        <w:tc>
          <w:tcPr>
            <w:tcW w:w="1176" w:type="dxa"/>
            <w:tcBorders>
              <w:top w:val="nil"/>
              <w:left w:val="nil"/>
              <w:bottom w:val="nil"/>
              <w:right w:val="nil"/>
            </w:tcBorders>
            <w:shd w:val="clear" w:color="auto" w:fill="auto"/>
            <w:noWrap/>
            <w:vAlign w:val="bottom"/>
            <w:hideMark/>
          </w:tcPr>
          <w:p w14:paraId="6028A3A9"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21B6F40" w14:textId="77777777" w:rsidR="009A7A37" w:rsidRDefault="009A7A37" w:rsidP="009A7A37">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187B075" w14:textId="55338862" w:rsidR="009A7A37" w:rsidRDefault="009A7A37" w:rsidP="009A7A37">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D8959EA" w14:textId="74CDBCA6" w:rsidR="009A7A37" w:rsidRDefault="009A7A37" w:rsidP="009A7A37">
            <w:pPr>
              <w:jc w:val="right"/>
              <w:rPr>
                <w:color w:val="000000"/>
                <w:sz w:val="20"/>
                <w:szCs w:val="20"/>
              </w:rPr>
            </w:pPr>
            <w:r>
              <w:rPr>
                <w:color w:val="000000"/>
                <w:sz w:val="20"/>
                <w:szCs w:val="20"/>
              </w:rPr>
              <w:t>0.556</w:t>
            </w:r>
          </w:p>
        </w:tc>
        <w:tc>
          <w:tcPr>
            <w:tcW w:w="768" w:type="dxa"/>
            <w:tcBorders>
              <w:top w:val="nil"/>
              <w:left w:val="nil"/>
              <w:bottom w:val="nil"/>
              <w:right w:val="nil"/>
            </w:tcBorders>
            <w:shd w:val="clear" w:color="auto" w:fill="auto"/>
            <w:noWrap/>
            <w:vAlign w:val="bottom"/>
            <w:hideMark/>
          </w:tcPr>
          <w:p w14:paraId="694B1E94" w14:textId="735D95A5"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1E0F2EE" w14:textId="66206028"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DD43BCD" w14:textId="76FADBE4" w:rsidR="009A7A37" w:rsidRDefault="009A7A37" w:rsidP="009A7A37">
            <w:pPr>
              <w:jc w:val="right"/>
              <w:rPr>
                <w:color w:val="000000"/>
                <w:sz w:val="20"/>
                <w:szCs w:val="20"/>
              </w:rPr>
            </w:pPr>
            <w:r>
              <w:rPr>
                <w:color w:val="000000"/>
                <w:sz w:val="20"/>
                <w:szCs w:val="20"/>
              </w:rPr>
              <w:t>0.978</w:t>
            </w:r>
          </w:p>
        </w:tc>
        <w:tc>
          <w:tcPr>
            <w:tcW w:w="768" w:type="dxa"/>
            <w:tcBorders>
              <w:top w:val="nil"/>
              <w:left w:val="nil"/>
              <w:bottom w:val="nil"/>
              <w:right w:val="nil"/>
            </w:tcBorders>
            <w:shd w:val="clear" w:color="auto" w:fill="auto"/>
            <w:noWrap/>
            <w:vAlign w:val="bottom"/>
            <w:hideMark/>
          </w:tcPr>
          <w:p w14:paraId="4206E8D0" w14:textId="7E6B96D6"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1E4D07" w14:textId="42C645D6" w:rsidR="009A7A37" w:rsidRDefault="009A7A37" w:rsidP="009A7A37">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B7DDABD" w14:textId="6C337CF2" w:rsidR="009A7A37" w:rsidRDefault="009A7A37" w:rsidP="009A7A37">
            <w:pPr>
              <w:jc w:val="right"/>
              <w:rPr>
                <w:color w:val="000000"/>
                <w:sz w:val="20"/>
                <w:szCs w:val="20"/>
              </w:rPr>
            </w:pPr>
            <w:r>
              <w:rPr>
                <w:color w:val="000000"/>
                <w:sz w:val="20"/>
                <w:szCs w:val="20"/>
              </w:rPr>
              <w:t>0.648</w:t>
            </w:r>
          </w:p>
        </w:tc>
        <w:tc>
          <w:tcPr>
            <w:tcW w:w="768" w:type="dxa"/>
            <w:tcBorders>
              <w:top w:val="nil"/>
              <w:left w:val="nil"/>
              <w:bottom w:val="nil"/>
              <w:right w:val="nil"/>
            </w:tcBorders>
            <w:shd w:val="clear" w:color="auto" w:fill="auto"/>
            <w:noWrap/>
            <w:vAlign w:val="bottom"/>
            <w:hideMark/>
          </w:tcPr>
          <w:p w14:paraId="763D4C4A" w14:textId="47971A2E"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A4A59A" w14:textId="082F5038" w:rsidR="009A7A37" w:rsidRDefault="009A7A37" w:rsidP="009A7A37">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4F71BC04" w14:textId="1EC31179" w:rsidR="009A7A37" w:rsidRDefault="009A7A37" w:rsidP="009A7A37">
            <w:pPr>
              <w:jc w:val="right"/>
              <w:rPr>
                <w:color w:val="000000"/>
                <w:sz w:val="20"/>
                <w:szCs w:val="20"/>
              </w:rPr>
            </w:pPr>
            <w:r>
              <w:rPr>
                <w:color w:val="000000"/>
                <w:sz w:val="20"/>
                <w:szCs w:val="20"/>
              </w:rPr>
              <w:t>0.331</w:t>
            </w:r>
          </w:p>
        </w:tc>
        <w:tc>
          <w:tcPr>
            <w:tcW w:w="768" w:type="dxa"/>
            <w:tcBorders>
              <w:top w:val="nil"/>
              <w:left w:val="nil"/>
              <w:bottom w:val="nil"/>
              <w:right w:val="nil"/>
            </w:tcBorders>
            <w:shd w:val="clear" w:color="auto" w:fill="auto"/>
            <w:noWrap/>
            <w:vAlign w:val="bottom"/>
            <w:hideMark/>
          </w:tcPr>
          <w:p w14:paraId="5946D2B3" w14:textId="6325882D" w:rsidR="009A7A37" w:rsidRDefault="009A7A37" w:rsidP="009A7A37">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D0DF06D" w14:textId="608518E4" w:rsidR="009A7A37" w:rsidRDefault="009A7A37" w:rsidP="009A7A37">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ACD3F71" w14:textId="6BED7C8E" w:rsidR="009A7A37" w:rsidRDefault="009A7A37" w:rsidP="009A7A37">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5F07B494" w14:textId="1F9EE700" w:rsidR="009A7A37" w:rsidRDefault="009A7A37" w:rsidP="009A7A37">
            <w:pPr>
              <w:jc w:val="right"/>
              <w:rPr>
                <w:color w:val="000000"/>
                <w:sz w:val="20"/>
                <w:szCs w:val="20"/>
              </w:rPr>
            </w:pPr>
            <w:r>
              <w:rPr>
                <w:color w:val="000000"/>
                <w:sz w:val="20"/>
                <w:szCs w:val="20"/>
              </w:rPr>
              <w:t>0.002</w:t>
            </w:r>
          </w:p>
        </w:tc>
      </w:tr>
      <w:tr w:rsidR="009A7A37" w14:paraId="10088A19" w14:textId="77777777" w:rsidTr="007C047B">
        <w:trPr>
          <w:trHeight w:val="320"/>
        </w:trPr>
        <w:tc>
          <w:tcPr>
            <w:tcW w:w="1176" w:type="dxa"/>
            <w:tcBorders>
              <w:top w:val="nil"/>
              <w:left w:val="nil"/>
              <w:bottom w:val="nil"/>
              <w:right w:val="nil"/>
            </w:tcBorders>
            <w:shd w:val="clear" w:color="auto" w:fill="auto"/>
            <w:noWrap/>
            <w:vAlign w:val="bottom"/>
            <w:hideMark/>
          </w:tcPr>
          <w:p w14:paraId="47C8B214" w14:textId="77777777" w:rsidR="009A7A37" w:rsidRDefault="009A7A37" w:rsidP="009A7A37">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647876" w14:textId="77777777" w:rsidR="009A7A37" w:rsidRDefault="009A7A37" w:rsidP="009A7A37">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E6E46D9" w14:textId="4F46185C" w:rsidR="009A7A37" w:rsidRDefault="009A7A37" w:rsidP="009A7A37">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7A0AF9A" w14:textId="51741FF2" w:rsidR="009A7A37" w:rsidRDefault="009A7A37" w:rsidP="009A7A37">
            <w:pPr>
              <w:jc w:val="right"/>
              <w:rPr>
                <w:color w:val="000000"/>
                <w:sz w:val="20"/>
                <w:szCs w:val="20"/>
              </w:rPr>
            </w:pPr>
            <w:r>
              <w:rPr>
                <w:color w:val="000000"/>
                <w:sz w:val="20"/>
                <w:szCs w:val="20"/>
              </w:rPr>
              <w:t>0.556</w:t>
            </w:r>
          </w:p>
        </w:tc>
        <w:tc>
          <w:tcPr>
            <w:tcW w:w="768" w:type="dxa"/>
            <w:tcBorders>
              <w:top w:val="nil"/>
              <w:left w:val="nil"/>
              <w:bottom w:val="nil"/>
              <w:right w:val="nil"/>
            </w:tcBorders>
            <w:shd w:val="clear" w:color="auto" w:fill="auto"/>
            <w:noWrap/>
            <w:vAlign w:val="bottom"/>
            <w:hideMark/>
          </w:tcPr>
          <w:p w14:paraId="3A7D6656" w14:textId="179DAF6F" w:rsidR="009A7A37" w:rsidRDefault="009A7A37" w:rsidP="009A7A37">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7CBBE57" w14:textId="55D48DBF" w:rsidR="009A7A37" w:rsidRDefault="009A7A37" w:rsidP="009A7A37">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E520C49" w14:textId="26069680" w:rsidR="009A7A37" w:rsidRDefault="009A7A37" w:rsidP="009A7A37">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0CAE2FF4" w14:textId="5607E99C"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72588B" w14:textId="113A809C" w:rsidR="009A7A37" w:rsidRDefault="009A7A37" w:rsidP="009A7A37">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6ABB891C" w14:textId="0CECE0F1" w:rsidR="009A7A37" w:rsidRDefault="009A7A37" w:rsidP="009A7A37">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3787F55A" w14:textId="62092CC4" w:rsidR="009A7A37" w:rsidRDefault="009A7A37" w:rsidP="009A7A37">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5DC5309" w14:textId="5228A60B" w:rsidR="009A7A37" w:rsidRDefault="009A7A37" w:rsidP="009A7A37">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06A7C34" w14:textId="77BFFA03" w:rsidR="009A7A37" w:rsidRDefault="009A7A37" w:rsidP="009A7A37">
            <w:pPr>
              <w:jc w:val="right"/>
              <w:rPr>
                <w:color w:val="000000"/>
                <w:sz w:val="20"/>
                <w:szCs w:val="20"/>
              </w:rPr>
            </w:pPr>
            <w:r>
              <w:rPr>
                <w:color w:val="000000"/>
                <w:sz w:val="20"/>
                <w:szCs w:val="20"/>
              </w:rPr>
              <w:t>0.630</w:t>
            </w:r>
          </w:p>
        </w:tc>
        <w:tc>
          <w:tcPr>
            <w:tcW w:w="768" w:type="dxa"/>
            <w:tcBorders>
              <w:top w:val="nil"/>
              <w:left w:val="nil"/>
              <w:bottom w:val="nil"/>
              <w:right w:val="nil"/>
            </w:tcBorders>
            <w:shd w:val="clear" w:color="auto" w:fill="auto"/>
            <w:noWrap/>
            <w:vAlign w:val="bottom"/>
            <w:hideMark/>
          </w:tcPr>
          <w:p w14:paraId="302B9B27" w14:textId="31FBC6CB"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EBECDB" w14:textId="3C7D9B20" w:rsidR="009A7A37" w:rsidRDefault="009A7A37" w:rsidP="009A7A37">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5CEA3E30" w14:textId="6F1E9EDF" w:rsidR="009A7A37" w:rsidRDefault="009A7A37" w:rsidP="009A7A37">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21608CDC" w14:textId="1A811CEF" w:rsidR="009A7A37" w:rsidRDefault="009A7A37" w:rsidP="009A7A37">
            <w:pPr>
              <w:jc w:val="right"/>
              <w:rPr>
                <w:color w:val="000000"/>
                <w:sz w:val="20"/>
                <w:szCs w:val="20"/>
              </w:rPr>
            </w:pPr>
            <w:r>
              <w:rPr>
                <w:color w:val="000000"/>
                <w:sz w:val="20"/>
                <w:szCs w:val="20"/>
              </w:rPr>
              <w:t>0.003</w:t>
            </w:r>
          </w:p>
        </w:tc>
      </w:tr>
      <w:tr w:rsidR="009A7A37" w14:paraId="4F122CD4" w14:textId="77777777" w:rsidTr="00AF1024">
        <w:trPr>
          <w:trHeight w:val="320"/>
        </w:trPr>
        <w:tc>
          <w:tcPr>
            <w:tcW w:w="1176" w:type="dxa"/>
            <w:tcBorders>
              <w:top w:val="nil"/>
              <w:left w:val="nil"/>
              <w:right w:val="nil"/>
            </w:tcBorders>
            <w:shd w:val="clear" w:color="auto" w:fill="auto"/>
            <w:noWrap/>
            <w:vAlign w:val="bottom"/>
            <w:hideMark/>
          </w:tcPr>
          <w:p w14:paraId="32A6A112" w14:textId="77777777" w:rsidR="009A7A37" w:rsidRDefault="009A7A37" w:rsidP="009A7A37">
            <w:pPr>
              <w:jc w:val="right"/>
              <w:rPr>
                <w:color w:val="000000"/>
                <w:sz w:val="20"/>
                <w:szCs w:val="20"/>
              </w:rPr>
            </w:pPr>
          </w:p>
        </w:tc>
        <w:tc>
          <w:tcPr>
            <w:tcW w:w="1705" w:type="dxa"/>
            <w:tcBorders>
              <w:top w:val="nil"/>
              <w:left w:val="nil"/>
              <w:right w:val="nil"/>
            </w:tcBorders>
            <w:shd w:val="clear" w:color="auto" w:fill="auto"/>
            <w:noWrap/>
            <w:vAlign w:val="center"/>
            <w:hideMark/>
          </w:tcPr>
          <w:p w14:paraId="3D7E0E06" w14:textId="77777777" w:rsidR="009A7A37" w:rsidRDefault="009A7A37" w:rsidP="009A7A37">
            <w:pPr>
              <w:rPr>
                <w:color w:val="000000"/>
                <w:sz w:val="20"/>
                <w:szCs w:val="20"/>
              </w:rPr>
            </w:pPr>
            <w:r>
              <w:rPr>
                <w:color w:val="000000"/>
                <w:sz w:val="20"/>
                <w:szCs w:val="20"/>
              </w:rPr>
              <w:t>Visual 1</w:t>
            </w:r>
          </w:p>
        </w:tc>
        <w:tc>
          <w:tcPr>
            <w:tcW w:w="767" w:type="dxa"/>
            <w:tcBorders>
              <w:top w:val="nil"/>
              <w:left w:val="nil"/>
              <w:right w:val="nil"/>
            </w:tcBorders>
            <w:shd w:val="clear" w:color="auto" w:fill="auto"/>
            <w:noWrap/>
            <w:vAlign w:val="bottom"/>
            <w:hideMark/>
          </w:tcPr>
          <w:p w14:paraId="27ECD7E5" w14:textId="36FECD41" w:rsidR="009A7A37" w:rsidRDefault="009A7A37" w:rsidP="009A7A37">
            <w:pPr>
              <w:jc w:val="right"/>
              <w:rPr>
                <w:color w:val="000000"/>
                <w:sz w:val="20"/>
                <w:szCs w:val="20"/>
              </w:rPr>
            </w:pPr>
            <w:r>
              <w:rPr>
                <w:color w:val="000000"/>
                <w:sz w:val="20"/>
                <w:szCs w:val="20"/>
              </w:rPr>
              <w:t>-0.033</w:t>
            </w:r>
          </w:p>
        </w:tc>
        <w:tc>
          <w:tcPr>
            <w:tcW w:w="768" w:type="dxa"/>
            <w:tcBorders>
              <w:top w:val="nil"/>
              <w:left w:val="nil"/>
              <w:right w:val="nil"/>
            </w:tcBorders>
            <w:shd w:val="clear" w:color="auto" w:fill="auto"/>
            <w:noWrap/>
            <w:vAlign w:val="bottom"/>
            <w:hideMark/>
          </w:tcPr>
          <w:p w14:paraId="44232C41" w14:textId="09AC74C2" w:rsidR="009A7A37" w:rsidRDefault="009A7A37" w:rsidP="009A7A37">
            <w:pPr>
              <w:jc w:val="right"/>
              <w:rPr>
                <w:color w:val="000000"/>
                <w:sz w:val="20"/>
                <w:szCs w:val="20"/>
              </w:rPr>
            </w:pPr>
            <w:r>
              <w:rPr>
                <w:color w:val="000000"/>
                <w:sz w:val="20"/>
                <w:szCs w:val="20"/>
              </w:rPr>
              <w:t>0.556</w:t>
            </w:r>
          </w:p>
        </w:tc>
        <w:tc>
          <w:tcPr>
            <w:tcW w:w="768" w:type="dxa"/>
            <w:tcBorders>
              <w:top w:val="nil"/>
              <w:left w:val="nil"/>
              <w:right w:val="nil"/>
            </w:tcBorders>
            <w:shd w:val="clear" w:color="auto" w:fill="auto"/>
            <w:noWrap/>
            <w:vAlign w:val="bottom"/>
            <w:hideMark/>
          </w:tcPr>
          <w:p w14:paraId="14659F12" w14:textId="2300234E" w:rsidR="009A7A37" w:rsidRDefault="009A7A37" w:rsidP="009A7A37">
            <w:pPr>
              <w:jc w:val="right"/>
              <w:rPr>
                <w:color w:val="000000"/>
                <w:sz w:val="20"/>
                <w:szCs w:val="20"/>
              </w:rPr>
            </w:pPr>
            <w:r>
              <w:rPr>
                <w:color w:val="000000"/>
                <w:sz w:val="20"/>
                <w:szCs w:val="20"/>
              </w:rPr>
              <w:t>0.001</w:t>
            </w:r>
          </w:p>
        </w:tc>
        <w:tc>
          <w:tcPr>
            <w:tcW w:w="768" w:type="dxa"/>
            <w:tcBorders>
              <w:top w:val="nil"/>
              <w:left w:val="nil"/>
              <w:right w:val="nil"/>
            </w:tcBorders>
            <w:shd w:val="clear" w:color="auto" w:fill="auto"/>
            <w:noWrap/>
            <w:vAlign w:val="bottom"/>
            <w:hideMark/>
          </w:tcPr>
          <w:p w14:paraId="199426C5" w14:textId="477523A7" w:rsidR="009A7A37" w:rsidRDefault="009A7A37" w:rsidP="009A7A37">
            <w:pPr>
              <w:jc w:val="right"/>
              <w:rPr>
                <w:color w:val="000000"/>
                <w:sz w:val="20"/>
                <w:szCs w:val="20"/>
              </w:rPr>
            </w:pPr>
            <w:r>
              <w:rPr>
                <w:color w:val="000000"/>
                <w:sz w:val="20"/>
                <w:szCs w:val="20"/>
              </w:rPr>
              <w:t>-0.065</w:t>
            </w:r>
          </w:p>
        </w:tc>
        <w:tc>
          <w:tcPr>
            <w:tcW w:w="768" w:type="dxa"/>
            <w:tcBorders>
              <w:top w:val="nil"/>
              <w:left w:val="nil"/>
              <w:right w:val="nil"/>
            </w:tcBorders>
            <w:shd w:val="clear" w:color="auto" w:fill="auto"/>
            <w:noWrap/>
            <w:vAlign w:val="bottom"/>
            <w:hideMark/>
          </w:tcPr>
          <w:p w14:paraId="63A01401" w14:textId="48B8D5FF" w:rsidR="009A7A37" w:rsidRDefault="009A7A37" w:rsidP="009A7A37">
            <w:pPr>
              <w:jc w:val="right"/>
              <w:rPr>
                <w:color w:val="000000"/>
                <w:sz w:val="20"/>
                <w:szCs w:val="20"/>
              </w:rPr>
            </w:pPr>
            <w:r>
              <w:rPr>
                <w:color w:val="000000"/>
                <w:sz w:val="20"/>
                <w:szCs w:val="20"/>
              </w:rPr>
              <w:t>0.124</w:t>
            </w:r>
          </w:p>
        </w:tc>
        <w:tc>
          <w:tcPr>
            <w:tcW w:w="768" w:type="dxa"/>
            <w:tcBorders>
              <w:top w:val="nil"/>
              <w:left w:val="nil"/>
              <w:right w:val="nil"/>
            </w:tcBorders>
            <w:shd w:val="clear" w:color="auto" w:fill="auto"/>
            <w:noWrap/>
            <w:vAlign w:val="bottom"/>
            <w:hideMark/>
          </w:tcPr>
          <w:p w14:paraId="0F2C4C4C" w14:textId="08B17AE9" w:rsidR="009A7A37" w:rsidRDefault="009A7A37" w:rsidP="009A7A37">
            <w:pPr>
              <w:jc w:val="right"/>
              <w:rPr>
                <w:color w:val="000000"/>
                <w:sz w:val="20"/>
                <w:szCs w:val="20"/>
              </w:rPr>
            </w:pPr>
            <w:r>
              <w:rPr>
                <w:color w:val="000000"/>
                <w:sz w:val="20"/>
                <w:szCs w:val="20"/>
              </w:rPr>
              <w:t>0.004</w:t>
            </w:r>
          </w:p>
        </w:tc>
        <w:tc>
          <w:tcPr>
            <w:tcW w:w="768" w:type="dxa"/>
            <w:tcBorders>
              <w:top w:val="nil"/>
              <w:left w:val="nil"/>
              <w:right w:val="nil"/>
            </w:tcBorders>
            <w:shd w:val="clear" w:color="auto" w:fill="auto"/>
            <w:noWrap/>
            <w:vAlign w:val="bottom"/>
            <w:hideMark/>
          </w:tcPr>
          <w:p w14:paraId="3177C299" w14:textId="704A83C1" w:rsidR="009A7A37" w:rsidRDefault="009A7A37" w:rsidP="009A7A37">
            <w:pPr>
              <w:jc w:val="right"/>
              <w:rPr>
                <w:color w:val="000000"/>
                <w:sz w:val="20"/>
                <w:szCs w:val="20"/>
              </w:rPr>
            </w:pPr>
            <w:r>
              <w:rPr>
                <w:color w:val="000000"/>
                <w:sz w:val="20"/>
                <w:szCs w:val="20"/>
              </w:rPr>
              <w:t>0.052</w:t>
            </w:r>
          </w:p>
        </w:tc>
        <w:tc>
          <w:tcPr>
            <w:tcW w:w="768" w:type="dxa"/>
            <w:tcBorders>
              <w:top w:val="nil"/>
              <w:left w:val="nil"/>
              <w:right w:val="nil"/>
            </w:tcBorders>
            <w:shd w:val="clear" w:color="auto" w:fill="auto"/>
            <w:noWrap/>
            <w:vAlign w:val="bottom"/>
            <w:hideMark/>
          </w:tcPr>
          <w:p w14:paraId="5A7129E4" w14:textId="1B405B70" w:rsidR="009A7A37" w:rsidRDefault="009A7A37" w:rsidP="009A7A37">
            <w:pPr>
              <w:jc w:val="right"/>
              <w:rPr>
                <w:color w:val="000000"/>
                <w:sz w:val="20"/>
                <w:szCs w:val="20"/>
              </w:rPr>
            </w:pPr>
            <w:r>
              <w:rPr>
                <w:color w:val="000000"/>
                <w:sz w:val="20"/>
                <w:szCs w:val="20"/>
              </w:rPr>
              <w:t>0.219</w:t>
            </w:r>
          </w:p>
        </w:tc>
        <w:tc>
          <w:tcPr>
            <w:tcW w:w="768" w:type="dxa"/>
            <w:tcBorders>
              <w:top w:val="nil"/>
              <w:left w:val="nil"/>
              <w:right w:val="nil"/>
            </w:tcBorders>
            <w:shd w:val="clear" w:color="auto" w:fill="auto"/>
            <w:noWrap/>
            <w:vAlign w:val="bottom"/>
            <w:hideMark/>
          </w:tcPr>
          <w:p w14:paraId="42610684" w14:textId="22076605" w:rsidR="009A7A37" w:rsidRDefault="009A7A37" w:rsidP="009A7A37">
            <w:pPr>
              <w:jc w:val="right"/>
              <w:rPr>
                <w:color w:val="000000"/>
                <w:sz w:val="20"/>
                <w:szCs w:val="20"/>
              </w:rPr>
            </w:pPr>
            <w:r>
              <w:rPr>
                <w:color w:val="000000"/>
                <w:sz w:val="20"/>
                <w:szCs w:val="20"/>
              </w:rPr>
              <w:t>0.003</w:t>
            </w:r>
          </w:p>
        </w:tc>
        <w:tc>
          <w:tcPr>
            <w:tcW w:w="768" w:type="dxa"/>
            <w:tcBorders>
              <w:top w:val="nil"/>
              <w:left w:val="nil"/>
              <w:right w:val="nil"/>
            </w:tcBorders>
            <w:shd w:val="clear" w:color="auto" w:fill="auto"/>
            <w:noWrap/>
            <w:vAlign w:val="bottom"/>
            <w:hideMark/>
          </w:tcPr>
          <w:p w14:paraId="1F43C501" w14:textId="3846539B" w:rsidR="009A7A37" w:rsidRDefault="009A7A37" w:rsidP="009A7A37">
            <w:pPr>
              <w:jc w:val="right"/>
              <w:rPr>
                <w:color w:val="000000"/>
                <w:sz w:val="20"/>
                <w:szCs w:val="20"/>
              </w:rPr>
            </w:pPr>
            <w:r>
              <w:rPr>
                <w:color w:val="000000"/>
                <w:sz w:val="20"/>
                <w:szCs w:val="20"/>
              </w:rPr>
              <w:t>-0.018</w:t>
            </w:r>
          </w:p>
        </w:tc>
        <w:tc>
          <w:tcPr>
            <w:tcW w:w="768" w:type="dxa"/>
            <w:tcBorders>
              <w:top w:val="nil"/>
              <w:left w:val="nil"/>
              <w:right w:val="nil"/>
            </w:tcBorders>
            <w:shd w:val="clear" w:color="auto" w:fill="auto"/>
            <w:noWrap/>
            <w:vAlign w:val="bottom"/>
            <w:hideMark/>
          </w:tcPr>
          <w:p w14:paraId="05E9830B" w14:textId="5873402F" w:rsidR="009A7A37" w:rsidRDefault="009A7A37" w:rsidP="009A7A37">
            <w:pPr>
              <w:jc w:val="right"/>
              <w:rPr>
                <w:color w:val="000000"/>
                <w:sz w:val="20"/>
                <w:szCs w:val="20"/>
              </w:rPr>
            </w:pPr>
            <w:r>
              <w:rPr>
                <w:color w:val="000000"/>
                <w:sz w:val="20"/>
                <w:szCs w:val="20"/>
              </w:rPr>
              <w:t>0.630</w:t>
            </w:r>
          </w:p>
        </w:tc>
        <w:tc>
          <w:tcPr>
            <w:tcW w:w="768" w:type="dxa"/>
            <w:tcBorders>
              <w:top w:val="nil"/>
              <w:left w:val="nil"/>
              <w:right w:val="nil"/>
            </w:tcBorders>
            <w:shd w:val="clear" w:color="auto" w:fill="auto"/>
            <w:noWrap/>
            <w:vAlign w:val="bottom"/>
            <w:hideMark/>
          </w:tcPr>
          <w:p w14:paraId="6A550201" w14:textId="3026DDDA" w:rsidR="009A7A37" w:rsidRDefault="009A7A37" w:rsidP="009A7A37">
            <w:pPr>
              <w:jc w:val="right"/>
              <w:rPr>
                <w:color w:val="000000"/>
                <w:sz w:val="20"/>
                <w:szCs w:val="20"/>
              </w:rPr>
            </w:pPr>
            <w:r>
              <w:rPr>
                <w:color w:val="000000"/>
                <w:sz w:val="20"/>
                <w:szCs w:val="20"/>
              </w:rPr>
              <w:t>0.000</w:t>
            </w:r>
          </w:p>
        </w:tc>
        <w:tc>
          <w:tcPr>
            <w:tcW w:w="768" w:type="dxa"/>
            <w:tcBorders>
              <w:top w:val="nil"/>
              <w:left w:val="nil"/>
              <w:right w:val="nil"/>
            </w:tcBorders>
            <w:shd w:val="clear" w:color="auto" w:fill="auto"/>
            <w:noWrap/>
            <w:vAlign w:val="bottom"/>
            <w:hideMark/>
          </w:tcPr>
          <w:p w14:paraId="5A3AC55E" w14:textId="1B58EB1B" w:rsidR="009A7A37" w:rsidRDefault="009A7A37" w:rsidP="009A7A37">
            <w:pPr>
              <w:jc w:val="right"/>
              <w:rPr>
                <w:color w:val="000000"/>
                <w:sz w:val="20"/>
                <w:szCs w:val="20"/>
              </w:rPr>
            </w:pPr>
            <w:r>
              <w:rPr>
                <w:color w:val="000000"/>
                <w:sz w:val="20"/>
                <w:szCs w:val="20"/>
              </w:rPr>
              <w:t>0.022</w:t>
            </w:r>
          </w:p>
        </w:tc>
        <w:tc>
          <w:tcPr>
            <w:tcW w:w="768" w:type="dxa"/>
            <w:tcBorders>
              <w:top w:val="nil"/>
              <w:left w:val="nil"/>
              <w:right w:val="nil"/>
            </w:tcBorders>
            <w:shd w:val="clear" w:color="auto" w:fill="auto"/>
            <w:noWrap/>
            <w:vAlign w:val="bottom"/>
            <w:hideMark/>
          </w:tcPr>
          <w:p w14:paraId="1BB27B4C" w14:textId="5FE227AC" w:rsidR="009A7A37" w:rsidRDefault="009A7A37" w:rsidP="009A7A37">
            <w:pPr>
              <w:jc w:val="right"/>
              <w:rPr>
                <w:color w:val="000000"/>
                <w:sz w:val="20"/>
                <w:szCs w:val="20"/>
              </w:rPr>
            </w:pPr>
            <w:r>
              <w:rPr>
                <w:color w:val="000000"/>
                <w:sz w:val="20"/>
                <w:szCs w:val="20"/>
              </w:rPr>
              <w:t>0.671</w:t>
            </w:r>
          </w:p>
        </w:tc>
        <w:tc>
          <w:tcPr>
            <w:tcW w:w="768" w:type="dxa"/>
            <w:tcBorders>
              <w:top w:val="nil"/>
              <w:left w:val="nil"/>
              <w:right w:val="nil"/>
            </w:tcBorders>
            <w:shd w:val="clear" w:color="auto" w:fill="auto"/>
            <w:noWrap/>
            <w:vAlign w:val="bottom"/>
            <w:hideMark/>
          </w:tcPr>
          <w:p w14:paraId="2930C56A" w14:textId="0F731BD7" w:rsidR="009A7A37" w:rsidRDefault="009A7A37" w:rsidP="009A7A37">
            <w:pPr>
              <w:jc w:val="right"/>
              <w:rPr>
                <w:color w:val="000000"/>
                <w:sz w:val="20"/>
                <w:szCs w:val="20"/>
              </w:rPr>
            </w:pPr>
            <w:r>
              <w:rPr>
                <w:color w:val="000000"/>
                <w:sz w:val="20"/>
                <w:szCs w:val="20"/>
              </w:rPr>
              <w:t>0.000</w:t>
            </w:r>
          </w:p>
        </w:tc>
      </w:tr>
      <w:tr w:rsidR="009A7A37" w14:paraId="63C199C9" w14:textId="77777777" w:rsidTr="00AF1024">
        <w:trPr>
          <w:trHeight w:val="340"/>
        </w:trPr>
        <w:tc>
          <w:tcPr>
            <w:tcW w:w="1176" w:type="dxa"/>
            <w:tcBorders>
              <w:top w:val="nil"/>
              <w:left w:val="nil"/>
              <w:bottom w:val="single" w:sz="12" w:space="0" w:color="auto"/>
              <w:right w:val="nil"/>
            </w:tcBorders>
            <w:shd w:val="clear" w:color="auto" w:fill="auto"/>
            <w:noWrap/>
            <w:vAlign w:val="bottom"/>
            <w:hideMark/>
          </w:tcPr>
          <w:p w14:paraId="074E9923" w14:textId="77777777" w:rsidR="009A7A37" w:rsidRDefault="009A7A37" w:rsidP="009A7A37">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6D557834" w14:textId="77777777" w:rsidR="009A7A37" w:rsidRDefault="009A7A37" w:rsidP="009A7A37">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02F14E58" w14:textId="682CBD37" w:rsidR="009A7A37" w:rsidRDefault="009A7A37" w:rsidP="009A7A37">
            <w:pPr>
              <w:jc w:val="right"/>
              <w:rPr>
                <w:color w:val="000000"/>
                <w:sz w:val="20"/>
                <w:szCs w:val="20"/>
              </w:rPr>
            </w:pPr>
            <w:r>
              <w:rPr>
                <w:color w:val="000000"/>
                <w:sz w:val="20"/>
                <w:szCs w:val="20"/>
              </w:rPr>
              <w:t>-0.024</w:t>
            </w:r>
          </w:p>
        </w:tc>
        <w:tc>
          <w:tcPr>
            <w:tcW w:w="768" w:type="dxa"/>
            <w:tcBorders>
              <w:top w:val="nil"/>
              <w:left w:val="nil"/>
              <w:bottom w:val="single" w:sz="12" w:space="0" w:color="auto"/>
              <w:right w:val="nil"/>
            </w:tcBorders>
            <w:shd w:val="clear" w:color="auto" w:fill="auto"/>
            <w:noWrap/>
            <w:vAlign w:val="bottom"/>
            <w:hideMark/>
          </w:tcPr>
          <w:p w14:paraId="7E57255C" w14:textId="69BAE085" w:rsidR="009A7A37" w:rsidRDefault="009A7A37" w:rsidP="009A7A37">
            <w:pPr>
              <w:jc w:val="right"/>
              <w:rPr>
                <w:color w:val="000000"/>
                <w:sz w:val="20"/>
                <w:szCs w:val="20"/>
              </w:rPr>
            </w:pPr>
            <w:r>
              <w:rPr>
                <w:color w:val="000000"/>
                <w:sz w:val="20"/>
                <w:szCs w:val="20"/>
              </w:rPr>
              <w:t>0.614</w:t>
            </w:r>
          </w:p>
        </w:tc>
        <w:tc>
          <w:tcPr>
            <w:tcW w:w="768" w:type="dxa"/>
            <w:tcBorders>
              <w:top w:val="nil"/>
              <w:left w:val="nil"/>
              <w:bottom w:val="single" w:sz="12" w:space="0" w:color="auto"/>
              <w:right w:val="nil"/>
            </w:tcBorders>
            <w:shd w:val="clear" w:color="auto" w:fill="auto"/>
            <w:noWrap/>
            <w:vAlign w:val="bottom"/>
            <w:hideMark/>
          </w:tcPr>
          <w:p w14:paraId="70413EBF" w14:textId="6F9CEE80"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2110DC4" w14:textId="4C34C397" w:rsidR="009A7A37" w:rsidRDefault="009A7A37" w:rsidP="009A7A37">
            <w:pPr>
              <w:jc w:val="right"/>
              <w:rPr>
                <w:color w:val="000000"/>
                <w:sz w:val="20"/>
                <w:szCs w:val="20"/>
              </w:rPr>
            </w:pPr>
            <w:r>
              <w:rPr>
                <w:color w:val="000000"/>
                <w:sz w:val="20"/>
                <w:szCs w:val="20"/>
              </w:rPr>
              <w:t>-0.020</w:t>
            </w:r>
          </w:p>
        </w:tc>
        <w:tc>
          <w:tcPr>
            <w:tcW w:w="768" w:type="dxa"/>
            <w:tcBorders>
              <w:top w:val="nil"/>
              <w:left w:val="nil"/>
              <w:bottom w:val="single" w:sz="12" w:space="0" w:color="auto"/>
              <w:right w:val="nil"/>
            </w:tcBorders>
            <w:shd w:val="clear" w:color="auto" w:fill="auto"/>
            <w:noWrap/>
            <w:vAlign w:val="bottom"/>
            <w:hideMark/>
          </w:tcPr>
          <w:p w14:paraId="3349CCBB" w14:textId="001AFBE5" w:rsidR="009A7A37" w:rsidRDefault="009A7A37" w:rsidP="009A7A37">
            <w:pPr>
              <w:jc w:val="right"/>
              <w:rPr>
                <w:color w:val="000000"/>
                <w:sz w:val="20"/>
                <w:szCs w:val="20"/>
              </w:rPr>
            </w:pPr>
            <w:r>
              <w:rPr>
                <w:color w:val="000000"/>
                <w:sz w:val="20"/>
                <w:szCs w:val="20"/>
              </w:rPr>
              <w:t>0.668</w:t>
            </w:r>
          </w:p>
        </w:tc>
        <w:tc>
          <w:tcPr>
            <w:tcW w:w="768" w:type="dxa"/>
            <w:tcBorders>
              <w:top w:val="nil"/>
              <w:left w:val="nil"/>
              <w:bottom w:val="single" w:sz="12" w:space="0" w:color="auto"/>
              <w:right w:val="nil"/>
            </w:tcBorders>
            <w:shd w:val="clear" w:color="auto" w:fill="auto"/>
            <w:noWrap/>
            <w:vAlign w:val="bottom"/>
            <w:hideMark/>
          </w:tcPr>
          <w:p w14:paraId="313FE213" w14:textId="39CFCA20"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AD0B8F5" w14:textId="0FE8C1F1" w:rsidR="009A7A37" w:rsidRDefault="009A7A37" w:rsidP="009A7A37">
            <w:pPr>
              <w:jc w:val="right"/>
              <w:rPr>
                <w:color w:val="000000"/>
                <w:sz w:val="20"/>
                <w:szCs w:val="20"/>
              </w:rPr>
            </w:pPr>
            <w:r>
              <w:rPr>
                <w:color w:val="000000"/>
                <w:sz w:val="20"/>
                <w:szCs w:val="20"/>
              </w:rPr>
              <w:t>0.033</w:t>
            </w:r>
          </w:p>
        </w:tc>
        <w:tc>
          <w:tcPr>
            <w:tcW w:w="768" w:type="dxa"/>
            <w:tcBorders>
              <w:top w:val="nil"/>
              <w:left w:val="nil"/>
              <w:bottom w:val="single" w:sz="12" w:space="0" w:color="auto"/>
              <w:right w:val="nil"/>
            </w:tcBorders>
            <w:shd w:val="clear" w:color="auto" w:fill="auto"/>
            <w:noWrap/>
            <w:vAlign w:val="bottom"/>
            <w:hideMark/>
          </w:tcPr>
          <w:p w14:paraId="345488D7" w14:textId="0FD83F87" w:rsidR="009A7A37" w:rsidRDefault="009A7A37" w:rsidP="009A7A37">
            <w:pPr>
              <w:jc w:val="right"/>
              <w:rPr>
                <w:color w:val="000000"/>
                <w:sz w:val="20"/>
                <w:szCs w:val="20"/>
              </w:rPr>
            </w:pPr>
            <w:r>
              <w:rPr>
                <w:color w:val="000000"/>
                <w:sz w:val="20"/>
                <w:szCs w:val="20"/>
              </w:rPr>
              <w:t>0.566</w:t>
            </w:r>
          </w:p>
        </w:tc>
        <w:tc>
          <w:tcPr>
            <w:tcW w:w="768" w:type="dxa"/>
            <w:tcBorders>
              <w:top w:val="nil"/>
              <w:left w:val="nil"/>
              <w:bottom w:val="single" w:sz="12" w:space="0" w:color="auto"/>
              <w:right w:val="nil"/>
            </w:tcBorders>
            <w:shd w:val="clear" w:color="auto" w:fill="auto"/>
            <w:noWrap/>
            <w:vAlign w:val="bottom"/>
            <w:hideMark/>
          </w:tcPr>
          <w:p w14:paraId="2A126112" w14:textId="709839EB" w:rsidR="009A7A37" w:rsidRDefault="009A7A37" w:rsidP="009A7A37">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E22B586" w14:textId="72E3A6BC" w:rsidR="009A7A37" w:rsidRDefault="009A7A37" w:rsidP="009A7A37">
            <w:pPr>
              <w:jc w:val="right"/>
              <w:rPr>
                <w:color w:val="000000"/>
                <w:sz w:val="20"/>
                <w:szCs w:val="20"/>
              </w:rPr>
            </w:pPr>
            <w:r>
              <w:rPr>
                <w:color w:val="000000"/>
                <w:sz w:val="20"/>
                <w:szCs w:val="20"/>
              </w:rPr>
              <w:t>-0.018</w:t>
            </w:r>
          </w:p>
        </w:tc>
        <w:tc>
          <w:tcPr>
            <w:tcW w:w="768" w:type="dxa"/>
            <w:tcBorders>
              <w:top w:val="nil"/>
              <w:left w:val="nil"/>
              <w:bottom w:val="single" w:sz="12" w:space="0" w:color="auto"/>
              <w:right w:val="nil"/>
            </w:tcBorders>
            <w:shd w:val="clear" w:color="auto" w:fill="auto"/>
            <w:noWrap/>
            <w:vAlign w:val="bottom"/>
            <w:hideMark/>
          </w:tcPr>
          <w:p w14:paraId="349AA22F" w14:textId="34A380F0" w:rsidR="009A7A37" w:rsidRDefault="009A7A37" w:rsidP="009A7A37">
            <w:pPr>
              <w:jc w:val="right"/>
              <w:rPr>
                <w:color w:val="000000"/>
                <w:sz w:val="20"/>
                <w:szCs w:val="20"/>
              </w:rPr>
            </w:pPr>
            <w:r>
              <w:rPr>
                <w:color w:val="000000"/>
                <w:sz w:val="20"/>
                <w:szCs w:val="20"/>
              </w:rPr>
              <w:t>0.630</w:t>
            </w:r>
          </w:p>
        </w:tc>
        <w:tc>
          <w:tcPr>
            <w:tcW w:w="768" w:type="dxa"/>
            <w:tcBorders>
              <w:top w:val="nil"/>
              <w:left w:val="nil"/>
              <w:bottom w:val="single" w:sz="12" w:space="0" w:color="auto"/>
              <w:right w:val="nil"/>
            </w:tcBorders>
            <w:shd w:val="clear" w:color="auto" w:fill="auto"/>
            <w:noWrap/>
            <w:vAlign w:val="bottom"/>
            <w:hideMark/>
          </w:tcPr>
          <w:p w14:paraId="2B4CAA03" w14:textId="41C10CF8" w:rsidR="009A7A37" w:rsidRDefault="009A7A37" w:rsidP="009A7A37">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3722ECC3" w14:textId="036463B1" w:rsidR="009A7A37" w:rsidRDefault="009A7A37" w:rsidP="009A7A37">
            <w:pPr>
              <w:jc w:val="right"/>
              <w:rPr>
                <w:color w:val="000000"/>
                <w:sz w:val="20"/>
                <w:szCs w:val="20"/>
              </w:rPr>
            </w:pPr>
            <w:r>
              <w:rPr>
                <w:color w:val="000000"/>
                <w:sz w:val="20"/>
                <w:szCs w:val="20"/>
              </w:rPr>
              <w:t>0.011</w:t>
            </w:r>
          </w:p>
        </w:tc>
        <w:tc>
          <w:tcPr>
            <w:tcW w:w="768" w:type="dxa"/>
            <w:tcBorders>
              <w:top w:val="nil"/>
              <w:left w:val="nil"/>
              <w:bottom w:val="single" w:sz="12" w:space="0" w:color="auto"/>
              <w:right w:val="nil"/>
            </w:tcBorders>
            <w:shd w:val="clear" w:color="auto" w:fill="auto"/>
            <w:noWrap/>
            <w:vAlign w:val="bottom"/>
            <w:hideMark/>
          </w:tcPr>
          <w:p w14:paraId="51E1CD1B" w14:textId="6BD2361B" w:rsidR="009A7A37" w:rsidRDefault="009A7A37" w:rsidP="009A7A37">
            <w:pPr>
              <w:jc w:val="right"/>
              <w:rPr>
                <w:color w:val="000000"/>
                <w:sz w:val="20"/>
                <w:szCs w:val="20"/>
              </w:rPr>
            </w:pPr>
            <w:r>
              <w:rPr>
                <w:color w:val="000000"/>
                <w:sz w:val="20"/>
                <w:szCs w:val="20"/>
              </w:rPr>
              <w:t>0.775</w:t>
            </w:r>
          </w:p>
        </w:tc>
        <w:tc>
          <w:tcPr>
            <w:tcW w:w="768" w:type="dxa"/>
            <w:tcBorders>
              <w:top w:val="nil"/>
              <w:left w:val="nil"/>
              <w:bottom w:val="single" w:sz="12" w:space="0" w:color="auto"/>
              <w:right w:val="nil"/>
            </w:tcBorders>
            <w:shd w:val="clear" w:color="auto" w:fill="auto"/>
            <w:noWrap/>
            <w:vAlign w:val="bottom"/>
            <w:hideMark/>
          </w:tcPr>
          <w:p w14:paraId="5E865D99" w14:textId="1830F209" w:rsidR="009A7A37" w:rsidRDefault="009A7A37" w:rsidP="009A7A37">
            <w:pPr>
              <w:jc w:val="right"/>
              <w:rPr>
                <w:color w:val="000000"/>
                <w:sz w:val="20"/>
                <w:szCs w:val="20"/>
              </w:rPr>
            </w:pPr>
            <w:r>
              <w:rPr>
                <w:color w:val="000000"/>
                <w:sz w:val="20"/>
                <w:szCs w:val="20"/>
              </w:rPr>
              <w:t>0.000</w:t>
            </w:r>
          </w:p>
        </w:tc>
      </w:tr>
    </w:tbl>
    <w:p w14:paraId="73CF664D" w14:textId="3710970E" w:rsidR="007C047B" w:rsidRDefault="007C047B" w:rsidP="00BA3AF4">
      <w:pPr>
        <w:spacing w:line="480" w:lineRule="auto"/>
      </w:pPr>
    </w:p>
    <w:p w14:paraId="7BAAB1A5" w14:textId="0D8A9A58" w:rsidR="00A33B44" w:rsidRPr="009E2A20" w:rsidRDefault="007C047B" w:rsidP="00A33B44">
      <w:pPr>
        <w:pStyle w:val="Heading1"/>
        <w:rPr>
          <w:rFonts w:ascii="Times New Roman" w:hAnsi="Times New Roman" w:cs="Times New Roman"/>
          <w:color w:val="000000" w:themeColor="text1"/>
          <w:sz w:val="24"/>
          <w:szCs w:val="24"/>
        </w:rPr>
      </w:pPr>
      <w:r>
        <w:br w:type="page"/>
      </w:r>
      <w:bookmarkStart w:id="42" w:name="_Toc155817709"/>
      <w:r w:rsidR="00A33B44">
        <w:rPr>
          <w:rFonts w:ascii="Times New Roman" w:hAnsi="Times New Roman" w:cs="Times New Roman"/>
          <w:b/>
          <w:bCs/>
          <w:color w:val="000000" w:themeColor="text1"/>
          <w:sz w:val="24"/>
          <w:szCs w:val="24"/>
        </w:rPr>
        <w:lastRenderedPageBreak/>
        <w:t>Table 16</w:t>
      </w:r>
      <w:r w:rsidR="00A33B44" w:rsidRPr="009E2A20">
        <w:rPr>
          <w:rFonts w:ascii="Times New Roman" w:hAnsi="Times New Roman" w:cs="Times New Roman"/>
          <w:b/>
          <w:bCs/>
          <w:color w:val="000000" w:themeColor="text1"/>
          <w:sz w:val="24"/>
          <w:szCs w:val="24"/>
        </w:rPr>
        <w:t xml:space="preserve">a. </w:t>
      </w:r>
      <w:r w:rsidR="00A33B44" w:rsidRPr="009E2A20">
        <w:rPr>
          <w:rFonts w:ascii="Times New Roman" w:hAnsi="Times New Roman" w:cs="Times New Roman"/>
          <w:color w:val="000000" w:themeColor="text1"/>
          <w:sz w:val="24"/>
          <w:szCs w:val="24"/>
        </w:rPr>
        <w:t>Results examining the relationship between environmental stress factors obtained from bifactor modeling and Shen-268 network small world omega during the stop signal task</w:t>
      </w:r>
      <w:bookmarkEnd w:id="42"/>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A33B44" w14:paraId="21C617BB"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5E6E0917" w14:textId="77777777" w:rsidR="00A33B44" w:rsidRDefault="00A33B44"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3E5FA4D3" w14:textId="77777777" w:rsidR="00A33B44" w:rsidRDefault="00A33B44"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76431AF3" w14:textId="77777777" w:rsidR="00A33B44" w:rsidRDefault="00A33B44"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076DD67D"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BCA36C7"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7A44111"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360FBAC"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AA3CECD"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94155BA"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A82B6D0"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3ABEECD"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5F512E1"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5E20480"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AD37644"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D6D11C1"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C4EE71C"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A0520BF" w14:textId="77777777" w:rsidR="00A33B44" w:rsidRDefault="00A33B44" w:rsidP="005A3B4D">
            <w:pPr>
              <w:rPr>
                <w:sz w:val="20"/>
                <w:szCs w:val="20"/>
              </w:rPr>
            </w:pPr>
          </w:p>
        </w:tc>
      </w:tr>
      <w:tr w:rsidR="00A33B44" w14:paraId="34D19DF2" w14:textId="77777777" w:rsidTr="005A3B4D">
        <w:trPr>
          <w:trHeight w:val="340"/>
        </w:trPr>
        <w:tc>
          <w:tcPr>
            <w:tcW w:w="1176" w:type="dxa"/>
            <w:tcBorders>
              <w:top w:val="single" w:sz="12" w:space="0" w:color="auto"/>
              <w:left w:val="nil"/>
              <w:right w:val="nil"/>
            </w:tcBorders>
            <w:shd w:val="clear" w:color="auto" w:fill="auto"/>
            <w:noWrap/>
            <w:vAlign w:val="bottom"/>
            <w:hideMark/>
          </w:tcPr>
          <w:p w14:paraId="47891A54" w14:textId="77777777" w:rsidR="00A33B44" w:rsidRDefault="00A33B44"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71C3E799" w14:textId="77777777" w:rsidR="00A33B44" w:rsidRDefault="00A33B44"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0398C5AE" w14:textId="77777777" w:rsidR="00A33B44" w:rsidRDefault="00A33B44"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6E469AC" w14:textId="77777777" w:rsidR="00A33B44" w:rsidRDefault="00A33B44"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3B6AD92" w14:textId="77777777" w:rsidR="00A33B44" w:rsidRDefault="00A33B44"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22D9BD3" w14:textId="77777777" w:rsidR="00A33B44" w:rsidRDefault="00A33B44"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4ABFA2B4" w14:textId="77777777" w:rsidR="00A33B44" w:rsidRDefault="00A33B44" w:rsidP="005A3B4D">
            <w:pPr>
              <w:jc w:val="center"/>
              <w:rPr>
                <w:color w:val="000000"/>
                <w:sz w:val="20"/>
                <w:szCs w:val="20"/>
              </w:rPr>
            </w:pPr>
            <w:r>
              <w:rPr>
                <w:color w:val="000000"/>
                <w:sz w:val="20"/>
                <w:szCs w:val="20"/>
              </w:rPr>
              <w:t>Urbanicity</w:t>
            </w:r>
          </w:p>
        </w:tc>
      </w:tr>
      <w:tr w:rsidR="00A33B44" w14:paraId="75CF1AC0" w14:textId="77777777" w:rsidTr="005A3B4D">
        <w:trPr>
          <w:trHeight w:val="360"/>
        </w:trPr>
        <w:tc>
          <w:tcPr>
            <w:tcW w:w="1176" w:type="dxa"/>
            <w:tcBorders>
              <w:left w:val="nil"/>
              <w:bottom w:val="single" w:sz="12" w:space="0" w:color="auto"/>
              <w:right w:val="nil"/>
            </w:tcBorders>
            <w:shd w:val="clear" w:color="auto" w:fill="auto"/>
            <w:noWrap/>
            <w:vAlign w:val="bottom"/>
            <w:hideMark/>
          </w:tcPr>
          <w:p w14:paraId="68A51C7C" w14:textId="77777777" w:rsidR="00A33B44" w:rsidRDefault="00A33B44" w:rsidP="005A3B4D">
            <w:pPr>
              <w:rPr>
                <w:color w:val="000000"/>
                <w:sz w:val="20"/>
                <w:szCs w:val="20"/>
              </w:rPr>
            </w:pPr>
            <w:r>
              <w:rPr>
                <w:color w:val="000000"/>
                <w:sz w:val="20"/>
                <w:szCs w:val="20"/>
              </w:rPr>
              <w:t> </w:t>
            </w:r>
          </w:p>
        </w:tc>
        <w:tc>
          <w:tcPr>
            <w:tcW w:w="1705" w:type="dxa"/>
            <w:vMerge/>
            <w:tcBorders>
              <w:top w:val="single" w:sz="12" w:space="0" w:color="auto"/>
              <w:left w:val="nil"/>
              <w:bottom w:val="single" w:sz="12" w:space="0" w:color="auto"/>
              <w:right w:val="nil"/>
            </w:tcBorders>
            <w:vAlign w:val="center"/>
            <w:hideMark/>
          </w:tcPr>
          <w:p w14:paraId="2142BD81" w14:textId="77777777" w:rsidR="00A33B44" w:rsidRDefault="00A33B44"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186CCC64"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0E9D998"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64D57B6"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02AC380"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39ACBEF"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48E5FC7"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4FD0180"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92F6BC8"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B46C129"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46CEBC8"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19E1FBD"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A346576"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7252481"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6F62B07"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CDD6DEF"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A33B44" w14:paraId="0C6D632A"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2542290B" w14:textId="77777777" w:rsidR="00A33B44" w:rsidRDefault="00A33B44"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762D570C" w14:textId="77777777" w:rsidR="00A33B44" w:rsidRDefault="00A33B44"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44714F36" w14:textId="77777777" w:rsidR="00A33B44" w:rsidRDefault="00A33B44" w:rsidP="005A3B4D">
            <w:pPr>
              <w:jc w:val="right"/>
              <w:rPr>
                <w:color w:val="000000"/>
                <w:sz w:val="20"/>
                <w:szCs w:val="20"/>
              </w:rPr>
            </w:pPr>
            <w:r>
              <w:rPr>
                <w:color w:val="000000"/>
                <w:sz w:val="20"/>
                <w:szCs w:val="20"/>
              </w:rPr>
              <w:t>-0.029</w:t>
            </w:r>
          </w:p>
        </w:tc>
        <w:tc>
          <w:tcPr>
            <w:tcW w:w="768" w:type="dxa"/>
            <w:tcBorders>
              <w:top w:val="single" w:sz="12" w:space="0" w:color="auto"/>
              <w:left w:val="nil"/>
              <w:bottom w:val="nil"/>
              <w:right w:val="nil"/>
            </w:tcBorders>
            <w:shd w:val="clear" w:color="auto" w:fill="auto"/>
            <w:noWrap/>
            <w:vAlign w:val="bottom"/>
            <w:hideMark/>
          </w:tcPr>
          <w:p w14:paraId="49F89B2A" w14:textId="77777777" w:rsidR="00A33B44" w:rsidRDefault="00A33B44" w:rsidP="005A3B4D">
            <w:pPr>
              <w:jc w:val="right"/>
              <w:rPr>
                <w:color w:val="000000"/>
                <w:sz w:val="20"/>
                <w:szCs w:val="20"/>
              </w:rPr>
            </w:pPr>
            <w:r>
              <w:rPr>
                <w:color w:val="000000"/>
                <w:sz w:val="20"/>
                <w:szCs w:val="20"/>
              </w:rPr>
              <w:t>0.756</w:t>
            </w:r>
          </w:p>
        </w:tc>
        <w:tc>
          <w:tcPr>
            <w:tcW w:w="768" w:type="dxa"/>
            <w:tcBorders>
              <w:top w:val="single" w:sz="12" w:space="0" w:color="auto"/>
              <w:left w:val="nil"/>
              <w:bottom w:val="nil"/>
              <w:right w:val="nil"/>
            </w:tcBorders>
            <w:shd w:val="clear" w:color="auto" w:fill="auto"/>
            <w:noWrap/>
            <w:vAlign w:val="bottom"/>
            <w:hideMark/>
          </w:tcPr>
          <w:p w14:paraId="61657E36" w14:textId="77777777" w:rsidR="00A33B44" w:rsidRDefault="00A33B44"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0DA7C34C" w14:textId="77777777" w:rsidR="00A33B44" w:rsidRDefault="00A33B44" w:rsidP="005A3B4D">
            <w:pPr>
              <w:jc w:val="right"/>
              <w:rPr>
                <w:color w:val="000000"/>
                <w:sz w:val="20"/>
                <w:szCs w:val="20"/>
              </w:rPr>
            </w:pPr>
            <w:r>
              <w:rPr>
                <w:color w:val="000000"/>
                <w:sz w:val="20"/>
                <w:szCs w:val="20"/>
              </w:rPr>
              <w:t>-0.033</w:t>
            </w:r>
          </w:p>
        </w:tc>
        <w:tc>
          <w:tcPr>
            <w:tcW w:w="768" w:type="dxa"/>
            <w:tcBorders>
              <w:top w:val="single" w:sz="12" w:space="0" w:color="auto"/>
              <w:left w:val="nil"/>
              <w:bottom w:val="nil"/>
              <w:right w:val="nil"/>
            </w:tcBorders>
            <w:shd w:val="clear" w:color="auto" w:fill="auto"/>
            <w:noWrap/>
            <w:vAlign w:val="bottom"/>
            <w:hideMark/>
          </w:tcPr>
          <w:p w14:paraId="77FC00BD" w14:textId="77777777" w:rsidR="00A33B44" w:rsidRDefault="00A33B44" w:rsidP="005A3B4D">
            <w:pPr>
              <w:jc w:val="right"/>
              <w:rPr>
                <w:color w:val="000000"/>
                <w:sz w:val="20"/>
                <w:szCs w:val="20"/>
              </w:rPr>
            </w:pPr>
            <w:r>
              <w:rPr>
                <w:color w:val="000000"/>
                <w:sz w:val="20"/>
                <w:szCs w:val="20"/>
              </w:rPr>
              <w:t>0.888</w:t>
            </w:r>
          </w:p>
        </w:tc>
        <w:tc>
          <w:tcPr>
            <w:tcW w:w="768" w:type="dxa"/>
            <w:tcBorders>
              <w:top w:val="single" w:sz="12" w:space="0" w:color="auto"/>
              <w:left w:val="nil"/>
              <w:bottom w:val="nil"/>
              <w:right w:val="nil"/>
            </w:tcBorders>
            <w:shd w:val="clear" w:color="auto" w:fill="auto"/>
            <w:noWrap/>
            <w:vAlign w:val="bottom"/>
            <w:hideMark/>
          </w:tcPr>
          <w:p w14:paraId="19B55377" w14:textId="77777777" w:rsidR="00A33B44" w:rsidRDefault="00A33B44"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5C4FB8FF" w14:textId="77777777" w:rsidR="00A33B44" w:rsidRDefault="00A33B44" w:rsidP="005A3B4D">
            <w:pPr>
              <w:jc w:val="right"/>
              <w:rPr>
                <w:color w:val="000000"/>
                <w:sz w:val="20"/>
                <w:szCs w:val="20"/>
              </w:rPr>
            </w:pPr>
            <w:r>
              <w:rPr>
                <w:color w:val="000000"/>
                <w:sz w:val="20"/>
                <w:szCs w:val="20"/>
              </w:rPr>
              <w:t>-0.035</w:t>
            </w:r>
          </w:p>
        </w:tc>
        <w:tc>
          <w:tcPr>
            <w:tcW w:w="768" w:type="dxa"/>
            <w:tcBorders>
              <w:top w:val="single" w:sz="12" w:space="0" w:color="auto"/>
              <w:left w:val="nil"/>
              <w:bottom w:val="nil"/>
              <w:right w:val="nil"/>
            </w:tcBorders>
            <w:shd w:val="clear" w:color="auto" w:fill="auto"/>
            <w:noWrap/>
            <w:vAlign w:val="bottom"/>
            <w:hideMark/>
          </w:tcPr>
          <w:p w14:paraId="7978F463" w14:textId="77777777" w:rsidR="00A33B44" w:rsidRDefault="00A33B44" w:rsidP="005A3B4D">
            <w:pPr>
              <w:jc w:val="right"/>
              <w:rPr>
                <w:color w:val="000000"/>
                <w:sz w:val="20"/>
                <w:szCs w:val="20"/>
              </w:rPr>
            </w:pPr>
            <w:r>
              <w:rPr>
                <w:color w:val="000000"/>
                <w:sz w:val="20"/>
                <w:szCs w:val="20"/>
              </w:rPr>
              <w:t>0.678</w:t>
            </w:r>
          </w:p>
        </w:tc>
        <w:tc>
          <w:tcPr>
            <w:tcW w:w="768" w:type="dxa"/>
            <w:tcBorders>
              <w:top w:val="single" w:sz="12" w:space="0" w:color="auto"/>
              <w:left w:val="nil"/>
              <w:bottom w:val="nil"/>
              <w:right w:val="nil"/>
            </w:tcBorders>
            <w:shd w:val="clear" w:color="auto" w:fill="auto"/>
            <w:noWrap/>
            <w:vAlign w:val="bottom"/>
            <w:hideMark/>
          </w:tcPr>
          <w:p w14:paraId="30446D6E" w14:textId="77777777" w:rsidR="00A33B44" w:rsidRDefault="00A33B44"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4C26EB5A" w14:textId="77777777" w:rsidR="00A33B44" w:rsidRDefault="00A33B44" w:rsidP="005A3B4D">
            <w:pPr>
              <w:jc w:val="right"/>
              <w:rPr>
                <w:color w:val="000000"/>
                <w:sz w:val="20"/>
                <w:szCs w:val="20"/>
              </w:rPr>
            </w:pPr>
            <w:r>
              <w:rPr>
                <w:color w:val="000000"/>
                <w:sz w:val="20"/>
                <w:szCs w:val="20"/>
              </w:rPr>
              <w:t>-0.065</w:t>
            </w:r>
          </w:p>
        </w:tc>
        <w:tc>
          <w:tcPr>
            <w:tcW w:w="768" w:type="dxa"/>
            <w:tcBorders>
              <w:top w:val="single" w:sz="12" w:space="0" w:color="auto"/>
              <w:left w:val="nil"/>
              <w:bottom w:val="nil"/>
              <w:right w:val="nil"/>
            </w:tcBorders>
            <w:shd w:val="clear" w:color="auto" w:fill="auto"/>
            <w:noWrap/>
            <w:vAlign w:val="bottom"/>
            <w:hideMark/>
          </w:tcPr>
          <w:p w14:paraId="0C1FC619" w14:textId="77777777" w:rsidR="00A33B44" w:rsidRDefault="00A33B44" w:rsidP="005A3B4D">
            <w:pPr>
              <w:jc w:val="right"/>
              <w:rPr>
                <w:color w:val="000000"/>
                <w:sz w:val="20"/>
                <w:szCs w:val="20"/>
              </w:rPr>
            </w:pPr>
            <w:r>
              <w:rPr>
                <w:color w:val="000000"/>
                <w:sz w:val="20"/>
                <w:szCs w:val="20"/>
              </w:rPr>
              <w:t>0.432</w:t>
            </w:r>
          </w:p>
        </w:tc>
        <w:tc>
          <w:tcPr>
            <w:tcW w:w="768" w:type="dxa"/>
            <w:tcBorders>
              <w:top w:val="single" w:sz="12" w:space="0" w:color="auto"/>
              <w:left w:val="nil"/>
              <w:bottom w:val="nil"/>
              <w:right w:val="nil"/>
            </w:tcBorders>
            <w:shd w:val="clear" w:color="auto" w:fill="auto"/>
            <w:noWrap/>
            <w:vAlign w:val="bottom"/>
            <w:hideMark/>
          </w:tcPr>
          <w:p w14:paraId="39FF5DDC" w14:textId="77777777" w:rsidR="00A33B44" w:rsidRDefault="00A33B44" w:rsidP="005A3B4D">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14C0A448" w14:textId="77777777" w:rsidR="00A33B44" w:rsidRDefault="00A33B44" w:rsidP="005A3B4D">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3D6B0C16" w14:textId="77777777" w:rsidR="00A33B44" w:rsidRDefault="00A33B44" w:rsidP="005A3B4D">
            <w:pPr>
              <w:jc w:val="right"/>
              <w:rPr>
                <w:color w:val="000000"/>
                <w:sz w:val="20"/>
                <w:szCs w:val="20"/>
              </w:rPr>
            </w:pPr>
            <w:r>
              <w:rPr>
                <w:color w:val="000000"/>
                <w:sz w:val="20"/>
                <w:szCs w:val="20"/>
              </w:rPr>
              <w:t>0.897</w:t>
            </w:r>
          </w:p>
        </w:tc>
        <w:tc>
          <w:tcPr>
            <w:tcW w:w="768" w:type="dxa"/>
            <w:tcBorders>
              <w:top w:val="single" w:sz="12" w:space="0" w:color="auto"/>
              <w:left w:val="nil"/>
              <w:bottom w:val="nil"/>
              <w:right w:val="nil"/>
            </w:tcBorders>
            <w:shd w:val="clear" w:color="auto" w:fill="auto"/>
            <w:noWrap/>
            <w:vAlign w:val="bottom"/>
            <w:hideMark/>
          </w:tcPr>
          <w:p w14:paraId="4EBB8F18" w14:textId="77777777" w:rsidR="00A33B44" w:rsidRDefault="00A33B44" w:rsidP="005A3B4D">
            <w:pPr>
              <w:jc w:val="right"/>
              <w:rPr>
                <w:color w:val="000000"/>
                <w:sz w:val="20"/>
                <w:szCs w:val="20"/>
              </w:rPr>
            </w:pPr>
            <w:r>
              <w:rPr>
                <w:color w:val="000000"/>
                <w:sz w:val="20"/>
                <w:szCs w:val="20"/>
              </w:rPr>
              <w:t>0.000</w:t>
            </w:r>
          </w:p>
        </w:tc>
      </w:tr>
      <w:tr w:rsidR="00A33B44" w14:paraId="286E0C11" w14:textId="77777777" w:rsidTr="005A3B4D">
        <w:trPr>
          <w:trHeight w:val="340"/>
        </w:trPr>
        <w:tc>
          <w:tcPr>
            <w:tcW w:w="1176" w:type="dxa"/>
            <w:tcBorders>
              <w:top w:val="nil"/>
              <w:left w:val="nil"/>
              <w:bottom w:val="nil"/>
              <w:right w:val="nil"/>
            </w:tcBorders>
            <w:shd w:val="clear" w:color="auto" w:fill="auto"/>
            <w:noWrap/>
            <w:vAlign w:val="bottom"/>
            <w:hideMark/>
          </w:tcPr>
          <w:p w14:paraId="5B81F4C2"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397A0A7" w14:textId="77777777" w:rsidR="00A33B44" w:rsidRDefault="00A33B44"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AFAE8E8" w14:textId="77777777" w:rsidR="00A33B44" w:rsidRDefault="00A33B44"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6C5D5A3" w14:textId="77777777" w:rsidR="00A33B44" w:rsidRDefault="00A33B44" w:rsidP="005A3B4D">
            <w:pPr>
              <w:jc w:val="right"/>
              <w:rPr>
                <w:color w:val="000000"/>
                <w:sz w:val="20"/>
                <w:szCs w:val="20"/>
              </w:rPr>
            </w:pPr>
            <w:r>
              <w:rPr>
                <w:color w:val="000000"/>
                <w:sz w:val="20"/>
                <w:szCs w:val="20"/>
              </w:rPr>
              <w:t>0.756</w:t>
            </w:r>
          </w:p>
        </w:tc>
        <w:tc>
          <w:tcPr>
            <w:tcW w:w="768" w:type="dxa"/>
            <w:tcBorders>
              <w:top w:val="nil"/>
              <w:left w:val="nil"/>
              <w:bottom w:val="nil"/>
              <w:right w:val="nil"/>
            </w:tcBorders>
            <w:shd w:val="clear" w:color="auto" w:fill="auto"/>
            <w:noWrap/>
            <w:vAlign w:val="bottom"/>
            <w:hideMark/>
          </w:tcPr>
          <w:p w14:paraId="7EA1A162"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9B91E45" w14:textId="77777777" w:rsidR="00A33B44" w:rsidRDefault="00A33B44"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DCB05AB" w14:textId="77777777" w:rsidR="00A33B44" w:rsidRDefault="00A33B44" w:rsidP="005A3B4D">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20A571B3"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607AE2E" w14:textId="77777777" w:rsidR="00A33B44" w:rsidRDefault="00A33B44"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FB1DF7E" w14:textId="77777777" w:rsidR="00A33B44" w:rsidRDefault="00A33B44" w:rsidP="005A3B4D">
            <w:pPr>
              <w:jc w:val="right"/>
              <w:rPr>
                <w:color w:val="000000"/>
                <w:sz w:val="20"/>
                <w:szCs w:val="20"/>
              </w:rPr>
            </w:pPr>
            <w:r>
              <w:rPr>
                <w:color w:val="000000"/>
                <w:sz w:val="20"/>
                <w:szCs w:val="20"/>
              </w:rPr>
              <w:t>0.678</w:t>
            </w:r>
          </w:p>
        </w:tc>
        <w:tc>
          <w:tcPr>
            <w:tcW w:w="768" w:type="dxa"/>
            <w:tcBorders>
              <w:top w:val="nil"/>
              <w:left w:val="nil"/>
              <w:bottom w:val="nil"/>
              <w:right w:val="nil"/>
            </w:tcBorders>
            <w:shd w:val="clear" w:color="auto" w:fill="auto"/>
            <w:noWrap/>
            <w:vAlign w:val="bottom"/>
            <w:hideMark/>
          </w:tcPr>
          <w:p w14:paraId="15D7DB3D"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5026D62"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92B0140"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21DBB404"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95C709" w14:textId="77777777" w:rsidR="00A33B44" w:rsidRDefault="00A33B44" w:rsidP="005A3B4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010165FC" w14:textId="77777777" w:rsidR="00A33B44" w:rsidRDefault="00A33B44" w:rsidP="005A3B4D">
            <w:pPr>
              <w:jc w:val="right"/>
              <w:rPr>
                <w:color w:val="000000"/>
                <w:sz w:val="20"/>
                <w:szCs w:val="20"/>
              </w:rPr>
            </w:pPr>
            <w:r>
              <w:rPr>
                <w:color w:val="000000"/>
                <w:sz w:val="20"/>
                <w:szCs w:val="20"/>
              </w:rPr>
              <w:t>0.540</w:t>
            </w:r>
          </w:p>
        </w:tc>
        <w:tc>
          <w:tcPr>
            <w:tcW w:w="768" w:type="dxa"/>
            <w:tcBorders>
              <w:top w:val="nil"/>
              <w:left w:val="nil"/>
              <w:bottom w:val="nil"/>
              <w:right w:val="nil"/>
            </w:tcBorders>
            <w:shd w:val="clear" w:color="auto" w:fill="auto"/>
            <w:noWrap/>
            <w:vAlign w:val="bottom"/>
            <w:hideMark/>
          </w:tcPr>
          <w:p w14:paraId="2DB2337D" w14:textId="77777777" w:rsidR="00A33B44" w:rsidRDefault="00A33B44" w:rsidP="005A3B4D">
            <w:pPr>
              <w:jc w:val="right"/>
              <w:rPr>
                <w:color w:val="000000"/>
                <w:sz w:val="20"/>
                <w:szCs w:val="20"/>
              </w:rPr>
            </w:pPr>
            <w:r>
              <w:rPr>
                <w:color w:val="000000"/>
                <w:sz w:val="20"/>
                <w:szCs w:val="20"/>
              </w:rPr>
              <w:t>0.005</w:t>
            </w:r>
          </w:p>
        </w:tc>
      </w:tr>
      <w:tr w:rsidR="00A33B44" w14:paraId="5C4FD7EF" w14:textId="77777777" w:rsidTr="005A3B4D">
        <w:trPr>
          <w:trHeight w:val="320"/>
        </w:trPr>
        <w:tc>
          <w:tcPr>
            <w:tcW w:w="1176" w:type="dxa"/>
            <w:tcBorders>
              <w:top w:val="nil"/>
              <w:left w:val="nil"/>
              <w:bottom w:val="nil"/>
              <w:right w:val="nil"/>
            </w:tcBorders>
            <w:shd w:val="clear" w:color="auto" w:fill="auto"/>
            <w:noWrap/>
            <w:vAlign w:val="bottom"/>
            <w:hideMark/>
          </w:tcPr>
          <w:p w14:paraId="20D1BC5C"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933DEE4" w14:textId="77777777" w:rsidR="00A33B44" w:rsidRDefault="00A33B44"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5FA9B45" w14:textId="77777777" w:rsidR="00A33B44" w:rsidRDefault="00A33B44"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3A237E5F"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7EB3CBA3"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2983735" w14:textId="77777777" w:rsidR="00A33B44" w:rsidRDefault="00A33B44" w:rsidP="005A3B4D">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348AC3FF"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4A8DDC03" w14:textId="77777777" w:rsidR="00A33B44" w:rsidRDefault="00A33B44"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F3E38C8" w14:textId="77777777" w:rsidR="00A33B44" w:rsidRDefault="00A33B44"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51151464" w14:textId="77777777" w:rsidR="00A33B44" w:rsidRDefault="00A33B44" w:rsidP="005A3B4D">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30BC21F6"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C6FA7D8"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286DC44"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2ABCEB88"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A4772E" w14:textId="77777777" w:rsidR="00A33B44" w:rsidRDefault="00A33B44"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C7CF115"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20399683" w14:textId="77777777" w:rsidR="00A33B44" w:rsidRDefault="00A33B44" w:rsidP="005A3B4D">
            <w:pPr>
              <w:jc w:val="right"/>
              <w:rPr>
                <w:color w:val="000000"/>
                <w:sz w:val="20"/>
                <w:szCs w:val="20"/>
              </w:rPr>
            </w:pPr>
            <w:r>
              <w:rPr>
                <w:color w:val="000000"/>
                <w:sz w:val="20"/>
                <w:szCs w:val="20"/>
              </w:rPr>
              <w:t>0.000</w:t>
            </w:r>
          </w:p>
        </w:tc>
      </w:tr>
      <w:tr w:rsidR="00A33B44" w14:paraId="6F800DE7" w14:textId="77777777" w:rsidTr="005A3B4D">
        <w:trPr>
          <w:trHeight w:val="320"/>
        </w:trPr>
        <w:tc>
          <w:tcPr>
            <w:tcW w:w="1176" w:type="dxa"/>
            <w:tcBorders>
              <w:top w:val="nil"/>
              <w:left w:val="nil"/>
              <w:bottom w:val="nil"/>
              <w:right w:val="nil"/>
            </w:tcBorders>
            <w:shd w:val="clear" w:color="auto" w:fill="auto"/>
            <w:noWrap/>
            <w:vAlign w:val="bottom"/>
            <w:hideMark/>
          </w:tcPr>
          <w:p w14:paraId="7E1BDC70"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DE4B51E" w14:textId="77777777" w:rsidR="00A33B44" w:rsidRDefault="00A33B44"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A050044" w14:textId="77777777" w:rsidR="00A33B44" w:rsidRDefault="00A33B44"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4CE7E54D" w14:textId="77777777" w:rsidR="00A33B44" w:rsidRDefault="00A33B44" w:rsidP="005A3B4D">
            <w:pPr>
              <w:jc w:val="right"/>
              <w:rPr>
                <w:color w:val="000000"/>
                <w:sz w:val="20"/>
                <w:szCs w:val="20"/>
              </w:rPr>
            </w:pPr>
            <w:r>
              <w:rPr>
                <w:color w:val="000000"/>
                <w:sz w:val="20"/>
                <w:szCs w:val="20"/>
              </w:rPr>
              <w:t>0.756</w:t>
            </w:r>
          </w:p>
        </w:tc>
        <w:tc>
          <w:tcPr>
            <w:tcW w:w="768" w:type="dxa"/>
            <w:tcBorders>
              <w:top w:val="nil"/>
              <w:left w:val="nil"/>
              <w:bottom w:val="nil"/>
              <w:right w:val="nil"/>
            </w:tcBorders>
            <w:shd w:val="clear" w:color="auto" w:fill="auto"/>
            <w:noWrap/>
            <w:vAlign w:val="bottom"/>
            <w:hideMark/>
          </w:tcPr>
          <w:p w14:paraId="7754A871"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5CEDF5B" w14:textId="77777777" w:rsidR="00A33B44" w:rsidRDefault="00A33B44" w:rsidP="005A3B4D">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6C5B538A" w14:textId="77777777" w:rsidR="00A33B44" w:rsidRDefault="00A33B44" w:rsidP="005A3B4D">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06A0B8CB"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EDDE756" w14:textId="77777777" w:rsidR="00A33B44" w:rsidRDefault="00A33B44" w:rsidP="005A3B4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0200B2CD" w14:textId="77777777" w:rsidR="00A33B44" w:rsidRDefault="00A33B44" w:rsidP="005A3B4D">
            <w:pPr>
              <w:jc w:val="right"/>
              <w:rPr>
                <w:color w:val="000000"/>
                <w:sz w:val="20"/>
                <w:szCs w:val="20"/>
              </w:rPr>
            </w:pPr>
            <w:r>
              <w:rPr>
                <w:color w:val="000000"/>
                <w:sz w:val="20"/>
                <w:szCs w:val="20"/>
              </w:rPr>
              <w:t>0.496</w:t>
            </w:r>
          </w:p>
        </w:tc>
        <w:tc>
          <w:tcPr>
            <w:tcW w:w="768" w:type="dxa"/>
            <w:tcBorders>
              <w:top w:val="nil"/>
              <w:left w:val="nil"/>
              <w:bottom w:val="nil"/>
              <w:right w:val="nil"/>
            </w:tcBorders>
            <w:shd w:val="clear" w:color="auto" w:fill="auto"/>
            <w:noWrap/>
            <w:vAlign w:val="bottom"/>
            <w:hideMark/>
          </w:tcPr>
          <w:p w14:paraId="6FD80CCE" w14:textId="77777777" w:rsidR="00A33B44" w:rsidRDefault="00A33B44"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E702CBB" w14:textId="77777777" w:rsidR="00A33B44" w:rsidRDefault="00A33B44" w:rsidP="005A3B4D">
            <w:pPr>
              <w:jc w:val="right"/>
              <w:rPr>
                <w:color w:val="000000"/>
                <w:sz w:val="20"/>
                <w:szCs w:val="20"/>
              </w:rPr>
            </w:pPr>
            <w:r>
              <w:rPr>
                <w:color w:val="000000"/>
                <w:sz w:val="20"/>
                <w:szCs w:val="20"/>
              </w:rPr>
              <w:t>0.178</w:t>
            </w:r>
          </w:p>
        </w:tc>
        <w:tc>
          <w:tcPr>
            <w:tcW w:w="768" w:type="dxa"/>
            <w:tcBorders>
              <w:top w:val="nil"/>
              <w:left w:val="nil"/>
              <w:bottom w:val="nil"/>
              <w:right w:val="nil"/>
            </w:tcBorders>
            <w:shd w:val="clear" w:color="auto" w:fill="auto"/>
            <w:noWrap/>
            <w:vAlign w:val="bottom"/>
            <w:hideMark/>
          </w:tcPr>
          <w:p w14:paraId="4070D016" w14:textId="77777777" w:rsidR="00A33B44" w:rsidRDefault="00A33B44" w:rsidP="005A3B4D">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42EBA0C7" w14:textId="77777777" w:rsidR="00A33B44" w:rsidRDefault="00A33B44"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483C264" w14:textId="77777777" w:rsidR="00A33B44" w:rsidRDefault="00A33B44" w:rsidP="005A3B4D">
            <w:pPr>
              <w:jc w:val="right"/>
              <w:rPr>
                <w:color w:val="000000"/>
                <w:sz w:val="20"/>
                <w:szCs w:val="20"/>
              </w:rPr>
            </w:pPr>
            <w:r>
              <w:rPr>
                <w:color w:val="000000"/>
                <w:sz w:val="20"/>
                <w:szCs w:val="20"/>
              </w:rPr>
              <w:t>-0.107</w:t>
            </w:r>
          </w:p>
        </w:tc>
        <w:tc>
          <w:tcPr>
            <w:tcW w:w="768" w:type="dxa"/>
            <w:tcBorders>
              <w:top w:val="nil"/>
              <w:left w:val="nil"/>
              <w:bottom w:val="nil"/>
              <w:right w:val="nil"/>
            </w:tcBorders>
            <w:shd w:val="clear" w:color="auto" w:fill="auto"/>
            <w:noWrap/>
            <w:vAlign w:val="bottom"/>
            <w:hideMark/>
          </w:tcPr>
          <w:p w14:paraId="2DC556D6" w14:textId="77777777" w:rsidR="00A33B44" w:rsidRDefault="00A33B44" w:rsidP="005A3B4D">
            <w:pPr>
              <w:jc w:val="right"/>
              <w:rPr>
                <w:color w:val="000000"/>
                <w:sz w:val="20"/>
                <w:szCs w:val="20"/>
              </w:rPr>
            </w:pPr>
            <w:r>
              <w:rPr>
                <w:color w:val="000000"/>
                <w:sz w:val="20"/>
                <w:szCs w:val="20"/>
              </w:rPr>
              <w:t>0.540</w:t>
            </w:r>
          </w:p>
        </w:tc>
        <w:tc>
          <w:tcPr>
            <w:tcW w:w="768" w:type="dxa"/>
            <w:tcBorders>
              <w:top w:val="nil"/>
              <w:left w:val="nil"/>
              <w:bottom w:val="nil"/>
              <w:right w:val="nil"/>
            </w:tcBorders>
            <w:shd w:val="clear" w:color="auto" w:fill="auto"/>
            <w:noWrap/>
            <w:vAlign w:val="bottom"/>
            <w:hideMark/>
          </w:tcPr>
          <w:p w14:paraId="06A127C9" w14:textId="77777777" w:rsidR="00A33B44" w:rsidRDefault="00A33B44" w:rsidP="005A3B4D">
            <w:pPr>
              <w:jc w:val="right"/>
              <w:rPr>
                <w:color w:val="000000"/>
                <w:sz w:val="20"/>
                <w:szCs w:val="20"/>
              </w:rPr>
            </w:pPr>
            <w:r>
              <w:rPr>
                <w:color w:val="000000"/>
                <w:sz w:val="20"/>
                <w:szCs w:val="20"/>
              </w:rPr>
              <w:t>0.011</w:t>
            </w:r>
          </w:p>
        </w:tc>
      </w:tr>
      <w:tr w:rsidR="00A33B44" w14:paraId="39EBC35C" w14:textId="77777777" w:rsidTr="005A3B4D">
        <w:trPr>
          <w:trHeight w:val="320"/>
        </w:trPr>
        <w:tc>
          <w:tcPr>
            <w:tcW w:w="1176" w:type="dxa"/>
            <w:tcBorders>
              <w:top w:val="nil"/>
              <w:left w:val="nil"/>
              <w:bottom w:val="nil"/>
              <w:right w:val="nil"/>
            </w:tcBorders>
            <w:shd w:val="clear" w:color="auto" w:fill="auto"/>
            <w:noWrap/>
            <w:vAlign w:val="bottom"/>
            <w:hideMark/>
          </w:tcPr>
          <w:p w14:paraId="1EA2467D"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276EEB8" w14:textId="77777777" w:rsidR="00A33B44" w:rsidRDefault="00A33B44"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7B0E35C" w14:textId="77777777" w:rsidR="00A33B44" w:rsidRDefault="00A33B44" w:rsidP="005A3B4D">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180F0416" w14:textId="77777777" w:rsidR="00A33B44" w:rsidRDefault="00A33B44" w:rsidP="005A3B4D">
            <w:pPr>
              <w:jc w:val="right"/>
              <w:rPr>
                <w:color w:val="000000"/>
                <w:sz w:val="20"/>
                <w:szCs w:val="20"/>
              </w:rPr>
            </w:pPr>
            <w:r>
              <w:rPr>
                <w:color w:val="000000"/>
                <w:sz w:val="20"/>
                <w:szCs w:val="20"/>
              </w:rPr>
              <w:t>0.756</w:t>
            </w:r>
          </w:p>
        </w:tc>
        <w:tc>
          <w:tcPr>
            <w:tcW w:w="768" w:type="dxa"/>
            <w:tcBorders>
              <w:top w:val="nil"/>
              <w:left w:val="nil"/>
              <w:bottom w:val="nil"/>
              <w:right w:val="nil"/>
            </w:tcBorders>
            <w:shd w:val="clear" w:color="auto" w:fill="auto"/>
            <w:noWrap/>
            <w:vAlign w:val="bottom"/>
            <w:hideMark/>
          </w:tcPr>
          <w:p w14:paraId="131C744C" w14:textId="77777777" w:rsidR="00A33B44" w:rsidRDefault="00A33B44"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5A632D8" w14:textId="77777777" w:rsidR="00A33B44" w:rsidRDefault="00A33B44"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13F95AE5" w14:textId="77777777" w:rsidR="00A33B44" w:rsidRDefault="00A33B44" w:rsidP="005A3B4D">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6020AF2C"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0ED1CB9" w14:textId="77777777" w:rsidR="00A33B44" w:rsidRDefault="00A33B44"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373DB13" w14:textId="77777777" w:rsidR="00A33B44" w:rsidRDefault="00A33B44"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0EA810AB"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941C67" w14:textId="77777777" w:rsidR="00A33B44" w:rsidRDefault="00A33B44"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2D1282AC" w14:textId="77777777" w:rsidR="00A33B44" w:rsidRDefault="00A33B44" w:rsidP="005A3B4D">
            <w:pPr>
              <w:jc w:val="right"/>
              <w:rPr>
                <w:color w:val="000000"/>
                <w:sz w:val="20"/>
                <w:szCs w:val="20"/>
              </w:rPr>
            </w:pPr>
            <w:r>
              <w:rPr>
                <w:color w:val="000000"/>
                <w:sz w:val="20"/>
                <w:szCs w:val="20"/>
              </w:rPr>
              <w:t>0.834</w:t>
            </w:r>
          </w:p>
        </w:tc>
        <w:tc>
          <w:tcPr>
            <w:tcW w:w="768" w:type="dxa"/>
            <w:tcBorders>
              <w:top w:val="nil"/>
              <w:left w:val="nil"/>
              <w:bottom w:val="nil"/>
              <w:right w:val="nil"/>
            </w:tcBorders>
            <w:shd w:val="clear" w:color="auto" w:fill="auto"/>
            <w:noWrap/>
            <w:vAlign w:val="bottom"/>
            <w:hideMark/>
          </w:tcPr>
          <w:p w14:paraId="3A2BBF80"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B5E6220" w14:textId="77777777" w:rsidR="00A33B44" w:rsidRDefault="00A33B44"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EE72A30" w14:textId="77777777" w:rsidR="00A33B44" w:rsidRDefault="00A33B44" w:rsidP="005A3B4D">
            <w:pPr>
              <w:jc w:val="right"/>
              <w:rPr>
                <w:color w:val="000000"/>
                <w:sz w:val="20"/>
                <w:szCs w:val="20"/>
              </w:rPr>
            </w:pPr>
            <w:r>
              <w:rPr>
                <w:color w:val="000000"/>
                <w:sz w:val="20"/>
                <w:szCs w:val="20"/>
              </w:rPr>
              <w:t>0.897</w:t>
            </w:r>
          </w:p>
        </w:tc>
        <w:tc>
          <w:tcPr>
            <w:tcW w:w="768" w:type="dxa"/>
            <w:tcBorders>
              <w:top w:val="nil"/>
              <w:left w:val="nil"/>
              <w:bottom w:val="nil"/>
              <w:right w:val="nil"/>
            </w:tcBorders>
            <w:shd w:val="clear" w:color="auto" w:fill="auto"/>
            <w:noWrap/>
            <w:vAlign w:val="bottom"/>
            <w:hideMark/>
          </w:tcPr>
          <w:p w14:paraId="754A2EA1" w14:textId="77777777" w:rsidR="00A33B44" w:rsidRDefault="00A33B44" w:rsidP="005A3B4D">
            <w:pPr>
              <w:jc w:val="right"/>
              <w:rPr>
                <w:color w:val="000000"/>
                <w:sz w:val="20"/>
                <w:szCs w:val="20"/>
              </w:rPr>
            </w:pPr>
            <w:r>
              <w:rPr>
                <w:color w:val="000000"/>
                <w:sz w:val="20"/>
                <w:szCs w:val="20"/>
              </w:rPr>
              <w:t>0.001</w:t>
            </w:r>
          </w:p>
        </w:tc>
      </w:tr>
      <w:tr w:rsidR="00A33B44" w14:paraId="3282AA02" w14:textId="77777777" w:rsidTr="005A3B4D">
        <w:trPr>
          <w:trHeight w:val="320"/>
        </w:trPr>
        <w:tc>
          <w:tcPr>
            <w:tcW w:w="1176" w:type="dxa"/>
            <w:tcBorders>
              <w:top w:val="nil"/>
              <w:left w:val="nil"/>
              <w:bottom w:val="nil"/>
              <w:right w:val="nil"/>
            </w:tcBorders>
            <w:shd w:val="clear" w:color="auto" w:fill="auto"/>
            <w:noWrap/>
            <w:vAlign w:val="bottom"/>
            <w:hideMark/>
          </w:tcPr>
          <w:p w14:paraId="24B2776A"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D9BF2EC" w14:textId="77777777" w:rsidR="00A33B44" w:rsidRDefault="00A33B44"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2C34AA3" w14:textId="77777777" w:rsidR="00A33B44" w:rsidRDefault="00A33B44"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9130F47" w14:textId="77777777" w:rsidR="00A33B44" w:rsidRDefault="00A33B44"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1B3DFC40"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02D47B" w14:textId="77777777" w:rsidR="00A33B44" w:rsidRDefault="00A33B44"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B9E331F" w14:textId="77777777" w:rsidR="00A33B44" w:rsidRDefault="00A33B44" w:rsidP="005A3B4D">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2F1C0E32"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2595739" w14:textId="77777777" w:rsidR="00A33B44" w:rsidRDefault="00A33B44" w:rsidP="005A3B4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1874155A" w14:textId="77777777" w:rsidR="00A33B44" w:rsidRDefault="00A33B44" w:rsidP="005A3B4D">
            <w:pPr>
              <w:jc w:val="right"/>
              <w:rPr>
                <w:color w:val="000000"/>
                <w:sz w:val="20"/>
                <w:szCs w:val="20"/>
              </w:rPr>
            </w:pPr>
            <w:r>
              <w:rPr>
                <w:color w:val="000000"/>
                <w:sz w:val="20"/>
                <w:szCs w:val="20"/>
              </w:rPr>
              <w:t>0.232</w:t>
            </w:r>
          </w:p>
        </w:tc>
        <w:tc>
          <w:tcPr>
            <w:tcW w:w="768" w:type="dxa"/>
            <w:tcBorders>
              <w:top w:val="nil"/>
              <w:left w:val="nil"/>
              <w:bottom w:val="nil"/>
              <w:right w:val="nil"/>
            </w:tcBorders>
            <w:shd w:val="clear" w:color="auto" w:fill="auto"/>
            <w:noWrap/>
            <w:vAlign w:val="bottom"/>
            <w:hideMark/>
          </w:tcPr>
          <w:p w14:paraId="3863E9E6"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C10EBFA" w14:textId="77777777" w:rsidR="00A33B44" w:rsidRDefault="00A33B44"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039C457"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232E1473"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D34742"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96193C0"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2F6E38B8" w14:textId="77777777" w:rsidR="00A33B44" w:rsidRDefault="00A33B44" w:rsidP="005A3B4D">
            <w:pPr>
              <w:jc w:val="right"/>
              <w:rPr>
                <w:color w:val="000000"/>
                <w:sz w:val="20"/>
                <w:szCs w:val="20"/>
              </w:rPr>
            </w:pPr>
            <w:r>
              <w:rPr>
                <w:color w:val="000000"/>
                <w:sz w:val="20"/>
                <w:szCs w:val="20"/>
              </w:rPr>
              <w:t>0.000</w:t>
            </w:r>
          </w:p>
        </w:tc>
      </w:tr>
      <w:tr w:rsidR="00A33B44" w14:paraId="40E2A2E9" w14:textId="77777777" w:rsidTr="005A3B4D">
        <w:trPr>
          <w:trHeight w:val="320"/>
        </w:trPr>
        <w:tc>
          <w:tcPr>
            <w:tcW w:w="1176" w:type="dxa"/>
            <w:tcBorders>
              <w:top w:val="nil"/>
              <w:left w:val="nil"/>
              <w:bottom w:val="nil"/>
              <w:right w:val="nil"/>
            </w:tcBorders>
            <w:shd w:val="clear" w:color="auto" w:fill="auto"/>
            <w:noWrap/>
            <w:vAlign w:val="bottom"/>
            <w:hideMark/>
          </w:tcPr>
          <w:p w14:paraId="59C0ED49"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95BEC33" w14:textId="77777777" w:rsidR="00A33B44" w:rsidRDefault="00A33B44"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68142D6" w14:textId="77777777" w:rsidR="00A33B44" w:rsidRDefault="00A33B44"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17EDCB36" w14:textId="77777777" w:rsidR="00A33B44" w:rsidRDefault="00A33B44" w:rsidP="005A3B4D">
            <w:pPr>
              <w:jc w:val="right"/>
              <w:rPr>
                <w:color w:val="000000"/>
                <w:sz w:val="20"/>
                <w:szCs w:val="20"/>
              </w:rPr>
            </w:pPr>
            <w:r>
              <w:rPr>
                <w:color w:val="000000"/>
                <w:sz w:val="20"/>
                <w:szCs w:val="20"/>
              </w:rPr>
              <w:t>0.756</w:t>
            </w:r>
          </w:p>
        </w:tc>
        <w:tc>
          <w:tcPr>
            <w:tcW w:w="768" w:type="dxa"/>
            <w:tcBorders>
              <w:top w:val="nil"/>
              <w:left w:val="nil"/>
              <w:bottom w:val="nil"/>
              <w:right w:val="nil"/>
            </w:tcBorders>
            <w:shd w:val="clear" w:color="auto" w:fill="auto"/>
            <w:noWrap/>
            <w:vAlign w:val="bottom"/>
            <w:hideMark/>
          </w:tcPr>
          <w:p w14:paraId="18998454"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4763659" w14:textId="77777777" w:rsidR="00A33B44" w:rsidRDefault="00A33B44"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60FD823" w14:textId="77777777" w:rsidR="00A33B44" w:rsidRDefault="00A33B44" w:rsidP="005A3B4D">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38E38E75"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DCECE2" w14:textId="77777777" w:rsidR="00A33B44" w:rsidRDefault="00A33B44"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2784D6E" w14:textId="77777777" w:rsidR="00A33B44" w:rsidRDefault="00A33B44"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2C3F38B3"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06EE64D" w14:textId="77777777" w:rsidR="00A33B44" w:rsidRDefault="00A33B44"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0985BF17" w14:textId="77777777" w:rsidR="00A33B44" w:rsidRDefault="00A33B44" w:rsidP="005A3B4D">
            <w:pPr>
              <w:jc w:val="right"/>
              <w:rPr>
                <w:color w:val="000000"/>
                <w:sz w:val="20"/>
                <w:szCs w:val="20"/>
              </w:rPr>
            </w:pPr>
            <w:r>
              <w:rPr>
                <w:color w:val="000000"/>
                <w:sz w:val="20"/>
                <w:szCs w:val="20"/>
              </w:rPr>
              <w:t>0.834</w:t>
            </w:r>
          </w:p>
        </w:tc>
        <w:tc>
          <w:tcPr>
            <w:tcW w:w="768" w:type="dxa"/>
            <w:tcBorders>
              <w:top w:val="nil"/>
              <w:left w:val="nil"/>
              <w:bottom w:val="nil"/>
              <w:right w:val="nil"/>
            </w:tcBorders>
            <w:shd w:val="clear" w:color="auto" w:fill="auto"/>
            <w:noWrap/>
            <w:vAlign w:val="bottom"/>
            <w:hideMark/>
          </w:tcPr>
          <w:p w14:paraId="6B0081C9"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D7FF136" w14:textId="77777777" w:rsidR="00A33B44" w:rsidRDefault="00A33B44"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0555B65" w14:textId="77777777" w:rsidR="00A33B44" w:rsidRDefault="00A33B44" w:rsidP="005A3B4D">
            <w:pPr>
              <w:jc w:val="right"/>
              <w:rPr>
                <w:color w:val="000000"/>
                <w:sz w:val="20"/>
                <w:szCs w:val="20"/>
              </w:rPr>
            </w:pPr>
            <w:r>
              <w:rPr>
                <w:color w:val="000000"/>
                <w:sz w:val="20"/>
                <w:szCs w:val="20"/>
              </w:rPr>
              <w:t>0.540</w:t>
            </w:r>
          </w:p>
        </w:tc>
        <w:tc>
          <w:tcPr>
            <w:tcW w:w="768" w:type="dxa"/>
            <w:tcBorders>
              <w:top w:val="nil"/>
              <w:left w:val="nil"/>
              <w:bottom w:val="nil"/>
              <w:right w:val="nil"/>
            </w:tcBorders>
            <w:shd w:val="clear" w:color="auto" w:fill="auto"/>
            <w:noWrap/>
            <w:vAlign w:val="bottom"/>
            <w:hideMark/>
          </w:tcPr>
          <w:p w14:paraId="659FDCB3" w14:textId="77777777" w:rsidR="00A33B44" w:rsidRDefault="00A33B44" w:rsidP="005A3B4D">
            <w:pPr>
              <w:jc w:val="right"/>
              <w:rPr>
                <w:color w:val="000000"/>
                <w:sz w:val="20"/>
                <w:szCs w:val="20"/>
              </w:rPr>
            </w:pPr>
            <w:r>
              <w:rPr>
                <w:color w:val="000000"/>
                <w:sz w:val="20"/>
                <w:szCs w:val="20"/>
              </w:rPr>
              <w:t>0.004</w:t>
            </w:r>
          </w:p>
        </w:tc>
      </w:tr>
      <w:tr w:rsidR="00A33B44" w14:paraId="01979B8B"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51908B60" w14:textId="77777777" w:rsidR="00A33B44" w:rsidRDefault="00A33B44"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13FCDB3" w14:textId="77777777" w:rsidR="00A33B44" w:rsidRDefault="00A33B44"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7C30E1C" w14:textId="77777777" w:rsidR="00A33B44" w:rsidRDefault="00A33B44" w:rsidP="005A3B4D">
            <w:pPr>
              <w:jc w:val="right"/>
              <w:rPr>
                <w:b/>
                <w:bCs/>
                <w:color w:val="000000"/>
                <w:sz w:val="20"/>
                <w:szCs w:val="20"/>
              </w:rPr>
            </w:pPr>
            <w:r>
              <w:rPr>
                <w:b/>
                <w:bCs/>
                <w:color w:val="000000"/>
                <w:sz w:val="20"/>
                <w:szCs w:val="20"/>
              </w:rPr>
              <w:t>0.146</w:t>
            </w:r>
          </w:p>
        </w:tc>
        <w:tc>
          <w:tcPr>
            <w:tcW w:w="768" w:type="dxa"/>
            <w:tcBorders>
              <w:top w:val="nil"/>
              <w:left w:val="nil"/>
              <w:bottom w:val="single" w:sz="4" w:space="0" w:color="auto"/>
              <w:right w:val="nil"/>
            </w:tcBorders>
            <w:shd w:val="clear" w:color="auto" w:fill="auto"/>
            <w:noWrap/>
            <w:vAlign w:val="bottom"/>
            <w:hideMark/>
          </w:tcPr>
          <w:p w14:paraId="11015052" w14:textId="77777777" w:rsidR="00A33B44" w:rsidRDefault="00A33B44" w:rsidP="005A3B4D">
            <w:pPr>
              <w:jc w:val="right"/>
              <w:rPr>
                <w:b/>
                <w:bCs/>
                <w:color w:val="000000"/>
                <w:sz w:val="20"/>
                <w:szCs w:val="20"/>
              </w:rPr>
            </w:pPr>
            <w:r>
              <w:rPr>
                <w:b/>
                <w:bCs/>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7A730EE9" w14:textId="77777777" w:rsidR="00A33B44" w:rsidRDefault="00A33B44" w:rsidP="005A3B4D">
            <w:pPr>
              <w:jc w:val="right"/>
              <w:rPr>
                <w:color w:val="000000"/>
                <w:sz w:val="20"/>
                <w:szCs w:val="20"/>
              </w:rPr>
            </w:pPr>
            <w:r>
              <w:rPr>
                <w:b/>
                <w:bCs/>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2B0FF888" w14:textId="77777777" w:rsidR="00A33B44" w:rsidRDefault="00A33B44" w:rsidP="005A3B4D">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1EBE44DD"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single" w:sz="4" w:space="0" w:color="auto"/>
              <w:right w:val="nil"/>
            </w:tcBorders>
            <w:shd w:val="clear" w:color="auto" w:fill="auto"/>
            <w:noWrap/>
            <w:vAlign w:val="bottom"/>
            <w:hideMark/>
          </w:tcPr>
          <w:p w14:paraId="04648265"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EEB0155"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389EECE6" w14:textId="77777777" w:rsidR="00A33B44" w:rsidRDefault="00A33B44" w:rsidP="005A3B4D">
            <w:pPr>
              <w:jc w:val="right"/>
              <w:rPr>
                <w:color w:val="000000"/>
                <w:sz w:val="20"/>
                <w:szCs w:val="20"/>
              </w:rPr>
            </w:pPr>
            <w:r>
              <w:rPr>
                <w:color w:val="000000"/>
                <w:sz w:val="20"/>
                <w:szCs w:val="20"/>
              </w:rPr>
              <w:t>0.996</w:t>
            </w:r>
          </w:p>
        </w:tc>
        <w:tc>
          <w:tcPr>
            <w:tcW w:w="768" w:type="dxa"/>
            <w:tcBorders>
              <w:top w:val="nil"/>
              <w:left w:val="nil"/>
              <w:bottom w:val="single" w:sz="4" w:space="0" w:color="auto"/>
              <w:right w:val="nil"/>
            </w:tcBorders>
            <w:shd w:val="clear" w:color="auto" w:fill="auto"/>
            <w:noWrap/>
            <w:vAlign w:val="bottom"/>
            <w:hideMark/>
          </w:tcPr>
          <w:p w14:paraId="43F31749"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FD11C4A"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74373BBD"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single" w:sz="4" w:space="0" w:color="auto"/>
              <w:right w:val="nil"/>
            </w:tcBorders>
            <w:shd w:val="clear" w:color="auto" w:fill="auto"/>
            <w:noWrap/>
            <w:vAlign w:val="bottom"/>
            <w:hideMark/>
          </w:tcPr>
          <w:p w14:paraId="05FBC158"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634EDDD" w14:textId="77777777" w:rsidR="00A33B44" w:rsidRDefault="00A33B44" w:rsidP="005A3B4D">
            <w:pPr>
              <w:jc w:val="right"/>
              <w:rPr>
                <w:color w:val="000000"/>
                <w:sz w:val="20"/>
                <w:szCs w:val="20"/>
              </w:rPr>
            </w:pPr>
            <w:r>
              <w:rPr>
                <w:color w:val="000000"/>
                <w:sz w:val="20"/>
                <w:szCs w:val="20"/>
              </w:rPr>
              <w:t>0.073</w:t>
            </w:r>
          </w:p>
        </w:tc>
        <w:tc>
          <w:tcPr>
            <w:tcW w:w="768" w:type="dxa"/>
            <w:tcBorders>
              <w:top w:val="nil"/>
              <w:left w:val="nil"/>
              <w:bottom w:val="single" w:sz="4" w:space="0" w:color="auto"/>
              <w:right w:val="nil"/>
            </w:tcBorders>
            <w:shd w:val="clear" w:color="auto" w:fill="auto"/>
            <w:noWrap/>
            <w:vAlign w:val="bottom"/>
            <w:hideMark/>
          </w:tcPr>
          <w:p w14:paraId="57960728" w14:textId="77777777" w:rsidR="00A33B44" w:rsidRDefault="00A33B44" w:rsidP="005A3B4D">
            <w:pPr>
              <w:jc w:val="right"/>
              <w:rPr>
                <w:color w:val="000000"/>
                <w:sz w:val="20"/>
                <w:szCs w:val="20"/>
              </w:rPr>
            </w:pPr>
            <w:r>
              <w:rPr>
                <w:color w:val="000000"/>
                <w:sz w:val="20"/>
                <w:szCs w:val="20"/>
              </w:rPr>
              <w:t>0.540</w:t>
            </w:r>
          </w:p>
        </w:tc>
        <w:tc>
          <w:tcPr>
            <w:tcW w:w="768" w:type="dxa"/>
            <w:tcBorders>
              <w:top w:val="nil"/>
              <w:left w:val="nil"/>
              <w:bottom w:val="single" w:sz="4" w:space="0" w:color="auto"/>
              <w:right w:val="nil"/>
            </w:tcBorders>
            <w:shd w:val="clear" w:color="auto" w:fill="auto"/>
            <w:noWrap/>
            <w:vAlign w:val="bottom"/>
            <w:hideMark/>
          </w:tcPr>
          <w:p w14:paraId="319D7B80" w14:textId="77777777" w:rsidR="00A33B44" w:rsidRDefault="00A33B44" w:rsidP="005A3B4D">
            <w:pPr>
              <w:jc w:val="right"/>
              <w:rPr>
                <w:color w:val="000000"/>
                <w:sz w:val="20"/>
                <w:szCs w:val="20"/>
              </w:rPr>
            </w:pPr>
            <w:r>
              <w:rPr>
                <w:color w:val="000000"/>
                <w:sz w:val="20"/>
                <w:szCs w:val="20"/>
              </w:rPr>
              <w:t>0.005</w:t>
            </w:r>
          </w:p>
        </w:tc>
      </w:tr>
      <w:tr w:rsidR="00A33B44" w14:paraId="29FE4BCF" w14:textId="77777777" w:rsidTr="005A3B4D">
        <w:trPr>
          <w:trHeight w:val="320"/>
        </w:trPr>
        <w:tc>
          <w:tcPr>
            <w:tcW w:w="1176" w:type="dxa"/>
            <w:tcBorders>
              <w:top w:val="nil"/>
              <w:left w:val="nil"/>
              <w:bottom w:val="nil"/>
              <w:right w:val="nil"/>
            </w:tcBorders>
            <w:shd w:val="clear" w:color="auto" w:fill="auto"/>
            <w:noWrap/>
            <w:vAlign w:val="bottom"/>
            <w:hideMark/>
          </w:tcPr>
          <w:p w14:paraId="3036E642" w14:textId="77777777" w:rsidR="00A33B44" w:rsidRDefault="00A33B44"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452C45BF" w14:textId="77777777" w:rsidR="00A33B44" w:rsidRDefault="00A33B44"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E7C9893" w14:textId="77777777" w:rsidR="00A33B44" w:rsidRDefault="00A33B44"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1CF61C04" w14:textId="77777777" w:rsidR="00A33B44" w:rsidRDefault="00A33B44" w:rsidP="005A3B4D">
            <w:pPr>
              <w:jc w:val="right"/>
              <w:rPr>
                <w:color w:val="000000"/>
                <w:sz w:val="20"/>
                <w:szCs w:val="20"/>
              </w:rPr>
            </w:pPr>
            <w:r>
              <w:rPr>
                <w:color w:val="000000"/>
                <w:sz w:val="20"/>
                <w:szCs w:val="20"/>
              </w:rPr>
              <w:t>0.366</w:t>
            </w:r>
          </w:p>
        </w:tc>
        <w:tc>
          <w:tcPr>
            <w:tcW w:w="768" w:type="dxa"/>
            <w:tcBorders>
              <w:top w:val="nil"/>
              <w:left w:val="nil"/>
              <w:bottom w:val="nil"/>
              <w:right w:val="nil"/>
            </w:tcBorders>
            <w:shd w:val="clear" w:color="auto" w:fill="auto"/>
            <w:noWrap/>
            <w:vAlign w:val="bottom"/>
            <w:hideMark/>
          </w:tcPr>
          <w:p w14:paraId="289D8C69"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207282" w14:textId="77777777" w:rsidR="00A33B44" w:rsidRDefault="00A33B44"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AD5C150" w14:textId="77777777" w:rsidR="00A33B44" w:rsidRDefault="00A33B44" w:rsidP="005A3B4D">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5565FCF8"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A686F1" w14:textId="77777777" w:rsidR="00A33B44" w:rsidRDefault="00A33B44"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393A504" w14:textId="77777777" w:rsidR="00A33B44" w:rsidRDefault="00A33B44" w:rsidP="005A3B4D">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122E5FA6"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8182AF0" w14:textId="77777777" w:rsidR="00A33B44" w:rsidRDefault="00A33B44" w:rsidP="005A3B4D">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72340589" w14:textId="77777777" w:rsidR="00A33B44" w:rsidRDefault="00A33B44"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0C55C7E"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E7A3433" w14:textId="77777777" w:rsidR="00A33B44" w:rsidRDefault="00A33B44"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1316DFA" w14:textId="77777777" w:rsidR="00A33B44" w:rsidRDefault="00A33B44" w:rsidP="005A3B4D">
            <w:pPr>
              <w:jc w:val="right"/>
              <w:rPr>
                <w:color w:val="000000"/>
                <w:sz w:val="20"/>
                <w:szCs w:val="20"/>
              </w:rPr>
            </w:pPr>
            <w:r>
              <w:rPr>
                <w:color w:val="000000"/>
                <w:sz w:val="20"/>
                <w:szCs w:val="20"/>
              </w:rPr>
              <w:t>0.793</w:t>
            </w:r>
          </w:p>
        </w:tc>
        <w:tc>
          <w:tcPr>
            <w:tcW w:w="768" w:type="dxa"/>
            <w:tcBorders>
              <w:top w:val="nil"/>
              <w:left w:val="nil"/>
              <w:bottom w:val="nil"/>
              <w:right w:val="nil"/>
            </w:tcBorders>
            <w:shd w:val="clear" w:color="auto" w:fill="auto"/>
            <w:noWrap/>
            <w:vAlign w:val="bottom"/>
            <w:hideMark/>
          </w:tcPr>
          <w:p w14:paraId="10550DC7" w14:textId="77777777" w:rsidR="00A33B44" w:rsidRDefault="00A33B44" w:rsidP="005A3B4D">
            <w:pPr>
              <w:jc w:val="right"/>
              <w:rPr>
                <w:color w:val="000000"/>
                <w:sz w:val="20"/>
                <w:szCs w:val="20"/>
              </w:rPr>
            </w:pPr>
            <w:r>
              <w:rPr>
                <w:color w:val="000000"/>
                <w:sz w:val="20"/>
                <w:szCs w:val="20"/>
              </w:rPr>
              <w:t>0.000</w:t>
            </w:r>
          </w:p>
        </w:tc>
      </w:tr>
      <w:tr w:rsidR="00A33B44" w14:paraId="45FEAF01" w14:textId="77777777" w:rsidTr="005A3B4D">
        <w:trPr>
          <w:trHeight w:val="320"/>
        </w:trPr>
        <w:tc>
          <w:tcPr>
            <w:tcW w:w="1176" w:type="dxa"/>
            <w:tcBorders>
              <w:top w:val="nil"/>
              <w:left w:val="nil"/>
              <w:bottom w:val="nil"/>
              <w:right w:val="nil"/>
            </w:tcBorders>
            <w:shd w:val="clear" w:color="auto" w:fill="auto"/>
            <w:noWrap/>
            <w:vAlign w:val="bottom"/>
            <w:hideMark/>
          </w:tcPr>
          <w:p w14:paraId="1BAF06BD"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A23F87" w14:textId="77777777" w:rsidR="00A33B44" w:rsidRDefault="00A33B44"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F6BE0BA" w14:textId="77777777" w:rsidR="00A33B44" w:rsidRDefault="00A33B44"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689932BC" w14:textId="77777777" w:rsidR="00A33B44" w:rsidRDefault="00A33B44" w:rsidP="005A3B4D">
            <w:pPr>
              <w:jc w:val="right"/>
              <w:rPr>
                <w:color w:val="000000"/>
                <w:sz w:val="20"/>
                <w:szCs w:val="20"/>
              </w:rPr>
            </w:pPr>
            <w:r>
              <w:rPr>
                <w:color w:val="000000"/>
                <w:sz w:val="20"/>
                <w:szCs w:val="20"/>
              </w:rPr>
              <w:t>0.366</w:t>
            </w:r>
          </w:p>
        </w:tc>
        <w:tc>
          <w:tcPr>
            <w:tcW w:w="768" w:type="dxa"/>
            <w:tcBorders>
              <w:top w:val="nil"/>
              <w:left w:val="nil"/>
              <w:bottom w:val="nil"/>
              <w:right w:val="nil"/>
            </w:tcBorders>
            <w:shd w:val="clear" w:color="auto" w:fill="auto"/>
            <w:noWrap/>
            <w:vAlign w:val="bottom"/>
            <w:hideMark/>
          </w:tcPr>
          <w:p w14:paraId="583C372E"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91DB43C" w14:textId="77777777" w:rsidR="00A33B44" w:rsidRDefault="00A33B44" w:rsidP="005A3B4D">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23981114" w14:textId="77777777" w:rsidR="00A33B44" w:rsidRDefault="00A33B44"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1BD3F759"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DC4C4F6" w14:textId="77777777" w:rsidR="00A33B44" w:rsidRDefault="00A33B44"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70C4CA9C" w14:textId="77777777" w:rsidR="00A33B44" w:rsidRDefault="00A33B44" w:rsidP="005A3B4D">
            <w:pPr>
              <w:jc w:val="right"/>
              <w:rPr>
                <w:color w:val="000000"/>
                <w:sz w:val="20"/>
                <w:szCs w:val="20"/>
              </w:rPr>
            </w:pPr>
            <w:r>
              <w:rPr>
                <w:color w:val="000000"/>
                <w:sz w:val="20"/>
                <w:szCs w:val="20"/>
              </w:rPr>
              <w:t>0.235</w:t>
            </w:r>
          </w:p>
        </w:tc>
        <w:tc>
          <w:tcPr>
            <w:tcW w:w="768" w:type="dxa"/>
            <w:tcBorders>
              <w:top w:val="nil"/>
              <w:left w:val="nil"/>
              <w:bottom w:val="nil"/>
              <w:right w:val="nil"/>
            </w:tcBorders>
            <w:shd w:val="clear" w:color="auto" w:fill="auto"/>
            <w:noWrap/>
            <w:vAlign w:val="bottom"/>
            <w:hideMark/>
          </w:tcPr>
          <w:p w14:paraId="489DBA2F"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5FC6C1F" w14:textId="77777777" w:rsidR="00A33B44" w:rsidRDefault="00A33B44"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FCCD34E" w14:textId="77777777" w:rsidR="00A33B44" w:rsidRDefault="00A33B44"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0FD31C59"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F340F9" w14:textId="77777777" w:rsidR="00A33B44" w:rsidRDefault="00A33B44"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F106499" w14:textId="77777777" w:rsidR="00A33B44" w:rsidRDefault="00A33B44" w:rsidP="005A3B4D">
            <w:pPr>
              <w:jc w:val="right"/>
              <w:rPr>
                <w:color w:val="000000"/>
                <w:sz w:val="20"/>
                <w:szCs w:val="20"/>
              </w:rPr>
            </w:pPr>
            <w:r>
              <w:rPr>
                <w:color w:val="000000"/>
                <w:sz w:val="20"/>
                <w:szCs w:val="20"/>
              </w:rPr>
              <w:t>0.793</w:t>
            </w:r>
          </w:p>
        </w:tc>
        <w:tc>
          <w:tcPr>
            <w:tcW w:w="768" w:type="dxa"/>
            <w:tcBorders>
              <w:top w:val="nil"/>
              <w:left w:val="nil"/>
              <w:bottom w:val="nil"/>
              <w:right w:val="nil"/>
            </w:tcBorders>
            <w:shd w:val="clear" w:color="auto" w:fill="auto"/>
            <w:noWrap/>
            <w:vAlign w:val="bottom"/>
            <w:hideMark/>
          </w:tcPr>
          <w:p w14:paraId="32F0411C" w14:textId="77777777" w:rsidR="00A33B44" w:rsidRDefault="00A33B44" w:rsidP="005A3B4D">
            <w:pPr>
              <w:jc w:val="right"/>
              <w:rPr>
                <w:color w:val="000000"/>
                <w:sz w:val="20"/>
                <w:szCs w:val="20"/>
              </w:rPr>
            </w:pPr>
            <w:r>
              <w:rPr>
                <w:color w:val="000000"/>
                <w:sz w:val="20"/>
                <w:szCs w:val="20"/>
              </w:rPr>
              <w:t>0.000</w:t>
            </w:r>
          </w:p>
        </w:tc>
      </w:tr>
      <w:tr w:rsidR="00A33B44" w14:paraId="743459FB" w14:textId="77777777" w:rsidTr="005A3B4D">
        <w:trPr>
          <w:trHeight w:val="320"/>
        </w:trPr>
        <w:tc>
          <w:tcPr>
            <w:tcW w:w="1176" w:type="dxa"/>
            <w:tcBorders>
              <w:top w:val="nil"/>
              <w:left w:val="nil"/>
              <w:bottom w:val="nil"/>
              <w:right w:val="nil"/>
            </w:tcBorders>
            <w:shd w:val="clear" w:color="auto" w:fill="auto"/>
            <w:noWrap/>
            <w:vAlign w:val="bottom"/>
            <w:hideMark/>
          </w:tcPr>
          <w:p w14:paraId="568C9F6A"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BCC8E7B" w14:textId="77777777" w:rsidR="00A33B44" w:rsidRDefault="00A33B44"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182F0E2" w14:textId="77777777" w:rsidR="00A33B44" w:rsidRDefault="00A33B44" w:rsidP="005A3B4D">
            <w:pPr>
              <w:jc w:val="right"/>
              <w:rPr>
                <w:color w:val="000000"/>
                <w:sz w:val="20"/>
                <w:szCs w:val="20"/>
              </w:rPr>
            </w:pPr>
            <w:r>
              <w:rPr>
                <w:color w:val="000000"/>
                <w:sz w:val="20"/>
                <w:szCs w:val="20"/>
              </w:rPr>
              <w:t>-0.109</w:t>
            </w:r>
          </w:p>
        </w:tc>
        <w:tc>
          <w:tcPr>
            <w:tcW w:w="768" w:type="dxa"/>
            <w:tcBorders>
              <w:top w:val="nil"/>
              <w:left w:val="nil"/>
              <w:bottom w:val="nil"/>
              <w:right w:val="nil"/>
            </w:tcBorders>
            <w:shd w:val="clear" w:color="auto" w:fill="auto"/>
            <w:noWrap/>
            <w:vAlign w:val="bottom"/>
            <w:hideMark/>
          </w:tcPr>
          <w:p w14:paraId="375FCCAB" w14:textId="77777777" w:rsidR="00A33B44" w:rsidRDefault="00A33B44"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713B894B" w14:textId="77777777" w:rsidR="00A33B44" w:rsidRDefault="00A33B44"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140F05E6" w14:textId="77777777" w:rsidR="00A33B44" w:rsidRDefault="00A33B44"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F620194" w14:textId="77777777" w:rsidR="00A33B44" w:rsidRDefault="00A33B44" w:rsidP="005A3B4D">
            <w:pPr>
              <w:jc w:val="right"/>
              <w:rPr>
                <w:color w:val="000000"/>
                <w:sz w:val="20"/>
                <w:szCs w:val="20"/>
              </w:rPr>
            </w:pPr>
            <w:r>
              <w:rPr>
                <w:color w:val="000000"/>
                <w:sz w:val="20"/>
                <w:szCs w:val="20"/>
              </w:rPr>
              <w:t>0.811</w:t>
            </w:r>
          </w:p>
        </w:tc>
        <w:tc>
          <w:tcPr>
            <w:tcW w:w="768" w:type="dxa"/>
            <w:tcBorders>
              <w:top w:val="nil"/>
              <w:left w:val="nil"/>
              <w:bottom w:val="nil"/>
              <w:right w:val="nil"/>
            </w:tcBorders>
            <w:shd w:val="clear" w:color="auto" w:fill="auto"/>
            <w:noWrap/>
            <w:vAlign w:val="bottom"/>
            <w:hideMark/>
          </w:tcPr>
          <w:p w14:paraId="0DE34703"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27F310" w14:textId="77777777" w:rsidR="00A33B44" w:rsidRDefault="00A33B44"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0EA496C4" w14:textId="77777777" w:rsidR="00A33B44" w:rsidRDefault="00A33B44" w:rsidP="005A3B4D">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5B388A89"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277F7D" w14:textId="77777777" w:rsidR="00A33B44" w:rsidRDefault="00A33B44"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3D52B075" w14:textId="77777777" w:rsidR="00A33B44" w:rsidRDefault="00A33B44"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28484E60"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8F3727E" w14:textId="77777777" w:rsidR="00A33B44" w:rsidRDefault="00A33B44"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2E7C3FC4" w14:textId="77777777" w:rsidR="00A33B44" w:rsidRDefault="00A33B44" w:rsidP="005A3B4D">
            <w:pPr>
              <w:jc w:val="right"/>
              <w:rPr>
                <w:color w:val="000000"/>
                <w:sz w:val="20"/>
                <w:szCs w:val="20"/>
              </w:rPr>
            </w:pPr>
            <w:r>
              <w:rPr>
                <w:color w:val="000000"/>
                <w:sz w:val="20"/>
                <w:szCs w:val="20"/>
              </w:rPr>
              <w:t>0.793</w:t>
            </w:r>
          </w:p>
        </w:tc>
        <w:tc>
          <w:tcPr>
            <w:tcW w:w="768" w:type="dxa"/>
            <w:tcBorders>
              <w:top w:val="nil"/>
              <w:left w:val="nil"/>
              <w:bottom w:val="nil"/>
              <w:right w:val="nil"/>
            </w:tcBorders>
            <w:shd w:val="clear" w:color="auto" w:fill="auto"/>
            <w:noWrap/>
            <w:vAlign w:val="bottom"/>
            <w:hideMark/>
          </w:tcPr>
          <w:p w14:paraId="6FA6FC92" w14:textId="77777777" w:rsidR="00A33B44" w:rsidRDefault="00A33B44" w:rsidP="005A3B4D">
            <w:pPr>
              <w:jc w:val="right"/>
              <w:rPr>
                <w:color w:val="000000"/>
                <w:sz w:val="20"/>
                <w:szCs w:val="20"/>
              </w:rPr>
            </w:pPr>
            <w:r>
              <w:rPr>
                <w:color w:val="000000"/>
                <w:sz w:val="20"/>
                <w:szCs w:val="20"/>
              </w:rPr>
              <w:t>0.002</w:t>
            </w:r>
          </w:p>
        </w:tc>
      </w:tr>
      <w:tr w:rsidR="00A33B44" w14:paraId="37A40F1C" w14:textId="77777777" w:rsidTr="005A3B4D">
        <w:trPr>
          <w:trHeight w:val="320"/>
        </w:trPr>
        <w:tc>
          <w:tcPr>
            <w:tcW w:w="1176" w:type="dxa"/>
            <w:tcBorders>
              <w:top w:val="nil"/>
              <w:left w:val="nil"/>
              <w:bottom w:val="nil"/>
              <w:right w:val="nil"/>
            </w:tcBorders>
            <w:shd w:val="clear" w:color="auto" w:fill="auto"/>
            <w:noWrap/>
            <w:vAlign w:val="bottom"/>
            <w:hideMark/>
          </w:tcPr>
          <w:p w14:paraId="176CF696"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A3C8A78" w14:textId="77777777" w:rsidR="00A33B44" w:rsidRDefault="00A33B44"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F98FD5B" w14:textId="77777777" w:rsidR="00A33B44" w:rsidRDefault="00A33B44"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B3C44C7" w14:textId="77777777" w:rsidR="00A33B44" w:rsidRDefault="00A33B44" w:rsidP="005A3B4D">
            <w:pPr>
              <w:jc w:val="right"/>
              <w:rPr>
                <w:color w:val="000000"/>
                <w:sz w:val="20"/>
                <w:szCs w:val="20"/>
              </w:rPr>
            </w:pPr>
            <w:r>
              <w:rPr>
                <w:color w:val="000000"/>
                <w:sz w:val="20"/>
                <w:szCs w:val="20"/>
              </w:rPr>
              <w:t>0.916</w:t>
            </w:r>
          </w:p>
        </w:tc>
        <w:tc>
          <w:tcPr>
            <w:tcW w:w="768" w:type="dxa"/>
            <w:tcBorders>
              <w:top w:val="nil"/>
              <w:left w:val="nil"/>
              <w:bottom w:val="nil"/>
              <w:right w:val="nil"/>
            </w:tcBorders>
            <w:shd w:val="clear" w:color="auto" w:fill="auto"/>
            <w:noWrap/>
            <w:vAlign w:val="bottom"/>
            <w:hideMark/>
          </w:tcPr>
          <w:p w14:paraId="52277363"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8288C9" w14:textId="77777777" w:rsidR="00A33B44" w:rsidRDefault="00A33B44" w:rsidP="005A3B4D">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00C66F79" w14:textId="77777777" w:rsidR="00A33B44" w:rsidRDefault="00A33B44" w:rsidP="005A3B4D">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57AF3060"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6DFAE49" w14:textId="77777777" w:rsidR="00A33B44" w:rsidRDefault="00A33B44"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E2E22E6" w14:textId="77777777" w:rsidR="00A33B44" w:rsidRDefault="00A33B44" w:rsidP="005A3B4D">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4AFDBF79"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A770C8" w14:textId="77777777" w:rsidR="00A33B44" w:rsidRDefault="00A33B44"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99E6ABE" w14:textId="77777777" w:rsidR="00A33B44" w:rsidRDefault="00A33B44"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5D71DCCE"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30A63F" w14:textId="77777777" w:rsidR="00A33B44" w:rsidRDefault="00A33B44"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0966AFCF" w14:textId="77777777" w:rsidR="00A33B44" w:rsidRDefault="00A33B44" w:rsidP="005A3B4D">
            <w:pPr>
              <w:jc w:val="right"/>
              <w:rPr>
                <w:color w:val="000000"/>
                <w:sz w:val="20"/>
                <w:szCs w:val="20"/>
              </w:rPr>
            </w:pPr>
            <w:r>
              <w:rPr>
                <w:color w:val="000000"/>
                <w:sz w:val="20"/>
                <w:szCs w:val="20"/>
              </w:rPr>
              <w:t>0.793</w:t>
            </w:r>
          </w:p>
        </w:tc>
        <w:tc>
          <w:tcPr>
            <w:tcW w:w="768" w:type="dxa"/>
            <w:tcBorders>
              <w:top w:val="nil"/>
              <w:left w:val="nil"/>
              <w:bottom w:val="nil"/>
              <w:right w:val="nil"/>
            </w:tcBorders>
            <w:shd w:val="clear" w:color="auto" w:fill="auto"/>
            <w:noWrap/>
            <w:vAlign w:val="bottom"/>
            <w:hideMark/>
          </w:tcPr>
          <w:p w14:paraId="4373417C" w14:textId="77777777" w:rsidR="00A33B44" w:rsidRDefault="00A33B44" w:rsidP="005A3B4D">
            <w:pPr>
              <w:jc w:val="right"/>
              <w:rPr>
                <w:color w:val="000000"/>
                <w:sz w:val="20"/>
                <w:szCs w:val="20"/>
              </w:rPr>
            </w:pPr>
            <w:r>
              <w:rPr>
                <w:color w:val="000000"/>
                <w:sz w:val="20"/>
                <w:szCs w:val="20"/>
              </w:rPr>
              <w:t>0.003</w:t>
            </w:r>
          </w:p>
        </w:tc>
      </w:tr>
      <w:tr w:rsidR="00A33B44" w14:paraId="022B1B9E" w14:textId="77777777" w:rsidTr="005A3B4D">
        <w:trPr>
          <w:trHeight w:val="320"/>
        </w:trPr>
        <w:tc>
          <w:tcPr>
            <w:tcW w:w="1176" w:type="dxa"/>
            <w:tcBorders>
              <w:top w:val="nil"/>
              <w:left w:val="nil"/>
              <w:bottom w:val="nil"/>
              <w:right w:val="nil"/>
            </w:tcBorders>
            <w:shd w:val="clear" w:color="auto" w:fill="auto"/>
            <w:noWrap/>
            <w:vAlign w:val="bottom"/>
            <w:hideMark/>
          </w:tcPr>
          <w:p w14:paraId="2BE46F94"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994266" w14:textId="77777777" w:rsidR="00A33B44" w:rsidRDefault="00A33B44"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39547C1" w14:textId="77777777" w:rsidR="00A33B44" w:rsidRDefault="00A33B44" w:rsidP="005A3B4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60EE84F6" w14:textId="77777777" w:rsidR="00A33B44" w:rsidRDefault="00A33B44" w:rsidP="005A3B4D">
            <w:pPr>
              <w:jc w:val="right"/>
              <w:rPr>
                <w:color w:val="000000"/>
                <w:sz w:val="20"/>
                <w:szCs w:val="20"/>
              </w:rPr>
            </w:pPr>
            <w:r>
              <w:rPr>
                <w:color w:val="000000"/>
                <w:sz w:val="20"/>
                <w:szCs w:val="20"/>
              </w:rPr>
              <w:t>0.216</w:t>
            </w:r>
          </w:p>
        </w:tc>
        <w:tc>
          <w:tcPr>
            <w:tcW w:w="768" w:type="dxa"/>
            <w:tcBorders>
              <w:top w:val="nil"/>
              <w:left w:val="nil"/>
              <w:bottom w:val="nil"/>
              <w:right w:val="nil"/>
            </w:tcBorders>
            <w:shd w:val="clear" w:color="auto" w:fill="auto"/>
            <w:noWrap/>
            <w:vAlign w:val="bottom"/>
            <w:hideMark/>
          </w:tcPr>
          <w:p w14:paraId="396FC701"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03251F3"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57E8FEC" w14:textId="77777777" w:rsidR="00A33B44" w:rsidRDefault="00A33B44" w:rsidP="005A3B4D">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136436DD"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9985F2"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AB4373B" w14:textId="77777777" w:rsidR="00A33B44" w:rsidRDefault="00A33B44"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7EB7B39D"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727E6D" w14:textId="77777777" w:rsidR="00A33B44" w:rsidRDefault="00A33B44"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B690720" w14:textId="77777777" w:rsidR="00A33B44" w:rsidRDefault="00A33B44"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5742FCD6"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EA9002"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4A376A4" w14:textId="77777777" w:rsidR="00A33B44" w:rsidRDefault="00A33B44" w:rsidP="005A3B4D">
            <w:pPr>
              <w:jc w:val="right"/>
              <w:rPr>
                <w:color w:val="000000"/>
                <w:sz w:val="20"/>
                <w:szCs w:val="20"/>
              </w:rPr>
            </w:pPr>
            <w:r>
              <w:rPr>
                <w:color w:val="000000"/>
                <w:sz w:val="20"/>
                <w:szCs w:val="20"/>
              </w:rPr>
              <w:t>0.862</w:t>
            </w:r>
          </w:p>
        </w:tc>
        <w:tc>
          <w:tcPr>
            <w:tcW w:w="768" w:type="dxa"/>
            <w:tcBorders>
              <w:top w:val="nil"/>
              <w:left w:val="nil"/>
              <w:bottom w:val="nil"/>
              <w:right w:val="nil"/>
            </w:tcBorders>
            <w:shd w:val="clear" w:color="auto" w:fill="auto"/>
            <w:noWrap/>
            <w:vAlign w:val="bottom"/>
            <w:hideMark/>
          </w:tcPr>
          <w:p w14:paraId="2E0B4A38" w14:textId="77777777" w:rsidR="00A33B44" w:rsidRDefault="00A33B44" w:rsidP="005A3B4D">
            <w:pPr>
              <w:jc w:val="right"/>
              <w:rPr>
                <w:color w:val="000000"/>
                <w:sz w:val="20"/>
                <w:szCs w:val="20"/>
              </w:rPr>
            </w:pPr>
            <w:r>
              <w:rPr>
                <w:color w:val="000000"/>
                <w:sz w:val="20"/>
                <w:szCs w:val="20"/>
              </w:rPr>
              <w:t>0.000</w:t>
            </w:r>
          </w:p>
        </w:tc>
      </w:tr>
      <w:tr w:rsidR="00A33B44" w14:paraId="44F121CD" w14:textId="77777777" w:rsidTr="005A3B4D">
        <w:trPr>
          <w:trHeight w:val="320"/>
        </w:trPr>
        <w:tc>
          <w:tcPr>
            <w:tcW w:w="1176" w:type="dxa"/>
            <w:tcBorders>
              <w:top w:val="nil"/>
              <w:left w:val="nil"/>
              <w:bottom w:val="nil"/>
              <w:right w:val="nil"/>
            </w:tcBorders>
            <w:shd w:val="clear" w:color="auto" w:fill="auto"/>
            <w:noWrap/>
            <w:vAlign w:val="bottom"/>
            <w:hideMark/>
          </w:tcPr>
          <w:p w14:paraId="4ACF24A2"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BD4974" w14:textId="77777777" w:rsidR="00A33B44" w:rsidRDefault="00A33B44"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3B78F28" w14:textId="77777777" w:rsidR="00A33B44" w:rsidRDefault="00A33B44"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3FBA4DC" w14:textId="77777777" w:rsidR="00A33B44" w:rsidRDefault="00A33B44" w:rsidP="005A3B4D">
            <w:pPr>
              <w:jc w:val="right"/>
              <w:rPr>
                <w:color w:val="000000"/>
                <w:sz w:val="20"/>
                <w:szCs w:val="20"/>
              </w:rPr>
            </w:pPr>
            <w:r>
              <w:rPr>
                <w:color w:val="000000"/>
                <w:sz w:val="20"/>
                <w:szCs w:val="20"/>
              </w:rPr>
              <w:t>0.556</w:t>
            </w:r>
          </w:p>
        </w:tc>
        <w:tc>
          <w:tcPr>
            <w:tcW w:w="768" w:type="dxa"/>
            <w:tcBorders>
              <w:top w:val="nil"/>
              <w:left w:val="nil"/>
              <w:bottom w:val="nil"/>
              <w:right w:val="nil"/>
            </w:tcBorders>
            <w:shd w:val="clear" w:color="auto" w:fill="auto"/>
            <w:noWrap/>
            <w:vAlign w:val="bottom"/>
            <w:hideMark/>
          </w:tcPr>
          <w:p w14:paraId="57F04FA8"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2CC1AA" w14:textId="77777777" w:rsidR="00A33B44" w:rsidRDefault="00A33B44"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50E643D" w14:textId="77777777" w:rsidR="00A33B44" w:rsidRDefault="00A33B44" w:rsidP="005A3B4D">
            <w:pPr>
              <w:jc w:val="right"/>
              <w:rPr>
                <w:color w:val="000000"/>
                <w:sz w:val="20"/>
                <w:szCs w:val="20"/>
              </w:rPr>
            </w:pPr>
            <w:r>
              <w:rPr>
                <w:color w:val="000000"/>
                <w:sz w:val="20"/>
                <w:szCs w:val="20"/>
              </w:rPr>
              <w:t>0.856</w:t>
            </w:r>
          </w:p>
        </w:tc>
        <w:tc>
          <w:tcPr>
            <w:tcW w:w="768" w:type="dxa"/>
            <w:tcBorders>
              <w:top w:val="nil"/>
              <w:left w:val="nil"/>
              <w:bottom w:val="nil"/>
              <w:right w:val="nil"/>
            </w:tcBorders>
            <w:shd w:val="clear" w:color="auto" w:fill="auto"/>
            <w:noWrap/>
            <w:vAlign w:val="bottom"/>
            <w:hideMark/>
          </w:tcPr>
          <w:p w14:paraId="14282498"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10AA0B" w14:textId="77777777" w:rsidR="00A33B44" w:rsidRDefault="00A33B44" w:rsidP="005A3B4D">
            <w:pPr>
              <w:jc w:val="right"/>
              <w:rPr>
                <w:b/>
                <w:bCs/>
                <w:color w:val="000000"/>
                <w:sz w:val="20"/>
                <w:szCs w:val="20"/>
              </w:rPr>
            </w:pPr>
            <w:r>
              <w:rPr>
                <w:b/>
                <w:bCs/>
                <w:color w:val="000000"/>
                <w:sz w:val="20"/>
                <w:szCs w:val="20"/>
              </w:rPr>
              <w:t>-0.091</w:t>
            </w:r>
          </w:p>
        </w:tc>
        <w:tc>
          <w:tcPr>
            <w:tcW w:w="768" w:type="dxa"/>
            <w:tcBorders>
              <w:top w:val="nil"/>
              <w:left w:val="nil"/>
              <w:bottom w:val="nil"/>
              <w:right w:val="nil"/>
            </w:tcBorders>
            <w:shd w:val="clear" w:color="auto" w:fill="auto"/>
            <w:noWrap/>
            <w:vAlign w:val="bottom"/>
            <w:hideMark/>
          </w:tcPr>
          <w:p w14:paraId="11584523" w14:textId="77777777" w:rsidR="00A33B44" w:rsidRDefault="00A33B44"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0260FABA" w14:textId="77777777" w:rsidR="00A33B44" w:rsidRDefault="00A33B44" w:rsidP="005A3B4D">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D7F6F16" w14:textId="77777777" w:rsidR="00A33B44" w:rsidRDefault="00A33B44"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CD57DB3" w14:textId="77777777" w:rsidR="00A33B44" w:rsidRDefault="00A33B44"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254443A6"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E40874" w14:textId="77777777" w:rsidR="00A33B44" w:rsidRDefault="00A33B44"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3525191E" w14:textId="77777777" w:rsidR="00A33B44" w:rsidRDefault="00A33B44" w:rsidP="005A3B4D">
            <w:pPr>
              <w:jc w:val="right"/>
              <w:rPr>
                <w:color w:val="000000"/>
                <w:sz w:val="20"/>
                <w:szCs w:val="20"/>
              </w:rPr>
            </w:pPr>
            <w:r>
              <w:rPr>
                <w:color w:val="000000"/>
                <w:sz w:val="20"/>
                <w:szCs w:val="20"/>
              </w:rPr>
              <w:t>0.793</w:t>
            </w:r>
          </w:p>
        </w:tc>
        <w:tc>
          <w:tcPr>
            <w:tcW w:w="768" w:type="dxa"/>
            <w:tcBorders>
              <w:top w:val="nil"/>
              <w:left w:val="nil"/>
              <w:bottom w:val="nil"/>
              <w:right w:val="nil"/>
            </w:tcBorders>
            <w:shd w:val="clear" w:color="auto" w:fill="auto"/>
            <w:noWrap/>
            <w:vAlign w:val="bottom"/>
            <w:hideMark/>
          </w:tcPr>
          <w:p w14:paraId="6B41589B" w14:textId="77777777" w:rsidR="00A33B44" w:rsidRDefault="00A33B44" w:rsidP="005A3B4D">
            <w:pPr>
              <w:jc w:val="right"/>
              <w:rPr>
                <w:color w:val="000000"/>
                <w:sz w:val="20"/>
                <w:szCs w:val="20"/>
              </w:rPr>
            </w:pPr>
            <w:r>
              <w:rPr>
                <w:color w:val="000000"/>
                <w:sz w:val="20"/>
                <w:szCs w:val="20"/>
              </w:rPr>
              <w:t>0.001</w:t>
            </w:r>
          </w:p>
        </w:tc>
      </w:tr>
      <w:tr w:rsidR="00A33B44" w14:paraId="093AD4C3" w14:textId="77777777" w:rsidTr="005A3B4D">
        <w:trPr>
          <w:trHeight w:val="320"/>
        </w:trPr>
        <w:tc>
          <w:tcPr>
            <w:tcW w:w="1176" w:type="dxa"/>
            <w:tcBorders>
              <w:top w:val="nil"/>
              <w:left w:val="nil"/>
              <w:bottom w:val="nil"/>
              <w:right w:val="nil"/>
            </w:tcBorders>
            <w:shd w:val="clear" w:color="auto" w:fill="auto"/>
            <w:noWrap/>
            <w:vAlign w:val="bottom"/>
            <w:hideMark/>
          </w:tcPr>
          <w:p w14:paraId="71AA9A19"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8E6AF1D" w14:textId="77777777" w:rsidR="00A33B44" w:rsidRDefault="00A33B44"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4D8B318" w14:textId="77777777" w:rsidR="00A33B44" w:rsidRDefault="00A33B44"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85B651B" w14:textId="77777777" w:rsidR="00A33B44" w:rsidRDefault="00A33B44" w:rsidP="005A3B4D">
            <w:pPr>
              <w:jc w:val="right"/>
              <w:rPr>
                <w:color w:val="000000"/>
                <w:sz w:val="20"/>
                <w:szCs w:val="20"/>
              </w:rPr>
            </w:pPr>
            <w:r>
              <w:rPr>
                <w:color w:val="000000"/>
                <w:sz w:val="20"/>
                <w:szCs w:val="20"/>
              </w:rPr>
              <w:t>0.916</w:t>
            </w:r>
          </w:p>
        </w:tc>
        <w:tc>
          <w:tcPr>
            <w:tcW w:w="768" w:type="dxa"/>
            <w:tcBorders>
              <w:top w:val="nil"/>
              <w:left w:val="nil"/>
              <w:bottom w:val="nil"/>
              <w:right w:val="nil"/>
            </w:tcBorders>
            <w:shd w:val="clear" w:color="auto" w:fill="auto"/>
            <w:noWrap/>
            <w:vAlign w:val="bottom"/>
            <w:hideMark/>
          </w:tcPr>
          <w:p w14:paraId="354277EE"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FFA500" w14:textId="77777777" w:rsidR="00A33B44" w:rsidRDefault="00A33B44"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769CC09" w14:textId="77777777" w:rsidR="00A33B44" w:rsidRDefault="00A33B44" w:rsidP="005A3B4D">
            <w:pPr>
              <w:jc w:val="right"/>
              <w:rPr>
                <w:color w:val="000000"/>
                <w:sz w:val="20"/>
                <w:szCs w:val="20"/>
              </w:rPr>
            </w:pPr>
            <w:r>
              <w:rPr>
                <w:color w:val="000000"/>
                <w:sz w:val="20"/>
                <w:szCs w:val="20"/>
              </w:rPr>
              <w:t>0.693</w:t>
            </w:r>
          </w:p>
        </w:tc>
        <w:tc>
          <w:tcPr>
            <w:tcW w:w="768" w:type="dxa"/>
            <w:tcBorders>
              <w:top w:val="nil"/>
              <w:left w:val="nil"/>
              <w:bottom w:val="nil"/>
              <w:right w:val="nil"/>
            </w:tcBorders>
            <w:shd w:val="clear" w:color="auto" w:fill="auto"/>
            <w:noWrap/>
            <w:vAlign w:val="bottom"/>
            <w:hideMark/>
          </w:tcPr>
          <w:p w14:paraId="10C569B6"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7528F0"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9B02D0C" w14:textId="77777777" w:rsidR="00A33B44" w:rsidRDefault="00A33B44"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66BCDF21"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C8DC0D" w14:textId="77777777" w:rsidR="00A33B44" w:rsidRDefault="00A33B44"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2AEC5D4" w14:textId="77777777" w:rsidR="00A33B44" w:rsidRDefault="00A33B44"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55E80718"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64FC95" w14:textId="77777777" w:rsidR="00A33B44" w:rsidRDefault="00A33B44"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A3ACA4D" w14:textId="77777777" w:rsidR="00A33B44" w:rsidRDefault="00A33B44" w:rsidP="005A3B4D">
            <w:pPr>
              <w:jc w:val="right"/>
              <w:rPr>
                <w:color w:val="000000"/>
                <w:sz w:val="20"/>
                <w:szCs w:val="20"/>
              </w:rPr>
            </w:pPr>
            <w:r>
              <w:rPr>
                <w:color w:val="000000"/>
                <w:sz w:val="20"/>
                <w:szCs w:val="20"/>
              </w:rPr>
              <w:t>0.793</w:t>
            </w:r>
          </w:p>
        </w:tc>
        <w:tc>
          <w:tcPr>
            <w:tcW w:w="768" w:type="dxa"/>
            <w:tcBorders>
              <w:top w:val="nil"/>
              <w:left w:val="nil"/>
              <w:bottom w:val="nil"/>
              <w:right w:val="nil"/>
            </w:tcBorders>
            <w:shd w:val="clear" w:color="auto" w:fill="auto"/>
            <w:noWrap/>
            <w:vAlign w:val="bottom"/>
            <w:hideMark/>
          </w:tcPr>
          <w:p w14:paraId="1C6FD493" w14:textId="77777777" w:rsidR="00A33B44" w:rsidRDefault="00A33B44" w:rsidP="005A3B4D">
            <w:pPr>
              <w:jc w:val="right"/>
              <w:rPr>
                <w:color w:val="000000"/>
                <w:sz w:val="20"/>
                <w:szCs w:val="20"/>
              </w:rPr>
            </w:pPr>
            <w:r>
              <w:rPr>
                <w:color w:val="000000"/>
                <w:sz w:val="20"/>
                <w:szCs w:val="20"/>
              </w:rPr>
              <w:t>0.001</w:t>
            </w:r>
          </w:p>
        </w:tc>
      </w:tr>
      <w:tr w:rsidR="00A33B44" w14:paraId="3234C0F9"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3100E9A6" w14:textId="77777777" w:rsidR="00A33B44" w:rsidRDefault="00A33B44"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B10509C" w14:textId="77777777" w:rsidR="00A33B44" w:rsidRDefault="00A33B44"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BF13935" w14:textId="77777777" w:rsidR="00A33B44" w:rsidRDefault="00A33B44" w:rsidP="005A3B4D">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402C5323" w14:textId="77777777" w:rsidR="00A33B44" w:rsidRDefault="00A33B44" w:rsidP="005A3B4D">
            <w:pPr>
              <w:jc w:val="right"/>
              <w:rPr>
                <w:color w:val="000000"/>
                <w:sz w:val="20"/>
                <w:szCs w:val="20"/>
              </w:rPr>
            </w:pPr>
            <w:r>
              <w:rPr>
                <w:color w:val="000000"/>
                <w:sz w:val="20"/>
                <w:szCs w:val="20"/>
              </w:rPr>
              <w:t>0.410</w:t>
            </w:r>
          </w:p>
        </w:tc>
        <w:tc>
          <w:tcPr>
            <w:tcW w:w="768" w:type="dxa"/>
            <w:tcBorders>
              <w:top w:val="nil"/>
              <w:left w:val="nil"/>
              <w:bottom w:val="single" w:sz="4" w:space="0" w:color="auto"/>
              <w:right w:val="nil"/>
            </w:tcBorders>
            <w:shd w:val="clear" w:color="auto" w:fill="auto"/>
            <w:noWrap/>
            <w:vAlign w:val="bottom"/>
            <w:hideMark/>
          </w:tcPr>
          <w:p w14:paraId="7F7E37FC"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836A952" w14:textId="77777777" w:rsidR="00A33B44" w:rsidRDefault="00A33B44" w:rsidP="005A3B4D">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540A827C" w14:textId="77777777" w:rsidR="00A33B44" w:rsidRDefault="00A33B44" w:rsidP="005A3B4D">
            <w:pPr>
              <w:jc w:val="right"/>
              <w:rPr>
                <w:color w:val="000000"/>
                <w:sz w:val="20"/>
                <w:szCs w:val="20"/>
              </w:rPr>
            </w:pPr>
            <w:r>
              <w:rPr>
                <w:color w:val="000000"/>
                <w:sz w:val="20"/>
                <w:szCs w:val="20"/>
              </w:rPr>
              <w:t>0.693</w:t>
            </w:r>
          </w:p>
        </w:tc>
        <w:tc>
          <w:tcPr>
            <w:tcW w:w="768" w:type="dxa"/>
            <w:tcBorders>
              <w:top w:val="nil"/>
              <w:left w:val="nil"/>
              <w:bottom w:val="single" w:sz="4" w:space="0" w:color="auto"/>
              <w:right w:val="nil"/>
            </w:tcBorders>
            <w:shd w:val="clear" w:color="auto" w:fill="auto"/>
            <w:noWrap/>
            <w:vAlign w:val="bottom"/>
            <w:hideMark/>
          </w:tcPr>
          <w:p w14:paraId="323CA4C4"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B89C540" w14:textId="77777777" w:rsidR="00A33B44" w:rsidRDefault="00A33B44" w:rsidP="005A3B4D">
            <w:pPr>
              <w:jc w:val="right"/>
              <w:rPr>
                <w:b/>
                <w:bCs/>
                <w:color w:val="000000"/>
                <w:sz w:val="20"/>
                <w:szCs w:val="20"/>
              </w:rPr>
            </w:pPr>
            <w:r>
              <w:rPr>
                <w:b/>
                <w:bCs/>
                <w:color w:val="000000"/>
                <w:sz w:val="20"/>
                <w:szCs w:val="20"/>
              </w:rPr>
              <w:t>-0.095</w:t>
            </w:r>
          </w:p>
        </w:tc>
        <w:tc>
          <w:tcPr>
            <w:tcW w:w="768" w:type="dxa"/>
            <w:tcBorders>
              <w:top w:val="nil"/>
              <w:left w:val="nil"/>
              <w:bottom w:val="single" w:sz="4" w:space="0" w:color="auto"/>
              <w:right w:val="nil"/>
            </w:tcBorders>
            <w:shd w:val="clear" w:color="auto" w:fill="auto"/>
            <w:noWrap/>
            <w:vAlign w:val="bottom"/>
            <w:hideMark/>
          </w:tcPr>
          <w:p w14:paraId="4F60FE1E" w14:textId="77777777" w:rsidR="00A33B44" w:rsidRDefault="00A33B44" w:rsidP="005A3B4D">
            <w:pPr>
              <w:jc w:val="right"/>
              <w:rPr>
                <w:b/>
                <w:bCs/>
                <w:color w:val="000000"/>
                <w:sz w:val="20"/>
                <w:szCs w:val="20"/>
              </w:rPr>
            </w:pPr>
            <w:r>
              <w:rPr>
                <w:b/>
                <w:bCs/>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5701A4E1" w14:textId="77777777" w:rsidR="00A33B44" w:rsidRDefault="00A33B44" w:rsidP="005A3B4D">
            <w:pPr>
              <w:jc w:val="right"/>
              <w:rPr>
                <w:color w:val="000000"/>
                <w:sz w:val="20"/>
                <w:szCs w:val="20"/>
              </w:rPr>
            </w:pPr>
            <w:r>
              <w:rPr>
                <w:b/>
                <w:bCs/>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751F3FB9"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4ADCA34D" w14:textId="77777777" w:rsidR="00A33B44" w:rsidRDefault="00A33B44" w:rsidP="005A3B4D">
            <w:pPr>
              <w:jc w:val="right"/>
              <w:rPr>
                <w:color w:val="000000"/>
                <w:sz w:val="20"/>
                <w:szCs w:val="20"/>
              </w:rPr>
            </w:pPr>
            <w:r>
              <w:rPr>
                <w:color w:val="000000"/>
                <w:sz w:val="20"/>
                <w:szCs w:val="20"/>
              </w:rPr>
              <w:t>0.892</w:t>
            </w:r>
          </w:p>
        </w:tc>
        <w:tc>
          <w:tcPr>
            <w:tcW w:w="768" w:type="dxa"/>
            <w:tcBorders>
              <w:top w:val="nil"/>
              <w:left w:val="nil"/>
              <w:bottom w:val="single" w:sz="4" w:space="0" w:color="auto"/>
              <w:right w:val="nil"/>
            </w:tcBorders>
            <w:shd w:val="clear" w:color="auto" w:fill="auto"/>
            <w:noWrap/>
            <w:vAlign w:val="bottom"/>
            <w:hideMark/>
          </w:tcPr>
          <w:p w14:paraId="0D71ADFF"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D2CCE20" w14:textId="77777777" w:rsidR="00A33B44" w:rsidRDefault="00A33B44" w:rsidP="005A3B4D">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1AEC8E33" w14:textId="77777777" w:rsidR="00A33B44" w:rsidRDefault="00A33B44" w:rsidP="005A3B4D">
            <w:pPr>
              <w:jc w:val="right"/>
              <w:rPr>
                <w:color w:val="000000"/>
                <w:sz w:val="20"/>
                <w:szCs w:val="20"/>
              </w:rPr>
            </w:pPr>
            <w:r>
              <w:rPr>
                <w:color w:val="000000"/>
                <w:sz w:val="20"/>
                <w:szCs w:val="20"/>
              </w:rPr>
              <w:t>0.793</w:t>
            </w:r>
          </w:p>
        </w:tc>
        <w:tc>
          <w:tcPr>
            <w:tcW w:w="768" w:type="dxa"/>
            <w:tcBorders>
              <w:top w:val="nil"/>
              <w:left w:val="nil"/>
              <w:bottom w:val="single" w:sz="4" w:space="0" w:color="auto"/>
              <w:right w:val="nil"/>
            </w:tcBorders>
            <w:shd w:val="clear" w:color="auto" w:fill="auto"/>
            <w:noWrap/>
            <w:vAlign w:val="bottom"/>
            <w:hideMark/>
          </w:tcPr>
          <w:p w14:paraId="0017F593" w14:textId="77777777" w:rsidR="00A33B44" w:rsidRDefault="00A33B44" w:rsidP="005A3B4D">
            <w:pPr>
              <w:jc w:val="right"/>
              <w:rPr>
                <w:color w:val="000000"/>
                <w:sz w:val="20"/>
                <w:szCs w:val="20"/>
              </w:rPr>
            </w:pPr>
            <w:r>
              <w:rPr>
                <w:color w:val="000000"/>
                <w:sz w:val="20"/>
                <w:szCs w:val="20"/>
              </w:rPr>
              <w:t>0.000</w:t>
            </w:r>
          </w:p>
        </w:tc>
      </w:tr>
      <w:tr w:rsidR="00A33B44" w14:paraId="3B970A38" w14:textId="77777777" w:rsidTr="005A3B4D">
        <w:trPr>
          <w:trHeight w:val="320"/>
        </w:trPr>
        <w:tc>
          <w:tcPr>
            <w:tcW w:w="1176" w:type="dxa"/>
            <w:tcBorders>
              <w:top w:val="nil"/>
              <w:left w:val="nil"/>
              <w:bottom w:val="nil"/>
              <w:right w:val="nil"/>
            </w:tcBorders>
            <w:shd w:val="clear" w:color="auto" w:fill="auto"/>
            <w:noWrap/>
            <w:vAlign w:val="bottom"/>
            <w:hideMark/>
          </w:tcPr>
          <w:p w14:paraId="2CDBEF9E" w14:textId="77777777" w:rsidR="00A33B44" w:rsidRDefault="00A33B44"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0C845BBD" w14:textId="77777777" w:rsidR="00A33B44" w:rsidRDefault="00A33B44"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CC0253F" w14:textId="77777777" w:rsidR="00A33B44" w:rsidRDefault="00A33B44"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261B596" w14:textId="77777777" w:rsidR="00A33B44" w:rsidRDefault="00A33B44" w:rsidP="005A3B4D">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797FEAD8"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6158E2" w14:textId="77777777" w:rsidR="00A33B44" w:rsidRDefault="00A33B44"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209B9C9D" w14:textId="77777777" w:rsidR="00A33B44" w:rsidRDefault="00A33B44" w:rsidP="005A3B4D">
            <w:pPr>
              <w:jc w:val="right"/>
              <w:rPr>
                <w:color w:val="000000"/>
                <w:sz w:val="20"/>
                <w:szCs w:val="20"/>
              </w:rPr>
            </w:pPr>
            <w:r>
              <w:rPr>
                <w:color w:val="000000"/>
                <w:sz w:val="20"/>
                <w:szCs w:val="20"/>
              </w:rPr>
              <w:t>0.410</w:t>
            </w:r>
          </w:p>
        </w:tc>
        <w:tc>
          <w:tcPr>
            <w:tcW w:w="768" w:type="dxa"/>
            <w:tcBorders>
              <w:top w:val="nil"/>
              <w:left w:val="nil"/>
              <w:bottom w:val="nil"/>
              <w:right w:val="nil"/>
            </w:tcBorders>
            <w:shd w:val="clear" w:color="auto" w:fill="auto"/>
            <w:noWrap/>
            <w:vAlign w:val="bottom"/>
            <w:hideMark/>
          </w:tcPr>
          <w:p w14:paraId="0CD3E398"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7CEE64E" w14:textId="77777777" w:rsidR="00A33B44" w:rsidRDefault="00A33B44"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7661EFF" w14:textId="77777777" w:rsidR="00A33B44" w:rsidRDefault="00A33B44" w:rsidP="005A3B4D">
            <w:pPr>
              <w:jc w:val="right"/>
              <w:rPr>
                <w:color w:val="000000"/>
                <w:sz w:val="20"/>
                <w:szCs w:val="20"/>
              </w:rPr>
            </w:pPr>
            <w:r>
              <w:rPr>
                <w:color w:val="000000"/>
                <w:sz w:val="20"/>
                <w:szCs w:val="20"/>
              </w:rPr>
              <w:t>0.548</w:t>
            </w:r>
          </w:p>
        </w:tc>
        <w:tc>
          <w:tcPr>
            <w:tcW w:w="768" w:type="dxa"/>
            <w:tcBorders>
              <w:top w:val="nil"/>
              <w:left w:val="nil"/>
              <w:bottom w:val="nil"/>
              <w:right w:val="nil"/>
            </w:tcBorders>
            <w:shd w:val="clear" w:color="auto" w:fill="auto"/>
            <w:noWrap/>
            <w:vAlign w:val="bottom"/>
            <w:hideMark/>
          </w:tcPr>
          <w:p w14:paraId="43BFDC40"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716542" w14:textId="77777777" w:rsidR="00A33B44" w:rsidRDefault="00A33B44"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3465EEE" w14:textId="77777777" w:rsidR="00A33B44" w:rsidRDefault="00A33B44" w:rsidP="005A3B4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7DB4B503"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8912B27" w14:textId="77777777" w:rsidR="00A33B44" w:rsidRDefault="00A33B44"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143142C6" w14:textId="77777777" w:rsidR="00A33B44" w:rsidRDefault="00A33B44" w:rsidP="005A3B4D">
            <w:pPr>
              <w:jc w:val="right"/>
              <w:rPr>
                <w:color w:val="000000"/>
                <w:sz w:val="20"/>
                <w:szCs w:val="20"/>
              </w:rPr>
            </w:pPr>
            <w:r>
              <w:rPr>
                <w:color w:val="000000"/>
                <w:sz w:val="20"/>
                <w:szCs w:val="20"/>
              </w:rPr>
              <w:t>0.436</w:t>
            </w:r>
          </w:p>
        </w:tc>
        <w:tc>
          <w:tcPr>
            <w:tcW w:w="768" w:type="dxa"/>
            <w:tcBorders>
              <w:top w:val="nil"/>
              <w:left w:val="nil"/>
              <w:bottom w:val="nil"/>
              <w:right w:val="nil"/>
            </w:tcBorders>
            <w:shd w:val="clear" w:color="auto" w:fill="auto"/>
            <w:noWrap/>
            <w:vAlign w:val="bottom"/>
            <w:hideMark/>
          </w:tcPr>
          <w:p w14:paraId="40DB63F8" w14:textId="77777777" w:rsidR="00A33B44" w:rsidRDefault="00A33B44" w:rsidP="005A3B4D">
            <w:pPr>
              <w:jc w:val="right"/>
              <w:rPr>
                <w:color w:val="000000"/>
                <w:sz w:val="20"/>
                <w:szCs w:val="20"/>
              </w:rPr>
            </w:pPr>
            <w:r>
              <w:rPr>
                <w:color w:val="000000"/>
                <w:sz w:val="20"/>
                <w:szCs w:val="20"/>
              </w:rPr>
              <w:t>0.001</w:t>
            </w:r>
          </w:p>
        </w:tc>
      </w:tr>
      <w:tr w:rsidR="00A33B44" w14:paraId="650EF0E0" w14:textId="77777777" w:rsidTr="005A3B4D">
        <w:trPr>
          <w:trHeight w:val="320"/>
        </w:trPr>
        <w:tc>
          <w:tcPr>
            <w:tcW w:w="1176" w:type="dxa"/>
            <w:tcBorders>
              <w:top w:val="nil"/>
              <w:left w:val="nil"/>
              <w:bottom w:val="nil"/>
              <w:right w:val="nil"/>
            </w:tcBorders>
            <w:shd w:val="clear" w:color="auto" w:fill="auto"/>
            <w:noWrap/>
            <w:vAlign w:val="bottom"/>
            <w:hideMark/>
          </w:tcPr>
          <w:p w14:paraId="2C6FDA1D"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A0F6738" w14:textId="77777777" w:rsidR="00A33B44" w:rsidRDefault="00A33B44"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BF7C3A3"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B18F419" w14:textId="77777777" w:rsidR="00A33B44" w:rsidRDefault="00A33B44" w:rsidP="005A3B4D">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5759192E"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27D919" w14:textId="77777777" w:rsidR="00A33B44" w:rsidRDefault="00A33B44"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63C05053" w14:textId="77777777" w:rsidR="00A33B44" w:rsidRDefault="00A33B44" w:rsidP="005A3B4D">
            <w:pPr>
              <w:jc w:val="right"/>
              <w:rPr>
                <w:color w:val="000000"/>
                <w:sz w:val="20"/>
                <w:szCs w:val="20"/>
              </w:rPr>
            </w:pPr>
            <w:r>
              <w:rPr>
                <w:color w:val="000000"/>
                <w:sz w:val="20"/>
                <w:szCs w:val="20"/>
              </w:rPr>
              <w:t>0.410</w:t>
            </w:r>
          </w:p>
        </w:tc>
        <w:tc>
          <w:tcPr>
            <w:tcW w:w="768" w:type="dxa"/>
            <w:tcBorders>
              <w:top w:val="nil"/>
              <w:left w:val="nil"/>
              <w:bottom w:val="nil"/>
              <w:right w:val="nil"/>
            </w:tcBorders>
            <w:shd w:val="clear" w:color="auto" w:fill="auto"/>
            <w:noWrap/>
            <w:vAlign w:val="bottom"/>
            <w:hideMark/>
          </w:tcPr>
          <w:p w14:paraId="63D65B7D"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180B45C"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194011E" w14:textId="77777777" w:rsidR="00A33B44" w:rsidRDefault="00A33B44" w:rsidP="005A3B4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15FBB19F"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D9CC71" w14:textId="77777777" w:rsidR="00A33B44" w:rsidRDefault="00A33B44"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5850749" w14:textId="77777777" w:rsidR="00A33B44" w:rsidRDefault="00A33B44" w:rsidP="005A3B4D">
            <w:pPr>
              <w:jc w:val="right"/>
              <w:rPr>
                <w:color w:val="000000"/>
                <w:sz w:val="20"/>
                <w:szCs w:val="20"/>
              </w:rPr>
            </w:pPr>
            <w:r>
              <w:rPr>
                <w:color w:val="000000"/>
                <w:sz w:val="20"/>
                <w:szCs w:val="20"/>
              </w:rPr>
              <w:t>0.841</w:t>
            </w:r>
          </w:p>
        </w:tc>
        <w:tc>
          <w:tcPr>
            <w:tcW w:w="768" w:type="dxa"/>
            <w:tcBorders>
              <w:top w:val="nil"/>
              <w:left w:val="nil"/>
              <w:bottom w:val="nil"/>
              <w:right w:val="nil"/>
            </w:tcBorders>
            <w:shd w:val="clear" w:color="auto" w:fill="auto"/>
            <w:noWrap/>
            <w:vAlign w:val="bottom"/>
            <w:hideMark/>
          </w:tcPr>
          <w:p w14:paraId="5B75354A"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8A3372"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2E474E7" w14:textId="77777777" w:rsidR="00A33B44" w:rsidRDefault="00A33B44" w:rsidP="005A3B4D">
            <w:pPr>
              <w:jc w:val="right"/>
              <w:rPr>
                <w:color w:val="000000"/>
                <w:sz w:val="20"/>
                <w:szCs w:val="20"/>
              </w:rPr>
            </w:pPr>
            <w:r>
              <w:rPr>
                <w:color w:val="000000"/>
                <w:sz w:val="20"/>
                <w:szCs w:val="20"/>
              </w:rPr>
              <w:t>0.931</w:t>
            </w:r>
          </w:p>
        </w:tc>
        <w:tc>
          <w:tcPr>
            <w:tcW w:w="768" w:type="dxa"/>
            <w:tcBorders>
              <w:top w:val="nil"/>
              <w:left w:val="nil"/>
              <w:bottom w:val="nil"/>
              <w:right w:val="nil"/>
            </w:tcBorders>
            <w:shd w:val="clear" w:color="auto" w:fill="auto"/>
            <w:noWrap/>
            <w:vAlign w:val="bottom"/>
            <w:hideMark/>
          </w:tcPr>
          <w:p w14:paraId="7165AF9C" w14:textId="77777777" w:rsidR="00A33B44" w:rsidRDefault="00A33B44" w:rsidP="005A3B4D">
            <w:pPr>
              <w:jc w:val="right"/>
              <w:rPr>
                <w:color w:val="000000"/>
                <w:sz w:val="20"/>
                <w:szCs w:val="20"/>
              </w:rPr>
            </w:pPr>
            <w:r>
              <w:rPr>
                <w:color w:val="000000"/>
                <w:sz w:val="20"/>
                <w:szCs w:val="20"/>
              </w:rPr>
              <w:t>0.000</w:t>
            </w:r>
          </w:p>
        </w:tc>
      </w:tr>
      <w:tr w:rsidR="00A33B44" w14:paraId="09BE59E0" w14:textId="77777777" w:rsidTr="005A3B4D">
        <w:trPr>
          <w:trHeight w:val="320"/>
        </w:trPr>
        <w:tc>
          <w:tcPr>
            <w:tcW w:w="1176" w:type="dxa"/>
            <w:tcBorders>
              <w:top w:val="nil"/>
              <w:left w:val="nil"/>
              <w:bottom w:val="nil"/>
              <w:right w:val="nil"/>
            </w:tcBorders>
            <w:shd w:val="clear" w:color="auto" w:fill="auto"/>
            <w:noWrap/>
            <w:vAlign w:val="bottom"/>
            <w:hideMark/>
          </w:tcPr>
          <w:p w14:paraId="093BAF4C"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C0BBFE" w14:textId="77777777" w:rsidR="00A33B44" w:rsidRDefault="00A33B44"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9F8E0C1" w14:textId="77777777" w:rsidR="00A33B44" w:rsidRDefault="00A33B44"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BD33205" w14:textId="77777777" w:rsidR="00A33B44" w:rsidRDefault="00A33B44" w:rsidP="005A3B4D">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40329E7E"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F715D9" w14:textId="77777777" w:rsidR="00A33B44" w:rsidRDefault="00A33B44"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20E0A03" w14:textId="77777777" w:rsidR="00A33B44" w:rsidRDefault="00A33B44" w:rsidP="005A3B4D">
            <w:pPr>
              <w:jc w:val="right"/>
              <w:rPr>
                <w:color w:val="000000"/>
                <w:sz w:val="20"/>
                <w:szCs w:val="20"/>
              </w:rPr>
            </w:pPr>
            <w:r>
              <w:rPr>
                <w:color w:val="000000"/>
                <w:sz w:val="20"/>
                <w:szCs w:val="20"/>
              </w:rPr>
              <w:t>0.559</w:t>
            </w:r>
          </w:p>
        </w:tc>
        <w:tc>
          <w:tcPr>
            <w:tcW w:w="768" w:type="dxa"/>
            <w:tcBorders>
              <w:top w:val="nil"/>
              <w:left w:val="nil"/>
              <w:bottom w:val="nil"/>
              <w:right w:val="nil"/>
            </w:tcBorders>
            <w:shd w:val="clear" w:color="auto" w:fill="auto"/>
            <w:noWrap/>
            <w:vAlign w:val="bottom"/>
            <w:hideMark/>
          </w:tcPr>
          <w:p w14:paraId="7FA2E961"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E03BB4"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05F3FD5" w14:textId="77777777" w:rsidR="00A33B44" w:rsidRDefault="00A33B44" w:rsidP="005A3B4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4120A73E"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BCDFB3" w14:textId="77777777" w:rsidR="00A33B44" w:rsidRDefault="00A33B44"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14DE9844" w14:textId="77777777" w:rsidR="00A33B44" w:rsidRDefault="00A33B44" w:rsidP="005A3B4D">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3A84320F"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C813C9E" w14:textId="77777777" w:rsidR="00A33B44" w:rsidRDefault="00A33B44"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04FF6B12" w14:textId="77777777" w:rsidR="00A33B44" w:rsidRDefault="00A33B44" w:rsidP="005A3B4D">
            <w:pPr>
              <w:jc w:val="right"/>
              <w:rPr>
                <w:color w:val="000000"/>
                <w:sz w:val="20"/>
                <w:szCs w:val="20"/>
              </w:rPr>
            </w:pPr>
            <w:r>
              <w:rPr>
                <w:color w:val="000000"/>
                <w:sz w:val="20"/>
                <w:szCs w:val="20"/>
              </w:rPr>
              <w:t>0.436</w:t>
            </w:r>
          </w:p>
        </w:tc>
        <w:tc>
          <w:tcPr>
            <w:tcW w:w="768" w:type="dxa"/>
            <w:tcBorders>
              <w:top w:val="nil"/>
              <w:left w:val="nil"/>
              <w:bottom w:val="nil"/>
              <w:right w:val="nil"/>
            </w:tcBorders>
            <w:shd w:val="clear" w:color="auto" w:fill="auto"/>
            <w:noWrap/>
            <w:vAlign w:val="bottom"/>
            <w:hideMark/>
          </w:tcPr>
          <w:p w14:paraId="55BB33C8" w14:textId="77777777" w:rsidR="00A33B44" w:rsidRDefault="00A33B44" w:rsidP="005A3B4D">
            <w:pPr>
              <w:jc w:val="right"/>
              <w:rPr>
                <w:color w:val="000000"/>
                <w:sz w:val="20"/>
                <w:szCs w:val="20"/>
              </w:rPr>
            </w:pPr>
            <w:r>
              <w:rPr>
                <w:color w:val="000000"/>
                <w:sz w:val="20"/>
                <w:szCs w:val="20"/>
              </w:rPr>
              <w:t>0.003</w:t>
            </w:r>
          </w:p>
        </w:tc>
      </w:tr>
      <w:tr w:rsidR="00A33B44" w14:paraId="62255E06" w14:textId="77777777" w:rsidTr="005A3B4D">
        <w:trPr>
          <w:trHeight w:val="320"/>
        </w:trPr>
        <w:tc>
          <w:tcPr>
            <w:tcW w:w="1176" w:type="dxa"/>
            <w:tcBorders>
              <w:top w:val="nil"/>
              <w:left w:val="nil"/>
              <w:bottom w:val="nil"/>
              <w:right w:val="nil"/>
            </w:tcBorders>
            <w:shd w:val="clear" w:color="auto" w:fill="auto"/>
            <w:noWrap/>
            <w:vAlign w:val="bottom"/>
            <w:hideMark/>
          </w:tcPr>
          <w:p w14:paraId="668A8E29"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C7CA60A" w14:textId="77777777" w:rsidR="00A33B44" w:rsidRDefault="00A33B44"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4FAC419" w14:textId="77777777" w:rsidR="00A33B44" w:rsidRDefault="00A33B44"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341AD4E" w14:textId="77777777" w:rsidR="00A33B44" w:rsidRDefault="00A33B44" w:rsidP="005A3B4D">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29A241FC"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CA204F" w14:textId="77777777" w:rsidR="00A33B44" w:rsidRDefault="00A33B44"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754666A4" w14:textId="77777777" w:rsidR="00A33B44" w:rsidRDefault="00A33B44" w:rsidP="005A3B4D">
            <w:pPr>
              <w:jc w:val="right"/>
              <w:rPr>
                <w:color w:val="000000"/>
                <w:sz w:val="20"/>
                <w:szCs w:val="20"/>
              </w:rPr>
            </w:pPr>
            <w:r>
              <w:rPr>
                <w:color w:val="000000"/>
                <w:sz w:val="20"/>
                <w:szCs w:val="20"/>
              </w:rPr>
              <w:t>0.410</w:t>
            </w:r>
          </w:p>
        </w:tc>
        <w:tc>
          <w:tcPr>
            <w:tcW w:w="768" w:type="dxa"/>
            <w:tcBorders>
              <w:top w:val="nil"/>
              <w:left w:val="nil"/>
              <w:bottom w:val="nil"/>
              <w:right w:val="nil"/>
            </w:tcBorders>
            <w:shd w:val="clear" w:color="auto" w:fill="auto"/>
            <w:noWrap/>
            <w:vAlign w:val="bottom"/>
            <w:hideMark/>
          </w:tcPr>
          <w:p w14:paraId="28DC89A8"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F99B10C" w14:textId="77777777" w:rsidR="00A33B44" w:rsidRDefault="00A33B44"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629E9FC" w14:textId="77777777" w:rsidR="00A33B44" w:rsidRDefault="00A33B44" w:rsidP="005A3B4D">
            <w:pPr>
              <w:jc w:val="right"/>
              <w:rPr>
                <w:color w:val="000000"/>
                <w:sz w:val="20"/>
                <w:szCs w:val="20"/>
              </w:rPr>
            </w:pPr>
            <w:r>
              <w:rPr>
                <w:color w:val="000000"/>
                <w:sz w:val="20"/>
                <w:szCs w:val="20"/>
              </w:rPr>
              <w:t>0.482</w:t>
            </w:r>
          </w:p>
        </w:tc>
        <w:tc>
          <w:tcPr>
            <w:tcW w:w="768" w:type="dxa"/>
            <w:tcBorders>
              <w:top w:val="nil"/>
              <w:left w:val="nil"/>
              <w:bottom w:val="nil"/>
              <w:right w:val="nil"/>
            </w:tcBorders>
            <w:shd w:val="clear" w:color="auto" w:fill="auto"/>
            <w:noWrap/>
            <w:vAlign w:val="bottom"/>
            <w:hideMark/>
          </w:tcPr>
          <w:p w14:paraId="01022D1C"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B89465D" w14:textId="77777777" w:rsidR="00A33B44" w:rsidRDefault="00A33B44"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C5D4AA8" w14:textId="77777777" w:rsidR="00A33B44" w:rsidRDefault="00A33B44" w:rsidP="005A3B4D">
            <w:pPr>
              <w:jc w:val="right"/>
              <w:rPr>
                <w:color w:val="000000"/>
                <w:sz w:val="20"/>
                <w:szCs w:val="20"/>
              </w:rPr>
            </w:pPr>
            <w:r>
              <w:rPr>
                <w:color w:val="000000"/>
                <w:sz w:val="20"/>
                <w:szCs w:val="20"/>
              </w:rPr>
              <w:t>0.841</w:t>
            </w:r>
          </w:p>
        </w:tc>
        <w:tc>
          <w:tcPr>
            <w:tcW w:w="768" w:type="dxa"/>
            <w:tcBorders>
              <w:top w:val="nil"/>
              <w:left w:val="nil"/>
              <w:bottom w:val="nil"/>
              <w:right w:val="nil"/>
            </w:tcBorders>
            <w:shd w:val="clear" w:color="auto" w:fill="auto"/>
            <w:noWrap/>
            <w:vAlign w:val="bottom"/>
            <w:hideMark/>
          </w:tcPr>
          <w:p w14:paraId="5205F169"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0B3604" w14:textId="77777777" w:rsidR="00A33B44" w:rsidRDefault="00A33B44"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4E240E5F" w14:textId="77777777" w:rsidR="00A33B44" w:rsidRDefault="00A33B44" w:rsidP="005A3B4D">
            <w:pPr>
              <w:jc w:val="right"/>
              <w:rPr>
                <w:color w:val="000000"/>
                <w:sz w:val="20"/>
                <w:szCs w:val="20"/>
              </w:rPr>
            </w:pPr>
            <w:r>
              <w:rPr>
                <w:color w:val="000000"/>
                <w:sz w:val="20"/>
                <w:szCs w:val="20"/>
              </w:rPr>
              <w:t>0.468</w:t>
            </w:r>
          </w:p>
        </w:tc>
        <w:tc>
          <w:tcPr>
            <w:tcW w:w="768" w:type="dxa"/>
            <w:tcBorders>
              <w:top w:val="nil"/>
              <w:left w:val="nil"/>
              <w:bottom w:val="nil"/>
              <w:right w:val="nil"/>
            </w:tcBorders>
            <w:shd w:val="clear" w:color="auto" w:fill="auto"/>
            <w:noWrap/>
            <w:vAlign w:val="bottom"/>
            <w:hideMark/>
          </w:tcPr>
          <w:p w14:paraId="584820F6" w14:textId="77777777" w:rsidR="00A33B44" w:rsidRDefault="00A33B44" w:rsidP="005A3B4D">
            <w:pPr>
              <w:jc w:val="right"/>
              <w:rPr>
                <w:color w:val="000000"/>
                <w:sz w:val="20"/>
                <w:szCs w:val="20"/>
              </w:rPr>
            </w:pPr>
            <w:r>
              <w:rPr>
                <w:color w:val="000000"/>
                <w:sz w:val="20"/>
                <w:szCs w:val="20"/>
              </w:rPr>
              <w:t>0.001</w:t>
            </w:r>
          </w:p>
        </w:tc>
      </w:tr>
      <w:tr w:rsidR="00A33B44" w14:paraId="364D3579" w14:textId="77777777" w:rsidTr="005A3B4D">
        <w:trPr>
          <w:trHeight w:val="320"/>
        </w:trPr>
        <w:tc>
          <w:tcPr>
            <w:tcW w:w="1176" w:type="dxa"/>
            <w:tcBorders>
              <w:top w:val="nil"/>
              <w:left w:val="nil"/>
              <w:bottom w:val="nil"/>
              <w:right w:val="nil"/>
            </w:tcBorders>
            <w:shd w:val="clear" w:color="auto" w:fill="auto"/>
            <w:noWrap/>
            <w:vAlign w:val="bottom"/>
            <w:hideMark/>
          </w:tcPr>
          <w:p w14:paraId="4E94F228"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31ACA8A" w14:textId="77777777" w:rsidR="00A33B44" w:rsidRDefault="00A33B44"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5D8DA16"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B33628C" w14:textId="77777777" w:rsidR="00A33B44" w:rsidRDefault="00A33B44" w:rsidP="005A3B4D">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1D5865B6"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42AA37" w14:textId="77777777" w:rsidR="00A33B44" w:rsidRDefault="00A33B44"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0F88FB8A" w14:textId="77777777" w:rsidR="00A33B44" w:rsidRDefault="00A33B44" w:rsidP="005A3B4D">
            <w:pPr>
              <w:jc w:val="right"/>
              <w:rPr>
                <w:color w:val="000000"/>
                <w:sz w:val="20"/>
                <w:szCs w:val="20"/>
              </w:rPr>
            </w:pPr>
            <w:r>
              <w:rPr>
                <w:color w:val="000000"/>
                <w:sz w:val="20"/>
                <w:szCs w:val="20"/>
              </w:rPr>
              <w:t>0.559</w:t>
            </w:r>
          </w:p>
        </w:tc>
        <w:tc>
          <w:tcPr>
            <w:tcW w:w="768" w:type="dxa"/>
            <w:tcBorders>
              <w:top w:val="nil"/>
              <w:left w:val="nil"/>
              <w:bottom w:val="nil"/>
              <w:right w:val="nil"/>
            </w:tcBorders>
            <w:shd w:val="clear" w:color="auto" w:fill="auto"/>
            <w:noWrap/>
            <w:vAlign w:val="bottom"/>
            <w:hideMark/>
          </w:tcPr>
          <w:p w14:paraId="1526A4C4"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68BBF8F" w14:textId="77777777" w:rsidR="00A33B44" w:rsidRDefault="00A33B44"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A4087F2" w14:textId="77777777" w:rsidR="00A33B44" w:rsidRDefault="00A33B44" w:rsidP="005A3B4D">
            <w:pPr>
              <w:jc w:val="right"/>
              <w:rPr>
                <w:color w:val="000000"/>
                <w:sz w:val="20"/>
                <w:szCs w:val="20"/>
              </w:rPr>
            </w:pPr>
            <w:r>
              <w:rPr>
                <w:color w:val="000000"/>
                <w:sz w:val="20"/>
                <w:szCs w:val="20"/>
              </w:rPr>
              <w:t>0.482</w:t>
            </w:r>
          </w:p>
        </w:tc>
        <w:tc>
          <w:tcPr>
            <w:tcW w:w="768" w:type="dxa"/>
            <w:tcBorders>
              <w:top w:val="nil"/>
              <w:left w:val="nil"/>
              <w:bottom w:val="nil"/>
              <w:right w:val="nil"/>
            </w:tcBorders>
            <w:shd w:val="clear" w:color="auto" w:fill="auto"/>
            <w:noWrap/>
            <w:vAlign w:val="bottom"/>
            <w:hideMark/>
          </w:tcPr>
          <w:p w14:paraId="58AC3531"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1817051" w14:textId="77777777" w:rsidR="00A33B44" w:rsidRDefault="00A33B44"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DBEB342" w14:textId="77777777" w:rsidR="00A33B44" w:rsidRDefault="00A33B44" w:rsidP="005A3B4D">
            <w:pPr>
              <w:jc w:val="right"/>
              <w:rPr>
                <w:color w:val="000000"/>
                <w:sz w:val="20"/>
                <w:szCs w:val="20"/>
              </w:rPr>
            </w:pPr>
            <w:r>
              <w:rPr>
                <w:color w:val="000000"/>
                <w:sz w:val="20"/>
                <w:szCs w:val="20"/>
              </w:rPr>
              <w:t>0.841</w:t>
            </w:r>
          </w:p>
        </w:tc>
        <w:tc>
          <w:tcPr>
            <w:tcW w:w="768" w:type="dxa"/>
            <w:tcBorders>
              <w:top w:val="nil"/>
              <w:left w:val="nil"/>
              <w:bottom w:val="nil"/>
              <w:right w:val="nil"/>
            </w:tcBorders>
            <w:shd w:val="clear" w:color="auto" w:fill="auto"/>
            <w:noWrap/>
            <w:vAlign w:val="bottom"/>
            <w:hideMark/>
          </w:tcPr>
          <w:p w14:paraId="57EFD107"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32E285" w14:textId="77777777" w:rsidR="00A33B44" w:rsidRDefault="00A33B44"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928CE27" w14:textId="77777777" w:rsidR="00A33B44" w:rsidRDefault="00A33B44" w:rsidP="005A3B4D">
            <w:pPr>
              <w:jc w:val="right"/>
              <w:rPr>
                <w:color w:val="000000"/>
                <w:sz w:val="20"/>
                <w:szCs w:val="20"/>
              </w:rPr>
            </w:pPr>
            <w:r>
              <w:rPr>
                <w:color w:val="000000"/>
                <w:sz w:val="20"/>
                <w:szCs w:val="20"/>
              </w:rPr>
              <w:t>0.468</w:t>
            </w:r>
          </w:p>
        </w:tc>
        <w:tc>
          <w:tcPr>
            <w:tcW w:w="768" w:type="dxa"/>
            <w:tcBorders>
              <w:top w:val="nil"/>
              <w:left w:val="nil"/>
              <w:bottom w:val="nil"/>
              <w:right w:val="nil"/>
            </w:tcBorders>
            <w:shd w:val="clear" w:color="auto" w:fill="auto"/>
            <w:noWrap/>
            <w:vAlign w:val="bottom"/>
            <w:hideMark/>
          </w:tcPr>
          <w:p w14:paraId="7D796CBB" w14:textId="77777777" w:rsidR="00A33B44" w:rsidRDefault="00A33B44" w:rsidP="005A3B4D">
            <w:pPr>
              <w:jc w:val="right"/>
              <w:rPr>
                <w:color w:val="000000"/>
                <w:sz w:val="20"/>
                <w:szCs w:val="20"/>
              </w:rPr>
            </w:pPr>
            <w:r>
              <w:rPr>
                <w:color w:val="000000"/>
                <w:sz w:val="20"/>
                <w:szCs w:val="20"/>
              </w:rPr>
              <w:t>0.001</w:t>
            </w:r>
          </w:p>
        </w:tc>
      </w:tr>
      <w:tr w:rsidR="00A33B44" w14:paraId="5C63C8A3" w14:textId="77777777" w:rsidTr="005A3B4D">
        <w:trPr>
          <w:trHeight w:val="320"/>
        </w:trPr>
        <w:tc>
          <w:tcPr>
            <w:tcW w:w="1176" w:type="dxa"/>
            <w:tcBorders>
              <w:top w:val="nil"/>
              <w:left w:val="nil"/>
              <w:bottom w:val="nil"/>
              <w:right w:val="nil"/>
            </w:tcBorders>
            <w:shd w:val="clear" w:color="auto" w:fill="auto"/>
            <w:noWrap/>
            <w:vAlign w:val="bottom"/>
            <w:hideMark/>
          </w:tcPr>
          <w:p w14:paraId="4B094064"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CF82993" w14:textId="77777777" w:rsidR="00A33B44" w:rsidRDefault="00A33B44"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75FBFCD" w14:textId="77777777" w:rsidR="00A33B44" w:rsidRDefault="00A33B44"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F4DD551" w14:textId="77777777" w:rsidR="00A33B44" w:rsidRDefault="00A33B44" w:rsidP="005A3B4D">
            <w:pPr>
              <w:jc w:val="right"/>
              <w:rPr>
                <w:color w:val="000000"/>
                <w:sz w:val="20"/>
                <w:szCs w:val="20"/>
              </w:rPr>
            </w:pPr>
            <w:r>
              <w:rPr>
                <w:color w:val="000000"/>
                <w:sz w:val="20"/>
                <w:szCs w:val="20"/>
              </w:rPr>
              <w:t>0.627</w:t>
            </w:r>
          </w:p>
        </w:tc>
        <w:tc>
          <w:tcPr>
            <w:tcW w:w="768" w:type="dxa"/>
            <w:tcBorders>
              <w:top w:val="nil"/>
              <w:left w:val="nil"/>
              <w:bottom w:val="nil"/>
              <w:right w:val="nil"/>
            </w:tcBorders>
            <w:shd w:val="clear" w:color="auto" w:fill="auto"/>
            <w:noWrap/>
            <w:vAlign w:val="bottom"/>
            <w:hideMark/>
          </w:tcPr>
          <w:p w14:paraId="77FD66F4"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F63995F"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FFBFBB" w14:textId="77777777" w:rsidR="00A33B44" w:rsidRDefault="00A33B44" w:rsidP="005A3B4D">
            <w:pPr>
              <w:jc w:val="right"/>
              <w:rPr>
                <w:color w:val="000000"/>
                <w:sz w:val="20"/>
                <w:szCs w:val="20"/>
              </w:rPr>
            </w:pPr>
            <w:r>
              <w:rPr>
                <w:color w:val="000000"/>
                <w:sz w:val="20"/>
                <w:szCs w:val="20"/>
              </w:rPr>
              <w:t>0.974</w:t>
            </w:r>
          </w:p>
        </w:tc>
        <w:tc>
          <w:tcPr>
            <w:tcW w:w="768" w:type="dxa"/>
            <w:tcBorders>
              <w:top w:val="nil"/>
              <w:left w:val="nil"/>
              <w:bottom w:val="nil"/>
              <w:right w:val="nil"/>
            </w:tcBorders>
            <w:shd w:val="clear" w:color="auto" w:fill="auto"/>
            <w:noWrap/>
            <w:vAlign w:val="bottom"/>
            <w:hideMark/>
          </w:tcPr>
          <w:p w14:paraId="006B4A32"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F0A0ACD" w14:textId="77777777" w:rsidR="00A33B44" w:rsidRDefault="00A33B44" w:rsidP="005A3B4D">
            <w:pPr>
              <w:jc w:val="right"/>
              <w:rPr>
                <w:b/>
                <w:bCs/>
                <w:color w:val="000000"/>
                <w:sz w:val="20"/>
                <w:szCs w:val="20"/>
              </w:rPr>
            </w:pPr>
            <w:r>
              <w:rPr>
                <w:b/>
                <w:bCs/>
                <w:color w:val="000000"/>
                <w:sz w:val="20"/>
                <w:szCs w:val="20"/>
              </w:rPr>
              <w:t>-0.100</w:t>
            </w:r>
          </w:p>
        </w:tc>
        <w:tc>
          <w:tcPr>
            <w:tcW w:w="768" w:type="dxa"/>
            <w:tcBorders>
              <w:top w:val="nil"/>
              <w:left w:val="nil"/>
              <w:bottom w:val="nil"/>
              <w:right w:val="nil"/>
            </w:tcBorders>
            <w:shd w:val="clear" w:color="auto" w:fill="auto"/>
            <w:noWrap/>
            <w:vAlign w:val="bottom"/>
            <w:hideMark/>
          </w:tcPr>
          <w:p w14:paraId="2F4D1B83" w14:textId="77777777" w:rsidR="00A33B44" w:rsidRDefault="00A33B44"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C25490B" w14:textId="77777777" w:rsidR="00A33B44" w:rsidRDefault="00A33B44" w:rsidP="005A3B4D">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7D700206" w14:textId="77777777" w:rsidR="00A33B44" w:rsidRDefault="00A33B44"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D0A8C3A" w14:textId="77777777" w:rsidR="00A33B44" w:rsidRDefault="00A33B44" w:rsidP="005A3B4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28B26437"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EBB4EF8" w14:textId="77777777" w:rsidR="00A33B44" w:rsidRDefault="00A33B44" w:rsidP="005A3B4D">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52D17AC0" w14:textId="77777777" w:rsidR="00A33B44" w:rsidRDefault="00A33B44"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495EFEDA" w14:textId="77777777" w:rsidR="00A33B44" w:rsidRDefault="00A33B44" w:rsidP="005A3B4D">
            <w:pPr>
              <w:jc w:val="right"/>
              <w:rPr>
                <w:color w:val="000000"/>
                <w:sz w:val="20"/>
                <w:szCs w:val="20"/>
              </w:rPr>
            </w:pPr>
            <w:r>
              <w:rPr>
                <w:color w:val="000000"/>
                <w:sz w:val="20"/>
                <w:szCs w:val="20"/>
              </w:rPr>
              <w:t>0.008</w:t>
            </w:r>
          </w:p>
        </w:tc>
      </w:tr>
      <w:tr w:rsidR="00A33B44" w14:paraId="48D14B24" w14:textId="77777777" w:rsidTr="005A3B4D">
        <w:trPr>
          <w:trHeight w:val="320"/>
        </w:trPr>
        <w:tc>
          <w:tcPr>
            <w:tcW w:w="1176" w:type="dxa"/>
            <w:tcBorders>
              <w:top w:val="nil"/>
              <w:left w:val="nil"/>
              <w:bottom w:val="nil"/>
              <w:right w:val="nil"/>
            </w:tcBorders>
            <w:shd w:val="clear" w:color="auto" w:fill="auto"/>
            <w:noWrap/>
            <w:vAlign w:val="bottom"/>
            <w:hideMark/>
          </w:tcPr>
          <w:p w14:paraId="7B14EE14"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CFE5F70" w14:textId="77777777" w:rsidR="00A33B44" w:rsidRDefault="00A33B44"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5A0345C" w14:textId="77777777" w:rsidR="00A33B44" w:rsidRDefault="00A33B44"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1E05A430" w14:textId="77777777" w:rsidR="00A33B44" w:rsidRDefault="00A33B44" w:rsidP="005A3B4D">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5978752A"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D33C124" w14:textId="77777777" w:rsidR="00A33B44" w:rsidRDefault="00A33B44"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5859011" w14:textId="77777777" w:rsidR="00A33B44" w:rsidRDefault="00A33B44" w:rsidP="005A3B4D">
            <w:pPr>
              <w:jc w:val="right"/>
              <w:rPr>
                <w:color w:val="000000"/>
                <w:sz w:val="20"/>
                <w:szCs w:val="20"/>
              </w:rPr>
            </w:pPr>
            <w:r>
              <w:rPr>
                <w:color w:val="000000"/>
                <w:sz w:val="20"/>
                <w:szCs w:val="20"/>
              </w:rPr>
              <w:t>0.974</w:t>
            </w:r>
          </w:p>
        </w:tc>
        <w:tc>
          <w:tcPr>
            <w:tcW w:w="768" w:type="dxa"/>
            <w:tcBorders>
              <w:top w:val="nil"/>
              <w:left w:val="nil"/>
              <w:bottom w:val="nil"/>
              <w:right w:val="nil"/>
            </w:tcBorders>
            <w:shd w:val="clear" w:color="auto" w:fill="auto"/>
            <w:noWrap/>
            <w:vAlign w:val="bottom"/>
            <w:hideMark/>
          </w:tcPr>
          <w:p w14:paraId="2FF4BE1C"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2DFB28" w14:textId="77777777" w:rsidR="00A33B44" w:rsidRDefault="00A33B44"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E091636" w14:textId="77777777" w:rsidR="00A33B44" w:rsidRDefault="00A33B44" w:rsidP="005A3B4D">
            <w:pPr>
              <w:jc w:val="right"/>
              <w:rPr>
                <w:color w:val="000000"/>
                <w:sz w:val="20"/>
                <w:szCs w:val="20"/>
              </w:rPr>
            </w:pPr>
            <w:r>
              <w:rPr>
                <w:color w:val="000000"/>
                <w:sz w:val="20"/>
                <w:szCs w:val="20"/>
              </w:rPr>
              <w:t>0.444</w:t>
            </w:r>
          </w:p>
        </w:tc>
        <w:tc>
          <w:tcPr>
            <w:tcW w:w="768" w:type="dxa"/>
            <w:tcBorders>
              <w:top w:val="nil"/>
              <w:left w:val="nil"/>
              <w:bottom w:val="nil"/>
              <w:right w:val="nil"/>
            </w:tcBorders>
            <w:shd w:val="clear" w:color="auto" w:fill="auto"/>
            <w:noWrap/>
            <w:vAlign w:val="bottom"/>
            <w:hideMark/>
          </w:tcPr>
          <w:p w14:paraId="0DA5BF95"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B35FD1"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E6FA09B" w14:textId="77777777" w:rsidR="00A33B44" w:rsidRDefault="00A33B44" w:rsidP="005A3B4D">
            <w:pPr>
              <w:jc w:val="right"/>
              <w:rPr>
                <w:color w:val="000000"/>
                <w:sz w:val="20"/>
                <w:szCs w:val="20"/>
              </w:rPr>
            </w:pPr>
            <w:r>
              <w:rPr>
                <w:color w:val="000000"/>
                <w:sz w:val="20"/>
                <w:szCs w:val="20"/>
              </w:rPr>
              <w:t>0.841</w:t>
            </w:r>
          </w:p>
        </w:tc>
        <w:tc>
          <w:tcPr>
            <w:tcW w:w="768" w:type="dxa"/>
            <w:tcBorders>
              <w:top w:val="nil"/>
              <w:left w:val="nil"/>
              <w:bottom w:val="nil"/>
              <w:right w:val="nil"/>
            </w:tcBorders>
            <w:shd w:val="clear" w:color="auto" w:fill="auto"/>
            <w:noWrap/>
            <w:vAlign w:val="bottom"/>
            <w:hideMark/>
          </w:tcPr>
          <w:p w14:paraId="5B711F51"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CB4B6E" w14:textId="77777777" w:rsidR="00A33B44" w:rsidRDefault="00A33B44"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1B198F1C" w14:textId="77777777" w:rsidR="00A33B44" w:rsidRDefault="00A33B44" w:rsidP="005A3B4D">
            <w:pPr>
              <w:jc w:val="right"/>
              <w:rPr>
                <w:color w:val="000000"/>
                <w:sz w:val="20"/>
                <w:szCs w:val="20"/>
              </w:rPr>
            </w:pPr>
            <w:r>
              <w:rPr>
                <w:color w:val="000000"/>
                <w:sz w:val="20"/>
                <w:szCs w:val="20"/>
              </w:rPr>
              <w:t>0.436</w:t>
            </w:r>
          </w:p>
        </w:tc>
        <w:tc>
          <w:tcPr>
            <w:tcW w:w="768" w:type="dxa"/>
            <w:tcBorders>
              <w:top w:val="nil"/>
              <w:left w:val="nil"/>
              <w:bottom w:val="nil"/>
              <w:right w:val="nil"/>
            </w:tcBorders>
            <w:shd w:val="clear" w:color="auto" w:fill="auto"/>
            <w:noWrap/>
            <w:vAlign w:val="bottom"/>
            <w:hideMark/>
          </w:tcPr>
          <w:p w14:paraId="3E93D7F9" w14:textId="77777777" w:rsidR="00A33B44" w:rsidRDefault="00A33B44" w:rsidP="005A3B4D">
            <w:pPr>
              <w:jc w:val="right"/>
              <w:rPr>
                <w:color w:val="000000"/>
                <w:sz w:val="20"/>
                <w:szCs w:val="20"/>
              </w:rPr>
            </w:pPr>
            <w:r>
              <w:rPr>
                <w:color w:val="000000"/>
                <w:sz w:val="20"/>
                <w:szCs w:val="20"/>
              </w:rPr>
              <w:t>0.002</w:t>
            </w:r>
          </w:p>
        </w:tc>
      </w:tr>
      <w:tr w:rsidR="00A33B44" w14:paraId="065218F3"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203C7C32" w14:textId="77777777" w:rsidR="00A33B44" w:rsidRDefault="00A33B44"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B755504" w14:textId="77777777" w:rsidR="00A33B44" w:rsidRDefault="00A33B44"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F4B65E6" w14:textId="77777777" w:rsidR="00A33B44" w:rsidRDefault="00A33B44" w:rsidP="005A3B4D">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3A911487" w14:textId="77777777" w:rsidR="00A33B44" w:rsidRDefault="00A33B44" w:rsidP="005A3B4D">
            <w:pPr>
              <w:jc w:val="right"/>
              <w:rPr>
                <w:color w:val="000000"/>
                <w:sz w:val="20"/>
                <w:szCs w:val="20"/>
              </w:rPr>
            </w:pPr>
            <w:r>
              <w:rPr>
                <w:color w:val="000000"/>
                <w:sz w:val="20"/>
                <w:szCs w:val="20"/>
              </w:rPr>
              <w:t>0.627</w:t>
            </w:r>
          </w:p>
        </w:tc>
        <w:tc>
          <w:tcPr>
            <w:tcW w:w="768" w:type="dxa"/>
            <w:tcBorders>
              <w:top w:val="nil"/>
              <w:left w:val="nil"/>
              <w:bottom w:val="single" w:sz="4" w:space="0" w:color="auto"/>
              <w:right w:val="nil"/>
            </w:tcBorders>
            <w:shd w:val="clear" w:color="auto" w:fill="auto"/>
            <w:noWrap/>
            <w:vAlign w:val="bottom"/>
            <w:hideMark/>
          </w:tcPr>
          <w:p w14:paraId="6ACD4F24"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161F896" w14:textId="77777777" w:rsidR="00A33B44" w:rsidRDefault="00A33B44" w:rsidP="005A3B4D">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068A6A89" w14:textId="77777777" w:rsidR="00A33B44" w:rsidRDefault="00A33B44" w:rsidP="005A3B4D">
            <w:pPr>
              <w:jc w:val="right"/>
              <w:rPr>
                <w:color w:val="000000"/>
                <w:sz w:val="20"/>
                <w:szCs w:val="20"/>
              </w:rPr>
            </w:pPr>
            <w:r>
              <w:rPr>
                <w:color w:val="000000"/>
                <w:sz w:val="20"/>
                <w:szCs w:val="20"/>
              </w:rPr>
              <w:t>0.410</w:t>
            </w:r>
          </w:p>
        </w:tc>
        <w:tc>
          <w:tcPr>
            <w:tcW w:w="768" w:type="dxa"/>
            <w:tcBorders>
              <w:top w:val="nil"/>
              <w:left w:val="nil"/>
              <w:bottom w:val="single" w:sz="4" w:space="0" w:color="auto"/>
              <w:right w:val="nil"/>
            </w:tcBorders>
            <w:shd w:val="clear" w:color="auto" w:fill="auto"/>
            <w:noWrap/>
            <w:vAlign w:val="bottom"/>
            <w:hideMark/>
          </w:tcPr>
          <w:p w14:paraId="0725CDA9"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504F6F3C" w14:textId="77777777" w:rsidR="00A33B44" w:rsidRDefault="00A33B44" w:rsidP="005A3B4D">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126B3C66" w14:textId="77777777" w:rsidR="00A33B44" w:rsidRDefault="00A33B44" w:rsidP="005A3B4D">
            <w:pPr>
              <w:jc w:val="right"/>
              <w:rPr>
                <w:color w:val="000000"/>
                <w:sz w:val="20"/>
                <w:szCs w:val="20"/>
              </w:rPr>
            </w:pPr>
            <w:r>
              <w:rPr>
                <w:color w:val="000000"/>
                <w:sz w:val="20"/>
                <w:szCs w:val="20"/>
              </w:rPr>
              <w:t>0.445</w:t>
            </w:r>
          </w:p>
        </w:tc>
        <w:tc>
          <w:tcPr>
            <w:tcW w:w="768" w:type="dxa"/>
            <w:tcBorders>
              <w:top w:val="nil"/>
              <w:left w:val="nil"/>
              <w:bottom w:val="single" w:sz="4" w:space="0" w:color="auto"/>
              <w:right w:val="nil"/>
            </w:tcBorders>
            <w:shd w:val="clear" w:color="auto" w:fill="auto"/>
            <w:noWrap/>
            <w:vAlign w:val="bottom"/>
            <w:hideMark/>
          </w:tcPr>
          <w:p w14:paraId="36F8C23D"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004065F2"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4193A8D7" w14:textId="77777777" w:rsidR="00A33B44" w:rsidRDefault="00A33B44" w:rsidP="005A3B4D">
            <w:pPr>
              <w:jc w:val="right"/>
              <w:rPr>
                <w:color w:val="000000"/>
                <w:sz w:val="20"/>
                <w:szCs w:val="20"/>
              </w:rPr>
            </w:pPr>
            <w:r>
              <w:rPr>
                <w:color w:val="000000"/>
                <w:sz w:val="20"/>
                <w:szCs w:val="20"/>
              </w:rPr>
              <w:t>0.841</w:t>
            </w:r>
          </w:p>
        </w:tc>
        <w:tc>
          <w:tcPr>
            <w:tcW w:w="768" w:type="dxa"/>
            <w:tcBorders>
              <w:top w:val="nil"/>
              <w:left w:val="nil"/>
              <w:bottom w:val="single" w:sz="4" w:space="0" w:color="auto"/>
              <w:right w:val="nil"/>
            </w:tcBorders>
            <w:shd w:val="clear" w:color="auto" w:fill="auto"/>
            <w:noWrap/>
            <w:vAlign w:val="bottom"/>
            <w:hideMark/>
          </w:tcPr>
          <w:p w14:paraId="58C11539"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2582120"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09FB6DF1" w14:textId="77777777" w:rsidR="00A33B44" w:rsidRDefault="00A33B44" w:rsidP="005A3B4D">
            <w:pPr>
              <w:jc w:val="right"/>
              <w:rPr>
                <w:color w:val="000000"/>
                <w:sz w:val="20"/>
                <w:szCs w:val="20"/>
              </w:rPr>
            </w:pPr>
            <w:r>
              <w:rPr>
                <w:color w:val="000000"/>
                <w:sz w:val="20"/>
                <w:szCs w:val="20"/>
              </w:rPr>
              <w:t>0.931</w:t>
            </w:r>
          </w:p>
        </w:tc>
        <w:tc>
          <w:tcPr>
            <w:tcW w:w="768" w:type="dxa"/>
            <w:tcBorders>
              <w:top w:val="nil"/>
              <w:left w:val="nil"/>
              <w:bottom w:val="single" w:sz="4" w:space="0" w:color="auto"/>
              <w:right w:val="nil"/>
            </w:tcBorders>
            <w:shd w:val="clear" w:color="auto" w:fill="auto"/>
            <w:noWrap/>
            <w:vAlign w:val="bottom"/>
            <w:hideMark/>
          </w:tcPr>
          <w:p w14:paraId="0DB57B91" w14:textId="77777777" w:rsidR="00A33B44" w:rsidRDefault="00A33B44" w:rsidP="005A3B4D">
            <w:pPr>
              <w:jc w:val="right"/>
              <w:rPr>
                <w:color w:val="000000"/>
                <w:sz w:val="20"/>
                <w:szCs w:val="20"/>
              </w:rPr>
            </w:pPr>
            <w:r>
              <w:rPr>
                <w:color w:val="000000"/>
                <w:sz w:val="20"/>
                <w:szCs w:val="20"/>
              </w:rPr>
              <w:t>0.000</w:t>
            </w:r>
          </w:p>
        </w:tc>
      </w:tr>
      <w:tr w:rsidR="00A33B44" w14:paraId="193816C1" w14:textId="77777777" w:rsidTr="005A3B4D">
        <w:trPr>
          <w:trHeight w:val="320"/>
        </w:trPr>
        <w:tc>
          <w:tcPr>
            <w:tcW w:w="1176" w:type="dxa"/>
            <w:tcBorders>
              <w:top w:val="nil"/>
              <w:left w:val="nil"/>
              <w:bottom w:val="nil"/>
              <w:right w:val="nil"/>
            </w:tcBorders>
            <w:shd w:val="clear" w:color="auto" w:fill="auto"/>
            <w:noWrap/>
            <w:vAlign w:val="bottom"/>
            <w:hideMark/>
          </w:tcPr>
          <w:p w14:paraId="1693DE1C" w14:textId="77777777" w:rsidR="00A33B44" w:rsidRDefault="00A33B44"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41BCA05E" w14:textId="77777777" w:rsidR="00A33B44" w:rsidRDefault="00A33B44"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C60FD37" w14:textId="77777777" w:rsidR="00A33B44" w:rsidRDefault="00A33B44"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FDF1F04" w14:textId="77777777" w:rsidR="00A33B44" w:rsidRDefault="00A33B44" w:rsidP="005A3B4D">
            <w:pPr>
              <w:jc w:val="right"/>
              <w:rPr>
                <w:color w:val="000000"/>
                <w:sz w:val="20"/>
                <w:szCs w:val="20"/>
              </w:rPr>
            </w:pPr>
            <w:r>
              <w:rPr>
                <w:color w:val="000000"/>
                <w:sz w:val="20"/>
                <w:szCs w:val="20"/>
              </w:rPr>
              <w:t>0.814</w:t>
            </w:r>
          </w:p>
        </w:tc>
        <w:tc>
          <w:tcPr>
            <w:tcW w:w="768" w:type="dxa"/>
            <w:tcBorders>
              <w:top w:val="nil"/>
              <w:left w:val="nil"/>
              <w:bottom w:val="nil"/>
              <w:right w:val="nil"/>
            </w:tcBorders>
            <w:shd w:val="clear" w:color="auto" w:fill="auto"/>
            <w:noWrap/>
            <w:vAlign w:val="bottom"/>
            <w:hideMark/>
          </w:tcPr>
          <w:p w14:paraId="1DB5B5FF"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13AD6F" w14:textId="77777777" w:rsidR="00A33B44" w:rsidRDefault="00A33B44"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0F16533" w14:textId="77777777" w:rsidR="00A33B44" w:rsidRDefault="00A33B44" w:rsidP="005A3B4D">
            <w:pPr>
              <w:jc w:val="right"/>
              <w:rPr>
                <w:color w:val="000000"/>
                <w:sz w:val="20"/>
                <w:szCs w:val="20"/>
              </w:rPr>
            </w:pPr>
            <w:r>
              <w:rPr>
                <w:color w:val="000000"/>
                <w:sz w:val="20"/>
                <w:szCs w:val="20"/>
              </w:rPr>
              <w:t>0.644</w:t>
            </w:r>
          </w:p>
        </w:tc>
        <w:tc>
          <w:tcPr>
            <w:tcW w:w="768" w:type="dxa"/>
            <w:tcBorders>
              <w:top w:val="nil"/>
              <w:left w:val="nil"/>
              <w:bottom w:val="nil"/>
              <w:right w:val="nil"/>
            </w:tcBorders>
            <w:shd w:val="clear" w:color="auto" w:fill="auto"/>
            <w:noWrap/>
            <w:vAlign w:val="bottom"/>
            <w:hideMark/>
          </w:tcPr>
          <w:p w14:paraId="17C42242"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62F173" w14:textId="77777777" w:rsidR="00A33B44" w:rsidRDefault="00A33B44"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0D5C0D1" w14:textId="77777777" w:rsidR="00A33B44" w:rsidRDefault="00A33B44" w:rsidP="005A3B4D">
            <w:pPr>
              <w:jc w:val="right"/>
              <w:rPr>
                <w:color w:val="000000"/>
                <w:sz w:val="20"/>
                <w:szCs w:val="20"/>
              </w:rPr>
            </w:pPr>
            <w:r>
              <w:rPr>
                <w:color w:val="000000"/>
                <w:sz w:val="20"/>
                <w:szCs w:val="20"/>
              </w:rPr>
              <w:t>0.570</w:t>
            </w:r>
          </w:p>
        </w:tc>
        <w:tc>
          <w:tcPr>
            <w:tcW w:w="768" w:type="dxa"/>
            <w:tcBorders>
              <w:top w:val="nil"/>
              <w:left w:val="nil"/>
              <w:bottom w:val="nil"/>
              <w:right w:val="nil"/>
            </w:tcBorders>
            <w:shd w:val="clear" w:color="auto" w:fill="auto"/>
            <w:noWrap/>
            <w:vAlign w:val="bottom"/>
            <w:hideMark/>
          </w:tcPr>
          <w:p w14:paraId="4352C4F4"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5A92DD" w14:textId="77777777" w:rsidR="00A33B44" w:rsidRDefault="00A33B44" w:rsidP="005A3B4D">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02C11A68" w14:textId="77777777" w:rsidR="00A33B44" w:rsidRDefault="00A33B44"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451EAD65"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4EEDC93" w14:textId="77777777" w:rsidR="00A33B44" w:rsidRDefault="00A33B44"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1A90DEED" w14:textId="77777777" w:rsidR="00A33B44" w:rsidRDefault="00A33B44" w:rsidP="005A3B4D">
            <w:pPr>
              <w:jc w:val="right"/>
              <w:rPr>
                <w:color w:val="000000"/>
                <w:sz w:val="20"/>
                <w:szCs w:val="20"/>
              </w:rPr>
            </w:pPr>
            <w:r>
              <w:rPr>
                <w:color w:val="000000"/>
                <w:sz w:val="20"/>
                <w:szCs w:val="20"/>
              </w:rPr>
              <w:t>0.325</w:t>
            </w:r>
          </w:p>
        </w:tc>
        <w:tc>
          <w:tcPr>
            <w:tcW w:w="768" w:type="dxa"/>
            <w:tcBorders>
              <w:top w:val="nil"/>
              <w:left w:val="nil"/>
              <w:bottom w:val="nil"/>
              <w:right w:val="nil"/>
            </w:tcBorders>
            <w:shd w:val="clear" w:color="auto" w:fill="auto"/>
            <w:noWrap/>
            <w:vAlign w:val="bottom"/>
            <w:hideMark/>
          </w:tcPr>
          <w:p w14:paraId="42C4F6AD" w14:textId="77777777" w:rsidR="00A33B44" w:rsidRDefault="00A33B44" w:rsidP="005A3B4D">
            <w:pPr>
              <w:jc w:val="right"/>
              <w:rPr>
                <w:color w:val="000000"/>
                <w:sz w:val="20"/>
                <w:szCs w:val="20"/>
              </w:rPr>
            </w:pPr>
            <w:r>
              <w:rPr>
                <w:color w:val="000000"/>
                <w:sz w:val="20"/>
                <w:szCs w:val="20"/>
              </w:rPr>
              <w:t>0.003</w:t>
            </w:r>
          </w:p>
        </w:tc>
      </w:tr>
      <w:tr w:rsidR="00A33B44" w14:paraId="493EAFC4" w14:textId="77777777" w:rsidTr="005A3B4D">
        <w:trPr>
          <w:trHeight w:val="320"/>
        </w:trPr>
        <w:tc>
          <w:tcPr>
            <w:tcW w:w="1176" w:type="dxa"/>
            <w:tcBorders>
              <w:top w:val="nil"/>
              <w:left w:val="nil"/>
              <w:bottom w:val="nil"/>
              <w:right w:val="nil"/>
            </w:tcBorders>
            <w:shd w:val="clear" w:color="auto" w:fill="auto"/>
            <w:noWrap/>
            <w:vAlign w:val="bottom"/>
            <w:hideMark/>
          </w:tcPr>
          <w:p w14:paraId="17CD9DAB"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265B66" w14:textId="77777777" w:rsidR="00A33B44" w:rsidRDefault="00A33B44"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88D2D53" w14:textId="77777777" w:rsidR="00A33B44" w:rsidRDefault="00A33B44"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B1097C0" w14:textId="77777777" w:rsidR="00A33B44" w:rsidRDefault="00A33B44" w:rsidP="005A3B4D">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769A8F57"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7A00B5" w14:textId="77777777" w:rsidR="00A33B44" w:rsidRDefault="00A33B44"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D79DC39" w14:textId="77777777" w:rsidR="00A33B44" w:rsidRDefault="00A33B44" w:rsidP="005A3B4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07024097"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749813" w14:textId="77777777" w:rsidR="00A33B44" w:rsidRDefault="00A33B44"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1FFB0C16" w14:textId="77777777" w:rsidR="00A33B44" w:rsidRDefault="00A33B44" w:rsidP="005A3B4D">
            <w:pPr>
              <w:jc w:val="right"/>
              <w:rPr>
                <w:color w:val="000000"/>
                <w:sz w:val="20"/>
                <w:szCs w:val="20"/>
              </w:rPr>
            </w:pPr>
            <w:r>
              <w:rPr>
                <w:color w:val="000000"/>
                <w:sz w:val="20"/>
                <w:szCs w:val="20"/>
              </w:rPr>
              <w:t>0.362</w:t>
            </w:r>
          </w:p>
        </w:tc>
        <w:tc>
          <w:tcPr>
            <w:tcW w:w="768" w:type="dxa"/>
            <w:tcBorders>
              <w:top w:val="nil"/>
              <w:left w:val="nil"/>
              <w:bottom w:val="nil"/>
              <w:right w:val="nil"/>
            </w:tcBorders>
            <w:shd w:val="clear" w:color="auto" w:fill="auto"/>
            <w:noWrap/>
            <w:vAlign w:val="bottom"/>
            <w:hideMark/>
          </w:tcPr>
          <w:p w14:paraId="7D0B7324"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B4D3366" w14:textId="77777777" w:rsidR="00A33B44" w:rsidRDefault="00A33B44"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BB9ABB2" w14:textId="77777777" w:rsidR="00A33B44" w:rsidRDefault="00A33B44" w:rsidP="005A3B4D">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3CFC84C3"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7DF00D" w14:textId="77777777" w:rsidR="00A33B44" w:rsidRDefault="00A33B44"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06EF9F2" w14:textId="77777777" w:rsidR="00A33B44" w:rsidRDefault="00A33B44" w:rsidP="005A3B4D">
            <w:pPr>
              <w:jc w:val="right"/>
              <w:rPr>
                <w:color w:val="000000"/>
                <w:sz w:val="20"/>
                <w:szCs w:val="20"/>
              </w:rPr>
            </w:pPr>
            <w:r>
              <w:rPr>
                <w:color w:val="000000"/>
                <w:sz w:val="20"/>
                <w:szCs w:val="20"/>
              </w:rPr>
              <w:t>0.713</w:t>
            </w:r>
          </w:p>
        </w:tc>
        <w:tc>
          <w:tcPr>
            <w:tcW w:w="768" w:type="dxa"/>
            <w:tcBorders>
              <w:top w:val="nil"/>
              <w:left w:val="nil"/>
              <w:bottom w:val="nil"/>
              <w:right w:val="nil"/>
            </w:tcBorders>
            <w:shd w:val="clear" w:color="auto" w:fill="auto"/>
            <w:noWrap/>
            <w:vAlign w:val="bottom"/>
            <w:hideMark/>
          </w:tcPr>
          <w:p w14:paraId="3C775683" w14:textId="77777777" w:rsidR="00A33B44" w:rsidRDefault="00A33B44" w:rsidP="005A3B4D">
            <w:pPr>
              <w:jc w:val="right"/>
              <w:rPr>
                <w:color w:val="000000"/>
                <w:sz w:val="20"/>
                <w:szCs w:val="20"/>
              </w:rPr>
            </w:pPr>
            <w:r>
              <w:rPr>
                <w:color w:val="000000"/>
                <w:sz w:val="20"/>
                <w:szCs w:val="20"/>
              </w:rPr>
              <w:t>0.000</w:t>
            </w:r>
          </w:p>
        </w:tc>
      </w:tr>
      <w:tr w:rsidR="00A33B44" w14:paraId="326B7CDF" w14:textId="77777777" w:rsidTr="005A3B4D">
        <w:trPr>
          <w:trHeight w:val="320"/>
        </w:trPr>
        <w:tc>
          <w:tcPr>
            <w:tcW w:w="1176" w:type="dxa"/>
            <w:tcBorders>
              <w:top w:val="nil"/>
              <w:left w:val="nil"/>
              <w:bottom w:val="nil"/>
              <w:right w:val="nil"/>
            </w:tcBorders>
            <w:shd w:val="clear" w:color="auto" w:fill="auto"/>
            <w:noWrap/>
            <w:vAlign w:val="bottom"/>
            <w:hideMark/>
          </w:tcPr>
          <w:p w14:paraId="04E9BEC9"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648CA90" w14:textId="77777777" w:rsidR="00A33B44" w:rsidRDefault="00A33B44"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18FA9DE" w14:textId="77777777" w:rsidR="00A33B44" w:rsidRDefault="00A33B44"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7F745BEC" w14:textId="77777777" w:rsidR="00A33B44" w:rsidRDefault="00A33B44" w:rsidP="005A3B4D">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2DF7685E"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76BB84A" w14:textId="77777777" w:rsidR="00A33B44" w:rsidRDefault="00A33B44"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4A89B610" w14:textId="77777777" w:rsidR="00A33B44" w:rsidRDefault="00A33B44" w:rsidP="005A3B4D">
            <w:pPr>
              <w:jc w:val="right"/>
              <w:rPr>
                <w:color w:val="000000"/>
                <w:sz w:val="20"/>
                <w:szCs w:val="20"/>
              </w:rPr>
            </w:pPr>
            <w:r>
              <w:rPr>
                <w:color w:val="000000"/>
                <w:sz w:val="20"/>
                <w:szCs w:val="20"/>
              </w:rPr>
              <w:t>0.644</w:t>
            </w:r>
          </w:p>
        </w:tc>
        <w:tc>
          <w:tcPr>
            <w:tcW w:w="768" w:type="dxa"/>
            <w:tcBorders>
              <w:top w:val="nil"/>
              <w:left w:val="nil"/>
              <w:bottom w:val="nil"/>
              <w:right w:val="nil"/>
            </w:tcBorders>
            <w:shd w:val="clear" w:color="auto" w:fill="auto"/>
            <w:noWrap/>
            <w:vAlign w:val="bottom"/>
            <w:hideMark/>
          </w:tcPr>
          <w:p w14:paraId="201A7315"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1BDBC5B" w14:textId="77777777" w:rsidR="00A33B44" w:rsidRDefault="00A33B44"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6EFACB9" w14:textId="77777777" w:rsidR="00A33B44" w:rsidRDefault="00A33B44" w:rsidP="005A3B4D">
            <w:pPr>
              <w:jc w:val="right"/>
              <w:rPr>
                <w:color w:val="000000"/>
                <w:sz w:val="20"/>
                <w:szCs w:val="20"/>
              </w:rPr>
            </w:pPr>
            <w:r>
              <w:rPr>
                <w:color w:val="000000"/>
                <w:sz w:val="20"/>
                <w:szCs w:val="20"/>
              </w:rPr>
              <w:t>0.563</w:t>
            </w:r>
          </w:p>
        </w:tc>
        <w:tc>
          <w:tcPr>
            <w:tcW w:w="768" w:type="dxa"/>
            <w:tcBorders>
              <w:top w:val="nil"/>
              <w:left w:val="nil"/>
              <w:bottom w:val="nil"/>
              <w:right w:val="nil"/>
            </w:tcBorders>
            <w:shd w:val="clear" w:color="auto" w:fill="auto"/>
            <w:noWrap/>
            <w:vAlign w:val="bottom"/>
            <w:hideMark/>
          </w:tcPr>
          <w:p w14:paraId="43C221DA"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999093"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4C0BDA" w14:textId="77777777" w:rsidR="00A33B44" w:rsidRDefault="00A33B44" w:rsidP="005A3B4D">
            <w:pPr>
              <w:jc w:val="right"/>
              <w:rPr>
                <w:color w:val="000000"/>
                <w:sz w:val="20"/>
                <w:szCs w:val="20"/>
              </w:rPr>
            </w:pPr>
            <w:r>
              <w:rPr>
                <w:color w:val="000000"/>
                <w:sz w:val="20"/>
                <w:szCs w:val="20"/>
              </w:rPr>
              <w:t>0.993</w:t>
            </w:r>
          </w:p>
        </w:tc>
        <w:tc>
          <w:tcPr>
            <w:tcW w:w="768" w:type="dxa"/>
            <w:tcBorders>
              <w:top w:val="nil"/>
              <w:left w:val="nil"/>
              <w:bottom w:val="nil"/>
              <w:right w:val="nil"/>
            </w:tcBorders>
            <w:shd w:val="clear" w:color="auto" w:fill="auto"/>
            <w:noWrap/>
            <w:vAlign w:val="bottom"/>
            <w:hideMark/>
          </w:tcPr>
          <w:p w14:paraId="776F89BA"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03951E" w14:textId="77777777" w:rsidR="00A33B44" w:rsidRDefault="00A33B44" w:rsidP="005A3B4D">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5D7C4CC7" w14:textId="77777777" w:rsidR="00A33B44" w:rsidRDefault="00A33B44" w:rsidP="005A3B4D">
            <w:pPr>
              <w:jc w:val="right"/>
              <w:rPr>
                <w:color w:val="000000"/>
                <w:sz w:val="20"/>
                <w:szCs w:val="20"/>
              </w:rPr>
            </w:pPr>
            <w:r>
              <w:rPr>
                <w:color w:val="000000"/>
                <w:sz w:val="20"/>
                <w:szCs w:val="20"/>
              </w:rPr>
              <w:t>0.284</w:t>
            </w:r>
          </w:p>
        </w:tc>
        <w:tc>
          <w:tcPr>
            <w:tcW w:w="768" w:type="dxa"/>
            <w:tcBorders>
              <w:top w:val="nil"/>
              <w:left w:val="nil"/>
              <w:bottom w:val="nil"/>
              <w:right w:val="nil"/>
            </w:tcBorders>
            <w:shd w:val="clear" w:color="auto" w:fill="auto"/>
            <w:noWrap/>
            <w:vAlign w:val="bottom"/>
            <w:hideMark/>
          </w:tcPr>
          <w:p w14:paraId="049A66EE" w14:textId="77777777" w:rsidR="00A33B44" w:rsidRDefault="00A33B44" w:rsidP="005A3B4D">
            <w:pPr>
              <w:jc w:val="right"/>
              <w:rPr>
                <w:color w:val="000000"/>
                <w:sz w:val="20"/>
                <w:szCs w:val="20"/>
              </w:rPr>
            </w:pPr>
            <w:r>
              <w:rPr>
                <w:color w:val="000000"/>
                <w:sz w:val="20"/>
                <w:szCs w:val="20"/>
              </w:rPr>
              <w:t>0.004</w:t>
            </w:r>
          </w:p>
        </w:tc>
      </w:tr>
      <w:tr w:rsidR="00A33B44" w14:paraId="53A31255" w14:textId="77777777" w:rsidTr="005A3B4D">
        <w:trPr>
          <w:trHeight w:val="320"/>
        </w:trPr>
        <w:tc>
          <w:tcPr>
            <w:tcW w:w="1176" w:type="dxa"/>
            <w:tcBorders>
              <w:top w:val="nil"/>
              <w:left w:val="nil"/>
              <w:bottom w:val="nil"/>
              <w:right w:val="nil"/>
            </w:tcBorders>
            <w:shd w:val="clear" w:color="auto" w:fill="auto"/>
            <w:noWrap/>
            <w:vAlign w:val="bottom"/>
            <w:hideMark/>
          </w:tcPr>
          <w:p w14:paraId="60A24AA1"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D15F79A" w14:textId="77777777" w:rsidR="00A33B44" w:rsidRDefault="00A33B44"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EC8A51C"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2731F07" w14:textId="77777777" w:rsidR="00A33B44" w:rsidRDefault="00A33B44" w:rsidP="005A3B4D">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257A330D"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053597" w14:textId="77777777" w:rsidR="00A33B44" w:rsidRDefault="00A33B44" w:rsidP="005A3B4D">
            <w:pPr>
              <w:jc w:val="right"/>
              <w:rPr>
                <w:b/>
                <w:bCs/>
                <w:color w:val="000000"/>
                <w:sz w:val="20"/>
                <w:szCs w:val="20"/>
              </w:rPr>
            </w:pPr>
            <w:r>
              <w:rPr>
                <w:b/>
                <w:bCs/>
                <w:color w:val="000000"/>
                <w:sz w:val="20"/>
                <w:szCs w:val="20"/>
              </w:rPr>
              <w:t>-0.118</w:t>
            </w:r>
          </w:p>
        </w:tc>
        <w:tc>
          <w:tcPr>
            <w:tcW w:w="768" w:type="dxa"/>
            <w:tcBorders>
              <w:top w:val="nil"/>
              <w:left w:val="nil"/>
              <w:bottom w:val="nil"/>
              <w:right w:val="nil"/>
            </w:tcBorders>
            <w:shd w:val="clear" w:color="auto" w:fill="auto"/>
            <w:noWrap/>
            <w:vAlign w:val="bottom"/>
            <w:hideMark/>
          </w:tcPr>
          <w:p w14:paraId="4EE5C0B7" w14:textId="77777777" w:rsidR="00A33B44" w:rsidRDefault="00A33B44"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F1F04AB" w14:textId="77777777" w:rsidR="00A33B44" w:rsidRDefault="00A33B44" w:rsidP="005A3B4D">
            <w:pPr>
              <w:jc w:val="right"/>
              <w:rPr>
                <w:color w:val="000000"/>
                <w:sz w:val="20"/>
                <w:szCs w:val="20"/>
              </w:rPr>
            </w:pPr>
            <w:r>
              <w:rPr>
                <w:b/>
                <w:bCs/>
                <w:color w:val="000000"/>
                <w:sz w:val="20"/>
                <w:szCs w:val="20"/>
              </w:rPr>
              <w:t>0.014</w:t>
            </w:r>
          </w:p>
        </w:tc>
        <w:tc>
          <w:tcPr>
            <w:tcW w:w="768" w:type="dxa"/>
            <w:tcBorders>
              <w:top w:val="nil"/>
              <w:left w:val="nil"/>
              <w:bottom w:val="nil"/>
              <w:right w:val="nil"/>
            </w:tcBorders>
            <w:shd w:val="clear" w:color="auto" w:fill="auto"/>
            <w:noWrap/>
            <w:vAlign w:val="bottom"/>
            <w:hideMark/>
          </w:tcPr>
          <w:p w14:paraId="44030C4E" w14:textId="77777777" w:rsidR="00A33B44" w:rsidRDefault="00A33B44" w:rsidP="005A3B4D">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43FBF3AA" w14:textId="77777777" w:rsidR="00A33B44" w:rsidRDefault="00A33B44" w:rsidP="005A3B4D">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33BF86BE" w14:textId="77777777" w:rsidR="00A33B44" w:rsidRDefault="00A33B44"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5A0F386" w14:textId="77777777" w:rsidR="00A33B44" w:rsidRDefault="00A33B44"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1AAB46FB" w14:textId="77777777" w:rsidR="00A33B44" w:rsidRDefault="00A33B44" w:rsidP="005A3B4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37CEC2DB"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21623D4" w14:textId="77777777" w:rsidR="00A33B44" w:rsidRDefault="00A33B44"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76692E70" w14:textId="77777777" w:rsidR="00A33B44" w:rsidRDefault="00A33B44" w:rsidP="005A3B4D">
            <w:pPr>
              <w:jc w:val="right"/>
              <w:rPr>
                <w:color w:val="000000"/>
                <w:sz w:val="20"/>
                <w:szCs w:val="20"/>
              </w:rPr>
            </w:pPr>
            <w:r>
              <w:rPr>
                <w:color w:val="000000"/>
                <w:sz w:val="20"/>
                <w:szCs w:val="20"/>
              </w:rPr>
              <w:t>0.342</w:t>
            </w:r>
          </w:p>
        </w:tc>
        <w:tc>
          <w:tcPr>
            <w:tcW w:w="768" w:type="dxa"/>
            <w:tcBorders>
              <w:top w:val="nil"/>
              <w:left w:val="nil"/>
              <w:bottom w:val="nil"/>
              <w:right w:val="nil"/>
            </w:tcBorders>
            <w:shd w:val="clear" w:color="auto" w:fill="auto"/>
            <w:noWrap/>
            <w:vAlign w:val="bottom"/>
            <w:hideMark/>
          </w:tcPr>
          <w:p w14:paraId="3C278842" w14:textId="77777777" w:rsidR="00A33B44" w:rsidRDefault="00A33B44" w:rsidP="005A3B4D">
            <w:pPr>
              <w:jc w:val="right"/>
              <w:rPr>
                <w:color w:val="000000"/>
                <w:sz w:val="20"/>
                <w:szCs w:val="20"/>
              </w:rPr>
            </w:pPr>
            <w:r>
              <w:rPr>
                <w:color w:val="000000"/>
                <w:sz w:val="20"/>
                <w:szCs w:val="20"/>
              </w:rPr>
              <w:t>0.002</w:t>
            </w:r>
          </w:p>
        </w:tc>
      </w:tr>
      <w:tr w:rsidR="00A33B44" w14:paraId="69E7F4B0" w14:textId="77777777" w:rsidTr="005A3B4D">
        <w:trPr>
          <w:trHeight w:val="320"/>
        </w:trPr>
        <w:tc>
          <w:tcPr>
            <w:tcW w:w="1176" w:type="dxa"/>
            <w:tcBorders>
              <w:top w:val="nil"/>
              <w:left w:val="nil"/>
              <w:bottom w:val="nil"/>
              <w:right w:val="nil"/>
            </w:tcBorders>
            <w:shd w:val="clear" w:color="auto" w:fill="auto"/>
            <w:noWrap/>
            <w:vAlign w:val="bottom"/>
            <w:hideMark/>
          </w:tcPr>
          <w:p w14:paraId="32033639"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043FF66" w14:textId="77777777" w:rsidR="00A33B44" w:rsidRDefault="00A33B44"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BA9CBF7" w14:textId="77777777" w:rsidR="00A33B44" w:rsidRDefault="00A33B44"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C028964" w14:textId="77777777" w:rsidR="00A33B44" w:rsidRDefault="00A33B44" w:rsidP="005A3B4D">
            <w:pPr>
              <w:jc w:val="right"/>
              <w:rPr>
                <w:color w:val="000000"/>
                <w:sz w:val="20"/>
                <w:szCs w:val="20"/>
              </w:rPr>
            </w:pPr>
            <w:r>
              <w:rPr>
                <w:color w:val="000000"/>
                <w:sz w:val="20"/>
                <w:szCs w:val="20"/>
              </w:rPr>
              <w:t>0.814</w:t>
            </w:r>
          </w:p>
        </w:tc>
        <w:tc>
          <w:tcPr>
            <w:tcW w:w="768" w:type="dxa"/>
            <w:tcBorders>
              <w:top w:val="nil"/>
              <w:left w:val="nil"/>
              <w:bottom w:val="nil"/>
              <w:right w:val="nil"/>
            </w:tcBorders>
            <w:shd w:val="clear" w:color="auto" w:fill="auto"/>
            <w:noWrap/>
            <w:vAlign w:val="bottom"/>
            <w:hideMark/>
          </w:tcPr>
          <w:p w14:paraId="585D7FD1"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FD6180"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92268B" w14:textId="77777777" w:rsidR="00A33B44" w:rsidRDefault="00A33B44" w:rsidP="005A3B4D">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65DD816E"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BB381E"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264CAF7" w14:textId="77777777" w:rsidR="00A33B44" w:rsidRDefault="00A33B44" w:rsidP="005A3B4D">
            <w:pPr>
              <w:jc w:val="right"/>
              <w:rPr>
                <w:color w:val="000000"/>
                <w:sz w:val="20"/>
                <w:szCs w:val="20"/>
              </w:rPr>
            </w:pPr>
            <w:r>
              <w:rPr>
                <w:color w:val="000000"/>
                <w:sz w:val="20"/>
                <w:szCs w:val="20"/>
              </w:rPr>
              <w:t>0.837</w:t>
            </w:r>
          </w:p>
        </w:tc>
        <w:tc>
          <w:tcPr>
            <w:tcW w:w="768" w:type="dxa"/>
            <w:tcBorders>
              <w:top w:val="nil"/>
              <w:left w:val="nil"/>
              <w:bottom w:val="nil"/>
              <w:right w:val="nil"/>
            </w:tcBorders>
            <w:shd w:val="clear" w:color="auto" w:fill="auto"/>
            <w:noWrap/>
            <w:vAlign w:val="bottom"/>
            <w:hideMark/>
          </w:tcPr>
          <w:p w14:paraId="3FCB2725"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A97FDE" w14:textId="77777777" w:rsidR="00A33B44" w:rsidRDefault="00A33B44"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49B6826" w14:textId="77777777" w:rsidR="00A33B44" w:rsidRDefault="00A33B44" w:rsidP="005A3B4D">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68F7676C"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479078" w14:textId="77777777" w:rsidR="00A33B44" w:rsidRDefault="00A33B44"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27E3D90" w14:textId="77777777" w:rsidR="00A33B44" w:rsidRDefault="00A33B44" w:rsidP="005A3B4D">
            <w:pPr>
              <w:jc w:val="right"/>
              <w:rPr>
                <w:color w:val="000000"/>
                <w:sz w:val="20"/>
                <w:szCs w:val="20"/>
              </w:rPr>
            </w:pPr>
            <w:r>
              <w:rPr>
                <w:color w:val="000000"/>
                <w:sz w:val="20"/>
                <w:szCs w:val="20"/>
              </w:rPr>
              <w:t>0.713</w:t>
            </w:r>
          </w:p>
        </w:tc>
        <w:tc>
          <w:tcPr>
            <w:tcW w:w="768" w:type="dxa"/>
            <w:tcBorders>
              <w:top w:val="nil"/>
              <w:left w:val="nil"/>
              <w:bottom w:val="nil"/>
              <w:right w:val="nil"/>
            </w:tcBorders>
            <w:shd w:val="clear" w:color="auto" w:fill="auto"/>
            <w:noWrap/>
            <w:vAlign w:val="bottom"/>
            <w:hideMark/>
          </w:tcPr>
          <w:p w14:paraId="300C7B6E" w14:textId="77777777" w:rsidR="00A33B44" w:rsidRDefault="00A33B44" w:rsidP="005A3B4D">
            <w:pPr>
              <w:jc w:val="right"/>
              <w:rPr>
                <w:color w:val="000000"/>
                <w:sz w:val="20"/>
                <w:szCs w:val="20"/>
              </w:rPr>
            </w:pPr>
            <w:r>
              <w:rPr>
                <w:color w:val="000000"/>
                <w:sz w:val="20"/>
                <w:szCs w:val="20"/>
              </w:rPr>
              <w:t>0.000</w:t>
            </w:r>
          </w:p>
        </w:tc>
      </w:tr>
      <w:tr w:rsidR="00A33B44" w14:paraId="5104948B" w14:textId="77777777" w:rsidTr="005A3B4D">
        <w:trPr>
          <w:trHeight w:val="320"/>
        </w:trPr>
        <w:tc>
          <w:tcPr>
            <w:tcW w:w="1176" w:type="dxa"/>
            <w:tcBorders>
              <w:top w:val="nil"/>
              <w:left w:val="nil"/>
              <w:bottom w:val="nil"/>
              <w:right w:val="nil"/>
            </w:tcBorders>
            <w:shd w:val="clear" w:color="auto" w:fill="auto"/>
            <w:noWrap/>
            <w:vAlign w:val="bottom"/>
            <w:hideMark/>
          </w:tcPr>
          <w:p w14:paraId="02A2F9F4"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5BBC57" w14:textId="77777777" w:rsidR="00A33B44" w:rsidRDefault="00A33B44"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7552002" w14:textId="77777777" w:rsidR="00A33B44" w:rsidRDefault="00A33B44"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7B9EBBC" w14:textId="77777777" w:rsidR="00A33B44" w:rsidRDefault="00A33B44" w:rsidP="005A3B4D">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52953A47"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E98B5C"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79432E5" w14:textId="77777777" w:rsidR="00A33B44" w:rsidRDefault="00A33B44" w:rsidP="005A3B4D">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4B71594D"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7BBE35" w14:textId="77777777" w:rsidR="00A33B44" w:rsidRDefault="00A33B44" w:rsidP="005A3B4D">
            <w:pPr>
              <w:jc w:val="right"/>
              <w:rPr>
                <w:b/>
                <w:bCs/>
                <w:color w:val="000000"/>
                <w:sz w:val="20"/>
                <w:szCs w:val="20"/>
              </w:rPr>
            </w:pPr>
            <w:r>
              <w:rPr>
                <w:b/>
                <w:bCs/>
                <w:color w:val="000000"/>
                <w:sz w:val="20"/>
                <w:szCs w:val="20"/>
              </w:rPr>
              <w:t>-0.088</w:t>
            </w:r>
          </w:p>
        </w:tc>
        <w:tc>
          <w:tcPr>
            <w:tcW w:w="768" w:type="dxa"/>
            <w:tcBorders>
              <w:top w:val="nil"/>
              <w:left w:val="nil"/>
              <w:bottom w:val="nil"/>
              <w:right w:val="nil"/>
            </w:tcBorders>
            <w:shd w:val="clear" w:color="auto" w:fill="auto"/>
            <w:noWrap/>
            <w:vAlign w:val="bottom"/>
            <w:hideMark/>
          </w:tcPr>
          <w:p w14:paraId="643CCBEC" w14:textId="77777777" w:rsidR="00A33B44" w:rsidRDefault="00A33B44" w:rsidP="005A3B4D">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0B680051" w14:textId="77777777" w:rsidR="00A33B44" w:rsidRDefault="00A33B44" w:rsidP="005A3B4D">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FE0E643" w14:textId="77777777" w:rsidR="00A33B44" w:rsidRDefault="00A33B44"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61EE7314" w14:textId="77777777" w:rsidR="00A33B44" w:rsidRDefault="00A33B44" w:rsidP="005A3B4D">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13C19ED5"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5F71FAF" w14:textId="77777777" w:rsidR="00A33B44" w:rsidRDefault="00A33B44" w:rsidP="005A3B4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748728EE" w14:textId="77777777" w:rsidR="00A33B44" w:rsidRDefault="00A33B44" w:rsidP="005A3B4D">
            <w:pPr>
              <w:jc w:val="right"/>
              <w:rPr>
                <w:color w:val="000000"/>
                <w:sz w:val="20"/>
                <w:szCs w:val="20"/>
              </w:rPr>
            </w:pPr>
            <w:r>
              <w:rPr>
                <w:color w:val="000000"/>
                <w:sz w:val="20"/>
                <w:szCs w:val="20"/>
              </w:rPr>
              <w:t>0.284</w:t>
            </w:r>
          </w:p>
        </w:tc>
        <w:tc>
          <w:tcPr>
            <w:tcW w:w="768" w:type="dxa"/>
            <w:tcBorders>
              <w:top w:val="nil"/>
              <w:left w:val="nil"/>
              <w:bottom w:val="nil"/>
              <w:right w:val="nil"/>
            </w:tcBorders>
            <w:shd w:val="clear" w:color="auto" w:fill="auto"/>
            <w:noWrap/>
            <w:vAlign w:val="bottom"/>
            <w:hideMark/>
          </w:tcPr>
          <w:p w14:paraId="003A20AF" w14:textId="77777777" w:rsidR="00A33B44" w:rsidRDefault="00A33B44" w:rsidP="005A3B4D">
            <w:pPr>
              <w:jc w:val="right"/>
              <w:rPr>
                <w:color w:val="000000"/>
                <w:sz w:val="20"/>
                <w:szCs w:val="20"/>
              </w:rPr>
            </w:pPr>
            <w:r>
              <w:rPr>
                <w:color w:val="000000"/>
                <w:sz w:val="20"/>
                <w:szCs w:val="20"/>
              </w:rPr>
              <w:t>0.004</w:t>
            </w:r>
          </w:p>
        </w:tc>
      </w:tr>
      <w:tr w:rsidR="00A33B44" w14:paraId="12AD48C2" w14:textId="77777777" w:rsidTr="005A3B4D">
        <w:trPr>
          <w:trHeight w:val="320"/>
        </w:trPr>
        <w:tc>
          <w:tcPr>
            <w:tcW w:w="1176" w:type="dxa"/>
            <w:tcBorders>
              <w:top w:val="nil"/>
              <w:left w:val="nil"/>
              <w:bottom w:val="nil"/>
              <w:right w:val="nil"/>
            </w:tcBorders>
            <w:shd w:val="clear" w:color="auto" w:fill="auto"/>
            <w:noWrap/>
            <w:vAlign w:val="bottom"/>
            <w:hideMark/>
          </w:tcPr>
          <w:p w14:paraId="37C37077"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FBE5088" w14:textId="77777777" w:rsidR="00A33B44" w:rsidRDefault="00A33B44"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324604D" w14:textId="77777777" w:rsidR="00A33B44" w:rsidRDefault="00A33B44" w:rsidP="005A3B4D">
            <w:pPr>
              <w:jc w:val="right"/>
              <w:rPr>
                <w:b/>
                <w:bCs/>
                <w:color w:val="000000"/>
                <w:sz w:val="20"/>
                <w:szCs w:val="20"/>
              </w:rPr>
            </w:pPr>
            <w:r>
              <w:rPr>
                <w:b/>
                <w:bCs/>
                <w:color w:val="000000"/>
                <w:sz w:val="20"/>
                <w:szCs w:val="20"/>
              </w:rPr>
              <w:t>0.074</w:t>
            </w:r>
          </w:p>
        </w:tc>
        <w:tc>
          <w:tcPr>
            <w:tcW w:w="768" w:type="dxa"/>
            <w:tcBorders>
              <w:top w:val="nil"/>
              <w:left w:val="nil"/>
              <w:bottom w:val="nil"/>
              <w:right w:val="nil"/>
            </w:tcBorders>
            <w:shd w:val="clear" w:color="auto" w:fill="auto"/>
            <w:noWrap/>
            <w:vAlign w:val="bottom"/>
            <w:hideMark/>
          </w:tcPr>
          <w:p w14:paraId="458F3D38" w14:textId="77777777" w:rsidR="00A33B44" w:rsidRDefault="00A33B44" w:rsidP="005A3B4D">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232C5F9E" w14:textId="77777777" w:rsidR="00A33B44" w:rsidRDefault="00A33B44" w:rsidP="005A3B4D">
            <w:pPr>
              <w:jc w:val="right"/>
              <w:rPr>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785CF4CE" w14:textId="77777777" w:rsidR="00A33B44" w:rsidRDefault="00A33B44"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21287CD2" w14:textId="77777777" w:rsidR="00A33B44" w:rsidRDefault="00A33B44" w:rsidP="005A3B4D">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2949530A"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D037CCC" w14:textId="77777777" w:rsidR="00A33B44" w:rsidRDefault="00A33B44"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9D799F8" w14:textId="77777777" w:rsidR="00A33B44" w:rsidRDefault="00A33B44" w:rsidP="005A3B4D">
            <w:pPr>
              <w:jc w:val="right"/>
              <w:rPr>
                <w:color w:val="000000"/>
                <w:sz w:val="20"/>
                <w:szCs w:val="20"/>
              </w:rPr>
            </w:pPr>
            <w:r>
              <w:rPr>
                <w:color w:val="000000"/>
                <w:sz w:val="20"/>
                <w:szCs w:val="20"/>
              </w:rPr>
              <w:t>0.570</w:t>
            </w:r>
          </w:p>
        </w:tc>
        <w:tc>
          <w:tcPr>
            <w:tcW w:w="768" w:type="dxa"/>
            <w:tcBorders>
              <w:top w:val="nil"/>
              <w:left w:val="nil"/>
              <w:bottom w:val="nil"/>
              <w:right w:val="nil"/>
            </w:tcBorders>
            <w:shd w:val="clear" w:color="auto" w:fill="auto"/>
            <w:noWrap/>
            <w:vAlign w:val="bottom"/>
            <w:hideMark/>
          </w:tcPr>
          <w:p w14:paraId="2F3A7C50"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BFCBE5" w14:textId="77777777" w:rsidR="00A33B44" w:rsidRDefault="00A33B44"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5FE114A" w14:textId="77777777" w:rsidR="00A33B44" w:rsidRDefault="00A33B44" w:rsidP="005A3B4D">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5EEA42E2"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14D3BB" w14:textId="77777777" w:rsidR="00A33B44" w:rsidRDefault="00A33B44"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60BA1E6" w14:textId="77777777" w:rsidR="00A33B44" w:rsidRDefault="00A33B44" w:rsidP="005A3B4D">
            <w:pPr>
              <w:jc w:val="right"/>
              <w:rPr>
                <w:color w:val="000000"/>
                <w:sz w:val="20"/>
                <w:szCs w:val="20"/>
              </w:rPr>
            </w:pPr>
            <w:r>
              <w:rPr>
                <w:color w:val="000000"/>
                <w:sz w:val="20"/>
                <w:szCs w:val="20"/>
              </w:rPr>
              <w:t>0.747</w:t>
            </w:r>
          </w:p>
        </w:tc>
        <w:tc>
          <w:tcPr>
            <w:tcW w:w="768" w:type="dxa"/>
            <w:tcBorders>
              <w:top w:val="nil"/>
              <w:left w:val="nil"/>
              <w:bottom w:val="nil"/>
              <w:right w:val="nil"/>
            </w:tcBorders>
            <w:shd w:val="clear" w:color="auto" w:fill="auto"/>
            <w:noWrap/>
            <w:vAlign w:val="bottom"/>
            <w:hideMark/>
          </w:tcPr>
          <w:p w14:paraId="274EBCCA" w14:textId="77777777" w:rsidR="00A33B44" w:rsidRDefault="00A33B44" w:rsidP="005A3B4D">
            <w:pPr>
              <w:jc w:val="right"/>
              <w:rPr>
                <w:color w:val="000000"/>
                <w:sz w:val="20"/>
                <w:szCs w:val="20"/>
              </w:rPr>
            </w:pPr>
            <w:r>
              <w:rPr>
                <w:color w:val="000000"/>
                <w:sz w:val="20"/>
                <w:szCs w:val="20"/>
              </w:rPr>
              <w:t>0.000</w:t>
            </w:r>
          </w:p>
        </w:tc>
      </w:tr>
      <w:tr w:rsidR="00A33B44" w14:paraId="3A0D55B3"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1CCCF6DF" w14:textId="77777777" w:rsidR="00A33B44" w:rsidRDefault="00A33B44"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7E278BEB" w14:textId="77777777" w:rsidR="00A33B44" w:rsidRDefault="00A33B44"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4E2FBE71" w14:textId="77777777" w:rsidR="00A33B44" w:rsidRDefault="00A33B44" w:rsidP="005A3B4D">
            <w:pPr>
              <w:jc w:val="right"/>
              <w:rPr>
                <w:color w:val="000000"/>
                <w:sz w:val="20"/>
                <w:szCs w:val="20"/>
              </w:rPr>
            </w:pPr>
            <w:r>
              <w:rPr>
                <w:color w:val="000000"/>
                <w:sz w:val="20"/>
                <w:szCs w:val="20"/>
              </w:rPr>
              <w:t>0.011</w:t>
            </w:r>
          </w:p>
        </w:tc>
        <w:tc>
          <w:tcPr>
            <w:tcW w:w="768" w:type="dxa"/>
            <w:tcBorders>
              <w:top w:val="nil"/>
              <w:left w:val="nil"/>
              <w:bottom w:val="single" w:sz="12" w:space="0" w:color="auto"/>
              <w:right w:val="nil"/>
            </w:tcBorders>
            <w:shd w:val="clear" w:color="auto" w:fill="auto"/>
            <w:noWrap/>
            <w:vAlign w:val="bottom"/>
            <w:hideMark/>
          </w:tcPr>
          <w:p w14:paraId="18A9C97F" w14:textId="77777777" w:rsidR="00A33B44" w:rsidRDefault="00A33B44" w:rsidP="005A3B4D">
            <w:pPr>
              <w:jc w:val="right"/>
              <w:rPr>
                <w:color w:val="000000"/>
                <w:sz w:val="20"/>
                <w:szCs w:val="20"/>
              </w:rPr>
            </w:pPr>
            <w:r>
              <w:rPr>
                <w:color w:val="000000"/>
                <w:sz w:val="20"/>
                <w:szCs w:val="20"/>
              </w:rPr>
              <w:t>0.814</w:t>
            </w:r>
          </w:p>
        </w:tc>
        <w:tc>
          <w:tcPr>
            <w:tcW w:w="768" w:type="dxa"/>
            <w:tcBorders>
              <w:top w:val="nil"/>
              <w:left w:val="nil"/>
              <w:bottom w:val="single" w:sz="12" w:space="0" w:color="auto"/>
              <w:right w:val="nil"/>
            </w:tcBorders>
            <w:shd w:val="clear" w:color="auto" w:fill="auto"/>
            <w:noWrap/>
            <w:vAlign w:val="bottom"/>
            <w:hideMark/>
          </w:tcPr>
          <w:p w14:paraId="44A3DBD0"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D3489C3" w14:textId="77777777" w:rsidR="00A33B44" w:rsidRDefault="00A33B44" w:rsidP="005A3B4D">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4395D774" w14:textId="77777777" w:rsidR="00A33B44" w:rsidRDefault="00A33B44" w:rsidP="005A3B4D">
            <w:pPr>
              <w:jc w:val="right"/>
              <w:rPr>
                <w:color w:val="000000"/>
                <w:sz w:val="20"/>
                <w:szCs w:val="20"/>
              </w:rPr>
            </w:pPr>
            <w:r>
              <w:rPr>
                <w:color w:val="000000"/>
                <w:sz w:val="20"/>
                <w:szCs w:val="20"/>
              </w:rPr>
              <w:t>0.973</w:t>
            </w:r>
          </w:p>
        </w:tc>
        <w:tc>
          <w:tcPr>
            <w:tcW w:w="768" w:type="dxa"/>
            <w:tcBorders>
              <w:top w:val="nil"/>
              <w:left w:val="nil"/>
              <w:bottom w:val="single" w:sz="12" w:space="0" w:color="auto"/>
              <w:right w:val="nil"/>
            </w:tcBorders>
            <w:shd w:val="clear" w:color="auto" w:fill="auto"/>
            <w:noWrap/>
            <w:vAlign w:val="bottom"/>
            <w:hideMark/>
          </w:tcPr>
          <w:p w14:paraId="66776045"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CB51CD3" w14:textId="77777777" w:rsidR="00A33B44" w:rsidRDefault="00A33B44" w:rsidP="005A3B4D">
            <w:pPr>
              <w:jc w:val="right"/>
              <w:rPr>
                <w:color w:val="000000"/>
                <w:sz w:val="20"/>
                <w:szCs w:val="20"/>
              </w:rPr>
            </w:pPr>
            <w:r>
              <w:rPr>
                <w:color w:val="000000"/>
                <w:sz w:val="20"/>
                <w:szCs w:val="20"/>
              </w:rPr>
              <w:t>-0.047</w:t>
            </w:r>
          </w:p>
        </w:tc>
        <w:tc>
          <w:tcPr>
            <w:tcW w:w="768" w:type="dxa"/>
            <w:tcBorders>
              <w:top w:val="nil"/>
              <w:left w:val="nil"/>
              <w:bottom w:val="single" w:sz="12" w:space="0" w:color="auto"/>
              <w:right w:val="nil"/>
            </w:tcBorders>
            <w:shd w:val="clear" w:color="auto" w:fill="auto"/>
            <w:noWrap/>
            <w:vAlign w:val="bottom"/>
            <w:hideMark/>
          </w:tcPr>
          <w:p w14:paraId="1B1F7165" w14:textId="77777777" w:rsidR="00A33B44" w:rsidRDefault="00A33B44" w:rsidP="005A3B4D">
            <w:pPr>
              <w:jc w:val="right"/>
              <w:rPr>
                <w:color w:val="000000"/>
                <w:sz w:val="20"/>
                <w:szCs w:val="20"/>
              </w:rPr>
            </w:pPr>
            <w:r>
              <w:rPr>
                <w:color w:val="000000"/>
                <w:sz w:val="20"/>
                <w:szCs w:val="20"/>
              </w:rPr>
              <w:t>0.269</w:t>
            </w:r>
          </w:p>
        </w:tc>
        <w:tc>
          <w:tcPr>
            <w:tcW w:w="768" w:type="dxa"/>
            <w:tcBorders>
              <w:top w:val="nil"/>
              <w:left w:val="nil"/>
              <w:bottom w:val="single" w:sz="12" w:space="0" w:color="auto"/>
              <w:right w:val="nil"/>
            </w:tcBorders>
            <w:shd w:val="clear" w:color="auto" w:fill="auto"/>
            <w:noWrap/>
            <w:vAlign w:val="bottom"/>
            <w:hideMark/>
          </w:tcPr>
          <w:p w14:paraId="204DDFA6"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6689A05F" w14:textId="77777777" w:rsidR="00A33B44" w:rsidRDefault="00A33B44" w:rsidP="005A3B4D">
            <w:pPr>
              <w:jc w:val="right"/>
              <w:rPr>
                <w:color w:val="000000"/>
                <w:sz w:val="20"/>
                <w:szCs w:val="20"/>
              </w:rPr>
            </w:pPr>
            <w:r>
              <w:rPr>
                <w:color w:val="000000"/>
                <w:sz w:val="20"/>
                <w:szCs w:val="20"/>
              </w:rPr>
              <w:t>0.021</w:t>
            </w:r>
          </w:p>
        </w:tc>
        <w:tc>
          <w:tcPr>
            <w:tcW w:w="768" w:type="dxa"/>
            <w:tcBorders>
              <w:top w:val="nil"/>
              <w:left w:val="nil"/>
              <w:bottom w:val="single" w:sz="12" w:space="0" w:color="auto"/>
              <w:right w:val="nil"/>
            </w:tcBorders>
            <w:shd w:val="clear" w:color="auto" w:fill="auto"/>
            <w:noWrap/>
            <w:vAlign w:val="bottom"/>
            <w:hideMark/>
          </w:tcPr>
          <w:p w14:paraId="48DA37C6" w14:textId="77777777" w:rsidR="00A33B44" w:rsidRDefault="00A33B44" w:rsidP="005A3B4D">
            <w:pPr>
              <w:jc w:val="right"/>
              <w:rPr>
                <w:color w:val="000000"/>
                <w:sz w:val="20"/>
                <w:szCs w:val="20"/>
              </w:rPr>
            </w:pPr>
            <w:r>
              <w:rPr>
                <w:color w:val="000000"/>
                <w:sz w:val="20"/>
                <w:szCs w:val="20"/>
              </w:rPr>
              <w:t>0.672</w:t>
            </w:r>
          </w:p>
        </w:tc>
        <w:tc>
          <w:tcPr>
            <w:tcW w:w="768" w:type="dxa"/>
            <w:tcBorders>
              <w:top w:val="nil"/>
              <w:left w:val="nil"/>
              <w:bottom w:val="single" w:sz="12" w:space="0" w:color="auto"/>
              <w:right w:val="nil"/>
            </w:tcBorders>
            <w:shd w:val="clear" w:color="auto" w:fill="auto"/>
            <w:noWrap/>
            <w:vAlign w:val="bottom"/>
            <w:hideMark/>
          </w:tcPr>
          <w:p w14:paraId="769A89E8"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1A98776" w14:textId="77777777" w:rsidR="00A33B44" w:rsidRDefault="00A33B44" w:rsidP="005A3B4D">
            <w:pPr>
              <w:jc w:val="right"/>
              <w:rPr>
                <w:color w:val="000000"/>
                <w:sz w:val="20"/>
                <w:szCs w:val="20"/>
              </w:rPr>
            </w:pPr>
            <w:r>
              <w:rPr>
                <w:color w:val="000000"/>
                <w:sz w:val="20"/>
                <w:szCs w:val="20"/>
              </w:rPr>
              <w:t>0.016</w:t>
            </w:r>
          </w:p>
        </w:tc>
        <w:tc>
          <w:tcPr>
            <w:tcW w:w="768" w:type="dxa"/>
            <w:tcBorders>
              <w:top w:val="nil"/>
              <w:left w:val="nil"/>
              <w:bottom w:val="single" w:sz="12" w:space="0" w:color="auto"/>
              <w:right w:val="nil"/>
            </w:tcBorders>
            <w:shd w:val="clear" w:color="auto" w:fill="auto"/>
            <w:noWrap/>
            <w:vAlign w:val="bottom"/>
            <w:hideMark/>
          </w:tcPr>
          <w:p w14:paraId="7FBE8F35" w14:textId="77777777" w:rsidR="00A33B44" w:rsidRDefault="00A33B44" w:rsidP="005A3B4D">
            <w:pPr>
              <w:jc w:val="right"/>
              <w:rPr>
                <w:color w:val="000000"/>
                <w:sz w:val="20"/>
                <w:szCs w:val="20"/>
              </w:rPr>
            </w:pPr>
            <w:r>
              <w:rPr>
                <w:color w:val="000000"/>
                <w:sz w:val="20"/>
                <w:szCs w:val="20"/>
              </w:rPr>
              <w:t>0.713</w:t>
            </w:r>
          </w:p>
        </w:tc>
        <w:tc>
          <w:tcPr>
            <w:tcW w:w="768" w:type="dxa"/>
            <w:tcBorders>
              <w:top w:val="nil"/>
              <w:left w:val="nil"/>
              <w:bottom w:val="single" w:sz="12" w:space="0" w:color="auto"/>
              <w:right w:val="nil"/>
            </w:tcBorders>
            <w:shd w:val="clear" w:color="auto" w:fill="auto"/>
            <w:noWrap/>
            <w:vAlign w:val="bottom"/>
            <w:hideMark/>
          </w:tcPr>
          <w:p w14:paraId="4C88E02F" w14:textId="77777777" w:rsidR="00A33B44" w:rsidRDefault="00A33B44" w:rsidP="005A3B4D">
            <w:pPr>
              <w:jc w:val="right"/>
              <w:rPr>
                <w:color w:val="000000"/>
                <w:sz w:val="20"/>
                <w:szCs w:val="20"/>
              </w:rPr>
            </w:pPr>
            <w:r>
              <w:rPr>
                <w:color w:val="000000"/>
                <w:sz w:val="20"/>
                <w:szCs w:val="20"/>
              </w:rPr>
              <w:t>0.000</w:t>
            </w:r>
          </w:p>
        </w:tc>
      </w:tr>
      <w:tr w:rsidR="00A33B44" w14:paraId="7AA88C5B"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2C9D79B6" w14:textId="77777777" w:rsidR="00A33B44" w:rsidRDefault="00A33B44"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3053121C" w14:textId="77777777" w:rsidR="00A33B44" w:rsidRDefault="00A33B44"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7DEA9196"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E02A65"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4C724C1"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6D9E592"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048C36B"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27DAE3F"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A928093"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15B7181"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C1E1D21"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506ED4"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AB88DF5"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52AF321"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BBE0DE2"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5276939"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3FC8C8B" w14:textId="77777777" w:rsidR="00A33B44" w:rsidRDefault="00A33B44" w:rsidP="005A3B4D">
            <w:pPr>
              <w:rPr>
                <w:sz w:val="20"/>
                <w:szCs w:val="20"/>
              </w:rPr>
            </w:pPr>
          </w:p>
        </w:tc>
      </w:tr>
    </w:tbl>
    <w:p w14:paraId="2F1D736C" w14:textId="77777777" w:rsidR="00A33B44" w:rsidRDefault="00A33B44" w:rsidP="00A33B44">
      <w:pPr>
        <w:rPr>
          <w:rFonts w:eastAsia="Batang"/>
          <w:i/>
          <w:iCs/>
        </w:rPr>
      </w:pPr>
    </w:p>
    <w:p w14:paraId="17E1D386" w14:textId="77777777" w:rsidR="00A33B44" w:rsidRDefault="00A33B44" w:rsidP="00A33B44">
      <w:pPr>
        <w:rPr>
          <w:rFonts w:eastAsia="Batang"/>
          <w:i/>
          <w:iCs/>
        </w:rPr>
      </w:pPr>
      <w:r>
        <w:rPr>
          <w:rFonts w:eastAsia="Batang"/>
          <w:i/>
          <w:iCs/>
        </w:rPr>
        <w:br w:type="page"/>
      </w:r>
    </w:p>
    <w:p w14:paraId="4D7C74A0" w14:textId="2A14E18C" w:rsidR="00A33B44" w:rsidRPr="009E2A20" w:rsidRDefault="00A33B44" w:rsidP="00A33B44">
      <w:pPr>
        <w:pStyle w:val="Heading1"/>
        <w:rPr>
          <w:rFonts w:ascii="Times New Roman" w:hAnsi="Times New Roman" w:cs="Times New Roman"/>
          <w:color w:val="000000" w:themeColor="text1"/>
          <w:sz w:val="24"/>
          <w:szCs w:val="24"/>
        </w:rPr>
      </w:pPr>
      <w:bookmarkStart w:id="43" w:name="_Toc155817710"/>
      <w:r>
        <w:rPr>
          <w:rFonts w:ascii="Times New Roman" w:hAnsi="Times New Roman" w:cs="Times New Roman"/>
          <w:b/>
          <w:bCs/>
          <w:color w:val="000000" w:themeColor="text1"/>
          <w:sz w:val="24"/>
          <w:szCs w:val="24"/>
        </w:rPr>
        <w:lastRenderedPageBreak/>
        <w:t>Table 16</w:t>
      </w:r>
      <w:r w:rsidRPr="009E2A20">
        <w:rPr>
          <w:rFonts w:ascii="Times New Roman" w:hAnsi="Times New Roman" w:cs="Times New Roman"/>
          <w:b/>
          <w:bCs/>
          <w:color w:val="000000" w:themeColor="text1"/>
          <w:sz w:val="24"/>
          <w:szCs w:val="24"/>
        </w:rPr>
        <w:t xml:space="preserve">b. </w:t>
      </w:r>
      <w:r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small world omega during the stop signal task</w:t>
      </w:r>
      <w:bookmarkEnd w:id="43"/>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A33B44" w14:paraId="45839C5B"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3A92F9C3" w14:textId="77777777" w:rsidR="00A33B44" w:rsidRDefault="00A33B44"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33848D4D" w14:textId="77777777" w:rsidR="00A33B44" w:rsidRDefault="00A33B44"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7F2D862E" w14:textId="77777777" w:rsidR="00A33B44" w:rsidRDefault="00A33B44"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1081904B"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5895134"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FFD2E6E"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EEAF312"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67BF3D3"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C45A9EA"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7943BB2"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CC2CC4B"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8242EAA"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F1F0C4B"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5277F99"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756EF12" w14:textId="77777777" w:rsidR="00A33B44" w:rsidRDefault="00A33B44"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D1E3AE2" w14:textId="77777777" w:rsidR="00A33B44" w:rsidRDefault="00A33B44" w:rsidP="005A3B4D">
            <w:pPr>
              <w:rPr>
                <w:sz w:val="20"/>
                <w:szCs w:val="20"/>
              </w:rPr>
            </w:pPr>
          </w:p>
        </w:tc>
        <w:tc>
          <w:tcPr>
            <w:tcW w:w="768" w:type="dxa"/>
            <w:tcBorders>
              <w:top w:val="nil"/>
              <w:left w:val="nil"/>
              <w:bottom w:val="nil"/>
              <w:right w:val="nil"/>
            </w:tcBorders>
            <w:shd w:val="clear" w:color="auto" w:fill="auto"/>
            <w:noWrap/>
            <w:vAlign w:val="bottom"/>
            <w:hideMark/>
          </w:tcPr>
          <w:p w14:paraId="0BC5FCE5" w14:textId="77777777" w:rsidR="00A33B44" w:rsidRDefault="00A33B44" w:rsidP="005A3B4D">
            <w:pPr>
              <w:rPr>
                <w:sz w:val="20"/>
                <w:szCs w:val="20"/>
              </w:rPr>
            </w:pPr>
          </w:p>
        </w:tc>
      </w:tr>
      <w:tr w:rsidR="00A33B44" w14:paraId="00E8106F"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65122D9E" w14:textId="77777777" w:rsidR="00A33B44" w:rsidRDefault="00A33B44"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056CE915" w14:textId="77777777" w:rsidR="00A33B44" w:rsidRDefault="00A33B44"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3E368692" w14:textId="77777777" w:rsidR="00A33B44" w:rsidRDefault="00A33B44" w:rsidP="005A3B4D">
            <w:pPr>
              <w:jc w:val="center"/>
              <w:rPr>
                <w:color w:val="000000"/>
                <w:sz w:val="20"/>
                <w:szCs w:val="20"/>
              </w:rPr>
            </w:pPr>
            <w:r>
              <w:rPr>
                <w:color w:val="000000"/>
                <w:sz w:val="20"/>
                <w:szCs w:val="20"/>
              </w:rPr>
              <w:t>General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CD574DE" w14:textId="77777777" w:rsidR="00A33B44" w:rsidRDefault="00A33B44"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3F13CB8" w14:textId="77777777" w:rsidR="00A33B44" w:rsidRDefault="00A33B44"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8B3310A" w14:textId="77777777" w:rsidR="00A33B44" w:rsidRDefault="00A33B44"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1D6D3071" w14:textId="77777777" w:rsidR="00A33B44" w:rsidRDefault="00A33B44" w:rsidP="005A3B4D">
            <w:pPr>
              <w:jc w:val="center"/>
              <w:rPr>
                <w:color w:val="000000"/>
                <w:sz w:val="20"/>
                <w:szCs w:val="20"/>
              </w:rPr>
            </w:pPr>
            <w:r>
              <w:rPr>
                <w:color w:val="000000"/>
                <w:sz w:val="20"/>
                <w:szCs w:val="20"/>
              </w:rPr>
              <w:t>Urbanicity</w:t>
            </w:r>
          </w:p>
        </w:tc>
      </w:tr>
      <w:tr w:rsidR="00A33B44" w14:paraId="73F916DF"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61CB1A56" w14:textId="77777777" w:rsidR="00A33B44" w:rsidRDefault="00A33B44"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47BE2EEF" w14:textId="77777777" w:rsidR="00A33B44" w:rsidRDefault="00A33B44"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661B5605"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1BFFDCB"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D7837DF"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8047222"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D9B293E"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489ED6A"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A65D6B2"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FEA46AE"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9A636C8"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89091FC"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D3D7026"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9044889"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45F645E" w14:textId="77777777" w:rsidR="00A33B44" w:rsidRDefault="00A33B44" w:rsidP="005A3B4D">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A9A579E" w14:textId="77777777" w:rsidR="00A33B44" w:rsidRDefault="00A33B44" w:rsidP="005A3B4D">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E2030B3" w14:textId="77777777" w:rsidR="00A33B44" w:rsidRDefault="00A33B44" w:rsidP="005A3B4D">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A33B44" w14:paraId="6C571F0F"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35EF4CAB" w14:textId="77777777" w:rsidR="00A33B44" w:rsidRDefault="00A33B44"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385D0613" w14:textId="77777777" w:rsidR="00A33B44" w:rsidRDefault="00A33B44"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63BEEB74" w14:textId="77777777" w:rsidR="00A33B44" w:rsidRDefault="00A33B44" w:rsidP="005A3B4D">
            <w:pPr>
              <w:jc w:val="right"/>
              <w:rPr>
                <w:color w:val="000000"/>
                <w:sz w:val="20"/>
                <w:szCs w:val="20"/>
              </w:rPr>
            </w:pPr>
            <w:r>
              <w:rPr>
                <w:color w:val="000000"/>
                <w:sz w:val="20"/>
                <w:szCs w:val="20"/>
              </w:rPr>
              <w:t>-0.069</w:t>
            </w:r>
          </w:p>
        </w:tc>
        <w:tc>
          <w:tcPr>
            <w:tcW w:w="768" w:type="dxa"/>
            <w:tcBorders>
              <w:top w:val="single" w:sz="12" w:space="0" w:color="auto"/>
              <w:left w:val="nil"/>
              <w:bottom w:val="nil"/>
              <w:right w:val="nil"/>
            </w:tcBorders>
            <w:shd w:val="clear" w:color="auto" w:fill="auto"/>
            <w:noWrap/>
            <w:vAlign w:val="bottom"/>
            <w:hideMark/>
          </w:tcPr>
          <w:p w14:paraId="2E5BB834" w14:textId="77777777" w:rsidR="00A33B44" w:rsidRDefault="00A33B44" w:rsidP="005A3B4D">
            <w:pPr>
              <w:jc w:val="right"/>
              <w:rPr>
                <w:color w:val="000000"/>
                <w:sz w:val="20"/>
                <w:szCs w:val="20"/>
              </w:rPr>
            </w:pPr>
            <w:r>
              <w:rPr>
                <w:color w:val="000000"/>
                <w:sz w:val="20"/>
                <w:szCs w:val="20"/>
              </w:rPr>
              <w:t>0.857</w:t>
            </w:r>
          </w:p>
        </w:tc>
        <w:tc>
          <w:tcPr>
            <w:tcW w:w="768" w:type="dxa"/>
            <w:tcBorders>
              <w:top w:val="single" w:sz="12" w:space="0" w:color="auto"/>
              <w:left w:val="nil"/>
              <w:bottom w:val="nil"/>
              <w:right w:val="nil"/>
            </w:tcBorders>
            <w:shd w:val="clear" w:color="auto" w:fill="auto"/>
            <w:noWrap/>
            <w:vAlign w:val="bottom"/>
            <w:hideMark/>
          </w:tcPr>
          <w:p w14:paraId="0FB66E6C" w14:textId="77777777" w:rsidR="00A33B44" w:rsidRDefault="00A33B44" w:rsidP="005A3B4D">
            <w:pPr>
              <w:jc w:val="right"/>
              <w:rPr>
                <w:color w:val="000000"/>
                <w:sz w:val="20"/>
                <w:szCs w:val="20"/>
              </w:rPr>
            </w:pPr>
            <w:r>
              <w:rPr>
                <w:color w:val="000000"/>
                <w:sz w:val="20"/>
                <w:szCs w:val="20"/>
              </w:rPr>
              <w:t>0.005</w:t>
            </w:r>
          </w:p>
        </w:tc>
        <w:tc>
          <w:tcPr>
            <w:tcW w:w="768" w:type="dxa"/>
            <w:tcBorders>
              <w:top w:val="single" w:sz="12" w:space="0" w:color="auto"/>
              <w:left w:val="nil"/>
              <w:bottom w:val="nil"/>
              <w:right w:val="nil"/>
            </w:tcBorders>
            <w:shd w:val="clear" w:color="auto" w:fill="auto"/>
            <w:noWrap/>
            <w:vAlign w:val="bottom"/>
            <w:hideMark/>
          </w:tcPr>
          <w:p w14:paraId="64B6DC4E" w14:textId="77777777" w:rsidR="00A33B44" w:rsidRDefault="00A33B44" w:rsidP="005A3B4D">
            <w:pPr>
              <w:jc w:val="right"/>
              <w:rPr>
                <w:color w:val="000000"/>
                <w:sz w:val="20"/>
                <w:szCs w:val="20"/>
              </w:rPr>
            </w:pPr>
            <w:r>
              <w:rPr>
                <w:color w:val="000000"/>
                <w:sz w:val="20"/>
                <w:szCs w:val="20"/>
              </w:rPr>
              <w:t>-0.024</w:t>
            </w:r>
          </w:p>
        </w:tc>
        <w:tc>
          <w:tcPr>
            <w:tcW w:w="768" w:type="dxa"/>
            <w:tcBorders>
              <w:top w:val="single" w:sz="12" w:space="0" w:color="auto"/>
              <w:left w:val="nil"/>
              <w:bottom w:val="nil"/>
              <w:right w:val="nil"/>
            </w:tcBorders>
            <w:shd w:val="clear" w:color="auto" w:fill="auto"/>
            <w:noWrap/>
            <w:vAlign w:val="bottom"/>
            <w:hideMark/>
          </w:tcPr>
          <w:p w14:paraId="562E8995" w14:textId="77777777" w:rsidR="00A33B44" w:rsidRDefault="00A33B44" w:rsidP="005A3B4D">
            <w:pPr>
              <w:jc w:val="right"/>
              <w:rPr>
                <w:color w:val="000000"/>
                <w:sz w:val="20"/>
                <w:szCs w:val="20"/>
              </w:rPr>
            </w:pPr>
            <w:r>
              <w:rPr>
                <w:color w:val="000000"/>
                <w:sz w:val="20"/>
                <w:szCs w:val="20"/>
              </w:rPr>
              <w:t>0.948</w:t>
            </w:r>
          </w:p>
        </w:tc>
        <w:tc>
          <w:tcPr>
            <w:tcW w:w="768" w:type="dxa"/>
            <w:tcBorders>
              <w:top w:val="single" w:sz="12" w:space="0" w:color="auto"/>
              <w:left w:val="nil"/>
              <w:bottom w:val="nil"/>
              <w:right w:val="nil"/>
            </w:tcBorders>
            <w:shd w:val="clear" w:color="auto" w:fill="auto"/>
            <w:noWrap/>
            <w:vAlign w:val="bottom"/>
            <w:hideMark/>
          </w:tcPr>
          <w:p w14:paraId="5260EC86" w14:textId="77777777" w:rsidR="00A33B44" w:rsidRDefault="00A33B44"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6B5EB0E3" w14:textId="77777777" w:rsidR="00A33B44" w:rsidRDefault="00A33B44" w:rsidP="005A3B4D">
            <w:pPr>
              <w:jc w:val="right"/>
              <w:rPr>
                <w:color w:val="000000"/>
                <w:sz w:val="20"/>
                <w:szCs w:val="20"/>
              </w:rPr>
            </w:pPr>
            <w:r>
              <w:rPr>
                <w:color w:val="000000"/>
                <w:sz w:val="20"/>
                <w:szCs w:val="20"/>
              </w:rPr>
              <w:t>-0.035</w:t>
            </w:r>
          </w:p>
        </w:tc>
        <w:tc>
          <w:tcPr>
            <w:tcW w:w="768" w:type="dxa"/>
            <w:tcBorders>
              <w:top w:val="single" w:sz="12" w:space="0" w:color="auto"/>
              <w:left w:val="nil"/>
              <w:bottom w:val="nil"/>
              <w:right w:val="nil"/>
            </w:tcBorders>
            <w:shd w:val="clear" w:color="auto" w:fill="auto"/>
            <w:noWrap/>
            <w:vAlign w:val="bottom"/>
            <w:hideMark/>
          </w:tcPr>
          <w:p w14:paraId="2AB4D6FF" w14:textId="77777777" w:rsidR="00A33B44" w:rsidRDefault="00A33B44" w:rsidP="005A3B4D">
            <w:pPr>
              <w:jc w:val="right"/>
              <w:rPr>
                <w:color w:val="000000"/>
                <w:sz w:val="20"/>
                <w:szCs w:val="20"/>
              </w:rPr>
            </w:pPr>
            <w:r>
              <w:rPr>
                <w:color w:val="000000"/>
                <w:sz w:val="20"/>
                <w:szCs w:val="20"/>
              </w:rPr>
              <w:t>0.696</w:t>
            </w:r>
          </w:p>
        </w:tc>
        <w:tc>
          <w:tcPr>
            <w:tcW w:w="768" w:type="dxa"/>
            <w:tcBorders>
              <w:top w:val="single" w:sz="12" w:space="0" w:color="auto"/>
              <w:left w:val="nil"/>
              <w:bottom w:val="nil"/>
              <w:right w:val="nil"/>
            </w:tcBorders>
            <w:shd w:val="clear" w:color="auto" w:fill="auto"/>
            <w:noWrap/>
            <w:vAlign w:val="bottom"/>
            <w:hideMark/>
          </w:tcPr>
          <w:p w14:paraId="76A8C914" w14:textId="77777777" w:rsidR="00A33B44" w:rsidRDefault="00A33B44"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4436F94E" w14:textId="77777777" w:rsidR="00A33B44" w:rsidRDefault="00A33B44" w:rsidP="005A3B4D">
            <w:pPr>
              <w:jc w:val="right"/>
              <w:rPr>
                <w:color w:val="000000"/>
                <w:sz w:val="20"/>
                <w:szCs w:val="20"/>
              </w:rPr>
            </w:pPr>
            <w:r>
              <w:rPr>
                <w:color w:val="000000"/>
                <w:sz w:val="20"/>
                <w:szCs w:val="20"/>
              </w:rPr>
              <w:t>-0.061</w:t>
            </w:r>
          </w:p>
        </w:tc>
        <w:tc>
          <w:tcPr>
            <w:tcW w:w="768" w:type="dxa"/>
            <w:tcBorders>
              <w:top w:val="single" w:sz="12" w:space="0" w:color="auto"/>
              <w:left w:val="nil"/>
              <w:bottom w:val="nil"/>
              <w:right w:val="nil"/>
            </w:tcBorders>
            <w:shd w:val="clear" w:color="auto" w:fill="auto"/>
            <w:noWrap/>
            <w:vAlign w:val="bottom"/>
            <w:hideMark/>
          </w:tcPr>
          <w:p w14:paraId="0C06F4B0" w14:textId="77777777" w:rsidR="00A33B44" w:rsidRDefault="00A33B44" w:rsidP="005A3B4D">
            <w:pPr>
              <w:jc w:val="right"/>
              <w:rPr>
                <w:color w:val="000000"/>
                <w:sz w:val="20"/>
                <w:szCs w:val="20"/>
              </w:rPr>
            </w:pPr>
            <w:r>
              <w:rPr>
                <w:color w:val="000000"/>
                <w:sz w:val="20"/>
                <w:szCs w:val="20"/>
              </w:rPr>
              <w:t>0.368</w:t>
            </w:r>
          </w:p>
        </w:tc>
        <w:tc>
          <w:tcPr>
            <w:tcW w:w="768" w:type="dxa"/>
            <w:tcBorders>
              <w:top w:val="single" w:sz="12" w:space="0" w:color="auto"/>
              <w:left w:val="nil"/>
              <w:bottom w:val="nil"/>
              <w:right w:val="nil"/>
            </w:tcBorders>
            <w:shd w:val="clear" w:color="auto" w:fill="auto"/>
            <w:noWrap/>
            <w:vAlign w:val="bottom"/>
            <w:hideMark/>
          </w:tcPr>
          <w:p w14:paraId="01E5C521" w14:textId="77777777" w:rsidR="00A33B44" w:rsidRDefault="00A33B44" w:rsidP="005A3B4D">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66C83783" w14:textId="77777777" w:rsidR="00A33B44" w:rsidRDefault="00A33B44" w:rsidP="005A3B4D">
            <w:pPr>
              <w:jc w:val="right"/>
              <w:rPr>
                <w:color w:val="000000"/>
                <w:sz w:val="20"/>
                <w:szCs w:val="20"/>
              </w:rPr>
            </w:pPr>
            <w:r>
              <w:rPr>
                <w:color w:val="000000"/>
                <w:sz w:val="20"/>
                <w:szCs w:val="20"/>
              </w:rPr>
              <w:t>0.020</w:t>
            </w:r>
          </w:p>
        </w:tc>
        <w:tc>
          <w:tcPr>
            <w:tcW w:w="768" w:type="dxa"/>
            <w:tcBorders>
              <w:top w:val="single" w:sz="12" w:space="0" w:color="auto"/>
              <w:left w:val="nil"/>
              <w:bottom w:val="nil"/>
              <w:right w:val="nil"/>
            </w:tcBorders>
            <w:shd w:val="clear" w:color="auto" w:fill="auto"/>
            <w:noWrap/>
            <w:vAlign w:val="bottom"/>
            <w:hideMark/>
          </w:tcPr>
          <w:p w14:paraId="2A068319" w14:textId="77777777" w:rsidR="00A33B44" w:rsidRDefault="00A33B44" w:rsidP="005A3B4D">
            <w:pPr>
              <w:jc w:val="right"/>
              <w:rPr>
                <w:color w:val="000000"/>
                <w:sz w:val="20"/>
                <w:szCs w:val="20"/>
              </w:rPr>
            </w:pPr>
            <w:r>
              <w:rPr>
                <w:color w:val="000000"/>
                <w:sz w:val="20"/>
                <w:szCs w:val="20"/>
              </w:rPr>
              <w:t>0.881</w:t>
            </w:r>
          </w:p>
        </w:tc>
        <w:tc>
          <w:tcPr>
            <w:tcW w:w="768" w:type="dxa"/>
            <w:tcBorders>
              <w:top w:val="single" w:sz="12" w:space="0" w:color="auto"/>
              <w:left w:val="nil"/>
              <w:bottom w:val="nil"/>
              <w:right w:val="nil"/>
            </w:tcBorders>
            <w:shd w:val="clear" w:color="auto" w:fill="auto"/>
            <w:noWrap/>
            <w:vAlign w:val="bottom"/>
            <w:hideMark/>
          </w:tcPr>
          <w:p w14:paraId="56E00CC7" w14:textId="77777777" w:rsidR="00A33B44" w:rsidRDefault="00A33B44" w:rsidP="005A3B4D">
            <w:pPr>
              <w:jc w:val="right"/>
              <w:rPr>
                <w:color w:val="000000"/>
                <w:sz w:val="20"/>
                <w:szCs w:val="20"/>
              </w:rPr>
            </w:pPr>
            <w:r>
              <w:rPr>
                <w:color w:val="000000"/>
                <w:sz w:val="20"/>
                <w:szCs w:val="20"/>
              </w:rPr>
              <w:t>0.000</w:t>
            </w:r>
          </w:p>
        </w:tc>
      </w:tr>
      <w:tr w:rsidR="00A33B44" w14:paraId="7D4821F1" w14:textId="77777777" w:rsidTr="005A3B4D">
        <w:trPr>
          <w:trHeight w:val="340"/>
        </w:trPr>
        <w:tc>
          <w:tcPr>
            <w:tcW w:w="1176" w:type="dxa"/>
            <w:tcBorders>
              <w:top w:val="nil"/>
              <w:left w:val="nil"/>
              <w:bottom w:val="nil"/>
              <w:right w:val="nil"/>
            </w:tcBorders>
            <w:shd w:val="clear" w:color="auto" w:fill="auto"/>
            <w:noWrap/>
            <w:vAlign w:val="bottom"/>
            <w:hideMark/>
          </w:tcPr>
          <w:p w14:paraId="654F6A73"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2B39C1D" w14:textId="77777777" w:rsidR="00A33B44" w:rsidRDefault="00A33B44"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F78D250" w14:textId="77777777" w:rsidR="00A33B44" w:rsidRDefault="00A33B44"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9290F5E" w14:textId="77777777" w:rsidR="00A33B44" w:rsidRDefault="00A33B44" w:rsidP="005A3B4D">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473F6DDA"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76622D4" w14:textId="77777777" w:rsidR="00A33B44" w:rsidRDefault="00A33B44"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545308AA" w14:textId="77777777" w:rsidR="00A33B44" w:rsidRDefault="00A33B44" w:rsidP="005A3B4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10803FF2"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321E6C1" w14:textId="77777777" w:rsidR="00A33B44" w:rsidRDefault="00A33B44"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69E4AA9" w14:textId="77777777" w:rsidR="00A33B44" w:rsidRDefault="00A33B44" w:rsidP="005A3B4D">
            <w:pPr>
              <w:jc w:val="right"/>
              <w:rPr>
                <w:color w:val="000000"/>
                <w:sz w:val="20"/>
                <w:szCs w:val="20"/>
              </w:rPr>
            </w:pPr>
            <w:r>
              <w:rPr>
                <w:color w:val="000000"/>
                <w:sz w:val="20"/>
                <w:szCs w:val="20"/>
              </w:rPr>
              <w:t>0.696</w:t>
            </w:r>
          </w:p>
        </w:tc>
        <w:tc>
          <w:tcPr>
            <w:tcW w:w="768" w:type="dxa"/>
            <w:tcBorders>
              <w:top w:val="nil"/>
              <w:left w:val="nil"/>
              <w:bottom w:val="nil"/>
              <w:right w:val="nil"/>
            </w:tcBorders>
            <w:shd w:val="clear" w:color="auto" w:fill="auto"/>
            <w:noWrap/>
            <w:vAlign w:val="bottom"/>
            <w:hideMark/>
          </w:tcPr>
          <w:p w14:paraId="61A31959"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105102" w14:textId="77777777" w:rsidR="00A33B44" w:rsidRDefault="00A33B44"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200A63A"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3DF5B325"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E67580" w14:textId="77777777" w:rsidR="00A33B44" w:rsidRDefault="00A33B44"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453667EC" w14:textId="77777777" w:rsidR="00A33B44" w:rsidRDefault="00A33B44" w:rsidP="005A3B4D">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533D99F5" w14:textId="77777777" w:rsidR="00A33B44" w:rsidRDefault="00A33B44" w:rsidP="005A3B4D">
            <w:pPr>
              <w:jc w:val="right"/>
              <w:rPr>
                <w:color w:val="000000"/>
                <w:sz w:val="20"/>
                <w:szCs w:val="20"/>
              </w:rPr>
            </w:pPr>
            <w:r>
              <w:rPr>
                <w:color w:val="000000"/>
                <w:sz w:val="20"/>
                <w:szCs w:val="20"/>
              </w:rPr>
              <w:t>0.003</w:t>
            </w:r>
          </w:p>
        </w:tc>
      </w:tr>
      <w:tr w:rsidR="00A33B44" w14:paraId="70754990" w14:textId="77777777" w:rsidTr="005A3B4D">
        <w:trPr>
          <w:trHeight w:val="320"/>
        </w:trPr>
        <w:tc>
          <w:tcPr>
            <w:tcW w:w="1176" w:type="dxa"/>
            <w:tcBorders>
              <w:top w:val="nil"/>
              <w:left w:val="nil"/>
              <w:bottom w:val="nil"/>
              <w:right w:val="nil"/>
            </w:tcBorders>
            <w:shd w:val="clear" w:color="auto" w:fill="auto"/>
            <w:noWrap/>
            <w:vAlign w:val="bottom"/>
            <w:hideMark/>
          </w:tcPr>
          <w:p w14:paraId="534B27DD"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45394F" w14:textId="77777777" w:rsidR="00A33B44" w:rsidRDefault="00A33B44"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BB42E04" w14:textId="77777777" w:rsidR="00A33B44" w:rsidRDefault="00A33B44"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5A5630A2"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3794A73F"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E0E10B" w14:textId="77777777" w:rsidR="00A33B44" w:rsidRDefault="00A33B44" w:rsidP="005A3B4D">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3A2655F0"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6BBBA416"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892E046" w14:textId="77777777" w:rsidR="00A33B44" w:rsidRDefault="00A33B44"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55B28FB5" w14:textId="77777777" w:rsidR="00A33B44" w:rsidRDefault="00A33B44" w:rsidP="005A3B4D">
            <w:pPr>
              <w:jc w:val="right"/>
              <w:rPr>
                <w:color w:val="000000"/>
                <w:sz w:val="20"/>
                <w:szCs w:val="20"/>
              </w:rPr>
            </w:pPr>
            <w:r>
              <w:rPr>
                <w:color w:val="000000"/>
                <w:sz w:val="20"/>
                <w:szCs w:val="20"/>
              </w:rPr>
              <w:t>0.994</w:t>
            </w:r>
          </w:p>
        </w:tc>
        <w:tc>
          <w:tcPr>
            <w:tcW w:w="768" w:type="dxa"/>
            <w:tcBorders>
              <w:top w:val="nil"/>
              <w:left w:val="nil"/>
              <w:bottom w:val="nil"/>
              <w:right w:val="nil"/>
            </w:tcBorders>
            <w:shd w:val="clear" w:color="auto" w:fill="auto"/>
            <w:noWrap/>
            <w:vAlign w:val="bottom"/>
            <w:hideMark/>
          </w:tcPr>
          <w:p w14:paraId="3E3FE806"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4B4FCC8" w14:textId="77777777" w:rsidR="00A33B44" w:rsidRDefault="00A33B44"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1E524CE4"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565C7E33"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5624D49" w14:textId="77777777" w:rsidR="00A33B44" w:rsidRDefault="00A33B44"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173BAC6F"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6752D9AA" w14:textId="77777777" w:rsidR="00A33B44" w:rsidRDefault="00A33B44" w:rsidP="005A3B4D">
            <w:pPr>
              <w:jc w:val="right"/>
              <w:rPr>
                <w:color w:val="000000"/>
                <w:sz w:val="20"/>
                <w:szCs w:val="20"/>
              </w:rPr>
            </w:pPr>
            <w:r>
              <w:rPr>
                <w:color w:val="000000"/>
                <w:sz w:val="20"/>
                <w:szCs w:val="20"/>
              </w:rPr>
              <w:t>0.005</w:t>
            </w:r>
          </w:p>
        </w:tc>
      </w:tr>
      <w:tr w:rsidR="00A33B44" w14:paraId="3B4270CC" w14:textId="77777777" w:rsidTr="005A3B4D">
        <w:trPr>
          <w:trHeight w:val="320"/>
        </w:trPr>
        <w:tc>
          <w:tcPr>
            <w:tcW w:w="1176" w:type="dxa"/>
            <w:tcBorders>
              <w:top w:val="nil"/>
              <w:left w:val="nil"/>
              <w:bottom w:val="nil"/>
              <w:right w:val="nil"/>
            </w:tcBorders>
            <w:shd w:val="clear" w:color="auto" w:fill="auto"/>
            <w:noWrap/>
            <w:vAlign w:val="bottom"/>
            <w:hideMark/>
          </w:tcPr>
          <w:p w14:paraId="5E940E59"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F7620B" w14:textId="77777777" w:rsidR="00A33B44" w:rsidRDefault="00A33B44"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D79278C" w14:textId="77777777" w:rsidR="00A33B44" w:rsidRDefault="00A33B44" w:rsidP="005A3B4D">
            <w:pPr>
              <w:jc w:val="right"/>
              <w:rPr>
                <w:color w:val="000000"/>
                <w:sz w:val="20"/>
                <w:szCs w:val="20"/>
              </w:rPr>
            </w:pPr>
            <w:r>
              <w:rPr>
                <w:color w:val="000000"/>
                <w:sz w:val="20"/>
                <w:szCs w:val="20"/>
              </w:rPr>
              <w:t>0.150</w:t>
            </w:r>
          </w:p>
        </w:tc>
        <w:tc>
          <w:tcPr>
            <w:tcW w:w="768" w:type="dxa"/>
            <w:tcBorders>
              <w:top w:val="nil"/>
              <w:left w:val="nil"/>
              <w:bottom w:val="nil"/>
              <w:right w:val="nil"/>
            </w:tcBorders>
            <w:shd w:val="clear" w:color="auto" w:fill="auto"/>
            <w:noWrap/>
            <w:vAlign w:val="bottom"/>
            <w:hideMark/>
          </w:tcPr>
          <w:p w14:paraId="0BEF00E7" w14:textId="77777777" w:rsidR="00A33B44" w:rsidRDefault="00A33B44" w:rsidP="005A3B4D">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6B0245A1" w14:textId="77777777" w:rsidR="00A33B44" w:rsidRDefault="00A33B44"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13615AB" w14:textId="77777777" w:rsidR="00A33B44" w:rsidRDefault="00A33B44"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22EA156B" w14:textId="77777777" w:rsidR="00A33B44" w:rsidRDefault="00A33B44" w:rsidP="005A3B4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09446A9D"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0BABA1E" w14:textId="77777777" w:rsidR="00A33B44" w:rsidRDefault="00A33B44" w:rsidP="005A3B4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3682C367" w14:textId="77777777" w:rsidR="00A33B44" w:rsidRDefault="00A33B44" w:rsidP="005A3B4D">
            <w:pPr>
              <w:jc w:val="right"/>
              <w:rPr>
                <w:color w:val="000000"/>
                <w:sz w:val="20"/>
                <w:szCs w:val="20"/>
              </w:rPr>
            </w:pPr>
            <w:r>
              <w:rPr>
                <w:color w:val="000000"/>
                <w:sz w:val="20"/>
                <w:szCs w:val="20"/>
              </w:rPr>
              <w:t>0.496</w:t>
            </w:r>
          </w:p>
        </w:tc>
        <w:tc>
          <w:tcPr>
            <w:tcW w:w="768" w:type="dxa"/>
            <w:tcBorders>
              <w:top w:val="nil"/>
              <w:left w:val="nil"/>
              <w:bottom w:val="nil"/>
              <w:right w:val="nil"/>
            </w:tcBorders>
            <w:shd w:val="clear" w:color="auto" w:fill="auto"/>
            <w:noWrap/>
            <w:vAlign w:val="bottom"/>
            <w:hideMark/>
          </w:tcPr>
          <w:p w14:paraId="518F0A3A" w14:textId="77777777" w:rsidR="00A33B44" w:rsidRDefault="00A33B44"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7883BAB" w14:textId="77777777" w:rsidR="00A33B44" w:rsidRDefault="00A33B44" w:rsidP="005A3B4D">
            <w:pPr>
              <w:jc w:val="right"/>
              <w:rPr>
                <w:color w:val="000000"/>
                <w:sz w:val="20"/>
                <w:szCs w:val="20"/>
              </w:rPr>
            </w:pPr>
            <w:r>
              <w:rPr>
                <w:color w:val="000000"/>
                <w:sz w:val="20"/>
                <w:szCs w:val="20"/>
              </w:rPr>
              <w:t>0.156</w:t>
            </w:r>
          </w:p>
        </w:tc>
        <w:tc>
          <w:tcPr>
            <w:tcW w:w="768" w:type="dxa"/>
            <w:tcBorders>
              <w:top w:val="nil"/>
              <w:left w:val="nil"/>
              <w:bottom w:val="nil"/>
              <w:right w:val="nil"/>
            </w:tcBorders>
            <w:shd w:val="clear" w:color="auto" w:fill="auto"/>
            <w:noWrap/>
            <w:vAlign w:val="bottom"/>
            <w:hideMark/>
          </w:tcPr>
          <w:p w14:paraId="4065FED7" w14:textId="77777777" w:rsidR="00A33B44" w:rsidRDefault="00A33B44" w:rsidP="005A3B4D">
            <w:pPr>
              <w:jc w:val="right"/>
              <w:rPr>
                <w:color w:val="000000"/>
                <w:sz w:val="20"/>
                <w:szCs w:val="20"/>
              </w:rPr>
            </w:pPr>
            <w:r>
              <w:rPr>
                <w:color w:val="000000"/>
                <w:sz w:val="20"/>
                <w:szCs w:val="20"/>
              </w:rPr>
              <w:t>0.410</w:t>
            </w:r>
          </w:p>
        </w:tc>
        <w:tc>
          <w:tcPr>
            <w:tcW w:w="768" w:type="dxa"/>
            <w:tcBorders>
              <w:top w:val="nil"/>
              <w:left w:val="nil"/>
              <w:bottom w:val="nil"/>
              <w:right w:val="nil"/>
            </w:tcBorders>
            <w:shd w:val="clear" w:color="auto" w:fill="auto"/>
            <w:noWrap/>
            <w:vAlign w:val="bottom"/>
            <w:hideMark/>
          </w:tcPr>
          <w:p w14:paraId="23EE515A" w14:textId="77777777" w:rsidR="00A33B44" w:rsidRDefault="00A33B44"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8B3BBF8" w14:textId="77777777" w:rsidR="00A33B44" w:rsidRDefault="00A33B44" w:rsidP="005A3B4D">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723EDD80" w14:textId="77777777" w:rsidR="00A33B44" w:rsidRDefault="00A33B44" w:rsidP="005A3B4D">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70C4717B" w14:textId="77777777" w:rsidR="00A33B44" w:rsidRDefault="00A33B44" w:rsidP="005A3B4D">
            <w:pPr>
              <w:jc w:val="right"/>
              <w:rPr>
                <w:color w:val="000000"/>
                <w:sz w:val="20"/>
                <w:szCs w:val="20"/>
              </w:rPr>
            </w:pPr>
            <w:r>
              <w:rPr>
                <w:color w:val="000000"/>
                <w:sz w:val="20"/>
                <w:szCs w:val="20"/>
              </w:rPr>
              <w:t>0.009</w:t>
            </w:r>
          </w:p>
        </w:tc>
      </w:tr>
      <w:tr w:rsidR="00A33B44" w14:paraId="2ACB2157" w14:textId="77777777" w:rsidTr="005A3B4D">
        <w:trPr>
          <w:trHeight w:val="320"/>
        </w:trPr>
        <w:tc>
          <w:tcPr>
            <w:tcW w:w="1176" w:type="dxa"/>
            <w:tcBorders>
              <w:top w:val="nil"/>
              <w:left w:val="nil"/>
              <w:bottom w:val="nil"/>
              <w:right w:val="nil"/>
            </w:tcBorders>
            <w:shd w:val="clear" w:color="auto" w:fill="auto"/>
            <w:noWrap/>
            <w:vAlign w:val="bottom"/>
            <w:hideMark/>
          </w:tcPr>
          <w:p w14:paraId="7EEE1859"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F291129" w14:textId="77777777" w:rsidR="00A33B44" w:rsidRDefault="00A33B44"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5840B11" w14:textId="77777777" w:rsidR="00A33B44" w:rsidRDefault="00A33B44" w:rsidP="005A3B4D">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25A9555B" w14:textId="77777777" w:rsidR="00A33B44" w:rsidRDefault="00A33B44" w:rsidP="005A3B4D">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6C3C5727" w14:textId="77777777" w:rsidR="00A33B44" w:rsidRDefault="00A33B44"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1E85DDD" w14:textId="77777777" w:rsidR="00A33B44" w:rsidRDefault="00A33B44"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2A65DA4D" w14:textId="77777777" w:rsidR="00A33B44" w:rsidRDefault="00A33B44" w:rsidP="005A3B4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20748ED8"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298CA43" w14:textId="77777777" w:rsidR="00A33B44" w:rsidRDefault="00A33B44"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2A94455B" w14:textId="77777777" w:rsidR="00A33B44" w:rsidRDefault="00A33B44"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153585CF"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5B1032" w14:textId="77777777" w:rsidR="00A33B44" w:rsidRDefault="00A33B44" w:rsidP="005A3B4D">
            <w:pPr>
              <w:jc w:val="right"/>
              <w:rPr>
                <w:color w:val="000000"/>
                <w:sz w:val="20"/>
                <w:szCs w:val="20"/>
              </w:rPr>
            </w:pPr>
            <w:r>
              <w:rPr>
                <w:color w:val="000000"/>
                <w:sz w:val="20"/>
                <w:szCs w:val="20"/>
              </w:rPr>
              <w:t>0.141</w:t>
            </w:r>
          </w:p>
        </w:tc>
        <w:tc>
          <w:tcPr>
            <w:tcW w:w="768" w:type="dxa"/>
            <w:tcBorders>
              <w:top w:val="nil"/>
              <w:left w:val="nil"/>
              <w:bottom w:val="nil"/>
              <w:right w:val="nil"/>
            </w:tcBorders>
            <w:shd w:val="clear" w:color="auto" w:fill="auto"/>
            <w:noWrap/>
            <w:vAlign w:val="bottom"/>
            <w:hideMark/>
          </w:tcPr>
          <w:p w14:paraId="5D891844" w14:textId="77777777" w:rsidR="00A33B44" w:rsidRDefault="00A33B44"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6F74DB31" w14:textId="77777777" w:rsidR="00A33B44" w:rsidRDefault="00A33B44"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109D59E" w14:textId="77777777" w:rsidR="00A33B44" w:rsidRDefault="00A33B44"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2155011E" w14:textId="77777777" w:rsidR="00A33B44" w:rsidRDefault="00A33B44" w:rsidP="005A3B4D">
            <w:pPr>
              <w:jc w:val="right"/>
              <w:rPr>
                <w:color w:val="000000"/>
                <w:sz w:val="20"/>
                <w:szCs w:val="20"/>
              </w:rPr>
            </w:pPr>
            <w:r>
              <w:rPr>
                <w:color w:val="000000"/>
                <w:sz w:val="20"/>
                <w:szCs w:val="20"/>
              </w:rPr>
              <w:t>0.881</w:t>
            </w:r>
          </w:p>
        </w:tc>
        <w:tc>
          <w:tcPr>
            <w:tcW w:w="768" w:type="dxa"/>
            <w:tcBorders>
              <w:top w:val="nil"/>
              <w:left w:val="nil"/>
              <w:bottom w:val="nil"/>
              <w:right w:val="nil"/>
            </w:tcBorders>
            <w:shd w:val="clear" w:color="auto" w:fill="auto"/>
            <w:noWrap/>
            <w:vAlign w:val="bottom"/>
            <w:hideMark/>
          </w:tcPr>
          <w:p w14:paraId="551892F8" w14:textId="77777777" w:rsidR="00A33B44" w:rsidRDefault="00A33B44" w:rsidP="005A3B4D">
            <w:pPr>
              <w:jc w:val="right"/>
              <w:rPr>
                <w:color w:val="000000"/>
                <w:sz w:val="20"/>
                <w:szCs w:val="20"/>
              </w:rPr>
            </w:pPr>
            <w:r>
              <w:rPr>
                <w:color w:val="000000"/>
                <w:sz w:val="20"/>
                <w:szCs w:val="20"/>
              </w:rPr>
              <w:t>0.001</w:t>
            </w:r>
          </w:p>
        </w:tc>
      </w:tr>
      <w:tr w:rsidR="00A33B44" w14:paraId="32D0CDF6" w14:textId="77777777" w:rsidTr="005A3B4D">
        <w:trPr>
          <w:trHeight w:val="320"/>
        </w:trPr>
        <w:tc>
          <w:tcPr>
            <w:tcW w:w="1176" w:type="dxa"/>
            <w:tcBorders>
              <w:top w:val="nil"/>
              <w:left w:val="nil"/>
              <w:bottom w:val="nil"/>
              <w:right w:val="nil"/>
            </w:tcBorders>
            <w:shd w:val="clear" w:color="auto" w:fill="auto"/>
            <w:noWrap/>
            <w:vAlign w:val="bottom"/>
            <w:hideMark/>
          </w:tcPr>
          <w:p w14:paraId="4DCADA00"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A1A1234" w14:textId="77777777" w:rsidR="00A33B44" w:rsidRDefault="00A33B44"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5395DC9" w14:textId="77777777" w:rsidR="00A33B44" w:rsidRDefault="00A33B44"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4CFBC77" w14:textId="77777777" w:rsidR="00A33B44" w:rsidRDefault="00A33B44" w:rsidP="005A3B4D">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007DEFE9"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69667A" w14:textId="77777777" w:rsidR="00A33B44" w:rsidRDefault="00A33B44"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388D564D" w14:textId="77777777" w:rsidR="00A33B44" w:rsidRDefault="00A33B44" w:rsidP="005A3B4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21349048"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88FD87E" w14:textId="77777777" w:rsidR="00A33B44" w:rsidRDefault="00A33B44"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41715EC5" w14:textId="77777777" w:rsidR="00A33B44" w:rsidRDefault="00A33B44" w:rsidP="005A3B4D">
            <w:pPr>
              <w:jc w:val="right"/>
              <w:rPr>
                <w:color w:val="000000"/>
                <w:sz w:val="20"/>
                <w:szCs w:val="20"/>
              </w:rPr>
            </w:pPr>
            <w:r>
              <w:rPr>
                <w:color w:val="000000"/>
                <w:sz w:val="20"/>
                <w:szCs w:val="20"/>
              </w:rPr>
              <w:t>0.232</w:t>
            </w:r>
          </w:p>
        </w:tc>
        <w:tc>
          <w:tcPr>
            <w:tcW w:w="768" w:type="dxa"/>
            <w:tcBorders>
              <w:top w:val="nil"/>
              <w:left w:val="nil"/>
              <w:bottom w:val="nil"/>
              <w:right w:val="nil"/>
            </w:tcBorders>
            <w:shd w:val="clear" w:color="auto" w:fill="auto"/>
            <w:noWrap/>
            <w:vAlign w:val="bottom"/>
            <w:hideMark/>
          </w:tcPr>
          <w:p w14:paraId="354D954B"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C651D08" w14:textId="77777777" w:rsidR="00A33B44" w:rsidRDefault="00A33B44"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E17C45A" w14:textId="77777777" w:rsidR="00A33B44" w:rsidRDefault="00A33B44"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00D481B2"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804AB3" w14:textId="77777777" w:rsidR="00A33B44" w:rsidRDefault="00A33B44"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BBEA859" w14:textId="77777777" w:rsidR="00A33B44" w:rsidRDefault="00A33B44" w:rsidP="005A3B4D">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7C4D0BF6" w14:textId="77777777" w:rsidR="00A33B44" w:rsidRDefault="00A33B44" w:rsidP="005A3B4D">
            <w:pPr>
              <w:jc w:val="right"/>
              <w:rPr>
                <w:color w:val="000000"/>
                <w:sz w:val="20"/>
                <w:szCs w:val="20"/>
              </w:rPr>
            </w:pPr>
            <w:r>
              <w:rPr>
                <w:color w:val="000000"/>
                <w:sz w:val="20"/>
                <w:szCs w:val="20"/>
              </w:rPr>
              <w:t>0.000</w:t>
            </w:r>
          </w:p>
        </w:tc>
      </w:tr>
      <w:tr w:rsidR="00A33B44" w14:paraId="378592CD" w14:textId="77777777" w:rsidTr="005A3B4D">
        <w:trPr>
          <w:trHeight w:val="320"/>
        </w:trPr>
        <w:tc>
          <w:tcPr>
            <w:tcW w:w="1176" w:type="dxa"/>
            <w:tcBorders>
              <w:top w:val="nil"/>
              <w:left w:val="nil"/>
              <w:bottom w:val="nil"/>
              <w:right w:val="nil"/>
            </w:tcBorders>
            <w:shd w:val="clear" w:color="auto" w:fill="auto"/>
            <w:noWrap/>
            <w:vAlign w:val="bottom"/>
            <w:hideMark/>
          </w:tcPr>
          <w:p w14:paraId="0F7A17EF"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9F4DCD3" w14:textId="77777777" w:rsidR="00A33B44" w:rsidRDefault="00A33B44"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1C882EA" w14:textId="77777777" w:rsidR="00A33B44" w:rsidRDefault="00A33B44"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245312F1" w14:textId="77777777" w:rsidR="00A33B44" w:rsidRDefault="00A33B44" w:rsidP="005A3B4D">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220A696A"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47AD463" w14:textId="77777777" w:rsidR="00A33B44" w:rsidRDefault="00A33B44"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77329B60" w14:textId="77777777" w:rsidR="00A33B44" w:rsidRDefault="00A33B44" w:rsidP="005A3B4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6B7FA1AA"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A69F743" w14:textId="77777777" w:rsidR="00A33B44" w:rsidRDefault="00A33B44"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E3F8C98" w14:textId="77777777" w:rsidR="00A33B44" w:rsidRDefault="00A33B44" w:rsidP="005A3B4D">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17019975"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368E942" w14:textId="77777777" w:rsidR="00A33B44" w:rsidRDefault="00A33B44" w:rsidP="005A3B4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5AC954F4" w14:textId="77777777" w:rsidR="00A33B44" w:rsidRDefault="00A33B44" w:rsidP="005A3B4D">
            <w:pPr>
              <w:jc w:val="right"/>
              <w:rPr>
                <w:color w:val="000000"/>
                <w:sz w:val="20"/>
                <w:szCs w:val="20"/>
              </w:rPr>
            </w:pPr>
            <w:r>
              <w:rPr>
                <w:color w:val="000000"/>
                <w:sz w:val="20"/>
                <w:szCs w:val="20"/>
              </w:rPr>
              <w:t>0.402</w:t>
            </w:r>
          </w:p>
        </w:tc>
        <w:tc>
          <w:tcPr>
            <w:tcW w:w="768" w:type="dxa"/>
            <w:tcBorders>
              <w:top w:val="nil"/>
              <w:left w:val="nil"/>
              <w:bottom w:val="nil"/>
              <w:right w:val="nil"/>
            </w:tcBorders>
            <w:shd w:val="clear" w:color="auto" w:fill="auto"/>
            <w:noWrap/>
            <w:vAlign w:val="bottom"/>
            <w:hideMark/>
          </w:tcPr>
          <w:p w14:paraId="78CCF585"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9F3EA32" w14:textId="77777777" w:rsidR="00A33B44" w:rsidRDefault="00A33B44" w:rsidP="005A3B4D">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4D6C7C2B" w14:textId="77777777" w:rsidR="00A33B44" w:rsidRDefault="00A33B44" w:rsidP="005A3B4D">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55E46F10" w14:textId="77777777" w:rsidR="00A33B44" w:rsidRDefault="00A33B44" w:rsidP="005A3B4D">
            <w:pPr>
              <w:jc w:val="right"/>
              <w:rPr>
                <w:color w:val="000000"/>
                <w:sz w:val="20"/>
                <w:szCs w:val="20"/>
              </w:rPr>
            </w:pPr>
            <w:r>
              <w:rPr>
                <w:color w:val="000000"/>
                <w:sz w:val="20"/>
                <w:szCs w:val="20"/>
              </w:rPr>
              <w:t>0.006</w:t>
            </w:r>
          </w:p>
        </w:tc>
      </w:tr>
      <w:tr w:rsidR="00A33B44" w14:paraId="765BEF3E"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1A5DA215" w14:textId="77777777" w:rsidR="00A33B44" w:rsidRDefault="00A33B44"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51FD0C7" w14:textId="77777777" w:rsidR="00A33B44" w:rsidRDefault="00A33B44"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0993146" w14:textId="77777777" w:rsidR="00A33B44" w:rsidRDefault="00A33B44" w:rsidP="005A3B4D">
            <w:pPr>
              <w:jc w:val="right"/>
              <w:rPr>
                <w:color w:val="000000"/>
                <w:sz w:val="20"/>
                <w:szCs w:val="20"/>
              </w:rPr>
            </w:pPr>
            <w:r>
              <w:rPr>
                <w:color w:val="000000"/>
                <w:sz w:val="20"/>
                <w:szCs w:val="20"/>
              </w:rPr>
              <w:t>0.174</w:t>
            </w:r>
          </w:p>
        </w:tc>
        <w:tc>
          <w:tcPr>
            <w:tcW w:w="768" w:type="dxa"/>
            <w:tcBorders>
              <w:top w:val="nil"/>
              <w:left w:val="nil"/>
              <w:bottom w:val="single" w:sz="4" w:space="0" w:color="auto"/>
              <w:right w:val="nil"/>
            </w:tcBorders>
            <w:shd w:val="clear" w:color="auto" w:fill="auto"/>
            <w:noWrap/>
            <w:vAlign w:val="bottom"/>
            <w:hideMark/>
          </w:tcPr>
          <w:p w14:paraId="1003E8C7" w14:textId="77777777" w:rsidR="00A33B44" w:rsidRDefault="00A33B44" w:rsidP="005A3B4D">
            <w:pPr>
              <w:jc w:val="right"/>
              <w:rPr>
                <w:color w:val="000000"/>
                <w:sz w:val="20"/>
                <w:szCs w:val="20"/>
              </w:rPr>
            </w:pPr>
            <w:r>
              <w:rPr>
                <w:color w:val="000000"/>
                <w:sz w:val="20"/>
                <w:szCs w:val="20"/>
              </w:rPr>
              <w:t>0.857</w:t>
            </w:r>
          </w:p>
        </w:tc>
        <w:tc>
          <w:tcPr>
            <w:tcW w:w="768" w:type="dxa"/>
            <w:tcBorders>
              <w:top w:val="nil"/>
              <w:left w:val="nil"/>
              <w:bottom w:val="single" w:sz="4" w:space="0" w:color="auto"/>
              <w:right w:val="nil"/>
            </w:tcBorders>
            <w:shd w:val="clear" w:color="auto" w:fill="auto"/>
            <w:noWrap/>
            <w:vAlign w:val="bottom"/>
            <w:hideMark/>
          </w:tcPr>
          <w:p w14:paraId="0105E36E" w14:textId="77777777" w:rsidR="00A33B44" w:rsidRDefault="00A33B44" w:rsidP="005A3B4D">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59F2965D" w14:textId="77777777" w:rsidR="00A33B44" w:rsidRDefault="00A33B44" w:rsidP="005A3B4D">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4A7F541A" w14:textId="77777777" w:rsidR="00A33B44" w:rsidRDefault="00A33B44" w:rsidP="005A3B4D">
            <w:pPr>
              <w:jc w:val="right"/>
              <w:rPr>
                <w:color w:val="000000"/>
                <w:sz w:val="20"/>
                <w:szCs w:val="20"/>
              </w:rPr>
            </w:pPr>
            <w:r>
              <w:rPr>
                <w:color w:val="000000"/>
                <w:sz w:val="20"/>
                <w:szCs w:val="20"/>
              </w:rPr>
              <w:t>0.999</w:t>
            </w:r>
          </w:p>
        </w:tc>
        <w:tc>
          <w:tcPr>
            <w:tcW w:w="768" w:type="dxa"/>
            <w:tcBorders>
              <w:top w:val="nil"/>
              <w:left w:val="nil"/>
              <w:bottom w:val="single" w:sz="4" w:space="0" w:color="auto"/>
              <w:right w:val="nil"/>
            </w:tcBorders>
            <w:shd w:val="clear" w:color="auto" w:fill="auto"/>
            <w:noWrap/>
            <w:vAlign w:val="bottom"/>
            <w:hideMark/>
          </w:tcPr>
          <w:p w14:paraId="11CA3CC5"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68A0472"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47D949B4" w14:textId="77777777" w:rsidR="00A33B44" w:rsidRDefault="00A33B44" w:rsidP="005A3B4D">
            <w:pPr>
              <w:jc w:val="right"/>
              <w:rPr>
                <w:color w:val="000000"/>
                <w:sz w:val="20"/>
                <w:szCs w:val="20"/>
              </w:rPr>
            </w:pPr>
            <w:r>
              <w:rPr>
                <w:color w:val="000000"/>
                <w:sz w:val="20"/>
                <w:szCs w:val="20"/>
              </w:rPr>
              <w:t>0.994</w:t>
            </w:r>
          </w:p>
        </w:tc>
        <w:tc>
          <w:tcPr>
            <w:tcW w:w="768" w:type="dxa"/>
            <w:tcBorders>
              <w:top w:val="nil"/>
              <w:left w:val="nil"/>
              <w:bottom w:val="single" w:sz="4" w:space="0" w:color="auto"/>
              <w:right w:val="nil"/>
            </w:tcBorders>
            <w:shd w:val="clear" w:color="auto" w:fill="auto"/>
            <w:noWrap/>
            <w:vAlign w:val="bottom"/>
            <w:hideMark/>
          </w:tcPr>
          <w:p w14:paraId="75ED5262"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C7E6B32" w14:textId="77777777" w:rsidR="00A33B44" w:rsidRDefault="00A33B44" w:rsidP="005A3B4D">
            <w:pPr>
              <w:jc w:val="right"/>
              <w:rPr>
                <w:color w:val="000000"/>
                <w:sz w:val="20"/>
                <w:szCs w:val="20"/>
              </w:rPr>
            </w:pPr>
            <w:r>
              <w:rPr>
                <w:color w:val="000000"/>
                <w:sz w:val="20"/>
                <w:szCs w:val="20"/>
              </w:rPr>
              <w:t>0.086</w:t>
            </w:r>
          </w:p>
        </w:tc>
        <w:tc>
          <w:tcPr>
            <w:tcW w:w="768" w:type="dxa"/>
            <w:tcBorders>
              <w:top w:val="nil"/>
              <w:left w:val="nil"/>
              <w:bottom w:val="single" w:sz="4" w:space="0" w:color="auto"/>
              <w:right w:val="nil"/>
            </w:tcBorders>
            <w:shd w:val="clear" w:color="auto" w:fill="auto"/>
            <w:noWrap/>
            <w:vAlign w:val="bottom"/>
            <w:hideMark/>
          </w:tcPr>
          <w:p w14:paraId="08E31EBB" w14:textId="77777777" w:rsidR="00A33B44" w:rsidRDefault="00A33B44" w:rsidP="005A3B4D">
            <w:pPr>
              <w:jc w:val="right"/>
              <w:rPr>
                <w:color w:val="000000"/>
                <w:sz w:val="20"/>
                <w:szCs w:val="20"/>
              </w:rPr>
            </w:pPr>
            <w:r>
              <w:rPr>
                <w:color w:val="000000"/>
                <w:sz w:val="20"/>
                <w:szCs w:val="20"/>
              </w:rPr>
              <w:t>0.368</w:t>
            </w:r>
          </w:p>
        </w:tc>
        <w:tc>
          <w:tcPr>
            <w:tcW w:w="768" w:type="dxa"/>
            <w:tcBorders>
              <w:top w:val="nil"/>
              <w:left w:val="nil"/>
              <w:bottom w:val="single" w:sz="4" w:space="0" w:color="auto"/>
              <w:right w:val="nil"/>
            </w:tcBorders>
            <w:shd w:val="clear" w:color="auto" w:fill="auto"/>
            <w:noWrap/>
            <w:vAlign w:val="bottom"/>
            <w:hideMark/>
          </w:tcPr>
          <w:p w14:paraId="0C1E9CF1"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0D777516" w14:textId="77777777" w:rsidR="00A33B44" w:rsidRDefault="00A33B44" w:rsidP="005A3B4D">
            <w:pPr>
              <w:jc w:val="right"/>
              <w:rPr>
                <w:color w:val="000000"/>
                <w:sz w:val="20"/>
                <w:szCs w:val="20"/>
              </w:rPr>
            </w:pPr>
            <w:r>
              <w:rPr>
                <w:color w:val="000000"/>
                <w:sz w:val="20"/>
                <w:szCs w:val="20"/>
              </w:rPr>
              <w:t>0.098</w:t>
            </w:r>
          </w:p>
        </w:tc>
        <w:tc>
          <w:tcPr>
            <w:tcW w:w="768" w:type="dxa"/>
            <w:tcBorders>
              <w:top w:val="nil"/>
              <w:left w:val="nil"/>
              <w:bottom w:val="single" w:sz="4" w:space="0" w:color="auto"/>
              <w:right w:val="nil"/>
            </w:tcBorders>
            <w:shd w:val="clear" w:color="auto" w:fill="auto"/>
            <w:noWrap/>
            <w:vAlign w:val="bottom"/>
            <w:hideMark/>
          </w:tcPr>
          <w:p w14:paraId="3AD394ED" w14:textId="77777777" w:rsidR="00A33B44" w:rsidRDefault="00A33B44" w:rsidP="005A3B4D">
            <w:pPr>
              <w:jc w:val="right"/>
              <w:rPr>
                <w:color w:val="000000"/>
                <w:sz w:val="20"/>
                <w:szCs w:val="20"/>
              </w:rPr>
            </w:pPr>
            <w:r>
              <w:rPr>
                <w:color w:val="000000"/>
                <w:sz w:val="20"/>
                <w:szCs w:val="20"/>
              </w:rPr>
              <w:t>0.836</w:t>
            </w:r>
          </w:p>
        </w:tc>
        <w:tc>
          <w:tcPr>
            <w:tcW w:w="768" w:type="dxa"/>
            <w:tcBorders>
              <w:top w:val="nil"/>
              <w:left w:val="nil"/>
              <w:bottom w:val="single" w:sz="4" w:space="0" w:color="auto"/>
              <w:right w:val="nil"/>
            </w:tcBorders>
            <w:shd w:val="clear" w:color="auto" w:fill="auto"/>
            <w:noWrap/>
            <w:vAlign w:val="bottom"/>
            <w:hideMark/>
          </w:tcPr>
          <w:p w14:paraId="620509F5" w14:textId="77777777" w:rsidR="00A33B44" w:rsidRDefault="00A33B44" w:rsidP="005A3B4D">
            <w:pPr>
              <w:jc w:val="right"/>
              <w:rPr>
                <w:color w:val="000000"/>
                <w:sz w:val="20"/>
                <w:szCs w:val="20"/>
              </w:rPr>
            </w:pPr>
            <w:r>
              <w:rPr>
                <w:color w:val="000000"/>
                <w:sz w:val="20"/>
                <w:szCs w:val="20"/>
              </w:rPr>
              <w:t>0.010</w:t>
            </w:r>
          </w:p>
        </w:tc>
      </w:tr>
      <w:tr w:rsidR="00A33B44" w14:paraId="76CB50F1" w14:textId="77777777" w:rsidTr="005A3B4D">
        <w:trPr>
          <w:trHeight w:val="320"/>
        </w:trPr>
        <w:tc>
          <w:tcPr>
            <w:tcW w:w="1176" w:type="dxa"/>
            <w:tcBorders>
              <w:top w:val="nil"/>
              <w:left w:val="nil"/>
              <w:bottom w:val="nil"/>
              <w:right w:val="nil"/>
            </w:tcBorders>
            <w:shd w:val="clear" w:color="auto" w:fill="auto"/>
            <w:noWrap/>
            <w:vAlign w:val="bottom"/>
            <w:hideMark/>
          </w:tcPr>
          <w:p w14:paraId="3FF6054D" w14:textId="77777777" w:rsidR="00A33B44" w:rsidRDefault="00A33B44"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5C36247A" w14:textId="77777777" w:rsidR="00A33B44" w:rsidRDefault="00A33B44"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4223D6E" w14:textId="77777777" w:rsidR="00A33B44" w:rsidRDefault="00A33B44" w:rsidP="005A3B4D">
            <w:pPr>
              <w:jc w:val="right"/>
              <w:rPr>
                <w:color w:val="000000"/>
                <w:sz w:val="20"/>
                <w:szCs w:val="20"/>
              </w:rPr>
            </w:pPr>
            <w:r>
              <w:rPr>
                <w:color w:val="000000"/>
                <w:sz w:val="20"/>
                <w:szCs w:val="20"/>
              </w:rPr>
              <w:t>-0.095</w:t>
            </w:r>
          </w:p>
        </w:tc>
        <w:tc>
          <w:tcPr>
            <w:tcW w:w="768" w:type="dxa"/>
            <w:tcBorders>
              <w:top w:val="nil"/>
              <w:left w:val="nil"/>
              <w:bottom w:val="nil"/>
              <w:right w:val="nil"/>
            </w:tcBorders>
            <w:shd w:val="clear" w:color="auto" w:fill="auto"/>
            <w:noWrap/>
            <w:vAlign w:val="bottom"/>
            <w:hideMark/>
          </w:tcPr>
          <w:p w14:paraId="509B6805" w14:textId="77777777" w:rsidR="00A33B44" w:rsidRDefault="00A33B44"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74F27775" w14:textId="77777777" w:rsidR="00A33B44" w:rsidRDefault="00A33B44"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4DDB612" w14:textId="77777777" w:rsidR="00A33B44" w:rsidRDefault="00A33B44"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89EA00A" w14:textId="77777777" w:rsidR="00A33B44" w:rsidRDefault="00A33B44" w:rsidP="005A3B4D">
            <w:pPr>
              <w:jc w:val="right"/>
              <w:rPr>
                <w:color w:val="000000"/>
                <w:sz w:val="20"/>
                <w:szCs w:val="20"/>
              </w:rPr>
            </w:pPr>
            <w:r>
              <w:rPr>
                <w:color w:val="000000"/>
                <w:sz w:val="20"/>
                <w:szCs w:val="20"/>
              </w:rPr>
              <w:t>0.696</w:t>
            </w:r>
          </w:p>
        </w:tc>
        <w:tc>
          <w:tcPr>
            <w:tcW w:w="768" w:type="dxa"/>
            <w:tcBorders>
              <w:top w:val="nil"/>
              <w:left w:val="nil"/>
              <w:bottom w:val="nil"/>
              <w:right w:val="nil"/>
            </w:tcBorders>
            <w:shd w:val="clear" w:color="auto" w:fill="auto"/>
            <w:noWrap/>
            <w:vAlign w:val="bottom"/>
            <w:hideMark/>
          </w:tcPr>
          <w:p w14:paraId="186E6EC3"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F9BDB1F" w14:textId="77777777" w:rsidR="00A33B44" w:rsidRDefault="00A33B44"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9321B82" w14:textId="77777777" w:rsidR="00A33B44" w:rsidRDefault="00A33B44" w:rsidP="005A3B4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125655F9"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2CDBCB" w14:textId="77777777" w:rsidR="00A33B44" w:rsidRDefault="00A33B44" w:rsidP="005A3B4D">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74F8C645" w14:textId="77777777" w:rsidR="00A33B44" w:rsidRDefault="00A33B44" w:rsidP="005A3B4D">
            <w:pPr>
              <w:jc w:val="right"/>
              <w:rPr>
                <w:color w:val="000000"/>
                <w:sz w:val="20"/>
                <w:szCs w:val="20"/>
              </w:rPr>
            </w:pPr>
            <w:r>
              <w:rPr>
                <w:color w:val="000000"/>
                <w:sz w:val="20"/>
                <w:szCs w:val="20"/>
              </w:rPr>
              <w:t>0.227</w:t>
            </w:r>
          </w:p>
        </w:tc>
        <w:tc>
          <w:tcPr>
            <w:tcW w:w="768" w:type="dxa"/>
            <w:tcBorders>
              <w:top w:val="nil"/>
              <w:left w:val="nil"/>
              <w:bottom w:val="nil"/>
              <w:right w:val="nil"/>
            </w:tcBorders>
            <w:shd w:val="clear" w:color="auto" w:fill="auto"/>
            <w:noWrap/>
            <w:vAlign w:val="bottom"/>
            <w:hideMark/>
          </w:tcPr>
          <w:p w14:paraId="06DB48DE"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587339C" w14:textId="77777777" w:rsidR="00A33B44" w:rsidRDefault="00A33B44"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ED39BAC" w14:textId="77777777" w:rsidR="00A33B44" w:rsidRDefault="00A33B44"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2707F193" w14:textId="77777777" w:rsidR="00A33B44" w:rsidRDefault="00A33B44" w:rsidP="005A3B4D">
            <w:pPr>
              <w:jc w:val="right"/>
              <w:rPr>
                <w:color w:val="000000"/>
                <w:sz w:val="20"/>
                <w:szCs w:val="20"/>
              </w:rPr>
            </w:pPr>
            <w:r>
              <w:rPr>
                <w:color w:val="000000"/>
                <w:sz w:val="20"/>
                <w:szCs w:val="20"/>
              </w:rPr>
              <w:t>0.000</w:t>
            </w:r>
          </w:p>
        </w:tc>
      </w:tr>
      <w:tr w:rsidR="00A33B44" w14:paraId="4935A98F" w14:textId="77777777" w:rsidTr="005A3B4D">
        <w:trPr>
          <w:trHeight w:val="320"/>
        </w:trPr>
        <w:tc>
          <w:tcPr>
            <w:tcW w:w="1176" w:type="dxa"/>
            <w:tcBorders>
              <w:top w:val="nil"/>
              <w:left w:val="nil"/>
              <w:bottom w:val="nil"/>
              <w:right w:val="nil"/>
            </w:tcBorders>
            <w:shd w:val="clear" w:color="auto" w:fill="auto"/>
            <w:noWrap/>
            <w:vAlign w:val="bottom"/>
            <w:hideMark/>
          </w:tcPr>
          <w:p w14:paraId="70ED24C2"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A82661" w14:textId="77777777" w:rsidR="00A33B44" w:rsidRDefault="00A33B44"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1D53379" w14:textId="77777777" w:rsidR="00A33B44" w:rsidRDefault="00A33B44"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7B2499CC" w14:textId="77777777" w:rsidR="00A33B44" w:rsidRDefault="00A33B44" w:rsidP="005A3B4D">
            <w:pPr>
              <w:jc w:val="right"/>
              <w:rPr>
                <w:color w:val="000000"/>
                <w:sz w:val="20"/>
                <w:szCs w:val="20"/>
              </w:rPr>
            </w:pPr>
            <w:r>
              <w:rPr>
                <w:color w:val="000000"/>
                <w:sz w:val="20"/>
                <w:szCs w:val="20"/>
              </w:rPr>
              <w:t>0.675</w:t>
            </w:r>
          </w:p>
        </w:tc>
        <w:tc>
          <w:tcPr>
            <w:tcW w:w="768" w:type="dxa"/>
            <w:tcBorders>
              <w:top w:val="nil"/>
              <w:left w:val="nil"/>
              <w:bottom w:val="nil"/>
              <w:right w:val="nil"/>
            </w:tcBorders>
            <w:shd w:val="clear" w:color="auto" w:fill="auto"/>
            <w:noWrap/>
            <w:vAlign w:val="bottom"/>
            <w:hideMark/>
          </w:tcPr>
          <w:p w14:paraId="462D1614"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AB4D78E" w14:textId="77777777" w:rsidR="00A33B44" w:rsidRDefault="00A33B44" w:rsidP="005A3B4D">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16BE37B5" w14:textId="77777777" w:rsidR="00A33B44" w:rsidRDefault="00A33B44"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1A6BDB6B"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6CD6858" w14:textId="77777777" w:rsidR="00A33B44" w:rsidRDefault="00A33B44"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0128D4F5" w14:textId="77777777" w:rsidR="00A33B44" w:rsidRDefault="00A33B44" w:rsidP="005A3B4D">
            <w:pPr>
              <w:jc w:val="right"/>
              <w:rPr>
                <w:color w:val="000000"/>
                <w:sz w:val="20"/>
                <w:szCs w:val="20"/>
              </w:rPr>
            </w:pPr>
            <w:r>
              <w:rPr>
                <w:color w:val="000000"/>
                <w:sz w:val="20"/>
                <w:szCs w:val="20"/>
              </w:rPr>
              <w:t>0.243</w:t>
            </w:r>
          </w:p>
        </w:tc>
        <w:tc>
          <w:tcPr>
            <w:tcW w:w="768" w:type="dxa"/>
            <w:tcBorders>
              <w:top w:val="nil"/>
              <w:left w:val="nil"/>
              <w:bottom w:val="nil"/>
              <w:right w:val="nil"/>
            </w:tcBorders>
            <w:shd w:val="clear" w:color="auto" w:fill="auto"/>
            <w:noWrap/>
            <w:vAlign w:val="bottom"/>
            <w:hideMark/>
          </w:tcPr>
          <w:p w14:paraId="167E7E71"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DC57AD0" w14:textId="77777777" w:rsidR="00A33B44" w:rsidRDefault="00A33B44"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C0540A9" w14:textId="77777777" w:rsidR="00A33B44" w:rsidRDefault="00A33B44"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208E7358"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EBAE0B" w14:textId="77777777" w:rsidR="00A33B44" w:rsidRDefault="00A33B44"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380A2E1" w14:textId="77777777" w:rsidR="00A33B44" w:rsidRDefault="00A33B44"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08F56523" w14:textId="77777777" w:rsidR="00A33B44" w:rsidRDefault="00A33B44" w:rsidP="005A3B4D">
            <w:pPr>
              <w:jc w:val="right"/>
              <w:rPr>
                <w:color w:val="000000"/>
                <w:sz w:val="20"/>
                <w:szCs w:val="20"/>
              </w:rPr>
            </w:pPr>
            <w:r>
              <w:rPr>
                <w:color w:val="000000"/>
                <w:sz w:val="20"/>
                <w:szCs w:val="20"/>
              </w:rPr>
              <w:t>0.001</w:t>
            </w:r>
          </w:p>
        </w:tc>
      </w:tr>
      <w:tr w:rsidR="00A33B44" w14:paraId="610F5F35" w14:textId="77777777" w:rsidTr="005A3B4D">
        <w:trPr>
          <w:trHeight w:val="320"/>
        </w:trPr>
        <w:tc>
          <w:tcPr>
            <w:tcW w:w="1176" w:type="dxa"/>
            <w:tcBorders>
              <w:top w:val="nil"/>
              <w:left w:val="nil"/>
              <w:bottom w:val="nil"/>
              <w:right w:val="nil"/>
            </w:tcBorders>
            <w:shd w:val="clear" w:color="auto" w:fill="auto"/>
            <w:noWrap/>
            <w:vAlign w:val="bottom"/>
            <w:hideMark/>
          </w:tcPr>
          <w:p w14:paraId="2AB6B57B"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5D040E" w14:textId="77777777" w:rsidR="00A33B44" w:rsidRDefault="00A33B44"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17154CC" w14:textId="77777777" w:rsidR="00A33B44" w:rsidRDefault="00A33B44" w:rsidP="005A3B4D">
            <w:pPr>
              <w:jc w:val="right"/>
              <w:rPr>
                <w:color w:val="000000"/>
                <w:sz w:val="20"/>
                <w:szCs w:val="20"/>
              </w:rPr>
            </w:pPr>
            <w:r>
              <w:rPr>
                <w:color w:val="000000"/>
                <w:sz w:val="20"/>
                <w:szCs w:val="20"/>
              </w:rPr>
              <w:t>-0.095</w:t>
            </w:r>
          </w:p>
        </w:tc>
        <w:tc>
          <w:tcPr>
            <w:tcW w:w="768" w:type="dxa"/>
            <w:tcBorders>
              <w:top w:val="nil"/>
              <w:left w:val="nil"/>
              <w:bottom w:val="nil"/>
              <w:right w:val="nil"/>
            </w:tcBorders>
            <w:shd w:val="clear" w:color="auto" w:fill="auto"/>
            <w:noWrap/>
            <w:vAlign w:val="bottom"/>
            <w:hideMark/>
          </w:tcPr>
          <w:p w14:paraId="43CEC311" w14:textId="77777777" w:rsidR="00A33B44" w:rsidRDefault="00A33B44" w:rsidP="005A3B4D">
            <w:pPr>
              <w:jc w:val="right"/>
              <w:rPr>
                <w:color w:val="000000"/>
                <w:sz w:val="20"/>
                <w:szCs w:val="20"/>
              </w:rPr>
            </w:pPr>
            <w:r>
              <w:rPr>
                <w:color w:val="000000"/>
                <w:sz w:val="20"/>
                <w:szCs w:val="20"/>
              </w:rPr>
              <w:t>0.149</w:t>
            </w:r>
          </w:p>
        </w:tc>
        <w:tc>
          <w:tcPr>
            <w:tcW w:w="768" w:type="dxa"/>
            <w:tcBorders>
              <w:top w:val="nil"/>
              <w:left w:val="nil"/>
              <w:bottom w:val="nil"/>
              <w:right w:val="nil"/>
            </w:tcBorders>
            <w:shd w:val="clear" w:color="auto" w:fill="auto"/>
            <w:noWrap/>
            <w:vAlign w:val="bottom"/>
            <w:hideMark/>
          </w:tcPr>
          <w:p w14:paraId="6E1E3C6A" w14:textId="77777777" w:rsidR="00A33B44" w:rsidRDefault="00A33B44"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900952A" w14:textId="77777777" w:rsidR="00A33B44" w:rsidRDefault="00A33B44"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6671A0A" w14:textId="77777777" w:rsidR="00A33B44" w:rsidRDefault="00A33B44" w:rsidP="005A3B4D">
            <w:pPr>
              <w:jc w:val="right"/>
              <w:rPr>
                <w:color w:val="000000"/>
                <w:sz w:val="20"/>
                <w:szCs w:val="20"/>
              </w:rPr>
            </w:pPr>
            <w:r>
              <w:rPr>
                <w:color w:val="000000"/>
                <w:sz w:val="20"/>
                <w:szCs w:val="20"/>
              </w:rPr>
              <w:t>0.811</w:t>
            </w:r>
          </w:p>
        </w:tc>
        <w:tc>
          <w:tcPr>
            <w:tcW w:w="768" w:type="dxa"/>
            <w:tcBorders>
              <w:top w:val="nil"/>
              <w:left w:val="nil"/>
              <w:bottom w:val="nil"/>
              <w:right w:val="nil"/>
            </w:tcBorders>
            <w:shd w:val="clear" w:color="auto" w:fill="auto"/>
            <w:noWrap/>
            <w:vAlign w:val="bottom"/>
            <w:hideMark/>
          </w:tcPr>
          <w:p w14:paraId="7C5ECACB"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96D3CB" w14:textId="77777777" w:rsidR="00A33B44" w:rsidRDefault="00A33B44"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447EAF0" w14:textId="77777777" w:rsidR="00A33B44" w:rsidRDefault="00A33B44" w:rsidP="005A3B4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160CCB03"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D4F30F" w14:textId="77777777" w:rsidR="00A33B44" w:rsidRDefault="00A33B44"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1B7D2612" w14:textId="77777777" w:rsidR="00A33B44" w:rsidRDefault="00A33B44" w:rsidP="005A3B4D">
            <w:pPr>
              <w:jc w:val="right"/>
              <w:rPr>
                <w:color w:val="000000"/>
                <w:sz w:val="20"/>
                <w:szCs w:val="20"/>
              </w:rPr>
            </w:pPr>
            <w:r>
              <w:rPr>
                <w:color w:val="000000"/>
                <w:sz w:val="20"/>
                <w:szCs w:val="20"/>
              </w:rPr>
              <w:t>0.227</w:t>
            </w:r>
          </w:p>
        </w:tc>
        <w:tc>
          <w:tcPr>
            <w:tcW w:w="768" w:type="dxa"/>
            <w:tcBorders>
              <w:top w:val="nil"/>
              <w:left w:val="nil"/>
              <w:bottom w:val="nil"/>
              <w:right w:val="nil"/>
            </w:tcBorders>
            <w:shd w:val="clear" w:color="auto" w:fill="auto"/>
            <w:noWrap/>
            <w:vAlign w:val="bottom"/>
            <w:hideMark/>
          </w:tcPr>
          <w:p w14:paraId="2B2A4D0B" w14:textId="77777777" w:rsidR="00A33B44" w:rsidRDefault="00A33B44"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0DA63EF" w14:textId="77777777" w:rsidR="00A33B44" w:rsidRDefault="00A33B44"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5387F7F" w14:textId="77777777" w:rsidR="00A33B44" w:rsidRDefault="00A33B44"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03800368" w14:textId="77777777" w:rsidR="00A33B44" w:rsidRDefault="00A33B44" w:rsidP="005A3B4D">
            <w:pPr>
              <w:jc w:val="right"/>
              <w:rPr>
                <w:color w:val="000000"/>
                <w:sz w:val="20"/>
                <w:szCs w:val="20"/>
              </w:rPr>
            </w:pPr>
            <w:r>
              <w:rPr>
                <w:color w:val="000000"/>
                <w:sz w:val="20"/>
                <w:szCs w:val="20"/>
              </w:rPr>
              <w:t>0.000</w:t>
            </w:r>
          </w:p>
        </w:tc>
      </w:tr>
      <w:tr w:rsidR="00A33B44" w14:paraId="6DF2BC8D" w14:textId="77777777" w:rsidTr="005A3B4D">
        <w:trPr>
          <w:trHeight w:val="320"/>
        </w:trPr>
        <w:tc>
          <w:tcPr>
            <w:tcW w:w="1176" w:type="dxa"/>
            <w:tcBorders>
              <w:top w:val="nil"/>
              <w:left w:val="nil"/>
              <w:bottom w:val="nil"/>
              <w:right w:val="nil"/>
            </w:tcBorders>
            <w:shd w:val="clear" w:color="auto" w:fill="auto"/>
            <w:noWrap/>
            <w:vAlign w:val="bottom"/>
            <w:hideMark/>
          </w:tcPr>
          <w:p w14:paraId="25C45776"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85C1039" w14:textId="77777777" w:rsidR="00A33B44" w:rsidRDefault="00A33B44"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EE74A0C"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A10AB91" w14:textId="77777777" w:rsidR="00A33B44" w:rsidRDefault="00A33B44" w:rsidP="005A3B4D">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3C92A13C"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40402E" w14:textId="77777777" w:rsidR="00A33B44" w:rsidRDefault="00A33B44"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1BEB0632" w14:textId="77777777" w:rsidR="00A33B44" w:rsidRDefault="00A33B44" w:rsidP="005A3B4D">
            <w:pPr>
              <w:jc w:val="right"/>
              <w:rPr>
                <w:color w:val="000000"/>
                <w:sz w:val="20"/>
                <w:szCs w:val="20"/>
              </w:rPr>
            </w:pPr>
            <w:r>
              <w:rPr>
                <w:color w:val="000000"/>
                <w:sz w:val="20"/>
                <w:szCs w:val="20"/>
              </w:rPr>
              <w:t>0.180</w:t>
            </w:r>
          </w:p>
        </w:tc>
        <w:tc>
          <w:tcPr>
            <w:tcW w:w="768" w:type="dxa"/>
            <w:tcBorders>
              <w:top w:val="nil"/>
              <w:left w:val="nil"/>
              <w:bottom w:val="nil"/>
              <w:right w:val="nil"/>
            </w:tcBorders>
            <w:shd w:val="clear" w:color="auto" w:fill="auto"/>
            <w:noWrap/>
            <w:vAlign w:val="bottom"/>
            <w:hideMark/>
          </w:tcPr>
          <w:p w14:paraId="22596BB5"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B85B36D" w14:textId="77777777" w:rsidR="00A33B44" w:rsidRDefault="00A33B44"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3341510A" w14:textId="77777777" w:rsidR="00A33B44" w:rsidRDefault="00A33B44" w:rsidP="005A3B4D">
            <w:pPr>
              <w:jc w:val="right"/>
              <w:rPr>
                <w:color w:val="000000"/>
                <w:sz w:val="20"/>
                <w:szCs w:val="20"/>
              </w:rPr>
            </w:pPr>
            <w:r>
              <w:rPr>
                <w:color w:val="000000"/>
                <w:sz w:val="20"/>
                <w:szCs w:val="20"/>
              </w:rPr>
              <w:t>0.875</w:t>
            </w:r>
          </w:p>
        </w:tc>
        <w:tc>
          <w:tcPr>
            <w:tcW w:w="768" w:type="dxa"/>
            <w:tcBorders>
              <w:top w:val="nil"/>
              <w:left w:val="nil"/>
              <w:bottom w:val="nil"/>
              <w:right w:val="nil"/>
            </w:tcBorders>
            <w:shd w:val="clear" w:color="auto" w:fill="auto"/>
            <w:noWrap/>
            <w:vAlign w:val="bottom"/>
            <w:hideMark/>
          </w:tcPr>
          <w:p w14:paraId="6BCEAA72"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6DD1FE" w14:textId="77777777" w:rsidR="00A33B44" w:rsidRDefault="00A33B44"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A1E03C4" w14:textId="77777777" w:rsidR="00A33B44" w:rsidRDefault="00A33B44" w:rsidP="005A3B4D">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6C837834"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A7426E" w14:textId="77777777" w:rsidR="00A33B44" w:rsidRDefault="00A33B44"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DAC19DA" w14:textId="77777777" w:rsidR="00A33B44" w:rsidRDefault="00A33B44"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5E689A42" w14:textId="77777777" w:rsidR="00A33B44" w:rsidRDefault="00A33B44" w:rsidP="005A3B4D">
            <w:pPr>
              <w:jc w:val="right"/>
              <w:rPr>
                <w:color w:val="000000"/>
                <w:sz w:val="20"/>
                <w:szCs w:val="20"/>
              </w:rPr>
            </w:pPr>
            <w:r>
              <w:rPr>
                <w:color w:val="000000"/>
                <w:sz w:val="20"/>
                <w:szCs w:val="20"/>
              </w:rPr>
              <w:t>0.000</w:t>
            </w:r>
          </w:p>
        </w:tc>
      </w:tr>
      <w:tr w:rsidR="00A33B44" w14:paraId="1D48F2A9" w14:textId="77777777" w:rsidTr="005A3B4D">
        <w:trPr>
          <w:trHeight w:val="320"/>
        </w:trPr>
        <w:tc>
          <w:tcPr>
            <w:tcW w:w="1176" w:type="dxa"/>
            <w:tcBorders>
              <w:top w:val="nil"/>
              <w:left w:val="nil"/>
              <w:bottom w:val="nil"/>
              <w:right w:val="nil"/>
            </w:tcBorders>
            <w:shd w:val="clear" w:color="auto" w:fill="auto"/>
            <w:noWrap/>
            <w:vAlign w:val="bottom"/>
            <w:hideMark/>
          </w:tcPr>
          <w:p w14:paraId="1438609D"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DF3662" w14:textId="77777777" w:rsidR="00A33B44" w:rsidRDefault="00A33B44"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B363526" w14:textId="77777777" w:rsidR="00A33B44" w:rsidRDefault="00A33B44" w:rsidP="005A3B4D">
            <w:pPr>
              <w:jc w:val="right"/>
              <w:rPr>
                <w:color w:val="000000"/>
                <w:sz w:val="20"/>
                <w:szCs w:val="20"/>
              </w:rPr>
            </w:pPr>
            <w:r>
              <w:rPr>
                <w:color w:val="000000"/>
                <w:sz w:val="20"/>
                <w:szCs w:val="20"/>
              </w:rPr>
              <w:t>0.089</w:t>
            </w:r>
          </w:p>
        </w:tc>
        <w:tc>
          <w:tcPr>
            <w:tcW w:w="768" w:type="dxa"/>
            <w:tcBorders>
              <w:top w:val="nil"/>
              <w:left w:val="nil"/>
              <w:bottom w:val="nil"/>
              <w:right w:val="nil"/>
            </w:tcBorders>
            <w:shd w:val="clear" w:color="auto" w:fill="auto"/>
            <w:noWrap/>
            <w:vAlign w:val="bottom"/>
            <w:hideMark/>
          </w:tcPr>
          <w:p w14:paraId="69A1F40E" w14:textId="77777777" w:rsidR="00A33B44" w:rsidRDefault="00A33B44" w:rsidP="005A3B4D">
            <w:pPr>
              <w:jc w:val="right"/>
              <w:rPr>
                <w:color w:val="000000"/>
                <w:sz w:val="20"/>
                <w:szCs w:val="20"/>
              </w:rPr>
            </w:pPr>
            <w:r>
              <w:rPr>
                <w:color w:val="000000"/>
                <w:sz w:val="20"/>
                <w:szCs w:val="20"/>
              </w:rPr>
              <w:t>0.149</w:t>
            </w:r>
          </w:p>
        </w:tc>
        <w:tc>
          <w:tcPr>
            <w:tcW w:w="768" w:type="dxa"/>
            <w:tcBorders>
              <w:top w:val="nil"/>
              <w:left w:val="nil"/>
              <w:bottom w:val="nil"/>
              <w:right w:val="nil"/>
            </w:tcBorders>
            <w:shd w:val="clear" w:color="auto" w:fill="auto"/>
            <w:noWrap/>
            <w:vAlign w:val="bottom"/>
            <w:hideMark/>
          </w:tcPr>
          <w:p w14:paraId="051CA3AB" w14:textId="77777777" w:rsidR="00A33B44" w:rsidRDefault="00A33B44"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6BF7DC9"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B49575E" w14:textId="77777777" w:rsidR="00A33B44" w:rsidRDefault="00A33B44" w:rsidP="005A3B4D">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77A998B2"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53E611"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DADE853" w14:textId="77777777" w:rsidR="00A33B44" w:rsidRDefault="00A33B44" w:rsidP="005A3B4D">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43B6A34D"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A39138" w14:textId="77777777" w:rsidR="00A33B44" w:rsidRDefault="00A33B44" w:rsidP="005A3B4D">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2E06FFCA" w14:textId="77777777" w:rsidR="00A33B44" w:rsidRDefault="00A33B44" w:rsidP="005A3B4D">
            <w:pPr>
              <w:jc w:val="right"/>
              <w:rPr>
                <w:color w:val="000000"/>
                <w:sz w:val="20"/>
                <w:szCs w:val="20"/>
              </w:rPr>
            </w:pPr>
            <w:r>
              <w:rPr>
                <w:color w:val="000000"/>
                <w:sz w:val="20"/>
                <w:szCs w:val="20"/>
              </w:rPr>
              <w:t>0.227</w:t>
            </w:r>
          </w:p>
        </w:tc>
        <w:tc>
          <w:tcPr>
            <w:tcW w:w="768" w:type="dxa"/>
            <w:tcBorders>
              <w:top w:val="nil"/>
              <w:left w:val="nil"/>
              <w:bottom w:val="nil"/>
              <w:right w:val="nil"/>
            </w:tcBorders>
            <w:shd w:val="clear" w:color="auto" w:fill="auto"/>
            <w:noWrap/>
            <w:vAlign w:val="bottom"/>
            <w:hideMark/>
          </w:tcPr>
          <w:p w14:paraId="5D8FB82E"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D99A7B5"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AC3B348" w14:textId="77777777" w:rsidR="00A33B44" w:rsidRDefault="00A33B44"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00C1939F" w14:textId="77777777" w:rsidR="00A33B44" w:rsidRDefault="00A33B44" w:rsidP="005A3B4D">
            <w:pPr>
              <w:jc w:val="right"/>
              <w:rPr>
                <w:color w:val="000000"/>
                <w:sz w:val="20"/>
                <w:szCs w:val="20"/>
              </w:rPr>
            </w:pPr>
            <w:r>
              <w:rPr>
                <w:color w:val="000000"/>
                <w:sz w:val="20"/>
                <w:szCs w:val="20"/>
              </w:rPr>
              <w:t>0.000</w:t>
            </w:r>
          </w:p>
        </w:tc>
      </w:tr>
      <w:tr w:rsidR="00A33B44" w14:paraId="3CEDBD4B" w14:textId="77777777" w:rsidTr="005A3B4D">
        <w:trPr>
          <w:trHeight w:val="320"/>
        </w:trPr>
        <w:tc>
          <w:tcPr>
            <w:tcW w:w="1176" w:type="dxa"/>
            <w:tcBorders>
              <w:top w:val="nil"/>
              <w:left w:val="nil"/>
              <w:bottom w:val="nil"/>
              <w:right w:val="nil"/>
            </w:tcBorders>
            <w:shd w:val="clear" w:color="auto" w:fill="auto"/>
            <w:noWrap/>
            <w:vAlign w:val="bottom"/>
            <w:hideMark/>
          </w:tcPr>
          <w:p w14:paraId="12920435"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6B816D3" w14:textId="77777777" w:rsidR="00A33B44" w:rsidRDefault="00A33B44"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F5042E7" w14:textId="77777777" w:rsidR="00A33B44" w:rsidRDefault="00A33B44"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25237A7D" w14:textId="77777777" w:rsidR="00A33B44" w:rsidRDefault="00A33B44" w:rsidP="005A3B4D">
            <w:pPr>
              <w:jc w:val="right"/>
              <w:rPr>
                <w:color w:val="000000"/>
                <w:sz w:val="20"/>
                <w:szCs w:val="20"/>
              </w:rPr>
            </w:pPr>
            <w:r>
              <w:rPr>
                <w:color w:val="000000"/>
                <w:sz w:val="20"/>
                <w:szCs w:val="20"/>
              </w:rPr>
              <w:t>0.510</w:t>
            </w:r>
          </w:p>
        </w:tc>
        <w:tc>
          <w:tcPr>
            <w:tcW w:w="768" w:type="dxa"/>
            <w:tcBorders>
              <w:top w:val="nil"/>
              <w:left w:val="nil"/>
              <w:bottom w:val="nil"/>
              <w:right w:val="nil"/>
            </w:tcBorders>
            <w:shd w:val="clear" w:color="auto" w:fill="auto"/>
            <w:noWrap/>
            <w:vAlign w:val="bottom"/>
            <w:hideMark/>
          </w:tcPr>
          <w:p w14:paraId="5D1ED20B"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26CD886" w14:textId="77777777" w:rsidR="00A33B44" w:rsidRDefault="00A33B44"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4BB4F11" w14:textId="77777777" w:rsidR="00A33B44" w:rsidRDefault="00A33B44" w:rsidP="005A3B4D">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40D51678"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CBDB86" w14:textId="77777777" w:rsidR="00A33B44" w:rsidRDefault="00A33B44" w:rsidP="005A3B4D">
            <w:pPr>
              <w:jc w:val="right"/>
              <w:rPr>
                <w:b/>
                <w:bCs/>
                <w:color w:val="000000"/>
                <w:sz w:val="20"/>
                <w:szCs w:val="20"/>
              </w:rPr>
            </w:pPr>
            <w:r>
              <w:rPr>
                <w:b/>
                <w:bCs/>
                <w:color w:val="000000"/>
                <w:sz w:val="20"/>
                <w:szCs w:val="20"/>
              </w:rPr>
              <w:t>-0.091</w:t>
            </w:r>
          </w:p>
        </w:tc>
        <w:tc>
          <w:tcPr>
            <w:tcW w:w="768" w:type="dxa"/>
            <w:tcBorders>
              <w:top w:val="nil"/>
              <w:left w:val="nil"/>
              <w:bottom w:val="nil"/>
              <w:right w:val="nil"/>
            </w:tcBorders>
            <w:shd w:val="clear" w:color="auto" w:fill="auto"/>
            <w:noWrap/>
            <w:vAlign w:val="bottom"/>
            <w:hideMark/>
          </w:tcPr>
          <w:p w14:paraId="2CB18D08" w14:textId="77777777" w:rsidR="00A33B44" w:rsidRDefault="00A33B44"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327C2E38" w14:textId="77777777" w:rsidR="00A33B44" w:rsidRDefault="00A33B44" w:rsidP="005A3B4D">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6105EAAA" w14:textId="77777777" w:rsidR="00A33B44" w:rsidRDefault="00A33B44"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B08712C" w14:textId="77777777" w:rsidR="00A33B44" w:rsidRDefault="00A33B44" w:rsidP="005A3B4D">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4DEA70A9"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F0EEC5" w14:textId="77777777" w:rsidR="00A33B44" w:rsidRDefault="00A33B44"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7704BA34" w14:textId="77777777" w:rsidR="00A33B44" w:rsidRDefault="00A33B44"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0B685767" w14:textId="77777777" w:rsidR="00A33B44" w:rsidRDefault="00A33B44" w:rsidP="005A3B4D">
            <w:pPr>
              <w:jc w:val="right"/>
              <w:rPr>
                <w:color w:val="000000"/>
                <w:sz w:val="20"/>
                <w:szCs w:val="20"/>
              </w:rPr>
            </w:pPr>
            <w:r>
              <w:rPr>
                <w:color w:val="000000"/>
                <w:sz w:val="20"/>
                <w:szCs w:val="20"/>
              </w:rPr>
              <w:t>0.001</w:t>
            </w:r>
          </w:p>
        </w:tc>
      </w:tr>
      <w:tr w:rsidR="00A33B44" w14:paraId="5FBBC19E" w14:textId="77777777" w:rsidTr="005A3B4D">
        <w:trPr>
          <w:trHeight w:val="320"/>
        </w:trPr>
        <w:tc>
          <w:tcPr>
            <w:tcW w:w="1176" w:type="dxa"/>
            <w:tcBorders>
              <w:top w:val="nil"/>
              <w:left w:val="nil"/>
              <w:bottom w:val="nil"/>
              <w:right w:val="nil"/>
            </w:tcBorders>
            <w:shd w:val="clear" w:color="auto" w:fill="auto"/>
            <w:noWrap/>
            <w:vAlign w:val="bottom"/>
            <w:hideMark/>
          </w:tcPr>
          <w:p w14:paraId="0783CCE7"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658678C" w14:textId="77777777" w:rsidR="00A33B44" w:rsidRDefault="00A33B44"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8895773" w14:textId="77777777" w:rsidR="00A33B44" w:rsidRDefault="00A33B44"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7ECBEB3" w14:textId="77777777" w:rsidR="00A33B44" w:rsidRDefault="00A33B44" w:rsidP="005A3B4D">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505CD6C2"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A7A287" w14:textId="77777777" w:rsidR="00A33B44" w:rsidRDefault="00A33B44"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E12C48B" w14:textId="77777777" w:rsidR="00A33B44" w:rsidRDefault="00A33B44" w:rsidP="005A3B4D">
            <w:pPr>
              <w:jc w:val="right"/>
              <w:rPr>
                <w:color w:val="000000"/>
                <w:sz w:val="20"/>
                <w:szCs w:val="20"/>
              </w:rPr>
            </w:pPr>
            <w:r>
              <w:rPr>
                <w:color w:val="000000"/>
                <w:sz w:val="20"/>
                <w:szCs w:val="20"/>
              </w:rPr>
              <w:t>0.696</w:t>
            </w:r>
          </w:p>
        </w:tc>
        <w:tc>
          <w:tcPr>
            <w:tcW w:w="768" w:type="dxa"/>
            <w:tcBorders>
              <w:top w:val="nil"/>
              <w:left w:val="nil"/>
              <w:bottom w:val="nil"/>
              <w:right w:val="nil"/>
            </w:tcBorders>
            <w:shd w:val="clear" w:color="auto" w:fill="auto"/>
            <w:noWrap/>
            <w:vAlign w:val="bottom"/>
            <w:hideMark/>
          </w:tcPr>
          <w:p w14:paraId="310B0ED8"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045422C" w14:textId="77777777" w:rsidR="00A33B44" w:rsidRDefault="00A33B44"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C085352" w14:textId="77777777" w:rsidR="00A33B44" w:rsidRDefault="00A33B44" w:rsidP="005A3B4D">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7671599C"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87BA4B" w14:textId="77777777" w:rsidR="00A33B44" w:rsidRDefault="00A33B44"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302BC90" w14:textId="77777777" w:rsidR="00A33B44" w:rsidRDefault="00A33B44" w:rsidP="005A3B4D">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4B08E11D"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B0F8AB" w14:textId="77777777" w:rsidR="00A33B44" w:rsidRDefault="00A33B44"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6407782" w14:textId="77777777" w:rsidR="00A33B44" w:rsidRDefault="00A33B44" w:rsidP="005A3B4D">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0235A9B2" w14:textId="77777777" w:rsidR="00A33B44" w:rsidRDefault="00A33B44" w:rsidP="005A3B4D">
            <w:pPr>
              <w:jc w:val="right"/>
              <w:rPr>
                <w:color w:val="000000"/>
                <w:sz w:val="20"/>
                <w:szCs w:val="20"/>
              </w:rPr>
            </w:pPr>
            <w:r>
              <w:rPr>
                <w:color w:val="000000"/>
                <w:sz w:val="20"/>
                <w:szCs w:val="20"/>
              </w:rPr>
              <w:t>0.002</w:t>
            </w:r>
          </w:p>
        </w:tc>
      </w:tr>
      <w:tr w:rsidR="00A33B44" w14:paraId="2399AD3F"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40FFADD5" w14:textId="77777777" w:rsidR="00A33B44" w:rsidRDefault="00A33B44"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BBC9048" w14:textId="77777777" w:rsidR="00A33B44" w:rsidRDefault="00A33B44"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BF7F411" w14:textId="77777777" w:rsidR="00A33B44" w:rsidRDefault="00A33B44" w:rsidP="005A3B4D">
            <w:pPr>
              <w:jc w:val="right"/>
              <w:rPr>
                <w:color w:val="000000"/>
                <w:sz w:val="20"/>
                <w:szCs w:val="20"/>
              </w:rPr>
            </w:pPr>
            <w:r>
              <w:rPr>
                <w:color w:val="000000"/>
                <w:sz w:val="20"/>
                <w:szCs w:val="20"/>
              </w:rPr>
              <w:t>0.059</w:t>
            </w:r>
          </w:p>
        </w:tc>
        <w:tc>
          <w:tcPr>
            <w:tcW w:w="768" w:type="dxa"/>
            <w:tcBorders>
              <w:top w:val="nil"/>
              <w:left w:val="nil"/>
              <w:bottom w:val="single" w:sz="4" w:space="0" w:color="auto"/>
              <w:right w:val="nil"/>
            </w:tcBorders>
            <w:shd w:val="clear" w:color="auto" w:fill="auto"/>
            <w:noWrap/>
            <w:vAlign w:val="bottom"/>
            <w:hideMark/>
          </w:tcPr>
          <w:p w14:paraId="725B2F2D" w14:textId="77777777" w:rsidR="00A33B44" w:rsidRDefault="00A33B44" w:rsidP="005A3B4D">
            <w:pPr>
              <w:jc w:val="right"/>
              <w:rPr>
                <w:color w:val="000000"/>
                <w:sz w:val="20"/>
                <w:szCs w:val="20"/>
              </w:rPr>
            </w:pPr>
            <w:r>
              <w:rPr>
                <w:color w:val="000000"/>
                <w:sz w:val="20"/>
                <w:szCs w:val="20"/>
              </w:rPr>
              <w:t>0.472</w:t>
            </w:r>
          </w:p>
        </w:tc>
        <w:tc>
          <w:tcPr>
            <w:tcW w:w="768" w:type="dxa"/>
            <w:tcBorders>
              <w:top w:val="nil"/>
              <w:left w:val="nil"/>
              <w:bottom w:val="single" w:sz="4" w:space="0" w:color="auto"/>
              <w:right w:val="nil"/>
            </w:tcBorders>
            <w:shd w:val="clear" w:color="auto" w:fill="auto"/>
            <w:noWrap/>
            <w:vAlign w:val="bottom"/>
            <w:hideMark/>
          </w:tcPr>
          <w:p w14:paraId="2F2DCD0E"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0B2067BC" w14:textId="77777777" w:rsidR="00A33B44" w:rsidRDefault="00A33B44" w:rsidP="005A3B4D">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75383C02" w14:textId="77777777" w:rsidR="00A33B44" w:rsidRDefault="00A33B44" w:rsidP="005A3B4D">
            <w:pPr>
              <w:jc w:val="right"/>
              <w:rPr>
                <w:color w:val="000000"/>
                <w:sz w:val="20"/>
                <w:szCs w:val="20"/>
              </w:rPr>
            </w:pPr>
            <w:r>
              <w:rPr>
                <w:color w:val="000000"/>
                <w:sz w:val="20"/>
                <w:szCs w:val="20"/>
              </w:rPr>
              <w:t>0.696</w:t>
            </w:r>
          </w:p>
        </w:tc>
        <w:tc>
          <w:tcPr>
            <w:tcW w:w="768" w:type="dxa"/>
            <w:tcBorders>
              <w:top w:val="nil"/>
              <w:left w:val="nil"/>
              <w:bottom w:val="single" w:sz="4" w:space="0" w:color="auto"/>
              <w:right w:val="nil"/>
            </w:tcBorders>
            <w:shd w:val="clear" w:color="auto" w:fill="auto"/>
            <w:noWrap/>
            <w:vAlign w:val="bottom"/>
            <w:hideMark/>
          </w:tcPr>
          <w:p w14:paraId="09631915"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9C5F3F3" w14:textId="77777777" w:rsidR="00A33B44" w:rsidRDefault="00A33B44" w:rsidP="005A3B4D">
            <w:pPr>
              <w:jc w:val="right"/>
              <w:rPr>
                <w:b/>
                <w:bCs/>
                <w:color w:val="000000"/>
                <w:sz w:val="20"/>
                <w:szCs w:val="20"/>
              </w:rPr>
            </w:pPr>
            <w:r>
              <w:rPr>
                <w:b/>
                <w:bCs/>
                <w:color w:val="000000"/>
                <w:sz w:val="20"/>
                <w:szCs w:val="20"/>
              </w:rPr>
              <w:t>-0.094</w:t>
            </w:r>
          </w:p>
        </w:tc>
        <w:tc>
          <w:tcPr>
            <w:tcW w:w="768" w:type="dxa"/>
            <w:tcBorders>
              <w:top w:val="nil"/>
              <w:left w:val="nil"/>
              <w:bottom w:val="single" w:sz="4" w:space="0" w:color="auto"/>
              <w:right w:val="nil"/>
            </w:tcBorders>
            <w:shd w:val="clear" w:color="auto" w:fill="auto"/>
            <w:noWrap/>
            <w:vAlign w:val="bottom"/>
            <w:hideMark/>
          </w:tcPr>
          <w:p w14:paraId="7A2C8964" w14:textId="77777777" w:rsidR="00A33B44" w:rsidRDefault="00A33B44" w:rsidP="005A3B4D">
            <w:pPr>
              <w:jc w:val="right"/>
              <w:rPr>
                <w:b/>
                <w:bCs/>
                <w:color w:val="000000"/>
                <w:sz w:val="20"/>
                <w:szCs w:val="20"/>
              </w:rPr>
            </w:pPr>
            <w:r>
              <w:rPr>
                <w:b/>
                <w:bCs/>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199FB28C" w14:textId="77777777" w:rsidR="00A33B44" w:rsidRDefault="00A33B44" w:rsidP="005A3B4D">
            <w:pPr>
              <w:jc w:val="right"/>
              <w:rPr>
                <w:color w:val="000000"/>
                <w:sz w:val="20"/>
                <w:szCs w:val="20"/>
              </w:rPr>
            </w:pPr>
            <w:r>
              <w:rPr>
                <w:b/>
                <w:bCs/>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1E916A05"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B9D0E65" w14:textId="77777777" w:rsidR="00A33B44" w:rsidRDefault="00A33B44" w:rsidP="005A3B4D">
            <w:pPr>
              <w:jc w:val="right"/>
              <w:rPr>
                <w:color w:val="000000"/>
                <w:sz w:val="20"/>
                <w:szCs w:val="20"/>
              </w:rPr>
            </w:pPr>
            <w:r>
              <w:rPr>
                <w:color w:val="000000"/>
                <w:sz w:val="20"/>
                <w:szCs w:val="20"/>
              </w:rPr>
              <w:t>0.985</w:t>
            </w:r>
          </w:p>
        </w:tc>
        <w:tc>
          <w:tcPr>
            <w:tcW w:w="768" w:type="dxa"/>
            <w:tcBorders>
              <w:top w:val="nil"/>
              <w:left w:val="nil"/>
              <w:bottom w:val="single" w:sz="4" w:space="0" w:color="auto"/>
              <w:right w:val="nil"/>
            </w:tcBorders>
            <w:shd w:val="clear" w:color="auto" w:fill="auto"/>
            <w:noWrap/>
            <w:vAlign w:val="bottom"/>
            <w:hideMark/>
          </w:tcPr>
          <w:p w14:paraId="633E0498"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D431522" w14:textId="77777777" w:rsidR="00A33B44" w:rsidRDefault="00A33B44" w:rsidP="005A3B4D">
            <w:pPr>
              <w:jc w:val="right"/>
              <w:rPr>
                <w:color w:val="000000"/>
                <w:sz w:val="20"/>
                <w:szCs w:val="20"/>
              </w:rPr>
            </w:pPr>
            <w:r>
              <w:rPr>
                <w:color w:val="000000"/>
                <w:sz w:val="20"/>
                <w:szCs w:val="20"/>
              </w:rPr>
              <w:t>0.058</w:t>
            </w:r>
          </w:p>
        </w:tc>
        <w:tc>
          <w:tcPr>
            <w:tcW w:w="768" w:type="dxa"/>
            <w:tcBorders>
              <w:top w:val="nil"/>
              <w:left w:val="nil"/>
              <w:bottom w:val="single" w:sz="4" w:space="0" w:color="auto"/>
              <w:right w:val="nil"/>
            </w:tcBorders>
            <w:shd w:val="clear" w:color="auto" w:fill="auto"/>
            <w:noWrap/>
            <w:vAlign w:val="bottom"/>
            <w:hideMark/>
          </w:tcPr>
          <w:p w14:paraId="718E91FD" w14:textId="77777777" w:rsidR="00A33B44" w:rsidRDefault="00A33B44" w:rsidP="005A3B4D">
            <w:pPr>
              <w:jc w:val="right"/>
              <w:rPr>
                <w:color w:val="000000"/>
                <w:sz w:val="20"/>
                <w:szCs w:val="20"/>
              </w:rPr>
            </w:pPr>
            <w:r>
              <w:rPr>
                <w:color w:val="000000"/>
                <w:sz w:val="20"/>
                <w:szCs w:val="20"/>
              </w:rPr>
              <w:t>0.915</w:t>
            </w:r>
          </w:p>
        </w:tc>
        <w:tc>
          <w:tcPr>
            <w:tcW w:w="768" w:type="dxa"/>
            <w:tcBorders>
              <w:top w:val="nil"/>
              <w:left w:val="nil"/>
              <w:bottom w:val="single" w:sz="4" w:space="0" w:color="auto"/>
              <w:right w:val="nil"/>
            </w:tcBorders>
            <w:shd w:val="clear" w:color="auto" w:fill="auto"/>
            <w:noWrap/>
            <w:vAlign w:val="bottom"/>
            <w:hideMark/>
          </w:tcPr>
          <w:p w14:paraId="0583928C" w14:textId="77777777" w:rsidR="00A33B44" w:rsidRDefault="00A33B44" w:rsidP="005A3B4D">
            <w:pPr>
              <w:jc w:val="right"/>
              <w:rPr>
                <w:color w:val="000000"/>
                <w:sz w:val="20"/>
                <w:szCs w:val="20"/>
              </w:rPr>
            </w:pPr>
            <w:r>
              <w:rPr>
                <w:color w:val="000000"/>
                <w:sz w:val="20"/>
                <w:szCs w:val="20"/>
              </w:rPr>
              <w:t>0.003</w:t>
            </w:r>
          </w:p>
        </w:tc>
      </w:tr>
      <w:tr w:rsidR="00A33B44" w14:paraId="563D264D" w14:textId="77777777" w:rsidTr="005A3B4D">
        <w:trPr>
          <w:trHeight w:val="320"/>
        </w:trPr>
        <w:tc>
          <w:tcPr>
            <w:tcW w:w="1176" w:type="dxa"/>
            <w:tcBorders>
              <w:top w:val="nil"/>
              <w:left w:val="nil"/>
              <w:bottom w:val="nil"/>
              <w:right w:val="nil"/>
            </w:tcBorders>
            <w:shd w:val="clear" w:color="auto" w:fill="auto"/>
            <w:noWrap/>
            <w:vAlign w:val="bottom"/>
            <w:hideMark/>
          </w:tcPr>
          <w:p w14:paraId="5998200E" w14:textId="77777777" w:rsidR="00A33B44" w:rsidRDefault="00A33B44"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3C128E94" w14:textId="77777777" w:rsidR="00A33B44" w:rsidRDefault="00A33B44"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EF4A746" w14:textId="77777777" w:rsidR="00A33B44" w:rsidRDefault="00A33B44"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AC1E44B" w14:textId="77777777" w:rsidR="00A33B44" w:rsidRDefault="00A33B44"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7B601677"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4AD1EF" w14:textId="77777777" w:rsidR="00A33B44" w:rsidRDefault="00A33B44"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41649DA8" w14:textId="77777777" w:rsidR="00A33B44" w:rsidRDefault="00A33B44" w:rsidP="005A3B4D">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4C011C15"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19F3A9A" w14:textId="77777777" w:rsidR="00A33B44" w:rsidRDefault="00A33B44"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4981225" w14:textId="77777777" w:rsidR="00A33B44" w:rsidRDefault="00A33B44" w:rsidP="005A3B4D">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48FCD402"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65E1DE8" w14:textId="77777777" w:rsidR="00A33B44" w:rsidRDefault="00A33B44"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3AE0435" w14:textId="77777777" w:rsidR="00A33B44" w:rsidRDefault="00A33B44" w:rsidP="005A3B4D">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45E41E33"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67662A" w14:textId="77777777" w:rsidR="00A33B44" w:rsidRDefault="00A33B44"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28C738B8" w14:textId="77777777" w:rsidR="00A33B44" w:rsidRDefault="00A33B44" w:rsidP="005A3B4D">
            <w:pPr>
              <w:jc w:val="right"/>
              <w:rPr>
                <w:color w:val="000000"/>
                <w:sz w:val="20"/>
                <w:szCs w:val="20"/>
              </w:rPr>
            </w:pPr>
            <w:r>
              <w:rPr>
                <w:color w:val="000000"/>
                <w:sz w:val="20"/>
                <w:szCs w:val="20"/>
              </w:rPr>
              <w:t>0.293</w:t>
            </w:r>
          </w:p>
        </w:tc>
        <w:tc>
          <w:tcPr>
            <w:tcW w:w="768" w:type="dxa"/>
            <w:tcBorders>
              <w:top w:val="nil"/>
              <w:left w:val="nil"/>
              <w:bottom w:val="nil"/>
              <w:right w:val="nil"/>
            </w:tcBorders>
            <w:shd w:val="clear" w:color="auto" w:fill="auto"/>
            <w:noWrap/>
            <w:vAlign w:val="bottom"/>
            <w:hideMark/>
          </w:tcPr>
          <w:p w14:paraId="7DD7AE0D" w14:textId="77777777" w:rsidR="00A33B44" w:rsidRDefault="00A33B44" w:rsidP="005A3B4D">
            <w:pPr>
              <w:jc w:val="right"/>
              <w:rPr>
                <w:color w:val="000000"/>
                <w:sz w:val="20"/>
                <w:szCs w:val="20"/>
              </w:rPr>
            </w:pPr>
            <w:r>
              <w:rPr>
                <w:color w:val="000000"/>
                <w:sz w:val="20"/>
                <w:szCs w:val="20"/>
              </w:rPr>
              <w:t>0.003</w:t>
            </w:r>
          </w:p>
        </w:tc>
      </w:tr>
      <w:tr w:rsidR="00A33B44" w14:paraId="6D2D547B" w14:textId="77777777" w:rsidTr="005A3B4D">
        <w:trPr>
          <w:trHeight w:val="320"/>
        </w:trPr>
        <w:tc>
          <w:tcPr>
            <w:tcW w:w="1176" w:type="dxa"/>
            <w:tcBorders>
              <w:top w:val="nil"/>
              <w:left w:val="nil"/>
              <w:bottom w:val="nil"/>
              <w:right w:val="nil"/>
            </w:tcBorders>
            <w:shd w:val="clear" w:color="auto" w:fill="auto"/>
            <w:noWrap/>
            <w:vAlign w:val="bottom"/>
            <w:hideMark/>
          </w:tcPr>
          <w:p w14:paraId="02F3424D"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432DC8" w14:textId="77777777" w:rsidR="00A33B44" w:rsidRDefault="00A33B44"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1403923"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7DCB847" w14:textId="77777777" w:rsidR="00A33B44" w:rsidRDefault="00A33B44"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399636FD"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C84E6B" w14:textId="77777777" w:rsidR="00A33B44" w:rsidRDefault="00A33B44"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97535C9" w14:textId="77777777" w:rsidR="00A33B44" w:rsidRDefault="00A33B44" w:rsidP="005A3B4D">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509D54D5"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ECC5009"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F274F3F" w14:textId="77777777" w:rsidR="00A33B44" w:rsidRDefault="00A33B44" w:rsidP="005A3B4D">
            <w:pPr>
              <w:jc w:val="right"/>
              <w:rPr>
                <w:color w:val="000000"/>
                <w:sz w:val="20"/>
                <w:szCs w:val="20"/>
              </w:rPr>
            </w:pPr>
            <w:r>
              <w:rPr>
                <w:color w:val="000000"/>
                <w:sz w:val="20"/>
                <w:szCs w:val="20"/>
              </w:rPr>
              <w:t>0.968</w:t>
            </w:r>
          </w:p>
        </w:tc>
        <w:tc>
          <w:tcPr>
            <w:tcW w:w="768" w:type="dxa"/>
            <w:tcBorders>
              <w:top w:val="nil"/>
              <w:left w:val="nil"/>
              <w:bottom w:val="nil"/>
              <w:right w:val="nil"/>
            </w:tcBorders>
            <w:shd w:val="clear" w:color="auto" w:fill="auto"/>
            <w:noWrap/>
            <w:vAlign w:val="bottom"/>
            <w:hideMark/>
          </w:tcPr>
          <w:p w14:paraId="621805E4"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A6EC25"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4BE2BFE" w14:textId="77777777" w:rsidR="00A33B44" w:rsidRDefault="00A33B44" w:rsidP="005A3B4D">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3EAAA656"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BBFCD9" w14:textId="77777777" w:rsidR="00A33B44" w:rsidRDefault="00A33B44"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DDFCEDF" w14:textId="77777777" w:rsidR="00A33B44" w:rsidRDefault="00A33B44" w:rsidP="005A3B4D">
            <w:pPr>
              <w:jc w:val="right"/>
              <w:rPr>
                <w:color w:val="000000"/>
                <w:sz w:val="20"/>
                <w:szCs w:val="20"/>
              </w:rPr>
            </w:pPr>
            <w:r>
              <w:rPr>
                <w:color w:val="000000"/>
                <w:sz w:val="20"/>
                <w:szCs w:val="20"/>
              </w:rPr>
              <w:t>0.471</w:t>
            </w:r>
          </w:p>
        </w:tc>
        <w:tc>
          <w:tcPr>
            <w:tcW w:w="768" w:type="dxa"/>
            <w:tcBorders>
              <w:top w:val="nil"/>
              <w:left w:val="nil"/>
              <w:bottom w:val="nil"/>
              <w:right w:val="nil"/>
            </w:tcBorders>
            <w:shd w:val="clear" w:color="auto" w:fill="auto"/>
            <w:noWrap/>
            <w:vAlign w:val="bottom"/>
            <w:hideMark/>
          </w:tcPr>
          <w:p w14:paraId="1E102A23" w14:textId="77777777" w:rsidR="00A33B44" w:rsidRDefault="00A33B44" w:rsidP="005A3B4D">
            <w:pPr>
              <w:jc w:val="right"/>
              <w:rPr>
                <w:color w:val="000000"/>
                <w:sz w:val="20"/>
                <w:szCs w:val="20"/>
              </w:rPr>
            </w:pPr>
            <w:r>
              <w:rPr>
                <w:color w:val="000000"/>
                <w:sz w:val="20"/>
                <w:szCs w:val="20"/>
              </w:rPr>
              <w:t>0.001</w:t>
            </w:r>
          </w:p>
        </w:tc>
      </w:tr>
      <w:tr w:rsidR="00A33B44" w14:paraId="5A49FEEA" w14:textId="77777777" w:rsidTr="005A3B4D">
        <w:trPr>
          <w:trHeight w:val="320"/>
        </w:trPr>
        <w:tc>
          <w:tcPr>
            <w:tcW w:w="1176" w:type="dxa"/>
            <w:tcBorders>
              <w:top w:val="nil"/>
              <w:left w:val="nil"/>
              <w:bottom w:val="nil"/>
              <w:right w:val="nil"/>
            </w:tcBorders>
            <w:shd w:val="clear" w:color="auto" w:fill="auto"/>
            <w:noWrap/>
            <w:vAlign w:val="bottom"/>
            <w:hideMark/>
          </w:tcPr>
          <w:p w14:paraId="7F0EF5BB"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BF5FB4B" w14:textId="77777777" w:rsidR="00A33B44" w:rsidRDefault="00A33B44"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6B66FE6"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FEF8393" w14:textId="77777777" w:rsidR="00A33B44" w:rsidRDefault="00A33B44"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62978102"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3D0510" w14:textId="77777777" w:rsidR="00A33B44" w:rsidRDefault="00A33B44"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4F820C2" w14:textId="77777777" w:rsidR="00A33B44" w:rsidRDefault="00A33B44" w:rsidP="005A3B4D">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1E0DAC8A"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DA0D97E"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EC46274" w14:textId="77777777" w:rsidR="00A33B44" w:rsidRDefault="00A33B44" w:rsidP="005A3B4D">
            <w:pPr>
              <w:jc w:val="right"/>
              <w:rPr>
                <w:color w:val="000000"/>
                <w:sz w:val="20"/>
                <w:szCs w:val="20"/>
              </w:rPr>
            </w:pPr>
            <w:r>
              <w:rPr>
                <w:color w:val="000000"/>
                <w:sz w:val="20"/>
                <w:szCs w:val="20"/>
              </w:rPr>
              <w:t>0.968</w:t>
            </w:r>
          </w:p>
        </w:tc>
        <w:tc>
          <w:tcPr>
            <w:tcW w:w="768" w:type="dxa"/>
            <w:tcBorders>
              <w:top w:val="nil"/>
              <w:left w:val="nil"/>
              <w:bottom w:val="nil"/>
              <w:right w:val="nil"/>
            </w:tcBorders>
            <w:shd w:val="clear" w:color="auto" w:fill="auto"/>
            <w:noWrap/>
            <w:vAlign w:val="bottom"/>
            <w:hideMark/>
          </w:tcPr>
          <w:p w14:paraId="7F01F85E"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A234A6" w14:textId="77777777" w:rsidR="00A33B44" w:rsidRDefault="00A33B44"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2ECA7995" w14:textId="77777777" w:rsidR="00A33B44" w:rsidRDefault="00A33B44" w:rsidP="005A3B4D">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28A7023A"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0D2E48" w14:textId="77777777" w:rsidR="00A33B44" w:rsidRDefault="00A33B44" w:rsidP="005A3B4D">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56B5575F" w14:textId="77777777" w:rsidR="00A33B44" w:rsidRDefault="00A33B44" w:rsidP="005A3B4D">
            <w:pPr>
              <w:jc w:val="right"/>
              <w:rPr>
                <w:color w:val="000000"/>
                <w:sz w:val="20"/>
                <w:szCs w:val="20"/>
              </w:rPr>
            </w:pPr>
            <w:r>
              <w:rPr>
                <w:color w:val="000000"/>
                <w:sz w:val="20"/>
                <w:szCs w:val="20"/>
              </w:rPr>
              <w:t>0.293</w:t>
            </w:r>
          </w:p>
        </w:tc>
        <w:tc>
          <w:tcPr>
            <w:tcW w:w="768" w:type="dxa"/>
            <w:tcBorders>
              <w:top w:val="nil"/>
              <w:left w:val="nil"/>
              <w:bottom w:val="nil"/>
              <w:right w:val="nil"/>
            </w:tcBorders>
            <w:shd w:val="clear" w:color="auto" w:fill="auto"/>
            <w:noWrap/>
            <w:vAlign w:val="bottom"/>
            <w:hideMark/>
          </w:tcPr>
          <w:p w14:paraId="05E5C1D7" w14:textId="77777777" w:rsidR="00A33B44" w:rsidRDefault="00A33B44" w:rsidP="005A3B4D">
            <w:pPr>
              <w:jc w:val="right"/>
              <w:rPr>
                <w:color w:val="000000"/>
                <w:sz w:val="20"/>
                <w:szCs w:val="20"/>
              </w:rPr>
            </w:pPr>
            <w:r>
              <w:rPr>
                <w:color w:val="000000"/>
                <w:sz w:val="20"/>
                <w:szCs w:val="20"/>
              </w:rPr>
              <w:t>0.004</w:t>
            </w:r>
          </w:p>
        </w:tc>
      </w:tr>
      <w:tr w:rsidR="00A33B44" w14:paraId="0B12A2CE" w14:textId="77777777" w:rsidTr="005A3B4D">
        <w:trPr>
          <w:trHeight w:val="320"/>
        </w:trPr>
        <w:tc>
          <w:tcPr>
            <w:tcW w:w="1176" w:type="dxa"/>
            <w:tcBorders>
              <w:top w:val="nil"/>
              <w:left w:val="nil"/>
              <w:bottom w:val="nil"/>
              <w:right w:val="nil"/>
            </w:tcBorders>
            <w:shd w:val="clear" w:color="auto" w:fill="auto"/>
            <w:noWrap/>
            <w:vAlign w:val="bottom"/>
            <w:hideMark/>
          </w:tcPr>
          <w:p w14:paraId="63C53E7B"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0FAEEF8" w14:textId="77777777" w:rsidR="00A33B44" w:rsidRDefault="00A33B44"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5AE645A" w14:textId="77777777" w:rsidR="00A33B44" w:rsidRDefault="00A33B44"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E4CBCBF" w14:textId="77777777" w:rsidR="00A33B44" w:rsidRDefault="00A33B44"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00F19C05"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FB1ADF" w14:textId="77777777" w:rsidR="00A33B44" w:rsidRDefault="00A33B44"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6F42B98C" w14:textId="77777777" w:rsidR="00A33B44" w:rsidRDefault="00A33B44" w:rsidP="005A3B4D">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6DD521AC"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479C064" w14:textId="77777777" w:rsidR="00A33B44" w:rsidRDefault="00A33B44"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DD68E5F" w14:textId="77777777" w:rsidR="00A33B44" w:rsidRDefault="00A33B44" w:rsidP="005A3B4D">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5B20CEBE"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A82F29" w14:textId="77777777" w:rsidR="00A33B44" w:rsidRDefault="00A33B44"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325ED19" w14:textId="77777777" w:rsidR="00A33B44" w:rsidRDefault="00A33B44" w:rsidP="005A3B4D">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31058A36"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C9400F3" w14:textId="77777777" w:rsidR="00A33B44" w:rsidRDefault="00A33B44"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14F5411F" w14:textId="77777777" w:rsidR="00A33B44" w:rsidRDefault="00A33B44" w:rsidP="005A3B4D">
            <w:pPr>
              <w:jc w:val="right"/>
              <w:rPr>
                <w:color w:val="000000"/>
                <w:sz w:val="20"/>
                <w:szCs w:val="20"/>
              </w:rPr>
            </w:pPr>
            <w:r>
              <w:rPr>
                <w:color w:val="000000"/>
                <w:sz w:val="20"/>
                <w:szCs w:val="20"/>
              </w:rPr>
              <w:t>0.471</w:t>
            </w:r>
          </w:p>
        </w:tc>
        <w:tc>
          <w:tcPr>
            <w:tcW w:w="768" w:type="dxa"/>
            <w:tcBorders>
              <w:top w:val="nil"/>
              <w:left w:val="nil"/>
              <w:bottom w:val="nil"/>
              <w:right w:val="nil"/>
            </w:tcBorders>
            <w:shd w:val="clear" w:color="auto" w:fill="auto"/>
            <w:noWrap/>
            <w:vAlign w:val="bottom"/>
            <w:hideMark/>
          </w:tcPr>
          <w:p w14:paraId="1FD009BF" w14:textId="77777777" w:rsidR="00A33B44" w:rsidRDefault="00A33B44" w:rsidP="005A3B4D">
            <w:pPr>
              <w:jc w:val="right"/>
              <w:rPr>
                <w:color w:val="000000"/>
                <w:sz w:val="20"/>
                <w:szCs w:val="20"/>
              </w:rPr>
            </w:pPr>
            <w:r>
              <w:rPr>
                <w:color w:val="000000"/>
                <w:sz w:val="20"/>
                <w:szCs w:val="20"/>
              </w:rPr>
              <w:t>0.002</w:t>
            </w:r>
          </w:p>
        </w:tc>
      </w:tr>
      <w:tr w:rsidR="00A33B44" w14:paraId="20268D2B" w14:textId="77777777" w:rsidTr="005A3B4D">
        <w:trPr>
          <w:trHeight w:val="320"/>
        </w:trPr>
        <w:tc>
          <w:tcPr>
            <w:tcW w:w="1176" w:type="dxa"/>
            <w:tcBorders>
              <w:top w:val="nil"/>
              <w:left w:val="nil"/>
              <w:bottom w:val="nil"/>
              <w:right w:val="nil"/>
            </w:tcBorders>
            <w:shd w:val="clear" w:color="auto" w:fill="auto"/>
            <w:noWrap/>
            <w:vAlign w:val="bottom"/>
            <w:hideMark/>
          </w:tcPr>
          <w:p w14:paraId="64FC7813"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97566E" w14:textId="77777777" w:rsidR="00A33B44" w:rsidRDefault="00A33B44"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CDB9884"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770900" w14:textId="77777777" w:rsidR="00A33B44" w:rsidRDefault="00A33B44"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64A10104"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B0E341" w14:textId="77777777" w:rsidR="00A33B44" w:rsidRDefault="00A33B44"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00ADE34" w14:textId="77777777" w:rsidR="00A33B44" w:rsidRDefault="00A33B44" w:rsidP="005A3B4D">
            <w:pPr>
              <w:jc w:val="right"/>
              <w:rPr>
                <w:color w:val="000000"/>
                <w:sz w:val="20"/>
                <w:szCs w:val="20"/>
              </w:rPr>
            </w:pPr>
            <w:r>
              <w:rPr>
                <w:color w:val="000000"/>
                <w:sz w:val="20"/>
                <w:szCs w:val="20"/>
              </w:rPr>
              <w:t>0.625</w:t>
            </w:r>
          </w:p>
        </w:tc>
        <w:tc>
          <w:tcPr>
            <w:tcW w:w="768" w:type="dxa"/>
            <w:tcBorders>
              <w:top w:val="nil"/>
              <w:left w:val="nil"/>
              <w:bottom w:val="nil"/>
              <w:right w:val="nil"/>
            </w:tcBorders>
            <w:shd w:val="clear" w:color="auto" w:fill="auto"/>
            <w:noWrap/>
            <w:vAlign w:val="bottom"/>
            <w:hideMark/>
          </w:tcPr>
          <w:p w14:paraId="0BFB1D1A"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98285E" w14:textId="77777777" w:rsidR="00A33B44" w:rsidRDefault="00A33B44"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7516148" w14:textId="77777777" w:rsidR="00A33B44" w:rsidRDefault="00A33B44" w:rsidP="005A3B4D">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680DFDC4"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BCD36A5" w14:textId="77777777" w:rsidR="00A33B44" w:rsidRDefault="00A33B44"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AB64E1B" w14:textId="77777777" w:rsidR="00A33B44" w:rsidRDefault="00A33B44" w:rsidP="005A3B4D">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0EDF2685"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D58573" w14:textId="77777777" w:rsidR="00A33B44" w:rsidRDefault="00A33B44"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176D4B0C" w14:textId="77777777" w:rsidR="00A33B44" w:rsidRDefault="00A33B44" w:rsidP="005A3B4D">
            <w:pPr>
              <w:jc w:val="right"/>
              <w:rPr>
                <w:color w:val="000000"/>
                <w:sz w:val="20"/>
                <w:szCs w:val="20"/>
              </w:rPr>
            </w:pPr>
            <w:r>
              <w:rPr>
                <w:color w:val="000000"/>
                <w:sz w:val="20"/>
                <w:szCs w:val="20"/>
              </w:rPr>
              <w:t>0.471</w:t>
            </w:r>
          </w:p>
        </w:tc>
        <w:tc>
          <w:tcPr>
            <w:tcW w:w="768" w:type="dxa"/>
            <w:tcBorders>
              <w:top w:val="nil"/>
              <w:left w:val="nil"/>
              <w:bottom w:val="nil"/>
              <w:right w:val="nil"/>
            </w:tcBorders>
            <w:shd w:val="clear" w:color="auto" w:fill="auto"/>
            <w:noWrap/>
            <w:vAlign w:val="bottom"/>
            <w:hideMark/>
          </w:tcPr>
          <w:p w14:paraId="56E4BCA9" w14:textId="77777777" w:rsidR="00A33B44" w:rsidRDefault="00A33B44" w:rsidP="005A3B4D">
            <w:pPr>
              <w:jc w:val="right"/>
              <w:rPr>
                <w:color w:val="000000"/>
                <w:sz w:val="20"/>
                <w:szCs w:val="20"/>
              </w:rPr>
            </w:pPr>
            <w:r>
              <w:rPr>
                <w:color w:val="000000"/>
                <w:sz w:val="20"/>
                <w:szCs w:val="20"/>
              </w:rPr>
              <w:t>0.001</w:t>
            </w:r>
          </w:p>
        </w:tc>
      </w:tr>
      <w:tr w:rsidR="00A33B44" w14:paraId="73696F28" w14:textId="77777777" w:rsidTr="005A3B4D">
        <w:trPr>
          <w:trHeight w:val="320"/>
        </w:trPr>
        <w:tc>
          <w:tcPr>
            <w:tcW w:w="1176" w:type="dxa"/>
            <w:tcBorders>
              <w:top w:val="nil"/>
              <w:left w:val="nil"/>
              <w:bottom w:val="nil"/>
              <w:right w:val="nil"/>
            </w:tcBorders>
            <w:shd w:val="clear" w:color="auto" w:fill="auto"/>
            <w:noWrap/>
            <w:vAlign w:val="bottom"/>
            <w:hideMark/>
          </w:tcPr>
          <w:p w14:paraId="02026212"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0790FE7" w14:textId="77777777" w:rsidR="00A33B44" w:rsidRDefault="00A33B44"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F63CFB6" w14:textId="77777777" w:rsidR="00A33B44" w:rsidRDefault="00A33B44"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3244BD7" w14:textId="77777777" w:rsidR="00A33B44" w:rsidRDefault="00A33B44"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427E3EF6"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4244A1"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4F7F20" w14:textId="77777777" w:rsidR="00A33B44" w:rsidRDefault="00A33B44" w:rsidP="005A3B4D">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49CCAFAA"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7BE816" w14:textId="77777777" w:rsidR="00A33B44" w:rsidRDefault="00A33B44" w:rsidP="005A3B4D">
            <w:pPr>
              <w:jc w:val="right"/>
              <w:rPr>
                <w:b/>
                <w:bCs/>
                <w:color w:val="000000"/>
                <w:sz w:val="20"/>
                <w:szCs w:val="20"/>
              </w:rPr>
            </w:pPr>
            <w:r>
              <w:rPr>
                <w:b/>
                <w:bCs/>
                <w:color w:val="000000"/>
                <w:sz w:val="20"/>
                <w:szCs w:val="20"/>
              </w:rPr>
              <w:t>-0.100</w:t>
            </w:r>
          </w:p>
        </w:tc>
        <w:tc>
          <w:tcPr>
            <w:tcW w:w="768" w:type="dxa"/>
            <w:tcBorders>
              <w:top w:val="nil"/>
              <w:left w:val="nil"/>
              <w:bottom w:val="nil"/>
              <w:right w:val="nil"/>
            </w:tcBorders>
            <w:shd w:val="clear" w:color="auto" w:fill="auto"/>
            <w:noWrap/>
            <w:vAlign w:val="bottom"/>
            <w:hideMark/>
          </w:tcPr>
          <w:p w14:paraId="48836EA8" w14:textId="77777777" w:rsidR="00A33B44" w:rsidRDefault="00A33B44"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538F4A0" w14:textId="77777777" w:rsidR="00A33B44" w:rsidRDefault="00A33B44" w:rsidP="005A3B4D">
            <w:pPr>
              <w:jc w:val="right"/>
              <w:rPr>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250D96E9" w14:textId="77777777" w:rsidR="00A33B44" w:rsidRDefault="00A33B44"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5633AFE" w14:textId="77777777" w:rsidR="00A33B44" w:rsidRDefault="00A33B44" w:rsidP="005A3B4D">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1ADAEDA7"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DBEF2A" w14:textId="77777777" w:rsidR="00A33B44" w:rsidRDefault="00A33B44" w:rsidP="005A3B4D">
            <w:pPr>
              <w:jc w:val="right"/>
              <w:rPr>
                <w:color w:val="000000"/>
                <w:sz w:val="20"/>
                <w:szCs w:val="20"/>
              </w:rPr>
            </w:pPr>
            <w:r>
              <w:rPr>
                <w:color w:val="000000"/>
                <w:sz w:val="20"/>
                <w:szCs w:val="20"/>
              </w:rPr>
              <w:t>-0.108</w:t>
            </w:r>
          </w:p>
        </w:tc>
        <w:tc>
          <w:tcPr>
            <w:tcW w:w="768" w:type="dxa"/>
            <w:tcBorders>
              <w:top w:val="nil"/>
              <w:left w:val="nil"/>
              <w:bottom w:val="nil"/>
              <w:right w:val="nil"/>
            </w:tcBorders>
            <w:shd w:val="clear" w:color="auto" w:fill="auto"/>
            <w:noWrap/>
            <w:vAlign w:val="bottom"/>
            <w:hideMark/>
          </w:tcPr>
          <w:p w14:paraId="1F7313BF" w14:textId="77777777" w:rsidR="00A33B44" w:rsidRDefault="00A33B44"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1CC95909" w14:textId="77777777" w:rsidR="00A33B44" w:rsidRDefault="00A33B44" w:rsidP="005A3B4D">
            <w:pPr>
              <w:jc w:val="right"/>
              <w:rPr>
                <w:color w:val="000000"/>
                <w:sz w:val="20"/>
                <w:szCs w:val="20"/>
              </w:rPr>
            </w:pPr>
            <w:r>
              <w:rPr>
                <w:color w:val="000000"/>
                <w:sz w:val="20"/>
                <w:szCs w:val="20"/>
              </w:rPr>
              <w:t>0.012</w:t>
            </w:r>
          </w:p>
        </w:tc>
      </w:tr>
      <w:tr w:rsidR="00A33B44" w14:paraId="691C9519" w14:textId="77777777" w:rsidTr="005A3B4D">
        <w:trPr>
          <w:trHeight w:val="320"/>
        </w:trPr>
        <w:tc>
          <w:tcPr>
            <w:tcW w:w="1176" w:type="dxa"/>
            <w:tcBorders>
              <w:top w:val="nil"/>
              <w:left w:val="nil"/>
              <w:bottom w:val="nil"/>
              <w:right w:val="nil"/>
            </w:tcBorders>
            <w:shd w:val="clear" w:color="auto" w:fill="auto"/>
            <w:noWrap/>
            <w:vAlign w:val="bottom"/>
            <w:hideMark/>
          </w:tcPr>
          <w:p w14:paraId="2EDA36E9"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4795959" w14:textId="77777777" w:rsidR="00A33B44" w:rsidRDefault="00A33B44"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E65507F" w14:textId="77777777" w:rsidR="00A33B44" w:rsidRDefault="00A33B44"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4FCDF592" w14:textId="77777777" w:rsidR="00A33B44" w:rsidRDefault="00A33B44" w:rsidP="005A3B4D">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2B52CF49" w14:textId="77777777" w:rsidR="00A33B44" w:rsidRDefault="00A33B44"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2E6F6EB"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19B4F38" w14:textId="77777777" w:rsidR="00A33B44" w:rsidRDefault="00A33B44" w:rsidP="005A3B4D">
            <w:pPr>
              <w:jc w:val="right"/>
              <w:rPr>
                <w:color w:val="000000"/>
                <w:sz w:val="20"/>
                <w:szCs w:val="20"/>
              </w:rPr>
            </w:pPr>
            <w:r>
              <w:rPr>
                <w:color w:val="000000"/>
                <w:sz w:val="20"/>
                <w:szCs w:val="20"/>
              </w:rPr>
              <w:t>0.987</w:t>
            </w:r>
          </w:p>
        </w:tc>
        <w:tc>
          <w:tcPr>
            <w:tcW w:w="768" w:type="dxa"/>
            <w:tcBorders>
              <w:top w:val="nil"/>
              <w:left w:val="nil"/>
              <w:bottom w:val="nil"/>
              <w:right w:val="nil"/>
            </w:tcBorders>
            <w:shd w:val="clear" w:color="auto" w:fill="auto"/>
            <w:noWrap/>
            <w:vAlign w:val="bottom"/>
            <w:hideMark/>
          </w:tcPr>
          <w:p w14:paraId="0E3AD384"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D11CF7" w14:textId="77777777" w:rsidR="00A33B44" w:rsidRDefault="00A33B44"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4E50D113" w14:textId="77777777" w:rsidR="00A33B44" w:rsidRDefault="00A33B44" w:rsidP="005A3B4D">
            <w:pPr>
              <w:jc w:val="right"/>
              <w:rPr>
                <w:color w:val="000000"/>
                <w:sz w:val="20"/>
                <w:szCs w:val="20"/>
              </w:rPr>
            </w:pPr>
            <w:r>
              <w:rPr>
                <w:color w:val="000000"/>
                <w:sz w:val="20"/>
                <w:szCs w:val="20"/>
              </w:rPr>
              <w:t>0.437</w:t>
            </w:r>
          </w:p>
        </w:tc>
        <w:tc>
          <w:tcPr>
            <w:tcW w:w="768" w:type="dxa"/>
            <w:tcBorders>
              <w:top w:val="nil"/>
              <w:left w:val="nil"/>
              <w:bottom w:val="nil"/>
              <w:right w:val="nil"/>
            </w:tcBorders>
            <w:shd w:val="clear" w:color="auto" w:fill="auto"/>
            <w:noWrap/>
            <w:vAlign w:val="bottom"/>
            <w:hideMark/>
          </w:tcPr>
          <w:p w14:paraId="0D71993A"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100FF3" w14:textId="77777777" w:rsidR="00A33B44" w:rsidRDefault="00A33B44"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3540BADD" w14:textId="77777777" w:rsidR="00A33B44" w:rsidRDefault="00A33B44" w:rsidP="005A3B4D">
            <w:pPr>
              <w:jc w:val="right"/>
              <w:rPr>
                <w:color w:val="000000"/>
                <w:sz w:val="20"/>
                <w:szCs w:val="20"/>
              </w:rPr>
            </w:pPr>
            <w:r>
              <w:rPr>
                <w:color w:val="000000"/>
                <w:sz w:val="20"/>
                <w:szCs w:val="20"/>
              </w:rPr>
              <w:t>0.654</w:t>
            </w:r>
          </w:p>
        </w:tc>
        <w:tc>
          <w:tcPr>
            <w:tcW w:w="768" w:type="dxa"/>
            <w:tcBorders>
              <w:top w:val="nil"/>
              <w:left w:val="nil"/>
              <w:bottom w:val="nil"/>
              <w:right w:val="nil"/>
            </w:tcBorders>
            <w:shd w:val="clear" w:color="auto" w:fill="auto"/>
            <w:noWrap/>
            <w:vAlign w:val="bottom"/>
            <w:hideMark/>
          </w:tcPr>
          <w:p w14:paraId="0F4D851B"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F827F7" w14:textId="77777777" w:rsidR="00A33B44" w:rsidRDefault="00A33B44"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A21E952" w14:textId="77777777" w:rsidR="00A33B44" w:rsidRDefault="00A33B44" w:rsidP="005A3B4D">
            <w:pPr>
              <w:jc w:val="right"/>
              <w:rPr>
                <w:color w:val="000000"/>
                <w:sz w:val="20"/>
                <w:szCs w:val="20"/>
              </w:rPr>
            </w:pPr>
            <w:r>
              <w:rPr>
                <w:color w:val="000000"/>
                <w:sz w:val="20"/>
                <w:szCs w:val="20"/>
              </w:rPr>
              <w:t>0.471</w:t>
            </w:r>
          </w:p>
        </w:tc>
        <w:tc>
          <w:tcPr>
            <w:tcW w:w="768" w:type="dxa"/>
            <w:tcBorders>
              <w:top w:val="nil"/>
              <w:left w:val="nil"/>
              <w:bottom w:val="nil"/>
              <w:right w:val="nil"/>
            </w:tcBorders>
            <w:shd w:val="clear" w:color="auto" w:fill="auto"/>
            <w:noWrap/>
            <w:vAlign w:val="bottom"/>
            <w:hideMark/>
          </w:tcPr>
          <w:p w14:paraId="3200F0A4" w14:textId="77777777" w:rsidR="00A33B44" w:rsidRDefault="00A33B44" w:rsidP="005A3B4D">
            <w:pPr>
              <w:jc w:val="right"/>
              <w:rPr>
                <w:color w:val="000000"/>
                <w:sz w:val="20"/>
                <w:szCs w:val="20"/>
              </w:rPr>
            </w:pPr>
            <w:r>
              <w:rPr>
                <w:color w:val="000000"/>
                <w:sz w:val="20"/>
                <w:szCs w:val="20"/>
              </w:rPr>
              <w:t>0.001</w:t>
            </w:r>
          </w:p>
        </w:tc>
      </w:tr>
      <w:tr w:rsidR="00A33B44" w14:paraId="672CBBC7"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0890D1E7" w14:textId="77777777" w:rsidR="00A33B44" w:rsidRDefault="00A33B44"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6D13B06" w14:textId="77777777" w:rsidR="00A33B44" w:rsidRDefault="00A33B44"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3D22030" w14:textId="77777777" w:rsidR="00A33B44" w:rsidRDefault="00A33B44" w:rsidP="005A3B4D">
            <w:pPr>
              <w:jc w:val="right"/>
              <w:rPr>
                <w:color w:val="000000"/>
                <w:sz w:val="20"/>
                <w:szCs w:val="20"/>
              </w:rPr>
            </w:pPr>
            <w:r>
              <w:rPr>
                <w:color w:val="000000"/>
                <w:sz w:val="20"/>
                <w:szCs w:val="20"/>
              </w:rPr>
              <w:t>0.038</w:t>
            </w:r>
          </w:p>
        </w:tc>
        <w:tc>
          <w:tcPr>
            <w:tcW w:w="768" w:type="dxa"/>
            <w:tcBorders>
              <w:top w:val="nil"/>
              <w:left w:val="nil"/>
              <w:bottom w:val="single" w:sz="4" w:space="0" w:color="auto"/>
              <w:right w:val="nil"/>
            </w:tcBorders>
            <w:shd w:val="clear" w:color="auto" w:fill="auto"/>
            <w:noWrap/>
            <w:vAlign w:val="bottom"/>
            <w:hideMark/>
          </w:tcPr>
          <w:p w14:paraId="7F297E17" w14:textId="77777777" w:rsidR="00A33B44" w:rsidRDefault="00A33B44" w:rsidP="005A3B4D">
            <w:pPr>
              <w:jc w:val="right"/>
              <w:rPr>
                <w:color w:val="000000"/>
                <w:sz w:val="20"/>
                <w:szCs w:val="20"/>
              </w:rPr>
            </w:pPr>
            <w:r>
              <w:rPr>
                <w:color w:val="000000"/>
                <w:sz w:val="20"/>
                <w:szCs w:val="20"/>
              </w:rPr>
              <w:t>0.999</w:t>
            </w:r>
          </w:p>
        </w:tc>
        <w:tc>
          <w:tcPr>
            <w:tcW w:w="768" w:type="dxa"/>
            <w:tcBorders>
              <w:top w:val="nil"/>
              <w:left w:val="nil"/>
              <w:bottom w:val="single" w:sz="4" w:space="0" w:color="auto"/>
              <w:right w:val="nil"/>
            </w:tcBorders>
            <w:shd w:val="clear" w:color="auto" w:fill="auto"/>
            <w:noWrap/>
            <w:vAlign w:val="bottom"/>
            <w:hideMark/>
          </w:tcPr>
          <w:p w14:paraId="75D74272"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E1D06A0" w14:textId="77777777" w:rsidR="00A33B44" w:rsidRDefault="00A33B44" w:rsidP="005A3B4D">
            <w:pPr>
              <w:jc w:val="right"/>
              <w:rPr>
                <w:color w:val="000000"/>
                <w:sz w:val="20"/>
                <w:szCs w:val="20"/>
              </w:rPr>
            </w:pPr>
            <w:r>
              <w:rPr>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1A9401AB" w14:textId="77777777" w:rsidR="00A33B44" w:rsidRDefault="00A33B44" w:rsidP="005A3B4D">
            <w:pPr>
              <w:jc w:val="right"/>
              <w:rPr>
                <w:color w:val="000000"/>
                <w:sz w:val="20"/>
                <w:szCs w:val="20"/>
              </w:rPr>
            </w:pPr>
            <w:r>
              <w:rPr>
                <w:color w:val="000000"/>
                <w:sz w:val="20"/>
                <w:szCs w:val="20"/>
              </w:rPr>
              <w:t>0.408</w:t>
            </w:r>
          </w:p>
        </w:tc>
        <w:tc>
          <w:tcPr>
            <w:tcW w:w="768" w:type="dxa"/>
            <w:tcBorders>
              <w:top w:val="nil"/>
              <w:left w:val="nil"/>
              <w:bottom w:val="single" w:sz="4" w:space="0" w:color="auto"/>
              <w:right w:val="nil"/>
            </w:tcBorders>
            <w:shd w:val="clear" w:color="auto" w:fill="auto"/>
            <w:noWrap/>
            <w:vAlign w:val="bottom"/>
            <w:hideMark/>
          </w:tcPr>
          <w:p w14:paraId="3B10B2EC"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AACCB40" w14:textId="77777777" w:rsidR="00A33B44" w:rsidRDefault="00A33B44" w:rsidP="005A3B4D">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21FDFC9E" w14:textId="77777777" w:rsidR="00A33B44" w:rsidRDefault="00A33B44" w:rsidP="005A3B4D">
            <w:pPr>
              <w:jc w:val="right"/>
              <w:rPr>
                <w:color w:val="000000"/>
                <w:sz w:val="20"/>
                <w:szCs w:val="20"/>
              </w:rPr>
            </w:pPr>
            <w:r>
              <w:rPr>
                <w:color w:val="000000"/>
                <w:sz w:val="20"/>
                <w:szCs w:val="20"/>
              </w:rPr>
              <w:t>0.437</w:t>
            </w:r>
          </w:p>
        </w:tc>
        <w:tc>
          <w:tcPr>
            <w:tcW w:w="768" w:type="dxa"/>
            <w:tcBorders>
              <w:top w:val="nil"/>
              <w:left w:val="nil"/>
              <w:bottom w:val="single" w:sz="4" w:space="0" w:color="auto"/>
              <w:right w:val="nil"/>
            </w:tcBorders>
            <w:shd w:val="clear" w:color="auto" w:fill="auto"/>
            <w:noWrap/>
            <w:vAlign w:val="bottom"/>
            <w:hideMark/>
          </w:tcPr>
          <w:p w14:paraId="27D0ECE0"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51C1F0D" w14:textId="77777777" w:rsidR="00A33B44" w:rsidRDefault="00A33B44" w:rsidP="005A3B4D">
            <w:pPr>
              <w:jc w:val="right"/>
              <w:rPr>
                <w:color w:val="000000"/>
                <w:sz w:val="20"/>
                <w:szCs w:val="20"/>
              </w:rPr>
            </w:pPr>
            <w:r>
              <w:rPr>
                <w:color w:val="000000"/>
                <w:sz w:val="20"/>
                <w:szCs w:val="20"/>
              </w:rPr>
              <w:t>0.023</w:t>
            </w:r>
          </w:p>
        </w:tc>
        <w:tc>
          <w:tcPr>
            <w:tcW w:w="768" w:type="dxa"/>
            <w:tcBorders>
              <w:top w:val="nil"/>
              <w:left w:val="nil"/>
              <w:bottom w:val="single" w:sz="4" w:space="0" w:color="auto"/>
              <w:right w:val="nil"/>
            </w:tcBorders>
            <w:shd w:val="clear" w:color="auto" w:fill="auto"/>
            <w:noWrap/>
            <w:vAlign w:val="bottom"/>
            <w:hideMark/>
          </w:tcPr>
          <w:p w14:paraId="72DFE8BF" w14:textId="77777777" w:rsidR="00A33B44" w:rsidRDefault="00A33B44" w:rsidP="005A3B4D">
            <w:pPr>
              <w:jc w:val="right"/>
              <w:rPr>
                <w:color w:val="000000"/>
                <w:sz w:val="20"/>
                <w:szCs w:val="20"/>
              </w:rPr>
            </w:pPr>
            <w:r>
              <w:rPr>
                <w:color w:val="000000"/>
                <w:sz w:val="20"/>
                <w:szCs w:val="20"/>
              </w:rPr>
              <w:t>0.654</w:t>
            </w:r>
          </w:p>
        </w:tc>
        <w:tc>
          <w:tcPr>
            <w:tcW w:w="768" w:type="dxa"/>
            <w:tcBorders>
              <w:top w:val="nil"/>
              <w:left w:val="nil"/>
              <w:bottom w:val="single" w:sz="4" w:space="0" w:color="auto"/>
              <w:right w:val="nil"/>
            </w:tcBorders>
            <w:shd w:val="clear" w:color="auto" w:fill="auto"/>
            <w:noWrap/>
            <w:vAlign w:val="bottom"/>
            <w:hideMark/>
          </w:tcPr>
          <w:p w14:paraId="12F0DBFA"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D33D193" w14:textId="77777777" w:rsidR="00A33B44" w:rsidRDefault="00A33B44" w:rsidP="005A3B4D">
            <w:pPr>
              <w:jc w:val="right"/>
              <w:rPr>
                <w:color w:val="000000"/>
                <w:sz w:val="20"/>
                <w:szCs w:val="20"/>
              </w:rPr>
            </w:pPr>
            <w:r>
              <w:rPr>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07FBC062" w14:textId="77777777" w:rsidR="00A33B44" w:rsidRDefault="00A33B44" w:rsidP="005A3B4D">
            <w:pPr>
              <w:jc w:val="right"/>
              <w:rPr>
                <w:color w:val="000000"/>
                <w:sz w:val="20"/>
                <w:szCs w:val="20"/>
              </w:rPr>
            </w:pPr>
            <w:r>
              <w:rPr>
                <w:color w:val="000000"/>
                <w:sz w:val="20"/>
                <w:szCs w:val="20"/>
              </w:rPr>
              <w:t>0.471</w:t>
            </w:r>
          </w:p>
        </w:tc>
        <w:tc>
          <w:tcPr>
            <w:tcW w:w="768" w:type="dxa"/>
            <w:tcBorders>
              <w:top w:val="nil"/>
              <w:left w:val="nil"/>
              <w:bottom w:val="single" w:sz="4" w:space="0" w:color="auto"/>
              <w:right w:val="nil"/>
            </w:tcBorders>
            <w:shd w:val="clear" w:color="auto" w:fill="auto"/>
            <w:noWrap/>
            <w:vAlign w:val="bottom"/>
            <w:hideMark/>
          </w:tcPr>
          <w:p w14:paraId="60102A1E" w14:textId="77777777" w:rsidR="00A33B44" w:rsidRDefault="00A33B44" w:rsidP="005A3B4D">
            <w:pPr>
              <w:jc w:val="right"/>
              <w:rPr>
                <w:color w:val="000000"/>
                <w:sz w:val="20"/>
                <w:szCs w:val="20"/>
              </w:rPr>
            </w:pPr>
            <w:r>
              <w:rPr>
                <w:color w:val="000000"/>
                <w:sz w:val="20"/>
                <w:szCs w:val="20"/>
              </w:rPr>
              <w:t>0.001</w:t>
            </w:r>
          </w:p>
        </w:tc>
      </w:tr>
      <w:tr w:rsidR="00A33B44" w14:paraId="0B6139A7" w14:textId="77777777" w:rsidTr="005A3B4D">
        <w:trPr>
          <w:trHeight w:val="320"/>
        </w:trPr>
        <w:tc>
          <w:tcPr>
            <w:tcW w:w="1176" w:type="dxa"/>
            <w:tcBorders>
              <w:top w:val="nil"/>
              <w:left w:val="nil"/>
              <w:bottom w:val="nil"/>
              <w:right w:val="nil"/>
            </w:tcBorders>
            <w:shd w:val="clear" w:color="auto" w:fill="auto"/>
            <w:noWrap/>
            <w:vAlign w:val="bottom"/>
            <w:hideMark/>
          </w:tcPr>
          <w:p w14:paraId="3A2CBD4D" w14:textId="77777777" w:rsidR="00A33B44" w:rsidRDefault="00A33B44"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6166FE0D" w14:textId="77777777" w:rsidR="00A33B44" w:rsidRDefault="00A33B44"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72D12B6" w14:textId="77777777" w:rsidR="00A33B44" w:rsidRDefault="00A33B44"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2733AFBA" w14:textId="77777777" w:rsidR="00A33B44" w:rsidRDefault="00A33B44" w:rsidP="005A3B4D">
            <w:pPr>
              <w:jc w:val="right"/>
              <w:rPr>
                <w:color w:val="000000"/>
                <w:sz w:val="20"/>
                <w:szCs w:val="20"/>
              </w:rPr>
            </w:pPr>
            <w:r>
              <w:rPr>
                <w:color w:val="000000"/>
                <w:sz w:val="20"/>
                <w:szCs w:val="20"/>
              </w:rPr>
              <w:t>0.644</w:t>
            </w:r>
          </w:p>
        </w:tc>
        <w:tc>
          <w:tcPr>
            <w:tcW w:w="768" w:type="dxa"/>
            <w:tcBorders>
              <w:top w:val="nil"/>
              <w:left w:val="nil"/>
              <w:bottom w:val="nil"/>
              <w:right w:val="nil"/>
            </w:tcBorders>
            <w:shd w:val="clear" w:color="auto" w:fill="auto"/>
            <w:noWrap/>
            <w:vAlign w:val="bottom"/>
            <w:hideMark/>
          </w:tcPr>
          <w:p w14:paraId="04E943B9"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3D7B8D2" w14:textId="77777777" w:rsidR="00A33B44" w:rsidRDefault="00A33B44"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5DA1501" w14:textId="77777777" w:rsidR="00A33B44" w:rsidRDefault="00A33B44" w:rsidP="005A3B4D">
            <w:pPr>
              <w:jc w:val="right"/>
              <w:rPr>
                <w:color w:val="000000"/>
                <w:sz w:val="20"/>
                <w:szCs w:val="20"/>
              </w:rPr>
            </w:pPr>
            <w:r>
              <w:rPr>
                <w:color w:val="000000"/>
                <w:sz w:val="20"/>
                <w:szCs w:val="20"/>
              </w:rPr>
              <w:t>0.848</w:t>
            </w:r>
          </w:p>
        </w:tc>
        <w:tc>
          <w:tcPr>
            <w:tcW w:w="768" w:type="dxa"/>
            <w:tcBorders>
              <w:top w:val="nil"/>
              <w:left w:val="nil"/>
              <w:bottom w:val="nil"/>
              <w:right w:val="nil"/>
            </w:tcBorders>
            <w:shd w:val="clear" w:color="auto" w:fill="auto"/>
            <w:noWrap/>
            <w:vAlign w:val="bottom"/>
            <w:hideMark/>
          </w:tcPr>
          <w:p w14:paraId="1A646A22"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948589F" w14:textId="77777777" w:rsidR="00A33B44" w:rsidRDefault="00A33B44"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77C7D11" w14:textId="77777777" w:rsidR="00A33B44" w:rsidRDefault="00A33B44" w:rsidP="005A3B4D">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4DD6BC95"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0D7DF0" w14:textId="77777777" w:rsidR="00A33B44" w:rsidRDefault="00A33B44"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1AA549EA" w14:textId="77777777" w:rsidR="00A33B44" w:rsidRDefault="00A33B44" w:rsidP="005A3B4D">
            <w:pPr>
              <w:jc w:val="right"/>
              <w:rPr>
                <w:color w:val="000000"/>
                <w:sz w:val="20"/>
                <w:szCs w:val="20"/>
              </w:rPr>
            </w:pPr>
            <w:r>
              <w:rPr>
                <w:color w:val="000000"/>
                <w:sz w:val="20"/>
                <w:szCs w:val="20"/>
              </w:rPr>
              <w:t>0.229</w:t>
            </w:r>
          </w:p>
        </w:tc>
        <w:tc>
          <w:tcPr>
            <w:tcW w:w="768" w:type="dxa"/>
            <w:tcBorders>
              <w:top w:val="nil"/>
              <w:left w:val="nil"/>
              <w:bottom w:val="nil"/>
              <w:right w:val="nil"/>
            </w:tcBorders>
            <w:shd w:val="clear" w:color="auto" w:fill="auto"/>
            <w:noWrap/>
            <w:vAlign w:val="bottom"/>
            <w:hideMark/>
          </w:tcPr>
          <w:p w14:paraId="521154CC"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DEEF830" w14:textId="77777777" w:rsidR="00A33B44" w:rsidRDefault="00A33B44"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53B440B9" w14:textId="77777777" w:rsidR="00A33B44" w:rsidRDefault="00A33B44" w:rsidP="005A3B4D">
            <w:pPr>
              <w:jc w:val="right"/>
              <w:rPr>
                <w:color w:val="000000"/>
                <w:sz w:val="20"/>
                <w:szCs w:val="20"/>
              </w:rPr>
            </w:pPr>
            <w:r>
              <w:rPr>
                <w:color w:val="000000"/>
                <w:sz w:val="20"/>
                <w:szCs w:val="20"/>
              </w:rPr>
              <w:t>0.500</w:t>
            </w:r>
          </w:p>
        </w:tc>
        <w:tc>
          <w:tcPr>
            <w:tcW w:w="768" w:type="dxa"/>
            <w:tcBorders>
              <w:top w:val="nil"/>
              <w:left w:val="nil"/>
              <w:bottom w:val="nil"/>
              <w:right w:val="nil"/>
            </w:tcBorders>
            <w:shd w:val="clear" w:color="auto" w:fill="auto"/>
            <w:noWrap/>
            <w:vAlign w:val="bottom"/>
            <w:hideMark/>
          </w:tcPr>
          <w:p w14:paraId="4523D9A4" w14:textId="77777777" w:rsidR="00A33B44" w:rsidRDefault="00A33B44" w:rsidP="005A3B4D">
            <w:pPr>
              <w:jc w:val="right"/>
              <w:rPr>
                <w:color w:val="000000"/>
                <w:sz w:val="20"/>
                <w:szCs w:val="20"/>
              </w:rPr>
            </w:pPr>
            <w:r>
              <w:rPr>
                <w:color w:val="000000"/>
                <w:sz w:val="20"/>
                <w:szCs w:val="20"/>
              </w:rPr>
              <w:t>0.002</w:t>
            </w:r>
          </w:p>
        </w:tc>
      </w:tr>
      <w:tr w:rsidR="00A33B44" w14:paraId="545E1FDF" w14:textId="77777777" w:rsidTr="005A3B4D">
        <w:trPr>
          <w:trHeight w:val="320"/>
        </w:trPr>
        <w:tc>
          <w:tcPr>
            <w:tcW w:w="1176" w:type="dxa"/>
            <w:tcBorders>
              <w:top w:val="nil"/>
              <w:left w:val="nil"/>
              <w:bottom w:val="nil"/>
              <w:right w:val="nil"/>
            </w:tcBorders>
            <w:shd w:val="clear" w:color="auto" w:fill="auto"/>
            <w:noWrap/>
            <w:vAlign w:val="bottom"/>
            <w:hideMark/>
          </w:tcPr>
          <w:p w14:paraId="2BED83AD"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E14CAD" w14:textId="77777777" w:rsidR="00A33B44" w:rsidRDefault="00A33B44"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B4777F7" w14:textId="77777777" w:rsidR="00A33B44" w:rsidRDefault="00A33B44"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FD226E2" w14:textId="77777777" w:rsidR="00A33B44" w:rsidRDefault="00A33B44" w:rsidP="005A3B4D">
            <w:pPr>
              <w:jc w:val="right"/>
              <w:rPr>
                <w:color w:val="000000"/>
                <w:sz w:val="20"/>
                <w:szCs w:val="20"/>
              </w:rPr>
            </w:pPr>
            <w:r>
              <w:rPr>
                <w:color w:val="000000"/>
                <w:sz w:val="20"/>
                <w:szCs w:val="20"/>
              </w:rPr>
              <w:t>0.689</w:t>
            </w:r>
          </w:p>
        </w:tc>
        <w:tc>
          <w:tcPr>
            <w:tcW w:w="768" w:type="dxa"/>
            <w:tcBorders>
              <w:top w:val="nil"/>
              <w:left w:val="nil"/>
              <w:bottom w:val="nil"/>
              <w:right w:val="nil"/>
            </w:tcBorders>
            <w:shd w:val="clear" w:color="auto" w:fill="auto"/>
            <w:noWrap/>
            <w:vAlign w:val="bottom"/>
            <w:hideMark/>
          </w:tcPr>
          <w:p w14:paraId="0C2A7203"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64A29F" w14:textId="77777777" w:rsidR="00A33B44" w:rsidRDefault="00A33B44"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6BF9D2E" w14:textId="77777777" w:rsidR="00A33B44" w:rsidRDefault="00A33B44" w:rsidP="005A3B4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0FFDCB60"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6FD74D" w14:textId="77777777" w:rsidR="00A33B44" w:rsidRDefault="00A33B44"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5BA36C01" w14:textId="77777777" w:rsidR="00A33B44" w:rsidRDefault="00A33B44" w:rsidP="005A3B4D">
            <w:pPr>
              <w:jc w:val="right"/>
              <w:rPr>
                <w:color w:val="000000"/>
                <w:sz w:val="20"/>
                <w:szCs w:val="20"/>
              </w:rPr>
            </w:pPr>
            <w:r>
              <w:rPr>
                <w:color w:val="000000"/>
                <w:sz w:val="20"/>
                <w:szCs w:val="20"/>
              </w:rPr>
              <w:t>0.358</w:t>
            </w:r>
          </w:p>
        </w:tc>
        <w:tc>
          <w:tcPr>
            <w:tcW w:w="768" w:type="dxa"/>
            <w:tcBorders>
              <w:top w:val="nil"/>
              <w:left w:val="nil"/>
              <w:bottom w:val="nil"/>
              <w:right w:val="nil"/>
            </w:tcBorders>
            <w:shd w:val="clear" w:color="auto" w:fill="auto"/>
            <w:noWrap/>
            <w:vAlign w:val="bottom"/>
            <w:hideMark/>
          </w:tcPr>
          <w:p w14:paraId="277343B2"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BF8DBA2" w14:textId="77777777" w:rsidR="00A33B44" w:rsidRDefault="00A33B44"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50E92C4" w14:textId="77777777" w:rsidR="00A33B44" w:rsidRDefault="00A33B44" w:rsidP="005A3B4D">
            <w:pPr>
              <w:jc w:val="right"/>
              <w:rPr>
                <w:color w:val="000000"/>
                <w:sz w:val="20"/>
                <w:szCs w:val="20"/>
              </w:rPr>
            </w:pPr>
            <w:r>
              <w:rPr>
                <w:color w:val="000000"/>
                <w:sz w:val="20"/>
                <w:szCs w:val="20"/>
              </w:rPr>
              <w:t>0.837</w:t>
            </w:r>
          </w:p>
        </w:tc>
        <w:tc>
          <w:tcPr>
            <w:tcW w:w="768" w:type="dxa"/>
            <w:tcBorders>
              <w:top w:val="nil"/>
              <w:left w:val="nil"/>
              <w:bottom w:val="nil"/>
              <w:right w:val="nil"/>
            </w:tcBorders>
            <w:shd w:val="clear" w:color="auto" w:fill="auto"/>
            <w:noWrap/>
            <w:vAlign w:val="bottom"/>
            <w:hideMark/>
          </w:tcPr>
          <w:p w14:paraId="7B215CE4"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F5820D" w14:textId="77777777" w:rsidR="00A33B44" w:rsidRDefault="00A33B44"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A8B03DD" w14:textId="77777777" w:rsidR="00A33B44" w:rsidRDefault="00A33B44" w:rsidP="005A3B4D">
            <w:pPr>
              <w:jc w:val="right"/>
              <w:rPr>
                <w:color w:val="000000"/>
                <w:sz w:val="20"/>
                <w:szCs w:val="20"/>
              </w:rPr>
            </w:pPr>
            <w:r>
              <w:rPr>
                <w:color w:val="000000"/>
                <w:sz w:val="20"/>
                <w:szCs w:val="20"/>
              </w:rPr>
              <w:t>0.841</w:t>
            </w:r>
          </w:p>
        </w:tc>
        <w:tc>
          <w:tcPr>
            <w:tcW w:w="768" w:type="dxa"/>
            <w:tcBorders>
              <w:top w:val="nil"/>
              <w:left w:val="nil"/>
              <w:bottom w:val="nil"/>
              <w:right w:val="nil"/>
            </w:tcBorders>
            <w:shd w:val="clear" w:color="auto" w:fill="auto"/>
            <w:noWrap/>
            <w:vAlign w:val="bottom"/>
            <w:hideMark/>
          </w:tcPr>
          <w:p w14:paraId="722018A3" w14:textId="77777777" w:rsidR="00A33B44" w:rsidRDefault="00A33B44" w:rsidP="005A3B4D">
            <w:pPr>
              <w:jc w:val="right"/>
              <w:rPr>
                <w:color w:val="000000"/>
                <w:sz w:val="20"/>
                <w:szCs w:val="20"/>
              </w:rPr>
            </w:pPr>
            <w:r>
              <w:rPr>
                <w:color w:val="000000"/>
                <w:sz w:val="20"/>
                <w:szCs w:val="20"/>
              </w:rPr>
              <w:t>0.000</w:t>
            </w:r>
          </w:p>
        </w:tc>
      </w:tr>
      <w:tr w:rsidR="00A33B44" w14:paraId="3655C557" w14:textId="77777777" w:rsidTr="005A3B4D">
        <w:trPr>
          <w:trHeight w:val="320"/>
        </w:trPr>
        <w:tc>
          <w:tcPr>
            <w:tcW w:w="1176" w:type="dxa"/>
            <w:tcBorders>
              <w:top w:val="nil"/>
              <w:left w:val="nil"/>
              <w:bottom w:val="nil"/>
              <w:right w:val="nil"/>
            </w:tcBorders>
            <w:shd w:val="clear" w:color="auto" w:fill="auto"/>
            <w:noWrap/>
            <w:vAlign w:val="bottom"/>
            <w:hideMark/>
          </w:tcPr>
          <w:p w14:paraId="39F99530"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6DD30D9" w14:textId="77777777" w:rsidR="00A33B44" w:rsidRDefault="00A33B44"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EA7C993" w14:textId="77777777" w:rsidR="00A33B44" w:rsidRDefault="00A33B44"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5ECF6F3" w14:textId="77777777" w:rsidR="00A33B44" w:rsidRDefault="00A33B44" w:rsidP="005A3B4D">
            <w:pPr>
              <w:jc w:val="right"/>
              <w:rPr>
                <w:color w:val="000000"/>
                <w:sz w:val="20"/>
                <w:szCs w:val="20"/>
              </w:rPr>
            </w:pPr>
            <w:r>
              <w:rPr>
                <w:color w:val="000000"/>
                <w:sz w:val="20"/>
                <w:szCs w:val="20"/>
              </w:rPr>
              <w:t>0.689</w:t>
            </w:r>
          </w:p>
        </w:tc>
        <w:tc>
          <w:tcPr>
            <w:tcW w:w="768" w:type="dxa"/>
            <w:tcBorders>
              <w:top w:val="nil"/>
              <w:left w:val="nil"/>
              <w:bottom w:val="nil"/>
              <w:right w:val="nil"/>
            </w:tcBorders>
            <w:shd w:val="clear" w:color="auto" w:fill="auto"/>
            <w:noWrap/>
            <w:vAlign w:val="bottom"/>
            <w:hideMark/>
          </w:tcPr>
          <w:p w14:paraId="4ECAAD5B"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69572C" w14:textId="77777777" w:rsidR="00A33B44" w:rsidRDefault="00A33B44"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74420806" w14:textId="77777777" w:rsidR="00A33B44" w:rsidRDefault="00A33B44" w:rsidP="005A3B4D">
            <w:pPr>
              <w:jc w:val="right"/>
              <w:rPr>
                <w:color w:val="000000"/>
                <w:sz w:val="20"/>
                <w:szCs w:val="20"/>
              </w:rPr>
            </w:pPr>
            <w:r>
              <w:rPr>
                <w:color w:val="000000"/>
                <w:sz w:val="20"/>
                <w:szCs w:val="20"/>
              </w:rPr>
              <w:t>0.589</w:t>
            </w:r>
          </w:p>
        </w:tc>
        <w:tc>
          <w:tcPr>
            <w:tcW w:w="768" w:type="dxa"/>
            <w:tcBorders>
              <w:top w:val="nil"/>
              <w:left w:val="nil"/>
              <w:bottom w:val="nil"/>
              <w:right w:val="nil"/>
            </w:tcBorders>
            <w:shd w:val="clear" w:color="auto" w:fill="auto"/>
            <w:noWrap/>
            <w:vAlign w:val="bottom"/>
            <w:hideMark/>
          </w:tcPr>
          <w:p w14:paraId="243AD49A"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FFAECB0" w14:textId="77777777" w:rsidR="00A33B44" w:rsidRDefault="00A33B44"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857067C" w14:textId="77777777" w:rsidR="00A33B44" w:rsidRDefault="00A33B44" w:rsidP="005A3B4D">
            <w:pPr>
              <w:jc w:val="right"/>
              <w:rPr>
                <w:color w:val="000000"/>
                <w:sz w:val="20"/>
                <w:szCs w:val="20"/>
              </w:rPr>
            </w:pPr>
            <w:r>
              <w:rPr>
                <w:color w:val="000000"/>
                <w:sz w:val="20"/>
                <w:szCs w:val="20"/>
              </w:rPr>
              <w:t>0.578</w:t>
            </w:r>
          </w:p>
        </w:tc>
        <w:tc>
          <w:tcPr>
            <w:tcW w:w="768" w:type="dxa"/>
            <w:tcBorders>
              <w:top w:val="nil"/>
              <w:left w:val="nil"/>
              <w:bottom w:val="nil"/>
              <w:right w:val="nil"/>
            </w:tcBorders>
            <w:shd w:val="clear" w:color="auto" w:fill="auto"/>
            <w:noWrap/>
            <w:vAlign w:val="bottom"/>
            <w:hideMark/>
          </w:tcPr>
          <w:p w14:paraId="1DA0A847"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7646E7B" w14:textId="77777777" w:rsidR="00A33B44" w:rsidRDefault="00A33B44" w:rsidP="005A3B4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22EF317D" w14:textId="77777777" w:rsidR="00A33B44" w:rsidRDefault="00A33B44" w:rsidP="005A3B4D">
            <w:pPr>
              <w:jc w:val="right"/>
              <w:rPr>
                <w:color w:val="000000"/>
                <w:sz w:val="20"/>
                <w:szCs w:val="20"/>
              </w:rPr>
            </w:pPr>
            <w:r>
              <w:rPr>
                <w:color w:val="000000"/>
                <w:sz w:val="20"/>
                <w:szCs w:val="20"/>
              </w:rPr>
              <w:t>0.229</w:t>
            </w:r>
          </w:p>
        </w:tc>
        <w:tc>
          <w:tcPr>
            <w:tcW w:w="768" w:type="dxa"/>
            <w:tcBorders>
              <w:top w:val="nil"/>
              <w:left w:val="nil"/>
              <w:bottom w:val="nil"/>
              <w:right w:val="nil"/>
            </w:tcBorders>
            <w:shd w:val="clear" w:color="auto" w:fill="auto"/>
            <w:noWrap/>
            <w:vAlign w:val="bottom"/>
            <w:hideMark/>
          </w:tcPr>
          <w:p w14:paraId="4D4A42DB" w14:textId="77777777" w:rsidR="00A33B44" w:rsidRDefault="00A33B44"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4F3991C" w14:textId="77777777" w:rsidR="00A33B44" w:rsidRDefault="00A33B44"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0045A0F1" w14:textId="77777777" w:rsidR="00A33B44" w:rsidRDefault="00A33B44" w:rsidP="005A3B4D">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0A3BE1E5" w14:textId="77777777" w:rsidR="00A33B44" w:rsidRDefault="00A33B44" w:rsidP="005A3B4D">
            <w:pPr>
              <w:jc w:val="right"/>
              <w:rPr>
                <w:color w:val="000000"/>
                <w:sz w:val="20"/>
                <w:szCs w:val="20"/>
              </w:rPr>
            </w:pPr>
            <w:r>
              <w:rPr>
                <w:color w:val="000000"/>
                <w:sz w:val="20"/>
                <w:szCs w:val="20"/>
              </w:rPr>
              <w:t>0.008</w:t>
            </w:r>
          </w:p>
        </w:tc>
      </w:tr>
      <w:tr w:rsidR="00A33B44" w14:paraId="2BEA2F92" w14:textId="77777777" w:rsidTr="005A3B4D">
        <w:trPr>
          <w:trHeight w:val="320"/>
        </w:trPr>
        <w:tc>
          <w:tcPr>
            <w:tcW w:w="1176" w:type="dxa"/>
            <w:tcBorders>
              <w:top w:val="nil"/>
              <w:left w:val="nil"/>
              <w:bottom w:val="nil"/>
              <w:right w:val="nil"/>
            </w:tcBorders>
            <w:shd w:val="clear" w:color="auto" w:fill="auto"/>
            <w:noWrap/>
            <w:vAlign w:val="bottom"/>
            <w:hideMark/>
          </w:tcPr>
          <w:p w14:paraId="138076D6"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25BAAF0" w14:textId="77777777" w:rsidR="00A33B44" w:rsidRDefault="00A33B44"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1B97FB2" w14:textId="77777777" w:rsidR="00A33B44" w:rsidRDefault="00A33B44"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464A694" w14:textId="77777777" w:rsidR="00A33B44" w:rsidRDefault="00A33B44" w:rsidP="005A3B4D">
            <w:pPr>
              <w:jc w:val="right"/>
              <w:rPr>
                <w:color w:val="000000"/>
                <w:sz w:val="20"/>
                <w:szCs w:val="20"/>
              </w:rPr>
            </w:pPr>
            <w:r>
              <w:rPr>
                <w:color w:val="000000"/>
                <w:sz w:val="20"/>
                <w:szCs w:val="20"/>
              </w:rPr>
              <w:t>0.689</w:t>
            </w:r>
          </w:p>
        </w:tc>
        <w:tc>
          <w:tcPr>
            <w:tcW w:w="768" w:type="dxa"/>
            <w:tcBorders>
              <w:top w:val="nil"/>
              <w:left w:val="nil"/>
              <w:bottom w:val="nil"/>
              <w:right w:val="nil"/>
            </w:tcBorders>
            <w:shd w:val="clear" w:color="auto" w:fill="auto"/>
            <w:noWrap/>
            <w:vAlign w:val="bottom"/>
            <w:hideMark/>
          </w:tcPr>
          <w:p w14:paraId="34577094"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986BE6D" w14:textId="77777777" w:rsidR="00A33B44" w:rsidRDefault="00A33B44" w:rsidP="005A3B4D">
            <w:pPr>
              <w:jc w:val="right"/>
              <w:rPr>
                <w:b/>
                <w:bCs/>
                <w:color w:val="000000"/>
                <w:sz w:val="20"/>
                <w:szCs w:val="20"/>
              </w:rPr>
            </w:pPr>
            <w:r>
              <w:rPr>
                <w:b/>
                <w:bCs/>
                <w:color w:val="000000"/>
                <w:sz w:val="20"/>
                <w:szCs w:val="20"/>
              </w:rPr>
              <w:t>-0.120</w:t>
            </w:r>
          </w:p>
        </w:tc>
        <w:tc>
          <w:tcPr>
            <w:tcW w:w="768" w:type="dxa"/>
            <w:tcBorders>
              <w:top w:val="nil"/>
              <w:left w:val="nil"/>
              <w:bottom w:val="nil"/>
              <w:right w:val="nil"/>
            </w:tcBorders>
            <w:shd w:val="clear" w:color="auto" w:fill="auto"/>
            <w:noWrap/>
            <w:vAlign w:val="bottom"/>
            <w:hideMark/>
          </w:tcPr>
          <w:p w14:paraId="61441B36" w14:textId="77777777" w:rsidR="00A33B44" w:rsidRDefault="00A33B44"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0CD4C8A0" w14:textId="77777777" w:rsidR="00A33B44" w:rsidRDefault="00A33B44" w:rsidP="005A3B4D">
            <w:pPr>
              <w:jc w:val="right"/>
              <w:rPr>
                <w:color w:val="000000"/>
                <w:sz w:val="20"/>
                <w:szCs w:val="20"/>
              </w:rPr>
            </w:pPr>
            <w:r>
              <w:rPr>
                <w:b/>
                <w:bCs/>
                <w:color w:val="000000"/>
                <w:sz w:val="20"/>
                <w:szCs w:val="20"/>
              </w:rPr>
              <w:t>0.014</w:t>
            </w:r>
          </w:p>
        </w:tc>
        <w:tc>
          <w:tcPr>
            <w:tcW w:w="768" w:type="dxa"/>
            <w:tcBorders>
              <w:top w:val="nil"/>
              <w:left w:val="nil"/>
              <w:bottom w:val="nil"/>
              <w:right w:val="nil"/>
            </w:tcBorders>
            <w:shd w:val="clear" w:color="auto" w:fill="auto"/>
            <w:noWrap/>
            <w:vAlign w:val="bottom"/>
            <w:hideMark/>
          </w:tcPr>
          <w:p w14:paraId="5A216C14" w14:textId="77777777" w:rsidR="00A33B44" w:rsidRDefault="00A33B44" w:rsidP="005A3B4D">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4F3C1FD2" w14:textId="77777777" w:rsidR="00A33B44" w:rsidRDefault="00A33B44" w:rsidP="005A3B4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509D8BFC" w14:textId="77777777" w:rsidR="00A33B44" w:rsidRDefault="00A33B44"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7103470" w14:textId="77777777" w:rsidR="00A33B44" w:rsidRDefault="00A33B44"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3B88A1F" w14:textId="77777777" w:rsidR="00A33B44" w:rsidRDefault="00A33B44" w:rsidP="005A3B4D">
            <w:pPr>
              <w:jc w:val="right"/>
              <w:rPr>
                <w:color w:val="000000"/>
                <w:sz w:val="20"/>
                <w:szCs w:val="20"/>
              </w:rPr>
            </w:pPr>
            <w:r>
              <w:rPr>
                <w:color w:val="000000"/>
                <w:sz w:val="20"/>
                <w:szCs w:val="20"/>
              </w:rPr>
              <w:t>0.611</w:t>
            </w:r>
          </w:p>
        </w:tc>
        <w:tc>
          <w:tcPr>
            <w:tcW w:w="768" w:type="dxa"/>
            <w:tcBorders>
              <w:top w:val="nil"/>
              <w:left w:val="nil"/>
              <w:bottom w:val="nil"/>
              <w:right w:val="nil"/>
            </w:tcBorders>
            <w:shd w:val="clear" w:color="auto" w:fill="auto"/>
            <w:noWrap/>
            <w:vAlign w:val="bottom"/>
            <w:hideMark/>
          </w:tcPr>
          <w:p w14:paraId="6997B481"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BF4B29E" w14:textId="77777777" w:rsidR="00A33B44" w:rsidRDefault="00A33B44" w:rsidP="005A3B4D">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75755DF7" w14:textId="77777777" w:rsidR="00A33B44" w:rsidRDefault="00A33B44" w:rsidP="005A3B4D">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32A2D5A0" w14:textId="77777777" w:rsidR="00A33B44" w:rsidRDefault="00A33B44" w:rsidP="005A3B4D">
            <w:pPr>
              <w:jc w:val="right"/>
              <w:rPr>
                <w:color w:val="000000"/>
                <w:sz w:val="20"/>
                <w:szCs w:val="20"/>
              </w:rPr>
            </w:pPr>
            <w:r>
              <w:rPr>
                <w:color w:val="000000"/>
                <w:sz w:val="20"/>
                <w:szCs w:val="20"/>
              </w:rPr>
              <w:t>0.006</w:t>
            </w:r>
          </w:p>
        </w:tc>
      </w:tr>
      <w:tr w:rsidR="00A33B44" w14:paraId="21C3F79C" w14:textId="77777777" w:rsidTr="005A3B4D">
        <w:trPr>
          <w:trHeight w:val="320"/>
        </w:trPr>
        <w:tc>
          <w:tcPr>
            <w:tcW w:w="1176" w:type="dxa"/>
            <w:tcBorders>
              <w:top w:val="nil"/>
              <w:left w:val="nil"/>
              <w:bottom w:val="nil"/>
              <w:right w:val="nil"/>
            </w:tcBorders>
            <w:shd w:val="clear" w:color="auto" w:fill="auto"/>
            <w:noWrap/>
            <w:vAlign w:val="bottom"/>
            <w:hideMark/>
          </w:tcPr>
          <w:p w14:paraId="522FC2B7"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D4DB5AF" w14:textId="77777777" w:rsidR="00A33B44" w:rsidRDefault="00A33B44"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93FADD2" w14:textId="77777777" w:rsidR="00A33B44" w:rsidRDefault="00A33B44"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AFC5AC9" w14:textId="77777777" w:rsidR="00A33B44" w:rsidRDefault="00A33B44" w:rsidP="005A3B4D">
            <w:pPr>
              <w:jc w:val="right"/>
              <w:rPr>
                <w:color w:val="000000"/>
                <w:sz w:val="20"/>
                <w:szCs w:val="20"/>
              </w:rPr>
            </w:pPr>
            <w:r>
              <w:rPr>
                <w:color w:val="000000"/>
                <w:sz w:val="20"/>
                <w:szCs w:val="20"/>
              </w:rPr>
              <w:t>0.827</w:t>
            </w:r>
          </w:p>
        </w:tc>
        <w:tc>
          <w:tcPr>
            <w:tcW w:w="768" w:type="dxa"/>
            <w:tcBorders>
              <w:top w:val="nil"/>
              <w:left w:val="nil"/>
              <w:bottom w:val="nil"/>
              <w:right w:val="nil"/>
            </w:tcBorders>
            <w:shd w:val="clear" w:color="auto" w:fill="auto"/>
            <w:noWrap/>
            <w:vAlign w:val="bottom"/>
            <w:hideMark/>
          </w:tcPr>
          <w:p w14:paraId="5E33907B"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3AB91D"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DC8619" w14:textId="77777777" w:rsidR="00A33B44" w:rsidRDefault="00A33B44" w:rsidP="005A3B4D">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25112A9A"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9C0E4B"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3DD1D80" w14:textId="77777777" w:rsidR="00A33B44" w:rsidRDefault="00A33B44" w:rsidP="005A3B4D">
            <w:pPr>
              <w:jc w:val="right"/>
              <w:rPr>
                <w:color w:val="000000"/>
                <w:sz w:val="20"/>
                <w:szCs w:val="20"/>
              </w:rPr>
            </w:pPr>
            <w:r>
              <w:rPr>
                <w:color w:val="000000"/>
                <w:sz w:val="20"/>
                <w:szCs w:val="20"/>
              </w:rPr>
              <w:t>0.837</w:t>
            </w:r>
          </w:p>
        </w:tc>
        <w:tc>
          <w:tcPr>
            <w:tcW w:w="768" w:type="dxa"/>
            <w:tcBorders>
              <w:top w:val="nil"/>
              <w:left w:val="nil"/>
              <w:bottom w:val="nil"/>
              <w:right w:val="nil"/>
            </w:tcBorders>
            <w:shd w:val="clear" w:color="auto" w:fill="auto"/>
            <w:noWrap/>
            <w:vAlign w:val="bottom"/>
            <w:hideMark/>
          </w:tcPr>
          <w:p w14:paraId="34C19191"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FA27E5"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D922DB" w14:textId="77777777" w:rsidR="00A33B44" w:rsidRDefault="00A33B44" w:rsidP="005A3B4D">
            <w:pPr>
              <w:jc w:val="right"/>
              <w:rPr>
                <w:color w:val="000000"/>
                <w:sz w:val="20"/>
                <w:szCs w:val="20"/>
              </w:rPr>
            </w:pPr>
            <w:r>
              <w:rPr>
                <w:color w:val="000000"/>
                <w:sz w:val="20"/>
                <w:szCs w:val="20"/>
              </w:rPr>
              <w:t>0.983</w:t>
            </w:r>
          </w:p>
        </w:tc>
        <w:tc>
          <w:tcPr>
            <w:tcW w:w="768" w:type="dxa"/>
            <w:tcBorders>
              <w:top w:val="nil"/>
              <w:left w:val="nil"/>
              <w:bottom w:val="nil"/>
              <w:right w:val="nil"/>
            </w:tcBorders>
            <w:shd w:val="clear" w:color="auto" w:fill="auto"/>
            <w:noWrap/>
            <w:vAlign w:val="bottom"/>
            <w:hideMark/>
          </w:tcPr>
          <w:p w14:paraId="001AFAEA"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188956" w14:textId="77777777" w:rsidR="00A33B44" w:rsidRDefault="00A33B44"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6596B6B" w14:textId="77777777" w:rsidR="00A33B44" w:rsidRDefault="00A33B44" w:rsidP="005A3B4D">
            <w:pPr>
              <w:jc w:val="right"/>
              <w:rPr>
                <w:color w:val="000000"/>
                <w:sz w:val="20"/>
                <w:szCs w:val="20"/>
              </w:rPr>
            </w:pPr>
            <w:r>
              <w:rPr>
                <w:color w:val="000000"/>
                <w:sz w:val="20"/>
                <w:szCs w:val="20"/>
              </w:rPr>
              <w:t>0.841</w:t>
            </w:r>
          </w:p>
        </w:tc>
        <w:tc>
          <w:tcPr>
            <w:tcW w:w="768" w:type="dxa"/>
            <w:tcBorders>
              <w:top w:val="nil"/>
              <w:left w:val="nil"/>
              <w:bottom w:val="nil"/>
              <w:right w:val="nil"/>
            </w:tcBorders>
            <w:shd w:val="clear" w:color="auto" w:fill="auto"/>
            <w:noWrap/>
            <w:vAlign w:val="bottom"/>
            <w:hideMark/>
          </w:tcPr>
          <w:p w14:paraId="7F7AB6CE" w14:textId="77777777" w:rsidR="00A33B44" w:rsidRDefault="00A33B44" w:rsidP="005A3B4D">
            <w:pPr>
              <w:jc w:val="right"/>
              <w:rPr>
                <w:color w:val="000000"/>
                <w:sz w:val="20"/>
                <w:szCs w:val="20"/>
              </w:rPr>
            </w:pPr>
            <w:r>
              <w:rPr>
                <w:color w:val="000000"/>
                <w:sz w:val="20"/>
                <w:szCs w:val="20"/>
              </w:rPr>
              <w:t>0.000</w:t>
            </w:r>
          </w:p>
        </w:tc>
      </w:tr>
      <w:tr w:rsidR="00A33B44" w14:paraId="4DB021D3" w14:textId="77777777" w:rsidTr="005A3B4D">
        <w:trPr>
          <w:trHeight w:val="320"/>
        </w:trPr>
        <w:tc>
          <w:tcPr>
            <w:tcW w:w="1176" w:type="dxa"/>
            <w:tcBorders>
              <w:top w:val="nil"/>
              <w:left w:val="nil"/>
              <w:bottom w:val="nil"/>
              <w:right w:val="nil"/>
            </w:tcBorders>
            <w:shd w:val="clear" w:color="auto" w:fill="auto"/>
            <w:noWrap/>
            <w:vAlign w:val="bottom"/>
            <w:hideMark/>
          </w:tcPr>
          <w:p w14:paraId="75FED3CA"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C0FEE75" w14:textId="77777777" w:rsidR="00A33B44" w:rsidRDefault="00A33B44"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A3BE4EF" w14:textId="77777777" w:rsidR="00A33B44" w:rsidRDefault="00A33B44"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6CA63EB" w14:textId="77777777" w:rsidR="00A33B44" w:rsidRDefault="00A33B44" w:rsidP="005A3B4D">
            <w:pPr>
              <w:jc w:val="right"/>
              <w:rPr>
                <w:color w:val="000000"/>
                <w:sz w:val="20"/>
                <w:szCs w:val="20"/>
              </w:rPr>
            </w:pPr>
            <w:r>
              <w:rPr>
                <w:color w:val="000000"/>
                <w:sz w:val="20"/>
                <w:szCs w:val="20"/>
              </w:rPr>
              <w:t>0.689</w:t>
            </w:r>
          </w:p>
        </w:tc>
        <w:tc>
          <w:tcPr>
            <w:tcW w:w="768" w:type="dxa"/>
            <w:tcBorders>
              <w:top w:val="nil"/>
              <w:left w:val="nil"/>
              <w:bottom w:val="nil"/>
              <w:right w:val="nil"/>
            </w:tcBorders>
            <w:shd w:val="clear" w:color="auto" w:fill="auto"/>
            <w:noWrap/>
            <w:vAlign w:val="bottom"/>
            <w:hideMark/>
          </w:tcPr>
          <w:p w14:paraId="1D67DF9A"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F9D762" w14:textId="77777777" w:rsidR="00A33B44" w:rsidRDefault="00A33B44"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FC8AC88" w14:textId="77777777" w:rsidR="00A33B44" w:rsidRDefault="00A33B44" w:rsidP="005A3B4D">
            <w:pPr>
              <w:jc w:val="right"/>
              <w:rPr>
                <w:color w:val="000000"/>
                <w:sz w:val="20"/>
                <w:szCs w:val="20"/>
              </w:rPr>
            </w:pPr>
            <w:r>
              <w:rPr>
                <w:color w:val="000000"/>
                <w:sz w:val="20"/>
                <w:szCs w:val="20"/>
              </w:rPr>
              <w:t>0.937</w:t>
            </w:r>
          </w:p>
        </w:tc>
        <w:tc>
          <w:tcPr>
            <w:tcW w:w="768" w:type="dxa"/>
            <w:tcBorders>
              <w:top w:val="nil"/>
              <w:left w:val="nil"/>
              <w:bottom w:val="nil"/>
              <w:right w:val="nil"/>
            </w:tcBorders>
            <w:shd w:val="clear" w:color="auto" w:fill="auto"/>
            <w:noWrap/>
            <w:vAlign w:val="bottom"/>
            <w:hideMark/>
          </w:tcPr>
          <w:p w14:paraId="008FC6C2"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C8C2F1" w14:textId="77777777" w:rsidR="00A33B44" w:rsidRDefault="00A33B44" w:rsidP="005A3B4D">
            <w:pPr>
              <w:jc w:val="right"/>
              <w:rPr>
                <w:b/>
                <w:bCs/>
                <w:color w:val="000000"/>
                <w:sz w:val="20"/>
                <w:szCs w:val="20"/>
              </w:rPr>
            </w:pPr>
            <w:r>
              <w:rPr>
                <w:b/>
                <w:bCs/>
                <w:color w:val="000000"/>
                <w:sz w:val="20"/>
                <w:szCs w:val="20"/>
              </w:rPr>
              <w:t>-0.088</w:t>
            </w:r>
          </w:p>
        </w:tc>
        <w:tc>
          <w:tcPr>
            <w:tcW w:w="768" w:type="dxa"/>
            <w:tcBorders>
              <w:top w:val="nil"/>
              <w:left w:val="nil"/>
              <w:bottom w:val="nil"/>
              <w:right w:val="nil"/>
            </w:tcBorders>
            <w:shd w:val="clear" w:color="auto" w:fill="auto"/>
            <w:noWrap/>
            <w:vAlign w:val="bottom"/>
            <w:hideMark/>
          </w:tcPr>
          <w:p w14:paraId="7EEB4F72" w14:textId="77777777" w:rsidR="00A33B44" w:rsidRDefault="00A33B44" w:rsidP="005A3B4D">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2453C117" w14:textId="77777777" w:rsidR="00A33B44" w:rsidRDefault="00A33B44" w:rsidP="005A3B4D">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C23442E" w14:textId="77777777" w:rsidR="00A33B44" w:rsidRDefault="00A33B44"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FFB74B9" w14:textId="77777777" w:rsidR="00A33B44" w:rsidRDefault="00A33B44" w:rsidP="005A3B4D">
            <w:pPr>
              <w:jc w:val="right"/>
              <w:rPr>
                <w:color w:val="000000"/>
                <w:sz w:val="20"/>
                <w:szCs w:val="20"/>
              </w:rPr>
            </w:pPr>
            <w:r>
              <w:rPr>
                <w:color w:val="000000"/>
                <w:sz w:val="20"/>
                <w:szCs w:val="20"/>
              </w:rPr>
              <w:t>0.611</w:t>
            </w:r>
          </w:p>
        </w:tc>
        <w:tc>
          <w:tcPr>
            <w:tcW w:w="768" w:type="dxa"/>
            <w:tcBorders>
              <w:top w:val="nil"/>
              <w:left w:val="nil"/>
              <w:bottom w:val="nil"/>
              <w:right w:val="nil"/>
            </w:tcBorders>
            <w:shd w:val="clear" w:color="auto" w:fill="auto"/>
            <w:noWrap/>
            <w:vAlign w:val="bottom"/>
            <w:hideMark/>
          </w:tcPr>
          <w:p w14:paraId="5CB9B925"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009569" w14:textId="77777777" w:rsidR="00A33B44" w:rsidRDefault="00A33B44" w:rsidP="005A3B4D">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1D70B63D" w14:textId="77777777" w:rsidR="00A33B44" w:rsidRDefault="00A33B44" w:rsidP="005A3B4D">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080BF484" w14:textId="77777777" w:rsidR="00A33B44" w:rsidRDefault="00A33B44" w:rsidP="005A3B4D">
            <w:pPr>
              <w:jc w:val="right"/>
              <w:rPr>
                <w:color w:val="000000"/>
                <w:sz w:val="20"/>
                <w:szCs w:val="20"/>
              </w:rPr>
            </w:pPr>
            <w:r>
              <w:rPr>
                <w:color w:val="000000"/>
                <w:sz w:val="20"/>
                <w:szCs w:val="20"/>
              </w:rPr>
              <w:t>0.008</w:t>
            </w:r>
          </w:p>
        </w:tc>
      </w:tr>
      <w:tr w:rsidR="00A33B44" w14:paraId="66E0D3C2" w14:textId="77777777" w:rsidTr="005A3B4D">
        <w:trPr>
          <w:trHeight w:val="320"/>
        </w:trPr>
        <w:tc>
          <w:tcPr>
            <w:tcW w:w="1176" w:type="dxa"/>
            <w:tcBorders>
              <w:top w:val="nil"/>
              <w:left w:val="nil"/>
              <w:bottom w:val="nil"/>
              <w:right w:val="nil"/>
            </w:tcBorders>
            <w:shd w:val="clear" w:color="auto" w:fill="auto"/>
            <w:noWrap/>
            <w:vAlign w:val="bottom"/>
            <w:hideMark/>
          </w:tcPr>
          <w:p w14:paraId="790E8C7E" w14:textId="77777777" w:rsidR="00A33B44" w:rsidRDefault="00A33B44"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30ACBE" w14:textId="77777777" w:rsidR="00A33B44" w:rsidRDefault="00A33B44"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C5FCF4F" w14:textId="77777777" w:rsidR="00A33B44" w:rsidRDefault="00A33B44" w:rsidP="005A3B4D">
            <w:pPr>
              <w:jc w:val="right"/>
              <w:rPr>
                <w:b/>
                <w:bCs/>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32A1052F" w14:textId="77777777" w:rsidR="00A33B44" w:rsidRDefault="00A33B44" w:rsidP="005A3B4D">
            <w:pPr>
              <w:jc w:val="right"/>
              <w:rPr>
                <w:b/>
                <w:bCs/>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66509CBC" w14:textId="77777777" w:rsidR="00A33B44" w:rsidRDefault="00A33B44"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D99CF22" w14:textId="77777777" w:rsidR="00A33B44" w:rsidRDefault="00A33B44"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50AC2856" w14:textId="77777777" w:rsidR="00A33B44" w:rsidRDefault="00A33B44" w:rsidP="005A3B4D">
            <w:pPr>
              <w:jc w:val="right"/>
              <w:rPr>
                <w:color w:val="000000"/>
                <w:sz w:val="20"/>
                <w:szCs w:val="20"/>
              </w:rPr>
            </w:pPr>
            <w:r>
              <w:rPr>
                <w:color w:val="000000"/>
                <w:sz w:val="20"/>
                <w:szCs w:val="20"/>
              </w:rPr>
              <w:t>0.336</w:t>
            </w:r>
          </w:p>
        </w:tc>
        <w:tc>
          <w:tcPr>
            <w:tcW w:w="768" w:type="dxa"/>
            <w:tcBorders>
              <w:top w:val="nil"/>
              <w:left w:val="nil"/>
              <w:bottom w:val="nil"/>
              <w:right w:val="nil"/>
            </w:tcBorders>
            <w:shd w:val="clear" w:color="auto" w:fill="auto"/>
            <w:noWrap/>
            <w:vAlign w:val="bottom"/>
            <w:hideMark/>
          </w:tcPr>
          <w:p w14:paraId="7794550A"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08F4CC2" w14:textId="77777777" w:rsidR="00A33B44" w:rsidRDefault="00A33B44"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4806625" w14:textId="77777777" w:rsidR="00A33B44" w:rsidRDefault="00A33B44" w:rsidP="005A3B4D">
            <w:pPr>
              <w:jc w:val="right"/>
              <w:rPr>
                <w:color w:val="000000"/>
                <w:sz w:val="20"/>
                <w:szCs w:val="20"/>
              </w:rPr>
            </w:pPr>
            <w:r>
              <w:rPr>
                <w:color w:val="000000"/>
                <w:sz w:val="20"/>
                <w:szCs w:val="20"/>
              </w:rPr>
              <w:t>0.582</w:t>
            </w:r>
          </w:p>
        </w:tc>
        <w:tc>
          <w:tcPr>
            <w:tcW w:w="768" w:type="dxa"/>
            <w:tcBorders>
              <w:top w:val="nil"/>
              <w:left w:val="nil"/>
              <w:bottom w:val="nil"/>
              <w:right w:val="nil"/>
            </w:tcBorders>
            <w:shd w:val="clear" w:color="auto" w:fill="auto"/>
            <w:noWrap/>
            <w:vAlign w:val="bottom"/>
            <w:hideMark/>
          </w:tcPr>
          <w:p w14:paraId="2CDB9812"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65C353" w14:textId="77777777" w:rsidR="00A33B44" w:rsidRDefault="00A33B44"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7E0350B8" w14:textId="77777777" w:rsidR="00A33B44" w:rsidRDefault="00A33B44" w:rsidP="005A3B4D">
            <w:pPr>
              <w:jc w:val="right"/>
              <w:rPr>
                <w:color w:val="000000"/>
                <w:sz w:val="20"/>
                <w:szCs w:val="20"/>
              </w:rPr>
            </w:pPr>
            <w:r>
              <w:rPr>
                <w:color w:val="000000"/>
                <w:sz w:val="20"/>
                <w:szCs w:val="20"/>
              </w:rPr>
              <w:t>0.229</w:t>
            </w:r>
          </w:p>
        </w:tc>
        <w:tc>
          <w:tcPr>
            <w:tcW w:w="768" w:type="dxa"/>
            <w:tcBorders>
              <w:top w:val="nil"/>
              <w:left w:val="nil"/>
              <w:bottom w:val="nil"/>
              <w:right w:val="nil"/>
            </w:tcBorders>
            <w:shd w:val="clear" w:color="auto" w:fill="auto"/>
            <w:noWrap/>
            <w:vAlign w:val="bottom"/>
            <w:hideMark/>
          </w:tcPr>
          <w:p w14:paraId="603C8F90" w14:textId="77777777" w:rsidR="00A33B44" w:rsidRDefault="00A33B44"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E5C76BC" w14:textId="77777777" w:rsidR="00A33B44" w:rsidRDefault="00A33B44"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C43C199" w14:textId="77777777" w:rsidR="00A33B44" w:rsidRDefault="00A33B44" w:rsidP="005A3B4D">
            <w:pPr>
              <w:jc w:val="right"/>
              <w:rPr>
                <w:color w:val="000000"/>
                <w:sz w:val="20"/>
                <w:szCs w:val="20"/>
              </w:rPr>
            </w:pPr>
            <w:r>
              <w:rPr>
                <w:color w:val="000000"/>
                <w:sz w:val="20"/>
                <w:szCs w:val="20"/>
              </w:rPr>
              <w:t>0.841</w:t>
            </w:r>
          </w:p>
        </w:tc>
        <w:tc>
          <w:tcPr>
            <w:tcW w:w="768" w:type="dxa"/>
            <w:tcBorders>
              <w:top w:val="nil"/>
              <w:left w:val="nil"/>
              <w:bottom w:val="nil"/>
              <w:right w:val="nil"/>
            </w:tcBorders>
            <w:shd w:val="clear" w:color="auto" w:fill="auto"/>
            <w:noWrap/>
            <w:vAlign w:val="bottom"/>
            <w:hideMark/>
          </w:tcPr>
          <w:p w14:paraId="1E66C002" w14:textId="77777777" w:rsidR="00A33B44" w:rsidRDefault="00A33B44" w:rsidP="005A3B4D">
            <w:pPr>
              <w:jc w:val="right"/>
              <w:rPr>
                <w:color w:val="000000"/>
                <w:sz w:val="20"/>
                <w:szCs w:val="20"/>
              </w:rPr>
            </w:pPr>
            <w:r>
              <w:rPr>
                <w:color w:val="000000"/>
                <w:sz w:val="20"/>
                <w:szCs w:val="20"/>
              </w:rPr>
              <w:t>0.000</w:t>
            </w:r>
          </w:p>
        </w:tc>
      </w:tr>
      <w:tr w:rsidR="00A33B44" w14:paraId="65DE8B87"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5A289ACF" w14:textId="77777777" w:rsidR="00A33B44" w:rsidRDefault="00A33B44"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62C7CF2A" w14:textId="77777777" w:rsidR="00A33B44" w:rsidRDefault="00A33B44"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2663618A" w14:textId="77777777" w:rsidR="00A33B44" w:rsidRDefault="00A33B44" w:rsidP="005A3B4D">
            <w:pPr>
              <w:jc w:val="right"/>
              <w:rPr>
                <w:color w:val="000000"/>
                <w:sz w:val="20"/>
                <w:szCs w:val="20"/>
              </w:rPr>
            </w:pPr>
            <w:r>
              <w:rPr>
                <w:color w:val="000000"/>
                <w:sz w:val="20"/>
                <w:szCs w:val="20"/>
              </w:rPr>
              <w:t>0.027</w:t>
            </w:r>
          </w:p>
        </w:tc>
        <w:tc>
          <w:tcPr>
            <w:tcW w:w="768" w:type="dxa"/>
            <w:tcBorders>
              <w:top w:val="nil"/>
              <w:left w:val="nil"/>
              <w:bottom w:val="single" w:sz="12" w:space="0" w:color="auto"/>
              <w:right w:val="nil"/>
            </w:tcBorders>
            <w:shd w:val="clear" w:color="auto" w:fill="auto"/>
            <w:noWrap/>
            <w:vAlign w:val="bottom"/>
            <w:hideMark/>
          </w:tcPr>
          <w:p w14:paraId="4DA1B875" w14:textId="77777777" w:rsidR="00A33B44" w:rsidRDefault="00A33B44" w:rsidP="005A3B4D">
            <w:pPr>
              <w:jc w:val="right"/>
              <w:rPr>
                <w:color w:val="000000"/>
                <w:sz w:val="20"/>
                <w:szCs w:val="20"/>
              </w:rPr>
            </w:pPr>
            <w:r>
              <w:rPr>
                <w:color w:val="000000"/>
                <w:sz w:val="20"/>
                <w:szCs w:val="20"/>
              </w:rPr>
              <w:t>0.689</w:t>
            </w:r>
          </w:p>
        </w:tc>
        <w:tc>
          <w:tcPr>
            <w:tcW w:w="768" w:type="dxa"/>
            <w:tcBorders>
              <w:top w:val="nil"/>
              <w:left w:val="nil"/>
              <w:bottom w:val="single" w:sz="12" w:space="0" w:color="auto"/>
              <w:right w:val="nil"/>
            </w:tcBorders>
            <w:shd w:val="clear" w:color="auto" w:fill="auto"/>
            <w:noWrap/>
            <w:vAlign w:val="bottom"/>
            <w:hideMark/>
          </w:tcPr>
          <w:p w14:paraId="502E4BBA" w14:textId="77777777" w:rsidR="00A33B44" w:rsidRDefault="00A33B44"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B1BF5A4" w14:textId="77777777" w:rsidR="00A33B44" w:rsidRDefault="00A33B44" w:rsidP="005A3B4D">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1AAB4A9B" w14:textId="77777777" w:rsidR="00A33B44" w:rsidRDefault="00A33B44" w:rsidP="005A3B4D">
            <w:pPr>
              <w:jc w:val="right"/>
              <w:rPr>
                <w:color w:val="000000"/>
                <w:sz w:val="20"/>
                <w:szCs w:val="20"/>
              </w:rPr>
            </w:pPr>
            <w:r>
              <w:rPr>
                <w:color w:val="000000"/>
                <w:sz w:val="20"/>
                <w:szCs w:val="20"/>
              </w:rPr>
              <w:t>0.937</w:t>
            </w:r>
          </w:p>
        </w:tc>
        <w:tc>
          <w:tcPr>
            <w:tcW w:w="768" w:type="dxa"/>
            <w:tcBorders>
              <w:top w:val="nil"/>
              <w:left w:val="nil"/>
              <w:bottom w:val="single" w:sz="12" w:space="0" w:color="auto"/>
              <w:right w:val="nil"/>
            </w:tcBorders>
            <w:shd w:val="clear" w:color="auto" w:fill="auto"/>
            <w:noWrap/>
            <w:vAlign w:val="bottom"/>
            <w:hideMark/>
          </w:tcPr>
          <w:p w14:paraId="3859CE5D"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684E8625" w14:textId="77777777" w:rsidR="00A33B44" w:rsidRDefault="00A33B44" w:rsidP="005A3B4D">
            <w:pPr>
              <w:jc w:val="right"/>
              <w:rPr>
                <w:color w:val="000000"/>
                <w:sz w:val="20"/>
                <w:szCs w:val="20"/>
              </w:rPr>
            </w:pPr>
            <w:r>
              <w:rPr>
                <w:color w:val="000000"/>
                <w:sz w:val="20"/>
                <w:szCs w:val="20"/>
              </w:rPr>
              <w:t>-0.046</w:t>
            </w:r>
          </w:p>
        </w:tc>
        <w:tc>
          <w:tcPr>
            <w:tcW w:w="768" w:type="dxa"/>
            <w:tcBorders>
              <w:top w:val="nil"/>
              <w:left w:val="nil"/>
              <w:bottom w:val="single" w:sz="12" w:space="0" w:color="auto"/>
              <w:right w:val="nil"/>
            </w:tcBorders>
            <w:shd w:val="clear" w:color="auto" w:fill="auto"/>
            <w:noWrap/>
            <w:vAlign w:val="bottom"/>
            <w:hideMark/>
          </w:tcPr>
          <w:p w14:paraId="277D3AC5" w14:textId="77777777" w:rsidR="00A33B44" w:rsidRDefault="00A33B44" w:rsidP="005A3B4D">
            <w:pPr>
              <w:jc w:val="right"/>
              <w:rPr>
                <w:color w:val="000000"/>
                <w:sz w:val="20"/>
                <w:szCs w:val="20"/>
              </w:rPr>
            </w:pPr>
            <w:r>
              <w:rPr>
                <w:color w:val="000000"/>
                <w:sz w:val="20"/>
                <w:szCs w:val="20"/>
              </w:rPr>
              <w:t>0.277</w:t>
            </w:r>
          </w:p>
        </w:tc>
        <w:tc>
          <w:tcPr>
            <w:tcW w:w="768" w:type="dxa"/>
            <w:tcBorders>
              <w:top w:val="nil"/>
              <w:left w:val="nil"/>
              <w:bottom w:val="single" w:sz="12" w:space="0" w:color="auto"/>
              <w:right w:val="nil"/>
            </w:tcBorders>
            <w:shd w:val="clear" w:color="auto" w:fill="auto"/>
            <w:noWrap/>
            <w:vAlign w:val="bottom"/>
            <w:hideMark/>
          </w:tcPr>
          <w:p w14:paraId="0A445EAD" w14:textId="77777777" w:rsidR="00A33B44" w:rsidRDefault="00A33B44"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7BF0D4C8" w14:textId="77777777" w:rsidR="00A33B44" w:rsidRDefault="00A33B44" w:rsidP="005A3B4D">
            <w:pPr>
              <w:jc w:val="right"/>
              <w:rPr>
                <w:color w:val="000000"/>
                <w:sz w:val="20"/>
                <w:szCs w:val="20"/>
              </w:rPr>
            </w:pPr>
            <w:r>
              <w:rPr>
                <w:color w:val="000000"/>
                <w:sz w:val="20"/>
                <w:szCs w:val="20"/>
              </w:rPr>
              <w:t>0.012</w:t>
            </w:r>
          </w:p>
        </w:tc>
        <w:tc>
          <w:tcPr>
            <w:tcW w:w="768" w:type="dxa"/>
            <w:tcBorders>
              <w:top w:val="nil"/>
              <w:left w:val="nil"/>
              <w:bottom w:val="single" w:sz="12" w:space="0" w:color="auto"/>
              <w:right w:val="nil"/>
            </w:tcBorders>
            <w:shd w:val="clear" w:color="auto" w:fill="auto"/>
            <w:noWrap/>
            <w:vAlign w:val="bottom"/>
            <w:hideMark/>
          </w:tcPr>
          <w:p w14:paraId="611FF6DD" w14:textId="77777777" w:rsidR="00A33B44" w:rsidRDefault="00A33B44" w:rsidP="005A3B4D">
            <w:pPr>
              <w:jc w:val="right"/>
              <w:rPr>
                <w:color w:val="000000"/>
                <w:sz w:val="20"/>
                <w:szCs w:val="20"/>
              </w:rPr>
            </w:pPr>
            <w:r>
              <w:rPr>
                <w:color w:val="000000"/>
                <w:sz w:val="20"/>
                <w:szCs w:val="20"/>
              </w:rPr>
              <w:t>0.837</w:t>
            </w:r>
          </w:p>
        </w:tc>
        <w:tc>
          <w:tcPr>
            <w:tcW w:w="768" w:type="dxa"/>
            <w:tcBorders>
              <w:top w:val="nil"/>
              <w:left w:val="nil"/>
              <w:bottom w:val="single" w:sz="12" w:space="0" w:color="auto"/>
              <w:right w:val="nil"/>
            </w:tcBorders>
            <w:shd w:val="clear" w:color="auto" w:fill="auto"/>
            <w:noWrap/>
            <w:vAlign w:val="bottom"/>
            <w:hideMark/>
          </w:tcPr>
          <w:p w14:paraId="224E6004" w14:textId="77777777" w:rsidR="00A33B44" w:rsidRDefault="00A33B44"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33C64A3A" w14:textId="77777777" w:rsidR="00A33B44" w:rsidRDefault="00A33B44" w:rsidP="005A3B4D">
            <w:pPr>
              <w:jc w:val="right"/>
              <w:rPr>
                <w:color w:val="000000"/>
                <w:sz w:val="20"/>
                <w:szCs w:val="20"/>
              </w:rPr>
            </w:pPr>
            <w:r>
              <w:rPr>
                <w:color w:val="000000"/>
                <w:sz w:val="20"/>
                <w:szCs w:val="20"/>
              </w:rPr>
              <w:t>0.009</w:t>
            </w:r>
          </w:p>
        </w:tc>
        <w:tc>
          <w:tcPr>
            <w:tcW w:w="768" w:type="dxa"/>
            <w:tcBorders>
              <w:top w:val="nil"/>
              <w:left w:val="nil"/>
              <w:bottom w:val="single" w:sz="12" w:space="0" w:color="auto"/>
              <w:right w:val="nil"/>
            </w:tcBorders>
            <w:shd w:val="clear" w:color="auto" w:fill="auto"/>
            <w:noWrap/>
            <w:vAlign w:val="bottom"/>
            <w:hideMark/>
          </w:tcPr>
          <w:p w14:paraId="591A6591" w14:textId="77777777" w:rsidR="00A33B44" w:rsidRDefault="00A33B44" w:rsidP="005A3B4D">
            <w:pPr>
              <w:jc w:val="right"/>
              <w:rPr>
                <w:color w:val="000000"/>
                <w:sz w:val="20"/>
                <w:szCs w:val="20"/>
              </w:rPr>
            </w:pPr>
            <w:r>
              <w:rPr>
                <w:color w:val="000000"/>
                <w:sz w:val="20"/>
                <w:szCs w:val="20"/>
              </w:rPr>
              <w:t>0.841</w:t>
            </w:r>
          </w:p>
        </w:tc>
        <w:tc>
          <w:tcPr>
            <w:tcW w:w="768" w:type="dxa"/>
            <w:tcBorders>
              <w:top w:val="nil"/>
              <w:left w:val="nil"/>
              <w:bottom w:val="single" w:sz="12" w:space="0" w:color="auto"/>
              <w:right w:val="nil"/>
            </w:tcBorders>
            <w:shd w:val="clear" w:color="auto" w:fill="auto"/>
            <w:noWrap/>
            <w:vAlign w:val="bottom"/>
            <w:hideMark/>
          </w:tcPr>
          <w:p w14:paraId="64B744FD" w14:textId="77777777" w:rsidR="00A33B44" w:rsidRDefault="00A33B44" w:rsidP="005A3B4D">
            <w:pPr>
              <w:jc w:val="right"/>
              <w:rPr>
                <w:color w:val="000000"/>
                <w:sz w:val="20"/>
                <w:szCs w:val="20"/>
              </w:rPr>
            </w:pPr>
            <w:r>
              <w:rPr>
                <w:color w:val="000000"/>
                <w:sz w:val="20"/>
                <w:szCs w:val="20"/>
              </w:rPr>
              <w:t>0.000</w:t>
            </w:r>
          </w:p>
        </w:tc>
      </w:tr>
      <w:tr w:rsidR="00A33B44" w14:paraId="5A99ED25"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259BB048" w14:textId="77777777" w:rsidR="00A33B44" w:rsidRDefault="00A33B44"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60C685C2" w14:textId="77777777" w:rsidR="00A33B44" w:rsidRDefault="00A33B44"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3B0647E2"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B006BDC"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A36D10E"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3FEE2ED"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4545398"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217E296"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95C4B57"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4C320F3"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CD3C3AC"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3067C92"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AE5B3D8"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9315842"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513C04E"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1C5527D" w14:textId="77777777" w:rsidR="00A33B44" w:rsidRDefault="00A33B44"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9FA83AA" w14:textId="77777777" w:rsidR="00A33B44" w:rsidRDefault="00A33B44" w:rsidP="005A3B4D">
            <w:pPr>
              <w:rPr>
                <w:sz w:val="20"/>
                <w:szCs w:val="20"/>
              </w:rPr>
            </w:pPr>
          </w:p>
        </w:tc>
      </w:tr>
    </w:tbl>
    <w:p w14:paraId="5E2B7CDB" w14:textId="77777777" w:rsidR="00A33B44" w:rsidRPr="00EB6B5E" w:rsidRDefault="00A33B44" w:rsidP="00A33B44">
      <w:pPr>
        <w:rPr>
          <w:rFonts w:eastAsia="Batang"/>
          <w:i/>
          <w:iCs/>
          <w:vertAlign w:val="superscript"/>
        </w:rPr>
      </w:pPr>
    </w:p>
    <w:p w14:paraId="127FD3FF" w14:textId="4561C449" w:rsidR="007C047B" w:rsidRDefault="00A33B44" w:rsidP="00A33B44">
      <w:r>
        <w:br w:type="page"/>
      </w:r>
    </w:p>
    <w:p w14:paraId="604FB619" w14:textId="4F48D340" w:rsidR="007C047B" w:rsidRPr="009E2A20" w:rsidRDefault="00432B71" w:rsidP="009E2A20">
      <w:pPr>
        <w:pStyle w:val="Heading1"/>
        <w:rPr>
          <w:rFonts w:ascii="Times New Roman" w:hAnsi="Times New Roman" w:cs="Times New Roman"/>
          <w:color w:val="000000" w:themeColor="text1"/>
          <w:sz w:val="24"/>
          <w:szCs w:val="24"/>
        </w:rPr>
      </w:pPr>
      <w:bookmarkStart w:id="44" w:name="_Toc155817711"/>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A33B44">
        <w:rPr>
          <w:rFonts w:ascii="Times New Roman" w:hAnsi="Times New Roman" w:cs="Times New Roman"/>
          <w:b/>
          <w:bCs/>
          <w:color w:val="000000" w:themeColor="text1"/>
          <w:sz w:val="24"/>
          <w:szCs w:val="24"/>
        </w:rPr>
        <w:t>7</w:t>
      </w:r>
      <w:r w:rsidR="007C047B" w:rsidRPr="009E2A20">
        <w:rPr>
          <w:rFonts w:ascii="Times New Roman" w:hAnsi="Times New Roman" w:cs="Times New Roman"/>
          <w:b/>
          <w:bCs/>
          <w:color w:val="000000" w:themeColor="text1"/>
          <w:sz w:val="24"/>
          <w:szCs w:val="24"/>
        </w:rPr>
        <w:t xml:space="preserve">a. </w:t>
      </w:r>
      <w:r w:rsidR="007C047B" w:rsidRPr="009E2A20">
        <w:rPr>
          <w:rFonts w:ascii="Times New Roman" w:hAnsi="Times New Roman" w:cs="Times New Roman"/>
          <w:color w:val="000000" w:themeColor="text1"/>
          <w:sz w:val="24"/>
          <w:szCs w:val="24"/>
        </w:rPr>
        <w:t>Results examining the relationship between environmental stress factors obtained from bifactor modeling and Shen-268 network diameter during the stop signal task</w:t>
      </w:r>
      <w:bookmarkEnd w:id="44"/>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19071A" w14:paraId="4F8747F1" w14:textId="77777777" w:rsidTr="00AF1024">
        <w:trPr>
          <w:trHeight w:val="340"/>
        </w:trPr>
        <w:tc>
          <w:tcPr>
            <w:tcW w:w="1176" w:type="dxa"/>
            <w:tcBorders>
              <w:top w:val="nil"/>
              <w:left w:val="nil"/>
              <w:bottom w:val="single" w:sz="12" w:space="0" w:color="auto"/>
              <w:right w:val="nil"/>
            </w:tcBorders>
            <w:shd w:val="clear" w:color="auto" w:fill="auto"/>
            <w:noWrap/>
            <w:vAlign w:val="bottom"/>
            <w:hideMark/>
          </w:tcPr>
          <w:p w14:paraId="462E300C" w14:textId="77777777" w:rsidR="0019071A" w:rsidRDefault="0019071A">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4F62568" w14:textId="77777777" w:rsidR="0019071A" w:rsidRDefault="0019071A">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2205F9F3" w14:textId="77777777" w:rsidR="0019071A" w:rsidRDefault="0019071A">
            <w:pPr>
              <w:rPr>
                <w:color w:val="000000"/>
              </w:rPr>
            </w:pPr>
          </w:p>
        </w:tc>
        <w:tc>
          <w:tcPr>
            <w:tcW w:w="768" w:type="dxa"/>
            <w:tcBorders>
              <w:top w:val="nil"/>
              <w:left w:val="nil"/>
              <w:bottom w:val="single" w:sz="12" w:space="0" w:color="auto"/>
              <w:right w:val="nil"/>
            </w:tcBorders>
            <w:shd w:val="clear" w:color="auto" w:fill="auto"/>
            <w:noWrap/>
            <w:vAlign w:val="bottom"/>
            <w:hideMark/>
          </w:tcPr>
          <w:p w14:paraId="5A5299CC"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DE2FBA1"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7DC2521"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389546E"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678DA19"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553DEA0"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D908F65"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DD9E57E"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B45D768"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165994E"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1B72E16"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B6FD949"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CEF9072" w14:textId="77777777" w:rsidR="0019071A" w:rsidRDefault="0019071A">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D8557D5" w14:textId="77777777" w:rsidR="0019071A" w:rsidRDefault="0019071A">
            <w:pPr>
              <w:rPr>
                <w:sz w:val="20"/>
                <w:szCs w:val="20"/>
              </w:rPr>
            </w:pPr>
          </w:p>
        </w:tc>
      </w:tr>
      <w:tr w:rsidR="0019071A" w14:paraId="1142B126" w14:textId="77777777" w:rsidTr="00AF1024">
        <w:trPr>
          <w:trHeight w:val="340"/>
        </w:trPr>
        <w:tc>
          <w:tcPr>
            <w:tcW w:w="1176" w:type="dxa"/>
            <w:tcBorders>
              <w:top w:val="single" w:sz="12" w:space="0" w:color="auto"/>
              <w:left w:val="nil"/>
              <w:bottom w:val="nil"/>
              <w:right w:val="nil"/>
            </w:tcBorders>
            <w:shd w:val="clear" w:color="auto" w:fill="auto"/>
            <w:noWrap/>
            <w:vAlign w:val="bottom"/>
            <w:hideMark/>
          </w:tcPr>
          <w:p w14:paraId="13DFBFEC" w14:textId="77777777" w:rsidR="0019071A" w:rsidRDefault="0019071A">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09D26C45" w14:textId="77777777" w:rsidR="0019071A" w:rsidRDefault="0019071A">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68905AFF" w14:textId="15083080" w:rsidR="0019071A" w:rsidRDefault="0019071A">
            <w:pPr>
              <w:jc w:val="center"/>
              <w:rPr>
                <w:color w:val="000000"/>
                <w:sz w:val="20"/>
                <w:szCs w:val="20"/>
              </w:rPr>
            </w:pPr>
            <w:r>
              <w:rPr>
                <w:color w:val="000000"/>
                <w:sz w:val="20"/>
                <w:szCs w:val="20"/>
              </w:rPr>
              <w:t>General</w:t>
            </w:r>
            <w:r w:rsidR="00F10CE2">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4FFD0DE" w14:textId="77777777" w:rsidR="0019071A" w:rsidRDefault="0019071A">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4FC7B29" w14:textId="77777777" w:rsidR="0019071A" w:rsidRDefault="0019071A">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50DBBAC" w14:textId="77777777" w:rsidR="0019071A" w:rsidRDefault="0019071A">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AE57EEA" w14:textId="77777777" w:rsidR="0019071A" w:rsidRDefault="0019071A">
            <w:pPr>
              <w:jc w:val="center"/>
              <w:rPr>
                <w:color w:val="000000"/>
                <w:sz w:val="20"/>
                <w:szCs w:val="20"/>
              </w:rPr>
            </w:pPr>
            <w:r>
              <w:rPr>
                <w:color w:val="000000"/>
                <w:sz w:val="20"/>
                <w:szCs w:val="20"/>
              </w:rPr>
              <w:t>Urbanicity</w:t>
            </w:r>
          </w:p>
        </w:tc>
      </w:tr>
      <w:tr w:rsidR="002125FE" w14:paraId="0AC08478" w14:textId="77777777" w:rsidTr="00AF1024">
        <w:trPr>
          <w:trHeight w:val="360"/>
        </w:trPr>
        <w:tc>
          <w:tcPr>
            <w:tcW w:w="1176" w:type="dxa"/>
            <w:tcBorders>
              <w:top w:val="nil"/>
              <w:left w:val="nil"/>
              <w:bottom w:val="single" w:sz="12" w:space="0" w:color="auto"/>
              <w:right w:val="nil"/>
            </w:tcBorders>
            <w:shd w:val="clear" w:color="auto" w:fill="auto"/>
            <w:noWrap/>
            <w:vAlign w:val="bottom"/>
            <w:hideMark/>
          </w:tcPr>
          <w:p w14:paraId="4692C5FD"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07C243D2"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42B078A6" w14:textId="288FFEB5"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7115C56" w14:textId="0D6AC77A"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0101586" w14:textId="54734E10"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4169E0E" w14:textId="6686A53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2BA59E6" w14:textId="35CB6141"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217AC17" w14:textId="565ECA09"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131B889" w14:textId="0D79A9CB"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B8132DD" w14:textId="5D2E75AE"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68932FC" w14:textId="5A657D1C"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875BA32" w14:textId="027D8067"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7750966" w14:textId="3FC4829D"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FF663FF" w14:textId="70D3927B"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A671496" w14:textId="7FA76387"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F8DAE5D" w14:textId="1090EB16"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966E087" w14:textId="229759E6"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AD4B60" w14:paraId="2DE4B510" w14:textId="77777777" w:rsidTr="00AF1024">
        <w:trPr>
          <w:trHeight w:val="320"/>
        </w:trPr>
        <w:tc>
          <w:tcPr>
            <w:tcW w:w="1176" w:type="dxa"/>
            <w:tcBorders>
              <w:top w:val="single" w:sz="12" w:space="0" w:color="auto"/>
              <w:left w:val="nil"/>
              <w:bottom w:val="nil"/>
              <w:right w:val="nil"/>
            </w:tcBorders>
            <w:shd w:val="clear" w:color="auto" w:fill="auto"/>
            <w:noWrap/>
            <w:vAlign w:val="bottom"/>
            <w:hideMark/>
          </w:tcPr>
          <w:p w14:paraId="16A6B8E0" w14:textId="77777777" w:rsidR="00AD4B60" w:rsidRDefault="00AD4B60" w:rsidP="00AD4B60">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150F3594" w14:textId="77777777" w:rsidR="00AD4B60" w:rsidRDefault="00AD4B60" w:rsidP="00AD4B60">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03873E32" w14:textId="368453AE" w:rsidR="00AD4B60" w:rsidRDefault="00AD4B60" w:rsidP="00AD4B60">
            <w:pPr>
              <w:jc w:val="right"/>
              <w:rPr>
                <w:color w:val="000000"/>
                <w:sz w:val="20"/>
                <w:szCs w:val="20"/>
              </w:rPr>
            </w:pPr>
            <w:r>
              <w:rPr>
                <w:color w:val="000000"/>
                <w:sz w:val="20"/>
                <w:szCs w:val="20"/>
              </w:rPr>
              <w:t>0.019</w:t>
            </w:r>
          </w:p>
        </w:tc>
        <w:tc>
          <w:tcPr>
            <w:tcW w:w="768" w:type="dxa"/>
            <w:tcBorders>
              <w:top w:val="single" w:sz="12" w:space="0" w:color="auto"/>
              <w:left w:val="nil"/>
              <w:bottom w:val="nil"/>
              <w:right w:val="nil"/>
            </w:tcBorders>
            <w:shd w:val="clear" w:color="auto" w:fill="auto"/>
            <w:noWrap/>
            <w:vAlign w:val="bottom"/>
            <w:hideMark/>
          </w:tcPr>
          <w:p w14:paraId="7669A5F4" w14:textId="2A7BF4AF" w:rsidR="00AD4B60" w:rsidRDefault="00AD4B60" w:rsidP="00AD4B60">
            <w:pPr>
              <w:jc w:val="right"/>
              <w:rPr>
                <w:color w:val="000000"/>
                <w:sz w:val="20"/>
                <w:szCs w:val="20"/>
              </w:rPr>
            </w:pPr>
            <w:r>
              <w:rPr>
                <w:color w:val="000000"/>
                <w:sz w:val="20"/>
                <w:szCs w:val="20"/>
              </w:rPr>
              <w:t>0.960</w:t>
            </w:r>
          </w:p>
        </w:tc>
        <w:tc>
          <w:tcPr>
            <w:tcW w:w="768" w:type="dxa"/>
            <w:tcBorders>
              <w:top w:val="single" w:sz="12" w:space="0" w:color="auto"/>
              <w:left w:val="nil"/>
              <w:bottom w:val="nil"/>
              <w:right w:val="nil"/>
            </w:tcBorders>
            <w:shd w:val="clear" w:color="auto" w:fill="auto"/>
            <w:noWrap/>
            <w:vAlign w:val="bottom"/>
            <w:hideMark/>
          </w:tcPr>
          <w:p w14:paraId="4E107EC5" w14:textId="2AF40498" w:rsidR="00AD4B60" w:rsidRDefault="00AD4B60" w:rsidP="00AD4B6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9DC3297" w14:textId="19BD1CCD" w:rsidR="00AD4B60" w:rsidRDefault="00AD4B60" w:rsidP="00AD4B60">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3F8DC1B1" w14:textId="2583F9FB" w:rsidR="00AD4B60" w:rsidRDefault="00AD4B60" w:rsidP="00AD4B60">
            <w:pPr>
              <w:jc w:val="right"/>
              <w:rPr>
                <w:color w:val="000000"/>
                <w:sz w:val="20"/>
                <w:szCs w:val="20"/>
              </w:rPr>
            </w:pPr>
            <w:r>
              <w:rPr>
                <w:color w:val="000000"/>
                <w:sz w:val="20"/>
                <w:szCs w:val="20"/>
              </w:rPr>
              <w:t>0.877</w:t>
            </w:r>
          </w:p>
        </w:tc>
        <w:tc>
          <w:tcPr>
            <w:tcW w:w="768" w:type="dxa"/>
            <w:tcBorders>
              <w:top w:val="single" w:sz="12" w:space="0" w:color="auto"/>
              <w:left w:val="nil"/>
              <w:bottom w:val="nil"/>
              <w:right w:val="nil"/>
            </w:tcBorders>
            <w:shd w:val="clear" w:color="auto" w:fill="auto"/>
            <w:noWrap/>
            <w:vAlign w:val="bottom"/>
            <w:hideMark/>
          </w:tcPr>
          <w:p w14:paraId="3C4C804A" w14:textId="241338C5" w:rsidR="00AD4B60" w:rsidRDefault="00AD4B60" w:rsidP="00AD4B6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DE25A51" w14:textId="09B1A004" w:rsidR="00AD4B60" w:rsidRDefault="00AD4B60" w:rsidP="00AD4B60">
            <w:pPr>
              <w:jc w:val="right"/>
              <w:rPr>
                <w:color w:val="000000"/>
                <w:sz w:val="20"/>
                <w:szCs w:val="20"/>
              </w:rPr>
            </w:pPr>
            <w:r>
              <w:rPr>
                <w:color w:val="000000"/>
                <w:sz w:val="20"/>
                <w:szCs w:val="20"/>
              </w:rPr>
              <w:t>0.005</w:t>
            </w:r>
          </w:p>
        </w:tc>
        <w:tc>
          <w:tcPr>
            <w:tcW w:w="768" w:type="dxa"/>
            <w:tcBorders>
              <w:top w:val="single" w:sz="12" w:space="0" w:color="auto"/>
              <w:left w:val="nil"/>
              <w:bottom w:val="nil"/>
              <w:right w:val="nil"/>
            </w:tcBorders>
            <w:shd w:val="clear" w:color="auto" w:fill="auto"/>
            <w:noWrap/>
            <w:vAlign w:val="bottom"/>
            <w:hideMark/>
          </w:tcPr>
          <w:p w14:paraId="4FAFC18C" w14:textId="0895F01E" w:rsidR="00AD4B60" w:rsidRDefault="00AD4B60" w:rsidP="00AD4B60">
            <w:pPr>
              <w:jc w:val="right"/>
              <w:rPr>
                <w:color w:val="000000"/>
                <w:sz w:val="20"/>
                <w:szCs w:val="20"/>
              </w:rPr>
            </w:pPr>
            <w:r>
              <w:rPr>
                <w:color w:val="000000"/>
                <w:sz w:val="20"/>
                <w:szCs w:val="20"/>
              </w:rPr>
              <w:t>0.897</w:t>
            </w:r>
          </w:p>
        </w:tc>
        <w:tc>
          <w:tcPr>
            <w:tcW w:w="768" w:type="dxa"/>
            <w:tcBorders>
              <w:top w:val="single" w:sz="12" w:space="0" w:color="auto"/>
              <w:left w:val="nil"/>
              <w:bottom w:val="nil"/>
              <w:right w:val="nil"/>
            </w:tcBorders>
            <w:shd w:val="clear" w:color="auto" w:fill="auto"/>
            <w:noWrap/>
            <w:vAlign w:val="bottom"/>
            <w:hideMark/>
          </w:tcPr>
          <w:p w14:paraId="24A0F5D2" w14:textId="7F92B8D1" w:rsidR="00AD4B60" w:rsidRDefault="00AD4B60" w:rsidP="00AD4B6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E034A96" w14:textId="5211895B" w:rsidR="00AD4B60" w:rsidRDefault="00AD4B60" w:rsidP="00AD4B60">
            <w:pPr>
              <w:jc w:val="right"/>
              <w:rPr>
                <w:color w:val="000000"/>
                <w:sz w:val="20"/>
                <w:szCs w:val="20"/>
              </w:rPr>
            </w:pPr>
            <w:r>
              <w:rPr>
                <w:color w:val="000000"/>
                <w:sz w:val="20"/>
                <w:szCs w:val="20"/>
              </w:rPr>
              <w:t>0.019</w:t>
            </w:r>
          </w:p>
        </w:tc>
        <w:tc>
          <w:tcPr>
            <w:tcW w:w="768" w:type="dxa"/>
            <w:tcBorders>
              <w:top w:val="single" w:sz="12" w:space="0" w:color="auto"/>
              <w:left w:val="nil"/>
              <w:bottom w:val="nil"/>
              <w:right w:val="nil"/>
            </w:tcBorders>
            <w:shd w:val="clear" w:color="auto" w:fill="auto"/>
            <w:noWrap/>
            <w:vAlign w:val="bottom"/>
            <w:hideMark/>
          </w:tcPr>
          <w:p w14:paraId="6F513967" w14:textId="7C257A74" w:rsidR="00AD4B60" w:rsidRDefault="00AD4B60" w:rsidP="00AD4B60">
            <w:pPr>
              <w:jc w:val="right"/>
              <w:rPr>
                <w:color w:val="000000"/>
                <w:sz w:val="20"/>
                <w:szCs w:val="20"/>
              </w:rPr>
            </w:pPr>
            <w:r>
              <w:rPr>
                <w:color w:val="000000"/>
                <w:sz w:val="20"/>
                <w:szCs w:val="20"/>
              </w:rPr>
              <w:t>0.883</w:t>
            </w:r>
          </w:p>
        </w:tc>
        <w:tc>
          <w:tcPr>
            <w:tcW w:w="768" w:type="dxa"/>
            <w:tcBorders>
              <w:top w:val="single" w:sz="12" w:space="0" w:color="auto"/>
              <w:left w:val="nil"/>
              <w:bottom w:val="nil"/>
              <w:right w:val="nil"/>
            </w:tcBorders>
            <w:shd w:val="clear" w:color="auto" w:fill="auto"/>
            <w:noWrap/>
            <w:vAlign w:val="bottom"/>
            <w:hideMark/>
          </w:tcPr>
          <w:p w14:paraId="1A140740" w14:textId="2367B78C" w:rsidR="00AD4B60" w:rsidRDefault="00AD4B60" w:rsidP="00AD4B6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D66EC35" w14:textId="5F4EA76B" w:rsidR="00AD4B60" w:rsidRDefault="00AD4B60" w:rsidP="00AD4B60">
            <w:pPr>
              <w:jc w:val="right"/>
              <w:rPr>
                <w:color w:val="000000"/>
                <w:sz w:val="20"/>
                <w:szCs w:val="20"/>
              </w:rPr>
            </w:pPr>
            <w:r>
              <w:rPr>
                <w:color w:val="000000"/>
                <w:sz w:val="20"/>
                <w:szCs w:val="20"/>
              </w:rPr>
              <w:t>0.034</w:t>
            </w:r>
          </w:p>
        </w:tc>
        <w:tc>
          <w:tcPr>
            <w:tcW w:w="768" w:type="dxa"/>
            <w:tcBorders>
              <w:top w:val="single" w:sz="12" w:space="0" w:color="auto"/>
              <w:left w:val="nil"/>
              <w:bottom w:val="nil"/>
              <w:right w:val="nil"/>
            </w:tcBorders>
            <w:shd w:val="clear" w:color="auto" w:fill="auto"/>
            <w:noWrap/>
            <w:vAlign w:val="bottom"/>
            <w:hideMark/>
          </w:tcPr>
          <w:p w14:paraId="40806B72" w14:textId="40D90747" w:rsidR="00AD4B60" w:rsidRDefault="00AD4B60" w:rsidP="00AD4B60">
            <w:pPr>
              <w:jc w:val="right"/>
              <w:rPr>
                <w:color w:val="000000"/>
                <w:sz w:val="20"/>
                <w:szCs w:val="20"/>
              </w:rPr>
            </w:pPr>
            <w:r>
              <w:rPr>
                <w:color w:val="000000"/>
                <w:sz w:val="20"/>
                <w:szCs w:val="20"/>
              </w:rPr>
              <w:t>0.622</w:t>
            </w:r>
          </w:p>
        </w:tc>
        <w:tc>
          <w:tcPr>
            <w:tcW w:w="768" w:type="dxa"/>
            <w:tcBorders>
              <w:top w:val="single" w:sz="12" w:space="0" w:color="auto"/>
              <w:left w:val="nil"/>
              <w:bottom w:val="nil"/>
              <w:right w:val="nil"/>
            </w:tcBorders>
            <w:shd w:val="clear" w:color="auto" w:fill="auto"/>
            <w:noWrap/>
            <w:vAlign w:val="bottom"/>
            <w:hideMark/>
          </w:tcPr>
          <w:p w14:paraId="19A6C51D" w14:textId="49F5C13E" w:rsidR="00AD4B60" w:rsidRDefault="00AD4B60" w:rsidP="00AD4B60">
            <w:pPr>
              <w:jc w:val="right"/>
              <w:rPr>
                <w:color w:val="000000"/>
                <w:sz w:val="20"/>
                <w:szCs w:val="20"/>
              </w:rPr>
            </w:pPr>
            <w:r>
              <w:rPr>
                <w:color w:val="000000"/>
                <w:sz w:val="20"/>
                <w:szCs w:val="20"/>
              </w:rPr>
              <w:t>0.001</w:t>
            </w:r>
          </w:p>
        </w:tc>
      </w:tr>
      <w:tr w:rsidR="00AD4B60" w14:paraId="2D4A1576" w14:textId="77777777" w:rsidTr="0019071A">
        <w:trPr>
          <w:trHeight w:val="340"/>
        </w:trPr>
        <w:tc>
          <w:tcPr>
            <w:tcW w:w="1176" w:type="dxa"/>
            <w:tcBorders>
              <w:top w:val="nil"/>
              <w:left w:val="nil"/>
              <w:bottom w:val="nil"/>
              <w:right w:val="nil"/>
            </w:tcBorders>
            <w:shd w:val="clear" w:color="auto" w:fill="auto"/>
            <w:noWrap/>
            <w:vAlign w:val="bottom"/>
            <w:hideMark/>
          </w:tcPr>
          <w:p w14:paraId="3A030440"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0C6D222" w14:textId="77777777" w:rsidR="00AD4B60" w:rsidRDefault="00AD4B60" w:rsidP="00AD4B6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67835C0" w14:textId="3CE3B377" w:rsidR="00AD4B60" w:rsidRDefault="00AD4B60" w:rsidP="00AD4B6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CB2C098" w14:textId="794EAB85" w:rsidR="00AD4B60" w:rsidRDefault="00AD4B60" w:rsidP="00AD4B60">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009369C1" w14:textId="3FD64B6E"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4CBF1F" w14:textId="15C1544C" w:rsidR="00AD4B60" w:rsidRDefault="00AD4B60" w:rsidP="00AD4B60">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54CCFF8" w14:textId="05EEDFCB" w:rsidR="00AD4B60" w:rsidRDefault="00AD4B60" w:rsidP="00AD4B60">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2ED33BEB" w14:textId="42E32964"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8AE67DB" w14:textId="654F60E8" w:rsidR="00AD4B60" w:rsidRDefault="00AD4B60" w:rsidP="00AD4B6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5D33352" w14:textId="52BF1487" w:rsidR="00AD4B60" w:rsidRDefault="00AD4B60" w:rsidP="00AD4B60">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2264A6E2" w14:textId="54FE4762"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62FAA1" w14:textId="7D59789E"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235B3C1" w14:textId="6C09FF19" w:rsidR="00AD4B60" w:rsidRDefault="00AD4B60" w:rsidP="00AD4B60">
            <w:pPr>
              <w:jc w:val="right"/>
              <w:rPr>
                <w:color w:val="000000"/>
                <w:sz w:val="20"/>
                <w:szCs w:val="20"/>
              </w:rPr>
            </w:pPr>
            <w:r>
              <w:rPr>
                <w:color w:val="000000"/>
                <w:sz w:val="20"/>
                <w:szCs w:val="20"/>
              </w:rPr>
              <w:t>0.889</w:t>
            </w:r>
          </w:p>
        </w:tc>
        <w:tc>
          <w:tcPr>
            <w:tcW w:w="768" w:type="dxa"/>
            <w:tcBorders>
              <w:top w:val="nil"/>
              <w:left w:val="nil"/>
              <w:bottom w:val="nil"/>
              <w:right w:val="nil"/>
            </w:tcBorders>
            <w:shd w:val="clear" w:color="auto" w:fill="auto"/>
            <w:noWrap/>
            <w:vAlign w:val="bottom"/>
            <w:hideMark/>
          </w:tcPr>
          <w:p w14:paraId="313DAE9C" w14:textId="60E2F070"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6052B1" w14:textId="0DA4B94A" w:rsidR="00AD4B60" w:rsidRDefault="00AD4B60" w:rsidP="00AD4B60">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585116BB" w14:textId="5471806C" w:rsidR="00AD4B60" w:rsidRDefault="00AD4B60" w:rsidP="00AD4B60">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39E1FA3F" w14:textId="5C1C74BF" w:rsidR="00AD4B60" w:rsidRDefault="00AD4B60" w:rsidP="00AD4B60">
            <w:pPr>
              <w:jc w:val="right"/>
              <w:rPr>
                <w:color w:val="000000"/>
                <w:sz w:val="20"/>
                <w:szCs w:val="20"/>
              </w:rPr>
            </w:pPr>
            <w:r>
              <w:rPr>
                <w:color w:val="000000"/>
                <w:sz w:val="20"/>
                <w:szCs w:val="20"/>
              </w:rPr>
              <w:t>0.007</w:t>
            </w:r>
          </w:p>
        </w:tc>
      </w:tr>
      <w:tr w:rsidR="00AD4B60" w14:paraId="5796F1F8" w14:textId="77777777" w:rsidTr="0019071A">
        <w:trPr>
          <w:trHeight w:val="320"/>
        </w:trPr>
        <w:tc>
          <w:tcPr>
            <w:tcW w:w="1176" w:type="dxa"/>
            <w:tcBorders>
              <w:top w:val="nil"/>
              <w:left w:val="nil"/>
              <w:bottom w:val="nil"/>
              <w:right w:val="nil"/>
            </w:tcBorders>
            <w:shd w:val="clear" w:color="auto" w:fill="auto"/>
            <w:noWrap/>
            <w:vAlign w:val="bottom"/>
            <w:hideMark/>
          </w:tcPr>
          <w:p w14:paraId="0E2609CA"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4524D84" w14:textId="77777777" w:rsidR="00AD4B60" w:rsidRDefault="00AD4B60" w:rsidP="00AD4B6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474B791" w14:textId="02BB38DD" w:rsidR="00AD4B60" w:rsidRDefault="00AD4B60" w:rsidP="00AD4B6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CB2FDC2" w14:textId="6EEC5B56" w:rsidR="00AD4B60" w:rsidRDefault="00AD4B60" w:rsidP="00AD4B60">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09BDCB47" w14:textId="45FFBC56"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12C276D" w14:textId="4EFCA60E" w:rsidR="00AD4B60" w:rsidRDefault="00AD4B60" w:rsidP="00AD4B6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25F16920" w14:textId="0F6D73A1" w:rsidR="00AD4B60" w:rsidRDefault="00AD4B60" w:rsidP="00AD4B60">
            <w:pPr>
              <w:jc w:val="right"/>
              <w:rPr>
                <w:color w:val="000000"/>
                <w:sz w:val="20"/>
                <w:szCs w:val="20"/>
              </w:rPr>
            </w:pPr>
            <w:r>
              <w:rPr>
                <w:color w:val="000000"/>
                <w:sz w:val="20"/>
                <w:szCs w:val="20"/>
              </w:rPr>
              <w:t>0.830</w:t>
            </w:r>
          </w:p>
        </w:tc>
        <w:tc>
          <w:tcPr>
            <w:tcW w:w="768" w:type="dxa"/>
            <w:tcBorders>
              <w:top w:val="nil"/>
              <w:left w:val="nil"/>
              <w:bottom w:val="nil"/>
              <w:right w:val="nil"/>
            </w:tcBorders>
            <w:shd w:val="clear" w:color="auto" w:fill="auto"/>
            <w:noWrap/>
            <w:vAlign w:val="bottom"/>
            <w:hideMark/>
          </w:tcPr>
          <w:p w14:paraId="395AB303" w14:textId="2A585DC3"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7925161" w14:textId="13B01BB8" w:rsidR="00AD4B60" w:rsidRDefault="00AD4B60" w:rsidP="00AD4B60">
            <w:pPr>
              <w:jc w:val="right"/>
              <w:rPr>
                <w:color w:val="000000"/>
                <w:sz w:val="20"/>
                <w:szCs w:val="20"/>
              </w:rPr>
            </w:pPr>
            <w:r>
              <w:rPr>
                <w:color w:val="000000"/>
                <w:sz w:val="20"/>
                <w:szCs w:val="20"/>
              </w:rPr>
              <w:t>0.126</w:t>
            </w:r>
          </w:p>
        </w:tc>
        <w:tc>
          <w:tcPr>
            <w:tcW w:w="768" w:type="dxa"/>
            <w:tcBorders>
              <w:top w:val="nil"/>
              <w:left w:val="nil"/>
              <w:bottom w:val="nil"/>
              <w:right w:val="nil"/>
            </w:tcBorders>
            <w:shd w:val="clear" w:color="auto" w:fill="auto"/>
            <w:noWrap/>
            <w:vAlign w:val="bottom"/>
            <w:hideMark/>
          </w:tcPr>
          <w:p w14:paraId="7348E787" w14:textId="11BFF78D" w:rsidR="00AD4B60" w:rsidRDefault="00AD4B60" w:rsidP="00AD4B60">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4EE71875" w14:textId="6D739DE8" w:rsidR="00AD4B60" w:rsidRDefault="00AD4B60" w:rsidP="00AD4B6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2A2286F" w14:textId="7B55D86F"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1F5DB53" w14:textId="3B14501A" w:rsidR="00AD4B60" w:rsidRDefault="00AD4B60" w:rsidP="00AD4B60">
            <w:pPr>
              <w:jc w:val="right"/>
              <w:rPr>
                <w:color w:val="000000"/>
                <w:sz w:val="20"/>
                <w:szCs w:val="20"/>
              </w:rPr>
            </w:pPr>
            <w:r>
              <w:rPr>
                <w:color w:val="000000"/>
                <w:sz w:val="20"/>
                <w:szCs w:val="20"/>
              </w:rPr>
              <w:t>0.889</w:t>
            </w:r>
          </w:p>
        </w:tc>
        <w:tc>
          <w:tcPr>
            <w:tcW w:w="768" w:type="dxa"/>
            <w:tcBorders>
              <w:top w:val="nil"/>
              <w:left w:val="nil"/>
              <w:bottom w:val="nil"/>
              <w:right w:val="nil"/>
            </w:tcBorders>
            <w:shd w:val="clear" w:color="auto" w:fill="auto"/>
            <w:noWrap/>
            <w:vAlign w:val="bottom"/>
            <w:hideMark/>
          </w:tcPr>
          <w:p w14:paraId="7FEBF769" w14:textId="7DAC9F25"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7F6584" w14:textId="71EE3069" w:rsidR="00AD4B60" w:rsidRDefault="00AD4B60" w:rsidP="00AD4B60">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246641DC" w14:textId="542E57F1" w:rsidR="00AD4B60" w:rsidRDefault="00AD4B60" w:rsidP="00AD4B60">
            <w:pPr>
              <w:jc w:val="right"/>
              <w:rPr>
                <w:color w:val="000000"/>
                <w:sz w:val="20"/>
                <w:szCs w:val="20"/>
              </w:rPr>
            </w:pPr>
            <w:r>
              <w:rPr>
                <w:color w:val="000000"/>
                <w:sz w:val="20"/>
                <w:szCs w:val="20"/>
              </w:rPr>
              <w:t>0.622</w:t>
            </w:r>
          </w:p>
        </w:tc>
        <w:tc>
          <w:tcPr>
            <w:tcW w:w="768" w:type="dxa"/>
            <w:tcBorders>
              <w:top w:val="nil"/>
              <w:left w:val="nil"/>
              <w:bottom w:val="nil"/>
              <w:right w:val="nil"/>
            </w:tcBorders>
            <w:shd w:val="clear" w:color="auto" w:fill="auto"/>
            <w:noWrap/>
            <w:vAlign w:val="bottom"/>
            <w:hideMark/>
          </w:tcPr>
          <w:p w14:paraId="01F964A6" w14:textId="76F38618" w:rsidR="00AD4B60" w:rsidRDefault="00AD4B60" w:rsidP="00AD4B60">
            <w:pPr>
              <w:jc w:val="right"/>
              <w:rPr>
                <w:color w:val="000000"/>
                <w:sz w:val="20"/>
                <w:szCs w:val="20"/>
              </w:rPr>
            </w:pPr>
            <w:r>
              <w:rPr>
                <w:color w:val="000000"/>
                <w:sz w:val="20"/>
                <w:szCs w:val="20"/>
              </w:rPr>
              <w:t>0.004</w:t>
            </w:r>
          </w:p>
        </w:tc>
      </w:tr>
      <w:tr w:rsidR="00AD4B60" w14:paraId="49C2AB6F" w14:textId="77777777" w:rsidTr="0019071A">
        <w:trPr>
          <w:trHeight w:val="320"/>
        </w:trPr>
        <w:tc>
          <w:tcPr>
            <w:tcW w:w="1176" w:type="dxa"/>
            <w:tcBorders>
              <w:top w:val="nil"/>
              <w:left w:val="nil"/>
              <w:bottom w:val="nil"/>
              <w:right w:val="nil"/>
            </w:tcBorders>
            <w:shd w:val="clear" w:color="auto" w:fill="auto"/>
            <w:noWrap/>
            <w:vAlign w:val="bottom"/>
            <w:hideMark/>
          </w:tcPr>
          <w:p w14:paraId="54CDA3BE"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0F8909" w14:textId="77777777" w:rsidR="00AD4B60" w:rsidRDefault="00AD4B60" w:rsidP="00AD4B6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F091662" w14:textId="0E2C1175" w:rsidR="00AD4B60" w:rsidRDefault="00AD4B60" w:rsidP="00AD4B60">
            <w:pPr>
              <w:jc w:val="right"/>
              <w:rPr>
                <w:color w:val="000000"/>
                <w:sz w:val="20"/>
                <w:szCs w:val="20"/>
              </w:rPr>
            </w:pPr>
            <w:r>
              <w:rPr>
                <w:color w:val="000000"/>
                <w:sz w:val="20"/>
                <w:szCs w:val="20"/>
              </w:rPr>
              <w:t>-0.212</w:t>
            </w:r>
          </w:p>
        </w:tc>
        <w:tc>
          <w:tcPr>
            <w:tcW w:w="768" w:type="dxa"/>
            <w:tcBorders>
              <w:top w:val="nil"/>
              <w:left w:val="nil"/>
              <w:bottom w:val="nil"/>
              <w:right w:val="nil"/>
            </w:tcBorders>
            <w:shd w:val="clear" w:color="auto" w:fill="auto"/>
            <w:noWrap/>
            <w:vAlign w:val="bottom"/>
            <w:hideMark/>
          </w:tcPr>
          <w:p w14:paraId="3AAC67AC" w14:textId="48054EA7" w:rsidR="00AD4B60" w:rsidRDefault="00AD4B60" w:rsidP="00AD4B60">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03120290" w14:textId="3E78BB32" w:rsidR="00AD4B60" w:rsidRDefault="00AD4B60" w:rsidP="00AD4B60">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64F8EFF4" w14:textId="279D6298" w:rsidR="00AD4B60" w:rsidRDefault="00AD4B60" w:rsidP="00AD4B60">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3D1A52D6" w14:textId="2637F526" w:rsidR="00AD4B60" w:rsidRDefault="00AD4B60" w:rsidP="00AD4B60">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35E8BB80" w14:textId="48C2A7C2" w:rsidR="00AD4B60" w:rsidRDefault="00AD4B60" w:rsidP="00AD4B6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C6DFC96" w14:textId="23087E41" w:rsidR="00AD4B60" w:rsidRDefault="00AD4B60" w:rsidP="00AD4B60">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27FCD39" w14:textId="109FB42B" w:rsidR="00AD4B60" w:rsidRDefault="00AD4B60" w:rsidP="00AD4B60">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5BF0EF87" w14:textId="09979816"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521F67E" w14:textId="2A93CD71" w:rsidR="00AD4B60" w:rsidRDefault="00AD4B60" w:rsidP="00AD4B60">
            <w:pPr>
              <w:jc w:val="right"/>
              <w:rPr>
                <w:color w:val="000000"/>
                <w:sz w:val="20"/>
                <w:szCs w:val="20"/>
              </w:rPr>
            </w:pPr>
            <w:r>
              <w:rPr>
                <w:color w:val="000000"/>
                <w:sz w:val="20"/>
                <w:szCs w:val="20"/>
              </w:rPr>
              <w:t>0.151</w:t>
            </w:r>
          </w:p>
        </w:tc>
        <w:tc>
          <w:tcPr>
            <w:tcW w:w="768" w:type="dxa"/>
            <w:tcBorders>
              <w:top w:val="nil"/>
              <w:left w:val="nil"/>
              <w:bottom w:val="nil"/>
              <w:right w:val="nil"/>
            </w:tcBorders>
            <w:shd w:val="clear" w:color="auto" w:fill="auto"/>
            <w:noWrap/>
            <w:vAlign w:val="bottom"/>
            <w:hideMark/>
          </w:tcPr>
          <w:p w14:paraId="42FA218E" w14:textId="5BF988D5" w:rsidR="00AD4B60" w:rsidRDefault="00AD4B60" w:rsidP="00AD4B60">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10E62000" w14:textId="09AB11D9" w:rsidR="00AD4B60" w:rsidRDefault="00AD4B60" w:rsidP="00AD4B6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67666A8D" w14:textId="42AAB9C2" w:rsidR="00AD4B60" w:rsidRDefault="00AD4B60" w:rsidP="00AD4B60">
            <w:pPr>
              <w:jc w:val="right"/>
              <w:rPr>
                <w:color w:val="000000"/>
                <w:sz w:val="20"/>
                <w:szCs w:val="20"/>
              </w:rPr>
            </w:pPr>
            <w:r>
              <w:rPr>
                <w:color w:val="000000"/>
                <w:sz w:val="20"/>
                <w:szCs w:val="20"/>
              </w:rPr>
              <w:t>0.142</w:t>
            </w:r>
          </w:p>
        </w:tc>
        <w:tc>
          <w:tcPr>
            <w:tcW w:w="768" w:type="dxa"/>
            <w:tcBorders>
              <w:top w:val="nil"/>
              <w:left w:val="nil"/>
              <w:bottom w:val="nil"/>
              <w:right w:val="nil"/>
            </w:tcBorders>
            <w:shd w:val="clear" w:color="auto" w:fill="auto"/>
            <w:noWrap/>
            <w:vAlign w:val="bottom"/>
            <w:hideMark/>
          </w:tcPr>
          <w:p w14:paraId="5F129929" w14:textId="1DC5148A" w:rsidR="00AD4B60" w:rsidRDefault="00AD4B60" w:rsidP="00AD4B60">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678A8FFC" w14:textId="3A07F6DB" w:rsidR="00AD4B60" w:rsidRDefault="00AD4B60" w:rsidP="00AD4B60">
            <w:pPr>
              <w:jc w:val="right"/>
              <w:rPr>
                <w:color w:val="000000"/>
                <w:sz w:val="20"/>
                <w:szCs w:val="20"/>
              </w:rPr>
            </w:pPr>
            <w:r>
              <w:rPr>
                <w:color w:val="000000"/>
                <w:sz w:val="20"/>
                <w:szCs w:val="20"/>
              </w:rPr>
              <w:t>0.020</w:t>
            </w:r>
          </w:p>
        </w:tc>
      </w:tr>
      <w:tr w:rsidR="00AD4B60" w14:paraId="1DA7A821" w14:textId="77777777" w:rsidTr="0019071A">
        <w:trPr>
          <w:trHeight w:val="320"/>
        </w:trPr>
        <w:tc>
          <w:tcPr>
            <w:tcW w:w="1176" w:type="dxa"/>
            <w:tcBorders>
              <w:top w:val="nil"/>
              <w:left w:val="nil"/>
              <w:bottom w:val="nil"/>
              <w:right w:val="nil"/>
            </w:tcBorders>
            <w:shd w:val="clear" w:color="auto" w:fill="auto"/>
            <w:noWrap/>
            <w:vAlign w:val="bottom"/>
            <w:hideMark/>
          </w:tcPr>
          <w:p w14:paraId="4C37A8F3"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595423" w14:textId="77777777" w:rsidR="00AD4B60" w:rsidRDefault="00AD4B60" w:rsidP="00AD4B6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3FD7EBC" w14:textId="3D271D66" w:rsidR="00AD4B60" w:rsidRDefault="00AD4B60" w:rsidP="00AD4B6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EF3B8BA" w14:textId="28E2BE3E" w:rsidR="00AD4B60" w:rsidRDefault="00AD4B60" w:rsidP="00AD4B60">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6702ADE1" w14:textId="7DAE44BF"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D589BF" w14:textId="393F9577" w:rsidR="00AD4B60" w:rsidRDefault="00AD4B60" w:rsidP="00AD4B6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57124BA3" w14:textId="109245EF" w:rsidR="00AD4B60" w:rsidRDefault="00AD4B60" w:rsidP="00AD4B60">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73EC91BD" w14:textId="2867702D"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5A00495" w14:textId="7C1CFF7C" w:rsidR="00AD4B60" w:rsidRDefault="00AD4B60" w:rsidP="00AD4B60">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76DCAAF5" w14:textId="3ECC426B" w:rsidR="00AD4B60" w:rsidRDefault="00AD4B60" w:rsidP="00AD4B60">
            <w:pPr>
              <w:jc w:val="right"/>
              <w:rPr>
                <w:color w:val="000000"/>
                <w:sz w:val="20"/>
                <w:szCs w:val="20"/>
              </w:rPr>
            </w:pPr>
            <w:r>
              <w:rPr>
                <w:color w:val="000000"/>
                <w:sz w:val="20"/>
                <w:szCs w:val="20"/>
              </w:rPr>
              <w:t>0.515</w:t>
            </w:r>
          </w:p>
        </w:tc>
        <w:tc>
          <w:tcPr>
            <w:tcW w:w="768" w:type="dxa"/>
            <w:tcBorders>
              <w:top w:val="nil"/>
              <w:left w:val="nil"/>
              <w:bottom w:val="nil"/>
              <w:right w:val="nil"/>
            </w:tcBorders>
            <w:shd w:val="clear" w:color="auto" w:fill="auto"/>
            <w:noWrap/>
            <w:vAlign w:val="bottom"/>
            <w:hideMark/>
          </w:tcPr>
          <w:p w14:paraId="0A976940" w14:textId="16381035"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DAD739F" w14:textId="498FA7B0" w:rsidR="00AD4B60" w:rsidRDefault="00AD4B60" w:rsidP="00AD4B60">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32397D85" w14:textId="3684DA7B" w:rsidR="00AD4B60" w:rsidRDefault="00AD4B60" w:rsidP="00AD4B60">
            <w:pPr>
              <w:jc w:val="right"/>
              <w:rPr>
                <w:color w:val="000000"/>
                <w:sz w:val="20"/>
                <w:szCs w:val="20"/>
              </w:rPr>
            </w:pPr>
            <w:r>
              <w:rPr>
                <w:color w:val="000000"/>
                <w:sz w:val="20"/>
                <w:szCs w:val="20"/>
              </w:rPr>
              <w:t>0.388</w:t>
            </w:r>
          </w:p>
        </w:tc>
        <w:tc>
          <w:tcPr>
            <w:tcW w:w="768" w:type="dxa"/>
            <w:tcBorders>
              <w:top w:val="nil"/>
              <w:left w:val="nil"/>
              <w:bottom w:val="nil"/>
              <w:right w:val="nil"/>
            </w:tcBorders>
            <w:shd w:val="clear" w:color="auto" w:fill="auto"/>
            <w:noWrap/>
            <w:vAlign w:val="bottom"/>
            <w:hideMark/>
          </w:tcPr>
          <w:p w14:paraId="62911A60" w14:textId="208999B8" w:rsidR="00AD4B60" w:rsidRDefault="00AD4B60" w:rsidP="00AD4B6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3ADC484" w14:textId="40277BE7" w:rsidR="00AD4B60" w:rsidRDefault="00AD4B60" w:rsidP="00AD4B6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6C58EE84" w14:textId="52B25D32" w:rsidR="00AD4B60" w:rsidRDefault="00AD4B60" w:rsidP="00AD4B60">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2AC333D1" w14:textId="79934E3C" w:rsidR="00AD4B60" w:rsidRDefault="00AD4B60" w:rsidP="00AD4B60">
            <w:pPr>
              <w:jc w:val="right"/>
              <w:rPr>
                <w:color w:val="000000"/>
                <w:sz w:val="20"/>
                <w:szCs w:val="20"/>
              </w:rPr>
            </w:pPr>
            <w:r>
              <w:rPr>
                <w:color w:val="000000"/>
                <w:sz w:val="20"/>
                <w:szCs w:val="20"/>
              </w:rPr>
              <w:t>0.001</w:t>
            </w:r>
          </w:p>
        </w:tc>
      </w:tr>
      <w:tr w:rsidR="00AD4B60" w14:paraId="63E7F3B4" w14:textId="77777777" w:rsidTr="00964DCF">
        <w:trPr>
          <w:trHeight w:val="320"/>
        </w:trPr>
        <w:tc>
          <w:tcPr>
            <w:tcW w:w="1176" w:type="dxa"/>
            <w:tcBorders>
              <w:top w:val="nil"/>
              <w:left w:val="nil"/>
              <w:bottom w:val="nil"/>
              <w:right w:val="nil"/>
            </w:tcBorders>
            <w:shd w:val="clear" w:color="auto" w:fill="auto"/>
            <w:noWrap/>
            <w:vAlign w:val="bottom"/>
            <w:hideMark/>
          </w:tcPr>
          <w:p w14:paraId="43E9AD3D"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A7E04A" w14:textId="77777777" w:rsidR="00AD4B60" w:rsidRDefault="00AD4B60" w:rsidP="00AD4B6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1545CA3" w14:textId="1B9DA587" w:rsidR="00AD4B60" w:rsidRDefault="00AD4B60" w:rsidP="00AD4B60">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C72A677" w14:textId="079810C2" w:rsidR="00AD4B60" w:rsidRDefault="00AD4B60" w:rsidP="00AD4B60">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1569077D" w14:textId="55E7ADC9"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950FB3B" w14:textId="6F3348CF" w:rsidR="00AD4B60" w:rsidRDefault="00AD4B60" w:rsidP="00AD4B6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2C308CF" w14:textId="660A1CC0" w:rsidR="00AD4B60" w:rsidRDefault="00AD4B60" w:rsidP="00AD4B60">
            <w:pPr>
              <w:jc w:val="right"/>
              <w:rPr>
                <w:color w:val="000000"/>
                <w:sz w:val="20"/>
                <w:szCs w:val="20"/>
              </w:rPr>
            </w:pPr>
            <w:r>
              <w:rPr>
                <w:color w:val="000000"/>
                <w:sz w:val="20"/>
                <w:szCs w:val="20"/>
              </w:rPr>
              <w:t>0.880</w:t>
            </w:r>
          </w:p>
        </w:tc>
        <w:tc>
          <w:tcPr>
            <w:tcW w:w="768" w:type="dxa"/>
            <w:tcBorders>
              <w:top w:val="nil"/>
              <w:left w:val="nil"/>
              <w:bottom w:val="nil"/>
              <w:right w:val="nil"/>
            </w:tcBorders>
            <w:shd w:val="clear" w:color="auto" w:fill="auto"/>
            <w:noWrap/>
            <w:vAlign w:val="bottom"/>
            <w:hideMark/>
          </w:tcPr>
          <w:p w14:paraId="7F35C922" w14:textId="214CBC73"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7218AF" w14:textId="793C3E99" w:rsidR="00AD4B60" w:rsidRDefault="00AD4B60" w:rsidP="00AD4B60">
            <w:pPr>
              <w:jc w:val="right"/>
              <w:rPr>
                <w:b/>
                <w:bCs/>
                <w:color w:val="000000"/>
                <w:sz w:val="20"/>
                <w:szCs w:val="20"/>
              </w:rPr>
            </w:pPr>
            <w:r>
              <w:rPr>
                <w:b/>
                <w:bCs/>
                <w:color w:val="000000"/>
                <w:sz w:val="20"/>
                <w:szCs w:val="20"/>
              </w:rPr>
              <w:t>0.115</w:t>
            </w:r>
          </w:p>
        </w:tc>
        <w:tc>
          <w:tcPr>
            <w:tcW w:w="768" w:type="dxa"/>
            <w:tcBorders>
              <w:top w:val="nil"/>
              <w:left w:val="nil"/>
              <w:bottom w:val="nil"/>
              <w:right w:val="nil"/>
            </w:tcBorders>
            <w:shd w:val="clear" w:color="auto" w:fill="auto"/>
            <w:noWrap/>
            <w:vAlign w:val="bottom"/>
            <w:hideMark/>
          </w:tcPr>
          <w:p w14:paraId="2D29CAD1" w14:textId="3692EDB3" w:rsidR="00AD4B60" w:rsidRDefault="00AD4B60" w:rsidP="00AD4B60">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7567437" w14:textId="7E9D6809" w:rsidR="00AD4B60" w:rsidRDefault="00AD4B60" w:rsidP="00AD4B60">
            <w:pPr>
              <w:jc w:val="right"/>
              <w:rPr>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0AB535FB" w14:textId="48DE45A3"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4E4830C" w14:textId="49C9EC12" w:rsidR="00AD4B60" w:rsidRDefault="00AD4B60" w:rsidP="00AD4B60">
            <w:pPr>
              <w:jc w:val="right"/>
              <w:rPr>
                <w:color w:val="000000"/>
                <w:sz w:val="20"/>
                <w:szCs w:val="20"/>
              </w:rPr>
            </w:pPr>
            <w:r>
              <w:rPr>
                <w:color w:val="000000"/>
                <w:sz w:val="20"/>
                <w:szCs w:val="20"/>
              </w:rPr>
              <w:t>0.889</w:t>
            </w:r>
          </w:p>
        </w:tc>
        <w:tc>
          <w:tcPr>
            <w:tcW w:w="768" w:type="dxa"/>
            <w:tcBorders>
              <w:top w:val="nil"/>
              <w:left w:val="nil"/>
              <w:bottom w:val="nil"/>
              <w:right w:val="nil"/>
            </w:tcBorders>
            <w:shd w:val="clear" w:color="auto" w:fill="auto"/>
            <w:noWrap/>
            <w:vAlign w:val="bottom"/>
            <w:hideMark/>
          </w:tcPr>
          <w:p w14:paraId="2D844B49" w14:textId="53B75546"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4906E3" w14:textId="6A92F0B3" w:rsidR="00AD4B60" w:rsidRDefault="00AD4B60" w:rsidP="00AD4B60">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79A045C" w14:textId="18851618" w:rsidR="00AD4B60" w:rsidRDefault="00AD4B60" w:rsidP="00AD4B60">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4AA62BB7" w14:textId="48742148" w:rsidR="00AD4B60" w:rsidRDefault="00AD4B60" w:rsidP="00AD4B60">
            <w:pPr>
              <w:jc w:val="right"/>
              <w:rPr>
                <w:color w:val="000000"/>
                <w:sz w:val="20"/>
                <w:szCs w:val="20"/>
              </w:rPr>
            </w:pPr>
            <w:r>
              <w:rPr>
                <w:color w:val="000000"/>
                <w:sz w:val="20"/>
                <w:szCs w:val="20"/>
              </w:rPr>
              <w:t>0.000</w:t>
            </w:r>
          </w:p>
        </w:tc>
      </w:tr>
      <w:tr w:rsidR="00AD4B60" w14:paraId="27AAD3E5" w14:textId="77777777" w:rsidTr="0019071A">
        <w:trPr>
          <w:trHeight w:val="320"/>
        </w:trPr>
        <w:tc>
          <w:tcPr>
            <w:tcW w:w="1176" w:type="dxa"/>
            <w:tcBorders>
              <w:top w:val="nil"/>
              <w:left w:val="nil"/>
              <w:bottom w:val="nil"/>
              <w:right w:val="nil"/>
            </w:tcBorders>
            <w:shd w:val="clear" w:color="auto" w:fill="auto"/>
            <w:noWrap/>
            <w:vAlign w:val="bottom"/>
            <w:hideMark/>
          </w:tcPr>
          <w:p w14:paraId="547D33A1"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2328F43" w14:textId="77777777" w:rsidR="00AD4B60" w:rsidRDefault="00AD4B60" w:rsidP="00AD4B6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8AEED22" w14:textId="34E4D888"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9CC0B7D" w14:textId="0763D152" w:rsidR="00AD4B60" w:rsidRDefault="00AD4B60" w:rsidP="00AD4B60">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23E1A7F5" w14:textId="18E327AB"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F52B10" w14:textId="00557BF2" w:rsidR="00AD4B60" w:rsidRDefault="00AD4B60" w:rsidP="00AD4B6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281BC1C" w14:textId="65F1CB30" w:rsidR="00AD4B60" w:rsidRDefault="00AD4B60" w:rsidP="00AD4B60">
            <w:pPr>
              <w:jc w:val="right"/>
              <w:rPr>
                <w:color w:val="000000"/>
                <w:sz w:val="20"/>
                <w:szCs w:val="20"/>
              </w:rPr>
            </w:pPr>
            <w:r>
              <w:rPr>
                <w:color w:val="000000"/>
                <w:sz w:val="20"/>
                <w:szCs w:val="20"/>
              </w:rPr>
              <w:t>0.877</w:t>
            </w:r>
          </w:p>
        </w:tc>
        <w:tc>
          <w:tcPr>
            <w:tcW w:w="768" w:type="dxa"/>
            <w:tcBorders>
              <w:top w:val="nil"/>
              <w:left w:val="nil"/>
              <w:bottom w:val="nil"/>
              <w:right w:val="nil"/>
            </w:tcBorders>
            <w:shd w:val="clear" w:color="auto" w:fill="auto"/>
            <w:noWrap/>
            <w:vAlign w:val="bottom"/>
            <w:hideMark/>
          </w:tcPr>
          <w:p w14:paraId="361A59F6" w14:textId="70033D14"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F9F967" w14:textId="29C9906E" w:rsidR="00AD4B60" w:rsidRDefault="00AD4B60" w:rsidP="00AD4B6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FE19F63" w14:textId="58C5178A" w:rsidR="00AD4B60" w:rsidRDefault="00AD4B60" w:rsidP="00AD4B60">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7DAC70ED" w14:textId="4F0751E9"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753DBD" w14:textId="77FFF27B" w:rsidR="00AD4B60" w:rsidRDefault="00AD4B60" w:rsidP="00AD4B60">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BCE6F6D" w14:textId="57FD9748" w:rsidR="00AD4B60" w:rsidRDefault="00AD4B60" w:rsidP="00AD4B60">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7995746C" w14:textId="6EE4D389"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A04C8A" w14:textId="5D6DC88D" w:rsidR="00AD4B60" w:rsidRDefault="00AD4B60" w:rsidP="00AD4B6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1A54D56" w14:textId="2523E4B7" w:rsidR="00AD4B60" w:rsidRDefault="00AD4B60" w:rsidP="00AD4B60">
            <w:pPr>
              <w:jc w:val="right"/>
              <w:rPr>
                <w:color w:val="000000"/>
                <w:sz w:val="20"/>
                <w:szCs w:val="20"/>
              </w:rPr>
            </w:pPr>
            <w:r>
              <w:rPr>
                <w:color w:val="000000"/>
                <w:sz w:val="20"/>
                <w:szCs w:val="20"/>
              </w:rPr>
              <w:t>0.811</w:t>
            </w:r>
          </w:p>
        </w:tc>
        <w:tc>
          <w:tcPr>
            <w:tcW w:w="768" w:type="dxa"/>
            <w:tcBorders>
              <w:top w:val="nil"/>
              <w:left w:val="nil"/>
              <w:bottom w:val="nil"/>
              <w:right w:val="nil"/>
            </w:tcBorders>
            <w:shd w:val="clear" w:color="auto" w:fill="auto"/>
            <w:noWrap/>
            <w:vAlign w:val="bottom"/>
            <w:hideMark/>
          </w:tcPr>
          <w:p w14:paraId="5D9491D0" w14:textId="338D1C68" w:rsidR="00AD4B60" w:rsidRDefault="00AD4B60" w:rsidP="00AD4B60">
            <w:pPr>
              <w:jc w:val="right"/>
              <w:rPr>
                <w:color w:val="000000"/>
                <w:sz w:val="20"/>
                <w:szCs w:val="20"/>
              </w:rPr>
            </w:pPr>
            <w:r>
              <w:rPr>
                <w:color w:val="000000"/>
                <w:sz w:val="20"/>
                <w:szCs w:val="20"/>
              </w:rPr>
              <w:t>0.000</w:t>
            </w:r>
          </w:p>
        </w:tc>
      </w:tr>
      <w:tr w:rsidR="00AD4B60" w14:paraId="3EF3DF08" w14:textId="77777777" w:rsidTr="0019071A">
        <w:trPr>
          <w:trHeight w:val="320"/>
        </w:trPr>
        <w:tc>
          <w:tcPr>
            <w:tcW w:w="1176" w:type="dxa"/>
            <w:tcBorders>
              <w:top w:val="nil"/>
              <w:left w:val="nil"/>
              <w:bottom w:val="single" w:sz="4" w:space="0" w:color="auto"/>
              <w:right w:val="nil"/>
            </w:tcBorders>
            <w:shd w:val="clear" w:color="auto" w:fill="auto"/>
            <w:noWrap/>
            <w:vAlign w:val="bottom"/>
            <w:hideMark/>
          </w:tcPr>
          <w:p w14:paraId="5F8FD148" w14:textId="77777777" w:rsidR="00AD4B60" w:rsidRDefault="00AD4B60" w:rsidP="00AD4B6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B5C8FDF" w14:textId="77777777" w:rsidR="00AD4B60" w:rsidRDefault="00AD4B60" w:rsidP="00AD4B6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9083A40" w14:textId="3852F578"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BAF73BA" w14:textId="4B11FC15" w:rsidR="00AD4B60" w:rsidRDefault="00AD4B60" w:rsidP="00AD4B60">
            <w:pPr>
              <w:jc w:val="right"/>
              <w:rPr>
                <w:color w:val="000000"/>
                <w:sz w:val="20"/>
                <w:szCs w:val="20"/>
              </w:rPr>
            </w:pPr>
            <w:r>
              <w:rPr>
                <w:color w:val="000000"/>
                <w:sz w:val="20"/>
                <w:szCs w:val="20"/>
              </w:rPr>
              <w:t>0.960</w:t>
            </w:r>
          </w:p>
        </w:tc>
        <w:tc>
          <w:tcPr>
            <w:tcW w:w="768" w:type="dxa"/>
            <w:tcBorders>
              <w:top w:val="nil"/>
              <w:left w:val="nil"/>
              <w:bottom w:val="single" w:sz="4" w:space="0" w:color="auto"/>
              <w:right w:val="nil"/>
            </w:tcBorders>
            <w:shd w:val="clear" w:color="auto" w:fill="auto"/>
            <w:noWrap/>
            <w:vAlign w:val="bottom"/>
            <w:hideMark/>
          </w:tcPr>
          <w:p w14:paraId="44F7958A" w14:textId="0E0FB3F5"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930A96B" w14:textId="7F189B0F" w:rsidR="00AD4B60" w:rsidRDefault="00AD4B60" w:rsidP="00AD4B60">
            <w:pPr>
              <w:jc w:val="right"/>
              <w:rPr>
                <w:color w:val="000000"/>
                <w:sz w:val="20"/>
                <w:szCs w:val="20"/>
              </w:rPr>
            </w:pPr>
            <w:r>
              <w:rPr>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0AE0695B" w14:textId="4EF25595" w:rsidR="00AD4B60" w:rsidRDefault="00AD4B60" w:rsidP="00AD4B60">
            <w:pPr>
              <w:jc w:val="right"/>
              <w:rPr>
                <w:color w:val="000000"/>
                <w:sz w:val="20"/>
                <w:szCs w:val="20"/>
              </w:rPr>
            </w:pPr>
            <w:r>
              <w:rPr>
                <w:color w:val="000000"/>
                <w:sz w:val="20"/>
                <w:szCs w:val="20"/>
              </w:rPr>
              <w:t>0.830</w:t>
            </w:r>
          </w:p>
        </w:tc>
        <w:tc>
          <w:tcPr>
            <w:tcW w:w="768" w:type="dxa"/>
            <w:tcBorders>
              <w:top w:val="nil"/>
              <w:left w:val="nil"/>
              <w:bottom w:val="single" w:sz="4" w:space="0" w:color="auto"/>
              <w:right w:val="nil"/>
            </w:tcBorders>
            <w:shd w:val="clear" w:color="auto" w:fill="auto"/>
            <w:noWrap/>
            <w:vAlign w:val="bottom"/>
            <w:hideMark/>
          </w:tcPr>
          <w:p w14:paraId="5E3688B8" w14:textId="02D1ED8F"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D27F1AD" w14:textId="0CB0FF39" w:rsidR="00AD4B60" w:rsidRDefault="00AD4B60" w:rsidP="00AD4B60">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306F7D33" w14:textId="004596B4" w:rsidR="00AD4B60" w:rsidRDefault="00AD4B60" w:rsidP="00AD4B60">
            <w:pPr>
              <w:jc w:val="right"/>
              <w:rPr>
                <w:color w:val="000000"/>
                <w:sz w:val="20"/>
                <w:szCs w:val="20"/>
              </w:rPr>
            </w:pPr>
            <w:r>
              <w:rPr>
                <w:color w:val="000000"/>
                <w:sz w:val="20"/>
                <w:szCs w:val="20"/>
              </w:rPr>
              <w:t>0.839</w:t>
            </w:r>
          </w:p>
        </w:tc>
        <w:tc>
          <w:tcPr>
            <w:tcW w:w="768" w:type="dxa"/>
            <w:tcBorders>
              <w:top w:val="nil"/>
              <w:left w:val="nil"/>
              <w:bottom w:val="single" w:sz="4" w:space="0" w:color="auto"/>
              <w:right w:val="nil"/>
            </w:tcBorders>
            <w:shd w:val="clear" w:color="auto" w:fill="auto"/>
            <w:noWrap/>
            <w:vAlign w:val="bottom"/>
            <w:hideMark/>
          </w:tcPr>
          <w:p w14:paraId="4022D10A" w14:textId="5BCE2057"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2BA395D" w14:textId="6DD0A085" w:rsidR="00AD4B60" w:rsidRDefault="00AD4B60" w:rsidP="00AD4B60">
            <w:pPr>
              <w:jc w:val="right"/>
              <w:rPr>
                <w:color w:val="000000"/>
                <w:sz w:val="20"/>
                <w:szCs w:val="20"/>
              </w:rPr>
            </w:pPr>
            <w:r>
              <w:rPr>
                <w:color w:val="000000"/>
                <w:sz w:val="20"/>
                <w:szCs w:val="20"/>
              </w:rPr>
              <w:t>0.053</w:t>
            </w:r>
          </w:p>
        </w:tc>
        <w:tc>
          <w:tcPr>
            <w:tcW w:w="768" w:type="dxa"/>
            <w:tcBorders>
              <w:top w:val="nil"/>
              <w:left w:val="nil"/>
              <w:bottom w:val="single" w:sz="4" w:space="0" w:color="auto"/>
              <w:right w:val="nil"/>
            </w:tcBorders>
            <w:shd w:val="clear" w:color="auto" w:fill="auto"/>
            <w:noWrap/>
            <w:vAlign w:val="bottom"/>
            <w:hideMark/>
          </w:tcPr>
          <w:p w14:paraId="0D375844" w14:textId="764DAD99" w:rsidR="00AD4B60" w:rsidRDefault="00AD4B60" w:rsidP="00AD4B60">
            <w:pPr>
              <w:jc w:val="right"/>
              <w:rPr>
                <w:color w:val="000000"/>
                <w:sz w:val="20"/>
                <w:szCs w:val="20"/>
              </w:rPr>
            </w:pPr>
            <w:r>
              <w:rPr>
                <w:color w:val="000000"/>
                <w:sz w:val="20"/>
                <w:szCs w:val="20"/>
              </w:rPr>
              <w:t>0.715</w:t>
            </w:r>
          </w:p>
        </w:tc>
        <w:tc>
          <w:tcPr>
            <w:tcW w:w="768" w:type="dxa"/>
            <w:tcBorders>
              <w:top w:val="nil"/>
              <w:left w:val="nil"/>
              <w:bottom w:val="single" w:sz="4" w:space="0" w:color="auto"/>
              <w:right w:val="nil"/>
            </w:tcBorders>
            <w:shd w:val="clear" w:color="auto" w:fill="auto"/>
            <w:noWrap/>
            <w:vAlign w:val="bottom"/>
            <w:hideMark/>
          </w:tcPr>
          <w:p w14:paraId="1F41D404" w14:textId="1983B122"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3B6F507B" w14:textId="6848129F" w:rsidR="00AD4B60" w:rsidRDefault="00AD4B60" w:rsidP="00AD4B60">
            <w:pPr>
              <w:jc w:val="right"/>
              <w:rPr>
                <w:color w:val="000000"/>
                <w:sz w:val="20"/>
                <w:szCs w:val="20"/>
              </w:rPr>
            </w:pPr>
            <w:r>
              <w:rPr>
                <w:color w:val="000000"/>
                <w:sz w:val="20"/>
                <w:szCs w:val="20"/>
              </w:rPr>
              <w:t>0.049</w:t>
            </w:r>
          </w:p>
        </w:tc>
        <w:tc>
          <w:tcPr>
            <w:tcW w:w="768" w:type="dxa"/>
            <w:tcBorders>
              <w:top w:val="nil"/>
              <w:left w:val="nil"/>
              <w:bottom w:val="single" w:sz="4" w:space="0" w:color="auto"/>
              <w:right w:val="nil"/>
            </w:tcBorders>
            <w:shd w:val="clear" w:color="auto" w:fill="auto"/>
            <w:noWrap/>
            <w:vAlign w:val="bottom"/>
            <w:hideMark/>
          </w:tcPr>
          <w:p w14:paraId="386F4CE9" w14:textId="70ED339C" w:rsidR="00AD4B60" w:rsidRDefault="00AD4B60" w:rsidP="00AD4B60">
            <w:pPr>
              <w:jc w:val="right"/>
              <w:rPr>
                <w:color w:val="000000"/>
                <w:sz w:val="20"/>
                <w:szCs w:val="20"/>
              </w:rPr>
            </w:pPr>
            <w:r>
              <w:rPr>
                <w:color w:val="000000"/>
                <w:sz w:val="20"/>
                <w:szCs w:val="20"/>
              </w:rPr>
              <w:t>0.622</w:t>
            </w:r>
          </w:p>
        </w:tc>
        <w:tc>
          <w:tcPr>
            <w:tcW w:w="768" w:type="dxa"/>
            <w:tcBorders>
              <w:top w:val="nil"/>
              <w:left w:val="nil"/>
              <w:bottom w:val="single" w:sz="4" w:space="0" w:color="auto"/>
              <w:right w:val="nil"/>
            </w:tcBorders>
            <w:shd w:val="clear" w:color="auto" w:fill="auto"/>
            <w:noWrap/>
            <w:vAlign w:val="bottom"/>
            <w:hideMark/>
          </w:tcPr>
          <w:p w14:paraId="20E65266" w14:textId="3144A83F" w:rsidR="00AD4B60" w:rsidRDefault="00AD4B60" w:rsidP="00AD4B60">
            <w:pPr>
              <w:jc w:val="right"/>
              <w:rPr>
                <w:color w:val="000000"/>
                <w:sz w:val="20"/>
                <w:szCs w:val="20"/>
              </w:rPr>
            </w:pPr>
            <w:r>
              <w:rPr>
                <w:color w:val="000000"/>
                <w:sz w:val="20"/>
                <w:szCs w:val="20"/>
              </w:rPr>
              <w:t>0.002</w:t>
            </w:r>
          </w:p>
        </w:tc>
      </w:tr>
      <w:tr w:rsidR="00AD4B60" w14:paraId="73E22FAB" w14:textId="77777777" w:rsidTr="0019071A">
        <w:trPr>
          <w:trHeight w:val="320"/>
        </w:trPr>
        <w:tc>
          <w:tcPr>
            <w:tcW w:w="1176" w:type="dxa"/>
            <w:tcBorders>
              <w:top w:val="nil"/>
              <w:left w:val="nil"/>
              <w:bottom w:val="nil"/>
              <w:right w:val="nil"/>
            </w:tcBorders>
            <w:shd w:val="clear" w:color="auto" w:fill="auto"/>
            <w:noWrap/>
            <w:vAlign w:val="bottom"/>
            <w:hideMark/>
          </w:tcPr>
          <w:p w14:paraId="2CC016CA" w14:textId="77777777" w:rsidR="00AD4B60" w:rsidRDefault="00AD4B60" w:rsidP="00AD4B60">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603717E6" w14:textId="77777777" w:rsidR="00AD4B60" w:rsidRDefault="00AD4B60" w:rsidP="00AD4B6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C9CCE90" w14:textId="776CE3E7" w:rsidR="00AD4B60" w:rsidRDefault="00AD4B60" w:rsidP="00AD4B6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66AD3563" w14:textId="12F82BCD" w:rsidR="00AD4B60" w:rsidRDefault="00AD4B60" w:rsidP="00AD4B60">
            <w:pPr>
              <w:jc w:val="right"/>
              <w:rPr>
                <w:color w:val="000000"/>
                <w:sz w:val="20"/>
                <w:szCs w:val="20"/>
              </w:rPr>
            </w:pPr>
            <w:r>
              <w:rPr>
                <w:color w:val="000000"/>
                <w:sz w:val="20"/>
                <w:szCs w:val="20"/>
              </w:rPr>
              <w:t>0.876</w:t>
            </w:r>
          </w:p>
        </w:tc>
        <w:tc>
          <w:tcPr>
            <w:tcW w:w="768" w:type="dxa"/>
            <w:tcBorders>
              <w:top w:val="nil"/>
              <w:left w:val="nil"/>
              <w:bottom w:val="nil"/>
              <w:right w:val="nil"/>
            </w:tcBorders>
            <w:shd w:val="clear" w:color="auto" w:fill="auto"/>
            <w:noWrap/>
            <w:vAlign w:val="bottom"/>
            <w:hideMark/>
          </w:tcPr>
          <w:p w14:paraId="1DE61752" w14:textId="1E497441"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195E09" w14:textId="54E8C98E" w:rsidR="00AD4B60" w:rsidRDefault="00AD4B60" w:rsidP="00AD4B60">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2B39506B" w14:textId="04213CF6" w:rsidR="00AD4B60" w:rsidRDefault="00AD4B60" w:rsidP="00AD4B60">
            <w:pPr>
              <w:jc w:val="right"/>
              <w:rPr>
                <w:color w:val="000000"/>
                <w:sz w:val="20"/>
                <w:szCs w:val="20"/>
              </w:rPr>
            </w:pPr>
            <w:r>
              <w:rPr>
                <w:color w:val="000000"/>
                <w:sz w:val="20"/>
                <w:szCs w:val="20"/>
              </w:rPr>
              <w:t>0.614</w:t>
            </w:r>
          </w:p>
        </w:tc>
        <w:tc>
          <w:tcPr>
            <w:tcW w:w="768" w:type="dxa"/>
            <w:tcBorders>
              <w:top w:val="nil"/>
              <w:left w:val="nil"/>
              <w:bottom w:val="nil"/>
              <w:right w:val="nil"/>
            </w:tcBorders>
            <w:shd w:val="clear" w:color="auto" w:fill="auto"/>
            <w:noWrap/>
            <w:vAlign w:val="bottom"/>
            <w:hideMark/>
          </w:tcPr>
          <w:p w14:paraId="50CEE7D8" w14:textId="60B3C180"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CA1348B" w14:textId="5C5168E0" w:rsidR="00AD4B60" w:rsidRDefault="00AD4B60" w:rsidP="00AD4B6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F6981A0" w14:textId="0C5898BA" w:rsidR="00AD4B60" w:rsidRDefault="00AD4B60" w:rsidP="00AD4B60">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4D9EBBC1" w14:textId="7EB6306D"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95B2C7" w14:textId="1E82947F" w:rsidR="00AD4B60" w:rsidRDefault="00AD4B60" w:rsidP="00AD4B6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2F86A10" w14:textId="7692F509" w:rsidR="00AD4B60" w:rsidRDefault="00AD4B60" w:rsidP="00AD4B60">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1F09C5A0" w14:textId="730E0E4A"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4EF4E7C" w14:textId="2FAD6A53" w:rsidR="00AD4B60" w:rsidRDefault="00AD4B60" w:rsidP="00AD4B60">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7BA2D032" w14:textId="3FD3AA42" w:rsidR="00AD4B60" w:rsidRDefault="00AD4B60" w:rsidP="00AD4B60">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301A169C" w14:textId="089718F7" w:rsidR="00AD4B60" w:rsidRDefault="00AD4B60" w:rsidP="00AD4B60">
            <w:pPr>
              <w:jc w:val="right"/>
              <w:rPr>
                <w:color w:val="000000"/>
                <w:sz w:val="20"/>
                <w:szCs w:val="20"/>
              </w:rPr>
            </w:pPr>
            <w:r>
              <w:rPr>
                <w:color w:val="000000"/>
                <w:sz w:val="20"/>
                <w:szCs w:val="20"/>
              </w:rPr>
              <w:t>0.006</w:t>
            </w:r>
          </w:p>
        </w:tc>
      </w:tr>
      <w:tr w:rsidR="00AD4B60" w14:paraId="1AF0D8BB" w14:textId="77777777" w:rsidTr="0019071A">
        <w:trPr>
          <w:trHeight w:val="320"/>
        </w:trPr>
        <w:tc>
          <w:tcPr>
            <w:tcW w:w="1176" w:type="dxa"/>
            <w:tcBorders>
              <w:top w:val="nil"/>
              <w:left w:val="nil"/>
              <w:bottom w:val="nil"/>
              <w:right w:val="nil"/>
            </w:tcBorders>
            <w:shd w:val="clear" w:color="auto" w:fill="auto"/>
            <w:noWrap/>
            <w:vAlign w:val="bottom"/>
            <w:hideMark/>
          </w:tcPr>
          <w:p w14:paraId="474B9A86"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A73D3A2" w14:textId="77777777" w:rsidR="00AD4B60" w:rsidRDefault="00AD4B60" w:rsidP="00AD4B6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88AB63C" w14:textId="120C85E4" w:rsidR="00AD4B60" w:rsidRDefault="00AD4B60" w:rsidP="00AD4B60">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C7DE11B" w14:textId="18EFA8C8" w:rsidR="00AD4B60" w:rsidRDefault="00AD4B60" w:rsidP="00AD4B60">
            <w:pPr>
              <w:jc w:val="right"/>
              <w:rPr>
                <w:color w:val="000000"/>
                <w:sz w:val="20"/>
                <w:szCs w:val="20"/>
              </w:rPr>
            </w:pPr>
            <w:r>
              <w:rPr>
                <w:color w:val="000000"/>
                <w:sz w:val="20"/>
                <w:szCs w:val="20"/>
              </w:rPr>
              <w:t>0.876</w:t>
            </w:r>
          </w:p>
        </w:tc>
        <w:tc>
          <w:tcPr>
            <w:tcW w:w="768" w:type="dxa"/>
            <w:tcBorders>
              <w:top w:val="nil"/>
              <w:left w:val="nil"/>
              <w:bottom w:val="nil"/>
              <w:right w:val="nil"/>
            </w:tcBorders>
            <w:shd w:val="clear" w:color="auto" w:fill="auto"/>
            <w:noWrap/>
            <w:vAlign w:val="bottom"/>
            <w:hideMark/>
          </w:tcPr>
          <w:p w14:paraId="1431A353" w14:textId="2BBD3D79"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536AD0" w14:textId="1AEB6A39" w:rsidR="00AD4B60" w:rsidRDefault="00AD4B60" w:rsidP="00AD4B60">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4E35883A" w14:textId="1E6B2482" w:rsidR="00AD4B60" w:rsidRDefault="00AD4B60" w:rsidP="00AD4B60">
            <w:pPr>
              <w:jc w:val="right"/>
              <w:rPr>
                <w:color w:val="000000"/>
                <w:sz w:val="20"/>
                <w:szCs w:val="20"/>
              </w:rPr>
            </w:pPr>
            <w:r>
              <w:rPr>
                <w:color w:val="000000"/>
                <w:sz w:val="20"/>
                <w:szCs w:val="20"/>
              </w:rPr>
              <w:t>0.614</w:t>
            </w:r>
          </w:p>
        </w:tc>
        <w:tc>
          <w:tcPr>
            <w:tcW w:w="768" w:type="dxa"/>
            <w:tcBorders>
              <w:top w:val="nil"/>
              <w:left w:val="nil"/>
              <w:bottom w:val="nil"/>
              <w:right w:val="nil"/>
            </w:tcBorders>
            <w:shd w:val="clear" w:color="auto" w:fill="auto"/>
            <w:noWrap/>
            <w:vAlign w:val="bottom"/>
            <w:hideMark/>
          </w:tcPr>
          <w:p w14:paraId="76B7EAAA" w14:textId="16DDE85B"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8B2748C" w14:textId="3DC8B621" w:rsidR="00AD4B60" w:rsidRDefault="00AD4B60" w:rsidP="00AD4B6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12DCAD8" w14:textId="112FEAE1" w:rsidR="00AD4B60" w:rsidRDefault="00AD4B60" w:rsidP="00AD4B60">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14CB8BD9" w14:textId="53572719"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C0D354" w14:textId="4B0AD7D9" w:rsidR="00AD4B60" w:rsidRDefault="00AD4B60" w:rsidP="00AD4B60">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03783302" w14:textId="0DA53835" w:rsidR="00AD4B60" w:rsidRDefault="00AD4B60" w:rsidP="00AD4B60">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35498003" w14:textId="7E6FBCCE"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C0B3FA" w14:textId="03404029"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EC56332" w14:textId="7B4B13F3" w:rsidR="00AD4B60" w:rsidRDefault="00AD4B60" w:rsidP="00AD4B60">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757B6C26" w14:textId="3691926B" w:rsidR="00AD4B60" w:rsidRDefault="00AD4B60" w:rsidP="00AD4B60">
            <w:pPr>
              <w:jc w:val="right"/>
              <w:rPr>
                <w:color w:val="000000"/>
                <w:sz w:val="20"/>
                <w:szCs w:val="20"/>
              </w:rPr>
            </w:pPr>
            <w:r>
              <w:rPr>
                <w:color w:val="000000"/>
                <w:sz w:val="20"/>
                <w:szCs w:val="20"/>
              </w:rPr>
              <w:t>0.000</w:t>
            </w:r>
          </w:p>
        </w:tc>
      </w:tr>
      <w:tr w:rsidR="00AD4B60" w14:paraId="54F1280E" w14:textId="77777777" w:rsidTr="0019071A">
        <w:trPr>
          <w:trHeight w:val="320"/>
        </w:trPr>
        <w:tc>
          <w:tcPr>
            <w:tcW w:w="1176" w:type="dxa"/>
            <w:tcBorders>
              <w:top w:val="nil"/>
              <w:left w:val="nil"/>
              <w:bottom w:val="nil"/>
              <w:right w:val="nil"/>
            </w:tcBorders>
            <w:shd w:val="clear" w:color="auto" w:fill="auto"/>
            <w:noWrap/>
            <w:vAlign w:val="bottom"/>
            <w:hideMark/>
          </w:tcPr>
          <w:p w14:paraId="24B73934"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1A4D5E" w14:textId="77777777" w:rsidR="00AD4B60" w:rsidRDefault="00AD4B60" w:rsidP="00AD4B6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016E1F2" w14:textId="7CA9BAE6" w:rsidR="00AD4B60" w:rsidRDefault="00AD4B60" w:rsidP="00AD4B60">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28E6CFBE" w14:textId="7C0ED026" w:rsidR="00AD4B60" w:rsidRDefault="00AD4B60" w:rsidP="00AD4B60">
            <w:pPr>
              <w:jc w:val="right"/>
              <w:rPr>
                <w:color w:val="000000"/>
                <w:sz w:val="20"/>
                <w:szCs w:val="20"/>
              </w:rPr>
            </w:pPr>
            <w:r>
              <w:rPr>
                <w:color w:val="000000"/>
                <w:sz w:val="20"/>
                <w:szCs w:val="20"/>
              </w:rPr>
              <w:t>0.876</w:t>
            </w:r>
          </w:p>
        </w:tc>
        <w:tc>
          <w:tcPr>
            <w:tcW w:w="768" w:type="dxa"/>
            <w:tcBorders>
              <w:top w:val="nil"/>
              <w:left w:val="nil"/>
              <w:bottom w:val="nil"/>
              <w:right w:val="nil"/>
            </w:tcBorders>
            <w:shd w:val="clear" w:color="auto" w:fill="auto"/>
            <w:noWrap/>
            <w:vAlign w:val="bottom"/>
            <w:hideMark/>
          </w:tcPr>
          <w:p w14:paraId="39BC62CC" w14:textId="3EB73593"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B26FD7C" w14:textId="2E721E16" w:rsidR="00AD4B60" w:rsidRDefault="00AD4B60" w:rsidP="00AD4B6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1D73B8F" w14:textId="6CA43A71" w:rsidR="00AD4B60" w:rsidRDefault="00AD4B60" w:rsidP="00AD4B60">
            <w:pPr>
              <w:jc w:val="right"/>
              <w:rPr>
                <w:color w:val="000000"/>
                <w:sz w:val="20"/>
                <w:szCs w:val="20"/>
              </w:rPr>
            </w:pPr>
            <w:r>
              <w:rPr>
                <w:color w:val="000000"/>
                <w:sz w:val="20"/>
                <w:szCs w:val="20"/>
              </w:rPr>
              <w:t>0.614</w:t>
            </w:r>
          </w:p>
        </w:tc>
        <w:tc>
          <w:tcPr>
            <w:tcW w:w="768" w:type="dxa"/>
            <w:tcBorders>
              <w:top w:val="nil"/>
              <w:left w:val="nil"/>
              <w:bottom w:val="nil"/>
              <w:right w:val="nil"/>
            </w:tcBorders>
            <w:shd w:val="clear" w:color="auto" w:fill="auto"/>
            <w:noWrap/>
            <w:vAlign w:val="bottom"/>
            <w:hideMark/>
          </w:tcPr>
          <w:p w14:paraId="6914E205" w14:textId="33CD1F0F"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12FCA6F" w14:textId="66188425" w:rsidR="00AD4B60" w:rsidRDefault="00AD4B60" w:rsidP="00AD4B6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175DE64" w14:textId="6D748E6D" w:rsidR="00AD4B60" w:rsidRDefault="00AD4B60" w:rsidP="00AD4B60">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21E1628B" w14:textId="3B6C9005"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8E3B86" w14:textId="2EE16BAB" w:rsidR="00AD4B60" w:rsidRDefault="00AD4B60" w:rsidP="00AD4B60">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18E5E89" w14:textId="39693D3A" w:rsidR="00AD4B60" w:rsidRDefault="00AD4B60" w:rsidP="00AD4B60">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1DCD5748" w14:textId="6D25E371"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9A30C2" w14:textId="6F5376F2"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B4D66E1" w14:textId="5B1F5CF4" w:rsidR="00AD4B60" w:rsidRDefault="00AD4B60" w:rsidP="00AD4B60">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4370AEDD" w14:textId="2B39DD40" w:rsidR="00AD4B60" w:rsidRDefault="00AD4B60" w:rsidP="00AD4B60">
            <w:pPr>
              <w:jc w:val="right"/>
              <w:rPr>
                <w:color w:val="000000"/>
                <w:sz w:val="20"/>
                <w:szCs w:val="20"/>
              </w:rPr>
            </w:pPr>
            <w:r>
              <w:rPr>
                <w:color w:val="000000"/>
                <w:sz w:val="20"/>
                <w:szCs w:val="20"/>
              </w:rPr>
              <w:t>0.000</w:t>
            </w:r>
          </w:p>
        </w:tc>
      </w:tr>
      <w:tr w:rsidR="00AD4B60" w14:paraId="13CC1CE4" w14:textId="77777777" w:rsidTr="0019071A">
        <w:trPr>
          <w:trHeight w:val="320"/>
        </w:trPr>
        <w:tc>
          <w:tcPr>
            <w:tcW w:w="1176" w:type="dxa"/>
            <w:tcBorders>
              <w:top w:val="nil"/>
              <w:left w:val="nil"/>
              <w:bottom w:val="nil"/>
              <w:right w:val="nil"/>
            </w:tcBorders>
            <w:shd w:val="clear" w:color="auto" w:fill="auto"/>
            <w:noWrap/>
            <w:vAlign w:val="bottom"/>
            <w:hideMark/>
          </w:tcPr>
          <w:p w14:paraId="429A7DC6"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BD7E2DB" w14:textId="77777777" w:rsidR="00AD4B60" w:rsidRDefault="00AD4B60" w:rsidP="00AD4B6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426C1CD" w14:textId="4FA3B7E9"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DE5B1EF" w14:textId="01FAC0EE" w:rsidR="00AD4B60" w:rsidRDefault="00AD4B60" w:rsidP="00AD4B60">
            <w:pPr>
              <w:jc w:val="right"/>
              <w:rPr>
                <w:color w:val="000000"/>
                <w:sz w:val="20"/>
                <w:szCs w:val="20"/>
              </w:rPr>
            </w:pPr>
            <w:r>
              <w:rPr>
                <w:color w:val="000000"/>
                <w:sz w:val="20"/>
                <w:szCs w:val="20"/>
              </w:rPr>
              <w:t>0.903</w:t>
            </w:r>
          </w:p>
        </w:tc>
        <w:tc>
          <w:tcPr>
            <w:tcW w:w="768" w:type="dxa"/>
            <w:tcBorders>
              <w:top w:val="nil"/>
              <w:left w:val="nil"/>
              <w:bottom w:val="nil"/>
              <w:right w:val="nil"/>
            </w:tcBorders>
            <w:shd w:val="clear" w:color="auto" w:fill="auto"/>
            <w:noWrap/>
            <w:vAlign w:val="bottom"/>
            <w:hideMark/>
          </w:tcPr>
          <w:p w14:paraId="2FE7FD36" w14:textId="155FA6D1"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E9BCDB" w14:textId="4270ACC3" w:rsidR="00AD4B60" w:rsidRDefault="00AD4B60" w:rsidP="00AD4B60">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2EFF1F43" w14:textId="65E906D8" w:rsidR="00AD4B60" w:rsidRDefault="00AD4B60" w:rsidP="00AD4B60">
            <w:pPr>
              <w:jc w:val="right"/>
              <w:rPr>
                <w:color w:val="000000"/>
                <w:sz w:val="20"/>
                <w:szCs w:val="20"/>
              </w:rPr>
            </w:pPr>
            <w:r>
              <w:rPr>
                <w:color w:val="000000"/>
                <w:sz w:val="20"/>
                <w:szCs w:val="20"/>
              </w:rPr>
              <w:t>0.614</w:t>
            </w:r>
          </w:p>
        </w:tc>
        <w:tc>
          <w:tcPr>
            <w:tcW w:w="768" w:type="dxa"/>
            <w:tcBorders>
              <w:top w:val="nil"/>
              <w:left w:val="nil"/>
              <w:bottom w:val="nil"/>
              <w:right w:val="nil"/>
            </w:tcBorders>
            <w:shd w:val="clear" w:color="auto" w:fill="auto"/>
            <w:noWrap/>
            <w:vAlign w:val="bottom"/>
            <w:hideMark/>
          </w:tcPr>
          <w:p w14:paraId="0C5F1101" w14:textId="3C390855"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61C07AA" w14:textId="19F17B55"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C5ED65A" w14:textId="251BBAD6" w:rsidR="00AD4B60" w:rsidRDefault="00AD4B60" w:rsidP="00AD4B60">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0D52337C" w14:textId="03EF6B84"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8DC808" w14:textId="75348A7E" w:rsidR="00AD4B60" w:rsidRDefault="00AD4B60" w:rsidP="00AD4B60">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4B3FA649" w14:textId="77609ECA" w:rsidR="00AD4B60" w:rsidRDefault="00AD4B60" w:rsidP="00AD4B60">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63DB0E04" w14:textId="54E3CA89"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5B5A4F0" w14:textId="749A5E59" w:rsidR="00AD4B60" w:rsidRDefault="00AD4B60" w:rsidP="00AD4B60">
            <w:pPr>
              <w:jc w:val="right"/>
              <w:rPr>
                <w:color w:val="000000"/>
                <w:sz w:val="20"/>
                <w:szCs w:val="20"/>
              </w:rPr>
            </w:pPr>
            <w:r>
              <w:rPr>
                <w:b/>
                <w:bCs/>
                <w:color w:val="000000"/>
                <w:sz w:val="20"/>
                <w:szCs w:val="20"/>
              </w:rPr>
              <w:t>-0.137</w:t>
            </w:r>
          </w:p>
        </w:tc>
        <w:tc>
          <w:tcPr>
            <w:tcW w:w="768" w:type="dxa"/>
            <w:tcBorders>
              <w:top w:val="nil"/>
              <w:left w:val="nil"/>
              <w:bottom w:val="nil"/>
              <w:right w:val="nil"/>
            </w:tcBorders>
            <w:shd w:val="clear" w:color="auto" w:fill="auto"/>
            <w:noWrap/>
            <w:vAlign w:val="bottom"/>
            <w:hideMark/>
          </w:tcPr>
          <w:p w14:paraId="04858433" w14:textId="023E8F09" w:rsidR="00AD4B60" w:rsidRDefault="00AD4B60" w:rsidP="00AD4B60">
            <w:pPr>
              <w:jc w:val="right"/>
              <w:rPr>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112D596B" w14:textId="29D9A742" w:rsidR="00AD4B60" w:rsidRDefault="00AD4B60" w:rsidP="00AD4B60">
            <w:pPr>
              <w:jc w:val="right"/>
              <w:rPr>
                <w:color w:val="000000"/>
                <w:sz w:val="20"/>
                <w:szCs w:val="20"/>
              </w:rPr>
            </w:pPr>
            <w:r>
              <w:rPr>
                <w:b/>
                <w:bCs/>
                <w:color w:val="000000"/>
                <w:sz w:val="20"/>
                <w:szCs w:val="20"/>
              </w:rPr>
              <w:t>0.019</w:t>
            </w:r>
          </w:p>
        </w:tc>
      </w:tr>
      <w:tr w:rsidR="00AD4B60" w14:paraId="4048CBB2" w14:textId="77777777" w:rsidTr="0019071A">
        <w:trPr>
          <w:trHeight w:val="320"/>
        </w:trPr>
        <w:tc>
          <w:tcPr>
            <w:tcW w:w="1176" w:type="dxa"/>
            <w:tcBorders>
              <w:top w:val="nil"/>
              <w:left w:val="nil"/>
              <w:bottom w:val="nil"/>
              <w:right w:val="nil"/>
            </w:tcBorders>
            <w:shd w:val="clear" w:color="auto" w:fill="auto"/>
            <w:noWrap/>
            <w:vAlign w:val="bottom"/>
            <w:hideMark/>
          </w:tcPr>
          <w:p w14:paraId="187D0117"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9F93EB" w14:textId="77777777" w:rsidR="00AD4B60" w:rsidRDefault="00AD4B60" w:rsidP="00AD4B6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AFA5991" w14:textId="7766EEB3" w:rsidR="00AD4B60" w:rsidRDefault="00AD4B60" w:rsidP="00AD4B60">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14AD630" w14:textId="2EE80AE4" w:rsidR="00AD4B60" w:rsidRDefault="00AD4B60" w:rsidP="00AD4B60">
            <w:pPr>
              <w:jc w:val="right"/>
              <w:rPr>
                <w:color w:val="000000"/>
                <w:sz w:val="20"/>
                <w:szCs w:val="20"/>
              </w:rPr>
            </w:pPr>
            <w:r>
              <w:rPr>
                <w:color w:val="000000"/>
                <w:sz w:val="20"/>
                <w:szCs w:val="20"/>
              </w:rPr>
              <w:t>0.876</w:t>
            </w:r>
          </w:p>
        </w:tc>
        <w:tc>
          <w:tcPr>
            <w:tcW w:w="768" w:type="dxa"/>
            <w:tcBorders>
              <w:top w:val="nil"/>
              <w:left w:val="nil"/>
              <w:bottom w:val="nil"/>
              <w:right w:val="nil"/>
            </w:tcBorders>
            <w:shd w:val="clear" w:color="auto" w:fill="auto"/>
            <w:noWrap/>
            <w:vAlign w:val="bottom"/>
            <w:hideMark/>
          </w:tcPr>
          <w:p w14:paraId="7F079FFD" w14:textId="0F7E9EA2"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91A1B9" w14:textId="7BD3E6C3" w:rsidR="00AD4B60" w:rsidRDefault="00AD4B60" w:rsidP="00AD4B60">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7F616F1" w14:textId="00EC2F7A" w:rsidR="00AD4B60" w:rsidRDefault="00AD4B60" w:rsidP="00AD4B60">
            <w:pPr>
              <w:jc w:val="right"/>
              <w:rPr>
                <w:color w:val="000000"/>
                <w:sz w:val="20"/>
                <w:szCs w:val="20"/>
              </w:rPr>
            </w:pPr>
            <w:r>
              <w:rPr>
                <w:color w:val="000000"/>
                <w:sz w:val="20"/>
                <w:szCs w:val="20"/>
              </w:rPr>
              <w:t>0.614</w:t>
            </w:r>
          </w:p>
        </w:tc>
        <w:tc>
          <w:tcPr>
            <w:tcW w:w="768" w:type="dxa"/>
            <w:tcBorders>
              <w:top w:val="nil"/>
              <w:left w:val="nil"/>
              <w:bottom w:val="nil"/>
              <w:right w:val="nil"/>
            </w:tcBorders>
            <w:shd w:val="clear" w:color="auto" w:fill="auto"/>
            <w:noWrap/>
            <w:vAlign w:val="bottom"/>
            <w:hideMark/>
          </w:tcPr>
          <w:p w14:paraId="06DAE223" w14:textId="35A7B2BE"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22103D" w14:textId="5893FA67"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3D5BE7D" w14:textId="7CFF5616" w:rsidR="00AD4B60" w:rsidRDefault="00AD4B60" w:rsidP="00AD4B60">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29F9A272" w14:textId="2E121CF6"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D9AB81" w14:textId="4ADC2951" w:rsidR="00AD4B60" w:rsidRDefault="00AD4B60" w:rsidP="00AD4B60">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019567A2" w14:textId="0F89CB82" w:rsidR="00AD4B60" w:rsidRDefault="00AD4B60" w:rsidP="00AD4B60">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5BB55750" w14:textId="22F1FF14"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E3915F" w14:textId="20141A1C" w:rsidR="00AD4B60" w:rsidRDefault="00AD4B60" w:rsidP="00AD4B60">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34CD1BC" w14:textId="616EF3E3" w:rsidR="00AD4B60" w:rsidRDefault="00AD4B60" w:rsidP="00AD4B60">
            <w:pPr>
              <w:jc w:val="right"/>
              <w:rPr>
                <w:color w:val="000000"/>
                <w:sz w:val="20"/>
                <w:szCs w:val="20"/>
              </w:rPr>
            </w:pPr>
            <w:r>
              <w:rPr>
                <w:color w:val="000000"/>
                <w:sz w:val="20"/>
                <w:szCs w:val="20"/>
              </w:rPr>
              <w:t>0.827</w:t>
            </w:r>
          </w:p>
        </w:tc>
        <w:tc>
          <w:tcPr>
            <w:tcW w:w="768" w:type="dxa"/>
            <w:tcBorders>
              <w:top w:val="nil"/>
              <w:left w:val="nil"/>
              <w:bottom w:val="nil"/>
              <w:right w:val="nil"/>
            </w:tcBorders>
            <w:shd w:val="clear" w:color="auto" w:fill="auto"/>
            <w:noWrap/>
            <w:vAlign w:val="bottom"/>
            <w:hideMark/>
          </w:tcPr>
          <w:p w14:paraId="65170C89" w14:textId="2771692E" w:rsidR="00AD4B60" w:rsidRDefault="00AD4B60" w:rsidP="00AD4B60">
            <w:pPr>
              <w:jc w:val="right"/>
              <w:rPr>
                <w:color w:val="000000"/>
                <w:sz w:val="20"/>
                <w:szCs w:val="20"/>
              </w:rPr>
            </w:pPr>
            <w:r>
              <w:rPr>
                <w:color w:val="000000"/>
                <w:sz w:val="20"/>
                <w:szCs w:val="20"/>
              </w:rPr>
              <w:t>0.001</w:t>
            </w:r>
          </w:p>
        </w:tc>
      </w:tr>
      <w:tr w:rsidR="00AD4B60" w14:paraId="4BA9B4BF" w14:textId="77777777" w:rsidTr="00964DCF">
        <w:trPr>
          <w:trHeight w:val="320"/>
        </w:trPr>
        <w:tc>
          <w:tcPr>
            <w:tcW w:w="1176" w:type="dxa"/>
            <w:tcBorders>
              <w:top w:val="nil"/>
              <w:left w:val="nil"/>
              <w:bottom w:val="nil"/>
              <w:right w:val="nil"/>
            </w:tcBorders>
            <w:shd w:val="clear" w:color="auto" w:fill="auto"/>
            <w:noWrap/>
            <w:vAlign w:val="bottom"/>
            <w:hideMark/>
          </w:tcPr>
          <w:p w14:paraId="43BB4308"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2075BCF" w14:textId="77777777" w:rsidR="00AD4B60" w:rsidRDefault="00AD4B60" w:rsidP="00AD4B6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F59B5C4" w14:textId="68157546"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F9F086E" w14:textId="473F4383" w:rsidR="00AD4B60" w:rsidRDefault="00AD4B60" w:rsidP="00AD4B60">
            <w:pPr>
              <w:jc w:val="right"/>
              <w:rPr>
                <w:color w:val="000000"/>
                <w:sz w:val="20"/>
                <w:szCs w:val="20"/>
              </w:rPr>
            </w:pPr>
            <w:r>
              <w:rPr>
                <w:color w:val="000000"/>
                <w:sz w:val="20"/>
                <w:szCs w:val="20"/>
              </w:rPr>
              <w:t>0.903</w:t>
            </w:r>
          </w:p>
        </w:tc>
        <w:tc>
          <w:tcPr>
            <w:tcW w:w="768" w:type="dxa"/>
            <w:tcBorders>
              <w:top w:val="nil"/>
              <w:left w:val="nil"/>
              <w:bottom w:val="nil"/>
              <w:right w:val="nil"/>
            </w:tcBorders>
            <w:shd w:val="clear" w:color="auto" w:fill="auto"/>
            <w:noWrap/>
            <w:vAlign w:val="bottom"/>
            <w:hideMark/>
          </w:tcPr>
          <w:p w14:paraId="731347D6" w14:textId="68A52AC5"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B7E1D1" w14:textId="3863E9BD"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A5ED92E" w14:textId="7755DEAF" w:rsidR="00AD4B60" w:rsidRDefault="00AD4B60" w:rsidP="00AD4B60">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63BE93C6" w14:textId="03F829A1"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37F982" w14:textId="5BD63852" w:rsidR="00AD4B60" w:rsidRDefault="00AD4B60" w:rsidP="00AD4B60">
            <w:pPr>
              <w:jc w:val="right"/>
              <w:rPr>
                <w:b/>
                <w:bCs/>
                <w:color w:val="000000"/>
                <w:sz w:val="20"/>
                <w:szCs w:val="20"/>
              </w:rPr>
            </w:pPr>
            <w:r>
              <w:rPr>
                <w:b/>
                <w:bCs/>
                <w:color w:val="000000"/>
                <w:sz w:val="20"/>
                <w:szCs w:val="20"/>
              </w:rPr>
              <w:t>0.122</w:t>
            </w:r>
          </w:p>
        </w:tc>
        <w:tc>
          <w:tcPr>
            <w:tcW w:w="768" w:type="dxa"/>
            <w:tcBorders>
              <w:top w:val="nil"/>
              <w:left w:val="nil"/>
              <w:bottom w:val="nil"/>
              <w:right w:val="nil"/>
            </w:tcBorders>
            <w:shd w:val="clear" w:color="auto" w:fill="auto"/>
            <w:noWrap/>
            <w:vAlign w:val="bottom"/>
            <w:hideMark/>
          </w:tcPr>
          <w:p w14:paraId="7B6BBD40" w14:textId="3BC2E17A" w:rsidR="00AD4B60" w:rsidRDefault="00AD4B60" w:rsidP="00AD4B60">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F4835F6" w14:textId="3DA82F6C" w:rsidR="00AD4B60" w:rsidRDefault="00AD4B60" w:rsidP="00AD4B60">
            <w:pPr>
              <w:jc w:val="right"/>
              <w:rPr>
                <w:color w:val="000000"/>
                <w:sz w:val="20"/>
                <w:szCs w:val="20"/>
              </w:rPr>
            </w:pPr>
            <w:r>
              <w:rPr>
                <w:b/>
                <w:bCs/>
                <w:color w:val="000000"/>
                <w:sz w:val="20"/>
                <w:szCs w:val="20"/>
              </w:rPr>
              <w:t>0.015</w:t>
            </w:r>
          </w:p>
        </w:tc>
        <w:tc>
          <w:tcPr>
            <w:tcW w:w="768" w:type="dxa"/>
            <w:tcBorders>
              <w:top w:val="nil"/>
              <w:left w:val="nil"/>
              <w:bottom w:val="nil"/>
              <w:right w:val="nil"/>
            </w:tcBorders>
            <w:shd w:val="clear" w:color="auto" w:fill="auto"/>
            <w:noWrap/>
            <w:vAlign w:val="bottom"/>
            <w:hideMark/>
          </w:tcPr>
          <w:p w14:paraId="404B05FE" w14:textId="6983AD22" w:rsidR="00AD4B60" w:rsidRDefault="00AD4B60" w:rsidP="00AD4B60">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931C335" w14:textId="3D7B5EA5" w:rsidR="00AD4B60" w:rsidRDefault="00AD4B60" w:rsidP="00AD4B60">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251A8B3E" w14:textId="06E90AB6"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5C8BD7" w14:textId="59838AA9" w:rsidR="00AD4B60" w:rsidRDefault="00AD4B60" w:rsidP="00AD4B6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76D6111" w14:textId="01E1D366" w:rsidR="00AD4B60" w:rsidRDefault="00AD4B60" w:rsidP="00AD4B60">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2A31983A" w14:textId="3B22B195" w:rsidR="00AD4B60" w:rsidRDefault="00AD4B60" w:rsidP="00AD4B60">
            <w:pPr>
              <w:jc w:val="right"/>
              <w:rPr>
                <w:color w:val="000000"/>
                <w:sz w:val="20"/>
                <w:szCs w:val="20"/>
              </w:rPr>
            </w:pPr>
            <w:r>
              <w:rPr>
                <w:color w:val="000000"/>
                <w:sz w:val="20"/>
                <w:szCs w:val="20"/>
              </w:rPr>
              <w:t>0.000</w:t>
            </w:r>
          </w:p>
        </w:tc>
      </w:tr>
      <w:tr w:rsidR="00AD4B60" w14:paraId="7C8813FC" w14:textId="77777777" w:rsidTr="0019071A">
        <w:trPr>
          <w:trHeight w:val="320"/>
        </w:trPr>
        <w:tc>
          <w:tcPr>
            <w:tcW w:w="1176" w:type="dxa"/>
            <w:tcBorders>
              <w:top w:val="nil"/>
              <w:left w:val="nil"/>
              <w:bottom w:val="nil"/>
              <w:right w:val="nil"/>
            </w:tcBorders>
            <w:shd w:val="clear" w:color="auto" w:fill="auto"/>
            <w:noWrap/>
            <w:vAlign w:val="bottom"/>
            <w:hideMark/>
          </w:tcPr>
          <w:p w14:paraId="4887EEC2"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1DF6D7B" w14:textId="77777777" w:rsidR="00AD4B60" w:rsidRDefault="00AD4B60" w:rsidP="00AD4B6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377DBD5" w14:textId="4885F9CB" w:rsidR="00AD4B60" w:rsidRDefault="00AD4B60" w:rsidP="00AD4B6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8392D2D" w14:textId="06FF3F97" w:rsidR="00AD4B60" w:rsidRDefault="00AD4B60" w:rsidP="00AD4B60">
            <w:pPr>
              <w:jc w:val="right"/>
              <w:rPr>
                <w:color w:val="000000"/>
                <w:sz w:val="20"/>
                <w:szCs w:val="20"/>
              </w:rPr>
            </w:pPr>
            <w:r>
              <w:rPr>
                <w:color w:val="000000"/>
                <w:sz w:val="20"/>
                <w:szCs w:val="20"/>
              </w:rPr>
              <w:t>0.876</w:t>
            </w:r>
          </w:p>
        </w:tc>
        <w:tc>
          <w:tcPr>
            <w:tcW w:w="768" w:type="dxa"/>
            <w:tcBorders>
              <w:top w:val="nil"/>
              <w:left w:val="nil"/>
              <w:bottom w:val="nil"/>
              <w:right w:val="nil"/>
            </w:tcBorders>
            <w:shd w:val="clear" w:color="auto" w:fill="auto"/>
            <w:noWrap/>
            <w:vAlign w:val="bottom"/>
            <w:hideMark/>
          </w:tcPr>
          <w:p w14:paraId="44871D65" w14:textId="274C9E4D"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7F83E3" w14:textId="5D79F9E6"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CF346EC" w14:textId="3DA3578F" w:rsidR="00AD4B60" w:rsidRDefault="00AD4B60" w:rsidP="00AD4B60">
            <w:pPr>
              <w:jc w:val="right"/>
              <w:rPr>
                <w:color w:val="000000"/>
                <w:sz w:val="20"/>
                <w:szCs w:val="20"/>
              </w:rPr>
            </w:pPr>
            <w:r>
              <w:rPr>
                <w:color w:val="000000"/>
                <w:sz w:val="20"/>
                <w:szCs w:val="20"/>
              </w:rPr>
              <w:t>0.964</w:t>
            </w:r>
          </w:p>
        </w:tc>
        <w:tc>
          <w:tcPr>
            <w:tcW w:w="768" w:type="dxa"/>
            <w:tcBorders>
              <w:top w:val="nil"/>
              <w:left w:val="nil"/>
              <w:bottom w:val="nil"/>
              <w:right w:val="nil"/>
            </w:tcBorders>
            <w:shd w:val="clear" w:color="auto" w:fill="auto"/>
            <w:noWrap/>
            <w:vAlign w:val="bottom"/>
            <w:hideMark/>
          </w:tcPr>
          <w:p w14:paraId="2BF4B310" w14:textId="6F5EB6B0"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8632CB" w14:textId="74084EB0" w:rsidR="00AD4B60" w:rsidRDefault="00AD4B60" w:rsidP="00AD4B60">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6857889C" w14:textId="3D0F082B" w:rsidR="00AD4B60" w:rsidRDefault="00AD4B60" w:rsidP="00AD4B60">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0120B3F9" w14:textId="5208EFBE"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EA50F21" w14:textId="6F1B1236" w:rsidR="00AD4B60" w:rsidRDefault="00AD4B60" w:rsidP="00AD4B6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7D423D40" w14:textId="384F581C" w:rsidR="00AD4B60" w:rsidRDefault="00AD4B60" w:rsidP="00AD4B60">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7134CADD" w14:textId="669063B2"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5781FD" w14:textId="5794A457" w:rsidR="00AD4B60" w:rsidRDefault="00AD4B60" w:rsidP="00AD4B6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5228A92" w14:textId="28A11AD8" w:rsidR="00AD4B60" w:rsidRDefault="00AD4B60" w:rsidP="00AD4B60">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792ADDB3" w14:textId="6D62EBEC" w:rsidR="00AD4B60" w:rsidRDefault="00AD4B60" w:rsidP="00AD4B60">
            <w:pPr>
              <w:jc w:val="right"/>
              <w:rPr>
                <w:color w:val="000000"/>
                <w:sz w:val="20"/>
                <w:szCs w:val="20"/>
              </w:rPr>
            </w:pPr>
            <w:r>
              <w:rPr>
                <w:color w:val="000000"/>
                <w:sz w:val="20"/>
                <w:szCs w:val="20"/>
              </w:rPr>
              <w:t>0.000</w:t>
            </w:r>
          </w:p>
        </w:tc>
      </w:tr>
      <w:tr w:rsidR="00AD4B60" w14:paraId="16DB90E1" w14:textId="77777777" w:rsidTr="0019071A">
        <w:trPr>
          <w:trHeight w:val="320"/>
        </w:trPr>
        <w:tc>
          <w:tcPr>
            <w:tcW w:w="1176" w:type="dxa"/>
            <w:tcBorders>
              <w:top w:val="nil"/>
              <w:left w:val="nil"/>
              <w:bottom w:val="single" w:sz="4" w:space="0" w:color="auto"/>
              <w:right w:val="nil"/>
            </w:tcBorders>
            <w:shd w:val="clear" w:color="auto" w:fill="auto"/>
            <w:noWrap/>
            <w:vAlign w:val="bottom"/>
            <w:hideMark/>
          </w:tcPr>
          <w:p w14:paraId="0B73A369" w14:textId="77777777" w:rsidR="00AD4B60" w:rsidRDefault="00AD4B60" w:rsidP="00AD4B6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E50A62B" w14:textId="77777777" w:rsidR="00AD4B60" w:rsidRDefault="00AD4B60" w:rsidP="00AD4B6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703B436" w14:textId="649284C8" w:rsidR="00AD4B60" w:rsidRDefault="00AD4B60" w:rsidP="00AD4B60">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5425475E" w14:textId="789BEB27" w:rsidR="00AD4B60" w:rsidRDefault="00AD4B60" w:rsidP="00AD4B60">
            <w:pPr>
              <w:jc w:val="right"/>
              <w:rPr>
                <w:color w:val="000000"/>
                <w:sz w:val="20"/>
                <w:szCs w:val="20"/>
              </w:rPr>
            </w:pPr>
            <w:r>
              <w:rPr>
                <w:color w:val="000000"/>
                <w:sz w:val="20"/>
                <w:szCs w:val="20"/>
              </w:rPr>
              <w:t>0.876</w:t>
            </w:r>
          </w:p>
        </w:tc>
        <w:tc>
          <w:tcPr>
            <w:tcW w:w="768" w:type="dxa"/>
            <w:tcBorders>
              <w:top w:val="nil"/>
              <w:left w:val="nil"/>
              <w:bottom w:val="single" w:sz="4" w:space="0" w:color="auto"/>
              <w:right w:val="nil"/>
            </w:tcBorders>
            <w:shd w:val="clear" w:color="auto" w:fill="auto"/>
            <w:noWrap/>
            <w:vAlign w:val="bottom"/>
            <w:hideMark/>
          </w:tcPr>
          <w:p w14:paraId="352FD37D" w14:textId="5EAC4354"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6D1434C" w14:textId="395C637B" w:rsidR="00AD4B60" w:rsidRDefault="00AD4B60" w:rsidP="00AD4B60">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250F68C4" w14:textId="36672280" w:rsidR="00AD4B60" w:rsidRDefault="00AD4B60" w:rsidP="00AD4B60">
            <w:pPr>
              <w:jc w:val="right"/>
              <w:rPr>
                <w:color w:val="000000"/>
                <w:sz w:val="20"/>
                <w:szCs w:val="20"/>
              </w:rPr>
            </w:pPr>
            <w:r>
              <w:rPr>
                <w:color w:val="000000"/>
                <w:sz w:val="20"/>
                <w:szCs w:val="20"/>
              </w:rPr>
              <w:t>0.919</w:t>
            </w:r>
          </w:p>
        </w:tc>
        <w:tc>
          <w:tcPr>
            <w:tcW w:w="768" w:type="dxa"/>
            <w:tcBorders>
              <w:top w:val="nil"/>
              <w:left w:val="nil"/>
              <w:bottom w:val="single" w:sz="4" w:space="0" w:color="auto"/>
              <w:right w:val="nil"/>
            </w:tcBorders>
            <w:shd w:val="clear" w:color="auto" w:fill="auto"/>
            <w:noWrap/>
            <w:vAlign w:val="bottom"/>
            <w:hideMark/>
          </w:tcPr>
          <w:p w14:paraId="5B32FCD8" w14:textId="6BF2C3F6"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E1ADBE9" w14:textId="5A4A0619" w:rsidR="00AD4B60" w:rsidRDefault="00AD4B60" w:rsidP="00AD4B60">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777353A1" w14:textId="6FC38A52" w:rsidR="00AD4B60" w:rsidRDefault="00AD4B60" w:rsidP="00AD4B60">
            <w:pPr>
              <w:jc w:val="right"/>
              <w:rPr>
                <w:color w:val="000000"/>
                <w:sz w:val="20"/>
                <w:szCs w:val="20"/>
              </w:rPr>
            </w:pPr>
            <w:r>
              <w:rPr>
                <w:color w:val="000000"/>
                <w:sz w:val="20"/>
                <w:szCs w:val="20"/>
              </w:rPr>
              <w:t>0.892</w:t>
            </w:r>
          </w:p>
        </w:tc>
        <w:tc>
          <w:tcPr>
            <w:tcW w:w="768" w:type="dxa"/>
            <w:tcBorders>
              <w:top w:val="nil"/>
              <w:left w:val="nil"/>
              <w:bottom w:val="single" w:sz="4" w:space="0" w:color="auto"/>
              <w:right w:val="nil"/>
            </w:tcBorders>
            <w:shd w:val="clear" w:color="auto" w:fill="auto"/>
            <w:noWrap/>
            <w:vAlign w:val="bottom"/>
            <w:hideMark/>
          </w:tcPr>
          <w:p w14:paraId="1E5C4D76" w14:textId="45153E4D"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6147903" w14:textId="4252A989" w:rsidR="00AD4B60" w:rsidRDefault="00AD4B60" w:rsidP="00AD4B60">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6A735D6D" w14:textId="184B2365" w:rsidR="00AD4B60" w:rsidRDefault="00AD4B60" w:rsidP="00AD4B60">
            <w:pPr>
              <w:jc w:val="right"/>
              <w:rPr>
                <w:color w:val="000000"/>
                <w:sz w:val="20"/>
                <w:szCs w:val="20"/>
              </w:rPr>
            </w:pPr>
            <w:r>
              <w:rPr>
                <w:color w:val="000000"/>
                <w:sz w:val="20"/>
                <w:szCs w:val="20"/>
              </w:rPr>
              <w:t>0.751</w:t>
            </w:r>
          </w:p>
        </w:tc>
        <w:tc>
          <w:tcPr>
            <w:tcW w:w="768" w:type="dxa"/>
            <w:tcBorders>
              <w:top w:val="nil"/>
              <w:left w:val="nil"/>
              <w:bottom w:val="single" w:sz="4" w:space="0" w:color="auto"/>
              <w:right w:val="nil"/>
            </w:tcBorders>
            <w:shd w:val="clear" w:color="auto" w:fill="auto"/>
            <w:noWrap/>
            <w:vAlign w:val="bottom"/>
            <w:hideMark/>
          </w:tcPr>
          <w:p w14:paraId="66D409AB" w14:textId="3F5EF591"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F83D49D" w14:textId="4267DFFC" w:rsidR="00AD4B60" w:rsidRDefault="00AD4B60" w:rsidP="00AD4B60">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2F806FAA" w14:textId="332ED0F3" w:rsidR="00AD4B60" w:rsidRDefault="00AD4B60" w:rsidP="00AD4B60">
            <w:pPr>
              <w:jc w:val="right"/>
              <w:rPr>
                <w:color w:val="000000"/>
                <w:sz w:val="20"/>
                <w:szCs w:val="20"/>
              </w:rPr>
            </w:pPr>
            <w:r>
              <w:rPr>
                <w:color w:val="000000"/>
                <w:sz w:val="20"/>
                <w:szCs w:val="20"/>
              </w:rPr>
              <w:t>0.952</w:t>
            </w:r>
          </w:p>
        </w:tc>
        <w:tc>
          <w:tcPr>
            <w:tcW w:w="768" w:type="dxa"/>
            <w:tcBorders>
              <w:top w:val="nil"/>
              <w:left w:val="nil"/>
              <w:bottom w:val="single" w:sz="4" w:space="0" w:color="auto"/>
              <w:right w:val="nil"/>
            </w:tcBorders>
            <w:shd w:val="clear" w:color="auto" w:fill="auto"/>
            <w:noWrap/>
            <w:vAlign w:val="bottom"/>
            <w:hideMark/>
          </w:tcPr>
          <w:p w14:paraId="6D48A47F" w14:textId="39C826EF" w:rsidR="00AD4B60" w:rsidRDefault="00AD4B60" w:rsidP="00AD4B60">
            <w:pPr>
              <w:jc w:val="right"/>
              <w:rPr>
                <w:color w:val="000000"/>
                <w:sz w:val="20"/>
                <w:szCs w:val="20"/>
              </w:rPr>
            </w:pPr>
            <w:r>
              <w:rPr>
                <w:color w:val="000000"/>
                <w:sz w:val="20"/>
                <w:szCs w:val="20"/>
              </w:rPr>
              <w:t>0.000</w:t>
            </w:r>
          </w:p>
        </w:tc>
      </w:tr>
      <w:tr w:rsidR="00AD4B60" w14:paraId="417ADB5B" w14:textId="77777777" w:rsidTr="0019071A">
        <w:trPr>
          <w:trHeight w:val="320"/>
        </w:trPr>
        <w:tc>
          <w:tcPr>
            <w:tcW w:w="1176" w:type="dxa"/>
            <w:tcBorders>
              <w:top w:val="nil"/>
              <w:left w:val="nil"/>
              <w:bottom w:val="nil"/>
              <w:right w:val="nil"/>
            </w:tcBorders>
            <w:shd w:val="clear" w:color="auto" w:fill="auto"/>
            <w:noWrap/>
            <w:vAlign w:val="bottom"/>
            <w:hideMark/>
          </w:tcPr>
          <w:p w14:paraId="0051BB38" w14:textId="77777777" w:rsidR="00AD4B60" w:rsidRDefault="00AD4B60" w:rsidP="00AD4B60">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A87FEA7" w14:textId="77777777" w:rsidR="00AD4B60" w:rsidRDefault="00AD4B60" w:rsidP="00AD4B6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E41260F" w14:textId="32A85365" w:rsidR="00AD4B60" w:rsidRDefault="00AD4B60" w:rsidP="00AD4B60">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145DEA10" w14:textId="123B4011" w:rsidR="00AD4B60" w:rsidRDefault="00AD4B60" w:rsidP="00AD4B60">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71E92EC4" w14:textId="033EEACA"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9B415EF" w14:textId="71204BD1" w:rsidR="00AD4B60" w:rsidRDefault="00AD4B60" w:rsidP="00AD4B60">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2CBA27B3" w14:textId="2A17B315" w:rsidR="00AD4B60" w:rsidRDefault="00AD4B60" w:rsidP="00AD4B60">
            <w:pPr>
              <w:jc w:val="right"/>
              <w:rPr>
                <w:color w:val="000000"/>
                <w:sz w:val="20"/>
                <w:szCs w:val="20"/>
              </w:rPr>
            </w:pPr>
            <w:r>
              <w:rPr>
                <w:color w:val="000000"/>
                <w:sz w:val="20"/>
                <w:szCs w:val="20"/>
              </w:rPr>
              <w:t>0.477</w:t>
            </w:r>
          </w:p>
        </w:tc>
        <w:tc>
          <w:tcPr>
            <w:tcW w:w="768" w:type="dxa"/>
            <w:tcBorders>
              <w:top w:val="nil"/>
              <w:left w:val="nil"/>
              <w:bottom w:val="nil"/>
              <w:right w:val="nil"/>
            </w:tcBorders>
            <w:shd w:val="clear" w:color="auto" w:fill="auto"/>
            <w:noWrap/>
            <w:vAlign w:val="bottom"/>
            <w:hideMark/>
          </w:tcPr>
          <w:p w14:paraId="7C91C881" w14:textId="67828729"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FC5EBD4" w14:textId="23EC494B" w:rsidR="00AD4B60" w:rsidRDefault="00AD4B60" w:rsidP="00AD4B60">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6F524AA" w14:textId="1E5806B5" w:rsidR="00AD4B60" w:rsidRDefault="00AD4B60" w:rsidP="00AD4B60">
            <w:pPr>
              <w:jc w:val="right"/>
              <w:rPr>
                <w:color w:val="000000"/>
                <w:sz w:val="20"/>
                <w:szCs w:val="20"/>
              </w:rPr>
            </w:pPr>
            <w:r>
              <w:rPr>
                <w:color w:val="000000"/>
                <w:sz w:val="20"/>
                <w:szCs w:val="20"/>
              </w:rPr>
              <w:t>0.496</w:t>
            </w:r>
          </w:p>
        </w:tc>
        <w:tc>
          <w:tcPr>
            <w:tcW w:w="768" w:type="dxa"/>
            <w:tcBorders>
              <w:top w:val="nil"/>
              <w:left w:val="nil"/>
              <w:bottom w:val="nil"/>
              <w:right w:val="nil"/>
            </w:tcBorders>
            <w:shd w:val="clear" w:color="auto" w:fill="auto"/>
            <w:noWrap/>
            <w:vAlign w:val="bottom"/>
            <w:hideMark/>
          </w:tcPr>
          <w:p w14:paraId="658C8950" w14:textId="2F639853"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7CB00E" w14:textId="58694188" w:rsidR="00AD4B60" w:rsidRDefault="00AD4B60" w:rsidP="00AD4B6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97AFBCD" w14:textId="0454F182" w:rsidR="00AD4B60" w:rsidRDefault="00AD4B60" w:rsidP="00AD4B60">
            <w:pPr>
              <w:jc w:val="right"/>
              <w:rPr>
                <w:color w:val="000000"/>
                <w:sz w:val="20"/>
                <w:szCs w:val="20"/>
              </w:rPr>
            </w:pPr>
            <w:r>
              <w:rPr>
                <w:color w:val="000000"/>
                <w:sz w:val="20"/>
                <w:szCs w:val="20"/>
              </w:rPr>
              <w:t>0.731</w:t>
            </w:r>
          </w:p>
        </w:tc>
        <w:tc>
          <w:tcPr>
            <w:tcW w:w="768" w:type="dxa"/>
            <w:tcBorders>
              <w:top w:val="nil"/>
              <w:left w:val="nil"/>
              <w:bottom w:val="nil"/>
              <w:right w:val="nil"/>
            </w:tcBorders>
            <w:shd w:val="clear" w:color="auto" w:fill="auto"/>
            <w:noWrap/>
            <w:vAlign w:val="bottom"/>
            <w:hideMark/>
          </w:tcPr>
          <w:p w14:paraId="5E1AC4D5" w14:textId="2AFC9B07"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FE05A8" w14:textId="5E81B6C7" w:rsidR="00AD4B60" w:rsidRDefault="00AD4B60" w:rsidP="00AD4B60">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032BD58D" w14:textId="13C5A432" w:rsidR="00AD4B60" w:rsidRDefault="00AD4B60" w:rsidP="00AD4B60">
            <w:pPr>
              <w:jc w:val="right"/>
              <w:rPr>
                <w:color w:val="000000"/>
                <w:sz w:val="20"/>
                <w:szCs w:val="20"/>
              </w:rPr>
            </w:pPr>
            <w:r>
              <w:rPr>
                <w:color w:val="000000"/>
                <w:sz w:val="20"/>
                <w:szCs w:val="20"/>
              </w:rPr>
              <w:t>0.299</w:t>
            </w:r>
          </w:p>
        </w:tc>
        <w:tc>
          <w:tcPr>
            <w:tcW w:w="768" w:type="dxa"/>
            <w:tcBorders>
              <w:top w:val="nil"/>
              <w:left w:val="nil"/>
              <w:bottom w:val="nil"/>
              <w:right w:val="nil"/>
            </w:tcBorders>
            <w:shd w:val="clear" w:color="auto" w:fill="auto"/>
            <w:noWrap/>
            <w:vAlign w:val="bottom"/>
            <w:hideMark/>
          </w:tcPr>
          <w:p w14:paraId="43AC3BB1" w14:textId="3C733CB8" w:rsidR="00AD4B60" w:rsidRDefault="00AD4B60" w:rsidP="00AD4B60">
            <w:pPr>
              <w:jc w:val="right"/>
              <w:rPr>
                <w:color w:val="000000"/>
                <w:sz w:val="20"/>
                <w:szCs w:val="20"/>
              </w:rPr>
            </w:pPr>
            <w:r>
              <w:rPr>
                <w:color w:val="000000"/>
                <w:sz w:val="20"/>
                <w:szCs w:val="20"/>
              </w:rPr>
              <w:t>0.002</w:t>
            </w:r>
          </w:p>
        </w:tc>
      </w:tr>
      <w:tr w:rsidR="00AD4B60" w14:paraId="2653D3F1" w14:textId="77777777" w:rsidTr="0019071A">
        <w:trPr>
          <w:trHeight w:val="320"/>
        </w:trPr>
        <w:tc>
          <w:tcPr>
            <w:tcW w:w="1176" w:type="dxa"/>
            <w:tcBorders>
              <w:top w:val="nil"/>
              <w:left w:val="nil"/>
              <w:bottom w:val="nil"/>
              <w:right w:val="nil"/>
            </w:tcBorders>
            <w:shd w:val="clear" w:color="auto" w:fill="auto"/>
            <w:noWrap/>
            <w:vAlign w:val="bottom"/>
            <w:hideMark/>
          </w:tcPr>
          <w:p w14:paraId="213E0BAD"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452A89D" w14:textId="77777777" w:rsidR="00AD4B60" w:rsidRDefault="00AD4B60" w:rsidP="00AD4B6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21B74C9" w14:textId="42F58DAA" w:rsidR="00AD4B60" w:rsidRDefault="00AD4B60" w:rsidP="00AD4B60">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25C367D" w14:textId="388E4C83" w:rsidR="00AD4B60" w:rsidRDefault="00AD4B60" w:rsidP="00AD4B60">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26A3095E" w14:textId="708639B3"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7AB1837" w14:textId="5B4E460F" w:rsidR="00AD4B60" w:rsidRDefault="00AD4B60" w:rsidP="00AD4B6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9CCE83F" w14:textId="61085814" w:rsidR="00AD4B60" w:rsidRDefault="00AD4B60" w:rsidP="00AD4B60">
            <w:pPr>
              <w:jc w:val="right"/>
              <w:rPr>
                <w:color w:val="000000"/>
                <w:sz w:val="20"/>
                <w:szCs w:val="20"/>
              </w:rPr>
            </w:pPr>
            <w:r>
              <w:rPr>
                <w:color w:val="000000"/>
                <w:sz w:val="20"/>
                <w:szCs w:val="20"/>
              </w:rPr>
              <w:t>0.834</w:t>
            </w:r>
          </w:p>
        </w:tc>
        <w:tc>
          <w:tcPr>
            <w:tcW w:w="768" w:type="dxa"/>
            <w:tcBorders>
              <w:top w:val="nil"/>
              <w:left w:val="nil"/>
              <w:bottom w:val="nil"/>
              <w:right w:val="nil"/>
            </w:tcBorders>
            <w:shd w:val="clear" w:color="auto" w:fill="auto"/>
            <w:noWrap/>
            <w:vAlign w:val="bottom"/>
            <w:hideMark/>
          </w:tcPr>
          <w:p w14:paraId="24F692CD" w14:textId="4EDAB8F3"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6A9B1D" w14:textId="76BE66C9" w:rsidR="00AD4B60" w:rsidRDefault="00AD4B60" w:rsidP="00AD4B60">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ECD7CCD" w14:textId="44207851" w:rsidR="00AD4B60" w:rsidRDefault="00AD4B60" w:rsidP="00AD4B60">
            <w:pPr>
              <w:jc w:val="right"/>
              <w:rPr>
                <w:color w:val="000000"/>
                <w:sz w:val="20"/>
                <w:szCs w:val="20"/>
              </w:rPr>
            </w:pPr>
            <w:r>
              <w:rPr>
                <w:color w:val="000000"/>
                <w:sz w:val="20"/>
                <w:szCs w:val="20"/>
              </w:rPr>
              <w:t>0.605</w:t>
            </w:r>
          </w:p>
        </w:tc>
        <w:tc>
          <w:tcPr>
            <w:tcW w:w="768" w:type="dxa"/>
            <w:tcBorders>
              <w:top w:val="nil"/>
              <w:left w:val="nil"/>
              <w:bottom w:val="nil"/>
              <w:right w:val="nil"/>
            </w:tcBorders>
            <w:shd w:val="clear" w:color="auto" w:fill="auto"/>
            <w:noWrap/>
            <w:vAlign w:val="bottom"/>
            <w:hideMark/>
          </w:tcPr>
          <w:p w14:paraId="5C39B96F" w14:textId="283C3E6B"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8BC5FF" w14:textId="0C4E58F4"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63785FA" w14:textId="773BFD87" w:rsidR="00AD4B60" w:rsidRDefault="00AD4B60" w:rsidP="00AD4B60">
            <w:pPr>
              <w:jc w:val="right"/>
              <w:rPr>
                <w:color w:val="000000"/>
                <w:sz w:val="20"/>
                <w:szCs w:val="20"/>
              </w:rPr>
            </w:pPr>
            <w:r>
              <w:rPr>
                <w:color w:val="000000"/>
                <w:sz w:val="20"/>
                <w:szCs w:val="20"/>
              </w:rPr>
              <w:t>0.731</w:t>
            </w:r>
          </w:p>
        </w:tc>
        <w:tc>
          <w:tcPr>
            <w:tcW w:w="768" w:type="dxa"/>
            <w:tcBorders>
              <w:top w:val="nil"/>
              <w:left w:val="nil"/>
              <w:bottom w:val="nil"/>
              <w:right w:val="nil"/>
            </w:tcBorders>
            <w:shd w:val="clear" w:color="auto" w:fill="auto"/>
            <w:noWrap/>
            <w:vAlign w:val="bottom"/>
            <w:hideMark/>
          </w:tcPr>
          <w:p w14:paraId="7B1BA674" w14:textId="10FE08EE"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CD99C9" w14:textId="03ADC838"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91B8B7" w14:textId="7ADB32A6" w:rsidR="00AD4B60" w:rsidRDefault="00AD4B60" w:rsidP="00AD4B60">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516838B2" w14:textId="2D8341DB" w:rsidR="00AD4B60" w:rsidRDefault="00AD4B60" w:rsidP="00AD4B60">
            <w:pPr>
              <w:jc w:val="right"/>
              <w:rPr>
                <w:color w:val="000000"/>
                <w:sz w:val="20"/>
                <w:szCs w:val="20"/>
              </w:rPr>
            </w:pPr>
            <w:r>
              <w:rPr>
                <w:color w:val="000000"/>
                <w:sz w:val="20"/>
                <w:szCs w:val="20"/>
              </w:rPr>
              <w:t>0.000</w:t>
            </w:r>
          </w:p>
        </w:tc>
      </w:tr>
      <w:tr w:rsidR="00AD4B60" w14:paraId="0228C782" w14:textId="77777777" w:rsidTr="0019071A">
        <w:trPr>
          <w:trHeight w:val="320"/>
        </w:trPr>
        <w:tc>
          <w:tcPr>
            <w:tcW w:w="1176" w:type="dxa"/>
            <w:tcBorders>
              <w:top w:val="nil"/>
              <w:left w:val="nil"/>
              <w:bottom w:val="nil"/>
              <w:right w:val="nil"/>
            </w:tcBorders>
            <w:shd w:val="clear" w:color="auto" w:fill="auto"/>
            <w:noWrap/>
            <w:vAlign w:val="bottom"/>
            <w:hideMark/>
          </w:tcPr>
          <w:p w14:paraId="78F67EC4"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36A2A94" w14:textId="77777777" w:rsidR="00AD4B60" w:rsidRDefault="00AD4B60" w:rsidP="00AD4B6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AF02F88" w14:textId="6348AC6D" w:rsidR="00AD4B60" w:rsidRDefault="00AD4B60" w:rsidP="00AD4B60">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B5C3DFD" w14:textId="38FED663" w:rsidR="00AD4B60" w:rsidRDefault="00AD4B60" w:rsidP="00AD4B60">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0CC2D4A0" w14:textId="1B852953"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963BD11" w14:textId="32AC3EBF" w:rsidR="00AD4B60" w:rsidRDefault="00AD4B60" w:rsidP="00AD4B60">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7258FED4" w14:textId="519B99BB" w:rsidR="00AD4B60" w:rsidRDefault="00AD4B60" w:rsidP="00AD4B60">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5B34FA0F" w14:textId="253A9639"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A69F2C9" w14:textId="01D0C551" w:rsidR="00AD4B60" w:rsidRDefault="00AD4B60" w:rsidP="00AD4B6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D93BA9F" w14:textId="29C57815" w:rsidR="00AD4B60" w:rsidRDefault="00AD4B60" w:rsidP="00AD4B60">
            <w:pPr>
              <w:jc w:val="right"/>
              <w:rPr>
                <w:color w:val="000000"/>
                <w:sz w:val="20"/>
                <w:szCs w:val="20"/>
              </w:rPr>
            </w:pPr>
            <w:r>
              <w:rPr>
                <w:color w:val="000000"/>
                <w:sz w:val="20"/>
                <w:szCs w:val="20"/>
              </w:rPr>
              <w:t>0.625</w:t>
            </w:r>
          </w:p>
        </w:tc>
        <w:tc>
          <w:tcPr>
            <w:tcW w:w="768" w:type="dxa"/>
            <w:tcBorders>
              <w:top w:val="nil"/>
              <w:left w:val="nil"/>
              <w:bottom w:val="nil"/>
              <w:right w:val="nil"/>
            </w:tcBorders>
            <w:shd w:val="clear" w:color="auto" w:fill="auto"/>
            <w:noWrap/>
            <w:vAlign w:val="bottom"/>
            <w:hideMark/>
          </w:tcPr>
          <w:p w14:paraId="576B490A" w14:textId="6821C52D"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DDF866" w14:textId="09126172" w:rsidR="00AD4B60" w:rsidRDefault="00AD4B60" w:rsidP="00AD4B60">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638F2CE1" w14:textId="6FFE1608" w:rsidR="00AD4B60" w:rsidRDefault="00AD4B60" w:rsidP="00AD4B60">
            <w:pPr>
              <w:jc w:val="right"/>
              <w:rPr>
                <w:color w:val="000000"/>
                <w:sz w:val="20"/>
                <w:szCs w:val="20"/>
              </w:rPr>
            </w:pPr>
            <w:r>
              <w:rPr>
                <w:color w:val="000000"/>
                <w:sz w:val="20"/>
                <w:szCs w:val="20"/>
              </w:rPr>
              <w:t>0.731</w:t>
            </w:r>
          </w:p>
        </w:tc>
        <w:tc>
          <w:tcPr>
            <w:tcW w:w="768" w:type="dxa"/>
            <w:tcBorders>
              <w:top w:val="nil"/>
              <w:left w:val="nil"/>
              <w:bottom w:val="nil"/>
              <w:right w:val="nil"/>
            </w:tcBorders>
            <w:shd w:val="clear" w:color="auto" w:fill="auto"/>
            <w:noWrap/>
            <w:vAlign w:val="bottom"/>
            <w:hideMark/>
          </w:tcPr>
          <w:p w14:paraId="06B9AD0D" w14:textId="79FBCBBE"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308220" w14:textId="40F30EB0"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BFCB429" w14:textId="2CB8FAB7" w:rsidR="00AD4B60" w:rsidRDefault="00AD4B60" w:rsidP="00AD4B60">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789834A6" w14:textId="27852C9C" w:rsidR="00AD4B60" w:rsidRDefault="00AD4B60" w:rsidP="00AD4B60">
            <w:pPr>
              <w:jc w:val="right"/>
              <w:rPr>
                <w:color w:val="000000"/>
                <w:sz w:val="20"/>
                <w:szCs w:val="20"/>
              </w:rPr>
            </w:pPr>
            <w:r>
              <w:rPr>
                <w:color w:val="000000"/>
                <w:sz w:val="20"/>
                <w:szCs w:val="20"/>
              </w:rPr>
              <w:t>0.000</w:t>
            </w:r>
          </w:p>
        </w:tc>
      </w:tr>
      <w:tr w:rsidR="00AD4B60" w14:paraId="0ACF5672" w14:textId="77777777" w:rsidTr="0019071A">
        <w:trPr>
          <w:trHeight w:val="320"/>
        </w:trPr>
        <w:tc>
          <w:tcPr>
            <w:tcW w:w="1176" w:type="dxa"/>
            <w:tcBorders>
              <w:top w:val="nil"/>
              <w:left w:val="nil"/>
              <w:bottom w:val="nil"/>
              <w:right w:val="nil"/>
            </w:tcBorders>
            <w:shd w:val="clear" w:color="auto" w:fill="auto"/>
            <w:noWrap/>
            <w:vAlign w:val="bottom"/>
            <w:hideMark/>
          </w:tcPr>
          <w:p w14:paraId="717A7BCC"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2EC3C73" w14:textId="77777777" w:rsidR="00AD4B60" w:rsidRDefault="00AD4B60" w:rsidP="00AD4B6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BD7AB38" w14:textId="00E35FF4"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BD059F6" w14:textId="3B618AF6" w:rsidR="00AD4B60" w:rsidRDefault="00AD4B60" w:rsidP="00AD4B60">
            <w:pPr>
              <w:jc w:val="right"/>
              <w:rPr>
                <w:color w:val="000000"/>
                <w:sz w:val="20"/>
                <w:szCs w:val="20"/>
              </w:rPr>
            </w:pPr>
            <w:r>
              <w:rPr>
                <w:color w:val="000000"/>
                <w:sz w:val="20"/>
                <w:szCs w:val="20"/>
              </w:rPr>
              <w:t>0.881</w:t>
            </w:r>
          </w:p>
        </w:tc>
        <w:tc>
          <w:tcPr>
            <w:tcW w:w="768" w:type="dxa"/>
            <w:tcBorders>
              <w:top w:val="nil"/>
              <w:left w:val="nil"/>
              <w:bottom w:val="nil"/>
              <w:right w:val="nil"/>
            </w:tcBorders>
            <w:shd w:val="clear" w:color="auto" w:fill="auto"/>
            <w:noWrap/>
            <w:vAlign w:val="bottom"/>
            <w:hideMark/>
          </w:tcPr>
          <w:p w14:paraId="6318224F" w14:textId="762E832A"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FE918C7" w14:textId="2C5C1C2B" w:rsidR="00AD4B60" w:rsidRDefault="00AD4B60" w:rsidP="00AD4B60">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1C68493C" w14:textId="04275F3D" w:rsidR="00AD4B60" w:rsidRDefault="00AD4B60" w:rsidP="00AD4B60">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67CE4C73" w14:textId="62F448F1"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057C6D2" w14:textId="03561313" w:rsidR="00AD4B60" w:rsidRDefault="00AD4B60" w:rsidP="00AD4B60">
            <w:pPr>
              <w:jc w:val="right"/>
              <w:rPr>
                <w:color w:val="000000"/>
                <w:sz w:val="20"/>
                <w:szCs w:val="20"/>
              </w:rPr>
            </w:pPr>
            <w:r>
              <w:rPr>
                <w:b/>
                <w:bCs/>
                <w:color w:val="000000"/>
                <w:sz w:val="20"/>
                <w:szCs w:val="20"/>
              </w:rPr>
              <w:t>0.089</w:t>
            </w:r>
          </w:p>
        </w:tc>
        <w:tc>
          <w:tcPr>
            <w:tcW w:w="768" w:type="dxa"/>
            <w:tcBorders>
              <w:top w:val="nil"/>
              <w:left w:val="nil"/>
              <w:bottom w:val="nil"/>
              <w:right w:val="nil"/>
            </w:tcBorders>
            <w:shd w:val="clear" w:color="auto" w:fill="auto"/>
            <w:noWrap/>
            <w:vAlign w:val="bottom"/>
            <w:hideMark/>
          </w:tcPr>
          <w:p w14:paraId="72734778" w14:textId="1475F550" w:rsidR="00AD4B60" w:rsidRDefault="00AD4B60" w:rsidP="00AD4B60">
            <w:pPr>
              <w:jc w:val="right"/>
              <w:rPr>
                <w:color w:val="000000"/>
                <w:sz w:val="20"/>
                <w:szCs w:val="20"/>
              </w:rPr>
            </w:pPr>
            <w:r>
              <w:rPr>
                <w:b/>
                <w:bCs/>
                <w:color w:val="000000"/>
                <w:sz w:val="20"/>
                <w:szCs w:val="20"/>
              </w:rPr>
              <w:t>0.028</w:t>
            </w:r>
          </w:p>
        </w:tc>
        <w:tc>
          <w:tcPr>
            <w:tcW w:w="768" w:type="dxa"/>
            <w:tcBorders>
              <w:top w:val="nil"/>
              <w:left w:val="nil"/>
              <w:bottom w:val="nil"/>
              <w:right w:val="nil"/>
            </w:tcBorders>
            <w:shd w:val="clear" w:color="auto" w:fill="auto"/>
            <w:noWrap/>
            <w:vAlign w:val="bottom"/>
            <w:hideMark/>
          </w:tcPr>
          <w:p w14:paraId="4B89B710" w14:textId="0F4D4615" w:rsidR="00AD4B60" w:rsidRDefault="00AD4B60" w:rsidP="00AD4B60">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D40AD03" w14:textId="16B2CDD8" w:rsidR="00AD4B60" w:rsidRDefault="00AD4B60" w:rsidP="00AD4B60">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353A41E1" w14:textId="710340E5" w:rsidR="00AD4B60" w:rsidRDefault="00AD4B60" w:rsidP="00AD4B60">
            <w:pPr>
              <w:jc w:val="right"/>
              <w:rPr>
                <w:color w:val="000000"/>
                <w:sz w:val="20"/>
                <w:szCs w:val="20"/>
              </w:rPr>
            </w:pPr>
            <w:r>
              <w:rPr>
                <w:color w:val="000000"/>
                <w:sz w:val="20"/>
                <w:szCs w:val="20"/>
              </w:rPr>
              <w:t>0.396</w:t>
            </w:r>
          </w:p>
        </w:tc>
        <w:tc>
          <w:tcPr>
            <w:tcW w:w="768" w:type="dxa"/>
            <w:tcBorders>
              <w:top w:val="nil"/>
              <w:left w:val="nil"/>
              <w:bottom w:val="nil"/>
              <w:right w:val="nil"/>
            </w:tcBorders>
            <w:shd w:val="clear" w:color="auto" w:fill="auto"/>
            <w:noWrap/>
            <w:vAlign w:val="bottom"/>
            <w:hideMark/>
          </w:tcPr>
          <w:p w14:paraId="16FE1CE6" w14:textId="618773CD"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DA753F6" w14:textId="5448E7AB" w:rsidR="00AD4B60" w:rsidRDefault="00AD4B60" w:rsidP="00AD4B60">
            <w:pPr>
              <w:jc w:val="right"/>
              <w:rPr>
                <w:b/>
                <w:bCs/>
                <w:color w:val="000000"/>
                <w:sz w:val="20"/>
                <w:szCs w:val="20"/>
              </w:rPr>
            </w:pPr>
            <w:r>
              <w:rPr>
                <w:b/>
                <w:bCs/>
                <w:color w:val="000000"/>
                <w:sz w:val="20"/>
                <w:szCs w:val="20"/>
              </w:rPr>
              <w:t>-0.107</w:t>
            </w:r>
          </w:p>
        </w:tc>
        <w:tc>
          <w:tcPr>
            <w:tcW w:w="768" w:type="dxa"/>
            <w:tcBorders>
              <w:top w:val="nil"/>
              <w:left w:val="nil"/>
              <w:bottom w:val="nil"/>
              <w:right w:val="nil"/>
            </w:tcBorders>
            <w:shd w:val="clear" w:color="auto" w:fill="auto"/>
            <w:noWrap/>
            <w:vAlign w:val="bottom"/>
            <w:hideMark/>
          </w:tcPr>
          <w:p w14:paraId="074CC4E2" w14:textId="0ACF762B" w:rsidR="00AD4B60" w:rsidRDefault="00AD4B60" w:rsidP="00AD4B60">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729D4A4" w14:textId="77DE1AC3" w:rsidR="00AD4B60" w:rsidRDefault="00AD4B60" w:rsidP="00AD4B60">
            <w:pPr>
              <w:jc w:val="right"/>
              <w:rPr>
                <w:color w:val="000000"/>
                <w:sz w:val="20"/>
                <w:szCs w:val="20"/>
              </w:rPr>
            </w:pPr>
            <w:r>
              <w:rPr>
                <w:b/>
                <w:bCs/>
                <w:color w:val="000000"/>
                <w:sz w:val="20"/>
                <w:szCs w:val="20"/>
              </w:rPr>
              <w:t>0.011</w:t>
            </w:r>
          </w:p>
        </w:tc>
      </w:tr>
      <w:tr w:rsidR="00AD4B60" w14:paraId="5EF6705A" w14:textId="77777777" w:rsidTr="0019071A">
        <w:trPr>
          <w:trHeight w:val="320"/>
        </w:trPr>
        <w:tc>
          <w:tcPr>
            <w:tcW w:w="1176" w:type="dxa"/>
            <w:tcBorders>
              <w:top w:val="nil"/>
              <w:left w:val="nil"/>
              <w:bottom w:val="nil"/>
              <w:right w:val="nil"/>
            </w:tcBorders>
            <w:shd w:val="clear" w:color="auto" w:fill="auto"/>
            <w:noWrap/>
            <w:vAlign w:val="bottom"/>
            <w:hideMark/>
          </w:tcPr>
          <w:p w14:paraId="4F34161A"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C40B040" w14:textId="77777777" w:rsidR="00AD4B60" w:rsidRDefault="00AD4B60" w:rsidP="00AD4B6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8B641B1" w14:textId="392AC56F" w:rsidR="00AD4B60" w:rsidRDefault="00AD4B60" w:rsidP="00AD4B60">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3031738" w14:textId="434897AF" w:rsidR="00AD4B60" w:rsidRDefault="00AD4B60" w:rsidP="00AD4B60">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289E72D2" w14:textId="59BF887F"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1A7B3F6" w14:textId="0B5DC64F" w:rsidR="00AD4B60" w:rsidRDefault="00AD4B60" w:rsidP="00AD4B6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9AFD4C2" w14:textId="7BCEEAEB" w:rsidR="00AD4B60" w:rsidRDefault="00AD4B60" w:rsidP="00AD4B60">
            <w:pPr>
              <w:jc w:val="right"/>
              <w:rPr>
                <w:color w:val="000000"/>
                <w:sz w:val="20"/>
                <w:szCs w:val="20"/>
              </w:rPr>
            </w:pPr>
            <w:r>
              <w:rPr>
                <w:color w:val="000000"/>
                <w:sz w:val="20"/>
                <w:szCs w:val="20"/>
              </w:rPr>
              <w:t>0.834</w:t>
            </w:r>
          </w:p>
        </w:tc>
        <w:tc>
          <w:tcPr>
            <w:tcW w:w="768" w:type="dxa"/>
            <w:tcBorders>
              <w:top w:val="nil"/>
              <w:left w:val="nil"/>
              <w:bottom w:val="nil"/>
              <w:right w:val="nil"/>
            </w:tcBorders>
            <w:shd w:val="clear" w:color="auto" w:fill="auto"/>
            <w:noWrap/>
            <w:vAlign w:val="bottom"/>
            <w:hideMark/>
          </w:tcPr>
          <w:p w14:paraId="698201FF" w14:textId="30FD3A41"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9386A7" w14:textId="7998E464" w:rsidR="00AD4B60" w:rsidRDefault="00AD4B60" w:rsidP="00AD4B60">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25A1878A" w14:textId="122C767B" w:rsidR="00AD4B60" w:rsidRDefault="00AD4B60" w:rsidP="00AD4B60">
            <w:pPr>
              <w:jc w:val="right"/>
              <w:rPr>
                <w:color w:val="000000"/>
                <w:sz w:val="20"/>
                <w:szCs w:val="20"/>
              </w:rPr>
            </w:pPr>
            <w:r>
              <w:rPr>
                <w:color w:val="000000"/>
                <w:sz w:val="20"/>
                <w:szCs w:val="20"/>
              </w:rPr>
              <w:t>0.496</w:t>
            </w:r>
          </w:p>
        </w:tc>
        <w:tc>
          <w:tcPr>
            <w:tcW w:w="768" w:type="dxa"/>
            <w:tcBorders>
              <w:top w:val="nil"/>
              <w:left w:val="nil"/>
              <w:bottom w:val="nil"/>
              <w:right w:val="nil"/>
            </w:tcBorders>
            <w:shd w:val="clear" w:color="auto" w:fill="auto"/>
            <w:noWrap/>
            <w:vAlign w:val="bottom"/>
            <w:hideMark/>
          </w:tcPr>
          <w:p w14:paraId="40D98EED" w14:textId="3A298BE4"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4CF31C" w14:textId="7E69A74F" w:rsidR="00AD4B60" w:rsidRDefault="00AD4B60" w:rsidP="00AD4B60">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24177149" w14:textId="7F2C7629" w:rsidR="00AD4B60" w:rsidRDefault="00AD4B60" w:rsidP="00AD4B60">
            <w:pPr>
              <w:jc w:val="right"/>
              <w:rPr>
                <w:color w:val="000000"/>
                <w:sz w:val="20"/>
                <w:szCs w:val="20"/>
              </w:rPr>
            </w:pPr>
            <w:r>
              <w:rPr>
                <w:color w:val="000000"/>
                <w:sz w:val="20"/>
                <w:szCs w:val="20"/>
              </w:rPr>
              <w:t>0.312</w:t>
            </w:r>
          </w:p>
        </w:tc>
        <w:tc>
          <w:tcPr>
            <w:tcW w:w="768" w:type="dxa"/>
            <w:tcBorders>
              <w:top w:val="nil"/>
              <w:left w:val="nil"/>
              <w:bottom w:val="nil"/>
              <w:right w:val="nil"/>
            </w:tcBorders>
            <w:shd w:val="clear" w:color="auto" w:fill="auto"/>
            <w:noWrap/>
            <w:vAlign w:val="bottom"/>
            <w:hideMark/>
          </w:tcPr>
          <w:p w14:paraId="3261B797" w14:textId="7C8A2A48"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9CCECED" w14:textId="18522D1A" w:rsidR="00AD4B60" w:rsidRDefault="00AD4B60" w:rsidP="00AD4B6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5AA2E77" w14:textId="406E3AE9" w:rsidR="00AD4B60" w:rsidRDefault="00AD4B60" w:rsidP="00AD4B60">
            <w:pPr>
              <w:jc w:val="right"/>
              <w:rPr>
                <w:color w:val="000000"/>
                <w:sz w:val="20"/>
                <w:szCs w:val="20"/>
              </w:rPr>
            </w:pPr>
            <w:r>
              <w:rPr>
                <w:color w:val="000000"/>
                <w:sz w:val="20"/>
                <w:szCs w:val="20"/>
              </w:rPr>
              <w:t>0.648</w:t>
            </w:r>
          </w:p>
        </w:tc>
        <w:tc>
          <w:tcPr>
            <w:tcW w:w="768" w:type="dxa"/>
            <w:tcBorders>
              <w:top w:val="nil"/>
              <w:left w:val="nil"/>
              <w:bottom w:val="nil"/>
              <w:right w:val="nil"/>
            </w:tcBorders>
            <w:shd w:val="clear" w:color="auto" w:fill="auto"/>
            <w:noWrap/>
            <w:vAlign w:val="bottom"/>
            <w:hideMark/>
          </w:tcPr>
          <w:p w14:paraId="1CC57A6D" w14:textId="50E379BA" w:rsidR="00AD4B60" w:rsidRDefault="00AD4B60" w:rsidP="00AD4B60">
            <w:pPr>
              <w:jc w:val="right"/>
              <w:rPr>
                <w:color w:val="000000"/>
                <w:sz w:val="20"/>
                <w:szCs w:val="20"/>
              </w:rPr>
            </w:pPr>
            <w:r>
              <w:rPr>
                <w:color w:val="000000"/>
                <w:sz w:val="20"/>
                <w:szCs w:val="20"/>
              </w:rPr>
              <w:t>0.001</w:t>
            </w:r>
          </w:p>
        </w:tc>
      </w:tr>
      <w:tr w:rsidR="00AD4B60" w14:paraId="37D2BD21" w14:textId="77777777" w:rsidTr="00964DCF">
        <w:trPr>
          <w:trHeight w:val="320"/>
        </w:trPr>
        <w:tc>
          <w:tcPr>
            <w:tcW w:w="1176" w:type="dxa"/>
            <w:tcBorders>
              <w:top w:val="nil"/>
              <w:left w:val="nil"/>
              <w:bottom w:val="nil"/>
              <w:right w:val="nil"/>
            </w:tcBorders>
            <w:shd w:val="clear" w:color="auto" w:fill="auto"/>
            <w:noWrap/>
            <w:vAlign w:val="bottom"/>
            <w:hideMark/>
          </w:tcPr>
          <w:p w14:paraId="2F4114D9"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EC98EBD" w14:textId="77777777" w:rsidR="00AD4B60" w:rsidRDefault="00AD4B60" w:rsidP="00AD4B6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575D48F" w14:textId="3D7AED42" w:rsidR="00AD4B60" w:rsidRDefault="00AD4B60" w:rsidP="00AD4B60">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54683B01" w14:textId="2AFFCCDA" w:rsidR="00AD4B60" w:rsidRDefault="00AD4B60" w:rsidP="00AD4B60">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3DAC7306" w14:textId="08F4740C"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BC588F8" w14:textId="21AD93A2" w:rsidR="00AD4B60" w:rsidRDefault="00AD4B60" w:rsidP="00AD4B60">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4245921" w14:textId="3DD4873E" w:rsidR="00AD4B60" w:rsidRDefault="00AD4B60" w:rsidP="00AD4B60">
            <w:pPr>
              <w:jc w:val="right"/>
              <w:rPr>
                <w:color w:val="000000"/>
                <w:sz w:val="20"/>
                <w:szCs w:val="20"/>
              </w:rPr>
            </w:pPr>
            <w:r>
              <w:rPr>
                <w:color w:val="000000"/>
                <w:sz w:val="20"/>
                <w:szCs w:val="20"/>
              </w:rPr>
              <w:t>0.538</w:t>
            </w:r>
          </w:p>
        </w:tc>
        <w:tc>
          <w:tcPr>
            <w:tcW w:w="768" w:type="dxa"/>
            <w:tcBorders>
              <w:top w:val="nil"/>
              <w:left w:val="nil"/>
              <w:bottom w:val="nil"/>
              <w:right w:val="nil"/>
            </w:tcBorders>
            <w:shd w:val="clear" w:color="auto" w:fill="auto"/>
            <w:noWrap/>
            <w:vAlign w:val="bottom"/>
            <w:hideMark/>
          </w:tcPr>
          <w:p w14:paraId="017C01F6" w14:textId="6557D35D"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D63EBF9" w14:textId="473FEFF5" w:rsidR="00AD4B60" w:rsidRDefault="00AD4B60" w:rsidP="00AD4B60">
            <w:pPr>
              <w:jc w:val="right"/>
              <w:rPr>
                <w:b/>
                <w:bCs/>
                <w:color w:val="000000"/>
                <w:sz w:val="20"/>
                <w:szCs w:val="20"/>
              </w:rPr>
            </w:pPr>
            <w:r>
              <w:rPr>
                <w:b/>
                <w:bCs/>
                <w:color w:val="000000"/>
                <w:sz w:val="20"/>
                <w:szCs w:val="20"/>
              </w:rPr>
              <w:t>0.114</w:t>
            </w:r>
          </w:p>
        </w:tc>
        <w:tc>
          <w:tcPr>
            <w:tcW w:w="768" w:type="dxa"/>
            <w:tcBorders>
              <w:top w:val="nil"/>
              <w:left w:val="nil"/>
              <w:bottom w:val="nil"/>
              <w:right w:val="nil"/>
            </w:tcBorders>
            <w:shd w:val="clear" w:color="auto" w:fill="auto"/>
            <w:noWrap/>
            <w:vAlign w:val="bottom"/>
            <w:hideMark/>
          </w:tcPr>
          <w:p w14:paraId="4D606C60" w14:textId="4AC18355" w:rsidR="00AD4B60" w:rsidRDefault="00AD4B60" w:rsidP="00AD4B60">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072A77B5" w14:textId="0EB4A29F" w:rsidR="00AD4B60" w:rsidRDefault="00AD4B60" w:rsidP="00AD4B60">
            <w:pPr>
              <w:jc w:val="right"/>
              <w:rPr>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033F07DD" w14:textId="26CCCA1D" w:rsidR="00AD4B60" w:rsidRDefault="00AD4B60" w:rsidP="00AD4B6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41D6A1A" w14:textId="57D0654B" w:rsidR="00AD4B60" w:rsidRDefault="00AD4B60" w:rsidP="00AD4B60">
            <w:pPr>
              <w:jc w:val="right"/>
              <w:rPr>
                <w:color w:val="000000"/>
                <w:sz w:val="20"/>
                <w:szCs w:val="20"/>
              </w:rPr>
            </w:pPr>
            <w:r>
              <w:rPr>
                <w:color w:val="000000"/>
                <w:sz w:val="20"/>
                <w:szCs w:val="20"/>
              </w:rPr>
              <w:t>0.731</w:t>
            </w:r>
          </w:p>
        </w:tc>
        <w:tc>
          <w:tcPr>
            <w:tcW w:w="768" w:type="dxa"/>
            <w:tcBorders>
              <w:top w:val="nil"/>
              <w:left w:val="nil"/>
              <w:bottom w:val="nil"/>
              <w:right w:val="nil"/>
            </w:tcBorders>
            <w:shd w:val="clear" w:color="auto" w:fill="auto"/>
            <w:noWrap/>
            <w:vAlign w:val="bottom"/>
            <w:hideMark/>
          </w:tcPr>
          <w:p w14:paraId="177C1F7F" w14:textId="2F50BB52"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D11086" w14:textId="707523FD" w:rsidR="00AD4B60" w:rsidRDefault="00AD4B60" w:rsidP="00AD4B60">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62739FCC" w14:textId="6F88E25D" w:rsidR="00AD4B60" w:rsidRDefault="00AD4B60" w:rsidP="00AD4B60">
            <w:pPr>
              <w:jc w:val="right"/>
              <w:rPr>
                <w:color w:val="000000"/>
                <w:sz w:val="20"/>
                <w:szCs w:val="20"/>
              </w:rPr>
            </w:pPr>
            <w:r>
              <w:rPr>
                <w:color w:val="000000"/>
                <w:sz w:val="20"/>
                <w:szCs w:val="20"/>
              </w:rPr>
              <w:t>0.299</w:t>
            </w:r>
          </w:p>
        </w:tc>
        <w:tc>
          <w:tcPr>
            <w:tcW w:w="768" w:type="dxa"/>
            <w:tcBorders>
              <w:top w:val="nil"/>
              <w:left w:val="nil"/>
              <w:bottom w:val="nil"/>
              <w:right w:val="nil"/>
            </w:tcBorders>
            <w:shd w:val="clear" w:color="auto" w:fill="auto"/>
            <w:noWrap/>
            <w:vAlign w:val="bottom"/>
            <w:hideMark/>
          </w:tcPr>
          <w:p w14:paraId="08C63B04" w14:textId="334A5AC3" w:rsidR="00AD4B60" w:rsidRDefault="00AD4B60" w:rsidP="00AD4B60">
            <w:pPr>
              <w:jc w:val="right"/>
              <w:rPr>
                <w:color w:val="000000"/>
                <w:sz w:val="20"/>
                <w:szCs w:val="20"/>
              </w:rPr>
            </w:pPr>
            <w:r>
              <w:rPr>
                <w:color w:val="000000"/>
                <w:sz w:val="20"/>
                <w:szCs w:val="20"/>
              </w:rPr>
              <w:t>0.003</w:t>
            </w:r>
          </w:p>
        </w:tc>
      </w:tr>
      <w:tr w:rsidR="00AD4B60" w14:paraId="69624CD3" w14:textId="77777777" w:rsidTr="0019071A">
        <w:trPr>
          <w:trHeight w:val="320"/>
        </w:trPr>
        <w:tc>
          <w:tcPr>
            <w:tcW w:w="1176" w:type="dxa"/>
            <w:tcBorders>
              <w:top w:val="nil"/>
              <w:left w:val="nil"/>
              <w:bottom w:val="nil"/>
              <w:right w:val="nil"/>
            </w:tcBorders>
            <w:shd w:val="clear" w:color="auto" w:fill="auto"/>
            <w:noWrap/>
            <w:vAlign w:val="bottom"/>
            <w:hideMark/>
          </w:tcPr>
          <w:p w14:paraId="2AAE6911"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0016EFF" w14:textId="77777777" w:rsidR="00AD4B60" w:rsidRDefault="00AD4B60" w:rsidP="00AD4B6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20BDA7E" w14:textId="08D40E8A" w:rsidR="00AD4B60" w:rsidRDefault="00AD4B60" w:rsidP="00AD4B60">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BC9F3E9" w14:textId="5BC41338" w:rsidR="00AD4B60" w:rsidRDefault="00AD4B60" w:rsidP="00AD4B60">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7D9EF4B4" w14:textId="16A2BA9C"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1E8D08" w14:textId="01C00B88" w:rsidR="00AD4B60" w:rsidRDefault="00AD4B60" w:rsidP="00AD4B6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D155E9E" w14:textId="3C5793AC" w:rsidR="00AD4B60" w:rsidRDefault="00AD4B60" w:rsidP="00AD4B60">
            <w:pPr>
              <w:jc w:val="right"/>
              <w:rPr>
                <w:color w:val="000000"/>
                <w:sz w:val="20"/>
                <w:szCs w:val="20"/>
              </w:rPr>
            </w:pPr>
            <w:r>
              <w:rPr>
                <w:color w:val="000000"/>
                <w:sz w:val="20"/>
                <w:szCs w:val="20"/>
              </w:rPr>
              <w:t>0.834</w:t>
            </w:r>
          </w:p>
        </w:tc>
        <w:tc>
          <w:tcPr>
            <w:tcW w:w="768" w:type="dxa"/>
            <w:tcBorders>
              <w:top w:val="nil"/>
              <w:left w:val="nil"/>
              <w:bottom w:val="nil"/>
              <w:right w:val="nil"/>
            </w:tcBorders>
            <w:shd w:val="clear" w:color="auto" w:fill="auto"/>
            <w:noWrap/>
            <w:vAlign w:val="bottom"/>
            <w:hideMark/>
          </w:tcPr>
          <w:p w14:paraId="67DBD71F" w14:textId="69392C2D"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7D8A6B0" w14:textId="03B9C93D" w:rsidR="00AD4B60" w:rsidRDefault="00AD4B60" w:rsidP="00AD4B60">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D7F9364" w14:textId="3E41FF61" w:rsidR="00AD4B60" w:rsidRDefault="00AD4B60" w:rsidP="00AD4B60">
            <w:pPr>
              <w:jc w:val="right"/>
              <w:rPr>
                <w:color w:val="000000"/>
                <w:sz w:val="20"/>
                <w:szCs w:val="20"/>
              </w:rPr>
            </w:pPr>
            <w:r>
              <w:rPr>
                <w:color w:val="000000"/>
                <w:sz w:val="20"/>
                <w:szCs w:val="20"/>
              </w:rPr>
              <w:t>0.496</w:t>
            </w:r>
          </w:p>
        </w:tc>
        <w:tc>
          <w:tcPr>
            <w:tcW w:w="768" w:type="dxa"/>
            <w:tcBorders>
              <w:top w:val="nil"/>
              <w:left w:val="nil"/>
              <w:bottom w:val="nil"/>
              <w:right w:val="nil"/>
            </w:tcBorders>
            <w:shd w:val="clear" w:color="auto" w:fill="auto"/>
            <w:noWrap/>
            <w:vAlign w:val="bottom"/>
            <w:hideMark/>
          </w:tcPr>
          <w:p w14:paraId="32463B12" w14:textId="5D7EC4D4"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B54EFEA" w14:textId="57BC2E94" w:rsidR="00AD4B60" w:rsidRDefault="00AD4B60" w:rsidP="00AD4B60">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1484BDB3" w14:textId="4FA8B1EF" w:rsidR="00AD4B60" w:rsidRDefault="00AD4B60" w:rsidP="00AD4B60">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436E3FC3" w14:textId="597AEE93"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790FD78" w14:textId="3DBB2526" w:rsidR="00AD4B60" w:rsidRDefault="00AD4B60" w:rsidP="00AD4B60">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1058D870" w14:textId="6B699E48" w:rsidR="00AD4B60" w:rsidRDefault="00AD4B60" w:rsidP="00AD4B60">
            <w:pPr>
              <w:jc w:val="right"/>
              <w:rPr>
                <w:color w:val="000000"/>
                <w:sz w:val="20"/>
                <w:szCs w:val="20"/>
              </w:rPr>
            </w:pPr>
            <w:r>
              <w:rPr>
                <w:color w:val="000000"/>
                <w:sz w:val="20"/>
                <w:szCs w:val="20"/>
              </w:rPr>
              <w:t>0.299</w:t>
            </w:r>
          </w:p>
        </w:tc>
        <w:tc>
          <w:tcPr>
            <w:tcW w:w="768" w:type="dxa"/>
            <w:tcBorders>
              <w:top w:val="nil"/>
              <w:left w:val="nil"/>
              <w:bottom w:val="nil"/>
              <w:right w:val="nil"/>
            </w:tcBorders>
            <w:shd w:val="clear" w:color="auto" w:fill="auto"/>
            <w:noWrap/>
            <w:vAlign w:val="bottom"/>
            <w:hideMark/>
          </w:tcPr>
          <w:p w14:paraId="3B73ED45" w14:textId="272C6659" w:rsidR="00AD4B60" w:rsidRDefault="00AD4B60" w:rsidP="00AD4B60">
            <w:pPr>
              <w:jc w:val="right"/>
              <w:rPr>
                <w:color w:val="000000"/>
                <w:sz w:val="20"/>
                <w:szCs w:val="20"/>
              </w:rPr>
            </w:pPr>
            <w:r>
              <w:rPr>
                <w:color w:val="000000"/>
                <w:sz w:val="20"/>
                <w:szCs w:val="20"/>
              </w:rPr>
              <w:t>0.002</w:t>
            </w:r>
          </w:p>
        </w:tc>
      </w:tr>
      <w:tr w:rsidR="00AD4B60" w14:paraId="4EA269D4" w14:textId="77777777" w:rsidTr="0019071A">
        <w:trPr>
          <w:trHeight w:val="320"/>
        </w:trPr>
        <w:tc>
          <w:tcPr>
            <w:tcW w:w="1176" w:type="dxa"/>
            <w:tcBorders>
              <w:top w:val="nil"/>
              <w:left w:val="nil"/>
              <w:bottom w:val="single" w:sz="4" w:space="0" w:color="auto"/>
              <w:right w:val="nil"/>
            </w:tcBorders>
            <w:shd w:val="clear" w:color="auto" w:fill="auto"/>
            <w:noWrap/>
            <w:vAlign w:val="bottom"/>
            <w:hideMark/>
          </w:tcPr>
          <w:p w14:paraId="7B2A35E8" w14:textId="77777777" w:rsidR="00AD4B60" w:rsidRDefault="00AD4B60" w:rsidP="00AD4B6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D62FDC5" w14:textId="77777777" w:rsidR="00AD4B60" w:rsidRDefault="00AD4B60" w:rsidP="00AD4B6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9AE2509" w14:textId="76ADB483" w:rsidR="00AD4B60" w:rsidRDefault="00AD4B60" w:rsidP="00AD4B60">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28CFCC7F" w14:textId="03ED689F" w:rsidR="00AD4B60" w:rsidRDefault="00AD4B60" w:rsidP="00AD4B60">
            <w:pPr>
              <w:jc w:val="right"/>
              <w:rPr>
                <w:color w:val="000000"/>
                <w:sz w:val="20"/>
                <w:szCs w:val="20"/>
              </w:rPr>
            </w:pPr>
            <w:r>
              <w:rPr>
                <w:color w:val="000000"/>
                <w:sz w:val="20"/>
                <w:szCs w:val="20"/>
              </w:rPr>
              <w:t>0.792</w:t>
            </w:r>
          </w:p>
        </w:tc>
        <w:tc>
          <w:tcPr>
            <w:tcW w:w="768" w:type="dxa"/>
            <w:tcBorders>
              <w:top w:val="nil"/>
              <w:left w:val="nil"/>
              <w:bottom w:val="single" w:sz="4" w:space="0" w:color="auto"/>
              <w:right w:val="nil"/>
            </w:tcBorders>
            <w:shd w:val="clear" w:color="auto" w:fill="auto"/>
            <w:noWrap/>
            <w:vAlign w:val="bottom"/>
            <w:hideMark/>
          </w:tcPr>
          <w:p w14:paraId="46E4F249" w14:textId="55D31CFE"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82FC5AA" w14:textId="2FD86FC4" w:rsidR="00AD4B60" w:rsidRDefault="00AD4B60" w:rsidP="00AD4B60">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3BBF0138" w14:textId="67EE887D" w:rsidR="00AD4B60" w:rsidRDefault="00AD4B60" w:rsidP="00AD4B60">
            <w:pPr>
              <w:jc w:val="right"/>
              <w:rPr>
                <w:color w:val="000000"/>
                <w:sz w:val="20"/>
                <w:szCs w:val="20"/>
              </w:rPr>
            </w:pPr>
            <w:r>
              <w:rPr>
                <w:color w:val="000000"/>
                <w:sz w:val="20"/>
                <w:szCs w:val="20"/>
              </w:rPr>
              <w:t>0.538</w:t>
            </w:r>
          </w:p>
        </w:tc>
        <w:tc>
          <w:tcPr>
            <w:tcW w:w="768" w:type="dxa"/>
            <w:tcBorders>
              <w:top w:val="nil"/>
              <w:left w:val="nil"/>
              <w:bottom w:val="single" w:sz="4" w:space="0" w:color="auto"/>
              <w:right w:val="nil"/>
            </w:tcBorders>
            <w:shd w:val="clear" w:color="auto" w:fill="auto"/>
            <w:noWrap/>
            <w:vAlign w:val="bottom"/>
            <w:hideMark/>
          </w:tcPr>
          <w:p w14:paraId="299EA1DA" w14:textId="53FF1F2B"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5B4003C" w14:textId="3ED39B40" w:rsidR="00AD4B60" w:rsidRDefault="00AD4B60" w:rsidP="00AD4B60">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2579E80C" w14:textId="7B6E2E8E" w:rsidR="00AD4B60" w:rsidRDefault="00AD4B60" w:rsidP="00AD4B60">
            <w:pPr>
              <w:jc w:val="right"/>
              <w:rPr>
                <w:color w:val="000000"/>
                <w:sz w:val="20"/>
                <w:szCs w:val="20"/>
              </w:rPr>
            </w:pPr>
            <w:r>
              <w:rPr>
                <w:color w:val="000000"/>
                <w:sz w:val="20"/>
                <w:szCs w:val="20"/>
              </w:rPr>
              <w:t>0.440</w:t>
            </w:r>
          </w:p>
        </w:tc>
        <w:tc>
          <w:tcPr>
            <w:tcW w:w="768" w:type="dxa"/>
            <w:tcBorders>
              <w:top w:val="nil"/>
              <w:left w:val="nil"/>
              <w:bottom w:val="single" w:sz="4" w:space="0" w:color="auto"/>
              <w:right w:val="nil"/>
            </w:tcBorders>
            <w:shd w:val="clear" w:color="auto" w:fill="auto"/>
            <w:noWrap/>
            <w:vAlign w:val="bottom"/>
            <w:hideMark/>
          </w:tcPr>
          <w:p w14:paraId="50C7DD90" w14:textId="2186F5C9"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E8BC8E9" w14:textId="19017AA9" w:rsidR="00AD4B60" w:rsidRDefault="00AD4B60" w:rsidP="00AD4B60">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73A76630" w14:textId="5DD500E5" w:rsidR="00AD4B60" w:rsidRDefault="00AD4B60" w:rsidP="00AD4B60">
            <w:pPr>
              <w:jc w:val="right"/>
              <w:rPr>
                <w:color w:val="000000"/>
                <w:sz w:val="20"/>
                <w:szCs w:val="20"/>
              </w:rPr>
            </w:pPr>
            <w:r>
              <w:rPr>
                <w:color w:val="000000"/>
                <w:sz w:val="20"/>
                <w:szCs w:val="20"/>
              </w:rPr>
              <w:t>0.731</w:t>
            </w:r>
          </w:p>
        </w:tc>
        <w:tc>
          <w:tcPr>
            <w:tcW w:w="768" w:type="dxa"/>
            <w:tcBorders>
              <w:top w:val="nil"/>
              <w:left w:val="nil"/>
              <w:bottom w:val="single" w:sz="4" w:space="0" w:color="auto"/>
              <w:right w:val="nil"/>
            </w:tcBorders>
            <w:shd w:val="clear" w:color="auto" w:fill="auto"/>
            <w:noWrap/>
            <w:vAlign w:val="bottom"/>
            <w:hideMark/>
          </w:tcPr>
          <w:p w14:paraId="78082D94" w14:textId="6BFD1EFA"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CC98791" w14:textId="0290FC25" w:rsidR="00AD4B60" w:rsidRDefault="00AD4B60" w:rsidP="00AD4B60">
            <w:pPr>
              <w:jc w:val="right"/>
              <w:rPr>
                <w:color w:val="000000"/>
                <w:sz w:val="20"/>
                <w:szCs w:val="20"/>
              </w:rPr>
            </w:pPr>
            <w:r>
              <w:rPr>
                <w:color w:val="000000"/>
                <w:sz w:val="20"/>
                <w:szCs w:val="20"/>
              </w:rPr>
              <w:t>0.049</w:t>
            </w:r>
          </w:p>
        </w:tc>
        <w:tc>
          <w:tcPr>
            <w:tcW w:w="768" w:type="dxa"/>
            <w:tcBorders>
              <w:top w:val="nil"/>
              <w:left w:val="nil"/>
              <w:bottom w:val="single" w:sz="4" w:space="0" w:color="auto"/>
              <w:right w:val="nil"/>
            </w:tcBorders>
            <w:shd w:val="clear" w:color="auto" w:fill="auto"/>
            <w:noWrap/>
            <w:vAlign w:val="bottom"/>
            <w:hideMark/>
          </w:tcPr>
          <w:p w14:paraId="0A62A8CF" w14:textId="35E9A1F0" w:rsidR="00AD4B60" w:rsidRDefault="00AD4B60" w:rsidP="00AD4B60">
            <w:pPr>
              <w:jc w:val="right"/>
              <w:rPr>
                <w:color w:val="000000"/>
                <w:sz w:val="20"/>
                <w:szCs w:val="20"/>
              </w:rPr>
            </w:pPr>
            <w:r>
              <w:rPr>
                <w:color w:val="000000"/>
                <w:sz w:val="20"/>
                <w:szCs w:val="20"/>
              </w:rPr>
              <w:t>0.299</w:t>
            </w:r>
          </w:p>
        </w:tc>
        <w:tc>
          <w:tcPr>
            <w:tcW w:w="768" w:type="dxa"/>
            <w:tcBorders>
              <w:top w:val="nil"/>
              <w:left w:val="nil"/>
              <w:bottom w:val="single" w:sz="4" w:space="0" w:color="auto"/>
              <w:right w:val="nil"/>
            </w:tcBorders>
            <w:shd w:val="clear" w:color="auto" w:fill="auto"/>
            <w:noWrap/>
            <w:vAlign w:val="bottom"/>
            <w:hideMark/>
          </w:tcPr>
          <w:p w14:paraId="05F2CCAB" w14:textId="27D1CE99" w:rsidR="00AD4B60" w:rsidRDefault="00AD4B60" w:rsidP="00AD4B60">
            <w:pPr>
              <w:jc w:val="right"/>
              <w:rPr>
                <w:color w:val="000000"/>
                <w:sz w:val="20"/>
                <w:szCs w:val="20"/>
              </w:rPr>
            </w:pPr>
            <w:r>
              <w:rPr>
                <w:color w:val="000000"/>
                <w:sz w:val="20"/>
                <w:szCs w:val="20"/>
              </w:rPr>
              <w:t>0.002</w:t>
            </w:r>
          </w:p>
        </w:tc>
      </w:tr>
      <w:tr w:rsidR="00AD4B60" w14:paraId="04DC6A93" w14:textId="77777777" w:rsidTr="0019071A">
        <w:trPr>
          <w:trHeight w:val="320"/>
        </w:trPr>
        <w:tc>
          <w:tcPr>
            <w:tcW w:w="1176" w:type="dxa"/>
            <w:tcBorders>
              <w:top w:val="nil"/>
              <w:left w:val="nil"/>
              <w:bottom w:val="nil"/>
              <w:right w:val="nil"/>
            </w:tcBorders>
            <w:shd w:val="clear" w:color="auto" w:fill="auto"/>
            <w:noWrap/>
            <w:vAlign w:val="bottom"/>
            <w:hideMark/>
          </w:tcPr>
          <w:p w14:paraId="47C2BC36" w14:textId="77777777" w:rsidR="00AD4B60" w:rsidRDefault="00AD4B60" w:rsidP="00AD4B60">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14BB476D" w14:textId="77777777" w:rsidR="00AD4B60" w:rsidRDefault="00AD4B60" w:rsidP="00AD4B6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FAFD1F9" w14:textId="20E75060" w:rsidR="00AD4B60" w:rsidRDefault="00AD4B60" w:rsidP="00AD4B6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47173232" w14:textId="46F40492" w:rsidR="00AD4B60" w:rsidRDefault="00AD4B60" w:rsidP="00AD4B60">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5FED8200" w14:textId="783AF0AA"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A13209" w14:textId="261CA530" w:rsidR="00AD4B60" w:rsidRDefault="00AD4B60" w:rsidP="00AD4B60">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4095CAA" w14:textId="1492CC89" w:rsidR="00AD4B60" w:rsidRDefault="00AD4B60" w:rsidP="00AD4B60">
            <w:pPr>
              <w:jc w:val="right"/>
              <w:rPr>
                <w:color w:val="000000"/>
                <w:sz w:val="20"/>
                <w:szCs w:val="20"/>
              </w:rPr>
            </w:pPr>
            <w:r>
              <w:rPr>
                <w:color w:val="000000"/>
                <w:sz w:val="20"/>
                <w:szCs w:val="20"/>
              </w:rPr>
              <w:t>0.748</w:t>
            </w:r>
          </w:p>
        </w:tc>
        <w:tc>
          <w:tcPr>
            <w:tcW w:w="768" w:type="dxa"/>
            <w:tcBorders>
              <w:top w:val="nil"/>
              <w:left w:val="nil"/>
              <w:bottom w:val="nil"/>
              <w:right w:val="nil"/>
            </w:tcBorders>
            <w:shd w:val="clear" w:color="auto" w:fill="auto"/>
            <w:noWrap/>
            <w:vAlign w:val="bottom"/>
            <w:hideMark/>
          </w:tcPr>
          <w:p w14:paraId="76348D9E" w14:textId="1F674D78"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29D883" w14:textId="634B9EE3" w:rsidR="00AD4B60" w:rsidRDefault="00AD4B60" w:rsidP="00AD4B6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5640C02" w14:textId="2167D8D7" w:rsidR="00AD4B60" w:rsidRDefault="00AD4B60" w:rsidP="00AD4B60">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5A2D6A36" w14:textId="335CB108"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509062" w14:textId="57B917F6" w:rsidR="00AD4B60" w:rsidRDefault="00AD4B60" w:rsidP="00AD4B6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CBFAF41" w14:textId="0E375A6F" w:rsidR="00AD4B60" w:rsidRDefault="00AD4B60" w:rsidP="00AD4B60">
            <w:pPr>
              <w:jc w:val="right"/>
              <w:rPr>
                <w:color w:val="000000"/>
                <w:sz w:val="20"/>
                <w:szCs w:val="20"/>
              </w:rPr>
            </w:pPr>
            <w:r>
              <w:rPr>
                <w:color w:val="000000"/>
                <w:sz w:val="20"/>
                <w:szCs w:val="20"/>
              </w:rPr>
              <w:t>0.647</w:t>
            </w:r>
          </w:p>
        </w:tc>
        <w:tc>
          <w:tcPr>
            <w:tcW w:w="768" w:type="dxa"/>
            <w:tcBorders>
              <w:top w:val="nil"/>
              <w:left w:val="nil"/>
              <w:bottom w:val="nil"/>
              <w:right w:val="nil"/>
            </w:tcBorders>
            <w:shd w:val="clear" w:color="auto" w:fill="auto"/>
            <w:noWrap/>
            <w:vAlign w:val="bottom"/>
            <w:hideMark/>
          </w:tcPr>
          <w:p w14:paraId="60B33E88" w14:textId="7FF6AB7F"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72D33A" w14:textId="63226BF8" w:rsidR="00AD4B60" w:rsidRDefault="00AD4B60" w:rsidP="00AD4B6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B1E4085" w14:textId="7E4B4B8D" w:rsidR="00AD4B60" w:rsidRDefault="00AD4B60" w:rsidP="00AD4B60">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029E101A" w14:textId="3B6A6CD5" w:rsidR="00AD4B60" w:rsidRDefault="00AD4B60" w:rsidP="00AD4B60">
            <w:pPr>
              <w:jc w:val="right"/>
              <w:rPr>
                <w:color w:val="000000"/>
                <w:sz w:val="20"/>
                <w:szCs w:val="20"/>
              </w:rPr>
            </w:pPr>
            <w:r>
              <w:rPr>
                <w:color w:val="000000"/>
                <w:sz w:val="20"/>
                <w:szCs w:val="20"/>
              </w:rPr>
              <w:t>0.000</w:t>
            </w:r>
          </w:p>
        </w:tc>
      </w:tr>
      <w:tr w:rsidR="00AD4B60" w14:paraId="158CB11F" w14:textId="77777777" w:rsidTr="0019071A">
        <w:trPr>
          <w:trHeight w:val="320"/>
        </w:trPr>
        <w:tc>
          <w:tcPr>
            <w:tcW w:w="1176" w:type="dxa"/>
            <w:tcBorders>
              <w:top w:val="nil"/>
              <w:left w:val="nil"/>
              <w:bottom w:val="nil"/>
              <w:right w:val="nil"/>
            </w:tcBorders>
            <w:shd w:val="clear" w:color="auto" w:fill="auto"/>
            <w:noWrap/>
            <w:vAlign w:val="bottom"/>
            <w:hideMark/>
          </w:tcPr>
          <w:p w14:paraId="16F13491"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7A5AC2" w14:textId="77777777" w:rsidR="00AD4B60" w:rsidRDefault="00AD4B60" w:rsidP="00AD4B6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6F8A8FD" w14:textId="699FCD02" w:rsidR="00AD4B60" w:rsidRDefault="00AD4B60" w:rsidP="00AD4B6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C77F8A2" w14:textId="41B6E8CF" w:rsidR="00AD4B60" w:rsidRDefault="00AD4B60" w:rsidP="00AD4B60">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618A291B" w14:textId="36D9FDDC"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57CAE0" w14:textId="079E0C5E" w:rsidR="00AD4B60" w:rsidRDefault="00AD4B60" w:rsidP="00AD4B6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F0EB397" w14:textId="0A224E64" w:rsidR="00AD4B60" w:rsidRDefault="00AD4B60" w:rsidP="00AD4B60">
            <w:pPr>
              <w:jc w:val="right"/>
              <w:rPr>
                <w:color w:val="000000"/>
                <w:sz w:val="20"/>
                <w:szCs w:val="20"/>
              </w:rPr>
            </w:pPr>
            <w:r>
              <w:rPr>
                <w:color w:val="000000"/>
                <w:sz w:val="20"/>
                <w:szCs w:val="20"/>
              </w:rPr>
              <w:t>0.755</w:t>
            </w:r>
          </w:p>
        </w:tc>
        <w:tc>
          <w:tcPr>
            <w:tcW w:w="768" w:type="dxa"/>
            <w:tcBorders>
              <w:top w:val="nil"/>
              <w:left w:val="nil"/>
              <w:bottom w:val="nil"/>
              <w:right w:val="nil"/>
            </w:tcBorders>
            <w:shd w:val="clear" w:color="auto" w:fill="auto"/>
            <w:noWrap/>
            <w:vAlign w:val="bottom"/>
            <w:hideMark/>
          </w:tcPr>
          <w:p w14:paraId="120C74E3" w14:textId="08695C27"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ECD174" w14:textId="39D5BEDB" w:rsidR="00AD4B60" w:rsidRDefault="00AD4B60" w:rsidP="00AD4B6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22C1054" w14:textId="378CC5FD" w:rsidR="00AD4B60" w:rsidRDefault="00AD4B60" w:rsidP="00AD4B60">
            <w:pPr>
              <w:jc w:val="right"/>
              <w:rPr>
                <w:color w:val="000000"/>
                <w:sz w:val="20"/>
                <w:szCs w:val="20"/>
              </w:rPr>
            </w:pPr>
            <w:r>
              <w:rPr>
                <w:color w:val="000000"/>
                <w:sz w:val="20"/>
                <w:szCs w:val="20"/>
              </w:rPr>
              <w:t>0.640</w:t>
            </w:r>
          </w:p>
        </w:tc>
        <w:tc>
          <w:tcPr>
            <w:tcW w:w="768" w:type="dxa"/>
            <w:tcBorders>
              <w:top w:val="nil"/>
              <w:left w:val="nil"/>
              <w:bottom w:val="nil"/>
              <w:right w:val="nil"/>
            </w:tcBorders>
            <w:shd w:val="clear" w:color="auto" w:fill="auto"/>
            <w:noWrap/>
            <w:vAlign w:val="bottom"/>
            <w:hideMark/>
          </w:tcPr>
          <w:p w14:paraId="7F7B4167" w14:textId="0C3C1326"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8909EC" w14:textId="4E9CF054" w:rsidR="00AD4B60" w:rsidRDefault="00AD4B60" w:rsidP="00AD4B60">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424E862A" w14:textId="5EFC24C4" w:rsidR="00AD4B60" w:rsidRDefault="00AD4B60" w:rsidP="00AD4B60">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597DD485" w14:textId="56335BFA"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B4ED54C" w14:textId="70A97541" w:rsidR="00AD4B60" w:rsidRDefault="00AD4B60" w:rsidP="00AD4B60">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A599C6D" w14:textId="2D9A2D4C" w:rsidR="00AD4B60" w:rsidRDefault="00AD4B60" w:rsidP="00AD4B60">
            <w:pPr>
              <w:jc w:val="right"/>
              <w:rPr>
                <w:color w:val="000000"/>
                <w:sz w:val="20"/>
                <w:szCs w:val="20"/>
              </w:rPr>
            </w:pPr>
            <w:r>
              <w:rPr>
                <w:color w:val="000000"/>
                <w:sz w:val="20"/>
                <w:szCs w:val="20"/>
              </w:rPr>
              <w:t>0.413</w:t>
            </w:r>
          </w:p>
        </w:tc>
        <w:tc>
          <w:tcPr>
            <w:tcW w:w="768" w:type="dxa"/>
            <w:tcBorders>
              <w:top w:val="nil"/>
              <w:left w:val="nil"/>
              <w:bottom w:val="nil"/>
              <w:right w:val="nil"/>
            </w:tcBorders>
            <w:shd w:val="clear" w:color="auto" w:fill="auto"/>
            <w:noWrap/>
            <w:vAlign w:val="bottom"/>
            <w:hideMark/>
          </w:tcPr>
          <w:p w14:paraId="4AD2D6F1" w14:textId="3B8661E5" w:rsidR="00AD4B60" w:rsidRDefault="00AD4B60" w:rsidP="00AD4B60">
            <w:pPr>
              <w:jc w:val="right"/>
              <w:rPr>
                <w:color w:val="000000"/>
                <w:sz w:val="20"/>
                <w:szCs w:val="20"/>
              </w:rPr>
            </w:pPr>
            <w:r>
              <w:rPr>
                <w:color w:val="000000"/>
                <w:sz w:val="20"/>
                <w:szCs w:val="20"/>
              </w:rPr>
              <w:t>0.002</w:t>
            </w:r>
          </w:p>
        </w:tc>
      </w:tr>
      <w:tr w:rsidR="00AD4B60" w14:paraId="6BE8016C" w14:textId="77777777" w:rsidTr="0019071A">
        <w:trPr>
          <w:trHeight w:val="320"/>
        </w:trPr>
        <w:tc>
          <w:tcPr>
            <w:tcW w:w="1176" w:type="dxa"/>
            <w:tcBorders>
              <w:top w:val="nil"/>
              <w:left w:val="nil"/>
              <w:bottom w:val="nil"/>
              <w:right w:val="nil"/>
            </w:tcBorders>
            <w:shd w:val="clear" w:color="auto" w:fill="auto"/>
            <w:noWrap/>
            <w:vAlign w:val="bottom"/>
            <w:hideMark/>
          </w:tcPr>
          <w:p w14:paraId="5173B65F"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F28389F" w14:textId="77777777" w:rsidR="00AD4B60" w:rsidRDefault="00AD4B60" w:rsidP="00AD4B6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5110AFF" w14:textId="4DEB1E7B" w:rsidR="00AD4B60" w:rsidRDefault="00AD4B60" w:rsidP="00AD4B60">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19DFAD4F" w14:textId="4089A9DC" w:rsidR="00AD4B60" w:rsidRDefault="00AD4B60" w:rsidP="00AD4B60">
            <w:pPr>
              <w:jc w:val="right"/>
              <w:rPr>
                <w:color w:val="000000"/>
                <w:sz w:val="20"/>
                <w:szCs w:val="20"/>
              </w:rPr>
            </w:pPr>
            <w:r>
              <w:rPr>
                <w:color w:val="000000"/>
                <w:sz w:val="20"/>
                <w:szCs w:val="20"/>
              </w:rPr>
              <w:t>0.820</w:t>
            </w:r>
          </w:p>
        </w:tc>
        <w:tc>
          <w:tcPr>
            <w:tcW w:w="768" w:type="dxa"/>
            <w:tcBorders>
              <w:top w:val="nil"/>
              <w:left w:val="nil"/>
              <w:bottom w:val="nil"/>
              <w:right w:val="nil"/>
            </w:tcBorders>
            <w:shd w:val="clear" w:color="auto" w:fill="auto"/>
            <w:noWrap/>
            <w:vAlign w:val="bottom"/>
            <w:hideMark/>
          </w:tcPr>
          <w:p w14:paraId="35086CEB" w14:textId="2A8AA137"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F473636" w14:textId="6F20AE8C" w:rsidR="00AD4B60" w:rsidRDefault="00AD4B60" w:rsidP="00AD4B60">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09F769FF" w14:textId="351E40AE" w:rsidR="00AD4B60" w:rsidRDefault="00AD4B60" w:rsidP="00AD4B60">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73AA0DD6" w14:textId="091380E4" w:rsidR="00AD4B60" w:rsidRDefault="00AD4B60" w:rsidP="00AD4B6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DE1BF67" w14:textId="753ECF60" w:rsidR="00AD4B60" w:rsidRDefault="00AD4B60" w:rsidP="00AD4B60">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3878CB94" w14:textId="637C2790" w:rsidR="00AD4B60" w:rsidRDefault="00AD4B60" w:rsidP="00AD4B60">
            <w:pPr>
              <w:jc w:val="right"/>
              <w:rPr>
                <w:color w:val="000000"/>
                <w:sz w:val="20"/>
                <w:szCs w:val="20"/>
              </w:rPr>
            </w:pPr>
            <w:r>
              <w:rPr>
                <w:color w:val="000000"/>
                <w:sz w:val="20"/>
                <w:szCs w:val="20"/>
              </w:rPr>
              <w:t>0.515</w:t>
            </w:r>
          </w:p>
        </w:tc>
        <w:tc>
          <w:tcPr>
            <w:tcW w:w="768" w:type="dxa"/>
            <w:tcBorders>
              <w:top w:val="nil"/>
              <w:left w:val="nil"/>
              <w:bottom w:val="nil"/>
              <w:right w:val="nil"/>
            </w:tcBorders>
            <w:shd w:val="clear" w:color="auto" w:fill="auto"/>
            <w:noWrap/>
            <w:vAlign w:val="bottom"/>
            <w:hideMark/>
          </w:tcPr>
          <w:p w14:paraId="0D26BB98" w14:textId="7627A58C"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F76CFE" w14:textId="23287B31" w:rsidR="00AD4B60" w:rsidRDefault="00AD4B60" w:rsidP="00AD4B6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C1D1DA6" w14:textId="2D6829AA" w:rsidR="00AD4B60" w:rsidRDefault="00AD4B60" w:rsidP="00AD4B60">
            <w:pPr>
              <w:jc w:val="right"/>
              <w:rPr>
                <w:color w:val="000000"/>
                <w:sz w:val="20"/>
                <w:szCs w:val="20"/>
              </w:rPr>
            </w:pPr>
            <w:r>
              <w:rPr>
                <w:color w:val="000000"/>
                <w:sz w:val="20"/>
                <w:szCs w:val="20"/>
              </w:rPr>
              <w:t>0.424</w:t>
            </w:r>
          </w:p>
        </w:tc>
        <w:tc>
          <w:tcPr>
            <w:tcW w:w="768" w:type="dxa"/>
            <w:tcBorders>
              <w:top w:val="nil"/>
              <w:left w:val="nil"/>
              <w:bottom w:val="nil"/>
              <w:right w:val="nil"/>
            </w:tcBorders>
            <w:shd w:val="clear" w:color="auto" w:fill="auto"/>
            <w:noWrap/>
            <w:vAlign w:val="bottom"/>
            <w:hideMark/>
          </w:tcPr>
          <w:p w14:paraId="740726D1" w14:textId="4B5E038A"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6924FF" w14:textId="438E1B53" w:rsidR="00AD4B60" w:rsidRDefault="00AD4B60" w:rsidP="00AD4B60">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49BD3B41" w14:textId="4FC5C268" w:rsidR="00AD4B60" w:rsidRDefault="00AD4B60" w:rsidP="00AD4B60">
            <w:pPr>
              <w:jc w:val="right"/>
              <w:rPr>
                <w:color w:val="000000"/>
                <w:sz w:val="20"/>
                <w:szCs w:val="20"/>
              </w:rPr>
            </w:pPr>
            <w:r>
              <w:rPr>
                <w:color w:val="000000"/>
                <w:sz w:val="20"/>
                <w:szCs w:val="20"/>
              </w:rPr>
              <w:t>0.180</w:t>
            </w:r>
          </w:p>
        </w:tc>
        <w:tc>
          <w:tcPr>
            <w:tcW w:w="768" w:type="dxa"/>
            <w:tcBorders>
              <w:top w:val="nil"/>
              <w:left w:val="nil"/>
              <w:bottom w:val="nil"/>
              <w:right w:val="nil"/>
            </w:tcBorders>
            <w:shd w:val="clear" w:color="auto" w:fill="auto"/>
            <w:noWrap/>
            <w:vAlign w:val="bottom"/>
            <w:hideMark/>
          </w:tcPr>
          <w:p w14:paraId="7B9706AC" w14:textId="0FF62D78" w:rsidR="00AD4B60" w:rsidRDefault="00AD4B60" w:rsidP="00AD4B60">
            <w:pPr>
              <w:jc w:val="right"/>
              <w:rPr>
                <w:color w:val="000000"/>
                <w:sz w:val="20"/>
                <w:szCs w:val="20"/>
              </w:rPr>
            </w:pPr>
            <w:r>
              <w:rPr>
                <w:color w:val="000000"/>
                <w:sz w:val="20"/>
                <w:szCs w:val="20"/>
              </w:rPr>
              <w:t>0.004</w:t>
            </w:r>
          </w:p>
        </w:tc>
      </w:tr>
      <w:tr w:rsidR="00AD4B60" w14:paraId="28836FC8" w14:textId="77777777" w:rsidTr="0019071A">
        <w:trPr>
          <w:trHeight w:val="320"/>
        </w:trPr>
        <w:tc>
          <w:tcPr>
            <w:tcW w:w="1176" w:type="dxa"/>
            <w:tcBorders>
              <w:top w:val="nil"/>
              <w:left w:val="nil"/>
              <w:bottom w:val="nil"/>
              <w:right w:val="nil"/>
            </w:tcBorders>
            <w:shd w:val="clear" w:color="auto" w:fill="auto"/>
            <w:noWrap/>
            <w:vAlign w:val="bottom"/>
            <w:hideMark/>
          </w:tcPr>
          <w:p w14:paraId="3E8B7FB3"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8AECC6C" w14:textId="77777777" w:rsidR="00AD4B60" w:rsidRDefault="00AD4B60" w:rsidP="00AD4B6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4E50F45" w14:textId="5D49F0DD"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287A135" w14:textId="37C2EC65" w:rsidR="00AD4B60" w:rsidRDefault="00AD4B60" w:rsidP="00AD4B60">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3840519C" w14:textId="5E689D2F"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87A1F8" w14:textId="647639DE" w:rsidR="00AD4B60" w:rsidRDefault="00AD4B60" w:rsidP="00AD4B60">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C5D67D4" w14:textId="06051403" w:rsidR="00AD4B60" w:rsidRDefault="00AD4B60" w:rsidP="00AD4B60">
            <w:pPr>
              <w:jc w:val="right"/>
              <w:rPr>
                <w:color w:val="000000"/>
                <w:sz w:val="20"/>
                <w:szCs w:val="20"/>
              </w:rPr>
            </w:pPr>
            <w:r>
              <w:rPr>
                <w:color w:val="000000"/>
                <w:sz w:val="20"/>
                <w:szCs w:val="20"/>
              </w:rPr>
              <w:t>0.314</w:t>
            </w:r>
          </w:p>
        </w:tc>
        <w:tc>
          <w:tcPr>
            <w:tcW w:w="768" w:type="dxa"/>
            <w:tcBorders>
              <w:top w:val="nil"/>
              <w:left w:val="nil"/>
              <w:bottom w:val="nil"/>
              <w:right w:val="nil"/>
            </w:tcBorders>
            <w:shd w:val="clear" w:color="auto" w:fill="auto"/>
            <w:noWrap/>
            <w:vAlign w:val="bottom"/>
            <w:hideMark/>
          </w:tcPr>
          <w:p w14:paraId="56652DD2" w14:textId="4A4DB754"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29BAA3C" w14:textId="79545C85" w:rsidR="00AD4B60" w:rsidRDefault="00AD4B60" w:rsidP="00AD4B60">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28DE6437" w14:textId="0A429EAB" w:rsidR="00AD4B60" w:rsidRDefault="00AD4B60" w:rsidP="00AD4B60">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76B75018" w14:textId="47A95081"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188AFD0" w14:textId="2FF17978" w:rsidR="00AD4B60" w:rsidRDefault="00AD4B60" w:rsidP="00AD4B6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3CDAB96" w14:textId="3AB0B7F0" w:rsidR="00AD4B60" w:rsidRDefault="00AD4B60" w:rsidP="00AD4B60">
            <w:pPr>
              <w:jc w:val="right"/>
              <w:rPr>
                <w:color w:val="000000"/>
                <w:sz w:val="20"/>
                <w:szCs w:val="20"/>
              </w:rPr>
            </w:pPr>
            <w:r>
              <w:rPr>
                <w:color w:val="000000"/>
                <w:sz w:val="20"/>
                <w:szCs w:val="20"/>
              </w:rPr>
              <w:t>0.424</w:t>
            </w:r>
          </w:p>
        </w:tc>
        <w:tc>
          <w:tcPr>
            <w:tcW w:w="768" w:type="dxa"/>
            <w:tcBorders>
              <w:top w:val="nil"/>
              <w:left w:val="nil"/>
              <w:bottom w:val="nil"/>
              <w:right w:val="nil"/>
            </w:tcBorders>
            <w:shd w:val="clear" w:color="auto" w:fill="auto"/>
            <w:noWrap/>
            <w:vAlign w:val="bottom"/>
            <w:hideMark/>
          </w:tcPr>
          <w:p w14:paraId="243C580F" w14:textId="4D5D34BA"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0B04A0" w14:textId="5DFDF62B" w:rsidR="00AD4B60" w:rsidRDefault="00AD4B60" w:rsidP="00AD4B60">
            <w:pPr>
              <w:jc w:val="right"/>
              <w:rPr>
                <w:b/>
                <w:bCs/>
                <w:color w:val="000000"/>
                <w:sz w:val="20"/>
                <w:szCs w:val="20"/>
              </w:rPr>
            </w:pPr>
            <w:r>
              <w:rPr>
                <w:b/>
                <w:bCs/>
                <w:color w:val="000000"/>
                <w:sz w:val="20"/>
                <w:szCs w:val="20"/>
              </w:rPr>
              <w:t>-0.093</w:t>
            </w:r>
          </w:p>
        </w:tc>
        <w:tc>
          <w:tcPr>
            <w:tcW w:w="768" w:type="dxa"/>
            <w:tcBorders>
              <w:top w:val="nil"/>
              <w:left w:val="nil"/>
              <w:bottom w:val="nil"/>
              <w:right w:val="nil"/>
            </w:tcBorders>
            <w:shd w:val="clear" w:color="auto" w:fill="auto"/>
            <w:noWrap/>
            <w:vAlign w:val="bottom"/>
            <w:hideMark/>
          </w:tcPr>
          <w:p w14:paraId="53BD4B69" w14:textId="25DEE7AB" w:rsidR="00AD4B60" w:rsidRDefault="00AD4B60" w:rsidP="00AD4B60">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2002DA75" w14:textId="4EF2F99D" w:rsidR="00AD4B60" w:rsidRDefault="00AD4B60" w:rsidP="00AD4B60">
            <w:pPr>
              <w:jc w:val="right"/>
              <w:rPr>
                <w:color w:val="000000"/>
                <w:sz w:val="20"/>
                <w:szCs w:val="20"/>
              </w:rPr>
            </w:pPr>
            <w:r>
              <w:rPr>
                <w:b/>
                <w:bCs/>
                <w:color w:val="000000"/>
                <w:sz w:val="20"/>
                <w:szCs w:val="20"/>
              </w:rPr>
              <w:t>0.009</w:t>
            </w:r>
          </w:p>
        </w:tc>
      </w:tr>
      <w:tr w:rsidR="00AD4B60" w14:paraId="5E87A626" w14:textId="77777777" w:rsidTr="0019071A">
        <w:trPr>
          <w:trHeight w:val="320"/>
        </w:trPr>
        <w:tc>
          <w:tcPr>
            <w:tcW w:w="1176" w:type="dxa"/>
            <w:tcBorders>
              <w:top w:val="nil"/>
              <w:left w:val="nil"/>
              <w:bottom w:val="nil"/>
              <w:right w:val="nil"/>
            </w:tcBorders>
            <w:shd w:val="clear" w:color="auto" w:fill="auto"/>
            <w:noWrap/>
            <w:vAlign w:val="bottom"/>
            <w:hideMark/>
          </w:tcPr>
          <w:p w14:paraId="556404C0"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172352" w14:textId="77777777" w:rsidR="00AD4B60" w:rsidRDefault="00AD4B60" w:rsidP="00AD4B6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7B2FE5F" w14:textId="05172ED7" w:rsidR="00AD4B60" w:rsidRDefault="00AD4B60" w:rsidP="00AD4B60">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78D54678" w14:textId="15A1CA3B" w:rsidR="00AD4B60" w:rsidRDefault="00AD4B60" w:rsidP="00AD4B60">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28FD6022" w14:textId="4BFB5209"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B5DB99E" w14:textId="6DC85FE9" w:rsidR="00AD4B60" w:rsidRDefault="00AD4B60" w:rsidP="00AD4B60">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5A69DE3" w14:textId="15716180" w:rsidR="00AD4B60" w:rsidRDefault="00AD4B60" w:rsidP="00AD4B60">
            <w:pPr>
              <w:jc w:val="right"/>
              <w:rPr>
                <w:color w:val="000000"/>
                <w:sz w:val="20"/>
                <w:szCs w:val="20"/>
              </w:rPr>
            </w:pPr>
            <w:r>
              <w:rPr>
                <w:color w:val="000000"/>
                <w:sz w:val="20"/>
                <w:szCs w:val="20"/>
              </w:rPr>
              <w:t>0.291</w:t>
            </w:r>
          </w:p>
        </w:tc>
        <w:tc>
          <w:tcPr>
            <w:tcW w:w="768" w:type="dxa"/>
            <w:tcBorders>
              <w:top w:val="nil"/>
              <w:left w:val="nil"/>
              <w:bottom w:val="nil"/>
              <w:right w:val="nil"/>
            </w:tcBorders>
            <w:shd w:val="clear" w:color="auto" w:fill="auto"/>
            <w:noWrap/>
            <w:vAlign w:val="bottom"/>
            <w:hideMark/>
          </w:tcPr>
          <w:p w14:paraId="14041636" w14:textId="1E756477"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BD4DC1F" w14:textId="2EDEF862" w:rsidR="00AD4B60" w:rsidRDefault="00AD4B60" w:rsidP="00AD4B6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00D8E8B" w14:textId="7B752B0A" w:rsidR="00AD4B60" w:rsidRDefault="00AD4B60" w:rsidP="00AD4B60">
            <w:pPr>
              <w:jc w:val="right"/>
              <w:rPr>
                <w:color w:val="000000"/>
                <w:sz w:val="20"/>
                <w:szCs w:val="20"/>
              </w:rPr>
            </w:pPr>
            <w:r>
              <w:rPr>
                <w:color w:val="000000"/>
                <w:sz w:val="20"/>
                <w:szCs w:val="20"/>
              </w:rPr>
              <w:t>0.658</w:t>
            </w:r>
          </w:p>
        </w:tc>
        <w:tc>
          <w:tcPr>
            <w:tcW w:w="768" w:type="dxa"/>
            <w:tcBorders>
              <w:top w:val="nil"/>
              <w:left w:val="nil"/>
              <w:bottom w:val="nil"/>
              <w:right w:val="nil"/>
            </w:tcBorders>
            <w:shd w:val="clear" w:color="auto" w:fill="auto"/>
            <w:noWrap/>
            <w:vAlign w:val="bottom"/>
            <w:hideMark/>
          </w:tcPr>
          <w:p w14:paraId="132238F3" w14:textId="1B566613"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EF7C93" w14:textId="1B454F0A" w:rsidR="00AD4B60" w:rsidRDefault="00AD4B60" w:rsidP="00AD4B6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88AD304" w14:textId="11896656" w:rsidR="00AD4B60" w:rsidRDefault="00AD4B60" w:rsidP="00AD4B60">
            <w:pPr>
              <w:jc w:val="right"/>
              <w:rPr>
                <w:color w:val="000000"/>
                <w:sz w:val="20"/>
                <w:szCs w:val="20"/>
              </w:rPr>
            </w:pPr>
            <w:r>
              <w:rPr>
                <w:color w:val="000000"/>
                <w:sz w:val="20"/>
                <w:szCs w:val="20"/>
              </w:rPr>
              <w:t>0.424</w:t>
            </w:r>
          </w:p>
        </w:tc>
        <w:tc>
          <w:tcPr>
            <w:tcW w:w="768" w:type="dxa"/>
            <w:tcBorders>
              <w:top w:val="nil"/>
              <w:left w:val="nil"/>
              <w:bottom w:val="nil"/>
              <w:right w:val="nil"/>
            </w:tcBorders>
            <w:shd w:val="clear" w:color="auto" w:fill="auto"/>
            <w:noWrap/>
            <w:vAlign w:val="bottom"/>
            <w:hideMark/>
          </w:tcPr>
          <w:p w14:paraId="60CE2275" w14:textId="115C7C32"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F0CD2D2" w14:textId="6093CF99" w:rsidR="00AD4B60" w:rsidRDefault="00AD4B60" w:rsidP="00AD4B6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A00A6D9" w14:textId="2E91CFDC" w:rsidR="00AD4B60" w:rsidRDefault="00AD4B60" w:rsidP="00AD4B60">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560D7D2A" w14:textId="6E6E66A8" w:rsidR="00AD4B60" w:rsidRDefault="00AD4B60" w:rsidP="00AD4B60">
            <w:pPr>
              <w:jc w:val="right"/>
              <w:rPr>
                <w:color w:val="000000"/>
                <w:sz w:val="20"/>
                <w:szCs w:val="20"/>
              </w:rPr>
            </w:pPr>
            <w:r>
              <w:rPr>
                <w:color w:val="000000"/>
                <w:sz w:val="20"/>
                <w:szCs w:val="20"/>
              </w:rPr>
              <w:t>0.001</w:t>
            </w:r>
          </w:p>
        </w:tc>
      </w:tr>
      <w:tr w:rsidR="00AD4B60" w14:paraId="43C8823F" w14:textId="77777777" w:rsidTr="0019071A">
        <w:trPr>
          <w:trHeight w:val="320"/>
        </w:trPr>
        <w:tc>
          <w:tcPr>
            <w:tcW w:w="1176" w:type="dxa"/>
            <w:tcBorders>
              <w:top w:val="nil"/>
              <w:left w:val="nil"/>
              <w:bottom w:val="nil"/>
              <w:right w:val="nil"/>
            </w:tcBorders>
            <w:shd w:val="clear" w:color="auto" w:fill="auto"/>
            <w:noWrap/>
            <w:vAlign w:val="bottom"/>
            <w:hideMark/>
          </w:tcPr>
          <w:p w14:paraId="14FDDD3E"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A1D5A67" w14:textId="77777777" w:rsidR="00AD4B60" w:rsidRDefault="00AD4B60" w:rsidP="00AD4B6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3221B2E" w14:textId="7136EEC8" w:rsidR="00AD4B60" w:rsidRDefault="00AD4B60" w:rsidP="00AD4B6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E796D8E" w14:textId="5D2BEE5B" w:rsidR="00AD4B60" w:rsidRDefault="00AD4B60" w:rsidP="00AD4B60">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236CC31F" w14:textId="0D3BB2C5"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864146" w14:textId="024C2CDD" w:rsidR="00AD4B60" w:rsidRDefault="00AD4B60" w:rsidP="00AD4B6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F82D912" w14:textId="2328A5A8" w:rsidR="00AD4B60" w:rsidRDefault="00AD4B60" w:rsidP="00AD4B60">
            <w:pPr>
              <w:jc w:val="right"/>
              <w:rPr>
                <w:color w:val="000000"/>
                <w:sz w:val="20"/>
                <w:szCs w:val="20"/>
              </w:rPr>
            </w:pPr>
            <w:r>
              <w:rPr>
                <w:color w:val="000000"/>
                <w:sz w:val="20"/>
                <w:szCs w:val="20"/>
              </w:rPr>
              <w:t>0.748</w:t>
            </w:r>
          </w:p>
        </w:tc>
        <w:tc>
          <w:tcPr>
            <w:tcW w:w="768" w:type="dxa"/>
            <w:tcBorders>
              <w:top w:val="nil"/>
              <w:left w:val="nil"/>
              <w:bottom w:val="nil"/>
              <w:right w:val="nil"/>
            </w:tcBorders>
            <w:shd w:val="clear" w:color="auto" w:fill="auto"/>
            <w:noWrap/>
            <w:vAlign w:val="bottom"/>
            <w:hideMark/>
          </w:tcPr>
          <w:p w14:paraId="79CE5BAE" w14:textId="544F5B2D"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A021BC" w14:textId="069BD57C" w:rsidR="00AD4B60" w:rsidRDefault="00AD4B60" w:rsidP="00AD4B60">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263B2F7F" w14:textId="426D23FB" w:rsidR="00AD4B60" w:rsidRDefault="00AD4B60" w:rsidP="00AD4B60">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4799DAE7" w14:textId="50CE16C6"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46F997F" w14:textId="4DB81399" w:rsidR="00AD4B60" w:rsidRDefault="00AD4B60" w:rsidP="00AD4B6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8608536" w14:textId="5E654037" w:rsidR="00AD4B60" w:rsidRDefault="00AD4B60" w:rsidP="00AD4B60">
            <w:pPr>
              <w:jc w:val="right"/>
              <w:rPr>
                <w:color w:val="000000"/>
                <w:sz w:val="20"/>
                <w:szCs w:val="20"/>
              </w:rPr>
            </w:pPr>
            <w:r>
              <w:rPr>
                <w:color w:val="000000"/>
                <w:sz w:val="20"/>
                <w:szCs w:val="20"/>
              </w:rPr>
              <w:t>0.621</w:t>
            </w:r>
          </w:p>
        </w:tc>
        <w:tc>
          <w:tcPr>
            <w:tcW w:w="768" w:type="dxa"/>
            <w:tcBorders>
              <w:top w:val="nil"/>
              <w:left w:val="nil"/>
              <w:bottom w:val="nil"/>
              <w:right w:val="nil"/>
            </w:tcBorders>
            <w:shd w:val="clear" w:color="auto" w:fill="auto"/>
            <w:noWrap/>
            <w:vAlign w:val="bottom"/>
            <w:hideMark/>
          </w:tcPr>
          <w:p w14:paraId="29E34DFF" w14:textId="3526751C"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340056" w14:textId="63FDEDB9" w:rsidR="00AD4B60" w:rsidRDefault="00AD4B60" w:rsidP="00AD4B60">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35FDAEC5" w14:textId="4FCD2DCD" w:rsidR="00AD4B60" w:rsidRDefault="00AD4B60" w:rsidP="00AD4B60">
            <w:pPr>
              <w:jc w:val="right"/>
              <w:rPr>
                <w:color w:val="000000"/>
                <w:sz w:val="20"/>
                <w:szCs w:val="20"/>
              </w:rPr>
            </w:pPr>
            <w:r>
              <w:rPr>
                <w:color w:val="000000"/>
                <w:sz w:val="20"/>
                <w:szCs w:val="20"/>
              </w:rPr>
              <w:t>0.445</w:t>
            </w:r>
          </w:p>
        </w:tc>
        <w:tc>
          <w:tcPr>
            <w:tcW w:w="768" w:type="dxa"/>
            <w:tcBorders>
              <w:top w:val="nil"/>
              <w:left w:val="nil"/>
              <w:bottom w:val="nil"/>
              <w:right w:val="nil"/>
            </w:tcBorders>
            <w:shd w:val="clear" w:color="auto" w:fill="auto"/>
            <w:noWrap/>
            <w:vAlign w:val="bottom"/>
            <w:hideMark/>
          </w:tcPr>
          <w:p w14:paraId="60269900" w14:textId="285A1D2F" w:rsidR="00AD4B60" w:rsidRDefault="00AD4B60" w:rsidP="00AD4B60">
            <w:pPr>
              <w:jc w:val="right"/>
              <w:rPr>
                <w:color w:val="000000"/>
                <w:sz w:val="20"/>
                <w:szCs w:val="20"/>
              </w:rPr>
            </w:pPr>
            <w:r>
              <w:rPr>
                <w:color w:val="000000"/>
                <w:sz w:val="20"/>
                <w:szCs w:val="20"/>
              </w:rPr>
              <w:t>0.002</w:t>
            </w:r>
          </w:p>
        </w:tc>
      </w:tr>
      <w:tr w:rsidR="00AD4B60" w14:paraId="3C61F5CA" w14:textId="77777777" w:rsidTr="00AF1024">
        <w:trPr>
          <w:trHeight w:val="320"/>
        </w:trPr>
        <w:tc>
          <w:tcPr>
            <w:tcW w:w="1176" w:type="dxa"/>
            <w:tcBorders>
              <w:top w:val="nil"/>
              <w:left w:val="nil"/>
              <w:right w:val="nil"/>
            </w:tcBorders>
            <w:shd w:val="clear" w:color="auto" w:fill="auto"/>
            <w:noWrap/>
            <w:vAlign w:val="bottom"/>
            <w:hideMark/>
          </w:tcPr>
          <w:p w14:paraId="7E397E47" w14:textId="77777777" w:rsidR="00AD4B60" w:rsidRDefault="00AD4B60" w:rsidP="00AD4B60">
            <w:pPr>
              <w:jc w:val="right"/>
              <w:rPr>
                <w:color w:val="000000"/>
                <w:sz w:val="20"/>
                <w:szCs w:val="20"/>
              </w:rPr>
            </w:pPr>
          </w:p>
        </w:tc>
        <w:tc>
          <w:tcPr>
            <w:tcW w:w="1705" w:type="dxa"/>
            <w:tcBorders>
              <w:top w:val="nil"/>
              <w:left w:val="nil"/>
              <w:right w:val="nil"/>
            </w:tcBorders>
            <w:shd w:val="clear" w:color="auto" w:fill="auto"/>
            <w:noWrap/>
            <w:vAlign w:val="center"/>
            <w:hideMark/>
          </w:tcPr>
          <w:p w14:paraId="7EAE705C" w14:textId="77777777" w:rsidR="00AD4B60" w:rsidRDefault="00AD4B60" w:rsidP="00AD4B60">
            <w:pPr>
              <w:rPr>
                <w:color w:val="000000"/>
                <w:sz w:val="20"/>
                <w:szCs w:val="20"/>
              </w:rPr>
            </w:pPr>
            <w:r>
              <w:rPr>
                <w:color w:val="000000"/>
                <w:sz w:val="20"/>
                <w:szCs w:val="20"/>
              </w:rPr>
              <w:t>Visual 1</w:t>
            </w:r>
          </w:p>
        </w:tc>
        <w:tc>
          <w:tcPr>
            <w:tcW w:w="767" w:type="dxa"/>
            <w:tcBorders>
              <w:top w:val="nil"/>
              <w:left w:val="nil"/>
              <w:right w:val="nil"/>
            </w:tcBorders>
            <w:shd w:val="clear" w:color="auto" w:fill="auto"/>
            <w:noWrap/>
            <w:vAlign w:val="bottom"/>
            <w:hideMark/>
          </w:tcPr>
          <w:p w14:paraId="05198252" w14:textId="3A0A6E1E" w:rsidR="00AD4B60" w:rsidRDefault="00AD4B60" w:rsidP="00AD4B60">
            <w:pPr>
              <w:jc w:val="right"/>
              <w:rPr>
                <w:color w:val="000000"/>
                <w:sz w:val="20"/>
                <w:szCs w:val="20"/>
              </w:rPr>
            </w:pPr>
            <w:r>
              <w:rPr>
                <w:color w:val="000000"/>
                <w:sz w:val="20"/>
                <w:szCs w:val="20"/>
              </w:rPr>
              <w:t>-0.009</w:t>
            </w:r>
          </w:p>
        </w:tc>
        <w:tc>
          <w:tcPr>
            <w:tcW w:w="768" w:type="dxa"/>
            <w:tcBorders>
              <w:top w:val="nil"/>
              <w:left w:val="nil"/>
              <w:right w:val="nil"/>
            </w:tcBorders>
            <w:shd w:val="clear" w:color="auto" w:fill="auto"/>
            <w:noWrap/>
            <w:vAlign w:val="bottom"/>
            <w:hideMark/>
          </w:tcPr>
          <w:p w14:paraId="3EA931DF" w14:textId="5A400217" w:rsidR="00AD4B60" w:rsidRDefault="00AD4B60" w:rsidP="00AD4B60">
            <w:pPr>
              <w:jc w:val="right"/>
              <w:rPr>
                <w:color w:val="000000"/>
                <w:sz w:val="20"/>
                <w:szCs w:val="20"/>
              </w:rPr>
            </w:pPr>
            <w:r>
              <w:rPr>
                <w:color w:val="000000"/>
                <w:sz w:val="20"/>
                <w:szCs w:val="20"/>
              </w:rPr>
              <w:t>0.949</w:t>
            </w:r>
          </w:p>
        </w:tc>
        <w:tc>
          <w:tcPr>
            <w:tcW w:w="768" w:type="dxa"/>
            <w:tcBorders>
              <w:top w:val="nil"/>
              <w:left w:val="nil"/>
              <w:right w:val="nil"/>
            </w:tcBorders>
            <w:shd w:val="clear" w:color="auto" w:fill="auto"/>
            <w:noWrap/>
            <w:vAlign w:val="bottom"/>
            <w:hideMark/>
          </w:tcPr>
          <w:p w14:paraId="7BEB06AF" w14:textId="7981A11F" w:rsidR="00AD4B60" w:rsidRDefault="00AD4B60" w:rsidP="00AD4B60">
            <w:pPr>
              <w:jc w:val="right"/>
              <w:rPr>
                <w:color w:val="000000"/>
                <w:sz w:val="20"/>
                <w:szCs w:val="20"/>
              </w:rPr>
            </w:pPr>
            <w:r>
              <w:rPr>
                <w:color w:val="000000"/>
                <w:sz w:val="20"/>
                <w:szCs w:val="20"/>
              </w:rPr>
              <w:t>0.000</w:t>
            </w:r>
          </w:p>
        </w:tc>
        <w:tc>
          <w:tcPr>
            <w:tcW w:w="768" w:type="dxa"/>
            <w:tcBorders>
              <w:top w:val="nil"/>
              <w:left w:val="nil"/>
              <w:right w:val="nil"/>
            </w:tcBorders>
            <w:shd w:val="clear" w:color="auto" w:fill="auto"/>
            <w:noWrap/>
            <w:vAlign w:val="bottom"/>
            <w:hideMark/>
          </w:tcPr>
          <w:p w14:paraId="026C5D24" w14:textId="4978F7AA" w:rsidR="00AD4B60" w:rsidRDefault="00AD4B60" w:rsidP="00AD4B60">
            <w:pPr>
              <w:jc w:val="right"/>
              <w:rPr>
                <w:color w:val="000000"/>
                <w:sz w:val="20"/>
                <w:szCs w:val="20"/>
              </w:rPr>
            </w:pPr>
            <w:r>
              <w:rPr>
                <w:color w:val="000000"/>
                <w:sz w:val="20"/>
                <w:szCs w:val="20"/>
              </w:rPr>
              <w:t>-0.049</w:t>
            </w:r>
          </w:p>
        </w:tc>
        <w:tc>
          <w:tcPr>
            <w:tcW w:w="768" w:type="dxa"/>
            <w:tcBorders>
              <w:top w:val="nil"/>
              <w:left w:val="nil"/>
              <w:right w:val="nil"/>
            </w:tcBorders>
            <w:shd w:val="clear" w:color="auto" w:fill="auto"/>
            <w:noWrap/>
            <w:vAlign w:val="bottom"/>
            <w:hideMark/>
          </w:tcPr>
          <w:p w14:paraId="123DE168" w14:textId="723AB848" w:rsidR="00AD4B60" w:rsidRDefault="00AD4B60" w:rsidP="00AD4B60">
            <w:pPr>
              <w:jc w:val="right"/>
              <w:rPr>
                <w:color w:val="000000"/>
                <w:sz w:val="20"/>
                <w:szCs w:val="20"/>
              </w:rPr>
            </w:pPr>
            <w:r>
              <w:rPr>
                <w:color w:val="000000"/>
                <w:sz w:val="20"/>
                <w:szCs w:val="20"/>
              </w:rPr>
              <w:t>0.291</w:t>
            </w:r>
          </w:p>
        </w:tc>
        <w:tc>
          <w:tcPr>
            <w:tcW w:w="768" w:type="dxa"/>
            <w:tcBorders>
              <w:top w:val="nil"/>
              <w:left w:val="nil"/>
              <w:right w:val="nil"/>
            </w:tcBorders>
            <w:shd w:val="clear" w:color="auto" w:fill="auto"/>
            <w:noWrap/>
            <w:vAlign w:val="bottom"/>
            <w:hideMark/>
          </w:tcPr>
          <w:p w14:paraId="6AFD1684" w14:textId="4C403A15" w:rsidR="00AD4B60" w:rsidRDefault="00AD4B60" w:rsidP="00AD4B60">
            <w:pPr>
              <w:jc w:val="right"/>
              <w:rPr>
                <w:color w:val="000000"/>
                <w:sz w:val="20"/>
                <w:szCs w:val="20"/>
              </w:rPr>
            </w:pPr>
            <w:r>
              <w:rPr>
                <w:color w:val="000000"/>
                <w:sz w:val="20"/>
                <w:szCs w:val="20"/>
              </w:rPr>
              <w:t>0.002</w:t>
            </w:r>
          </w:p>
        </w:tc>
        <w:tc>
          <w:tcPr>
            <w:tcW w:w="768" w:type="dxa"/>
            <w:tcBorders>
              <w:top w:val="nil"/>
              <w:left w:val="nil"/>
              <w:right w:val="nil"/>
            </w:tcBorders>
            <w:shd w:val="clear" w:color="auto" w:fill="auto"/>
            <w:noWrap/>
            <w:vAlign w:val="bottom"/>
            <w:hideMark/>
          </w:tcPr>
          <w:p w14:paraId="0A55BE97" w14:textId="607AC995" w:rsidR="00AD4B60" w:rsidRDefault="00AD4B60" w:rsidP="00AD4B60">
            <w:pPr>
              <w:jc w:val="right"/>
              <w:rPr>
                <w:color w:val="000000"/>
                <w:sz w:val="20"/>
                <w:szCs w:val="20"/>
              </w:rPr>
            </w:pPr>
            <w:r>
              <w:rPr>
                <w:color w:val="000000"/>
                <w:sz w:val="20"/>
                <w:szCs w:val="20"/>
              </w:rPr>
              <w:t>0.043</w:t>
            </w:r>
          </w:p>
        </w:tc>
        <w:tc>
          <w:tcPr>
            <w:tcW w:w="768" w:type="dxa"/>
            <w:tcBorders>
              <w:top w:val="nil"/>
              <w:left w:val="nil"/>
              <w:right w:val="nil"/>
            </w:tcBorders>
            <w:shd w:val="clear" w:color="auto" w:fill="auto"/>
            <w:noWrap/>
            <w:vAlign w:val="bottom"/>
            <w:hideMark/>
          </w:tcPr>
          <w:p w14:paraId="167D6B6B" w14:textId="0E34BD1B" w:rsidR="00AD4B60" w:rsidRDefault="00AD4B60" w:rsidP="00AD4B60">
            <w:pPr>
              <w:jc w:val="right"/>
              <w:rPr>
                <w:color w:val="000000"/>
                <w:sz w:val="20"/>
                <w:szCs w:val="20"/>
              </w:rPr>
            </w:pPr>
            <w:r>
              <w:rPr>
                <w:color w:val="000000"/>
                <w:sz w:val="20"/>
                <w:szCs w:val="20"/>
              </w:rPr>
              <w:t>0.432</w:t>
            </w:r>
          </w:p>
        </w:tc>
        <w:tc>
          <w:tcPr>
            <w:tcW w:w="768" w:type="dxa"/>
            <w:tcBorders>
              <w:top w:val="nil"/>
              <w:left w:val="nil"/>
              <w:right w:val="nil"/>
            </w:tcBorders>
            <w:shd w:val="clear" w:color="auto" w:fill="auto"/>
            <w:noWrap/>
            <w:vAlign w:val="bottom"/>
            <w:hideMark/>
          </w:tcPr>
          <w:p w14:paraId="648EA310" w14:textId="0544F808" w:rsidR="00AD4B60" w:rsidRDefault="00AD4B60" w:rsidP="00AD4B60">
            <w:pPr>
              <w:jc w:val="right"/>
              <w:rPr>
                <w:color w:val="000000"/>
                <w:sz w:val="20"/>
                <w:szCs w:val="20"/>
              </w:rPr>
            </w:pPr>
            <w:r>
              <w:rPr>
                <w:color w:val="000000"/>
                <w:sz w:val="20"/>
                <w:szCs w:val="20"/>
              </w:rPr>
              <w:t>0.002</w:t>
            </w:r>
          </w:p>
        </w:tc>
        <w:tc>
          <w:tcPr>
            <w:tcW w:w="768" w:type="dxa"/>
            <w:tcBorders>
              <w:top w:val="nil"/>
              <w:left w:val="nil"/>
              <w:right w:val="nil"/>
            </w:tcBorders>
            <w:shd w:val="clear" w:color="auto" w:fill="auto"/>
            <w:noWrap/>
            <w:vAlign w:val="bottom"/>
            <w:hideMark/>
          </w:tcPr>
          <w:p w14:paraId="4F1289AF" w14:textId="1850C755" w:rsidR="00AD4B60" w:rsidRDefault="00AD4B60" w:rsidP="00AD4B60">
            <w:pPr>
              <w:jc w:val="right"/>
              <w:rPr>
                <w:color w:val="000000"/>
                <w:sz w:val="20"/>
                <w:szCs w:val="20"/>
              </w:rPr>
            </w:pPr>
            <w:r>
              <w:rPr>
                <w:color w:val="000000"/>
                <w:sz w:val="20"/>
                <w:szCs w:val="20"/>
              </w:rPr>
              <w:t>0.031</w:t>
            </w:r>
          </w:p>
        </w:tc>
        <w:tc>
          <w:tcPr>
            <w:tcW w:w="768" w:type="dxa"/>
            <w:tcBorders>
              <w:top w:val="nil"/>
              <w:left w:val="nil"/>
              <w:right w:val="nil"/>
            </w:tcBorders>
            <w:shd w:val="clear" w:color="auto" w:fill="auto"/>
            <w:noWrap/>
            <w:vAlign w:val="bottom"/>
            <w:hideMark/>
          </w:tcPr>
          <w:p w14:paraId="1538D57E" w14:textId="6FED2598" w:rsidR="00AD4B60" w:rsidRDefault="00AD4B60" w:rsidP="00AD4B60">
            <w:pPr>
              <w:jc w:val="right"/>
              <w:rPr>
                <w:color w:val="000000"/>
                <w:sz w:val="20"/>
                <w:szCs w:val="20"/>
              </w:rPr>
            </w:pPr>
            <w:r>
              <w:rPr>
                <w:color w:val="000000"/>
                <w:sz w:val="20"/>
                <w:szCs w:val="20"/>
              </w:rPr>
              <w:t>0.424</w:t>
            </w:r>
          </w:p>
        </w:tc>
        <w:tc>
          <w:tcPr>
            <w:tcW w:w="768" w:type="dxa"/>
            <w:tcBorders>
              <w:top w:val="nil"/>
              <w:left w:val="nil"/>
              <w:right w:val="nil"/>
            </w:tcBorders>
            <w:shd w:val="clear" w:color="auto" w:fill="auto"/>
            <w:noWrap/>
            <w:vAlign w:val="bottom"/>
            <w:hideMark/>
          </w:tcPr>
          <w:p w14:paraId="40631139" w14:textId="56EFDB91" w:rsidR="00AD4B60" w:rsidRDefault="00AD4B60" w:rsidP="00AD4B60">
            <w:pPr>
              <w:jc w:val="right"/>
              <w:rPr>
                <w:color w:val="000000"/>
                <w:sz w:val="20"/>
                <w:szCs w:val="20"/>
              </w:rPr>
            </w:pPr>
            <w:r>
              <w:rPr>
                <w:color w:val="000000"/>
                <w:sz w:val="20"/>
                <w:szCs w:val="20"/>
              </w:rPr>
              <w:t>0.001</w:t>
            </w:r>
          </w:p>
        </w:tc>
        <w:tc>
          <w:tcPr>
            <w:tcW w:w="768" w:type="dxa"/>
            <w:tcBorders>
              <w:top w:val="nil"/>
              <w:left w:val="nil"/>
              <w:right w:val="nil"/>
            </w:tcBorders>
            <w:shd w:val="clear" w:color="auto" w:fill="auto"/>
            <w:noWrap/>
            <w:vAlign w:val="bottom"/>
            <w:hideMark/>
          </w:tcPr>
          <w:p w14:paraId="3398985E" w14:textId="5681BB6A" w:rsidR="00AD4B60" w:rsidRDefault="00AD4B60" w:rsidP="00AD4B60">
            <w:pPr>
              <w:jc w:val="right"/>
              <w:rPr>
                <w:color w:val="000000"/>
                <w:sz w:val="20"/>
                <w:szCs w:val="20"/>
              </w:rPr>
            </w:pPr>
            <w:r>
              <w:rPr>
                <w:color w:val="000000"/>
                <w:sz w:val="20"/>
                <w:szCs w:val="20"/>
              </w:rPr>
              <w:t>-0.011</w:t>
            </w:r>
          </w:p>
        </w:tc>
        <w:tc>
          <w:tcPr>
            <w:tcW w:w="768" w:type="dxa"/>
            <w:tcBorders>
              <w:top w:val="nil"/>
              <w:left w:val="nil"/>
              <w:right w:val="nil"/>
            </w:tcBorders>
            <w:shd w:val="clear" w:color="auto" w:fill="auto"/>
            <w:noWrap/>
            <w:vAlign w:val="bottom"/>
            <w:hideMark/>
          </w:tcPr>
          <w:p w14:paraId="001A0DC4" w14:textId="727F6E6E" w:rsidR="00AD4B60" w:rsidRDefault="00AD4B60" w:rsidP="00AD4B60">
            <w:pPr>
              <w:jc w:val="right"/>
              <w:rPr>
                <w:color w:val="000000"/>
                <w:sz w:val="20"/>
                <w:szCs w:val="20"/>
              </w:rPr>
            </w:pPr>
            <w:r>
              <w:rPr>
                <w:color w:val="000000"/>
                <w:sz w:val="20"/>
                <w:szCs w:val="20"/>
              </w:rPr>
              <w:t>0.735</w:t>
            </w:r>
          </w:p>
        </w:tc>
        <w:tc>
          <w:tcPr>
            <w:tcW w:w="768" w:type="dxa"/>
            <w:tcBorders>
              <w:top w:val="nil"/>
              <w:left w:val="nil"/>
              <w:right w:val="nil"/>
            </w:tcBorders>
            <w:shd w:val="clear" w:color="auto" w:fill="auto"/>
            <w:noWrap/>
            <w:vAlign w:val="bottom"/>
            <w:hideMark/>
          </w:tcPr>
          <w:p w14:paraId="028ED3DA" w14:textId="5F07A2F0" w:rsidR="00AD4B60" w:rsidRDefault="00AD4B60" w:rsidP="00AD4B60">
            <w:pPr>
              <w:jc w:val="right"/>
              <w:rPr>
                <w:color w:val="000000"/>
                <w:sz w:val="20"/>
                <w:szCs w:val="20"/>
              </w:rPr>
            </w:pPr>
            <w:r>
              <w:rPr>
                <w:color w:val="000000"/>
                <w:sz w:val="20"/>
                <w:szCs w:val="20"/>
              </w:rPr>
              <w:t>0.000</w:t>
            </w:r>
          </w:p>
        </w:tc>
      </w:tr>
      <w:tr w:rsidR="00AD4B60" w14:paraId="17B9ACC0" w14:textId="77777777" w:rsidTr="00AF1024">
        <w:trPr>
          <w:trHeight w:val="340"/>
        </w:trPr>
        <w:tc>
          <w:tcPr>
            <w:tcW w:w="1176" w:type="dxa"/>
            <w:tcBorders>
              <w:top w:val="nil"/>
              <w:left w:val="nil"/>
              <w:bottom w:val="single" w:sz="12" w:space="0" w:color="auto"/>
              <w:right w:val="nil"/>
            </w:tcBorders>
            <w:shd w:val="clear" w:color="auto" w:fill="auto"/>
            <w:noWrap/>
            <w:vAlign w:val="bottom"/>
            <w:hideMark/>
          </w:tcPr>
          <w:p w14:paraId="151F12F3" w14:textId="77777777" w:rsidR="00AD4B60" w:rsidRDefault="00AD4B60" w:rsidP="00AD4B60">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6426C041" w14:textId="77777777" w:rsidR="00AD4B60" w:rsidRDefault="00AD4B60" w:rsidP="00AD4B60">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3DAA5E7F" w14:textId="5A8D0483"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4BF802A8" w14:textId="7B8CE176" w:rsidR="00AD4B60" w:rsidRDefault="00AD4B60" w:rsidP="00AD4B60">
            <w:pPr>
              <w:jc w:val="right"/>
              <w:rPr>
                <w:color w:val="000000"/>
                <w:sz w:val="20"/>
                <w:szCs w:val="20"/>
              </w:rPr>
            </w:pPr>
            <w:r>
              <w:rPr>
                <w:color w:val="000000"/>
                <w:sz w:val="20"/>
                <w:szCs w:val="20"/>
              </w:rPr>
              <w:t>0.949</w:t>
            </w:r>
          </w:p>
        </w:tc>
        <w:tc>
          <w:tcPr>
            <w:tcW w:w="768" w:type="dxa"/>
            <w:tcBorders>
              <w:top w:val="nil"/>
              <w:left w:val="nil"/>
              <w:bottom w:val="single" w:sz="12" w:space="0" w:color="auto"/>
              <w:right w:val="nil"/>
            </w:tcBorders>
            <w:shd w:val="clear" w:color="auto" w:fill="auto"/>
            <w:noWrap/>
            <w:vAlign w:val="bottom"/>
            <w:hideMark/>
          </w:tcPr>
          <w:p w14:paraId="048ABCAE" w14:textId="667E398F"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97503ED" w14:textId="40B41C63"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9247515" w14:textId="3989A82C" w:rsidR="00AD4B60" w:rsidRDefault="00AD4B60" w:rsidP="00AD4B60">
            <w:pPr>
              <w:jc w:val="right"/>
              <w:rPr>
                <w:color w:val="000000"/>
                <w:sz w:val="20"/>
                <w:szCs w:val="20"/>
              </w:rPr>
            </w:pPr>
            <w:r>
              <w:rPr>
                <w:color w:val="000000"/>
                <w:sz w:val="20"/>
                <w:szCs w:val="20"/>
              </w:rPr>
              <w:t>0.990</w:t>
            </w:r>
          </w:p>
        </w:tc>
        <w:tc>
          <w:tcPr>
            <w:tcW w:w="768" w:type="dxa"/>
            <w:tcBorders>
              <w:top w:val="nil"/>
              <w:left w:val="nil"/>
              <w:bottom w:val="single" w:sz="12" w:space="0" w:color="auto"/>
              <w:right w:val="nil"/>
            </w:tcBorders>
            <w:shd w:val="clear" w:color="auto" w:fill="auto"/>
            <w:noWrap/>
            <w:vAlign w:val="bottom"/>
            <w:hideMark/>
          </w:tcPr>
          <w:p w14:paraId="06ACAC9B" w14:textId="7B307909"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9666118" w14:textId="58B317EE" w:rsidR="00AD4B60" w:rsidRDefault="00AD4B60" w:rsidP="00AD4B60">
            <w:pPr>
              <w:jc w:val="right"/>
              <w:rPr>
                <w:color w:val="000000"/>
                <w:sz w:val="20"/>
                <w:szCs w:val="20"/>
              </w:rPr>
            </w:pPr>
            <w:r>
              <w:rPr>
                <w:color w:val="000000"/>
                <w:sz w:val="20"/>
                <w:szCs w:val="20"/>
              </w:rPr>
              <w:t>0.008</w:t>
            </w:r>
          </w:p>
        </w:tc>
        <w:tc>
          <w:tcPr>
            <w:tcW w:w="768" w:type="dxa"/>
            <w:tcBorders>
              <w:top w:val="nil"/>
              <w:left w:val="nil"/>
              <w:bottom w:val="single" w:sz="12" w:space="0" w:color="auto"/>
              <w:right w:val="nil"/>
            </w:tcBorders>
            <w:shd w:val="clear" w:color="auto" w:fill="auto"/>
            <w:noWrap/>
            <w:vAlign w:val="bottom"/>
            <w:hideMark/>
          </w:tcPr>
          <w:p w14:paraId="57A7A4B1" w14:textId="34D43F8D" w:rsidR="00AD4B60" w:rsidRDefault="00AD4B60" w:rsidP="00AD4B60">
            <w:pPr>
              <w:jc w:val="right"/>
              <w:rPr>
                <w:color w:val="000000"/>
                <w:sz w:val="20"/>
                <w:szCs w:val="20"/>
              </w:rPr>
            </w:pPr>
            <w:r>
              <w:rPr>
                <w:color w:val="000000"/>
                <w:sz w:val="20"/>
                <w:szCs w:val="20"/>
              </w:rPr>
              <w:t>0.812</w:t>
            </w:r>
          </w:p>
        </w:tc>
        <w:tc>
          <w:tcPr>
            <w:tcW w:w="768" w:type="dxa"/>
            <w:tcBorders>
              <w:top w:val="nil"/>
              <w:left w:val="nil"/>
              <w:bottom w:val="single" w:sz="12" w:space="0" w:color="auto"/>
              <w:right w:val="nil"/>
            </w:tcBorders>
            <w:shd w:val="clear" w:color="auto" w:fill="auto"/>
            <w:noWrap/>
            <w:vAlign w:val="bottom"/>
            <w:hideMark/>
          </w:tcPr>
          <w:p w14:paraId="5566055F" w14:textId="2E538EB0"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5E8FD01" w14:textId="482666F2" w:rsidR="00AD4B60" w:rsidRDefault="00AD4B60" w:rsidP="00AD4B60">
            <w:pPr>
              <w:jc w:val="right"/>
              <w:rPr>
                <w:color w:val="000000"/>
                <w:sz w:val="20"/>
                <w:szCs w:val="20"/>
              </w:rPr>
            </w:pPr>
            <w:r>
              <w:rPr>
                <w:color w:val="000000"/>
                <w:sz w:val="20"/>
                <w:szCs w:val="20"/>
              </w:rPr>
              <w:t>-0.033</w:t>
            </w:r>
          </w:p>
        </w:tc>
        <w:tc>
          <w:tcPr>
            <w:tcW w:w="768" w:type="dxa"/>
            <w:tcBorders>
              <w:top w:val="nil"/>
              <w:left w:val="nil"/>
              <w:bottom w:val="single" w:sz="12" w:space="0" w:color="auto"/>
              <w:right w:val="nil"/>
            </w:tcBorders>
            <w:shd w:val="clear" w:color="auto" w:fill="auto"/>
            <w:noWrap/>
            <w:vAlign w:val="bottom"/>
            <w:hideMark/>
          </w:tcPr>
          <w:p w14:paraId="163EF3FF" w14:textId="5EDA8742" w:rsidR="00AD4B60" w:rsidRDefault="00AD4B60" w:rsidP="00AD4B60">
            <w:pPr>
              <w:jc w:val="right"/>
              <w:rPr>
                <w:color w:val="000000"/>
                <w:sz w:val="20"/>
                <w:szCs w:val="20"/>
              </w:rPr>
            </w:pPr>
            <w:r>
              <w:rPr>
                <w:color w:val="000000"/>
                <w:sz w:val="20"/>
                <w:szCs w:val="20"/>
              </w:rPr>
              <w:t>0.424</w:t>
            </w:r>
          </w:p>
        </w:tc>
        <w:tc>
          <w:tcPr>
            <w:tcW w:w="768" w:type="dxa"/>
            <w:tcBorders>
              <w:top w:val="nil"/>
              <w:left w:val="nil"/>
              <w:bottom w:val="single" w:sz="12" w:space="0" w:color="auto"/>
              <w:right w:val="nil"/>
            </w:tcBorders>
            <w:shd w:val="clear" w:color="auto" w:fill="auto"/>
            <w:noWrap/>
            <w:vAlign w:val="bottom"/>
            <w:hideMark/>
          </w:tcPr>
          <w:p w14:paraId="08232EF1" w14:textId="5EB27DF2"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48CC9AF5" w14:textId="2A2112B9" w:rsidR="00AD4B60" w:rsidRDefault="00AD4B60" w:rsidP="00AD4B60">
            <w:pPr>
              <w:jc w:val="right"/>
              <w:rPr>
                <w:color w:val="000000"/>
                <w:sz w:val="20"/>
                <w:szCs w:val="20"/>
              </w:rPr>
            </w:pPr>
            <w:r>
              <w:rPr>
                <w:color w:val="000000"/>
                <w:sz w:val="20"/>
                <w:szCs w:val="20"/>
              </w:rPr>
              <w:t>0.034</w:t>
            </w:r>
          </w:p>
        </w:tc>
        <w:tc>
          <w:tcPr>
            <w:tcW w:w="768" w:type="dxa"/>
            <w:tcBorders>
              <w:top w:val="nil"/>
              <w:left w:val="nil"/>
              <w:bottom w:val="single" w:sz="12" w:space="0" w:color="auto"/>
              <w:right w:val="nil"/>
            </w:tcBorders>
            <w:shd w:val="clear" w:color="auto" w:fill="auto"/>
            <w:noWrap/>
            <w:vAlign w:val="bottom"/>
            <w:hideMark/>
          </w:tcPr>
          <w:p w14:paraId="6C6186D0" w14:textId="6AFBF13D" w:rsidR="00AD4B60" w:rsidRDefault="00AD4B60" w:rsidP="00AD4B60">
            <w:pPr>
              <w:jc w:val="right"/>
              <w:rPr>
                <w:color w:val="000000"/>
                <w:sz w:val="20"/>
                <w:szCs w:val="20"/>
              </w:rPr>
            </w:pPr>
            <w:r>
              <w:rPr>
                <w:color w:val="000000"/>
                <w:sz w:val="20"/>
                <w:szCs w:val="20"/>
              </w:rPr>
              <w:t>0.445</w:t>
            </w:r>
          </w:p>
        </w:tc>
        <w:tc>
          <w:tcPr>
            <w:tcW w:w="768" w:type="dxa"/>
            <w:tcBorders>
              <w:top w:val="nil"/>
              <w:left w:val="nil"/>
              <w:bottom w:val="single" w:sz="12" w:space="0" w:color="auto"/>
              <w:right w:val="nil"/>
            </w:tcBorders>
            <w:shd w:val="clear" w:color="auto" w:fill="auto"/>
            <w:noWrap/>
            <w:vAlign w:val="bottom"/>
            <w:hideMark/>
          </w:tcPr>
          <w:p w14:paraId="747DC349" w14:textId="072D5D4C" w:rsidR="00AD4B60" w:rsidRDefault="00AD4B60" w:rsidP="00AD4B60">
            <w:pPr>
              <w:jc w:val="right"/>
              <w:rPr>
                <w:color w:val="000000"/>
                <w:sz w:val="20"/>
                <w:szCs w:val="20"/>
              </w:rPr>
            </w:pPr>
            <w:r>
              <w:rPr>
                <w:color w:val="000000"/>
                <w:sz w:val="20"/>
                <w:szCs w:val="20"/>
              </w:rPr>
              <w:t>0.001</w:t>
            </w:r>
          </w:p>
        </w:tc>
      </w:tr>
      <w:tr w:rsidR="0019071A" w14:paraId="2326FF01" w14:textId="77777777" w:rsidTr="00AF1024">
        <w:trPr>
          <w:trHeight w:val="320"/>
        </w:trPr>
        <w:tc>
          <w:tcPr>
            <w:tcW w:w="1176" w:type="dxa"/>
            <w:tcBorders>
              <w:top w:val="single" w:sz="12" w:space="0" w:color="auto"/>
              <w:left w:val="nil"/>
              <w:bottom w:val="nil"/>
              <w:right w:val="nil"/>
            </w:tcBorders>
            <w:shd w:val="clear" w:color="auto" w:fill="auto"/>
            <w:noWrap/>
            <w:vAlign w:val="bottom"/>
            <w:hideMark/>
          </w:tcPr>
          <w:p w14:paraId="49250483" w14:textId="77777777" w:rsidR="0019071A" w:rsidRDefault="0019071A">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2C2AE95C" w14:textId="77777777" w:rsidR="0019071A" w:rsidRDefault="0019071A">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05474B1D"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B193F1A"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2967853"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192E49D"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B593A6C"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922FD79"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E630CA8"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8E9730E"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EEFBAC0"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DDC295A"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22B0DC1"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8BB7775"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AE2B53F"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6500162" w14:textId="77777777" w:rsidR="0019071A" w:rsidRDefault="0019071A">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6520217" w14:textId="77777777" w:rsidR="0019071A" w:rsidRDefault="0019071A">
            <w:pPr>
              <w:rPr>
                <w:sz w:val="20"/>
                <w:szCs w:val="20"/>
              </w:rPr>
            </w:pPr>
          </w:p>
        </w:tc>
      </w:tr>
    </w:tbl>
    <w:p w14:paraId="45646201" w14:textId="395F571D" w:rsidR="0019071A" w:rsidRDefault="0019071A" w:rsidP="00BA3AF4">
      <w:pPr>
        <w:spacing w:line="480" w:lineRule="auto"/>
      </w:pPr>
    </w:p>
    <w:p w14:paraId="199DB819" w14:textId="77777777" w:rsidR="0019071A" w:rsidRDefault="0019071A">
      <w:r>
        <w:br w:type="page"/>
      </w:r>
    </w:p>
    <w:p w14:paraId="37DD344D" w14:textId="398FE968" w:rsidR="0019071A" w:rsidRPr="009E2A20" w:rsidRDefault="00432B71" w:rsidP="009E2A20">
      <w:pPr>
        <w:pStyle w:val="Heading1"/>
        <w:rPr>
          <w:rFonts w:ascii="Times New Roman" w:hAnsi="Times New Roman" w:cs="Times New Roman"/>
          <w:color w:val="000000" w:themeColor="text1"/>
          <w:sz w:val="24"/>
          <w:szCs w:val="24"/>
        </w:rPr>
      </w:pPr>
      <w:bookmarkStart w:id="45" w:name="_Toc155817712"/>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A33B44">
        <w:rPr>
          <w:rFonts w:ascii="Times New Roman" w:hAnsi="Times New Roman" w:cs="Times New Roman"/>
          <w:b/>
          <w:bCs/>
          <w:color w:val="000000" w:themeColor="text1"/>
          <w:sz w:val="24"/>
          <w:szCs w:val="24"/>
        </w:rPr>
        <w:t>7</w:t>
      </w:r>
      <w:r w:rsidR="00121F4D" w:rsidRPr="009E2A20">
        <w:rPr>
          <w:rFonts w:ascii="Times New Roman" w:hAnsi="Times New Roman" w:cs="Times New Roman"/>
          <w:b/>
          <w:bCs/>
          <w:color w:val="000000" w:themeColor="text1"/>
          <w:sz w:val="24"/>
          <w:szCs w:val="24"/>
        </w:rPr>
        <w:t>b</w:t>
      </w:r>
      <w:r w:rsidR="0019071A" w:rsidRPr="009E2A20">
        <w:rPr>
          <w:rFonts w:ascii="Times New Roman" w:hAnsi="Times New Roman" w:cs="Times New Roman"/>
          <w:b/>
          <w:bCs/>
          <w:color w:val="000000" w:themeColor="text1"/>
          <w:sz w:val="24"/>
          <w:szCs w:val="24"/>
        </w:rPr>
        <w:t xml:space="preserve">. </w:t>
      </w:r>
      <w:r w:rsidR="0019071A" w:rsidRPr="009E2A20">
        <w:rPr>
          <w:rFonts w:ascii="Times New Roman" w:hAnsi="Times New Roman" w:cs="Times New Roman"/>
          <w:color w:val="000000" w:themeColor="text1"/>
          <w:sz w:val="24"/>
          <w:szCs w:val="24"/>
        </w:rPr>
        <w:t>Results examining the relationship between environmental stress factors obtained from higher-order modeling and Shen-268 network diameter during the stop signal task</w:t>
      </w:r>
      <w:bookmarkEnd w:id="45"/>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885D04" w14:paraId="7651C777" w14:textId="77777777" w:rsidTr="00AF1024">
        <w:trPr>
          <w:trHeight w:val="340"/>
        </w:trPr>
        <w:tc>
          <w:tcPr>
            <w:tcW w:w="1176" w:type="dxa"/>
            <w:tcBorders>
              <w:top w:val="nil"/>
              <w:left w:val="nil"/>
              <w:bottom w:val="single" w:sz="12" w:space="0" w:color="auto"/>
              <w:right w:val="nil"/>
            </w:tcBorders>
            <w:shd w:val="clear" w:color="auto" w:fill="auto"/>
            <w:noWrap/>
            <w:vAlign w:val="bottom"/>
            <w:hideMark/>
          </w:tcPr>
          <w:p w14:paraId="1FF3F979" w14:textId="77777777" w:rsidR="00885D04" w:rsidRDefault="00885D04">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6DB64BC7" w14:textId="77777777" w:rsidR="00885D04" w:rsidRDefault="00885D04">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058613AC" w14:textId="77777777" w:rsidR="00885D04" w:rsidRDefault="00885D04">
            <w:pPr>
              <w:rPr>
                <w:color w:val="000000"/>
              </w:rPr>
            </w:pPr>
          </w:p>
        </w:tc>
        <w:tc>
          <w:tcPr>
            <w:tcW w:w="768" w:type="dxa"/>
            <w:tcBorders>
              <w:top w:val="nil"/>
              <w:left w:val="nil"/>
              <w:bottom w:val="single" w:sz="12" w:space="0" w:color="auto"/>
              <w:right w:val="nil"/>
            </w:tcBorders>
            <w:shd w:val="clear" w:color="auto" w:fill="auto"/>
            <w:noWrap/>
            <w:vAlign w:val="bottom"/>
            <w:hideMark/>
          </w:tcPr>
          <w:p w14:paraId="03AD6310"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DBE0B6B"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EC8E0F5"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B6B1615"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63AFFDE"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076B220"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49C6498"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ECBF56F"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193717A"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0751A1C"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7774DE9"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6F49DCB"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15631EE"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2C623A2" w14:textId="77777777" w:rsidR="00885D04" w:rsidRDefault="00885D04">
            <w:pPr>
              <w:rPr>
                <w:sz w:val="20"/>
                <w:szCs w:val="20"/>
              </w:rPr>
            </w:pPr>
          </w:p>
        </w:tc>
      </w:tr>
      <w:tr w:rsidR="00885D04" w14:paraId="7403CB96" w14:textId="77777777" w:rsidTr="00AF1024">
        <w:trPr>
          <w:trHeight w:val="340"/>
        </w:trPr>
        <w:tc>
          <w:tcPr>
            <w:tcW w:w="1176" w:type="dxa"/>
            <w:tcBorders>
              <w:top w:val="single" w:sz="12" w:space="0" w:color="auto"/>
              <w:left w:val="nil"/>
              <w:bottom w:val="nil"/>
              <w:right w:val="nil"/>
            </w:tcBorders>
            <w:shd w:val="clear" w:color="auto" w:fill="auto"/>
            <w:noWrap/>
            <w:vAlign w:val="bottom"/>
            <w:hideMark/>
          </w:tcPr>
          <w:p w14:paraId="3A5E1EF9" w14:textId="77777777" w:rsidR="00885D04" w:rsidRDefault="00885D04">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7D7068E" w14:textId="77777777" w:rsidR="00885D04" w:rsidRDefault="00885D04">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1F235619" w14:textId="257F6CAC" w:rsidR="00885D04" w:rsidRDefault="00885D04">
            <w:pPr>
              <w:jc w:val="center"/>
              <w:rPr>
                <w:color w:val="000000"/>
                <w:sz w:val="20"/>
                <w:szCs w:val="20"/>
              </w:rPr>
            </w:pPr>
            <w:r>
              <w:rPr>
                <w:color w:val="000000"/>
                <w:sz w:val="20"/>
                <w:szCs w:val="20"/>
              </w:rPr>
              <w:t>General</w:t>
            </w:r>
            <w:r w:rsidR="00F4681E">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9AAAEC3" w14:textId="77777777" w:rsidR="00885D04" w:rsidRDefault="00885D04">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3FF32BA" w14:textId="77777777" w:rsidR="00885D04" w:rsidRDefault="00885D04">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049D2C7" w14:textId="77777777" w:rsidR="00885D04" w:rsidRDefault="00885D04">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6B27E186" w14:textId="77777777" w:rsidR="00885D04" w:rsidRDefault="00885D04">
            <w:pPr>
              <w:jc w:val="center"/>
              <w:rPr>
                <w:color w:val="000000"/>
                <w:sz w:val="20"/>
                <w:szCs w:val="20"/>
              </w:rPr>
            </w:pPr>
            <w:r>
              <w:rPr>
                <w:color w:val="000000"/>
                <w:sz w:val="20"/>
                <w:szCs w:val="20"/>
              </w:rPr>
              <w:t>Urbanicity</w:t>
            </w:r>
          </w:p>
        </w:tc>
      </w:tr>
      <w:tr w:rsidR="002125FE" w14:paraId="240C4DD5" w14:textId="77777777" w:rsidTr="00AF1024">
        <w:trPr>
          <w:trHeight w:val="360"/>
        </w:trPr>
        <w:tc>
          <w:tcPr>
            <w:tcW w:w="1176" w:type="dxa"/>
            <w:tcBorders>
              <w:top w:val="nil"/>
              <w:left w:val="nil"/>
              <w:bottom w:val="single" w:sz="12" w:space="0" w:color="auto"/>
              <w:right w:val="nil"/>
            </w:tcBorders>
            <w:shd w:val="clear" w:color="auto" w:fill="auto"/>
            <w:noWrap/>
            <w:vAlign w:val="bottom"/>
            <w:hideMark/>
          </w:tcPr>
          <w:p w14:paraId="50A627B6"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114E5274"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04BDDDBF" w14:textId="4C2D15C3"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2F0A54F" w14:textId="7B976528"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5026EA9" w14:textId="7A1098F4"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95C349F" w14:textId="69C8B85B"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15B7F78" w14:textId="6D699664"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E35F1EA" w14:textId="06BB651B"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368E7740" w14:textId="5E226A24"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281928B" w14:textId="0CADB029"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FDF8C21" w14:textId="7E4BC465"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E0F9938" w14:textId="3BBA5D0A"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775BAE9" w14:textId="6DB5A294"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A902DA6" w14:textId="6C2AF097"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8340B34" w14:textId="465CAF31"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F9E91D3" w14:textId="2BEDADF2"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14D0D84" w14:textId="5836D748"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AD4B60" w14:paraId="150907F6" w14:textId="77777777" w:rsidTr="00AF1024">
        <w:trPr>
          <w:trHeight w:val="320"/>
        </w:trPr>
        <w:tc>
          <w:tcPr>
            <w:tcW w:w="1176" w:type="dxa"/>
            <w:tcBorders>
              <w:top w:val="single" w:sz="12" w:space="0" w:color="auto"/>
              <w:left w:val="nil"/>
              <w:bottom w:val="nil"/>
              <w:right w:val="nil"/>
            </w:tcBorders>
            <w:shd w:val="clear" w:color="auto" w:fill="auto"/>
            <w:noWrap/>
            <w:vAlign w:val="bottom"/>
            <w:hideMark/>
          </w:tcPr>
          <w:p w14:paraId="0712A5CC" w14:textId="77777777" w:rsidR="00AD4B60" w:rsidRDefault="00AD4B60" w:rsidP="00AD4B60">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716F262C" w14:textId="77777777" w:rsidR="00AD4B60" w:rsidRDefault="00AD4B60" w:rsidP="00AD4B60">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5018667C" w14:textId="37619067" w:rsidR="00AD4B60" w:rsidRDefault="00AD4B60" w:rsidP="00AD4B60">
            <w:pPr>
              <w:jc w:val="right"/>
              <w:rPr>
                <w:color w:val="000000"/>
                <w:sz w:val="20"/>
                <w:szCs w:val="20"/>
              </w:rPr>
            </w:pPr>
            <w:r>
              <w:rPr>
                <w:color w:val="000000"/>
                <w:sz w:val="20"/>
                <w:szCs w:val="20"/>
              </w:rPr>
              <w:t>0.038</w:t>
            </w:r>
          </w:p>
        </w:tc>
        <w:tc>
          <w:tcPr>
            <w:tcW w:w="768" w:type="dxa"/>
            <w:tcBorders>
              <w:top w:val="single" w:sz="12" w:space="0" w:color="auto"/>
              <w:left w:val="nil"/>
              <w:bottom w:val="nil"/>
              <w:right w:val="nil"/>
            </w:tcBorders>
            <w:shd w:val="clear" w:color="auto" w:fill="auto"/>
            <w:noWrap/>
            <w:vAlign w:val="bottom"/>
            <w:hideMark/>
          </w:tcPr>
          <w:p w14:paraId="532090AB" w14:textId="1657761B" w:rsidR="00AD4B60" w:rsidRDefault="00AD4B60" w:rsidP="00AD4B60">
            <w:pPr>
              <w:jc w:val="right"/>
              <w:rPr>
                <w:color w:val="000000"/>
                <w:sz w:val="20"/>
                <w:szCs w:val="20"/>
              </w:rPr>
            </w:pPr>
            <w:r>
              <w:rPr>
                <w:color w:val="000000"/>
                <w:sz w:val="20"/>
                <w:szCs w:val="20"/>
              </w:rPr>
              <w:t>0.701</w:t>
            </w:r>
          </w:p>
        </w:tc>
        <w:tc>
          <w:tcPr>
            <w:tcW w:w="768" w:type="dxa"/>
            <w:tcBorders>
              <w:top w:val="single" w:sz="12" w:space="0" w:color="auto"/>
              <w:left w:val="nil"/>
              <w:bottom w:val="nil"/>
              <w:right w:val="nil"/>
            </w:tcBorders>
            <w:shd w:val="clear" w:color="auto" w:fill="auto"/>
            <w:noWrap/>
            <w:vAlign w:val="bottom"/>
            <w:hideMark/>
          </w:tcPr>
          <w:p w14:paraId="235ABFFF" w14:textId="13C985C3" w:rsidR="00AD4B60" w:rsidRDefault="00AD4B60" w:rsidP="00AD4B60">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6B84653D" w14:textId="40837E8B" w:rsidR="00AD4B60" w:rsidRDefault="00AD4B60" w:rsidP="00AD4B60">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512CB990" w14:textId="322627A9" w:rsidR="00AD4B60" w:rsidRDefault="00AD4B60" w:rsidP="00AD4B60">
            <w:pPr>
              <w:jc w:val="right"/>
              <w:rPr>
                <w:color w:val="000000"/>
                <w:sz w:val="20"/>
                <w:szCs w:val="20"/>
              </w:rPr>
            </w:pPr>
            <w:r>
              <w:rPr>
                <w:color w:val="000000"/>
                <w:sz w:val="20"/>
                <w:szCs w:val="20"/>
              </w:rPr>
              <w:t>0.855</w:t>
            </w:r>
          </w:p>
        </w:tc>
        <w:tc>
          <w:tcPr>
            <w:tcW w:w="768" w:type="dxa"/>
            <w:tcBorders>
              <w:top w:val="single" w:sz="12" w:space="0" w:color="auto"/>
              <w:left w:val="nil"/>
              <w:bottom w:val="nil"/>
              <w:right w:val="nil"/>
            </w:tcBorders>
            <w:shd w:val="clear" w:color="auto" w:fill="auto"/>
            <w:noWrap/>
            <w:vAlign w:val="bottom"/>
            <w:hideMark/>
          </w:tcPr>
          <w:p w14:paraId="3BD7B270" w14:textId="41FAFA2A" w:rsidR="00AD4B60" w:rsidRDefault="00AD4B60" w:rsidP="00AD4B6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CE54675" w14:textId="67B8C507" w:rsidR="00AD4B60" w:rsidRDefault="00AD4B60" w:rsidP="00AD4B60">
            <w:pPr>
              <w:jc w:val="right"/>
              <w:rPr>
                <w:color w:val="000000"/>
                <w:sz w:val="20"/>
                <w:szCs w:val="20"/>
              </w:rPr>
            </w:pPr>
            <w:r>
              <w:rPr>
                <w:color w:val="000000"/>
                <w:sz w:val="20"/>
                <w:szCs w:val="20"/>
              </w:rPr>
              <w:t>0.005</w:t>
            </w:r>
          </w:p>
        </w:tc>
        <w:tc>
          <w:tcPr>
            <w:tcW w:w="768" w:type="dxa"/>
            <w:tcBorders>
              <w:top w:val="single" w:sz="12" w:space="0" w:color="auto"/>
              <w:left w:val="nil"/>
              <w:bottom w:val="nil"/>
              <w:right w:val="nil"/>
            </w:tcBorders>
            <w:shd w:val="clear" w:color="auto" w:fill="auto"/>
            <w:noWrap/>
            <w:vAlign w:val="bottom"/>
            <w:hideMark/>
          </w:tcPr>
          <w:p w14:paraId="62CCD330" w14:textId="561FE1A2" w:rsidR="00AD4B60" w:rsidRDefault="00AD4B60" w:rsidP="00AD4B60">
            <w:pPr>
              <w:jc w:val="right"/>
              <w:rPr>
                <w:color w:val="000000"/>
                <w:sz w:val="20"/>
                <w:szCs w:val="20"/>
              </w:rPr>
            </w:pPr>
            <w:r>
              <w:rPr>
                <w:color w:val="000000"/>
                <w:sz w:val="20"/>
                <w:szCs w:val="20"/>
              </w:rPr>
              <w:t>0.889</w:t>
            </w:r>
          </w:p>
        </w:tc>
        <w:tc>
          <w:tcPr>
            <w:tcW w:w="768" w:type="dxa"/>
            <w:tcBorders>
              <w:top w:val="single" w:sz="12" w:space="0" w:color="auto"/>
              <w:left w:val="nil"/>
              <w:bottom w:val="nil"/>
              <w:right w:val="nil"/>
            </w:tcBorders>
            <w:shd w:val="clear" w:color="auto" w:fill="auto"/>
            <w:noWrap/>
            <w:vAlign w:val="bottom"/>
            <w:hideMark/>
          </w:tcPr>
          <w:p w14:paraId="66CECCB9" w14:textId="00B9AA4A" w:rsidR="00AD4B60" w:rsidRDefault="00AD4B60" w:rsidP="00AD4B6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690D1D1" w14:textId="736B4975" w:rsidR="00AD4B60" w:rsidRDefault="00AD4B60" w:rsidP="00AD4B60">
            <w:pPr>
              <w:jc w:val="right"/>
              <w:rPr>
                <w:color w:val="000000"/>
                <w:sz w:val="20"/>
                <w:szCs w:val="20"/>
              </w:rPr>
            </w:pPr>
            <w:r>
              <w:rPr>
                <w:color w:val="000000"/>
                <w:sz w:val="20"/>
                <w:szCs w:val="20"/>
              </w:rPr>
              <w:t>0.023</w:t>
            </w:r>
          </w:p>
        </w:tc>
        <w:tc>
          <w:tcPr>
            <w:tcW w:w="768" w:type="dxa"/>
            <w:tcBorders>
              <w:top w:val="single" w:sz="12" w:space="0" w:color="auto"/>
              <w:left w:val="nil"/>
              <w:bottom w:val="nil"/>
              <w:right w:val="nil"/>
            </w:tcBorders>
            <w:shd w:val="clear" w:color="auto" w:fill="auto"/>
            <w:noWrap/>
            <w:vAlign w:val="bottom"/>
            <w:hideMark/>
          </w:tcPr>
          <w:p w14:paraId="1CCDF507" w14:textId="45F008C3" w:rsidR="00AD4B60" w:rsidRDefault="00AD4B60" w:rsidP="00AD4B60">
            <w:pPr>
              <w:jc w:val="right"/>
              <w:rPr>
                <w:color w:val="000000"/>
                <w:sz w:val="20"/>
                <w:szCs w:val="20"/>
              </w:rPr>
            </w:pPr>
            <w:r>
              <w:rPr>
                <w:color w:val="000000"/>
                <w:sz w:val="20"/>
                <w:szCs w:val="20"/>
              </w:rPr>
              <w:t>0.969</w:t>
            </w:r>
          </w:p>
        </w:tc>
        <w:tc>
          <w:tcPr>
            <w:tcW w:w="768" w:type="dxa"/>
            <w:tcBorders>
              <w:top w:val="single" w:sz="12" w:space="0" w:color="auto"/>
              <w:left w:val="nil"/>
              <w:bottom w:val="nil"/>
              <w:right w:val="nil"/>
            </w:tcBorders>
            <w:shd w:val="clear" w:color="auto" w:fill="auto"/>
            <w:noWrap/>
            <w:vAlign w:val="bottom"/>
            <w:hideMark/>
          </w:tcPr>
          <w:p w14:paraId="243DC691" w14:textId="513FE273" w:rsidR="00AD4B60" w:rsidRDefault="00AD4B60" w:rsidP="00AD4B60">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70F764EA" w14:textId="7F499108" w:rsidR="00AD4B60" w:rsidRDefault="00AD4B60" w:rsidP="00AD4B60">
            <w:pPr>
              <w:jc w:val="right"/>
              <w:rPr>
                <w:color w:val="000000"/>
                <w:sz w:val="20"/>
                <w:szCs w:val="20"/>
              </w:rPr>
            </w:pPr>
            <w:r>
              <w:rPr>
                <w:color w:val="000000"/>
                <w:sz w:val="20"/>
                <w:szCs w:val="20"/>
              </w:rPr>
              <w:t>0.013</w:t>
            </w:r>
          </w:p>
        </w:tc>
        <w:tc>
          <w:tcPr>
            <w:tcW w:w="768" w:type="dxa"/>
            <w:tcBorders>
              <w:top w:val="single" w:sz="12" w:space="0" w:color="auto"/>
              <w:left w:val="nil"/>
              <w:bottom w:val="nil"/>
              <w:right w:val="nil"/>
            </w:tcBorders>
            <w:shd w:val="clear" w:color="auto" w:fill="auto"/>
            <w:noWrap/>
            <w:vAlign w:val="bottom"/>
            <w:hideMark/>
          </w:tcPr>
          <w:p w14:paraId="5DE766B5" w14:textId="7B591B61" w:rsidR="00AD4B60" w:rsidRDefault="00AD4B60" w:rsidP="00AD4B60">
            <w:pPr>
              <w:jc w:val="right"/>
              <w:rPr>
                <w:color w:val="000000"/>
                <w:sz w:val="20"/>
                <w:szCs w:val="20"/>
              </w:rPr>
            </w:pPr>
            <w:r>
              <w:rPr>
                <w:color w:val="000000"/>
                <w:sz w:val="20"/>
                <w:szCs w:val="20"/>
              </w:rPr>
              <w:t>0.896</w:t>
            </w:r>
          </w:p>
        </w:tc>
        <w:tc>
          <w:tcPr>
            <w:tcW w:w="768" w:type="dxa"/>
            <w:tcBorders>
              <w:top w:val="single" w:sz="12" w:space="0" w:color="auto"/>
              <w:left w:val="nil"/>
              <w:bottom w:val="nil"/>
              <w:right w:val="nil"/>
            </w:tcBorders>
            <w:shd w:val="clear" w:color="auto" w:fill="auto"/>
            <w:noWrap/>
            <w:vAlign w:val="bottom"/>
            <w:hideMark/>
          </w:tcPr>
          <w:p w14:paraId="115C17C8" w14:textId="51CF936B" w:rsidR="00AD4B60" w:rsidRDefault="00AD4B60" w:rsidP="00AD4B60">
            <w:pPr>
              <w:jc w:val="right"/>
              <w:rPr>
                <w:color w:val="000000"/>
                <w:sz w:val="20"/>
                <w:szCs w:val="20"/>
              </w:rPr>
            </w:pPr>
            <w:r>
              <w:rPr>
                <w:color w:val="000000"/>
                <w:sz w:val="20"/>
                <w:szCs w:val="20"/>
              </w:rPr>
              <w:t>0.000</w:t>
            </w:r>
          </w:p>
        </w:tc>
      </w:tr>
      <w:tr w:rsidR="00AD4B60" w14:paraId="6E0654C6" w14:textId="77777777" w:rsidTr="00885D04">
        <w:trPr>
          <w:trHeight w:val="340"/>
        </w:trPr>
        <w:tc>
          <w:tcPr>
            <w:tcW w:w="1176" w:type="dxa"/>
            <w:tcBorders>
              <w:top w:val="nil"/>
              <w:left w:val="nil"/>
              <w:bottom w:val="nil"/>
              <w:right w:val="nil"/>
            </w:tcBorders>
            <w:shd w:val="clear" w:color="auto" w:fill="auto"/>
            <w:noWrap/>
            <w:vAlign w:val="bottom"/>
            <w:hideMark/>
          </w:tcPr>
          <w:p w14:paraId="1683139B"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93CD5E" w14:textId="77777777" w:rsidR="00AD4B60" w:rsidRDefault="00AD4B60" w:rsidP="00AD4B6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A3A617E" w14:textId="6A0F161E" w:rsidR="00AD4B60" w:rsidRDefault="00AD4B60" w:rsidP="00AD4B6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5CBB1083" w14:textId="5B9B88C8" w:rsidR="00AD4B60" w:rsidRDefault="00AD4B60" w:rsidP="00AD4B60">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0F756775" w14:textId="0E70FF87"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60E9C44" w14:textId="5C2A3B36" w:rsidR="00AD4B60" w:rsidRDefault="00AD4B60" w:rsidP="00AD4B60">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198DAF5A" w14:textId="21D784E5" w:rsidR="00AD4B60" w:rsidRDefault="00AD4B60" w:rsidP="00AD4B60">
            <w:pPr>
              <w:jc w:val="right"/>
              <w:rPr>
                <w:color w:val="000000"/>
                <w:sz w:val="20"/>
                <w:szCs w:val="20"/>
              </w:rPr>
            </w:pPr>
            <w:r>
              <w:rPr>
                <w:color w:val="000000"/>
                <w:sz w:val="20"/>
                <w:szCs w:val="20"/>
              </w:rPr>
              <w:t>0.627</w:t>
            </w:r>
          </w:p>
        </w:tc>
        <w:tc>
          <w:tcPr>
            <w:tcW w:w="768" w:type="dxa"/>
            <w:tcBorders>
              <w:top w:val="nil"/>
              <w:left w:val="nil"/>
              <w:bottom w:val="nil"/>
              <w:right w:val="nil"/>
            </w:tcBorders>
            <w:shd w:val="clear" w:color="auto" w:fill="auto"/>
            <w:noWrap/>
            <w:vAlign w:val="bottom"/>
            <w:hideMark/>
          </w:tcPr>
          <w:p w14:paraId="6B8CD095" w14:textId="24B0996D"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42AC983" w14:textId="1F3ADAC7" w:rsidR="00AD4B60" w:rsidRDefault="00AD4B60" w:rsidP="00AD4B6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88150ED" w14:textId="693C7E52" w:rsidR="00AD4B60" w:rsidRDefault="00AD4B60" w:rsidP="00AD4B60">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240A5FA1" w14:textId="7C8CF9AC"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035A90" w14:textId="5C40020D"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4B60D32" w14:textId="4EDC7B9D" w:rsidR="00AD4B60" w:rsidRDefault="00AD4B60" w:rsidP="00AD4B6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17250A90" w14:textId="5670E073"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12F029" w14:textId="407ABCB5" w:rsidR="00AD4B60" w:rsidRDefault="00AD4B60" w:rsidP="00AD4B60">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08941111" w14:textId="69E81CF5" w:rsidR="00AD4B60" w:rsidRDefault="00AD4B60" w:rsidP="00AD4B6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335F672F" w14:textId="40E2ABD9" w:rsidR="00AD4B60" w:rsidRDefault="00AD4B60" w:rsidP="00AD4B60">
            <w:pPr>
              <w:jc w:val="right"/>
              <w:rPr>
                <w:color w:val="000000"/>
                <w:sz w:val="20"/>
                <w:szCs w:val="20"/>
              </w:rPr>
            </w:pPr>
            <w:r>
              <w:rPr>
                <w:color w:val="000000"/>
                <w:sz w:val="20"/>
                <w:szCs w:val="20"/>
              </w:rPr>
              <w:t>0.006</w:t>
            </w:r>
          </w:p>
        </w:tc>
      </w:tr>
      <w:tr w:rsidR="00AD4B60" w14:paraId="584D51A1" w14:textId="77777777" w:rsidTr="00885D04">
        <w:trPr>
          <w:trHeight w:val="320"/>
        </w:trPr>
        <w:tc>
          <w:tcPr>
            <w:tcW w:w="1176" w:type="dxa"/>
            <w:tcBorders>
              <w:top w:val="nil"/>
              <w:left w:val="nil"/>
              <w:bottom w:val="nil"/>
              <w:right w:val="nil"/>
            </w:tcBorders>
            <w:shd w:val="clear" w:color="auto" w:fill="auto"/>
            <w:noWrap/>
            <w:vAlign w:val="bottom"/>
            <w:hideMark/>
          </w:tcPr>
          <w:p w14:paraId="03EF114E"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777F48" w14:textId="77777777" w:rsidR="00AD4B60" w:rsidRDefault="00AD4B60" w:rsidP="00AD4B6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45AAB7F" w14:textId="12A8255F" w:rsidR="00AD4B60" w:rsidRDefault="00AD4B60" w:rsidP="00AD4B60">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357205C6" w14:textId="582D572F" w:rsidR="00AD4B60" w:rsidRDefault="00AD4B60" w:rsidP="00AD4B60">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72544036" w14:textId="05046F71"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5305C2B" w14:textId="5F906E0B" w:rsidR="00AD4B60" w:rsidRDefault="00AD4B60" w:rsidP="00AD4B60">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4B4C9D89" w14:textId="56C12C8B" w:rsidR="00AD4B60" w:rsidRDefault="00AD4B60" w:rsidP="00AD4B60">
            <w:pPr>
              <w:jc w:val="right"/>
              <w:rPr>
                <w:color w:val="000000"/>
                <w:sz w:val="20"/>
                <w:szCs w:val="20"/>
              </w:rPr>
            </w:pPr>
            <w:r>
              <w:rPr>
                <w:color w:val="000000"/>
                <w:sz w:val="20"/>
                <w:szCs w:val="20"/>
              </w:rPr>
              <w:t>0.627</w:t>
            </w:r>
          </w:p>
        </w:tc>
        <w:tc>
          <w:tcPr>
            <w:tcW w:w="768" w:type="dxa"/>
            <w:tcBorders>
              <w:top w:val="nil"/>
              <w:left w:val="nil"/>
              <w:bottom w:val="nil"/>
              <w:right w:val="nil"/>
            </w:tcBorders>
            <w:shd w:val="clear" w:color="auto" w:fill="auto"/>
            <w:noWrap/>
            <w:vAlign w:val="bottom"/>
            <w:hideMark/>
          </w:tcPr>
          <w:p w14:paraId="55446849" w14:textId="08AA1061"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C61985A" w14:textId="4A291BB4" w:rsidR="00AD4B60" w:rsidRDefault="00AD4B60" w:rsidP="00AD4B60">
            <w:pPr>
              <w:jc w:val="right"/>
              <w:rPr>
                <w:color w:val="000000"/>
                <w:sz w:val="20"/>
                <w:szCs w:val="20"/>
              </w:rPr>
            </w:pPr>
            <w:r>
              <w:rPr>
                <w:color w:val="000000"/>
                <w:sz w:val="20"/>
                <w:szCs w:val="20"/>
              </w:rPr>
              <w:t>0.125</w:t>
            </w:r>
          </w:p>
        </w:tc>
        <w:tc>
          <w:tcPr>
            <w:tcW w:w="768" w:type="dxa"/>
            <w:tcBorders>
              <w:top w:val="nil"/>
              <w:left w:val="nil"/>
              <w:bottom w:val="nil"/>
              <w:right w:val="nil"/>
            </w:tcBorders>
            <w:shd w:val="clear" w:color="auto" w:fill="auto"/>
            <w:noWrap/>
            <w:vAlign w:val="bottom"/>
            <w:hideMark/>
          </w:tcPr>
          <w:p w14:paraId="071E9AC0" w14:textId="1BB2707C" w:rsidR="00AD4B60" w:rsidRDefault="00AD4B60" w:rsidP="00AD4B60">
            <w:pPr>
              <w:jc w:val="right"/>
              <w:rPr>
                <w:color w:val="000000"/>
                <w:sz w:val="20"/>
                <w:szCs w:val="20"/>
              </w:rPr>
            </w:pPr>
            <w:r>
              <w:rPr>
                <w:color w:val="000000"/>
                <w:sz w:val="20"/>
                <w:szCs w:val="20"/>
              </w:rPr>
              <w:t>0.372</w:t>
            </w:r>
          </w:p>
        </w:tc>
        <w:tc>
          <w:tcPr>
            <w:tcW w:w="768" w:type="dxa"/>
            <w:tcBorders>
              <w:top w:val="nil"/>
              <w:left w:val="nil"/>
              <w:bottom w:val="nil"/>
              <w:right w:val="nil"/>
            </w:tcBorders>
            <w:shd w:val="clear" w:color="auto" w:fill="auto"/>
            <w:noWrap/>
            <w:vAlign w:val="bottom"/>
            <w:hideMark/>
          </w:tcPr>
          <w:p w14:paraId="3C237A5D" w14:textId="28F49BF4" w:rsidR="00AD4B60" w:rsidRDefault="00AD4B60" w:rsidP="00AD4B6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81A079E" w14:textId="31ED1C28" w:rsidR="00AD4B60" w:rsidRDefault="00AD4B60" w:rsidP="00AD4B60">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59A31D53" w14:textId="5D56F62C" w:rsidR="00AD4B60" w:rsidRDefault="00AD4B60" w:rsidP="00AD4B6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61A8ECB1" w14:textId="5BE497F1"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88D1F97" w14:textId="569E744E" w:rsidR="00AD4B60" w:rsidRDefault="00AD4B60" w:rsidP="00AD4B6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9019CCD" w14:textId="2380AF43" w:rsidR="00AD4B60" w:rsidRDefault="00AD4B60" w:rsidP="00AD4B6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5DE9401C" w14:textId="4531EE2A" w:rsidR="00AD4B60" w:rsidRDefault="00AD4B60" w:rsidP="00AD4B60">
            <w:pPr>
              <w:jc w:val="right"/>
              <w:rPr>
                <w:color w:val="000000"/>
                <w:sz w:val="20"/>
                <w:szCs w:val="20"/>
              </w:rPr>
            </w:pPr>
            <w:r>
              <w:rPr>
                <w:color w:val="000000"/>
                <w:sz w:val="20"/>
                <w:szCs w:val="20"/>
              </w:rPr>
              <w:t>0.003</w:t>
            </w:r>
          </w:p>
        </w:tc>
      </w:tr>
      <w:tr w:rsidR="00AD4B60" w14:paraId="5B947021" w14:textId="77777777" w:rsidTr="00885D04">
        <w:trPr>
          <w:trHeight w:val="320"/>
        </w:trPr>
        <w:tc>
          <w:tcPr>
            <w:tcW w:w="1176" w:type="dxa"/>
            <w:tcBorders>
              <w:top w:val="nil"/>
              <w:left w:val="nil"/>
              <w:bottom w:val="nil"/>
              <w:right w:val="nil"/>
            </w:tcBorders>
            <w:shd w:val="clear" w:color="auto" w:fill="auto"/>
            <w:noWrap/>
            <w:vAlign w:val="bottom"/>
            <w:hideMark/>
          </w:tcPr>
          <w:p w14:paraId="29417710"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817807" w14:textId="77777777" w:rsidR="00AD4B60" w:rsidRDefault="00AD4B60" w:rsidP="00AD4B6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4E68EDE" w14:textId="0E2A4034" w:rsidR="00AD4B60" w:rsidRDefault="00AD4B60" w:rsidP="00AD4B60">
            <w:pPr>
              <w:jc w:val="right"/>
              <w:rPr>
                <w:color w:val="000000"/>
                <w:sz w:val="20"/>
                <w:szCs w:val="20"/>
              </w:rPr>
            </w:pPr>
            <w:r>
              <w:rPr>
                <w:color w:val="000000"/>
                <w:sz w:val="20"/>
                <w:szCs w:val="20"/>
              </w:rPr>
              <w:t>-0.107</w:t>
            </w:r>
          </w:p>
        </w:tc>
        <w:tc>
          <w:tcPr>
            <w:tcW w:w="768" w:type="dxa"/>
            <w:tcBorders>
              <w:top w:val="nil"/>
              <w:left w:val="nil"/>
              <w:bottom w:val="nil"/>
              <w:right w:val="nil"/>
            </w:tcBorders>
            <w:shd w:val="clear" w:color="auto" w:fill="auto"/>
            <w:noWrap/>
            <w:vAlign w:val="bottom"/>
            <w:hideMark/>
          </w:tcPr>
          <w:p w14:paraId="0C03AAD3" w14:textId="0B653C91" w:rsidR="00AD4B60" w:rsidRDefault="00AD4B60" w:rsidP="00AD4B60">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03BD21C5" w14:textId="0809AC53" w:rsidR="00AD4B60" w:rsidRDefault="00AD4B60" w:rsidP="00AD4B6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9C53020" w14:textId="769C6EB1" w:rsidR="00AD4B60" w:rsidRDefault="00AD4B60" w:rsidP="00AD4B60">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6CD3FFE2" w14:textId="0434CBF6" w:rsidR="00AD4B60" w:rsidRDefault="00AD4B60" w:rsidP="00AD4B60">
            <w:pPr>
              <w:jc w:val="right"/>
              <w:rPr>
                <w:color w:val="000000"/>
                <w:sz w:val="20"/>
                <w:szCs w:val="20"/>
              </w:rPr>
            </w:pPr>
            <w:r>
              <w:rPr>
                <w:color w:val="000000"/>
                <w:sz w:val="20"/>
                <w:szCs w:val="20"/>
              </w:rPr>
              <w:t>0.634</w:t>
            </w:r>
          </w:p>
        </w:tc>
        <w:tc>
          <w:tcPr>
            <w:tcW w:w="768" w:type="dxa"/>
            <w:tcBorders>
              <w:top w:val="nil"/>
              <w:left w:val="nil"/>
              <w:bottom w:val="nil"/>
              <w:right w:val="nil"/>
            </w:tcBorders>
            <w:shd w:val="clear" w:color="auto" w:fill="auto"/>
            <w:noWrap/>
            <w:vAlign w:val="bottom"/>
            <w:hideMark/>
          </w:tcPr>
          <w:p w14:paraId="1C0C6D27" w14:textId="152B7445"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3C421F3" w14:textId="21677203" w:rsidR="00AD4B60" w:rsidRDefault="00AD4B60" w:rsidP="00AD4B60">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36572445" w14:textId="09C1DE6C" w:rsidR="00AD4B60" w:rsidRDefault="00AD4B60" w:rsidP="00AD4B60">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48173F5C" w14:textId="28A05331"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EE69386" w14:textId="1BBF18BE" w:rsidR="00AD4B60" w:rsidRDefault="00AD4B60" w:rsidP="00AD4B60">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2EB6531F" w14:textId="5DAEF987" w:rsidR="00AD4B60" w:rsidRDefault="00AD4B60" w:rsidP="00AD4B60">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239FA521" w14:textId="67523BDE" w:rsidR="00AD4B60" w:rsidRDefault="00AD4B60" w:rsidP="00AD4B6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E8EA6CC" w14:textId="319B563C" w:rsidR="00AD4B60" w:rsidRDefault="00AD4B60" w:rsidP="00AD4B60">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1A1C8B7" w14:textId="77179210" w:rsidR="00AD4B60" w:rsidRDefault="00AD4B60" w:rsidP="00AD4B6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369DB779" w14:textId="0D2C7130" w:rsidR="00AD4B60" w:rsidRDefault="00AD4B60" w:rsidP="00AD4B60">
            <w:pPr>
              <w:jc w:val="right"/>
              <w:rPr>
                <w:color w:val="000000"/>
                <w:sz w:val="20"/>
                <w:szCs w:val="20"/>
              </w:rPr>
            </w:pPr>
            <w:r>
              <w:rPr>
                <w:color w:val="000000"/>
                <w:sz w:val="20"/>
                <w:szCs w:val="20"/>
              </w:rPr>
              <w:t>0.001</w:t>
            </w:r>
          </w:p>
        </w:tc>
      </w:tr>
      <w:tr w:rsidR="00AD4B60" w14:paraId="0320BDF8" w14:textId="77777777" w:rsidTr="00885D04">
        <w:trPr>
          <w:trHeight w:val="320"/>
        </w:trPr>
        <w:tc>
          <w:tcPr>
            <w:tcW w:w="1176" w:type="dxa"/>
            <w:tcBorders>
              <w:top w:val="nil"/>
              <w:left w:val="nil"/>
              <w:bottom w:val="nil"/>
              <w:right w:val="nil"/>
            </w:tcBorders>
            <w:shd w:val="clear" w:color="auto" w:fill="auto"/>
            <w:noWrap/>
            <w:vAlign w:val="bottom"/>
            <w:hideMark/>
          </w:tcPr>
          <w:p w14:paraId="689E78C1"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28B6AFE" w14:textId="77777777" w:rsidR="00AD4B60" w:rsidRDefault="00AD4B60" w:rsidP="00AD4B6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99454CF" w14:textId="5E0EB319" w:rsidR="00AD4B60" w:rsidRDefault="00AD4B60" w:rsidP="00AD4B6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2A866E6E" w14:textId="28E8E1DB" w:rsidR="00AD4B60" w:rsidRDefault="00AD4B60" w:rsidP="00AD4B60">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024734A7" w14:textId="29AF94E8"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0BB911C" w14:textId="520866EB" w:rsidR="00AD4B60" w:rsidRDefault="00AD4B60" w:rsidP="00AD4B60">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36BA999F" w14:textId="55671BBC" w:rsidR="00AD4B60" w:rsidRDefault="00AD4B60" w:rsidP="00AD4B60">
            <w:pPr>
              <w:jc w:val="right"/>
              <w:rPr>
                <w:color w:val="000000"/>
                <w:sz w:val="20"/>
                <w:szCs w:val="20"/>
              </w:rPr>
            </w:pPr>
            <w:r>
              <w:rPr>
                <w:color w:val="000000"/>
                <w:sz w:val="20"/>
                <w:szCs w:val="20"/>
              </w:rPr>
              <w:t>0.627</w:t>
            </w:r>
          </w:p>
        </w:tc>
        <w:tc>
          <w:tcPr>
            <w:tcW w:w="768" w:type="dxa"/>
            <w:tcBorders>
              <w:top w:val="nil"/>
              <w:left w:val="nil"/>
              <w:bottom w:val="nil"/>
              <w:right w:val="nil"/>
            </w:tcBorders>
            <w:shd w:val="clear" w:color="auto" w:fill="auto"/>
            <w:noWrap/>
            <w:vAlign w:val="bottom"/>
            <w:hideMark/>
          </w:tcPr>
          <w:p w14:paraId="2FA426F3" w14:textId="631F219B"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776F5DE" w14:textId="4506F605" w:rsidR="00AD4B60" w:rsidRDefault="00AD4B60" w:rsidP="00AD4B60">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39C32B54" w14:textId="565FDCFE" w:rsidR="00AD4B60" w:rsidRDefault="00AD4B60" w:rsidP="00AD4B60">
            <w:pPr>
              <w:jc w:val="right"/>
              <w:rPr>
                <w:color w:val="000000"/>
                <w:sz w:val="20"/>
                <w:szCs w:val="20"/>
              </w:rPr>
            </w:pPr>
            <w:r>
              <w:rPr>
                <w:color w:val="000000"/>
                <w:sz w:val="20"/>
                <w:szCs w:val="20"/>
              </w:rPr>
              <w:t>0.525</w:t>
            </w:r>
          </w:p>
        </w:tc>
        <w:tc>
          <w:tcPr>
            <w:tcW w:w="768" w:type="dxa"/>
            <w:tcBorders>
              <w:top w:val="nil"/>
              <w:left w:val="nil"/>
              <w:bottom w:val="nil"/>
              <w:right w:val="nil"/>
            </w:tcBorders>
            <w:shd w:val="clear" w:color="auto" w:fill="auto"/>
            <w:noWrap/>
            <w:vAlign w:val="bottom"/>
            <w:hideMark/>
          </w:tcPr>
          <w:p w14:paraId="0F61FBA7" w14:textId="46CADEE5"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CFFE9BE" w14:textId="7A36A0C3" w:rsidR="00AD4B60" w:rsidRDefault="00AD4B60" w:rsidP="00AD4B60">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40B70114" w14:textId="67014B30" w:rsidR="00AD4B60" w:rsidRDefault="00AD4B60" w:rsidP="00AD4B60">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47B13B0D" w14:textId="3974BD24" w:rsidR="00AD4B60" w:rsidRDefault="00AD4B60" w:rsidP="00AD4B6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53332F1" w14:textId="7292726F" w:rsidR="00AD4B60" w:rsidRDefault="00AD4B60" w:rsidP="00AD4B60">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483643DB" w14:textId="77ACBBB0" w:rsidR="00AD4B60" w:rsidRDefault="00AD4B60" w:rsidP="00AD4B6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64D60F95" w14:textId="4FD58647" w:rsidR="00AD4B60" w:rsidRDefault="00AD4B60" w:rsidP="00AD4B60">
            <w:pPr>
              <w:jc w:val="right"/>
              <w:rPr>
                <w:color w:val="000000"/>
                <w:sz w:val="20"/>
                <w:szCs w:val="20"/>
              </w:rPr>
            </w:pPr>
            <w:r>
              <w:rPr>
                <w:color w:val="000000"/>
                <w:sz w:val="20"/>
                <w:szCs w:val="20"/>
              </w:rPr>
              <w:t>0.002</w:t>
            </w:r>
          </w:p>
        </w:tc>
      </w:tr>
      <w:tr w:rsidR="00AD4B60" w14:paraId="2D4DA30A" w14:textId="77777777" w:rsidTr="00885D04">
        <w:trPr>
          <w:trHeight w:val="320"/>
        </w:trPr>
        <w:tc>
          <w:tcPr>
            <w:tcW w:w="1176" w:type="dxa"/>
            <w:tcBorders>
              <w:top w:val="nil"/>
              <w:left w:val="nil"/>
              <w:bottom w:val="nil"/>
              <w:right w:val="nil"/>
            </w:tcBorders>
            <w:shd w:val="clear" w:color="auto" w:fill="auto"/>
            <w:noWrap/>
            <w:vAlign w:val="bottom"/>
            <w:hideMark/>
          </w:tcPr>
          <w:p w14:paraId="1A2489B8"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6C41B49" w14:textId="77777777" w:rsidR="00AD4B60" w:rsidRDefault="00AD4B60" w:rsidP="00AD4B6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C5775EB" w14:textId="3AAD6496" w:rsidR="00AD4B60" w:rsidRDefault="00AD4B60" w:rsidP="00AD4B6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2538D44" w14:textId="65700148" w:rsidR="00AD4B60" w:rsidRDefault="00AD4B60" w:rsidP="00AD4B60">
            <w:pPr>
              <w:jc w:val="right"/>
              <w:rPr>
                <w:color w:val="000000"/>
                <w:sz w:val="20"/>
                <w:szCs w:val="20"/>
              </w:rPr>
            </w:pPr>
            <w:r>
              <w:rPr>
                <w:color w:val="000000"/>
                <w:sz w:val="20"/>
                <w:szCs w:val="20"/>
              </w:rPr>
              <w:t>0.701</w:t>
            </w:r>
          </w:p>
        </w:tc>
        <w:tc>
          <w:tcPr>
            <w:tcW w:w="768" w:type="dxa"/>
            <w:tcBorders>
              <w:top w:val="nil"/>
              <w:left w:val="nil"/>
              <w:bottom w:val="nil"/>
              <w:right w:val="nil"/>
            </w:tcBorders>
            <w:shd w:val="clear" w:color="auto" w:fill="auto"/>
            <w:noWrap/>
            <w:vAlign w:val="bottom"/>
            <w:hideMark/>
          </w:tcPr>
          <w:p w14:paraId="4A5F3BD3" w14:textId="0EDBEC6F"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286EA7D" w14:textId="6CCC8676" w:rsidR="00AD4B60" w:rsidRDefault="00AD4B60" w:rsidP="00AD4B6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CDE9946" w14:textId="63B326E9" w:rsidR="00AD4B60" w:rsidRDefault="00AD4B60" w:rsidP="00AD4B60">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12AAE06F" w14:textId="782E665F"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70B92C" w14:textId="333BC810" w:rsidR="00AD4B60" w:rsidRDefault="00AD4B60" w:rsidP="00AD4B60">
            <w:pPr>
              <w:jc w:val="right"/>
              <w:rPr>
                <w:b/>
                <w:bCs/>
                <w:color w:val="000000"/>
                <w:sz w:val="20"/>
                <w:szCs w:val="20"/>
              </w:rPr>
            </w:pPr>
            <w:r>
              <w:rPr>
                <w:b/>
                <w:bCs/>
                <w:color w:val="000000"/>
                <w:sz w:val="20"/>
                <w:szCs w:val="20"/>
              </w:rPr>
              <w:t>0.115</w:t>
            </w:r>
          </w:p>
        </w:tc>
        <w:tc>
          <w:tcPr>
            <w:tcW w:w="768" w:type="dxa"/>
            <w:tcBorders>
              <w:top w:val="nil"/>
              <w:left w:val="nil"/>
              <w:bottom w:val="nil"/>
              <w:right w:val="nil"/>
            </w:tcBorders>
            <w:shd w:val="clear" w:color="auto" w:fill="auto"/>
            <w:noWrap/>
            <w:vAlign w:val="bottom"/>
            <w:hideMark/>
          </w:tcPr>
          <w:p w14:paraId="3F7CA553" w14:textId="435A949D" w:rsidR="00AD4B60" w:rsidRDefault="00AD4B60" w:rsidP="00AD4B60">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BDF40EA" w14:textId="0A8BDC9D" w:rsidR="00AD4B60" w:rsidRDefault="00AD4B60" w:rsidP="00AD4B60">
            <w:pPr>
              <w:jc w:val="right"/>
              <w:rPr>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2ECA09BB" w14:textId="02DF7B43" w:rsidR="00AD4B60" w:rsidRDefault="00AD4B60" w:rsidP="00AD4B6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7E411AB" w14:textId="54595B67" w:rsidR="00AD4B60" w:rsidRDefault="00AD4B60" w:rsidP="00AD4B6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23869295" w14:textId="4278C062"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B22036" w14:textId="234242DD"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88ABFC3" w14:textId="211E97CC" w:rsidR="00AD4B60" w:rsidRDefault="00AD4B60" w:rsidP="00AD4B6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5DEB7753" w14:textId="27287A31" w:rsidR="00AD4B60" w:rsidRDefault="00AD4B60" w:rsidP="00AD4B60">
            <w:pPr>
              <w:jc w:val="right"/>
              <w:rPr>
                <w:color w:val="000000"/>
                <w:sz w:val="20"/>
                <w:szCs w:val="20"/>
              </w:rPr>
            </w:pPr>
            <w:r>
              <w:rPr>
                <w:color w:val="000000"/>
                <w:sz w:val="20"/>
                <w:szCs w:val="20"/>
              </w:rPr>
              <w:t>0.000</w:t>
            </w:r>
          </w:p>
        </w:tc>
      </w:tr>
      <w:tr w:rsidR="00AD4B60" w14:paraId="4B24E829" w14:textId="77777777" w:rsidTr="00885D04">
        <w:trPr>
          <w:trHeight w:val="320"/>
        </w:trPr>
        <w:tc>
          <w:tcPr>
            <w:tcW w:w="1176" w:type="dxa"/>
            <w:tcBorders>
              <w:top w:val="nil"/>
              <w:left w:val="nil"/>
              <w:bottom w:val="nil"/>
              <w:right w:val="nil"/>
            </w:tcBorders>
            <w:shd w:val="clear" w:color="auto" w:fill="auto"/>
            <w:noWrap/>
            <w:vAlign w:val="bottom"/>
            <w:hideMark/>
          </w:tcPr>
          <w:p w14:paraId="16748217"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AF5C76" w14:textId="77777777" w:rsidR="00AD4B60" w:rsidRDefault="00AD4B60" w:rsidP="00AD4B6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87AE5DE" w14:textId="122E9AB8" w:rsidR="00AD4B60" w:rsidRDefault="00AD4B60" w:rsidP="00AD4B6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DD16F09" w14:textId="06AC9BDF" w:rsidR="00AD4B60" w:rsidRDefault="00AD4B60" w:rsidP="00AD4B60">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069D69A4" w14:textId="241E0806"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EA62FC" w14:textId="76BB53FF" w:rsidR="00AD4B60" w:rsidRDefault="00AD4B60" w:rsidP="00AD4B6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DE45668" w14:textId="09353222" w:rsidR="00AD4B60" w:rsidRDefault="00AD4B60" w:rsidP="00AD4B60">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7BD3AD18" w14:textId="660B99D0"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A45F58" w14:textId="59E80794" w:rsidR="00AD4B60" w:rsidRDefault="00AD4B60" w:rsidP="00AD4B6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6EA5C8D" w14:textId="49B599A8" w:rsidR="00AD4B60" w:rsidRDefault="00AD4B60" w:rsidP="00AD4B60">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17ED8629" w14:textId="3815CD09"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40A3E5" w14:textId="1C8DBF04"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0DC493A" w14:textId="79E5F747" w:rsidR="00AD4B60" w:rsidRDefault="00AD4B60" w:rsidP="00AD4B60">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7DF22962" w14:textId="397DDEA0"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2A8358" w14:textId="2058F905" w:rsidR="00AD4B60" w:rsidRDefault="00AD4B60" w:rsidP="00AD4B6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FFDB2CA" w14:textId="4B782E83" w:rsidR="00AD4B60" w:rsidRDefault="00AD4B60" w:rsidP="00AD4B60">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52C0D7D5" w14:textId="1586BA3F" w:rsidR="00AD4B60" w:rsidRDefault="00AD4B60" w:rsidP="00AD4B60">
            <w:pPr>
              <w:jc w:val="right"/>
              <w:rPr>
                <w:color w:val="000000"/>
                <w:sz w:val="20"/>
                <w:szCs w:val="20"/>
              </w:rPr>
            </w:pPr>
            <w:r>
              <w:rPr>
                <w:color w:val="000000"/>
                <w:sz w:val="20"/>
                <w:szCs w:val="20"/>
              </w:rPr>
              <w:t>0.000</w:t>
            </w:r>
          </w:p>
        </w:tc>
      </w:tr>
      <w:tr w:rsidR="00AD4B60" w14:paraId="480C31D3" w14:textId="77777777" w:rsidTr="00885D04">
        <w:trPr>
          <w:trHeight w:val="320"/>
        </w:trPr>
        <w:tc>
          <w:tcPr>
            <w:tcW w:w="1176" w:type="dxa"/>
            <w:tcBorders>
              <w:top w:val="nil"/>
              <w:left w:val="nil"/>
              <w:bottom w:val="single" w:sz="4" w:space="0" w:color="auto"/>
              <w:right w:val="nil"/>
            </w:tcBorders>
            <w:shd w:val="clear" w:color="auto" w:fill="auto"/>
            <w:noWrap/>
            <w:vAlign w:val="bottom"/>
            <w:hideMark/>
          </w:tcPr>
          <w:p w14:paraId="61EB484E" w14:textId="77777777" w:rsidR="00AD4B60" w:rsidRDefault="00AD4B60" w:rsidP="00AD4B6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A41C941" w14:textId="77777777" w:rsidR="00AD4B60" w:rsidRDefault="00AD4B60" w:rsidP="00AD4B6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8D2922F" w14:textId="636C135B" w:rsidR="00AD4B60" w:rsidRDefault="00AD4B60" w:rsidP="00AD4B60">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713F1187" w14:textId="6B29286E" w:rsidR="00AD4B60" w:rsidRDefault="00AD4B60" w:rsidP="00AD4B60">
            <w:pPr>
              <w:jc w:val="right"/>
              <w:rPr>
                <w:color w:val="000000"/>
                <w:sz w:val="20"/>
                <w:szCs w:val="20"/>
              </w:rPr>
            </w:pPr>
            <w:r>
              <w:rPr>
                <w:color w:val="000000"/>
                <w:sz w:val="20"/>
                <w:szCs w:val="20"/>
              </w:rPr>
              <w:t>0.701</w:t>
            </w:r>
          </w:p>
        </w:tc>
        <w:tc>
          <w:tcPr>
            <w:tcW w:w="768" w:type="dxa"/>
            <w:tcBorders>
              <w:top w:val="nil"/>
              <w:left w:val="nil"/>
              <w:bottom w:val="single" w:sz="4" w:space="0" w:color="auto"/>
              <w:right w:val="nil"/>
            </w:tcBorders>
            <w:shd w:val="clear" w:color="auto" w:fill="auto"/>
            <w:noWrap/>
            <w:vAlign w:val="bottom"/>
            <w:hideMark/>
          </w:tcPr>
          <w:p w14:paraId="1B905CEF" w14:textId="2E91847A"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C49FE17" w14:textId="0EB2D99D" w:rsidR="00AD4B60" w:rsidRDefault="00AD4B60" w:rsidP="00AD4B60">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0DA573DA" w14:textId="548C7A7E" w:rsidR="00AD4B60" w:rsidRDefault="00AD4B60" w:rsidP="00AD4B60">
            <w:pPr>
              <w:jc w:val="right"/>
              <w:rPr>
                <w:color w:val="000000"/>
                <w:sz w:val="20"/>
                <w:szCs w:val="20"/>
              </w:rPr>
            </w:pPr>
            <w:r>
              <w:rPr>
                <w:color w:val="000000"/>
                <w:sz w:val="20"/>
                <w:szCs w:val="20"/>
              </w:rPr>
              <w:t>0.634</w:t>
            </w:r>
          </w:p>
        </w:tc>
        <w:tc>
          <w:tcPr>
            <w:tcW w:w="768" w:type="dxa"/>
            <w:tcBorders>
              <w:top w:val="nil"/>
              <w:left w:val="nil"/>
              <w:bottom w:val="single" w:sz="4" w:space="0" w:color="auto"/>
              <w:right w:val="nil"/>
            </w:tcBorders>
            <w:shd w:val="clear" w:color="auto" w:fill="auto"/>
            <w:noWrap/>
            <w:vAlign w:val="bottom"/>
            <w:hideMark/>
          </w:tcPr>
          <w:p w14:paraId="1F5A2E37" w14:textId="4B07437B"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1ABBA69" w14:textId="5D559DF8" w:rsidR="00AD4B60" w:rsidRDefault="00AD4B60" w:rsidP="00AD4B60">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141B4476" w14:textId="0C085ACE" w:rsidR="00AD4B60" w:rsidRDefault="00AD4B60" w:rsidP="00AD4B60">
            <w:pPr>
              <w:jc w:val="right"/>
              <w:rPr>
                <w:color w:val="000000"/>
                <w:sz w:val="20"/>
                <w:szCs w:val="20"/>
              </w:rPr>
            </w:pPr>
            <w:r>
              <w:rPr>
                <w:color w:val="000000"/>
                <w:sz w:val="20"/>
                <w:szCs w:val="20"/>
              </w:rPr>
              <w:t>0.831</w:t>
            </w:r>
          </w:p>
        </w:tc>
        <w:tc>
          <w:tcPr>
            <w:tcW w:w="768" w:type="dxa"/>
            <w:tcBorders>
              <w:top w:val="nil"/>
              <w:left w:val="nil"/>
              <w:bottom w:val="single" w:sz="4" w:space="0" w:color="auto"/>
              <w:right w:val="nil"/>
            </w:tcBorders>
            <w:shd w:val="clear" w:color="auto" w:fill="auto"/>
            <w:noWrap/>
            <w:vAlign w:val="bottom"/>
            <w:hideMark/>
          </w:tcPr>
          <w:p w14:paraId="751E0F12" w14:textId="368DAC3C"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D352C30" w14:textId="6D2B9471" w:rsidR="00AD4B60" w:rsidRDefault="00AD4B60" w:rsidP="00AD4B60">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1BECF0A7" w14:textId="33FD2C9B" w:rsidR="00AD4B60" w:rsidRDefault="00AD4B60" w:rsidP="00AD4B60">
            <w:pPr>
              <w:jc w:val="right"/>
              <w:rPr>
                <w:color w:val="000000"/>
                <w:sz w:val="20"/>
                <w:szCs w:val="20"/>
              </w:rPr>
            </w:pPr>
            <w:r>
              <w:rPr>
                <w:color w:val="000000"/>
                <w:sz w:val="20"/>
                <w:szCs w:val="20"/>
              </w:rPr>
              <w:t>0.969</w:t>
            </w:r>
          </w:p>
        </w:tc>
        <w:tc>
          <w:tcPr>
            <w:tcW w:w="768" w:type="dxa"/>
            <w:tcBorders>
              <w:top w:val="nil"/>
              <w:left w:val="nil"/>
              <w:bottom w:val="single" w:sz="4" w:space="0" w:color="auto"/>
              <w:right w:val="nil"/>
            </w:tcBorders>
            <w:shd w:val="clear" w:color="auto" w:fill="auto"/>
            <w:noWrap/>
            <w:vAlign w:val="bottom"/>
            <w:hideMark/>
          </w:tcPr>
          <w:p w14:paraId="6BD8E785" w14:textId="5F610AE2"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B36C3A3" w14:textId="6A6187A4" w:rsidR="00AD4B60" w:rsidRDefault="00AD4B60" w:rsidP="00AD4B60">
            <w:pPr>
              <w:jc w:val="right"/>
              <w:rPr>
                <w:color w:val="000000"/>
                <w:sz w:val="20"/>
                <w:szCs w:val="20"/>
              </w:rPr>
            </w:pPr>
            <w:r>
              <w:rPr>
                <w:color w:val="000000"/>
                <w:sz w:val="20"/>
                <w:szCs w:val="20"/>
              </w:rPr>
              <w:t>0.050</w:t>
            </w:r>
          </w:p>
        </w:tc>
        <w:tc>
          <w:tcPr>
            <w:tcW w:w="768" w:type="dxa"/>
            <w:tcBorders>
              <w:top w:val="nil"/>
              <w:left w:val="nil"/>
              <w:bottom w:val="single" w:sz="4" w:space="0" w:color="auto"/>
              <w:right w:val="nil"/>
            </w:tcBorders>
            <w:shd w:val="clear" w:color="auto" w:fill="auto"/>
            <w:noWrap/>
            <w:vAlign w:val="bottom"/>
            <w:hideMark/>
          </w:tcPr>
          <w:p w14:paraId="7EFC3AD3" w14:textId="478E821E" w:rsidR="00AD4B60" w:rsidRDefault="00AD4B60" w:rsidP="00AD4B60">
            <w:pPr>
              <w:jc w:val="right"/>
              <w:rPr>
                <w:color w:val="000000"/>
                <w:sz w:val="20"/>
                <w:szCs w:val="20"/>
              </w:rPr>
            </w:pPr>
            <w:r>
              <w:rPr>
                <w:color w:val="000000"/>
                <w:sz w:val="20"/>
                <w:szCs w:val="20"/>
              </w:rPr>
              <w:t>0.896</w:t>
            </w:r>
          </w:p>
        </w:tc>
        <w:tc>
          <w:tcPr>
            <w:tcW w:w="768" w:type="dxa"/>
            <w:tcBorders>
              <w:top w:val="nil"/>
              <w:left w:val="nil"/>
              <w:bottom w:val="single" w:sz="4" w:space="0" w:color="auto"/>
              <w:right w:val="nil"/>
            </w:tcBorders>
            <w:shd w:val="clear" w:color="auto" w:fill="auto"/>
            <w:noWrap/>
            <w:vAlign w:val="bottom"/>
            <w:hideMark/>
          </w:tcPr>
          <w:p w14:paraId="2D699F2C" w14:textId="6860F770" w:rsidR="00AD4B60" w:rsidRDefault="00AD4B60" w:rsidP="00AD4B60">
            <w:pPr>
              <w:jc w:val="right"/>
              <w:rPr>
                <w:color w:val="000000"/>
                <w:sz w:val="20"/>
                <w:szCs w:val="20"/>
              </w:rPr>
            </w:pPr>
            <w:r>
              <w:rPr>
                <w:color w:val="000000"/>
                <w:sz w:val="20"/>
                <w:szCs w:val="20"/>
              </w:rPr>
              <w:t>0.003</w:t>
            </w:r>
          </w:p>
        </w:tc>
      </w:tr>
      <w:tr w:rsidR="00AD4B60" w14:paraId="6AF9665D" w14:textId="77777777" w:rsidTr="00885D04">
        <w:trPr>
          <w:trHeight w:val="320"/>
        </w:trPr>
        <w:tc>
          <w:tcPr>
            <w:tcW w:w="1176" w:type="dxa"/>
            <w:tcBorders>
              <w:top w:val="nil"/>
              <w:left w:val="nil"/>
              <w:bottom w:val="nil"/>
              <w:right w:val="nil"/>
            </w:tcBorders>
            <w:shd w:val="clear" w:color="auto" w:fill="auto"/>
            <w:noWrap/>
            <w:vAlign w:val="bottom"/>
            <w:hideMark/>
          </w:tcPr>
          <w:p w14:paraId="16E05980" w14:textId="77777777" w:rsidR="00AD4B60" w:rsidRDefault="00AD4B60" w:rsidP="00AD4B60">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37D641EB" w14:textId="77777777" w:rsidR="00AD4B60" w:rsidRDefault="00AD4B60" w:rsidP="00AD4B6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1AB939D" w14:textId="3408352F" w:rsidR="00AD4B60" w:rsidRDefault="00AD4B60" w:rsidP="00AD4B60">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1E4AAD34" w14:textId="564DBC49" w:rsidR="00AD4B60" w:rsidRDefault="00AD4B60" w:rsidP="00AD4B60">
            <w:pPr>
              <w:jc w:val="right"/>
              <w:rPr>
                <w:color w:val="000000"/>
                <w:sz w:val="20"/>
                <w:szCs w:val="20"/>
              </w:rPr>
            </w:pPr>
            <w:r>
              <w:rPr>
                <w:color w:val="000000"/>
                <w:sz w:val="20"/>
                <w:szCs w:val="20"/>
              </w:rPr>
              <w:t>0.805</w:t>
            </w:r>
          </w:p>
        </w:tc>
        <w:tc>
          <w:tcPr>
            <w:tcW w:w="768" w:type="dxa"/>
            <w:tcBorders>
              <w:top w:val="nil"/>
              <w:left w:val="nil"/>
              <w:bottom w:val="nil"/>
              <w:right w:val="nil"/>
            </w:tcBorders>
            <w:shd w:val="clear" w:color="auto" w:fill="auto"/>
            <w:noWrap/>
            <w:vAlign w:val="bottom"/>
            <w:hideMark/>
          </w:tcPr>
          <w:p w14:paraId="31E35C17" w14:textId="69B16980"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A509AAB" w14:textId="076395C3" w:rsidR="00AD4B60" w:rsidRDefault="00AD4B60" w:rsidP="00AD4B60">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14A9ACB" w14:textId="2D760627" w:rsidR="00AD4B60" w:rsidRDefault="00AD4B60" w:rsidP="00AD4B60">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26211D36" w14:textId="052E8079"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6A74B0" w14:textId="6D422864" w:rsidR="00AD4B60" w:rsidRDefault="00AD4B60" w:rsidP="00AD4B6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20B61A3" w14:textId="14C2A06E" w:rsidR="00AD4B60" w:rsidRDefault="00AD4B60" w:rsidP="00AD4B60">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59AD7657" w14:textId="29FCC6B1"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A1D66C" w14:textId="1F84F56B" w:rsidR="00AD4B60" w:rsidRDefault="00AD4B60" w:rsidP="00AD4B6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1ABDFE0" w14:textId="6CC8E4B7" w:rsidR="00AD4B60" w:rsidRDefault="00AD4B60" w:rsidP="00AD4B60">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49B86AEB" w14:textId="4DAE399A"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EA8B58" w14:textId="70C75061" w:rsidR="00AD4B60" w:rsidRDefault="00AD4B60" w:rsidP="00AD4B60">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3AF07DDE" w14:textId="6B5EA8AD" w:rsidR="00AD4B60" w:rsidRDefault="00AD4B60" w:rsidP="00AD4B60">
            <w:pPr>
              <w:jc w:val="right"/>
              <w:rPr>
                <w:color w:val="000000"/>
                <w:sz w:val="20"/>
                <w:szCs w:val="20"/>
              </w:rPr>
            </w:pPr>
            <w:r>
              <w:rPr>
                <w:color w:val="000000"/>
                <w:sz w:val="20"/>
                <w:szCs w:val="20"/>
              </w:rPr>
              <w:t>0.308</w:t>
            </w:r>
          </w:p>
        </w:tc>
        <w:tc>
          <w:tcPr>
            <w:tcW w:w="768" w:type="dxa"/>
            <w:tcBorders>
              <w:top w:val="nil"/>
              <w:left w:val="nil"/>
              <w:bottom w:val="nil"/>
              <w:right w:val="nil"/>
            </w:tcBorders>
            <w:shd w:val="clear" w:color="auto" w:fill="auto"/>
            <w:noWrap/>
            <w:vAlign w:val="bottom"/>
            <w:hideMark/>
          </w:tcPr>
          <w:p w14:paraId="371991C1" w14:textId="45E32F18" w:rsidR="00AD4B60" w:rsidRDefault="00AD4B60" w:rsidP="00AD4B60">
            <w:pPr>
              <w:jc w:val="right"/>
              <w:rPr>
                <w:color w:val="000000"/>
                <w:sz w:val="20"/>
                <w:szCs w:val="20"/>
              </w:rPr>
            </w:pPr>
            <w:r>
              <w:rPr>
                <w:color w:val="000000"/>
                <w:sz w:val="20"/>
                <w:szCs w:val="20"/>
              </w:rPr>
              <w:t>0.005</w:t>
            </w:r>
          </w:p>
        </w:tc>
      </w:tr>
      <w:tr w:rsidR="00AD4B60" w14:paraId="3DF45043" w14:textId="77777777" w:rsidTr="00885D04">
        <w:trPr>
          <w:trHeight w:val="320"/>
        </w:trPr>
        <w:tc>
          <w:tcPr>
            <w:tcW w:w="1176" w:type="dxa"/>
            <w:tcBorders>
              <w:top w:val="nil"/>
              <w:left w:val="nil"/>
              <w:bottom w:val="nil"/>
              <w:right w:val="nil"/>
            </w:tcBorders>
            <w:shd w:val="clear" w:color="auto" w:fill="auto"/>
            <w:noWrap/>
            <w:vAlign w:val="bottom"/>
            <w:hideMark/>
          </w:tcPr>
          <w:p w14:paraId="7CD8E209"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76474F9" w14:textId="77777777" w:rsidR="00AD4B60" w:rsidRDefault="00AD4B60" w:rsidP="00AD4B6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3E8381E" w14:textId="0B5CADA6"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EBDB191" w14:textId="7919C40E" w:rsidR="00AD4B60" w:rsidRDefault="00AD4B60" w:rsidP="00AD4B60">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1E51B2E9" w14:textId="017B8130"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F496711" w14:textId="7EAA6654" w:rsidR="00AD4B60" w:rsidRDefault="00AD4B60" w:rsidP="00AD4B60">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E03C985" w14:textId="1C28E913" w:rsidR="00AD4B60" w:rsidRDefault="00AD4B60" w:rsidP="00AD4B60">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7256E50E" w14:textId="6748356A"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A9E401A" w14:textId="2DDFC77E" w:rsidR="00AD4B60" w:rsidRDefault="00AD4B60" w:rsidP="00AD4B6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40DDC37" w14:textId="5C34476D" w:rsidR="00AD4B60" w:rsidRDefault="00AD4B60" w:rsidP="00AD4B60">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52C621B7" w14:textId="411FA13D"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084D83" w14:textId="4F00913A"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79260DF" w14:textId="44824863" w:rsidR="00AD4B60" w:rsidRDefault="00AD4B60" w:rsidP="00AD4B60">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259B3364" w14:textId="429E0063"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0F37C7" w14:textId="02D25411" w:rsidR="00AD4B60" w:rsidRDefault="00AD4B60" w:rsidP="00AD4B6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8DBACD4" w14:textId="5CB080AC" w:rsidR="00AD4B60" w:rsidRDefault="00AD4B60" w:rsidP="00AD4B60">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5E820B31" w14:textId="48DC02FD" w:rsidR="00AD4B60" w:rsidRDefault="00AD4B60" w:rsidP="00AD4B60">
            <w:pPr>
              <w:jc w:val="right"/>
              <w:rPr>
                <w:color w:val="000000"/>
                <w:sz w:val="20"/>
                <w:szCs w:val="20"/>
              </w:rPr>
            </w:pPr>
            <w:r>
              <w:rPr>
                <w:color w:val="000000"/>
                <w:sz w:val="20"/>
                <w:szCs w:val="20"/>
              </w:rPr>
              <w:t>0.000</w:t>
            </w:r>
          </w:p>
        </w:tc>
      </w:tr>
      <w:tr w:rsidR="00AD4B60" w14:paraId="58726162" w14:textId="77777777" w:rsidTr="00885D04">
        <w:trPr>
          <w:trHeight w:val="320"/>
        </w:trPr>
        <w:tc>
          <w:tcPr>
            <w:tcW w:w="1176" w:type="dxa"/>
            <w:tcBorders>
              <w:top w:val="nil"/>
              <w:left w:val="nil"/>
              <w:bottom w:val="nil"/>
              <w:right w:val="nil"/>
            </w:tcBorders>
            <w:shd w:val="clear" w:color="auto" w:fill="auto"/>
            <w:noWrap/>
            <w:vAlign w:val="bottom"/>
            <w:hideMark/>
          </w:tcPr>
          <w:p w14:paraId="60B7DEAC"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8E65F81" w14:textId="77777777" w:rsidR="00AD4B60" w:rsidRDefault="00AD4B60" w:rsidP="00AD4B6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8EA8460" w14:textId="2584C345" w:rsidR="00AD4B60" w:rsidRDefault="00AD4B60" w:rsidP="00AD4B60">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27E5064E" w14:textId="5635CBE3" w:rsidR="00AD4B60" w:rsidRDefault="00AD4B60" w:rsidP="00AD4B60">
            <w:pPr>
              <w:jc w:val="right"/>
              <w:rPr>
                <w:color w:val="000000"/>
                <w:sz w:val="20"/>
                <w:szCs w:val="20"/>
              </w:rPr>
            </w:pPr>
            <w:r>
              <w:rPr>
                <w:color w:val="000000"/>
                <w:sz w:val="20"/>
                <w:szCs w:val="20"/>
              </w:rPr>
              <w:t>0.805</w:t>
            </w:r>
          </w:p>
        </w:tc>
        <w:tc>
          <w:tcPr>
            <w:tcW w:w="768" w:type="dxa"/>
            <w:tcBorders>
              <w:top w:val="nil"/>
              <w:left w:val="nil"/>
              <w:bottom w:val="nil"/>
              <w:right w:val="nil"/>
            </w:tcBorders>
            <w:shd w:val="clear" w:color="auto" w:fill="auto"/>
            <w:noWrap/>
            <w:vAlign w:val="bottom"/>
            <w:hideMark/>
          </w:tcPr>
          <w:p w14:paraId="182FB75A" w14:textId="4FF45F8E"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999C970" w14:textId="18CF8241" w:rsidR="00AD4B60" w:rsidRDefault="00AD4B60" w:rsidP="00AD4B60">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1BD1D469" w14:textId="776DAEC7" w:rsidR="00AD4B60" w:rsidRDefault="00AD4B60" w:rsidP="00AD4B60">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5BCE8A66" w14:textId="6317DCC8"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DA0451F" w14:textId="66F5DDCB" w:rsidR="00AD4B60" w:rsidRDefault="00AD4B60" w:rsidP="00AD4B6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888767A" w14:textId="28889169" w:rsidR="00AD4B60" w:rsidRDefault="00AD4B60" w:rsidP="00AD4B60">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1635F359" w14:textId="050B5C7A"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C56CAF" w14:textId="0DDD23D2" w:rsidR="00AD4B60" w:rsidRDefault="00AD4B60" w:rsidP="00AD4B60">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66E736C3" w14:textId="4B94F4DC" w:rsidR="00AD4B60" w:rsidRDefault="00AD4B60" w:rsidP="00AD4B60">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4F2CB1BA" w14:textId="26C6AAAA"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0AB1314" w14:textId="1A2A73EA" w:rsidR="00AD4B60" w:rsidRDefault="00AD4B60" w:rsidP="00AD4B6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E0785F6" w14:textId="439E90C5" w:rsidR="00AD4B60" w:rsidRDefault="00AD4B60" w:rsidP="00AD4B60">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41AB01D7" w14:textId="590895DE" w:rsidR="00AD4B60" w:rsidRDefault="00AD4B60" w:rsidP="00AD4B60">
            <w:pPr>
              <w:jc w:val="right"/>
              <w:rPr>
                <w:color w:val="000000"/>
                <w:sz w:val="20"/>
                <w:szCs w:val="20"/>
              </w:rPr>
            </w:pPr>
            <w:r>
              <w:rPr>
                <w:color w:val="000000"/>
                <w:sz w:val="20"/>
                <w:szCs w:val="20"/>
              </w:rPr>
              <w:t>0.001</w:t>
            </w:r>
          </w:p>
        </w:tc>
      </w:tr>
      <w:tr w:rsidR="00AD4B60" w14:paraId="3050A1AF" w14:textId="77777777" w:rsidTr="00885D04">
        <w:trPr>
          <w:trHeight w:val="320"/>
        </w:trPr>
        <w:tc>
          <w:tcPr>
            <w:tcW w:w="1176" w:type="dxa"/>
            <w:tcBorders>
              <w:top w:val="nil"/>
              <w:left w:val="nil"/>
              <w:bottom w:val="nil"/>
              <w:right w:val="nil"/>
            </w:tcBorders>
            <w:shd w:val="clear" w:color="auto" w:fill="auto"/>
            <w:noWrap/>
            <w:vAlign w:val="bottom"/>
            <w:hideMark/>
          </w:tcPr>
          <w:p w14:paraId="370EC2FF"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C5B74AC" w14:textId="77777777" w:rsidR="00AD4B60" w:rsidRDefault="00AD4B60" w:rsidP="00AD4B6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B97C1A0" w14:textId="40737DA5" w:rsidR="00AD4B60" w:rsidRDefault="00AD4B60" w:rsidP="00AD4B6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7EBFA7B" w14:textId="2D23501F" w:rsidR="00AD4B60" w:rsidRDefault="00AD4B60" w:rsidP="00AD4B60">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72F51520" w14:textId="3B18753D"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F3861AA" w14:textId="76A065AB" w:rsidR="00AD4B60" w:rsidRDefault="00AD4B60" w:rsidP="00AD4B60">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7107861B" w14:textId="1AAA0E33" w:rsidR="00AD4B60" w:rsidRDefault="00AD4B60" w:rsidP="00AD4B60">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48B0A15C" w14:textId="65505A0B"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B2B2176" w14:textId="1E65C74A"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0AF79F2" w14:textId="7A520542" w:rsidR="00AD4B60" w:rsidRDefault="00AD4B60" w:rsidP="00AD4B60">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66E5F6BA" w14:textId="281D5C72"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373828" w14:textId="35CB8566" w:rsidR="00AD4B60" w:rsidRDefault="00AD4B60" w:rsidP="00AD4B60">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24721BC4" w14:textId="59D790B7" w:rsidR="00AD4B60" w:rsidRDefault="00AD4B60" w:rsidP="00AD4B60">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48A001BF" w14:textId="1699CC54"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D6FEA88" w14:textId="357291F8" w:rsidR="00AD4B60" w:rsidRDefault="00AD4B60" w:rsidP="00AD4B60">
            <w:pPr>
              <w:jc w:val="right"/>
              <w:rPr>
                <w:color w:val="000000"/>
                <w:sz w:val="20"/>
                <w:szCs w:val="20"/>
              </w:rPr>
            </w:pPr>
            <w:r>
              <w:rPr>
                <w:color w:val="000000"/>
                <w:sz w:val="20"/>
                <w:szCs w:val="20"/>
              </w:rPr>
              <w:t>-0.143</w:t>
            </w:r>
          </w:p>
        </w:tc>
        <w:tc>
          <w:tcPr>
            <w:tcW w:w="768" w:type="dxa"/>
            <w:tcBorders>
              <w:top w:val="nil"/>
              <w:left w:val="nil"/>
              <w:bottom w:val="nil"/>
              <w:right w:val="nil"/>
            </w:tcBorders>
            <w:shd w:val="clear" w:color="auto" w:fill="auto"/>
            <w:noWrap/>
            <w:vAlign w:val="bottom"/>
            <w:hideMark/>
          </w:tcPr>
          <w:p w14:paraId="09853DB3" w14:textId="217B8D45" w:rsidR="00AD4B60" w:rsidRDefault="00AD4B60" w:rsidP="00AD4B60">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579CAAC8" w14:textId="13618E4C" w:rsidR="00AD4B60" w:rsidRDefault="00AD4B60" w:rsidP="00AD4B60">
            <w:pPr>
              <w:jc w:val="right"/>
              <w:rPr>
                <w:color w:val="000000"/>
                <w:sz w:val="20"/>
                <w:szCs w:val="20"/>
              </w:rPr>
            </w:pPr>
            <w:r>
              <w:rPr>
                <w:color w:val="000000"/>
                <w:sz w:val="20"/>
                <w:szCs w:val="20"/>
              </w:rPr>
              <w:t>0.020</w:t>
            </w:r>
          </w:p>
        </w:tc>
      </w:tr>
      <w:tr w:rsidR="00AD4B60" w14:paraId="2D758C63" w14:textId="77777777" w:rsidTr="00885D04">
        <w:trPr>
          <w:trHeight w:val="320"/>
        </w:trPr>
        <w:tc>
          <w:tcPr>
            <w:tcW w:w="1176" w:type="dxa"/>
            <w:tcBorders>
              <w:top w:val="nil"/>
              <w:left w:val="nil"/>
              <w:bottom w:val="nil"/>
              <w:right w:val="nil"/>
            </w:tcBorders>
            <w:shd w:val="clear" w:color="auto" w:fill="auto"/>
            <w:noWrap/>
            <w:vAlign w:val="bottom"/>
            <w:hideMark/>
          </w:tcPr>
          <w:p w14:paraId="2057870D"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8E4B458" w14:textId="77777777" w:rsidR="00AD4B60" w:rsidRDefault="00AD4B60" w:rsidP="00AD4B6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8E77DC4" w14:textId="394F2CA2"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3D0B453" w14:textId="41799EEE" w:rsidR="00AD4B60" w:rsidRDefault="00AD4B60" w:rsidP="00AD4B60">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38A2B21D" w14:textId="424B4AF7"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97D3D5" w14:textId="3C1D9217" w:rsidR="00AD4B60" w:rsidRDefault="00AD4B60" w:rsidP="00AD4B60">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FA66F4A" w14:textId="512CCF21" w:rsidR="00AD4B60" w:rsidRDefault="00AD4B60" w:rsidP="00AD4B60">
            <w:pPr>
              <w:jc w:val="right"/>
              <w:rPr>
                <w:color w:val="000000"/>
                <w:sz w:val="20"/>
                <w:szCs w:val="20"/>
              </w:rPr>
            </w:pPr>
            <w:r>
              <w:rPr>
                <w:color w:val="000000"/>
                <w:sz w:val="20"/>
                <w:szCs w:val="20"/>
              </w:rPr>
              <w:t>0.682</w:t>
            </w:r>
          </w:p>
        </w:tc>
        <w:tc>
          <w:tcPr>
            <w:tcW w:w="768" w:type="dxa"/>
            <w:tcBorders>
              <w:top w:val="nil"/>
              <w:left w:val="nil"/>
              <w:bottom w:val="nil"/>
              <w:right w:val="nil"/>
            </w:tcBorders>
            <w:shd w:val="clear" w:color="auto" w:fill="auto"/>
            <w:noWrap/>
            <w:vAlign w:val="bottom"/>
            <w:hideMark/>
          </w:tcPr>
          <w:p w14:paraId="0F084CB7" w14:textId="5722D88C"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73D25C" w14:textId="4AE7DC3B"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259F103" w14:textId="49F5EC47" w:rsidR="00AD4B60" w:rsidRDefault="00AD4B60" w:rsidP="00AD4B60">
            <w:pPr>
              <w:jc w:val="right"/>
              <w:rPr>
                <w:color w:val="000000"/>
                <w:sz w:val="20"/>
                <w:szCs w:val="20"/>
              </w:rPr>
            </w:pPr>
            <w:r>
              <w:rPr>
                <w:color w:val="000000"/>
                <w:sz w:val="20"/>
                <w:szCs w:val="20"/>
              </w:rPr>
              <w:t>0.910</w:t>
            </w:r>
          </w:p>
        </w:tc>
        <w:tc>
          <w:tcPr>
            <w:tcW w:w="768" w:type="dxa"/>
            <w:tcBorders>
              <w:top w:val="nil"/>
              <w:left w:val="nil"/>
              <w:bottom w:val="nil"/>
              <w:right w:val="nil"/>
            </w:tcBorders>
            <w:shd w:val="clear" w:color="auto" w:fill="auto"/>
            <w:noWrap/>
            <w:vAlign w:val="bottom"/>
            <w:hideMark/>
          </w:tcPr>
          <w:p w14:paraId="1F7FAE8C" w14:textId="23181E56"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57FC04" w14:textId="03483169" w:rsidR="00AD4B60" w:rsidRDefault="00AD4B60" w:rsidP="00AD4B60">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A6BE00C" w14:textId="19560DE4" w:rsidR="00AD4B60" w:rsidRDefault="00AD4B60" w:rsidP="00AD4B60">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277F07DA" w14:textId="1080D26C"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F5CEFBD" w14:textId="7E98CA3E" w:rsidR="00AD4B60" w:rsidRDefault="00AD4B60" w:rsidP="00AD4B6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B6612AE" w14:textId="2BE5BB6B" w:rsidR="00AD4B60" w:rsidRDefault="00AD4B60" w:rsidP="00AD4B60">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55E78210" w14:textId="524B4B33" w:rsidR="00AD4B60" w:rsidRDefault="00AD4B60" w:rsidP="00AD4B60">
            <w:pPr>
              <w:jc w:val="right"/>
              <w:rPr>
                <w:color w:val="000000"/>
                <w:sz w:val="20"/>
                <w:szCs w:val="20"/>
              </w:rPr>
            </w:pPr>
            <w:r>
              <w:rPr>
                <w:color w:val="000000"/>
                <w:sz w:val="20"/>
                <w:szCs w:val="20"/>
              </w:rPr>
              <w:t>0.001</w:t>
            </w:r>
          </w:p>
        </w:tc>
      </w:tr>
      <w:tr w:rsidR="00AD4B60" w14:paraId="3E0C8677" w14:textId="77777777" w:rsidTr="00885D04">
        <w:trPr>
          <w:trHeight w:val="320"/>
        </w:trPr>
        <w:tc>
          <w:tcPr>
            <w:tcW w:w="1176" w:type="dxa"/>
            <w:tcBorders>
              <w:top w:val="nil"/>
              <w:left w:val="nil"/>
              <w:bottom w:val="nil"/>
              <w:right w:val="nil"/>
            </w:tcBorders>
            <w:shd w:val="clear" w:color="auto" w:fill="auto"/>
            <w:noWrap/>
            <w:vAlign w:val="bottom"/>
            <w:hideMark/>
          </w:tcPr>
          <w:p w14:paraId="11976D03"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3DC4A8" w14:textId="77777777" w:rsidR="00AD4B60" w:rsidRDefault="00AD4B60" w:rsidP="00AD4B6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1AE668D" w14:textId="241F77EF"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AA12370" w14:textId="15072349" w:rsidR="00AD4B60" w:rsidRDefault="00AD4B60" w:rsidP="00AD4B60">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02D94EF7" w14:textId="5D57ED2C"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B713F3" w14:textId="5DE19158"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B85304A" w14:textId="418BAD6D" w:rsidR="00AD4B60" w:rsidRDefault="00AD4B60" w:rsidP="00AD4B60">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7F9A5DA5" w14:textId="7360137C"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07902E" w14:textId="5509ED1B" w:rsidR="00AD4B60" w:rsidRDefault="00AD4B60" w:rsidP="00AD4B60">
            <w:pPr>
              <w:jc w:val="right"/>
              <w:rPr>
                <w:b/>
                <w:bCs/>
                <w:color w:val="000000"/>
                <w:sz w:val="20"/>
                <w:szCs w:val="20"/>
              </w:rPr>
            </w:pPr>
            <w:r>
              <w:rPr>
                <w:b/>
                <w:bCs/>
                <w:color w:val="000000"/>
                <w:sz w:val="20"/>
                <w:szCs w:val="20"/>
              </w:rPr>
              <w:t>0.122</w:t>
            </w:r>
          </w:p>
        </w:tc>
        <w:tc>
          <w:tcPr>
            <w:tcW w:w="768" w:type="dxa"/>
            <w:tcBorders>
              <w:top w:val="nil"/>
              <w:left w:val="nil"/>
              <w:bottom w:val="nil"/>
              <w:right w:val="nil"/>
            </w:tcBorders>
            <w:shd w:val="clear" w:color="auto" w:fill="auto"/>
            <w:noWrap/>
            <w:vAlign w:val="bottom"/>
            <w:hideMark/>
          </w:tcPr>
          <w:p w14:paraId="1D331DB0" w14:textId="5E7B12EE" w:rsidR="00AD4B60" w:rsidRDefault="00AD4B60" w:rsidP="00AD4B60">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D06AEC5" w14:textId="2CD5FC9F" w:rsidR="00AD4B60" w:rsidRDefault="00AD4B60" w:rsidP="00AD4B60">
            <w:pPr>
              <w:jc w:val="right"/>
              <w:rPr>
                <w:color w:val="000000"/>
                <w:sz w:val="20"/>
                <w:szCs w:val="20"/>
              </w:rPr>
            </w:pPr>
            <w:r>
              <w:rPr>
                <w:b/>
                <w:bCs/>
                <w:color w:val="000000"/>
                <w:sz w:val="20"/>
                <w:szCs w:val="20"/>
              </w:rPr>
              <w:t>0.015</w:t>
            </w:r>
          </w:p>
        </w:tc>
        <w:tc>
          <w:tcPr>
            <w:tcW w:w="768" w:type="dxa"/>
            <w:tcBorders>
              <w:top w:val="nil"/>
              <w:left w:val="nil"/>
              <w:bottom w:val="nil"/>
              <w:right w:val="nil"/>
            </w:tcBorders>
            <w:shd w:val="clear" w:color="auto" w:fill="auto"/>
            <w:noWrap/>
            <w:vAlign w:val="bottom"/>
            <w:hideMark/>
          </w:tcPr>
          <w:p w14:paraId="146BA07F" w14:textId="1BE31E3E" w:rsidR="00AD4B60" w:rsidRDefault="00AD4B60" w:rsidP="00AD4B60">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FF8F54F" w14:textId="2A30E5EF" w:rsidR="00AD4B60" w:rsidRDefault="00AD4B60" w:rsidP="00AD4B60">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0CE7DB5A" w14:textId="44F00F32"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D6C4B7" w14:textId="02018332" w:rsidR="00AD4B60" w:rsidRDefault="00AD4B60" w:rsidP="00AD4B6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B458317" w14:textId="5F26878F" w:rsidR="00AD4B60" w:rsidRDefault="00AD4B60" w:rsidP="00AD4B60">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04C2BE55" w14:textId="72078805" w:rsidR="00AD4B60" w:rsidRDefault="00AD4B60" w:rsidP="00AD4B60">
            <w:pPr>
              <w:jc w:val="right"/>
              <w:rPr>
                <w:color w:val="000000"/>
                <w:sz w:val="20"/>
                <w:szCs w:val="20"/>
              </w:rPr>
            </w:pPr>
            <w:r>
              <w:rPr>
                <w:color w:val="000000"/>
                <w:sz w:val="20"/>
                <w:szCs w:val="20"/>
              </w:rPr>
              <w:t>0.001</w:t>
            </w:r>
          </w:p>
        </w:tc>
      </w:tr>
      <w:tr w:rsidR="00AD4B60" w14:paraId="58985C90" w14:textId="77777777" w:rsidTr="00885D04">
        <w:trPr>
          <w:trHeight w:val="320"/>
        </w:trPr>
        <w:tc>
          <w:tcPr>
            <w:tcW w:w="1176" w:type="dxa"/>
            <w:tcBorders>
              <w:top w:val="nil"/>
              <w:left w:val="nil"/>
              <w:bottom w:val="nil"/>
              <w:right w:val="nil"/>
            </w:tcBorders>
            <w:shd w:val="clear" w:color="auto" w:fill="auto"/>
            <w:noWrap/>
            <w:vAlign w:val="bottom"/>
            <w:hideMark/>
          </w:tcPr>
          <w:p w14:paraId="018F56EE"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30697D0" w14:textId="77777777" w:rsidR="00AD4B60" w:rsidRDefault="00AD4B60" w:rsidP="00AD4B6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EFAFEF9" w14:textId="06A7D31E" w:rsidR="00AD4B60" w:rsidRDefault="00AD4B60" w:rsidP="00AD4B6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5E1477F0" w14:textId="0E46078A" w:rsidR="00AD4B60" w:rsidRDefault="00AD4B60" w:rsidP="00AD4B60">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524A1817" w14:textId="0A4FBFAD"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8B0564" w14:textId="2FB4BF7A"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5AC1C5" w14:textId="7AF98BF6" w:rsidR="00AD4B60" w:rsidRDefault="00AD4B60" w:rsidP="00AD4B60">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1BC86089" w14:textId="5F8A3695"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2C238F" w14:textId="06AADF0A" w:rsidR="00AD4B60" w:rsidRDefault="00AD4B60" w:rsidP="00AD4B60">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455D2334" w14:textId="4BE8A0C1" w:rsidR="00AD4B60" w:rsidRDefault="00AD4B60" w:rsidP="00AD4B60">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211C5E48" w14:textId="627049AF"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859A235" w14:textId="6F792649" w:rsidR="00AD4B60" w:rsidRDefault="00AD4B60" w:rsidP="00AD4B6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1B0B1FC" w14:textId="4EDBD13B" w:rsidR="00AD4B60" w:rsidRDefault="00AD4B60" w:rsidP="00AD4B60">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72A8C525" w14:textId="4DB54E81"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A009EA" w14:textId="4F8AFD4F" w:rsidR="00AD4B60" w:rsidRDefault="00AD4B60" w:rsidP="00AD4B6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9A92EF3" w14:textId="70DB3809" w:rsidR="00AD4B60" w:rsidRDefault="00AD4B60" w:rsidP="00AD4B60">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7A7AEB0D" w14:textId="4B22363A" w:rsidR="00AD4B60" w:rsidRDefault="00AD4B60" w:rsidP="00AD4B60">
            <w:pPr>
              <w:jc w:val="right"/>
              <w:rPr>
                <w:color w:val="000000"/>
                <w:sz w:val="20"/>
                <w:szCs w:val="20"/>
              </w:rPr>
            </w:pPr>
            <w:r>
              <w:rPr>
                <w:color w:val="000000"/>
                <w:sz w:val="20"/>
                <w:szCs w:val="20"/>
              </w:rPr>
              <w:t>0.000</w:t>
            </w:r>
          </w:p>
        </w:tc>
      </w:tr>
      <w:tr w:rsidR="00AD4B60" w14:paraId="4040605D" w14:textId="77777777" w:rsidTr="00885D04">
        <w:trPr>
          <w:trHeight w:val="320"/>
        </w:trPr>
        <w:tc>
          <w:tcPr>
            <w:tcW w:w="1176" w:type="dxa"/>
            <w:tcBorders>
              <w:top w:val="nil"/>
              <w:left w:val="nil"/>
              <w:bottom w:val="single" w:sz="4" w:space="0" w:color="auto"/>
              <w:right w:val="nil"/>
            </w:tcBorders>
            <w:shd w:val="clear" w:color="auto" w:fill="auto"/>
            <w:noWrap/>
            <w:vAlign w:val="bottom"/>
            <w:hideMark/>
          </w:tcPr>
          <w:p w14:paraId="6823F07A" w14:textId="77777777" w:rsidR="00AD4B60" w:rsidRDefault="00AD4B60" w:rsidP="00AD4B6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5CD754D" w14:textId="77777777" w:rsidR="00AD4B60" w:rsidRDefault="00AD4B60" w:rsidP="00AD4B6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619E3E9" w14:textId="2DCEE91A" w:rsidR="00AD4B60" w:rsidRDefault="00AD4B60" w:rsidP="00AD4B60">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5A4952C9" w14:textId="7CCD5884" w:rsidR="00AD4B60" w:rsidRDefault="00AD4B60" w:rsidP="00AD4B60">
            <w:pPr>
              <w:jc w:val="right"/>
              <w:rPr>
                <w:color w:val="000000"/>
                <w:sz w:val="20"/>
                <w:szCs w:val="20"/>
              </w:rPr>
            </w:pPr>
            <w:r>
              <w:rPr>
                <w:color w:val="000000"/>
                <w:sz w:val="20"/>
                <w:szCs w:val="20"/>
              </w:rPr>
              <w:t>0.805</w:t>
            </w:r>
          </w:p>
        </w:tc>
        <w:tc>
          <w:tcPr>
            <w:tcW w:w="768" w:type="dxa"/>
            <w:tcBorders>
              <w:top w:val="nil"/>
              <w:left w:val="nil"/>
              <w:bottom w:val="single" w:sz="4" w:space="0" w:color="auto"/>
              <w:right w:val="nil"/>
            </w:tcBorders>
            <w:shd w:val="clear" w:color="auto" w:fill="auto"/>
            <w:noWrap/>
            <w:vAlign w:val="bottom"/>
            <w:hideMark/>
          </w:tcPr>
          <w:p w14:paraId="49F9CDA6" w14:textId="126A9574"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0F5330F9" w14:textId="3F91FE08" w:rsidR="00AD4B60" w:rsidRDefault="00AD4B60" w:rsidP="00AD4B60">
            <w:pPr>
              <w:jc w:val="right"/>
              <w:rPr>
                <w:color w:val="000000"/>
                <w:sz w:val="20"/>
                <w:szCs w:val="20"/>
              </w:rPr>
            </w:pPr>
            <w:r>
              <w:rPr>
                <w:color w:val="000000"/>
                <w:sz w:val="20"/>
                <w:szCs w:val="20"/>
              </w:rPr>
              <w:t>-0.015</w:t>
            </w:r>
          </w:p>
        </w:tc>
        <w:tc>
          <w:tcPr>
            <w:tcW w:w="768" w:type="dxa"/>
            <w:tcBorders>
              <w:top w:val="nil"/>
              <w:left w:val="nil"/>
              <w:bottom w:val="single" w:sz="4" w:space="0" w:color="auto"/>
              <w:right w:val="nil"/>
            </w:tcBorders>
            <w:shd w:val="clear" w:color="auto" w:fill="auto"/>
            <w:noWrap/>
            <w:vAlign w:val="bottom"/>
            <w:hideMark/>
          </w:tcPr>
          <w:p w14:paraId="058A87DE" w14:textId="3A62ED5A" w:rsidR="00AD4B60" w:rsidRDefault="00AD4B60" w:rsidP="00AD4B60">
            <w:pPr>
              <w:jc w:val="right"/>
              <w:rPr>
                <w:color w:val="000000"/>
                <w:sz w:val="20"/>
                <w:szCs w:val="20"/>
              </w:rPr>
            </w:pPr>
            <w:r>
              <w:rPr>
                <w:color w:val="000000"/>
                <w:sz w:val="20"/>
                <w:szCs w:val="20"/>
              </w:rPr>
              <w:t>0.869</w:t>
            </w:r>
          </w:p>
        </w:tc>
        <w:tc>
          <w:tcPr>
            <w:tcW w:w="768" w:type="dxa"/>
            <w:tcBorders>
              <w:top w:val="nil"/>
              <w:left w:val="nil"/>
              <w:bottom w:val="single" w:sz="4" w:space="0" w:color="auto"/>
              <w:right w:val="nil"/>
            </w:tcBorders>
            <w:shd w:val="clear" w:color="auto" w:fill="auto"/>
            <w:noWrap/>
            <w:vAlign w:val="bottom"/>
            <w:hideMark/>
          </w:tcPr>
          <w:p w14:paraId="2E8B0719" w14:textId="0DD146D4"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69C0D72" w14:textId="27859648" w:rsidR="00AD4B60" w:rsidRDefault="00AD4B60" w:rsidP="00AD4B60">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4BBC8D34" w14:textId="03630A6E" w:rsidR="00AD4B60" w:rsidRDefault="00AD4B60" w:rsidP="00AD4B60">
            <w:pPr>
              <w:jc w:val="right"/>
              <w:rPr>
                <w:color w:val="000000"/>
                <w:sz w:val="20"/>
                <w:szCs w:val="20"/>
              </w:rPr>
            </w:pPr>
            <w:r>
              <w:rPr>
                <w:color w:val="000000"/>
                <w:sz w:val="20"/>
                <w:szCs w:val="20"/>
              </w:rPr>
              <w:t>0.910</w:t>
            </w:r>
          </w:p>
        </w:tc>
        <w:tc>
          <w:tcPr>
            <w:tcW w:w="768" w:type="dxa"/>
            <w:tcBorders>
              <w:top w:val="nil"/>
              <w:left w:val="nil"/>
              <w:bottom w:val="single" w:sz="4" w:space="0" w:color="auto"/>
              <w:right w:val="nil"/>
            </w:tcBorders>
            <w:shd w:val="clear" w:color="auto" w:fill="auto"/>
            <w:noWrap/>
            <w:vAlign w:val="bottom"/>
            <w:hideMark/>
          </w:tcPr>
          <w:p w14:paraId="1B81E5F9" w14:textId="05CB3364"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1605261" w14:textId="2E46AFEF" w:rsidR="00AD4B60" w:rsidRDefault="00AD4B60" w:rsidP="00AD4B60">
            <w:pPr>
              <w:jc w:val="right"/>
              <w:rPr>
                <w:color w:val="000000"/>
                <w:sz w:val="20"/>
                <w:szCs w:val="20"/>
              </w:rPr>
            </w:pPr>
            <w:r>
              <w:rPr>
                <w:color w:val="000000"/>
                <w:sz w:val="20"/>
                <w:szCs w:val="20"/>
              </w:rPr>
              <w:t>0.025</w:t>
            </w:r>
          </w:p>
        </w:tc>
        <w:tc>
          <w:tcPr>
            <w:tcW w:w="768" w:type="dxa"/>
            <w:tcBorders>
              <w:top w:val="nil"/>
              <w:left w:val="nil"/>
              <w:bottom w:val="single" w:sz="4" w:space="0" w:color="auto"/>
              <w:right w:val="nil"/>
            </w:tcBorders>
            <w:shd w:val="clear" w:color="auto" w:fill="auto"/>
            <w:noWrap/>
            <w:vAlign w:val="bottom"/>
            <w:hideMark/>
          </w:tcPr>
          <w:p w14:paraId="474533AC" w14:textId="45FCCB65" w:rsidR="00AD4B60" w:rsidRDefault="00AD4B60" w:rsidP="00AD4B60">
            <w:pPr>
              <w:jc w:val="right"/>
              <w:rPr>
                <w:color w:val="000000"/>
                <w:sz w:val="20"/>
                <w:szCs w:val="20"/>
              </w:rPr>
            </w:pPr>
            <w:r>
              <w:rPr>
                <w:color w:val="000000"/>
                <w:sz w:val="20"/>
                <w:szCs w:val="20"/>
              </w:rPr>
              <w:t>0.843</w:t>
            </w:r>
          </w:p>
        </w:tc>
        <w:tc>
          <w:tcPr>
            <w:tcW w:w="768" w:type="dxa"/>
            <w:tcBorders>
              <w:top w:val="nil"/>
              <w:left w:val="nil"/>
              <w:bottom w:val="single" w:sz="4" w:space="0" w:color="auto"/>
              <w:right w:val="nil"/>
            </w:tcBorders>
            <w:shd w:val="clear" w:color="auto" w:fill="auto"/>
            <w:noWrap/>
            <w:vAlign w:val="bottom"/>
            <w:hideMark/>
          </w:tcPr>
          <w:p w14:paraId="44DC1E8F" w14:textId="240019BF"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B8D1BF4" w14:textId="1C9CD027" w:rsidR="00AD4B60" w:rsidRDefault="00AD4B60" w:rsidP="00AD4B60">
            <w:pPr>
              <w:jc w:val="right"/>
              <w:rPr>
                <w:color w:val="000000"/>
                <w:sz w:val="20"/>
                <w:szCs w:val="20"/>
              </w:rPr>
            </w:pPr>
            <w:r>
              <w:rPr>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7F764ED5" w14:textId="20AE9E09" w:rsidR="00AD4B60" w:rsidRDefault="00AD4B60" w:rsidP="00AD4B60">
            <w:pPr>
              <w:jc w:val="right"/>
              <w:rPr>
                <w:color w:val="000000"/>
                <w:sz w:val="20"/>
                <w:szCs w:val="20"/>
              </w:rPr>
            </w:pPr>
            <w:r>
              <w:rPr>
                <w:color w:val="000000"/>
                <w:sz w:val="20"/>
                <w:szCs w:val="20"/>
              </w:rPr>
              <w:t>0.735</w:t>
            </w:r>
          </w:p>
        </w:tc>
        <w:tc>
          <w:tcPr>
            <w:tcW w:w="768" w:type="dxa"/>
            <w:tcBorders>
              <w:top w:val="nil"/>
              <w:left w:val="nil"/>
              <w:bottom w:val="single" w:sz="4" w:space="0" w:color="auto"/>
              <w:right w:val="nil"/>
            </w:tcBorders>
            <w:shd w:val="clear" w:color="auto" w:fill="auto"/>
            <w:noWrap/>
            <w:vAlign w:val="bottom"/>
            <w:hideMark/>
          </w:tcPr>
          <w:p w14:paraId="78BB307F" w14:textId="7C38EAA1" w:rsidR="00AD4B60" w:rsidRDefault="00AD4B60" w:rsidP="00AD4B60">
            <w:pPr>
              <w:jc w:val="right"/>
              <w:rPr>
                <w:color w:val="000000"/>
                <w:sz w:val="20"/>
                <w:szCs w:val="20"/>
              </w:rPr>
            </w:pPr>
            <w:r>
              <w:rPr>
                <w:color w:val="000000"/>
                <w:sz w:val="20"/>
                <w:szCs w:val="20"/>
              </w:rPr>
              <w:t>0.001</w:t>
            </w:r>
          </w:p>
        </w:tc>
      </w:tr>
      <w:tr w:rsidR="00AD4B60" w14:paraId="7A3FCC53" w14:textId="77777777" w:rsidTr="00885D04">
        <w:trPr>
          <w:trHeight w:val="320"/>
        </w:trPr>
        <w:tc>
          <w:tcPr>
            <w:tcW w:w="1176" w:type="dxa"/>
            <w:tcBorders>
              <w:top w:val="nil"/>
              <w:left w:val="nil"/>
              <w:bottom w:val="nil"/>
              <w:right w:val="nil"/>
            </w:tcBorders>
            <w:shd w:val="clear" w:color="auto" w:fill="auto"/>
            <w:noWrap/>
            <w:vAlign w:val="bottom"/>
            <w:hideMark/>
          </w:tcPr>
          <w:p w14:paraId="00BD9CBE" w14:textId="77777777" w:rsidR="00AD4B60" w:rsidRDefault="00AD4B60" w:rsidP="00AD4B60">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0532C70B" w14:textId="77777777" w:rsidR="00AD4B60" w:rsidRDefault="00AD4B60" w:rsidP="00AD4B6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80AB64F" w14:textId="1FD27B16" w:rsidR="00AD4B60" w:rsidRDefault="00AD4B60" w:rsidP="00AD4B60">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1E00B459" w14:textId="75B4A4F2" w:rsidR="00AD4B60" w:rsidRDefault="00AD4B60" w:rsidP="00AD4B60">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1C138505" w14:textId="6C6E514E"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3E2CFD5" w14:textId="1FA43478" w:rsidR="00AD4B60" w:rsidRDefault="00AD4B60" w:rsidP="00AD4B60">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1F4BEF01" w14:textId="60FE9107" w:rsidR="00AD4B60" w:rsidRDefault="00AD4B60" w:rsidP="00AD4B60">
            <w:pPr>
              <w:jc w:val="right"/>
              <w:rPr>
                <w:color w:val="000000"/>
                <w:sz w:val="20"/>
                <w:szCs w:val="20"/>
              </w:rPr>
            </w:pPr>
            <w:r>
              <w:rPr>
                <w:color w:val="000000"/>
                <w:sz w:val="20"/>
                <w:szCs w:val="20"/>
              </w:rPr>
              <w:t>0.550</w:t>
            </w:r>
          </w:p>
        </w:tc>
        <w:tc>
          <w:tcPr>
            <w:tcW w:w="768" w:type="dxa"/>
            <w:tcBorders>
              <w:top w:val="nil"/>
              <w:left w:val="nil"/>
              <w:bottom w:val="nil"/>
              <w:right w:val="nil"/>
            </w:tcBorders>
            <w:shd w:val="clear" w:color="auto" w:fill="auto"/>
            <w:noWrap/>
            <w:vAlign w:val="bottom"/>
            <w:hideMark/>
          </w:tcPr>
          <w:p w14:paraId="3F1CBDEC" w14:textId="4BF5F1B3"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CAEE84A" w14:textId="602CE214" w:rsidR="00AD4B60" w:rsidRDefault="00AD4B60" w:rsidP="00AD4B6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D124BC0" w14:textId="1344A941" w:rsidR="00AD4B60" w:rsidRDefault="00AD4B60" w:rsidP="00AD4B60">
            <w:pPr>
              <w:jc w:val="right"/>
              <w:rPr>
                <w:color w:val="000000"/>
                <w:sz w:val="20"/>
                <w:szCs w:val="20"/>
              </w:rPr>
            </w:pPr>
            <w:r>
              <w:rPr>
                <w:color w:val="000000"/>
                <w:sz w:val="20"/>
                <w:szCs w:val="20"/>
              </w:rPr>
              <w:t>0.490</w:t>
            </w:r>
          </w:p>
        </w:tc>
        <w:tc>
          <w:tcPr>
            <w:tcW w:w="768" w:type="dxa"/>
            <w:tcBorders>
              <w:top w:val="nil"/>
              <w:left w:val="nil"/>
              <w:bottom w:val="nil"/>
              <w:right w:val="nil"/>
            </w:tcBorders>
            <w:shd w:val="clear" w:color="auto" w:fill="auto"/>
            <w:noWrap/>
            <w:vAlign w:val="bottom"/>
            <w:hideMark/>
          </w:tcPr>
          <w:p w14:paraId="71F10207" w14:textId="2E748FFF"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E7BB5B" w14:textId="46C78C27"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0B72CA" w14:textId="0DB1D268" w:rsidR="00AD4B60" w:rsidRDefault="00AD4B60" w:rsidP="00AD4B60">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603F9C54" w14:textId="5D5CA256"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5D2068" w14:textId="58EEA2B5" w:rsidR="00AD4B60" w:rsidRDefault="00AD4B60" w:rsidP="00AD4B60">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26B0D9C0" w14:textId="4936E1A1" w:rsidR="00AD4B60" w:rsidRDefault="00AD4B60" w:rsidP="00AD4B60">
            <w:pPr>
              <w:jc w:val="right"/>
              <w:rPr>
                <w:color w:val="000000"/>
                <w:sz w:val="20"/>
                <w:szCs w:val="20"/>
              </w:rPr>
            </w:pPr>
            <w:r>
              <w:rPr>
                <w:color w:val="000000"/>
                <w:sz w:val="20"/>
                <w:szCs w:val="20"/>
              </w:rPr>
              <w:t>0.355</w:t>
            </w:r>
          </w:p>
        </w:tc>
        <w:tc>
          <w:tcPr>
            <w:tcW w:w="768" w:type="dxa"/>
            <w:tcBorders>
              <w:top w:val="nil"/>
              <w:left w:val="nil"/>
              <w:bottom w:val="nil"/>
              <w:right w:val="nil"/>
            </w:tcBorders>
            <w:shd w:val="clear" w:color="auto" w:fill="auto"/>
            <w:noWrap/>
            <w:vAlign w:val="bottom"/>
            <w:hideMark/>
          </w:tcPr>
          <w:p w14:paraId="699E556B" w14:textId="52FD6D04" w:rsidR="00AD4B60" w:rsidRDefault="00AD4B60" w:rsidP="00AD4B60">
            <w:pPr>
              <w:jc w:val="right"/>
              <w:rPr>
                <w:color w:val="000000"/>
                <w:sz w:val="20"/>
                <w:szCs w:val="20"/>
              </w:rPr>
            </w:pPr>
            <w:r>
              <w:rPr>
                <w:color w:val="000000"/>
                <w:sz w:val="20"/>
                <w:szCs w:val="20"/>
              </w:rPr>
              <w:t>0.003</w:t>
            </w:r>
          </w:p>
        </w:tc>
      </w:tr>
      <w:tr w:rsidR="00AD4B60" w14:paraId="78D58D28" w14:textId="77777777" w:rsidTr="00885D04">
        <w:trPr>
          <w:trHeight w:val="320"/>
        </w:trPr>
        <w:tc>
          <w:tcPr>
            <w:tcW w:w="1176" w:type="dxa"/>
            <w:tcBorders>
              <w:top w:val="nil"/>
              <w:left w:val="nil"/>
              <w:bottom w:val="nil"/>
              <w:right w:val="nil"/>
            </w:tcBorders>
            <w:shd w:val="clear" w:color="auto" w:fill="auto"/>
            <w:noWrap/>
            <w:vAlign w:val="bottom"/>
            <w:hideMark/>
          </w:tcPr>
          <w:p w14:paraId="7C8E7FEA"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CE2647" w14:textId="77777777" w:rsidR="00AD4B60" w:rsidRDefault="00AD4B60" w:rsidP="00AD4B6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C9F256B" w14:textId="0460A0D6" w:rsidR="00AD4B60" w:rsidRDefault="00AD4B60" w:rsidP="00AD4B6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606B597B" w14:textId="435580E2" w:rsidR="00AD4B60" w:rsidRDefault="00AD4B60" w:rsidP="00AD4B60">
            <w:pPr>
              <w:jc w:val="right"/>
              <w:rPr>
                <w:color w:val="000000"/>
                <w:sz w:val="20"/>
                <w:szCs w:val="20"/>
              </w:rPr>
            </w:pPr>
            <w:r>
              <w:rPr>
                <w:color w:val="000000"/>
                <w:sz w:val="20"/>
                <w:szCs w:val="20"/>
              </w:rPr>
              <w:t>0.610</w:t>
            </w:r>
          </w:p>
        </w:tc>
        <w:tc>
          <w:tcPr>
            <w:tcW w:w="768" w:type="dxa"/>
            <w:tcBorders>
              <w:top w:val="nil"/>
              <w:left w:val="nil"/>
              <w:bottom w:val="nil"/>
              <w:right w:val="nil"/>
            </w:tcBorders>
            <w:shd w:val="clear" w:color="auto" w:fill="auto"/>
            <w:noWrap/>
            <w:vAlign w:val="bottom"/>
            <w:hideMark/>
          </w:tcPr>
          <w:p w14:paraId="1154ABD6" w14:textId="64ECCD24"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850F6A6" w14:textId="2A3F0490"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5132A33" w14:textId="3D03EA1F" w:rsidR="00AD4B60" w:rsidRDefault="00AD4B60" w:rsidP="00AD4B60">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5B46D5F2" w14:textId="69DE6257"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8A8293" w14:textId="3BCC9ACE" w:rsidR="00AD4B60" w:rsidRDefault="00AD4B60" w:rsidP="00AD4B60">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7C01D31" w14:textId="5D22D25D" w:rsidR="00AD4B60" w:rsidRDefault="00AD4B60" w:rsidP="00AD4B60">
            <w:pPr>
              <w:jc w:val="right"/>
              <w:rPr>
                <w:color w:val="000000"/>
                <w:sz w:val="20"/>
                <w:szCs w:val="20"/>
              </w:rPr>
            </w:pPr>
            <w:r>
              <w:rPr>
                <w:color w:val="000000"/>
                <w:sz w:val="20"/>
                <w:szCs w:val="20"/>
              </w:rPr>
              <w:t>0.601</w:t>
            </w:r>
          </w:p>
        </w:tc>
        <w:tc>
          <w:tcPr>
            <w:tcW w:w="768" w:type="dxa"/>
            <w:tcBorders>
              <w:top w:val="nil"/>
              <w:left w:val="nil"/>
              <w:bottom w:val="nil"/>
              <w:right w:val="nil"/>
            </w:tcBorders>
            <w:shd w:val="clear" w:color="auto" w:fill="auto"/>
            <w:noWrap/>
            <w:vAlign w:val="bottom"/>
            <w:hideMark/>
          </w:tcPr>
          <w:p w14:paraId="102CA7D6" w14:textId="75C27CFF"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2F77B7" w14:textId="2205F227" w:rsidR="00AD4B60" w:rsidRDefault="00AD4B60" w:rsidP="00AD4B60">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4105915" w14:textId="5D73C319" w:rsidR="00AD4B60" w:rsidRDefault="00AD4B60" w:rsidP="00AD4B60">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62365DE8" w14:textId="3D8B00E9"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BD80F8" w14:textId="04A8EFBB" w:rsidR="00AD4B60" w:rsidRDefault="00AD4B60" w:rsidP="00AD4B6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3099551" w14:textId="35A29342" w:rsidR="00AD4B60" w:rsidRDefault="00AD4B60" w:rsidP="00AD4B60">
            <w:pPr>
              <w:jc w:val="right"/>
              <w:rPr>
                <w:color w:val="000000"/>
                <w:sz w:val="20"/>
                <w:szCs w:val="20"/>
              </w:rPr>
            </w:pPr>
            <w:r>
              <w:rPr>
                <w:color w:val="000000"/>
                <w:sz w:val="20"/>
                <w:szCs w:val="20"/>
              </w:rPr>
              <w:t>0.844</w:t>
            </w:r>
          </w:p>
        </w:tc>
        <w:tc>
          <w:tcPr>
            <w:tcW w:w="768" w:type="dxa"/>
            <w:tcBorders>
              <w:top w:val="nil"/>
              <w:left w:val="nil"/>
              <w:bottom w:val="nil"/>
              <w:right w:val="nil"/>
            </w:tcBorders>
            <w:shd w:val="clear" w:color="auto" w:fill="auto"/>
            <w:noWrap/>
            <w:vAlign w:val="bottom"/>
            <w:hideMark/>
          </w:tcPr>
          <w:p w14:paraId="11B21B7F" w14:textId="21AF22DA" w:rsidR="00AD4B60" w:rsidRDefault="00AD4B60" w:rsidP="00AD4B60">
            <w:pPr>
              <w:jc w:val="right"/>
              <w:rPr>
                <w:color w:val="000000"/>
                <w:sz w:val="20"/>
                <w:szCs w:val="20"/>
              </w:rPr>
            </w:pPr>
            <w:r>
              <w:rPr>
                <w:color w:val="000000"/>
                <w:sz w:val="20"/>
                <w:szCs w:val="20"/>
              </w:rPr>
              <w:t>0.000</w:t>
            </w:r>
          </w:p>
        </w:tc>
      </w:tr>
      <w:tr w:rsidR="00AD4B60" w14:paraId="7A7B66CD" w14:textId="77777777" w:rsidTr="00885D04">
        <w:trPr>
          <w:trHeight w:val="320"/>
        </w:trPr>
        <w:tc>
          <w:tcPr>
            <w:tcW w:w="1176" w:type="dxa"/>
            <w:tcBorders>
              <w:top w:val="nil"/>
              <w:left w:val="nil"/>
              <w:bottom w:val="nil"/>
              <w:right w:val="nil"/>
            </w:tcBorders>
            <w:shd w:val="clear" w:color="auto" w:fill="auto"/>
            <w:noWrap/>
            <w:vAlign w:val="bottom"/>
            <w:hideMark/>
          </w:tcPr>
          <w:p w14:paraId="33953650"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515B6C" w14:textId="77777777" w:rsidR="00AD4B60" w:rsidRDefault="00AD4B60" w:rsidP="00AD4B6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22D3F90" w14:textId="551CFA0A" w:rsidR="00AD4B60" w:rsidRDefault="00AD4B60" w:rsidP="00AD4B60">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6CEC3E91" w14:textId="526CC9A2" w:rsidR="00AD4B60" w:rsidRDefault="00AD4B60" w:rsidP="00AD4B60">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3E2936EA" w14:textId="78D3ED3D"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E2C7AC3" w14:textId="602CE95D" w:rsidR="00AD4B60" w:rsidRDefault="00AD4B60" w:rsidP="00AD4B60">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1B6E56D2" w14:textId="73CF15D3" w:rsidR="00AD4B60" w:rsidRDefault="00AD4B60" w:rsidP="00AD4B60">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730570CE" w14:textId="11DBE9BE" w:rsidR="00AD4B60" w:rsidRDefault="00AD4B60" w:rsidP="00AD4B6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2C589B8" w14:textId="50C42536" w:rsidR="00AD4B60" w:rsidRDefault="00AD4B60" w:rsidP="00AD4B6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F412D7C" w14:textId="60A421C1" w:rsidR="00AD4B60" w:rsidRDefault="00AD4B60" w:rsidP="00AD4B60">
            <w:pPr>
              <w:jc w:val="right"/>
              <w:rPr>
                <w:color w:val="000000"/>
                <w:sz w:val="20"/>
                <w:szCs w:val="20"/>
              </w:rPr>
            </w:pPr>
            <w:r>
              <w:rPr>
                <w:color w:val="000000"/>
                <w:sz w:val="20"/>
                <w:szCs w:val="20"/>
              </w:rPr>
              <w:t>0.630</w:t>
            </w:r>
          </w:p>
        </w:tc>
        <w:tc>
          <w:tcPr>
            <w:tcW w:w="768" w:type="dxa"/>
            <w:tcBorders>
              <w:top w:val="nil"/>
              <w:left w:val="nil"/>
              <w:bottom w:val="nil"/>
              <w:right w:val="nil"/>
            </w:tcBorders>
            <w:shd w:val="clear" w:color="auto" w:fill="auto"/>
            <w:noWrap/>
            <w:vAlign w:val="bottom"/>
            <w:hideMark/>
          </w:tcPr>
          <w:p w14:paraId="627ADF7D" w14:textId="5A60AA98"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DC9867" w14:textId="6BDD9624" w:rsidR="00AD4B60" w:rsidRDefault="00AD4B60" w:rsidP="00AD4B60">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0FCF60AB" w14:textId="5ED06F13" w:rsidR="00AD4B60" w:rsidRDefault="00AD4B60" w:rsidP="00AD4B60">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21BC2AE8" w14:textId="6DE801E2"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AC6D541" w14:textId="42D0B2E5" w:rsidR="00AD4B60" w:rsidRDefault="00AD4B60" w:rsidP="00AD4B60">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8F009B0" w14:textId="50FB3B0C" w:rsidR="00AD4B60" w:rsidRDefault="00AD4B60" w:rsidP="00AD4B60">
            <w:pPr>
              <w:jc w:val="right"/>
              <w:rPr>
                <w:color w:val="000000"/>
                <w:sz w:val="20"/>
                <w:szCs w:val="20"/>
              </w:rPr>
            </w:pPr>
            <w:r>
              <w:rPr>
                <w:color w:val="000000"/>
                <w:sz w:val="20"/>
                <w:szCs w:val="20"/>
              </w:rPr>
              <w:t>0.603</w:t>
            </w:r>
          </w:p>
        </w:tc>
        <w:tc>
          <w:tcPr>
            <w:tcW w:w="768" w:type="dxa"/>
            <w:tcBorders>
              <w:top w:val="nil"/>
              <w:left w:val="nil"/>
              <w:bottom w:val="nil"/>
              <w:right w:val="nil"/>
            </w:tcBorders>
            <w:shd w:val="clear" w:color="auto" w:fill="auto"/>
            <w:noWrap/>
            <w:vAlign w:val="bottom"/>
            <w:hideMark/>
          </w:tcPr>
          <w:p w14:paraId="3BB06E11" w14:textId="2FD2A319" w:rsidR="00AD4B60" w:rsidRDefault="00AD4B60" w:rsidP="00AD4B60">
            <w:pPr>
              <w:jc w:val="right"/>
              <w:rPr>
                <w:color w:val="000000"/>
                <w:sz w:val="20"/>
                <w:szCs w:val="20"/>
              </w:rPr>
            </w:pPr>
            <w:r>
              <w:rPr>
                <w:color w:val="000000"/>
                <w:sz w:val="20"/>
                <w:szCs w:val="20"/>
              </w:rPr>
              <w:t>0.001</w:t>
            </w:r>
          </w:p>
        </w:tc>
      </w:tr>
      <w:tr w:rsidR="00AD4B60" w14:paraId="64EBC508" w14:textId="77777777" w:rsidTr="00885D04">
        <w:trPr>
          <w:trHeight w:val="320"/>
        </w:trPr>
        <w:tc>
          <w:tcPr>
            <w:tcW w:w="1176" w:type="dxa"/>
            <w:tcBorders>
              <w:top w:val="nil"/>
              <w:left w:val="nil"/>
              <w:bottom w:val="nil"/>
              <w:right w:val="nil"/>
            </w:tcBorders>
            <w:shd w:val="clear" w:color="auto" w:fill="auto"/>
            <w:noWrap/>
            <w:vAlign w:val="bottom"/>
            <w:hideMark/>
          </w:tcPr>
          <w:p w14:paraId="6B23C480"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636506B" w14:textId="77777777" w:rsidR="00AD4B60" w:rsidRDefault="00AD4B60" w:rsidP="00AD4B6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CB804B1" w14:textId="11C2AAF2"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A98E2C0" w14:textId="405BFDD4" w:rsidR="00AD4B60" w:rsidRDefault="00AD4B60" w:rsidP="00AD4B60">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163FC1AF" w14:textId="4D194268"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F61990" w14:textId="180C1B40" w:rsidR="00AD4B60" w:rsidRDefault="00AD4B60" w:rsidP="00AD4B60">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4A3F6BA0" w14:textId="3768C959" w:rsidR="00AD4B60" w:rsidRDefault="00AD4B60" w:rsidP="00AD4B60">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7E10A972" w14:textId="28E3875E"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0416FD3" w14:textId="40D41872" w:rsidR="00AD4B60" w:rsidRPr="003E53EF" w:rsidRDefault="00AD4B60" w:rsidP="00AD4B60">
            <w:pPr>
              <w:jc w:val="right"/>
              <w:rPr>
                <w:b/>
                <w:bCs/>
                <w:color w:val="000000"/>
                <w:sz w:val="20"/>
                <w:szCs w:val="20"/>
              </w:rPr>
            </w:pPr>
            <w:r w:rsidRPr="003E53EF">
              <w:rPr>
                <w:b/>
                <w:bCs/>
                <w:color w:val="000000"/>
                <w:sz w:val="20"/>
                <w:szCs w:val="20"/>
              </w:rPr>
              <w:t>0.089</w:t>
            </w:r>
          </w:p>
        </w:tc>
        <w:tc>
          <w:tcPr>
            <w:tcW w:w="768" w:type="dxa"/>
            <w:tcBorders>
              <w:top w:val="nil"/>
              <w:left w:val="nil"/>
              <w:bottom w:val="nil"/>
              <w:right w:val="nil"/>
            </w:tcBorders>
            <w:shd w:val="clear" w:color="auto" w:fill="auto"/>
            <w:noWrap/>
            <w:vAlign w:val="bottom"/>
            <w:hideMark/>
          </w:tcPr>
          <w:p w14:paraId="496BE3C5" w14:textId="4AC07982" w:rsidR="00AD4B60" w:rsidRPr="003E53EF" w:rsidRDefault="00AD4B60" w:rsidP="00AD4B60">
            <w:pPr>
              <w:jc w:val="right"/>
              <w:rPr>
                <w:b/>
                <w:bCs/>
                <w:color w:val="000000"/>
                <w:sz w:val="20"/>
                <w:szCs w:val="20"/>
              </w:rPr>
            </w:pPr>
            <w:r w:rsidRPr="003E53EF">
              <w:rPr>
                <w:b/>
                <w:bCs/>
                <w:color w:val="000000"/>
                <w:sz w:val="20"/>
                <w:szCs w:val="20"/>
              </w:rPr>
              <w:t>0.028</w:t>
            </w:r>
          </w:p>
        </w:tc>
        <w:tc>
          <w:tcPr>
            <w:tcW w:w="768" w:type="dxa"/>
            <w:tcBorders>
              <w:top w:val="nil"/>
              <w:left w:val="nil"/>
              <w:bottom w:val="nil"/>
              <w:right w:val="nil"/>
            </w:tcBorders>
            <w:shd w:val="clear" w:color="auto" w:fill="auto"/>
            <w:noWrap/>
            <w:vAlign w:val="bottom"/>
            <w:hideMark/>
          </w:tcPr>
          <w:p w14:paraId="4B0DC88B" w14:textId="55DA2916" w:rsidR="00AD4B60" w:rsidRPr="003E53EF" w:rsidRDefault="00AD4B60" w:rsidP="00AD4B60">
            <w:pPr>
              <w:jc w:val="right"/>
              <w:rPr>
                <w:b/>
                <w:bCs/>
                <w:color w:val="000000"/>
                <w:sz w:val="20"/>
                <w:szCs w:val="20"/>
              </w:rPr>
            </w:pPr>
            <w:r w:rsidRPr="003E53EF">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6AD35D60" w14:textId="6590199E" w:rsidR="00AD4B60" w:rsidRDefault="00AD4B60" w:rsidP="00AD4B6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9B226C2" w14:textId="2DBB0247" w:rsidR="00AD4B60" w:rsidRDefault="00AD4B60" w:rsidP="00AD4B60">
            <w:pPr>
              <w:jc w:val="right"/>
              <w:rPr>
                <w:color w:val="000000"/>
                <w:sz w:val="20"/>
                <w:szCs w:val="20"/>
              </w:rPr>
            </w:pPr>
            <w:r>
              <w:rPr>
                <w:color w:val="000000"/>
                <w:sz w:val="20"/>
                <w:szCs w:val="20"/>
              </w:rPr>
              <w:t>0.676</w:t>
            </w:r>
          </w:p>
        </w:tc>
        <w:tc>
          <w:tcPr>
            <w:tcW w:w="768" w:type="dxa"/>
            <w:tcBorders>
              <w:top w:val="nil"/>
              <w:left w:val="nil"/>
              <w:bottom w:val="nil"/>
              <w:right w:val="nil"/>
            </w:tcBorders>
            <w:shd w:val="clear" w:color="auto" w:fill="auto"/>
            <w:noWrap/>
            <w:vAlign w:val="bottom"/>
            <w:hideMark/>
          </w:tcPr>
          <w:p w14:paraId="5285B61E" w14:textId="64426244"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EA88E56" w14:textId="37CE2AA6" w:rsidR="00AD4B60" w:rsidRDefault="00AD4B60" w:rsidP="00AD4B60">
            <w:pPr>
              <w:jc w:val="right"/>
              <w:rPr>
                <w:b/>
                <w:bCs/>
                <w:color w:val="000000"/>
                <w:sz w:val="20"/>
                <w:szCs w:val="20"/>
              </w:rPr>
            </w:pPr>
            <w:r>
              <w:rPr>
                <w:b/>
                <w:bCs/>
                <w:color w:val="000000"/>
                <w:sz w:val="20"/>
                <w:szCs w:val="20"/>
              </w:rPr>
              <w:t>-0.124</w:t>
            </w:r>
          </w:p>
        </w:tc>
        <w:tc>
          <w:tcPr>
            <w:tcW w:w="768" w:type="dxa"/>
            <w:tcBorders>
              <w:top w:val="nil"/>
              <w:left w:val="nil"/>
              <w:bottom w:val="nil"/>
              <w:right w:val="nil"/>
            </w:tcBorders>
            <w:shd w:val="clear" w:color="auto" w:fill="auto"/>
            <w:noWrap/>
            <w:vAlign w:val="bottom"/>
            <w:hideMark/>
          </w:tcPr>
          <w:p w14:paraId="53697998" w14:textId="6DD3A2A5" w:rsidR="00AD4B60" w:rsidRDefault="00AD4B60" w:rsidP="00AD4B60">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106A9BE8" w14:textId="66F3BA89" w:rsidR="00AD4B60" w:rsidRDefault="00AD4B60" w:rsidP="00AD4B60">
            <w:pPr>
              <w:jc w:val="right"/>
              <w:rPr>
                <w:color w:val="000000"/>
                <w:sz w:val="20"/>
                <w:szCs w:val="20"/>
              </w:rPr>
            </w:pPr>
            <w:r>
              <w:rPr>
                <w:b/>
                <w:bCs/>
                <w:color w:val="000000"/>
                <w:sz w:val="20"/>
                <w:szCs w:val="20"/>
              </w:rPr>
              <w:t>0.015</w:t>
            </w:r>
          </w:p>
        </w:tc>
      </w:tr>
      <w:tr w:rsidR="00AD4B60" w14:paraId="5C4E3945" w14:textId="77777777" w:rsidTr="00885D04">
        <w:trPr>
          <w:trHeight w:val="320"/>
        </w:trPr>
        <w:tc>
          <w:tcPr>
            <w:tcW w:w="1176" w:type="dxa"/>
            <w:tcBorders>
              <w:top w:val="nil"/>
              <w:left w:val="nil"/>
              <w:bottom w:val="nil"/>
              <w:right w:val="nil"/>
            </w:tcBorders>
            <w:shd w:val="clear" w:color="auto" w:fill="auto"/>
            <w:noWrap/>
            <w:vAlign w:val="bottom"/>
            <w:hideMark/>
          </w:tcPr>
          <w:p w14:paraId="43F2B51F"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1B51B5" w14:textId="77777777" w:rsidR="00AD4B60" w:rsidRDefault="00AD4B60" w:rsidP="00AD4B6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01A78BA" w14:textId="77A6EA57"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2964798" w14:textId="110F353F" w:rsidR="00AD4B60" w:rsidRDefault="00AD4B60" w:rsidP="00AD4B60">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4A456BC2" w14:textId="6683C776"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43CDA3" w14:textId="42BF7FA7"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834D017" w14:textId="20464F27" w:rsidR="00AD4B60" w:rsidRDefault="00AD4B60" w:rsidP="00AD4B60">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3D1FCF15" w14:textId="63F69B7F"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583279" w14:textId="66CAEF7E" w:rsidR="00AD4B60" w:rsidRDefault="00AD4B60" w:rsidP="00AD4B60">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A94F744" w14:textId="0996D0C3" w:rsidR="00AD4B60" w:rsidRDefault="00AD4B60" w:rsidP="00AD4B60">
            <w:pPr>
              <w:jc w:val="right"/>
              <w:rPr>
                <w:color w:val="000000"/>
                <w:sz w:val="20"/>
                <w:szCs w:val="20"/>
              </w:rPr>
            </w:pPr>
            <w:r>
              <w:rPr>
                <w:color w:val="000000"/>
                <w:sz w:val="20"/>
                <w:szCs w:val="20"/>
              </w:rPr>
              <w:t>0.490</w:t>
            </w:r>
          </w:p>
        </w:tc>
        <w:tc>
          <w:tcPr>
            <w:tcW w:w="768" w:type="dxa"/>
            <w:tcBorders>
              <w:top w:val="nil"/>
              <w:left w:val="nil"/>
              <w:bottom w:val="nil"/>
              <w:right w:val="nil"/>
            </w:tcBorders>
            <w:shd w:val="clear" w:color="auto" w:fill="auto"/>
            <w:noWrap/>
            <w:vAlign w:val="bottom"/>
            <w:hideMark/>
          </w:tcPr>
          <w:p w14:paraId="7FDEC517" w14:textId="4465BDCB"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03BF7F2" w14:textId="37955869" w:rsidR="00AD4B60" w:rsidRDefault="00AD4B60" w:rsidP="00AD4B6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7A3CAAB" w14:textId="3DD931A8" w:rsidR="00AD4B60" w:rsidRDefault="00AD4B60" w:rsidP="00AD4B60">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21A2CE1A" w14:textId="114409F8"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C975F6" w14:textId="61E1DAEF"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4BF5940" w14:textId="77F68225" w:rsidR="00AD4B60" w:rsidRDefault="00AD4B60" w:rsidP="00AD4B60">
            <w:pPr>
              <w:jc w:val="right"/>
              <w:rPr>
                <w:color w:val="000000"/>
                <w:sz w:val="20"/>
                <w:szCs w:val="20"/>
              </w:rPr>
            </w:pPr>
            <w:r>
              <w:rPr>
                <w:color w:val="000000"/>
                <w:sz w:val="20"/>
                <w:szCs w:val="20"/>
              </w:rPr>
              <w:t>0.844</w:t>
            </w:r>
          </w:p>
        </w:tc>
        <w:tc>
          <w:tcPr>
            <w:tcW w:w="768" w:type="dxa"/>
            <w:tcBorders>
              <w:top w:val="nil"/>
              <w:left w:val="nil"/>
              <w:bottom w:val="nil"/>
              <w:right w:val="nil"/>
            </w:tcBorders>
            <w:shd w:val="clear" w:color="auto" w:fill="auto"/>
            <w:noWrap/>
            <w:vAlign w:val="bottom"/>
            <w:hideMark/>
          </w:tcPr>
          <w:p w14:paraId="2BCFC1E5" w14:textId="5C7D6E89" w:rsidR="00AD4B60" w:rsidRDefault="00AD4B60" w:rsidP="00AD4B60">
            <w:pPr>
              <w:jc w:val="right"/>
              <w:rPr>
                <w:color w:val="000000"/>
                <w:sz w:val="20"/>
                <w:szCs w:val="20"/>
              </w:rPr>
            </w:pPr>
            <w:r>
              <w:rPr>
                <w:color w:val="000000"/>
                <w:sz w:val="20"/>
                <w:szCs w:val="20"/>
              </w:rPr>
              <w:t>0.000</w:t>
            </w:r>
          </w:p>
        </w:tc>
      </w:tr>
      <w:tr w:rsidR="00AD4B60" w14:paraId="4CB24A8B" w14:textId="77777777" w:rsidTr="00885D04">
        <w:trPr>
          <w:trHeight w:val="320"/>
        </w:trPr>
        <w:tc>
          <w:tcPr>
            <w:tcW w:w="1176" w:type="dxa"/>
            <w:tcBorders>
              <w:top w:val="nil"/>
              <w:left w:val="nil"/>
              <w:bottom w:val="nil"/>
              <w:right w:val="nil"/>
            </w:tcBorders>
            <w:shd w:val="clear" w:color="auto" w:fill="auto"/>
            <w:noWrap/>
            <w:vAlign w:val="bottom"/>
            <w:hideMark/>
          </w:tcPr>
          <w:p w14:paraId="3FF7E60E"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4186B2" w14:textId="77777777" w:rsidR="00AD4B60" w:rsidRDefault="00AD4B60" w:rsidP="00AD4B6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0D92BD1" w14:textId="35532DBC" w:rsidR="00AD4B60" w:rsidRDefault="00AD4B60" w:rsidP="00AD4B60">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2672998A" w14:textId="656DE109" w:rsidR="00AD4B60" w:rsidRDefault="00AD4B60" w:rsidP="00AD4B60">
            <w:pPr>
              <w:jc w:val="right"/>
              <w:rPr>
                <w:color w:val="000000"/>
                <w:sz w:val="20"/>
                <w:szCs w:val="20"/>
              </w:rPr>
            </w:pPr>
            <w:r>
              <w:rPr>
                <w:color w:val="000000"/>
                <w:sz w:val="20"/>
                <w:szCs w:val="20"/>
              </w:rPr>
              <w:t>0.523</w:t>
            </w:r>
          </w:p>
        </w:tc>
        <w:tc>
          <w:tcPr>
            <w:tcW w:w="768" w:type="dxa"/>
            <w:tcBorders>
              <w:top w:val="nil"/>
              <w:left w:val="nil"/>
              <w:bottom w:val="nil"/>
              <w:right w:val="nil"/>
            </w:tcBorders>
            <w:shd w:val="clear" w:color="auto" w:fill="auto"/>
            <w:noWrap/>
            <w:vAlign w:val="bottom"/>
            <w:hideMark/>
          </w:tcPr>
          <w:p w14:paraId="157907D9" w14:textId="3166D7B5"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F2EBE19" w14:textId="074F7A70" w:rsidR="00AD4B60" w:rsidRDefault="00AD4B60" w:rsidP="00AD4B60">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F3FB85D" w14:textId="455C566C" w:rsidR="00AD4B60" w:rsidRDefault="00AD4B60" w:rsidP="00AD4B60">
            <w:pPr>
              <w:jc w:val="right"/>
              <w:rPr>
                <w:color w:val="000000"/>
                <w:sz w:val="20"/>
                <w:szCs w:val="20"/>
              </w:rPr>
            </w:pPr>
            <w:r>
              <w:rPr>
                <w:color w:val="000000"/>
                <w:sz w:val="20"/>
                <w:szCs w:val="20"/>
              </w:rPr>
              <w:t>0.550</w:t>
            </w:r>
          </w:p>
        </w:tc>
        <w:tc>
          <w:tcPr>
            <w:tcW w:w="768" w:type="dxa"/>
            <w:tcBorders>
              <w:top w:val="nil"/>
              <w:left w:val="nil"/>
              <w:bottom w:val="nil"/>
              <w:right w:val="nil"/>
            </w:tcBorders>
            <w:shd w:val="clear" w:color="auto" w:fill="auto"/>
            <w:noWrap/>
            <w:vAlign w:val="bottom"/>
            <w:hideMark/>
          </w:tcPr>
          <w:p w14:paraId="6A907989" w14:textId="0E4B9CF3"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936DFC" w14:textId="367CB26B" w:rsidR="00AD4B60" w:rsidRDefault="00AD4B60" w:rsidP="00AD4B60">
            <w:pPr>
              <w:jc w:val="right"/>
              <w:rPr>
                <w:b/>
                <w:bCs/>
                <w:color w:val="000000"/>
                <w:sz w:val="20"/>
                <w:szCs w:val="20"/>
              </w:rPr>
            </w:pPr>
            <w:r>
              <w:rPr>
                <w:b/>
                <w:bCs/>
                <w:color w:val="000000"/>
                <w:sz w:val="20"/>
                <w:szCs w:val="20"/>
              </w:rPr>
              <w:t>0.114</w:t>
            </w:r>
          </w:p>
        </w:tc>
        <w:tc>
          <w:tcPr>
            <w:tcW w:w="768" w:type="dxa"/>
            <w:tcBorders>
              <w:top w:val="nil"/>
              <w:left w:val="nil"/>
              <w:bottom w:val="nil"/>
              <w:right w:val="nil"/>
            </w:tcBorders>
            <w:shd w:val="clear" w:color="auto" w:fill="auto"/>
            <w:noWrap/>
            <w:vAlign w:val="bottom"/>
            <w:hideMark/>
          </w:tcPr>
          <w:p w14:paraId="09EF47FF" w14:textId="6161CC5C" w:rsidR="00AD4B60" w:rsidRDefault="00AD4B60" w:rsidP="00AD4B60">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3BA9C73F" w14:textId="47A5A4A1" w:rsidR="00AD4B60" w:rsidRDefault="00AD4B60" w:rsidP="00AD4B60">
            <w:pPr>
              <w:jc w:val="right"/>
              <w:rPr>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7B4D8BE8" w14:textId="5C38F903" w:rsidR="00AD4B60" w:rsidRDefault="00AD4B60" w:rsidP="00AD4B6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8FD432F" w14:textId="2BD72B5A" w:rsidR="00AD4B60" w:rsidRDefault="00AD4B60" w:rsidP="00AD4B60">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57073E4F" w14:textId="37ECDD07"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EE4D8A" w14:textId="2B3D8AF7" w:rsidR="00AD4B60" w:rsidRDefault="00AD4B60" w:rsidP="00AD4B60">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1021961B" w14:textId="36F7471D" w:rsidR="00AD4B60" w:rsidRDefault="00AD4B60" w:rsidP="00AD4B60">
            <w:pPr>
              <w:jc w:val="right"/>
              <w:rPr>
                <w:color w:val="000000"/>
                <w:sz w:val="20"/>
                <w:szCs w:val="20"/>
              </w:rPr>
            </w:pPr>
            <w:r>
              <w:rPr>
                <w:color w:val="000000"/>
                <w:sz w:val="20"/>
                <w:szCs w:val="20"/>
              </w:rPr>
              <w:t>0.355</w:t>
            </w:r>
          </w:p>
        </w:tc>
        <w:tc>
          <w:tcPr>
            <w:tcW w:w="768" w:type="dxa"/>
            <w:tcBorders>
              <w:top w:val="nil"/>
              <w:left w:val="nil"/>
              <w:bottom w:val="nil"/>
              <w:right w:val="nil"/>
            </w:tcBorders>
            <w:shd w:val="clear" w:color="auto" w:fill="auto"/>
            <w:noWrap/>
            <w:vAlign w:val="bottom"/>
            <w:hideMark/>
          </w:tcPr>
          <w:p w14:paraId="73883DA8" w14:textId="2E7A9BFF" w:rsidR="00AD4B60" w:rsidRDefault="00AD4B60" w:rsidP="00AD4B60">
            <w:pPr>
              <w:jc w:val="right"/>
              <w:rPr>
                <w:color w:val="000000"/>
                <w:sz w:val="20"/>
                <w:szCs w:val="20"/>
              </w:rPr>
            </w:pPr>
            <w:r>
              <w:rPr>
                <w:color w:val="000000"/>
                <w:sz w:val="20"/>
                <w:szCs w:val="20"/>
              </w:rPr>
              <w:t>0.004</w:t>
            </w:r>
          </w:p>
        </w:tc>
      </w:tr>
      <w:tr w:rsidR="00AD4B60" w14:paraId="4589072D" w14:textId="77777777" w:rsidTr="00885D04">
        <w:trPr>
          <w:trHeight w:val="320"/>
        </w:trPr>
        <w:tc>
          <w:tcPr>
            <w:tcW w:w="1176" w:type="dxa"/>
            <w:tcBorders>
              <w:top w:val="nil"/>
              <w:left w:val="nil"/>
              <w:bottom w:val="nil"/>
              <w:right w:val="nil"/>
            </w:tcBorders>
            <w:shd w:val="clear" w:color="auto" w:fill="auto"/>
            <w:noWrap/>
            <w:vAlign w:val="bottom"/>
            <w:hideMark/>
          </w:tcPr>
          <w:p w14:paraId="6EE2A1B7"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62E6EA" w14:textId="77777777" w:rsidR="00AD4B60" w:rsidRDefault="00AD4B60" w:rsidP="00AD4B6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841552E" w14:textId="3703F0E9"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D6DAC0F" w14:textId="3A2729C2" w:rsidR="00AD4B60" w:rsidRDefault="00AD4B60" w:rsidP="00AD4B60">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736EC072" w14:textId="5A0CB15B"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D9BF22" w14:textId="07ABA242"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E8686F2" w14:textId="69C56208" w:rsidR="00AD4B60" w:rsidRDefault="00AD4B60" w:rsidP="00AD4B60">
            <w:pPr>
              <w:jc w:val="right"/>
              <w:rPr>
                <w:color w:val="000000"/>
                <w:sz w:val="20"/>
                <w:szCs w:val="20"/>
              </w:rPr>
            </w:pPr>
            <w:r>
              <w:rPr>
                <w:color w:val="000000"/>
                <w:sz w:val="20"/>
                <w:szCs w:val="20"/>
              </w:rPr>
              <w:t>0.943</w:t>
            </w:r>
          </w:p>
        </w:tc>
        <w:tc>
          <w:tcPr>
            <w:tcW w:w="768" w:type="dxa"/>
            <w:tcBorders>
              <w:top w:val="nil"/>
              <w:left w:val="nil"/>
              <w:bottom w:val="nil"/>
              <w:right w:val="nil"/>
            </w:tcBorders>
            <w:shd w:val="clear" w:color="auto" w:fill="auto"/>
            <w:noWrap/>
            <w:vAlign w:val="bottom"/>
            <w:hideMark/>
          </w:tcPr>
          <w:p w14:paraId="59F3B4AD" w14:textId="6ACCA31F"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67249D" w14:textId="19CC6135" w:rsidR="00AD4B60" w:rsidRDefault="00AD4B60" w:rsidP="00AD4B60">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10F49E17" w14:textId="06017584" w:rsidR="00AD4B60" w:rsidRDefault="00AD4B60" w:rsidP="00AD4B60">
            <w:pPr>
              <w:jc w:val="right"/>
              <w:rPr>
                <w:color w:val="000000"/>
                <w:sz w:val="20"/>
                <w:szCs w:val="20"/>
              </w:rPr>
            </w:pPr>
            <w:r>
              <w:rPr>
                <w:color w:val="000000"/>
                <w:sz w:val="20"/>
                <w:szCs w:val="20"/>
              </w:rPr>
              <w:t>0.495</w:t>
            </w:r>
          </w:p>
        </w:tc>
        <w:tc>
          <w:tcPr>
            <w:tcW w:w="768" w:type="dxa"/>
            <w:tcBorders>
              <w:top w:val="nil"/>
              <w:left w:val="nil"/>
              <w:bottom w:val="nil"/>
              <w:right w:val="nil"/>
            </w:tcBorders>
            <w:shd w:val="clear" w:color="auto" w:fill="auto"/>
            <w:noWrap/>
            <w:vAlign w:val="bottom"/>
            <w:hideMark/>
          </w:tcPr>
          <w:p w14:paraId="13617FFF" w14:textId="5C338AD5"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E78107D" w14:textId="08857A40" w:rsidR="00AD4B60" w:rsidRDefault="00AD4B60" w:rsidP="00AD4B6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F1D3D62" w14:textId="00FFF58F" w:rsidR="00AD4B60" w:rsidRDefault="00AD4B60" w:rsidP="00AD4B60">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1FC8DEBA" w14:textId="144FB51E"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8153E70" w14:textId="55162EDF" w:rsidR="00AD4B60" w:rsidRDefault="00AD4B60" w:rsidP="00AD4B60">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20949B8" w14:textId="5C1AB058" w:rsidR="00AD4B60" w:rsidRDefault="00AD4B60" w:rsidP="00AD4B60">
            <w:pPr>
              <w:jc w:val="right"/>
              <w:rPr>
                <w:color w:val="000000"/>
                <w:sz w:val="20"/>
                <w:szCs w:val="20"/>
              </w:rPr>
            </w:pPr>
            <w:r>
              <w:rPr>
                <w:color w:val="000000"/>
                <w:sz w:val="20"/>
                <w:szCs w:val="20"/>
              </w:rPr>
              <w:t>0.491</w:t>
            </w:r>
          </w:p>
        </w:tc>
        <w:tc>
          <w:tcPr>
            <w:tcW w:w="768" w:type="dxa"/>
            <w:tcBorders>
              <w:top w:val="nil"/>
              <w:left w:val="nil"/>
              <w:bottom w:val="nil"/>
              <w:right w:val="nil"/>
            </w:tcBorders>
            <w:shd w:val="clear" w:color="auto" w:fill="auto"/>
            <w:noWrap/>
            <w:vAlign w:val="bottom"/>
            <w:hideMark/>
          </w:tcPr>
          <w:p w14:paraId="195DFB93" w14:textId="298461B6" w:rsidR="00AD4B60" w:rsidRDefault="00AD4B60" w:rsidP="00AD4B60">
            <w:pPr>
              <w:jc w:val="right"/>
              <w:rPr>
                <w:color w:val="000000"/>
                <w:sz w:val="20"/>
                <w:szCs w:val="20"/>
              </w:rPr>
            </w:pPr>
            <w:r>
              <w:rPr>
                <w:color w:val="000000"/>
                <w:sz w:val="20"/>
                <w:szCs w:val="20"/>
              </w:rPr>
              <w:t>0.002</w:t>
            </w:r>
          </w:p>
        </w:tc>
      </w:tr>
      <w:tr w:rsidR="00AD4B60" w14:paraId="1DA269DC" w14:textId="77777777" w:rsidTr="00885D04">
        <w:trPr>
          <w:trHeight w:val="320"/>
        </w:trPr>
        <w:tc>
          <w:tcPr>
            <w:tcW w:w="1176" w:type="dxa"/>
            <w:tcBorders>
              <w:top w:val="nil"/>
              <w:left w:val="nil"/>
              <w:bottom w:val="single" w:sz="4" w:space="0" w:color="auto"/>
              <w:right w:val="nil"/>
            </w:tcBorders>
            <w:shd w:val="clear" w:color="auto" w:fill="auto"/>
            <w:noWrap/>
            <w:vAlign w:val="bottom"/>
            <w:hideMark/>
          </w:tcPr>
          <w:p w14:paraId="34E51BD8" w14:textId="77777777" w:rsidR="00AD4B60" w:rsidRDefault="00AD4B60" w:rsidP="00AD4B6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46A06C8" w14:textId="77777777" w:rsidR="00AD4B60" w:rsidRDefault="00AD4B60" w:rsidP="00AD4B6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2931448" w14:textId="20BDF6BF" w:rsidR="00AD4B60" w:rsidRDefault="00AD4B60" w:rsidP="00AD4B60">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5F7DB7AA" w14:textId="1D317125" w:rsidR="00AD4B60" w:rsidRDefault="00AD4B60" w:rsidP="00AD4B60">
            <w:pPr>
              <w:jc w:val="right"/>
              <w:rPr>
                <w:color w:val="000000"/>
                <w:sz w:val="20"/>
                <w:szCs w:val="20"/>
              </w:rPr>
            </w:pPr>
            <w:r>
              <w:rPr>
                <w:color w:val="000000"/>
                <w:sz w:val="20"/>
                <w:szCs w:val="20"/>
              </w:rPr>
              <w:t>0.977</w:t>
            </w:r>
          </w:p>
        </w:tc>
        <w:tc>
          <w:tcPr>
            <w:tcW w:w="768" w:type="dxa"/>
            <w:tcBorders>
              <w:top w:val="nil"/>
              <w:left w:val="nil"/>
              <w:bottom w:val="single" w:sz="4" w:space="0" w:color="auto"/>
              <w:right w:val="nil"/>
            </w:tcBorders>
            <w:shd w:val="clear" w:color="auto" w:fill="auto"/>
            <w:noWrap/>
            <w:vAlign w:val="bottom"/>
            <w:hideMark/>
          </w:tcPr>
          <w:p w14:paraId="74FBE6B9" w14:textId="61D8C151"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ECF429C" w14:textId="03B599BD" w:rsidR="00AD4B60" w:rsidRDefault="00AD4B60" w:rsidP="00AD4B60">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703B612A" w14:textId="319868B3" w:rsidR="00AD4B60" w:rsidRDefault="00AD4B60" w:rsidP="00AD4B60">
            <w:pPr>
              <w:jc w:val="right"/>
              <w:rPr>
                <w:color w:val="000000"/>
                <w:sz w:val="20"/>
                <w:szCs w:val="20"/>
              </w:rPr>
            </w:pPr>
            <w:r>
              <w:rPr>
                <w:color w:val="000000"/>
                <w:sz w:val="20"/>
                <w:szCs w:val="20"/>
              </w:rPr>
              <w:t>0.550</w:t>
            </w:r>
          </w:p>
        </w:tc>
        <w:tc>
          <w:tcPr>
            <w:tcW w:w="768" w:type="dxa"/>
            <w:tcBorders>
              <w:top w:val="nil"/>
              <w:left w:val="nil"/>
              <w:bottom w:val="single" w:sz="4" w:space="0" w:color="auto"/>
              <w:right w:val="nil"/>
            </w:tcBorders>
            <w:shd w:val="clear" w:color="auto" w:fill="auto"/>
            <w:noWrap/>
            <w:vAlign w:val="bottom"/>
            <w:hideMark/>
          </w:tcPr>
          <w:p w14:paraId="310B8A42" w14:textId="67F90CAF"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2C3E583" w14:textId="3AEB7725" w:rsidR="00AD4B60" w:rsidRDefault="00AD4B60" w:rsidP="00AD4B60">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50489CC5" w14:textId="0C9711D1" w:rsidR="00AD4B60" w:rsidRDefault="00AD4B60" w:rsidP="00AD4B60">
            <w:pPr>
              <w:jc w:val="right"/>
              <w:rPr>
                <w:color w:val="000000"/>
                <w:sz w:val="20"/>
                <w:szCs w:val="20"/>
              </w:rPr>
            </w:pPr>
            <w:r>
              <w:rPr>
                <w:color w:val="000000"/>
                <w:sz w:val="20"/>
                <w:szCs w:val="20"/>
              </w:rPr>
              <w:t>0.445</w:t>
            </w:r>
          </w:p>
        </w:tc>
        <w:tc>
          <w:tcPr>
            <w:tcW w:w="768" w:type="dxa"/>
            <w:tcBorders>
              <w:top w:val="nil"/>
              <w:left w:val="nil"/>
              <w:bottom w:val="single" w:sz="4" w:space="0" w:color="auto"/>
              <w:right w:val="nil"/>
            </w:tcBorders>
            <w:shd w:val="clear" w:color="auto" w:fill="auto"/>
            <w:noWrap/>
            <w:vAlign w:val="bottom"/>
            <w:hideMark/>
          </w:tcPr>
          <w:p w14:paraId="0CB304AA" w14:textId="1D715A8A"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AC6B218" w14:textId="5F7AC990" w:rsidR="00AD4B60" w:rsidRDefault="00AD4B60" w:rsidP="00AD4B60">
            <w:pPr>
              <w:jc w:val="right"/>
              <w:rPr>
                <w:color w:val="000000"/>
                <w:sz w:val="20"/>
                <w:szCs w:val="20"/>
              </w:rPr>
            </w:pPr>
            <w:r>
              <w:rPr>
                <w:color w:val="000000"/>
                <w:sz w:val="20"/>
                <w:szCs w:val="20"/>
              </w:rPr>
              <w:t>-0.057</w:t>
            </w:r>
          </w:p>
        </w:tc>
        <w:tc>
          <w:tcPr>
            <w:tcW w:w="768" w:type="dxa"/>
            <w:tcBorders>
              <w:top w:val="nil"/>
              <w:left w:val="nil"/>
              <w:bottom w:val="single" w:sz="4" w:space="0" w:color="auto"/>
              <w:right w:val="nil"/>
            </w:tcBorders>
            <w:shd w:val="clear" w:color="auto" w:fill="auto"/>
            <w:noWrap/>
            <w:vAlign w:val="bottom"/>
            <w:hideMark/>
          </w:tcPr>
          <w:p w14:paraId="43AB0F5F" w14:textId="2CC8B663" w:rsidR="00AD4B60" w:rsidRDefault="00AD4B60" w:rsidP="00AD4B60">
            <w:pPr>
              <w:jc w:val="right"/>
              <w:rPr>
                <w:color w:val="000000"/>
                <w:sz w:val="20"/>
                <w:szCs w:val="20"/>
              </w:rPr>
            </w:pPr>
            <w:r>
              <w:rPr>
                <w:color w:val="000000"/>
                <w:sz w:val="20"/>
                <w:szCs w:val="20"/>
              </w:rPr>
              <w:t>0.676</w:t>
            </w:r>
          </w:p>
        </w:tc>
        <w:tc>
          <w:tcPr>
            <w:tcW w:w="768" w:type="dxa"/>
            <w:tcBorders>
              <w:top w:val="nil"/>
              <w:left w:val="nil"/>
              <w:bottom w:val="single" w:sz="4" w:space="0" w:color="auto"/>
              <w:right w:val="nil"/>
            </w:tcBorders>
            <w:shd w:val="clear" w:color="auto" w:fill="auto"/>
            <w:noWrap/>
            <w:vAlign w:val="bottom"/>
            <w:hideMark/>
          </w:tcPr>
          <w:p w14:paraId="14798263" w14:textId="2EE78F03"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148BBF66" w14:textId="627E55D2" w:rsidR="00AD4B60" w:rsidRDefault="00AD4B60" w:rsidP="00AD4B60">
            <w:pPr>
              <w:jc w:val="right"/>
              <w:rPr>
                <w:color w:val="000000"/>
                <w:sz w:val="20"/>
                <w:szCs w:val="20"/>
              </w:rPr>
            </w:pPr>
            <w:r>
              <w:rPr>
                <w:color w:val="000000"/>
                <w:sz w:val="20"/>
                <w:szCs w:val="20"/>
              </w:rPr>
              <w:t>0.058</w:t>
            </w:r>
          </w:p>
        </w:tc>
        <w:tc>
          <w:tcPr>
            <w:tcW w:w="768" w:type="dxa"/>
            <w:tcBorders>
              <w:top w:val="nil"/>
              <w:left w:val="nil"/>
              <w:bottom w:val="single" w:sz="4" w:space="0" w:color="auto"/>
              <w:right w:val="nil"/>
            </w:tcBorders>
            <w:shd w:val="clear" w:color="auto" w:fill="auto"/>
            <w:noWrap/>
            <w:vAlign w:val="bottom"/>
            <w:hideMark/>
          </w:tcPr>
          <w:p w14:paraId="503A5EB5" w14:textId="14BEF9DA" w:rsidR="00AD4B60" w:rsidRDefault="00AD4B60" w:rsidP="00AD4B60">
            <w:pPr>
              <w:jc w:val="right"/>
              <w:rPr>
                <w:color w:val="000000"/>
                <w:sz w:val="20"/>
                <w:szCs w:val="20"/>
              </w:rPr>
            </w:pPr>
            <w:r>
              <w:rPr>
                <w:color w:val="000000"/>
                <w:sz w:val="20"/>
                <w:szCs w:val="20"/>
              </w:rPr>
              <w:t>0.362</w:t>
            </w:r>
          </w:p>
        </w:tc>
        <w:tc>
          <w:tcPr>
            <w:tcW w:w="768" w:type="dxa"/>
            <w:tcBorders>
              <w:top w:val="nil"/>
              <w:left w:val="nil"/>
              <w:bottom w:val="single" w:sz="4" w:space="0" w:color="auto"/>
              <w:right w:val="nil"/>
            </w:tcBorders>
            <w:shd w:val="clear" w:color="auto" w:fill="auto"/>
            <w:noWrap/>
            <w:vAlign w:val="bottom"/>
            <w:hideMark/>
          </w:tcPr>
          <w:p w14:paraId="6A501780" w14:textId="457EBD9B" w:rsidR="00AD4B60" w:rsidRDefault="00AD4B60" w:rsidP="00AD4B60">
            <w:pPr>
              <w:jc w:val="right"/>
              <w:rPr>
                <w:color w:val="000000"/>
                <w:sz w:val="20"/>
                <w:szCs w:val="20"/>
              </w:rPr>
            </w:pPr>
            <w:r>
              <w:rPr>
                <w:color w:val="000000"/>
                <w:sz w:val="20"/>
                <w:szCs w:val="20"/>
              </w:rPr>
              <w:t>0.003</w:t>
            </w:r>
          </w:p>
        </w:tc>
      </w:tr>
      <w:tr w:rsidR="00AD4B60" w14:paraId="70791525" w14:textId="77777777" w:rsidTr="00885D04">
        <w:trPr>
          <w:trHeight w:val="320"/>
        </w:trPr>
        <w:tc>
          <w:tcPr>
            <w:tcW w:w="1176" w:type="dxa"/>
            <w:tcBorders>
              <w:top w:val="nil"/>
              <w:left w:val="nil"/>
              <w:bottom w:val="nil"/>
              <w:right w:val="nil"/>
            </w:tcBorders>
            <w:shd w:val="clear" w:color="auto" w:fill="auto"/>
            <w:noWrap/>
            <w:vAlign w:val="bottom"/>
            <w:hideMark/>
          </w:tcPr>
          <w:p w14:paraId="7AC3E706" w14:textId="77777777" w:rsidR="00AD4B60" w:rsidRDefault="00AD4B60" w:rsidP="00AD4B60">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4882C3AB" w14:textId="77777777" w:rsidR="00AD4B60" w:rsidRDefault="00AD4B60" w:rsidP="00AD4B6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B9965F0" w14:textId="757C4022" w:rsidR="00AD4B60" w:rsidRDefault="00AD4B60" w:rsidP="00AD4B6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6E89AD4" w14:textId="5624FE99" w:rsidR="00AD4B60" w:rsidRDefault="00AD4B60" w:rsidP="00AD4B60">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44888D68" w14:textId="39E1A94C"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5A5B92E" w14:textId="2D9C9695" w:rsidR="00AD4B60" w:rsidRDefault="00AD4B60" w:rsidP="00AD4B6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1BDF0DB" w14:textId="01CA9820" w:rsidR="00AD4B60" w:rsidRDefault="00AD4B60" w:rsidP="00AD4B60">
            <w:pPr>
              <w:jc w:val="right"/>
              <w:rPr>
                <w:color w:val="000000"/>
                <w:sz w:val="20"/>
                <w:szCs w:val="20"/>
              </w:rPr>
            </w:pPr>
            <w:r>
              <w:rPr>
                <w:color w:val="000000"/>
                <w:sz w:val="20"/>
                <w:szCs w:val="20"/>
              </w:rPr>
              <w:t>0.689</w:t>
            </w:r>
          </w:p>
        </w:tc>
        <w:tc>
          <w:tcPr>
            <w:tcW w:w="768" w:type="dxa"/>
            <w:tcBorders>
              <w:top w:val="nil"/>
              <w:left w:val="nil"/>
              <w:bottom w:val="nil"/>
              <w:right w:val="nil"/>
            </w:tcBorders>
            <w:shd w:val="clear" w:color="auto" w:fill="auto"/>
            <w:noWrap/>
            <w:vAlign w:val="bottom"/>
            <w:hideMark/>
          </w:tcPr>
          <w:p w14:paraId="6ECDBE8C" w14:textId="6DB71949"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13FB84" w14:textId="797BBE55" w:rsidR="00AD4B60" w:rsidRDefault="00AD4B60" w:rsidP="00AD4B60">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7A4F50F" w14:textId="4510EC83" w:rsidR="00AD4B60" w:rsidRDefault="00AD4B60" w:rsidP="00AD4B60">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7E5A0ED2" w14:textId="1332F9D6"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FF78E57" w14:textId="1D0695C8"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71C89C8" w14:textId="251D4B49" w:rsidR="00AD4B60" w:rsidRDefault="00AD4B60" w:rsidP="00AD4B60">
            <w:pPr>
              <w:jc w:val="right"/>
              <w:rPr>
                <w:color w:val="000000"/>
                <w:sz w:val="20"/>
                <w:szCs w:val="20"/>
              </w:rPr>
            </w:pPr>
            <w:r>
              <w:rPr>
                <w:color w:val="000000"/>
                <w:sz w:val="20"/>
                <w:szCs w:val="20"/>
              </w:rPr>
              <w:t>0.983</w:t>
            </w:r>
          </w:p>
        </w:tc>
        <w:tc>
          <w:tcPr>
            <w:tcW w:w="768" w:type="dxa"/>
            <w:tcBorders>
              <w:top w:val="nil"/>
              <w:left w:val="nil"/>
              <w:bottom w:val="nil"/>
              <w:right w:val="nil"/>
            </w:tcBorders>
            <w:shd w:val="clear" w:color="auto" w:fill="auto"/>
            <w:noWrap/>
            <w:vAlign w:val="bottom"/>
            <w:hideMark/>
          </w:tcPr>
          <w:p w14:paraId="5CDE7FE4" w14:textId="3250D4A8"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DD3D8B" w14:textId="77445A06" w:rsidR="00AD4B60" w:rsidRDefault="00AD4B60" w:rsidP="00AD4B60">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688EF707" w14:textId="411AF155" w:rsidR="00AD4B60" w:rsidRDefault="00AD4B60" w:rsidP="00AD4B60">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4FA7B935" w14:textId="0DFA9BFB" w:rsidR="00AD4B60" w:rsidRDefault="00AD4B60" w:rsidP="00AD4B60">
            <w:pPr>
              <w:jc w:val="right"/>
              <w:rPr>
                <w:color w:val="000000"/>
                <w:sz w:val="20"/>
                <w:szCs w:val="20"/>
              </w:rPr>
            </w:pPr>
            <w:r>
              <w:rPr>
                <w:color w:val="000000"/>
                <w:sz w:val="20"/>
                <w:szCs w:val="20"/>
              </w:rPr>
              <w:t>0.002</w:t>
            </w:r>
          </w:p>
        </w:tc>
      </w:tr>
      <w:tr w:rsidR="00AD4B60" w14:paraId="29271CAD" w14:textId="77777777" w:rsidTr="00885D04">
        <w:trPr>
          <w:trHeight w:val="320"/>
        </w:trPr>
        <w:tc>
          <w:tcPr>
            <w:tcW w:w="1176" w:type="dxa"/>
            <w:tcBorders>
              <w:top w:val="nil"/>
              <w:left w:val="nil"/>
              <w:bottom w:val="nil"/>
              <w:right w:val="nil"/>
            </w:tcBorders>
            <w:shd w:val="clear" w:color="auto" w:fill="auto"/>
            <w:noWrap/>
            <w:vAlign w:val="bottom"/>
            <w:hideMark/>
          </w:tcPr>
          <w:p w14:paraId="702D260C"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F199312" w14:textId="77777777" w:rsidR="00AD4B60" w:rsidRDefault="00AD4B60" w:rsidP="00AD4B6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32BE4FD" w14:textId="17380B4D" w:rsidR="00AD4B60" w:rsidRDefault="00AD4B60" w:rsidP="00AD4B6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5FCBABE" w14:textId="5FF98CD5" w:rsidR="00AD4B60" w:rsidRDefault="00AD4B60" w:rsidP="00AD4B60">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6B94D606" w14:textId="2A7757CD"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7E39D90" w14:textId="4D508A31" w:rsidR="00AD4B60" w:rsidRDefault="00AD4B60" w:rsidP="00AD4B6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220810C" w14:textId="110AAA50" w:rsidR="00AD4B60" w:rsidRDefault="00AD4B60" w:rsidP="00AD4B60">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340353C5" w14:textId="3645B0D8"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B17F10" w14:textId="11F5BF6F" w:rsidR="00AD4B60" w:rsidRDefault="00AD4B60" w:rsidP="00AD4B60">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A647920" w14:textId="57EBC7B4" w:rsidR="00AD4B60" w:rsidRDefault="00AD4B60" w:rsidP="00AD4B60">
            <w:pPr>
              <w:jc w:val="right"/>
              <w:rPr>
                <w:color w:val="000000"/>
                <w:sz w:val="20"/>
                <w:szCs w:val="20"/>
              </w:rPr>
            </w:pPr>
            <w:r>
              <w:rPr>
                <w:color w:val="000000"/>
                <w:sz w:val="20"/>
                <w:szCs w:val="20"/>
              </w:rPr>
              <w:t>0.645</w:t>
            </w:r>
          </w:p>
        </w:tc>
        <w:tc>
          <w:tcPr>
            <w:tcW w:w="768" w:type="dxa"/>
            <w:tcBorders>
              <w:top w:val="nil"/>
              <w:left w:val="nil"/>
              <w:bottom w:val="nil"/>
              <w:right w:val="nil"/>
            </w:tcBorders>
            <w:shd w:val="clear" w:color="auto" w:fill="auto"/>
            <w:noWrap/>
            <w:vAlign w:val="bottom"/>
            <w:hideMark/>
          </w:tcPr>
          <w:p w14:paraId="7B87CB9D" w14:textId="786786E2"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9B4424" w14:textId="5EDF59D0" w:rsidR="00AD4B60" w:rsidRDefault="00AD4B60" w:rsidP="00AD4B60">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1691E788" w14:textId="4C658D87" w:rsidR="00AD4B60" w:rsidRDefault="00AD4B60" w:rsidP="00AD4B60">
            <w:pPr>
              <w:jc w:val="right"/>
              <w:rPr>
                <w:color w:val="000000"/>
                <w:sz w:val="20"/>
                <w:szCs w:val="20"/>
              </w:rPr>
            </w:pPr>
            <w:r>
              <w:rPr>
                <w:color w:val="000000"/>
                <w:sz w:val="20"/>
                <w:szCs w:val="20"/>
              </w:rPr>
              <w:t>0.645</w:t>
            </w:r>
          </w:p>
        </w:tc>
        <w:tc>
          <w:tcPr>
            <w:tcW w:w="768" w:type="dxa"/>
            <w:tcBorders>
              <w:top w:val="nil"/>
              <w:left w:val="nil"/>
              <w:bottom w:val="nil"/>
              <w:right w:val="nil"/>
            </w:tcBorders>
            <w:shd w:val="clear" w:color="auto" w:fill="auto"/>
            <w:noWrap/>
            <w:vAlign w:val="bottom"/>
            <w:hideMark/>
          </w:tcPr>
          <w:p w14:paraId="766C06B3" w14:textId="091EF056"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949E702" w14:textId="4E666735" w:rsidR="00AD4B60" w:rsidRDefault="00AD4B60" w:rsidP="00AD4B60">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132FF373" w14:textId="0A34D3C2" w:rsidR="00AD4B60" w:rsidRDefault="00AD4B60" w:rsidP="00AD4B60">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319B2D56" w14:textId="1D5838C1" w:rsidR="00AD4B60" w:rsidRDefault="00AD4B60" w:rsidP="00AD4B60">
            <w:pPr>
              <w:jc w:val="right"/>
              <w:rPr>
                <w:color w:val="000000"/>
                <w:sz w:val="20"/>
                <w:szCs w:val="20"/>
              </w:rPr>
            </w:pPr>
            <w:r>
              <w:rPr>
                <w:color w:val="000000"/>
                <w:sz w:val="20"/>
                <w:szCs w:val="20"/>
              </w:rPr>
              <w:t>0.001</w:t>
            </w:r>
          </w:p>
        </w:tc>
      </w:tr>
      <w:tr w:rsidR="00AD4B60" w14:paraId="14B62158" w14:textId="77777777" w:rsidTr="00885D04">
        <w:trPr>
          <w:trHeight w:val="320"/>
        </w:trPr>
        <w:tc>
          <w:tcPr>
            <w:tcW w:w="1176" w:type="dxa"/>
            <w:tcBorders>
              <w:top w:val="nil"/>
              <w:left w:val="nil"/>
              <w:bottom w:val="nil"/>
              <w:right w:val="nil"/>
            </w:tcBorders>
            <w:shd w:val="clear" w:color="auto" w:fill="auto"/>
            <w:noWrap/>
            <w:vAlign w:val="bottom"/>
            <w:hideMark/>
          </w:tcPr>
          <w:p w14:paraId="5C83E9EB"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B1CABD" w14:textId="77777777" w:rsidR="00AD4B60" w:rsidRDefault="00AD4B60" w:rsidP="00AD4B6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EBBA3DA" w14:textId="1C977516" w:rsidR="00AD4B60" w:rsidRDefault="00AD4B60" w:rsidP="00AD4B60">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7F89D14F" w14:textId="63053FDF" w:rsidR="00AD4B60" w:rsidRDefault="00AD4B60" w:rsidP="00AD4B60">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652FD249" w14:textId="7A5954FB"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6A32DD5" w14:textId="30B4108A" w:rsidR="00AD4B60" w:rsidRDefault="00AD4B60" w:rsidP="00AD4B60">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6D22331F" w14:textId="0A39840F" w:rsidR="00AD4B60" w:rsidRDefault="00AD4B60" w:rsidP="00AD4B60">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54101815" w14:textId="23012E6F"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878C628" w14:textId="7DD897AF" w:rsidR="00AD4B60" w:rsidRDefault="00AD4B60" w:rsidP="00AD4B60">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1C56AEEC" w14:textId="2778C9ED" w:rsidR="00AD4B60" w:rsidRDefault="00AD4B60" w:rsidP="00AD4B60">
            <w:pPr>
              <w:jc w:val="right"/>
              <w:rPr>
                <w:color w:val="000000"/>
                <w:sz w:val="20"/>
                <w:szCs w:val="20"/>
              </w:rPr>
            </w:pPr>
            <w:r>
              <w:rPr>
                <w:color w:val="000000"/>
                <w:sz w:val="20"/>
                <w:szCs w:val="20"/>
              </w:rPr>
              <w:t>0.517</w:t>
            </w:r>
          </w:p>
        </w:tc>
        <w:tc>
          <w:tcPr>
            <w:tcW w:w="768" w:type="dxa"/>
            <w:tcBorders>
              <w:top w:val="nil"/>
              <w:left w:val="nil"/>
              <w:bottom w:val="nil"/>
              <w:right w:val="nil"/>
            </w:tcBorders>
            <w:shd w:val="clear" w:color="auto" w:fill="auto"/>
            <w:noWrap/>
            <w:vAlign w:val="bottom"/>
            <w:hideMark/>
          </w:tcPr>
          <w:p w14:paraId="448144AA" w14:textId="46DD5020"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33F8B0" w14:textId="44780352" w:rsidR="00AD4B60" w:rsidRDefault="00AD4B60" w:rsidP="00AD4B60">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1AD843FE" w14:textId="468B53F0" w:rsidR="00AD4B60" w:rsidRDefault="00AD4B60" w:rsidP="00AD4B60">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75B528C2" w14:textId="6804F001"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1E9913D" w14:textId="42A69578" w:rsidR="00AD4B60" w:rsidRDefault="00AD4B60" w:rsidP="00AD4B60">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3875A741" w14:textId="06084300" w:rsidR="00AD4B60" w:rsidRDefault="00AD4B60" w:rsidP="00AD4B60">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149E3724" w14:textId="218A1B4B" w:rsidR="00AD4B60" w:rsidRDefault="00AD4B60" w:rsidP="00AD4B60">
            <w:pPr>
              <w:jc w:val="right"/>
              <w:rPr>
                <w:color w:val="000000"/>
                <w:sz w:val="20"/>
                <w:szCs w:val="20"/>
              </w:rPr>
            </w:pPr>
            <w:r>
              <w:rPr>
                <w:color w:val="000000"/>
                <w:sz w:val="20"/>
                <w:szCs w:val="20"/>
              </w:rPr>
              <w:t>0.008</w:t>
            </w:r>
          </w:p>
        </w:tc>
      </w:tr>
      <w:tr w:rsidR="00AD4B60" w14:paraId="3423EC3B" w14:textId="77777777" w:rsidTr="00885D04">
        <w:trPr>
          <w:trHeight w:val="320"/>
        </w:trPr>
        <w:tc>
          <w:tcPr>
            <w:tcW w:w="1176" w:type="dxa"/>
            <w:tcBorders>
              <w:top w:val="nil"/>
              <w:left w:val="nil"/>
              <w:bottom w:val="nil"/>
              <w:right w:val="nil"/>
            </w:tcBorders>
            <w:shd w:val="clear" w:color="auto" w:fill="auto"/>
            <w:noWrap/>
            <w:vAlign w:val="bottom"/>
            <w:hideMark/>
          </w:tcPr>
          <w:p w14:paraId="2A29E877"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C7D940" w14:textId="77777777" w:rsidR="00AD4B60" w:rsidRDefault="00AD4B60" w:rsidP="00AD4B6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1E632AF" w14:textId="70C1EEE9" w:rsidR="00AD4B60" w:rsidRDefault="00AD4B60" w:rsidP="00AD4B6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7333387" w14:textId="5E6B00AA" w:rsidR="00AD4B60" w:rsidRDefault="00AD4B60" w:rsidP="00AD4B60">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224C6E41" w14:textId="4C8CA1EA"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2E6D88" w14:textId="23766E91" w:rsidR="00AD4B60" w:rsidRDefault="00AD4B60" w:rsidP="00AD4B60">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352CE3E8" w14:textId="70EC265B" w:rsidR="00AD4B60" w:rsidRDefault="00AD4B60" w:rsidP="00AD4B60">
            <w:pPr>
              <w:jc w:val="right"/>
              <w:rPr>
                <w:color w:val="000000"/>
                <w:sz w:val="20"/>
                <w:szCs w:val="20"/>
              </w:rPr>
            </w:pPr>
            <w:r>
              <w:rPr>
                <w:color w:val="000000"/>
                <w:sz w:val="20"/>
                <w:szCs w:val="20"/>
              </w:rPr>
              <w:t>0.246</w:t>
            </w:r>
          </w:p>
        </w:tc>
        <w:tc>
          <w:tcPr>
            <w:tcW w:w="768" w:type="dxa"/>
            <w:tcBorders>
              <w:top w:val="nil"/>
              <w:left w:val="nil"/>
              <w:bottom w:val="nil"/>
              <w:right w:val="nil"/>
            </w:tcBorders>
            <w:shd w:val="clear" w:color="auto" w:fill="auto"/>
            <w:noWrap/>
            <w:vAlign w:val="bottom"/>
            <w:hideMark/>
          </w:tcPr>
          <w:p w14:paraId="16300B88" w14:textId="42E10F80" w:rsidR="00AD4B60" w:rsidRDefault="00AD4B60" w:rsidP="00AD4B6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C37287D" w14:textId="107E43C2" w:rsidR="00AD4B60" w:rsidRDefault="00AD4B60" w:rsidP="00AD4B60">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7B191335" w14:textId="5512E45A" w:rsidR="00AD4B60" w:rsidRDefault="00AD4B60" w:rsidP="00AD4B60">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0C02C341" w14:textId="3ABE8BFB" w:rsidR="00AD4B60" w:rsidRDefault="00AD4B60" w:rsidP="00AD4B6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10956C6" w14:textId="78C612B0" w:rsidR="00AD4B60" w:rsidRDefault="00AD4B60" w:rsidP="00AD4B60">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3E52D2AE" w14:textId="4D1ADCA6" w:rsidR="00AD4B60" w:rsidRDefault="00AD4B60" w:rsidP="00AD4B60">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0A693482" w14:textId="1694AC35" w:rsidR="00AD4B60" w:rsidRDefault="00AD4B60" w:rsidP="00AD4B6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11003CC" w14:textId="558642C8" w:rsidR="00AD4B60" w:rsidRDefault="00AD4B60" w:rsidP="00AD4B60">
            <w:pPr>
              <w:jc w:val="right"/>
              <w:rPr>
                <w:b/>
                <w:bCs/>
                <w:color w:val="000000"/>
                <w:sz w:val="20"/>
                <w:szCs w:val="20"/>
              </w:rPr>
            </w:pPr>
            <w:r>
              <w:rPr>
                <w:b/>
                <w:bCs/>
                <w:color w:val="000000"/>
                <w:sz w:val="20"/>
                <w:szCs w:val="20"/>
              </w:rPr>
              <w:t>-0.156</w:t>
            </w:r>
          </w:p>
        </w:tc>
        <w:tc>
          <w:tcPr>
            <w:tcW w:w="768" w:type="dxa"/>
            <w:tcBorders>
              <w:top w:val="nil"/>
              <w:left w:val="nil"/>
              <w:bottom w:val="nil"/>
              <w:right w:val="nil"/>
            </w:tcBorders>
            <w:shd w:val="clear" w:color="auto" w:fill="auto"/>
            <w:noWrap/>
            <w:vAlign w:val="bottom"/>
            <w:hideMark/>
          </w:tcPr>
          <w:p w14:paraId="5E6E4ECC" w14:textId="5BFA67E6" w:rsidR="00AD4B60" w:rsidRDefault="00AD4B60" w:rsidP="00AD4B60">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8D1CFF6" w14:textId="6F20AA0F" w:rsidR="00AD4B60" w:rsidRDefault="00AD4B60" w:rsidP="00AD4B60">
            <w:pPr>
              <w:jc w:val="right"/>
              <w:rPr>
                <w:color w:val="000000"/>
                <w:sz w:val="20"/>
                <w:szCs w:val="20"/>
              </w:rPr>
            </w:pPr>
            <w:r>
              <w:rPr>
                <w:b/>
                <w:bCs/>
                <w:color w:val="000000"/>
                <w:sz w:val="20"/>
                <w:szCs w:val="20"/>
              </w:rPr>
              <w:t>0.024</w:t>
            </w:r>
          </w:p>
        </w:tc>
      </w:tr>
      <w:tr w:rsidR="00AD4B60" w14:paraId="249DD206" w14:textId="77777777" w:rsidTr="00885D04">
        <w:trPr>
          <w:trHeight w:val="320"/>
        </w:trPr>
        <w:tc>
          <w:tcPr>
            <w:tcW w:w="1176" w:type="dxa"/>
            <w:tcBorders>
              <w:top w:val="nil"/>
              <w:left w:val="nil"/>
              <w:bottom w:val="nil"/>
              <w:right w:val="nil"/>
            </w:tcBorders>
            <w:shd w:val="clear" w:color="auto" w:fill="auto"/>
            <w:noWrap/>
            <w:vAlign w:val="bottom"/>
            <w:hideMark/>
          </w:tcPr>
          <w:p w14:paraId="612A616F"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E8BC89" w14:textId="77777777" w:rsidR="00AD4B60" w:rsidRDefault="00AD4B60" w:rsidP="00AD4B6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895AC1C" w14:textId="67735283" w:rsidR="00AD4B60" w:rsidRDefault="00AD4B60" w:rsidP="00AD4B60">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30F88DEE" w14:textId="5851C44E" w:rsidR="00AD4B60" w:rsidRDefault="00AD4B60" w:rsidP="00AD4B60">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4A69C28B" w14:textId="0C7CD233"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6593B97" w14:textId="1AE1E2A6" w:rsidR="00AD4B60" w:rsidRDefault="00AD4B60" w:rsidP="00AD4B60">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384FFBAE" w14:textId="0A0575C1" w:rsidR="00AD4B60" w:rsidRDefault="00AD4B60" w:rsidP="00AD4B60">
            <w:pPr>
              <w:jc w:val="right"/>
              <w:rPr>
                <w:color w:val="000000"/>
                <w:sz w:val="20"/>
                <w:szCs w:val="20"/>
              </w:rPr>
            </w:pPr>
            <w:r>
              <w:rPr>
                <w:color w:val="000000"/>
                <w:sz w:val="20"/>
                <w:szCs w:val="20"/>
              </w:rPr>
              <w:t>0.246</w:t>
            </w:r>
          </w:p>
        </w:tc>
        <w:tc>
          <w:tcPr>
            <w:tcW w:w="768" w:type="dxa"/>
            <w:tcBorders>
              <w:top w:val="nil"/>
              <w:left w:val="nil"/>
              <w:bottom w:val="nil"/>
              <w:right w:val="nil"/>
            </w:tcBorders>
            <w:shd w:val="clear" w:color="auto" w:fill="auto"/>
            <w:noWrap/>
            <w:vAlign w:val="bottom"/>
            <w:hideMark/>
          </w:tcPr>
          <w:p w14:paraId="6F77044C" w14:textId="55D9C5CC"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3ECB964" w14:textId="153D2857" w:rsidR="00AD4B60" w:rsidRDefault="00AD4B60" w:rsidP="00AD4B6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B910CD0" w14:textId="72CD13BC" w:rsidR="00AD4B60" w:rsidRDefault="00AD4B60" w:rsidP="00AD4B60">
            <w:pPr>
              <w:jc w:val="right"/>
              <w:rPr>
                <w:color w:val="000000"/>
                <w:sz w:val="20"/>
                <w:szCs w:val="20"/>
              </w:rPr>
            </w:pPr>
            <w:r>
              <w:rPr>
                <w:color w:val="000000"/>
                <w:sz w:val="20"/>
                <w:szCs w:val="20"/>
              </w:rPr>
              <w:t>0.653</w:t>
            </w:r>
          </w:p>
        </w:tc>
        <w:tc>
          <w:tcPr>
            <w:tcW w:w="768" w:type="dxa"/>
            <w:tcBorders>
              <w:top w:val="nil"/>
              <w:left w:val="nil"/>
              <w:bottom w:val="nil"/>
              <w:right w:val="nil"/>
            </w:tcBorders>
            <w:shd w:val="clear" w:color="auto" w:fill="auto"/>
            <w:noWrap/>
            <w:vAlign w:val="bottom"/>
            <w:hideMark/>
          </w:tcPr>
          <w:p w14:paraId="36A57F73" w14:textId="4C20CD40"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172A3C" w14:textId="374DE392" w:rsidR="00AD4B60" w:rsidRDefault="00AD4B60" w:rsidP="00AD4B60">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41BBEFE7" w14:textId="67D8B9E6" w:rsidR="00AD4B60" w:rsidRDefault="00AD4B60" w:rsidP="00AD4B60">
            <w:pPr>
              <w:jc w:val="right"/>
              <w:rPr>
                <w:color w:val="000000"/>
                <w:sz w:val="20"/>
                <w:szCs w:val="20"/>
              </w:rPr>
            </w:pPr>
            <w:r>
              <w:rPr>
                <w:color w:val="000000"/>
                <w:sz w:val="20"/>
                <w:szCs w:val="20"/>
              </w:rPr>
              <w:t>0.645</w:t>
            </w:r>
          </w:p>
        </w:tc>
        <w:tc>
          <w:tcPr>
            <w:tcW w:w="768" w:type="dxa"/>
            <w:tcBorders>
              <w:top w:val="nil"/>
              <w:left w:val="nil"/>
              <w:bottom w:val="nil"/>
              <w:right w:val="nil"/>
            </w:tcBorders>
            <w:shd w:val="clear" w:color="auto" w:fill="auto"/>
            <w:noWrap/>
            <w:vAlign w:val="bottom"/>
            <w:hideMark/>
          </w:tcPr>
          <w:p w14:paraId="61EF3BEB" w14:textId="172C8786"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1DA9FC2" w14:textId="1EF05E34" w:rsidR="00AD4B60" w:rsidRDefault="00AD4B60" w:rsidP="00AD4B60">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B2F92D8" w14:textId="5E0FFF71" w:rsidR="00AD4B60" w:rsidRDefault="00AD4B60" w:rsidP="00AD4B60">
            <w:pPr>
              <w:jc w:val="right"/>
              <w:rPr>
                <w:color w:val="000000"/>
                <w:sz w:val="20"/>
                <w:szCs w:val="20"/>
              </w:rPr>
            </w:pPr>
            <w:r>
              <w:rPr>
                <w:color w:val="000000"/>
                <w:sz w:val="20"/>
                <w:szCs w:val="20"/>
              </w:rPr>
              <w:t>0.714</w:t>
            </w:r>
          </w:p>
        </w:tc>
        <w:tc>
          <w:tcPr>
            <w:tcW w:w="768" w:type="dxa"/>
            <w:tcBorders>
              <w:top w:val="nil"/>
              <w:left w:val="nil"/>
              <w:bottom w:val="nil"/>
              <w:right w:val="nil"/>
            </w:tcBorders>
            <w:shd w:val="clear" w:color="auto" w:fill="auto"/>
            <w:noWrap/>
            <w:vAlign w:val="bottom"/>
            <w:hideMark/>
          </w:tcPr>
          <w:p w14:paraId="5B21393D" w14:textId="4B7D1BC2" w:rsidR="00AD4B60" w:rsidRDefault="00AD4B60" w:rsidP="00AD4B60">
            <w:pPr>
              <w:jc w:val="right"/>
              <w:rPr>
                <w:color w:val="000000"/>
                <w:sz w:val="20"/>
                <w:szCs w:val="20"/>
              </w:rPr>
            </w:pPr>
            <w:r>
              <w:rPr>
                <w:color w:val="000000"/>
                <w:sz w:val="20"/>
                <w:szCs w:val="20"/>
              </w:rPr>
              <w:t>0.000</w:t>
            </w:r>
          </w:p>
        </w:tc>
      </w:tr>
      <w:tr w:rsidR="00AD4B60" w14:paraId="45D68692" w14:textId="77777777" w:rsidTr="00885D04">
        <w:trPr>
          <w:trHeight w:val="320"/>
        </w:trPr>
        <w:tc>
          <w:tcPr>
            <w:tcW w:w="1176" w:type="dxa"/>
            <w:tcBorders>
              <w:top w:val="nil"/>
              <w:left w:val="nil"/>
              <w:bottom w:val="nil"/>
              <w:right w:val="nil"/>
            </w:tcBorders>
            <w:shd w:val="clear" w:color="auto" w:fill="auto"/>
            <w:noWrap/>
            <w:vAlign w:val="bottom"/>
            <w:hideMark/>
          </w:tcPr>
          <w:p w14:paraId="558EE321" w14:textId="77777777" w:rsidR="00AD4B60" w:rsidRDefault="00AD4B60" w:rsidP="00AD4B6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5AC569B" w14:textId="77777777" w:rsidR="00AD4B60" w:rsidRDefault="00AD4B60" w:rsidP="00AD4B6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F836E8C" w14:textId="7AAFD6A5" w:rsidR="00AD4B60" w:rsidRDefault="00AD4B60" w:rsidP="00AD4B6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034BC77" w14:textId="5F61C158" w:rsidR="00AD4B60" w:rsidRDefault="00AD4B60" w:rsidP="00AD4B60">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522EDF45" w14:textId="60BE7327"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384330" w14:textId="1642A16D" w:rsidR="00AD4B60" w:rsidRDefault="00AD4B60" w:rsidP="00AD4B6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8768292" w14:textId="0E72B4D4" w:rsidR="00AD4B60" w:rsidRDefault="00AD4B60" w:rsidP="00AD4B60">
            <w:pPr>
              <w:jc w:val="right"/>
              <w:rPr>
                <w:color w:val="000000"/>
                <w:sz w:val="20"/>
                <w:szCs w:val="20"/>
              </w:rPr>
            </w:pPr>
            <w:r>
              <w:rPr>
                <w:color w:val="000000"/>
                <w:sz w:val="20"/>
                <w:szCs w:val="20"/>
              </w:rPr>
              <w:t>0.689</w:t>
            </w:r>
          </w:p>
        </w:tc>
        <w:tc>
          <w:tcPr>
            <w:tcW w:w="768" w:type="dxa"/>
            <w:tcBorders>
              <w:top w:val="nil"/>
              <w:left w:val="nil"/>
              <w:bottom w:val="nil"/>
              <w:right w:val="nil"/>
            </w:tcBorders>
            <w:shd w:val="clear" w:color="auto" w:fill="auto"/>
            <w:noWrap/>
            <w:vAlign w:val="bottom"/>
            <w:hideMark/>
          </w:tcPr>
          <w:p w14:paraId="257BF7E1" w14:textId="664FC7D9"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E1283D" w14:textId="6FB89CE1" w:rsidR="00AD4B60" w:rsidRDefault="00AD4B60" w:rsidP="00AD4B60">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1BD17A2A" w14:textId="4F24A0E2" w:rsidR="00AD4B60" w:rsidRDefault="00AD4B60" w:rsidP="00AD4B60">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4E48541B" w14:textId="7A5A1185" w:rsidR="00AD4B60" w:rsidRDefault="00AD4B60" w:rsidP="00AD4B6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7CF6826" w14:textId="14A4920A" w:rsidR="00AD4B60" w:rsidRDefault="00AD4B60" w:rsidP="00AD4B6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ADB598F" w14:textId="2E61A61F" w:rsidR="00AD4B60" w:rsidRDefault="00AD4B60" w:rsidP="00AD4B60">
            <w:pPr>
              <w:jc w:val="right"/>
              <w:rPr>
                <w:color w:val="000000"/>
                <w:sz w:val="20"/>
                <w:szCs w:val="20"/>
              </w:rPr>
            </w:pPr>
            <w:r>
              <w:rPr>
                <w:color w:val="000000"/>
                <w:sz w:val="20"/>
                <w:szCs w:val="20"/>
              </w:rPr>
              <w:t>0.711</w:t>
            </w:r>
          </w:p>
        </w:tc>
        <w:tc>
          <w:tcPr>
            <w:tcW w:w="768" w:type="dxa"/>
            <w:tcBorders>
              <w:top w:val="nil"/>
              <w:left w:val="nil"/>
              <w:bottom w:val="nil"/>
              <w:right w:val="nil"/>
            </w:tcBorders>
            <w:shd w:val="clear" w:color="auto" w:fill="auto"/>
            <w:noWrap/>
            <w:vAlign w:val="bottom"/>
            <w:hideMark/>
          </w:tcPr>
          <w:p w14:paraId="4C07C865" w14:textId="620F97B0"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19FB7DC" w14:textId="7989AF0F" w:rsidR="00AD4B60" w:rsidRDefault="00AD4B60" w:rsidP="00AD4B60">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475D65B6" w14:textId="55BEF4C7" w:rsidR="00AD4B60" w:rsidRDefault="00AD4B60" w:rsidP="00AD4B60">
            <w:pPr>
              <w:jc w:val="right"/>
              <w:rPr>
                <w:color w:val="000000"/>
                <w:sz w:val="20"/>
                <w:szCs w:val="20"/>
              </w:rPr>
            </w:pPr>
            <w:r>
              <w:rPr>
                <w:color w:val="000000"/>
                <w:sz w:val="20"/>
                <w:szCs w:val="20"/>
              </w:rPr>
              <w:t>0.336</w:t>
            </w:r>
          </w:p>
        </w:tc>
        <w:tc>
          <w:tcPr>
            <w:tcW w:w="768" w:type="dxa"/>
            <w:tcBorders>
              <w:top w:val="nil"/>
              <w:left w:val="nil"/>
              <w:bottom w:val="nil"/>
              <w:right w:val="nil"/>
            </w:tcBorders>
            <w:shd w:val="clear" w:color="auto" w:fill="auto"/>
            <w:noWrap/>
            <w:vAlign w:val="bottom"/>
            <w:hideMark/>
          </w:tcPr>
          <w:p w14:paraId="6513DB72" w14:textId="2A9BBDF6" w:rsidR="00AD4B60" w:rsidRDefault="00AD4B60" w:rsidP="00AD4B60">
            <w:pPr>
              <w:jc w:val="right"/>
              <w:rPr>
                <w:color w:val="000000"/>
                <w:sz w:val="20"/>
                <w:szCs w:val="20"/>
              </w:rPr>
            </w:pPr>
            <w:r>
              <w:rPr>
                <w:color w:val="000000"/>
                <w:sz w:val="20"/>
                <w:szCs w:val="20"/>
              </w:rPr>
              <w:t>0.004</w:t>
            </w:r>
          </w:p>
        </w:tc>
      </w:tr>
      <w:tr w:rsidR="00AD4B60" w14:paraId="7B6DF4E3" w14:textId="77777777" w:rsidTr="00AF1024">
        <w:trPr>
          <w:trHeight w:val="320"/>
        </w:trPr>
        <w:tc>
          <w:tcPr>
            <w:tcW w:w="1176" w:type="dxa"/>
            <w:tcBorders>
              <w:top w:val="nil"/>
              <w:left w:val="nil"/>
              <w:right w:val="nil"/>
            </w:tcBorders>
            <w:shd w:val="clear" w:color="auto" w:fill="auto"/>
            <w:noWrap/>
            <w:vAlign w:val="bottom"/>
            <w:hideMark/>
          </w:tcPr>
          <w:p w14:paraId="51F566EE" w14:textId="77777777" w:rsidR="00AD4B60" w:rsidRDefault="00AD4B60" w:rsidP="00AD4B60">
            <w:pPr>
              <w:jc w:val="right"/>
              <w:rPr>
                <w:color w:val="000000"/>
                <w:sz w:val="20"/>
                <w:szCs w:val="20"/>
              </w:rPr>
            </w:pPr>
          </w:p>
        </w:tc>
        <w:tc>
          <w:tcPr>
            <w:tcW w:w="1705" w:type="dxa"/>
            <w:tcBorders>
              <w:top w:val="nil"/>
              <w:left w:val="nil"/>
              <w:right w:val="nil"/>
            </w:tcBorders>
            <w:shd w:val="clear" w:color="auto" w:fill="auto"/>
            <w:noWrap/>
            <w:vAlign w:val="center"/>
            <w:hideMark/>
          </w:tcPr>
          <w:p w14:paraId="4E7A94C6" w14:textId="77777777" w:rsidR="00AD4B60" w:rsidRDefault="00AD4B60" w:rsidP="00AD4B60">
            <w:pPr>
              <w:rPr>
                <w:color w:val="000000"/>
                <w:sz w:val="20"/>
                <w:szCs w:val="20"/>
              </w:rPr>
            </w:pPr>
            <w:r>
              <w:rPr>
                <w:color w:val="000000"/>
                <w:sz w:val="20"/>
                <w:szCs w:val="20"/>
              </w:rPr>
              <w:t>Visual 1</w:t>
            </w:r>
          </w:p>
        </w:tc>
        <w:tc>
          <w:tcPr>
            <w:tcW w:w="767" w:type="dxa"/>
            <w:tcBorders>
              <w:top w:val="nil"/>
              <w:left w:val="nil"/>
              <w:right w:val="nil"/>
            </w:tcBorders>
            <w:shd w:val="clear" w:color="auto" w:fill="auto"/>
            <w:noWrap/>
            <w:vAlign w:val="bottom"/>
            <w:hideMark/>
          </w:tcPr>
          <w:p w14:paraId="4FAA4160" w14:textId="4D445844" w:rsidR="00AD4B60" w:rsidRDefault="00AD4B60" w:rsidP="00AD4B60">
            <w:pPr>
              <w:jc w:val="right"/>
              <w:rPr>
                <w:color w:val="000000"/>
                <w:sz w:val="20"/>
                <w:szCs w:val="20"/>
              </w:rPr>
            </w:pPr>
            <w:r>
              <w:rPr>
                <w:color w:val="000000"/>
                <w:sz w:val="20"/>
                <w:szCs w:val="20"/>
              </w:rPr>
              <w:t>-0.001</w:t>
            </w:r>
          </w:p>
        </w:tc>
        <w:tc>
          <w:tcPr>
            <w:tcW w:w="768" w:type="dxa"/>
            <w:tcBorders>
              <w:top w:val="nil"/>
              <w:left w:val="nil"/>
              <w:right w:val="nil"/>
            </w:tcBorders>
            <w:shd w:val="clear" w:color="auto" w:fill="auto"/>
            <w:noWrap/>
            <w:vAlign w:val="bottom"/>
            <w:hideMark/>
          </w:tcPr>
          <w:p w14:paraId="519AEAB9" w14:textId="23F6D32E" w:rsidR="00AD4B60" w:rsidRDefault="00AD4B60" w:rsidP="00AD4B60">
            <w:pPr>
              <w:jc w:val="right"/>
              <w:rPr>
                <w:color w:val="000000"/>
                <w:sz w:val="20"/>
                <w:szCs w:val="20"/>
              </w:rPr>
            </w:pPr>
            <w:r>
              <w:rPr>
                <w:color w:val="000000"/>
                <w:sz w:val="20"/>
                <w:szCs w:val="20"/>
              </w:rPr>
              <w:t>0.975</w:t>
            </w:r>
          </w:p>
        </w:tc>
        <w:tc>
          <w:tcPr>
            <w:tcW w:w="768" w:type="dxa"/>
            <w:tcBorders>
              <w:top w:val="nil"/>
              <w:left w:val="nil"/>
              <w:right w:val="nil"/>
            </w:tcBorders>
            <w:shd w:val="clear" w:color="auto" w:fill="auto"/>
            <w:noWrap/>
            <w:vAlign w:val="bottom"/>
            <w:hideMark/>
          </w:tcPr>
          <w:p w14:paraId="3F2B95CC" w14:textId="41CFD282" w:rsidR="00AD4B60" w:rsidRDefault="00AD4B60" w:rsidP="00AD4B60">
            <w:pPr>
              <w:jc w:val="right"/>
              <w:rPr>
                <w:color w:val="000000"/>
                <w:sz w:val="20"/>
                <w:szCs w:val="20"/>
              </w:rPr>
            </w:pPr>
            <w:r>
              <w:rPr>
                <w:color w:val="000000"/>
                <w:sz w:val="20"/>
                <w:szCs w:val="20"/>
              </w:rPr>
              <w:t>0.000</w:t>
            </w:r>
          </w:p>
        </w:tc>
        <w:tc>
          <w:tcPr>
            <w:tcW w:w="768" w:type="dxa"/>
            <w:tcBorders>
              <w:top w:val="nil"/>
              <w:left w:val="nil"/>
              <w:right w:val="nil"/>
            </w:tcBorders>
            <w:shd w:val="clear" w:color="auto" w:fill="auto"/>
            <w:noWrap/>
            <w:vAlign w:val="bottom"/>
            <w:hideMark/>
          </w:tcPr>
          <w:p w14:paraId="061E7DBE" w14:textId="0B5CF872" w:rsidR="00AD4B60" w:rsidRDefault="00AD4B60" w:rsidP="00AD4B60">
            <w:pPr>
              <w:jc w:val="right"/>
              <w:rPr>
                <w:color w:val="000000"/>
                <w:sz w:val="20"/>
                <w:szCs w:val="20"/>
              </w:rPr>
            </w:pPr>
            <w:r>
              <w:rPr>
                <w:color w:val="000000"/>
                <w:sz w:val="20"/>
                <w:szCs w:val="20"/>
              </w:rPr>
              <w:t>-0.053</w:t>
            </w:r>
          </w:p>
        </w:tc>
        <w:tc>
          <w:tcPr>
            <w:tcW w:w="768" w:type="dxa"/>
            <w:tcBorders>
              <w:top w:val="nil"/>
              <w:left w:val="nil"/>
              <w:right w:val="nil"/>
            </w:tcBorders>
            <w:shd w:val="clear" w:color="auto" w:fill="auto"/>
            <w:noWrap/>
            <w:vAlign w:val="bottom"/>
            <w:hideMark/>
          </w:tcPr>
          <w:p w14:paraId="5ACA9233" w14:textId="77CFFC1C" w:rsidR="00AD4B60" w:rsidRDefault="00AD4B60" w:rsidP="00AD4B60">
            <w:pPr>
              <w:jc w:val="right"/>
              <w:rPr>
                <w:color w:val="000000"/>
                <w:sz w:val="20"/>
                <w:szCs w:val="20"/>
              </w:rPr>
            </w:pPr>
            <w:r>
              <w:rPr>
                <w:color w:val="000000"/>
                <w:sz w:val="20"/>
                <w:szCs w:val="20"/>
              </w:rPr>
              <w:t>0.246</w:t>
            </w:r>
          </w:p>
        </w:tc>
        <w:tc>
          <w:tcPr>
            <w:tcW w:w="768" w:type="dxa"/>
            <w:tcBorders>
              <w:top w:val="nil"/>
              <w:left w:val="nil"/>
              <w:right w:val="nil"/>
            </w:tcBorders>
            <w:shd w:val="clear" w:color="auto" w:fill="auto"/>
            <w:noWrap/>
            <w:vAlign w:val="bottom"/>
            <w:hideMark/>
          </w:tcPr>
          <w:p w14:paraId="2857A6DD" w14:textId="1F33B0AA" w:rsidR="00AD4B60" w:rsidRDefault="00AD4B60" w:rsidP="00AD4B60">
            <w:pPr>
              <w:jc w:val="right"/>
              <w:rPr>
                <w:color w:val="000000"/>
                <w:sz w:val="20"/>
                <w:szCs w:val="20"/>
              </w:rPr>
            </w:pPr>
            <w:r>
              <w:rPr>
                <w:color w:val="000000"/>
                <w:sz w:val="20"/>
                <w:szCs w:val="20"/>
              </w:rPr>
              <w:t>0.003</w:t>
            </w:r>
          </w:p>
        </w:tc>
        <w:tc>
          <w:tcPr>
            <w:tcW w:w="768" w:type="dxa"/>
            <w:tcBorders>
              <w:top w:val="nil"/>
              <w:left w:val="nil"/>
              <w:right w:val="nil"/>
            </w:tcBorders>
            <w:shd w:val="clear" w:color="auto" w:fill="auto"/>
            <w:noWrap/>
            <w:vAlign w:val="bottom"/>
            <w:hideMark/>
          </w:tcPr>
          <w:p w14:paraId="45A93B2F" w14:textId="1D356C4E" w:rsidR="00AD4B60" w:rsidRDefault="00AD4B60" w:rsidP="00AD4B60">
            <w:pPr>
              <w:jc w:val="right"/>
              <w:rPr>
                <w:color w:val="000000"/>
                <w:sz w:val="20"/>
                <w:szCs w:val="20"/>
              </w:rPr>
            </w:pPr>
            <w:r>
              <w:rPr>
                <w:color w:val="000000"/>
                <w:sz w:val="20"/>
                <w:szCs w:val="20"/>
              </w:rPr>
              <w:t>0.043</w:t>
            </w:r>
          </w:p>
        </w:tc>
        <w:tc>
          <w:tcPr>
            <w:tcW w:w="768" w:type="dxa"/>
            <w:tcBorders>
              <w:top w:val="nil"/>
              <w:left w:val="nil"/>
              <w:right w:val="nil"/>
            </w:tcBorders>
            <w:shd w:val="clear" w:color="auto" w:fill="auto"/>
            <w:noWrap/>
            <w:vAlign w:val="bottom"/>
            <w:hideMark/>
          </w:tcPr>
          <w:p w14:paraId="08505E2F" w14:textId="097F8119" w:rsidR="00AD4B60" w:rsidRDefault="00AD4B60" w:rsidP="00AD4B60">
            <w:pPr>
              <w:jc w:val="right"/>
              <w:rPr>
                <w:color w:val="000000"/>
                <w:sz w:val="20"/>
                <w:szCs w:val="20"/>
              </w:rPr>
            </w:pPr>
            <w:r>
              <w:rPr>
                <w:color w:val="000000"/>
                <w:sz w:val="20"/>
                <w:szCs w:val="20"/>
              </w:rPr>
              <w:t>0.432</w:t>
            </w:r>
          </w:p>
        </w:tc>
        <w:tc>
          <w:tcPr>
            <w:tcW w:w="768" w:type="dxa"/>
            <w:tcBorders>
              <w:top w:val="nil"/>
              <w:left w:val="nil"/>
              <w:right w:val="nil"/>
            </w:tcBorders>
            <w:shd w:val="clear" w:color="auto" w:fill="auto"/>
            <w:noWrap/>
            <w:vAlign w:val="bottom"/>
            <w:hideMark/>
          </w:tcPr>
          <w:p w14:paraId="0E39D7F7" w14:textId="394B0C92" w:rsidR="00AD4B60" w:rsidRDefault="00AD4B60" w:rsidP="00AD4B60">
            <w:pPr>
              <w:jc w:val="right"/>
              <w:rPr>
                <w:color w:val="000000"/>
                <w:sz w:val="20"/>
                <w:szCs w:val="20"/>
              </w:rPr>
            </w:pPr>
            <w:r>
              <w:rPr>
                <w:color w:val="000000"/>
                <w:sz w:val="20"/>
                <w:szCs w:val="20"/>
              </w:rPr>
              <w:t>0.002</w:t>
            </w:r>
          </w:p>
        </w:tc>
        <w:tc>
          <w:tcPr>
            <w:tcW w:w="768" w:type="dxa"/>
            <w:tcBorders>
              <w:top w:val="nil"/>
              <w:left w:val="nil"/>
              <w:right w:val="nil"/>
            </w:tcBorders>
            <w:shd w:val="clear" w:color="auto" w:fill="auto"/>
            <w:noWrap/>
            <w:vAlign w:val="bottom"/>
            <w:hideMark/>
          </w:tcPr>
          <w:p w14:paraId="5C1EDC9F" w14:textId="77333BC5" w:rsidR="00AD4B60" w:rsidRDefault="00AD4B60" w:rsidP="00AD4B60">
            <w:pPr>
              <w:jc w:val="right"/>
              <w:rPr>
                <w:color w:val="000000"/>
                <w:sz w:val="20"/>
                <w:szCs w:val="20"/>
              </w:rPr>
            </w:pPr>
            <w:r>
              <w:rPr>
                <w:color w:val="000000"/>
                <w:sz w:val="20"/>
                <w:szCs w:val="20"/>
              </w:rPr>
              <w:t>0.011</w:t>
            </w:r>
          </w:p>
        </w:tc>
        <w:tc>
          <w:tcPr>
            <w:tcW w:w="768" w:type="dxa"/>
            <w:tcBorders>
              <w:top w:val="nil"/>
              <w:left w:val="nil"/>
              <w:right w:val="nil"/>
            </w:tcBorders>
            <w:shd w:val="clear" w:color="auto" w:fill="auto"/>
            <w:noWrap/>
            <w:vAlign w:val="bottom"/>
            <w:hideMark/>
          </w:tcPr>
          <w:p w14:paraId="27029AF4" w14:textId="343AA852" w:rsidR="00AD4B60" w:rsidRDefault="00AD4B60" w:rsidP="00AD4B60">
            <w:pPr>
              <w:jc w:val="right"/>
              <w:rPr>
                <w:color w:val="000000"/>
                <w:sz w:val="20"/>
                <w:szCs w:val="20"/>
              </w:rPr>
            </w:pPr>
            <w:r>
              <w:rPr>
                <w:color w:val="000000"/>
                <w:sz w:val="20"/>
                <w:szCs w:val="20"/>
              </w:rPr>
              <w:t>0.864</w:t>
            </w:r>
          </w:p>
        </w:tc>
        <w:tc>
          <w:tcPr>
            <w:tcW w:w="768" w:type="dxa"/>
            <w:tcBorders>
              <w:top w:val="nil"/>
              <w:left w:val="nil"/>
              <w:right w:val="nil"/>
            </w:tcBorders>
            <w:shd w:val="clear" w:color="auto" w:fill="auto"/>
            <w:noWrap/>
            <w:vAlign w:val="bottom"/>
            <w:hideMark/>
          </w:tcPr>
          <w:p w14:paraId="29FF384A" w14:textId="53FC4EC6" w:rsidR="00AD4B60" w:rsidRDefault="00AD4B60" w:rsidP="00AD4B60">
            <w:pPr>
              <w:jc w:val="right"/>
              <w:rPr>
                <w:color w:val="000000"/>
                <w:sz w:val="20"/>
                <w:szCs w:val="20"/>
              </w:rPr>
            </w:pPr>
            <w:r>
              <w:rPr>
                <w:color w:val="000000"/>
                <w:sz w:val="20"/>
                <w:szCs w:val="20"/>
              </w:rPr>
              <w:t>0.000</w:t>
            </w:r>
          </w:p>
        </w:tc>
        <w:tc>
          <w:tcPr>
            <w:tcW w:w="768" w:type="dxa"/>
            <w:tcBorders>
              <w:top w:val="nil"/>
              <w:left w:val="nil"/>
              <w:right w:val="nil"/>
            </w:tcBorders>
            <w:shd w:val="clear" w:color="auto" w:fill="auto"/>
            <w:noWrap/>
            <w:vAlign w:val="bottom"/>
            <w:hideMark/>
          </w:tcPr>
          <w:p w14:paraId="3F1F4AD2" w14:textId="356B1F50" w:rsidR="00AD4B60" w:rsidRDefault="00AD4B60" w:rsidP="00AD4B60">
            <w:pPr>
              <w:jc w:val="right"/>
              <w:rPr>
                <w:color w:val="000000"/>
                <w:sz w:val="20"/>
                <w:szCs w:val="20"/>
              </w:rPr>
            </w:pPr>
            <w:r>
              <w:rPr>
                <w:color w:val="000000"/>
                <w:sz w:val="20"/>
                <w:szCs w:val="20"/>
              </w:rPr>
              <w:t>0.009</w:t>
            </w:r>
          </w:p>
        </w:tc>
        <w:tc>
          <w:tcPr>
            <w:tcW w:w="768" w:type="dxa"/>
            <w:tcBorders>
              <w:top w:val="nil"/>
              <w:left w:val="nil"/>
              <w:right w:val="nil"/>
            </w:tcBorders>
            <w:shd w:val="clear" w:color="auto" w:fill="auto"/>
            <w:noWrap/>
            <w:vAlign w:val="bottom"/>
            <w:hideMark/>
          </w:tcPr>
          <w:p w14:paraId="2E862F42" w14:textId="48FABB7B" w:rsidR="00AD4B60" w:rsidRDefault="00AD4B60" w:rsidP="00AD4B60">
            <w:pPr>
              <w:jc w:val="right"/>
              <w:rPr>
                <w:color w:val="000000"/>
                <w:sz w:val="20"/>
                <w:szCs w:val="20"/>
              </w:rPr>
            </w:pPr>
            <w:r>
              <w:rPr>
                <w:color w:val="000000"/>
                <w:sz w:val="20"/>
                <w:szCs w:val="20"/>
              </w:rPr>
              <w:t>0.820</w:t>
            </w:r>
          </w:p>
        </w:tc>
        <w:tc>
          <w:tcPr>
            <w:tcW w:w="768" w:type="dxa"/>
            <w:tcBorders>
              <w:top w:val="nil"/>
              <w:left w:val="nil"/>
              <w:right w:val="nil"/>
            </w:tcBorders>
            <w:shd w:val="clear" w:color="auto" w:fill="auto"/>
            <w:noWrap/>
            <w:vAlign w:val="bottom"/>
            <w:hideMark/>
          </w:tcPr>
          <w:p w14:paraId="6CCFD010" w14:textId="081CC13A" w:rsidR="00AD4B60" w:rsidRDefault="00AD4B60" w:rsidP="00AD4B60">
            <w:pPr>
              <w:jc w:val="right"/>
              <w:rPr>
                <w:color w:val="000000"/>
                <w:sz w:val="20"/>
                <w:szCs w:val="20"/>
              </w:rPr>
            </w:pPr>
            <w:r>
              <w:rPr>
                <w:color w:val="000000"/>
                <w:sz w:val="20"/>
                <w:szCs w:val="20"/>
              </w:rPr>
              <w:t>0.000</w:t>
            </w:r>
          </w:p>
        </w:tc>
      </w:tr>
      <w:tr w:rsidR="00AD4B60" w14:paraId="0A87AEDC" w14:textId="77777777" w:rsidTr="00AF1024">
        <w:trPr>
          <w:trHeight w:val="340"/>
        </w:trPr>
        <w:tc>
          <w:tcPr>
            <w:tcW w:w="1176" w:type="dxa"/>
            <w:tcBorders>
              <w:top w:val="nil"/>
              <w:left w:val="nil"/>
              <w:bottom w:val="single" w:sz="12" w:space="0" w:color="auto"/>
              <w:right w:val="nil"/>
            </w:tcBorders>
            <w:shd w:val="clear" w:color="auto" w:fill="auto"/>
            <w:noWrap/>
            <w:vAlign w:val="bottom"/>
            <w:hideMark/>
          </w:tcPr>
          <w:p w14:paraId="4458AB11" w14:textId="77777777" w:rsidR="00AD4B60" w:rsidRDefault="00AD4B60" w:rsidP="00AD4B60">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18A775BB" w14:textId="77777777" w:rsidR="00AD4B60" w:rsidRDefault="00AD4B60" w:rsidP="00AD4B60">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6B5C5681" w14:textId="3620516C" w:rsidR="00AD4B60" w:rsidRDefault="00AD4B60" w:rsidP="00AD4B60">
            <w:pPr>
              <w:jc w:val="right"/>
              <w:rPr>
                <w:color w:val="000000"/>
                <w:sz w:val="20"/>
                <w:szCs w:val="20"/>
              </w:rPr>
            </w:pPr>
            <w:r>
              <w:rPr>
                <w:color w:val="000000"/>
                <w:sz w:val="20"/>
                <w:szCs w:val="20"/>
              </w:rPr>
              <w:t>-0.009</w:t>
            </w:r>
          </w:p>
        </w:tc>
        <w:tc>
          <w:tcPr>
            <w:tcW w:w="768" w:type="dxa"/>
            <w:tcBorders>
              <w:top w:val="nil"/>
              <w:left w:val="nil"/>
              <w:bottom w:val="single" w:sz="12" w:space="0" w:color="auto"/>
              <w:right w:val="nil"/>
            </w:tcBorders>
            <w:shd w:val="clear" w:color="auto" w:fill="auto"/>
            <w:noWrap/>
            <w:vAlign w:val="bottom"/>
            <w:hideMark/>
          </w:tcPr>
          <w:p w14:paraId="506F8F52" w14:textId="0B7B06F8" w:rsidR="00AD4B60" w:rsidRDefault="00AD4B60" w:rsidP="00AD4B60">
            <w:pPr>
              <w:jc w:val="right"/>
              <w:rPr>
                <w:color w:val="000000"/>
                <w:sz w:val="20"/>
                <w:szCs w:val="20"/>
              </w:rPr>
            </w:pPr>
            <w:r>
              <w:rPr>
                <w:color w:val="000000"/>
                <w:sz w:val="20"/>
                <w:szCs w:val="20"/>
              </w:rPr>
              <w:t>0.975</w:t>
            </w:r>
          </w:p>
        </w:tc>
        <w:tc>
          <w:tcPr>
            <w:tcW w:w="768" w:type="dxa"/>
            <w:tcBorders>
              <w:top w:val="nil"/>
              <w:left w:val="nil"/>
              <w:bottom w:val="single" w:sz="12" w:space="0" w:color="auto"/>
              <w:right w:val="nil"/>
            </w:tcBorders>
            <w:shd w:val="clear" w:color="auto" w:fill="auto"/>
            <w:noWrap/>
            <w:vAlign w:val="bottom"/>
            <w:hideMark/>
          </w:tcPr>
          <w:p w14:paraId="62DA0B63" w14:textId="3569C252"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61F3C38F" w14:textId="71E9CD94"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FA222AF" w14:textId="2DE5FD30" w:rsidR="00AD4B60" w:rsidRDefault="00AD4B60" w:rsidP="00AD4B60">
            <w:pPr>
              <w:jc w:val="right"/>
              <w:rPr>
                <w:color w:val="000000"/>
                <w:sz w:val="20"/>
                <w:szCs w:val="20"/>
              </w:rPr>
            </w:pPr>
            <w:r>
              <w:rPr>
                <w:color w:val="000000"/>
                <w:sz w:val="20"/>
                <w:szCs w:val="20"/>
              </w:rPr>
              <w:t>0.993</w:t>
            </w:r>
          </w:p>
        </w:tc>
        <w:tc>
          <w:tcPr>
            <w:tcW w:w="768" w:type="dxa"/>
            <w:tcBorders>
              <w:top w:val="nil"/>
              <w:left w:val="nil"/>
              <w:bottom w:val="single" w:sz="12" w:space="0" w:color="auto"/>
              <w:right w:val="nil"/>
            </w:tcBorders>
            <w:shd w:val="clear" w:color="auto" w:fill="auto"/>
            <w:noWrap/>
            <w:vAlign w:val="bottom"/>
            <w:hideMark/>
          </w:tcPr>
          <w:p w14:paraId="6A197654" w14:textId="7FAC6402"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6DDD5DCA" w14:textId="0A64463A" w:rsidR="00AD4B60" w:rsidRDefault="00AD4B60" w:rsidP="00AD4B60">
            <w:pPr>
              <w:jc w:val="right"/>
              <w:rPr>
                <w:color w:val="000000"/>
                <w:sz w:val="20"/>
                <w:szCs w:val="20"/>
              </w:rPr>
            </w:pPr>
            <w:r>
              <w:rPr>
                <w:color w:val="000000"/>
                <w:sz w:val="20"/>
                <w:szCs w:val="20"/>
              </w:rPr>
              <w:t>0.008</w:t>
            </w:r>
          </w:p>
        </w:tc>
        <w:tc>
          <w:tcPr>
            <w:tcW w:w="768" w:type="dxa"/>
            <w:tcBorders>
              <w:top w:val="nil"/>
              <w:left w:val="nil"/>
              <w:bottom w:val="single" w:sz="12" w:space="0" w:color="auto"/>
              <w:right w:val="nil"/>
            </w:tcBorders>
            <w:shd w:val="clear" w:color="auto" w:fill="auto"/>
            <w:noWrap/>
            <w:vAlign w:val="bottom"/>
            <w:hideMark/>
          </w:tcPr>
          <w:p w14:paraId="6063F016" w14:textId="08A0FC9D" w:rsidR="00AD4B60" w:rsidRDefault="00AD4B60" w:rsidP="00AD4B60">
            <w:pPr>
              <w:jc w:val="right"/>
              <w:rPr>
                <w:color w:val="000000"/>
                <w:sz w:val="20"/>
                <w:szCs w:val="20"/>
              </w:rPr>
            </w:pPr>
            <w:r>
              <w:rPr>
                <w:color w:val="000000"/>
                <w:sz w:val="20"/>
                <w:szCs w:val="20"/>
              </w:rPr>
              <w:t>0.813</w:t>
            </w:r>
          </w:p>
        </w:tc>
        <w:tc>
          <w:tcPr>
            <w:tcW w:w="768" w:type="dxa"/>
            <w:tcBorders>
              <w:top w:val="nil"/>
              <w:left w:val="nil"/>
              <w:bottom w:val="single" w:sz="12" w:space="0" w:color="auto"/>
              <w:right w:val="nil"/>
            </w:tcBorders>
            <w:shd w:val="clear" w:color="auto" w:fill="auto"/>
            <w:noWrap/>
            <w:vAlign w:val="bottom"/>
            <w:hideMark/>
          </w:tcPr>
          <w:p w14:paraId="74FE76CC" w14:textId="7C8DFECD" w:rsidR="00AD4B60" w:rsidRDefault="00AD4B60" w:rsidP="00AD4B60">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61206525" w14:textId="190D6804" w:rsidR="00AD4B60" w:rsidRDefault="00AD4B60" w:rsidP="00AD4B60">
            <w:pPr>
              <w:jc w:val="right"/>
              <w:rPr>
                <w:color w:val="000000"/>
                <w:sz w:val="20"/>
                <w:szCs w:val="20"/>
              </w:rPr>
            </w:pPr>
            <w:r>
              <w:rPr>
                <w:color w:val="000000"/>
                <w:sz w:val="20"/>
                <w:szCs w:val="20"/>
              </w:rPr>
              <w:t>-0.029</w:t>
            </w:r>
          </w:p>
        </w:tc>
        <w:tc>
          <w:tcPr>
            <w:tcW w:w="768" w:type="dxa"/>
            <w:tcBorders>
              <w:top w:val="nil"/>
              <w:left w:val="nil"/>
              <w:bottom w:val="single" w:sz="12" w:space="0" w:color="auto"/>
              <w:right w:val="nil"/>
            </w:tcBorders>
            <w:shd w:val="clear" w:color="auto" w:fill="auto"/>
            <w:noWrap/>
            <w:vAlign w:val="bottom"/>
            <w:hideMark/>
          </w:tcPr>
          <w:p w14:paraId="32D53228" w14:textId="10FAC761" w:rsidR="00AD4B60" w:rsidRDefault="00AD4B60" w:rsidP="00AD4B60">
            <w:pPr>
              <w:jc w:val="right"/>
              <w:rPr>
                <w:color w:val="000000"/>
                <w:sz w:val="20"/>
                <w:szCs w:val="20"/>
              </w:rPr>
            </w:pPr>
            <w:r>
              <w:rPr>
                <w:color w:val="000000"/>
                <w:sz w:val="20"/>
                <w:szCs w:val="20"/>
              </w:rPr>
              <w:t>0.645</w:t>
            </w:r>
          </w:p>
        </w:tc>
        <w:tc>
          <w:tcPr>
            <w:tcW w:w="768" w:type="dxa"/>
            <w:tcBorders>
              <w:top w:val="nil"/>
              <w:left w:val="nil"/>
              <w:bottom w:val="single" w:sz="12" w:space="0" w:color="auto"/>
              <w:right w:val="nil"/>
            </w:tcBorders>
            <w:shd w:val="clear" w:color="auto" w:fill="auto"/>
            <w:noWrap/>
            <w:vAlign w:val="bottom"/>
            <w:hideMark/>
          </w:tcPr>
          <w:p w14:paraId="37F1E9B8" w14:textId="71CC08E4" w:rsidR="00AD4B60" w:rsidRDefault="00AD4B60" w:rsidP="00AD4B60">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56A012BB" w14:textId="6D5F7AA7" w:rsidR="00AD4B60" w:rsidRDefault="00AD4B60" w:rsidP="00AD4B60">
            <w:pPr>
              <w:jc w:val="right"/>
              <w:rPr>
                <w:color w:val="000000"/>
                <w:sz w:val="20"/>
                <w:szCs w:val="20"/>
              </w:rPr>
            </w:pPr>
            <w:r>
              <w:rPr>
                <w:color w:val="000000"/>
                <w:sz w:val="20"/>
                <w:szCs w:val="20"/>
              </w:rPr>
              <w:t>0.041</w:t>
            </w:r>
          </w:p>
        </w:tc>
        <w:tc>
          <w:tcPr>
            <w:tcW w:w="768" w:type="dxa"/>
            <w:tcBorders>
              <w:top w:val="nil"/>
              <w:left w:val="nil"/>
              <w:bottom w:val="single" w:sz="12" w:space="0" w:color="auto"/>
              <w:right w:val="nil"/>
            </w:tcBorders>
            <w:shd w:val="clear" w:color="auto" w:fill="auto"/>
            <w:noWrap/>
            <w:vAlign w:val="bottom"/>
            <w:hideMark/>
          </w:tcPr>
          <w:p w14:paraId="55FB766F" w14:textId="7DCBED46" w:rsidR="00AD4B60" w:rsidRDefault="00AD4B60" w:rsidP="00AD4B60">
            <w:pPr>
              <w:jc w:val="right"/>
              <w:rPr>
                <w:color w:val="000000"/>
                <w:sz w:val="20"/>
                <w:szCs w:val="20"/>
              </w:rPr>
            </w:pPr>
            <w:r>
              <w:rPr>
                <w:color w:val="000000"/>
                <w:sz w:val="20"/>
                <w:szCs w:val="20"/>
              </w:rPr>
              <w:t>0.467</w:t>
            </w:r>
          </w:p>
        </w:tc>
        <w:tc>
          <w:tcPr>
            <w:tcW w:w="768" w:type="dxa"/>
            <w:tcBorders>
              <w:top w:val="nil"/>
              <w:left w:val="nil"/>
              <w:bottom w:val="single" w:sz="12" w:space="0" w:color="auto"/>
              <w:right w:val="nil"/>
            </w:tcBorders>
            <w:shd w:val="clear" w:color="auto" w:fill="auto"/>
            <w:noWrap/>
            <w:vAlign w:val="bottom"/>
            <w:hideMark/>
          </w:tcPr>
          <w:p w14:paraId="2AFB6CBF" w14:textId="1354E47F" w:rsidR="00AD4B60" w:rsidRDefault="00AD4B60" w:rsidP="00AD4B60">
            <w:pPr>
              <w:jc w:val="right"/>
              <w:rPr>
                <w:color w:val="000000"/>
                <w:sz w:val="20"/>
                <w:szCs w:val="20"/>
              </w:rPr>
            </w:pPr>
            <w:r>
              <w:rPr>
                <w:color w:val="000000"/>
                <w:sz w:val="20"/>
                <w:szCs w:val="20"/>
              </w:rPr>
              <w:t>0.002</w:t>
            </w:r>
          </w:p>
        </w:tc>
      </w:tr>
      <w:tr w:rsidR="00885D04" w14:paraId="4563CA50" w14:textId="77777777" w:rsidTr="00AF1024">
        <w:trPr>
          <w:trHeight w:val="320"/>
        </w:trPr>
        <w:tc>
          <w:tcPr>
            <w:tcW w:w="1176" w:type="dxa"/>
            <w:tcBorders>
              <w:top w:val="single" w:sz="12" w:space="0" w:color="auto"/>
              <w:left w:val="nil"/>
              <w:bottom w:val="nil"/>
              <w:right w:val="nil"/>
            </w:tcBorders>
            <w:shd w:val="clear" w:color="auto" w:fill="auto"/>
            <w:noWrap/>
            <w:vAlign w:val="bottom"/>
            <w:hideMark/>
          </w:tcPr>
          <w:p w14:paraId="124BEEBD" w14:textId="77777777" w:rsidR="00885D04" w:rsidRDefault="00885D04">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061280B6" w14:textId="77777777" w:rsidR="00885D04" w:rsidRDefault="00885D04">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0EE07480"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3E216AF"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38D1CA8"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7910DC7"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2CA86B4"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E9E6128"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D023D76"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9FC8A24"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84C82B5"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A3F4EDE"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9C170D1"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D11D76C"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0820760"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761D01C"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E797AAA" w14:textId="77777777" w:rsidR="00885D04" w:rsidRDefault="00885D04">
            <w:pPr>
              <w:rPr>
                <w:sz w:val="20"/>
                <w:szCs w:val="20"/>
              </w:rPr>
            </w:pPr>
          </w:p>
        </w:tc>
      </w:tr>
    </w:tbl>
    <w:p w14:paraId="7DF19EA0" w14:textId="0A299E24" w:rsidR="00885D04" w:rsidRDefault="00885D04" w:rsidP="00BA3AF4">
      <w:pPr>
        <w:spacing w:line="480" w:lineRule="auto"/>
      </w:pPr>
    </w:p>
    <w:p w14:paraId="79A47902" w14:textId="77777777" w:rsidR="00885D04" w:rsidRDefault="00885D04">
      <w:r>
        <w:br w:type="page"/>
      </w:r>
    </w:p>
    <w:p w14:paraId="35C328D4" w14:textId="7232C93F" w:rsidR="00885D04" w:rsidRPr="009E2A20" w:rsidRDefault="00432B71" w:rsidP="009E2A20">
      <w:pPr>
        <w:pStyle w:val="Heading1"/>
        <w:rPr>
          <w:rFonts w:ascii="Times New Roman" w:hAnsi="Times New Roman" w:cs="Times New Roman"/>
          <w:color w:val="000000" w:themeColor="text1"/>
          <w:sz w:val="24"/>
          <w:szCs w:val="24"/>
        </w:rPr>
      </w:pPr>
      <w:bookmarkStart w:id="46" w:name="_Toc155817713"/>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A33B44">
        <w:rPr>
          <w:rFonts w:ascii="Times New Roman" w:hAnsi="Times New Roman" w:cs="Times New Roman"/>
          <w:b/>
          <w:bCs/>
          <w:color w:val="000000" w:themeColor="text1"/>
          <w:sz w:val="24"/>
          <w:szCs w:val="24"/>
        </w:rPr>
        <w:t>8</w:t>
      </w:r>
      <w:r w:rsidR="00121F4D" w:rsidRPr="009E2A20">
        <w:rPr>
          <w:rFonts w:ascii="Times New Roman" w:hAnsi="Times New Roman" w:cs="Times New Roman"/>
          <w:b/>
          <w:bCs/>
          <w:color w:val="000000" w:themeColor="text1"/>
          <w:sz w:val="24"/>
          <w:szCs w:val="24"/>
        </w:rPr>
        <w:t>a</w:t>
      </w:r>
      <w:r w:rsidR="00885D04" w:rsidRPr="009E2A20">
        <w:rPr>
          <w:rFonts w:ascii="Times New Roman" w:hAnsi="Times New Roman" w:cs="Times New Roman"/>
          <w:b/>
          <w:bCs/>
          <w:color w:val="000000" w:themeColor="text1"/>
          <w:sz w:val="24"/>
          <w:szCs w:val="24"/>
        </w:rPr>
        <w:t xml:space="preserve">. </w:t>
      </w:r>
      <w:r w:rsidR="00885D04" w:rsidRPr="009E2A20">
        <w:rPr>
          <w:rFonts w:ascii="Times New Roman" w:hAnsi="Times New Roman" w:cs="Times New Roman"/>
          <w:color w:val="000000" w:themeColor="text1"/>
          <w:sz w:val="24"/>
          <w:szCs w:val="24"/>
        </w:rPr>
        <w:t>Results examining the relationship between environmental stress factors obtained from bifactor modeling and Shen-268 network local efficiency during the stop signal task</w:t>
      </w:r>
      <w:bookmarkEnd w:id="46"/>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885D04" w14:paraId="2B6C0389" w14:textId="77777777" w:rsidTr="00AF1024">
        <w:trPr>
          <w:trHeight w:val="340"/>
        </w:trPr>
        <w:tc>
          <w:tcPr>
            <w:tcW w:w="1176" w:type="dxa"/>
            <w:tcBorders>
              <w:top w:val="nil"/>
              <w:left w:val="nil"/>
              <w:bottom w:val="single" w:sz="12" w:space="0" w:color="auto"/>
              <w:right w:val="nil"/>
            </w:tcBorders>
            <w:shd w:val="clear" w:color="auto" w:fill="auto"/>
            <w:noWrap/>
            <w:vAlign w:val="bottom"/>
            <w:hideMark/>
          </w:tcPr>
          <w:p w14:paraId="1B85E47E" w14:textId="77777777" w:rsidR="00885D04" w:rsidRDefault="00885D04">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A9B7010" w14:textId="77777777" w:rsidR="00885D04" w:rsidRDefault="00885D04">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38272227" w14:textId="77777777" w:rsidR="00885D04" w:rsidRDefault="00885D04">
            <w:pPr>
              <w:rPr>
                <w:color w:val="000000"/>
              </w:rPr>
            </w:pPr>
          </w:p>
        </w:tc>
        <w:tc>
          <w:tcPr>
            <w:tcW w:w="768" w:type="dxa"/>
            <w:tcBorders>
              <w:top w:val="nil"/>
              <w:left w:val="nil"/>
              <w:bottom w:val="single" w:sz="12" w:space="0" w:color="auto"/>
              <w:right w:val="nil"/>
            </w:tcBorders>
            <w:shd w:val="clear" w:color="auto" w:fill="auto"/>
            <w:noWrap/>
            <w:vAlign w:val="bottom"/>
            <w:hideMark/>
          </w:tcPr>
          <w:p w14:paraId="50561440"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153AC2D"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200F46B"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9AD7DF2"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FC574EB"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5234A91"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5F0656F"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270151D"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0E6BF71"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F4B3DF2"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4945C55"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AA7068A"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4B2B7EB" w14:textId="77777777" w:rsidR="00885D04" w:rsidRDefault="00885D0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7469FC4" w14:textId="77777777" w:rsidR="00885D04" w:rsidRDefault="00885D04">
            <w:pPr>
              <w:rPr>
                <w:sz w:val="20"/>
                <w:szCs w:val="20"/>
              </w:rPr>
            </w:pPr>
          </w:p>
        </w:tc>
      </w:tr>
      <w:tr w:rsidR="00885D04" w14:paraId="52BA5320" w14:textId="77777777" w:rsidTr="00AF1024">
        <w:trPr>
          <w:trHeight w:val="340"/>
        </w:trPr>
        <w:tc>
          <w:tcPr>
            <w:tcW w:w="1176" w:type="dxa"/>
            <w:tcBorders>
              <w:top w:val="single" w:sz="12" w:space="0" w:color="auto"/>
              <w:left w:val="nil"/>
              <w:bottom w:val="nil"/>
              <w:right w:val="nil"/>
            </w:tcBorders>
            <w:shd w:val="clear" w:color="auto" w:fill="auto"/>
            <w:noWrap/>
            <w:vAlign w:val="bottom"/>
            <w:hideMark/>
          </w:tcPr>
          <w:p w14:paraId="69D076BC" w14:textId="77777777" w:rsidR="00885D04" w:rsidRDefault="00885D04">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7D67ED93" w14:textId="77777777" w:rsidR="00885D04" w:rsidRDefault="00885D04">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17121418" w14:textId="339861EE" w:rsidR="00885D04" w:rsidRDefault="00885D04">
            <w:pPr>
              <w:jc w:val="center"/>
              <w:rPr>
                <w:color w:val="000000"/>
                <w:sz w:val="20"/>
                <w:szCs w:val="20"/>
              </w:rPr>
            </w:pPr>
            <w:r>
              <w:rPr>
                <w:color w:val="000000"/>
                <w:sz w:val="20"/>
                <w:szCs w:val="20"/>
              </w:rPr>
              <w:t>General</w:t>
            </w:r>
            <w:r w:rsidR="00857015">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B99A194" w14:textId="77777777" w:rsidR="00885D04" w:rsidRDefault="00885D04">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FD881D5" w14:textId="77777777" w:rsidR="00885D04" w:rsidRDefault="00885D04">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FF9A4C3" w14:textId="77777777" w:rsidR="00885D04" w:rsidRDefault="00885D04">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5732CB9E" w14:textId="77777777" w:rsidR="00885D04" w:rsidRDefault="00885D04">
            <w:pPr>
              <w:jc w:val="center"/>
              <w:rPr>
                <w:color w:val="000000"/>
                <w:sz w:val="20"/>
                <w:szCs w:val="20"/>
              </w:rPr>
            </w:pPr>
            <w:r>
              <w:rPr>
                <w:color w:val="000000"/>
                <w:sz w:val="20"/>
                <w:szCs w:val="20"/>
              </w:rPr>
              <w:t>Urbanicity</w:t>
            </w:r>
          </w:p>
        </w:tc>
      </w:tr>
      <w:tr w:rsidR="002125FE" w14:paraId="11A6D1BA" w14:textId="77777777" w:rsidTr="00AF1024">
        <w:trPr>
          <w:trHeight w:val="360"/>
        </w:trPr>
        <w:tc>
          <w:tcPr>
            <w:tcW w:w="1176" w:type="dxa"/>
            <w:tcBorders>
              <w:top w:val="nil"/>
              <w:left w:val="nil"/>
              <w:bottom w:val="single" w:sz="12" w:space="0" w:color="auto"/>
              <w:right w:val="nil"/>
            </w:tcBorders>
            <w:shd w:val="clear" w:color="auto" w:fill="auto"/>
            <w:noWrap/>
            <w:vAlign w:val="bottom"/>
            <w:hideMark/>
          </w:tcPr>
          <w:p w14:paraId="5113CD96"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7FC2E0F5"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723D25AA" w14:textId="20A20D55"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EDAE4F8" w14:textId="333A124A"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E8EBB76" w14:textId="55DC5CF9"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64BA6EA3" w14:textId="01E7B03A"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F335C13" w14:textId="787EC8B7"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0601E37" w14:textId="32E7083F"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1274119B" w14:textId="643424CA"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9D410D3" w14:textId="67E0C33F"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79613E5" w14:textId="34AF4385"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4385F63B" w14:textId="42BE13EB"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5441E90" w14:textId="03B17FAF"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15527B9" w14:textId="4B7C18F7"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AE19A87" w14:textId="72D6A500"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BF22156" w14:textId="1B53FBFC"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2F5901F" w14:textId="7FF6C138"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45192E" w14:paraId="61A82A43" w14:textId="77777777" w:rsidTr="00AF1024">
        <w:trPr>
          <w:trHeight w:val="320"/>
        </w:trPr>
        <w:tc>
          <w:tcPr>
            <w:tcW w:w="1176" w:type="dxa"/>
            <w:tcBorders>
              <w:top w:val="single" w:sz="12" w:space="0" w:color="auto"/>
              <w:left w:val="nil"/>
              <w:bottom w:val="nil"/>
              <w:right w:val="nil"/>
            </w:tcBorders>
            <w:shd w:val="clear" w:color="auto" w:fill="auto"/>
            <w:noWrap/>
            <w:vAlign w:val="bottom"/>
            <w:hideMark/>
          </w:tcPr>
          <w:p w14:paraId="47C88597" w14:textId="77777777" w:rsidR="0045192E" w:rsidRDefault="0045192E" w:rsidP="0045192E">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72B9D475" w14:textId="77777777" w:rsidR="0045192E" w:rsidRDefault="0045192E" w:rsidP="0045192E">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5E188E34" w14:textId="42BD0758" w:rsidR="0045192E" w:rsidRDefault="0045192E" w:rsidP="0045192E">
            <w:pPr>
              <w:jc w:val="right"/>
              <w:rPr>
                <w:color w:val="000000"/>
                <w:sz w:val="20"/>
                <w:szCs w:val="20"/>
              </w:rPr>
            </w:pPr>
            <w:r>
              <w:rPr>
                <w:color w:val="000000"/>
                <w:sz w:val="20"/>
                <w:szCs w:val="20"/>
              </w:rPr>
              <w:t>-0.023</w:t>
            </w:r>
          </w:p>
        </w:tc>
        <w:tc>
          <w:tcPr>
            <w:tcW w:w="768" w:type="dxa"/>
            <w:tcBorders>
              <w:top w:val="single" w:sz="12" w:space="0" w:color="auto"/>
              <w:left w:val="nil"/>
              <w:bottom w:val="nil"/>
              <w:right w:val="nil"/>
            </w:tcBorders>
            <w:shd w:val="clear" w:color="auto" w:fill="auto"/>
            <w:noWrap/>
            <w:vAlign w:val="bottom"/>
            <w:hideMark/>
          </w:tcPr>
          <w:p w14:paraId="6F144AE9" w14:textId="7FA64E32" w:rsidR="0045192E" w:rsidRDefault="0045192E" w:rsidP="0045192E">
            <w:pPr>
              <w:jc w:val="right"/>
              <w:rPr>
                <w:color w:val="000000"/>
                <w:sz w:val="20"/>
                <w:szCs w:val="20"/>
              </w:rPr>
            </w:pPr>
            <w:r>
              <w:rPr>
                <w:color w:val="000000"/>
                <w:sz w:val="20"/>
                <w:szCs w:val="20"/>
              </w:rPr>
              <w:t>0.716</w:t>
            </w:r>
          </w:p>
        </w:tc>
        <w:tc>
          <w:tcPr>
            <w:tcW w:w="768" w:type="dxa"/>
            <w:tcBorders>
              <w:top w:val="single" w:sz="12" w:space="0" w:color="auto"/>
              <w:left w:val="nil"/>
              <w:bottom w:val="nil"/>
              <w:right w:val="nil"/>
            </w:tcBorders>
            <w:shd w:val="clear" w:color="auto" w:fill="auto"/>
            <w:noWrap/>
            <w:vAlign w:val="bottom"/>
            <w:hideMark/>
          </w:tcPr>
          <w:p w14:paraId="788ACDAB" w14:textId="2C508F97" w:rsidR="0045192E" w:rsidRDefault="0045192E" w:rsidP="0045192E">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0001113C" w14:textId="2FEEC35D" w:rsidR="0045192E" w:rsidRDefault="0045192E" w:rsidP="0045192E">
            <w:pPr>
              <w:jc w:val="right"/>
              <w:rPr>
                <w:color w:val="000000"/>
                <w:sz w:val="20"/>
                <w:szCs w:val="20"/>
              </w:rPr>
            </w:pPr>
            <w:r>
              <w:rPr>
                <w:color w:val="000000"/>
                <w:sz w:val="20"/>
                <w:szCs w:val="20"/>
              </w:rPr>
              <w:t>-0.035</w:t>
            </w:r>
          </w:p>
        </w:tc>
        <w:tc>
          <w:tcPr>
            <w:tcW w:w="768" w:type="dxa"/>
            <w:tcBorders>
              <w:top w:val="single" w:sz="12" w:space="0" w:color="auto"/>
              <w:left w:val="nil"/>
              <w:bottom w:val="nil"/>
              <w:right w:val="nil"/>
            </w:tcBorders>
            <w:shd w:val="clear" w:color="auto" w:fill="auto"/>
            <w:noWrap/>
            <w:vAlign w:val="bottom"/>
            <w:hideMark/>
          </w:tcPr>
          <w:p w14:paraId="43FEE4DE" w14:textId="53044D38" w:rsidR="0045192E" w:rsidRDefault="0045192E" w:rsidP="0045192E">
            <w:pPr>
              <w:jc w:val="right"/>
              <w:rPr>
                <w:color w:val="000000"/>
                <w:sz w:val="20"/>
                <w:szCs w:val="20"/>
              </w:rPr>
            </w:pPr>
            <w:r>
              <w:rPr>
                <w:color w:val="000000"/>
                <w:sz w:val="20"/>
                <w:szCs w:val="20"/>
              </w:rPr>
              <w:t>0.831</w:t>
            </w:r>
          </w:p>
        </w:tc>
        <w:tc>
          <w:tcPr>
            <w:tcW w:w="768" w:type="dxa"/>
            <w:tcBorders>
              <w:top w:val="single" w:sz="12" w:space="0" w:color="auto"/>
              <w:left w:val="nil"/>
              <w:bottom w:val="nil"/>
              <w:right w:val="nil"/>
            </w:tcBorders>
            <w:shd w:val="clear" w:color="auto" w:fill="auto"/>
            <w:noWrap/>
            <w:vAlign w:val="bottom"/>
            <w:hideMark/>
          </w:tcPr>
          <w:p w14:paraId="249EE9B9" w14:textId="6835CC5D" w:rsidR="0045192E" w:rsidRDefault="0045192E" w:rsidP="0045192E">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7F793412" w14:textId="2EA2995D" w:rsidR="0045192E" w:rsidRDefault="0045192E" w:rsidP="0045192E">
            <w:pPr>
              <w:jc w:val="right"/>
              <w:rPr>
                <w:color w:val="000000"/>
                <w:sz w:val="20"/>
                <w:szCs w:val="20"/>
              </w:rPr>
            </w:pPr>
            <w:r>
              <w:rPr>
                <w:color w:val="000000"/>
                <w:sz w:val="20"/>
                <w:szCs w:val="20"/>
              </w:rPr>
              <w:t>-0.022</w:t>
            </w:r>
          </w:p>
        </w:tc>
        <w:tc>
          <w:tcPr>
            <w:tcW w:w="768" w:type="dxa"/>
            <w:tcBorders>
              <w:top w:val="single" w:sz="12" w:space="0" w:color="auto"/>
              <w:left w:val="nil"/>
              <w:bottom w:val="nil"/>
              <w:right w:val="nil"/>
            </w:tcBorders>
            <w:shd w:val="clear" w:color="auto" w:fill="auto"/>
            <w:noWrap/>
            <w:vAlign w:val="bottom"/>
            <w:hideMark/>
          </w:tcPr>
          <w:p w14:paraId="67CF9CE2" w14:textId="3AC58F49" w:rsidR="0045192E" w:rsidRDefault="0045192E" w:rsidP="0045192E">
            <w:pPr>
              <w:jc w:val="right"/>
              <w:rPr>
                <w:color w:val="000000"/>
                <w:sz w:val="20"/>
                <w:szCs w:val="20"/>
              </w:rPr>
            </w:pPr>
            <w:r>
              <w:rPr>
                <w:color w:val="000000"/>
                <w:sz w:val="20"/>
                <w:szCs w:val="20"/>
              </w:rPr>
              <w:t>0.618</w:t>
            </w:r>
          </w:p>
        </w:tc>
        <w:tc>
          <w:tcPr>
            <w:tcW w:w="768" w:type="dxa"/>
            <w:tcBorders>
              <w:top w:val="single" w:sz="12" w:space="0" w:color="auto"/>
              <w:left w:val="nil"/>
              <w:bottom w:val="nil"/>
              <w:right w:val="nil"/>
            </w:tcBorders>
            <w:shd w:val="clear" w:color="auto" w:fill="auto"/>
            <w:noWrap/>
            <w:vAlign w:val="bottom"/>
            <w:hideMark/>
          </w:tcPr>
          <w:p w14:paraId="22C27E2B" w14:textId="286EA67F" w:rsidR="0045192E" w:rsidRDefault="0045192E" w:rsidP="0045192E">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A6EF8F6" w14:textId="78177875" w:rsidR="0045192E" w:rsidRDefault="0045192E" w:rsidP="0045192E">
            <w:pPr>
              <w:jc w:val="right"/>
              <w:rPr>
                <w:color w:val="000000"/>
                <w:sz w:val="20"/>
                <w:szCs w:val="20"/>
              </w:rPr>
            </w:pPr>
            <w:r>
              <w:rPr>
                <w:color w:val="000000"/>
                <w:sz w:val="20"/>
                <w:szCs w:val="20"/>
              </w:rPr>
              <w:t>-0.024</w:t>
            </w:r>
          </w:p>
        </w:tc>
        <w:tc>
          <w:tcPr>
            <w:tcW w:w="768" w:type="dxa"/>
            <w:tcBorders>
              <w:top w:val="single" w:sz="12" w:space="0" w:color="auto"/>
              <w:left w:val="nil"/>
              <w:bottom w:val="nil"/>
              <w:right w:val="nil"/>
            </w:tcBorders>
            <w:shd w:val="clear" w:color="auto" w:fill="auto"/>
            <w:noWrap/>
            <w:vAlign w:val="bottom"/>
            <w:hideMark/>
          </w:tcPr>
          <w:p w14:paraId="2E51B7D4" w14:textId="23BF4E24" w:rsidR="0045192E" w:rsidRDefault="0045192E" w:rsidP="0045192E">
            <w:pPr>
              <w:jc w:val="right"/>
              <w:rPr>
                <w:color w:val="000000"/>
                <w:sz w:val="20"/>
                <w:szCs w:val="20"/>
              </w:rPr>
            </w:pPr>
            <w:r>
              <w:rPr>
                <w:color w:val="000000"/>
                <w:sz w:val="20"/>
                <w:szCs w:val="20"/>
              </w:rPr>
              <w:t>0.797</w:t>
            </w:r>
          </w:p>
        </w:tc>
        <w:tc>
          <w:tcPr>
            <w:tcW w:w="768" w:type="dxa"/>
            <w:tcBorders>
              <w:top w:val="single" w:sz="12" w:space="0" w:color="auto"/>
              <w:left w:val="nil"/>
              <w:bottom w:val="nil"/>
              <w:right w:val="nil"/>
            </w:tcBorders>
            <w:shd w:val="clear" w:color="auto" w:fill="auto"/>
            <w:noWrap/>
            <w:vAlign w:val="bottom"/>
            <w:hideMark/>
          </w:tcPr>
          <w:p w14:paraId="10061E47" w14:textId="2239D64D" w:rsidR="0045192E" w:rsidRDefault="0045192E" w:rsidP="0045192E">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55C45099" w14:textId="49DCAB61" w:rsidR="0045192E" w:rsidRDefault="0045192E" w:rsidP="0045192E">
            <w:pPr>
              <w:jc w:val="right"/>
              <w:rPr>
                <w:color w:val="000000"/>
                <w:sz w:val="20"/>
                <w:szCs w:val="20"/>
              </w:rPr>
            </w:pPr>
            <w:r>
              <w:rPr>
                <w:color w:val="000000"/>
                <w:sz w:val="20"/>
                <w:szCs w:val="20"/>
              </w:rPr>
              <w:t>0.022</w:t>
            </w:r>
          </w:p>
        </w:tc>
        <w:tc>
          <w:tcPr>
            <w:tcW w:w="768" w:type="dxa"/>
            <w:tcBorders>
              <w:top w:val="single" w:sz="12" w:space="0" w:color="auto"/>
              <w:left w:val="nil"/>
              <w:bottom w:val="nil"/>
              <w:right w:val="nil"/>
            </w:tcBorders>
            <w:shd w:val="clear" w:color="auto" w:fill="auto"/>
            <w:noWrap/>
            <w:vAlign w:val="bottom"/>
            <w:hideMark/>
          </w:tcPr>
          <w:p w14:paraId="6754F05F" w14:textId="011C579E" w:rsidR="0045192E" w:rsidRDefault="0045192E" w:rsidP="0045192E">
            <w:pPr>
              <w:jc w:val="right"/>
              <w:rPr>
                <w:color w:val="000000"/>
                <w:sz w:val="20"/>
                <w:szCs w:val="20"/>
              </w:rPr>
            </w:pPr>
            <w:r>
              <w:rPr>
                <w:color w:val="000000"/>
                <w:sz w:val="20"/>
                <w:szCs w:val="20"/>
              </w:rPr>
              <w:t>0.942</w:t>
            </w:r>
          </w:p>
        </w:tc>
        <w:tc>
          <w:tcPr>
            <w:tcW w:w="768" w:type="dxa"/>
            <w:tcBorders>
              <w:top w:val="single" w:sz="12" w:space="0" w:color="auto"/>
              <w:left w:val="nil"/>
              <w:bottom w:val="nil"/>
              <w:right w:val="nil"/>
            </w:tcBorders>
            <w:shd w:val="clear" w:color="auto" w:fill="auto"/>
            <w:noWrap/>
            <w:vAlign w:val="bottom"/>
            <w:hideMark/>
          </w:tcPr>
          <w:p w14:paraId="409650D7" w14:textId="0F57B220" w:rsidR="0045192E" w:rsidRDefault="0045192E" w:rsidP="0045192E">
            <w:pPr>
              <w:jc w:val="right"/>
              <w:rPr>
                <w:color w:val="000000"/>
                <w:sz w:val="20"/>
                <w:szCs w:val="20"/>
              </w:rPr>
            </w:pPr>
            <w:r>
              <w:rPr>
                <w:color w:val="000000"/>
                <w:sz w:val="20"/>
                <w:szCs w:val="20"/>
              </w:rPr>
              <w:t>0.000</w:t>
            </w:r>
          </w:p>
        </w:tc>
      </w:tr>
      <w:tr w:rsidR="0045192E" w14:paraId="154AD349" w14:textId="77777777" w:rsidTr="00885D04">
        <w:trPr>
          <w:trHeight w:val="340"/>
        </w:trPr>
        <w:tc>
          <w:tcPr>
            <w:tcW w:w="1176" w:type="dxa"/>
            <w:tcBorders>
              <w:top w:val="nil"/>
              <w:left w:val="nil"/>
              <w:bottom w:val="nil"/>
              <w:right w:val="nil"/>
            </w:tcBorders>
            <w:shd w:val="clear" w:color="auto" w:fill="auto"/>
            <w:noWrap/>
            <w:vAlign w:val="bottom"/>
            <w:hideMark/>
          </w:tcPr>
          <w:p w14:paraId="0B6A243C"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FCC7C0" w14:textId="77777777" w:rsidR="0045192E" w:rsidRDefault="0045192E" w:rsidP="0045192E">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987BBD5" w14:textId="212040E8" w:rsidR="0045192E" w:rsidRDefault="0045192E" w:rsidP="0045192E">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473DC53B" w14:textId="186DC19C" w:rsidR="0045192E" w:rsidRDefault="0045192E" w:rsidP="0045192E">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27C433AA" w14:textId="06FD4E69" w:rsidR="0045192E" w:rsidRDefault="0045192E" w:rsidP="0045192E">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CFEC252" w14:textId="5FF7E496" w:rsidR="0045192E" w:rsidRDefault="0045192E" w:rsidP="0045192E">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4719B28" w14:textId="2F4E8BB0" w:rsidR="0045192E" w:rsidRDefault="0045192E" w:rsidP="0045192E">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555A1F6D" w14:textId="20F6BE4B"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7486E4" w14:textId="53C8ABD6" w:rsidR="0045192E" w:rsidRDefault="0045192E" w:rsidP="0045192E">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7A67C10D" w14:textId="2AC774EC" w:rsidR="0045192E" w:rsidRDefault="0045192E" w:rsidP="0045192E">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79660309" w14:textId="030F961E"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98F5F16" w14:textId="5214554A" w:rsidR="0045192E" w:rsidRDefault="0045192E" w:rsidP="0045192E">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C3FC1B4" w14:textId="5FB0C1AF" w:rsidR="0045192E" w:rsidRDefault="0045192E" w:rsidP="0045192E">
            <w:pPr>
              <w:jc w:val="right"/>
              <w:rPr>
                <w:color w:val="000000"/>
                <w:sz w:val="20"/>
                <w:szCs w:val="20"/>
              </w:rPr>
            </w:pPr>
            <w:r>
              <w:rPr>
                <w:color w:val="000000"/>
                <w:sz w:val="20"/>
                <w:szCs w:val="20"/>
              </w:rPr>
              <w:t>0.797</w:t>
            </w:r>
          </w:p>
        </w:tc>
        <w:tc>
          <w:tcPr>
            <w:tcW w:w="768" w:type="dxa"/>
            <w:tcBorders>
              <w:top w:val="nil"/>
              <w:left w:val="nil"/>
              <w:bottom w:val="nil"/>
              <w:right w:val="nil"/>
            </w:tcBorders>
            <w:shd w:val="clear" w:color="auto" w:fill="auto"/>
            <w:noWrap/>
            <w:vAlign w:val="bottom"/>
            <w:hideMark/>
          </w:tcPr>
          <w:p w14:paraId="64F71A1D" w14:textId="68D1B139"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B1B0F6" w14:textId="4DE16D8F" w:rsidR="0045192E" w:rsidRDefault="0045192E" w:rsidP="0045192E">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19DEB2D3" w14:textId="764C9846" w:rsidR="0045192E" w:rsidRDefault="0045192E" w:rsidP="0045192E">
            <w:pPr>
              <w:jc w:val="right"/>
              <w:rPr>
                <w:color w:val="000000"/>
                <w:sz w:val="20"/>
                <w:szCs w:val="20"/>
              </w:rPr>
            </w:pPr>
            <w:r>
              <w:rPr>
                <w:color w:val="000000"/>
                <w:sz w:val="20"/>
                <w:szCs w:val="20"/>
              </w:rPr>
              <w:t>0.219</w:t>
            </w:r>
          </w:p>
        </w:tc>
        <w:tc>
          <w:tcPr>
            <w:tcW w:w="768" w:type="dxa"/>
            <w:tcBorders>
              <w:top w:val="nil"/>
              <w:left w:val="nil"/>
              <w:bottom w:val="nil"/>
              <w:right w:val="nil"/>
            </w:tcBorders>
            <w:shd w:val="clear" w:color="auto" w:fill="auto"/>
            <w:noWrap/>
            <w:vAlign w:val="bottom"/>
            <w:hideMark/>
          </w:tcPr>
          <w:p w14:paraId="0F7EFA09" w14:textId="4243FFE1" w:rsidR="0045192E" w:rsidRDefault="0045192E" w:rsidP="0045192E">
            <w:pPr>
              <w:jc w:val="right"/>
              <w:rPr>
                <w:color w:val="000000"/>
                <w:sz w:val="20"/>
                <w:szCs w:val="20"/>
              </w:rPr>
            </w:pPr>
            <w:r>
              <w:rPr>
                <w:color w:val="000000"/>
                <w:sz w:val="20"/>
                <w:szCs w:val="20"/>
              </w:rPr>
              <w:t>0.006</w:t>
            </w:r>
          </w:p>
        </w:tc>
      </w:tr>
      <w:tr w:rsidR="0045192E" w14:paraId="49E96D38" w14:textId="77777777" w:rsidTr="00885D04">
        <w:trPr>
          <w:trHeight w:val="320"/>
        </w:trPr>
        <w:tc>
          <w:tcPr>
            <w:tcW w:w="1176" w:type="dxa"/>
            <w:tcBorders>
              <w:top w:val="nil"/>
              <w:left w:val="nil"/>
              <w:bottom w:val="nil"/>
              <w:right w:val="nil"/>
            </w:tcBorders>
            <w:shd w:val="clear" w:color="auto" w:fill="auto"/>
            <w:noWrap/>
            <w:vAlign w:val="bottom"/>
            <w:hideMark/>
          </w:tcPr>
          <w:p w14:paraId="72984AD8"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77C2A91" w14:textId="77777777" w:rsidR="0045192E" w:rsidRDefault="0045192E" w:rsidP="0045192E">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179DE4E" w14:textId="600BE581" w:rsidR="0045192E" w:rsidRDefault="0045192E" w:rsidP="0045192E">
            <w:pPr>
              <w:jc w:val="right"/>
              <w:rPr>
                <w:color w:val="000000"/>
                <w:sz w:val="20"/>
                <w:szCs w:val="20"/>
              </w:rPr>
            </w:pPr>
            <w:r>
              <w:rPr>
                <w:color w:val="000000"/>
                <w:sz w:val="20"/>
                <w:szCs w:val="20"/>
              </w:rPr>
              <w:t>-0.103</w:t>
            </w:r>
          </w:p>
        </w:tc>
        <w:tc>
          <w:tcPr>
            <w:tcW w:w="768" w:type="dxa"/>
            <w:tcBorders>
              <w:top w:val="nil"/>
              <w:left w:val="nil"/>
              <w:bottom w:val="nil"/>
              <w:right w:val="nil"/>
            </w:tcBorders>
            <w:shd w:val="clear" w:color="auto" w:fill="auto"/>
            <w:noWrap/>
            <w:vAlign w:val="bottom"/>
            <w:hideMark/>
          </w:tcPr>
          <w:p w14:paraId="4B524A2D" w14:textId="4D24DF3F" w:rsidR="0045192E" w:rsidRDefault="0045192E" w:rsidP="0045192E">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2EF47325" w14:textId="6D692384" w:rsidR="0045192E" w:rsidRDefault="0045192E" w:rsidP="0045192E">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2F22143" w14:textId="739F5AD9" w:rsidR="0045192E" w:rsidRDefault="0045192E" w:rsidP="0045192E">
            <w:pPr>
              <w:jc w:val="right"/>
              <w:rPr>
                <w:color w:val="000000"/>
                <w:sz w:val="20"/>
                <w:szCs w:val="20"/>
              </w:rPr>
            </w:pPr>
            <w:r>
              <w:rPr>
                <w:color w:val="000000"/>
                <w:sz w:val="20"/>
                <w:szCs w:val="20"/>
              </w:rPr>
              <w:t>0.139</w:t>
            </w:r>
          </w:p>
        </w:tc>
        <w:tc>
          <w:tcPr>
            <w:tcW w:w="768" w:type="dxa"/>
            <w:tcBorders>
              <w:top w:val="nil"/>
              <w:left w:val="nil"/>
              <w:bottom w:val="nil"/>
              <w:right w:val="nil"/>
            </w:tcBorders>
            <w:shd w:val="clear" w:color="auto" w:fill="auto"/>
            <w:noWrap/>
            <w:vAlign w:val="bottom"/>
            <w:hideMark/>
          </w:tcPr>
          <w:p w14:paraId="4DF30AD7" w14:textId="5024632C" w:rsidR="0045192E" w:rsidRDefault="0045192E" w:rsidP="0045192E">
            <w:pPr>
              <w:jc w:val="right"/>
              <w:rPr>
                <w:color w:val="000000"/>
                <w:sz w:val="20"/>
                <w:szCs w:val="20"/>
              </w:rPr>
            </w:pPr>
            <w:r>
              <w:rPr>
                <w:color w:val="000000"/>
                <w:sz w:val="20"/>
                <w:szCs w:val="20"/>
              </w:rPr>
              <w:t>0.312</w:t>
            </w:r>
          </w:p>
        </w:tc>
        <w:tc>
          <w:tcPr>
            <w:tcW w:w="768" w:type="dxa"/>
            <w:tcBorders>
              <w:top w:val="nil"/>
              <w:left w:val="nil"/>
              <w:bottom w:val="nil"/>
              <w:right w:val="nil"/>
            </w:tcBorders>
            <w:shd w:val="clear" w:color="auto" w:fill="auto"/>
            <w:noWrap/>
            <w:vAlign w:val="bottom"/>
            <w:hideMark/>
          </w:tcPr>
          <w:p w14:paraId="7FF3AB8D" w14:textId="798EA520" w:rsidR="0045192E" w:rsidRDefault="0045192E" w:rsidP="0045192E">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2092B12" w14:textId="6E6B1BCB" w:rsidR="0045192E" w:rsidRDefault="0045192E" w:rsidP="0045192E">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74C62C46" w14:textId="565EC855" w:rsidR="0045192E" w:rsidRDefault="0045192E" w:rsidP="0045192E">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719D785B" w14:textId="44576D29" w:rsidR="0045192E" w:rsidRDefault="0045192E" w:rsidP="0045192E">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11F2FDF" w14:textId="47995339" w:rsidR="0045192E" w:rsidRDefault="0045192E" w:rsidP="0045192E">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47C5EBE" w14:textId="743A791C" w:rsidR="0045192E" w:rsidRDefault="0045192E" w:rsidP="0045192E">
            <w:pPr>
              <w:jc w:val="right"/>
              <w:rPr>
                <w:color w:val="000000"/>
                <w:sz w:val="20"/>
                <w:szCs w:val="20"/>
              </w:rPr>
            </w:pPr>
            <w:r>
              <w:rPr>
                <w:color w:val="000000"/>
                <w:sz w:val="20"/>
                <w:szCs w:val="20"/>
              </w:rPr>
              <w:t>0.842</w:t>
            </w:r>
          </w:p>
        </w:tc>
        <w:tc>
          <w:tcPr>
            <w:tcW w:w="768" w:type="dxa"/>
            <w:tcBorders>
              <w:top w:val="nil"/>
              <w:left w:val="nil"/>
              <w:bottom w:val="nil"/>
              <w:right w:val="nil"/>
            </w:tcBorders>
            <w:shd w:val="clear" w:color="auto" w:fill="auto"/>
            <w:noWrap/>
            <w:vAlign w:val="bottom"/>
            <w:hideMark/>
          </w:tcPr>
          <w:p w14:paraId="124B8BF9" w14:textId="2DCE700C"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74586FA" w14:textId="07A09B72" w:rsidR="0045192E" w:rsidRDefault="0045192E" w:rsidP="0045192E">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1581583" w14:textId="1430E367" w:rsidR="0045192E" w:rsidRDefault="0045192E" w:rsidP="0045192E">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6B3E239F" w14:textId="6FAF0065" w:rsidR="0045192E" w:rsidRDefault="0045192E" w:rsidP="0045192E">
            <w:pPr>
              <w:jc w:val="right"/>
              <w:rPr>
                <w:color w:val="000000"/>
                <w:sz w:val="20"/>
                <w:szCs w:val="20"/>
              </w:rPr>
            </w:pPr>
            <w:r>
              <w:rPr>
                <w:color w:val="000000"/>
                <w:sz w:val="20"/>
                <w:szCs w:val="20"/>
              </w:rPr>
              <w:t>0.001</w:t>
            </w:r>
          </w:p>
        </w:tc>
      </w:tr>
      <w:tr w:rsidR="0045192E" w14:paraId="3031E578" w14:textId="77777777" w:rsidTr="00885D04">
        <w:trPr>
          <w:trHeight w:val="320"/>
        </w:trPr>
        <w:tc>
          <w:tcPr>
            <w:tcW w:w="1176" w:type="dxa"/>
            <w:tcBorders>
              <w:top w:val="nil"/>
              <w:left w:val="nil"/>
              <w:bottom w:val="nil"/>
              <w:right w:val="nil"/>
            </w:tcBorders>
            <w:shd w:val="clear" w:color="auto" w:fill="auto"/>
            <w:noWrap/>
            <w:vAlign w:val="bottom"/>
            <w:hideMark/>
          </w:tcPr>
          <w:p w14:paraId="1B0FCAE6"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E78CF5" w14:textId="77777777" w:rsidR="0045192E" w:rsidRDefault="0045192E" w:rsidP="0045192E">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9175DB6" w14:textId="054D77C5" w:rsidR="0045192E" w:rsidRDefault="0045192E" w:rsidP="0045192E">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3072C644" w14:textId="60CDC413" w:rsidR="0045192E" w:rsidRDefault="0045192E" w:rsidP="0045192E">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3E2CEC8E" w14:textId="6B60BAA2"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C7BD2DC" w14:textId="7C1A7A6B" w:rsidR="0045192E" w:rsidRDefault="0045192E" w:rsidP="0045192E">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15552282" w14:textId="4335E309" w:rsidR="0045192E" w:rsidRDefault="0045192E" w:rsidP="0045192E">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7E198DDE" w14:textId="731403F9"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648A24" w14:textId="52546EE7" w:rsidR="0045192E" w:rsidRDefault="0045192E" w:rsidP="0045192E">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D1450BB" w14:textId="12B21BBB" w:rsidR="0045192E" w:rsidRDefault="0045192E" w:rsidP="0045192E">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3F6A04FA" w14:textId="5407629E"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4DCC27" w14:textId="721FE993" w:rsidR="0045192E" w:rsidRDefault="0045192E" w:rsidP="0045192E">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009DCC23" w14:textId="295F7A7A" w:rsidR="0045192E" w:rsidRDefault="0045192E" w:rsidP="0045192E">
            <w:pPr>
              <w:jc w:val="right"/>
              <w:rPr>
                <w:color w:val="000000"/>
                <w:sz w:val="20"/>
                <w:szCs w:val="20"/>
              </w:rPr>
            </w:pPr>
            <w:r>
              <w:rPr>
                <w:color w:val="000000"/>
                <w:sz w:val="20"/>
                <w:szCs w:val="20"/>
              </w:rPr>
              <w:t>0.788</w:t>
            </w:r>
          </w:p>
        </w:tc>
        <w:tc>
          <w:tcPr>
            <w:tcW w:w="768" w:type="dxa"/>
            <w:tcBorders>
              <w:top w:val="nil"/>
              <w:left w:val="nil"/>
              <w:bottom w:val="nil"/>
              <w:right w:val="nil"/>
            </w:tcBorders>
            <w:shd w:val="clear" w:color="auto" w:fill="auto"/>
            <w:noWrap/>
            <w:vAlign w:val="bottom"/>
            <w:hideMark/>
          </w:tcPr>
          <w:p w14:paraId="40AD17A2" w14:textId="0FB9E5A3" w:rsidR="0045192E" w:rsidRDefault="0045192E" w:rsidP="0045192E">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B706F2E" w14:textId="6B0834E1" w:rsidR="0045192E" w:rsidRDefault="0045192E" w:rsidP="0045192E">
            <w:pPr>
              <w:jc w:val="right"/>
              <w:rPr>
                <w:color w:val="000000"/>
                <w:sz w:val="20"/>
                <w:szCs w:val="20"/>
              </w:rPr>
            </w:pPr>
            <w:r>
              <w:rPr>
                <w:color w:val="000000"/>
                <w:sz w:val="20"/>
                <w:szCs w:val="20"/>
              </w:rPr>
              <w:t>-0.161</w:t>
            </w:r>
          </w:p>
        </w:tc>
        <w:tc>
          <w:tcPr>
            <w:tcW w:w="768" w:type="dxa"/>
            <w:tcBorders>
              <w:top w:val="nil"/>
              <w:left w:val="nil"/>
              <w:bottom w:val="nil"/>
              <w:right w:val="nil"/>
            </w:tcBorders>
            <w:shd w:val="clear" w:color="auto" w:fill="auto"/>
            <w:noWrap/>
            <w:vAlign w:val="bottom"/>
            <w:hideMark/>
          </w:tcPr>
          <w:p w14:paraId="33660809" w14:textId="49909344" w:rsidR="0045192E" w:rsidRDefault="0045192E" w:rsidP="0045192E">
            <w:pPr>
              <w:jc w:val="right"/>
              <w:rPr>
                <w:color w:val="000000"/>
                <w:sz w:val="20"/>
                <w:szCs w:val="20"/>
              </w:rPr>
            </w:pPr>
            <w:r>
              <w:rPr>
                <w:color w:val="000000"/>
                <w:sz w:val="20"/>
                <w:szCs w:val="20"/>
              </w:rPr>
              <w:t>0.219</w:t>
            </w:r>
          </w:p>
        </w:tc>
        <w:tc>
          <w:tcPr>
            <w:tcW w:w="768" w:type="dxa"/>
            <w:tcBorders>
              <w:top w:val="nil"/>
              <w:left w:val="nil"/>
              <w:bottom w:val="nil"/>
              <w:right w:val="nil"/>
            </w:tcBorders>
            <w:shd w:val="clear" w:color="auto" w:fill="auto"/>
            <w:noWrap/>
            <w:vAlign w:val="bottom"/>
            <w:hideMark/>
          </w:tcPr>
          <w:p w14:paraId="6C4F1051" w14:textId="0BAD4029" w:rsidR="0045192E" w:rsidRDefault="0045192E" w:rsidP="0045192E">
            <w:pPr>
              <w:jc w:val="right"/>
              <w:rPr>
                <w:color w:val="000000"/>
                <w:sz w:val="20"/>
                <w:szCs w:val="20"/>
              </w:rPr>
            </w:pPr>
            <w:r>
              <w:rPr>
                <w:color w:val="000000"/>
                <w:sz w:val="20"/>
                <w:szCs w:val="20"/>
              </w:rPr>
              <w:t>0.026</w:t>
            </w:r>
          </w:p>
        </w:tc>
      </w:tr>
      <w:tr w:rsidR="0045192E" w14:paraId="0E923AE5" w14:textId="77777777" w:rsidTr="00885D04">
        <w:trPr>
          <w:trHeight w:val="320"/>
        </w:trPr>
        <w:tc>
          <w:tcPr>
            <w:tcW w:w="1176" w:type="dxa"/>
            <w:tcBorders>
              <w:top w:val="nil"/>
              <w:left w:val="nil"/>
              <w:bottom w:val="nil"/>
              <w:right w:val="nil"/>
            </w:tcBorders>
            <w:shd w:val="clear" w:color="auto" w:fill="auto"/>
            <w:noWrap/>
            <w:vAlign w:val="bottom"/>
            <w:hideMark/>
          </w:tcPr>
          <w:p w14:paraId="053CF1C2"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1345B2" w14:textId="77777777" w:rsidR="0045192E" w:rsidRDefault="0045192E" w:rsidP="0045192E">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4656335" w14:textId="116D1920" w:rsidR="0045192E" w:rsidRDefault="0045192E" w:rsidP="0045192E">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109B9BCF" w14:textId="6B2F91EF" w:rsidR="0045192E" w:rsidRDefault="0045192E" w:rsidP="0045192E">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3CB5067A" w14:textId="2C89AE82" w:rsidR="0045192E" w:rsidRDefault="0045192E" w:rsidP="0045192E">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7C64B98" w14:textId="2CE5B76F" w:rsidR="0045192E" w:rsidRDefault="0045192E" w:rsidP="0045192E">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D4EAE74" w14:textId="34A64F14" w:rsidR="0045192E" w:rsidRDefault="0045192E" w:rsidP="0045192E">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2E8786BC" w14:textId="5B2ECB20"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48B809" w14:textId="2803B682" w:rsidR="0045192E" w:rsidRDefault="0045192E" w:rsidP="0045192E">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20C8EDAA" w14:textId="30E2D0D2" w:rsidR="0045192E" w:rsidRDefault="0045192E" w:rsidP="0045192E">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575255AB" w14:textId="112E3DFF"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CAD62D5" w14:textId="2DBD1B8E" w:rsidR="0045192E" w:rsidRDefault="0045192E" w:rsidP="0045192E">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72B53375" w14:textId="306B32F2" w:rsidR="0045192E" w:rsidRDefault="0045192E" w:rsidP="0045192E">
            <w:pPr>
              <w:jc w:val="right"/>
              <w:rPr>
                <w:color w:val="000000"/>
                <w:sz w:val="20"/>
                <w:szCs w:val="20"/>
              </w:rPr>
            </w:pPr>
            <w:r>
              <w:rPr>
                <w:color w:val="000000"/>
                <w:sz w:val="20"/>
                <w:szCs w:val="20"/>
              </w:rPr>
              <w:t>0.797</w:t>
            </w:r>
          </w:p>
        </w:tc>
        <w:tc>
          <w:tcPr>
            <w:tcW w:w="768" w:type="dxa"/>
            <w:tcBorders>
              <w:top w:val="nil"/>
              <w:left w:val="nil"/>
              <w:bottom w:val="nil"/>
              <w:right w:val="nil"/>
            </w:tcBorders>
            <w:shd w:val="clear" w:color="auto" w:fill="auto"/>
            <w:noWrap/>
            <w:vAlign w:val="bottom"/>
            <w:hideMark/>
          </w:tcPr>
          <w:p w14:paraId="2C84048B" w14:textId="3C410A56"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AF17D8" w14:textId="1082A7F1" w:rsidR="0045192E" w:rsidRDefault="0045192E" w:rsidP="0045192E">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5B32A105" w14:textId="3E28FBCE" w:rsidR="0045192E" w:rsidRDefault="0045192E" w:rsidP="0045192E">
            <w:pPr>
              <w:jc w:val="right"/>
              <w:rPr>
                <w:color w:val="000000"/>
                <w:sz w:val="20"/>
                <w:szCs w:val="20"/>
              </w:rPr>
            </w:pPr>
            <w:r>
              <w:rPr>
                <w:color w:val="000000"/>
                <w:sz w:val="20"/>
                <w:szCs w:val="20"/>
              </w:rPr>
              <w:t>0.219</w:t>
            </w:r>
          </w:p>
        </w:tc>
        <w:tc>
          <w:tcPr>
            <w:tcW w:w="768" w:type="dxa"/>
            <w:tcBorders>
              <w:top w:val="nil"/>
              <w:left w:val="nil"/>
              <w:bottom w:val="nil"/>
              <w:right w:val="nil"/>
            </w:tcBorders>
            <w:shd w:val="clear" w:color="auto" w:fill="auto"/>
            <w:noWrap/>
            <w:vAlign w:val="bottom"/>
            <w:hideMark/>
          </w:tcPr>
          <w:p w14:paraId="405817B4" w14:textId="498A43E7" w:rsidR="0045192E" w:rsidRDefault="0045192E" w:rsidP="0045192E">
            <w:pPr>
              <w:jc w:val="right"/>
              <w:rPr>
                <w:color w:val="000000"/>
                <w:sz w:val="20"/>
                <w:szCs w:val="20"/>
              </w:rPr>
            </w:pPr>
            <w:r>
              <w:rPr>
                <w:color w:val="000000"/>
                <w:sz w:val="20"/>
                <w:szCs w:val="20"/>
              </w:rPr>
              <w:t>0.013</w:t>
            </w:r>
          </w:p>
        </w:tc>
      </w:tr>
      <w:tr w:rsidR="0045192E" w14:paraId="59848BBE" w14:textId="77777777" w:rsidTr="00885D04">
        <w:trPr>
          <w:trHeight w:val="320"/>
        </w:trPr>
        <w:tc>
          <w:tcPr>
            <w:tcW w:w="1176" w:type="dxa"/>
            <w:tcBorders>
              <w:top w:val="nil"/>
              <w:left w:val="nil"/>
              <w:bottom w:val="nil"/>
              <w:right w:val="nil"/>
            </w:tcBorders>
            <w:shd w:val="clear" w:color="auto" w:fill="auto"/>
            <w:noWrap/>
            <w:vAlign w:val="bottom"/>
            <w:hideMark/>
          </w:tcPr>
          <w:p w14:paraId="1AEA2940"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3D4FB9" w14:textId="77777777" w:rsidR="0045192E" w:rsidRDefault="0045192E" w:rsidP="0045192E">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F282D05" w14:textId="5488009D" w:rsidR="0045192E" w:rsidRDefault="0045192E" w:rsidP="0045192E">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2353F73A" w14:textId="267E2B41" w:rsidR="0045192E" w:rsidRDefault="0045192E" w:rsidP="0045192E">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674040D0" w14:textId="3C13D0C9"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703561D" w14:textId="576D4972" w:rsidR="0045192E" w:rsidRDefault="0045192E" w:rsidP="0045192E">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60B5540" w14:textId="326884AC" w:rsidR="0045192E" w:rsidRDefault="0045192E" w:rsidP="0045192E">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3BD2535D" w14:textId="6C87AFC8"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D4EBD5" w14:textId="4A16B98E" w:rsidR="0045192E" w:rsidRDefault="0045192E" w:rsidP="0045192E">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19680414" w14:textId="7F8AD423" w:rsidR="0045192E" w:rsidRDefault="0045192E" w:rsidP="0045192E">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4671217F" w14:textId="76800C8F"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D1EE1BF" w14:textId="17BBC99C" w:rsidR="0045192E" w:rsidRDefault="0045192E" w:rsidP="0045192E">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4C749B6" w14:textId="0EB3BBB7" w:rsidR="0045192E" w:rsidRDefault="0045192E" w:rsidP="0045192E">
            <w:pPr>
              <w:jc w:val="right"/>
              <w:rPr>
                <w:color w:val="000000"/>
                <w:sz w:val="20"/>
                <w:szCs w:val="20"/>
              </w:rPr>
            </w:pPr>
            <w:r>
              <w:rPr>
                <w:color w:val="000000"/>
                <w:sz w:val="20"/>
                <w:szCs w:val="20"/>
              </w:rPr>
              <w:t>0.819</w:t>
            </w:r>
          </w:p>
        </w:tc>
        <w:tc>
          <w:tcPr>
            <w:tcW w:w="768" w:type="dxa"/>
            <w:tcBorders>
              <w:top w:val="nil"/>
              <w:left w:val="nil"/>
              <w:bottom w:val="nil"/>
              <w:right w:val="nil"/>
            </w:tcBorders>
            <w:shd w:val="clear" w:color="auto" w:fill="auto"/>
            <w:noWrap/>
            <w:vAlign w:val="bottom"/>
            <w:hideMark/>
          </w:tcPr>
          <w:p w14:paraId="0C637F32" w14:textId="2CAB9446"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135DDB" w14:textId="140C9C87"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2047957" w14:textId="4A471472" w:rsidR="0045192E" w:rsidRDefault="0045192E" w:rsidP="0045192E">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60AFF630" w14:textId="1E2E3459" w:rsidR="0045192E" w:rsidRDefault="0045192E" w:rsidP="0045192E">
            <w:pPr>
              <w:jc w:val="right"/>
              <w:rPr>
                <w:color w:val="000000"/>
                <w:sz w:val="20"/>
                <w:szCs w:val="20"/>
              </w:rPr>
            </w:pPr>
            <w:r>
              <w:rPr>
                <w:color w:val="000000"/>
                <w:sz w:val="20"/>
                <w:szCs w:val="20"/>
              </w:rPr>
              <w:t>0.000</w:t>
            </w:r>
          </w:p>
        </w:tc>
      </w:tr>
      <w:tr w:rsidR="0045192E" w14:paraId="4308C6E5" w14:textId="77777777" w:rsidTr="00885D04">
        <w:trPr>
          <w:trHeight w:val="320"/>
        </w:trPr>
        <w:tc>
          <w:tcPr>
            <w:tcW w:w="1176" w:type="dxa"/>
            <w:tcBorders>
              <w:top w:val="nil"/>
              <w:left w:val="nil"/>
              <w:bottom w:val="nil"/>
              <w:right w:val="nil"/>
            </w:tcBorders>
            <w:shd w:val="clear" w:color="auto" w:fill="auto"/>
            <w:noWrap/>
            <w:vAlign w:val="bottom"/>
            <w:hideMark/>
          </w:tcPr>
          <w:p w14:paraId="4CF1DEF9"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03E652" w14:textId="77777777" w:rsidR="0045192E" w:rsidRDefault="0045192E" w:rsidP="0045192E">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EA7DF43" w14:textId="6DCCB6E9" w:rsidR="0045192E" w:rsidRDefault="0045192E" w:rsidP="0045192E">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92CD066" w14:textId="3625EFB9" w:rsidR="0045192E" w:rsidRDefault="0045192E" w:rsidP="0045192E">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2743C8B3" w14:textId="54CB4CAD"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77473A" w14:textId="1B6108D3" w:rsidR="0045192E" w:rsidRDefault="0045192E" w:rsidP="0045192E">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0F471DB" w14:textId="28F5EF95" w:rsidR="0045192E" w:rsidRDefault="0045192E" w:rsidP="0045192E">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6CC0CD13" w14:textId="3ADCBFA5"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884F1C" w14:textId="3E2E9A5D" w:rsidR="0045192E" w:rsidRDefault="0045192E" w:rsidP="0045192E">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774FACBA" w14:textId="0A782369" w:rsidR="0045192E" w:rsidRDefault="0045192E" w:rsidP="0045192E">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46A24751" w14:textId="327F860F" w:rsidR="0045192E" w:rsidRDefault="0045192E" w:rsidP="0045192E">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A96D00E" w14:textId="70391781" w:rsidR="0045192E" w:rsidRDefault="0045192E" w:rsidP="0045192E">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66B89CEC" w14:textId="2D5FD7C1" w:rsidR="0045192E" w:rsidRDefault="0045192E" w:rsidP="0045192E">
            <w:pPr>
              <w:jc w:val="right"/>
              <w:rPr>
                <w:color w:val="000000"/>
                <w:sz w:val="20"/>
                <w:szCs w:val="20"/>
              </w:rPr>
            </w:pPr>
            <w:r>
              <w:rPr>
                <w:color w:val="000000"/>
                <w:sz w:val="20"/>
                <w:szCs w:val="20"/>
              </w:rPr>
              <w:t>0.384</w:t>
            </w:r>
          </w:p>
        </w:tc>
        <w:tc>
          <w:tcPr>
            <w:tcW w:w="768" w:type="dxa"/>
            <w:tcBorders>
              <w:top w:val="nil"/>
              <w:left w:val="nil"/>
              <w:bottom w:val="nil"/>
              <w:right w:val="nil"/>
            </w:tcBorders>
            <w:shd w:val="clear" w:color="auto" w:fill="auto"/>
            <w:noWrap/>
            <w:vAlign w:val="bottom"/>
            <w:hideMark/>
          </w:tcPr>
          <w:p w14:paraId="536902E4" w14:textId="73C28E69" w:rsidR="0045192E" w:rsidRDefault="0045192E" w:rsidP="0045192E">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EA0DA03" w14:textId="2ED96B39" w:rsidR="0045192E" w:rsidRDefault="0045192E" w:rsidP="0045192E">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BD8A896" w14:textId="401447CD" w:rsidR="0045192E" w:rsidRDefault="0045192E" w:rsidP="0045192E">
            <w:pPr>
              <w:jc w:val="right"/>
              <w:rPr>
                <w:color w:val="000000"/>
                <w:sz w:val="20"/>
                <w:szCs w:val="20"/>
              </w:rPr>
            </w:pPr>
            <w:r>
              <w:rPr>
                <w:color w:val="000000"/>
                <w:sz w:val="20"/>
                <w:szCs w:val="20"/>
              </w:rPr>
              <w:t>0.960</w:t>
            </w:r>
          </w:p>
        </w:tc>
        <w:tc>
          <w:tcPr>
            <w:tcW w:w="768" w:type="dxa"/>
            <w:tcBorders>
              <w:top w:val="nil"/>
              <w:left w:val="nil"/>
              <w:bottom w:val="nil"/>
              <w:right w:val="nil"/>
            </w:tcBorders>
            <w:shd w:val="clear" w:color="auto" w:fill="auto"/>
            <w:noWrap/>
            <w:vAlign w:val="bottom"/>
            <w:hideMark/>
          </w:tcPr>
          <w:p w14:paraId="41C87A4E" w14:textId="304096A5" w:rsidR="0045192E" w:rsidRDefault="0045192E" w:rsidP="0045192E">
            <w:pPr>
              <w:jc w:val="right"/>
              <w:rPr>
                <w:color w:val="000000"/>
                <w:sz w:val="20"/>
                <w:szCs w:val="20"/>
              </w:rPr>
            </w:pPr>
            <w:r>
              <w:rPr>
                <w:color w:val="000000"/>
                <w:sz w:val="20"/>
                <w:szCs w:val="20"/>
              </w:rPr>
              <w:t>0.000</w:t>
            </w:r>
          </w:p>
        </w:tc>
      </w:tr>
      <w:tr w:rsidR="0045192E" w14:paraId="44C7CE53" w14:textId="77777777" w:rsidTr="00885D04">
        <w:trPr>
          <w:trHeight w:val="320"/>
        </w:trPr>
        <w:tc>
          <w:tcPr>
            <w:tcW w:w="1176" w:type="dxa"/>
            <w:tcBorders>
              <w:top w:val="nil"/>
              <w:left w:val="nil"/>
              <w:bottom w:val="single" w:sz="4" w:space="0" w:color="auto"/>
              <w:right w:val="nil"/>
            </w:tcBorders>
            <w:shd w:val="clear" w:color="auto" w:fill="auto"/>
            <w:noWrap/>
            <w:vAlign w:val="bottom"/>
            <w:hideMark/>
          </w:tcPr>
          <w:p w14:paraId="42C320C0" w14:textId="77777777" w:rsidR="0045192E" w:rsidRDefault="0045192E" w:rsidP="0045192E">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2CC2C42" w14:textId="77777777" w:rsidR="0045192E" w:rsidRDefault="0045192E" w:rsidP="0045192E">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DCAB6E4" w14:textId="0525ADB5" w:rsidR="0045192E" w:rsidRDefault="0045192E" w:rsidP="0045192E">
            <w:pPr>
              <w:jc w:val="right"/>
              <w:rPr>
                <w:color w:val="000000"/>
                <w:sz w:val="20"/>
                <w:szCs w:val="20"/>
              </w:rPr>
            </w:pPr>
            <w:r>
              <w:rPr>
                <w:color w:val="000000"/>
                <w:sz w:val="20"/>
                <w:szCs w:val="20"/>
              </w:rPr>
              <w:t>0.073</w:t>
            </w:r>
          </w:p>
        </w:tc>
        <w:tc>
          <w:tcPr>
            <w:tcW w:w="768" w:type="dxa"/>
            <w:tcBorders>
              <w:top w:val="nil"/>
              <w:left w:val="nil"/>
              <w:bottom w:val="single" w:sz="4" w:space="0" w:color="auto"/>
              <w:right w:val="nil"/>
            </w:tcBorders>
            <w:shd w:val="clear" w:color="auto" w:fill="auto"/>
            <w:noWrap/>
            <w:vAlign w:val="bottom"/>
            <w:hideMark/>
          </w:tcPr>
          <w:p w14:paraId="64D73DA4" w14:textId="4DB7A16D" w:rsidR="0045192E" w:rsidRDefault="0045192E" w:rsidP="0045192E">
            <w:pPr>
              <w:jc w:val="right"/>
              <w:rPr>
                <w:color w:val="000000"/>
                <w:sz w:val="20"/>
                <w:szCs w:val="20"/>
              </w:rPr>
            </w:pPr>
            <w:r>
              <w:rPr>
                <w:color w:val="000000"/>
                <w:sz w:val="20"/>
                <w:szCs w:val="20"/>
              </w:rPr>
              <w:t>0.392</w:t>
            </w:r>
          </w:p>
        </w:tc>
        <w:tc>
          <w:tcPr>
            <w:tcW w:w="768" w:type="dxa"/>
            <w:tcBorders>
              <w:top w:val="nil"/>
              <w:left w:val="nil"/>
              <w:bottom w:val="single" w:sz="4" w:space="0" w:color="auto"/>
              <w:right w:val="nil"/>
            </w:tcBorders>
            <w:shd w:val="clear" w:color="auto" w:fill="auto"/>
            <w:noWrap/>
            <w:vAlign w:val="bottom"/>
            <w:hideMark/>
          </w:tcPr>
          <w:p w14:paraId="30649D50" w14:textId="02B0145A" w:rsidR="0045192E" w:rsidRDefault="0045192E" w:rsidP="0045192E">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1EF3CCA6" w14:textId="5C367F1E" w:rsidR="0045192E" w:rsidRDefault="0045192E" w:rsidP="0045192E">
            <w:pPr>
              <w:jc w:val="right"/>
              <w:rPr>
                <w:b/>
                <w:bCs/>
                <w:color w:val="000000"/>
                <w:sz w:val="20"/>
                <w:szCs w:val="20"/>
              </w:rPr>
            </w:pPr>
            <w:r>
              <w:rPr>
                <w:b/>
                <w:bCs/>
                <w:color w:val="000000"/>
                <w:sz w:val="20"/>
                <w:szCs w:val="20"/>
              </w:rPr>
              <w:t>0.165</w:t>
            </w:r>
          </w:p>
        </w:tc>
        <w:tc>
          <w:tcPr>
            <w:tcW w:w="768" w:type="dxa"/>
            <w:tcBorders>
              <w:top w:val="nil"/>
              <w:left w:val="nil"/>
              <w:bottom w:val="single" w:sz="4" w:space="0" w:color="auto"/>
              <w:right w:val="nil"/>
            </w:tcBorders>
            <w:shd w:val="clear" w:color="auto" w:fill="auto"/>
            <w:noWrap/>
            <w:vAlign w:val="bottom"/>
            <w:hideMark/>
          </w:tcPr>
          <w:p w14:paraId="09FEB3D5" w14:textId="67970D62" w:rsidR="0045192E" w:rsidRDefault="0045192E" w:rsidP="0045192E">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B459659" w14:textId="17EBB79F" w:rsidR="0045192E" w:rsidRDefault="0045192E" w:rsidP="0045192E">
            <w:pPr>
              <w:jc w:val="right"/>
              <w:rPr>
                <w:color w:val="000000"/>
                <w:sz w:val="20"/>
                <w:szCs w:val="20"/>
              </w:rPr>
            </w:pPr>
            <w:r>
              <w:rPr>
                <w:b/>
                <w:bCs/>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07A58F01" w14:textId="3CEE54AD" w:rsidR="0045192E" w:rsidRDefault="0045192E" w:rsidP="0045192E">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756BD574" w14:textId="2D7DB960" w:rsidR="0045192E" w:rsidRDefault="0045192E" w:rsidP="0045192E">
            <w:pPr>
              <w:jc w:val="right"/>
              <w:rPr>
                <w:color w:val="000000"/>
                <w:sz w:val="20"/>
                <w:szCs w:val="20"/>
              </w:rPr>
            </w:pPr>
            <w:r>
              <w:rPr>
                <w:color w:val="000000"/>
                <w:sz w:val="20"/>
                <w:szCs w:val="20"/>
              </w:rPr>
              <w:t>0.618</w:t>
            </w:r>
          </w:p>
        </w:tc>
        <w:tc>
          <w:tcPr>
            <w:tcW w:w="768" w:type="dxa"/>
            <w:tcBorders>
              <w:top w:val="nil"/>
              <w:left w:val="nil"/>
              <w:bottom w:val="single" w:sz="4" w:space="0" w:color="auto"/>
              <w:right w:val="nil"/>
            </w:tcBorders>
            <w:shd w:val="clear" w:color="auto" w:fill="auto"/>
            <w:noWrap/>
            <w:vAlign w:val="bottom"/>
            <w:hideMark/>
          </w:tcPr>
          <w:p w14:paraId="44E8B6E8" w14:textId="0B8BB5D5"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EBDAE2F" w14:textId="5CAD0943" w:rsidR="0045192E" w:rsidRDefault="0045192E" w:rsidP="0045192E">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3DD01AFD" w14:textId="1250604D" w:rsidR="0045192E" w:rsidRDefault="0045192E" w:rsidP="0045192E">
            <w:pPr>
              <w:jc w:val="right"/>
              <w:rPr>
                <w:color w:val="000000"/>
                <w:sz w:val="20"/>
                <w:szCs w:val="20"/>
              </w:rPr>
            </w:pPr>
            <w:r>
              <w:rPr>
                <w:color w:val="000000"/>
                <w:sz w:val="20"/>
                <w:szCs w:val="20"/>
              </w:rPr>
              <w:t>0.819</w:t>
            </w:r>
          </w:p>
        </w:tc>
        <w:tc>
          <w:tcPr>
            <w:tcW w:w="768" w:type="dxa"/>
            <w:tcBorders>
              <w:top w:val="nil"/>
              <w:left w:val="nil"/>
              <w:bottom w:val="single" w:sz="4" w:space="0" w:color="auto"/>
              <w:right w:val="nil"/>
            </w:tcBorders>
            <w:shd w:val="clear" w:color="auto" w:fill="auto"/>
            <w:noWrap/>
            <w:vAlign w:val="bottom"/>
            <w:hideMark/>
          </w:tcPr>
          <w:p w14:paraId="73A8348C" w14:textId="645D11CB"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6F4DA7E" w14:textId="186AEE26" w:rsidR="0045192E" w:rsidRDefault="0045192E" w:rsidP="0045192E">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4A6EE286" w14:textId="5D52151A" w:rsidR="0045192E" w:rsidRDefault="0045192E" w:rsidP="0045192E">
            <w:pPr>
              <w:jc w:val="right"/>
              <w:rPr>
                <w:color w:val="000000"/>
                <w:sz w:val="20"/>
                <w:szCs w:val="20"/>
              </w:rPr>
            </w:pPr>
            <w:r>
              <w:rPr>
                <w:color w:val="000000"/>
                <w:sz w:val="20"/>
                <w:szCs w:val="20"/>
              </w:rPr>
              <w:t>0.942</w:t>
            </w:r>
          </w:p>
        </w:tc>
        <w:tc>
          <w:tcPr>
            <w:tcW w:w="768" w:type="dxa"/>
            <w:tcBorders>
              <w:top w:val="nil"/>
              <w:left w:val="nil"/>
              <w:bottom w:val="single" w:sz="4" w:space="0" w:color="auto"/>
              <w:right w:val="nil"/>
            </w:tcBorders>
            <w:shd w:val="clear" w:color="auto" w:fill="auto"/>
            <w:noWrap/>
            <w:vAlign w:val="bottom"/>
            <w:hideMark/>
          </w:tcPr>
          <w:p w14:paraId="1AF504DA" w14:textId="76246611" w:rsidR="0045192E" w:rsidRDefault="0045192E" w:rsidP="0045192E">
            <w:pPr>
              <w:jc w:val="right"/>
              <w:rPr>
                <w:color w:val="000000"/>
                <w:sz w:val="20"/>
                <w:szCs w:val="20"/>
              </w:rPr>
            </w:pPr>
            <w:r>
              <w:rPr>
                <w:color w:val="000000"/>
                <w:sz w:val="20"/>
                <w:szCs w:val="20"/>
              </w:rPr>
              <w:t>0.001</w:t>
            </w:r>
          </w:p>
        </w:tc>
      </w:tr>
      <w:tr w:rsidR="0045192E" w14:paraId="37BBA859" w14:textId="77777777" w:rsidTr="00885D04">
        <w:trPr>
          <w:trHeight w:val="320"/>
        </w:trPr>
        <w:tc>
          <w:tcPr>
            <w:tcW w:w="1176" w:type="dxa"/>
            <w:tcBorders>
              <w:top w:val="nil"/>
              <w:left w:val="nil"/>
              <w:bottom w:val="nil"/>
              <w:right w:val="nil"/>
            </w:tcBorders>
            <w:shd w:val="clear" w:color="auto" w:fill="auto"/>
            <w:noWrap/>
            <w:vAlign w:val="bottom"/>
            <w:hideMark/>
          </w:tcPr>
          <w:p w14:paraId="404329A8" w14:textId="77777777" w:rsidR="0045192E" w:rsidRDefault="0045192E" w:rsidP="0045192E">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6BA1F443" w14:textId="77777777" w:rsidR="0045192E" w:rsidRDefault="0045192E" w:rsidP="0045192E">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F248D33" w14:textId="7BA1BF04" w:rsidR="0045192E" w:rsidRDefault="0045192E" w:rsidP="0045192E">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7849B5DD" w14:textId="6E56273A" w:rsidR="0045192E" w:rsidRDefault="0045192E" w:rsidP="0045192E">
            <w:pPr>
              <w:jc w:val="right"/>
              <w:rPr>
                <w:color w:val="000000"/>
                <w:sz w:val="20"/>
                <w:szCs w:val="20"/>
              </w:rPr>
            </w:pPr>
            <w:r>
              <w:rPr>
                <w:color w:val="000000"/>
                <w:sz w:val="20"/>
                <w:szCs w:val="20"/>
              </w:rPr>
              <w:t>0.608</w:t>
            </w:r>
          </w:p>
        </w:tc>
        <w:tc>
          <w:tcPr>
            <w:tcW w:w="768" w:type="dxa"/>
            <w:tcBorders>
              <w:top w:val="nil"/>
              <w:left w:val="nil"/>
              <w:bottom w:val="nil"/>
              <w:right w:val="nil"/>
            </w:tcBorders>
            <w:shd w:val="clear" w:color="auto" w:fill="auto"/>
            <w:noWrap/>
            <w:vAlign w:val="bottom"/>
            <w:hideMark/>
          </w:tcPr>
          <w:p w14:paraId="3ED2E568" w14:textId="7E8BE84F"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B7A604" w14:textId="62454837" w:rsidR="0045192E" w:rsidRDefault="0045192E" w:rsidP="0045192E">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0F68BC20" w14:textId="19CA4D18" w:rsidR="0045192E" w:rsidRDefault="0045192E" w:rsidP="0045192E">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4005D4D7" w14:textId="69843A7F"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AC3254E" w14:textId="72FB0AF9" w:rsidR="0045192E" w:rsidRDefault="0045192E" w:rsidP="0045192E">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B7AFC12" w14:textId="075CD40F" w:rsidR="0045192E" w:rsidRDefault="0045192E" w:rsidP="0045192E">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68253D77" w14:textId="25638317"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7B3F30A" w14:textId="6621A062" w:rsidR="0045192E" w:rsidRDefault="0045192E" w:rsidP="0045192E">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4D7FCDA7" w14:textId="728A3137" w:rsidR="0045192E" w:rsidRDefault="0045192E" w:rsidP="0045192E">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3B0165CC" w14:textId="19150535"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FAB0CB0" w14:textId="76545485" w:rsidR="0045192E" w:rsidRDefault="0045192E" w:rsidP="0045192E">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012A404" w14:textId="2FBF08D3" w:rsidR="0045192E" w:rsidRDefault="0045192E" w:rsidP="0045192E">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062AEC66" w14:textId="121C3207" w:rsidR="0045192E" w:rsidRDefault="0045192E" w:rsidP="0045192E">
            <w:pPr>
              <w:jc w:val="right"/>
              <w:rPr>
                <w:color w:val="000000"/>
                <w:sz w:val="20"/>
                <w:szCs w:val="20"/>
              </w:rPr>
            </w:pPr>
            <w:r>
              <w:rPr>
                <w:color w:val="000000"/>
                <w:sz w:val="20"/>
                <w:szCs w:val="20"/>
              </w:rPr>
              <w:t>0.000</w:t>
            </w:r>
          </w:p>
        </w:tc>
      </w:tr>
      <w:tr w:rsidR="0045192E" w14:paraId="28AB83E1" w14:textId="77777777" w:rsidTr="00885D04">
        <w:trPr>
          <w:trHeight w:val="320"/>
        </w:trPr>
        <w:tc>
          <w:tcPr>
            <w:tcW w:w="1176" w:type="dxa"/>
            <w:tcBorders>
              <w:top w:val="nil"/>
              <w:left w:val="nil"/>
              <w:bottom w:val="nil"/>
              <w:right w:val="nil"/>
            </w:tcBorders>
            <w:shd w:val="clear" w:color="auto" w:fill="auto"/>
            <w:noWrap/>
            <w:vAlign w:val="bottom"/>
            <w:hideMark/>
          </w:tcPr>
          <w:p w14:paraId="35362703"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837F45" w14:textId="77777777" w:rsidR="0045192E" w:rsidRDefault="0045192E" w:rsidP="0045192E">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4B66A75" w14:textId="4F7D004A" w:rsidR="0045192E" w:rsidRDefault="0045192E" w:rsidP="0045192E">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51EF607" w14:textId="3634B1A0" w:rsidR="0045192E" w:rsidRDefault="0045192E" w:rsidP="0045192E">
            <w:pPr>
              <w:jc w:val="right"/>
              <w:rPr>
                <w:color w:val="000000"/>
                <w:sz w:val="20"/>
                <w:szCs w:val="20"/>
              </w:rPr>
            </w:pPr>
            <w:r>
              <w:rPr>
                <w:color w:val="000000"/>
                <w:sz w:val="20"/>
                <w:szCs w:val="20"/>
              </w:rPr>
              <w:t>0.837</w:t>
            </w:r>
          </w:p>
        </w:tc>
        <w:tc>
          <w:tcPr>
            <w:tcW w:w="768" w:type="dxa"/>
            <w:tcBorders>
              <w:top w:val="nil"/>
              <w:left w:val="nil"/>
              <w:bottom w:val="nil"/>
              <w:right w:val="nil"/>
            </w:tcBorders>
            <w:shd w:val="clear" w:color="auto" w:fill="auto"/>
            <w:noWrap/>
            <w:vAlign w:val="bottom"/>
            <w:hideMark/>
          </w:tcPr>
          <w:p w14:paraId="2FD1371F" w14:textId="725567E5"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3C6C2B" w14:textId="28AE0B95" w:rsidR="0045192E" w:rsidRDefault="0045192E" w:rsidP="0045192E">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110E612D" w14:textId="4E6251D5" w:rsidR="0045192E" w:rsidRDefault="0045192E" w:rsidP="0045192E">
            <w:pPr>
              <w:jc w:val="right"/>
              <w:rPr>
                <w:color w:val="000000"/>
                <w:sz w:val="20"/>
                <w:szCs w:val="20"/>
              </w:rPr>
            </w:pPr>
            <w:r>
              <w:rPr>
                <w:color w:val="000000"/>
                <w:sz w:val="20"/>
                <w:szCs w:val="20"/>
              </w:rPr>
              <w:t>0.306</w:t>
            </w:r>
          </w:p>
        </w:tc>
        <w:tc>
          <w:tcPr>
            <w:tcW w:w="768" w:type="dxa"/>
            <w:tcBorders>
              <w:top w:val="nil"/>
              <w:left w:val="nil"/>
              <w:bottom w:val="nil"/>
              <w:right w:val="nil"/>
            </w:tcBorders>
            <w:shd w:val="clear" w:color="auto" w:fill="auto"/>
            <w:noWrap/>
            <w:vAlign w:val="bottom"/>
            <w:hideMark/>
          </w:tcPr>
          <w:p w14:paraId="6FB2AD9F" w14:textId="30DA3167"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4BBA865" w14:textId="26D35D9C" w:rsidR="0045192E" w:rsidRDefault="0045192E" w:rsidP="0045192E">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E37F972" w14:textId="3E411B47" w:rsidR="0045192E" w:rsidRDefault="0045192E" w:rsidP="0045192E">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64693A37" w14:textId="0490E850"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3EB4BD7" w14:textId="48B75BBE" w:rsidR="0045192E" w:rsidRDefault="0045192E" w:rsidP="0045192E">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64C9343F" w14:textId="74A7E24B" w:rsidR="0045192E" w:rsidRDefault="0045192E" w:rsidP="0045192E">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15E6371F" w14:textId="31FE1B76"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DD58C2" w14:textId="7B9CBB09" w:rsidR="0045192E" w:rsidRDefault="0045192E" w:rsidP="0045192E">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35A2E2AB" w14:textId="5A66D32B" w:rsidR="0045192E" w:rsidRDefault="0045192E" w:rsidP="0045192E">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44DE8BF1" w14:textId="203B453D" w:rsidR="0045192E" w:rsidRDefault="0045192E" w:rsidP="0045192E">
            <w:pPr>
              <w:jc w:val="right"/>
              <w:rPr>
                <w:color w:val="000000"/>
                <w:sz w:val="20"/>
                <w:szCs w:val="20"/>
              </w:rPr>
            </w:pPr>
            <w:r>
              <w:rPr>
                <w:color w:val="000000"/>
                <w:sz w:val="20"/>
                <w:szCs w:val="20"/>
              </w:rPr>
              <w:t>0.009</w:t>
            </w:r>
          </w:p>
        </w:tc>
      </w:tr>
      <w:tr w:rsidR="0045192E" w14:paraId="7F289680" w14:textId="77777777" w:rsidTr="00885D04">
        <w:trPr>
          <w:trHeight w:val="320"/>
        </w:trPr>
        <w:tc>
          <w:tcPr>
            <w:tcW w:w="1176" w:type="dxa"/>
            <w:tcBorders>
              <w:top w:val="nil"/>
              <w:left w:val="nil"/>
              <w:bottom w:val="nil"/>
              <w:right w:val="nil"/>
            </w:tcBorders>
            <w:shd w:val="clear" w:color="auto" w:fill="auto"/>
            <w:noWrap/>
            <w:vAlign w:val="bottom"/>
            <w:hideMark/>
          </w:tcPr>
          <w:p w14:paraId="56EF14B8"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CFAC9B6" w14:textId="77777777" w:rsidR="0045192E" w:rsidRDefault="0045192E" w:rsidP="0045192E">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C19100E" w14:textId="3ED40038" w:rsidR="0045192E" w:rsidRDefault="0045192E" w:rsidP="0045192E">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5889A0C2" w14:textId="70B2CB69" w:rsidR="0045192E" w:rsidRDefault="0045192E" w:rsidP="0045192E">
            <w:pPr>
              <w:jc w:val="right"/>
              <w:rPr>
                <w:color w:val="000000"/>
                <w:sz w:val="20"/>
                <w:szCs w:val="20"/>
              </w:rPr>
            </w:pPr>
            <w:r>
              <w:rPr>
                <w:color w:val="000000"/>
                <w:sz w:val="20"/>
                <w:szCs w:val="20"/>
              </w:rPr>
              <w:t>0.608</w:t>
            </w:r>
          </w:p>
        </w:tc>
        <w:tc>
          <w:tcPr>
            <w:tcW w:w="768" w:type="dxa"/>
            <w:tcBorders>
              <w:top w:val="nil"/>
              <w:left w:val="nil"/>
              <w:bottom w:val="nil"/>
              <w:right w:val="nil"/>
            </w:tcBorders>
            <w:shd w:val="clear" w:color="auto" w:fill="auto"/>
            <w:noWrap/>
            <w:vAlign w:val="bottom"/>
            <w:hideMark/>
          </w:tcPr>
          <w:p w14:paraId="32E90ABE" w14:textId="25042D16" w:rsidR="0045192E" w:rsidRDefault="0045192E" w:rsidP="0045192E">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14DF3D1" w14:textId="09205B92" w:rsidR="0045192E" w:rsidRDefault="0045192E" w:rsidP="0045192E">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168F55C5" w14:textId="0ADA3528" w:rsidR="0045192E" w:rsidRDefault="0045192E" w:rsidP="0045192E">
            <w:pPr>
              <w:jc w:val="right"/>
              <w:rPr>
                <w:color w:val="000000"/>
                <w:sz w:val="20"/>
                <w:szCs w:val="20"/>
              </w:rPr>
            </w:pPr>
            <w:r>
              <w:rPr>
                <w:color w:val="000000"/>
                <w:sz w:val="20"/>
                <w:szCs w:val="20"/>
              </w:rPr>
              <w:t>0.306</w:t>
            </w:r>
          </w:p>
        </w:tc>
        <w:tc>
          <w:tcPr>
            <w:tcW w:w="768" w:type="dxa"/>
            <w:tcBorders>
              <w:top w:val="nil"/>
              <w:left w:val="nil"/>
              <w:bottom w:val="nil"/>
              <w:right w:val="nil"/>
            </w:tcBorders>
            <w:shd w:val="clear" w:color="auto" w:fill="auto"/>
            <w:noWrap/>
            <w:vAlign w:val="bottom"/>
            <w:hideMark/>
          </w:tcPr>
          <w:p w14:paraId="13DA2CED" w14:textId="5F459614"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3FA4914" w14:textId="6649005A" w:rsidR="0045192E" w:rsidRDefault="0045192E" w:rsidP="0045192E">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3D25AF6" w14:textId="12E3FF22" w:rsidR="0045192E" w:rsidRDefault="0045192E" w:rsidP="0045192E">
            <w:pPr>
              <w:jc w:val="right"/>
              <w:rPr>
                <w:color w:val="000000"/>
                <w:sz w:val="20"/>
                <w:szCs w:val="20"/>
              </w:rPr>
            </w:pPr>
            <w:r>
              <w:rPr>
                <w:color w:val="000000"/>
                <w:sz w:val="20"/>
                <w:szCs w:val="20"/>
              </w:rPr>
              <w:t>0.539</w:t>
            </w:r>
          </w:p>
        </w:tc>
        <w:tc>
          <w:tcPr>
            <w:tcW w:w="768" w:type="dxa"/>
            <w:tcBorders>
              <w:top w:val="nil"/>
              <w:left w:val="nil"/>
              <w:bottom w:val="nil"/>
              <w:right w:val="nil"/>
            </w:tcBorders>
            <w:shd w:val="clear" w:color="auto" w:fill="auto"/>
            <w:noWrap/>
            <w:vAlign w:val="bottom"/>
            <w:hideMark/>
          </w:tcPr>
          <w:p w14:paraId="57F848E9" w14:textId="7CDADA65"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11FFAA" w14:textId="5EA2D052" w:rsidR="0045192E" w:rsidRDefault="0045192E" w:rsidP="0045192E">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C8A019D" w14:textId="6302D4F2" w:rsidR="0045192E" w:rsidRDefault="0045192E" w:rsidP="0045192E">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456CAA65" w14:textId="4B473E85"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D1ADAB" w14:textId="48F9AADC" w:rsidR="0045192E" w:rsidRDefault="0045192E" w:rsidP="0045192E">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2B00762E" w14:textId="3B88BB15" w:rsidR="0045192E" w:rsidRDefault="0045192E" w:rsidP="0045192E">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4BC27C55" w14:textId="04D64768" w:rsidR="0045192E" w:rsidRDefault="0045192E" w:rsidP="0045192E">
            <w:pPr>
              <w:jc w:val="right"/>
              <w:rPr>
                <w:color w:val="000000"/>
                <w:sz w:val="20"/>
                <w:szCs w:val="20"/>
              </w:rPr>
            </w:pPr>
            <w:r>
              <w:rPr>
                <w:color w:val="000000"/>
                <w:sz w:val="20"/>
                <w:szCs w:val="20"/>
              </w:rPr>
              <w:t>0.001</w:t>
            </w:r>
          </w:p>
        </w:tc>
      </w:tr>
      <w:tr w:rsidR="0045192E" w14:paraId="6FA606E8" w14:textId="77777777" w:rsidTr="00885D04">
        <w:trPr>
          <w:trHeight w:val="320"/>
        </w:trPr>
        <w:tc>
          <w:tcPr>
            <w:tcW w:w="1176" w:type="dxa"/>
            <w:tcBorders>
              <w:top w:val="nil"/>
              <w:left w:val="nil"/>
              <w:bottom w:val="nil"/>
              <w:right w:val="nil"/>
            </w:tcBorders>
            <w:shd w:val="clear" w:color="auto" w:fill="auto"/>
            <w:noWrap/>
            <w:vAlign w:val="bottom"/>
            <w:hideMark/>
          </w:tcPr>
          <w:p w14:paraId="5322B398"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50BB3D" w14:textId="77777777" w:rsidR="0045192E" w:rsidRDefault="0045192E" w:rsidP="0045192E">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52BF804" w14:textId="214E9D75" w:rsidR="0045192E" w:rsidRDefault="0045192E" w:rsidP="0045192E">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2D677CF" w14:textId="48D97D18" w:rsidR="0045192E" w:rsidRDefault="0045192E" w:rsidP="0045192E">
            <w:pPr>
              <w:jc w:val="right"/>
              <w:rPr>
                <w:color w:val="000000"/>
                <w:sz w:val="20"/>
                <w:szCs w:val="20"/>
              </w:rPr>
            </w:pPr>
            <w:r>
              <w:rPr>
                <w:color w:val="000000"/>
                <w:sz w:val="20"/>
                <w:szCs w:val="20"/>
              </w:rPr>
              <w:t>0.608</w:t>
            </w:r>
          </w:p>
        </w:tc>
        <w:tc>
          <w:tcPr>
            <w:tcW w:w="768" w:type="dxa"/>
            <w:tcBorders>
              <w:top w:val="nil"/>
              <w:left w:val="nil"/>
              <w:bottom w:val="nil"/>
              <w:right w:val="nil"/>
            </w:tcBorders>
            <w:shd w:val="clear" w:color="auto" w:fill="auto"/>
            <w:noWrap/>
            <w:vAlign w:val="bottom"/>
            <w:hideMark/>
          </w:tcPr>
          <w:p w14:paraId="28BF2F8B" w14:textId="65E627B5"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8FBE56" w14:textId="71E1760E" w:rsidR="0045192E" w:rsidRDefault="0045192E" w:rsidP="0045192E">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A85D717" w14:textId="1237889F" w:rsidR="0045192E" w:rsidRDefault="0045192E" w:rsidP="0045192E">
            <w:pPr>
              <w:jc w:val="right"/>
              <w:rPr>
                <w:color w:val="000000"/>
                <w:sz w:val="20"/>
                <w:szCs w:val="20"/>
              </w:rPr>
            </w:pPr>
            <w:r>
              <w:rPr>
                <w:color w:val="000000"/>
                <w:sz w:val="20"/>
                <w:szCs w:val="20"/>
              </w:rPr>
              <w:t>0.634</w:t>
            </w:r>
          </w:p>
        </w:tc>
        <w:tc>
          <w:tcPr>
            <w:tcW w:w="768" w:type="dxa"/>
            <w:tcBorders>
              <w:top w:val="nil"/>
              <w:left w:val="nil"/>
              <w:bottom w:val="nil"/>
              <w:right w:val="nil"/>
            </w:tcBorders>
            <w:shd w:val="clear" w:color="auto" w:fill="auto"/>
            <w:noWrap/>
            <w:vAlign w:val="bottom"/>
            <w:hideMark/>
          </w:tcPr>
          <w:p w14:paraId="6B994BC5" w14:textId="27CB8FD1"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2FCAA2B" w14:textId="3FC7A4D8" w:rsidR="0045192E" w:rsidRDefault="0045192E" w:rsidP="0045192E">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2191926" w14:textId="024E1F89" w:rsidR="0045192E" w:rsidRDefault="0045192E" w:rsidP="0045192E">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77E6A570" w14:textId="7F892690"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65A356" w14:textId="53935839" w:rsidR="0045192E" w:rsidRDefault="0045192E" w:rsidP="0045192E">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437F893" w14:textId="2EE58755" w:rsidR="0045192E" w:rsidRDefault="0045192E" w:rsidP="0045192E">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5248138A" w14:textId="3DE2154E"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2283CE" w14:textId="3F2D352C" w:rsidR="0045192E" w:rsidRDefault="0045192E" w:rsidP="0045192E">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127342C" w14:textId="57C7CFA9" w:rsidR="0045192E" w:rsidRDefault="0045192E" w:rsidP="0045192E">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080980FC" w14:textId="076FE045" w:rsidR="0045192E" w:rsidRDefault="0045192E" w:rsidP="0045192E">
            <w:pPr>
              <w:jc w:val="right"/>
              <w:rPr>
                <w:color w:val="000000"/>
                <w:sz w:val="20"/>
                <w:szCs w:val="20"/>
              </w:rPr>
            </w:pPr>
            <w:r>
              <w:rPr>
                <w:color w:val="000000"/>
                <w:sz w:val="20"/>
                <w:szCs w:val="20"/>
              </w:rPr>
              <w:t>0.001</w:t>
            </w:r>
          </w:p>
        </w:tc>
      </w:tr>
      <w:tr w:rsidR="0045192E" w14:paraId="16D317F0" w14:textId="77777777" w:rsidTr="00885D04">
        <w:trPr>
          <w:trHeight w:val="320"/>
        </w:trPr>
        <w:tc>
          <w:tcPr>
            <w:tcW w:w="1176" w:type="dxa"/>
            <w:tcBorders>
              <w:top w:val="nil"/>
              <w:left w:val="nil"/>
              <w:bottom w:val="nil"/>
              <w:right w:val="nil"/>
            </w:tcBorders>
            <w:shd w:val="clear" w:color="auto" w:fill="auto"/>
            <w:noWrap/>
            <w:vAlign w:val="bottom"/>
            <w:hideMark/>
          </w:tcPr>
          <w:p w14:paraId="4F63D76F"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4C9F8E" w14:textId="77777777" w:rsidR="0045192E" w:rsidRDefault="0045192E" w:rsidP="0045192E">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A91E972" w14:textId="6BEE56C8" w:rsidR="0045192E" w:rsidRDefault="0045192E" w:rsidP="0045192E">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5AB5929A" w14:textId="33348167" w:rsidR="0045192E" w:rsidRDefault="0045192E" w:rsidP="0045192E">
            <w:pPr>
              <w:jc w:val="right"/>
              <w:rPr>
                <w:color w:val="000000"/>
                <w:sz w:val="20"/>
                <w:szCs w:val="20"/>
              </w:rPr>
            </w:pPr>
            <w:r>
              <w:rPr>
                <w:color w:val="000000"/>
                <w:sz w:val="20"/>
                <w:szCs w:val="20"/>
              </w:rPr>
              <w:t>0.608</w:t>
            </w:r>
          </w:p>
        </w:tc>
        <w:tc>
          <w:tcPr>
            <w:tcW w:w="768" w:type="dxa"/>
            <w:tcBorders>
              <w:top w:val="nil"/>
              <w:left w:val="nil"/>
              <w:bottom w:val="nil"/>
              <w:right w:val="nil"/>
            </w:tcBorders>
            <w:shd w:val="clear" w:color="auto" w:fill="auto"/>
            <w:noWrap/>
            <w:vAlign w:val="bottom"/>
            <w:hideMark/>
          </w:tcPr>
          <w:p w14:paraId="02C61622" w14:textId="5DB22342"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44BD752" w14:textId="080589E3" w:rsidR="0045192E" w:rsidRDefault="0045192E" w:rsidP="0045192E">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6C900469" w14:textId="05270BD6" w:rsidR="0045192E" w:rsidRDefault="0045192E" w:rsidP="0045192E">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6C0613A3" w14:textId="348B3C70" w:rsidR="0045192E" w:rsidRDefault="0045192E" w:rsidP="0045192E">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02C4DAD" w14:textId="29E2B5FC" w:rsidR="0045192E" w:rsidRDefault="0045192E" w:rsidP="0045192E">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EACAA41" w14:textId="4D652E06" w:rsidR="0045192E" w:rsidRDefault="0045192E" w:rsidP="0045192E">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410C7999" w14:textId="44BF5ACC"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A1B156" w14:textId="50639224" w:rsidR="0045192E" w:rsidRDefault="0045192E" w:rsidP="0045192E">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41CE00C" w14:textId="34ABB4AA" w:rsidR="0045192E" w:rsidRDefault="0045192E" w:rsidP="0045192E">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72CC01DA" w14:textId="13107A84"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6FEBB4" w14:textId="7158B92E" w:rsidR="0045192E" w:rsidRDefault="0045192E" w:rsidP="0045192E">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3BB21442" w14:textId="6A7783A6" w:rsidR="0045192E" w:rsidRDefault="0045192E" w:rsidP="0045192E">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39C006D6" w14:textId="28000447" w:rsidR="0045192E" w:rsidRDefault="0045192E" w:rsidP="0045192E">
            <w:pPr>
              <w:jc w:val="right"/>
              <w:rPr>
                <w:color w:val="000000"/>
                <w:sz w:val="20"/>
                <w:szCs w:val="20"/>
              </w:rPr>
            </w:pPr>
            <w:r>
              <w:rPr>
                <w:color w:val="000000"/>
                <w:sz w:val="20"/>
                <w:szCs w:val="20"/>
              </w:rPr>
              <w:t>0.007</w:t>
            </w:r>
          </w:p>
        </w:tc>
      </w:tr>
      <w:tr w:rsidR="0045192E" w14:paraId="166C9E1E" w14:textId="77777777" w:rsidTr="00885D04">
        <w:trPr>
          <w:trHeight w:val="320"/>
        </w:trPr>
        <w:tc>
          <w:tcPr>
            <w:tcW w:w="1176" w:type="dxa"/>
            <w:tcBorders>
              <w:top w:val="nil"/>
              <w:left w:val="nil"/>
              <w:bottom w:val="nil"/>
              <w:right w:val="nil"/>
            </w:tcBorders>
            <w:shd w:val="clear" w:color="auto" w:fill="auto"/>
            <w:noWrap/>
            <w:vAlign w:val="bottom"/>
            <w:hideMark/>
          </w:tcPr>
          <w:p w14:paraId="3B49FDA6"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0948A45" w14:textId="77777777" w:rsidR="0045192E" w:rsidRDefault="0045192E" w:rsidP="0045192E">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D893F0C" w14:textId="5615E6D1" w:rsidR="0045192E" w:rsidRDefault="0045192E" w:rsidP="0045192E">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544A23A" w14:textId="64F361BC" w:rsidR="0045192E" w:rsidRDefault="0045192E" w:rsidP="0045192E">
            <w:pPr>
              <w:jc w:val="right"/>
              <w:rPr>
                <w:color w:val="000000"/>
                <w:sz w:val="20"/>
                <w:szCs w:val="20"/>
              </w:rPr>
            </w:pPr>
            <w:r>
              <w:rPr>
                <w:color w:val="000000"/>
                <w:sz w:val="20"/>
                <w:szCs w:val="20"/>
              </w:rPr>
              <w:t>0.608</w:t>
            </w:r>
          </w:p>
        </w:tc>
        <w:tc>
          <w:tcPr>
            <w:tcW w:w="768" w:type="dxa"/>
            <w:tcBorders>
              <w:top w:val="nil"/>
              <w:left w:val="nil"/>
              <w:bottom w:val="nil"/>
              <w:right w:val="nil"/>
            </w:tcBorders>
            <w:shd w:val="clear" w:color="auto" w:fill="auto"/>
            <w:noWrap/>
            <w:vAlign w:val="bottom"/>
            <w:hideMark/>
          </w:tcPr>
          <w:p w14:paraId="05105015" w14:textId="63BC02EA"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DDCF444" w14:textId="36683C77" w:rsidR="0045192E" w:rsidRDefault="0045192E" w:rsidP="0045192E">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093CF37" w14:textId="71DC8405" w:rsidR="0045192E" w:rsidRDefault="0045192E" w:rsidP="0045192E">
            <w:pPr>
              <w:jc w:val="right"/>
              <w:rPr>
                <w:color w:val="000000"/>
                <w:sz w:val="20"/>
                <w:szCs w:val="20"/>
              </w:rPr>
            </w:pPr>
            <w:r>
              <w:rPr>
                <w:color w:val="000000"/>
                <w:sz w:val="20"/>
                <w:szCs w:val="20"/>
              </w:rPr>
              <w:t>0.891</w:t>
            </w:r>
          </w:p>
        </w:tc>
        <w:tc>
          <w:tcPr>
            <w:tcW w:w="768" w:type="dxa"/>
            <w:tcBorders>
              <w:top w:val="nil"/>
              <w:left w:val="nil"/>
              <w:bottom w:val="nil"/>
              <w:right w:val="nil"/>
            </w:tcBorders>
            <w:shd w:val="clear" w:color="auto" w:fill="auto"/>
            <w:noWrap/>
            <w:vAlign w:val="bottom"/>
            <w:hideMark/>
          </w:tcPr>
          <w:p w14:paraId="418123C8" w14:textId="28DEF8AB"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468F58" w14:textId="68D78CB8" w:rsidR="0045192E" w:rsidRDefault="0045192E" w:rsidP="0045192E">
            <w:pPr>
              <w:jc w:val="right"/>
              <w:rPr>
                <w:b/>
                <w:bCs/>
                <w:color w:val="000000"/>
                <w:sz w:val="20"/>
                <w:szCs w:val="20"/>
              </w:rPr>
            </w:pPr>
            <w:r>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37F5E030" w14:textId="6553DB3F" w:rsidR="0045192E" w:rsidRDefault="0045192E" w:rsidP="0045192E">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6EA65445" w14:textId="207E06D1" w:rsidR="0045192E" w:rsidRDefault="0045192E" w:rsidP="0045192E">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DFBDC2A" w14:textId="0F4EED82" w:rsidR="0045192E" w:rsidRDefault="0045192E" w:rsidP="0045192E">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23A3643" w14:textId="5B7DA077" w:rsidR="0045192E" w:rsidRDefault="0045192E" w:rsidP="0045192E">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4E407DAF" w14:textId="783993FA"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227825" w14:textId="09C90BF8" w:rsidR="0045192E" w:rsidRDefault="0045192E" w:rsidP="0045192E">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467E78E" w14:textId="3665236D" w:rsidR="0045192E" w:rsidRDefault="0045192E" w:rsidP="0045192E">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712AEA54" w14:textId="430BC0B3" w:rsidR="0045192E" w:rsidRDefault="0045192E" w:rsidP="0045192E">
            <w:pPr>
              <w:jc w:val="right"/>
              <w:rPr>
                <w:color w:val="000000"/>
                <w:sz w:val="20"/>
                <w:szCs w:val="20"/>
              </w:rPr>
            </w:pPr>
            <w:r>
              <w:rPr>
                <w:color w:val="000000"/>
                <w:sz w:val="20"/>
                <w:szCs w:val="20"/>
              </w:rPr>
              <w:t>0.000</w:t>
            </w:r>
          </w:p>
        </w:tc>
      </w:tr>
      <w:tr w:rsidR="0045192E" w14:paraId="7FC808E5" w14:textId="77777777" w:rsidTr="00885D04">
        <w:trPr>
          <w:trHeight w:val="320"/>
        </w:trPr>
        <w:tc>
          <w:tcPr>
            <w:tcW w:w="1176" w:type="dxa"/>
            <w:tcBorders>
              <w:top w:val="nil"/>
              <w:left w:val="nil"/>
              <w:bottom w:val="nil"/>
              <w:right w:val="nil"/>
            </w:tcBorders>
            <w:shd w:val="clear" w:color="auto" w:fill="auto"/>
            <w:noWrap/>
            <w:vAlign w:val="bottom"/>
            <w:hideMark/>
          </w:tcPr>
          <w:p w14:paraId="5FFA9347"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F0F558" w14:textId="77777777" w:rsidR="0045192E" w:rsidRDefault="0045192E" w:rsidP="0045192E">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900EFAE" w14:textId="6D69CEB2" w:rsidR="0045192E" w:rsidRDefault="0045192E" w:rsidP="0045192E">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3F7E7B0" w14:textId="132B91B1" w:rsidR="0045192E" w:rsidRDefault="0045192E" w:rsidP="0045192E">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48801FFB" w14:textId="328981CD"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57C03D" w14:textId="60455ED5" w:rsidR="0045192E" w:rsidRDefault="0045192E" w:rsidP="0045192E">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1F76DF1F" w14:textId="0F5C6A8B" w:rsidR="0045192E" w:rsidRDefault="0045192E" w:rsidP="0045192E">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2E5A5E96" w14:textId="51E1F41E" w:rsidR="0045192E" w:rsidRDefault="0045192E" w:rsidP="0045192E">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BEB6E6B" w14:textId="2C350346" w:rsidR="0045192E" w:rsidRDefault="0045192E" w:rsidP="0045192E">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71F7D51C" w14:textId="7A5E77C5" w:rsidR="0045192E" w:rsidRDefault="0045192E" w:rsidP="0045192E">
            <w:pPr>
              <w:jc w:val="right"/>
              <w:rPr>
                <w:color w:val="000000"/>
                <w:sz w:val="20"/>
                <w:szCs w:val="20"/>
              </w:rPr>
            </w:pPr>
            <w:r>
              <w:rPr>
                <w:color w:val="000000"/>
                <w:sz w:val="20"/>
                <w:szCs w:val="20"/>
              </w:rPr>
              <w:t>0.124</w:t>
            </w:r>
          </w:p>
        </w:tc>
        <w:tc>
          <w:tcPr>
            <w:tcW w:w="768" w:type="dxa"/>
            <w:tcBorders>
              <w:top w:val="nil"/>
              <w:left w:val="nil"/>
              <w:bottom w:val="nil"/>
              <w:right w:val="nil"/>
            </w:tcBorders>
            <w:shd w:val="clear" w:color="auto" w:fill="auto"/>
            <w:noWrap/>
            <w:vAlign w:val="bottom"/>
            <w:hideMark/>
          </w:tcPr>
          <w:p w14:paraId="4BB795FF" w14:textId="60B52187" w:rsidR="0045192E" w:rsidRDefault="0045192E" w:rsidP="0045192E">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D02372B" w14:textId="26687525" w:rsidR="0045192E" w:rsidRDefault="0045192E" w:rsidP="0045192E">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90B5D2A" w14:textId="3B26A0FA" w:rsidR="0045192E" w:rsidRDefault="0045192E" w:rsidP="0045192E">
            <w:pPr>
              <w:jc w:val="right"/>
              <w:rPr>
                <w:color w:val="000000"/>
                <w:sz w:val="20"/>
                <w:szCs w:val="20"/>
              </w:rPr>
            </w:pPr>
            <w:r>
              <w:rPr>
                <w:color w:val="000000"/>
                <w:sz w:val="20"/>
                <w:szCs w:val="20"/>
              </w:rPr>
              <w:t>0.904</w:t>
            </w:r>
          </w:p>
        </w:tc>
        <w:tc>
          <w:tcPr>
            <w:tcW w:w="768" w:type="dxa"/>
            <w:tcBorders>
              <w:top w:val="nil"/>
              <w:left w:val="nil"/>
              <w:bottom w:val="nil"/>
              <w:right w:val="nil"/>
            </w:tcBorders>
            <w:shd w:val="clear" w:color="auto" w:fill="auto"/>
            <w:noWrap/>
            <w:vAlign w:val="bottom"/>
            <w:hideMark/>
          </w:tcPr>
          <w:p w14:paraId="0401E75B" w14:textId="4AFFE6B6"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155264" w14:textId="57773D68" w:rsidR="0045192E" w:rsidRDefault="0045192E" w:rsidP="0045192E">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506B958" w14:textId="67276013" w:rsidR="0045192E" w:rsidRDefault="0045192E" w:rsidP="0045192E">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2E0137D7" w14:textId="778B8CBB" w:rsidR="0045192E" w:rsidRDefault="0045192E" w:rsidP="0045192E">
            <w:pPr>
              <w:jc w:val="right"/>
              <w:rPr>
                <w:color w:val="000000"/>
                <w:sz w:val="20"/>
                <w:szCs w:val="20"/>
              </w:rPr>
            </w:pPr>
            <w:r>
              <w:rPr>
                <w:color w:val="000000"/>
                <w:sz w:val="20"/>
                <w:szCs w:val="20"/>
              </w:rPr>
              <w:t>0.000</w:t>
            </w:r>
          </w:p>
        </w:tc>
      </w:tr>
      <w:tr w:rsidR="0045192E" w14:paraId="782AC959" w14:textId="77777777" w:rsidTr="00885D04">
        <w:trPr>
          <w:trHeight w:val="320"/>
        </w:trPr>
        <w:tc>
          <w:tcPr>
            <w:tcW w:w="1176" w:type="dxa"/>
            <w:tcBorders>
              <w:top w:val="nil"/>
              <w:left w:val="nil"/>
              <w:bottom w:val="single" w:sz="4" w:space="0" w:color="auto"/>
              <w:right w:val="nil"/>
            </w:tcBorders>
            <w:shd w:val="clear" w:color="auto" w:fill="auto"/>
            <w:noWrap/>
            <w:vAlign w:val="bottom"/>
            <w:hideMark/>
          </w:tcPr>
          <w:p w14:paraId="380A3892" w14:textId="77777777" w:rsidR="0045192E" w:rsidRDefault="0045192E" w:rsidP="0045192E">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B290AC8" w14:textId="77777777" w:rsidR="0045192E" w:rsidRDefault="0045192E" w:rsidP="0045192E">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08FA160" w14:textId="659F37E9" w:rsidR="0045192E" w:rsidRDefault="0045192E" w:rsidP="0045192E">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512ED07E" w14:textId="7325D315" w:rsidR="0045192E" w:rsidRDefault="0045192E" w:rsidP="0045192E">
            <w:pPr>
              <w:jc w:val="right"/>
              <w:rPr>
                <w:color w:val="000000"/>
                <w:sz w:val="20"/>
                <w:szCs w:val="20"/>
              </w:rPr>
            </w:pPr>
            <w:r>
              <w:rPr>
                <w:color w:val="000000"/>
                <w:sz w:val="20"/>
                <w:szCs w:val="20"/>
              </w:rPr>
              <w:t>0.837</w:t>
            </w:r>
          </w:p>
        </w:tc>
        <w:tc>
          <w:tcPr>
            <w:tcW w:w="768" w:type="dxa"/>
            <w:tcBorders>
              <w:top w:val="nil"/>
              <w:left w:val="nil"/>
              <w:bottom w:val="single" w:sz="4" w:space="0" w:color="auto"/>
              <w:right w:val="nil"/>
            </w:tcBorders>
            <w:shd w:val="clear" w:color="auto" w:fill="auto"/>
            <w:noWrap/>
            <w:vAlign w:val="bottom"/>
            <w:hideMark/>
          </w:tcPr>
          <w:p w14:paraId="0C014BEA" w14:textId="1918AC82"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8CA1731" w14:textId="7F4C076D" w:rsidR="0045192E" w:rsidRDefault="0045192E" w:rsidP="0045192E">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6BE87BB4" w14:textId="1ABE5C20" w:rsidR="0045192E" w:rsidRDefault="0045192E" w:rsidP="0045192E">
            <w:pPr>
              <w:jc w:val="right"/>
              <w:rPr>
                <w:color w:val="000000"/>
                <w:sz w:val="20"/>
                <w:szCs w:val="20"/>
              </w:rPr>
            </w:pPr>
            <w:r>
              <w:rPr>
                <w:color w:val="000000"/>
                <w:sz w:val="20"/>
                <w:szCs w:val="20"/>
              </w:rPr>
              <w:t>0.633</w:t>
            </w:r>
          </w:p>
        </w:tc>
        <w:tc>
          <w:tcPr>
            <w:tcW w:w="768" w:type="dxa"/>
            <w:tcBorders>
              <w:top w:val="nil"/>
              <w:left w:val="nil"/>
              <w:bottom w:val="single" w:sz="4" w:space="0" w:color="auto"/>
              <w:right w:val="nil"/>
            </w:tcBorders>
            <w:shd w:val="clear" w:color="auto" w:fill="auto"/>
            <w:noWrap/>
            <w:vAlign w:val="bottom"/>
            <w:hideMark/>
          </w:tcPr>
          <w:p w14:paraId="50DE9E7A" w14:textId="36323B6C"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772925A" w14:textId="68734ACB" w:rsidR="0045192E" w:rsidRDefault="0045192E" w:rsidP="0045192E">
            <w:pPr>
              <w:jc w:val="right"/>
              <w:rPr>
                <w:color w:val="000000"/>
                <w:sz w:val="20"/>
                <w:szCs w:val="20"/>
              </w:rPr>
            </w:pPr>
            <w:r>
              <w:rPr>
                <w:color w:val="000000"/>
                <w:sz w:val="20"/>
                <w:szCs w:val="20"/>
              </w:rPr>
              <w:t>-0.048</w:t>
            </w:r>
          </w:p>
        </w:tc>
        <w:tc>
          <w:tcPr>
            <w:tcW w:w="768" w:type="dxa"/>
            <w:tcBorders>
              <w:top w:val="nil"/>
              <w:left w:val="nil"/>
              <w:bottom w:val="single" w:sz="4" w:space="0" w:color="auto"/>
              <w:right w:val="nil"/>
            </w:tcBorders>
            <w:shd w:val="clear" w:color="auto" w:fill="auto"/>
            <w:noWrap/>
            <w:vAlign w:val="bottom"/>
            <w:hideMark/>
          </w:tcPr>
          <w:p w14:paraId="51654CFA" w14:textId="3E87FCE9" w:rsidR="0045192E" w:rsidRDefault="0045192E" w:rsidP="0045192E">
            <w:pPr>
              <w:jc w:val="right"/>
              <w:rPr>
                <w:color w:val="000000"/>
                <w:sz w:val="20"/>
                <w:szCs w:val="20"/>
              </w:rPr>
            </w:pPr>
            <w:r>
              <w:rPr>
                <w:color w:val="000000"/>
                <w:sz w:val="20"/>
                <w:szCs w:val="20"/>
              </w:rPr>
              <w:t>0.512</w:t>
            </w:r>
          </w:p>
        </w:tc>
        <w:tc>
          <w:tcPr>
            <w:tcW w:w="768" w:type="dxa"/>
            <w:tcBorders>
              <w:top w:val="nil"/>
              <w:left w:val="nil"/>
              <w:bottom w:val="single" w:sz="4" w:space="0" w:color="auto"/>
              <w:right w:val="nil"/>
            </w:tcBorders>
            <w:shd w:val="clear" w:color="auto" w:fill="auto"/>
            <w:noWrap/>
            <w:vAlign w:val="bottom"/>
            <w:hideMark/>
          </w:tcPr>
          <w:p w14:paraId="3646FB32" w14:textId="156DCAB2"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5C1F87FA" w14:textId="67F2E7E1" w:rsidR="0045192E" w:rsidRDefault="0045192E" w:rsidP="0045192E">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40B0615B" w14:textId="34C6D289" w:rsidR="0045192E" w:rsidRDefault="0045192E" w:rsidP="0045192E">
            <w:pPr>
              <w:jc w:val="right"/>
              <w:rPr>
                <w:color w:val="000000"/>
                <w:sz w:val="20"/>
                <w:szCs w:val="20"/>
              </w:rPr>
            </w:pPr>
            <w:r>
              <w:rPr>
                <w:color w:val="000000"/>
                <w:sz w:val="20"/>
                <w:szCs w:val="20"/>
              </w:rPr>
              <w:t>0.904</w:t>
            </w:r>
          </w:p>
        </w:tc>
        <w:tc>
          <w:tcPr>
            <w:tcW w:w="768" w:type="dxa"/>
            <w:tcBorders>
              <w:top w:val="nil"/>
              <w:left w:val="nil"/>
              <w:bottom w:val="single" w:sz="4" w:space="0" w:color="auto"/>
              <w:right w:val="nil"/>
            </w:tcBorders>
            <w:shd w:val="clear" w:color="auto" w:fill="auto"/>
            <w:noWrap/>
            <w:vAlign w:val="bottom"/>
            <w:hideMark/>
          </w:tcPr>
          <w:p w14:paraId="4993AA3D" w14:textId="503CE373"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0F6B942" w14:textId="3CBD9943" w:rsidR="0045192E" w:rsidRDefault="0045192E" w:rsidP="0045192E">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542DDD4F" w14:textId="2717CD87" w:rsidR="0045192E" w:rsidRDefault="0045192E" w:rsidP="0045192E">
            <w:pPr>
              <w:jc w:val="right"/>
              <w:rPr>
                <w:color w:val="000000"/>
                <w:sz w:val="20"/>
                <w:szCs w:val="20"/>
              </w:rPr>
            </w:pPr>
            <w:r>
              <w:rPr>
                <w:color w:val="000000"/>
                <w:sz w:val="20"/>
                <w:szCs w:val="20"/>
              </w:rPr>
              <w:t>0.879</w:t>
            </w:r>
          </w:p>
        </w:tc>
        <w:tc>
          <w:tcPr>
            <w:tcW w:w="768" w:type="dxa"/>
            <w:tcBorders>
              <w:top w:val="nil"/>
              <w:left w:val="nil"/>
              <w:bottom w:val="single" w:sz="4" w:space="0" w:color="auto"/>
              <w:right w:val="nil"/>
            </w:tcBorders>
            <w:shd w:val="clear" w:color="auto" w:fill="auto"/>
            <w:noWrap/>
            <w:vAlign w:val="bottom"/>
            <w:hideMark/>
          </w:tcPr>
          <w:p w14:paraId="7E9012B6" w14:textId="1273D3F9" w:rsidR="0045192E" w:rsidRDefault="0045192E" w:rsidP="0045192E">
            <w:pPr>
              <w:jc w:val="right"/>
              <w:rPr>
                <w:color w:val="000000"/>
                <w:sz w:val="20"/>
                <w:szCs w:val="20"/>
              </w:rPr>
            </w:pPr>
            <w:r>
              <w:rPr>
                <w:color w:val="000000"/>
                <w:sz w:val="20"/>
                <w:szCs w:val="20"/>
              </w:rPr>
              <w:t>0.000</w:t>
            </w:r>
          </w:p>
        </w:tc>
      </w:tr>
      <w:tr w:rsidR="0045192E" w14:paraId="005997D3" w14:textId="77777777" w:rsidTr="00885D04">
        <w:trPr>
          <w:trHeight w:val="320"/>
        </w:trPr>
        <w:tc>
          <w:tcPr>
            <w:tcW w:w="1176" w:type="dxa"/>
            <w:tcBorders>
              <w:top w:val="nil"/>
              <w:left w:val="nil"/>
              <w:bottom w:val="nil"/>
              <w:right w:val="nil"/>
            </w:tcBorders>
            <w:shd w:val="clear" w:color="auto" w:fill="auto"/>
            <w:noWrap/>
            <w:vAlign w:val="bottom"/>
            <w:hideMark/>
          </w:tcPr>
          <w:p w14:paraId="1C7B57A4" w14:textId="77777777" w:rsidR="0045192E" w:rsidRDefault="0045192E" w:rsidP="0045192E">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42DDEF3E" w14:textId="77777777" w:rsidR="0045192E" w:rsidRDefault="0045192E" w:rsidP="0045192E">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72FEDFF" w14:textId="54C1ED4A" w:rsidR="0045192E" w:rsidRDefault="0045192E" w:rsidP="0045192E">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4CA2C9F" w14:textId="0D6607F3" w:rsidR="0045192E" w:rsidRDefault="0045192E" w:rsidP="0045192E">
            <w:pPr>
              <w:jc w:val="right"/>
              <w:rPr>
                <w:color w:val="000000"/>
                <w:sz w:val="20"/>
                <w:szCs w:val="20"/>
              </w:rPr>
            </w:pPr>
            <w:r>
              <w:rPr>
                <w:color w:val="000000"/>
                <w:sz w:val="20"/>
                <w:szCs w:val="20"/>
              </w:rPr>
              <w:t>0.936</w:t>
            </w:r>
          </w:p>
        </w:tc>
        <w:tc>
          <w:tcPr>
            <w:tcW w:w="768" w:type="dxa"/>
            <w:tcBorders>
              <w:top w:val="nil"/>
              <w:left w:val="nil"/>
              <w:bottom w:val="nil"/>
              <w:right w:val="nil"/>
            </w:tcBorders>
            <w:shd w:val="clear" w:color="auto" w:fill="auto"/>
            <w:noWrap/>
            <w:vAlign w:val="bottom"/>
            <w:hideMark/>
          </w:tcPr>
          <w:p w14:paraId="3B1EB990" w14:textId="55AA3BE6"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C18F13" w14:textId="7897BCB2" w:rsidR="0045192E" w:rsidRDefault="0045192E" w:rsidP="0045192E">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309A8380" w14:textId="51371AA0" w:rsidR="0045192E" w:rsidRDefault="0045192E" w:rsidP="0045192E">
            <w:pPr>
              <w:jc w:val="right"/>
              <w:rPr>
                <w:color w:val="000000"/>
                <w:sz w:val="20"/>
                <w:szCs w:val="20"/>
              </w:rPr>
            </w:pPr>
            <w:r>
              <w:rPr>
                <w:color w:val="000000"/>
                <w:sz w:val="20"/>
                <w:szCs w:val="20"/>
              </w:rPr>
              <w:t>0.363</w:t>
            </w:r>
          </w:p>
        </w:tc>
        <w:tc>
          <w:tcPr>
            <w:tcW w:w="768" w:type="dxa"/>
            <w:tcBorders>
              <w:top w:val="nil"/>
              <w:left w:val="nil"/>
              <w:bottom w:val="nil"/>
              <w:right w:val="nil"/>
            </w:tcBorders>
            <w:shd w:val="clear" w:color="auto" w:fill="auto"/>
            <w:noWrap/>
            <w:vAlign w:val="bottom"/>
            <w:hideMark/>
          </w:tcPr>
          <w:p w14:paraId="32B396CC" w14:textId="46D5AC5A"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EACED06" w14:textId="0DCF281A"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B0DBBA6" w14:textId="062118FB" w:rsidR="0045192E" w:rsidRDefault="0045192E" w:rsidP="0045192E">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18E49930" w14:textId="1AA51135"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D57DAA" w14:textId="7C9A6869" w:rsidR="0045192E" w:rsidRDefault="0045192E" w:rsidP="0045192E">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5D429136" w14:textId="21FDB888" w:rsidR="0045192E" w:rsidRDefault="0045192E" w:rsidP="0045192E">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5DC9B622" w14:textId="2CD5D69F" w:rsidR="0045192E" w:rsidRDefault="0045192E" w:rsidP="0045192E">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E5D1750" w14:textId="25192F5A" w:rsidR="0045192E" w:rsidRDefault="0045192E" w:rsidP="0045192E">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4540D2F" w14:textId="2562A4C8" w:rsidR="0045192E" w:rsidRDefault="0045192E" w:rsidP="0045192E">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578ABBF5" w14:textId="5A13F957" w:rsidR="0045192E" w:rsidRDefault="0045192E" w:rsidP="0045192E">
            <w:pPr>
              <w:jc w:val="right"/>
              <w:rPr>
                <w:color w:val="000000"/>
                <w:sz w:val="20"/>
                <w:szCs w:val="20"/>
              </w:rPr>
            </w:pPr>
            <w:r>
              <w:rPr>
                <w:color w:val="000000"/>
                <w:sz w:val="20"/>
                <w:szCs w:val="20"/>
              </w:rPr>
              <w:t>0.001</w:t>
            </w:r>
          </w:p>
        </w:tc>
      </w:tr>
      <w:tr w:rsidR="0045192E" w14:paraId="38AEF5FE" w14:textId="77777777" w:rsidTr="00885D04">
        <w:trPr>
          <w:trHeight w:val="320"/>
        </w:trPr>
        <w:tc>
          <w:tcPr>
            <w:tcW w:w="1176" w:type="dxa"/>
            <w:tcBorders>
              <w:top w:val="nil"/>
              <w:left w:val="nil"/>
              <w:bottom w:val="nil"/>
              <w:right w:val="nil"/>
            </w:tcBorders>
            <w:shd w:val="clear" w:color="auto" w:fill="auto"/>
            <w:noWrap/>
            <w:vAlign w:val="bottom"/>
            <w:hideMark/>
          </w:tcPr>
          <w:p w14:paraId="082229C3"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1A8C27C" w14:textId="77777777" w:rsidR="0045192E" w:rsidRDefault="0045192E" w:rsidP="0045192E">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239CA14" w14:textId="0B7B766D" w:rsidR="0045192E" w:rsidRDefault="0045192E" w:rsidP="0045192E">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5E0A5750" w14:textId="76CC0369" w:rsidR="0045192E" w:rsidRDefault="0045192E" w:rsidP="0045192E">
            <w:pPr>
              <w:jc w:val="right"/>
              <w:rPr>
                <w:color w:val="000000"/>
                <w:sz w:val="20"/>
                <w:szCs w:val="20"/>
              </w:rPr>
            </w:pPr>
            <w:r>
              <w:rPr>
                <w:color w:val="000000"/>
                <w:sz w:val="20"/>
                <w:szCs w:val="20"/>
              </w:rPr>
              <w:t>0.618</w:t>
            </w:r>
          </w:p>
        </w:tc>
        <w:tc>
          <w:tcPr>
            <w:tcW w:w="768" w:type="dxa"/>
            <w:tcBorders>
              <w:top w:val="nil"/>
              <w:left w:val="nil"/>
              <w:bottom w:val="nil"/>
              <w:right w:val="nil"/>
            </w:tcBorders>
            <w:shd w:val="clear" w:color="auto" w:fill="auto"/>
            <w:noWrap/>
            <w:vAlign w:val="bottom"/>
            <w:hideMark/>
          </w:tcPr>
          <w:p w14:paraId="4DC48BC0" w14:textId="56DE116D"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8322FFA" w14:textId="1E8EB264" w:rsidR="0045192E" w:rsidRDefault="0045192E" w:rsidP="0045192E">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08673A87" w14:textId="358866EE" w:rsidR="0045192E" w:rsidRDefault="0045192E" w:rsidP="0045192E">
            <w:pPr>
              <w:jc w:val="right"/>
              <w:rPr>
                <w:color w:val="000000"/>
                <w:sz w:val="20"/>
                <w:szCs w:val="20"/>
              </w:rPr>
            </w:pPr>
            <w:r>
              <w:rPr>
                <w:color w:val="000000"/>
                <w:sz w:val="20"/>
                <w:szCs w:val="20"/>
              </w:rPr>
              <w:t>0.363</w:t>
            </w:r>
          </w:p>
        </w:tc>
        <w:tc>
          <w:tcPr>
            <w:tcW w:w="768" w:type="dxa"/>
            <w:tcBorders>
              <w:top w:val="nil"/>
              <w:left w:val="nil"/>
              <w:bottom w:val="nil"/>
              <w:right w:val="nil"/>
            </w:tcBorders>
            <w:shd w:val="clear" w:color="auto" w:fill="auto"/>
            <w:noWrap/>
            <w:vAlign w:val="bottom"/>
            <w:hideMark/>
          </w:tcPr>
          <w:p w14:paraId="7B3D0310" w14:textId="05B07A66"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EAB7B97" w14:textId="614780BE" w:rsidR="0045192E" w:rsidRDefault="0045192E" w:rsidP="0045192E">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43B13695" w14:textId="49B7AF26" w:rsidR="0045192E" w:rsidRDefault="0045192E" w:rsidP="0045192E">
            <w:pPr>
              <w:jc w:val="right"/>
              <w:rPr>
                <w:color w:val="000000"/>
                <w:sz w:val="20"/>
                <w:szCs w:val="20"/>
              </w:rPr>
            </w:pPr>
            <w:r>
              <w:rPr>
                <w:color w:val="000000"/>
                <w:sz w:val="20"/>
                <w:szCs w:val="20"/>
              </w:rPr>
              <w:t>0.276</w:t>
            </w:r>
          </w:p>
        </w:tc>
        <w:tc>
          <w:tcPr>
            <w:tcW w:w="768" w:type="dxa"/>
            <w:tcBorders>
              <w:top w:val="nil"/>
              <w:left w:val="nil"/>
              <w:bottom w:val="nil"/>
              <w:right w:val="nil"/>
            </w:tcBorders>
            <w:shd w:val="clear" w:color="auto" w:fill="auto"/>
            <w:noWrap/>
            <w:vAlign w:val="bottom"/>
            <w:hideMark/>
          </w:tcPr>
          <w:p w14:paraId="0087CD2C" w14:textId="426AB508"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4D6B8B2" w14:textId="7EE1F9A1" w:rsidR="0045192E" w:rsidRDefault="0045192E" w:rsidP="0045192E">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6C7868D8" w14:textId="37A24215" w:rsidR="0045192E" w:rsidRDefault="0045192E" w:rsidP="0045192E">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625B064D" w14:textId="06C2E3F3"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90D9E19" w14:textId="5620C84F" w:rsidR="0045192E" w:rsidRDefault="0045192E" w:rsidP="0045192E">
            <w:pPr>
              <w:jc w:val="right"/>
              <w:rPr>
                <w:color w:val="000000"/>
                <w:sz w:val="20"/>
                <w:szCs w:val="20"/>
              </w:rPr>
            </w:pPr>
            <w:r>
              <w:rPr>
                <w:b/>
                <w:bCs/>
                <w:color w:val="000000"/>
                <w:sz w:val="20"/>
                <w:szCs w:val="20"/>
              </w:rPr>
              <w:t>-0.098</w:t>
            </w:r>
          </w:p>
        </w:tc>
        <w:tc>
          <w:tcPr>
            <w:tcW w:w="768" w:type="dxa"/>
            <w:tcBorders>
              <w:top w:val="nil"/>
              <w:left w:val="nil"/>
              <w:bottom w:val="nil"/>
              <w:right w:val="nil"/>
            </w:tcBorders>
            <w:shd w:val="clear" w:color="auto" w:fill="auto"/>
            <w:noWrap/>
            <w:vAlign w:val="bottom"/>
            <w:hideMark/>
          </w:tcPr>
          <w:p w14:paraId="7A771506" w14:textId="27A18330" w:rsidR="0045192E" w:rsidRDefault="0045192E" w:rsidP="0045192E">
            <w:pPr>
              <w:jc w:val="right"/>
              <w:rPr>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456E6F41" w14:textId="00523475" w:rsidR="0045192E" w:rsidRDefault="0045192E" w:rsidP="0045192E">
            <w:pPr>
              <w:jc w:val="right"/>
              <w:rPr>
                <w:color w:val="000000"/>
                <w:sz w:val="20"/>
                <w:szCs w:val="20"/>
              </w:rPr>
            </w:pPr>
            <w:r>
              <w:rPr>
                <w:b/>
                <w:bCs/>
                <w:color w:val="000000"/>
                <w:sz w:val="20"/>
                <w:szCs w:val="20"/>
              </w:rPr>
              <w:t>0.010</w:t>
            </w:r>
          </w:p>
        </w:tc>
      </w:tr>
      <w:tr w:rsidR="0045192E" w14:paraId="69952E6E" w14:textId="77777777" w:rsidTr="00885D04">
        <w:trPr>
          <w:trHeight w:val="320"/>
        </w:trPr>
        <w:tc>
          <w:tcPr>
            <w:tcW w:w="1176" w:type="dxa"/>
            <w:tcBorders>
              <w:top w:val="nil"/>
              <w:left w:val="nil"/>
              <w:bottom w:val="nil"/>
              <w:right w:val="nil"/>
            </w:tcBorders>
            <w:shd w:val="clear" w:color="auto" w:fill="auto"/>
            <w:noWrap/>
            <w:vAlign w:val="bottom"/>
            <w:hideMark/>
          </w:tcPr>
          <w:p w14:paraId="2B1FE1E6"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29F91E" w14:textId="77777777" w:rsidR="0045192E" w:rsidRDefault="0045192E" w:rsidP="0045192E">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246AF18" w14:textId="2D354500" w:rsidR="0045192E" w:rsidRDefault="0045192E" w:rsidP="0045192E">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2CB7F23B" w14:textId="20937CAA" w:rsidR="0045192E" w:rsidRDefault="0045192E" w:rsidP="0045192E">
            <w:pPr>
              <w:jc w:val="right"/>
              <w:rPr>
                <w:color w:val="000000"/>
                <w:sz w:val="20"/>
                <w:szCs w:val="20"/>
              </w:rPr>
            </w:pPr>
            <w:r>
              <w:rPr>
                <w:color w:val="000000"/>
                <w:sz w:val="20"/>
                <w:szCs w:val="20"/>
              </w:rPr>
              <w:t>0.592</w:t>
            </w:r>
          </w:p>
        </w:tc>
        <w:tc>
          <w:tcPr>
            <w:tcW w:w="768" w:type="dxa"/>
            <w:tcBorders>
              <w:top w:val="nil"/>
              <w:left w:val="nil"/>
              <w:bottom w:val="nil"/>
              <w:right w:val="nil"/>
            </w:tcBorders>
            <w:shd w:val="clear" w:color="auto" w:fill="auto"/>
            <w:noWrap/>
            <w:vAlign w:val="bottom"/>
            <w:hideMark/>
          </w:tcPr>
          <w:p w14:paraId="27D47D74" w14:textId="20645D28"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DDD9193" w14:textId="23A2776A"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26845A" w14:textId="6C4A751B" w:rsidR="0045192E" w:rsidRDefault="0045192E" w:rsidP="0045192E">
            <w:pPr>
              <w:jc w:val="right"/>
              <w:rPr>
                <w:color w:val="000000"/>
                <w:sz w:val="20"/>
                <w:szCs w:val="20"/>
              </w:rPr>
            </w:pPr>
            <w:r>
              <w:rPr>
                <w:color w:val="000000"/>
                <w:sz w:val="20"/>
                <w:szCs w:val="20"/>
              </w:rPr>
              <w:t>0.968</w:t>
            </w:r>
          </w:p>
        </w:tc>
        <w:tc>
          <w:tcPr>
            <w:tcW w:w="768" w:type="dxa"/>
            <w:tcBorders>
              <w:top w:val="nil"/>
              <w:left w:val="nil"/>
              <w:bottom w:val="nil"/>
              <w:right w:val="nil"/>
            </w:tcBorders>
            <w:shd w:val="clear" w:color="auto" w:fill="auto"/>
            <w:noWrap/>
            <w:vAlign w:val="bottom"/>
            <w:hideMark/>
          </w:tcPr>
          <w:p w14:paraId="58B04344" w14:textId="4205BC07"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1167FC" w14:textId="53B00142" w:rsidR="0045192E" w:rsidRDefault="0045192E" w:rsidP="0045192E">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FCF180C" w14:textId="38DA850B" w:rsidR="0045192E" w:rsidRDefault="0045192E" w:rsidP="0045192E">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66DA549B" w14:textId="4A6D23A3"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ECACC0" w14:textId="1EFEB885" w:rsidR="0045192E" w:rsidRDefault="0045192E" w:rsidP="0045192E">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72AC37E9" w14:textId="7C4055B4" w:rsidR="0045192E" w:rsidRDefault="0045192E" w:rsidP="0045192E">
            <w:pPr>
              <w:jc w:val="right"/>
              <w:rPr>
                <w:color w:val="000000"/>
                <w:sz w:val="20"/>
                <w:szCs w:val="20"/>
              </w:rPr>
            </w:pPr>
            <w:r>
              <w:rPr>
                <w:color w:val="000000"/>
                <w:sz w:val="20"/>
                <w:szCs w:val="20"/>
              </w:rPr>
              <w:t>0.574</w:t>
            </w:r>
          </w:p>
        </w:tc>
        <w:tc>
          <w:tcPr>
            <w:tcW w:w="768" w:type="dxa"/>
            <w:tcBorders>
              <w:top w:val="nil"/>
              <w:left w:val="nil"/>
              <w:bottom w:val="nil"/>
              <w:right w:val="nil"/>
            </w:tcBorders>
            <w:shd w:val="clear" w:color="auto" w:fill="auto"/>
            <w:noWrap/>
            <w:vAlign w:val="bottom"/>
            <w:hideMark/>
          </w:tcPr>
          <w:p w14:paraId="53E9D0A4" w14:textId="60B1C1A7"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BF60C1A" w14:textId="3FB1390F" w:rsidR="0045192E" w:rsidRDefault="0045192E" w:rsidP="0045192E">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393B2A32" w14:textId="0DB59C5C" w:rsidR="0045192E" w:rsidRDefault="0045192E" w:rsidP="0045192E">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2DCE9775" w14:textId="1EE8667F" w:rsidR="0045192E" w:rsidRDefault="0045192E" w:rsidP="0045192E">
            <w:pPr>
              <w:jc w:val="right"/>
              <w:rPr>
                <w:color w:val="000000"/>
                <w:sz w:val="20"/>
                <w:szCs w:val="20"/>
              </w:rPr>
            </w:pPr>
            <w:r>
              <w:rPr>
                <w:color w:val="000000"/>
                <w:sz w:val="20"/>
                <w:szCs w:val="20"/>
              </w:rPr>
              <w:t>0.001</w:t>
            </w:r>
          </w:p>
        </w:tc>
      </w:tr>
      <w:tr w:rsidR="0045192E" w14:paraId="2DF42CDA" w14:textId="77777777" w:rsidTr="00885D04">
        <w:trPr>
          <w:trHeight w:val="320"/>
        </w:trPr>
        <w:tc>
          <w:tcPr>
            <w:tcW w:w="1176" w:type="dxa"/>
            <w:tcBorders>
              <w:top w:val="nil"/>
              <w:left w:val="nil"/>
              <w:bottom w:val="nil"/>
              <w:right w:val="nil"/>
            </w:tcBorders>
            <w:shd w:val="clear" w:color="auto" w:fill="auto"/>
            <w:noWrap/>
            <w:vAlign w:val="bottom"/>
            <w:hideMark/>
          </w:tcPr>
          <w:p w14:paraId="1B232461"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E375EBA" w14:textId="77777777" w:rsidR="0045192E" w:rsidRDefault="0045192E" w:rsidP="0045192E">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D39D5F9" w14:textId="1D9DB8ED" w:rsidR="0045192E" w:rsidRDefault="0045192E" w:rsidP="0045192E">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4ED2611C" w14:textId="1D926B2C" w:rsidR="0045192E" w:rsidRDefault="0045192E" w:rsidP="0045192E">
            <w:pPr>
              <w:jc w:val="right"/>
              <w:rPr>
                <w:color w:val="000000"/>
                <w:sz w:val="20"/>
                <w:szCs w:val="20"/>
              </w:rPr>
            </w:pPr>
            <w:r>
              <w:rPr>
                <w:color w:val="000000"/>
                <w:sz w:val="20"/>
                <w:szCs w:val="20"/>
              </w:rPr>
              <w:t>0.592</w:t>
            </w:r>
          </w:p>
        </w:tc>
        <w:tc>
          <w:tcPr>
            <w:tcW w:w="768" w:type="dxa"/>
            <w:tcBorders>
              <w:top w:val="nil"/>
              <w:left w:val="nil"/>
              <w:bottom w:val="nil"/>
              <w:right w:val="nil"/>
            </w:tcBorders>
            <w:shd w:val="clear" w:color="auto" w:fill="auto"/>
            <w:noWrap/>
            <w:vAlign w:val="bottom"/>
            <w:hideMark/>
          </w:tcPr>
          <w:p w14:paraId="77E45D17" w14:textId="759392E3"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ED4271B" w14:textId="276C2897" w:rsidR="0045192E" w:rsidRDefault="0045192E" w:rsidP="0045192E">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7BECF213" w14:textId="5FF65FB5" w:rsidR="0045192E" w:rsidRDefault="0045192E" w:rsidP="0045192E">
            <w:pPr>
              <w:jc w:val="right"/>
              <w:rPr>
                <w:color w:val="000000"/>
                <w:sz w:val="20"/>
                <w:szCs w:val="20"/>
              </w:rPr>
            </w:pPr>
            <w:r>
              <w:rPr>
                <w:color w:val="000000"/>
                <w:sz w:val="20"/>
                <w:szCs w:val="20"/>
              </w:rPr>
              <w:t>0.363</w:t>
            </w:r>
          </w:p>
        </w:tc>
        <w:tc>
          <w:tcPr>
            <w:tcW w:w="768" w:type="dxa"/>
            <w:tcBorders>
              <w:top w:val="nil"/>
              <w:left w:val="nil"/>
              <w:bottom w:val="nil"/>
              <w:right w:val="nil"/>
            </w:tcBorders>
            <w:shd w:val="clear" w:color="auto" w:fill="auto"/>
            <w:noWrap/>
            <w:vAlign w:val="bottom"/>
            <w:hideMark/>
          </w:tcPr>
          <w:p w14:paraId="4C0FB6BE" w14:textId="05D95D65"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1E269F9" w14:textId="08E29655" w:rsidR="0045192E" w:rsidRDefault="0045192E" w:rsidP="0045192E">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6082BDB" w14:textId="6869D609" w:rsidR="0045192E" w:rsidRDefault="0045192E" w:rsidP="0045192E">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72874573" w14:textId="5782DB8F"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804543" w14:textId="47C8E4B0" w:rsidR="0045192E" w:rsidRDefault="0045192E" w:rsidP="0045192E">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5EDF82D" w14:textId="12DB6962" w:rsidR="0045192E" w:rsidRDefault="0045192E" w:rsidP="0045192E">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0556B237" w14:textId="2839F086"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FF8F9E" w14:textId="441A416F" w:rsidR="0045192E" w:rsidRDefault="0045192E" w:rsidP="0045192E">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0C357D9D" w14:textId="2EC29252" w:rsidR="0045192E" w:rsidRDefault="0045192E" w:rsidP="0045192E">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7B20A202" w14:textId="751098CF" w:rsidR="0045192E" w:rsidRDefault="0045192E" w:rsidP="0045192E">
            <w:pPr>
              <w:jc w:val="right"/>
              <w:rPr>
                <w:color w:val="000000"/>
                <w:sz w:val="20"/>
                <w:szCs w:val="20"/>
              </w:rPr>
            </w:pPr>
            <w:r>
              <w:rPr>
                <w:color w:val="000000"/>
                <w:sz w:val="20"/>
                <w:szCs w:val="20"/>
              </w:rPr>
              <w:t>0.002</w:t>
            </w:r>
          </w:p>
        </w:tc>
      </w:tr>
      <w:tr w:rsidR="0045192E" w14:paraId="5C5E83F2" w14:textId="77777777" w:rsidTr="00885D04">
        <w:trPr>
          <w:trHeight w:val="320"/>
        </w:trPr>
        <w:tc>
          <w:tcPr>
            <w:tcW w:w="1176" w:type="dxa"/>
            <w:tcBorders>
              <w:top w:val="nil"/>
              <w:left w:val="nil"/>
              <w:bottom w:val="nil"/>
              <w:right w:val="nil"/>
            </w:tcBorders>
            <w:shd w:val="clear" w:color="auto" w:fill="auto"/>
            <w:noWrap/>
            <w:vAlign w:val="bottom"/>
            <w:hideMark/>
          </w:tcPr>
          <w:p w14:paraId="0B696012"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49740D8" w14:textId="77777777" w:rsidR="0045192E" w:rsidRDefault="0045192E" w:rsidP="0045192E">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99F820D" w14:textId="1493301E" w:rsidR="0045192E" w:rsidRDefault="0045192E" w:rsidP="0045192E">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74CEF90" w14:textId="206AE72D" w:rsidR="0045192E" w:rsidRDefault="0045192E" w:rsidP="0045192E">
            <w:pPr>
              <w:jc w:val="right"/>
              <w:rPr>
                <w:color w:val="000000"/>
                <w:sz w:val="20"/>
                <w:szCs w:val="20"/>
              </w:rPr>
            </w:pPr>
            <w:r>
              <w:rPr>
                <w:color w:val="000000"/>
                <w:sz w:val="20"/>
                <w:szCs w:val="20"/>
              </w:rPr>
              <w:t>0.936</w:t>
            </w:r>
          </w:p>
        </w:tc>
        <w:tc>
          <w:tcPr>
            <w:tcW w:w="768" w:type="dxa"/>
            <w:tcBorders>
              <w:top w:val="nil"/>
              <w:left w:val="nil"/>
              <w:bottom w:val="nil"/>
              <w:right w:val="nil"/>
            </w:tcBorders>
            <w:shd w:val="clear" w:color="auto" w:fill="auto"/>
            <w:noWrap/>
            <w:vAlign w:val="bottom"/>
            <w:hideMark/>
          </w:tcPr>
          <w:p w14:paraId="7D8F1BAF" w14:textId="127922E8"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260780" w14:textId="55F6FDC0" w:rsidR="0045192E" w:rsidRDefault="0045192E" w:rsidP="0045192E">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2BFAAE51" w14:textId="40D9E2CE" w:rsidR="0045192E" w:rsidRDefault="0045192E" w:rsidP="0045192E">
            <w:pPr>
              <w:jc w:val="right"/>
              <w:rPr>
                <w:color w:val="000000"/>
                <w:sz w:val="20"/>
                <w:szCs w:val="20"/>
              </w:rPr>
            </w:pPr>
            <w:r>
              <w:rPr>
                <w:color w:val="000000"/>
                <w:sz w:val="20"/>
                <w:szCs w:val="20"/>
              </w:rPr>
              <w:t>0.363</w:t>
            </w:r>
          </w:p>
        </w:tc>
        <w:tc>
          <w:tcPr>
            <w:tcW w:w="768" w:type="dxa"/>
            <w:tcBorders>
              <w:top w:val="nil"/>
              <w:left w:val="nil"/>
              <w:bottom w:val="nil"/>
              <w:right w:val="nil"/>
            </w:tcBorders>
            <w:shd w:val="clear" w:color="auto" w:fill="auto"/>
            <w:noWrap/>
            <w:vAlign w:val="bottom"/>
            <w:hideMark/>
          </w:tcPr>
          <w:p w14:paraId="4AFE13CB" w14:textId="5B819150"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04A3FB2" w14:textId="54704A31" w:rsidR="0045192E" w:rsidRDefault="0045192E" w:rsidP="0045192E">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B7A4731" w14:textId="5D3941F5" w:rsidR="0045192E" w:rsidRDefault="0045192E" w:rsidP="0045192E">
            <w:pPr>
              <w:jc w:val="right"/>
              <w:rPr>
                <w:color w:val="000000"/>
                <w:sz w:val="20"/>
                <w:szCs w:val="20"/>
              </w:rPr>
            </w:pPr>
            <w:r>
              <w:rPr>
                <w:color w:val="000000"/>
                <w:sz w:val="20"/>
                <w:szCs w:val="20"/>
              </w:rPr>
              <w:t>0.522</w:t>
            </w:r>
          </w:p>
        </w:tc>
        <w:tc>
          <w:tcPr>
            <w:tcW w:w="768" w:type="dxa"/>
            <w:tcBorders>
              <w:top w:val="nil"/>
              <w:left w:val="nil"/>
              <w:bottom w:val="nil"/>
              <w:right w:val="nil"/>
            </w:tcBorders>
            <w:shd w:val="clear" w:color="auto" w:fill="auto"/>
            <w:noWrap/>
            <w:vAlign w:val="bottom"/>
            <w:hideMark/>
          </w:tcPr>
          <w:p w14:paraId="6D09C6C4" w14:textId="52760FFA"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1B2E3D" w14:textId="0FFD5A72" w:rsidR="0045192E" w:rsidRDefault="0045192E" w:rsidP="0045192E">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CC99654" w14:textId="20648A9F" w:rsidR="0045192E" w:rsidRDefault="0045192E" w:rsidP="0045192E">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6C98E8E2" w14:textId="069E2824"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2B142C" w14:textId="6D480146" w:rsidR="0045192E" w:rsidRDefault="0045192E" w:rsidP="0045192E">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2CB1AF62" w14:textId="227BE1E1" w:rsidR="0045192E" w:rsidRDefault="0045192E" w:rsidP="0045192E">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37A1FC72" w14:textId="491FF607" w:rsidR="0045192E" w:rsidRDefault="0045192E" w:rsidP="0045192E">
            <w:pPr>
              <w:jc w:val="right"/>
              <w:rPr>
                <w:color w:val="000000"/>
                <w:sz w:val="20"/>
                <w:szCs w:val="20"/>
              </w:rPr>
            </w:pPr>
            <w:r>
              <w:rPr>
                <w:color w:val="000000"/>
                <w:sz w:val="20"/>
                <w:szCs w:val="20"/>
              </w:rPr>
              <w:t>0.004</w:t>
            </w:r>
          </w:p>
        </w:tc>
      </w:tr>
      <w:tr w:rsidR="0045192E" w14:paraId="0455379F" w14:textId="77777777" w:rsidTr="00885D04">
        <w:trPr>
          <w:trHeight w:val="320"/>
        </w:trPr>
        <w:tc>
          <w:tcPr>
            <w:tcW w:w="1176" w:type="dxa"/>
            <w:tcBorders>
              <w:top w:val="nil"/>
              <w:left w:val="nil"/>
              <w:bottom w:val="nil"/>
              <w:right w:val="nil"/>
            </w:tcBorders>
            <w:shd w:val="clear" w:color="auto" w:fill="auto"/>
            <w:noWrap/>
            <w:vAlign w:val="bottom"/>
            <w:hideMark/>
          </w:tcPr>
          <w:p w14:paraId="30F8AF49"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694B3A" w14:textId="77777777" w:rsidR="0045192E" w:rsidRDefault="0045192E" w:rsidP="0045192E">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577C365" w14:textId="0C587166" w:rsidR="0045192E" w:rsidRDefault="0045192E" w:rsidP="0045192E">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2E8FAC92" w14:textId="66388798" w:rsidR="0045192E" w:rsidRDefault="0045192E" w:rsidP="0045192E">
            <w:pPr>
              <w:jc w:val="right"/>
              <w:rPr>
                <w:color w:val="000000"/>
                <w:sz w:val="20"/>
                <w:szCs w:val="20"/>
              </w:rPr>
            </w:pPr>
            <w:r>
              <w:rPr>
                <w:color w:val="000000"/>
                <w:sz w:val="20"/>
                <w:szCs w:val="20"/>
              </w:rPr>
              <w:t>0.592</w:t>
            </w:r>
          </w:p>
        </w:tc>
        <w:tc>
          <w:tcPr>
            <w:tcW w:w="768" w:type="dxa"/>
            <w:tcBorders>
              <w:top w:val="nil"/>
              <w:left w:val="nil"/>
              <w:bottom w:val="nil"/>
              <w:right w:val="nil"/>
            </w:tcBorders>
            <w:shd w:val="clear" w:color="auto" w:fill="auto"/>
            <w:noWrap/>
            <w:vAlign w:val="bottom"/>
            <w:hideMark/>
          </w:tcPr>
          <w:p w14:paraId="58DC1D54" w14:textId="7D0112EC"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F5DF383" w14:textId="05AC4B38" w:rsidR="0045192E" w:rsidRDefault="0045192E" w:rsidP="0045192E">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2253B3D2" w14:textId="2D0E48AF" w:rsidR="0045192E" w:rsidRDefault="0045192E" w:rsidP="0045192E">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002640DB" w14:textId="63B3BA66"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92C290" w14:textId="64D06E16" w:rsidR="0045192E" w:rsidRDefault="0045192E" w:rsidP="0045192E">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573EE036" w14:textId="752A408C" w:rsidR="0045192E" w:rsidRDefault="0045192E" w:rsidP="0045192E">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222C4DF0" w14:textId="71CD9E48" w:rsidR="0045192E" w:rsidRDefault="0045192E" w:rsidP="0045192E">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8B6AD42" w14:textId="00C739BB" w:rsidR="0045192E" w:rsidRDefault="0045192E" w:rsidP="0045192E">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332171E1" w14:textId="3BF88E2A" w:rsidR="0045192E" w:rsidRDefault="0045192E" w:rsidP="0045192E">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251A815B" w14:textId="50D40783"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4E157E1" w14:textId="034E9EED" w:rsidR="0045192E" w:rsidRDefault="0045192E" w:rsidP="0045192E">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53F501B8" w14:textId="29FFD8C4" w:rsidR="0045192E" w:rsidRDefault="0045192E" w:rsidP="0045192E">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794FC569" w14:textId="415F0E3D" w:rsidR="0045192E" w:rsidRDefault="0045192E" w:rsidP="0045192E">
            <w:pPr>
              <w:jc w:val="right"/>
              <w:rPr>
                <w:color w:val="000000"/>
                <w:sz w:val="20"/>
                <w:szCs w:val="20"/>
              </w:rPr>
            </w:pPr>
            <w:r>
              <w:rPr>
                <w:color w:val="000000"/>
                <w:sz w:val="20"/>
                <w:szCs w:val="20"/>
              </w:rPr>
              <w:t>0.001</w:t>
            </w:r>
          </w:p>
        </w:tc>
      </w:tr>
      <w:tr w:rsidR="0045192E" w14:paraId="74AD407F" w14:textId="77777777" w:rsidTr="00885D04">
        <w:trPr>
          <w:trHeight w:val="320"/>
        </w:trPr>
        <w:tc>
          <w:tcPr>
            <w:tcW w:w="1176" w:type="dxa"/>
            <w:tcBorders>
              <w:top w:val="nil"/>
              <w:left w:val="nil"/>
              <w:bottom w:val="nil"/>
              <w:right w:val="nil"/>
            </w:tcBorders>
            <w:shd w:val="clear" w:color="auto" w:fill="auto"/>
            <w:noWrap/>
            <w:vAlign w:val="bottom"/>
            <w:hideMark/>
          </w:tcPr>
          <w:p w14:paraId="54438695"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8EE855" w14:textId="77777777" w:rsidR="0045192E" w:rsidRDefault="0045192E" w:rsidP="0045192E">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E73D56E" w14:textId="285A19D0" w:rsidR="0045192E" w:rsidRDefault="0045192E" w:rsidP="0045192E">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CCF9A8E" w14:textId="59C358DA" w:rsidR="0045192E" w:rsidRDefault="0045192E" w:rsidP="0045192E">
            <w:pPr>
              <w:jc w:val="right"/>
              <w:rPr>
                <w:color w:val="000000"/>
                <w:sz w:val="20"/>
                <w:szCs w:val="20"/>
              </w:rPr>
            </w:pPr>
            <w:r>
              <w:rPr>
                <w:color w:val="000000"/>
                <w:sz w:val="20"/>
                <w:szCs w:val="20"/>
              </w:rPr>
              <w:t>0.618</w:t>
            </w:r>
          </w:p>
        </w:tc>
        <w:tc>
          <w:tcPr>
            <w:tcW w:w="768" w:type="dxa"/>
            <w:tcBorders>
              <w:top w:val="nil"/>
              <w:left w:val="nil"/>
              <w:bottom w:val="nil"/>
              <w:right w:val="nil"/>
            </w:tcBorders>
            <w:shd w:val="clear" w:color="auto" w:fill="auto"/>
            <w:noWrap/>
            <w:vAlign w:val="bottom"/>
            <w:hideMark/>
          </w:tcPr>
          <w:p w14:paraId="3368F8E7" w14:textId="18B8BC68"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D217C0D" w14:textId="398EB9AE" w:rsidR="0045192E" w:rsidRDefault="0045192E" w:rsidP="0045192E">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8A0D929" w14:textId="5597FA50" w:rsidR="0045192E" w:rsidRDefault="0045192E" w:rsidP="0045192E">
            <w:pPr>
              <w:jc w:val="right"/>
              <w:rPr>
                <w:color w:val="000000"/>
                <w:sz w:val="20"/>
                <w:szCs w:val="20"/>
              </w:rPr>
            </w:pPr>
            <w:r>
              <w:rPr>
                <w:color w:val="000000"/>
                <w:sz w:val="20"/>
                <w:szCs w:val="20"/>
              </w:rPr>
              <w:t>0.363</w:t>
            </w:r>
          </w:p>
        </w:tc>
        <w:tc>
          <w:tcPr>
            <w:tcW w:w="768" w:type="dxa"/>
            <w:tcBorders>
              <w:top w:val="nil"/>
              <w:left w:val="nil"/>
              <w:bottom w:val="nil"/>
              <w:right w:val="nil"/>
            </w:tcBorders>
            <w:shd w:val="clear" w:color="auto" w:fill="auto"/>
            <w:noWrap/>
            <w:vAlign w:val="bottom"/>
            <w:hideMark/>
          </w:tcPr>
          <w:p w14:paraId="7DB7DCF2" w14:textId="0FEA2296"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1A43511" w14:textId="68455EE0" w:rsidR="0045192E" w:rsidRDefault="0045192E" w:rsidP="0045192E">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394781C" w14:textId="1831BFD1" w:rsidR="0045192E" w:rsidRDefault="0045192E" w:rsidP="0045192E">
            <w:pPr>
              <w:jc w:val="right"/>
              <w:rPr>
                <w:color w:val="000000"/>
                <w:sz w:val="20"/>
                <w:szCs w:val="20"/>
              </w:rPr>
            </w:pPr>
            <w:r>
              <w:rPr>
                <w:color w:val="000000"/>
                <w:sz w:val="20"/>
                <w:szCs w:val="20"/>
              </w:rPr>
              <w:t>0.298</w:t>
            </w:r>
          </w:p>
        </w:tc>
        <w:tc>
          <w:tcPr>
            <w:tcW w:w="768" w:type="dxa"/>
            <w:tcBorders>
              <w:top w:val="nil"/>
              <w:left w:val="nil"/>
              <w:bottom w:val="nil"/>
              <w:right w:val="nil"/>
            </w:tcBorders>
            <w:shd w:val="clear" w:color="auto" w:fill="auto"/>
            <w:noWrap/>
            <w:vAlign w:val="bottom"/>
            <w:hideMark/>
          </w:tcPr>
          <w:p w14:paraId="51D0A715" w14:textId="3D1AE6E4"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CA6B375" w14:textId="66AE110F" w:rsidR="0045192E" w:rsidRDefault="0045192E" w:rsidP="0045192E">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323F7FBF" w14:textId="7DECB1C4" w:rsidR="0045192E" w:rsidRDefault="0045192E" w:rsidP="0045192E">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49149FF9" w14:textId="703302B2"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49E847" w14:textId="185BBEC8" w:rsidR="0045192E" w:rsidRDefault="0045192E" w:rsidP="0045192E">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960B6F3" w14:textId="6CE70E55" w:rsidR="0045192E" w:rsidRDefault="0045192E" w:rsidP="0045192E">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7E5742DE" w14:textId="49F90F43" w:rsidR="0045192E" w:rsidRDefault="0045192E" w:rsidP="0045192E">
            <w:pPr>
              <w:jc w:val="right"/>
              <w:rPr>
                <w:color w:val="000000"/>
                <w:sz w:val="20"/>
                <w:szCs w:val="20"/>
              </w:rPr>
            </w:pPr>
            <w:r>
              <w:rPr>
                <w:color w:val="000000"/>
                <w:sz w:val="20"/>
                <w:szCs w:val="20"/>
              </w:rPr>
              <w:t>0.001</w:t>
            </w:r>
          </w:p>
        </w:tc>
      </w:tr>
      <w:tr w:rsidR="0045192E" w14:paraId="36CE7DCF" w14:textId="77777777" w:rsidTr="00885D04">
        <w:trPr>
          <w:trHeight w:val="320"/>
        </w:trPr>
        <w:tc>
          <w:tcPr>
            <w:tcW w:w="1176" w:type="dxa"/>
            <w:tcBorders>
              <w:top w:val="nil"/>
              <w:left w:val="nil"/>
              <w:bottom w:val="single" w:sz="4" w:space="0" w:color="auto"/>
              <w:right w:val="nil"/>
            </w:tcBorders>
            <w:shd w:val="clear" w:color="auto" w:fill="auto"/>
            <w:noWrap/>
            <w:vAlign w:val="bottom"/>
            <w:hideMark/>
          </w:tcPr>
          <w:p w14:paraId="35904019" w14:textId="77777777" w:rsidR="0045192E" w:rsidRDefault="0045192E" w:rsidP="0045192E">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9F7D193" w14:textId="77777777" w:rsidR="0045192E" w:rsidRDefault="0045192E" w:rsidP="0045192E">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32FF415" w14:textId="7C94A01F"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51B390E3" w14:textId="7B302874" w:rsidR="0045192E" w:rsidRDefault="0045192E" w:rsidP="0045192E">
            <w:pPr>
              <w:jc w:val="right"/>
              <w:rPr>
                <w:color w:val="000000"/>
                <w:sz w:val="20"/>
                <w:szCs w:val="20"/>
              </w:rPr>
            </w:pPr>
            <w:r>
              <w:rPr>
                <w:color w:val="000000"/>
                <w:sz w:val="20"/>
                <w:szCs w:val="20"/>
              </w:rPr>
              <w:t>0.948</w:t>
            </w:r>
          </w:p>
        </w:tc>
        <w:tc>
          <w:tcPr>
            <w:tcW w:w="768" w:type="dxa"/>
            <w:tcBorders>
              <w:top w:val="nil"/>
              <w:left w:val="nil"/>
              <w:bottom w:val="single" w:sz="4" w:space="0" w:color="auto"/>
              <w:right w:val="nil"/>
            </w:tcBorders>
            <w:shd w:val="clear" w:color="auto" w:fill="auto"/>
            <w:noWrap/>
            <w:vAlign w:val="bottom"/>
            <w:hideMark/>
          </w:tcPr>
          <w:p w14:paraId="70CA2456" w14:textId="17A4F118"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5E0E936" w14:textId="04BE21EA" w:rsidR="0045192E" w:rsidRDefault="0045192E" w:rsidP="0045192E">
            <w:pPr>
              <w:jc w:val="right"/>
              <w:rPr>
                <w:color w:val="000000"/>
                <w:sz w:val="20"/>
                <w:szCs w:val="20"/>
              </w:rPr>
            </w:pPr>
            <w:r>
              <w:rPr>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705F7ABB" w14:textId="48188096" w:rsidR="0045192E" w:rsidRDefault="0045192E" w:rsidP="0045192E">
            <w:pPr>
              <w:jc w:val="right"/>
              <w:rPr>
                <w:color w:val="000000"/>
                <w:sz w:val="20"/>
                <w:szCs w:val="20"/>
              </w:rPr>
            </w:pPr>
            <w:r>
              <w:rPr>
                <w:color w:val="000000"/>
                <w:sz w:val="20"/>
                <w:szCs w:val="20"/>
              </w:rPr>
              <w:t>0.363</w:t>
            </w:r>
          </w:p>
        </w:tc>
        <w:tc>
          <w:tcPr>
            <w:tcW w:w="768" w:type="dxa"/>
            <w:tcBorders>
              <w:top w:val="nil"/>
              <w:left w:val="nil"/>
              <w:bottom w:val="single" w:sz="4" w:space="0" w:color="auto"/>
              <w:right w:val="nil"/>
            </w:tcBorders>
            <w:shd w:val="clear" w:color="auto" w:fill="auto"/>
            <w:noWrap/>
            <w:vAlign w:val="bottom"/>
            <w:hideMark/>
          </w:tcPr>
          <w:p w14:paraId="19F44807" w14:textId="6827B6CF"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B7C0431" w14:textId="60ACAE68" w:rsidR="0045192E" w:rsidRDefault="0045192E" w:rsidP="0045192E">
            <w:pPr>
              <w:jc w:val="right"/>
              <w:rPr>
                <w:color w:val="000000"/>
                <w:sz w:val="20"/>
                <w:szCs w:val="20"/>
              </w:rPr>
            </w:pPr>
            <w:r>
              <w:rPr>
                <w:color w:val="000000"/>
                <w:sz w:val="20"/>
                <w:szCs w:val="20"/>
              </w:rPr>
              <w:t>-0.048</w:t>
            </w:r>
          </w:p>
        </w:tc>
        <w:tc>
          <w:tcPr>
            <w:tcW w:w="768" w:type="dxa"/>
            <w:tcBorders>
              <w:top w:val="nil"/>
              <w:left w:val="nil"/>
              <w:bottom w:val="single" w:sz="4" w:space="0" w:color="auto"/>
              <w:right w:val="nil"/>
            </w:tcBorders>
            <w:shd w:val="clear" w:color="auto" w:fill="auto"/>
            <w:noWrap/>
            <w:vAlign w:val="bottom"/>
            <w:hideMark/>
          </w:tcPr>
          <w:p w14:paraId="6FB9A8DC" w14:textId="6398CF73" w:rsidR="0045192E" w:rsidRDefault="0045192E" w:rsidP="0045192E">
            <w:pPr>
              <w:jc w:val="right"/>
              <w:rPr>
                <w:color w:val="000000"/>
                <w:sz w:val="20"/>
                <w:szCs w:val="20"/>
              </w:rPr>
            </w:pPr>
            <w:r>
              <w:rPr>
                <w:color w:val="000000"/>
                <w:sz w:val="20"/>
                <w:szCs w:val="20"/>
              </w:rPr>
              <w:t>0.298</w:t>
            </w:r>
          </w:p>
        </w:tc>
        <w:tc>
          <w:tcPr>
            <w:tcW w:w="768" w:type="dxa"/>
            <w:tcBorders>
              <w:top w:val="nil"/>
              <w:left w:val="nil"/>
              <w:bottom w:val="single" w:sz="4" w:space="0" w:color="auto"/>
              <w:right w:val="nil"/>
            </w:tcBorders>
            <w:shd w:val="clear" w:color="auto" w:fill="auto"/>
            <w:noWrap/>
            <w:vAlign w:val="bottom"/>
            <w:hideMark/>
          </w:tcPr>
          <w:p w14:paraId="408FF0B0" w14:textId="62119AA7"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6D117803" w14:textId="7F8EE9E4" w:rsidR="0045192E" w:rsidRDefault="0045192E" w:rsidP="0045192E">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5235F064" w14:textId="7987EEC6" w:rsidR="0045192E" w:rsidRDefault="0045192E" w:rsidP="0045192E">
            <w:pPr>
              <w:jc w:val="right"/>
              <w:rPr>
                <w:color w:val="000000"/>
                <w:sz w:val="20"/>
                <w:szCs w:val="20"/>
              </w:rPr>
            </w:pPr>
            <w:r>
              <w:rPr>
                <w:color w:val="000000"/>
                <w:sz w:val="20"/>
                <w:szCs w:val="20"/>
              </w:rPr>
              <w:t>0.880</w:t>
            </w:r>
          </w:p>
        </w:tc>
        <w:tc>
          <w:tcPr>
            <w:tcW w:w="768" w:type="dxa"/>
            <w:tcBorders>
              <w:top w:val="nil"/>
              <w:left w:val="nil"/>
              <w:bottom w:val="single" w:sz="4" w:space="0" w:color="auto"/>
              <w:right w:val="nil"/>
            </w:tcBorders>
            <w:shd w:val="clear" w:color="auto" w:fill="auto"/>
            <w:noWrap/>
            <w:vAlign w:val="bottom"/>
            <w:hideMark/>
          </w:tcPr>
          <w:p w14:paraId="7A541C58" w14:textId="26C9ACB1"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7D04B04" w14:textId="7848588C" w:rsidR="0045192E" w:rsidRDefault="0045192E" w:rsidP="0045192E">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5CDA936C" w14:textId="01915408" w:rsidR="0045192E" w:rsidRDefault="0045192E" w:rsidP="0045192E">
            <w:pPr>
              <w:jc w:val="right"/>
              <w:rPr>
                <w:color w:val="000000"/>
                <w:sz w:val="20"/>
                <w:szCs w:val="20"/>
              </w:rPr>
            </w:pPr>
            <w:r>
              <w:rPr>
                <w:color w:val="000000"/>
                <w:sz w:val="20"/>
                <w:szCs w:val="20"/>
              </w:rPr>
              <w:t>0.450</w:t>
            </w:r>
          </w:p>
        </w:tc>
        <w:tc>
          <w:tcPr>
            <w:tcW w:w="768" w:type="dxa"/>
            <w:tcBorders>
              <w:top w:val="nil"/>
              <w:left w:val="nil"/>
              <w:bottom w:val="single" w:sz="4" w:space="0" w:color="auto"/>
              <w:right w:val="nil"/>
            </w:tcBorders>
            <w:shd w:val="clear" w:color="auto" w:fill="auto"/>
            <w:noWrap/>
            <w:vAlign w:val="bottom"/>
            <w:hideMark/>
          </w:tcPr>
          <w:p w14:paraId="48566E33" w14:textId="316DE325" w:rsidR="0045192E" w:rsidRDefault="0045192E" w:rsidP="0045192E">
            <w:pPr>
              <w:jc w:val="right"/>
              <w:rPr>
                <w:color w:val="000000"/>
                <w:sz w:val="20"/>
                <w:szCs w:val="20"/>
              </w:rPr>
            </w:pPr>
            <w:r>
              <w:rPr>
                <w:color w:val="000000"/>
                <w:sz w:val="20"/>
                <w:szCs w:val="20"/>
              </w:rPr>
              <w:t>0.001</w:t>
            </w:r>
          </w:p>
        </w:tc>
      </w:tr>
      <w:tr w:rsidR="0045192E" w14:paraId="69AF3A62" w14:textId="77777777" w:rsidTr="00885D04">
        <w:trPr>
          <w:trHeight w:val="320"/>
        </w:trPr>
        <w:tc>
          <w:tcPr>
            <w:tcW w:w="1176" w:type="dxa"/>
            <w:tcBorders>
              <w:top w:val="nil"/>
              <w:left w:val="nil"/>
              <w:bottom w:val="nil"/>
              <w:right w:val="nil"/>
            </w:tcBorders>
            <w:shd w:val="clear" w:color="auto" w:fill="auto"/>
            <w:noWrap/>
            <w:vAlign w:val="bottom"/>
            <w:hideMark/>
          </w:tcPr>
          <w:p w14:paraId="2ABD3B87" w14:textId="77777777" w:rsidR="0045192E" w:rsidRDefault="0045192E" w:rsidP="0045192E">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38A16EE7" w14:textId="77777777" w:rsidR="0045192E" w:rsidRDefault="0045192E" w:rsidP="0045192E">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4286AFD" w14:textId="79AAFBED" w:rsidR="0045192E" w:rsidRDefault="0045192E" w:rsidP="0045192E">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D9D21EF" w14:textId="37799BBD" w:rsidR="0045192E" w:rsidRDefault="0045192E" w:rsidP="0045192E">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502BA63D" w14:textId="0CE638F3"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9558E3" w14:textId="249A739C" w:rsidR="0045192E" w:rsidRDefault="0045192E" w:rsidP="0045192E">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D7FD76E" w14:textId="64F4BF98" w:rsidR="0045192E" w:rsidRDefault="0045192E" w:rsidP="0045192E">
            <w:pPr>
              <w:jc w:val="right"/>
              <w:rPr>
                <w:color w:val="000000"/>
                <w:sz w:val="20"/>
                <w:szCs w:val="20"/>
              </w:rPr>
            </w:pPr>
            <w:r>
              <w:rPr>
                <w:color w:val="000000"/>
                <w:sz w:val="20"/>
                <w:szCs w:val="20"/>
              </w:rPr>
              <w:t>0.717</w:t>
            </w:r>
          </w:p>
        </w:tc>
        <w:tc>
          <w:tcPr>
            <w:tcW w:w="768" w:type="dxa"/>
            <w:tcBorders>
              <w:top w:val="nil"/>
              <w:left w:val="nil"/>
              <w:bottom w:val="nil"/>
              <w:right w:val="nil"/>
            </w:tcBorders>
            <w:shd w:val="clear" w:color="auto" w:fill="auto"/>
            <w:noWrap/>
            <w:vAlign w:val="bottom"/>
            <w:hideMark/>
          </w:tcPr>
          <w:p w14:paraId="6C785E11" w14:textId="38D3F0F2"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BD9A79" w14:textId="6E39E786" w:rsidR="0045192E" w:rsidRDefault="0045192E" w:rsidP="0045192E">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64DC0E2A" w14:textId="7F38805E" w:rsidR="0045192E" w:rsidRDefault="0045192E" w:rsidP="0045192E">
            <w:pPr>
              <w:jc w:val="right"/>
              <w:rPr>
                <w:color w:val="000000"/>
                <w:sz w:val="20"/>
                <w:szCs w:val="20"/>
              </w:rPr>
            </w:pPr>
            <w:r>
              <w:rPr>
                <w:color w:val="000000"/>
                <w:sz w:val="20"/>
                <w:szCs w:val="20"/>
              </w:rPr>
              <w:t>0.722</w:t>
            </w:r>
          </w:p>
        </w:tc>
        <w:tc>
          <w:tcPr>
            <w:tcW w:w="768" w:type="dxa"/>
            <w:tcBorders>
              <w:top w:val="nil"/>
              <w:left w:val="nil"/>
              <w:bottom w:val="nil"/>
              <w:right w:val="nil"/>
            </w:tcBorders>
            <w:shd w:val="clear" w:color="auto" w:fill="auto"/>
            <w:noWrap/>
            <w:vAlign w:val="bottom"/>
            <w:hideMark/>
          </w:tcPr>
          <w:p w14:paraId="691844E9" w14:textId="12F7EDAF"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188ECF" w14:textId="02D77D52" w:rsidR="0045192E" w:rsidRDefault="0045192E" w:rsidP="0045192E">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402B982E" w14:textId="3B3392E8" w:rsidR="0045192E" w:rsidRDefault="0045192E" w:rsidP="0045192E">
            <w:pPr>
              <w:jc w:val="right"/>
              <w:rPr>
                <w:color w:val="000000"/>
                <w:sz w:val="20"/>
                <w:szCs w:val="20"/>
              </w:rPr>
            </w:pPr>
            <w:r>
              <w:rPr>
                <w:color w:val="000000"/>
                <w:sz w:val="20"/>
                <w:szCs w:val="20"/>
              </w:rPr>
              <w:t>0.181</w:t>
            </w:r>
          </w:p>
        </w:tc>
        <w:tc>
          <w:tcPr>
            <w:tcW w:w="768" w:type="dxa"/>
            <w:tcBorders>
              <w:top w:val="nil"/>
              <w:left w:val="nil"/>
              <w:bottom w:val="nil"/>
              <w:right w:val="nil"/>
            </w:tcBorders>
            <w:shd w:val="clear" w:color="auto" w:fill="auto"/>
            <w:noWrap/>
            <w:vAlign w:val="bottom"/>
            <w:hideMark/>
          </w:tcPr>
          <w:p w14:paraId="6379F5A6" w14:textId="0AA62D17"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8D1D272" w14:textId="752BF82F" w:rsidR="0045192E" w:rsidRDefault="0045192E" w:rsidP="0045192E">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48343E6" w14:textId="686B6EDE" w:rsidR="0045192E" w:rsidRDefault="0045192E" w:rsidP="0045192E">
            <w:pPr>
              <w:jc w:val="right"/>
              <w:rPr>
                <w:color w:val="000000"/>
                <w:sz w:val="20"/>
                <w:szCs w:val="20"/>
              </w:rPr>
            </w:pPr>
            <w:r>
              <w:rPr>
                <w:color w:val="000000"/>
                <w:sz w:val="20"/>
                <w:szCs w:val="20"/>
              </w:rPr>
              <w:t>0.611</w:t>
            </w:r>
          </w:p>
        </w:tc>
        <w:tc>
          <w:tcPr>
            <w:tcW w:w="768" w:type="dxa"/>
            <w:tcBorders>
              <w:top w:val="nil"/>
              <w:left w:val="nil"/>
              <w:bottom w:val="nil"/>
              <w:right w:val="nil"/>
            </w:tcBorders>
            <w:shd w:val="clear" w:color="auto" w:fill="auto"/>
            <w:noWrap/>
            <w:vAlign w:val="bottom"/>
            <w:hideMark/>
          </w:tcPr>
          <w:p w14:paraId="3AD071EC" w14:textId="327C2A3B" w:rsidR="0045192E" w:rsidRDefault="0045192E" w:rsidP="0045192E">
            <w:pPr>
              <w:jc w:val="right"/>
              <w:rPr>
                <w:color w:val="000000"/>
                <w:sz w:val="20"/>
                <w:szCs w:val="20"/>
              </w:rPr>
            </w:pPr>
            <w:r>
              <w:rPr>
                <w:color w:val="000000"/>
                <w:sz w:val="20"/>
                <w:szCs w:val="20"/>
              </w:rPr>
              <w:t>0.001</w:t>
            </w:r>
          </w:p>
        </w:tc>
      </w:tr>
      <w:tr w:rsidR="0045192E" w14:paraId="2144992C" w14:textId="77777777" w:rsidTr="00885D04">
        <w:trPr>
          <w:trHeight w:val="320"/>
        </w:trPr>
        <w:tc>
          <w:tcPr>
            <w:tcW w:w="1176" w:type="dxa"/>
            <w:tcBorders>
              <w:top w:val="nil"/>
              <w:left w:val="nil"/>
              <w:bottom w:val="nil"/>
              <w:right w:val="nil"/>
            </w:tcBorders>
            <w:shd w:val="clear" w:color="auto" w:fill="auto"/>
            <w:noWrap/>
            <w:vAlign w:val="bottom"/>
            <w:hideMark/>
          </w:tcPr>
          <w:p w14:paraId="025F9EAB"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956AA2A" w14:textId="77777777" w:rsidR="0045192E" w:rsidRDefault="0045192E" w:rsidP="0045192E">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CCACEE5" w14:textId="4AB2C4A9" w:rsidR="0045192E" w:rsidRDefault="0045192E" w:rsidP="0045192E">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0B701C88" w14:textId="7DBDE2F8" w:rsidR="0045192E" w:rsidRDefault="0045192E" w:rsidP="0045192E">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67035243" w14:textId="74A67E90"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577D1C6" w14:textId="1B30D9AB" w:rsidR="0045192E" w:rsidRDefault="0045192E" w:rsidP="0045192E">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60B74EF4" w14:textId="7D60B42B" w:rsidR="0045192E" w:rsidRDefault="0045192E" w:rsidP="0045192E">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735CBF0E" w14:textId="73474EAE"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1A62D0" w14:textId="1B1839C6" w:rsidR="0045192E" w:rsidRDefault="0045192E" w:rsidP="0045192E">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74DA09A" w14:textId="7518EFE7" w:rsidR="0045192E" w:rsidRDefault="0045192E" w:rsidP="0045192E">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38170205" w14:textId="37769CF9"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5B55DFE" w14:textId="6CA6B823" w:rsidR="0045192E" w:rsidRDefault="0045192E" w:rsidP="0045192E">
            <w:pPr>
              <w:jc w:val="right"/>
              <w:rPr>
                <w:b/>
                <w:bCs/>
                <w:color w:val="000000"/>
                <w:sz w:val="20"/>
                <w:szCs w:val="20"/>
              </w:rPr>
            </w:pPr>
            <w:r>
              <w:rPr>
                <w:b/>
                <w:bCs/>
                <w:color w:val="000000"/>
                <w:sz w:val="20"/>
                <w:szCs w:val="20"/>
              </w:rPr>
              <w:t>0.089</w:t>
            </w:r>
          </w:p>
        </w:tc>
        <w:tc>
          <w:tcPr>
            <w:tcW w:w="768" w:type="dxa"/>
            <w:tcBorders>
              <w:top w:val="nil"/>
              <w:left w:val="nil"/>
              <w:bottom w:val="nil"/>
              <w:right w:val="nil"/>
            </w:tcBorders>
            <w:shd w:val="clear" w:color="auto" w:fill="auto"/>
            <w:noWrap/>
            <w:vAlign w:val="bottom"/>
            <w:hideMark/>
          </w:tcPr>
          <w:p w14:paraId="79E3D3DA" w14:textId="507B814C" w:rsidR="0045192E" w:rsidRDefault="0045192E" w:rsidP="0045192E">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44358B1" w14:textId="2901AD08" w:rsidR="0045192E" w:rsidRDefault="0045192E" w:rsidP="0045192E">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16AE59F1" w14:textId="02DFB28F" w:rsidR="0045192E" w:rsidRDefault="0045192E" w:rsidP="0045192E">
            <w:pPr>
              <w:jc w:val="right"/>
              <w:rPr>
                <w:b/>
                <w:bCs/>
                <w:color w:val="000000"/>
                <w:sz w:val="20"/>
                <w:szCs w:val="20"/>
              </w:rPr>
            </w:pPr>
            <w:r>
              <w:rPr>
                <w:b/>
                <w:bCs/>
                <w:color w:val="000000"/>
                <w:sz w:val="20"/>
                <w:szCs w:val="20"/>
              </w:rPr>
              <w:t>-0.103</w:t>
            </w:r>
          </w:p>
        </w:tc>
        <w:tc>
          <w:tcPr>
            <w:tcW w:w="768" w:type="dxa"/>
            <w:tcBorders>
              <w:top w:val="nil"/>
              <w:left w:val="nil"/>
              <w:bottom w:val="nil"/>
              <w:right w:val="nil"/>
            </w:tcBorders>
            <w:shd w:val="clear" w:color="auto" w:fill="auto"/>
            <w:noWrap/>
            <w:vAlign w:val="bottom"/>
            <w:hideMark/>
          </w:tcPr>
          <w:p w14:paraId="39BD2BA6" w14:textId="3F05744C" w:rsidR="0045192E" w:rsidRDefault="0045192E" w:rsidP="0045192E">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29404284" w14:textId="17EC6137" w:rsidR="0045192E" w:rsidRDefault="0045192E" w:rsidP="0045192E">
            <w:pPr>
              <w:jc w:val="right"/>
              <w:rPr>
                <w:color w:val="000000"/>
                <w:sz w:val="20"/>
                <w:szCs w:val="20"/>
              </w:rPr>
            </w:pPr>
            <w:r>
              <w:rPr>
                <w:b/>
                <w:bCs/>
                <w:color w:val="000000"/>
                <w:sz w:val="20"/>
                <w:szCs w:val="20"/>
              </w:rPr>
              <w:t>0.011</w:t>
            </w:r>
          </w:p>
        </w:tc>
      </w:tr>
      <w:tr w:rsidR="0045192E" w14:paraId="5B0713FE" w14:textId="77777777" w:rsidTr="00885D04">
        <w:trPr>
          <w:trHeight w:val="320"/>
        </w:trPr>
        <w:tc>
          <w:tcPr>
            <w:tcW w:w="1176" w:type="dxa"/>
            <w:tcBorders>
              <w:top w:val="nil"/>
              <w:left w:val="nil"/>
              <w:bottom w:val="nil"/>
              <w:right w:val="nil"/>
            </w:tcBorders>
            <w:shd w:val="clear" w:color="auto" w:fill="auto"/>
            <w:noWrap/>
            <w:vAlign w:val="bottom"/>
            <w:hideMark/>
          </w:tcPr>
          <w:p w14:paraId="5FB4F0F1"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B8C4417" w14:textId="77777777" w:rsidR="0045192E" w:rsidRDefault="0045192E" w:rsidP="0045192E">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F1CE779" w14:textId="3819D729" w:rsidR="0045192E" w:rsidRDefault="0045192E" w:rsidP="0045192E">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62E8BA83" w14:textId="4A91A0F0" w:rsidR="0045192E" w:rsidRDefault="0045192E" w:rsidP="0045192E">
            <w:pPr>
              <w:jc w:val="right"/>
              <w:rPr>
                <w:color w:val="000000"/>
                <w:sz w:val="20"/>
                <w:szCs w:val="20"/>
              </w:rPr>
            </w:pPr>
            <w:r>
              <w:rPr>
                <w:color w:val="000000"/>
                <w:sz w:val="20"/>
                <w:szCs w:val="20"/>
              </w:rPr>
              <w:t>0.772</w:t>
            </w:r>
          </w:p>
        </w:tc>
        <w:tc>
          <w:tcPr>
            <w:tcW w:w="768" w:type="dxa"/>
            <w:tcBorders>
              <w:top w:val="nil"/>
              <w:left w:val="nil"/>
              <w:bottom w:val="nil"/>
              <w:right w:val="nil"/>
            </w:tcBorders>
            <w:shd w:val="clear" w:color="auto" w:fill="auto"/>
            <w:noWrap/>
            <w:vAlign w:val="bottom"/>
            <w:hideMark/>
          </w:tcPr>
          <w:p w14:paraId="15481E37" w14:textId="27EAC660"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ABBE9AB" w14:textId="61DD9E27" w:rsidR="0045192E" w:rsidRDefault="0045192E" w:rsidP="0045192E">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65FFF5BF" w14:textId="132C19E1" w:rsidR="0045192E" w:rsidRDefault="0045192E" w:rsidP="0045192E">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27839C2C" w14:textId="2044E289"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0AFA27" w14:textId="37B6F712" w:rsidR="0045192E" w:rsidRDefault="0045192E" w:rsidP="0045192E">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32BB6E2" w14:textId="5ABFE395" w:rsidR="0045192E" w:rsidRDefault="0045192E" w:rsidP="0045192E">
            <w:pPr>
              <w:jc w:val="right"/>
              <w:rPr>
                <w:color w:val="000000"/>
                <w:sz w:val="20"/>
                <w:szCs w:val="20"/>
              </w:rPr>
            </w:pPr>
            <w:r>
              <w:rPr>
                <w:color w:val="000000"/>
                <w:sz w:val="20"/>
                <w:szCs w:val="20"/>
              </w:rPr>
              <w:t>0.906</w:t>
            </w:r>
          </w:p>
        </w:tc>
        <w:tc>
          <w:tcPr>
            <w:tcW w:w="768" w:type="dxa"/>
            <w:tcBorders>
              <w:top w:val="nil"/>
              <w:left w:val="nil"/>
              <w:bottom w:val="nil"/>
              <w:right w:val="nil"/>
            </w:tcBorders>
            <w:shd w:val="clear" w:color="auto" w:fill="auto"/>
            <w:noWrap/>
            <w:vAlign w:val="bottom"/>
            <w:hideMark/>
          </w:tcPr>
          <w:p w14:paraId="1F13DABD" w14:textId="7838179B"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BB47F2" w14:textId="4C9A438B" w:rsidR="0045192E" w:rsidRDefault="0045192E" w:rsidP="0045192E">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46C3ED19" w14:textId="7B49AB37" w:rsidR="0045192E" w:rsidRDefault="0045192E" w:rsidP="0045192E">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656BBE48" w14:textId="5A97ADF7"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16FC711" w14:textId="14255676" w:rsidR="0045192E" w:rsidRDefault="0045192E" w:rsidP="0045192E">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6834BB21" w14:textId="0489759E" w:rsidR="0045192E" w:rsidRDefault="0045192E" w:rsidP="0045192E">
            <w:pPr>
              <w:jc w:val="right"/>
              <w:rPr>
                <w:color w:val="000000"/>
                <w:sz w:val="20"/>
                <w:szCs w:val="20"/>
              </w:rPr>
            </w:pPr>
            <w:r>
              <w:rPr>
                <w:color w:val="000000"/>
                <w:sz w:val="20"/>
                <w:szCs w:val="20"/>
              </w:rPr>
              <w:t>0.778</w:t>
            </w:r>
          </w:p>
        </w:tc>
        <w:tc>
          <w:tcPr>
            <w:tcW w:w="768" w:type="dxa"/>
            <w:tcBorders>
              <w:top w:val="nil"/>
              <w:left w:val="nil"/>
              <w:bottom w:val="nil"/>
              <w:right w:val="nil"/>
            </w:tcBorders>
            <w:shd w:val="clear" w:color="auto" w:fill="auto"/>
            <w:noWrap/>
            <w:vAlign w:val="bottom"/>
            <w:hideMark/>
          </w:tcPr>
          <w:p w14:paraId="49FBC6D1" w14:textId="33F3200C" w:rsidR="0045192E" w:rsidRDefault="0045192E" w:rsidP="0045192E">
            <w:pPr>
              <w:jc w:val="right"/>
              <w:rPr>
                <w:color w:val="000000"/>
                <w:sz w:val="20"/>
                <w:szCs w:val="20"/>
              </w:rPr>
            </w:pPr>
            <w:r>
              <w:rPr>
                <w:color w:val="000000"/>
                <w:sz w:val="20"/>
                <w:szCs w:val="20"/>
              </w:rPr>
              <w:t>0.000</w:t>
            </w:r>
          </w:p>
        </w:tc>
      </w:tr>
      <w:tr w:rsidR="0045192E" w14:paraId="4BD9FD78" w14:textId="77777777" w:rsidTr="00885D04">
        <w:trPr>
          <w:trHeight w:val="320"/>
        </w:trPr>
        <w:tc>
          <w:tcPr>
            <w:tcW w:w="1176" w:type="dxa"/>
            <w:tcBorders>
              <w:top w:val="nil"/>
              <w:left w:val="nil"/>
              <w:bottom w:val="nil"/>
              <w:right w:val="nil"/>
            </w:tcBorders>
            <w:shd w:val="clear" w:color="auto" w:fill="auto"/>
            <w:noWrap/>
            <w:vAlign w:val="bottom"/>
            <w:hideMark/>
          </w:tcPr>
          <w:p w14:paraId="3996EFD5"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E7BA22E" w14:textId="77777777" w:rsidR="0045192E" w:rsidRDefault="0045192E" w:rsidP="0045192E">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809BCD1" w14:textId="447DA4FA" w:rsidR="0045192E" w:rsidRDefault="0045192E" w:rsidP="0045192E">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89D6C60" w14:textId="56EA9161" w:rsidR="0045192E" w:rsidRDefault="0045192E" w:rsidP="0045192E">
            <w:pPr>
              <w:jc w:val="right"/>
              <w:rPr>
                <w:color w:val="000000"/>
                <w:sz w:val="20"/>
                <w:szCs w:val="20"/>
              </w:rPr>
            </w:pPr>
            <w:r>
              <w:rPr>
                <w:color w:val="000000"/>
                <w:sz w:val="20"/>
                <w:szCs w:val="20"/>
              </w:rPr>
              <w:t>0.880</w:t>
            </w:r>
          </w:p>
        </w:tc>
        <w:tc>
          <w:tcPr>
            <w:tcW w:w="768" w:type="dxa"/>
            <w:tcBorders>
              <w:top w:val="nil"/>
              <w:left w:val="nil"/>
              <w:bottom w:val="nil"/>
              <w:right w:val="nil"/>
            </w:tcBorders>
            <w:shd w:val="clear" w:color="auto" w:fill="auto"/>
            <w:noWrap/>
            <w:vAlign w:val="bottom"/>
            <w:hideMark/>
          </w:tcPr>
          <w:p w14:paraId="5A537F88" w14:textId="1FFBD4C8"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506A62" w14:textId="08769F0E" w:rsidR="0045192E" w:rsidRDefault="0045192E" w:rsidP="0045192E">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380E139C" w14:textId="7B5618B9" w:rsidR="0045192E" w:rsidRDefault="0045192E" w:rsidP="0045192E">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0F1311A1" w14:textId="516129E4" w:rsidR="0045192E" w:rsidRDefault="0045192E" w:rsidP="0045192E">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9980BAD" w14:textId="31018D06" w:rsidR="0045192E" w:rsidRDefault="0045192E" w:rsidP="0045192E">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904E2EA" w14:textId="47C9956F" w:rsidR="0045192E" w:rsidRDefault="0045192E" w:rsidP="0045192E">
            <w:pPr>
              <w:jc w:val="right"/>
              <w:rPr>
                <w:color w:val="000000"/>
                <w:sz w:val="20"/>
                <w:szCs w:val="20"/>
              </w:rPr>
            </w:pPr>
            <w:r>
              <w:rPr>
                <w:color w:val="000000"/>
                <w:sz w:val="20"/>
                <w:szCs w:val="20"/>
              </w:rPr>
              <w:t>0.722</w:t>
            </w:r>
          </w:p>
        </w:tc>
        <w:tc>
          <w:tcPr>
            <w:tcW w:w="768" w:type="dxa"/>
            <w:tcBorders>
              <w:top w:val="nil"/>
              <w:left w:val="nil"/>
              <w:bottom w:val="nil"/>
              <w:right w:val="nil"/>
            </w:tcBorders>
            <w:shd w:val="clear" w:color="auto" w:fill="auto"/>
            <w:noWrap/>
            <w:vAlign w:val="bottom"/>
            <w:hideMark/>
          </w:tcPr>
          <w:p w14:paraId="1B81D02D" w14:textId="305E4718"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1C056B" w14:textId="6E364B98" w:rsidR="0045192E" w:rsidRDefault="0045192E" w:rsidP="0045192E">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408C71D" w14:textId="5689F2E1" w:rsidR="0045192E" w:rsidRDefault="0045192E" w:rsidP="0045192E">
            <w:pPr>
              <w:jc w:val="right"/>
              <w:rPr>
                <w:color w:val="000000"/>
                <w:sz w:val="20"/>
                <w:szCs w:val="20"/>
              </w:rPr>
            </w:pPr>
            <w:r>
              <w:rPr>
                <w:color w:val="000000"/>
                <w:sz w:val="20"/>
                <w:szCs w:val="20"/>
              </w:rPr>
              <w:t>0.834</w:t>
            </w:r>
          </w:p>
        </w:tc>
        <w:tc>
          <w:tcPr>
            <w:tcW w:w="768" w:type="dxa"/>
            <w:tcBorders>
              <w:top w:val="nil"/>
              <w:left w:val="nil"/>
              <w:bottom w:val="nil"/>
              <w:right w:val="nil"/>
            </w:tcBorders>
            <w:shd w:val="clear" w:color="auto" w:fill="auto"/>
            <w:noWrap/>
            <w:vAlign w:val="bottom"/>
            <w:hideMark/>
          </w:tcPr>
          <w:p w14:paraId="0FCB9D4C" w14:textId="3D2AC753"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5E2688" w14:textId="492F80A5" w:rsidR="0045192E" w:rsidRDefault="0045192E" w:rsidP="0045192E">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63F8F28A" w14:textId="110A6CE1" w:rsidR="0045192E" w:rsidRDefault="0045192E" w:rsidP="0045192E">
            <w:pPr>
              <w:jc w:val="right"/>
              <w:rPr>
                <w:color w:val="000000"/>
                <w:sz w:val="20"/>
                <w:szCs w:val="20"/>
              </w:rPr>
            </w:pPr>
            <w:r>
              <w:rPr>
                <w:color w:val="000000"/>
                <w:sz w:val="20"/>
                <w:szCs w:val="20"/>
              </w:rPr>
              <w:t>0.611</w:t>
            </w:r>
          </w:p>
        </w:tc>
        <w:tc>
          <w:tcPr>
            <w:tcW w:w="768" w:type="dxa"/>
            <w:tcBorders>
              <w:top w:val="nil"/>
              <w:left w:val="nil"/>
              <w:bottom w:val="nil"/>
              <w:right w:val="nil"/>
            </w:tcBorders>
            <w:shd w:val="clear" w:color="auto" w:fill="auto"/>
            <w:noWrap/>
            <w:vAlign w:val="bottom"/>
            <w:hideMark/>
          </w:tcPr>
          <w:p w14:paraId="607D8EBE" w14:textId="04FE2352" w:rsidR="0045192E" w:rsidRDefault="0045192E" w:rsidP="0045192E">
            <w:pPr>
              <w:jc w:val="right"/>
              <w:rPr>
                <w:color w:val="000000"/>
                <w:sz w:val="20"/>
                <w:szCs w:val="20"/>
              </w:rPr>
            </w:pPr>
            <w:r>
              <w:rPr>
                <w:color w:val="000000"/>
                <w:sz w:val="20"/>
                <w:szCs w:val="20"/>
              </w:rPr>
              <w:t>0.001</w:t>
            </w:r>
          </w:p>
        </w:tc>
      </w:tr>
      <w:tr w:rsidR="0045192E" w14:paraId="07B846D1" w14:textId="77777777" w:rsidTr="00885D04">
        <w:trPr>
          <w:trHeight w:val="320"/>
        </w:trPr>
        <w:tc>
          <w:tcPr>
            <w:tcW w:w="1176" w:type="dxa"/>
            <w:tcBorders>
              <w:top w:val="nil"/>
              <w:left w:val="nil"/>
              <w:bottom w:val="nil"/>
              <w:right w:val="nil"/>
            </w:tcBorders>
            <w:shd w:val="clear" w:color="auto" w:fill="auto"/>
            <w:noWrap/>
            <w:vAlign w:val="bottom"/>
            <w:hideMark/>
          </w:tcPr>
          <w:p w14:paraId="04DDB465"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85E4B53" w14:textId="77777777" w:rsidR="0045192E" w:rsidRDefault="0045192E" w:rsidP="0045192E">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47C97AD" w14:textId="522A7A17" w:rsidR="0045192E" w:rsidRDefault="0045192E" w:rsidP="0045192E">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AD3B09A" w14:textId="3F74A431" w:rsidR="0045192E" w:rsidRDefault="0045192E" w:rsidP="0045192E">
            <w:pPr>
              <w:jc w:val="right"/>
              <w:rPr>
                <w:color w:val="000000"/>
                <w:sz w:val="20"/>
                <w:szCs w:val="20"/>
              </w:rPr>
            </w:pPr>
            <w:r>
              <w:rPr>
                <w:color w:val="000000"/>
                <w:sz w:val="20"/>
                <w:szCs w:val="20"/>
              </w:rPr>
              <w:t>0.880</w:t>
            </w:r>
          </w:p>
        </w:tc>
        <w:tc>
          <w:tcPr>
            <w:tcW w:w="768" w:type="dxa"/>
            <w:tcBorders>
              <w:top w:val="nil"/>
              <w:left w:val="nil"/>
              <w:bottom w:val="nil"/>
              <w:right w:val="nil"/>
            </w:tcBorders>
            <w:shd w:val="clear" w:color="auto" w:fill="auto"/>
            <w:noWrap/>
            <w:vAlign w:val="bottom"/>
            <w:hideMark/>
          </w:tcPr>
          <w:p w14:paraId="462AB4E0" w14:textId="3BE89C12"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69C04D" w14:textId="6654FE8C" w:rsidR="0045192E" w:rsidRDefault="0045192E" w:rsidP="0045192E">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7033C63" w14:textId="19F0EB40" w:rsidR="0045192E" w:rsidRDefault="0045192E" w:rsidP="0045192E">
            <w:pPr>
              <w:jc w:val="right"/>
              <w:rPr>
                <w:color w:val="000000"/>
                <w:sz w:val="20"/>
                <w:szCs w:val="20"/>
              </w:rPr>
            </w:pPr>
            <w:r>
              <w:rPr>
                <w:color w:val="000000"/>
                <w:sz w:val="20"/>
                <w:szCs w:val="20"/>
              </w:rPr>
              <w:t>0.514</w:t>
            </w:r>
          </w:p>
        </w:tc>
        <w:tc>
          <w:tcPr>
            <w:tcW w:w="768" w:type="dxa"/>
            <w:tcBorders>
              <w:top w:val="nil"/>
              <w:left w:val="nil"/>
              <w:bottom w:val="nil"/>
              <w:right w:val="nil"/>
            </w:tcBorders>
            <w:shd w:val="clear" w:color="auto" w:fill="auto"/>
            <w:noWrap/>
            <w:vAlign w:val="bottom"/>
            <w:hideMark/>
          </w:tcPr>
          <w:p w14:paraId="623089E3" w14:textId="5149DD3A"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B26C731" w14:textId="616FF148" w:rsidR="0045192E" w:rsidRDefault="0045192E" w:rsidP="0045192E">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9B49B10" w14:textId="6D309140" w:rsidR="0045192E" w:rsidRDefault="0045192E" w:rsidP="0045192E">
            <w:pPr>
              <w:jc w:val="right"/>
              <w:rPr>
                <w:color w:val="000000"/>
                <w:sz w:val="20"/>
                <w:szCs w:val="20"/>
              </w:rPr>
            </w:pPr>
            <w:r>
              <w:rPr>
                <w:color w:val="000000"/>
                <w:sz w:val="20"/>
                <w:szCs w:val="20"/>
              </w:rPr>
              <w:t>0.722</w:t>
            </w:r>
          </w:p>
        </w:tc>
        <w:tc>
          <w:tcPr>
            <w:tcW w:w="768" w:type="dxa"/>
            <w:tcBorders>
              <w:top w:val="nil"/>
              <w:left w:val="nil"/>
              <w:bottom w:val="nil"/>
              <w:right w:val="nil"/>
            </w:tcBorders>
            <w:shd w:val="clear" w:color="auto" w:fill="auto"/>
            <w:noWrap/>
            <w:vAlign w:val="bottom"/>
            <w:hideMark/>
          </w:tcPr>
          <w:p w14:paraId="40AD7CD2" w14:textId="0F5105E5"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9A4D1E" w14:textId="08AACC97" w:rsidR="0045192E" w:rsidRDefault="0045192E" w:rsidP="0045192E">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C8D6704" w14:textId="4F2609AC" w:rsidR="0045192E" w:rsidRDefault="0045192E" w:rsidP="0045192E">
            <w:pPr>
              <w:jc w:val="right"/>
              <w:rPr>
                <w:color w:val="000000"/>
                <w:sz w:val="20"/>
                <w:szCs w:val="20"/>
              </w:rPr>
            </w:pPr>
            <w:r>
              <w:rPr>
                <w:color w:val="000000"/>
                <w:sz w:val="20"/>
                <w:szCs w:val="20"/>
              </w:rPr>
              <w:t>0.861</w:t>
            </w:r>
          </w:p>
        </w:tc>
        <w:tc>
          <w:tcPr>
            <w:tcW w:w="768" w:type="dxa"/>
            <w:tcBorders>
              <w:top w:val="nil"/>
              <w:left w:val="nil"/>
              <w:bottom w:val="nil"/>
              <w:right w:val="nil"/>
            </w:tcBorders>
            <w:shd w:val="clear" w:color="auto" w:fill="auto"/>
            <w:noWrap/>
            <w:vAlign w:val="bottom"/>
            <w:hideMark/>
          </w:tcPr>
          <w:p w14:paraId="07B5EC9B" w14:textId="25B0E3D3"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942BC5D" w14:textId="1DD8F13F" w:rsidR="0045192E" w:rsidRDefault="0045192E" w:rsidP="0045192E">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041359E" w14:textId="25DB0636" w:rsidR="0045192E" w:rsidRDefault="0045192E" w:rsidP="0045192E">
            <w:pPr>
              <w:jc w:val="right"/>
              <w:rPr>
                <w:color w:val="000000"/>
                <w:sz w:val="20"/>
                <w:szCs w:val="20"/>
              </w:rPr>
            </w:pPr>
            <w:r>
              <w:rPr>
                <w:color w:val="000000"/>
                <w:sz w:val="20"/>
                <w:szCs w:val="20"/>
              </w:rPr>
              <w:t>0.611</w:t>
            </w:r>
          </w:p>
        </w:tc>
        <w:tc>
          <w:tcPr>
            <w:tcW w:w="768" w:type="dxa"/>
            <w:tcBorders>
              <w:top w:val="nil"/>
              <w:left w:val="nil"/>
              <w:bottom w:val="nil"/>
              <w:right w:val="nil"/>
            </w:tcBorders>
            <w:shd w:val="clear" w:color="auto" w:fill="auto"/>
            <w:noWrap/>
            <w:vAlign w:val="bottom"/>
            <w:hideMark/>
          </w:tcPr>
          <w:p w14:paraId="20B2D594" w14:textId="7024186F" w:rsidR="0045192E" w:rsidRDefault="0045192E" w:rsidP="0045192E">
            <w:pPr>
              <w:jc w:val="right"/>
              <w:rPr>
                <w:color w:val="000000"/>
                <w:sz w:val="20"/>
                <w:szCs w:val="20"/>
              </w:rPr>
            </w:pPr>
            <w:r>
              <w:rPr>
                <w:color w:val="000000"/>
                <w:sz w:val="20"/>
                <w:szCs w:val="20"/>
              </w:rPr>
              <w:t>0.002</w:t>
            </w:r>
          </w:p>
        </w:tc>
      </w:tr>
      <w:tr w:rsidR="0045192E" w14:paraId="77BFD507" w14:textId="77777777" w:rsidTr="00885D04">
        <w:trPr>
          <w:trHeight w:val="320"/>
        </w:trPr>
        <w:tc>
          <w:tcPr>
            <w:tcW w:w="1176" w:type="dxa"/>
            <w:tcBorders>
              <w:top w:val="nil"/>
              <w:left w:val="nil"/>
              <w:bottom w:val="nil"/>
              <w:right w:val="nil"/>
            </w:tcBorders>
            <w:shd w:val="clear" w:color="auto" w:fill="auto"/>
            <w:noWrap/>
            <w:vAlign w:val="bottom"/>
            <w:hideMark/>
          </w:tcPr>
          <w:p w14:paraId="43816E4E" w14:textId="77777777" w:rsidR="0045192E" w:rsidRDefault="0045192E" w:rsidP="0045192E">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77190E2" w14:textId="77777777" w:rsidR="0045192E" w:rsidRDefault="0045192E" w:rsidP="0045192E">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AD0132E" w14:textId="71AA0546" w:rsidR="0045192E" w:rsidRDefault="0045192E" w:rsidP="0045192E">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5B7CA6D3" w14:textId="6A233FF2" w:rsidR="0045192E" w:rsidRDefault="0045192E" w:rsidP="0045192E">
            <w:pPr>
              <w:jc w:val="right"/>
              <w:rPr>
                <w:color w:val="000000"/>
                <w:sz w:val="20"/>
                <w:szCs w:val="20"/>
              </w:rPr>
            </w:pPr>
            <w:r>
              <w:rPr>
                <w:color w:val="000000"/>
                <w:sz w:val="20"/>
                <w:szCs w:val="20"/>
              </w:rPr>
              <w:t>0.772</w:t>
            </w:r>
          </w:p>
        </w:tc>
        <w:tc>
          <w:tcPr>
            <w:tcW w:w="768" w:type="dxa"/>
            <w:tcBorders>
              <w:top w:val="nil"/>
              <w:left w:val="nil"/>
              <w:bottom w:val="nil"/>
              <w:right w:val="nil"/>
            </w:tcBorders>
            <w:shd w:val="clear" w:color="auto" w:fill="auto"/>
            <w:noWrap/>
            <w:vAlign w:val="bottom"/>
            <w:hideMark/>
          </w:tcPr>
          <w:p w14:paraId="5818C1B2" w14:textId="2419CB4B" w:rsidR="0045192E" w:rsidRDefault="0045192E" w:rsidP="0045192E">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8CBA9B9" w14:textId="5C34D45D" w:rsidR="0045192E" w:rsidRDefault="0045192E" w:rsidP="0045192E">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83AF2CD" w14:textId="029CC34E" w:rsidR="0045192E" w:rsidRDefault="0045192E" w:rsidP="0045192E">
            <w:pPr>
              <w:jc w:val="right"/>
              <w:rPr>
                <w:color w:val="000000"/>
                <w:sz w:val="20"/>
                <w:szCs w:val="20"/>
              </w:rPr>
            </w:pPr>
            <w:r>
              <w:rPr>
                <w:color w:val="000000"/>
                <w:sz w:val="20"/>
                <w:szCs w:val="20"/>
              </w:rPr>
              <w:t>0.727</w:t>
            </w:r>
          </w:p>
        </w:tc>
        <w:tc>
          <w:tcPr>
            <w:tcW w:w="768" w:type="dxa"/>
            <w:tcBorders>
              <w:top w:val="nil"/>
              <w:left w:val="nil"/>
              <w:bottom w:val="nil"/>
              <w:right w:val="nil"/>
            </w:tcBorders>
            <w:shd w:val="clear" w:color="auto" w:fill="auto"/>
            <w:noWrap/>
            <w:vAlign w:val="bottom"/>
            <w:hideMark/>
          </w:tcPr>
          <w:p w14:paraId="18817F16" w14:textId="58BD441D"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F535F3" w14:textId="23974B66" w:rsidR="0045192E" w:rsidRDefault="0045192E" w:rsidP="0045192E">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6C2385A3" w14:textId="393DAFA4" w:rsidR="0045192E" w:rsidRDefault="0045192E" w:rsidP="0045192E">
            <w:pPr>
              <w:jc w:val="right"/>
              <w:rPr>
                <w:color w:val="000000"/>
                <w:sz w:val="20"/>
                <w:szCs w:val="20"/>
              </w:rPr>
            </w:pPr>
            <w:r>
              <w:rPr>
                <w:color w:val="000000"/>
                <w:sz w:val="20"/>
                <w:szCs w:val="20"/>
              </w:rPr>
              <w:t>0.124</w:t>
            </w:r>
          </w:p>
        </w:tc>
        <w:tc>
          <w:tcPr>
            <w:tcW w:w="768" w:type="dxa"/>
            <w:tcBorders>
              <w:top w:val="nil"/>
              <w:left w:val="nil"/>
              <w:bottom w:val="nil"/>
              <w:right w:val="nil"/>
            </w:tcBorders>
            <w:shd w:val="clear" w:color="auto" w:fill="auto"/>
            <w:noWrap/>
            <w:vAlign w:val="bottom"/>
            <w:hideMark/>
          </w:tcPr>
          <w:p w14:paraId="29CAC0AB" w14:textId="130ED457" w:rsidR="0045192E" w:rsidRDefault="0045192E" w:rsidP="0045192E">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24E1CBC" w14:textId="59A8DF6C" w:rsidR="0045192E" w:rsidRDefault="0045192E" w:rsidP="0045192E">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9B15679" w14:textId="38797793" w:rsidR="0045192E" w:rsidRDefault="0045192E" w:rsidP="0045192E">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534F5BAA" w14:textId="6EA9A77D" w:rsidR="0045192E" w:rsidRDefault="0045192E" w:rsidP="0045192E">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67C5E54" w14:textId="67D567D0"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C3B80A1" w14:textId="755EACCE" w:rsidR="0045192E" w:rsidRDefault="0045192E" w:rsidP="0045192E">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61C2583C" w14:textId="59365C49" w:rsidR="0045192E" w:rsidRDefault="0045192E" w:rsidP="0045192E">
            <w:pPr>
              <w:jc w:val="right"/>
              <w:rPr>
                <w:color w:val="000000"/>
                <w:sz w:val="20"/>
                <w:szCs w:val="20"/>
              </w:rPr>
            </w:pPr>
            <w:r>
              <w:rPr>
                <w:color w:val="000000"/>
                <w:sz w:val="20"/>
                <w:szCs w:val="20"/>
              </w:rPr>
              <w:t>0.000</w:t>
            </w:r>
          </w:p>
        </w:tc>
      </w:tr>
      <w:tr w:rsidR="0045192E" w14:paraId="626AB725" w14:textId="77777777" w:rsidTr="00AF1024">
        <w:trPr>
          <w:trHeight w:val="320"/>
        </w:trPr>
        <w:tc>
          <w:tcPr>
            <w:tcW w:w="1176" w:type="dxa"/>
            <w:tcBorders>
              <w:top w:val="nil"/>
              <w:left w:val="nil"/>
              <w:right w:val="nil"/>
            </w:tcBorders>
            <w:shd w:val="clear" w:color="auto" w:fill="auto"/>
            <w:noWrap/>
            <w:vAlign w:val="bottom"/>
            <w:hideMark/>
          </w:tcPr>
          <w:p w14:paraId="155C6894" w14:textId="77777777" w:rsidR="0045192E" w:rsidRDefault="0045192E" w:rsidP="0045192E">
            <w:pPr>
              <w:jc w:val="right"/>
              <w:rPr>
                <w:color w:val="000000"/>
                <w:sz w:val="20"/>
                <w:szCs w:val="20"/>
              </w:rPr>
            </w:pPr>
          </w:p>
        </w:tc>
        <w:tc>
          <w:tcPr>
            <w:tcW w:w="1705" w:type="dxa"/>
            <w:tcBorders>
              <w:top w:val="nil"/>
              <w:left w:val="nil"/>
              <w:right w:val="nil"/>
            </w:tcBorders>
            <w:shd w:val="clear" w:color="auto" w:fill="auto"/>
            <w:noWrap/>
            <w:vAlign w:val="center"/>
            <w:hideMark/>
          </w:tcPr>
          <w:p w14:paraId="1524B323" w14:textId="77777777" w:rsidR="0045192E" w:rsidRDefault="0045192E" w:rsidP="0045192E">
            <w:pPr>
              <w:rPr>
                <w:color w:val="000000"/>
                <w:sz w:val="20"/>
                <w:szCs w:val="20"/>
              </w:rPr>
            </w:pPr>
            <w:r>
              <w:rPr>
                <w:color w:val="000000"/>
                <w:sz w:val="20"/>
                <w:szCs w:val="20"/>
              </w:rPr>
              <w:t>Visual 1</w:t>
            </w:r>
          </w:p>
        </w:tc>
        <w:tc>
          <w:tcPr>
            <w:tcW w:w="767" w:type="dxa"/>
            <w:tcBorders>
              <w:top w:val="nil"/>
              <w:left w:val="nil"/>
              <w:right w:val="nil"/>
            </w:tcBorders>
            <w:shd w:val="clear" w:color="auto" w:fill="auto"/>
            <w:noWrap/>
            <w:vAlign w:val="bottom"/>
            <w:hideMark/>
          </w:tcPr>
          <w:p w14:paraId="3BF8F020" w14:textId="4E29C403" w:rsidR="0045192E" w:rsidRDefault="0045192E" w:rsidP="0045192E">
            <w:pPr>
              <w:jc w:val="right"/>
              <w:rPr>
                <w:color w:val="000000"/>
                <w:sz w:val="20"/>
                <w:szCs w:val="20"/>
              </w:rPr>
            </w:pPr>
            <w:r>
              <w:rPr>
                <w:color w:val="000000"/>
                <w:sz w:val="20"/>
                <w:szCs w:val="20"/>
              </w:rPr>
              <w:t>0.005</w:t>
            </w:r>
          </w:p>
        </w:tc>
        <w:tc>
          <w:tcPr>
            <w:tcW w:w="768" w:type="dxa"/>
            <w:tcBorders>
              <w:top w:val="nil"/>
              <w:left w:val="nil"/>
              <w:right w:val="nil"/>
            </w:tcBorders>
            <w:shd w:val="clear" w:color="auto" w:fill="auto"/>
            <w:noWrap/>
            <w:vAlign w:val="bottom"/>
            <w:hideMark/>
          </w:tcPr>
          <w:p w14:paraId="5820CE1F" w14:textId="5B8C3C72" w:rsidR="0045192E" w:rsidRDefault="0045192E" w:rsidP="0045192E">
            <w:pPr>
              <w:jc w:val="right"/>
              <w:rPr>
                <w:color w:val="000000"/>
                <w:sz w:val="20"/>
                <w:szCs w:val="20"/>
              </w:rPr>
            </w:pPr>
            <w:r>
              <w:rPr>
                <w:color w:val="000000"/>
                <w:sz w:val="20"/>
                <w:szCs w:val="20"/>
              </w:rPr>
              <w:t>0.880</w:t>
            </w:r>
          </w:p>
        </w:tc>
        <w:tc>
          <w:tcPr>
            <w:tcW w:w="768" w:type="dxa"/>
            <w:tcBorders>
              <w:top w:val="nil"/>
              <w:left w:val="nil"/>
              <w:right w:val="nil"/>
            </w:tcBorders>
            <w:shd w:val="clear" w:color="auto" w:fill="auto"/>
            <w:noWrap/>
            <w:vAlign w:val="bottom"/>
            <w:hideMark/>
          </w:tcPr>
          <w:p w14:paraId="7D905493" w14:textId="17B171EE" w:rsidR="0045192E" w:rsidRDefault="0045192E" w:rsidP="0045192E">
            <w:pPr>
              <w:jc w:val="right"/>
              <w:rPr>
                <w:color w:val="000000"/>
                <w:sz w:val="20"/>
                <w:szCs w:val="20"/>
              </w:rPr>
            </w:pPr>
            <w:r>
              <w:rPr>
                <w:color w:val="000000"/>
                <w:sz w:val="20"/>
                <w:szCs w:val="20"/>
              </w:rPr>
              <w:t>0.000</w:t>
            </w:r>
          </w:p>
        </w:tc>
        <w:tc>
          <w:tcPr>
            <w:tcW w:w="768" w:type="dxa"/>
            <w:tcBorders>
              <w:top w:val="nil"/>
              <w:left w:val="nil"/>
              <w:right w:val="nil"/>
            </w:tcBorders>
            <w:shd w:val="clear" w:color="auto" w:fill="auto"/>
            <w:noWrap/>
            <w:vAlign w:val="bottom"/>
            <w:hideMark/>
          </w:tcPr>
          <w:p w14:paraId="25097906" w14:textId="1421216C" w:rsidR="0045192E" w:rsidRDefault="0045192E" w:rsidP="0045192E">
            <w:pPr>
              <w:jc w:val="right"/>
              <w:rPr>
                <w:color w:val="000000"/>
                <w:sz w:val="20"/>
                <w:szCs w:val="20"/>
              </w:rPr>
            </w:pPr>
            <w:r>
              <w:rPr>
                <w:color w:val="000000"/>
                <w:sz w:val="20"/>
                <w:szCs w:val="20"/>
              </w:rPr>
              <w:t>0.063</w:t>
            </w:r>
          </w:p>
        </w:tc>
        <w:tc>
          <w:tcPr>
            <w:tcW w:w="768" w:type="dxa"/>
            <w:tcBorders>
              <w:top w:val="nil"/>
              <w:left w:val="nil"/>
              <w:right w:val="nil"/>
            </w:tcBorders>
            <w:shd w:val="clear" w:color="auto" w:fill="auto"/>
            <w:noWrap/>
            <w:vAlign w:val="bottom"/>
            <w:hideMark/>
          </w:tcPr>
          <w:p w14:paraId="7774AB20" w14:textId="2169B117" w:rsidR="0045192E" w:rsidRDefault="0045192E" w:rsidP="0045192E">
            <w:pPr>
              <w:jc w:val="right"/>
              <w:rPr>
                <w:color w:val="000000"/>
                <w:sz w:val="20"/>
                <w:szCs w:val="20"/>
              </w:rPr>
            </w:pPr>
            <w:r>
              <w:rPr>
                <w:color w:val="000000"/>
                <w:sz w:val="20"/>
                <w:szCs w:val="20"/>
              </w:rPr>
              <w:t>0.188</w:t>
            </w:r>
          </w:p>
        </w:tc>
        <w:tc>
          <w:tcPr>
            <w:tcW w:w="768" w:type="dxa"/>
            <w:tcBorders>
              <w:top w:val="nil"/>
              <w:left w:val="nil"/>
              <w:right w:val="nil"/>
            </w:tcBorders>
            <w:shd w:val="clear" w:color="auto" w:fill="auto"/>
            <w:noWrap/>
            <w:vAlign w:val="bottom"/>
            <w:hideMark/>
          </w:tcPr>
          <w:p w14:paraId="51D5E38F" w14:textId="2D8C495D" w:rsidR="0045192E" w:rsidRDefault="0045192E" w:rsidP="0045192E">
            <w:pPr>
              <w:jc w:val="right"/>
              <w:rPr>
                <w:color w:val="000000"/>
                <w:sz w:val="20"/>
                <w:szCs w:val="20"/>
              </w:rPr>
            </w:pPr>
            <w:r>
              <w:rPr>
                <w:color w:val="000000"/>
                <w:sz w:val="20"/>
                <w:szCs w:val="20"/>
              </w:rPr>
              <w:t>0.004</w:t>
            </w:r>
          </w:p>
        </w:tc>
        <w:tc>
          <w:tcPr>
            <w:tcW w:w="768" w:type="dxa"/>
            <w:tcBorders>
              <w:top w:val="nil"/>
              <w:left w:val="nil"/>
              <w:right w:val="nil"/>
            </w:tcBorders>
            <w:shd w:val="clear" w:color="auto" w:fill="auto"/>
            <w:noWrap/>
            <w:vAlign w:val="bottom"/>
            <w:hideMark/>
          </w:tcPr>
          <w:p w14:paraId="1587C563" w14:textId="3850325A" w:rsidR="0045192E" w:rsidRDefault="0045192E" w:rsidP="0045192E">
            <w:pPr>
              <w:jc w:val="right"/>
              <w:rPr>
                <w:color w:val="000000"/>
                <w:sz w:val="20"/>
                <w:szCs w:val="20"/>
              </w:rPr>
            </w:pPr>
            <w:r>
              <w:rPr>
                <w:color w:val="000000"/>
                <w:sz w:val="20"/>
                <w:szCs w:val="20"/>
              </w:rPr>
              <w:t>-0.068</w:t>
            </w:r>
          </w:p>
        </w:tc>
        <w:tc>
          <w:tcPr>
            <w:tcW w:w="768" w:type="dxa"/>
            <w:tcBorders>
              <w:top w:val="nil"/>
              <w:left w:val="nil"/>
              <w:right w:val="nil"/>
            </w:tcBorders>
            <w:shd w:val="clear" w:color="auto" w:fill="auto"/>
            <w:noWrap/>
            <w:vAlign w:val="bottom"/>
            <w:hideMark/>
          </w:tcPr>
          <w:p w14:paraId="14AC11AD" w14:textId="14DC6A84" w:rsidR="0045192E" w:rsidRDefault="0045192E" w:rsidP="0045192E">
            <w:pPr>
              <w:jc w:val="right"/>
              <w:rPr>
                <w:color w:val="000000"/>
                <w:sz w:val="20"/>
                <w:szCs w:val="20"/>
              </w:rPr>
            </w:pPr>
            <w:r>
              <w:rPr>
                <w:color w:val="000000"/>
                <w:sz w:val="20"/>
                <w:szCs w:val="20"/>
              </w:rPr>
              <w:t>0.124</w:t>
            </w:r>
          </w:p>
        </w:tc>
        <w:tc>
          <w:tcPr>
            <w:tcW w:w="768" w:type="dxa"/>
            <w:tcBorders>
              <w:top w:val="nil"/>
              <w:left w:val="nil"/>
              <w:right w:val="nil"/>
            </w:tcBorders>
            <w:shd w:val="clear" w:color="auto" w:fill="auto"/>
            <w:noWrap/>
            <w:vAlign w:val="bottom"/>
            <w:hideMark/>
          </w:tcPr>
          <w:p w14:paraId="282EE1DB" w14:textId="7A7A2B40" w:rsidR="0045192E" w:rsidRDefault="0045192E" w:rsidP="0045192E">
            <w:pPr>
              <w:jc w:val="right"/>
              <w:rPr>
                <w:color w:val="000000"/>
                <w:sz w:val="20"/>
                <w:szCs w:val="20"/>
              </w:rPr>
            </w:pPr>
            <w:r>
              <w:rPr>
                <w:color w:val="000000"/>
                <w:sz w:val="20"/>
                <w:szCs w:val="20"/>
              </w:rPr>
              <w:t>0.005</w:t>
            </w:r>
          </w:p>
        </w:tc>
        <w:tc>
          <w:tcPr>
            <w:tcW w:w="768" w:type="dxa"/>
            <w:tcBorders>
              <w:top w:val="nil"/>
              <w:left w:val="nil"/>
              <w:right w:val="nil"/>
            </w:tcBorders>
            <w:shd w:val="clear" w:color="auto" w:fill="auto"/>
            <w:noWrap/>
            <w:vAlign w:val="bottom"/>
            <w:hideMark/>
          </w:tcPr>
          <w:p w14:paraId="299B5764" w14:textId="3ABBB0AB" w:rsidR="0045192E" w:rsidRDefault="0045192E" w:rsidP="0045192E">
            <w:pPr>
              <w:jc w:val="right"/>
              <w:rPr>
                <w:color w:val="000000"/>
                <w:sz w:val="20"/>
                <w:szCs w:val="20"/>
              </w:rPr>
            </w:pPr>
            <w:r>
              <w:rPr>
                <w:color w:val="000000"/>
                <w:sz w:val="20"/>
                <w:szCs w:val="20"/>
              </w:rPr>
              <w:t>-0.062</w:t>
            </w:r>
          </w:p>
        </w:tc>
        <w:tc>
          <w:tcPr>
            <w:tcW w:w="768" w:type="dxa"/>
            <w:tcBorders>
              <w:top w:val="nil"/>
              <w:left w:val="nil"/>
              <w:right w:val="nil"/>
            </w:tcBorders>
            <w:shd w:val="clear" w:color="auto" w:fill="auto"/>
            <w:noWrap/>
            <w:vAlign w:val="bottom"/>
            <w:hideMark/>
          </w:tcPr>
          <w:p w14:paraId="47746015" w14:textId="2AEAC580" w:rsidR="0045192E" w:rsidRDefault="0045192E" w:rsidP="0045192E">
            <w:pPr>
              <w:jc w:val="right"/>
              <w:rPr>
                <w:color w:val="000000"/>
                <w:sz w:val="20"/>
                <w:szCs w:val="20"/>
              </w:rPr>
            </w:pPr>
            <w:r>
              <w:rPr>
                <w:color w:val="000000"/>
                <w:sz w:val="20"/>
                <w:szCs w:val="20"/>
              </w:rPr>
              <w:t>0.168</w:t>
            </w:r>
          </w:p>
        </w:tc>
        <w:tc>
          <w:tcPr>
            <w:tcW w:w="768" w:type="dxa"/>
            <w:tcBorders>
              <w:top w:val="nil"/>
              <w:left w:val="nil"/>
              <w:right w:val="nil"/>
            </w:tcBorders>
            <w:shd w:val="clear" w:color="auto" w:fill="auto"/>
            <w:noWrap/>
            <w:vAlign w:val="bottom"/>
            <w:hideMark/>
          </w:tcPr>
          <w:p w14:paraId="5696EDC7" w14:textId="34C43208" w:rsidR="0045192E" w:rsidRDefault="0045192E" w:rsidP="0045192E">
            <w:pPr>
              <w:jc w:val="right"/>
              <w:rPr>
                <w:color w:val="000000"/>
                <w:sz w:val="20"/>
                <w:szCs w:val="20"/>
              </w:rPr>
            </w:pPr>
            <w:r>
              <w:rPr>
                <w:color w:val="000000"/>
                <w:sz w:val="20"/>
                <w:szCs w:val="20"/>
              </w:rPr>
              <w:t>0.004</w:t>
            </w:r>
          </w:p>
        </w:tc>
        <w:tc>
          <w:tcPr>
            <w:tcW w:w="768" w:type="dxa"/>
            <w:tcBorders>
              <w:top w:val="nil"/>
              <w:left w:val="nil"/>
              <w:right w:val="nil"/>
            </w:tcBorders>
            <w:shd w:val="clear" w:color="auto" w:fill="auto"/>
            <w:noWrap/>
            <w:vAlign w:val="bottom"/>
            <w:hideMark/>
          </w:tcPr>
          <w:p w14:paraId="772CD790" w14:textId="1A266D61" w:rsidR="0045192E" w:rsidRDefault="0045192E" w:rsidP="0045192E">
            <w:pPr>
              <w:jc w:val="right"/>
              <w:rPr>
                <w:color w:val="000000"/>
                <w:sz w:val="20"/>
                <w:szCs w:val="20"/>
              </w:rPr>
            </w:pPr>
            <w:r>
              <w:rPr>
                <w:color w:val="000000"/>
                <w:sz w:val="20"/>
                <w:szCs w:val="20"/>
              </w:rPr>
              <w:t>-0.026</w:t>
            </w:r>
          </w:p>
        </w:tc>
        <w:tc>
          <w:tcPr>
            <w:tcW w:w="768" w:type="dxa"/>
            <w:tcBorders>
              <w:top w:val="nil"/>
              <w:left w:val="nil"/>
              <w:right w:val="nil"/>
            </w:tcBorders>
            <w:shd w:val="clear" w:color="auto" w:fill="auto"/>
            <w:noWrap/>
            <w:vAlign w:val="bottom"/>
            <w:hideMark/>
          </w:tcPr>
          <w:p w14:paraId="0E569B36" w14:textId="3C0097F8" w:rsidR="0045192E" w:rsidRDefault="0045192E" w:rsidP="0045192E">
            <w:pPr>
              <w:jc w:val="right"/>
              <w:rPr>
                <w:color w:val="000000"/>
                <w:sz w:val="20"/>
                <w:szCs w:val="20"/>
              </w:rPr>
            </w:pPr>
            <w:r>
              <w:rPr>
                <w:color w:val="000000"/>
                <w:sz w:val="20"/>
                <w:szCs w:val="20"/>
              </w:rPr>
              <w:t>0.611</w:t>
            </w:r>
          </w:p>
        </w:tc>
        <w:tc>
          <w:tcPr>
            <w:tcW w:w="768" w:type="dxa"/>
            <w:tcBorders>
              <w:top w:val="nil"/>
              <w:left w:val="nil"/>
              <w:right w:val="nil"/>
            </w:tcBorders>
            <w:shd w:val="clear" w:color="auto" w:fill="auto"/>
            <w:noWrap/>
            <w:vAlign w:val="bottom"/>
            <w:hideMark/>
          </w:tcPr>
          <w:p w14:paraId="2B8D2FAD" w14:textId="1A864D9D" w:rsidR="0045192E" w:rsidRDefault="0045192E" w:rsidP="0045192E">
            <w:pPr>
              <w:jc w:val="right"/>
              <w:rPr>
                <w:color w:val="000000"/>
                <w:sz w:val="20"/>
                <w:szCs w:val="20"/>
              </w:rPr>
            </w:pPr>
            <w:r>
              <w:rPr>
                <w:color w:val="000000"/>
                <w:sz w:val="20"/>
                <w:szCs w:val="20"/>
              </w:rPr>
              <w:t>0.001</w:t>
            </w:r>
          </w:p>
        </w:tc>
      </w:tr>
      <w:tr w:rsidR="0045192E" w14:paraId="2D5A1857" w14:textId="77777777" w:rsidTr="00AF1024">
        <w:trPr>
          <w:trHeight w:val="340"/>
        </w:trPr>
        <w:tc>
          <w:tcPr>
            <w:tcW w:w="1176" w:type="dxa"/>
            <w:tcBorders>
              <w:top w:val="nil"/>
              <w:left w:val="nil"/>
              <w:bottom w:val="single" w:sz="12" w:space="0" w:color="auto"/>
              <w:right w:val="nil"/>
            </w:tcBorders>
            <w:shd w:val="clear" w:color="auto" w:fill="auto"/>
            <w:noWrap/>
            <w:vAlign w:val="bottom"/>
            <w:hideMark/>
          </w:tcPr>
          <w:p w14:paraId="3300E23B" w14:textId="77777777" w:rsidR="0045192E" w:rsidRDefault="0045192E" w:rsidP="0045192E">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43F3B877" w14:textId="77777777" w:rsidR="0045192E" w:rsidRDefault="0045192E" w:rsidP="0045192E">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77F88E8F" w14:textId="49E843F2" w:rsidR="0045192E" w:rsidRDefault="0045192E" w:rsidP="0045192E">
            <w:pPr>
              <w:jc w:val="right"/>
              <w:rPr>
                <w:color w:val="000000"/>
                <w:sz w:val="20"/>
                <w:szCs w:val="20"/>
              </w:rPr>
            </w:pPr>
            <w:r>
              <w:rPr>
                <w:color w:val="000000"/>
                <w:sz w:val="20"/>
                <w:szCs w:val="20"/>
              </w:rPr>
              <w:t>0.009</w:t>
            </w:r>
          </w:p>
        </w:tc>
        <w:tc>
          <w:tcPr>
            <w:tcW w:w="768" w:type="dxa"/>
            <w:tcBorders>
              <w:top w:val="nil"/>
              <w:left w:val="nil"/>
              <w:bottom w:val="single" w:sz="12" w:space="0" w:color="auto"/>
              <w:right w:val="nil"/>
            </w:tcBorders>
            <w:shd w:val="clear" w:color="auto" w:fill="auto"/>
            <w:noWrap/>
            <w:vAlign w:val="bottom"/>
            <w:hideMark/>
          </w:tcPr>
          <w:p w14:paraId="15820248" w14:textId="43652A52" w:rsidR="0045192E" w:rsidRDefault="0045192E" w:rsidP="0045192E">
            <w:pPr>
              <w:jc w:val="right"/>
              <w:rPr>
                <w:color w:val="000000"/>
                <w:sz w:val="20"/>
                <w:szCs w:val="20"/>
              </w:rPr>
            </w:pPr>
            <w:r>
              <w:rPr>
                <w:color w:val="000000"/>
                <w:sz w:val="20"/>
                <w:szCs w:val="20"/>
              </w:rPr>
              <w:t>0.880</w:t>
            </w:r>
          </w:p>
        </w:tc>
        <w:tc>
          <w:tcPr>
            <w:tcW w:w="768" w:type="dxa"/>
            <w:tcBorders>
              <w:top w:val="nil"/>
              <w:left w:val="nil"/>
              <w:bottom w:val="single" w:sz="12" w:space="0" w:color="auto"/>
              <w:right w:val="nil"/>
            </w:tcBorders>
            <w:shd w:val="clear" w:color="auto" w:fill="auto"/>
            <w:noWrap/>
            <w:vAlign w:val="bottom"/>
            <w:hideMark/>
          </w:tcPr>
          <w:p w14:paraId="379E4139" w14:textId="1F5B9DFD"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D3902F8" w14:textId="689D87DA" w:rsidR="0045192E" w:rsidRDefault="0045192E" w:rsidP="0045192E">
            <w:pPr>
              <w:jc w:val="right"/>
              <w:rPr>
                <w:color w:val="000000"/>
                <w:sz w:val="20"/>
                <w:szCs w:val="20"/>
              </w:rPr>
            </w:pPr>
            <w:r>
              <w:rPr>
                <w:color w:val="000000"/>
                <w:sz w:val="20"/>
                <w:szCs w:val="20"/>
              </w:rPr>
              <w:t>0.020</w:t>
            </w:r>
          </w:p>
        </w:tc>
        <w:tc>
          <w:tcPr>
            <w:tcW w:w="768" w:type="dxa"/>
            <w:tcBorders>
              <w:top w:val="nil"/>
              <w:left w:val="nil"/>
              <w:bottom w:val="single" w:sz="12" w:space="0" w:color="auto"/>
              <w:right w:val="nil"/>
            </w:tcBorders>
            <w:shd w:val="clear" w:color="auto" w:fill="auto"/>
            <w:noWrap/>
            <w:vAlign w:val="bottom"/>
            <w:hideMark/>
          </w:tcPr>
          <w:p w14:paraId="1F33C714" w14:textId="6B35BB50" w:rsidR="0045192E" w:rsidRDefault="0045192E" w:rsidP="0045192E">
            <w:pPr>
              <w:jc w:val="right"/>
              <w:rPr>
                <w:color w:val="000000"/>
                <w:sz w:val="20"/>
                <w:szCs w:val="20"/>
              </w:rPr>
            </w:pPr>
            <w:r>
              <w:rPr>
                <w:color w:val="000000"/>
                <w:sz w:val="20"/>
                <w:szCs w:val="20"/>
              </w:rPr>
              <w:t>0.680</w:t>
            </w:r>
          </w:p>
        </w:tc>
        <w:tc>
          <w:tcPr>
            <w:tcW w:w="768" w:type="dxa"/>
            <w:tcBorders>
              <w:top w:val="nil"/>
              <w:left w:val="nil"/>
              <w:bottom w:val="single" w:sz="12" w:space="0" w:color="auto"/>
              <w:right w:val="nil"/>
            </w:tcBorders>
            <w:shd w:val="clear" w:color="auto" w:fill="auto"/>
            <w:noWrap/>
            <w:vAlign w:val="bottom"/>
            <w:hideMark/>
          </w:tcPr>
          <w:p w14:paraId="2068FBB8" w14:textId="0106F75C"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68D972F" w14:textId="1ACA899B" w:rsidR="0045192E" w:rsidRDefault="0045192E" w:rsidP="0045192E">
            <w:pPr>
              <w:jc w:val="right"/>
              <w:rPr>
                <w:color w:val="000000"/>
                <w:sz w:val="20"/>
                <w:szCs w:val="20"/>
              </w:rPr>
            </w:pPr>
            <w:r>
              <w:rPr>
                <w:color w:val="000000"/>
                <w:sz w:val="20"/>
                <w:szCs w:val="20"/>
              </w:rPr>
              <w:t>-0.054</w:t>
            </w:r>
          </w:p>
        </w:tc>
        <w:tc>
          <w:tcPr>
            <w:tcW w:w="768" w:type="dxa"/>
            <w:tcBorders>
              <w:top w:val="nil"/>
              <w:left w:val="nil"/>
              <w:bottom w:val="single" w:sz="12" w:space="0" w:color="auto"/>
              <w:right w:val="nil"/>
            </w:tcBorders>
            <w:shd w:val="clear" w:color="auto" w:fill="auto"/>
            <w:noWrap/>
            <w:vAlign w:val="bottom"/>
            <w:hideMark/>
          </w:tcPr>
          <w:p w14:paraId="30EDE202" w14:textId="157A9DA4" w:rsidR="0045192E" w:rsidRDefault="0045192E" w:rsidP="0045192E">
            <w:pPr>
              <w:jc w:val="right"/>
              <w:rPr>
                <w:color w:val="000000"/>
                <w:sz w:val="20"/>
                <w:szCs w:val="20"/>
              </w:rPr>
            </w:pPr>
            <w:r>
              <w:rPr>
                <w:color w:val="000000"/>
                <w:sz w:val="20"/>
                <w:szCs w:val="20"/>
              </w:rPr>
              <w:t>0.205</w:t>
            </w:r>
          </w:p>
        </w:tc>
        <w:tc>
          <w:tcPr>
            <w:tcW w:w="768" w:type="dxa"/>
            <w:tcBorders>
              <w:top w:val="nil"/>
              <w:left w:val="nil"/>
              <w:bottom w:val="single" w:sz="12" w:space="0" w:color="auto"/>
              <w:right w:val="nil"/>
            </w:tcBorders>
            <w:shd w:val="clear" w:color="auto" w:fill="auto"/>
            <w:noWrap/>
            <w:vAlign w:val="bottom"/>
            <w:hideMark/>
          </w:tcPr>
          <w:p w14:paraId="31042AFD" w14:textId="08AABFBB" w:rsidR="0045192E" w:rsidRDefault="0045192E" w:rsidP="0045192E">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07F1F199" w14:textId="65873640" w:rsidR="0045192E" w:rsidRDefault="0045192E" w:rsidP="0045192E">
            <w:pPr>
              <w:jc w:val="right"/>
              <w:rPr>
                <w:color w:val="000000"/>
                <w:sz w:val="20"/>
                <w:szCs w:val="20"/>
              </w:rPr>
            </w:pPr>
            <w:r>
              <w:rPr>
                <w:color w:val="000000"/>
                <w:sz w:val="20"/>
                <w:szCs w:val="20"/>
              </w:rPr>
              <w:t>-0.016</w:t>
            </w:r>
          </w:p>
        </w:tc>
        <w:tc>
          <w:tcPr>
            <w:tcW w:w="768" w:type="dxa"/>
            <w:tcBorders>
              <w:top w:val="nil"/>
              <w:left w:val="nil"/>
              <w:bottom w:val="single" w:sz="12" w:space="0" w:color="auto"/>
              <w:right w:val="nil"/>
            </w:tcBorders>
            <w:shd w:val="clear" w:color="auto" w:fill="auto"/>
            <w:noWrap/>
            <w:vAlign w:val="bottom"/>
            <w:hideMark/>
          </w:tcPr>
          <w:p w14:paraId="67CE2B35" w14:textId="1D96F96A" w:rsidR="0045192E" w:rsidRDefault="0045192E" w:rsidP="0045192E">
            <w:pPr>
              <w:jc w:val="right"/>
              <w:rPr>
                <w:color w:val="000000"/>
                <w:sz w:val="20"/>
                <w:szCs w:val="20"/>
              </w:rPr>
            </w:pPr>
            <w:r>
              <w:rPr>
                <w:color w:val="000000"/>
                <w:sz w:val="20"/>
                <w:szCs w:val="20"/>
              </w:rPr>
              <w:t>0.808</w:t>
            </w:r>
          </w:p>
        </w:tc>
        <w:tc>
          <w:tcPr>
            <w:tcW w:w="768" w:type="dxa"/>
            <w:tcBorders>
              <w:top w:val="nil"/>
              <w:left w:val="nil"/>
              <w:bottom w:val="single" w:sz="12" w:space="0" w:color="auto"/>
              <w:right w:val="nil"/>
            </w:tcBorders>
            <w:shd w:val="clear" w:color="auto" w:fill="auto"/>
            <w:noWrap/>
            <w:vAlign w:val="bottom"/>
            <w:hideMark/>
          </w:tcPr>
          <w:p w14:paraId="6B5C8C08" w14:textId="2D4D3D7C" w:rsidR="0045192E" w:rsidRDefault="0045192E" w:rsidP="0045192E">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87511CE" w14:textId="385FAAE0" w:rsidR="0045192E" w:rsidRDefault="0045192E" w:rsidP="0045192E">
            <w:pPr>
              <w:jc w:val="right"/>
              <w:rPr>
                <w:color w:val="000000"/>
                <w:sz w:val="20"/>
                <w:szCs w:val="20"/>
              </w:rPr>
            </w:pPr>
            <w:r>
              <w:rPr>
                <w:color w:val="000000"/>
                <w:sz w:val="20"/>
                <w:szCs w:val="20"/>
              </w:rPr>
              <w:t>-0.030</w:t>
            </w:r>
          </w:p>
        </w:tc>
        <w:tc>
          <w:tcPr>
            <w:tcW w:w="768" w:type="dxa"/>
            <w:tcBorders>
              <w:top w:val="nil"/>
              <w:left w:val="nil"/>
              <w:bottom w:val="single" w:sz="12" w:space="0" w:color="auto"/>
              <w:right w:val="nil"/>
            </w:tcBorders>
            <w:shd w:val="clear" w:color="auto" w:fill="auto"/>
            <w:noWrap/>
            <w:vAlign w:val="bottom"/>
            <w:hideMark/>
          </w:tcPr>
          <w:p w14:paraId="1E38F244" w14:textId="14CC32B0" w:rsidR="0045192E" w:rsidRDefault="0045192E" w:rsidP="0045192E">
            <w:pPr>
              <w:jc w:val="right"/>
              <w:rPr>
                <w:color w:val="000000"/>
                <w:sz w:val="20"/>
                <w:szCs w:val="20"/>
              </w:rPr>
            </w:pPr>
            <w:r>
              <w:rPr>
                <w:color w:val="000000"/>
                <w:sz w:val="20"/>
                <w:szCs w:val="20"/>
              </w:rPr>
              <w:t>0.611</w:t>
            </w:r>
          </w:p>
        </w:tc>
        <w:tc>
          <w:tcPr>
            <w:tcW w:w="768" w:type="dxa"/>
            <w:tcBorders>
              <w:top w:val="nil"/>
              <w:left w:val="nil"/>
              <w:bottom w:val="single" w:sz="12" w:space="0" w:color="auto"/>
              <w:right w:val="nil"/>
            </w:tcBorders>
            <w:shd w:val="clear" w:color="auto" w:fill="auto"/>
            <w:noWrap/>
            <w:vAlign w:val="bottom"/>
            <w:hideMark/>
          </w:tcPr>
          <w:p w14:paraId="09B2D9CC" w14:textId="27CB43C7" w:rsidR="0045192E" w:rsidRDefault="0045192E" w:rsidP="0045192E">
            <w:pPr>
              <w:jc w:val="right"/>
              <w:rPr>
                <w:color w:val="000000"/>
                <w:sz w:val="20"/>
                <w:szCs w:val="20"/>
              </w:rPr>
            </w:pPr>
            <w:r>
              <w:rPr>
                <w:color w:val="000000"/>
                <w:sz w:val="20"/>
                <w:szCs w:val="20"/>
              </w:rPr>
              <w:t>0.001</w:t>
            </w:r>
          </w:p>
        </w:tc>
      </w:tr>
      <w:tr w:rsidR="00885D04" w14:paraId="2B5F8508" w14:textId="77777777" w:rsidTr="00AF1024">
        <w:trPr>
          <w:trHeight w:val="320"/>
        </w:trPr>
        <w:tc>
          <w:tcPr>
            <w:tcW w:w="1176" w:type="dxa"/>
            <w:tcBorders>
              <w:top w:val="single" w:sz="12" w:space="0" w:color="auto"/>
              <w:left w:val="nil"/>
              <w:bottom w:val="nil"/>
              <w:right w:val="nil"/>
            </w:tcBorders>
            <w:shd w:val="clear" w:color="auto" w:fill="auto"/>
            <w:noWrap/>
            <w:vAlign w:val="bottom"/>
            <w:hideMark/>
          </w:tcPr>
          <w:p w14:paraId="7464820A" w14:textId="77777777" w:rsidR="00885D04" w:rsidRDefault="00885D04">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4EDDC1ED" w14:textId="77777777" w:rsidR="00885D04" w:rsidRDefault="00885D04">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2C658A86"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E7FFFF6"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F8B4C92"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E054C77"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C533962"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FCD61BB"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52B29F7"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3F592D7"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F0F1F17"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2289F28"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B6E874A"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48FFD8"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D8BD2C5"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821861E" w14:textId="77777777" w:rsidR="00885D04" w:rsidRDefault="00885D0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922E95D" w14:textId="77777777" w:rsidR="00885D04" w:rsidRDefault="00885D04">
            <w:pPr>
              <w:rPr>
                <w:sz w:val="20"/>
                <w:szCs w:val="20"/>
              </w:rPr>
            </w:pPr>
          </w:p>
        </w:tc>
      </w:tr>
    </w:tbl>
    <w:p w14:paraId="1D840F3B" w14:textId="4579115A" w:rsidR="00885D04" w:rsidRDefault="00885D04" w:rsidP="00885D04">
      <w:pPr>
        <w:rPr>
          <w:rFonts w:eastAsia="Batang"/>
          <w:i/>
          <w:iCs/>
        </w:rPr>
      </w:pPr>
    </w:p>
    <w:p w14:paraId="509B8AA7" w14:textId="77777777" w:rsidR="00885D04" w:rsidRDefault="00885D04">
      <w:pPr>
        <w:rPr>
          <w:rFonts w:eastAsia="Batang"/>
          <w:i/>
          <w:iCs/>
        </w:rPr>
      </w:pPr>
      <w:r>
        <w:rPr>
          <w:rFonts w:eastAsia="Batang"/>
          <w:i/>
          <w:iCs/>
        </w:rPr>
        <w:br w:type="page"/>
      </w:r>
    </w:p>
    <w:p w14:paraId="2C63440E" w14:textId="62E3C8E6" w:rsidR="00885D04" w:rsidRPr="009E2A20" w:rsidRDefault="00432B71" w:rsidP="009E2A20">
      <w:pPr>
        <w:pStyle w:val="Heading1"/>
        <w:rPr>
          <w:rFonts w:ascii="Times New Roman" w:hAnsi="Times New Roman" w:cs="Times New Roman"/>
          <w:b/>
          <w:bCs/>
          <w:color w:val="000000" w:themeColor="text1"/>
          <w:sz w:val="24"/>
          <w:szCs w:val="24"/>
        </w:rPr>
      </w:pPr>
      <w:bookmarkStart w:id="47" w:name="_Toc155817714"/>
      <w:r>
        <w:rPr>
          <w:rFonts w:ascii="Times New Roman" w:hAnsi="Times New Roman" w:cs="Times New Roman"/>
          <w:b/>
          <w:bCs/>
          <w:color w:val="000000" w:themeColor="text1"/>
          <w:sz w:val="24"/>
          <w:szCs w:val="24"/>
        </w:rPr>
        <w:lastRenderedPageBreak/>
        <w:t xml:space="preserve">Table </w:t>
      </w:r>
      <w:r w:rsidR="00121F4D">
        <w:rPr>
          <w:rFonts w:ascii="Times New Roman" w:hAnsi="Times New Roman" w:cs="Times New Roman"/>
          <w:b/>
          <w:bCs/>
          <w:color w:val="000000" w:themeColor="text1"/>
          <w:sz w:val="24"/>
          <w:szCs w:val="24"/>
        </w:rPr>
        <w:t>1</w:t>
      </w:r>
      <w:r w:rsidR="00A33B44">
        <w:rPr>
          <w:rFonts w:ascii="Times New Roman" w:hAnsi="Times New Roman" w:cs="Times New Roman"/>
          <w:b/>
          <w:bCs/>
          <w:color w:val="000000" w:themeColor="text1"/>
          <w:sz w:val="24"/>
          <w:szCs w:val="24"/>
        </w:rPr>
        <w:t>8</w:t>
      </w:r>
      <w:r w:rsidR="00121F4D" w:rsidRPr="009E2A20">
        <w:rPr>
          <w:rFonts w:ascii="Times New Roman" w:hAnsi="Times New Roman" w:cs="Times New Roman"/>
          <w:b/>
          <w:bCs/>
          <w:color w:val="000000" w:themeColor="text1"/>
          <w:sz w:val="24"/>
          <w:szCs w:val="24"/>
        </w:rPr>
        <w:t>b</w:t>
      </w:r>
      <w:r w:rsidR="00885D04" w:rsidRPr="009E2A20">
        <w:rPr>
          <w:rFonts w:ascii="Times New Roman" w:hAnsi="Times New Roman" w:cs="Times New Roman"/>
          <w:b/>
          <w:bCs/>
          <w:color w:val="000000" w:themeColor="text1"/>
          <w:sz w:val="24"/>
          <w:szCs w:val="24"/>
        </w:rPr>
        <w:t xml:space="preserve">. </w:t>
      </w:r>
      <w:r w:rsidR="00885D04" w:rsidRPr="009E2A20">
        <w:rPr>
          <w:rFonts w:ascii="Times New Roman" w:hAnsi="Times New Roman" w:cs="Times New Roman"/>
          <w:color w:val="000000" w:themeColor="text1"/>
          <w:sz w:val="24"/>
          <w:szCs w:val="24"/>
        </w:rPr>
        <w:t xml:space="preserve">Results examining the relationship between environmental stress factors obtained from higher-order modeling and Shen-268 network local efficiency during </w:t>
      </w:r>
      <w:r w:rsidR="001F746E" w:rsidRPr="009E2A20">
        <w:rPr>
          <w:rFonts w:ascii="Times New Roman" w:hAnsi="Times New Roman" w:cs="Times New Roman"/>
          <w:color w:val="000000" w:themeColor="text1"/>
          <w:sz w:val="24"/>
          <w:szCs w:val="24"/>
        </w:rPr>
        <w:t>the stop signal task</w:t>
      </w:r>
      <w:bookmarkEnd w:id="47"/>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6628A7" w14:paraId="25225DCF" w14:textId="77777777" w:rsidTr="00890D3D">
        <w:trPr>
          <w:trHeight w:val="340"/>
        </w:trPr>
        <w:tc>
          <w:tcPr>
            <w:tcW w:w="1176" w:type="dxa"/>
            <w:tcBorders>
              <w:top w:val="nil"/>
              <w:left w:val="nil"/>
              <w:bottom w:val="single" w:sz="12" w:space="0" w:color="auto"/>
              <w:right w:val="nil"/>
            </w:tcBorders>
            <w:shd w:val="clear" w:color="auto" w:fill="auto"/>
            <w:noWrap/>
            <w:vAlign w:val="bottom"/>
            <w:hideMark/>
          </w:tcPr>
          <w:p w14:paraId="386BE522" w14:textId="77777777" w:rsidR="006628A7" w:rsidRDefault="006628A7">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1E422DFC" w14:textId="77777777" w:rsidR="006628A7" w:rsidRDefault="006628A7">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6BEACDD9" w14:textId="77777777" w:rsidR="006628A7" w:rsidRDefault="006628A7">
            <w:pPr>
              <w:rPr>
                <w:color w:val="000000"/>
              </w:rPr>
            </w:pPr>
          </w:p>
        </w:tc>
        <w:tc>
          <w:tcPr>
            <w:tcW w:w="768" w:type="dxa"/>
            <w:tcBorders>
              <w:top w:val="nil"/>
              <w:left w:val="nil"/>
              <w:bottom w:val="single" w:sz="12" w:space="0" w:color="auto"/>
              <w:right w:val="nil"/>
            </w:tcBorders>
            <w:shd w:val="clear" w:color="auto" w:fill="auto"/>
            <w:noWrap/>
            <w:vAlign w:val="bottom"/>
            <w:hideMark/>
          </w:tcPr>
          <w:p w14:paraId="29E7EB9B"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14650D5"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197C5B5"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68891C8"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04DAE79"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F2B4BDE"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B0A83D9"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D7113F2"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616E4FC"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75B689E"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8C963C6"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1054579" w14:textId="77777777" w:rsidR="006628A7" w:rsidRDefault="006628A7">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24702AF" w14:textId="77777777" w:rsidR="006628A7" w:rsidRDefault="006628A7">
            <w:pPr>
              <w:rPr>
                <w:sz w:val="20"/>
                <w:szCs w:val="20"/>
              </w:rPr>
            </w:pPr>
          </w:p>
        </w:tc>
        <w:tc>
          <w:tcPr>
            <w:tcW w:w="768" w:type="dxa"/>
            <w:tcBorders>
              <w:top w:val="nil"/>
              <w:left w:val="nil"/>
              <w:bottom w:val="nil"/>
              <w:right w:val="nil"/>
            </w:tcBorders>
            <w:shd w:val="clear" w:color="auto" w:fill="auto"/>
            <w:noWrap/>
            <w:vAlign w:val="bottom"/>
            <w:hideMark/>
          </w:tcPr>
          <w:p w14:paraId="693EB13D" w14:textId="77777777" w:rsidR="006628A7" w:rsidRDefault="006628A7">
            <w:pPr>
              <w:rPr>
                <w:sz w:val="20"/>
                <w:szCs w:val="20"/>
              </w:rPr>
            </w:pPr>
          </w:p>
        </w:tc>
      </w:tr>
      <w:tr w:rsidR="006628A7" w14:paraId="2DF93EAE" w14:textId="77777777" w:rsidTr="00AF1024">
        <w:trPr>
          <w:trHeight w:val="340"/>
        </w:trPr>
        <w:tc>
          <w:tcPr>
            <w:tcW w:w="1176" w:type="dxa"/>
            <w:tcBorders>
              <w:top w:val="single" w:sz="12" w:space="0" w:color="auto"/>
              <w:left w:val="nil"/>
              <w:bottom w:val="nil"/>
              <w:right w:val="nil"/>
            </w:tcBorders>
            <w:shd w:val="clear" w:color="auto" w:fill="auto"/>
            <w:noWrap/>
            <w:vAlign w:val="bottom"/>
            <w:hideMark/>
          </w:tcPr>
          <w:p w14:paraId="32759036" w14:textId="77777777" w:rsidR="006628A7" w:rsidRDefault="006628A7">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632A426E" w14:textId="77777777" w:rsidR="006628A7" w:rsidRDefault="006628A7">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6743557E" w14:textId="0FFAEEE2" w:rsidR="006628A7" w:rsidRDefault="006628A7">
            <w:pPr>
              <w:jc w:val="center"/>
              <w:rPr>
                <w:color w:val="000000"/>
                <w:sz w:val="20"/>
                <w:szCs w:val="20"/>
              </w:rPr>
            </w:pPr>
            <w:r>
              <w:rPr>
                <w:color w:val="000000"/>
                <w:sz w:val="20"/>
                <w:szCs w:val="20"/>
              </w:rPr>
              <w:t>General</w:t>
            </w:r>
            <w:r w:rsidR="00C317B3">
              <w:rPr>
                <w:color w:val="000000"/>
                <w:sz w:val="20"/>
                <w:szCs w:val="20"/>
              </w:rPr>
              <w:t xml:space="preserve"> Environmental Stress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D33B351" w14:textId="77777777" w:rsidR="006628A7" w:rsidRDefault="006628A7">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372FD85" w14:textId="77777777" w:rsidR="006628A7" w:rsidRDefault="006628A7">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D74C204" w14:textId="77777777" w:rsidR="006628A7" w:rsidRDefault="006628A7">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343E01C" w14:textId="77777777" w:rsidR="006628A7" w:rsidRDefault="006628A7">
            <w:pPr>
              <w:jc w:val="center"/>
              <w:rPr>
                <w:color w:val="000000"/>
                <w:sz w:val="20"/>
                <w:szCs w:val="20"/>
              </w:rPr>
            </w:pPr>
            <w:r>
              <w:rPr>
                <w:color w:val="000000"/>
                <w:sz w:val="20"/>
                <w:szCs w:val="20"/>
              </w:rPr>
              <w:t>Urbanicity</w:t>
            </w:r>
          </w:p>
        </w:tc>
      </w:tr>
      <w:tr w:rsidR="002125FE" w14:paraId="0A291B64" w14:textId="77777777" w:rsidTr="00AF1024">
        <w:trPr>
          <w:trHeight w:val="360"/>
        </w:trPr>
        <w:tc>
          <w:tcPr>
            <w:tcW w:w="1176" w:type="dxa"/>
            <w:tcBorders>
              <w:top w:val="nil"/>
              <w:left w:val="nil"/>
              <w:bottom w:val="single" w:sz="12" w:space="0" w:color="auto"/>
              <w:right w:val="nil"/>
            </w:tcBorders>
            <w:shd w:val="clear" w:color="auto" w:fill="auto"/>
            <w:noWrap/>
            <w:vAlign w:val="bottom"/>
            <w:hideMark/>
          </w:tcPr>
          <w:p w14:paraId="4DE66F01" w14:textId="77777777" w:rsidR="002125FE" w:rsidRDefault="002125FE" w:rsidP="002125FE">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1C3D5261" w14:textId="77777777" w:rsidR="002125FE" w:rsidRDefault="002125FE" w:rsidP="002125FE">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778E24FB" w14:textId="41617BF8"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32DB7E8" w14:textId="7D96106E"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BF50989" w14:textId="01013FCE"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727BA6D5" w14:textId="161CB286"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CBC1FF6" w14:textId="30355355"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822C71B" w14:textId="08CABB53"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593D2D20" w14:textId="648111A7"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AF9080F" w14:textId="7B78A9B4"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EB6DC59" w14:textId="5F134E1B"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28302550" w14:textId="02A85B6C"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A1445E1" w14:textId="036E51DB"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6C99E15" w14:textId="3A4702D2"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c>
          <w:tcPr>
            <w:tcW w:w="768" w:type="dxa"/>
            <w:tcBorders>
              <w:top w:val="single" w:sz="12" w:space="0" w:color="auto"/>
              <w:left w:val="nil"/>
              <w:bottom w:val="single" w:sz="12" w:space="0" w:color="auto"/>
              <w:right w:val="nil"/>
            </w:tcBorders>
            <w:shd w:val="clear" w:color="auto" w:fill="auto"/>
            <w:noWrap/>
            <w:vAlign w:val="center"/>
            <w:hideMark/>
          </w:tcPr>
          <w:p w14:paraId="0FC26133" w14:textId="5143F7F9" w:rsidR="002125FE" w:rsidRDefault="002125FE" w:rsidP="002125FE">
            <w:pPr>
              <w:jc w:val="center"/>
              <w:rPr>
                <w:i/>
                <w:iCs/>
                <w:color w:val="000000"/>
                <w:sz w:val="20"/>
                <w:szCs w:val="20"/>
              </w:rPr>
            </w:pPr>
            <w:r w:rsidRPr="00EF4A1A">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F17A5A3" w14:textId="32D82B32" w:rsidR="002125FE" w:rsidRDefault="002125FE" w:rsidP="002125FE">
            <w:pPr>
              <w:jc w:val="center"/>
              <w:rPr>
                <w:i/>
                <w:iCs/>
                <w:color w:val="000000"/>
                <w:sz w:val="20"/>
                <w:szCs w:val="20"/>
              </w:rPr>
            </w:pPr>
            <w:r w:rsidRPr="00EF4A1A">
              <w:rPr>
                <w:i/>
                <w:iCs/>
                <w:color w:val="000000"/>
                <w:sz w:val="20"/>
                <w:szCs w:val="20"/>
              </w:rPr>
              <w:t>p</w:t>
            </w:r>
            <w:r w:rsidRPr="00EF4A1A">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93A3C53" w14:textId="29FDF9B4" w:rsidR="002125FE" w:rsidRDefault="002125FE" w:rsidP="002125FE">
            <w:pPr>
              <w:jc w:val="center"/>
              <w:rPr>
                <w:i/>
                <w:iCs/>
                <w:color w:val="000000"/>
                <w:sz w:val="20"/>
                <w:szCs w:val="20"/>
              </w:rPr>
            </w:pPr>
            <w:r w:rsidRPr="00EF4A1A">
              <w:rPr>
                <w:i/>
                <w:iCs/>
                <w:color w:val="000000"/>
                <w:sz w:val="20"/>
                <w:szCs w:val="20"/>
              </w:rPr>
              <w:t>R</w:t>
            </w:r>
            <w:r w:rsidRPr="00EF4A1A">
              <w:rPr>
                <w:i/>
                <w:iCs/>
                <w:color w:val="000000"/>
                <w:sz w:val="20"/>
                <w:szCs w:val="20"/>
                <w:vertAlign w:val="superscript"/>
              </w:rPr>
              <w:t>2</w:t>
            </w:r>
          </w:p>
        </w:tc>
      </w:tr>
      <w:tr w:rsidR="00BE2FE2" w14:paraId="6DB25BB4" w14:textId="77777777" w:rsidTr="00890D3D">
        <w:trPr>
          <w:trHeight w:val="320"/>
        </w:trPr>
        <w:tc>
          <w:tcPr>
            <w:tcW w:w="1176" w:type="dxa"/>
            <w:tcBorders>
              <w:top w:val="single" w:sz="12" w:space="0" w:color="auto"/>
              <w:left w:val="nil"/>
              <w:bottom w:val="nil"/>
              <w:right w:val="nil"/>
            </w:tcBorders>
            <w:shd w:val="clear" w:color="auto" w:fill="auto"/>
            <w:noWrap/>
            <w:vAlign w:val="bottom"/>
            <w:hideMark/>
          </w:tcPr>
          <w:p w14:paraId="660C79A2" w14:textId="77777777" w:rsidR="00BE2FE2" w:rsidRDefault="00BE2FE2" w:rsidP="00BE2FE2">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07A31F6F" w14:textId="77777777" w:rsidR="00BE2FE2" w:rsidRDefault="00BE2FE2" w:rsidP="00BE2FE2">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17F9A82A" w14:textId="6490798D" w:rsidR="00BE2FE2" w:rsidRDefault="00BE2FE2" w:rsidP="00BE2FE2">
            <w:pPr>
              <w:jc w:val="right"/>
              <w:rPr>
                <w:color w:val="000000"/>
                <w:sz w:val="20"/>
                <w:szCs w:val="20"/>
              </w:rPr>
            </w:pPr>
            <w:r>
              <w:rPr>
                <w:color w:val="000000"/>
                <w:sz w:val="20"/>
                <w:szCs w:val="20"/>
              </w:rPr>
              <w:t>-0.041</w:t>
            </w:r>
          </w:p>
        </w:tc>
        <w:tc>
          <w:tcPr>
            <w:tcW w:w="768" w:type="dxa"/>
            <w:tcBorders>
              <w:top w:val="single" w:sz="12" w:space="0" w:color="auto"/>
              <w:left w:val="nil"/>
              <w:bottom w:val="nil"/>
              <w:right w:val="nil"/>
            </w:tcBorders>
            <w:shd w:val="clear" w:color="auto" w:fill="auto"/>
            <w:noWrap/>
            <w:vAlign w:val="bottom"/>
            <w:hideMark/>
          </w:tcPr>
          <w:p w14:paraId="5FB507A2" w14:textId="67EEC1AA" w:rsidR="00BE2FE2" w:rsidRDefault="00BE2FE2" w:rsidP="00BE2FE2">
            <w:pPr>
              <w:jc w:val="right"/>
              <w:rPr>
                <w:color w:val="000000"/>
                <w:sz w:val="20"/>
                <w:szCs w:val="20"/>
              </w:rPr>
            </w:pPr>
            <w:r>
              <w:rPr>
                <w:color w:val="000000"/>
                <w:sz w:val="20"/>
                <w:szCs w:val="20"/>
              </w:rPr>
              <w:t>0.513</w:t>
            </w:r>
          </w:p>
        </w:tc>
        <w:tc>
          <w:tcPr>
            <w:tcW w:w="768" w:type="dxa"/>
            <w:tcBorders>
              <w:top w:val="single" w:sz="12" w:space="0" w:color="auto"/>
              <w:left w:val="nil"/>
              <w:bottom w:val="nil"/>
              <w:right w:val="nil"/>
            </w:tcBorders>
            <w:shd w:val="clear" w:color="auto" w:fill="auto"/>
            <w:noWrap/>
            <w:vAlign w:val="bottom"/>
            <w:hideMark/>
          </w:tcPr>
          <w:p w14:paraId="3EF2AA6B" w14:textId="0737850A" w:rsidR="00BE2FE2" w:rsidRDefault="00BE2FE2" w:rsidP="00BE2FE2">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7E80992B" w14:textId="7076B69B" w:rsidR="00BE2FE2" w:rsidRDefault="00BE2FE2" w:rsidP="00BE2FE2">
            <w:pPr>
              <w:jc w:val="right"/>
              <w:rPr>
                <w:color w:val="000000"/>
                <w:sz w:val="20"/>
                <w:szCs w:val="20"/>
              </w:rPr>
            </w:pPr>
            <w:r>
              <w:rPr>
                <w:color w:val="000000"/>
                <w:sz w:val="20"/>
                <w:szCs w:val="20"/>
              </w:rPr>
              <w:t>-0.029</w:t>
            </w:r>
          </w:p>
        </w:tc>
        <w:tc>
          <w:tcPr>
            <w:tcW w:w="768" w:type="dxa"/>
            <w:tcBorders>
              <w:top w:val="single" w:sz="12" w:space="0" w:color="auto"/>
              <w:left w:val="nil"/>
              <w:bottom w:val="nil"/>
              <w:right w:val="nil"/>
            </w:tcBorders>
            <w:shd w:val="clear" w:color="auto" w:fill="auto"/>
            <w:noWrap/>
            <w:vAlign w:val="bottom"/>
            <w:hideMark/>
          </w:tcPr>
          <w:p w14:paraId="2680FFB5" w14:textId="0FEC1435" w:rsidR="00BE2FE2" w:rsidRDefault="00BE2FE2" w:rsidP="00BE2FE2">
            <w:pPr>
              <w:jc w:val="right"/>
              <w:rPr>
                <w:color w:val="000000"/>
                <w:sz w:val="20"/>
                <w:szCs w:val="20"/>
              </w:rPr>
            </w:pPr>
            <w:r>
              <w:rPr>
                <w:color w:val="000000"/>
                <w:sz w:val="20"/>
                <w:szCs w:val="20"/>
              </w:rPr>
              <w:t>0.726</w:t>
            </w:r>
          </w:p>
        </w:tc>
        <w:tc>
          <w:tcPr>
            <w:tcW w:w="768" w:type="dxa"/>
            <w:tcBorders>
              <w:top w:val="single" w:sz="12" w:space="0" w:color="auto"/>
              <w:left w:val="nil"/>
              <w:bottom w:val="nil"/>
              <w:right w:val="nil"/>
            </w:tcBorders>
            <w:shd w:val="clear" w:color="auto" w:fill="auto"/>
            <w:noWrap/>
            <w:vAlign w:val="bottom"/>
            <w:hideMark/>
          </w:tcPr>
          <w:p w14:paraId="3DDE8A9C" w14:textId="39C9B7FA" w:rsidR="00BE2FE2" w:rsidRDefault="00BE2FE2" w:rsidP="00BE2FE2">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1D7863EE" w14:textId="46C93B16" w:rsidR="00BE2FE2" w:rsidRDefault="00BE2FE2" w:rsidP="00BE2FE2">
            <w:pPr>
              <w:jc w:val="right"/>
              <w:rPr>
                <w:color w:val="000000"/>
                <w:sz w:val="20"/>
                <w:szCs w:val="20"/>
              </w:rPr>
            </w:pPr>
            <w:r>
              <w:rPr>
                <w:color w:val="000000"/>
                <w:sz w:val="20"/>
                <w:szCs w:val="20"/>
              </w:rPr>
              <w:t>-0.022</w:t>
            </w:r>
          </w:p>
        </w:tc>
        <w:tc>
          <w:tcPr>
            <w:tcW w:w="768" w:type="dxa"/>
            <w:tcBorders>
              <w:top w:val="single" w:sz="12" w:space="0" w:color="auto"/>
              <w:left w:val="nil"/>
              <w:bottom w:val="nil"/>
              <w:right w:val="nil"/>
            </w:tcBorders>
            <w:shd w:val="clear" w:color="auto" w:fill="auto"/>
            <w:noWrap/>
            <w:vAlign w:val="bottom"/>
            <w:hideMark/>
          </w:tcPr>
          <w:p w14:paraId="2E9E7276" w14:textId="7FB779CE" w:rsidR="00BE2FE2" w:rsidRDefault="00BE2FE2" w:rsidP="00BE2FE2">
            <w:pPr>
              <w:jc w:val="right"/>
              <w:rPr>
                <w:color w:val="000000"/>
                <w:sz w:val="20"/>
                <w:szCs w:val="20"/>
              </w:rPr>
            </w:pPr>
            <w:r>
              <w:rPr>
                <w:color w:val="000000"/>
                <w:sz w:val="20"/>
                <w:szCs w:val="20"/>
              </w:rPr>
              <w:t>0.615</w:t>
            </w:r>
          </w:p>
        </w:tc>
        <w:tc>
          <w:tcPr>
            <w:tcW w:w="768" w:type="dxa"/>
            <w:tcBorders>
              <w:top w:val="single" w:sz="12" w:space="0" w:color="auto"/>
              <w:left w:val="nil"/>
              <w:bottom w:val="nil"/>
              <w:right w:val="nil"/>
            </w:tcBorders>
            <w:shd w:val="clear" w:color="auto" w:fill="auto"/>
            <w:noWrap/>
            <w:vAlign w:val="bottom"/>
            <w:hideMark/>
          </w:tcPr>
          <w:p w14:paraId="0F99D9E9" w14:textId="7F531730" w:rsidR="00BE2FE2" w:rsidRDefault="00BE2FE2" w:rsidP="00BE2FE2">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C49663C" w14:textId="681936D8" w:rsidR="00BE2FE2" w:rsidRDefault="00BE2FE2" w:rsidP="00BE2FE2">
            <w:pPr>
              <w:jc w:val="right"/>
              <w:rPr>
                <w:color w:val="000000"/>
                <w:sz w:val="20"/>
                <w:szCs w:val="20"/>
              </w:rPr>
            </w:pPr>
            <w:r>
              <w:rPr>
                <w:color w:val="000000"/>
                <w:sz w:val="20"/>
                <w:szCs w:val="20"/>
              </w:rPr>
              <w:t>-0.041</w:t>
            </w:r>
          </w:p>
        </w:tc>
        <w:tc>
          <w:tcPr>
            <w:tcW w:w="768" w:type="dxa"/>
            <w:tcBorders>
              <w:top w:val="single" w:sz="12" w:space="0" w:color="auto"/>
              <w:left w:val="nil"/>
              <w:bottom w:val="nil"/>
              <w:right w:val="nil"/>
            </w:tcBorders>
            <w:shd w:val="clear" w:color="auto" w:fill="auto"/>
            <w:noWrap/>
            <w:vAlign w:val="bottom"/>
            <w:hideMark/>
          </w:tcPr>
          <w:p w14:paraId="46E3D42D" w14:textId="58D4C8F1" w:rsidR="00BE2FE2" w:rsidRDefault="00BE2FE2" w:rsidP="00BE2FE2">
            <w:pPr>
              <w:jc w:val="right"/>
              <w:rPr>
                <w:color w:val="000000"/>
                <w:sz w:val="20"/>
                <w:szCs w:val="20"/>
              </w:rPr>
            </w:pPr>
            <w:r>
              <w:rPr>
                <w:color w:val="000000"/>
                <w:sz w:val="20"/>
                <w:szCs w:val="20"/>
              </w:rPr>
              <w:t>0.460</w:t>
            </w:r>
          </w:p>
        </w:tc>
        <w:tc>
          <w:tcPr>
            <w:tcW w:w="768" w:type="dxa"/>
            <w:tcBorders>
              <w:top w:val="single" w:sz="12" w:space="0" w:color="auto"/>
              <w:left w:val="nil"/>
              <w:bottom w:val="nil"/>
              <w:right w:val="nil"/>
            </w:tcBorders>
            <w:shd w:val="clear" w:color="auto" w:fill="auto"/>
            <w:noWrap/>
            <w:vAlign w:val="bottom"/>
            <w:hideMark/>
          </w:tcPr>
          <w:p w14:paraId="2D4FAE05" w14:textId="4F11F375" w:rsidR="00BE2FE2" w:rsidRDefault="00BE2FE2" w:rsidP="00BE2FE2">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64D3D054" w14:textId="1A5C6493" w:rsidR="00BE2FE2" w:rsidRDefault="00BE2FE2" w:rsidP="00BE2FE2">
            <w:pPr>
              <w:jc w:val="right"/>
              <w:rPr>
                <w:color w:val="000000"/>
                <w:sz w:val="20"/>
                <w:szCs w:val="20"/>
              </w:rPr>
            </w:pPr>
            <w:r>
              <w:rPr>
                <w:color w:val="000000"/>
                <w:sz w:val="20"/>
                <w:szCs w:val="20"/>
              </w:rPr>
              <w:t>0.028</w:t>
            </w:r>
          </w:p>
        </w:tc>
        <w:tc>
          <w:tcPr>
            <w:tcW w:w="768" w:type="dxa"/>
            <w:tcBorders>
              <w:top w:val="single" w:sz="12" w:space="0" w:color="auto"/>
              <w:left w:val="nil"/>
              <w:bottom w:val="nil"/>
              <w:right w:val="nil"/>
            </w:tcBorders>
            <w:shd w:val="clear" w:color="auto" w:fill="auto"/>
            <w:noWrap/>
            <w:vAlign w:val="bottom"/>
            <w:hideMark/>
          </w:tcPr>
          <w:p w14:paraId="2CEC108A" w14:textId="24590D4E" w:rsidR="00BE2FE2" w:rsidRDefault="00BE2FE2" w:rsidP="00BE2FE2">
            <w:pPr>
              <w:jc w:val="right"/>
              <w:rPr>
                <w:color w:val="000000"/>
                <w:sz w:val="20"/>
                <w:szCs w:val="20"/>
              </w:rPr>
            </w:pPr>
            <w:r>
              <w:rPr>
                <w:color w:val="000000"/>
                <w:sz w:val="20"/>
                <w:szCs w:val="20"/>
              </w:rPr>
              <w:t>0.861</w:t>
            </w:r>
          </w:p>
        </w:tc>
        <w:tc>
          <w:tcPr>
            <w:tcW w:w="768" w:type="dxa"/>
            <w:tcBorders>
              <w:top w:val="single" w:sz="12" w:space="0" w:color="auto"/>
              <w:left w:val="nil"/>
              <w:bottom w:val="nil"/>
              <w:right w:val="nil"/>
            </w:tcBorders>
            <w:shd w:val="clear" w:color="auto" w:fill="auto"/>
            <w:noWrap/>
            <w:vAlign w:val="bottom"/>
            <w:hideMark/>
          </w:tcPr>
          <w:p w14:paraId="774358CB" w14:textId="12B32A63" w:rsidR="00BE2FE2" w:rsidRDefault="00BE2FE2" w:rsidP="00BE2FE2">
            <w:pPr>
              <w:jc w:val="right"/>
              <w:rPr>
                <w:color w:val="000000"/>
                <w:sz w:val="20"/>
                <w:szCs w:val="20"/>
              </w:rPr>
            </w:pPr>
            <w:r>
              <w:rPr>
                <w:color w:val="000000"/>
                <w:sz w:val="20"/>
                <w:szCs w:val="20"/>
              </w:rPr>
              <w:t>0.001</w:t>
            </w:r>
          </w:p>
        </w:tc>
      </w:tr>
      <w:tr w:rsidR="00BE2FE2" w14:paraId="2139F22D" w14:textId="77777777" w:rsidTr="006628A7">
        <w:trPr>
          <w:trHeight w:val="340"/>
        </w:trPr>
        <w:tc>
          <w:tcPr>
            <w:tcW w:w="1176" w:type="dxa"/>
            <w:tcBorders>
              <w:top w:val="nil"/>
              <w:left w:val="nil"/>
              <w:bottom w:val="nil"/>
              <w:right w:val="nil"/>
            </w:tcBorders>
            <w:shd w:val="clear" w:color="auto" w:fill="auto"/>
            <w:noWrap/>
            <w:vAlign w:val="bottom"/>
            <w:hideMark/>
          </w:tcPr>
          <w:p w14:paraId="6E75013F"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BDCDA4" w14:textId="77777777" w:rsidR="00BE2FE2" w:rsidRDefault="00BE2FE2" w:rsidP="00BE2FE2">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186DAE1" w14:textId="53E08E35" w:rsidR="00BE2FE2" w:rsidRDefault="00BE2FE2" w:rsidP="00BE2FE2">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4D87BC75" w14:textId="1E0825D7" w:rsidR="00BE2FE2" w:rsidRDefault="00BE2FE2" w:rsidP="00BE2FE2">
            <w:pPr>
              <w:jc w:val="right"/>
              <w:rPr>
                <w:color w:val="000000"/>
                <w:sz w:val="20"/>
                <w:szCs w:val="20"/>
              </w:rPr>
            </w:pPr>
            <w:r>
              <w:rPr>
                <w:color w:val="000000"/>
                <w:sz w:val="20"/>
                <w:szCs w:val="20"/>
              </w:rPr>
              <w:t>0.513</w:t>
            </w:r>
          </w:p>
        </w:tc>
        <w:tc>
          <w:tcPr>
            <w:tcW w:w="768" w:type="dxa"/>
            <w:tcBorders>
              <w:top w:val="nil"/>
              <w:left w:val="nil"/>
              <w:bottom w:val="nil"/>
              <w:right w:val="nil"/>
            </w:tcBorders>
            <w:shd w:val="clear" w:color="auto" w:fill="auto"/>
            <w:noWrap/>
            <w:vAlign w:val="bottom"/>
            <w:hideMark/>
          </w:tcPr>
          <w:p w14:paraId="6B55C2B9" w14:textId="5C11A380"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41C1477" w14:textId="262A9B1A" w:rsidR="00BE2FE2" w:rsidRDefault="00BE2FE2" w:rsidP="00BE2FE2">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449EA60" w14:textId="7C16A773" w:rsidR="00BE2FE2" w:rsidRDefault="00BE2FE2" w:rsidP="00BE2FE2">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32B15A37" w14:textId="3015932D"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DEB4B0" w14:textId="33315D85" w:rsidR="00BE2FE2" w:rsidRDefault="00BE2FE2" w:rsidP="00BE2FE2">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72C6B36E" w14:textId="56D202D6" w:rsidR="00BE2FE2" w:rsidRDefault="00BE2FE2" w:rsidP="00BE2FE2">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4BDE6797" w14:textId="5B212660"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E38E399" w14:textId="6106A943" w:rsidR="00BE2FE2" w:rsidRDefault="00BE2FE2" w:rsidP="00BE2FE2">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78032F5" w14:textId="0816DD11" w:rsidR="00BE2FE2" w:rsidRDefault="00BE2FE2" w:rsidP="00BE2FE2">
            <w:pPr>
              <w:jc w:val="right"/>
              <w:rPr>
                <w:color w:val="000000"/>
                <w:sz w:val="20"/>
                <w:szCs w:val="20"/>
              </w:rPr>
            </w:pPr>
            <w:r>
              <w:rPr>
                <w:color w:val="000000"/>
                <w:sz w:val="20"/>
                <w:szCs w:val="20"/>
              </w:rPr>
              <w:t>0.662</w:t>
            </w:r>
          </w:p>
        </w:tc>
        <w:tc>
          <w:tcPr>
            <w:tcW w:w="768" w:type="dxa"/>
            <w:tcBorders>
              <w:top w:val="nil"/>
              <w:left w:val="nil"/>
              <w:bottom w:val="nil"/>
              <w:right w:val="nil"/>
            </w:tcBorders>
            <w:shd w:val="clear" w:color="auto" w:fill="auto"/>
            <w:noWrap/>
            <w:vAlign w:val="bottom"/>
            <w:hideMark/>
          </w:tcPr>
          <w:p w14:paraId="6C2FBAB1" w14:textId="535C86DD"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E1A0265" w14:textId="092AF6AE" w:rsidR="00BE2FE2" w:rsidRDefault="00BE2FE2" w:rsidP="00BE2FE2">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46DAE4B0" w14:textId="3083E862" w:rsidR="00BE2FE2" w:rsidRDefault="00BE2FE2" w:rsidP="00BE2FE2">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5684017D" w14:textId="1AA440DE" w:rsidR="00BE2FE2" w:rsidRDefault="00BE2FE2" w:rsidP="00BE2FE2">
            <w:pPr>
              <w:jc w:val="right"/>
              <w:rPr>
                <w:color w:val="000000"/>
                <w:sz w:val="20"/>
                <w:szCs w:val="20"/>
              </w:rPr>
            </w:pPr>
            <w:r>
              <w:rPr>
                <w:color w:val="000000"/>
                <w:sz w:val="20"/>
                <w:szCs w:val="20"/>
              </w:rPr>
              <w:t>0.004</w:t>
            </w:r>
          </w:p>
        </w:tc>
      </w:tr>
      <w:tr w:rsidR="00BE2FE2" w14:paraId="384BE9C1" w14:textId="77777777" w:rsidTr="006628A7">
        <w:trPr>
          <w:trHeight w:val="320"/>
        </w:trPr>
        <w:tc>
          <w:tcPr>
            <w:tcW w:w="1176" w:type="dxa"/>
            <w:tcBorders>
              <w:top w:val="nil"/>
              <w:left w:val="nil"/>
              <w:bottom w:val="nil"/>
              <w:right w:val="nil"/>
            </w:tcBorders>
            <w:shd w:val="clear" w:color="auto" w:fill="auto"/>
            <w:noWrap/>
            <w:vAlign w:val="bottom"/>
            <w:hideMark/>
          </w:tcPr>
          <w:p w14:paraId="470C730D"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3A6973C" w14:textId="77777777" w:rsidR="00BE2FE2" w:rsidRDefault="00BE2FE2" w:rsidP="00BE2FE2">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904A6A5" w14:textId="3B243CCC" w:rsidR="00BE2FE2" w:rsidRDefault="00BE2FE2" w:rsidP="00BE2FE2">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7279FD93" w14:textId="60DA2877" w:rsidR="00BE2FE2" w:rsidRDefault="00BE2FE2" w:rsidP="00BE2FE2">
            <w:pPr>
              <w:jc w:val="right"/>
              <w:rPr>
                <w:color w:val="000000"/>
                <w:sz w:val="20"/>
                <w:szCs w:val="20"/>
              </w:rPr>
            </w:pPr>
            <w:r>
              <w:rPr>
                <w:color w:val="000000"/>
                <w:sz w:val="20"/>
                <w:szCs w:val="20"/>
              </w:rPr>
              <w:t>0.513</w:t>
            </w:r>
          </w:p>
        </w:tc>
        <w:tc>
          <w:tcPr>
            <w:tcW w:w="768" w:type="dxa"/>
            <w:tcBorders>
              <w:top w:val="nil"/>
              <w:left w:val="nil"/>
              <w:bottom w:val="nil"/>
              <w:right w:val="nil"/>
            </w:tcBorders>
            <w:shd w:val="clear" w:color="auto" w:fill="auto"/>
            <w:noWrap/>
            <w:vAlign w:val="bottom"/>
            <w:hideMark/>
          </w:tcPr>
          <w:p w14:paraId="4D01F759" w14:textId="75C701CB" w:rsidR="00BE2FE2" w:rsidRDefault="00BE2FE2" w:rsidP="00BE2FE2">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5F7AF06A" w14:textId="109F1AF9" w:rsidR="00BE2FE2" w:rsidRDefault="00BE2FE2" w:rsidP="00BE2FE2">
            <w:pPr>
              <w:jc w:val="right"/>
              <w:rPr>
                <w:color w:val="000000"/>
                <w:sz w:val="20"/>
                <w:szCs w:val="20"/>
              </w:rPr>
            </w:pPr>
            <w:r>
              <w:rPr>
                <w:color w:val="000000"/>
                <w:sz w:val="20"/>
                <w:szCs w:val="20"/>
              </w:rPr>
              <w:t>0.153</w:t>
            </w:r>
          </w:p>
        </w:tc>
        <w:tc>
          <w:tcPr>
            <w:tcW w:w="768" w:type="dxa"/>
            <w:tcBorders>
              <w:top w:val="nil"/>
              <w:left w:val="nil"/>
              <w:bottom w:val="nil"/>
              <w:right w:val="nil"/>
            </w:tcBorders>
            <w:shd w:val="clear" w:color="auto" w:fill="auto"/>
            <w:noWrap/>
            <w:vAlign w:val="bottom"/>
            <w:hideMark/>
          </w:tcPr>
          <w:p w14:paraId="0A65FF9B" w14:textId="55AB384D" w:rsidR="00BE2FE2" w:rsidRDefault="00BE2FE2" w:rsidP="00BE2FE2">
            <w:pPr>
              <w:jc w:val="right"/>
              <w:rPr>
                <w:color w:val="000000"/>
                <w:sz w:val="20"/>
                <w:szCs w:val="20"/>
              </w:rPr>
            </w:pPr>
            <w:r>
              <w:rPr>
                <w:color w:val="000000"/>
                <w:sz w:val="20"/>
                <w:szCs w:val="20"/>
              </w:rPr>
              <w:t>0.216</w:t>
            </w:r>
          </w:p>
        </w:tc>
        <w:tc>
          <w:tcPr>
            <w:tcW w:w="768" w:type="dxa"/>
            <w:tcBorders>
              <w:top w:val="nil"/>
              <w:left w:val="nil"/>
              <w:bottom w:val="nil"/>
              <w:right w:val="nil"/>
            </w:tcBorders>
            <w:shd w:val="clear" w:color="auto" w:fill="auto"/>
            <w:noWrap/>
            <w:vAlign w:val="bottom"/>
            <w:hideMark/>
          </w:tcPr>
          <w:p w14:paraId="060BA2C5" w14:textId="0621E4FF" w:rsidR="00BE2FE2" w:rsidRDefault="00BE2FE2" w:rsidP="00BE2FE2">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77021A8" w14:textId="7D13F204" w:rsidR="00BE2FE2" w:rsidRDefault="00BE2FE2" w:rsidP="00BE2FE2">
            <w:pPr>
              <w:jc w:val="right"/>
              <w:rPr>
                <w:color w:val="000000"/>
                <w:sz w:val="20"/>
                <w:szCs w:val="20"/>
              </w:rPr>
            </w:pPr>
            <w:r>
              <w:rPr>
                <w:color w:val="000000"/>
                <w:sz w:val="20"/>
                <w:szCs w:val="20"/>
              </w:rPr>
              <w:t>-0.099</w:t>
            </w:r>
          </w:p>
        </w:tc>
        <w:tc>
          <w:tcPr>
            <w:tcW w:w="768" w:type="dxa"/>
            <w:tcBorders>
              <w:top w:val="nil"/>
              <w:left w:val="nil"/>
              <w:bottom w:val="nil"/>
              <w:right w:val="nil"/>
            </w:tcBorders>
            <w:shd w:val="clear" w:color="auto" w:fill="auto"/>
            <w:noWrap/>
            <w:vAlign w:val="bottom"/>
            <w:hideMark/>
          </w:tcPr>
          <w:p w14:paraId="73C7E572" w14:textId="6D343766" w:rsidR="00BE2FE2" w:rsidRDefault="00BE2FE2" w:rsidP="00BE2FE2">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56BA4830" w14:textId="7B600E97" w:rsidR="00BE2FE2" w:rsidRDefault="00BE2FE2" w:rsidP="00BE2FE2">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3704A5B" w14:textId="78ADCE8A" w:rsidR="00BE2FE2" w:rsidRDefault="00BE2FE2" w:rsidP="00BE2FE2">
            <w:pPr>
              <w:jc w:val="right"/>
              <w:rPr>
                <w:color w:val="000000"/>
                <w:sz w:val="20"/>
                <w:szCs w:val="20"/>
              </w:rPr>
            </w:pPr>
            <w:r>
              <w:rPr>
                <w:color w:val="000000"/>
                <w:sz w:val="20"/>
                <w:szCs w:val="20"/>
              </w:rPr>
              <w:t>-0.127</w:t>
            </w:r>
          </w:p>
        </w:tc>
        <w:tc>
          <w:tcPr>
            <w:tcW w:w="768" w:type="dxa"/>
            <w:tcBorders>
              <w:top w:val="nil"/>
              <w:left w:val="nil"/>
              <w:bottom w:val="nil"/>
              <w:right w:val="nil"/>
            </w:tcBorders>
            <w:shd w:val="clear" w:color="auto" w:fill="auto"/>
            <w:noWrap/>
            <w:vAlign w:val="bottom"/>
            <w:hideMark/>
          </w:tcPr>
          <w:p w14:paraId="45E154A2" w14:textId="38AB5518" w:rsidR="00BE2FE2" w:rsidRDefault="00BE2FE2" w:rsidP="00BE2FE2">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7078A0F1" w14:textId="4485B234" w:rsidR="00BE2FE2" w:rsidRDefault="00BE2FE2" w:rsidP="00BE2FE2">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EC33270" w14:textId="527A010F" w:rsidR="00BE2FE2" w:rsidRDefault="00BE2FE2" w:rsidP="00BE2FE2">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172DA51" w14:textId="441640EC" w:rsidR="00BE2FE2" w:rsidRDefault="00BE2FE2" w:rsidP="00BE2FE2">
            <w:pPr>
              <w:jc w:val="right"/>
              <w:rPr>
                <w:color w:val="000000"/>
                <w:sz w:val="20"/>
                <w:szCs w:val="20"/>
              </w:rPr>
            </w:pPr>
            <w:r>
              <w:rPr>
                <w:color w:val="000000"/>
                <w:sz w:val="20"/>
                <w:szCs w:val="20"/>
              </w:rPr>
              <w:t>0.861</w:t>
            </w:r>
          </w:p>
        </w:tc>
        <w:tc>
          <w:tcPr>
            <w:tcW w:w="768" w:type="dxa"/>
            <w:tcBorders>
              <w:top w:val="nil"/>
              <w:left w:val="nil"/>
              <w:bottom w:val="nil"/>
              <w:right w:val="nil"/>
            </w:tcBorders>
            <w:shd w:val="clear" w:color="auto" w:fill="auto"/>
            <w:noWrap/>
            <w:vAlign w:val="bottom"/>
            <w:hideMark/>
          </w:tcPr>
          <w:p w14:paraId="2E2E10EC" w14:textId="44F9860D" w:rsidR="00BE2FE2" w:rsidRDefault="00BE2FE2" w:rsidP="00BE2FE2">
            <w:pPr>
              <w:jc w:val="right"/>
              <w:rPr>
                <w:color w:val="000000"/>
                <w:sz w:val="20"/>
                <w:szCs w:val="20"/>
              </w:rPr>
            </w:pPr>
            <w:r>
              <w:rPr>
                <w:color w:val="000000"/>
                <w:sz w:val="20"/>
                <w:szCs w:val="20"/>
              </w:rPr>
              <w:t>0.001</w:t>
            </w:r>
          </w:p>
        </w:tc>
      </w:tr>
      <w:tr w:rsidR="00BE2FE2" w14:paraId="544936D3" w14:textId="77777777" w:rsidTr="006628A7">
        <w:trPr>
          <w:trHeight w:val="320"/>
        </w:trPr>
        <w:tc>
          <w:tcPr>
            <w:tcW w:w="1176" w:type="dxa"/>
            <w:tcBorders>
              <w:top w:val="nil"/>
              <w:left w:val="nil"/>
              <w:bottom w:val="nil"/>
              <w:right w:val="nil"/>
            </w:tcBorders>
            <w:shd w:val="clear" w:color="auto" w:fill="auto"/>
            <w:noWrap/>
            <w:vAlign w:val="bottom"/>
            <w:hideMark/>
          </w:tcPr>
          <w:p w14:paraId="5353630C"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0BA1EB" w14:textId="77777777" w:rsidR="00BE2FE2" w:rsidRDefault="00BE2FE2" w:rsidP="00BE2FE2">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64F970C" w14:textId="7B2CDD49" w:rsidR="00BE2FE2" w:rsidRDefault="00BE2FE2" w:rsidP="00BE2FE2">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6662B007" w14:textId="355F481A" w:rsidR="00BE2FE2" w:rsidRDefault="00BE2FE2" w:rsidP="00BE2FE2">
            <w:pPr>
              <w:jc w:val="right"/>
              <w:rPr>
                <w:color w:val="000000"/>
                <w:sz w:val="20"/>
                <w:szCs w:val="20"/>
              </w:rPr>
            </w:pPr>
            <w:r>
              <w:rPr>
                <w:color w:val="000000"/>
                <w:sz w:val="20"/>
                <w:szCs w:val="20"/>
              </w:rPr>
              <w:t>0.593</w:t>
            </w:r>
          </w:p>
        </w:tc>
        <w:tc>
          <w:tcPr>
            <w:tcW w:w="768" w:type="dxa"/>
            <w:tcBorders>
              <w:top w:val="nil"/>
              <w:left w:val="nil"/>
              <w:bottom w:val="nil"/>
              <w:right w:val="nil"/>
            </w:tcBorders>
            <w:shd w:val="clear" w:color="auto" w:fill="auto"/>
            <w:noWrap/>
            <w:vAlign w:val="bottom"/>
            <w:hideMark/>
          </w:tcPr>
          <w:p w14:paraId="7307E25E" w14:textId="61068C28" w:rsidR="00BE2FE2" w:rsidRDefault="00BE2FE2" w:rsidP="00BE2FE2">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0842A96" w14:textId="3432F5CE" w:rsidR="00BE2FE2" w:rsidRDefault="00BE2FE2" w:rsidP="00BE2FE2">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3962687A" w14:textId="5D3633C7" w:rsidR="00BE2FE2" w:rsidRDefault="00BE2FE2" w:rsidP="00BE2FE2">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0F4EDBB4" w14:textId="107A6394"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4F3186" w14:textId="4B48605A" w:rsidR="00BE2FE2" w:rsidRDefault="00BE2FE2" w:rsidP="00BE2FE2">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C2BD72A" w14:textId="07A871C1" w:rsidR="00BE2FE2" w:rsidRDefault="00BE2FE2" w:rsidP="00BE2FE2">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38EA5F45" w14:textId="560B1D32"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559B08" w14:textId="600D8DB8" w:rsidR="00BE2FE2" w:rsidRDefault="00BE2FE2" w:rsidP="00BE2FE2">
            <w:pPr>
              <w:jc w:val="right"/>
              <w:rPr>
                <w:color w:val="000000"/>
                <w:sz w:val="20"/>
                <w:szCs w:val="20"/>
              </w:rPr>
            </w:pPr>
            <w:r>
              <w:rPr>
                <w:color w:val="000000"/>
                <w:sz w:val="20"/>
                <w:szCs w:val="20"/>
              </w:rPr>
              <w:t>0.129</w:t>
            </w:r>
          </w:p>
        </w:tc>
        <w:tc>
          <w:tcPr>
            <w:tcW w:w="768" w:type="dxa"/>
            <w:tcBorders>
              <w:top w:val="nil"/>
              <w:left w:val="nil"/>
              <w:bottom w:val="nil"/>
              <w:right w:val="nil"/>
            </w:tcBorders>
            <w:shd w:val="clear" w:color="auto" w:fill="auto"/>
            <w:noWrap/>
            <w:vAlign w:val="bottom"/>
            <w:hideMark/>
          </w:tcPr>
          <w:p w14:paraId="792947E3" w14:textId="1983A643" w:rsidR="00BE2FE2" w:rsidRDefault="00BE2FE2" w:rsidP="00BE2FE2">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3FB7C255" w14:textId="6A95897D" w:rsidR="00BE2FE2" w:rsidRDefault="00BE2FE2" w:rsidP="00BE2FE2">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07A6FBE4" w14:textId="76C7468B" w:rsidR="00BE2FE2" w:rsidRDefault="00BE2FE2" w:rsidP="00BE2FE2">
            <w:pPr>
              <w:jc w:val="right"/>
              <w:rPr>
                <w:color w:val="000000"/>
                <w:sz w:val="20"/>
                <w:szCs w:val="20"/>
              </w:rPr>
            </w:pPr>
            <w:r>
              <w:rPr>
                <w:color w:val="000000"/>
                <w:sz w:val="20"/>
                <w:szCs w:val="20"/>
              </w:rPr>
              <w:t>-0.145</w:t>
            </w:r>
          </w:p>
        </w:tc>
        <w:tc>
          <w:tcPr>
            <w:tcW w:w="768" w:type="dxa"/>
            <w:tcBorders>
              <w:top w:val="nil"/>
              <w:left w:val="nil"/>
              <w:bottom w:val="nil"/>
              <w:right w:val="nil"/>
            </w:tcBorders>
            <w:shd w:val="clear" w:color="auto" w:fill="auto"/>
            <w:noWrap/>
            <w:vAlign w:val="bottom"/>
            <w:hideMark/>
          </w:tcPr>
          <w:p w14:paraId="2C1A1878" w14:textId="1413E120" w:rsidR="00BE2FE2" w:rsidRDefault="00BE2FE2" w:rsidP="00BE2FE2">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002987BE" w14:textId="57F32F25" w:rsidR="00BE2FE2" w:rsidRDefault="00BE2FE2" w:rsidP="00BE2FE2">
            <w:pPr>
              <w:jc w:val="right"/>
              <w:rPr>
                <w:color w:val="000000"/>
                <w:sz w:val="20"/>
                <w:szCs w:val="20"/>
              </w:rPr>
            </w:pPr>
            <w:r>
              <w:rPr>
                <w:color w:val="000000"/>
                <w:sz w:val="20"/>
                <w:szCs w:val="20"/>
              </w:rPr>
              <w:t>0.021</w:t>
            </w:r>
          </w:p>
        </w:tc>
      </w:tr>
      <w:tr w:rsidR="00BE2FE2" w14:paraId="7D82C0E5" w14:textId="77777777" w:rsidTr="006628A7">
        <w:trPr>
          <w:trHeight w:val="320"/>
        </w:trPr>
        <w:tc>
          <w:tcPr>
            <w:tcW w:w="1176" w:type="dxa"/>
            <w:tcBorders>
              <w:top w:val="nil"/>
              <w:left w:val="nil"/>
              <w:bottom w:val="nil"/>
              <w:right w:val="nil"/>
            </w:tcBorders>
            <w:shd w:val="clear" w:color="auto" w:fill="auto"/>
            <w:noWrap/>
            <w:vAlign w:val="bottom"/>
            <w:hideMark/>
          </w:tcPr>
          <w:p w14:paraId="17C91C57"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50F5BF" w14:textId="77777777" w:rsidR="00BE2FE2" w:rsidRDefault="00BE2FE2" w:rsidP="00BE2FE2">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1F06672" w14:textId="54479540" w:rsidR="00BE2FE2" w:rsidRDefault="00BE2FE2" w:rsidP="00BE2FE2">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E96F6E3" w14:textId="782C62C6" w:rsidR="00BE2FE2" w:rsidRDefault="00BE2FE2" w:rsidP="00BE2FE2">
            <w:pPr>
              <w:jc w:val="right"/>
              <w:rPr>
                <w:color w:val="000000"/>
                <w:sz w:val="20"/>
                <w:szCs w:val="20"/>
              </w:rPr>
            </w:pPr>
            <w:r>
              <w:rPr>
                <w:color w:val="000000"/>
                <w:sz w:val="20"/>
                <w:szCs w:val="20"/>
              </w:rPr>
              <w:t>0.605</w:t>
            </w:r>
          </w:p>
        </w:tc>
        <w:tc>
          <w:tcPr>
            <w:tcW w:w="768" w:type="dxa"/>
            <w:tcBorders>
              <w:top w:val="nil"/>
              <w:left w:val="nil"/>
              <w:bottom w:val="nil"/>
              <w:right w:val="nil"/>
            </w:tcBorders>
            <w:shd w:val="clear" w:color="auto" w:fill="auto"/>
            <w:noWrap/>
            <w:vAlign w:val="bottom"/>
            <w:hideMark/>
          </w:tcPr>
          <w:p w14:paraId="508A2347" w14:textId="0A3F4FB2"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783933" w14:textId="089FD529" w:rsidR="00BE2FE2" w:rsidRDefault="00BE2FE2" w:rsidP="00BE2FE2">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53754A2" w14:textId="703E069A" w:rsidR="00BE2FE2" w:rsidRDefault="00BE2FE2" w:rsidP="00BE2FE2">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76B6B566" w14:textId="32F6AF37"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59EF22" w14:textId="43CC525F" w:rsidR="00BE2FE2" w:rsidRDefault="00BE2FE2" w:rsidP="00BE2FE2">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4737C68A" w14:textId="3A8D957B" w:rsidR="00BE2FE2" w:rsidRDefault="00BE2FE2" w:rsidP="00BE2FE2">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41C87825" w14:textId="44C0B235"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2B5FF61" w14:textId="12A16079" w:rsidR="00BE2FE2" w:rsidRDefault="00BE2FE2" w:rsidP="00BE2FE2">
            <w:pPr>
              <w:jc w:val="right"/>
              <w:rPr>
                <w:color w:val="000000"/>
                <w:sz w:val="20"/>
                <w:szCs w:val="20"/>
              </w:rPr>
            </w:pPr>
            <w:r>
              <w:rPr>
                <w:color w:val="000000"/>
                <w:sz w:val="20"/>
                <w:szCs w:val="20"/>
              </w:rPr>
              <w:t>0.095</w:t>
            </w:r>
          </w:p>
        </w:tc>
        <w:tc>
          <w:tcPr>
            <w:tcW w:w="768" w:type="dxa"/>
            <w:tcBorders>
              <w:top w:val="nil"/>
              <w:left w:val="nil"/>
              <w:bottom w:val="nil"/>
              <w:right w:val="nil"/>
            </w:tcBorders>
            <w:shd w:val="clear" w:color="auto" w:fill="auto"/>
            <w:noWrap/>
            <w:vAlign w:val="bottom"/>
            <w:hideMark/>
          </w:tcPr>
          <w:p w14:paraId="5B130135" w14:textId="70603404" w:rsidR="00BE2FE2" w:rsidRDefault="00BE2FE2" w:rsidP="00BE2FE2">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03222759" w14:textId="7F666278" w:rsidR="00BE2FE2" w:rsidRDefault="00BE2FE2" w:rsidP="00BE2FE2">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04C33AF" w14:textId="4BB6160F" w:rsidR="00BE2FE2" w:rsidRDefault="00BE2FE2" w:rsidP="00BE2FE2">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16679CD1" w14:textId="777C63AE" w:rsidR="00BE2FE2" w:rsidRDefault="00BE2FE2" w:rsidP="00BE2FE2">
            <w:pPr>
              <w:jc w:val="right"/>
              <w:rPr>
                <w:color w:val="000000"/>
                <w:sz w:val="20"/>
                <w:szCs w:val="20"/>
              </w:rPr>
            </w:pPr>
            <w:r>
              <w:rPr>
                <w:color w:val="000000"/>
                <w:sz w:val="20"/>
                <w:szCs w:val="20"/>
              </w:rPr>
              <w:t>0.496</w:t>
            </w:r>
          </w:p>
        </w:tc>
        <w:tc>
          <w:tcPr>
            <w:tcW w:w="768" w:type="dxa"/>
            <w:tcBorders>
              <w:top w:val="nil"/>
              <w:left w:val="nil"/>
              <w:bottom w:val="nil"/>
              <w:right w:val="nil"/>
            </w:tcBorders>
            <w:shd w:val="clear" w:color="auto" w:fill="auto"/>
            <w:noWrap/>
            <w:vAlign w:val="bottom"/>
            <w:hideMark/>
          </w:tcPr>
          <w:p w14:paraId="1FF7B90C" w14:textId="486E2FD8" w:rsidR="00BE2FE2" w:rsidRDefault="00BE2FE2" w:rsidP="00BE2FE2">
            <w:pPr>
              <w:jc w:val="right"/>
              <w:rPr>
                <w:color w:val="000000"/>
                <w:sz w:val="20"/>
                <w:szCs w:val="20"/>
              </w:rPr>
            </w:pPr>
            <w:r>
              <w:rPr>
                <w:color w:val="000000"/>
                <w:sz w:val="20"/>
                <w:szCs w:val="20"/>
              </w:rPr>
              <w:t>0.018</w:t>
            </w:r>
          </w:p>
        </w:tc>
      </w:tr>
      <w:tr w:rsidR="00BE2FE2" w14:paraId="471D9AF1" w14:textId="77777777" w:rsidTr="006628A7">
        <w:trPr>
          <w:trHeight w:val="320"/>
        </w:trPr>
        <w:tc>
          <w:tcPr>
            <w:tcW w:w="1176" w:type="dxa"/>
            <w:tcBorders>
              <w:top w:val="nil"/>
              <w:left w:val="nil"/>
              <w:bottom w:val="nil"/>
              <w:right w:val="nil"/>
            </w:tcBorders>
            <w:shd w:val="clear" w:color="auto" w:fill="auto"/>
            <w:noWrap/>
            <w:vAlign w:val="bottom"/>
            <w:hideMark/>
          </w:tcPr>
          <w:p w14:paraId="1C2F1298"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E91F5E" w14:textId="77777777" w:rsidR="00BE2FE2" w:rsidRDefault="00BE2FE2" w:rsidP="00BE2FE2">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E65444D" w14:textId="77797979" w:rsidR="00BE2FE2" w:rsidRDefault="00BE2FE2" w:rsidP="00BE2FE2">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5DF9E7B5" w14:textId="584B8FD4" w:rsidR="00BE2FE2" w:rsidRDefault="00BE2FE2" w:rsidP="00BE2FE2">
            <w:pPr>
              <w:jc w:val="right"/>
              <w:rPr>
                <w:color w:val="000000"/>
                <w:sz w:val="20"/>
                <w:szCs w:val="20"/>
              </w:rPr>
            </w:pPr>
            <w:r>
              <w:rPr>
                <w:color w:val="000000"/>
                <w:sz w:val="20"/>
                <w:szCs w:val="20"/>
              </w:rPr>
              <w:t>0.513</w:t>
            </w:r>
          </w:p>
        </w:tc>
        <w:tc>
          <w:tcPr>
            <w:tcW w:w="768" w:type="dxa"/>
            <w:tcBorders>
              <w:top w:val="nil"/>
              <w:left w:val="nil"/>
              <w:bottom w:val="nil"/>
              <w:right w:val="nil"/>
            </w:tcBorders>
            <w:shd w:val="clear" w:color="auto" w:fill="auto"/>
            <w:noWrap/>
            <w:vAlign w:val="bottom"/>
            <w:hideMark/>
          </w:tcPr>
          <w:p w14:paraId="573AEB43" w14:textId="6A918421"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A604162" w14:textId="2D880206" w:rsidR="00BE2FE2" w:rsidRDefault="00BE2FE2" w:rsidP="00BE2FE2">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9B9107D" w14:textId="1CF8CFB8" w:rsidR="00BE2FE2" w:rsidRDefault="00BE2FE2" w:rsidP="00BE2FE2">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3BBA549E" w14:textId="5879605A"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4CF6A1" w14:textId="0FCB35A2" w:rsidR="00BE2FE2" w:rsidRDefault="00BE2FE2" w:rsidP="00BE2FE2">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019E7867" w14:textId="6F1AB71D" w:rsidR="00BE2FE2" w:rsidRDefault="00BE2FE2" w:rsidP="00BE2FE2">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377DA8E9" w14:textId="7DDACD87"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AC5D3E6" w14:textId="2FF23EF3" w:rsidR="00BE2FE2" w:rsidRDefault="00BE2FE2" w:rsidP="00BE2FE2">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425F2161" w14:textId="07617C9B" w:rsidR="00BE2FE2" w:rsidRDefault="00BE2FE2" w:rsidP="00BE2FE2">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569065C5" w14:textId="13ECAC29"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C9D271B" w14:textId="72E37A63" w:rsidR="00BE2FE2" w:rsidRDefault="00BE2FE2" w:rsidP="00BE2FE2">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3F23045" w14:textId="3D2E7E95" w:rsidR="00BE2FE2" w:rsidRDefault="00BE2FE2" w:rsidP="00BE2FE2">
            <w:pPr>
              <w:jc w:val="right"/>
              <w:rPr>
                <w:color w:val="000000"/>
                <w:sz w:val="20"/>
                <w:szCs w:val="20"/>
              </w:rPr>
            </w:pPr>
            <w:r>
              <w:rPr>
                <w:color w:val="000000"/>
                <w:sz w:val="20"/>
                <w:szCs w:val="20"/>
              </w:rPr>
              <w:t>0.925</w:t>
            </w:r>
          </w:p>
        </w:tc>
        <w:tc>
          <w:tcPr>
            <w:tcW w:w="768" w:type="dxa"/>
            <w:tcBorders>
              <w:top w:val="nil"/>
              <w:left w:val="nil"/>
              <w:bottom w:val="nil"/>
              <w:right w:val="nil"/>
            </w:tcBorders>
            <w:shd w:val="clear" w:color="auto" w:fill="auto"/>
            <w:noWrap/>
            <w:vAlign w:val="bottom"/>
            <w:hideMark/>
          </w:tcPr>
          <w:p w14:paraId="6D328B79" w14:textId="0C81F60A" w:rsidR="00BE2FE2" w:rsidRDefault="00BE2FE2" w:rsidP="00BE2FE2">
            <w:pPr>
              <w:jc w:val="right"/>
              <w:rPr>
                <w:color w:val="000000"/>
                <w:sz w:val="20"/>
                <w:szCs w:val="20"/>
              </w:rPr>
            </w:pPr>
            <w:r>
              <w:rPr>
                <w:color w:val="000000"/>
                <w:sz w:val="20"/>
                <w:szCs w:val="20"/>
              </w:rPr>
              <w:t>0.000</w:t>
            </w:r>
          </w:p>
        </w:tc>
      </w:tr>
      <w:tr w:rsidR="00BE2FE2" w14:paraId="596291B2" w14:textId="77777777" w:rsidTr="006628A7">
        <w:trPr>
          <w:trHeight w:val="320"/>
        </w:trPr>
        <w:tc>
          <w:tcPr>
            <w:tcW w:w="1176" w:type="dxa"/>
            <w:tcBorders>
              <w:top w:val="nil"/>
              <w:left w:val="nil"/>
              <w:bottom w:val="nil"/>
              <w:right w:val="nil"/>
            </w:tcBorders>
            <w:shd w:val="clear" w:color="auto" w:fill="auto"/>
            <w:noWrap/>
            <w:vAlign w:val="bottom"/>
            <w:hideMark/>
          </w:tcPr>
          <w:p w14:paraId="55CDDE4D"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D60624" w14:textId="77777777" w:rsidR="00BE2FE2" w:rsidRDefault="00BE2FE2" w:rsidP="00BE2FE2">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EB66893" w14:textId="596B113B" w:rsidR="00BE2FE2" w:rsidRDefault="00BE2FE2" w:rsidP="00BE2FE2">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6D68C8C" w14:textId="1BA7E069" w:rsidR="00BE2FE2" w:rsidRDefault="00BE2FE2" w:rsidP="00BE2FE2">
            <w:pPr>
              <w:jc w:val="right"/>
              <w:rPr>
                <w:color w:val="000000"/>
                <w:sz w:val="20"/>
                <w:szCs w:val="20"/>
              </w:rPr>
            </w:pPr>
            <w:r>
              <w:rPr>
                <w:color w:val="000000"/>
                <w:sz w:val="20"/>
                <w:szCs w:val="20"/>
              </w:rPr>
              <w:t>0.513</w:t>
            </w:r>
          </w:p>
        </w:tc>
        <w:tc>
          <w:tcPr>
            <w:tcW w:w="768" w:type="dxa"/>
            <w:tcBorders>
              <w:top w:val="nil"/>
              <w:left w:val="nil"/>
              <w:bottom w:val="nil"/>
              <w:right w:val="nil"/>
            </w:tcBorders>
            <w:shd w:val="clear" w:color="auto" w:fill="auto"/>
            <w:noWrap/>
            <w:vAlign w:val="bottom"/>
            <w:hideMark/>
          </w:tcPr>
          <w:p w14:paraId="6FDA92B9" w14:textId="78C22326"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F3BC86E" w14:textId="76FB9551" w:rsidR="00BE2FE2" w:rsidRDefault="00BE2FE2" w:rsidP="00BE2FE2">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384FC4E" w14:textId="01F9068D" w:rsidR="00BE2FE2" w:rsidRDefault="00BE2FE2" w:rsidP="00BE2FE2">
            <w:pPr>
              <w:jc w:val="right"/>
              <w:rPr>
                <w:color w:val="000000"/>
                <w:sz w:val="20"/>
                <w:szCs w:val="20"/>
              </w:rPr>
            </w:pPr>
            <w:r>
              <w:rPr>
                <w:color w:val="000000"/>
                <w:sz w:val="20"/>
                <w:szCs w:val="20"/>
              </w:rPr>
              <w:t>0.811</w:t>
            </w:r>
          </w:p>
        </w:tc>
        <w:tc>
          <w:tcPr>
            <w:tcW w:w="768" w:type="dxa"/>
            <w:tcBorders>
              <w:top w:val="nil"/>
              <w:left w:val="nil"/>
              <w:bottom w:val="nil"/>
              <w:right w:val="nil"/>
            </w:tcBorders>
            <w:shd w:val="clear" w:color="auto" w:fill="auto"/>
            <w:noWrap/>
            <w:vAlign w:val="bottom"/>
            <w:hideMark/>
          </w:tcPr>
          <w:p w14:paraId="3FCFF5BB" w14:textId="5DA66A23"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12E605" w14:textId="1D1B69A3" w:rsidR="00BE2FE2" w:rsidRDefault="00BE2FE2" w:rsidP="00BE2FE2">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780F148C" w14:textId="68C4A517" w:rsidR="00BE2FE2" w:rsidRDefault="00BE2FE2" w:rsidP="00BE2FE2">
            <w:pPr>
              <w:jc w:val="right"/>
              <w:rPr>
                <w:color w:val="000000"/>
                <w:sz w:val="20"/>
                <w:szCs w:val="20"/>
              </w:rPr>
            </w:pPr>
            <w:r>
              <w:rPr>
                <w:color w:val="000000"/>
                <w:sz w:val="20"/>
                <w:szCs w:val="20"/>
              </w:rPr>
              <w:t>0.615</w:t>
            </w:r>
          </w:p>
        </w:tc>
        <w:tc>
          <w:tcPr>
            <w:tcW w:w="768" w:type="dxa"/>
            <w:tcBorders>
              <w:top w:val="nil"/>
              <w:left w:val="nil"/>
              <w:bottom w:val="nil"/>
              <w:right w:val="nil"/>
            </w:tcBorders>
            <w:shd w:val="clear" w:color="auto" w:fill="auto"/>
            <w:noWrap/>
            <w:vAlign w:val="bottom"/>
            <w:hideMark/>
          </w:tcPr>
          <w:p w14:paraId="75942AAE" w14:textId="6AE54623"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0363DBC" w14:textId="12044D24" w:rsidR="00BE2FE2" w:rsidRDefault="00BE2FE2" w:rsidP="00BE2FE2">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4BEB3E1F" w14:textId="64871161" w:rsidR="00BE2FE2" w:rsidRDefault="00BE2FE2" w:rsidP="00BE2FE2">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1ABB0986" w14:textId="5A9B91EF" w:rsidR="00BE2FE2" w:rsidRDefault="00BE2FE2" w:rsidP="00BE2FE2">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469207D" w14:textId="654A0382" w:rsidR="00BE2FE2" w:rsidRDefault="00BE2FE2" w:rsidP="00BE2FE2">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01027D7" w14:textId="306858AB" w:rsidR="00BE2FE2" w:rsidRDefault="00BE2FE2" w:rsidP="00BE2FE2">
            <w:pPr>
              <w:jc w:val="right"/>
              <w:rPr>
                <w:color w:val="000000"/>
                <w:sz w:val="20"/>
                <w:szCs w:val="20"/>
              </w:rPr>
            </w:pPr>
            <w:r>
              <w:rPr>
                <w:color w:val="000000"/>
                <w:sz w:val="20"/>
                <w:szCs w:val="20"/>
              </w:rPr>
              <w:t>0.861</w:t>
            </w:r>
          </w:p>
        </w:tc>
        <w:tc>
          <w:tcPr>
            <w:tcW w:w="768" w:type="dxa"/>
            <w:tcBorders>
              <w:top w:val="nil"/>
              <w:left w:val="nil"/>
              <w:bottom w:val="nil"/>
              <w:right w:val="nil"/>
            </w:tcBorders>
            <w:shd w:val="clear" w:color="auto" w:fill="auto"/>
            <w:noWrap/>
            <w:vAlign w:val="bottom"/>
            <w:hideMark/>
          </w:tcPr>
          <w:p w14:paraId="26D52113" w14:textId="60268620" w:rsidR="00BE2FE2" w:rsidRDefault="00BE2FE2" w:rsidP="00BE2FE2">
            <w:pPr>
              <w:jc w:val="right"/>
              <w:rPr>
                <w:color w:val="000000"/>
                <w:sz w:val="20"/>
                <w:szCs w:val="20"/>
              </w:rPr>
            </w:pPr>
            <w:r>
              <w:rPr>
                <w:color w:val="000000"/>
                <w:sz w:val="20"/>
                <w:szCs w:val="20"/>
              </w:rPr>
              <w:t>0.002</w:t>
            </w:r>
          </w:p>
        </w:tc>
      </w:tr>
      <w:tr w:rsidR="00BE2FE2" w14:paraId="1FD1D53F" w14:textId="77777777" w:rsidTr="006628A7">
        <w:trPr>
          <w:trHeight w:val="320"/>
        </w:trPr>
        <w:tc>
          <w:tcPr>
            <w:tcW w:w="1176" w:type="dxa"/>
            <w:tcBorders>
              <w:top w:val="nil"/>
              <w:left w:val="nil"/>
              <w:bottom w:val="single" w:sz="4" w:space="0" w:color="auto"/>
              <w:right w:val="nil"/>
            </w:tcBorders>
            <w:shd w:val="clear" w:color="auto" w:fill="auto"/>
            <w:noWrap/>
            <w:vAlign w:val="bottom"/>
            <w:hideMark/>
          </w:tcPr>
          <w:p w14:paraId="357C318E" w14:textId="77777777" w:rsidR="00BE2FE2" w:rsidRDefault="00BE2FE2" w:rsidP="00BE2FE2">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885F0E5" w14:textId="77777777" w:rsidR="00BE2FE2" w:rsidRDefault="00BE2FE2" w:rsidP="00BE2FE2">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5777900" w14:textId="7A4F3596" w:rsidR="00BE2FE2" w:rsidRDefault="00BE2FE2" w:rsidP="00BE2FE2">
            <w:pPr>
              <w:jc w:val="right"/>
              <w:rPr>
                <w:color w:val="000000"/>
                <w:sz w:val="20"/>
                <w:szCs w:val="20"/>
              </w:rPr>
            </w:pPr>
            <w:r>
              <w:rPr>
                <w:color w:val="000000"/>
                <w:sz w:val="20"/>
                <w:szCs w:val="20"/>
              </w:rPr>
              <w:t>0.066</w:t>
            </w:r>
          </w:p>
        </w:tc>
        <w:tc>
          <w:tcPr>
            <w:tcW w:w="768" w:type="dxa"/>
            <w:tcBorders>
              <w:top w:val="nil"/>
              <w:left w:val="nil"/>
              <w:bottom w:val="single" w:sz="4" w:space="0" w:color="auto"/>
              <w:right w:val="nil"/>
            </w:tcBorders>
            <w:shd w:val="clear" w:color="auto" w:fill="auto"/>
            <w:noWrap/>
            <w:vAlign w:val="bottom"/>
            <w:hideMark/>
          </w:tcPr>
          <w:p w14:paraId="1369DFED" w14:textId="4747BB1F" w:rsidR="00BE2FE2" w:rsidRDefault="00BE2FE2" w:rsidP="00BE2FE2">
            <w:pPr>
              <w:jc w:val="right"/>
              <w:rPr>
                <w:color w:val="000000"/>
                <w:sz w:val="20"/>
                <w:szCs w:val="20"/>
              </w:rPr>
            </w:pPr>
            <w:r>
              <w:rPr>
                <w:color w:val="000000"/>
                <w:sz w:val="20"/>
                <w:szCs w:val="20"/>
              </w:rPr>
              <w:t>0.513</w:t>
            </w:r>
          </w:p>
        </w:tc>
        <w:tc>
          <w:tcPr>
            <w:tcW w:w="768" w:type="dxa"/>
            <w:tcBorders>
              <w:top w:val="nil"/>
              <w:left w:val="nil"/>
              <w:bottom w:val="single" w:sz="4" w:space="0" w:color="auto"/>
              <w:right w:val="nil"/>
            </w:tcBorders>
            <w:shd w:val="clear" w:color="auto" w:fill="auto"/>
            <w:noWrap/>
            <w:vAlign w:val="bottom"/>
            <w:hideMark/>
          </w:tcPr>
          <w:p w14:paraId="5FC0424A" w14:textId="781A2A79"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6DBBFDC0" w14:textId="0460943C" w:rsidR="00BE2FE2" w:rsidRDefault="00BE2FE2" w:rsidP="00BE2FE2">
            <w:pPr>
              <w:jc w:val="right"/>
              <w:rPr>
                <w:b/>
                <w:bCs/>
                <w:color w:val="000000"/>
                <w:sz w:val="20"/>
                <w:szCs w:val="20"/>
              </w:rPr>
            </w:pPr>
            <w:r>
              <w:rPr>
                <w:b/>
                <w:bCs/>
                <w:color w:val="000000"/>
                <w:sz w:val="20"/>
                <w:szCs w:val="20"/>
              </w:rPr>
              <w:t>0.202</w:t>
            </w:r>
          </w:p>
        </w:tc>
        <w:tc>
          <w:tcPr>
            <w:tcW w:w="768" w:type="dxa"/>
            <w:tcBorders>
              <w:top w:val="nil"/>
              <w:left w:val="nil"/>
              <w:bottom w:val="single" w:sz="4" w:space="0" w:color="auto"/>
              <w:right w:val="nil"/>
            </w:tcBorders>
            <w:shd w:val="clear" w:color="auto" w:fill="auto"/>
            <w:noWrap/>
            <w:vAlign w:val="bottom"/>
            <w:hideMark/>
          </w:tcPr>
          <w:p w14:paraId="6002AC07" w14:textId="52627B18" w:rsidR="00BE2FE2" w:rsidRDefault="00BE2FE2" w:rsidP="00BE2FE2">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18E7D5B" w14:textId="0AD894BC" w:rsidR="00BE2FE2" w:rsidRDefault="00BE2FE2" w:rsidP="00BE2FE2">
            <w:pPr>
              <w:jc w:val="right"/>
              <w:rPr>
                <w:color w:val="000000"/>
                <w:sz w:val="20"/>
                <w:szCs w:val="20"/>
              </w:rPr>
            </w:pPr>
            <w:r>
              <w:rPr>
                <w:b/>
                <w:bCs/>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326BECB8" w14:textId="61EEB7C3" w:rsidR="00BE2FE2" w:rsidRDefault="00BE2FE2" w:rsidP="00BE2FE2">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71650E75" w14:textId="62D4FBAF" w:rsidR="00BE2FE2" w:rsidRDefault="00BE2FE2" w:rsidP="00BE2FE2">
            <w:pPr>
              <w:jc w:val="right"/>
              <w:rPr>
                <w:color w:val="000000"/>
                <w:sz w:val="20"/>
                <w:szCs w:val="20"/>
              </w:rPr>
            </w:pPr>
            <w:r>
              <w:rPr>
                <w:color w:val="000000"/>
                <w:sz w:val="20"/>
                <w:szCs w:val="20"/>
              </w:rPr>
              <w:t>0.615</w:t>
            </w:r>
          </w:p>
        </w:tc>
        <w:tc>
          <w:tcPr>
            <w:tcW w:w="768" w:type="dxa"/>
            <w:tcBorders>
              <w:top w:val="nil"/>
              <w:left w:val="nil"/>
              <w:bottom w:val="single" w:sz="4" w:space="0" w:color="auto"/>
              <w:right w:val="nil"/>
            </w:tcBorders>
            <w:shd w:val="clear" w:color="auto" w:fill="auto"/>
            <w:noWrap/>
            <w:vAlign w:val="bottom"/>
            <w:hideMark/>
          </w:tcPr>
          <w:p w14:paraId="4CE88082" w14:textId="61974372"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E96EB8C" w14:textId="30155880"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ED7180D" w14:textId="61BB1160" w:rsidR="00BE2FE2" w:rsidRDefault="00BE2FE2" w:rsidP="00BE2FE2">
            <w:pPr>
              <w:jc w:val="right"/>
              <w:rPr>
                <w:color w:val="000000"/>
                <w:sz w:val="20"/>
                <w:szCs w:val="20"/>
              </w:rPr>
            </w:pPr>
            <w:r>
              <w:rPr>
                <w:color w:val="000000"/>
                <w:sz w:val="20"/>
                <w:szCs w:val="20"/>
              </w:rPr>
              <w:t>0.964</w:t>
            </w:r>
          </w:p>
        </w:tc>
        <w:tc>
          <w:tcPr>
            <w:tcW w:w="768" w:type="dxa"/>
            <w:tcBorders>
              <w:top w:val="nil"/>
              <w:left w:val="nil"/>
              <w:bottom w:val="single" w:sz="4" w:space="0" w:color="auto"/>
              <w:right w:val="nil"/>
            </w:tcBorders>
            <w:shd w:val="clear" w:color="auto" w:fill="auto"/>
            <w:noWrap/>
            <w:vAlign w:val="bottom"/>
            <w:hideMark/>
          </w:tcPr>
          <w:p w14:paraId="2CC27B6C" w14:textId="05626328"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C05A9C3" w14:textId="7189442C" w:rsidR="00BE2FE2" w:rsidRDefault="00BE2FE2" w:rsidP="00BE2FE2">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404E7B47" w14:textId="0FA03780" w:rsidR="00BE2FE2" w:rsidRDefault="00BE2FE2" w:rsidP="00BE2FE2">
            <w:pPr>
              <w:jc w:val="right"/>
              <w:rPr>
                <w:color w:val="000000"/>
                <w:sz w:val="20"/>
                <w:szCs w:val="20"/>
              </w:rPr>
            </w:pPr>
            <w:r>
              <w:rPr>
                <w:color w:val="000000"/>
                <w:sz w:val="20"/>
                <w:szCs w:val="20"/>
              </w:rPr>
              <w:t>0.861</w:t>
            </w:r>
          </w:p>
        </w:tc>
        <w:tc>
          <w:tcPr>
            <w:tcW w:w="768" w:type="dxa"/>
            <w:tcBorders>
              <w:top w:val="nil"/>
              <w:left w:val="nil"/>
              <w:bottom w:val="single" w:sz="4" w:space="0" w:color="auto"/>
              <w:right w:val="nil"/>
            </w:tcBorders>
            <w:shd w:val="clear" w:color="auto" w:fill="auto"/>
            <w:noWrap/>
            <w:vAlign w:val="bottom"/>
            <w:hideMark/>
          </w:tcPr>
          <w:p w14:paraId="1DDC19AD" w14:textId="49ACBC4F" w:rsidR="00BE2FE2" w:rsidRDefault="00BE2FE2" w:rsidP="00BE2FE2">
            <w:pPr>
              <w:jc w:val="right"/>
              <w:rPr>
                <w:color w:val="000000"/>
                <w:sz w:val="20"/>
                <w:szCs w:val="20"/>
              </w:rPr>
            </w:pPr>
            <w:r>
              <w:rPr>
                <w:color w:val="000000"/>
                <w:sz w:val="20"/>
                <w:szCs w:val="20"/>
              </w:rPr>
              <w:t>0.000</w:t>
            </w:r>
          </w:p>
        </w:tc>
      </w:tr>
      <w:tr w:rsidR="00BE2FE2" w14:paraId="05848175" w14:textId="77777777" w:rsidTr="006628A7">
        <w:trPr>
          <w:trHeight w:val="320"/>
        </w:trPr>
        <w:tc>
          <w:tcPr>
            <w:tcW w:w="1176" w:type="dxa"/>
            <w:tcBorders>
              <w:top w:val="nil"/>
              <w:left w:val="nil"/>
              <w:bottom w:val="nil"/>
              <w:right w:val="nil"/>
            </w:tcBorders>
            <w:shd w:val="clear" w:color="auto" w:fill="auto"/>
            <w:noWrap/>
            <w:vAlign w:val="bottom"/>
            <w:hideMark/>
          </w:tcPr>
          <w:p w14:paraId="4FEE8BBB" w14:textId="77777777" w:rsidR="00BE2FE2" w:rsidRDefault="00BE2FE2" w:rsidP="00BE2FE2">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0D736778" w14:textId="77777777" w:rsidR="00BE2FE2" w:rsidRDefault="00BE2FE2" w:rsidP="00BE2FE2">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F55149A" w14:textId="40127267" w:rsidR="00BE2FE2" w:rsidRDefault="00BE2FE2" w:rsidP="00BE2FE2">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1E041FA7" w14:textId="1EC816F6" w:rsidR="00BE2FE2" w:rsidRDefault="00BE2FE2" w:rsidP="00BE2FE2">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1F3F1CFE" w14:textId="2558C0F8" w:rsidR="00BE2FE2" w:rsidRDefault="00BE2FE2" w:rsidP="00BE2FE2">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347EF26" w14:textId="7F7C0DAB" w:rsidR="00BE2FE2" w:rsidRDefault="00BE2FE2" w:rsidP="00BE2FE2">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9AE6B76" w14:textId="136AE7B7" w:rsidR="00BE2FE2" w:rsidRDefault="00BE2FE2" w:rsidP="00BE2FE2">
            <w:pPr>
              <w:jc w:val="right"/>
              <w:rPr>
                <w:color w:val="000000"/>
                <w:sz w:val="20"/>
                <w:szCs w:val="20"/>
              </w:rPr>
            </w:pPr>
            <w:r>
              <w:rPr>
                <w:color w:val="000000"/>
                <w:sz w:val="20"/>
                <w:szCs w:val="20"/>
              </w:rPr>
              <w:t>0.253</w:t>
            </w:r>
          </w:p>
        </w:tc>
        <w:tc>
          <w:tcPr>
            <w:tcW w:w="768" w:type="dxa"/>
            <w:tcBorders>
              <w:top w:val="nil"/>
              <w:left w:val="nil"/>
              <w:bottom w:val="nil"/>
              <w:right w:val="nil"/>
            </w:tcBorders>
            <w:shd w:val="clear" w:color="auto" w:fill="auto"/>
            <w:noWrap/>
            <w:vAlign w:val="bottom"/>
            <w:hideMark/>
          </w:tcPr>
          <w:p w14:paraId="035D3B81" w14:textId="729F81C0"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AC068BB" w14:textId="2AA57887" w:rsidR="00BE2FE2" w:rsidRDefault="00BE2FE2" w:rsidP="00BE2FE2">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27E8F7F" w14:textId="0ABFC205" w:rsidR="00BE2FE2" w:rsidRDefault="00BE2FE2" w:rsidP="00BE2FE2">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3C53D281" w14:textId="31824924"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BF70C2" w14:textId="28E20653" w:rsidR="00BE2FE2" w:rsidRDefault="00BE2FE2" w:rsidP="00BE2FE2">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2955B0C6" w14:textId="24E6AAEA" w:rsidR="00BE2FE2" w:rsidRDefault="00BE2FE2" w:rsidP="00BE2FE2">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576B5DCA" w14:textId="309344AB"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CFA019F" w14:textId="42FF55B1" w:rsidR="00BE2FE2" w:rsidRDefault="00BE2FE2" w:rsidP="00BE2FE2">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E1D188A" w14:textId="5753B9D4" w:rsidR="00BE2FE2" w:rsidRDefault="00BE2FE2" w:rsidP="00BE2FE2">
            <w:pPr>
              <w:jc w:val="right"/>
              <w:rPr>
                <w:color w:val="000000"/>
                <w:sz w:val="20"/>
                <w:szCs w:val="20"/>
              </w:rPr>
            </w:pPr>
            <w:r>
              <w:rPr>
                <w:color w:val="000000"/>
                <w:sz w:val="20"/>
                <w:szCs w:val="20"/>
              </w:rPr>
              <w:t>0.925</w:t>
            </w:r>
          </w:p>
        </w:tc>
        <w:tc>
          <w:tcPr>
            <w:tcW w:w="768" w:type="dxa"/>
            <w:tcBorders>
              <w:top w:val="nil"/>
              <w:left w:val="nil"/>
              <w:bottom w:val="nil"/>
              <w:right w:val="nil"/>
            </w:tcBorders>
            <w:shd w:val="clear" w:color="auto" w:fill="auto"/>
            <w:noWrap/>
            <w:vAlign w:val="bottom"/>
            <w:hideMark/>
          </w:tcPr>
          <w:p w14:paraId="2D432F90" w14:textId="015EE7C7" w:rsidR="00BE2FE2" w:rsidRDefault="00BE2FE2" w:rsidP="00BE2FE2">
            <w:pPr>
              <w:jc w:val="right"/>
              <w:rPr>
                <w:color w:val="000000"/>
                <w:sz w:val="20"/>
                <w:szCs w:val="20"/>
              </w:rPr>
            </w:pPr>
            <w:r>
              <w:rPr>
                <w:color w:val="000000"/>
                <w:sz w:val="20"/>
                <w:szCs w:val="20"/>
              </w:rPr>
              <w:t>0.001</w:t>
            </w:r>
          </w:p>
        </w:tc>
      </w:tr>
      <w:tr w:rsidR="00BE2FE2" w14:paraId="7B964244" w14:textId="77777777" w:rsidTr="006628A7">
        <w:trPr>
          <w:trHeight w:val="320"/>
        </w:trPr>
        <w:tc>
          <w:tcPr>
            <w:tcW w:w="1176" w:type="dxa"/>
            <w:tcBorders>
              <w:top w:val="nil"/>
              <w:left w:val="nil"/>
              <w:bottom w:val="nil"/>
              <w:right w:val="nil"/>
            </w:tcBorders>
            <w:shd w:val="clear" w:color="auto" w:fill="auto"/>
            <w:noWrap/>
            <w:vAlign w:val="bottom"/>
            <w:hideMark/>
          </w:tcPr>
          <w:p w14:paraId="47670653"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66A670E" w14:textId="77777777" w:rsidR="00BE2FE2" w:rsidRDefault="00BE2FE2" w:rsidP="00BE2FE2">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B007A2C" w14:textId="461B6ABB" w:rsidR="00BE2FE2" w:rsidRDefault="00BE2FE2" w:rsidP="00BE2FE2">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C5BCE03" w14:textId="69FB1E15" w:rsidR="00BE2FE2" w:rsidRDefault="00BE2FE2" w:rsidP="00BE2FE2">
            <w:pPr>
              <w:jc w:val="right"/>
              <w:rPr>
                <w:color w:val="000000"/>
                <w:sz w:val="20"/>
                <w:szCs w:val="20"/>
              </w:rPr>
            </w:pPr>
            <w:r>
              <w:rPr>
                <w:color w:val="000000"/>
                <w:sz w:val="20"/>
                <w:szCs w:val="20"/>
              </w:rPr>
              <w:t>0.887</w:t>
            </w:r>
          </w:p>
        </w:tc>
        <w:tc>
          <w:tcPr>
            <w:tcW w:w="768" w:type="dxa"/>
            <w:tcBorders>
              <w:top w:val="nil"/>
              <w:left w:val="nil"/>
              <w:bottom w:val="nil"/>
              <w:right w:val="nil"/>
            </w:tcBorders>
            <w:shd w:val="clear" w:color="auto" w:fill="auto"/>
            <w:noWrap/>
            <w:vAlign w:val="bottom"/>
            <w:hideMark/>
          </w:tcPr>
          <w:p w14:paraId="18FB35BD" w14:textId="5026DB17"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4955D2" w14:textId="5D25AE18" w:rsidR="00BE2FE2" w:rsidRDefault="00BE2FE2" w:rsidP="00BE2FE2">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306E420A" w14:textId="2AE49BA7" w:rsidR="00BE2FE2" w:rsidRDefault="00BE2FE2" w:rsidP="00BE2FE2">
            <w:pPr>
              <w:jc w:val="right"/>
              <w:rPr>
                <w:color w:val="000000"/>
                <w:sz w:val="20"/>
                <w:szCs w:val="20"/>
              </w:rPr>
            </w:pPr>
            <w:r>
              <w:rPr>
                <w:color w:val="000000"/>
                <w:sz w:val="20"/>
                <w:szCs w:val="20"/>
              </w:rPr>
              <w:t>0.253</w:t>
            </w:r>
          </w:p>
        </w:tc>
        <w:tc>
          <w:tcPr>
            <w:tcW w:w="768" w:type="dxa"/>
            <w:tcBorders>
              <w:top w:val="nil"/>
              <w:left w:val="nil"/>
              <w:bottom w:val="nil"/>
              <w:right w:val="nil"/>
            </w:tcBorders>
            <w:shd w:val="clear" w:color="auto" w:fill="auto"/>
            <w:noWrap/>
            <w:vAlign w:val="bottom"/>
            <w:hideMark/>
          </w:tcPr>
          <w:p w14:paraId="10E85114" w14:textId="2CFBC356" w:rsidR="00BE2FE2" w:rsidRDefault="00BE2FE2" w:rsidP="00BE2FE2">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B7B1EC5" w14:textId="6FC7E194" w:rsidR="00BE2FE2" w:rsidRDefault="00BE2FE2" w:rsidP="00BE2FE2">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7D582F60" w14:textId="6277CC11" w:rsidR="00BE2FE2" w:rsidRDefault="00BE2FE2" w:rsidP="00BE2FE2">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3B1E5E7A" w14:textId="2E608608"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1B37AE" w14:textId="2A44B443" w:rsidR="00BE2FE2" w:rsidRDefault="00BE2FE2" w:rsidP="00BE2FE2">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0A33BB06" w14:textId="08E76E5E" w:rsidR="00BE2FE2" w:rsidRDefault="00BE2FE2" w:rsidP="00BE2FE2">
            <w:pPr>
              <w:jc w:val="right"/>
              <w:rPr>
                <w:color w:val="000000"/>
                <w:sz w:val="20"/>
                <w:szCs w:val="20"/>
              </w:rPr>
            </w:pPr>
            <w:r>
              <w:rPr>
                <w:color w:val="000000"/>
                <w:sz w:val="20"/>
                <w:szCs w:val="20"/>
              </w:rPr>
              <w:t>0.459</w:t>
            </w:r>
          </w:p>
        </w:tc>
        <w:tc>
          <w:tcPr>
            <w:tcW w:w="768" w:type="dxa"/>
            <w:tcBorders>
              <w:top w:val="nil"/>
              <w:left w:val="nil"/>
              <w:bottom w:val="nil"/>
              <w:right w:val="nil"/>
            </w:tcBorders>
            <w:shd w:val="clear" w:color="auto" w:fill="auto"/>
            <w:noWrap/>
            <w:vAlign w:val="bottom"/>
            <w:hideMark/>
          </w:tcPr>
          <w:p w14:paraId="7D9A7A1E" w14:textId="58B85945"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A4BBFCB" w14:textId="1125994E" w:rsidR="00BE2FE2" w:rsidRDefault="00BE2FE2" w:rsidP="00BE2FE2">
            <w:pPr>
              <w:jc w:val="right"/>
              <w:rPr>
                <w:color w:val="000000"/>
                <w:sz w:val="20"/>
                <w:szCs w:val="20"/>
              </w:rPr>
            </w:pPr>
            <w:r>
              <w:rPr>
                <w:color w:val="000000"/>
                <w:sz w:val="20"/>
                <w:szCs w:val="20"/>
              </w:rPr>
              <w:t>-0.103</w:t>
            </w:r>
          </w:p>
        </w:tc>
        <w:tc>
          <w:tcPr>
            <w:tcW w:w="768" w:type="dxa"/>
            <w:tcBorders>
              <w:top w:val="nil"/>
              <w:left w:val="nil"/>
              <w:bottom w:val="nil"/>
              <w:right w:val="nil"/>
            </w:tcBorders>
            <w:shd w:val="clear" w:color="auto" w:fill="auto"/>
            <w:noWrap/>
            <w:vAlign w:val="bottom"/>
            <w:hideMark/>
          </w:tcPr>
          <w:p w14:paraId="3709A1FE" w14:textId="7198B0B5" w:rsidR="00BE2FE2" w:rsidRDefault="00BE2FE2" w:rsidP="00BE2FE2">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07985F8C" w14:textId="23C18EC3" w:rsidR="00BE2FE2" w:rsidRDefault="00BE2FE2" w:rsidP="00BE2FE2">
            <w:pPr>
              <w:jc w:val="right"/>
              <w:rPr>
                <w:color w:val="000000"/>
                <w:sz w:val="20"/>
                <w:szCs w:val="20"/>
              </w:rPr>
            </w:pPr>
            <w:r>
              <w:rPr>
                <w:color w:val="000000"/>
                <w:sz w:val="20"/>
                <w:szCs w:val="20"/>
              </w:rPr>
              <w:t>0.011</w:t>
            </w:r>
          </w:p>
        </w:tc>
      </w:tr>
      <w:tr w:rsidR="00BE2FE2" w14:paraId="74211FF7" w14:textId="77777777" w:rsidTr="006628A7">
        <w:trPr>
          <w:trHeight w:val="320"/>
        </w:trPr>
        <w:tc>
          <w:tcPr>
            <w:tcW w:w="1176" w:type="dxa"/>
            <w:tcBorders>
              <w:top w:val="nil"/>
              <w:left w:val="nil"/>
              <w:bottom w:val="nil"/>
              <w:right w:val="nil"/>
            </w:tcBorders>
            <w:shd w:val="clear" w:color="auto" w:fill="auto"/>
            <w:noWrap/>
            <w:vAlign w:val="bottom"/>
            <w:hideMark/>
          </w:tcPr>
          <w:p w14:paraId="4E7924B0"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8142B1" w14:textId="77777777" w:rsidR="00BE2FE2" w:rsidRDefault="00BE2FE2" w:rsidP="00BE2FE2">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1E8301B" w14:textId="1F94334B" w:rsidR="00BE2FE2" w:rsidRDefault="00BE2FE2" w:rsidP="00BE2FE2">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338A514E" w14:textId="479F6AC7" w:rsidR="00BE2FE2" w:rsidRDefault="00BE2FE2" w:rsidP="00BE2FE2">
            <w:pPr>
              <w:jc w:val="right"/>
              <w:rPr>
                <w:color w:val="000000"/>
                <w:sz w:val="20"/>
                <w:szCs w:val="20"/>
              </w:rPr>
            </w:pPr>
            <w:r>
              <w:rPr>
                <w:color w:val="000000"/>
                <w:sz w:val="20"/>
                <w:szCs w:val="20"/>
              </w:rPr>
              <w:t>0.748</w:t>
            </w:r>
          </w:p>
        </w:tc>
        <w:tc>
          <w:tcPr>
            <w:tcW w:w="768" w:type="dxa"/>
            <w:tcBorders>
              <w:top w:val="nil"/>
              <w:left w:val="nil"/>
              <w:bottom w:val="nil"/>
              <w:right w:val="nil"/>
            </w:tcBorders>
            <w:shd w:val="clear" w:color="auto" w:fill="auto"/>
            <w:noWrap/>
            <w:vAlign w:val="bottom"/>
            <w:hideMark/>
          </w:tcPr>
          <w:p w14:paraId="5C5DDA7A" w14:textId="51EE46E0"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7935C8E" w14:textId="5A821784" w:rsidR="00BE2FE2" w:rsidRDefault="00BE2FE2" w:rsidP="00BE2FE2">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0B526C16" w14:textId="14E7C871" w:rsidR="00BE2FE2" w:rsidRDefault="00BE2FE2" w:rsidP="00BE2FE2">
            <w:pPr>
              <w:jc w:val="right"/>
              <w:rPr>
                <w:color w:val="000000"/>
                <w:sz w:val="20"/>
                <w:szCs w:val="20"/>
              </w:rPr>
            </w:pPr>
            <w:r>
              <w:rPr>
                <w:color w:val="000000"/>
                <w:sz w:val="20"/>
                <w:szCs w:val="20"/>
              </w:rPr>
              <w:t>0.253</w:t>
            </w:r>
          </w:p>
        </w:tc>
        <w:tc>
          <w:tcPr>
            <w:tcW w:w="768" w:type="dxa"/>
            <w:tcBorders>
              <w:top w:val="nil"/>
              <w:left w:val="nil"/>
              <w:bottom w:val="nil"/>
              <w:right w:val="nil"/>
            </w:tcBorders>
            <w:shd w:val="clear" w:color="auto" w:fill="auto"/>
            <w:noWrap/>
            <w:vAlign w:val="bottom"/>
            <w:hideMark/>
          </w:tcPr>
          <w:p w14:paraId="740939D1" w14:textId="1F01A746" w:rsidR="00BE2FE2" w:rsidRDefault="00BE2FE2" w:rsidP="00BE2FE2">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0FBFF1D" w14:textId="0E9DB615" w:rsidR="00BE2FE2" w:rsidRDefault="00BE2FE2" w:rsidP="00BE2FE2">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7E76BC7F" w14:textId="00E0CE74" w:rsidR="00BE2FE2" w:rsidRDefault="00BE2FE2" w:rsidP="00BE2FE2">
            <w:pPr>
              <w:jc w:val="right"/>
              <w:rPr>
                <w:color w:val="000000"/>
                <w:sz w:val="20"/>
                <w:szCs w:val="20"/>
              </w:rPr>
            </w:pPr>
            <w:r>
              <w:rPr>
                <w:color w:val="000000"/>
                <w:sz w:val="20"/>
                <w:szCs w:val="20"/>
              </w:rPr>
              <w:t>0.549</w:t>
            </w:r>
          </w:p>
        </w:tc>
        <w:tc>
          <w:tcPr>
            <w:tcW w:w="768" w:type="dxa"/>
            <w:tcBorders>
              <w:top w:val="nil"/>
              <w:left w:val="nil"/>
              <w:bottom w:val="nil"/>
              <w:right w:val="nil"/>
            </w:tcBorders>
            <w:shd w:val="clear" w:color="auto" w:fill="auto"/>
            <w:noWrap/>
            <w:vAlign w:val="bottom"/>
            <w:hideMark/>
          </w:tcPr>
          <w:p w14:paraId="2C2A407C" w14:textId="4737F907"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F8A1B2" w14:textId="04A349D0" w:rsidR="00BE2FE2" w:rsidRDefault="00BE2FE2" w:rsidP="00BE2FE2">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3C6022E6" w14:textId="22FE3EA8" w:rsidR="00BE2FE2" w:rsidRDefault="00BE2FE2" w:rsidP="00BE2FE2">
            <w:pPr>
              <w:jc w:val="right"/>
              <w:rPr>
                <w:color w:val="000000"/>
                <w:sz w:val="20"/>
                <w:szCs w:val="20"/>
              </w:rPr>
            </w:pPr>
            <w:r>
              <w:rPr>
                <w:color w:val="000000"/>
                <w:sz w:val="20"/>
                <w:szCs w:val="20"/>
              </w:rPr>
              <w:t>0.459</w:t>
            </w:r>
          </w:p>
        </w:tc>
        <w:tc>
          <w:tcPr>
            <w:tcW w:w="768" w:type="dxa"/>
            <w:tcBorders>
              <w:top w:val="nil"/>
              <w:left w:val="nil"/>
              <w:bottom w:val="nil"/>
              <w:right w:val="nil"/>
            </w:tcBorders>
            <w:shd w:val="clear" w:color="auto" w:fill="auto"/>
            <w:noWrap/>
            <w:vAlign w:val="bottom"/>
            <w:hideMark/>
          </w:tcPr>
          <w:p w14:paraId="4F27A77F" w14:textId="06C6980F" w:rsidR="00BE2FE2" w:rsidRDefault="00BE2FE2" w:rsidP="00BE2FE2">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F519A17" w14:textId="7D87B099" w:rsidR="00BE2FE2" w:rsidRDefault="00BE2FE2" w:rsidP="00BE2FE2">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38912DDC" w14:textId="56A6135F" w:rsidR="00BE2FE2" w:rsidRDefault="00BE2FE2" w:rsidP="00BE2FE2">
            <w:pPr>
              <w:jc w:val="right"/>
              <w:rPr>
                <w:color w:val="000000"/>
                <w:sz w:val="20"/>
                <w:szCs w:val="20"/>
              </w:rPr>
            </w:pPr>
            <w:r>
              <w:rPr>
                <w:color w:val="000000"/>
                <w:sz w:val="20"/>
                <w:szCs w:val="20"/>
              </w:rPr>
              <w:t>0.925</w:t>
            </w:r>
          </w:p>
        </w:tc>
        <w:tc>
          <w:tcPr>
            <w:tcW w:w="768" w:type="dxa"/>
            <w:tcBorders>
              <w:top w:val="nil"/>
              <w:left w:val="nil"/>
              <w:bottom w:val="nil"/>
              <w:right w:val="nil"/>
            </w:tcBorders>
            <w:shd w:val="clear" w:color="auto" w:fill="auto"/>
            <w:noWrap/>
            <w:vAlign w:val="bottom"/>
            <w:hideMark/>
          </w:tcPr>
          <w:p w14:paraId="34993208" w14:textId="4D27FA45" w:rsidR="00BE2FE2" w:rsidRDefault="00BE2FE2" w:rsidP="00BE2FE2">
            <w:pPr>
              <w:jc w:val="right"/>
              <w:rPr>
                <w:color w:val="000000"/>
                <w:sz w:val="20"/>
                <w:szCs w:val="20"/>
              </w:rPr>
            </w:pPr>
            <w:r>
              <w:rPr>
                <w:color w:val="000000"/>
                <w:sz w:val="20"/>
                <w:szCs w:val="20"/>
              </w:rPr>
              <w:t>0.001</w:t>
            </w:r>
          </w:p>
        </w:tc>
      </w:tr>
      <w:tr w:rsidR="00BE2FE2" w14:paraId="3CBBD3F2" w14:textId="77777777" w:rsidTr="006628A7">
        <w:trPr>
          <w:trHeight w:val="320"/>
        </w:trPr>
        <w:tc>
          <w:tcPr>
            <w:tcW w:w="1176" w:type="dxa"/>
            <w:tcBorders>
              <w:top w:val="nil"/>
              <w:left w:val="nil"/>
              <w:bottom w:val="nil"/>
              <w:right w:val="nil"/>
            </w:tcBorders>
            <w:shd w:val="clear" w:color="auto" w:fill="auto"/>
            <w:noWrap/>
            <w:vAlign w:val="bottom"/>
            <w:hideMark/>
          </w:tcPr>
          <w:p w14:paraId="35D43660"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936CD3B" w14:textId="77777777" w:rsidR="00BE2FE2" w:rsidRDefault="00BE2FE2" w:rsidP="00BE2FE2">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66C076F" w14:textId="00A5FBFC" w:rsidR="00BE2FE2" w:rsidRDefault="00BE2FE2" w:rsidP="00BE2FE2">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965ED3C" w14:textId="4B8E6746" w:rsidR="00BE2FE2" w:rsidRDefault="00BE2FE2" w:rsidP="00BE2FE2">
            <w:pPr>
              <w:jc w:val="right"/>
              <w:rPr>
                <w:color w:val="000000"/>
                <w:sz w:val="20"/>
                <w:szCs w:val="20"/>
              </w:rPr>
            </w:pPr>
            <w:r>
              <w:rPr>
                <w:color w:val="000000"/>
                <w:sz w:val="20"/>
                <w:szCs w:val="20"/>
              </w:rPr>
              <w:t>0.884</w:t>
            </w:r>
          </w:p>
        </w:tc>
        <w:tc>
          <w:tcPr>
            <w:tcW w:w="768" w:type="dxa"/>
            <w:tcBorders>
              <w:top w:val="nil"/>
              <w:left w:val="nil"/>
              <w:bottom w:val="nil"/>
              <w:right w:val="nil"/>
            </w:tcBorders>
            <w:shd w:val="clear" w:color="auto" w:fill="auto"/>
            <w:noWrap/>
            <w:vAlign w:val="bottom"/>
            <w:hideMark/>
          </w:tcPr>
          <w:p w14:paraId="064B14AE" w14:textId="3A0D4371"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6510AF" w14:textId="3C85C005" w:rsidR="00BE2FE2" w:rsidRDefault="00BE2FE2" w:rsidP="00BE2FE2">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53DC944" w14:textId="7437BA3D" w:rsidR="00BE2FE2" w:rsidRDefault="00BE2FE2" w:rsidP="00BE2FE2">
            <w:pPr>
              <w:jc w:val="right"/>
              <w:rPr>
                <w:color w:val="000000"/>
                <w:sz w:val="20"/>
                <w:szCs w:val="20"/>
              </w:rPr>
            </w:pPr>
            <w:r>
              <w:rPr>
                <w:color w:val="000000"/>
                <w:sz w:val="20"/>
                <w:szCs w:val="20"/>
              </w:rPr>
              <w:t>0.463</w:t>
            </w:r>
          </w:p>
        </w:tc>
        <w:tc>
          <w:tcPr>
            <w:tcW w:w="768" w:type="dxa"/>
            <w:tcBorders>
              <w:top w:val="nil"/>
              <w:left w:val="nil"/>
              <w:bottom w:val="nil"/>
              <w:right w:val="nil"/>
            </w:tcBorders>
            <w:shd w:val="clear" w:color="auto" w:fill="auto"/>
            <w:noWrap/>
            <w:vAlign w:val="bottom"/>
            <w:hideMark/>
          </w:tcPr>
          <w:p w14:paraId="2E5EF851" w14:textId="6590DF88"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C690143" w14:textId="7A46DD4E" w:rsidR="00BE2FE2" w:rsidRDefault="00BE2FE2" w:rsidP="00BE2FE2">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336225E8" w14:textId="50F8038C" w:rsidR="00BE2FE2" w:rsidRDefault="00BE2FE2" w:rsidP="00BE2FE2">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57550275" w14:textId="6941FC83"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34C1FC9" w14:textId="2A8D9B89" w:rsidR="00BE2FE2" w:rsidRDefault="00BE2FE2" w:rsidP="00BE2FE2">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A6C67B1" w14:textId="033CCE60" w:rsidR="00BE2FE2" w:rsidRDefault="00BE2FE2" w:rsidP="00BE2FE2">
            <w:pPr>
              <w:jc w:val="right"/>
              <w:rPr>
                <w:color w:val="000000"/>
                <w:sz w:val="20"/>
                <w:szCs w:val="20"/>
              </w:rPr>
            </w:pPr>
            <w:r>
              <w:rPr>
                <w:color w:val="000000"/>
                <w:sz w:val="20"/>
                <w:szCs w:val="20"/>
              </w:rPr>
              <w:t>0.777</w:t>
            </w:r>
          </w:p>
        </w:tc>
        <w:tc>
          <w:tcPr>
            <w:tcW w:w="768" w:type="dxa"/>
            <w:tcBorders>
              <w:top w:val="nil"/>
              <w:left w:val="nil"/>
              <w:bottom w:val="nil"/>
              <w:right w:val="nil"/>
            </w:tcBorders>
            <w:shd w:val="clear" w:color="auto" w:fill="auto"/>
            <w:noWrap/>
            <w:vAlign w:val="bottom"/>
            <w:hideMark/>
          </w:tcPr>
          <w:p w14:paraId="3BD2CCF0" w14:textId="19E96BCB"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0CF2A6" w14:textId="660A2F6C" w:rsidR="00BE2FE2" w:rsidRDefault="00BE2FE2" w:rsidP="00BE2FE2">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08C58D85" w14:textId="7B752A9A" w:rsidR="00BE2FE2" w:rsidRDefault="00BE2FE2" w:rsidP="00BE2FE2">
            <w:pPr>
              <w:jc w:val="right"/>
              <w:rPr>
                <w:color w:val="000000"/>
                <w:sz w:val="20"/>
                <w:szCs w:val="20"/>
              </w:rPr>
            </w:pPr>
            <w:r>
              <w:rPr>
                <w:color w:val="000000"/>
                <w:sz w:val="20"/>
                <w:szCs w:val="20"/>
              </w:rPr>
              <w:t>0.925</w:t>
            </w:r>
          </w:p>
        </w:tc>
        <w:tc>
          <w:tcPr>
            <w:tcW w:w="768" w:type="dxa"/>
            <w:tcBorders>
              <w:top w:val="nil"/>
              <w:left w:val="nil"/>
              <w:bottom w:val="nil"/>
              <w:right w:val="nil"/>
            </w:tcBorders>
            <w:shd w:val="clear" w:color="auto" w:fill="auto"/>
            <w:noWrap/>
            <w:vAlign w:val="bottom"/>
            <w:hideMark/>
          </w:tcPr>
          <w:p w14:paraId="1DD2D82C" w14:textId="141224FD" w:rsidR="00BE2FE2" w:rsidRDefault="00BE2FE2" w:rsidP="00BE2FE2">
            <w:pPr>
              <w:jc w:val="right"/>
              <w:rPr>
                <w:color w:val="000000"/>
                <w:sz w:val="20"/>
                <w:szCs w:val="20"/>
              </w:rPr>
            </w:pPr>
            <w:r>
              <w:rPr>
                <w:color w:val="000000"/>
                <w:sz w:val="20"/>
                <w:szCs w:val="20"/>
              </w:rPr>
              <w:t>0.000</w:t>
            </w:r>
          </w:p>
        </w:tc>
      </w:tr>
      <w:tr w:rsidR="00BE2FE2" w14:paraId="105C9C71" w14:textId="77777777" w:rsidTr="006628A7">
        <w:trPr>
          <w:trHeight w:val="320"/>
        </w:trPr>
        <w:tc>
          <w:tcPr>
            <w:tcW w:w="1176" w:type="dxa"/>
            <w:tcBorders>
              <w:top w:val="nil"/>
              <w:left w:val="nil"/>
              <w:bottom w:val="nil"/>
              <w:right w:val="nil"/>
            </w:tcBorders>
            <w:shd w:val="clear" w:color="auto" w:fill="auto"/>
            <w:noWrap/>
            <w:vAlign w:val="bottom"/>
            <w:hideMark/>
          </w:tcPr>
          <w:p w14:paraId="0CBEBB17"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1C2279" w14:textId="77777777" w:rsidR="00BE2FE2" w:rsidRDefault="00BE2FE2" w:rsidP="00BE2FE2">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E632984" w14:textId="06172CAE" w:rsidR="00BE2FE2" w:rsidRDefault="00BE2FE2" w:rsidP="00BE2FE2">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2D3C7137" w14:textId="7020D930" w:rsidR="00BE2FE2" w:rsidRDefault="00BE2FE2" w:rsidP="00BE2FE2">
            <w:pPr>
              <w:jc w:val="right"/>
              <w:rPr>
                <w:color w:val="000000"/>
                <w:sz w:val="20"/>
                <w:szCs w:val="20"/>
              </w:rPr>
            </w:pPr>
            <w:r>
              <w:rPr>
                <w:color w:val="000000"/>
                <w:sz w:val="20"/>
                <w:szCs w:val="20"/>
              </w:rPr>
              <w:t>0.884</w:t>
            </w:r>
          </w:p>
        </w:tc>
        <w:tc>
          <w:tcPr>
            <w:tcW w:w="768" w:type="dxa"/>
            <w:tcBorders>
              <w:top w:val="nil"/>
              <w:left w:val="nil"/>
              <w:bottom w:val="nil"/>
              <w:right w:val="nil"/>
            </w:tcBorders>
            <w:shd w:val="clear" w:color="auto" w:fill="auto"/>
            <w:noWrap/>
            <w:vAlign w:val="bottom"/>
            <w:hideMark/>
          </w:tcPr>
          <w:p w14:paraId="02D010AB" w14:textId="1D8AA3C0"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31C20C1" w14:textId="4BDD00C4" w:rsidR="00BE2FE2" w:rsidRDefault="00BE2FE2" w:rsidP="00BE2FE2">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69213B2B" w14:textId="77B388EA" w:rsidR="00BE2FE2" w:rsidRDefault="00BE2FE2" w:rsidP="00BE2FE2">
            <w:pPr>
              <w:jc w:val="right"/>
              <w:rPr>
                <w:color w:val="000000"/>
                <w:sz w:val="20"/>
                <w:szCs w:val="20"/>
              </w:rPr>
            </w:pPr>
            <w:r>
              <w:rPr>
                <w:color w:val="000000"/>
                <w:sz w:val="20"/>
                <w:szCs w:val="20"/>
              </w:rPr>
              <w:t>0.253</w:t>
            </w:r>
          </w:p>
        </w:tc>
        <w:tc>
          <w:tcPr>
            <w:tcW w:w="768" w:type="dxa"/>
            <w:tcBorders>
              <w:top w:val="nil"/>
              <w:left w:val="nil"/>
              <w:bottom w:val="nil"/>
              <w:right w:val="nil"/>
            </w:tcBorders>
            <w:shd w:val="clear" w:color="auto" w:fill="auto"/>
            <w:noWrap/>
            <w:vAlign w:val="bottom"/>
            <w:hideMark/>
          </w:tcPr>
          <w:p w14:paraId="3AE7D428" w14:textId="1CB6E6A5" w:rsidR="00BE2FE2" w:rsidRDefault="00BE2FE2" w:rsidP="00BE2FE2">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AC2D82C" w14:textId="338E2692" w:rsidR="00BE2FE2" w:rsidRDefault="00BE2FE2" w:rsidP="00BE2FE2">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FEC016D" w14:textId="624BF15A" w:rsidR="00BE2FE2" w:rsidRDefault="00BE2FE2" w:rsidP="00BE2FE2">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2BFF8C97" w14:textId="6D062DC8"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5C1361B" w14:textId="1211ABB2" w:rsidR="00BE2FE2" w:rsidRDefault="00BE2FE2" w:rsidP="00BE2FE2">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60455497" w14:textId="21F7ABA8" w:rsidR="00BE2FE2" w:rsidRDefault="00BE2FE2" w:rsidP="00BE2FE2">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5ECB1A31" w14:textId="3271FD68" w:rsidR="00BE2FE2" w:rsidRDefault="00BE2FE2" w:rsidP="00BE2FE2">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0B8B4E0" w14:textId="31169623" w:rsidR="00BE2FE2" w:rsidRDefault="00BE2FE2" w:rsidP="00BE2FE2">
            <w:pPr>
              <w:jc w:val="right"/>
              <w:rPr>
                <w:color w:val="000000"/>
                <w:sz w:val="20"/>
                <w:szCs w:val="20"/>
              </w:rPr>
            </w:pPr>
            <w:r>
              <w:rPr>
                <w:color w:val="000000"/>
                <w:sz w:val="20"/>
                <w:szCs w:val="20"/>
              </w:rPr>
              <w:t>-0.110</w:t>
            </w:r>
          </w:p>
        </w:tc>
        <w:tc>
          <w:tcPr>
            <w:tcW w:w="768" w:type="dxa"/>
            <w:tcBorders>
              <w:top w:val="nil"/>
              <w:left w:val="nil"/>
              <w:bottom w:val="nil"/>
              <w:right w:val="nil"/>
            </w:tcBorders>
            <w:shd w:val="clear" w:color="auto" w:fill="auto"/>
            <w:noWrap/>
            <w:vAlign w:val="bottom"/>
            <w:hideMark/>
          </w:tcPr>
          <w:p w14:paraId="38FFBE81" w14:textId="3EE757FA" w:rsidR="00BE2FE2" w:rsidRDefault="00BE2FE2" w:rsidP="00BE2FE2">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463C3F7E" w14:textId="0D1FD914" w:rsidR="00BE2FE2" w:rsidRDefault="00BE2FE2" w:rsidP="00BE2FE2">
            <w:pPr>
              <w:jc w:val="right"/>
              <w:rPr>
                <w:color w:val="000000"/>
                <w:sz w:val="20"/>
                <w:szCs w:val="20"/>
              </w:rPr>
            </w:pPr>
            <w:r>
              <w:rPr>
                <w:color w:val="000000"/>
                <w:sz w:val="20"/>
                <w:szCs w:val="20"/>
              </w:rPr>
              <w:t>0.012</w:t>
            </w:r>
          </w:p>
        </w:tc>
      </w:tr>
      <w:tr w:rsidR="00BE2FE2" w14:paraId="761D9413" w14:textId="77777777" w:rsidTr="006628A7">
        <w:trPr>
          <w:trHeight w:val="320"/>
        </w:trPr>
        <w:tc>
          <w:tcPr>
            <w:tcW w:w="1176" w:type="dxa"/>
            <w:tcBorders>
              <w:top w:val="nil"/>
              <w:left w:val="nil"/>
              <w:bottom w:val="nil"/>
              <w:right w:val="nil"/>
            </w:tcBorders>
            <w:shd w:val="clear" w:color="auto" w:fill="auto"/>
            <w:noWrap/>
            <w:vAlign w:val="bottom"/>
            <w:hideMark/>
          </w:tcPr>
          <w:p w14:paraId="4BEA6275"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9D00050" w14:textId="77777777" w:rsidR="00BE2FE2" w:rsidRDefault="00BE2FE2" w:rsidP="00BE2FE2">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BA8E6C9" w14:textId="7BAD7F22" w:rsidR="00BE2FE2" w:rsidRDefault="00BE2FE2" w:rsidP="00BE2FE2">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9AA923F" w14:textId="12467383" w:rsidR="00BE2FE2" w:rsidRDefault="00BE2FE2" w:rsidP="00BE2FE2">
            <w:pPr>
              <w:jc w:val="right"/>
              <w:rPr>
                <w:color w:val="000000"/>
                <w:sz w:val="20"/>
                <w:szCs w:val="20"/>
              </w:rPr>
            </w:pPr>
            <w:r>
              <w:rPr>
                <w:color w:val="000000"/>
                <w:sz w:val="20"/>
                <w:szCs w:val="20"/>
              </w:rPr>
              <w:t>0.884</w:t>
            </w:r>
          </w:p>
        </w:tc>
        <w:tc>
          <w:tcPr>
            <w:tcW w:w="768" w:type="dxa"/>
            <w:tcBorders>
              <w:top w:val="nil"/>
              <w:left w:val="nil"/>
              <w:bottom w:val="nil"/>
              <w:right w:val="nil"/>
            </w:tcBorders>
            <w:shd w:val="clear" w:color="auto" w:fill="auto"/>
            <w:noWrap/>
            <w:vAlign w:val="bottom"/>
            <w:hideMark/>
          </w:tcPr>
          <w:p w14:paraId="7FB963EF" w14:textId="6D8F13BB"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63BBAFE" w14:textId="6109A29B"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C815CCB" w14:textId="7CF11DBE" w:rsidR="00BE2FE2" w:rsidRDefault="00BE2FE2" w:rsidP="00BE2FE2">
            <w:pPr>
              <w:jc w:val="right"/>
              <w:rPr>
                <w:color w:val="000000"/>
                <w:sz w:val="20"/>
                <w:szCs w:val="20"/>
              </w:rPr>
            </w:pPr>
            <w:r>
              <w:rPr>
                <w:color w:val="000000"/>
                <w:sz w:val="20"/>
                <w:szCs w:val="20"/>
              </w:rPr>
              <w:t>0.953</w:t>
            </w:r>
          </w:p>
        </w:tc>
        <w:tc>
          <w:tcPr>
            <w:tcW w:w="768" w:type="dxa"/>
            <w:tcBorders>
              <w:top w:val="nil"/>
              <w:left w:val="nil"/>
              <w:bottom w:val="nil"/>
              <w:right w:val="nil"/>
            </w:tcBorders>
            <w:shd w:val="clear" w:color="auto" w:fill="auto"/>
            <w:noWrap/>
            <w:vAlign w:val="bottom"/>
            <w:hideMark/>
          </w:tcPr>
          <w:p w14:paraId="49D1AC44" w14:textId="5D263BA6"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BCA825A" w14:textId="76C4B645" w:rsidR="00BE2FE2" w:rsidRDefault="00BE2FE2" w:rsidP="00BE2FE2">
            <w:pPr>
              <w:jc w:val="right"/>
              <w:rPr>
                <w:b/>
                <w:bCs/>
                <w:color w:val="000000"/>
                <w:sz w:val="20"/>
                <w:szCs w:val="20"/>
              </w:rPr>
            </w:pPr>
            <w:r>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72F75B68" w14:textId="2BD72610" w:rsidR="00BE2FE2" w:rsidRDefault="00BE2FE2" w:rsidP="00BE2FE2">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167AA523" w14:textId="4D3BB16A" w:rsidR="00BE2FE2" w:rsidRDefault="00BE2FE2" w:rsidP="00BE2FE2">
            <w:pPr>
              <w:jc w:val="right"/>
              <w:rPr>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A1DE908" w14:textId="7AE10550" w:rsidR="00BE2FE2" w:rsidRDefault="00BE2FE2" w:rsidP="00BE2FE2">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881D662" w14:textId="00250C4C" w:rsidR="00BE2FE2" w:rsidRDefault="00BE2FE2" w:rsidP="00BE2FE2">
            <w:pPr>
              <w:jc w:val="right"/>
              <w:rPr>
                <w:color w:val="000000"/>
                <w:sz w:val="20"/>
                <w:szCs w:val="20"/>
              </w:rPr>
            </w:pPr>
            <w:r>
              <w:rPr>
                <w:color w:val="000000"/>
                <w:sz w:val="20"/>
                <w:szCs w:val="20"/>
              </w:rPr>
              <w:t>0.595</w:t>
            </w:r>
          </w:p>
        </w:tc>
        <w:tc>
          <w:tcPr>
            <w:tcW w:w="768" w:type="dxa"/>
            <w:tcBorders>
              <w:top w:val="nil"/>
              <w:left w:val="nil"/>
              <w:bottom w:val="nil"/>
              <w:right w:val="nil"/>
            </w:tcBorders>
            <w:shd w:val="clear" w:color="auto" w:fill="auto"/>
            <w:noWrap/>
            <w:vAlign w:val="bottom"/>
            <w:hideMark/>
          </w:tcPr>
          <w:p w14:paraId="580A5ED1" w14:textId="71973FE1"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0E46360" w14:textId="411329DA"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4C51F7B" w14:textId="10804EA0" w:rsidR="00BE2FE2" w:rsidRDefault="00BE2FE2" w:rsidP="00BE2FE2">
            <w:pPr>
              <w:jc w:val="right"/>
              <w:rPr>
                <w:color w:val="000000"/>
                <w:sz w:val="20"/>
                <w:szCs w:val="20"/>
              </w:rPr>
            </w:pPr>
            <w:r>
              <w:rPr>
                <w:color w:val="000000"/>
                <w:sz w:val="20"/>
                <w:szCs w:val="20"/>
              </w:rPr>
              <w:t>0.925</w:t>
            </w:r>
          </w:p>
        </w:tc>
        <w:tc>
          <w:tcPr>
            <w:tcW w:w="768" w:type="dxa"/>
            <w:tcBorders>
              <w:top w:val="nil"/>
              <w:left w:val="nil"/>
              <w:bottom w:val="nil"/>
              <w:right w:val="nil"/>
            </w:tcBorders>
            <w:shd w:val="clear" w:color="auto" w:fill="auto"/>
            <w:noWrap/>
            <w:vAlign w:val="bottom"/>
            <w:hideMark/>
          </w:tcPr>
          <w:p w14:paraId="4955A812" w14:textId="4BAE4324" w:rsidR="00BE2FE2" w:rsidRDefault="00BE2FE2" w:rsidP="00BE2FE2">
            <w:pPr>
              <w:jc w:val="right"/>
              <w:rPr>
                <w:color w:val="000000"/>
                <w:sz w:val="20"/>
                <w:szCs w:val="20"/>
              </w:rPr>
            </w:pPr>
            <w:r>
              <w:rPr>
                <w:color w:val="000000"/>
                <w:sz w:val="20"/>
                <w:szCs w:val="20"/>
              </w:rPr>
              <w:t>0.000</w:t>
            </w:r>
          </w:p>
        </w:tc>
      </w:tr>
      <w:tr w:rsidR="00BE2FE2" w14:paraId="14E0E5F8" w14:textId="77777777" w:rsidTr="006628A7">
        <w:trPr>
          <w:trHeight w:val="320"/>
        </w:trPr>
        <w:tc>
          <w:tcPr>
            <w:tcW w:w="1176" w:type="dxa"/>
            <w:tcBorders>
              <w:top w:val="nil"/>
              <w:left w:val="nil"/>
              <w:bottom w:val="nil"/>
              <w:right w:val="nil"/>
            </w:tcBorders>
            <w:shd w:val="clear" w:color="auto" w:fill="auto"/>
            <w:noWrap/>
            <w:vAlign w:val="bottom"/>
            <w:hideMark/>
          </w:tcPr>
          <w:p w14:paraId="67C69F6D"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DF029F" w14:textId="77777777" w:rsidR="00BE2FE2" w:rsidRDefault="00BE2FE2" w:rsidP="00BE2FE2">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B74686E" w14:textId="354E558E" w:rsidR="00BE2FE2" w:rsidRDefault="00BE2FE2" w:rsidP="00BE2FE2">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BD6EF33" w14:textId="1F15BF04" w:rsidR="00BE2FE2" w:rsidRDefault="00BE2FE2" w:rsidP="00BE2FE2">
            <w:pPr>
              <w:jc w:val="right"/>
              <w:rPr>
                <w:color w:val="000000"/>
                <w:sz w:val="20"/>
                <w:szCs w:val="20"/>
              </w:rPr>
            </w:pPr>
            <w:r>
              <w:rPr>
                <w:color w:val="000000"/>
                <w:sz w:val="20"/>
                <w:szCs w:val="20"/>
              </w:rPr>
              <w:t>0.884</w:t>
            </w:r>
          </w:p>
        </w:tc>
        <w:tc>
          <w:tcPr>
            <w:tcW w:w="768" w:type="dxa"/>
            <w:tcBorders>
              <w:top w:val="nil"/>
              <w:left w:val="nil"/>
              <w:bottom w:val="nil"/>
              <w:right w:val="nil"/>
            </w:tcBorders>
            <w:shd w:val="clear" w:color="auto" w:fill="auto"/>
            <w:noWrap/>
            <w:vAlign w:val="bottom"/>
            <w:hideMark/>
          </w:tcPr>
          <w:p w14:paraId="4FA32396" w14:textId="63626117"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09903D7" w14:textId="686D236E" w:rsidR="00BE2FE2" w:rsidRDefault="00BE2FE2" w:rsidP="00BE2FE2">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49351A7C" w14:textId="0273A70A" w:rsidR="00BE2FE2" w:rsidRDefault="00BE2FE2" w:rsidP="00BE2FE2">
            <w:pPr>
              <w:jc w:val="right"/>
              <w:rPr>
                <w:color w:val="000000"/>
                <w:sz w:val="20"/>
                <w:szCs w:val="20"/>
              </w:rPr>
            </w:pPr>
            <w:r>
              <w:rPr>
                <w:color w:val="000000"/>
                <w:sz w:val="20"/>
                <w:szCs w:val="20"/>
              </w:rPr>
              <w:t>0.253</w:t>
            </w:r>
          </w:p>
        </w:tc>
        <w:tc>
          <w:tcPr>
            <w:tcW w:w="768" w:type="dxa"/>
            <w:tcBorders>
              <w:top w:val="nil"/>
              <w:left w:val="nil"/>
              <w:bottom w:val="nil"/>
              <w:right w:val="nil"/>
            </w:tcBorders>
            <w:shd w:val="clear" w:color="auto" w:fill="auto"/>
            <w:noWrap/>
            <w:vAlign w:val="bottom"/>
            <w:hideMark/>
          </w:tcPr>
          <w:p w14:paraId="1545D68C" w14:textId="7066868E"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34487FC" w14:textId="75575D94" w:rsidR="00BE2FE2" w:rsidRDefault="00BE2FE2" w:rsidP="00BE2FE2">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6721A131" w14:textId="307021E1" w:rsidR="00BE2FE2" w:rsidRDefault="00BE2FE2" w:rsidP="00BE2FE2">
            <w:pPr>
              <w:jc w:val="right"/>
              <w:rPr>
                <w:color w:val="000000"/>
                <w:sz w:val="20"/>
                <w:szCs w:val="20"/>
              </w:rPr>
            </w:pPr>
            <w:r>
              <w:rPr>
                <w:color w:val="000000"/>
                <w:sz w:val="20"/>
                <w:szCs w:val="20"/>
              </w:rPr>
              <w:t>0.124</w:t>
            </w:r>
          </w:p>
        </w:tc>
        <w:tc>
          <w:tcPr>
            <w:tcW w:w="768" w:type="dxa"/>
            <w:tcBorders>
              <w:top w:val="nil"/>
              <w:left w:val="nil"/>
              <w:bottom w:val="nil"/>
              <w:right w:val="nil"/>
            </w:tcBorders>
            <w:shd w:val="clear" w:color="auto" w:fill="auto"/>
            <w:noWrap/>
            <w:vAlign w:val="bottom"/>
            <w:hideMark/>
          </w:tcPr>
          <w:p w14:paraId="1031BC0E" w14:textId="515CD392" w:rsidR="00BE2FE2" w:rsidRDefault="00BE2FE2" w:rsidP="00BE2FE2">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F082419" w14:textId="752AA53E" w:rsidR="00BE2FE2" w:rsidRDefault="00BE2FE2" w:rsidP="00BE2FE2">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65DCA11" w14:textId="56AC9EC4" w:rsidR="00BE2FE2" w:rsidRDefault="00BE2FE2" w:rsidP="00BE2FE2">
            <w:pPr>
              <w:jc w:val="right"/>
              <w:rPr>
                <w:color w:val="000000"/>
                <w:sz w:val="20"/>
                <w:szCs w:val="20"/>
              </w:rPr>
            </w:pPr>
            <w:r>
              <w:rPr>
                <w:color w:val="000000"/>
                <w:sz w:val="20"/>
                <w:szCs w:val="20"/>
              </w:rPr>
              <w:t>0.459</w:t>
            </w:r>
          </w:p>
        </w:tc>
        <w:tc>
          <w:tcPr>
            <w:tcW w:w="768" w:type="dxa"/>
            <w:tcBorders>
              <w:top w:val="nil"/>
              <w:left w:val="nil"/>
              <w:bottom w:val="nil"/>
              <w:right w:val="nil"/>
            </w:tcBorders>
            <w:shd w:val="clear" w:color="auto" w:fill="auto"/>
            <w:noWrap/>
            <w:vAlign w:val="bottom"/>
            <w:hideMark/>
          </w:tcPr>
          <w:p w14:paraId="671DD919" w14:textId="1D59F032"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F1E75A3" w14:textId="76011A8B" w:rsidR="00BE2FE2" w:rsidRDefault="00BE2FE2" w:rsidP="00BE2FE2">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E93DB16" w14:textId="5907720D" w:rsidR="00BE2FE2" w:rsidRDefault="00BE2FE2" w:rsidP="00BE2FE2">
            <w:pPr>
              <w:jc w:val="right"/>
              <w:rPr>
                <w:color w:val="000000"/>
                <w:sz w:val="20"/>
                <w:szCs w:val="20"/>
              </w:rPr>
            </w:pPr>
            <w:r>
              <w:rPr>
                <w:color w:val="000000"/>
                <w:sz w:val="20"/>
                <w:szCs w:val="20"/>
              </w:rPr>
              <w:t>0.925</w:t>
            </w:r>
          </w:p>
        </w:tc>
        <w:tc>
          <w:tcPr>
            <w:tcW w:w="768" w:type="dxa"/>
            <w:tcBorders>
              <w:top w:val="nil"/>
              <w:left w:val="nil"/>
              <w:bottom w:val="nil"/>
              <w:right w:val="nil"/>
            </w:tcBorders>
            <w:shd w:val="clear" w:color="auto" w:fill="auto"/>
            <w:noWrap/>
            <w:vAlign w:val="bottom"/>
            <w:hideMark/>
          </w:tcPr>
          <w:p w14:paraId="1948B1FD" w14:textId="1865061D" w:rsidR="00BE2FE2" w:rsidRDefault="00BE2FE2" w:rsidP="00BE2FE2">
            <w:pPr>
              <w:jc w:val="right"/>
              <w:rPr>
                <w:color w:val="000000"/>
                <w:sz w:val="20"/>
                <w:szCs w:val="20"/>
              </w:rPr>
            </w:pPr>
            <w:r>
              <w:rPr>
                <w:color w:val="000000"/>
                <w:sz w:val="20"/>
                <w:szCs w:val="20"/>
              </w:rPr>
              <w:t>0.000</w:t>
            </w:r>
          </w:p>
        </w:tc>
      </w:tr>
      <w:tr w:rsidR="00BE2FE2" w14:paraId="2CE3D379" w14:textId="77777777" w:rsidTr="006628A7">
        <w:trPr>
          <w:trHeight w:val="320"/>
        </w:trPr>
        <w:tc>
          <w:tcPr>
            <w:tcW w:w="1176" w:type="dxa"/>
            <w:tcBorders>
              <w:top w:val="nil"/>
              <w:left w:val="nil"/>
              <w:bottom w:val="single" w:sz="4" w:space="0" w:color="auto"/>
              <w:right w:val="nil"/>
            </w:tcBorders>
            <w:shd w:val="clear" w:color="auto" w:fill="auto"/>
            <w:noWrap/>
            <w:vAlign w:val="bottom"/>
            <w:hideMark/>
          </w:tcPr>
          <w:p w14:paraId="12E31145" w14:textId="77777777" w:rsidR="00BE2FE2" w:rsidRDefault="00BE2FE2" w:rsidP="00BE2FE2">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C1A440F" w14:textId="77777777" w:rsidR="00BE2FE2" w:rsidRDefault="00BE2FE2" w:rsidP="00BE2FE2">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6B1AB93" w14:textId="2FC62B41" w:rsidR="00BE2FE2" w:rsidRDefault="00BE2FE2" w:rsidP="00BE2FE2">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690FDBC0" w14:textId="2ECC7794" w:rsidR="00BE2FE2" w:rsidRDefault="00BE2FE2" w:rsidP="00BE2FE2">
            <w:pPr>
              <w:jc w:val="right"/>
              <w:rPr>
                <w:color w:val="000000"/>
                <w:sz w:val="20"/>
                <w:szCs w:val="20"/>
              </w:rPr>
            </w:pPr>
            <w:r>
              <w:rPr>
                <w:color w:val="000000"/>
                <w:sz w:val="20"/>
                <w:szCs w:val="20"/>
              </w:rPr>
              <w:t>0.887</w:t>
            </w:r>
          </w:p>
        </w:tc>
        <w:tc>
          <w:tcPr>
            <w:tcW w:w="768" w:type="dxa"/>
            <w:tcBorders>
              <w:top w:val="nil"/>
              <w:left w:val="nil"/>
              <w:bottom w:val="single" w:sz="4" w:space="0" w:color="auto"/>
              <w:right w:val="nil"/>
            </w:tcBorders>
            <w:shd w:val="clear" w:color="auto" w:fill="auto"/>
            <w:noWrap/>
            <w:vAlign w:val="bottom"/>
            <w:hideMark/>
          </w:tcPr>
          <w:p w14:paraId="206E3B2E" w14:textId="219770A9"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FE112CD" w14:textId="5CFD3DB7" w:rsidR="00BE2FE2" w:rsidRDefault="00BE2FE2" w:rsidP="00BE2FE2">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389B1A11" w14:textId="6E8F335F" w:rsidR="00BE2FE2" w:rsidRDefault="00BE2FE2" w:rsidP="00BE2FE2">
            <w:pPr>
              <w:jc w:val="right"/>
              <w:rPr>
                <w:color w:val="000000"/>
                <w:sz w:val="20"/>
                <w:szCs w:val="20"/>
              </w:rPr>
            </w:pPr>
            <w:r>
              <w:rPr>
                <w:color w:val="000000"/>
                <w:sz w:val="20"/>
                <w:szCs w:val="20"/>
              </w:rPr>
              <w:t>0.557</w:t>
            </w:r>
          </w:p>
        </w:tc>
        <w:tc>
          <w:tcPr>
            <w:tcW w:w="768" w:type="dxa"/>
            <w:tcBorders>
              <w:top w:val="nil"/>
              <w:left w:val="nil"/>
              <w:bottom w:val="single" w:sz="4" w:space="0" w:color="auto"/>
              <w:right w:val="nil"/>
            </w:tcBorders>
            <w:shd w:val="clear" w:color="auto" w:fill="auto"/>
            <w:noWrap/>
            <w:vAlign w:val="bottom"/>
            <w:hideMark/>
          </w:tcPr>
          <w:p w14:paraId="3143BE9E" w14:textId="13729093"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EF46EF8" w14:textId="6968B75D" w:rsidR="00BE2FE2" w:rsidRDefault="00BE2FE2" w:rsidP="00BE2FE2">
            <w:pPr>
              <w:jc w:val="right"/>
              <w:rPr>
                <w:color w:val="000000"/>
                <w:sz w:val="20"/>
                <w:szCs w:val="20"/>
              </w:rPr>
            </w:pPr>
            <w:r>
              <w:rPr>
                <w:color w:val="000000"/>
                <w:sz w:val="20"/>
                <w:szCs w:val="20"/>
              </w:rPr>
              <w:t>-0.048</w:t>
            </w:r>
          </w:p>
        </w:tc>
        <w:tc>
          <w:tcPr>
            <w:tcW w:w="768" w:type="dxa"/>
            <w:tcBorders>
              <w:top w:val="nil"/>
              <w:left w:val="nil"/>
              <w:bottom w:val="single" w:sz="4" w:space="0" w:color="auto"/>
              <w:right w:val="nil"/>
            </w:tcBorders>
            <w:shd w:val="clear" w:color="auto" w:fill="auto"/>
            <w:noWrap/>
            <w:vAlign w:val="bottom"/>
            <w:hideMark/>
          </w:tcPr>
          <w:p w14:paraId="5251E314" w14:textId="0AF9C96D" w:rsidR="00BE2FE2" w:rsidRDefault="00BE2FE2" w:rsidP="00BE2FE2">
            <w:pPr>
              <w:jc w:val="right"/>
              <w:rPr>
                <w:color w:val="000000"/>
                <w:sz w:val="20"/>
                <w:szCs w:val="20"/>
              </w:rPr>
            </w:pPr>
            <w:r>
              <w:rPr>
                <w:color w:val="000000"/>
                <w:sz w:val="20"/>
                <w:szCs w:val="20"/>
              </w:rPr>
              <w:t>0.515</w:t>
            </w:r>
          </w:p>
        </w:tc>
        <w:tc>
          <w:tcPr>
            <w:tcW w:w="768" w:type="dxa"/>
            <w:tcBorders>
              <w:top w:val="nil"/>
              <w:left w:val="nil"/>
              <w:bottom w:val="single" w:sz="4" w:space="0" w:color="auto"/>
              <w:right w:val="nil"/>
            </w:tcBorders>
            <w:shd w:val="clear" w:color="auto" w:fill="auto"/>
            <w:noWrap/>
            <w:vAlign w:val="bottom"/>
            <w:hideMark/>
          </w:tcPr>
          <w:p w14:paraId="2A815EF1" w14:textId="44CBA5AD"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02413E0" w14:textId="2F4B8426" w:rsidR="00BE2FE2" w:rsidRDefault="00BE2FE2" w:rsidP="00BE2FE2">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431B476D" w14:textId="0D9C4D23" w:rsidR="00BE2FE2" w:rsidRDefault="00BE2FE2" w:rsidP="00BE2FE2">
            <w:pPr>
              <w:jc w:val="right"/>
              <w:rPr>
                <w:color w:val="000000"/>
                <w:sz w:val="20"/>
                <w:szCs w:val="20"/>
              </w:rPr>
            </w:pPr>
            <w:r>
              <w:rPr>
                <w:color w:val="000000"/>
                <w:sz w:val="20"/>
                <w:szCs w:val="20"/>
              </w:rPr>
              <w:t>0.777</w:t>
            </w:r>
          </w:p>
        </w:tc>
        <w:tc>
          <w:tcPr>
            <w:tcW w:w="768" w:type="dxa"/>
            <w:tcBorders>
              <w:top w:val="nil"/>
              <w:left w:val="nil"/>
              <w:bottom w:val="single" w:sz="4" w:space="0" w:color="auto"/>
              <w:right w:val="nil"/>
            </w:tcBorders>
            <w:shd w:val="clear" w:color="auto" w:fill="auto"/>
            <w:noWrap/>
            <w:vAlign w:val="bottom"/>
            <w:hideMark/>
          </w:tcPr>
          <w:p w14:paraId="088FEC47" w14:textId="241071B7"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46824CE" w14:textId="312D3F3F" w:rsidR="00BE2FE2" w:rsidRDefault="00BE2FE2" w:rsidP="00BE2FE2">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7A58B179" w14:textId="4344ACE7" w:rsidR="00BE2FE2" w:rsidRDefault="00BE2FE2" w:rsidP="00BE2FE2">
            <w:pPr>
              <w:jc w:val="right"/>
              <w:rPr>
                <w:color w:val="000000"/>
                <w:sz w:val="20"/>
                <w:szCs w:val="20"/>
              </w:rPr>
            </w:pPr>
            <w:r>
              <w:rPr>
                <w:color w:val="000000"/>
                <w:sz w:val="20"/>
                <w:szCs w:val="20"/>
              </w:rPr>
              <w:t>0.925</w:t>
            </w:r>
          </w:p>
        </w:tc>
        <w:tc>
          <w:tcPr>
            <w:tcW w:w="768" w:type="dxa"/>
            <w:tcBorders>
              <w:top w:val="nil"/>
              <w:left w:val="nil"/>
              <w:bottom w:val="single" w:sz="4" w:space="0" w:color="auto"/>
              <w:right w:val="nil"/>
            </w:tcBorders>
            <w:shd w:val="clear" w:color="auto" w:fill="auto"/>
            <w:noWrap/>
            <w:vAlign w:val="bottom"/>
            <w:hideMark/>
          </w:tcPr>
          <w:p w14:paraId="379D6977" w14:textId="5DB179E4" w:rsidR="00BE2FE2" w:rsidRDefault="00BE2FE2" w:rsidP="00BE2FE2">
            <w:pPr>
              <w:jc w:val="right"/>
              <w:rPr>
                <w:color w:val="000000"/>
                <w:sz w:val="20"/>
                <w:szCs w:val="20"/>
              </w:rPr>
            </w:pPr>
            <w:r>
              <w:rPr>
                <w:color w:val="000000"/>
                <w:sz w:val="20"/>
                <w:szCs w:val="20"/>
              </w:rPr>
              <w:t>0.000</w:t>
            </w:r>
          </w:p>
        </w:tc>
      </w:tr>
      <w:tr w:rsidR="00BE2FE2" w14:paraId="47CFAB13" w14:textId="77777777" w:rsidTr="006628A7">
        <w:trPr>
          <w:trHeight w:val="320"/>
        </w:trPr>
        <w:tc>
          <w:tcPr>
            <w:tcW w:w="1176" w:type="dxa"/>
            <w:tcBorders>
              <w:top w:val="nil"/>
              <w:left w:val="nil"/>
              <w:bottom w:val="nil"/>
              <w:right w:val="nil"/>
            </w:tcBorders>
            <w:shd w:val="clear" w:color="auto" w:fill="auto"/>
            <w:noWrap/>
            <w:vAlign w:val="bottom"/>
            <w:hideMark/>
          </w:tcPr>
          <w:p w14:paraId="3B34893F" w14:textId="77777777" w:rsidR="00BE2FE2" w:rsidRDefault="00BE2FE2" w:rsidP="00BE2FE2">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698209E1" w14:textId="77777777" w:rsidR="00BE2FE2" w:rsidRDefault="00BE2FE2" w:rsidP="00BE2FE2">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CC1EE55" w14:textId="54D8D746" w:rsidR="00BE2FE2" w:rsidRDefault="00BE2FE2" w:rsidP="00BE2FE2">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76E0F470" w14:textId="080D0C04" w:rsidR="00BE2FE2" w:rsidRDefault="00BE2FE2" w:rsidP="00BE2FE2">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2F0E6A6B" w14:textId="52B7A97E"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7155CEB" w14:textId="4B970205" w:rsidR="00BE2FE2" w:rsidRDefault="00BE2FE2" w:rsidP="00BE2FE2">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99A793D" w14:textId="4644B7CF" w:rsidR="00BE2FE2" w:rsidRDefault="00BE2FE2" w:rsidP="00BE2FE2">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6629F924" w14:textId="6D55013C"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347CE10" w14:textId="0A05D11E"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4B942E9" w14:textId="18A42088" w:rsidR="00BE2FE2" w:rsidRDefault="00BE2FE2" w:rsidP="00BE2FE2">
            <w:pPr>
              <w:jc w:val="right"/>
              <w:rPr>
                <w:color w:val="000000"/>
                <w:sz w:val="20"/>
                <w:szCs w:val="20"/>
              </w:rPr>
            </w:pPr>
            <w:r>
              <w:rPr>
                <w:color w:val="000000"/>
                <w:sz w:val="20"/>
                <w:szCs w:val="20"/>
              </w:rPr>
              <w:t>0.907</w:t>
            </w:r>
          </w:p>
        </w:tc>
        <w:tc>
          <w:tcPr>
            <w:tcW w:w="768" w:type="dxa"/>
            <w:tcBorders>
              <w:top w:val="nil"/>
              <w:left w:val="nil"/>
              <w:bottom w:val="nil"/>
              <w:right w:val="nil"/>
            </w:tcBorders>
            <w:shd w:val="clear" w:color="auto" w:fill="auto"/>
            <w:noWrap/>
            <w:vAlign w:val="bottom"/>
            <w:hideMark/>
          </w:tcPr>
          <w:p w14:paraId="7248AB4D" w14:textId="42E49C91"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E08DD3" w14:textId="4B07C5F8" w:rsidR="00BE2FE2" w:rsidRDefault="00BE2FE2" w:rsidP="00BE2FE2">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09ADC460" w14:textId="07643D01" w:rsidR="00BE2FE2" w:rsidRDefault="00BE2FE2" w:rsidP="00BE2FE2">
            <w:pPr>
              <w:jc w:val="right"/>
              <w:rPr>
                <w:color w:val="000000"/>
                <w:sz w:val="20"/>
                <w:szCs w:val="20"/>
              </w:rPr>
            </w:pPr>
            <w:r>
              <w:rPr>
                <w:color w:val="000000"/>
                <w:sz w:val="20"/>
                <w:szCs w:val="20"/>
              </w:rPr>
              <w:t>0.512</w:t>
            </w:r>
          </w:p>
        </w:tc>
        <w:tc>
          <w:tcPr>
            <w:tcW w:w="768" w:type="dxa"/>
            <w:tcBorders>
              <w:top w:val="nil"/>
              <w:left w:val="nil"/>
              <w:bottom w:val="nil"/>
              <w:right w:val="nil"/>
            </w:tcBorders>
            <w:shd w:val="clear" w:color="auto" w:fill="auto"/>
            <w:noWrap/>
            <w:vAlign w:val="bottom"/>
            <w:hideMark/>
          </w:tcPr>
          <w:p w14:paraId="6A535FDA" w14:textId="26F358FD" w:rsidR="00BE2FE2" w:rsidRDefault="00BE2FE2" w:rsidP="00BE2FE2">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B912B41" w14:textId="684FE08B" w:rsidR="00BE2FE2" w:rsidRDefault="00BE2FE2" w:rsidP="00BE2FE2">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2B351629" w14:textId="79349D63" w:rsidR="00BE2FE2" w:rsidRDefault="00BE2FE2" w:rsidP="00BE2FE2">
            <w:pPr>
              <w:jc w:val="right"/>
              <w:rPr>
                <w:color w:val="000000"/>
                <w:sz w:val="20"/>
                <w:szCs w:val="20"/>
              </w:rPr>
            </w:pPr>
            <w:r>
              <w:rPr>
                <w:color w:val="000000"/>
                <w:sz w:val="20"/>
                <w:szCs w:val="20"/>
              </w:rPr>
              <w:t>0.382</w:t>
            </w:r>
          </w:p>
        </w:tc>
        <w:tc>
          <w:tcPr>
            <w:tcW w:w="768" w:type="dxa"/>
            <w:tcBorders>
              <w:top w:val="nil"/>
              <w:left w:val="nil"/>
              <w:bottom w:val="nil"/>
              <w:right w:val="nil"/>
            </w:tcBorders>
            <w:shd w:val="clear" w:color="auto" w:fill="auto"/>
            <w:noWrap/>
            <w:vAlign w:val="bottom"/>
            <w:hideMark/>
          </w:tcPr>
          <w:p w14:paraId="2E9FE98E" w14:textId="3C2EFABB" w:rsidR="00BE2FE2" w:rsidRDefault="00BE2FE2" w:rsidP="00BE2FE2">
            <w:pPr>
              <w:jc w:val="right"/>
              <w:rPr>
                <w:color w:val="000000"/>
                <w:sz w:val="20"/>
                <w:szCs w:val="20"/>
              </w:rPr>
            </w:pPr>
            <w:r>
              <w:rPr>
                <w:color w:val="000000"/>
                <w:sz w:val="20"/>
                <w:szCs w:val="20"/>
              </w:rPr>
              <w:t>0.003</w:t>
            </w:r>
          </w:p>
        </w:tc>
      </w:tr>
      <w:tr w:rsidR="00BE2FE2" w14:paraId="01A068B9" w14:textId="77777777" w:rsidTr="006628A7">
        <w:trPr>
          <w:trHeight w:val="320"/>
        </w:trPr>
        <w:tc>
          <w:tcPr>
            <w:tcW w:w="1176" w:type="dxa"/>
            <w:tcBorders>
              <w:top w:val="nil"/>
              <w:left w:val="nil"/>
              <w:bottom w:val="nil"/>
              <w:right w:val="nil"/>
            </w:tcBorders>
            <w:shd w:val="clear" w:color="auto" w:fill="auto"/>
            <w:noWrap/>
            <w:vAlign w:val="bottom"/>
            <w:hideMark/>
          </w:tcPr>
          <w:p w14:paraId="04E2E47A"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F63D75E" w14:textId="77777777" w:rsidR="00BE2FE2" w:rsidRDefault="00BE2FE2" w:rsidP="00BE2FE2">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449E9B9" w14:textId="7CB7AB72" w:rsidR="00BE2FE2" w:rsidRDefault="00BE2FE2" w:rsidP="00BE2FE2">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22981701" w14:textId="0836D10B" w:rsidR="00BE2FE2" w:rsidRDefault="00BE2FE2" w:rsidP="00BE2FE2">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3FB74F10" w14:textId="6BA2F8F6"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6610083" w14:textId="3DE7218D" w:rsidR="00BE2FE2" w:rsidRDefault="00BE2FE2" w:rsidP="00BE2FE2">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025D8A6B" w14:textId="5B8591C1" w:rsidR="00BE2FE2" w:rsidRDefault="00BE2FE2" w:rsidP="00BE2FE2">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5993E2D7" w14:textId="56258E2E"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9724640" w14:textId="2E98199D" w:rsidR="00BE2FE2" w:rsidRDefault="00BE2FE2" w:rsidP="00BE2FE2">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4FFDBE32" w14:textId="603055F7" w:rsidR="00BE2FE2" w:rsidRDefault="00BE2FE2" w:rsidP="00BE2FE2">
            <w:pPr>
              <w:jc w:val="right"/>
              <w:rPr>
                <w:color w:val="000000"/>
                <w:sz w:val="20"/>
                <w:szCs w:val="20"/>
              </w:rPr>
            </w:pPr>
            <w:r>
              <w:rPr>
                <w:color w:val="000000"/>
                <w:sz w:val="20"/>
                <w:szCs w:val="20"/>
              </w:rPr>
              <w:t>0.280</w:t>
            </w:r>
          </w:p>
        </w:tc>
        <w:tc>
          <w:tcPr>
            <w:tcW w:w="768" w:type="dxa"/>
            <w:tcBorders>
              <w:top w:val="nil"/>
              <w:left w:val="nil"/>
              <w:bottom w:val="nil"/>
              <w:right w:val="nil"/>
            </w:tcBorders>
            <w:shd w:val="clear" w:color="auto" w:fill="auto"/>
            <w:noWrap/>
            <w:vAlign w:val="bottom"/>
            <w:hideMark/>
          </w:tcPr>
          <w:p w14:paraId="54765FCD" w14:textId="055C9AB6" w:rsidR="00BE2FE2" w:rsidRDefault="00BE2FE2" w:rsidP="00BE2FE2">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C461AEE" w14:textId="6167B37E" w:rsidR="00BE2FE2" w:rsidRDefault="00BE2FE2" w:rsidP="00BE2FE2">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0884060A" w14:textId="43EE3C77" w:rsidR="00BE2FE2" w:rsidRDefault="00BE2FE2" w:rsidP="00BE2FE2">
            <w:pPr>
              <w:jc w:val="right"/>
              <w:rPr>
                <w:color w:val="000000"/>
                <w:sz w:val="20"/>
                <w:szCs w:val="20"/>
              </w:rPr>
            </w:pPr>
            <w:r>
              <w:rPr>
                <w:color w:val="000000"/>
                <w:sz w:val="20"/>
                <w:szCs w:val="20"/>
              </w:rPr>
              <w:t>0.352</w:t>
            </w:r>
          </w:p>
        </w:tc>
        <w:tc>
          <w:tcPr>
            <w:tcW w:w="768" w:type="dxa"/>
            <w:tcBorders>
              <w:top w:val="nil"/>
              <w:left w:val="nil"/>
              <w:bottom w:val="nil"/>
              <w:right w:val="nil"/>
            </w:tcBorders>
            <w:shd w:val="clear" w:color="auto" w:fill="auto"/>
            <w:noWrap/>
            <w:vAlign w:val="bottom"/>
            <w:hideMark/>
          </w:tcPr>
          <w:p w14:paraId="4BE85E7C" w14:textId="7CB9938A" w:rsidR="00BE2FE2" w:rsidRDefault="00BE2FE2" w:rsidP="00BE2FE2">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C7DA55F" w14:textId="117F6057" w:rsidR="00BE2FE2" w:rsidRDefault="00BE2FE2" w:rsidP="00BE2FE2">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6B3DFDAF" w14:textId="2B010FD2" w:rsidR="00BE2FE2" w:rsidRDefault="00BE2FE2" w:rsidP="00BE2FE2">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443A0A0D" w14:textId="4A8D1CAE" w:rsidR="00BE2FE2" w:rsidRDefault="00BE2FE2" w:rsidP="00BE2FE2">
            <w:pPr>
              <w:jc w:val="right"/>
              <w:rPr>
                <w:color w:val="000000"/>
                <w:sz w:val="20"/>
                <w:szCs w:val="20"/>
              </w:rPr>
            </w:pPr>
            <w:r>
              <w:rPr>
                <w:color w:val="000000"/>
                <w:sz w:val="20"/>
                <w:szCs w:val="20"/>
              </w:rPr>
              <w:t>0.008</w:t>
            </w:r>
          </w:p>
        </w:tc>
      </w:tr>
      <w:tr w:rsidR="00BE2FE2" w14:paraId="43E1D06B" w14:textId="77777777" w:rsidTr="006628A7">
        <w:trPr>
          <w:trHeight w:val="320"/>
        </w:trPr>
        <w:tc>
          <w:tcPr>
            <w:tcW w:w="1176" w:type="dxa"/>
            <w:tcBorders>
              <w:top w:val="nil"/>
              <w:left w:val="nil"/>
              <w:bottom w:val="nil"/>
              <w:right w:val="nil"/>
            </w:tcBorders>
            <w:shd w:val="clear" w:color="auto" w:fill="auto"/>
            <w:noWrap/>
            <w:vAlign w:val="bottom"/>
            <w:hideMark/>
          </w:tcPr>
          <w:p w14:paraId="01DE2613"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2676877" w14:textId="77777777" w:rsidR="00BE2FE2" w:rsidRDefault="00BE2FE2" w:rsidP="00BE2FE2">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41F8019" w14:textId="57D270AC" w:rsidR="00BE2FE2" w:rsidRDefault="00BE2FE2" w:rsidP="00BE2FE2">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178208AA" w14:textId="16A87C5C" w:rsidR="00BE2FE2" w:rsidRDefault="00BE2FE2" w:rsidP="00BE2FE2">
            <w:pPr>
              <w:jc w:val="right"/>
              <w:rPr>
                <w:color w:val="000000"/>
                <w:sz w:val="20"/>
                <w:szCs w:val="20"/>
              </w:rPr>
            </w:pPr>
            <w:r>
              <w:rPr>
                <w:color w:val="000000"/>
                <w:sz w:val="20"/>
                <w:szCs w:val="20"/>
              </w:rPr>
              <w:t>0.772</w:t>
            </w:r>
          </w:p>
        </w:tc>
        <w:tc>
          <w:tcPr>
            <w:tcW w:w="768" w:type="dxa"/>
            <w:tcBorders>
              <w:top w:val="nil"/>
              <w:left w:val="nil"/>
              <w:bottom w:val="nil"/>
              <w:right w:val="nil"/>
            </w:tcBorders>
            <w:shd w:val="clear" w:color="auto" w:fill="auto"/>
            <w:noWrap/>
            <w:vAlign w:val="bottom"/>
            <w:hideMark/>
          </w:tcPr>
          <w:p w14:paraId="72932378" w14:textId="14F1A6E2"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C497E6" w14:textId="1A21A851"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E041C36" w14:textId="5A178273" w:rsidR="00BE2FE2" w:rsidRDefault="00BE2FE2" w:rsidP="00BE2FE2">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3EBB0C4C" w14:textId="02236C20"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D3A0CB" w14:textId="7216A303" w:rsidR="00BE2FE2" w:rsidRDefault="00BE2FE2" w:rsidP="00BE2FE2">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9CC55C6" w14:textId="55383045" w:rsidR="00BE2FE2" w:rsidRDefault="00BE2FE2" w:rsidP="00BE2FE2">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0F037875" w14:textId="1AE1B815"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30C6B8" w14:textId="5319FEF8" w:rsidR="00BE2FE2" w:rsidRDefault="00BE2FE2" w:rsidP="00BE2FE2">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1444CBF" w14:textId="5D31AB2C" w:rsidR="00BE2FE2" w:rsidRDefault="00BE2FE2" w:rsidP="00BE2FE2">
            <w:pPr>
              <w:jc w:val="right"/>
              <w:rPr>
                <w:color w:val="000000"/>
                <w:sz w:val="20"/>
                <w:szCs w:val="20"/>
              </w:rPr>
            </w:pPr>
            <w:r>
              <w:rPr>
                <w:color w:val="000000"/>
                <w:sz w:val="20"/>
                <w:szCs w:val="20"/>
              </w:rPr>
              <w:t>0.957</w:t>
            </w:r>
          </w:p>
        </w:tc>
        <w:tc>
          <w:tcPr>
            <w:tcW w:w="768" w:type="dxa"/>
            <w:tcBorders>
              <w:top w:val="nil"/>
              <w:left w:val="nil"/>
              <w:bottom w:val="nil"/>
              <w:right w:val="nil"/>
            </w:tcBorders>
            <w:shd w:val="clear" w:color="auto" w:fill="auto"/>
            <w:noWrap/>
            <w:vAlign w:val="bottom"/>
            <w:hideMark/>
          </w:tcPr>
          <w:p w14:paraId="4441154D" w14:textId="42EA01AD"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DB039E" w14:textId="426427C7" w:rsidR="00BE2FE2" w:rsidRDefault="00BE2FE2" w:rsidP="00BE2FE2">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026734D" w14:textId="78D2ED2B" w:rsidR="00BE2FE2" w:rsidRDefault="00BE2FE2" w:rsidP="00BE2FE2">
            <w:pPr>
              <w:jc w:val="right"/>
              <w:rPr>
                <w:color w:val="000000"/>
                <w:sz w:val="20"/>
                <w:szCs w:val="20"/>
              </w:rPr>
            </w:pPr>
            <w:r>
              <w:rPr>
                <w:color w:val="000000"/>
                <w:sz w:val="20"/>
                <w:szCs w:val="20"/>
              </w:rPr>
              <w:t>0.455</w:t>
            </w:r>
          </w:p>
        </w:tc>
        <w:tc>
          <w:tcPr>
            <w:tcW w:w="768" w:type="dxa"/>
            <w:tcBorders>
              <w:top w:val="nil"/>
              <w:left w:val="nil"/>
              <w:bottom w:val="nil"/>
              <w:right w:val="nil"/>
            </w:tcBorders>
            <w:shd w:val="clear" w:color="auto" w:fill="auto"/>
            <w:noWrap/>
            <w:vAlign w:val="bottom"/>
            <w:hideMark/>
          </w:tcPr>
          <w:p w14:paraId="3E2245F0" w14:textId="3C3042A4" w:rsidR="00BE2FE2" w:rsidRDefault="00BE2FE2" w:rsidP="00BE2FE2">
            <w:pPr>
              <w:jc w:val="right"/>
              <w:rPr>
                <w:color w:val="000000"/>
                <w:sz w:val="20"/>
                <w:szCs w:val="20"/>
              </w:rPr>
            </w:pPr>
            <w:r>
              <w:rPr>
                <w:color w:val="000000"/>
                <w:sz w:val="20"/>
                <w:szCs w:val="20"/>
              </w:rPr>
              <w:t>0.002</w:t>
            </w:r>
          </w:p>
        </w:tc>
      </w:tr>
      <w:tr w:rsidR="00BE2FE2" w14:paraId="1A762A17" w14:textId="77777777" w:rsidTr="006628A7">
        <w:trPr>
          <w:trHeight w:val="320"/>
        </w:trPr>
        <w:tc>
          <w:tcPr>
            <w:tcW w:w="1176" w:type="dxa"/>
            <w:tcBorders>
              <w:top w:val="nil"/>
              <w:left w:val="nil"/>
              <w:bottom w:val="nil"/>
              <w:right w:val="nil"/>
            </w:tcBorders>
            <w:shd w:val="clear" w:color="auto" w:fill="auto"/>
            <w:noWrap/>
            <w:vAlign w:val="bottom"/>
            <w:hideMark/>
          </w:tcPr>
          <w:p w14:paraId="4905769B"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1A3FB10" w14:textId="77777777" w:rsidR="00BE2FE2" w:rsidRDefault="00BE2FE2" w:rsidP="00BE2FE2">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AE37E16" w14:textId="253C7429" w:rsidR="00BE2FE2" w:rsidRDefault="00BE2FE2" w:rsidP="00BE2FE2">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468F3C6" w14:textId="27D971C7" w:rsidR="00BE2FE2" w:rsidRDefault="00BE2FE2" w:rsidP="00BE2FE2">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095CCE59" w14:textId="7049BEA2"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864D086" w14:textId="5B6459DF" w:rsidR="00BE2FE2" w:rsidRDefault="00BE2FE2" w:rsidP="00BE2FE2">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5EA07441" w14:textId="19A11A34" w:rsidR="00BE2FE2" w:rsidRDefault="00BE2FE2" w:rsidP="00BE2FE2">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4C98B7B5" w14:textId="73D5E1F6"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9CC6948" w14:textId="1B244FDB" w:rsidR="00BE2FE2" w:rsidRDefault="00BE2FE2" w:rsidP="00BE2FE2">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1EFB06B" w14:textId="4DF362DE" w:rsidR="00BE2FE2" w:rsidRDefault="00BE2FE2" w:rsidP="00BE2FE2">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734FDABA" w14:textId="56C60E10"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86F3F3" w14:textId="7E1D4221" w:rsidR="00BE2FE2" w:rsidRDefault="00BE2FE2" w:rsidP="00BE2FE2">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29499E26" w14:textId="78E71225" w:rsidR="00BE2FE2" w:rsidRDefault="00BE2FE2" w:rsidP="00BE2FE2">
            <w:pPr>
              <w:jc w:val="right"/>
              <w:rPr>
                <w:color w:val="000000"/>
                <w:sz w:val="20"/>
                <w:szCs w:val="20"/>
              </w:rPr>
            </w:pPr>
            <w:r>
              <w:rPr>
                <w:color w:val="000000"/>
                <w:sz w:val="20"/>
                <w:szCs w:val="20"/>
              </w:rPr>
              <w:t>0.700</w:t>
            </w:r>
          </w:p>
        </w:tc>
        <w:tc>
          <w:tcPr>
            <w:tcW w:w="768" w:type="dxa"/>
            <w:tcBorders>
              <w:top w:val="nil"/>
              <w:left w:val="nil"/>
              <w:bottom w:val="nil"/>
              <w:right w:val="nil"/>
            </w:tcBorders>
            <w:shd w:val="clear" w:color="auto" w:fill="auto"/>
            <w:noWrap/>
            <w:vAlign w:val="bottom"/>
            <w:hideMark/>
          </w:tcPr>
          <w:p w14:paraId="0844EEBA" w14:textId="258E88DD"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786FDA8" w14:textId="7C2AA5B3" w:rsidR="00BE2FE2" w:rsidRDefault="00BE2FE2" w:rsidP="00BE2FE2">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0BDF6B0" w14:textId="7600BF0B" w:rsidR="00BE2FE2" w:rsidRDefault="00BE2FE2" w:rsidP="00BE2FE2">
            <w:pPr>
              <w:jc w:val="right"/>
              <w:rPr>
                <w:color w:val="000000"/>
                <w:sz w:val="20"/>
                <w:szCs w:val="20"/>
              </w:rPr>
            </w:pPr>
            <w:r>
              <w:rPr>
                <w:color w:val="000000"/>
                <w:sz w:val="20"/>
                <w:szCs w:val="20"/>
              </w:rPr>
              <w:t>0.455</w:t>
            </w:r>
          </w:p>
        </w:tc>
        <w:tc>
          <w:tcPr>
            <w:tcW w:w="768" w:type="dxa"/>
            <w:tcBorders>
              <w:top w:val="nil"/>
              <w:left w:val="nil"/>
              <w:bottom w:val="nil"/>
              <w:right w:val="nil"/>
            </w:tcBorders>
            <w:shd w:val="clear" w:color="auto" w:fill="auto"/>
            <w:noWrap/>
            <w:vAlign w:val="bottom"/>
            <w:hideMark/>
          </w:tcPr>
          <w:p w14:paraId="42ADA3EA" w14:textId="4E5675DC" w:rsidR="00BE2FE2" w:rsidRDefault="00BE2FE2" w:rsidP="00BE2FE2">
            <w:pPr>
              <w:jc w:val="right"/>
              <w:rPr>
                <w:color w:val="000000"/>
                <w:sz w:val="20"/>
                <w:szCs w:val="20"/>
              </w:rPr>
            </w:pPr>
            <w:r>
              <w:rPr>
                <w:color w:val="000000"/>
                <w:sz w:val="20"/>
                <w:szCs w:val="20"/>
              </w:rPr>
              <w:t>0.001</w:t>
            </w:r>
          </w:p>
        </w:tc>
      </w:tr>
      <w:tr w:rsidR="00BE2FE2" w14:paraId="48278511" w14:textId="77777777" w:rsidTr="006628A7">
        <w:trPr>
          <w:trHeight w:val="320"/>
        </w:trPr>
        <w:tc>
          <w:tcPr>
            <w:tcW w:w="1176" w:type="dxa"/>
            <w:tcBorders>
              <w:top w:val="nil"/>
              <w:left w:val="nil"/>
              <w:bottom w:val="nil"/>
              <w:right w:val="nil"/>
            </w:tcBorders>
            <w:shd w:val="clear" w:color="auto" w:fill="auto"/>
            <w:noWrap/>
            <w:vAlign w:val="bottom"/>
            <w:hideMark/>
          </w:tcPr>
          <w:p w14:paraId="42398547"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3BAD53A" w14:textId="77777777" w:rsidR="00BE2FE2" w:rsidRDefault="00BE2FE2" w:rsidP="00BE2FE2">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192E325" w14:textId="6B3CDBCF"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20CA73" w14:textId="05440824" w:rsidR="00BE2FE2" w:rsidRDefault="00BE2FE2" w:rsidP="00BE2FE2">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5403669B" w14:textId="7529B2A9"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84376E" w14:textId="39B728B7" w:rsidR="00BE2FE2" w:rsidRDefault="00BE2FE2" w:rsidP="00BE2FE2">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84F38BF" w14:textId="542D14B1" w:rsidR="00BE2FE2" w:rsidRDefault="00BE2FE2" w:rsidP="00BE2FE2">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4240E3A9" w14:textId="1FA87E23"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E6A8FED" w14:textId="5C6BA642" w:rsidR="00BE2FE2" w:rsidRDefault="00BE2FE2" w:rsidP="00BE2FE2">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9206684" w14:textId="3659850E" w:rsidR="00BE2FE2" w:rsidRDefault="00BE2FE2" w:rsidP="00BE2FE2">
            <w:pPr>
              <w:jc w:val="right"/>
              <w:rPr>
                <w:color w:val="000000"/>
                <w:sz w:val="20"/>
                <w:szCs w:val="20"/>
              </w:rPr>
            </w:pPr>
            <w:r>
              <w:rPr>
                <w:color w:val="000000"/>
                <w:sz w:val="20"/>
                <w:szCs w:val="20"/>
              </w:rPr>
              <w:t>0.538</w:t>
            </w:r>
          </w:p>
        </w:tc>
        <w:tc>
          <w:tcPr>
            <w:tcW w:w="768" w:type="dxa"/>
            <w:tcBorders>
              <w:top w:val="nil"/>
              <w:left w:val="nil"/>
              <w:bottom w:val="nil"/>
              <w:right w:val="nil"/>
            </w:tcBorders>
            <w:shd w:val="clear" w:color="auto" w:fill="auto"/>
            <w:noWrap/>
            <w:vAlign w:val="bottom"/>
            <w:hideMark/>
          </w:tcPr>
          <w:p w14:paraId="1B09B39E" w14:textId="262FCAD5"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3C69D2" w14:textId="15A96A46" w:rsidR="00BE2FE2" w:rsidRDefault="00BE2FE2" w:rsidP="00BE2FE2">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4EB48AAF" w14:textId="107ACF04" w:rsidR="00BE2FE2" w:rsidRDefault="00BE2FE2" w:rsidP="00BE2FE2">
            <w:pPr>
              <w:jc w:val="right"/>
              <w:rPr>
                <w:color w:val="000000"/>
                <w:sz w:val="20"/>
                <w:szCs w:val="20"/>
              </w:rPr>
            </w:pPr>
            <w:r>
              <w:rPr>
                <w:color w:val="000000"/>
                <w:sz w:val="20"/>
                <w:szCs w:val="20"/>
              </w:rPr>
              <w:t>0.700</w:t>
            </w:r>
          </w:p>
        </w:tc>
        <w:tc>
          <w:tcPr>
            <w:tcW w:w="768" w:type="dxa"/>
            <w:tcBorders>
              <w:top w:val="nil"/>
              <w:left w:val="nil"/>
              <w:bottom w:val="nil"/>
              <w:right w:val="nil"/>
            </w:tcBorders>
            <w:shd w:val="clear" w:color="auto" w:fill="auto"/>
            <w:noWrap/>
            <w:vAlign w:val="bottom"/>
            <w:hideMark/>
          </w:tcPr>
          <w:p w14:paraId="7F393CE7" w14:textId="741104B1"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E2683F" w14:textId="016E32AF" w:rsidR="00BE2FE2" w:rsidRDefault="00BE2FE2" w:rsidP="00BE2FE2">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75C61C50" w14:textId="077CC326" w:rsidR="00BE2FE2" w:rsidRDefault="00BE2FE2" w:rsidP="00BE2FE2">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4C392AB0" w14:textId="28064CEE" w:rsidR="00BE2FE2" w:rsidRDefault="00BE2FE2" w:rsidP="00BE2FE2">
            <w:pPr>
              <w:jc w:val="right"/>
              <w:rPr>
                <w:color w:val="000000"/>
                <w:sz w:val="20"/>
                <w:szCs w:val="20"/>
              </w:rPr>
            </w:pPr>
            <w:r>
              <w:rPr>
                <w:color w:val="000000"/>
                <w:sz w:val="20"/>
                <w:szCs w:val="20"/>
              </w:rPr>
              <w:t>0.007</w:t>
            </w:r>
          </w:p>
        </w:tc>
      </w:tr>
      <w:tr w:rsidR="00BE2FE2" w14:paraId="20D8F9E1" w14:textId="77777777" w:rsidTr="006628A7">
        <w:trPr>
          <w:trHeight w:val="320"/>
        </w:trPr>
        <w:tc>
          <w:tcPr>
            <w:tcW w:w="1176" w:type="dxa"/>
            <w:tcBorders>
              <w:top w:val="nil"/>
              <w:left w:val="nil"/>
              <w:bottom w:val="nil"/>
              <w:right w:val="nil"/>
            </w:tcBorders>
            <w:shd w:val="clear" w:color="auto" w:fill="auto"/>
            <w:noWrap/>
            <w:vAlign w:val="bottom"/>
            <w:hideMark/>
          </w:tcPr>
          <w:p w14:paraId="2F28C2EE"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CAF190" w14:textId="77777777" w:rsidR="00BE2FE2" w:rsidRDefault="00BE2FE2" w:rsidP="00BE2FE2">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9A1F7A2" w14:textId="7452D32E" w:rsidR="00BE2FE2" w:rsidRDefault="00BE2FE2" w:rsidP="00BE2FE2">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5A5BEEC" w14:textId="4A6A0046" w:rsidR="00BE2FE2" w:rsidRDefault="00BE2FE2" w:rsidP="00BE2FE2">
            <w:pPr>
              <w:jc w:val="right"/>
              <w:rPr>
                <w:color w:val="000000"/>
                <w:sz w:val="20"/>
                <w:szCs w:val="20"/>
              </w:rPr>
            </w:pPr>
            <w:r>
              <w:rPr>
                <w:color w:val="000000"/>
                <w:sz w:val="20"/>
                <w:szCs w:val="20"/>
              </w:rPr>
              <w:t>0.772</w:t>
            </w:r>
          </w:p>
        </w:tc>
        <w:tc>
          <w:tcPr>
            <w:tcW w:w="768" w:type="dxa"/>
            <w:tcBorders>
              <w:top w:val="nil"/>
              <w:left w:val="nil"/>
              <w:bottom w:val="nil"/>
              <w:right w:val="nil"/>
            </w:tcBorders>
            <w:shd w:val="clear" w:color="auto" w:fill="auto"/>
            <w:noWrap/>
            <w:vAlign w:val="bottom"/>
            <w:hideMark/>
          </w:tcPr>
          <w:p w14:paraId="629A18A2" w14:textId="1BB54136"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AFE1D5" w14:textId="1AD07E17" w:rsidR="00BE2FE2" w:rsidRDefault="00BE2FE2" w:rsidP="00BE2FE2">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2778033" w14:textId="52F633E7" w:rsidR="00BE2FE2" w:rsidRDefault="00BE2FE2" w:rsidP="00BE2FE2">
            <w:pPr>
              <w:jc w:val="right"/>
              <w:rPr>
                <w:color w:val="000000"/>
                <w:sz w:val="20"/>
                <w:szCs w:val="20"/>
              </w:rPr>
            </w:pPr>
            <w:r>
              <w:rPr>
                <w:color w:val="000000"/>
                <w:sz w:val="20"/>
                <w:szCs w:val="20"/>
              </w:rPr>
              <w:t>0.547</w:t>
            </w:r>
          </w:p>
        </w:tc>
        <w:tc>
          <w:tcPr>
            <w:tcW w:w="768" w:type="dxa"/>
            <w:tcBorders>
              <w:top w:val="nil"/>
              <w:left w:val="nil"/>
              <w:bottom w:val="nil"/>
              <w:right w:val="nil"/>
            </w:tcBorders>
            <w:shd w:val="clear" w:color="auto" w:fill="auto"/>
            <w:noWrap/>
            <w:vAlign w:val="bottom"/>
            <w:hideMark/>
          </w:tcPr>
          <w:p w14:paraId="0D7DD383" w14:textId="7C4BFB88"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F27F7CC" w14:textId="5EC42C73" w:rsidR="00BE2FE2" w:rsidRDefault="00BE2FE2" w:rsidP="00BE2FE2">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2B5A1139" w14:textId="0047A2D2" w:rsidR="00BE2FE2" w:rsidRDefault="00BE2FE2" w:rsidP="00BE2FE2">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39536F74" w14:textId="7FD4F45E" w:rsidR="00BE2FE2" w:rsidRDefault="00BE2FE2" w:rsidP="00BE2FE2">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0E79460" w14:textId="19F792C1"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F33FB8B" w14:textId="41E4D68D" w:rsidR="00BE2FE2" w:rsidRDefault="00BE2FE2" w:rsidP="00BE2FE2">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6845E713" w14:textId="58006741"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BEAD1A" w14:textId="0B6395F2" w:rsidR="00BE2FE2" w:rsidRDefault="00BE2FE2" w:rsidP="00BE2FE2">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1A039930" w14:textId="640AEB9E" w:rsidR="00BE2FE2" w:rsidRDefault="00BE2FE2" w:rsidP="00BE2FE2">
            <w:pPr>
              <w:jc w:val="right"/>
              <w:rPr>
                <w:color w:val="000000"/>
                <w:sz w:val="20"/>
                <w:szCs w:val="20"/>
              </w:rPr>
            </w:pPr>
            <w:r>
              <w:rPr>
                <w:color w:val="000000"/>
                <w:sz w:val="20"/>
                <w:szCs w:val="20"/>
              </w:rPr>
              <w:t>0.382</w:t>
            </w:r>
          </w:p>
        </w:tc>
        <w:tc>
          <w:tcPr>
            <w:tcW w:w="768" w:type="dxa"/>
            <w:tcBorders>
              <w:top w:val="nil"/>
              <w:left w:val="nil"/>
              <w:bottom w:val="nil"/>
              <w:right w:val="nil"/>
            </w:tcBorders>
            <w:shd w:val="clear" w:color="auto" w:fill="auto"/>
            <w:noWrap/>
            <w:vAlign w:val="bottom"/>
            <w:hideMark/>
          </w:tcPr>
          <w:p w14:paraId="171878A4" w14:textId="54E3BEEB" w:rsidR="00BE2FE2" w:rsidRDefault="00BE2FE2" w:rsidP="00BE2FE2">
            <w:pPr>
              <w:jc w:val="right"/>
              <w:rPr>
                <w:color w:val="000000"/>
                <w:sz w:val="20"/>
                <w:szCs w:val="20"/>
              </w:rPr>
            </w:pPr>
            <w:r>
              <w:rPr>
                <w:color w:val="000000"/>
                <w:sz w:val="20"/>
                <w:szCs w:val="20"/>
              </w:rPr>
              <w:t>0.003</w:t>
            </w:r>
          </w:p>
        </w:tc>
      </w:tr>
      <w:tr w:rsidR="00BE2FE2" w14:paraId="6BEAB2D2" w14:textId="77777777" w:rsidTr="006628A7">
        <w:trPr>
          <w:trHeight w:val="320"/>
        </w:trPr>
        <w:tc>
          <w:tcPr>
            <w:tcW w:w="1176" w:type="dxa"/>
            <w:tcBorders>
              <w:top w:val="nil"/>
              <w:left w:val="nil"/>
              <w:bottom w:val="nil"/>
              <w:right w:val="nil"/>
            </w:tcBorders>
            <w:shd w:val="clear" w:color="auto" w:fill="auto"/>
            <w:noWrap/>
            <w:vAlign w:val="bottom"/>
            <w:hideMark/>
          </w:tcPr>
          <w:p w14:paraId="3EF6FF76"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B319BA" w14:textId="77777777" w:rsidR="00BE2FE2" w:rsidRDefault="00BE2FE2" w:rsidP="00BE2FE2">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5EEAF78" w14:textId="299D4A80" w:rsidR="00BE2FE2" w:rsidRDefault="00BE2FE2" w:rsidP="00BE2FE2">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0CE393B" w14:textId="3422D5EC" w:rsidR="00BE2FE2" w:rsidRDefault="00BE2FE2" w:rsidP="00BE2FE2">
            <w:pPr>
              <w:jc w:val="right"/>
              <w:rPr>
                <w:color w:val="000000"/>
                <w:sz w:val="20"/>
                <w:szCs w:val="20"/>
              </w:rPr>
            </w:pPr>
            <w:r>
              <w:rPr>
                <w:color w:val="000000"/>
                <w:sz w:val="20"/>
                <w:szCs w:val="20"/>
              </w:rPr>
              <w:t>0.772</w:t>
            </w:r>
          </w:p>
        </w:tc>
        <w:tc>
          <w:tcPr>
            <w:tcW w:w="768" w:type="dxa"/>
            <w:tcBorders>
              <w:top w:val="nil"/>
              <w:left w:val="nil"/>
              <w:bottom w:val="nil"/>
              <w:right w:val="nil"/>
            </w:tcBorders>
            <w:shd w:val="clear" w:color="auto" w:fill="auto"/>
            <w:noWrap/>
            <w:vAlign w:val="bottom"/>
            <w:hideMark/>
          </w:tcPr>
          <w:p w14:paraId="72764D78" w14:textId="35A48E7D"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86E7E9" w14:textId="31CB5287" w:rsidR="00BE2FE2" w:rsidRDefault="00BE2FE2" w:rsidP="00BE2FE2">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357B9E1A" w14:textId="402D6339" w:rsidR="00BE2FE2" w:rsidRDefault="00BE2FE2" w:rsidP="00BE2FE2">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626D17B8" w14:textId="626490ED"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E33EA9A" w14:textId="19DE15F7" w:rsidR="00BE2FE2" w:rsidRDefault="00BE2FE2" w:rsidP="00BE2FE2">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8BBD9FA" w14:textId="4DC8F3F1" w:rsidR="00BE2FE2" w:rsidRDefault="00BE2FE2" w:rsidP="00BE2FE2">
            <w:pPr>
              <w:jc w:val="right"/>
              <w:rPr>
                <w:color w:val="000000"/>
                <w:sz w:val="20"/>
                <w:szCs w:val="20"/>
              </w:rPr>
            </w:pPr>
            <w:r>
              <w:rPr>
                <w:color w:val="000000"/>
                <w:sz w:val="20"/>
                <w:szCs w:val="20"/>
              </w:rPr>
              <w:t>0.294</w:t>
            </w:r>
          </w:p>
        </w:tc>
        <w:tc>
          <w:tcPr>
            <w:tcW w:w="768" w:type="dxa"/>
            <w:tcBorders>
              <w:top w:val="nil"/>
              <w:left w:val="nil"/>
              <w:bottom w:val="nil"/>
              <w:right w:val="nil"/>
            </w:tcBorders>
            <w:shd w:val="clear" w:color="auto" w:fill="auto"/>
            <w:noWrap/>
            <w:vAlign w:val="bottom"/>
            <w:hideMark/>
          </w:tcPr>
          <w:p w14:paraId="59A64953" w14:textId="7CD14795"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B57D895" w14:textId="2E45A718" w:rsidR="00BE2FE2" w:rsidRDefault="00BE2FE2" w:rsidP="00BE2FE2">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41CA764" w14:textId="3B05A87E" w:rsidR="00BE2FE2" w:rsidRDefault="00BE2FE2" w:rsidP="00BE2FE2">
            <w:pPr>
              <w:jc w:val="right"/>
              <w:rPr>
                <w:color w:val="000000"/>
                <w:sz w:val="20"/>
                <w:szCs w:val="20"/>
              </w:rPr>
            </w:pPr>
            <w:r>
              <w:rPr>
                <w:color w:val="000000"/>
                <w:sz w:val="20"/>
                <w:szCs w:val="20"/>
              </w:rPr>
              <w:t>0.957</w:t>
            </w:r>
          </w:p>
        </w:tc>
        <w:tc>
          <w:tcPr>
            <w:tcW w:w="768" w:type="dxa"/>
            <w:tcBorders>
              <w:top w:val="nil"/>
              <w:left w:val="nil"/>
              <w:bottom w:val="nil"/>
              <w:right w:val="nil"/>
            </w:tcBorders>
            <w:shd w:val="clear" w:color="auto" w:fill="auto"/>
            <w:noWrap/>
            <w:vAlign w:val="bottom"/>
            <w:hideMark/>
          </w:tcPr>
          <w:p w14:paraId="6A4E8A4E" w14:textId="0736D79A"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1CD083" w14:textId="53CC994C" w:rsidR="00BE2FE2" w:rsidRDefault="00BE2FE2" w:rsidP="00BE2FE2">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6782D4D" w14:textId="0CE96810" w:rsidR="00BE2FE2" w:rsidRDefault="00BE2FE2" w:rsidP="00BE2FE2">
            <w:pPr>
              <w:jc w:val="right"/>
              <w:rPr>
                <w:color w:val="000000"/>
                <w:sz w:val="20"/>
                <w:szCs w:val="20"/>
              </w:rPr>
            </w:pPr>
            <w:r>
              <w:rPr>
                <w:color w:val="000000"/>
                <w:sz w:val="20"/>
                <w:szCs w:val="20"/>
              </w:rPr>
              <w:t>0.455</w:t>
            </w:r>
          </w:p>
        </w:tc>
        <w:tc>
          <w:tcPr>
            <w:tcW w:w="768" w:type="dxa"/>
            <w:tcBorders>
              <w:top w:val="nil"/>
              <w:left w:val="nil"/>
              <w:bottom w:val="nil"/>
              <w:right w:val="nil"/>
            </w:tcBorders>
            <w:shd w:val="clear" w:color="auto" w:fill="auto"/>
            <w:noWrap/>
            <w:vAlign w:val="bottom"/>
            <w:hideMark/>
          </w:tcPr>
          <w:p w14:paraId="4B6E922D" w14:textId="3B8557D9" w:rsidR="00BE2FE2" w:rsidRDefault="00BE2FE2" w:rsidP="00BE2FE2">
            <w:pPr>
              <w:jc w:val="right"/>
              <w:rPr>
                <w:color w:val="000000"/>
                <w:sz w:val="20"/>
                <w:szCs w:val="20"/>
              </w:rPr>
            </w:pPr>
            <w:r>
              <w:rPr>
                <w:color w:val="000000"/>
                <w:sz w:val="20"/>
                <w:szCs w:val="20"/>
              </w:rPr>
              <w:t>0.001</w:t>
            </w:r>
          </w:p>
        </w:tc>
      </w:tr>
      <w:tr w:rsidR="00BE2FE2" w14:paraId="317ED6D3" w14:textId="77777777" w:rsidTr="006628A7">
        <w:trPr>
          <w:trHeight w:val="320"/>
        </w:trPr>
        <w:tc>
          <w:tcPr>
            <w:tcW w:w="1176" w:type="dxa"/>
            <w:tcBorders>
              <w:top w:val="nil"/>
              <w:left w:val="nil"/>
              <w:bottom w:val="single" w:sz="4" w:space="0" w:color="auto"/>
              <w:right w:val="nil"/>
            </w:tcBorders>
            <w:shd w:val="clear" w:color="auto" w:fill="auto"/>
            <w:noWrap/>
            <w:vAlign w:val="bottom"/>
            <w:hideMark/>
          </w:tcPr>
          <w:p w14:paraId="25DB0067" w14:textId="77777777" w:rsidR="00BE2FE2" w:rsidRDefault="00BE2FE2" w:rsidP="00BE2FE2">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DAB2849" w14:textId="77777777" w:rsidR="00BE2FE2" w:rsidRDefault="00BE2FE2" w:rsidP="00BE2FE2">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A35738E" w14:textId="4A37A78A"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F9ECBCD" w14:textId="64D79298" w:rsidR="00BE2FE2" w:rsidRDefault="00BE2FE2" w:rsidP="00BE2FE2">
            <w:pPr>
              <w:jc w:val="right"/>
              <w:rPr>
                <w:color w:val="000000"/>
                <w:sz w:val="20"/>
                <w:szCs w:val="20"/>
              </w:rPr>
            </w:pPr>
            <w:r>
              <w:rPr>
                <w:color w:val="000000"/>
                <w:sz w:val="20"/>
                <w:szCs w:val="20"/>
              </w:rPr>
              <w:t>0.973</w:t>
            </w:r>
          </w:p>
        </w:tc>
        <w:tc>
          <w:tcPr>
            <w:tcW w:w="768" w:type="dxa"/>
            <w:tcBorders>
              <w:top w:val="nil"/>
              <w:left w:val="nil"/>
              <w:bottom w:val="single" w:sz="4" w:space="0" w:color="auto"/>
              <w:right w:val="nil"/>
            </w:tcBorders>
            <w:shd w:val="clear" w:color="auto" w:fill="auto"/>
            <w:noWrap/>
            <w:vAlign w:val="bottom"/>
            <w:hideMark/>
          </w:tcPr>
          <w:p w14:paraId="49FD60AC" w14:textId="05031854"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872813A" w14:textId="55A5F033" w:rsidR="00BE2FE2" w:rsidRDefault="00BE2FE2" w:rsidP="00BE2FE2">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7BD44045" w14:textId="51FE6CAD" w:rsidR="00BE2FE2" w:rsidRDefault="00BE2FE2" w:rsidP="00BE2FE2">
            <w:pPr>
              <w:jc w:val="right"/>
              <w:rPr>
                <w:color w:val="000000"/>
                <w:sz w:val="20"/>
                <w:szCs w:val="20"/>
              </w:rPr>
            </w:pPr>
            <w:r>
              <w:rPr>
                <w:color w:val="000000"/>
                <w:sz w:val="20"/>
                <w:szCs w:val="20"/>
              </w:rPr>
              <w:t>0.360</w:t>
            </w:r>
          </w:p>
        </w:tc>
        <w:tc>
          <w:tcPr>
            <w:tcW w:w="768" w:type="dxa"/>
            <w:tcBorders>
              <w:top w:val="nil"/>
              <w:left w:val="nil"/>
              <w:bottom w:val="single" w:sz="4" w:space="0" w:color="auto"/>
              <w:right w:val="nil"/>
            </w:tcBorders>
            <w:shd w:val="clear" w:color="auto" w:fill="auto"/>
            <w:noWrap/>
            <w:vAlign w:val="bottom"/>
            <w:hideMark/>
          </w:tcPr>
          <w:p w14:paraId="18B28BBC" w14:textId="0517207E"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4A757BB" w14:textId="1605BA7A" w:rsidR="00BE2FE2" w:rsidRDefault="00BE2FE2" w:rsidP="00BE2FE2">
            <w:pPr>
              <w:jc w:val="right"/>
              <w:rPr>
                <w:color w:val="000000"/>
                <w:sz w:val="20"/>
                <w:szCs w:val="20"/>
              </w:rPr>
            </w:pPr>
            <w:r>
              <w:rPr>
                <w:color w:val="000000"/>
                <w:sz w:val="20"/>
                <w:szCs w:val="20"/>
              </w:rPr>
              <w:t>-0.048</w:t>
            </w:r>
          </w:p>
        </w:tc>
        <w:tc>
          <w:tcPr>
            <w:tcW w:w="768" w:type="dxa"/>
            <w:tcBorders>
              <w:top w:val="nil"/>
              <w:left w:val="nil"/>
              <w:bottom w:val="single" w:sz="4" w:space="0" w:color="auto"/>
              <w:right w:val="nil"/>
            </w:tcBorders>
            <w:shd w:val="clear" w:color="auto" w:fill="auto"/>
            <w:noWrap/>
            <w:vAlign w:val="bottom"/>
            <w:hideMark/>
          </w:tcPr>
          <w:p w14:paraId="72DD6FC1" w14:textId="5DBE2BE5" w:rsidR="00BE2FE2" w:rsidRDefault="00BE2FE2" w:rsidP="00BE2FE2">
            <w:pPr>
              <w:jc w:val="right"/>
              <w:rPr>
                <w:color w:val="000000"/>
                <w:sz w:val="20"/>
                <w:szCs w:val="20"/>
              </w:rPr>
            </w:pPr>
            <w:r>
              <w:rPr>
                <w:color w:val="000000"/>
                <w:sz w:val="20"/>
                <w:szCs w:val="20"/>
              </w:rPr>
              <w:t>0.294</w:t>
            </w:r>
          </w:p>
        </w:tc>
        <w:tc>
          <w:tcPr>
            <w:tcW w:w="768" w:type="dxa"/>
            <w:tcBorders>
              <w:top w:val="nil"/>
              <w:left w:val="nil"/>
              <w:bottom w:val="single" w:sz="4" w:space="0" w:color="auto"/>
              <w:right w:val="nil"/>
            </w:tcBorders>
            <w:shd w:val="clear" w:color="auto" w:fill="auto"/>
            <w:noWrap/>
            <w:vAlign w:val="bottom"/>
            <w:hideMark/>
          </w:tcPr>
          <w:p w14:paraId="3415429D" w14:textId="12D4CD3C"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EA9527C" w14:textId="014AD581" w:rsidR="00BE2FE2" w:rsidRDefault="00BE2FE2" w:rsidP="00BE2FE2">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30CE2388" w14:textId="62DE1813" w:rsidR="00BE2FE2" w:rsidRDefault="00BE2FE2" w:rsidP="00BE2FE2">
            <w:pPr>
              <w:jc w:val="right"/>
              <w:rPr>
                <w:color w:val="000000"/>
                <w:sz w:val="20"/>
                <w:szCs w:val="20"/>
              </w:rPr>
            </w:pPr>
            <w:r>
              <w:rPr>
                <w:color w:val="000000"/>
                <w:sz w:val="20"/>
                <w:szCs w:val="20"/>
              </w:rPr>
              <w:t>0.957</w:t>
            </w:r>
          </w:p>
        </w:tc>
        <w:tc>
          <w:tcPr>
            <w:tcW w:w="768" w:type="dxa"/>
            <w:tcBorders>
              <w:top w:val="nil"/>
              <w:left w:val="nil"/>
              <w:bottom w:val="single" w:sz="4" w:space="0" w:color="auto"/>
              <w:right w:val="nil"/>
            </w:tcBorders>
            <w:shd w:val="clear" w:color="auto" w:fill="auto"/>
            <w:noWrap/>
            <w:vAlign w:val="bottom"/>
            <w:hideMark/>
          </w:tcPr>
          <w:p w14:paraId="6F35F2FE" w14:textId="44B0D92D"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3B7EB45" w14:textId="408993D5" w:rsidR="00BE2FE2" w:rsidRDefault="00BE2FE2" w:rsidP="00BE2FE2">
            <w:pPr>
              <w:jc w:val="right"/>
              <w:rPr>
                <w:color w:val="000000"/>
                <w:sz w:val="20"/>
                <w:szCs w:val="20"/>
              </w:rPr>
            </w:pPr>
            <w:r>
              <w:rPr>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41C9663F" w14:textId="0AC8EA85" w:rsidR="00BE2FE2" w:rsidRDefault="00BE2FE2" w:rsidP="00BE2FE2">
            <w:pPr>
              <w:jc w:val="right"/>
              <w:rPr>
                <w:color w:val="000000"/>
                <w:sz w:val="20"/>
                <w:szCs w:val="20"/>
              </w:rPr>
            </w:pPr>
            <w:r>
              <w:rPr>
                <w:color w:val="000000"/>
                <w:sz w:val="20"/>
                <w:szCs w:val="20"/>
              </w:rPr>
              <w:t>0.455</w:t>
            </w:r>
          </w:p>
        </w:tc>
        <w:tc>
          <w:tcPr>
            <w:tcW w:w="768" w:type="dxa"/>
            <w:tcBorders>
              <w:top w:val="nil"/>
              <w:left w:val="nil"/>
              <w:bottom w:val="single" w:sz="4" w:space="0" w:color="auto"/>
              <w:right w:val="nil"/>
            </w:tcBorders>
            <w:shd w:val="clear" w:color="auto" w:fill="auto"/>
            <w:noWrap/>
            <w:vAlign w:val="bottom"/>
            <w:hideMark/>
          </w:tcPr>
          <w:p w14:paraId="666450DB" w14:textId="2F090475" w:rsidR="00BE2FE2" w:rsidRDefault="00BE2FE2" w:rsidP="00BE2FE2">
            <w:pPr>
              <w:jc w:val="right"/>
              <w:rPr>
                <w:color w:val="000000"/>
                <w:sz w:val="20"/>
                <w:szCs w:val="20"/>
              </w:rPr>
            </w:pPr>
            <w:r>
              <w:rPr>
                <w:color w:val="000000"/>
                <w:sz w:val="20"/>
                <w:szCs w:val="20"/>
              </w:rPr>
              <w:t>0.002</w:t>
            </w:r>
          </w:p>
        </w:tc>
      </w:tr>
      <w:tr w:rsidR="00BE2FE2" w14:paraId="269EC96F" w14:textId="77777777" w:rsidTr="006628A7">
        <w:trPr>
          <w:trHeight w:val="320"/>
        </w:trPr>
        <w:tc>
          <w:tcPr>
            <w:tcW w:w="1176" w:type="dxa"/>
            <w:tcBorders>
              <w:top w:val="nil"/>
              <w:left w:val="nil"/>
              <w:bottom w:val="nil"/>
              <w:right w:val="nil"/>
            </w:tcBorders>
            <w:shd w:val="clear" w:color="auto" w:fill="auto"/>
            <w:noWrap/>
            <w:vAlign w:val="bottom"/>
            <w:hideMark/>
          </w:tcPr>
          <w:p w14:paraId="6A041A64" w14:textId="77777777" w:rsidR="00BE2FE2" w:rsidRDefault="00BE2FE2" w:rsidP="00BE2FE2">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3A7561F1" w14:textId="77777777" w:rsidR="00BE2FE2" w:rsidRDefault="00BE2FE2" w:rsidP="00BE2FE2">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43B3ECE" w14:textId="05BE2D6D" w:rsidR="00BE2FE2" w:rsidRDefault="00BE2FE2" w:rsidP="00BE2FE2">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2FE54006" w14:textId="4093438A" w:rsidR="00BE2FE2" w:rsidRDefault="00BE2FE2" w:rsidP="00BE2FE2">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08D60232" w14:textId="5A443F55" w:rsidR="00BE2FE2" w:rsidRDefault="00BE2FE2" w:rsidP="00BE2FE2">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51EEDBE" w14:textId="06C42BFF" w:rsidR="00BE2FE2" w:rsidRDefault="00BE2FE2" w:rsidP="00BE2FE2">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E9340A1" w14:textId="4513A391" w:rsidR="00BE2FE2" w:rsidRDefault="00BE2FE2" w:rsidP="00BE2FE2">
            <w:pPr>
              <w:jc w:val="right"/>
              <w:rPr>
                <w:color w:val="000000"/>
                <w:sz w:val="20"/>
                <w:szCs w:val="20"/>
              </w:rPr>
            </w:pPr>
            <w:r>
              <w:rPr>
                <w:color w:val="000000"/>
                <w:sz w:val="20"/>
                <w:szCs w:val="20"/>
              </w:rPr>
              <w:t>0.837</w:t>
            </w:r>
          </w:p>
        </w:tc>
        <w:tc>
          <w:tcPr>
            <w:tcW w:w="768" w:type="dxa"/>
            <w:tcBorders>
              <w:top w:val="nil"/>
              <w:left w:val="nil"/>
              <w:bottom w:val="nil"/>
              <w:right w:val="nil"/>
            </w:tcBorders>
            <w:shd w:val="clear" w:color="auto" w:fill="auto"/>
            <w:noWrap/>
            <w:vAlign w:val="bottom"/>
            <w:hideMark/>
          </w:tcPr>
          <w:p w14:paraId="52233994" w14:textId="7341C36A"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64BB7B" w14:textId="432DB682" w:rsidR="00BE2FE2" w:rsidRDefault="00BE2FE2" w:rsidP="00BE2FE2">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F7939EC" w14:textId="094C94C2" w:rsidR="00BE2FE2" w:rsidRDefault="00BE2FE2" w:rsidP="00BE2FE2">
            <w:pPr>
              <w:jc w:val="right"/>
              <w:rPr>
                <w:color w:val="000000"/>
                <w:sz w:val="20"/>
                <w:szCs w:val="20"/>
              </w:rPr>
            </w:pPr>
            <w:r>
              <w:rPr>
                <w:color w:val="000000"/>
                <w:sz w:val="20"/>
                <w:szCs w:val="20"/>
              </w:rPr>
              <w:t>0.723</w:t>
            </w:r>
          </w:p>
        </w:tc>
        <w:tc>
          <w:tcPr>
            <w:tcW w:w="768" w:type="dxa"/>
            <w:tcBorders>
              <w:top w:val="nil"/>
              <w:left w:val="nil"/>
              <w:bottom w:val="nil"/>
              <w:right w:val="nil"/>
            </w:tcBorders>
            <w:shd w:val="clear" w:color="auto" w:fill="auto"/>
            <w:noWrap/>
            <w:vAlign w:val="bottom"/>
            <w:hideMark/>
          </w:tcPr>
          <w:p w14:paraId="58AFDD36" w14:textId="702839FD"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C64F95" w14:textId="5385D240" w:rsidR="00BE2FE2" w:rsidRDefault="00BE2FE2" w:rsidP="00BE2FE2">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6BE807B4" w14:textId="561EC742" w:rsidR="00BE2FE2" w:rsidRDefault="00BE2FE2" w:rsidP="00BE2FE2">
            <w:pPr>
              <w:jc w:val="right"/>
              <w:rPr>
                <w:color w:val="000000"/>
                <w:sz w:val="20"/>
                <w:szCs w:val="20"/>
              </w:rPr>
            </w:pPr>
            <w:r>
              <w:rPr>
                <w:color w:val="000000"/>
                <w:sz w:val="20"/>
                <w:szCs w:val="20"/>
              </w:rPr>
              <w:t>0.296</w:t>
            </w:r>
          </w:p>
        </w:tc>
        <w:tc>
          <w:tcPr>
            <w:tcW w:w="768" w:type="dxa"/>
            <w:tcBorders>
              <w:top w:val="nil"/>
              <w:left w:val="nil"/>
              <w:bottom w:val="nil"/>
              <w:right w:val="nil"/>
            </w:tcBorders>
            <w:shd w:val="clear" w:color="auto" w:fill="auto"/>
            <w:noWrap/>
            <w:vAlign w:val="bottom"/>
            <w:hideMark/>
          </w:tcPr>
          <w:p w14:paraId="3F7C78E8" w14:textId="23CB5D81"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5372124" w14:textId="59DFB5A7" w:rsidR="00BE2FE2" w:rsidRDefault="00BE2FE2" w:rsidP="00BE2FE2">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4EFF3925" w14:textId="5E65677F" w:rsidR="00BE2FE2" w:rsidRDefault="00BE2FE2" w:rsidP="00BE2FE2">
            <w:pPr>
              <w:jc w:val="right"/>
              <w:rPr>
                <w:color w:val="000000"/>
                <w:sz w:val="20"/>
                <w:szCs w:val="20"/>
              </w:rPr>
            </w:pPr>
            <w:r>
              <w:rPr>
                <w:color w:val="000000"/>
                <w:sz w:val="20"/>
                <w:szCs w:val="20"/>
              </w:rPr>
              <w:t>0.719</w:t>
            </w:r>
          </w:p>
        </w:tc>
        <w:tc>
          <w:tcPr>
            <w:tcW w:w="768" w:type="dxa"/>
            <w:tcBorders>
              <w:top w:val="nil"/>
              <w:left w:val="nil"/>
              <w:bottom w:val="nil"/>
              <w:right w:val="nil"/>
            </w:tcBorders>
            <w:shd w:val="clear" w:color="auto" w:fill="auto"/>
            <w:noWrap/>
            <w:vAlign w:val="bottom"/>
            <w:hideMark/>
          </w:tcPr>
          <w:p w14:paraId="30401CD4" w14:textId="07374914" w:rsidR="00BE2FE2" w:rsidRDefault="00BE2FE2" w:rsidP="00BE2FE2">
            <w:pPr>
              <w:jc w:val="right"/>
              <w:rPr>
                <w:color w:val="000000"/>
                <w:sz w:val="20"/>
                <w:szCs w:val="20"/>
              </w:rPr>
            </w:pPr>
            <w:r>
              <w:rPr>
                <w:color w:val="000000"/>
                <w:sz w:val="20"/>
                <w:szCs w:val="20"/>
              </w:rPr>
              <w:t>0.001</w:t>
            </w:r>
          </w:p>
        </w:tc>
      </w:tr>
      <w:tr w:rsidR="00BE2FE2" w14:paraId="3C80698B" w14:textId="77777777" w:rsidTr="006628A7">
        <w:trPr>
          <w:trHeight w:val="320"/>
        </w:trPr>
        <w:tc>
          <w:tcPr>
            <w:tcW w:w="1176" w:type="dxa"/>
            <w:tcBorders>
              <w:top w:val="nil"/>
              <w:left w:val="nil"/>
              <w:bottom w:val="nil"/>
              <w:right w:val="nil"/>
            </w:tcBorders>
            <w:shd w:val="clear" w:color="auto" w:fill="auto"/>
            <w:noWrap/>
            <w:vAlign w:val="bottom"/>
            <w:hideMark/>
          </w:tcPr>
          <w:p w14:paraId="34A267B0"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70A5E6" w14:textId="77777777" w:rsidR="00BE2FE2" w:rsidRDefault="00BE2FE2" w:rsidP="00BE2FE2">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D995606" w14:textId="37D83736" w:rsidR="00BE2FE2" w:rsidRDefault="00BE2FE2" w:rsidP="00BE2FE2">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5E860C7A" w14:textId="0FA498C4" w:rsidR="00BE2FE2" w:rsidRDefault="00BE2FE2" w:rsidP="00BE2FE2">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57999E87" w14:textId="6D5DBD92" w:rsidR="00BE2FE2" w:rsidRDefault="00BE2FE2" w:rsidP="00BE2FE2">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B6384B3" w14:textId="36002FAC" w:rsidR="00BE2FE2" w:rsidRDefault="00BE2FE2" w:rsidP="00BE2FE2">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73E690D4" w14:textId="4EE71B3F" w:rsidR="00BE2FE2" w:rsidRDefault="00BE2FE2" w:rsidP="00BE2FE2">
            <w:pPr>
              <w:jc w:val="right"/>
              <w:rPr>
                <w:color w:val="000000"/>
                <w:sz w:val="20"/>
                <w:szCs w:val="20"/>
              </w:rPr>
            </w:pPr>
            <w:r>
              <w:rPr>
                <w:color w:val="000000"/>
                <w:sz w:val="20"/>
                <w:szCs w:val="20"/>
              </w:rPr>
              <w:t>0.397</w:t>
            </w:r>
          </w:p>
        </w:tc>
        <w:tc>
          <w:tcPr>
            <w:tcW w:w="768" w:type="dxa"/>
            <w:tcBorders>
              <w:top w:val="nil"/>
              <w:left w:val="nil"/>
              <w:bottom w:val="nil"/>
              <w:right w:val="nil"/>
            </w:tcBorders>
            <w:shd w:val="clear" w:color="auto" w:fill="auto"/>
            <w:noWrap/>
            <w:vAlign w:val="bottom"/>
            <w:hideMark/>
          </w:tcPr>
          <w:p w14:paraId="6F4F11FE" w14:textId="76F47982"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7723C94" w14:textId="726B5E05" w:rsidR="00BE2FE2" w:rsidRDefault="00BE2FE2" w:rsidP="00BE2FE2">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048AC49F" w14:textId="32486D4B" w:rsidR="00BE2FE2" w:rsidRDefault="00BE2FE2" w:rsidP="00BE2FE2">
            <w:pPr>
              <w:jc w:val="right"/>
              <w:rPr>
                <w:color w:val="000000"/>
                <w:sz w:val="20"/>
                <w:szCs w:val="20"/>
              </w:rPr>
            </w:pPr>
            <w:r>
              <w:rPr>
                <w:color w:val="000000"/>
                <w:sz w:val="20"/>
                <w:szCs w:val="20"/>
              </w:rPr>
              <w:t>0.444</w:t>
            </w:r>
          </w:p>
        </w:tc>
        <w:tc>
          <w:tcPr>
            <w:tcW w:w="768" w:type="dxa"/>
            <w:tcBorders>
              <w:top w:val="nil"/>
              <w:left w:val="nil"/>
              <w:bottom w:val="nil"/>
              <w:right w:val="nil"/>
            </w:tcBorders>
            <w:shd w:val="clear" w:color="auto" w:fill="auto"/>
            <w:noWrap/>
            <w:vAlign w:val="bottom"/>
            <w:hideMark/>
          </w:tcPr>
          <w:p w14:paraId="5AA5CCD8" w14:textId="4860DDE7"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B06671" w14:textId="419C0066" w:rsidR="00BE2FE2" w:rsidRDefault="00BE2FE2" w:rsidP="00BE2FE2">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7B56CD12" w14:textId="5034A545" w:rsidR="00BE2FE2" w:rsidRDefault="00BE2FE2" w:rsidP="00BE2FE2">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4C062B71" w14:textId="55B774E4" w:rsidR="00BE2FE2" w:rsidRDefault="00BE2FE2" w:rsidP="00BE2FE2">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3BD6A4A" w14:textId="42F37217" w:rsidR="00BE2FE2" w:rsidRDefault="00BE2FE2" w:rsidP="00BE2FE2">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34A3635D" w14:textId="35A7AD10" w:rsidR="00BE2FE2" w:rsidRDefault="00BE2FE2" w:rsidP="00BE2FE2">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7B27AF63" w14:textId="2DA3BBCB" w:rsidR="00BE2FE2" w:rsidRDefault="00BE2FE2" w:rsidP="00BE2FE2">
            <w:pPr>
              <w:jc w:val="right"/>
              <w:rPr>
                <w:color w:val="000000"/>
                <w:sz w:val="20"/>
                <w:szCs w:val="20"/>
              </w:rPr>
            </w:pPr>
            <w:r>
              <w:rPr>
                <w:color w:val="000000"/>
                <w:sz w:val="20"/>
                <w:szCs w:val="20"/>
              </w:rPr>
              <w:t>0.010</w:t>
            </w:r>
          </w:p>
        </w:tc>
      </w:tr>
      <w:tr w:rsidR="00BE2FE2" w14:paraId="01669959" w14:textId="77777777" w:rsidTr="006628A7">
        <w:trPr>
          <w:trHeight w:val="320"/>
        </w:trPr>
        <w:tc>
          <w:tcPr>
            <w:tcW w:w="1176" w:type="dxa"/>
            <w:tcBorders>
              <w:top w:val="nil"/>
              <w:left w:val="nil"/>
              <w:bottom w:val="nil"/>
              <w:right w:val="nil"/>
            </w:tcBorders>
            <w:shd w:val="clear" w:color="auto" w:fill="auto"/>
            <w:noWrap/>
            <w:vAlign w:val="bottom"/>
            <w:hideMark/>
          </w:tcPr>
          <w:p w14:paraId="255DC7A6"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C0F017" w14:textId="77777777" w:rsidR="00BE2FE2" w:rsidRDefault="00BE2FE2" w:rsidP="00BE2FE2">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9C77275" w14:textId="2234AA7A" w:rsidR="00BE2FE2" w:rsidRDefault="00BE2FE2" w:rsidP="00BE2FE2">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137EACA7" w14:textId="2310FB32" w:rsidR="00BE2FE2" w:rsidRDefault="00BE2FE2" w:rsidP="00BE2FE2">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7DB23458" w14:textId="4992EC29"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88EFE38" w14:textId="14350625" w:rsidR="00BE2FE2" w:rsidRDefault="00BE2FE2" w:rsidP="00BE2FE2">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0BB73B2" w14:textId="221190AF" w:rsidR="00BE2FE2" w:rsidRDefault="00BE2FE2" w:rsidP="00BE2FE2">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12526D33" w14:textId="6A40C1F0"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3408D4" w14:textId="7A48D8FB" w:rsidR="00BE2FE2" w:rsidRDefault="00BE2FE2" w:rsidP="00BE2FE2">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A439BEA" w14:textId="713FD6AD" w:rsidR="00BE2FE2" w:rsidRDefault="00BE2FE2" w:rsidP="00BE2FE2">
            <w:pPr>
              <w:jc w:val="right"/>
              <w:rPr>
                <w:color w:val="000000"/>
                <w:sz w:val="20"/>
                <w:szCs w:val="20"/>
              </w:rPr>
            </w:pPr>
            <w:r>
              <w:rPr>
                <w:color w:val="000000"/>
                <w:sz w:val="20"/>
                <w:szCs w:val="20"/>
              </w:rPr>
              <w:t>0.913</w:t>
            </w:r>
          </w:p>
        </w:tc>
        <w:tc>
          <w:tcPr>
            <w:tcW w:w="768" w:type="dxa"/>
            <w:tcBorders>
              <w:top w:val="nil"/>
              <w:left w:val="nil"/>
              <w:bottom w:val="nil"/>
              <w:right w:val="nil"/>
            </w:tcBorders>
            <w:shd w:val="clear" w:color="auto" w:fill="auto"/>
            <w:noWrap/>
            <w:vAlign w:val="bottom"/>
            <w:hideMark/>
          </w:tcPr>
          <w:p w14:paraId="5EC10CE3" w14:textId="742D92AC"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F18591A" w14:textId="03BCE711" w:rsidR="00BE2FE2" w:rsidRDefault="00BE2FE2" w:rsidP="00BE2FE2">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41EFEDB" w14:textId="707ECA81" w:rsidR="00BE2FE2" w:rsidRDefault="00BE2FE2" w:rsidP="00BE2FE2">
            <w:pPr>
              <w:jc w:val="right"/>
              <w:rPr>
                <w:color w:val="000000"/>
                <w:sz w:val="20"/>
                <w:szCs w:val="20"/>
              </w:rPr>
            </w:pPr>
            <w:r>
              <w:rPr>
                <w:color w:val="000000"/>
                <w:sz w:val="20"/>
                <w:szCs w:val="20"/>
              </w:rPr>
              <w:t>0.906</w:t>
            </w:r>
          </w:p>
        </w:tc>
        <w:tc>
          <w:tcPr>
            <w:tcW w:w="768" w:type="dxa"/>
            <w:tcBorders>
              <w:top w:val="nil"/>
              <w:left w:val="nil"/>
              <w:bottom w:val="nil"/>
              <w:right w:val="nil"/>
            </w:tcBorders>
            <w:shd w:val="clear" w:color="auto" w:fill="auto"/>
            <w:noWrap/>
            <w:vAlign w:val="bottom"/>
            <w:hideMark/>
          </w:tcPr>
          <w:p w14:paraId="4423EB2E" w14:textId="63BF6B0E"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021276" w14:textId="204A1D78" w:rsidR="00BE2FE2" w:rsidRDefault="00BE2FE2" w:rsidP="00BE2FE2">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78B0F09" w14:textId="3B24558B" w:rsidR="00BE2FE2" w:rsidRDefault="00BE2FE2" w:rsidP="00BE2FE2">
            <w:pPr>
              <w:jc w:val="right"/>
              <w:rPr>
                <w:color w:val="000000"/>
                <w:sz w:val="20"/>
                <w:szCs w:val="20"/>
              </w:rPr>
            </w:pPr>
            <w:r>
              <w:rPr>
                <w:color w:val="000000"/>
                <w:sz w:val="20"/>
                <w:szCs w:val="20"/>
              </w:rPr>
              <w:t>0.719</w:t>
            </w:r>
          </w:p>
        </w:tc>
        <w:tc>
          <w:tcPr>
            <w:tcW w:w="768" w:type="dxa"/>
            <w:tcBorders>
              <w:top w:val="nil"/>
              <w:left w:val="nil"/>
              <w:bottom w:val="nil"/>
              <w:right w:val="nil"/>
            </w:tcBorders>
            <w:shd w:val="clear" w:color="auto" w:fill="auto"/>
            <w:noWrap/>
            <w:vAlign w:val="bottom"/>
            <w:hideMark/>
          </w:tcPr>
          <w:p w14:paraId="6CCCA1C3" w14:textId="22B11095" w:rsidR="00BE2FE2" w:rsidRDefault="00BE2FE2" w:rsidP="00BE2FE2">
            <w:pPr>
              <w:jc w:val="right"/>
              <w:rPr>
                <w:color w:val="000000"/>
                <w:sz w:val="20"/>
                <w:szCs w:val="20"/>
              </w:rPr>
            </w:pPr>
            <w:r>
              <w:rPr>
                <w:color w:val="000000"/>
                <w:sz w:val="20"/>
                <w:szCs w:val="20"/>
              </w:rPr>
              <w:t>0.000</w:t>
            </w:r>
          </w:p>
        </w:tc>
      </w:tr>
      <w:tr w:rsidR="00BE2FE2" w14:paraId="18C91498" w14:textId="77777777" w:rsidTr="006628A7">
        <w:trPr>
          <w:trHeight w:val="320"/>
        </w:trPr>
        <w:tc>
          <w:tcPr>
            <w:tcW w:w="1176" w:type="dxa"/>
            <w:tcBorders>
              <w:top w:val="nil"/>
              <w:left w:val="nil"/>
              <w:bottom w:val="nil"/>
              <w:right w:val="nil"/>
            </w:tcBorders>
            <w:shd w:val="clear" w:color="auto" w:fill="auto"/>
            <w:noWrap/>
            <w:vAlign w:val="bottom"/>
            <w:hideMark/>
          </w:tcPr>
          <w:p w14:paraId="5815A733"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BC2E63" w14:textId="77777777" w:rsidR="00BE2FE2" w:rsidRDefault="00BE2FE2" w:rsidP="00BE2FE2">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B4C6F9F" w14:textId="10D11A92" w:rsidR="00BE2FE2" w:rsidRDefault="00BE2FE2" w:rsidP="00BE2FE2">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E62F090" w14:textId="11305CD6" w:rsidR="00BE2FE2" w:rsidRDefault="00BE2FE2" w:rsidP="00BE2FE2">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34B3C14B" w14:textId="79F61AEC"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0B332F" w14:textId="013110A1" w:rsidR="00BE2FE2" w:rsidRDefault="00BE2FE2" w:rsidP="00BE2FE2">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1BB78338" w14:textId="094AF49C" w:rsidR="00BE2FE2" w:rsidRDefault="00BE2FE2" w:rsidP="00BE2FE2">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6A31B99B" w14:textId="0322D8F3" w:rsidR="00BE2FE2" w:rsidRDefault="00BE2FE2" w:rsidP="00BE2FE2">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0AA6D57" w14:textId="1FE62A7C" w:rsidR="00BE2FE2" w:rsidRDefault="00BE2FE2" w:rsidP="00BE2FE2">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5316A02" w14:textId="6D0E9880" w:rsidR="00BE2FE2" w:rsidRDefault="00BE2FE2" w:rsidP="00BE2FE2">
            <w:pPr>
              <w:jc w:val="right"/>
              <w:rPr>
                <w:color w:val="000000"/>
                <w:sz w:val="20"/>
                <w:szCs w:val="20"/>
              </w:rPr>
            </w:pPr>
            <w:r>
              <w:rPr>
                <w:color w:val="000000"/>
                <w:sz w:val="20"/>
                <w:szCs w:val="20"/>
              </w:rPr>
              <w:t>0.723</w:t>
            </w:r>
          </w:p>
        </w:tc>
        <w:tc>
          <w:tcPr>
            <w:tcW w:w="768" w:type="dxa"/>
            <w:tcBorders>
              <w:top w:val="nil"/>
              <w:left w:val="nil"/>
              <w:bottom w:val="nil"/>
              <w:right w:val="nil"/>
            </w:tcBorders>
            <w:shd w:val="clear" w:color="auto" w:fill="auto"/>
            <w:noWrap/>
            <w:vAlign w:val="bottom"/>
            <w:hideMark/>
          </w:tcPr>
          <w:p w14:paraId="03BCD2E7" w14:textId="06FE8B52"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F3AB46" w14:textId="4755B855" w:rsidR="00BE2FE2" w:rsidRDefault="00BE2FE2" w:rsidP="00BE2FE2">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7FEA7F3" w14:textId="545E892F" w:rsidR="00BE2FE2" w:rsidRDefault="00BE2FE2" w:rsidP="00BE2FE2">
            <w:pPr>
              <w:jc w:val="right"/>
              <w:rPr>
                <w:color w:val="000000"/>
                <w:sz w:val="20"/>
                <w:szCs w:val="20"/>
              </w:rPr>
            </w:pPr>
            <w:r>
              <w:rPr>
                <w:color w:val="000000"/>
                <w:sz w:val="20"/>
                <w:szCs w:val="20"/>
              </w:rPr>
              <w:t>0.906</w:t>
            </w:r>
          </w:p>
        </w:tc>
        <w:tc>
          <w:tcPr>
            <w:tcW w:w="768" w:type="dxa"/>
            <w:tcBorders>
              <w:top w:val="nil"/>
              <w:left w:val="nil"/>
              <w:bottom w:val="nil"/>
              <w:right w:val="nil"/>
            </w:tcBorders>
            <w:shd w:val="clear" w:color="auto" w:fill="auto"/>
            <w:noWrap/>
            <w:vAlign w:val="bottom"/>
            <w:hideMark/>
          </w:tcPr>
          <w:p w14:paraId="4F7DD125" w14:textId="290A205E"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CD574D" w14:textId="02319AD1" w:rsidR="00BE2FE2" w:rsidRDefault="00BE2FE2" w:rsidP="00BE2FE2">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89AFD29" w14:textId="3EE98E33" w:rsidR="00BE2FE2" w:rsidRDefault="00BE2FE2" w:rsidP="00BE2FE2">
            <w:pPr>
              <w:jc w:val="right"/>
              <w:rPr>
                <w:color w:val="000000"/>
                <w:sz w:val="20"/>
                <w:szCs w:val="20"/>
              </w:rPr>
            </w:pPr>
            <w:r>
              <w:rPr>
                <w:color w:val="000000"/>
                <w:sz w:val="20"/>
                <w:szCs w:val="20"/>
              </w:rPr>
              <w:t>0.719</w:t>
            </w:r>
          </w:p>
        </w:tc>
        <w:tc>
          <w:tcPr>
            <w:tcW w:w="768" w:type="dxa"/>
            <w:tcBorders>
              <w:top w:val="nil"/>
              <w:left w:val="nil"/>
              <w:bottom w:val="nil"/>
              <w:right w:val="nil"/>
            </w:tcBorders>
            <w:shd w:val="clear" w:color="auto" w:fill="auto"/>
            <w:noWrap/>
            <w:vAlign w:val="bottom"/>
            <w:hideMark/>
          </w:tcPr>
          <w:p w14:paraId="1CEF0615" w14:textId="3F522486" w:rsidR="00BE2FE2" w:rsidRDefault="00BE2FE2" w:rsidP="00BE2FE2">
            <w:pPr>
              <w:jc w:val="right"/>
              <w:rPr>
                <w:color w:val="000000"/>
                <w:sz w:val="20"/>
                <w:szCs w:val="20"/>
              </w:rPr>
            </w:pPr>
            <w:r>
              <w:rPr>
                <w:color w:val="000000"/>
                <w:sz w:val="20"/>
                <w:szCs w:val="20"/>
              </w:rPr>
              <w:t>0.001</w:t>
            </w:r>
          </w:p>
        </w:tc>
      </w:tr>
      <w:tr w:rsidR="00BE2FE2" w14:paraId="2A70054E" w14:textId="77777777" w:rsidTr="006628A7">
        <w:trPr>
          <w:trHeight w:val="320"/>
        </w:trPr>
        <w:tc>
          <w:tcPr>
            <w:tcW w:w="1176" w:type="dxa"/>
            <w:tcBorders>
              <w:top w:val="nil"/>
              <w:left w:val="nil"/>
              <w:bottom w:val="nil"/>
              <w:right w:val="nil"/>
            </w:tcBorders>
            <w:shd w:val="clear" w:color="auto" w:fill="auto"/>
            <w:noWrap/>
            <w:vAlign w:val="bottom"/>
            <w:hideMark/>
          </w:tcPr>
          <w:p w14:paraId="7527D133"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3918465" w14:textId="77777777" w:rsidR="00BE2FE2" w:rsidRDefault="00BE2FE2" w:rsidP="00BE2FE2">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090DBB3" w14:textId="0EA63AB6" w:rsidR="00BE2FE2" w:rsidRDefault="00BE2FE2" w:rsidP="00BE2FE2">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0494707" w14:textId="67E8ECE5" w:rsidR="00BE2FE2" w:rsidRDefault="00BE2FE2" w:rsidP="00BE2FE2">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7636D20C" w14:textId="209DD6CE"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2515E3" w14:textId="434C67A4" w:rsidR="00BE2FE2" w:rsidRDefault="00BE2FE2" w:rsidP="00BE2FE2">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9C5854D" w14:textId="1F38C38B" w:rsidR="00BE2FE2" w:rsidRDefault="00BE2FE2" w:rsidP="00BE2FE2">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49979AA9" w14:textId="5BFA6536"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152E5E" w14:textId="7C933535" w:rsidR="00BE2FE2" w:rsidRDefault="00BE2FE2" w:rsidP="00BE2FE2">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FA0B858" w14:textId="15554E57" w:rsidR="00BE2FE2" w:rsidRDefault="00BE2FE2" w:rsidP="00BE2FE2">
            <w:pPr>
              <w:jc w:val="right"/>
              <w:rPr>
                <w:color w:val="000000"/>
                <w:sz w:val="20"/>
                <w:szCs w:val="20"/>
              </w:rPr>
            </w:pPr>
            <w:r>
              <w:rPr>
                <w:color w:val="000000"/>
                <w:sz w:val="20"/>
                <w:szCs w:val="20"/>
              </w:rPr>
              <w:t>0.723</w:t>
            </w:r>
          </w:p>
        </w:tc>
        <w:tc>
          <w:tcPr>
            <w:tcW w:w="768" w:type="dxa"/>
            <w:tcBorders>
              <w:top w:val="nil"/>
              <w:left w:val="nil"/>
              <w:bottom w:val="nil"/>
              <w:right w:val="nil"/>
            </w:tcBorders>
            <w:shd w:val="clear" w:color="auto" w:fill="auto"/>
            <w:noWrap/>
            <w:vAlign w:val="bottom"/>
            <w:hideMark/>
          </w:tcPr>
          <w:p w14:paraId="13CCECE6" w14:textId="352F99F6"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A900BB" w14:textId="69800BFC" w:rsidR="00BE2FE2" w:rsidRDefault="00BE2FE2" w:rsidP="00BE2FE2">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698DE338" w14:textId="17485C08" w:rsidR="00BE2FE2" w:rsidRDefault="00BE2FE2" w:rsidP="00BE2FE2">
            <w:pPr>
              <w:jc w:val="right"/>
              <w:rPr>
                <w:color w:val="000000"/>
                <w:sz w:val="20"/>
                <w:szCs w:val="20"/>
              </w:rPr>
            </w:pPr>
            <w:r>
              <w:rPr>
                <w:color w:val="000000"/>
                <w:sz w:val="20"/>
                <w:szCs w:val="20"/>
              </w:rPr>
              <w:t>0.906</w:t>
            </w:r>
          </w:p>
        </w:tc>
        <w:tc>
          <w:tcPr>
            <w:tcW w:w="768" w:type="dxa"/>
            <w:tcBorders>
              <w:top w:val="nil"/>
              <w:left w:val="nil"/>
              <w:bottom w:val="nil"/>
              <w:right w:val="nil"/>
            </w:tcBorders>
            <w:shd w:val="clear" w:color="auto" w:fill="auto"/>
            <w:noWrap/>
            <w:vAlign w:val="bottom"/>
            <w:hideMark/>
          </w:tcPr>
          <w:p w14:paraId="0352BAA8" w14:textId="55DD58B9"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CF744F" w14:textId="7C4BD26C" w:rsidR="00BE2FE2" w:rsidRDefault="00BE2FE2" w:rsidP="00BE2FE2">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0CADB3CD" w14:textId="0A4C038A" w:rsidR="00BE2FE2" w:rsidRDefault="00BE2FE2" w:rsidP="00BE2FE2">
            <w:pPr>
              <w:jc w:val="right"/>
              <w:rPr>
                <w:color w:val="000000"/>
                <w:sz w:val="20"/>
                <w:szCs w:val="20"/>
              </w:rPr>
            </w:pPr>
            <w:r>
              <w:rPr>
                <w:color w:val="000000"/>
                <w:sz w:val="20"/>
                <w:szCs w:val="20"/>
              </w:rPr>
              <w:t>0.560</w:t>
            </w:r>
          </w:p>
        </w:tc>
        <w:tc>
          <w:tcPr>
            <w:tcW w:w="768" w:type="dxa"/>
            <w:tcBorders>
              <w:top w:val="nil"/>
              <w:left w:val="nil"/>
              <w:bottom w:val="nil"/>
              <w:right w:val="nil"/>
            </w:tcBorders>
            <w:shd w:val="clear" w:color="auto" w:fill="auto"/>
            <w:noWrap/>
            <w:vAlign w:val="bottom"/>
            <w:hideMark/>
          </w:tcPr>
          <w:p w14:paraId="7ED77352" w14:textId="5D365755" w:rsidR="00BE2FE2" w:rsidRDefault="00BE2FE2" w:rsidP="00BE2FE2">
            <w:pPr>
              <w:jc w:val="right"/>
              <w:rPr>
                <w:color w:val="000000"/>
                <w:sz w:val="20"/>
                <w:szCs w:val="20"/>
              </w:rPr>
            </w:pPr>
            <w:r>
              <w:rPr>
                <w:color w:val="000000"/>
                <w:sz w:val="20"/>
                <w:szCs w:val="20"/>
              </w:rPr>
              <w:t>0.003</w:t>
            </w:r>
          </w:p>
        </w:tc>
      </w:tr>
      <w:tr w:rsidR="00BE2FE2" w14:paraId="45A32008" w14:textId="77777777" w:rsidTr="006628A7">
        <w:trPr>
          <w:trHeight w:val="320"/>
        </w:trPr>
        <w:tc>
          <w:tcPr>
            <w:tcW w:w="1176" w:type="dxa"/>
            <w:tcBorders>
              <w:top w:val="nil"/>
              <w:left w:val="nil"/>
              <w:bottom w:val="nil"/>
              <w:right w:val="nil"/>
            </w:tcBorders>
            <w:shd w:val="clear" w:color="auto" w:fill="auto"/>
            <w:noWrap/>
            <w:vAlign w:val="bottom"/>
            <w:hideMark/>
          </w:tcPr>
          <w:p w14:paraId="26884632"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F9C33B" w14:textId="77777777" w:rsidR="00BE2FE2" w:rsidRDefault="00BE2FE2" w:rsidP="00BE2FE2">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CC38AD3" w14:textId="77BF8473" w:rsidR="00BE2FE2" w:rsidRDefault="00BE2FE2" w:rsidP="00BE2FE2">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44B172B4" w14:textId="588E98D2" w:rsidR="00BE2FE2" w:rsidRDefault="00BE2FE2" w:rsidP="00BE2FE2">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668A4A1E" w14:textId="48AF55AE"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4A3BDC" w14:textId="2E94D158" w:rsidR="00BE2FE2" w:rsidRDefault="00BE2FE2" w:rsidP="00BE2FE2">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4E75464" w14:textId="2E0E580D" w:rsidR="00BE2FE2" w:rsidRDefault="00BE2FE2" w:rsidP="00BE2FE2">
            <w:pPr>
              <w:jc w:val="right"/>
              <w:rPr>
                <w:color w:val="000000"/>
                <w:sz w:val="20"/>
                <w:szCs w:val="20"/>
              </w:rPr>
            </w:pPr>
            <w:r>
              <w:rPr>
                <w:color w:val="000000"/>
                <w:sz w:val="20"/>
                <w:szCs w:val="20"/>
              </w:rPr>
              <w:t>0.737</w:t>
            </w:r>
          </w:p>
        </w:tc>
        <w:tc>
          <w:tcPr>
            <w:tcW w:w="768" w:type="dxa"/>
            <w:tcBorders>
              <w:top w:val="nil"/>
              <w:left w:val="nil"/>
              <w:bottom w:val="nil"/>
              <w:right w:val="nil"/>
            </w:tcBorders>
            <w:shd w:val="clear" w:color="auto" w:fill="auto"/>
            <w:noWrap/>
            <w:vAlign w:val="bottom"/>
            <w:hideMark/>
          </w:tcPr>
          <w:p w14:paraId="499D68A1" w14:textId="05768E7F"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C3BC55" w14:textId="6C0E6016" w:rsidR="00BE2FE2" w:rsidRDefault="00BE2FE2" w:rsidP="00BE2FE2">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0E1CEC89" w14:textId="6EE19260" w:rsidR="00BE2FE2" w:rsidRDefault="00BE2FE2" w:rsidP="00BE2FE2">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06AB0D94" w14:textId="07F9C847" w:rsidR="00BE2FE2" w:rsidRDefault="00BE2FE2" w:rsidP="00BE2FE2">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B349704" w14:textId="4F05176F" w:rsidR="00BE2FE2" w:rsidRDefault="00BE2FE2" w:rsidP="00BE2FE2">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B9273C1" w14:textId="4BE04FC8" w:rsidR="00BE2FE2" w:rsidRDefault="00BE2FE2" w:rsidP="00BE2FE2">
            <w:pPr>
              <w:jc w:val="right"/>
              <w:rPr>
                <w:color w:val="000000"/>
                <w:sz w:val="20"/>
                <w:szCs w:val="20"/>
              </w:rPr>
            </w:pPr>
            <w:r>
              <w:rPr>
                <w:color w:val="000000"/>
                <w:sz w:val="20"/>
                <w:szCs w:val="20"/>
              </w:rPr>
              <w:t>0.906</w:t>
            </w:r>
          </w:p>
        </w:tc>
        <w:tc>
          <w:tcPr>
            <w:tcW w:w="768" w:type="dxa"/>
            <w:tcBorders>
              <w:top w:val="nil"/>
              <w:left w:val="nil"/>
              <w:bottom w:val="nil"/>
              <w:right w:val="nil"/>
            </w:tcBorders>
            <w:shd w:val="clear" w:color="auto" w:fill="auto"/>
            <w:noWrap/>
            <w:vAlign w:val="bottom"/>
            <w:hideMark/>
          </w:tcPr>
          <w:p w14:paraId="1C6FA455" w14:textId="748FFC31"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0015F8" w14:textId="4BBF55F0" w:rsidR="00BE2FE2" w:rsidRDefault="00BE2FE2" w:rsidP="00BE2FE2">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8576A56" w14:textId="62B61219" w:rsidR="00BE2FE2" w:rsidRDefault="00BE2FE2" w:rsidP="00BE2FE2">
            <w:pPr>
              <w:jc w:val="right"/>
              <w:rPr>
                <w:color w:val="000000"/>
                <w:sz w:val="20"/>
                <w:szCs w:val="20"/>
              </w:rPr>
            </w:pPr>
            <w:r>
              <w:rPr>
                <w:color w:val="000000"/>
                <w:sz w:val="20"/>
                <w:szCs w:val="20"/>
              </w:rPr>
              <w:t>0.719</w:t>
            </w:r>
          </w:p>
        </w:tc>
        <w:tc>
          <w:tcPr>
            <w:tcW w:w="768" w:type="dxa"/>
            <w:tcBorders>
              <w:top w:val="nil"/>
              <w:left w:val="nil"/>
              <w:bottom w:val="nil"/>
              <w:right w:val="nil"/>
            </w:tcBorders>
            <w:shd w:val="clear" w:color="auto" w:fill="auto"/>
            <w:noWrap/>
            <w:vAlign w:val="bottom"/>
            <w:hideMark/>
          </w:tcPr>
          <w:p w14:paraId="2C975BA2" w14:textId="4494C069" w:rsidR="00BE2FE2" w:rsidRDefault="00BE2FE2" w:rsidP="00BE2FE2">
            <w:pPr>
              <w:jc w:val="right"/>
              <w:rPr>
                <w:color w:val="000000"/>
                <w:sz w:val="20"/>
                <w:szCs w:val="20"/>
              </w:rPr>
            </w:pPr>
            <w:r>
              <w:rPr>
                <w:color w:val="000000"/>
                <w:sz w:val="20"/>
                <w:szCs w:val="20"/>
              </w:rPr>
              <w:t>0.000</w:t>
            </w:r>
          </w:p>
        </w:tc>
      </w:tr>
      <w:tr w:rsidR="00BE2FE2" w14:paraId="0A6F0754" w14:textId="77777777" w:rsidTr="006628A7">
        <w:trPr>
          <w:trHeight w:val="320"/>
        </w:trPr>
        <w:tc>
          <w:tcPr>
            <w:tcW w:w="1176" w:type="dxa"/>
            <w:tcBorders>
              <w:top w:val="nil"/>
              <w:left w:val="nil"/>
              <w:bottom w:val="nil"/>
              <w:right w:val="nil"/>
            </w:tcBorders>
            <w:shd w:val="clear" w:color="auto" w:fill="auto"/>
            <w:noWrap/>
            <w:vAlign w:val="bottom"/>
            <w:hideMark/>
          </w:tcPr>
          <w:p w14:paraId="1E10A601" w14:textId="77777777" w:rsidR="00BE2FE2" w:rsidRDefault="00BE2FE2" w:rsidP="00BE2FE2">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FBD38B2" w14:textId="77777777" w:rsidR="00BE2FE2" w:rsidRDefault="00BE2FE2" w:rsidP="00BE2FE2">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934F7AF" w14:textId="1CE17A5C" w:rsidR="00BE2FE2" w:rsidRDefault="00BE2FE2" w:rsidP="00BE2FE2">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00EA129" w14:textId="0EC3C309" w:rsidR="00BE2FE2" w:rsidRDefault="00BE2FE2" w:rsidP="00BE2FE2">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6C49584A" w14:textId="23FE424C"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CD0A24" w14:textId="4128618A" w:rsidR="00BE2FE2" w:rsidRDefault="00BE2FE2" w:rsidP="00BE2FE2">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590AD946" w14:textId="46BE6182" w:rsidR="00BE2FE2" w:rsidRDefault="00BE2FE2" w:rsidP="00BE2FE2">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103E363D" w14:textId="3D0D0A9F" w:rsidR="00BE2FE2" w:rsidRDefault="00BE2FE2" w:rsidP="00BE2FE2">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DB3738A" w14:textId="6D1A2BC1" w:rsidR="00BE2FE2" w:rsidRDefault="00BE2FE2" w:rsidP="00BE2FE2">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28644382" w14:textId="41FFBBAC" w:rsidR="00BE2FE2" w:rsidRDefault="00BE2FE2" w:rsidP="00BE2FE2">
            <w:pPr>
              <w:jc w:val="right"/>
              <w:rPr>
                <w:color w:val="000000"/>
                <w:sz w:val="20"/>
                <w:szCs w:val="20"/>
              </w:rPr>
            </w:pPr>
            <w:r>
              <w:rPr>
                <w:color w:val="000000"/>
                <w:sz w:val="20"/>
                <w:szCs w:val="20"/>
              </w:rPr>
              <w:t>0.116</w:t>
            </w:r>
          </w:p>
        </w:tc>
        <w:tc>
          <w:tcPr>
            <w:tcW w:w="768" w:type="dxa"/>
            <w:tcBorders>
              <w:top w:val="nil"/>
              <w:left w:val="nil"/>
              <w:bottom w:val="nil"/>
              <w:right w:val="nil"/>
            </w:tcBorders>
            <w:shd w:val="clear" w:color="auto" w:fill="auto"/>
            <w:noWrap/>
            <w:vAlign w:val="bottom"/>
            <w:hideMark/>
          </w:tcPr>
          <w:p w14:paraId="297EABEB" w14:textId="5A077A50" w:rsidR="00BE2FE2" w:rsidRDefault="00BE2FE2" w:rsidP="00BE2FE2">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B961A1A" w14:textId="5DB919C9" w:rsidR="00BE2FE2" w:rsidRDefault="00BE2FE2" w:rsidP="00BE2FE2">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8745F71" w14:textId="44150C89" w:rsidR="00BE2FE2" w:rsidRDefault="00BE2FE2" w:rsidP="00BE2FE2">
            <w:pPr>
              <w:jc w:val="right"/>
              <w:rPr>
                <w:color w:val="000000"/>
                <w:sz w:val="20"/>
                <w:szCs w:val="20"/>
              </w:rPr>
            </w:pPr>
            <w:r>
              <w:rPr>
                <w:color w:val="000000"/>
                <w:sz w:val="20"/>
                <w:szCs w:val="20"/>
              </w:rPr>
              <w:t>0.906</w:t>
            </w:r>
          </w:p>
        </w:tc>
        <w:tc>
          <w:tcPr>
            <w:tcW w:w="768" w:type="dxa"/>
            <w:tcBorders>
              <w:top w:val="nil"/>
              <w:left w:val="nil"/>
              <w:bottom w:val="nil"/>
              <w:right w:val="nil"/>
            </w:tcBorders>
            <w:shd w:val="clear" w:color="auto" w:fill="auto"/>
            <w:noWrap/>
            <w:vAlign w:val="bottom"/>
            <w:hideMark/>
          </w:tcPr>
          <w:p w14:paraId="337E3F9A" w14:textId="5D8B55A7"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D5AD0B6" w14:textId="53D0584F" w:rsidR="00BE2FE2" w:rsidRDefault="00BE2FE2" w:rsidP="00BE2FE2">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005A0D1" w14:textId="66F42EB7" w:rsidR="00BE2FE2" w:rsidRDefault="00BE2FE2" w:rsidP="00BE2FE2">
            <w:pPr>
              <w:jc w:val="right"/>
              <w:rPr>
                <w:color w:val="000000"/>
                <w:sz w:val="20"/>
                <w:szCs w:val="20"/>
              </w:rPr>
            </w:pPr>
            <w:r>
              <w:rPr>
                <w:color w:val="000000"/>
                <w:sz w:val="20"/>
                <w:szCs w:val="20"/>
              </w:rPr>
              <w:t>0.719</w:t>
            </w:r>
          </w:p>
        </w:tc>
        <w:tc>
          <w:tcPr>
            <w:tcW w:w="768" w:type="dxa"/>
            <w:tcBorders>
              <w:top w:val="nil"/>
              <w:left w:val="nil"/>
              <w:bottom w:val="nil"/>
              <w:right w:val="nil"/>
            </w:tcBorders>
            <w:shd w:val="clear" w:color="auto" w:fill="auto"/>
            <w:noWrap/>
            <w:vAlign w:val="bottom"/>
            <w:hideMark/>
          </w:tcPr>
          <w:p w14:paraId="22F775CD" w14:textId="61A71DA1" w:rsidR="00BE2FE2" w:rsidRDefault="00BE2FE2" w:rsidP="00BE2FE2">
            <w:pPr>
              <w:jc w:val="right"/>
              <w:rPr>
                <w:color w:val="000000"/>
                <w:sz w:val="20"/>
                <w:szCs w:val="20"/>
              </w:rPr>
            </w:pPr>
            <w:r>
              <w:rPr>
                <w:color w:val="000000"/>
                <w:sz w:val="20"/>
                <w:szCs w:val="20"/>
              </w:rPr>
              <w:t>0.001</w:t>
            </w:r>
          </w:p>
        </w:tc>
      </w:tr>
      <w:tr w:rsidR="00BE2FE2" w14:paraId="72BD47A3" w14:textId="77777777" w:rsidTr="00890D3D">
        <w:trPr>
          <w:trHeight w:val="340"/>
        </w:trPr>
        <w:tc>
          <w:tcPr>
            <w:tcW w:w="1176" w:type="dxa"/>
            <w:tcBorders>
              <w:top w:val="nil"/>
              <w:left w:val="nil"/>
              <w:bottom w:val="single" w:sz="12" w:space="0" w:color="auto"/>
              <w:right w:val="nil"/>
            </w:tcBorders>
            <w:shd w:val="clear" w:color="auto" w:fill="auto"/>
            <w:noWrap/>
            <w:vAlign w:val="bottom"/>
            <w:hideMark/>
          </w:tcPr>
          <w:p w14:paraId="6078CA6D" w14:textId="77777777" w:rsidR="00BE2FE2" w:rsidRDefault="00BE2FE2" w:rsidP="00BE2FE2">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14FA982F" w14:textId="77777777" w:rsidR="00BE2FE2" w:rsidRDefault="00BE2FE2" w:rsidP="00BE2FE2">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6CACFBB8" w14:textId="2900089D"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4341A7F9" w14:textId="0A99A1D0" w:rsidR="00BE2FE2" w:rsidRDefault="00BE2FE2" w:rsidP="00BE2FE2">
            <w:pPr>
              <w:jc w:val="right"/>
              <w:rPr>
                <w:color w:val="000000"/>
                <w:sz w:val="20"/>
                <w:szCs w:val="20"/>
              </w:rPr>
            </w:pPr>
            <w:r>
              <w:rPr>
                <w:color w:val="000000"/>
                <w:sz w:val="20"/>
                <w:szCs w:val="20"/>
              </w:rPr>
              <w:t>0.971</w:t>
            </w:r>
          </w:p>
        </w:tc>
        <w:tc>
          <w:tcPr>
            <w:tcW w:w="768" w:type="dxa"/>
            <w:tcBorders>
              <w:top w:val="nil"/>
              <w:left w:val="nil"/>
              <w:bottom w:val="single" w:sz="12" w:space="0" w:color="auto"/>
              <w:right w:val="nil"/>
            </w:tcBorders>
            <w:shd w:val="clear" w:color="auto" w:fill="auto"/>
            <w:noWrap/>
            <w:vAlign w:val="bottom"/>
            <w:hideMark/>
          </w:tcPr>
          <w:p w14:paraId="48D5C51D" w14:textId="59F98FCA"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BF7B237" w14:textId="75D7FB20" w:rsidR="00BE2FE2" w:rsidRDefault="00BE2FE2" w:rsidP="00BE2FE2">
            <w:pPr>
              <w:jc w:val="right"/>
              <w:rPr>
                <w:color w:val="000000"/>
                <w:sz w:val="20"/>
                <w:szCs w:val="20"/>
              </w:rPr>
            </w:pPr>
            <w:r>
              <w:rPr>
                <w:color w:val="000000"/>
                <w:sz w:val="20"/>
                <w:szCs w:val="20"/>
              </w:rPr>
              <w:t>0.023</w:t>
            </w:r>
          </w:p>
        </w:tc>
        <w:tc>
          <w:tcPr>
            <w:tcW w:w="768" w:type="dxa"/>
            <w:tcBorders>
              <w:top w:val="nil"/>
              <w:left w:val="nil"/>
              <w:bottom w:val="single" w:sz="12" w:space="0" w:color="auto"/>
              <w:right w:val="nil"/>
            </w:tcBorders>
            <w:shd w:val="clear" w:color="auto" w:fill="auto"/>
            <w:noWrap/>
            <w:vAlign w:val="bottom"/>
            <w:hideMark/>
          </w:tcPr>
          <w:p w14:paraId="787CC929" w14:textId="529A605A" w:rsidR="00BE2FE2" w:rsidRDefault="00BE2FE2" w:rsidP="00BE2FE2">
            <w:pPr>
              <w:jc w:val="right"/>
              <w:rPr>
                <w:color w:val="000000"/>
                <w:sz w:val="20"/>
                <w:szCs w:val="20"/>
              </w:rPr>
            </w:pPr>
            <w:r>
              <w:rPr>
                <w:color w:val="000000"/>
                <w:sz w:val="20"/>
                <w:szCs w:val="20"/>
              </w:rPr>
              <w:t>0.584</w:t>
            </w:r>
          </w:p>
        </w:tc>
        <w:tc>
          <w:tcPr>
            <w:tcW w:w="768" w:type="dxa"/>
            <w:tcBorders>
              <w:top w:val="nil"/>
              <w:left w:val="nil"/>
              <w:bottom w:val="single" w:sz="12" w:space="0" w:color="auto"/>
              <w:right w:val="nil"/>
            </w:tcBorders>
            <w:shd w:val="clear" w:color="auto" w:fill="auto"/>
            <w:noWrap/>
            <w:vAlign w:val="bottom"/>
            <w:hideMark/>
          </w:tcPr>
          <w:p w14:paraId="663E1A49" w14:textId="54464C81" w:rsidR="00BE2FE2" w:rsidRDefault="00BE2FE2" w:rsidP="00BE2FE2">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77834E0A" w14:textId="03D75799" w:rsidR="00BE2FE2" w:rsidRDefault="00BE2FE2" w:rsidP="00BE2FE2">
            <w:pPr>
              <w:jc w:val="right"/>
              <w:rPr>
                <w:color w:val="000000"/>
                <w:sz w:val="20"/>
                <w:szCs w:val="20"/>
              </w:rPr>
            </w:pPr>
            <w:r>
              <w:rPr>
                <w:color w:val="000000"/>
                <w:sz w:val="20"/>
                <w:szCs w:val="20"/>
              </w:rPr>
              <w:t>-0.054</w:t>
            </w:r>
          </w:p>
        </w:tc>
        <w:tc>
          <w:tcPr>
            <w:tcW w:w="768" w:type="dxa"/>
            <w:tcBorders>
              <w:top w:val="nil"/>
              <w:left w:val="nil"/>
              <w:bottom w:val="single" w:sz="12" w:space="0" w:color="auto"/>
              <w:right w:val="nil"/>
            </w:tcBorders>
            <w:shd w:val="clear" w:color="auto" w:fill="auto"/>
            <w:noWrap/>
            <w:vAlign w:val="bottom"/>
            <w:hideMark/>
          </w:tcPr>
          <w:p w14:paraId="0355C894" w14:textId="2A1AD2C7" w:rsidR="00BE2FE2" w:rsidRDefault="00BE2FE2" w:rsidP="00BE2FE2">
            <w:pPr>
              <w:jc w:val="right"/>
              <w:rPr>
                <w:color w:val="000000"/>
                <w:sz w:val="20"/>
                <w:szCs w:val="20"/>
              </w:rPr>
            </w:pPr>
            <w:r>
              <w:rPr>
                <w:color w:val="000000"/>
                <w:sz w:val="20"/>
                <w:szCs w:val="20"/>
              </w:rPr>
              <w:t>0.203</w:t>
            </w:r>
          </w:p>
        </w:tc>
        <w:tc>
          <w:tcPr>
            <w:tcW w:w="768" w:type="dxa"/>
            <w:tcBorders>
              <w:top w:val="nil"/>
              <w:left w:val="nil"/>
              <w:bottom w:val="single" w:sz="12" w:space="0" w:color="auto"/>
              <w:right w:val="nil"/>
            </w:tcBorders>
            <w:shd w:val="clear" w:color="auto" w:fill="auto"/>
            <w:noWrap/>
            <w:vAlign w:val="bottom"/>
            <w:hideMark/>
          </w:tcPr>
          <w:p w14:paraId="0CFC7B75" w14:textId="55BDEFDB" w:rsidR="00BE2FE2" w:rsidRDefault="00BE2FE2" w:rsidP="00BE2FE2">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4D18F8FE" w14:textId="1F161BD1" w:rsidR="00BE2FE2" w:rsidRDefault="00BE2FE2" w:rsidP="00BE2FE2">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5214F8AC" w14:textId="61984B4C" w:rsidR="00BE2FE2" w:rsidRDefault="00BE2FE2" w:rsidP="00BE2FE2">
            <w:pPr>
              <w:jc w:val="right"/>
              <w:rPr>
                <w:color w:val="000000"/>
                <w:sz w:val="20"/>
                <w:szCs w:val="20"/>
              </w:rPr>
            </w:pPr>
            <w:r>
              <w:rPr>
                <w:color w:val="000000"/>
                <w:sz w:val="20"/>
                <w:szCs w:val="20"/>
              </w:rPr>
              <w:t>0.958</w:t>
            </w:r>
          </w:p>
        </w:tc>
        <w:tc>
          <w:tcPr>
            <w:tcW w:w="768" w:type="dxa"/>
            <w:tcBorders>
              <w:top w:val="nil"/>
              <w:left w:val="nil"/>
              <w:bottom w:val="single" w:sz="12" w:space="0" w:color="auto"/>
              <w:right w:val="nil"/>
            </w:tcBorders>
            <w:shd w:val="clear" w:color="auto" w:fill="auto"/>
            <w:noWrap/>
            <w:vAlign w:val="bottom"/>
            <w:hideMark/>
          </w:tcPr>
          <w:p w14:paraId="0994B481" w14:textId="11C0CFE2" w:rsidR="00BE2FE2" w:rsidRDefault="00BE2FE2" w:rsidP="00BE2FE2">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8DD806C" w14:textId="1F02B0DA" w:rsidR="00BE2FE2" w:rsidRDefault="00BE2FE2" w:rsidP="00BE2FE2">
            <w:pPr>
              <w:jc w:val="right"/>
              <w:rPr>
                <w:color w:val="000000"/>
                <w:sz w:val="20"/>
                <w:szCs w:val="20"/>
              </w:rPr>
            </w:pPr>
            <w:r>
              <w:rPr>
                <w:color w:val="000000"/>
                <w:sz w:val="20"/>
                <w:szCs w:val="20"/>
              </w:rPr>
              <w:t>-0.018</w:t>
            </w:r>
          </w:p>
        </w:tc>
        <w:tc>
          <w:tcPr>
            <w:tcW w:w="768" w:type="dxa"/>
            <w:tcBorders>
              <w:top w:val="nil"/>
              <w:left w:val="nil"/>
              <w:bottom w:val="single" w:sz="12" w:space="0" w:color="auto"/>
              <w:right w:val="nil"/>
            </w:tcBorders>
            <w:shd w:val="clear" w:color="auto" w:fill="auto"/>
            <w:noWrap/>
            <w:vAlign w:val="bottom"/>
            <w:hideMark/>
          </w:tcPr>
          <w:p w14:paraId="5494749E" w14:textId="6075F68B" w:rsidR="00BE2FE2" w:rsidRDefault="00BE2FE2" w:rsidP="00BE2FE2">
            <w:pPr>
              <w:jc w:val="right"/>
              <w:rPr>
                <w:color w:val="000000"/>
                <w:sz w:val="20"/>
                <w:szCs w:val="20"/>
              </w:rPr>
            </w:pPr>
            <w:r>
              <w:rPr>
                <w:color w:val="000000"/>
                <w:sz w:val="20"/>
                <w:szCs w:val="20"/>
              </w:rPr>
              <w:t>0.719</w:t>
            </w:r>
          </w:p>
        </w:tc>
        <w:tc>
          <w:tcPr>
            <w:tcW w:w="768" w:type="dxa"/>
            <w:tcBorders>
              <w:top w:val="nil"/>
              <w:left w:val="nil"/>
              <w:bottom w:val="single" w:sz="12" w:space="0" w:color="auto"/>
              <w:right w:val="nil"/>
            </w:tcBorders>
            <w:shd w:val="clear" w:color="auto" w:fill="auto"/>
            <w:noWrap/>
            <w:vAlign w:val="bottom"/>
            <w:hideMark/>
          </w:tcPr>
          <w:p w14:paraId="5E4AB2E1" w14:textId="57FADC26" w:rsidR="00BE2FE2" w:rsidRDefault="00BE2FE2" w:rsidP="00BE2FE2">
            <w:pPr>
              <w:jc w:val="right"/>
              <w:rPr>
                <w:color w:val="000000"/>
                <w:sz w:val="20"/>
                <w:szCs w:val="20"/>
              </w:rPr>
            </w:pPr>
            <w:r>
              <w:rPr>
                <w:color w:val="000000"/>
                <w:sz w:val="20"/>
                <w:szCs w:val="20"/>
              </w:rPr>
              <w:t>0.000</w:t>
            </w:r>
          </w:p>
        </w:tc>
      </w:tr>
      <w:tr w:rsidR="006628A7" w14:paraId="3819365B" w14:textId="77777777" w:rsidTr="00890D3D">
        <w:trPr>
          <w:trHeight w:val="320"/>
        </w:trPr>
        <w:tc>
          <w:tcPr>
            <w:tcW w:w="1176" w:type="dxa"/>
            <w:tcBorders>
              <w:top w:val="single" w:sz="12" w:space="0" w:color="auto"/>
              <w:left w:val="nil"/>
              <w:bottom w:val="nil"/>
              <w:right w:val="nil"/>
            </w:tcBorders>
            <w:shd w:val="clear" w:color="auto" w:fill="auto"/>
            <w:noWrap/>
            <w:vAlign w:val="bottom"/>
            <w:hideMark/>
          </w:tcPr>
          <w:p w14:paraId="6272399D" w14:textId="77777777" w:rsidR="006628A7" w:rsidRDefault="006628A7">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5319308C" w14:textId="77777777" w:rsidR="006628A7" w:rsidRDefault="006628A7">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08685603"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5B85AD4"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C813129"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347C9EF"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41AC013"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1476242"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A915126"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3E2EA1B"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33BFCB4"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F5A58A2"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807377C"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7E87AF8"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CC25DBA"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792760D" w14:textId="77777777" w:rsidR="006628A7" w:rsidRDefault="006628A7">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8C77D28" w14:textId="77777777" w:rsidR="006628A7" w:rsidRDefault="006628A7">
            <w:pPr>
              <w:rPr>
                <w:sz w:val="20"/>
                <w:szCs w:val="20"/>
              </w:rPr>
            </w:pPr>
          </w:p>
        </w:tc>
      </w:tr>
    </w:tbl>
    <w:p w14:paraId="4E0C35CE" w14:textId="0F19224C" w:rsidR="00AE42C3" w:rsidRDefault="00AE42C3" w:rsidP="00885D04">
      <w:pPr>
        <w:rPr>
          <w:rFonts w:eastAsia="Batang"/>
          <w:i/>
          <w:iCs/>
        </w:rPr>
      </w:pPr>
    </w:p>
    <w:p w14:paraId="52457B6D" w14:textId="77777777" w:rsidR="00AE42C3" w:rsidRDefault="00AE42C3">
      <w:pPr>
        <w:rPr>
          <w:rFonts w:eastAsia="Batang"/>
          <w:i/>
          <w:iCs/>
        </w:rPr>
      </w:pPr>
      <w:r>
        <w:rPr>
          <w:rFonts w:eastAsia="Batang"/>
          <w:i/>
          <w:iCs/>
        </w:rPr>
        <w:br w:type="page"/>
      </w:r>
    </w:p>
    <w:p w14:paraId="3F877984" w14:textId="0F6A4A22" w:rsidR="00AF7E5D" w:rsidRPr="000A5AC4" w:rsidRDefault="00432B71" w:rsidP="000A5AC4">
      <w:pPr>
        <w:pStyle w:val="Heading1"/>
        <w:rPr>
          <w:rFonts w:ascii="Times New Roman" w:hAnsi="Times New Roman" w:cs="Times New Roman"/>
          <w:sz w:val="24"/>
          <w:szCs w:val="24"/>
        </w:rPr>
      </w:pPr>
      <w:bookmarkStart w:id="48" w:name="_Toc155817715"/>
      <w:r>
        <w:rPr>
          <w:rFonts w:ascii="Times New Roman" w:hAnsi="Times New Roman" w:cs="Times New Roman"/>
          <w:b/>
          <w:bCs/>
          <w:color w:val="000000" w:themeColor="text1"/>
          <w:sz w:val="24"/>
          <w:szCs w:val="24"/>
        </w:rPr>
        <w:lastRenderedPageBreak/>
        <w:t xml:space="preserve">Table </w:t>
      </w:r>
      <w:r w:rsidR="00AF7E5D" w:rsidRPr="000A5AC4">
        <w:rPr>
          <w:rFonts w:ascii="Times New Roman" w:hAnsi="Times New Roman" w:cs="Times New Roman"/>
          <w:b/>
          <w:bCs/>
          <w:color w:val="000000" w:themeColor="text1"/>
          <w:sz w:val="24"/>
          <w:szCs w:val="24"/>
        </w:rPr>
        <w:t>1</w:t>
      </w:r>
      <w:r w:rsidR="00994E15">
        <w:rPr>
          <w:rFonts w:ascii="Times New Roman" w:hAnsi="Times New Roman" w:cs="Times New Roman"/>
          <w:b/>
          <w:bCs/>
          <w:color w:val="000000" w:themeColor="text1"/>
          <w:sz w:val="24"/>
          <w:szCs w:val="24"/>
        </w:rPr>
        <w:t>9</w:t>
      </w:r>
      <w:r w:rsidR="00D55CD0">
        <w:rPr>
          <w:rFonts w:ascii="Times New Roman" w:hAnsi="Times New Roman" w:cs="Times New Roman"/>
          <w:b/>
          <w:bCs/>
          <w:color w:val="000000" w:themeColor="text1"/>
          <w:sz w:val="24"/>
          <w:szCs w:val="24"/>
        </w:rPr>
        <w:t>a</w:t>
      </w:r>
      <w:r w:rsidR="00AF7E5D" w:rsidRPr="000A5AC4">
        <w:rPr>
          <w:rFonts w:ascii="Times New Roman" w:hAnsi="Times New Roman" w:cs="Times New Roman"/>
          <w:b/>
          <w:bCs/>
          <w:color w:val="000000" w:themeColor="text1"/>
          <w:sz w:val="24"/>
          <w:szCs w:val="24"/>
        </w:rPr>
        <w:t>.</w:t>
      </w:r>
      <w:r w:rsidR="00AF7E5D" w:rsidRPr="000A5AC4">
        <w:rPr>
          <w:rFonts w:ascii="Times New Roman" w:hAnsi="Times New Roman" w:cs="Times New Roman"/>
          <w:color w:val="000000" w:themeColor="text1"/>
          <w:sz w:val="24"/>
          <w:szCs w:val="24"/>
        </w:rPr>
        <w:t xml:space="preserve"> Results Examining the Relationship Between Environmental Stress Factors Obtained from Bifactor Modeling and Behavioral Performance</w:t>
      </w:r>
      <w:bookmarkEnd w:id="48"/>
    </w:p>
    <w:tbl>
      <w:tblPr>
        <w:tblW w:w="14460" w:type="dxa"/>
        <w:tblCellMar>
          <w:left w:w="0" w:type="dxa"/>
          <w:right w:w="0" w:type="dxa"/>
        </w:tblCellMar>
        <w:tblLook w:val="04A0" w:firstRow="1" w:lastRow="0" w:firstColumn="1" w:lastColumn="0" w:noHBand="0" w:noVBand="1"/>
      </w:tblPr>
      <w:tblGrid>
        <w:gridCol w:w="2160"/>
        <w:gridCol w:w="820"/>
        <w:gridCol w:w="820"/>
        <w:gridCol w:w="820"/>
        <w:gridCol w:w="820"/>
        <w:gridCol w:w="820"/>
        <w:gridCol w:w="820"/>
        <w:gridCol w:w="820"/>
        <w:gridCol w:w="820"/>
        <w:gridCol w:w="820"/>
        <w:gridCol w:w="820"/>
        <w:gridCol w:w="820"/>
        <w:gridCol w:w="820"/>
        <w:gridCol w:w="820"/>
        <w:gridCol w:w="820"/>
        <w:gridCol w:w="820"/>
      </w:tblGrid>
      <w:tr w:rsidR="00AF7E5D" w14:paraId="5F8E995F" w14:textId="77777777" w:rsidTr="00AF1024">
        <w:trPr>
          <w:trHeight w:val="340"/>
        </w:trPr>
        <w:tc>
          <w:tcPr>
            <w:tcW w:w="216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4B4D8C3A"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79096DA6"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79C07EAD"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68C898F9"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72A17879"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3797A900"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503B4655"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0D0602D9"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3AA7FBC0"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5971C213"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7C2F3E1F"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3B6F28B1"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3278EAD7"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63D5FA18"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22E84935"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14:paraId="444D2B9A" w14:textId="77777777" w:rsidR="00AF7E5D" w:rsidRDefault="00AF7E5D" w:rsidP="009E45F8">
            <w:pPr>
              <w:rPr>
                <w:color w:val="000000"/>
                <w:sz w:val="20"/>
                <w:szCs w:val="20"/>
              </w:rPr>
            </w:pPr>
          </w:p>
        </w:tc>
      </w:tr>
      <w:tr w:rsidR="00AF7E5D" w14:paraId="0FCA638D" w14:textId="77777777" w:rsidTr="00AF1024">
        <w:trPr>
          <w:trHeight w:val="340"/>
        </w:trPr>
        <w:tc>
          <w:tcPr>
            <w:tcW w:w="0" w:type="auto"/>
            <w:vMerge w:val="restart"/>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7C9EB6F6" w14:textId="77777777" w:rsidR="00AF7E5D" w:rsidRDefault="00AF7E5D" w:rsidP="009E45F8">
            <w:pPr>
              <w:jc w:val="center"/>
              <w:rPr>
                <w:color w:val="000000"/>
                <w:sz w:val="20"/>
                <w:szCs w:val="20"/>
              </w:rPr>
            </w:pPr>
            <w:r>
              <w:rPr>
                <w:color w:val="000000"/>
                <w:sz w:val="20"/>
                <w:szCs w:val="20"/>
              </w:rPr>
              <w:t>Task</w:t>
            </w:r>
          </w:p>
        </w:tc>
        <w:tc>
          <w:tcPr>
            <w:tcW w:w="0" w:type="auto"/>
            <w:gridSpan w:val="3"/>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68A21E21" w14:textId="77777777" w:rsidR="00AF7E5D" w:rsidRDefault="00AF7E5D" w:rsidP="00AF7E5D">
            <w:pPr>
              <w:jc w:val="center"/>
              <w:rPr>
                <w:color w:val="000000"/>
                <w:sz w:val="20"/>
                <w:szCs w:val="20"/>
              </w:rPr>
            </w:pPr>
            <w:r>
              <w:rPr>
                <w:color w:val="000000"/>
                <w:sz w:val="20"/>
                <w:szCs w:val="20"/>
              </w:rPr>
              <w:t xml:space="preserve">General Environmental </w:t>
            </w:r>
          </w:p>
          <w:p w14:paraId="6FDDF952" w14:textId="7883856A" w:rsidR="00AF7E5D" w:rsidRDefault="00AF7E5D" w:rsidP="00AF7E5D">
            <w:pPr>
              <w:jc w:val="center"/>
              <w:rPr>
                <w:color w:val="000000"/>
                <w:sz w:val="20"/>
                <w:szCs w:val="20"/>
              </w:rPr>
            </w:pPr>
            <w:r>
              <w:rPr>
                <w:color w:val="000000"/>
                <w:sz w:val="20"/>
                <w:szCs w:val="20"/>
              </w:rPr>
              <w:t>Stress</w:t>
            </w:r>
          </w:p>
        </w:tc>
        <w:tc>
          <w:tcPr>
            <w:tcW w:w="0" w:type="auto"/>
            <w:gridSpan w:val="3"/>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31B2A5AB" w14:textId="77777777" w:rsidR="00AF7E5D" w:rsidRDefault="00AF7E5D" w:rsidP="00AF7E5D">
            <w:pPr>
              <w:jc w:val="center"/>
              <w:rPr>
                <w:color w:val="000000"/>
                <w:sz w:val="20"/>
                <w:szCs w:val="20"/>
              </w:rPr>
            </w:pPr>
            <w:r>
              <w:rPr>
                <w:color w:val="000000"/>
                <w:sz w:val="20"/>
                <w:szCs w:val="20"/>
              </w:rPr>
              <w:t>Family Dynamics</w:t>
            </w:r>
          </w:p>
        </w:tc>
        <w:tc>
          <w:tcPr>
            <w:tcW w:w="0" w:type="auto"/>
            <w:gridSpan w:val="3"/>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2D8A53BC" w14:textId="77777777" w:rsidR="00AF7E5D" w:rsidRDefault="00AF7E5D" w:rsidP="00AF7E5D">
            <w:pPr>
              <w:jc w:val="center"/>
              <w:rPr>
                <w:color w:val="000000"/>
                <w:sz w:val="20"/>
                <w:szCs w:val="20"/>
              </w:rPr>
            </w:pPr>
            <w:r>
              <w:rPr>
                <w:color w:val="000000"/>
                <w:sz w:val="20"/>
                <w:szCs w:val="20"/>
              </w:rPr>
              <w:t>Interpersonal Support</w:t>
            </w:r>
          </w:p>
        </w:tc>
        <w:tc>
          <w:tcPr>
            <w:tcW w:w="0" w:type="auto"/>
            <w:gridSpan w:val="3"/>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02B876DF" w14:textId="77777777" w:rsidR="00AF7E5D" w:rsidRDefault="00AF7E5D" w:rsidP="00AF7E5D">
            <w:pPr>
              <w:jc w:val="center"/>
              <w:rPr>
                <w:color w:val="000000"/>
                <w:sz w:val="20"/>
                <w:szCs w:val="20"/>
              </w:rPr>
            </w:pPr>
            <w:r>
              <w:rPr>
                <w:color w:val="000000"/>
                <w:sz w:val="20"/>
                <w:szCs w:val="20"/>
              </w:rPr>
              <w:t xml:space="preserve">Neighborhood SES </w:t>
            </w:r>
          </w:p>
          <w:p w14:paraId="2EBB1922" w14:textId="193433EB" w:rsidR="00AF7E5D" w:rsidRDefault="00AF7E5D" w:rsidP="00AF7E5D">
            <w:pPr>
              <w:jc w:val="center"/>
              <w:rPr>
                <w:color w:val="000000"/>
                <w:sz w:val="20"/>
                <w:szCs w:val="20"/>
              </w:rPr>
            </w:pPr>
            <w:r>
              <w:rPr>
                <w:color w:val="000000"/>
                <w:sz w:val="20"/>
                <w:szCs w:val="20"/>
              </w:rPr>
              <w:t>Deprivation</w:t>
            </w:r>
          </w:p>
        </w:tc>
        <w:tc>
          <w:tcPr>
            <w:tcW w:w="0" w:type="auto"/>
            <w:gridSpan w:val="3"/>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5ABFEBEA" w14:textId="77777777" w:rsidR="00AF7E5D" w:rsidRDefault="00AF7E5D" w:rsidP="00AF7E5D">
            <w:pPr>
              <w:jc w:val="center"/>
              <w:rPr>
                <w:color w:val="000000"/>
                <w:sz w:val="20"/>
                <w:szCs w:val="20"/>
              </w:rPr>
            </w:pPr>
            <w:r>
              <w:rPr>
                <w:color w:val="000000"/>
                <w:sz w:val="20"/>
                <w:szCs w:val="20"/>
              </w:rPr>
              <w:t>Urbanicity</w:t>
            </w:r>
          </w:p>
        </w:tc>
      </w:tr>
      <w:tr w:rsidR="00AF7E5D" w14:paraId="56B1F2D7" w14:textId="77777777" w:rsidTr="00AF1024">
        <w:trPr>
          <w:trHeight w:val="340"/>
        </w:trPr>
        <w:tc>
          <w:tcPr>
            <w:tcW w:w="0" w:type="auto"/>
            <w:vMerge/>
            <w:tcBorders>
              <w:top w:val="single" w:sz="12" w:space="0" w:color="auto"/>
              <w:left w:val="nil"/>
              <w:bottom w:val="single" w:sz="12" w:space="0" w:color="auto"/>
              <w:right w:val="nil"/>
            </w:tcBorders>
            <w:vAlign w:val="center"/>
            <w:hideMark/>
          </w:tcPr>
          <w:p w14:paraId="6259CF25" w14:textId="77777777" w:rsidR="00AF7E5D" w:rsidRDefault="00AF7E5D" w:rsidP="009E45F8">
            <w:pPr>
              <w:rPr>
                <w:color w:val="000000"/>
                <w:sz w:val="20"/>
                <w:szCs w:val="20"/>
              </w:rPr>
            </w:pP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2A6C9DC0"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23ECAA64"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4951776C"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555F53CF"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451F036A"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51D2E3D5"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227B328E"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6B4F32B2"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5858D0F2"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6254BE89"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681E79D0"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74341DEA"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0E6C95CB"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76BB42EB"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0" w:type="auto"/>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14:paraId="090317BA"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r>
      <w:tr w:rsidR="00F02202" w14:paraId="7156B2AD" w14:textId="77777777" w:rsidTr="00A33B44">
        <w:trPr>
          <w:trHeight w:val="720"/>
        </w:trPr>
        <w:tc>
          <w:tcPr>
            <w:tcW w:w="2160" w:type="dxa"/>
            <w:tcBorders>
              <w:top w:val="single" w:sz="12" w:space="0" w:color="auto"/>
              <w:left w:val="nil"/>
              <w:bottom w:val="nil"/>
              <w:right w:val="nil"/>
            </w:tcBorders>
            <w:shd w:val="clear" w:color="auto" w:fill="auto"/>
            <w:tcMar>
              <w:top w:w="15" w:type="dxa"/>
              <w:left w:w="15" w:type="dxa"/>
              <w:bottom w:w="0" w:type="dxa"/>
              <w:right w:w="15" w:type="dxa"/>
            </w:tcMar>
            <w:vAlign w:val="center"/>
            <w:hideMark/>
          </w:tcPr>
          <w:p w14:paraId="03BE0BC2" w14:textId="77777777" w:rsidR="00F02202" w:rsidRDefault="00F02202" w:rsidP="009D7245">
            <w:pPr>
              <w:rPr>
                <w:color w:val="000000"/>
                <w:sz w:val="20"/>
                <w:szCs w:val="20"/>
              </w:rPr>
            </w:pPr>
            <w:r>
              <w:rPr>
                <w:color w:val="000000"/>
                <w:sz w:val="20"/>
                <w:szCs w:val="20"/>
              </w:rPr>
              <w:t>Total earnings on the MID</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2CD5C94D" w14:textId="43EEB9EC" w:rsidR="00F02202" w:rsidRDefault="00F02202" w:rsidP="00420294">
            <w:pPr>
              <w:jc w:val="center"/>
              <w:rPr>
                <w:color w:val="000000"/>
                <w:sz w:val="20"/>
                <w:szCs w:val="20"/>
              </w:rPr>
            </w:pPr>
            <w:r>
              <w:rPr>
                <w:color w:val="000000"/>
                <w:sz w:val="20"/>
                <w:szCs w:val="20"/>
              </w:rPr>
              <w:t>-0.025</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20984ED0" w14:textId="403C906B" w:rsidR="00F02202" w:rsidRDefault="00F02202" w:rsidP="00420294">
            <w:pPr>
              <w:jc w:val="center"/>
              <w:rPr>
                <w:color w:val="000000"/>
                <w:sz w:val="20"/>
                <w:szCs w:val="20"/>
              </w:rPr>
            </w:pPr>
            <w:r>
              <w:rPr>
                <w:color w:val="000000"/>
                <w:sz w:val="20"/>
                <w:szCs w:val="20"/>
              </w:rPr>
              <w:t>0.104</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0E14521D" w14:textId="54C179C5" w:rsidR="00F02202" w:rsidRDefault="00F02202" w:rsidP="00420294">
            <w:pPr>
              <w:jc w:val="center"/>
              <w:rPr>
                <w:color w:val="000000"/>
                <w:sz w:val="20"/>
                <w:szCs w:val="20"/>
              </w:rPr>
            </w:pPr>
            <w:r>
              <w:rPr>
                <w:color w:val="000000"/>
                <w:sz w:val="20"/>
                <w:szCs w:val="20"/>
              </w:rPr>
              <w:t>0.001</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3C9EE020" w14:textId="6EBAD5B9" w:rsidR="00F02202" w:rsidRDefault="00F02202" w:rsidP="00420294">
            <w:pPr>
              <w:jc w:val="center"/>
              <w:rPr>
                <w:color w:val="000000"/>
                <w:sz w:val="20"/>
                <w:szCs w:val="20"/>
              </w:rPr>
            </w:pPr>
            <w:r>
              <w:rPr>
                <w:color w:val="000000"/>
                <w:sz w:val="20"/>
                <w:szCs w:val="20"/>
              </w:rPr>
              <w:t>0.001</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3609114E" w14:textId="4EF9C3C5" w:rsidR="00F02202" w:rsidRDefault="00F02202" w:rsidP="00420294">
            <w:pPr>
              <w:jc w:val="center"/>
              <w:rPr>
                <w:color w:val="000000"/>
                <w:sz w:val="20"/>
                <w:szCs w:val="20"/>
              </w:rPr>
            </w:pPr>
            <w:r>
              <w:rPr>
                <w:color w:val="000000"/>
                <w:sz w:val="20"/>
                <w:szCs w:val="20"/>
              </w:rPr>
              <w:t>1.000</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14E9A379" w14:textId="29EDCB76" w:rsidR="00F02202" w:rsidRDefault="00F02202" w:rsidP="00420294">
            <w:pPr>
              <w:jc w:val="center"/>
              <w:rPr>
                <w:color w:val="000000"/>
                <w:sz w:val="20"/>
                <w:szCs w:val="20"/>
              </w:rPr>
            </w:pPr>
            <w:r>
              <w:rPr>
                <w:color w:val="000000"/>
                <w:sz w:val="20"/>
                <w:szCs w:val="20"/>
              </w:rPr>
              <w:t>0.000</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62310D08" w14:textId="698A8463" w:rsidR="00F02202" w:rsidRDefault="00F02202" w:rsidP="00420294">
            <w:pPr>
              <w:jc w:val="center"/>
              <w:rPr>
                <w:color w:val="000000"/>
                <w:sz w:val="20"/>
                <w:szCs w:val="20"/>
              </w:rPr>
            </w:pPr>
            <w:r>
              <w:rPr>
                <w:color w:val="000000"/>
                <w:sz w:val="20"/>
                <w:szCs w:val="20"/>
              </w:rPr>
              <w:t>-0.005</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0ECDCEF7" w14:textId="2E753B7B" w:rsidR="00F02202" w:rsidRDefault="00F02202" w:rsidP="00420294">
            <w:pPr>
              <w:jc w:val="center"/>
              <w:rPr>
                <w:color w:val="000000"/>
                <w:sz w:val="20"/>
                <w:szCs w:val="20"/>
              </w:rPr>
            </w:pPr>
            <w:r>
              <w:rPr>
                <w:color w:val="000000"/>
                <w:sz w:val="20"/>
                <w:szCs w:val="20"/>
              </w:rPr>
              <w:t>1.000</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08899228" w14:textId="25C5987C" w:rsidR="00F02202" w:rsidRDefault="00F02202" w:rsidP="00420294">
            <w:pPr>
              <w:jc w:val="center"/>
              <w:rPr>
                <w:color w:val="000000"/>
                <w:sz w:val="20"/>
                <w:szCs w:val="20"/>
              </w:rPr>
            </w:pPr>
            <w:r>
              <w:rPr>
                <w:color w:val="000000"/>
                <w:sz w:val="20"/>
                <w:szCs w:val="20"/>
              </w:rPr>
              <w:t>0.000</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20B8B364" w14:textId="107B2D74" w:rsidR="00F02202" w:rsidRDefault="00F02202" w:rsidP="00420294">
            <w:pPr>
              <w:jc w:val="center"/>
              <w:rPr>
                <w:b/>
                <w:bCs/>
                <w:color w:val="000000"/>
                <w:sz w:val="20"/>
                <w:szCs w:val="20"/>
              </w:rPr>
            </w:pPr>
            <w:r>
              <w:rPr>
                <w:b/>
                <w:bCs/>
                <w:color w:val="000000"/>
                <w:sz w:val="20"/>
                <w:szCs w:val="20"/>
              </w:rPr>
              <w:t>-0.086</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68C6D945" w14:textId="5E87476F" w:rsidR="00F02202" w:rsidRDefault="00F02202" w:rsidP="00420294">
            <w:pPr>
              <w:jc w:val="center"/>
              <w:rPr>
                <w:b/>
                <w:bCs/>
                <w:color w:val="000000"/>
                <w:sz w:val="20"/>
                <w:szCs w:val="20"/>
              </w:rPr>
            </w:pPr>
            <w:r>
              <w:rPr>
                <w:b/>
                <w:bCs/>
                <w:color w:val="000000"/>
                <w:sz w:val="20"/>
                <w:szCs w:val="20"/>
              </w:rPr>
              <w:t>0.000</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2F8A1305" w14:textId="673757E4" w:rsidR="00F02202" w:rsidRDefault="00F02202" w:rsidP="00420294">
            <w:pPr>
              <w:jc w:val="center"/>
              <w:rPr>
                <w:b/>
                <w:bCs/>
                <w:color w:val="000000"/>
                <w:sz w:val="20"/>
                <w:szCs w:val="20"/>
              </w:rPr>
            </w:pPr>
            <w:r>
              <w:rPr>
                <w:b/>
                <w:bCs/>
                <w:color w:val="000000"/>
                <w:sz w:val="20"/>
                <w:szCs w:val="20"/>
              </w:rPr>
              <w:t>0.007</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5F087052" w14:textId="48584890" w:rsidR="00F02202" w:rsidRDefault="00F02202" w:rsidP="00420294">
            <w:pPr>
              <w:jc w:val="center"/>
              <w:rPr>
                <w:b/>
                <w:bCs/>
                <w:color w:val="000000"/>
                <w:sz w:val="20"/>
                <w:szCs w:val="20"/>
              </w:rPr>
            </w:pPr>
            <w:r>
              <w:rPr>
                <w:b/>
                <w:bCs/>
                <w:color w:val="000000"/>
                <w:sz w:val="20"/>
                <w:szCs w:val="20"/>
              </w:rPr>
              <w:t>0.035</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61C9DAE5" w14:textId="46D11749" w:rsidR="00F02202" w:rsidRDefault="00F02202" w:rsidP="00420294">
            <w:pPr>
              <w:jc w:val="center"/>
              <w:rPr>
                <w:b/>
                <w:bCs/>
                <w:color w:val="000000"/>
                <w:sz w:val="20"/>
                <w:szCs w:val="20"/>
              </w:rPr>
            </w:pPr>
            <w:r>
              <w:rPr>
                <w:b/>
                <w:bCs/>
                <w:color w:val="000000"/>
                <w:sz w:val="20"/>
                <w:szCs w:val="20"/>
              </w:rPr>
              <w:t>0.025</w:t>
            </w: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center"/>
            <w:hideMark/>
          </w:tcPr>
          <w:p w14:paraId="17DF6C9E" w14:textId="1D457C0F" w:rsidR="00F02202" w:rsidRDefault="00F02202" w:rsidP="00420294">
            <w:pPr>
              <w:jc w:val="center"/>
              <w:rPr>
                <w:b/>
                <w:bCs/>
                <w:color w:val="000000"/>
                <w:sz w:val="20"/>
                <w:szCs w:val="20"/>
              </w:rPr>
            </w:pPr>
            <w:r>
              <w:rPr>
                <w:b/>
                <w:bCs/>
                <w:color w:val="000000"/>
                <w:sz w:val="20"/>
                <w:szCs w:val="20"/>
              </w:rPr>
              <w:t>0.001</w:t>
            </w:r>
          </w:p>
        </w:tc>
      </w:tr>
      <w:tr w:rsidR="00F02202" w14:paraId="746AE2B0" w14:textId="77777777" w:rsidTr="00A33B44">
        <w:trPr>
          <w:trHeight w:val="720"/>
        </w:trPr>
        <w:tc>
          <w:tcPr>
            <w:tcW w:w="2160" w:type="dxa"/>
            <w:tcBorders>
              <w:top w:val="nil"/>
              <w:left w:val="nil"/>
              <w:bottom w:val="nil"/>
              <w:right w:val="nil"/>
            </w:tcBorders>
            <w:shd w:val="clear" w:color="auto" w:fill="auto"/>
            <w:tcMar>
              <w:top w:w="15" w:type="dxa"/>
              <w:left w:w="15" w:type="dxa"/>
              <w:bottom w:w="0" w:type="dxa"/>
              <w:right w:w="15" w:type="dxa"/>
            </w:tcMar>
            <w:vAlign w:val="center"/>
            <w:hideMark/>
          </w:tcPr>
          <w:p w14:paraId="2611896A" w14:textId="77777777" w:rsidR="00F02202" w:rsidRDefault="00F02202" w:rsidP="009D7245">
            <w:pPr>
              <w:rPr>
                <w:color w:val="000000"/>
                <w:sz w:val="20"/>
                <w:szCs w:val="20"/>
              </w:rPr>
            </w:pPr>
            <w:r>
              <w:rPr>
                <w:color w:val="000000"/>
                <w:sz w:val="20"/>
                <w:szCs w:val="20"/>
              </w:rPr>
              <w:t>Proportion of correct responses across 2-back trials in en-back</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9D17703" w14:textId="777BAF89" w:rsidR="00F02202" w:rsidRDefault="00F02202" w:rsidP="00420294">
            <w:pPr>
              <w:jc w:val="center"/>
              <w:rPr>
                <w:b/>
                <w:bCs/>
                <w:color w:val="000000"/>
                <w:sz w:val="20"/>
                <w:szCs w:val="20"/>
              </w:rPr>
            </w:pPr>
            <w:r>
              <w:rPr>
                <w:b/>
                <w:bCs/>
                <w:color w:val="000000"/>
                <w:sz w:val="20"/>
                <w:szCs w:val="20"/>
              </w:rPr>
              <w:t>-0.088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3CF56DA" w14:textId="232983A7" w:rsidR="00F02202" w:rsidRDefault="00F02202" w:rsidP="00420294">
            <w:pPr>
              <w:jc w:val="center"/>
              <w:rPr>
                <w:b/>
                <w:bCs/>
                <w:color w:val="000000"/>
                <w:sz w:val="20"/>
                <w:szCs w:val="20"/>
              </w:rPr>
            </w:pPr>
            <w:r>
              <w:rPr>
                <w:b/>
                <w:bCs/>
                <w:color w:val="000000"/>
                <w:sz w:val="20"/>
                <w:szCs w:val="20"/>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443BBD8" w14:textId="121BCE50" w:rsidR="00F02202" w:rsidRDefault="00F02202" w:rsidP="00420294">
            <w:pPr>
              <w:jc w:val="center"/>
              <w:rPr>
                <w:b/>
                <w:bCs/>
                <w:color w:val="000000"/>
                <w:sz w:val="20"/>
                <w:szCs w:val="20"/>
              </w:rPr>
            </w:pPr>
            <w:r>
              <w:rPr>
                <w:b/>
                <w:bCs/>
                <w:color w:val="000000"/>
                <w:sz w:val="20"/>
                <w:szCs w:val="20"/>
              </w:rPr>
              <w:t>0.008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58A0E5C" w14:textId="0D8614EC" w:rsidR="00F02202" w:rsidRDefault="00F02202" w:rsidP="00420294">
            <w:pPr>
              <w:jc w:val="center"/>
              <w:rPr>
                <w:color w:val="000000"/>
                <w:sz w:val="20"/>
                <w:szCs w:val="20"/>
              </w:rPr>
            </w:pPr>
            <w:r>
              <w:rPr>
                <w:color w:val="000000"/>
                <w:sz w:val="20"/>
                <w:szCs w:val="20"/>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C559E71" w14:textId="24827125" w:rsidR="00F02202" w:rsidRDefault="00F02202" w:rsidP="00420294">
            <w:pPr>
              <w:jc w:val="center"/>
              <w:rPr>
                <w:color w:val="000000"/>
                <w:sz w:val="20"/>
                <w:szCs w:val="20"/>
              </w:rPr>
            </w:pPr>
            <w:r>
              <w:rPr>
                <w:color w:val="000000"/>
                <w:sz w:val="20"/>
                <w:szCs w:val="20"/>
              </w:rPr>
              <w:t>1.000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BABFF4F" w14:textId="70CA5AC7" w:rsidR="00F02202" w:rsidRDefault="00F02202" w:rsidP="00420294">
            <w:pPr>
              <w:jc w:val="center"/>
              <w:rPr>
                <w:color w:val="000000"/>
                <w:sz w:val="20"/>
                <w:szCs w:val="20"/>
              </w:rPr>
            </w:pPr>
            <w:r>
              <w:rPr>
                <w:color w:val="000000"/>
                <w:sz w:val="20"/>
                <w:szCs w:val="20"/>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06E64A0" w14:textId="6AABF63B" w:rsidR="00F02202" w:rsidRDefault="00F02202" w:rsidP="00420294">
            <w:pPr>
              <w:jc w:val="center"/>
              <w:rPr>
                <w:color w:val="000000"/>
                <w:sz w:val="20"/>
                <w:szCs w:val="20"/>
              </w:rPr>
            </w:pPr>
            <w:r>
              <w:rPr>
                <w:color w:val="000000"/>
                <w:sz w:val="20"/>
                <w:szCs w:val="20"/>
              </w:rPr>
              <w:t>-0.007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6170951" w14:textId="6DD1B4B5" w:rsidR="00F02202" w:rsidRDefault="00F02202" w:rsidP="00420294">
            <w:pPr>
              <w:jc w:val="center"/>
              <w:rPr>
                <w:color w:val="000000"/>
                <w:sz w:val="20"/>
                <w:szCs w:val="20"/>
              </w:rPr>
            </w:pPr>
            <w:r>
              <w:rPr>
                <w:color w:val="000000"/>
                <w:sz w:val="20"/>
                <w:szCs w:val="20"/>
              </w:rPr>
              <w:t>1.000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CCD554B" w14:textId="40CA2F23" w:rsidR="00F02202" w:rsidRDefault="00F02202" w:rsidP="00420294">
            <w:pPr>
              <w:jc w:val="center"/>
              <w:rPr>
                <w:color w:val="000000"/>
                <w:sz w:val="20"/>
                <w:szCs w:val="20"/>
              </w:rPr>
            </w:pPr>
            <w:r>
              <w:rPr>
                <w:color w:val="000000"/>
                <w:sz w:val="20"/>
                <w:szCs w:val="20"/>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C4E1B86" w14:textId="57153CF8" w:rsidR="00F02202" w:rsidRDefault="00F02202" w:rsidP="00420294">
            <w:pPr>
              <w:jc w:val="center"/>
              <w:rPr>
                <w:b/>
                <w:bCs/>
                <w:color w:val="000000"/>
                <w:sz w:val="20"/>
                <w:szCs w:val="20"/>
              </w:rPr>
            </w:pPr>
            <w:r>
              <w:rPr>
                <w:b/>
                <w:bCs/>
                <w:color w:val="000000"/>
                <w:sz w:val="20"/>
                <w:szCs w:val="20"/>
              </w:rPr>
              <w:t>-0.118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B82D87F" w14:textId="3BA02028" w:rsidR="00F02202" w:rsidRDefault="00F02202" w:rsidP="00420294">
            <w:pPr>
              <w:jc w:val="center"/>
              <w:rPr>
                <w:b/>
                <w:bCs/>
                <w:color w:val="000000"/>
                <w:sz w:val="20"/>
                <w:szCs w:val="20"/>
              </w:rPr>
            </w:pPr>
            <w:r>
              <w:rPr>
                <w:b/>
                <w:bCs/>
                <w:color w:val="000000"/>
                <w:sz w:val="20"/>
                <w:szCs w:val="20"/>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5B83A82" w14:textId="26E0B4BA" w:rsidR="00F02202" w:rsidRDefault="00F02202" w:rsidP="00420294">
            <w:pPr>
              <w:jc w:val="center"/>
              <w:rPr>
                <w:b/>
                <w:bCs/>
                <w:color w:val="000000"/>
                <w:sz w:val="20"/>
                <w:szCs w:val="20"/>
              </w:rPr>
            </w:pPr>
            <w:r>
              <w:rPr>
                <w:b/>
                <w:bCs/>
                <w:color w:val="000000"/>
                <w:sz w:val="20"/>
                <w:szCs w:val="20"/>
              </w:rPr>
              <w:t>0.014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7A953CE" w14:textId="38BB18D4" w:rsidR="00F02202" w:rsidRDefault="00F02202" w:rsidP="00420294">
            <w:pPr>
              <w:jc w:val="center"/>
              <w:rPr>
                <w:color w:val="000000"/>
                <w:sz w:val="20"/>
                <w:szCs w:val="20"/>
              </w:rPr>
            </w:pPr>
            <w:r>
              <w:rPr>
                <w:color w:val="000000"/>
                <w:sz w:val="20"/>
                <w:szCs w:val="20"/>
              </w:rPr>
              <w:t>0.023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6010A16" w14:textId="2ED67153" w:rsidR="00F02202" w:rsidRDefault="00F02202" w:rsidP="00420294">
            <w:pPr>
              <w:jc w:val="center"/>
              <w:rPr>
                <w:color w:val="000000"/>
                <w:sz w:val="20"/>
                <w:szCs w:val="20"/>
              </w:rPr>
            </w:pPr>
            <w:r>
              <w:rPr>
                <w:color w:val="000000"/>
                <w:sz w:val="20"/>
                <w:szCs w:val="20"/>
              </w:rPr>
              <w:t>0.075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0ECB865" w14:textId="19BC6EB1" w:rsidR="00F02202" w:rsidRDefault="00F02202" w:rsidP="00420294">
            <w:pPr>
              <w:jc w:val="center"/>
              <w:rPr>
                <w:color w:val="000000"/>
                <w:sz w:val="20"/>
                <w:szCs w:val="20"/>
              </w:rPr>
            </w:pPr>
            <w:r>
              <w:rPr>
                <w:color w:val="000000"/>
                <w:sz w:val="20"/>
                <w:szCs w:val="20"/>
              </w:rPr>
              <w:t>0.001</w:t>
            </w:r>
          </w:p>
        </w:tc>
      </w:tr>
      <w:tr w:rsidR="00F02202" w14:paraId="6FACCAD2" w14:textId="77777777" w:rsidTr="00A33B44">
        <w:trPr>
          <w:trHeight w:val="720"/>
        </w:trPr>
        <w:tc>
          <w:tcPr>
            <w:tcW w:w="2160" w:type="dxa"/>
            <w:tcBorders>
              <w:top w:val="nil"/>
              <w:left w:val="nil"/>
              <w:bottom w:val="nil"/>
              <w:right w:val="nil"/>
            </w:tcBorders>
            <w:shd w:val="clear" w:color="auto" w:fill="auto"/>
            <w:tcMar>
              <w:top w:w="15" w:type="dxa"/>
              <w:left w:w="15" w:type="dxa"/>
              <w:bottom w:w="0" w:type="dxa"/>
              <w:right w:w="15" w:type="dxa"/>
            </w:tcMar>
            <w:vAlign w:val="center"/>
            <w:hideMark/>
          </w:tcPr>
          <w:p w14:paraId="43877EA3" w14:textId="77777777" w:rsidR="00F02202" w:rsidRDefault="00F02202" w:rsidP="009D7245">
            <w:pPr>
              <w:rPr>
                <w:color w:val="000000"/>
                <w:sz w:val="20"/>
                <w:szCs w:val="20"/>
              </w:rPr>
            </w:pPr>
            <w:r>
              <w:rPr>
                <w:color w:val="000000"/>
                <w:sz w:val="20"/>
                <w:szCs w:val="20"/>
              </w:rPr>
              <w:t>Rate of correct responses to 2 back stimuli during run 1 and run 2 in en-back</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0120111" w14:textId="3061A772" w:rsidR="00F02202" w:rsidRDefault="00F02202" w:rsidP="00420294">
            <w:pPr>
              <w:jc w:val="center"/>
              <w:rPr>
                <w:b/>
                <w:bCs/>
                <w:color w:val="000000"/>
                <w:sz w:val="20"/>
                <w:szCs w:val="20"/>
              </w:rPr>
            </w:pPr>
            <w:r>
              <w:rPr>
                <w:b/>
                <w:bCs/>
                <w:color w:val="000000"/>
                <w:sz w:val="20"/>
                <w:szCs w:val="20"/>
              </w:rPr>
              <w:t>-0.083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DBFB874" w14:textId="14FCFA90" w:rsidR="00F02202" w:rsidRDefault="00F02202" w:rsidP="00420294">
            <w:pPr>
              <w:jc w:val="center"/>
              <w:rPr>
                <w:b/>
                <w:bCs/>
                <w:color w:val="000000"/>
                <w:sz w:val="20"/>
                <w:szCs w:val="20"/>
              </w:rPr>
            </w:pPr>
            <w:r>
              <w:rPr>
                <w:b/>
                <w:bCs/>
                <w:color w:val="000000"/>
                <w:sz w:val="20"/>
                <w:szCs w:val="20"/>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F13F45D" w14:textId="54AB516A" w:rsidR="00F02202" w:rsidRDefault="00F02202" w:rsidP="00420294">
            <w:pPr>
              <w:jc w:val="center"/>
              <w:rPr>
                <w:b/>
                <w:bCs/>
                <w:color w:val="000000"/>
                <w:sz w:val="20"/>
                <w:szCs w:val="20"/>
              </w:rPr>
            </w:pPr>
            <w:r>
              <w:rPr>
                <w:b/>
                <w:bCs/>
                <w:color w:val="000000"/>
                <w:sz w:val="20"/>
                <w:szCs w:val="20"/>
              </w:rPr>
              <w:t>0.007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B924C6F" w14:textId="1BF31651" w:rsidR="00F02202" w:rsidRDefault="00F02202" w:rsidP="00420294">
            <w:pPr>
              <w:jc w:val="center"/>
              <w:rPr>
                <w:color w:val="000000"/>
                <w:sz w:val="20"/>
                <w:szCs w:val="20"/>
              </w:rPr>
            </w:pPr>
            <w:r>
              <w:rPr>
                <w:color w:val="000000"/>
                <w:sz w:val="20"/>
                <w:szCs w:val="20"/>
              </w:rPr>
              <w:t>-0.001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68AFE18" w14:textId="7A3B03BC" w:rsidR="00F02202" w:rsidRDefault="00F02202" w:rsidP="00420294">
            <w:pPr>
              <w:jc w:val="center"/>
              <w:rPr>
                <w:color w:val="000000"/>
                <w:sz w:val="20"/>
                <w:szCs w:val="20"/>
              </w:rPr>
            </w:pPr>
            <w:r>
              <w:rPr>
                <w:color w:val="000000"/>
                <w:sz w:val="20"/>
                <w:szCs w:val="20"/>
              </w:rPr>
              <w:t>1.000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D4281F0" w14:textId="5D8DC735" w:rsidR="00F02202" w:rsidRDefault="00F02202" w:rsidP="00420294">
            <w:pPr>
              <w:jc w:val="center"/>
              <w:rPr>
                <w:color w:val="000000"/>
                <w:sz w:val="20"/>
                <w:szCs w:val="20"/>
              </w:rPr>
            </w:pPr>
            <w:r>
              <w:rPr>
                <w:color w:val="000000"/>
                <w:sz w:val="20"/>
                <w:szCs w:val="20"/>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B7F95E7" w14:textId="25DED023" w:rsidR="00F02202" w:rsidRDefault="00F02202" w:rsidP="00420294">
            <w:pPr>
              <w:jc w:val="center"/>
              <w:rPr>
                <w:color w:val="000000"/>
                <w:sz w:val="20"/>
                <w:szCs w:val="20"/>
              </w:rPr>
            </w:pPr>
            <w:r>
              <w:rPr>
                <w:color w:val="000000"/>
                <w:sz w:val="20"/>
                <w:szCs w:val="20"/>
              </w:rPr>
              <w:t>-0.007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8A67DDD" w14:textId="0784B247" w:rsidR="00F02202" w:rsidRDefault="00F02202" w:rsidP="00420294">
            <w:pPr>
              <w:jc w:val="center"/>
              <w:rPr>
                <w:color w:val="000000"/>
                <w:sz w:val="20"/>
                <w:szCs w:val="20"/>
              </w:rPr>
            </w:pPr>
            <w:r>
              <w:rPr>
                <w:color w:val="000000"/>
                <w:sz w:val="20"/>
                <w:szCs w:val="20"/>
              </w:rPr>
              <w:t>1.000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6372A93" w14:textId="14609966" w:rsidR="00F02202" w:rsidRDefault="00F02202" w:rsidP="00420294">
            <w:pPr>
              <w:jc w:val="center"/>
              <w:rPr>
                <w:color w:val="000000"/>
                <w:sz w:val="20"/>
                <w:szCs w:val="20"/>
              </w:rPr>
            </w:pPr>
            <w:r>
              <w:rPr>
                <w:color w:val="000000"/>
                <w:sz w:val="20"/>
                <w:szCs w:val="20"/>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D693872" w14:textId="15528B21" w:rsidR="00F02202" w:rsidRDefault="00F02202" w:rsidP="00420294">
            <w:pPr>
              <w:jc w:val="center"/>
              <w:rPr>
                <w:b/>
                <w:bCs/>
                <w:color w:val="000000"/>
                <w:sz w:val="20"/>
                <w:szCs w:val="20"/>
              </w:rPr>
            </w:pPr>
            <w:r>
              <w:rPr>
                <w:b/>
                <w:bCs/>
                <w:color w:val="000000"/>
                <w:sz w:val="20"/>
                <w:szCs w:val="20"/>
              </w:rPr>
              <w:t>-0.122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8A74EC0" w14:textId="75D2141A" w:rsidR="00F02202" w:rsidRDefault="00F02202" w:rsidP="00420294">
            <w:pPr>
              <w:jc w:val="center"/>
              <w:rPr>
                <w:b/>
                <w:bCs/>
                <w:color w:val="000000"/>
                <w:sz w:val="20"/>
                <w:szCs w:val="20"/>
              </w:rPr>
            </w:pPr>
            <w:r>
              <w:rPr>
                <w:b/>
                <w:bCs/>
                <w:color w:val="000000"/>
                <w:sz w:val="20"/>
                <w:szCs w:val="20"/>
              </w:rPr>
              <w:t>0.000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584CD5B" w14:textId="779DE6D3" w:rsidR="00F02202" w:rsidRDefault="00F02202" w:rsidP="00420294">
            <w:pPr>
              <w:jc w:val="center"/>
              <w:rPr>
                <w:b/>
                <w:bCs/>
                <w:color w:val="000000"/>
                <w:sz w:val="20"/>
                <w:szCs w:val="20"/>
              </w:rPr>
            </w:pPr>
            <w:r>
              <w:rPr>
                <w:b/>
                <w:bCs/>
                <w:color w:val="000000"/>
                <w:sz w:val="20"/>
                <w:szCs w:val="20"/>
              </w:rPr>
              <w:t>0.015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2C6D8FA" w14:textId="3333ECFF" w:rsidR="00F02202" w:rsidRDefault="00F02202" w:rsidP="00420294">
            <w:pPr>
              <w:jc w:val="center"/>
              <w:rPr>
                <w:b/>
                <w:bCs/>
                <w:color w:val="000000"/>
                <w:sz w:val="20"/>
                <w:szCs w:val="20"/>
              </w:rPr>
            </w:pPr>
            <w:r>
              <w:rPr>
                <w:b/>
                <w:bCs/>
                <w:color w:val="000000"/>
                <w:sz w:val="20"/>
                <w:szCs w:val="20"/>
              </w:rPr>
              <w:t>0.038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17EBC26" w14:textId="2D264057" w:rsidR="00F02202" w:rsidRDefault="00F02202" w:rsidP="00420294">
            <w:pPr>
              <w:jc w:val="center"/>
              <w:rPr>
                <w:b/>
                <w:bCs/>
                <w:color w:val="000000"/>
                <w:sz w:val="20"/>
                <w:szCs w:val="20"/>
              </w:rPr>
            </w:pPr>
            <w:r>
              <w:rPr>
                <w:b/>
                <w:bCs/>
                <w:color w:val="000000"/>
                <w:sz w:val="20"/>
                <w:szCs w:val="20"/>
              </w:rPr>
              <w:t>0.005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604C2AA" w14:textId="391879C3" w:rsidR="00F02202" w:rsidRDefault="00F02202" w:rsidP="00420294">
            <w:pPr>
              <w:jc w:val="center"/>
              <w:rPr>
                <w:b/>
                <w:bCs/>
                <w:color w:val="000000"/>
                <w:sz w:val="20"/>
                <w:szCs w:val="20"/>
              </w:rPr>
            </w:pPr>
            <w:r>
              <w:rPr>
                <w:b/>
                <w:bCs/>
                <w:color w:val="000000"/>
                <w:sz w:val="20"/>
                <w:szCs w:val="20"/>
              </w:rPr>
              <w:t>0.001</w:t>
            </w:r>
          </w:p>
        </w:tc>
      </w:tr>
      <w:tr w:rsidR="00F02202" w14:paraId="4035DECC" w14:textId="77777777" w:rsidTr="00A33B44">
        <w:trPr>
          <w:trHeight w:val="720"/>
        </w:trPr>
        <w:tc>
          <w:tcPr>
            <w:tcW w:w="2160" w:type="dxa"/>
            <w:tcBorders>
              <w:top w:val="nil"/>
              <w:left w:val="nil"/>
              <w:right w:val="nil"/>
            </w:tcBorders>
            <w:shd w:val="clear" w:color="auto" w:fill="auto"/>
            <w:tcMar>
              <w:top w:w="15" w:type="dxa"/>
              <w:left w:w="15" w:type="dxa"/>
              <w:bottom w:w="0" w:type="dxa"/>
              <w:right w:w="15" w:type="dxa"/>
            </w:tcMar>
            <w:vAlign w:val="center"/>
            <w:hideMark/>
          </w:tcPr>
          <w:p w14:paraId="52EDDD0A" w14:textId="77777777" w:rsidR="00F02202" w:rsidRDefault="00F02202" w:rsidP="009D7245">
            <w:pPr>
              <w:rPr>
                <w:color w:val="000000"/>
                <w:sz w:val="20"/>
                <w:szCs w:val="20"/>
              </w:rPr>
            </w:pPr>
            <w:r>
              <w:rPr>
                <w:color w:val="000000"/>
                <w:sz w:val="20"/>
                <w:szCs w:val="20"/>
              </w:rPr>
              <w:t>Rate of correct go trials in SST</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0A45A120" w14:textId="6484F16F" w:rsidR="00F02202" w:rsidRDefault="00F02202" w:rsidP="00420294">
            <w:pPr>
              <w:jc w:val="center"/>
              <w:rPr>
                <w:b/>
                <w:bCs/>
                <w:color w:val="000000"/>
                <w:sz w:val="20"/>
                <w:szCs w:val="20"/>
              </w:rPr>
            </w:pPr>
            <w:r>
              <w:rPr>
                <w:b/>
                <w:bCs/>
                <w:color w:val="000000"/>
                <w:sz w:val="20"/>
                <w:szCs w:val="20"/>
              </w:rPr>
              <w:t>-0.050</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2C430FF5" w14:textId="381D4F4F" w:rsidR="00F02202" w:rsidRDefault="00F02202" w:rsidP="00420294">
            <w:pPr>
              <w:jc w:val="center"/>
              <w:rPr>
                <w:b/>
                <w:bCs/>
                <w:color w:val="000000"/>
                <w:sz w:val="20"/>
                <w:szCs w:val="20"/>
              </w:rPr>
            </w:pPr>
            <w:r>
              <w:rPr>
                <w:b/>
                <w:bCs/>
                <w:color w:val="000000"/>
                <w:sz w:val="20"/>
                <w:szCs w:val="20"/>
              </w:rPr>
              <w:t>0.002</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23C800D9" w14:textId="3DCC569F" w:rsidR="00F02202" w:rsidRDefault="00F02202" w:rsidP="00420294">
            <w:pPr>
              <w:jc w:val="center"/>
              <w:rPr>
                <w:b/>
                <w:bCs/>
                <w:color w:val="000000"/>
                <w:sz w:val="20"/>
                <w:szCs w:val="20"/>
              </w:rPr>
            </w:pPr>
            <w:r>
              <w:rPr>
                <w:b/>
                <w:bCs/>
                <w:color w:val="000000"/>
                <w:sz w:val="20"/>
                <w:szCs w:val="20"/>
              </w:rPr>
              <w:t>0.003</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4AD54C50" w14:textId="70B3EB6A" w:rsidR="00F02202" w:rsidRDefault="00F02202" w:rsidP="00420294">
            <w:pPr>
              <w:jc w:val="center"/>
              <w:rPr>
                <w:b/>
                <w:bCs/>
                <w:color w:val="000000"/>
                <w:sz w:val="20"/>
                <w:szCs w:val="20"/>
              </w:rPr>
            </w:pPr>
            <w:r>
              <w:rPr>
                <w:color w:val="000000"/>
                <w:sz w:val="20"/>
                <w:szCs w:val="20"/>
              </w:rPr>
              <w:t>-0.032</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73DD7DD7" w14:textId="607128DA" w:rsidR="00F02202" w:rsidRDefault="00F02202" w:rsidP="00420294">
            <w:pPr>
              <w:jc w:val="center"/>
              <w:rPr>
                <w:b/>
                <w:bCs/>
                <w:color w:val="000000"/>
                <w:sz w:val="20"/>
                <w:szCs w:val="20"/>
              </w:rPr>
            </w:pPr>
            <w:r>
              <w:rPr>
                <w:color w:val="000000"/>
                <w:sz w:val="20"/>
                <w:szCs w:val="20"/>
              </w:rPr>
              <w:t>0.075</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133186B6" w14:textId="59BE2C88" w:rsidR="00F02202" w:rsidRDefault="00F02202" w:rsidP="00420294">
            <w:pPr>
              <w:jc w:val="center"/>
              <w:rPr>
                <w:b/>
                <w:bCs/>
                <w:color w:val="000000"/>
                <w:sz w:val="20"/>
                <w:szCs w:val="20"/>
              </w:rPr>
            </w:pPr>
            <w:r>
              <w:rPr>
                <w:color w:val="000000"/>
                <w:sz w:val="20"/>
                <w:szCs w:val="20"/>
              </w:rPr>
              <w:t>0.001</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6E09B347" w14:textId="18DC195A" w:rsidR="00F02202" w:rsidRDefault="00F02202" w:rsidP="00420294">
            <w:pPr>
              <w:jc w:val="center"/>
              <w:rPr>
                <w:color w:val="000000"/>
                <w:sz w:val="20"/>
                <w:szCs w:val="20"/>
              </w:rPr>
            </w:pPr>
            <w:r>
              <w:rPr>
                <w:color w:val="000000"/>
                <w:sz w:val="20"/>
                <w:szCs w:val="20"/>
              </w:rPr>
              <w:t>0.021</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052FAFB8" w14:textId="007D005A" w:rsidR="00F02202" w:rsidRDefault="00F02202" w:rsidP="00420294">
            <w:pPr>
              <w:jc w:val="center"/>
              <w:rPr>
                <w:color w:val="000000"/>
                <w:sz w:val="20"/>
                <w:szCs w:val="20"/>
              </w:rPr>
            </w:pPr>
            <w:r>
              <w:rPr>
                <w:color w:val="000000"/>
                <w:sz w:val="20"/>
                <w:szCs w:val="20"/>
              </w:rPr>
              <w:t>1.000</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1174E250" w14:textId="00382C8B" w:rsidR="00F02202" w:rsidRDefault="00F02202" w:rsidP="00420294">
            <w:pPr>
              <w:jc w:val="center"/>
              <w:rPr>
                <w:color w:val="000000"/>
                <w:sz w:val="20"/>
                <w:szCs w:val="20"/>
              </w:rPr>
            </w:pPr>
            <w:r>
              <w:rPr>
                <w:color w:val="000000"/>
                <w:sz w:val="20"/>
                <w:szCs w:val="20"/>
              </w:rPr>
              <w:t>0.000</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4C1AE0F1" w14:textId="68D59B11" w:rsidR="00F02202" w:rsidRDefault="00F02202" w:rsidP="00420294">
            <w:pPr>
              <w:jc w:val="center"/>
              <w:rPr>
                <w:b/>
                <w:bCs/>
                <w:color w:val="000000"/>
                <w:sz w:val="20"/>
                <w:szCs w:val="20"/>
              </w:rPr>
            </w:pPr>
            <w:r>
              <w:rPr>
                <w:b/>
                <w:bCs/>
                <w:color w:val="000000"/>
                <w:sz w:val="20"/>
                <w:szCs w:val="20"/>
              </w:rPr>
              <w:t>-0.115</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3E345B23" w14:textId="668901A5" w:rsidR="00F02202" w:rsidRDefault="00F02202" w:rsidP="00420294">
            <w:pPr>
              <w:jc w:val="center"/>
              <w:rPr>
                <w:b/>
                <w:bCs/>
                <w:color w:val="000000"/>
                <w:sz w:val="20"/>
                <w:szCs w:val="20"/>
              </w:rPr>
            </w:pPr>
            <w:r>
              <w:rPr>
                <w:b/>
                <w:bCs/>
                <w:color w:val="000000"/>
                <w:sz w:val="20"/>
                <w:szCs w:val="20"/>
              </w:rPr>
              <w:t>0.000</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79992288" w14:textId="779AB925" w:rsidR="00F02202" w:rsidRDefault="00F02202" w:rsidP="00420294">
            <w:pPr>
              <w:jc w:val="center"/>
              <w:rPr>
                <w:b/>
                <w:bCs/>
                <w:color w:val="000000"/>
                <w:sz w:val="20"/>
                <w:szCs w:val="20"/>
              </w:rPr>
            </w:pPr>
            <w:r>
              <w:rPr>
                <w:b/>
                <w:bCs/>
                <w:color w:val="000000"/>
                <w:sz w:val="20"/>
                <w:szCs w:val="20"/>
              </w:rPr>
              <w:t>0.013</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02CEACED" w14:textId="5AB415C6" w:rsidR="00F02202" w:rsidRDefault="00F02202" w:rsidP="00420294">
            <w:pPr>
              <w:jc w:val="center"/>
              <w:rPr>
                <w:color w:val="000000"/>
                <w:sz w:val="20"/>
                <w:szCs w:val="20"/>
              </w:rPr>
            </w:pPr>
            <w:r>
              <w:rPr>
                <w:color w:val="000000"/>
                <w:sz w:val="20"/>
                <w:szCs w:val="20"/>
              </w:rPr>
              <w:t>0.019</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4DCCBAC4" w14:textId="2267E0E6" w:rsidR="00F02202" w:rsidRDefault="00F02202" w:rsidP="00420294">
            <w:pPr>
              <w:jc w:val="center"/>
              <w:rPr>
                <w:color w:val="000000"/>
                <w:sz w:val="20"/>
                <w:szCs w:val="20"/>
              </w:rPr>
            </w:pPr>
            <w:r>
              <w:rPr>
                <w:color w:val="000000"/>
                <w:sz w:val="20"/>
                <w:szCs w:val="20"/>
              </w:rPr>
              <w:t>0.153</w:t>
            </w:r>
          </w:p>
        </w:tc>
        <w:tc>
          <w:tcPr>
            <w:tcW w:w="0" w:type="auto"/>
            <w:tcBorders>
              <w:top w:val="nil"/>
              <w:left w:val="nil"/>
              <w:right w:val="nil"/>
            </w:tcBorders>
            <w:shd w:val="clear" w:color="auto" w:fill="auto"/>
            <w:noWrap/>
            <w:tcMar>
              <w:top w:w="15" w:type="dxa"/>
              <w:left w:w="15" w:type="dxa"/>
              <w:bottom w:w="0" w:type="dxa"/>
              <w:right w:w="15" w:type="dxa"/>
            </w:tcMar>
            <w:vAlign w:val="center"/>
            <w:hideMark/>
          </w:tcPr>
          <w:p w14:paraId="4225D3A9" w14:textId="541EEE6D" w:rsidR="00F02202" w:rsidRDefault="00F02202" w:rsidP="00420294">
            <w:pPr>
              <w:jc w:val="center"/>
              <w:rPr>
                <w:color w:val="000000"/>
                <w:sz w:val="20"/>
                <w:szCs w:val="20"/>
              </w:rPr>
            </w:pPr>
            <w:r>
              <w:rPr>
                <w:color w:val="000000"/>
                <w:sz w:val="20"/>
                <w:szCs w:val="20"/>
              </w:rPr>
              <w:t>0.000</w:t>
            </w:r>
          </w:p>
        </w:tc>
      </w:tr>
      <w:tr w:rsidR="00F02202" w14:paraId="35B98207" w14:textId="77777777" w:rsidTr="00A33B44">
        <w:trPr>
          <w:trHeight w:val="720"/>
        </w:trPr>
        <w:tc>
          <w:tcPr>
            <w:tcW w:w="2160" w:type="dxa"/>
            <w:tcBorders>
              <w:top w:val="nil"/>
              <w:left w:val="nil"/>
              <w:bottom w:val="single" w:sz="12" w:space="0" w:color="auto"/>
              <w:right w:val="nil"/>
            </w:tcBorders>
            <w:shd w:val="clear" w:color="auto" w:fill="auto"/>
            <w:tcMar>
              <w:top w:w="15" w:type="dxa"/>
              <w:left w:w="15" w:type="dxa"/>
              <w:bottom w:w="0" w:type="dxa"/>
              <w:right w:w="15" w:type="dxa"/>
            </w:tcMar>
            <w:vAlign w:val="center"/>
            <w:hideMark/>
          </w:tcPr>
          <w:p w14:paraId="6DB1213B" w14:textId="77777777" w:rsidR="00F02202" w:rsidRDefault="00F02202" w:rsidP="009D7245">
            <w:pPr>
              <w:rPr>
                <w:color w:val="000000"/>
                <w:sz w:val="20"/>
                <w:szCs w:val="20"/>
              </w:rPr>
            </w:pPr>
            <w:r>
              <w:rPr>
                <w:color w:val="000000"/>
                <w:sz w:val="20"/>
                <w:szCs w:val="20"/>
              </w:rPr>
              <w:t>Mean response time for correct Go trials in SST</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3F54CE91" w14:textId="3CC1F618" w:rsidR="00F02202" w:rsidRDefault="00F02202" w:rsidP="00420294">
            <w:pPr>
              <w:jc w:val="center"/>
              <w:rPr>
                <w:color w:val="000000"/>
                <w:sz w:val="20"/>
                <w:szCs w:val="20"/>
              </w:rPr>
            </w:pPr>
            <w:r>
              <w:rPr>
                <w:color w:val="000000"/>
                <w:sz w:val="20"/>
                <w:szCs w:val="20"/>
              </w:rPr>
              <w:t>0.004</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33856D83" w14:textId="5162F5F5" w:rsidR="00F02202" w:rsidRDefault="00F02202" w:rsidP="00420294">
            <w:pPr>
              <w:jc w:val="center"/>
              <w:rPr>
                <w:color w:val="000000"/>
                <w:sz w:val="20"/>
                <w:szCs w:val="20"/>
              </w:rPr>
            </w:pPr>
            <w:r>
              <w:rPr>
                <w:color w:val="000000"/>
                <w:sz w:val="20"/>
                <w:szCs w:val="20"/>
              </w:rPr>
              <w:t>0.777</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20C71674" w14:textId="19978C55" w:rsidR="00F02202" w:rsidRDefault="00F02202" w:rsidP="00420294">
            <w:pPr>
              <w:jc w:val="center"/>
              <w:rPr>
                <w:color w:val="000000"/>
                <w:sz w:val="20"/>
                <w:szCs w:val="20"/>
              </w:rPr>
            </w:pPr>
            <w:r>
              <w:rPr>
                <w:color w:val="000000"/>
                <w:sz w:val="20"/>
                <w:szCs w:val="20"/>
              </w:rPr>
              <w:t>0.000</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10B52E25" w14:textId="28738F2E" w:rsidR="00F02202" w:rsidRDefault="00F02202" w:rsidP="00420294">
            <w:pPr>
              <w:jc w:val="center"/>
              <w:rPr>
                <w:color w:val="000000"/>
                <w:sz w:val="20"/>
                <w:szCs w:val="20"/>
              </w:rPr>
            </w:pPr>
            <w:r>
              <w:rPr>
                <w:color w:val="000000"/>
                <w:sz w:val="20"/>
                <w:szCs w:val="20"/>
              </w:rPr>
              <w:t>-0.022</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11B7F84B" w14:textId="221593D0" w:rsidR="00F02202" w:rsidRDefault="00F02202" w:rsidP="00420294">
            <w:pPr>
              <w:jc w:val="center"/>
              <w:rPr>
                <w:color w:val="000000"/>
                <w:sz w:val="20"/>
                <w:szCs w:val="20"/>
              </w:rPr>
            </w:pPr>
            <w:r>
              <w:rPr>
                <w:color w:val="000000"/>
                <w:sz w:val="20"/>
                <w:szCs w:val="20"/>
              </w:rPr>
              <w:t>0.213</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59BD0739" w14:textId="5D9D9C20" w:rsidR="00F02202" w:rsidRDefault="00F02202" w:rsidP="00420294">
            <w:pPr>
              <w:jc w:val="center"/>
              <w:rPr>
                <w:color w:val="000000"/>
                <w:sz w:val="20"/>
                <w:szCs w:val="20"/>
              </w:rPr>
            </w:pPr>
            <w:r>
              <w:rPr>
                <w:color w:val="000000"/>
                <w:sz w:val="20"/>
                <w:szCs w:val="20"/>
              </w:rPr>
              <w:t>0.000</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43CAF577" w14:textId="545DA0F2" w:rsidR="00F02202" w:rsidRDefault="00F02202" w:rsidP="00420294">
            <w:pPr>
              <w:jc w:val="center"/>
              <w:rPr>
                <w:color w:val="000000"/>
                <w:sz w:val="20"/>
                <w:szCs w:val="20"/>
              </w:rPr>
            </w:pPr>
            <w:r>
              <w:rPr>
                <w:color w:val="000000"/>
                <w:sz w:val="20"/>
                <w:szCs w:val="20"/>
              </w:rPr>
              <w:t>0.013</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5C37B550" w14:textId="06C351D2" w:rsidR="00F02202" w:rsidRDefault="00F02202" w:rsidP="00420294">
            <w:pPr>
              <w:jc w:val="center"/>
              <w:rPr>
                <w:color w:val="000000"/>
                <w:sz w:val="20"/>
                <w:szCs w:val="20"/>
              </w:rPr>
            </w:pPr>
            <w:r>
              <w:rPr>
                <w:color w:val="000000"/>
                <w:sz w:val="20"/>
                <w:szCs w:val="20"/>
              </w:rPr>
              <w:t>1.000</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6033AB28" w14:textId="7B0FB9BE" w:rsidR="00F02202" w:rsidRDefault="00F02202" w:rsidP="00420294">
            <w:pPr>
              <w:jc w:val="center"/>
              <w:rPr>
                <w:color w:val="000000"/>
                <w:sz w:val="20"/>
                <w:szCs w:val="20"/>
              </w:rPr>
            </w:pPr>
            <w:r>
              <w:rPr>
                <w:color w:val="000000"/>
                <w:sz w:val="20"/>
                <w:szCs w:val="20"/>
              </w:rPr>
              <w:t>0.000</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393A095B" w14:textId="5FB3FF4D" w:rsidR="00F02202" w:rsidRDefault="00F02202" w:rsidP="00420294">
            <w:pPr>
              <w:jc w:val="center"/>
              <w:rPr>
                <w:color w:val="000000"/>
                <w:sz w:val="20"/>
                <w:szCs w:val="20"/>
              </w:rPr>
            </w:pPr>
            <w:r>
              <w:rPr>
                <w:color w:val="000000"/>
                <w:sz w:val="20"/>
                <w:szCs w:val="20"/>
              </w:rPr>
              <w:t>-0.017</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0285AA26" w14:textId="5BC8BA4B" w:rsidR="00F02202" w:rsidRDefault="00F02202" w:rsidP="00420294">
            <w:pPr>
              <w:jc w:val="center"/>
              <w:rPr>
                <w:color w:val="000000"/>
                <w:sz w:val="20"/>
                <w:szCs w:val="20"/>
              </w:rPr>
            </w:pPr>
            <w:r>
              <w:rPr>
                <w:color w:val="000000"/>
                <w:sz w:val="20"/>
                <w:szCs w:val="20"/>
              </w:rPr>
              <w:t>0.187</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5CDD2F39" w14:textId="0DAAE83A" w:rsidR="00F02202" w:rsidRDefault="00F02202" w:rsidP="00420294">
            <w:pPr>
              <w:jc w:val="center"/>
              <w:rPr>
                <w:color w:val="000000"/>
                <w:sz w:val="20"/>
                <w:szCs w:val="20"/>
              </w:rPr>
            </w:pPr>
            <w:r>
              <w:rPr>
                <w:color w:val="000000"/>
                <w:sz w:val="20"/>
                <w:szCs w:val="20"/>
              </w:rPr>
              <w:t>0.000</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2C697920" w14:textId="22B54050" w:rsidR="00F02202" w:rsidRDefault="00F02202" w:rsidP="00420294">
            <w:pPr>
              <w:jc w:val="center"/>
              <w:rPr>
                <w:b/>
                <w:bCs/>
                <w:color w:val="000000"/>
                <w:sz w:val="20"/>
                <w:szCs w:val="20"/>
              </w:rPr>
            </w:pPr>
            <w:r>
              <w:rPr>
                <w:b/>
                <w:bCs/>
                <w:color w:val="000000"/>
                <w:sz w:val="20"/>
                <w:szCs w:val="20"/>
              </w:rPr>
              <w:t>-0.056</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65587BD1" w14:textId="71214943" w:rsidR="00F02202" w:rsidRDefault="00F02202" w:rsidP="00420294">
            <w:pPr>
              <w:jc w:val="center"/>
              <w:rPr>
                <w:b/>
                <w:bCs/>
                <w:color w:val="000000"/>
                <w:sz w:val="20"/>
                <w:szCs w:val="20"/>
              </w:rPr>
            </w:pPr>
            <w:r>
              <w:rPr>
                <w:b/>
                <w:bCs/>
                <w:color w:val="000000"/>
                <w:sz w:val="20"/>
                <w:szCs w:val="20"/>
              </w:rPr>
              <w:t>0.000</w:t>
            </w:r>
          </w:p>
        </w:tc>
        <w:tc>
          <w:tcPr>
            <w:tcW w:w="0" w:type="auto"/>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14:paraId="0E92EDCD" w14:textId="3AE11ACC" w:rsidR="00F02202" w:rsidRDefault="00F02202" w:rsidP="00420294">
            <w:pPr>
              <w:jc w:val="center"/>
              <w:rPr>
                <w:b/>
                <w:bCs/>
                <w:color w:val="000000"/>
                <w:sz w:val="20"/>
                <w:szCs w:val="20"/>
              </w:rPr>
            </w:pPr>
            <w:r>
              <w:rPr>
                <w:b/>
                <w:bCs/>
                <w:color w:val="000000"/>
                <w:sz w:val="20"/>
                <w:szCs w:val="20"/>
              </w:rPr>
              <w:t>0.003</w:t>
            </w:r>
          </w:p>
        </w:tc>
      </w:tr>
      <w:tr w:rsidR="00AF7E5D" w14:paraId="7A0E45A6" w14:textId="77777777" w:rsidTr="001D213F">
        <w:trPr>
          <w:trHeight w:val="432"/>
        </w:trPr>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28BE14FF" w14:textId="77777777" w:rsidR="00AF7E5D" w:rsidRDefault="00AF7E5D" w:rsidP="009E45F8">
            <w:pPr>
              <w:jc w:val="right"/>
              <w:rPr>
                <w:b/>
                <w:bCs/>
                <w:color w:val="000000"/>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1F3834EF"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4A537470"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7EA6CEB1"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60544C9E"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1D0C2E08"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774E9A35"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1D7ED107"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2525B111"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3206A381"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43BB6CE5"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084D6FA7"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1DC100B5"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1044EB96"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3F0E8613" w14:textId="77777777" w:rsidR="00AF7E5D" w:rsidRDefault="00AF7E5D" w:rsidP="009E45F8">
            <w:pPr>
              <w:rPr>
                <w:sz w:val="20"/>
                <w:szCs w:val="20"/>
              </w:rPr>
            </w:pPr>
          </w:p>
        </w:tc>
        <w:tc>
          <w:tcPr>
            <w:tcW w:w="0" w:type="auto"/>
            <w:tcBorders>
              <w:top w:val="single" w:sz="12" w:space="0" w:color="auto"/>
              <w:left w:val="nil"/>
              <w:bottom w:val="nil"/>
              <w:right w:val="nil"/>
            </w:tcBorders>
            <w:shd w:val="clear" w:color="auto" w:fill="auto"/>
            <w:noWrap/>
            <w:tcMar>
              <w:top w:w="15" w:type="dxa"/>
              <w:left w:w="15" w:type="dxa"/>
              <w:bottom w:w="0" w:type="dxa"/>
              <w:right w:w="15" w:type="dxa"/>
            </w:tcMar>
            <w:vAlign w:val="bottom"/>
            <w:hideMark/>
          </w:tcPr>
          <w:p w14:paraId="2B3A63AA" w14:textId="77777777" w:rsidR="00AF7E5D" w:rsidRDefault="00AF7E5D" w:rsidP="009E45F8">
            <w:pPr>
              <w:rPr>
                <w:sz w:val="20"/>
                <w:szCs w:val="20"/>
              </w:rPr>
            </w:pPr>
          </w:p>
        </w:tc>
      </w:tr>
    </w:tbl>
    <w:p w14:paraId="1092E9CB" w14:textId="77777777" w:rsidR="00AF7E5D" w:rsidRDefault="00AF7E5D" w:rsidP="00AF7E5D">
      <w:pPr>
        <w:rPr>
          <w:color w:val="000000"/>
        </w:rPr>
      </w:pPr>
      <w:r>
        <w:rPr>
          <w:color w:val="000000"/>
        </w:rPr>
        <w:t xml:space="preserve"> </w:t>
      </w:r>
      <w:r w:rsidRPr="00235E0F">
        <w:rPr>
          <w:bCs/>
          <w:i/>
          <w:iCs/>
          <w:color w:val="000000" w:themeColor="text1"/>
        </w:rPr>
        <w:t>Note</w:t>
      </w:r>
      <w:r w:rsidRPr="00235E0F">
        <w:rPr>
          <w:bCs/>
          <w:color w:val="000000" w:themeColor="text1"/>
        </w:rPr>
        <w:t xml:space="preserve">. </w:t>
      </w:r>
      <w:r>
        <w:rPr>
          <w:bCs/>
          <w:color w:val="000000" w:themeColor="text1"/>
        </w:rPr>
        <w:t>En-Back = emotional n-back task; MID = monetary incentive delay task; SST = stop signal task</w:t>
      </w:r>
      <w:r>
        <w:rPr>
          <w:color w:val="000000"/>
        </w:rPr>
        <w:t xml:space="preserve"> </w:t>
      </w:r>
    </w:p>
    <w:p w14:paraId="6F1FC737" w14:textId="77777777" w:rsidR="00AF7E5D" w:rsidRDefault="00AF7E5D" w:rsidP="00AF7E5D">
      <w:pPr>
        <w:rPr>
          <w:color w:val="000000"/>
        </w:rPr>
      </w:pPr>
    </w:p>
    <w:p w14:paraId="312A8B35" w14:textId="77777777" w:rsidR="00AF7E5D" w:rsidRDefault="00AF7E5D" w:rsidP="00AF7E5D">
      <w:pPr>
        <w:rPr>
          <w:color w:val="000000"/>
        </w:rPr>
      </w:pPr>
      <w:r>
        <w:rPr>
          <w:color w:val="000000"/>
        </w:rPr>
        <w:br w:type="page"/>
      </w:r>
    </w:p>
    <w:p w14:paraId="482B3E67" w14:textId="7E2F8E2D" w:rsidR="00AF7E5D" w:rsidRPr="000A5AC4" w:rsidRDefault="00432B71" w:rsidP="000A5AC4">
      <w:pPr>
        <w:pStyle w:val="Heading1"/>
        <w:rPr>
          <w:rFonts w:ascii="Times New Roman" w:hAnsi="Times New Roman" w:cs="Times New Roman"/>
          <w:color w:val="000000" w:themeColor="text1"/>
          <w:sz w:val="24"/>
          <w:szCs w:val="24"/>
        </w:rPr>
      </w:pPr>
      <w:bookmarkStart w:id="49" w:name="_Toc155817716"/>
      <w:r>
        <w:rPr>
          <w:rFonts w:ascii="Times New Roman" w:hAnsi="Times New Roman" w:cs="Times New Roman"/>
          <w:b/>
          <w:bCs/>
          <w:color w:val="000000" w:themeColor="text1"/>
          <w:sz w:val="24"/>
          <w:szCs w:val="24"/>
        </w:rPr>
        <w:lastRenderedPageBreak/>
        <w:t xml:space="preserve">Table </w:t>
      </w:r>
      <w:r w:rsidR="002125FE" w:rsidRPr="000A5AC4">
        <w:rPr>
          <w:rFonts w:ascii="Times New Roman" w:hAnsi="Times New Roman" w:cs="Times New Roman"/>
          <w:b/>
          <w:bCs/>
          <w:color w:val="000000" w:themeColor="text1"/>
          <w:sz w:val="24"/>
          <w:szCs w:val="24"/>
        </w:rPr>
        <w:t>1</w:t>
      </w:r>
      <w:r w:rsidR="00994E15">
        <w:rPr>
          <w:rFonts w:ascii="Times New Roman" w:hAnsi="Times New Roman" w:cs="Times New Roman"/>
          <w:b/>
          <w:bCs/>
          <w:color w:val="000000" w:themeColor="text1"/>
          <w:sz w:val="24"/>
          <w:szCs w:val="24"/>
        </w:rPr>
        <w:t>9</w:t>
      </w:r>
      <w:r w:rsidR="00D55CD0">
        <w:rPr>
          <w:rFonts w:ascii="Times New Roman" w:hAnsi="Times New Roman" w:cs="Times New Roman"/>
          <w:b/>
          <w:bCs/>
          <w:color w:val="000000" w:themeColor="text1"/>
          <w:sz w:val="24"/>
          <w:szCs w:val="24"/>
        </w:rPr>
        <w:t>b</w:t>
      </w:r>
      <w:r w:rsidR="00AF7E5D" w:rsidRPr="000A5AC4">
        <w:rPr>
          <w:rFonts w:ascii="Times New Roman" w:hAnsi="Times New Roman" w:cs="Times New Roman"/>
          <w:b/>
          <w:bCs/>
          <w:color w:val="000000" w:themeColor="text1"/>
          <w:sz w:val="24"/>
          <w:szCs w:val="24"/>
        </w:rPr>
        <w:t>.</w:t>
      </w:r>
      <w:r w:rsidR="00AF7E5D" w:rsidRPr="000A5AC4">
        <w:rPr>
          <w:rFonts w:ascii="Times New Roman" w:hAnsi="Times New Roman" w:cs="Times New Roman"/>
          <w:color w:val="000000" w:themeColor="text1"/>
          <w:sz w:val="24"/>
          <w:szCs w:val="24"/>
        </w:rPr>
        <w:t xml:space="preserve"> Results Examining the Relationship Between Environmental Stress Factors Obtained from Higher-Order Modeling and Behavioral Performance</w:t>
      </w:r>
      <w:bookmarkEnd w:id="49"/>
    </w:p>
    <w:tbl>
      <w:tblPr>
        <w:tblW w:w="14460" w:type="dxa"/>
        <w:tblLook w:val="04A0" w:firstRow="1" w:lastRow="0" w:firstColumn="1" w:lastColumn="0" w:noHBand="0" w:noVBand="1"/>
      </w:tblPr>
      <w:tblGrid>
        <w:gridCol w:w="2160"/>
        <w:gridCol w:w="820"/>
        <w:gridCol w:w="820"/>
        <w:gridCol w:w="820"/>
        <w:gridCol w:w="820"/>
        <w:gridCol w:w="820"/>
        <w:gridCol w:w="820"/>
        <w:gridCol w:w="820"/>
        <w:gridCol w:w="820"/>
        <w:gridCol w:w="820"/>
        <w:gridCol w:w="820"/>
        <w:gridCol w:w="820"/>
        <w:gridCol w:w="820"/>
        <w:gridCol w:w="820"/>
        <w:gridCol w:w="820"/>
        <w:gridCol w:w="820"/>
      </w:tblGrid>
      <w:tr w:rsidR="00AF7E5D" w14:paraId="7639330E" w14:textId="77777777" w:rsidTr="00AF1024">
        <w:trPr>
          <w:trHeight w:val="340"/>
        </w:trPr>
        <w:tc>
          <w:tcPr>
            <w:tcW w:w="2160" w:type="dxa"/>
            <w:tcBorders>
              <w:top w:val="nil"/>
              <w:left w:val="nil"/>
              <w:bottom w:val="single" w:sz="12" w:space="0" w:color="auto"/>
              <w:right w:val="nil"/>
            </w:tcBorders>
            <w:shd w:val="clear" w:color="auto" w:fill="auto"/>
            <w:noWrap/>
            <w:vAlign w:val="bottom"/>
            <w:hideMark/>
          </w:tcPr>
          <w:p w14:paraId="3E05E091"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0284EAC7"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402F8E70"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7B7836BA"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4DD87ED2"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058624DF"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064125AE"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0C4F2D33"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5485BEB7"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29F24D5F"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4F8EF5A6"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3A72CDBA"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614B2C0A"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1BE562D0"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4A0C7D9C" w14:textId="77777777" w:rsidR="00AF7E5D" w:rsidRDefault="00AF7E5D" w:rsidP="009E45F8">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5C3B9E6A" w14:textId="77777777" w:rsidR="00AF7E5D" w:rsidRDefault="00AF7E5D" w:rsidP="009E45F8">
            <w:pPr>
              <w:rPr>
                <w:color w:val="000000"/>
                <w:sz w:val="20"/>
                <w:szCs w:val="20"/>
              </w:rPr>
            </w:pPr>
          </w:p>
        </w:tc>
      </w:tr>
      <w:tr w:rsidR="00AF7E5D" w14:paraId="46C75A77" w14:textId="77777777" w:rsidTr="00AF1024">
        <w:trPr>
          <w:trHeight w:val="340"/>
        </w:trPr>
        <w:tc>
          <w:tcPr>
            <w:tcW w:w="2160" w:type="dxa"/>
            <w:vMerge w:val="restart"/>
            <w:tcBorders>
              <w:top w:val="single" w:sz="12" w:space="0" w:color="auto"/>
              <w:left w:val="nil"/>
              <w:bottom w:val="single" w:sz="12" w:space="0" w:color="auto"/>
              <w:right w:val="nil"/>
            </w:tcBorders>
            <w:shd w:val="clear" w:color="auto" w:fill="auto"/>
            <w:noWrap/>
            <w:vAlign w:val="center"/>
            <w:hideMark/>
          </w:tcPr>
          <w:p w14:paraId="0B68852B" w14:textId="77777777" w:rsidR="00AF7E5D" w:rsidRDefault="00AF7E5D" w:rsidP="009E45F8">
            <w:pPr>
              <w:jc w:val="center"/>
              <w:rPr>
                <w:color w:val="000000"/>
                <w:sz w:val="20"/>
                <w:szCs w:val="20"/>
              </w:rPr>
            </w:pPr>
            <w:r>
              <w:rPr>
                <w:color w:val="000000"/>
                <w:sz w:val="20"/>
                <w:szCs w:val="20"/>
              </w:rPr>
              <w:t>Task</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63F8895A" w14:textId="61EC4D99" w:rsidR="00AF7E5D" w:rsidRDefault="00AF7E5D" w:rsidP="00AF7E5D">
            <w:pPr>
              <w:jc w:val="center"/>
              <w:rPr>
                <w:color w:val="000000"/>
                <w:sz w:val="20"/>
                <w:szCs w:val="20"/>
              </w:rPr>
            </w:pPr>
            <w:r>
              <w:rPr>
                <w:color w:val="000000"/>
                <w:sz w:val="20"/>
                <w:szCs w:val="20"/>
              </w:rPr>
              <w:t xml:space="preserve">General </w:t>
            </w:r>
            <w:r w:rsidR="002125FE">
              <w:rPr>
                <w:color w:val="000000"/>
                <w:sz w:val="20"/>
                <w:szCs w:val="20"/>
              </w:rPr>
              <w:t>Environmental</w:t>
            </w:r>
          </w:p>
          <w:p w14:paraId="43C97772" w14:textId="21887BA0" w:rsidR="00AF7E5D" w:rsidRDefault="00AF7E5D" w:rsidP="00AF7E5D">
            <w:pPr>
              <w:jc w:val="center"/>
              <w:rPr>
                <w:color w:val="000000"/>
                <w:sz w:val="20"/>
                <w:szCs w:val="20"/>
              </w:rPr>
            </w:pPr>
            <w:r>
              <w:rPr>
                <w:color w:val="000000"/>
                <w:sz w:val="20"/>
                <w:szCs w:val="20"/>
              </w:rPr>
              <w:t>Stress</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22F82C6E" w14:textId="77777777" w:rsidR="00AF7E5D" w:rsidRDefault="00AF7E5D" w:rsidP="00AF7E5D">
            <w:pPr>
              <w:jc w:val="center"/>
              <w:rPr>
                <w:color w:val="000000"/>
                <w:sz w:val="20"/>
                <w:szCs w:val="20"/>
              </w:rPr>
            </w:pPr>
            <w:r>
              <w:rPr>
                <w:color w:val="000000"/>
                <w:sz w:val="20"/>
                <w:szCs w:val="20"/>
              </w:rPr>
              <w:t>Family Dynamics</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25CD2D89" w14:textId="77777777" w:rsidR="00AF7E5D" w:rsidRDefault="00AF7E5D" w:rsidP="00AF7E5D">
            <w:pPr>
              <w:jc w:val="center"/>
              <w:rPr>
                <w:color w:val="000000"/>
                <w:sz w:val="20"/>
                <w:szCs w:val="20"/>
              </w:rPr>
            </w:pPr>
            <w:r>
              <w:rPr>
                <w:color w:val="000000"/>
                <w:sz w:val="20"/>
                <w:szCs w:val="20"/>
              </w:rPr>
              <w:t>Interpersonal Support</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6B6679DE" w14:textId="77777777" w:rsidR="00AF7E5D" w:rsidRDefault="00AF7E5D" w:rsidP="00AF7E5D">
            <w:pPr>
              <w:jc w:val="center"/>
              <w:rPr>
                <w:color w:val="000000"/>
                <w:sz w:val="20"/>
                <w:szCs w:val="20"/>
              </w:rPr>
            </w:pPr>
            <w:r>
              <w:rPr>
                <w:color w:val="000000"/>
                <w:sz w:val="20"/>
                <w:szCs w:val="20"/>
              </w:rPr>
              <w:t>Neighborhood SES</w:t>
            </w:r>
          </w:p>
          <w:p w14:paraId="4B58B5BD" w14:textId="7EE5ADAC" w:rsidR="00AF7E5D" w:rsidRDefault="00AF7E5D" w:rsidP="00AF7E5D">
            <w:pPr>
              <w:jc w:val="center"/>
              <w:rPr>
                <w:color w:val="000000"/>
                <w:sz w:val="20"/>
                <w:szCs w:val="20"/>
              </w:rPr>
            </w:pPr>
            <w:r>
              <w:rPr>
                <w:color w:val="000000"/>
                <w:sz w:val="20"/>
                <w:szCs w:val="20"/>
              </w:rPr>
              <w:t>Deprivation</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2540ECC0" w14:textId="77777777" w:rsidR="00AF7E5D" w:rsidRDefault="00AF7E5D" w:rsidP="00AF7E5D">
            <w:pPr>
              <w:jc w:val="center"/>
              <w:rPr>
                <w:color w:val="000000"/>
                <w:sz w:val="20"/>
                <w:szCs w:val="20"/>
              </w:rPr>
            </w:pPr>
            <w:r>
              <w:rPr>
                <w:color w:val="000000"/>
                <w:sz w:val="20"/>
                <w:szCs w:val="20"/>
              </w:rPr>
              <w:t>Urbanicity</w:t>
            </w:r>
          </w:p>
        </w:tc>
      </w:tr>
      <w:tr w:rsidR="00AF7E5D" w14:paraId="4DA9893A" w14:textId="77777777" w:rsidTr="00AF1024">
        <w:trPr>
          <w:trHeight w:val="340"/>
        </w:trPr>
        <w:tc>
          <w:tcPr>
            <w:tcW w:w="2160" w:type="dxa"/>
            <w:vMerge/>
            <w:tcBorders>
              <w:top w:val="single" w:sz="12" w:space="0" w:color="auto"/>
              <w:left w:val="nil"/>
              <w:bottom w:val="single" w:sz="12" w:space="0" w:color="auto"/>
              <w:right w:val="nil"/>
            </w:tcBorders>
            <w:vAlign w:val="center"/>
            <w:hideMark/>
          </w:tcPr>
          <w:p w14:paraId="68E66377" w14:textId="77777777" w:rsidR="00AF7E5D" w:rsidRDefault="00AF7E5D" w:rsidP="009E45F8">
            <w:pPr>
              <w:rPr>
                <w:color w:val="000000"/>
                <w:sz w:val="20"/>
                <w:szCs w:val="20"/>
              </w:rPr>
            </w:pPr>
          </w:p>
        </w:tc>
        <w:tc>
          <w:tcPr>
            <w:tcW w:w="820" w:type="dxa"/>
            <w:tcBorders>
              <w:top w:val="single" w:sz="12" w:space="0" w:color="auto"/>
              <w:left w:val="nil"/>
              <w:bottom w:val="single" w:sz="12" w:space="0" w:color="auto"/>
              <w:right w:val="nil"/>
            </w:tcBorders>
            <w:shd w:val="clear" w:color="auto" w:fill="auto"/>
            <w:noWrap/>
            <w:vAlign w:val="center"/>
            <w:hideMark/>
          </w:tcPr>
          <w:p w14:paraId="6982BD12"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579C4A82"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820" w:type="dxa"/>
            <w:tcBorders>
              <w:top w:val="single" w:sz="12" w:space="0" w:color="auto"/>
              <w:left w:val="nil"/>
              <w:bottom w:val="single" w:sz="12" w:space="0" w:color="auto"/>
              <w:right w:val="nil"/>
            </w:tcBorders>
            <w:shd w:val="clear" w:color="auto" w:fill="auto"/>
            <w:noWrap/>
            <w:vAlign w:val="center"/>
            <w:hideMark/>
          </w:tcPr>
          <w:p w14:paraId="21E33771"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c>
          <w:tcPr>
            <w:tcW w:w="820" w:type="dxa"/>
            <w:tcBorders>
              <w:top w:val="single" w:sz="12" w:space="0" w:color="auto"/>
              <w:left w:val="nil"/>
              <w:bottom w:val="single" w:sz="12" w:space="0" w:color="auto"/>
              <w:right w:val="nil"/>
            </w:tcBorders>
            <w:shd w:val="clear" w:color="auto" w:fill="auto"/>
            <w:noWrap/>
            <w:vAlign w:val="center"/>
            <w:hideMark/>
          </w:tcPr>
          <w:p w14:paraId="24D2B834"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42F167AD"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820" w:type="dxa"/>
            <w:tcBorders>
              <w:top w:val="single" w:sz="12" w:space="0" w:color="auto"/>
              <w:left w:val="nil"/>
              <w:bottom w:val="single" w:sz="12" w:space="0" w:color="auto"/>
              <w:right w:val="nil"/>
            </w:tcBorders>
            <w:shd w:val="clear" w:color="auto" w:fill="auto"/>
            <w:noWrap/>
            <w:vAlign w:val="center"/>
            <w:hideMark/>
          </w:tcPr>
          <w:p w14:paraId="422327F2"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c>
          <w:tcPr>
            <w:tcW w:w="820" w:type="dxa"/>
            <w:tcBorders>
              <w:top w:val="single" w:sz="12" w:space="0" w:color="auto"/>
              <w:left w:val="nil"/>
              <w:bottom w:val="single" w:sz="12" w:space="0" w:color="auto"/>
              <w:right w:val="nil"/>
            </w:tcBorders>
            <w:shd w:val="clear" w:color="auto" w:fill="auto"/>
            <w:noWrap/>
            <w:vAlign w:val="center"/>
            <w:hideMark/>
          </w:tcPr>
          <w:p w14:paraId="59C04F6C"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41B3BA46"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820" w:type="dxa"/>
            <w:tcBorders>
              <w:top w:val="single" w:sz="12" w:space="0" w:color="auto"/>
              <w:left w:val="nil"/>
              <w:bottom w:val="single" w:sz="12" w:space="0" w:color="auto"/>
              <w:right w:val="nil"/>
            </w:tcBorders>
            <w:shd w:val="clear" w:color="auto" w:fill="auto"/>
            <w:noWrap/>
            <w:vAlign w:val="center"/>
            <w:hideMark/>
          </w:tcPr>
          <w:p w14:paraId="26FDF9AE"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c>
          <w:tcPr>
            <w:tcW w:w="820" w:type="dxa"/>
            <w:tcBorders>
              <w:top w:val="single" w:sz="12" w:space="0" w:color="auto"/>
              <w:left w:val="nil"/>
              <w:bottom w:val="single" w:sz="12" w:space="0" w:color="auto"/>
              <w:right w:val="nil"/>
            </w:tcBorders>
            <w:shd w:val="clear" w:color="auto" w:fill="auto"/>
            <w:noWrap/>
            <w:vAlign w:val="center"/>
            <w:hideMark/>
          </w:tcPr>
          <w:p w14:paraId="7860516A"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22203B1B"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820" w:type="dxa"/>
            <w:tcBorders>
              <w:top w:val="single" w:sz="12" w:space="0" w:color="auto"/>
              <w:left w:val="nil"/>
              <w:bottom w:val="single" w:sz="12" w:space="0" w:color="auto"/>
              <w:right w:val="nil"/>
            </w:tcBorders>
            <w:shd w:val="clear" w:color="auto" w:fill="auto"/>
            <w:noWrap/>
            <w:vAlign w:val="center"/>
            <w:hideMark/>
          </w:tcPr>
          <w:p w14:paraId="49884E5A"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c>
          <w:tcPr>
            <w:tcW w:w="820" w:type="dxa"/>
            <w:tcBorders>
              <w:top w:val="single" w:sz="12" w:space="0" w:color="auto"/>
              <w:left w:val="nil"/>
              <w:bottom w:val="single" w:sz="12" w:space="0" w:color="auto"/>
              <w:right w:val="nil"/>
            </w:tcBorders>
            <w:shd w:val="clear" w:color="auto" w:fill="auto"/>
            <w:noWrap/>
            <w:vAlign w:val="center"/>
            <w:hideMark/>
          </w:tcPr>
          <w:p w14:paraId="0D32C0D8" w14:textId="77777777" w:rsidR="00AF7E5D" w:rsidRPr="00AF1024" w:rsidRDefault="00AF7E5D" w:rsidP="00AF7E5D">
            <w:pPr>
              <w:jc w:val="center"/>
              <w:rPr>
                <w:i/>
                <w:iCs/>
                <w:color w:val="000000"/>
                <w:sz w:val="20"/>
                <w:szCs w:val="20"/>
              </w:rPr>
            </w:pPr>
            <w:r w:rsidRPr="00AF1024">
              <w:rPr>
                <w:i/>
                <w:iCs/>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6F1CD264" w14:textId="77777777" w:rsidR="00AF7E5D" w:rsidRPr="00AF1024" w:rsidRDefault="00AF7E5D" w:rsidP="00AF7E5D">
            <w:pPr>
              <w:jc w:val="center"/>
              <w:rPr>
                <w:i/>
                <w:iCs/>
                <w:color w:val="000000"/>
                <w:sz w:val="20"/>
                <w:szCs w:val="20"/>
              </w:rPr>
            </w:pPr>
            <w:r w:rsidRPr="00AF1024">
              <w:rPr>
                <w:i/>
                <w:iCs/>
                <w:color w:val="000000"/>
                <w:sz w:val="20"/>
                <w:szCs w:val="20"/>
              </w:rPr>
              <w:t>p</w:t>
            </w:r>
            <w:r w:rsidRPr="00AF1024">
              <w:rPr>
                <w:i/>
                <w:iCs/>
                <w:color w:val="000000"/>
                <w:sz w:val="20"/>
                <w:szCs w:val="20"/>
                <w:vertAlign w:val="subscript"/>
              </w:rPr>
              <w:t>fdr</w:t>
            </w:r>
          </w:p>
        </w:tc>
        <w:tc>
          <w:tcPr>
            <w:tcW w:w="820" w:type="dxa"/>
            <w:tcBorders>
              <w:top w:val="single" w:sz="12" w:space="0" w:color="auto"/>
              <w:left w:val="nil"/>
              <w:bottom w:val="single" w:sz="12" w:space="0" w:color="auto"/>
              <w:right w:val="nil"/>
            </w:tcBorders>
            <w:shd w:val="clear" w:color="auto" w:fill="auto"/>
            <w:noWrap/>
            <w:vAlign w:val="center"/>
            <w:hideMark/>
          </w:tcPr>
          <w:p w14:paraId="3FC041CF" w14:textId="77777777" w:rsidR="00AF7E5D" w:rsidRPr="00AF1024" w:rsidRDefault="00AF7E5D" w:rsidP="00AF7E5D">
            <w:pPr>
              <w:jc w:val="center"/>
              <w:rPr>
                <w:i/>
                <w:iCs/>
                <w:color w:val="000000"/>
                <w:sz w:val="20"/>
                <w:szCs w:val="20"/>
              </w:rPr>
            </w:pPr>
            <w:r w:rsidRPr="00AF1024">
              <w:rPr>
                <w:i/>
                <w:iCs/>
                <w:color w:val="000000"/>
                <w:sz w:val="20"/>
                <w:szCs w:val="20"/>
              </w:rPr>
              <w:t>R</w:t>
            </w:r>
            <w:r w:rsidRPr="00AF1024">
              <w:rPr>
                <w:i/>
                <w:iCs/>
                <w:color w:val="000000"/>
                <w:sz w:val="20"/>
                <w:szCs w:val="20"/>
                <w:vertAlign w:val="superscript"/>
              </w:rPr>
              <w:t>2</w:t>
            </w:r>
          </w:p>
        </w:tc>
      </w:tr>
      <w:tr w:rsidR="00F02202" w14:paraId="63444D77" w14:textId="77777777" w:rsidTr="001D213F">
        <w:trPr>
          <w:trHeight w:val="720"/>
        </w:trPr>
        <w:tc>
          <w:tcPr>
            <w:tcW w:w="2160" w:type="dxa"/>
            <w:tcBorders>
              <w:top w:val="single" w:sz="12" w:space="0" w:color="auto"/>
              <w:left w:val="nil"/>
              <w:bottom w:val="nil"/>
              <w:right w:val="nil"/>
            </w:tcBorders>
            <w:shd w:val="clear" w:color="auto" w:fill="auto"/>
            <w:vAlign w:val="center"/>
            <w:hideMark/>
          </w:tcPr>
          <w:p w14:paraId="7C02468A" w14:textId="77777777" w:rsidR="00F02202" w:rsidRDefault="00F02202" w:rsidP="00F02202">
            <w:pPr>
              <w:rPr>
                <w:color w:val="000000"/>
                <w:sz w:val="20"/>
                <w:szCs w:val="20"/>
              </w:rPr>
            </w:pPr>
            <w:r>
              <w:rPr>
                <w:color w:val="000000"/>
                <w:sz w:val="20"/>
                <w:szCs w:val="20"/>
              </w:rPr>
              <w:t>Total earnings on the MID</w:t>
            </w:r>
          </w:p>
        </w:tc>
        <w:tc>
          <w:tcPr>
            <w:tcW w:w="820" w:type="dxa"/>
            <w:tcBorders>
              <w:top w:val="single" w:sz="12" w:space="0" w:color="auto"/>
              <w:left w:val="nil"/>
              <w:bottom w:val="nil"/>
              <w:right w:val="nil"/>
            </w:tcBorders>
            <w:shd w:val="clear" w:color="auto" w:fill="auto"/>
            <w:noWrap/>
            <w:vAlign w:val="center"/>
            <w:hideMark/>
          </w:tcPr>
          <w:p w14:paraId="7E591F7B" w14:textId="5B023DA0" w:rsidR="00F02202" w:rsidRPr="00DF344B" w:rsidRDefault="00F02202" w:rsidP="00F02202">
            <w:pPr>
              <w:jc w:val="right"/>
              <w:rPr>
                <w:b/>
                <w:bCs/>
                <w:color w:val="000000"/>
                <w:sz w:val="20"/>
                <w:szCs w:val="20"/>
              </w:rPr>
            </w:pPr>
            <w:r>
              <w:rPr>
                <w:b/>
                <w:bCs/>
                <w:color w:val="000000"/>
                <w:sz w:val="20"/>
                <w:szCs w:val="20"/>
              </w:rPr>
              <w:t>-0.066</w:t>
            </w:r>
          </w:p>
        </w:tc>
        <w:tc>
          <w:tcPr>
            <w:tcW w:w="820" w:type="dxa"/>
            <w:tcBorders>
              <w:top w:val="single" w:sz="12" w:space="0" w:color="auto"/>
              <w:left w:val="nil"/>
              <w:bottom w:val="nil"/>
              <w:right w:val="nil"/>
            </w:tcBorders>
            <w:shd w:val="clear" w:color="auto" w:fill="auto"/>
            <w:noWrap/>
            <w:vAlign w:val="center"/>
            <w:hideMark/>
          </w:tcPr>
          <w:p w14:paraId="3C199B8F" w14:textId="0F6CED5C"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single" w:sz="12" w:space="0" w:color="auto"/>
              <w:left w:val="nil"/>
              <w:bottom w:val="nil"/>
              <w:right w:val="nil"/>
            </w:tcBorders>
            <w:shd w:val="clear" w:color="auto" w:fill="auto"/>
            <w:noWrap/>
            <w:vAlign w:val="center"/>
            <w:hideMark/>
          </w:tcPr>
          <w:p w14:paraId="3D7189C0" w14:textId="3EA6C1AE" w:rsidR="00F02202" w:rsidRPr="00DF344B" w:rsidRDefault="00F02202" w:rsidP="00F02202">
            <w:pPr>
              <w:jc w:val="right"/>
              <w:rPr>
                <w:b/>
                <w:bCs/>
                <w:color w:val="000000"/>
                <w:sz w:val="20"/>
                <w:szCs w:val="20"/>
              </w:rPr>
            </w:pPr>
            <w:r>
              <w:rPr>
                <w:b/>
                <w:bCs/>
                <w:color w:val="000000"/>
                <w:sz w:val="20"/>
                <w:szCs w:val="20"/>
              </w:rPr>
              <w:t>0.004</w:t>
            </w:r>
          </w:p>
        </w:tc>
        <w:tc>
          <w:tcPr>
            <w:tcW w:w="820" w:type="dxa"/>
            <w:tcBorders>
              <w:top w:val="single" w:sz="12" w:space="0" w:color="auto"/>
              <w:left w:val="nil"/>
              <w:bottom w:val="nil"/>
              <w:right w:val="nil"/>
            </w:tcBorders>
            <w:shd w:val="clear" w:color="auto" w:fill="auto"/>
            <w:noWrap/>
            <w:vAlign w:val="center"/>
            <w:hideMark/>
          </w:tcPr>
          <w:p w14:paraId="47BE6B8F" w14:textId="086FED11" w:rsidR="00F02202" w:rsidRPr="00DF344B" w:rsidRDefault="00F02202" w:rsidP="00F02202">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center"/>
            <w:hideMark/>
          </w:tcPr>
          <w:p w14:paraId="6F311A7F" w14:textId="4881E93A" w:rsidR="00F02202" w:rsidRPr="00DF344B" w:rsidRDefault="00F02202" w:rsidP="00F02202">
            <w:pPr>
              <w:jc w:val="right"/>
              <w:rPr>
                <w:color w:val="000000"/>
                <w:sz w:val="20"/>
                <w:szCs w:val="20"/>
              </w:rPr>
            </w:pPr>
            <w:r>
              <w:rPr>
                <w:color w:val="000000"/>
                <w:sz w:val="20"/>
                <w:szCs w:val="20"/>
              </w:rPr>
              <w:t>0.999</w:t>
            </w:r>
          </w:p>
        </w:tc>
        <w:tc>
          <w:tcPr>
            <w:tcW w:w="820" w:type="dxa"/>
            <w:tcBorders>
              <w:top w:val="single" w:sz="12" w:space="0" w:color="auto"/>
              <w:left w:val="nil"/>
              <w:bottom w:val="nil"/>
              <w:right w:val="nil"/>
            </w:tcBorders>
            <w:shd w:val="clear" w:color="auto" w:fill="auto"/>
            <w:noWrap/>
            <w:vAlign w:val="center"/>
            <w:hideMark/>
          </w:tcPr>
          <w:p w14:paraId="49D27A44" w14:textId="52F9AA03" w:rsidR="00F02202" w:rsidRPr="00DF344B" w:rsidRDefault="00F02202" w:rsidP="00F02202">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center"/>
            <w:hideMark/>
          </w:tcPr>
          <w:p w14:paraId="2AA94D8F" w14:textId="3A310B77" w:rsidR="00F02202" w:rsidRPr="00DF344B" w:rsidRDefault="00F02202" w:rsidP="00F02202">
            <w:pPr>
              <w:jc w:val="right"/>
              <w:rPr>
                <w:color w:val="000000"/>
                <w:sz w:val="20"/>
                <w:szCs w:val="20"/>
              </w:rPr>
            </w:pPr>
            <w:r>
              <w:rPr>
                <w:color w:val="000000"/>
                <w:sz w:val="20"/>
                <w:szCs w:val="20"/>
              </w:rPr>
              <w:t>-0.005</w:t>
            </w:r>
          </w:p>
        </w:tc>
        <w:tc>
          <w:tcPr>
            <w:tcW w:w="820" w:type="dxa"/>
            <w:tcBorders>
              <w:top w:val="single" w:sz="12" w:space="0" w:color="auto"/>
              <w:left w:val="nil"/>
              <w:bottom w:val="nil"/>
              <w:right w:val="nil"/>
            </w:tcBorders>
            <w:shd w:val="clear" w:color="auto" w:fill="auto"/>
            <w:noWrap/>
            <w:vAlign w:val="center"/>
            <w:hideMark/>
          </w:tcPr>
          <w:p w14:paraId="3C112C09" w14:textId="1D0F22E1" w:rsidR="00F02202" w:rsidRPr="00DF344B" w:rsidRDefault="00F02202" w:rsidP="00F02202">
            <w:pPr>
              <w:jc w:val="right"/>
              <w:rPr>
                <w:color w:val="000000"/>
                <w:sz w:val="20"/>
                <w:szCs w:val="20"/>
              </w:rPr>
            </w:pPr>
            <w:r>
              <w:rPr>
                <w:color w:val="000000"/>
                <w:sz w:val="20"/>
                <w:szCs w:val="20"/>
              </w:rPr>
              <w:t>0.696</w:t>
            </w:r>
          </w:p>
        </w:tc>
        <w:tc>
          <w:tcPr>
            <w:tcW w:w="820" w:type="dxa"/>
            <w:tcBorders>
              <w:top w:val="single" w:sz="12" w:space="0" w:color="auto"/>
              <w:left w:val="nil"/>
              <w:bottom w:val="nil"/>
              <w:right w:val="nil"/>
            </w:tcBorders>
            <w:shd w:val="clear" w:color="auto" w:fill="auto"/>
            <w:noWrap/>
            <w:vAlign w:val="center"/>
            <w:hideMark/>
          </w:tcPr>
          <w:p w14:paraId="79D31AE0" w14:textId="3AE0B45E" w:rsidR="00F02202" w:rsidRPr="00DF344B" w:rsidRDefault="00F02202" w:rsidP="00F02202">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center"/>
            <w:hideMark/>
          </w:tcPr>
          <w:p w14:paraId="32BAF9C3" w14:textId="5D87D0F0" w:rsidR="00F02202" w:rsidRPr="00DF344B" w:rsidRDefault="00F02202" w:rsidP="00F02202">
            <w:pPr>
              <w:jc w:val="right"/>
              <w:rPr>
                <w:b/>
                <w:bCs/>
                <w:color w:val="000000"/>
                <w:sz w:val="20"/>
                <w:szCs w:val="20"/>
              </w:rPr>
            </w:pPr>
            <w:r>
              <w:rPr>
                <w:b/>
                <w:bCs/>
                <w:color w:val="000000"/>
                <w:sz w:val="20"/>
                <w:szCs w:val="20"/>
              </w:rPr>
              <w:t>-0.104</w:t>
            </w:r>
          </w:p>
        </w:tc>
        <w:tc>
          <w:tcPr>
            <w:tcW w:w="820" w:type="dxa"/>
            <w:tcBorders>
              <w:top w:val="single" w:sz="12" w:space="0" w:color="auto"/>
              <w:left w:val="nil"/>
              <w:bottom w:val="nil"/>
              <w:right w:val="nil"/>
            </w:tcBorders>
            <w:shd w:val="clear" w:color="auto" w:fill="auto"/>
            <w:noWrap/>
            <w:vAlign w:val="center"/>
            <w:hideMark/>
          </w:tcPr>
          <w:p w14:paraId="4A0C8761" w14:textId="1E80C109"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single" w:sz="12" w:space="0" w:color="auto"/>
              <w:left w:val="nil"/>
              <w:bottom w:val="nil"/>
              <w:right w:val="nil"/>
            </w:tcBorders>
            <w:shd w:val="clear" w:color="auto" w:fill="auto"/>
            <w:noWrap/>
            <w:vAlign w:val="center"/>
            <w:hideMark/>
          </w:tcPr>
          <w:p w14:paraId="5DB27066" w14:textId="0A5A7F9E" w:rsidR="00F02202" w:rsidRPr="00DF344B" w:rsidRDefault="00F02202" w:rsidP="00F02202">
            <w:pPr>
              <w:jc w:val="right"/>
              <w:rPr>
                <w:b/>
                <w:bCs/>
                <w:color w:val="000000"/>
                <w:sz w:val="20"/>
                <w:szCs w:val="20"/>
              </w:rPr>
            </w:pPr>
            <w:r>
              <w:rPr>
                <w:b/>
                <w:bCs/>
                <w:color w:val="000000"/>
                <w:sz w:val="20"/>
                <w:szCs w:val="20"/>
              </w:rPr>
              <w:t>0.011</w:t>
            </w:r>
          </w:p>
        </w:tc>
        <w:tc>
          <w:tcPr>
            <w:tcW w:w="820" w:type="dxa"/>
            <w:tcBorders>
              <w:top w:val="single" w:sz="12" w:space="0" w:color="auto"/>
              <w:left w:val="nil"/>
              <w:bottom w:val="nil"/>
              <w:right w:val="nil"/>
            </w:tcBorders>
            <w:shd w:val="clear" w:color="auto" w:fill="auto"/>
            <w:noWrap/>
            <w:vAlign w:val="center"/>
            <w:hideMark/>
          </w:tcPr>
          <w:p w14:paraId="218EE2EE" w14:textId="0E1A29B3" w:rsidR="00F02202" w:rsidRPr="00DF344B" w:rsidRDefault="00F02202" w:rsidP="00F02202">
            <w:pPr>
              <w:jc w:val="right"/>
              <w:rPr>
                <w:b/>
                <w:bCs/>
                <w:color w:val="000000"/>
                <w:sz w:val="20"/>
                <w:szCs w:val="20"/>
              </w:rPr>
            </w:pPr>
            <w:r>
              <w:rPr>
                <w:b/>
                <w:bCs/>
                <w:color w:val="000000"/>
                <w:sz w:val="20"/>
                <w:szCs w:val="20"/>
              </w:rPr>
              <w:t>0.069</w:t>
            </w:r>
          </w:p>
        </w:tc>
        <w:tc>
          <w:tcPr>
            <w:tcW w:w="820" w:type="dxa"/>
            <w:tcBorders>
              <w:top w:val="single" w:sz="12" w:space="0" w:color="auto"/>
              <w:left w:val="nil"/>
              <w:bottom w:val="nil"/>
              <w:right w:val="nil"/>
            </w:tcBorders>
            <w:shd w:val="clear" w:color="auto" w:fill="auto"/>
            <w:noWrap/>
            <w:vAlign w:val="center"/>
            <w:hideMark/>
          </w:tcPr>
          <w:p w14:paraId="01A49131" w14:textId="501AE671"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single" w:sz="12" w:space="0" w:color="auto"/>
              <w:left w:val="nil"/>
              <w:bottom w:val="nil"/>
              <w:right w:val="nil"/>
            </w:tcBorders>
            <w:shd w:val="clear" w:color="auto" w:fill="auto"/>
            <w:noWrap/>
            <w:vAlign w:val="center"/>
            <w:hideMark/>
          </w:tcPr>
          <w:p w14:paraId="2162B847" w14:textId="3A1EEBB3" w:rsidR="00F02202" w:rsidRPr="00DF344B" w:rsidRDefault="00F02202" w:rsidP="00F02202">
            <w:pPr>
              <w:jc w:val="right"/>
              <w:rPr>
                <w:b/>
                <w:bCs/>
                <w:color w:val="000000"/>
                <w:sz w:val="20"/>
                <w:szCs w:val="20"/>
              </w:rPr>
            </w:pPr>
            <w:r>
              <w:rPr>
                <w:b/>
                <w:bCs/>
                <w:color w:val="000000"/>
                <w:sz w:val="20"/>
                <w:szCs w:val="20"/>
              </w:rPr>
              <w:t>0.005</w:t>
            </w:r>
          </w:p>
        </w:tc>
      </w:tr>
      <w:tr w:rsidR="00F02202" w14:paraId="0152E129" w14:textId="77777777" w:rsidTr="001D213F">
        <w:trPr>
          <w:trHeight w:val="720"/>
        </w:trPr>
        <w:tc>
          <w:tcPr>
            <w:tcW w:w="2160" w:type="dxa"/>
            <w:tcBorders>
              <w:top w:val="nil"/>
              <w:left w:val="nil"/>
              <w:bottom w:val="nil"/>
              <w:right w:val="nil"/>
            </w:tcBorders>
            <w:shd w:val="clear" w:color="auto" w:fill="auto"/>
            <w:vAlign w:val="center"/>
            <w:hideMark/>
          </w:tcPr>
          <w:p w14:paraId="4E5CB31F" w14:textId="77777777" w:rsidR="00F02202" w:rsidRDefault="00F02202" w:rsidP="00F02202">
            <w:pPr>
              <w:rPr>
                <w:color w:val="000000"/>
                <w:sz w:val="20"/>
                <w:szCs w:val="20"/>
              </w:rPr>
            </w:pPr>
            <w:r>
              <w:rPr>
                <w:color w:val="000000"/>
                <w:sz w:val="20"/>
                <w:szCs w:val="20"/>
              </w:rPr>
              <w:t>Proportion of correct responses across 2-back trials in en-back</w:t>
            </w:r>
          </w:p>
        </w:tc>
        <w:tc>
          <w:tcPr>
            <w:tcW w:w="820" w:type="dxa"/>
            <w:tcBorders>
              <w:top w:val="nil"/>
              <w:left w:val="nil"/>
              <w:bottom w:val="nil"/>
              <w:right w:val="nil"/>
            </w:tcBorders>
            <w:shd w:val="clear" w:color="auto" w:fill="auto"/>
            <w:noWrap/>
            <w:vAlign w:val="center"/>
            <w:hideMark/>
          </w:tcPr>
          <w:p w14:paraId="5550892C" w14:textId="287A6316" w:rsidR="00F02202" w:rsidRPr="00DF344B" w:rsidRDefault="00F02202" w:rsidP="00F02202">
            <w:pPr>
              <w:jc w:val="right"/>
              <w:rPr>
                <w:b/>
                <w:bCs/>
                <w:color w:val="000000"/>
                <w:sz w:val="20"/>
                <w:szCs w:val="20"/>
              </w:rPr>
            </w:pPr>
            <w:r>
              <w:rPr>
                <w:b/>
                <w:bCs/>
                <w:color w:val="000000"/>
                <w:sz w:val="20"/>
                <w:szCs w:val="20"/>
              </w:rPr>
              <w:t>-0.143</w:t>
            </w:r>
          </w:p>
        </w:tc>
        <w:tc>
          <w:tcPr>
            <w:tcW w:w="820" w:type="dxa"/>
            <w:tcBorders>
              <w:top w:val="nil"/>
              <w:left w:val="nil"/>
              <w:bottom w:val="nil"/>
              <w:right w:val="nil"/>
            </w:tcBorders>
            <w:shd w:val="clear" w:color="auto" w:fill="auto"/>
            <w:noWrap/>
            <w:vAlign w:val="center"/>
            <w:hideMark/>
          </w:tcPr>
          <w:p w14:paraId="0DAB3FD1" w14:textId="54CE1386"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nil"/>
              <w:left w:val="nil"/>
              <w:bottom w:val="nil"/>
              <w:right w:val="nil"/>
            </w:tcBorders>
            <w:shd w:val="clear" w:color="auto" w:fill="auto"/>
            <w:noWrap/>
            <w:vAlign w:val="center"/>
            <w:hideMark/>
          </w:tcPr>
          <w:p w14:paraId="7DBBFECD" w14:textId="4438B335" w:rsidR="00F02202" w:rsidRPr="00DF344B" w:rsidRDefault="00F02202" w:rsidP="00F02202">
            <w:pPr>
              <w:jc w:val="right"/>
              <w:rPr>
                <w:b/>
                <w:bCs/>
                <w:color w:val="000000"/>
                <w:sz w:val="20"/>
                <w:szCs w:val="20"/>
              </w:rPr>
            </w:pPr>
            <w:r>
              <w:rPr>
                <w:b/>
                <w:bCs/>
                <w:color w:val="000000"/>
                <w:sz w:val="20"/>
                <w:szCs w:val="20"/>
              </w:rPr>
              <w:t>0.020</w:t>
            </w:r>
          </w:p>
        </w:tc>
        <w:tc>
          <w:tcPr>
            <w:tcW w:w="820" w:type="dxa"/>
            <w:tcBorders>
              <w:top w:val="nil"/>
              <w:left w:val="nil"/>
              <w:bottom w:val="nil"/>
              <w:right w:val="nil"/>
            </w:tcBorders>
            <w:shd w:val="clear" w:color="auto" w:fill="auto"/>
            <w:noWrap/>
            <w:vAlign w:val="center"/>
            <w:hideMark/>
          </w:tcPr>
          <w:p w14:paraId="302B026C" w14:textId="01324272" w:rsidR="00F02202" w:rsidRPr="00DF344B" w:rsidRDefault="00F02202" w:rsidP="00F02202">
            <w:pPr>
              <w:jc w:val="right"/>
              <w:rPr>
                <w:color w:val="000000"/>
                <w:sz w:val="20"/>
                <w:szCs w:val="20"/>
              </w:rPr>
            </w:pPr>
            <w:r>
              <w:rPr>
                <w:color w:val="000000"/>
                <w:sz w:val="20"/>
                <w:szCs w:val="20"/>
              </w:rPr>
              <w:t>0.007</w:t>
            </w:r>
          </w:p>
        </w:tc>
        <w:tc>
          <w:tcPr>
            <w:tcW w:w="820" w:type="dxa"/>
            <w:tcBorders>
              <w:top w:val="nil"/>
              <w:left w:val="nil"/>
              <w:bottom w:val="nil"/>
              <w:right w:val="nil"/>
            </w:tcBorders>
            <w:shd w:val="clear" w:color="auto" w:fill="auto"/>
            <w:noWrap/>
            <w:vAlign w:val="center"/>
            <w:hideMark/>
          </w:tcPr>
          <w:p w14:paraId="7D08BE20" w14:textId="29761B4A" w:rsidR="00F02202" w:rsidRPr="00DF344B" w:rsidRDefault="00F02202" w:rsidP="00F02202">
            <w:pPr>
              <w:jc w:val="right"/>
              <w:rPr>
                <w:color w:val="000000"/>
                <w:sz w:val="20"/>
                <w:szCs w:val="20"/>
              </w:rPr>
            </w:pPr>
            <w:r>
              <w:rPr>
                <w:color w:val="000000"/>
                <w:sz w:val="20"/>
                <w:szCs w:val="20"/>
              </w:rPr>
              <w:t>0.993</w:t>
            </w:r>
          </w:p>
        </w:tc>
        <w:tc>
          <w:tcPr>
            <w:tcW w:w="820" w:type="dxa"/>
            <w:tcBorders>
              <w:top w:val="nil"/>
              <w:left w:val="nil"/>
              <w:bottom w:val="nil"/>
              <w:right w:val="nil"/>
            </w:tcBorders>
            <w:shd w:val="clear" w:color="auto" w:fill="auto"/>
            <w:noWrap/>
            <w:vAlign w:val="center"/>
            <w:hideMark/>
          </w:tcPr>
          <w:p w14:paraId="5372CA1C" w14:textId="60E7BA94" w:rsidR="00F02202" w:rsidRPr="00DF344B" w:rsidRDefault="00F02202" w:rsidP="00F02202">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center"/>
            <w:hideMark/>
          </w:tcPr>
          <w:p w14:paraId="75C07101" w14:textId="1E972E07" w:rsidR="00F02202" w:rsidRPr="00DF344B" w:rsidRDefault="00F02202" w:rsidP="00F02202">
            <w:pPr>
              <w:jc w:val="right"/>
              <w:rPr>
                <w:color w:val="000000"/>
                <w:sz w:val="20"/>
                <w:szCs w:val="20"/>
              </w:rPr>
            </w:pPr>
            <w:r>
              <w:rPr>
                <w:color w:val="000000"/>
                <w:sz w:val="20"/>
                <w:szCs w:val="20"/>
              </w:rPr>
              <w:t>-0.007</w:t>
            </w:r>
          </w:p>
        </w:tc>
        <w:tc>
          <w:tcPr>
            <w:tcW w:w="820" w:type="dxa"/>
            <w:tcBorders>
              <w:top w:val="nil"/>
              <w:left w:val="nil"/>
              <w:bottom w:val="nil"/>
              <w:right w:val="nil"/>
            </w:tcBorders>
            <w:shd w:val="clear" w:color="auto" w:fill="auto"/>
            <w:noWrap/>
            <w:vAlign w:val="center"/>
            <w:hideMark/>
          </w:tcPr>
          <w:p w14:paraId="72BC3596" w14:textId="7106C384" w:rsidR="00F02202" w:rsidRPr="00DF344B" w:rsidRDefault="00F02202" w:rsidP="00F02202">
            <w:pPr>
              <w:jc w:val="right"/>
              <w:rPr>
                <w:color w:val="000000"/>
                <w:sz w:val="20"/>
                <w:szCs w:val="20"/>
              </w:rPr>
            </w:pPr>
            <w:r>
              <w:rPr>
                <w:color w:val="000000"/>
                <w:sz w:val="20"/>
                <w:szCs w:val="20"/>
              </w:rPr>
              <w:t>0.696</w:t>
            </w:r>
          </w:p>
        </w:tc>
        <w:tc>
          <w:tcPr>
            <w:tcW w:w="820" w:type="dxa"/>
            <w:tcBorders>
              <w:top w:val="nil"/>
              <w:left w:val="nil"/>
              <w:bottom w:val="nil"/>
              <w:right w:val="nil"/>
            </w:tcBorders>
            <w:shd w:val="clear" w:color="auto" w:fill="auto"/>
            <w:noWrap/>
            <w:vAlign w:val="center"/>
            <w:hideMark/>
          </w:tcPr>
          <w:p w14:paraId="3960B002" w14:textId="09DDF6B8" w:rsidR="00F02202" w:rsidRPr="00DF344B" w:rsidRDefault="00F02202" w:rsidP="00F02202">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center"/>
            <w:hideMark/>
          </w:tcPr>
          <w:p w14:paraId="4D4D0196" w14:textId="18BB29B7" w:rsidR="00F02202" w:rsidRPr="00DF344B" w:rsidRDefault="00F02202" w:rsidP="00F02202">
            <w:pPr>
              <w:jc w:val="right"/>
              <w:rPr>
                <w:b/>
                <w:bCs/>
                <w:color w:val="000000"/>
                <w:sz w:val="20"/>
                <w:szCs w:val="20"/>
              </w:rPr>
            </w:pPr>
            <w:r>
              <w:rPr>
                <w:b/>
                <w:bCs/>
                <w:color w:val="000000"/>
                <w:sz w:val="20"/>
                <w:szCs w:val="20"/>
              </w:rPr>
              <w:t>-0.168</w:t>
            </w:r>
          </w:p>
        </w:tc>
        <w:tc>
          <w:tcPr>
            <w:tcW w:w="820" w:type="dxa"/>
            <w:tcBorders>
              <w:top w:val="nil"/>
              <w:left w:val="nil"/>
              <w:bottom w:val="nil"/>
              <w:right w:val="nil"/>
            </w:tcBorders>
            <w:shd w:val="clear" w:color="auto" w:fill="auto"/>
            <w:noWrap/>
            <w:vAlign w:val="center"/>
            <w:hideMark/>
          </w:tcPr>
          <w:p w14:paraId="1E42AE90" w14:textId="2128E80B"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nil"/>
              <w:left w:val="nil"/>
              <w:bottom w:val="nil"/>
              <w:right w:val="nil"/>
            </w:tcBorders>
            <w:shd w:val="clear" w:color="auto" w:fill="auto"/>
            <w:noWrap/>
            <w:vAlign w:val="center"/>
            <w:hideMark/>
          </w:tcPr>
          <w:p w14:paraId="7F2F8055" w14:textId="667B3EE9" w:rsidR="00F02202" w:rsidRPr="00DF344B" w:rsidRDefault="00F02202" w:rsidP="00F02202">
            <w:pPr>
              <w:jc w:val="right"/>
              <w:rPr>
                <w:b/>
                <w:bCs/>
                <w:color w:val="000000"/>
                <w:sz w:val="20"/>
                <w:szCs w:val="20"/>
              </w:rPr>
            </w:pPr>
            <w:r>
              <w:rPr>
                <w:b/>
                <w:bCs/>
                <w:color w:val="000000"/>
                <w:sz w:val="20"/>
                <w:szCs w:val="20"/>
              </w:rPr>
              <w:t>0.028</w:t>
            </w:r>
          </w:p>
        </w:tc>
        <w:tc>
          <w:tcPr>
            <w:tcW w:w="820" w:type="dxa"/>
            <w:tcBorders>
              <w:top w:val="nil"/>
              <w:left w:val="nil"/>
              <w:bottom w:val="nil"/>
              <w:right w:val="nil"/>
            </w:tcBorders>
            <w:shd w:val="clear" w:color="auto" w:fill="auto"/>
            <w:noWrap/>
            <w:vAlign w:val="center"/>
            <w:hideMark/>
          </w:tcPr>
          <w:p w14:paraId="5C5B3BA8" w14:textId="49AAD6BE" w:rsidR="00F02202" w:rsidRPr="00DF344B" w:rsidRDefault="00F02202" w:rsidP="00F02202">
            <w:pPr>
              <w:jc w:val="right"/>
              <w:rPr>
                <w:b/>
                <w:bCs/>
                <w:color w:val="000000"/>
                <w:sz w:val="20"/>
                <w:szCs w:val="20"/>
              </w:rPr>
            </w:pPr>
            <w:r>
              <w:rPr>
                <w:b/>
                <w:bCs/>
                <w:color w:val="000000"/>
                <w:sz w:val="20"/>
                <w:szCs w:val="20"/>
              </w:rPr>
              <w:t>0.048</w:t>
            </w:r>
          </w:p>
        </w:tc>
        <w:tc>
          <w:tcPr>
            <w:tcW w:w="820" w:type="dxa"/>
            <w:tcBorders>
              <w:top w:val="nil"/>
              <w:left w:val="nil"/>
              <w:bottom w:val="nil"/>
              <w:right w:val="nil"/>
            </w:tcBorders>
            <w:shd w:val="clear" w:color="auto" w:fill="auto"/>
            <w:noWrap/>
            <w:vAlign w:val="center"/>
            <w:hideMark/>
          </w:tcPr>
          <w:p w14:paraId="330C82C2" w14:textId="3CD01C35" w:rsidR="00F02202" w:rsidRPr="00DF344B" w:rsidRDefault="00F02202" w:rsidP="00F02202">
            <w:pPr>
              <w:jc w:val="right"/>
              <w:rPr>
                <w:b/>
                <w:bCs/>
                <w:color w:val="000000"/>
                <w:sz w:val="20"/>
                <w:szCs w:val="20"/>
              </w:rPr>
            </w:pPr>
            <w:r>
              <w:rPr>
                <w:b/>
                <w:bCs/>
                <w:color w:val="000000"/>
                <w:sz w:val="20"/>
                <w:szCs w:val="20"/>
              </w:rPr>
              <w:t>0.004</w:t>
            </w:r>
          </w:p>
        </w:tc>
        <w:tc>
          <w:tcPr>
            <w:tcW w:w="820" w:type="dxa"/>
            <w:tcBorders>
              <w:top w:val="nil"/>
              <w:left w:val="nil"/>
              <w:bottom w:val="nil"/>
              <w:right w:val="nil"/>
            </w:tcBorders>
            <w:shd w:val="clear" w:color="auto" w:fill="auto"/>
            <w:noWrap/>
            <w:vAlign w:val="center"/>
            <w:hideMark/>
          </w:tcPr>
          <w:p w14:paraId="02012772" w14:textId="4F174DCC" w:rsidR="00F02202" w:rsidRPr="00DF344B" w:rsidRDefault="00F02202" w:rsidP="00F02202">
            <w:pPr>
              <w:jc w:val="right"/>
              <w:rPr>
                <w:b/>
                <w:bCs/>
                <w:color w:val="000000"/>
                <w:sz w:val="20"/>
                <w:szCs w:val="20"/>
              </w:rPr>
            </w:pPr>
            <w:r>
              <w:rPr>
                <w:b/>
                <w:bCs/>
                <w:color w:val="000000"/>
                <w:sz w:val="20"/>
                <w:szCs w:val="20"/>
              </w:rPr>
              <w:t>0.002</w:t>
            </w:r>
          </w:p>
        </w:tc>
      </w:tr>
      <w:tr w:rsidR="00F02202" w14:paraId="0C9684E5" w14:textId="77777777" w:rsidTr="001D213F">
        <w:trPr>
          <w:trHeight w:val="720"/>
        </w:trPr>
        <w:tc>
          <w:tcPr>
            <w:tcW w:w="2160" w:type="dxa"/>
            <w:tcBorders>
              <w:top w:val="nil"/>
              <w:left w:val="nil"/>
              <w:bottom w:val="nil"/>
              <w:right w:val="nil"/>
            </w:tcBorders>
            <w:shd w:val="clear" w:color="auto" w:fill="auto"/>
            <w:vAlign w:val="center"/>
            <w:hideMark/>
          </w:tcPr>
          <w:p w14:paraId="6394A3D5" w14:textId="77777777" w:rsidR="00F02202" w:rsidRDefault="00F02202" w:rsidP="00F02202">
            <w:pPr>
              <w:rPr>
                <w:color w:val="000000"/>
                <w:sz w:val="20"/>
                <w:szCs w:val="20"/>
              </w:rPr>
            </w:pPr>
            <w:r>
              <w:rPr>
                <w:color w:val="000000"/>
                <w:sz w:val="20"/>
                <w:szCs w:val="20"/>
              </w:rPr>
              <w:t>Rate of correct responses to 2 back stimuli during run 1 and run 2 in en-back</w:t>
            </w:r>
          </w:p>
        </w:tc>
        <w:tc>
          <w:tcPr>
            <w:tcW w:w="820" w:type="dxa"/>
            <w:tcBorders>
              <w:top w:val="nil"/>
              <w:left w:val="nil"/>
              <w:bottom w:val="nil"/>
              <w:right w:val="nil"/>
            </w:tcBorders>
            <w:shd w:val="clear" w:color="auto" w:fill="auto"/>
            <w:noWrap/>
            <w:vAlign w:val="center"/>
            <w:hideMark/>
          </w:tcPr>
          <w:p w14:paraId="585E0D38" w14:textId="2BD271E4" w:rsidR="00F02202" w:rsidRPr="00DF344B" w:rsidRDefault="00F02202" w:rsidP="00F02202">
            <w:pPr>
              <w:jc w:val="right"/>
              <w:rPr>
                <w:b/>
                <w:bCs/>
                <w:color w:val="000000"/>
                <w:sz w:val="20"/>
                <w:szCs w:val="20"/>
              </w:rPr>
            </w:pPr>
            <w:r>
              <w:rPr>
                <w:b/>
                <w:bCs/>
                <w:color w:val="000000"/>
                <w:sz w:val="20"/>
                <w:szCs w:val="20"/>
              </w:rPr>
              <w:t>-0.138</w:t>
            </w:r>
          </w:p>
        </w:tc>
        <w:tc>
          <w:tcPr>
            <w:tcW w:w="820" w:type="dxa"/>
            <w:tcBorders>
              <w:top w:val="nil"/>
              <w:left w:val="nil"/>
              <w:bottom w:val="nil"/>
              <w:right w:val="nil"/>
            </w:tcBorders>
            <w:shd w:val="clear" w:color="auto" w:fill="auto"/>
            <w:noWrap/>
            <w:vAlign w:val="center"/>
            <w:hideMark/>
          </w:tcPr>
          <w:p w14:paraId="2B2E0B31" w14:textId="082D594F"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nil"/>
              <w:left w:val="nil"/>
              <w:bottom w:val="nil"/>
              <w:right w:val="nil"/>
            </w:tcBorders>
            <w:shd w:val="clear" w:color="auto" w:fill="auto"/>
            <w:noWrap/>
            <w:vAlign w:val="center"/>
            <w:hideMark/>
          </w:tcPr>
          <w:p w14:paraId="20701538" w14:textId="64D7F25F" w:rsidR="00F02202" w:rsidRPr="00DF344B" w:rsidRDefault="00F02202" w:rsidP="00F02202">
            <w:pPr>
              <w:jc w:val="right"/>
              <w:rPr>
                <w:b/>
                <w:bCs/>
                <w:color w:val="000000"/>
                <w:sz w:val="20"/>
                <w:szCs w:val="20"/>
              </w:rPr>
            </w:pPr>
            <w:r>
              <w:rPr>
                <w:b/>
                <w:bCs/>
                <w:color w:val="000000"/>
                <w:sz w:val="20"/>
                <w:szCs w:val="20"/>
              </w:rPr>
              <w:t>0.019</w:t>
            </w:r>
          </w:p>
        </w:tc>
        <w:tc>
          <w:tcPr>
            <w:tcW w:w="820" w:type="dxa"/>
            <w:tcBorders>
              <w:top w:val="nil"/>
              <w:left w:val="nil"/>
              <w:bottom w:val="nil"/>
              <w:right w:val="nil"/>
            </w:tcBorders>
            <w:shd w:val="clear" w:color="auto" w:fill="auto"/>
            <w:noWrap/>
            <w:vAlign w:val="center"/>
            <w:hideMark/>
          </w:tcPr>
          <w:p w14:paraId="06EAC496" w14:textId="2504507F" w:rsidR="00F02202" w:rsidRPr="00DF344B" w:rsidRDefault="00F02202" w:rsidP="00F02202">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center"/>
            <w:hideMark/>
          </w:tcPr>
          <w:p w14:paraId="77846DA7" w14:textId="1BDFEC33" w:rsidR="00F02202" w:rsidRPr="00DF344B" w:rsidRDefault="00F02202" w:rsidP="00F02202">
            <w:pPr>
              <w:jc w:val="right"/>
              <w:rPr>
                <w:color w:val="000000"/>
                <w:sz w:val="20"/>
                <w:szCs w:val="20"/>
              </w:rPr>
            </w:pPr>
            <w:r>
              <w:rPr>
                <w:color w:val="000000"/>
                <w:sz w:val="20"/>
                <w:szCs w:val="20"/>
              </w:rPr>
              <w:t>0.999</w:t>
            </w:r>
          </w:p>
        </w:tc>
        <w:tc>
          <w:tcPr>
            <w:tcW w:w="820" w:type="dxa"/>
            <w:tcBorders>
              <w:top w:val="nil"/>
              <w:left w:val="nil"/>
              <w:bottom w:val="nil"/>
              <w:right w:val="nil"/>
            </w:tcBorders>
            <w:shd w:val="clear" w:color="auto" w:fill="auto"/>
            <w:noWrap/>
            <w:vAlign w:val="center"/>
            <w:hideMark/>
          </w:tcPr>
          <w:p w14:paraId="2E6FA498" w14:textId="4102BFB7" w:rsidR="00F02202" w:rsidRPr="00DF344B" w:rsidRDefault="00F02202" w:rsidP="00F02202">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center"/>
            <w:hideMark/>
          </w:tcPr>
          <w:p w14:paraId="0C0A17B0" w14:textId="0335E3E6" w:rsidR="00F02202" w:rsidRPr="00DF344B" w:rsidRDefault="00F02202" w:rsidP="00F02202">
            <w:pPr>
              <w:jc w:val="right"/>
              <w:rPr>
                <w:color w:val="000000"/>
                <w:sz w:val="20"/>
                <w:szCs w:val="20"/>
              </w:rPr>
            </w:pPr>
            <w:r>
              <w:rPr>
                <w:color w:val="000000"/>
                <w:sz w:val="20"/>
                <w:szCs w:val="20"/>
              </w:rPr>
              <w:t>-0.007</w:t>
            </w:r>
          </w:p>
        </w:tc>
        <w:tc>
          <w:tcPr>
            <w:tcW w:w="820" w:type="dxa"/>
            <w:tcBorders>
              <w:top w:val="nil"/>
              <w:left w:val="nil"/>
              <w:bottom w:val="nil"/>
              <w:right w:val="nil"/>
            </w:tcBorders>
            <w:shd w:val="clear" w:color="auto" w:fill="auto"/>
            <w:noWrap/>
            <w:vAlign w:val="center"/>
            <w:hideMark/>
          </w:tcPr>
          <w:p w14:paraId="7A3B84D0" w14:textId="28E5C2A6" w:rsidR="00F02202" w:rsidRPr="00DF344B" w:rsidRDefault="00F02202" w:rsidP="00F02202">
            <w:pPr>
              <w:jc w:val="right"/>
              <w:rPr>
                <w:color w:val="000000"/>
                <w:sz w:val="20"/>
                <w:szCs w:val="20"/>
              </w:rPr>
            </w:pPr>
            <w:r>
              <w:rPr>
                <w:color w:val="000000"/>
                <w:sz w:val="20"/>
                <w:szCs w:val="20"/>
              </w:rPr>
              <w:t>0.696</w:t>
            </w:r>
          </w:p>
        </w:tc>
        <w:tc>
          <w:tcPr>
            <w:tcW w:w="820" w:type="dxa"/>
            <w:tcBorders>
              <w:top w:val="nil"/>
              <w:left w:val="nil"/>
              <w:bottom w:val="nil"/>
              <w:right w:val="nil"/>
            </w:tcBorders>
            <w:shd w:val="clear" w:color="auto" w:fill="auto"/>
            <w:noWrap/>
            <w:vAlign w:val="center"/>
            <w:hideMark/>
          </w:tcPr>
          <w:p w14:paraId="58632383" w14:textId="0878C9DB" w:rsidR="00F02202" w:rsidRPr="00DF344B" w:rsidRDefault="00F02202" w:rsidP="00F02202">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center"/>
            <w:hideMark/>
          </w:tcPr>
          <w:p w14:paraId="6E562D7B" w14:textId="05907875" w:rsidR="00F02202" w:rsidRPr="00DF344B" w:rsidRDefault="00F02202" w:rsidP="00F02202">
            <w:pPr>
              <w:jc w:val="right"/>
              <w:rPr>
                <w:b/>
                <w:bCs/>
                <w:color w:val="000000"/>
                <w:sz w:val="20"/>
                <w:szCs w:val="20"/>
              </w:rPr>
            </w:pPr>
            <w:r>
              <w:rPr>
                <w:b/>
                <w:bCs/>
                <w:color w:val="000000"/>
                <w:sz w:val="20"/>
                <w:szCs w:val="20"/>
              </w:rPr>
              <w:t>-0.170</w:t>
            </w:r>
          </w:p>
        </w:tc>
        <w:tc>
          <w:tcPr>
            <w:tcW w:w="820" w:type="dxa"/>
            <w:tcBorders>
              <w:top w:val="nil"/>
              <w:left w:val="nil"/>
              <w:bottom w:val="nil"/>
              <w:right w:val="nil"/>
            </w:tcBorders>
            <w:shd w:val="clear" w:color="auto" w:fill="auto"/>
            <w:noWrap/>
            <w:vAlign w:val="center"/>
            <w:hideMark/>
          </w:tcPr>
          <w:p w14:paraId="7B1BC02A" w14:textId="7E5E13BA"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nil"/>
              <w:left w:val="nil"/>
              <w:bottom w:val="nil"/>
              <w:right w:val="nil"/>
            </w:tcBorders>
            <w:shd w:val="clear" w:color="auto" w:fill="auto"/>
            <w:noWrap/>
            <w:vAlign w:val="center"/>
            <w:hideMark/>
          </w:tcPr>
          <w:p w14:paraId="72A80E74" w14:textId="61DF18D0" w:rsidR="00F02202" w:rsidRPr="00DF344B" w:rsidRDefault="00F02202" w:rsidP="00F02202">
            <w:pPr>
              <w:jc w:val="right"/>
              <w:rPr>
                <w:b/>
                <w:bCs/>
                <w:color w:val="000000"/>
                <w:sz w:val="20"/>
                <w:szCs w:val="20"/>
              </w:rPr>
            </w:pPr>
            <w:r>
              <w:rPr>
                <w:b/>
                <w:bCs/>
                <w:color w:val="000000"/>
                <w:sz w:val="20"/>
                <w:szCs w:val="20"/>
              </w:rPr>
              <w:t>0.029</w:t>
            </w:r>
          </w:p>
        </w:tc>
        <w:tc>
          <w:tcPr>
            <w:tcW w:w="820" w:type="dxa"/>
            <w:tcBorders>
              <w:top w:val="nil"/>
              <w:left w:val="nil"/>
              <w:bottom w:val="nil"/>
              <w:right w:val="nil"/>
            </w:tcBorders>
            <w:shd w:val="clear" w:color="auto" w:fill="auto"/>
            <w:noWrap/>
            <w:vAlign w:val="center"/>
            <w:hideMark/>
          </w:tcPr>
          <w:p w14:paraId="343F7A71" w14:textId="78E4DCA3" w:rsidR="00F02202" w:rsidRPr="00DF344B" w:rsidRDefault="00F02202" w:rsidP="00F02202">
            <w:pPr>
              <w:jc w:val="right"/>
              <w:rPr>
                <w:b/>
                <w:bCs/>
                <w:color w:val="000000"/>
                <w:sz w:val="20"/>
                <w:szCs w:val="20"/>
              </w:rPr>
            </w:pPr>
            <w:r>
              <w:rPr>
                <w:b/>
                <w:bCs/>
                <w:color w:val="000000"/>
                <w:sz w:val="20"/>
                <w:szCs w:val="20"/>
              </w:rPr>
              <w:t>0.063</w:t>
            </w:r>
          </w:p>
        </w:tc>
        <w:tc>
          <w:tcPr>
            <w:tcW w:w="820" w:type="dxa"/>
            <w:tcBorders>
              <w:top w:val="nil"/>
              <w:left w:val="nil"/>
              <w:bottom w:val="nil"/>
              <w:right w:val="nil"/>
            </w:tcBorders>
            <w:shd w:val="clear" w:color="auto" w:fill="auto"/>
            <w:noWrap/>
            <w:vAlign w:val="center"/>
            <w:hideMark/>
          </w:tcPr>
          <w:p w14:paraId="02491619" w14:textId="0AF1FBC7"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nil"/>
              <w:left w:val="nil"/>
              <w:bottom w:val="nil"/>
              <w:right w:val="nil"/>
            </w:tcBorders>
            <w:shd w:val="clear" w:color="auto" w:fill="auto"/>
            <w:noWrap/>
            <w:vAlign w:val="center"/>
            <w:hideMark/>
          </w:tcPr>
          <w:p w14:paraId="48E176C7" w14:textId="4E346964" w:rsidR="00F02202" w:rsidRPr="00DF344B" w:rsidRDefault="00F02202" w:rsidP="00F02202">
            <w:pPr>
              <w:jc w:val="right"/>
              <w:rPr>
                <w:b/>
                <w:bCs/>
                <w:color w:val="000000"/>
                <w:sz w:val="20"/>
                <w:szCs w:val="20"/>
              </w:rPr>
            </w:pPr>
            <w:r>
              <w:rPr>
                <w:b/>
                <w:bCs/>
                <w:color w:val="000000"/>
                <w:sz w:val="20"/>
                <w:szCs w:val="20"/>
              </w:rPr>
              <w:t>0.004</w:t>
            </w:r>
          </w:p>
        </w:tc>
      </w:tr>
      <w:tr w:rsidR="00F02202" w14:paraId="0092FB25" w14:textId="77777777" w:rsidTr="001D213F">
        <w:trPr>
          <w:trHeight w:val="720"/>
        </w:trPr>
        <w:tc>
          <w:tcPr>
            <w:tcW w:w="2160" w:type="dxa"/>
            <w:tcBorders>
              <w:top w:val="nil"/>
              <w:left w:val="nil"/>
              <w:right w:val="nil"/>
            </w:tcBorders>
            <w:shd w:val="clear" w:color="auto" w:fill="auto"/>
            <w:vAlign w:val="center"/>
            <w:hideMark/>
          </w:tcPr>
          <w:p w14:paraId="0574EC15" w14:textId="77777777" w:rsidR="00F02202" w:rsidRDefault="00F02202" w:rsidP="00F02202">
            <w:pPr>
              <w:rPr>
                <w:color w:val="000000"/>
                <w:sz w:val="20"/>
                <w:szCs w:val="20"/>
              </w:rPr>
            </w:pPr>
            <w:r>
              <w:rPr>
                <w:color w:val="000000"/>
                <w:sz w:val="20"/>
                <w:szCs w:val="20"/>
              </w:rPr>
              <w:t>Rate of correct go trials in SST</w:t>
            </w:r>
          </w:p>
        </w:tc>
        <w:tc>
          <w:tcPr>
            <w:tcW w:w="820" w:type="dxa"/>
            <w:tcBorders>
              <w:top w:val="nil"/>
              <w:left w:val="nil"/>
              <w:right w:val="nil"/>
            </w:tcBorders>
            <w:shd w:val="clear" w:color="auto" w:fill="auto"/>
            <w:noWrap/>
            <w:vAlign w:val="center"/>
            <w:hideMark/>
          </w:tcPr>
          <w:p w14:paraId="71919F84" w14:textId="0690F5D2" w:rsidR="00F02202" w:rsidRPr="00DF344B" w:rsidRDefault="00F02202" w:rsidP="00F02202">
            <w:pPr>
              <w:jc w:val="right"/>
              <w:rPr>
                <w:b/>
                <w:bCs/>
                <w:color w:val="000000"/>
                <w:sz w:val="20"/>
                <w:szCs w:val="20"/>
              </w:rPr>
            </w:pPr>
            <w:r>
              <w:rPr>
                <w:b/>
                <w:bCs/>
                <w:color w:val="000000"/>
                <w:sz w:val="20"/>
                <w:szCs w:val="20"/>
              </w:rPr>
              <w:t>-0.111</w:t>
            </w:r>
          </w:p>
        </w:tc>
        <w:tc>
          <w:tcPr>
            <w:tcW w:w="820" w:type="dxa"/>
            <w:tcBorders>
              <w:top w:val="nil"/>
              <w:left w:val="nil"/>
              <w:right w:val="nil"/>
            </w:tcBorders>
            <w:shd w:val="clear" w:color="auto" w:fill="auto"/>
            <w:noWrap/>
            <w:vAlign w:val="center"/>
            <w:hideMark/>
          </w:tcPr>
          <w:p w14:paraId="7AA18C80" w14:textId="7F5D777A"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nil"/>
              <w:left w:val="nil"/>
              <w:right w:val="nil"/>
            </w:tcBorders>
            <w:shd w:val="clear" w:color="auto" w:fill="auto"/>
            <w:noWrap/>
            <w:vAlign w:val="center"/>
            <w:hideMark/>
          </w:tcPr>
          <w:p w14:paraId="22980CF4" w14:textId="6340A1CD" w:rsidR="00F02202" w:rsidRPr="00DF344B" w:rsidRDefault="00F02202" w:rsidP="00F02202">
            <w:pPr>
              <w:jc w:val="right"/>
              <w:rPr>
                <w:b/>
                <w:bCs/>
                <w:color w:val="000000"/>
                <w:sz w:val="20"/>
                <w:szCs w:val="20"/>
              </w:rPr>
            </w:pPr>
            <w:r>
              <w:rPr>
                <w:b/>
                <w:bCs/>
                <w:color w:val="000000"/>
                <w:sz w:val="20"/>
                <w:szCs w:val="20"/>
              </w:rPr>
              <w:t>0.012</w:t>
            </w:r>
          </w:p>
        </w:tc>
        <w:tc>
          <w:tcPr>
            <w:tcW w:w="820" w:type="dxa"/>
            <w:tcBorders>
              <w:top w:val="nil"/>
              <w:left w:val="nil"/>
              <w:right w:val="nil"/>
            </w:tcBorders>
            <w:shd w:val="clear" w:color="auto" w:fill="auto"/>
            <w:noWrap/>
            <w:vAlign w:val="center"/>
            <w:hideMark/>
          </w:tcPr>
          <w:p w14:paraId="3E35A942" w14:textId="3A83E490" w:rsidR="00F02202" w:rsidRPr="00DF344B" w:rsidRDefault="00F02202" w:rsidP="00F02202">
            <w:pPr>
              <w:jc w:val="right"/>
              <w:rPr>
                <w:color w:val="000000"/>
                <w:sz w:val="20"/>
                <w:szCs w:val="20"/>
              </w:rPr>
            </w:pPr>
            <w:r>
              <w:rPr>
                <w:color w:val="000000"/>
                <w:sz w:val="20"/>
                <w:szCs w:val="20"/>
              </w:rPr>
              <w:t>-0.030</w:t>
            </w:r>
          </w:p>
        </w:tc>
        <w:tc>
          <w:tcPr>
            <w:tcW w:w="820" w:type="dxa"/>
            <w:tcBorders>
              <w:top w:val="nil"/>
              <w:left w:val="nil"/>
              <w:right w:val="nil"/>
            </w:tcBorders>
            <w:shd w:val="clear" w:color="auto" w:fill="auto"/>
            <w:noWrap/>
            <w:vAlign w:val="center"/>
            <w:hideMark/>
          </w:tcPr>
          <w:p w14:paraId="2BAB20CB" w14:textId="00D03813" w:rsidR="00F02202" w:rsidRPr="00DF344B" w:rsidRDefault="00F02202" w:rsidP="00F02202">
            <w:pPr>
              <w:jc w:val="right"/>
              <w:rPr>
                <w:color w:val="000000"/>
                <w:sz w:val="20"/>
                <w:szCs w:val="20"/>
              </w:rPr>
            </w:pPr>
            <w:r>
              <w:rPr>
                <w:color w:val="000000"/>
                <w:sz w:val="20"/>
                <w:szCs w:val="20"/>
              </w:rPr>
              <w:t>0.125</w:t>
            </w:r>
          </w:p>
        </w:tc>
        <w:tc>
          <w:tcPr>
            <w:tcW w:w="820" w:type="dxa"/>
            <w:tcBorders>
              <w:top w:val="nil"/>
              <w:left w:val="nil"/>
              <w:right w:val="nil"/>
            </w:tcBorders>
            <w:shd w:val="clear" w:color="auto" w:fill="auto"/>
            <w:noWrap/>
            <w:vAlign w:val="center"/>
            <w:hideMark/>
          </w:tcPr>
          <w:p w14:paraId="5F15E116" w14:textId="649960AF" w:rsidR="00F02202" w:rsidRPr="00DF344B" w:rsidRDefault="00F02202" w:rsidP="00F02202">
            <w:pPr>
              <w:jc w:val="right"/>
              <w:rPr>
                <w:color w:val="000000"/>
                <w:sz w:val="20"/>
                <w:szCs w:val="20"/>
              </w:rPr>
            </w:pPr>
            <w:r>
              <w:rPr>
                <w:color w:val="000000"/>
                <w:sz w:val="20"/>
                <w:szCs w:val="20"/>
              </w:rPr>
              <w:t>0.001</w:t>
            </w:r>
          </w:p>
        </w:tc>
        <w:tc>
          <w:tcPr>
            <w:tcW w:w="820" w:type="dxa"/>
            <w:tcBorders>
              <w:top w:val="nil"/>
              <w:left w:val="nil"/>
              <w:right w:val="nil"/>
            </w:tcBorders>
            <w:shd w:val="clear" w:color="auto" w:fill="auto"/>
            <w:noWrap/>
            <w:vAlign w:val="center"/>
            <w:hideMark/>
          </w:tcPr>
          <w:p w14:paraId="656904EC" w14:textId="2021BC04" w:rsidR="00F02202" w:rsidRPr="00DF344B" w:rsidRDefault="00F02202" w:rsidP="00F02202">
            <w:pPr>
              <w:jc w:val="right"/>
              <w:rPr>
                <w:color w:val="000000"/>
                <w:sz w:val="20"/>
                <w:szCs w:val="20"/>
              </w:rPr>
            </w:pPr>
            <w:r>
              <w:rPr>
                <w:color w:val="000000"/>
                <w:sz w:val="20"/>
                <w:szCs w:val="20"/>
              </w:rPr>
              <w:t>0.020</w:t>
            </w:r>
          </w:p>
        </w:tc>
        <w:tc>
          <w:tcPr>
            <w:tcW w:w="820" w:type="dxa"/>
            <w:tcBorders>
              <w:top w:val="nil"/>
              <w:left w:val="nil"/>
              <w:right w:val="nil"/>
            </w:tcBorders>
            <w:shd w:val="clear" w:color="auto" w:fill="auto"/>
            <w:noWrap/>
            <w:vAlign w:val="center"/>
            <w:hideMark/>
          </w:tcPr>
          <w:p w14:paraId="08EEBC36" w14:textId="4F2B2D68" w:rsidR="00F02202" w:rsidRPr="00DF344B" w:rsidRDefault="00F02202" w:rsidP="00F02202">
            <w:pPr>
              <w:jc w:val="right"/>
              <w:rPr>
                <w:color w:val="000000"/>
                <w:sz w:val="20"/>
                <w:szCs w:val="20"/>
              </w:rPr>
            </w:pPr>
            <w:r>
              <w:rPr>
                <w:color w:val="000000"/>
                <w:sz w:val="20"/>
                <w:szCs w:val="20"/>
              </w:rPr>
              <w:t>0.560</w:t>
            </w:r>
          </w:p>
        </w:tc>
        <w:tc>
          <w:tcPr>
            <w:tcW w:w="820" w:type="dxa"/>
            <w:tcBorders>
              <w:top w:val="nil"/>
              <w:left w:val="nil"/>
              <w:right w:val="nil"/>
            </w:tcBorders>
            <w:shd w:val="clear" w:color="auto" w:fill="auto"/>
            <w:noWrap/>
            <w:vAlign w:val="center"/>
            <w:hideMark/>
          </w:tcPr>
          <w:p w14:paraId="49B71B5D" w14:textId="4B6272CB" w:rsidR="00F02202" w:rsidRPr="00DF344B" w:rsidRDefault="00F02202" w:rsidP="00F02202">
            <w:pPr>
              <w:jc w:val="right"/>
              <w:rPr>
                <w:color w:val="000000"/>
                <w:sz w:val="20"/>
                <w:szCs w:val="20"/>
              </w:rPr>
            </w:pPr>
            <w:r>
              <w:rPr>
                <w:color w:val="000000"/>
                <w:sz w:val="20"/>
                <w:szCs w:val="20"/>
              </w:rPr>
              <w:t>0.000</w:t>
            </w:r>
          </w:p>
        </w:tc>
        <w:tc>
          <w:tcPr>
            <w:tcW w:w="820" w:type="dxa"/>
            <w:tcBorders>
              <w:top w:val="nil"/>
              <w:left w:val="nil"/>
              <w:right w:val="nil"/>
            </w:tcBorders>
            <w:shd w:val="clear" w:color="auto" w:fill="auto"/>
            <w:noWrap/>
            <w:vAlign w:val="center"/>
            <w:hideMark/>
          </w:tcPr>
          <w:p w14:paraId="10A19E06" w14:textId="51BFE87A" w:rsidR="00F02202" w:rsidRPr="00DF344B" w:rsidRDefault="00F02202" w:rsidP="00F02202">
            <w:pPr>
              <w:jc w:val="right"/>
              <w:rPr>
                <w:b/>
                <w:bCs/>
                <w:color w:val="000000"/>
                <w:sz w:val="20"/>
                <w:szCs w:val="20"/>
              </w:rPr>
            </w:pPr>
            <w:r>
              <w:rPr>
                <w:b/>
                <w:bCs/>
                <w:color w:val="000000"/>
                <w:sz w:val="20"/>
                <w:szCs w:val="20"/>
              </w:rPr>
              <w:t>-0.123</w:t>
            </w:r>
          </w:p>
        </w:tc>
        <w:tc>
          <w:tcPr>
            <w:tcW w:w="820" w:type="dxa"/>
            <w:tcBorders>
              <w:top w:val="nil"/>
              <w:left w:val="nil"/>
              <w:right w:val="nil"/>
            </w:tcBorders>
            <w:shd w:val="clear" w:color="auto" w:fill="auto"/>
            <w:noWrap/>
            <w:vAlign w:val="center"/>
            <w:hideMark/>
          </w:tcPr>
          <w:p w14:paraId="2337FA7D" w14:textId="08CB4AEF"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nil"/>
              <w:left w:val="nil"/>
              <w:right w:val="nil"/>
            </w:tcBorders>
            <w:shd w:val="clear" w:color="auto" w:fill="auto"/>
            <w:noWrap/>
            <w:vAlign w:val="center"/>
            <w:hideMark/>
          </w:tcPr>
          <w:p w14:paraId="35914AA1" w14:textId="63F3D99B" w:rsidR="00F02202" w:rsidRPr="00DF344B" w:rsidRDefault="00F02202" w:rsidP="00F02202">
            <w:pPr>
              <w:jc w:val="right"/>
              <w:rPr>
                <w:b/>
                <w:bCs/>
                <w:color w:val="000000"/>
                <w:sz w:val="20"/>
                <w:szCs w:val="20"/>
              </w:rPr>
            </w:pPr>
            <w:r>
              <w:rPr>
                <w:b/>
                <w:bCs/>
                <w:color w:val="000000"/>
                <w:sz w:val="20"/>
                <w:szCs w:val="20"/>
              </w:rPr>
              <w:t>0.015</w:t>
            </w:r>
          </w:p>
        </w:tc>
        <w:tc>
          <w:tcPr>
            <w:tcW w:w="820" w:type="dxa"/>
            <w:tcBorders>
              <w:top w:val="nil"/>
              <w:left w:val="nil"/>
              <w:right w:val="nil"/>
            </w:tcBorders>
            <w:shd w:val="clear" w:color="auto" w:fill="auto"/>
            <w:noWrap/>
            <w:vAlign w:val="center"/>
            <w:hideMark/>
          </w:tcPr>
          <w:p w14:paraId="21E8C554" w14:textId="3EACFBFD" w:rsidR="00F02202" w:rsidRPr="00DF344B" w:rsidRDefault="00F02202" w:rsidP="00F02202">
            <w:pPr>
              <w:jc w:val="right"/>
              <w:rPr>
                <w:b/>
                <w:bCs/>
                <w:color w:val="000000"/>
                <w:sz w:val="20"/>
                <w:szCs w:val="20"/>
              </w:rPr>
            </w:pPr>
            <w:r>
              <w:rPr>
                <w:b/>
                <w:bCs/>
                <w:color w:val="000000"/>
                <w:sz w:val="20"/>
                <w:szCs w:val="20"/>
              </w:rPr>
              <w:t>0.046</w:t>
            </w:r>
          </w:p>
        </w:tc>
        <w:tc>
          <w:tcPr>
            <w:tcW w:w="820" w:type="dxa"/>
            <w:tcBorders>
              <w:top w:val="nil"/>
              <w:left w:val="nil"/>
              <w:right w:val="nil"/>
            </w:tcBorders>
            <w:shd w:val="clear" w:color="auto" w:fill="auto"/>
            <w:noWrap/>
            <w:vAlign w:val="center"/>
            <w:hideMark/>
          </w:tcPr>
          <w:p w14:paraId="79E6DBE3" w14:textId="35E03F18" w:rsidR="00F02202" w:rsidRPr="00DF344B" w:rsidRDefault="00F02202" w:rsidP="00F02202">
            <w:pPr>
              <w:jc w:val="right"/>
              <w:rPr>
                <w:b/>
                <w:bCs/>
                <w:color w:val="000000"/>
                <w:sz w:val="20"/>
                <w:szCs w:val="20"/>
              </w:rPr>
            </w:pPr>
            <w:r>
              <w:rPr>
                <w:b/>
                <w:bCs/>
                <w:color w:val="000000"/>
                <w:sz w:val="20"/>
                <w:szCs w:val="20"/>
              </w:rPr>
              <w:t>0.006</w:t>
            </w:r>
          </w:p>
        </w:tc>
        <w:tc>
          <w:tcPr>
            <w:tcW w:w="820" w:type="dxa"/>
            <w:tcBorders>
              <w:top w:val="nil"/>
              <w:left w:val="nil"/>
              <w:right w:val="nil"/>
            </w:tcBorders>
            <w:shd w:val="clear" w:color="auto" w:fill="auto"/>
            <w:noWrap/>
            <w:vAlign w:val="center"/>
            <w:hideMark/>
          </w:tcPr>
          <w:p w14:paraId="288E9265" w14:textId="3DEC9D00" w:rsidR="00F02202" w:rsidRPr="00DF344B" w:rsidRDefault="00F02202" w:rsidP="00F02202">
            <w:pPr>
              <w:jc w:val="right"/>
              <w:rPr>
                <w:b/>
                <w:bCs/>
                <w:color w:val="000000"/>
                <w:sz w:val="20"/>
                <w:szCs w:val="20"/>
              </w:rPr>
            </w:pPr>
            <w:r>
              <w:rPr>
                <w:b/>
                <w:bCs/>
                <w:color w:val="000000"/>
                <w:sz w:val="20"/>
                <w:szCs w:val="20"/>
              </w:rPr>
              <w:t>0.002</w:t>
            </w:r>
          </w:p>
        </w:tc>
      </w:tr>
      <w:tr w:rsidR="00F02202" w14:paraId="3E47BB4B" w14:textId="77777777" w:rsidTr="001D213F">
        <w:trPr>
          <w:trHeight w:val="720"/>
        </w:trPr>
        <w:tc>
          <w:tcPr>
            <w:tcW w:w="2160" w:type="dxa"/>
            <w:tcBorders>
              <w:top w:val="nil"/>
              <w:left w:val="nil"/>
              <w:bottom w:val="single" w:sz="12" w:space="0" w:color="auto"/>
              <w:right w:val="nil"/>
            </w:tcBorders>
            <w:shd w:val="clear" w:color="auto" w:fill="auto"/>
            <w:vAlign w:val="center"/>
            <w:hideMark/>
          </w:tcPr>
          <w:p w14:paraId="21B974BD" w14:textId="77777777" w:rsidR="00F02202" w:rsidRDefault="00F02202" w:rsidP="00F02202">
            <w:pPr>
              <w:rPr>
                <w:color w:val="000000"/>
                <w:sz w:val="20"/>
                <w:szCs w:val="20"/>
              </w:rPr>
            </w:pPr>
            <w:r>
              <w:rPr>
                <w:color w:val="000000"/>
                <w:sz w:val="20"/>
                <w:szCs w:val="20"/>
              </w:rPr>
              <w:t>Mean response time for correct Go trials in SST</w:t>
            </w:r>
          </w:p>
        </w:tc>
        <w:tc>
          <w:tcPr>
            <w:tcW w:w="820" w:type="dxa"/>
            <w:tcBorders>
              <w:top w:val="nil"/>
              <w:left w:val="nil"/>
              <w:bottom w:val="single" w:sz="12" w:space="0" w:color="auto"/>
              <w:right w:val="nil"/>
            </w:tcBorders>
            <w:shd w:val="clear" w:color="auto" w:fill="auto"/>
            <w:noWrap/>
            <w:vAlign w:val="center"/>
            <w:hideMark/>
          </w:tcPr>
          <w:p w14:paraId="62C03646" w14:textId="48A724D0" w:rsidR="00F02202" w:rsidRPr="00DF344B" w:rsidRDefault="00F02202" w:rsidP="00F02202">
            <w:pPr>
              <w:jc w:val="right"/>
              <w:rPr>
                <w:color w:val="000000"/>
                <w:sz w:val="20"/>
                <w:szCs w:val="20"/>
              </w:rPr>
            </w:pPr>
            <w:r>
              <w:rPr>
                <w:color w:val="000000"/>
                <w:sz w:val="20"/>
                <w:szCs w:val="20"/>
              </w:rPr>
              <w:t>-0.016</w:t>
            </w:r>
          </w:p>
        </w:tc>
        <w:tc>
          <w:tcPr>
            <w:tcW w:w="820" w:type="dxa"/>
            <w:tcBorders>
              <w:top w:val="nil"/>
              <w:left w:val="nil"/>
              <w:bottom w:val="single" w:sz="12" w:space="0" w:color="auto"/>
              <w:right w:val="nil"/>
            </w:tcBorders>
            <w:shd w:val="clear" w:color="auto" w:fill="auto"/>
            <w:noWrap/>
            <w:vAlign w:val="center"/>
            <w:hideMark/>
          </w:tcPr>
          <w:p w14:paraId="02EF08F1" w14:textId="4EC7202D" w:rsidR="00F02202" w:rsidRPr="00DF344B" w:rsidRDefault="00F02202" w:rsidP="00F02202">
            <w:pPr>
              <w:jc w:val="right"/>
              <w:rPr>
                <w:color w:val="000000"/>
                <w:sz w:val="20"/>
                <w:szCs w:val="20"/>
              </w:rPr>
            </w:pPr>
            <w:r>
              <w:rPr>
                <w:color w:val="000000"/>
                <w:sz w:val="20"/>
                <w:szCs w:val="20"/>
              </w:rPr>
              <w:t>0.253</w:t>
            </w:r>
          </w:p>
        </w:tc>
        <w:tc>
          <w:tcPr>
            <w:tcW w:w="820" w:type="dxa"/>
            <w:tcBorders>
              <w:top w:val="nil"/>
              <w:left w:val="nil"/>
              <w:bottom w:val="single" w:sz="12" w:space="0" w:color="auto"/>
              <w:right w:val="nil"/>
            </w:tcBorders>
            <w:shd w:val="clear" w:color="auto" w:fill="auto"/>
            <w:noWrap/>
            <w:vAlign w:val="center"/>
            <w:hideMark/>
          </w:tcPr>
          <w:p w14:paraId="2736B7C1" w14:textId="18D6C2CC" w:rsidR="00F02202" w:rsidRPr="00DF344B" w:rsidRDefault="00F02202" w:rsidP="00F02202">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center"/>
            <w:hideMark/>
          </w:tcPr>
          <w:p w14:paraId="7934356A" w14:textId="3680BAA9" w:rsidR="00F02202" w:rsidRPr="00DF344B" w:rsidRDefault="00F02202" w:rsidP="00F02202">
            <w:pPr>
              <w:jc w:val="right"/>
              <w:rPr>
                <w:color w:val="000000"/>
                <w:sz w:val="20"/>
                <w:szCs w:val="20"/>
              </w:rPr>
            </w:pPr>
            <w:r>
              <w:rPr>
                <w:color w:val="000000"/>
                <w:sz w:val="20"/>
                <w:szCs w:val="20"/>
              </w:rPr>
              <w:t>-0.014</w:t>
            </w:r>
          </w:p>
        </w:tc>
        <w:tc>
          <w:tcPr>
            <w:tcW w:w="820" w:type="dxa"/>
            <w:tcBorders>
              <w:top w:val="nil"/>
              <w:left w:val="nil"/>
              <w:bottom w:val="single" w:sz="12" w:space="0" w:color="auto"/>
              <w:right w:val="nil"/>
            </w:tcBorders>
            <w:shd w:val="clear" w:color="auto" w:fill="auto"/>
            <w:noWrap/>
            <w:vAlign w:val="center"/>
            <w:hideMark/>
          </w:tcPr>
          <w:p w14:paraId="62F20D3B" w14:textId="396E72DB" w:rsidR="00F02202" w:rsidRPr="00DF344B" w:rsidRDefault="00F02202" w:rsidP="00F02202">
            <w:pPr>
              <w:jc w:val="right"/>
              <w:rPr>
                <w:color w:val="000000"/>
                <w:sz w:val="20"/>
                <w:szCs w:val="20"/>
              </w:rPr>
            </w:pPr>
            <w:r>
              <w:rPr>
                <w:color w:val="000000"/>
                <w:sz w:val="20"/>
                <w:szCs w:val="20"/>
              </w:rPr>
              <w:t>0.680</w:t>
            </w:r>
          </w:p>
        </w:tc>
        <w:tc>
          <w:tcPr>
            <w:tcW w:w="820" w:type="dxa"/>
            <w:tcBorders>
              <w:top w:val="nil"/>
              <w:left w:val="nil"/>
              <w:bottom w:val="single" w:sz="12" w:space="0" w:color="auto"/>
              <w:right w:val="nil"/>
            </w:tcBorders>
            <w:shd w:val="clear" w:color="auto" w:fill="auto"/>
            <w:noWrap/>
            <w:vAlign w:val="center"/>
            <w:hideMark/>
          </w:tcPr>
          <w:p w14:paraId="7AF275A9" w14:textId="72B19351" w:rsidR="00F02202" w:rsidRPr="00DF344B" w:rsidRDefault="00F02202" w:rsidP="00F02202">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center"/>
            <w:hideMark/>
          </w:tcPr>
          <w:p w14:paraId="4298BD72" w14:textId="0274B3ED" w:rsidR="00F02202" w:rsidRPr="00DF344B" w:rsidRDefault="00F02202" w:rsidP="00F02202">
            <w:pPr>
              <w:jc w:val="right"/>
              <w:rPr>
                <w:color w:val="000000"/>
                <w:sz w:val="20"/>
                <w:szCs w:val="20"/>
              </w:rPr>
            </w:pPr>
            <w:r>
              <w:rPr>
                <w:color w:val="000000"/>
                <w:sz w:val="20"/>
                <w:szCs w:val="20"/>
              </w:rPr>
              <w:t>0.012</w:t>
            </w:r>
          </w:p>
        </w:tc>
        <w:tc>
          <w:tcPr>
            <w:tcW w:w="820" w:type="dxa"/>
            <w:tcBorders>
              <w:top w:val="nil"/>
              <w:left w:val="nil"/>
              <w:bottom w:val="single" w:sz="12" w:space="0" w:color="auto"/>
              <w:right w:val="nil"/>
            </w:tcBorders>
            <w:shd w:val="clear" w:color="auto" w:fill="auto"/>
            <w:noWrap/>
            <w:vAlign w:val="center"/>
            <w:hideMark/>
          </w:tcPr>
          <w:p w14:paraId="78A88B5D" w14:textId="46C37D23" w:rsidR="00F02202" w:rsidRPr="00DF344B" w:rsidRDefault="00F02202" w:rsidP="00F02202">
            <w:pPr>
              <w:jc w:val="right"/>
              <w:rPr>
                <w:color w:val="000000"/>
                <w:sz w:val="20"/>
                <w:szCs w:val="20"/>
              </w:rPr>
            </w:pPr>
            <w:r>
              <w:rPr>
                <w:color w:val="000000"/>
                <w:sz w:val="20"/>
                <w:szCs w:val="20"/>
              </w:rPr>
              <w:t>0.696</w:t>
            </w:r>
          </w:p>
        </w:tc>
        <w:tc>
          <w:tcPr>
            <w:tcW w:w="820" w:type="dxa"/>
            <w:tcBorders>
              <w:top w:val="nil"/>
              <w:left w:val="nil"/>
              <w:bottom w:val="single" w:sz="12" w:space="0" w:color="auto"/>
              <w:right w:val="nil"/>
            </w:tcBorders>
            <w:shd w:val="clear" w:color="auto" w:fill="auto"/>
            <w:noWrap/>
            <w:vAlign w:val="center"/>
            <w:hideMark/>
          </w:tcPr>
          <w:p w14:paraId="74F75D87" w14:textId="45E877CF" w:rsidR="00F02202" w:rsidRPr="00DF344B" w:rsidRDefault="00F02202" w:rsidP="00F02202">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center"/>
            <w:hideMark/>
          </w:tcPr>
          <w:p w14:paraId="50CBEFDD" w14:textId="4B10F0F1" w:rsidR="00F02202" w:rsidRPr="00DF344B" w:rsidRDefault="00F02202" w:rsidP="00F02202">
            <w:pPr>
              <w:jc w:val="right"/>
              <w:rPr>
                <w:color w:val="000000"/>
                <w:sz w:val="20"/>
                <w:szCs w:val="20"/>
              </w:rPr>
            </w:pPr>
            <w:r>
              <w:rPr>
                <w:color w:val="000000"/>
                <w:sz w:val="20"/>
                <w:szCs w:val="20"/>
              </w:rPr>
              <w:t>0.030</w:t>
            </w:r>
          </w:p>
        </w:tc>
        <w:tc>
          <w:tcPr>
            <w:tcW w:w="820" w:type="dxa"/>
            <w:tcBorders>
              <w:top w:val="nil"/>
              <w:left w:val="nil"/>
              <w:bottom w:val="single" w:sz="12" w:space="0" w:color="auto"/>
              <w:right w:val="nil"/>
            </w:tcBorders>
            <w:shd w:val="clear" w:color="auto" w:fill="auto"/>
            <w:noWrap/>
            <w:vAlign w:val="center"/>
            <w:hideMark/>
          </w:tcPr>
          <w:p w14:paraId="3ABDD9D0" w14:textId="40852197" w:rsidR="00F02202" w:rsidRPr="00DF344B" w:rsidRDefault="00F02202" w:rsidP="00F02202">
            <w:pPr>
              <w:jc w:val="right"/>
              <w:rPr>
                <w:color w:val="000000"/>
                <w:sz w:val="20"/>
                <w:szCs w:val="20"/>
              </w:rPr>
            </w:pPr>
            <w:r>
              <w:rPr>
                <w:color w:val="000000"/>
                <w:sz w:val="20"/>
                <w:szCs w:val="20"/>
              </w:rPr>
              <w:t>0.052</w:t>
            </w:r>
          </w:p>
        </w:tc>
        <w:tc>
          <w:tcPr>
            <w:tcW w:w="820" w:type="dxa"/>
            <w:tcBorders>
              <w:top w:val="nil"/>
              <w:left w:val="nil"/>
              <w:bottom w:val="single" w:sz="12" w:space="0" w:color="auto"/>
              <w:right w:val="nil"/>
            </w:tcBorders>
            <w:shd w:val="clear" w:color="auto" w:fill="auto"/>
            <w:noWrap/>
            <w:vAlign w:val="center"/>
            <w:hideMark/>
          </w:tcPr>
          <w:p w14:paraId="2059C2F4" w14:textId="4E1E8169" w:rsidR="00F02202" w:rsidRPr="00DF344B" w:rsidRDefault="00F02202" w:rsidP="00F02202">
            <w:pPr>
              <w:jc w:val="right"/>
              <w:rPr>
                <w:color w:val="000000"/>
                <w:sz w:val="20"/>
                <w:szCs w:val="20"/>
              </w:rPr>
            </w:pPr>
            <w:r>
              <w:rPr>
                <w:color w:val="000000"/>
                <w:sz w:val="20"/>
                <w:szCs w:val="20"/>
              </w:rPr>
              <w:t>0.001</w:t>
            </w:r>
          </w:p>
        </w:tc>
        <w:tc>
          <w:tcPr>
            <w:tcW w:w="820" w:type="dxa"/>
            <w:tcBorders>
              <w:top w:val="nil"/>
              <w:left w:val="nil"/>
              <w:bottom w:val="single" w:sz="12" w:space="0" w:color="auto"/>
              <w:right w:val="nil"/>
            </w:tcBorders>
            <w:shd w:val="clear" w:color="auto" w:fill="auto"/>
            <w:noWrap/>
            <w:vAlign w:val="center"/>
            <w:hideMark/>
          </w:tcPr>
          <w:p w14:paraId="2E98BB92" w14:textId="4D8C9797" w:rsidR="00F02202" w:rsidRPr="00DF344B" w:rsidRDefault="00F02202" w:rsidP="00F02202">
            <w:pPr>
              <w:jc w:val="right"/>
              <w:rPr>
                <w:b/>
                <w:bCs/>
                <w:color w:val="000000"/>
                <w:sz w:val="20"/>
                <w:szCs w:val="20"/>
              </w:rPr>
            </w:pPr>
            <w:r>
              <w:rPr>
                <w:b/>
                <w:bCs/>
                <w:color w:val="000000"/>
                <w:sz w:val="20"/>
                <w:szCs w:val="20"/>
              </w:rPr>
              <w:t>-0.070</w:t>
            </w:r>
          </w:p>
        </w:tc>
        <w:tc>
          <w:tcPr>
            <w:tcW w:w="820" w:type="dxa"/>
            <w:tcBorders>
              <w:top w:val="nil"/>
              <w:left w:val="nil"/>
              <w:bottom w:val="single" w:sz="12" w:space="0" w:color="auto"/>
              <w:right w:val="nil"/>
            </w:tcBorders>
            <w:shd w:val="clear" w:color="auto" w:fill="auto"/>
            <w:noWrap/>
            <w:vAlign w:val="center"/>
            <w:hideMark/>
          </w:tcPr>
          <w:p w14:paraId="34609AF8" w14:textId="1101D67D" w:rsidR="00F02202" w:rsidRPr="00DF344B" w:rsidRDefault="00F02202" w:rsidP="00F02202">
            <w:pPr>
              <w:jc w:val="right"/>
              <w:rPr>
                <w:b/>
                <w:bCs/>
                <w:color w:val="000000"/>
                <w:sz w:val="20"/>
                <w:szCs w:val="20"/>
              </w:rPr>
            </w:pPr>
            <w:r>
              <w:rPr>
                <w:b/>
                <w:bCs/>
                <w:color w:val="000000"/>
                <w:sz w:val="20"/>
                <w:szCs w:val="20"/>
              </w:rPr>
              <w:t>0.000</w:t>
            </w:r>
          </w:p>
        </w:tc>
        <w:tc>
          <w:tcPr>
            <w:tcW w:w="820" w:type="dxa"/>
            <w:tcBorders>
              <w:top w:val="nil"/>
              <w:left w:val="nil"/>
              <w:bottom w:val="single" w:sz="12" w:space="0" w:color="auto"/>
              <w:right w:val="nil"/>
            </w:tcBorders>
            <w:shd w:val="clear" w:color="auto" w:fill="auto"/>
            <w:noWrap/>
            <w:vAlign w:val="center"/>
            <w:hideMark/>
          </w:tcPr>
          <w:p w14:paraId="7925E825" w14:textId="009BE3C9" w:rsidR="00F02202" w:rsidRPr="00DF344B" w:rsidRDefault="00F02202" w:rsidP="00F02202">
            <w:pPr>
              <w:jc w:val="right"/>
              <w:rPr>
                <w:b/>
                <w:bCs/>
                <w:color w:val="000000"/>
                <w:sz w:val="20"/>
                <w:szCs w:val="20"/>
              </w:rPr>
            </w:pPr>
            <w:r>
              <w:rPr>
                <w:b/>
                <w:bCs/>
                <w:color w:val="000000"/>
                <w:sz w:val="20"/>
                <w:szCs w:val="20"/>
              </w:rPr>
              <w:t>0.005</w:t>
            </w:r>
          </w:p>
        </w:tc>
      </w:tr>
      <w:tr w:rsidR="00AF7E5D" w14:paraId="200E957E" w14:textId="77777777" w:rsidTr="00AF1024">
        <w:trPr>
          <w:trHeight w:val="320"/>
        </w:trPr>
        <w:tc>
          <w:tcPr>
            <w:tcW w:w="2160" w:type="dxa"/>
            <w:tcBorders>
              <w:top w:val="single" w:sz="12" w:space="0" w:color="auto"/>
              <w:left w:val="nil"/>
              <w:bottom w:val="nil"/>
              <w:right w:val="nil"/>
            </w:tcBorders>
            <w:shd w:val="clear" w:color="auto" w:fill="auto"/>
            <w:noWrap/>
            <w:vAlign w:val="bottom"/>
            <w:hideMark/>
          </w:tcPr>
          <w:p w14:paraId="60E8FCCB" w14:textId="77777777" w:rsidR="00AF7E5D" w:rsidRDefault="00AF7E5D" w:rsidP="009E45F8">
            <w:pPr>
              <w:jc w:val="right"/>
              <w:rPr>
                <w:b/>
                <w:bCs/>
                <w:color w:val="000000"/>
                <w:sz w:val="20"/>
                <w:szCs w:val="20"/>
              </w:rPr>
            </w:pPr>
          </w:p>
        </w:tc>
        <w:tc>
          <w:tcPr>
            <w:tcW w:w="820" w:type="dxa"/>
            <w:tcBorders>
              <w:top w:val="single" w:sz="12" w:space="0" w:color="auto"/>
              <w:left w:val="nil"/>
              <w:bottom w:val="nil"/>
              <w:right w:val="nil"/>
            </w:tcBorders>
            <w:shd w:val="clear" w:color="auto" w:fill="auto"/>
            <w:noWrap/>
            <w:vAlign w:val="bottom"/>
            <w:hideMark/>
          </w:tcPr>
          <w:p w14:paraId="6536DBB3"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049747B6"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3AA6B0E3"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7DCCEE8"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5CFA56F9"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0AE76D3F"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6B56B4BE"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7860D954"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367E528B"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7316F0C"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E7DDCF4"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D923BF5"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5E12EC23"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16F9D528" w14:textId="77777777" w:rsidR="00AF7E5D" w:rsidRDefault="00AF7E5D" w:rsidP="009E45F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09731C3A" w14:textId="77777777" w:rsidR="00AF7E5D" w:rsidRDefault="00AF7E5D" w:rsidP="009E45F8">
            <w:pPr>
              <w:rPr>
                <w:sz w:val="20"/>
                <w:szCs w:val="20"/>
              </w:rPr>
            </w:pPr>
          </w:p>
        </w:tc>
      </w:tr>
    </w:tbl>
    <w:p w14:paraId="4FE8C24D" w14:textId="4E0E7D3D" w:rsidR="008A5530" w:rsidRDefault="00AF7E5D" w:rsidP="00BC5AB7">
      <w:pPr>
        <w:rPr>
          <w:color w:val="000000"/>
        </w:rPr>
      </w:pPr>
      <w:r w:rsidRPr="00235E0F">
        <w:rPr>
          <w:bCs/>
          <w:i/>
          <w:iCs/>
          <w:color w:val="000000" w:themeColor="text1"/>
        </w:rPr>
        <w:t>Note</w:t>
      </w:r>
      <w:r w:rsidRPr="00235E0F">
        <w:rPr>
          <w:bCs/>
          <w:color w:val="000000" w:themeColor="text1"/>
        </w:rPr>
        <w:t xml:space="preserve">. </w:t>
      </w:r>
      <w:r>
        <w:rPr>
          <w:bCs/>
          <w:color w:val="000000" w:themeColor="text1"/>
        </w:rPr>
        <w:t>En-Back = emotional n-back task; MID = monetary incentive delay task; SST = stop signal task</w:t>
      </w:r>
      <w:r>
        <w:rPr>
          <w:color w:val="000000"/>
        </w:rPr>
        <w:t xml:space="preserve"> </w:t>
      </w:r>
    </w:p>
    <w:p w14:paraId="3F26C98A" w14:textId="3B2BD95E" w:rsidR="00C86D26" w:rsidRPr="00432B71" w:rsidRDefault="008A5530" w:rsidP="00432B71">
      <w:pPr>
        <w:pStyle w:val="Heading1"/>
        <w:rPr>
          <w:rFonts w:ascii="Times New Roman" w:hAnsi="Times New Roman" w:cs="Times New Roman"/>
          <w:color w:val="000000" w:themeColor="text1"/>
          <w:sz w:val="24"/>
          <w:szCs w:val="24"/>
        </w:rPr>
      </w:pPr>
      <w:r w:rsidRPr="00432B71">
        <w:rPr>
          <w:rFonts w:ascii="Times New Roman" w:hAnsi="Times New Roman" w:cs="Times New Roman"/>
          <w:color w:val="000000" w:themeColor="text1"/>
          <w:sz w:val="24"/>
          <w:szCs w:val="24"/>
        </w:rPr>
        <w:br w:type="page"/>
      </w:r>
      <w:bookmarkStart w:id="50" w:name="_Toc155817717"/>
      <w:r w:rsidR="00432B71" w:rsidRPr="00432B71">
        <w:rPr>
          <w:rFonts w:ascii="Times New Roman" w:hAnsi="Times New Roman" w:cs="Times New Roman"/>
          <w:b/>
          <w:bCs/>
          <w:color w:val="000000" w:themeColor="text1"/>
          <w:sz w:val="24"/>
          <w:szCs w:val="24"/>
        </w:rPr>
        <w:lastRenderedPageBreak/>
        <w:t xml:space="preserve">Table </w:t>
      </w:r>
      <w:r w:rsidR="00C833BF" w:rsidRPr="00432B71">
        <w:rPr>
          <w:rFonts w:ascii="Times New Roman" w:hAnsi="Times New Roman" w:cs="Times New Roman"/>
          <w:b/>
          <w:bCs/>
          <w:color w:val="000000" w:themeColor="text1"/>
          <w:sz w:val="24"/>
          <w:szCs w:val="24"/>
        </w:rPr>
        <w:t>20a</w:t>
      </w:r>
      <w:r w:rsidRPr="00432B71">
        <w:rPr>
          <w:rFonts w:ascii="Times New Roman" w:hAnsi="Times New Roman" w:cs="Times New Roman"/>
          <w:b/>
          <w:bCs/>
          <w:color w:val="000000" w:themeColor="text1"/>
          <w:sz w:val="24"/>
          <w:szCs w:val="24"/>
        </w:rPr>
        <w:t>.</w:t>
      </w:r>
      <w:r w:rsidRPr="00432B71">
        <w:rPr>
          <w:rFonts w:ascii="Times New Roman" w:hAnsi="Times New Roman" w:cs="Times New Roman"/>
          <w:color w:val="000000" w:themeColor="text1"/>
          <w:sz w:val="24"/>
          <w:szCs w:val="24"/>
        </w:rPr>
        <w:t xml:space="preserve"> </w:t>
      </w:r>
      <w:r w:rsidR="00C833BF" w:rsidRPr="00432B71">
        <w:rPr>
          <w:rFonts w:ascii="Times New Roman" w:hAnsi="Times New Roman" w:cs="Times New Roman"/>
          <w:color w:val="000000" w:themeColor="text1"/>
          <w:sz w:val="24"/>
          <w:szCs w:val="24"/>
        </w:rPr>
        <w:t xml:space="preserve">Results </w:t>
      </w:r>
      <w:r w:rsidR="00C86D26" w:rsidRPr="00432B71">
        <w:rPr>
          <w:rFonts w:ascii="Times New Roman" w:hAnsi="Times New Roman" w:cs="Times New Roman"/>
          <w:color w:val="000000" w:themeColor="text1"/>
          <w:sz w:val="24"/>
          <w:szCs w:val="24"/>
        </w:rPr>
        <w:t>e</w:t>
      </w:r>
      <w:r w:rsidR="00C833BF" w:rsidRPr="00432B71">
        <w:rPr>
          <w:rFonts w:ascii="Times New Roman" w:hAnsi="Times New Roman" w:cs="Times New Roman"/>
          <w:color w:val="000000" w:themeColor="text1"/>
          <w:sz w:val="24"/>
          <w:szCs w:val="24"/>
        </w:rPr>
        <w:t xml:space="preserve">xamining the </w:t>
      </w:r>
      <w:r w:rsidR="00C86D26" w:rsidRPr="00432B71">
        <w:rPr>
          <w:rFonts w:ascii="Times New Roman" w:hAnsi="Times New Roman" w:cs="Times New Roman"/>
          <w:color w:val="000000" w:themeColor="text1"/>
          <w:sz w:val="24"/>
          <w:szCs w:val="24"/>
        </w:rPr>
        <w:t>r</w:t>
      </w:r>
      <w:r w:rsidR="00C833BF" w:rsidRPr="00432B71">
        <w:rPr>
          <w:rFonts w:ascii="Times New Roman" w:hAnsi="Times New Roman" w:cs="Times New Roman"/>
          <w:color w:val="000000" w:themeColor="text1"/>
          <w:sz w:val="24"/>
          <w:szCs w:val="24"/>
        </w:rPr>
        <w:t xml:space="preserve">elationship </w:t>
      </w:r>
      <w:r w:rsidR="00C86D26" w:rsidRPr="00432B71">
        <w:rPr>
          <w:rFonts w:ascii="Times New Roman" w:hAnsi="Times New Roman" w:cs="Times New Roman"/>
          <w:color w:val="000000" w:themeColor="text1"/>
          <w:sz w:val="24"/>
          <w:szCs w:val="24"/>
        </w:rPr>
        <w:t>b</w:t>
      </w:r>
      <w:r w:rsidR="00C833BF" w:rsidRPr="00432B71">
        <w:rPr>
          <w:rFonts w:ascii="Times New Roman" w:hAnsi="Times New Roman" w:cs="Times New Roman"/>
          <w:color w:val="000000" w:themeColor="text1"/>
          <w:sz w:val="24"/>
          <w:szCs w:val="24"/>
        </w:rPr>
        <w:t xml:space="preserve">etween </w:t>
      </w:r>
      <w:r w:rsidR="00C86D26" w:rsidRPr="00432B71">
        <w:rPr>
          <w:rFonts w:ascii="Times New Roman" w:hAnsi="Times New Roman" w:cs="Times New Roman"/>
          <w:color w:val="000000" w:themeColor="text1"/>
          <w:sz w:val="24"/>
          <w:szCs w:val="24"/>
        </w:rPr>
        <w:t>e</w:t>
      </w:r>
      <w:r w:rsidR="00C833BF" w:rsidRPr="00432B71">
        <w:rPr>
          <w:rFonts w:ascii="Times New Roman" w:hAnsi="Times New Roman" w:cs="Times New Roman"/>
          <w:color w:val="000000" w:themeColor="text1"/>
          <w:sz w:val="24"/>
          <w:szCs w:val="24"/>
        </w:rPr>
        <w:t xml:space="preserve">nvironmental </w:t>
      </w:r>
      <w:r w:rsidR="00C86D26" w:rsidRPr="00432B71">
        <w:rPr>
          <w:rFonts w:ascii="Times New Roman" w:hAnsi="Times New Roman" w:cs="Times New Roman"/>
          <w:color w:val="000000" w:themeColor="text1"/>
          <w:sz w:val="24"/>
          <w:szCs w:val="24"/>
        </w:rPr>
        <w:t>s</w:t>
      </w:r>
      <w:r w:rsidR="00C833BF" w:rsidRPr="00432B71">
        <w:rPr>
          <w:rFonts w:ascii="Times New Roman" w:hAnsi="Times New Roman" w:cs="Times New Roman"/>
          <w:color w:val="000000" w:themeColor="text1"/>
          <w:sz w:val="24"/>
          <w:szCs w:val="24"/>
        </w:rPr>
        <w:t xml:space="preserve">tressor </w:t>
      </w:r>
      <w:r w:rsidR="00C86D26" w:rsidRPr="00432B71">
        <w:rPr>
          <w:rFonts w:ascii="Times New Roman" w:hAnsi="Times New Roman" w:cs="Times New Roman"/>
          <w:color w:val="000000" w:themeColor="text1"/>
          <w:sz w:val="24"/>
          <w:szCs w:val="24"/>
        </w:rPr>
        <w:t>f</w:t>
      </w:r>
      <w:r w:rsidR="00C833BF" w:rsidRPr="00432B71">
        <w:rPr>
          <w:rFonts w:ascii="Times New Roman" w:hAnsi="Times New Roman" w:cs="Times New Roman"/>
          <w:color w:val="000000" w:themeColor="text1"/>
          <w:sz w:val="24"/>
          <w:szCs w:val="24"/>
        </w:rPr>
        <w:t xml:space="preserve">actors </w:t>
      </w:r>
      <w:r w:rsidR="00C86D26" w:rsidRPr="00432B71">
        <w:rPr>
          <w:rFonts w:ascii="Times New Roman" w:hAnsi="Times New Roman" w:cs="Times New Roman"/>
          <w:color w:val="000000" w:themeColor="text1"/>
          <w:sz w:val="24"/>
          <w:szCs w:val="24"/>
        </w:rPr>
        <w:t>o</w:t>
      </w:r>
      <w:r w:rsidR="00C833BF" w:rsidRPr="00432B71">
        <w:rPr>
          <w:rFonts w:ascii="Times New Roman" w:hAnsi="Times New Roman" w:cs="Times New Roman"/>
          <w:color w:val="000000" w:themeColor="text1"/>
          <w:sz w:val="24"/>
          <w:szCs w:val="24"/>
        </w:rPr>
        <w:t xml:space="preserve">btained from </w:t>
      </w:r>
      <w:r w:rsidR="00C86D26" w:rsidRPr="00432B71">
        <w:rPr>
          <w:rFonts w:ascii="Times New Roman" w:hAnsi="Times New Roman" w:cs="Times New Roman"/>
          <w:color w:val="000000" w:themeColor="text1"/>
          <w:sz w:val="24"/>
          <w:szCs w:val="24"/>
        </w:rPr>
        <w:t>b</w:t>
      </w:r>
      <w:r w:rsidR="00C833BF" w:rsidRPr="00432B71">
        <w:rPr>
          <w:rFonts w:ascii="Times New Roman" w:hAnsi="Times New Roman" w:cs="Times New Roman"/>
          <w:color w:val="000000" w:themeColor="text1"/>
          <w:sz w:val="24"/>
          <w:szCs w:val="24"/>
        </w:rPr>
        <w:t xml:space="preserve">ifactor </w:t>
      </w:r>
      <w:r w:rsidR="00C86D26" w:rsidRPr="00432B71">
        <w:rPr>
          <w:rFonts w:ascii="Times New Roman" w:hAnsi="Times New Roman" w:cs="Times New Roman"/>
          <w:color w:val="000000" w:themeColor="text1"/>
          <w:sz w:val="24"/>
          <w:szCs w:val="24"/>
        </w:rPr>
        <w:t>m</w:t>
      </w:r>
      <w:r w:rsidR="00C833BF" w:rsidRPr="00432B71">
        <w:rPr>
          <w:rFonts w:ascii="Times New Roman" w:hAnsi="Times New Roman" w:cs="Times New Roman"/>
          <w:color w:val="000000" w:themeColor="text1"/>
          <w:sz w:val="24"/>
          <w:szCs w:val="24"/>
        </w:rPr>
        <w:t xml:space="preserve">odeling and </w:t>
      </w:r>
      <w:r w:rsidR="00C86D26" w:rsidRPr="00432B71">
        <w:rPr>
          <w:rFonts w:ascii="Times New Roman" w:hAnsi="Times New Roman" w:cs="Times New Roman"/>
          <w:color w:val="000000" w:themeColor="text1"/>
          <w:sz w:val="24"/>
          <w:szCs w:val="24"/>
        </w:rPr>
        <w:t>w</w:t>
      </w:r>
      <w:r w:rsidR="00C833BF" w:rsidRPr="00432B71">
        <w:rPr>
          <w:rFonts w:ascii="Times New Roman" w:hAnsi="Times New Roman" w:cs="Times New Roman"/>
          <w:color w:val="000000" w:themeColor="text1"/>
          <w:sz w:val="24"/>
          <w:szCs w:val="24"/>
        </w:rPr>
        <w:t>hole-</w:t>
      </w:r>
      <w:r w:rsidR="00C86D26" w:rsidRPr="00432B71">
        <w:rPr>
          <w:rFonts w:ascii="Times New Roman" w:hAnsi="Times New Roman" w:cs="Times New Roman"/>
          <w:color w:val="000000" w:themeColor="text1"/>
          <w:sz w:val="24"/>
          <w:szCs w:val="24"/>
        </w:rPr>
        <w:t>b</w:t>
      </w:r>
      <w:r w:rsidR="00C833BF" w:rsidRPr="00432B71">
        <w:rPr>
          <w:rFonts w:ascii="Times New Roman" w:hAnsi="Times New Roman" w:cs="Times New Roman"/>
          <w:color w:val="000000" w:themeColor="text1"/>
          <w:sz w:val="24"/>
          <w:szCs w:val="24"/>
        </w:rPr>
        <w:t xml:space="preserve">rain </w:t>
      </w:r>
      <w:r w:rsidR="000D2E77" w:rsidRPr="00432B71">
        <w:rPr>
          <w:rFonts w:ascii="Times New Roman" w:hAnsi="Times New Roman" w:cs="Times New Roman"/>
          <w:color w:val="000000" w:themeColor="text1"/>
          <w:sz w:val="24"/>
          <w:szCs w:val="24"/>
        </w:rPr>
        <w:t>S</w:t>
      </w:r>
      <w:r w:rsidR="00C833BF" w:rsidRPr="00432B71">
        <w:rPr>
          <w:rFonts w:ascii="Times New Roman" w:hAnsi="Times New Roman" w:cs="Times New Roman"/>
          <w:color w:val="000000" w:themeColor="text1"/>
          <w:sz w:val="24"/>
          <w:szCs w:val="24"/>
        </w:rPr>
        <w:t xml:space="preserve">hen </w:t>
      </w:r>
      <w:r w:rsidR="00C86D26" w:rsidRPr="00432B71">
        <w:rPr>
          <w:rFonts w:ascii="Times New Roman" w:hAnsi="Times New Roman" w:cs="Times New Roman"/>
          <w:color w:val="000000" w:themeColor="text1"/>
          <w:sz w:val="24"/>
          <w:szCs w:val="24"/>
        </w:rPr>
        <w:t>m</w:t>
      </w:r>
      <w:r w:rsidR="00C833BF" w:rsidRPr="00432B71">
        <w:rPr>
          <w:rFonts w:ascii="Times New Roman" w:hAnsi="Times New Roman" w:cs="Times New Roman"/>
          <w:color w:val="000000" w:themeColor="text1"/>
          <w:sz w:val="24"/>
          <w:szCs w:val="24"/>
        </w:rPr>
        <w:t>odularity during rest, emotional n-back task, and stop signal task</w:t>
      </w:r>
      <w:r w:rsidR="009D7245">
        <w:rPr>
          <w:rFonts w:ascii="Times New Roman" w:hAnsi="Times New Roman" w:cs="Times New Roman"/>
          <w:color w:val="000000" w:themeColor="text1"/>
          <w:sz w:val="24"/>
          <w:szCs w:val="24"/>
        </w:rPr>
        <w:t xml:space="preserve"> </w:t>
      </w:r>
      <w:r w:rsidR="009D7245" w:rsidRPr="00432B71">
        <w:rPr>
          <w:rFonts w:ascii="Times New Roman" w:hAnsi="Times New Roman" w:cs="Times New Roman"/>
          <w:color w:val="000000" w:themeColor="text1"/>
          <w:sz w:val="24"/>
          <w:szCs w:val="24"/>
        </w:rPr>
        <w:t>controlling for medication</w:t>
      </w:r>
      <w:bookmarkEnd w:id="50"/>
    </w:p>
    <w:tbl>
      <w:tblPr>
        <w:tblW w:w="14479" w:type="dxa"/>
        <w:tblLook w:val="04A0" w:firstRow="1" w:lastRow="0" w:firstColumn="1" w:lastColumn="0" w:noHBand="0" w:noVBand="1"/>
      </w:tblPr>
      <w:tblGrid>
        <w:gridCol w:w="1152"/>
        <w:gridCol w:w="1027"/>
        <w:gridCol w:w="820"/>
        <w:gridCol w:w="820"/>
        <w:gridCol w:w="820"/>
        <w:gridCol w:w="820"/>
        <w:gridCol w:w="820"/>
        <w:gridCol w:w="820"/>
        <w:gridCol w:w="820"/>
        <w:gridCol w:w="820"/>
        <w:gridCol w:w="820"/>
        <w:gridCol w:w="820"/>
        <w:gridCol w:w="820"/>
        <w:gridCol w:w="820"/>
        <w:gridCol w:w="820"/>
        <w:gridCol w:w="820"/>
        <w:gridCol w:w="820"/>
      </w:tblGrid>
      <w:tr w:rsidR="004664A9" w14:paraId="102166DE" w14:textId="77777777" w:rsidTr="00E55A7D">
        <w:trPr>
          <w:trHeight w:val="340"/>
        </w:trPr>
        <w:tc>
          <w:tcPr>
            <w:tcW w:w="1152" w:type="dxa"/>
            <w:tcBorders>
              <w:top w:val="nil"/>
              <w:left w:val="nil"/>
              <w:bottom w:val="single" w:sz="12" w:space="0" w:color="auto"/>
              <w:right w:val="nil"/>
            </w:tcBorders>
            <w:shd w:val="clear" w:color="auto" w:fill="auto"/>
            <w:noWrap/>
            <w:vAlign w:val="bottom"/>
            <w:hideMark/>
          </w:tcPr>
          <w:p w14:paraId="29971571" w14:textId="77777777" w:rsidR="004664A9" w:rsidRDefault="004664A9">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241E5E6E"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3C19554A"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32E9BB9E"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4BCF7E08"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7222C661"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3B217066"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0CE1C7F5"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4CC0BFBF"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1988CFA4"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30928478"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7FF0CAC7"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53A036AB"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445E1A0F"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691A866A"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39A38FF6" w14:textId="77777777" w:rsidR="004664A9" w:rsidRDefault="004664A9">
            <w:pPr>
              <w:rPr>
                <w:color w:val="000000"/>
                <w:sz w:val="20"/>
                <w:szCs w:val="20"/>
              </w:rPr>
            </w:pPr>
            <w:r>
              <w:rPr>
                <w:color w:val="000000"/>
                <w:sz w:val="20"/>
                <w:szCs w:val="20"/>
              </w:rPr>
              <w:t> </w:t>
            </w:r>
          </w:p>
        </w:tc>
        <w:tc>
          <w:tcPr>
            <w:tcW w:w="820" w:type="dxa"/>
            <w:tcBorders>
              <w:top w:val="nil"/>
              <w:left w:val="nil"/>
              <w:bottom w:val="single" w:sz="12" w:space="0" w:color="auto"/>
              <w:right w:val="nil"/>
            </w:tcBorders>
            <w:shd w:val="clear" w:color="auto" w:fill="auto"/>
            <w:noWrap/>
            <w:vAlign w:val="bottom"/>
            <w:hideMark/>
          </w:tcPr>
          <w:p w14:paraId="52D6A915" w14:textId="77777777" w:rsidR="004664A9" w:rsidRDefault="004664A9">
            <w:pPr>
              <w:rPr>
                <w:color w:val="000000"/>
                <w:sz w:val="20"/>
                <w:szCs w:val="20"/>
              </w:rPr>
            </w:pPr>
          </w:p>
        </w:tc>
      </w:tr>
      <w:tr w:rsidR="004664A9" w14:paraId="098B3055" w14:textId="77777777" w:rsidTr="00E55A7D">
        <w:trPr>
          <w:trHeight w:val="340"/>
        </w:trPr>
        <w:tc>
          <w:tcPr>
            <w:tcW w:w="1152" w:type="dxa"/>
            <w:tcBorders>
              <w:top w:val="single" w:sz="12" w:space="0" w:color="auto"/>
              <w:left w:val="nil"/>
              <w:bottom w:val="single" w:sz="12" w:space="0" w:color="auto"/>
              <w:right w:val="nil"/>
            </w:tcBorders>
            <w:shd w:val="clear" w:color="auto" w:fill="auto"/>
            <w:noWrap/>
            <w:vAlign w:val="center"/>
            <w:hideMark/>
          </w:tcPr>
          <w:p w14:paraId="6C741D20" w14:textId="77777777" w:rsidR="004664A9" w:rsidRDefault="004664A9" w:rsidP="00E55A7D">
            <w:pPr>
              <w:rPr>
                <w:color w:val="000000"/>
                <w:sz w:val="20"/>
                <w:szCs w:val="20"/>
              </w:rPr>
            </w:pPr>
            <w:r>
              <w:rPr>
                <w:color w:val="000000"/>
                <w:sz w:val="20"/>
                <w:szCs w:val="20"/>
              </w:rPr>
              <w:t>Task</w:t>
            </w:r>
          </w:p>
        </w:tc>
        <w:tc>
          <w:tcPr>
            <w:tcW w:w="1027" w:type="dxa"/>
            <w:tcBorders>
              <w:top w:val="single" w:sz="12" w:space="0" w:color="auto"/>
              <w:left w:val="nil"/>
              <w:bottom w:val="single" w:sz="12" w:space="0" w:color="auto"/>
              <w:right w:val="nil"/>
            </w:tcBorders>
            <w:shd w:val="clear" w:color="auto" w:fill="auto"/>
            <w:noWrap/>
            <w:vAlign w:val="center"/>
            <w:hideMark/>
          </w:tcPr>
          <w:p w14:paraId="3D8E4398" w14:textId="77777777" w:rsidR="004664A9" w:rsidRDefault="004664A9" w:rsidP="00E55A7D">
            <w:pPr>
              <w:rPr>
                <w:color w:val="000000"/>
                <w:sz w:val="20"/>
                <w:szCs w:val="20"/>
              </w:rPr>
            </w:pPr>
            <w:r>
              <w:rPr>
                <w:color w:val="000000"/>
                <w:sz w:val="20"/>
                <w:szCs w:val="20"/>
              </w:rPr>
              <w:t>Threshold</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15C3F883" w14:textId="77777777" w:rsidR="004664A9" w:rsidRDefault="004664A9" w:rsidP="00E55A7D">
            <w:pPr>
              <w:jc w:val="center"/>
              <w:rPr>
                <w:color w:val="000000"/>
                <w:sz w:val="20"/>
                <w:szCs w:val="20"/>
              </w:rPr>
            </w:pPr>
            <w:r>
              <w:rPr>
                <w:color w:val="000000"/>
                <w:sz w:val="20"/>
                <w:szCs w:val="20"/>
              </w:rPr>
              <w:t>General</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1A216859" w14:textId="77777777" w:rsidR="004664A9" w:rsidRDefault="004664A9" w:rsidP="00E55A7D">
            <w:pPr>
              <w:jc w:val="center"/>
              <w:rPr>
                <w:color w:val="000000"/>
                <w:sz w:val="20"/>
                <w:szCs w:val="20"/>
              </w:rPr>
            </w:pPr>
            <w:r>
              <w:rPr>
                <w:color w:val="000000"/>
                <w:sz w:val="20"/>
                <w:szCs w:val="20"/>
              </w:rPr>
              <w:t>Family Dynamics</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0EACDF00" w14:textId="77777777" w:rsidR="004664A9" w:rsidRDefault="004664A9" w:rsidP="00E55A7D">
            <w:pPr>
              <w:jc w:val="center"/>
              <w:rPr>
                <w:color w:val="000000"/>
                <w:sz w:val="20"/>
                <w:szCs w:val="20"/>
              </w:rPr>
            </w:pPr>
            <w:r>
              <w:rPr>
                <w:color w:val="000000"/>
                <w:sz w:val="20"/>
                <w:szCs w:val="20"/>
              </w:rPr>
              <w:t>Interpersonal Support</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18F3AD1D" w14:textId="77777777" w:rsidR="004664A9" w:rsidRDefault="004664A9" w:rsidP="00E55A7D">
            <w:pPr>
              <w:jc w:val="center"/>
              <w:rPr>
                <w:color w:val="000000"/>
                <w:sz w:val="20"/>
                <w:szCs w:val="20"/>
              </w:rPr>
            </w:pPr>
            <w:r>
              <w:rPr>
                <w:color w:val="000000"/>
                <w:sz w:val="20"/>
                <w:szCs w:val="20"/>
              </w:rPr>
              <w:t>Neighborhood SES</w:t>
            </w:r>
          </w:p>
        </w:tc>
        <w:tc>
          <w:tcPr>
            <w:tcW w:w="2460" w:type="dxa"/>
            <w:gridSpan w:val="3"/>
            <w:tcBorders>
              <w:top w:val="single" w:sz="12" w:space="0" w:color="auto"/>
              <w:left w:val="nil"/>
              <w:bottom w:val="single" w:sz="8" w:space="0" w:color="auto"/>
              <w:right w:val="nil"/>
            </w:tcBorders>
            <w:shd w:val="clear" w:color="auto" w:fill="auto"/>
            <w:noWrap/>
            <w:vAlign w:val="center"/>
            <w:hideMark/>
          </w:tcPr>
          <w:p w14:paraId="5744E828" w14:textId="77777777" w:rsidR="004664A9" w:rsidRDefault="004664A9" w:rsidP="00E55A7D">
            <w:pPr>
              <w:jc w:val="center"/>
              <w:rPr>
                <w:color w:val="000000"/>
                <w:sz w:val="20"/>
                <w:szCs w:val="20"/>
              </w:rPr>
            </w:pPr>
            <w:r>
              <w:rPr>
                <w:color w:val="000000"/>
                <w:sz w:val="20"/>
                <w:szCs w:val="20"/>
              </w:rPr>
              <w:t>Urbanicity</w:t>
            </w:r>
          </w:p>
        </w:tc>
      </w:tr>
      <w:tr w:rsidR="004664A9" w14:paraId="15AADFF7" w14:textId="77777777" w:rsidTr="00E55A7D">
        <w:trPr>
          <w:trHeight w:val="340"/>
        </w:trPr>
        <w:tc>
          <w:tcPr>
            <w:tcW w:w="1152" w:type="dxa"/>
            <w:tcBorders>
              <w:top w:val="single" w:sz="12" w:space="0" w:color="auto"/>
              <w:left w:val="nil"/>
              <w:bottom w:val="single" w:sz="12" w:space="0" w:color="auto"/>
              <w:right w:val="nil"/>
            </w:tcBorders>
            <w:shd w:val="clear" w:color="auto" w:fill="auto"/>
            <w:noWrap/>
            <w:vAlign w:val="center"/>
            <w:hideMark/>
          </w:tcPr>
          <w:p w14:paraId="3BC9F2A3" w14:textId="477D89E9" w:rsidR="004664A9" w:rsidRDefault="004664A9" w:rsidP="00E55A7D">
            <w:pPr>
              <w:jc w:val="center"/>
              <w:rPr>
                <w:color w:val="000000"/>
                <w:sz w:val="20"/>
                <w:szCs w:val="20"/>
              </w:rPr>
            </w:pPr>
          </w:p>
        </w:tc>
        <w:tc>
          <w:tcPr>
            <w:tcW w:w="1027" w:type="dxa"/>
            <w:tcBorders>
              <w:top w:val="single" w:sz="12" w:space="0" w:color="auto"/>
              <w:left w:val="nil"/>
              <w:bottom w:val="single" w:sz="12" w:space="0" w:color="auto"/>
              <w:right w:val="nil"/>
            </w:tcBorders>
            <w:shd w:val="clear" w:color="auto" w:fill="auto"/>
            <w:noWrap/>
            <w:vAlign w:val="center"/>
            <w:hideMark/>
          </w:tcPr>
          <w:p w14:paraId="4D6E352D" w14:textId="362093F9" w:rsidR="004664A9" w:rsidRDefault="004664A9" w:rsidP="00E55A7D">
            <w:pPr>
              <w:jc w:val="center"/>
              <w:rPr>
                <w:color w:val="000000"/>
                <w:sz w:val="20"/>
                <w:szCs w:val="20"/>
              </w:rPr>
            </w:pPr>
          </w:p>
        </w:tc>
        <w:tc>
          <w:tcPr>
            <w:tcW w:w="820" w:type="dxa"/>
            <w:tcBorders>
              <w:top w:val="single" w:sz="12" w:space="0" w:color="auto"/>
              <w:left w:val="nil"/>
              <w:bottom w:val="single" w:sz="12" w:space="0" w:color="auto"/>
              <w:right w:val="nil"/>
            </w:tcBorders>
            <w:shd w:val="clear" w:color="auto" w:fill="auto"/>
            <w:noWrap/>
            <w:vAlign w:val="center"/>
            <w:hideMark/>
          </w:tcPr>
          <w:p w14:paraId="17FAD0A6" w14:textId="77777777" w:rsidR="004664A9" w:rsidRDefault="004664A9" w:rsidP="00E55A7D">
            <w:pPr>
              <w:jc w:val="center"/>
              <w:rPr>
                <w:color w:val="000000"/>
                <w:sz w:val="20"/>
                <w:szCs w:val="20"/>
              </w:rPr>
            </w:pPr>
            <w:r>
              <w:rPr>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0C2326DB" w14:textId="77777777" w:rsidR="004664A9" w:rsidRDefault="004664A9" w:rsidP="00E55A7D">
            <w:pPr>
              <w:jc w:val="center"/>
              <w:rPr>
                <w:color w:val="000000"/>
                <w:sz w:val="20"/>
                <w:szCs w:val="20"/>
              </w:rPr>
            </w:pPr>
            <w:r>
              <w:rPr>
                <w:color w:val="000000"/>
                <w:sz w:val="20"/>
                <w:szCs w:val="20"/>
              </w:rPr>
              <w:t>pfdr</w:t>
            </w:r>
          </w:p>
        </w:tc>
        <w:tc>
          <w:tcPr>
            <w:tcW w:w="820" w:type="dxa"/>
            <w:tcBorders>
              <w:top w:val="single" w:sz="12" w:space="0" w:color="auto"/>
              <w:left w:val="nil"/>
              <w:bottom w:val="single" w:sz="12" w:space="0" w:color="auto"/>
              <w:right w:val="nil"/>
            </w:tcBorders>
            <w:shd w:val="clear" w:color="auto" w:fill="auto"/>
            <w:noWrap/>
            <w:vAlign w:val="center"/>
            <w:hideMark/>
          </w:tcPr>
          <w:p w14:paraId="3B965C07" w14:textId="77777777" w:rsidR="004664A9" w:rsidRDefault="004664A9" w:rsidP="00E55A7D">
            <w:pPr>
              <w:jc w:val="center"/>
              <w:rPr>
                <w:color w:val="000000"/>
                <w:sz w:val="20"/>
                <w:szCs w:val="20"/>
              </w:rPr>
            </w:pPr>
            <w:r>
              <w:rPr>
                <w:color w:val="000000"/>
                <w:sz w:val="20"/>
                <w:szCs w:val="20"/>
              </w:rPr>
              <w:t>R2</w:t>
            </w:r>
          </w:p>
        </w:tc>
        <w:tc>
          <w:tcPr>
            <w:tcW w:w="820" w:type="dxa"/>
            <w:tcBorders>
              <w:top w:val="single" w:sz="12" w:space="0" w:color="auto"/>
              <w:left w:val="nil"/>
              <w:bottom w:val="single" w:sz="12" w:space="0" w:color="auto"/>
              <w:right w:val="nil"/>
            </w:tcBorders>
            <w:shd w:val="clear" w:color="auto" w:fill="auto"/>
            <w:noWrap/>
            <w:vAlign w:val="center"/>
            <w:hideMark/>
          </w:tcPr>
          <w:p w14:paraId="1255426D" w14:textId="77777777" w:rsidR="004664A9" w:rsidRDefault="004664A9" w:rsidP="00E55A7D">
            <w:pPr>
              <w:jc w:val="center"/>
              <w:rPr>
                <w:color w:val="000000"/>
                <w:sz w:val="20"/>
                <w:szCs w:val="20"/>
              </w:rPr>
            </w:pPr>
            <w:r>
              <w:rPr>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6BE206D1" w14:textId="77777777" w:rsidR="004664A9" w:rsidRDefault="004664A9" w:rsidP="00E55A7D">
            <w:pPr>
              <w:jc w:val="center"/>
              <w:rPr>
                <w:color w:val="000000"/>
                <w:sz w:val="20"/>
                <w:szCs w:val="20"/>
              </w:rPr>
            </w:pPr>
            <w:r>
              <w:rPr>
                <w:color w:val="000000"/>
                <w:sz w:val="20"/>
                <w:szCs w:val="20"/>
              </w:rPr>
              <w:t>pfdr</w:t>
            </w:r>
          </w:p>
        </w:tc>
        <w:tc>
          <w:tcPr>
            <w:tcW w:w="820" w:type="dxa"/>
            <w:tcBorders>
              <w:top w:val="nil"/>
              <w:left w:val="nil"/>
              <w:bottom w:val="single" w:sz="12" w:space="0" w:color="auto"/>
              <w:right w:val="nil"/>
            </w:tcBorders>
            <w:shd w:val="clear" w:color="auto" w:fill="auto"/>
            <w:noWrap/>
            <w:vAlign w:val="center"/>
            <w:hideMark/>
          </w:tcPr>
          <w:p w14:paraId="592C7B1B" w14:textId="77777777" w:rsidR="004664A9" w:rsidRDefault="004664A9" w:rsidP="00E55A7D">
            <w:pPr>
              <w:jc w:val="center"/>
              <w:rPr>
                <w:color w:val="000000"/>
                <w:sz w:val="20"/>
                <w:szCs w:val="20"/>
              </w:rPr>
            </w:pPr>
            <w:r>
              <w:rPr>
                <w:color w:val="000000"/>
                <w:sz w:val="20"/>
                <w:szCs w:val="20"/>
              </w:rPr>
              <w:t>R2</w:t>
            </w:r>
          </w:p>
        </w:tc>
        <w:tc>
          <w:tcPr>
            <w:tcW w:w="820" w:type="dxa"/>
            <w:tcBorders>
              <w:top w:val="nil"/>
              <w:left w:val="nil"/>
              <w:bottom w:val="single" w:sz="12" w:space="0" w:color="auto"/>
              <w:right w:val="nil"/>
            </w:tcBorders>
            <w:shd w:val="clear" w:color="auto" w:fill="auto"/>
            <w:noWrap/>
            <w:vAlign w:val="center"/>
            <w:hideMark/>
          </w:tcPr>
          <w:p w14:paraId="1A7BAC54" w14:textId="77777777" w:rsidR="004664A9" w:rsidRDefault="004664A9" w:rsidP="00E55A7D">
            <w:pPr>
              <w:jc w:val="center"/>
              <w:rPr>
                <w:color w:val="000000"/>
                <w:sz w:val="20"/>
                <w:szCs w:val="20"/>
              </w:rPr>
            </w:pPr>
            <w:r>
              <w:rPr>
                <w:color w:val="000000"/>
                <w:sz w:val="20"/>
                <w:szCs w:val="20"/>
              </w:rPr>
              <w:t>β</w:t>
            </w:r>
          </w:p>
        </w:tc>
        <w:tc>
          <w:tcPr>
            <w:tcW w:w="820" w:type="dxa"/>
            <w:tcBorders>
              <w:top w:val="nil"/>
              <w:left w:val="nil"/>
              <w:bottom w:val="single" w:sz="12" w:space="0" w:color="auto"/>
              <w:right w:val="nil"/>
            </w:tcBorders>
            <w:shd w:val="clear" w:color="auto" w:fill="auto"/>
            <w:noWrap/>
            <w:vAlign w:val="center"/>
            <w:hideMark/>
          </w:tcPr>
          <w:p w14:paraId="158ECD1D" w14:textId="77777777" w:rsidR="004664A9" w:rsidRDefault="004664A9" w:rsidP="00E55A7D">
            <w:pPr>
              <w:jc w:val="center"/>
              <w:rPr>
                <w:color w:val="000000"/>
                <w:sz w:val="20"/>
                <w:szCs w:val="20"/>
              </w:rPr>
            </w:pPr>
            <w:r>
              <w:rPr>
                <w:color w:val="000000"/>
                <w:sz w:val="20"/>
                <w:szCs w:val="20"/>
              </w:rPr>
              <w:t>pfdr</w:t>
            </w:r>
          </w:p>
        </w:tc>
        <w:tc>
          <w:tcPr>
            <w:tcW w:w="820" w:type="dxa"/>
            <w:tcBorders>
              <w:top w:val="nil"/>
              <w:left w:val="nil"/>
              <w:bottom w:val="single" w:sz="12" w:space="0" w:color="auto"/>
              <w:right w:val="nil"/>
            </w:tcBorders>
            <w:shd w:val="clear" w:color="auto" w:fill="auto"/>
            <w:noWrap/>
            <w:vAlign w:val="center"/>
            <w:hideMark/>
          </w:tcPr>
          <w:p w14:paraId="225F86A9" w14:textId="77777777" w:rsidR="004664A9" w:rsidRDefault="004664A9" w:rsidP="00E55A7D">
            <w:pPr>
              <w:jc w:val="center"/>
              <w:rPr>
                <w:color w:val="000000"/>
                <w:sz w:val="20"/>
                <w:szCs w:val="20"/>
              </w:rPr>
            </w:pPr>
            <w:r>
              <w:rPr>
                <w:color w:val="000000"/>
                <w:sz w:val="20"/>
                <w:szCs w:val="20"/>
              </w:rPr>
              <w:t>R2</w:t>
            </w:r>
          </w:p>
        </w:tc>
        <w:tc>
          <w:tcPr>
            <w:tcW w:w="820" w:type="dxa"/>
            <w:tcBorders>
              <w:top w:val="nil"/>
              <w:left w:val="nil"/>
              <w:bottom w:val="single" w:sz="12" w:space="0" w:color="auto"/>
              <w:right w:val="nil"/>
            </w:tcBorders>
            <w:shd w:val="clear" w:color="auto" w:fill="auto"/>
            <w:noWrap/>
            <w:vAlign w:val="center"/>
            <w:hideMark/>
          </w:tcPr>
          <w:p w14:paraId="45BDD2EB" w14:textId="77777777" w:rsidR="004664A9" w:rsidRDefault="004664A9" w:rsidP="00E55A7D">
            <w:pPr>
              <w:jc w:val="center"/>
              <w:rPr>
                <w:color w:val="000000"/>
                <w:sz w:val="20"/>
                <w:szCs w:val="20"/>
              </w:rPr>
            </w:pPr>
            <w:r>
              <w:rPr>
                <w:color w:val="000000"/>
                <w:sz w:val="20"/>
                <w:szCs w:val="20"/>
              </w:rPr>
              <w:t>β</w:t>
            </w:r>
          </w:p>
        </w:tc>
        <w:tc>
          <w:tcPr>
            <w:tcW w:w="820" w:type="dxa"/>
            <w:tcBorders>
              <w:top w:val="nil"/>
              <w:left w:val="nil"/>
              <w:bottom w:val="single" w:sz="12" w:space="0" w:color="auto"/>
              <w:right w:val="nil"/>
            </w:tcBorders>
            <w:shd w:val="clear" w:color="auto" w:fill="auto"/>
            <w:noWrap/>
            <w:vAlign w:val="center"/>
            <w:hideMark/>
          </w:tcPr>
          <w:p w14:paraId="1E514CD4" w14:textId="77777777" w:rsidR="004664A9" w:rsidRDefault="004664A9" w:rsidP="00E55A7D">
            <w:pPr>
              <w:jc w:val="center"/>
              <w:rPr>
                <w:color w:val="000000"/>
                <w:sz w:val="20"/>
                <w:szCs w:val="20"/>
              </w:rPr>
            </w:pPr>
            <w:r>
              <w:rPr>
                <w:color w:val="000000"/>
                <w:sz w:val="20"/>
                <w:szCs w:val="20"/>
              </w:rPr>
              <w:t>pfdr</w:t>
            </w:r>
          </w:p>
        </w:tc>
        <w:tc>
          <w:tcPr>
            <w:tcW w:w="820" w:type="dxa"/>
            <w:tcBorders>
              <w:top w:val="nil"/>
              <w:left w:val="nil"/>
              <w:bottom w:val="single" w:sz="12" w:space="0" w:color="auto"/>
              <w:right w:val="nil"/>
            </w:tcBorders>
            <w:shd w:val="clear" w:color="auto" w:fill="auto"/>
            <w:noWrap/>
            <w:vAlign w:val="center"/>
            <w:hideMark/>
          </w:tcPr>
          <w:p w14:paraId="2FFD111F" w14:textId="77777777" w:rsidR="004664A9" w:rsidRDefault="004664A9" w:rsidP="00E55A7D">
            <w:pPr>
              <w:jc w:val="center"/>
              <w:rPr>
                <w:color w:val="000000"/>
                <w:sz w:val="20"/>
                <w:szCs w:val="20"/>
              </w:rPr>
            </w:pPr>
            <w:r>
              <w:rPr>
                <w:color w:val="000000"/>
                <w:sz w:val="20"/>
                <w:szCs w:val="20"/>
              </w:rPr>
              <w:t>R2</w:t>
            </w:r>
          </w:p>
        </w:tc>
        <w:tc>
          <w:tcPr>
            <w:tcW w:w="820" w:type="dxa"/>
            <w:tcBorders>
              <w:top w:val="nil"/>
              <w:left w:val="nil"/>
              <w:bottom w:val="single" w:sz="12" w:space="0" w:color="auto"/>
              <w:right w:val="nil"/>
            </w:tcBorders>
            <w:shd w:val="clear" w:color="auto" w:fill="auto"/>
            <w:noWrap/>
            <w:vAlign w:val="center"/>
            <w:hideMark/>
          </w:tcPr>
          <w:p w14:paraId="1A869D44" w14:textId="77777777" w:rsidR="004664A9" w:rsidRDefault="004664A9" w:rsidP="00E55A7D">
            <w:pPr>
              <w:jc w:val="center"/>
              <w:rPr>
                <w:color w:val="000000"/>
                <w:sz w:val="20"/>
                <w:szCs w:val="20"/>
              </w:rPr>
            </w:pPr>
            <w:r>
              <w:rPr>
                <w:color w:val="000000"/>
                <w:sz w:val="20"/>
                <w:szCs w:val="20"/>
              </w:rPr>
              <w:t>β</w:t>
            </w:r>
          </w:p>
        </w:tc>
        <w:tc>
          <w:tcPr>
            <w:tcW w:w="820" w:type="dxa"/>
            <w:tcBorders>
              <w:top w:val="nil"/>
              <w:left w:val="nil"/>
              <w:bottom w:val="single" w:sz="12" w:space="0" w:color="auto"/>
              <w:right w:val="nil"/>
            </w:tcBorders>
            <w:shd w:val="clear" w:color="auto" w:fill="auto"/>
            <w:noWrap/>
            <w:vAlign w:val="center"/>
            <w:hideMark/>
          </w:tcPr>
          <w:p w14:paraId="394C0CB9" w14:textId="77777777" w:rsidR="004664A9" w:rsidRDefault="004664A9" w:rsidP="00E55A7D">
            <w:pPr>
              <w:jc w:val="center"/>
              <w:rPr>
                <w:color w:val="000000"/>
                <w:sz w:val="20"/>
                <w:szCs w:val="20"/>
              </w:rPr>
            </w:pPr>
            <w:r>
              <w:rPr>
                <w:color w:val="000000"/>
                <w:sz w:val="20"/>
                <w:szCs w:val="20"/>
              </w:rPr>
              <w:t>pfdr</w:t>
            </w:r>
          </w:p>
        </w:tc>
        <w:tc>
          <w:tcPr>
            <w:tcW w:w="820" w:type="dxa"/>
            <w:tcBorders>
              <w:top w:val="nil"/>
              <w:left w:val="nil"/>
              <w:bottom w:val="single" w:sz="12" w:space="0" w:color="auto"/>
              <w:right w:val="nil"/>
            </w:tcBorders>
            <w:shd w:val="clear" w:color="auto" w:fill="auto"/>
            <w:noWrap/>
            <w:vAlign w:val="center"/>
            <w:hideMark/>
          </w:tcPr>
          <w:p w14:paraId="3590F8F0" w14:textId="77777777" w:rsidR="004664A9" w:rsidRDefault="004664A9" w:rsidP="00E55A7D">
            <w:pPr>
              <w:jc w:val="center"/>
              <w:rPr>
                <w:color w:val="000000"/>
                <w:sz w:val="20"/>
                <w:szCs w:val="20"/>
              </w:rPr>
            </w:pPr>
            <w:r>
              <w:rPr>
                <w:color w:val="000000"/>
                <w:sz w:val="20"/>
                <w:szCs w:val="20"/>
              </w:rPr>
              <w:t>R2</w:t>
            </w:r>
          </w:p>
        </w:tc>
      </w:tr>
      <w:tr w:rsidR="004664A9" w14:paraId="64870D12" w14:textId="77777777" w:rsidTr="00E55A7D">
        <w:trPr>
          <w:trHeight w:val="320"/>
        </w:trPr>
        <w:tc>
          <w:tcPr>
            <w:tcW w:w="1152" w:type="dxa"/>
            <w:tcBorders>
              <w:top w:val="single" w:sz="12" w:space="0" w:color="auto"/>
              <w:left w:val="nil"/>
              <w:bottom w:val="nil"/>
              <w:right w:val="nil"/>
            </w:tcBorders>
            <w:shd w:val="clear" w:color="auto" w:fill="auto"/>
            <w:noWrap/>
            <w:vAlign w:val="bottom"/>
            <w:hideMark/>
          </w:tcPr>
          <w:p w14:paraId="575EB2DD" w14:textId="77777777" w:rsidR="004664A9" w:rsidRDefault="004664A9">
            <w:pPr>
              <w:rPr>
                <w:color w:val="000000"/>
                <w:sz w:val="20"/>
                <w:szCs w:val="20"/>
              </w:rPr>
            </w:pPr>
            <w:r>
              <w:rPr>
                <w:color w:val="000000"/>
                <w:sz w:val="20"/>
                <w:szCs w:val="20"/>
              </w:rPr>
              <w:t>Rest</w:t>
            </w:r>
          </w:p>
        </w:tc>
        <w:tc>
          <w:tcPr>
            <w:tcW w:w="1027" w:type="dxa"/>
            <w:tcBorders>
              <w:top w:val="single" w:sz="12" w:space="0" w:color="auto"/>
              <w:left w:val="nil"/>
              <w:bottom w:val="nil"/>
              <w:right w:val="nil"/>
            </w:tcBorders>
            <w:shd w:val="clear" w:color="auto" w:fill="auto"/>
            <w:noWrap/>
            <w:vAlign w:val="bottom"/>
            <w:hideMark/>
          </w:tcPr>
          <w:p w14:paraId="6700A199" w14:textId="77777777" w:rsidR="004664A9" w:rsidRDefault="004664A9">
            <w:pPr>
              <w:rPr>
                <w:color w:val="000000"/>
                <w:sz w:val="20"/>
                <w:szCs w:val="20"/>
              </w:rPr>
            </w:pPr>
            <w:r>
              <w:rPr>
                <w:color w:val="000000"/>
                <w:sz w:val="20"/>
                <w:szCs w:val="20"/>
              </w:rPr>
              <w:t>10%</w:t>
            </w:r>
          </w:p>
        </w:tc>
        <w:tc>
          <w:tcPr>
            <w:tcW w:w="820" w:type="dxa"/>
            <w:tcBorders>
              <w:top w:val="single" w:sz="12" w:space="0" w:color="auto"/>
              <w:left w:val="nil"/>
              <w:bottom w:val="nil"/>
              <w:right w:val="nil"/>
            </w:tcBorders>
            <w:shd w:val="clear" w:color="auto" w:fill="auto"/>
            <w:noWrap/>
            <w:vAlign w:val="bottom"/>
            <w:hideMark/>
          </w:tcPr>
          <w:p w14:paraId="1E445834" w14:textId="77777777" w:rsidR="004664A9" w:rsidRDefault="004664A9">
            <w:pPr>
              <w:jc w:val="right"/>
              <w:rPr>
                <w:b/>
                <w:bCs/>
                <w:color w:val="000000"/>
                <w:sz w:val="20"/>
                <w:szCs w:val="20"/>
              </w:rPr>
            </w:pPr>
            <w:r>
              <w:rPr>
                <w:b/>
                <w:bCs/>
                <w:color w:val="000000"/>
                <w:sz w:val="20"/>
                <w:szCs w:val="20"/>
              </w:rPr>
              <w:t>-0.057</w:t>
            </w:r>
          </w:p>
        </w:tc>
        <w:tc>
          <w:tcPr>
            <w:tcW w:w="820" w:type="dxa"/>
            <w:tcBorders>
              <w:top w:val="single" w:sz="12" w:space="0" w:color="auto"/>
              <w:left w:val="nil"/>
              <w:bottom w:val="nil"/>
              <w:right w:val="nil"/>
            </w:tcBorders>
            <w:shd w:val="clear" w:color="auto" w:fill="auto"/>
            <w:noWrap/>
            <w:vAlign w:val="bottom"/>
            <w:hideMark/>
          </w:tcPr>
          <w:p w14:paraId="3EF892C4" w14:textId="77777777" w:rsidR="004664A9" w:rsidRDefault="004664A9">
            <w:pPr>
              <w:jc w:val="right"/>
              <w:rPr>
                <w:b/>
                <w:bCs/>
                <w:color w:val="000000"/>
                <w:sz w:val="20"/>
                <w:szCs w:val="20"/>
              </w:rPr>
            </w:pPr>
            <w:r>
              <w:rPr>
                <w:b/>
                <w:bCs/>
                <w:color w:val="000000"/>
                <w:sz w:val="20"/>
                <w:szCs w:val="20"/>
              </w:rPr>
              <w:t>0.006</w:t>
            </w:r>
          </w:p>
        </w:tc>
        <w:tc>
          <w:tcPr>
            <w:tcW w:w="820" w:type="dxa"/>
            <w:tcBorders>
              <w:top w:val="single" w:sz="12" w:space="0" w:color="auto"/>
              <w:left w:val="nil"/>
              <w:bottom w:val="nil"/>
              <w:right w:val="nil"/>
            </w:tcBorders>
            <w:shd w:val="clear" w:color="auto" w:fill="auto"/>
            <w:noWrap/>
            <w:vAlign w:val="bottom"/>
            <w:hideMark/>
          </w:tcPr>
          <w:p w14:paraId="612334CE" w14:textId="77777777" w:rsidR="004664A9" w:rsidRDefault="004664A9">
            <w:pPr>
              <w:jc w:val="right"/>
              <w:rPr>
                <w:b/>
                <w:bCs/>
                <w:color w:val="000000"/>
                <w:sz w:val="20"/>
                <w:szCs w:val="20"/>
              </w:rPr>
            </w:pPr>
            <w:r>
              <w:rPr>
                <w:b/>
                <w:bCs/>
                <w:color w:val="000000"/>
                <w:sz w:val="20"/>
                <w:szCs w:val="20"/>
              </w:rPr>
              <w:t>0.003</w:t>
            </w:r>
          </w:p>
        </w:tc>
        <w:tc>
          <w:tcPr>
            <w:tcW w:w="820" w:type="dxa"/>
            <w:tcBorders>
              <w:top w:val="single" w:sz="12" w:space="0" w:color="auto"/>
              <w:left w:val="nil"/>
              <w:bottom w:val="nil"/>
              <w:right w:val="nil"/>
            </w:tcBorders>
            <w:shd w:val="clear" w:color="auto" w:fill="auto"/>
            <w:noWrap/>
            <w:vAlign w:val="bottom"/>
            <w:hideMark/>
          </w:tcPr>
          <w:p w14:paraId="1EADA73E" w14:textId="77777777" w:rsidR="004664A9" w:rsidRDefault="004664A9">
            <w:pPr>
              <w:jc w:val="right"/>
              <w:rPr>
                <w:color w:val="000000"/>
                <w:sz w:val="20"/>
                <w:szCs w:val="20"/>
              </w:rPr>
            </w:pPr>
            <w:r>
              <w:rPr>
                <w:color w:val="000000"/>
                <w:sz w:val="20"/>
                <w:szCs w:val="20"/>
              </w:rPr>
              <w:t>-0.020</w:t>
            </w:r>
          </w:p>
        </w:tc>
        <w:tc>
          <w:tcPr>
            <w:tcW w:w="820" w:type="dxa"/>
            <w:tcBorders>
              <w:top w:val="single" w:sz="12" w:space="0" w:color="auto"/>
              <w:left w:val="nil"/>
              <w:bottom w:val="nil"/>
              <w:right w:val="nil"/>
            </w:tcBorders>
            <w:shd w:val="clear" w:color="auto" w:fill="auto"/>
            <w:noWrap/>
            <w:vAlign w:val="bottom"/>
            <w:hideMark/>
          </w:tcPr>
          <w:p w14:paraId="06F5B84A" w14:textId="77777777" w:rsidR="004664A9" w:rsidRDefault="004664A9">
            <w:pPr>
              <w:jc w:val="right"/>
              <w:rPr>
                <w:color w:val="000000"/>
                <w:sz w:val="20"/>
                <w:szCs w:val="20"/>
              </w:rPr>
            </w:pPr>
            <w:r>
              <w:rPr>
                <w:color w:val="000000"/>
                <w:sz w:val="20"/>
                <w:szCs w:val="20"/>
              </w:rPr>
              <w:t>0.357</w:t>
            </w:r>
          </w:p>
        </w:tc>
        <w:tc>
          <w:tcPr>
            <w:tcW w:w="820" w:type="dxa"/>
            <w:tcBorders>
              <w:top w:val="single" w:sz="12" w:space="0" w:color="auto"/>
              <w:left w:val="nil"/>
              <w:bottom w:val="nil"/>
              <w:right w:val="nil"/>
            </w:tcBorders>
            <w:shd w:val="clear" w:color="auto" w:fill="auto"/>
            <w:noWrap/>
            <w:vAlign w:val="bottom"/>
            <w:hideMark/>
          </w:tcPr>
          <w:p w14:paraId="1BAB9C4B" w14:textId="77777777" w:rsidR="004664A9" w:rsidRDefault="004664A9">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21979F92" w14:textId="77777777" w:rsidR="004664A9" w:rsidRDefault="004664A9">
            <w:pPr>
              <w:jc w:val="right"/>
              <w:rPr>
                <w:color w:val="000000"/>
                <w:sz w:val="20"/>
                <w:szCs w:val="20"/>
              </w:rPr>
            </w:pPr>
            <w:r>
              <w:rPr>
                <w:color w:val="000000"/>
                <w:sz w:val="20"/>
                <w:szCs w:val="20"/>
              </w:rPr>
              <w:t>-0.011</w:t>
            </w:r>
          </w:p>
        </w:tc>
        <w:tc>
          <w:tcPr>
            <w:tcW w:w="820" w:type="dxa"/>
            <w:tcBorders>
              <w:top w:val="single" w:sz="12" w:space="0" w:color="auto"/>
              <w:left w:val="nil"/>
              <w:bottom w:val="nil"/>
              <w:right w:val="nil"/>
            </w:tcBorders>
            <w:shd w:val="clear" w:color="auto" w:fill="auto"/>
            <w:noWrap/>
            <w:vAlign w:val="bottom"/>
            <w:hideMark/>
          </w:tcPr>
          <w:p w14:paraId="50D171F7" w14:textId="77777777" w:rsidR="004664A9" w:rsidRDefault="004664A9">
            <w:pPr>
              <w:jc w:val="right"/>
              <w:rPr>
                <w:color w:val="000000"/>
                <w:sz w:val="20"/>
                <w:szCs w:val="20"/>
              </w:rPr>
            </w:pPr>
            <w:r>
              <w:rPr>
                <w:color w:val="000000"/>
                <w:sz w:val="20"/>
                <w:szCs w:val="20"/>
              </w:rPr>
              <w:t>0.892</w:t>
            </w:r>
          </w:p>
        </w:tc>
        <w:tc>
          <w:tcPr>
            <w:tcW w:w="820" w:type="dxa"/>
            <w:tcBorders>
              <w:top w:val="single" w:sz="12" w:space="0" w:color="auto"/>
              <w:left w:val="nil"/>
              <w:bottom w:val="nil"/>
              <w:right w:val="nil"/>
            </w:tcBorders>
            <w:shd w:val="clear" w:color="auto" w:fill="auto"/>
            <w:noWrap/>
            <w:vAlign w:val="bottom"/>
            <w:hideMark/>
          </w:tcPr>
          <w:p w14:paraId="0E0DE6FA" w14:textId="77777777" w:rsidR="004664A9" w:rsidRDefault="004664A9">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4662BAEB" w14:textId="77777777" w:rsidR="004664A9" w:rsidRDefault="004664A9">
            <w:pPr>
              <w:jc w:val="right"/>
              <w:rPr>
                <w:color w:val="000000"/>
                <w:sz w:val="20"/>
                <w:szCs w:val="20"/>
              </w:rPr>
            </w:pPr>
            <w:r>
              <w:rPr>
                <w:color w:val="000000"/>
                <w:sz w:val="20"/>
                <w:szCs w:val="20"/>
              </w:rPr>
              <w:t>0.023</w:t>
            </w:r>
          </w:p>
        </w:tc>
        <w:tc>
          <w:tcPr>
            <w:tcW w:w="820" w:type="dxa"/>
            <w:tcBorders>
              <w:top w:val="single" w:sz="12" w:space="0" w:color="auto"/>
              <w:left w:val="nil"/>
              <w:bottom w:val="nil"/>
              <w:right w:val="nil"/>
            </w:tcBorders>
            <w:shd w:val="clear" w:color="auto" w:fill="auto"/>
            <w:noWrap/>
            <w:vAlign w:val="bottom"/>
            <w:hideMark/>
          </w:tcPr>
          <w:p w14:paraId="54A9A8C1" w14:textId="77777777" w:rsidR="004664A9" w:rsidRDefault="004664A9">
            <w:pPr>
              <w:jc w:val="right"/>
              <w:rPr>
                <w:color w:val="000000"/>
                <w:sz w:val="20"/>
                <w:szCs w:val="20"/>
              </w:rPr>
            </w:pPr>
            <w:r>
              <w:rPr>
                <w:color w:val="000000"/>
                <w:sz w:val="20"/>
                <w:szCs w:val="20"/>
              </w:rPr>
              <w:t>0.260</w:t>
            </w:r>
          </w:p>
        </w:tc>
        <w:tc>
          <w:tcPr>
            <w:tcW w:w="820" w:type="dxa"/>
            <w:tcBorders>
              <w:top w:val="single" w:sz="12" w:space="0" w:color="auto"/>
              <w:left w:val="nil"/>
              <w:bottom w:val="nil"/>
              <w:right w:val="nil"/>
            </w:tcBorders>
            <w:shd w:val="clear" w:color="auto" w:fill="auto"/>
            <w:noWrap/>
            <w:vAlign w:val="bottom"/>
            <w:hideMark/>
          </w:tcPr>
          <w:p w14:paraId="0BBBD6B9" w14:textId="77777777" w:rsidR="004664A9" w:rsidRDefault="004664A9">
            <w:pPr>
              <w:jc w:val="right"/>
              <w:rPr>
                <w:color w:val="000000"/>
                <w:sz w:val="20"/>
                <w:szCs w:val="20"/>
              </w:rPr>
            </w:pPr>
            <w:r>
              <w:rPr>
                <w:color w:val="000000"/>
                <w:sz w:val="20"/>
                <w:szCs w:val="20"/>
              </w:rPr>
              <w:t>0.001</w:t>
            </w:r>
          </w:p>
        </w:tc>
        <w:tc>
          <w:tcPr>
            <w:tcW w:w="820" w:type="dxa"/>
            <w:tcBorders>
              <w:top w:val="single" w:sz="12" w:space="0" w:color="auto"/>
              <w:left w:val="nil"/>
              <w:bottom w:val="nil"/>
              <w:right w:val="nil"/>
            </w:tcBorders>
            <w:shd w:val="clear" w:color="auto" w:fill="auto"/>
            <w:noWrap/>
            <w:vAlign w:val="bottom"/>
            <w:hideMark/>
          </w:tcPr>
          <w:p w14:paraId="40292C2F" w14:textId="77777777" w:rsidR="004664A9" w:rsidRDefault="004664A9">
            <w:pPr>
              <w:jc w:val="right"/>
              <w:rPr>
                <w:b/>
                <w:bCs/>
                <w:color w:val="000000"/>
                <w:sz w:val="20"/>
                <w:szCs w:val="20"/>
              </w:rPr>
            </w:pPr>
            <w:r>
              <w:rPr>
                <w:b/>
                <w:bCs/>
                <w:color w:val="000000"/>
                <w:sz w:val="20"/>
                <w:szCs w:val="20"/>
              </w:rPr>
              <w:t>-0.066</w:t>
            </w:r>
          </w:p>
        </w:tc>
        <w:tc>
          <w:tcPr>
            <w:tcW w:w="820" w:type="dxa"/>
            <w:tcBorders>
              <w:top w:val="single" w:sz="12" w:space="0" w:color="auto"/>
              <w:left w:val="nil"/>
              <w:bottom w:val="nil"/>
              <w:right w:val="nil"/>
            </w:tcBorders>
            <w:shd w:val="clear" w:color="auto" w:fill="auto"/>
            <w:noWrap/>
            <w:vAlign w:val="bottom"/>
            <w:hideMark/>
          </w:tcPr>
          <w:p w14:paraId="0690CAAA" w14:textId="77777777" w:rsidR="004664A9" w:rsidRDefault="004664A9">
            <w:pPr>
              <w:jc w:val="right"/>
              <w:rPr>
                <w:b/>
                <w:bCs/>
                <w:color w:val="000000"/>
                <w:sz w:val="20"/>
                <w:szCs w:val="20"/>
              </w:rPr>
            </w:pPr>
            <w:r>
              <w:rPr>
                <w:b/>
                <w:bCs/>
                <w:color w:val="000000"/>
                <w:sz w:val="20"/>
                <w:szCs w:val="20"/>
              </w:rPr>
              <w:t>0.006</w:t>
            </w:r>
          </w:p>
        </w:tc>
        <w:tc>
          <w:tcPr>
            <w:tcW w:w="820" w:type="dxa"/>
            <w:tcBorders>
              <w:top w:val="single" w:sz="12" w:space="0" w:color="auto"/>
              <w:left w:val="nil"/>
              <w:bottom w:val="nil"/>
              <w:right w:val="nil"/>
            </w:tcBorders>
            <w:shd w:val="clear" w:color="auto" w:fill="auto"/>
            <w:noWrap/>
            <w:vAlign w:val="bottom"/>
            <w:hideMark/>
          </w:tcPr>
          <w:p w14:paraId="7BBB8916" w14:textId="77777777" w:rsidR="004664A9" w:rsidRDefault="004664A9">
            <w:pPr>
              <w:jc w:val="right"/>
              <w:rPr>
                <w:b/>
                <w:bCs/>
                <w:color w:val="000000"/>
                <w:sz w:val="20"/>
                <w:szCs w:val="20"/>
              </w:rPr>
            </w:pPr>
            <w:r>
              <w:rPr>
                <w:b/>
                <w:bCs/>
                <w:color w:val="000000"/>
                <w:sz w:val="20"/>
                <w:szCs w:val="20"/>
              </w:rPr>
              <w:t>0.004</w:t>
            </w:r>
          </w:p>
        </w:tc>
      </w:tr>
      <w:tr w:rsidR="004664A9" w14:paraId="2098DDF1" w14:textId="77777777" w:rsidTr="00E55A7D">
        <w:trPr>
          <w:trHeight w:val="320"/>
        </w:trPr>
        <w:tc>
          <w:tcPr>
            <w:tcW w:w="1152" w:type="dxa"/>
            <w:tcBorders>
              <w:top w:val="nil"/>
              <w:left w:val="nil"/>
              <w:bottom w:val="nil"/>
              <w:right w:val="nil"/>
            </w:tcBorders>
            <w:shd w:val="clear" w:color="auto" w:fill="auto"/>
            <w:noWrap/>
            <w:vAlign w:val="bottom"/>
            <w:hideMark/>
          </w:tcPr>
          <w:p w14:paraId="2C0D63F3" w14:textId="77777777" w:rsidR="004664A9" w:rsidRDefault="004664A9">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18C03726" w14:textId="77777777" w:rsidR="004664A9" w:rsidRDefault="004664A9">
            <w:pPr>
              <w:rPr>
                <w:color w:val="000000"/>
                <w:sz w:val="20"/>
                <w:szCs w:val="20"/>
              </w:rPr>
            </w:pPr>
            <w:r>
              <w:rPr>
                <w:color w:val="000000"/>
                <w:sz w:val="20"/>
                <w:szCs w:val="20"/>
              </w:rPr>
              <w:t>17%</w:t>
            </w:r>
          </w:p>
        </w:tc>
        <w:tc>
          <w:tcPr>
            <w:tcW w:w="820" w:type="dxa"/>
            <w:tcBorders>
              <w:top w:val="nil"/>
              <w:left w:val="nil"/>
              <w:bottom w:val="nil"/>
              <w:right w:val="nil"/>
            </w:tcBorders>
            <w:shd w:val="clear" w:color="auto" w:fill="auto"/>
            <w:noWrap/>
            <w:vAlign w:val="bottom"/>
            <w:hideMark/>
          </w:tcPr>
          <w:p w14:paraId="2110666D" w14:textId="77777777" w:rsidR="004664A9" w:rsidRDefault="004664A9">
            <w:pPr>
              <w:jc w:val="right"/>
              <w:rPr>
                <w:b/>
                <w:bCs/>
                <w:color w:val="000000"/>
                <w:sz w:val="20"/>
                <w:szCs w:val="20"/>
              </w:rPr>
            </w:pPr>
            <w:r>
              <w:rPr>
                <w:b/>
                <w:bCs/>
                <w:color w:val="000000"/>
                <w:sz w:val="20"/>
                <w:szCs w:val="20"/>
              </w:rPr>
              <w:t>-0.061</w:t>
            </w:r>
          </w:p>
        </w:tc>
        <w:tc>
          <w:tcPr>
            <w:tcW w:w="820" w:type="dxa"/>
            <w:tcBorders>
              <w:top w:val="nil"/>
              <w:left w:val="nil"/>
              <w:bottom w:val="nil"/>
              <w:right w:val="nil"/>
            </w:tcBorders>
            <w:shd w:val="clear" w:color="auto" w:fill="auto"/>
            <w:noWrap/>
            <w:vAlign w:val="bottom"/>
            <w:hideMark/>
          </w:tcPr>
          <w:p w14:paraId="0D36313A" w14:textId="77777777" w:rsidR="004664A9" w:rsidRDefault="004664A9">
            <w:pPr>
              <w:jc w:val="right"/>
              <w:rPr>
                <w:b/>
                <w:bCs/>
                <w:color w:val="000000"/>
                <w:sz w:val="20"/>
                <w:szCs w:val="20"/>
              </w:rPr>
            </w:pPr>
            <w:r>
              <w:rPr>
                <w:b/>
                <w:bCs/>
                <w:color w:val="000000"/>
                <w:sz w:val="20"/>
                <w:szCs w:val="20"/>
              </w:rPr>
              <w:t>0.005</w:t>
            </w:r>
          </w:p>
        </w:tc>
        <w:tc>
          <w:tcPr>
            <w:tcW w:w="820" w:type="dxa"/>
            <w:tcBorders>
              <w:top w:val="nil"/>
              <w:left w:val="nil"/>
              <w:bottom w:val="nil"/>
              <w:right w:val="nil"/>
            </w:tcBorders>
            <w:shd w:val="clear" w:color="auto" w:fill="auto"/>
            <w:noWrap/>
            <w:vAlign w:val="bottom"/>
            <w:hideMark/>
          </w:tcPr>
          <w:p w14:paraId="730B3870" w14:textId="77777777" w:rsidR="004664A9" w:rsidRDefault="004664A9">
            <w:pPr>
              <w:jc w:val="right"/>
              <w:rPr>
                <w:b/>
                <w:bCs/>
                <w:color w:val="000000"/>
                <w:sz w:val="20"/>
                <w:szCs w:val="20"/>
              </w:rPr>
            </w:pPr>
            <w:r>
              <w:rPr>
                <w:b/>
                <w:bCs/>
                <w:color w:val="000000"/>
                <w:sz w:val="20"/>
                <w:szCs w:val="20"/>
              </w:rPr>
              <w:t>0.004</w:t>
            </w:r>
          </w:p>
        </w:tc>
        <w:tc>
          <w:tcPr>
            <w:tcW w:w="820" w:type="dxa"/>
            <w:tcBorders>
              <w:top w:val="nil"/>
              <w:left w:val="nil"/>
              <w:bottom w:val="nil"/>
              <w:right w:val="nil"/>
            </w:tcBorders>
            <w:shd w:val="clear" w:color="auto" w:fill="auto"/>
            <w:noWrap/>
            <w:vAlign w:val="bottom"/>
            <w:hideMark/>
          </w:tcPr>
          <w:p w14:paraId="10810DA3" w14:textId="77777777" w:rsidR="004664A9" w:rsidRDefault="004664A9">
            <w:pPr>
              <w:jc w:val="right"/>
              <w:rPr>
                <w:color w:val="000000"/>
                <w:sz w:val="20"/>
                <w:szCs w:val="20"/>
              </w:rPr>
            </w:pPr>
            <w:r>
              <w:rPr>
                <w:color w:val="000000"/>
                <w:sz w:val="20"/>
                <w:szCs w:val="20"/>
              </w:rPr>
              <w:t>-0.021</w:t>
            </w:r>
          </w:p>
        </w:tc>
        <w:tc>
          <w:tcPr>
            <w:tcW w:w="820" w:type="dxa"/>
            <w:tcBorders>
              <w:top w:val="nil"/>
              <w:left w:val="nil"/>
              <w:bottom w:val="nil"/>
              <w:right w:val="nil"/>
            </w:tcBorders>
            <w:shd w:val="clear" w:color="auto" w:fill="auto"/>
            <w:noWrap/>
            <w:vAlign w:val="bottom"/>
            <w:hideMark/>
          </w:tcPr>
          <w:p w14:paraId="41F4DDE3" w14:textId="77777777" w:rsidR="004664A9" w:rsidRDefault="004664A9">
            <w:pPr>
              <w:jc w:val="right"/>
              <w:rPr>
                <w:color w:val="000000"/>
                <w:sz w:val="20"/>
                <w:szCs w:val="20"/>
              </w:rPr>
            </w:pPr>
            <w:r>
              <w:rPr>
                <w:color w:val="000000"/>
                <w:sz w:val="20"/>
                <w:szCs w:val="20"/>
              </w:rPr>
              <w:t>0.357</w:t>
            </w:r>
          </w:p>
        </w:tc>
        <w:tc>
          <w:tcPr>
            <w:tcW w:w="820" w:type="dxa"/>
            <w:tcBorders>
              <w:top w:val="nil"/>
              <w:left w:val="nil"/>
              <w:bottom w:val="nil"/>
              <w:right w:val="nil"/>
            </w:tcBorders>
            <w:shd w:val="clear" w:color="auto" w:fill="auto"/>
            <w:noWrap/>
            <w:vAlign w:val="bottom"/>
            <w:hideMark/>
          </w:tcPr>
          <w:p w14:paraId="69F125BA"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63414FB9" w14:textId="77777777" w:rsidR="004664A9" w:rsidRDefault="004664A9">
            <w:pPr>
              <w:jc w:val="right"/>
              <w:rPr>
                <w:color w:val="000000"/>
                <w:sz w:val="20"/>
                <w:szCs w:val="20"/>
              </w:rPr>
            </w:pPr>
            <w:r>
              <w:rPr>
                <w:color w:val="000000"/>
                <w:sz w:val="20"/>
                <w:szCs w:val="20"/>
              </w:rPr>
              <w:t>-0.008</w:t>
            </w:r>
          </w:p>
        </w:tc>
        <w:tc>
          <w:tcPr>
            <w:tcW w:w="820" w:type="dxa"/>
            <w:tcBorders>
              <w:top w:val="nil"/>
              <w:left w:val="nil"/>
              <w:bottom w:val="nil"/>
              <w:right w:val="nil"/>
            </w:tcBorders>
            <w:shd w:val="clear" w:color="auto" w:fill="auto"/>
            <w:noWrap/>
            <w:vAlign w:val="bottom"/>
            <w:hideMark/>
          </w:tcPr>
          <w:p w14:paraId="5B9C4F69" w14:textId="77777777" w:rsidR="004664A9" w:rsidRDefault="004664A9">
            <w:pPr>
              <w:jc w:val="right"/>
              <w:rPr>
                <w:color w:val="000000"/>
                <w:sz w:val="20"/>
                <w:szCs w:val="20"/>
              </w:rPr>
            </w:pPr>
            <w:r>
              <w:rPr>
                <w:color w:val="000000"/>
                <w:sz w:val="20"/>
                <w:szCs w:val="20"/>
              </w:rPr>
              <w:t>0.892</w:t>
            </w:r>
          </w:p>
        </w:tc>
        <w:tc>
          <w:tcPr>
            <w:tcW w:w="820" w:type="dxa"/>
            <w:tcBorders>
              <w:top w:val="nil"/>
              <w:left w:val="nil"/>
              <w:bottom w:val="nil"/>
              <w:right w:val="nil"/>
            </w:tcBorders>
            <w:shd w:val="clear" w:color="auto" w:fill="auto"/>
            <w:noWrap/>
            <w:vAlign w:val="bottom"/>
            <w:hideMark/>
          </w:tcPr>
          <w:p w14:paraId="169F5BDE"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7A941CA0" w14:textId="77777777" w:rsidR="004664A9" w:rsidRDefault="004664A9">
            <w:pPr>
              <w:jc w:val="right"/>
              <w:rPr>
                <w:color w:val="000000"/>
                <w:sz w:val="20"/>
                <w:szCs w:val="20"/>
              </w:rPr>
            </w:pPr>
            <w:r>
              <w:rPr>
                <w:color w:val="000000"/>
                <w:sz w:val="20"/>
                <w:szCs w:val="20"/>
              </w:rPr>
              <w:t>0.022</w:t>
            </w:r>
          </w:p>
        </w:tc>
        <w:tc>
          <w:tcPr>
            <w:tcW w:w="820" w:type="dxa"/>
            <w:tcBorders>
              <w:top w:val="nil"/>
              <w:left w:val="nil"/>
              <w:bottom w:val="nil"/>
              <w:right w:val="nil"/>
            </w:tcBorders>
            <w:shd w:val="clear" w:color="auto" w:fill="auto"/>
            <w:noWrap/>
            <w:vAlign w:val="bottom"/>
            <w:hideMark/>
          </w:tcPr>
          <w:p w14:paraId="1F1B232F" w14:textId="77777777" w:rsidR="004664A9" w:rsidRDefault="004664A9">
            <w:pPr>
              <w:jc w:val="right"/>
              <w:rPr>
                <w:color w:val="000000"/>
                <w:sz w:val="20"/>
                <w:szCs w:val="20"/>
              </w:rPr>
            </w:pPr>
            <w:r>
              <w:rPr>
                <w:color w:val="000000"/>
                <w:sz w:val="20"/>
                <w:szCs w:val="20"/>
              </w:rPr>
              <w:t>0.260</w:t>
            </w:r>
          </w:p>
        </w:tc>
        <w:tc>
          <w:tcPr>
            <w:tcW w:w="820" w:type="dxa"/>
            <w:tcBorders>
              <w:top w:val="nil"/>
              <w:left w:val="nil"/>
              <w:bottom w:val="nil"/>
              <w:right w:val="nil"/>
            </w:tcBorders>
            <w:shd w:val="clear" w:color="auto" w:fill="auto"/>
            <w:noWrap/>
            <w:vAlign w:val="bottom"/>
            <w:hideMark/>
          </w:tcPr>
          <w:p w14:paraId="6F217BB1"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72932949" w14:textId="77777777" w:rsidR="004664A9" w:rsidRDefault="004664A9">
            <w:pPr>
              <w:jc w:val="right"/>
              <w:rPr>
                <w:b/>
                <w:bCs/>
                <w:color w:val="000000"/>
                <w:sz w:val="20"/>
                <w:szCs w:val="20"/>
              </w:rPr>
            </w:pPr>
            <w:r>
              <w:rPr>
                <w:b/>
                <w:bCs/>
                <w:color w:val="000000"/>
                <w:sz w:val="20"/>
                <w:szCs w:val="20"/>
              </w:rPr>
              <w:t>-0.064</w:t>
            </w:r>
          </w:p>
        </w:tc>
        <w:tc>
          <w:tcPr>
            <w:tcW w:w="820" w:type="dxa"/>
            <w:tcBorders>
              <w:top w:val="nil"/>
              <w:left w:val="nil"/>
              <w:bottom w:val="nil"/>
              <w:right w:val="nil"/>
            </w:tcBorders>
            <w:shd w:val="clear" w:color="auto" w:fill="auto"/>
            <w:noWrap/>
            <w:vAlign w:val="bottom"/>
            <w:hideMark/>
          </w:tcPr>
          <w:p w14:paraId="12A3DC9E" w14:textId="77777777" w:rsidR="004664A9" w:rsidRDefault="004664A9">
            <w:pPr>
              <w:jc w:val="right"/>
              <w:rPr>
                <w:b/>
                <w:bCs/>
                <w:color w:val="000000"/>
                <w:sz w:val="20"/>
                <w:szCs w:val="20"/>
              </w:rPr>
            </w:pPr>
            <w:r>
              <w:rPr>
                <w:b/>
                <w:bCs/>
                <w:color w:val="000000"/>
                <w:sz w:val="20"/>
                <w:szCs w:val="20"/>
              </w:rPr>
              <w:t>0.006</w:t>
            </w:r>
          </w:p>
        </w:tc>
        <w:tc>
          <w:tcPr>
            <w:tcW w:w="820" w:type="dxa"/>
            <w:tcBorders>
              <w:top w:val="nil"/>
              <w:left w:val="nil"/>
              <w:bottom w:val="nil"/>
              <w:right w:val="nil"/>
            </w:tcBorders>
            <w:shd w:val="clear" w:color="auto" w:fill="auto"/>
            <w:noWrap/>
            <w:vAlign w:val="bottom"/>
            <w:hideMark/>
          </w:tcPr>
          <w:p w14:paraId="3353600F" w14:textId="77777777" w:rsidR="004664A9" w:rsidRDefault="004664A9">
            <w:pPr>
              <w:jc w:val="right"/>
              <w:rPr>
                <w:b/>
                <w:bCs/>
                <w:color w:val="000000"/>
                <w:sz w:val="20"/>
                <w:szCs w:val="20"/>
              </w:rPr>
            </w:pPr>
            <w:r>
              <w:rPr>
                <w:b/>
                <w:bCs/>
                <w:color w:val="000000"/>
                <w:sz w:val="20"/>
                <w:szCs w:val="20"/>
              </w:rPr>
              <w:t>0.004</w:t>
            </w:r>
          </w:p>
        </w:tc>
      </w:tr>
      <w:tr w:rsidR="004664A9" w14:paraId="57165EA0" w14:textId="77777777" w:rsidTr="00E55A7D">
        <w:trPr>
          <w:trHeight w:val="320"/>
        </w:trPr>
        <w:tc>
          <w:tcPr>
            <w:tcW w:w="1152" w:type="dxa"/>
            <w:tcBorders>
              <w:top w:val="nil"/>
              <w:left w:val="nil"/>
              <w:bottom w:val="nil"/>
              <w:right w:val="nil"/>
            </w:tcBorders>
            <w:shd w:val="clear" w:color="auto" w:fill="auto"/>
            <w:noWrap/>
            <w:vAlign w:val="bottom"/>
            <w:hideMark/>
          </w:tcPr>
          <w:p w14:paraId="23872CC3" w14:textId="77777777" w:rsidR="004664A9" w:rsidRDefault="004664A9">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13CCEFE3" w14:textId="77777777" w:rsidR="004664A9" w:rsidRDefault="004664A9">
            <w:pPr>
              <w:rPr>
                <w:color w:val="000000"/>
                <w:sz w:val="20"/>
                <w:szCs w:val="20"/>
              </w:rPr>
            </w:pPr>
            <w:r>
              <w:rPr>
                <w:color w:val="000000"/>
                <w:sz w:val="20"/>
                <w:szCs w:val="20"/>
              </w:rPr>
              <w:t>23%</w:t>
            </w:r>
          </w:p>
        </w:tc>
        <w:tc>
          <w:tcPr>
            <w:tcW w:w="820" w:type="dxa"/>
            <w:tcBorders>
              <w:top w:val="nil"/>
              <w:left w:val="nil"/>
              <w:bottom w:val="nil"/>
              <w:right w:val="nil"/>
            </w:tcBorders>
            <w:shd w:val="clear" w:color="auto" w:fill="auto"/>
            <w:noWrap/>
            <w:vAlign w:val="bottom"/>
            <w:hideMark/>
          </w:tcPr>
          <w:p w14:paraId="381B9009" w14:textId="77777777" w:rsidR="004664A9" w:rsidRDefault="004664A9">
            <w:pPr>
              <w:jc w:val="right"/>
              <w:rPr>
                <w:b/>
                <w:bCs/>
                <w:color w:val="000000"/>
                <w:sz w:val="20"/>
                <w:szCs w:val="20"/>
              </w:rPr>
            </w:pPr>
            <w:r>
              <w:rPr>
                <w:b/>
                <w:bCs/>
                <w:color w:val="000000"/>
                <w:sz w:val="20"/>
                <w:szCs w:val="20"/>
              </w:rPr>
              <w:t>-0.064</w:t>
            </w:r>
          </w:p>
        </w:tc>
        <w:tc>
          <w:tcPr>
            <w:tcW w:w="820" w:type="dxa"/>
            <w:tcBorders>
              <w:top w:val="nil"/>
              <w:left w:val="nil"/>
              <w:bottom w:val="nil"/>
              <w:right w:val="nil"/>
            </w:tcBorders>
            <w:shd w:val="clear" w:color="auto" w:fill="auto"/>
            <w:noWrap/>
            <w:vAlign w:val="bottom"/>
            <w:hideMark/>
          </w:tcPr>
          <w:p w14:paraId="1471886E" w14:textId="77777777" w:rsidR="004664A9" w:rsidRDefault="004664A9">
            <w:pPr>
              <w:jc w:val="right"/>
              <w:rPr>
                <w:b/>
                <w:bCs/>
                <w:color w:val="000000"/>
                <w:sz w:val="20"/>
                <w:szCs w:val="20"/>
              </w:rPr>
            </w:pPr>
            <w:r>
              <w:rPr>
                <w:b/>
                <w:bCs/>
                <w:color w:val="000000"/>
                <w:sz w:val="20"/>
                <w:szCs w:val="20"/>
              </w:rPr>
              <w:t>0.004</w:t>
            </w:r>
          </w:p>
        </w:tc>
        <w:tc>
          <w:tcPr>
            <w:tcW w:w="820" w:type="dxa"/>
            <w:tcBorders>
              <w:top w:val="nil"/>
              <w:left w:val="nil"/>
              <w:bottom w:val="nil"/>
              <w:right w:val="nil"/>
            </w:tcBorders>
            <w:shd w:val="clear" w:color="auto" w:fill="auto"/>
            <w:noWrap/>
            <w:vAlign w:val="bottom"/>
            <w:hideMark/>
          </w:tcPr>
          <w:p w14:paraId="628BB1A9" w14:textId="77777777" w:rsidR="004664A9" w:rsidRDefault="004664A9">
            <w:pPr>
              <w:jc w:val="right"/>
              <w:rPr>
                <w:b/>
                <w:bCs/>
                <w:color w:val="000000"/>
                <w:sz w:val="20"/>
                <w:szCs w:val="20"/>
              </w:rPr>
            </w:pPr>
            <w:r>
              <w:rPr>
                <w:b/>
                <w:bCs/>
                <w:color w:val="000000"/>
                <w:sz w:val="20"/>
                <w:szCs w:val="20"/>
              </w:rPr>
              <w:t>0.004</w:t>
            </w:r>
          </w:p>
        </w:tc>
        <w:tc>
          <w:tcPr>
            <w:tcW w:w="820" w:type="dxa"/>
            <w:tcBorders>
              <w:top w:val="nil"/>
              <w:left w:val="nil"/>
              <w:bottom w:val="nil"/>
              <w:right w:val="nil"/>
            </w:tcBorders>
            <w:shd w:val="clear" w:color="auto" w:fill="auto"/>
            <w:noWrap/>
            <w:vAlign w:val="bottom"/>
            <w:hideMark/>
          </w:tcPr>
          <w:p w14:paraId="242B8819" w14:textId="77777777" w:rsidR="004664A9" w:rsidRDefault="004664A9">
            <w:pPr>
              <w:jc w:val="right"/>
              <w:rPr>
                <w:color w:val="000000"/>
                <w:sz w:val="20"/>
                <w:szCs w:val="20"/>
              </w:rPr>
            </w:pPr>
            <w:r>
              <w:rPr>
                <w:color w:val="000000"/>
                <w:sz w:val="20"/>
                <w:szCs w:val="20"/>
              </w:rPr>
              <w:t>-0.021</w:t>
            </w:r>
          </w:p>
        </w:tc>
        <w:tc>
          <w:tcPr>
            <w:tcW w:w="820" w:type="dxa"/>
            <w:tcBorders>
              <w:top w:val="nil"/>
              <w:left w:val="nil"/>
              <w:bottom w:val="nil"/>
              <w:right w:val="nil"/>
            </w:tcBorders>
            <w:shd w:val="clear" w:color="auto" w:fill="auto"/>
            <w:noWrap/>
            <w:vAlign w:val="bottom"/>
            <w:hideMark/>
          </w:tcPr>
          <w:p w14:paraId="3510E98B" w14:textId="77777777" w:rsidR="004664A9" w:rsidRDefault="004664A9">
            <w:pPr>
              <w:jc w:val="right"/>
              <w:rPr>
                <w:color w:val="000000"/>
                <w:sz w:val="20"/>
                <w:szCs w:val="20"/>
              </w:rPr>
            </w:pPr>
            <w:r>
              <w:rPr>
                <w:color w:val="000000"/>
                <w:sz w:val="20"/>
                <w:szCs w:val="20"/>
              </w:rPr>
              <w:t>0.357</w:t>
            </w:r>
          </w:p>
        </w:tc>
        <w:tc>
          <w:tcPr>
            <w:tcW w:w="820" w:type="dxa"/>
            <w:tcBorders>
              <w:top w:val="nil"/>
              <w:left w:val="nil"/>
              <w:bottom w:val="nil"/>
              <w:right w:val="nil"/>
            </w:tcBorders>
            <w:shd w:val="clear" w:color="auto" w:fill="auto"/>
            <w:noWrap/>
            <w:vAlign w:val="bottom"/>
            <w:hideMark/>
          </w:tcPr>
          <w:p w14:paraId="64DC57C1"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741F7448" w14:textId="77777777" w:rsidR="004664A9" w:rsidRDefault="004664A9">
            <w:pPr>
              <w:jc w:val="right"/>
              <w:rPr>
                <w:color w:val="000000"/>
                <w:sz w:val="20"/>
                <w:szCs w:val="20"/>
              </w:rPr>
            </w:pPr>
            <w:r>
              <w:rPr>
                <w:color w:val="000000"/>
                <w:sz w:val="20"/>
                <w:szCs w:val="20"/>
              </w:rPr>
              <w:t>-0.004</w:t>
            </w:r>
          </w:p>
        </w:tc>
        <w:tc>
          <w:tcPr>
            <w:tcW w:w="820" w:type="dxa"/>
            <w:tcBorders>
              <w:top w:val="nil"/>
              <w:left w:val="nil"/>
              <w:bottom w:val="nil"/>
              <w:right w:val="nil"/>
            </w:tcBorders>
            <w:shd w:val="clear" w:color="auto" w:fill="auto"/>
            <w:noWrap/>
            <w:vAlign w:val="bottom"/>
            <w:hideMark/>
          </w:tcPr>
          <w:p w14:paraId="75BCE0F2" w14:textId="77777777" w:rsidR="004664A9" w:rsidRDefault="004664A9">
            <w:pPr>
              <w:jc w:val="right"/>
              <w:rPr>
                <w:color w:val="000000"/>
                <w:sz w:val="20"/>
                <w:szCs w:val="20"/>
              </w:rPr>
            </w:pPr>
            <w:r>
              <w:rPr>
                <w:color w:val="000000"/>
                <w:sz w:val="20"/>
                <w:szCs w:val="20"/>
              </w:rPr>
              <w:t>0.892</w:t>
            </w:r>
          </w:p>
        </w:tc>
        <w:tc>
          <w:tcPr>
            <w:tcW w:w="820" w:type="dxa"/>
            <w:tcBorders>
              <w:top w:val="nil"/>
              <w:left w:val="nil"/>
              <w:bottom w:val="nil"/>
              <w:right w:val="nil"/>
            </w:tcBorders>
            <w:shd w:val="clear" w:color="auto" w:fill="auto"/>
            <w:noWrap/>
            <w:vAlign w:val="bottom"/>
            <w:hideMark/>
          </w:tcPr>
          <w:p w14:paraId="6A0E883E"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4A8D94C1" w14:textId="77777777" w:rsidR="004664A9" w:rsidRDefault="004664A9">
            <w:pPr>
              <w:jc w:val="right"/>
              <w:rPr>
                <w:color w:val="000000"/>
                <w:sz w:val="20"/>
                <w:szCs w:val="20"/>
              </w:rPr>
            </w:pPr>
            <w:r>
              <w:rPr>
                <w:color w:val="000000"/>
                <w:sz w:val="20"/>
                <w:szCs w:val="20"/>
              </w:rPr>
              <w:t>0.022</w:t>
            </w:r>
          </w:p>
        </w:tc>
        <w:tc>
          <w:tcPr>
            <w:tcW w:w="820" w:type="dxa"/>
            <w:tcBorders>
              <w:top w:val="nil"/>
              <w:left w:val="nil"/>
              <w:bottom w:val="nil"/>
              <w:right w:val="nil"/>
            </w:tcBorders>
            <w:shd w:val="clear" w:color="auto" w:fill="auto"/>
            <w:noWrap/>
            <w:vAlign w:val="bottom"/>
            <w:hideMark/>
          </w:tcPr>
          <w:p w14:paraId="34908EF9" w14:textId="77777777" w:rsidR="004664A9" w:rsidRDefault="004664A9">
            <w:pPr>
              <w:jc w:val="right"/>
              <w:rPr>
                <w:color w:val="000000"/>
                <w:sz w:val="20"/>
                <w:szCs w:val="20"/>
              </w:rPr>
            </w:pPr>
            <w:r>
              <w:rPr>
                <w:color w:val="000000"/>
                <w:sz w:val="20"/>
                <w:szCs w:val="20"/>
              </w:rPr>
              <w:t>0.260</w:t>
            </w:r>
          </w:p>
        </w:tc>
        <w:tc>
          <w:tcPr>
            <w:tcW w:w="820" w:type="dxa"/>
            <w:tcBorders>
              <w:top w:val="nil"/>
              <w:left w:val="nil"/>
              <w:bottom w:val="nil"/>
              <w:right w:val="nil"/>
            </w:tcBorders>
            <w:shd w:val="clear" w:color="auto" w:fill="auto"/>
            <w:noWrap/>
            <w:vAlign w:val="bottom"/>
            <w:hideMark/>
          </w:tcPr>
          <w:p w14:paraId="28C9BEA6"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5EA3B820" w14:textId="77777777" w:rsidR="004664A9" w:rsidRDefault="004664A9">
            <w:pPr>
              <w:jc w:val="right"/>
              <w:rPr>
                <w:b/>
                <w:bCs/>
                <w:color w:val="000000"/>
                <w:sz w:val="20"/>
                <w:szCs w:val="20"/>
              </w:rPr>
            </w:pPr>
            <w:r>
              <w:rPr>
                <w:b/>
                <w:bCs/>
                <w:color w:val="000000"/>
                <w:sz w:val="20"/>
                <w:szCs w:val="20"/>
              </w:rPr>
              <w:t>-0.063</w:t>
            </w:r>
          </w:p>
        </w:tc>
        <w:tc>
          <w:tcPr>
            <w:tcW w:w="820" w:type="dxa"/>
            <w:tcBorders>
              <w:top w:val="nil"/>
              <w:left w:val="nil"/>
              <w:bottom w:val="nil"/>
              <w:right w:val="nil"/>
            </w:tcBorders>
            <w:shd w:val="clear" w:color="auto" w:fill="auto"/>
            <w:noWrap/>
            <w:vAlign w:val="bottom"/>
            <w:hideMark/>
          </w:tcPr>
          <w:p w14:paraId="49DB8AF3" w14:textId="77777777" w:rsidR="004664A9" w:rsidRDefault="004664A9">
            <w:pPr>
              <w:jc w:val="right"/>
              <w:rPr>
                <w:b/>
                <w:bCs/>
                <w:color w:val="000000"/>
                <w:sz w:val="20"/>
                <w:szCs w:val="20"/>
              </w:rPr>
            </w:pPr>
            <w:r>
              <w:rPr>
                <w:b/>
                <w:bCs/>
                <w:color w:val="000000"/>
                <w:sz w:val="20"/>
                <w:szCs w:val="20"/>
              </w:rPr>
              <w:t>0.006</w:t>
            </w:r>
          </w:p>
        </w:tc>
        <w:tc>
          <w:tcPr>
            <w:tcW w:w="820" w:type="dxa"/>
            <w:tcBorders>
              <w:top w:val="nil"/>
              <w:left w:val="nil"/>
              <w:bottom w:val="nil"/>
              <w:right w:val="nil"/>
            </w:tcBorders>
            <w:shd w:val="clear" w:color="auto" w:fill="auto"/>
            <w:noWrap/>
            <w:vAlign w:val="bottom"/>
            <w:hideMark/>
          </w:tcPr>
          <w:p w14:paraId="066E78A1" w14:textId="77777777" w:rsidR="004664A9" w:rsidRDefault="004664A9">
            <w:pPr>
              <w:jc w:val="right"/>
              <w:rPr>
                <w:b/>
                <w:bCs/>
                <w:color w:val="000000"/>
                <w:sz w:val="20"/>
                <w:szCs w:val="20"/>
              </w:rPr>
            </w:pPr>
            <w:r>
              <w:rPr>
                <w:b/>
                <w:bCs/>
                <w:color w:val="000000"/>
                <w:sz w:val="20"/>
                <w:szCs w:val="20"/>
              </w:rPr>
              <w:t>0.004</w:t>
            </w:r>
          </w:p>
        </w:tc>
      </w:tr>
      <w:tr w:rsidR="004664A9" w14:paraId="7DF56D1F" w14:textId="77777777" w:rsidTr="00E55A7D">
        <w:trPr>
          <w:trHeight w:val="340"/>
        </w:trPr>
        <w:tc>
          <w:tcPr>
            <w:tcW w:w="1152" w:type="dxa"/>
            <w:tcBorders>
              <w:top w:val="nil"/>
              <w:left w:val="nil"/>
              <w:bottom w:val="single" w:sz="12" w:space="0" w:color="auto"/>
              <w:right w:val="nil"/>
            </w:tcBorders>
            <w:shd w:val="clear" w:color="auto" w:fill="auto"/>
            <w:noWrap/>
            <w:vAlign w:val="bottom"/>
            <w:hideMark/>
          </w:tcPr>
          <w:p w14:paraId="10390B6D" w14:textId="77777777" w:rsidR="004664A9" w:rsidRDefault="004664A9">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77780C44" w14:textId="77777777" w:rsidR="004664A9" w:rsidRDefault="004664A9">
            <w:pPr>
              <w:rPr>
                <w:color w:val="000000"/>
                <w:sz w:val="20"/>
                <w:szCs w:val="20"/>
              </w:rPr>
            </w:pPr>
            <w:r>
              <w:rPr>
                <w:color w:val="000000"/>
                <w:sz w:val="20"/>
                <w:szCs w:val="20"/>
              </w:rPr>
              <w:t>30%</w:t>
            </w:r>
          </w:p>
        </w:tc>
        <w:tc>
          <w:tcPr>
            <w:tcW w:w="820" w:type="dxa"/>
            <w:tcBorders>
              <w:top w:val="nil"/>
              <w:left w:val="nil"/>
              <w:bottom w:val="single" w:sz="12" w:space="0" w:color="auto"/>
              <w:right w:val="nil"/>
            </w:tcBorders>
            <w:shd w:val="clear" w:color="auto" w:fill="auto"/>
            <w:noWrap/>
            <w:vAlign w:val="bottom"/>
            <w:hideMark/>
          </w:tcPr>
          <w:p w14:paraId="537B8B55" w14:textId="77777777" w:rsidR="004664A9" w:rsidRDefault="004664A9">
            <w:pPr>
              <w:jc w:val="right"/>
              <w:rPr>
                <w:b/>
                <w:bCs/>
                <w:color w:val="000000"/>
                <w:sz w:val="20"/>
                <w:szCs w:val="20"/>
              </w:rPr>
            </w:pPr>
            <w:r>
              <w:rPr>
                <w:b/>
                <w:bCs/>
                <w:color w:val="000000"/>
                <w:sz w:val="20"/>
                <w:szCs w:val="20"/>
              </w:rPr>
              <w:t>-0.067</w:t>
            </w:r>
          </w:p>
        </w:tc>
        <w:tc>
          <w:tcPr>
            <w:tcW w:w="820" w:type="dxa"/>
            <w:tcBorders>
              <w:top w:val="nil"/>
              <w:left w:val="nil"/>
              <w:bottom w:val="single" w:sz="12" w:space="0" w:color="auto"/>
              <w:right w:val="nil"/>
            </w:tcBorders>
            <w:shd w:val="clear" w:color="auto" w:fill="auto"/>
            <w:noWrap/>
            <w:vAlign w:val="bottom"/>
            <w:hideMark/>
          </w:tcPr>
          <w:p w14:paraId="459D14D2" w14:textId="77777777" w:rsidR="004664A9" w:rsidRDefault="004664A9">
            <w:pPr>
              <w:jc w:val="right"/>
              <w:rPr>
                <w:b/>
                <w:bCs/>
                <w:color w:val="000000"/>
                <w:sz w:val="20"/>
                <w:szCs w:val="20"/>
              </w:rPr>
            </w:pPr>
            <w:r>
              <w:rPr>
                <w:b/>
                <w:bCs/>
                <w:color w:val="000000"/>
                <w:sz w:val="20"/>
                <w:szCs w:val="20"/>
              </w:rPr>
              <w:t>0.004</w:t>
            </w:r>
          </w:p>
        </w:tc>
        <w:tc>
          <w:tcPr>
            <w:tcW w:w="820" w:type="dxa"/>
            <w:tcBorders>
              <w:top w:val="nil"/>
              <w:left w:val="nil"/>
              <w:bottom w:val="single" w:sz="12" w:space="0" w:color="auto"/>
              <w:right w:val="nil"/>
            </w:tcBorders>
            <w:shd w:val="clear" w:color="auto" w:fill="auto"/>
            <w:noWrap/>
            <w:vAlign w:val="bottom"/>
            <w:hideMark/>
          </w:tcPr>
          <w:p w14:paraId="36348712" w14:textId="77777777" w:rsidR="004664A9" w:rsidRDefault="004664A9">
            <w:pPr>
              <w:jc w:val="right"/>
              <w:rPr>
                <w:b/>
                <w:bCs/>
                <w:color w:val="000000"/>
                <w:sz w:val="20"/>
                <w:szCs w:val="20"/>
              </w:rPr>
            </w:pPr>
            <w:r>
              <w:rPr>
                <w:b/>
                <w:bCs/>
                <w:color w:val="000000"/>
                <w:sz w:val="20"/>
                <w:szCs w:val="20"/>
              </w:rPr>
              <w:t>0.004</w:t>
            </w:r>
          </w:p>
        </w:tc>
        <w:tc>
          <w:tcPr>
            <w:tcW w:w="820" w:type="dxa"/>
            <w:tcBorders>
              <w:top w:val="nil"/>
              <w:left w:val="nil"/>
              <w:bottom w:val="single" w:sz="12" w:space="0" w:color="auto"/>
              <w:right w:val="nil"/>
            </w:tcBorders>
            <w:shd w:val="clear" w:color="auto" w:fill="auto"/>
            <w:noWrap/>
            <w:vAlign w:val="bottom"/>
            <w:hideMark/>
          </w:tcPr>
          <w:p w14:paraId="182E7BA8" w14:textId="77777777" w:rsidR="004664A9" w:rsidRDefault="004664A9">
            <w:pPr>
              <w:jc w:val="right"/>
              <w:rPr>
                <w:color w:val="000000"/>
                <w:sz w:val="20"/>
                <w:szCs w:val="20"/>
              </w:rPr>
            </w:pPr>
            <w:r>
              <w:rPr>
                <w:color w:val="000000"/>
                <w:sz w:val="20"/>
                <w:szCs w:val="20"/>
              </w:rPr>
              <w:t>-0.020</w:t>
            </w:r>
          </w:p>
        </w:tc>
        <w:tc>
          <w:tcPr>
            <w:tcW w:w="820" w:type="dxa"/>
            <w:tcBorders>
              <w:top w:val="nil"/>
              <w:left w:val="nil"/>
              <w:bottom w:val="single" w:sz="12" w:space="0" w:color="auto"/>
              <w:right w:val="nil"/>
            </w:tcBorders>
            <w:shd w:val="clear" w:color="auto" w:fill="auto"/>
            <w:noWrap/>
            <w:vAlign w:val="bottom"/>
            <w:hideMark/>
          </w:tcPr>
          <w:p w14:paraId="4A4AA5C3" w14:textId="77777777" w:rsidR="004664A9" w:rsidRDefault="004664A9">
            <w:pPr>
              <w:jc w:val="right"/>
              <w:rPr>
                <w:color w:val="000000"/>
                <w:sz w:val="20"/>
                <w:szCs w:val="20"/>
              </w:rPr>
            </w:pPr>
            <w:r>
              <w:rPr>
                <w:color w:val="000000"/>
                <w:sz w:val="20"/>
                <w:szCs w:val="20"/>
              </w:rPr>
              <w:t>0.357</w:t>
            </w:r>
          </w:p>
        </w:tc>
        <w:tc>
          <w:tcPr>
            <w:tcW w:w="820" w:type="dxa"/>
            <w:tcBorders>
              <w:top w:val="nil"/>
              <w:left w:val="nil"/>
              <w:bottom w:val="single" w:sz="12" w:space="0" w:color="auto"/>
              <w:right w:val="nil"/>
            </w:tcBorders>
            <w:shd w:val="clear" w:color="auto" w:fill="auto"/>
            <w:noWrap/>
            <w:vAlign w:val="bottom"/>
            <w:hideMark/>
          </w:tcPr>
          <w:p w14:paraId="2CC5F97D"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42010D79" w14:textId="77777777" w:rsidR="004664A9" w:rsidRDefault="004664A9">
            <w:pPr>
              <w:jc w:val="right"/>
              <w:rPr>
                <w:color w:val="000000"/>
                <w:sz w:val="20"/>
                <w:szCs w:val="20"/>
              </w:rPr>
            </w:pPr>
            <w:r>
              <w:rPr>
                <w:color w:val="000000"/>
                <w:sz w:val="20"/>
                <w:szCs w:val="20"/>
              </w:rPr>
              <w:t>-0.003</w:t>
            </w:r>
          </w:p>
        </w:tc>
        <w:tc>
          <w:tcPr>
            <w:tcW w:w="820" w:type="dxa"/>
            <w:tcBorders>
              <w:top w:val="nil"/>
              <w:left w:val="nil"/>
              <w:bottom w:val="single" w:sz="12" w:space="0" w:color="auto"/>
              <w:right w:val="nil"/>
            </w:tcBorders>
            <w:shd w:val="clear" w:color="auto" w:fill="auto"/>
            <w:noWrap/>
            <w:vAlign w:val="bottom"/>
            <w:hideMark/>
          </w:tcPr>
          <w:p w14:paraId="3D6EA55C" w14:textId="77777777" w:rsidR="004664A9" w:rsidRDefault="004664A9">
            <w:pPr>
              <w:jc w:val="right"/>
              <w:rPr>
                <w:color w:val="000000"/>
                <w:sz w:val="20"/>
                <w:szCs w:val="20"/>
              </w:rPr>
            </w:pPr>
            <w:r>
              <w:rPr>
                <w:color w:val="000000"/>
                <w:sz w:val="20"/>
                <w:szCs w:val="20"/>
              </w:rPr>
              <w:t>0.892</w:t>
            </w:r>
          </w:p>
        </w:tc>
        <w:tc>
          <w:tcPr>
            <w:tcW w:w="820" w:type="dxa"/>
            <w:tcBorders>
              <w:top w:val="nil"/>
              <w:left w:val="nil"/>
              <w:bottom w:val="single" w:sz="12" w:space="0" w:color="auto"/>
              <w:right w:val="nil"/>
            </w:tcBorders>
            <w:shd w:val="clear" w:color="auto" w:fill="auto"/>
            <w:noWrap/>
            <w:vAlign w:val="bottom"/>
            <w:hideMark/>
          </w:tcPr>
          <w:p w14:paraId="58CAA26C"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70C5E791" w14:textId="77777777" w:rsidR="004664A9" w:rsidRDefault="004664A9">
            <w:pPr>
              <w:jc w:val="right"/>
              <w:rPr>
                <w:color w:val="000000"/>
                <w:sz w:val="20"/>
                <w:szCs w:val="20"/>
              </w:rPr>
            </w:pPr>
            <w:r>
              <w:rPr>
                <w:color w:val="000000"/>
                <w:sz w:val="20"/>
                <w:szCs w:val="20"/>
              </w:rPr>
              <w:t>0.022</w:t>
            </w:r>
          </w:p>
        </w:tc>
        <w:tc>
          <w:tcPr>
            <w:tcW w:w="820" w:type="dxa"/>
            <w:tcBorders>
              <w:top w:val="nil"/>
              <w:left w:val="nil"/>
              <w:bottom w:val="single" w:sz="12" w:space="0" w:color="auto"/>
              <w:right w:val="nil"/>
            </w:tcBorders>
            <w:shd w:val="clear" w:color="auto" w:fill="auto"/>
            <w:noWrap/>
            <w:vAlign w:val="bottom"/>
            <w:hideMark/>
          </w:tcPr>
          <w:p w14:paraId="735199D0" w14:textId="77777777" w:rsidR="004664A9" w:rsidRDefault="004664A9">
            <w:pPr>
              <w:jc w:val="right"/>
              <w:rPr>
                <w:color w:val="000000"/>
                <w:sz w:val="20"/>
                <w:szCs w:val="20"/>
              </w:rPr>
            </w:pPr>
            <w:r>
              <w:rPr>
                <w:color w:val="000000"/>
                <w:sz w:val="20"/>
                <w:szCs w:val="20"/>
              </w:rPr>
              <w:t>0.260</w:t>
            </w:r>
          </w:p>
        </w:tc>
        <w:tc>
          <w:tcPr>
            <w:tcW w:w="820" w:type="dxa"/>
            <w:tcBorders>
              <w:top w:val="nil"/>
              <w:left w:val="nil"/>
              <w:bottom w:val="single" w:sz="12" w:space="0" w:color="auto"/>
              <w:right w:val="nil"/>
            </w:tcBorders>
            <w:shd w:val="clear" w:color="auto" w:fill="auto"/>
            <w:noWrap/>
            <w:vAlign w:val="bottom"/>
            <w:hideMark/>
          </w:tcPr>
          <w:p w14:paraId="1C86AF62"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76030EF3" w14:textId="77777777" w:rsidR="004664A9" w:rsidRDefault="004664A9">
            <w:pPr>
              <w:jc w:val="right"/>
              <w:rPr>
                <w:b/>
                <w:bCs/>
                <w:color w:val="000000"/>
                <w:sz w:val="20"/>
                <w:szCs w:val="20"/>
              </w:rPr>
            </w:pPr>
            <w:r>
              <w:rPr>
                <w:b/>
                <w:bCs/>
                <w:color w:val="000000"/>
                <w:sz w:val="20"/>
                <w:szCs w:val="20"/>
              </w:rPr>
              <w:t>-0.063</w:t>
            </w:r>
          </w:p>
        </w:tc>
        <w:tc>
          <w:tcPr>
            <w:tcW w:w="820" w:type="dxa"/>
            <w:tcBorders>
              <w:top w:val="nil"/>
              <w:left w:val="nil"/>
              <w:bottom w:val="single" w:sz="12" w:space="0" w:color="auto"/>
              <w:right w:val="nil"/>
            </w:tcBorders>
            <w:shd w:val="clear" w:color="auto" w:fill="auto"/>
            <w:noWrap/>
            <w:vAlign w:val="bottom"/>
            <w:hideMark/>
          </w:tcPr>
          <w:p w14:paraId="6E618400" w14:textId="77777777" w:rsidR="004664A9" w:rsidRDefault="004664A9">
            <w:pPr>
              <w:jc w:val="right"/>
              <w:rPr>
                <w:b/>
                <w:bCs/>
                <w:color w:val="000000"/>
                <w:sz w:val="20"/>
                <w:szCs w:val="20"/>
              </w:rPr>
            </w:pPr>
            <w:r>
              <w:rPr>
                <w:b/>
                <w:bCs/>
                <w:color w:val="000000"/>
                <w:sz w:val="20"/>
                <w:szCs w:val="20"/>
              </w:rPr>
              <w:t>0.006</w:t>
            </w:r>
          </w:p>
        </w:tc>
        <w:tc>
          <w:tcPr>
            <w:tcW w:w="820" w:type="dxa"/>
            <w:tcBorders>
              <w:top w:val="nil"/>
              <w:left w:val="nil"/>
              <w:bottom w:val="single" w:sz="12" w:space="0" w:color="auto"/>
              <w:right w:val="nil"/>
            </w:tcBorders>
            <w:shd w:val="clear" w:color="auto" w:fill="auto"/>
            <w:noWrap/>
            <w:vAlign w:val="bottom"/>
            <w:hideMark/>
          </w:tcPr>
          <w:p w14:paraId="2E11DA6E" w14:textId="77777777" w:rsidR="004664A9" w:rsidRDefault="004664A9">
            <w:pPr>
              <w:jc w:val="right"/>
              <w:rPr>
                <w:b/>
                <w:bCs/>
                <w:color w:val="000000"/>
                <w:sz w:val="20"/>
                <w:szCs w:val="20"/>
              </w:rPr>
            </w:pPr>
            <w:r>
              <w:rPr>
                <w:b/>
                <w:bCs/>
                <w:color w:val="000000"/>
                <w:sz w:val="20"/>
                <w:szCs w:val="20"/>
              </w:rPr>
              <w:t>0.004</w:t>
            </w:r>
          </w:p>
        </w:tc>
      </w:tr>
      <w:tr w:rsidR="004664A9" w14:paraId="79AD9584" w14:textId="77777777" w:rsidTr="00E55A7D">
        <w:trPr>
          <w:trHeight w:val="320"/>
        </w:trPr>
        <w:tc>
          <w:tcPr>
            <w:tcW w:w="1152" w:type="dxa"/>
            <w:tcBorders>
              <w:top w:val="single" w:sz="12" w:space="0" w:color="auto"/>
              <w:left w:val="nil"/>
              <w:bottom w:val="nil"/>
              <w:right w:val="nil"/>
            </w:tcBorders>
            <w:shd w:val="clear" w:color="auto" w:fill="auto"/>
            <w:noWrap/>
            <w:vAlign w:val="bottom"/>
            <w:hideMark/>
          </w:tcPr>
          <w:p w14:paraId="4B68432F" w14:textId="77777777" w:rsidR="004664A9" w:rsidRDefault="004664A9">
            <w:pPr>
              <w:rPr>
                <w:color w:val="000000"/>
                <w:sz w:val="20"/>
                <w:szCs w:val="20"/>
              </w:rPr>
            </w:pPr>
            <w:r>
              <w:rPr>
                <w:color w:val="000000"/>
                <w:sz w:val="20"/>
                <w:szCs w:val="20"/>
              </w:rPr>
              <w:t>En-back</w:t>
            </w:r>
          </w:p>
        </w:tc>
        <w:tc>
          <w:tcPr>
            <w:tcW w:w="1027" w:type="dxa"/>
            <w:tcBorders>
              <w:top w:val="single" w:sz="12" w:space="0" w:color="auto"/>
              <w:left w:val="nil"/>
              <w:bottom w:val="nil"/>
              <w:right w:val="nil"/>
            </w:tcBorders>
            <w:shd w:val="clear" w:color="auto" w:fill="auto"/>
            <w:noWrap/>
            <w:vAlign w:val="bottom"/>
            <w:hideMark/>
          </w:tcPr>
          <w:p w14:paraId="79E644E7" w14:textId="77777777" w:rsidR="004664A9" w:rsidRDefault="004664A9">
            <w:pPr>
              <w:rPr>
                <w:color w:val="000000"/>
                <w:sz w:val="20"/>
                <w:szCs w:val="20"/>
              </w:rPr>
            </w:pPr>
            <w:r>
              <w:rPr>
                <w:color w:val="000000"/>
                <w:sz w:val="20"/>
                <w:szCs w:val="20"/>
              </w:rPr>
              <w:t>10%</w:t>
            </w:r>
          </w:p>
        </w:tc>
        <w:tc>
          <w:tcPr>
            <w:tcW w:w="820" w:type="dxa"/>
            <w:tcBorders>
              <w:top w:val="single" w:sz="12" w:space="0" w:color="auto"/>
              <w:left w:val="nil"/>
              <w:bottom w:val="nil"/>
              <w:right w:val="nil"/>
            </w:tcBorders>
            <w:shd w:val="clear" w:color="auto" w:fill="auto"/>
            <w:noWrap/>
            <w:vAlign w:val="bottom"/>
            <w:hideMark/>
          </w:tcPr>
          <w:p w14:paraId="11EE422A" w14:textId="77777777" w:rsidR="004664A9" w:rsidRDefault="004664A9">
            <w:pPr>
              <w:jc w:val="right"/>
              <w:rPr>
                <w:b/>
                <w:bCs/>
                <w:color w:val="000000"/>
                <w:sz w:val="20"/>
                <w:szCs w:val="20"/>
              </w:rPr>
            </w:pPr>
            <w:r>
              <w:rPr>
                <w:b/>
                <w:bCs/>
                <w:color w:val="000000"/>
                <w:sz w:val="20"/>
                <w:szCs w:val="20"/>
              </w:rPr>
              <w:t>-0.063</w:t>
            </w:r>
          </w:p>
        </w:tc>
        <w:tc>
          <w:tcPr>
            <w:tcW w:w="820" w:type="dxa"/>
            <w:tcBorders>
              <w:top w:val="single" w:sz="12" w:space="0" w:color="auto"/>
              <w:left w:val="nil"/>
              <w:bottom w:val="nil"/>
              <w:right w:val="nil"/>
            </w:tcBorders>
            <w:shd w:val="clear" w:color="auto" w:fill="auto"/>
            <w:noWrap/>
            <w:vAlign w:val="bottom"/>
            <w:hideMark/>
          </w:tcPr>
          <w:p w14:paraId="7C6CFCA0" w14:textId="77777777" w:rsidR="004664A9" w:rsidRDefault="004664A9">
            <w:pPr>
              <w:jc w:val="right"/>
              <w:rPr>
                <w:b/>
                <w:bCs/>
                <w:color w:val="000000"/>
                <w:sz w:val="20"/>
                <w:szCs w:val="20"/>
              </w:rPr>
            </w:pPr>
            <w:r>
              <w:rPr>
                <w:b/>
                <w:bCs/>
                <w:color w:val="000000"/>
                <w:sz w:val="20"/>
                <w:szCs w:val="20"/>
              </w:rPr>
              <w:t>0.042</w:t>
            </w:r>
          </w:p>
        </w:tc>
        <w:tc>
          <w:tcPr>
            <w:tcW w:w="820" w:type="dxa"/>
            <w:tcBorders>
              <w:top w:val="single" w:sz="12" w:space="0" w:color="auto"/>
              <w:left w:val="nil"/>
              <w:bottom w:val="nil"/>
              <w:right w:val="nil"/>
            </w:tcBorders>
            <w:shd w:val="clear" w:color="auto" w:fill="auto"/>
            <w:noWrap/>
            <w:vAlign w:val="bottom"/>
            <w:hideMark/>
          </w:tcPr>
          <w:p w14:paraId="7C248F3E" w14:textId="77777777" w:rsidR="004664A9" w:rsidRDefault="004664A9">
            <w:pPr>
              <w:jc w:val="right"/>
              <w:rPr>
                <w:b/>
                <w:bCs/>
                <w:color w:val="000000"/>
                <w:sz w:val="20"/>
                <w:szCs w:val="20"/>
              </w:rPr>
            </w:pPr>
            <w:r>
              <w:rPr>
                <w:b/>
                <w:bCs/>
                <w:color w:val="000000"/>
                <w:sz w:val="20"/>
                <w:szCs w:val="20"/>
              </w:rPr>
              <w:t>0.004</w:t>
            </w:r>
          </w:p>
        </w:tc>
        <w:tc>
          <w:tcPr>
            <w:tcW w:w="820" w:type="dxa"/>
            <w:tcBorders>
              <w:top w:val="single" w:sz="12" w:space="0" w:color="auto"/>
              <w:left w:val="nil"/>
              <w:bottom w:val="nil"/>
              <w:right w:val="nil"/>
            </w:tcBorders>
            <w:shd w:val="clear" w:color="auto" w:fill="auto"/>
            <w:noWrap/>
            <w:vAlign w:val="bottom"/>
            <w:hideMark/>
          </w:tcPr>
          <w:p w14:paraId="219826F3" w14:textId="77777777" w:rsidR="004664A9" w:rsidRDefault="004664A9">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651B01A1" w14:textId="77777777" w:rsidR="004664A9" w:rsidRDefault="004664A9">
            <w:pPr>
              <w:jc w:val="right"/>
              <w:rPr>
                <w:color w:val="000000"/>
                <w:sz w:val="20"/>
                <w:szCs w:val="20"/>
              </w:rPr>
            </w:pPr>
            <w:r>
              <w:rPr>
                <w:color w:val="000000"/>
                <w:sz w:val="20"/>
                <w:szCs w:val="20"/>
              </w:rPr>
              <w:t>0.998</w:t>
            </w:r>
          </w:p>
        </w:tc>
        <w:tc>
          <w:tcPr>
            <w:tcW w:w="820" w:type="dxa"/>
            <w:tcBorders>
              <w:top w:val="single" w:sz="12" w:space="0" w:color="auto"/>
              <w:left w:val="nil"/>
              <w:bottom w:val="nil"/>
              <w:right w:val="nil"/>
            </w:tcBorders>
            <w:shd w:val="clear" w:color="auto" w:fill="auto"/>
            <w:noWrap/>
            <w:vAlign w:val="bottom"/>
            <w:hideMark/>
          </w:tcPr>
          <w:p w14:paraId="581A7705" w14:textId="77777777" w:rsidR="004664A9" w:rsidRDefault="004664A9">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0A54EC7C" w14:textId="77777777" w:rsidR="004664A9" w:rsidRDefault="004664A9">
            <w:pPr>
              <w:jc w:val="right"/>
              <w:rPr>
                <w:color w:val="000000"/>
                <w:sz w:val="20"/>
                <w:szCs w:val="20"/>
              </w:rPr>
            </w:pPr>
            <w:r>
              <w:rPr>
                <w:color w:val="000000"/>
                <w:sz w:val="20"/>
                <w:szCs w:val="20"/>
              </w:rPr>
              <w:t>-0.005</w:t>
            </w:r>
          </w:p>
        </w:tc>
        <w:tc>
          <w:tcPr>
            <w:tcW w:w="820" w:type="dxa"/>
            <w:tcBorders>
              <w:top w:val="single" w:sz="12" w:space="0" w:color="auto"/>
              <w:left w:val="nil"/>
              <w:bottom w:val="nil"/>
              <w:right w:val="nil"/>
            </w:tcBorders>
            <w:shd w:val="clear" w:color="auto" w:fill="auto"/>
            <w:noWrap/>
            <w:vAlign w:val="bottom"/>
            <w:hideMark/>
          </w:tcPr>
          <w:p w14:paraId="77011993" w14:textId="77777777" w:rsidR="004664A9" w:rsidRDefault="004664A9">
            <w:pPr>
              <w:jc w:val="right"/>
              <w:rPr>
                <w:color w:val="000000"/>
                <w:sz w:val="20"/>
                <w:szCs w:val="20"/>
              </w:rPr>
            </w:pPr>
            <w:r>
              <w:rPr>
                <w:color w:val="000000"/>
                <w:sz w:val="20"/>
                <w:szCs w:val="20"/>
              </w:rPr>
              <w:t>0.981</w:t>
            </w:r>
          </w:p>
        </w:tc>
        <w:tc>
          <w:tcPr>
            <w:tcW w:w="820" w:type="dxa"/>
            <w:tcBorders>
              <w:top w:val="single" w:sz="12" w:space="0" w:color="auto"/>
              <w:left w:val="nil"/>
              <w:bottom w:val="nil"/>
              <w:right w:val="nil"/>
            </w:tcBorders>
            <w:shd w:val="clear" w:color="auto" w:fill="auto"/>
            <w:noWrap/>
            <w:vAlign w:val="bottom"/>
            <w:hideMark/>
          </w:tcPr>
          <w:p w14:paraId="003F1604" w14:textId="77777777" w:rsidR="004664A9" w:rsidRDefault="004664A9">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0F3C4370" w14:textId="77777777" w:rsidR="004664A9" w:rsidRDefault="004664A9">
            <w:pPr>
              <w:jc w:val="right"/>
              <w:rPr>
                <w:color w:val="000000"/>
                <w:sz w:val="20"/>
                <w:szCs w:val="20"/>
              </w:rPr>
            </w:pPr>
            <w:r>
              <w:rPr>
                <w:color w:val="000000"/>
                <w:sz w:val="20"/>
                <w:szCs w:val="20"/>
              </w:rPr>
              <w:t>-0.012</w:t>
            </w:r>
          </w:p>
        </w:tc>
        <w:tc>
          <w:tcPr>
            <w:tcW w:w="820" w:type="dxa"/>
            <w:tcBorders>
              <w:top w:val="single" w:sz="12" w:space="0" w:color="auto"/>
              <w:left w:val="nil"/>
              <w:bottom w:val="nil"/>
              <w:right w:val="nil"/>
            </w:tcBorders>
            <w:shd w:val="clear" w:color="auto" w:fill="auto"/>
            <w:noWrap/>
            <w:vAlign w:val="bottom"/>
            <w:hideMark/>
          </w:tcPr>
          <w:p w14:paraId="15F3EB12" w14:textId="77777777" w:rsidR="004664A9" w:rsidRDefault="004664A9">
            <w:pPr>
              <w:jc w:val="right"/>
              <w:rPr>
                <w:color w:val="000000"/>
                <w:sz w:val="20"/>
                <w:szCs w:val="20"/>
              </w:rPr>
            </w:pPr>
            <w:r>
              <w:rPr>
                <w:color w:val="000000"/>
                <w:sz w:val="20"/>
                <w:szCs w:val="20"/>
              </w:rPr>
              <w:t>0.728</w:t>
            </w:r>
          </w:p>
        </w:tc>
        <w:tc>
          <w:tcPr>
            <w:tcW w:w="820" w:type="dxa"/>
            <w:tcBorders>
              <w:top w:val="single" w:sz="12" w:space="0" w:color="auto"/>
              <w:left w:val="nil"/>
              <w:bottom w:val="nil"/>
              <w:right w:val="nil"/>
            </w:tcBorders>
            <w:shd w:val="clear" w:color="auto" w:fill="auto"/>
            <w:noWrap/>
            <w:vAlign w:val="bottom"/>
            <w:hideMark/>
          </w:tcPr>
          <w:p w14:paraId="498DC90B" w14:textId="77777777" w:rsidR="004664A9" w:rsidRDefault="004664A9">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5F667D2C" w14:textId="77777777" w:rsidR="004664A9" w:rsidRDefault="004664A9">
            <w:pPr>
              <w:jc w:val="right"/>
              <w:rPr>
                <w:color w:val="000000"/>
                <w:sz w:val="20"/>
                <w:szCs w:val="20"/>
              </w:rPr>
            </w:pPr>
            <w:r>
              <w:rPr>
                <w:color w:val="000000"/>
                <w:sz w:val="20"/>
                <w:szCs w:val="20"/>
              </w:rPr>
              <w:t>-0.010</w:t>
            </w:r>
          </w:p>
        </w:tc>
        <w:tc>
          <w:tcPr>
            <w:tcW w:w="820" w:type="dxa"/>
            <w:tcBorders>
              <w:top w:val="single" w:sz="12" w:space="0" w:color="auto"/>
              <w:left w:val="nil"/>
              <w:bottom w:val="nil"/>
              <w:right w:val="nil"/>
            </w:tcBorders>
            <w:shd w:val="clear" w:color="auto" w:fill="auto"/>
            <w:noWrap/>
            <w:vAlign w:val="bottom"/>
            <w:hideMark/>
          </w:tcPr>
          <w:p w14:paraId="79DCECA7" w14:textId="77777777" w:rsidR="004664A9" w:rsidRDefault="004664A9">
            <w:pPr>
              <w:jc w:val="right"/>
              <w:rPr>
                <w:color w:val="000000"/>
                <w:sz w:val="20"/>
                <w:szCs w:val="20"/>
              </w:rPr>
            </w:pPr>
            <w:r>
              <w:rPr>
                <w:color w:val="000000"/>
                <w:sz w:val="20"/>
                <w:szCs w:val="20"/>
              </w:rPr>
              <w:t>0.786</w:t>
            </w:r>
          </w:p>
        </w:tc>
        <w:tc>
          <w:tcPr>
            <w:tcW w:w="820" w:type="dxa"/>
            <w:tcBorders>
              <w:top w:val="single" w:sz="12" w:space="0" w:color="auto"/>
              <w:left w:val="nil"/>
              <w:bottom w:val="nil"/>
              <w:right w:val="nil"/>
            </w:tcBorders>
            <w:shd w:val="clear" w:color="auto" w:fill="auto"/>
            <w:noWrap/>
            <w:vAlign w:val="bottom"/>
            <w:hideMark/>
          </w:tcPr>
          <w:p w14:paraId="2B6FC38C" w14:textId="77777777" w:rsidR="004664A9" w:rsidRDefault="004664A9">
            <w:pPr>
              <w:jc w:val="right"/>
              <w:rPr>
                <w:color w:val="000000"/>
                <w:sz w:val="20"/>
                <w:szCs w:val="20"/>
              </w:rPr>
            </w:pPr>
            <w:r>
              <w:rPr>
                <w:color w:val="000000"/>
                <w:sz w:val="20"/>
                <w:szCs w:val="20"/>
              </w:rPr>
              <w:t>0.000</w:t>
            </w:r>
          </w:p>
        </w:tc>
      </w:tr>
      <w:tr w:rsidR="004664A9" w14:paraId="6C3E6C4A" w14:textId="77777777" w:rsidTr="00E55A7D">
        <w:trPr>
          <w:trHeight w:val="320"/>
        </w:trPr>
        <w:tc>
          <w:tcPr>
            <w:tcW w:w="1152" w:type="dxa"/>
            <w:tcBorders>
              <w:top w:val="nil"/>
              <w:left w:val="nil"/>
              <w:bottom w:val="nil"/>
              <w:right w:val="nil"/>
            </w:tcBorders>
            <w:shd w:val="clear" w:color="auto" w:fill="auto"/>
            <w:noWrap/>
            <w:vAlign w:val="bottom"/>
            <w:hideMark/>
          </w:tcPr>
          <w:p w14:paraId="134DE9FC" w14:textId="77777777" w:rsidR="004664A9" w:rsidRDefault="004664A9">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2F1613EF" w14:textId="77777777" w:rsidR="004664A9" w:rsidRDefault="004664A9">
            <w:pPr>
              <w:rPr>
                <w:color w:val="000000"/>
                <w:sz w:val="20"/>
                <w:szCs w:val="20"/>
              </w:rPr>
            </w:pPr>
            <w:r>
              <w:rPr>
                <w:color w:val="000000"/>
                <w:sz w:val="20"/>
                <w:szCs w:val="20"/>
              </w:rPr>
              <w:t>17%</w:t>
            </w:r>
          </w:p>
        </w:tc>
        <w:tc>
          <w:tcPr>
            <w:tcW w:w="820" w:type="dxa"/>
            <w:tcBorders>
              <w:top w:val="nil"/>
              <w:left w:val="nil"/>
              <w:bottom w:val="nil"/>
              <w:right w:val="nil"/>
            </w:tcBorders>
            <w:shd w:val="clear" w:color="auto" w:fill="auto"/>
            <w:noWrap/>
            <w:vAlign w:val="bottom"/>
            <w:hideMark/>
          </w:tcPr>
          <w:p w14:paraId="7D0771D1" w14:textId="77777777" w:rsidR="004664A9" w:rsidRDefault="004664A9">
            <w:pPr>
              <w:jc w:val="right"/>
              <w:rPr>
                <w:b/>
                <w:bCs/>
                <w:color w:val="000000"/>
                <w:sz w:val="20"/>
                <w:szCs w:val="20"/>
              </w:rPr>
            </w:pPr>
            <w:r>
              <w:rPr>
                <w:b/>
                <w:bCs/>
                <w:color w:val="000000"/>
                <w:sz w:val="20"/>
                <w:szCs w:val="20"/>
              </w:rPr>
              <w:t>-0.060</w:t>
            </w:r>
          </w:p>
        </w:tc>
        <w:tc>
          <w:tcPr>
            <w:tcW w:w="820" w:type="dxa"/>
            <w:tcBorders>
              <w:top w:val="nil"/>
              <w:left w:val="nil"/>
              <w:bottom w:val="nil"/>
              <w:right w:val="nil"/>
            </w:tcBorders>
            <w:shd w:val="clear" w:color="auto" w:fill="auto"/>
            <w:noWrap/>
            <w:vAlign w:val="bottom"/>
            <w:hideMark/>
          </w:tcPr>
          <w:p w14:paraId="21A64F65" w14:textId="77777777" w:rsidR="004664A9" w:rsidRDefault="004664A9">
            <w:pPr>
              <w:jc w:val="right"/>
              <w:rPr>
                <w:b/>
                <w:bCs/>
                <w:color w:val="000000"/>
                <w:sz w:val="20"/>
                <w:szCs w:val="20"/>
              </w:rPr>
            </w:pPr>
            <w:r>
              <w:rPr>
                <w:b/>
                <w:bCs/>
                <w:color w:val="000000"/>
                <w:sz w:val="20"/>
                <w:szCs w:val="20"/>
              </w:rPr>
              <w:t>0.042</w:t>
            </w:r>
          </w:p>
        </w:tc>
        <w:tc>
          <w:tcPr>
            <w:tcW w:w="820" w:type="dxa"/>
            <w:tcBorders>
              <w:top w:val="nil"/>
              <w:left w:val="nil"/>
              <w:bottom w:val="nil"/>
              <w:right w:val="nil"/>
            </w:tcBorders>
            <w:shd w:val="clear" w:color="auto" w:fill="auto"/>
            <w:noWrap/>
            <w:vAlign w:val="bottom"/>
            <w:hideMark/>
          </w:tcPr>
          <w:p w14:paraId="0440A1E6" w14:textId="77777777" w:rsidR="004664A9" w:rsidRDefault="004664A9">
            <w:pPr>
              <w:jc w:val="right"/>
              <w:rPr>
                <w:b/>
                <w:bCs/>
                <w:color w:val="000000"/>
                <w:sz w:val="20"/>
                <w:szCs w:val="20"/>
              </w:rPr>
            </w:pPr>
            <w:r>
              <w:rPr>
                <w:b/>
                <w:bCs/>
                <w:color w:val="000000"/>
                <w:sz w:val="20"/>
                <w:szCs w:val="20"/>
              </w:rPr>
              <w:t>0.004</w:t>
            </w:r>
          </w:p>
        </w:tc>
        <w:tc>
          <w:tcPr>
            <w:tcW w:w="820" w:type="dxa"/>
            <w:tcBorders>
              <w:top w:val="nil"/>
              <w:left w:val="nil"/>
              <w:bottom w:val="nil"/>
              <w:right w:val="nil"/>
            </w:tcBorders>
            <w:shd w:val="clear" w:color="auto" w:fill="auto"/>
            <w:noWrap/>
            <w:vAlign w:val="bottom"/>
            <w:hideMark/>
          </w:tcPr>
          <w:p w14:paraId="3E8F9D9E" w14:textId="77777777" w:rsidR="004664A9" w:rsidRDefault="004664A9">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269E7E8E" w14:textId="77777777" w:rsidR="004664A9" w:rsidRDefault="004664A9">
            <w:pPr>
              <w:jc w:val="right"/>
              <w:rPr>
                <w:color w:val="000000"/>
                <w:sz w:val="20"/>
                <w:szCs w:val="20"/>
              </w:rPr>
            </w:pPr>
            <w:r>
              <w:rPr>
                <w:color w:val="000000"/>
                <w:sz w:val="20"/>
                <w:szCs w:val="20"/>
              </w:rPr>
              <w:t>0.998</w:t>
            </w:r>
          </w:p>
        </w:tc>
        <w:tc>
          <w:tcPr>
            <w:tcW w:w="820" w:type="dxa"/>
            <w:tcBorders>
              <w:top w:val="nil"/>
              <w:left w:val="nil"/>
              <w:bottom w:val="nil"/>
              <w:right w:val="nil"/>
            </w:tcBorders>
            <w:shd w:val="clear" w:color="auto" w:fill="auto"/>
            <w:noWrap/>
            <w:vAlign w:val="bottom"/>
            <w:hideMark/>
          </w:tcPr>
          <w:p w14:paraId="2969E45B"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5E6A3792" w14:textId="77777777" w:rsidR="004664A9" w:rsidRDefault="004664A9">
            <w:pPr>
              <w:jc w:val="right"/>
              <w:rPr>
                <w:color w:val="000000"/>
                <w:sz w:val="20"/>
                <w:szCs w:val="20"/>
              </w:rPr>
            </w:pPr>
            <w:r>
              <w:rPr>
                <w:color w:val="000000"/>
                <w:sz w:val="20"/>
                <w:szCs w:val="20"/>
              </w:rPr>
              <w:t>-0.003</w:t>
            </w:r>
          </w:p>
        </w:tc>
        <w:tc>
          <w:tcPr>
            <w:tcW w:w="820" w:type="dxa"/>
            <w:tcBorders>
              <w:top w:val="nil"/>
              <w:left w:val="nil"/>
              <w:bottom w:val="nil"/>
              <w:right w:val="nil"/>
            </w:tcBorders>
            <w:shd w:val="clear" w:color="auto" w:fill="auto"/>
            <w:noWrap/>
            <w:vAlign w:val="bottom"/>
            <w:hideMark/>
          </w:tcPr>
          <w:p w14:paraId="2BE2C4F1" w14:textId="77777777" w:rsidR="004664A9" w:rsidRDefault="004664A9">
            <w:pPr>
              <w:jc w:val="right"/>
              <w:rPr>
                <w:color w:val="000000"/>
                <w:sz w:val="20"/>
                <w:szCs w:val="20"/>
              </w:rPr>
            </w:pPr>
            <w:r>
              <w:rPr>
                <w:color w:val="000000"/>
                <w:sz w:val="20"/>
                <w:szCs w:val="20"/>
              </w:rPr>
              <w:t>0.981</w:t>
            </w:r>
          </w:p>
        </w:tc>
        <w:tc>
          <w:tcPr>
            <w:tcW w:w="820" w:type="dxa"/>
            <w:tcBorders>
              <w:top w:val="nil"/>
              <w:left w:val="nil"/>
              <w:bottom w:val="nil"/>
              <w:right w:val="nil"/>
            </w:tcBorders>
            <w:shd w:val="clear" w:color="auto" w:fill="auto"/>
            <w:noWrap/>
            <w:vAlign w:val="bottom"/>
            <w:hideMark/>
          </w:tcPr>
          <w:p w14:paraId="35AA106B"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58449B8E" w14:textId="77777777" w:rsidR="004664A9" w:rsidRDefault="004664A9">
            <w:pPr>
              <w:jc w:val="right"/>
              <w:rPr>
                <w:color w:val="000000"/>
                <w:sz w:val="20"/>
                <w:szCs w:val="20"/>
              </w:rPr>
            </w:pPr>
            <w:r>
              <w:rPr>
                <w:color w:val="000000"/>
                <w:sz w:val="20"/>
                <w:szCs w:val="20"/>
              </w:rPr>
              <w:t>-0.013</w:t>
            </w:r>
          </w:p>
        </w:tc>
        <w:tc>
          <w:tcPr>
            <w:tcW w:w="820" w:type="dxa"/>
            <w:tcBorders>
              <w:top w:val="nil"/>
              <w:left w:val="nil"/>
              <w:bottom w:val="nil"/>
              <w:right w:val="nil"/>
            </w:tcBorders>
            <w:shd w:val="clear" w:color="auto" w:fill="auto"/>
            <w:noWrap/>
            <w:vAlign w:val="bottom"/>
            <w:hideMark/>
          </w:tcPr>
          <w:p w14:paraId="5B1089C0" w14:textId="77777777" w:rsidR="004664A9" w:rsidRDefault="004664A9">
            <w:pPr>
              <w:jc w:val="right"/>
              <w:rPr>
                <w:color w:val="000000"/>
                <w:sz w:val="20"/>
                <w:szCs w:val="20"/>
              </w:rPr>
            </w:pPr>
            <w:r>
              <w:rPr>
                <w:color w:val="000000"/>
                <w:sz w:val="20"/>
                <w:szCs w:val="20"/>
              </w:rPr>
              <w:t>0.728</w:t>
            </w:r>
          </w:p>
        </w:tc>
        <w:tc>
          <w:tcPr>
            <w:tcW w:w="820" w:type="dxa"/>
            <w:tcBorders>
              <w:top w:val="nil"/>
              <w:left w:val="nil"/>
              <w:bottom w:val="nil"/>
              <w:right w:val="nil"/>
            </w:tcBorders>
            <w:shd w:val="clear" w:color="auto" w:fill="auto"/>
            <w:noWrap/>
            <w:vAlign w:val="bottom"/>
            <w:hideMark/>
          </w:tcPr>
          <w:p w14:paraId="24816B8F"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14081A81" w14:textId="77777777" w:rsidR="004664A9" w:rsidRDefault="004664A9">
            <w:pPr>
              <w:jc w:val="right"/>
              <w:rPr>
                <w:color w:val="000000"/>
                <w:sz w:val="20"/>
                <w:szCs w:val="20"/>
              </w:rPr>
            </w:pPr>
            <w:r>
              <w:rPr>
                <w:color w:val="000000"/>
                <w:sz w:val="20"/>
                <w:szCs w:val="20"/>
              </w:rPr>
              <w:t>-0.009</w:t>
            </w:r>
          </w:p>
        </w:tc>
        <w:tc>
          <w:tcPr>
            <w:tcW w:w="820" w:type="dxa"/>
            <w:tcBorders>
              <w:top w:val="nil"/>
              <w:left w:val="nil"/>
              <w:bottom w:val="nil"/>
              <w:right w:val="nil"/>
            </w:tcBorders>
            <w:shd w:val="clear" w:color="auto" w:fill="auto"/>
            <w:noWrap/>
            <w:vAlign w:val="bottom"/>
            <w:hideMark/>
          </w:tcPr>
          <w:p w14:paraId="15ED7A44" w14:textId="77777777" w:rsidR="004664A9" w:rsidRDefault="004664A9">
            <w:pPr>
              <w:jc w:val="right"/>
              <w:rPr>
                <w:color w:val="000000"/>
                <w:sz w:val="20"/>
                <w:szCs w:val="20"/>
              </w:rPr>
            </w:pPr>
            <w:r>
              <w:rPr>
                <w:color w:val="000000"/>
                <w:sz w:val="20"/>
                <w:szCs w:val="20"/>
              </w:rPr>
              <w:t>0.786</w:t>
            </w:r>
          </w:p>
        </w:tc>
        <w:tc>
          <w:tcPr>
            <w:tcW w:w="820" w:type="dxa"/>
            <w:tcBorders>
              <w:top w:val="nil"/>
              <w:left w:val="nil"/>
              <w:bottom w:val="nil"/>
              <w:right w:val="nil"/>
            </w:tcBorders>
            <w:shd w:val="clear" w:color="auto" w:fill="auto"/>
            <w:noWrap/>
            <w:vAlign w:val="bottom"/>
            <w:hideMark/>
          </w:tcPr>
          <w:p w14:paraId="52784D68" w14:textId="77777777" w:rsidR="004664A9" w:rsidRDefault="004664A9">
            <w:pPr>
              <w:jc w:val="right"/>
              <w:rPr>
                <w:color w:val="000000"/>
                <w:sz w:val="20"/>
                <w:szCs w:val="20"/>
              </w:rPr>
            </w:pPr>
            <w:r>
              <w:rPr>
                <w:color w:val="000000"/>
                <w:sz w:val="20"/>
                <w:szCs w:val="20"/>
              </w:rPr>
              <w:t>0.000</w:t>
            </w:r>
          </w:p>
        </w:tc>
      </w:tr>
      <w:tr w:rsidR="004664A9" w14:paraId="652F8F12" w14:textId="77777777" w:rsidTr="00E55A7D">
        <w:trPr>
          <w:trHeight w:val="320"/>
        </w:trPr>
        <w:tc>
          <w:tcPr>
            <w:tcW w:w="1152" w:type="dxa"/>
            <w:tcBorders>
              <w:top w:val="nil"/>
              <w:left w:val="nil"/>
              <w:bottom w:val="nil"/>
              <w:right w:val="nil"/>
            </w:tcBorders>
            <w:shd w:val="clear" w:color="auto" w:fill="auto"/>
            <w:noWrap/>
            <w:vAlign w:val="bottom"/>
            <w:hideMark/>
          </w:tcPr>
          <w:p w14:paraId="31CD4719" w14:textId="77777777" w:rsidR="004664A9" w:rsidRDefault="004664A9">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2B2D596F" w14:textId="77777777" w:rsidR="004664A9" w:rsidRDefault="004664A9">
            <w:pPr>
              <w:rPr>
                <w:color w:val="000000"/>
                <w:sz w:val="20"/>
                <w:szCs w:val="20"/>
              </w:rPr>
            </w:pPr>
            <w:r>
              <w:rPr>
                <w:color w:val="000000"/>
                <w:sz w:val="20"/>
                <w:szCs w:val="20"/>
              </w:rPr>
              <w:t>23%</w:t>
            </w:r>
          </w:p>
        </w:tc>
        <w:tc>
          <w:tcPr>
            <w:tcW w:w="820" w:type="dxa"/>
            <w:tcBorders>
              <w:top w:val="nil"/>
              <w:left w:val="nil"/>
              <w:bottom w:val="nil"/>
              <w:right w:val="nil"/>
            </w:tcBorders>
            <w:shd w:val="clear" w:color="auto" w:fill="auto"/>
            <w:noWrap/>
            <w:vAlign w:val="bottom"/>
            <w:hideMark/>
          </w:tcPr>
          <w:p w14:paraId="05CCB884" w14:textId="77777777" w:rsidR="004664A9" w:rsidRDefault="004664A9">
            <w:pPr>
              <w:jc w:val="right"/>
              <w:rPr>
                <w:b/>
                <w:bCs/>
                <w:color w:val="000000"/>
                <w:sz w:val="20"/>
                <w:szCs w:val="20"/>
              </w:rPr>
            </w:pPr>
            <w:r>
              <w:rPr>
                <w:b/>
                <w:bCs/>
                <w:color w:val="000000"/>
                <w:sz w:val="20"/>
                <w:szCs w:val="20"/>
              </w:rPr>
              <w:t>-0.060</w:t>
            </w:r>
          </w:p>
        </w:tc>
        <w:tc>
          <w:tcPr>
            <w:tcW w:w="820" w:type="dxa"/>
            <w:tcBorders>
              <w:top w:val="nil"/>
              <w:left w:val="nil"/>
              <w:bottom w:val="nil"/>
              <w:right w:val="nil"/>
            </w:tcBorders>
            <w:shd w:val="clear" w:color="auto" w:fill="auto"/>
            <w:noWrap/>
            <w:vAlign w:val="bottom"/>
            <w:hideMark/>
          </w:tcPr>
          <w:p w14:paraId="19CF547B" w14:textId="77777777" w:rsidR="004664A9" w:rsidRDefault="004664A9">
            <w:pPr>
              <w:jc w:val="right"/>
              <w:rPr>
                <w:b/>
                <w:bCs/>
                <w:color w:val="000000"/>
                <w:sz w:val="20"/>
                <w:szCs w:val="20"/>
              </w:rPr>
            </w:pPr>
            <w:r>
              <w:rPr>
                <w:b/>
                <w:bCs/>
                <w:color w:val="000000"/>
                <w:sz w:val="20"/>
                <w:szCs w:val="20"/>
              </w:rPr>
              <w:t>0.042</w:t>
            </w:r>
          </w:p>
        </w:tc>
        <w:tc>
          <w:tcPr>
            <w:tcW w:w="820" w:type="dxa"/>
            <w:tcBorders>
              <w:top w:val="nil"/>
              <w:left w:val="nil"/>
              <w:bottom w:val="nil"/>
              <w:right w:val="nil"/>
            </w:tcBorders>
            <w:shd w:val="clear" w:color="auto" w:fill="auto"/>
            <w:noWrap/>
            <w:vAlign w:val="bottom"/>
            <w:hideMark/>
          </w:tcPr>
          <w:p w14:paraId="41E8B2D3" w14:textId="77777777" w:rsidR="004664A9" w:rsidRDefault="004664A9">
            <w:pPr>
              <w:jc w:val="right"/>
              <w:rPr>
                <w:b/>
                <w:bCs/>
                <w:color w:val="000000"/>
                <w:sz w:val="20"/>
                <w:szCs w:val="20"/>
              </w:rPr>
            </w:pPr>
            <w:r>
              <w:rPr>
                <w:b/>
                <w:bCs/>
                <w:color w:val="000000"/>
                <w:sz w:val="20"/>
                <w:szCs w:val="20"/>
              </w:rPr>
              <w:t>0.004</w:t>
            </w:r>
          </w:p>
        </w:tc>
        <w:tc>
          <w:tcPr>
            <w:tcW w:w="820" w:type="dxa"/>
            <w:tcBorders>
              <w:top w:val="nil"/>
              <w:left w:val="nil"/>
              <w:bottom w:val="nil"/>
              <w:right w:val="nil"/>
            </w:tcBorders>
            <w:shd w:val="clear" w:color="auto" w:fill="auto"/>
            <w:noWrap/>
            <w:vAlign w:val="bottom"/>
            <w:hideMark/>
          </w:tcPr>
          <w:p w14:paraId="17210EB7" w14:textId="77777777" w:rsidR="004664A9" w:rsidRDefault="004664A9">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6A3E2F96" w14:textId="77777777" w:rsidR="004664A9" w:rsidRDefault="004664A9">
            <w:pPr>
              <w:jc w:val="right"/>
              <w:rPr>
                <w:color w:val="000000"/>
                <w:sz w:val="20"/>
                <w:szCs w:val="20"/>
              </w:rPr>
            </w:pPr>
            <w:r>
              <w:rPr>
                <w:color w:val="000000"/>
                <w:sz w:val="20"/>
                <w:szCs w:val="20"/>
              </w:rPr>
              <w:t>0.998</w:t>
            </w:r>
          </w:p>
        </w:tc>
        <w:tc>
          <w:tcPr>
            <w:tcW w:w="820" w:type="dxa"/>
            <w:tcBorders>
              <w:top w:val="nil"/>
              <w:left w:val="nil"/>
              <w:bottom w:val="nil"/>
              <w:right w:val="nil"/>
            </w:tcBorders>
            <w:shd w:val="clear" w:color="auto" w:fill="auto"/>
            <w:noWrap/>
            <w:vAlign w:val="bottom"/>
            <w:hideMark/>
          </w:tcPr>
          <w:p w14:paraId="6EB474AA"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1BECA289" w14:textId="77777777" w:rsidR="004664A9" w:rsidRDefault="004664A9">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60241026" w14:textId="77777777" w:rsidR="004664A9" w:rsidRDefault="004664A9">
            <w:pPr>
              <w:jc w:val="right"/>
              <w:rPr>
                <w:color w:val="000000"/>
                <w:sz w:val="20"/>
                <w:szCs w:val="20"/>
              </w:rPr>
            </w:pPr>
            <w:r>
              <w:rPr>
                <w:color w:val="000000"/>
                <w:sz w:val="20"/>
                <w:szCs w:val="20"/>
              </w:rPr>
              <w:t>0.981</w:t>
            </w:r>
          </w:p>
        </w:tc>
        <w:tc>
          <w:tcPr>
            <w:tcW w:w="820" w:type="dxa"/>
            <w:tcBorders>
              <w:top w:val="nil"/>
              <w:left w:val="nil"/>
              <w:bottom w:val="nil"/>
              <w:right w:val="nil"/>
            </w:tcBorders>
            <w:shd w:val="clear" w:color="auto" w:fill="auto"/>
            <w:noWrap/>
            <w:vAlign w:val="bottom"/>
            <w:hideMark/>
          </w:tcPr>
          <w:p w14:paraId="628C6C5A"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40259DC6" w14:textId="77777777" w:rsidR="004664A9" w:rsidRDefault="004664A9">
            <w:pPr>
              <w:jc w:val="right"/>
              <w:rPr>
                <w:color w:val="000000"/>
                <w:sz w:val="20"/>
                <w:szCs w:val="20"/>
              </w:rPr>
            </w:pPr>
            <w:r>
              <w:rPr>
                <w:color w:val="000000"/>
                <w:sz w:val="20"/>
                <w:szCs w:val="20"/>
              </w:rPr>
              <w:t>-0.011</w:t>
            </w:r>
          </w:p>
        </w:tc>
        <w:tc>
          <w:tcPr>
            <w:tcW w:w="820" w:type="dxa"/>
            <w:tcBorders>
              <w:top w:val="nil"/>
              <w:left w:val="nil"/>
              <w:bottom w:val="nil"/>
              <w:right w:val="nil"/>
            </w:tcBorders>
            <w:shd w:val="clear" w:color="auto" w:fill="auto"/>
            <w:noWrap/>
            <w:vAlign w:val="bottom"/>
            <w:hideMark/>
          </w:tcPr>
          <w:p w14:paraId="7E22900A" w14:textId="77777777" w:rsidR="004664A9" w:rsidRDefault="004664A9">
            <w:pPr>
              <w:jc w:val="right"/>
              <w:rPr>
                <w:color w:val="000000"/>
                <w:sz w:val="20"/>
                <w:szCs w:val="20"/>
              </w:rPr>
            </w:pPr>
            <w:r>
              <w:rPr>
                <w:color w:val="000000"/>
                <w:sz w:val="20"/>
                <w:szCs w:val="20"/>
              </w:rPr>
              <w:t>0.728</w:t>
            </w:r>
          </w:p>
        </w:tc>
        <w:tc>
          <w:tcPr>
            <w:tcW w:w="820" w:type="dxa"/>
            <w:tcBorders>
              <w:top w:val="nil"/>
              <w:left w:val="nil"/>
              <w:bottom w:val="nil"/>
              <w:right w:val="nil"/>
            </w:tcBorders>
            <w:shd w:val="clear" w:color="auto" w:fill="auto"/>
            <w:noWrap/>
            <w:vAlign w:val="bottom"/>
            <w:hideMark/>
          </w:tcPr>
          <w:p w14:paraId="0EFCCB0B"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13061EC5" w14:textId="77777777" w:rsidR="004664A9" w:rsidRDefault="004664A9">
            <w:pPr>
              <w:jc w:val="right"/>
              <w:rPr>
                <w:color w:val="000000"/>
                <w:sz w:val="20"/>
                <w:szCs w:val="20"/>
              </w:rPr>
            </w:pPr>
            <w:r>
              <w:rPr>
                <w:color w:val="000000"/>
                <w:sz w:val="20"/>
                <w:szCs w:val="20"/>
              </w:rPr>
              <w:t>-0.011</w:t>
            </w:r>
          </w:p>
        </w:tc>
        <w:tc>
          <w:tcPr>
            <w:tcW w:w="820" w:type="dxa"/>
            <w:tcBorders>
              <w:top w:val="nil"/>
              <w:left w:val="nil"/>
              <w:bottom w:val="nil"/>
              <w:right w:val="nil"/>
            </w:tcBorders>
            <w:shd w:val="clear" w:color="auto" w:fill="auto"/>
            <w:noWrap/>
            <w:vAlign w:val="bottom"/>
            <w:hideMark/>
          </w:tcPr>
          <w:p w14:paraId="6CD720C3" w14:textId="77777777" w:rsidR="004664A9" w:rsidRDefault="004664A9">
            <w:pPr>
              <w:jc w:val="right"/>
              <w:rPr>
                <w:color w:val="000000"/>
                <w:sz w:val="20"/>
                <w:szCs w:val="20"/>
              </w:rPr>
            </w:pPr>
            <w:r>
              <w:rPr>
                <w:color w:val="000000"/>
                <w:sz w:val="20"/>
                <w:szCs w:val="20"/>
              </w:rPr>
              <w:t>0.786</w:t>
            </w:r>
          </w:p>
        </w:tc>
        <w:tc>
          <w:tcPr>
            <w:tcW w:w="820" w:type="dxa"/>
            <w:tcBorders>
              <w:top w:val="nil"/>
              <w:left w:val="nil"/>
              <w:bottom w:val="nil"/>
              <w:right w:val="nil"/>
            </w:tcBorders>
            <w:shd w:val="clear" w:color="auto" w:fill="auto"/>
            <w:noWrap/>
            <w:vAlign w:val="bottom"/>
            <w:hideMark/>
          </w:tcPr>
          <w:p w14:paraId="1410D7B2" w14:textId="77777777" w:rsidR="004664A9" w:rsidRDefault="004664A9">
            <w:pPr>
              <w:jc w:val="right"/>
              <w:rPr>
                <w:color w:val="000000"/>
                <w:sz w:val="20"/>
                <w:szCs w:val="20"/>
              </w:rPr>
            </w:pPr>
            <w:r>
              <w:rPr>
                <w:color w:val="000000"/>
                <w:sz w:val="20"/>
                <w:szCs w:val="20"/>
              </w:rPr>
              <w:t>0.000</w:t>
            </w:r>
          </w:p>
        </w:tc>
      </w:tr>
      <w:tr w:rsidR="004664A9" w14:paraId="3C62F03F" w14:textId="77777777" w:rsidTr="00E55A7D">
        <w:trPr>
          <w:trHeight w:val="340"/>
        </w:trPr>
        <w:tc>
          <w:tcPr>
            <w:tcW w:w="1152" w:type="dxa"/>
            <w:tcBorders>
              <w:top w:val="nil"/>
              <w:left w:val="nil"/>
              <w:bottom w:val="single" w:sz="12" w:space="0" w:color="auto"/>
              <w:right w:val="nil"/>
            </w:tcBorders>
            <w:shd w:val="clear" w:color="auto" w:fill="auto"/>
            <w:noWrap/>
            <w:vAlign w:val="bottom"/>
            <w:hideMark/>
          </w:tcPr>
          <w:p w14:paraId="6C908359" w14:textId="77777777" w:rsidR="004664A9" w:rsidRDefault="004664A9">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7F0BD70D" w14:textId="77777777" w:rsidR="004664A9" w:rsidRDefault="004664A9">
            <w:pPr>
              <w:rPr>
                <w:color w:val="000000"/>
                <w:sz w:val="20"/>
                <w:szCs w:val="20"/>
              </w:rPr>
            </w:pPr>
            <w:r>
              <w:rPr>
                <w:color w:val="000000"/>
                <w:sz w:val="20"/>
                <w:szCs w:val="20"/>
              </w:rPr>
              <w:t>30%</w:t>
            </w:r>
          </w:p>
        </w:tc>
        <w:tc>
          <w:tcPr>
            <w:tcW w:w="820" w:type="dxa"/>
            <w:tcBorders>
              <w:top w:val="nil"/>
              <w:left w:val="nil"/>
              <w:bottom w:val="single" w:sz="12" w:space="0" w:color="auto"/>
              <w:right w:val="nil"/>
            </w:tcBorders>
            <w:shd w:val="clear" w:color="auto" w:fill="auto"/>
            <w:noWrap/>
            <w:vAlign w:val="bottom"/>
            <w:hideMark/>
          </w:tcPr>
          <w:p w14:paraId="04461951" w14:textId="77777777" w:rsidR="004664A9" w:rsidRDefault="004664A9">
            <w:pPr>
              <w:jc w:val="right"/>
              <w:rPr>
                <w:b/>
                <w:bCs/>
                <w:color w:val="000000"/>
                <w:sz w:val="20"/>
                <w:szCs w:val="20"/>
              </w:rPr>
            </w:pPr>
            <w:r>
              <w:rPr>
                <w:b/>
                <w:bCs/>
                <w:color w:val="000000"/>
                <w:sz w:val="20"/>
                <w:szCs w:val="20"/>
              </w:rPr>
              <w:t>-0.060</w:t>
            </w:r>
          </w:p>
        </w:tc>
        <w:tc>
          <w:tcPr>
            <w:tcW w:w="820" w:type="dxa"/>
            <w:tcBorders>
              <w:top w:val="nil"/>
              <w:left w:val="nil"/>
              <w:bottom w:val="single" w:sz="12" w:space="0" w:color="auto"/>
              <w:right w:val="nil"/>
            </w:tcBorders>
            <w:shd w:val="clear" w:color="auto" w:fill="auto"/>
            <w:noWrap/>
            <w:vAlign w:val="bottom"/>
            <w:hideMark/>
          </w:tcPr>
          <w:p w14:paraId="1045FB31" w14:textId="77777777" w:rsidR="004664A9" w:rsidRDefault="004664A9">
            <w:pPr>
              <w:jc w:val="right"/>
              <w:rPr>
                <w:b/>
                <w:bCs/>
                <w:color w:val="000000"/>
                <w:sz w:val="20"/>
                <w:szCs w:val="20"/>
              </w:rPr>
            </w:pPr>
            <w:r>
              <w:rPr>
                <w:b/>
                <w:bCs/>
                <w:color w:val="000000"/>
                <w:sz w:val="20"/>
                <w:szCs w:val="20"/>
              </w:rPr>
              <w:t>0.042</w:t>
            </w:r>
          </w:p>
        </w:tc>
        <w:tc>
          <w:tcPr>
            <w:tcW w:w="820" w:type="dxa"/>
            <w:tcBorders>
              <w:top w:val="nil"/>
              <w:left w:val="nil"/>
              <w:bottom w:val="single" w:sz="12" w:space="0" w:color="auto"/>
              <w:right w:val="nil"/>
            </w:tcBorders>
            <w:shd w:val="clear" w:color="auto" w:fill="auto"/>
            <w:noWrap/>
            <w:vAlign w:val="bottom"/>
            <w:hideMark/>
          </w:tcPr>
          <w:p w14:paraId="67C23435" w14:textId="77777777" w:rsidR="004664A9" w:rsidRDefault="004664A9">
            <w:pPr>
              <w:jc w:val="right"/>
              <w:rPr>
                <w:b/>
                <w:bCs/>
                <w:color w:val="000000"/>
                <w:sz w:val="20"/>
                <w:szCs w:val="20"/>
              </w:rPr>
            </w:pPr>
            <w:r>
              <w:rPr>
                <w:b/>
                <w:bCs/>
                <w:color w:val="000000"/>
                <w:sz w:val="20"/>
                <w:szCs w:val="20"/>
              </w:rPr>
              <w:t>0.004</w:t>
            </w:r>
          </w:p>
        </w:tc>
        <w:tc>
          <w:tcPr>
            <w:tcW w:w="820" w:type="dxa"/>
            <w:tcBorders>
              <w:top w:val="nil"/>
              <w:left w:val="nil"/>
              <w:bottom w:val="single" w:sz="12" w:space="0" w:color="auto"/>
              <w:right w:val="nil"/>
            </w:tcBorders>
            <w:shd w:val="clear" w:color="auto" w:fill="auto"/>
            <w:noWrap/>
            <w:vAlign w:val="bottom"/>
            <w:hideMark/>
          </w:tcPr>
          <w:p w14:paraId="2059B1F1" w14:textId="77777777" w:rsidR="004664A9" w:rsidRDefault="004664A9">
            <w:pPr>
              <w:jc w:val="right"/>
              <w:rPr>
                <w:color w:val="000000"/>
                <w:sz w:val="20"/>
                <w:szCs w:val="20"/>
              </w:rPr>
            </w:pPr>
            <w:r>
              <w:rPr>
                <w:color w:val="000000"/>
                <w:sz w:val="20"/>
                <w:szCs w:val="20"/>
              </w:rPr>
              <w:t>-0.002</w:t>
            </w:r>
          </w:p>
        </w:tc>
        <w:tc>
          <w:tcPr>
            <w:tcW w:w="820" w:type="dxa"/>
            <w:tcBorders>
              <w:top w:val="nil"/>
              <w:left w:val="nil"/>
              <w:bottom w:val="single" w:sz="12" w:space="0" w:color="auto"/>
              <w:right w:val="nil"/>
            </w:tcBorders>
            <w:shd w:val="clear" w:color="auto" w:fill="auto"/>
            <w:noWrap/>
            <w:vAlign w:val="bottom"/>
            <w:hideMark/>
          </w:tcPr>
          <w:p w14:paraId="2C0C387A" w14:textId="77777777" w:rsidR="004664A9" w:rsidRDefault="004664A9">
            <w:pPr>
              <w:jc w:val="right"/>
              <w:rPr>
                <w:color w:val="000000"/>
                <w:sz w:val="20"/>
                <w:szCs w:val="20"/>
              </w:rPr>
            </w:pPr>
            <w:r>
              <w:rPr>
                <w:color w:val="000000"/>
                <w:sz w:val="20"/>
                <w:szCs w:val="20"/>
              </w:rPr>
              <w:t>0.998</w:t>
            </w:r>
          </w:p>
        </w:tc>
        <w:tc>
          <w:tcPr>
            <w:tcW w:w="820" w:type="dxa"/>
            <w:tcBorders>
              <w:top w:val="nil"/>
              <w:left w:val="nil"/>
              <w:bottom w:val="single" w:sz="12" w:space="0" w:color="auto"/>
              <w:right w:val="nil"/>
            </w:tcBorders>
            <w:shd w:val="clear" w:color="auto" w:fill="auto"/>
            <w:noWrap/>
            <w:vAlign w:val="bottom"/>
            <w:hideMark/>
          </w:tcPr>
          <w:p w14:paraId="6BDF768F"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76D44EC5" w14:textId="77777777" w:rsidR="004664A9" w:rsidRDefault="004664A9">
            <w:pPr>
              <w:jc w:val="right"/>
              <w:rPr>
                <w:color w:val="000000"/>
                <w:sz w:val="20"/>
                <w:szCs w:val="20"/>
              </w:rPr>
            </w:pPr>
            <w:r>
              <w:rPr>
                <w:color w:val="000000"/>
                <w:sz w:val="20"/>
                <w:szCs w:val="20"/>
              </w:rPr>
              <w:t>0.002</w:t>
            </w:r>
          </w:p>
        </w:tc>
        <w:tc>
          <w:tcPr>
            <w:tcW w:w="820" w:type="dxa"/>
            <w:tcBorders>
              <w:top w:val="nil"/>
              <w:left w:val="nil"/>
              <w:bottom w:val="single" w:sz="12" w:space="0" w:color="auto"/>
              <w:right w:val="nil"/>
            </w:tcBorders>
            <w:shd w:val="clear" w:color="auto" w:fill="auto"/>
            <w:noWrap/>
            <w:vAlign w:val="bottom"/>
            <w:hideMark/>
          </w:tcPr>
          <w:p w14:paraId="49DEE177" w14:textId="77777777" w:rsidR="004664A9" w:rsidRDefault="004664A9">
            <w:pPr>
              <w:jc w:val="right"/>
              <w:rPr>
                <w:color w:val="000000"/>
                <w:sz w:val="20"/>
                <w:szCs w:val="20"/>
              </w:rPr>
            </w:pPr>
            <w:r>
              <w:rPr>
                <w:color w:val="000000"/>
                <w:sz w:val="20"/>
                <w:szCs w:val="20"/>
              </w:rPr>
              <w:t>0.981</w:t>
            </w:r>
          </w:p>
        </w:tc>
        <w:tc>
          <w:tcPr>
            <w:tcW w:w="820" w:type="dxa"/>
            <w:tcBorders>
              <w:top w:val="nil"/>
              <w:left w:val="nil"/>
              <w:bottom w:val="single" w:sz="12" w:space="0" w:color="auto"/>
              <w:right w:val="nil"/>
            </w:tcBorders>
            <w:shd w:val="clear" w:color="auto" w:fill="auto"/>
            <w:noWrap/>
            <w:vAlign w:val="bottom"/>
            <w:hideMark/>
          </w:tcPr>
          <w:p w14:paraId="067C5C7D"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6BF4DB1C" w14:textId="77777777" w:rsidR="004664A9" w:rsidRDefault="004664A9">
            <w:pPr>
              <w:jc w:val="right"/>
              <w:rPr>
                <w:color w:val="000000"/>
                <w:sz w:val="20"/>
                <w:szCs w:val="20"/>
              </w:rPr>
            </w:pPr>
            <w:r>
              <w:rPr>
                <w:color w:val="000000"/>
                <w:sz w:val="20"/>
                <w:szCs w:val="20"/>
              </w:rPr>
              <w:t>-0.010</w:t>
            </w:r>
          </w:p>
        </w:tc>
        <w:tc>
          <w:tcPr>
            <w:tcW w:w="820" w:type="dxa"/>
            <w:tcBorders>
              <w:top w:val="nil"/>
              <w:left w:val="nil"/>
              <w:bottom w:val="single" w:sz="12" w:space="0" w:color="auto"/>
              <w:right w:val="nil"/>
            </w:tcBorders>
            <w:shd w:val="clear" w:color="auto" w:fill="auto"/>
            <w:noWrap/>
            <w:vAlign w:val="bottom"/>
            <w:hideMark/>
          </w:tcPr>
          <w:p w14:paraId="2B86A7C0" w14:textId="77777777" w:rsidR="004664A9" w:rsidRDefault="004664A9">
            <w:pPr>
              <w:jc w:val="right"/>
              <w:rPr>
                <w:color w:val="000000"/>
                <w:sz w:val="20"/>
                <w:szCs w:val="20"/>
              </w:rPr>
            </w:pPr>
            <w:r>
              <w:rPr>
                <w:color w:val="000000"/>
                <w:sz w:val="20"/>
                <w:szCs w:val="20"/>
              </w:rPr>
              <w:t>0.728</w:t>
            </w:r>
          </w:p>
        </w:tc>
        <w:tc>
          <w:tcPr>
            <w:tcW w:w="820" w:type="dxa"/>
            <w:tcBorders>
              <w:top w:val="nil"/>
              <w:left w:val="nil"/>
              <w:bottom w:val="single" w:sz="12" w:space="0" w:color="auto"/>
              <w:right w:val="nil"/>
            </w:tcBorders>
            <w:shd w:val="clear" w:color="auto" w:fill="auto"/>
            <w:noWrap/>
            <w:vAlign w:val="bottom"/>
            <w:hideMark/>
          </w:tcPr>
          <w:p w14:paraId="67DE3DD9"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53F7AA83" w14:textId="77777777" w:rsidR="004664A9" w:rsidRDefault="004664A9">
            <w:pPr>
              <w:jc w:val="right"/>
              <w:rPr>
                <w:color w:val="000000"/>
                <w:sz w:val="20"/>
                <w:szCs w:val="20"/>
              </w:rPr>
            </w:pPr>
            <w:r>
              <w:rPr>
                <w:color w:val="000000"/>
                <w:sz w:val="20"/>
                <w:szCs w:val="20"/>
              </w:rPr>
              <w:t>-0.012</w:t>
            </w:r>
          </w:p>
        </w:tc>
        <w:tc>
          <w:tcPr>
            <w:tcW w:w="820" w:type="dxa"/>
            <w:tcBorders>
              <w:top w:val="nil"/>
              <w:left w:val="nil"/>
              <w:bottom w:val="single" w:sz="12" w:space="0" w:color="auto"/>
              <w:right w:val="nil"/>
            </w:tcBorders>
            <w:shd w:val="clear" w:color="auto" w:fill="auto"/>
            <w:noWrap/>
            <w:vAlign w:val="bottom"/>
            <w:hideMark/>
          </w:tcPr>
          <w:p w14:paraId="5F554705" w14:textId="77777777" w:rsidR="004664A9" w:rsidRDefault="004664A9">
            <w:pPr>
              <w:jc w:val="right"/>
              <w:rPr>
                <w:color w:val="000000"/>
                <w:sz w:val="20"/>
                <w:szCs w:val="20"/>
              </w:rPr>
            </w:pPr>
            <w:r>
              <w:rPr>
                <w:color w:val="000000"/>
                <w:sz w:val="20"/>
                <w:szCs w:val="20"/>
              </w:rPr>
              <w:t>0.786</w:t>
            </w:r>
          </w:p>
        </w:tc>
        <w:tc>
          <w:tcPr>
            <w:tcW w:w="820" w:type="dxa"/>
            <w:tcBorders>
              <w:top w:val="nil"/>
              <w:left w:val="nil"/>
              <w:bottom w:val="single" w:sz="12" w:space="0" w:color="auto"/>
              <w:right w:val="nil"/>
            </w:tcBorders>
            <w:shd w:val="clear" w:color="auto" w:fill="auto"/>
            <w:noWrap/>
            <w:vAlign w:val="bottom"/>
            <w:hideMark/>
          </w:tcPr>
          <w:p w14:paraId="65926614" w14:textId="77777777" w:rsidR="004664A9" w:rsidRDefault="004664A9">
            <w:pPr>
              <w:jc w:val="right"/>
              <w:rPr>
                <w:color w:val="000000"/>
                <w:sz w:val="20"/>
                <w:szCs w:val="20"/>
              </w:rPr>
            </w:pPr>
            <w:r>
              <w:rPr>
                <w:color w:val="000000"/>
                <w:sz w:val="20"/>
                <w:szCs w:val="20"/>
              </w:rPr>
              <w:t>0.000</w:t>
            </w:r>
          </w:p>
        </w:tc>
      </w:tr>
      <w:tr w:rsidR="004664A9" w14:paraId="02E597EE" w14:textId="77777777" w:rsidTr="00E55A7D">
        <w:trPr>
          <w:trHeight w:val="320"/>
        </w:trPr>
        <w:tc>
          <w:tcPr>
            <w:tcW w:w="1152" w:type="dxa"/>
            <w:tcBorders>
              <w:top w:val="single" w:sz="12" w:space="0" w:color="auto"/>
              <w:left w:val="nil"/>
              <w:bottom w:val="nil"/>
              <w:right w:val="nil"/>
            </w:tcBorders>
            <w:shd w:val="clear" w:color="auto" w:fill="auto"/>
            <w:noWrap/>
            <w:vAlign w:val="bottom"/>
            <w:hideMark/>
          </w:tcPr>
          <w:p w14:paraId="3AA778B4" w14:textId="77777777" w:rsidR="004664A9" w:rsidRDefault="004664A9">
            <w:pPr>
              <w:rPr>
                <w:color w:val="000000"/>
                <w:sz w:val="20"/>
                <w:szCs w:val="20"/>
              </w:rPr>
            </w:pPr>
            <w:r>
              <w:rPr>
                <w:color w:val="000000"/>
                <w:sz w:val="20"/>
                <w:szCs w:val="20"/>
              </w:rPr>
              <w:t>SST</w:t>
            </w:r>
          </w:p>
        </w:tc>
        <w:tc>
          <w:tcPr>
            <w:tcW w:w="1027" w:type="dxa"/>
            <w:tcBorders>
              <w:top w:val="single" w:sz="12" w:space="0" w:color="auto"/>
              <w:left w:val="nil"/>
              <w:bottom w:val="nil"/>
              <w:right w:val="nil"/>
            </w:tcBorders>
            <w:shd w:val="clear" w:color="auto" w:fill="auto"/>
            <w:noWrap/>
            <w:vAlign w:val="bottom"/>
            <w:hideMark/>
          </w:tcPr>
          <w:p w14:paraId="45CE66BC" w14:textId="77777777" w:rsidR="004664A9" w:rsidRDefault="004664A9">
            <w:pPr>
              <w:rPr>
                <w:color w:val="000000"/>
                <w:sz w:val="20"/>
                <w:szCs w:val="20"/>
              </w:rPr>
            </w:pPr>
            <w:r>
              <w:rPr>
                <w:color w:val="000000"/>
                <w:sz w:val="20"/>
                <w:szCs w:val="20"/>
              </w:rPr>
              <w:t>10%</w:t>
            </w:r>
          </w:p>
        </w:tc>
        <w:tc>
          <w:tcPr>
            <w:tcW w:w="820" w:type="dxa"/>
            <w:tcBorders>
              <w:top w:val="single" w:sz="12" w:space="0" w:color="auto"/>
              <w:left w:val="nil"/>
              <w:bottom w:val="nil"/>
              <w:right w:val="nil"/>
            </w:tcBorders>
            <w:shd w:val="clear" w:color="auto" w:fill="auto"/>
            <w:noWrap/>
            <w:vAlign w:val="bottom"/>
            <w:hideMark/>
          </w:tcPr>
          <w:p w14:paraId="1A480FDE" w14:textId="77777777" w:rsidR="004664A9" w:rsidRDefault="004664A9">
            <w:pPr>
              <w:jc w:val="right"/>
              <w:rPr>
                <w:color w:val="000000"/>
                <w:sz w:val="20"/>
                <w:szCs w:val="20"/>
              </w:rPr>
            </w:pPr>
            <w:r>
              <w:rPr>
                <w:color w:val="000000"/>
                <w:sz w:val="20"/>
                <w:szCs w:val="20"/>
              </w:rPr>
              <w:t>-0.008</w:t>
            </w:r>
          </w:p>
        </w:tc>
        <w:tc>
          <w:tcPr>
            <w:tcW w:w="820" w:type="dxa"/>
            <w:tcBorders>
              <w:top w:val="single" w:sz="12" w:space="0" w:color="auto"/>
              <w:left w:val="nil"/>
              <w:bottom w:val="nil"/>
              <w:right w:val="nil"/>
            </w:tcBorders>
            <w:shd w:val="clear" w:color="auto" w:fill="auto"/>
            <w:noWrap/>
            <w:vAlign w:val="bottom"/>
            <w:hideMark/>
          </w:tcPr>
          <w:p w14:paraId="59957BC2" w14:textId="77777777" w:rsidR="004664A9" w:rsidRDefault="004664A9">
            <w:pPr>
              <w:jc w:val="right"/>
              <w:rPr>
                <w:color w:val="000000"/>
                <w:sz w:val="20"/>
                <w:szCs w:val="20"/>
              </w:rPr>
            </w:pPr>
            <w:r>
              <w:rPr>
                <w:color w:val="000000"/>
                <w:sz w:val="20"/>
                <w:szCs w:val="20"/>
              </w:rPr>
              <w:t>0.792</w:t>
            </w:r>
          </w:p>
        </w:tc>
        <w:tc>
          <w:tcPr>
            <w:tcW w:w="820" w:type="dxa"/>
            <w:tcBorders>
              <w:top w:val="single" w:sz="12" w:space="0" w:color="auto"/>
              <w:left w:val="nil"/>
              <w:bottom w:val="nil"/>
              <w:right w:val="nil"/>
            </w:tcBorders>
            <w:shd w:val="clear" w:color="auto" w:fill="auto"/>
            <w:noWrap/>
            <w:vAlign w:val="bottom"/>
            <w:hideMark/>
          </w:tcPr>
          <w:p w14:paraId="56B99F96" w14:textId="77777777" w:rsidR="004664A9" w:rsidRDefault="004664A9">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2A2C1CBA" w14:textId="77777777" w:rsidR="004664A9" w:rsidRDefault="004664A9">
            <w:pPr>
              <w:jc w:val="right"/>
              <w:rPr>
                <w:color w:val="000000"/>
                <w:sz w:val="20"/>
                <w:szCs w:val="20"/>
              </w:rPr>
            </w:pPr>
            <w:r>
              <w:rPr>
                <w:color w:val="000000"/>
                <w:sz w:val="20"/>
                <w:szCs w:val="20"/>
              </w:rPr>
              <w:t>-0.026</w:t>
            </w:r>
          </w:p>
        </w:tc>
        <w:tc>
          <w:tcPr>
            <w:tcW w:w="820" w:type="dxa"/>
            <w:tcBorders>
              <w:top w:val="single" w:sz="12" w:space="0" w:color="auto"/>
              <w:left w:val="nil"/>
              <w:bottom w:val="nil"/>
              <w:right w:val="nil"/>
            </w:tcBorders>
            <w:shd w:val="clear" w:color="auto" w:fill="auto"/>
            <w:noWrap/>
            <w:vAlign w:val="bottom"/>
            <w:hideMark/>
          </w:tcPr>
          <w:p w14:paraId="7956E03C" w14:textId="77777777" w:rsidR="004664A9" w:rsidRDefault="004664A9">
            <w:pPr>
              <w:jc w:val="right"/>
              <w:rPr>
                <w:color w:val="000000"/>
                <w:sz w:val="20"/>
                <w:szCs w:val="20"/>
              </w:rPr>
            </w:pPr>
            <w:r>
              <w:rPr>
                <w:color w:val="000000"/>
                <w:sz w:val="20"/>
                <w:szCs w:val="20"/>
              </w:rPr>
              <w:t>0.379</w:t>
            </w:r>
          </w:p>
        </w:tc>
        <w:tc>
          <w:tcPr>
            <w:tcW w:w="820" w:type="dxa"/>
            <w:tcBorders>
              <w:top w:val="single" w:sz="12" w:space="0" w:color="auto"/>
              <w:left w:val="nil"/>
              <w:bottom w:val="nil"/>
              <w:right w:val="nil"/>
            </w:tcBorders>
            <w:shd w:val="clear" w:color="auto" w:fill="auto"/>
            <w:noWrap/>
            <w:vAlign w:val="bottom"/>
            <w:hideMark/>
          </w:tcPr>
          <w:p w14:paraId="14E567BE" w14:textId="77777777" w:rsidR="004664A9" w:rsidRDefault="004664A9">
            <w:pPr>
              <w:jc w:val="right"/>
              <w:rPr>
                <w:color w:val="000000"/>
                <w:sz w:val="20"/>
                <w:szCs w:val="20"/>
              </w:rPr>
            </w:pPr>
            <w:r>
              <w:rPr>
                <w:color w:val="000000"/>
                <w:sz w:val="20"/>
                <w:szCs w:val="20"/>
              </w:rPr>
              <w:t>0.001</w:t>
            </w:r>
          </w:p>
        </w:tc>
        <w:tc>
          <w:tcPr>
            <w:tcW w:w="820" w:type="dxa"/>
            <w:tcBorders>
              <w:top w:val="single" w:sz="12" w:space="0" w:color="auto"/>
              <w:left w:val="nil"/>
              <w:bottom w:val="nil"/>
              <w:right w:val="nil"/>
            </w:tcBorders>
            <w:shd w:val="clear" w:color="auto" w:fill="auto"/>
            <w:noWrap/>
            <w:vAlign w:val="bottom"/>
            <w:hideMark/>
          </w:tcPr>
          <w:p w14:paraId="3FC9A6EF" w14:textId="77777777" w:rsidR="004664A9" w:rsidRDefault="004664A9">
            <w:pPr>
              <w:jc w:val="right"/>
              <w:rPr>
                <w:b/>
                <w:bCs/>
                <w:color w:val="000000"/>
                <w:sz w:val="20"/>
                <w:szCs w:val="20"/>
              </w:rPr>
            </w:pPr>
            <w:r>
              <w:rPr>
                <w:b/>
                <w:bCs/>
                <w:color w:val="000000"/>
                <w:sz w:val="20"/>
                <w:szCs w:val="20"/>
              </w:rPr>
              <w:t>-0.098</w:t>
            </w:r>
          </w:p>
        </w:tc>
        <w:tc>
          <w:tcPr>
            <w:tcW w:w="820" w:type="dxa"/>
            <w:tcBorders>
              <w:top w:val="single" w:sz="12" w:space="0" w:color="auto"/>
              <w:left w:val="nil"/>
              <w:bottom w:val="nil"/>
              <w:right w:val="nil"/>
            </w:tcBorders>
            <w:shd w:val="clear" w:color="auto" w:fill="auto"/>
            <w:noWrap/>
            <w:vAlign w:val="bottom"/>
            <w:hideMark/>
          </w:tcPr>
          <w:p w14:paraId="36160088" w14:textId="77777777" w:rsidR="004664A9" w:rsidRDefault="004664A9">
            <w:pPr>
              <w:jc w:val="right"/>
              <w:rPr>
                <w:b/>
                <w:bCs/>
                <w:color w:val="000000"/>
                <w:sz w:val="20"/>
                <w:szCs w:val="20"/>
              </w:rPr>
            </w:pPr>
            <w:r>
              <w:rPr>
                <w:b/>
                <w:bCs/>
                <w:color w:val="000000"/>
                <w:sz w:val="20"/>
                <w:szCs w:val="20"/>
              </w:rPr>
              <w:t>0.001</w:t>
            </w:r>
          </w:p>
        </w:tc>
        <w:tc>
          <w:tcPr>
            <w:tcW w:w="820" w:type="dxa"/>
            <w:tcBorders>
              <w:top w:val="single" w:sz="12" w:space="0" w:color="auto"/>
              <w:left w:val="nil"/>
              <w:bottom w:val="nil"/>
              <w:right w:val="nil"/>
            </w:tcBorders>
            <w:shd w:val="clear" w:color="auto" w:fill="auto"/>
            <w:noWrap/>
            <w:vAlign w:val="bottom"/>
            <w:hideMark/>
          </w:tcPr>
          <w:p w14:paraId="051F35DB" w14:textId="77777777" w:rsidR="004664A9" w:rsidRDefault="004664A9">
            <w:pPr>
              <w:jc w:val="right"/>
              <w:rPr>
                <w:b/>
                <w:bCs/>
                <w:color w:val="000000"/>
                <w:sz w:val="20"/>
                <w:szCs w:val="20"/>
              </w:rPr>
            </w:pPr>
            <w:r>
              <w:rPr>
                <w:b/>
                <w:bCs/>
                <w:color w:val="000000"/>
                <w:sz w:val="20"/>
                <w:szCs w:val="20"/>
              </w:rPr>
              <w:t>0.010</w:t>
            </w:r>
          </w:p>
        </w:tc>
        <w:tc>
          <w:tcPr>
            <w:tcW w:w="820" w:type="dxa"/>
            <w:tcBorders>
              <w:top w:val="single" w:sz="12" w:space="0" w:color="auto"/>
              <w:left w:val="nil"/>
              <w:bottom w:val="nil"/>
              <w:right w:val="nil"/>
            </w:tcBorders>
            <w:shd w:val="clear" w:color="auto" w:fill="auto"/>
            <w:noWrap/>
            <w:vAlign w:val="bottom"/>
            <w:hideMark/>
          </w:tcPr>
          <w:p w14:paraId="1961BADF" w14:textId="77777777" w:rsidR="004664A9" w:rsidRDefault="004664A9">
            <w:pPr>
              <w:jc w:val="right"/>
              <w:rPr>
                <w:color w:val="000000"/>
                <w:sz w:val="20"/>
                <w:szCs w:val="20"/>
              </w:rPr>
            </w:pPr>
            <w:r>
              <w:rPr>
                <w:color w:val="000000"/>
                <w:sz w:val="20"/>
                <w:szCs w:val="20"/>
              </w:rPr>
              <w:t>0.050</w:t>
            </w:r>
          </w:p>
        </w:tc>
        <w:tc>
          <w:tcPr>
            <w:tcW w:w="820" w:type="dxa"/>
            <w:tcBorders>
              <w:top w:val="single" w:sz="12" w:space="0" w:color="auto"/>
              <w:left w:val="nil"/>
              <w:bottom w:val="nil"/>
              <w:right w:val="nil"/>
            </w:tcBorders>
            <w:shd w:val="clear" w:color="auto" w:fill="auto"/>
            <w:noWrap/>
            <w:vAlign w:val="bottom"/>
            <w:hideMark/>
          </w:tcPr>
          <w:p w14:paraId="554ACC36" w14:textId="77777777" w:rsidR="004664A9" w:rsidRDefault="004664A9">
            <w:pPr>
              <w:jc w:val="right"/>
              <w:rPr>
                <w:color w:val="000000"/>
                <w:sz w:val="20"/>
                <w:szCs w:val="20"/>
              </w:rPr>
            </w:pPr>
            <w:r>
              <w:rPr>
                <w:color w:val="000000"/>
                <w:sz w:val="20"/>
                <w:szCs w:val="20"/>
              </w:rPr>
              <w:t>0.076</w:t>
            </w:r>
          </w:p>
        </w:tc>
        <w:tc>
          <w:tcPr>
            <w:tcW w:w="820" w:type="dxa"/>
            <w:tcBorders>
              <w:top w:val="single" w:sz="12" w:space="0" w:color="auto"/>
              <w:left w:val="nil"/>
              <w:bottom w:val="nil"/>
              <w:right w:val="nil"/>
            </w:tcBorders>
            <w:shd w:val="clear" w:color="auto" w:fill="auto"/>
            <w:noWrap/>
            <w:vAlign w:val="bottom"/>
            <w:hideMark/>
          </w:tcPr>
          <w:p w14:paraId="31890D3C" w14:textId="77777777" w:rsidR="004664A9" w:rsidRDefault="004664A9">
            <w:pPr>
              <w:jc w:val="right"/>
              <w:rPr>
                <w:color w:val="000000"/>
                <w:sz w:val="20"/>
                <w:szCs w:val="20"/>
              </w:rPr>
            </w:pPr>
            <w:r>
              <w:rPr>
                <w:color w:val="000000"/>
                <w:sz w:val="20"/>
                <w:szCs w:val="20"/>
              </w:rPr>
              <w:t>0.003</w:t>
            </w:r>
          </w:p>
        </w:tc>
        <w:tc>
          <w:tcPr>
            <w:tcW w:w="820" w:type="dxa"/>
            <w:tcBorders>
              <w:top w:val="single" w:sz="12" w:space="0" w:color="auto"/>
              <w:left w:val="nil"/>
              <w:bottom w:val="nil"/>
              <w:right w:val="nil"/>
            </w:tcBorders>
            <w:shd w:val="clear" w:color="auto" w:fill="auto"/>
            <w:noWrap/>
            <w:vAlign w:val="bottom"/>
            <w:hideMark/>
          </w:tcPr>
          <w:p w14:paraId="71CD7390" w14:textId="77777777" w:rsidR="004664A9" w:rsidRDefault="004664A9">
            <w:pPr>
              <w:jc w:val="right"/>
              <w:rPr>
                <w:color w:val="000000"/>
                <w:sz w:val="20"/>
                <w:szCs w:val="20"/>
              </w:rPr>
            </w:pPr>
            <w:r>
              <w:rPr>
                <w:color w:val="000000"/>
                <w:sz w:val="20"/>
                <w:szCs w:val="20"/>
              </w:rPr>
              <w:t>-0.046</w:t>
            </w:r>
          </w:p>
        </w:tc>
        <w:tc>
          <w:tcPr>
            <w:tcW w:w="820" w:type="dxa"/>
            <w:tcBorders>
              <w:top w:val="single" w:sz="12" w:space="0" w:color="auto"/>
              <w:left w:val="nil"/>
              <w:bottom w:val="nil"/>
              <w:right w:val="nil"/>
            </w:tcBorders>
            <w:shd w:val="clear" w:color="auto" w:fill="auto"/>
            <w:noWrap/>
            <w:vAlign w:val="bottom"/>
            <w:hideMark/>
          </w:tcPr>
          <w:p w14:paraId="71D74110" w14:textId="77777777" w:rsidR="004664A9" w:rsidRDefault="004664A9">
            <w:pPr>
              <w:jc w:val="right"/>
              <w:rPr>
                <w:color w:val="000000"/>
                <w:sz w:val="20"/>
                <w:szCs w:val="20"/>
              </w:rPr>
            </w:pPr>
            <w:r>
              <w:rPr>
                <w:color w:val="000000"/>
                <w:sz w:val="20"/>
                <w:szCs w:val="20"/>
              </w:rPr>
              <w:t>0.153</w:t>
            </w:r>
          </w:p>
        </w:tc>
        <w:tc>
          <w:tcPr>
            <w:tcW w:w="820" w:type="dxa"/>
            <w:tcBorders>
              <w:top w:val="single" w:sz="12" w:space="0" w:color="auto"/>
              <w:left w:val="nil"/>
              <w:bottom w:val="nil"/>
              <w:right w:val="nil"/>
            </w:tcBorders>
            <w:shd w:val="clear" w:color="auto" w:fill="auto"/>
            <w:noWrap/>
            <w:vAlign w:val="bottom"/>
            <w:hideMark/>
          </w:tcPr>
          <w:p w14:paraId="69E7F66D" w14:textId="77777777" w:rsidR="004664A9" w:rsidRDefault="004664A9">
            <w:pPr>
              <w:jc w:val="right"/>
              <w:rPr>
                <w:color w:val="000000"/>
                <w:sz w:val="20"/>
                <w:szCs w:val="20"/>
              </w:rPr>
            </w:pPr>
            <w:r>
              <w:rPr>
                <w:color w:val="000000"/>
                <w:sz w:val="20"/>
                <w:szCs w:val="20"/>
              </w:rPr>
              <w:t>0.002</w:t>
            </w:r>
          </w:p>
        </w:tc>
      </w:tr>
      <w:tr w:rsidR="004664A9" w14:paraId="1207084B" w14:textId="77777777" w:rsidTr="00E55A7D">
        <w:trPr>
          <w:trHeight w:val="320"/>
        </w:trPr>
        <w:tc>
          <w:tcPr>
            <w:tcW w:w="1152" w:type="dxa"/>
            <w:tcBorders>
              <w:top w:val="nil"/>
              <w:left w:val="nil"/>
              <w:bottom w:val="nil"/>
              <w:right w:val="nil"/>
            </w:tcBorders>
            <w:shd w:val="clear" w:color="auto" w:fill="auto"/>
            <w:noWrap/>
            <w:vAlign w:val="bottom"/>
            <w:hideMark/>
          </w:tcPr>
          <w:p w14:paraId="3D024141" w14:textId="77777777" w:rsidR="004664A9" w:rsidRDefault="004664A9">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1A8E3282" w14:textId="77777777" w:rsidR="004664A9" w:rsidRDefault="004664A9">
            <w:pPr>
              <w:rPr>
                <w:color w:val="000000"/>
                <w:sz w:val="20"/>
                <w:szCs w:val="20"/>
              </w:rPr>
            </w:pPr>
            <w:r>
              <w:rPr>
                <w:color w:val="000000"/>
                <w:sz w:val="20"/>
                <w:szCs w:val="20"/>
              </w:rPr>
              <w:t>17%</w:t>
            </w:r>
          </w:p>
        </w:tc>
        <w:tc>
          <w:tcPr>
            <w:tcW w:w="820" w:type="dxa"/>
            <w:tcBorders>
              <w:top w:val="nil"/>
              <w:left w:val="nil"/>
              <w:bottom w:val="nil"/>
              <w:right w:val="nil"/>
            </w:tcBorders>
            <w:shd w:val="clear" w:color="auto" w:fill="auto"/>
            <w:noWrap/>
            <w:vAlign w:val="bottom"/>
            <w:hideMark/>
          </w:tcPr>
          <w:p w14:paraId="5C34722D" w14:textId="77777777" w:rsidR="004664A9" w:rsidRDefault="004664A9">
            <w:pPr>
              <w:jc w:val="right"/>
              <w:rPr>
                <w:color w:val="000000"/>
                <w:sz w:val="20"/>
                <w:szCs w:val="20"/>
              </w:rPr>
            </w:pPr>
            <w:r>
              <w:rPr>
                <w:color w:val="000000"/>
                <w:sz w:val="20"/>
                <w:szCs w:val="20"/>
              </w:rPr>
              <w:t>-0.010</w:t>
            </w:r>
          </w:p>
        </w:tc>
        <w:tc>
          <w:tcPr>
            <w:tcW w:w="820" w:type="dxa"/>
            <w:tcBorders>
              <w:top w:val="nil"/>
              <w:left w:val="nil"/>
              <w:bottom w:val="nil"/>
              <w:right w:val="nil"/>
            </w:tcBorders>
            <w:shd w:val="clear" w:color="auto" w:fill="auto"/>
            <w:noWrap/>
            <w:vAlign w:val="bottom"/>
            <w:hideMark/>
          </w:tcPr>
          <w:p w14:paraId="630D1717" w14:textId="77777777" w:rsidR="004664A9" w:rsidRDefault="004664A9">
            <w:pPr>
              <w:jc w:val="right"/>
              <w:rPr>
                <w:color w:val="000000"/>
                <w:sz w:val="20"/>
                <w:szCs w:val="20"/>
              </w:rPr>
            </w:pPr>
            <w:r>
              <w:rPr>
                <w:color w:val="000000"/>
                <w:sz w:val="20"/>
                <w:szCs w:val="20"/>
              </w:rPr>
              <w:t>0.792</w:t>
            </w:r>
          </w:p>
        </w:tc>
        <w:tc>
          <w:tcPr>
            <w:tcW w:w="820" w:type="dxa"/>
            <w:tcBorders>
              <w:top w:val="nil"/>
              <w:left w:val="nil"/>
              <w:bottom w:val="nil"/>
              <w:right w:val="nil"/>
            </w:tcBorders>
            <w:shd w:val="clear" w:color="auto" w:fill="auto"/>
            <w:noWrap/>
            <w:vAlign w:val="bottom"/>
            <w:hideMark/>
          </w:tcPr>
          <w:p w14:paraId="083BB908"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76361C0E" w14:textId="77777777" w:rsidR="004664A9" w:rsidRDefault="004664A9">
            <w:pPr>
              <w:jc w:val="right"/>
              <w:rPr>
                <w:color w:val="000000"/>
                <w:sz w:val="20"/>
                <w:szCs w:val="20"/>
              </w:rPr>
            </w:pPr>
            <w:r>
              <w:rPr>
                <w:color w:val="000000"/>
                <w:sz w:val="20"/>
                <w:szCs w:val="20"/>
              </w:rPr>
              <w:t>-0.028</w:t>
            </w:r>
          </w:p>
        </w:tc>
        <w:tc>
          <w:tcPr>
            <w:tcW w:w="820" w:type="dxa"/>
            <w:tcBorders>
              <w:top w:val="nil"/>
              <w:left w:val="nil"/>
              <w:bottom w:val="nil"/>
              <w:right w:val="nil"/>
            </w:tcBorders>
            <w:shd w:val="clear" w:color="auto" w:fill="auto"/>
            <w:noWrap/>
            <w:vAlign w:val="bottom"/>
            <w:hideMark/>
          </w:tcPr>
          <w:p w14:paraId="14DF2F1D" w14:textId="77777777" w:rsidR="004664A9" w:rsidRDefault="004664A9">
            <w:pPr>
              <w:jc w:val="right"/>
              <w:rPr>
                <w:color w:val="000000"/>
                <w:sz w:val="20"/>
                <w:szCs w:val="20"/>
              </w:rPr>
            </w:pPr>
            <w:r>
              <w:rPr>
                <w:color w:val="000000"/>
                <w:sz w:val="20"/>
                <w:szCs w:val="20"/>
              </w:rPr>
              <w:t>0.379</w:t>
            </w:r>
          </w:p>
        </w:tc>
        <w:tc>
          <w:tcPr>
            <w:tcW w:w="820" w:type="dxa"/>
            <w:tcBorders>
              <w:top w:val="nil"/>
              <w:left w:val="nil"/>
              <w:bottom w:val="nil"/>
              <w:right w:val="nil"/>
            </w:tcBorders>
            <w:shd w:val="clear" w:color="auto" w:fill="auto"/>
            <w:noWrap/>
            <w:vAlign w:val="bottom"/>
            <w:hideMark/>
          </w:tcPr>
          <w:p w14:paraId="511F1FE9" w14:textId="77777777" w:rsidR="004664A9" w:rsidRDefault="004664A9">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32180636" w14:textId="77777777" w:rsidR="004664A9" w:rsidRDefault="004664A9">
            <w:pPr>
              <w:jc w:val="right"/>
              <w:rPr>
                <w:b/>
                <w:bCs/>
                <w:color w:val="000000"/>
                <w:sz w:val="20"/>
                <w:szCs w:val="20"/>
              </w:rPr>
            </w:pPr>
            <w:r>
              <w:rPr>
                <w:b/>
                <w:bCs/>
                <w:color w:val="000000"/>
                <w:sz w:val="20"/>
                <w:szCs w:val="20"/>
              </w:rPr>
              <w:t>-0.093</w:t>
            </w:r>
          </w:p>
        </w:tc>
        <w:tc>
          <w:tcPr>
            <w:tcW w:w="820" w:type="dxa"/>
            <w:tcBorders>
              <w:top w:val="nil"/>
              <w:left w:val="nil"/>
              <w:bottom w:val="nil"/>
              <w:right w:val="nil"/>
            </w:tcBorders>
            <w:shd w:val="clear" w:color="auto" w:fill="auto"/>
            <w:noWrap/>
            <w:vAlign w:val="bottom"/>
            <w:hideMark/>
          </w:tcPr>
          <w:p w14:paraId="5EB313EA" w14:textId="77777777" w:rsidR="004664A9" w:rsidRDefault="004664A9">
            <w:pPr>
              <w:jc w:val="right"/>
              <w:rPr>
                <w:b/>
                <w:bCs/>
                <w:color w:val="000000"/>
                <w:sz w:val="20"/>
                <w:szCs w:val="20"/>
              </w:rPr>
            </w:pPr>
            <w:r>
              <w:rPr>
                <w:b/>
                <w:bCs/>
                <w:color w:val="000000"/>
                <w:sz w:val="20"/>
                <w:szCs w:val="20"/>
              </w:rPr>
              <w:t>0.001</w:t>
            </w:r>
          </w:p>
        </w:tc>
        <w:tc>
          <w:tcPr>
            <w:tcW w:w="820" w:type="dxa"/>
            <w:tcBorders>
              <w:top w:val="nil"/>
              <w:left w:val="nil"/>
              <w:bottom w:val="nil"/>
              <w:right w:val="nil"/>
            </w:tcBorders>
            <w:shd w:val="clear" w:color="auto" w:fill="auto"/>
            <w:noWrap/>
            <w:vAlign w:val="bottom"/>
            <w:hideMark/>
          </w:tcPr>
          <w:p w14:paraId="170FF118" w14:textId="77777777" w:rsidR="004664A9" w:rsidRDefault="004664A9">
            <w:pPr>
              <w:jc w:val="right"/>
              <w:rPr>
                <w:b/>
                <w:bCs/>
                <w:color w:val="000000"/>
                <w:sz w:val="20"/>
                <w:szCs w:val="20"/>
              </w:rPr>
            </w:pPr>
            <w:r>
              <w:rPr>
                <w:b/>
                <w:bCs/>
                <w:color w:val="000000"/>
                <w:sz w:val="20"/>
                <w:szCs w:val="20"/>
              </w:rPr>
              <w:t>0.009</w:t>
            </w:r>
          </w:p>
        </w:tc>
        <w:tc>
          <w:tcPr>
            <w:tcW w:w="820" w:type="dxa"/>
            <w:tcBorders>
              <w:top w:val="nil"/>
              <w:left w:val="nil"/>
              <w:bottom w:val="nil"/>
              <w:right w:val="nil"/>
            </w:tcBorders>
            <w:shd w:val="clear" w:color="auto" w:fill="auto"/>
            <w:noWrap/>
            <w:vAlign w:val="bottom"/>
            <w:hideMark/>
          </w:tcPr>
          <w:p w14:paraId="59A0ED93" w14:textId="77777777" w:rsidR="004664A9" w:rsidRDefault="004664A9">
            <w:pPr>
              <w:jc w:val="right"/>
              <w:rPr>
                <w:color w:val="000000"/>
                <w:sz w:val="20"/>
                <w:szCs w:val="20"/>
              </w:rPr>
            </w:pPr>
            <w:r>
              <w:rPr>
                <w:color w:val="000000"/>
                <w:sz w:val="20"/>
                <w:szCs w:val="20"/>
              </w:rPr>
              <w:t>0.047</w:t>
            </w:r>
          </w:p>
        </w:tc>
        <w:tc>
          <w:tcPr>
            <w:tcW w:w="820" w:type="dxa"/>
            <w:tcBorders>
              <w:top w:val="nil"/>
              <w:left w:val="nil"/>
              <w:bottom w:val="nil"/>
              <w:right w:val="nil"/>
            </w:tcBorders>
            <w:shd w:val="clear" w:color="auto" w:fill="auto"/>
            <w:noWrap/>
            <w:vAlign w:val="bottom"/>
            <w:hideMark/>
          </w:tcPr>
          <w:p w14:paraId="0DC701AA" w14:textId="77777777" w:rsidR="004664A9" w:rsidRDefault="004664A9">
            <w:pPr>
              <w:jc w:val="right"/>
              <w:rPr>
                <w:color w:val="000000"/>
                <w:sz w:val="20"/>
                <w:szCs w:val="20"/>
              </w:rPr>
            </w:pPr>
            <w:r>
              <w:rPr>
                <w:color w:val="000000"/>
                <w:sz w:val="20"/>
                <w:szCs w:val="20"/>
              </w:rPr>
              <w:t>0.076</w:t>
            </w:r>
          </w:p>
        </w:tc>
        <w:tc>
          <w:tcPr>
            <w:tcW w:w="820" w:type="dxa"/>
            <w:tcBorders>
              <w:top w:val="nil"/>
              <w:left w:val="nil"/>
              <w:bottom w:val="nil"/>
              <w:right w:val="nil"/>
            </w:tcBorders>
            <w:shd w:val="clear" w:color="auto" w:fill="auto"/>
            <w:noWrap/>
            <w:vAlign w:val="bottom"/>
            <w:hideMark/>
          </w:tcPr>
          <w:p w14:paraId="26978165" w14:textId="77777777" w:rsidR="004664A9" w:rsidRDefault="004664A9">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1D4BC0BB" w14:textId="77777777" w:rsidR="004664A9" w:rsidRDefault="004664A9">
            <w:pPr>
              <w:jc w:val="right"/>
              <w:rPr>
                <w:color w:val="000000"/>
                <w:sz w:val="20"/>
                <w:szCs w:val="20"/>
              </w:rPr>
            </w:pPr>
            <w:r>
              <w:rPr>
                <w:color w:val="000000"/>
                <w:sz w:val="20"/>
                <w:szCs w:val="20"/>
              </w:rPr>
              <w:t>-0.045</w:t>
            </w:r>
          </w:p>
        </w:tc>
        <w:tc>
          <w:tcPr>
            <w:tcW w:w="820" w:type="dxa"/>
            <w:tcBorders>
              <w:top w:val="nil"/>
              <w:left w:val="nil"/>
              <w:bottom w:val="nil"/>
              <w:right w:val="nil"/>
            </w:tcBorders>
            <w:shd w:val="clear" w:color="auto" w:fill="auto"/>
            <w:noWrap/>
            <w:vAlign w:val="bottom"/>
            <w:hideMark/>
          </w:tcPr>
          <w:p w14:paraId="7E2D92E2" w14:textId="77777777" w:rsidR="004664A9" w:rsidRDefault="004664A9">
            <w:pPr>
              <w:jc w:val="right"/>
              <w:rPr>
                <w:color w:val="000000"/>
                <w:sz w:val="20"/>
                <w:szCs w:val="20"/>
              </w:rPr>
            </w:pPr>
            <w:r>
              <w:rPr>
                <w:color w:val="000000"/>
                <w:sz w:val="20"/>
                <w:szCs w:val="20"/>
              </w:rPr>
              <w:t>0.153</w:t>
            </w:r>
          </w:p>
        </w:tc>
        <w:tc>
          <w:tcPr>
            <w:tcW w:w="820" w:type="dxa"/>
            <w:tcBorders>
              <w:top w:val="nil"/>
              <w:left w:val="nil"/>
              <w:bottom w:val="nil"/>
              <w:right w:val="nil"/>
            </w:tcBorders>
            <w:shd w:val="clear" w:color="auto" w:fill="auto"/>
            <w:noWrap/>
            <w:vAlign w:val="bottom"/>
            <w:hideMark/>
          </w:tcPr>
          <w:p w14:paraId="3568D6D9" w14:textId="77777777" w:rsidR="004664A9" w:rsidRDefault="004664A9">
            <w:pPr>
              <w:jc w:val="right"/>
              <w:rPr>
                <w:color w:val="000000"/>
                <w:sz w:val="20"/>
                <w:szCs w:val="20"/>
              </w:rPr>
            </w:pPr>
            <w:r>
              <w:rPr>
                <w:color w:val="000000"/>
                <w:sz w:val="20"/>
                <w:szCs w:val="20"/>
              </w:rPr>
              <w:t>0.002</w:t>
            </w:r>
          </w:p>
        </w:tc>
      </w:tr>
      <w:tr w:rsidR="004664A9" w14:paraId="58FF8CB7" w14:textId="77777777" w:rsidTr="00E55A7D">
        <w:trPr>
          <w:trHeight w:val="320"/>
        </w:trPr>
        <w:tc>
          <w:tcPr>
            <w:tcW w:w="1152" w:type="dxa"/>
            <w:tcBorders>
              <w:top w:val="nil"/>
              <w:left w:val="nil"/>
              <w:bottom w:val="nil"/>
              <w:right w:val="nil"/>
            </w:tcBorders>
            <w:shd w:val="clear" w:color="auto" w:fill="auto"/>
            <w:noWrap/>
            <w:vAlign w:val="bottom"/>
            <w:hideMark/>
          </w:tcPr>
          <w:p w14:paraId="32D5E755" w14:textId="77777777" w:rsidR="004664A9" w:rsidRDefault="004664A9">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531889A9" w14:textId="77777777" w:rsidR="004664A9" w:rsidRDefault="004664A9">
            <w:pPr>
              <w:rPr>
                <w:color w:val="000000"/>
                <w:sz w:val="20"/>
                <w:szCs w:val="20"/>
              </w:rPr>
            </w:pPr>
            <w:r>
              <w:rPr>
                <w:color w:val="000000"/>
                <w:sz w:val="20"/>
                <w:szCs w:val="20"/>
              </w:rPr>
              <w:t>23%</w:t>
            </w:r>
          </w:p>
        </w:tc>
        <w:tc>
          <w:tcPr>
            <w:tcW w:w="820" w:type="dxa"/>
            <w:tcBorders>
              <w:top w:val="nil"/>
              <w:left w:val="nil"/>
              <w:bottom w:val="nil"/>
              <w:right w:val="nil"/>
            </w:tcBorders>
            <w:shd w:val="clear" w:color="auto" w:fill="auto"/>
            <w:noWrap/>
            <w:vAlign w:val="bottom"/>
            <w:hideMark/>
          </w:tcPr>
          <w:p w14:paraId="6F65F3CE" w14:textId="77777777" w:rsidR="004664A9" w:rsidRDefault="004664A9">
            <w:pPr>
              <w:jc w:val="right"/>
              <w:rPr>
                <w:color w:val="000000"/>
                <w:sz w:val="20"/>
                <w:szCs w:val="20"/>
              </w:rPr>
            </w:pPr>
            <w:r>
              <w:rPr>
                <w:color w:val="000000"/>
                <w:sz w:val="20"/>
                <w:szCs w:val="20"/>
              </w:rPr>
              <w:t>-0.010</w:t>
            </w:r>
          </w:p>
        </w:tc>
        <w:tc>
          <w:tcPr>
            <w:tcW w:w="820" w:type="dxa"/>
            <w:tcBorders>
              <w:top w:val="nil"/>
              <w:left w:val="nil"/>
              <w:bottom w:val="nil"/>
              <w:right w:val="nil"/>
            </w:tcBorders>
            <w:shd w:val="clear" w:color="auto" w:fill="auto"/>
            <w:noWrap/>
            <w:vAlign w:val="bottom"/>
            <w:hideMark/>
          </w:tcPr>
          <w:p w14:paraId="354716C1" w14:textId="77777777" w:rsidR="004664A9" w:rsidRDefault="004664A9">
            <w:pPr>
              <w:jc w:val="right"/>
              <w:rPr>
                <w:color w:val="000000"/>
                <w:sz w:val="20"/>
                <w:szCs w:val="20"/>
              </w:rPr>
            </w:pPr>
            <w:r>
              <w:rPr>
                <w:color w:val="000000"/>
                <w:sz w:val="20"/>
                <w:szCs w:val="20"/>
              </w:rPr>
              <w:t>0.792</w:t>
            </w:r>
          </w:p>
        </w:tc>
        <w:tc>
          <w:tcPr>
            <w:tcW w:w="820" w:type="dxa"/>
            <w:tcBorders>
              <w:top w:val="nil"/>
              <w:left w:val="nil"/>
              <w:bottom w:val="nil"/>
              <w:right w:val="nil"/>
            </w:tcBorders>
            <w:shd w:val="clear" w:color="auto" w:fill="auto"/>
            <w:noWrap/>
            <w:vAlign w:val="bottom"/>
            <w:hideMark/>
          </w:tcPr>
          <w:p w14:paraId="0340B9C4"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65234AE6" w14:textId="77777777" w:rsidR="004664A9" w:rsidRDefault="004664A9">
            <w:pPr>
              <w:jc w:val="right"/>
              <w:rPr>
                <w:color w:val="000000"/>
                <w:sz w:val="20"/>
                <w:szCs w:val="20"/>
              </w:rPr>
            </w:pPr>
            <w:r>
              <w:rPr>
                <w:color w:val="000000"/>
                <w:sz w:val="20"/>
                <w:szCs w:val="20"/>
              </w:rPr>
              <w:t>-0.031</w:t>
            </w:r>
          </w:p>
        </w:tc>
        <w:tc>
          <w:tcPr>
            <w:tcW w:w="820" w:type="dxa"/>
            <w:tcBorders>
              <w:top w:val="nil"/>
              <w:left w:val="nil"/>
              <w:bottom w:val="nil"/>
              <w:right w:val="nil"/>
            </w:tcBorders>
            <w:shd w:val="clear" w:color="auto" w:fill="auto"/>
            <w:noWrap/>
            <w:vAlign w:val="bottom"/>
            <w:hideMark/>
          </w:tcPr>
          <w:p w14:paraId="15FD4A54" w14:textId="77777777" w:rsidR="004664A9" w:rsidRDefault="004664A9">
            <w:pPr>
              <w:jc w:val="right"/>
              <w:rPr>
                <w:color w:val="000000"/>
                <w:sz w:val="20"/>
                <w:szCs w:val="20"/>
              </w:rPr>
            </w:pPr>
            <w:r>
              <w:rPr>
                <w:color w:val="000000"/>
                <w:sz w:val="20"/>
                <w:szCs w:val="20"/>
              </w:rPr>
              <w:t>0.379</w:t>
            </w:r>
          </w:p>
        </w:tc>
        <w:tc>
          <w:tcPr>
            <w:tcW w:w="820" w:type="dxa"/>
            <w:tcBorders>
              <w:top w:val="nil"/>
              <w:left w:val="nil"/>
              <w:bottom w:val="nil"/>
              <w:right w:val="nil"/>
            </w:tcBorders>
            <w:shd w:val="clear" w:color="auto" w:fill="auto"/>
            <w:noWrap/>
            <w:vAlign w:val="bottom"/>
            <w:hideMark/>
          </w:tcPr>
          <w:p w14:paraId="31192ACB" w14:textId="77777777" w:rsidR="004664A9" w:rsidRDefault="004664A9">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2D8B8304" w14:textId="77777777" w:rsidR="004664A9" w:rsidRDefault="004664A9">
            <w:pPr>
              <w:jc w:val="right"/>
              <w:rPr>
                <w:b/>
                <w:bCs/>
                <w:color w:val="000000"/>
                <w:sz w:val="20"/>
                <w:szCs w:val="20"/>
              </w:rPr>
            </w:pPr>
            <w:r>
              <w:rPr>
                <w:b/>
                <w:bCs/>
                <w:color w:val="000000"/>
                <w:sz w:val="20"/>
                <w:szCs w:val="20"/>
              </w:rPr>
              <w:t>-0.090</w:t>
            </w:r>
          </w:p>
        </w:tc>
        <w:tc>
          <w:tcPr>
            <w:tcW w:w="820" w:type="dxa"/>
            <w:tcBorders>
              <w:top w:val="nil"/>
              <w:left w:val="nil"/>
              <w:bottom w:val="nil"/>
              <w:right w:val="nil"/>
            </w:tcBorders>
            <w:shd w:val="clear" w:color="auto" w:fill="auto"/>
            <w:noWrap/>
            <w:vAlign w:val="bottom"/>
            <w:hideMark/>
          </w:tcPr>
          <w:p w14:paraId="5C2DFF0D" w14:textId="77777777" w:rsidR="004664A9" w:rsidRDefault="004664A9">
            <w:pPr>
              <w:jc w:val="right"/>
              <w:rPr>
                <w:b/>
                <w:bCs/>
                <w:color w:val="000000"/>
                <w:sz w:val="20"/>
                <w:szCs w:val="20"/>
              </w:rPr>
            </w:pPr>
            <w:r>
              <w:rPr>
                <w:b/>
                <w:bCs/>
                <w:color w:val="000000"/>
                <w:sz w:val="20"/>
                <w:szCs w:val="20"/>
              </w:rPr>
              <w:t>0.001</w:t>
            </w:r>
          </w:p>
        </w:tc>
        <w:tc>
          <w:tcPr>
            <w:tcW w:w="820" w:type="dxa"/>
            <w:tcBorders>
              <w:top w:val="nil"/>
              <w:left w:val="nil"/>
              <w:bottom w:val="nil"/>
              <w:right w:val="nil"/>
            </w:tcBorders>
            <w:shd w:val="clear" w:color="auto" w:fill="auto"/>
            <w:noWrap/>
            <w:vAlign w:val="bottom"/>
            <w:hideMark/>
          </w:tcPr>
          <w:p w14:paraId="6B9E8451" w14:textId="77777777" w:rsidR="004664A9" w:rsidRDefault="004664A9">
            <w:pPr>
              <w:jc w:val="right"/>
              <w:rPr>
                <w:b/>
                <w:bCs/>
                <w:color w:val="000000"/>
                <w:sz w:val="20"/>
                <w:szCs w:val="20"/>
              </w:rPr>
            </w:pPr>
            <w:r>
              <w:rPr>
                <w:b/>
                <w:bCs/>
                <w:color w:val="000000"/>
                <w:sz w:val="20"/>
                <w:szCs w:val="20"/>
              </w:rPr>
              <w:t>0.008</w:t>
            </w:r>
          </w:p>
        </w:tc>
        <w:tc>
          <w:tcPr>
            <w:tcW w:w="820" w:type="dxa"/>
            <w:tcBorders>
              <w:top w:val="nil"/>
              <w:left w:val="nil"/>
              <w:bottom w:val="nil"/>
              <w:right w:val="nil"/>
            </w:tcBorders>
            <w:shd w:val="clear" w:color="auto" w:fill="auto"/>
            <w:noWrap/>
            <w:vAlign w:val="bottom"/>
            <w:hideMark/>
          </w:tcPr>
          <w:p w14:paraId="3B46F529" w14:textId="77777777" w:rsidR="004664A9" w:rsidRDefault="004664A9">
            <w:pPr>
              <w:jc w:val="right"/>
              <w:rPr>
                <w:color w:val="000000"/>
                <w:sz w:val="20"/>
                <w:szCs w:val="20"/>
              </w:rPr>
            </w:pPr>
            <w:r>
              <w:rPr>
                <w:color w:val="000000"/>
                <w:sz w:val="20"/>
                <w:szCs w:val="20"/>
              </w:rPr>
              <w:t>0.046</w:t>
            </w:r>
          </w:p>
        </w:tc>
        <w:tc>
          <w:tcPr>
            <w:tcW w:w="820" w:type="dxa"/>
            <w:tcBorders>
              <w:top w:val="nil"/>
              <w:left w:val="nil"/>
              <w:bottom w:val="nil"/>
              <w:right w:val="nil"/>
            </w:tcBorders>
            <w:shd w:val="clear" w:color="auto" w:fill="auto"/>
            <w:noWrap/>
            <w:vAlign w:val="bottom"/>
            <w:hideMark/>
          </w:tcPr>
          <w:p w14:paraId="2C3808BA" w14:textId="77777777" w:rsidR="004664A9" w:rsidRDefault="004664A9">
            <w:pPr>
              <w:jc w:val="right"/>
              <w:rPr>
                <w:color w:val="000000"/>
                <w:sz w:val="20"/>
                <w:szCs w:val="20"/>
              </w:rPr>
            </w:pPr>
            <w:r>
              <w:rPr>
                <w:color w:val="000000"/>
                <w:sz w:val="20"/>
                <w:szCs w:val="20"/>
              </w:rPr>
              <w:t>0.076</w:t>
            </w:r>
          </w:p>
        </w:tc>
        <w:tc>
          <w:tcPr>
            <w:tcW w:w="820" w:type="dxa"/>
            <w:tcBorders>
              <w:top w:val="nil"/>
              <w:left w:val="nil"/>
              <w:bottom w:val="nil"/>
              <w:right w:val="nil"/>
            </w:tcBorders>
            <w:shd w:val="clear" w:color="auto" w:fill="auto"/>
            <w:noWrap/>
            <w:vAlign w:val="bottom"/>
            <w:hideMark/>
          </w:tcPr>
          <w:p w14:paraId="7CB39172" w14:textId="77777777" w:rsidR="004664A9" w:rsidRDefault="004664A9">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0FDFC65E" w14:textId="77777777" w:rsidR="004664A9" w:rsidRDefault="004664A9">
            <w:pPr>
              <w:jc w:val="right"/>
              <w:rPr>
                <w:color w:val="000000"/>
                <w:sz w:val="20"/>
                <w:szCs w:val="20"/>
              </w:rPr>
            </w:pPr>
            <w:r>
              <w:rPr>
                <w:color w:val="000000"/>
                <w:sz w:val="20"/>
                <w:szCs w:val="20"/>
              </w:rPr>
              <w:t>-0.048</w:t>
            </w:r>
          </w:p>
        </w:tc>
        <w:tc>
          <w:tcPr>
            <w:tcW w:w="820" w:type="dxa"/>
            <w:tcBorders>
              <w:top w:val="nil"/>
              <w:left w:val="nil"/>
              <w:bottom w:val="nil"/>
              <w:right w:val="nil"/>
            </w:tcBorders>
            <w:shd w:val="clear" w:color="auto" w:fill="auto"/>
            <w:noWrap/>
            <w:vAlign w:val="bottom"/>
            <w:hideMark/>
          </w:tcPr>
          <w:p w14:paraId="16C9B2AF" w14:textId="77777777" w:rsidR="004664A9" w:rsidRDefault="004664A9">
            <w:pPr>
              <w:jc w:val="right"/>
              <w:rPr>
                <w:color w:val="000000"/>
                <w:sz w:val="20"/>
                <w:szCs w:val="20"/>
              </w:rPr>
            </w:pPr>
            <w:r>
              <w:rPr>
                <w:color w:val="000000"/>
                <w:sz w:val="20"/>
                <w:szCs w:val="20"/>
              </w:rPr>
              <w:t>0.153</w:t>
            </w:r>
          </w:p>
        </w:tc>
        <w:tc>
          <w:tcPr>
            <w:tcW w:w="820" w:type="dxa"/>
            <w:tcBorders>
              <w:top w:val="nil"/>
              <w:left w:val="nil"/>
              <w:bottom w:val="nil"/>
              <w:right w:val="nil"/>
            </w:tcBorders>
            <w:shd w:val="clear" w:color="auto" w:fill="auto"/>
            <w:noWrap/>
            <w:vAlign w:val="bottom"/>
            <w:hideMark/>
          </w:tcPr>
          <w:p w14:paraId="52D88F55" w14:textId="77777777" w:rsidR="004664A9" w:rsidRDefault="004664A9">
            <w:pPr>
              <w:jc w:val="right"/>
              <w:rPr>
                <w:color w:val="000000"/>
                <w:sz w:val="20"/>
                <w:szCs w:val="20"/>
              </w:rPr>
            </w:pPr>
            <w:r>
              <w:rPr>
                <w:color w:val="000000"/>
                <w:sz w:val="20"/>
                <w:szCs w:val="20"/>
              </w:rPr>
              <w:t>0.002</w:t>
            </w:r>
          </w:p>
        </w:tc>
      </w:tr>
      <w:tr w:rsidR="004664A9" w14:paraId="238ED4BD" w14:textId="77777777" w:rsidTr="00E55A7D">
        <w:trPr>
          <w:trHeight w:val="340"/>
        </w:trPr>
        <w:tc>
          <w:tcPr>
            <w:tcW w:w="1152" w:type="dxa"/>
            <w:tcBorders>
              <w:top w:val="nil"/>
              <w:left w:val="nil"/>
              <w:bottom w:val="single" w:sz="12" w:space="0" w:color="auto"/>
              <w:right w:val="nil"/>
            </w:tcBorders>
            <w:shd w:val="clear" w:color="auto" w:fill="auto"/>
            <w:noWrap/>
            <w:vAlign w:val="bottom"/>
            <w:hideMark/>
          </w:tcPr>
          <w:p w14:paraId="5EC62457" w14:textId="77777777" w:rsidR="004664A9" w:rsidRDefault="004664A9">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726D11F7" w14:textId="77777777" w:rsidR="004664A9" w:rsidRDefault="004664A9">
            <w:pPr>
              <w:rPr>
                <w:color w:val="000000"/>
                <w:sz w:val="20"/>
                <w:szCs w:val="20"/>
              </w:rPr>
            </w:pPr>
            <w:r>
              <w:rPr>
                <w:color w:val="000000"/>
                <w:sz w:val="20"/>
                <w:szCs w:val="20"/>
              </w:rPr>
              <w:t>30%</w:t>
            </w:r>
          </w:p>
        </w:tc>
        <w:tc>
          <w:tcPr>
            <w:tcW w:w="820" w:type="dxa"/>
            <w:tcBorders>
              <w:top w:val="nil"/>
              <w:left w:val="nil"/>
              <w:bottom w:val="single" w:sz="12" w:space="0" w:color="auto"/>
              <w:right w:val="nil"/>
            </w:tcBorders>
            <w:shd w:val="clear" w:color="auto" w:fill="auto"/>
            <w:noWrap/>
            <w:vAlign w:val="bottom"/>
            <w:hideMark/>
          </w:tcPr>
          <w:p w14:paraId="5D57344E" w14:textId="77777777" w:rsidR="004664A9" w:rsidRDefault="004664A9">
            <w:pPr>
              <w:jc w:val="right"/>
              <w:rPr>
                <w:color w:val="000000"/>
                <w:sz w:val="20"/>
                <w:szCs w:val="20"/>
              </w:rPr>
            </w:pPr>
            <w:r>
              <w:rPr>
                <w:color w:val="000000"/>
                <w:sz w:val="20"/>
                <w:szCs w:val="20"/>
              </w:rPr>
              <w:t>-0.010</w:t>
            </w:r>
          </w:p>
        </w:tc>
        <w:tc>
          <w:tcPr>
            <w:tcW w:w="820" w:type="dxa"/>
            <w:tcBorders>
              <w:top w:val="nil"/>
              <w:left w:val="nil"/>
              <w:bottom w:val="single" w:sz="12" w:space="0" w:color="auto"/>
              <w:right w:val="nil"/>
            </w:tcBorders>
            <w:shd w:val="clear" w:color="auto" w:fill="auto"/>
            <w:noWrap/>
            <w:vAlign w:val="bottom"/>
            <w:hideMark/>
          </w:tcPr>
          <w:p w14:paraId="757E6CAC" w14:textId="77777777" w:rsidR="004664A9" w:rsidRDefault="004664A9">
            <w:pPr>
              <w:jc w:val="right"/>
              <w:rPr>
                <w:color w:val="000000"/>
                <w:sz w:val="20"/>
                <w:szCs w:val="20"/>
              </w:rPr>
            </w:pPr>
            <w:r>
              <w:rPr>
                <w:color w:val="000000"/>
                <w:sz w:val="20"/>
                <w:szCs w:val="20"/>
              </w:rPr>
              <w:t>0.792</w:t>
            </w:r>
          </w:p>
        </w:tc>
        <w:tc>
          <w:tcPr>
            <w:tcW w:w="820" w:type="dxa"/>
            <w:tcBorders>
              <w:top w:val="nil"/>
              <w:left w:val="nil"/>
              <w:bottom w:val="single" w:sz="12" w:space="0" w:color="auto"/>
              <w:right w:val="nil"/>
            </w:tcBorders>
            <w:shd w:val="clear" w:color="auto" w:fill="auto"/>
            <w:noWrap/>
            <w:vAlign w:val="bottom"/>
            <w:hideMark/>
          </w:tcPr>
          <w:p w14:paraId="0E1C089C" w14:textId="77777777" w:rsidR="004664A9" w:rsidRDefault="004664A9">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6483018A" w14:textId="77777777" w:rsidR="004664A9" w:rsidRDefault="004664A9">
            <w:pPr>
              <w:jc w:val="right"/>
              <w:rPr>
                <w:color w:val="000000"/>
                <w:sz w:val="20"/>
                <w:szCs w:val="20"/>
              </w:rPr>
            </w:pPr>
            <w:r>
              <w:rPr>
                <w:color w:val="000000"/>
                <w:sz w:val="20"/>
                <w:szCs w:val="20"/>
              </w:rPr>
              <w:t>-0.030</w:t>
            </w:r>
          </w:p>
        </w:tc>
        <w:tc>
          <w:tcPr>
            <w:tcW w:w="820" w:type="dxa"/>
            <w:tcBorders>
              <w:top w:val="nil"/>
              <w:left w:val="nil"/>
              <w:bottom w:val="single" w:sz="12" w:space="0" w:color="auto"/>
              <w:right w:val="nil"/>
            </w:tcBorders>
            <w:shd w:val="clear" w:color="auto" w:fill="auto"/>
            <w:noWrap/>
            <w:vAlign w:val="bottom"/>
            <w:hideMark/>
          </w:tcPr>
          <w:p w14:paraId="10DF062B" w14:textId="77777777" w:rsidR="004664A9" w:rsidRDefault="004664A9">
            <w:pPr>
              <w:jc w:val="right"/>
              <w:rPr>
                <w:color w:val="000000"/>
                <w:sz w:val="20"/>
                <w:szCs w:val="20"/>
              </w:rPr>
            </w:pPr>
            <w:r>
              <w:rPr>
                <w:color w:val="000000"/>
                <w:sz w:val="20"/>
                <w:szCs w:val="20"/>
              </w:rPr>
              <w:t>0.379</w:t>
            </w:r>
          </w:p>
        </w:tc>
        <w:tc>
          <w:tcPr>
            <w:tcW w:w="820" w:type="dxa"/>
            <w:tcBorders>
              <w:top w:val="nil"/>
              <w:left w:val="nil"/>
              <w:bottom w:val="single" w:sz="12" w:space="0" w:color="auto"/>
              <w:right w:val="nil"/>
            </w:tcBorders>
            <w:shd w:val="clear" w:color="auto" w:fill="auto"/>
            <w:noWrap/>
            <w:vAlign w:val="bottom"/>
            <w:hideMark/>
          </w:tcPr>
          <w:p w14:paraId="56FC5CD6" w14:textId="77777777" w:rsidR="004664A9" w:rsidRDefault="004664A9">
            <w:pPr>
              <w:jc w:val="right"/>
              <w:rPr>
                <w:color w:val="000000"/>
                <w:sz w:val="20"/>
                <w:szCs w:val="20"/>
              </w:rPr>
            </w:pPr>
            <w:r>
              <w:rPr>
                <w:color w:val="000000"/>
                <w:sz w:val="20"/>
                <w:szCs w:val="20"/>
              </w:rPr>
              <w:t>0.001</w:t>
            </w:r>
          </w:p>
        </w:tc>
        <w:tc>
          <w:tcPr>
            <w:tcW w:w="820" w:type="dxa"/>
            <w:tcBorders>
              <w:top w:val="nil"/>
              <w:left w:val="nil"/>
              <w:bottom w:val="single" w:sz="12" w:space="0" w:color="auto"/>
              <w:right w:val="nil"/>
            </w:tcBorders>
            <w:shd w:val="clear" w:color="auto" w:fill="auto"/>
            <w:noWrap/>
            <w:vAlign w:val="bottom"/>
            <w:hideMark/>
          </w:tcPr>
          <w:p w14:paraId="2A8266F1" w14:textId="77777777" w:rsidR="004664A9" w:rsidRDefault="004664A9">
            <w:pPr>
              <w:jc w:val="right"/>
              <w:rPr>
                <w:b/>
                <w:bCs/>
                <w:color w:val="000000"/>
                <w:sz w:val="20"/>
                <w:szCs w:val="20"/>
              </w:rPr>
            </w:pPr>
            <w:r>
              <w:rPr>
                <w:b/>
                <w:bCs/>
                <w:color w:val="000000"/>
                <w:sz w:val="20"/>
                <w:szCs w:val="20"/>
              </w:rPr>
              <w:t>-0.086</w:t>
            </w:r>
          </w:p>
        </w:tc>
        <w:tc>
          <w:tcPr>
            <w:tcW w:w="820" w:type="dxa"/>
            <w:tcBorders>
              <w:top w:val="nil"/>
              <w:left w:val="nil"/>
              <w:bottom w:val="single" w:sz="12" w:space="0" w:color="auto"/>
              <w:right w:val="nil"/>
            </w:tcBorders>
            <w:shd w:val="clear" w:color="auto" w:fill="auto"/>
            <w:noWrap/>
            <w:vAlign w:val="bottom"/>
            <w:hideMark/>
          </w:tcPr>
          <w:p w14:paraId="67B40649" w14:textId="77777777" w:rsidR="004664A9" w:rsidRDefault="004664A9">
            <w:pPr>
              <w:jc w:val="right"/>
              <w:rPr>
                <w:b/>
                <w:bCs/>
                <w:color w:val="000000"/>
                <w:sz w:val="20"/>
                <w:szCs w:val="20"/>
              </w:rPr>
            </w:pPr>
            <w:r>
              <w:rPr>
                <w:b/>
                <w:bCs/>
                <w:color w:val="000000"/>
                <w:sz w:val="20"/>
                <w:szCs w:val="20"/>
              </w:rPr>
              <w:t>0.002</w:t>
            </w:r>
          </w:p>
        </w:tc>
        <w:tc>
          <w:tcPr>
            <w:tcW w:w="820" w:type="dxa"/>
            <w:tcBorders>
              <w:top w:val="nil"/>
              <w:left w:val="nil"/>
              <w:bottom w:val="single" w:sz="12" w:space="0" w:color="auto"/>
              <w:right w:val="nil"/>
            </w:tcBorders>
            <w:shd w:val="clear" w:color="auto" w:fill="auto"/>
            <w:noWrap/>
            <w:vAlign w:val="bottom"/>
            <w:hideMark/>
          </w:tcPr>
          <w:p w14:paraId="00621D74" w14:textId="77777777" w:rsidR="004664A9" w:rsidRDefault="004664A9">
            <w:pPr>
              <w:jc w:val="right"/>
              <w:rPr>
                <w:b/>
                <w:bCs/>
                <w:color w:val="000000"/>
                <w:sz w:val="20"/>
                <w:szCs w:val="20"/>
              </w:rPr>
            </w:pPr>
            <w:r>
              <w:rPr>
                <w:b/>
                <w:bCs/>
                <w:color w:val="000000"/>
                <w:sz w:val="20"/>
                <w:szCs w:val="20"/>
              </w:rPr>
              <w:t>0.007</w:t>
            </w:r>
          </w:p>
        </w:tc>
        <w:tc>
          <w:tcPr>
            <w:tcW w:w="820" w:type="dxa"/>
            <w:tcBorders>
              <w:top w:val="nil"/>
              <w:left w:val="nil"/>
              <w:bottom w:val="single" w:sz="12" w:space="0" w:color="auto"/>
              <w:right w:val="nil"/>
            </w:tcBorders>
            <w:shd w:val="clear" w:color="auto" w:fill="auto"/>
            <w:noWrap/>
            <w:vAlign w:val="bottom"/>
            <w:hideMark/>
          </w:tcPr>
          <w:p w14:paraId="4F109314" w14:textId="77777777" w:rsidR="004664A9" w:rsidRDefault="004664A9">
            <w:pPr>
              <w:jc w:val="right"/>
              <w:rPr>
                <w:color w:val="000000"/>
                <w:sz w:val="20"/>
                <w:szCs w:val="20"/>
              </w:rPr>
            </w:pPr>
            <w:r>
              <w:rPr>
                <w:color w:val="000000"/>
                <w:sz w:val="20"/>
                <w:szCs w:val="20"/>
              </w:rPr>
              <w:t>0.046</w:t>
            </w:r>
          </w:p>
        </w:tc>
        <w:tc>
          <w:tcPr>
            <w:tcW w:w="820" w:type="dxa"/>
            <w:tcBorders>
              <w:top w:val="nil"/>
              <w:left w:val="nil"/>
              <w:bottom w:val="single" w:sz="12" w:space="0" w:color="auto"/>
              <w:right w:val="nil"/>
            </w:tcBorders>
            <w:shd w:val="clear" w:color="auto" w:fill="auto"/>
            <w:noWrap/>
            <w:vAlign w:val="bottom"/>
            <w:hideMark/>
          </w:tcPr>
          <w:p w14:paraId="49E738FD" w14:textId="77777777" w:rsidR="004664A9" w:rsidRDefault="004664A9">
            <w:pPr>
              <w:jc w:val="right"/>
              <w:rPr>
                <w:color w:val="000000"/>
                <w:sz w:val="20"/>
                <w:szCs w:val="20"/>
              </w:rPr>
            </w:pPr>
            <w:r>
              <w:rPr>
                <w:color w:val="000000"/>
                <w:sz w:val="20"/>
                <w:szCs w:val="20"/>
              </w:rPr>
              <w:t>0.076</w:t>
            </w:r>
          </w:p>
        </w:tc>
        <w:tc>
          <w:tcPr>
            <w:tcW w:w="820" w:type="dxa"/>
            <w:tcBorders>
              <w:top w:val="nil"/>
              <w:left w:val="nil"/>
              <w:bottom w:val="single" w:sz="12" w:space="0" w:color="auto"/>
              <w:right w:val="nil"/>
            </w:tcBorders>
            <w:shd w:val="clear" w:color="auto" w:fill="auto"/>
            <w:noWrap/>
            <w:vAlign w:val="bottom"/>
            <w:hideMark/>
          </w:tcPr>
          <w:p w14:paraId="46821827" w14:textId="77777777" w:rsidR="004664A9" w:rsidRDefault="004664A9">
            <w:pPr>
              <w:jc w:val="right"/>
              <w:rPr>
                <w:color w:val="000000"/>
                <w:sz w:val="20"/>
                <w:szCs w:val="20"/>
              </w:rPr>
            </w:pPr>
            <w:r>
              <w:rPr>
                <w:color w:val="000000"/>
                <w:sz w:val="20"/>
                <w:szCs w:val="20"/>
              </w:rPr>
              <w:t>0.002</w:t>
            </w:r>
          </w:p>
        </w:tc>
        <w:tc>
          <w:tcPr>
            <w:tcW w:w="820" w:type="dxa"/>
            <w:tcBorders>
              <w:top w:val="nil"/>
              <w:left w:val="nil"/>
              <w:bottom w:val="single" w:sz="12" w:space="0" w:color="auto"/>
              <w:right w:val="nil"/>
            </w:tcBorders>
            <w:shd w:val="clear" w:color="auto" w:fill="auto"/>
            <w:noWrap/>
            <w:vAlign w:val="bottom"/>
            <w:hideMark/>
          </w:tcPr>
          <w:p w14:paraId="07E56CA2" w14:textId="77777777" w:rsidR="004664A9" w:rsidRDefault="004664A9">
            <w:pPr>
              <w:jc w:val="right"/>
              <w:rPr>
                <w:color w:val="000000"/>
                <w:sz w:val="20"/>
                <w:szCs w:val="20"/>
              </w:rPr>
            </w:pPr>
            <w:r>
              <w:rPr>
                <w:color w:val="000000"/>
                <w:sz w:val="20"/>
                <w:szCs w:val="20"/>
              </w:rPr>
              <w:t>-0.049</w:t>
            </w:r>
          </w:p>
        </w:tc>
        <w:tc>
          <w:tcPr>
            <w:tcW w:w="820" w:type="dxa"/>
            <w:tcBorders>
              <w:top w:val="nil"/>
              <w:left w:val="nil"/>
              <w:bottom w:val="single" w:sz="12" w:space="0" w:color="auto"/>
              <w:right w:val="nil"/>
            </w:tcBorders>
            <w:shd w:val="clear" w:color="auto" w:fill="auto"/>
            <w:noWrap/>
            <w:vAlign w:val="bottom"/>
            <w:hideMark/>
          </w:tcPr>
          <w:p w14:paraId="07853BE0" w14:textId="77777777" w:rsidR="004664A9" w:rsidRDefault="004664A9">
            <w:pPr>
              <w:jc w:val="right"/>
              <w:rPr>
                <w:color w:val="000000"/>
                <w:sz w:val="20"/>
                <w:szCs w:val="20"/>
              </w:rPr>
            </w:pPr>
            <w:r>
              <w:rPr>
                <w:color w:val="000000"/>
                <w:sz w:val="20"/>
                <w:szCs w:val="20"/>
              </w:rPr>
              <w:t>0.153</w:t>
            </w:r>
          </w:p>
        </w:tc>
        <w:tc>
          <w:tcPr>
            <w:tcW w:w="820" w:type="dxa"/>
            <w:tcBorders>
              <w:top w:val="nil"/>
              <w:left w:val="nil"/>
              <w:bottom w:val="single" w:sz="12" w:space="0" w:color="auto"/>
              <w:right w:val="nil"/>
            </w:tcBorders>
            <w:shd w:val="clear" w:color="auto" w:fill="auto"/>
            <w:noWrap/>
            <w:vAlign w:val="bottom"/>
            <w:hideMark/>
          </w:tcPr>
          <w:p w14:paraId="1D56BC9F" w14:textId="77777777" w:rsidR="004664A9" w:rsidRDefault="004664A9">
            <w:pPr>
              <w:jc w:val="right"/>
              <w:rPr>
                <w:color w:val="000000"/>
                <w:sz w:val="20"/>
                <w:szCs w:val="20"/>
              </w:rPr>
            </w:pPr>
            <w:r>
              <w:rPr>
                <w:color w:val="000000"/>
                <w:sz w:val="20"/>
                <w:szCs w:val="20"/>
              </w:rPr>
              <w:t>0.002</w:t>
            </w:r>
          </w:p>
        </w:tc>
      </w:tr>
      <w:tr w:rsidR="004664A9" w14:paraId="4A99B105" w14:textId="77777777" w:rsidTr="00E55A7D">
        <w:trPr>
          <w:trHeight w:val="320"/>
        </w:trPr>
        <w:tc>
          <w:tcPr>
            <w:tcW w:w="1152" w:type="dxa"/>
            <w:tcBorders>
              <w:top w:val="single" w:sz="12" w:space="0" w:color="auto"/>
              <w:left w:val="nil"/>
              <w:bottom w:val="nil"/>
              <w:right w:val="nil"/>
            </w:tcBorders>
            <w:shd w:val="clear" w:color="auto" w:fill="auto"/>
            <w:noWrap/>
            <w:vAlign w:val="bottom"/>
            <w:hideMark/>
          </w:tcPr>
          <w:p w14:paraId="39841A3F" w14:textId="77777777" w:rsidR="004664A9" w:rsidRDefault="004664A9">
            <w:pPr>
              <w:jc w:val="right"/>
              <w:rPr>
                <w:color w:val="000000"/>
                <w:sz w:val="20"/>
                <w:szCs w:val="20"/>
              </w:rPr>
            </w:pPr>
          </w:p>
        </w:tc>
        <w:tc>
          <w:tcPr>
            <w:tcW w:w="1027" w:type="dxa"/>
            <w:tcBorders>
              <w:top w:val="single" w:sz="12" w:space="0" w:color="auto"/>
              <w:left w:val="nil"/>
              <w:bottom w:val="nil"/>
              <w:right w:val="nil"/>
            </w:tcBorders>
            <w:shd w:val="clear" w:color="auto" w:fill="auto"/>
            <w:noWrap/>
            <w:vAlign w:val="bottom"/>
            <w:hideMark/>
          </w:tcPr>
          <w:p w14:paraId="1BEFB696"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563C47D9"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619D21E0"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64298A9B"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8B73C4B"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1890D6E0"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079009BF"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3BD2AAF8"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1BF5C9FB"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3F526C83"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5819BE9F"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6EB2BC37"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59EB7DBE"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3A43D44A"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5733F4CC" w14:textId="77777777" w:rsidR="004664A9" w:rsidRDefault="004664A9">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7F430EBF" w14:textId="77777777" w:rsidR="004664A9" w:rsidRDefault="004664A9">
            <w:pPr>
              <w:rPr>
                <w:sz w:val="20"/>
                <w:szCs w:val="20"/>
              </w:rPr>
            </w:pPr>
          </w:p>
        </w:tc>
      </w:tr>
    </w:tbl>
    <w:p w14:paraId="0F6B871C" w14:textId="77777777" w:rsidR="00E55A7D" w:rsidRDefault="00E55A7D" w:rsidP="00E55A7D">
      <w:pPr>
        <w:rPr>
          <w:color w:val="000000"/>
        </w:rPr>
      </w:pPr>
      <w:r w:rsidRPr="00235E0F">
        <w:rPr>
          <w:bCs/>
          <w:i/>
          <w:iCs/>
          <w:color w:val="000000" w:themeColor="text1"/>
        </w:rPr>
        <w:t>Note</w:t>
      </w:r>
      <w:r w:rsidRPr="00235E0F">
        <w:rPr>
          <w:bCs/>
          <w:color w:val="000000" w:themeColor="text1"/>
        </w:rPr>
        <w:t xml:space="preserve">. </w:t>
      </w:r>
      <w:r>
        <w:rPr>
          <w:bCs/>
          <w:color w:val="000000" w:themeColor="text1"/>
        </w:rPr>
        <w:t>En-Back = emotional n-back task;  SST = stop signal task</w:t>
      </w:r>
      <w:r>
        <w:rPr>
          <w:color w:val="000000"/>
        </w:rPr>
        <w:t xml:space="preserve"> </w:t>
      </w:r>
    </w:p>
    <w:p w14:paraId="58A7B742" w14:textId="098A2C66" w:rsidR="00954D06" w:rsidRPr="00E55A7D" w:rsidRDefault="001A0D61" w:rsidP="00E55A7D">
      <w:pPr>
        <w:pStyle w:val="Heading1"/>
        <w:rPr>
          <w:rFonts w:ascii="Times New Roman" w:hAnsi="Times New Roman" w:cs="Times New Roman"/>
          <w:color w:val="000000" w:themeColor="text1"/>
          <w:sz w:val="24"/>
          <w:szCs w:val="24"/>
        </w:rPr>
      </w:pPr>
      <w:r w:rsidRPr="00E55A7D">
        <w:rPr>
          <w:rFonts w:ascii="Times New Roman" w:hAnsi="Times New Roman" w:cs="Times New Roman"/>
          <w:color w:val="000000" w:themeColor="text1"/>
          <w:sz w:val="24"/>
          <w:szCs w:val="24"/>
        </w:rPr>
        <w:br w:type="page"/>
      </w:r>
      <w:bookmarkStart w:id="51" w:name="_Toc155817718"/>
      <w:r w:rsidR="00432B71" w:rsidRPr="00E55A7D">
        <w:rPr>
          <w:rFonts w:ascii="Times New Roman" w:hAnsi="Times New Roman" w:cs="Times New Roman"/>
          <w:b/>
          <w:bCs/>
          <w:color w:val="000000" w:themeColor="text1"/>
          <w:sz w:val="24"/>
          <w:szCs w:val="24"/>
        </w:rPr>
        <w:lastRenderedPageBreak/>
        <w:t xml:space="preserve">Table </w:t>
      </w:r>
      <w:r w:rsidRPr="00E55A7D">
        <w:rPr>
          <w:rFonts w:ascii="Times New Roman" w:hAnsi="Times New Roman" w:cs="Times New Roman"/>
          <w:b/>
          <w:bCs/>
          <w:color w:val="000000" w:themeColor="text1"/>
          <w:sz w:val="24"/>
          <w:szCs w:val="24"/>
        </w:rPr>
        <w:t>20</w:t>
      </w:r>
      <w:r w:rsidR="00517C29" w:rsidRPr="00E55A7D">
        <w:rPr>
          <w:rFonts w:ascii="Times New Roman" w:hAnsi="Times New Roman" w:cs="Times New Roman"/>
          <w:b/>
          <w:bCs/>
          <w:color w:val="000000" w:themeColor="text1"/>
          <w:sz w:val="24"/>
          <w:szCs w:val="24"/>
        </w:rPr>
        <w:t>b</w:t>
      </w:r>
      <w:r w:rsidRPr="00E55A7D">
        <w:rPr>
          <w:rFonts w:ascii="Times New Roman" w:hAnsi="Times New Roman" w:cs="Times New Roman"/>
          <w:b/>
          <w:bCs/>
          <w:color w:val="000000" w:themeColor="text1"/>
          <w:sz w:val="24"/>
          <w:szCs w:val="24"/>
        </w:rPr>
        <w:t>.</w:t>
      </w:r>
      <w:r w:rsidRPr="00E55A7D">
        <w:rPr>
          <w:rFonts w:ascii="Times New Roman" w:hAnsi="Times New Roman" w:cs="Times New Roman"/>
          <w:color w:val="000000" w:themeColor="text1"/>
          <w:sz w:val="24"/>
          <w:szCs w:val="24"/>
        </w:rPr>
        <w:t xml:space="preserve"> Results examining the relationship between environmental stressor factors obtained from </w:t>
      </w:r>
      <w:r w:rsidR="0092461E" w:rsidRPr="00E55A7D">
        <w:rPr>
          <w:rFonts w:ascii="Times New Roman" w:hAnsi="Times New Roman" w:cs="Times New Roman"/>
          <w:color w:val="000000" w:themeColor="text1"/>
          <w:sz w:val="24"/>
          <w:szCs w:val="24"/>
        </w:rPr>
        <w:t>higher-order</w:t>
      </w:r>
      <w:r w:rsidRPr="00E55A7D">
        <w:rPr>
          <w:rFonts w:ascii="Times New Roman" w:hAnsi="Times New Roman" w:cs="Times New Roman"/>
          <w:color w:val="000000" w:themeColor="text1"/>
          <w:sz w:val="24"/>
          <w:szCs w:val="24"/>
        </w:rPr>
        <w:t xml:space="preserve"> modeling and whole-brain </w:t>
      </w:r>
      <w:r w:rsidR="001D129C" w:rsidRPr="00E55A7D">
        <w:rPr>
          <w:rFonts w:ascii="Times New Roman" w:hAnsi="Times New Roman" w:cs="Times New Roman"/>
          <w:color w:val="000000" w:themeColor="text1"/>
          <w:sz w:val="24"/>
          <w:szCs w:val="24"/>
        </w:rPr>
        <w:t>S</w:t>
      </w:r>
      <w:r w:rsidRPr="00E55A7D">
        <w:rPr>
          <w:rFonts w:ascii="Times New Roman" w:hAnsi="Times New Roman" w:cs="Times New Roman"/>
          <w:color w:val="000000" w:themeColor="text1"/>
          <w:sz w:val="24"/>
          <w:szCs w:val="24"/>
        </w:rPr>
        <w:t>hen modularity during rest, emotional n-back task, and stop signal task</w:t>
      </w:r>
      <w:r w:rsidR="009D7245">
        <w:rPr>
          <w:rFonts w:ascii="Times New Roman" w:hAnsi="Times New Roman" w:cs="Times New Roman"/>
          <w:color w:val="000000" w:themeColor="text1"/>
          <w:sz w:val="24"/>
          <w:szCs w:val="24"/>
        </w:rPr>
        <w:t xml:space="preserve"> </w:t>
      </w:r>
      <w:r w:rsidR="009D7245" w:rsidRPr="00E55A7D">
        <w:rPr>
          <w:rFonts w:ascii="Times New Roman" w:hAnsi="Times New Roman" w:cs="Times New Roman"/>
          <w:color w:val="000000" w:themeColor="text1"/>
          <w:sz w:val="24"/>
          <w:szCs w:val="24"/>
        </w:rPr>
        <w:t>controlling for medication</w:t>
      </w:r>
      <w:bookmarkEnd w:id="51"/>
    </w:p>
    <w:tbl>
      <w:tblPr>
        <w:tblW w:w="14479" w:type="dxa"/>
        <w:tblLook w:val="04A0" w:firstRow="1" w:lastRow="0" w:firstColumn="1" w:lastColumn="0" w:noHBand="0" w:noVBand="1"/>
      </w:tblPr>
      <w:tblGrid>
        <w:gridCol w:w="1152"/>
        <w:gridCol w:w="1027"/>
        <w:gridCol w:w="820"/>
        <w:gridCol w:w="820"/>
        <w:gridCol w:w="820"/>
        <w:gridCol w:w="820"/>
        <w:gridCol w:w="820"/>
        <w:gridCol w:w="820"/>
        <w:gridCol w:w="820"/>
        <w:gridCol w:w="820"/>
        <w:gridCol w:w="820"/>
        <w:gridCol w:w="820"/>
        <w:gridCol w:w="820"/>
        <w:gridCol w:w="820"/>
        <w:gridCol w:w="820"/>
        <w:gridCol w:w="820"/>
        <w:gridCol w:w="820"/>
      </w:tblGrid>
      <w:tr w:rsidR="00954D06" w14:paraId="137C8804" w14:textId="77777777" w:rsidTr="00EE0A4C">
        <w:trPr>
          <w:trHeight w:val="340"/>
        </w:trPr>
        <w:tc>
          <w:tcPr>
            <w:tcW w:w="1152" w:type="dxa"/>
            <w:tcBorders>
              <w:top w:val="nil"/>
              <w:left w:val="nil"/>
              <w:bottom w:val="single" w:sz="12" w:space="0" w:color="auto"/>
              <w:right w:val="nil"/>
            </w:tcBorders>
            <w:shd w:val="clear" w:color="auto" w:fill="auto"/>
            <w:noWrap/>
            <w:vAlign w:val="bottom"/>
            <w:hideMark/>
          </w:tcPr>
          <w:p w14:paraId="352E40FC" w14:textId="77777777" w:rsidR="00954D06" w:rsidRDefault="00954D06">
            <w:pPr>
              <w:rPr>
                <w:color w:val="000000"/>
              </w:rPr>
            </w:pPr>
            <w:r>
              <w:rPr>
                <w:color w:val="000000"/>
              </w:rPr>
              <w:t> </w:t>
            </w:r>
          </w:p>
        </w:tc>
        <w:tc>
          <w:tcPr>
            <w:tcW w:w="1027" w:type="dxa"/>
            <w:tcBorders>
              <w:top w:val="nil"/>
              <w:left w:val="nil"/>
              <w:bottom w:val="single" w:sz="12" w:space="0" w:color="auto"/>
              <w:right w:val="nil"/>
            </w:tcBorders>
            <w:shd w:val="clear" w:color="auto" w:fill="auto"/>
            <w:noWrap/>
            <w:vAlign w:val="bottom"/>
            <w:hideMark/>
          </w:tcPr>
          <w:p w14:paraId="4A7FCD80"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23FB8C0E"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0438C5CA"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11087B8D"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0D78874C"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63EB357D"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516FF62B"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4F43AFD4"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72BD3A8B"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607BE13A"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0B7C5C4B" w14:textId="77777777" w:rsidR="00954D06" w:rsidRDefault="00954D06">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3CED6424" w14:textId="77777777" w:rsidR="00954D06" w:rsidRDefault="00954D06">
            <w:pPr>
              <w:rPr>
                <w:color w:val="000000"/>
              </w:rPr>
            </w:pPr>
          </w:p>
        </w:tc>
        <w:tc>
          <w:tcPr>
            <w:tcW w:w="820" w:type="dxa"/>
            <w:tcBorders>
              <w:top w:val="nil"/>
              <w:left w:val="nil"/>
              <w:bottom w:val="single" w:sz="12" w:space="0" w:color="auto"/>
              <w:right w:val="nil"/>
            </w:tcBorders>
            <w:shd w:val="clear" w:color="auto" w:fill="auto"/>
            <w:noWrap/>
            <w:vAlign w:val="bottom"/>
            <w:hideMark/>
          </w:tcPr>
          <w:p w14:paraId="7A278A13" w14:textId="77777777" w:rsidR="00954D06" w:rsidRDefault="00954D06">
            <w:pPr>
              <w:rPr>
                <w:sz w:val="20"/>
                <w:szCs w:val="20"/>
              </w:rPr>
            </w:pPr>
          </w:p>
        </w:tc>
        <w:tc>
          <w:tcPr>
            <w:tcW w:w="820" w:type="dxa"/>
            <w:tcBorders>
              <w:top w:val="nil"/>
              <w:left w:val="nil"/>
              <w:bottom w:val="single" w:sz="12" w:space="0" w:color="auto"/>
              <w:right w:val="nil"/>
            </w:tcBorders>
            <w:shd w:val="clear" w:color="auto" w:fill="auto"/>
            <w:noWrap/>
            <w:vAlign w:val="bottom"/>
            <w:hideMark/>
          </w:tcPr>
          <w:p w14:paraId="59E8E24D" w14:textId="77777777" w:rsidR="00954D06" w:rsidRDefault="00954D06">
            <w:pPr>
              <w:rPr>
                <w:sz w:val="20"/>
                <w:szCs w:val="20"/>
              </w:rPr>
            </w:pPr>
          </w:p>
        </w:tc>
        <w:tc>
          <w:tcPr>
            <w:tcW w:w="820" w:type="dxa"/>
            <w:tcBorders>
              <w:top w:val="nil"/>
              <w:left w:val="nil"/>
              <w:bottom w:val="single" w:sz="12" w:space="0" w:color="auto"/>
              <w:right w:val="nil"/>
            </w:tcBorders>
            <w:shd w:val="clear" w:color="auto" w:fill="auto"/>
            <w:noWrap/>
            <w:vAlign w:val="bottom"/>
            <w:hideMark/>
          </w:tcPr>
          <w:p w14:paraId="563E9749" w14:textId="77777777" w:rsidR="00954D06" w:rsidRDefault="00954D06">
            <w:pPr>
              <w:rPr>
                <w:sz w:val="20"/>
                <w:szCs w:val="20"/>
              </w:rPr>
            </w:pPr>
          </w:p>
        </w:tc>
        <w:tc>
          <w:tcPr>
            <w:tcW w:w="820" w:type="dxa"/>
            <w:tcBorders>
              <w:top w:val="nil"/>
              <w:left w:val="nil"/>
              <w:bottom w:val="single" w:sz="12" w:space="0" w:color="auto"/>
              <w:right w:val="nil"/>
            </w:tcBorders>
            <w:shd w:val="clear" w:color="auto" w:fill="auto"/>
            <w:noWrap/>
            <w:vAlign w:val="bottom"/>
            <w:hideMark/>
          </w:tcPr>
          <w:p w14:paraId="3A3EBA44" w14:textId="77777777" w:rsidR="00954D06" w:rsidRDefault="00954D06">
            <w:pPr>
              <w:rPr>
                <w:sz w:val="20"/>
                <w:szCs w:val="20"/>
              </w:rPr>
            </w:pPr>
          </w:p>
        </w:tc>
      </w:tr>
      <w:tr w:rsidR="00954D06" w14:paraId="01638B3E" w14:textId="77777777" w:rsidTr="00EE0A4C">
        <w:trPr>
          <w:trHeight w:val="340"/>
        </w:trPr>
        <w:tc>
          <w:tcPr>
            <w:tcW w:w="1152" w:type="dxa"/>
            <w:tcBorders>
              <w:top w:val="single" w:sz="12" w:space="0" w:color="auto"/>
              <w:left w:val="nil"/>
              <w:bottom w:val="single" w:sz="12" w:space="0" w:color="auto"/>
              <w:right w:val="nil"/>
            </w:tcBorders>
            <w:shd w:val="clear" w:color="auto" w:fill="auto"/>
            <w:noWrap/>
            <w:vAlign w:val="center"/>
            <w:hideMark/>
          </w:tcPr>
          <w:p w14:paraId="2B7AB59B" w14:textId="77777777" w:rsidR="00954D06" w:rsidRDefault="00954D06" w:rsidP="00E55A7D">
            <w:pPr>
              <w:rPr>
                <w:color w:val="000000"/>
                <w:sz w:val="20"/>
                <w:szCs w:val="20"/>
              </w:rPr>
            </w:pPr>
            <w:r>
              <w:rPr>
                <w:color w:val="000000"/>
                <w:sz w:val="20"/>
                <w:szCs w:val="20"/>
              </w:rPr>
              <w:t>Task</w:t>
            </w:r>
          </w:p>
        </w:tc>
        <w:tc>
          <w:tcPr>
            <w:tcW w:w="1027" w:type="dxa"/>
            <w:tcBorders>
              <w:top w:val="single" w:sz="12" w:space="0" w:color="auto"/>
              <w:left w:val="nil"/>
              <w:bottom w:val="single" w:sz="12" w:space="0" w:color="auto"/>
              <w:right w:val="nil"/>
            </w:tcBorders>
            <w:shd w:val="clear" w:color="auto" w:fill="auto"/>
            <w:noWrap/>
            <w:vAlign w:val="center"/>
            <w:hideMark/>
          </w:tcPr>
          <w:p w14:paraId="1D95BEF9" w14:textId="77777777" w:rsidR="00954D06" w:rsidRDefault="00954D06" w:rsidP="00E55A7D">
            <w:pPr>
              <w:rPr>
                <w:color w:val="000000"/>
                <w:sz w:val="20"/>
                <w:szCs w:val="20"/>
              </w:rPr>
            </w:pPr>
            <w:r>
              <w:rPr>
                <w:color w:val="000000"/>
                <w:sz w:val="20"/>
                <w:szCs w:val="20"/>
              </w:rPr>
              <w:t>Threshold</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14CC0AC3" w14:textId="77777777" w:rsidR="00954D06" w:rsidRDefault="00954D06" w:rsidP="00E55A7D">
            <w:pPr>
              <w:jc w:val="center"/>
              <w:rPr>
                <w:color w:val="000000"/>
                <w:sz w:val="20"/>
                <w:szCs w:val="20"/>
              </w:rPr>
            </w:pPr>
            <w:r>
              <w:rPr>
                <w:color w:val="000000"/>
                <w:sz w:val="20"/>
                <w:szCs w:val="20"/>
              </w:rPr>
              <w:t>General</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72C58612" w14:textId="77777777" w:rsidR="00954D06" w:rsidRDefault="00954D06" w:rsidP="00E55A7D">
            <w:pPr>
              <w:jc w:val="center"/>
              <w:rPr>
                <w:color w:val="000000"/>
                <w:sz w:val="20"/>
                <w:szCs w:val="20"/>
              </w:rPr>
            </w:pPr>
            <w:r>
              <w:rPr>
                <w:color w:val="000000"/>
                <w:sz w:val="20"/>
                <w:szCs w:val="20"/>
              </w:rPr>
              <w:t>Family Dynamics</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1EB55953" w14:textId="77777777" w:rsidR="00954D06" w:rsidRDefault="00954D06" w:rsidP="00E55A7D">
            <w:pPr>
              <w:jc w:val="center"/>
              <w:rPr>
                <w:color w:val="000000"/>
                <w:sz w:val="20"/>
                <w:szCs w:val="20"/>
              </w:rPr>
            </w:pPr>
            <w:r>
              <w:rPr>
                <w:color w:val="000000"/>
                <w:sz w:val="20"/>
                <w:szCs w:val="20"/>
              </w:rPr>
              <w:t>Interpersonal Support</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2E309780" w14:textId="77777777" w:rsidR="00954D06" w:rsidRDefault="00954D06" w:rsidP="00E55A7D">
            <w:pPr>
              <w:jc w:val="center"/>
              <w:rPr>
                <w:color w:val="000000"/>
                <w:sz w:val="20"/>
                <w:szCs w:val="20"/>
              </w:rPr>
            </w:pPr>
            <w:r>
              <w:rPr>
                <w:color w:val="000000"/>
                <w:sz w:val="20"/>
                <w:szCs w:val="20"/>
              </w:rPr>
              <w:t>Neighborhood SES</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1930D4E1" w14:textId="77777777" w:rsidR="00954D06" w:rsidRDefault="00954D06" w:rsidP="00E55A7D">
            <w:pPr>
              <w:jc w:val="center"/>
              <w:rPr>
                <w:color w:val="000000"/>
                <w:sz w:val="20"/>
                <w:szCs w:val="20"/>
              </w:rPr>
            </w:pPr>
            <w:r>
              <w:rPr>
                <w:color w:val="000000"/>
                <w:sz w:val="20"/>
                <w:szCs w:val="20"/>
              </w:rPr>
              <w:t>Urbanicity</w:t>
            </w:r>
          </w:p>
        </w:tc>
      </w:tr>
      <w:tr w:rsidR="00954D06" w14:paraId="75EFB3AD" w14:textId="77777777" w:rsidTr="00EE0A4C">
        <w:trPr>
          <w:trHeight w:val="340"/>
        </w:trPr>
        <w:tc>
          <w:tcPr>
            <w:tcW w:w="1152" w:type="dxa"/>
            <w:tcBorders>
              <w:top w:val="single" w:sz="12" w:space="0" w:color="auto"/>
              <w:left w:val="nil"/>
              <w:bottom w:val="single" w:sz="12" w:space="0" w:color="auto"/>
              <w:right w:val="nil"/>
            </w:tcBorders>
            <w:shd w:val="clear" w:color="auto" w:fill="auto"/>
            <w:noWrap/>
            <w:vAlign w:val="center"/>
            <w:hideMark/>
          </w:tcPr>
          <w:p w14:paraId="62E17248" w14:textId="1AD9999E" w:rsidR="00954D06" w:rsidRDefault="00954D06" w:rsidP="00E55A7D">
            <w:pPr>
              <w:jc w:val="center"/>
              <w:rPr>
                <w:color w:val="000000"/>
                <w:sz w:val="20"/>
                <w:szCs w:val="20"/>
              </w:rPr>
            </w:pPr>
          </w:p>
        </w:tc>
        <w:tc>
          <w:tcPr>
            <w:tcW w:w="1027" w:type="dxa"/>
            <w:tcBorders>
              <w:top w:val="single" w:sz="12" w:space="0" w:color="auto"/>
              <w:left w:val="nil"/>
              <w:bottom w:val="single" w:sz="12" w:space="0" w:color="auto"/>
              <w:right w:val="nil"/>
            </w:tcBorders>
            <w:shd w:val="clear" w:color="auto" w:fill="auto"/>
            <w:noWrap/>
            <w:vAlign w:val="center"/>
            <w:hideMark/>
          </w:tcPr>
          <w:p w14:paraId="7DEA2D2A" w14:textId="28E6F3EE" w:rsidR="00954D06" w:rsidRDefault="00954D06" w:rsidP="00E55A7D">
            <w:pPr>
              <w:jc w:val="center"/>
              <w:rPr>
                <w:color w:val="000000"/>
                <w:sz w:val="20"/>
                <w:szCs w:val="20"/>
              </w:rPr>
            </w:pPr>
          </w:p>
        </w:tc>
        <w:tc>
          <w:tcPr>
            <w:tcW w:w="820" w:type="dxa"/>
            <w:tcBorders>
              <w:top w:val="single" w:sz="12" w:space="0" w:color="auto"/>
              <w:left w:val="nil"/>
              <w:bottom w:val="single" w:sz="12" w:space="0" w:color="auto"/>
              <w:right w:val="nil"/>
            </w:tcBorders>
            <w:shd w:val="clear" w:color="auto" w:fill="auto"/>
            <w:noWrap/>
            <w:vAlign w:val="center"/>
            <w:hideMark/>
          </w:tcPr>
          <w:p w14:paraId="1BD396FA" w14:textId="77777777" w:rsidR="00954D06" w:rsidRDefault="00954D06" w:rsidP="00E55A7D">
            <w:pPr>
              <w:jc w:val="center"/>
              <w:rPr>
                <w:color w:val="000000"/>
                <w:sz w:val="20"/>
                <w:szCs w:val="20"/>
              </w:rPr>
            </w:pPr>
            <w:r>
              <w:rPr>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1F53ABE5" w14:textId="77777777" w:rsidR="00954D06" w:rsidRDefault="00954D06" w:rsidP="00E55A7D">
            <w:pPr>
              <w:jc w:val="center"/>
              <w:rPr>
                <w:color w:val="000000"/>
                <w:sz w:val="20"/>
                <w:szCs w:val="20"/>
              </w:rPr>
            </w:pPr>
            <w:r>
              <w:rPr>
                <w:color w:val="000000"/>
                <w:sz w:val="20"/>
                <w:szCs w:val="20"/>
              </w:rPr>
              <w:t>pfdr</w:t>
            </w:r>
          </w:p>
        </w:tc>
        <w:tc>
          <w:tcPr>
            <w:tcW w:w="820" w:type="dxa"/>
            <w:tcBorders>
              <w:top w:val="single" w:sz="12" w:space="0" w:color="auto"/>
              <w:left w:val="nil"/>
              <w:bottom w:val="single" w:sz="12" w:space="0" w:color="auto"/>
              <w:right w:val="nil"/>
            </w:tcBorders>
            <w:shd w:val="clear" w:color="auto" w:fill="auto"/>
            <w:noWrap/>
            <w:vAlign w:val="center"/>
            <w:hideMark/>
          </w:tcPr>
          <w:p w14:paraId="67F63712" w14:textId="77777777" w:rsidR="00954D06" w:rsidRDefault="00954D06" w:rsidP="00E55A7D">
            <w:pPr>
              <w:jc w:val="center"/>
              <w:rPr>
                <w:color w:val="000000"/>
                <w:sz w:val="20"/>
                <w:szCs w:val="20"/>
              </w:rPr>
            </w:pPr>
            <w:r>
              <w:rPr>
                <w:color w:val="000000"/>
                <w:sz w:val="20"/>
                <w:szCs w:val="20"/>
              </w:rPr>
              <w:t>R2</w:t>
            </w:r>
          </w:p>
        </w:tc>
        <w:tc>
          <w:tcPr>
            <w:tcW w:w="820" w:type="dxa"/>
            <w:tcBorders>
              <w:top w:val="single" w:sz="12" w:space="0" w:color="auto"/>
              <w:left w:val="nil"/>
              <w:bottom w:val="single" w:sz="12" w:space="0" w:color="auto"/>
              <w:right w:val="nil"/>
            </w:tcBorders>
            <w:shd w:val="clear" w:color="auto" w:fill="auto"/>
            <w:noWrap/>
            <w:vAlign w:val="center"/>
            <w:hideMark/>
          </w:tcPr>
          <w:p w14:paraId="6BABA74C" w14:textId="77777777" w:rsidR="00954D06" w:rsidRDefault="00954D06" w:rsidP="00E55A7D">
            <w:pPr>
              <w:jc w:val="center"/>
              <w:rPr>
                <w:color w:val="000000"/>
                <w:sz w:val="20"/>
                <w:szCs w:val="20"/>
              </w:rPr>
            </w:pPr>
            <w:r>
              <w:rPr>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333DEED2" w14:textId="77777777" w:rsidR="00954D06" w:rsidRDefault="00954D06" w:rsidP="00E55A7D">
            <w:pPr>
              <w:jc w:val="center"/>
              <w:rPr>
                <w:color w:val="000000"/>
                <w:sz w:val="20"/>
                <w:szCs w:val="20"/>
              </w:rPr>
            </w:pPr>
            <w:r>
              <w:rPr>
                <w:color w:val="000000"/>
                <w:sz w:val="20"/>
                <w:szCs w:val="20"/>
              </w:rPr>
              <w:t>pfdr</w:t>
            </w:r>
          </w:p>
        </w:tc>
        <w:tc>
          <w:tcPr>
            <w:tcW w:w="820" w:type="dxa"/>
            <w:tcBorders>
              <w:top w:val="single" w:sz="12" w:space="0" w:color="auto"/>
              <w:left w:val="nil"/>
              <w:bottom w:val="single" w:sz="12" w:space="0" w:color="auto"/>
              <w:right w:val="nil"/>
            </w:tcBorders>
            <w:shd w:val="clear" w:color="auto" w:fill="auto"/>
            <w:noWrap/>
            <w:vAlign w:val="center"/>
            <w:hideMark/>
          </w:tcPr>
          <w:p w14:paraId="69FFAA74" w14:textId="77777777" w:rsidR="00954D06" w:rsidRDefault="00954D06" w:rsidP="00E55A7D">
            <w:pPr>
              <w:jc w:val="center"/>
              <w:rPr>
                <w:color w:val="000000"/>
                <w:sz w:val="20"/>
                <w:szCs w:val="20"/>
              </w:rPr>
            </w:pPr>
            <w:r>
              <w:rPr>
                <w:color w:val="000000"/>
                <w:sz w:val="20"/>
                <w:szCs w:val="20"/>
              </w:rPr>
              <w:t>R2</w:t>
            </w:r>
          </w:p>
        </w:tc>
        <w:tc>
          <w:tcPr>
            <w:tcW w:w="820" w:type="dxa"/>
            <w:tcBorders>
              <w:top w:val="single" w:sz="12" w:space="0" w:color="auto"/>
              <w:left w:val="nil"/>
              <w:bottom w:val="single" w:sz="12" w:space="0" w:color="auto"/>
              <w:right w:val="nil"/>
            </w:tcBorders>
            <w:shd w:val="clear" w:color="auto" w:fill="auto"/>
            <w:noWrap/>
            <w:vAlign w:val="center"/>
            <w:hideMark/>
          </w:tcPr>
          <w:p w14:paraId="103B1EE0" w14:textId="77777777" w:rsidR="00954D06" w:rsidRDefault="00954D06" w:rsidP="00E55A7D">
            <w:pPr>
              <w:jc w:val="center"/>
              <w:rPr>
                <w:color w:val="000000"/>
                <w:sz w:val="20"/>
                <w:szCs w:val="20"/>
              </w:rPr>
            </w:pPr>
            <w:r>
              <w:rPr>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471C3F15" w14:textId="77777777" w:rsidR="00954D06" w:rsidRDefault="00954D06" w:rsidP="00E55A7D">
            <w:pPr>
              <w:jc w:val="center"/>
              <w:rPr>
                <w:color w:val="000000"/>
                <w:sz w:val="20"/>
                <w:szCs w:val="20"/>
              </w:rPr>
            </w:pPr>
            <w:r>
              <w:rPr>
                <w:color w:val="000000"/>
                <w:sz w:val="20"/>
                <w:szCs w:val="20"/>
              </w:rPr>
              <w:t>pfdr</w:t>
            </w:r>
          </w:p>
        </w:tc>
        <w:tc>
          <w:tcPr>
            <w:tcW w:w="820" w:type="dxa"/>
            <w:tcBorders>
              <w:top w:val="single" w:sz="12" w:space="0" w:color="auto"/>
              <w:left w:val="nil"/>
              <w:bottom w:val="single" w:sz="12" w:space="0" w:color="auto"/>
              <w:right w:val="nil"/>
            </w:tcBorders>
            <w:shd w:val="clear" w:color="auto" w:fill="auto"/>
            <w:noWrap/>
            <w:vAlign w:val="center"/>
            <w:hideMark/>
          </w:tcPr>
          <w:p w14:paraId="21ACDBF4" w14:textId="77777777" w:rsidR="00954D06" w:rsidRDefault="00954D06" w:rsidP="00E55A7D">
            <w:pPr>
              <w:jc w:val="center"/>
              <w:rPr>
                <w:color w:val="000000"/>
                <w:sz w:val="20"/>
                <w:szCs w:val="20"/>
              </w:rPr>
            </w:pPr>
            <w:r>
              <w:rPr>
                <w:color w:val="000000"/>
                <w:sz w:val="20"/>
                <w:szCs w:val="20"/>
              </w:rPr>
              <w:t>R2</w:t>
            </w:r>
          </w:p>
        </w:tc>
        <w:tc>
          <w:tcPr>
            <w:tcW w:w="820" w:type="dxa"/>
            <w:tcBorders>
              <w:top w:val="single" w:sz="12" w:space="0" w:color="auto"/>
              <w:left w:val="nil"/>
              <w:bottom w:val="single" w:sz="12" w:space="0" w:color="auto"/>
              <w:right w:val="nil"/>
            </w:tcBorders>
            <w:shd w:val="clear" w:color="auto" w:fill="auto"/>
            <w:noWrap/>
            <w:vAlign w:val="center"/>
            <w:hideMark/>
          </w:tcPr>
          <w:p w14:paraId="7F7ED283" w14:textId="77777777" w:rsidR="00954D06" w:rsidRDefault="00954D06" w:rsidP="00E55A7D">
            <w:pPr>
              <w:jc w:val="center"/>
              <w:rPr>
                <w:color w:val="000000"/>
                <w:sz w:val="20"/>
                <w:szCs w:val="20"/>
              </w:rPr>
            </w:pPr>
            <w:r>
              <w:rPr>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3F5EF89B" w14:textId="77777777" w:rsidR="00954D06" w:rsidRDefault="00954D06" w:rsidP="00E55A7D">
            <w:pPr>
              <w:jc w:val="center"/>
              <w:rPr>
                <w:color w:val="000000"/>
                <w:sz w:val="20"/>
                <w:szCs w:val="20"/>
              </w:rPr>
            </w:pPr>
            <w:r>
              <w:rPr>
                <w:color w:val="000000"/>
                <w:sz w:val="20"/>
                <w:szCs w:val="20"/>
              </w:rPr>
              <w:t>pfdr</w:t>
            </w:r>
          </w:p>
        </w:tc>
        <w:tc>
          <w:tcPr>
            <w:tcW w:w="820" w:type="dxa"/>
            <w:tcBorders>
              <w:top w:val="single" w:sz="12" w:space="0" w:color="auto"/>
              <w:left w:val="nil"/>
              <w:bottom w:val="single" w:sz="12" w:space="0" w:color="auto"/>
              <w:right w:val="nil"/>
            </w:tcBorders>
            <w:shd w:val="clear" w:color="auto" w:fill="auto"/>
            <w:noWrap/>
            <w:vAlign w:val="center"/>
            <w:hideMark/>
          </w:tcPr>
          <w:p w14:paraId="39742674" w14:textId="77777777" w:rsidR="00954D06" w:rsidRDefault="00954D06" w:rsidP="00E55A7D">
            <w:pPr>
              <w:jc w:val="center"/>
              <w:rPr>
                <w:color w:val="000000"/>
                <w:sz w:val="20"/>
                <w:szCs w:val="20"/>
              </w:rPr>
            </w:pPr>
            <w:r>
              <w:rPr>
                <w:color w:val="000000"/>
                <w:sz w:val="20"/>
                <w:szCs w:val="20"/>
              </w:rPr>
              <w:t>R2</w:t>
            </w:r>
          </w:p>
        </w:tc>
        <w:tc>
          <w:tcPr>
            <w:tcW w:w="820" w:type="dxa"/>
            <w:tcBorders>
              <w:top w:val="single" w:sz="12" w:space="0" w:color="auto"/>
              <w:left w:val="nil"/>
              <w:bottom w:val="single" w:sz="12" w:space="0" w:color="auto"/>
              <w:right w:val="nil"/>
            </w:tcBorders>
            <w:shd w:val="clear" w:color="auto" w:fill="auto"/>
            <w:noWrap/>
            <w:vAlign w:val="center"/>
            <w:hideMark/>
          </w:tcPr>
          <w:p w14:paraId="37F4094E" w14:textId="77777777" w:rsidR="00954D06" w:rsidRDefault="00954D06" w:rsidP="00E55A7D">
            <w:pPr>
              <w:jc w:val="center"/>
              <w:rPr>
                <w:color w:val="000000"/>
                <w:sz w:val="20"/>
                <w:szCs w:val="20"/>
              </w:rPr>
            </w:pPr>
            <w:r>
              <w:rPr>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2815D505" w14:textId="77777777" w:rsidR="00954D06" w:rsidRDefault="00954D06" w:rsidP="00E55A7D">
            <w:pPr>
              <w:jc w:val="center"/>
              <w:rPr>
                <w:color w:val="000000"/>
                <w:sz w:val="20"/>
                <w:szCs w:val="20"/>
              </w:rPr>
            </w:pPr>
            <w:r>
              <w:rPr>
                <w:color w:val="000000"/>
                <w:sz w:val="20"/>
                <w:szCs w:val="20"/>
              </w:rPr>
              <w:t>pfdr</w:t>
            </w:r>
          </w:p>
        </w:tc>
        <w:tc>
          <w:tcPr>
            <w:tcW w:w="820" w:type="dxa"/>
            <w:tcBorders>
              <w:top w:val="single" w:sz="12" w:space="0" w:color="auto"/>
              <w:left w:val="nil"/>
              <w:bottom w:val="single" w:sz="12" w:space="0" w:color="auto"/>
              <w:right w:val="nil"/>
            </w:tcBorders>
            <w:shd w:val="clear" w:color="auto" w:fill="auto"/>
            <w:noWrap/>
            <w:vAlign w:val="center"/>
            <w:hideMark/>
          </w:tcPr>
          <w:p w14:paraId="6899F8EE" w14:textId="77777777" w:rsidR="00954D06" w:rsidRDefault="00954D06" w:rsidP="00E55A7D">
            <w:pPr>
              <w:jc w:val="center"/>
              <w:rPr>
                <w:color w:val="000000"/>
                <w:sz w:val="20"/>
                <w:szCs w:val="20"/>
              </w:rPr>
            </w:pPr>
            <w:r>
              <w:rPr>
                <w:color w:val="000000"/>
                <w:sz w:val="20"/>
                <w:szCs w:val="20"/>
              </w:rPr>
              <w:t>R2</w:t>
            </w:r>
          </w:p>
        </w:tc>
      </w:tr>
      <w:tr w:rsidR="00954D06" w14:paraId="31E976E8" w14:textId="77777777" w:rsidTr="00EE0A4C">
        <w:trPr>
          <w:trHeight w:val="320"/>
        </w:trPr>
        <w:tc>
          <w:tcPr>
            <w:tcW w:w="1152" w:type="dxa"/>
            <w:tcBorders>
              <w:top w:val="single" w:sz="12" w:space="0" w:color="auto"/>
              <w:left w:val="nil"/>
              <w:bottom w:val="nil"/>
              <w:right w:val="nil"/>
            </w:tcBorders>
            <w:shd w:val="clear" w:color="auto" w:fill="auto"/>
            <w:noWrap/>
            <w:vAlign w:val="bottom"/>
            <w:hideMark/>
          </w:tcPr>
          <w:p w14:paraId="07CCDF4C" w14:textId="77777777" w:rsidR="00954D06" w:rsidRDefault="00954D06">
            <w:pPr>
              <w:rPr>
                <w:color w:val="000000"/>
                <w:sz w:val="20"/>
                <w:szCs w:val="20"/>
              </w:rPr>
            </w:pPr>
            <w:r>
              <w:rPr>
                <w:color w:val="000000"/>
                <w:sz w:val="20"/>
                <w:szCs w:val="20"/>
              </w:rPr>
              <w:t>Rest</w:t>
            </w:r>
          </w:p>
        </w:tc>
        <w:tc>
          <w:tcPr>
            <w:tcW w:w="1027" w:type="dxa"/>
            <w:tcBorders>
              <w:top w:val="single" w:sz="12" w:space="0" w:color="auto"/>
              <w:left w:val="nil"/>
              <w:bottom w:val="nil"/>
              <w:right w:val="nil"/>
            </w:tcBorders>
            <w:shd w:val="clear" w:color="auto" w:fill="auto"/>
            <w:noWrap/>
            <w:vAlign w:val="bottom"/>
            <w:hideMark/>
          </w:tcPr>
          <w:p w14:paraId="599F2C5E" w14:textId="77777777" w:rsidR="00954D06" w:rsidRDefault="00954D06">
            <w:pPr>
              <w:rPr>
                <w:color w:val="000000"/>
                <w:sz w:val="20"/>
                <w:szCs w:val="20"/>
              </w:rPr>
            </w:pPr>
            <w:r>
              <w:rPr>
                <w:color w:val="000000"/>
                <w:sz w:val="20"/>
                <w:szCs w:val="20"/>
              </w:rPr>
              <w:t>10%</w:t>
            </w:r>
          </w:p>
        </w:tc>
        <w:tc>
          <w:tcPr>
            <w:tcW w:w="820" w:type="dxa"/>
            <w:tcBorders>
              <w:top w:val="single" w:sz="12" w:space="0" w:color="auto"/>
              <w:left w:val="nil"/>
              <w:bottom w:val="nil"/>
              <w:right w:val="nil"/>
            </w:tcBorders>
            <w:shd w:val="clear" w:color="auto" w:fill="auto"/>
            <w:noWrap/>
            <w:vAlign w:val="bottom"/>
            <w:hideMark/>
          </w:tcPr>
          <w:p w14:paraId="4A75F01C" w14:textId="77777777" w:rsidR="00954D06" w:rsidRDefault="00954D06">
            <w:pPr>
              <w:jc w:val="right"/>
              <w:rPr>
                <w:b/>
                <w:bCs/>
                <w:color w:val="000000"/>
                <w:sz w:val="20"/>
                <w:szCs w:val="20"/>
              </w:rPr>
            </w:pPr>
            <w:r>
              <w:rPr>
                <w:b/>
                <w:bCs/>
                <w:color w:val="000000"/>
                <w:sz w:val="20"/>
                <w:szCs w:val="20"/>
              </w:rPr>
              <w:t>-0.066</w:t>
            </w:r>
          </w:p>
        </w:tc>
        <w:tc>
          <w:tcPr>
            <w:tcW w:w="820" w:type="dxa"/>
            <w:tcBorders>
              <w:top w:val="single" w:sz="12" w:space="0" w:color="auto"/>
              <w:left w:val="nil"/>
              <w:bottom w:val="nil"/>
              <w:right w:val="nil"/>
            </w:tcBorders>
            <w:shd w:val="clear" w:color="auto" w:fill="auto"/>
            <w:noWrap/>
            <w:vAlign w:val="bottom"/>
            <w:hideMark/>
          </w:tcPr>
          <w:p w14:paraId="29893379" w14:textId="77777777" w:rsidR="00954D06" w:rsidRDefault="00954D06">
            <w:pPr>
              <w:jc w:val="right"/>
              <w:rPr>
                <w:b/>
                <w:bCs/>
                <w:color w:val="000000"/>
                <w:sz w:val="20"/>
                <w:szCs w:val="20"/>
              </w:rPr>
            </w:pPr>
            <w:r>
              <w:rPr>
                <w:b/>
                <w:bCs/>
                <w:color w:val="000000"/>
                <w:sz w:val="20"/>
                <w:szCs w:val="20"/>
              </w:rPr>
              <w:t>0.011</w:t>
            </w:r>
          </w:p>
        </w:tc>
        <w:tc>
          <w:tcPr>
            <w:tcW w:w="820" w:type="dxa"/>
            <w:tcBorders>
              <w:top w:val="single" w:sz="12" w:space="0" w:color="auto"/>
              <w:left w:val="nil"/>
              <w:bottom w:val="nil"/>
              <w:right w:val="nil"/>
            </w:tcBorders>
            <w:shd w:val="clear" w:color="auto" w:fill="auto"/>
            <w:noWrap/>
            <w:vAlign w:val="bottom"/>
            <w:hideMark/>
          </w:tcPr>
          <w:p w14:paraId="0F885F82" w14:textId="77777777" w:rsidR="00954D06" w:rsidRDefault="00954D06">
            <w:pPr>
              <w:jc w:val="right"/>
              <w:rPr>
                <w:b/>
                <w:bCs/>
                <w:color w:val="000000"/>
                <w:sz w:val="20"/>
                <w:szCs w:val="20"/>
              </w:rPr>
            </w:pPr>
            <w:r>
              <w:rPr>
                <w:b/>
                <w:bCs/>
                <w:color w:val="000000"/>
                <w:sz w:val="20"/>
                <w:szCs w:val="20"/>
              </w:rPr>
              <w:t>0.004</w:t>
            </w:r>
          </w:p>
        </w:tc>
        <w:tc>
          <w:tcPr>
            <w:tcW w:w="820" w:type="dxa"/>
            <w:tcBorders>
              <w:top w:val="single" w:sz="12" w:space="0" w:color="auto"/>
              <w:left w:val="nil"/>
              <w:bottom w:val="nil"/>
              <w:right w:val="nil"/>
            </w:tcBorders>
            <w:shd w:val="clear" w:color="auto" w:fill="auto"/>
            <w:noWrap/>
            <w:vAlign w:val="bottom"/>
            <w:hideMark/>
          </w:tcPr>
          <w:p w14:paraId="7DC4BAB1" w14:textId="77777777" w:rsidR="00954D06" w:rsidRDefault="00954D06">
            <w:pPr>
              <w:jc w:val="right"/>
              <w:rPr>
                <w:color w:val="000000"/>
                <w:sz w:val="20"/>
                <w:szCs w:val="20"/>
              </w:rPr>
            </w:pPr>
            <w:r>
              <w:rPr>
                <w:color w:val="000000"/>
                <w:sz w:val="20"/>
                <w:szCs w:val="20"/>
              </w:rPr>
              <w:t>-0.019</w:t>
            </w:r>
          </w:p>
        </w:tc>
        <w:tc>
          <w:tcPr>
            <w:tcW w:w="820" w:type="dxa"/>
            <w:tcBorders>
              <w:top w:val="single" w:sz="12" w:space="0" w:color="auto"/>
              <w:left w:val="nil"/>
              <w:bottom w:val="nil"/>
              <w:right w:val="nil"/>
            </w:tcBorders>
            <w:shd w:val="clear" w:color="auto" w:fill="auto"/>
            <w:noWrap/>
            <w:vAlign w:val="bottom"/>
            <w:hideMark/>
          </w:tcPr>
          <w:p w14:paraId="7F3B088A" w14:textId="77777777" w:rsidR="00954D06" w:rsidRDefault="00954D06">
            <w:pPr>
              <w:jc w:val="right"/>
              <w:rPr>
                <w:color w:val="000000"/>
                <w:sz w:val="20"/>
                <w:szCs w:val="20"/>
              </w:rPr>
            </w:pPr>
            <w:r>
              <w:rPr>
                <w:color w:val="000000"/>
                <w:sz w:val="20"/>
                <w:szCs w:val="20"/>
              </w:rPr>
              <w:t>0.374</w:t>
            </w:r>
          </w:p>
        </w:tc>
        <w:tc>
          <w:tcPr>
            <w:tcW w:w="820" w:type="dxa"/>
            <w:tcBorders>
              <w:top w:val="single" w:sz="12" w:space="0" w:color="auto"/>
              <w:left w:val="nil"/>
              <w:bottom w:val="nil"/>
              <w:right w:val="nil"/>
            </w:tcBorders>
            <w:shd w:val="clear" w:color="auto" w:fill="auto"/>
            <w:noWrap/>
            <w:vAlign w:val="bottom"/>
            <w:hideMark/>
          </w:tcPr>
          <w:p w14:paraId="16C39A3C" w14:textId="77777777" w:rsidR="00954D06" w:rsidRDefault="00954D06">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6900AC43" w14:textId="77777777" w:rsidR="00954D06" w:rsidRDefault="00954D06">
            <w:pPr>
              <w:jc w:val="right"/>
              <w:rPr>
                <w:color w:val="000000"/>
                <w:sz w:val="20"/>
                <w:szCs w:val="20"/>
              </w:rPr>
            </w:pPr>
            <w:r>
              <w:rPr>
                <w:color w:val="000000"/>
                <w:sz w:val="20"/>
                <w:szCs w:val="20"/>
              </w:rPr>
              <w:t>-0.011</w:t>
            </w:r>
          </w:p>
        </w:tc>
        <w:tc>
          <w:tcPr>
            <w:tcW w:w="820" w:type="dxa"/>
            <w:tcBorders>
              <w:top w:val="single" w:sz="12" w:space="0" w:color="auto"/>
              <w:left w:val="nil"/>
              <w:bottom w:val="nil"/>
              <w:right w:val="nil"/>
            </w:tcBorders>
            <w:shd w:val="clear" w:color="auto" w:fill="auto"/>
            <w:noWrap/>
            <w:vAlign w:val="bottom"/>
            <w:hideMark/>
          </w:tcPr>
          <w:p w14:paraId="59DD7695" w14:textId="77777777" w:rsidR="00954D06" w:rsidRDefault="00954D06">
            <w:pPr>
              <w:jc w:val="right"/>
              <w:rPr>
                <w:color w:val="000000"/>
                <w:sz w:val="20"/>
                <w:szCs w:val="20"/>
              </w:rPr>
            </w:pPr>
            <w:r>
              <w:rPr>
                <w:color w:val="000000"/>
                <w:sz w:val="20"/>
                <w:szCs w:val="20"/>
              </w:rPr>
              <w:t>0.886</w:t>
            </w:r>
          </w:p>
        </w:tc>
        <w:tc>
          <w:tcPr>
            <w:tcW w:w="820" w:type="dxa"/>
            <w:tcBorders>
              <w:top w:val="single" w:sz="12" w:space="0" w:color="auto"/>
              <w:left w:val="nil"/>
              <w:bottom w:val="nil"/>
              <w:right w:val="nil"/>
            </w:tcBorders>
            <w:shd w:val="clear" w:color="auto" w:fill="auto"/>
            <w:noWrap/>
            <w:vAlign w:val="bottom"/>
            <w:hideMark/>
          </w:tcPr>
          <w:p w14:paraId="201B0FB7" w14:textId="77777777" w:rsidR="00954D06" w:rsidRDefault="00954D06">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4936B44D" w14:textId="77777777" w:rsidR="00954D06" w:rsidRDefault="00954D06">
            <w:pPr>
              <w:jc w:val="right"/>
              <w:rPr>
                <w:color w:val="000000"/>
                <w:sz w:val="20"/>
                <w:szCs w:val="20"/>
              </w:rPr>
            </w:pPr>
            <w:r>
              <w:rPr>
                <w:color w:val="000000"/>
                <w:sz w:val="20"/>
                <w:szCs w:val="20"/>
              </w:rPr>
              <w:t>-0.002</w:t>
            </w:r>
          </w:p>
        </w:tc>
        <w:tc>
          <w:tcPr>
            <w:tcW w:w="820" w:type="dxa"/>
            <w:tcBorders>
              <w:top w:val="single" w:sz="12" w:space="0" w:color="auto"/>
              <w:left w:val="nil"/>
              <w:bottom w:val="nil"/>
              <w:right w:val="nil"/>
            </w:tcBorders>
            <w:shd w:val="clear" w:color="auto" w:fill="auto"/>
            <w:noWrap/>
            <w:vAlign w:val="bottom"/>
            <w:hideMark/>
          </w:tcPr>
          <w:p w14:paraId="52AFB920" w14:textId="77777777" w:rsidR="00954D06" w:rsidRDefault="00954D06">
            <w:pPr>
              <w:jc w:val="right"/>
              <w:rPr>
                <w:color w:val="000000"/>
                <w:sz w:val="20"/>
                <w:szCs w:val="20"/>
              </w:rPr>
            </w:pPr>
            <w:r>
              <w:rPr>
                <w:color w:val="000000"/>
                <w:sz w:val="20"/>
                <w:szCs w:val="20"/>
              </w:rPr>
              <w:t>0.942</w:t>
            </w:r>
          </w:p>
        </w:tc>
        <w:tc>
          <w:tcPr>
            <w:tcW w:w="820" w:type="dxa"/>
            <w:tcBorders>
              <w:top w:val="single" w:sz="12" w:space="0" w:color="auto"/>
              <w:left w:val="nil"/>
              <w:bottom w:val="nil"/>
              <w:right w:val="nil"/>
            </w:tcBorders>
            <w:shd w:val="clear" w:color="auto" w:fill="auto"/>
            <w:noWrap/>
            <w:vAlign w:val="bottom"/>
            <w:hideMark/>
          </w:tcPr>
          <w:p w14:paraId="3A5DE195" w14:textId="77777777" w:rsidR="00954D06" w:rsidRDefault="00954D06">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3EA3EC9E" w14:textId="77777777" w:rsidR="00954D06" w:rsidRDefault="00954D06">
            <w:pPr>
              <w:jc w:val="right"/>
              <w:rPr>
                <w:b/>
                <w:bCs/>
                <w:color w:val="000000"/>
                <w:sz w:val="20"/>
                <w:szCs w:val="20"/>
              </w:rPr>
            </w:pPr>
            <w:r>
              <w:rPr>
                <w:b/>
                <w:bCs/>
                <w:color w:val="000000"/>
                <w:sz w:val="20"/>
                <w:szCs w:val="20"/>
              </w:rPr>
              <w:t>-0.084</w:t>
            </w:r>
          </w:p>
        </w:tc>
        <w:tc>
          <w:tcPr>
            <w:tcW w:w="820" w:type="dxa"/>
            <w:tcBorders>
              <w:top w:val="single" w:sz="12" w:space="0" w:color="auto"/>
              <w:left w:val="nil"/>
              <w:bottom w:val="nil"/>
              <w:right w:val="nil"/>
            </w:tcBorders>
            <w:shd w:val="clear" w:color="auto" w:fill="auto"/>
            <w:noWrap/>
            <w:vAlign w:val="bottom"/>
            <w:hideMark/>
          </w:tcPr>
          <w:p w14:paraId="31B93AEC" w14:textId="77777777" w:rsidR="00954D06" w:rsidRDefault="00954D06">
            <w:pPr>
              <w:jc w:val="right"/>
              <w:rPr>
                <w:b/>
                <w:bCs/>
                <w:color w:val="000000"/>
                <w:sz w:val="20"/>
                <w:szCs w:val="20"/>
              </w:rPr>
            </w:pPr>
            <w:r>
              <w:rPr>
                <w:b/>
                <w:bCs/>
                <w:color w:val="000000"/>
                <w:sz w:val="20"/>
                <w:szCs w:val="20"/>
              </w:rPr>
              <w:t>0.005</w:t>
            </w:r>
          </w:p>
        </w:tc>
        <w:tc>
          <w:tcPr>
            <w:tcW w:w="820" w:type="dxa"/>
            <w:tcBorders>
              <w:top w:val="single" w:sz="12" w:space="0" w:color="auto"/>
              <w:left w:val="nil"/>
              <w:bottom w:val="nil"/>
              <w:right w:val="nil"/>
            </w:tcBorders>
            <w:shd w:val="clear" w:color="auto" w:fill="auto"/>
            <w:noWrap/>
            <w:vAlign w:val="bottom"/>
            <w:hideMark/>
          </w:tcPr>
          <w:p w14:paraId="2A163B30" w14:textId="77777777" w:rsidR="00954D06" w:rsidRDefault="00954D06">
            <w:pPr>
              <w:jc w:val="right"/>
              <w:rPr>
                <w:b/>
                <w:bCs/>
                <w:color w:val="000000"/>
                <w:sz w:val="20"/>
                <w:szCs w:val="20"/>
              </w:rPr>
            </w:pPr>
            <w:r>
              <w:rPr>
                <w:b/>
                <w:bCs/>
                <w:color w:val="000000"/>
                <w:sz w:val="20"/>
                <w:szCs w:val="20"/>
              </w:rPr>
              <w:t>0.007</w:t>
            </w:r>
          </w:p>
        </w:tc>
      </w:tr>
      <w:tr w:rsidR="00954D06" w14:paraId="2ABA8C9C" w14:textId="77777777" w:rsidTr="00EE0A4C">
        <w:trPr>
          <w:trHeight w:val="320"/>
        </w:trPr>
        <w:tc>
          <w:tcPr>
            <w:tcW w:w="1152" w:type="dxa"/>
            <w:tcBorders>
              <w:top w:val="nil"/>
              <w:left w:val="nil"/>
              <w:bottom w:val="nil"/>
              <w:right w:val="nil"/>
            </w:tcBorders>
            <w:shd w:val="clear" w:color="auto" w:fill="auto"/>
            <w:noWrap/>
            <w:vAlign w:val="bottom"/>
            <w:hideMark/>
          </w:tcPr>
          <w:p w14:paraId="64836D48" w14:textId="77777777" w:rsidR="00954D06" w:rsidRDefault="00954D06">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21045C8B" w14:textId="77777777" w:rsidR="00954D06" w:rsidRDefault="00954D06">
            <w:pPr>
              <w:rPr>
                <w:color w:val="000000"/>
                <w:sz w:val="20"/>
                <w:szCs w:val="20"/>
              </w:rPr>
            </w:pPr>
            <w:r>
              <w:rPr>
                <w:color w:val="000000"/>
                <w:sz w:val="20"/>
                <w:szCs w:val="20"/>
              </w:rPr>
              <w:t>17%</w:t>
            </w:r>
          </w:p>
        </w:tc>
        <w:tc>
          <w:tcPr>
            <w:tcW w:w="820" w:type="dxa"/>
            <w:tcBorders>
              <w:top w:val="nil"/>
              <w:left w:val="nil"/>
              <w:bottom w:val="nil"/>
              <w:right w:val="nil"/>
            </w:tcBorders>
            <w:shd w:val="clear" w:color="auto" w:fill="auto"/>
            <w:noWrap/>
            <w:vAlign w:val="bottom"/>
            <w:hideMark/>
          </w:tcPr>
          <w:p w14:paraId="3F5EFDDD" w14:textId="77777777" w:rsidR="00954D06" w:rsidRDefault="00954D06">
            <w:pPr>
              <w:jc w:val="right"/>
              <w:rPr>
                <w:b/>
                <w:bCs/>
                <w:color w:val="000000"/>
                <w:sz w:val="20"/>
                <w:szCs w:val="20"/>
              </w:rPr>
            </w:pPr>
            <w:r>
              <w:rPr>
                <w:b/>
                <w:bCs/>
                <w:color w:val="000000"/>
                <w:sz w:val="20"/>
                <w:szCs w:val="20"/>
              </w:rPr>
              <w:t>-0.071</w:t>
            </w:r>
          </w:p>
        </w:tc>
        <w:tc>
          <w:tcPr>
            <w:tcW w:w="820" w:type="dxa"/>
            <w:tcBorders>
              <w:top w:val="nil"/>
              <w:left w:val="nil"/>
              <w:bottom w:val="nil"/>
              <w:right w:val="nil"/>
            </w:tcBorders>
            <w:shd w:val="clear" w:color="auto" w:fill="auto"/>
            <w:noWrap/>
            <w:vAlign w:val="bottom"/>
            <w:hideMark/>
          </w:tcPr>
          <w:p w14:paraId="3A3DD80F" w14:textId="77777777" w:rsidR="00954D06" w:rsidRDefault="00954D06">
            <w:pPr>
              <w:jc w:val="right"/>
              <w:rPr>
                <w:b/>
                <w:bCs/>
                <w:color w:val="000000"/>
                <w:sz w:val="20"/>
                <w:szCs w:val="20"/>
              </w:rPr>
            </w:pPr>
            <w:r>
              <w:rPr>
                <w:b/>
                <w:bCs/>
                <w:color w:val="000000"/>
                <w:sz w:val="20"/>
                <w:szCs w:val="20"/>
              </w:rPr>
              <w:t>0.009</w:t>
            </w:r>
          </w:p>
        </w:tc>
        <w:tc>
          <w:tcPr>
            <w:tcW w:w="820" w:type="dxa"/>
            <w:tcBorders>
              <w:top w:val="nil"/>
              <w:left w:val="nil"/>
              <w:bottom w:val="nil"/>
              <w:right w:val="nil"/>
            </w:tcBorders>
            <w:shd w:val="clear" w:color="auto" w:fill="auto"/>
            <w:noWrap/>
            <w:vAlign w:val="bottom"/>
            <w:hideMark/>
          </w:tcPr>
          <w:p w14:paraId="719689F1" w14:textId="77777777" w:rsidR="00954D06" w:rsidRDefault="00954D06">
            <w:pPr>
              <w:jc w:val="right"/>
              <w:rPr>
                <w:b/>
                <w:bCs/>
                <w:color w:val="000000"/>
                <w:sz w:val="20"/>
                <w:szCs w:val="20"/>
              </w:rPr>
            </w:pPr>
            <w:r>
              <w:rPr>
                <w:b/>
                <w:bCs/>
                <w:color w:val="000000"/>
                <w:sz w:val="20"/>
                <w:szCs w:val="20"/>
              </w:rPr>
              <w:t>0.005</w:t>
            </w:r>
          </w:p>
        </w:tc>
        <w:tc>
          <w:tcPr>
            <w:tcW w:w="820" w:type="dxa"/>
            <w:tcBorders>
              <w:top w:val="nil"/>
              <w:left w:val="nil"/>
              <w:bottom w:val="nil"/>
              <w:right w:val="nil"/>
            </w:tcBorders>
            <w:shd w:val="clear" w:color="auto" w:fill="auto"/>
            <w:noWrap/>
            <w:vAlign w:val="bottom"/>
            <w:hideMark/>
          </w:tcPr>
          <w:p w14:paraId="3736E23B" w14:textId="77777777" w:rsidR="00954D06" w:rsidRDefault="00954D06">
            <w:pPr>
              <w:jc w:val="right"/>
              <w:rPr>
                <w:color w:val="000000"/>
                <w:sz w:val="20"/>
                <w:szCs w:val="20"/>
              </w:rPr>
            </w:pPr>
            <w:r>
              <w:rPr>
                <w:color w:val="000000"/>
                <w:sz w:val="20"/>
                <w:szCs w:val="20"/>
              </w:rPr>
              <w:t>-0.021</w:t>
            </w:r>
          </w:p>
        </w:tc>
        <w:tc>
          <w:tcPr>
            <w:tcW w:w="820" w:type="dxa"/>
            <w:tcBorders>
              <w:top w:val="nil"/>
              <w:left w:val="nil"/>
              <w:bottom w:val="nil"/>
              <w:right w:val="nil"/>
            </w:tcBorders>
            <w:shd w:val="clear" w:color="auto" w:fill="auto"/>
            <w:noWrap/>
            <w:vAlign w:val="bottom"/>
            <w:hideMark/>
          </w:tcPr>
          <w:p w14:paraId="4F91B8B1" w14:textId="77777777" w:rsidR="00954D06" w:rsidRDefault="00954D06">
            <w:pPr>
              <w:jc w:val="right"/>
              <w:rPr>
                <w:color w:val="000000"/>
                <w:sz w:val="20"/>
                <w:szCs w:val="20"/>
              </w:rPr>
            </w:pPr>
            <w:r>
              <w:rPr>
                <w:color w:val="000000"/>
                <w:sz w:val="20"/>
                <w:szCs w:val="20"/>
              </w:rPr>
              <w:t>0.374</w:t>
            </w:r>
          </w:p>
        </w:tc>
        <w:tc>
          <w:tcPr>
            <w:tcW w:w="820" w:type="dxa"/>
            <w:tcBorders>
              <w:top w:val="nil"/>
              <w:left w:val="nil"/>
              <w:bottom w:val="nil"/>
              <w:right w:val="nil"/>
            </w:tcBorders>
            <w:shd w:val="clear" w:color="auto" w:fill="auto"/>
            <w:noWrap/>
            <w:vAlign w:val="bottom"/>
            <w:hideMark/>
          </w:tcPr>
          <w:p w14:paraId="24672E2D"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25633FF4" w14:textId="77777777" w:rsidR="00954D06" w:rsidRDefault="00954D06">
            <w:pPr>
              <w:jc w:val="right"/>
              <w:rPr>
                <w:color w:val="000000"/>
                <w:sz w:val="20"/>
                <w:szCs w:val="20"/>
              </w:rPr>
            </w:pPr>
            <w:r>
              <w:rPr>
                <w:color w:val="000000"/>
                <w:sz w:val="20"/>
                <w:szCs w:val="20"/>
              </w:rPr>
              <w:t>-0.008</w:t>
            </w:r>
          </w:p>
        </w:tc>
        <w:tc>
          <w:tcPr>
            <w:tcW w:w="820" w:type="dxa"/>
            <w:tcBorders>
              <w:top w:val="nil"/>
              <w:left w:val="nil"/>
              <w:bottom w:val="nil"/>
              <w:right w:val="nil"/>
            </w:tcBorders>
            <w:shd w:val="clear" w:color="auto" w:fill="auto"/>
            <w:noWrap/>
            <w:vAlign w:val="bottom"/>
            <w:hideMark/>
          </w:tcPr>
          <w:p w14:paraId="6B9931AE" w14:textId="77777777" w:rsidR="00954D06" w:rsidRDefault="00954D06">
            <w:pPr>
              <w:jc w:val="right"/>
              <w:rPr>
                <w:color w:val="000000"/>
                <w:sz w:val="20"/>
                <w:szCs w:val="20"/>
              </w:rPr>
            </w:pPr>
            <w:r>
              <w:rPr>
                <w:color w:val="000000"/>
                <w:sz w:val="20"/>
                <w:szCs w:val="20"/>
              </w:rPr>
              <w:t>0.886</w:t>
            </w:r>
          </w:p>
        </w:tc>
        <w:tc>
          <w:tcPr>
            <w:tcW w:w="820" w:type="dxa"/>
            <w:tcBorders>
              <w:top w:val="nil"/>
              <w:left w:val="nil"/>
              <w:bottom w:val="nil"/>
              <w:right w:val="nil"/>
            </w:tcBorders>
            <w:shd w:val="clear" w:color="auto" w:fill="auto"/>
            <w:noWrap/>
            <w:vAlign w:val="bottom"/>
            <w:hideMark/>
          </w:tcPr>
          <w:p w14:paraId="6F13C955"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651FBC16" w14:textId="77777777" w:rsidR="00954D06" w:rsidRDefault="00954D06">
            <w:pPr>
              <w:jc w:val="right"/>
              <w:rPr>
                <w:color w:val="000000"/>
                <w:sz w:val="20"/>
                <w:szCs w:val="20"/>
              </w:rPr>
            </w:pPr>
            <w:r>
              <w:rPr>
                <w:color w:val="000000"/>
                <w:sz w:val="20"/>
                <w:szCs w:val="20"/>
              </w:rPr>
              <w:t>-0.006</w:t>
            </w:r>
          </w:p>
        </w:tc>
        <w:tc>
          <w:tcPr>
            <w:tcW w:w="820" w:type="dxa"/>
            <w:tcBorders>
              <w:top w:val="nil"/>
              <w:left w:val="nil"/>
              <w:bottom w:val="nil"/>
              <w:right w:val="nil"/>
            </w:tcBorders>
            <w:shd w:val="clear" w:color="auto" w:fill="auto"/>
            <w:noWrap/>
            <w:vAlign w:val="bottom"/>
            <w:hideMark/>
          </w:tcPr>
          <w:p w14:paraId="0D7F7BBA" w14:textId="77777777" w:rsidR="00954D06" w:rsidRDefault="00954D06">
            <w:pPr>
              <w:jc w:val="right"/>
              <w:rPr>
                <w:color w:val="000000"/>
                <w:sz w:val="20"/>
                <w:szCs w:val="20"/>
              </w:rPr>
            </w:pPr>
            <w:r>
              <w:rPr>
                <w:color w:val="000000"/>
                <w:sz w:val="20"/>
                <w:szCs w:val="20"/>
              </w:rPr>
              <w:t>0.942</w:t>
            </w:r>
          </w:p>
        </w:tc>
        <w:tc>
          <w:tcPr>
            <w:tcW w:w="820" w:type="dxa"/>
            <w:tcBorders>
              <w:top w:val="nil"/>
              <w:left w:val="nil"/>
              <w:bottom w:val="nil"/>
              <w:right w:val="nil"/>
            </w:tcBorders>
            <w:shd w:val="clear" w:color="auto" w:fill="auto"/>
            <w:noWrap/>
            <w:vAlign w:val="bottom"/>
            <w:hideMark/>
          </w:tcPr>
          <w:p w14:paraId="6EBA38FA"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7928C7AD" w14:textId="77777777" w:rsidR="00954D06" w:rsidRDefault="00954D06">
            <w:pPr>
              <w:jc w:val="right"/>
              <w:rPr>
                <w:b/>
                <w:bCs/>
                <w:color w:val="000000"/>
                <w:sz w:val="20"/>
                <w:szCs w:val="20"/>
              </w:rPr>
            </w:pPr>
            <w:r>
              <w:rPr>
                <w:b/>
                <w:bCs/>
                <w:color w:val="000000"/>
                <w:sz w:val="20"/>
                <w:szCs w:val="20"/>
              </w:rPr>
              <w:t>-0.083</w:t>
            </w:r>
          </w:p>
        </w:tc>
        <w:tc>
          <w:tcPr>
            <w:tcW w:w="820" w:type="dxa"/>
            <w:tcBorders>
              <w:top w:val="nil"/>
              <w:left w:val="nil"/>
              <w:bottom w:val="nil"/>
              <w:right w:val="nil"/>
            </w:tcBorders>
            <w:shd w:val="clear" w:color="auto" w:fill="auto"/>
            <w:noWrap/>
            <w:vAlign w:val="bottom"/>
            <w:hideMark/>
          </w:tcPr>
          <w:p w14:paraId="2C81379A" w14:textId="77777777" w:rsidR="00954D06" w:rsidRDefault="00954D06">
            <w:pPr>
              <w:jc w:val="right"/>
              <w:rPr>
                <w:b/>
                <w:bCs/>
                <w:color w:val="000000"/>
                <w:sz w:val="20"/>
                <w:szCs w:val="20"/>
              </w:rPr>
            </w:pPr>
            <w:r>
              <w:rPr>
                <w:b/>
                <w:bCs/>
                <w:color w:val="000000"/>
                <w:sz w:val="20"/>
                <w:szCs w:val="20"/>
              </w:rPr>
              <w:t>0.005</w:t>
            </w:r>
          </w:p>
        </w:tc>
        <w:tc>
          <w:tcPr>
            <w:tcW w:w="820" w:type="dxa"/>
            <w:tcBorders>
              <w:top w:val="nil"/>
              <w:left w:val="nil"/>
              <w:bottom w:val="nil"/>
              <w:right w:val="nil"/>
            </w:tcBorders>
            <w:shd w:val="clear" w:color="auto" w:fill="auto"/>
            <w:noWrap/>
            <w:vAlign w:val="bottom"/>
            <w:hideMark/>
          </w:tcPr>
          <w:p w14:paraId="743EDD3E" w14:textId="77777777" w:rsidR="00954D06" w:rsidRDefault="00954D06">
            <w:pPr>
              <w:jc w:val="right"/>
              <w:rPr>
                <w:b/>
                <w:bCs/>
                <w:color w:val="000000"/>
                <w:sz w:val="20"/>
                <w:szCs w:val="20"/>
              </w:rPr>
            </w:pPr>
            <w:r>
              <w:rPr>
                <w:b/>
                <w:bCs/>
                <w:color w:val="000000"/>
                <w:sz w:val="20"/>
                <w:szCs w:val="20"/>
              </w:rPr>
              <w:t>0.007</w:t>
            </w:r>
          </w:p>
        </w:tc>
      </w:tr>
      <w:tr w:rsidR="00954D06" w14:paraId="19AA1EEC" w14:textId="77777777" w:rsidTr="00EE0A4C">
        <w:trPr>
          <w:trHeight w:val="320"/>
        </w:trPr>
        <w:tc>
          <w:tcPr>
            <w:tcW w:w="1152" w:type="dxa"/>
            <w:tcBorders>
              <w:top w:val="nil"/>
              <w:left w:val="nil"/>
              <w:bottom w:val="nil"/>
              <w:right w:val="nil"/>
            </w:tcBorders>
            <w:shd w:val="clear" w:color="auto" w:fill="auto"/>
            <w:noWrap/>
            <w:vAlign w:val="bottom"/>
            <w:hideMark/>
          </w:tcPr>
          <w:p w14:paraId="51B10487" w14:textId="77777777" w:rsidR="00954D06" w:rsidRDefault="00954D06">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0F07904E" w14:textId="77777777" w:rsidR="00954D06" w:rsidRDefault="00954D06">
            <w:pPr>
              <w:rPr>
                <w:color w:val="000000"/>
                <w:sz w:val="20"/>
                <w:szCs w:val="20"/>
              </w:rPr>
            </w:pPr>
            <w:r>
              <w:rPr>
                <w:color w:val="000000"/>
                <w:sz w:val="20"/>
                <w:szCs w:val="20"/>
              </w:rPr>
              <w:t>23%</w:t>
            </w:r>
          </w:p>
        </w:tc>
        <w:tc>
          <w:tcPr>
            <w:tcW w:w="820" w:type="dxa"/>
            <w:tcBorders>
              <w:top w:val="nil"/>
              <w:left w:val="nil"/>
              <w:bottom w:val="nil"/>
              <w:right w:val="nil"/>
            </w:tcBorders>
            <w:shd w:val="clear" w:color="auto" w:fill="auto"/>
            <w:noWrap/>
            <w:vAlign w:val="bottom"/>
            <w:hideMark/>
          </w:tcPr>
          <w:p w14:paraId="3037AAF9" w14:textId="77777777" w:rsidR="00954D06" w:rsidRDefault="00954D06">
            <w:pPr>
              <w:jc w:val="right"/>
              <w:rPr>
                <w:b/>
                <w:bCs/>
                <w:color w:val="000000"/>
                <w:sz w:val="20"/>
                <w:szCs w:val="20"/>
              </w:rPr>
            </w:pPr>
            <w:r>
              <w:rPr>
                <w:b/>
                <w:bCs/>
                <w:color w:val="000000"/>
                <w:sz w:val="20"/>
                <w:szCs w:val="20"/>
              </w:rPr>
              <w:t>-0.075</w:t>
            </w:r>
          </w:p>
        </w:tc>
        <w:tc>
          <w:tcPr>
            <w:tcW w:w="820" w:type="dxa"/>
            <w:tcBorders>
              <w:top w:val="nil"/>
              <w:left w:val="nil"/>
              <w:bottom w:val="nil"/>
              <w:right w:val="nil"/>
            </w:tcBorders>
            <w:shd w:val="clear" w:color="auto" w:fill="auto"/>
            <w:noWrap/>
            <w:vAlign w:val="bottom"/>
            <w:hideMark/>
          </w:tcPr>
          <w:p w14:paraId="62A6D37E" w14:textId="77777777" w:rsidR="00954D06" w:rsidRDefault="00954D06">
            <w:pPr>
              <w:jc w:val="right"/>
              <w:rPr>
                <w:b/>
                <w:bCs/>
                <w:color w:val="000000"/>
                <w:sz w:val="20"/>
                <w:szCs w:val="20"/>
              </w:rPr>
            </w:pPr>
            <w:r>
              <w:rPr>
                <w:b/>
                <w:bCs/>
                <w:color w:val="000000"/>
                <w:sz w:val="20"/>
                <w:szCs w:val="20"/>
              </w:rPr>
              <w:t>0.008</w:t>
            </w:r>
          </w:p>
        </w:tc>
        <w:tc>
          <w:tcPr>
            <w:tcW w:w="820" w:type="dxa"/>
            <w:tcBorders>
              <w:top w:val="nil"/>
              <w:left w:val="nil"/>
              <w:bottom w:val="nil"/>
              <w:right w:val="nil"/>
            </w:tcBorders>
            <w:shd w:val="clear" w:color="auto" w:fill="auto"/>
            <w:noWrap/>
            <w:vAlign w:val="bottom"/>
            <w:hideMark/>
          </w:tcPr>
          <w:p w14:paraId="350C7C17" w14:textId="77777777" w:rsidR="00954D06" w:rsidRDefault="00954D06">
            <w:pPr>
              <w:jc w:val="right"/>
              <w:rPr>
                <w:b/>
                <w:bCs/>
                <w:color w:val="000000"/>
                <w:sz w:val="20"/>
                <w:szCs w:val="20"/>
              </w:rPr>
            </w:pPr>
            <w:r>
              <w:rPr>
                <w:b/>
                <w:bCs/>
                <w:color w:val="000000"/>
                <w:sz w:val="20"/>
                <w:szCs w:val="20"/>
              </w:rPr>
              <w:t>0.006</w:t>
            </w:r>
          </w:p>
        </w:tc>
        <w:tc>
          <w:tcPr>
            <w:tcW w:w="820" w:type="dxa"/>
            <w:tcBorders>
              <w:top w:val="nil"/>
              <w:left w:val="nil"/>
              <w:bottom w:val="nil"/>
              <w:right w:val="nil"/>
            </w:tcBorders>
            <w:shd w:val="clear" w:color="auto" w:fill="auto"/>
            <w:noWrap/>
            <w:vAlign w:val="bottom"/>
            <w:hideMark/>
          </w:tcPr>
          <w:p w14:paraId="3B0146BD" w14:textId="77777777" w:rsidR="00954D06" w:rsidRDefault="00954D06">
            <w:pPr>
              <w:jc w:val="right"/>
              <w:rPr>
                <w:color w:val="000000"/>
                <w:sz w:val="20"/>
                <w:szCs w:val="20"/>
              </w:rPr>
            </w:pPr>
            <w:r>
              <w:rPr>
                <w:color w:val="000000"/>
                <w:sz w:val="20"/>
                <w:szCs w:val="20"/>
              </w:rPr>
              <w:t>-0.020</w:t>
            </w:r>
          </w:p>
        </w:tc>
        <w:tc>
          <w:tcPr>
            <w:tcW w:w="820" w:type="dxa"/>
            <w:tcBorders>
              <w:top w:val="nil"/>
              <w:left w:val="nil"/>
              <w:bottom w:val="nil"/>
              <w:right w:val="nil"/>
            </w:tcBorders>
            <w:shd w:val="clear" w:color="auto" w:fill="auto"/>
            <w:noWrap/>
            <w:vAlign w:val="bottom"/>
            <w:hideMark/>
          </w:tcPr>
          <w:p w14:paraId="3B0385F8" w14:textId="77777777" w:rsidR="00954D06" w:rsidRDefault="00954D06">
            <w:pPr>
              <w:jc w:val="right"/>
              <w:rPr>
                <w:color w:val="000000"/>
                <w:sz w:val="20"/>
                <w:szCs w:val="20"/>
              </w:rPr>
            </w:pPr>
            <w:r>
              <w:rPr>
                <w:color w:val="000000"/>
                <w:sz w:val="20"/>
                <w:szCs w:val="20"/>
              </w:rPr>
              <w:t>0.374</w:t>
            </w:r>
          </w:p>
        </w:tc>
        <w:tc>
          <w:tcPr>
            <w:tcW w:w="820" w:type="dxa"/>
            <w:tcBorders>
              <w:top w:val="nil"/>
              <w:left w:val="nil"/>
              <w:bottom w:val="nil"/>
              <w:right w:val="nil"/>
            </w:tcBorders>
            <w:shd w:val="clear" w:color="auto" w:fill="auto"/>
            <w:noWrap/>
            <w:vAlign w:val="bottom"/>
            <w:hideMark/>
          </w:tcPr>
          <w:p w14:paraId="1137559C"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12DC0556" w14:textId="77777777" w:rsidR="00954D06" w:rsidRDefault="00954D06">
            <w:pPr>
              <w:jc w:val="right"/>
              <w:rPr>
                <w:color w:val="000000"/>
                <w:sz w:val="20"/>
                <w:szCs w:val="20"/>
              </w:rPr>
            </w:pPr>
            <w:r>
              <w:rPr>
                <w:color w:val="000000"/>
                <w:sz w:val="20"/>
                <w:szCs w:val="20"/>
              </w:rPr>
              <w:t>-0.004</w:t>
            </w:r>
          </w:p>
        </w:tc>
        <w:tc>
          <w:tcPr>
            <w:tcW w:w="820" w:type="dxa"/>
            <w:tcBorders>
              <w:top w:val="nil"/>
              <w:left w:val="nil"/>
              <w:bottom w:val="nil"/>
              <w:right w:val="nil"/>
            </w:tcBorders>
            <w:shd w:val="clear" w:color="auto" w:fill="auto"/>
            <w:noWrap/>
            <w:vAlign w:val="bottom"/>
            <w:hideMark/>
          </w:tcPr>
          <w:p w14:paraId="1DC5688B" w14:textId="77777777" w:rsidR="00954D06" w:rsidRDefault="00954D06">
            <w:pPr>
              <w:jc w:val="right"/>
              <w:rPr>
                <w:color w:val="000000"/>
                <w:sz w:val="20"/>
                <w:szCs w:val="20"/>
              </w:rPr>
            </w:pPr>
            <w:r>
              <w:rPr>
                <w:color w:val="000000"/>
                <w:sz w:val="20"/>
                <w:szCs w:val="20"/>
              </w:rPr>
              <w:t>0.886</w:t>
            </w:r>
          </w:p>
        </w:tc>
        <w:tc>
          <w:tcPr>
            <w:tcW w:w="820" w:type="dxa"/>
            <w:tcBorders>
              <w:top w:val="nil"/>
              <w:left w:val="nil"/>
              <w:bottom w:val="nil"/>
              <w:right w:val="nil"/>
            </w:tcBorders>
            <w:shd w:val="clear" w:color="auto" w:fill="auto"/>
            <w:noWrap/>
            <w:vAlign w:val="bottom"/>
            <w:hideMark/>
          </w:tcPr>
          <w:p w14:paraId="39486E18"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2AB46124" w14:textId="77777777" w:rsidR="00954D06" w:rsidRDefault="00954D06">
            <w:pPr>
              <w:jc w:val="right"/>
              <w:rPr>
                <w:color w:val="000000"/>
                <w:sz w:val="20"/>
                <w:szCs w:val="20"/>
              </w:rPr>
            </w:pPr>
            <w:r>
              <w:rPr>
                <w:color w:val="000000"/>
                <w:sz w:val="20"/>
                <w:szCs w:val="20"/>
              </w:rPr>
              <w:t>-0.009</w:t>
            </w:r>
          </w:p>
        </w:tc>
        <w:tc>
          <w:tcPr>
            <w:tcW w:w="820" w:type="dxa"/>
            <w:tcBorders>
              <w:top w:val="nil"/>
              <w:left w:val="nil"/>
              <w:bottom w:val="nil"/>
              <w:right w:val="nil"/>
            </w:tcBorders>
            <w:shd w:val="clear" w:color="auto" w:fill="auto"/>
            <w:noWrap/>
            <w:vAlign w:val="bottom"/>
            <w:hideMark/>
          </w:tcPr>
          <w:p w14:paraId="64FF746C" w14:textId="77777777" w:rsidR="00954D06" w:rsidRDefault="00954D06">
            <w:pPr>
              <w:jc w:val="right"/>
              <w:rPr>
                <w:color w:val="000000"/>
                <w:sz w:val="20"/>
                <w:szCs w:val="20"/>
              </w:rPr>
            </w:pPr>
            <w:r>
              <w:rPr>
                <w:color w:val="000000"/>
                <w:sz w:val="20"/>
                <w:szCs w:val="20"/>
              </w:rPr>
              <w:t>0.942</w:t>
            </w:r>
          </w:p>
        </w:tc>
        <w:tc>
          <w:tcPr>
            <w:tcW w:w="820" w:type="dxa"/>
            <w:tcBorders>
              <w:top w:val="nil"/>
              <w:left w:val="nil"/>
              <w:bottom w:val="nil"/>
              <w:right w:val="nil"/>
            </w:tcBorders>
            <w:shd w:val="clear" w:color="auto" w:fill="auto"/>
            <w:noWrap/>
            <w:vAlign w:val="bottom"/>
            <w:hideMark/>
          </w:tcPr>
          <w:p w14:paraId="372244FA"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38BCFA52" w14:textId="77777777" w:rsidR="00954D06" w:rsidRDefault="00954D06">
            <w:pPr>
              <w:jc w:val="right"/>
              <w:rPr>
                <w:b/>
                <w:bCs/>
                <w:color w:val="000000"/>
                <w:sz w:val="20"/>
                <w:szCs w:val="20"/>
              </w:rPr>
            </w:pPr>
            <w:r>
              <w:rPr>
                <w:b/>
                <w:bCs/>
                <w:color w:val="000000"/>
                <w:sz w:val="20"/>
                <w:szCs w:val="20"/>
              </w:rPr>
              <w:t>-0.083</w:t>
            </w:r>
          </w:p>
        </w:tc>
        <w:tc>
          <w:tcPr>
            <w:tcW w:w="820" w:type="dxa"/>
            <w:tcBorders>
              <w:top w:val="nil"/>
              <w:left w:val="nil"/>
              <w:bottom w:val="nil"/>
              <w:right w:val="nil"/>
            </w:tcBorders>
            <w:shd w:val="clear" w:color="auto" w:fill="auto"/>
            <w:noWrap/>
            <w:vAlign w:val="bottom"/>
            <w:hideMark/>
          </w:tcPr>
          <w:p w14:paraId="44DBEAEA" w14:textId="77777777" w:rsidR="00954D06" w:rsidRDefault="00954D06">
            <w:pPr>
              <w:jc w:val="right"/>
              <w:rPr>
                <w:b/>
                <w:bCs/>
                <w:color w:val="000000"/>
                <w:sz w:val="20"/>
                <w:szCs w:val="20"/>
              </w:rPr>
            </w:pPr>
            <w:r>
              <w:rPr>
                <w:b/>
                <w:bCs/>
                <w:color w:val="000000"/>
                <w:sz w:val="20"/>
                <w:szCs w:val="20"/>
              </w:rPr>
              <w:t>0.005</w:t>
            </w:r>
          </w:p>
        </w:tc>
        <w:tc>
          <w:tcPr>
            <w:tcW w:w="820" w:type="dxa"/>
            <w:tcBorders>
              <w:top w:val="nil"/>
              <w:left w:val="nil"/>
              <w:bottom w:val="nil"/>
              <w:right w:val="nil"/>
            </w:tcBorders>
            <w:shd w:val="clear" w:color="auto" w:fill="auto"/>
            <w:noWrap/>
            <w:vAlign w:val="bottom"/>
            <w:hideMark/>
          </w:tcPr>
          <w:p w14:paraId="43CFE5A7" w14:textId="77777777" w:rsidR="00954D06" w:rsidRDefault="00954D06">
            <w:pPr>
              <w:jc w:val="right"/>
              <w:rPr>
                <w:b/>
                <w:bCs/>
                <w:color w:val="000000"/>
                <w:sz w:val="20"/>
                <w:szCs w:val="20"/>
              </w:rPr>
            </w:pPr>
            <w:r>
              <w:rPr>
                <w:b/>
                <w:bCs/>
                <w:color w:val="000000"/>
                <w:sz w:val="20"/>
                <w:szCs w:val="20"/>
              </w:rPr>
              <w:t>0.007</w:t>
            </w:r>
          </w:p>
        </w:tc>
      </w:tr>
      <w:tr w:rsidR="00954D06" w14:paraId="4093C795" w14:textId="77777777" w:rsidTr="00EE0A4C">
        <w:trPr>
          <w:trHeight w:val="340"/>
        </w:trPr>
        <w:tc>
          <w:tcPr>
            <w:tcW w:w="1152" w:type="dxa"/>
            <w:tcBorders>
              <w:top w:val="nil"/>
              <w:left w:val="nil"/>
              <w:bottom w:val="single" w:sz="12" w:space="0" w:color="auto"/>
              <w:right w:val="nil"/>
            </w:tcBorders>
            <w:shd w:val="clear" w:color="auto" w:fill="auto"/>
            <w:noWrap/>
            <w:vAlign w:val="bottom"/>
            <w:hideMark/>
          </w:tcPr>
          <w:p w14:paraId="2E7102C0" w14:textId="77777777" w:rsidR="00954D06" w:rsidRDefault="00954D06">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40835060" w14:textId="77777777" w:rsidR="00954D06" w:rsidRDefault="00954D06">
            <w:pPr>
              <w:rPr>
                <w:color w:val="000000"/>
                <w:sz w:val="20"/>
                <w:szCs w:val="20"/>
              </w:rPr>
            </w:pPr>
            <w:r>
              <w:rPr>
                <w:color w:val="000000"/>
                <w:sz w:val="20"/>
                <w:szCs w:val="20"/>
              </w:rPr>
              <w:t>30%</w:t>
            </w:r>
          </w:p>
        </w:tc>
        <w:tc>
          <w:tcPr>
            <w:tcW w:w="820" w:type="dxa"/>
            <w:tcBorders>
              <w:top w:val="nil"/>
              <w:left w:val="nil"/>
              <w:bottom w:val="single" w:sz="12" w:space="0" w:color="auto"/>
              <w:right w:val="nil"/>
            </w:tcBorders>
            <w:shd w:val="clear" w:color="auto" w:fill="auto"/>
            <w:noWrap/>
            <w:vAlign w:val="bottom"/>
            <w:hideMark/>
          </w:tcPr>
          <w:p w14:paraId="08AF3770" w14:textId="77777777" w:rsidR="00954D06" w:rsidRDefault="00954D06">
            <w:pPr>
              <w:jc w:val="right"/>
              <w:rPr>
                <w:b/>
                <w:bCs/>
                <w:color w:val="000000"/>
                <w:sz w:val="20"/>
                <w:szCs w:val="20"/>
              </w:rPr>
            </w:pPr>
            <w:r>
              <w:rPr>
                <w:b/>
                <w:bCs/>
                <w:color w:val="000000"/>
                <w:sz w:val="20"/>
                <w:szCs w:val="20"/>
              </w:rPr>
              <w:t>-0.077</w:t>
            </w:r>
          </w:p>
        </w:tc>
        <w:tc>
          <w:tcPr>
            <w:tcW w:w="820" w:type="dxa"/>
            <w:tcBorders>
              <w:top w:val="nil"/>
              <w:left w:val="nil"/>
              <w:bottom w:val="single" w:sz="12" w:space="0" w:color="auto"/>
              <w:right w:val="nil"/>
            </w:tcBorders>
            <w:shd w:val="clear" w:color="auto" w:fill="auto"/>
            <w:noWrap/>
            <w:vAlign w:val="bottom"/>
            <w:hideMark/>
          </w:tcPr>
          <w:p w14:paraId="44EE7EE2" w14:textId="77777777" w:rsidR="00954D06" w:rsidRDefault="00954D06">
            <w:pPr>
              <w:jc w:val="right"/>
              <w:rPr>
                <w:b/>
                <w:bCs/>
                <w:color w:val="000000"/>
                <w:sz w:val="20"/>
                <w:szCs w:val="20"/>
              </w:rPr>
            </w:pPr>
            <w:r>
              <w:rPr>
                <w:b/>
                <w:bCs/>
                <w:color w:val="000000"/>
                <w:sz w:val="20"/>
                <w:szCs w:val="20"/>
              </w:rPr>
              <w:t>0.008</w:t>
            </w:r>
          </w:p>
        </w:tc>
        <w:tc>
          <w:tcPr>
            <w:tcW w:w="820" w:type="dxa"/>
            <w:tcBorders>
              <w:top w:val="nil"/>
              <w:left w:val="nil"/>
              <w:bottom w:val="single" w:sz="12" w:space="0" w:color="auto"/>
              <w:right w:val="nil"/>
            </w:tcBorders>
            <w:shd w:val="clear" w:color="auto" w:fill="auto"/>
            <w:noWrap/>
            <w:vAlign w:val="bottom"/>
            <w:hideMark/>
          </w:tcPr>
          <w:p w14:paraId="0C866A9D" w14:textId="77777777" w:rsidR="00954D06" w:rsidRDefault="00954D06">
            <w:pPr>
              <w:jc w:val="right"/>
              <w:rPr>
                <w:b/>
                <w:bCs/>
                <w:color w:val="000000"/>
                <w:sz w:val="20"/>
                <w:szCs w:val="20"/>
              </w:rPr>
            </w:pPr>
            <w:r>
              <w:rPr>
                <w:b/>
                <w:bCs/>
                <w:color w:val="000000"/>
                <w:sz w:val="20"/>
                <w:szCs w:val="20"/>
              </w:rPr>
              <w:t>0.006</w:t>
            </w:r>
          </w:p>
        </w:tc>
        <w:tc>
          <w:tcPr>
            <w:tcW w:w="820" w:type="dxa"/>
            <w:tcBorders>
              <w:top w:val="nil"/>
              <w:left w:val="nil"/>
              <w:bottom w:val="single" w:sz="12" w:space="0" w:color="auto"/>
              <w:right w:val="nil"/>
            </w:tcBorders>
            <w:shd w:val="clear" w:color="auto" w:fill="auto"/>
            <w:noWrap/>
            <w:vAlign w:val="bottom"/>
            <w:hideMark/>
          </w:tcPr>
          <w:p w14:paraId="1BB4B997" w14:textId="77777777" w:rsidR="00954D06" w:rsidRDefault="00954D06">
            <w:pPr>
              <w:jc w:val="right"/>
              <w:rPr>
                <w:color w:val="000000"/>
                <w:sz w:val="20"/>
                <w:szCs w:val="20"/>
              </w:rPr>
            </w:pPr>
            <w:r>
              <w:rPr>
                <w:color w:val="000000"/>
                <w:sz w:val="20"/>
                <w:szCs w:val="20"/>
              </w:rPr>
              <w:t>-0.020</w:t>
            </w:r>
          </w:p>
        </w:tc>
        <w:tc>
          <w:tcPr>
            <w:tcW w:w="820" w:type="dxa"/>
            <w:tcBorders>
              <w:top w:val="nil"/>
              <w:left w:val="nil"/>
              <w:bottom w:val="single" w:sz="12" w:space="0" w:color="auto"/>
              <w:right w:val="nil"/>
            </w:tcBorders>
            <w:shd w:val="clear" w:color="auto" w:fill="auto"/>
            <w:noWrap/>
            <w:vAlign w:val="bottom"/>
            <w:hideMark/>
          </w:tcPr>
          <w:p w14:paraId="7F40A44D" w14:textId="77777777" w:rsidR="00954D06" w:rsidRDefault="00954D06">
            <w:pPr>
              <w:jc w:val="right"/>
              <w:rPr>
                <w:color w:val="000000"/>
                <w:sz w:val="20"/>
                <w:szCs w:val="20"/>
              </w:rPr>
            </w:pPr>
            <w:r>
              <w:rPr>
                <w:color w:val="000000"/>
                <w:sz w:val="20"/>
                <w:szCs w:val="20"/>
              </w:rPr>
              <w:t>0.374</w:t>
            </w:r>
          </w:p>
        </w:tc>
        <w:tc>
          <w:tcPr>
            <w:tcW w:w="820" w:type="dxa"/>
            <w:tcBorders>
              <w:top w:val="nil"/>
              <w:left w:val="nil"/>
              <w:bottom w:val="single" w:sz="12" w:space="0" w:color="auto"/>
              <w:right w:val="nil"/>
            </w:tcBorders>
            <w:shd w:val="clear" w:color="auto" w:fill="auto"/>
            <w:noWrap/>
            <w:vAlign w:val="bottom"/>
            <w:hideMark/>
          </w:tcPr>
          <w:p w14:paraId="6DEC24FE"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17540A67" w14:textId="77777777" w:rsidR="00954D06" w:rsidRDefault="00954D06">
            <w:pPr>
              <w:jc w:val="right"/>
              <w:rPr>
                <w:color w:val="000000"/>
                <w:sz w:val="20"/>
                <w:szCs w:val="20"/>
              </w:rPr>
            </w:pPr>
            <w:r>
              <w:rPr>
                <w:color w:val="000000"/>
                <w:sz w:val="20"/>
                <w:szCs w:val="20"/>
              </w:rPr>
              <w:t>-0.003</w:t>
            </w:r>
          </w:p>
        </w:tc>
        <w:tc>
          <w:tcPr>
            <w:tcW w:w="820" w:type="dxa"/>
            <w:tcBorders>
              <w:top w:val="nil"/>
              <w:left w:val="nil"/>
              <w:bottom w:val="single" w:sz="12" w:space="0" w:color="auto"/>
              <w:right w:val="nil"/>
            </w:tcBorders>
            <w:shd w:val="clear" w:color="auto" w:fill="auto"/>
            <w:noWrap/>
            <w:vAlign w:val="bottom"/>
            <w:hideMark/>
          </w:tcPr>
          <w:p w14:paraId="0E1FDB13" w14:textId="77777777" w:rsidR="00954D06" w:rsidRDefault="00954D06">
            <w:pPr>
              <w:jc w:val="right"/>
              <w:rPr>
                <w:color w:val="000000"/>
                <w:sz w:val="20"/>
                <w:szCs w:val="20"/>
              </w:rPr>
            </w:pPr>
            <w:r>
              <w:rPr>
                <w:color w:val="000000"/>
                <w:sz w:val="20"/>
                <w:szCs w:val="20"/>
              </w:rPr>
              <w:t>0.886</w:t>
            </w:r>
          </w:p>
        </w:tc>
        <w:tc>
          <w:tcPr>
            <w:tcW w:w="820" w:type="dxa"/>
            <w:tcBorders>
              <w:top w:val="nil"/>
              <w:left w:val="nil"/>
              <w:bottom w:val="single" w:sz="12" w:space="0" w:color="auto"/>
              <w:right w:val="nil"/>
            </w:tcBorders>
            <w:shd w:val="clear" w:color="auto" w:fill="auto"/>
            <w:noWrap/>
            <w:vAlign w:val="bottom"/>
            <w:hideMark/>
          </w:tcPr>
          <w:p w14:paraId="77243094"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4268A550" w14:textId="77777777" w:rsidR="00954D06" w:rsidRDefault="00954D06">
            <w:pPr>
              <w:jc w:val="right"/>
              <w:rPr>
                <w:color w:val="000000"/>
                <w:sz w:val="20"/>
                <w:szCs w:val="20"/>
              </w:rPr>
            </w:pPr>
            <w:r>
              <w:rPr>
                <w:color w:val="000000"/>
                <w:sz w:val="20"/>
                <w:szCs w:val="20"/>
              </w:rPr>
              <w:t>-0.011</w:t>
            </w:r>
          </w:p>
        </w:tc>
        <w:tc>
          <w:tcPr>
            <w:tcW w:w="820" w:type="dxa"/>
            <w:tcBorders>
              <w:top w:val="nil"/>
              <w:left w:val="nil"/>
              <w:bottom w:val="single" w:sz="12" w:space="0" w:color="auto"/>
              <w:right w:val="nil"/>
            </w:tcBorders>
            <w:shd w:val="clear" w:color="auto" w:fill="auto"/>
            <w:noWrap/>
            <w:vAlign w:val="bottom"/>
            <w:hideMark/>
          </w:tcPr>
          <w:p w14:paraId="439AB82B" w14:textId="77777777" w:rsidR="00954D06" w:rsidRDefault="00954D06">
            <w:pPr>
              <w:jc w:val="right"/>
              <w:rPr>
                <w:color w:val="000000"/>
                <w:sz w:val="20"/>
                <w:szCs w:val="20"/>
              </w:rPr>
            </w:pPr>
            <w:r>
              <w:rPr>
                <w:color w:val="000000"/>
                <w:sz w:val="20"/>
                <w:szCs w:val="20"/>
              </w:rPr>
              <w:t>0.942</w:t>
            </w:r>
          </w:p>
        </w:tc>
        <w:tc>
          <w:tcPr>
            <w:tcW w:w="820" w:type="dxa"/>
            <w:tcBorders>
              <w:top w:val="nil"/>
              <w:left w:val="nil"/>
              <w:bottom w:val="single" w:sz="12" w:space="0" w:color="auto"/>
              <w:right w:val="nil"/>
            </w:tcBorders>
            <w:shd w:val="clear" w:color="auto" w:fill="auto"/>
            <w:noWrap/>
            <w:vAlign w:val="bottom"/>
            <w:hideMark/>
          </w:tcPr>
          <w:p w14:paraId="219815C0"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62872F34" w14:textId="77777777" w:rsidR="00954D06" w:rsidRDefault="00954D06">
            <w:pPr>
              <w:jc w:val="right"/>
              <w:rPr>
                <w:b/>
                <w:bCs/>
                <w:color w:val="000000"/>
                <w:sz w:val="20"/>
                <w:szCs w:val="20"/>
              </w:rPr>
            </w:pPr>
            <w:r>
              <w:rPr>
                <w:b/>
                <w:bCs/>
                <w:color w:val="000000"/>
                <w:sz w:val="20"/>
                <w:szCs w:val="20"/>
              </w:rPr>
              <w:t>-0.082</w:t>
            </w:r>
          </w:p>
        </w:tc>
        <w:tc>
          <w:tcPr>
            <w:tcW w:w="820" w:type="dxa"/>
            <w:tcBorders>
              <w:top w:val="nil"/>
              <w:left w:val="nil"/>
              <w:bottom w:val="single" w:sz="12" w:space="0" w:color="auto"/>
              <w:right w:val="nil"/>
            </w:tcBorders>
            <w:shd w:val="clear" w:color="auto" w:fill="auto"/>
            <w:noWrap/>
            <w:vAlign w:val="bottom"/>
            <w:hideMark/>
          </w:tcPr>
          <w:p w14:paraId="772AD087" w14:textId="77777777" w:rsidR="00954D06" w:rsidRDefault="00954D06">
            <w:pPr>
              <w:jc w:val="right"/>
              <w:rPr>
                <w:b/>
                <w:bCs/>
                <w:color w:val="000000"/>
                <w:sz w:val="20"/>
                <w:szCs w:val="20"/>
              </w:rPr>
            </w:pPr>
            <w:r>
              <w:rPr>
                <w:b/>
                <w:bCs/>
                <w:color w:val="000000"/>
                <w:sz w:val="20"/>
                <w:szCs w:val="20"/>
              </w:rPr>
              <w:t>0.005</w:t>
            </w:r>
          </w:p>
        </w:tc>
        <w:tc>
          <w:tcPr>
            <w:tcW w:w="820" w:type="dxa"/>
            <w:tcBorders>
              <w:top w:val="nil"/>
              <w:left w:val="nil"/>
              <w:bottom w:val="single" w:sz="12" w:space="0" w:color="auto"/>
              <w:right w:val="nil"/>
            </w:tcBorders>
            <w:shd w:val="clear" w:color="auto" w:fill="auto"/>
            <w:noWrap/>
            <w:vAlign w:val="bottom"/>
            <w:hideMark/>
          </w:tcPr>
          <w:p w14:paraId="408EC7CD" w14:textId="77777777" w:rsidR="00954D06" w:rsidRDefault="00954D06">
            <w:pPr>
              <w:jc w:val="right"/>
              <w:rPr>
                <w:b/>
                <w:bCs/>
                <w:color w:val="000000"/>
                <w:sz w:val="20"/>
                <w:szCs w:val="20"/>
              </w:rPr>
            </w:pPr>
            <w:r>
              <w:rPr>
                <w:b/>
                <w:bCs/>
                <w:color w:val="000000"/>
                <w:sz w:val="20"/>
                <w:szCs w:val="20"/>
              </w:rPr>
              <w:t>0.007</w:t>
            </w:r>
          </w:p>
        </w:tc>
      </w:tr>
      <w:tr w:rsidR="00954D06" w14:paraId="0A0D0EC2" w14:textId="77777777" w:rsidTr="00EE0A4C">
        <w:trPr>
          <w:trHeight w:val="320"/>
        </w:trPr>
        <w:tc>
          <w:tcPr>
            <w:tcW w:w="1152" w:type="dxa"/>
            <w:tcBorders>
              <w:top w:val="single" w:sz="12" w:space="0" w:color="auto"/>
              <w:left w:val="nil"/>
              <w:bottom w:val="nil"/>
              <w:right w:val="nil"/>
            </w:tcBorders>
            <w:shd w:val="clear" w:color="auto" w:fill="auto"/>
            <w:noWrap/>
            <w:vAlign w:val="bottom"/>
            <w:hideMark/>
          </w:tcPr>
          <w:p w14:paraId="005C7D3E" w14:textId="77777777" w:rsidR="00954D06" w:rsidRDefault="00954D06">
            <w:pPr>
              <w:rPr>
                <w:color w:val="000000"/>
                <w:sz w:val="20"/>
                <w:szCs w:val="20"/>
              </w:rPr>
            </w:pPr>
            <w:r>
              <w:rPr>
                <w:color w:val="000000"/>
                <w:sz w:val="20"/>
                <w:szCs w:val="20"/>
              </w:rPr>
              <w:t>En-back</w:t>
            </w:r>
          </w:p>
        </w:tc>
        <w:tc>
          <w:tcPr>
            <w:tcW w:w="1027" w:type="dxa"/>
            <w:tcBorders>
              <w:top w:val="single" w:sz="12" w:space="0" w:color="auto"/>
              <w:left w:val="nil"/>
              <w:bottom w:val="nil"/>
              <w:right w:val="nil"/>
            </w:tcBorders>
            <w:shd w:val="clear" w:color="auto" w:fill="auto"/>
            <w:noWrap/>
            <w:vAlign w:val="bottom"/>
            <w:hideMark/>
          </w:tcPr>
          <w:p w14:paraId="773D6C64" w14:textId="77777777" w:rsidR="00954D06" w:rsidRDefault="00954D06">
            <w:pPr>
              <w:rPr>
                <w:color w:val="000000"/>
                <w:sz w:val="20"/>
                <w:szCs w:val="20"/>
              </w:rPr>
            </w:pPr>
            <w:r>
              <w:rPr>
                <w:color w:val="000000"/>
                <w:sz w:val="20"/>
                <w:szCs w:val="20"/>
              </w:rPr>
              <w:t>10%</w:t>
            </w:r>
          </w:p>
        </w:tc>
        <w:tc>
          <w:tcPr>
            <w:tcW w:w="820" w:type="dxa"/>
            <w:tcBorders>
              <w:top w:val="single" w:sz="12" w:space="0" w:color="auto"/>
              <w:left w:val="nil"/>
              <w:bottom w:val="nil"/>
              <w:right w:val="nil"/>
            </w:tcBorders>
            <w:shd w:val="clear" w:color="auto" w:fill="auto"/>
            <w:noWrap/>
            <w:vAlign w:val="bottom"/>
            <w:hideMark/>
          </w:tcPr>
          <w:p w14:paraId="0A74335E" w14:textId="77777777" w:rsidR="00954D06" w:rsidRDefault="00954D06">
            <w:pPr>
              <w:jc w:val="right"/>
              <w:rPr>
                <w:b/>
                <w:bCs/>
                <w:color w:val="000000"/>
                <w:sz w:val="20"/>
                <w:szCs w:val="20"/>
              </w:rPr>
            </w:pPr>
            <w:r>
              <w:rPr>
                <w:b/>
                <w:bCs/>
                <w:color w:val="000000"/>
                <w:sz w:val="20"/>
                <w:szCs w:val="20"/>
              </w:rPr>
              <w:t>-0.078</w:t>
            </w:r>
          </w:p>
        </w:tc>
        <w:tc>
          <w:tcPr>
            <w:tcW w:w="820" w:type="dxa"/>
            <w:tcBorders>
              <w:top w:val="single" w:sz="12" w:space="0" w:color="auto"/>
              <w:left w:val="nil"/>
              <w:bottom w:val="nil"/>
              <w:right w:val="nil"/>
            </w:tcBorders>
            <w:shd w:val="clear" w:color="auto" w:fill="auto"/>
            <w:noWrap/>
            <w:vAlign w:val="bottom"/>
            <w:hideMark/>
          </w:tcPr>
          <w:p w14:paraId="26E34264" w14:textId="77777777" w:rsidR="00954D06" w:rsidRDefault="00954D06">
            <w:pPr>
              <w:jc w:val="right"/>
              <w:rPr>
                <w:b/>
                <w:bCs/>
                <w:color w:val="000000"/>
                <w:sz w:val="20"/>
                <w:szCs w:val="20"/>
              </w:rPr>
            </w:pPr>
            <w:r>
              <w:rPr>
                <w:b/>
                <w:bCs/>
                <w:color w:val="000000"/>
                <w:sz w:val="20"/>
                <w:szCs w:val="20"/>
              </w:rPr>
              <w:t>0.036</w:t>
            </w:r>
          </w:p>
        </w:tc>
        <w:tc>
          <w:tcPr>
            <w:tcW w:w="820" w:type="dxa"/>
            <w:tcBorders>
              <w:top w:val="single" w:sz="12" w:space="0" w:color="auto"/>
              <w:left w:val="nil"/>
              <w:bottom w:val="nil"/>
              <w:right w:val="nil"/>
            </w:tcBorders>
            <w:shd w:val="clear" w:color="auto" w:fill="auto"/>
            <w:noWrap/>
            <w:vAlign w:val="bottom"/>
            <w:hideMark/>
          </w:tcPr>
          <w:p w14:paraId="7776B45E" w14:textId="77777777" w:rsidR="00954D06" w:rsidRDefault="00954D06">
            <w:pPr>
              <w:jc w:val="right"/>
              <w:rPr>
                <w:b/>
                <w:bCs/>
                <w:color w:val="000000"/>
                <w:sz w:val="20"/>
                <w:szCs w:val="20"/>
              </w:rPr>
            </w:pPr>
            <w:r>
              <w:rPr>
                <w:b/>
                <w:bCs/>
                <w:color w:val="000000"/>
                <w:sz w:val="20"/>
                <w:szCs w:val="20"/>
              </w:rPr>
              <w:t>0.006</w:t>
            </w:r>
          </w:p>
        </w:tc>
        <w:tc>
          <w:tcPr>
            <w:tcW w:w="820" w:type="dxa"/>
            <w:tcBorders>
              <w:top w:val="single" w:sz="12" w:space="0" w:color="auto"/>
              <w:left w:val="nil"/>
              <w:bottom w:val="nil"/>
              <w:right w:val="nil"/>
            </w:tcBorders>
            <w:shd w:val="clear" w:color="auto" w:fill="auto"/>
            <w:noWrap/>
            <w:vAlign w:val="bottom"/>
            <w:hideMark/>
          </w:tcPr>
          <w:p w14:paraId="1FF26346" w14:textId="77777777" w:rsidR="00954D06" w:rsidRDefault="00954D06">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30D74847" w14:textId="77777777" w:rsidR="00954D06" w:rsidRDefault="00954D06">
            <w:pPr>
              <w:jc w:val="right"/>
              <w:rPr>
                <w:color w:val="000000"/>
                <w:sz w:val="20"/>
                <w:szCs w:val="20"/>
              </w:rPr>
            </w:pPr>
            <w:r>
              <w:rPr>
                <w:color w:val="000000"/>
                <w:sz w:val="20"/>
                <w:szCs w:val="20"/>
              </w:rPr>
              <w:t>0.988</w:t>
            </w:r>
          </w:p>
        </w:tc>
        <w:tc>
          <w:tcPr>
            <w:tcW w:w="820" w:type="dxa"/>
            <w:tcBorders>
              <w:top w:val="single" w:sz="12" w:space="0" w:color="auto"/>
              <w:left w:val="nil"/>
              <w:bottom w:val="nil"/>
              <w:right w:val="nil"/>
            </w:tcBorders>
            <w:shd w:val="clear" w:color="auto" w:fill="auto"/>
            <w:noWrap/>
            <w:vAlign w:val="bottom"/>
            <w:hideMark/>
          </w:tcPr>
          <w:p w14:paraId="4DFC8915" w14:textId="77777777" w:rsidR="00954D06" w:rsidRDefault="00954D06">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6C23DACB" w14:textId="77777777" w:rsidR="00954D06" w:rsidRDefault="00954D06">
            <w:pPr>
              <w:jc w:val="right"/>
              <w:rPr>
                <w:color w:val="000000"/>
                <w:sz w:val="20"/>
                <w:szCs w:val="20"/>
              </w:rPr>
            </w:pPr>
            <w:r>
              <w:rPr>
                <w:color w:val="000000"/>
                <w:sz w:val="20"/>
                <w:szCs w:val="20"/>
              </w:rPr>
              <w:t>-0.006</w:t>
            </w:r>
          </w:p>
        </w:tc>
        <w:tc>
          <w:tcPr>
            <w:tcW w:w="820" w:type="dxa"/>
            <w:tcBorders>
              <w:top w:val="single" w:sz="12" w:space="0" w:color="auto"/>
              <w:left w:val="nil"/>
              <w:bottom w:val="nil"/>
              <w:right w:val="nil"/>
            </w:tcBorders>
            <w:shd w:val="clear" w:color="auto" w:fill="auto"/>
            <w:noWrap/>
            <w:vAlign w:val="bottom"/>
            <w:hideMark/>
          </w:tcPr>
          <w:p w14:paraId="368D9ABA" w14:textId="77777777" w:rsidR="00954D06" w:rsidRDefault="00954D06">
            <w:pPr>
              <w:jc w:val="right"/>
              <w:rPr>
                <w:color w:val="000000"/>
                <w:sz w:val="20"/>
                <w:szCs w:val="20"/>
              </w:rPr>
            </w:pPr>
            <w:r>
              <w:rPr>
                <w:color w:val="000000"/>
                <w:sz w:val="20"/>
                <w:szCs w:val="20"/>
              </w:rPr>
              <w:t>0.988</w:t>
            </w:r>
          </w:p>
        </w:tc>
        <w:tc>
          <w:tcPr>
            <w:tcW w:w="820" w:type="dxa"/>
            <w:tcBorders>
              <w:top w:val="single" w:sz="12" w:space="0" w:color="auto"/>
              <w:left w:val="nil"/>
              <w:bottom w:val="nil"/>
              <w:right w:val="nil"/>
            </w:tcBorders>
            <w:shd w:val="clear" w:color="auto" w:fill="auto"/>
            <w:noWrap/>
            <w:vAlign w:val="bottom"/>
            <w:hideMark/>
          </w:tcPr>
          <w:p w14:paraId="7175AA82" w14:textId="77777777" w:rsidR="00954D06" w:rsidRDefault="00954D06">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4A1B2E5E" w14:textId="77777777" w:rsidR="00954D06" w:rsidRDefault="00954D06">
            <w:pPr>
              <w:jc w:val="right"/>
              <w:rPr>
                <w:color w:val="000000"/>
                <w:sz w:val="20"/>
                <w:szCs w:val="20"/>
              </w:rPr>
            </w:pPr>
            <w:r>
              <w:rPr>
                <w:color w:val="000000"/>
                <w:sz w:val="20"/>
                <w:szCs w:val="20"/>
              </w:rPr>
              <w:t>-0.051</w:t>
            </w:r>
          </w:p>
        </w:tc>
        <w:tc>
          <w:tcPr>
            <w:tcW w:w="820" w:type="dxa"/>
            <w:tcBorders>
              <w:top w:val="single" w:sz="12" w:space="0" w:color="auto"/>
              <w:left w:val="nil"/>
              <w:bottom w:val="nil"/>
              <w:right w:val="nil"/>
            </w:tcBorders>
            <w:shd w:val="clear" w:color="auto" w:fill="auto"/>
            <w:noWrap/>
            <w:vAlign w:val="bottom"/>
            <w:hideMark/>
          </w:tcPr>
          <w:p w14:paraId="0FCEB0C8" w14:textId="77777777" w:rsidR="00954D06" w:rsidRDefault="00954D06">
            <w:pPr>
              <w:jc w:val="right"/>
              <w:rPr>
                <w:color w:val="000000"/>
                <w:sz w:val="20"/>
                <w:szCs w:val="20"/>
              </w:rPr>
            </w:pPr>
            <w:r>
              <w:rPr>
                <w:color w:val="000000"/>
                <w:sz w:val="20"/>
                <w:szCs w:val="20"/>
              </w:rPr>
              <w:t>0.178</w:t>
            </w:r>
          </w:p>
        </w:tc>
        <w:tc>
          <w:tcPr>
            <w:tcW w:w="820" w:type="dxa"/>
            <w:tcBorders>
              <w:top w:val="single" w:sz="12" w:space="0" w:color="auto"/>
              <w:left w:val="nil"/>
              <w:bottom w:val="nil"/>
              <w:right w:val="nil"/>
            </w:tcBorders>
            <w:shd w:val="clear" w:color="auto" w:fill="auto"/>
            <w:noWrap/>
            <w:vAlign w:val="bottom"/>
            <w:hideMark/>
          </w:tcPr>
          <w:p w14:paraId="076099F6" w14:textId="77777777" w:rsidR="00954D06" w:rsidRDefault="00954D06">
            <w:pPr>
              <w:jc w:val="right"/>
              <w:rPr>
                <w:color w:val="000000"/>
                <w:sz w:val="20"/>
                <w:szCs w:val="20"/>
              </w:rPr>
            </w:pPr>
            <w:r>
              <w:rPr>
                <w:color w:val="000000"/>
                <w:sz w:val="20"/>
                <w:szCs w:val="20"/>
              </w:rPr>
              <w:t>0.003</w:t>
            </w:r>
          </w:p>
        </w:tc>
        <w:tc>
          <w:tcPr>
            <w:tcW w:w="820" w:type="dxa"/>
            <w:tcBorders>
              <w:top w:val="single" w:sz="12" w:space="0" w:color="auto"/>
              <w:left w:val="nil"/>
              <w:bottom w:val="nil"/>
              <w:right w:val="nil"/>
            </w:tcBorders>
            <w:shd w:val="clear" w:color="auto" w:fill="auto"/>
            <w:noWrap/>
            <w:vAlign w:val="bottom"/>
            <w:hideMark/>
          </w:tcPr>
          <w:p w14:paraId="1FFF39C7" w14:textId="77777777" w:rsidR="00954D06" w:rsidRDefault="00954D06">
            <w:pPr>
              <w:jc w:val="right"/>
              <w:rPr>
                <w:color w:val="000000"/>
                <w:sz w:val="20"/>
                <w:szCs w:val="20"/>
              </w:rPr>
            </w:pPr>
            <w:r>
              <w:rPr>
                <w:color w:val="000000"/>
                <w:sz w:val="20"/>
                <w:szCs w:val="20"/>
              </w:rPr>
              <w:t>-0.025</w:t>
            </w:r>
          </w:p>
        </w:tc>
        <w:tc>
          <w:tcPr>
            <w:tcW w:w="820" w:type="dxa"/>
            <w:tcBorders>
              <w:top w:val="single" w:sz="12" w:space="0" w:color="auto"/>
              <w:left w:val="nil"/>
              <w:bottom w:val="nil"/>
              <w:right w:val="nil"/>
            </w:tcBorders>
            <w:shd w:val="clear" w:color="auto" w:fill="auto"/>
            <w:noWrap/>
            <w:vAlign w:val="bottom"/>
            <w:hideMark/>
          </w:tcPr>
          <w:p w14:paraId="1D583EBE" w14:textId="77777777" w:rsidR="00954D06" w:rsidRDefault="00954D06">
            <w:pPr>
              <w:jc w:val="right"/>
              <w:rPr>
                <w:color w:val="000000"/>
                <w:sz w:val="20"/>
                <w:szCs w:val="20"/>
              </w:rPr>
            </w:pPr>
            <w:r>
              <w:rPr>
                <w:color w:val="000000"/>
                <w:sz w:val="20"/>
                <w:szCs w:val="20"/>
              </w:rPr>
              <w:t>0.582</w:t>
            </w:r>
          </w:p>
        </w:tc>
        <w:tc>
          <w:tcPr>
            <w:tcW w:w="820" w:type="dxa"/>
            <w:tcBorders>
              <w:top w:val="single" w:sz="12" w:space="0" w:color="auto"/>
              <w:left w:val="nil"/>
              <w:bottom w:val="nil"/>
              <w:right w:val="nil"/>
            </w:tcBorders>
            <w:shd w:val="clear" w:color="auto" w:fill="auto"/>
            <w:noWrap/>
            <w:vAlign w:val="bottom"/>
            <w:hideMark/>
          </w:tcPr>
          <w:p w14:paraId="5D6BC262" w14:textId="77777777" w:rsidR="00954D06" w:rsidRDefault="00954D06">
            <w:pPr>
              <w:jc w:val="right"/>
              <w:rPr>
                <w:color w:val="000000"/>
                <w:sz w:val="20"/>
                <w:szCs w:val="20"/>
              </w:rPr>
            </w:pPr>
            <w:r>
              <w:rPr>
                <w:color w:val="000000"/>
                <w:sz w:val="20"/>
                <w:szCs w:val="20"/>
              </w:rPr>
              <w:t>0.001</w:t>
            </w:r>
          </w:p>
        </w:tc>
      </w:tr>
      <w:tr w:rsidR="00954D06" w14:paraId="523C5D4D" w14:textId="77777777" w:rsidTr="00EE0A4C">
        <w:trPr>
          <w:trHeight w:val="320"/>
        </w:trPr>
        <w:tc>
          <w:tcPr>
            <w:tcW w:w="1152" w:type="dxa"/>
            <w:tcBorders>
              <w:top w:val="nil"/>
              <w:left w:val="nil"/>
              <w:bottom w:val="nil"/>
              <w:right w:val="nil"/>
            </w:tcBorders>
            <w:shd w:val="clear" w:color="auto" w:fill="auto"/>
            <w:noWrap/>
            <w:vAlign w:val="bottom"/>
            <w:hideMark/>
          </w:tcPr>
          <w:p w14:paraId="31FBE432" w14:textId="77777777" w:rsidR="00954D06" w:rsidRDefault="00954D06">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276E2317" w14:textId="77777777" w:rsidR="00954D06" w:rsidRDefault="00954D06">
            <w:pPr>
              <w:rPr>
                <w:color w:val="000000"/>
                <w:sz w:val="20"/>
                <w:szCs w:val="20"/>
              </w:rPr>
            </w:pPr>
            <w:r>
              <w:rPr>
                <w:color w:val="000000"/>
                <w:sz w:val="20"/>
                <w:szCs w:val="20"/>
              </w:rPr>
              <w:t>17%</w:t>
            </w:r>
          </w:p>
        </w:tc>
        <w:tc>
          <w:tcPr>
            <w:tcW w:w="820" w:type="dxa"/>
            <w:tcBorders>
              <w:top w:val="nil"/>
              <w:left w:val="nil"/>
              <w:bottom w:val="nil"/>
              <w:right w:val="nil"/>
            </w:tcBorders>
            <w:shd w:val="clear" w:color="auto" w:fill="auto"/>
            <w:noWrap/>
            <w:vAlign w:val="bottom"/>
            <w:hideMark/>
          </w:tcPr>
          <w:p w14:paraId="4744E36D" w14:textId="77777777" w:rsidR="00954D06" w:rsidRDefault="00954D06">
            <w:pPr>
              <w:jc w:val="right"/>
              <w:rPr>
                <w:b/>
                <w:bCs/>
                <w:color w:val="000000"/>
                <w:sz w:val="20"/>
                <w:szCs w:val="20"/>
              </w:rPr>
            </w:pPr>
            <w:r>
              <w:rPr>
                <w:b/>
                <w:bCs/>
                <w:color w:val="000000"/>
                <w:sz w:val="20"/>
                <w:szCs w:val="20"/>
              </w:rPr>
              <w:t>-0.075</w:t>
            </w:r>
          </w:p>
        </w:tc>
        <w:tc>
          <w:tcPr>
            <w:tcW w:w="820" w:type="dxa"/>
            <w:tcBorders>
              <w:top w:val="nil"/>
              <w:left w:val="nil"/>
              <w:bottom w:val="nil"/>
              <w:right w:val="nil"/>
            </w:tcBorders>
            <w:shd w:val="clear" w:color="auto" w:fill="auto"/>
            <w:noWrap/>
            <w:vAlign w:val="bottom"/>
            <w:hideMark/>
          </w:tcPr>
          <w:p w14:paraId="38D59DAC" w14:textId="77777777" w:rsidR="00954D06" w:rsidRDefault="00954D06">
            <w:pPr>
              <w:jc w:val="right"/>
              <w:rPr>
                <w:b/>
                <w:bCs/>
                <w:color w:val="000000"/>
                <w:sz w:val="20"/>
                <w:szCs w:val="20"/>
              </w:rPr>
            </w:pPr>
            <w:r>
              <w:rPr>
                <w:b/>
                <w:bCs/>
                <w:color w:val="000000"/>
                <w:sz w:val="20"/>
                <w:szCs w:val="20"/>
              </w:rPr>
              <w:t>0.036</w:t>
            </w:r>
          </w:p>
        </w:tc>
        <w:tc>
          <w:tcPr>
            <w:tcW w:w="820" w:type="dxa"/>
            <w:tcBorders>
              <w:top w:val="nil"/>
              <w:left w:val="nil"/>
              <w:bottom w:val="nil"/>
              <w:right w:val="nil"/>
            </w:tcBorders>
            <w:shd w:val="clear" w:color="auto" w:fill="auto"/>
            <w:noWrap/>
            <w:vAlign w:val="bottom"/>
            <w:hideMark/>
          </w:tcPr>
          <w:p w14:paraId="760E977D" w14:textId="77777777" w:rsidR="00954D06" w:rsidRDefault="00954D06">
            <w:pPr>
              <w:jc w:val="right"/>
              <w:rPr>
                <w:b/>
                <w:bCs/>
                <w:color w:val="000000"/>
                <w:sz w:val="20"/>
                <w:szCs w:val="20"/>
              </w:rPr>
            </w:pPr>
            <w:r>
              <w:rPr>
                <w:b/>
                <w:bCs/>
                <w:color w:val="000000"/>
                <w:sz w:val="20"/>
                <w:szCs w:val="20"/>
              </w:rPr>
              <w:t>0.006</w:t>
            </w:r>
          </w:p>
        </w:tc>
        <w:tc>
          <w:tcPr>
            <w:tcW w:w="820" w:type="dxa"/>
            <w:tcBorders>
              <w:top w:val="nil"/>
              <w:left w:val="nil"/>
              <w:bottom w:val="nil"/>
              <w:right w:val="nil"/>
            </w:tcBorders>
            <w:shd w:val="clear" w:color="auto" w:fill="auto"/>
            <w:noWrap/>
            <w:vAlign w:val="bottom"/>
            <w:hideMark/>
          </w:tcPr>
          <w:p w14:paraId="28D6859B" w14:textId="77777777" w:rsidR="00954D06" w:rsidRDefault="00954D06">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48D05410" w14:textId="77777777" w:rsidR="00954D06" w:rsidRDefault="00954D06">
            <w:pPr>
              <w:jc w:val="right"/>
              <w:rPr>
                <w:color w:val="000000"/>
                <w:sz w:val="20"/>
                <w:szCs w:val="20"/>
              </w:rPr>
            </w:pPr>
            <w:r>
              <w:rPr>
                <w:color w:val="000000"/>
                <w:sz w:val="20"/>
                <w:szCs w:val="20"/>
              </w:rPr>
              <w:t>0.988</w:t>
            </w:r>
          </w:p>
        </w:tc>
        <w:tc>
          <w:tcPr>
            <w:tcW w:w="820" w:type="dxa"/>
            <w:tcBorders>
              <w:top w:val="nil"/>
              <w:left w:val="nil"/>
              <w:bottom w:val="nil"/>
              <w:right w:val="nil"/>
            </w:tcBorders>
            <w:shd w:val="clear" w:color="auto" w:fill="auto"/>
            <w:noWrap/>
            <w:vAlign w:val="bottom"/>
            <w:hideMark/>
          </w:tcPr>
          <w:p w14:paraId="7B35D1F6"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5AC4B6A3" w14:textId="77777777" w:rsidR="00954D06" w:rsidRDefault="00954D06">
            <w:pPr>
              <w:jc w:val="right"/>
              <w:rPr>
                <w:color w:val="000000"/>
                <w:sz w:val="20"/>
                <w:szCs w:val="20"/>
              </w:rPr>
            </w:pPr>
            <w:r>
              <w:rPr>
                <w:color w:val="000000"/>
                <w:sz w:val="20"/>
                <w:szCs w:val="20"/>
              </w:rPr>
              <w:t>-0.003</w:t>
            </w:r>
          </w:p>
        </w:tc>
        <w:tc>
          <w:tcPr>
            <w:tcW w:w="820" w:type="dxa"/>
            <w:tcBorders>
              <w:top w:val="nil"/>
              <w:left w:val="nil"/>
              <w:bottom w:val="nil"/>
              <w:right w:val="nil"/>
            </w:tcBorders>
            <w:shd w:val="clear" w:color="auto" w:fill="auto"/>
            <w:noWrap/>
            <w:vAlign w:val="bottom"/>
            <w:hideMark/>
          </w:tcPr>
          <w:p w14:paraId="479F7730" w14:textId="77777777" w:rsidR="00954D06" w:rsidRDefault="00954D06">
            <w:pPr>
              <w:jc w:val="right"/>
              <w:rPr>
                <w:color w:val="000000"/>
                <w:sz w:val="20"/>
                <w:szCs w:val="20"/>
              </w:rPr>
            </w:pPr>
            <w:r>
              <w:rPr>
                <w:color w:val="000000"/>
                <w:sz w:val="20"/>
                <w:szCs w:val="20"/>
              </w:rPr>
              <w:t>0.988</w:t>
            </w:r>
          </w:p>
        </w:tc>
        <w:tc>
          <w:tcPr>
            <w:tcW w:w="820" w:type="dxa"/>
            <w:tcBorders>
              <w:top w:val="nil"/>
              <w:left w:val="nil"/>
              <w:bottom w:val="nil"/>
              <w:right w:val="nil"/>
            </w:tcBorders>
            <w:shd w:val="clear" w:color="auto" w:fill="auto"/>
            <w:noWrap/>
            <w:vAlign w:val="bottom"/>
            <w:hideMark/>
          </w:tcPr>
          <w:p w14:paraId="4BAC3C76"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29985468" w14:textId="77777777" w:rsidR="00954D06" w:rsidRDefault="00954D06">
            <w:pPr>
              <w:jc w:val="right"/>
              <w:rPr>
                <w:color w:val="000000"/>
                <w:sz w:val="20"/>
                <w:szCs w:val="20"/>
              </w:rPr>
            </w:pPr>
            <w:r>
              <w:rPr>
                <w:color w:val="000000"/>
                <w:sz w:val="20"/>
                <w:szCs w:val="20"/>
              </w:rPr>
              <w:t>-0.050</w:t>
            </w:r>
          </w:p>
        </w:tc>
        <w:tc>
          <w:tcPr>
            <w:tcW w:w="820" w:type="dxa"/>
            <w:tcBorders>
              <w:top w:val="nil"/>
              <w:left w:val="nil"/>
              <w:bottom w:val="nil"/>
              <w:right w:val="nil"/>
            </w:tcBorders>
            <w:shd w:val="clear" w:color="auto" w:fill="auto"/>
            <w:noWrap/>
            <w:vAlign w:val="bottom"/>
            <w:hideMark/>
          </w:tcPr>
          <w:p w14:paraId="53EAF5F1" w14:textId="77777777" w:rsidR="00954D06" w:rsidRDefault="00954D06">
            <w:pPr>
              <w:jc w:val="right"/>
              <w:rPr>
                <w:color w:val="000000"/>
                <w:sz w:val="20"/>
                <w:szCs w:val="20"/>
              </w:rPr>
            </w:pPr>
            <w:r>
              <w:rPr>
                <w:color w:val="000000"/>
                <w:sz w:val="20"/>
                <w:szCs w:val="20"/>
              </w:rPr>
              <w:t>0.178</w:t>
            </w:r>
          </w:p>
        </w:tc>
        <w:tc>
          <w:tcPr>
            <w:tcW w:w="820" w:type="dxa"/>
            <w:tcBorders>
              <w:top w:val="nil"/>
              <w:left w:val="nil"/>
              <w:bottom w:val="nil"/>
              <w:right w:val="nil"/>
            </w:tcBorders>
            <w:shd w:val="clear" w:color="auto" w:fill="auto"/>
            <w:noWrap/>
            <w:vAlign w:val="bottom"/>
            <w:hideMark/>
          </w:tcPr>
          <w:p w14:paraId="77EA086C" w14:textId="77777777" w:rsidR="00954D06" w:rsidRDefault="00954D06">
            <w:pPr>
              <w:jc w:val="right"/>
              <w:rPr>
                <w:color w:val="000000"/>
                <w:sz w:val="20"/>
                <w:szCs w:val="20"/>
              </w:rPr>
            </w:pPr>
            <w:r>
              <w:rPr>
                <w:color w:val="000000"/>
                <w:sz w:val="20"/>
                <w:szCs w:val="20"/>
              </w:rPr>
              <w:t>0.003</w:t>
            </w:r>
          </w:p>
        </w:tc>
        <w:tc>
          <w:tcPr>
            <w:tcW w:w="820" w:type="dxa"/>
            <w:tcBorders>
              <w:top w:val="nil"/>
              <w:left w:val="nil"/>
              <w:bottom w:val="nil"/>
              <w:right w:val="nil"/>
            </w:tcBorders>
            <w:shd w:val="clear" w:color="auto" w:fill="auto"/>
            <w:noWrap/>
            <w:vAlign w:val="bottom"/>
            <w:hideMark/>
          </w:tcPr>
          <w:p w14:paraId="68520A52" w14:textId="77777777" w:rsidR="00954D06" w:rsidRDefault="00954D06">
            <w:pPr>
              <w:jc w:val="right"/>
              <w:rPr>
                <w:color w:val="000000"/>
                <w:sz w:val="20"/>
                <w:szCs w:val="20"/>
              </w:rPr>
            </w:pPr>
            <w:r>
              <w:rPr>
                <w:color w:val="000000"/>
                <w:sz w:val="20"/>
                <w:szCs w:val="20"/>
              </w:rPr>
              <w:t>-0.022</w:t>
            </w:r>
          </w:p>
        </w:tc>
        <w:tc>
          <w:tcPr>
            <w:tcW w:w="820" w:type="dxa"/>
            <w:tcBorders>
              <w:top w:val="nil"/>
              <w:left w:val="nil"/>
              <w:bottom w:val="nil"/>
              <w:right w:val="nil"/>
            </w:tcBorders>
            <w:shd w:val="clear" w:color="auto" w:fill="auto"/>
            <w:noWrap/>
            <w:vAlign w:val="bottom"/>
            <w:hideMark/>
          </w:tcPr>
          <w:p w14:paraId="2E62EBFE" w14:textId="77777777" w:rsidR="00954D06" w:rsidRDefault="00954D06">
            <w:pPr>
              <w:jc w:val="right"/>
              <w:rPr>
                <w:color w:val="000000"/>
                <w:sz w:val="20"/>
                <w:szCs w:val="20"/>
              </w:rPr>
            </w:pPr>
            <w:r>
              <w:rPr>
                <w:color w:val="000000"/>
                <w:sz w:val="20"/>
                <w:szCs w:val="20"/>
              </w:rPr>
              <w:t>0.582</w:t>
            </w:r>
          </w:p>
        </w:tc>
        <w:tc>
          <w:tcPr>
            <w:tcW w:w="820" w:type="dxa"/>
            <w:tcBorders>
              <w:top w:val="nil"/>
              <w:left w:val="nil"/>
              <w:bottom w:val="nil"/>
              <w:right w:val="nil"/>
            </w:tcBorders>
            <w:shd w:val="clear" w:color="auto" w:fill="auto"/>
            <w:noWrap/>
            <w:vAlign w:val="bottom"/>
            <w:hideMark/>
          </w:tcPr>
          <w:p w14:paraId="240440F3" w14:textId="77777777" w:rsidR="00954D06" w:rsidRDefault="00954D06">
            <w:pPr>
              <w:jc w:val="right"/>
              <w:rPr>
                <w:color w:val="000000"/>
                <w:sz w:val="20"/>
                <w:szCs w:val="20"/>
              </w:rPr>
            </w:pPr>
            <w:r>
              <w:rPr>
                <w:color w:val="000000"/>
                <w:sz w:val="20"/>
                <w:szCs w:val="20"/>
              </w:rPr>
              <w:t>0.000</w:t>
            </w:r>
          </w:p>
        </w:tc>
      </w:tr>
      <w:tr w:rsidR="00954D06" w14:paraId="7B3D2183" w14:textId="77777777" w:rsidTr="00EE0A4C">
        <w:trPr>
          <w:trHeight w:val="320"/>
        </w:trPr>
        <w:tc>
          <w:tcPr>
            <w:tcW w:w="1152" w:type="dxa"/>
            <w:tcBorders>
              <w:top w:val="nil"/>
              <w:left w:val="nil"/>
              <w:bottom w:val="nil"/>
              <w:right w:val="nil"/>
            </w:tcBorders>
            <w:shd w:val="clear" w:color="auto" w:fill="auto"/>
            <w:noWrap/>
            <w:vAlign w:val="bottom"/>
            <w:hideMark/>
          </w:tcPr>
          <w:p w14:paraId="70D4478F" w14:textId="77777777" w:rsidR="00954D06" w:rsidRDefault="00954D06">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1ACA2B11" w14:textId="77777777" w:rsidR="00954D06" w:rsidRDefault="00954D06">
            <w:pPr>
              <w:rPr>
                <w:color w:val="000000"/>
                <w:sz w:val="20"/>
                <w:szCs w:val="20"/>
              </w:rPr>
            </w:pPr>
            <w:r>
              <w:rPr>
                <w:color w:val="000000"/>
                <w:sz w:val="20"/>
                <w:szCs w:val="20"/>
              </w:rPr>
              <w:t>23%</w:t>
            </w:r>
          </w:p>
        </w:tc>
        <w:tc>
          <w:tcPr>
            <w:tcW w:w="820" w:type="dxa"/>
            <w:tcBorders>
              <w:top w:val="nil"/>
              <w:left w:val="nil"/>
              <w:bottom w:val="nil"/>
              <w:right w:val="nil"/>
            </w:tcBorders>
            <w:shd w:val="clear" w:color="auto" w:fill="auto"/>
            <w:noWrap/>
            <w:vAlign w:val="bottom"/>
            <w:hideMark/>
          </w:tcPr>
          <w:p w14:paraId="58E2F73A" w14:textId="77777777" w:rsidR="00954D06" w:rsidRDefault="00954D06">
            <w:pPr>
              <w:jc w:val="right"/>
              <w:rPr>
                <w:b/>
                <w:bCs/>
                <w:color w:val="000000"/>
                <w:sz w:val="20"/>
                <w:szCs w:val="20"/>
              </w:rPr>
            </w:pPr>
            <w:r>
              <w:rPr>
                <w:b/>
                <w:bCs/>
                <w:color w:val="000000"/>
                <w:sz w:val="20"/>
                <w:szCs w:val="20"/>
              </w:rPr>
              <w:t>-0.075</w:t>
            </w:r>
          </w:p>
        </w:tc>
        <w:tc>
          <w:tcPr>
            <w:tcW w:w="820" w:type="dxa"/>
            <w:tcBorders>
              <w:top w:val="nil"/>
              <w:left w:val="nil"/>
              <w:bottom w:val="nil"/>
              <w:right w:val="nil"/>
            </w:tcBorders>
            <w:shd w:val="clear" w:color="auto" w:fill="auto"/>
            <w:noWrap/>
            <w:vAlign w:val="bottom"/>
            <w:hideMark/>
          </w:tcPr>
          <w:p w14:paraId="163353EC" w14:textId="77777777" w:rsidR="00954D06" w:rsidRDefault="00954D06">
            <w:pPr>
              <w:jc w:val="right"/>
              <w:rPr>
                <w:b/>
                <w:bCs/>
                <w:color w:val="000000"/>
                <w:sz w:val="20"/>
                <w:szCs w:val="20"/>
              </w:rPr>
            </w:pPr>
            <w:r>
              <w:rPr>
                <w:b/>
                <w:bCs/>
                <w:color w:val="000000"/>
                <w:sz w:val="20"/>
                <w:szCs w:val="20"/>
              </w:rPr>
              <w:t>0.036</w:t>
            </w:r>
          </w:p>
        </w:tc>
        <w:tc>
          <w:tcPr>
            <w:tcW w:w="820" w:type="dxa"/>
            <w:tcBorders>
              <w:top w:val="nil"/>
              <w:left w:val="nil"/>
              <w:bottom w:val="nil"/>
              <w:right w:val="nil"/>
            </w:tcBorders>
            <w:shd w:val="clear" w:color="auto" w:fill="auto"/>
            <w:noWrap/>
            <w:vAlign w:val="bottom"/>
            <w:hideMark/>
          </w:tcPr>
          <w:p w14:paraId="4A275522" w14:textId="77777777" w:rsidR="00954D06" w:rsidRDefault="00954D06">
            <w:pPr>
              <w:jc w:val="right"/>
              <w:rPr>
                <w:b/>
                <w:bCs/>
                <w:color w:val="000000"/>
                <w:sz w:val="20"/>
                <w:szCs w:val="20"/>
              </w:rPr>
            </w:pPr>
            <w:r>
              <w:rPr>
                <w:b/>
                <w:bCs/>
                <w:color w:val="000000"/>
                <w:sz w:val="20"/>
                <w:szCs w:val="20"/>
              </w:rPr>
              <w:t>0.006</w:t>
            </w:r>
          </w:p>
        </w:tc>
        <w:tc>
          <w:tcPr>
            <w:tcW w:w="820" w:type="dxa"/>
            <w:tcBorders>
              <w:top w:val="nil"/>
              <w:left w:val="nil"/>
              <w:bottom w:val="nil"/>
              <w:right w:val="nil"/>
            </w:tcBorders>
            <w:shd w:val="clear" w:color="auto" w:fill="auto"/>
            <w:noWrap/>
            <w:vAlign w:val="bottom"/>
            <w:hideMark/>
          </w:tcPr>
          <w:p w14:paraId="61F9CF5E" w14:textId="77777777" w:rsidR="00954D06" w:rsidRDefault="00954D06">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47953711" w14:textId="77777777" w:rsidR="00954D06" w:rsidRDefault="00954D06">
            <w:pPr>
              <w:jc w:val="right"/>
              <w:rPr>
                <w:color w:val="000000"/>
                <w:sz w:val="20"/>
                <w:szCs w:val="20"/>
              </w:rPr>
            </w:pPr>
            <w:r>
              <w:rPr>
                <w:color w:val="000000"/>
                <w:sz w:val="20"/>
                <w:szCs w:val="20"/>
              </w:rPr>
              <w:t>0.988</w:t>
            </w:r>
          </w:p>
        </w:tc>
        <w:tc>
          <w:tcPr>
            <w:tcW w:w="820" w:type="dxa"/>
            <w:tcBorders>
              <w:top w:val="nil"/>
              <w:left w:val="nil"/>
              <w:bottom w:val="nil"/>
              <w:right w:val="nil"/>
            </w:tcBorders>
            <w:shd w:val="clear" w:color="auto" w:fill="auto"/>
            <w:noWrap/>
            <w:vAlign w:val="bottom"/>
            <w:hideMark/>
          </w:tcPr>
          <w:p w14:paraId="426E72EC"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223BA938"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65D788E2" w14:textId="77777777" w:rsidR="00954D06" w:rsidRDefault="00954D06">
            <w:pPr>
              <w:jc w:val="right"/>
              <w:rPr>
                <w:color w:val="000000"/>
                <w:sz w:val="20"/>
                <w:szCs w:val="20"/>
              </w:rPr>
            </w:pPr>
            <w:r>
              <w:rPr>
                <w:color w:val="000000"/>
                <w:sz w:val="20"/>
                <w:szCs w:val="20"/>
              </w:rPr>
              <w:t>0.988</w:t>
            </w:r>
          </w:p>
        </w:tc>
        <w:tc>
          <w:tcPr>
            <w:tcW w:w="820" w:type="dxa"/>
            <w:tcBorders>
              <w:top w:val="nil"/>
              <w:left w:val="nil"/>
              <w:bottom w:val="nil"/>
              <w:right w:val="nil"/>
            </w:tcBorders>
            <w:shd w:val="clear" w:color="auto" w:fill="auto"/>
            <w:noWrap/>
            <w:vAlign w:val="bottom"/>
            <w:hideMark/>
          </w:tcPr>
          <w:p w14:paraId="18AB2124"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78233026" w14:textId="77777777" w:rsidR="00954D06" w:rsidRDefault="00954D06">
            <w:pPr>
              <w:jc w:val="right"/>
              <w:rPr>
                <w:color w:val="000000"/>
                <w:sz w:val="20"/>
                <w:szCs w:val="20"/>
              </w:rPr>
            </w:pPr>
            <w:r>
              <w:rPr>
                <w:color w:val="000000"/>
                <w:sz w:val="20"/>
                <w:szCs w:val="20"/>
              </w:rPr>
              <w:t>-0.048</w:t>
            </w:r>
          </w:p>
        </w:tc>
        <w:tc>
          <w:tcPr>
            <w:tcW w:w="820" w:type="dxa"/>
            <w:tcBorders>
              <w:top w:val="nil"/>
              <w:left w:val="nil"/>
              <w:bottom w:val="nil"/>
              <w:right w:val="nil"/>
            </w:tcBorders>
            <w:shd w:val="clear" w:color="auto" w:fill="auto"/>
            <w:noWrap/>
            <w:vAlign w:val="bottom"/>
            <w:hideMark/>
          </w:tcPr>
          <w:p w14:paraId="78FB2C58" w14:textId="77777777" w:rsidR="00954D06" w:rsidRDefault="00954D06">
            <w:pPr>
              <w:jc w:val="right"/>
              <w:rPr>
                <w:color w:val="000000"/>
                <w:sz w:val="20"/>
                <w:szCs w:val="20"/>
              </w:rPr>
            </w:pPr>
            <w:r>
              <w:rPr>
                <w:color w:val="000000"/>
                <w:sz w:val="20"/>
                <w:szCs w:val="20"/>
              </w:rPr>
              <w:t>0.178</w:t>
            </w:r>
          </w:p>
        </w:tc>
        <w:tc>
          <w:tcPr>
            <w:tcW w:w="820" w:type="dxa"/>
            <w:tcBorders>
              <w:top w:val="nil"/>
              <w:left w:val="nil"/>
              <w:bottom w:val="nil"/>
              <w:right w:val="nil"/>
            </w:tcBorders>
            <w:shd w:val="clear" w:color="auto" w:fill="auto"/>
            <w:noWrap/>
            <w:vAlign w:val="bottom"/>
            <w:hideMark/>
          </w:tcPr>
          <w:p w14:paraId="56E126A0" w14:textId="77777777" w:rsidR="00954D06" w:rsidRDefault="00954D06">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1693AF4E" w14:textId="77777777" w:rsidR="00954D06" w:rsidRDefault="00954D06">
            <w:pPr>
              <w:jc w:val="right"/>
              <w:rPr>
                <w:color w:val="000000"/>
                <w:sz w:val="20"/>
                <w:szCs w:val="20"/>
              </w:rPr>
            </w:pPr>
            <w:r>
              <w:rPr>
                <w:color w:val="000000"/>
                <w:sz w:val="20"/>
                <w:szCs w:val="20"/>
              </w:rPr>
              <w:t>-0.024</w:t>
            </w:r>
          </w:p>
        </w:tc>
        <w:tc>
          <w:tcPr>
            <w:tcW w:w="820" w:type="dxa"/>
            <w:tcBorders>
              <w:top w:val="nil"/>
              <w:left w:val="nil"/>
              <w:bottom w:val="nil"/>
              <w:right w:val="nil"/>
            </w:tcBorders>
            <w:shd w:val="clear" w:color="auto" w:fill="auto"/>
            <w:noWrap/>
            <w:vAlign w:val="bottom"/>
            <w:hideMark/>
          </w:tcPr>
          <w:p w14:paraId="3AB8FB62" w14:textId="77777777" w:rsidR="00954D06" w:rsidRDefault="00954D06">
            <w:pPr>
              <w:jc w:val="right"/>
              <w:rPr>
                <w:color w:val="000000"/>
                <w:sz w:val="20"/>
                <w:szCs w:val="20"/>
              </w:rPr>
            </w:pPr>
            <w:r>
              <w:rPr>
                <w:color w:val="000000"/>
                <w:sz w:val="20"/>
                <w:szCs w:val="20"/>
              </w:rPr>
              <w:t>0.582</w:t>
            </w:r>
          </w:p>
        </w:tc>
        <w:tc>
          <w:tcPr>
            <w:tcW w:w="820" w:type="dxa"/>
            <w:tcBorders>
              <w:top w:val="nil"/>
              <w:left w:val="nil"/>
              <w:bottom w:val="nil"/>
              <w:right w:val="nil"/>
            </w:tcBorders>
            <w:shd w:val="clear" w:color="auto" w:fill="auto"/>
            <w:noWrap/>
            <w:vAlign w:val="bottom"/>
            <w:hideMark/>
          </w:tcPr>
          <w:p w14:paraId="6590B358" w14:textId="77777777" w:rsidR="00954D06" w:rsidRDefault="00954D06">
            <w:pPr>
              <w:jc w:val="right"/>
              <w:rPr>
                <w:color w:val="000000"/>
                <w:sz w:val="20"/>
                <w:szCs w:val="20"/>
              </w:rPr>
            </w:pPr>
            <w:r>
              <w:rPr>
                <w:color w:val="000000"/>
                <w:sz w:val="20"/>
                <w:szCs w:val="20"/>
              </w:rPr>
              <w:t>0.001</w:t>
            </w:r>
          </w:p>
        </w:tc>
      </w:tr>
      <w:tr w:rsidR="00954D06" w14:paraId="79AFEB7F" w14:textId="77777777" w:rsidTr="00EE0A4C">
        <w:trPr>
          <w:trHeight w:val="340"/>
        </w:trPr>
        <w:tc>
          <w:tcPr>
            <w:tcW w:w="1152" w:type="dxa"/>
            <w:tcBorders>
              <w:top w:val="nil"/>
              <w:left w:val="nil"/>
              <w:bottom w:val="single" w:sz="12" w:space="0" w:color="auto"/>
              <w:right w:val="nil"/>
            </w:tcBorders>
            <w:shd w:val="clear" w:color="auto" w:fill="auto"/>
            <w:noWrap/>
            <w:vAlign w:val="bottom"/>
            <w:hideMark/>
          </w:tcPr>
          <w:p w14:paraId="733BAA07" w14:textId="77777777" w:rsidR="00954D06" w:rsidRDefault="00954D06">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52F6D018" w14:textId="77777777" w:rsidR="00954D06" w:rsidRDefault="00954D06">
            <w:pPr>
              <w:rPr>
                <w:color w:val="000000"/>
                <w:sz w:val="20"/>
                <w:szCs w:val="20"/>
              </w:rPr>
            </w:pPr>
            <w:r>
              <w:rPr>
                <w:color w:val="000000"/>
                <w:sz w:val="20"/>
                <w:szCs w:val="20"/>
              </w:rPr>
              <w:t>30%</w:t>
            </w:r>
          </w:p>
        </w:tc>
        <w:tc>
          <w:tcPr>
            <w:tcW w:w="820" w:type="dxa"/>
            <w:tcBorders>
              <w:top w:val="nil"/>
              <w:left w:val="nil"/>
              <w:bottom w:val="single" w:sz="12" w:space="0" w:color="auto"/>
              <w:right w:val="nil"/>
            </w:tcBorders>
            <w:shd w:val="clear" w:color="auto" w:fill="auto"/>
            <w:noWrap/>
            <w:vAlign w:val="bottom"/>
            <w:hideMark/>
          </w:tcPr>
          <w:p w14:paraId="619A04CE" w14:textId="77777777" w:rsidR="00954D06" w:rsidRDefault="00954D06">
            <w:pPr>
              <w:jc w:val="right"/>
              <w:rPr>
                <w:b/>
                <w:bCs/>
                <w:color w:val="000000"/>
                <w:sz w:val="20"/>
                <w:szCs w:val="20"/>
              </w:rPr>
            </w:pPr>
            <w:r>
              <w:rPr>
                <w:b/>
                <w:bCs/>
                <w:color w:val="000000"/>
                <w:sz w:val="20"/>
                <w:szCs w:val="20"/>
              </w:rPr>
              <w:t>-0.075</w:t>
            </w:r>
          </w:p>
        </w:tc>
        <w:tc>
          <w:tcPr>
            <w:tcW w:w="820" w:type="dxa"/>
            <w:tcBorders>
              <w:top w:val="nil"/>
              <w:left w:val="nil"/>
              <w:bottom w:val="single" w:sz="12" w:space="0" w:color="auto"/>
              <w:right w:val="nil"/>
            </w:tcBorders>
            <w:shd w:val="clear" w:color="auto" w:fill="auto"/>
            <w:noWrap/>
            <w:vAlign w:val="bottom"/>
            <w:hideMark/>
          </w:tcPr>
          <w:p w14:paraId="6CB735BD" w14:textId="77777777" w:rsidR="00954D06" w:rsidRDefault="00954D06">
            <w:pPr>
              <w:jc w:val="right"/>
              <w:rPr>
                <w:b/>
                <w:bCs/>
                <w:color w:val="000000"/>
                <w:sz w:val="20"/>
                <w:szCs w:val="20"/>
              </w:rPr>
            </w:pPr>
            <w:r>
              <w:rPr>
                <w:b/>
                <w:bCs/>
                <w:color w:val="000000"/>
                <w:sz w:val="20"/>
                <w:szCs w:val="20"/>
              </w:rPr>
              <w:t>0.036</w:t>
            </w:r>
          </w:p>
        </w:tc>
        <w:tc>
          <w:tcPr>
            <w:tcW w:w="820" w:type="dxa"/>
            <w:tcBorders>
              <w:top w:val="nil"/>
              <w:left w:val="nil"/>
              <w:bottom w:val="single" w:sz="12" w:space="0" w:color="auto"/>
              <w:right w:val="nil"/>
            </w:tcBorders>
            <w:shd w:val="clear" w:color="auto" w:fill="auto"/>
            <w:noWrap/>
            <w:vAlign w:val="bottom"/>
            <w:hideMark/>
          </w:tcPr>
          <w:p w14:paraId="4B958ADF" w14:textId="77777777" w:rsidR="00954D06" w:rsidRDefault="00954D06">
            <w:pPr>
              <w:jc w:val="right"/>
              <w:rPr>
                <w:b/>
                <w:bCs/>
                <w:color w:val="000000"/>
                <w:sz w:val="20"/>
                <w:szCs w:val="20"/>
              </w:rPr>
            </w:pPr>
            <w:r>
              <w:rPr>
                <w:b/>
                <w:bCs/>
                <w:color w:val="000000"/>
                <w:sz w:val="20"/>
                <w:szCs w:val="20"/>
              </w:rPr>
              <w:t>0.006</w:t>
            </w:r>
          </w:p>
        </w:tc>
        <w:tc>
          <w:tcPr>
            <w:tcW w:w="820" w:type="dxa"/>
            <w:tcBorders>
              <w:top w:val="nil"/>
              <w:left w:val="nil"/>
              <w:bottom w:val="single" w:sz="12" w:space="0" w:color="auto"/>
              <w:right w:val="nil"/>
            </w:tcBorders>
            <w:shd w:val="clear" w:color="auto" w:fill="auto"/>
            <w:noWrap/>
            <w:vAlign w:val="bottom"/>
            <w:hideMark/>
          </w:tcPr>
          <w:p w14:paraId="42FD668D" w14:textId="77777777" w:rsidR="00954D06" w:rsidRDefault="00954D06">
            <w:pPr>
              <w:jc w:val="right"/>
              <w:rPr>
                <w:color w:val="000000"/>
                <w:sz w:val="20"/>
                <w:szCs w:val="20"/>
              </w:rPr>
            </w:pPr>
            <w:r>
              <w:rPr>
                <w:color w:val="000000"/>
                <w:sz w:val="20"/>
                <w:szCs w:val="20"/>
              </w:rPr>
              <w:t>-0.001</w:t>
            </w:r>
          </w:p>
        </w:tc>
        <w:tc>
          <w:tcPr>
            <w:tcW w:w="820" w:type="dxa"/>
            <w:tcBorders>
              <w:top w:val="nil"/>
              <w:left w:val="nil"/>
              <w:bottom w:val="single" w:sz="12" w:space="0" w:color="auto"/>
              <w:right w:val="nil"/>
            </w:tcBorders>
            <w:shd w:val="clear" w:color="auto" w:fill="auto"/>
            <w:noWrap/>
            <w:vAlign w:val="bottom"/>
            <w:hideMark/>
          </w:tcPr>
          <w:p w14:paraId="0E540B63" w14:textId="77777777" w:rsidR="00954D06" w:rsidRDefault="00954D06">
            <w:pPr>
              <w:jc w:val="right"/>
              <w:rPr>
                <w:color w:val="000000"/>
                <w:sz w:val="20"/>
                <w:szCs w:val="20"/>
              </w:rPr>
            </w:pPr>
            <w:r>
              <w:rPr>
                <w:color w:val="000000"/>
                <w:sz w:val="20"/>
                <w:szCs w:val="20"/>
              </w:rPr>
              <w:t>0.988</w:t>
            </w:r>
          </w:p>
        </w:tc>
        <w:tc>
          <w:tcPr>
            <w:tcW w:w="820" w:type="dxa"/>
            <w:tcBorders>
              <w:top w:val="nil"/>
              <w:left w:val="nil"/>
              <w:bottom w:val="single" w:sz="12" w:space="0" w:color="auto"/>
              <w:right w:val="nil"/>
            </w:tcBorders>
            <w:shd w:val="clear" w:color="auto" w:fill="auto"/>
            <w:noWrap/>
            <w:vAlign w:val="bottom"/>
            <w:hideMark/>
          </w:tcPr>
          <w:p w14:paraId="4945987A"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0DF74D0D" w14:textId="77777777" w:rsidR="00954D06" w:rsidRDefault="00954D06">
            <w:pPr>
              <w:jc w:val="right"/>
              <w:rPr>
                <w:color w:val="000000"/>
                <w:sz w:val="20"/>
                <w:szCs w:val="20"/>
              </w:rPr>
            </w:pPr>
            <w:r>
              <w:rPr>
                <w:color w:val="000000"/>
                <w:sz w:val="20"/>
                <w:szCs w:val="20"/>
              </w:rPr>
              <w:t>0.002</w:t>
            </w:r>
          </w:p>
        </w:tc>
        <w:tc>
          <w:tcPr>
            <w:tcW w:w="820" w:type="dxa"/>
            <w:tcBorders>
              <w:top w:val="nil"/>
              <w:left w:val="nil"/>
              <w:bottom w:val="single" w:sz="12" w:space="0" w:color="auto"/>
              <w:right w:val="nil"/>
            </w:tcBorders>
            <w:shd w:val="clear" w:color="auto" w:fill="auto"/>
            <w:noWrap/>
            <w:vAlign w:val="bottom"/>
            <w:hideMark/>
          </w:tcPr>
          <w:p w14:paraId="63539F32" w14:textId="77777777" w:rsidR="00954D06" w:rsidRDefault="00954D06">
            <w:pPr>
              <w:jc w:val="right"/>
              <w:rPr>
                <w:color w:val="000000"/>
                <w:sz w:val="20"/>
                <w:szCs w:val="20"/>
              </w:rPr>
            </w:pPr>
            <w:r>
              <w:rPr>
                <w:color w:val="000000"/>
                <w:sz w:val="20"/>
                <w:szCs w:val="20"/>
              </w:rPr>
              <w:t>0.988</w:t>
            </w:r>
          </w:p>
        </w:tc>
        <w:tc>
          <w:tcPr>
            <w:tcW w:w="820" w:type="dxa"/>
            <w:tcBorders>
              <w:top w:val="nil"/>
              <w:left w:val="nil"/>
              <w:bottom w:val="single" w:sz="12" w:space="0" w:color="auto"/>
              <w:right w:val="nil"/>
            </w:tcBorders>
            <w:shd w:val="clear" w:color="auto" w:fill="auto"/>
            <w:noWrap/>
            <w:vAlign w:val="bottom"/>
            <w:hideMark/>
          </w:tcPr>
          <w:p w14:paraId="1A0F3934"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551232EA" w14:textId="77777777" w:rsidR="00954D06" w:rsidRDefault="00954D06">
            <w:pPr>
              <w:jc w:val="right"/>
              <w:rPr>
                <w:color w:val="000000"/>
                <w:sz w:val="20"/>
                <w:szCs w:val="20"/>
              </w:rPr>
            </w:pPr>
            <w:r>
              <w:rPr>
                <w:color w:val="000000"/>
                <w:sz w:val="20"/>
                <w:szCs w:val="20"/>
              </w:rPr>
              <w:t>-0.047</w:t>
            </w:r>
          </w:p>
        </w:tc>
        <w:tc>
          <w:tcPr>
            <w:tcW w:w="820" w:type="dxa"/>
            <w:tcBorders>
              <w:top w:val="nil"/>
              <w:left w:val="nil"/>
              <w:bottom w:val="single" w:sz="12" w:space="0" w:color="auto"/>
              <w:right w:val="nil"/>
            </w:tcBorders>
            <w:shd w:val="clear" w:color="auto" w:fill="auto"/>
            <w:noWrap/>
            <w:vAlign w:val="bottom"/>
            <w:hideMark/>
          </w:tcPr>
          <w:p w14:paraId="36382F99" w14:textId="77777777" w:rsidR="00954D06" w:rsidRDefault="00954D06">
            <w:pPr>
              <w:jc w:val="right"/>
              <w:rPr>
                <w:color w:val="000000"/>
                <w:sz w:val="20"/>
                <w:szCs w:val="20"/>
              </w:rPr>
            </w:pPr>
            <w:r>
              <w:rPr>
                <w:color w:val="000000"/>
                <w:sz w:val="20"/>
                <w:szCs w:val="20"/>
              </w:rPr>
              <w:t>0.178</w:t>
            </w:r>
          </w:p>
        </w:tc>
        <w:tc>
          <w:tcPr>
            <w:tcW w:w="820" w:type="dxa"/>
            <w:tcBorders>
              <w:top w:val="nil"/>
              <w:left w:val="nil"/>
              <w:bottom w:val="single" w:sz="12" w:space="0" w:color="auto"/>
              <w:right w:val="nil"/>
            </w:tcBorders>
            <w:shd w:val="clear" w:color="auto" w:fill="auto"/>
            <w:noWrap/>
            <w:vAlign w:val="bottom"/>
            <w:hideMark/>
          </w:tcPr>
          <w:p w14:paraId="2486CC56" w14:textId="77777777" w:rsidR="00954D06" w:rsidRDefault="00954D06">
            <w:pPr>
              <w:jc w:val="right"/>
              <w:rPr>
                <w:color w:val="000000"/>
                <w:sz w:val="20"/>
                <w:szCs w:val="20"/>
              </w:rPr>
            </w:pPr>
            <w:r>
              <w:rPr>
                <w:color w:val="000000"/>
                <w:sz w:val="20"/>
                <w:szCs w:val="20"/>
              </w:rPr>
              <w:t>0.002</w:t>
            </w:r>
          </w:p>
        </w:tc>
        <w:tc>
          <w:tcPr>
            <w:tcW w:w="820" w:type="dxa"/>
            <w:tcBorders>
              <w:top w:val="nil"/>
              <w:left w:val="nil"/>
              <w:bottom w:val="single" w:sz="12" w:space="0" w:color="auto"/>
              <w:right w:val="nil"/>
            </w:tcBorders>
            <w:shd w:val="clear" w:color="auto" w:fill="auto"/>
            <w:noWrap/>
            <w:vAlign w:val="bottom"/>
            <w:hideMark/>
          </w:tcPr>
          <w:p w14:paraId="6259CB38" w14:textId="77777777" w:rsidR="00954D06" w:rsidRDefault="00954D06">
            <w:pPr>
              <w:jc w:val="right"/>
              <w:rPr>
                <w:color w:val="000000"/>
                <w:sz w:val="20"/>
                <w:szCs w:val="20"/>
              </w:rPr>
            </w:pPr>
            <w:r>
              <w:rPr>
                <w:color w:val="000000"/>
                <w:sz w:val="20"/>
                <w:szCs w:val="20"/>
              </w:rPr>
              <w:t>-0.026</w:t>
            </w:r>
          </w:p>
        </w:tc>
        <w:tc>
          <w:tcPr>
            <w:tcW w:w="820" w:type="dxa"/>
            <w:tcBorders>
              <w:top w:val="nil"/>
              <w:left w:val="nil"/>
              <w:bottom w:val="single" w:sz="12" w:space="0" w:color="auto"/>
              <w:right w:val="nil"/>
            </w:tcBorders>
            <w:shd w:val="clear" w:color="auto" w:fill="auto"/>
            <w:noWrap/>
            <w:vAlign w:val="bottom"/>
            <w:hideMark/>
          </w:tcPr>
          <w:p w14:paraId="29D6043A" w14:textId="77777777" w:rsidR="00954D06" w:rsidRDefault="00954D06">
            <w:pPr>
              <w:jc w:val="right"/>
              <w:rPr>
                <w:color w:val="000000"/>
                <w:sz w:val="20"/>
                <w:szCs w:val="20"/>
              </w:rPr>
            </w:pPr>
            <w:r>
              <w:rPr>
                <w:color w:val="000000"/>
                <w:sz w:val="20"/>
                <w:szCs w:val="20"/>
              </w:rPr>
              <w:t>0.582</w:t>
            </w:r>
          </w:p>
        </w:tc>
        <w:tc>
          <w:tcPr>
            <w:tcW w:w="820" w:type="dxa"/>
            <w:tcBorders>
              <w:top w:val="nil"/>
              <w:left w:val="nil"/>
              <w:bottom w:val="single" w:sz="12" w:space="0" w:color="auto"/>
              <w:right w:val="nil"/>
            </w:tcBorders>
            <w:shd w:val="clear" w:color="auto" w:fill="auto"/>
            <w:noWrap/>
            <w:vAlign w:val="bottom"/>
            <w:hideMark/>
          </w:tcPr>
          <w:p w14:paraId="126CF998" w14:textId="77777777" w:rsidR="00954D06" w:rsidRDefault="00954D06">
            <w:pPr>
              <w:jc w:val="right"/>
              <w:rPr>
                <w:color w:val="000000"/>
                <w:sz w:val="20"/>
                <w:szCs w:val="20"/>
              </w:rPr>
            </w:pPr>
            <w:r>
              <w:rPr>
                <w:color w:val="000000"/>
                <w:sz w:val="20"/>
                <w:szCs w:val="20"/>
              </w:rPr>
              <w:t>0.001</w:t>
            </w:r>
          </w:p>
        </w:tc>
      </w:tr>
      <w:tr w:rsidR="00954D06" w14:paraId="59DB7BA1" w14:textId="77777777" w:rsidTr="00EE0A4C">
        <w:trPr>
          <w:trHeight w:val="320"/>
        </w:trPr>
        <w:tc>
          <w:tcPr>
            <w:tcW w:w="1152" w:type="dxa"/>
            <w:tcBorders>
              <w:top w:val="single" w:sz="12" w:space="0" w:color="auto"/>
              <w:left w:val="nil"/>
              <w:bottom w:val="nil"/>
              <w:right w:val="nil"/>
            </w:tcBorders>
            <w:shd w:val="clear" w:color="auto" w:fill="auto"/>
            <w:noWrap/>
            <w:vAlign w:val="bottom"/>
            <w:hideMark/>
          </w:tcPr>
          <w:p w14:paraId="6CEA5893" w14:textId="77777777" w:rsidR="00954D06" w:rsidRDefault="00954D06">
            <w:pPr>
              <w:rPr>
                <w:color w:val="000000"/>
                <w:sz w:val="20"/>
                <w:szCs w:val="20"/>
              </w:rPr>
            </w:pPr>
            <w:r>
              <w:rPr>
                <w:color w:val="000000"/>
                <w:sz w:val="20"/>
                <w:szCs w:val="20"/>
              </w:rPr>
              <w:t>SST</w:t>
            </w:r>
          </w:p>
        </w:tc>
        <w:tc>
          <w:tcPr>
            <w:tcW w:w="1027" w:type="dxa"/>
            <w:tcBorders>
              <w:top w:val="single" w:sz="12" w:space="0" w:color="auto"/>
              <w:left w:val="nil"/>
              <w:bottom w:val="nil"/>
              <w:right w:val="nil"/>
            </w:tcBorders>
            <w:shd w:val="clear" w:color="auto" w:fill="auto"/>
            <w:noWrap/>
            <w:vAlign w:val="bottom"/>
            <w:hideMark/>
          </w:tcPr>
          <w:p w14:paraId="7554FFE7" w14:textId="77777777" w:rsidR="00954D06" w:rsidRDefault="00954D06">
            <w:pPr>
              <w:rPr>
                <w:color w:val="000000"/>
                <w:sz w:val="20"/>
                <w:szCs w:val="20"/>
              </w:rPr>
            </w:pPr>
            <w:r>
              <w:rPr>
                <w:color w:val="000000"/>
                <w:sz w:val="20"/>
                <w:szCs w:val="20"/>
              </w:rPr>
              <w:t>10%</w:t>
            </w:r>
          </w:p>
        </w:tc>
        <w:tc>
          <w:tcPr>
            <w:tcW w:w="820" w:type="dxa"/>
            <w:tcBorders>
              <w:top w:val="single" w:sz="12" w:space="0" w:color="auto"/>
              <w:left w:val="nil"/>
              <w:bottom w:val="nil"/>
              <w:right w:val="nil"/>
            </w:tcBorders>
            <w:shd w:val="clear" w:color="auto" w:fill="auto"/>
            <w:noWrap/>
            <w:vAlign w:val="bottom"/>
            <w:hideMark/>
          </w:tcPr>
          <w:p w14:paraId="58EA2E89" w14:textId="77777777" w:rsidR="00954D06" w:rsidRDefault="00954D06">
            <w:pPr>
              <w:jc w:val="right"/>
              <w:rPr>
                <w:color w:val="000000"/>
                <w:sz w:val="20"/>
                <w:szCs w:val="20"/>
              </w:rPr>
            </w:pPr>
            <w:r>
              <w:rPr>
                <w:color w:val="000000"/>
                <w:sz w:val="20"/>
                <w:szCs w:val="20"/>
              </w:rPr>
              <w:t>0.009</w:t>
            </w:r>
          </w:p>
        </w:tc>
        <w:tc>
          <w:tcPr>
            <w:tcW w:w="820" w:type="dxa"/>
            <w:tcBorders>
              <w:top w:val="single" w:sz="12" w:space="0" w:color="auto"/>
              <w:left w:val="nil"/>
              <w:bottom w:val="nil"/>
              <w:right w:val="nil"/>
            </w:tcBorders>
            <w:shd w:val="clear" w:color="auto" w:fill="auto"/>
            <w:noWrap/>
            <w:vAlign w:val="bottom"/>
            <w:hideMark/>
          </w:tcPr>
          <w:p w14:paraId="2B083415" w14:textId="77777777" w:rsidR="00954D06" w:rsidRDefault="00954D06">
            <w:pPr>
              <w:jc w:val="right"/>
              <w:rPr>
                <w:color w:val="000000"/>
                <w:sz w:val="20"/>
                <w:szCs w:val="20"/>
              </w:rPr>
            </w:pPr>
            <w:r>
              <w:rPr>
                <w:color w:val="000000"/>
                <w:sz w:val="20"/>
                <w:szCs w:val="20"/>
              </w:rPr>
              <w:t>0.894</w:t>
            </w:r>
          </w:p>
        </w:tc>
        <w:tc>
          <w:tcPr>
            <w:tcW w:w="820" w:type="dxa"/>
            <w:tcBorders>
              <w:top w:val="single" w:sz="12" w:space="0" w:color="auto"/>
              <w:left w:val="nil"/>
              <w:bottom w:val="nil"/>
              <w:right w:val="nil"/>
            </w:tcBorders>
            <w:shd w:val="clear" w:color="auto" w:fill="auto"/>
            <w:noWrap/>
            <w:vAlign w:val="bottom"/>
            <w:hideMark/>
          </w:tcPr>
          <w:p w14:paraId="74C2DC32" w14:textId="77777777" w:rsidR="00954D06" w:rsidRDefault="00954D06">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728670CF" w14:textId="77777777" w:rsidR="00954D06" w:rsidRDefault="00954D06">
            <w:pPr>
              <w:jc w:val="right"/>
              <w:rPr>
                <w:color w:val="000000"/>
                <w:sz w:val="20"/>
                <w:szCs w:val="20"/>
              </w:rPr>
            </w:pPr>
            <w:r>
              <w:rPr>
                <w:color w:val="000000"/>
                <w:sz w:val="20"/>
                <w:szCs w:val="20"/>
              </w:rPr>
              <w:t>-0.029</w:t>
            </w:r>
          </w:p>
        </w:tc>
        <w:tc>
          <w:tcPr>
            <w:tcW w:w="820" w:type="dxa"/>
            <w:tcBorders>
              <w:top w:val="single" w:sz="12" w:space="0" w:color="auto"/>
              <w:left w:val="nil"/>
              <w:bottom w:val="nil"/>
              <w:right w:val="nil"/>
            </w:tcBorders>
            <w:shd w:val="clear" w:color="auto" w:fill="auto"/>
            <w:noWrap/>
            <w:vAlign w:val="bottom"/>
            <w:hideMark/>
          </w:tcPr>
          <w:p w14:paraId="2AA29EC6" w14:textId="77777777" w:rsidR="00954D06" w:rsidRDefault="00954D06">
            <w:pPr>
              <w:jc w:val="right"/>
              <w:rPr>
                <w:color w:val="000000"/>
                <w:sz w:val="20"/>
                <w:szCs w:val="20"/>
              </w:rPr>
            </w:pPr>
            <w:r>
              <w:rPr>
                <w:color w:val="000000"/>
                <w:sz w:val="20"/>
                <w:szCs w:val="20"/>
              </w:rPr>
              <w:t>0.312</w:t>
            </w:r>
          </w:p>
        </w:tc>
        <w:tc>
          <w:tcPr>
            <w:tcW w:w="820" w:type="dxa"/>
            <w:tcBorders>
              <w:top w:val="single" w:sz="12" w:space="0" w:color="auto"/>
              <w:left w:val="nil"/>
              <w:bottom w:val="nil"/>
              <w:right w:val="nil"/>
            </w:tcBorders>
            <w:shd w:val="clear" w:color="auto" w:fill="auto"/>
            <w:noWrap/>
            <w:vAlign w:val="bottom"/>
            <w:hideMark/>
          </w:tcPr>
          <w:p w14:paraId="3BB1E939" w14:textId="77777777" w:rsidR="00954D06" w:rsidRDefault="00954D06">
            <w:pPr>
              <w:jc w:val="right"/>
              <w:rPr>
                <w:color w:val="000000"/>
                <w:sz w:val="20"/>
                <w:szCs w:val="20"/>
              </w:rPr>
            </w:pPr>
            <w:r>
              <w:rPr>
                <w:color w:val="000000"/>
                <w:sz w:val="20"/>
                <w:szCs w:val="20"/>
              </w:rPr>
              <w:t>0.001</w:t>
            </w:r>
          </w:p>
        </w:tc>
        <w:tc>
          <w:tcPr>
            <w:tcW w:w="820" w:type="dxa"/>
            <w:tcBorders>
              <w:top w:val="single" w:sz="12" w:space="0" w:color="auto"/>
              <w:left w:val="nil"/>
              <w:bottom w:val="nil"/>
              <w:right w:val="nil"/>
            </w:tcBorders>
            <w:shd w:val="clear" w:color="auto" w:fill="auto"/>
            <w:noWrap/>
            <w:vAlign w:val="bottom"/>
            <w:hideMark/>
          </w:tcPr>
          <w:p w14:paraId="334CFAA3" w14:textId="77777777" w:rsidR="00954D06" w:rsidRDefault="00954D06">
            <w:pPr>
              <w:jc w:val="right"/>
              <w:rPr>
                <w:b/>
                <w:bCs/>
                <w:color w:val="000000"/>
                <w:sz w:val="20"/>
                <w:szCs w:val="20"/>
              </w:rPr>
            </w:pPr>
            <w:r>
              <w:rPr>
                <w:b/>
                <w:bCs/>
                <w:color w:val="000000"/>
                <w:sz w:val="20"/>
                <w:szCs w:val="20"/>
              </w:rPr>
              <w:t>-0.098</w:t>
            </w:r>
          </w:p>
        </w:tc>
        <w:tc>
          <w:tcPr>
            <w:tcW w:w="820" w:type="dxa"/>
            <w:tcBorders>
              <w:top w:val="single" w:sz="12" w:space="0" w:color="auto"/>
              <w:left w:val="nil"/>
              <w:bottom w:val="nil"/>
              <w:right w:val="nil"/>
            </w:tcBorders>
            <w:shd w:val="clear" w:color="auto" w:fill="auto"/>
            <w:noWrap/>
            <w:vAlign w:val="bottom"/>
            <w:hideMark/>
          </w:tcPr>
          <w:p w14:paraId="2B380B45" w14:textId="77777777" w:rsidR="00954D06" w:rsidRDefault="00954D06">
            <w:pPr>
              <w:jc w:val="right"/>
              <w:rPr>
                <w:b/>
                <w:bCs/>
                <w:color w:val="000000"/>
                <w:sz w:val="20"/>
                <w:szCs w:val="20"/>
              </w:rPr>
            </w:pPr>
            <w:r>
              <w:rPr>
                <w:b/>
                <w:bCs/>
                <w:color w:val="000000"/>
                <w:sz w:val="20"/>
                <w:szCs w:val="20"/>
              </w:rPr>
              <w:t>0.002</w:t>
            </w:r>
          </w:p>
        </w:tc>
        <w:tc>
          <w:tcPr>
            <w:tcW w:w="820" w:type="dxa"/>
            <w:tcBorders>
              <w:top w:val="single" w:sz="12" w:space="0" w:color="auto"/>
              <w:left w:val="nil"/>
              <w:bottom w:val="nil"/>
              <w:right w:val="nil"/>
            </w:tcBorders>
            <w:shd w:val="clear" w:color="auto" w:fill="auto"/>
            <w:noWrap/>
            <w:vAlign w:val="bottom"/>
            <w:hideMark/>
          </w:tcPr>
          <w:p w14:paraId="2015178E" w14:textId="77777777" w:rsidR="00954D06" w:rsidRDefault="00954D06">
            <w:pPr>
              <w:jc w:val="right"/>
              <w:rPr>
                <w:b/>
                <w:bCs/>
                <w:color w:val="000000"/>
                <w:sz w:val="20"/>
                <w:szCs w:val="20"/>
              </w:rPr>
            </w:pPr>
            <w:r>
              <w:rPr>
                <w:b/>
                <w:bCs/>
                <w:color w:val="000000"/>
                <w:sz w:val="20"/>
                <w:szCs w:val="20"/>
              </w:rPr>
              <w:t>0.010</w:t>
            </w:r>
          </w:p>
        </w:tc>
        <w:tc>
          <w:tcPr>
            <w:tcW w:w="820" w:type="dxa"/>
            <w:tcBorders>
              <w:top w:val="single" w:sz="12" w:space="0" w:color="auto"/>
              <w:left w:val="nil"/>
              <w:bottom w:val="nil"/>
              <w:right w:val="nil"/>
            </w:tcBorders>
            <w:shd w:val="clear" w:color="auto" w:fill="auto"/>
            <w:noWrap/>
            <w:vAlign w:val="bottom"/>
            <w:hideMark/>
          </w:tcPr>
          <w:p w14:paraId="643572FB" w14:textId="77777777" w:rsidR="00954D06" w:rsidRDefault="00954D06">
            <w:pPr>
              <w:jc w:val="right"/>
              <w:rPr>
                <w:color w:val="000000"/>
                <w:sz w:val="20"/>
                <w:szCs w:val="20"/>
              </w:rPr>
            </w:pPr>
            <w:r>
              <w:rPr>
                <w:color w:val="000000"/>
                <w:sz w:val="20"/>
                <w:szCs w:val="20"/>
              </w:rPr>
              <w:t>0.039</w:t>
            </w:r>
          </w:p>
        </w:tc>
        <w:tc>
          <w:tcPr>
            <w:tcW w:w="820" w:type="dxa"/>
            <w:tcBorders>
              <w:top w:val="single" w:sz="12" w:space="0" w:color="auto"/>
              <w:left w:val="nil"/>
              <w:bottom w:val="nil"/>
              <w:right w:val="nil"/>
            </w:tcBorders>
            <w:shd w:val="clear" w:color="auto" w:fill="auto"/>
            <w:noWrap/>
            <w:vAlign w:val="bottom"/>
            <w:hideMark/>
          </w:tcPr>
          <w:p w14:paraId="71890390" w14:textId="77777777" w:rsidR="00954D06" w:rsidRDefault="00954D06">
            <w:pPr>
              <w:jc w:val="right"/>
              <w:rPr>
                <w:color w:val="000000"/>
                <w:sz w:val="20"/>
                <w:szCs w:val="20"/>
              </w:rPr>
            </w:pPr>
            <w:r>
              <w:rPr>
                <w:color w:val="000000"/>
                <w:sz w:val="20"/>
                <w:szCs w:val="20"/>
              </w:rPr>
              <w:t>0.296</w:t>
            </w:r>
          </w:p>
        </w:tc>
        <w:tc>
          <w:tcPr>
            <w:tcW w:w="820" w:type="dxa"/>
            <w:tcBorders>
              <w:top w:val="single" w:sz="12" w:space="0" w:color="auto"/>
              <w:left w:val="nil"/>
              <w:bottom w:val="nil"/>
              <w:right w:val="nil"/>
            </w:tcBorders>
            <w:shd w:val="clear" w:color="auto" w:fill="auto"/>
            <w:noWrap/>
            <w:vAlign w:val="bottom"/>
            <w:hideMark/>
          </w:tcPr>
          <w:p w14:paraId="305A993C" w14:textId="77777777" w:rsidR="00954D06" w:rsidRDefault="00954D06">
            <w:pPr>
              <w:jc w:val="right"/>
              <w:rPr>
                <w:color w:val="000000"/>
                <w:sz w:val="20"/>
                <w:szCs w:val="20"/>
              </w:rPr>
            </w:pPr>
            <w:r>
              <w:rPr>
                <w:color w:val="000000"/>
                <w:sz w:val="20"/>
                <w:szCs w:val="20"/>
              </w:rPr>
              <w:t>0.002</w:t>
            </w:r>
          </w:p>
        </w:tc>
        <w:tc>
          <w:tcPr>
            <w:tcW w:w="820" w:type="dxa"/>
            <w:tcBorders>
              <w:top w:val="single" w:sz="12" w:space="0" w:color="auto"/>
              <w:left w:val="nil"/>
              <w:bottom w:val="nil"/>
              <w:right w:val="nil"/>
            </w:tcBorders>
            <w:shd w:val="clear" w:color="auto" w:fill="auto"/>
            <w:noWrap/>
            <w:vAlign w:val="bottom"/>
            <w:hideMark/>
          </w:tcPr>
          <w:p w14:paraId="1EB55842" w14:textId="77777777" w:rsidR="00954D06" w:rsidRDefault="00954D06">
            <w:pPr>
              <w:jc w:val="right"/>
              <w:rPr>
                <w:color w:val="000000"/>
                <w:sz w:val="20"/>
                <w:szCs w:val="20"/>
              </w:rPr>
            </w:pPr>
            <w:r>
              <w:rPr>
                <w:color w:val="000000"/>
                <w:sz w:val="20"/>
                <w:szCs w:val="20"/>
              </w:rPr>
              <w:t>-0.050</w:t>
            </w:r>
          </w:p>
        </w:tc>
        <w:tc>
          <w:tcPr>
            <w:tcW w:w="820" w:type="dxa"/>
            <w:tcBorders>
              <w:top w:val="single" w:sz="12" w:space="0" w:color="auto"/>
              <w:left w:val="nil"/>
              <w:bottom w:val="nil"/>
              <w:right w:val="nil"/>
            </w:tcBorders>
            <w:shd w:val="clear" w:color="auto" w:fill="auto"/>
            <w:noWrap/>
            <w:vAlign w:val="bottom"/>
            <w:hideMark/>
          </w:tcPr>
          <w:p w14:paraId="2E079E11" w14:textId="77777777" w:rsidR="00954D06" w:rsidRDefault="00954D06">
            <w:pPr>
              <w:jc w:val="right"/>
              <w:rPr>
                <w:color w:val="000000"/>
                <w:sz w:val="20"/>
                <w:szCs w:val="20"/>
              </w:rPr>
            </w:pPr>
            <w:r>
              <w:rPr>
                <w:color w:val="000000"/>
                <w:sz w:val="20"/>
                <w:szCs w:val="20"/>
              </w:rPr>
              <w:t>0.215</w:t>
            </w:r>
          </w:p>
        </w:tc>
        <w:tc>
          <w:tcPr>
            <w:tcW w:w="820" w:type="dxa"/>
            <w:tcBorders>
              <w:top w:val="single" w:sz="12" w:space="0" w:color="auto"/>
              <w:left w:val="nil"/>
              <w:bottom w:val="nil"/>
              <w:right w:val="nil"/>
            </w:tcBorders>
            <w:shd w:val="clear" w:color="auto" w:fill="auto"/>
            <w:noWrap/>
            <w:vAlign w:val="bottom"/>
            <w:hideMark/>
          </w:tcPr>
          <w:p w14:paraId="7547AD97" w14:textId="77777777" w:rsidR="00954D06" w:rsidRDefault="00954D06">
            <w:pPr>
              <w:jc w:val="right"/>
              <w:rPr>
                <w:color w:val="000000"/>
                <w:sz w:val="20"/>
                <w:szCs w:val="20"/>
              </w:rPr>
            </w:pPr>
            <w:r>
              <w:rPr>
                <w:color w:val="000000"/>
                <w:sz w:val="20"/>
                <w:szCs w:val="20"/>
              </w:rPr>
              <w:t>0.003</w:t>
            </w:r>
          </w:p>
        </w:tc>
      </w:tr>
      <w:tr w:rsidR="00954D06" w14:paraId="05FFA6F6" w14:textId="77777777" w:rsidTr="00EE0A4C">
        <w:trPr>
          <w:trHeight w:val="320"/>
        </w:trPr>
        <w:tc>
          <w:tcPr>
            <w:tcW w:w="1152" w:type="dxa"/>
            <w:tcBorders>
              <w:top w:val="nil"/>
              <w:left w:val="nil"/>
              <w:bottom w:val="nil"/>
              <w:right w:val="nil"/>
            </w:tcBorders>
            <w:shd w:val="clear" w:color="auto" w:fill="auto"/>
            <w:noWrap/>
            <w:vAlign w:val="bottom"/>
            <w:hideMark/>
          </w:tcPr>
          <w:p w14:paraId="5422C068" w14:textId="77777777" w:rsidR="00954D06" w:rsidRDefault="00954D06">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543C255B" w14:textId="77777777" w:rsidR="00954D06" w:rsidRDefault="00954D06">
            <w:pPr>
              <w:rPr>
                <w:color w:val="000000"/>
                <w:sz w:val="20"/>
                <w:szCs w:val="20"/>
              </w:rPr>
            </w:pPr>
            <w:r>
              <w:rPr>
                <w:color w:val="000000"/>
                <w:sz w:val="20"/>
                <w:szCs w:val="20"/>
              </w:rPr>
              <w:t>17%</w:t>
            </w:r>
          </w:p>
        </w:tc>
        <w:tc>
          <w:tcPr>
            <w:tcW w:w="820" w:type="dxa"/>
            <w:tcBorders>
              <w:top w:val="nil"/>
              <w:left w:val="nil"/>
              <w:bottom w:val="nil"/>
              <w:right w:val="nil"/>
            </w:tcBorders>
            <w:shd w:val="clear" w:color="auto" w:fill="auto"/>
            <w:noWrap/>
            <w:vAlign w:val="bottom"/>
            <w:hideMark/>
          </w:tcPr>
          <w:p w14:paraId="2271EA27" w14:textId="77777777" w:rsidR="00954D06" w:rsidRDefault="00954D06">
            <w:pPr>
              <w:jc w:val="right"/>
              <w:rPr>
                <w:color w:val="000000"/>
                <w:sz w:val="20"/>
                <w:szCs w:val="20"/>
              </w:rPr>
            </w:pPr>
            <w:r>
              <w:rPr>
                <w:color w:val="000000"/>
                <w:sz w:val="20"/>
                <w:szCs w:val="20"/>
              </w:rPr>
              <w:t>0.006</w:t>
            </w:r>
          </w:p>
        </w:tc>
        <w:tc>
          <w:tcPr>
            <w:tcW w:w="820" w:type="dxa"/>
            <w:tcBorders>
              <w:top w:val="nil"/>
              <w:left w:val="nil"/>
              <w:bottom w:val="nil"/>
              <w:right w:val="nil"/>
            </w:tcBorders>
            <w:shd w:val="clear" w:color="auto" w:fill="auto"/>
            <w:noWrap/>
            <w:vAlign w:val="bottom"/>
            <w:hideMark/>
          </w:tcPr>
          <w:p w14:paraId="0730A8B2" w14:textId="77777777" w:rsidR="00954D06" w:rsidRDefault="00954D06">
            <w:pPr>
              <w:jc w:val="right"/>
              <w:rPr>
                <w:color w:val="000000"/>
                <w:sz w:val="20"/>
                <w:szCs w:val="20"/>
              </w:rPr>
            </w:pPr>
            <w:r>
              <w:rPr>
                <w:color w:val="000000"/>
                <w:sz w:val="20"/>
                <w:szCs w:val="20"/>
              </w:rPr>
              <w:t>0.894</w:t>
            </w:r>
          </w:p>
        </w:tc>
        <w:tc>
          <w:tcPr>
            <w:tcW w:w="820" w:type="dxa"/>
            <w:tcBorders>
              <w:top w:val="nil"/>
              <w:left w:val="nil"/>
              <w:bottom w:val="nil"/>
              <w:right w:val="nil"/>
            </w:tcBorders>
            <w:shd w:val="clear" w:color="auto" w:fill="auto"/>
            <w:noWrap/>
            <w:vAlign w:val="bottom"/>
            <w:hideMark/>
          </w:tcPr>
          <w:p w14:paraId="70C475ED"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3BECE6F4" w14:textId="77777777" w:rsidR="00954D06" w:rsidRDefault="00954D06">
            <w:pPr>
              <w:jc w:val="right"/>
              <w:rPr>
                <w:color w:val="000000"/>
                <w:sz w:val="20"/>
                <w:szCs w:val="20"/>
              </w:rPr>
            </w:pPr>
            <w:r>
              <w:rPr>
                <w:color w:val="000000"/>
                <w:sz w:val="20"/>
                <w:szCs w:val="20"/>
              </w:rPr>
              <w:t>-0.032</w:t>
            </w:r>
          </w:p>
        </w:tc>
        <w:tc>
          <w:tcPr>
            <w:tcW w:w="820" w:type="dxa"/>
            <w:tcBorders>
              <w:top w:val="nil"/>
              <w:left w:val="nil"/>
              <w:bottom w:val="nil"/>
              <w:right w:val="nil"/>
            </w:tcBorders>
            <w:shd w:val="clear" w:color="auto" w:fill="auto"/>
            <w:noWrap/>
            <w:vAlign w:val="bottom"/>
            <w:hideMark/>
          </w:tcPr>
          <w:p w14:paraId="0A65012D" w14:textId="77777777" w:rsidR="00954D06" w:rsidRDefault="00954D06">
            <w:pPr>
              <w:jc w:val="right"/>
              <w:rPr>
                <w:color w:val="000000"/>
                <w:sz w:val="20"/>
                <w:szCs w:val="20"/>
              </w:rPr>
            </w:pPr>
            <w:r>
              <w:rPr>
                <w:color w:val="000000"/>
                <w:sz w:val="20"/>
                <w:szCs w:val="20"/>
              </w:rPr>
              <w:t>0.312</w:t>
            </w:r>
          </w:p>
        </w:tc>
        <w:tc>
          <w:tcPr>
            <w:tcW w:w="820" w:type="dxa"/>
            <w:tcBorders>
              <w:top w:val="nil"/>
              <w:left w:val="nil"/>
              <w:bottom w:val="nil"/>
              <w:right w:val="nil"/>
            </w:tcBorders>
            <w:shd w:val="clear" w:color="auto" w:fill="auto"/>
            <w:noWrap/>
            <w:vAlign w:val="bottom"/>
            <w:hideMark/>
          </w:tcPr>
          <w:p w14:paraId="5FEAC95A" w14:textId="77777777" w:rsidR="00954D06" w:rsidRDefault="00954D06">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4D3B6FC4" w14:textId="77777777" w:rsidR="00954D06" w:rsidRDefault="00954D06">
            <w:pPr>
              <w:jc w:val="right"/>
              <w:rPr>
                <w:b/>
                <w:bCs/>
                <w:color w:val="000000"/>
                <w:sz w:val="20"/>
                <w:szCs w:val="20"/>
              </w:rPr>
            </w:pPr>
            <w:r>
              <w:rPr>
                <w:b/>
                <w:bCs/>
                <w:color w:val="000000"/>
                <w:sz w:val="20"/>
                <w:szCs w:val="20"/>
              </w:rPr>
              <w:t>-0.093</w:t>
            </w:r>
          </w:p>
        </w:tc>
        <w:tc>
          <w:tcPr>
            <w:tcW w:w="820" w:type="dxa"/>
            <w:tcBorders>
              <w:top w:val="nil"/>
              <w:left w:val="nil"/>
              <w:bottom w:val="nil"/>
              <w:right w:val="nil"/>
            </w:tcBorders>
            <w:shd w:val="clear" w:color="auto" w:fill="auto"/>
            <w:noWrap/>
            <w:vAlign w:val="bottom"/>
            <w:hideMark/>
          </w:tcPr>
          <w:p w14:paraId="7C3B8585" w14:textId="77777777" w:rsidR="00954D06" w:rsidRDefault="00954D06">
            <w:pPr>
              <w:jc w:val="right"/>
              <w:rPr>
                <w:b/>
                <w:bCs/>
                <w:color w:val="000000"/>
                <w:sz w:val="20"/>
                <w:szCs w:val="20"/>
              </w:rPr>
            </w:pPr>
            <w:r>
              <w:rPr>
                <w:b/>
                <w:bCs/>
                <w:color w:val="000000"/>
                <w:sz w:val="20"/>
                <w:szCs w:val="20"/>
              </w:rPr>
              <w:t>0.002</w:t>
            </w:r>
          </w:p>
        </w:tc>
        <w:tc>
          <w:tcPr>
            <w:tcW w:w="820" w:type="dxa"/>
            <w:tcBorders>
              <w:top w:val="nil"/>
              <w:left w:val="nil"/>
              <w:bottom w:val="nil"/>
              <w:right w:val="nil"/>
            </w:tcBorders>
            <w:shd w:val="clear" w:color="auto" w:fill="auto"/>
            <w:noWrap/>
            <w:vAlign w:val="bottom"/>
            <w:hideMark/>
          </w:tcPr>
          <w:p w14:paraId="127E3EEC" w14:textId="77777777" w:rsidR="00954D06" w:rsidRDefault="00954D06">
            <w:pPr>
              <w:jc w:val="right"/>
              <w:rPr>
                <w:b/>
                <w:bCs/>
                <w:color w:val="000000"/>
                <w:sz w:val="20"/>
                <w:szCs w:val="20"/>
              </w:rPr>
            </w:pPr>
            <w:r>
              <w:rPr>
                <w:b/>
                <w:bCs/>
                <w:color w:val="000000"/>
                <w:sz w:val="20"/>
                <w:szCs w:val="20"/>
              </w:rPr>
              <w:t>0.009</w:t>
            </w:r>
          </w:p>
        </w:tc>
        <w:tc>
          <w:tcPr>
            <w:tcW w:w="820" w:type="dxa"/>
            <w:tcBorders>
              <w:top w:val="nil"/>
              <w:left w:val="nil"/>
              <w:bottom w:val="nil"/>
              <w:right w:val="nil"/>
            </w:tcBorders>
            <w:shd w:val="clear" w:color="auto" w:fill="auto"/>
            <w:noWrap/>
            <w:vAlign w:val="bottom"/>
            <w:hideMark/>
          </w:tcPr>
          <w:p w14:paraId="1040A41A" w14:textId="77777777" w:rsidR="00954D06" w:rsidRDefault="00954D06">
            <w:pPr>
              <w:jc w:val="right"/>
              <w:rPr>
                <w:color w:val="000000"/>
                <w:sz w:val="20"/>
                <w:szCs w:val="20"/>
              </w:rPr>
            </w:pPr>
            <w:r>
              <w:rPr>
                <w:color w:val="000000"/>
                <w:sz w:val="20"/>
                <w:szCs w:val="20"/>
              </w:rPr>
              <w:t>0.035</w:t>
            </w:r>
          </w:p>
        </w:tc>
        <w:tc>
          <w:tcPr>
            <w:tcW w:w="820" w:type="dxa"/>
            <w:tcBorders>
              <w:top w:val="nil"/>
              <w:left w:val="nil"/>
              <w:bottom w:val="nil"/>
              <w:right w:val="nil"/>
            </w:tcBorders>
            <w:shd w:val="clear" w:color="auto" w:fill="auto"/>
            <w:noWrap/>
            <w:vAlign w:val="bottom"/>
            <w:hideMark/>
          </w:tcPr>
          <w:p w14:paraId="1AE42E0C" w14:textId="77777777" w:rsidR="00954D06" w:rsidRDefault="00954D06">
            <w:pPr>
              <w:jc w:val="right"/>
              <w:rPr>
                <w:color w:val="000000"/>
                <w:sz w:val="20"/>
                <w:szCs w:val="20"/>
              </w:rPr>
            </w:pPr>
            <w:r>
              <w:rPr>
                <w:color w:val="000000"/>
                <w:sz w:val="20"/>
                <w:szCs w:val="20"/>
              </w:rPr>
              <w:t>0.296</w:t>
            </w:r>
          </w:p>
        </w:tc>
        <w:tc>
          <w:tcPr>
            <w:tcW w:w="820" w:type="dxa"/>
            <w:tcBorders>
              <w:top w:val="nil"/>
              <w:left w:val="nil"/>
              <w:bottom w:val="nil"/>
              <w:right w:val="nil"/>
            </w:tcBorders>
            <w:shd w:val="clear" w:color="auto" w:fill="auto"/>
            <w:noWrap/>
            <w:vAlign w:val="bottom"/>
            <w:hideMark/>
          </w:tcPr>
          <w:p w14:paraId="3EC74977" w14:textId="77777777" w:rsidR="00954D06" w:rsidRDefault="00954D06">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7E5A4287" w14:textId="77777777" w:rsidR="00954D06" w:rsidRDefault="00954D06">
            <w:pPr>
              <w:jc w:val="right"/>
              <w:rPr>
                <w:color w:val="000000"/>
                <w:sz w:val="20"/>
                <w:szCs w:val="20"/>
              </w:rPr>
            </w:pPr>
            <w:r>
              <w:rPr>
                <w:color w:val="000000"/>
                <w:sz w:val="20"/>
                <w:szCs w:val="20"/>
              </w:rPr>
              <w:t>-0.045</w:t>
            </w:r>
          </w:p>
        </w:tc>
        <w:tc>
          <w:tcPr>
            <w:tcW w:w="820" w:type="dxa"/>
            <w:tcBorders>
              <w:top w:val="nil"/>
              <w:left w:val="nil"/>
              <w:bottom w:val="nil"/>
              <w:right w:val="nil"/>
            </w:tcBorders>
            <w:shd w:val="clear" w:color="auto" w:fill="auto"/>
            <w:noWrap/>
            <w:vAlign w:val="bottom"/>
            <w:hideMark/>
          </w:tcPr>
          <w:p w14:paraId="67B72F40" w14:textId="77777777" w:rsidR="00954D06" w:rsidRDefault="00954D06">
            <w:pPr>
              <w:jc w:val="right"/>
              <w:rPr>
                <w:color w:val="000000"/>
                <w:sz w:val="20"/>
                <w:szCs w:val="20"/>
              </w:rPr>
            </w:pPr>
            <w:r>
              <w:rPr>
                <w:color w:val="000000"/>
                <w:sz w:val="20"/>
                <w:szCs w:val="20"/>
              </w:rPr>
              <w:t>0.215</w:t>
            </w:r>
          </w:p>
        </w:tc>
        <w:tc>
          <w:tcPr>
            <w:tcW w:w="820" w:type="dxa"/>
            <w:tcBorders>
              <w:top w:val="nil"/>
              <w:left w:val="nil"/>
              <w:bottom w:val="nil"/>
              <w:right w:val="nil"/>
            </w:tcBorders>
            <w:shd w:val="clear" w:color="auto" w:fill="auto"/>
            <w:noWrap/>
            <w:vAlign w:val="bottom"/>
            <w:hideMark/>
          </w:tcPr>
          <w:p w14:paraId="799C8DFA" w14:textId="77777777" w:rsidR="00954D06" w:rsidRDefault="00954D06">
            <w:pPr>
              <w:jc w:val="right"/>
              <w:rPr>
                <w:color w:val="000000"/>
                <w:sz w:val="20"/>
                <w:szCs w:val="20"/>
              </w:rPr>
            </w:pPr>
            <w:r>
              <w:rPr>
                <w:color w:val="000000"/>
                <w:sz w:val="20"/>
                <w:szCs w:val="20"/>
              </w:rPr>
              <w:t>0.002</w:t>
            </w:r>
          </w:p>
        </w:tc>
      </w:tr>
      <w:tr w:rsidR="00954D06" w14:paraId="0D225784" w14:textId="77777777" w:rsidTr="00EE0A4C">
        <w:trPr>
          <w:trHeight w:val="320"/>
        </w:trPr>
        <w:tc>
          <w:tcPr>
            <w:tcW w:w="1152" w:type="dxa"/>
            <w:tcBorders>
              <w:top w:val="nil"/>
              <w:left w:val="nil"/>
              <w:bottom w:val="nil"/>
              <w:right w:val="nil"/>
            </w:tcBorders>
            <w:shd w:val="clear" w:color="auto" w:fill="auto"/>
            <w:noWrap/>
            <w:vAlign w:val="bottom"/>
            <w:hideMark/>
          </w:tcPr>
          <w:p w14:paraId="3BB4D7A7" w14:textId="77777777" w:rsidR="00954D06" w:rsidRDefault="00954D06">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23C1E28F" w14:textId="77777777" w:rsidR="00954D06" w:rsidRDefault="00954D06">
            <w:pPr>
              <w:rPr>
                <w:color w:val="000000"/>
                <w:sz w:val="20"/>
                <w:szCs w:val="20"/>
              </w:rPr>
            </w:pPr>
            <w:r>
              <w:rPr>
                <w:color w:val="000000"/>
                <w:sz w:val="20"/>
                <w:szCs w:val="20"/>
              </w:rPr>
              <w:t>23%</w:t>
            </w:r>
          </w:p>
        </w:tc>
        <w:tc>
          <w:tcPr>
            <w:tcW w:w="820" w:type="dxa"/>
            <w:tcBorders>
              <w:top w:val="nil"/>
              <w:left w:val="nil"/>
              <w:bottom w:val="nil"/>
              <w:right w:val="nil"/>
            </w:tcBorders>
            <w:shd w:val="clear" w:color="auto" w:fill="auto"/>
            <w:noWrap/>
            <w:vAlign w:val="bottom"/>
            <w:hideMark/>
          </w:tcPr>
          <w:p w14:paraId="601D46F6" w14:textId="77777777" w:rsidR="00954D06" w:rsidRDefault="00954D06">
            <w:pPr>
              <w:jc w:val="right"/>
              <w:rPr>
                <w:color w:val="000000"/>
                <w:sz w:val="20"/>
                <w:szCs w:val="20"/>
              </w:rPr>
            </w:pPr>
            <w:r>
              <w:rPr>
                <w:color w:val="000000"/>
                <w:sz w:val="20"/>
                <w:szCs w:val="20"/>
              </w:rPr>
              <w:t>0.005</w:t>
            </w:r>
          </w:p>
        </w:tc>
        <w:tc>
          <w:tcPr>
            <w:tcW w:w="820" w:type="dxa"/>
            <w:tcBorders>
              <w:top w:val="nil"/>
              <w:left w:val="nil"/>
              <w:bottom w:val="nil"/>
              <w:right w:val="nil"/>
            </w:tcBorders>
            <w:shd w:val="clear" w:color="auto" w:fill="auto"/>
            <w:noWrap/>
            <w:vAlign w:val="bottom"/>
            <w:hideMark/>
          </w:tcPr>
          <w:p w14:paraId="5E38425A" w14:textId="77777777" w:rsidR="00954D06" w:rsidRDefault="00954D06">
            <w:pPr>
              <w:jc w:val="right"/>
              <w:rPr>
                <w:color w:val="000000"/>
                <w:sz w:val="20"/>
                <w:szCs w:val="20"/>
              </w:rPr>
            </w:pPr>
            <w:r>
              <w:rPr>
                <w:color w:val="000000"/>
                <w:sz w:val="20"/>
                <w:szCs w:val="20"/>
              </w:rPr>
              <w:t>0.894</w:t>
            </w:r>
          </w:p>
        </w:tc>
        <w:tc>
          <w:tcPr>
            <w:tcW w:w="820" w:type="dxa"/>
            <w:tcBorders>
              <w:top w:val="nil"/>
              <w:left w:val="nil"/>
              <w:bottom w:val="nil"/>
              <w:right w:val="nil"/>
            </w:tcBorders>
            <w:shd w:val="clear" w:color="auto" w:fill="auto"/>
            <w:noWrap/>
            <w:vAlign w:val="bottom"/>
            <w:hideMark/>
          </w:tcPr>
          <w:p w14:paraId="2F56619F"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1FEBCBF5" w14:textId="77777777" w:rsidR="00954D06" w:rsidRDefault="00954D06">
            <w:pPr>
              <w:jc w:val="right"/>
              <w:rPr>
                <w:color w:val="000000"/>
                <w:sz w:val="20"/>
                <w:szCs w:val="20"/>
              </w:rPr>
            </w:pPr>
            <w:r>
              <w:rPr>
                <w:color w:val="000000"/>
                <w:sz w:val="20"/>
                <w:szCs w:val="20"/>
              </w:rPr>
              <w:t>-0.034</w:t>
            </w:r>
          </w:p>
        </w:tc>
        <w:tc>
          <w:tcPr>
            <w:tcW w:w="820" w:type="dxa"/>
            <w:tcBorders>
              <w:top w:val="nil"/>
              <w:left w:val="nil"/>
              <w:bottom w:val="nil"/>
              <w:right w:val="nil"/>
            </w:tcBorders>
            <w:shd w:val="clear" w:color="auto" w:fill="auto"/>
            <w:noWrap/>
            <w:vAlign w:val="bottom"/>
            <w:hideMark/>
          </w:tcPr>
          <w:p w14:paraId="33FC3C83" w14:textId="77777777" w:rsidR="00954D06" w:rsidRDefault="00954D06">
            <w:pPr>
              <w:jc w:val="right"/>
              <w:rPr>
                <w:color w:val="000000"/>
                <w:sz w:val="20"/>
                <w:szCs w:val="20"/>
              </w:rPr>
            </w:pPr>
            <w:r>
              <w:rPr>
                <w:color w:val="000000"/>
                <w:sz w:val="20"/>
                <w:szCs w:val="20"/>
              </w:rPr>
              <w:t>0.312</w:t>
            </w:r>
          </w:p>
        </w:tc>
        <w:tc>
          <w:tcPr>
            <w:tcW w:w="820" w:type="dxa"/>
            <w:tcBorders>
              <w:top w:val="nil"/>
              <w:left w:val="nil"/>
              <w:bottom w:val="nil"/>
              <w:right w:val="nil"/>
            </w:tcBorders>
            <w:shd w:val="clear" w:color="auto" w:fill="auto"/>
            <w:noWrap/>
            <w:vAlign w:val="bottom"/>
            <w:hideMark/>
          </w:tcPr>
          <w:p w14:paraId="6EAA4481" w14:textId="77777777" w:rsidR="00954D06" w:rsidRDefault="00954D06">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1512FDAE" w14:textId="77777777" w:rsidR="00954D06" w:rsidRDefault="00954D06">
            <w:pPr>
              <w:jc w:val="right"/>
              <w:rPr>
                <w:b/>
                <w:bCs/>
                <w:color w:val="000000"/>
                <w:sz w:val="20"/>
                <w:szCs w:val="20"/>
              </w:rPr>
            </w:pPr>
            <w:r>
              <w:rPr>
                <w:b/>
                <w:bCs/>
                <w:color w:val="000000"/>
                <w:sz w:val="20"/>
                <w:szCs w:val="20"/>
              </w:rPr>
              <w:t>-0.090</w:t>
            </w:r>
          </w:p>
        </w:tc>
        <w:tc>
          <w:tcPr>
            <w:tcW w:w="820" w:type="dxa"/>
            <w:tcBorders>
              <w:top w:val="nil"/>
              <w:left w:val="nil"/>
              <w:bottom w:val="nil"/>
              <w:right w:val="nil"/>
            </w:tcBorders>
            <w:shd w:val="clear" w:color="auto" w:fill="auto"/>
            <w:noWrap/>
            <w:vAlign w:val="bottom"/>
            <w:hideMark/>
          </w:tcPr>
          <w:p w14:paraId="149AB695" w14:textId="77777777" w:rsidR="00954D06" w:rsidRDefault="00954D06">
            <w:pPr>
              <w:jc w:val="right"/>
              <w:rPr>
                <w:b/>
                <w:bCs/>
                <w:color w:val="000000"/>
                <w:sz w:val="20"/>
                <w:szCs w:val="20"/>
              </w:rPr>
            </w:pPr>
            <w:r>
              <w:rPr>
                <w:b/>
                <w:bCs/>
                <w:color w:val="000000"/>
                <w:sz w:val="20"/>
                <w:szCs w:val="20"/>
              </w:rPr>
              <w:t>0.002</w:t>
            </w:r>
          </w:p>
        </w:tc>
        <w:tc>
          <w:tcPr>
            <w:tcW w:w="820" w:type="dxa"/>
            <w:tcBorders>
              <w:top w:val="nil"/>
              <w:left w:val="nil"/>
              <w:bottom w:val="nil"/>
              <w:right w:val="nil"/>
            </w:tcBorders>
            <w:shd w:val="clear" w:color="auto" w:fill="auto"/>
            <w:noWrap/>
            <w:vAlign w:val="bottom"/>
            <w:hideMark/>
          </w:tcPr>
          <w:p w14:paraId="0E5B38B7" w14:textId="77777777" w:rsidR="00954D06" w:rsidRDefault="00954D06">
            <w:pPr>
              <w:jc w:val="right"/>
              <w:rPr>
                <w:b/>
                <w:bCs/>
                <w:color w:val="000000"/>
                <w:sz w:val="20"/>
                <w:szCs w:val="20"/>
              </w:rPr>
            </w:pPr>
            <w:r>
              <w:rPr>
                <w:b/>
                <w:bCs/>
                <w:color w:val="000000"/>
                <w:sz w:val="20"/>
                <w:szCs w:val="20"/>
              </w:rPr>
              <w:t>0.008</w:t>
            </w:r>
          </w:p>
        </w:tc>
        <w:tc>
          <w:tcPr>
            <w:tcW w:w="820" w:type="dxa"/>
            <w:tcBorders>
              <w:top w:val="nil"/>
              <w:left w:val="nil"/>
              <w:bottom w:val="nil"/>
              <w:right w:val="nil"/>
            </w:tcBorders>
            <w:shd w:val="clear" w:color="auto" w:fill="auto"/>
            <w:noWrap/>
            <w:vAlign w:val="bottom"/>
            <w:hideMark/>
          </w:tcPr>
          <w:p w14:paraId="5C9B7C00" w14:textId="77777777" w:rsidR="00954D06" w:rsidRDefault="00954D06">
            <w:pPr>
              <w:jc w:val="right"/>
              <w:rPr>
                <w:color w:val="000000"/>
                <w:sz w:val="20"/>
                <w:szCs w:val="20"/>
              </w:rPr>
            </w:pPr>
            <w:r>
              <w:rPr>
                <w:color w:val="000000"/>
                <w:sz w:val="20"/>
                <w:szCs w:val="20"/>
              </w:rPr>
              <w:t>0.035</w:t>
            </w:r>
          </w:p>
        </w:tc>
        <w:tc>
          <w:tcPr>
            <w:tcW w:w="820" w:type="dxa"/>
            <w:tcBorders>
              <w:top w:val="nil"/>
              <w:left w:val="nil"/>
              <w:bottom w:val="nil"/>
              <w:right w:val="nil"/>
            </w:tcBorders>
            <w:shd w:val="clear" w:color="auto" w:fill="auto"/>
            <w:noWrap/>
            <w:vAlign w:val="bottom"/>
            <w:hideMark/>
          </w:tcPr>
          <w:p w14:paraId="53F0FCB1" w14:textId="77777777" w:rsidR="00954D06" w:rsidRDefault="00954D06">
            <w:pPr>
              <w:jc w:val="right"/>
              <w:rPr>
                <w:color w:val="000000"/>
                <w:sz w:val="20"/>
                <w:szCs w:val="20"/>
              </w:rPr>
            </w:pPr>
            <w:r>
              <w:rPr>
                <w:color w:val="000000"/>
                <w:sz w:val="20"/>
                <w:szCs w:val="20"/>
              </w:rPr>
              <w:t>0.296</w:t>
            </w:r>
          </w:p>
        </w:tc>
        <w:tc>
          <w:tcPr>
            <w:tcW w:w="820" w:type="dxa"/>
            <w:tcBorders>
              <w:top w:val="nil"/>
              <w:left w:val="nil"/>
              <w:bottom w:val="nil"/>
              <w:right w:val="nil"/>
            </w:tcBorders>
            <w:shd w:val="clear" w:color="auto" w:fill="auto"/>
            <w:noWrap/>
            <w:vAlign w:val="bottom"/>
            <w:hideMark/>
          </w:tcPr>
          <w:p w14:paraId="5F1AF355" w14:textId="77777777" w:rsidR="00954D06" w:rsidRDefault="00954D06">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27F5E656" w14:textId="77777777" w:rsidR="00954D06" w:rsidRDefault="00954D06">
            <w:pPr>
              <w:jc w:val="right"/>
              <w:rPr>
                <w:color w:val="000000"/>
                <w:sz w:val="20"/>
                <w:szCs w:val="20"/>
              </w:rPr>
            </w:pPr>
            <w:r>
              <w:rPr>
                <w:color w:val="000000"/>
                <w:sz w:val="20"/>
                <w:szCs w:val="20"/>
              </w:rPr>
              <w:t>-0.046</w:t>
            </w:r>
          </w:p>
        </w:tc>
        <w:tc>
          <w:tcPr>
            <w:tcW w:w="820" w:type="dxa"/>
            <w:tcBorders>
              <w:top w:val="nil"/>
              <w:left w:val="nil"/>
              <w:bottom w:val="nil"/>
              <w:right w:val="nil"/>
            </w:tcBorders>
            <w:shd w:val="clear" w:color="auto" w:fill="auto"/>
            <w:noWrap/>
            <w:vAlign w:val="bottom"/>
            <w:hideMark/>
          </w:tcPr>
          <w:p w14:paraId="1F923EA5" w14:textId="77777777" w:rsidR="00954D06" w:rsidRDefault="00954D06">
            <w:pPr>
              <w:jc w:val="right"/>
              <w:rPr>
                <w:color w:val="000000"/>
                <w:sz w:val="20"/>
                <w:szCs w:val="20"/>
              </w:rPr>
            </w:pPr>
            <w:r>
              <w:rPr>
                <w:color w:val="000000"/>
                <w:sz w:val="20"/>
                <w:szCs w:val="20"/>
              </w:rPr>
              <w:t>0.215</w:t>
            </w:r>
          </w:p>
        </w:tc>
        <w:tc>
          <w:tcPr>
            <w:tcW w:w="820" w:type="dxa"/>
            <w:tcBorders>
              <w:top w:val="nil"/>
              <w:left w:val="nil"/>
              <w:bottom w:val="nil"/>
              <w:right w:val="nil"/>
            </w:tcBorders>
            <w:shd w:val="clear" w:color="auto" w:fill="auto"/>
            <w:noWrap/>
            <w:vAlign w:val="bottom"/>
            <w:hideMark/>
          </w:tcPr>
          <w:p w14:paraId="487A0BC5" w14:textId="77777777" w:rsidR="00954D06" w:rsidRDefault="00954D06">
            <w:pPr>
              <w:jc w:val="right"/>
              <w:rPr>
                <w:color w:val="000000"/>
                <w:sz w:val="20"/>
                <w:szCs w:val="20"/>
              </w:rPr>
            </w:pPr>
            <w:r>
              <w:rPr>
                <w:color w:val="000000"/>
                <w:sz w:val="20"/>
                <w:szCs w:val="20"/>
              </w:rPr>
              <w:t>0.002</w:t>
            </w:r>
          </w:p>
        </w:tc>
      </w:tr>
      <w:tr w:rsidR="00954D06" w14:paraId="794C6A86" w14:textId="77777777" w:rsidTr="00EE0A4C">
        <w:trPr>
          <w:trHeight w:val="340"/>
        </w:trPr>
        <w:tc>
          <w:tcPr>
            <w:tcW w:w="1152" w:type="dxa"/>
            <w:tcBorders>
              <w:top w:val="nil"/>
              <w:left w:val="nil"/>
              <w:bottom w:val="single" w:sz="12" w:space="0" w:color="auto"/>
              <w:right w:val="nil"/>
            </w:tcBorders>
            <w:shd w:val="clear" w:color="auto" w:fill="auto"/>
            <w:noWrap/>
            <w:vAlign w:val="bottom"/>
            <w:hideMark/>
          </w:tcPr>
          <w:p w14:paraId="79841959" w14:textId="77777777" w:rsidR="00954D06" w:rsidRDefault="00954D06">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5BCD6696" w14:textId="77777777" w:rsidR="00954D06" w:rsidRDefault="00954D06">
            <w:pPr>
              <w:rPr>
                <w:color w:val="000000"/>
                <w:sz w:val="20"/>
                <w:szCs w:val="20"/>
              </w:rPr>
            </w:pPr>
            <w:r>
              <w:rPr>
                <w:color w:val="000000"/>
                <w:sz w:val="20"/>
                <w:szCs w:val="20"/>
              </w:rPr>
              <w:t>30%</w:t>
            </w:r>
          </w:p>
        </w:tc>
        <w:tc>
          <w:tcPr>
            <w:tcW w:w="820" w:type="dxa"/>
            <w:tcBorders>
              <w:top w:val="nil"/>
              <w:left w:val="nil"/>
              <w:bottom w:val="single" w:sz="12" w:space="0" w:color="auto"/>
              <w:right w:val="nil"/>
            </w:tcBorders>
            <w:shd w:val="clear" w:color="auto" w:fill="auto"/>
            <w:noWrap/>
            <w:vAlign w:val="bottom"/>
            <w:hideMark/>
          </w:tcPr>
          <w:p w14:paraId="71E5810D" w14:textId="77777777" w:rsidR="00954D06" w:rsidRDefault="00954D06">
            <w:pPr>
              <w:jc w:val="right"/>
              <w:rPr>
                <w:color w:val="000000"/>
                <w:sz w:val="20"/>
                <w:szCs w:val="20"/>
              </w:rPr>
            </w:pPr>
            <w:r>
              <w:rPr>
                <w:color w:val="000000"/>
                <w:sz w:val="20"/>
                <w:szCs w:val="20"/>
              </w:rPr>
              <w:t>0.005</w:t>
            </w:r>
          </w:p>
        </w:tc>
        <w:tc>
          <w:tcPr>
            <w:tcW w:w="820" w:type="dxa"/>
            <w:tcBorders>
              <w:top w:val="nil"/>
              <w:left w:val="nil"/>
              <w:bottom w:val="single" w:sz="12" w:space="0" w:color="auto"/>
              <w:right w:val="nil"/>
            </w:tcBorders>
            <w:shd w:val="clear" w:color="auto" w:fill="auto"/>
            <w:noWrap/>
            <w:vAlign w:val="bottom"/>
            <w:hideMark/>
          </w:tcPr>
          <w:p w14:paraId="0C94B388" w14:textId="77777777" w:rsidR="00954D06" w:rsidRDefault="00954D06">
            <w:pPr>
              <w:jc w:val="right"/>
              <w:rPr>
                <w:color w:val="000000"/>
                <w:sz w:val="20"/>
                <w:szCs w:val="20"/>
              </w:rPr>
            </w:pPr>
            <w:r>
              <w:rPr>
                <w:color w:val="000000"/>
                <w:sz w:val="20"/>
                <w:szCs w:val="20"/>
              </w:rPr>
              <w:t>0.894</w:t>
            </w:r>
          </w:p>
        </w:tc>
        <w:tc>
          <w:tcPr>
            <w:tcW w:w="820" w:type="dxa"/>
            <w:tcBorders>
              <w:top w:val="nil"/>
              <w:left w:val="nil"/>
              <w:bottom w:val="single" w:sz="12" w:space="0" w:color="auto"/>
              <w:right w:val="nil"/>
            </w:tcBorders>
            <w:shd w:val="clear" w:color="auto" w:fill="auto"/>
            <w:noWrap/>
            <w:vAlign w:val="bottom"/>
            <w:hideMark/>
          </w:tcPr>
          <w:p w14:paraId="3FB819C9" w14:textId="77777777" w:rsidR="00954D06" w:rsidRDefault="00954D06">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14C20266" w14:textId="77777777" w:rsidR="00954D06" w:rsidRDefault="00954D06">
            <w:pPr>
              <w:jc w:val="right"/>
              <w:rPr>
                <w:color w:val="000000"/>
                <w:sz w:val="20"/>
                <w:szCs w:val="20"/>
              </w:rPr>
            </w:pPr>
            <w:r>
              <w:rPr>
                <w:color w:val="000000"/>
                <w:sz w:val="20"/>
                <w:szCs w:val="20"/>
              </w:rPr>
              <w:t>-0.033</w:t>
            </w:r>
          </w:p>
        </w:tc>
        <w:tc>
          <w:tcPr>
            <w:tcW w:w="820" w:type="dxa"/>
            <w:tcBorders>
              <w:top w:val="nil"/>
              <w:left w:val="nil"/>
              <w:bottom w:val="single" w:sz="12" w:space="0" w:color="auto"/>
              <w:right w:val="nil"/>
            </w:tcBorders>
            <w:shd w:val="clear" w:color="auto" w:fill="auto"/>
            <w:noWrap/>
            <w:vAlign w:val="bottom"/>
            <w:hideMark/>
          </w:tcPr>
          <w:p w14:paraId="71E2B661" w14:textId="77777777" w:rsidR="00954D06" w:rsidRDefault="00954D06">
            <w:pPr>
              <w:jc w:val="right"/>
              <w:rPr>
                <w:color w:val="000000"/>
                <w:sz w:val="20"/>
                <w:szCs w:val="20"/>
              </w:rPr>
            </w:pPr>
            <w:r>
              <w:rPr>
                <w:color w:val="000000"/>
                <w:sz w:val="20"/>
                <w:szCs w:val="20"/>
              </w:rPr>
              <w:t>0.312</w:t>
            </w:r>
          </w:p>
        </w:tc>
        <w:tc>
          <w:tcPr>
            <w:tcW w:w="820" w:type="dxa"/>
            <w:tcBorders>
              <w:top w:val="nil"/>
              <w:left w:val="nil"/>
              <w:bottom w:val="single" w:sz="12" w:space="0" w:color="auto"/>
              <w:right w:val="nil"/>
            </w:tcBorders>
            <w:shd w:val="clear" w:color="auto" w:fill="auto"/>
            <w:noWrap/>
            <w:vAlign w:val="bottom"/>
            <w:hideMark/>
          </w:tcPr>
          <w:p w14:paraId="217B9157" w14:textId="77777777" w:rsidR="00954D06" w:rsidRDefault="00954D06">
            <w:pPr>
              <w:jc w:val="right"/>
              <w:rPr>
                <w:color w:val="000000"/>
                <w:sz w:val="20"/>
                <w:szCs w:val="20"/>
              </w:rPr>
            </w:pPr>
            <w:r>
              <w:rPr>
                <w:color w:val="000000"/>
                <w:sz w:val="20"/>
                <w:szCs w:val="20"/>
              </w:rPr>
              <w:t>0.001</w:t>
            </w:r>
          </w:p>
        </w:tc>
        <w:tc>
          <w:tcPr>
            <w:tcW w:w="820" w:type="dxa"/>
            <w:tcBorders>
              <w:top w:val="nil"/>
              <w:left w:val="nil"/>
              <w:bottom w:val="single" w:sz="12" w:space="0" w:color="auto"/>
              <w:right w:val="nil"/>
            </w:tcBorders>
            <w:shd w:val="clear" w:color="auto" w:fill="auto"/>
            <w:noWrap/>
            <w:vAlign w:val="bottom"/>
            <w:hideMark/>
          </w:tcPr>
          <w:p w14:paraId="1C8371E0" w14:textId="77777777" w:rsidR="00954D06" w:rsidRDefault="00954D06">
            <w:pPr>
              <w:jc w:val="right"/>
              <w:rPr>
                <w:b/>
                <w:bCs/>
                <w:color w:val="000000"/>
                <w:sz w:val="20"/>
                <w:szCs w:val="20"/>
              </w:rPr>
            </w:pPr>
            <w:r>
              <w:rPr>
                <w:b/>
                <w:bCs/>
                <w:color w:val="000000"/>
                <w:sz w:val="20"/>
                <w:szCs w:val="20"/>
              </w:rPr>
              <w:t>-0.086</w:t>
            </w:r>
          </w:p>
        </w:tc>
        <w:tc>
          <w:tcPr>
            <w:tcW w:w="820" w:type="dxa"/>
            <w:tcBorders>
              <w:top w:val="nil"/>
              <w:left w:val="nil"/>
              <w:bottom w:val="single" w:sz="12" w:space="0" w:color="auto"/>
              <w:right w:val="nil"/>
            </w:tcBorders>
            <w:shd w:val="clear" w:color="auto" w:fill="auto"/>
            <w:noWrap/>
            <w:vAlign w:val="bottom"/>
            <w:hideMark/>
          </w:tcPr>
          <w:p w14:paraId="79B46BD9" w14:textId="77777777" w:rsidR="00954D06" w:rsidRDefault="00954D06">
            <w:pPr>
              <w:jc w:val="right"/>
              <w:rPr>
                <w:b/>
                <w:bCs/>
                <w:color w:val="000000"/>
                <w:sz w:val="20"/>
                <w:szCs w:val="20"/>
              </w:rPr>
            </w:pPr>
            <w:r>
              <w:rPr>
                <w:b/>
                <w:bCs/>
                <w:color w:val="000000"/>
                <w:sz w:val="20"/>
                <w:szCs w:val="20"/>
              </w:rPr>
              <w:t>0.002</w:t>
            </w:r>
          </w:p>
        </w:tc>
        <w:tc>
          <w:tcPr>
            <w:tcW w:w="820" w:type="dxa"/>
            <w:tcBorders>
              <w:top w:val="nil"/>
              <w:left w:val="nil"/>
              <w:bottom w:val="single" w:sz="12" w:space="0" w:color="auto"/>
              <w:right w:val="nil"/>
            </w:tcBorders>
            <w:shd w:val="clear" w:color="auto" w:fill="auto"/>
            <w:noWrap/>
            <w:vAlign w:val="bottom"/>
            <w:hideMark/>
          </w:tcPr>
          <w:p w14:paraId="199A5CFE" w14:textId="77777777" w:rsidR="00954D06" w:rsidRDefault="00954D06">
            <w:pPr>
              <w:jc w:val="right"/>
              <w:rPr>
                <w:b/>
                <w:bCs/>
                <w:color w:val="000000"/>
                <w:sz w:val="20"/>
                <w:szCs w:val="20"/>
              </w:rPr>
            </w:pPr>
            <w:r>
              <w:rPr>
                <w:b/>
                <w:bCs/>
                <w:color w:val="000000"/>
                <w:sz w:val="20"/>
                <w:szCs w:val="20"/>
              </w:rPr>
              <w:t>0.007</w:t>
            </w:r>
          </w:p>
        </w:tc>
        <w:tc>
          <w:tcPr>
            <w:tcW w:w="820" w:type="dxa"/>
            <w:tcBorders>
              <w:top w:val="nil"/>
              <w:left w:val="nil"/>
              <w:bottom w:val="single" w:sz="12" w:space="0" w:color="auto"/>
              <w:right w:val="nil"/>
            </w:tcBorders>
            <w:shd w:val="clear" w:color="auto" w:fill="auto"/>
            <w:noWrap/>
            <w:vAlign w:val="bottom"/>
            <w:hideMark/>
          </w:tcPr>
          <w:p w14:paraId="51EE4B2C" w14:textId="77777777" w:rsidR="00954D06" w:rsidRDefault="00954D06">
            <w:pPr>
              <w:jc w:val="right"/>
              <w:rPr>
                <w:color w:val="000000"/>
                <w:sz w:val="20"/>
                <w:szCs w:val="20"/>
              </w:rPr>
            </w:pPr>
            <w:r>
              <w:rPr>
                <w:color w:val="000000"/>
                <w:sz w:val="20"/>
                <w:szCs w:val="20"/>
              </w:rPr>
              <w:t>0.035</w:t>
            </w:r>
          </w:p>
        </w:tc>
        <w:tc>
          <w:tcPr>
            <w:tcW w:w="820" w:type="dxa"/>
            <w:tcBorders>
              <w:top w:val="nil"/>
              <w:left w:val="nil"/>
              <w:bottom w:val="single" w:sz="12" w:space="0" w:color="auto"/>
              <w:right w:val="nil"/>
            </w:tcBorders>
            <w:shd w:val="clear" w:color="auto" w:fill="auto"/>
            <w:noWrap/>
            <w:vAlign w:val="bottom"/>
            <w:hideMark/>
          </w:tcPr>
          <w:p w14:paraId="3DC6BB17" w14:textId="77777777" w:rsidR="00954D06" w:rsidRDefault="00954D06">
            <w:pPr>
              <w:jc w:val="right"/>
              <w:rPr>
                <w:color w:val="000000"/>
                <w:sz w:val="20"/>
                <w:szCs w:val="20"/>
              </w:rPr>
            </w:pPr>
            <w:r>
              <w:rPr>
                <w:color w:val="000000"/>
                <w:sz w:val="20"/>
                <w:szCs w:val="20"/>
              </w:rPr>
              <w:t>0.296</w:t>
            </w:r>
          </w:p>
        </w:tc>
        <w:tc>
          <w:tcPr>
            <w:tcW w:w="820" w:type="dxa"/>
            <w:tcBorders>
              <w:top w:val="nil"/>
              <w:left w:val="nil"/>
              <w:bottom w:val="single" w:sz="12" w:space="0" w:color="auto"/>
              <w:right w:val="nil"/>
            </w:tcBorders>
            <w:shd w:val="clear" w:color="auto" w:fill="auto"/>
            <w:noWrap/>
            <w:vAlign w:val="bottom"/>
            <w:hideMark/>
          </w:tcPr>
          <w:p w14:paraId="0C042E9C" w14:textId="77777777" w:rsidR="00954D06" w:rsidRDefault="00954D06">
            <w:pPr>
              <w:jc w:val="right"/>
              <w:rPr>
                <w:color w:val="000000"/>
                <w:sz w:val="20"/>
                <w:szCs w:val="20"/>
              </w:rPr>
            </w:pPr>
            <w:r>
              <w:rPr>
                <w:color w:val="000000"/>
                <w:sz w:val="20"/>
                <w:szCs w:val="20"/>
              </w:rPr>
              <w:t>0.001</w:t>
            </w:r>
          </w:p>
        </w:tc>
        <w:tc>
          <w:tcPr>
            <w:tcW w:w="820" w:type="dxa"/>
            <w:tcBorders>
              <w:top w:val="nil"/>
              <w:left w:val="nil"/>
              <w:bottom w:val="single" w:sz="12" w:space="0" w:color="auto"/>
              <w:right w:val="nil"/>
            </w:tcBorders>
            <w:shd w:val="clear" w:color="auto" w:fill="auto"/>
            <w:noWrap/>
            <w:vAlign w:val="bottom"/>
            <w:hideMark/>
          </w:tcPr>
          <w:p w14:paraId="177CD491" w14:textId="77777777" w:rsidR="00954D06" w:rsidRDefault="00954D06">
            <w:pPr>
              <w:jc w:val="right"/>
              <w:rPr>
                <w:color w:val="000000"/>
                <w:sz w:val="20"/>
                <w:szCs w:val="20"/>
              </w:rPr>
            </w:pPr>
            <w:r>
              <w:rPr>
                <w:color w:val="000000"/>
                <w:sz w:val="20"/>
                <w:szCs w:val="20"/>
              </w:rPr>
              <w:t>-0.047</w:t>
            </w:r>
          </w:p>
        </w:tc>
        <w:tc>
          <w:tcPr>
            <w:tcW w:w="820" w:type="dxa"/>
            <w:tcBorders>
              <w:top w:val="nil"/>
              <w:left w:val="nil"/>
              <w:bottom w:val="single" w:sz="12" w:space="0" w:color="auto"/>
              <w:right w:val="nil"/>
            </w:tcBorders>
            <w:shd w:val="clear" w:color="auto" w:fill="auto"/>
            <w:noWrap/>
            <w:vAlign w:val="bottom"/>
            <w:hideMark/>
          </w:tcPr>
          <w:p w14:paraId="2AF37380" w14:textId="77777777" w:rsidR="00954D06" w:rsidRDefault="00954D06">
            <w:pPr>
              <w:jc w:val="right"/>
              <w:rPr>
                <w:color w:val="000000"/>
                <w:sz w:val="20"/>
                <w:szCs w:val="20"/>
              </w:rPr>
            </w:pPr>
            <w:r>
              <w:rPr>
                <w:color w:val="000000"/>
                <w:sz w:val="20"/>
                <w:szCs w:val="20"/>
              </w:rPr>
              <w:t>0.215</w:t>
            </w:r>
          </w:p>
        </w:tc>
        <w:tc>
          <w:tcPr>
            <w:tcW w:w="820" w:type="dxa"/>
            <w:tcBorders>
              <w:top w:val="nil"/>
              <w:left w:val="nil"/>
              <w:bottom w:val="single" w:sz="12" w:space="0" w:color="auto"/>
              <w:right w:val="nil"/>
            </w:tcBorders>
            <w:shd w:val="clear" w:color="auto" w:fill="auto"/>
            <w:noWrap/>
            <w:vAlign w:val="bottom"/>
            <w:hideMark/>
          </w:tcPr>
          <w:p w14:paraId="58A2D183" w14:textId="77777777" w:rsidR="00954D06" w:rsidRDefault="00954D06">
            <w:pPr>
              <w:jc w:val="right"/>
              <w:rPr>
                <w:color w:val="000000"/>
                <w:sz w:val="20"/>
                <w:szCs w:val="20"/>
              </w:rPr>
            </w:pPr>
            <w:r>
              <w:rPr>
                <w:color w:val="000000"/>
                <w:sz w:val="20"/>
                <w:szCs w:val="20"/>
              </w:rPr>
              <w:t>0.002</w:t>
            </w:r>
          </w:p>
        </w:tc>
      </w:tr>
      <w:tr w:rsidR="00954D06" w14:paraId="3479FC6D" w14:textId="77777777" w:rsidTr="00EE0A4C">
        <w:trPr>
          <w:trHeight w:val="320"/>
        </w:trPr>
        <w:tc>
          <w:tcPr>
            <w:tcW w:w="1152" w:type="dxa"/>
            <w:tcBorders>
              <w:top w:val="single" w:sz="12" w:space="0" w:color="auto"/>
              <w:left w:val="nil"/>
              <w:bottom w:val="nil"/>
              <w:right w:val="nil"/>
            </w:tcBorders>
            <w:shd w:val="clear" w:color="auto" w:fill="auto"/>
            <w:noWrap/>
            <w:vAlign w:val="bottom"/>
            <w:hideMark/>
          </w:tcPr>
          <w:p w14:paraId="039F9204" w14:textId="77777777" w:rsidR="00954D06" w:rsidRDefault="00954D06">
            <w:pPr>
              <w:jc w:val="right"/>
              <w:rPr>
                <w:color w:val="000000"/>
                <w:sz w:val="20"/>
                <w:szCs w:val="20"/>
              </w:rPr>
            </w:pPr>
          </w:p>
        </w:tc>
        <w:tc>
          <w:tcPr>
            <w:tcW w:w="1027" w:type="dxa"/>
            <w:tcBorders>
              <w:top w:val="single" w:sz="12" w:space="0" w:color="auto"/>
              <w:left w:val="nil"/>
              <w:bottom w:val="nil"/>
              <w:right w:val="nil"/>
            </w:tcBorders>
            <w:shd w:val="clear" w:color="auto" w:fill="auto"/>
            <w:noWrap/>
            <w:vAlign w:val="bottom"/>
            <w:hideMark/>
          </w:tcPr>
          <w:p w14:paraId="1BB15655"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7D49BB2A"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109E349E"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0555CB4"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05D22DED"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6B3889FA"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73123474"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1C733111"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0A2E1473"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4D326E4"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5387CB9F"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1B9B87F4"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38BB526A"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05557DE2"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3BCB049E" w14:textId="77777777" w:rsidR="00954D06" w:rsidRDefault="00954D06">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767D001B" w14:textId="77777777" w:rsidR="00954D06" w:rsidRDefault="00954D06">
            <w:pPr>
              <w:rPr>
                <w:sz w:val="20"/>
                <w:szCs w:val="20"/>
              </w:rPr>
            </w:pPr>
          </w:p>
        </w:tc>
      </w:tr>
    </w:tbl>
    <w:p w14:paraId="629A8FB3" w14:textId="641D71E8" w:rsidR="001A0D61" w:rsidRDefault="001A0D61">
      <w:pPr>
        <w:rPr>
          <w:color w:val="000000" w:themeColor="text1"/>
        </w:rPr>
      </w:pPr>
    </w:p>
    <w:p w14:paraId="41E787E6" w14:textId="77777777" w:rsidR="0078540D" w:rsidRDefault="0078540D">
      <w:pPr>
        <w:rPr>
          <w:rFonts w:eastAsiaTheme="majorEastAsia"/>
          <w:b/>
          <w:bCs/>
          <w:color w:val="000000" w:themeColor="text1"/>
        </w:rPr>
      </w:pPr>
      <w:r>
        <w:rPr>
          <w:b/>
          <w:bCs/>
          <w:color w:val="000000" w:themeColor="text1"/>
        </w:rPr>
        <w:br w:type="page"/>
      </w:r>
    </w:p>
    <w:p w14:paraId="6F8F3779" w14:textId="37D65186" w:rsidR="00222ADD" w:rsidRDefault="00432B71" w:rsidP="00AF66C0">
      <w:pPr>
        <w:pStyle w:val="Heading1"/>
        <w:rPr>
          <w:rFonts w:ascii="Times New Roman" w:hAnsi="Times New Roman" w:cs="Times New Roman"/>
          <w:color w:val="000000" w:themeColor="text1"/>
          <w:sz w:val="24"/>
          <w:szCs w:val="24"/>
        </w:rPr>
      </w:pPr>
      <w:bookmarkStart w:id="52" w:name="_Toc155817719"/>
      <w:r>
        <w:rPr>
          <w:rFonts w:ascii="Times New Roman" w:hAnsi="Times New Roman" w:cs="Times New Roman"/>
          <w:b/>
          <w:bCs/>
          <w:color w:val="000000" w:themeColor="text1"/>
          <w:sz w:val="24"/>
          <w:szCs w:val="24"/>
        </w:rPr>
        <w:lastRenderedPageBreak/>
        <w:t xml:space="preserve">Table </w:t>
      </w:r>
      <w:r w:rsidR="00AF66C0">
        <w:rPr>
          <w:rFonts w:ascii="Times New Roman" w:hAnsi="Times New Roman" w:cs="Times New Roman"/>
          <w:b/>
          <w:bCs/>
          <w:color w:val="000000" w:themeColor="text1"/>
          <w:sz w:val="24"/>
          <w:szCs w:val="24"/>
        </w:rPr>
        <w:t>21a</w:t>
      </w:r>
      <w:r w:rsidR="00AF66C0" w:rsidRPr="009E2A20">
        <w:rPr>
          <w:rFonts w:ascii="Times New Roman" w:hAnsi="Times New Roman" w:cs="Times New Roman"/>
          <w:b/>
          <w:bCs/>
          <w:color w:val="000000" w:themeColor="text1"/>
          <w:sz w:val="24"/>
          <w:szCs w:val="24"/>
        </w:rPr>
        <w:t xml:space="preserve">. </w:t>
      </w:r>
      <w:r w:rsidR="00AF66C0"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w:t>
      </w:r>
      <w:r w:rsidR="002124D4">
        <w:rPr>
          <w:rFonts w:ascii="Times New Roman" w:hAnsi="Times New Roman" w:cs="Times New Roman"/>
          <w:color w:val="000000" w:themeColor="text1"/>
          <w:sz w:val="24"/>
          <w:szCs w:val="24"/>
        </w:rPr>
        <w:t>average shortest path</w:t>
      </w:r>
      <w:r w:rsidR="00AF66C0" w:rsidRPr="009E2A20">
        <w:rPr>
          <w:rFonts w:ascii="Times New Roman" w:hAnsi="Times New Roman" w:cs="Times New Roman"/>
          <w:color w:val="000000" w:themeColor="text1"/>
          <w:sz w:val="24"/>
          <w:szCs w:val="24"/>
        </w:rPr>
        <w:t xml:space="preserve"> during rest</w:t>
      </w:r>
      <w:r w:rsidR="003F1D2C">
        <w:rPr>
          <w:rFonts w:ascii="Times New Roman" w:hAnsi="Times New Roman" w:cs="Times New Roman"/>
          <w:color w:val="000000" w:themeColor="text1"/>
          <w:sz w:val="24"/>
          <w:szCs w:val="24"/>
        </w:rPr>
        <w:t xml:space="preserve"> controlling for medication</w:t>
      </w:r>
      <w:bookmarkEnd w:id="52"/>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78540D" w14:paraId="29C562E5"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16BA0318" w14:textId="77777777" w:rsidR="0078540D" w:rsidRDefault="0078540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bottom"/>
            <w:hideMark/>
          </w:tcPr>
          <w:p w14:paraId="79157267" w14:textId="77777777" w:rsidR="0078540D" w:rsidRDefault="0078540D">
            <w:pPr>
              <w:rPr>
                <w:color w:val="000000"/>
                <w:sz w:val="20"/>
                <w:szCs w:val="20"/>
              </w:rPr>
            </w:pPr>
            <w:r>
              <w:rPr>
                <w:color w:val="000000"/>
                <w:sz w:val="20"/>
                <w:szCs w:val="20"/>
              </w:rPr>
              <w:t> </w:t>
            </w:r>
          </w:p>
        </w:tc>
        <w:tc>
          <w:tcPr>
            <w:tcW w:w="767" w:type="dxa"/>
            <w:tcBorders>
              <w:top w:val="nil"/>
              <w:left w:val="nil"/>
              <w:bottom w:val="single" w:sz="12" w:space="0" w:color="auto"/>
              <w:right w:val="nil"/>
            </w:tcBorders>
            <w:shd w:val="clear" w:color="auto" w:fill="auto"/>
            <w:noWrap/>
            <w:vAlign w:val="bottom"/>
            <w:hideMark/>
          </w:tcPr>
          <w:p w14:paraId="46D2CC95" w14:textId="77777777" w:rsidR="0078540D" w:rsidRDefault="0078540D">
            <w:pPr>
              <w:rPr>
                <w:color w:val="000000"/>
                <w:sz w:val="20"/>
                <w:szCs w:val="20"/>
              </w:rPr>
            </w:pPr>
          </w:p>
        </w:tc>
        <w:tc>
          <w:tcPr>
            <w:tcW w:w="768" w:type="dxa"/>
            <w:tcBorders>
              <w:top w:val="nil"/>
              <w:left w:val="nil"/>
              <w:bottom w:val="single" w:sz="12" w:space="0" w:color="auto"/>
              <w:right w:val="nil"/>
            </w:tcBorders>
            <w:shd w:val="clear" w:color="auto" w:fill="auto"/>
            <w:noWrap/>
            <w:vAlign w:val="bottom"/>
            <w:hideMark/>
          </w:tcPr>
          <w:p w14:paraId="1FFF5103"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0D3B49C"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4C49A50"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560E081"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0918F00"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B27E08B"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3DE23C4"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C0EE5EE"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2979921"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CDA4D45"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DD33871"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B2921F1" w14:textId="77777777" w:rsidR="0078540D" w:rsidRDefault="0078540D">
            <w:pPr>
              <w:rPr>
                <w:color w:val="000000"/>
                <w:sz w:val="20"/>
                <w:szCs w:val="20"/>
              </w:rPr>
            </w:pPr>
            <w:r>
              <w:rPr>
                <w:color w:val="000000"/>
                <w:sz w:val="20"/>
                <w:szCs w:val="20"/>
              </w:rPr>
              <w:t> </w:t>
            </w:r>
          </w:p>
        </w:tc>
        <w:tc>
          <w:tcPr>
            <w:tcW w:w="768" w:type="dxa"/>
            <w:tcBorders>
              <w:top w:val="nil"/>
              <w:left w:val="nil"/>
              <w:bottom w:val="single" w:sz="12" w:space="0" w:color="auto"/>
              <w:right w:val="nil"/>
            </w:tcBorders>
            <w:shd w:val="clear" w:color="auto" w:fill="auto"/>
            <w:noWrap/>
            <w:vAlign w:val="bottom"/>
            <w:hideMark/>
          </w:tcPr>
          <w:p w14:paraId="4407DAB1" w14:textId="77777777" w:rsidR="0078540D" w:rsidRDefault="0078540D">
            <w:pPr>
              <w:rPr>
                <w:color w:val="000000"/>
                <w:sz w:val="20"/>
                <w:szCs w:val="20"/>
              </w:rPr>
            </w:pPr>
            <w:r>
              <w:rPr>
                <w:color w:val="000000"/>
                <w:sz w:val="20"/>
                <w:szCs w:val="20"/>
              </w:rPr>
              <w:t> </w:t>
            </w:r>
          </w:p>
        </w:tc>
        <w:tc>
          <w:tcPr>
            <w:tcW w:w="768" w:type="dxa"/>
            <w:tcBorders>
              <w:top w:val="nil"/>
              <w:left w:val="nil"/>
              <w:bottom w:val="single" w:sz="12" w:space="0" w:color="auto"/>
              <w:right w:val="nil"/>
            </w:tcBorders>
            <w:shd w:val="clear" w:color="auto" w:fill="auto"/>
            <w:noWrap/>
            <w:vAlign w:val="bottom"/>
            <w:hideMark/>
          </w:tcPr>
          <w:p w14:paraId="7C5D7E5B" w14:textId="77777777" w:rsidR="0078540D" w:rsidRDefault="0078540D">
            <w:pPr>
              <w:rPr>
                <w:color w:val="000000"/>
                <w:sz w:val="20"/>
                <w:szCs w:val="20"/>
              </w:rPr>
            </w:pPr>
            <w:r>
              <w:rPr>
                <w:color w:val="000000"/>
                <w:sz w:val="20"/>
                <w:szCs w:val="20"/>
              </w:rPr>
              <w:t> </w:t>
            </w:r>
          </w:p>
        </w:tc>
      </w:tr>
      <w:tr w:rsidR="0078540D" w14:paraId="78948CAA" w14:textId="77777777" w:rsidTr="00EE0A4C">
        <w:trPr>
          <w:trHeight w:val="340"/>
        </w:trPr>
        <w:tc>
          <w:tcPr>
            <w:tcW w:w="1176" w:type="dxa"/>
            <w:tcBorders>
              <w:top w:val="single" w:sz="12" w:space="0" w:color="auto"/>
              <w:left w:val="nil"/>
              <w:bottom w:val="nil"/>
              <w:right w:val="nil"/>
            </w:tcBorders>
            <w:shd w:val="clear" w:color="auto" w:fill="auto"/>
            <w:noWrap/>
            <w:vAlign w:val="bottom"/>
            <w:hideMark/>
          </w:tcPr>
          <w:p w14:paraId="146FAC28" w14:textId="77777777" w:rsidR="0078540D" w:rsidRDefault="0078540D">
            <w:pPr>
              <w:rPr>
                <w:color w:val="000000"/>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1B2C4084" w14:textId="77777777" w:rsidR="0078540D" w:rsidRDefault="0078540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0BB3D475" w14:textId="77777777" w:rsidR="0078540D" w:rsidRDefault="0078540D">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CEA5171" w14:textId="77777777" w:rsidR="0078540D" w:rsidRDefault="0078540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44313BA" w14:textId="77777777" w:rsidR="0078540D" w:rsidRDefault="0078540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C587878" w14:textId="77777777" w:rsidR="0078540D" w:rsidRDefault="0078540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191292C0" w14:textId="77777777" w:rsidR="0078540D" w:rsidRDefault="0078540D">
            <w:pPr>
              <w:jc w:val="center"/>
              <w:rPr>
                <w:color w:val="000000"/>
                <w:sz w:val="20"/>
                <w:szCs w:val="20"/>
              </w:rPr>
            </w:pPr>
            <w:r>
              <w:rPr>
                <w:color w:val="000000"/>
                <w:sz w:val="20"/>
                <w:szCs w:val="20"/>
              </w:rPr>
              <w:t>Urbanicity</w:t>
            </w:r>
          </w:p>
        </w:tc>
      </w:tr>
      <w:tr w:rsidR="0078540D" w14:paraId="7361B5DC" w14:textId="77777777" w:rsidTr="00EE0A4C">
        <w:trPr>
          <w:trHeight w:val="360"/>
        </w:trPr>
        <w:tc>
          <w:tcPr>
            <w:tcW w:w="1176" w:type="dxa"/>
            <w:tcBorders>
              <w:top w:val="nil"/>
              <w:left w:val="nil"/>
              <w:bottom w:val="single" w:sz="12" w:space="0" w:color="auto"/>
              <w:right w:val="nil"/>
            </w:tcBorders>
            <w:shd w:val="clear" w:color="auto" w:fill="auto"/>
            <w:noWrap/>
            <w:vAlign w:val="bottom"/>
            <w:hideMark/>
          </w:tcPr>
          <w:p w14:paraId="75E54972" w14:textId="77777777" w:rsidR="0078540D" w:rsidRDefault="0078540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783F85A2" w14:textId="77777777" w:rsidR="0078540D" w:rsidRDefault="0078540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37F6955B" w14:textId="77777777" w:rsidR="0078540D" w:rsidRDefault="0078540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9CCA77E"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B4241AD" w14:textId="77777777" w:rsidR="0078540D" w:rsidRDefault="0078540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07DE4678" w14:textId="77777777" w:rsidR="0078540D" w:rsidRDefault="0078540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5421B0B"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41470B5" w14:textId="77777777" w:rsidR="0078540D" w:rsidRDefault="0078540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1F347F09" w14:textId="77777777" w:rsidR="0078540D" w:rsidRDefault="0078540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BFA4759"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B8FFB53" w14:textId="77777777" w:rsidR="0078540D" w:rsidRDefault="0078540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2DA95866" w14:textId="77777777" w:rsidR="0078540D" w:rsidRDefault="0078540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4B11233"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81423DE" w14:textId="77777777" w:rsidR="0078540D" w:rsidRDefault="0078540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27B0C05C" w14:textId="77777777" w:rsidR="0078540D" w:rsidRDefault="0078540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2D0528D"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bottom"/>
            <w:hideMark/>
          </w:tcPr>
          <w:p w14:paraId="4CFBCFDA" w14:textId="77777777" w:rsidR="0078540D" w:rsidRDefault="0078540D">
            <w:pPr>
              <w:jc w:val="center"/>
              <w:rPr>
                <w:i/>
                <w:iCs/>
                <w:color w:val="000000"/>
                <w:sz w:val="20"/>
                <w:szCs w:val="20"/>
              </w:rPr>
            </w:pPr>
            <w:r>
              <w:rPr>
                <w:i/>
                <w:iCs/>
                <w:color w:val="000000"/>
                <w:sz w:val="20"/>
                <w:szCs w:val="20"/>
              </w:rPr>
              <w:t>R2</w:t>
            </w:r>
          </w:p>
        </w:tc>
      </w:tr>
      <w:tr w:rsidR="0078540D" w14:paraId="52577623"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068AA6B2" w14:textId="77777777" w:rsidR="0078540D" w:rsidRDefault="0078540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1029B230" w14:textId="77777777" w:rsidR="0078540D" w:rsidRDefault="0078540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2AA5A5C5" w14:textId="77777777" w:rsidR="0078540D" w:rsidRDefault="0078540D">
            <w:pPr>
              <w:jc w:val="right"/>
              <w:rPr>
                <w:color w:val="000000"/>
                <w:sz w:val="20"/>
                <w:szCs w:val="20"/>
              </w:rPr>
            </w:pPr>
            <w:r>
              <w:rPr>
                <w:color w:val="000000"/>
                <w:sz w:val="20"/>
                <w:szCs w:val="20"/>
              </w:rPr>
              <w:t>0.061</w:t>
            </w:r>
          </w:p>
        </w:tc>
        <w:tc>
          <w:tcPr>
            <w:tcW w:w="768" w:type="dxa"/>
            <w:tcBorders>
              <w:top w:val="single" w:sz="12" w:space="0" w:color="auto"/>
              <w:left w:val="nil"/>
              <w:bottom w:val="nil"/>
              <w:right w:val="nil"/>
            </w:tcBorders>
            <w:shd w:val="clear" w:color="auto" w:fill="auto"/>
            <w:noWrap/>
            <w:vAlign w:val="bottom"/>
            <w:hideMark/>
          </w:tcPr>
          <w:p w14:paraId="2FD5313D" w14:textId="77777777" w:rsidR="0078540D" w:rsidRDefault="0078540D">
            <w:pPr>
              <w:jc w:val="right"/>
              <w:rPr>
                <w:color w:val="000000"/>
                <w:sz w:val="20"/>
                <w:szCs w:val="20"/>
              </w:rPr>
            </w:pPr>
            <w:r>
              <w:rPr>
                <w:color w:val="000000"/>
                <w:sz w:val="20"/>
                <w:szCs w:val="20"/>
              </w:rPr>
              <w:t>0.076</w:t>
            </w:r>
          </w:p>
        </w:tc>
        <w:tc>
          <w:tcPr>
            <w:tcW w:w="768" w:type="dxa"/>
            <w:tcBorders>
              <w:top w:val="single" w:sz="12" w:space="0" w:color="auto"/>
              <w:left w:val="nil"/>
              <w:bottom w:val="nil"/>
              <w:right w:val="nil"/>
            </w:tcBorders>
            <w:shd w:val="clear" w:color="auto" w:fill="auto"/>
            <w:noWrap/>
            <w:vAlign w:val="bottom"/>
            <w:hideMark/>
          </w:tcPr>
          <w:p w14:paraId="20CEAD41" w14:textId="77777777" w:rsidR="0078540D" w:rsidRDefault="0078540D">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33D96404" w14:textId="77777777" w:rsidR="0078540D" w:rsidRDefault="0078540D">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35DEB948" w14:textId="77777777" w:rsidR="0078540D" w:rsidRDefault="0078540D">
            <w:pPr>
              <w:jc w:val="right"/>
              <w:rPr>
                <w:color w:val="000000"/>
                <w:sz w:val="20"/>
                <w:szCs w:val="20"/>
              </w:rPr>
            </w:pPr>
            <w:r>
              <w:rPr>
                <w:color w:val="000000"/>
                <w:sz w:val="20"/>
                <w:szCs w:val="20"/>
              </w:rPr>
              <w:t>0.721</w:t>
            </w:r>
          </w:p>
        </w:tc>
        <w:tc>
          <w:tcPr>
            <w:tcW w:w="768" w:type="dxa"/>
            <w:tcBorders>
              <w:top w:val="single" w:sz="12" w:space="0" w:color="auto"/>
              <w:left w:val="nil"/>
              <w:bottom w:val="nil"/>
              <w:right w:val="nil"/>
            </w:tcBorders>
            <w:shd w:val="clear" w:color="auto" w:fill="auto"/>
            <w:noWrap/>
            <w:vAlign w:val="bottom"/>
            <w:hideMark/>
          </w:tcPr>
          <w:p w14:paraId="3C76D21A" w14:textId="77777777" w:rsidR="0078540D" w:rsidRDefault="0078540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5670C35" w14:textId="77777777" w:rsidR="0078540D" w:rsidRDefault="0078540D">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4D4C2226" w14:textId="77777777" w:rsidR="0078540D" w:rsidRDefault="0078540D">
            <w:pPr>
              <w:jc w:val="right"/>
              <w:rPr>
                <w:color w:val="000000"/>
                <w:sz w:val="20"/>
                <w:szCs w:val="20"/>
              </w:rPr>
            </w:pPr>
            <w:r>
              <w:rPr>
                <w:color w:val="000000"/>
                <w:sz w:val="20"/>
                <w:szCs w:val="20"/>
              </w:rPr>
              <w:t>0.760</w:t>
            </w:r>
          </w:p>
        </w:tc>
        <w:tc>
          <w:tcPr>
            <w:tcW w:w="768" w:type="dxa"/>
            <w:tcBorders>
              <w:top w:val="single" w:sz="12" w:space="0" w:color="auto"/>
              <w:left w:val="nil"/>
              <w:bottom w:val="nil"/>
              <w:right w:val="nil"/>
            </w:tcBorders>
            <w:shd w:val="clear" w:color="auto" w:fill="auto"/>
            <w:noWrap/>
            <w:vAlign w:val="bottom"/>
            <w:hideMark/>
          </w:tcPr>
          <w:p w14:paraId="7CC6DDEC" w14:textId="77777777" w:rsidR="0078540D" w:rsidRDefault="0078540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43CA9EE" w14:textId="77777777" w:rsidR="0078540D" w:rsidRDefault="0078540D">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565011C3" w14:textId="77777777" w:rsidR="0078540D" w:rsidRDefault="0078540D">
            <w:pPr>
              <w:jc w:val="right"/>
              <w:rPr>
                <w:color w:val="000000"/>
                <w:sz w:val="20"/>
                <w:szCs w:val="20"/>
              </w:rPr>
            </w:pPr>
            <w:r>
              <w:rPr>
                <w:color w:val="000000"/>
                <w:sz w:val="20"/>
                <w:szCs w:val="20"/>
              </w:rPr>
              <w:t>0.971</w:t>
            </w:r>
          </w:p>
        </w:tc>
        <w:tc>
          <w:tcPr>
            <w:tcW w:w="768" w:type="dxa"/>
            <w:tcBorders>
              <w:top w:val="single" w:sz="12" w:space="0" w:color="auto"/>
              <w:left w:val="nil"/>
              <w:bottom w:val="nil"/>
              <w:right w:val="nil"/>
            </w:tcBorders>
            <w:shd w:val="clear" w:color="auto" w:fill="auto"/>
            <w:noWrap/>
            <w:vAlign w:val="bottom"/>
            <w:hideMark/>
          </w:tcPr>
          <w:p w14:paraId="58C63AE2" w14:textId="77777777" w:rsidR="0078540D" w:rsidRDefault="0078540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7CDD029" w14:textId="77777777" w:rsidR="0078540D" w:rsidRDefault="0078540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DB7897D" w14:textId="77777777" w:rsidR="0078540D" w:rsidRDefault="0078540D">
            <w:pPr>
              <w:jc w:val="right"/>
              <w:rPr>
                <w:color w:val="000000"/>
                <w:sz w:val="20"/>
                <w:szCs w:val="20"/>
              </w:rPr>
            </w:pPr>
            <w:r>
              <w:rPr>
                <w:color w:val="000000"/>
                <w:sz w:val="20"/>
                <w:szCs w:val="20"/>
              </w:rPr>
              <w:t>0.988</w:t>
            </w:r>
          </w:p>
        </w:tc>
        <w:tc>
          <w:tcPr>
            <w:tcW w:w="768" w:type="dxa"/>
            <w:tcBorders>
              <w:top w:val="single" w:sz="12" w:space="0" w:color="auto"/>
              <w:left w:val="nil"/>
              <w:bottom w:val="nil"/>
              <w:right w:val="nil"/>
            </w:tcBorders>
            <w:shd w:val="clear" w:color="auto" w:fill="auto"/>
            <w:noWrap/>
            <w:vAlign w:val="bottom"/>
            <w:hideMark/>
          </w:tcPr>
          <w:p w14:paraId="45225D06" w14:textId="77777777" w:rsidR="0078540D" w:rsidRDefault="0078540D">
            <w:pPr>
              <w:jc w:val="right"/>
              <w:rPr>
                <w:color w:val="000000"/>
                <w:sz w:val="20"/>
                <w:szCs w:val="20"/>
              </w:rPr>
            </w:pPr>
            <w:r>
              <w:rPr>
                <w:color w:val="000000"/>
                <w:sz w:val="20"/>
                <w:szCs w:val="20"/>
              </w:rPr>
              <w:t>0.000</w:t>
            </w:r>
          </w:p>
        </w:tc>
      </w:tr>
      <w:tr w:rsidR="0078540D" w14:paraId="1A12EC76" w14:textId="77777777" w:rsidTr="0078540D">
        <w:trPr>
          <w:trHeight w:val="340"/>
        </w:trPr>
        <w:tc>
          <w:tcPr>
            <w:tcW w:w="1176" w:type="dxa"/>
            <w:tcBorders>
              <w:top w:val="nil"/>
              <w:left w:val="nil"/>
              <w:bottom w:val="nil"/>
              <w:right w:val="nil"/>
            </w:tcBorders>
            <w:shd w:val="clear" w:color="auto" w:fill="auto"/>
            <w:noWrap/>
            <w:vAlign w:val="bottom"/>
            <w:hideMark/>
          </w:tcPr>
          <w:p w14:paraId="005BF715"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322965A" w14:textId="77777777" w:rsidR="0078540D" w:rsidRDefault="0078540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0EEDD9A" w14:textId="77777777" w:rsidR="0078540D" w:rsidRDefault="0078540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26B83C2E" w14:textId="77777777" w:rsidR="0078540D" w:rsidRDefault="0078540D">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04E98562"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DAEBDD2"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03B4E421" w14:textId="77777777" w:rsidR="0078540D" w:rsidRDefault="0078540D">
            <w:pPr>
              <w:jc w:val="right"/>
              <w:rPr>
                <w:color w:val="000000"/>
                <w:sz w:val="20"/>
                <w:szCs w:val="20"/>
              </w:rPr>
            </w:pPr>
            <w:r>
              <w:rPr>
                <w:color w:val="000000"/>
                <w:sz w:val="20"/>
                <w:szCs w:val="20"/>
              </w:rPr>
              <w:t>0.721</w:t>
            </w:r>
          </w:p>
        </w:tc>
        <w:tc>
          <w:tcPr>
            <w:tcW w:w="768" w:type="dxa"/>
            <w:tcBorders>
              <w:top w:val="nil"/>
              <w:left w:val="nil"/>
              <w:bottom w:val="nil"/>
              <w:right w:val="nil"/>
            </w:tcBorders>
            <w:shd w:val="clear" w:color="auto" w:fill="auto"/>
            <w:noWrap/>
            <w:vAlign w:val="bottom"/>
            <w:hideMark/>
          </w:tcPr>
          <w:p w14:paraId="4DA07A5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831A5A"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096BCFE" w14:textId="77777777" w:rsidR="0078540D" w:rsidRDefault="0078540D">
            <w:pPr>
              <w:jc w:val="right"/>
              <w:rPr>
                <w:color w:val="000000"/>
                <w:sz w:val="20"/>
                <w:szCs w:val="20"/>
              </w:rPr>
            </w:pPr>
            <w:r>
              <w:rPr>
                <w:color w:val="000000"/>
                <w:sz w:val="20"/>
                <w:szCs w:val="20"/>
              </w:rPr>
              <w:t>0.515</w:t>
            </w:r>
          </w:p>
        </w:tc>
        <w:tc>
          <w:tcPr>
            <w:tcW w:w="768" w:type="dxa"/>
            <w:tcBorders>
              <w:top w:val="nil"/>
              <w:left w:val="nil"/>
              <w:bottom w:val="nil"/>
              <w:right w:val="nil"/>
            </w:tcBorders>
            <w:shd w:val="clear" w:color="auto" w:fill="auto"/>
            <w:noWrap/>
            <w:vAlign w:val="bottom"/>
            <w:hideMark/>
          </w:tcPr>
          <w:p w14:paraId="11DD555C"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3207246" w14:textId="77777777" w:rsidR="0078540D" w:rsidRDefault="0078540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3ECCEF0D" w14:textId="77777777" w:rsidR="0078540D" w:rsidRDefault="0078540D">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56FB96DE"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D7B7FD" w14:textId="77777777" w:rsidR="0078540D" w:rsidRDefault="0078540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ABA299E" w14:textId="77777777" w:rsidR="0078540D" w:rsidRDefault="0078540D">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62DB81E4" w14:textId="77777777" w:rsidR="0078540D" w:rsidRDefault="0078540D">
            <w:pPr>
              <w:jc w:val="right"/>
              <w:rPr>
                <w:color w:val="000000"/>
                <w:sz w:val="20"/>
                <w:szCs w:val="20"/>
              </w:rPr>
            </w:pPr>
            <w:r>
              <w:rPr>
                <w:color w:val="000000"/>
                <w:sz w:val="20"/>
                <w:szCs w:val="20"/>
              </w:rPr>
              <w:t>0.000</w:t>
            </w:r>
          </w:p>
        </w:tc>
      </w:tr>
      <w:tr w:rsidR="0078540D" w14:paraId="74C18A0E" w14:textId="77777777" w:rsidTr="0078540D">
        <w:trPr>
          <w:trHeight w:val="320"/>
        </w:trPr>
        <w:tc>
          <w:tcPr>
            <w:tcW w:w="1176" w:type="dxa"/>
            <w:tcBorders>
              <w:top w:val="nil"/>
              <w:left w:val="nil"/>
              <w:bottom w:val="nil"/>
              <w:right w:val="nil"/>
            </w:tcBorders>
            <w:shd w:val="clear" w:color="auto" w:fill="auto"/>
            <w:noWrap/>
            <w:vAlign w:val="bottom"/>
            <w:hideMark/>
          </w:tcPr>
          <w:p w14:paraId="63061C2B"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C738B63" w14:textId="77777777" w:rsidR="0078540D" w:rsidRDefault="0078540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7B75923"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FE37D70" w14:textId="77777777" w:rsidR="0078540D" w:rsidRDefault="0078540D">
            <w:pPr>
              <w:jc w:val="right"/>
              <w:rPr>
                <w:color w:val="000000"/>
                <w:sz w:val="20"/>
                <w:szCs w:val="20"/>
              </w:rPr>
            </w:pPr>
            <w:r>
              <w:rPr>
                <w:color w:val="000000"/>
                <w:sz w:val="20"/>
                <w:szCs w:val="20"/>
              </w:rPr>
              <w:t>0.706</w:t>
            </w:r>
          </w:p>
        </w:tc>
        <w:tc>
          <w:tcPr>
            <w:tcW w:w="768" w:type="dxa"/>
            <w:tcBorders>
              <w:top w:val="nil"/>
              <w:left w:val="nil"/>
              <w:bottom w:val="nil"/>
              <w:right w:val="nil"/>
            </w:tcBorders>
            <w:shd w:val="clear" w:color="auto" w:fill="auto"/>
            <w:noWrap/>
            <w:vAlign w:val="bottom"/>
            <w:hideMark/>
          </w:tcPr>
          <w:p w14:paraId="655016E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8BF80F" w14:textId="77777777" w:rsidR="0078540D" w:rsidRDefault="0078540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0B82441" w14:textId="77777777" w:rsidR="0078540D" w:rsidRDefault="0078540D">
            <w:pPr>
              <w:jc w:val="right"/>
              <w:rPr>
                <w:color w:val="000000"/>
                <w:sz w:val="20"/>
                <w:szCs w:val="20"/>
              </w:rPr>
            </w:pPr>
            <w:r>
              <w:rPr>
                <w:color w:val="000000"/>
                <w:sz w:val="20"/>
                <w:szCs w:val="20"/>
              </w:rPr>
              <w:t>0.721</w:t>
            </w:r>
          </w:p>
        </w:tc>
        <w:tc>
          <w:tcPr>
            <w:tcW w:w="768" w:type="dxa"/>
            <w:tcBorders>
              <w:top w:val="nil"/>
              <w:left w:val="nil"/>
              <w:bottom w:val="nil"/>
              <w:right w:val="nil"/>
            </w:tcBorders>
            <w:shd w:val="clear" w:color="auto" w:fill="auto"/>
            <w:noWrap/>
            <w:vAlign w:val="bottom"/>
            <w:hideMark/>
          </w:tcPr>
          <w:p w14:paraId="23538C0F"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730E900" w14:textId="77777777" w:rsidR="0078540D" w:rsidRDefault="0078540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0A677EC5" w14:textId="77777777" w:rsidR="0078540D" w:rsidRDefault="0078540D">
            <w:pPr>
              <w:jc w:val="right"/>
              <w:rPr>
                <w:color w:val="000000"/>
                <w:sz w:val="20"/>
                <w:szCs w:val="20"/>
              </w:rPr>
            </w:pPr>
            <w:r>
              <w:rPr>
                <w:color w:val="000000"/>
                <w:sz w:val="20"/>
                <w:szCs w:val="20"/>
              </w:rPr>
              <w:t>0.515</w:t>
            </w:r>
          </w:p>
        </w:tc>
        <w:tc>
          <w:tcPr>
            <w:tcW w:w="768" w:type="dxa"/>
            <w:tcBorders>
              <w:top w:val="nil"/>
              <w:left w:val="nil"/>
              <w:bottom w:val="nil"/>
              <w:right w:val="nil"/>
            </w:tcBorders>
            <w:shd w:val="clear" w:color="auto" w:fill="auto"/>
            <w:noWrap/>
            <w:vAlign w:val="bottom"/>
            <w:hideMark/>
          </w:tcPr>
          <w:p w14:paraId="3F76EFE8"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0DE74CB"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1335D9A" w14:textId="77777777" w:rsidR="0078540D" w:rsidRDefault="0078540D">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2A9A85DC"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0E0325"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59B6698" w14:textId="77777777" w:rsidR="0078540D" w:rsidRDefault="0078540D">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35BB7D45" w14:textId="77777777" w:rsidR="0078540D" w:rsidRDefault="0078540D">
            <w:pPr>
              <w:jc w:val="right"/>
              <w:rPr>
                <w:color w:val="000000"/>
                <w:sz w:val="20"/>
                <w:szCs w:val="20"/>
              </w:rPr>
            </w:pPr>
            <w:r>
              <w:rPr>
                <w:color w:val="000000"/>
                <w:sz w:val="20"/>
                <w:szCs w:val="20"/>
              </w:rPr>
              <w:t>0.000</w:t>
            </w:r>
          </w:p>
        </w:tc>
      </w:tr>
      <w:tr w:rsidR="0078540D" w14:paraId="4F17DEA2" w14:textId="77777777" w:rsidTr="0078540D">
        <w:trPr>
          <w:trHeight w:val="320"/>
        </w:trPr>
        <w:tc>
          <w:tcPr>
            <w:tcW w:w="1176" w:type="dxa"/>
            <w:tcBorders>
              <w:top w:val="nil"/>
              <w:left w:val="nil"/>
              <w:bottom w:val="nil"/>
              <w:right w:val="nil"/>
            </w:tcBorders>
            <w:shd w:val="clear" w:color="auto" w:fill="auto"/>
            <w:noWrap/>
            <w:vAlign w:val="bottom"/>
            <w:hideMark/>
          </w:tcPr>
          <w:p w14:paraId="3FDA3645"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60C038" w14:textId="77777777" w:rsidR="0078540D" w:rsidRDefault="0078540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7BB054D"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CC73677" w14:textId="77777777" w:rsidR="0078540D" w:rsidRDefault="0078540D">
            <w:pPr>
              <w:jc w:val="right"/>
              <w:rPr>
                <w:color w:val="000000"/>
                <w:sz w:val="20"/>
                <w:szCs w:val="20"/>
              </w:rPr>
            </w:pPr>
            <w:r>
              <w:rPr>
                <w:color w:val="000000"/>
                <w:sz w:val="20"/>
                <w:szCs w:val="20"/>
              </w:rPr>
              <w:t>0.706</w:t>
            </w:r>
          </w:p>
        </w:tc>
        <w:tc>
          <w:tcPr>
            <w:tcW w:w="768" w:type="dxa"/>
            <w:tcBorders>
              <w:top w:val="nil"/>
              <w:left w:val="nil"/>
              <w:bottom w:val="nil"/>
              <w:right w:val="nil"/>
            </w:tcBorders>
            <w:shd w:val="clear" w:color="auto" w:fill="auto"/>
            <w:noWrap/>
            <w:vAlign w:val="bottom"/>
            <w:hideMark/>
          </w:tcPr>
          <w:p w14:paraId="51811E63"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177ADC7"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4752A820" w14:textId="77777777" w:rsidR="0078540D" w:rsidRDefault="0078540D">
            <w:pPr>
              <w:jc w:val="right"/>
              <w:rPr>
                <w:color w:val="000000"/>
                <w:sz w:val="20"/>
                <w:szCs w:val="20"/>
              </w:rPr>
            </w:pPr>
            <w:r>
              <w:rPr>
                <w:color w:val="000000"/>
                <w:sz w:val="20"/>
                <w:szCs w:val="20"/>
              </w:rPr>
              <w:t>0.721</w:t>
            </w:r>
          </w:p>
        </w:tc>
        <w:tc>
          <w:tcPr>
            <w:tcW w:w="768" w:type="dxa"/>
            <w:tcBorders>
              <w:top w:val="nil"/>
              <w:left w:val="nil"/>
              <w:bottom w:val="nil"/>
              <w:right w:val="nil"/>
            </w:tcBorders>
            <w:shd w:val="clear" w:color="auto" w:fill="auto"/>
            <w:noWrap/>
            <w:vAlign w:val="bottom"/>
            <w:hideMark/>
          </w:tcPr>
          <w:p w14:paraId="49089EA1"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ABA5982" w14:textId="77777777" w:rsidR="0078540D" w:rsidRDefault="0078540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0A08B3F6" w14:textId="77777777" w:rsidR="0078540D" w:rsidRDefault="0078540D">
            <w:pPr>
              <w:jc w:val="right"/>
              <w:rPr>
                <w:color w:val="000000"/>
                <w:sz w:val="20"/>
                <w:szCs w:val="20"/>
              </w:rPr>
            </w:pPr>
            <w:r>
              <w:rPr>
                <w:color w:val="000000"/>
                <w:sz w:val="20"/>
                <w:szCs w:val="20"/>
              </w:rPr>
              <w:t>0.515</w:t>
            </w:r>
          </w:p>
        </w:tc>
        <w:tc>
          <w:tcPr>
            <w:tcW w:w="768" w:type="dxa"/>
            <w:tcBorders>
              <w:top w:val="nil"/>
              <w:left w:val="nil"/>
              <w:bottom w:val="nil"/>
              <w:right w:val="nil"/>
            </w:tcBorders>
            <w:shd w:val="clear" w:color="auto" w:fill="auto"/>
            <w:noWrap/>
            <w:vAlign w:val="bottom"/>
            <w:hideMark/>
          </w:tcPr>
          <w:p w14:paraId="0AEC8EC8"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02E3ACA" w14:textId="77777777" w:rsidR="0078540D" w:rsidRDefault="0078540D">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789230B2" w14:textId="77777777" w:rsidR="0078540D" w:rsidRDefault="0078540D">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1B630A49"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18E6278" w14:textId="77777777" w:rsidR="0078540D" w:rsidRDefault="0078540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0E64682B" w14:textId="77777777" w:rsidR="0078540D" w:rsidRDefault="0078540D">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3CFCF38B" w14:textId="77777777" w:rsidR="0078540D" w:rsidRDefault="0078540D">
            <w:pPr>
              <w:jc w:val="right"/>
              <w:rPr>
                <w:color w:val="000000"/>
                <w:sz w:val="20"/>
                <w:szCs w:val="20"/>
              </w:rPr>
            </w:pPr>
            <w:r>
              <w:rPr>
                <w:color w:val="000000"/>
                <w:sz w:val="20"/>
                <w:szCs w:val="20"/>
              </w:rPr>
              <w:t>0.003</w:t>
            </w:r>
          </w:p>
        </w:tc>
      </w:tr>
      <w:tr w:rsidR="0078540D" w14:paraId="5650C563" w14:textId="77777777" w:rsidTr="0078540D">
        <w:trPr>
          <w:trHeight w:val="320"/>
        </w:trPr>
        <w:tc>
          <w:tcPr>
            <w:tcW w:w="1176" w:type="dxa"/>
            <w:tcBorders>
              <w:top w:val="nil"/>
              <w:left w:val="nil"/>
              <w:bottom w:val="nil"/>
              <w:right w:val="nil"/>
            </w:tcBorders>
            <w:shd w:val="clear" w:color="auto" w:fill="auto"/>
            <w:noWrap/>
            <w:vAlign w:val="bottom"/>
            <w:hideMark/>
          </w:tcPr>
          <w:p w14:paraId="61C4BD19"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3975687" w14:textId="77777777" w:rsidR="0078540D" w:rsidRDefault="0078540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FDF48D7" w14:textId="77777777" w:rsidR="0078540D" w:rsidRDefault="0078540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63FA4B1A" w14:textId="77777777" w:rsidR="0078540D" w:rsidRDefault="0078540D">
            <w:pPr>
              <w:jc w:val="right"/>
              <w:rPr>
                <w:color w:val="000000"/>
                <w:sz w:val="20"/>
                <w:szCs w:val="20"/>
              </w:rPr>
            </w:pPr>
            <w:r>
              <w:rPr>
                <w:color w:val="000000"/>
                <w:sz w:val="20"/>
                <w:szCs w:val="20"/>
              </w:rPr>
              <w:t>0.267</w:t>
            </w:r>
          </w:p>
        </w:tc>
        <w:tc>
          <w:tcPr>
            <w:tcW w:w="768" w:type="dxa"/>
            <w:tcBorders>
              <w:top w:val="nil"/>
              <w:left w:val="nil"/>
              <w:bottom w:val="nil"/>
              <w:right w:val="nil"/>
            </w:tcBorders>
            <w:shd w:val="clear" w:color="auto" w:fill="auto"/>
            <w:noWrap/>
            <w:vAlign w:val="bottom"/>
            <w:hideMark/>
          </w:tcPr>
          <w:p w14:paraId="14200CF9"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C9E6ED8"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550F2BC2" w14:textId="77777777" w:rsidR="0078540D" w:rsidRDefault="0078540D">
            <w:pPr>
              <w:jc w:val="right"/>
              <w:rPr>
                <w:color w:val="000000"/>
                <w:sz w:val="20"/>
                <w:szCs w:val="20"/>
              </w:rPr>
            </w:pPr>
            <w:r>
              <w:rPr>
                <w:color w:val="000000"/>
                <w:sz w:val="20"/>
                <w:szCs w:val="20"/>
              </w:rPr>
              <w:t>0.721</w:t>
            </w:r>
          </w:p>
        </w:tc>
        <w:tc>
          <w:tcPr>
            <w:tcW w:w="768" w:type="dxa"/>
            <w:tcBorders>
              <w:top w:val="nil"/>
              <w:left w:val="nil"/>
              <w:bottom w:val="nil"/>
              <w:right w:val="nil"/>
            </w:tcBorders>
            <w:shd w:val="clear" w:color="auto" w:fill="auto"/>
            <w:noWrap/>
            <w:vAlign w:val="bottom"/>
            <w:hideMark/>
          </w:tcPr>
          <w:p w14:paraId="420EA2C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6872B9E" w14:textId="77777777" w:rsidR="0078540D" w:rsidRDefault="0078540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4AA13440" w14:textId="77777777" w:rsidR="0078540D" w:rsidRDefault="0078540D">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255E4BA6"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D88F553"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A3838B5" w14:textId="77777777" w:rsidR="0078540D" w:rsidRDefault="0078540D">
            <w:pPr>
              <w:jc w:val="right"/>
              <w:rPr>
                <w:color w:val="000000"/>
                <w:sz w:val="20"/>
                <w:szCs w:val="20"/>
              </w:rPr>
            </w:pPr>
            <w:r>
              <w:rPr>
                <w:color w:val="000000"/>
                <w:sz w:val="20"/>
                <w:szCs w:val="20"/>
              </w:rPr>
              <w:t>0.973</w:t>
            </w:r>
          </w:p>
        </w:tc>
        <w:tc>
          <w:tcPr>
            <w:tcW w:w="768" w:type="dxa"/>
            <w:tcBorders>
              <w:top w:val="nil"/>
              <w:left w:val="nil"/>
              <w:bottom w:val="nil"/>
              <w:right w:val="nil"/>
            </w:tcBorders>
            <w:shd w:val="clear" w:color="auto" w:fill="auto"/>
            <w:noWrap/>
            <w:vAlign w:val="bottom"/>
            <w:hideMark/>
          </w:tcPr>
          <w:p w14:paraId="59E46380"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CA0722" w14:textId="77777777" w:rsidR="0078540D" w:rsidRDefault="0078540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68070D4" w14:textId="77777777" w:rsidR="0078540D" w:rsidRDefault="0078540D">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487547D0" w14:textId="77777777" w:rsidR="0078540D" w:rsidRDefault="0078540D">
            <w:pPr>
              <w:jc w:val="right"/>
              <w:rPr>
                <w:color w:val="000000"/>
                <w:sz w:val="20"/>
                <w:szCs w:val="20"/>
              </w:rPr>
            </w:pPr>
            <w:r>
              <w:rPr>
                <w:color w:val="000000"/>
                <w:sz w:val="20"/>
                <w:szCs w:val="20"/>
              </w:rPr>
              <w:t>0.000</w:t>
            </w:r>
          </w:p>
        </w:tc>
      </w:tr>
      <w:tr w:rsidR="0078540D" w14:paraId="74E6EED1" w14:textId="77777777" w:rsidTr="0078540D">
        <w:trPr>
          <w:trHeight w:val="320"/>
        </w:trPr>
        <w:tc>
          <w:tcPr>
            <w:tcW w:w="1176" w:type="dxa"/>
            <w:tcBorders>
              <w:top w:val="nil"/>
              <w:left w:val="nil"/>
              <w:bottom w:val="nil"/>
              <w:right w:val="nil"/>
            </w:tcBorders>
            <w:shd w:val="clear" w:color="auto" w:fill="auto"/>
            <w:noWrap/>
            <w:vAlign w:val="bottom"/>
            <w:hideMark/>
          </w:tcPr>
          <w:p w14:paraId="73B14419"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28E6AD1" w14:textId="77777777" w:rsidR="0078540D" w:rsidRDefault="0078540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CA4B7F4" w14:textId="77777777" w:rsidR="0078540D" w:rsidRDefault="0078540D">
            <w:pPr>
              <w:jc w:val="right"/>
              <w:rPr>
                <w:b/>
                <w:bCs/>
                <w:color w:val="000000"/>
                <w:sz w:val="20"/>
                <w:szCs w:val="20"/>
              </w:rPr>
            </w:pPr>
            <w:r>
              <w:rPr>
                <w:b/>
                <w:bCs/>
                <w:color w:val="000000"/>
                <w:sz w:val="20"/>
                <w:szCs w:val="20"/>
              </w:rPr>
              <w:t>0.082</w:t>
            </w:r>
          </w:p>
        </w:tc>
        <w:tc>
          <w:tcPr>
            <w:tcW w:w="768" w:type="dxa"/>
            <w:tcBorders>
              <w:top w:val="nil"/>
              <w:left w:val="nil"/>
              <w:bottom w:val="nil"/>
              <w:right w:val="nil"/>
            </w:tcBorders>
            <w:shd w:val="clear" w:color="auto" w:fill="auto"/>
            <w:noWrap/>
            <w:vAlign w:val="bottom"/>
            <w:hideMark/>
          </w:tcPr>
          <w:p w14:paraId="3631F85D"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3611D0C4" w14:textId="77777777" w:rsidR="0078540D" w:rsidRDefault="0078540D">
            <w:pPr>
              <w:jc w:val="right"/>
              <w:rPr>
                <w:b/>
                <w:bCs/>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6482C5E5" w14:textId="77777777" w:rsidR="0078540D" w:rsidRDefault="0078540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7EEC21A" w14:textId="77777777" w:rsidR="0078540D" w:rsidRDefault="0078540D">
            <w:pPr>
              <w:jc w:val="right"/>
              <w:rPr>
                <w:color w:val="000000"/>
                <w:sz w:val="20"/>
                <w:szCs w:val="20"/>
              </w:rPr>
            </w:pPr>
            <w:r>
              <w:rPr>
                <w:color w:val="000000"/>
                <w:sz w:val="20"/>
                <w:szCs w:val="20"/>
              </w:rPr>
              <w:t>0.721</w:t>
            </w:r>
          </w:p>
        </w:tc>
        <w:tc>
          <w:tcPr>
            <w:tcW w:w="768" w:type="dxa"/>
            <w:tcBorders>
              <w:top w:val="nil"/>
              <w:left w:val="nil"/>
              <w:bottom w:val="nil"/>
              <w:right w:val="nil"/>
            </w:tcBorders>
            <w:shd w:val="clear" w:color="auto" w:fill="auto"/>
            <w:noWrap/>
            <w:vAlign w:val="bottom"/>
            <w:hideMark/>
          </w:tcPr>
          <w:p w14:paraId="6D99261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57984D" w14:textId="77777777" w:rsidR="0078540D" w:rsidRDefault="0078540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67A8854" w14:textId="77777777" w:rsidR="0078540D" w:rsidRDefault="0078540D">
            <w:pPr>
              <w:jc w:val="right"/>
              <w:rPr>
                <w:color w:val="000000"/>
                <w:sz w:val="20"/>
                <w:szCs w:val="20"/>
              </w:rPr>
            </w:pPr>
            <w:r>
              <w:rPr>
                <w:color w:val="000000"/>
                <w:sz w:val="20"/>
                <w:szCs w:val="20"/>
              </w:rPr>
              <w:t>0.515</w:t>
            </w:r>
          </w:p>
        </w:tc>
        <w:tc>
          <w:tcPr>
            <w:tcW w:w="768" w:type="dxa"/>
            <w:tcBorders>
              <w:top w:val="nil"/>
              <w:left w:val="nil"/>
              <w:bottom w:val="nil"/>
              <w:right w:val="nil"/>
            </w:tcBorders>
            <w:shd w:val="clear" w:color="auto" w:fill="auto"/>
            <w:noWrap/>
            <w:vAlign w:val="bottom"/>
            <w:hideMark/>
          </w:tcPr>
          <w:p w14:paraId="05CCEDD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CDE79E" w14:textId="77777777" w:rsidR="0078540D" w:rsidRDefault="0078540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33B51F1" w14:textId="77777777" w:rsidR="0078540D" w:rsidRDefault="0078540D">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45C37792"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CF00F7" w14:textId="77777777" w:rsidR="0078540D" w:rsidRDefault="0078540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E64F744" w14:textId="77777777" w:rsidR="0078540D" w:rsidRDefault="0078540D">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026EEF82" w14:textId="77777777" w:rsidR="0078540D" w:rsidRDefault="0078540D">
            <w:pPr>
              <w:jc w:val="right"/>
              <w:rPr>
                <w:color w:val="000000"/>
                <w:sz w:val="20"/>
                <w:szCs w:val="20"/>
              </w:rPr>
            </w:pPr>
            <w:r>
              <w:rPr>
                <w:color w:val="000000"/>
                <w:sz w:val="20"/>
                <w:szCs w:val="20"/>
              </w:rPr>
              <w:t>0.000</w:t>
            </w:r>
          </w:p>
        </w:tc>
      </w:tr>
      <w:tr w:rsidR="0078540D" w14:paraId="1DFC7636" w14:textId="77777777" w:rsidTr="0078540D">
        <w:trPr>
          <w:trHeight w:val="320"/>
        </w:trPr>
        <w:tc>
          <w:tcPr>
            <w:tcW w:w="1176" w:type="dxa"/>
            <w:tcBorders>
              <w:top w:val="nil"/>
              <w:left w:val="nil"/>
              <w:bottom w:val="nil"/>
              <w:right w:val="nil"/>
            </w:tcBorders>
            <w:shd w:val="clear" w:color="auto" w:fill="auto"/>
            <w:noWrap/>
            <w:vAlign w:val="bottom"/>
            <w:hideMark/>
          </w:tcPr>
          <w:p w14:paraId="5A64C8A7"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772A1D5" w14:textId="77777777" w:rsidR="0078540D" w:rsidRDefault="0078540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3B74930" w14:textId="77777777" w:rsidR="0078540D" w:rsidRDefault="0078540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97F83FE" w14:textId="77777777" w:rsidR="0078540D" w:rsidRDefault="0078540D">
            <w:pPr>
              <w:jc w:val="right"/>
              <w:rPr>
                <w:color w:val="000000"/>
                <w:sz w:val="20"/>
                <w:szCs w:val="20"/>
              </w:rPr>
            </w:pPr>
            <w:r>
              <w:rPr>
                <w:color w:val="000000"/>
                <w:sz w:val="20"/>
                <w:szCs w:val="20"/>
              </w:rPr>
              <w:t>0.706</w:t>
            </w:r>
          </w:p>
        </w:tc>
        <w:tc>
          <w:tcPr>
            <w:tcW w:w="768" w:type="dxa"/>
            <w:tcBorders>
              <w:top w:val="nil"/>
              <w:left w:val="nil"/>
              <w:bottom w:val="nil"/>
              <w:right w:val="nil"/>
            </w:tcBorders>
            <w:shd w:val="clear" w:color="auto" w:fill="auto"/>
            <w:noWrap/>
            <w:vAlign w:val="bottom"/>
            <w:hideMark/>
          </w:tcPr>
          <w:p w14:paraId="4BF75AA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5E698D" w14:textId="77777777" w:rsidR="0078540D" w:rsidRDefault="0078540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00423BC" w14:textId="77777777" w:rsidR="0078540D" w:rsidRDefault="0078540D">
            <w:pPr>
              <w:jc w:val="right"/>
              <w:rPr>
                <w:color w:val="000000"/>
                <w:sz w:val="20"/>
                <w:szCs w:val="20"/>
              </w:rPr>
            </w:pPr>
            <w:r>
              <w:rPr>
                <w:color w:val="000000"/>
                <w:sz w:val="20"/>
                <w:szCs w:val="20"/>
              </w:rPr>
              <w:t>0.721</w:t>
            </w:r>
          </w:p>
        </w:tc>
        <w:tc>
          <w:tcPr>
            <w:tcW w:w="768" w:type="dxa"/>
            <w:tcBorders>
              <w:top w:val="nil"/>
              <w:left w:val="nil"/>
              <w:bottom w:val="nil"/>
              <w:right w:val="nil"/>
            </w:tcBorders>
            <w:shd w:val="clear" w:color="auto" w:fill="auto"/>
            <w:noWrap/>
            <w:vAlign w:val="bottom"/>
            <w:hideMark/>
          </w:tcPr>
          <w:p w14:paraId="59DBB125"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27CE14" w14:textId="77777777" w:rsidR="0078540D" w:rsidRDefault="0078540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E19B5D8" w14:textId="77777777" w:rsidR="0078540D" w:rsidRDefault="0078540D">
            <w:pPr>
              <w:jc w:val="right"/>
              <w:rPr>
                <w:color w:val="000000"/>
                <w:sz w:val="20"/>
                <w:szCs w:val="20"/>
              </w:rPr>
            </w:pPr>
            <w:r>
              <w:rPr>
                <w:color w:val="000000"/>
                <w:sz w:val="20"/>
                <w:szCs w:val="20"/>
              </w:rPr>
              <w:t>0.444</w:t>
            </w:r>
          </w:p>
        </w:tc>
        <w:tc>
          <w:tcPr>
            <w:tcW w:w="768" w:type="dxa"/>
            <w:tcBorders>
              <w:top w:val="nil"/>
              <w:left w:val="nil"/>
              <w:bottom w:val="nil"/>
              <w:right w:val="nil"/>
            </w:tcBorders>
            <w:shd w:val="clear" w:color="auto" w:fill="auto"/>
            <w:noWrap/>
            <w:vAlign w:val="bottom"/>
            <w:hideMark/>
          </w:tcPr>
          <w:p w14:paraId="3B6224D7"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2C323C" w14:textId="77777777" w:rsidR="0078540D" w:rsidRDefault="0078540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D8FF161" w14:textId="77777777" w:rsidR="0078540D" w:rsidRDefault="0078540D">
            <w:pPr>
              <w:jc w:val="right"/>
              <w:rPr>
                <w:color w:val="000000"/>
                <w:sz w:val="20"/>
                <w:szCs w:val="20"/>
              </w:rPr>
            </w:pPr>
            <w:r>
              <w:rPr>
                <w:color w:val="000000"/>
                <w:sz w:val="20"/>
                <w:szCs w:val="20"/>
              </w:rPr>
              <w:t>0.971</w:t>
            </w:r>
          </w:p>
        </w:tc>
        <w:tc>
          <w:tcPr>
            <w:tcW w:w="768" w:type="dxa"/>
            <w:tcBorders>
              <w:top w:val="nil"/>
              <w:left w:val="nil"/>
              <w:bottom w:val="nil"/>
              <w:right w:val="nil"/>
            </w:tcBorders>
            <w:shd w:val="clear" w:color="auto" w:fill="auto"/>
            <w:noWrap/>
            <w:vAlign w:val="bottom"/>
            <w:hideMark/>
          </w:tcPr>
          <w:p w14:paraId="362BD7F4"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086A94" w14:textId="77777777" w:rsidR="0078540D" w:rsidRDefault="0078540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CED9FC9" w14:textId="77777777" w:rsidR="0078540D" w:rsidRDefault="0078540D">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6317AAB3" w14:textId="77777777" w:rsidR="0078540D" w:rsidRDefault="0078540D">
            <w:pPr>
              <w:jc w:val="right"/>
              <w:rPr>
                <w:color w:val="000000"/>
                <w:sz w:val="20"/>
                <w:szCs w:val="20"/>
              </w:rPr>
            </w:pPr>
            <w:r>
              <w:rPr>
                <w:color w:val="000000"/>
                <w:sz w:val="20"/>
                <w:szCs w:val="20"/>
              </w:rPr>
              <w:t>0.000</w:t>
            </w:r>
          </w:p>
        </w:tc>
      </w:tr>
      <w:tr w:rsidR="0078540D" w14:paraId="282AC197" w14:textId="77777777" w:rsidTr="0078540D">
        <w:trPr>
          <w:trHeight w:val="320"/>
        </w:trPr>
        <w:tc>
          <w:tcPr>
            <w:tcW w:w="1176" w:type="dxa"/>
            <w:tcBorders>
              <w:top w:val="nil"/>
              <w:left w:val="nil"/>
              <w:bottom w:val="single" w:sz="4" w:space="0" w:color="auto"/>
              <w:right w:val="nil"/>
            </w:tcBorders>
            <w:shd w:val="clear" w:color="auto" w:fill="auto"/>
            <w:noWrap/>
            <w:vAlign w:val="bottom"/>
            <w:hideMark/>
          </w:tcPr>
          <w:p w14:paraId="794FBFA5" w14:textId="77777777" w:rsidR="0078540D" w:rsidRDefault="0078540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3780878" w14:textId="77777777" w:rsidR="0078540D" w:rsidRDefault="0078540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EE989E2" w14:textId="77777777" w:rsidR="0078540D" w:rsidRDefault="0078540D">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505B75F9" w14:textId="77777777" w:rsidR="0078540D" w:rsidRDefault="0078540D">
            <w:pPr>
              <w:jc w:val="right"/>
              <w:rPr>
                <w:color w:val="000000"/>
                <w:sz w:val="20"/>
                <w:szCs w:val="20"/>
              </w:rPr>
            </w:pPr>
            <w:r>
              <w:rPr>
                <w:color w:val="000000"/>
                <w:sz w:val="20"/>
                <w:szCs w:val="20"/>
              </w:rPr>
              <w:t>0.706</w:t>
            </w:r>
          </w:p>
        </w:tc>
        <w:tc>
          <w:tcPr>
            <w:tcW w:w="768" w:type="dxa"/>
            <w:tcBorders>
              <w:top w:val="nil"/>
              <w:left w:val="nil"/>
              <w:bottom w:val="single" w:sz="4" w:space="0" w:color="auto"/>
              <w:right w:val="nil"/>
            </w:tcBorders>
            <w:shd w:val="clear" w:color="auto" w:fill="auto"/>
            <w:noWrap/>
            <w:vAlign w:val="bottom"/>
            <w:hideMark/>
          </w:tcPr>
          <w:p w14:paraId="5FC9A740"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6221B44" w14:textId="77777777" w:rsidR="0078540D" w:rsidRDefault="0078540D">
            <w:pPr>
              <w:jc w:val="right"/>
              <w:rPr>
                <w:b/>
                <w:bCs/>
                <w:color w:val="000000"/>
                <w:sz w:val="20"/>
                <w:szCs w:val="20"/>
              </w:rPr>
            </w:pPr>
            <w:r>
              <w:rPr>
                <w:b/>
                <w:bCs/>
                <w:color w:val="000000"/>
                <w:sz w:val="20"/>
                <w:szCs w:val="20"/>
              </w:rPr>
              <w:t>-0.106</w:t>
            </w:r>
          </w:p>
        </w:tc>
        <w:tc>
          <w:tcPr>
            <w:tcW w:w="768" w:type="dxa"/>
            <w:tcBorders>
              <w:top w:val="nil"/>
              <w:left w:val="nil"/>
              <w:bottom w:val="single" w:sz="4" w:space="0" w:color="auto"/>
              <w:right w:val="nil"/>
            </w:tcBorders>
            <w:shd w:val="clear" w:color="auto" w:fill="auto"/>
            <w:noWrap/>
            <w:vAlign w:val="bottom"/>
            <w:hideMark/>
          </w:tcPr>
          <w:p w14:paraId="757CD172" w14:textId="77777777" w:rsidR="0078540D" w:rsidRDefault="0078540D">
            <w:pPr>
              <w:jc w:val="right"/>
              <w:rPr>
                <w:b/>
                <w:bCs/>
                <w:color w:val="000000"/>
                <w:sz w:val="20"/>
                <w:szCs w:val="20"/>
              </w:rPr>
            </w:pPr>
            <w:r>
              <w:rPr>
                <w:b/>
                <w:bCs/>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507C0922" w14:textId="77777777" w:rsidR="0078540D" w:rsidRDefault="0078540D">
            <w:pPr>
              <w:jc w:val="right"/>
              <w:rPr>
                <w:b/>
                <w:bCs/>
                <w:color w:val="000000"/>
                <w:sz w:val="20"/>
                <w:szCs w:val="20"/>
              </w:rPr>
            </w:pPr>
            <w:r>
              <w:rPr>
                <w:b/>
                <w:bCs/>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41774DF8"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18F6FD29" w14:textId="77777777" w:rsidR="0078540D" w:rsidRDefault="0078540D">
            <w:pPr>
              <w:jc w:val="right"/>
              <w:rPr>
                <w:color w:val="000000"/>
                <w:sz w:val="20"/>
                <w:szCs w:val="20"/>
              </w:rPr>
            </w:pPr>
            <w:r>
              <w:rPr>
                <w:color w:val="000000"/>
                <w:sz w:val="20"/>
                <w:szCs w:val="20"/>
              </w:rPr>
              <w:t>0.664</w:t>
            </w:r>
          </w:p>
        </w:tc>
        <w:tc>
          <w:tcPr>
            <w:tcW w:w="768" w:type="dxa"/>
            <w:tcBorders>
              <w:top w:val="nil"/>
              <w:left w:val="nil"/>
              <w:bottom w:val="single" w:sz="4" w:space="0" w:color="auto"/>
              <w:right w:val="nil"/>
            </w:tcBorders>
            <w:shd w:val="clear" w:color="auto" w:fill="auto"/>
            <w:noWrap/>
            <w:vAlign w:val="bottom"/>
            <w:hideMark/>
          </w:tcPr>
          <w:p w14:paraId="565ACE1B"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4A1D532"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F7CD4DF" w14:textId="77777777" w:rsidR="0078540D" w:rsidRDefault="0078540D">
            <w:pPr>
              <w:jc w:val="right"/>
              <w:rPr>
                <w:color w:val="000000"/>
                <w:sz w:val="20"/>
                <w:szCs w:val="20"/>
              </w:rPr>
            </w:pPr>
            <w:r>
              <w:rPr>
                <w:color w:val="000000"/>
                <w:sz w:val="20"/>
                <w:szCs w:val="20"/>
              </w:rPr>
              <w:t>0.973</w:t>
            </w:r>
          </w:p>
        </w:tc>
        <w:tc>
          <w:tcPr>
            <w:tcW w:w="768" w:type="dxa"/>
            <w:tcBorders>
              <w:top w:val="nil"/>
              <w:left w:val="nil"/>
              <w:bottom w:val="single" w:sz="4" w:space="0" w:color="auto"/>
              <w:right w:val="nil"/>
            </w:tcBorders>
            <w:shd w:val="clear" w:color="auto" w:fill="auto"/>
            <w:noWrap/>
            <w:vAlign w:val="bottom"/>
            <w:hideMark/>
          </w:tcPr>
          <w:p w14:paraId="72FF7D00"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E6B4AEE" w14:textId="77777777" w:rsidR="0078540D" w:rsidRDefault="0078540D">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052675E4" w14:textId="77777777" w:rsidR="0078540D" w:rsidRDefault="0078540D">
            <w:pPr>
              <w:jc w:val="right"/>
              <w:rPr>
                <w:color w:val="000000"/>
                <w:sz w:val="20"/>
                <w:szCs w:val="20"/>
              </w:rPr>
            </w:pPr>
            <w:r>
              <w:rPr>
                <w:color w:val="000000"/>
                <w:sz w:val="20"/>
                <w:szCs w:val="20"/>
              </w:rPr>
              <w:t>0.988</w:t>
            </w:r>
          </w:p>
        </w:tc>
        <w:tc>
          <w:tcPr>
            <w:tcW w:w="768" w:type="dxa"/>
            <w:tcBorders>
              <w:top w:val="nil"/>
              <w:left w:val="nil"/>
              <w:bottom w:val="single" w:sz="4" w:space="0" w:color="auto"/>
              <w:right w:val="nil"/>
            </w:tcBorders>
            <w:shd w:val="clear" w:color="auto" w:fill="auto"/>
            <w:noWrap/>
            <w:vAlign w:val="bottom"/>
            <w:hideMark/>
          </w:tcPr>
          <w:p w14:paraId="2F854EBF" w14:textId="77777777" w:rsidR="0078540D" w:rsidRDefault="0078540D">
            <w:pPr>
              <w:jc w:val="right"/>
              <w:rPr>
                <w:color w:val="000000"/>
                <w:sz w:val="20"/>
                <w:szCs w:val="20"/>
              </w:rPr>
            </w:pPr>
            <w:r>
              <w:rPr>
                <w:color w:val="000000"/>
                <w:sz w:val="20"/>
                <w:szCs w:val="20"/>
              </w:rPr>
              <w:t>0.000</w:t>
            </w:r>
          </w:p>
        </w:tc>
      </w:tr>
      <w:tr w:rsidR="0078540D" w14:paraId="1C3B9D19" w14:textId="77777777" w:rsidTr="0078540D">
        <w:trPr>
          <w:trHeight w:val="320"/>
        </w:trPr>
        <w:tc>
          <w:tcPr>
            <w:tcW w:w="1176" w:type="dxa"/>
            <w:tcBorders>
              <w:top w:val="nil"/>
              <w:left w:val="nil"/>
              <w:bottom w:val="nil"/>
              <w:right w:val="nil"/>
            </w:tcBorders>
            <w:shd w:val="clear" w:color="auto" w:fill="auto"/>
            <w:noWrap/>
            <w:vAlign w:val="bottom"/>
            <w:hideMark/>
          </w:tcPr>
          <w:p w14:paraId="0B518D48" w14:textId="77777777" w:rsidR="0078540D" w:rsidRDefault="0078540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52A5CB50" w14:textId="77777777" w:rsidR="0078540D" w:rsidRDefault="0078540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D7592D4" w14:textId="77777777" w:rsidR="0078540D" w:rsidRDefault="0078540D">
            <w:pPr>
              <w:jc w:val="right"/>
              <w:rPr>
                <w:b/>
                <w:bCs/>
                <w:color w:val="000000"/>
                <w:sz w:val="20"/>
                <w:szCs w:val="20"/>
              </w:rPr>
            </w:pPr>
            <w:r>
              <w:rPr>
                <w:b/>
                <w:bCs/>
                <w:color w:val="000000"/>
                <w:sz w:val="20"/>
                <w:szCs w:val="20"/>
              </w:rPr>
              <w:t>0.092</w:t>
            </w:r>
          </w:p>
        </w:tc>
        <w:tc>
          <w:tcPr>
            <w:tcW w:w="768" w:type="dxa"/>
            <w:tcBorders>
              <w:top w:val="nil"/>
              <w:left w:val="nil"/>
              <w:bottom w:val="nil"/>
              <w:right w:val="nil"/>
            </w:tcBorders>
            <w:shd w:val="clear" w:color="auto" w:fill="auto"/>
            <w:noWrap/>
            <w:vAlign w:val="bottom"/>
            <w:hideMark/>
          </w:tcPr>
          <w:p w14:paraId="628EB5E4"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17E4D4BB" w14:textId="77777777" w:rsidR="0078540D" w:rsidRDefault="0078540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0C1C8CC"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5412328" w14:textId="77777777" w:rsidR="0078540D" w:rsidRDefault="0078540D">
            <w:pPr>
              <w:jc w:val="right"/>
              <w:rPr>
                <w:color w:val="000000"/>
                <w:sz w:val="20"/>
                <w:szCs w:val="20"/>
              </w:rPr>
            </w:pPr>
            <w:r>
              <w:rPr>
                <w:color w:val="000000"/>
                <w:sz w:val="20"/>
                <w:szCs w:val="20"/>
              </w:rPr>
              <w:t>0.956</w:t>
            </w:r>
          </w:p>
        </w:tc>
        <w:tc>
          <w:tcPr>
            <w:tcW w:w="768" w:type="dxa"/>
            <w:tcBorders>
              <w:top w:val="nil"/>
              <w:left w:val="nil"/>
              <w:bottom w:val="nil"/>
              <w:right w:val="nil"/>
            </w:tcBorders>
            <w:shd w:val="clear" w:color="auto" w:fill="auto"/>
            <w:noWrap/>
            <w:vAlign w:val="bottom"/>
            <w:hideMark/>
          </w:tcPr>
          <w:p w14:paraId="0EEEA8B3"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CA9578"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D51083" w14:textId="77777777" w:rsidR="0078540D" w:rsidRDefault="0078540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7AE72510"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85CEDA"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85D345E" w14:textId="77777777" w:rsidR="0078540D" w:rsidRDefault="0078540D">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2AAEFCA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203C83" w14:textId="77777777" w:rsidR="0078540D" w:rsidRDefault="0078540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DBE21E3" w14:textId="77777777" w:rsidR="0078540D" w:rsidRDefault="0078540D">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3226F96D" w14:textId="77777777" w:rsidR="0078540D" w:rsidRDefault="0078540D">
            <w:pPr>
              <w:jc w:val="right"/>
              <w:rPr>
                <w:color w:val="000000"/>
                <w:sz w:val="20"/>
                <w:szCs w:val="20"/>
              </w:rPr>
            </w:pPr>
            <w:r>
              <w:rPr>
                <w:color w:val="000000"/>
                <w:sz w:val="20"/>
                <w:szCs w:val="20"/>
              </w:rPr>
              <w:t>0.000</w:t>
            </w:r>
          </w:p>
        </w:tc>
      </w:tr>
      <w:tr w:rsidR="0078540D" w14:paraId="34A97EB7" w14:textId="77777777" w:rsidTr="0078540D">
        <w:trPr>
          <w:trHeight w:val="320"/>
        </w:trPr>
        <w:tc>
          <w:tcPr>
            <w:tcW w:w="1176" w:type="dxa"/>
            <w:tcBorders>
              <w:top w:val="nil"/>
              <w:left w:val="nil"/>
              <w:bottom w:val="nil"/>
              <w:right w:val="nil"/>
            </w:tcBorders>
            <w:shd w:val="clear" w:color="auto" w:fill="auto"/>
            <w:noWrap/>
            <w:vAlign w:val="bottom"/>
            <w:hideMark/>
          </w:tcPr>
          <w:p w14:paraId="36067B09"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AACF87" w14:textId="77777777" w:rsidR="0078540D" w:rsidRDefault="0078540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0E83DEC"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89C2BF9" w14:textId="77777777" w:rsidR="0078540D" w:rsidRDefault="0078540D">
            <w:pPr>
              <w:jc w:val="right"/>
              <w:rPr>
                <w:color w:val="000000"/>
                <w:sz w:val="20"/>
                <w:szCs w:val="20"/>
              </w:rPr>
            </w:pPr>
            <w:r>
              <w:rPr>
                <w:color w:val="000000"/>
                <w:sz w:val="20"/>
                <w:szCs w:val="20"/>
              </w:rPr>
              <w:t>0.559</w:t>
            </w:r>
          </w:p>
        </w:tc>
        <w:tc>
          <w:tcPr>
            <w:tcW w:w="768" w:type="dxa"/>
            <w:tcBorders>
              <w:top w:val="nil"/>
              <w:left w:val="nil"/>
              <w:bottom w:val="nil"/>
              <w:right w:val="nil"/>
            </w:tcBorders>
            <w:shd w:val="clear" w:color="auto" w:fill="auto"/>
            <w:noWrap/>
            <w:vAlign w:val="bottom"/>
            <w:hideMark/>
          </w:tcPr>
          <w:p w14:paraId="4A4FD3D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7F9382"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04AD459" w14:textId="77777777" w:rsidR="0078540D" w:rsidRDefault="0078540D">
            <w:pPr>
              <w:jc w:val="right"/>
              <w:rPr>
                <w:color w:val="000000"/>
                <w:sz w:val="20"/>
                <w:szCs w:val="20"/>
              </w:rPr>
            </w:pPr>
            <w:r>
              <w:rPr>
                <w:color w:val="000000"/>
                <w:sz w:val="20"/>
                <w:szCs w:val="20"/>
              </w:rPr>
              <w:t>0.437</w:t>
            </w:r>
          </w:p>
        </w:tc>
        <w:tc>
          <w:tcPr>
            <w:tcW w:w="768" w:type="dxa"/>
            <w:tcBorders>
              <w:top w:val="nil"/>
              <w:left w:val="nil"/>
              <w:bottom w:val="nil"/>
              <w:right w:val="nil"/>
            </w:tcBorders>
            <w:shd w:val="clear" w:color="auto" w:fill="auto"/>
            <w:noWrap/>
            <w:vAlign w:val="bottom"/>
            <w:hideMark/>
          </w:tcPr>
          <w:p w14:paraId="51C1000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2AA7AA"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36F29E8" w14:textId="77777777" w:rsidR="0078540D" w:rsidRDefault="0078540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7AA77A93"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165CAE" w14:textId="77777777" w:rsidR="0078540D" w:rsidRDefault="0078540D">
            <w:pPr>
              <w:jc w:val="right"/>
              <w:rPr>
                <w:b/>
                <w:bCs/>
                <w:color w:val="000000"/>
                <w:sz w:val="20"/>
                <w:szCs w:val="20"/>
              </w:rPr>
            </w:pPr>
            <w:r>
              <w:rPr>
                <w:b/>
                <w:bCs/>
                <w:color w:val="000000"/>
                <w:sz w:val="20"/>
                <w:szCs w:val="20"/>
              </w:rPr>
              <w:t>-0.061</w:t>
            </w:r>
          </w:p>
        </w:tc>
        <w:tc>
          <w:tcPr>
            <w:tcW w:w="768" w:type="dxa"/>
            <w:tcBorders>
              <w:top w:val="nil"/>
              <w:left w:val="nil"/>
              <w:bottom w:val="nil"/>
              <w:right w:val="nil"/>
            </w:tcBorders>
            <w:shd w:val="clear" w:color="auto" w:fill="auto"/>
            <w:noWrap/>
            <w:vAlign w:val="bottom"/>
            <w:hideMark/>
          </w:tcPr>
          <w:p w14:paraId="22EE3BAE" w14:textId="77777777" w:rsidR="0078540D" w:rsidRDefault="0078540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28744C18" w14:textId="77777777" w:rsidR="0078540D" w:rsidRDefault="0078540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1097EBF2" w14:textId="77777777" w:rsidR="0078540D" w:rsidRDefault="0078540D">
            <w:pPr>
              <w:jc w:val="right"/>
              <w:rPr>
                <w:b/>
                <w:bCs/>
                <w:color w:val="000000"/>
                <w:sz w:val="20"/>
                <w:szCs w:val="20"/>
              </w:rPr>
            </w:pPr>
            <w:r>
              <w:rPr>
                <w:b/>
                <w:bCs/>
                <w:color w:val="000000"/>
                <w:sz w:val="20"/>
                <w:szCs w:val="20"/>
              </w:rPr>
              <w:t>0.086</w:t>
            </w:r>
          </w:p>
        </w:tc>
        <w:tc>
          <w:tcPr>
            <w:tcW w:w="768" w:type="dxa"/>
            <w:tcBorders>
              <w:top w:val="nil"/>
              <w:left w:val="nil"/>
              <w:bottom w:val="nil"/>
              <w:right w:val="nil"/>
            </w:tcBorders>
            <w:shd w:val="clear" w:color="auto" w:fill="auto"/>
            <w:noWrap/>
            <w:vAlign w:val="bottom"/>
            <w:hideMark/>
          </w:tcPr>
          <w:p w14:paraId="2F43515F" w14:textId="77777777" w:rsidR="0078540D" w:rsidRDefault="0078540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49574AA" w14:textId="77777777" w:rsidR="0078540D" w:rsidRDefault="0078540D">
            <w:pPr>
              <w:jc w:val="right"/>
              <w:rPr>
                <w:b/>
                <w:bCs/>
                <w:color w:val="000000"/>
                <w:sz w:val="20"/>
                <w:szCs w:val="20"/>
              </w:rPr>
            </w:pPr>
            <w:r>
              <w:rPr>
                <w:b/>
                <w:bCs/>
                <w:color w:val="000000"/>
                <w:sz w:val="20"/>
                <w:szCs w:val="20"/>
              </w:rPr>
              <w:t>0.007</w:t>
            </w:r>
          </w:p>
        </w:tc>
      </w:tr>
      <w:tr w:rsidR="0078540D" w14:paraId="5C0F40DF" w14:textId="77777777" w:rsidTr="0078540D">
        <w:trPr>
          <w:trHeight w:val="320"/>
        </w:trPr>
        <w:tc>
          <w:tcPr>
            <w:tcW w:w="1176" w:type="dxa"/>
            <w:tcBorders>
              <w:top w:val="nil"/>
              <w:left w:val="nil"/>
              <w:bottom w:val="nil"/>
              <w:right w:val="nil"/>
            </w:tcBorders>
            <w:shd w:val="clear" w:color="auto" w:fill="auto"/>
            <w:noWrap/>
            <w:vAlign w:val="bottom"/>
            <w:hideMark/>
          </w:tcPr>
          <w:p w14:paraId="656F0DF7" w14:textId="77777777" w:rsidR="0078540D" w:rsidRDefault="0078540D">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7077B49D" w14:textId="77777777" w:rsidR="0078540D" w:rsidRDefault="0078540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B58DCDA"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B1D6DBC" w14:textId="77777777" w:rsidR="0078540D" w:rsidRDefault="0078540D">
            <w:pPr>
              <w:jc w:val="right"/>
              <w:rPr>
                <w:color w:val="000000"/>
                <w:sz w:val="20"/>
                <w:szCs w:val="20"/>
              </w:rPr>
            </w:pPr>
            <w:r>
              <w:rPr>
                <w:color w:val="000000"/>
                <w:sz w:val="20"/>
                <w:szCs w:val="20"/>
              </w:rPr>
              <w:t>0.865</w:t>
            </w:r>
          </w:p>
        </w:tc>
        <w:tc>
          <w:tcPr>
            <w:tcW w:w="768" w:type="dxa"/>
            <w:tcBorders>
              <w:top w:val="nil"/>
              <w:left w:val="nil"/>
              <w:bottom w:val="nil"/>
              <w:right w:val="nil"/>
            </w:tcBorders>
            <w:shd w:val="clear" w:color="auto" w:fill="auto"/>
            <w:noWrap/>
            <w:vAlign w:val="bottom"/>
            <w:hideMark/>
          </w:tcPr>
          <w:p w14:paraId="1307BDA3"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02BEC1" w14:textId="77777777" w:rsidR="0078540D" w:rsidRDefault="0078540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35CAFDB" w14:textId="77777777" w:rsidR="0078540D" w:rsidRDefault="0078540D">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35D331D0"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2AB67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A65B54" w14:textId="77777777" w:rsidR="0078540D" w:rsidRDefault="0078540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780A818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180AFC" w14:textId="77777777" w:rsidR="0078540D" w:rsidRDefault="0078540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236A319A" w14:textId="77777777" w:rsidR="0078540D" w:rsidRDefault="0078540D">
            <w:pPr>
              <w:jc w:val="right"/>
              <w:rPr>
                <w:color w:val="000000"/>
                <w:sz w:val="20"/>
                <w:szCs w:val="20"/>
              </w:rPr>
            </w:pPr>
            <w:r>
              <w:rPr>
                <w:color w:val="000000"/>
                <w:sz w:val="20"/>
                <w:szCs w:val="20"/>
              </w:rPr>
              <w:t>0.349</w:t>
            </w:r>
          </w:p>
        </w:tc>
        <w:tc>
          <w:tcPr>
            <w:tcW w:w="768" w:type="dxa"/>
            <w:tcBorders>
              <w:top w:val="nil"/>
              <w:left w:val="nil"/>
              <w:bottom w:val="nil"/>
              <w:right w:val="nil"/>
            </w:tcBorders>
            <w:shd w:val="clear" w:color="auto" w:fill="auto"/>
            <w:noWrap/>
            <w:vAlign w:val="bottom"/>
            <w:hideMark/>
          </w:tcPr>
          <w:p w14:paraId="3BFDA26F"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C4D4CBA" w14:textId="77777777" w:rsidR="0078540D" w:rsidRDefault="0078540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0C852B3A" w14:textId="77777777" w:rsidR="0078540D" w:rsidRDefault="0078540D">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6BD817A0" w14:textId="77777777" w:rsidR="0078540D" w:rsidRDefault="0078540D">
            <w:pPr>
              <w:jc w:val="right"/>
              <w:rPr>
                <w:color w:val="000000"/>
                <w:sz w:val="20"/>
                <w:szCs w:val="20"/>
              </w:rPr>
            </w:pPr>
            <w:r>
              <w:rPr>
                <w:color w:val="000000"/>
                <w:sz w:val="20"/>
                <w:szCs w:val="20"/>
              </w:rPr>
              <w:t>0.001</w:t>
            </w:r>
          </w:p>
        </w:tc>
      </w:tr>
      <w:tr w:rsidR="0078540D" w14:paraId="385C5409" w14:textId="77777777" w:rsidTr="0078540D">
        <w:trPr>
          <w:trHeight w:val="320"/>
        </w:trPr>
        <w:tc>
          <w:tcPr>
            <w:tcW w:w="1176" w:type="dxa"/>
            <w:tcBorders>
              <w:top w:val="nil"/>
              <w:left w:val="nil"/>
              <w:bottom w:val="nil"/>
              <w:right w:val="nil"/>
            </w:tcBorders>
            <w:shd w:val="clear" w:color="auto" w:fill="auto"/>
            <w:noWrap/>
            <w:vAlign w:val="bottom"/>
            <w:hideMark/>
          </w:tcPr>
          <w:p w14:paraId="50388CA5"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78636B" w14:textId="77777777" w:rsidR="0078540D" w:rsidRDefault="0078540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98AD2AB"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DC0B8F3" w14:textId="77777777" w:rsidR="0078540D" w:rsidRDefault="0078540D">
            <w:pPr>
              <w:jc w:val="right"/>
              <w:rPr>
                <w:color w:val="000000"/>
                <w:sz w:val="20"/>
                <w:szCs w:val="20"/>
              </w:rPr>
            </w:pPr>
            <w:r>
              <w:rPr>
                <w:color w:val="000000"/>
                <w:sz w:val="20"/>
                <w:szCs w:val="20"/>
              </w:rPr>
              <w:t>0.865</w:t>
            </w:r>
          </w:p>
        </w:tc>
        <w:tc>
          <w:tcPr>
            <w:tcW w:w="768" w:type="dxa"/>
            <w:tcBorders>
              <w:top w:val="nil"/>
              <w:left w:val="nil"/>
              <w:bottom w:val="nil"/>
              <w:right w:val="nil"/>
            </w:tcBorders>
            <w:shd w:val="clear" w:color="auto" w:fill="auto"/>
            <w:noWrap/>
            <w:vAlign w:val="bottom"/>
            <w:hideMark/>
          </w:tcPr>
          <w:p w14:paraId="0583F90E"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F63919"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AF9319A" w14:textId="77777777" w:rsidR="0078540D" w:rsidRDefault="0078540D">
            <w:pPr>
              <w:jc w:val="right"/>
              <w:rPr>
                <w:color w:val="000000"/>
                <w:sz w:val="20"/>
                <w:szCs w:val="20"/>
              </w:rPr>
            </w:pPr>
            <w:r>
              <w:rPr>
                <w:color w:val="000000"/>
                <w:sz w:val="20"/>
                <w:szCs w:val="20"/>
              </w:rPr>
              <w:t>0.956</w:t>
            </w:r>
          </w:p>
        </w:tc>
        <w:tc>
          <w:tcPr>
            <w:tcW w:w="768" w:type="dxa"/>
            <w:tcBorders>
              <w:top w:val="nil"/>
              <w:left w:val="nil"/>
              <w:bottom w:val="nil"/>
              <w:right w:val="nil"/>
            </w:tcBorders>
            <w:shd w:val="clear" w:color="auto" w:fill="auto"/>
            <w:noWrap/>
            <w:vAlign w:val="bottom"/>
            <w:hideMark/>
          </w:tcPr>
          <w:p w14:paraId="34F0994B"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359C81"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CC1B490" w14:textId="77777777" w:rsidR="0078540D" w:rsidRDefault="0078540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0E38DEE5"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CB9DDB"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C73A9E8" w14:textId="77777777" w:rsidR="0078540D" w:rsidRDefault="0078540D">
            <w:pPr>
              <w:jc w:val="right"/>
              <w:rPr>
                <w:color w:val="000000"/>
                <w:sz w:val="20"/>
                <w:szCs w:val="20"/>
              </w:rPr>
            </w:pPr>
            <w:r>
              <w:rPr>
                <w:color w:val="000000"/>
                <w:sz w:val="20"/>
                <w:szCs w:val="20"/>
              </w:rPr>
              <w:t>0.443</w:t>
            </w:r>
          </w:p>
        </w:tc>
        <w:tc>
          <w:tcPr>
            <w:tcW w:w="768" w:type="dxa"/>
            <w:tcBorders>
              <w:top w:val="nil"/>
              <w:left w:val="nil"/>
              <w:bottom w:val="nil"/>
              <w:right w:val="nil"/>
            </w:tcBorders>
            <w:shd w:val="clear" w:color="auto" w:fill="auto"/>
            <w:noWrap/>
            <w:vAlign w:val="bottom"/>
            <w:hideMark/>
          </w:tcPr>
          <w:p w14:paraId="3C4A10D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749645" w14:textId="77777777" w:rsidR="0078540D" w:rsidRDefault="0078540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3B59535" w14:textId="77777777" w:rsidR="0078540D" w:rsidRDefault="0078540D">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3829D850" w14:textId="77777777" w:rsidR="0078540D" w:rsidRDefault="0078540D">
            <w:pPr>
              <w:jc w:val="right"/>
              <w:rPr>
                <w:color w:val="000000"/>
                <w:sz w:val="20"/>
                <w:szCs w:val="20"/>
              </w:rPr>
            </w:pPr>
            <w:r>
              <w:rPr>
                <w:color w:val="000000"/>
                <w:sz w:val="20"/>
                <w:szCs w:val="20"/>
              </w:rPr>
              <w:t>0.000</w:t>
            </w:r>
          </w:p>
        </w:tc>
      </w:tr>
      <w:tr w:rsidR="0078540D" w14:paraId="17249103" w14:textId="77777777" w:rsidTr="0078540D">
        <w:trPr>
          <w:trHeight w:val="320"/>
        </w:trPr>
        <w:tc>
          <w:tcPr>
            <w:tcW w:w="1176" w:type="dxa"/>
            <w:tcBorders>
              <w:top w:val="nil"/>
              <w:left w:val="nil"/>
              <w:bottom w:val="nil"/>
              <w:right w:val="nil"/>
            </w:tcBorders>
            <w:shd w:val="clear" w:color="auto" w:fill="auto"/>
            <w:noWrap/>
            <w:vAlign w:val="bottom"/>
            <w:hideMark/>
          </w:tcPr>
          <w:p w14:paraId="4910ACB1"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FBDF0D3" w14:textId="77777777" w:rsidR="0078540D" w:rsidRDefault="0078540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4CC7F0E" w14:textId="77777777" w:rsidR="0078540D" w:rsidRDefault="0078540D">
            <w:pPr>
              <w:jc w:val="right"/>
              <w:rPr>
                <w:b/>
                <w:bCs/>
                <w:color w:val="000000"/>
                <w:sz w:val="20"/>
                <w:szCs w:val="20"/>
              </w:rPr>
            </w:pPr>
            <w:r>
              <w:rPr>
                <w:b/>
                <w:bCs/>
                <w:color w:val="000000"/>
                <w:sz w:val="20"/>
                <w:szCs w:val="20"/>
              </w:rPr>
              <w:t>-0.075</w:t>
            </w:r>
          </w:p>
        </w:tc>
        <w:tc>
          <w:tcPr>
            <w:tcW w:w="768" w:type="dxa"/>
            <w:tcBorders>
              <w:top w:val="nil"/>
              <w:left w:val="nil"/>
              <w:bottom w:val="nil"/>
              <w:right w:val="nil"/>
            </w:tcBorders>
            <w:shd w:val="clear" w:color="auto" w:fill="auto"/>
            <w:noWrap/>
            <w:vAlign w:val="bottom"/>
            <w:hideMark/>
          </w:tcPr>
          <w:p w14:paraId="443322F6" w14:textId="77777777" w:rsidR="0078540D" w:rsidRDefault="0078540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8D12043" w14:textId="77777777" w:rsidR="0078540D" w:rsidRDefault="0078540D">
            <w:pPr>
              <w:jc w:val="right"/>
              <w:rPr>
                <w:b/>
                <w:bCs/>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09CFB5EF" w14:textId="77777777" w:rsidR="0078540D" w:rsidRDefault="0078540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00835497" w14:textId="77777777" w:rsidR="0078540D" w:rsidRDefault="0078540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4950D243"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C9F3107" w14:textId="77777777" w:rsidR="0078540D" w:rsidRDefault="0078540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4228B2EF" w14:textId="77777777" w:rsidR="0078540D" w:rsidRDefault="0078540D">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2E65490D"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EB04379" w14:textId="77777777" w:rsidR="0078540D" w:rsidRDefault="0078540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B196B4C" w14:textId="77777777" w:rsidR="0078540D" w:rsidRDefault="0078540D">
            <w:pPr>
              <w:jc w:val="right"/>
              <w:rPr>
                <w:color w:val="000000"/>
                <w:sz w:val="20"/>
                <w:szCs w:val="20"/>
              </w:rPr>
            </w:pPr>
            <w:r>
              <w:rPr>
                <w:color w:val="000000"/>
                <w:sz w:val="20"/>
                <w:szCs w:val="20"/>
              </w:rPr>
              <w:t>0.443</w:t>
            </w:r>
          </w:p>
        </w:tc>
        <w:tc>
          <w:tcPr>
            <w:tcW w:w="768" w:type="dxa"/>
            <w:tcBorders>
              <w:top w:val="nil"/>
              <w:left w:val="nil"/>
              <w:bottom w:val="nil"/>
              <w:right w:val="nil"/>
            </w:tcBorders>
            <w:shd w:val="clear" w:color="auto" w:fill="auto"/>
            <w:noWrap/>
            <w:vAlign w:val="bottom"/>
            <w:hideMark/>
          </w:tcPr>
          <w:p w14:paraId="293623A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022D09" w14:textId="77777777" w:rsidR="0078540D" w:rsidRDefault="0078540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7867FAB" w14:textId="77777777" w:rsidR="0078540D" w:rsidRDefault="0078540D">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7DDCB54F" w14:textId="77777777" w:rsidR="0078540D" w:rsidRDefault="0078540D">
            <w:pPr>
              <w:jc w:val="right"/>
              <w:rPr>
                <w:color w:val="000000"/>
                <w:sz w:val="20"/>
                <w:szCs w:val="20"/>
              </w:rPr>
            </w:pPr>
            <w:r>
              <w:rPr>
                <w:color w:val="000000"/>
                <w:sz w:val="20"/>
                <w:szCs w:val="20"/>
              </w:rPr>
              <w:t>0.000</w:t>
            </w:r>
          </w:p>
        </w:tc>
      </w:tr>
      <w:tr w:rsidR="0078540D" w14:paraId="739A1780" w14:textId="77777777" w:rsidTr="0078540D">
        <w:trPr>
          <w:trHeight w:val="320"/>
        </w:trPr>
        <w:tc>
          <w:tcPr>
            <w:tcW w:w="1176" w:type="dxa"/>
            <w:tcBorders>
              <w:top w:val="nil"/>
              <w:left w:val="nil"/>
              <w:bottom w:val="nil"/>
              <w:right w:val="nil"/>
            </w:tcBorders>
            <w:shd w:val="clear" w:color="auto" w:fill="auto"/>
            <w:noWrap/>
            <w:vAlign w:val="bottom"/>
            <w:hideMark/>
          </w:tcPr>
          <w:p w14:paraId="70DBD68F"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CC32E2D" w14:textId="77777777" w:rsidR="0078540D" w:rsidRDefault="0078540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6CF4280" w14:textId="77777777" w:rsidR="0078540D" w:rsidRDefault="0078540D">
            <w:pPr>
              <w:jc w:val="right"/>
              <w:rPr>
                <w:b/>
                <w:bCs/>
                <w:color w:val="000000"/>
                <w:sz w:val="20"/>
                <w:szCs w:val="20"/>
              </w:rPr>
            </w:pPr>
            <w:r>
              <w:rPr>
                <w:b/>
                <w:bCs/>
                <w:color w:val="000000"/>
                <w:sz w:val="20"/>
                <w:szCs w:val="20"/>
              </w:rPr>
              <w:t>0.073</w:t>
            </w:r>
          </w:p>
        </w:tc>
        <w:tc>
          <w:tcPr>
            <w:tcW w:w="768" w:type="dxa"/>
            <w:tcBorders>
              <w:top w:val="nil"/>
              <w:left w:val="nil"/>
              <w:bottom w:val="nil"/>
              <w:right w:val="nil"/>
            </w:tcBorders>
            <w:shd w:val="clear" w:color="auto" w:fill="auto"/>
            <w:noWrap/>
            <w:vAlign w:val="bottom"/>
            <w:hideMark/>
          </w:tcPr>
          <w:p w14:paraId="7836ED48" w14:textId="77777777" w:rsidR="0078540D" w:rsidRDefault="0078540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6E39D99E" w14:textId="77777777" w:rsidR="0078540D" w:rsidRDefault="0078540D">
            <w:pPr>
              <w:jc w:val="right"/>
              <w:rPr>
                <w:b/>
                <w:bCs/>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3C5E62FB" w14:textId="77777777" w:rsidR="0078540D" w:rsidRDefault="0078540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C081645" w14:textId="77777777" w:rsidR="0078540D" w:rsidRDefault="0078540D">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2D4B1BC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764CEF" w14:textId="77777777" w:rsidR="0078540D" w:rsidRDefault="0078540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6722EEA" w14:textId="77777777" w:rsidR="0078540D" w:rsidRDefault="0078540D">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357E826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5E6B02"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E3C1CA5" w14:textId="77777777" w:rsidR="0078540D" w:rsidRDefault="0078540D">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5323B584"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BF75F0C"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C061DE2" w14:textId="77777777" w:rsidR="0078540D" w:rsidRDefault="0078540D">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11B54EBB" w14:textId="77777777" w:rsidR="0078540D" w:rsidRDefault="0078540D">
            <w:pPr>
              <w:jc w:val="right"/>
              <w:rPr>
                <w:color w:val="000000"/>
                <w:sz w:val="20"/>
                <w:szCs w:val="20"/>
              </w:rPr>
            </w:pPr>
            <w:r>
              <w:rPr>
                <w:color w:val="000000"/>
                <w:sz w:val="20"/>
                <w:szCs w:val="20"/>
              </w:rPr>
              <w:t>0.000</w:t>
            </w:r>
          </w:p>
        </w:tc>
      </w:tr>
      <w:tr w:rsidR="0078540D" w14:paraId="2A4A2C78" w14:textId="77777777" w:rsidTr="0078540D">
        <w:trPr>
          <w:trHeight w:val="320"/>
        </w:trPr>
        <w:tc>
          <w:tcPr>
            <w:tcW w:w="1176" w:type="dxa"/>
            <w:tcBorders>
              <w:top w:val="nil"/>
              <w:left w:val="nil"/>
              <w:bottom w:val="nil"/>
              <w:right w:val="nil"/>
            </w:tcBorders>
            <w:shd w:val="clear" w:color="auto" w:fill="auto"/>
            <w:noWrap/>
            <w:vAlign w:val="bottom"/>
            <w:hideMark/>
          </w:tcPr>
          <w:p w14:paraId="798472D9"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36D7A8" w14:textId="77777777" w:rsidR="0078540D" w:rsidRDefault="0078540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7FC265D" w14:textId="77777777" w:rsidR="0078540D" w:rsidRDefault="0078540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1F58B1ED" w14:textId="77777777" w:rsidR="0078540D" w:rsidRDefault="0078540D">
            <w:pPr>
              <w:jc w:val="right"/>
              <w:rPr>
                <w:color w:val="000000"/>
                <w:sz w:val="20"/>
                <w:szCs w:val="20"/>
              </w:rPr>
            </w:pPr>
            <w:r>
              <w:rPr>
                <w:color w:val="000000"/>
                <w:sz w:val="20"/>
                <w:szCs w:val="20"/>
              </w:rPr>
              <w:t>0.194</w:t>
            </w:r>
          </w:p>
        </w:tc>
        <w:tc>
          <w:tcPr>
            <w:tcW w:w="768" w:type="dxa"/>
            <w:tcBorders>
              <w:top w:val="nil"/>
              <w:left w:val="nil"/>
              <w:bottom w:val="nil"/>
              <w:right w:val="nil"/>
            </w:tcBorders>
            <w:shd w:val="clear" w:color="auto" w:fill="auto"/>
            <w:noWrap/>
            <w:vAlign w:val="bottom"/>
            <w:hideMark/>
          </w:tcPr>
          <w:p w14:paraId="28AE998E"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D45A8DD"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046BFCAE" w14:textId="77777777" w:rsidR="0078540D" w:rsidRDefault="0078540D">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3DC9633F"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F13F07" w14:textId="77777777" w:rsidR="0078540D" w:rsidRDefault="0078540D">
            <w:pPr>
              <w:jc w:val="right"/>
              <w:rPr>
                <w:b/>
                <w:bCs/>
                <w:color w:val="000000"/>
                <w:sz w:val="20"/>
                <w:szCs w:val="20"/>
              </w:rPr>
            </w:pPr>
            <w:r>
              <w:rPr>
                <w:b/>
                <w:bCs/>
                <w:color w:val="000000"/>
                <w:sz w:val="20"/>
                <w:szCs w:val="20"/>
              </w:rPr>
              <w:t>0.065</w:t>
            </w:r>
          </w:p>
        </w:tc>
        <w:tc>
          <w:tcPr>
            <w:tcW w:w="768" w:type="dxa"/>
            <w:tcBorders>
              <w:top w:val="nil"/>
              <w:left w:val="nil"/>
              <w:bottom w:val="nil"/>
              <w:right w:val="nil"/>
            </w:tcBorders>
            <w:shd w:val="clear" w:color="auto" w:fill="auto"/>
            <w:noWrap/>
            <w:vAlign w:val="bottom"/>
            <w:hideMark/>
          </w:tcPr>
          <w:p w14:paraId="4F0BD2E6" w14:textId="77777777" w:rsidR="0078540D" w:rsidRDefault="0078540D">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13A69600" w14:textId="77777777" w:rsidR="0078540D" w:rsidRDefault="0078540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78D54CAC" w14:textId="77777777" w:rsidR="0078540D" w:rsidRDefault="0078540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9EB580C" w14:textId="77777777" w:rsidR="0078540D" w:rsidRDefault="0078540D">
            <w:pPr>
              <w:jc w:val="right"/>
              <w:rPr>
                <w:color w:val="000000"/>
                <w:sz w:val="20"/>
                <w:szCs w:val="20"/>
              </w:rPr>
            </w:pPr>
            <w:r>
              <w:rPr>
                <w:color w:val="000000"/>
                <w:sz w:val="20"/>
                <w:szCs w:val="20"/>
              </w:rPr>
              <w:t>0.349</w:t>
            </w:r>
          </w:p>
        </w:tc>
        <w:tc>
          <w:tcPr>
            <w:tcW w:w="768" w:type="dxa"/>
            <w:tcBorders>
              <w:top w:val="nil"/>
              <w:left w:val="nil"/>
              <w:bottom w:val="nil"/>
              <w:right w:val="nil"/>
            </w:tcBorders>
            <w:shd w:val="clear" w:color="auto" w:fill="auto"/>
            <w:noWrap/>
            <w:vAlign w:val="bottom"/>
            <w:hideMark/>
          </w:tcPr>
          <w:p w14:paraId="449D9E0C"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DC51C75" w14:textId="77777777" w:rsidR="0078540D" w:rsidRDefault="0078540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DE19623" w14:textId="77777777" w:rsidR="0078540D" w:rsidRDefault="0078540D">
            <w:pPr>
              <w:jc w:val="right"/>
              <w:rPr>
                <w:color w:val="000000"/>
                <w:sz w:val="20"/>
                <w:szCs w:val="20"/>
              </w:rPr>
            </w:pPr>
            <w:r>
              <w:rPr>
                <w:color w:val="000000"/>
                <w:sz w:val="20"/>
                <w:szCs w:val="20"/>
              </w:rPr>
              <w:t>0.824</w:t>
            </w:r>
          </w:p>
        </w:tc>
        <w:tc>
          <w:tcPr>
            <w:tcW w:w="768" w:type="dxa"/>
            <w:tcBorders>
              <w:top w:val="nil"/>
              <w:left w:val="nil"/>
              <w:bottom w:val="nil"/>
              <w:right w:val="nil"/>
            </w:tcBorders>
            <w:shd w:val="clear" w:color="auto" w:fill="auto"/>
            <w:noWrap/>
            <w:vAlign w:val="bottom"/>
            <w:hideMark/>
          </w:tcPr>
          <w:p w14:paraId="12498A45" w14:textId="77777777" w:rsidR="0078540D" w:rsidRDefault="0078540D">
            <w:pPr>
              <w:jc w:val="right"/>
              <w:rPr>
                <w:color w:val="000000"/>
                <w:sz w:val="20"/>
                <w:szCs w:val="20"/>
              </w:rPr>
            </w:pPr>
            <w:r>
              <w:rPr>
                <w:color w:val="000000"/>
                <w:sz w:val="20"/>
                <w:szCs w:val="20"/>
              </w:rPr>
              <w:t>0.000</w:t>
            </w:r>
          </w:p>
        </w:tc>
      </w:tr>
      <w:tr w:rsidR="0078540D" w14:paraId="3E180FA2" w14:textId="77777777" w:rsidTr="0078540D">
        <w:trPr>
          <w:trHeight w:val="320"/>
        </w:trPr>
        <w:tc>
          <w:tcPr>
            <w:tcW w:w="1176" w:type="dxa"/>
            <w:tcBorders>
              <w:top w:val="nil"/>
              <w:left w:val="nil"/>
              <w:bottom w:val="single" w:sz="4" w:space="0" w:color="auto"/>
              <w:right w:val="nil"/>
            </w:tcBorders>
            <w:shd w:val="clear" w:color="auto" w:fill="auto"/>
            <w:noWrap/>
            <w:vAlign w:val="bottom"/>
            <w:hideMark/>
          </w:tcPr>
          <w:p w14:paraId="7A98C24B" w14:textId="77777777" w:rsidR="0078540D" w:rsidRDefault="0078540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162BB1F" w14:textId="77777777" w:rsidR="0078540D" w:rsidRDefault="0078540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3B1621D" w14:textId="77777777" w:rsidR="0078540D" w:rsidRDefault="0078540D">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570DC1CF" w14:textId="77777777" w:rsidR="0078540D" w:rsidRDefault="0078540D">
            <w:pPr>
              <w:jc w:val="right"/>
              <w:rPr>
                <w:color w:val="000000"/>
                <w:sz w:val="20"/>
                <w:szCs w:val="20"/>
              </w:rPr>
            </w:pPr>
            <w:r>
              <w:rPr>
                <w:color w:val="000000"/>
                <w:sz w:val="20"/>
                <w:szCs w:val="20"/>
              </w:rPr>
              <w:t>0.264</w:t>
            </w:r>
          </w:p>
        </w:tc>
        <w:tc>
          <w:tcPr>
            <w:tcW w:w="768" w:type="dxa"/>
            <w:tcBorders>
              <w:top w:val="nil"/>
              <w:left w:val="nil"/>
              <w:bottom w:val="single" w:sz="4" w:space="0" w:color="auto"/>
              <w:right w:val="nil"/>
            </w:tcBorders>
            <w:shd w:val="clear" w:color="auto" w:fill="auto"/>
            <w:noWrap/>
            <w:vAlign w:val="bottom"/>
            <w:hideMark/>
          </w:tcPr>
          <w:p w14:paraId="45D102C8"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E6491A9" w14:textId="77777777" w:rsidR="0078540D" w:rsidRDefault="0078540D">
            <w:pPr>
              <w:jc w:val="right"/>
              <w:rPr>
                <w:b/>
                <w:bCs/>
                <w:color w:val="000000"/>
                <w:sz w:val="20"/>
                <w:szCs w:val="20"/>
              </w:rPr>
            </w:pPr>
            <w:r>
              <w:rPr>
                <w:b/>
                <w:bCs/>
                <w:color w:val="000000"/>
                <w:sz w:val="20"/>
                <w:szCs w:val="20"/>
              </w:rPr>
              <w:t>-0.104</w:t>
            </w:r>
          </w:p>
        </w:tc>
        <w:tc>
          <w:tcPr>
            <w:tcW w:w="768" w:type="dxa"/>
            <w:tcBorders>
              <w:top w:val="nil"/>
              <w:left w:val="nil"/>
              <w:bottom w:val="single" w:sz="4" w:space="0" w:color="auto"/>
              <w:right w:val="nil"/>
            </w:tcBorders>
            <w:shd w:val="clear" w:color="auto" w:fill="auto"/>
            <w:noWrap/>
            <w:vAlign w:val="bottom"/>
            <w:hideMark/>
          </w:tcPr>
          <w:p w14:paraId="73350CE2"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53C2A1E" w14:textId="77777777" w:rsidR="0078540D" w:rsidRDefault="0078540D">
            <w:pPr>
              <w:jc w:val="right"/>
              <w:rPr>
                <w:b/>
                <w:bCs/>
                <w:color w:val="000000"/>
                <w:sz w:val="20"/>
                <w:szCs w:val="20"/>
              </w:rPr>
            </w:pPr>
            <w:r>
              <w:rPr>
                <w:b/>
                <w:bCs/>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0028B005" w14:textId="77777777" w:rsidR="0078540D" w:rsidRDefault="0078540D">
            <w:pPr>
              <w:jc w:val="right"/>
              <w:rPr>
                <w:color w:val="000000"/>
                <w:sz w:val="20"/>
                <w:szCs w:val="20"/>
              </w:rPr>
            </w:pPr>
            <w:r>
              <w:rPr>
                <w:color w:val="000000"/>
                <w:sz w:val="20"/>
                <w:szCs w:val="20"/>
              </w:rPr>
              <w:t>0.039</w:t>
            </w:r>
          </w:p>
        </w:tc>
        <w:tc>
          <w:tcPr>
            <w:tcW w:w="768" w:type="dxa"/>
            <w:tcBorders>
              <w:top w:val="nil"/>
              <w:left w:val="nil"/>
              <w:bottom w:val="single" w:sz="4" w:space="0" w:color="auto"/>
              <w:right w:val="nil"/>
            </w:tcBorders>
            <w:shd w:val="clear" w:color="auto" w:fill="auto"/>
            <w:noWrap/>
            <w:vAlign w:val="bottom"/>
            <w:hideMark/>
          </w:tcPr>
          <w:p w14:paraId="33F5719B" w14:textId="77777777" w:rsidR="0078540D" w:rsidRDefault="0078540D">
            <w:pPr>
              <w:jc w:val="right"/>
              <w:rPr>
                <w:color w:val="000000"/>
                <w:sz w:val="20"/>
                <w:szCs w:val="20"/>
              </w:rPr>
            </w:pPr>
            <w:r>
              <w:rPr>
                <w:color w:val="000000"/>
                <w:sz w:val="20"/>
                <w:szCs w:val="20"/>
              </w:rPr>
              <w:t>0.301</w:t>
            </w:r>
          </w:p>
        </w:tc>
        <w:tc>
          <w:tcPr>
            <w:tcW w:w="768" w:type="dxa"/>
            <w:tcBorders>
              <w:top w:val="nil"/>
              <w:left w:val="nil"/>
              <w:bottom w:val="single" w:sz="4" w:space="0" w:color="auto"/>
              <w:right w:val="nil"/>
            </w:tcBorders>
            <w:shd w:val="clear" w:color="auto" w:fill="auto"/>
            <w:noWrap/>
            <w:vAlign w:val="bottom"/>
            <w:hideMark/>
          </w:tcPr>
          <w:p w14:paraId="6A140D37"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E4BF144"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627381F6" w14:textId="77777777" w:rsidR="0078540D" w:rsidRDefault="0078540D">
            <w:pPr>
              <w:jc w:val="right"/>
              <w:rPr>
                <w:color w:val="000000"/>
                <w:sz w:val="20"/>
                <w:szCs w:val="20"/>
              </w:rPr>
            </w:pPr>
            <w:r>
              <w:rPr>
                <w:color w:val="000000"/>
                <w:sz w:val="20"/>
                <w:szCs w:val="20"/>
              </w:rPr>
              <w:t>0.412</w:t>
            </w:r>
          </w:p>
        </w:tc>
        <w:tc>
          <w:tcPr>
            <w:tcW w:w="768" w:type="dxa"/>
            <w:tcBorders>
              <w:top w:val="nil"/>
              <w:left w:val="nil"/>
              <w:bottom w:val="single" w:sz="4" w:space="0" w:color="auto"/>
              <w:right w:val="nil"/>
            </w:tcBorders>
            <w:shd w:val="clear" w:color="auto" w:fill="auto"/>
            <w:noWrap/>
            <w:vAlign w:val="bottom"/>
            <w:hideMark/>
          </w:tcPr>
          <w:p w14:paraId="044DA66B"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1F60780"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468A8EEB" w14:textId="77777777" w:rsidR="0078540D" w:rsidRDefault="0078540D">
            <w:pPr>
              <w:jc w:val="right"/>
              <w:rPr>
                <w:color w:val="000000"/>
                <w:sz w:val="20"/>
                <w:szCs w:val="20"/>
              </w:rPr>
            </w:pPr>
            <w:r>
              <w:rPr>
                <w:color w:val="000000"/>
                <w:sz w:val="20"/>
                <w:szCs w:val="20"/>
              </w:rPr>
              <w:t>0.824</w:t>
            </w:r>
          </w:p>
        </w:tc>
        <w:tc>
          <w:tcPr>
            <w:tcW w:w="768" w:type="dxa"/>
            <w:tcBorders>
              <w:top w:val="nil"/>
              <w:left w:val="nil"/>
              <w:bottom w:val="single" w:sz="4" w:space="0" w:color="auto"/>
              <w:right w:val="nil"/>
            </w:tcBorders>
            <w:shd w:val="clear" w:color="auto" w:fill="auto"/>
            <w:noWrap/>
            <w:vAlign w:val="bottom"/>
            <w:hideMark/>
          </w:tcPr>
          <w:p w14:paraId="4C99A9E8" w14:textId="77777777" w:rsidR="0078540D" w:rsidRDefault="0078540D">
            <w:pPr>
              <w:jc w:val="right"/>
              <w:rPr>
                <w:color w:val="000000"/>
                <w:sz w:val="20"/>
                <w:szCs w:val="20"/>
              </w:rPr>
            </w:pPr>
            <w:r>
              <w:rPr>
                <w:color w:val="000000"/>
                <w:sz w:val="20"/>
                <w:szCs w:val="20"/>
              </w:rPr>
              <w:t>0.000</w:t>
            </w:r>
          </w:p>
        </w:tc>
      </w:tr>
      <w:tr w:rsidR="0078540D" w14:paraId="24671FF6" w14:textId="77777777" w:rsidTr="0078540D">
        <w:trPr>
          <w:trHeight w:val="320"/>
        </w:trPr>
        <w:tc>
          <w:tcPr>
            <w:tcW w:w="1176" w:type="dxa"/>
            <w:tcBorders>
              <w:top w:val="nil"/>
              <w:left w:val="nil"/>
              <w:bottom w:val="nil"/>
              <w:right w:val="nil"/>
            </w:tcBorders>
            <w:shd w:val="clear" w:color="auto" w:fill="auto"/>
            <w:noWrap/>
            <w:vAlign w:val="bottom"/>
            <w:hideMark/>
          </w:tcPr>
          <w:p w14:paraId="3C1C9856" w14:textId="77777777" w:rsidR="0078540D" w:rsidRDefault="0078540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300CF6F5" w14:textId="77777777" w:rsidR="0078540D" w:rsidRDefault="0078540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C6AD510" w14:textId="77777777" w:rsidR="0078540D" w:rsidRDefault="0078540D">
            <w:pPr>
              <w:jc w:val="right"/>
              <w:rPr>
                <w:b/>
                <w:bCs/>
                <w:color w:val="000000"/>
                <w:sz w:val="20"/>
                <w:szCs w:val="20"/>
              </w:rPr>
            </w:pPr>
            <w:r>
              <w:rPr>
                <w:b/>
                <w:bCs/>
                <w:color w:val="000000"/>
                <w:sz w:val="20"/>
                <w:szCs w:val="20"/>
              </w:rPr>
              <w:t>0.087</w:t>
            </w:r>
          </w:p>
        </w:tc>
        <w:tc>
          <w:tcPr>
            <w:tcW w:w="768" w:type="dxa"/>
            <w:tcBorders>
              <w:top w:val="nil"/>
              <w:left w:val="nil"/>
              <w:bottom w:val="nil"/>
              <w:right w:val="nil"/>
            </w:tcBorders>
            <w:shd w:val="clear" w:color="auto" w:fill="auto"/>
            <w:noWrap/>
            <w:vAlign w:val="bottom"/>
            <w:hideMark/>
          </w:tcPr>
          <w:p w14:paraId="297CD2A1"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34A9423B" w14:textId="77777777" w:rsidR="0078540D" w:rsidRDefault="0078540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C5E9FCF"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525A1E4" w14:textId="77777777" w:rsidR="0078540D" w:rsidRDefault="0078540D">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7FC06B8F"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EB54F2"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6269577" w14:textId="77777777" w:rsidR="0078540D" w:rsidRDefault="0078540D">
            <w:pPr>
              <w:jc w:val="right"/>
              <w:rPr>
                <w:color w:val="000000"/>
                <w:sz w:val="20"/>
                <w:szCs w:val="20"/>
              </w:rPr>
            </w:pPr>
            <w:r>
              <w:rPr>
                <w:color w:val="000000"/>
                <w:sz w:val="20"/>
                <w:szCs w:val="20"/>
              </w:rPr>
              <w:t>0.871</w:t>
            </w:r>
          </w:p>
        </w:tc>
        <w:tc>
          <w:tcPr>
            <w:tcW w:w="768" w:type="dxa"/>
            <w:tcBorders>
              <w:top w:val="nil"/>
              <w:left w:val="nil"/>
              <w:bottom w:val="nil"/>
              <w:right w:val="nil"/>
            </w:tcBorders>
            <w:shd w:val="clear" w:color="auto" w:fill="auto"/>
            <w:noWrap/>
            <w:vAlign w:val="bottom"/>
            <w:hideMark/>
          </w:tcPr>
          <w:p w14:paraId="5140CFFE"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783457"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47CCB1E" w14:textId="77777777" w:rsidR="0078540D" w:rsidRDefault="0078540D">
            <w:pPr>
              <w:jc w:val="right"/>
              <w:rPr>
                <w:color w:val="000000"/>
                <w:sz w:val="20"/>
                <w:szCs w:val="20"/>
              </w:rPr>
            </w:pPr>
            <w:r>
              <w:rPr>
                <w:color w:val="000000"/>
                <w:sz w:val="20"/>
                <w:szCs w:val="20"/>
              </w:rPr>
              <w:t>0.917</w:t>
            </w:r>
          </w:p>
        </w:tc>
        <w:tc>
          <w:tcPr>
            <w:tcW w:w="768" w:type="dxa"/>
            <w:tcBorders>
              <w:top w:val="nil"/>
              <w:left w:val="nil"/>
              <w:bottom w:val="nil"/>
              <w:right w:val="nil"/>
            </w:tcBorders>
            <w:shd w:val="clear" w:color="auto" w:fill="auto"/>
            <w:noWrap/>
            <w:vAlign w:val="bottom"/>
            <w:hideMark/>
          </w:tcPr>
          <w:p w14:paraId="62890BBF"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949406" w14:textId="77777777" w:rsidR="0078540D" w:rsidRDefault="0078540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4FF8AC3" w14:textId="77777777" w:rsidR="0078540D" w:rsidRDefault="0078540D">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3A7B39D9" w14:textId="77777777" w:rsidR="0078540D" w:rsidRDefault="0078540D">
            <w:pPr>
              <w:jc w:val="right"/>
              <w:rPr>
                <w:color w:val="000000"/>
                <w:sz w:val="20"/>
                <w:szCs w:val="20"/>
              </w:rPr>
            </w:pPr>
            <w:r>
              <w:rPr>
                <w:color w:val="000000"/>
                <w:sz w:val="20"/>
                <w:szCs w:val="20"/>
              </w:rPr>
              <w:t>0.000</w:t>
            </w:r>
          </w:p>
        </w:tc>
      </w:tr>
      <w:tr w:rsidR="0078540D" w14:paraId="5DE876E3" w14:textId="77777777" w:rsidTr="0078540D">
        <w:trPr>
          <w:trHeight w:val="320"/>
        </w:trPr>
        <w:tc>
          <w:tcPr>
            <w:tcW w:w="1176" w:type="dxa"/>
            <w:tcBorders>
              <w:top w:val="nil"/>
              <w:left w:val="nil"/>
              <w:bottom w:val="nil"/>
              <w:right w:val="nil"/>
            </w:tcBorders>
            <w:shd w:val="clear" w:color="auto" w:fill="auto"/>
            <w:noWrap/>
            <w:vAlign w:val="bottom"/>
            <w:hideMark/>
          </w:tcPr>
          <w:p w14:paraId="2341E9F3"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2B8D0FE" w14:textId="77777777" w:rsidR="0078540D" w:rsidRDefault="0078540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7365F36" w14:textId="77777777" w:rsidR="0078540D" w:rsidRDefault="0078540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7BEF8AA2" w14:textId="77777777" w:rsidR="0078540D" w:rsidRDefault="0078540D">
            <w:pPr>
              <w:jc w:val="right"/>
              <w:rPr>
                <w:color w:val="000000"/>
                <w:sz w:val="20"/>
                <w:szCs w:val="20"/>
              </w:rPr>
            </w:pPr>
            <w:r>
              <w:rPr>
                <w:color w:val="000000"/>
                <w:sz w:val="20"/>
                <w:szCs w:val="20"/>
              </w:rPr>
              <w:t>0.214</w:t>
            </w:r>
          </w:p>
        </w:tc>
        <w:tc>
          <w:tcPr>
            <w:tcW w:w="768" w:type="dxa"/>
            <w:tcBorders>
              <w:top w:val="nil"/>
              <w:left w:val="nil"/>
              <w:bottom w:val="nil"/>
              <w:right w:val="nil"/>
            </w:tcBorders>
            <w:shd w:val="clear" w:color="auto" w:fill="auto"/>
            <w:noWrap/>
            <w:vAlign w:val="bottom"/>
            <w:hideMark/>
          </w:tcPr>
          <w:p w14:paraId="2FA657F9"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89AD52" w14:textId="77777777" w:rsidR="0078540D" w:rsidRDefault="0078540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BCAEFAB" w14:textId="77777777" w:rsidR="0078540D" w:rsidRDefault="0078540D">
            <w:pPr>
              <w:jc w:val="right"/>
              <w:rPr>
                <w:color w:val="000000"/>
                <w:sz w:val="20"/>
                <w:szCs w:val="20"/>
              </w:rPr>
            </w:pPr>
            <w:r>
              <w:rPr>
                <w:color w:val="000000"/>
                <w:sz w:val="20"/>
                <w:szCs w:val="20"/>
              </w:rPr>
              <w:t>0.620</w:t>
            </w:r>
          </w:p>
        </w:tc>
        <w:tc>
          <w:tcPr>
            <w:tcW w:w="768" w:type="dxa"/>
            <w:tcBorders>
              <w:top w:val="nil"/>
              <w:left w:val="nil"/>
              <w:bottom w:val="nil"/>
              <w:right w:val="nil"/>
            </w:tcBorders>
            <w:shd w:val="clear" w:color="auto" w:fill="auto"/>
            <w:noWrap/>
            <w:vAlign w:val="bottom"/>
            <w:hideMark/>
          </w:tcPr>
          <w:p w14:paraId="0359348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413534"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0A2BFAB" w14:textId="77777777" w:rsidR="0078540D" w:rsidRDefault="0078540D">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6E9FCA4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20DB3F" w14:textId="77777777" w:rsidR="0078540D" w:rsidRDefault="0078540D">
            <w:pPr>
              <w:jc w:val="right"/>
              <w:rPr>
                <w:b/>
                <w:bCs/>
                <w:color w:val="000000"/>
                <w:sz w:val="20"/>
                <w:szCs w:val="20"/>
              </w:rPr>
            </w:pPr>
            <w:r>
              <w:rPr>
                <w:b/>
                <w:bCs/>
                <w:color w:val="000000"/>
                <w:sz w:val="20"/>
                <w:szCs w:val="20"/>
              </w:rPr>
              <w:t>-0.081</w:t>
            </w:r>
          </w:p>
        </w:tc>
        <w:tc>
          <w:tcPr>
            <w:tcW w:w="768" w:type="dxa"/>
            <w:tcBorders>
              <w:top w:val="nil"/>
              <w:left w:val="nil"/>
              <w:bottom w:val="nil"/>
              <w:right w:val="nil"/>
            </w:tcBorders>
            <w:shd w:val="clear" w:color="auto" w:fill="auto"/>
            <w:noWrap/>
            <w:vAlign w:val="bottom"/>
            <w:hideMark/>
          </w:tcPr>
          <w:p w14:paraId="1E87A953"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57799CA" w14:textId="77777777" w:rsidR="0078540D" w:rsidRDefault="0078540D">
            <w:pPr>
              <w:jc w:val="right"/>
              <w:rPr>
                <w:b/>
                <w:bCs/>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6853B38C" w14:textId="77777777" w:rsidR="0078540D" w:rsidRDefault="0078540D">
            <w:pPr>
              <w:jc w:val="right"/>
              <w:rPr>
                <w:b/>
                <w:bCs/>
                <w:color w:val="000000"/>
                <w:sz w:val="20"/>
                <w:szCs w:val="20"/>
              </w:rPr>
            </w:pPr>
            <w:r>
              <w:rPr>
                <w:b/>
                <w:bCs/>
                <w:color w:val="000000"/>
                <w:sz w:val="20"/>
                <w:szCs w:val="20"/>
              </w:rPr>
              <w:t>0.085</w:t>
            </w:r>
          </w:p>
        </w:tc>
        <w:tc>
          <w:tcPr>
            <w:tcW w:w="768" w:type="dxa"/>
            <w:tcBorders>
              <w:top w:val="nil"/>
              <w:left w:val="nil"/>
              <w:bottom w:val="nil"/>
              <w:right w:val="nil"/>
            </w:tcBorders>
            <w:shd w:val="clear" w:color="auto" w:fill="auto"/>
            <w:noWrap/>
            <w:vAlign w:val="bottom"/>
            <w:hideMark/>
          </w:tcPr>
          <w:p w14:paraId="6E1BE18A"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3EA8699D" w14:textId="77777777" w:rsidR="0078540D" w:rsidRDefault="0078540D">
            <w:pPr>
              <w:jc w:val="right"/>
              <w:rPr>
                <w:b/>
                <w:bCs/>
                <w:color w:val="000000"/>
                <w:sz w:val="20"/>
                <w:szCs w:val="20"/>
              </w:rPr>
            </w:pPr>
            <w:r>
              <w:rPr>
                <w:b/>
                <w:bCs/>
                <w:color w:val="000000"/>
                <w:sz w:val="20"/>
                <w:szCs w:val="20"/>
              </w:rPr>
              <w:t>0.007</w:t>
            </w:r>
          </w:p>
        </w:tc>
      </w:tr>
      <w:tr w:rsidR="0078540D" w14:paraId="23855911" w14:textId="77777777" w:rsidTr="0078540D">
        <w:trPr>
          <w:trHeight w:val="320"/>
        </w:trPr>
        <w:tc>
          <w:tcPr>
            <w:tcW w:w="1176" w:type="dxa"/>
            <w:tcBorders>
              <w:top w:val="nil"/>
              <w:left w:val="nil"/>
              <w:bottom w:val="nil"/>
              <w:right w:val="nil"/>
            </w:tcBorders>
            <w:shd w:val="clear" w:color="auto" w:fill="auto"/>
            <w:noWrap/>
            <w:vAlign w:val="bottom"/>
            <w:hideMark/>
          </w:tcPr>
          <w:p w14:paraId="3A25CDEA" w14:textId="77777777" w:rsidR="0078540D" w:rsidRDefault="0078540D">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57594F9D" w14:textId="77777777" w:rsidR="0078540D" w:rsidRDefault="0078540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850306D" w14:textId="77777777" w:rsidR="0078540D" w:rsidRDefault="0078540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75E78C6" w14:textId="77777777" w:rsidR="0078540D" w:rsidRDefault="0078540D">
            <w:pPr>
              <w:jc w:val="right"/>
              <w:rPr>
                <w:color w:val="000000"/>
                <w:sz w:val="20"/>
                <w:szCs w:val="20"/>
              </w:rPr>
            </w:pPr>
            <w:r>
              <w:rPr>
                <w:color w:val="000000"/>
                <w:sz w:val="20"/>
                <w:szCs w:val="20"/>
              </w:rPr>
              <w:t>0.232</w:t>
            </w:r>
          </w:p>
        </w:tc>
        <w:tc>
          <w:tcPr>
            <w:tcW w:w="768" w:type="dxa"/>
            <w:tcBorders>
              <w:top w:val="nil"/>
              <w:left w:val="nil"/>
              <w:bottom w:val="nil"/>
              <w:right w:val="nil"/>
            </w:tcBorders>
            <w:shd w:val="clear" w:color="auto" w:fill="auto"/>
            <w:noWrap/>
            <w:vAlign w:val="bottom"/>
            <w:hideMark/>
          </w:tcPr>
          <w:p w14:paraId="5E4C2017"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977FC3B"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B143028" w14:textId="77777777" w:rsidR="0078540D" w:rsidRDefault="0078540D">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50886EBC"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0CF40C" w14:textId="77777777" w:rsidR="0078540D" w:rsidRDefault="0078540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4FB2A5B" w14:textId="77777777" w:rsidR="0078540D" w:rsidRDefault="0078540D">
            <w:pPr>
              <w:jc w:val="right"/>
              <w:rPr>
                <w:color w:val="000000"/>
                <w:sz w:val="20"/>
                <w:szCs w:val="20"/>
              </w:rPr>
            </w:pPr>
            <w:r>
              <w:rPr>
                <w:color w:val="000000"/>
                <w:sz w:val="20"/>
                <w:szCs w:val="20"/>
              </w:rPr>
              <w:t>0.476</w:t>
            </w:r>
          </w:p>
        </w:tc>
        <w:tc>
          <w:tcPr>
            <w:tcW w:w="768" w:type="dxa"/>
            <w:tcBorders>
              <w:top w:val="nil"/>
              <w:left w:val="nil"/>
              <w:bottom w:val="nil"/>
              <w:right w:val="nil"/>
            </w:tcBorders>
            <w:shd w:val="clear" w:color="auto" w:fill="auto"/>
            <w:noWrap/>
            <w:vAlign w:val="bottom"/>
            <w:hideMark/>
          </w:tcPr>
          <w:p w14:paraId="0294AF2B"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10AA63"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365606D" w14:textId="77777777" w:rsidR="0078540D" w:rsidRDefault="0078540D">
            <w:pPr>
              <w:jc w:val="right"/>
              <w:rPr>
                <w:color w:val="000000"/>
                <w:sz w:val="20"/>
                <w:szCs w:val="20"/>
              </w:rPr>
            </w:pPr>
            <w:r>
              <w:rPr>
                <w:color w:val="000000"/>
                <w:sz w:val="20"/>
                <w:szCs w:val="20"/>
              </w:rPr>
              <w:t>0.507</w:t>
            </w:r>
          </w:p>
        </w:tc>
        <w:tc>
          <w:tcPr>
            <w:tcW w:w="768" w:type="dxa"/>
            <w:tcBorders>
              <w:top w:val="nil"/>
              <w:left w:val="nil"/>
              <w:bottom w:val="nil"/>
              <w:right w:val="nil"/>
            </w:tcBorders>
            <w:shd w:val="clear" w:color="auto" w:fill="auto"/>
            <w:noWrap/>
            <w:vAlign w:val="bottom"/>
            <w:hideMark/>
          </w:tcPr>
          <w:p w14:paraId="0330F28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D47F48" w14:textId="77777777" w:rsidR="0078540D" w:rsidRDefault="0078540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E23B204" w14:textId="77777777" w:rsidR="0078540D" w:rsidRDefault="0078540D">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3A713184" w14:textId="77777777" w:rsidR="0078540D" w:rsidRDefault="0078540D">
            <w:pPr>
              <w:jc w:val="right"/>
              <w:rPr>
                <w:color w:val="000000"/>
                <w:sz w:val="20"/>
                <w:szCs w:val="20"/>
              </w:rPr>
            </w:pPr>
            <w:r>
              <w:rPr>
                <w:color w:val="000000"/>
                <w:sz w:val="20"/>
                <w:szCs w:val="20"/>
              </w:rPr>
              <w:t>0.000</w:t>
            </w:r>
          </w:p>
        </w:tc>
      </w:tr>
      <w:tr w:rsidR="0078540D" w14:paraId="0DB947AD" w14:textId="77777777" w:rsidTr="0078540D">
        <w:trPr>
          <w:trHeight w:val="320"/>
        </w:trPr>
        <w:tc>
          <w:tcPr>
            <w:tcW w:w="1176" w:type="dxa"/>
            <w:tcBorders>
              <w:top w:val="nil"/>
              <w:left w:val="nil"/>
              <w:bottom w:val="nil"/>
              <w:right w:val="nil"/>
            </w:tcBorders>
            <w:shd w:val="clear" w:color="auto" w:fill="auto"/>
            <w:noWrap/>
            <w:vAlign w:val="bottom"/>
            <w:hideMark/>
          </w:tcPr>
          <w:p w14:paraId="4DB698EC"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11574F7" w14:textId="77777777" w:rsidR="0078540D" w:rsidRDefault="0078540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F3522C3" w14:textId="77777777" w:rsidR="0078540D" w:rsidRDefault="0078540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4837693" w14:textId="77777777" w:rsidR="0078540D" w:rsidRDefault="0078540D">
            <w:pPr>
              <w:jc w:val="right"/>
              <w:rPr>
                <w:color w:val="000000"/>
                <w:sz w:val="20"/>
                <w:szCs w:val="20"/>
              </w:rPr>
            </w:pPr>
            <w:r>
              <w:rPr>
                <w:color w:val="000000"/>
                <w:sz w:val="20"/>
                <w:szCs w:val="20"/>
              </w:rPr>
              <w:t>0.407</w:t>
            </w:r>
          </w:p>
        </w:tc>
        <w:tc>
          <w:tcPr>
            <w:tcW w:w="768" w:type="dxa"/>
            <w:tcBorders>
              <w:top w:val="nil"/>
              <w:left w:val="nil"/>
              <w:bottom w:val="nil"/>
              <w:right w:val="nil"/>
            </w:tcBorders>
            <w:shd w:val="clear" w:color="auto" w:fill="auto"/>
            <w:noWrap/>
            <w:vAlign w:val="bottom"/>
            <w:hideMark/>
          </w:tcPr>
          <w:p w14:paraId="12688FD1"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61F10F" w14:textId="77777777" w:rsidR="0078540D" w:rsidRDefault="0078540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869A5C3" w14:textId="77777777" w:rsidR="0078540D" w:rsidRDefault="0078540D">
            <w:pPr>
              <w:jc w:val="right"/>
              <w:rPr>
                <w:color w:val="000000"/>
                <w:sz w:val="20"/>
                <w:szCs w:val="20"/>
              </w:rPr>
            </w:pPr>
            <w:r>
              <w:rPr>
                <w:color w:val="000000"/>
                <w:sz w:val="20"/>
                <w:szCs w:val="20"/>
              </w:rPr>
              <w:t>0.164</w:t>
            </w:r>
          </w:p>
        </w:tc>
        <w:tc>
          <w:tcPr>
            <w:tcW w:w="768" w:type="dxa"/>
            <w:tcBorders>
              <w:top w:val="nil"/>
              <w:left w:val="nil"/>
              <w:bottom w:val="nil"/>
              <w:right w:val="nil"/>
            </w:tcBorders>
            <w:shd w:val="clear" w:color="auto" w:fill="auto"/>
            <w:noWrap/>
            <w:vAlign w:val="bottom"/>
            <w:hideMark/>
          </w:tcPr>
          <w:p w14:paraId="68091775"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D5D9BE" w14:textId="77777777" w:rsidR="0078540D" w:rsidRDefault="0078540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A0F19A1" w14:textId="77777777" w:rsidR="0078540D" w:rsidRDefault="0078540D">
            <w:pPr>
              <w:jc w:val="right"/>
              <w:rPr>
                <w:color w:val="000000"/>
                <w:sz w:val="20"/>
                <w:szCs w:val="20"/>
              </w:rPr>
            </w:pPr>
            <w:r>
              <w:rPr>
                <w:color w:val="000000"/>
                <w:sz w:val="20"/>
                <w:szCs w:val="20"/>
              </w:rPr>
              <w:t>0.461</w:t>
            </w:r>
          </w:p>
        </w:tc>
        <w:tc>
          <w:tcPr>
            <w:tcW w:w="768" w:type="dxa"/>
            <w:tcBorders>
              <w:top w:val="nil"/>
              <w:left w:val="nil"/>
              <w:bottom w:val="nil"/>
              <w:right w:val="nil"/>
            </w:tcBorders>
            <w:shd w:val="clear" w:color="auto" w:fill="auto"/>
            <w:noWrap/>
            <w:vAlign w:val="bottom"/>
            <w:hideMark/>
          </w:tcPr>
          <w:p w14:paraId="0056F388"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C96B2B" w14:textId="77777777" w:rsidR="0078540D" w:rsidRDefault="0078540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4212465" w14:textId="77777777" w:rsidR="0078540D" w:rsidRDefault="0078540D">
            <w:pPr>
              <w:jc w:val="right"/>
              <w:rPr>
                <w:color w:val="000000"/>
                <w:sz w:val="20"/>
                <w:szCs w:val="20"/>
              </w:rPr>
            </w:pPr>
            <w:r>
              <w:rPr>
                <w:color w:val="000000"/>
                <w:sz w:val="20"/>
                <w:szCs w:val="20"/>
              </w:rPr>
              <w:t>0.507</w:t>
            </w:r>
          </w:p>
        </w:tc>
        <w:tc>
          <w:tcPr>
            <w:tcW w:w="768" w:type="dxa"/>
            <w:tcBorders>
              <w:top w:val="nil"/>
              <w:left w:val="nil"/>
              <w:bottom w:val="nil"/>
              <w:right w:val="nil"/>
            </w:tcBorders>
            <w:shd w:val="clear" w:color="auto" w:fill="auto"/>
            <w:noWrap/>
            <w:vAlign w:val="bottom"/>
            <w:hideMark/>
          </w:tcPr>
          <w:p w14:paraId="267DFB6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22678C"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4EB4A7D" w14:textId="77777777" w:rsidR="0078540D" w:rsidRDefault="0078540D">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71957513" w14:textId="77777777" w:rsidR="0078540D" w:rsidRDefault="0078540D">
            <w:pPr>
              <w:jc w:val="right"/>
              <w:rPr>
                <w:color w:val="000000"/>
                <w:sz w:val="20"/>
                <w:szCs w:val="20"/>
              </w:rPr>
            </w:pPr>
            <w:r>
              <w:rPr>
                <w:color w:val="000000"/>
                <w:sz w:val="20"/>
                <w:szCs w:val="20"/>
              </w:rPr>
              <w:t>0.001</w:t>
            </w:r>
          </w:p>
        </w:tc>
      </w:tr>
      <w:tr w:rsidR="0078540D" w14:paraId="2B4D6318" w14:textId="77777777" w:rsidTr="0078540D">
        <w:trPr>
          <w:trHeight w:val="320"/>
        </w:trPr>
        <w:tc>
          <w:tcPr>
            <w:tcW w:w="1176" w:type="dxa"/>
            <w:tcBorders>
              <w:top w:val="nil"/>
              <w:left w:val="nil"/>
              <w:bottom w:val="nil"/>
              <w:right w:val="nil"/>
            </w:tcBorders>
            <w:shd w:val="clear" w:color="auto" w:fill="auto"/>
            <w:noWrap/>
            <w:vAlign w:val="bottom"/>
            <w:hideMark/>
          </w:tcPr>
          <w:p w14:paraId="17FF6F5F"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6059D7" w14:textId="77777777" w:rsidR="0078540D" w:rsidRDefault="0078540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4636E23" w14:textId="77777777" w:rsidR="0078540D" w:rsidRPr="003E53EF" w:rsidRDefault="0078540D">
            <w:pPr>
              <w:jc w:val="right"/>
              <w:rPr>
                <w:b/>
                <w:bCs/>
                <w:color w:val="000000"/>
                <w:sz w:val="20"/>
                <w:szCs w:val="20"/>
              </w:rPr>
            </w:pPr>
            <w:r w:rsidRPr="003E53EF">
              <w:rPr>
                <w:b/>
                <w:bCs/>
                <w:color w:val="000000"/>
                <w:sz w:val="20"/>
                <w:szCs w:val="20"/>
              </w:rPr>
              <w:t>-0.054</w:t>
            </w:r>
          </w:p>
        </w:tc>
        <w:tc>
          <w:tcPr>
            <w:tcW w:w="768" w:type="dxa"/>
            <w:tcBorders>
              <w:top w:val="nil"/>
              <w:left w:val="nil"/>
              <w:bottom w:val="nil"/>
              <w:right w:val="nil"/>
            </w:tcBorders>
            <w:shd w:val="clear" w:color="auto" w:fill="auto"/>
            <w:noWrap/>
            <w:vAlign w:val="bottom"/>
            <w:hideMark/>
          </w:tcPr>
          <w:p w14:paraId="6585172B" w14:textId="77777777" w:rsidR="0078540D" w:rsidRPr="003E53EF" w:rsidRDefault="0078540D">
            <w:pPr>
              <w:jc w:val="right"/>
              <w:rPr>
                <w:b/>
                <w:bCs/>
                <w:color w:val="000000"/>
                <w:sz w:val="20"/>
                <w:szCs w:val="20"/>
              </w:rPr>
            </w:pPr>
            <w:r w:rsidRPr="003E53EF">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3DD6C063" w14:textId="77777777" w:rsidR="0078540D" w:rsidRPr="003E53EF" w:rsidRDefault="0078540D">
            <w:pPr>
              <w:jc w:val="right"/>
              <w:rPr>
                <w:b/>
                <w:bCs/>
                <w:color w:val="000000"/>
                <w:sz w:val="20"/>
                <w:szCs w:val="20"/>
              </w:rPr>
            </w:pPr>
            <w:r w:rsidRPr="003E53EF">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729F61CA" w14:textId="77777777" w:rsidR="0078540D" w:rsidRDefault="0078540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7777BB1" w14:textId="77777777" w:rsidR="0078540D" w:rsidRDefault="0078540D">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6DD11222"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B1A495" w14:textId="77777777" w:rsidR="0078540D" w:rsidRDefault="0078540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22038FEB" w14:textId="77777777" w:rsidR="0078540D" w:rsidRDefault="0078540D">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7DB4EF27"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147A1A2"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4107E12" w14:textId="77777777" w:rsidR="0078540D" w:rsidRDefault="0078540D">
            <w:pPr>
              <w:jc w:val="right"/>
              <w:rPr>
                <w:color w:val="000000"/>
                <w:sz w:val="20"/>
                <w:szCs w:val="20"/>
              </w:rPr>
            </w:pPr>
            <w:r>
              <w:rPr>
                <w:color w:val="000000"/>
                <w:sz w:val="20"/>
                <w:szCs w:val="20"/>
              </w:rPr>
              <w:t>0.917</w:t>
            </w:r>
          </w:p>
        </w:tc>
        <w:tc>
          <w:tcPr>
            <w:tcW w:w="768" w:type="dxa"/>
            <w:tcBorders>
              <w:top w:val="nil"/>
              <w:left w:val="nil"/>
              <w:bottom w:val="nil"/>
              <w:right w:val="nil"/>
            </w:tcBorders>
            <w:shd w:val="clear" w:color="auto" w:fill="auto"/>
            <w:noWrap/>
            <w:vAlign w:val="bottom"/>
            <w:hideMark/>
          </w:tcPr>
          <w:p w14:paraId="17C1578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487BFC" w14:textId="77777777" w:rsidR="0078540D" w:rsidRDefault="0078540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AC9627D" w14:textId="77777777" w:rsidR="0078540D" w:rsidRDefault="0078540D">
            <w:pPr>
              <w:jc w:val="right"/>
              <w:rPr>
                <w:color w:val="000000"/>
                <w:sz w:val="20"/>
                <w:szCs w:val="20"/>
              </w:rPr>
            </w:pPr>
            <w:r>
              <w:rPr>
                <w:color w:val="000000"/>
                <w:sz w:val="20"/>
                <w:szCs w:val="20"/>
              </w:rPr>
              <w:t>0.555</w:t>
            </w:r>
          </w:p>
        </w:tc>
        <w:tc>
          <w:tcPr>
            <w:tcW w:w="768" w:type="dxa"/>
            <w:tcBorders>
              <w:top w:val="nil"/>
              <w:left w:val="nil"/>
              <w:bottom w:val="nil"/>
              <w:right w:val="nil"/>
            </w:tcBorders>
            <w:shd w:val="clear" w:color="auto" w:fill="auto"/>
            <w:noWrap/>
            <w:vAlign w:val="bottom"/>
            <w:hideMark/>
          </w:tcPr>
          <w:p w14:paraId="2AD43DA3" w14:textId="77777777" w:rsidR="0078540D" w:rsidRDefault="0078540D">
            <w:pPr>
              <w:jc w:val="right"/>
              <w:rPr>
                <w:color w:val="000000"/>
                <w:sz w:val="20"/>
                <w:szCs w:val="20"/>
              </w:rPr>
            </w:pPr>
            <w:r>
              <w:rPr>
                <w:color w:val="000000"/>
                <w:sz w:val="20"/>
                <w:szCs w:val="20"/>
              </w:rPr>
              <w:t>0.000</w:t>
            </w:r>
          </w:p>
        </w:tc>
      </w:tr>
      <w:tr w:rsidR="0078540D" w14:paraId="070B92FF" w14:textId="77777777" w:rsidTr="0078540D">
        <w:trPr>
          <w:trHeight w:val="320"/>
        </w:trPr>
        <w:tc>
          <w:tcPr>
            <w:tcW w:w="1176" w:type="dxa"/>
            <w:tcBorders>
              <w:top w:val="nil"/>
              <w:left w:val="nil"/>
              <w:bottom w:val="nil"/>
              <w:right w:val="nil"/>
            </w:tcBorders>
            <w:shd w:val="clear" w:color="auto" w:fill="auto"/>
            <w:noWrap/>
            <w:vAlign w:val="bottom"/>
            <w:hideMark/>
          </w:tcPr>
          <w:p w14:paraId="52DF5121"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C384EC8" w14:textId="77777777" w:rsidR="0078540D" w:rsidRDefault="0078540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73328CB" w14:textId="77777777" w:rsidR="0078540D" w:rsidRDefault="0078540D">
            <w:pPr>
              <w:jc w:val="right"/>
              <w:rPr>
                <w:b/>
                <w:bCs/>
                <w:color w:val="000000"/>
                <w:sz w:val="20"/>
                <w:szCs w:val="20"/>
              </w:rPr>
            </w:pPr>
            <w:r>
              <w:rPr>
                <w:b/>
                <w:bCs/>
                <w:color w:val="000000"/>
                <w:sz w:val="20"/>
                <w:szCs w:val="20"/>
              </w:rPr>
              <w:t>0.077</w:t>
            </w:r>
          </w:p>
        </w:tc>
        <w:tc>
          <w:tcPr>
            <w:tcW w:w="768" w:type="dxa"/>
            <w:tcBorders>
              <w:top w:val="nil"/>
              <w:left w:val="nil"/>
              <w:bottom w:val="nil"/>
              <w:right w:val="nil"/>
            </w:tcBorders>
            <w:shd w:val="clear" w:color="auto" w:fill="auto"/>
            <w:noWrap/>
            <w:vAlign w:val="bottom"/>
            <w:hideMark/>
          </w:tcPr>
          <w:p w14:paraId="00B0E14C"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1CBFC34E" w14:textId="77777777" w:rsidR="0078540D" w:rsidRDefault="0078540D">
            <w:pPr>
              <w:jc w:val="right"/>
              <w:rPr>
                <w:b/>
                <w:bCs/>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03B43EA3"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4D3B424" w14:textId="77777777" w:rsidR="0078540D" w:rsidRDefault="0078540D">
            <w:pPr>
              <w:jc w:val="right"/>
              <w:rPr>
                <w:color w:val="000000"/>
                <w:sz w:val="20"/>
                <w:szCs w:val="20"/>
              </w:rPr>
            </w:pPr>
            <w:r>
              <w:rPr>
                <w:color w:val="000000"/>
                <w:sz w:val="20"/>
                <w:szCs w:val="20"/>
              </w:rPr>
              <w:t>0.620</w:t>
            </w:r>
          </w:p>
        </w:tc>
        <w:tc>
          <w:tcPr>
            <w:tcW w:w="768" w:type="dxa"/>
            <w:tcBorders>
              <w:top w:val="nil"/>
              <w:left w:val="nil"/>
              <w:bottom w:val="nil"/>
              <w:right w:val="nil"/>
            </w:tcBorders>
            <w:shd w:val="clear" w:color="auto" w:fill="auto"/>
            <w:noWrap/>
            <w:vAlign w:val="bottom"/>
            <w:hideMark/>
          </w:tcPr>
          <w:p w14:paraId="38B29EC2"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7815A39" w14:textId="77777777" w:rsidR="0078540D" w:rsidRDefault="0078540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86F017D" w14:textId="77777777" w:rsidR="0078540D" w:rsidRDefault="0078540D">
            <w:pPr>
              <w:jc w:val="right"/>
              <w:rPr>
                <w:color w:val="000000"/>
                <w:sz w:val="20"/>
                <w:szCs w:val="20"/>
              </w:rPr>
            </w:pPr>
            <w:r>
              <w:rPr>
                <w:color w:val="000000"/>
                <w:sz w:val="20"/>
                <w:szCs w:val="20"/>
              </w:rPr>
              <w:t>0.476</w:t>
            </w:r>
          </w:p>
        </w:tc>
        <w:tc>
          <w:tcPr>
            <w:tcW w:w="768" w:type="dxa"/>
            <w:tcBorders>
              <w:top w:val="nil"/>
              <w:left w:val="nil"/>
              <w:bottom w:val="nil"/>
              <w:right w:val="nil"/>
            </w:tcBorders>
            <w:shd w:val="clear" w:color="auto" w:fill="auto"/>
            <w:noWrap/>
            <w:vAlign w:val="bottom"/>
            <w:hideMark/>
          </w:tcPr>
          <w:p w14:paraId="55990EDF"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DC6198"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098E33B" w14:textId="77777777" w:rsidR="0078540D" w:rsidRDefault="0078540D">
            <w:pPr>
              <w:jc w:val="right"/>
              <w:rPr>
                <w:color w:val="000000"/>
                <w:sz w:val="20"/>
                <w:szCs w:val="20"/>
              </w:rPr>
            </w:pPr>
            <w:r>
              <w:rPr>
                <w:color w:val="000000"/>
                <w:sz w:val="20"/>
                <w:szCs w:val="20"/>
              </w:rPr>
              <w:t>0.917</w:t>
            </w:r>
          </w:p>
        </w:tc>
        <w:tc>
          <w:tcPr>
            <w:tcW w:w="768" w:type="dxa"/>
            <w:tcBorders>
              <w:top w:val="nil"/>
              <w:left w:val="nil"/>
              <w:bottom w:val="nil"/>
              <w:right w:val="nil"/>
            </w:tcBorders>
            <w:shd w:val="clear" w:color="auto" w:fill="auto"/>
            <w:noWrap/>
            <w:vAlign w:val="bottom"/>
            <w:hideMark/>
          </w:tcPr>
          <w:p w14:paraId="04520E34"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F7841B" w14:textId="77777777" w:rsidR="0078540D" w:rsidRDefault="0078540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493F361" w14:textId="77777777" w:rsidR="0078540D" w:rsidRDefault="0078540D">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1AECBC96" w14:textId="77777777" w:rsidR="0078540D" w:rsidRDefault="0078540D">
            <w:pPr>
              <w:jc w:val="right"/>
              <w:rPr>
                <w:color w:val="000000"/>
                <w:sz w:val="20"/>
                <w:szCs w:val="20"/>
              </w:rPr>
            </w:pPr>
            <w:r>
              <w:rPr>
                <w:color w:val="000000"/>
                <w:sz w:val="20"/>
                <w:szCs w:val="20"/>
              </w:rPr>
              <w:t>0.000</w:t>
            </w:r>
          </w:p>
        </w:tc>
      </w:tr>
      <w:tr w:rsidR="0078540D" w14:paraId="572A166F" w14:textId="77777777" w:rsidTr="0078540D">
        <w:trPr>
          <w:trHeight w:val="320"/>
        </w:trPr>
        <w:tc>
          <w:tcPr>
            <w:tcW w:w="1176" w:type="dxa"/>
            <w:tcBorders>
              <w:top w:val="nil"/>
              <w:left w:val="nil"/>
              <w:bottom w:val="nil"/>
              <w:right w:val="nil"/>
            </w:tcBorders>
            <w:shd w:val="clear" w:color="auto" w:fill="auto"/>
            <w:noWrap/>
            <w:vAlign w:val="bottom"/>
            <w:hideMark/>
          </w:tcPr>
          <w:p w14:paraId="62130592"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C99014" w14:textId="77777777" w:rsidR="0078540D" w:rsidRDefault="0078540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5A9012A" w14:textId="77777777" w:rsidR="0078540D" w:rsidRDefault="0078540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F9EA76A" w14:textId="77777777" w:rsidR="0078540D" w:rsidRDefault="0078540D">
            <w:pPr>
              <w:jc w:val="right"/>
              <w:rPr>
                <w:color w:val="000000"/>
                <w:sz w:val="20"/>
                <w:szCs w:val="20"/>
              </w:rPr>
            </w:pPr>
            <w:r>
              <w:rPr>
                <w:color w:val="000000"/>
                <w:sz w:val="20"/>
                <w:szCs w:val="20"/>
              </w:rPr>
              <w:t>0.232</w:t>
            </w:r>
          </w:p>
        </w:tc>
        <w:tc>
          <w:tcPr>
            <w:tcW w:w="768" w:type="dxa"/>
            <w:tcBorders>
              <w:top w:val="nil"/>
              <w:left w:val="nil"/>
              <w:bottom w:val="nil"/>
              <w:right w:val="nil"/>
            </w:tcBorders>
            <w:shd w:val="clear" w:color="auto" w:fill="auto"/>
            <w:noWrap/>
            <w:vAlign w:val="bottom"/>
            <w:hideMark/>
          </w:tcPr>
          <w:p w14:paraId="24894A5A"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F6250E"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AF85312" w14:textId="77777777" w:rsidR="0078540D" w:rsidRDefault="0078540D">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439789DE"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90E98F"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7D5CD99A" w14:textId="77777777" w:rsidR="0078540D" w:rsidRDefault="0078540D">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6E14F429"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E7B59E"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82F3774" w14:textId="77777777" w:rsidR="0078540D" w:rsidRDefault="0078540D">
            <w:pPr>
              <w:jc w:val="right"/>
              <w:rPr>
                <w:color w:val="000000"/>
                <w:sz w:val="20"/>
                <w:szCs w:val="20"/>
              </w:rPr>
            </w:pPr>
            <w:r>
              <w:rPr>
                <w:color w:val="000000"/>
                <w:sz w:val="20"/>
                <w:szCs w:val="20"/>
              </w:rPr>
              <w:t>0.468</w:t>
            </w:r>
          </w:p>
        </w:tc>
        <w:tc>
          <w:tcPr>
            <w:tcW w:w="768" w:type="dxa"/>
            <w:tcBorders>
              <w:top w:val="nil"/>
              <w:left w:val="nil"/>
              <w:bottom w:val="nil"/>
              <w:right w:val="nil"/>
            </w:tcBorders>
            <w:shd w:val="clear" w:color="auto" w:fill="auto"/>
            <w:noWrap/>
            <w:vAlign w:val="bottom"/>
            <w:hideMark/>
          </w:tcPr>
          <w:p w14:paraId="066F3ACE"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2FA642" w14:textId="77777777" w:rsidR="0078540D" w:rsidRDefault="0078540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630A1F5F" w14:textId="77777777" w:rsidR="0078540D" w:rsidRDefault="0078540D">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166260D9" w14:textId="77777777" w:rsidR="0078540D" w:rsidRDefault="0078540D">
            <w:pPr>
              <w:jc w:val="right"/>
              <w:rPr>
                <w:color w:val="000000"/>
                <w:sz w:val="20"/>
                <w:szCs w:val="20"/>
              </w:rPr>
            </w:pPr>
            <w:r>
              <w:rPr>
                <w:color w:val="000000"/>
                <w:sz w:val="20"/>
                <w:szCs w:val="20"/>
              </w:rPr>
              <w:t>0.002</w:t>
            </w:r>
          </w:p>
        </w:tc>
      </w:tr>
      <w:tr w:rsidR="0078540D" w14:paraId="3C390D83" w14:textId="77777777" w:rsidTr="0078540D">
        <w:trPr>
          <w:trHeight w:val="320"/>
        </w:trPr>
        <w:tc>
          <w:tcPr>
            <w:tcW w:w="1176" w:type="dxa"/>
            <w:tcBorders>
              <w:top w:val="nil"/>
              <w:left w:val="nil"/>
              <w:bottom w:val="single" w:sz="4" w:space="0" w:color="auto"/>
              <w:right w:val="nil"/>
            </w:tcBorders>
            <w:shd w:val="clear" w:color="auto" w:fill="auto"/>
            <w:noWrap/>
            <w:vAlign w:val="bottom"/>
            <w:hideMark/>
          </w:tcPr>
          <w:p w14:paraId="04AB839C" w14:textId="77777777" w:rsidR="0078540D" w:rsidRDefault="0078540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2E49EA2" w14:textId="77777777" w:rsidR="0078540D" w:rsidRDefault="0078540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7A69813" w14:textId="77777777" w:rsidR="0078540D" w:rsidRDefault="0078540D">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2D24E7F8" w14:textId="77777777" w:rsidR="0078540D" w:rsidRDefault="0078540D">
            <w:pPr>
              <w:jc w:val="right"/>
              <w:rPr>
                <w:color w:val="000000"/>
                <w:sz w:val="20"/>
                <w:szCs w:val="20"/>
              </w:rPr>
            </w:pPr>
            <w:r>
              <w:rPr>
                <w:color w:val="000000"/>
                <w:sz w:val="20"/>
                <w:szCs w:val="20"/>
              </w:rPr>
              <w:t>0.603</w:t>
            </w:r>
          </w:p>
        </w:tc>
        <w:tc>
          <w:tcPr>
            <w:tcW w:w="768" w:type="dxa"/>
            <w:tcBorders>
              <w:top w:val="nil"/>
              <w:left w:val="nil"/>
              <w:bottom w:val="single" w:sz="4" w:space="0" w:color="auto"/>
              <w:right w:val="nil"/>
            </w:tcBorders>
            <w:shd w:val="clear" w:color="auto" w:fill="auto"/>
            <w:noWrap/>
            <w:vAlign w:val="bottom"/>
            <w:hideMark/>
          </w:tcPr>
          <w:p w14:paraId="7BE3F17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2B3D419" w14:textId="77777777" w:rsidR="0078540D" w:rsidRDefault="0078540D">
            <w:pPr>
              <w:jc w:val="right"/>
              <w:rPr>
                <w:b/>
                <w:bCs/>
                <w:color w:val="000000"/>
                <w:sz w:val="20"/>
                <w:szCs w:val="20"/>
              </w:rPr>
            </w:pPr>
            <w:r>
              <w:rPr>
                <w:b/>
                <w:bCs/>
                <w:color w:val="000000"/>
                <w:sz w:val="20"/>
                <w:szCs w:val="20"/>
              </w:rPr>
              <w:t>-0.070</w:t>
            </w:r>
          </w:p>
        </w:tc>
        <w:tc>
          <w:tcPr>
            <w:tcW w:w="768" w:type="dxa"/>
            <w:tcBorders>
              <w:top w:val="nil"/>
              <w:left w:val="nil"/>
              <w:bottom w:val="single" w:sz="4" w:space="0" w:color="auto"/>
              <w:right w:val="nil"/>
            </w:tcBorders>
            <w:shd w:val="clear" w:color="auto" w:fill="auto"/>
            <w:noWrap/>
            <w:vAlign w:val="bottom"/>
            <w:hideMark/>
          </w:tcPr>
          <w:p w14:paraId="77DCA9CE" w14:textId="77777777" w:rsidR="0078540D" w:rsidRDefault="0078540D">
            <w:pPr>
              <w:jc w:val="right"/>
              <w:rPr>
                <w:b/>
                <w:bCs/>
                <w:color w:val="000000"/>
                <w:sz w:val="20"/>
                <w:szCs w:val="20"/>
              </w:rPr>
            </w:pPr>
            <w:r>
              <w:rPr>
                <w:b/>
                <w:bCs/>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676B453C" w14:textId="77777777" w:rsidR="0078540D" w:rsidRDefault="0078540D">
            <w:pPr>
              <w:jc w:val="right"/>
              <w:rPr>
                <w:b/>
                <w:bCs/>
                <w:color w:val="000000"/>
                <w:sz w:val="20"/>
                <w:szCs w:val="20"/>
              </w:rPr>
            </w:pPr>
            <w:r>
              <w:rPr>
                <w:b/>
                <w:bCs/>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194C0350" w14:textId="77777777" w:rsidR="0078540D" w:rsidRDefault="0078540D">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1427D8DA" w14:textId="77777777" w:rsidR="0078540D" w:rsidRDefault="0078540D">
            <w:pPr>
              <w:jc w:val="right"/>
              <w:rPr>
                <w:color w:val="000000"/>
                <w:sz w:val="20"/>
                <w:szCs w:val="20"/>
              </w:rPr>
            </w:pPr>
            <w:r>
              <w:rPr>
                <w:color w:val="000000"/>
                <w:sz w:val="20"/>
                <w:szCs w:val="20"/>
              </w:rPr>
              <w:t>0.144</w:t>
            </w:r>
          </w:p>
        </w:tc>
        <w:tc>
          <w:tcPr>
            <w:tcW w:w="768" w:type="dxa"/>
            <w:tcBorders>
              <w:top w:val="nil"/>
              <w:left w:val="nil"/>
              <w:bottom w:val="single" w:sz="4" w:space="0" w:color="auto"/>
              <w:right w:val="nil"/>
            </w:tcBorders>
            <w:shd w:val="clear" w:color="auto" w:fill="auto"/>
            <w:noWrap/>
            <w:vAlign w:val="bottom"/>
            <w:hideMark/>
          </w:tcPr>
          <w:p w14:paraId="57B6CCEE"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AE0A6F9" w14:textId="77777777" w:rsidR="0078540D" w:rsidRDefault="0078540D">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37725023" w14:textId="77777777" w:rsidR="0078540D" w:rsidRDefault="0078540D">
            <w:pPr>
              <w:jc w:val="right"/>
              <w:rPr>
                <w:color w:val="000000"/>
                <w:sz w:val="20"/>
                <w:szCs w:val="20"/>
              </w:rPr>
            </w:pPr>
            <w:r>
              <w:rPr>
                <w:color w:val="000000"/>
                <w:sz w:val="20"/>
                <w:szCs w:val="20"/>
              </w:rPr>
              <w:t>0.507</w:t>
            </w:r>
          </w:p>
        </w:tc>
        <w:tc>
          <w:tcPr>
            <w:tcW w:w="768" w:type="dxa"/>
            <w:tcBorders>
              <w:top w:val="nil"/>
              <w:left w:val="nil"/>
              <w:bottom w:val="single" w:sz="4" w:space="0" w:color="auto"/>
              <w:right w:val="nil"/>
            </w:tcBorders>
            <w:shd w:val="clear" w:color="auto" w:fill="auto"/>
            <w:noWrap/>
            <w:vAlign w:val="bottom"/>
            <w:hideMark/>
          </w:tcPr>
          <w:p w14:paraId="3779129A"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ACB6727" w14:textId="77777777" w:rsidR="0078540D" w:rsidRDefault="0078540D">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28410867" w14:textId="77777777" w:rsidR="0078540D" w:rsidRDefault="0078540D">
            <w:pPr>
              <w:jc w:val="right"/>
              <w:rPr>
                <w:color w:val="000000"/>
                <w:sz w:val="20"/>
                <w:szCs w:val="20"/>
              </w:rPr>
            </w:pPr>
            <w:r>
              <w:rPr>
                <w:color w:val="000000"/>
                <w:sz w:val="20"/>
                <w:szCs w:val="20"/>
              </w:rPr>
              <w:t>0.395</w:t>
            </w:r>
          </w:p>
        </w:tc>
        <w:tc>
          <w:tcPr>
            <w:tcW w:w="768" w:type="dxa"/>
            <w:tcBorders>
              <w:top w:val="nil"/>
              <w:left w:val="nil"/>
              <w:bottom w:val="single" w:sz="4" w:space="0" w:color="auto"/>
              <w:right w:val="nil"/>
            </w:tcBorders>
            <w:shd w:val="clear" w:color="auto" w:fill="auto"/>
            <w:noWrap/>
            <w:vAlign w:val="bottom"/>
            <w:hideMark/>
          </w:tcPr>
          <w:p w14:paraId="61EC2AF6" w14:textId="77777777" w:rsidR="0078540D" w:rsidRDefault="0078540D">
            <w:pPr>
              <w:jc w:val="right"/>
              <w:rPr>
                <w:color w:val="000000"/>
                <w:sz w:val="20"/>
                <w:szCs w:val="20"/>
              </w:rPr>
            </w:pPr>
            <w:r>
              <w:rPr>
                <w:color w:val="000000"/>
                <w:sz w:val="20"/>
                <w:szCs w:val="20"/>
              </w:rPr>
              <w:t>0.001</w:t>
            </w:r>
          </w:p>
        </w:tc>
      </w:tr>
      <w:tr w:rsidR="0078540D" w14:paraId="5CA62563" w14:textId="77777777" w:rsidTr="0078540D">
        <w:trPr>
          <w:trHeight w:val="320"/>
        </w:trPr>
        <w:tc>
          <w:tcPr>
            <w:tcW w:w="1176" w:type="dxa"/>
            <w:tcBorders>
              <w:top w:val="nil"/>
              <w:left w:val="nil"/>
              <w:bottom w:val="nil"/>
              <w:right w:val="nil"/>
            </w:tcBorders>
            <w:shd w:val="clear" w:color="auto" w:fill="auto"/>
            <w:noWrap/>
            <w:vAlign w:val="bottom"/>
            <w:hideMark/>
          </w:tcPr>
          <w:p w14:paraId="73C834E0" w14:textId="77777777" w:rsidR="0078540D" w:rsidRDefault="0078540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62A170DB" w14:textId="77777777" w:rsidR="0078540D" w:rsidRDefault="0078540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6736895" w14:textId="77777777" w:rsidR="0078540D" w:rsidRDefault="0078540D">
            <w:pPr>
              <w:jc w:val="right"/>
              <w:rPr>
                <w:b/>
                <w:bCs/>
                <w:color w:val="000000"/>
                <w:sz w:val="20"/>
                <w:szCs w:val="20"/>
              </w:rPr>
            </w:pPr>
            <w:r>
              <w:rPr>
                <w:b/>
                <w:bCs/>
                <w:color w:val="000000"/>
                <w:sz w:val="20"/>
                <w:szCs w:val="20"/>
              </w:rPr>
              <w:t>0.085</w:t>
            </w:r>
          </w:p>
        </w:tc>
        <w:tc>
          <w:tcPr>
            <w:tcW w:w="768" w:type="dxa"/>
            <w:tcBorders>
              <w:top w:val="nil"/>
              <w:left w:val="nil"/>
              <w:bottom w:val="nil"/>
              <w:right w:val="nil"/>
            </w:tcBorders>
            <w:shd w:val="clear" w:color="auto" w:fill="auto"/>
            <w:noWrap/>
            <w:vAlign w:val="bottom"/>
            <w:hideMark/>
          </w:tcPr>
          <w:p w14:paraId="748012F6"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70646AB7" w14:textId="77777777" w:rsidR="0078540D" w:rsidRDefault="0078540D">
            <w:pPr>
              <w:jc w:val="right"/>
              <w:rPr>
                <w:b/>
                <w:bCs/>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575ED85A"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C9EE7DC" w14:textId="77777777" w:rsidR="0078540D" w:rsidRDefault="0078540D">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2731C3BB"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2EAA7C"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84F30D1" w14:textId="77777777" w:rsidR="0078540D" w:rsidRDefault="0078540D">
            <w:pPr>
              <w:jc w:val="right"/>
              <w:rPr>
                <w:color w:val="000000"/>
                <w:sz w:val="20"/>
                <w:szCs w:val="20"/>
              </w:rPr>
            </w:pPr>
            <w:r>
              <w:rPr>
                <w:color w:val="000000"/>
                <w:sz w:val="20"/>
                <w:szCs w:val="20"/>
              </w:rPr>
              <w:t>0.916</w:t>
            </w:r>
          </w:p>
        </w:tc>
        <w:tc>
          <w:tcPr>
            <w:tcW w:w="768" w:type="dxa"/>
            <w:tcBorders>
              <w:top w:val="nil"/>
              <w:left w:val="nil"/>
              <w:bottom w:val="nil"/>
              <w:right w:val="nil"/>
            </w:tcBorders>
            <w:shd w:val="clear" w:color="auto" w:fill="auto"/>
            <w:noWrap/>
            <w:vAlign w:val="bottom"/>
            <w:hideMark/>
          </w:tcPr>
          <w:p w14:paraId="61106644"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301C37"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B737D5" w14:textId="77777777" w:rsidR="0078540D" w:rsidRDefault="0078540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14E5B5A8"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76A840" w14:textId="77777777" w:rsidR="0078540D" w:rsidRDefault="0078540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2217E43" w14:textId="77777777" w:rsidR="0078540D" w:rsidRDefault="0078540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79F5901A" w14:textId="77777777" w:rsidR="0078540D" w:rsidRDefault="0078540D">
            <w:pPr>
              <w:jc w:val="right"/>
              <w:rPr>
                <w:color w:val="000000"/>
                <w:sz w:val="20"/>
                <w:szCs w:val="20"/>
              </w:rPr>
            </w:pPr>
            <w:r>
              <w:rPr>
                <w:color w:val="000000"/>
                <w:sz w:val="20"/>
                <w:szCs w:val="20"/>
              </w:rPr>
              <w:t>0.000</w:t>
            </w:r>
          </w:p>
        </w:tc>
      </w:tr>
      <w:tr w:rsidR="0078540D" w14:paraId="1EFCD45E" w14:textId="77777777" w:rsidTr="0078540D">
        <w:trPr>
          <w:trHeight w:val="320"/>
        </w:trPr>
        <w:tc>
          <w:tcPr>
            <w:tcW w:w="1176" w:type="dxa"/>
            <w:tcBorders>
              <w:top w:val="nil"/>
              <w:left w:val="nil"/>
              <w:bottom w:val="nil"/>
              <w:right w:val="nil"/>
            </w:tcBorders>
            <w:shd w:val="clear" w:color="auto" w:fill="auto"/>
            <w:noWrap/>
            <w:vAlign w:val="bottom"/>
            <w:hideMark/>
          </w:tcPr>
          <w:p w14:paraId="6CF52F30"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52037AE" w14:textId="77777777" w:rsidR="0078540D" w:rsidRDefault="0078540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004CFC7" w14:textId="77777777" w:rsidR="0078540D" w:rsidRDefault="0078540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23A3B64C" w14:textId="77777777" w:rsidR="0078540D" w:rsidRDefault="0078540D">
            <w:pPr>
              <w:jc w:val="right"/>
              <w:rPr>
                <w:color w:val="000000"/>
                <w:sz w:val="20"/>
                <w:szCs w:val="20"/>
              </w:rPr>
            </w:pPr>
            <w:r>
              <w:rPr>
                <w:color w:val="000000"/>
                <w:sz w:val="20"/>
                <w:szCs w:val="20"/>
              </w:rPr>
              <w:t>0.194</w:t>
            </w:r>
          </w:p>
        </w:tc>
        <w:tc>
          <w:tcPr>
            <w:tcW w:w="768" w:type="dxa"/>
            <w:tcBorders>
              <w:top w:val="nil"/>
              <w:left w:val="nil"/>
              <w:bottom w:val="nil"/>
              <w:right w:val="nil"/>
            </w:tcBorders>
            <w:shd w:val="clear" w:color="auto" w:fill="auto"/>
            <w:noWrap/>
            <w:vAlign w:val="bottom"/>
            <w:hideMark/>
          </w:tcPr>
          <w:p w14:paraId="5A955381"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DB16A29" w14:textId="77777777" w:rsidR="0078540D" w:rsidRDefault="0078540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A4268C3" w14:textId="77777777" w:rsidR="0078540D" w:rsidRDefault="0078540D">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30B9A75B"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560F78"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99C5E63" w14:textId="77777777" w:rsidR="0078540D" w:rsidRDefault="0078540D">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0EDDD61B"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6B90FD" w14:textId="77777777" w:rsidR="0078540D" w:rsidRDefault="0078540D">
            <w:pPr>
              <w:jc w:val="right"/>
              <w:rPr>
                <w:b/>
                <w:bCs/>
                <w:color w:val="000000"/>
                <w:sz w:val="20"/>
                <w:szCs w:val="20"/>
              </w:rPr>
            </w:pPr>
            <w:r>
              <w:rPr>
                <w:b/>
                <w:bCs/>
                <w:color w:val="000000"/>
                <w:sz w:val="20"/>
                <w:szCs w:val="20"/>
              </w:rPr>
              <w:t>-0.076</w:t>
            </w:r>
          </w:p>
        </w:tc>
        <w:tc>
          <w:tcPr>
            <w:tcW w:w="768" w:type="dxa"/>
            <w:tcBorders>
              <w:top w:val="nil"/>
              <w:left w:val="nil"/>
              <w:bottom w:val="nil"/>
              <w:right w:val="nil"/>
            </w:tcBorders>
            <w:shd w:val="clear" w:color="auto" w:fill="auto"/>
            <w:noWrap/>
            <w:vAlign w:val="bottom"/>
            <w:hideMark/>
          </w:tcPr>
          <w:p w14:paraId="0CA6292F"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D869982" w14:textId="77777777" w:rsidR="0078540D" w:rsidRDefault="0078540D">
            <w:pPr>
              <w:jc w:val="right"/>
              <w:rPr>
                <w:b/>
                <w:bCs/>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0FBBFB3A" w14:textId="77777777" w:rsidR="0078540D" w:rsidRDefault="0078540D">
            <w:pPr>
              <w:jc w:val="right"/>
              <w:rPr>
                <w:b/>
                <w:bCs/>
                <w:color w:val="000000"/>
                <w:sz w:val="20"/>
                <w:szCs w:val="20"/>
              </w:rPr>
            </w:pPr>
            <w:r>
              <w:rPr>
                <w:b/>
                <w:bCs/>
                <w:color w:val="000000"/>
                <w:sz w:val="20"/>
                <w:szCs w:val="20"/>
              </w:rPr>
              <w:t>0.081</w:t>
            </w:r>
          </w:p>
        </w:tc>
        <w:tc>
          <w:tcPr>
            <w:tcW w:w="768" w:type="dxa"/>
            <w:tcBorders>
              <w:top w:val="nil"/>
              <w:left w:val="nil"/>
              <w:bottom w:val="nil"/>
              <w:right w:val="nil"/>
            </w:tcBorders>
            <w:shd w:val="clear" w:color="auto" w:fill="auto"/>
            <w:noWrap/>
            <w:vAlign w:val="bottom"/>
            <w:hideMark/>
          </w:tcPr>
          <w:p w14:paraId="39A1A23C" w14:textId="77777777" w:rsidR="0078540D" w:rsidRDefault="0078540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08D99A30" w14:textId="77777777" w:rsidR="0078540D" w:rsidRDefault="0078540D">
            <w:pPr>
              <w:jc w:val="right"/>
              <w:rPr>
                <w:b/>
                <w:bCs/>
                <w:color w:val="000000"/>
                <w:sz w:val="20"/>
                <w:szCs w:val="20"/>
              </w:rPr>
            </w:pPr>
            <w:r>
              <w:rPr>
                <w:b/>
                <w:bCs/>
                <w:color w:val="000000"/>
                <w:sz w:val="20"/>
                <w:szCs w:val="20"/>
              </w:rPr>
              <w:t>0.007</w:t>
            </w:r>
          </w:p>
        </w:tc>
      </w:tr>
      <w:tr w:rsidR="0078540D" w14:paraId="512E9D77" w14:textId="77777777" w:rsidTr="0078540D">
        <w:trPr>
          <w:trHeight w:val="320"/>
        </w:trPr>
        <w:tc>
          <w:tcPr>
            <w:tcW w:w="1176" w:type="dxa"/>
            <w:tcBorders>
              <w:top w:val="nil"/>
              <w:left w:val="nil"/>
              <w:bottom w:val="nil"/>
              <w:right w:val="nil"/>
            </w:tcBorders>
            <w:shd w:val="clear" w:color="auto" w:fill="auto"/>
            <w:noWrap/>
            <w:vAlign w:val="bottom"/>
            <w:hideMark/>
          </w:tcPr>
          <w:p w14:paraId="646BE513" w14:textId="77777777" w:rsidR="0078540D" w:rsidRDefault="0078540D">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1A3FFC52" w14:textId="77777777" w:rsidR="0078540D" w:rsidRDefault="0078540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3BF9747"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81B4F32" w14:textId="77777777" w:rsidR="0078540D" w:rsidRDefault="0078540D">
            <w:pPr>
              <w:jc w:val="right"/>
              <w:rPr>
                <w:color w:val="000000"/>
                <w:sz w:val="20"/>
                <w:szCs w:val="20"/>
              </w:rPr>
            </w:pPr>
            <w:r>
              <w:rPr>
                <w:color w:val="000000"/>
                <w:sz w:val="20"/>
                <w:szCs w:val="20"/>
              </w:rPr>
              <w:t>0.282</w:t>
            </w:r>
          </w:p>
        </w:tc>
        <w:tc>
          <w:tcPr>
            <w:tcW w:w="768" w:type="dxa"/>
            <w:tcBorders>
              <w:top w:val="nil"/>
              <w:left w:val="nil"/>
              <w:bottom w:val="nil"/>
              <w:right w:val="nil"/>
            </w:tcBorders>
            <w:shd w:val="clear" w:color="auto" w:fill="auto"/>
            <w:noWrap/>
            <w:vAlign w:val="bottom"/>
            <w:hideMark/>
          </w:tcPr>
          <w:p w14:paraId="1AB9E0D2"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F29FD8"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1EB0D37" w14:textId="77777777" w:rsidR="0078540D" w:rsidRDefault="0078540D">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1166D87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8B0CC5" w14:textId="77777777" w:rsidR="0078540D" w:rsidRDefault="0078540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3E75BC9B" w14:textId="77777777" w:rsidR="0078540D" w:rsidRDefault="0078540D">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45D15462"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A9F17C9" w14:textId="77777777" w:rsidR="0078540D" w:rsidRDefault="0078540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146027E1" w14:textId="77777777" w:rsidR="0078540D" w:rsidRDefault="0078540D">
            <w:pPr>
              <w:jc w:val="right"/>
              <w:rPr>
                <w:color w:val="000000"/>
                <w:sz w:val="20"/>
                <w:szCs w:val="20"/>
              </w:rPr>
            </w:pPr>
            <w:r>
              <w:rPr>
                <w:color w:val="000000"/>
                <w:sz w:val="20"/>
                <w:szCs w:val="20"/>
              </w:rPr>
              <w:t>0.436</w:t>
            </w:r>
          </w:p>
        </w:tc>
        <w:tc>
          <w:tcPr>
            <w:tcW w:w="768" w:type="dxa"/>
            <w:tcBorders>
              <w:top w:val="nil"/>
              <w:left w:val="nil"/>
              <w:bottom w:val="nil"/>
              <w:right w:val="nil"/>
            </w:tcBorders>
            <w:shd w:val="clear" w:color="auto" w:fill="auto"/>
            <w:noWrap/>
            <w:vAlign w:val="bottom"/>
            <w:hideMark/>
          </w:tcPr>
          <w:p w14:paraId="47E69C82"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0F02C9"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BEAD7DF" w14:textId="77777777" w:rsidR="0078540D" w:rsidRDefault="0078540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5B6873C8" w14:textId="77777777" w:rsidR="0078540D" w:rsidRDefault="0078540D">
            <w:pPr>
              <w:jc w:val="right"/>
              <w:rPr>
                <w:color w:val="000000"/>
                <w:sz w:val="20"/>
                <w:szCs w:val="20"/>
              </w:rPr>
            </w:pPr>
            <w:r>
              <w:rPr>
                <w:color w:val="000000"/>
                <w:sz w:val="20"/>
                <w:szCs w:val="20"/>
              </w:rPr>
              <w:t>0.000</w:t>
            </w:r>
          </w:p>
        </w:tc>
      </w:tr>
      <w:tr w:rsidR="0078540D" w14:paraId="2603F288" w14:textId="77777777" w:rsidTr="0078540D">
        <w:trPr>
          <w:trHeight w:val="320"/>
        </w:trPr>
        <w:tc>
          <w:tcPr>
            <w:tcW w:w="1176" w:type="dxa"/>
            <w:tcBorders>
              <w:top w:val="nil"/>
              <w:left w:val="nil"/>
              <w:bottom w:val="nil"/>
              <w:right w:val="nil"/>
            </w:tcBorders>
            <w:shd w:val="clear" w:color="auto" w:fill="auto"/>
            <w:noWrap/>
            <w:vAlign w:val="bottom"/>
            <w:hideMark/>
          </w:tcPr>
          <w:p w14:paraId="045BC7F5"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012C0CB" w14:textId="77777777" w:rsidR="0078540D" w:rsidRDefault="0078540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A7B0DD3" w14:textId="77777777" w:rsidR="0078540D" w:rsidRDefault="0078540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DCE4EF0" w14:textId="77777777" w:rsidR="0078540D" w:rsidRDefault="0078540D">
            <w:pPr>
              <w:jc w:val="right"/>
              <w:rPr>
                <w:color w:val="000000"/>
                <w:sz w:val="20"/>
                <w:szCs w:val="20"/>
              </w:rPr>
            </w:pPr>
            <w:r>
              <w:rPr>
                <w:color w:val="000000"/>
                <w:sz w:val="20"/>
                <w:szCs w:val="20"/>
              </w:rPr>
              <w:t>0.591</w:t>
            </w:r>
          </w:p>
        </w:tc>
        <w:tc>
          <w:tcPr>
            <w:tcW w:w="768" w:type="dxa"/>
            <w:tcBorders>
              <w:top w:val="nil"/>
              <w:left w:val="nil"/>
              <w:bottom w:val="nil"/>
              <w:right w:val="nil"/>
            </w:tcBorders>
            <w:shd w:val="clear" w:color="auto" w:fill="auto"/>
            <w:noWrap/>
            <w:vAlign w:val="bottom"/>
            <w:hideMark/>
          </w:tcPr>
          <w:p w14:paraId="4EB72D9F"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5DFDD5" w14:textId="77777777" w:rsidR="0078540D" w:rsidRDefault="0078540D">
            <w:pPr>
              <w:jc w:val="right"/>
              <w:rPr>
                <w:b/>
                <w:bCs/>
                <w:color w:val="000000"/>
                <w:sz w:val="20"/>
                <w:szCs w:val="20"/>
              </w:rPr>
            </w:pPr>
            <w:r>
              <w:rPr>
                <w:b/>
                <w:bCs/>
                <w:color w:val="000000"/>
                <w:sz w:val="20"/>
                <w:szCs w:val="20"/>
              </w:rPr>
              <w:t>0.062</w:t>
            </w:r>
          </w:p>
        </w:tc>
        <w:tc>
          <w:tcPr>
            <w:tcW w:w="768" w:type="dxa"/>
            <w:tcBorders>
              <w:top w:val="nil"/>
              <w:left w:val="nil"/>
              <w:bottom w:val="nil"/>
              <w:right w:val="nil"/>
            </w:tcBorders>
            <w:shd w:val="clear" w:color="auto" w:fill="auto"/>
            <w:noWrap/>
            <w:vAlign w:val="bottom"/>
            <w:hideMark/>
          </w:tcPr>
          <w:p w14:paraId="04DFC2C1" w14:textId="77777777" w:rsidR="0078540D" w:rsidRDefault="0078540D">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173F0895" w14:textId="77777777" w:rsidR="0078540D" w:rsidRDefault="0078540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683904E2"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E7D3A40" w14:textId="77777777" w:rsidR="0078540D" w:rsidRDefault="0078540D">
            <w:pPr>
              <w:jc w:val="right"/>
              <w:rPr>
                <w:color w:val="000000"/>
                <w:sz w:val="20"/>
                <w:szCs w:val="20"/>
              </w:rPr>
            </w:pPr>
            <w:r>
              <w:rPr>
                <w:color w:val="000000"/>
                <w:sz w:val="20"/>
                <w:szCs w:val="20"/>
              </w:rPr>
              <w:t>0.298</w:t>
            </w:r>
          </w:p>
        </w:tc>
        <w:tc>
          <w:tcPr>
            <w:tcW w:w="768" w:type="dxa"/>
            <w:tcBorders>
              <w:top w:val="nil"/>
              <w:left w:val="nil"/>
              <w:bottom w:val="nil"/>
              <w:right w:val="nil"/>
            </w:tcBorders>
            <w:shd w:val="clear" w:color="auto" w:fill="auto"/>
            <w:noWrap/>
            <w:vAlign w:val="bottom"/>
            <w:hideMark/>
          </w:tcPr>
          <w:p w14:paraId="5530958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E4FB4A" w14:textId="77777777" w:rsidR="0078540D" w:rsidRDefault="0078540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28915E8" w14:textId="77777777" w:rsidR="0078540D" w:rsidRDefault="0078540D">
            <w:pPr>
              <w:jc w:val="right"/>
              <w:rPr>
                <w:color w:val="000000"/>
                <w:sz w:val="20"/>
                <w:szCs w:val="20"/>
              </w:rPr>
            </w:pPr>
            <w:r>
              <w:rPr>
                <w:color w:val="000000"/>
                <w:sz w:val="20"/>
                <w:szCs w:val="20"/>
              </w:rPr>
              <w:t>0.436</w:t>
            </w:r>
          </w:p>
        </w:tc>
        <w:tc>
          <w:tcPr>
            <w:tcW w:w="768" w:type="dxa"/>
            <w:tcBorders>
              <w:top w:val="nil"/>
              <w:left w:val="nil"/>
              <w:bottom w:val="nil"/>
              <w:right w:val="nil"/>
            </w:tcBorders>
            <w:shd w:val="clear" w:color="auto" w:fill="auto"/>
            <w:noWrap/>
            <w:vAlign w:val="bottom"/>
            <w:hideMark/>
          </w:tcPr>
          <w:p w14:paraId="201A3ED3"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9E8DA74" w14:textId="77777777" w:rsidR="0078540D" w:rsidRDefault="0078540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51157A6" w14:textId="77777777" w:rsidR="0078540D" w:rsidRDefault="0078540D">
            <w:pPr>
              <w:jc w:val="right"/>
              <w:rPr>
                <w:color w:val="000000"/>
                <w:sz w:val="20"/>
                <w:szCs w:val="20"/>
              </w:rPr>
            </w:pPr>
            <w:r>
              <w:rPr>
                <w:color w:val="000000"/>
                <w:sz w:val="20"/>
                <w:szCs w:val="20"/>
              </w:rPr>
              <w:t>0.541</w:t>
            </w:r>
          </w:p>
        </w:tc>
        <w:tc>
          <w:tcPr>
            <w:tcW w:w="768" w:type="dxa"/>
            <w:tcBorders>
              <w:top w:val="nil"/>
              <w:left w:val="nil"/>
              <w:bottom w:val="nil"/>
              <w:right w:val="nil"/>
            </w:tcBorders>
            <w:shd w:val="clear" w:color="auto" w:fill="auto"/>
            <w:noWrap/>
            <w:vAlign w:val="bottom"/>
            <w:hideMark/>
          </w:tcPr>
          <w:p w14:paraId="655C6E65" w14:textId="77777777" w:rsidR="0078540D" w:rsidRDefault="0078540D">
            <w:pPr>
              <w:jc w:val="right"/>
              <w:rPr>
                <w:color w:val="000000"/>
                <w:sz w:val="20"/>
                <w:szCs w:val="20"/>
              </w:rPr>
            </w:pPr>
            <w:r>
              <w:rPr>
                <w:color w:val="000000"/>
                <w:sz w:val="20"/>
                <w:szCs w:val="20"/>
              </w:rPr>
              <w:t>0.001</w:t>
            </w:r>
          </w:p>
        </w:tc>
      </w:tr>
      <w:tr w:rsidR="0078540D" w14:paraId="2BB780B2" w14:textId="77777777" w:rsidTr="0078540D">
        <w:trPr>
          <w:trHeight w:val="320"/>
        </w:trPr>
        <w:tc>
          <w:tcPr>
            <w:tcW w:w="1176" w:type="dxa"/>
            <w:tcBorders>
              <w:top w:val="nil"/>
              <w:left w:val="nil"/>
              <w:bottom w:val="nil"/>
              <w:right w:val="nil"/>
            </w:tcBorders>
            <w:shd w:val="clear" w:color="auto" w:fill="auto"/>
            <w:noWrap/>
            <w:vAlign w:val="bottom"/>
            <w:hideMark/>
          </w:tcPr>
          <w:p w14:paraId="007C1D15"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7461A8" w14:textId="77777777" w:rsidR="0078540D" w:rsidRDefault="0078540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FD33841" w14:textId="77777777" w:rsidR="0078540D" w:rsidRDefault="0078540D">
            <w:pPr>
              <w:jc w:val="right"/>
              <w:rPr>
                <w:b/>
                <w:bCs/>
                <w:color w:val="000000"/>
                <w:sz w:val="20"/>
                <w:szCs w:val="20"/>
              </w:rPr>
            </w:pPr>
            <w:r>
              <w:rPr>
                <w:b/>
                <w:bCs/>
                <w:color w:val="000000"/>
                <w:sz w:val="20"/>
                <w:szCs w:val="20"/>
              </w:rPr>
              <w:t>-0.054</w:t>
            </w:r>
          </w:p>
        </w:tc>
        <w:tc>
          <w:tcPr>
            <w:tcW w:w="768" w:type="dxa"/>
            <w:tcBorders>
              <w:top w:val="nil"/>
              <w:left w:val="nil"/>
              <w:bottom w:val="nil"/>
              <w:right w:val="nil"/>
            </w:tcBorders>
            <w:shd w:val="clear" w:color="auto" w:fill="auto"/>
            <w:noWrap/>
            <w:vAlign w:val="bottom"/>
            <w:hideMark/>
          </w:tcPr>
          <w:p w14:paraId="1522133C" w14:textId="77777777" w:rsidR="0078540D" w:rsidRDefault="0078540D">
            <w:pPr>
              <w:jc w:val="right"/>
              <w:rPr>
                <w:b/>
                <w:bCs/>
                <w:color w:val="000000"/>
                <w:sz w:val="20"/>
                <w:szCs w:val="20"/>
              </w:rPr>
            </w:pPr>
            <w:r>
              <w:rPr>
                <w:b/>
                <w:bCs/>
                <w:color w:val="000000"/>
                <w:sz w:val="20"/>
                <w:szCs w:val="20"/>
              </w:rPr>
              <w:t>0.043</w:t>
            </w:r>
          </w:p>
        </w:tc>
        <w:tc>
          <w:tcPr>
            <w:tcW w:w="768" w:type="dxa"/>
            <w:tcBorders>
              <w:top w:val="nil"/>
              <w:left w:val="nil"/>
              <w:bottom w:val="nil"/>
              <w:right w:val="nil"/>
            </w:tcBorders>
            <w:shd w:val="clear" w:color="auto" w:fill="auto"/>
            <w:noWrap/>
            <w:vAlign w:val="bottom"/>
            <w:hideMark/>
          </w:tcPr>
          <w:p w14:paraId="5748992C" w14:textId="77777777" w:rsidR="0078540D" w:rsidRDefault="0078540D">
            <w:pPr>
              <w:jc w:val="right"/>
              <w:rPr>
                <w:b/>
                <w:bCs/>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1729058D"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BC6C086" w14:textId="77777777" w:rsidR="0078540D" w:rsidRDefault="0078540D">
            <w:pPr>
              <w:jc w:val="right"/>
              <w:rPr>
                <w:color w:val="000000"/>
                <w:sz w:val="20"/>
                <w:szCs w:val="20"/>
              </w:rPr>
            </w:pPr>
            <w:r>
              <w:rPr>
                <w:color w:val="000000"/>
                <w:sz w:val="20"/>
                <w:szCs w:val="20"/>
              </w:rPr>
              <w:t>0.736</w:t>
            </w:r>
          </w:p>
        </w:tc>
        <w:tc>
          <w:tcPr>
            <w:tcW w:w="768" w:type="dxa"/>
            <w:tcBorders>
              <w:top w:val="nil"/>
              <w:left w:val="nil"/>
              <w:bottom w:val="nil"/>
              <w:right w:val="nil"/>
            </w:tcBorders>
            <w:shd w:val="clear" w:color="auto" w:fill="auto"/>
            <w:noWrap/>
            <w:vAlign w:val="bottom"/>
            <w:hideMark/>
          </w:tcPr>
          <w:p w14:paraId="32D4A76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26E247" w14:textId="77777777" w:rsidR="0078540D" w:rsidRDefault="0078540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25C378B0" w14:textId="77777777" w:rsidR="0078540D" w:rsidRDefault="0078540D">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56F9C8EF"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79E603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DE5E06" w14:textId="77777777" w:rsidR="0078540D" w:rsidRDefault="0078540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6AC9D48F"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EC5D9F"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D0775A" w14:textId="77777777" w:rsidR="0078540D" w:rsidRDefault="0078540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797F8252" w14:textId="77777777" w:rsidR="0078540D" w:rsidRDefault="0078540D">
            <w:pPr>
              <w:jc w:val="right"/>
              <w:rPr>
                <w:color w:val="000000"/>
                <w:sz w:val="20"/>
                <w:szCs w:val="20"/>
              </w:rPr>
            </w:pPr>
            <w:r>
              <w:rPr>
                <w:color w:val="000000"/>
                <w:sz w:val="20"/>
                <w:szCs w:val="20"/>
              </w:rPr>
              <w:t>0.000</w:t>
            </w:r>
          </w:p>
        </w:tc>
      </w:tr>
      <w:tr w:rsidR="0078540D" w14:paraId="0A505B89" w14:textId="77777777" w:rsidTr="0078540D">
        <w:trPr>
          <w:trHeight w:val="320"/>
        </w:trPr>
        <w:tc>
          <w:tcPr>
            <w:tcW w:w="1176" w:type="dxa"/>
            <w:tcBorders>
              <w:top w:val="nil"/>
              <w:left w:val="nil"/>
              <w:bottom w:val="nil"/>
              <w:right w:val="nil"/>
            </w:tcBorders>
            <w:shd w:val="clear" w:color="auto" w:fill="auto"/>
            <w:noWrap/>
            <w:vAlign w:val="bottom"/>
            <w:hideMark/>
          </w:tcPr>
          <w:p w14:paraId="39D0FEB6"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1C861FD" w14:textId="77777777" w:rsidR="0078540D" w:rsidRDefault="0078540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F63E088" w14:textId="77777777" w:rsidR="0078540D" w:rsidRDefault="0078540D">
            <w:pPr>
              <w:jc w:val="right"/>
              <w:rPr>
                <w:b/>
                <w:bCs/>
                <w:color w:val="000000"/>
                <w:sz w:val="20"/>
                <w:szCs w:val="20"/>
              </w:rPr>
            </w:pPr>
            <w:r>
              <w:rPr>
                <w:b/>
                <w:bCs/>
                <w:color w:val="000000"/>
                <w:sz w:val="20"/>
                <w:szCs w:val="20"/>
              </w:rPr>
              <w:t>0.086</w:t>
            </w:r>
          </w:p>
        </w:tc>
        <w:tc>
          <w:tcPr>
            <w:tcW w:w="768" w:type="dxa"/>
            <w:tcBorders>
              <w:top w:val="nil"/>
              <w:left w:val="nil"/>
              <w:bottom w:val="nil"/>
              <w:right w:val="nil"/>
            </w:tcBorders>
            <w:shd w:val="clear" w:color="auto" w:fill="auto"/>
            <w:noWrap/>
            <w:vAlign w:val="bottom"/>
            <w:hideMark/>
          </w:tcPr>
          <w:p w14:paraId="55A98F08"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4E106A3" w14:textId="77777777" w:rsidR="0078540D" w:rsidRDefault="0078540D">
            <w:pPr>
              <w:jc w:val="right"/>
              <w:rPr>
                <w:b/>
                <w:bCs/>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27C8882A" w14:textId="77777777" w:rsidR="0078540D" w:rsidRDefault="0078540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31C6AC7" w14:textId="77777777" w:rsidR="0078540D" w:rsidRDefault="0078540D">
            <w:pPr>
              <w:jc w:val="right"/>
              <w:rPr>
                <w:color w:val="000000"/>
                <w:sz w:val="20"/>
                <w:szCs w:val="20"/>
              </w:rPr>
            </w:pPr>
            <w:r>
              <w:rPr>
                <w:color w:val="000000"/>
                <w:sz w:val="20"/>
                <w:szCs w:val="20"/>
              </w:rPr>
              <w:t>0.347</w:t>
            </w:r>
          </w:p>
        </w:tc>
        <w:tc>
          <w:tcPr>
            <w:tcW w:w="768" w:type="dxa"/>
            <w:tcBorders>
              <w:top w:val="nil"/>
              <w:left w:val="nil"/>
              <w:bottom w:val="nil"/>
              <w:right w:val="nil"/>
            </w:tcBorders>
            <w:shd w:val="clear" w:color="auto" w:fill="auto"/>
            <w:noWrap/>
            <w:vAlign w:val="bottom"/>
            <w:hideMark/>
          </w:tcPr>
          <w:p w14:paraId="043944FD"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4185895" w14:textId="77777777" w:rsidR="0078540D" w:rsidRDefault="0078540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50B0838" w14:textId="77777777" w:rsidR="0078540D" w:rsidRDefault="0078540D">
            <w:pPr>
              <w:jc w:val="right"/>
              <w:rPr>
                <w:color w:val="000000"/>
                <w:sz w:val="20"/>
                <w:szCs w:val="20"/>
              </w:rPr>
            </w:pPr>
            <w:r>
              <w:rPr>
                <w:color w:val="000000"/>
                <w:sz w:val="20"/>
                <w:szCs w:val="20"/>
              </w:rPr>
              <w:t>0.527</w:t>
            </w:r>
          </w:p>
        </w:tc>
        <w:tc>
          <w:tcPr>
            <w:tcW w:w="768" w:type="dxa"/>
            <w:tcBorders>
              <w:top w:val="nil"/>
              <w:left w:val="nil"/>
              <w:bottom w:val="nil"/>
              <w:right w:val="nil"/>
            </w:tcBorders>
            <w:shd w:val="clear" w:color="auto" w:fill="auto"/>
            <w:noWrap/>
            <w:vAlign w:val="bottom"/>
            <w:hideMark/>
          </w:tcPr>
          <w:p w14:paraId="2347401C"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733DFF"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31E58F3" w14:textId="77777777" w:rsidR="0078540D" w:rsidRDefault="0078540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3E4718C0"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8D599D"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1B3C109" w14:textId="77777777" w:rsidR="0078540D" w:rsidRDefault="0078540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180170C8" w14:textId="77777777" w:rsidR="0078540D" w:rsidRDefault="0078540D">
            <w:pPr>
              <w:jc w:val="right"/>
              <w:rPr>
                <w:color w:val="000000"/>
                <w:sz w:val="20"/>
                <w:szCs w:val="20"/>
              </w:rPr>
            </w:pPr>
            <w:r>
              <w:rPr>
                <w:color w:val="000000"/>
                <w:sz w:val="20"/>
                <w:szCs w:val="20"/>
              </w:rPr>
              <w:t>0.000</w:t>
            </w:r>
          </w:p>
        </w:tc>
      </w:tr>
      <w:tr w:rsidR="0078540D" w14:paraId="4311882B" w14:textId="77777777" w:rsidTr="0078540D">
        <w:trPr>
          <w:trHeight w:val="320"/>
        </w:trPr>
        <w:tc>
          <w:tcPr>
            <w:tcW w:w="1176" w:type="dxa"/>
            <w:tcBorders>
              <w:top w:val="nil"/>
              <w:left w:val="nil"/>
              <w:bottom w:val="nil"/>
              <w:right w:val="nil"/>
            </w:tcBorders>
            <w:shd w:val="clear" w:color="auto" w:fill="auto"/>
            <w:noWrap/>
            <w:vAlign w:val="bottom"/>
            <w:hideMark/>
          </w:tcPr>
          <w:p w14:paraId="47D4570F"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81CAE72" w14:textId="77777777" w:rsidR="0078540D" w:rsidRDefault="0078540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F5D16A4" w14:textId="77777777" w:rsidR="0078540D" w:rsidRDefault="0078540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13A7980" w14:textId="77777777" w:rsidR="0078540D" w:rsidRDefault="0078540D">
            <w:pPr>
              <w:jc w:val="right"/>
              <w:rPr>
                <w:color w:val="000000"/>
                <w:sz w:val="20"/>
                <w:szCs w:val="20"/>
              </w:rPr>
            </w:pPr>
            <w:r>
              <w:rPr>
                <w:color w:val="000000"/>
                <w:sz w:val="20"/>
                <w:szCs w:val="20"/>
              </w:rPr>
              <w:t>0.399</w:t>
            </w:r>
          </w:p>
        </w:tc>
        <w:tc>
          <w:tcPr>
            <w:tcW w:w="768" w:type="dxa"/>
            <w:tcBorders>
              <w:top w:val="nil"/>
              <w:left w:val="nil"/>
              <w:bottom w:val="nil"/>
              <w:right w:val="nil"/>
            </w:tcBorders>
            <w:shd w:val="clear" w:color="auto" w:fill="auto"/>
            <w:noWrap/>
            <w:vAlign w:val="bottom"/>
            <w:hideMark/>
          </w:tcPr>
          <w:p w14:paraId="6B54213A"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8BA67C"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97E92A1" w14:textId="77777777" w:rsidR="0078540D" w:rsidRDefault="0078540D">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77CBEB13"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0627C5" w14:textId="77777777" w:rsidR="0078540D" w:rsidRDefault="0078540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83091C0" w14:textId="77777777" w:rsidR="0078540D" w:rsidRDefault="0078540D">
            <w:pPr>
              <w:jc w:val="right"/>
              <w:rPr>
                <w:color w:val="000000"/>
                <w:sz w:val="20"/>
                <w:szCs w:val="20"/>
              </w:rPr>
            </w:pPr>
            <w:r>
              <w:rPr>
                <w:color w:val="000000"/>
                <w:sz w:val="20"/>
                <w:szCs w:val="20"/>
              </w:rPr>
              <w:t>0.197</w:t>
            </w:r>
          </w:p>
        </w:tc>
        <w:tc>
          <w:tcPr>
            <w:tcW w:w="768" w:type="dxa"/>
            <w:tcBorders>
              <w:top w:val="nil"/>
              <w:left w:val="nil"/>
              <w:bottom w:val="nil"/>
              <w:right w:val="nil"/>
            </w:tcBorders>
            <w:shd w:val="clear" w:color="auto" w:fill="auto"/>
            <w:noWrap/>
            <w:vAlign w:val="bottom"/>
            <w:hideMark/>
          </w:tcPr>
          <w:p w14:paraId="3A543CC8"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CAC89D1" w14:textId="77777777" w:rsidR="0078540D" w:rsidRDefault="0078540D">
            <w:pPr>
              <w:jc w:val="right"/>
              <w:rPr>
                <w:b/>
                <w:bCs/>
                <w:color w:val="000000"/>
                <w:sz w:val="20"/>
                <w:szCs w:val="20"/>
              </w:rPr>
            </w:pPr>
            <w:r>
              <w:rPr>
                <w:b/>
                <w:bCs/>
                <w:color w:val="000000"/>
                <w:sz w:val="20"/>
                <w:szCs w:val="20"/>
              </w:rPr>
              <w:t>0.047</w:t>
            </w:r>
          </w:p>
        </w:tc>
        <w:tc>
          <w:tcPr>
            <w:tcW w:w="768" w:type="dxa"/>
            <w:tcBorders>
              <w:top w:val="nil"/>
              <w:left w:val="nil"/>
              <w:bottom w:val="nil"/>
              <w:right w:val="nil"/>
            </w:tcBorders>
            <w:shd w:val="clear" w:color="auto" w:fill="auto"/>
            <w:noWrap/>
            <w:vAlign w:val="bottom"/>
            <w:hideMark/>
          </w:tcPr>
          <w:p w14:paraId="122FE381" w14:textId="77777777" w:rsidR="0078540D" w:rsidRDefault="0078540D">
            <w:pPr>
              <w:jc w:val="right"/>
              <w:rPr>
                <w:b/>
                <w:bCs/>
                <w:color w:val="000000"/>
                <w:sz w:val="20"/>
                <w:szCs w:val="20"/>
              </w:rPr>
            </w:pPr>
            <w:r>
              <w:rPr>
                <w:b/>
                <w:bCs/>
                <w:color w:val="000000"/>
                <w:sz w:val="20"/>
                <w:szCs w:val="20"/>
              </w:rPr>
              <w:t>0.064</w:t>
            </w:r>
          </w:p>
        </w:tc>
        <w:tc>
          <w:tcPr>
            <w:tcW w:w="768" w:type="dxa"/>
            <w:tcBorders>
              <w:top w:val="nil"/>
              <w:left w:val="nil"/>
              <w:bottom w:val="nil"/>
              <w:right w:val="nil"/>
            </w:tcBorders>
            <w:shd w:val="clear" w:color="auto" w:fill="auto"/>
            <w:noWrap/>
            <w:vAlign w:val="bottom"/>
            <w:hideMark/>
          </w:tcPr>
          <w:p w14:paraId="523797C4" w14:textId="77777777" w:rsidR="0078540D" w:rsidRDefault="0078540D">
            <w:pPr>
              <w:jc w:val="right"/>
              <w:rPr>
                <w:b/>
                <w:bCs/>
                <w:color w:val="000000"/>
                <w:sz w:val="20"/>
                <w:szCs w:val="20"/>
              </w:rPr>
            </w:pPr>
            <w:r>
              <w:rPr>
                <w:b/>
                <w:bCs/>
                <w:color w:val="000000"/>
                <w:sz w:val="20"/>
                <w:szCs w:val="20"/>
              </w:rPr>
              <w:t>0.002</w:t>
            </w:r>
          </w:p>
        </w:tc>
        <w:tc>
          <w:tcPr>
            <w:tcW w:w="768" w:type="dxa"/>
            <w:tcBorders>
              <w:top w:val="nil"/>
              <w:left w:val="nil"/>
              <w:bottom w:val="nil"/>
              <w:right w:val="nil"/>
            </w:tcBorders>
            <w:shd w:val="clear" w:color="auto" w:fill="auto"/>
            <w:noWrap/>
            <w:vAlign w:val="bottom"/>
            <w:hideMark/>
          </w:tcPr>
          <w:p w14:paraId="39C6141E" w14:textId="77777777" w:rsidR="0078540D" w:rsidRDefault="0078540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EFE9B89" w14:textId="77777777" w:rsidR="0078540D" w:rsidRDefault="0078540D">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08A1D268" w14:textId="77777777" w:rsidR="0078540D" w:rsidRDefault="0078540D">
            <w:pPr>
              <w:jc w:val="right"/>
              <w:rPr>
                <w:color w:val="000000"/>
                <w:sz w:val="20"/>
                <w:szCs w:val="20"/>
              </w:rPr>
            </w:pPr>
            <w:r>
              <w:rPr>
                <w:color w:val="000000"/>
                <w:sz w:val="20"/>
                <w:szCs w:val="20"/>
              </w:rPr>
              <w:t>0.000</w:t>
            </w:r>
          </w:p>
        </w:tc>
      </w:tr>
      <w:tr w:rsidR="0078540D" w14:paraId="012755D4"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12A1AFCB" w14:textId="77777777" w:rsidR="0078540D" w:rsidRDefault="0078540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5FE1ADE0" w14:textId="77777777" w:rsidR="0078540D" w:rsidRDefault="0078540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6FD84DE1" w14:textId="77777777" w:rsidR="0078540D" w:rsidRDefault="0078540D">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583092F8" w14:textId="77777777" w:rsidR="0078540D" w:rsidRDefault="0078540D">
            <w:pPr>
              <w:jc w:val="right"/>
              <w:rPr>
                <w:color w:val="000000"/>
                <w:sz w:val="20"/>
                <w:szCs w:val="20"/>
              </w:rPr>
            </w:pPr>
            <w:r>
              <w:rPr>
                <w:color w:val="000000"/>
                <w:sz w:val="20"/>
                <w:szCs w:val="20"/>
              </w:rPr>
              <w:t>0.659</w:t>
            </w:r>
          </w:p>
        </w:tc>
        <w:tc>
          <w:tcPr>
            <w:tcW w:w="768" w:type="dxa"/>
            <w:tcBorders>
              <w:top w:val="nil"/>
              <w:left w:val="nil"/>
              <w:bottom w:val="single" w:sz="12" w:space="0" w:color="auto"/>
              <w:right w:val="nil"/>
            </w:tcBorders>
            <w:shd w:val="clear" w:color="auto" w:fill="auto"/>
            <w:noWrap/>
            <w:vAlign w:val="bottom"/>
            <w:hideMark/>
          </w:tcPr>
          <w:p w14:paraId="5A83130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17DD2B3" w14:textId="77777777" w:rsidR="0078540D" w:rsidRDefault="0078540D">
            <w:pPr>
              <w:jc w:val="right"/>
              <w:rPr>
                <w:b/>
                <w:bCs/>
                <w:color w:val="000000"/>
                <w:sz w:val="20"/>
                <w:szCs w:val="20"/>
              </w:rPr>
            </w:pPr>
            <w:r>
              <w:rPr>
                <w:b/>
                <w:bCs/>
                <w:color w:val="000000"/>
                <w:sz w:val="20"/>
                <w:szCs w:val="20"/>
              </w:rPr>
              <w:t>-0.059</w:t>
            </w:r>
          </w:p>
        </w:tc>
        <w:tc>
          <w:tcPr>
            <w:tcW w:w="768" w:type="dxa"/>
            <w:tcBorders>
              <w:top w:val="nil"/>
              <w:left w:val="nil"/>
              <w:bottom w:val="single" w:sz="12" w:space="0" w:color="auto"/>
              <w:right w:val="nil"/>
            </w:tcBorders>
            <w:shd w:val="clear" w:color="auto" w:fill="auto"/>
            <w:noWrap/>
            <w:vAlign w:val="bottom"/>
            <w:hideMark/>
          </w:tcPr>
          <w:p w14:paraId="03091118" w14:textId="77777777" w:rsidR="0078540D" w:rsidRDefault="0078540D">
            <w:pPr>
              <w:jc w:val="right"/>
              <w:rPr>
                <w:b/>
                <w:bCs/>
                <w:color w:val="000000"/>
                <w:sz w:val="20"/>
                <w:szCs w:val="20"/>
              </w:rPr>
            </w:pPr>
            <w:r>
              <w:rPr>
                <w:b/>
                <w:bCs/>
                <w:color w:val="000000"/>
                <w:sz w:val="20"/>
                <w:szCs w:val="20"/>
              </w:rPr>
              <w:t>0.044</w:t>
            </w:r>
          </w:p>
        </w:tc>
        <w:tc>
          <w:tcPr>
            <w:tcW w:w="768" w:type="dxa"/>
            <w:tcBorders>
              <w:top w:val="nil"/>
              <w:left w:val="nil"/>
              <w:bottom w:val="single" w:sz="12" w:space="0" w:color="auto"/>
              <w:right w:val="nil"/>
            </w:tcBorders>
            <w:shd w:val="clear" w:color="auto" w:fill="auto"/>
            <w:noWrap/>
            <w:vAlign w:val="bottom"/>
            <w:hideMark/>
          </w:tcPr>
          <w:p w14:paraId="0DE18722" w14:textId="77777777" w:rsidR="0078540D" w:rsidRDefault="0078540D">
            <w:pPr>
              <w:jc w:val="right"/>
              <w:rPr>
                <w:b/>
                <w:bCs/>
                <w:color w:val="000000"/>
                <w:sz w:val="20"/>
                <w:szCs w:val="20"/>
              </w:rPr>
            </w:pPr>
            <w:r>
              <w:rPr>
                <w:b/>
                <w:bCs/>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2009ECC9" w14:textId="77777777" w:rsidR="0078540D" w:rsidRDefault="0078540D">
            <w:pPr>
              <w:jc w:val="right"/>
              <w:rPr>
                <w:color w:val="000000"/>
                <w:sz w:val="20"/>
                <w:szCs w:val="20"/>
              </w:rPr>
            </w:pPr>
            <w:r>
              <w:rPr>
                <w:color w:val="000000"/>
                <w:sz w:val="20"/>
                <w:szCs w:val="20"/>
              </w:rPr>
              <w:t>0.034</w:t>
            </w:r>
          </w:p>
        </w:tc>
        <w:tc>
          <w:tcPr>
            <w:tcW w:w="768" w:type="dxa"/>
            <w:tcBorders>
              <w:top w:val="nil"/>
              <w:left w:val="nil"/>
              <w:bottom w:val="single" w:sz="12" w:space="0" w:color="auto"/>
              <w:right w:val="nil"/>
            </w:tcBorders>
            <w:shd w:val="clear" w:color="auto" w:fill="auto"/>
            <w:noWrap/>
            <w:vAlign w:val="bottom"/>
            <w:hideMark/>
          </w:tcPr>
          <w:p w14:paraId="37CDA5CC" w14:textId="77777777" w:rsidR="0078540D" w:rsidRDefault="0078540D">
            <w:pPr>
              <w:jc w:val="right"/>
              <w:rPr>
                <w:color w:val="000000"/>
                <w:sz w:val="20"/>
                <w:szCs w:val="20"/>
              </w:rPr>
            </w:pPr>
            <w:r>
              <w:rPr>
                <w:color w:val="000000"/>
                <w:sz w:val="20"/>
                <w:szCs w:val="20"/>
              </w:rPr>
              <w:t>0.218</w:t>
            </w:r>
          </w:p>
        </w:tc>
        <w:tc>
          <w:tcPr>
            <w:tcW w:w="768" w:type="dxa"/>
            <w:tcBorders>
              <w:top w:val="nil"/>
              <w:left w:val="nil"/>
              <w:bottom w:val="single" w:sz="12" w:space="0" w:color="auto"/>
              <w:right w:val="nil"/>
            </w:tcBorders>
            <w:shd w:val="clear" w:color="auto" w:fill="auto"/>
            <w:noWrap/>
            <w:vAlign w:val="bottom"/>
            <w:hideMark/>
          </w:tcPr>
          <w:p w14:paraId="675E6796"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2BB8D596" w14:textId="77777777" w:rsidR="0078540D" w:rsidRDefault="0078540D">
            <w:pPr>
              <w:jc w:val="right"/>
              <w:rPr>
                <w:color w:val="000000"/>
                <w:sz w:val="20"/>
                <w:szCs w:val="20"/>
              </w:rPr>
            </w:pPr>
            <w:r>
              <w:rPr>
                <w:color w:val="000000"/>
                <w:sz w:val="20"/>
                <w:szCs w:val="20"/>
              </w:rPr>
              <w:t>-0.016</w:t>
            </w:r>
          </w:p>
        </w:tc>
        <w:tc>
          <w:tcPr>
            <w:tcW w:w="768" w:type="dxa"/>
            <w:tcBorders>
              <w:top w:val="nil"/>
              <w:left w:val="nil"/>
              <w:bottom w:val="single" w:sz="12" w:space="0" w:color="auto"/>
              <w:right w:val="nil"/>
            </w:tcBorders>
            <w:shd w:val="clear" w:color="auto" w:fill="auto"/>
            <w:noWrap/>
            <w:vAlign w:val="bottom"/>
            <w:hideMark/>
          </w:tcPr>
          <w:p w14:paraId="6CE6AB23" w14:textId="77777777" w:rsidR="0078540D" w:rsidRDefault="0078540D">
            <w:pPr>
              <w:jc w:val="right"/>
              <w:rPr>
                <w:color w:val="000000"/>
                <w:sz w:val="20"/>
                <w:szCs w:val="20"/>
              </w:rPr>
            </w:pPr>
            <w:r>
              <w:rPr>
                <w:color w:val="000000"/>
                <w:sz w:val="20"/>
                <w:szCs w:val="20"/>
              </w:rPr>
              <w:t>0.698</w:t>
            </w:r>
          </w:p>
        </w:tc>
        <w:tc>
          <w:tcPr>
            <w:tcW w:w="768" w:type="dxa"/>
            <w:tcBorders>
              <w:top w:val="nil"/>
              <w:left w:val="nil"/>
              <w:bottom w:val="single" w:sz="12" w:space="0" w:color="auto"/>
              <w:right w:val="nil"/>
            </w:tcBorders>
            <w:shd w:val="clear" w:color="auto" w:fill="auto"/>
            <w:noWrap/>
            <w:vAlign w:val="bottom"/>
            <w:hideMark/>
          </w:tcPr>
          <w:p w14:paraId="68406123"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8DB6CA3" w14:textId="77777777" w:rsidR="0078540D" w:rsidRDefault="0078540D">
            <w:pPr>
              <w:jc w:val="right"/>
              <w:rPr>
                <w:color w:val="000000"/>
                <w:sz w:val="20"/>
                <w:szCs w:val="20"/>
              </w:rPr>
            </w:pPr>
            <w:r>
              <w:rPr>
                <w:color w:val="000000"/>
                <w:sz w:val="20"/>
                <w:szCs w:val="20"/>
              </w:rPr>
              <w:t>0.036</w:t>
            </w:r>
          </w:p>
        </w:tc>
        <w:tc>
          <w:tcPr>
            <w:tcW w:w="768" w:type="dxa"/>
            <w:tcBorders>
              <w:top w:val="nil"/>
              <w:left w:val="nil"/>
              <w:bottom w:val="single" w:sz="12" w:space="0" w:color="auto"/>
              <w:right w:val="nil"/>
            </w:tcBorders>
            <w:shd w:val="clear" w:color="auto" w:fill="auto"/>
            <w:noWrap/>
            <w:vAlign w:val="bottom"/>
            <w:hideMark/>
          </w:tcPr>
          <w:p w14:paraId="64E3526C" w14:textId="77777777" w:rsidR="0078540D" w:rsidRDefault="0078540D">
            <w:pPr>
              <w:jc w:val="right"/>
              <w:rPr>
                <w:color w:val="000000"/>
                <w:sz w:val="20"/>
                <w:szCs w:val="20"/>
              </w:rPr>
            </w:pPr>
            <w:r>
              <w:rPr>
                <w:color w:val="000000"/>
                <w:sz w:val="20"/>
                <w:szCs w:val="20"/>
              </w:rPr>
              <w:t>0.541</w:t>
            </w:r>
          </w:p>
        </w:tc>
        <w:tc>
          <w:tcPr>
            <w:tcW w:w="768" w:type="dxa"/>
            <w:tcBorders>
              <w:top w:val="nil"/>
              <w:left w:val="nil"/>
              <w:bottom w:val="single" w:sz="12" w:space="0" w:color="auto"/>
              <w:right w:val="nil"/>
            </w:tcBorders>
            <w:shd w:val="clear" w:color="auto" w:fill="auto"/>
            <w:noWrap/>
            <w:vAlign w:val="bottom"/>
            <w:hideMark/>
          </w:tcPr>
          <w:p w14:paraId="7FDDF5B0" w14:textId="77777777" w:rsidR="0078540D" w:rsidRDefault="0078540D">
            <w:pPr>
              <w:jc w:val="right"/>
              <w:rPr>
                <w:color w:val="000000"/>
                <w:sz w:val="20"/>
                <w:szCs w:val="20"/>
              </w:rPr>
            </w:pPr>
            <w:r>
              <w:rPr>
                <w:color w:val="000000"/>
                <w:sz w:val="20"/>
                <w:szCs w:val="20"/>
              </w:rPr>
              <w:t>0.001</w:t>
            </w:r>
          </w:p>
        </w:tc>
      </w:tr>
      <w:tr w:rsidR="0078540D" w14:paraId="1874489C"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5D146747" w14:textId="77777777" w:rsidR="0078540D" w:rsidRDefault="0078540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72CAF0A6" w14:textId="77777777" w:rsidR="0078540D" w:rsidRDefault="0078540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6E7EFE26"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8E8DCBC"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868E58C"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B3B101D"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3E603BA"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A29AC37"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BC0BC48"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C03EB34"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D62E395"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5C1C616"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5D9169A"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444FF44"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601AE10"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97F9E43"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FE75351" w14:textId="77777777" w:rsidR="0078540D" w:rsidRDefault="0078540D">
            <w:pPr>
              <w:rPr>
                <w:sz w:val="20"/>
                <w:szCs w:val="20"/>
              </w:rPr>
            </w:pPr>
          </w:p>
        </w:tc>
      </w:tr>
    </w:tbl>
    <w:p w14:paraId="2CB6A642" w14:textId="77777777" w:rsidR="00222ADD" w:rsidRDefault="00222ADD">
      <w:pPr>
        <w:rPr>
          <w:rFonts w:eastAsiaTheme="majorEastAsia"/>
          <w:color w:val="000000" w:themeColor="text1"/>
        </w:rPr>
      </w:pPr>
      <w:r>
        <w:rPr>
          <w:color w:val="000000" w:themeColor="text1"/>
        </w:rPr>
        <w:br w:type="page"/>
      </w:r>
    </w:p>
    <w:p w14:paraId="7178E847" w14:textId="58A638B0" w:rsidR="00B65F70" w:rsidRDefault="00432B71" w:rsidP="00222ADD">
      <w:pPr>
        <w:pStyle w:val="Heading1"/>
        <w:rPr>
          <w:rFonts w:ascii="Times New Roman" w:hAnsi="Times New Roman" w:cs="Times New Roman"/>
          <w:color w:val="000000" w:themeColor="text1"/>
          <w:sz w:val="24"/>
          <w:szCs w:val="24"/>
        </w:rPr>
      </w:pPr>
      <w:bookmarkStart w:id="53" w:name="_Toc155817720"/>
      <w:r>
        <w:rPr>
          <w:rFonts w:ascii="Times New Roman" w:hAnsi="Times New Roman" w:cs="Times New Roman"/>
          <w:b/>
          <w:bCs/>
          <w:color w:val="000000" w:themeColor="text1"/>
          <w:sz w:val="24"/>
          <w:szCs w:val="24"/>
        </w:rPr>
        <w:lastRenderedPageBreak/>
        <w:t xml:space="preserve">Table </w:t>
      </w:r>
      <w:r w:rsidR="00222ADD">
        <w:rPr>
          <w:rFonts w:ascii="Times New Roman" w:hAnsi="Times New Roman" w:cs="Times New Roman"/>
          <w:b/>
          <w:bCs/>
          <w:color w:val="000000" w:themeColor="text1"/>
          <w:sz w:val="24"/>
          <w:szCs w:val="24"/>
        </w:rPr>
        <w:t>21b</w:t>
      </w:r>
      <w:r w:rsidR="00222ADD" w:rsidRPr="009E2A20">
        <w:rPr>
          <w:rFonts w:ascii="Times New Roman" w:hAnsi="Times New Roman" w:cs="Times New Roman"/>
          <w:b/>
          <w:bCs/>
          <w:color w:val="000000" w:themeColor="text1"/>
          <w:sz w:val="24"/>
          <w:szCs w:val="24"/>
        </w:rPr>
        <w:t xml:space="preserve">. </w:t>
      </w:r>
      <w:r w:rsidR="00222ADD" w:rsidRPr="009E2A20">
        <w:rPr>
          <w:rFonts w:ascii="Times New Roman" w:hAnsi="Times New Roman" w:cs="Times New Roman"/>
          <w:color w:val="000000" w:themeColor="text1"/>
          <w:sz w:val="24"/>
          <w:szCs w:val="24"/>
        </w:rPr>
        <w:t xml:space="preserve">Results examining the relationship between environmental stress factors obtained from </w:t>
      </w:r>
      <w:r w:rsidR="00222ADD">
        <w:rPr>
          <w:rFonts w:ascii="Times New Roman" w:hAnsi="Times New Roman" w:cs="Times New Roman"/>
          <w:color w:val="000000" w:themeColor="text1"/>
          <w:sz w:val="24"/>
          <w:szCs w:val="24"/>
        </w:rPr>
        <w:t>higher-order</w:t>
      </w:r>
      <w:r w:rsidR="00222ADD" w:rsidRPr="009E2A20">
        <w:rPr>
          <w:rFonts w:ascii="Times New Roman" w:hAnsi="Times New Roman" w:cs="Times New Roman"/>
          <w:color w:val="000000" w:themeColor="text1"/>
          <w:sz w:val="24"/>
          <w:szCs w:val="24"/>
        </w:rPr>
        <w:t xml:space="preserve"> modeling and Shen-268 network </w:t>
      </w:r>
      <w:r w:rsidR="00222ADD">
        <w:rPr>
          <w:rFonts w:ascii="Times New Roman" w:hAnsi="Times New Roman" w:cs="Times New Roman"/>
          <w:color w:val="000000" w:themeColor="text1"/>
          <w:sz w:val="24"/>
          <w:szCs w:val="24"/>
        </w:rPr>
        <w:t>average shortest path</w:t>
      </w:r>
      <w:r w:rsidR="00222ADD" w:rsidRPr="009E2A20">
        <w:rPr>
          <w:rFonts w:ascii="Times New Roman" w:hAnsi="Times New Roman" w:cs="Times New Roman"/>
          <w:color w:val="000000" w:themeColor="text1"/>
          <w:sz w:val="24"/>
          <w:szCs w:val="24"/>
        </w:rPr>
        <w:t xml:space="preserve"> during rest</w:t>
      </w:r>
      <w:r w:rsidR="00222ADD">
        <w:rPr>
          <w:rFonts w:ascii="Times New Roman" w:hAnsi="Times New Roman" w:cs="Times New Roman"/>
          <w:color w:val="000000" w:themeColor="text1"/>
          <w:sz w:val="24"/>
          <w:szCs w:val="24"/>
        </w:rPr>
        <w:t xml:space="preserve"> controlling for medication</w:t>
      </w:r>
      <w:bookmarkEnd w:id="53"/>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78540D" w14:paraId="391C205A"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4089F865" w14:textId="77777777" w:rsidR="0078540D" w:rsidRDefault="0078540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080B1F66" w14:textId="77777777" w:rsidR="0078540D" w:rsidRDefault="0078540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2DC04454" w14:textId="77777777" w:rsidR="0078540D" w:rsidRDefault="0078540D">
            <w:pPr>
              <w:rPr>
                <w:color w:val="000000"/>
              </w:rPr>
            </w:pPr>
          </w:p>
        </w:tc>
        <w:tc>
          <w:tcPr>
            <w:tcW w:w="768" w:type="dxa"/>
            <w:tcBorders>
              <w:top w:val="nil"/>
              <w:left w:val="nil"/>
              <w:bottom w:val="single" w:sz="12" w:space="0" w:color="auto"/>
              <w:right w:val="nil"/>
            </w:tcBorders>
            <w:shd w:val="clear" w:color="auto" w:fill="auto"/>
            <w:noWrap/>
            <w:vAlign w:val="bottom"/>
            <w:hideMark/>
          </w:tcPr>
          <w:p w14:paraId="440A0DCD"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0C04FA8"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CBCC63B"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10DBC58"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6FF6000"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E12A65B"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C84E067"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0A1A644"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4741FD2"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5F5A013"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B0A9D3E"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13F3109"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048F420" w14:textId="77777777" w:rsidR="0078540D" w:rsidRDefault="0078540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9CA1889" w14:textId="77777777" w:rsidR="0078540D" w:rsidRDefault="0078540D">
            <w:pPr>
              <w:rPr>
                <w:sz w:val="20"/>
                <w:szCs w:val="20"/>
              </w:rPr>
            </w:pPr>
          </w:p>
        </w:tc>
      </w:tr>
      <w:tr w:rsidR="0078540D" w14:paraId="6D83999D" w14:textId="77777777" w:rsidTr="00EE0A4C">
        <w:trPr>
          <w:trHeight w:val="340"/>
        </w:trPr>
        <w:tc>
          <w:tcPr>
            <w:tcW w:w="1176" w:type="dxa"/>
            <w:tcBorders>
              <w:top w:val="single" w:sz="12" w:space="0" w:color="auto"/>
              <w:left w:val="nil"/>
              <w:bottom w:val="nil"/>
              <w:right w:val="nil"/>
            </w:tcBorders>
            <w:shd w:val="clear" w:color="auto" w:fill="auto"/>
            <w:noWrap/>
            <w:vAlign w:val="bottom"/>
            <w:hideMark/>
          </w:tcPr>
          <w:p w14:paraId="0711FBB5" w14:textId="77777777" w:rsidR="0078540D" w:rsidRDefault="0078540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57F20E84" w14:textId="77777777" w:rsidR="0078540D" w:rsidRDefault="0078540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7C23CDE5" w14:textId="77777777" w:rsidR="0078540D" w:rsidRDefault="0078540D">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49EB245" w14:textId="77777777" w:rsidR="0078540D" w:rsidRDefault="0078540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729C014" w14:textId="77777777" w:rsidR="0078540D" w:rsidRDefault="0078540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7BAB640" w14:textId="77777777" w:rsidR="0078540D" w:rsidRDefault="0078540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8" w:space="0" w:color="auto"/>
              <w:right w:val="nil"/>
            </w:tcBorders>
            <w:shd w:val="clear" w:color="auto" w:fill="auto"/>
            <w:noWrap/>
            <w:vAlign w:val="center"/>
            <w:hideMark/>
          </w:tcPr>
          <w:p w14:paraId="50EEA02C" w14:textId="77777777" w:rsidR="0078540D" w:rsidRDefault="0078540D">
            <w:pPr>
              <w:jc w:val="center"/>
              <w:rPr>
                <w:color w:val="000000"/>
                <w:sz w:val="20"/>
                <w:szCs w:val="20"/>
              </w:rPr>
            </w:pPr>
            <w:r>
              <w:rPr>
                <w:color w:val="000000"/>
                <w:sz w:val="20"/>
                <w:szCs w:val="20"/>
              </w:rPr>
              <w:t>Urbanicity</w:t>
            </w:r>
          </w:p>
        </w:tc>
      </w:tr>
      <w:tr w:rsidR="0078540D" w14:paraId="48619053" w14:textId="77777777" w:rsidTr="00EE0A4C">
        <w:trPr>
          <w:trHeight w:val="360"/>
        </w:trPr>
        <w:tc>
          <w:tcPr>
            <w:tcW w:w="1176" w:type="dxa"/>
            <w:tcBorders>
              <w:top w:val="nil"/>
              <w:left w:val="nil"/>
              <w:bottom w:val="single" w:sz="12" w:space="0" w:color="auto"/>
              <w:right w:val="nil"/>
            </w:tcBorders>
            <w:shd w:val="clear" w:color="auto" w:fill="auto"/>
            <w:noWrap/>
            <w:vAlign w:val="bottom"/>
            <w:hideMark/>
          </w:tcPr>
          <w:p w14:paraId="6CA90FDF" w14:textId="77777777" w:rsidR="0078540D" w:rsidRDefault="0078540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2CD2D752" w14:textId="77777777" w:rsidR="0078540D" w:rsidRDefault="0078540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2F9B41A0" w14:textId="77777777" w:rsidR="0078540D" w:rsidRDefault="0078540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23172FC"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E1521E8" w14:textId="77777777" w:rsidR="0078540D" w:rsidRDefault="0078540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3BC2C4EE" w14:textId="77777777" w:rsidR="0078540D" w:rsidRDefault="0078540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A09BDD8"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22C4EA14" w14:textId="77777777" w:rsidR="0078540D" w:rsidRDefault="0078540D">
            <w:pPr>
              <w:jc w:val="center"/>
              <w:rPr>
                <w:i/>
                <w:iCs/>
                <w:color w:val="000000"/>
                <w:sz w:val="20"/>
                <w:szCs w:val="20"/>
              </w:rPr>
            </w:pPr>
            <w:r>
              <w:rPr>
                <w:i/>
                <w:iCs/>
                <w:color w:val="000000"/>
                <w:sz w:val="20"/>
                <w:szCs w:val="20"/>
              </w:rPr>
              <w:t>R2</w:t>
            </w:r>
          </w:p>
        </w:tc>
        <w:tc>
          <w:tcPr>
            <w:tcW w:w="768" w:type="dxa"/>
            <w:tcBorders>
              <w:top w:val="nil"/>
              <w:left w:val="nil"/>
              <w:bottom w:val="single" w:sz="12" w:space="0" w:color="auto"/>
              <w:right w:val="nil"/>
            </w:tcBorders>
            <w:shd w:val="clear" w:color="auto" w:fill="auto"/>
            <w:noWrap/>
            <w:vAlign w:val="center"/>
            <w:hideMark/>
          </w:tcPr>
          <w:p w14:paraId="7754B63D" w14:textId="77777777" w:rsidR="0078540D" w:rsidRDefault="0078540D">
            <w:pPr>
              <w:jc w:val="cente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07E02C1D"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3E090204" w14:textId="77777777" w:rsidR="0078540D" w:rsidRDefault="0078540D">
            <w:pPr>
              <w:jc w:val="center"/>
              <w:rPr>
                <w:i/>
                <w:iCs/>
                <w:color w:val="000000"/>
                <w:sz w:val="20"/>
                <w:szCs w:val="20"/>
              </w:rPr>
            </w:pPr>
            <w:r>
              <w:rPr>
                <w:i/>
                <w:iCs/>
                <w:color w:val="000000"/>
                <w:sz w:val="20"/>
                <w:szCs w:val="20"/>
              </w:rPr>
              <w:t>R2</w:t>
            </w:r>
          </w:p>
        </w:tc>
        <w:tc>
          <w:tcPr>
            <w:tcW w:w="768" w:type="dxa"/>
            <w:tcBorders>
              <w:top w:val="nil"/>
              <w:left w:val="nil"/>
              <w:bottom w:val="single" w:sz="12" w:space="0" w:color="auto"/>
              <w:right w:val="nil"/>
            </w:tcBorders>
            <w:shd w:val="clear" w:color="auto" w:fill="auto"/>
            <w:noWrap/>
            <w:vAlign w:val="center"/>
            <w:hideMark/>
          </w:tcPr>
          <w:p w14:paraId="7A9F371B" w14:textId="77777777" w:rsidR="0078540D" w:rsidRDefault="0078540D">
            <w:pPr>
              <w:jc w:val="cente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4911F6FA"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513CAB83" w14:textId="77777777" w:rsidR="0078540D" w:rsidRDefault="0078540D">
            <w:pPr>
              <w:jc w:val="center"/>
              <w:rPr>
                <w:i/>
                <w:iCs/>
                <w:color w:val="000000"/>
                <w:sz w:val="20"/>
                <w:szCs w:val="20"/>
              </w:rPr>
            </w:pPr>
            <w:r>
              <w:rPr>
                <w:i/>
                <w:iCs/>
                <w:color w:val="000000"/>
                <w:sz w:val="20"/>
                <w:szCs w:val="20"/>
              </w:rPr>
              <w:t>R2</w:t>
            </w:r>
          </w:p>
        </w:tc>
        <w:tc>
          <w:tcPr>
            <w:tcW w:w="768" w:type="dxa"/>
            <w:tcBorders>
              <w:top w:val="nil"/>
              <w:left w:val="nil"/>
              <w:bottom w:val="single" w:sz="12" w:space="0" w:color="auto"/>
              <w:right w:val="nil"/>
            </w:tcBorders>
            <w:shd w:val="clear" w:color="auto" w:fill="auto"/>
            <w:noWrap/>
            <w:vAlign w:val="center"/>
            <w:hideMark/>
          </w:tcPr>
          <w:p w14:paraId="1F8CA080" w14:textId="77777777" w:rsidR="0078540D" w:rsidRDefault="0078540D">
            <w:pPr>
              <w:jc w:val="cente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70F61528" w14:textId="77777777" w:rsidR="0078540D" w:rsidRDefault="0078540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2B968463" w14:textId="77777777" w:rsidR="0078540D" w:rsidRDefault="0078540D">
            <w:pPr>
              <w:jc w:val="center"/>
              <w:rPr>
                <w:i/>
                <w:iCs/>
                <w:color w:val="000000"/>
                <w:sz w:val="20"/>
                <w:szCs w:val="20"/>
              </w:rPr>
            </w:pPr>
            <w:r>
              <w:rPr>
                <w:i/>
                <w:iCs/>
                <w:color w:val="000000"/>
                <w:sz w:val="20"/>
                <w:szCs w:val="20"/>
              </w:rPr>
              <w:t>R2</w:t>
            </w:r>
          </w:p>
        </w:tc>
      </w:tr>
      <w:tr w:rsidR="0078540D" w14:paraId="6F1E2984"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61EA8921" w14:textId="77777777" w:rsidR="0078540D" w:rsidRDefault="0078540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7D9BB40A" w14:textId="77777777" w:rsidR="0078540D" w:rsidRDefault="0078540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5956E9E7" w14:textId="77777777" w:rsidR="0078540D" w:rsidRDefault="0078540D">
            <w:pPr>
              <w:jc w:val="right"/>
              <w:rPr>
                <w:color w:val="000000"/>
                <w:sz w:val="20"/>
                <w:szCs w:val="20"/>
              </w:rPr>
            </w:pPr>
            <w:r>
              <w:rPr>
                <w:color w:val="000000"/>
                <w:sz w:val="20"/>
                <w:szCs w:val="20"/>
              </w:rPr>
              <w:t>0.072</w:t>
            </w:r>
          </w:p>
        </w:tc>
        <w:tc>
          <w:tcPr>
            <w:tcW w:w="768" w:type="dxa"/>
            <w:tcBorders>
              <w:top w:val="single" w:sz="12" w:space="0" w:color="auto"/>
              <w:left w:val="nil"/>
              <w:bottom w:val="nil"/>
              <w:right w:val="nil"/>
            </w:tcBorders>
            <w:shd w:val="clear" w:color="auto" w:fill="auto"/>
            <w:noWrap/>
            <w:vAlign w:val="bottom"/>
            <w:hideMark/>
          </w:tcPr>
          <w:p w14:paraId="76582FF0" w14:textId="77777777" w:rsidR="0078540D" w:rsidRDefault="0078540D">
            <w:pPr>
              <w:jc w:val="right"/>
              <w:rPr>
                <w:color w:val="000000"/>
                <w:sz w:val="20"/>
                <w:szCs w:val="20"/>
              </w:rPr>
            </w:pPr>
            <w:r>
              <w:rPr>
                <w:color w:val="000000"/>
                <w:sz w:val="20"/>
                <w:szCs w:val="20"/>
              </w:rPr>
              <w:t>0.092</w:t>
            </w:r>
          </w:p>
        </w:tc>
        <w:tc>
          <w:tcPr>
            <w:tcW w:w="768" w:type="dxa"/>
            <w:tcBorders>
              <w:top w:val="single" w:sz="12" w:space="0" w:color="auto"/>
              <w:left w:val="nil"/>
              <w:bottom w:val="nil"/>
              <w:right w:val="nil"/>
            </w:tcBorders>
            <w:shd w:val="clear" w:color="auto" w:fill="auto"/>
            <w:noWrap/>
            <w:vAlign w:val="bottom"/>
            <w:hideMark/>
          </w:tcPr>
          <w:p w14:paraId="3033EF0B" w14:textId="77777777" w:rsidR="0078540D" w:rsidRDefault="0078540D">
            <w:pPr>
              <w:jc w:val="right"/>
              <w:rPr>
                <w:color w:val="000000"/>
                <w:sz w:val="20"/>
                <w:szCs w:val="20"/>
              </w:rPr>
            </w:pPr>
            <w:r>
              <w:rPr>
                <w:color w:val="000000"/>
                <w:sz w:val="20"/>
                <w:szCs w:val="20"/>
              </w:rPr>
              <w:t>0.005</w:t>
            </w:r>
          </w:p>
        </w:tc>
        <w:tc>
          <w:tcPr>
            <w:tcW w:w="768" w:type="dxa"/>
            <w:tcBorders>
              <w:top w:val="single" w:sz="12" w:space="0" w:color="auto"/>
              <w:left w:val="nil"/>
              <w:bottom w:val="nil"/>
              <w:right w:val="nil"/>
            </w:tcBorders>
            <w:shd w:val="clear" w:color="auto" w:fill="auto"/>
            <w:noWrap/>
            <w:vAlign w:val="bottom"/>
            <w:hideMark/>
          </w:tcPr>
          <w:p w14:paraId="53663F5A" w14:textId="77777777" w:rsidR="0078540D" w:rsidRDefault="0078540D">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14994F0B" w14:textId="77777777" w:rsidR="0078540D" w:rsidRDefault="0078540D">
            <w:pPr>
              <w:jc w:val="right"/>
              <w:rPr>
                <w:color w:val="000000"/>
                <w:sz w:val="20"/>
                <w:szCs w:val="20"/>
              </w:rPr>
            </w:pPr>
            <w:r>
              <w:rPr>
                <w:color w:val="000000"/>
                <w:sz w:val="20"/>
                <w:szCs w:val="20"/>
              </w:rPr>
              <w:t>0.729</w:t>
            </w:r>
          </w:p>
        </w:tc>
        <w:tc>
          <w:tcPr>
            <w:tcW w:w="768" w:type="dxa"/>
            <w:tcBorders>
              <w:top w:val="single" w:sz="12" w:space="0" w:color="auto"/>
              <w:left w:val="nil"/>
              <w:bottom w:val="nil"/>
              <w:right w:val="nil"/>
            </w:tcBorders>
            <w:shd w:val="clear" w:color="auto" w:fill="auto"/>
            <w:noWrap/>
            <w:vAlign w:val="bottom"/>
            <w:hideMark/>
          </w:tcPr>
          <w:p w14:paraId="587A0953" w14:textId="77777777" w:rsidR="0078540D" w:rsidRDefault="0078540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CC4950F" w14:textId="77777777" w:rsidR="0078540D" w:rsidRDefault="0078540D">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7C974D77" w14:textId="77777777" w:rsidR="0078540D" w:rsidRDefault="0078540D">
            <w:pPr>
              <w:jc w:val="right"/>
              <w:rPr>
                <w:color w:val="000000"/>
                <w:sz w:val="20"/>
                <w:szCs w:val="20"/>
              </w:rPr>
            </w:pPr>
            <w:r>
              <w:rPr>
                <w:color w:val="000000"/>
                <w:sz w:val="20"/>
                <w:szCs w:val="20"/>
              </w:rPr>
              <w:t>0.754</w:t>
            </w:r>
          </w:p>
        </w:tc>
        <w:tc>
          <w:tcPr>
            <w:tcW w:w="768" w:type="dxa"/>
            <w:tcBorders>
              <w:top w:val="single" w:sz="12" w:space="0" w:color="auto"/>
              <w:left w:val="nil"/>
              <w:bottom w:val="nil"/>
              <w:right w:val="nil"/>
            </w:tcBorders>
            <w:shd w:val="clear" w:color="auto" w:fill="auto"/>
            <w:noWrap/>
            <w:vAlign w:val="bottom"/>
            <w:hideMark/>
          </w:tcPr>
          <w:p w14:paraId="5383D972" w14:textId="77777777" w:rsidR="0078540D" w:rsidRDefault="0078540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439D724" w14:textId="77777777" w:rsidR="0078540D" w:rsidRDefault="0078540D">
            <w:pPr>
              <w:jc w:val="right"/>
              <w:rPr>
                <w:color w:val="000000"/>
                <w:sz w:val="20"/>
                <w:szCs w:val="20"/>
              </w:rPr>
            </w:pPr>
            <w:r>
              <w:rPr>
                <w:color w:val="000000"/>
                <w:sz w:val="20"/>
                <w:szCs w:val="20"/>
              </w:rPr>
              <w:t>0.058</w:t>
            </w:r>
          </w:p>
        </w:tc>
        <w:tc>
          <w:tcPr>
            <w:tcW w:w="768" w:type="dxa"/>
            <w:tcBorders>
              <w:top w:val="single" w:sz="12" w:space="0" w:color="auto"/>
              <w:left w:val="nil"/>
              <w:bottom w:val="nil"/>
              <w:right w:val="nil"/>
            </w:tcBorders>
            <w:shd w:val="clear" w:color="auto" w:fill="auto"/>
            <w:noWrap/>
            <w:vAlign w:val="bottom"/>
            <w:hideMark/>
          </w:tcPr>
          <w:p w14:paraId="39FF22B2" w14:textId="77777777" w:rsidR="0078540D" w:rsidRDefault="0078540D">
            <w:pPr>
              <w:jc w:val="right"/>
              <w:rPr>
                <w:color w:val="000000"/>
                <w:sz w:val="20"/>
                <w:szCs w:val="20"/>
              </w:rPr>
            </w:pPr>
            <w:r>
              <w:rPr>
                <w:color w:val="000000"/>
                <w:sz w:val="20"/>
                <w:szCs w:val="20"/>
              </w:rPr>
              <w:t>0.204</w:t>
            </w:r>
          </w:p>
        </w:tc>
        <w:tc>
          <w:tcPr>
            <w:tcW w:w="768" w:type="dxa"/>
            <w:tcBorders>
              <w:top w:val="single" w:sz="12" w:space="0" w:color="auto"/>
              <w:left w:val="nil"/>
              <w:bottom w:val="nil"/>
              <w:right w:val="nil"/>
            </w:tcBorders>
            <w:shd w:val="clear" w:color="auto" w:fill="auto"/>
            <w:noWrap/>
            <w:vAlign w:val="bottom"/>
            <w:hideMark/>
          </w:tcPr>
          <w:p w14:paraId="0BE2DD5C" w14:textId="77777777" w:rsidR="0078540D" w:rsidRDefault="0078540D">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1952CBF8" w14:textId="77777777" w:rsidR="0078540D" w:rsidRDefault="0078540D">
            <w:pPr>
              <w:jc w:val="right"/>
              <w:rPr>
                <w:color w:val="000000"/>
                <w:sz w:val="20"/>
                <w:szCs w:val="20"/>
              </w:rPr>
            </w:pPr>
            <w:r>
              <w:rPr>
                <w:color w:val="000000"/>
                <w:sz w:val="20"/>
                <w:szCs w:val="20"/>
              </w:rPr>
              <w:t>0.008</w:t>
            </w:r>
          </w:p>
        </w:tc>
        <w:tc>
          <w:tcPr>
            <w:tcW w:w="768" w:type="dxa"/>
            <w:tcBorders>
              <w:top w:val="single" w:sz="12" w:space="0" w:color="auto"/>
              <w:left w:val="nil"/>
              <w:bottom w:val="nil"/>
              <w:right w:val="nil"/>
            </w:tcBorders>
            <w:shd w:val="clear" w:color="auto" w:fill="auto"/>
            <w:noWrap/>
            <w:vAlign w:val="bottom"/>
            <w:hideMark/>
          </w:tcPr>
          <w:p w14:paraId="1867AFC1" w14:textId="77777777" w:rsidR="0078540D" w:rsidRDefault="0078540D">
            <w:pPr>
              <w:jc w:val="right"/>
              <w:rPr>
                <w:color w:val="000000"/>
                <w:sz w:val="20"/>
                <w:szCs w:val="20"/>
              </w:rPr>
            </w:pPr>
            <w:r>
              <w:rPr>
                <w:color w:val="000000"/>
                <w:sz w:val="20"/>
                <w:szCs w:val="20"/>
              </w:rPr>
              <w:t>0.948</w:t>
            </w:r>
          </w:p>
        </w:tc>
        <w:tc>
          <w:tcPr>
            <w:tcW w:w="768" w:type="dxa"/>
            <w:tcBorders>
              <w:top w:val="single" w:sz="12" w:space="0" w:color="auto"/>
              <w:left w:val="nil"/>
              <w:bottom w:val="nil"/>
              <w:right w:val="nil"/>
            </w:tcBorders>
            <w:shd w:val="clear" w:color="auto" w:fill="auto"/>
            <w:noWrap/>
            <w:vAlign w:val="bottom"/>
            <w:hideMark/>
          </w:tcPr>
          <w:p w14:paraId="5CCE3D9A" w14:textId="77777777" w:rsidR="0078540D" w:rsidRDefault="0078540D">
            <w:pPr>
              <w:jc w:val="right"/>
              <w:rPr>
                <w:color w:val="000000"/>
                <w:sz w:val="20"/>
                <w:szCs w:val="20"/>
              </w:rPr>
            </w:pPr>
            <w:r>
              <w:rPr>
                <w:color w:val="000000"/>
                <w:sz w:val="20"/>
                <w:szCs w:val="20"/>
              </w:rPr>
              <w:t>0.000</w:t>
            </w:r>
          </w:p>
        </w:tc>
      </w:tr>
      <w:tr w:rsidR="0078540D" w14:paraId="4210400C" w14:textId="77777777" w:rsidTr="0078540D">
        <w:trPr>
          <w:trHeight w:val="340"/>
        </w:trPr>
        <w:tc>
          <w:tcPr>
            <w:tcW w:w="1176" w:type="dxa"/>
            <w:tcBorders>
              <w:top w:val="nil"/>
              <w:left w:val="nil"/>
              <w:bottom w:val="nil"/>
              <w:right w:val="nil"/>
            </w:tcBorders>
            <w:shd w:val="clear" w:color="auto" w:fill="auto"/>
            <w:noWrap/>
            <w:vAlign w:val="bottom"/>
            <w:hideMark/>
          </w:tcPr>
          <w:p w14:paraId="732B8E5B"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013E5B" w14:textId="77777777" w:rsidR="0078540D" w:rsidRDefault="0078540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FC2084A" w14:textId="77777777" w:rsidR="0078540D" w:rsidRDefault="0078540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1C4F9EB" w14:textId="77777777" w:rsidR="0078540D" w:rsidRDefault="0078540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7CB469BC"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0494870" w14:textId="77777777" w:rsidR="0078540D" w:rsidRDefault="0078540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066CB3E7" w14:textId="77777777" w:rsidR="0078540D" w:rsidRDefault="0078540D">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133E55C6"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6D50E3"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51C50B00" w14:textId="77777777" w:rsidR="0078540D" w:rsidRDefault="0078540D">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0F43E67B"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EDAA3E" w14:textId="77777777" w:rsidR="0078540D" w:rsidRDefault="0078540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AA8D0C8" w14:textId="77777777" w:rsidR="0078540D" w:rsidRDefault="0078540D">
            <w:pPr>
              <w:jc w:val="right"/>
              <w:rPr>
                <w:color w:val="000000"/>
                <w:sz w:val="20"/>
                <w:szCs w:val="20"/>
              </w:rPr>
            </w:pPr>
            <w:r>
              <w:rPr>
                <w:color w:val="000000"/>
                <w:sz w:val="20"/>
                <w:szCs w:val="20"/>
              </w:rPr>
              <w:t>0.733</w:t>
            </w:r>
          </w:p>
        </w:tc>
        <w:tc>
          <w:tcPr>
            <w:tcW w:w="768" w:type="dxa"/>
            <w:tcBorders>
              <w:top w:val="nil"/>
              <w:left w:val="nil"/>
              <w:bottom w:val="nil"/>
              <w:right w:val="nil"/>
            </w:tcBorders>
            <w:shd w:val="clear" w:color="auto" w:fill="auto"/>
            <w:noWrap/>
            <w:vAlign w:val="bottom"/>
            <w:hideMark/>
          </w:tcPr>
          <w:p w14:paraId="495E74B4"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AFF462" w14:textId="77777777" w:rsidR="0078540D" w:rsidRDefault="0078540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443F2905" w14:textId="77777777" w:rsidR="0078540D" w:rsidRDefault="0078540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4615815A" w14:textId="77777777" w:rsidR="0078540D" w:rsidRDefault="0078540D">
            <w:pPr>
              <w:jc w:val="right"/>
              <w:rPr>
                <w:color w:val="000000"/>
                <w:sz w:val="20"/>
                <w:szCs w:val="20"/>
              </w:rPr>
            </w:pPr>
            <w:r>
              <w:rPr>
                <w:color w:val="000000"/>
                <w:sz w:val="20"/>
                <w:szCs w:val="20"/>
              </w:rPr>
              <w:t>0.001</w:t>
            </w:r>
          </w:p>
        </w:tc>
      </w:tr>
      <w:tr w:rsidR="0078540D" w14:paraId="097BF23E" w14:textId="77777777" w:rsidTr="0078540D">
        <w:trPr>
          <w:trHeight w:val="320"/>
        </w:trPr>
        <w:tc>
          <w:tcPr>
            <w:tcW w:w="1176" w:type="dxa"/>
            <w:tcBorders>
              <w:top w:val="nil"/>
              <w:left w:val="nil"/>
              <w:bottom w:val="nil"/>
              <w:right w:val="nil"/>
            </w:tcBorders>
            <w:shd w:val="clear" w:color="auto" w:fill="auto"/>
            <w:noWrap/>
            <w:vAlign w:val="bottom"/>
            <w:hideMark/>
          </w:tcPr>
          <w:p w14:paraId="0475EAD9"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ABF3C2E" w14:textId="77777777" w:rsidR="0078540D" w:rsidRDefault="0078540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5749723" w14:textId="77777777" w:rsidR="0078540D" w:rsidRDefault="0078540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4D6FF2A" w14:textId="77777777" w:rsidR="0078540D" w:rsidRDefault="0078540D">
            <w:pPr>
              <w:jc w:val="right"/>
              <w:rPr>
                <w:color w:val="000000"/>
                <w:sz w:val="20"/>
                <w:szCs w:val="20"/>
              </w:rPr>
            </w:pPr>
            <w:r>
              <w:rPr>
                <w:color w:val="000000"/>
                <w:sz w:val="20"/>
                <w:szCs w:val="20"/>
              </w:rPr>
              <w:t>0.877</w:t>
            </w:r>
          </w:p>
        </w:tc>
        <w:tc>
          <w:tcPr>
            <w:tcW w:w="768" w:type="dxa"/>
            <w:tcBorders>
              <w:top w:val="nil"/>
              <w:left w:val="nil"/>
              <w:bottom w:val="nil"/>
              <w:right w:val="nil"/>
            </w:tcBorders>
            <w:shd w:val="clear" w:color="auto" w:fill="auto"/>
            <w:noWrap/>
            <w:vAlign w:val="bottom"/>
            <w:hideMark/>
          </w:tcPr>
          <w:p w14:paraId="7707EC36"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FDBA7F"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71E85CBF" w14:textId="77777777" w:rsidR="0078540D" w:rsidRDefault="0078540D">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7A3AF794"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38F40F" w14:textId="77777777" w:rsidR="0078540D" w:rsidRDefault="0078540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7AF7B0B2" w14:textId="77777777" w:rsidR="0078540D" w:rsidRDefault="0078540D">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0B42A749"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718507F" w14:textId="77777777" w:rsidR="0078540D" w:rsidRDefault="0078540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AD4DBBA" w14:textId="77777777" w:rsidR="0078540D" w:rsidRDefault="0078540D">
            <w:pPr>
              <w:jc w:val="right"/>
              <w:rPr>
                <w:color w:val="000000"/>
                <w:sz w:val="20"/>
                <w:szCs w:val="20"/>
              </w:rPr>
            </w:pPr>
            <w:r>
              <w:rPr>
                <w:color w:val="000000"/>
                <w:sz w:val="20"/>
                <w:szCs w:val="20"/>
              </w:rPr>
              <w:t>0.733</w:t>
            </w:r>
          </w:p>
        </w:tc>
        <w:tc>
          <w:tcPr>
            <w:tcW w:w="768" w:type="dxa"/>
            <w:tcBorders>
              <w:top w:val="nil"/>
              <w:left w:val="nil"/>
              <w:bottom w:val="nil"/>
              <w:right w:val="nil"/>
            </w:tcBorders>
            <w:shd w:val="clear" w:color="auto" w:fill="auto"/>
            <w:noWrap/>
            <w:vAlign w:val="bottom"/>
            <w:hideMark/>
          </w:tcPr>
          <w:p w14:paraId="72FE1BE6"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98142A3"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EE63944" w14:textId="77777777" w:rsidR="0078540D" w:rsidRDefault="0078540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312F9535" w14:textId="77777777" w:rsidR="0078540D" w:rsidRDefault="0078540D">
            <w:pPr>
              <w:jc w:val="right"/>
              <w:rPr>
                <w:color w:val="000000"/>
                <w:sz w:val="20"/>
                <w:szCs w:val="20"/>
              </w:rPr>
            </w:pPr>
            <w:r>
              <w:rPr>
                <w:color w:val="000000"/>
                <w:sz w:val="20"/>
                <w:szCs w:val="20"/>
              </w:rPr>
              <w:t>0.000</w:t>
            </w:r>
          </w:p>
        </w:tc>
      </w:tr>
      <w:tr w:rsidR="0078540D" w14:paraId="76F38353" w14:textId="77777777" w:rsidTr="0078540D">
        <w:trPr>
          <w:trHeight w:val="320"/>
        </w:trPr>
        <w:tc>
          <w:tcPr>
            <w:tcW w:w="1176" w:type="dxa"/>
            <w:tcBorders>
              <w:top w:val="nil"/>
              <w:left w:val="nil"/>
              <w:bottom w:val="nil"/>
              <w:right w:val="nil"/>
            </w:tcBorders>
            <w:shd w:val="clear" w:color="auto" w:fill="auto"/>
            <w:noWrap/>
            <w:vAlign w:val="bottom"/>
            <w:hideMark/>
          </w:tcPr>
          <w:p w14:paraId="7308DBC8"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E48EC1" w14:textId="77777777" w:rsidR="0078540D" w:rsidRDefault="0078540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C4548C6" w14:textId="77777777" w:rsidR="0078540D" w:rsidRDefault="0078540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2905926C" w14:textId="77777777" w:rsidR="0078540D" w:rsidRDefault="0078540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55CEFF71"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12A7376" w14:textId="77777777" w:rsidR="0078540D" w:rsidRDefault="0078540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49C2E70" w14:textId="77777777" w:rsidR="0078540D" w:rsidRDefault="0078540D">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06AE5DD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5326FF" w14:textId="77777777" w:rsidR="0078540D" w:rsidRDefault="0078540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130BE453" w14:textId="77777777" w:rsidR="0078540D" w:rsidRDefault="0078540D">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4A42F5E8"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5E09023" w14:textId="77777777" w:rsidR="0078540D" w:rsidRDefault="0078540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130653CD" w14:textId="77777777" w:rsidR="0078540D" w:rsidRDefault="0078540D">
            <w:pPr>
              <w:jc w:val="right"/>
              <w:rPr>
                <w:color w:val="000000"/>
                <w:sz w:val="20"/>
                <w:szCs w:val="20"/>
              </w:rPr>
            </w:pPr>
            <w:r>
              <w:rPr>
                <w:color w:val="000000"/>
                <w:sz w:val="20"/>
                <w:szCs w:val="20"/>
              </w:rPr>
              <w:t>0.609</w:t>
            </w:r>
          </w:p>
        </w:tc>
        <w:tc>
          <w:tcPr>
            <w:tcW w:w="768" w:type="dxa"/>
            <w:tcBorders>
              <w:top w:val="nil"/>
              <w:left w:val="nil"/>
              <w:bottom w:val="nil"/>
              <w:right w:val="nil"/>
            </w:tcBorders>
            <w:shd w:val="clear" w:color="auto" w:fill="auto"/>
            <w:noWrap/>
            <w:vAlign w:val="bottom"/>
            <w:hideMark/>
          </w:tcPr>
          <w:p w14:paraId="74C9A514"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6CEE6A6" w14:textId="77777777" w:rsidR="0078540D" w:rsidRDefault="0078540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7A736E34" w14:textId="77777777" w:rsidR="0078540D" w:rsidRDefault="0078540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3957C37E" w14:textId="77777777" w:rsidR="0078540D" w:rsidRDefault="0078540D">
            <w:pPr>
              <w:jc w:val="right"/>
              <w:rPr>
                <w:color w:val="000000"/>
                <w:sz w:val="20"/>
                <w:szCs w:val="20"/>
              </w:rPr>
            </w:pPr>
            <w:r>
              <w:rPr>
                <w:color w:val="000000"/>
                <w:sz w:val="20"/>
                <w:szCs w:val="20"/>
              </w:rPr>
              <w:t>0.002</w:t>
            </w:r>
          </w:p>
        </w:tc>
      </w:tr>
      <w:tr w:rsidR="0078540D" w14:paraId="6F57C9DF" w14:textId="77777777" w:rsidTr="0078540D">
        <w:trPr>
          <w:trHeight w:val="320"/>
        </w:trPr>
        <w:tc>
          <w:tcPr>
            <w:tcW w:w="1176" w:type="dxa"/>
            <w:tcBorders>
              <w:top w:val="nil"/>
              <w:left w:val="nil"/>
              <w:bottom w:val="nil"/>
              <w:right w:val="nil"/>
            </w:tcBorders>
            <w:shd w:val="clear" w:color="auto" w:fill="auto"/>
            <w:noWrap/>
            <w:vAlign w:val="bottom"/>
            <w:hideMark/>
          </w:tcPr>
          <w:p w14:paraId="7701FD16"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257319A" w14:textId="77777777" w:rsidR="0078540D" w:rsidRDefault="0078540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616971F" w14:textId="77777777" w:rsidR="0078540D" w:rsidRDefault="0078540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2BB04041" w14:textId="77777777" w:rsidR="0078540D" w:rsidRDefault="0078540D">
            <w:pPr>
              <w:jc w:val="right"/>
              <w:rPr>
                <w:color w:val="000000"/>
                <w:sz w:val="20"/>
                <w:szCs w:val="20"/>
              </w:rPr>
            </w:pPr>
            <w:r>
              <w:rPr>
                <w:color w:val="000000"/>
                <w:sz w:val="20"/>
                <w:szCs w:val="20"/>
              </w:rPr>
              <w:t>0.307</w:t>
            </w:r>
          </w:p>
        </w:tc>
        <w:tc>
          <w:tcPr>
            <w:tcW w:w="768" w:type="dxa"/>
            <w:tcBorders>
              <w:top w:val="nil"/>
              <w:left w:val="nil"/>
              <w:bottom w:val="nil"/>
              <w:right w:val="nil"/>
            </w:tcBorders>
            <w:shd w:val="clear" w:color="auto" w:fill="auto"/>
            <w:noWrap/>
            <w:vAlign w:val="bottom"/>
            <w:hideMark/>
          </w:tcPr>
          <w:p w14:paraId="239DB5BD"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451C902"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0993828" w14:textId="77777777" w:rsidR="0078540D" w:rsidRDefault="0078540D">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110C15B3"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A92C3A" w14:textId="77777777" w:rsidR="0078540D" w:rsidRDefault="0078540D">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501274E3" w14:textId="77777777" w:rsidR="0078540D" w:rsidRDefault="0078540D">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6F1B196B"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DAB0412" w14:textId="77777777" w:rsidR="0078540D" w:rsidRDefault="0078540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24C81D74" w14:textId="77777777" w:rsidR="0078540D" w:rsidRDefault="0078540D">
            <w:pPr>
              <w:jc w:val="right"/>
              <w:rPr>
                <w:color w:val="000000"/>
                <w:sz w:val="20"/>
                <w:szCs w:val="20"/>
              </w:rPr>
            </w:pPr>
            <w:r>
              <w:rPr>
                <w:color w:val="000000"/>
                <w:sz w:val="20"/>
                <w:szCs w:val="20"/>
              </w:rPr>
              <w:t>0.594</w:t>
            </w:r>
          </w:p>
        </w:tc>
        <w:tc>
          <w:tcPr>
            <w:tcW w:w="768" w:type="dxa"/>
            <w:tcBorders>
              <w:top w:val="nil"/>
              <w:left w:val="nil"/>
              <w:bottom w:val="nil"/>
              <w:right w:val="nil"/>
            </w:tcBorders>
            <w:shd w:val="clear" w:color="auto" w:fill="auto"/>
            <w:noWrap/>
            <w:vAlign w:val="bottom"/>
            <w:hideMark/>
          </w:tcPr>
          <w:p w14:paraId="2C1EA8CF"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F3ED37C"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1843FE10" w14:textId="77777777" w:rsidR="0078540D" w:rsidRDefault="0078540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03766044" w14:textId="77777777" w:rsidR="0078540D" w:rsidRDefault="0078540D">
            <w:pPr>
              <w:jc w:val="right"/>
              <w:rPr>
                <w:color w:val="000000"/>
                <w:sz w:val="20"/>
                <w:szCs w:val="20"/>
              </w:rPr>
            </w:pPr>
            <w:r>
              <w:rPr>
                <w:color w:val="000000"/>
                <w:sz w:val="20"/>
                <w:szCs w:val="20"/>
              </w:rPr>
              <w:t>0.001</w:t>
            </w:r>
          </w:p>
        </w:tc>
      </w:tr>
      <w:tr w:rsidR="0078540D" w14:paraId="01267C46" w14:textId="77777777" w:rsidTr="0078540D">
        <w:trPr>
          <w:trHeight w:val="320"/>
        </w:trPr>
        <w:tc>
          <w:tcPr>
            <w:tcW w:w="1176" w:type="dxa"/>
            <w:tcBorders>
              <w:top w:val="nil"/>
              <w:left w:val="nil"/>
              <w:bottom w:val="nil"/>
              <w:right w:val="nil"/>
            </w:tcBorders>
            <w:shd w:val="clear" w:color="auto" w:fill="auto"/>
            <w:noWrap/>
            <w:vAlign w:val="bottom"/>
            <w:hideMark/>
          </w:tcPr>
          <w:p w14:paraId="15E8608F"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CCFAD6" w14:textId="77777777" w:rsidR="0078540D" w:rsidRDefault="0078540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8BF8FA6" w14:textId="77777777" w:rsidR="0078540D" w:rsidRDefault="0078540D">
            <w:pPr>
              <w:jc w:val="right"/>
              <w:rPr>
                <w:b/>
                <w:bCs/>
                <w:color w:val="000000"/>
                <w:sz w:val="20"/>
                <w:szCs w:val="20"/>
              </w:rPr>
            </w:pPr>
            <w:r>
              <w:rPr>
                <w:b/>
                <w:bCs/>
                <w:color w:val="000000"/>
                <w:sz w:val="20"/>
                <w:szCs w:val="20"/>
              </w:rPr>
              <w:t>0.099</w:t>
            </w:r>
          </w:p>
        </w:tc>
        <w:tc>
          <w:tcPr>
            <w:tcW w:w="768" w:type="dxa"/>
            <w:tcBorders>
              <w:top w:val="nil"/>
              <w:left w:val="nil"/>
              <w:bottom w:val="nil"/>
              <w:right w:val="nil"/>
            </w:tcBorders>
            <w:shd w:val="clear" w:color="auto" w:fill="auto"/>
            <w:noWrap/>
            <w:vAlign w:val="bottom"/>
            <w:hideMark/>
          </w:tcPr>
          <w:p w14:paraId="17F6BE15"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FE6D8E2" w14:textId="77777777" w:rsidR="0078540D" w:rsidRDefault="0078540D">
            <w:pPr>
              <w:jc w:val="right"/>
              <w:rPr>
                <w:b/>
                <w:bCs/>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061B4B38" w14:textId="77777777" w:rsidR="0078540D" w:rsidRDefault="0078540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0215339" w14:textId="77777777" w:rsidR="0078540D" w:rsidRDefault="0078540D">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79828E2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94E702" w14:textId="77777777" w:rsidR="0078540D" w:rsidRDefault="0078540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B6EF40C" w14:textId="77777777" w:rsidR="0078540D" w:rsidRDefault="0078540D">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3A952C4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D16BCE" w14:textId="77777777" w:rsidR="0078540D" w:rsidRDefault="0078540D">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08216B8C" w14:textId="77777777" w:rsidR="0078540D" w:rsidRDefault="0078540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052785B2"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840BB1B"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656D28D" w14:textId="77777777" w:rsidR="0078540D" w:rsidRDefault="0078540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0BD8399A" w14:textId="77777777" w:rsidR="0078540D" w:rsidRDefault="0078540D">
            <w:pPr>
              <w:jc w:val="right"/>
              <w:rPr>
                <w:color w:val="000000"/>
                <w:sz w:val="20"/>
                <w:szCs w:val="20"/>
              </w:rPr>
            </w:pPr>
            <w:r>
              <w:rPr>
                <w:color w:val="000000"/>
                <w:sz w:val="20"/>
                <w:szCs w:val="20"/>
              </w:rPr>
              <w:t>0.000</w:t>
            </w:r>
          </w:p>
        </w:tc>
      </w:tr>
      <w:tr w:rsidR="0078540D" w14:paraId="2ECC2EB9" w14:textId="77777777" w:rsidTr="0078540D">
        <w:trPr>
          <w:trHeight w:val="320"/>
        </w:trPr>
        <w:tc>
          <w:tcPr>
            <w:tcW w:w="1176" w:type="dxa"/>
            <w:tcBorders>
              <w:top w:val="nil"/>
              <w:left w:val="nil"/>
              <w:bottom w:val="nil"/>
              <w:right w:val="nil"/>
            </w:tcBorders>
            <w:shd w:val="clear" w:color="auto" w:fill="auto"/>
            <w:noWrap/>
            <w:vAlign w:val="bottom"/>
            <w:hideMark/>
          </w:tcPr>
          <w:p w14:paraId="3C7A4D2A"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AEF25E4" w14:textId="77777777" w:rsidR="0078540D" w:rsidRDefault="0078540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38D74C6"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4C57458" w14:textId="77777777" w:rsidR="0078540D" w:rsidRDefault="0078540D">
            <w:pPr>
              <w:jc w:val="right"/>
              <w:rPr>
                <w:color w:val="000000"/>
                <w:sz w:val="20"/>
                <w:szCs w:val="20"/>
              </w:rPr>
            </w:pPr>
            <w:r>
              <w:rPr>
                <w:color w:val="000000"/>
                <w:sz w:val="20"/>
                <w:szCs w:val="20"/>
              </w:rPr>
              <w:t>0.877</w:t>
            </w:r>
          </w:p>
        </w:tc>
        <w:tc>
          <w:tcPr>
            <w:tcW w:w="768" w:type="dxa"/>
            <w:tcBorders>
              <w:top w:val="nil"/>
              <w:left w:val="nil"/>
              <w:bottom w:val="nil"/>
              <w:right w:val="nil"/>
            </w:tcBorders>
            <w:shd w:val="clear" w:color="auto" w:fill="auto"/>
            <w:noWrap/>
            <w:vAlign w:val="bottom"/>
            <w:hideMark/>
          </w:tcPr>
          <w:p w14:paraId="060D3874"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43B5D82" w14:textId="77777777" w:rsidR="0078540D" w:rsidRDefault="0078540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347F13E0" w14:textId="77777777" w:rsidR="0078540D" w:rsidRDefault="0078540D">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0A2A5571"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1C7418" w14:textId="77777777" w:rsidR="0078540D" w:rsidRDefault="0078540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F9E7E5A" w14:textId="77777777" w:rsidR="0078540D" w:rsidRDefault="0078540D">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7E624764"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B59BB8B" w14:textId="77777777" w:rsidR="0078540D" w:rsidRDefault="0078540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C7C92D8" w14:textId="77777777" w:rsidR="0078540D" w:rsidRDefault="0078540D">
            <w:pPr>
              <w:jc w:val="right"/>
              <w:rPr>
                <w:color w:val="000000"/>
                <w:sz w:val="20"/>
                <w:szCs w:val="20"/>
              </w:rPr>
            </w:pPr>
            <w:r>
              <w:rPr>
                <w:color w:val="000000"/>
                <w:sz w:val="20"/>
                <w:szCs w:val="20"/>
              </w:rPr>
              <w:t>0.594</w:t>
            </w:r>
          </w:p>
        </w:tc>
        <w:tc>
          <w:tcPr>
            <w:tcW w:w="768" w:type="dxa"/>
            <w:tcBorders>
              <w:top w:val="nil"/>
              <w:left w:val="nil"/>
              <w:bottom w:val="nil"/>
              <w:right w:val="nil"/>
            </w:tcBorders>
            <w:shd w:val="clear" w:color="auto" w:fill="auto"/>
            <w:noWrap/>
            <w:vAlign w:val="bottom"/>
            <w:hideMark/>
          </w:tcPr>
          <w:p w14:paraId="321A500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7CAAB5" w14:textId="77777777" w:rsidR="0078540D" w:rsidRDefault="0078540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67ADA1E4" w14:textId="77777777" w:rsidR="0078540D" w:rsidRDefault="0078540D">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0B289441" w14:textId="77777777" w:rsidR="0078540D" w:rsidRDefault="0078540D">
            <w:pPr>
              <w:jc w:val="right"/>
              <w:rPr>
                <w:color w:val="000000"/>
                <w:sz w:val="20"/>
                <w:szCs w:val="20"/>
              </w:rPr>
            </w:pPr>
            <w:r>
              <w:rPr>
                <w:color w:val="000000"/>
                <w:sz w:val="20"/>
                <w:szCs w:val="20"/>
              </w:rPr>
              <w:t>0.002</w:t>
            </w:r>
          </w:p>
        </w:tc>
      </w:tr>
      <w:tr w:rsidR="0078540D" w14:paraId="14A7FD2C" w14:textId="77777777" w:rsidTr="0078540D">
        <w:trPr>
          <w:trHeight w:val="320"/>
        </w:trPr>
        <w:tc>
          <w:tcPr>
            <w:tcW w:w="1176" w:type="dxa"/>
            <w:tcBorders>
              <w:top w:val="nil"/>
              <w:left w:val="nil"/>
              <w:bottom w:val="single" w:sz="4" w:space="0" w:color="auto"/>
              <w:right w:val="nil"/>
            </w:tcBorders>
            <w:shd w:val="clear" w:color="auto" w:fill="auto"/>
            <w:noWrap/>
            <w:vAlign w:val="bottom"/>
            <w:hideMark/>
          </w:tcPr>
          <w:p w14:paraId="6A293005" w14:textId="77777777" w:rsidR="0078540D" w:rsidRDefault="0078540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9240E3A" w14:textId="77777777" w:rsidR="0078540D" w:rsidRDefault="0078540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7429BD1" w14:textId="77777777" w:rsidR="0078540D" w:rsidRDefault="0078540D">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2160651D" w14:textId="77777777" w:rsidR="0078540D" w:rsidRDefault="0078540D">
            <w:pPr>
              <w:jc w:val="right"/>
              <w:rPr>
                <w:color w:val="000000"/>
                <w:sz w:val="20"/>
                <w:szCs w:val="20"/>
              </w:rPr>
            </w:pPr>
            <w:r>
              <w:rPr>
                <w:color w:val="000000"/>
                <w:sz w:val="20"/>
                <w:szCs w:val="20"/>
              </w:rPr>
              <w:t>0.877</w:t>
            </w:r>
          </w:p>
        </w:tc>
        <w:tc>
          <w:tcPr>
            <w:tcW w:w="768" w:type="dxa"/>
            <w:tcBorders>
              <w:top w:val="nil"/>
              <w:left w:val="nil"/>
              <w:bottom w:val="single" w:sz="4" w:space="0" w:color="auto"/>
              <w:right w:val="nil"/>
            </w:tcBorders>
            <w:shd w:val="clear" w:color="auto" w:fill="auto"/>
            <w:noWrap/>
            <w:vAlign w:val="bottom"/>
            <w:hideMark/>
          </w:tcPr>
          <w:p w14:paraId="0A13C841"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3F61A5D" w14:textId="77777777" w:rsidR="0078540D" w:rsidRDefault="0078540D">
            <w:pPr>
              <w:jc w:val="right"/>
              <w:rPr>
                <w:b/>
                <w:bCs/>
                <w:color w:val="000000"/>
                <w:sz w:val="20"/>
                <w:szCs w:val="20"/>
              </w:rPr>
            </w:pPr>
            <w:r>
              <w:rPr>
                <w:b/>
                <w:bCs/>
                <w:color w:val="000000"/>
                <w:sz w:val="20"/>
                <w:szCs w:val="20"/>
              </w:rPr>
              <w:t>-0.114</w:t>
            </w:r>
          </w:p>
        </w:tc>
        <w:tc>
          <w:tcPr>
            <w:tcW w:w="768" w:type="dxa"/>
            <w:tcBorders>
              <w:top w:val="nil"/>
              <w:left w:val="nil"/>
              <w:bottom w:val="single" w:sz="4" w:space="0" w:color="auto"/>
              <w:right w:val="nil"/>
            </w:tcBorders>
            <w:shd w:val="clear" w:color="auto" w:fill="auto"/>
            <w:noWrap/>
            <w:vAlign w:val="bottom"/>
            <w:hideMark/>
          </w:tcPr>
          <w:p w14:paraId="035E36D5" w14:textId="77777777" w:rsidR="0078540D" w:rsidRDefault="0078540D">
            <w:pPr>
              <w:jc w:val="right"/>
              <w:rPr>
                <w:b/>
                <w:bCs/>
                <w:color w:val="000000"/>
                <w:sz w:val="20"/>
                <w:szCs w:val="20"/>
              </w:rPr>
            </w:pPr>
            <w:r>
              <w:rPr>
                <w:b/>
                <w:bCs/>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506A4313" w14:textId="77777777" w:rsidR="0078540D" w:rsidRDefault="0078540D">
            <w:pPr>
              <w:jc w:val="right"/>
              <w:rPr>
                <w:b/>
                <w:bCs/>
                <w:color w:val="000000"/>
                <w:sz w:val="20"/>
                <w:szCs w:val="20"/>
              </w:rPr>
            </w:pPr>
            <w:r>
              <w:rPr>
                <w:b/>
                <w:bCs/>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179C0480"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576558BF" w14:textId="77777777" w:rsidR="0078540D" w:rsidRDefault="0078540D">
            <w:pPr>
              <w:jc w:val="right"/>
              <w:rPr>
                <w:color w:val="000000"/>
                <w:sz w:val="20"/>
                <w:szCs w:val="20"/>
              </w:rPr>
            </w:pPr>
            <w:r>
              <w:rPr>
                <w:color w:val="000000"/>
                <w:sz w:val="20"/>
                <w:szCs w:val="20"/>
              </w:rPr>
              <w:t>0.669</w:t>
            </w:r>
          </w:p>
        </w:tc>
        <w:tc>
          <w:tcPr>
            <w:tcW w:w="768" w:type="dxa"/>
            <w:tcBorders>
              <w:top w:val="nil"/>
              <w:left w:val="nil"/>
              <w:bottom w:val="single" w:sz="4" w:space="0" w:color="auto"/>
              <w:right w:val="nil"/>
            </w:tcBorders>
            <w:shd w:val="clear" w:color="auto" w:fill="auto"/>
            <w:noWrap/>
            <w:vAlign w:val="bottom"/>
            <w:hideMark/>
          </w:tcPr>
          <w:p w14:paraId="660A84B5"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C91EE1E" w14:textId="77777777" w:rsidR="0078540D" w:rsidRDefault="0078540D">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4568D0FC" w14:textId="77777777" w:rsidR="0078540D" w:rsidRDefault="0078540D">
            <w:pPr>
              <w:jc w:val="right"/>
              <w:rPr>
                <w:color w:val="000000"/>
                <w:sz w:val="20"/>
                <w:szCs w:val="20"/>
              </w:rPr>
            </w:pPr>
            <w:r>
              <w:rPr>
                <w:color w:val="000000"/>
                <w:sz w:val="20"/>
                <w:szCs w:val="20"/>
              </w:rPr>
              <w:t>0.594</w:t>
            </w:r>
          </w:p>
        </w:tc>
        <w:tc>
          <w:tcPr>
            <w:tcW w:w="768" w:type="dxa"/>
            <w:tcBorders>
              <w:top w:val="nil"/>
              <w:left w:val="nil"/>
              <w:bottom w:val="single" w:sz="4" w:space="0" w:color="auto"/>
              <w:right w:val="nil"/>
            </w:tcBorders>
            <w:shd w:val="clear" w:color="auto" w:fill="auto"/>
            <w:noWrap/>
            <w:vAlign w:val="bottom"/>
            <w:hideMark/>
          </w:tcPr>
          <w:p w14:paraId="61263673"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203D0FE" w14:textId="77777777" w:rsidR="0078540D" w:rsidRDefault="0078540D">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37755360" w14:textId="77777777" w:rsidR="0078540D" w:rsidRDefault="0078540D">
            <w:pPr>
              <w:jc w:val="right"/>
              <w:rPr>
                <w:color w:val="000000"/>
                <w:sz w:val="20"/>
                <w:szCs w:val="20"/>
              </w:rPr>
            </w:pPr>
            <w:r>
              <w:rPr>
                <w:color w:val="000000"/>
                <w:sz w:val="20"/>
                <w:szCs w:val="20"/>
              </w:rPr>
              <w:t>0.948</w:t>
            </w:r>
          </w:p>
        </w:tc>
        <w:tc>
          <w:tcPr>
            <w:tcW w:w="768" w:type="dxa"/>
            <w:tcBorders>
              <w:top w:val="nil"/>
              <w:left w:val="nil"/>
              <w:bottom w:val="single" w:sz="4" w:space="0" w:color="auto"/>
              <w:right w:val="nil"/>
            </w:tcBorders>
            <w:shd w:val="clear" w:color="auto" w:fill="auto"/>
            <w:noWrap/>
            <w:vAlign w:val="bottom"/>
            <w:hideMark/>
          </w:tcPr>
          <w:p w14:paraId="2B0C5F12" w14:textId="77777777" w:rsidR="0078540D" w:rsidRDefault="0078540D">
            <w:pPr>
              <w:jc w:val="right"/>
              <w:rPr>
                <w:color w:val="000000"/>
                <w:sz w:val="20"/>
                <w:szCs w:val="20"/>
              </w:rPr>
            </w:pPr>
            <w:r>
              <w:rPr>
                <w:color w:val="000000"/>
                <w:sz w:val="20"/>
                <w:szCs w:val="20"/>
              </w:rPr>
              <w:t>0.000</w:t>
            </w:r>
          </w:p>
        </w:tc>
      </w:tr>
      <w:tr w:rsidR="0078540D" w14:paraId="047EF469" w14:textId="77777777" w:rsidTr="0078540D">
        <w:trPr>
          <w:trHeight w:val="320"/>
        </w:trPr>
        <w:tc>
          <w:tcPr>
            <w:tcW w:w="1176" w:type="dxa"/>
            <w:tcBorders>
              <w:top w:val="nil"/>
              <w:left w:val="nil"/>
              <w:bottom w:val="nil"/>
              <w:right w:val="nil"/>
            </w:tcBorders>
            <w:shd w:val="clear" w:color="auto" w:fill="auto"/>
            <w:noWrap/>
            <w:vAlign w:val="bottom"/>
            <w:hideMark/>
          </w:tcPr>
          <w:p w14:paraId="0BA84D57" w14:textId="77777777" w:rsidR="0078540D" w:rsidRDefault="0078540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52ABB99A" w14:textId="77777777" w:rsidR="0078540D" w:rsidRDefault="0078540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0FC2F3A" w14:textId="77777777" w:rsidR="0078540D" w:rsidRDefault="0078540D">
            <w:pPr>
              <w:jc w:val="right"/>
              <w:rPr>
                <w:b/>
                <w:bCs/>
                <w:color w:val="000000"/>
                <w:sz w:val="20"/>
                <w:szCs w:val="20"/>
              </w:rPr>
            </w:pPr>
            <w:r>
              <w:rPr>
                <w:b/>
                <w:bCs/>
                <w:color w:val="000000"/>
                <w:sz w:val="20"/>
                <w:szCs w:val="20"/>
              </w:rPr>
              <w:t>0.105</w:t>
            </w:r>
          </w:p>
        </w:tc>
        <w:tc>
          <w:tcPr>
            <w:tcW w:w="768" w:type="dxa"/>
            <w:tcBorders>
              <w:top w:val="nil"/>
              <w:left w:val="nil"/>
              <w:bottom w:val="nil"/>
              <w:right w:val="nil"/>
            </w:tcBorders>
            <w:shd w:val="clear" w:color="auto" w:fill="auto"/>
            <w:noWrap/>
            <w:vAlign w:val="bottom"/>
            <w:hideMark/>
          </w:tcPr>
          <w:p w14:paraId="05AC753A"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419EB8A" w14:textId="77777777" w:rsidR="0078540D" w:rsidRDefault="0078540D">
            <w:pPr>
              <w:jc w:val="right"/>
              <w:rPr>
                <w:b/>
                <w:bCs/>
                <w:color w:val="000000"/>
                <w:sz w:val="20"/>
                <w:szCs w:val="20"/>
              </w:rPr>
            </w:pPr>
            <w:r>
              <w:rPr>
                <w:b/>
                <w:bCs/>
                <w:color w:val="000000"/>
                <w:sz w:val="20"/>
                <w:szCs w:val="20"/>
              </w:rPr>
              <w:t>0.011</w:t>
            </w:r>
          </w:p>
        </w:tc>
        <w:tc>
          <w:tcPr>
            <w:tcW w:w="768" w:type="dxa"/>
            <w:tcBorders>
              <w:top w:val="nil"/>
              <w:left w:val="nil"/>
              <w:bottom w:val="nil"/>
              <w:right w:val="nil"/>
            </w:tcBorders>
            <w:shd w:val="clear" w:color="auto" w:fill="auto"/>
            <w:noWrap/>
            <w:vAlign w:val="bottom"/>
            <w:hideMark/>
          </w:tcPr>
          <w:p w14:paraId="316DF330"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2173B0C" w14:textId="77777777" w:rsidR="0078540D" w:rsidRDefault="0078540D">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3041278F"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975784"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053022" w14:textId="77777777" w:rsidR="0078540D" w:rsidRDefault="0078540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25143F4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CC3FBE" w14:textId="77777777" w:rsidR="0078540D" w:rsidRDefault="0078540D">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7AB6114B" w14:textId="77777777" w:rsidR="0078540D" w:rsidRDefault="0078540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35C27012"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F5225E5" w14:textId="77777777" w:rsidR="0078540D" w:rsidRDefault="0078540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D84CDB6" w14:textId="77777777" w:rsidR="0078540D" w:rsidRDefault="0078540D">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3AD47AFC" w14:textId="77777777" w:rsidR="0078540D" w:rsidRDefault="0078540D">
            <w:pPr>
              <w:jc w:val="right"/>
              <w:rPr>
                <w:color w:val="000000"/>
                <w:sz w:val="20"/>
                <w:szCs w:val="20"/>
              </w:rPr>
            </w:pPr>
            <w:r>
              <w:rPr>
                <w:color w:val="000000"/>
                <w:sz w:val="20"/>
                <w:szCs w:val="20"/>
              </w:rPr>
              <w:t>0.000</w:t>
            </w:r>
          </w:p>
        </w:tc>
      </w:tr>
      <w:tr w:rsidR="0078540D" w14:paraId="7420EC3A" w14:textId="77777777" w:rsidTr="0078540D">
        <w:trPr>
          <w:trHeight w:val="320"/>
        </w:trPr>
        <w:tc>
          <w:tcPr>
            <w:tcW w:w="1176" w:type="dxa"/>
            <w:tcBorders>
              <w:top w:val="nil"/>
              <w:left w:val="nil"/>
              <w:bottom w:val="nil"/>
              <w:right w:val="nil"/>
            </w:tcBorders>
            <w:shd w:val="clear" w:color="auto" w:fill="auto"/>
            <w:noWrap/>
            <w:vAlign w:val="bottom"/>
            <w:hideMark/>
          </w:tcPr>
          <w:p w14:paraId="157311FA"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A854F47" w14:textId="77777777" w:rsidR="0078540D" w:rsidRDefault="0078540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73F3E1E"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3EF153" w14:textId="77777777" w:rsidR="0078540D" w:rsidRDefault="0078540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09BCAA43"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DC8D28" w14:textId="77777777" w:rsidR="0078540D" w:rsidRDefault="0078540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91FFDF5" w14:textId="77777777" w:rsidR="0078540D" w:rsidRDefault="0078540D">
            <w:pPr>
              <w:jc w:val="right"/>
              <w:rPr>
                <w:color w:val="000000"/>
                <w:sz w:val="20"/>
                <w:szCs w:val="20"/>
              </w:rPr>
            </w:pPr>
            <w:r>
              <w:rPr>
                <w:color w:val="000000"/>
                <w:sz w:val="20"/>
                <w:szCs w:val="20"/>
              </w:rPr>
              <w:t>0.411</w:t>
            </w:r>
          </w:p>
        </w:tc>
        <w:tc>
          <w:tcPr>
            <w:tcW w:w="768" w:type="dxa"/>
            <w:tcBorders>
              <w:top w:val="nil"/>
              <w:left w:val="nil"/>
              <w:bottom w:val="nil"/>
              <w:right w:val="nil"/>
            </w:tcBorders>
            <w:shd w:val="clear" w:color="auto" w:fill="auto"/>
            <w:noWrap/>
            <w:vAlign w:val="bottom"/>
            <w:hideMark/>
          </w:tcPr>
          <w:p w14:paraId="7B5E60B4"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EB0C087"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DD6E944" w14:textId="77777777" w:rsidR="0078540D" w:rsidRDefault="0078540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08BF90A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1DEE73" w14:textId="77777777" w:rsidR="0078540D" w:rsidRDefault="0078540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F51950E" w14:textId="77777777" w:rsidR="0078540D" w:rsidRDefault="0078540D">
            <w:pPr>
              <w:jc w:val="right"/>
              <w:rPr>
                <w:color w:val="000000"/>
                <w:sz w:val="20"/>
                <w:szCs w:val="20"/>
              </w:rPr>
            </w:pPr>
            <w:r>
              <w:rPr>
                <w:color w:val="000000"/>
                <w:sz w:val="20"/>
                <w:szCs w:val="20"/>
              </w:rPr>
              <w:t>0.292</w:t>
            </w:r>
          </w:p>
        </w:tc>
        <w:tc>
          <w:tcPr>
            <w:tcW w:w="768" w:type="dxa"/>
            <w:tcBorders>
              <w:top w:val="nil"/>
              <w:left w:val="nil"/>
              <w:bottom w:val="nil"/>
              <w:right w:val="nil"/>
            </w:tcBorders>
            <w:shd w:val="clear" w:color="auto" w:fill="auto"/>
            <w:noWrap/>
            <w:vAlign w:val="bottom"/>
            <w:hideMark/>
          </w:tcPr>
          <w:p w14:paraId="27D02DC7"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878F026" w14:textId="77777777" w:rsidR="0078540D" w:rsidRDefault="0078540D">
            <w:pPr>
              <w:jc w:val="right"/>
              <w:rPr>
                <w:b/>
                <w:bCs/>
                <w:color w:val="000000"/>
                <w:sz w:val="20"/>
                <w:szCs w:val="20"/>
              </w:rPr>
            </w:pPr>
            <w:r>
              <w:rPr>
                <w:b/>
                <w:bCs/>
                <w:color w:val="000000"/>
                <w:sz w:val="20"/>
                <w:szCs w:val="20"/>
              </w:rPr>
              <w:t>0.097</w:t>
            </w:r>
          </w:p>
        </w:tc>
        <w:tc>
          <w:tcPr>
            <w:tcW w:w="768" w:type="dxa"/>
            <w:tcBorders>
              <w:top w:val="nil"/>
              <w:left w:val="nil"/>
              <w:bottom w:val="nil"/>
              <w:right w:val="nil"/>
            </w:tcBorders>
            <w:shd w:val="clear" w:color="auto" w:fill="auto"/>
            <w:noWrap/>
            <w:vAlign w:val="bottom"/>
            <w:hideMark/>
          </w:tcPr>
          <w:p w14:paraId="52A1DF3C" w14:textId="77777777" w:rsidR="0078540D" w:rsidRDefault="0078540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26FDDD56" w14:textId="77777777" w:rsidR="0078540D" w:rsidRDefault="0078540D">
            <w:pPr>
              <w:jc w:val="right"/>
              <w:rPr>
                <w:b/>
                <w:bCs/>
                <w:color w:val="000000"/>
                <w:sz w:val="20"/>
                <w:szCs w:val="20"/>
              </w:rPr>
            </w:pPr>
            <w:r>
              <w:rPr>
                <w:b/>
                <w:bCs/>
                <w:color w:val="000000"/>
                <w:sz w:val="20"/>
                <w:szCs w:val="20"/>
              </w:rPr>
              <w:t>0.009</w:t>
            </w:r>
          </w:p>
        </w:tc>
      </w:tr>
      <w:tr w:rsidR="0078540D" w14:paraId="333F440F" w14:textId="77777777" w:rsidTr="0078540D">
        <w:trPr>
          <w:trHeight w:val="320"/>
        </w:trPr>
        <w:tc>
          <w:tcPr>
            <w:tcW w:w="1176" w:type="dxa"/>
            <w:tcBorders>
              <w:top w:val="nil"/>
              <w:left w:val="nil"/>
              <w:bottom w:val="nil"/>
              <w:right w:val="nil"/>
            </w:tcBorders>
            <w:shd w:val="clear" w:color="auto" w:fill="auto"/>
            <w:noWrap/>
            <w:vAlign w:val="bottom"/>
            <w:hideMark/>
          </w:tcPr>
          <w:p w14:paraId="2E1371EB" w14:textId="77777777" w:rsidR="0078540D" w:rsidRDefault="0078540D">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3B062029" w14:textId="77777777" w:rsidR="0078540D" w:rsidRDefault="0078540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50C8BEC" w14:textId="77777777" w:rsidR="0078540D" w:rsidRDefault="0078540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7D60E46D" w14:textId="77777777" w:rsidR="0078540D" w:rsidRDefault="0078540D">
            <w:pPr>
              <w:jc w:val="right"/>
              <w:rPr>
                <w:color w:val="000000"/>
                <w:sz w:val="20"/>
                <w:szCs w:val="20"/>
              </w:rPr>
            </w:pPr>
            <w:r>
              <w:rPr>
                <w:color w:val="000000"/>
                <w:sz w:val="20"/>
                <w:szCs w:val="20"/>
              </w:rPr>
              <w:t>0.897</w:t>
            </w:r>
          </w:p>
        </w:tc>
        <w:tc>
          <w:tcPr>
            <w:tcW w:w="768" w:type="dxa"/>
            <w:tcBorders>
              <w:top w:val="nil"/>
              <w:left w:val="nil"/>
              <w:bottom w:val="nil"/>
              <w:right w:val="nil"/>
            </w:tcBorders>
            <w:shd w:val="clear" w:color="auto" w:fill="auto"/>
            <w:noWrap/>
            <w:vAlign w:val="bottom"/>
            <w:hideMark/>
          </w:tcPr>
          <w:p w14:paraId="09282801"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937252" w14:textId="77777777" w:rsidR="0078540D" w:rsidRDefault="0078540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0795AA54" w14:textId="77777777" w:rsidR="0078540D" w:rsidRDefault="0078540D">
            <w:pPr>
              <w:jc w:val="right"/>
              <w:rPr>
                <w:color w:val="000000"/>
                <w:sz w:val="20"/>
                <w:szCs w:val="20"/>
              </w:rPr>
            </w:pPr>
            <w:r>
              <w:rPr>
                <w:color w:val="000000"/>
                <w:sz w:val="20"/>
                <w:szCs w:val="20"/>
              </w:rPr>
              <w:t>0.692</w:t>
            </w:r>
          </w:p>
        </w:tc>
        <w:tc>
          <w:tcPr>
            <w:tcW w:w="768" w:type="dxa"/>
            <w:tcBorders>
              <w:top w:val="nil"/>
              <w:left w:val="nil"/>
              <w:bottom w:val="nil"/>
              <w:right w:val="nil"/>
            </w:tcBorders>
            <w:shd w:val="clear" w:color="auto" w:fill="auto"/>
            <w:noWrap/>
            <w:vAlign w:val="bottom"/>
            <w:hideMark/>
          </w:tcPr>
          <w:p w14:paraId="13B419A2"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480968"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9DC568" w14:textId="77777777" w:rsidR="0078540D" w:rsidRDefault="0078540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04AAEC8B"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414818" w14:textId="77777777" w:rsidR="0078540D" w:rsidRDefault="0078540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5F779204" w14:textId="77777777" w:rsidR="0078540D" w:rsidRDefault="0078540D">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0929805E"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82E529E" w14:textId="77777777" w:rsidR="0078540D" w:rsidRDefault="0078540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44244147" w14:textId="77777777" w:rsidR="0078540D" w:rsidRDefault="0078540D">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3DE91E61" w14:textId="77777777" w:rsidR="0078540D" w:rsidRDefault="0078540D">
            <w:pPr>
              <w:jc w:val="right"/>
              <w:rPr>
                <w:color w:val="000000"/>
                <w:sz w:val="20"/>
                <w:szCs w:val="20"/>
              </w:rPr>
            </w:pPr>
            <w:r>
              <w:rPr>
                <w:color w:val="000000"/>
                <w:sz w:val="20"/>
                <w:szCs w:val="20"/>
              </w:rPr>
              <w:t>0.001</w:t>
            </w:r>
          </w:p>
        </w:tc>
      </w:tr>
      <w:tr w:rsidR="0078540D" w14:paraId="7E034339" w14:textId="77777777" w:rsidTr="0078540D">
        <w:trPr>
          <w:trHeight w:val="320"/>
        </w:trPr>
        <w:tc>
          <w:tcPr>
            <w:tcW w:w="1176" w:type="dxa"/>
            <w:tcBorders>
              <w:top w:val="nil"/>
              <w:left w:val="nil"/>
              <w:bottom w:val="nil"/>
              <w:right w:val="nil"/>
            </w:tcBorders>
            <w:shd w:val="clear" w:color="auto" w:fill="auto"/>
            <w:noWrap/>
            <w:vAlign w:val="bottom"/>
            <w:hideMark/>
          </w:tcPr>
          <w:p w14:paraId="1D22BE9B"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8F6FAE7" w14:textId="77777777" w:rsidR="0078540D" w:rsidRDefault="0078540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6044B69"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DCDA64E" w14:textId="77777777" w:rsidR="0078540D" w:rsidRDefault="0078540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1571C9CB"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5720DA"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E941633" w14:textId="77777777" w:rsidR="0078540D" w:rsidRDefault="0078540D">
            <w:pPr>
              <w:jc w:val="right"/>
              <w:rPr>
                <w:color w:val="000000"/>
                <w:sz w:val="20"/>
                <w:szCs w:val="20"/>
              </w:rPr>
            </w:pPr>
            <w:r>
              <w:rPr>
                <w:color w:val="000000"/>
                <w:sz w:val="20"/>
                <w:szCs w:val="20"/>
              </w:rPr>
              <w:t>0.939</w:t>
            </w:r>
          </w:p>
        </w:tc>
        <w:tc>
          <w:tcPr>
            <w:tcW w:w="768" w:type="dxa"/>
            <w:tcBorders>
              <w:top w:val="nil"/>
              <w:left w:val="nil"/>
              <w:bottom w:val="nil"/>
              <w:right w:val="nil"/>
            </w:tcBorders>
            <w:shd w:val="clear" w:color="auto" w:fill="auto"/>
            <w:noWrap/>
            <w:vAlign w:val="bottom"/>
            <w:hideMark/>
          </w:tcPr>
          <w:p w14:paraId="0224758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BE5F97"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165F4A1" w14:textId="77777777" w:rsidR="0078540D" w:rsidRDefault="0078540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1F66ADF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2D9329" w14:textId="77777777" w:rsidR="0078540D" w:rsidRDefault="0078540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C7353FB" w14:textId="77777777" w:rsidR="0078540D" w:rsidRDefault="0078540D">
            <w:pPr>
              <w:jc w:val="right"/>
              <w:rPr>
                <w:color w:val="000000"/>
                <w:sz w:val="20"/>
                <w:szCs w:val="20"/>
              </w:rPr>
            </w:pPr>
            <w:r>
              <w:rPr>
                <w:color w:val="000000"/>
                <w:sz w:val="20"/>
                <w:szCs w:val="20"/>
              </w:rPr>
              <w:t>0.570</w:t>
            </w:r>
          </w:p>
        </w:tc>
        <w:tc>
          <w:tcPr>
            <w:tcW w:w="768" w:type="dxa"/>
            <w:tcBorders>
              <w:top w:val="nil"/>
              <w:left w:val="nil"/>
              <w:bottom w:val="nil"/>
              <w:right w:val="nil"/>
            </w:tcBorders>
            <w:shd w:val="clear" w:color="auto" w:fill="auto"/>
            <w:noWrap/>
            <w:vAlign w:val="bottom"/>
            <w:hideMark/>
          </w:tcPr>
          <w:p w14:paraId="3F696D9F"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9F3165" w14:textId="77777777" w:rsidR="0078540D" w:rsidRDefault="0078540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836D837" w14:textId="77777777" w:rsidR="0078540D" w:rsidRDefault="0078540D">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4B119EBB" w14:textId="77777777" w:rsidR="0078540D" w:rsidRDefault="0078540D">
            <w:pPr>
              <w:jc w:val="right"/>
              <w:rPr>
                <w:color w:val="000000"/>
                <w:sz w:val="20"/>
                <w:szCs w:val="20"/>
              </w:rPr>
            </w:pPr>
            <w:r>
              <w:rPr>
                <w:color w:val="000000"/>
                <w:sz w:val="20"/>
                <w:szCs w:val="20"/>
              </w:rPr>
              <w:t>0.001</w:t>
            </w:r>
          </w:p>
        </w:tc>
      </w:tr>
      <w:tr w:rsidR="0078540D" w14:paraId="6D1EAA77" w14:textId="77777777" w:rsidTr="0078540D">
        <w:trPr>
          <w:trHeight w:val="320"/>
        </w:trPr>
        <w:tc>
          <w:tcPr>
            <w:tcW w:w="1176" w:type="dxa"/>
            <w:tcBorders>
              <w:top w:val="nil"/>
              <w:left w:val="nil"/>
              <w:bottom w:val="nil"/>
              <w:right w:val="nil"/>
            </w:tcBorders>
            <w:shd w:val="clear" w:color="auto" w:fill="auto"/>
            <w:noWrap/>
            <w:vAlign w:val="bottom"/>
            <w:hideMark/>
          </w:tcPr>
          <w:p w14:paraId="5E36D2FF"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849730D" w14:textId="77777777" w:rsidR="0078540D" w:rsidRDefault="0078540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4CFA193" w14:textId="77777777" w:rsidR="0078540D" w:rsidRDefault="0078540D">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1C7654F4" w14:textId="77777777" w:rsidR="0078540D" w:rsidRDefault="0078540D">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02A5D23C"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E7F071D" w14:textId="77777777" w:rsidR="0078540D" w:rsidRDefault="0078540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A40A9AB" w14:textId="77777777" w:rsidR="0078540D" w:rsidRDefault="0078540D">
            <w:pPr>
              <w:jc w:val="right"/>
              <w:rPr>
                <w:color w:val="000000"/>
                <w:sz w:val="20"/>
                <w:szCs w:val="20"/>
              </w:rPr>
            </w:pPr>
            <w:r>
              <w:rPr>
                <w:color w:val="000000"/>
                <w:sz w:val="20"/>
                <w:szCs w:val="20"/>
              </w:rPr>
              <w:t>0.268</w:t>
            </w:r>
          </w:p>
        </w:tc>
        <w:tc>
          <w:tcPr>
            <w:tcW w:w="768" w:type="dxa"/>
            <w:tcBorders>
              <w:top w:val="nil"/>
              <w:left w:val="nil"/>
              <w:bottom w:val="nil"/>
              <w:right w:val="nil"/>
            </w:tcBorders>
            <w:shd w:val="clear" w:color="auto" w:fill="auto"/>
            <w:noWrap/>
            <w:vAlign w:val="bottom"/>
            <w:hideMark/>
          </w:tcPr>
          <w:p w14:paraId="7DB9F68F"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234CC4D" w14:textId="77777777" w:rsidR="0078540D" w:rsidRDefault="0078540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1E8E85A9" w14:textId="77777777" w:rsidR="0078540D" w:rsidRDefault="0078540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5CAA5625"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DB7BAA9" w14:textId="77777777" w:rsidR="0078540D" w:rsidRDefault="0078540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5C80AA7A" w14:textId="77777777" w:rsidR="0078540D" w:rsidRDefault="0078540D">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4F18F64B"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BAD6B46"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6F90F9C" w14:textId="77777777" w:rsidR="0078540D" w:rsidRDefault="0078540D">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6BD88978" w14:textId="77777777" w:rsidR="0078540D" w:rsidRDefault="0078540D">
            <w:pPr>
              <w:jc w:val="right"/>
              <w:rPr>
                <w:color w:val="000000"/>
                <w:sz w:val="20"/>
                <w:szCs w:val="20"/>
              </w:rPr>
            </w:pPr>
            <w:r>
              <w:rPr>
                <w:color w:val="000000"/>
                <w:sz w:val="20"/>
                <w:szCs w:val="20"/>
              </w:rPr>
              <w:t>0.000</w:t>
            </w:r>
          </w:p>
        </w:tc>
      </w:tr>
      <w:tr w:rsidR="0078540D" w14:paraId="46E265E6" w14:textId="77777777" w:rsidTr="0078540D">
        <w:trPr>
          <w:trHeight w:val="320"/>
        </w:trPr>
        <w:tc>
          <w:tcPr>
            <w:tcW w:w="1176" w:type="dxa"/>
            <w:tcBorders>
              <w:top w:val="nil"/>
              <w:left w:val="nil"/>
              <w:bottom w:val="nil"/>
              <w:right w:val="nil"/>
            </w:tcBorders>
            <w:shd w:val="clear" w:color="auto" w:fill="auto"/>
            <w:noWrap/>
            <w:vAlign w:val="bottom"/>
            <w:hideMark/>
          </w:tcPr>
          <w:p w14:paraId="4C7E8A65"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D902593" w14:textId="77777777" w:rsidR="0078540D" w:rsidRDefault="0078540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DFE4CED" w14:textId="77777777" w:rsidR="0078540D" w:rsidRDefault="0078540D">
            <w:pPr>
              <w:jc w:val="right"/>
              <w:rPr>
                <w:b/>
                <w:bCs/>
                <w:color w:val="000000"/>
                <w:sz w:val="20"/>
                <w:szCs w:val="20"/>
              </w:rPr>
            </w:pPr>
            <w:r>
              <w:rPr>
                <w:b/>
                <w:bCs/>
                <w:color w:val="000000"/>
                <w:sz w:val="20"/>
                <w:szCs w:val="20"/>
              </w:rPr>
              <w:t>0.084</w:t>
            </w:r>
          </w:p>
        </w:tc>
        <w:tc>
          <w:tcPr>
            <w:tcW w:w="768" w:type="dxa"/>
            <w:tcBorders>
              <w:top w:val="nil"/>
              <w:left w:val="nil"/>
              <w:bottom w:val="nil"/>
              <w:right w:val="nil"/>
            </w:tcBorders>
            <w:shd w:val="clear" w:color="auto" w:fill="auto"/>
            <w:noWrap/>
            <w:vAlign w:val="bottom"/>
            <w:hideMark/>
          </w:tcPr>
          <w:p w14:paraId="6FD9CF60" w14:textId="77777777" w:rsidR="0078540D" w:rsidRDefault="0078540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11F58752" w14:textId="77777777" w:rsidR="0078540D" w:rsidRDefault="0078540D">
            <w:pPr>
              <w:jc w:val="right"/>
              <w:rPr>
                <w:b/>
                <w:bCs/>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13550891" w14:textId="77777777" w:rsidR="0078540D" w:rsidRDefault="0078540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03669DC" w14:textId="77777777" w:rsidR="0078540D" w:rsidRDefault="0078540D">
            <w:pPr>
              <w:jc w:val="right"/>
              <w:rPr>
                <w:color w:val="000000"/>
                <w:sz w:val="20"/>
                <w:szCs w:val="20"/>
              </w:rPr>
            </w:pPr>
            <w:r>
              <w:rPr>
                <w:color w:val="000000"/>
                <w:sz w:val="20"/>
                <w:szCs w:val="20"/>
              </w:rPr>
              <w:t>0.692</w:t>
            </w:r>
          </w:p>
        </w:tc>
        <w:tc>
          <w:tcPr>
            <w:tcW w:w="768" w:type="dxa"/>
            <w:tcBorders>
              <w:top w:val="nil"/>
              <w:left w:val="nil"/>
              <w:bottom w:val="nil"/>
              <w:right w:val="nil"/>
            </w:tcBorders>
            <w:shd w:val="clear" w:color="auto" w:fill="auto"/>
            <w:noWrap/>
            <w:vAlign w:val="bottom"/>
            <w:hideMark/>
          </w:tcPr>
          <w:p w14:paraId="0287E5D5"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88C5BE"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416C7B1" w14:textId="77777777" w:rsidR="0078540D" w:rsidRDefault="0078540D">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38F7AE96"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F18FCE" w14:textId="77777777" w:rsidR="0078540D" w:rsidRDefault="0078540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1E26871D" w14:textId="77777777" w:rsidR="0078540D" w:rsidRDefault="0078540D">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471A1CA1"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FC93610" w14:textId="77777777" w:rsidR="0078540D" w:rsidRDefault="0078540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52BDB07" w14:textId="77777777" w:rsidR="0078540D" w:rsidRDefault="0078540D">
            <w:pPr>
              <w:jc w:val="right"/>
              <w:rPr>
                <w:color w:val="000000"/>
                <w:sz w:val="20"/>
                <w:szCs w:val="20"/>
              </w:rPr>
            </w:pPr>
            <w:r>
              <w:rPr>
                <w:color w:val="000000"/>
                <w:sz w:val="20"/>
                <w:szCs w:val="20"/>
              </w:rPr>
              <w:t>0.789</w:t>
            </w:r>
          </w:p>
        </w:tc>
        <w:tc>
          <w:tcPr>
            <w:tcW w:w="768" w:type="dxa"/>
            <w:tcBorders>
              <w:top w:val="nil"/>
              <w:left w:val="nil"/>
              <w:bottom w:val="nil"/>
              <w:right w:val="nil"/>
            </w:tcBorders>
            <w:shd w:val="clear" w:color="auto" w:fill="auto"/>
            <w:noWrap/>
            <w:vAlign w:val="bottom"/>
            <w:hideMark/>
          </w:tcPr>
          <w:p w14:paraId="2E7E85DE" w14:textId="77777777" w:rsidR="0078540D" w:rsidRDefault="0078540D">
            <w:pPr>
              <w:jc w:val="right"/>
              <w:rPr>
                <w:color w:val="000000"/>
                <w:sz w:val="20"/>
                <w:szCs w:val="20"/>
              </w:rPr>
            </w:pPr>
            <w:r>
              <w:rPr>
                <w:color w:val="000000"/>
                <w:sz w:val="20"/>
                <w:szCs w:val="20"/>
              </w:rPr>
              <w:t>0.000</w:t>
            </w:r>
          </w:p>
        </w:tc>
      </w:tr>
      <w:tr w:rsidR="0078540D" w14:paraId="3E2FD8F2" w14:textId="77777777" w:rsidTr="0078540D">
        <w:trPr>
          <w:trHeight w:val="320"/>
        </w:trPr>
        <w:tc>
          <w:tcPr>
            <w:tcW w:w="1176" w:type="dxa"/>
            <w:tcBorders>
              <w:top w:val="nil"/>
              <w:left w:val="nil"/>
              <w:bottom w:val="nil"/>
              <w:right w:val="nil"/>
            </w:tcBorders>
            <w:shd w:val="clear" w:color="auto" w:fill="auto"/>
            <w:noWrap/>
            <w:vAlign w:val="bottom"/>
            <w:hideMark/>
          </w:tcPr>
          <w:p w14:paraId="766BF0A2"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5FB6D04" w14:textId="77777777" w:rsidR="0078540D" w:rsidRDefault="0078540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991F72A" w14:textId="77777777" w:rsidR="0078540D" w:rsidRDefault="0078540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2FC3CF64" w14:textId="77777777" w:rsidR="0078540D" w:rsidRDefault="0078540D">
            <w:pPr>
              <w:jc w:val="right"/>
              <w:rPr>
                <w:color w:val="000000"/>
                <w:sz w:val="20"/>
                <w:szCs w:val="20"/>
              </w:rPr>
            </w:pPr>
            <w:r>
              <w:rPr>
                <w:color w:val="000000"/>
                <w:sz w:val="20"/>
                <w:szCs w:val="20"/>
              </w:rPr>
              <w:t>0.640</w:t>
            </w:r>
          </w:p>
        </w:tc>
        <w:tc>
          <w:tcPr>
            <w:tcW w:w="768" w:type="dxa"/>
            <w:tcBorders>
              <w:top w:val="nil"/>
              <w:left w:val="nil"/>
              <w:bottom w:val="nil"/>
              <w:right w:val="nil"/>
            </w:tcBorders>
            <w:shd w:val="clear" w:color="auto" w:fill="auto"/>
            <w:noWrap/>
            <w:vAlign w:val="bottom"/>
            <w:hideMark/>
          </w:tcPr>
          <w:p w14:paraId="05F7ED99"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62B7E3"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D3546DF" w14:textId="77777777" w:rsidR="0078540D" w:rsidRDefault="0078540D">
            <w:pPr>
              <w:jc w:val="right"/>
              <w:rPr>
                <w:color w:val="000000"/>
                <w:sz w:val="20"/>
                <w:szCs w:val="20"/>
              </w:rPr>
            </w:pPr>
            <w:r>
              <w:rPr>
                <w:color w:val="000000"/>
                <w:sz w:val="20"/>
                <w:szCs w:val="20"/>
              </w:rPr>
              <w:t>0.692</w:t>
            </w:r>
          </w:p>
        </w:tc>
        <w:tc>
          <w:tcPr>
            <w:tcW w:w="768" w:type="dxa"/>
            <w:tcBorders>
              <w:top w:val="nil"/>
              <w:left w:val="nil"/>
              <w:bottom w:val="nil"/>
              <w:right w:val="nil"/>
            </w:tcBorders>
            <w:shd w:val="clear" w:color="auto" w:fill="auto"/>
            <w:noWrap/>
            <w:vAlign w:val="bottom"/>
            <w:hideMark/>
          </w:tcPr>
          <w:p w14:paraId="0FECB6D3"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2E8004" w14:textId="77777777" w:rsidR="0078540D" w:rsidRDefault="0078540D">
            <w:pPr>
              <w:jc w:val="right"/>
              <w:rPr>
                <w:b/>
                <w:bCs/>
                <w:color w:val="000000"/>
                <w:sz w:val="20"/>
                <w:szCs w:val="20"/>
              </w:rPr>
            </w:pPr>
            <w:r>
              <w:rPr>
                <w:b/>
                <w:bCs/>
                <w:color w:val="000000"/>
                <w:sz w:val="20"/>
                <w:szCs w:val="20"/>
              </w:rPr>
              <w:t>0.066</w:t>
            </w:r>
          </w:p>
        </w:tc>
        <w:tc>
          <w:tcPr>
            <w:tcW w:w="768" w:type="dxa"/>
            <w:tcBorders>
              <w:top w:val="nil"/>
              <w:left w:val="nil"/>
              <w:bottom w:val="nil"/>
              <w:right w:val="nil"/>
            </w:tcBorders>
            <w:shd w:val="clear" w:color="auto" w:fill="auto"/>
            <w:noWrap/>
            <w:vAlign w:val="bottom"/>
            <w:hideMark/>
          </w:tcPr>
          <w:p w14:paraId="1DF1D83F" w14:textId="77777777" w:rsidR="0078540D" w:rsidRDefault="0078540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6201A49A" w14:textId="77777777" w:rsidR="0078540D" w:rsidRDefault="0078540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74149F3A" w14:textId="77777777" w:rsidR="0078540D" w:rsidRDefault="0078540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62D7ADE" w14:textId="77777777" w:rsidR="0078540D" w:rsidRDefault="0078540D">
            <w:pPr>
              <w:jc w:val="right"/>
              <w:rPr>
                <w:color w:val="000000"/>
                <w:sz w:val="20"/>
                <w:szCs w:val="20"/>
              </w:rPr>
            </w:pPr>
            <w:r>
              <w:rPr>
                <w:color w:val="000000"/>
                <w:sz w:val="20"/>
                <w:szCs w:val="20"/>
              </w:rPr>
              <w:t>0.570</w:t>
            </w:r>
          </w:p>
        </w:tc>
        <w:tc>
          <w:tcPr>
            <w:tcW w:w="768" w:type="dxa"/>
            <w:tcBorders>
              <w:top w:val="nil"/>
              <w:left w:val="nil"/>
              <w:bottom w:val="nil"/>
              <w:right w:val="nil"/>
            </w:tcBorders>
            <w:shd w:val="clear" w:color="auto" w:fill="auto"/>
            <w:noWrap/>
            <w:vAlign w:val="bottom"/>
            <w:hideMark/>
          </w:tcPr>
          <w:p w14:paraId="29CF67CC"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CDCC16" w14:textId="77777777" w:rsidR="0078540D" w:rsidRDefault="0078540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61B2CB4" w14:textId="77777777" w:rsidR="0078540D" w:rsidRDefault="0078540D">
            <w:pPr>
              <w:jc w:val="right"/>
              <w:rPr>
                <w:color w:val="000000"/>
                <w:sz w:val="20"/>
                <w:szCs w:val="20"/>
              </w:rPr>
            </w:pPr>
            <w:r>
              <w:rPr>
                <w:color w:val="000000"/>
                <w:sz w:val="20"/>
                <w:szCs w:val="20"/>
              </w:rPr>
              <w:t>0.705</w:t>
            </w:r>
          </w:p>
        </w:tc>
        <w:tc>
          <w:tcPr>
            <w:tcW w:w="768" w:type="dxa"/>
            <w:tcBorders>
              <w:top w:val="nil"/>
              <w:left w:val="nil"/>
              <w:bottom w:val="nil"/>
              <w:right w:val="nil"/>
            </w:tcBorders>
            <w:shd w:val="clear" w:color="auto" w:fill="auto"/>
            <w:noWrap/>
            <w:vAlign w:val="bottom"/>
            <w:hideMark/>
          </w:tcPr>
          <w:p w14:paraId="4B8EBE85" w14:textId="77777777" w:rsidR="0078540D" w:rsidRDefault="0078540D">
            <w:pPr>
              <w:jc w:val="right"/>
              <w:rPr>
                <w:color w:val="000000"/>
                <w:sz w:val="20"/>
                <w:szCs w:val="20"/>
              </w:rPr>
            </w:pPr>
            <w:r>
              <w:rPr>
                <w:color w:val="000000"/>
                <w:sz w:val="20"/>
                <w:szCs w:val="20"/>
              </w:rPr>
              <w:t>0.000</w:t>
            </w:r>
          </w:p>
        </w:tc>
      </w:tr>
      <w:tr w:rsidR="0078540D" w14:paraId="7366CA79" w14:textId="77777777" w:rsidTr="0078540D">
        <w:trPr>
          <w:trHeight w:val="320"/>
        </w:trPr>
        <w:tc>
          <w:tcPr>
            <w:tcW w:w="1176" w:type="dxa"/>
            <w:tcBorders>
              <w:top w:val="nil"/>
              <w:left w:val="nil"/>
              <w:bottom w:val="single" w:sz="4" w:space="0" w:color="auto"/>
              <w:right w:val="nil"/>
            </w:tcBorders>
            <w:shd w:val="clear" w:color="auto" w:fill="auto"/>
            <w:noWrap/>
            <w:vAlign w:val="bottom"/>
            <w:hideMark/>
          </w:tcPr>
          <w:p w14:paraId="4CA29394" w14:textId="77777777" w:rsidR="0078540D" w:rsidRDefault="0078540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404828A" w14:textId="77777777" w:rsidR="0078540D" w:rsidRDefault="0078540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C109F95" w14:textId="77777777" w:rsidR="0078540D" w:rsidRDefault="0078540D">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74C6DA7D" w14:textId="77777777" w:rsidR="0078540D" w:rsidRDefault="0078540D">
            <w:pPr>
              <w:jc w:val="right"/>
              <w:rPr>
                <w:color w:val="000000"/>
                <w:sz w:val="20"/>
                <w:szCs w:val="20"/>
              </w:rPr>
            </w:pPr>
            <w:r>
              <w:rPr>
                <w:color w:val="000000"/>
                <w:sz w:val="20"/>
                <w:szCs w:val="20"/>
              </w:rPr>
              <w:t>0.897</w:t>
            </w:r>
          </w:p>
        </w:tc>
        <w:tc>
          <w:tcPr>
            <w:tcW w:w="768" w:type="dxa"/>
            <w:tcBorders>
              <w:top w:val="nil"/>
              <w:left w:val="nil"/>
              <w:bottom w:val="single" w:sz="4" w:space="0" w:color="auto"/>
              <w:right w:val="nil"/>
            </w:tcBorders>
            <w:shd w:val="clear" w:color="auto" w:fill="auto"/>
            <w:noWrap/>
            <w:vAlign w:val="bottom"/>
            <w:hideMark/>
          </w:tcPr>
          <w:p w14:paraId="0BB8D291"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C72C08B" w14:textId="77777777" w:rsidR="0078540D" w:rsidRDefault="0078540D">
            <w:pPr>
              <w:jc w:val="right"/>
              <w:rPr>
                <w:b/>
                <w:bCs/>
                <w:color w:val="000000"/>
                <w:sz w:val="20"/>
                <w:szCs w:val="20"/>
              </w:rPr>
            </w:pPr>
            <w:r>
              <w:rPr>
                <w:b/>
                <w:bCs/>
                <w:color w:val="000000"/>
                <w:sz w:val="20"/>
                <w:szCs w:val="20"/>
              </w:rPr>
              <w:t>-0.105</w:t>
            </w:r>
          </w:p>
        </w:tc>
        <w:tc>
          <w:tcPr>
            <w:tcW w:w="768" w:type="dxa"/>
            <w:tcBorders>
              <w:top w:val="nil"/>
              <w:left w:val="nil"/>
              <w:bottom w:val="single" w:sz="4" w:space="0" w:color="auto"/>
              <w:right w:val="nil"/>
            </w:tcBorders>
            <w:shd w:val="clear" w:color="auto" w:fill="auto"/>
            <w:noWrap/>
            <w:vAlign w:val="bottom"/>
            <w:hideMark/>
          </w:tcPr>
          <w:p w14:paraId="6951735A"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4C3423F" w14:textId="77777777" w:rsidR="0078540D" w:rsidRDefault="0078540D">
            <w:pPr>
              <w:jc w:val="right"/>
              <w:rPr>
                <w:b/>
                <w:bCs/>
                <w:color w:val="000000"/>
                <w:sz w:val="20"/>
                <w:szCs w:val="20"/>
              </w:rPr>
            </w:pPr>
            <w:r>
              <w:rPr>
                <w:b/>
                <w:bCs/>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01D16313" w14:textId="77777777" w:rsidR="0078540D" w:rsidRDefault="0078540D">
            <w:pPr>
              <w:jc w:val="right"/>
              <w:rPr>
                <w:color w:val="000000"/>
                <w:sz w:val="20"/>
                <w:szCs w:val="20"/>
              </w:rPr>
            </w:pPr>
            <w:r>
              <w:rPr>
                <w:color w:val="000000"/>
                <w:sz w:val="20"/>
                <w:szCs w:val="20"/>
              </w:rPr>
              <w:t>0.038</w:t>
            </w:r>
          </w:p>
        </w:tc>
        <w:tc>
          <w:tcPr>
            <w:tcW w:w="768" w:type="dxa"/>
            <w:tcBorders>
              <w:top w:val="nil"/>
              <w:left w:val="nil"/>
              <w:bottom w:val="single" w:sz="4" w:space="0" w:color="auto"/>
              <w:right w:val="nil"/>
            </w:tcBorders>
            <w:shd w:val="clear" w:color="auto" w:fill="auto"/>
            <w:noWrap/>
            <w:vAlign w:val="bottom"/>
            <w:hideMark/>
          </w:tcPr>
          <w:p w14:paraId="58D290DD" w14:textId="77777777" w:rsidR="0078540D" w:rsidRDefault="0078540D">
            <w:pPr>
              <w:jc w:val="right"/>
              <w:rPr>
                <w:color w:val="000000"/>
                <w:sz w:val="20"/>
                <w:szCs w:val="20"/>
              </w:rPr>
            </w:pPr>
            <w:r>
              <w:rPr>
                <w:color w:val="000000"/>
                <w:sz w:val="20"/>
                <w:szCs w:val="20"/>
              </w:rPr>
              <w:t>0.317</w:t>
            </w:r>
          </w:p>
        </w:tc>
        <w:tc>
          <w:tcPr>
            <w:tcW w:w="768" w:type="dxa"/>
            <w:tcBorders>
              <w:top w:val="nil"/>
              <w:left w:val="nil"/>
              <w:bottom w:val="single" w:sz="4" w:space="0" w:color="auto"/>
              <w:right w:val="nil"/>
            </w:tcBorders>
            <w:shd w:val="clear" w:color="auto" w:fill="auto"/>
            <w:noWrap/>
            <w:vAlign w:val="bottom"/>
            <w:hideMark/>
          </w:tcPr>
          <w:p w14:paraId="210C5AA3"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1FDDC5B" w14:textId="77777777" w:rsidR="0078540D" w:rsidRDefault="0078540D">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32FB714A" w14:textId="77777777" w:rsidR="0078540D" w:rsidRDefault="0078540D">
            <w:pPr>
              <w:jc w:val="right"/>
              <w:rPr>
                <w:color w:val="000000"/>
                <w:sz w:val="20"/>
                <w:szCs w:val="20"/>
              </w:rPr>
            </w:pPr>
            <w:r>
              <w:rPr>
                <w:color w:val="000000"/>
                <w:sz w:val="20"/>
                <w:szCs w:val="20"/>
              </w:rPr>
              <w:t>0.492</w:t>
            </w:r>
          </w:p>
        </w:tc>
        <w:tc>
          <w:tcPr>
            <w:tcW w:w="768" w:type="dxa"/>
            <w:tcBorders>
              <w:top w:val="nil"/>
              <w:left w:val="nil"/>
              <w:bottom w:val="single" w:sz="4" w:space="0" w:color="auto"/>
              <w:right w:val="nil"/>
            </w:tcBorders>
            <w:shd w:val="clear" w:color="auto" w:fill="auto"/>
            <w:noWrap/>
            <w:vAlign w:val="bottom"/>
            <w:hideMark/>
          </w:tcPr>
          <w:p w14:paraId="733602D0"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A16EB15" w14:textId="77777777" w:rsidR="0078540D" w:rsidRDefault="0078540D">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5C4578D7" w14:textId="77777777" w:rsidR="0078540D" w:rsidRDefault="0078540D">
            <w:pPr>
              <w:jc w:val="right"/>
              <w:rPr>
                <w:color w:val="000000"/>
                <w:sz w:val="20"/>
                <w:szCs w:val="20"/>
              </w:rPr>
            </w:pPr>
            <w:r>
              <w:rPr>
                <w:color w:val="000000"/>
                <w:sz w:val="20"/>
                <w:szCs w:val="20"/>
              </w:rPr>
              <w:t>0.705</w:t>
            </w:r>
          </w:p>
        </w:tc>
        <w:tc>
          <w:tcPr>
            <w:tcW w:w="768" w:type="dxa"/>
            <w:tcBorders>
              <w:top w:val="nil"/>
              <w:left w:val="nil"/>
              <w:bottom w:val="single" w:sz="4" w:space="0" w:color="auto"/>
              <w:right w:val="nil"/>
            </w:tcBorders>
            <w:shd w:val="clear" w:color="auto" w:fill="auto"/>
            <w:noWrap/>
            <w:vAlign w:val="bottom"/>
            <w:hideMark/>
          </w:tcPr>
          <w:p w14:paraId="7039C5D1" w14:textId="77777777" w:rsidR="0078540D" w:rsidRDefault="0078540D">
            <w:pPr>
              <w:jc w:val="right"/>
              <w:rPr>
                <w:color w:val="000000"/>
                <w:sz w:val="20"/>
                <w:szCs w:val="20"/>
              </w:rPr>
            </w:pPr>
            <w:r>
              <w:rPr>
                <w:color w:val="000000"/>
                <w:sz w:val="20"/>
                <w:szCs w:val="20"/>
              </w:rPr>
              <w:t>0.001</w:t>
            </w:r>
          </w:p>
        </w:tc>
      </w:tr>
      <w:tr w:rsidR="0078540D" w14:paraId="7CA069D9" w14:textId="77777777" w:rsidTr="0078540D">
        <w:trPr>
          <w:trHeight w:val="320"/>
        </w:trPr>
        <w:tc>
          <w:tcPr>
            <w:tcW w:w="1176" w:type="dxa"/>
            <w:tcBorders>
              <w:top w:val="nil"/>
              <w:left w:val="nil"/>
              <w:bottom w:val="nil"/>
              <w:right w:val="nil"/>
            </w:tcBorders>
            <w:shd w:val="clear" w:color="auto" w:fill="auto"/>
            <w:noWrap/>
            <w:vAlign w:val="bottom"/>
            <w:hideMark/>
          </w:tcPr>
          <w:p w14:paraId="4972855C" w14:textId="77777777" w:rsidR="0078540D" w:rsidRDefault="0078540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4972E892" w14:textId="77777777" w:rsidR="0078540D" w:rsidRDefault="0078540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851142F" w14:textId="77777777" w:rsidR="0078540D" w:rsidRDefault="0078540D">
            <w:pPr>
              <w:jc w:val="right"/>
              <w:rPr>
                <w:b/>
                <w:bCs/>
                <w:color w:val="000000"/>
                <w:sz w:val="20"/>
                <w:szCs w:val="20"/>
              </w:rPr>
            </w:pPr>
            <w:r>
              <w:rPr>
                <w:b/>
                <w:bCs/>
                <w:color w:val="000000"/>
                <w:sz w:val="20"/>
                <w:szCs w:val="20"/>
              </w:rPr>
              <w:t>0.103</w:t>
            </w:r>
          </w:p>
        </w:tc>
        <w:tc>
          <w:tcPr>
            <w:tcW w:w="768" w:type="dxa"/>
            <w:tcBorders>
              <w:top w:val="nil"/>
              <w:left w:val="nil"/>
              <w:bottom w:val="nil"/>
              <w:right w:val="nil"/>
            </w:tcBorders>
            <w:shd w:val="clear" w:color="auto" w:fill="auto"/>
            <w:noWrap/>
            <w:vAlign w:val="bottom"/>
            <w:hideMark/>
          </w:tcPr>
          <w:p w14:paraId="39804589"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08F87948" w14:textId="77777777" w:rsidR="0078540D" w:rsidRDefault="0078540D">
            <w:pPr>
              <w:jc w:val="right"/>
              <w:rPr>
                <w:b/>
                <w:bCs/>
                <w:color w:val="000000"/>
                <w:sz w:val="20"/>
                <w:szCs w:val="20"/>
              </w:rPr>
            </w:pPr>
            <w:r>
              <w:rPr>
                <w:b/>
                <w:bCs/>
                <w:color w:val="000000"/>
                <w:sz w:val="20"/>
                <w:szCs w:val="20"/>
              </w:rPr>
              <w:t>0.011</w:t>
            </w:r>
          </w:p>
        </w:tc>
        <w:tc>
          <w:tcPr>
            <w:tcW w:w="768" w:type="dxa"/>
            <w:tcBorders>
              <w:top w:val="nil"/>
              <w:left w:val="nil"/>
              <w:bottom w:val="nil"/>
              <w:right w:val="nil"/>
            </w:tcBorders>
            <w:shd w:val="clear" w:color="auto" w:fill="auto"/>
            <w:noWrap/>
            <w:vAlign w:val="bottom"/>
            <w:hideMark/>
          </w:tcPr>
          <w:p w14:paraId="3F5170D6"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26285A1" w14:textId="77777777" w:rsidR="0078540D" w:rsidRDefault="0078540D">
            <w:pPr>
              <w:jc w:val="right"/>
              <w:rPr>
                <w:color w:val="000000"/>
                <w:sz w:val="20"/>
                <w:szCs w:val="20"/>
              </w:rPr>
            </w:pPr>
            <w:r>
              <w:rPr>
                <w:color w:val="000000"/>
                <w:sz w:val="20"/>
                <w:szCs w:val="20"/>
              </w:rPr>
              <w:t>0.864</w:t>
            </w:r>
          </w:p>
        </w:tc>
        <w:tc>
          <w:tcPr>
            <w:tcW w:w="768" w:type="dxa"/>
            <w:tcBorders>
              <w:top w:val="nil"/>
              <w:left w:val="nil"/>
              <w:bottom w:val="nil"/>
              <w:right w:val="nil"/>
            </w:tcBorders>
            <w:shd w:val="clear" w:color="auto" w:fill="auto"/>
            <w:noWrap/>
            <w:vAlign w:val="bottom"/>
            <w:hideMark/>
          </w:tcPr>
          <w:p w14:paraId="08AD3AB2"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B183E5"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D1DE219" w14:textId="77777777" w:rsidR="0078540D" w:rsidRDefault="0078540D">
            <w:pPr>
              <w:jc w:val="right"/>
              <w:rPr>
                <w:color w:val="000000"/>
                <w:sz w:val="20"/>
                <w:szCs w:val="20"/>
              </w:rPr>
            </w:pPr>
            <w:r>
              <w:rPr>
                <w:color w:val="000000"/>
                <w:sz w:val="20"/>
                <w:szCs w:val="20"/>
              </w:rPr>
              <w:t>0.869</w:t>
            </w:r>
          </w:p>
        </w:tc>
        <w:tc>
          <w:tcPr>
            <w:tcW w:w="768" w:type="dxa"/>
            <w:tcBorders>
              <w:top w:val="nil"/>
              <w:left w:val="nil"/>
              <w:bottom w:val="nil"/>
              <w:right w:val="nil"/>
            </w:tcBorders>
            <w:shd w:val="clear" w:color="auto" w:fill="auto"/>
            <w:noWrap/>
            <w:vAlign w:val="bottom"/>
            <w:hideMark/>
          </w:tcPr>
          <w:p w14:paraId="0E77C74E"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25B63B" w14:textId="77777777" w:rsidR="0078540D" w:rsidRDefault="0078540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55CCC66E" w14:textId="77777777" w:rsidR="0078540D" w:rsidRDefault="0078540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2BE5515D"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76F29BD" w14:textId="77777777" w:rsidR="0078540D" w:rsidRDefault="0078540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EA1000B" w14:textId="77777777" w:rsidR="0078540D" w:rsidRDefault="0078540D">
            <w:pPr>
              <w:jc w:val="right"/>
              <w:rPr>
                <w:color w:val="000000"/>
                <w:sz w:val="20"/>
                <w:szCs w:val="20"/>
              </w:rPr>
            </w:pPr>
            <w:r>
              <w:rPr>
                <w:color w:val="000000"/>
                <w:sz w:val="20"/>
                <w:szCs w:val="20"/>
              </w:rPr>
              <w:t>0.576</w:t>
            </w:r>
          </w:p>
        </w:tc>
        <w:tc>
          <w:tcPr>
            <w:tcW w:w="768" w:type="dxa"/>
            <w:tcBorders>
              <w:top w:val="nil"/>
              <w:left w:val="nil"/>
              <w:bottom w:val="nil"/>
              <w:right w:val="nil"/>
            </w:tcBorders>
            <w:shd w:val="clear" w:color="auto" w:fill="auto"/>
            <w:noWrap/>
            <w:vAlign w:val="bottom"/>
            <w:hideMark/>
          </w:tcPr>
          <w:p w14:paraId="218B6B4F" w14:textId="77777777" w:rsidR="0078540D" w:rsidRDefault="0078540D">
            <w:pPr>
              <w:jc w:val="right"/>
              <w:rPr>
                <w:color w:val="000000"/>
                <w:sz w:val="20"/>
                <w:szCs w:val="20"/>
              </w:rPr>
            </w:pPr>
            <w:r>
              <w:rPr>
                <w:color w:val="000000"/>
                <w:sz w:val="20"/>
                <w:szCs w:val="20"/>
              </w:rPr>
              <w:t>0.000</w:t>
            </w:r>
          </w:p>
        </w:tc>
      </w:tr>
      <w:tr w:rsidR="0078540D" w14:paraId="07D67BDD" w14:textId="77777777" w:rsidTr="0078540D">
        <w:trPr>
          <w:trHeight w:val="320"/>
        </w:trPr>
        <w:tc>
          <w:tcPr>
            <w:tcW w:w="1176" w:type="dxa"/>
            <w:tcBorders>
              <w:top w:val="nil"/>
              <w:left w:val="nil"/>
              <w:bottom w:val="nil"/>
              <w:right w:val="nil"/>
            </w:tcBorders>
            <w:shd w:val="clear" w:color="auto" w:fill="auto"/>
            <w:noWrap/>
            <w:vAlign w:val="bottom"/>
            <w:hideMark/>
          </w:tcPr>
          <w:p w14:paraId="310993DB"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77A134C" w14:textId="77777777" w:rsidR="0078540D" w:rsidRDefault="0078540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143232E" w14:textId="77777777" w:rsidR="0078540D" w:rsidRDefault="0078540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7A943A7" w14:textId="77777777" w:rsidR="0078540D" w:rsidRDefault="0078540D">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03950A08"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AE81E8" w14:textId="77777777" w:rsidR="0078540D" w:rsidRDefault="0078540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CBA4476" w14:textId="77777777" w:rsidR="0078540D" w:rsidRDefault="0078540D">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20E1344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9F5C02"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99BF39" w14:textId="77777777" w:rsidR="0078540D" w:rsidRDefault="0078540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7B49C95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BE146D" w14:textId="77777777" w:rsidR="0078540D" w:rsidRDefault="0078540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0F228353" w14:textId="77777777" w:rsidR="0078540D" w:rsidRDefault="0078540D">
            <w:pPr>
              <w:jc w:val="right"/>
              <w:rPr>
                <w:color w:val="000000"/>
                <w:sz w:val="20"/>
                <w:szCs w:val="20"/>
              </w:rPr>
            </w:pPr>
            <w:r>
              <w:rPr>
                <w:color w:val="000000"/>
                <w:sz w:val="20"/>
                <w:szCs w:val="20"/>
              </w:rPr>
              <w:t>0.296</w:t>
            </w:r>
          </w:p>
        </w:tc>
        <w:tc>
          <w:tcPr>
            <w:tcW w:w="768" w:type="dxa"/>
            <w:tcBorders>
              <w:top w:val="nil"/>
              <w:left w:val="nil"/>
              <w:bottom w:val="nil"/>
              <w:right w:val="nil"/>
            </w:tcBorders>
            <w:shd w:val="clear" w:color="auto" w:fill="auto"/>
            <w:noWrap/>
            <w:vAlign w:val="bottom"/>
            <w:hideMark/>
          </w:tcPr>
          <w:p w14:paraId="3A14C5F1"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FA90A2" w14:textId="77777777" w:rsidR="0078540D" w:rsidRDefault="0078540D">
            <w:pPr>
              <w:jc w:val="right"/>
              <w:rPr>
                <w:b/>
                <w:bCs/>
                <w:color w:val="000000"/>
                <w:sz w:val="20"/>
                <w:szCs w:val="20"/>
              </w:rPr>
            </w:pPr>
            <w:r>
              <w:rPr>
                <w:b/>
                <w:bCs/>
                <w:color w:val="000000"/>
                <w:sz w:val="20"/>
                <w:szCs w:val="20"/>
              </w:rPr>
              <w:t>0.102</w:t>
            </w:r>
          </w:p>
        </w:tc>
        <w:tc>
          <w:tcPr>
            <w:tcW w:w="768" w:type="dxa"/>
            <w:tcBorders>
              <w:top w:val="nil"/>
              <w:left w:val="nil"/>
              <w:bottom w:val="nil"/>
              <w:right w:val="nil"/>
            </w:tcBorders>
            <w:shd w:val="clear" w:color="auto" w:fill="auto"/>
            <w:noWrap/>
            <w:vAlign w:val="bottom"/>
            <w:hideMark/>
          </w:tcPr>
          <w:p w14:paraId="2C8B67C7" w14:textId="77777777" w:rsidR="0078540D" w:rsidRDefault="0078540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7B18F75C" w14:textId="77777777" w:rsidR="0078540D" w:rsidRDefault="0078540D">
            <w:pPr>
              <w:jc w:val="right"/>
              <w:rPr>
                <w:b/>
                <w:bCs/>
                <w:color w:val="000000"/>
                <w:sz w:val="20"/>
                <w:szCs w:val="20"/>
              </w:rPr>
            </w:pPr>
            <w:r>
              <w:rPr>
                <w:b/>
                <w:bCs/>
                <w:color w:val="000000"/>
                <w:sz w:val="20"/>
                <w:szCs w:val="20"/>
              </w:rPr>
              <w:t>0.010</w:t>
            </w:r>
          </w:p>
        </w:tc>
      </w:tr>
      <w:tr w:rsidR="0078540D" w14:paraId="3F86A0D6" w14:textId="77777777" w:rsidTr="0078540D">
        <w:trPr>
          <w:trHeight w:val="320"/>
        </w:trPr>
        <w:tc>
          <w:tcPr>
            <w:tcW w:w="1176" w:type="dxa"/>
            <w:tcBorders>
              <w:top w:val="nil"/>
              <w:left w:val="nil"/>
              <w:bottom w:val="nil"/>
              <w:right w:val="nil"/>
            </w:tcBorders>
            <w:shd w:val="clear" w:color="auto" w:fill="auto"/>
            <w:noWrap/>
            <w:vAlign w:val="bottom"/>
            <w:hideMark/>
          </w:tcPr>
          <w:p w14:paraId="4A5A6F14" w14:textId="77777777" w:rsidR="0078540D" w:rsidRDefault="0078540D">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0A642909" w14:textId="77777777" w:rsidR="0078540D" w:rsidRDefault="0078540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F86FEC8" w14:textId="77777777" w:rsidR="0078540D" w:rsidRDefault="0078540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38E9278E" w14:textId="77777777" w:rsidR="0078540D" w:rsidRDefault="0078540D">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639F57D0"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2F8AF9C"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975E6D6" w14:textId="77777777" w:rsidR="0078540D" w:rsidRDefault="0078540D">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4B2580A0"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C44EA4" w14:textId="77777777" w:rsidR="0078540D" w:rsidRDefault="0078540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E09E596" w14:textId="77777777" w:rsidR="0078540D" w:rsidRDefault="0078540D">
            <w:pPr>
              <w:jc w:val="right"/>
              <w:rPr>
                <w:color w:val="000000"/>
                <w:sz w:val="20"/>
                <w:szCs w:val="20"/>
              </w:rPr>
            </w:pPr>
            <w:r>
              <w:rPr>
                <w:color w:val="000000"/>
                <w:sz w:val="20"/>
                <w:szCs w:val="20"/>
              </w:rPr>
              <w:t>0.487</w:t>
            </w:r>
          </w:p>
        </w:tc>
        <w:tc>
          <w:tcPr>
            <w:tcW w:w="768" w:type="dxa"/>
            <w:tcBorders>
              <w:top w:val="nil"/>
              <w:left w:val="nil"/>
              <w:bottom w:val="nil"/>
              <w:right w:val="nil"/>
            </w:tcBorders>
            <w:shd w:val="clear" w:color="auto" w:fill="auto"/>
            <w:noWrap/>
            <w:vAlign w:val="bottom"/>
            <w:hideMark/>
          </w:tcPr>
          <w:p w14:paraId="7CB976A4"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20978E5" w14:textId="77777777" w:rsidR="0078540D" w:rsidRDefault="0078540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06FEB30" w14:textId="77777777" w:rsidR="0078540D" w:rsidRDefault="0078540D">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109E9656"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FA2B7F"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E638133" w14:textId="77777777" w:rsidR="0078540D" w:rsidRDefault="0078540D">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5A60681A" w14:textId="77777777" w:rsidR="0078540D" w:rsidRDefault="0078540D">
            <w:pPr>
              <w:jc w:val="right"/>
              <w:rPr>
                <w:color w:val="000000"/>
                <w:sz w:val="20"/>
                <w:szCs w:val="20"/>
              </w:rPr>
            </w:pPr>
            <w:r>
              <w:rPr>
                <w:color w:val="000000"/>
                <w:sz w:val="20"/>
                <w:szCs w:val="20"/>
              </w:rPr>
              <w:t>0.000</w:t>
            </w:r>
          </w:p>
        </w:tc>
      </w:tr>
      <w:tr w:rsidR="0078540D" w14:paraId="215FACC2" w14:textId="77777777" w:rsidTr="0078540D">
        <w:trPr>
          <w:trHeight w:val="320"/>
        </w:trPr>
        <w:tc>
          <w:tcPr>
            <w:tcW w:w="1176" w:type="dxa"/>
            <w:tcBorders>
              <w:top w:val="nil"/>
              <w:left w:val="nil"/>
              <w:bottom w:val="nil"/>
              <w:right w:val="nil"/>
            </w:tcBorders>
            <w:shd w:val="clear" w:color="auto" w:fill="auto"/>
            <w:noWrap/>
            <w:vAlign w:val="bottom"/>
            <w:hideMark/>
          </w:tcPr>
          <w:p w14:paraId="2AD50118"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897B6E8" w14:textId="77777777" w:rsidR="0078540D" w:rsidRDefault="0078540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F50BD2A" w14:textId="77777777" w:rsidR="0078540D" w:rsidRDefault="0078540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776011F" w14:textId="77777777" w:rsidR="0078540D" w:rsidRDefault="0078540D">
            <w:pPr>
              <w:jc w:val="right"/>
              <w:rPr>
                <w:color w:val="000000"/>
                <w:sz w:val="20"/>
                <w:szCs w:val="20"/>
              </w:rPr>
            </w:pPr>
            <w:r>
              <w:rPr>
                <w:color w:val="000000"/>
                <w:sz w:val="20"/>
                <w:szCs w:val="20"/>
              </w:rPr>
              <w:t>0.813</w:t>
            </w:r>
          </w:p>
        </w:tc>
        <w:tc>
          <w:tcPr>
            <w:tcW w:w="768" w:type="dxa"/>
            <w:tcBorders>
              <w:top w:val="nil"/>
              <w:left w:val="nil"/>
              <w:bottom w:val="nil"/>
              <w:right w:val="nil"/>
            </w:tcBorders>
            <w:shd w:val="clear" w:color="auto" w:fill="auto"/>
            <w:noWrap/>
            <w:vAlign w:val="bottom"/>
            <w:hideMark/>
          </w:tcPr>
          <w:p w14:paraId="6515EEAE"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72830C" w14:textId="77777777" w:rsidR="0078540D" w:rsidRDefault="0078540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651A242C" w14:textId="77777777" w:rsidR="0078540D" w:rsidRDefault="0078540D">
            <w:pPr>
              <w:jc w:val="right"/>
              <w:rPr>
                <w:color w:val="000000"/>
                <w:sz w:val="20"/>
                <w:szCs w:val="20"/>
              </w:rPr>
            </w:pPr>
            <w:r>
              <w:rPr>
                <w:color w:val="000000"/>
                <w:sz w:val="20"/>
                <w:szCs w:val="20"/>
              </w:rPr>
              <w:t>0.156</w:t>
            </w:r>
          </w:p>
        </w:tc>
        <w:tc>
          <w:tcPr>
            <w:tcW w:w="768" w:type="dxa"/>
            <w:tcBorders>
              <w:top w:val="nil"/>
              <w:left w:val="nil"/>
              <w:bottom w:val="nil"/>
              <w:right w:val="nil"/>
            </w:tcBorders>
            <w:shd w:val="clear" w:color="auto" w:fill="auto"/>
            <w:noWrap/>
            <w:vAlign w:val="bottom"/>
            <w:hideMark/>
          </w:tcPr>
          <w:p w14:paraId="36EA8A65"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ECC196F" w14:textId="77777777" w:rsidR="0078540D" w:rsidRDefault="0078540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6F8A1DF" w14:textId="77777777" w:rsidR="0078540D" w:rsidRDefault="0078540D">
            <w:pPr>
              <w:jc w:val="right"/>
              <w:rPr>
                <w:color w:val="000000"/>
                <w:sz w:val="20"/>
                <w:szCs w:val="20"/>
              </w:rPr>
            </w:pPr>
            <w:r>
              <w:rPr>
                <w:color w:val="000000"/>
                <w:sz w:val="20"/>
                <w:szCs w:val="20"/>
              </w:rPr>
              <w:t>0.458</w:t>
            </w:r>
          </w:p>
        </w:tc>
        <w:tc>
          <w:tcPr>
            <w:tcW w:w="768" w:type="dxa"/>
            <w:tcBorders>
              <w:top w:val="nil"/>
              <w:left w:val="nil"/>
              <w:bottom w:val="nil"/>
              <w:right w:val="nil"/>
            </w:tcBorders>
            <w:shd w:val="clear" w:color="auto" w:fill="auto"/>
            <w:noWrap/>
            <w:vAlign w:val="bottom"/>
            <w:hideMark/>
          </w:tcPr>
          <w:p w14:paraId="1B66CD18"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D6C678"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788BEA3" w14:textId="77777777" w:rsidR="0078540D" w:rsidRDefault="0078540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1406534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B57906" w14:textId="77777777" w:rsidR="0078540D" w:rsidRDefault="0078540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9F0B7CB" w14:textId="77777777" w:rsidR="0078540D" w:rsidRDefault="0078540D">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62C7ADB4" w14:textId="77777777" w:rsidR="0078540D" w:rsidRDefault="0078540D">
            <w:pPr>
              <w:jc w:val="right"/>
              <w:rPr>
                <w:color w:val="000000"/>
                <w:sz w:val="20"/>
                <w:szCs w:val="20"/>
              </w:rPr>
            </w:pPr>
            <w:r>
              <w:rPr>
                <w:color w:val="000000"/>
                <w:sz w:val="20"/>
                <w:szCs w:val="20"/>
              </w:rPr>
              <w:t>0.002</w:t>
            </w:r>
          </w:p>
        </w:tc>
      </w:tr>
      <w:tr w:rsidR="0078540D" w14:paraId="02521A79" w14:textId="77777777" w:rsidTr="0078540D">
        <w:trPr>
          <w:trHeight w:val="320"/>
        </w:trPr>
        <w:tc>
          <w:tcPr>
            <w:tcW w:w="1176" w:type="dxa"/>
            <w:tcBorders>
              <w:top w:val="nil"/>
              <w:left w:val="nil"/>
              <w:bottom w:val="nil"/>
              <w:right w:val="nil"/>
            </w:tcBorders>
            <w:shd w:val="clear" w:color="auto" w:fill="auto"/>
            <w:noWrap/>
            <w:vAlign w:val="bottom"/>
            <w:hideMark/>
          </w:tcPr>
          <w:p w14:paraId="6E734433"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70C3B6E" w14:textId="77777777" w:rsidR="0078540D" w:rsidRDefault="0078540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B50E22D" w14:textId="77777777" w:rsidR="0078540D" w:rsidRDefault="0078540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39018B73" w14:textId="77777777" w:rsidR="0078540D" w:rsidRDefault="0078540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B4F8FF9" w14:textId="77777777" w:rsidR="0078540D" w:rsidRDefault="0078540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6530B18" w14:textId="77777777" w:rsidR="0078540D" w:rsidRDefault="0078540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ADD3DB5" w14:textId="77777777" w:rsidR="0078540D" w:rsidRDefault="0078540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5495261D"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E40CCF" w14:textId="77777777" w:rsidR="0078540D" w:rsidRDefault="0078540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5FCC5F14" w14:textId="77777777" w:rsidR="0078540D" w:rsidRDefault="0078540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3E686219"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5883F22" w14:textId="77777777" w:rsidR="0078540D" w:rsidRDefault="0078540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16EAE454" w14:textId="77777777" w:rsidR="0078540D" w:rsidRDefault="0078540D">
            <w:pPr>
              <w:jc w:val="right"/>
              <w:rPr>
                <w:color w:val="000000"/>
                <w:sz w:val="20"/>
                <w:szCs w:val="20"/>
              </w:rPr>
            </w:pPr>
            <w:r>
              <w:rPr>
                <w:color w:val="000000"/>
                <w:sz w:val="20"/>
                <w:szCs w:val="20"/>
              </w:rPr>
              <w:t>0.296</w:t>
            </w:r>
          </w:p>
        </w:tc>
        <w:tc>
          <w:tcPr>
            <w:tcW w:w="768" w:type="dxa"/>
            <w:tcBorders>
              <w:top w:val="nil"/>
              <w:left w:val="nil"/>
              <w:bottom w:val="nil"/>
              <w:right w:val="nil"/>
            </w:tcBorders>
            <w:shd w:val="clear" w:color="auto" w:fill="auto"/>
            <w:noWrap/>
            <w:vAlign w:val="bottom"/>
            <w:hideMark/>
          </w:tcPr>
          <w:p w14:paraId="4C463059"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BB9AB43" w14:textId="77777777" w:rsidR="0078540D" w:rsidRDefault="0078540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CEBF684" w14:textId="77777777" w:rsidR="0078540D" w:rsidRDefault="0078540D">
            <w:pPr>
              <w:jc w:val="right"/>
              <w:rPr>
                <w:color w:val="000000"/>
                <w:sz w:val="20"/>
                <w:szCs w:val="20"/>
              </w:rPr>
            </w:pPr>
            <w:r>
              <w:rPr>
                <w:color w:val="000000"/>
                <w:sz w:val="20"/>
                <w:szCs w:val="20"/>
              </w:rPr>
              <w:t>0.576</w:t>
            </w:r>
          </w:p>
        </w:tc>
        <w:tc>
          <w:tcPr>
            <w:tcW w:w="768" w:type="dxa"/>
            <w:tcBorders>
              <w:top w:val="nil"/>
              <w:left w:val="nil"/>
              <w:bottom w:val="nil"/>
              <w:right w:val="nil"/>
            </w:tcBorders>
            <w:shd w:val="clear" w:color="auto" w:fill="auto"/>
            <w:noWrap/>
            <w:vAlign w:val="bottom"/>
            <w:hideMark/>
          </w:tcPr>
          <w:p w14:paraId="635D033D" w14:textId="77777777" w:rsidR="0078540D" w:rsidRDefault="0078540D">
            <w:pPr>
              <w:jc w:val="right"/>
              <w:rPr>
                <w:color w:val="000000"/>
                <w:sz w:val="20"/>
                <w:szCs w:val="20"/>
              </w:rPr>
            </w:pPr>
            <w:r>
              <w:rPr>
                <w:color w:val="000000"/>
                <w:sz w:val="20"/>
                <w:szCs w:val="20"/>
              </w:rPr>
              <w:t>0.001</w:t>
            </w:r>
          </w:p>
        </w:tc>
      </w:tr>
      <w:tr w:rsidR="0078540D" w14:paraId="21E573C9" w14:textId="77777777" w:rsidTr="0078540D">
        <w:trPr>
          <w:trHeight w:val="320"/>
        </w:trPr>
        <w:tc>
          <w:tcPr>
            <w:tcW w:w="1176" w:type="dxa"/>
            <w:tcBorders>
              <w:top w:val="nil"/>
              <w:left w:val="nil"/>
              <w:bottom w:val="nil"/>
              <w:right w:val="nil"/>
            </w:tcBorders>
            <w:shd w:val="clear" w:color="auto" w:fill="auto"/>
            <w:noWrap/>
            <w:vAlign w:val="bottom"/>
            <w:hideMark/>
          </w:tcPr>
          <w:p w14:paraId="22CE493C"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DC3BE5" w14:textId="77777777" w:rsidR="0078540D" w:rsidRDefault="0078540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1F29A68" w14:textId="77777777" w:rsidR="0078540D" w:rsidRDefault="0078540D">
            <w:pPr>
              <w:jc w:val="right"/>
              <w:rPr>
                <w:b/>
                <w:bCs/>
                <w:color w:val="000000"/>
                <w:sz w:val="20"/>
                <w:szCs w:val="20"/>
              </w:rPr>
            </w:pPr>
            <w:r>
              <w:rPr>
                <w:b/>
                <w:bCs/>
                <w:color w:val="000000"/>
                <w:sz w:val="20"/>
                <w:szCs w:val="20"/>
              </w:rPr>
              <w:t>0.090</w:t>
            </w:r>
          </w:p>
        </w:tc>
        <w:tc>
          <w:tcPr>
            <w:tcW w:w="768" w:type="dxa"/>
            <w:tcBorders>
              <w:top w:val="nil"/>
              <w:left w:val="nil"/>
              <w:bottom w:val="nil"/>
              <w:right w:val="nil"/>
            </w:tcBorders>
            <w:shd w:val="clear" w:color="auto" w:fill="auto"/>
            <w:noWrap/>
            <w:vAlign w:val="bottom"/>
            <w:hideMark/>
          </w:tcPr>
          <w:p w14:paraId="131A55EF" w14:textId="77777777" w:rsidR="0078540D" w:rsidRDefault="0078540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745F769B" w14:textId="77777777" w:rsidR="0078540D" w:rsidRDefault="0078540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0D560EC6" w14:textId="77777777" w:rsidR="0078540D" w:rsidRDefault="0078540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9817C26" w14:textId="77777777" w:rsidR="0078540D" w:rsidRDefault="0078540D">
            <w:pPr>
              <w:jc w:val="right"/>
              <w:rPr>
                <w:color w:val="000000"/>
                <w:sz w:val="20"/>
                <w:szCs w:val="20"/>
              </w:rPr>
            </w:pPr>
            <w:r>
              <w:rPr>
                <w:color w:val="000000"/>
                <w:sz w:val="20"/>
                <w:szCs w:val="20"/>
              </w:rPr>
              <w:t>0.600</w:t>
            </w:r>
          </w:p>
        </w:tc>
        <w:tc>
          <w:tcPr>
            <w:tcW w:w="768" w:type="dxa"/>
            <w:tcBorders>
              <w:top w:val="nil"/>
              <w:left w:val="nil"/>
              <w:bottom w:val="nil"/>
              <w:right w:val="nil"/>
            </w:tcBorders>
            <w:shd w:val="clear" w:color="auto" w:fill="auto"/>
            <w:noWrap/>
            <w:vAlign w:val="bottom"/>
            <w:hideMark/>
          </w:tcPr>
          <w:p w14:paraId="37849CD1"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80BDB0" w14:textId="77777777" w:rsidR="0078540D" w:rsidRDefault="0078540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6F9F8E1" w14:textId="77777777" w:rsidR="0078540D" w:rsidRDefault="0078540D">
            <w:pPr>
              <w:jc w:val="right"/>
              <w:rPr>
                <w:color w:val="000000"/>
                <w:sz w:val="20"/>
                <w:szCs w:val="20"/>
              </w:rPr>
            </w:pPr>
            <w:r>
              <w:rPr>
                <w:color w:val="000000"/>
                <w:sz w:val="20"/>
                <w:szCs w:val="20"/>
              </w:rPr>
              <w:t>0.487</w:t>
            </w:r>
          </w:p>
        </w:tc>
        <w:tc>
          <w:tcPr>
            <w:tcW w:w="768" w:type="dxa"/>
            <w:tcBorders>
              <w:top w:val="nil"/>
              <w:left w:val="nil"/>
              <w:bottom w:val="nil"/>
              <w:right w:val="nil"/>
            </w:tcBorders>
            <w:shd w:val="clear" w:color="auto" w:fill="auto"/>
            <w:noWrap/>
            <w:vAlign w:val="bottom"/>
            <w:hideMark/>
          </w:tcPr>
          <w:p w14:paraId="1ECDB7F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174B9B" w14:textId="77777777" w:rsidR="0078540D" w:rsidRDefault="0078540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79BC6115" w14:textId="77777777" w:rsidR="0078540D" w:rsidRDefault="0078540D">
            <w:pPr>
              <w:jc w:val="right"/>
              <w:rPr>
                <w:color w:val="000000"/>
                <w:sz w:val="20"/>
                <w:szCs w:val="20"/>
              </w:rPr>
            </w:pPr>
            <w:r>
              <w:rPr>
                <w:color w:val="000000"/>
                <w:sz w:val="20"/>
                <w:szCs w:val="20"/>
              </w:rPr>
              <w:t>0.296</w:t>
            </w:r>
          </w:p>
        </w:tc>
        <w:tc>
          <w:tcPr>
            <w:tcW w:w="768" w:type="dxa"/>
            <w:tcBorders>
              <w:top w:val="nil"/>
              <w:left w:val="nil"/>
              <w:bottom w:val="nil"/>
              <w:right w:val="nil"/>
            </w:tcBorders>
            <w:shd w:val="clear" w:color="auto" w:fill="auto"/>
            <w:noWrap/>
            <w:vAlign w:val="bottom"/>
            <w:hideMark/>
          </w:tcPr>
          <w:p w14:paraId="4AE5526C"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A97D35F" w14:textId="77777777" w:rsidR="0078540D" w:rsidRDefault="0078540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D94D10F" w14:textId="77777777" w:rsidR="0078540D" w:rsidRDefault="0078540D">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2124F55B" w14:textId="77777777" w:rsidR="0078540D" w:rsidRDefault="0078540D">
            <w:pPr>
              <w:jc w:val="right"/>
              <w:rPr>
                <w:color w:val="000000"/>
                <w:sz w:val="20"/>
                <w:szCs w:val="20"/>
              </w:rPr>
            </w:pPr>
            <w:r>
              <w:rPr>
                <w:color w:val="000000"/>
                <w:sz w:val="20"/>
                <w:szCs w:val="20"/>
              </w:rPr>
              <w:t>0.001</w:t>
            </w:r>
          </w:p>
        </w:tc>
      </w:tr>
      <w:tr w:rsidR="0078540D" w14:paraId="152151CE" w14:textId="77777777" w:rsidTr="0078540D">
        <w:trPr>
          <w:trHeight w:val="320"/>
        </w:trPr>
        <w:tc>
          <w:tcPr>
            <w:tcW w:w="1176" w:type="dxa"/>
            <w:tcBorders>
              <w:top w:val="nil"/>
              <w:left w:val="nil"/>
              <w:bottom w:val="nil"/>
              <w:right w:val="nil"/>
            </w:tcBorders>
            <w:shd w:val="clear" w:color="auto" w:fill="auto"/>
            <w:noWrap/>
            <w:vAlign w:val="bottom"/>
            <w:hideMark/>
          </w:tcPr>
          <w:p w14:paraId="7A97A3AF"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66F5D39" w14:textId="77777777" w:rsidR="0078540D" w:rsidRDefault="0078540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95815DF" w14:textId="77777777" w:rsidR="0078540D" w:rsidRDefault="0078540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634BCE65" w14:textId="77777777" w:rsidR="0078540D" w:rsidRDefault="0078540D">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6E39F658"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0AC7F43"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49AF965" w14:textId="77777777" w:rsidR="0078540D" w:rsidRDefault="0078540D">
            <w:pPr>
              <w:jc w:val="right"/>
              <w:rPr>
                <w:color w:val="000000"/>
                <w:sz w:val="20"/>
                <w:szCs w:val="20"/>
              </w:rPr>
            </w:pPr>
            <w:r>
              <w:rPr>
                <w:color w:val="000000"/>
                <w:sz w:val="20"/>
                <w:szCs w:val="20"/>
              </w:rPr>
              <w:t>0.864</w:t>
            </w:r>
          </w:p>
        </w:tc>
        <w:tc>
          <w:tcPr>
            <w:tcW w:w="768" w:type="dxa"/>
            <w:tcBorders>
              <w:top w:val="nil"/>
              <w:left w:val="nil"/>
              <w:bottom w:val="nil"/>
              <w:right w:val="nil"/>
            </w:tcBorders>
            <w:shd w:val="clear" w:color="auto" w:fill="auto"/>
            <w:noWrap/>
            <w:vAlign w:val="bottom"/>
            <w:hideMark/>
          </w:tcPr>
          <w:p w14:paraId="385E592E"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6900A1D"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EE0AA31" w14:textId="77777777" w:rsidR="0078540D" w:rsidRDefault="0078540D">
            <w:pPr>
              <w:jc w:val="right"/>
              <w:rPr>
                <w:color w:val="000000"/>
                <w:sz w:val="20"/>
                <w:szCs w:val="20"/>
              </w:rPr>
            </w:pPr>
            <w:r>
              <w:rPr>
                <w:color w:val="000000"/>
                <w:sz w:val="20"/>
                <w:szCs w:val="20"/>
              </w:rPr>
              <w:t>0.458</w:t>
            </w:r>
          </w:p>
        </w:tc>
        <w:tc>
          <w:tcPr>
            <w:tcW w:w="768" w:type="dxa"/>
            <w:tcBorders>
              <w:top w:val="nil"/>
              <w:left w:val="nil"/>
              <w:bottom w:val="nil"/>
              <w:right w:val="nil"/>
            </w:tcBorders>
            <w:shd w:val="clear" w:color="auto" w:fill="auto"/>
            <w:noWrap/>
            <w:vAlign w:val="bottom"/>
            <w:hideMark/>
          </w:tcPr>
          <w:p w14:paraId="7BEDE15B"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FEB4BCE"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0C7FF78" w14:textId="77777777" w:rsidR="0078540D" w:rsidRDefault="0078540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03A06C26"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61A135" w14:textId="77777777" w:rsidR="0078540D" w:rsidRDefault="0078540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87238F6" w14:textId="77777777" w:rsidR="0078540D" w:rsidRDefault="0078540D">
            <w:pPr>
              <w:jc w:val="right"/>
              <w:rPr>
                <w:color w:val="000000"/>
                <w:sz w:val="20"/>
                <w:szCs w:val="20"/>
              </w:rPr>
            </w:pPr>
            <w:r>
              <w:rPr>
                <w:color w:val="000000"/>
                <w:sz w:val="20"/>
                <w:szCs w:val="20"/>
              </w:rPr>
              <w:t>0.469</w:t>
            </w:r>
          </w:p>
        </w:tc>
        <w:tc>
          <w:tcPr>
            <w:tcW w:w="768" w:type="dxa"/>
            <w:tcBorders>
              <w:top w:val="nil"/>
              <w:left w:val="nil"/>
              <w:bottom w:val="nil"/>
              <w:right w:val="nil"/>
            </w:tcBorders>
            <w:shd w:val="clear" w:color="auto" w:fill="auto"/>
            <w:noWrap/>
            <w:vAlign w:val="bottom"/>
            <w:hideMark/>
          </w:tcPr>
          <w:p w14:paraId="20FFEC84" w14:textId="77777777" w:rsidR="0078540D" w:rsidRDefault="0078540D">
            <w:pPr>
              <w:jc w:val="right"/>
              <w:rPr>
                <w:color w:val="000000"/>
                <w:sz w:val="20"/>
                <w:szCs w:val="20"/>
              </w:rPr>
            </w:pPr>
            <w:r>
              <w:rPr>
                <w:color w:val="000000"/>
                <w:sz w:val="20"/>
                <w:szCs w:val="20"/>
              </w:rPr>
              <w:t>0.001</w:t>
            </w:r>
          </w:p>
        </w:tc>
      </w:tr>
      <w:tr w:rsidR="0078540D" w14:paraId="0BC78588" w14:textId="77777777" w:rsidTr="0078540D">
        <w:trPr>
          <w:trHeight w:val="320"/>
        </w:trPr>
        <w:tc>
          <w:tcPr>
            <w:tcW w:w="1176" w:type="dxa"/>
            <w:tcBorders>
              <w:top w:val="nil"/>
              <w:left w:val="nil"/>
              <w:bottom w:val="single" w:sz="4" w:space="0" w:color="auto"/>
              <w:right w:val="nil"/>
            </w:tcBorders>
            <w:shd w:val="clear" w:color="auto" w:fill="auto"/>
            <w:noWrap/>
            <w:vAlign w:val="bottom"/>
            <w:hideMark/>
          </w:tcPr>
          <w:p w14:paraId="3A4C1B1C" w14:textId="77777777" w:rsidR="0078540D" w:rsidRDefault="0078540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4B8E1C2" w14:textId="77777777" w:rsidR="0078540D" w:rsidRDefault="0078540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3B98820"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FA7F363" w14:textId="77777777" w:rsidR="0078540D" w:rsidRDefault="0078540D">
            <w:pPr>
              <w:jc w:val="right"/>
              <w:rPr>
                <w:color w:val="000000"/>
                <w:sz w:val="20"/>
                <w:szCs w:val="20"/>
              </w:rPr>
            </w:pPr>
            <w:r>
              <w:rPr>
                <w:color w:val="000000"/>
                <w:sz w:val="20"/>
                <w:szCs w:val="20"/>
              </w:rPr>
              <w:t>0.949</w:t>
            </w:r>
          </w:p>
        </w:tc>
        <w:tc>
          <w:tcPr>
            <w:tcW w:w="768" w:type="dxa"/>
            <w:tcBorders>
              <w:top w:val="nil"/>
              <w:left w:val="nil"/>
              <w:bottom w:val="single" w:sz="4" w:space="0" w:color="auto"/>
              <w:right w:val="nil"/>
            </w:tcBorders>
            <w:shd w:val="clear" w:color="auto" w:fill="auto"/>
            <w:noWrap/>
            <w:vAlign w:val="bottom"/>
            <w:hideMark/>
          </w:tcPr>
          <w:p w14:paraId="79310CE8"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9C9085B" w14:textId="77777777" w:rsidR="0078540D" w:rsidRDefault="0078540D">
            <w:pPr>
              <w:jc w:val="right"/>
              <w:rPr>
                <w:b/>
                <w:bCs/>
                <w:color w:val="000000"/>
                <w:sz w:val="20"/>
                <w:szCs w:val="20"/>
              </w:rPr>
            </w:pPr>
            <w:r>
              <w:rPr>
                <w:b/>
                <w:bCs/>
                <w:color w:val="000000"/>
                <w:sz w:val="20"/>
                <w:szCs w:val="20"/>
              </w:rPr>
              <w:t>-0.073</w:t>
            </w:r>
          </w:p>
        </w:tc>
        <w:tc>
          <w:tcPr>
            <w:tcW w:w="768" w:type="dxa"/>
            <w:tcBorders>
              <w:top w:val="nil"/>
              <w:left w:val="nil"/>
              <w:bottom w:val="single" w:sz="4" w:space="0" w:color="auto"/>
              <w:right w:val="nil"/>
            </w:tcBorders>
            <w:shd w:val="clear" w:color="auto" w:fill="auto"/>
            <w:noWrap/>
            <w:vAlign w:val="bottom"/>
            <w:hideMark/>
          </w:tcPr>
          <w:p w14:paraId="6052706F" w14:textId="77777777" w:rsidR="0078540D" w:rsidRDefault="0078540D">
            <w:pPr>
              <w:jc w:val="right"/>
              <w:rPr>
                <w:b/>
                <w:bCs/>
                <w:color w:val="000000"/>
                <w:sz w:val="20"/>
                <w:szCs w:val="20"/>
              </w:rPr>
            </w:pPr>
            <w:r>
              <w:rPr>
                <w:b/>
                <w:bCs/>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55B0494F" w14:textId="77777777" w:rsidR="0078540D" w:rsidRDefault="0078540D">
            <w:pPr>
              <w:jc w:val="right"/>
              <w:rPr>
                <w:b/>
                <w:bCs/>
                <w:color w:val="000000"/>
                <w:sz w:val="20"/>
                <w:szCs w:val="20"/>
              </w:rPr>
            </w:pPr>
            <w:r>
              <w:rPr>
                <w:b/>
                <w:bCs/>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66F9469F" w14:textId="77777777" w:rsidR="0078540D" w:rsidRDefault="0078540D">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04172353" w14:textId="77777777" w:rsidR="0078540D" w:rsidRDefault="0078540D">
            <w:pPr>
              <w:jc w:val="right"/>
              <w:rPr>
                <w:color w:val="000000"/>
                <w:sz w:val="20"/>
                <w:szCs w:val="20"/>
              </w:rPr>
            </w:pPr>
            <w:r>
              <w:rPr>
                <w:color w:val="000000"/>
                <w:sz w:val="20"/>
                <w:szCs w:val="20"/>
              </w:rPr>
              <w:t>0.148</w:t>
            </w:r>
          </w:p>
        </w:tc>
        <w:tc>
          <w:tcPr>
            <w:tcW w:w="768" w:type="dxa"/>
            <w:tcBorders>
              <w:top w:val="nil"/>
              <w:left w:val="nil"/>
              <w:bottom w:val="single" w:sz="4" w:space="0" w:color="auto"/>
              <w:right w:val="nil"/>
            </w:tcBorders>
            <w:shd w:val="clear" w:color="auto" w:fill="auto"/>
            <w:noWrap/>
            <w:vAlign w:val="bottom"/>
            <w:hideMark/>
          </w:tcPr>
          <w:p w14:paraId="06B2C74D"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3948587"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43D35A7E" w14:textId="77777777" w:rsidR="0078540D" w:rsidRDefault="0078540D">
            <w:pPr>
              <w:jc w:val="right"/>
              <w:rPr>
                <w:color w:val="000000"/>
                <w:sz w:val="20"/>
                <w:szCs w:val="20"/>
              </w:rPr>
            </w:pPr>
            <w:r>
              <w:rPr>
                <w:color w:val="000000"/>
                <w:sz w:val="20"/>
                <w:szCs w:val="20"/>
              </w:rPr>
              <w:t>0.951</w:t>
            </w:r>
          </w:p>
        </w:tc>
        <w:tc>
          <w:tcPr>
            <w:tcW w:w="768" w:type="dxa"/>
            <w:tcBorders>
              <w:top w:val="nil"/>
              <w:left w:val="nil"/>
              <w:bottom w:val="single" w:sz="4" w:space="0" w:color="auto"/>
              <w:right w:val="nil"/>
            </w:tcBorders>
            <w:shd w:val="clear" w:color="auto" w:fill="auto"/>
            <w:noWrap/>
            <w:vAlign w:val="bottom"/>
            <w:hideMark/>
          </w:tcPr>
          <w:p w14:paraId="1E43746F"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CD685F1" w14:textId="77777777" w:rsidR="0078540D" w:rsidRDefault="0078540D">
            <w:pPr>
              <w:jc w:val="right"/>
              <w:rPr>
                <w:color w:val="000000"/>
                <w:sz w:val="20"/>
                <w:szCs w:val="20"/>
              </w:rPr>
            </w:pPr>
            <w:r>
              <w:rPr>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6CDD2A31" w14:textId="77777777" w:rsidR="0078540D" w:rsidRDefault="0078540D">
            <w:pPr>
              <w:jc w:val="right"/>
              <w:rPr>
                <w:color w:val="000000"/>
                <w:sz w:val="20"/>
                <w:szCs w:val="20"/>
              </w:rPr>
            </w:pPr>
            <w:r>
              <w:rPr>
                <w:color w:val="000000"/>
                <w:sz w:val="20"/>
                <w:szCs w:val="20"/>
              </w:rPr>
              <w:t>0.460</w:t>
            </w:r>
          </w:p>
        </w:tc>
        <w:tc>
          <w:tcPr>
            <w:tcW w:w="768" w:type="dxa"/>
            <w:tcBorders>
              <w:top w:val="nil"/>
              <w:left w:val="nil"/>
              <w:bottom w:val="single" w:sz="4" w:space="0" w:color="auto"/>
              <w:right w:val="nil"/>
            </w:tcBorders>
            <w:shd w:val="clear" w:color="auto" w:fill="auto"/>
            <w:noWrap/>
            <w:vAlign w:val="bottom"/>
            <w:hideMark/>
          </w:tcPr>
          <w:p w14:paraId="7BA88A1D" w14:textId="77777777" w:rsidR="0078540D" w:rsidRDefault="0078540D">
            <w:pPr>
              <w:jc w:val="right"/>
              <w:rPr>
                <w:color w:val="000000"/>
                <w:sz w:val="20"/>
                <w:szCs w:val="20"/>
              </w:rPr>
            </w:pPr>
            <w:r>
              <w:rPr>
                <w:color w:val="000000"/>
                <w:sz w:val="20"/>
                <w:szCs w:val="20"/>
              </w:rPr>
              <w:t>0.002</w:t>
            </w:r>
          </w:p>
        </w:tc>
      </w:tr>
      <w:tr w:rsidR="0078540D" w14:paraId="510B53F4" w14:textId="77777777" w:rsidTr="0078540D">
        <w:trPr>
          <w:trHeight w:val="320"/>
        </w:trPr>
        <w:tc>
          <w:tcPr>
            <w:tcW w:w="1176" w:type="dxa"/>
            <w:tcBorders>
              <w:top w:val="nil"/>
              <w:left w:val="nil"/>
              <w:bottom w:val="nil"/>
              <w:right w:val="nil"/>
            </w:tcBorders>
            <w:shd w:val="clear" w:color="auto" w:fill="auto"/>
            <w:noWrap/>
            <w:vAlign w:val="bottom"/>
            <w:hideMark/>
          </w:tcPr>
          <w:p w14:paraId="005A63CA" w14:textId="77777777" w:rsidR="0078540D" w:rsidRDefault="0078540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26B2E465" w14:textId="77777777" w:rsidR="0078540D" w:rsidRDefault="0078540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7F0D062" w14:textId="77777777" w:rsidR="0078540D" w:rsidRDefault="0078540D">
            <w:pPr>
              <w:jc w:val="right"/>
              <w:rPr>
                <w:b/>
                <w:bCs/>
                <w:color w:val="000000"/>
                <w:sz w:val="20"/>
                <w:szCs w:val="20"/>
              </w:rPr>
            </w:pPr>
            <w:r>
              <w:rPr>
                <w:b/>
                <w:bCs/>
                <w:color w:val="000000"/>
                <w:sz w:val="20"/>
                <w:szCs w:val="20"/>
              </w:rPr>
              <w:t>0.097</w:t>
            </w:r>
          </w:p>
        </w:tc>
        <w:tc>
          <w:tcPr>
            <w:tcW w:w="768" w:type="dxa"/>
            <w:tcBorders>
              <w:top w:val="nil"/>
              <w:left w:val="nil"/>
              <w:bottom w:val="nil"/>
              <w:right w:val="nil"/>
            </w:tcBorders>
            <w:shd w:val="clear" w:color="auto" w:fill="auto"/>
            <w:noWrap/>
            <w:vAlign w:val="bottom"/>
            <w:hideMark/>
          </w:tcPr>
          <w:p w14:paraId="2C7711B9"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EEFC30A" w14:textId="77777777" w:rsidR="0078540D" w:rsidRDefault="0078540D">
            <w:pPr>
              <w:jc w:val="right"/>
              <w:rPr>
                <w:b/>
                <w:bCs/>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7F1A58DB"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0CFBE13" w14:textId="77777777" w:rsidR="0078540D" w:rsidRDefault="0078540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2CBBA3C3"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8646E8"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B5B0EAA" w14:textId="77777777" w:rsidR="0078540D" w:rsidRDefault="0078540D">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6F4E8E89"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BF047F" w14:textId="77777777" w:rsidR="0078540D" w:rsidRDefault="0078540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421C572D" w14:textId="77777777" w:rsidR="0078540D" w:rsidRDefault="0078540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5449276C"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57A3E6B" w14:textId="77777777" w:rsidR="0078540D" w:rsidRDefault="0078540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DB93CBB" w14:textId="77777777" w:rsidR="0078540D" w:rsidRDefault="0078540D">
            <w:pPr>
              <w:jc w:val="right"/>
              <w:rPr>
                <w:color w:val="000000"/>
                <w:sz w:val="20"/>
                <w:szCs w:val="20"/>
              </w:rPr>
            </w:pPr>
            <w:r>
              <w:rPr>
                <w:color w:val="000000"/>
                <w:sz w:val="20"/>
                <w:szCs w:val="20"/>
              </w:rPr>
              <w:t>0.678</w:t>
            </w:r>
          </w:p>
        </w:tc>
        <w:tc>
          <w:tcPr>
            <w:tcW w:w="768" w:type="dxa"/>
            <w:tcBorders>
              <w:top w:val="nil"/>
              <w:left w:val="nil"/>
              <w:bottom w:val="nil"/>
              <w:right w:val="nil"/>
            </w:tcBorders>
            <w:shd w:val="clear" w:color="auto" w:fill="auto"/>
            <w:noWrap/>
            <w:vAlign w:val="bottom"/>
            <w:hideMark/>
          </w:tcPr>
          <w:p w14:paraId="165B8BB5" w14:textId="77777777" w:rsidR="0078540D" w:rsidRDefault="0078540D">
            <w:pPr>
              <w:jc w:val="right"/>
              <w:rPr>
                <w:color w:val="000000"/>
                <w:sz w:val="20"/>
                <w:szCs w:val="20"/>
              </w:rPr>
            </w:pPr>
            <w:r>
              <w:rPr>
                <w:color w:val="000000"/>
                <w:sz w:val="20"/>
                <w:szCs w:val="20"/>
              </w:rPr>
              <w:t>0.001</w:t>
            </w:r>
          </w:p>
        </w:tc>
      </w:tr>
      <w:tr w:rsidR="0078540D" w14:paraId="1C058990" w14:textId="77777777" w:rsidTr="0078540D">
        <w:trPr>
          <w:trHeight w:val="320"/>
        </w:trPr>
        <w:tc>
          <w:tcPr>
            <w:tcW w:w="1176" w:type="dxa"/>
            <w:tcBorders>
              <w:top w:val="nil"/>
              <w:left w:val="nil"/>
              <w:bottom w:val="nil"/>
              <w:right w:val="nil"/>
            </w:tcBorders>
            <w:shd w:val="clear" w:color="auto" w:fill="auto"/>
            <w:noWrap/>
            <w:vAlign w:val="bottom"/>
            <w:hideMark/>
          </w:tcPr>
          <w:p w14:paraId="3AA09022"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CC62FAF" w14:textId="77777777" w:rsidR="0078540D" w:rsidRDefault="0078540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A20236B" w14:textId="77777777" w:rsidR="0078540D" w:rsidRDefault="0078540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DFB875A" w14:textId="77777777" w:rsidR="0078540D" w:rsidRDefault="0078540D">
            <w:pPr>
              <w:jc w:val="right"/>
              <w:rPr>
                <w:color w:val="000000"/>
                <w:sz w:val="20"/>
                <w:szCs w:val="20"/>
              </w:rPr>
            </w:pPr>
            <w:r>
              <w:rPr>
                <w:color w:val="000000"/>
                <w:sz w:val="20"/>
                <w:szCs w:val="20"/>
              </w:rPr>
              <w:t>0.913</w:t>
            </w:r>
          </w:p>
        </w:tc>
        <w:tc>
          <w:tcPr>
            <w:tcW w:w="768" w:type="dxa"/>
            <w:tcBorders>
              <w:top w:val="nil"/>
              <w:left w:val="nil"/>
              <w:bottom w:val="nil"/>
              <w:right w:val="nil"/>
            </w:tcBorders>
            <w:shd w:val="clear" w:color="auto" w:fill="auto"/>
            <w:noWrap/>
            <w:vAlign w:val="bottom"/>
            <w:hideMark/>
          </w:tcPr>
          <w:p w14:paraId="15846C7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424390" w14:textId="77777777" w:rsidR="0078540D" w:rsidRDefault="0078540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D26AA7A" w14:textId="77777777" w:rsidR="0078540D" w:rsidRDefault="0078540D">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5F66E8E1"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00E26C"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EFB052D" w14:textId="77777777" w:rsidR="0078540D" w:rsidRDefault="0078540D">
            <w:pPr>
              <w:jc w:val="right"/>
              <w:rPr>
                <w:color w:val="000000"/>
                <w:sz w:val="20"/>
                <w:szCs w:val="20"/>
              </w:rPr>
            </w:pPr>
            <w:r>
              <w:rPr>
                <w:color w:val="000000"/>
                <w:sz w:val="20"/>
                <w:szCs w:val="20"/>
              </w:rPr>
              <w:t>0.905</w:t>
            </w:r>
          </w:p>
        </w:tc>
        <w:tc>
          <w:tcPr>
            <w:tcW w:w="768" w:type="dxa"/>
            <w:tcBorders>
              <w:top w:val="nil"/>
              <w:left w:val="nil"/>
              <w:bottom w:val="nil"/>
              <w:right w:val="nil"/>
            </w:tcBorders>
            <w:shd w:val="clear" w:color="auto" w:fill="auto"/>
            <w:noWrap/>
            <w:vAlign w:val="bottom"/>
            <w:hideMark/>
          </w:tcPr>
          <w:p w14:paraId="5F02752C"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56136A" w14:textId="77777777" w:rsidR="0078540D" w:rsidRDefault="0078540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D33C212" w14:textId="77777777" w:rsidR="0078540D" w:rsidRDefault="0078540D">
            <w:pPr>
              <w:jc w:val="right"/>
              <w:rPr>
                <w:color w:val="000000"/>
                <w:sz w:val="20"/>
                <w:szCs w:val="20"/>
              </w:rPr>
            </w:pPr>
            <w:r>
              <w:rPr>
                <w:color w:val="000000"/>
                <w:sz w:val="20"/>
                <w:szCs w:val="20"/>
              </w:rPr>
              <w:t>0.276</w:t>
            </w:r>
          </w:p>
        </w:tc>
        <w:tc>
          <w:tcPr>
            <w:tcW w:w="768" w:type="dxa"/>
            <w:tcBorders>
              <w:top w:val="nil"/>
              <w:left w:val="nil"/>
              <w:bottom w:val="nil"/>
              <w:right w:val="nil"/>
            </w:tcBorders>
            <w:shd w:val="clear" w:color="auto" w:fill="auto"/>
            <w:noWrap/>
            <w:vAlign w:val="bottom"/>
            <w:hideMark/>
          </w:tcPr>
          <w:p w14:paraId="15A8EA0F"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27F9CC" w14:textId="77777777" w:rsidR="0078540D" w:rsidRDefault="0078540D">
            <w:pPr>
              <w:jc w:val="right"/>
              <w:rPr>
                <w:b/>
                <w:bCs/>
                <w:color w:val="000000"/>
                <w:sz w:val="20"/>
                <w:szCs w:val="20"/>
              </w:rPr>
            </w:pPr>
            <w:r>
              <w:rPr>
                <w:b/>
                <w:bCs/>
                <w:color w:val="000000"/>
                <w:sz w:val="20"/>
                <w:szCs w:val="20"/>
              </w:rPr>
              <w:t>0.099</w:t>
            </w:r>
          </w:p>
        </w:tc>
        <w:tc>
          <w:tcPr>
            <w:tcW w:w="768" w:type="dxa"/>
            <w:tcBorders>
              <w:top w:val="nil"/>
              <w:left w:val="nil"/>
              <w:bottom w:val="nil"/>
              <w:right w:val="nil"/>
            </w:tcBorders>
            <w:shd w:val="clear" w:color="auto" w:fill="auto"/>
            <w:noWrap/>
            <w:vAlign w:val="bottom"/>
            <w:hideMark/>
          </w:tcPr>
          <w:p w14:paraId="74A6D15C" w14:textId="77777777" w:rsidR="0078540D" w:rsidRDefault="0078540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EBAB6D9" w14:textId="77777777" w:rsidR="0078540D" w:rsidRDefault="0078540D">
            <w:pPr>
              <w:jc w:val="right"/>
              <w:rPr>
                <w:b/>
                <w:bCs/>
                <w:color w:val="000000"/>
                <w:sz w:val="20"/>
                <w:szCs w:val="20"/>
              </w:rPr>
            </w:pPr>
            <w:r>
              <w:rPr>
                <w:b/>
                <w:bCs/>
                <w:color w:val="000000"/>
                <w:sz w:val="20"/>
                <w:szCs w:val="20"/>
              </w:rPr>
              <w:t>0.010</w:t>
            </w:r>
          </w:p>
        </w:tc>
      </w:tr>
      <w:tr w:rsidR="0078540D" w14:paraId="41EF07A4" w14:textId="77777777" w:rsidTr="0078540D">
        <w:trPr>
          <w:trHeight w:val="320"/>
        </w:trPr>
        <w:tc>
          <w:tcPr>
            <w:tcW w:w="1176" w:type="dxa"/>
            <w:tcBorders>
              <w:top w:val="nil"/>
              <w:left w:val="nil"/>
              <w:bottom w:val="nil"/>
              <w:right w:val="nil"/>
            </w:tcBorders>
            <w:shd w:val="clear" w:color="auto" w:fill="auto"/>
            <w:noWrap/>
            <w:vAlign w:val="bottom"/>
            <w:hideMark/>
          </w:tcPr>
          <w:p w14:paraId="1B7B0DEA" w14:textId="77777777" w:rsidR="0078540D" w:rsidRDefault="0078540D">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5AD1911D" w14:textId="77777777" w:rsidR="0078540D" w:rsidRDefault="0078540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4B8EDD6" w14:textId="77777777" w:rsidR="0078540D" w:rsidRDefault="0078540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588FE97" w14:textId="77777777" w:rsidR="0078540D" w:rsidRDefault="0078540D">
            <w:pPr>
              <w:jc w:val="right"/>
              <w:rPr>
                <w:color w:val="000000"/>
                <w:sz w:val="20"/>
                <w:szCs w:val="20"/>
              </w:rPr>
            </w:pPr>
            <w:r>
              <w:rPr>
                <w:color w:val="000000"/>
                <w:sz w:val="20"/>
                <w:szCs w:val="20"/>
              </w:rPr>
              <w:t>0.660</w:t>
            </w:r>
          </w:p>
        </w:tc>
        <w:tc>
          <w:tcPr>
            <w:tcW w:w="768" w:type="dxa"/>
            <w:tcBorders>
              <w:top w:val="nil"/>
              <w:left w:val="nil"/>
              <w:bottom w:val="nil"/>
              <w:right w:val="nil"/>
            </w:tcBorders>
            <w:shd w:val="clear" w:color="auto" w:fill="auto"/>
            <w:noWrap/>
            <w:vAlign w:val="bottom"/>
            <w:hideMark/>
          </w:tcPr>
          <w:p w14:paraId="639BA42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F50F9B"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864AA4A" w14:textId="77777777" w:rsidR="0078540D" w:rsidRDefault="0078540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38E5B1D3"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E3B66E" w14:textId="77777777" w:rsidR="0078540D" w:rsidRDefault="0078540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60DA7E70" w14:textId="77777777" w:rsidR="0078540D" w:rsidRDefault="0078540D">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39317EC8"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AD98E4E" w14:textId="77777777" w:rsidR="0078540D" w:rsidRDefault="0078540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7352366" w14:textId="77777777" w:rsidR="0078540D" w:rsidRDefault="0078540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5C9BCA75"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B2D281" w14:textId="77777777" w:rsidR="0078540D" w:rsidRDefault="0078540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A427D32" w14:textId="77777777" w:rsidR="0078540D" w:rsidRDefault="0078540D">
            <w:pPr>
              <w:jc w:val="right"/>
              <w:rPr>
                <w:color w:val="000000"/>
                <w:sz w:val="20"/>
                <w:szCs w:val="20"/>
              </w:rPr>
            </w:pPr>
            <w:r>
              <w:rPr>
                <w:color w:val="000000"/>
                <w:sz w:val="20"/>
                <w:szCs w:val="20"/>
              </w:rPr>
              <w:t>0.791</w:t>
            </w:r>
          </w:p>
        </w:tc>
        <w:tc>
          <w:tcPr>
            <w:tcW w:w="768" w:type="dxa"/>
            <w:tcBorders>
              <w:top w:val="nil"/>
              <w:left w:val="nil"/>
              <w:bottom w:val="nil"/>
              <w:right w:val="nil"/>
            </w:tcBorders>
            <w:shd w:val="clear" w:color="auto" w:fill="auto"/>
            <w:noWrap/>
            <w:vAlign w:val="bottom"/>
            <w:hideMark/>
          </w:tcPr>
          <w:p w14:paraId="13C9DB4E" w14:textId="77777777" w:rsidR="0078540D" w:rsidRDefault="0078540D">
            <w:pPr>
              <w:jc w:val="right"/>
              <w:rPr>
                <w:color w:val="000000"/>
                <w:sz w:val="20"/>
                <w:szCs w:val="20"/>
              </w:rPr>
            </w:pPr>
            <w:r>
              <w:rPr>
                <w:color w:val="000000"/>
                <w:sz w:val="20"/>
                <w:szCs w:val="20"/>
              </w:rPr>
              <w:t>0.000</w:t>
            </w:r>
          </w:p>
        </w:tc>
      </w:tr>
      <w:tr w:rsidR="0078540D" w14:paraId="6484CA90" w14:textId="77777777" w:rsidTr="0078540D">
        <w:trPr>
          <w:trHeight w:val="320"/>
        </w:trPr>
        <w:tc>
          <w:tcPr>
            <w:tcW w:w="1176" w:type="dxa"/>
            <w:tcBorders>
              <w:top w:val="nil"/>
              <w:left w:val="nil"/>
              <w:bottom w:val="nil"/>
              <w:right w:val="nil"/>
            </w:tcBorders>
            <w:shd w:val="clear" w:color="auto" w:fill="auto"/>
            <w:noWrap/>
            <w:vAlign w:val="bottom"/>
            <w:hideMark/>
          </w:tcPr>
          <w:p w14:paraId="0A050349"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D5BBFCA" w14:textId="77777777" w:rsidR="0078540D" w:rsidRDefault="0078540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3D99208"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CC41B3F" w14:textId="77777777" w:rsidR="0078540D" w:rsidRDefault="0078540D">
            <w:pPr>
              <w:jc w:val="right"/>
              <w:rPr>
                <w:color w:val="000000"/>
                <w:sz w:val="20"/>
                <w:szCs w:val="20"/>
              </w:rPr>
            </w:pPr>
            <w:r>
              <w:rPr>
                <w:color w:val="000000"/>
                <w:sz w:val="20"/>
                <w:szCs w:val="20"/>
              </w:rPr>
              <w:t>0.913</w:t>
            </w:r>
          </w:p>
        </w:tc>
        <w:tc>
          <w:tcPr>
            <w:tcW w:w="768" w:type="dxa"/>
            <w:tcBorders>
              <w:top w:val="nil"/>
              <w:left w:val="nil"/>
              <w:bottom w:val="nil"/>
              <w:right w:val="nil"/>
            </w:tcBorders>
            <w:shd w:val="clear" w:color="auto" w:fill="auto"/>
            <w:noWrap/>
            <w:vAlign w:val="bottom"/>
            <w:hideMark/>
          </w:tcPr>
          <w:p w14:paraId="5A55E74C"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973D48" w14:textId="77777777" w:rsidR="0078540D" w:rsidRDefault="0078540D">
            <w:pPr>
              <w:jc w:val="right"/>
              <w:rPr>
                <w:b/>
                <w:bCs/>
                <w:color w:val="000000"/>
                <w:sz w:val="20"/>
                <w:szCs w:val="20"/>
              </w:rPr>
            </w:pPr>
            <w:r>
              <w:rPr>
                <w:b/>
                <w:bCs/>
                <w:color w:val="000000"/>
                <w:sz w:val="20"/>
                <w:szCs w:val="20"/>
              </w:rPr>
              <w:t>0.064</w:t>
            </w:r>
          </w:p>
        </w:tc>
        <w:tc>
          <w:tcPr>
            <w:tcW w:w="768" w:type="dxa"/>
            <w:tcBorders>
              <w:top w:val="nil"/>
              <w:left w:val="nil"/>
              <w:bottom w:val="nil"/>
              <w:right w:val="nil"/>
            </w:tcBorders>
            <w:shd w:val="clear" w:color="auto" w:fill="auto"/>
            <w:noWrap/>
            <w:vAlign w:val="bottom"/>
            <w:hideMark/>
          </w:tcPr>
          <w:p w14:paraId="4116B17F" w14:textId="77777777" w:rsidR="0078540D" w:rsidRDefault="0078540D">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1EA433C6" w14:textId="77777777" w:rsidR="0078540D" w:rsidRDefault="0078540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1C62F638" w14:textId="77777777" w:rsidR="0078540D" w:rsidRDefault="0078540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1B8C7A2B" w14:textId="77777777" w:rsidR="0078540D" w:rsidRDefault="0078540D">
            <w:pPr>
              <w:jc w:val="right"/>
              <w:rPr>
                <w:color w:val="000000"/>
                <w:sz w:val="20"/>
                <w:szCs w:val="20"/>
              </w:rPr>
            </w:pPr>
            <w:r>
              <w:rPr>
                <w:color w:val="000000"/>
                <w:sz w:val="20"/>
                <w:szCs w:val="20"/>
              </w:rPr>
              <w:t>0.291</w:t>
            </w:r>
          </w:p>
        </w:tc>
        <w:tc>
          <w:tcPr>
            <w:tcW w:w="768" w:type="dxa"/>
            <w:tcBorders>
              <w:top w:val="nil"/>
              <w:left w:val="nil"/>
              <w:bottom w:val="nil"/>
              <w:right w:val="nil"/>
            </w:tcBorders>
            <w:shd w:val="clear" w:color="auto" w:fill="auto"/>
            <w:noWrap/>
            <w:vAlign w:val="bottom"/>
            <w:hideMark/>
          </w:tcPr>
          <w:p w14:paraId="77378375"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BB166B"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F57C489" w14:textId="77777777" w:rsidR="0078540D" w:rsidRDefault="0078540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751BA86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18D2E2" w14:textId="77777777" w:rsidR="0078540D" w:rsidRDefault="0078540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05F02FD" w14:textId="77777777" w:rsidR="0078540D" w:rsidRDefault="0078540D">
            <w:pPr>
              <w:jc w:val="right"/>
              <w:rPr>
                <w:color w:val="000000"/>
                <w:sz w:val="20"/>
                <w:szCs w:val="20"/>
              </w:rPr>
            </w:pPr>
            <w:r>
              <w:rPr>
                <w:color w:val="000000"/>
                <w:sz w:val="20"/>
                <w:szCs w:val="20"/>
              </w:rPr>
              <w:t>0.666</w:t>
            </w:r>
          </w:p>
        </w:tc>
        <w:tc>
          <w:tcPr>
            <w:tcW w:w="768" w:type="dxa"/>
            <w:tcBorders>
              <w:top w:val="nil"/>
              <w:left w:val="nil"/>
              <w:bottom w:val="nil"/>
              <w:right w:val="nil"/>
            </w:tcBorders>
            <w:shd w:val="clear" w:color="auto" w:fill="auto"/>
            <w:noWrap/>
            <w:vAlign w:val="bottom"/>
            <w:hideMark/>
          </w:tcPr>
          <w:p w14:paraId="08028A6A" w14:textId="77777777" w:rsidR="0078540D" w:rsidRDefault="0078540D">
            <w:pPr>
              <w:jc w:val="right"/>
              <w:rPr>
                <w:color w:val="000000"/>
                <w:sz w:val="20"/>
                <w:szCs w:val="20"/>
              </w:rPr>
            </w:pPr>
            <w:r>
              <w:rPr>
                <w:color w:val="000000"/>
                <w:sz w:val="20"/>
                <w:szCs w:val="20"/>
              </w:rPr>
              <w:t>0.001</w:t>
            </w:r>
          </w:p>
        </w:tc>
      </w:tr>
      <w:tr w:rsidR="0078540D" w14:paraId="3CB104EB" w14:textId="77777777" w:rsidTr="0078540D">
        <w:trPr>
          <w:trHeight w:val="320"/>
        </w:trPr>
        <w:tc>
          <w:tcPr>
            <w:tcW w:w="1176" w:type="dxa"/>
            <w:tcBorders>
              <w:top w:val="nil"/>
              <w:left w:val="nil"/>
              <w:bottom w:val="nil"/>
              <w:right w:val="nil"/>
            </w:tcBorders>
            <w:shd w:val="clear" w:color="auto" w:fill="auto"/>
            <w:noWrap/>
            <w:vAlign w:val="bottom"/>
            <w:hideMark/>
          </w:tcPr>
          <w:p w14:paraId="555BF025"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318A29E" w14:textId="77777777" w:rsidR="0078540D" w:rsidRDefault="0078540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32365CF" w14:textId="77777777" w:rsidR="0078540D" w:rsidRDefault="0078540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20058AF2" w14:textId="77777777" w:rsidR="0078540D" w:rsidRDefault="0078540D">
            <w:pPr>
              <w:jc w:val="right"/>
              <w:rPr>
                <w:color w:val="000000"/>
                <w:sz w:val="20"/>
                <w:szCs w:val="20"/>
              </w:rPr>
            </w:pPr>
            <w:r>
              <w:rPr>
                <w:color w:val="000000"/>
                <w:sz w:val="20"/>
                <w:szCs w:val="20"/>
              </w:rPr>
              <w:t>0.091</w:t>
            </w:r>
          </w:p>
        </w:tc>
        <w:tc>
          <w:tcPr>
            <w:tcW w:w="768" w:type="dxa"/>
            <w:tcBorders>
              <w:top w:val="nil"/>
              <w:left w:val="nil"/>
              <w:bottom w:val="nil"/>
              <w:right w:val="nil"/>
            </w:tcBorders>
            <w:shd w:val="clear" w:color="auto" w:fill="auto"/>
            <w:noWrap/>
            <w:vAlign w:val="bottom"/>
            <w:hideMark/>
          </w:tcPr>
          <w:p w14:paraId="0FB02A1A"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44BE628" w14:textId="77777777" w:rsidR="0078540D" w:rsidRDefault="0078540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EC98E02" w14:textId="77777777" w:rsidR="0078540D" w:rsidRDefault="0078540D">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3559B7C5"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EBE0A0" w14:textId="77777777" w:rsidR="0078540D" w:rsidRDefault="0078540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6D152EB7" w14:textId="77777777" w:rsidR="0078540D" w:rsidRDefault="0078540D">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60AE2574" w14:textId="77777777" w:rsidR="0078540D" w:rsidRDefault="0078540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3DFC077" w14:textId="77777777" w:rsidR="0078540D" w:rsidRDefault="0078540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09E7493C" w14:textId="77777777" w:rsidR="0078540D" w:rsidRDefault="0078540D">
            <w:pPr>
              <w:jc w:val="right"/>
              <w:rPr>
                <w:color w:val="000000"/>
                <w:sz w:val="20"/>
                <w:szCs w:val="20"/>
              </w:rPr>
            </w:pPr>
            <w:r>
              <w:rPr>
                <w:color w:val="000000"/>
                <w:sz w:val="20"/>
                <w:szCs w:val="20"/>
              </w:rPr>
              <w:t>0.125</w:t>
            </w:r>
          </w:p>
        </w:tc>
        <w:tc>
          <w:tcPr>
            <w:tcW w:w="768" w:type="dxa"/>
            <w:tcBorders>
              <w:top w:val="nil"/>
              <w:left w:val="nil"/>
              <w:bottom w:val="nil"/>
              <w:right w:val="nil"/>
            </w:tcBorders>
            <w:shd w:val="clear" w:color="auto" w:fill="auto"/>
            <w:noWrap/>
            <w:vAlign w:val="bottom"/>
            <w:hideMark/>
          </w:tcPr>
          <w:p w14:paraId="08F13886"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9122939"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8C4408E" w14:textId="77777777" w:rsidR="0078540D" w:rsidRDefault="0078540D">
            <w:pPr>
              <w:jc w:val="right"/>
              <w:rPr>
                <w:color w:val="000000"/>
                <w:sz w:val="20"/>
                <w:szCs w:val="20"/>
              </w:rPr>
            </w:pPr>
            <w:r>
              <w:rPr>
                <w:color w:val="000000"/>
                <w:sz w:val="20"/>
                <w:szCs w:val="20"/>
              </w:rPr>
              <w:t>0.814</w:t>
            </w:r>
          </w:p>
        </w:tc>
        <w:tc>
          <w:tcPr>
            <w:tcW w:w="768" w:type="dxa"/>
            <w:tcBorders>
              <w:top w:val="nil"/>
              <w:left w:val="nil"/>
              <w:bottom w:val="nil"/>
              <w:right w:val="nil"/>
            </w:tcBorders>
            <w:shd w:val="clear" w:color="auto" w:fill="auto"/>
            <w:noWrap/>
            <w:vAlign w:val="bottom"/>
            <w:hideMark/>
          </w:tcPr>
          <w:p w14:paraId="5BED610D" w14:textId="77777777" w:rsidR="0078540D" w:rsidRDefault="0078540D">
            <w:pPr>
              <w:jc w:val="right"/>
              <w:rPr>
                <w:color w:val="000000"/>
                <w:sz w:val="20"/>
                <w:szCs w:val="20"/>
              </w:rPr>
            </w:pPr>
            <w:r>
              <w:rPr>
                <w:color w:val="000000"/>
                <w:sz w:val="20"/>
                <w:szCs w:val="20"/>
              </w:rPr>
              <w:t>0.000</w:t>
            </w:r>
          </w:p>
        </w:tc>
      </w:tr>
      <w:tr w:rsidR="0078540D" w14:paraId="0F10EE28" w14:textId="77777777" w:rsidTr="0078540D">
        <w:trPr>
          <w:trHeight w:val="320"/>
        </w:trPr>
        <w:tc>
          <w:tcPr>
            <w:tcW w:w="1176" w:type="dxa"/>
            <w:tcBorders>
              <w:top w:val="nil"/>
              <w:left w:val="nil"/>
              <w:bottom w:val="nil"/>
              <w:right w:val="nil"/>
            </w:tcBorders>
            <w:shd w:val="clear" w:color="auto" w:fill="auto"/>
            <w:noWrap/>
            <w:vAlign w:val="bottom"/>
            <w:hideMark/>
          </w:tcPr>
          <w:p w14:paraId="6E167300"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E46B9B6" w14:textId="77777777" w:rsidR="0078540D" w:rsidRDefault="0078540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A4F7EEB" w14:textId="77777777" w:rsidR="0078540D" w:rsidRDefault="0078540D">
            <w:pPr>
              <w:jc w:val="right"/>
              <w:rPr>
                <w:b/>
                <w:bCs/>
                <w:color w:val="000000"/>
                <w:sz w:val="20"/>
                <w:szCs w:val="20"/>
              </w:rPr>
            </w:pPr>
            <w:r>
              <w:rPr>
                <w:b/>
                <w:bCs/>
                <w:color w:val="000000"/>
                <w:sz w:val="20"/>
                <w:szCs w:val="20"/>
              </w:rPr>
              <w:t>0.100</w:t>
            </w:r>
          </w:p>
        </w:tc>
        <w:tc>
          <w:tcPr>
            <w:tcW w:w="768" w:type="dxa"/>
            <w:tcBorders>
              <w:top w:val="nil"/>
              <w:left w:val="nil"/>
              <w:bottom w:val="nil"/>
              <w:right w:val="nil"/>
            </w:tcBorders>
            <w:shd w:val="clear" w:color="auto" w:fill="auto"/>
            <w:noWrap/>
            <w:vAlign w:val="bottom"/>
            <w:hideMark/>
          </w:tcPr>
          <w:p w14:paraId="46C4C454" w14:textId="77777777" w:rsidR="0078540D" w:rsidRDefault="0078540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05ACA4E2" w14:textId="77777777" w:rsidR="0078540D" w:rsidRDefault="0078540D">
            <w:pPr>
              <w:jc w:val="right"/>
              <w:rPr>
                <w:b/>
                <w:bCs/>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4B3E27D3" w14:textId="77777777" w:rsidR="0078540D" w:rsidRDefault="0078540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A8AAC8F" w14:textId="77777777" w:rsidR="0078540D" w:rsidRDefault="0078540D">
            <w:pPr>
              <w:jc w:val="right"/>
              <w:rPr>
                <w:color w:val="000000"/>
                <w:sz w:val="20"/>
                <w:szCs w:val="20"/>
              </w:rPr>
            </w:pPr>
            <w:r>
              <w:rPr>
                <w:color w:val="000000"/>
                <w:sz w:val="20"/>
                <w:szCs w:val="20"/>
              </w:rPr>
              <w:t>0.315</w:t>
            </w:r>
          </w:p>
        </w:tc>
        <w:tc>
          <w:tcPr>
            <w:tcW w:w="768" w:type="dxa"/>
            <w:tcBorders>
              <w:top w:val="nil"/>
              <w:left w:val="nil"/>
              <w:bottom w:val="nil"/>
              <w:right w:val="nil"/>
            </w:tcBorders>
            <w:shd w:val="clear" w:color="auto" w:fill="auto"/>
            <w:noWrap/>
            <w:vAlign w:val="bottom"/>
            <w:hideMark/>
          </w:tcPr>
          <w:p w14:paraId="250ABACC"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ACFD93" w14:textId="77777777" w:rsidR="0078540D" w:rsidRDefault="0078540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288C599" w14:textId="77777777" w:rsidR="0078540D" w:rsidRDefault="0078540D">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44114637"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BF7855" w14:textId="77777777" w:rsidR="0078540D" w:rsidRDefault="0078540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7D78323C" w14:textId="77777777" w:rsidR="0078540D" w:rsidRDefault="0078540D">
            <w:pPr>
              <w:jc w:val="right"/>
              <w:rPr>
                <w:color w:val="000000"/>
                <w:sz w:val="20"/>
                <w:szCs w:val="20"/>
              </w:rPr>
            </w:pPr>
            <w:r>
              <w:rPr>
                <w:color w:val="000000"/>
                <w:sz w:val="20"/>
                <w:szCs w:val="20"/>
              </w:rPr>
              <w:t>0.125</w:t>
            </w:r>
          </w:p>
        </w:tc>
        <w:tc>
          <w:tcPr>
            <w:tcW w:w="768" w:type="dxa"/>
            <w:tcBorders>
              <w:top w:val="nil"/>
              <w:left w:val="nil"/>
              <w:bottom w:val="nil"/>
              <w:right w:val="nil"/>
            </w:tcBorders>
            <w:shd w:val="clear" w:color="auto" w:fill="auto"/>
            <w:noWrap/>
            <w:vAlign w:val="bottom"/>
            <w:hideMark/>
          </w:tcPr>
          <w:p w14:paraId="072C3471"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5E48447" w14:textId="77777777" w:rsidR="0078540D" w:rsidRDefault="0078540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AB37E98" w14:textId="77777777" w:rsidR="0078540D" w:rsidRDefault="0078540D">
            <w:pPr>
              <w:jc w:val="right"/>
              <w:rPr>
                <w:color w:val="000000"/>
                <w:sz w:val="20"/>
                <w:szCs w:val="20"/>
              </w:rPr>
            </w:pPr>
            <w:r>
              <w:rPr>
                <w:color w:val="000000"/>
                <w:sz w:val="20"/>
                <w:szCs w:val="20"/>
              </w:rPr>
              <w:t>0.666</w:t>
            </w:r>
          </w:p>
        </w:tc>
        <w:tc>
          <w:tcPr>
            <w:tcW w:w="768" w:type="dxa"/>
            <w:tcBorders>
              <w:top w:val="nil"/>
              <w:left w:val="nil"/>
              <w:bottom w:val="nil"/>
              <w:right w:val="nil"/>
            </w:tcBorders>
            <w:shd w:val="clear" w:color="auto" w:fill="auto"/>
            <w:noWrap/>
            <w:vAlign w:val="bottom"/>
            <w:hideMark/>
          </w:tcPr>
          <w:p w14:paraId="030C6F27" w14:textId="77777777" w:rsidR="0078540D" w:rsidRDefault="0078540D">
            <w:pPr>
              <w:jc w:val="right"/>
              <w:rPr>
                <w:color w:val="000000"/>
                <w:sz w:val="20"/>
                <w:szCs w:val="20"/>
              </w:rPr>
            </w:pPr>
            <w:r>
              <w:rPr>
                <w:color w:val="000000"/>
                <w:sz w:val="20"/>
                <w:szCs w:val="20"/>
              </w:rPr>
              <w:t>0.001</w:t>
            </w:r>
          </w:p>
        </w:tc>
      </w:tr>
      <w:tr w:rsidR="0078540D" w14:paraId="01632E64" w14:textId="77777777" w:rsidTr="0078540D">
        <w:trPr>
          <w:trHeight w:val="320"/>
        </w:trPr>
        <w:tc>
          <w:tcPr>
            <w:tcW w:w="1176" w:type="dxa"/>
            <w:tcBorders>
              <w:top w:val="nil"/>
              <w:left w:val="nil"/>
              <w:bottom w:val="nil"/>
              <w:right w:val="nil"/>
            </w:tcBorders>
            <w:shd w:val="clear" w:color="auto" w:fill="auto"/>
            <w:noWrap/>
            <w:vAlign w:val="bottom"/>
            <w:hideMark/>
          </w:tcPr>
          <w:p w14:paraId="178D36D9" w14:textId="77777777" w:rsidR="0078540D" w:rsidRDefault="0078540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F7DE3CC" w14:textId="77777777" w:rsidR="0078540D" w:rsidRDefault="0078540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B98CF18" w14:textId="77777777" w:rsidR="0078540D" w:rsidRDefault="0078540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04D9838" w14:textId="77777777" w:rsidR="0078540D" w:rsidRDefault="0078540D">
            <w:pPr>
              <w:jc w:val="right"/>
              <w:rPr>
                <w:color w:val="000000"/>
                <w:sz w:val="20"/>
                <w:szCs w:val="20"/>
              </w:rPr>
            </w:pPr>
            <w:r>
              <w:rPr>
                <w:color w:val="000000"/>
                <w:sz w:val="20"/>
                <w:szCs w:val="20"/>
              </w:rPr>
              <w:t>0.913</w:t>
            </w:r>
          </w:p>
        </w:tc>
        <w:tc>
          <w:tcPr>
            <w:tcW w:w="768" w:type="dxa"/>
            <w:tcBorders>
              <w:top w:val="nil"/>
              <w:left w:val="nil"/>
              <w:bottom w:val="nil"/>
              <w:right w:val="nil"/>
            </w:tcBorders>
            <w:shd w:val="clear" w:color="auto" w:fill="auto"/>
            <w:noWrap/>
            <w:vAlign w:val="bottom"/>
            <w:hideMark/>
          </w:tcPr>
          <w:p w14:paraId="6BD587A4"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C17C9C" w14:textId="77777777" w:rsidR="0078540D" w:rsidRDefault="0078540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ED66B61" w14:textId="77777777" w:rsidR="0078540D" w:rsidRDefault="0078540D">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52E221B5"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3402CE" w14:textId="77777777" w:rsidR="0078540D" w:rsidRDefault="0078540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E5C81D0" w14:textId="77777777" w:rsidR="0078540D" w:rsidRDefault="0078540D">
            <w:pPr>
              <w:jc w:val="right"/>
              <w:rPr>
                <w:color w:val="000000"/>
                <w:sz w:val="20"/>
                <w:szCs w:val="20"/>
              </w:rPr>
            </w:pPr>
            <w:r>
              <w:rPr>
                <w:color w:val="000000"/>
                <w:sz w:val="20"/>
                <w:szCs w:val="20"/>
              </w:rPr>
              <w:t>0.189</w:t>
            </w:r>
          </w:p>
        </w:tc>
        <w:tc>
          <w:tcPr>
            <w:tcW w:w="768" w:type="dxa"/>
            <w:tcBorders>
              <w:top w:val="nil"/>
              <w:left w:val="nil"/>
              <w:bottom w:val="nil"/>
              <w:right w:val="nil"/>
            </w:tcBorders>
            <w:shd w:val="clear" w:color="auto" w:fill="auto"/>
            <w:noWrap/>
            <w:vAlign w:val="bottom"/>
            <w:hideMark/>
          </w:tcPr>
          <w:p w14:paraId="0DECCE66"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B6DD9E"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60E9F1" w14:textId="77777777" w:rsidR="0078540D" w:rsidRDefault="0078540D">
            <w:pPr>
              <w:jc w:val="right"/>
              <w:rPr>
                <w:color w:val="000000"/>
                <w:sz w:val="20"/>
                <w:szCs w:val="20"/>
              </w:rPr>
            </w:pPr>
            <w:r>
              <w:rPr>
                <w:color w:val="000000"/>
                <w:sz w:val="20"/>
                <w:szCs w:val="20"/>
              </w:rPr>
              <w:t>0.992</w:t>
            </w:r>
          </w:p>
        </w:tc>
        <w:tc>
          <w:tcPr>
            <w:tcW w:w="768" w:type="dxa"/>
            <w:tcBorders>
              <w:top w:val="nil"/>
              <w:left w:val="nil"/>
              <w:bottom w:val="nil"/>
              <w:right w:val="nil"/>
            </w:tcBorders>
            <w:shd w:val="clear" w:color="auto" w:fill="auto"/>
            <w:noWrap/>
            <w:vAlign w:val="bottom"/>
            <w:hideMark/>
          </w:tcPr>
          <w:p w14:paraId="2AFB797A"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6FF645" w14:textId="77777777" w:rsidR="0078540D" w:rsidRDefault="0078540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E476A57" w14:textId="77777777" w:rsidR="0078540D" w:rsidRDefault="0078540D">
            <w:pPr>
              <w:jc w:val="right"/>
              <w:rPr>
                <w:color w:val="000000"/>
                <w:sz w:val="20"/>
                <w:szCs w:val="20"/>
              </w:rPr>
            </w:pPr>
            <w:r>
              <w:rPr>
                <w:color w:val="000000"/>
                <w:sz w:val="20"/>
                <w:szCs w:val="20"/>
              </w:rPr>
              <w:t>0.814</w:t>
            </w:r>
          </w:p>
        </w:tc>
        <w:tc>
          <w:tcPr>
            <w:tcW w:w="768" w:type="dxa"/>
            <w:tcBorders>
              <w:top w:val="nil"/>
              <w:left w:val="nil"/>
              <w:bottom w:val="nil"/>
              <w:right w:val="nil"/>
            </w:tcBorders>
            <w:shd w:val="clear" w:color="auto" w:fill="auto"/>
            <w:noWrap/>
            <w:vAlign w:val="bottom"/>
            <w:hideMark/>
          </w:tcPr>
          <w:p w14:paraId="54C76B10" w14:textId="77777777" w:rsidR="0078540D" w:rsidRDefault="0078540D">
            <w:pPr>
              <w:jc w:val="right"/>
              <w:rPr>
                <w:color w:val="000000"/>
                <w:sz w:val="20"/>
                <w:szCs w:val="20"/>
              </w:rPr>
            </w:pPr>
            <w:r>
              <w:rPr>
                <w:color w:val="000000"/>
                <w:sz w:val="20"/>
                <w:szCs w:val="20"/>
              </w:rPr>
              <w:t>0.000</w:t>
            </w:r>
          </w:p>
        </w:tc>
      </w:tr>
      <w:tr w:rsidR="0078540D" w14:paraId="13305333"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54F7632E" w14:textId="77777777" w:rsidR="0078540D" w:rsidRDefault="0078540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31A4C609" w14:textId="77777777" w:rsidR="0078540D" w:rsidRDefault="0078540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194E22E9" w14:textId="77777777" w:rsidR="0078540D" w:rsidRDefault="0078540D">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659DFDBD" w14:textId="77777777" w:rsidR="0078540D" w:rsidRDefault="0078540D">
            <w:pPr>
              <w:jc w:val="right"/>
              <w:rPr>
                <w:color w:val="000000"/>
                <w:sz w:val="20"/>
                <w:szCs w:val="20"/>
              </w:rPr>
            </w:pPr>
            <w:r>
              <w:rPr>
                <w:color w:val="000000"/>
                <w:sz w:val="20"/>
                <w:szCs w:val="20"/>
              </w:rPr>
              <w:t>0.913</w:t>
            </w:r>
          </w:p>
        </w:tc>
        <w:tc>
          <w:tcPr>
            <w:tcW w:w="768" w:type="dxa"/>
            <w:tcBorders>
              <w:top w:val="nil"/>
              <w:left w:val="nil"/>
              <w:bottom w:val="single" w:sz="12" w:space="0" w:color="auto"/>
              <w:right w:val="nil"/>
            </w:tcBorders>
            <w:shd w:val="clear" w:color="auto" w:fill="auto"/>
            <w:noWrap/>
            <w:vAlign w:val="bottom"/>
            <w:hideMark/>
          </w:tcPr>
          <w:p w14:paraId="791C253B"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7CD4603" w14:textId="77777777" w:rsidR="0078540D" w:rsidRDefault="0078540D">
            <w:pPr>
              <w:jc w:val="right"/>
              <w:rPr>
                <w:b/>
                <w:bCs/>
                <w:color w:val="000000"/>
                <w:sz w:val="20"/>
                <w:szCs w:val="20"/>
              </w:rPr>
            </w:pPr>
            <w:r>
              <w:rPr>
                <w:b/>
                <w:bCs/>
                <w:color w:val="000000"/>
                <w:sz w:val="20"/>
                <w:szCs w:val="20"/>
              </w:rPr>
              <w:t>-0.063</w:t>
            </w:r>
          </w:p>
        </w:tc>
        <w:tc>
          <w:tcPr>
            <w:tcW w:w="768" w:type="dxa"/>
            <w:tcBorders>
              <w:top w:val="nil"/>
              <w:left w:val="nil"/>
              <w:bottom w:val="single" w:sz="12" w:space="0" w:color="auto"/>
              <w:right w:val="nil"/>
            </w:tcBorders>
            <w:shd w:val="clear" w:color="auto" w:fill="auto"/>
            <w:noWrap/>
            <w:vAlign w:val="bottom"/>
            <w:hideMark/>
          </w:tcPr>
          <w:p w14:paraId="2903CB6A" w14:textId="77777777" w:rsidR="0078540D" w:rsidRDefault="0078540D">
            <w:pPr>
              <w:jc w:val="right"/>
              <w:rPr>
                <w:b/>
                <w:bCs/>
                <w:color w:val="000000"/>
                <w:sz w:val="20"/>
                <w:szCs w:val="20"/>
              </w:rPr>
            </w:pPr>
            <w:r>
              <w:rPr>
                <w:b/>
                <w:bCs/>
                <w:color w:val="000000"/>
                <w:sz w:val="20"/>
                <w:szCs w:val="20"/>
              </w:rPr>
              <w:t>0.024</w:t>
            </w:r>
          </w:p>
        </w:tc>
        <w:tc>
          <w:tcPr>
            <w:tcW w:w="768" w:type="dxa"/>
            <w:tcBorders>
              <w:top w:val="nil"/>
              <w:left w:val="nil"/>
              <w:bottom w:val="single" w:sz="12" w:space="0" w:color="auto"/>
              <w:right w:val="nil"/>
            </w:tcBorders>
            <w:shd w:val="clear" w:color="auto" w:fill="auto"/>
            <w:noWrap/>
            <w:vAlign w:val="bottom"/>
            <w:hideMark/>
          </w:tcPr>
          <w:p w14:paraId="119F71AF" w14:textId="77777777" w:rsidR="0078540D" w:rsidRDefault="0078540D">
            <w:pPr>
              <w:jc w:val="right"/>
              <w:rPr>
                <w:b/>
                <w:bCs/>
                <w:color w:val="000000"/>
                <w:sz w:val="20"/>
                <w:szCs w:val="20"/>
              </w:rPr>
            </w:pPr>
            <w:r>
              <w:rPr>
                <w:b/>
                <w:bCs/>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2CD907B0" w14:textId="77777777" w:rsidR="0078540D" w:rsidRDefault="0078540D">
            <w:pPr>
              <w:jc w:val="right"/>
              <w:rPr>
                <w:color w:val="000000"/>
                <w:sz w:val="20"/>
                <w:szCs w:val="20"/>
              </w:rPr>
            </w:pPr>
            <w:r>
              <w:rPr>
                <w:color w:val="000000"/>
                <w:sz w:val="20"/>
                <w:szCs w:val="20"/>
              </w:rPr>
              <w:t>0.034</w:t>
            </w:r>
          </w:p>
        </w:tc>
        <w:tc>
          <w:tcPr>
            <w:tcW w:w="768" w:type="dxa"/>
            <w:tcBorders>
              <w:top w:val="nil"/>
              <w:left w:val="nil"/>
              <w:bottom w:val="single" w:sz="12" w:space="0" w:color="auto"/>
              <w:right w:val="nil"/>
            </w:tcBorders>
            <w:shd w:val="clear" w:color="auto" w:fill="auto"/>
            <w:noWrap/>
            <w:vAlign w:val="bottom"/>
            <w:hideMark/>
          </w:tcPr>
          <w:p w14:paraId="1D08BEDC" w14:textId="77777777" w:rsidR="0078540D" w:rsidRDefault="0078540D">
            <w:pPr>
              <w:jc w:val="right"/>
              <w:rPr>
                <w:color w:val="000000"/>
                <w:sz w:val="20"/>
                <w:szCs w:val="20"/>
              </w:rPr>
            </w:pPr>
            <w:r>
              <w:rPr>
                <w:color w:val="000000"/>
                <w:sz w:val="20"/>
                <w:szCs w:val="20"/>
              </w:rPr>
              <w:t>0.220</w:t>
            </w:r>
          </w:p>
        </w:tc>
        <w:tc>
          <w:tcPr>
            <w:tcW w:w="768" w:type="dxa"/>
            <w:tcBorders>
              <w:top w:val="nil"/>
              <w:left w:val="nil"/>
              <w:bottom w:val="single" w:sz="12" w:space="0" w:color="auto"/>
              <w:right w:val="nil"/>
            </w:tcBorders>
            <w:shd w:val="clear" w:color="auto" w:fill="auto"/>
            <w:noWrap/>
            <w:vAlign w:val="bottom"/>
            <w:hideMark/>
          </w:tcPr>
          <w:p w14:paraId="738EC22E" w14:textId="77777777" w:rsidR="0078540D" w:rsidRDefault="0078540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46BC4AC2" w14:textId="77777777" w:rsidR="0078540D" w:rsidRDefault="0078540D">
            <w:pPr>
              <w:jc w:val="right"/>
              <w:rPr>
                <w:color w:val="000000"/>
                <w:sz w:val="20"/>
                <w:szCs w:val="20"/>
              </w:rPr>
            </w:pPr>
            <w:r>
              <w:rPr>
                <w:color w:val="000000"/>
                <w:sz w:val="20"/>
                <w:szCs w:val="20"/>
              </w:rPr>
              <w:t>0.007</w:t>
            </w:r>
          </w:p>
        </w:tc>
        <w:tc>
          <w:tcPr>
            <w:tcW w:w="768" w:type="dxa"/>
            <w:tcBorders>
              <w:top w:val="nil"/>
              <w:left w:val="nil"/>
              <w:bottom w:val="single" w:sz="12" w:space="0" w:color="auto"/>
              <w:right w:val="nil"/>
            </w:tcBorders>
            <w:shd w:val="clear" w:color="auto" w:fill="auto"/>
            <w:noWrap/>
            <w:vAlign w:val="bottom"/>
            <w:hideMark/>
          </w:tcPr>
          <w:p w14:paraId="408CCB9E" w14:textId="77777777" w:rsidR="0078540D" w:rsidRDefault="0078540D">
            <w:pPr>
              <w:jc w:val="right"/>
              <w:rPr>
                <w:color w:val="000000"/>
                <w:sz w:val="20"/>
                <w:szCs w:val="20"/>
              </w:rPr>
            </w:pPr>
            <w:r>
              <w:rPr>
                <w:color w:val="000000"/>
                <w:sz w:val="20"/>
                <w:szCs w:val="20"/>
              </w:rPr>
              <w:t>0.984</w:t>
            </w:r>
          </w:p>
        </w:tc>
        <w:tc>
          <w:tcPr>
            <w:tcW w:w="768" w:type="dxa"/>
            <w:tcBorders>
              <w:top w:val="nil"/>
              <w:left w:val="nil"/>
              <w:bottom w:val="single" w:sz="12" w:space="0" w:color="auto"/>
              <w:right w:val="nil"/>
            </w:tcBorders>
            <w:shd w:val="clear" w:color="auto" w:fill="auto"/>
            <w:noWrap/>
            <w:vAlign w:val="bottom"/>
            <w:hideMark/>
          </w:tcPr>
          <w:p w14:paraId="746C4FC0" w14:textId="77777777" w:rsidR="0078540D" w:rsidRDefault="0078540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A3C7368" w14:textId="77777777" w:rsidR="0078540D" w:rsidRDefault="0078540D">
            <w:pPr>
              <w:jc w:val="right"/>
              <w:rPr>
                <w:color w:val="000000"/>
                <w:sz w:val="20"/>
                <w:szCs w:val="20"/>
              </w:rPr>
            </w:pPr>
            <w:r>
              <w:rPr>
                <w:color w:val="000000"/>
                <w:sz w:val="20"/>
                <w:szCs w:val="20"/>
              </w:rPr>
              <w:t>0.033</w:t>
            </w:r>
          </w:p>
        </w:tc>
        <w:tc>
          <w:tcPr>
            <w:tcW w:w="768" w:type="dxa"/>
            <w:tcBorders>
              <w:top w:val="nil"/>
              <w:left w:val="nil"/>
              <w:bottom w:val="single" w:sz="12" w:space="0" w:color="auto"/>
              <w:right w:val="nil"/>
            </w:tcBorders>
            <w:shd w:val="clear" w:color="auto" w:fill="auto"/>
            <w:noWrap/>
            <w:vAlign w:val="bottom"/>
            <w:hideMark/>
          </w:tcPr>
          <w:p w14:paraId="7C2443F4" w14:textId="77777777" w:rsidR="0078540D" w:rsidRDefault="0078540D">
            <w:pPr>
              <w:jc w:val="right"/>
              <w:rPr>
                <w:color w:val="000000"/>
                <w:sz w:val="20"/>
                <w:szCs w:val="20"/>
              </w:rPr>
            </w:pPr>
            <w:r>
              <w:rPr>
                <w:color w:val="000000"/>
                <w:sz w:val="20"/>
                <w:szCs w:val="20"/>
              </w:rPr>
              <w:t>0.666</w:t>
            </w:r>
          </w:p>
        </w:tc>
        <w:tc>
          <w:tcPr>
            <w:tcW w:w="768" w:type="dxa"/>
            <w:tcBorders>
              <w:top w:val="nil"/>
              <w:left w:val="nil"/>
              <w:bottom w:val="single" w:sz="12" w:space="0" w:color="auto"/>
              <w:right w:val="nil"/>
            </w:tcBorders>
            <w:shd w:val="clear" w:color="auto" w:fill="auto"/>
            <w:noWrap/>
            <w:vAlign w:val="bottom"/>
            <w:hideMark/>
          </w:tcPr>
          <w:p w14:paraId="164FEC7E" w14:textId="77777777" w:rsidR="0078540D" w:rsidRDefault="0078540D">
            <w:pPr>
              <w:jc w:val="right"/>
              <w:rPr>
                <w:color w:val="000000"/>
                <w:sz w:val="20"/>
                <w:szCs w:val="20"/>
              </w:rPr>
            </w:pPr>
            <w:r>
              <w:rPr>
                <w:color w:val="000000"/>
                <w:sz w:val="20"/>
                <w:szCs w:val="20"/>
              </w:rPr>
              <w:t>0.001</w:t>
            </w:r>
          </w:p>
        </w:tc>
      </w:tr>
      <w:tr w:rsidR="0078540D" w14:paraId="448F39B8"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3FF4928F" w14:textId="77777777" w:rsidR="0078540D" w:rsidRDefault="0078540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24A75948" w14:textId="77777777" w:rsidR="0078540D" w:rsidRDefault="0078540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4318F71F"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FCD438B"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0A4F8D2"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3EA7B84"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59127BB"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CAE144A"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D4D2F2C"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517B874"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A0BEB38"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64B9C35"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DB4876D"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1BC4932"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F50F2E1"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F829B59" w14:textId="77777777" w:rsidR="0078540D" w:rsidRDefault="0078540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08E779B" w14:textId="77777777" w:rsidR="0078540D" w:rsidRDefault="0078540D">
            <w:pPr>
              <w:rPr>
                <w:sz w:val="20"/>
                <w:szCs w:val="20"/>
              </w:rPr>
            </w:pPr>
          </w:p>
        </w:tc>
      </w:tr>
    </w:tbl>
    <w:p w14:paraId="3B18364B" w14:textId="27E8B099" w:rsidR="00EF3DD9" w:rsidRDefault="00B65F70" w:rsidP="00EF3DD9">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bookmarkStart w:id="54" w:name="_Toc155817721"/>
      <w:r w:rsidR="00EF3DD9">
        <w:rPr>
          <w:rFonts w:ascii="Times New Roman" w:hAnsi="Times New Roman" w:cs="Times New Roman"/>
          <w:b/>
          <w:bCs/>
          <w:color w:val="000000" w:themeColor="text1"/>
          <w:sz w:val="24"/>
          <w:szCs w:val="24"/>
        </w:rPr>
        <w:lastRenderedPageBreak/>
        <w:t>Table 22a</w:t>
      </w:r>
      <w:r w:rsidR="00EF3DD9" w:rsidRPr="009E2A20">
        <w:rPr>
          <w:rFonts w:ascii="Times New Roman" w:hAnsi="Times New Roman" w:cs="Times New Roman"/>
          <w:b/>
          <w:bCs/>
          <w:color w:val="000000" w:themeColor="text1"/>
          <w:sz w:val="24"/>
          <w:szCs w:val="24"/>
        </w:rPr>
        <w:t xml:space="preserve">. </w:t>
      </w:r>
      <w:r w:rsidR="00EF3DD9"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w:t>
      </w:r>
      <w:r w:rsidR="00EF3DD9">
        <w:rPr>
          <w:rFonts w:ascii="Times New Roman" w:hAnsi="Times New Roman" w:cs="Times New Roman"/>
          <w:color w:val="000000" w:themeColor="text1"/>
          <w:sz w:val="24"/>
          <w:szCs w:val="24"/>
        </w:rPr>
        <w:t xml:space="preserve">small world omega </w:t>
      </w:r>
      <w:r w:rsidR="00EF3DD9" w:rsidRPr="009E2A20">
        <w:rPr>
          <w:rFonts w:ascii="Times New Roman" w:hAnsi="Times New Roman" w:cs="Times New Roman"/>
          <w:color w:val="000000" w:themeColor="text1"/>
          <w:sz w:val="24"/>
          <w:szCs w:val="24"/>
        </w:rPr>
        <w:t>during rest</w:t>
      </w:r>
      <w:r w:rsidR="00EF3DD9">
        <w:rPr>
          <w:rFonts w:ascii="Times New Roman" w:hAnsi="Times New Roman" w:cs="Times New Roman"/>
          <w:color w:val="000000" w:themeColor="text1"/>
          <w:sz w:val="24"/>
          <w:szCs w:val="24"/>
        </w:rPr>
        <w:t xml:space="preserve"> controlling for medication</w:t>
      </w:r>
      <w:bookmarkEnd w:id="54"/>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EF3DD9" w14:paraId="2708DC07"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2AE7A042" w14:textId="77777777" w:rsidR="00EF3DD9" w:rsidRDefault="00EF3DD9"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12FBC29F" w14:textId="77777777" w:rsidR="00EF3DD9" w:rsidRDefault="00EF3DD9"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5F65FB8B" w14:textId="77777777" w:rsidR="00EF3DD9" w:rsidRDefault="00EF3DD9"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666FDCA9"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C711F13"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AC21A62"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37AEC75"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DCE0996"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452AB78"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288C454"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3E0AB07"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D0DDD39"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7EC9799"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A806B6D"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BA5F9D5"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96E33ED" w14:textId="77777777" w:rsidR="00EF3DD9" w:rsidRDefault="00EF3DD9" w:rsidP="005A3B4D">
            <w:pPr>
              <w:rPr>
                <w:sz w:val="20"/>
                <w:szCs w:val="20"/>
              </w:rPr>
            </w:pPr>
          </w:p>
        </w:tc>
        <w:tc>
          <w:tcPr>
            <w:tcW w:w="768" w:type="dxa"/>
            <w:tcBorders>
              <w:top w:val="nil"/>
              <w:left w:val="nil"/>
              <w:bottom w:val="nil"/>
              <w:right w:val="nil"/>
            </w:tcBorders>
            <w:shd w:val="clear" w:color="auto" w:fill="auto"/>
            <w:noWrap/>
            <w:vAlign w:val="bottom"/>
            <w:hideMark/>
          </w:tcPr>
          <w:p w14:paraId="53CAD2E1" w14:textId="77777777" w:rsidR="00EF3DD9" w:rsidRDefault="00EF3DD9" w:rsidP="005A3B4D">
            <w:pPr>
              <w:rPr>
                <w:sz w:val="20"/>
                <w:szCs w:val="20"/>
              </w:rPr>
            </w:pPr>
          </w:p>
        </w:tc>
      </w:tr>
      <w:tr w:rsidR="00EF3DD9" w14:paraId="48831F4A"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19EDCDAA" w14:textId="77777777" w:rsidR="00EF3DD9" w:rsidRDefault="00EF3DD9"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52F7B36C" w14:textId="77777777" w:rsidR="00EF3DD9" w:rsidRDefault="00EF3DD9"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03AB06B6" w14:textId="77777777" w:rsidR="00EF3DD9" w:rsidRDefault="00EF3DD9" w:rsidP="005A3B4D">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32D2ABD" w14:textId="77777777" w:rsidR="00EF3DD9" w:rsidRDefault="00EF3DD9"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6CD7E76" w14:textId="77777777" w:rsidR="00EF3DD9" w:rsidRDefault="00EF3DD9"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4793AA1" w14:textId="77777777" w:rsidR="00EF3DD9" w:rsidRDefault="00EF3DD9"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09CAEA17" w14:textId="77777777" w:rsidR="00EF3DD9" w:rsidRDefault="00EF3DD9" w:rsidP="005A3B4D">
            <w:pPr>
              <w:jc w:val="center"/>
              <w:rPr>
                <w:color w:val="000000"/>
                <w:sz w:val="20"/>
                <w:szCs w:val="20"/>
              </w:rPr>
            </w:pPr>
            <w:r>
              <w:rPr>
                <w:color w:val="000000"/>
                <w:sz w:val="20"/>
                <w:szCs w:val="20"/>
              </w:rPr>
              <w:t>Urbanicity</w:t>
            </w:r>
          </w:p>
        </w:tc>
      </w:tr>
      <w:tr w:rsidR="00EF3DD9" w14:paraId="65A26BF4"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695436CB" w14:textId="77777777" w:rsidR="00EF3DD9" w:rsidRDefault="00EF3DD9"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5EC6EC93" w14:textId="77777777" w:rsidR="00EF3DD9" w:rsidRDefault="00EF3DD9"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106EB3A6" w14:textId="77777777" w:rsidR="00EF3DD9" w:rsidRDefault="00EF3DD9"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1EE9E88" w14:textId="77777777" w:rsidR="00EF3DD9" w:rsidRDefault="00EF3DD9"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A4475DD" w14:textId="77777777" w:rsidR="00EF3DD9" w:rsidRDefault="00EF3DD9" w:rsidP="005A3B4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F6A6A70" w14:textId="77777777" w:rsidR="00EF3DD9" w:rsidRDefault="00EF3DD9"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08242A5" w14:textId="77777777" w:rsidR="00EF3DD9" w:rsidRDefault="00EF3DD9"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0043ACCE" w14:textId="77777777" w:rsidR="00EF3DD9" w:rsidRDefault="00EF3DD9" w:rsidP="005A3B4D">
            <w:pPr>
              <w:jc w:val="center"/>
              <w:rPr>
                <w:i/>
                <w:iCs/>
                <w:color w:val="000000"/>
                <w:sz w:val="20"/>
                <w:szCs w:val="20"/>
              </w:rPr>
            </w:pPr>
            <w:r>
              <w:rPr>
                <w:i/>
                <w:iCs/>
                <w:color w:val="000000"/>
                <w:sz w:val="20"/>
                <w:szCs w:val="20"/>
              </w:rPr>
              <w:t>R2</w:t>
            </w:r>
          </w:p>
        </w:tc>
        <w:tc>
          <w:tcPr>
            <w:tcW w:w="768" w:type="dxa"/>
            <w:tcBorders>
              <w:top w:val="nil"/>
              <w:left w:val="nil"/>
              <w:bottom w:val="single" w:sz="12" w:space="0" w:color="auto"/>
              <w:right w:val="nil"/>
            </w:tcBorders>
            <w:shd w:val="clear" w:color="auto" w:fill="auto"/>
            <w:noWrap/>
            <w:vAlign w:val="center"/>
            <w:hideMark/>
          </w:tcPr>
          <w:p w14:paraId="3F490DCA" w14:textId="77777777" w:rsidR="00EF3DD9" w:rsidRDefault="00EF3DD9" w:rsidP="005A3B4D">
            <w:pPr>
              <w:jc w:val="cente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70A2C5A3" w14:textId="77777777" w:rsidR="00EF3DD9" w:rsidRDefault="00EF3DD9"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2F8502D7" w14:textId="77777777" w:rsidR="00EF3DD9" w:rsidRDefault="00EF3DD9" w:rsidP="005A3B4D">
            <w:pPr>
              <w:jc w:val="center"/>
              <w:rPr>
                <w:i/>
                <w:iCs/>
                <w:color w:val="000000"/>
                <w:sz w:val="20"/>
                <w:szCs w:val="20"/>
              </w:rPr>
            </w:pPr>
            <w:r>
              <w:rPr>
                <w:i/>
                <w:iCs/>
                <w:color w:val="000000"/>
                <w:sz w:val="20"/>
                <w:szCs w:val="20"/>
              </w:rPr>
              <w:t>R2</w:t>
            </w:r>
          </w:p>
        </w:tc>
        <w:tc>
          <w:tcPr>
            <w:tcW w:w="768" w:type="dxa"/>
            <w:tcBorders>
              <w:top w:val="nil"/>
              <w:left w:val="nil"/>
              <w:bottom w:val="single" w:sz="12" w:space="0" w:color="auto"/>
              <w:right w:val="nil"/>
            </w:tcBorders>
            <w:shd w:val="clear" w:color="auto" w:fill="auto"/>
            <w:noWrap/>
            <w:vAlign w:val="center"/>
            <w:hideMark/>
          </w:tcPr>
          <w:p w14:paraId="1CCAB911" w14:textId="77777777" w:rsidR="00EF3DD9" w:rsidRDefault="00EF3DD9" w:rsidP="005A3B4D">
            <w:pPr>
              <w:jc w:val="cente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282A752E" w14:textId="77777777" w:rsidR="00EF3DD9" w:rsidRDefault="00EF3DD9"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7FDE1B6E" w14:textId="77777777" w:rsidR="00EF3DD9" w:rsidRDefault="00EF3DD9" w:rsidP="005A3B4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06CF543C" w14:textId="77777777" w:rsidR="00EF3DD9" w:rsidRDefault="00EF3DD9"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ADF2C48" w14:textId="77777777" w:rsidR="00EF3DD9" w:rsidRDefault="00EF3DD9"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EB29F9F" w14:textId="77777777" w:rsidR="00EF3DD9" w:rsidRDefault="00EF3DD9" w:rsidP="005A3B4D">
            <w:pPr>
              <w:jc w:val="center"/>
              <w:rPr>
                <w:i/>
                <w:iCs/>
                <w:color w:val="000000"/>
                <w:sz w:val="20"/>
                <w:szCs w:val="20"/>
              </w:rPr>
            </w:pPr>
            <w:r>
              <w:rPr>
                <w:i/>
                <w:iCs/>
                <w:color w:val="000000"/>
                <w:sz w:val="20"/>
                <w:szCs w:val="20"/>
              </w:rPr>
              <w:t>R2</w:t>
            </w:r>
          </w:p>
        </w:tc>
      </w:tr>
      <w:tr w:rsidR="00EF3DD9" w14:paraId="14609207"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23145DA3" w14:textId="77777777" w:rsidR="00EF3DD9" w:rsidRDefault="00EF3DD9"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5F590291" w14:textId="77777777" w:rsidR="00EF3DD9" w:rsidRDefault="00EF3DD9"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74C45209" w14:textId="77777777" w:rsidR="00EF3DD9" w:rsidRDefault="00EF3DD9" w:rsidP="005A3B4D">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2A8C098C" w14:textId="77777777" w:rsidR="00EF3DD9" w:rsidRDefault="00EF3DD9" w:rsidP="005A3B4D">
            <w:pPr>
              <w:jc w:val="right"/>
              <w:rPr>
                <w:color w:val="000000"/>
                <w:sz w:val="20"/>
                <w:szCs w:val="20"/>
              </w:rPr>
            </w:pPr>
            <w:r>
              <w:rPr>
                <w:color w:val="000000"/>
                <w:sz w:val="20"/>
                <w:szCs w:val="20"/>
              </w:rPr>
              <w:t>0.895</w:t>
            </w:r>
          </w:p>
        </w:tc>
        <w:tc>
          <w:tcPr>
            <w:tcW w:w="768" w:type="dxa"/>
            <w:tcBorders>
              <w:top w:val="single" w:sz="12" w:space="0" w:color="auto"/>
              <w:left w:val="nil"/>
              <w:bottom w:val="nil"/>
              <w:right w:val="nil"/>
            </w:tcBorders>
            <w:shd w:val="clear" w:color="auto" w:fill="auto"/>
            <w:noWrap/>
            <w:vAlign w:val="bottom"/>
            <w:hideMark/>
          </w:tcPr>
          <w:p w14:paraId="59571773" w14:textId="77777777" w:rsidR="00EF3DD9" w:rsidRDefault="00EF3DD9"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D2B7D93" w14:textId="77777777" w:rsidR="00EF3DD9" w:rsidRDefault="00EF3DD9" w:rsidP="005A3B4D">
            <w:pPr>
              <w:jc w:val="right"/>
              <w:rPr>
                <w:color w:val="000000"/>
                <w:sz w:val="20"/>
                <w:szCs w:val="20"/>
              </w:rPr>
            </w:pPr>
            <w:r>
              <w:rPr>
                <w:color w:val="000000"/>
                <w:sz w:val="20"/>
                <w:szCs w:val="20"/>
              </w:rPr>
              <w:t>0.005</w:t>
            </w:r>
          </w:p>
        </w:tc>
        <w:tc>
          <w:tcPr>
            <w:tcW w:w="768" w:type="dxa"/>
            <w:tcBorders>
              <w:top w:val="single" w:sz="12" w:space="0" w:color="auto"/>
              <w:left w:val="nil"/>
              <w:bottom w:val="nil"/>
              <w:right w:val="nil"/>
            </w:tcBorders>
            <w:shd w:val="clear" w:color="auto" w:fill="auto"/>
            <w:noWrap/>
            <w:vAlign w:val="bottom"/>
            <w:hideMark/>
          </w:tcPr>
          <w:p w14:paraId="087D78B3" w14:textId="77777777" w:rsidR="00EF3DD9" w:rsidRDefault="00EF3DD9" w:rsidP="005A3B4D">
            <w:pPr>
              <w:jc w:val="right"/>
              <w:rPr>
                <w:color w:val="000000"/>
                <w:sz w:val="20"/>
                <w:szCs w:val="20"/>
              </w:rPr>
            </w:pPr>
            <w:r>
              <w:rPr>
                <w:color w:val="000000"/>
                <w:sz w:val="20"/>
                <w:szCs w:val="20"/>
              </w:rPr>
              <w:t>0.846</w:t>
            </w:r>
          </w:p>
        </w:tc>
        <w:tc>
          <w:tcPr>
            <w:tcW w:w="768" w:type="dxa"/>
            <w:tcBorders>
              <w:top w:val="single" w:sz="12" w:space="0" w:color="auto"/>
              <w:left w:val="nil"/>
              <w:bottom w:val="nil"/>
              <w:right w:val="nil"/>
            </w:tcBorders>
            <w:shd w:val="clear" w:color="auto" w:fill="auto"/>
            <w:noWrap/>
            <w:vAlign w:val="bottom"/>
            <w:hideMark/>
          </w:tcPr>
          <w:p w14:paraId="508C2E16" w14:textId="77777777" w:rsidR="00EF3DD9" w:rsidRDefault="00EF3DD9"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CD0F1A3" w14:textId="77777777" w:rsidR="00EF3DD9" w:rsidRDefault="00EF3DD9" w:rsidP="005A3B4D">
            <w:pPr>
              <w:jc w:val="right"/>
              <w:rPr>
                <w:color w:val="000000"/>
                <w:sz w:val="20"/>
                <w:szCs w:val="20"/>
              </w:rPr>
            </w:pPr>
            <w:r>
              <w:rPr>
                <w:color w:val="000000"/>
                <w:sz w:val="20"/>
                <w:szCs w:val="20"/>
              </w:rPr>
              <w:t>-0.017</w:t>
            </w:r>
          </w:p>
        </w:tc>
        <w:tc>
          <w:tcPr>
            <w:tcW w:w="768" w:type="dxa"/>
            <w:tcBorders>
              <w:top w:val="single" w:sz="12" w:space="0" w:color="auto"/>
              <w:left w:val="nil"/>
              <w:bottom w:val="nil"/>
              <w:right w:val="nil"/>
            </w:tcBorders>
            <w:shd w:val="clear" w:color="auto" w:fill="auto"/>
            <w:noWrap/>
            <w:vAlign w:val="bottom"/>
            <w:hideMark/>
          </w:tcPr>
          <w:p w14:paraId="66D2C66A" w14:textId="77777777" w:rsidR="00EF3DD9" w:rsidRDefault="00EF3DD9" w:rsidP="005A3B4D">
            <w:pPr>
              <w:jc w:val="right"/>
              <w:rPr>
                <w:color w:val="000000"/>
                <w:sz w:val="20"/>
                <w:szCs w:val="20"/>
              </w:rPr>
            </w:pPr>
            <w:r>
              <w:rPr>
                <w:color w:val="000000"/>
                <w:sz w:val="20"/>
                <w:szCs w:val="20"/>
              </w:rPr>
              <w:t>0.513</w:t>
            </w:r>
          </w:p>
        </w:tc>
        <w:tc>
          <w:tcPr>
            <w:tcW w:w="768" w:type="dxa"/>
            <w:tcBorders>
              <w:top w:val="single" w:sz="12" w:space="0" w:color="auto"/>
              <w:left w:val="nil"/>
              <w:bottom w:val="nil"/>
              <w:right w:val="nil"/>
            </w:tcBorders>
            <w:shd w:val="clear" w:color="auto" w:fill="auto"/>
            <w:noWrap/>
            <w:vAlign w:val="bottom"/>
            <w:hideMark/>
          </w:tcPr>
          <w:p w14:paraId="3F12C64C" w14:textId="77777777" w:rsidR="00EF3DD9" w:rsidRDefault="00EF3DD9"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E4E19C4" w14:textId="77777777" w:rsidR="00EF3DD9" w:rsidRDefault="00EF3DD9" w:rsidP="005A3B4D">
            <w:pPr>
              <w:jc w:val="right"/>
              <w:rPr>
                <w:color w:val="000000"/>
                <w:sz w:val="20"/>
                <w:szCs w:val="20"/>
              </w:rPr>
            </w:pPr>
            <w:r>
              <w:rPr>
                <w:color w:val="000000"/>
                <w:sz w:val="20"/>
                <w:szCs w:val="20"/>
              </w:rPr>
              <w:t>-0.013</w:t>
            </w:r>
          </w:p>
        </w:tc>
        <w:tc>
          <w:tcPr>
            <w:tcW w:w="768" w:type="dxa"/>
            <w:tcBorders>
              <w:top w:val="single" w:sz="12" w:space="0" w:color="auto"/>
              <w:left w:val="nil"/>
              <w:bottom w:val="nil"/>
              <w:right w:val="nil"/>
            </w:tcBorders>
            <w:shd w:val="clear" w:color="auto" w:fill="auto"/>
            <w:noWrap/>
            <w:vAlign w:val="bottom"/>
            <w:hideMark/>
          </w:tcPr>
          <w:p w14:paraId="253F4AF9" w14:textId="77777777" w:rsidR="00EF3DD9" w:rsidRDefault="00EF3DD9" w:rsidP="005A3B4D">
            <w:pPr>
              <w:jc w:val="right"/>
              <w:rPr>
                <w:color w:val="000000"/>
                <w:sz w:val="20"/>
                <w:szCs w:val="20"/>
              </w:rPr>
            </w:pPr>
            <w:r>
              <w:rPr>
                <w:color w:val="000000"/>
                <w:sz w:val="20"/>
                <w:szCs w:val="20"/>
              </w:rPr>
              <w:t>0.858</w:t>
            </w:r>
          </w:p>
        </w:tc>
        <w:tc>
          <w:tcPr>
            <w:tcW w:w="768" w:type="dxa"/>
            <w:tcBorders>
              <w:top w:val="single" w:sz="12" w:space="0" w:color="auto"/>
              <w:left w:val="nil"/>
              <w:bottom w:val="nil"/>
              <w:right w:val="nil"/>
            </w:tcBorders>
            <w:shd w:val="clear" w:color="auto" w:fill="auto"/>
            <w:noWrap/>
            <w:vAlign w:val="bottom"/>
            <w:hideMark/>
          </w:tcPr>
          <w:p w14:paraId="082BF2F9" w14:textId="77777777" w:rsidR="00EF3DD9" w:rsidRDefault="00EF3DD9"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914FCFF" w14:textId="77777777" w:rsidR="00EF3DD9" w:rsidRDefault="00EF3DD9" w:rsidP="005A3B4D">
            <w:pPr>
              <w:jc w:val="right"/>
              <w:rPr>
                <w:color w:val="000000"/>
                <w:sz w:val="20"/>
                <w:szCs w:val="20"/>
              </w:rPr>
            </w:pPr>
            <w:r>
              <w:rPr>
                <w:color w:val="000000"/>
                <w:sz w:val="20"/>
                <w:szCs w:val="20"/>
              </w:rPr>
              <w:t>0.018</w:t>
            </w:r>
          </w:p>
        </w:tc>
        <w:tc>
          <w:tcPr>
            <w:tcW w:w="768" w:type="dxa"/>
            <w:tcBorders>
              <w:top w:val="single" w:sz="12" w:space="0" w:color="auto"/>
              <w:left w:val="nil"/>
              <w:bottom w:val="nil"/>
              <w:right w:val="nil"/>
            </w:tcBorders>
            <w:shd w:val="clear" w:color="auto" w:fill="auto"/>
            <w:noWrap/>
            <w:vAlign w:val="bottom"/>
            <w:hideMark/>
          </w:tcPr>
          <w:p w14:paraId="553A8180" w14:textId="77777777" w:rsidR="00EF3DD9" w:rsidRDefault="00EF3DD9" w:rsidP="005A3B4D">
            <w:pPr>
              <w:jc w:val="right"/>
              <w:rPr>
                <w:color w:val="000000"/>
                <w:sz w:val="20"/>
                <w:szCs w:val="20"/>
              </w:rPr>
            </w:pPr>
            <w:r>
              <w:rPr>
                <w:color w:val="000000"/>
                <w:sz w:val="20"/>
                <w:szCs w:val="20"/>
              </w:rPr>
              <w:t>0.671</w:t>
            </w:r>
          </w:p>
        </w:tc>
        <w:tc>
          <w:tcPr>
            <w:tcW w:w="768" w:type="dxa"/>
            <w:tcBorders>
              <w:top w:val="single" w:sz="12" w:space="0" w:color="auto"/>
              <w:left w:val="nil"/>
              <w:bottom w:val="nil"/>
              <w:right w:val="nil"/>
            </w:tcBorders>
            <w:shd w:val="clear" w:color="auto" w:fill="auto"/>
            <w:noWrap/>
            <w:vAlign w:val="bottom"/>
            <w:hideMark/>
          </w:tcPr>
          <w:p w14:paraId="4086F48D" w14:textId="77777777" w:rsidR="00EF3DD9" w:rsidRDefault="00EF3DD9" w:rsidP="005A3B4D">
            <w:pPr>
              <w:jc w:val="right"/>
              <w:rPr>
                <w:color w:val="000000"/>
                <w:sz w:val="20"/>
                <w:szCs w:val="20"/>
              </w:rPr>
            </w:pPr>
            <w:r>
              <w:rPr>
                <w:color w:val="000000"/>
                <w:sz w:val="20"/>
                <w:szCs w:val="20"/>
              </w:rPr>
              <w:t>0.000</w:t>
            </w:r>
          </w:p>
        </w:tc>
      </w:tr>
      <w:tr w:rsidR="00EF3DD9" w14:paraId="79FEDA17" w14:textId="77777777" w:rsidTr="005A3B4D">
        <w:trPr>
          <w:trHeight w:val="340"/>
        </w:trPr>
        <w:tc>
          <w:tcPr>
            <w:tcW w:w="1176" w:type="dxa"/>
            <w:tcBorders>
              <w:top w:val="nil"/>
              <w:left w:val="nil"/>
              <w:bottom w:val="nil"/>
              <w:right w:val="nil"/>
            </w:tcBorders>
            <w:shd w:val="clear" w:color="auto" w:fill="auto"/>
            <w:noWrap/>
            <w:vAlign w:val="bottom"/>
            <w:hideMark/>
          </w:tcPr>
          <w:p w14:paraId="57CED0FC"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344776" w14:textId="77777777" w:rsidR="00EF3DD9" w:rsidRDefault="00EF3DD9"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4A653A1" w14:textId="77777777" w:rsidR="00EF3DD9" w:rsidRDefault="00EF3DD9"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BE3388F" w14:textId="77777777" w:rsidR="00EF3DD9" w:rsidRDefault="00EF3DD9" w:rsidP="005A3B4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26FD7D19"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B4F5EE" w14:textId="77777777" w:rsidR="00EF3DD9" w:rsidRDefault="00EF3DD9"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A4BA119" w14:textId="77777777" w:rsidR="00EF3DD9" w:rsidRDefault="00EF3DD9" w:rsidP="005A3B4D">
            <w:pPr>
              <w:jc w:val="right"/>
              <w:rPr>
                <w:color w:val="000000"/>
                <w:sz w:val="20"/>
                <w:szCs w:val="20"/>
              </w:rPr>
            </w:pPr>
            <w:r>
              <w:rPr>
                <w:color w:val="000000"/>
                <w:sz w:val="20"/>
                <w:szCs w:val="20"/>
              </w:rPr>
              <w:t>0.580</w:t>
            </w:r>
          </w:p>
        </w:tc>
        <w:tc>
          <w:tcPr>
            <w:tcW w:w="768" w:type="dxa"/>
            <w:tcBorders>
              <w:top w:val="nil"/>
              <w:left w:val="nil"/>
              <w:bottom w:val="nil"/>
              <w:right w:val="nil"/>
            </w:tcBorders>
            <w:shd w:val="clear" w:color="auto" w:fill="auto"/>
            <w:noWrap/>
            <w:vAlign w:val="bottom"/>
            <w:hideMark/>
          </w:tcPr>
          <w:p w14:paraId="72701CA9"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20884C4" w14:textId="77777777" w:rsidR="00EF3DD9" w:rsidRDefault="00EF3DD9"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BDA3955" w14:textId="77777777" w:rsidR="00EF3DD9" w:rsidRDefault="00EF3DD9" w:rsidP="005A3B4D">
            <w:pPr>
              <w:jc w:val="right"/>
              <w:rPr>
                <w:color w:val="000000"/>
                <w:sz w:val="20"/>
                <w:szCs w:val="20"/>
              </w:rPr>
            </w:pPr>
            <w:r>
              <w:rPr>
                <w:color w:val="000000"/>
                <w:sz w:val="20"/>
                <w:szCs w:val="20"/>
              </w:rPr>
              <w:t>0.513</w:t>
            </w:r>
          </w:p>
        </w:tc>
        <w:tc>
          <w:tcPr>
            <w:tcW w:w="768" w:type="dxa"/>
            <w:tcBorders>
              <w:top w:val="nil"/>
              <w:left w:val="nil"/>
              <w:bottom w:val="nil"/>
              <w:right w:val="nil"/>
            </w:tcBorders>
            <w:shd w:val="clear" w:color="auto" w:fill="auto"/>
            <w:noWrap/>
            <w:vAlign w:val="bottom"/>
            <w:hideMark/>
          </w:tcPr>
          <w:p w14:paraId="6DD63B75"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EB3DF94"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5951624" w14:textId="77777777" w:rsidR="00EF3DD9" w:rsidRDefault="00EF3DD9" w:rsidP="005A3B4D">
            <w:pPr>
              <w:jc w:val="right"/>
              <w:rPr>
                <w:color w:val="000000"/>
                <w:sz w:val="20"/>
                <w:szCs w:val="20"/>
              </w:rPr>
            </w:pPr>
            <w:r>
              <w:rPr>
                <w:color w:val="000000"/>
                <w:sz w:val="20"/>
                <w:szCs w:val="20"/>
              </w:rPr>
              <w:t>0.987</w:t>
            </w:r>
          </w:p>
        </w:tc>
        <w:tc>
          <w:tcPr>
            <w:tcW w:w="768" w:type="dxa"/>
            <w:tcBorders>
              <w:top w:val="nil"/>
              <w:left w:val="nil"/>
              <w:bottom w:val="nil"/>
              <w:right w:val="nil"/>
            </w:tcBorders>
            <w:shd w:val="clear" w:color="auto" w:fill="auto"/>
            <w:noWrap/>
            <w:vAlign w:val="bottom"/>
            <w:hideMark/>
          </w:tcPr>
          <w:p w14:paraId="237F5A11"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AF02BC" w14:textId="77777777" w:rsidR="00EF3DD9" w:rsidRDefault="00EF3DD9"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4008C7DB" w14:textId="77777777" w:rsidR="00EF3DD9" w:rsidRDefault="00EF3DD9" w:rsidP="005A3B4D">
            <w:pPr>
              <w:jc w:val="right"/>
              <w:rPr>
                <w:color w:val="000000"/>
                <w:sz w:val="20"/>
                <w:szCs w:val="20"/>
              </w:rPr>
            </w:pPr>
            <w:r>
              <w:rPr>
                <w:color w:val="000000"/>
                <w:sz w:val="20"/>
                <w:szCs w:val="20"/>
              </w:rPr>
              <w:t>0.671</w:t>
            </w:r>
          </w:p>
        </w:tc>
        <w:tc>
          <w:tcPr>
            <w:tcW w:w="768" w:type="dxa"/>
            <w:tcBorders>
              <w:top w:val="nil"/>
              <w:left w:val="nil"/>
              <w:bottom w:val="nil"/>
              <w:right w:val="nil"/>
            </w:tcBorders>
            <w:shd w:val="clear" w:color="auto" w:fill="auto"/>
            <w:noWrap/>
            <w:vAlign w:val="bottom"/>
            <w:hideMark/>
          </w:tcPr>
          <w:p w14:paraId="2BE7E311" w14:textId="77777777" w:rsidR="00EF3DD9" w:rsidRDefault="00EF3DD9" w:rsidP="005A3B4D">
            <w:pPr>
              <w:jc w:val="right"/>
              <w:rPr>
                <w:color w:val="000000"/>
                <w:sz w:val="20"/>
                <w:szCs w:val="20"/>
              </w:rPr>
            </w:pPr>
            <w:r>
              <w:rPr>
                <w:color w:val="000000"/>
                <w:sz w:val="20"/>
                <w:szCs w:val="20"/>
              </w:rPr>
              <w:t>0.001</w:t>
            </w:r>
          </w:p>
        </w:tc>
      </w:tr>
      <w:tr w:rsidR="00EF3DD9" w14:paraId="587CEA10" w14:textId="77777777" w:rsidTr="005A3B4D">
        <w:trPr>
          <w:trHeight w:val="320"/>
        </w:trPr>
        <w:tc>
          <w:tcPr>
            <w:tcW w:w="1176" w:type="dxa"/>
            <w:tcBorders>
              <w:top w:val="nil"/>
              <w:left w:val="nil"/>
              <w:bottom w:val="nil"/>
              <w:right w:val="nil"/>
            </w:tcBorders>
            <w:shd w:val="clear" w:color="auto" w:fill="auto"/>
            <w:noWrap/>
            <w:vAlign w:val="bottom"/>
            <w:hideMark/>
          </w:tcPr>
          <w:p w14:paraId="4101992B"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5DE75A" w14:textId="77777777" w:rsidR="00EF3DD9" w:rsidRDefault="00EF3DD9"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E8154A4" w14:textId="77777777" w:rsidR="00EF3DD9" w:rsidRDefault="00EF3DD9"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3298F59D" w14:textId="77777777" w:rsidR="00EF3DD9" w:rsidRDefault="00EF3DD9" w:rsidP="005A3B4D">
            <w:pPr>
              <w:jc w:val="right"/>
              <w:rPr>
                <w:color w:val="000000"/>
                <w:sz w:val="20"/>
                <w:szCs w:val="20"/>
              </w:rPr>
            </w:pPr>
            <w:r>
              <w:rPr>
                <w:color w:val="000000"/>
                <w:sz w:val="20"/>
                <w:szCs w:val="20"/>
              </w:rPr>
              <w:t>0.571</w:t>
            </w:r>
          </w:p>
        </w:tc>
        <w:tc>
          <w:tcPr>
            <w:tcW w:w="768" w:type="dxa"/>
            <w:tcBorders>
              <w:top w:val="nil"/>
              <w:left w:val="nil"/>
              <w:bottom w:val="nil"/>
              <w:right w:val="nil"/>
            </w:tcBorders>
            <w:shd w:val="clear" w:color="auto" w:fill="auto"/>
            <w:noWrap/>
            <w:vAlign w:val="bottom"/>
            <w:hideMark/>
          </w:tcPr>
          <w:p w14:paraId="3113604D"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F6242C3" w14:textId="77777777" w:rsidR="00EF3DD9" w:rsidRDefault="00EF3DD9"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07A8160C" w14:textId="77777777" w:rsidR="00EF3DD9" w:rsidRDefault="00EF3DD9" w:rsidP="005A3B4D">
            <w:pPr>
              <w:jc w:val="right"/>
              <w:rPr>
                <w:color w:val="000000"/>
                <w:sz w:val="20"/>
                <w:szCs w:val="20"/>
              </w:rPr>
            </w:pPr>
            <w:r>
              <w:rPr>
                <w:color w:val="000000"/>
                <w:sz w:val="20"/>
                <w:szCs w:val="20"/>
              </w:rPr>
              <w:t>0.492</w:t>
            </w:r>
          </w:p>
        </w:tc>
        <w:tc>
          <w:tcPr>
            <w:tcW w:w="768" w:type="dxa"/>
            <w:tcBorders>
              <w:top w:val="nil"/>
              <w:left w:val="nil"/>
              <w:bottom w:val="nil"/>
              <w:right w:val="nil"/>
            </w:tcBorders>
            <w:shd w:val="clear" w:color="auto" w:fill="auto"/>
            <w:noWrap/>
            <w:vAlign w:val="bottom"/>
            <w:hideMark/>
          </w:tcPr>
          <w:p w14:paraId="566290B7"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E56ABD4" w14:textId="77777777" w:rsidR="00EF3DD9" w:rsidRDefault="00EF3DD9"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7E0A9457" w14:textId="77777777" w:rsidR="00EF3DD9" w:rsidRDefault="00EF3DD9" w:rsidP="005A3B4D">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76E9D3E0"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3722566" w14:textId="77777777" w:rsidR="00EF3DD9" w:rsidRDefault="00EF3DD9" w:rsidP="005A3B4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4D11789F" w14:textId="77777777" w:rsidR="00EF3DD9" w:rsidRDefault="00EF3DD9" w:rsidP="005A3B4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324D38F0"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78E2C79" w14:textId="77777777" w:rsidR="00EF3DD9" w:rsidRDefault="00EF3DD9"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044CFD45" w14:textId="77777777" w:rsidR="00EF3DD9" w:rsidRDefault="00EF3DD9" w:rsidP="005A3B4D">
            <w:pPr>
              <w:jc w:val="right"/>
              <w:rPr>
                <w:color w:val="000000"/>
                <w:sz w:val="20"/>
                <w:szCs w:val="20"/>
              </w:rPr>
            </w:pPr>
            <w:r>
              <w:rPr>
                <w:color w:val="000000"/>
                <w:sz w:val="20"/>
                <w:szCs w:val="20"/>
              </w:rPr>
              <w:t>0.671</w:t>
            </w:r>
          </w:p>
        </w:tc>
        <w:tc>
          <w:tcPr>
            <w:tcW w:w="768" w:type="dxa"/>
            <w:tcBorders>
              <w:top w:val="nil"/>
              <w:left w:val="nil"/>
              <w:bottom w:val="nil"/>
              <w:right w:val="nil"/>
            </w:tcBorders>
            <w:shd w:val="clear" w:color="auto" w:fill="auto"/>
            <w:noWrap/>
            <w:vAlign w:val="bottom"/>
            <w:hideMark/>
          </w:tcPr>
          <w:p w14:paraId="189CF558" w14:textId="77777777" w:rsidR="00EF3DD9" w:rsidRDefault="00EF3DD9" w:rsidP="005A3B4D">
            <w:pPr>
              <w:jc w:val="right"/>
              <w:rPr>
                <w:color w:val="000000"/>
                <w:sz w:val="20"/>
                <w:szCs w:val="20"/>
              </w:rPr>
            </w:pPr>
            <w:r>
              <w:rPr>
                <w:color w:val="000000"/>
                <w:sz w:val="20"/>
                <w:szCs w:val="20"/>
              </w:rPr>
              <w:t>0.001</w:t>
            </w:r>
          </w:p>
        </w:tc>
      </w:tr>
      <w:tr w:rsidR="00EF3DD9" w14:paraId="78834407" w14:textId="77777777" w:rsidTr="005A3B4D">
        <w:trPr>
          <w:trHeight w:val="320"/>
        </w:trPr>
        <w:tc>
          <w:tcPr>
            <w:tcW w:w="1176" w:type="dxa"/>
            <w:tcBorders>
              <w:top w:val="nil"/>
              <w:left w:val="nil"/>
              <w:bottom w:val="nil"/>
              <w:right w:val="nil"/>
            </w:tcBorders>
            <w:shd w:val="clear" w:color="auto" w:fill="auto"/>
            <w:noWrap/>
            <w:vAlign w:val="bottom"/>
            <w:hideMark/>
          </w:tcPr>
          <w:p w14:paraId="4B2C5163"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3B1A2E" w14:textId="77777777" w:rsidR="00EF3DD9" w:rsidRDefault="00EF3DD9"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C684109" w14:textId="77777777" w:rsidR="00EF3DD9" w:rsidRDefault="00EF3DD9" w:rsidP="005A3B4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0693C686" w14:textId="77777777" w:rsidR="00EF3DD9" w:rsidRDefault="00EF3DD9" w:rsidP="005A3B4D">
            <w:pPr>
              <w:jc w:val="right"/>
              <w:rPr>
                <w:color w:val="000000"/>
                <w:sz w:val="20"/>
                <w:szCs w:val="20"/>
              </w:rPr>
            </w:pPr>
            <w:r>
              <w:rPr>
                <w:color w:val="000000"/>
                <w:sz w:val="20"/>
                <w:szCs w:val="20"/>
              </w:rPr>
              <w:t>0.571</w:t>
            </w:r>
          </w:p>
        </w:tc>
        <w:tc>
          <w:tcPr>
            <w:tcW w:w="768" w:type="dxa"/>
            <w:tcBorders>
              <w:top w:val="nil"/>
              <w:left w:val="nil"/>
              <w:bottom w:val="nil"/>
              <w:right w:val="nil"/>
            </w:tcBorders>
            <w:shd w:val="clear" w:color="auto" w:fill="auto"/>
            <w:noWrap/>
            <w:vAlign w:val="bottom"/>
            <w:hideMark/>
          </w:tcPr>
          <w:p w14:paraId="6E33A465"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E36ACDA" w14:textId="77777777" w:rsidR="00EF3DD9" w:rsidRDefault="00EF3DD9"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2921245" w14:textId="77777777" w:rsidR="00EF3DD9" w:rsidRDefault="00EF3DD9" w:rsidP="005A3B4D">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58D3AA3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3524CB" w14:textId="77777777" w:rsidR="00EF3DD9" w:rsidRDefault="00EF3DD9"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0D15769" w14:textId="77777777" w:rsidR="00EF3DD9" w:rsidRDefault="00EF3DD9" w:rsidP="005A3B4D">
            <w:pPr>
              <w:jc w:val="right"/>
              <w:rPr>
                <w:color w:val="000000"/>
                <w:sz w:val="20"/>
                <w:szCs w:val="20"/>
              </w:rPr>
            </w:pPr>
            <w:r>
              <w:rPr>
                <w:color w:val="000000"/>
                <w:sz w:val="20"/>
                <w:szCs w:val="20"/>
              </w:rPr>
              <w:t>0.513</w:t>
            </w:r>
          </w:p>
        </w:tc>
        <w:tc>
          <w:tcPr>
            <w:tcW w:w="768" w:type="dxa"/>
            <w:tcBorders>
              <w:top w:val="nil"/>
              <w:left w:val="nil"/>
              <w:bottom w:val="nil"/>
              <w:right w:val="nil"/>
            </w:tcBorders>
            <w:shd w:val="clear" w:color="auto" w:fill="auto"/>
            <w:noWrap/>
            <w:vAlign w:val="bottom"/>
            <w:hideMark/>
          </w:tcPr>
          <w:p w14:paraId="0A1344EB"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047A2D2" w14:textId="77777777" w:rsidR="00EF3DD9" w:rsidRPr="00FE2233" w:rsidRDefault="00EF3DD9" w:rsidP="005A3B4D">
            <w:pPr>
              <w:jc w:val="right"/>
              <w:rPr>
                <w:b/>
                <w:bCs/>
                <w:color w:val="000000"/>
                <w:sz w:val="20"/>
                <w:szCs w:val="20"/>
              </w:rPr>
            </w:pPr>
            <w:r w:rsidRPr="00FE2233">
              <w:rPr>
                <w:b/>
                <w:bCs/>
                <w:color w:val="000000"/>
                <w:sz w:val="20"/>
                <w:szCs w:val="20"/>
              </w:rPr>
              <w:t>0.226</w:t>
            </w:r>
          </w:p>
        </w:tc>
        <w:tc>
          <w:tcPr>
            <w:tcW w:w="768" w:type="dxa"/>
            <w:tcBorders>
              <w:top w:val="nil"/>
              <w:left w:val="nil"/>
              <w:bottom w:val="nil"/>
              <w:right w:val="nil"/>
            </w:tcBorders>
            <w:shd w:val="clear" w:color="auto" w:fill="auto"/>
            <w:noWrap/>
            <w:vAlign w:val="bottom"/>
            <w:hideMark/>
          </w:tcPr>
          <w:p w14:paraId="773E15A6" w14:textId="77777777" w:rsidR="00EF3DD9" w:rsidRPr="00FE2233" w:rsidRDefault="00EF3DD9" w:rsidP="005A3B4D">
            <w:pPr>
              <w:jc w:val="right"/>
              <w:rPr>
                <w:b/>
                <w:bCs/>
                <w:color w:val="000000"/>
                <w:sz w:val="20"/>
                <w:szCs w:val="20"/>
              </w:rPr>
            </w:pPr>
            <w:r w:rsidRPr="00FE2233">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23D16676" w14:textId="77777777" w:rsidR="00EF3DD9" w:rsidRPr="00FE2233" w:rsidRDefault="00EF3DD9" w:rsidP="005A3B4D">
            <w:pPr>
              <w:jc w:val="right"/>
              <w:rPr>
                <w:b/>
                <w:bCs/>
                <w:color w:val="000000"/>
                <w:sz w:val="20"/>
                <w:szCs w:val="20"/>
              </w:rPr>
            </w:pPr>
            <w:r w:rsidRPr="00FE2233">
              <w:rPr>
                <w:b/>
                <w:bCs/>
                <w:color w:val="000000"/>
                <w:sz w:val="20"/>
                <w:szCs w:val="20"/>
              </w:rPr>
              <w:t>0.051</w:t>
            </w:r>
          </w:p>
        </w:tc>
        <w:tc>
          <w:tcPr>
            <w:tcW w:w="768" w:type="dxa"/>
            <w:tcBorders>
              <w:top w:val="nil"/>
              <w:left w:val="nil"/>
              <w:bottom w:val="nil"/>
              <w:right w:val="nil"/>
            </w:tcBorders>
            <w:shd w:val="clear" w:color="auto" w:fill="auto"/>
            <w:noWrap/>
            <w:vAlign w:val="bottom"/>
            <w:hideMark/>
          </w:tcPr>
          <w:p w14:paraId="335478BC" w14:textId="77777777" w:rsidR="00EF3DD9" w:rsidRDefault="00EF3DD9" w:rsidP="005A3B4D">
            <w:pPr>
              <w:jc w:val="right"/>
              <w:rPr>
                <w:color w:val="000000"/>
                <w:sz w:val="20"/>
                <w:szCs w:val="20"/>
              </w:rPr>
            </w:pPr>
            <w:r>
              <w:rPr>
                <w:color w:val="000000"/>
                <w:sz w:val="20"/>
                <w:szCs w:val="20"/>
              </w:rPr>
              <w:t>-0.130</w:t>
            </w:r>
          </w:p>
        </w:tc>
        <w:tc>
          <w:tcPr>
            <w:tcW w:w="768" w:type="dxa"/>
            <w:tcBorders>
              <w:top w:val="nil"/>
              <w:left w:val="nil"/>
              <w:bottom w:val="nil"/>
              <w:right w:val="nil"/>
            </w:tcBorders>
            <w:shd w:val="clear" w:color="auto" w:fill="auto"/>
            <w:noWrap/>
            <w:vAlign w:val="bottom"/>
            <w:hideMark/>
          </w:tcPr>
          <w:p w14:paraId="4AA8A328" w14:textId="77777777" w:rsidR="00EF3DD9" w:rsidRDefault="00EF3DD9" w:rsidP="005A3B4D">
            <w:pPr>
              <w:jc w:val="right"/>
              <w:rPr>
                <w:color w:val="000000"/>
                <w:sz w:val="20"/>
                <w:szCs w:val="20"/>
              </w:rPr>
            </w:pPr>
            <w:r>
              <w:rPr>
                <w:color w:val="000000"/>
                <w:sz w:val="20"/>
                <w:szCs w:val="20"/>
              </w:rPr>
              <w:t>0.671</w:t>
            </w:r>
          </w:p>
        </w:tc>
        <w:tc>
          <w:tcPr>
            <w:tcW w:w="768" w:type="dxa"/>
            <w:tcBorders>
              <w:top w:val="nil"/>
              <w:left w:val="nil"/>
              <w:bottom w:val="nil"/>
              <w:right w:val="nil"/>
            </w:tcBorders>
            <w:shd w:val="clear" w:color="auto" w:fill="auto"/>
            <w:noWrap/>
            <w:vAlign w:val="bottom"/>
            <w:hideMark/>
          </w:tcPr>
          <w:p w14:paraId="42880DB9" w14:textId="77777777" w:rsidR="00EF3DD9" w:rsidRDefault="00EF3DD9" w:rsidP="005A3B4D">
            <w:pPr>
              <w:jc w:val="right"/>
              <w:rPr>
                <w:color w:val="000000"/>
                <w:sz w:val="20"/>
                <w:szCs w:val="20"/>
              </w:rPr>
            </w:pPr>
            <w:r>
              <w:rPr>
                <w:color w:val="000000"/>
                <w:sz w:val="20"/>
                <w:szCs w:val="20"/>
              </w:rPr>
              <w:t>0.017</w:t>
            </w:r>
          </w:p>
        </w:tc>
      </w:tr>
      <w:tr w:rsidR="00EF3DD9" w14:paraId="65318A37" w14:textId="77777777" w:rsidTr="005A3B4D">
        <w:trPr>
          <w:trHeight w:val="320"/>
        </w:trPr>
        <w:tc>
          <w:tcPr>
            <w:tcW w:w="1176" w:type="dxa"/>
            <w:tcBorders>
              <w:top w:val="nil"/>
              <w:left w:val="nil"/>
              <w:bottom w:val="nil"/>
              <w:right w:val="nil"/>
            </w:tcBorders>
            <w:shd w:val="clear" w:color="auto" w:fill="auto"/>
            <w:noWrap/>
            <w:vAlign w:val="bottom"/>
            <w:hideMark/>
          </w:tcPr>
          <w:p w14:paraId="5ED5A7DE"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595DC12" w14:textId="77777777" w:rsidR="00EF3DD9" w:rsidRDefault="00EF3DD9"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1287203" w14:textId="77777777" w:rsidR="00EF3DD9" w:rsidRDefault="00EF3DD9" w:rsidP="005A3B4D">
            <w:pPr>
              <w:jc w:val="right"/>
              <w:rPr>
                <w:color w:val="000000"/>
                <w:sz w:val="20"/>
                <w:szCs w:val="20"/>
              </w:rPr>
            </w:pPr>
            <w:r>
              <w:rPr>
                <w:color w:val="000000"/>
                <w:sz w:val="20"/>
                <w:szCs w:val="20"/>
              </w:rPr>
              <w:t>0.092</w:t>
            </w:r>
          </w:p>
        </w:tc>
        <w:tc>
          <w:tcPr>
            <w:tcW w:w="768" w:type="dxa"/>
            <w:tcBorders>
              <w:top w:val="nil"/>
              <w:left w:val="nil"/>
              <w:bottom w:val="nil"/>
              <w:right w:val="nil"/>
            </w:tcBorders>
            <w:shd w:val="clear" w:color="auto" w:fill="auto"/>
            <w:noWrap/>
            <w:vAlign w:val="bottom"/>
            <w:hideMark/>
          </w:tcPr>
          <w:p w14:paraId="27AA9DE8" w14:textId="77777777" w:rsidR="00EF3DD9" w:rsidRDefault="00EF3DD9" w:rsidP="005A3B4D">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57788554" w14:textId="77777777" w:rsidR="00EF3DD9" w:rsidRDefault="00EF3DD9"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59FBC42" w14:textId="77777777" w:rsidR="00EF3DD9" w:rsidRDefault="00EF3DD9"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C061A87" w14:textId="77777777" w:rsidR="00EF3DD9" w:rsidRDefault="00EF3DD9" w:rsidP="005A3B4D">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31346BC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16CC97" w14:textId="77777777" w:rsidR="00EF3DD9" w:rsidRDefault="00EF3DD9"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5CB391E6" w14:textId="77777777" w:rsidR="00EF3DD9" w:rsidRDefault="00EF3DD9" w:rsidP="005A3B4D">
            <w:pPr>
              <w:jc w:val="right"/>
              <w:rPr>
                <w:color w:val="000000"/>
                <w:sz w:val="20"/>
                <w:szCs w:val="20"/>
              </w:rPr>
            </w:pPr>
            <w:r>
              <w:rPr>
                <w:color w:val="000000"/>
                <w:sz w:val="20"/>
                <w:szCs w:val="20"/>
              </w:rPr>
              <w:t>0.460</w:t>
            </w:r>
          </w:p>
        </w:tc>
        <w:tc>
          <w:tcPr>
            <w:tcW w:w="768" w:type="dxa"/>
            <w:tcBorders>
              <w:top w:val="nil"/>
              <w:left w:val="nil"/>
              <w:bottom w:val="nil"/>
              <w:right w:val="nil"/>
            </w:tcBorders>
            <w:shd w:val="clear" w:color="auto" w:fill="auto"/>
            <w:noWrap/>
            <w:vAlign w:val="bottom"/>
            <w:hideMark/>
          </w:tcPr>
          <w:p w14:paraId="6FF1049C"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C4ACFA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0C302D" w14:textId="77777777" w:rsidR="00EF3DD9" w:rsidRDefault="00EF3DD9" w:rsidP="005A3B4D">
            <w:pPr>
              <w:jc w:val="right"/>
              <w:rPr>
                <w:color w:val="000000"/>
                <w:sz w:val="20"/>
                <w:szCs w:val="20"/>
              </w:rPr>
            </w:pPr>
            <w:r>
              <w:rPr>
                <w:color w:val="000000"/>
                <w:sz w:val="20"/>
                <w:szCs w:val="20"/>
              </w:rPr>
              <w:t>0.991</w:t>
            </w:r>
          </w:p>
        </w:tc>
        <w:tc>
          <w:tcPr>
            <w:tcW w:w="768" w:type="dxa"/>
            <w:tcBorders>
              <w:top w:val="nil"/>
              <w:left w:val="nil"/>
              <w:bottom w:val="nil"/>
              <w:right w:val="nil"/>
            </w:tcBorders>
            <w:shd w:val="clear" w:color="auto" w:fill="auto"/>
            <w:noWrap/>
            <w:vAlign w:val="bottom"/>
            <w:hideMark/>
          </w:tcPr>
          <w:p w14:paraId="47A0FC46"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FADFAD" w14:textId="77777777" w:rsidR="00EF3DD9" w:rsidRDefault="00EF3DD9"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0463A5F3" w14:textId="77777777" w:rsidR="00EF3DD9" w:rsidRDefault="00EF3DD9" w:rsidP="005A3B4D">
            <w:pPr>
              <w:jc w:val="right"/>
              <w:rPr>
                <w:color w:val="000000"/>
                <w:sz w:val="20"/>
                <w:szCs w:val="20"/>
              </w:rPr>
            </w:pPr>
            <w:r>
              <w:rPr>
                <w:color w:val="000000"/>
                <w:sz w:val="20"/>
                <w:szCs w:val="20"/>
              </w:rPr>
              <w:t>0.671</w:t>
            </w:r>
          </w:p>
        </w:tc>
        <w:tc>
          <w:tcPr>
            <w:tcW w:w="768" w:type="dxa"/>
            <w:tcBorders>
              <w:top w:val="nil"/>
              <w:left w:val="nil"/>
              <w:bottom w:val="nil"/>
              <w:right w:val="nil"/>
            </w:tcBorders>
            <w:shd w:val="clear" w:color="auto" w:fill="auto"/>
            <w:noWrap/>
            <w:vAlign w:val="bottom"/>
            <w:hideMark/>
          </w:tcPr>
          <w:p w14:paraId="7DE2144B" w14:textId="77777777" w:rsidR="00EF3DD9" w:rsidRDefault="00EF3DD9" w:rsidP="005A3B4D">
            <w:pPr>
              <w:jc w:val="right"/>
              <w:rPr>
                <w:color w:val="000000"/>
                <w:sz w:val="20"/>
                <w:szCs w:val="20"/>
              </w:rPr>
            </w:pPr>
            <w:r>
              <w:rPr>
                <w:color w:val="000000"/>
                <w:sz w:val="20"/>
                <w:szCs w:val="20"/>
              </w:rPr>
              <w:t>0.002</w:t>
            </w:r>
          </w:p>
        </w:tc>
      </w:tr>
      <w:tr w:rsidR="00EF3DD9" w14:paraId="3BF9E027" w14:textId="77777777" w:rsidTr="005A3B4D">
        <w:trPr>
          <w:trHeight w:val="320"/>
        </w:trPr>
        <w:tc>
          <w:tcPr>
            <w:tcW w:w="1176" w:type="dxa"/>
            <w:tcBorders>
              <w:top w:val="nil"/>
              <w:left w:val="nil"/>
              <w:bottom w:val="nil"/>
              <w:right w:val="nil"/>
            </w:tcBorders>
            <w:shd w:val="clear" w:color="auto" w:fill="auto"/>
            <w:noWrap/>
            <w:vAlign w:val="bottom"/>
            <w:hideMark/>
          </w:tcPr>
          <w:p w14:paraId="38903B52"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0407C61" w14:textId="77777777" w:rsidR="00EF3DD9" w:rsidRDefault="00EF3DD9"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4F04293" w14:textId="77777777" w:rsidR="00EF3DD9" w:rsidRDefault="00EF3DD9"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6036B0C1" w14:textId="77777777" w:rsidR="00EF3DD9" w:rsidRDefault="00EF3DD9" w:rsidP="005A3B4D">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2D27D486"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C10EE8C"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09C50D7" w14:textId="77777777" w:rsidR="00EF3DD9" w:rsidRDefault="00EF3DD9" w:rsidP="005A3B4D">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67D63C2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CF2553" w14:textId="77777777" w:rsidR="00EF3DD9" w:rsidRDefault="00EF3DD9"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5D7A39D" w14:textId="77777777" w:rsidR="00EF3DD9" w:rsidRDefault="00EF3DD9" w:rsidP="005A3B4D">
            <w:pPr>
              <w:jc w:val="right"/>
              <w:rPr>
                <w:color w:val="000000"/>
                <w:sz w:val="20"/>
                <w:szCs w:val="20"/>
              </w:rPr>
            </w:pPr>
            <w:r>
              <w:rPr>
                <w:color w:val="000000"/>
                <w:sz w:val="20"/>
                <w:szCs w:val="20"/>
              </w:rPr>
              <w:t>0.513</w:t>
            </w:r>
          </w:p>
        </w:tc>
        <w:tc>
          <w:tcPr>
            <w:tcW w:w="768" w:type="dxa"/>
            <w:tcBorders>
              <w:top w:val="nil"/>
              <w:left w:val="nil"/>
              <w:bottom w:val="nil"/>
              <w:right w:val="nil"/>
            </w:tcBorders>
            <w:shd w:val="clear" w:color="auto" w:fill="auto"/>
            <w:noWrap/>
            <w:vAlign w:val="bottom"/>
            <w:hideMark/>
          </w:tcPr>
          <w:p w14:paraId="7CAC9C4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F4D66C"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FD29360" w14:textId="77777777" w:rsidR="00EF3DD9" w:rsidRDefault="00EF3DD9" w:rsidP="005A3B4D">
            <w:pPr>
              <w:jc w:val="right"/>
              <w:rPr>
                <w:color w:val="000000"/>
                <w:sz w:val="20"/>
                <w:szCs w:val="20"/>
              </w:rPr>
            </w:pPr>
            <w:r>
              <w:rPr>
                <w:color w:val="000000"/>
                <w:sz w:val="20"/>
                <w:szCs w:val="20"/>
              </w:rPr>
              <w:t>0.987</w:t>
            </w:r>
          </w:p>
        </w:tc>
        <w:tc>
          <w:tcPr>
            <w:tcW w:w="768" w:type="dxa"/>
            <w:tcBorders>
              <w:top w:val="nil"/>
              <w:left w:val="nil"/>
              <w:bottom w:val="nil"/>
              <w:right w:val="nil"/>
            </w:tcBorders>
            <w:shd w:val="clear" w:color="auto" w:fill="auto"/>
            <w:noWrap/>
            <w:vAlign w:val="bottom"/>
            <w:hideMark/>
          </w:tcPr>
          <w:p w14:paraId="0C6C8ED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BAF793C"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5CACB10" w14:textId="77777777" w:rsidR="00EF3DD9" w:rsidRDefault="00EF3DD9" w:rsidP="005A3B4D">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5FDCFD9A" w14:textId="77777777" w:rsidR="00EF3DD9" w:rsidRDefault="00EF3DD9" w:rsidP="005A3B4D">
            <w:pPr>
              <w:jc w:val="right"/>
              <w:rPr>
                <w:color w:val="000000"/>
                <w:sz w:val="20"/>
                <w:szCs w:val="20"/>
              </w:rPr>
            </w:pPr>
            <w:r>
              <w:rPr>
                <w:color w:val="000000"/>
                <w:sz w:val="20"/>
                <w:szCs w:val="20"/>
              </w:rPr>
              <w:t>0.000</w:t>
            </w:r>
          </w:p>
        </w:tc>
      </w:tr>
      <w:tr w:rsidR="00EF3DD9" w14:paraId="43370CC3" w14:textId="77777777" w:rsidTr="005A3B4D">
        <w:trPr>
          <w:trHeight w:val="320"/>
        </w:trPr>
        <w:tc>
          <w:tcPr>
            <w:tcW w:w="1176" w:type="dxa"/>
            <w:tcBorders>
              <w:top w:val="nil"/>
              <w:left w:val="nil"/>
              <w:bottom w:val="nil"/>
              <w:right w:val="nil"/>
            </w:tcBorders>
            <w:shd w:val="clear" w:color="auto" w:fill="auto"/>
            <w:noWrap/>
            <w:vAlign w:val="bottom"/>
            <w:hideMark/>
          </w:tcPr>
          <w:p w14:paraId="7C18FE86"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5E94A05" w14:textId="77777777" w:rsidR="00EF3DD9" w:rsidRDefault="00EF3DD9"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1C99F06" w14:textId="77777777" w:rsidR="00EF3DD9" w:rsidRDefault="00EF3DD9"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EE670A9" w14:textId="77777777" w:rsidR="00EF3DD9" w:rsidRDefault="00EF3DD9" w:rsidP="005A3B4D">
            <w:pPr>
              <w:jc w:val="right"/>
              <w:rPr>
                <w:color w:val="000000"/>
                <w:sz w:val="20"/>
                <w:szCs w:val="20"/>
              </w:rPr>
            </w:pPr>
            <w:r>
              <w:rPr>
                <w:color w:val="000000"/>
                <w:sz w:val="20"/>
                <w:szCs w:val="20"/>
              </w:rPr>
              <w:t>0.280</w:t>
            </w:r>
          </w:p>
        </w:tc>
        <w:tc>
          <w:tcPr>
            <w:tcW w:w="768" w:type="dxa"/>
            <w:tcBorders>
              <w:top w:val="nil"/>
              <w:left w:val="nil"/>
              <w:bottom w:val="nil"/>
              <w:right w:val="nil"/>
            </w:tcBorders>
            <w:shd w:val="clear" w:color="auto" w:fill="auto"/>
            <w:noWrap/>
            <w:vAlign w:val="bottom"/>
            <w:hideMark/>
          </w:tcPr>
          <w:p w14:paraId="197CE82D"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7E3C5A9" w14:textId="77777777" w:rsidR="00EF3DD9" w:rsidRDefault="00EF3DD9"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2822D0E4" w14:textId="77777777" w:rsidR="00EF3DD9" w:rsidRDefault="00EF3DD9" w:rsidP="005A3B4D">
            <w:pPr>
              <w:jc w:val="right"/>
              <w:rPr>
                <w:color w:val="000000"/>
                <w:sz w:val="20"/>
                <w:szCs w:val="20"/>
              </w:rPr>
            </w:pPr>
            <w:r>
              <w:rPr>
                <w:color w:val="000000"/>
                <w:sz w:val="20"/>
                <w:szCs w:val="20"/>
              </w:rPr>
              <w:t>0.580</w:t>
            </w:r>
          </w:p>
        </w:tc>
        <w:tc>
          <w:tcPr>
            <w:tcW w:w="768" w:type="dxa"/>
            <w:tcBorders>
              <w:top w:val="nil"/>
              <w:left w:val="nil"/>
              <w:bottom w:val="nil"/>
              <w:right w:val="nil"/>
            </w:tcBorders>
            <w:shd w:val="clear" w:color="auto" w:fill="auto"/>
            <w:noWrap/>
            <w:vAlign w:val="bottom"/>
            <w:hideMark/>
          </w:tcPr>
          <w:p w14:paraId="5AB49544"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CF34C2" w14:textId="77777777" w:rsidR="00EF3DD9" w:rsidRDefault="00EF3DD9"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1427D544" w14:textId="77777777" w:rsidR="00EF3DD9" w:rsidRDefault="00EF3DD9" w:rsidP="005A3B4D">
            <w:pPr>
              <w:jc w:val="right"/>
              <w:rPr>
                <w:color w:val="000000"/>
                <w:sz w:val="20"/>
                <w:szCs w:val="20"/>
              </w:rPr>
            </w:pPr>
            <w:r>
              <w:rPr>
                <w:color w:val="000000"/>
                <w:sz w:val="20"/>
                <w:szCs w:val="20"/>
              </w:rPr>
              <w:t>0.513</w:t>
            </w:r>
          </w:p>
        </w:tc>
        <w:tc>
          <w:tcPr>
            <w:tcW w:w="768" w:type="dxa"/>
            <w:tcBorders>
              <w:top w:val="nil"/>
              <w:left w:val="nil"/>
              <w:bottom w:val="nil"/>
              <w:right w:val="nil"/>
            </w:tcBorders>
            <w:shd w:val="clear" w:color="auto" w:fill="auto"/>
            <w:noWrap/>
            <w:vAlign w:val="bottom"/>
            <w:hideMark/>
          </w:tcPr>
          <w:p w14:paraId="572D3C90"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D793640"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E234291" w14:textId="77777777" w:rsidR="00EF3DD9" w:rsidRDefault="00EF3DD9" w:rsidP="005A3B4D">
            <w:pPr>
              <w:jc w:val="right"/>
              <w:rPr>
                <w:color w:val="000000"/>
                <w:sz w:val="20"/>
                <w:szCs w:val="20"/>
              </w:rPr>
            </w:pPr>
            <w:r>
              <w:rPr>
                <w:color w:val="000000"/>
                <w:sz w:val="20"/>
                <w:szCs w:val="20"/>
              </w:rPr>
              <w:t>0.987</w:t>
            </w:r>
          </w:p>
        </w:tc>
        <w:tc>
          <w:tcPr>
            <w:tcW w:w="768" w:type="dxa"/>
            <w:tcBorders>
              <w:top w:val="nil"/>
              <w:left w:val="nil"/>
              <w:bottom w:val="nil"/>
              <w:right w:val="nil"/>
            </w:tcBorders>
            <w:shd w:val="clear" w:color="auto" w:fill="auto"/>
            <w:noWrap/>
            <w:vAlign w:val="bottom"/>
            <w:hideMark/>
          </w:tcPr>
          <w:p w14:paraId="19BD7E55"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A44B90"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F38E21" w14:textId="77777777" w:rsidR="00EF3DD9" w:rsidRDefault="00EF3DD9" w:rsidP="005A3B4D">
            <w:pPr>
              <w:jc w:val="right"/>
              <w:rPr>
                <w:color w:val="000000"/>
                <w:sz w:val="20"/>
                <w:szCs w:val="20"/>
              </w:rPr>
            </w:pPr>
            <w:r>
              <w:rPr>
                <w:color w:val="000000"/>
                <w:sz w:val="20"/>
                <w:szCs w:val="20"/>
              </w:rPr>
              <w:t>0.969</w:t>
            </w:r>
          </w:p>
        </w:tc>
        <w:tc>
          <w:tcPr>
            <w:tcW w:w="768" w:type="dxa"/>
            <w:tcBorders>
              <w:top w:val="nil"/>
              <w:left w:val="nil"/>
              <w:bottom w:val="nil"/>
              <w:right w:val="nil"/>
            </w:tcBorders>
            <w:shd w:val="clear" w:color="auto" w:fill="auto"/>
            <w:noWrap/>
            <w:vAlign w:val="bottom"/>
            <w:hideMark/>
          </w:tcPr>
          <w:p w14:paraId="4CA07861" w14:textId="77777777" w:rsidR="00EF3DD9" w:rsidRDefault="00EF3DD9" w:rsidP="005A3B4D">
            <w:pPr>
              <w:jc w:val="right"/>
              <w:rPr>
                <w:color w:val="000000"/>
                <w:sz w:val="20"/>
                <w:szCs w:val="20"/>
              </w:rPr>
            </w:pPr>
            <w:r>
              <w:rPr>
                <w:color w:val="000000"/>
                <w:sz w:val="20"/>
                <w:szCs w:val="20"/>
              </w:rPr>
              <w:t>0.000</w:t>
            </w:r>
          </w:p>
        </w:tc>
      </w:tr>
      <w:tr w:rsidR="00EF3DD9" w14:paraId="38B558E6"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31F1616B" w14:textId="77777777" w:rsidR="00EF3DD9" w:rsidRDefault="00EF3DD9"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43311C7" w14:textId="77777777" w:rsidR="00EF3DD9" w:rsidRDefault="00EF3DD9"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63DB2D9" w14:textId="77777777" w:rsidR="00EF3DD9" w:rsidRDefault="00EF3DD9" w:rsidP="005A3B4D">
            <w:pPr>
              <w:jc w:val="right"/>
              <w:rPr>
                <w:color w:val="000000"/>
                <w:sz w:val="20"/>
                <w:szCs w:val="20"/>
              </w:rPr>
            </w:pPr>
            <w:r>
              <w:rPr>
                <w:color w:val="000000"/>
                <w:sz w:val="20"/>
                <w:szCs w:val="20"/>
              </w:rPr>
              <w:t>-0.049</w:t>
            </w:r>
          </w:p>
        </w:tc>
        <w:tc>
          <w:tcPr>
            <w:tcW w:w="768" w:type="dxa"/>
            <w:tcBorders>
              <w:top w:val="nil"/>
              <w:left w:val="nil"/>
              <w:bottom w:val="single" w:sz="4" w:space="0" w:color="auto"/>
              <w:right w:val="nil"/>
            </w:tcBorders>
            <w:shd w:val="clear" w:color="auto" w:fill="auto"/>
            <w:noWrap/>
            <w:vAlign w:val="bottom"/>
            <w:hideMark/>
          </w:tcPr>
          <w:p w14:paraId="0802E11D" w14:textId="77777777" w:rsidR="00EF3DD9" w:rsidRDefault="00EF3DD9" w:rsidP="005A3B4D">
            <w:pPr>
              <w:jc w:val="right"/>
              <w:rPr>
                <w:color w:val="000000"/>
                <w:sz w:val="20"/>
                <w:szCs w:val="20"/>
              </w:rPr>
            </w:pPr>
            <w:r>
              <w:rPr>
                <w:color w:val="000000"/>
                <w:sz w:val="20"/>
                <w:szCs w:val="20"/>
              </w:rPr>
              <w:t>0.324</w:t>
            </w:r>
          </w:p>
        </w:tc>
        <w:tc>
          <w:tcPr>
            <w:tcW w:w="768" w:type="dxa"/>
            <w:tcBorders>
              <w:top w:val="nil"/>
              <w:left w:val="nil"/>
              <w:bottom w:val="single" w:sz="4" w:space="0" w:color="auto"/>
              <w:right w:val="nil"/>
            </w:tcBorders>
            <w:shd w:val="clear" w:color="auto" w:fill="auto"/>
            <w:noWrap/>
            <w:vAlign w:val="bottom"/>
            <w:hideMark/>
          </w:tcPr>
          <w:p w14:paraId="7182C470"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0B6F1A7" w14:textId="77777777" w:rsidR="00EF3DD9" w:rsidRDefault="00EF3DD9" w:rsidP="005A3B4D">
            <w:pPr>
              <w:jc w:val="right"/>
              <w:rPr>
                <w:color w:val="000000"/>
                <w:sz w:val="20"/>
                <w:szCs w:val="20"/>
              </w:rPr>
            </w:pPr>
            <w:r>
              <w:rPr>
                <w:color w:val="000000"/>
                <w:sz w:val="20"/>
                <w:szCs w:val="20"/>
              </w:rPr>
              <w:t>0.086</w:t>
            </w:r>
          </w:p>
        </w:tc>
        <w:tc>
          <w:tcPr>
            <w:tcW w:w="768" w:type="dxa"/>
            <w:tcBorders>
              <w:top w:val="nil"/>
              <w:left w:val="nil"/>
              <w:bottom w:val="single" w:sz="4" w:space="0" w:color="auto"/>
              <w:right w:val="nil"/>
            </w:tcBorders>
            <w:shd w:val="clear" w:color="auto" w:fill="auto"/>
            <w:noWrap/>
            <w:vAlign w:val="bottom"/>
            <w:hideMark/>
          </w:tcPr>
          <w:p w14:paraId="45615BF9" w14:textId="77777777" w:rsidR="00EF3DD9" w:rsidRDefault="00EF3DD9" w:rsidP="005A3B4D">
            <w:pPr>
              <w:jc w:val="right"/>
              <w:rPr>
                <w:color w:val="000000"/>
                <w:sz w:val="20"/>
                <w:szCs w:val="20"/>
              </w:rPr>
            </w:pPr>
            <w:r>
              <w:rPr>
                <w:color w:val="000000"/>
                <w:sz w:val="20"/>
                <w:szCs w:val="20"/>
              </w:rPr>
              <w:t>0.120</w:t>
            </w:r>
          </w:p>
        </w:tc>
        <w:tc>
          <w:tcPr>
            <w:tcW w:w="768" w:type="dxa"/>
            <w:tcBorders>
              <w:top w:val="nil"/>
              <w:left w:val="nil"/>
              <w:bottom w:val="single" w:sz="4" w:space="0" w:color="auto"/>
              <w:right w:val="nil"/>
            </w:tcBorders>
            <w:shd w:val="clear" w:color="auto" w:fill="auto"/>
            <w:noWrap/>
            <w:vAlign w:val="bottom"/>
            <w:hideMark/>
          </w:tcPr>
          <w:p w14:paraId="43124429" w14:textId="77777777" w:rsidR="00EF3DD9" w:rsidRDefault="00EF3DD9"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2ECDB788" w14:textId="77777777" w:rsidR="00EF3DD9" w:rsidRDefault="00EF3DD9" w:rsidP="005A3B4D">
            <w:pPr>
              <w:jc w:val="right"/>
              <w:rPr>
                <w:color w:val="000000"/>
                <w:sz w:val="20"/>
                <w:szCs w:val="20"/>
              </w:rPr>
            </w:pPr>
            <w:r>
              <w:rPr>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25069FB2" w14:textId="77777777" w:rsidR="00EF3DD9" w:rsidRDefault="00EF3DD9" w:rsidP="005A3B4D">
            <w:pPr>
              <w:jc w:val="right"/>
              <w:rPr>
                <w:color w:val="000000"/>
                <w:sz w:val="20"/>
                <w:szCs w:val="20"/>
              </w:rPr>
            </w:pPr>
            <w:r>
              <w:rPr>
                <w:color w:val="000000"/>
                <w:sz w:val="20"/>
                <w:szCs w:val="20"/>
              </w:rPr>
              <w:t>0.513</w:t>
            </w:r>
          </w:p>
        </w:tc>
        <w:tc>
          <w:tcPr>
            <w:tcW w:w="768" w:type="dxa"/>
            <w:tcBorders>
              <w:top w:val="nil"/>
              <w:left w:val="nil"/>
              <w:bottom w:val="single" w:sz="4" w:space="0" w:color="auto"/>
              <w:right w:val="nil"/>
            </w:tcBorders>
            <w:shd w:val="clear" w:color="auto" w:fill="auto"/>
            <w:noWrap/>
            <w:vAlign w:val="bottom"/>
            <w:hideMark/>
          </w:tcPr>
          <w:p w14:paraId="0A29277D"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7DCA63F" w14:textId="77777777" w:rsidR="00EF3DD9" w:rsidRDefault="00EF3DD9" w:rsidP="005A3B4D">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16E2B5CD" w14:textId="77777777" w:rsidR="00EF3DD9" w:rsidRDefault="00EF3DD9" w:rsidP="005A3B4D">
            <w:pPr>
              <w:jc w:val="right"/>
              <w:rPr>
                <w:color w:val="000000"/>
                <w:sz w:val="20"/>
                <w:szCs w:val="20"/>
              </w:rPr>
            </w:pPr>
            <w:r>
              <w:rPr>
                <w:color w:val="000000"/>
                <w:sz w:val="20"/>
                <w:szCs w:val="20"/>
              </w:rPr>
              <w:t>0.488</w:t>
            </w:r>
          </w:p>
        </w:tc>
        <w:tc>
          <w:tcPr>
            <w:tcW w:w="768" w:type="dxa"/>
            <w:tcBorders>
              <w:top w:val="nil"/>
              <w:left w:val="nil"/>
              <w:bottom w:val="single" w:sz="4" w:space="0" w:color="auto"/>
              <w:right w:val="nil"/>
            </w:tcBorders>
            <w:shd w:val="clear" w:color="auto" w:fill="auto"/>
            <w:noWrap/>
            <w:vAlign w:val="bottom"/>
            <w:hideMark/>
          </w:tcPr>
          <w:p w14:paraId="12653711"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FFE467D" w14:textId="77777777" w:rsidR="00EF3DD9" w:rsidRDefault="00EF3DD9" w:rsidP="005A3B4D">
            <w:pPr>
              <w:jc w:val="right"/>
              <w:rPr>
                <w:color w:val="000000"/>
                <w:sz w:val="20"/>
                <w:szCs w:val="20"/>
              </w:rPr>
            </w:pPr>
            <w:r>
              <w:rPr>
                <w:color w:val="000000"/>
                <w:sz w:val="20"/>
                <w:szCs w:val="20"/>
              </w:rPr>
              <w:t>0.028</w:t>
            </w:r>
          </w:p>
        </w:tc>
        <w:tc>
          <w:tcPr>
            <w:tcW w:w="768" w:type="dxa"/>
            <w:tcBorders>
              <w:top w:val="nil"/>
              <w:left w:val="nil"/>
              <w:bottom w:val="single" w:sz="4" w:space="0" w:color="auto"/>
              <w:right w:val="nil"/>
            </w:tcBorders>
            <w:shd w:val="clear" w:color="auto" w:fill="auto"/>
            <w:noWrap/>
            <w:vAlign w:val="bottom"/>
            <w:hideMark/>
          </w:tcPr>
          <w:p w14:paraId="68E315E7" w14:textId="77777777" w:rsidR="00EF3DD9" w:rsidRDefault="00EF3DD9" w:rsidP="005A3B4D">
            <w:pPr>
              <w:jc w:val="right"/>
              <w:rPr>
                <w:color w:val="000000"/>
                <w:sz w:val="20"/>
                <w:szCs w:val="20"/>
              </w:rPr>
            </w:pPr>
            <w:r>
              <w:rPr>
                <w:color w:val="000000"/>
                <w:sz w:val="20"/>
                <w:szCs w:val="20"/>
              </w:rPr>
              <w:t>0.671</w:t>
            </w:r>
          </w:p>
        </w:tc>
        <w:tc>
          <w:tcPr>
            <w:tcW w:w="768" w:type="dxa"/>
            <w:tcBorders>
              <w:top w:val="nil"/>
              <w:left w:val="nil"/>
              <w:bottom w:val="single" w:sz="4" w:space="0" w:color="auto"/>
              <w:right w:val="nil"/>
            </w:tcBorders>
            <w:shd w:val="clear" w:color="auto" w:fill="auto"/>
            <w:noWrap/>
            <w:vAlign w:val="bottom"/>
            <w:hideMark/>
          </w:tcPr>
          <w:p w14:paraId="6ACC3FB8" w14:textId="77777777" w:rsidR="00EF3DD9" w:rsidRDefault="00EF3DD9" w:rsidP="005A3B4D">
            <w:pPr>
              <w:jc w:val="right"/>
              <w:rPr>
                <w:color w:val="000000"/>
                <w:sz w:val="20"/>
                <w:szCs w:val="20"/>
              </w:rPr>
            </w:pPr>
            <w:r>
              <w:rPr>
                <w:color w:val="000000"/>
                <w:sz w:val="20"/>
                <w:szCs w:val="20"/>
              </w:rPr>
              <w:t>0.001</w:t>
            </w:r>
          </w:p>
        </w:tc>
      </w:tr>
      <w:tr w:rsidR="00EF3DD9" w14:paraId="530E340F" w14:textId="77777777" w:rsidTr="005A3B4D">
        <w:trPr>
          <w:trHeight w:val="320"/>
        </w:trPr>
        <w:tc>
          <w:tcPr>
            <w:tcW w:w="1176" w:type="dxa"/>
            <w:tcBorders>
              <w:top w:val="nil"/>
              <w:left w:val="nil"/>
              <w:bottom w:val="nil"/>
              <w:right w:val="nil"/>
            </w:tcBorders>
            <w:shd w:val="clear" w:color="auto" w:fill="auto"/>
            <w:noWrap/>
            <w:vAlign w:val="bottom"/>
            <w:hideMark/>
          </w:tcPr>
          <w:p w14:paraId="20204E7E" w14:textId="77777777" w:rsidR="00EF3DD9" w:rsidRDefault="00EF3DD9"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126FF092" w14:textId="77777777" w:rsidR="00EF3DD9" w:rsidRDefault="00EF3DD9"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B6CDEBD" w14:textId="77777777" w:rsidR="00EF3DD9" w:rsidRDefault="00EF3DD9" w:rsidP="005A3B4D">
            <w:pPr>
              <w:jc w:val="right"/>
              <w:rPr>
                <w:b/>
                <w:bCs/>
                <w:color w:val="000000"/>
                <w:sz w:val="20"/>
                <w:szCs w:val="20"/>
              </w:rPr>
            </w:pPr>
            <w:r>
              <w:rPr>
                <w:b/>
                <w:bCs/>
                <w:color w:val="000000"/>
                <w:sz w:val="20"/>
                <w:szCs w:val="20"/>
              </w:rPr>
              <w:t>-0.095</w:t>
            </w:r>
          </w:p>
        </w:tc>
        <w:tc>
          <w:tcPr>
            <w:tcW w:w="768" w:type="dxa"/>
            <w:tcBorders>
              <w:top w:val="nil"/>
              <w:left w:val="nil"/>
              <w:bottom w:val="nil"/>
              <w:right w:val="nil"/>
            </w:tcBorders>
            <w:shd w:val="clear" w:color="auto" w:fill="auto"/>
            <w:noWrap/>
            <w:vAlign w:val="bottom"/>
            <w:hideMark/>
          </w:tcPr>
          <w:p w14:paraId="4AA9E05C" w14:textId="77777777" w:rsidR="00EF3DD9" w:rsidRDefault="00EF3DD9"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7211123E" w14:textId="77777777" w:rsidR="00EF3DD9" w:rsidRDefault="00EF3DD9" w:rsidP="005A3B4D">
            <w:pPr>
              <w:jc w:val="right"/>
              <w:rPr>
                <w:b/>
                <w:bCs/>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13F5D926" w14:textId="77777777" w:rsidR="00EF3DD9" w:rsidRDefault="00EF3DD9"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9984DC3" w14:textId="77777777" w:rsidR="00EF3DD9" w:rsidRDefault="00EF3DD9" w:rsidP="005A3B4D">
            <w:pPr>
              <w:jc w:val="right"/>
              <w:rPr>
                <w:color w:val="000000"/>
                <w:sz w:val="20"/>
                <w:szCs w:val="20"/>
              </w:rPr>
            </w:pPr>
            <w:r>
              <w:rPr>
                <w:color w:val="000000"/>
                <w:sz w:val="20"/>
                <w:szCs w:val="20"/>
              </w:rPr>
              <w:t>0.798</w:t>
            </w:r>
          </w:p>
        </w:tc>
        <w:tc>
          <w:tcPr>
            <w:tcW w:w="768" w:type="dxa"/>
            <w:tcBorders>
              <w:top w:val="nil"/>
              <w:left w:val="nil"/>
              <w:bottom w:val="nil"/>
              <w:right w:val="nil"/>
            </w:tcBorders>
            <w:shd w:val="clear" w:color="auto" w:fill="auto"/>
            <w:noWrap/>
            <w:vAlign w:val="bottom"/>
            <w:hideMark/>
          </w:tcPr>
          <w:p w14:paraId="42EC0C34"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9D02F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8813BA" w14:textId="77777777" w:rsidR="00EF3DD9" w:rsidRDefault="00EF3DD9"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6D69976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E2BD57"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3866196" w14:textId="77777777" w:rsidR="00EF3DD9" w:rsidRDefault="00EF3DD9"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155A8D1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E262EC" w14:textId="77777777" w:rsidR="00EF3DD9" w:rsidRDefault="00EF3DD9"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0F9D5D9" w14:textId="77777777" w:rsidR="00EF3DD9" w:rsidRDefault="00EF3DD9" w:rsidP="005A3B4D">
            <w:pPr>
              <w:jc w:val="right"/>
              <w:rPr>
                <w:color w:val="000000"/>
                <w:sz w:val="20"/>
                <w:szCs w:val="20"/>
              </w:rPr>
            </w:pPr>
            <w:r>
              <w:rPr>
                <w:color w:val="000000"/>
                <w:sz w:val="20"/>
                <w:szCs w:val="20"/>
              </w:rPr>
              <w:t>0.619</w:t>
            </w:r>
          </w:p>
        </w:tc>
        <w:tc>
          <w:tcPr>
            <w:tcW w:w="768" w:type="dxa"/>
            <w:tcBorders>
              <w:top w:val="nil"/>
              <w:left w:val="nil"/>
              <w:bottom w:val="nil"/>
              <w:right w:val="nil"/>
            </w:tcBorders>
            <w:shd w:val="clear" w:color="auto" w:fill="auto"/>
            <w:noWrap/>
            <w:vAlign w:val="bottom"/>
            <w:hideMark/>
          </w:tcPr>
          <w:p w14:paraId="0B8D9EB5" w14:textId="77777777" w:rsidR="00EF3DD9" w:rsidRDefault="00EF3DD9" w:rsidP="005A3B4D">
            <w:pPr>
              <w:jc w:val="right"/>
              <w:rPr>
                <w:color w:val="000000"/>
                <w:sz w:val="20"/>
                <w:szCs w:val="20"/>
              </w:rPr>
            </w:pPr>
            <w:r>
              <w:rPr>
                <w:color w:val="000000"/>
                <w:sz w:val="20"/>
                <w:szCs w:val="20"/>
              </w:rPr>
              <w:t>0.000</w:t>
            </w:r>
          </w:p>
        </w:tc>
      </w:tr>
      <w:tr w:rsidR="00EF3DD9" w14:paraId="1B8FDB8C" w14:textId="77777777" w:rsidTr="005A3B4D">
        <w:trPr>
          <w:trHeight w:val="320"/>
        </w:trPr>
        <w:tc>
          <w:tcPr>
            <w:tcW w:w="1176" w:type="dxa"/>
            <w:tcBorders>
              <w:top w:val="nil"/>
              <w:left w:val="nil"/>
              <w:bottom w:val="nil"/>
              <w:right w:val="nil"/>
            </w:tcBorders>
            <w:shd w:val="clear" w:color="auto" w:fill="auto"/>
            <w:noWrap/>
            <w:vAlign w:val="bottom"/>
            <w:hideMark/>
          </w:tcPr>
          <w:p w14:paraId="62F01287"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F03BCEE" w14:textId="77777777" w:rsidR="00EF3DD9" w:rsidRDefault="00EF3DD9"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D73C1EA" w14:textId="77777777" w:rsidR="00EF3DD9" w:rsidRDefault="00EF3DD9"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1CE3047A" w14:textId="77777777" w:rsidR="00EF3DD9" w:rsidRDefault="00EF3DD9" w:rsidP="005A3B4D">
            <w:pPr>
              <w:jc w:val="right"/>
              <w:rPr>
                <w:color w:val="000000"/>
                <w:sz w:val="20"/>
                <w:szCs w:val="20"/>
              </w:rPr>
            </w:pPr>
            <w:r>
              <w:rPr>
                <w:color w:val="000000"/>
                <w:sz w:val="20"/>
                <w:szCs w:val="20"/>
              </w:rPr>
              <w:t>0.183</w:t>
            </w:r>
          </w:p>
        </w:tc>
        <w:tc>
          <w:tcPr>
            <w:tcW w:w="768" w:type="dxa"/>
            <w:tcBorders>
              <w:top w:val="nil"/>
              <w:left w:val="nil"/>
              <w:bottom w:val="nil"/>
              <w:right w:val="nil"/>
            </w:tcBorders>
            <w:shd w:val="clear" w:color="auto" w:fill="auto"/>
            <w:noWrap/>
            <w:vAlign w:val="bottom"/>
            <w:hideMark/>
          </w:tcPr>
          <w:p w14:paraId="4C2F8753"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674E2C" w14:textId="77777777" w:rsidR="00EF3DD9" w:rsidRDefault="00EF3DD9"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42ED1B7" w14:textId="77777777" w:rsidR="00EF3DD9" w:rsidRDefault="00EF3DD9" w:rsidP="005A3B4D">
            <w:pPr>
              <w:jc w:val="right"/>
              <w:rPr>
                <w:color w:val="000000"/>
                <w:sz w:val="20"/>
                <w:szCs w:val="20"/>
              </w:rPr>
            </w:pPr>
            <w:r>
              <w:rPr>
                <w:color w:val="000000"/>
                <w:sz w:val="20"/>
                <w:szCs w:val="20"/>
              </w:rPr>
              <w:t>0.651</w:t>
            </w:r>
          </w:p>
        </w:tc>
        <w:tc>
          <w:tcPr>
            <w:tcW w:w="768" w:type="dxa"/>
            <w:tcBorders>
              <w:top w:val="nil"/>
              <w:left w:val="nil"/>
              <w:bottom w:val="nil"/>
              <w:right w:val="nil"/>
            </w:tcBorders>
            <w:shd w:val="clear" w:color="auto" w:fill="auto"/>
            <w:noWrap/>
            <w:vAlign w:val="bottom"/>
            <w:hideMark/>
          </w:tcPr>
          <w:p w14:paraId="23302A41"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D1D21D" w14:textId="77777777" w:rsidR="00EF3DD9" w:rsidRDefault="00EF3DD9"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176557C" w14:textId="77777777" w:rsidR="00EF3DD9" w:rsidRDefault="00EF3DD9" w:rsidP="005A3B4D">
            <w:pPr>
              <w:jc w:val="right"/>
              <w:rPr>
                <w:color w:val="000000"/>
                <w:sz w:val="20"/>
                <w:szCs w:val="20"/>
              </w:rPr>
            </w:pPr>
            <w:r>
              <w:rPr>
                <w:color w:val="000000"/>
                <w:sz w:val="20"/>
                <w:szCs w:val="20"/>
              </w:rPr>
              <w:t>0.365</w:t>
            </w:r>
          </w:p>
        </w:tc>
        <w:tc>
          <w:tcPr>
            <w:tcW w:w="768" w:type="dxa"/>
            <w:tcBorders>
              <w:top w:val="nil"/>
              <w:left w:val="nil"/>
              <w:bottom w:val="nil"/>
              <w:right w:val="nil"/>
            </w:tcBorders>
            <w:shd w:val="clear" w:color="auto" w:fill="auto"/>
            <w:noWrap/>
            <w:vAlign w:val="bottom"/>
            <w:hideMark/>
          </w:tcPr>
          <w:p w14:paraId="43BA63AB"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8E66FE" w14:textId="77777777" w:rsidR="00EF3DD9" w:rsidRDefault="00EF3DD9"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5212103D" w14:textId="77777777" w:rsidR="00EF3DD9" w:rsidRDefault="00EF3DD9" w:rsidP="005A3B4D">
            <w:pPr>
              <w:jc w:val="right"/>
              <w:rPr>
                <w:color w:val="000000"/>
                <w:sz w:val="20"/>
                <w:szCs w:val="20"/>
              </w:rPr>
            </w:pPr>
            <w:r>
              <w:rPr>
                <w:color w:val="000000"/>
                <w:sz w:val="20"/>
                <w:szCs w:val="20"/>
              </w:rPr>
              <w:t>0.251</w:t>
            </w:r>
          </w:p>
        </w:tc>
        <w:tc>
          <w:tcPr>
            <w:tcW w:w="768" w:type="dxa"/>
            <w:tcBorders>
              <w:top w:val="nil"/>
              <w:left w:val="nil"/>
              <w:bottom w:val="nil"/>
              <w:right w:val="nil"/>
            </w:tcBorders>
            <w:shd w:val="clear" w:color="auto" w:fill="auto"/>
            <w:noWrap/>
            <w:vAlign w:val="bottom"/>
            <w:hideMark/>
          </w:tcPr>
          <w:p w14:paraId="1A05D891"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D51F56F" w14:textId="77777777" w:rsidR="00EF3DD9" w:rsidRDefault="00EF3DD9"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7C419D74" w14:textId="77777777" w:rsidR="00EF3DD9" w:rsidRDefault="00EF3DD9" w:rsidP="005A3B4D">
            <w:pPr>
              <w:jc w:val="right"/>
              <w:rPr>
                <w:color w:val="000000"/>
                <w:sz w:val="20"/>
                <w:szCs w:val="20"/>
              </w:rPr>
            </w:pPr>
            <w:r>
              <w:rPr>
                <w:color w:val="000000"/>
                <w:sz w:val="20"/>
                <w:szCs w:val="20"/>
              </w:rPr>
              <w:t>0.619</w:t>
            </w:r>
          </w:p>
        </w:tc>
        <w:tc>
          <w:tcPr>
            <w:tcW w:w="768" w:type="dxa"/>
            <w:tcBorders>
              <w:top w:val="nil"/>
              <w:left w:val="nil"/>
              <w:bottom w:val="nil"/>
              <w:right w:val="nil"/>
            </w:tcBorders>
            <w:shd w:val="clear" w:color="auto" w:fill="auto"/>
            <w:noWrap/>
            <w:vAlign w:val="bottom"/>
            <w:hideMark/>
          </w:tcPr>
          <w:p w14:paraId="7C426E56" w14:textId="77777777" w:rsidR="00EF3DD9" w:rsidRDefault="00EF3DD9" w:rsidP="005A3B4D">
            <w:pPr>
              <w:jc w:val="right"/>
              <w:rPr>
                <w:color w:val="000000"/>
                <w:sz w:val="20"/>
                <w:szCs w:val="20"/>
              </w:rPr>
            </w:pPr>
            <w:r>
              <w:rPr>
                <w:color w:val="000000"/>
                <w:sz w:val="20"/>
                <w:szCs w:val="20"/>
              </w:rPr>
              <w:t>0.001</w:t>
            </w:r>
          </w:p>
        </w:tc>
      </w:tr>
      <w:tr w:rsidR="00EF3DD9" w14:paraId="57F8D5A0" w14:textId="77777777" w:rsidTr="005A3B4D">
        <w:trPr>
          <w:trHeight w:val="320"/>
        </w:trPr>
        <w:tc>
          <w:tcPr>
            <w:tcW w:w="1176" w:type="dxa"/>
            <w:tcBorders>
              <w:top w:val="nil"/>
              <w:left w:val="nil"/>
              <w:bottom w:val="nil"/>
              <w:right w:val="nil"/>
            </w:tcBorders>
            <w:shd w:val="clear" w:color="auto" w:fill="auto"/>
            <w:noWrap/>
            <w:vAlign w:val="bottom"/>
            <w:hideMark/>
          </w:tcPr>
          <w:p w14:paraId="78E63889"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313E631" w14:textId="77777777" w:rsidR="00EF3DD9" w:rsidRDefault="00EF3DD9"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D72BA8C" w14:textId="77777777" w:rsidR="00EF3DD9" w:rsidRDefault="00EF3DD9"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556B510B" w14:textId="77777777" w:rsidR="00EF3DD9" w:rsidRDefault="00EF3DD9" w:rsidP="005A3B4D">
            <w:pPr>
              <w:jc w:val="right"/>
              <w:rPr>
                <w:color w:val="000000"/>
                <w:sz w:val="20"/>
                <w:szCs w:val="20"/>
              </w:rPr>
            </w:pPr>
            <w:r>
              <w:rPr>
                <w:color w:val="000000"/>
                <w:sz w:val="20"/>
                <w:szCs w:val="20"/>
              </w:rPr>
              <w:t>0.390</w:t>
            </w:r>
          </w:p>
        </w:tc>
        <w:tc>
          <w:tcPr>
            <w:tcW w:w="768" w:type="dxa"/>
            <w:tcBorders>
              <w:top w:val="nil"/>
              <w:left w:val="nil"/>
              <w:bottom w:val="nil"/>
              <w:right w:val="nil"/>
            </w:tcBorders>
            <w:shd w:val="clear" w:color="auto" w:fill="auto"/>
            <w:noWrap/>
            <w:vAlign w:val="bottom"/>
            <w:hideMark/>
          </w:tcPr>
          <w:p w14:paraId="1110F814"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09CC04" w14:textId="77777777" w:rsidR="00EF3DD9" w:rsidRDefault="00EF3DD9"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9E48A7F" w14:textId="77777777" w:rsidR="00EF3DD9" w:rsidRDefault="00EF3DD9" w:rsidP="005A3B4D">
            <w:pPr>
              <w:jc w:val="right"/>
              <w:rPr>
                <w:color w:val="000000"/>
                <w:sz w:val="20"/>
                <w:szCs w:val="20"/>
              </w:rPr>
            </w:pPr>
            <w:r>
              <w:rPr>
                <w:color w:val="000000"/>
                <w:sz w:val="20"/>
                <w:szCs w:val="20"/>
              </w:rPr>
              <w:t>0.798</w:t>
            </w:r>
          </w:p>
        </w:tc>
        <w:tc>
          <w:tcPr>
            <w:tcW w:w="768" w:type="dxa"/>
            <w:tcBorders>
              <w:top w:val="nil"/>
              <w:left w:val="nil"/>
              <w:bottom w:val="nil"/>
              <w:right w:val="nil"/>
            </w:tcBorders>
            <w:shd w:val="clear" w:color="auto" w:fill="auto"/>
            <w:noWrap/>
            <w:vAlign w:val="bottom"/>
            <w:hideMark/>
          </w:tcPr>
          <w:p w14:paraId="0FA20A33"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6DF4C2" w14:textId="77777777" w:rsidR="00EF3DD9" w:rsidRDefault="00EF3DD9"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3539316" w14:textId="77777777" w:rsidR="00EF3DD9" w:rsidRDefault="00EF3DD9" w:rsidP="005A3B4D">
            <w:pPr>
              <w:jc w:val="right"/>
              <w:rPr>
                <w:color w:val="000000"/>
                <w:sz w:val="20"/>
                <w:szCs w:val="20"/>
              </w:rPr>
            </w:pPr>
            <w:r>
              <w:rPr>
                <w:color w:val="000000"/>
                <w:sz w:val="20"/>
                <w:szCs w:val="20"/>
              </w:rPr>
              <w:t>0.888</w:t>
            </w:r>
          </w:p>
        </w:tc>
        <w:tc>
          <w:tcPr>
            <w:tcW w:w="768" w:type="dxa"/>
            <w:tcBorders>
              <w:top w:val="nil"/>
              <w:left w:val="nil"/>
              <w:bottom w:val="nil"/>
              <w:right w:val="nil"/>
            </w:tcBorders>
            <w:shd w:val="clear" w:color="auto" w:fill="auto"/>
            <w:noWrap/>
            <w:vAlign w:val="bottom"/>
            <w:hideMark/>
          </w:tcPr>
          <w:p w14:paraId="483EA05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98F76E" w14:textId="77777777" w:rsidR="00EF3DD9" w:rsidRDefault="00EF3DD9"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7858ECAE" w14:textId="77777777" w:rsidR="00EF3DD9" w:rsidRDefault="00EF3DD9" w:rsidP="005A3B4D">
            <w:pPr>
              <w:jc w:val="right"/>
              <w:rPr>
                <w:color w:val="000000"/>
                <w:sz w:val="20"/>
                <w:szCs w:val="20"/>
              </w:rPr>
            </w:pPr>
            <w:r>
              <w:rPr>
                <w:color w:val="000000"/>
                <w:sz w:val="20"/>
                <w:szCs w:val="20"/>
              </w:rPr>
              <w:t>0.251</w:t>
            </w:r>
          </w:p>
        </w:tc>
        <w:tc>
          <w:tcPr>
            <w:tcW w:w="768" w:type="dxa"/>
            <w:tcBorders>
              <w:top w:val="nil"/>
              <w:left w:val="nil"/>
              <w:bottom w:val="nil"/>
              <w:right w:val="nil"/>
            </w:tcBorders>
            <w:shd w:val="clear" w:color="auto" w:fill="auto"/>
            <w:noWrap/>
            <w:vAlign w:val="bottom"/>
            <w:hideMark/>
          </w:tcPr>
          <w:p w14:paraId="067CD87C"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E89B787" w14:textId="77777777" w:rsidR="00EF3DD9" w:rsidRDefault="00EF3DD9"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452B5E0" w14:textId="77777777" w:rsidR="00EF3DD9" w:rsidRDefault="00EF3DD9" w:rsidP="005A3B4D">
            <w:pPr>
              <w:jc w:val="right"/>
              <w:rPr>
                <w:color w:val="000000"/>
                <w:sz w:val="20"/>
                <w:szCs w:val="20"/>
              </w:rPr>
            </w:pPr>
            <w:r>
              <w:rPr>
                <w:color w:val="000000"/>
                <w:sz w:val="20"/>
                <w:szCs w:val="20"/>
              </w:rPr>
              <w:t>0.669</w:t>
            </w:r>
          </w:p>
        </w:tc>
        <w:tc>
          <w:tcPr>
            <w:tcW w:w="768" w:type="dxa"/>
            <w:tcBorders>
              <w:top w:val="nil"/>
              <w:left w:val="nil"/>
              <w:bottom w:val="nil"/>
              <w:right w:val="nil"/>
            </w:tcBorders>
            <w:shd w:val="clear" w:color="auto" w:fill="auto"/>
            <w:noWrap/>
            <w:vAlign w:val="bottom"/>
            <w:hideMark/>
          </w:tcPr>
          <w:p w14:paraId="7418015A" w14:textId="77777777" w:rsidR="00EF3DD9" w:rsidRDefault="00EF3DD9" w:rsidP="005A3B4D">
            <w:pPr>
              <w:jc w:val="right"/>
              <w:rPr>
                <w:color w:val="000000"/>
                <w:sz w:val="20"/>
                <w:szCs w:val="20"/>
              </w:rPr>
            </w:pPr>
            <w:r>
              <w:rPr>
                <w:color w:val="000000"/>
                <w:sz w:val="20"/>
                <w:szCs w:val="20"/>
              </w:rPr>
              <w:t>0.000</w:t>
            </w:r>
          </w:p>
        </w:tc>
      </w:tr>
      <w:tr w:rsidR="00EF3DD9" w14:paraId="0D4084E3" w14:textId="77777777" w:rsidTr="005A3B4D">
        <w:trPr>
          <w:trHeight w:val="320"/>
        </w:trPr>
        <w:tc>
          <w:tcPr>
            <w:tcW w:w="1176" w:type="dxa"/>
            <w:tcBorders>
              <w:top w:val="nil"/>
              <w:left w:val="nil"/>
              <w:bottom w:val="nil"/>
              <w:right w:val="nil"/>
            </w:tcBorders>
            <w:shd w:val="clear" w:color="auto" w:fill="auto"/>
            <w:noWrap/>
            <w:vAlign w:val="bottom"/>
            <w:hideMark/>
          </w:tcPr>
          <w:p w14:paraId="002845C1"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089C6F" w14:textId="77777777" w:rsidR="00EF3DD9" w:rsidRDefault="00EF3DD9"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9662550" w14:textId="77777777" w:rsidR="00EF3DD9" w:rsidRDefault="00EF3DD9"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5EB2783B" w14:textId="77777777" w:rsidR="00EF3DD9" w:rsidRDefault="00EF3DD9" w:rsidP="005A3B4D">
            <w:pPr>
              <w:jc w:val="right"/>
              <w:rPr>
                <w:color w:val="000000"/>
                <w:sz w:val="20"/>
                <w:szCs w:val="20"/>
              </w:rPr>
            </w:pPr>
            <w:r>
              <w:rPr>
                <w:color w:val="000000"/>
                <w:sz w:val="20"/>
                <w:szCs w:val="20"/>
              </w:rPr>
              <w:t>0.183</w:t>
            </w:r>
          </w:p>
        </w:tc>
        <w:tc>
          <w:tcPr>
            <w:tcW w:w="768" w:type="dxa"/>
            <w:tcBorders>
              <w:top w:val="nil"/>
              <w:left w:val="nil"/>
              <w:bottom w:val="nil"/>
              <w:right w:val="nil"/>
            </w:tcBorders>
            <w:shd w:val="clear" w:color="auto" w:fill="auto"/>
            <w:noWrap/>
            <w:vAlign w:val="bottom"/>
            <w:hideMark/>
          </w:tcPr>
          <w:p w14:paraId="7FBB472C"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EA657B9" w14:textId="77777777" w:rsidR="00EF3DD9" w:rsidRDefault="00EF3DD9"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E802E0B" w14:textId="77777777" w:rsidR="00EF3DD9" w:rsidRDefault="00EF3DD9" w:rsidP="005A3B4D">
            <w:pPr>
              <w:jc w:val="right"/>
              <w:rPr>
                <w:color w:val="000000"/>
                <w:sz w:val="20"/>
                <w:szCs w:val="20"/>
              </w:rPr>
            </w:pPr>
            <w:r>
              <w:rPr>
                <w:color w:val="000000"/>
                <w:sz w:val="20"/>
                <w:szCs w:val="20"/>
              </w:rPr>
              <w:t>0.798</w:t>
            </w:r>
          </w:p>
        </w:tc>
        <w:tc>
          <w:tcPr>
            <w:tcW w:w="768" w:type="dxa"/>
            <w:tcBorders>
              <w:top w:val="nil"/>
              <w:left w:val="nil"/>
              <w:bottom w:val="nil"/>
              <w:right w:val="nil"/>
            </w:tcBorders>
            <w:shd w:val="clear" w:color="auto" w:fill="auto"/>
            <w:noWrap/>
            <w:vAlign w:val="bottom"/>
            <w:hideMark/>
          </w:tcPr>
          <w:p w14:paraId="76735407"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6B904C" w14:textId="77777777" w:rsidR="00EF3DD9" w:rsidRDefault="00EF3DD9"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68B81E9" w14:textId="77777777" w:rsidR="00EF3DD9" w:rsidRDefault="00EF3DD9" w:rsidP="005A3B4D">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41039A5E"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45D001" w14:textId="77777777" w:rsidR="00EF3DD9" w:rsidRDefault="00EF3DD9"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0B4997A0" w14:textId="77777777" w:rsidR="00EF3DD9" w:rsidRDefault="00EF3DD9" w:rsidP="005A3B4D">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214A7FC3"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2141CE1" w14:textId="77777777" w:rsidR="00EF3DD9" w:rsidRDefault="00EF3DD9"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18A4B0B1" w14:textId="77777777" w:rsidR="00EF3DD9" w:rsidRDefault="00EF3DD9" w:rsidP="005A3B4D">
            <w:pPr>
              <w:jc w:val="right"/>
              <w:rPr>
                <w:color w:val="000000"/>
                <w:sz w:val="20"/>
                <w:szCs w:val="20"/>
              </w:rPr>
            </w:pPr>
            <w:r>
              <w:rPr>
                <w:color w:val="000000"/>
                <w:sz w:val="20"/>
                <w:szCs w:val="20"/>
              </w:rPr>
              <w:t>0.619</w:t>
            </w:r>
          </w:p>
        </w:tc>
        <w:tc>
          <w:tcPr>
            <w:tcW w:w="768" w:type="dxa"/>
            <w:tcBorders>
              <w:top w:val="nil"/>
              <w:left w:val="nil"/>
              <w:bottom w:val="nil"/>
              <w:right w:val="nil"/>
            </w:tcBorders>
            <w:shd w:val="clear" w:color="auto" w:fill="auto"/>
            <w:noWrap/>
            <w:vAlign w:val="bottom"/>
            <w:hideMark/>
          </w:tcPr>
          <w:p w14:paraId="011B3EB0" w14:textId="77777777" w:rsidR="00EF3DD9" w:rsidRDefault="00EF3DD9" w:rsidP="005A3B4D">
            <w:pPr>
              <w:jc w:val="right"/>
              <w:rPr>
                <w:color w:val="000000"/>
                <w:sz w:val="20"/>
                <w:szCs w:val="20"/>
              </w:rPr>
            </w:pPr>
            <w:r>
              <w:rPr>
                <w:color w:val="000000"/>
                <w:sz w:val="20"/>
                <w:szCs w:val="20"/>
              </w:rPr>
              <w:t>0.002</w:t>
            </w:r>
          </w:p>
        </w:tc>
      </w:tr>
      <w:tr w:rsidR="00EF3DD9" w14:paraId="4306A86C" w14:textId="77777777" w:rsidTr="005A3B4D">
        <w:trPr>
          <w:trHeight w:val="320"/>
        </w:trPr>
        <w:tc>
          <w:tcPr>
            <w:tcW w:w="1176" w:type="dxa"/>
            <w:tcBorders>
              <w:top w:val="nil"/>
              <w:left w:val="nil"/>
              <w:bottom w:val="nil"/>
              <w:right w:val="nil"/>
            </w:tcBorders>
            <w:shd w:val="clear" w:color="auto" w:fill="auto"/>
            <w:noWrap/>
            <w:vAlign w:val="bottom"/>
            <w:hideMark/>
          </w:tcPr>
          <w:p w14:paraId="7F36AC9D"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F88F88F" w14:textId="77777777" w:rsidR="00EF3DD9" w:rsidRDefault="00EF3DD9"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4B46F5F" w14:textId="77777777" w:rsidR="00EF3DD9" w:rsidRDefault="00EF3DD9" w:rsidP="005A3B4D">
            <w:pPr>
              <w:jc w:val="right"/>
              <w:rPr>
                <w:b/>
                <w:bCs/>
                <w:color w:val="000000"/>
                <w:sz w:val="20"/>
                <w:szCs w:val="20"/>
              </w:rPr>
            </w:pPr>
            <w:r>
              <w:rPr>
                <w:b/>
                <w:bCs/>
                <w:color w:val="000000"/>
                <w:sz w:val="20"/>
                <w:szCs w:val="20"/>
              </w:rPr>
              <w:t>0.060</w:t>
            </w:r>
          </w:p>
        </w:tc>
        <w:tc>
          <w:tcPr>
            <w:tcW w:w="768" w:type="dxa"/>
            <w:tcBorders>
              <w:top w:val="nil"/>
              <w:left w:val="nil"/>
              <w:bottom w:val="nil"/>
              <w:right w:val="nil"/>
            </w:tcBorders>
            <w:shd w:val="clear" w:color="auto" w:fill="auto"/>
            <w:noWrap/>
            <w:vAlign w:val="bottom"/>
            <w:hideMark/>
          </w:tcPr>
          <w:p w14:paraId="49217F3B" w14:textId="77777777" w:rsidR="00EF3DD9" w:rsidRDefault="00EF3DD9" w:rsidP="005A3B4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251ACDAE" w14:textId="77777777" w:rsidR="00EF3DD9" w:rsidRDefault="00EF3DD9" w:rsidP="005A3B4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10515E7C" w14:textId="77777777" w:rsidR="00EF3DD9" w:rsidRDefault="00EF3DD9"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CA27F75" w14:textId="77777777" w:rsidR="00EF3DD9" w:rsidRDefault="00EF3DD9" w:rsidP="005A3B4D">
            <w:pPr>
              <w:jc w:val="right"/>
              <w:rPr>
                <w:color w:val="000000"/>
                <w:sz w:val="20"/>
                <w:szCs w:val="20"/>
              </w:rPr>
            </w:pPr>
            <w:r>
              <w:rPr>
                <w:color w:val="000000"/>
                <w:sz w:val="20"/>
                <w:szCs w:val="20"/>
              </w:rPr>
              <w:t>0.798</w:t>
            </w:r>
          </w:p>
        </w:tc>
        <w:tc>
          <w:tcPr>
            <w:tcW w:w="768" w:type="dxa"/>
            <w:tcBorders>
              <w:top w:val="nil"/>
              <w:left w:val="nil"/>
              <w:bottom w:val="nil"/>
              <w:right w:val="nil"/>
            </w:tcBorders>
            <w:shd w:val="clear" w:color="auto" w:fill="auto"/>
            <w:noWrap/>
            <w:vAlign w:val="bottom"/>
            <w:hideMark/>
          </w:tcPr>
          <w:p w14:paraId="21007F2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19BD60" w14:textId="77777777" w:rsidR="00EF3DD9" w:rsidRDefault="00EF3DD9"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1582E20C" w14:textId="77777777" w:rsidR="00EF3DD9" w:rsidRDefault="00EF3DD9" w:rsidP="005A3B4D">
            <w:pPr>
              <w:jc w:val="right"/>
              <w:rPr>
                <w:color w:val="000000"/>
                <w:sz w:val="20"/>
                <w:szCs w:val="20"/>
              </w:rPr>
            </w:pPr>
            <w:r>
              <w:rPr>
                <w:color w:val="000000"/>
                <w:sz w:val="20"/>
                <w:szCs w:val="20"/>
              </w:rPr>
              <w:t>0.176</w:t>
            </w:r>
          </w:p>
        </w:tc>
        <w:tc>
          <w:tcPr>
            <w:tcW w:w="768" w:type="dxa"/>
            <w:tcBorders>
              <w:top w:val="nil"/>
              <w:left w:val="nil"/>
              <w:bottom w:val="nil"/>
              <w:right w:val="nil"/>
            </w:tcBorders>
            <w:shd w:val="clear" w:color="auto" w:fill="auto"/>
            <w:noWrap/>
            <w:vAlign w:val="bottom"/>
            <w:hideMark/>
          </w:tcPr>
          <w:p w14:paraId="5926957D"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841BFEA" w14:textId="77777777" w:rsidR="00EF3DD9" w:rsidRDefault="00EF3DD9"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D6C563D" w14:textId="77777777" w:rsidR="00EF3DD9" w:rsidRDefault="00EF3DD9" w:rsidP="005A3B4D">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50354105"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0C3502" w14:textId="77777777" w:rsidR="00EF3DD9" w:rsidRDefault="00EF3DD9"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D5A5F8C" w14:textId="77777777" w:rsidR="00EF3DD9" w:rsidRDefault="00EF3DD9" w:rsidP="005A3B4D">
            <w:pPr>
              <w:jc w:val="right"/>
              <w:rPr>
                <w:color w:val="000000"/>
                <w:sz w:val="20"/>
                <w:szCs w:val="20"/>
              </w:rPr>
            </w:pPr>
            <w:r>
              <w:rPr>
                <w:color w:val="000000"/>
                <w:sz w:val="20"/>
                <w:szCs w:val="20"/>
              </w:rPr>
              <w:t>0.619</w:t>
            </w:r>
          </w:p>
        </w:tc>
        <w:tc>
          <w:tcPr>
            <w:tcW w:w="768" w:type="dxa"/>
            <w:tcBorders>
              <w:top w:val="nil"/>
              <w:left w:val="nil"/>
              <w:bottom w:val="nil"/>
              <w:right w:val="nil"/>
            </w:tcBorders>
            <w:shd w:val="clear" w:color="auto" w:fill="auto"/>
            <w:noWrap/>
            <w:vAlign w:val="bottom"/>
            <w:hideMark/>
          </w:tcPr>
          <w:p w14:paraId="4F10652F" w14:textId="77777777" w:rsidR="00EF3DD9" w:rsidRDefault="00EF3DD9" w:rsidP="005A3B4D">
            <w:pPr>
              <w:jc w:val="right"/>
              <w:rPr>
                <w:color w:val="000000"/>
                <w:sz w:val="20"/>
                <w:szCs w:val="20"/>
              </w:rPr>
            </w:pPr>
            <w:r>
              <w:rPr>
                <w:color w:val="000000"/>
                <w:sz w:val="20"/>
                <w:szCs w:val="20"/>
              </w:rPr>
              <w:t>0.001</w:t>
            </w:r>
          </w:p>
        </w:tc>
      </w:tr>
      <w:tr w:rsidR="00EF3DD9" w14:paraId="066F9071" w14:textId="77777777" w:rsidTr="005A3B4D">
        <w:trPr>
          <w:trHeight w:val="320"/>
        </w:trPr>
        <w:tc>
          <w:tcPr>
            <w:tcW w:w="1176" w:type="dxa"/>
            <w:tcBorders>
              <w:top w:val="nil"/>
              <w:left w:val="nil"/>
              <w:bottom w:val="nil"/>
              <w:right w:val="nil"/>
            </w:tcBorders>
            <w:shd w:val="clear" w:color="auto" w:fill="auto"/>
            <w:noWrap/>
            <w:vAlign w:val="bottom"/>
            <w:hideMark/>
          </w:tcPr>
          <w:p w14:paraId="717803BC"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342E99" w14:textId="77777777" w:rsidR="00EF3DD9" w:rsidRDefault="00EF3DD9"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0EC5B42" w14:textId="77777777" w:rsidR="00EF3DD9" w:rsidRDefault="00EF3DD9"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0675A4E2" w14:textId="77777777" w:rsidR="00EF3DD9" w:rsidRDefault="00EF3DD9" w:rsidP="005A3B4D">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6A432487"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CDD3DBF" w14:textId="77777777" w:rsidR="00EF3DD9" w:rsidRDefault="00EF3DD9"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3E9695CA" w14:textId="77777777" w:rsidR="00EF3DD9" w:rsidRDefault="00EF3DD9" w:rsidP="005A3B4D">
            <w:pPr>
              <w:jc w:val="right"/>
              <w:rPr>
                <w:color w:val="000000"/>
                <w:sz w:val="20"/>
                <w:szCs w:val="20"/>
              </w:rPr>
            </w:pPr>
            <w:r>
              <w:rPr>
                <w:color w:val="000000"/>
                <w:sz w:val="20"/>
                <w:szCs w:val="20"/>
              </w:rPr>
              <w:t>0.588</w:t>
            </w:r>
          </w:p>
        </w:tc>
        <w:tc>
          <w:tcPr>
            <w:tcW w:w="768" w:type="dxa"/>
            <w:tcBorders>
              <w:top w:val="nil"/>
              <w:left w:val="nil"/>
              <w:bottom w:val="nil"/>
              <w:right w:val="nil"/>
            </w:tcBorders>
            <w:shd w:val="clear" w:color="auto" w:fill="auto"/>
            <w:noWrap/>
            <w:vAlign w:val="bottom"/>
            <w:hideMark/>
          </w:tcPr>
          <w:p w14:paraId="31FD3236"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7C1490" w14:textId="77777777" w:rsidR="00EF3DD9" w:rsidRDefault="00EF3DD9"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82DB514" w14:textId="77777777" w:rsidR="00EF3DD9" w:rsidRDefault="00EF3DD9" w:rsidP="005A3B4D">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5C886EC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0F5A3A"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D056645" w14:textId="77777777" w:rsidR="00EF3DD9" w:rsidRDefault="00EF3DD9" w:rsidP="005A3B4D">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33314101"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979856"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BBCDF7" w14:textId="77777777" w:rsidR="00EF3DD9" w:rsidRDefault="00EF3DD9" w:rsidP="005A3B4D">
            <w:pPr>
              <w:jc w:val="right"/>
              <w:rPr>
                <w:color w:val="000000"/>
                <w:sz w:val="20"/>
                <w:szCs w:val="20"/>
              </w:rPr>
            </w:pPr>
            <w:r>
              <w:rPr>
                <w:color w:val="000000"/>
                <w:sz w:val="20"/>
                <w:szCs w:val="20"/>
              </w:rPr>
              <w:t>0.962</w:t>
            </w:r>
          </w:p>
        </w:tc>
        <w:tc>
          <w:tcPr>
            <w:tcW w:w="768" w:type="dxa"/>
            <w:tcBorders>
              <w:top w:val="nil"/>
              <w:left w:val="nil"/>
              <w:bottom w:val="nil"/>
              <w:right w:val="nil"/>
            </w:tcBorders>
            <w:shd w:val="clear" w:color="auto" w:fill="auto"/>
            <w:noWrap/>
            <w:vAlign w:val="bottom"/>
            <w:hideMark/>
          </w:tcPr>
          <w:p w14:paraId="64D97BCF" w14:textId="77777777" w:rsidR="00EF3DD9" w:rsidRDefault="00EF3DD9" w:rsidP="005A3B4D">
            <w:pPr>
              <w:jc w:val="right"/>
              <w:rPr>
                <w:color w:val="000000"/>
                <w:sz w:val="20"/>
                <w:szCs w:val="20"/>
              </w:rPr>
            </w:pPr>
            <w:r>
              <w:rPr>
                <w:color w:val="000000"/>
                <w:sz w:val="20"/>
                <w:szCs w:val="20"/>
              </w:rPr>
              <w:t>0.000</w:t>
            </w:r>
          </w:p>
        </w:tc>
      </w:tr>
      <w:tr w:rsidR="00EF3DD9" w14:paraId="7C935263" w14:textId="77777777" w:rsidTr="005A3B4D">
        <w:trPr>
          <w:trHeight w:val="320"/>
        </w:trPr>
        <w:tc>
          <w:tcPr>
            <w:tcW w:w="1176" w:type="dxa"/>
            <w:tcBorders>
              <w:top w:val="nil"/>
              <w:left w:val="nil"/>
              <w:bottom w:val="nil"/>
              <w:right w:val="nil"/>
            </w:tcBorders>
            <w:shd w:val="clear" w:color="auto" w:fill="auto"/>
            <w:noWrap/>
            <w:vAlign w:val="bottom"/>
            <w:hideMark/>
          </w:tcPr>
          <w:p w14:paraId="0104E32C"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38BB13A" w14:textId="77777777" w:rsidR="00EF3DD9" w:rsidRDefault="00EF3DD9"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11AD84A" w14:textId="77777777" w:rsidR="00EF3DD9" w:rsidRDefault="00EF3DD9" w:rsidP="005A3B4D">
            <w:pPr>
              <w:jc w:val="right"/>
              <w:rPr>
                <w:b/>
                <w:bCs/>
                <w:color w:val="000000"/>
                <w:sz w:val="20"/>
                <w:szCs w:val="20"/>
              </w:rPr>
            </w:pPr>
            <w:r>
              <w:rPr>
                <w:b/>
                <w:bCs/>
                <w:color w:val="000000"/>
                <w:sz w:val="20"/>
                <w:szCs w:val="20"/>
              </w:rPr>
              <w:t>0.058</w:t>
            </w:r>
          </w:p>
        </w:tc>
        <w:tc>
          <w:tcPr>
            <w:tcW w:w="768" w:type="dxa"/>
            <w:tcBorders>
              <w:top w:val="nil"/>
              <w:left w:val="nil"/>
              <w:bottom w:val="nil"/>
              <w:right w:val="nil"/>
            </w:tcBorders>
            <w:shd w:val="clear" w:color="auto" w:fill="auto"/>
            <w:noWrap/>
            <w:vAlign w:val="bottom"/>
            <w:hideMark/>
          </w:tcPr>
          <w:p w14:paraId="4DE8422C" w14:textId="77777777" w:rsidR="00EF3DD9" w:rsidRDefault="00EF3DD9" w:rsidP="005A3B4D">
            <w:pPr>
              <w:jc w:val="right"/>
              <w:rPr>
                <w:b/>
                <w:bCs/>
                <w:color w:val="000000"/>
                <w:sz w:val="20"/>
                <w:szCs w:val="20"/>
              </w:rPr>
            </w:pPr>
            <w:r>
              <w:rPr>
                <w:b/>
                <w:bCs/>
                <w:color w:val="000000"/>
                <w:sz w:val="20"/>
                <w:szCs w:val="20"/>
              </w:rPr>
              <w:t>0.020</w:t>
            </w:r>
          </w:p>
        </w:tc>
        <w:tc>
          <w:tcPr>
            <w:tcW w:w="768" w:type="dxa"/>
            <w:tcBorders>
              <w:top w:val="nil"/>
              <w:left w:val="nil"/>
              <w:bottom w:val="nil"/>
              <w:right w:val="nil"/>
            </w:tcBorders>
            <w:shd w:val="clear" w:color="auto" w:fill="auto"/>
            <w:noWrap/>
            <w:vAlign w:val="bottom"/>
            <w:hideMark/>
          </w:tcPr>
          <w:p w14:paraId="623F656A" w14:textId="77777777" w:rsidR="00EF3DD9" w:rsidRDefault="00EF3DD9" w:rsidP="005A3B4D">
            <w:pPr>
              <w:jc w:val="right"/>
              <w:rPr>
                <w:b/>
                <w:bCs/>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35228A58" w14:textId="77777777" w:rsidR="00EF3DD9" w:rsidRDefault="00EF3DD9"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9222EF5" w14:textId="77777777" w:rsidR="00EF3DD9" w:rsidRDefault="00EF3DD9" w:rsidP="005A3B4D">
            <w:pPr>
              <w:jc w:val="right"/>
              <w:rPr>
                <w:color w:val="000000"/>
                <w:sz w:val="20"/>
                <w:szCs w:val="20"/>
              </w:rPr>
            </w:pPr>
            <w:r>
              <w:rPr>
                <w:color w:val="000000"/>
                <w:sz w:val="20"/>
                <w:szCs w:val="20"/>
              </w:rPr>
              <w:t>0.798</w:t>
            </w:r>
          </w:p>
        </w:tc>
        <w:tc>
          <w:tcPr>
            <w:tcW w:w="768" w:type="dxa"/>
            <w:tcBorders>
              <w:top w:val="nil"/>
              <w:left w:val="nil"/>
              <w:bottom w:val="nil"/>
              <w:right w:val="nil"/>
            </w:tcBorders>
            <w:shd w:val="clear" w:color="auto" w:fill="auto"/>
            <w:noWrap/>
            <w:vAlign w:val="bottom"/>
            <w:hideMark/>
          </w:tcPr>
          <w:p w14:paraId="7F70307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FF24D0"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1033F73D" w14:textId="77777777" w:rsidR="00EF3DD9" w:rsidRDefault="00EF3DD9" w:rsidP="005A3B4D">
            <w:pPr>
              <w:jc w:val="right"/>
              <w:rPr>
                <w:color w:val="000000"/>
                <w:sz w:val="20"/>
                <w:szCs w:val="20"/>
              </w:rPr>
            </w:pPr>
            <w:r>
              <w:rPr>
                <w:color w:val="000000"/>
                <w:sz w:val="20"/>
                <w:szCs w:val="20"/>
              </w:rPr>
              <w:t>0.784</w:t>
            </w:r>
          </w:p>
        </w:tc>
        <w:tc>
          <w:tcPr>
            <w:tcW w:w="768" w:type="dxa"/>
            <w:tcBorders>
              <w:top w:val="nil"/>
              <w:left w:val="nil"/>
              <w:bottom w:val="nil"/>
              <w:right w:val="nil"/>
            </w:tcBorders>
            <w:shd w:val="clear" w:color="auto" w:fill="auto"/>
            <w:noWrap/>
            <w:vAlign w:val="bottom"/>
            <w:hideMark/>
          </w:tcPr>
          <w:p w14:paraId="34A0911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E9EB9B" w14:textId="77777777" w:rsidR="00EF3DD9" w:rsidRDefault="00EF3DD9"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3F005627" w14:textId="77777777" w:rsidR="00EF3DD9" w:rsidRDefault="00EF3DD9" w:rsidP="005A3B4D">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0AF5DC87"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519F007" w14:textId="77777777" w:rsidR="00EF3DD9" w:rsidRDefault="00EF3DD9"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1F19ECE0" w14:textId="77777777" w:rsidR="00EF3DD9" w:rsidRDefault="00EF3DD9" w:rsidP="005A3B4D">
            <w:pPr>
              <w:jc w:val="right"/>
              <w:rPr>
                <w:color w:val="000000"/>
                <w:sz w:val="20"/>
                <w:szCs w:val="20"/>
              </w:rPr>
            </w:pPr>
            <w:r>
              <w:rPr>
                <w:color w:val="000000"/>
                <w:sz w:val="20"/>
                <w:szCs w:val="20"/>
              </w:rPr>
              <w:t>0.619</w:t>
            </w:r>
          </w:p>
        </w:tc>
        <w:tc>
          <w:tcPr>
            <w:tcW w:w="768" w:type="dxa"/>
            <w:tcBorders>
              <w:top w:val="nil"/>
              <w:left w:val="nil"/>
              <w:bottom w:val="nil"/>
              <w:right w:val="nil"/>
            </w:tcBorders>
            <w:shd w:val="clear" w:color="auto" w:fill="auto"/>
            <w:noWrap/>
            <w:vAlign w:val="bottom"/>
            <w:hideMark/>
          </w:tcPr>
          <w:p w14:paraId="40A106EC" w14:textId="77777777" w:rsidR="00EF3DD9" w:rsidRDefault="00EF3DD9" w:rsidP="005A3B4D">
            <w:pPr>
              <w:jc w:val="right"/>
              <w:rPr>
                <w:color w:val="000000"/>
                <w:sz w:val="20"/>
                <w:szCs w:val="20"/>
              </w:rPr>
            </w:pPr>
            <w:r>
              <w:rPr>
                <w:color w:val="000000"/>
                <w:sz w:val="20"/>
                <w:szCs w:val="20"/>
              </w:rPr>
              <w:t>0.001</w:t>
            </w:r>
          </w:p>
        </w:tc>
      </w:tr>
      <w:tr w:rsidR="00EF3DD9" w14:paraId="5900995B"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3ACCAB2F" w14:textId="77777777" w:rsidR="00EF3DD9" w:rsidRDefault="00EF3DD9"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8CFF06E" w14:textId="77777777" w:rsidR="00EF3DD9" w:rsidRDefault="00EF3DD9"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C479B4E" w14:textId="77777777" w:rsidR="00EF3DD9" w:rsidRDefault="00EF3DD9" w:rsidP="005A3B4D">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221DD608" w14:textId="77777777" w:rsidR="00EF3DD9" w:rsidRDefault="00EF3DD9" w:rsidP="005A3B4D">
            <w:pPr>
              <w:jc w:val="right"/>
              <w:rPr>
                <w:color w:val="000000"/>
                <w:sz w:val="20"/>
                <w:szCs w:val="20"/>
              </w:rPr>
            </w:pPr>
            <w:r>
              <w:rPr>
                <w:color w:val="000000"/>
                <w:sz w:val="20"/>
                <w:szCs w:val="20"/>
              </w:rPr>
              <w:t>0.183</w:t>
            </w:r>
          </w:p>
        </w:tc>
        <w:tc>
          <w:tcPr>
            <w:tcW w:w="768" w:type="dxa"/>
            <w:tcBorders>
              <w:top w:val="nil"/>
              <w:left w:val="nil"/>
              <w:bottom w:val="single" w:sz="4" w:space="0" w:color="auto"/>
              <w:right w:val="nil"/>
            </w:tcBorders>
            <w:shd w:val="clear" w:color="auto" w:fill="auto"/>
            <w:noWrap/>
            <w:vAlign w:val="bottom"/>
            <w:hideMark/>
          </w:tcPr>
          <w:p w14:paraId="6DA8AA73"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A9FEACB" w14:textId="77777777" w:rsidR="00EF3DD9" w:rsidRDefault="00EF3DD9" w:rsidP="005A3B4D">
            <w:pPr>
              <w:jc w:val="right"/>
              <w:rPr>
                <w:b/>
                <w:bCs/>
                <w:color w:val="000000"/>
                <w:sz w:val="20"/>
                <w:szCs w:val="20"/>
              </w:rPr>
            </w:pPr>
            <w:r>
              <w:rPr>
                <w:b/>
                <w:bCs/>
                <w:color w:val="000000"/>
                <w:sz w:val="20"/>
                <w:szCs w:val="20"/>
              </w:rPr>
              <w:t>0.102</w:t>
            </w:r>
          </w:p>
        </w:tc>
        <w:tc>
          <w:tcPr>
            <w:tcW w:w="768" w:type="dxa"/>
            <w:tcBorders>
              <w:top w:val="nil"/>
              <w:left w:val="nil"/>
              <w:bottom w:val="single" w:sz="4" w:space="0" w:color="auto"/>
              <w:right w:val="nil"/>
            </w:tcBorders>
            <w:shd w:val="clear" w:color="auto" w:fill="auto"/>
            <w:noWrap/>
            <w:vAlign w:val="bottom"/>
            <w:hideMark/>
          </w:tcPr>
          <w:p w14:paraId="63FF7909" w14:textId="77777777" w:rsidR="00EF3DD9" w:rsidRDefault="00EF3DD9" w:rsidP="005A3B4D">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AD341E2" w14:textId="77777777" w:rsidR="00EF3DD9" w:rsidRDefault="00EF3DD9" w:rsidP="005A3B4D">
            <w:pPr>
              <w:jc w:val="right"/>
              <w:rPr>
                <w:b/>
                <w:bCs/>
                <w:color w:val="000000"/>
                <w:sz w:val="20"/>
                <w:szCs w:val="20"/>
              </w:rPr>
            </w:pPr>
            <w:r>
              <w:rPr>
                <w:b/>
                <w:bCs/>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75935F5A" w14:textId="77777777" w:rsidR="00EF3DD9" w:rsidRDefault="00EF3DD9" w:rsidP="005A3B4D">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31BE013F" w14:textId="77777777" w:rsidR="00EF3DD9" w:rsidRDefault="00EF3DD9" w:rsidP="005A3B4D">
            <w:pPr>
              <w:jc w:val="right"/>
              <w:rPr>
                <w:color w:val="000000"/>
                <w:sz w:val="20"/>
                <w:szCs w:val="20"/>
              </w:rPr>
            </w:pPr>
            <w:r>
              <w:rPr>
                <w:color w:val="000000"/>
                <w:sz w:val="20"/>
                <w:szCs w:val="20"/>
              </w:rPr>
              <w:t>0.176</w:t>
            </w:r>
          </w:p>
        </w:tc>
        <w:tc>
          <w:tcPr>
            <w:tcW w:w="768" w:type="dxa"/>
            <w:tcBorders>
              <w:top w:val="nil"/>
              <w:left w:val="nil"/>
              <w:bottom w:val="single" w:sz="4" w:space="0" w:color="auto"/>
              <w:right w:val="nil"/>
            </w:tcBorders>
            <w:shd w:val="clear" w:color="auto" w:fill="auto"/>
            <w:noWrap/>
            <w:vAlign w:val="bottom"/>
            <w:hideMark/>
          </w:tcPr>
          <w:p w14:paraId="6142A9F9"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557F985D" w14:textId="77777777" w:rsidR="00EF3DD9" w:rsidRDefault="00EF3DD9" w:rsidP="005A3B4D">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1B04F8A3" w14:textId="77777777" w:rsidR="00EF3DD9" w:rsidRDefault="00EF3DD9" w:rsidP="005A3B4D">
            <w:pPr>
              <w:jc w:val="right"/>
              <w:rPr>
                <w:color w:val="000000"/>
                <w:sz w:val="20"/>
                <w:szCs w:val="20"/>
              </w:rPr>
            </w:pPr>
            <w:r>
              <w:rPr>
                <w:color w:val="000000"/>
                <w:sz w:val="20"/>
                <w:szCs w:val="20"/>
              </w:rPr>
              <w:t>0.742</w:t>
            </w:r>
          </w:p>
        </w:tc>
        <w:tc>
          <w:tcPr>
            <w:tcW w:w="768" w:type="dxa"/>
            <w:tcBorders>
              <w:top w:val="nil"/>
              <w:left w:val="nil"/>
              <w:bottom w:val="single" w:sz="4" w:space="0" w:color="auto"/>
              <w:right w:val="nil"/>
            </w:tcBorders>
            <w:shd w:val="clear" w:color="auto" w:fill="auto"/>
            <w:noWrap/>
            <w:vAlign w:val="bottom"/>
            <w:hideMark/>
          </w:tcPr>
          <w:p w14:paraId="28C33851"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454509E" w14:textId="77777777" w:rsidR="00EF3DD9" w:rsidRDefault="00EF3DD9" w:rsidP="005A3B4D">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11A5AB65" w14:textId="77777777" w:rsidR="00EF3DD9" w:rsidRDefault="00EF3DD9" w:rsidP="005A3B4D">
            <w:pPr>
              <w:jc w:val="right"/>
              <w:rPr>
                <w:color w:val="000000"/>
                <w:sz w:val="20"/>
                <w:szCs w:val="20"/>
              </w:rPr>
            </w:pPr>
            <w:r>
              <w:rPr>
                <w:color w:val="000000"/>
                <w:sz w:val="20"/>
                <w:szCs w:val="20"/>
              </w:rPr>
              <w:t>0.901</w:t>
            </w:r>
          </w:p>
        </w:tc>
        <w:tc>
          <w:tcPr>
            <w:tcW w:w="768" w:type="dxa"/>
            <w:tcBorders>
              <w:top w:val="nil"/>
              <w:left w:val="nil"/>
              <w:bottom w:val="single" w:sz="4" w:space="0" w:color="auto"/>
              <w:right w:val="nil"/>
            </w:tcBorders>
            <w:shd w:val="clear" w:color="auto" w:fill="auto"/>
            <w:noWrap/>
            <w:vAlign w:val="bottom"/>
            <w:hideMark/>
          </w:tcPr>
          <w:p w14:paraId="1BAD0E0C" w14:textId="77777777" w:rsidR="00EF3DD9" w:rsidRDefault="00EF3DD9" w:rsidP="005A3B4D">
            <w:pPr>
              <w:jc w:val="right"/>
              <w:rPr>
                <w:color w:val="000000"/>
                <w:sz w:val="20"/>
                <w:szCs w:val="20"/>
              </w:rPr>
            </w:pPr>
            <w:r>
              <w:rPr>
                <w:color w:val="000000"/>
                <w:sz w:val="20"/>
                <w:szCs w:val="20"/>
              </w:rPr>
              <w:t>0.000</w:t>
            </w:r>
          </w:p>
        </w:tc>
      </w:tr>
      <w:tr w:rsidR="00EF3DD9" w14:paraId="6DF34CE3" w14:textId="77777777" w:rsidTr="005A3B4D">
        <w:trPr>
          <w:trHeight w:val="320"/>
        </w:trPr>
        <w:tc>
          <w:tcPr>
            <w:tcW w:w="1176" w:type="dxa"/>
            <w:tcBorders>
              <w:top w:val="nil"/>
              <w:left w:val="nil"/>
              <w:bottom w:val="nil"/>
              <w:right w:val="nil"/>
            </w:tcBorders>
            <w:shd w:val="clear" w:color="auto" w:fill="auto"/>
            <w:noWrap/>
            <w:vAlign w:val="bottom"/>
            <w:hideMark/>
          </w:tcPr>
          <w:p w14:paraId="07081E57" w14:textId="77777777" w:rsidR="00EF3DD9" w:rsidRDefault="00EF3DD9"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D80A0C2" w14:textId="77777777" w:rsidR="00EF3DD9" w:rsidRDefault="00EF3DD9"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AA41250" w14:textId="77777777" w:rsidR="00EF3DD9" w:rsidRDefault="00EF3DD9" w:rsidP="005A3B4D">
            <w:pPr>
              <w:jc w:val="right"/>
              <w:rPr>
                <w:b/>
                <w:bCs/>
                <w:color w:val="000000"/>
                <w:sz w:val="20"/>
                <w:szCs w:val="20"/>
              </w:rPr>
            </w:pPr>
            <w:r>
              <w:rPr>
                <w:b/>
                <w:bCs/>
                <w:color w:val="000000"/>
                <w:sz w:val="20"/>
                <w:szCs w:val="20"/>
              </w:rPr>
              <w:t>-0.087</w:t>
            </w:r>
          </w:p>
        </w:tc>
        <w:tc>
          <w:tcPr>
            <w:tcW w:w="768" w:type="dxa"/>
            <w:tcBorders>
              <w:top w:val="nil"/>
              <w:left w:val="nil"/>
              <w:bottom w:val="nil"/>
              <w:right w:val="nil"/>
            </w:tcBorders>
            <w:shd w:val="clear" w:color="auto" w:fill="auto"/>
            <w:noWrap/>
            <w:vAlign w:val="bottom"/>
            <w:hideMark/>
          </w:tcPr>
          <w:p w14:paraId="735F46C0" w14:textId="77777777" w:rsidR="00EF3DD9" w:rsidRDefault="00EF3DD9"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292A1CBA" w14:textId="77777777" w:rsidR="00EF3DD9" w:rsidRDefault="00EF3DD9"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F9CD17A" w14:textId="77777777" w:rsidR="00EF3DD9" w:rsidRDefault="00EF3DD9"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E1D2137" w14:textId="77777777" w:rsidR="00EF3DD9" w:rsidRDefault="00EF3DD9" w:rsidP="005A3B4D">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4E902A66"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BB768B8" w14:textId="77777777" w:rsidR="00EF3DD9" w:rsidRDefault="00EF3DD9"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6391045" w14:textId="77777777" w:rsidR="00EF3DD9" w:rsidRDefault="00EF3DD9" w:rsidP="005A3B4D">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2631EE1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881669" w14:textId="77777777" w:rsidR="00EF3DD9" w:rsidRDefault="00EF3DD9"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3D0B879" w14:textId="77777777" w:rsidR="00EF3DD9" w:rsidRDefault="00EF3DD9" w:rsidP="005A3B4D">
            <w:pPr>
              <w:jc w:val="right"/>
              <w:rPr>
                <w:color w:val="000000"/>
                <w:sz w:val="20"/>
                <w:szCs w:val="20"/>
              </w:rPr>
            </w:pPr>
            <w:r>
              <w:rPr>
                <w:color w:val="000000"/>
                <w:sz w:val="20"/>
                <w:szCs w:val="20"/>
              </w:rPr>
              <w:t>0.702</w:t>
            </w:r>
          </w:p>
        </w:tc>
        <w:tc>
          <w:tcPr>
            <w:tcW w:w="768" w:type="dxa"/>
            <w:tcBorders>
              <w:top w:val="nil"/>
              <w:left w:val="nil"/>
              <w:bottom w:val="nil"/>
              <w:right w:val="nil"/>
            </w:tcBorders>
            <w:shd w:val="clear" w:color="auto" w:fill="auto"/>
            <w:noWrap/>
            <w:vAlign w:val="bottom"/>
            <w:hideMark/>
          </w:tcPr>
          <w:p w14:paraId="0941DD3E"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D13A7D"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BBD9244" w14:textId="77777777" w:rsidR="00EF3DD9" w:rsidRDefault="00EF3DD9" w:rsidP="005A3B4D">
            <w:pPr>
              <w:jc w:val="right"/>
              <w:rPr>
                <w:color w:val="000000"/>
                <w:sz w:val="20"/>
                <w:szCs w:val="20"/>
              </w:rPr>
            </w:pPr>
            <w:r>
              <w:rPr>
                <w:color w:val="000000"/>
                <w:sz w:val="20"/>
                <w:szCs w:val="20"/>
              </w:rPr>
              <w:t>0.619</w:t>
            </w:r>
          </w:p>
        </w:tc>
        <w:tc>
          <w:tcPr>
            <w:tcW w:w="768" w:type="dxa"/>
            <w:tcBorders>
              <w:top w:val="nil"/>
              <w:left w:val="nil"/>
              <w:bottom w:val="nil"/>
              <w:right w:val="nil"/>
            </w:tcBorders>
            <w:shd w:val="clear" w:color="auto" w:fill="auto"/>
            <w:noWrap/>
            <w:vAlign w:val="bottom"/>
            <w:hideMark/>
          </w:tcPr>
          <w:p w14:paraId="32A13822" w14:textId="77777777" w:rsidR="00EF3DD9" w:rsidRDefault="00EF3DD9" w:rsidP="005A3B4D">
            <w:pPr>
              <w:jc w:val="right"/>
              <w:rPr>
                <w:color w:val="000000"/>
                <w:sz w:val="20"/>
                <w:szCs w:val="20"/>
              </w:rPr>
            </w:pPr>
            <w:r>
              <w:rPr>
                <w:color w:val="000000"/>
                <w:sz w:val="20"/>
                <w:szCs w:val="20"/>
              </w:rPr>
              <w:t>0.000</w:t>
            </w:r>
          </w:p>
        </w:tc>
      </w:tr>
      <w:tr w:rsidR="00EF3DD9" w14:paraId="59361460" w14:textId="77777777" w:rsidTr="005A3B4D">
        <w:trPr>
          <w:trHeight w:val="320"/>
        </w:trPr>
        <w:tc>
          <w:tcPr>
            <w:tcW w:w="1176" w:type="dxa"/>
            <w:tcBorders>
              <w:top w:val="nil"/>
              <w:left w:val="nil"/>
              <w:bottom w:val="nil"/>
              <w:right w:val="nil"/>
            </w:tcBorders>
            <w:shd w:val="clear" w:color="auto" w:fill="auto"/>
            <w:noWrap/>
            <w:vAlign w:val="bottom"/>
            <w:hideMark/>
          </w:tcPr>
          <w:p w14:paraId="29D986D2"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15DE90" w14:textId="77777777" w:rsidR="00EF3DD9" w:rsidRDefault="00EF3DD9"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707FD98" w14:textId="77777777" w:rsidR="00EF3DD9" w:rsidRDefault="00EF3DD9"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0898B4C5" w14:textId="77777777" w:rsidR="00EF3DD9" w:rsidRDefault="00EF3DD9"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655BA97A"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881AB34" w14:textId="77777777" w:rsidR="00EF3DD9" w:rsidRDefault="00EF3DD9"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191A35C" w14:textId="77777777" w:rsidR="00EF3DD9" w:rsidRDefault="00EF3DD9" w:rsidP="005A3B4D">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7B34E679"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7A9915"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54F8E79" w14:textId="77777777" w:rsidR="00EF3DD9" w:rsidRDefault="00EF3DD9" w:rsidP="005A3B4D">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08199B9E"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739FFD" w14:textId="77777777" w:rsidR="00EF3DD9" w:rsidRDefault="00EF3DD9"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3CD9177" w14:textId="77777777" w:rsidR="00EF3DD9" w:rsidRDefault="00EF3DD9" w:rsidP="005A3B4D">
            <w:pPr>
              <w:jc w:val="right"/>
              <w:rPr>
                <w:color w:val="000000"/>
                <w:sz w:val="20"/>
                <w:szCs w:val="20"/>
              </w:rPr>
            </w:pPr>
            <w:r>
              <w:rPr>
                <w:color w:val="000000"/>
                <w:sz w:val="20"/>
                <w:szCs w:val="20"/>
              </w:rPr>
              <w:t>0.192</w:t>
            </w:r>
          </w:p>
        </w:tc>
        <w:tc>
          <w:tcPr>
            <w:tcW w:w="768" w:type="dxa"/>
            <w:tcBorders>
              <w:top w:val="nil"/>
              <w:left w:val="nil"/>
              <w:bottom w:val="nil"/>
              <w:right w:val="nil"/>
            </w:tcBorders>
            <w:shd w:val="clear" w:color="auto" w:fill="auto"/>
            <w:noWrap/>
            <w:vAlign w:val="bottom"/>
            <w:hideMark/>
          </w:tcPr>
          <w:p w14:paraId="405252EE"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1443FFD" w14:textId="77777777" w:rsidR="00EF3DD9" w:rsidRDefault="00EF3DD9"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257AA59" w14:textId="77777777" w:rsidR="00EF3DD9" w:rsidRDefault="00EF3DD9" w:rsidP="005A3B4D">
            <w:pPr>
              <w:jc w:val="right"/>
              <w:rPr>
                <w:color w:val="000000"/>
                <w:sz w:val="20"/>
                <w:szCs w:val="20"/>
              </w:rPr>
            </w:pPr>
            <w:r>
              <w:rPr>
                <w:color w:val="000000"/>
                <w:sz w:val="20"/>
                <w:szCs w:val="20"/>
              </w:rPr>
              <w:t>0.619</w:t>
            </w:r>
          </w:p>
        </w:tc>
        <w:tc>
          <w:tcPr>
            <w:tcW w:w="768" w:type="dxa"/>
            <w:tcBorders>
              <w:top w:val="nil"/>
              <w:left w:val="nil"/>
              <w:bottom w:val="nil"/>
              <w:right w:val="nil"/>
            </w:tcBorders>
            <w:shd w:val="clear" w:color="auto" w:fill="auto"/>
            <w:noWrap/>
            <w:vAlign w:val="bottom"/>
            <w:hideMark/>
          </w:tcPr>
          <w:p w14:paraId="182EDF38" w14:textId="77777777" w:rsidR="00EF3DD9" w:rsidRDefault="00EF3DD9" w:rsidP="005A3B4D">
            <w:pPr>
              <w:jc w:val="right"/>
              <w:rPr>
                <w:color w:val="000000"/>
                <w:sz w:val="20"/>
                <w:szCs w:val="20"/>
              </w:rPr>
            </w:pPr>
            <w:r>
              <w:rPr>
                <w:color w:val="000000"/>
                <w:sz w:val="20"/>
                <w:szCs w:val="20"/>
              </w:rPr>
              <w:t>0.000</w:t>
            </w:r>
          </w:p>
        </w:tc>
      </w:tr>
      <w:tr w:rsidR="00EF3DD9" w14:paraId="4F18B3A5" w14:textId="77777777" w:rsidTr="005A3B4D">
        <w:trPr>
          <w:trHeight w:val="320"/>
        </w:trPr>
        <w:tc>
          <w:tcPr>
            <w:tcW w:w="1176" w:type="dxa"/>
            <w:tcBorders>
              <w:top w:val="nil"/>
              <w:left w:val="nil"/>
              <w:bottom w:val="nil"/>
              <w:right w:val="nil"/>
            </w:tcBorders>
            <w:shd w:val="clear" w:color="auto" w:fill="auto"/>
            <w:noWrap/>
            <w:vAlign w:val="bottom"/>
            <w:hideMark/>
          </w:tcPr>
          <w:p w14:paraId="0AB88716"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4231328" w14:textId="77777777" w:rsidR="00EF3DD9" w:rsidRDefault="00EF3DD9"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0A2E044" w14:textId="77777777" w:rsidR="00EF3DD9" w:rsidRDefault="00EF3DD9"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73825868" w14:textId="77777777" w:rsidR="00EF3DD9" w:rsidRDefault="00EF3DD9"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6A868776"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607B978" w14:textId="77777777" w:rsidR="00EF3DD9" w:rsidRDefault="00EF3DD9"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163173F" w14:textId="77777777" w:rsidR="00EF3DD9" w:rsidRDefault="00EF3DD9" w:rsidP="005A3B4D">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417F9FE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256C54" w14:textId="77777777" w:rsidR="00EF3DD9" w:rsidRDefault="00EF3DD9"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2EB9BA71" w14:textId="77777777" w:rsidR="00EF3DD9" w:rsidRDefault="00EF3DD9" w:rsidP="005A3B4D">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2632586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76D2C4" w14:textId="77777777" w:rsidR="00EF3DD9" w:rsidRDefault="00EF3DD9"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D809780" w14:textId="77777777" w:rsidR="00EF3DD9" w:rsidRDefault="00EF3DD9" w:rsidP="005A3B4D">
            <w:pPr>
              <w:jc w:val="right"/>
              <w:rPr>
                <w:color w:val="000000"/>
                <w:sz w:val="20"/>
                <w:szCs w:val="20"/>
              </w:rPr>
            </w:pPr>
            <w:r>
              <w:rPr>
                <w:color w:val="000000"/>
                <w:sz w:val="20"/>
                <w:szCs w:val="20"/>
              </w:rPr>
              <w:t>0.622</w:t>
            </w:r>
          </w:p>
        </w:tc>
        <w:tc>
          <w:tcPr>
            <w:tcW w:w="768" w:type="dxa"/>
            <w:tcBorders>
              <w:top w:val="nil"/>
              <w:left w:val="nil"/>
              <w:bottom w:val="nil"/>
              <w:right w:val="nil"/>
            </w:tcBorders>
            <w:shd w:val="clear" w:color="auto" w:fill="auto"/>
            <w:noWrap/>
            <w:vAlign w:val="bottom"/>
            <w:hideMark/>
          </w:tcPr>
          <w:p w14:paraId="1940CB5D"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C67BA9" w14:textId="77777777" w:rsidR="00EF3DD9" w:rsidRDefault="00EF3DD9"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A82EA2C" w14:textId="77777777" w:rsidR="00EF3DD9" w:rsidRDefault="00EF3DD9" w:rsidP="005A3B4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5B5E636A" w14:textId="77777777" w:rsidR="00EF3DD9" w:rsidRDefault="00EF3DD9" w:rsidP="005A3B4D">
            <w:pPr>
              <w:jc w:val="right"/>
              <w:rPr>
                <w:color w:val="000000"/>
                <w:sz w:val="20"/>
                <w:szCs w:val="20"/>
              </w:rPr>
            </w:pPr>
            <w:r>
              <w:rPr>
                <w:color w:val="000000"/>
                <w:sz w:val="20"/>
                <w:szCs w:val="20"/>
              </w:rPr>
              <w:t>0.000</w:t>
            </w:r>
          </w:p>
        </w:tc>
      </w:tr>
      <w:tr w:rsidR="00EF3DD9" w14:paraId="1EA02DBC" w14:textId="77777777" w:rsidTr="005A3B4D">
        <w:trPr>
          <w:trHeight w:val="320"/>
        </w:trPr>
        <w:tc>
          <w:tcPr>
            <w:tcW w:w="1176" w:type="dxa"/>
            <w:tcBorders>
              <w:top w:val="nil"/>
              <w:left w:val="nil"/>
              <w:bottom w:val="nil"/>
              <w:right w:val="nil"/>
            </w:tcBorders>
            <w:shd w:val="clear" w:color="auto" w:fill="auto"/>
            <w:noWrap/>
            <w:vAlign w:val="bottom"/>
            <w:hideMark/>
          </w:tcPr>
          <w:p w14:paraId="01B0AE7E"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222BA50" w14:textId="77777777" w:rsidR="00EF3DD9" w:rsidRDefault="00EF3DD9"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9528527" w14:textId="77777777" w:rsidR="00EF3DD9" w:rsidRDefault="00EF3DD9" w:rsidP="005A3B4D">
            <w:pPr>
              <w:jc w:val="right"/>
              <w:rPr>
                <w:b/>
                <w:bCs/>
                <w:color w:val="000000"/>
                <w:sz w:val="20"/>
                <w:szCs w:val="20"/>
              </w:rPr>
            </w:pPr>
            <w:r>
              <w:rPr>
                <w:b/>
                <w:bCs/>
                <w:color w:val="000000"/>
                <w:sz w:val="20"/>
                <w:szCs w:val="20"/>
              </w:rPr>
              <w:t>0.054</w:t>
            </w:r>
          </w:p>
        </w:tc>
        <w:tc>
          <w:tcPr>
            <w:tcW w:w="768" w:type="dxa"/>
            <w:tcBorders>
              <w:top w:val="nil"/>
              <w:left w:val="nil"/>
              <w:bottom w:val="nil"/>
              <w:right w:val="nil"/>
            </w:tcBorders>
            <w:shd w:val="clear" w:color="auto" w:fill="auto"/>
            <w:noWrap/>
            <w:vAlign w:val="bottom"/>
            <w:hideMark/>
          </w:tcPr>
          <w:p w14:paraId="2DCAFDEA" w14:textId="77777777" w:rsidR="00EF3DD9" w:rsidRDefault="00EF3DD9" w:rsidP="005A3B4D">
            <w:pPr>
              <w:jc w:val="right"/>
              <w:rPr>
                <w:b/>
                <w:bCs/>
                <w:color w:val="000000"/>
                <w:sz w:val="20"/>
                <w:szCs w:val="20"/>
              </w:rPr>
            </w:pPr>
            <w:r>
              <w:rPr>
                <w:b/>
                <w:bCs/>
                <w:color w:val="000000"/>
                <w:sz w:val="20"/>
                <w:szCs w:val="20"/>
              </w:rPr>
              <w:t>0.038</w:t>
            </w:r>
          </w:p>
        </w:tc>
        <w:tc>
          <w:tcPr>
            <w:tcW w:w="768" w:type="dxa"/>
            <w:tcBorders>
              <w:top w:val="nil"/>
              <w:left w:val="nil"/>
              <w:bottom w:val="nil"/>
              <w:right w:val="nil"/>
            </w:tcBorders>
            <w:shd w:val="clear" w:color="auto" w:fill="auto"/>
            <w:noWrap/>
            <w:vAlign w:val="bottom"/>
            <w:hideMark/>
          </w:tcPr>
          <w:p w14:paraId="5F7BBE31" w14:textId="77777777" w:rsidR="00EF3DD9" w:rsidRDefault="00EF3DD9" w:rsidP="005A3B4D">
            <w:pPr>
              <w:jc w:val="right"/>
              <w:rPr>
                <w:b/>
                <w:bCs/>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293C42E1" w14:textId="77777777" w:rsidR="00EF3DD9" w:rsidRDefault="00EF3DD9"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07DE8CDB" w14:textId="77777777" w:rsidR="00EF3DD9" w:rsidRDefault="00EF3DD9" w:rsidP="005A3B4D">
            <w:pPr>
              <w:jc w:val="right"/>
              <w:rPr>
                <w:color w:val="000000"/>
                <w:sz w:val="20"/>
                <w:szCs w:val="20"/>
              </w:rPr>
            </w:pPr>
            <w:r>
              <w:rPr>
                <w:color w:val="000000"/>
                <w:sz w:val="20"/>
                <w:szCs w:val="20"/>
              </w:rPr>
              <w:t>0.443</w:t>
            </w:r>
          </w:p>
        </w:tc>
        <w:tc>
          <w:tcPr>
            <w:tcW w:w="768" w:type="dxa"/>
            <w:tcBorders>
              <w:top w:val="nil"/>
              <w:left w:val="nil"/>
              <w:bottom w:val="nil"/>
              <w:right w:val="nil"/>
            </w:tcBorders>
            <w:shd w:val="clear" w:color="auto" w:fill="auto"/>
            <w:noWrap/>
            <w:vAlign w:val="bottom"/>
            <w:hideMark/>
          </w:tcPr>
          <w:p w14:paraId="7FCE5C3C"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B57038" w14:textId="77777777" w:rsidR="00EF3DD9" w:rsidRDefault="00EF3DD9"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D9EE917" w14:textId="77777777" w:rsidR="00EF3DD9" w:rsidRDefault="00EF3DD9" w:rsidP="005A3B4D">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2460DB8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D32236" w14:textId="77777777" w:rsidR="00EF3DD9" w:rsidRDefault="00EF3DD9"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8D44CBA" w14:textId="77777777" w:rsidR="00EF3DD9" w:rsidRDefault="00EF3DD9" w:rsidP="005A3B4D">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339076F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3134E1" w14:textId="77777777" w:rsidR="00EF3DD9" w:rsidRDefault="00EF3DD9"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22C67056" w14:textId="77777777" w:rsidR="00EF3DD9" w:rsidRDefault="00EF3DD9" w:rsidP="005A3B4D">
            <w:pPr>
              <w:jc w:val="right"/>
              <w:rPr>
                <w:color w:val="000000"/>
                <w:sz w:val="20"/>
                <w:szCs w:val="20"/>
              </w:rPr>
            </w:pPr>
            <w:r>
              <w:rPr>
                <w:color w:val="000000"/>
                <w:sz w:val="20"/>
                <w:szCs w:val="20"/>
              </w:rPr>
              <w:t>0.493</w:t>
            </w:r>
          </w:p>
        </w:tc>
        <w:tc>
          <w:tcPr>
            <w:tcW w:w="768" w:type="dxa"/>
            <w:tcBorders>
              <w:top w:val="nil"/>
              <w:left w:val="nil"/>
              <w:bottom w:val="nil"/>
              <w:right w:val="nil"/>
            </w:tcBorders>
            <w:shd w:val="clear" w:color="auto" w:fill="auto"/>
            <w:noWrap/>
            <w:vAlign w:val="bottom"/>
            <w:hideMark/>
          </w:tcPr>
          <w:p w14:paraId="31D0497E" w14:textId="77777777" w:rsidR="00EF3DD9" w:rsidRDefault="00EF3DD9" w:rsidP="005A3B4D">
            <w:pPr>
              <w:jc w:val="right"/>
              <w:rPr>
                <w:color w:val="000000"/>
                <w:sz w:val="20"/>
                <w:szCs w:val="20"/>
              </w:rPr>
            </w:pPr>
            <w:r>
              <w:rPr>
                <w:color w:val="000000"/>
                <w:sz w:val="20"/>
                <w:szCs w:val="20"/>
              </w:rPr>
              <w:t>0.001</w:t>
            </w:r>
          </w:p>
        </w:tc>
      </w:tr>
      <w:tr w:rsidR="00EF3DD9" w14:paraId="0BC01729" w14:textId="77777777" w:rsidTr="005A3B4D">
        <w:trPr>
          <w:trHeight w:val="320"/>
        </w:trPr>
        <w:tc>
          <w:tcPr>
            <w:tcW w:w="1176" w:type="dxa"/>
            <w:tcBorders>
              <w:top w:val="nil"/>
              <w:left w:val="nil"/>
              <w:bottom w:val="nil"/>
              <w:right w:val="nil"/>
            </w:tcBorders>
            <w:shd w:val="clear" w:color="auto" w:fill="auto"/>
            <w:noWrap/>
            <w:vAlign w:val="bottom"/>
            <w:hideMark/>
          </w:tcPr>
          <w:p w14:paraId="0207394D"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A2DF4B2" w14:textId="77777777" w:rsidR="00EF3DD9" w:rsidRDefault="00EF3DD9"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0113393" w14:textId="77777777" w:rsidR="00EF3DD9" w:rsidRDefault="00EF3DD9" w:rsidP="005A3B4D">
            <w:pPr>
              <w:jc w:val="right"/>
              <w:rPr>
                <w:b/>
                <w:bCs/>
                <w:color w:val="000000"/>
                <w:sz w:val="20"/>
                <w:szCs w:val="20"/>
              </w:rPr>
            </w:pPr>
            <w:r>
              <w:rPr>
                <w:b/>
                <w:bCs/>
                <w:color w:val="000000"/>
                <w:sz w:val="20"/>
                <w:szCs w:val="20"/>
              </w:rPr>
              <w:t>0.068</w:t>
            </w:r>
          </w:p>
        </w:tc>
        <w:tc>
          <w:tcPr>
            <w:tcW w:w="768" w:type="dxa"/>
            <w:tcBorders>
              <w:top w:val="nil"/>
              <w:left w:val="nil"/>
              <w:bottom w:val="nil"/>
              <w:right w:val="nil"/>
            </w:tcBorders>
            <w:shd w:val="clear" w:color="auto" w:fill="auto"/>
            <w:noWrap/>
            <w:vAlign w:val="bottom"/>
            <w:hideMark/>
          </w:tcPr>
          <w:p w14:paraId="2EF44FE4" w14:textId="77777777" w:rsidR="00EF3DD9" w:rsidRDefault="00EF3DD9" w:rsidP="005A3B4D">
            <w:pPr>
              <w:jc w:val="right"/>
              <w:rPr>
                <w:b/>
                <w:bCs/>
                <w:color w:val="000000"/>
                <w:sz w:val="20"/>
                <w:szCs w:val="20"/>
              </w:rPr>
            </w:pPr>
            <w:r>
              <w:rPr>
                <w:b/>
                <w:bCs/>
                <w:color w:val="000000"/>
                <w:sz w:val="20"/>
                <w:szCs w:val="20"/>
              </w:rPr>
              <w:t>0.012</w:t>
            </w:r>
          </w:p>
        </w:tc>
        <w:tc>
          <w:tcPr>
            <w:tcW w:w="768" w:type="dxa"/>
            <w:tcBorders>
              <w:top w:val="nil"/>
              <w:left w:val="nil"/>
              <w:bottom w:val="nil"/>
              <w:right w:val="nil"/>
            </w:tcBorders>
            <w:shd w:val="clear" w:color="auto" w:fill="auto"/>
            <w:noWrap/>
            <w:vAlign w:val="bottom"/>
            <w:hideMark/>
          </w:tcPr>
          <w:p w14:paraId="6DA9AE3A" w14:textId="77777777" w:rsidR="00EF3DD9" w:rsidRDefault="00EF3DD9" w:rsidP="005A3B4D">
            <w:pPr>
              <w:jc w:val="right"/>
              <w:rPr>
                <w:b/>
                <w:bCs/>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218DCABA" w14:textId="77777777" w:rsidR="00EF3DD9" w:rsidRDefault="00EF3DD9"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7A70B86" w14:textId="77777777" w:rsidR="00EF3DD9" w:rsidRDefault="00EF3DD9" w:rsidP="005A3B4D">
            <w:pPr>
              <w:jc w:val="right"/>
              <w:rPr>
                <w:color w:val="000000"/>
                <w:sz w:val="20"/>
                <w:szCs w:val="20"/>
              </w:rPr>
            </w:pPr>
            <w:r>
              <w:rPr>
                <w:color w:val="000000"/>
                <w:sz w:val="20"/>
                <w:szCs w:val="20"/>
              </w:rPr>
              <w:t>0.764</w:t>
            </w:r>
          </w:p>
        </w:tc>
        <w:tc>
          <w:tcPr>
            <w:tcW w:w="768" w:type="dxa"/>
            <w:tcBorders>
              <w:top w:val="nil"/>
              <w:left w:val="nil"/>
              <w:bottom w:val="nil"/>
              <w:right w:val="nil"/>
            </w:tcBorders>
            <w:shd w:val="clear" w:color="auto" w:fill="auto"/>
            <w:noWrap/>
            <w:vAlign w:val="bottom"/>
            <w:hideMark/>
          </w:tcPr>
          <w:p w14:paraId="3E71F83C"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4CE67F" w14:textId="77777777" w:rsidR="00EF3DD9" w:rsidRDefault="00EF3DD9"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23361AA" w14:textId="77777777" w:rsidR="00EF3DD9" w:rsidRDefault="00EF3DD9" w:rsidP="005A3B4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68369431"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0E0090D" w14:textId="77777777" w:rsidR="00EF3DD9" w:rsidRDefault="00EF3DD9"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DC7E4C0" w14:textId="77777777" w:rsidR="00EF3DD9" w:rsidRDefault="00EF3DD9" w:rsidP="005A3B4D">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789FA051"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D64C52" w14:textId="77777777" w:rsidR="00EF3DD9" w:rsidRDefault="00EF3DD9"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1E3ABA3C" w14:textId="77777777" w:rsidR="00EF3DD9" w:rsidRDefault="00EF3DD9" w:rsidP="005A3B4D">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4E075E79" w14:textId="77777777" w:rsidR="00EF3DD9" w:rsidRDefault="00EF3DD9" w:rsidP="005A3B4D">
            <w:pPr>
              <w:jc w:val="right"/>
              <w:rPr>
                <w:color w:val="000000"/>
                <w:sz w:val="20"/>
                <w:szCs w:val="20"/>
              </w:rPr>
            </w:pPr>
            <w:r>
              <w:rPr>
                <w:color w:val="000000"/>
                <w:sz w:val="20"/>
                <w:szCs w:val="20"/>
              </w:rPr>
              <w:t>0.003</w:t>
            </w:r>
          </w:p>
        </w:tc>
      </w:tr>
      <w:tr w:rsidR="00EF3DD9" w14:paraId="30DCEE82" w14:textId="77777777" w:rsidTr="005A3B4D">
        <w:trPr>
          <w:trHeight w:val="320"/>
        </w:trPr>
        <w:tc>
          <w:tcPr>
            <w:tcW w:w="1176" w:type="dxa"/>
            <w:tcBorders>
              <w:top w:val="nil"/>
              <w:left w:val="nil"/>
              <w:bottom w:val="nil"/>
              <w:right w:val="nil"/>
            </w:tcBorders>
            <w:shd w:val="clear" w:color="auto" w:fill="auto"/>
            <w:noWrap/>
            <w:vAlign w:val="bottom"/>
            <w:hideMark/>
          </w:tcPr>
          <w:p w14:paraId="63453325"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C7F592" w14:textId="77777777" w:rsidR="00EF3DD9" w:rsidRDefault="00EF3DD9"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224C7CB" w14:textId="77777777" w:rsidR="00EF3DD9" w:rsidRDefault="00EF3DD9" w:rsidP="005A3B4D">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18118400" w14:textId="77777777" w:rsidR="00EF3DD9" w:rsidRDefault="00EF3DD9" w:rsidP="005A3B4D">
            <w:pPr>
              <w:jc w:val="right"/>
              <w:rPr>
                <w:b/>
                <w:bCs/>
                <w:color w:val="000000"/>
                <w:sz w:val="20"/>
                <w:szCs w:val="20"/>
              </w:rPr>
            </w:pPr>
            <w:r>
              <w:rPr>
                <w:b/>
                <w:bCs/>
                <w:color w:val="000000"/>
                <w:sz w:val="20"/>
                <w:szCs w:val="20"/>
              </w:rPr>
              <w:t>0.038</w:t>
            </w:r>
          </w:p>
        </w:tc>
        <w:tc>
          <w:tcPr>
            <w:tcW w:w="768" w:type="dxa"/>
            <w:tcBorders>
              <w:top w:val="nil"/>
              <w:left w:val="nil"/>
              <w:bottom w:val="nil"/>
              <w:right w:val="nil"/>
            </w:tcBorders>
            <w:shd w:val="clear" w:color="auto" w:fill="auto"/>
            <w:noWrap/>
            <w:vAlign w:val="bottom"/>
            <w:hideMark/>
          </w:tcPr>
          <w:p w14:paraId="7301B1E3" w14:textId="77777777" w:rsidR="00EF3DD9" w:rsidRDefault="00EF3DD9" w:rsidP="005A3B4D">
            <w:pPr>
              <w:jc w:val="right"/>
              <w:rPr>
                <w:b/>
                <w:bCs/>
                <w:color w:val="000000"/>
                <w:sz w:val="20"/>
                <w:szCs w:val="20"/>
              </w:rPr>
            </w:pPr>
            <w:r>
              <w:rPr>
                <w:b/>
                <w:bCs/>
                <w:color w:val="000000"/>
                <w:sz w:val="20"/>
                <w:szCs w:val="20"/>
              </w:rPr>
              <w:t>0.002</w:t>
            </w:r>
          </w:p>
        </w:tc>
        <w:tc>
          <w:tcPr>
            <w:tcW w:w="768" w:type="dxa"/>
            <w:tcBorders>
              <w:top w:val="nil"/>
              <w:left w:val="nil"/>
              <w:bottom w:val="nil"/>
              <w:right w:val="nil"/>
            </w:tcBorders>
            <w:shd w:val="clear" w:color="auto" w:fill="auto"/>
            <w:noWrap/>
            <w:vAlign w:val="bottom"/>
            <w:hideMark/>
          </w:tcPr>
          <w:p w14:paraId="23125305" w14:textId="77777777" w:rsidR="00EF3DD9" w:rsidRDefault="00EF3DD9"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1079C8B" w14:textId="77777777" w:rsidR="00EF3DD9" w:rsidRDefault="00EF3DD9" w:rsidP="005A3B4D">
            <w:pPr>
              <w:jc w:val="right"/>
              <w:rPr>
                <w:color w:val="000000"/>
                <w:sz w:val="20"/>
                <w:szCs w:val="20"/>
              </w:rPr>
            </w:pPr>
            <w:r>
              <w:rPr>
                <w:color w:val="000000"/>
                <w:sz w:val="20"/>
                <w:szCs w:val="20"/>
              </w:rPr>
              <w:t>0.443</w:t>
            </w:r>
          </w:p>
        </w:tc>
        <w:tc>
          <w:tcPr>
            <w:tcW w:w="768" w:type="dxa"/>
            <w:tcBorders>
              <w:top w:val="nil"/>
              <w:left w:val="nil"/>
              <w:bottom w:val="nil"/>
              <w:right w:val="nil"/>
            </w:tcBorders>
            <w:shd w:val="clear" w:color="auto" w:fill="auto"/>
            <w:noWrap/>
            <w:vAlign w:val="bottom"/>
            <w:hideMark/>
          </w:tcPr>
          <w:p w14:paraId="6C0D3D09"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2EB797B"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EA03D39" w14:textId="77777777" w:rsidR="00EF3DD9" w:rsidRDefault="00EF3DD9" w:rsidP="005A3B4D">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54598FDE"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F12187" w14:textId="77777777" w:rsidR="00EF3DD9" w:rsidRDefault="00EF3DD9"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F9FDE68" w14:textId="77777777" w:rsidR="00EF3DD9" w:rsidRDefault="00EF3DD9" w:rsidP="005A3B4D">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132415A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5E466E" w14:textId="77777777" w:rsidR="00EF3DD9" w:rsidRDefault="00EF3DD9"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DC0E9B7" w14:textId="77777777" w:rsidR="00EF3DD9" w:rsidRDefault="00EF3DD9" w:rsidP="005A3B4D">
            <w:pPr>
              <w:jc w:val="right"/>
              <w:rPr>
                <w:color w:val="000000"/>
                <w:sz w:val="20"/>
                <w:szCs w:val="20"/>
              </w:rPr>
            </w:pPr>
            <w:r>
              <w:rPr>
                <w:color w:val="000000"/>
                <w:sz w:val="20"/>
                <w:szCs w:val="20"/>
              </w:rPr>
              <w:t>0.617</w:t>
            </w:r>
          </w:p>
        </w:tc>
        <w:tc>
          <w:tcPr>
            <w:tcW w:w="768" w:type="dxa"/>
            <w:tcBorders>
              <w:top w:val="nil"/>
              <w:left w:val="nil"/>
              <w:bottom w:val="nil"/>
              <w:right w:val="nil"/>
            </w:tcBorders>
            <w:shd w:val="clear" w:color="auto" w:fill="auto"/>
            <w:noWrap/>
            <w:vAlign w:val="bottom"/>
            <w:hideMark/>
          </w:tcPr>
          <w:p w14:paraId="2CD2DFB5" w14:textId="77777777" w:rsidR="00EF3DD9" w:rsidRDefault="00EF3DD9" w:rsidP="005A3B4D">
            <w:pPr>
              <w:jc w:val="right"/>
              <w:rPr>
                <w:color w:val="000000"/>
                <w:sz w:val="20"/>
                <w:szCs w:val="20"/>
              </w:rPr>
            </w:pPr>
            <w:r>
              <w:rPr>
                <w:color w:val="000000"/>
                <w:sz w:val="20"/>
                <w:szCs w:val="20"/>
              </w:rPr>
              <w:t>0.001</w:t>
            </w:r>
          </w:p>
        </w:tc>
      </w:tr>
      <w:tr w:rsidR="00EF3DD9" w14:paraId="1F71D6FF" w14:textId="77777777" w:rsidTr="005A3B4D">
        <w:trPr>
          <w:trHeight w:val="320"/>
        </w:trPr>
        <w:tc>
          <w:tcPr>
            <w:tcW w:w="1176" w:type="dxa"/>
            <w:tcBorders>
              <w:top w:val="nil"/>
              <w:left w:val="nil"/>
              <w:bottom w:val="nil"/>
              <w:right w:val="nil"/>
            </w:tcBorders>
            <w:shd w:val="clear" w:color="auto" w:fill="auto"/>
            <w:noWrap/>
            <w:vAlign w:val="bottom"/>
            <w:hideMark/>
          </w:tcPr>
          <w:p w14:paraId="26B6BD35"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8554C6" w14:textId="77777777" w:rsidR="00EF3DD9" w:rsidRDefault="00EF3DD9"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5120473" w14:textId="77777777" w:rsidR="00EF3DD9" w:rsidRDefault="00EF3DD9" w:rsidP="005A3B4D">
            <w:pPr>
              <w:jc w:val="right"/>
              <w:rPr>
                <w:b/>
                <w:bCs/>
                <w:color w:val="000000"/>
                <w:sz w:val="20"/>
                <w:szCs w:val="20"/>
              </w:rPr>
            </w:pPr>
            <w:r>
              <w:rPr>
                <w:b/>
                <w:bCs/>
                <w:color w:val="000000"/>
                <w:sz w:val="20"/>
                <w:szCs w:val="20"/>
              </w:rPr>
              <w:t>0.045</w:t>
            </w:r>
          </w:p>
        </w:tc>
        <w:tc>
          <w:tcPr>
            <w:tcW w:w="768" w:type="dxa"/>
            <w:tcBorders>
              <w:top w:val="nil"/>
              <w:left w:val="nil"/>
              <w:bottom w:val="nil"/>
              <w:right w:val="nil"/>
            </w:tcBorders>
            <w:shd w:val="clear" w:color="auto" w:fill="auto"/>
            <w:noWrap/>
            <w:vAlign w:val="bottom"/>
            <w:hideMark/>
          </w:tcPr>
          <w:p w14:paraId="2F41856C" w14:textId="77777777" w:rsidR="00EF3DD9" w:rsidRDefault="00EF3DD9" w:rsidP="005A3B4D">
            <w:pPr>
              <w:jc w:val="right"/>
              <w:rPr>
                <w:b/>
                <w:bCs/>
                <w:color w:val="000000"/>
                <w:sz w:val="20"/>
                <w:szCs w:val="20"/>
              </w:rPr>
            </w:pPr>
            <w:r>
              <w:rPr>
                <w:b/>
                <w:bCs/>
                <w:color w:val="000000"/>
                <w:sz w:val="20"/>
                <w:szCs w:val="20"/>
              </w:rPr>
              <w:t>0.038</w:t>
            </w:r>
          </w:p>
        </w:tc>
        <w:tc>
          <w:tcPr>
            <w:tcW w:w="768" w:type="dxa"/>
            <w:tcBorders>
              <w:top w:val="nil"/>
              <w:left w:val="nil"/>
              <w:bottom w:val="nil"/>
              <w:right w:val="nil"/>
            </w:tcBorders>
            <w:shd w:val="clear" w:color="auto" w:fill="auto"/>
            <w:noWrap/>
            <w:vAlign w:val="bottom"/>
            <w:hideMark/>
          </w:tcPr>
          <w:p w14:paraId="7FA84B4F" w14:textId="77777777" w:rsidR="00EF3DD9" w:rsidRDefault="00EF3DD9" w:rsidP="005A3B4D">
            <w:pPr>
              <w:jc w:val="right"/>
              <w:rPr>
                <w:b/>
                <w:bCs/>
                <w:color w:val="000000"/>
                <w:sz w:val="20"/>
                <w:szCs w:val="20"/>
              </w:rPr>
            </w:pPr>
            <w:r>
              <w:rPr>
                <w:b/>
                <w:bCs/>
                <w:color w:val="000000"/>
                <w:sz w:val="20"/>
                <w:szCs w:val="20"/>
              </w:rPr>
              <w:t>0.002</w:t>
            </w:r>
          </w:p>
        </w:tc>
        <w:tc>
          <w:tcPr>
            <w:tcW w:w="768" w:type="dxa"/>
            <w:tcBorders>
              <w:top w:val="nil"/>
              <w:left w:val="nil"/>
              <w:bottom w:val="nil"/>
              <w:right w:val="nil"/>
            </w:tcBorders>
            <w:shd w:val="clear" w:color="auto" w:fill="auto"/>
            <w:noWrap/>
            <w:vAlign w:val="bottom"/>
            <w:hideMark/>
          </w:tcPr>
          <w:p w14:paraId="765E160C" w14:textId="77777777" w:rsidR="00EF3DD9" w:rsidRDefault="00EF3DD9"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280D069" w14:textId="77777777" w:rsidR="00EF3DD9" w:rsidRDefault="00EF3DD9" w:rsidP="005A3B4D">
            <w:pPr>
              <w:jc w:val="right"/>
              <w:rPr>
                <w:color w:val="000000"/>
                <w:sz w:val="20"/>
                <w:szCs w:val="20"/>
              </w:rPr>
            </w:pPr>
            <w:r>
              <w:rPr>
                <w:color w:val="000000"/>
                <w:sz w:val="20"/>
                <w:szCs w:val="20"/>
              </w:rPr>
              <w:t>0.684</w:t>
            </w:r>
          </w:p>
        </w:tc>
        <w:tc>
          <w:tcPr>
            <w:tcW w:w="768" w:type="dxa"/>
            <w:tcBorders>
              <w:top w:val="nil"/>
              <w:left w:val="nil"/>
              <w:bottom w:val="nil"/>
              <w:right w:val="nil"/>
            </w:tcBorders>
            <w:shd w:val="clear" w:color="auto" w:fill="auto"/>
            <w:noWrap/>
            <w:vAlign w:val="bottom"/>
            <w:hideMark/>
          </w:tcPr>
          <w:p w14:paraId="72C7FDF8"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670B46" w14:textId="77777777" w:rsidR="00EF3DD9" w:rsidRDefault="00EF3DD9"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5288A1E" w14:textId="77777777" w:rsidR="00EF3DD9" w:rsidRDefault="00EF3DD9" w:rsidP="005A3B4D">
            <w:pPr>
              <w:jc w:val="right"/>
              <w:rPr>
                <w:color w:val="000000"/>
                <w:sz w:val="20"/>
                <w:szCs w:val="20"/>
              </w:rPr>
            </w:pPr>
            <w:r>
              <w:rPr>
                <w:color w:val="000000"/>
                <w:sz w:val="20"/>
                <w:szCs w:val="20"/>
              </w:rPr>
              <w:t>0.806</w:t>
            </w:r>
          </w:p>
        </w:tc>
        <w:tc>
          <w:tcPr>
            <w:tcW w:w="768" w:type="dxa"/>
            <w:tcBorders>
              <w:top w:val="nil"/>
              <w:left w:val="nil"/>
              <w:bottom w:val="nil"/>
              <w:right w:val="nil"/>
            </w:tcBorders>
            <w:shd w:val="clear" w:color="auto" w:fill="auto"/>
            <w:noWrap/>
            <w:vAlign w:val="bottom"/>
            <w:hideMark/>
          </w:tcPr>
          <w:p w14:paraId="2F478D5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055655" w14:textId="77777777" w:rsidR="00EF3DD9" w:rsidRDefault="00EF3DD9"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2CDE906" w14:textId="77777777" w:rsidR="00EF3DD9" w:rsidRDefault="00EF3DD9" w:rsidP="005A3B4D">
            <w:pPr>
              <w:jc w:val="right"/>
              <w:rPr>
                <w:color w:val="000000"/>
                <w:sz w:val="20"/>
                <w:szCs w:val="20"/>
              </w:rPr>
            </w:pPr>
            <w:r>
              <w:rPr>
                <w:color w:val="000000"/>
                <w:sz w:val="20"/>
                <w:szCs w:val="20"/>
              </w:rPr>
              <w:t>0.192</w:t>
            </w:r>
          </w:p>
        </w:tc>
        <w:tc>
          <w:tcPr>
            <w:tcW w:w="768" w:type="dxa"/>
            <w:tcBorders>
              <w:top w:val="nil"/>
              <w:left w:val="nil"/>
              <w:bottom w:val="nil"/>
              <w:right w:val="nil"/>
            </w:tcBorders>
            <w:shd w:val="clear" w:color="auto" w:fill="auto"/>
            <w:noWrap/>
            <w:vAlign w:val="bottom"/>
            <w:hideMark/>
          </w:tcPr>
          <w:p w14:paraId="40716578"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4E81B6" w14:textId="77777777" w:rsidR="00EF3DD9" w:rsidRDefault="00EF3DD9" w:rsidP="005A3B4D">
            <w:pPr>
              <w:jc w:val="right"/>
              <w:rPr>
                <w:b/>
                <w:bCs/>
                <w:color w:val="000000"/>
                <w:sz w:val="20"/>
                <w:szCs w:val="20"/>
              </w:rPr>
            </w:pPr>
            <w:r>
              <w:rPr>
                <w:b/>
                <w:bCs/>
                <w:color w:val="000000"/>
                <w:sz w:val="20"/>
                <w:szCs w:val="20"/>
              </w:rPr>
              <w:t>0.063</w:t>
            </w:r>
          </w:p>
        </w:tc>
        <w:tc>
          <w:tcPr>
            <w:tcW w:w="768" w:type="dxa"/>
            <w:tcBorders>
              <w:top w:val="nil"/>
              <w:left w:val="nil"/>
              <w:bottom w:val="nil"/>
              <w:right w:val="nil"/>
            </w:tcBorders>
            <w:shd w:val="clear" w:color="auto" w:fill="auto"/>
            <w:noWrap/>
            <w:vAlign w:val="bottom"/>
            <w:hideMark/>
          </w:tcPr>
          <w:p w14:paraId="33D30A25" w14:textId="77777777" w:rsidR="00EF3DD9" w:rsidRDefault="00EF3DD9" w:rsidP="005A3B4D">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4238FDEA" w14:textId="77777777" w:rsidR="00EF3DD9" w:rsidRDefault="00EF3DD9" w:rsidP="005A3B4D">
            <w:pPr>
              <w:jc w:val="right"/>
              <w:rPr>
                <w:b/>
                <w:bCs/>
                <w:color w:val="000000"/>
                <w:sz w:val="20"/>
                <w:szCs w:val="20"/>
              </w:rPr>
            </w:pPr>
            <w:r>
              <w:rPr>
                <w:b/>
                <w:bCs/>
                <w:color w:val="000000"/>
                <w:sz w:val="20"/>
                <w:szCs w:val="20"/>
              </w:rPr>
              <w:t>0.004</w:t>
            </w:r>
          </w:p>
        </w:tc>
      </w:tr>
      <w:tr w:rsidR="00EF3DD9" w14:paraId="1D4C0B99"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6D51B812" w14:textId="77777777" w:rsidR="00EF3DD9" w:rsidRDefault="00EF3DD9"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30F76A8" w14:textId="77777777" w:rsidR="00EF3DD9" w:rsidRDefault="00EF3DD9"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3480F6E" w14:textId="77777777" w:rsidR="00EF3DD9" w:rsidRDefault="00EF3DD9" w:rsidP="005A3B4D">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6E84C74D" w14:textId="77777777" w:rsidR="00EF3DD9" w:rsidRDefault="00EF3DD9" w:rsidP="005A3B4D">
            <w:pPr>
              <w:jc w:val="right"/>
              <w:rPr>
                <w:color w:val="000000"/>
                <w:sz w:val="20"/>
                <w:szCs w:val="20"/>
              </w:rPr>
            </w:pPr>
            <w:r>
              <w:rPr>
                <w:color w:val="000000"/>
                <w:sz w:val="20"/>
                <w:szCs w:val="20"/>
              </w:rPr>
              <w:t>0.563</w:t>
            </w:r>
          </w:p>
        </w:tc>
        <w:tc>
          <w:tcPr>
            <w:tcW w:w="768" w:type="dxa"/>
            <w:tcBorders>
              <w:top w:val="nil"/>
              <w:left w:val="nil"/>
              <w:bottom w:val="single" w:sz="4" w:space="0" w:color="auto"/>
              <w:right w:val="nil"/>
            </w:tcBorders>
            <w:shd w:val="clear" w:color="auto" w:fill="auto"/>
            <w:noWrap/>
            <w:vAlign w:val="bottom"/>
            <w:hideMark/>
          </w:tcPr>
          <w:p w14:paraId="76DEB4B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8C8492B" w14:textId="77777777" w:rsidR="00EF3DD9" w:rsidRDefault="00EF3DD9" w:rsidP="005A3B4D">
            <w:pPr>
              <w:jc w:val="right"/>
              <w:rPr>
                <w:color w:val="000000"/>
                <w:sz w:val="20"/>
                <w:szCs w:val="20"/>
              </w:rPr>
            </w:pPr>
            <w:r>
              <w:rPr>
                <w:color w:val="000000"/>
                <w:sz w:val="20"/>
                <w:szCs w:val="20"/>
              </w:rPr>
              <w:t>0.053</w:t>
            </w:r>
          </w:p>
        </w:tc>
        <w:tc>
          <w:tcPr>
            <w:tcW w:w="768" w:type="dxa"/>
            <w:tcBorders>
              <w:top w:val="nil"/>
              <w:left w:val="nil"/>
              <w:bottom w:val="single" w:sz="4" w:space="0" w:color="auto"/>
              <w:right w:val="nil"/>
            </w:tcBorders>
            <w:shd w:val="clear" w:color="auto" w:fill="auto"/>
            <w:noWrap/>
            <w:vAlign w:val="bottom"/>
            <w:hideMark/>
          </w:tcPr>
          <w:p w14:paraId="16ABCB5E" w14:textId="77777777" w:rsidR="00EF3DD9" w:rsidRDefault="00EF3DD9" w:rsidP="005A3B4D">
            <w:pPr>
              <w:jc w:val="right"/>
              <w:rPr>
                <w:color w:val="000000"/>
                <w:sz w:val="20"/>
                <w:szCs w:val="20"/>
              </w:rPr>
            </w:pPr>
            <w:r>
              <w:rPr>
                <w:color w:val="000000"/>
                <w:sz w:val="20"/>
                <w:szCs w:val="20"/>
              </w:rPr>
              <w:t>0.304</w:t>
            </w:r>
          </w:p>
        </w:tc>
        <w:tc>
          <w:tcPr>
            <w:tcW w:w="768" w:type="dxa"/>
            <w:tcBorders>
              <w:top w:val="nil"/>
              <w:left w:val="nil"/>
              <w:bottom w:val="single" w:sz="4" w:space="0" w:color="auto"/>
              <w:right w:val="nil"/>
            </w:tcBorders>
            <w:shd w:val="clear" w:color="auto" w:fill="auto"/>
            <w:noWrap/>
            <w:vAlign w:val="bottom"/>
            <w:hideMark/>
          </w:tcPr>
          <w:p w14:paraId="57A59955"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06F836F6" w14:textId="77777777" w:rsidR="00EF3DD9" w:rsidRDefault="00EF3DD9" w:rsidP="005A3B4D">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7B61301D" w14:textId="77777777" w:rsidR="00EF3DD9" w:rsidRDefault="00EF3DD9" w:rsidP="005A3B4D">
            <w:pPr>
              <w:jc w:val="right"/>
              <w:rPr>
                <w:color w:val="000000"/>
                <w:sz w:val="20"/>
                <w:szCs w:val="20"/>
              </w:rPr>
            </w:pPr>
            <w:r>
              <w:rPr>
                <w:color w:val="000000"/>
                <w:sz w:val="20"/>
                <w:szCs w:val="20"/>
              </w:rPr>
              <w:t>0.236</w:t>
            </w:r>
          </w:p>
        </w:tc>
        <w:tc>
          <w:tcPr>
            <w:tcW w:w="768" w:type="dxa"/>
            <w:tcBorders>
              <w:top w:val="nil"/>
              <w:left w:val="nil"/>
              <w:bottom w:val="single" w:sz="4" w:space="0" w:color="auto"/>
              <w:right w:val="nil"/>
            </w:tcBorders>
            <w:shd w:val="clear" w:color="auto" w:fill="auto"/>
            <w:noWrap/>
            <w:vAlign w:val="bottom"/>
            <w:hideMark/>
          </w:tcPr>
          <w:p w14:paraId="5A7FC3F1"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28CD4AE" w14:textId="77777777" w:rsidR="00EF3DD9" w:rsidRDefault="00EF3DD9" w:rsidP="005A3B4D">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1FC81924" w14:textId="77777777" w:rsidR="00EF3DD9" w:rsidRDefault="00EF3DD9" w:rsidP="005A3B4D">
            <w:pPr>
              <w:jc w:val="right"/>
              <w:rPr>
                <w:color w:val="000000"/>
                <w:sz w:val="20"/>
                <w:szCs w:val="20"/>
              </w:rPr>
            </w:pPr>
            <w:r>
              <w:rPr>
                <w:color w:val="000000"/>
                <w:sz w:val="20"/>
                <w:szCs w:val="20"/>
              </w:rPr>
              <w:t>0.622</w:t>
            </w:r>
          </w:p>
        </w:tc>
        <w:tc>
          <w:tcPr>
            <w:tcW w:w="768" w:type="dxa"/>
            <w:tcBorders>
              <w:top w:val="nil"/>
              <w:left w:val="nil"/>
              <w:bottom w:val="single" w:sz="4" w:space="0" w:color="auto"/>
              <w:right w:val="nil"/>
            </w:tcBorders>
            <w:shd w:val="clear" w:color="auto" w:fill="auto"/>
            <w:noWrap/>
            <w:vAlign w:val="bottom"/>
            <w:hideMark/>
          </w:tcPr>
          <w:p w14:paraId="5A792C5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5A77453" w14:textId="77777777" w:rsidR="00EF3DD9" w:rsidRDefault="00EF3DD9" w:rsidP="005A3B4D">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3426891E" w14:textId="77777777" w:rsidR="00EF3DD9" w:rsidRDefault="00EF3DD9" w:rsidP="005A3B4D">
            <w:pPr>
              <w:jc w:val="right"/>
              <w:rPr>
                <w:color w:val="000000"/>
                <w:sz w:val="20"/>
                <w:szCs w:val="20"/>
              </w:rPr>
            </w:pPr>
            <w:r>
              <w:rPr>
                <w:color w:val="000000"/>
                <w:sz w:val="20"/>
                <w:szCs w:val="20"/>
              </w:rPr>
              <w:t>0.617</w:t>
            </w:r>
          </w:p>
        </w:tc>
        <w:tc>
          <w:tcPr>
            <w:tcW w:w="768" w:type="dxa"/>
            <w:tcBorders>
              <w:top w:val="nil"/>
              <w:left w:val="nil"/>
              <w:bottom w:val="single" w:sz="4" w:space="0" w:color="auto"/>
              <w:right w:val="nil"/>
            </w:tcBorders>
            <w:shd w:val="clear" w:color="auto" w:fill="auto"/>
            <w:noWrap/>
            <w:vAlign w:val="bottom"/>
            <w:hideMark/>
          </w:tcPr>
          <w:p w14:paraId="45670C34" w14:textId="77777777" w:rsidR="00EF3DD9" w:rsidRDefault="00EF3DD9" w:rsidP="005A3B4D">
            <w:pPr>
              <w:jc w:val="right"/>
              <w:rPr>
                <w:color w:val="000000"/>
                <w:sz w:val="20"/>
                <w:szCs w:val="20"/>
              </w:rPr>
            </w:pPr>
            <w:r>
              <w:rPr>
                <w:color w:val="000000"/>
                <w:sz w:val="20"/>
                <w:szCs w:val="20"/>
              </w:rPr>
              <w:t>0.000</w:t>
            </w:r>
          </w:p>
        </w:tc>
      </w:tr>
      <w:tr w:rsidR="00EF3DD9" w14:paraId="5F62F897" w14:textId="77777777" w:rsidTr="005A3B4D">
        <w:trPr>
          <w:trHeight w:val="320"/>
        </w:trPr>
        <w:tc>
          <w:tcPr>
            <w:tcW w:w="1176" w:type="dxa"/>
            <w:tcBorders>
              <w:top w:val="nil"/>
              <w:left w:val="nil"/>
              <w:bottom w:val="nil"/>
              <w:right w:val="nil"/>
            </w:tcBorders>
            <w:shd w:val="clear" w:color="auto" w:fill="auto"/>
            <w:noWrap/>
            <w:vAlign w:val="bottom"/>
            <w:hideMark/>
          </w:tcPr>
          <w:p w14:paraId="0965A4DB" w14:textId="77777777" w:rsidR="00EF3DD9" w:rsidRDefault="00EF3DD9"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1B7228D9" w14:textId="77777777" w:rsidR="00EF3DD9" w:rsidRDefault="00EF3DD9"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595C4A8" w14:textId="77777777" w:rsidR="00EF3DD9" w:rsidRDefault="00EF3DD9" w:rsidP="005A3B4D">
            <w:pPr>
              <w:jc w:val="right"/>
              <w:rPr>
                <w:b/>
                <w:bCs/>
                <w:color w:val="000000"/>
                <w:sz w:val="20"/>
                <w:szCs w:val="20"/>
              </w:rPr>
            </w:pPr>
            <w:r>
              <w:rPr>
                <w:b/>
                <w:bCs/>
                <w:color w:val="000000"/>
                <w:sz w:val="20"/>
                <w:szCs w:val="20"/>
              </w:rPr>
              <w:t>-0.093</w:t>
            </w:r>
          </w:p>
        </w:tc>
        <w:tc>
          <w:tcPr>
            <w:tcW w:w="768" w:type="dxa"/>
            <w:tcBorders>
              <w:top w:val="nil"/>
              <w:left w:val="nil"/>
              <w:bottom w:val="nil"/>
              <w:right w:val="nil"/>
            </w:tcBorders>
            <w:shd w:val="clear" w:color="auto" w:fill="auto"/>
            <w:noWrap/>
            <w:vAlign w:val="bottom"/>
            <w:hideMark/>
          </w:tcPr>
          <w:p w14:paraId="5DA620DE" w14:textId="77777777" w:rsidR="00EF3DD9" w:rsidRDefault="00EF3DD9"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947DB8F" w14:textId="77777777" w:rsidR="00EF3DD9" w:rsidRDefault="00EF3DD9" w:rsidP="005A3B4D">
            <w:pPr>
              <w:jc w:val="right"/>
              <w:rPr>
                <w:b/>
                <w:bCs/>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64BEE0E7" w14:textId="77777777" w:rsidR="00EF3DD9" w:rsidRDefault="00EF3DD9"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9C6E399" w14:textId="77777777" w:rsidR="00EF3DD9" w:rsidRDefault="00EF3DD9" w:rsidP="005A3B4D">
            <w:pPr>
              <w:jc w:val="right"/>
              <w:rPr>
                <w:color w:val="000000"/>
                <w:sz w:val="20"/>
                <w:szCs w:val="20"/>
              </w:rPr>
            </w:pPr>
            <w:r>
              <w:rPr>
                <w:color w:val="000000"/>
                <w:sz w:val="20"/>
                <w:szCs w:val="20"/>
              </w:rPr>
              <w:t>0.663</w:t>
            </w:r>
          </w:p>
        </w:tc>
        <w:tc>
          <w:tcPr>
            <w:tcW w:w="768" w:type="dxa"/>
            <w:tcBorders>
              <w:top w:val="nil"/>
              <w:left w:val="nil"/>
              <w:bottom w:val="nil"/>
              <w:right w:val="nil"/>
            </w:tcBorders>
            <w:shd w:val="clear" w:color="auto" w:fill="auto"/>
            <w:noWrap/>
            <w:vAlign w:val="bottom"/>
            <w:hideMark/>
          </w:tcPr>
          <w:p w14:paraId="2E162AB7"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7188EC" w14:textId="77777777" w:rsidR="00EF3DD9" w:rsidRDefault="00EF3DD9"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59E826D" w14:textId="77777777" w:rsidR="00EF3DD9" w:rsidRDefault="00EF3DD9" w:rsidP="005A3B4D">
            <w:pPr>
              <w:jc w:val="right"/>
              <w:rPr>
                <w:color w:val="000000"/>
                <w:sz w:val="20"/>
                <w:szCs w:val="20"/>
              </w:rPr>
            </w:pPr>
            <w:r>
              <w:rPr>
                <w:color w:val="000000"/>
                <w:sz w:val="20"/>
                <w:szCs w:val="20"/>
              </w:rPr>
              <w:t>0.759</w:t>
            </w:r>
          </w:p>
        </w:tc>
        <w:tc>
          <w:tcPr>
            <w:tcW w:w="768" w:type="dxa"/>
            <w:tcBorders>
              <w:top w:val="nil"/>
              <w:left w:val="nil"/>
              <w:bottom w:val="nil"/>
              <w:right w:val="nil"/>
            </w:tcBorders>
            <w:shd w:val="clear" w:color="auto" w:fill="auto"/>
            <w:noWrap/>
            <w:vAlign w:val="bottom"/>
            <w:hideMark/>
          </w:tcPr>
          <w:p w14:paraId="3CFE6E6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DD76D4" w14:textId="77777777" w:rsidR="00EF3DD9" w:rsidRDefault="00EF3DD9"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56245298" w14:textId="77777777" w:rsidR="00EF3DD9" w:rsidRDefault="00EF3DD9" w:rsidP="005A3B4D">
            <w:pPr>
              <w:jc w:val="right"/>
              <w:rPr>
                <w:color w:val="000000"/>
                <w:sz w:val="20"/>
                <w:szCs w:val="20"/>
              </w:rPr>
            </w:pPr>
            <w:r>
              <w:rPr>
                <w:color w:val="000000"/>
                <w:sz w:val="20"/>
                <w:szCs w:val="20"/>
              </w:rPr>
              <w:t>0.713</w:t>
            </w:r>
          </w:p>
        </w:tc>
        <w:tc>
          <w:tcPr>
            <w:tcW w:w="768" w:type="dxa"/>
            <w:tcBorders>
              <w:top w:val="nil"/>
              <w:left w:val="nil"/>
              <w:bottom w:val="nil"/>
              <w:right w:val="nil"/>
            </w:tcBorders>
            <w:shd w:val="clear" w:color="auto" w:fill="auto"/>
            <w:noWrap/>
            <w:vAlign w:val="bottom"/>
            <w:hideMark/>
          </w:tcPr>
          <w:p w14:paraId="4A81782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EBF97D"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ECF1184" w14:textId="77777777" w:rsidR="00EF3DD9" w:rsidRDefault="00EF3DD9" w:rsidP="005A3B4D">
            <w:pPr>
              <w:jc w:val="right"/>
              <w:rPr>
                <w:color w:val="000000"/>
                <w:sz w:val="20"/>
                <w:szCs w:val="20"/>
              </w:rPr>
            </w:pPr>
            <w:r>
              <w:rPr>
                <w:color w:val="000000"/>
                <w:sz w:val="20"/>
                <w:szCs w:val="20"/>
              </w:rPr>
              <w:t>0.917</w:t>
            </w:r>
          </w:p>
        </w:tc>
        <w:tc>
          <w:tcPr>
            <w:tcW w:w="768" w:type="dxa"/>
            <w:tcBorders>
              <w:top w:val="nil"/>
              <w:left w:val="nil"/>
              <w:bottom w:val="nil"/>
              <w:right w:val="nil"/>
            </w:tcBorders>
            <w:shd w:val="clear" w:color="auto" w:fill="auto"/>
            <w:noWrap/>
            <w:vAlign w:val="bottom"/>
            <w:hideMark/>
          </w:tcPr>
          <w:p w14:paraId="18DFDE61" w14:textId="77777777" w:rsidR="00EF3DD9" w:rsidRDefault="00EF3DD9" w:rsidP="005A3B4D">
            <w:pPr>
              <w:jc w:val="right"/>
              <w:rPr>
                <w:color w:val="000000"/>
                <w:sz w:val="20"/>
                <w:szCs w:val="20"/>
              </w:rPr>
            </w:pPr>
            <w:r>
              <w:rPr>
                <w:color w:val="000000"/>
                <w:sz w:val="20"/>
                <w:szCs w:val="20"/>
              </w:rPr>
              <w:t>0.000</w:t>
            </w:r>
          </w:p>
        </w:tc>
      </w:tr>
      <w:tr w:rsidR="00EF3DD9" w14:paraId="0181FA79" w14:textId="77777777" w:rsidTr="005A3B4D">
        <w:trPr>
          <w:trHeight w:val="320"/>
        </w:trPr>
        <w:tc>
          <w:tcPr>
            <w:tcW w:w="1176" w:type="dxa"/>
            <w:tcBorders>
              <w:top w:val="nil"/>
              <w:left w:val="nil"/>
              <w:bottom w:val="nil"/>
              <w:right w:val="nil"/>
            </w:tcBorders>
            <w:shd w:val="clear" w:color="auto" w:fill="auto"/>
            <w:noWrap/>
            <w:vAlign w:val="bottom"/>
            <w:hideMark/>
          </w:tcPr>
          <w:p w14:paraId="72E7B263"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B371A2" w14:textId="77777777" w:rsidR="00EF3DD9" w:rsidRDefault="00EF3DD9"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81B1C75" w14:textId="77777777" w:rsidR="00EF3DD9" w:rsidRDefault="00EF3DD9"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331F8EB8" w14:textId="77777777" w:rsidR="00EF3DD9" w:rsidRDefault="00EF3DD9"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5CB2F6FE"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8BA596B" w14:textId="77777777" w:rsidR="00EF3DD9" w:rsidRDefault="00EF3DD9"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00055456" w14:textId="77777777" w:rsidR="00EF3DD9" w:rsidRDefault="00EF3DD9" w:rsidP="005A3B4D">
            <w:pPr>
              <w:jc w:val="right"/>
              <w:rPr>
                <w:color w:val="000000"/>
                <w:sz w:val="20"/>
                <w:szCs w:val="20"/>
              </w:rPr>
            </w:pPr>
            <w:r>
              <w:rPr>
                <w:color w:val="000000"/>
                <w:sz w:val="20"/>
                <w:szCs w:val="20"/>
              </w:rPr>
              <w:t>0.663</w:t>
            </w:r>
          </w:p>
        </w:tc>
        <w:tc>
          <w:tcPr>
            <w:tcW w:w="768" w:type="dxa"/>
            <w:tcBorders>
              <w:top w:val="nil"/>
              <w:left w:val="nil"/>
              <w:bottom w:val="nil"/>
              <w:right w:val="nil"/>
            </w:tcBorders>
            <w:shd w:val="clear" w:color="auto" w:fill="auto"/>
            <w:noWrap/>
            <w:vAlign w:val="bottom"/>
            <w:hideMark/>
          </w:tcPr>
          <w:p w14:paraId="6781216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EAAB01" w14:textId="77777777" w:rsidR="00EF3DD9" w:rsidRDefault="00EF3DD9"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8AF3D79" w14:textId="77777777" w:rsidR="00EF3DD9" w:rsidRDefault="00EF3DD9" w:rsidP="005A3B4D">
            <w:pPr>
              <w:jc w:val="right"/>
              <w:rPr>
                <w:color w:val="000000"/>
                <w:sz w:val="20"/>
                <w:szCs w:val="20"/>
              </w:rPr>
            </w:pPr>
            <w:r>
              <w:rPr>
                <w:color w:val="000000"/>
                <w:sz w:val="20"/>
                <w:szCs w:val="20"/>
              </w:rPr>
              <w:t>0.759</w:t>
            </w:r>
          </w:p>
        </w:tc>
        <w:tc>
          <w:tcPr>
            <w:tcW w:w="768" w:type="dxa"/>
            <w:tcBorders>
              <w:top w:val="nil"/>
              <w:left w:val="nil"/>
              <w:bottom w:val="nil"/>
              <w:right w:val="nil"/>
            </w:tcBorders>
            <w:shd w:val="clear" w:color="auto" w:fill="auto"/>
            <w:noWrap/>
            <w:vAlign w:val="bottom"/>
            <w:hideMark/>
          </w:tcPr>
          <w:p w14:paraId="05D62B5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488C89" w14:textId="77777777" w:rsidR="00EF3DD9" w:rsidRDefault="00EF3DD9"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6E440988" w14:textId="77777777" w:rsidR="00EF3DD9" w:rsidRDefault="00EF3DD9" w:rsidP="005A3B4D">
            <w:pPr>
              <w:jc w:val="right"/>
              <w:rPr>
                <w:color w:val="000000"/>
                <w:sz w:val="20"/>
                <w:szCs w:val="20"/>
              </w:rPr>
            </w:pPr>
            <w:r>
              <w:rPr>
                <w:color w:val="000000"/>
                <w:sz w:val="20"/>
                <w:szCs w:val="20"/>
              </w:rPr>
              <w:t>0.419</w:t>
            </w:r>
          </w:p>
        </w:tc>
        <w:tc>
          <w:tcPr>
            <w:tcW w:w="768" w:type="dxa"/>
            <w:tcBorders>
              <w:top w:val="nil"/>
              <w:left w:val="nil"/>
              <w:bottom w:val="nil"/>
              <w:right w:val="nil"/>
            </w:tcBorders>
            <w:shd w:val="clear" w:color="auto" w:fill="auto"/>
            <w:noWrap/>
            <w:vAlign w:val="bottom"/>
            <w:hideMark/>
          </w:tcPr>
          <w:p w14:paraId="432E953A"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D1F9E6B"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10D7298" w14:textId="77777777" w:rsidR="00EF3DD9" w:rsidRDefault="00EF3DD9" w:rsidP="005A3B4D">
            <w:pPr>
              <w:jc w:val="right"/>
              <w:rPr>
                <w:color w:val="000000"/>
                <w:sz w:val="20"/>
                <w:szCs w:val="20"/>
              </w:rPr>
            </w:pPr>
            <w:r>
              <w:rPr>
                <w:color w:val="000000"/>
                <w:sz w:val="20"/>
                <w:szCs w:val="20"/>
              </w:rPr>
              <w:t>0.917</w:t>
            </w:r>
          </w:p>
        </w:tc>
        <w:tc>
          <w:tcPr>
            <w:tcW w:w="768" w:type="dxa"/>
            <w:tcBorders>
              <w:top w:val="nil"/>
              <w:left w:val="nil"/>
              <w:bottom w:val="nil"/>
              <w:right w:val="nil"/>
            </w:tcBorders>
            <w:shd w:val="clear" w:color="auto" w:fill="auto"/>
            <w:noWrap/>
            <w:vAlign w:val="bottom"/>
            <w:hideMark/>
          </w:tcPr>
          <w:p w14:paraId="2BF217A6" w14:textId="77777777" w:rsidR="00EF3DD9" w:rsidRDefault="00EF3DD9" w:rsidP="005A3B4D">
            <w:pPr>
              <w:jc w:val="right"/>
              <w:rPr>
                <w:color w:val="000000"/>
                <w:sz w:val="20"/>
                <w:szCs w:val="20"/>
              </w:rPr>
            </w:pPr>
            <w:r>
              <w:rPr>
                <w:color w:val="000000"/>
                <w:sz w:val="20"/>
                <w:szCs w:val="20"/>
              </w:rPr>
              <w:t>0.000</w:t>
            </w:r>
          </w:p>
        </w:tc>
      </w:tr>
      <w:tr w:rsidR="00EF3DD9" w14:paraId="22349C4A" w14:textId="77777777" w:rsidTr="005A3B4D">
        <w:trPr>
          <w:trHeight w:val="320"/>
        </w:trPr>
        <w:tc>
          <w:tcPr>
            <w:tcW w:w="1176" w:type="dxa"/>
            <w:tcBorders>
              <w:top w:val="nil"/>
              <w:left w:val="nil"/>
              <w:bottom w:val="nil"/>
              <w:right w:val="nil"/>
            </w:tcBorders>
            <w:shd w:val="clear" w:color="auto" w:fill="auto"/>
            <w:noWrap/>
            <w:vAlign w:val="bottom"/>
            <w:hideMark/>
          </w:tcPr>
          <w:p w14:paraId="7272AC27"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4336DA" w14:textId="77777777" w:rsidR="00EF3DD9" w:rsidRDefault="00EF3DD9"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19C10C1" w14:textId="77777777" w:rsidR="00EF3DD9" w:rsidRDefault="00EF3DD9"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B3B8180" w14:textId="77777777" w:rsidR="00EF3DD9" w:rsidRDefault="00EF3DD9" w:rsidP="005A3B4D">
            <w:pPr>
              <w:jc w:val="right"/>
              <w:rPr>
                <w:color w:val="000000"/>
                <w:sz w:val="20"/>
                <w:szCs w:val="20"/>
              </w:rPr>
            </w:pPr>
            <w:r>
              <w:rPr>
                <w:color w:val="000000"/>
                <w:sz w:val="20"/>
                <w:szCs w:val="20"/>
              </w:rPr>
              <w:t>0.534</w:t>
            </w:r>
          </w:p>
        </w:tc>
        <w:tc>
          <w:tcPr>
            <w:tcW w:w="768" w:type="dxa"/>
            <w:tcBorders>
              <w:top w:val="nil"/>
              <w:left w:val="nil"/>
              <w:bottom w:val="nil"/>
              <w:right w:val="nil"/>
            </w:tcBorders>
            <w:shd w:val="clear" w:color="auto" w:fill="auto"/>
            <w:noWrap/>
            <w:vAlign w:val="bottom"/>
            <w:hideMark/>
          </w:tcPr>
          <w:p w14:paraId="24E3C69F"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47814D"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F384203" w14:textId="77777777" w:rsidR="00EF3DD9" w:rsidRDefault="00EF3DD9" w:rsidP="005A3B4D">
            <w:pPr>
              <w:jc w:val="right"/>
              <w:rPr>
                <w:color w:val="000000"/>
                <w:sz w:val="20"/>
                <w:szCs w:val="20"/>
              </w:rPr>
            </w:pPr>
            <w:r>
              <w:rPr>
                <w:color w:val="000000"/>
                <w:sz w:val="20"/>
                <w:szCs w:val="20"/>
              </w:rPr>
              <w:t>0.663</w:t>
            </w:r>
          </w:p>
        </w:tc>
        <w:tc>
          <w:tcPr>
            <w:tcW w:w="768" w:type="dxa"/>
            <w:tcBorders>
              <w:top w:val="nil"/>
              <w:left w:val="nil"/>
              <w:bottom w:val="nil"/>
              <w:right w:val="nil"/>
            </w:tcBorders>
            <w:shd w:val="clear" w:color="auto" w:fill="auto"/>
            <w:noWrap/>
            <w:vAlign w:val="bottom"/>
            <w:hideMark/>
          </w:tcPr>
          <w:p w14:paraId="6C493B2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6F9E70" w14:textId="77777777" w:rsidR="00EF3DD9" w:rsidRDefault="00EF3DD9"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51E02FB" w14:textId="77777777" w:rsidR="00EF3DD9" w:rsidRDefault="00EF3DD9" w:rsidP="005A3B4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4B653E49"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6134DF7" w14:textId="77777777" w:rsidR="00EF3DD9" w:rsidRDefault="00EF3DD9"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DA2AF3C" w14:textId="77777777" w:rsidR="00EF3DD9" w:rsidRDefault="00EF3DD9" w:rsidP="005A3B4D">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5529549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D9FA6E9" w14:textId="77777777" w:rsidR="00EF3DD9" w:rsidRDefault="00EF3DD9"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60D301FF" w14:textId="77777777" w:rsidR="00EF3DD9" w:rsidRDefault="00EF3DD9" w:rsidP="005A3B4D">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1A008D2C" w14:textId="77777777" w:rsidR="00EF3DD9" w:rsidRDefault="00EF3DD9" w:rsidP="005A3B4D">
            <w:pPr>
              <w:jc w:val="right"/>
              <w:rPr>
                <w:color w:val="000000"/>
                <w:sz w:val="20"/>
                <w:szCs w:val="20"/>
              </w:rPr>
            </w:pPr>
            <w:r>
              <w:rPr>
                <w:color w:val="000000"/>
                <w:sz w:val="20"/>
                <w:szCs w:val="20"/>
              </w:rPr>
              <w:t>0.000</w:t>
            </w:r>
          </w:p>
        </w:tc>
      </w:tr>
      <w:tr w:rsidR="00EF3DD9" w14:paraId="1CDFDEE8" w14:textId="77777777" w:rsidTr="005A3B4D">
        <w:trPr>
          <w:trHeight w:val="320"/>
        </w:trPr>
        <w:tc>
          <w:tcPr>
            <w:tcW w:w="1176" w:type="dxa"/>
            <w:tcBorders>
              <w:top w:val="nil"/>
              <w:left w:val="nil"/>
              <w:bottom w:val="nil"/>
              <w:right w:val="nil"/>
            </w:tcBorders>
            <w:shd w:val="clear" w:color="auto" w:fill="auto"/>
            <w:noWrap/>
            <w:vAlign w:val="bottom"/>
            <w:hideMark/>
          </w:tcPr>
          <w:p w14:paraId="575C8B6A"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45D34C2" w14:textId="77777777" w:rsidR="00EF3DD9" w:rsidRDefault="00EF3DD9"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6BDA262" w14:textId="77777777" w:rsidR="00EF3DD9" w:rsidRDefault="00EF3DD9"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40B7460" w14:textId="77777777" w:rsidR="00EF3DD9" w:rsidRDefault="00EF3DD9" w:rsidP="005A3B4D">
            <w:pPr>
              <w:jc w:val="right"/>
              <w:rPr>
                <w:color w:val="000000"/>
                <w:sz w:val="20"/>
                <w:szCs w:val="20"/>
              </w:rPr>
            </w:pPr>
            <w:r>
              <w:rPr>
                <w:color w:val="000000"/>
                <w:sz w:val="20"/>
                <w:szCs w:val="20"/>
              </w:rPr>
              <w:t>0.543</w:t>
            </w:r>
          </w:p>
        </w:tc>
        <w:tc>
          <w:tcPr>
            <w:tcW w:w="768" w:type="dxa"/>
            <w:tcBorders>
              <w:top w:val="nil"/>
              <w:left w:val="nil"/>
              <w:bottom w:val="nil"/>
              <w:right w:val="nil"/>
            </w:tcBorders>
            <w:shd w:val="clear" w:color="auto" w:fill="auto"/>
            <w:noWrap/>
            <w:vAlign w:val="bottom"/>
            <w:hideMark/>
          </w:tcPr>
          <w:p w14:paraId="067C5A8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A888E2" w14:textId="77777777" w:rsidR="00EF3DD9" w:rsidRDefault="00EF3DD9"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B9842A2" w14:textId="77777777" w:rsidR="00EF3DD9" w:rsidRDefault="00EF3DD9" w:rsidP="005A3B4D">
            <w:pPr>
              <w:jc w:val="right"/>
              <w:rPr>
                <w:color w:val="000000"/>
                <w:sz w:val="20"/>
                <w:szCs w:val="20"/>
              </w:rPr>
            </w:pPr>
            <w:r>
              <w:rPr>
                <w:color w:val="000000"/>
                <w:sz w:val="20"/>
                <w:szCs w:val="20"/>
              </w:rPr>
              <w:t>0.252</w:t>
            </w:r>
          </w:p>
        </w:tc>
        <w:tc>
          <w:tcPr>
            <w:tcW w:w="768" w:type="dxa"/>
            <w:tcBorders>
              <w:top w:val="nil"/>
              <w:left w:val="nil"/>
              <w:bottom w:val="nil"/>
              <w:right w:val="nil"/>
            </w:tcBorders>
            <w:shd w:val="clear" w:color="auto" w:fill="auto"/>
            <w:noWrap/>
            <w:vAlign w:val="bottom"/>
            <w:hideMark/>
          </w:tcPr>
          <w:p w14:paraId="5B41167E"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B08D136" w14:textId="77777777" w:rsidR="00EF3DD9" w:rsidRDefault="00EF3DD9"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C4F04F8" w14:textId="77777777" w:rsidR="00EF3DD9" w:rsidRDefault="00EF3DD9" w:rsidP="005A3B4D">
            <w:pPr>
              <w:jc w:val="right"/>
              <w:rPr>
                <w:color w:val="000000"/>
                <w:sz w:val="20"/>
                <w:szCs w:val="20"/>
              </w:rPr>
            </w:pPr>
            <w:r>
              <w:rPr>
                <w:color w:val="000000"/>
                <w:sz w:val="20"/>
                <w:szCs w:val="20"/>
              </w:rPr>
              <w:t>0.443</w:t>
            </w:r>
          </w:p>
        </w:tc>
        <w:tc>
          <w:tcPr>
            <w:tcW w:w="768" w:type="dxa"/>
            <w:tcBorders>
              <w:top w:val="nil"/>
              <w:left w:val="nil"/>
              <w:bottom w:val="nil"/>
              <w:right w:val="nil"/>
            </w:tcBorders>
            <w:shd w:val="clear" w:color="auto" w:fill="auto"/>
            <w:noWrap/>
            <w:vAlign w:val="bottom"/>
            <w:hideMark/>
          </w:tcPr>
          <w:p w14:paraId="0E7E7DC8"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AC1369" w14:textId="77777777" w:rsidR="00EF3DD9" w:rsidRDefault="00EF3DD9"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5716DFF" w14:textId="77777777" w:rsidR="00EF3DD9" w:rsidRDefault="00EF3DD9" w:rsidP="005A3B4D">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7B95BB15"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37009A" w14:textId="77777777" w:rsidR="00EF3DD9" w:rsidRDefault="00EF3DD9"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B1EE40B" w14:textId="77777777" w:rsidR="00EF3DD9" w:rsidRDefault="00EF3DD9" w:rsidP="005A3B4D">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1B1F5A82" w14:textId="77777777" w:rsidR="00EF3DD9" w:rsidRDefault="00EF3DD9" w:rsidP="005A3B4D">
            <w:pPr>
              <w:jc w:val="right"/>
              <w:rPr>
                <w:color w:val="000000"/>
                <w:sz w:val="20"/>
                <w:szCs w:val="20"/>
              </w:rPr>
            </w:pPr>
            <w:r>
              <w:rPr>
                <w:color w:val="000000"/>
                <w:sz w:val="20"/>
                <w:szCs w:val="20"/>
              </w:rPr>
              <w:t>0.002</w:t>
            </w:r>
          </w:p>
        </w:tc>
      </w:tr>
      <w:tr w:rsidR="00EF3DD9" w14:paraId="2B1A54BD" w14:textId="77777777" w:rsidTr="005A3B4D">
        <w:trPr>
          <w:trHeight w:val="320"/>
        </w:trPr>
        <w:tc>
          <w:tcPr>
            <w:tcW w:w="1176" w:type="dxa"/>
            <w:tcBorders>
              <w:top w:val="nil"/>
              <w:left w:val="nil"/>
              <w:bottom w:val="nil"/>
              <w:right w:val="nil"/>
            </w:tcBorders>
            <w:shd w:val="clear" w:color="auto" w:fill="auto"/>
            <w:noWrap/>
            <w:vAlign w:val="bottom"/>
            <w:hideMark/>
          </w:tcPr>
          <w:p w14:paraId="53772E2A"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32F0D4" w14:textId="77777777" w:rsidR="00EF3DD9" w:rsidRDefault="00EF3DD9"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34DBA40" w14:textId="77777777" w:rsidR="00EF3DD9" w:rsidRDefault="00EF3DD9" w:rsidP="005A3B4D">
            <w:pPr>
              <w:jc w:val="right"/>
              <w:rPr>
                <w:b/>
                <w:bCs/>
                <w:color w:val="000000"/>
                <w:sz w:val="20"/>
                <w:szCs w:val="20"/>
              </w:rPr>
            </w:pPr>
            <w:r>
              <w:rPr>
                <w:b/>
                <w:bCs/>
                <w:color w:val="000000"/>
                <w:sz w:val="20"/>
                <w:szCs w:val="20"/>
              </w:rPr>
              <w:t>0.057</w:t>
            </w:r>
          </w:p>
        </w:tc>
        <w:tc>
          <w:tcPr>
            <w:tcW w:w="768" w:type="dxa"/>
            <w:tcBorders>
              <w:top w:val="nil"/>
              <w:left w:val="nil"/>
              <w:bottom w:val="nil"/>
              <w:right w:val="nil"/>
            </w:tcBorders>
            <w:shd w:val="clear" w:color="auto" w:fill="auto"/>
            <w:noWrap/>
            <w:vAlign w:val="bottom"/>
            <w:hideMark/>
          </w:tcPr>
          <w:p w14:paraId="77EEFCCB" w14:textId="77777777" w:rsidR="00EF3DD9" w:rsidRDefault="00EF3DD9" w:rsidP="005A3B4D">
            <w:pPr>
              <w:jc w:val="right"/>
              <w:rPr>
                <w:b/>
                <w:bCs/>
                <w:color w:val="000000"/>
                <w:sz w:val="20"/>
                <w:szCs w:val="20"/>
              </w:rPr>
            </w:pPr>
            <w:r>
              <w:rPr>
                <w:b/>
                <w:bCs/>
                <w:color w:val="000000"/>
                <w:sz w:val="20"/>
                <w:szCs w:val="20"/>
              </w:rPr>
              <w:t>0.027</w:t>
            </w:r>
          </w:p>
        </w:tc>
        <w:tc>
          <w:tcPr>
            <w:tcW w:w="768" w:type="dxa"/>
            <w:tcBorders>
              <w:top w:val="nil"/>
              <w:left w:val="nil"/>
              <w:bottom w:val="nil"/>
              <w:right w:val="nil"/>
            </w:tcBorders>
            <w:shd w:val="clear" w:color="auto" w:fill="auto"/>
            <w:noWrap/>
            <w:vAlign w:val="bottom"/>
            <w:hideMark/>
          </w:tcPr>
          <w:p w14:paraId="2664E5E5" w14:textId="77777777" w:rsidR="00EF3DD9" w:rsidRDefault="00EF3DD9" w:rsidP="005A3B4D">
            <w:pPr>
              <w:jc w:val="right"/>
              <w:rPr>
                <w:b/>
                <w:bCs/>
                <w:color w:val="000000"/>
                <w:sz w:val="20"/>
                <w:szCs w:val="20"/>
              </w:rPr>
            </w:pPr>
            <w:r>
              <w:rPr>
                <w:b/>
                <w:bCs/>
                <w:color w:val="000000"/>
                <w:sz w:val="20"/>
                <w:szCs w:val="20"/>
              </w:rPr>
              <w:t>0.003</w:t>
            </w:r>
          </w:p>
        </w:tc>
        <w:tc>
          <w:tcPr>
            <w:tcW w:w="768" w:type="dxa"/>
            <w:tcBorders>
              <w:top w:val="nil"/>
              <w:left w:val="nil"/>
              <w:bottom w:val="nil"/>
              <w:right w:val="nil"/>
            </w:tcBorders>
            <w:shd w:val="clear" w:color="auto" w:fill="auto"/>
            <w:noWrap/>
            <w:vAlign w:val="bottom"/>
            <w:hideMark/>
          </w:tcPr>
          <w:p w14:paraId="07D43645"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32B1C1" w14:textId="77777777" w:rsidR="00EF3DD9" w:rsidRDefault="00EF3DD9" w:rsidP="005A3B4D">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7ADA3E4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9361A4" w14:textId="77777777" w:rsidR="00EF3DD9" w:rsidRDefault="00EF3DD9"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E158734" w14:textId="77777777" w:rsidR="00EF3DD9" w:rsidRDefault="00EF3DD9" w:rsidP="005A3B4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0AF09954"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B36F146" w14:textId="77777777" w:rsidR="00EF3DD9" w:rsidRDefault="00EF3DD9"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5D2E865" w14:textId="77777777" w:rsidR="00EF3DD9" w:rsidRDefault="00EF3DD9" w:rsidP="005A3B4D">
            <w:pPr>
              <w:jc w:val="right"/>
              <w:rPr>
                <w:color w:val="000000"/>
                <w:sz w:val="20"/>
                <w:szCs w:val="20"/>
              </w:rPr>
            </w:pPr>
            <w:r>
              <w:rPr>
                <w:color w:val="000000"/>
                <w:sz w:val="20"/>
                <w:szCs w:val="20"/>
              </w:rPr>
              <w:t>0.557</w:t>
            </w:r>
          </w:p>
        </w:tc>
        <w:tc>
          <w:tcPr>
            <w:tcW w:w="768" w:type="dxa"/>
            <w:tcBorders>
              <w:top w:val="nil"/>
              <w:left w:val="nil"/>
              <w:bottom w:val="nil"/>
              <w:right w:val="nil"/>
            </w:tcBorders>
            <w:shd w:val="clear" w:color="auto" w:fill="auto"/>
            <w:noWrap/>
            <w:vAlign w:val="bottom"/>
            <w:hideMark/>
          </w:tcPr>
          <w:p w14:paraId="572A15A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8C780A" w14:textId="77777777" w:rsidR="00EF3DD9" w:rsidRDefault="00EF3DD9"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BE5D41A" w14:textId="77777777" w:rsidR="00EF3DD9" w:rsidRDefault="00EF3DD9" w:rsidP="005A3B4D">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5B06B353" w14:textId="77777777" w:rsidR="00EF3DD9" w:rsidRDefault="00EF3DD9" w:rsidP="005A3B4D">
            <w:pPr>
              <w:jc w:val="right"/>
              <w:rPr>
                <w:color w:val="000000"/>
                <w:sz w:val="20"/>
                <w:szCs w:val="20"/>
              </w:rPr>
            </w:pPr>
            <w:r>
              <w:rPr>
                <w:color w:val="000000"/>
                <w:sz w:val="20"/>
                <w:szCs w:val="20"/>
              </w:rPr>
              <w:t>0.001</w:t>
            </w:r>
          </w:p>
        </w:tc>
      </w:tr>
      <w:tr w:rsidR="00EF3DD9" w14:paraId="501E448C" w14:textId="77777777" w:rsidTr="005A3B4D">
        <w:trPr>
          <w:trHeight w:val="320"/>
        </w:trPr>
        <w:tc>
          <w:tcPr>
            <w:tcW w:w="1176" w:type="dxa"/>
            <w:tcBorders>
              <w:top w:val="nil"/>
              <w:left w:val="nil"/>
              <w:bottom w:val="nil"/>
              <w:right w:val="nil"/>
            </w:tcBorders>
            <w:shd w:val="clear" w:color="auto" w:fill="auto"/>
            <w:noWrap/>
            <w:vAlign w:val="bottom"/>
            <w:hideMark/>
          </w:tcPr>
          <w:p w14:paraId="2C31AB7B"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88C58D7" w14:textId="77777777" w:rsidR="00EF3DD9" w:rsidRDefault="00EF3DD9"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B38EAB4" w14:textId="77777777" w:rsidR="00EF3DD9" w:rsidRDefault="00EF3DD9" w:rsidP="005A3B4D">
            <w:pPr>
              <w:jc w:val="right"/>
              <w:rPr>
                <w:b/>
                <w:bCs/>
                <w:color w:val="000000"/>
                <w:sz w:val="20"/>
                <w:szCs w:val="20"/>
              </w:rPr>
            </w:pPr>
            <w:r>
              <w:rPr>
                <w:b/>
                <w:bCs/>
                <w:color w:val="000000"/>
                <w:sz w:val="20"/>
                <w:szCs w:val="20"/>
              </w:rPr>
              <w:t>-0.065</w:t>
            </w:r>
          </w:p>
        </w:tc>
        <w:tc>
          <w:tcPr>
            <w:tcW w:w="768" w:type="dxa"/>
            <w:tcBorders>
              <w:top w:val="nil"/>
              <w:left w:val="nil"/>
              <w:bottom w:val="nil"/>
              <w:right w:val="nil"/>
            </w:tcBorders>
            <w:shd w:val="clear" w:color="auto" w:fill="auto"/>
            <w:noWrap/>
            <w:vAlign w:val="bottom"/>
            <w:hideMark/>
          </w:tcPr>
          <w:p w14:paraId="2190B084" w14:textId="77777777" w:rsidR="00EF3DD9" w:rsidRDefault="00EF3DD9"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6D0897A" w14:textId="77777777" w:rsidR="00EF3DD9" w:rsidRDefault="00EF3DD9" w:rsidP="005A3B4D">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4936D8C6" w14:textId="77777777" w:rsidR="00EF3DD9" w:rsidRDefault="00EF3DD9"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5826FA65" w14:textId="77777777" w:rsidR="00EF3DD9" w:rsidRDefault="00EF3DD9" w:rsidP="005A3B4D">
            <w:pPr>
              <w:jc w:val="right"/>
              <w:rPr>
                <w:color w:val="000000"/>
                <w:sz w:val="20"/>
                <w:szCs w:val="20"/>
              </w:rPr>
            </w:pPr>
            <w:r>
              <w:rPr>
                <w:color w:val="000000"/>
                <w:sz w:val="20"/>
                <w:szCs w:val="20"/>
              </w:rPr>
              <w:t>0.252</w:t>
            </w:r>
          </w:p>
        </w:tc>
        <w:tc>
          <w:tcPr>
            <w:tcW w:w="768" w:type="dxa"/>
            <w:tcBorders>
              <w:top w:val="nil"/>
              <w:left w:val="nil"/>
              <w:bottom w:val="nil"/>
              <w:right w:val="nil"/>
            </w:tcBorders>
            <w:shd w:val="clear" w:color="auto" w:fill="auto"/>
            <w:noWrap/>
            <w:vAlign w:val="bottom"/>
            <w:hideMark/>
          </w:tcPr>
          <w:p w14:paraId="6A60E60E"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266A079"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26FF53" w14:textId="77777777" w:rsidR="00EF3DD9" w:rsidRDefault="00EF3DD9" w:rsidP="005A3B4D">
            <w:pPr>
              <w:jc w:val="right"/>
              <w:rPr>
                <w:color w:val="000000"/>
                <w:sz w:val="20"/>
                <w:szCs w:val="20"/>
              </w:rPr>
            </w:pPr>
            <w:r>
              <w:rPr>
                <w:color w:val="000000"/>
                <w:sz w:val="20"/>
                <w:szCs w:val="20"/>
              </w:rPr>
              <w:t>0.961</w:t>
            </w:r>
          </w:p>
        </w:tc>
        <w:tc>
          <w:tcPr>
            <w:tcW w:w="768" w:type="dxa"/>
            <w:tcBorders>
              <w:top w:val="nil"/>
              <w:left w:val="nil"/>
              <w:bottom w:val="nil"/>
              <w:right w:val="nil"/>
            </w:tcBorders>
            <w:shd w:val="clear" w:color="auto" w:fill="auto"/>
            <w:noWrap/>
            <w:vAlign w:val="bottom"/>
            <w:hideMark/>
          </w:tcPr>
          <w:p w14:paraId="311DE3ED"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BDCD98" w14:textId="77777777" w:rsidR="00EF3DD9" w:rsidRDefault="00EF3DD9"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6851989" w14:textId="77777777" w:rsidR="00EF3DD9" w:rsidRDefault="00EF3DD9" w:rsidP="005A3B4D">
            <w:pPr>
              <w:jc w:val="right"/>
              <w:rPr>
                <w:color w:val="000000"/>
                <w:sz w:val="20"/>
                <w:szCs w:val="20"/>
              </w:rPr>
            </w:pPr>
            <w:r>
              <w:rPr>
                <w:color w:val="000000"/>
                <w:sz w:val="20"/>
                <w:szCs w:val="20"/>
              </w:rPr>
              <w:t>0.454</w:t>
            </w:r>
          </w:p>
        </w:tc>
        <w:tc>
          <w:tcPr>
            <w:tcW w:w="768" w:type="dxa"/>
            <w:tcBorders>
              <w:top w:val="nil"/>
              <w:left w:val="nil"/>
              <w:bottom w:val="nil"/>
              <w:right w:val="nil"/>
            </w:tcBorders>
            <w:shd w:val="clear" w:color="auto" w:fill="auto"/>
            <w:noWrap/>
            <w:vAlign w:val="bottom"/>
            <w:hideMark/>
          </w:tcPr>
          <w:p w14:paraId="5B316406"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0D7306B" w14:textId="77777777" w:rsidR="00EF3DD9" w:rsidRDefault="00EF3DD9"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A69447A" w14:textId="77777777" w:rsidR="00EF3DD9" w:rsidRDefault="00EF3DD9" w:rsidP="005A3B4D">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2374BA5D" w14:textId="77777777" w:rsidR="00EF3DD9" w:rsidRDefault="00EF3DD9" w:rsidP="005A3B4D">
            <w:pPr>
              <w:jc w:val="right"/>
              <w:rPr>
                <w:color w:val="000000"/>
                <w:sz w:val="20"/>
                <w:szCs w:val="20"/>
              </w:rPr>
            </w:pPr>
            <w:r>
              <w:rPr>
                <w:color w:val="000000"/>
                <w:sz w:val="20"/>
                <w:szCs w:val="20"/>
              </w:rPr>
              <w:t>0.000</w:t>
            </w:r>
          </w:p>
        </w:tc>
      </w:tr>
      <w:tr w:rsidR="00EF3DD9" w14:paraId="22DC396A" w14:textId="77777777" w:rsidTr="005A3B4D">
        <w:trPr>
          <w:trHeight w:val="320"/>
        </w:trPr>
        <w:tc>
          <w:tcPr>
            <w:tcW w:w="1176" w:type="dxa"/>
            <w:tcBorders>
              <w:top w:val="nil"/>
              <w:left w:val="nil"/>
              <w:bottom w:val="nil"/>
              <w:right w:val="nil"/>
            </w:tcBorders>
            <w:shd w:val="clear" w:color="auto" w:fill="auto"/>
            <w:noWrap/>
            <w:vAlign w:val="bottom"/>
            <w:hideMark/>
          </w:tcPr>
          <w:p w14:paraId="343882A1"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F8372C" w14:textId="77777777" w:rsidR="00EF3DD9" w:rsidRDefault="00EF3DD9"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B698746"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A775EAD" w14:textId="77777777" w:rsidR="00EF3DD9" w:rsidRDefault="00EF3DD9"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2077C8F3"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64CB4D" w14:textId="77777777" w:rsidR="00EF3DD9" w:rsidRDefault="00EF3DD9"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BD80536" w14:textId="77777777" w:rsidR="00EF3DD9" w:rsidRDefault="00EF3DD9" w:rsidP="005A3B4D">
            <w:pPr>
              <w:jc w:val="right"/>
              <w:rPr>
                <w:color w:val="000000"/>
                <w:sz w:val="20"/>
                <w:szCs w:val="20"/>
              </w:rPr>
            </w:pPr>
            <w:r>
              <w:rPr>
                <w:color w:val="000000"/>
                <w:sz w:val="20"/>
                <w:szCs w:val="20"/>
              </w:rPr>
              <w:t>0.252</w:t>
            </w:r>
          </w:p>
        </w:tc>
        <w:tc>
          <w:tcPr>
            <w:tcW w:w="768" w:type="dxa"/>
            <w:tcBorders>
              <w:top w:val="nil"/>
              <w:left w:val="nil"/>
              <w:bottom w:val="nil"/>
              <w:right w:val="nil"/>
            </w:tcBorders>
            <w:shd w:val="clear" w:color="auto" w:fill="auto"/>
            <w:noWrap/>
            <w:vAlign w:val="bottom"/>
            <w:hideMark/>
          </w:tcPr>
          <w:p w14:paraId="594CEA51"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C60F72" w14:textId="77777777" w:rsidR="00EF3DD9" w:rsidRDefault="00EF3DD9"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74B8971" w14:textId="77777777" w:rsidR="00EF3DD9" w:rsidRDefault="00EF3DD9" w:rsidP="005A3B4D">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17E485CD"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EDC378" w14:textId="77777777" w:rsidR="00EF3DD9" w:rsidRDefault="00EF3DD9"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20709CB3" w14:textId="77777777" w:rsidR="00EF3DD9" w:rsidRDefault="00EF3DD9" w:rsidP="005A3B4D">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1B384B28"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9A805FC" w14:textId="77777777" w:rsidR="00EF3DD9" w:rsidRDefault="00EF3DD9"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DFA8731" w14:textId="77777777" w:rsidR="00EF3DD9" w:rsidRDefault="00EF3DD9" w:rsidP="005A3B4D">
            <w:pPr>
              <w:jc w:val="right"/>
              <w:rPr>
                <w:color w:val="000000"/>
                <w:sz w:val="20"/>
                <w:szCs w:val="20"/>
              </w:rPr>
            </w:pPr>
            <w:r>
              <w:rPr>
                <w:color w:val="000000"/>
                <w:sz w:val="20"/>
                <w:szCs w:val="20"/>
              </w:rPr>
              <w:t>0.893</w:t>
            </w:r>
          </w:p>
        </w:tc>
        <w:tc>
          <w:tcPr>
            <w:tcW w:w="768" w:type="dxa"/>
            <w:tcBorders>
              <w:top w:val="nil"/>
              <w:left w:val="nil"/>
              <w:bottom w:val="nil"/>
              <w:right w:val="nil"/>
            </w:tcBorders>
            <w:shd w:val="clear" w:color="auto" w:fill="auto"/>
            <w:noWrap/>
            <w:vAlign w:val="bottom"/>
            <w:hideMark/>
          </w:tcPr>
          <w:p w14:paraId="2F2112D5" w14:textId="77777777" w:rsidR="00EF3DD9" w:rsidRDefault="00EF3DD9" w:rsidP="005A3B4D">
            <w:pPr>
              <w:jc w:val="right"/>
              <w:rPr>
                <w:color w:val="000000"/>
                <w:sz w:val="20"/>
                <w:szCs w:val="20"/>
              </w:rPr>
            </w:pPr>
            <w:r>
              <w:rPr>
                <w:color w:val="000000"/>
                <w:sz w:val="20"/>
                <w:szCs w:val="20"/>
              </w:rPr>
              <w:t>0.000</w:t>
            </w:r>
          </w:p>
        </w:tc>
      </w:tr>
      <w:tr w:rsidR="00EF3DD9" w14:paraId="387807EC"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75936EA5" w14:textId="77777777" w:rsidR="00EF3DD9" w:rsidRDefault="00EF3DD9"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3408B9A9" w14:textId="77777777" w:rsidR="00EF3DD9" w:rsidRDefault="00EF3DD9"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4DC75CD7"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744172C7" w14:textId="77777777" w:rsidR="00EF3DD9" w:rsidRDefault="00EF3DD9" w:rsidP="005A3B4D">
            <w:pPr>
              <w:jc w:val="right"/>
              <w:rPr>
                <w:color w:val="000000"/>
                <w:sz w:val="20"/>
                <w:szCs w:val="20"/>
              </w:rPr>
            </w:pPr>
            <w:r>
              <w:rPr>
                <w:color w:val="000000"/>
                <w:sz w:val="20"/>
                <w:szCs w:val="20"/>
              </w:rPr>
              <w:t>0.882</w:t>
            </w:r>
          </w:p>
        </w:tc>
        <w:tc>
          <w:tcPr>
            <w:tcW w:w="768" w:type="dxa"/>
            <w:tcBorders>
              <w:top w:val="nil"/>
              <w:left w:val="nil"/>
              <w:bottom w:val="single" w:sz="12" w:space="0" w:color="auto"/>
              <w:right w:val="nil"/>
            </w:tcBorders>
            <w:shd w:val="clear" w:color="auto" w:fill="auto"/>
            <w:noWrap/>
            <w:vAlign w:val="bottom"/>
            <w:hideMark/>
          </w:tcPr>
          <w:p w14:paraId="0DDD31DC"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9CE783F" w14:textId="77777777" w:rsidR="00EF3DD9" w:rsidRDefault="00EF3DD9" w:rsidP="005A3B4D">
            <w:pPr>
              <w:jc w:val="right"/>
              <w:rPr>
                <w:color w:val="000000"/>
                <w:sz w:val="20"/>
                <w:szCs w:val="20"/>
              </w:rPr>
            </w:pPr>
            <w:r>
              <w:rPr>
                <w:color w:val="000000"/>
                <w:sz w:val="20"/>
                <w:szCs w:val="20"/>
              </w:rPr>
              <w:t>0.045</w:t>
            </w:r>
          </w:p>
        </w:tc>
        <w:tc>
          <w:tcPr>
            <w:tcW w:w="768" w:type="dxa"/>
            <w:tcBorders>
              <w:top w:val="nil"/>
              <w:left w:val="nil"/>
              <w:bottom w:val="single" w:sz="12" w:space="0" w:color="auto"/>
              <w:right w:val="nil"/>
            </w:tcBorders>
            <w:shd w:val="clear" w:color="auto" w:fill="auto"/>
            <w:noWrap/>
            <w:vAlign w:val="bottom"/>
            <w:hideMark/>
          </w:tcPr>
          <w:p w14:paraId="00E7F2FD" w14:textId="77777777" w:rsidR="00EF3DD9" w:rsidRDefault="00EF3DD9" w:rsidP="005A3B4D">
            <w:pPr>
              <w:jc w:val="right"/>
              <w:rPr>
                <w:color w:val="000000"/>
                <w:sz w:val="20"/>
                <w:szCs w:val="20"/>
              </w:rPr>
            </w:pPr>
            <w:r>
              <w:rPr>
                <w:color w:val="000000"/>
                <w:sz w:val="20"/>
                <w:szCs w:val="20"/>
              </w:rPr>
              <w:t>0.252</w:t>
            </w:r>
          </w:p>
        </w:tc>
        <w:tc>
          <w:tcPr>
            <w:tcW w:w="768" w:type="dxa"/>
            <w:tcBorders>
              <w:top w:val="nil"/>
              <w:left w:val="nil"/>
              <w:bottom w:val="single" w:sz="12" w:space="0" w:color="auto"/>
              <w:right w:val="nil"/>
            </w:tcBorders>
            <w:shd w:val="clear" w:color="auto" w:fill="auto"/>
            <w:noWrap/>
            <w:vAlign w:val="bottom"/>
            <w:hideMark/>
          </w:tcPr>
          <w:p w14:paraId="5D618F2D"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02BEA531" w14:textId="77777777" w:rsidR="00EF3DD9" w:rsidRDefault="00EF3DD9" w:rsidP="005A3B4D">
            <w:pPr>
              <w:jc w:val="right"/>
              <w:rPr>
                <w:color w:val="000000"/>
                <w:sz w:val="20"/>
                <w:szCs w:val="20"/>
              </w:rPr>
            </w:pPr>
            <w:r>
              <w:rPr>
                <w:color w:val="000000"/>
                <w:sz w:val="20"/>
                <w:szCs w:val="20"/>
              </w:rPr>
              <w:t>-0.023</w:t>
            </w:r>
          </w:p>
        </w:tc>
        <w:tc>
          <w:tcPr>
            <w:tcW w:w="768" w:type="dxa"/>
            <w:tcBorders>
              <w:top w:val="nil"/>
              <w:left w:val="nil"/>
              <w:bottom w:val="single" w:sz="12" w:space="0" w:color="auto"/>
              <w:right w:val="nil"/>
            </w:tcBorders>
            <w:shd w:val="clear" w:color="auto" w:fill="auto"/>
            <w:noWrap/>
            <w:vAlign w:val="bottom"/>
            <w:hideMark/>
          </w:tcPr>
          <w:p w14:paraId="66D400B2" w14:textId="77777777" w:rsidR="00EF3DD9" w:rsidRDefault="00EF3DD9" w:rsidP="005A3B4D">
            <w:pPr>
              <w:jc w:val="right"/>
              <w:rPr>
                <w:color w:val="000000"/>
                <w:sz w:val="20"/>
                <w:szCs w:val="20"/>
              </w:rPr>
            </w:pPr>
            <w:r>
              <w:rPr>
                <w:color w:val="000000"/>
                <w:sz w:val="20"/>
                <w:szCs w:val="20"/>
              </w:rPr>
              <w:t>0.450</w:t>
            </w:r>
          </w:p>
        </w:tc>
        <w:tc>
          <w:tcPr>
            <w:tcW w:w="768" w:type="dxa"/>
            <w:tcBorders>
              <w:top w:val="nil"/>
              <w:left w:val="nil"/>
              <w:bottom w:val="single" w:sz="12" w:space="0" w:color="auto"/>
              <w:right w:val="nil"/>
            </w:tcBorders>
            <w:shd w:val="clear" w:color="auto" w:fill="auto"/>
            <w:noWrap/>
            <w:vAlign w:val="bottom"/>
            <w:hideMark/>
          </w:tcPr>
          <w:p w14:paraId="6E2B99D6"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9B98A2D" w14:textId="77777777" w:rsidR="00EF3DD9" w:rsidRDefault="00EF3DD9" w:rsidP="005A3B4D">
            <w:pPr>
              <w:jc w:val="right"/>
              <w:rPr>
                <w:color w:val="000000"/>
                <w:sz w:val="20"/>
                <w:szCs w:val="20"/>
              </w:rPr>
            </w:pPr>
            <w:r>
              <w:rPr>
                <w:color w:val="000000"/>
                <w:sz w:val="20"/>
                <w:szCs w:val="20"/>
              </w:rPr>
              <w:t>0.026</w:t>
            </w:r>
          </w:p>
        </w:tc>
        <w:tc>
          <w:tcPr>
            <w:tcW w:w="768" w:type="dxa"/>
            <w:tcBorders>
              <w:top w:val="nil"/>
              <w:left w:val="nil"/>
              <w:bottom w:val="single" w:sz="12" w:space="0" w:color="auto"/>
              <w:right w:val="nil"/>
            </w:tcBorders>
            <w:shd w:val="clear" w:color="auto" w:fill="auto"/>
            <w:noWrap/>
            <w:vAlign w:val="bottom"/>
            <w:hideMark/>
          </w:tcPr>
          <w:p w14:paraId="7DF69552" w14:textId="77777777" w:rsidR="00EF3DD9" w:rsidRDefault="00EF3DD9" w:rsidP="005A3B4D">
            <w:pPr>
              <w:jc w:val="right"/>
              <w:rPr>
                <w:color w:val="000000"/>
                <w:sz w:val="20"/>
                <w:szCs w:val="20"/>
              </w:rPr>
            </w:pPr>
            <w:r>
              <w:rPr>
                <w:color w:val="000000"/>
                <w:sz w:val="20"/>
                <w:szCs w:val="20"/>
              </w:rPr>
              <w:t>0.419</w:t>
            </w:r>
          </w:p>
        </w:tc>
        <w:tc>
          <w:tcPr>
            <w:tcW w:w="768" w:type="dxa"/>
            <w:tcBorders>
              <w:top w:val="nil"/>
              <w:left w:val="nil"/>
              <w:bottom w:val="single" w:sz="12" w:space="0" w:color="auto"/>
              <w:right w:val="nil"/>
            </w:tcBorders>
            <w:shd w:val="clear" w:color="auto" w:fill="auto"/>
            <w:noWrap/>
            <w:vAlign w:val="bottom"/>
            <w:hideMark/>
          </w:tcPr>
          <w:p w14:paraId="77CB54BC"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4E7EAA81" w14:textId="77777777" w:rsidR="00EF3DD9" w:rsidRDefault="00EF3DD9" w:rsidP="005A3B4D">
            <w:pPr>
              <w:jc w:val="right"/>
              <w:rPr>
                <w:color w:val="000000"/>
                <w:sz w:val="20"/>
                <w:szCs w:val="20"/>
              </w:rPr>
            </w:pPr>
            <w:r>
              <w:rPr>
                <w:color w:val="000000"/>
                <w:sz w:val="20"/>
                <w:szCs w:val="20"/>
              </w:rPr>
              <w:t>-0.017</w:t>
            </w:r>
          </w:p>
        </w:tc>
        <w:tc>
          <w:tcPr>
            <w:tcW w:w="768" w:type="dxa"/>
            <w:tcBorders>
              <w:top w:val="nil"/>
              <w:left w:val="nil"/>
              <w:bottom w:val="single" w:sz="12" w:space="0" w:color="auto"/>
              <w:right w:val="nil"/>
            </w:tcBorders>
            <w:shd w:val="clear" w:color="auto" w:fill="auto"/>
            <w:noWrap/>
            <w:vAlign w:val="bottom"/>
            <w:hideMark/>
          </w:tcPr>
          <w:p w14:paraId="6C5FFA97" w14:textId="77777777" w:rsidR="00EF3DD9" w:rsidRDefault="00EF3DD9" w:rsidP="005A3B4D">
            <w:pPr>
              <w:jc w:val="right"/>
              <w:rPr>
                <w:color w:val="000000"/>
                <w:sz w:val="20"/>
                <w:szCs w:val="20"/>
              </w:rPr>
            </w:pPr>
            <w:r>
              <w:rPr>
                <w:color w:val="000000"/>
                <w:sz w:val="20"/>
                <w:szCs w:val="20"/>
              </w:rPr>
              <w:t>0.766</w:t>
            </w:r>
          </w:p>
        </w:tc>
        <w:tc>
          <w:tcPr>
            <w:tcW w:w="768" w:type="dxa"/>
            <w:tcBorders>
              <w:top w:val="nil"/>
              <w:left w:val="nil"/>
              <w:bottom w:val="single" w:sz="12" w:space="0" w:color="auto"/>
              <w:right w:val="nil"/>
            </w:tcBorders>
            <w:shd w:val="clear" w:color="auto" w:fill="auto"/>
            <w:noWrap/>
            <w:vAlign w:val="bottom"/>
            <w:hideMark/>
          </w:tcPr>
          <w:p w14:paraId="391D69FE" w14:textId="77777777" w:rsidR="00EF3DD9" w:rsidRDefault="00EF3DD9" w:rsidP="005A3B4D">
            <w:pPr>
              <w:jc w:val="right"/>
              <w:rPr>
                <w:color w:val="000000"/>
                <w:sz w:val="20"/>
                <w:szCs w:val="20"/>
              </w:rPr>
            </w:pPr>
            <w:r>
              <w:rPr>
                <w:color w:val="000000"/>
                <w:sz w:val="20"/>
                <w:szCs w:val="20"/>
              </w:rPr>
              <w:t>0.000</w:t>
            </w:r>
          </w:p>
        </w:tc>
      </w:tr>
      <w:tr w:rsidR="00EF3DD9" w14:paraId="61A84157"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6FD4A99F" w14:textId="77777777" w:rsidR="00EF3DD9" w:rsidRDefault="00EF3DD9"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4C7C1E24" w14:textId="77777777" w:rsidR="00EF3DD9" w:rsidRDefault="00EF3DD9"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509D1BC6"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63F6CD2"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3E91BA"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D695375"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CB35C8A"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7F1D3FB"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35E005B"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8405110"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672C0E1"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B5E716C"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1321579"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96EA99D"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56D99AA"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8AD005A"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FF33E41" w14:textId="77777777" w:rsidR="00EF3DD9" w:rsidRDefault="00EF3DD9" w:rsidP="005A3B4D">
            <w:pPr>
              <w:rPr>
                <w:sz w:val="20"/>
                <w:szCs w:val="20"/>
              </w:rPr>
            </w:pPr>
          </w:p>
        </w:tc>
      </w:tr>
    </w:tbl>
    <w:p w14:paraId="3254D55D" w14:textId="33997AD1" w:rsidR="00EF3DD9" w:rsidRDefault="00EF3DD9" w:rsidP="00EF3DD9">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bookmarkStart w:id="55" w:name="_Toc155817722"/>
      <w:r>
        <w:rPr>
          <w:rFonts w:ascii="Times New Roman" w:hAnsi="Times New Roman" w:cs="Times New Roman"/>
          <w:b/>
          <w:bCs/>
          <w:color w:val="000000" w:themeColor="text1"/>
          <w:sz w:val="24"/>
          <w:szCs w:val="24"/>
        </w:rPr>
        <w:lastRenderedPageBreak/>
        <w:t>Table 22b</w:t>
      </w:r>
      <w:r w:rsidRPr="009E2A20">
        <w:rPr>
          <w:rFonts w:ascii="Times New Roman" w:hAnsi="Times New Roman" w:cs="Times New Roman"/>
          <w:b/>
          <w:bCs/>
          <w:color w:val="000000" w:themeColor="text1"/>
          <w:sz w:val="24"/>
          <w:szCs w:val="24"/>
        </w:rPr>
        <w:t xml:space="preserve">. </w:t>
      </w:r>
      <w:r w:rsidRPr="009E2A20">
        <w:rPr>
          <w:rFonts w:ascii="Times New Roman" w:hAnsi="Times New Roman" w:cs="Times New Roman"/>
          <w:color w:val="000000" w:themeColor="text1"/>
          <w:sz w:val="24"/>
          <w:szCs w:val="24"/>
        </w:rPr>
        <w:t xml:space="preserve">Results examining the relationship between environmental stress factors obtained from </w:t>
      </w:r>
      <w:r>
        <w:rPr>
          <w:rFonts w:ascii="Times New Roman" w:hAnsi="Times New Roman" w:cs="Times New Roman"/>
          <w:color w:val="000000" w:themeColor="text1"/>
          <w:sz w:val="24"/>
          <w:szCs w:val="24"/>
        </w:rPr>
        <w:t>higher-order</w:t>
      </w:r>
      <w:r w:rsidRPr="009E2A20">
        <w:rPr>
          <w:rFonts w:ascii="Times New Roman" w:hAnsi="Times New Roman" w:cs="Times New Roman"/>
          <w:color w:val="000000" w:themeColor="text1"/>
          <w:sz w:val="24"/>
          <w:szCs w:val="24"/>
        </w:rPr>
        <w:t xml:space="preserve"> modeling and Shen-268 network </w:t>
      </w:r>
      <w:r>
        <w:rPr>
          <w:rFonts w:ascii="Times New Roman" w:hAnsi="Times New Roman" w:cs="Times New Roman"/>
          <w:color w:val="000000" w:themeColor="text1"/>
          <w:sz w:val="24"/>
          <w:szCs w:val="24"/>
        </w:rPr>
        <w:t xml:space="preserve">small world omega </w:t>
      </w:r>
      <w:r w:rsidRPr="009E2A20">
        <w:rPr>
          <w:rFonts w:ascii="Times New Roman" w:hAnsi="Times New Roman" w:cs="Times New Roman"/>
          <w:color w:val="000000" w:themeColor="text1"/>
          <w:sz w:val="24"/>
          <w:szCs w:val="24"/>
        </w:rPr>
        <w:t>during rest</w:t>
      </w:r>
      <w:r>
        <w:rPr>
          <w:rFonts w:ascii="Times New Roman" w:hAnsi="Times New Roman" w:cs="Times New Roman"/>
          <w:color w:val="000000" w:themeColor="text1"/>
          <w:sz w:val="24"/>
          <w:szCs w:val="24"/>
        </w:rPr>
        <w:t xml:space="preserve"> controlling for medication</w:t>
      </w:r>
      <w:bookmarkEnd w:id="55"/>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EF3DD9" w14:paraId="3DFF9EE8"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7B8A2321" w14:textId="77777777" w:rsidR="00EF3DD9" w:rsidRDefault="00EF3DD9"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7D729ABA" w14:textId="77777777" w:rsidR="00EF3DD9" w:rsidRDefault="00EF3DD9"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30A6C795" w14:textId="77777777" w:rsidR="00EF3DD9" w:rsidRDefault="00EF3DD9"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09437C45"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D030E12"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93FD2C7"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0862171"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4BDBD59"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E15DC3F"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7AF195A"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36C81F1"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4C1B1EC"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5D38D7D"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FE7DDB0"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D306447" w14:textId="77777777" w:rsidR="00EF3DD9" w:rsidRDefault="00EF3DD9"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483F299" w14:textId="77777777" w:rsidR="00EF3DD9" w:rsidRDefault="00EF3DD9" w:rsidP="005A3B4D">
            <w:pPr>
              <w:rPr>
                <w:sz w:val="20"/>
                <w:szCs w:val="20"/>
              </w:rPr>
            </w:pPr>
          </w:p>
        </w:tc>
        <w:tc>
          <w:tcPr>
            <w:tcW w:w="768" w:type="dxa"/>
            <w:tcBorders>
              <w:top w:val="nil"/>
              <w:left w:val="nil"/>
              <w:bottom w:val="nil"/>
              <w:right w:val="nil"/>
            </w:tcBorders>
            <w:shd w:val="clear" w:color="auto" w:fill="auto"/>
            <w:noWrap/>
            <w:vAlign w:val="bottom"/>
            <w:hideMark/>
          </w:tcPr>
          <w:p w14:paraId="04FECCB3" w14:textId="77777777" w:rsidR="00EF3DD9" w:rsidRDefault="00EF3DD9" w:rsidP="005A3B4D">
            <w:pPr>
              <w:rPr>
                <w:sz w:val="20"/>
                <w:szCs w:val="20"/>
              </w:rPr>
            </w:pPr>
          </w:p>
        </w:tc>
      </w:tr>
      <w:tr w:rsidR="00EF3DD9" w14:paraId="2CCD318E"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128006BF" w14:textId="77777777" w:rsidR="00EF3DD9" w:rsidRDefault="00EF3DD9"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548F8668" w14:textId="77777777" w:rsidR="00EF3DD9" w:rsidRDefault="00EF3DD9"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21242664" w14:textId="77777777" w:rsidR="00EF3DD9" w:rsidRDefault="00EF3DD9" w:rsidP="005A3B4D">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2E17F4E" w14:textId="77777777" w:rsidR="00EF3DD9" w:rsidRDefault="00EF3DD9"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FDD96EC" w14:textId="77777777" w:rsidR="00EF3DD9" w:rsidRDefault="00EF3DD9"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2F3AF6F" w14:textId="77777777" w:rsidR="00EF3DD9" w:rsidRDefault="00EF3DD9"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299DFBAF" w14:textId="77777777" w:rsidR="00EF3DD9" w:rsidRDefault="00EF3DD9" w:rsidP="005A3B4D">
            <w:pPr>
              <w:jc w:val="center"/>
              <w:rPr>
                <w:color w:val="000000"/>
                <w:sz w:val="20"/>
                <w:szCs w:val="20"/>
              </w:rPr>
            </w:pPr>
            <w:r>
              <w:rPr>
                <w:color w:val="000000"/>
                <w:sz w:val="20"/>
                <w:szCs w:val="20"/>
              </w:rPr>
              <w:t>Urbanicity</w:t>
            </w:r>
          </w:p>
        </w:tc>
      </w:tr>
      <w:tr w:rsidR="00EF3DD9" w14:paraId="4D086F86"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56F2EB47" w14:textId="77777777" w:rsidR="00EF3DD9" w:rsidRDefault="00EF3DD9"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4038E2B4" w14:textId="77777777" w:rsidR="00EF3DD9" w:rsidRDefault="00EF3DD9"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615DDA0C" w14:textId="77777777" w:rsidR="00EF3DD9" w:rsidRDefault="00EF3DD9"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882E336" w14:textId="77777777" w:rsidR="00EF3DD9" w:rsidRDefault="00EF3DD9" w:rsidP="005A3B4D">
            <w:pP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0537B31" w14:textId="77777777" w:rsidR="00EF3DD9" w:rsidRDefault="00EF3DD9" w:rsidP="005A3B4D">
            <w:pP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1DA9C1D9" w14:textId="77777777" w:rsidR="00EF3DD9" w:rsidRDefault="00EF3DD9"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47E5A68" w14:textId="77777777" w:rsidR="00EF3DD9" w:rsidRDefault="00EF3DD9"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4E5F0EF6" w14:textId="77777777" w:rsidR="00EF3DD9" w:rsidRDefault="00EF3DD9" w:rsidP="005A3B4D">
            <w:pPr>
              <w:jc w:val="center"/>
              <w:rPr>
                <w:i/>
                <w:iCs/>
                <w:color w:val="000000"/>
                <w:sz w:val="20"/>
                <w:szCs w:val="20"/>
              </w:rPr>
            </w:pPr>
            <w:r>
              <w:rPr>
                <w:i/>
                <w:iCs/>
                <w:color w:val="000000"/>
                <w:sz w:val="20"/>
                <w:szCs w:val="20"/>
              </w:rPr>
              <w:t>R2</w:t>
            </w:r>
          </w:p>
        </w:tc>
        <w:tc>
          <w:tcPr>
            <w:tcW w:w="768" w:type="dxa"/>
            <w:tcBorders>
              <w:top w:val="nil"/>
              <w:left w:val="nil"/>
              <w:bottom w:val="single" w:sz="12" w:space="0" w:color="auto"/>
              <w:right w:val="nil"/>
            </w:tcBorders>
            <w:shd w:val="clear" w:color="auto" w:fill="auto"/>
            <w:noWrap/>
            <w:vAlign w:val="center"/>
            <w:hideMark/>
          </w:tcPr>
          <w:p w14:paraId="2FCDE2A3" w14:textId="77777777" w:rsidR="00EF3DD9" w:rsidRDefault="00EF3DD9" w:rsidP="005A3B4D">
            <w:pP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087C56F1" w14:textId="77777777" w:rsidR="00EF3DD9" w:rsidRDefault="00EF3DD9"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25201938" w14:textId="77777777" w:rsidR="00EF3DD9" w:rsidRDefault="00EF3DD9" w:rsidP="005A3B4D">
            <w:pPr>
              <w:jc w:val="center"/>
              <w:rPr>
                <w:i/>
                <w:iCs/>
                <w:color w:val="000000"/>
                <w:sz w:val="20"/>
                <w:szCs w:val="20"/>
              </w:rPr>
            </w:pPr>
            <w:r>
              <w:rPr>
                <w:i/>
                <w:iCs/>
                <w:color w:val="000000"/>
                <w:sz w:val="20"/>
                <w:szCs w:val="20"/>
              </w:rPr>
              <w:t>R2</w:t>
            </w:r>
          </w:p>
        </w:tc>
        <w:tc>
          <w:tcPr>
            <w:tcW w:w="768" w:type="dxa"/>
            <w:tcBorders>
              <w:top w:val="nil"/>
              <w:left w:val="nil"/>
              <w:bottom w:val="single" w:sz="12" w:space="0" w:color="auto"/>
              <w:right w:val="nil"/>
            </w:tcBorders>
            <w:shd w:val="clear" w:color="auto" w:fill="auto"/>
            <w:noWrap/>
            <w:vAlign w:val="center"/>
            <w:hideMark/>
          </w:tcPr>
          <w:p w14:paraId="5B743FA0" w14:textId="77777777" w:rsidR="00EF3DD9" w:rsidRDefault="00EF3DD9" w:rsidP="005A3B4D">
            <w:pP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15B9C581" w14:textId="77777777" w:rsidR="00EF3DD9" w:rsidRDefault="00EF3DD9" w:rsidP="005A3B4D">
            <w:pP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12DA9A51" w14:textId="77777777" w:rsidR="00EF3DD9" w:rsidRDefault="00EF3DD9" w:rsidP="005A3B4D">
            <w:pP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75ECE98" w14:textId="77777777" w:rsidR="00EF3DD9" w:rsidRDefault="00EF3DD9" w:rsidP="005A3B4D">
            <w:pP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B288DC3" w14:textId="77777777" w:rsidR="00EF3DD9" w:rsidRDefault="00EF3DD9" w:rsidP="005A3B4D">
            <w:pP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DD344F0" w14:textId="77777777" w:rsidR="00EF3DD9" w:rsidRDefault="00EF3DD9" w:rsidP="005A3B4D">
            <w:pPr>
              <w:rPr>
                <w:i/>
                <w:iCs/>
                <w:color w:val="000000"/>
                <w:sz w:val="20"/>
                <w:szCs w:val="20"/>
              </w:rPr>
            </w:pPr>
            <w:r>
              <w:rPr>
                <w:i/>
                <w:iCs/>
                <w:color w:val="000000"/>
                <w:sz w:val="20"/>
                <w:szCs w:val="20"/>
              </w:rPr>
              <w:t>R2</w:t>
            </w:r>
          </w:p>
        </w:tc>
      </w:tr>
      <w:tr w:rsidR="00EF3DD9" w14:paraId="5150CAAF"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57AB3455" w14:textId="77777777" w:rsidR="00EF3DD9" w:rsidRDefault="00EF3DD9"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5E0373C0" w14:textId="77777777" w:rsidR="00EF3DD9" w:rsidRDefault="00EF3DD9"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457C628B" w14:textId="77777777" w:rsidR="00EF3DD9" w:rsidRDefault="00EF3DD9" w:rsidP="005A3B4D">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4FDD4783" w14:textId="77777777" w:rsidR="00EF3DD9" w:rsidRDefault="00EF3DD9" w:rsidP="005A3B4D">
            <w:pPr>
              <w:jc w:val="right"/>
              <w:rPr>
                <w:color w:val="000000"/>
                <w:sz w:val="20"/>
                <w:szCs w:val="20"/>
              </w:rPr>
            </w:pPr>
            <w:r>
              <w:rPr>
                <w:color w:val="000000"/>
                <w:sz w:val="20"/>
                <w:szCs w:val="20"/>
              </w:rPr>
              <w:t>0.980</w:t>
            </w:r>
          </w:p>
        </w:tc>
        <w:tc>
          <w:tcPr>
            <w:tcW w:w="768" w:type="dxa"/>
            <w:tcBorders>
              <w:top w:val="single" w:sz="12" w:space="0" w:color="auto"/>
              <w:left w:val="nil"/>
              <w:bottom w:val="nil"/>
              <w:right w:val="nil"/>
            </w:tcBorders>
            <w:shd w:val="clear" w:color="auto" w:fill="auto"/>
            <w:noWrap/>
            <w:vAlign w:val="bottom"/>
            <w:hideMark/>
          </w:tcPr>
          <w:p w14:paraId="770D3E55" w14:textId="77777777" w:rsidR="00EF3DD9" w:rsidRDefault="00EF3DD9"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21D4999" w14:textId="77777777" w:rsidR="00EF3DD9" w:rsidRDefault="00EF3DD9" w:rsidP="005A3B4D">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489D6333" w14:textId="77777777" w:rsidR="00EF3DD9" w:rsidRDefault="00EF3DD9" w:rsidP="005A3B4D">
            <w:pPr>
              <w:jc w:val="right"/>
              <w:rPr>
                <w:color w:val="000000"/>
                <w:sz w:val="20"/>
                <w:szCs w:val="20"/>
              </w:rPr>
            </w:pPr>
            <w:r>
              <w:rPr>
                <w:color w:val="000000"/>
                <w:sz w:val="20"/>
                <w:szCs w:val="20"/>
              </w:rPr>
              <w:t>0.870</w:t>
            </w:r>
          </w:p>
        </w:tc>
        <w:tc>
          <w:tcPr>
            <w:tcW w:w="768" w:type="dxa"/>
            <w:tcBorders>
              <w:top w:val="single" w:sz="12" w:space="0" w:color="auto"/>
              <w:left w:val="nil"/>
              <w:bottom w:val="nil"/>
              <w:right w:val="nil"/>
            </w:tcBorders>
            <w:shd w:val="clear" w:color="auto" w:fill="auto"/>
            <w:noWrap/>
            <w:vAlign w:val="bottom"/>
            <w:hideMark/>
          </w:tcPr>
          <w:p w14:paraId="58F37597" w14:textId="77777777" w:rsidR="00EF3DD9" w:rsidRDefault="00EF3DD9"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0EF30870" w14:textId="77777777" w:rsidR="00EF3DD9" w:rsidRDefault="00EF3DD9" w:rsidP="005A3B4D">
            <w:pPr>
              <w:jc w:val="right"/>
              <w:rPr>
                <w:color w:val="000000"/>
                <w:sz w:val="20"/>
                <w:szCs w:val="20"/>
              </w:rPr>
            </w:pPr>
            <w:r>
              <w:rPr>
                <w:color w:val="000000"/>
                <w:sz w:val="20"/>
                <w:szCs w:val="20"/>
              </w:rPr>
              <w:t>-0.017</w:t>
            </w:r>
          </w:p>
        </w:tc>
        <w:tc>
          <w:tcPr>
            <w:tcW w:w="768" w:type="dxa"/>
            <w:tcBorders>
              <w:top w:val="single" w:sz="12" w:space="0" w:color="auto"/>
              <w:left w:val="nil"/>
              <w:bottom w:val="nil"/>
              <w:right w:val="nil"/>
            </w:tcBorders>
            <w:shd w:val="clear" w:color="auto" w:fill="auto"/>
            <w:noWrap/>
            <w:vAlign w:val="bottom"/>
            <w:hideMark/>
          </w:tcPr>
          <w:p w14:paraId="1C97575A" w14:textId="77777777" w:rsidR="00EF3DD9" w:rsidRDefault="00EF3DD9" w:rsidP="005A3B4D">
            <w:pPr>
              <w:jc w:val="right"/>
              <w:rPr>
                <w:color w:val="000000"/>
                <w:sz w:val="20"/>
                <w:szCs w:val="20"/>
              </w:rPr>
            </w:pPr>
            <w:r>
              <w:rPr>
                <w:color w:val="000000"/>
                <w:sz w:val="20"/>
                <w:szCs w:val="20"/>
              </w:rPr>
              <w:t>0.526</w:t>
            </w:r>
          </w:p>
        </w:tc>
        <w:tc>
          <w:tcPr>
            <w:tcW w:w="768" w:type="dxa"/>
            <w:tcBorders>
              <w:top w:val="single" w:sz="12" w:space="0" w:color="auto"/>
              <w:left w:val="nil"/>
              <w:bottom w:val="nil"/>
              <w:right w:val="nil"/>
            </w:tcBorders>
            <w:shd w:val="clear" w:color="auto" w:fill="auto"/>
            <w:noWrap/>
            <w:vAlign w:val="bottom"/>
            <w:hideMark/>
          </w:tcPr>
          <w:p w14:paraId="74FEE70B" w14:textId="77777777" w:rsidR="00EF3DD9" w:rsidRDefault="00EF3DD9"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1F2788B" w14:textId="77777777" w:rsidR="00EF3DD9" w:rsidRDefault="00EF3DD9" w:rsidP="005A3B4D">
            <w:pPr>
              <w:jc w:val="right"/>
              <w:rPr>
                <w:color w:val="000000"/>
                <w:sz w:val="20"/>
                <w:szCs w:val="20"/>
              </w:rPr>
            </w:pPr>
            <w:r>
              <w:rPr>
                <w:color w:val="000000"/>
                <w:sz w:val="20"/>
                <w:szCs w:val="20"/>
              </w:rPr>
              <w:t>-0.014</w:t>
            </w:r>
          </w:p>
        </w:tc>
        <w:tc>
          <w:tcPr>
            <w:tcW w:w="768" w:type="dxa"/>
            <w:tcBorders>
              <w:top w:val="single" w:sz="12" w:space="0" w:color="auto"/>
              <w:left w:val="nil"/>
              <w:bottom w:val="nil"/>
              <w:right w:val="nil"/>
            </w:tcBorders>
            <w:shd w:val="clear" w:color="auto" w:fill="auto"/>
            <w:noWrap/>
            <w:vAlign w:val="bottom"/>
            <w:hideMark/>
          </w:tcPr>
          <w:p w14:paraId="7E076DE5" w14:textId="77777777" w:rsidR="00EF3DD9" w:rsidRDefault="00EF3DD9" w:rsidP="005A3B4D">
            <w:pPr>
              <w:jc w:val="right"/>
              <w:rPr>
                <w:color w:val="000000"/>
                <w:sz w:val="20"/>
                <w:szCs w:val="20"/>
              </w:rPr>
            </w:pPr>
            <w:r>
              <w:rPr>
                <w:color w:val="000000"/>
                <w:sz w:val="20"/>
                <w:szCs w:val="20"/>
              </w:rPr>
              <w:t>0.631</w:t>
            </w:r>
          </w:p>
        </w:tc>
        <w:tc>
          <w:tcPr>
            <w:tcW w:w="768" w:type="dxa"/>
            <w:tcBorders>
              <w:top w:val="single" w:sz="12" w:space="0" w:color="auto"/>
              <w:left w:val="nil"/>
              <w:bottom w:val="nil"/>
              <w:right w:val="nil"/>
            </w:tcBorders>
            <w:shd w:val="clear" w:color="auto" w:fill="auto"/>
            <w:noWrap/>
            <w:vAlign w:val="bottom"/>
            <w:hideMark/>
          </w:tcPr>
          <w:p w14:paraId="7E0FDEB4" w14:textId="77777777" w:rsidR="00EF3DD9" w:rsidRDefault="00EF3DD9" w:rsidP="005A3B4D">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1DF8A9D" w14:textId="77777777" w:rsidR="00EF3DD9" w:rsidRDefault="00EF3DD9" w:rsidP="005A3B4D">
            <w:pPr>
              <w:jc w:val="right"/>
              <w:rPr>
                <w:color w:val="000000"/>
                <w:sz w:val="20"/>
                <w:szCs w:val="20"/>
              </w:rPr>
            </w:pPr>
            <w:r>
              <w:rPr>
                <w:color w:val="000000"/>
                <w:sz w:val="20"/>
                <w:szCs w:val="20"/>
              </w:rPr>
              <w:t>0.014</w:t>
            </w:r>
          </w:p>
        </w:tc>
        <w:tc>
          <w:tcPr>
            <w:tcW w:w="768" w:type="dxa"/>
            <w:tcBorders>
              <w:top w:val="single" w:sz="12" w:space="0" w:color="auto"/>
              <w:left w:val="nil"/>
              <w:bottom w:val="nil"/>
              <w:right w:val="nil"/>
            </w:tcBorders>
            <w:shd w:val="clear" w:color="auto" w:fill="auto"/>
            <w:noWrap/>
            <w:vAlign w:val="bottom"/>
            <w:hideMark/>
          </w:tcPr>
          <w:p w14:paraId="37D5802D" w14:textId="77777777" w:rsidR="00EF3DD9" w:rsidRDefault="00EF3DD9" w:rsidP="005A3B4D">
            <w:pPr>
              <w:jc w:val="right"/>
              <w:rPr>
                <w:color w:val="000000"/>
                <w:sz w:val="20"/>
                <w:szCs w:val="20"/>
              </w:rPr>
            </w:pPr>
            <w:r>
              <w:rPr>
                <w:color w:val="000000"/>
                <w:sz w:val="20"/>
                <w:szCs w:val="20"/>
              </w:rPr>
              <w:t>0.729</w:t>
            </w:r>
          </w:p>
        </w:tc>
        <w:tc>
          <w:tcPr>
            <w:tcW w:w="768" w:type="dxa"/>
            <w:tcBorders>
              <w:top w:val="single" w:sz="12" w:space="0" w:color="auto"/>
              <w:left w:val="nil"/>
              <w:bottom w:val="nil"/>
              <w:right w:val="nil"/>
            </w:tcBorders>
            <w:shd w:val="clear" w:color="auto" w:fill="auto"/>
            <w:noWrap/>
            <w:vAlign w:val="bottom"/>
            <w:hideMark/>
          </w:tcPr>
          <w:p w14:paraId="14A321B5" w14:textId="77777777" w:rsidR="00EF3DD9" w:rsidRDefault="00EF3DD9" w:rsidP="005A3B4D">
            <w:pPr>
              <w:jc w:val="right"/>
              <w:rPr>
                <w:color w:val="000000"/>
                <w:sz w:val="20"/>
                <w:szCs w:val="20"/>
              </w:rPr>
            </w:pPr>
            <w:r>
              <w:rPr>
                <w:color w:val="000000"/>
                <w:sz w:val="20"/>
                <w:szCs w:val="20"/>
              </w:rPr>
              <w:t>0.000</w:t>
            </w:r>
          </w:p>
        </w:tc>
      </w:tr>
      <w:tr w:rsidR="00EF3DD9" w14:paraId="06EB09B3" w14:textId="77777777" w:rsidTr="005A3B4D">
        <w:trPr>
          <w:trHeight w:val="340"/>
        </w:trPr>
        <w:tc>
          <w:tcPr>
            <w:tcW w:w="1176" w:type="dxa"/>
            <w:tcBorders>
              <w:top w:val="nil"/>
              <w:left w:val="nil"/>
              <w:bottom w:val="nil"/>
              <w:right w:val="nil"/>
            </w:tcBorders>
            <w:shd w:val="clear" w:color="auto" w:fill="auto"/>
            <w:noWrap/>
            <w:vAlign w:val="bottom"/>
            <w:hideMark/>
          </w:tcPr>
          <w:p w14:paraId="237C82AD"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AADFE49" w14:textId="77777777" w:rsidR="00EF3DD9" w:rsidRDefault="00EF3DD9"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00135C1"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77CAB6" w14:textId="77777777" w:rsidR="00EF3DD9" w:rsidRDefault="00EF3DD9"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13A8784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1BA439" w14:textId="77777777" w:rsidR="00EF3DD9" w:rsidRDefault="00EF3DD9"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C77E36A" w14:textId="77777777" w:rsidR="00EF3DD9" w:rsidRDefault="00EF3DD9" w:rsidP="005A3B4D">
            <w:pPr>
              <w:jc w:val="right"/>
              <w:rPr>
                <w:color w:val="000000"/>
                <w:sz w:val="20"/>
                <w:szCs w:val="20"/>
              </w:rPr>
            </w:pPr>
            <w:r>
              <w:rPr>
                <w:color w:val="000000"/>
                <w:sz w:val="20"/>
                <w:szCs w:val="20"/>
              </w:rPr>
              <w:t>0.518</w:t>
            </w:r>
          </w:p>
        </w:tc>
        <w:tc>
          <w:tcPr>
            <w:tcW w:w="768" w:type="dxa"/>
            <w:tcBorders>
              <w:top w:val="nil"/>
              <w:left w:val="nil"/>
              <w:bottom w:val="nil"/>
              <w:right w:val="nil"/>
            </w:tcBorders>
            <w:shd w:val="clear" w:color="auto" w:fill="auto"/>
            <w:noWrap/>
            <w:vAlign w:val="bottom"/>
            <w:hideMark/>
          </w:tcPr>
          <w:p w14:paraId="7E5C48FF"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6969A1" w14:textId="77777777" w:rsidR="00EF3DD9" w:rsidRDefault="00EF3DD9"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8061D3B" w14:textId="77777777" w:rsidR="00EF3DD9" w:rsidRDefault="00EF3DD9" w:rsidP="005A3B4D">
            <w:pPr>
              <w:jc w:val="right"/>
              <w:rPr>
                <w:color w:val="000000"/>
                <w:sz w:val="20"/>
                <w:szCs w:val="20"/>
              </w:rPr>
            </w:pPr>
            <w:r>
              <w:rPr>
                <w:color w:val="000000"/>
                <w:sz w:val="20"/>
                <w:szCs w:val="20"/>
              </w:rPr>
              <w:t>0.526</w:t>
            </w:r>
          </w:p>
        </w:tc>
        <w:tc>
          <w:tcPr>
            <w:tcW w:w="768" w:type="dxa"/>
            <w:tcBorders>
              <w:top w:val="nil"/>
              <w:left w:val="nil"/>
              <w:bottom w:val="nil"/>
              <w:right w:val="nil"/>
            </w:tcBorders>
            <w:shd w:val="clear" w:color="auto" w:fill="auto"/>
            <w:noWrap/>
            <w:vAlign w:val="bottom"/>
            <w:hideMark/>
          </w:tcPr>
          <w:p w14:paraId="0D9C2ED0"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BC94E4" w14:textId="77777777" w:rsidR="00EF3DD9" w:rsidRDefault="00EF3DD9"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CA8B290" w14:textId="77777777" w:rsidR="00EF3DD9" w:rsidRDefault="00EF3DD9" w:rsidP="005A3B4D">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7ED71FF1"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F15464" w14:textId="77777777" w:rsidR="00EF3DD9" w:rsidRDefault="00EF3DD9"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4E3F5346" w14:textId="77777777" w:rsidR="00EF3DD9" w:rsidRDefault="00EF3DD9" w:rsidP="005A3B4D">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6E6A8130" w14:textId="77777777" w:rsidR="00EF3DD9" w:rsidRDefault="00EF3DD9" w:rsidP="005A3B4D">
            <w:pPr>
              <w:jc w:val="right"/>
              <w:rPr>
                <w:color w:val="000000"/>
                <w:sz w:val="20"/>
                <w:szCs w:val="20"/>
              </w:rPr>
            </w:pPr>
            <w:r>
              <w:rPr>
                <w:color w:val="000000"/>
                <w:sz w:val="20"/>
                <w:szCs w:val="20"/>
              </w:rPr>
              <w:t>0.001</w:t>
            </w:r>
          </w:p>
        </w:tc>
      </w:tr>
      <w:tr w:rsidR="00EF3DD9" w14:paraId="4D768302" w14:textId="77777777" w:rsidTr="005A3B4D">
        <w:trPr>
          <w:trHeight w:val="320"/>
        </w:trPr>
        <w:tc>
          <w:tcPr>
            <w:tcW w:w="1176" w:type="dxa"/>
            <w:tcBorders>
              <w:top w:val="nil"/>
              <w:left w:val="nil"/>
              <w:bottom w:val="nil"/>
              <w:right w:val="nil"/>
            </w:tcBorders>
            <w:shd w:val="clear" w:color="auto" w:fill="auto"/>
            <w:noWrap/>
            <w:vAlign w:val="bottom"/>
            <w:hideMark/>
          </w:tcPr>
          <w:p w14:paraId="01DFC3DD"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069B2BB" w14:textId="77777777" w:rsidR="00EF3DD9" w:rsidRDefault="00EF3DD9"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1FA6150"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D741F70" w14:textId="77777777" w:rsidR="00EF3DD9" w:rsidRDefault="00EF3DD9" w:rsidP="005A3B4D">
            <w:pPr>
              <w:jc w:val="right"/>
              <w:rPr>
                <w:color w:val="000000"/>
                <w:sz w:val="20"/>
                <w:szCs w:val="20"/>
              </w:rPr>
            </w:pPr>
            <w:r>
              <w:rPr>
                <w:color w:val="000000"/>
                <w:sz w:val="20"/>
                <w:szCs w:val="20"/>
              </w:rPr>
              <w:t>0.980</w:t>
            </w:r>
          </w:p>
        </w:tc>
        <w:tc>
          <w:tcPr>
            <w:tcW w:w="768" w:type="dxa"/>
            <w:tcBorders>
              <w:top w:val="nil"/>
              <w:left w:val="nil"/>
              <w:bottom w:val="nil"/>
              <w:right w:val="nil"/>
            </w:tcBorders>
            <w:shd w:val="clear" w:color="auto" w:fill="auto"/>
            <w:noWrap/>
            <w:vAlign w:val="bottom"/>
            <w:hideMark/>
          </w:tcPr>
          <w:p w14:paraId="5AE6CC33"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334A96D" w14:textId="77777777" w:rsidR="00EF3DD9" w:rsidRDefault="00EF3DD9"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76549FD3" w14:textId="77777777" w:rsidR="00EF3DD9" w:rsidRDefault="00EF3DD9" w:rsidP="005A3B4D">
            <w:pPr>
              <w:jc w:val="right"/>
              <w:rPr>
                <w:color w:val="000000"/>
                <w:sz w:val="20"/>
                <w:szCs w:val="20"/>
              </w:rPr>
            </w:pPr>
            <w:r>
              <w:rPr>
                <w:color w:val="000000"/>
                <w:sz w:val="20"/>
                <w:szCs w:val="20"/>
              </w:rPr>
              <w:t>0.464</w:t>
            </w:r>
          </w:p>
        </w:tc>
        <w:tc>
          <w:tcPr>
            <w:tcW w:w="768" w:type="dxa"/>
            <w:tcBorders>
              <w:top w:val="nil"/>
              <w:left w:val="nil"/>
              <w:bottom w:val="nil"/>
              <w:right w:val="nil"/>
            </w:tcBorders>
            <w:shd w:val="clear" w:color="auto" w:fill="auto"/>
            <w:noWrap/>
            <w:vAlign w:val="bottom"/>
            <w:hideMark/>
          </w:tcPr>
          <w:p w14:paraId="27844AB4"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932A858" w14:textId="77777777" w:rsidR="00EF3DD9" w:rsidRDefault="00EF3DD9" w:rsidP="005A3B4D">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47710059" w14:textId="77777777" w:rsidR="00EF3DD9" w:rsidRDefault="00EF3DD9" w:rsidP="005A3B4D">
            <w:pPr>
              <w:jc w:val="right"/>
              <w:rPr>
                <w:color w:val="000000"/>
                <w:sz w:val="20"/>
                <w:szCs w:val="20"/>
              </w:rPr>
            </w:pPr>
            <w:r>
              <w:rPr>
                <w:color w:val="000000"/>
                <w:sz w:val="20"/>
                <w:szCs w:val="20"/>
              </w:rPr>
              <w:t>0.488</w:t>
            </w:r>
          </w:p>
        </w:tc>
        <w:tc>
          <w:tcPr>
            <w:tcW w:w="768" w:type="dxa"/>
            <w:tcBorders>
              <w:top w:val="nil"/>
              <w:left w:val="nil"/>
              <w:bottom w:val="nil"/>
              <w:right w:val="nil"/>
            </w:tcBorders>
            <w:shd w:val="clear" w:color="auto" w:fill="auto"/>
            <w:noWrap/>
            <w:vAlign w:val="bottom"/>
            <w:hideMark/>
          </w:tcPr>
          <w:p w14:paraId="55274201"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E1BFAE0" w14:textId="77777777" w:rsidR="00EF3DD9" w:rsidRDefault="00EF3DD9"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2744D65" w14:textId="77777777" w:rsidR="00EF3DD9" w:rsidRDefault="00EF3DD9" w:rsidP="005A3B4D">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72CA1CB7"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EBC9097" w14:textId="77777777" w:rsidR="00EF3DD9" w:rsidRDefault="00EF3DD9" w:rsidP="005A3B4D">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3303D14A" w14:textId="77777777" w:rsidR="00EF3DD9" w:rsidRDefault="00EF3DD9" w:rsidP="005A3B4D">
            <w:pPr>
              <w:jc w:val="right"/>
              <w:rPr>
                <w:color w:val="000000"/>
                <w:sz w:val="20"/>
                <w:szCs w:val="20"/>
              </w:rPr>
            </w:pPr>
            <w:r>
              <w:rPr>
                <w:color w:val="000000"/>
                <w:sz w:val="20"/>
                <w:szCs w:val="20"/>
              </w:rPr>
              <w:t>0.723</w:t>
            </w:r>
          </w:p>
        </w:tc>
        <w:tc>
          <w:tcPr>
            <w:tcW w:w="768" w:type="dxa"/>
            <w:tcBorders>
              <w:top w:val="nil"/>
              <w:left w:val="nil"/>
              <w:bottom w:val="nil"/>
              <w:right w:val="nil"/>
            </w:tcBorders>
            <w:shd w:val="clear" w:color="auto" w:fill="auto"/>
            <w:noWrap/>
            <w:vAlign w:val="bottom"/>
            <w:hideMark/>
          </w:tcPr>
          <w:p w14:paraId="3480D4F5" w14:textId="77777777" w:rsidR="00EF3DD9" w:rsidRDefault="00EF3DD9" w:rsidP="005A3B4D">
            <w:pPr>
              <w:jc w:val="right"/>
              <w:rPr>
                <w:color w:val="000000"/>
                <w:sz w:val="20"/>
                <w:szCs w:val="20"/>
              </w:rPr>
            </w:pPr>
            <w:r>
              <w:rPr>
                <w:color w:val="000000"/>
                <w:sz w:val="20"/>
                <w:szCs w:val="20"/>
              </w:rPr>
              <w:t>0.006</w:t>
            </w:r>
          </w:p>
        </w:tc>
      </w:tr>
      <w:tr w:rsidR="00EF3DD9" w14:paraId="27F02EC7" w14:textId="77777777" w:rsidTr="005A3B4D">
        <w:trPr>
          <w:trHeight w:val="320"/>
        </w:trPr>
        <w:tc>
          <w:tcPr>
            <w:tcW w:w="1176" w:type="dxa"/>
            <w:tcBorders>
              <w:top w:val="nil"/>
              <w:left w:val="nil"/>
              <w:bottom w:val="nil"/>
              <w:right w:val="nil"/>
            </w:tcBorders>
            <w:shd w:val="clear" w:color="auto" w:fill="auto"/>
            <w:noWrap/>
            <w:vAlign w:val="bottom"/>
            <w:hideMark/>
          </w:tcPr>
          <w:p w14:paraId="568CD2EB"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384707D" w14:textId="77777777" w:rsidR="00EF3DD9" w:rsidRDefault="00EF3DD9"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ADC5390" w14:textId="77777777" w:rsidR="00EF3DD9" w:rsidRDefault="00EF3DD9" w:rsidP="005A3B4D">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317E815F" w14:textId="77777777" w:rsidR="00EF3DD9" w:rsidRDefault="00EF3DD9" w:rsidP="005A3B4D">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5D35ECFB" w14:textId="77777777" w:rsidR="00EF3DD9" w:rsidRDefault="00EF3DD9"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8D1405B"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E9EE7D6" w14:textId="77777777" w:rsidR="00EF3DD9" w:rsidRDefault="00EF3DD9" w:rsidP="005A3B4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0130AB21"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21AECF" w14:textId="77777777" w:rsidR="00EF3DD9" w:rsidRDefault="00EF3DD9"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7E3C2046" w14:textId="77777777" w:rsidR="00EF3DD9" w:rsidRDefault="00EF3DD9" w:rsidP="005A3B4D">
            <w:pPr>
              <w:jc w:val="right"/>
              <w:rPr>
                <w:color w:val="000000"/>
                <w:sz w:val="20"/>
                <w:szCs w:val="20"/>
              </w:rPr>
            </w:pPr>
            <w:r>
              <w:rPr>
                <w:color w:val="000000"/>
                <w:sz w:val="20"/>
                <w:szCs w:val="20"/>
              </w:rPr>
              <w:t>0.526</w:t>
            </w:r>
          </w:p>
        </w:tc>
        <w:tc>
          <w:tcPr>
            <w:tcW w:w="768" w:type="dxa"/>
            <w:tcBorders>
              <w:top w:val="nil"/>
              <w:left w:val="nil"/>
              <w:bottom w:val="nil"/>
              <w:right w:val="nil"/>
            </w:tcBorders>
            <w:shd w:val="clear" w:color="auto" w:fill="auto"/>
            <w:noWrap/>
            <w:vAlign w:val="bottom"/>
            <w:hideMark/>
          </w:tcPr>
          <w:p w14:paraId="63AF2A5E"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1F94B9D" w14:textId="77777777" w:rsidR="00EF3DD9" w:rsidRDefault="00EF3DD9" w:rsidP="005A3B4D">
            <w:pPr>
              <w:jc w:val="right"/>
              <w:rPr>
                <w:color w:val="000000"/>
                <w:sz w:val="20"/>
                <w:szCs w:val="20"/>
              </w:rPr>
            </w:pPr>
            <w:r>
              <w:rPr>
                <w:color w:val="000000"/>
                <w:sz w:val="20"/>
                <w:szCs w:val="20"/>
              </w:rPr>
              <w:t>0.219</w:t>
            </w:r>
          </w:p>
        </w:tc>
        <w:tc>
          <w:tcPr>
            <w:tcW w:w="768" w:type="dxa"/>
            <w:tcBorders>
              <w:top w:val="nil"/>
              <w:left w:val="nil"/>
              <w:bottom w:val="nil"/>
              <w:right w:val="nil"/>
            </w:tcBorders>
            <w:shd w:val="clear" w:color="auto" w:fill="auto"/>
            <w:noWrap/>
            <w:vAlign w:val="bottom"/>
            <w:hideMark/>
          </w:tcPr>
          <w:p w14:paraId="63D69C5A" w14:textId="77777777" w:rsidR="00EF3DD9" w:rsidRDefault="00EF3DD9" w:rsidP="005A3B4D">
            <w:pPr>
              <w:jc w:val="right"/>
              <w:rPr>
                <w:color w:val="000000"/>
                <w:sz w:val="20"/>
                <w:szCs w:val="20"/>
              </w:rPr>
            </w:pPr>
            <w:r>
              <w:rPr>
                <w:color w:val="000000"/>
                <w:sz w:val="20"/>
                <w:szCs w:val="20"/>
              </w:rPr>
              <w:t>0.128</w:t>
            </w:r>
          </w:p>
        </w:tc>
        <w:tc>
          <w:tcPr>
            <w:tcW w:w="768" w:type="dxa"/>
            <w:tcBorders>
              <w:top w:val="nil"/>
              <w:left w:val="nil"/>
              <w:bottom w:val="nil"/>
              <w:right w:val="nil"/>
            </w:tcBorders>
            <w:shd w:val="clear" w:color="auto" w:fill="auto"/>
            <w:noWrap/>
            <w:vAlign w:val="bottom"/>
            <w:hideMark/>
          </w:tcPr>
          <w:p w14:paraId="3B390C20" w14:textId="77777777" w:rsidR="00EF3DD9" w:rsidRDefault="00EF3DD9"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169302E4" w14:textId="77777777" w:rsidR="00EF3DD9" w:rsidRDefault="00EF3DD9" w:rsidP="005A3B4D">
            <w:pPr>
              <w:jc w:val="right"/>
              <w:rPr>
                <w:color w:val="000000"/>
                <w:sz w:val="20"/>
                <w:szCs w:val="20"/>
              </w:rPr>
            </w:pPr>
            <w:r>
              <w:rPr>
                <w:color w:val="000000"/>
                <w:sz w:val="20"/>
                <w:szCs w:val="20"/>
              </w:rPr>
              <w:t>-0.150</w:t>
            </w:r>
          </w:p>
        </w:tc>
        <w:tc>
          <w:tcPr>
            <w:tcW w:w="768" w:type="dxa"/>
            <w:tcBorders>
              <w:top w:val="nil"/>
              <w:left w:val="nil"/>
              <w:bottom w:val="nil"/>
              <w:right w:val="nil"/>
            </w:tcBorders>
            <w:shd w:val="clear" w:color="auto" w:fill="auto"/>
            <w:noWrap/>
            <w:vAlign w:val="bottom"/>
            <w:hideMark/>
          </w:tcPr>
          <w:p w14:paraId="20E2A173" w14:textId="77777777" w:rsidR="00EF3DD9" w:rsidRDefault="00EF3DD9" w:rsidP="005A3B4D">
            <w:pPr>
              <w:jc w:val="right"/>
              <w:rPr>
                <w:color w:val="000000"/>
                <w:sz w:val="20"/>
                <w:szCs w:val="20"/>
              </w:rPr>
            </w:pPr>
            <w:r>
              <w:rPr>
                <w:color w:val="000000"/>
                <w:sz w:val="20"/>
                <w:szCs w:val="20"/>
              </w:rPr>
              <w:t>0.723</w:t>
            </w:r>
          </w:p>
        </w:tc>
        <w:tc>
          <w:tcPr>
            <w:tcW w:w="768" w:type="dxa"/>
            <w:tcBorders>
              <w:top w:val="nil"/>
              <w:left w:val="nil"/>
              <w:bottom w:val="nil"/>
              <w:right w:val="nil"/>
            </w:tcBorders>
            <w:shd w:val="clear" w:color="auto" w:fill="auto"/>
            <w:noWrap/>
            <w:vAlign w:val="bottom"/>
            <w:hideMark/>
          </w:tcPr>
          <w:p w14:paraId="31586A3B" w14:textId="77777777" w:rsidR="00EF3DD9" w:rsidRDefault="00EF3DD9" w:rsidP="005A3B4D">
            <w:pPr>
              <w:jc w:val="right"/>
              <w:rPr>
                <w:color w:val="000000"/>
                <w:sz w:val="20"/>
                <w:szCs w:val="20"/>
              </w:rPr>
            </w:pPr>
            <w:r>
              <w:rPr>
                <w:color w:val="000000"/>
                <w:sz w:val="20"/>
                <w:szCs w:val="20"/>
              </w:rPr>
              <w:t>0.023</w:t>
            </w:r>
          </w:p>
        </w:tc>
      </w:tr>
      <w:tr w:rsidR="00EF3DD9" w14:paraId="017E5400" w14:textId="77777777" w:rsidTr="005A3B4D">
        <w:trPr>
          <w:trHeight w:val="320"/>
        </w:trPr>
        <w:tc>
          <w:tcPr>
            <w:tcW w:w="1176" w:type="dxa"/>
            <w:tcBorders>
              <w:top w:val="nil"/>
              <w:left w:val="nil"/>
              <w:bottom w:val="nil"/>
              <w:right w:val="nil"/>
            </w:tcBorders>
            <w:shd w:val="clear" w:color="auto" w:fill="auto"/>
            <w:noWrap/>
            <w:vAlign w:val="bottom"/>
            <w:hideMark/>
          </w:tcPr>
          <w:p w14:paraId="443F5DDC"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E00AB65" w14:textId="77777777" w:rsidR="00EF3DD9" w:rsidRDefault="00EF3DD9"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ABC1FCE" w14:textId="77777777" w:rsidR="00EF3DD9" w:rsidRDefault="00EF3DD9" w:rsidP="005A3B4D">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6E1CDAB4" w14:textId="77777777" w:rsidR="00EF3DD9" w:rsidRDefault="00EF3DD9" w:rsidP="005A3B4D">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63FF266C" w14:textId="77777777" w:rsidR="00EF3DD9" w:rsidRDefault="00EF3DD9"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E71E0F7" w14:textId="77777777" w:rsidR="00EF3DD9" w:rsidRDefault="00EF3DD9"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1D03482" w14:textId="77777777" w:rsidR="00EF3DD9" w:rsidRDefault="00EF3DD9" w:rsidP="005A3B4D">
            <w:pPr>
              <w:jc w:val="right"/>
              <w:rPr>
                <w:color w:val="000000"/>
                <w:sz w:val="20"/>
                <w:szCs w:val="20"/>
              </w:rPr>
            </w:pPr>
            <w:r>
              <w:rPr>
                <w:color w:val="000000"/>
                <w:sz w:val="20"/>
                <w:szCs w:val="20"/>
              </w:rPr>
              <w:t>0.693</w:t>
            </w:r>
          </w:p>
        </w:tc>
        <w:tc>
          <w:tcPr>
            <w:tcW w:w="768" w:type="dxa"/>
            <w:tcBorders>
              <w:top w:val="nil"/>
              <w:left w:val="nil"/>
              <w:bottom w:val="nil"/>
              <w:right w:val="nil"/>
            </w:tcBorders>
            <w:shd w:val="clear" w:color="auto" w:fill="auto"/>
            <w:noWrap/>
            <w:vAlign w:val="bottom"/>
            <w:hideMark/>
          </w:tcPr>
          <w:p w14:paraId="2B7B0B5C"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6FA1BE" w14:textId="77777777" w:rsidR="00EF3DD9" w:rsidRDefault="00EF3DD9"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179CADEC" w14:textId="77777777" w:rsidR="00EF3DD9" w:rsidRDefault="00EF3DD9" w:rsidP="005A3B4D">
            <w:pPr>
              <w:jc w:val="right"/>
              <w:rPr>
                <w:color w:val="000000"/>
                <w:sz w:val="20"/>
                <w:szCs w:val="20"/>
              </w:rPr>
            </w:pPr>
            <w:r>
              <w:rPr>
                <w:color w:val="000000"/>
                <w:sz w:val="20"/>
                <w:szCs w:val="20"/>
              </w:rPr>
              <w:t>0.472</w:t>
            </w:r>
          </w:p>
        </w:tc>
        <w:tc>
          <w:tcPr>
            <w:tcW w:w="768" w:type="dxa"/>
            <w:tcBorders>
              <w:top w:val="nil"/>
              <w:left w:val="nil"/>
              <w:bottom w:val="nil"/>
              <w:right w:val="nil"/>
            </w:tcBorders>
            <w:shd w:val="clear" w:color="auto" w:fill="auto"/>
            <w:noWrap/>
            <w:vAlign w:val="bottom"/>
            <w:hideMark/>
          </w:tcPr>
          <w:p w14:paraId="70C8FD8A"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9B389EC" w14:textId="77777777" w:rsidR="00EF3DD9" w:rsidRDefault="00EF3DD9" w:rsidP="005A3B4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27BF0711" w14:textId="77777777" w:rsidR="00EF3DD9" w:rsidRDefault="00EF3DD9" w:rsidP="005A3B4D">
            <w:pPr>
              <w:jc w:val="right"/>
              <w:rPr>
                <w:color w:val="000000"/>
                <w:sz w:val="20"/>
                <w:szCs w:val="20"/>
              </w:rPr>
            </w:pPr>
            <w:r>
              <w:rPr>
                <w:color w:val="000000"/>
                <w:sz w:val="20"/>
                <w:szCs w:val="20"/>
              </w:rPr>
              <w:t>0.333</w:t>
            </w:r>
          </w:p>
        </w:tc>
        <w:tc>
          <w:tcPr>
            <w:tcW w:w="768" w:type="dxa"/>
            <w:tcBorders>
              <w:top w:val="nil"/>
              <w:left w:val="nil"/>
              <w:bottom w:val="nil"/>
              <w:right w:val="nil"/>
            </w:tcBorders>
            <w:shd w:val="clear" w:color="auto" w:fill="auto"/>
            <w:noWrap/>
            <w:vAlign w:val="bottom"/>
            <w:hideMark/>
          </w:tcPr>
          <w:p w14:paraId="667ED2F7"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A704BFC" w14:textId="77777777" w:rsidR="00EF3DD9" w:rsidRDefault="00EF3DD9" w:rsidP="005A3B4D">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311FDEDC" w14:textId="77777777" w:rsidR="00EF3DD9" w:rsidRDefault="00EF3DD9" w:rsidP="005A3B4D">
            <w:pPr>
              <w:jc w:val="right"/>
              <w:rPr>
                <w:color w:val="000000"/>
                <w:sz w:val="20"/>
                <w:szCs w:val="20"/>
              </w:rPr>
            </w:pPr>
            <w:r>
              <w:rPr>
                <w:color w:val="000000"/>
                <w:sz w:val="20"/>
                <w:szCs w:val="20"/>
              </w:rPr>
              <w:t>0.723</w:t>
            </w:r>
          </w:p>
        </w:tc>
        <w:tc>
          <w:tcPr>
            <w:tcW w:w="768" w:type="dxa"/>
            <w:tcBorders>
              <w:top w:val="nil"/>
              <w:left w:val="nil"/>
              <w:bottom w:val="nil"/>
              <w:right w:val="nil"/>
            </w:tcBorders>
            <w:shd w:val="clear" w:color="auto" w:fill="auto"/>
            <w:noWrap/>
            <w:vAlign w:val="bottom"/>
            <w:hideMark/>
          </w:tcPr>
          <w:p w14:paraId="2EB56F5F" w14:textId="77777777" w:rsidR="00EF3DD9" w:rsidRDefault="00EF3DD9" w:rsidP="005A3B4D">
            <w:pPr>
              <w:jc w:val="right"/>
              <w:rPr>
                <w:color w:val="000000"/>
                <w:sz w:val="20"/>
                <w:szCs w:val="20"/>
              </w:rPr>
            </w:pPr>
            <w:r>
              <w:rPr>
                <w:color w:val="000000"/>
                <w:sz w:val="20"/>
                <w:szCs w:val="20"/>
              </w:rPr>
              <w:t>0.003</w:t>
            </w:r>
          </w:p>
        </w:tc>
      </w:tr>
      <w:tr w:rsidR="00EF3DD9" w14:paraId="06FD8868" w14:textId="77777777" w:rsidTr="005A3B4D">
        <w:trPr>
          <w:trHeight w:val="320"/>
        </w:trPr>
        <w:tc>
          <w:tcPr>
            <w:tcW w:w="1176" w:type="dxa"/>
            <w:tcBorders>
              <w:top w:val="nil"/>
              <w:left w:val="nil"/>
              <w:bottom w:val="nil"/>
              <w:right w:val="nil"/>
            </w:tcBorders>
            <w:shd w:val="clear" w:color="auto" w:fill="auto"/>
            <w:noWrap/>
            <w:vAlign w:val="bottom"/>
            <w:hideMark/>
          </w:tcPr>
          <w:p w14:paraId="66693839"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D9ED3B3" w14:textId="77777777" w:rsidR="00EF3DD9" w:rsidRDefault="00EF3DD9"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12C5C0A" w14:textId="77777777" w:rsidR="00EF3DD9" w:rsidRDefault="00EF3DD9"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1DD38F3A" w14:textId="77777777" w:rsidR="00EF3DD9" w:rsidRDefault="00EF3DD9" w:rsidP="005A3B4D">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582A6243"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D088089" w14:textId="77777777" w:rsidR="00EF3DD9" w:rsidRDefault="00EF3DD9"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A380858" w14:textId="77777777" w:rsidR="00EF3DD9" w:rsidRDefault="00EF3DD9" w:rsidP="005A3B4D">
            <w:pPr>
              <w:jc w:val="right"/>
              <w:rPr>
                <w:color w:val="000000"/>
                <w:sz w:val="20"/>
                <w:szCs w:val="20"/>
              </w:rPr>
            </w:pPr>
            <w:r>
              <w:rPr>
                <w:color w:val="000000"/>
                <w:sz w:val="20"/>
                <w:szCs w:val="20"/>
              </w:rPr>
              <w:t>0.870</w:t>
            </w:r>
          </w:p>
        </w:tc>
        <w:tc>
          <w:tcPr>
            <w:tcW w:w="768" w:type="dxa"/>
            <w:tcBorders>
              <w:top w:val="nil"/>
              <w:left w:val="nil"/>
              <w:bottom w:val="nil"/>
              <w:right w:val="nil"/>
            </w:tcBorders>
            <w:shd w:val="clear" w:color="auto" w:fill="auto"/>
            <w:noWrap/>
            <w:vAlign w:val="bottom"/>
            <w:hideMark/>
          </w:tcPr>
          <w:p w14:paraId="52A50C7B"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DCB5E9" w14:textId="77777777" w:rsidR="00EF3DD9" w:rsidRDefault="00EF3DD9"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E3B5C59" w14:textId="77777777" w:rsidR="00EF3DD9" w:rsidRDefault="00EF3DD9" w:rsidP="005A3B4D">
            <w:pPr>
              <w:jc w:val="right"/>
              <w:rPr>
                <w:color w:val="000000"/>
                <w:sz w:val="20"/>
                <w:szCs w:val="20"/>
              </w:rPr>
            </w:pPr>
            <w:r>
              <w:rPr>
                <w:color w:val="000000"/>
                <w:sz w:val="20"/>
                <w:szCs w:val="20"/>
              </w:rPr>
              <w:t>0.526</w:t>
            </w:r>
          </w:p>
        </w:tc>
        <w:tc>
          <w:tcPr>
            <w:tcW w:w="768" w:type="dxa"/>
            <w:tcBorders>
              <w:top w:val="nil"/>
              <w:left w:val="nil"/>
              <w:bottom w:val="nil"/>
              <w:right w:val="nil"/>
            </w:tcBorders>
            <w:shd w:val="clear" w:color="auto" w:fill="auto"/>
            <w:noWrap/>
            <w:vAlign w:val="bottom"/>
            <w:hideMark/>
          </w:tcPr>
          <w:p w14:paraId="56529EB8"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9FD143" w14:textId="77777777" w:rsidR="00EF3DD9" w:rsidRDefault="00EF3DD9"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202BB7B5" w14:textId="77777777" w:rsidR="00EF3DD9" w:rsidRDefault="00EF3DD9" w:rsidP="005A3B4D">
            <w:pPr>
              <w:jc w:val="right"/>
              <w:rPr>
                <w:color w:val="000000"/>
                <w:sz w:val="20"/>
                <w:szCs w:val="20"/>
              </w:rPr>
            </w:pPr>
            <w:r>
              <w:rPr>
                <w:color w:val="000000"/>
                <w:sz w:val="20"/>
                <w:szCs w:val="20"/>
              </w:rPr>
              <w:t>0.333</w:t>
            </w:r>
          </w:p>
        </w:tc>
        <w:tc>
          <w:tcPr>
            <w:tcW w:w="768" w:type="dxa"/>
            <w:tcBorders>
              <w:top w:val="nil"/>
              <w:left w:val="nil"/>
              <w:bottom w:val="nil"/>
              <w:right w:val="nil"/>
            </w:tcBorders>
            <w:shd w:val="clear" w:color="auto" w:fill="auto"/>
            <w:noWrap/>
            <w:vAlign w:val="bottom"/>
            <w:hideMark/>
          </w:tcPr>
          <w:p w14:paraId="48334F5A"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3781D2A" w14:textId="77777777" w:rsidR="00EF3DD9" w:rsidRDefault="00EF3DD9"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203BC8E" w14:textId="77777777" w:rsidR="00EF3DD9" w:rsidRDefault="00EF3DD9" w:rsidP="005A3B4D">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44658DCB" w14:textId="77777777" w:rsidR="00EF3DD9" w:rsidRDefault="00EF3DD9" w:rsidP="005A3B4D">
            <w:pPr>
              <w:jc w:val="right"/>
              <w:rPr>
                <w:color w:val="000000"/>
                <w:sz w:val="20"/>
                <w:szCs w:val="20"/>
              </w:rPr>
            </w:pPr>
            <w:r>
              <w:rPr>
                <w:color w:val="000000"/>
                <w:sz w:val="20"/>
                <w:szCs w:val="20"/>
              </w:rPr>
              <w:t>0.000</w:t>
            </w:r>
          </w:p>
        </w:tc>
      </w:tr>
      <w:tr w:rsidR="00EF3DD9" w14:paraId="6E33F236" w14:textId="77777777" w:rsidTr="005A3B4D">
        <w:trPr>
          <w:trHeight w:val="320"/>
        </w:trPr>
        <w:tc>
          <w:tcPr>
            <w:tcW w:w="1176" w:type="dxa"/>
            <w:tcBorders>
              <w:top w:val="nil"/>
              <w:left w:val="nil"/>
              <w:bottom w:val="nil"/>
              <w:right w:val="nil"/>
            </w:tcBorders>
            <w:shd w:val="clear" w:color="auto" w:fill="auto"/>
            <w:noWrap/>
            <w:vAlign w:val="bottom"/>
            <w:hideMark/>
          </w:tcPr>
          <w:p w14:paraId="4766A139"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43DE53" w14:textId="77777777" w:rsidR="00EF3DD9" w:rsidRDefault="00EF3DD9"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1B4EF18" w14:textId="77777777" w:rsidR="00EF3DD9" w:rsidRDefault="00EF3DD9"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6545367F" w14:textId="77777777" w:rsidR="00EF3DD9" w:rsidRDefault="00EF3DD9" w:rsidP="005A3B4D">
            <w:pPr>
              <w:jc w:val="right"/>
              <w:rPr>
                <w:color w:val="000000"/>
                <w:sz w:val="20"/>
                <w:szCs w:val="20"/>
              </w:rPr>
            </w:pPr>
            <w:r>
              <w:rPr>
                <w:color w:val="000000"/>
                <w:sz w:val="20"/>
                <w:szCs w:val="20"/>
              </w:rPr>
              <w:t>0.286</w:t>
            </w:r>
          </w:p>
        </w:tc>
        <w:tc>
          <w:tcPr>
            <w:tcW w:w="768" w:type="dxa"/>
            <w:tcBorders>
              <w:top w:val="nil"/>
              <w:left w:val="nil"/>
              <w:bottom w:val="nil"/>
              <w:right w:val="nil"/>
            </w:tcBorders>
            <w:shd w:val="clear" w:color="auto" w:fill="auto"/>
            <w:noWrap/>
            <w:vAlign w:val="bottom"/>
            <w:hideMark/>
          </w:tcPr>
          <w:p w14:paraId="2B488A9E"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8FA9921" w14:textId="77777777" w:rsidR="00EF3DD9" w:rsidRDefault="00EF3DD9"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60D156A3" w14:textId="77777777" w:rsidR="00EF3DD9" w:rsidRDefault="00EF3DD9" w:rsidP="005A3B4D">
            <w:pPr>
              <w:jc w:val="right"/>
              <w:rPr>
                <w:color w:val="000000"/>
                <w:sz w:val="20"/>
                <w:szCs w:val="20"/>
              </w:rPr>
            </w:pPr>
            <w:r>
              <w:rPr>
                <w:color w:val="000000"/>
                <w:sz w:val="20"/>
                <w:szCs w:val="20"/>
              </w:rPr>
              <w:t>0.518</w:t>
            </w:r>
          </w:p>
        </w:tc>
        <w:tc>
          <w:tcPr>
            <w:tcW w:w="768" w:type="dxa"/>
            <w:tcBorders>
              <w:top w:val="nil"/>
              <w:left w:val="nil"/>
              <w:bottom w:val="nil"/>
              <w:right w:val="nil"/>
            </w:tcBorders>
            <w:shd w:val="clear" w:color="auto" w:fill="auto"/>
            <w:noWrap/>
            <w:vAlign w:val="bottom"/>
            <w:hideMark/>
          </w:tcPr>
          <w:p w14:paraId="59F58846"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79D633" w14:textId="77777777" w:rsidR="00EF3DD9" w:rsidRDefault="00EF3DD9"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C1B242A" w14:textId="77777777" w:rsidR="00EF3DD9" w:rsidRDefault="00EF3DD9" w:rsidP="005A3B4D">
            <w:pPr>
              <w:jc w:val="right"/>
              <w:rPr>
                <w:color w:val="000000"/>
                <w:sz w:val="20"/>
                <w:szCs w:val="20"/>
              </w:rPr>
            </w:pPr>
            <w:r>
              <w:rPr>
                <w:color w:val="000000"/>
                <w:sz w:val="20"/>
                <w:szCs w:val="20"/>
              </w:rPr>
              <w:t>0.526</w:t>
            </w:r>
          </w:p>
        </w:tc>
        <w:tc>
          <w:tcPr>
            <w:tcW w:w="768" w:type="dxa"/>
            <w:tcBorders>
              <w:top w:val="nil"/>
              <w:left w:val="nil"/>
              <w:bottom w:val="nil"/>
              <w:right w:val="nil"/>
            </w:tcBorders>
            <w:shd w:val="clear" w:color="auto" w:fill="auto"/>
            <w:noWrap/>
            <w:vAlign w:val="bottom"/>
            <w:hideMark/>
          </w:tcPr>
          <w:p w14:paraId="48473D98"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12BDFE" w14:textId="77777777" w:rsidR="00EF3DD9" w:rsidRDefault="00EF3DD9"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1A0FA7F2" w14:textId="77777777" w:rsidR="00EF3DD9" w:rsidRDefault="00EF3DD9" w:rsidP="005A3B4D">
            <w:pPr>
              <w:jc w:val="right"/>
              <w:rPr>
                <w:color w:val="000000"/>
                <w:sz w:val="20"/>
                <w:szCs w:val="20"/>
              </w:rPr>
            </w:pPr>
            <w:r>
              <w:rPr>
                <w:color w:val="000000"/>
                <w:sz w:val="20"/>
                <w:szCs w:val="20"/>
              </w:rPr>
              <w:t>0.333</w:t>
            </w:r>
          </w:p>
        </w:tc>
        <w:tc>
          <w:tcPr>
            <w:tcW w:w="768" w:type="dxa"/>
            <w:tcBorders>
              <w:top w:val="nil"/>
              <w:left w:val="nil"/>
              <w:bottom w:val="nil"/>
              <w:right w:val="nil"/>
            </w:tcBorders>
            <w:shd w:val="clear" w:color="auto" w:fill="auto"/>
            <w:noWrap/>
            <w:vAlign w:val="bottom"/>
            <w:hideMark/>
          </w:tcPr>
          <w:p w14:paraId="65AAAD54"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C8551E" w14:textId="77777777" w:rsidR="00EF3DD9" w:rsidRDefault="00EF3DD9"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376456E" w14:textId="77777777" w:rsidR="00EF3DD9" w:rsidRDefault="00EF3DD9" w:rsidP="005A3B4D">
            <w:pPr>
              <w:jc w:val="right"/>
              <w:rPr>
                <w:color w:val="000000"/>
                <w:sz w:val="20"/>
                <w:szCs w:val="20"/>
              </w:rPr>
            </w:pPr>
            <w:r>
              <w:rPr>
                <w:color w:val="000000"/>
                <w:sz w:val="20"/>
                <w:szCs w:val="20"/>
              </w:rPr>
              <w:t>0.729</w:t>
            </w:r>
          </w:p>
        </w:tc>
        <w:tc>
          <w:tcPr>
            <w:tcW w:w="768" w:type="dxa"/>
            <w:tcBorders>
              <w:top w:val="nil"/>
              <w:left w:val="nil"/>
              <w:bottom w:val="nil"/>
              <w:right w:val="nil"/>
            </w:tcBorders>
            <w:shd w:val="clear" w:color="auto" w:fill="auto"/>
            <w:noWrap/>
            <w:vAlign w:val="bottom"/>
            <w:hideMark/>
          </w:tcPr>
          <w:p w14:paraId="0B524529" w14:textId="77777777" w:rsidR="00EF3DD9" w:rsidRDefault="00EF3DD9" w:rsidP="005A3B4D">
            <w:pPr>
              <w:jc w:val="right"/>
              <w:rPr>
                <w:color w:val="000000"/>
                <w:sz w:val="20"/>
                <w:szCs w:val="20"/>
              </w:rPr>
            </w:pPr>
            <w:r>
              <w:rPr>
                <w:color w:val="000000"/>
                <w:sz w:val="20"/>
                <w:szCs w:val="20"/>
              </w:rPr>
              <w:t>0.000</w:t>
            </w:r>
          </w:p>
        </w:tc>
      </w:tr>
      <w:tr w:rsidR="00EF3DD9" w14:paraId="409BA8A3"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59DFE3EC" w14:textId="77777777" w:rsidR="00EF3DD9" w:rsidRDefault="00EF3DD9"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D37BA8F" w14:textId="77777777" w:rsidR="00EF3DD9" w:rsidRDefault="00EF3DD9"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DFCFA61" w14:textId="77777777" w:rsidR="00EF3DD9" w:rsidRDefault="00EF3DD9" w:rsidP="005A3B4D">
            <w:pPr>
              <w:jc w:val="right"/>
              <w:rPr>
                <w:color w:val="000000"/>
                <w:sz w:val="20"/>
                <w:szCs w:val="20"/>
              </w:rPr>
            </w:pPr>
            <w:r>
              <w:rPr>
                <w:color w:val="000000"/>
                <w:sz w:val="20"/>
                <w:szCs w:val="20"/>
              </w:rPr>
              <w:t>-0.061</w:t>
            </w:r>
          </w:p>
        </w:tc>
        <w:tc>
          <w:tcPr>
            <w:tcW w:w="768" w:type="dxa"/>
            <w:tcBorders>
              <w:top w:val="nil"/>
              <w:left w:val="nil"/>
              <w:bottom w:val="single" w:sz="4" w:space="0" w:color="auto"/>
              <w:right w:val="nil"/>
            </w:tcBorders>
            <w:shd w:val="clear" w:color="auto" w:fill="auto"/>
            <w:noWrap/>
            <w:vAlign w:val="bottom"/>
            <w:hideMark/>
          </w:tcPr>
          <w:p w14:paraId="4D1E53F3" w14:textId="77777777" w:rsidR="00EF3DD9" w:rsidRDefault="00EF3DD9" w:rsidP="005A3B4D">
            <w:pPr>
              <w:jc w:val="right"/>
              <w:rPr>
                <w:color w:val="000000"/>
                <w:sz w:val="20"/>
                <w:szCs w:val="20"/>
              </w:rPr>
            </w:pPr>
            <w:r>
              <w:rPr>
                <w:color w:val="000000"/>
                <w:sz w:val="20"/>
                <w:szCs w:val="20"/>
              </w:rPr>
              <w:t>0.286</w:t>
            </w:r>
          </w:p>
        </w:tc>
        <w:tc>
          <w:tcPr>
            <w:tcW w:w="768" w:type="dxa"/>
            <w:tcBorders>
              <w:top w:val="nil"/>
              <w:left w:val="nil"/>
              <w:bottom w:val="single" w:sz="4" w:space="0" w:color="auto"/>
              <w:right w:val="nil"/>
            </w:tcBorders>
            <w:shd w:val="clear" w:color="auto" w:fill="auto"/>
            <w:noWrap/>
            <w:vAlign w:val="bottom"/>
            <w:hideMark/>
          </w:tcPr>
          <w:p w14:paraId="1F875CA8"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26FA6888" w14:textId="77777777" w:rsidR="00EF3DD9" w:rsidRDefault="00EF3DD9" w:rsidP="005A3B4D">
            <w:pPr>
              <w:jc w:val="right"/>
              <w:rPr>
                <w:color w:val="000000"/>
                <w:sz w:val="20"/>
                <w:szCs w:val="20"/>
              </w:rPr>
            </w:pPr>
            <w:r>
              <w:rPr>
                <w:color w:val="000000"/>
                <w:sz w:val="20"/>
                <w:szCs w:val="20"/>
              </w:rPr>
              <w:t>0.093</w:t>
            </w:r>
          </w:p>
        </w:tc>
        <w:tc>
          <w:tcPr>
            <w:tcW w:w="768" w:type="dxa"/>
            <w:tcBorders>
              <w:top w:val="nil"/>
              <w:left w:val="nil"/>
              <w:bottom w:val="single" w:sz="4" w:space="0" w:color="auto"/>
              <w:right w:val="nil"/>
            </w:tcBorders>
            <w:shd w:val="clear" w:color="auto" w:fill="auto"/>
            <w:noWrap/>
            <w:vAlign w:val="bottom"/>
            <w:hideMark/>
          </w:tcPr>
          <w:p w14:paraId="6F88F887" w14:textId="77777777" w:rsidR="00EF3DD9" w:rsidRDefault="00EF3DD9" w:rsidP="005A3B4D">
            <w:pPr>
              <w:jc w:val="right"/>
              <w:rPr>
                <w:color w:val="000000"/>
                <w:sz w:val="20"/>
                <w:szCs w:val="20"/>
              </w:rPr>
            </w:pPr>
            <w:r>
              <w:rPr>
                <w:color w:val="000000"/>
                <w:sz w:val="20"/>
                <w:szCs w:val="20"/>
              </w:rPr>
              <w:t>0.072</w:t>
            </w:r>
          </w:p>
        </w:tc>
        <w:tc>
          <w:tcPr>
            <w:tcW w:w="768" w:type="dxa"/>
            <w:tcBorders>
              <w:top w:val="nil"/>
              <w:left w:val="nil"/>
              <w:bottom w:val="single" w:sz="4" w:space="0" w:color="auto"/>
              <w:right w:val="nil"/>
            </w:tcBorders>
            <w:shd w:val="clear" w:color="auto" w:fill="auto"/>
            <w:noWrap/>
            <w:vAlign w:val="bottom"/>
            <w:hideMark/>
          </w:tcPr>
          <w:p w14:paraId="74B34C0D" w14:textId="77777777" w:rsidR="00EF3DD9" w:rsidRDefault="00EF3DD9" w:rsidP="005A3B4D">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1D79760D" w14:textId="77777777" w:rsidR="00EF3DD9" w:rsidRDefault="00EF3DD9" w:rsidP="005A3B4D">
            <w:pPr>
              <w:jc w:val="right"/>
              <w:rPr>
                <w:color w:val="000000"/>
                <w:sz w:val="20"/>
                <w:szCs w:val="20"/>
              </w:rPr>
            </w:pPr>
            <w:r>
              <w:rPr>
                <w:color w:val="000000"/>
                <w:sz w:val="20"/>
                <w:szCs w:val="20"/>
              </w:rPr>
              <w:t>-0.024</w:t>
            </w:r>
          </w:p>
        </w:tc>
        <w:tc>
          <w:tcPr>
            <w:tcW w:w="768" w:type="dxa"/>
            <w:tcBorders>
              <w:top w:val="nil"/>
              <w:left w:val="nil"/>
              <w:bottom w:val="single" w:sz="4" w:space="0" w:color="auto"/>
              <w:right w:val="nil"/>
            </w:tcBorders>
            <w:shd w:val="clear" w:color="auto" w:fill="auto"/>
            <w:noWrap/>
            <w:vAlign w:val="bottom"/>
            <w:hideMark/>
          </w:tcPr>
          <w:p w14:paraId="57B296C8" w14:textId="77777777" w:rsidR="00EF3DD9" w:rsidRDefault="00EF3DD9" w:rsidP="005A3B4D">
            <w:pPr>
              <w:jc w:val="right"/>
              <w:rPr>
                <w:color w:val="000000"/>
                <w:sz w:val="20"/>
                <w:szCs w:val="20"/>
              </w:rPr>
            </w:pPr>
            <w:r>
              <w:rPr>
                <w:color w:val="000000"/>
                <w:sz w:val="20"/>
                <w:szCs w:val="20"/>
              </w:rPr>
              <w:t>0.526</w:t>
            </w:r>
          </w:p>
        </w:tc>
        <w:tc>
          <w:tcPr>
            <w:tcW w:w="768" w:type="dxa"/>
            <w:tcBorders>
              <w:top w:val="nil"/>
              <w:left w:val="nil"/>
              <w:bottom w:val="single" w:sz="4" w:space="0" w:color="auto"/>
              <w:right w:val="nil"/>
            </w:tcBorders>
            <w:shd w:val="clear" w:color="auto" w:fill="auto"/>
            <w:noWrap/>
            <w:vAlign w:val="bottom"/>
            <w:hideMark/>
          </w:tcPr>
          <w:p w14:paraId="794F4A20"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1DB94CC" w14:textId="77777777" w:rsidR="00EF3DD9" w:rsidRDefault="00EF3DD9" w:rsidP="005A3B4D">
            <w:pPr>
              <w:jc w:val="right"/>
              <w:rPr>
                <w:color w:val="000000"/>
                <w:sz w:val="20"/>
                <w:szCs w:val="20"/>
              </w:rPr>
            </w:pPr>
            <w:r>
              <w:rPr>
                <w:color w:val="000000"/>
                <w:sz w:val="20"/>
                <w:szCs w:val="20"/>
              </w:rPr>
              <w:t>-0.093</w:t>
            </w:r>
          </w:p>
        </w:tc>
        <w:tc>
          <w:tcPr>
            <w:tcW w:w="768" w:type="dxa"/>
            <w:tcBorders>
              <w:top w:val="nil"/>
              <w:left w:val="nil"/>
              <w:bottom w:val="single" w:sz="4" w:space="0" w:color="auto"/>
              <w:right w:val="nil"/>
            </w:tcBorders>
            <w:shd w:val="clear" w:color="auto" w:fill="auto"/>
            <w:noWrap/>
            <w:vAlign w:val="bottom"/>
            <w:hideMark/>
          </w:tcPr>
          <w:p w14:paraId="0FE85AF6" w14:textId="77777777" w:rsidR="00EF3DD9" w:rsidRDefault="00EF3DD9" w:rsidP="005A3B4D">
            <w:pPr>
              <w:jc w:val="right"/>
              <w:rPr>
                <w:color w:val="000000"/>
                <w:sz w:val="20"/>
                <w:szCs w:val="20"/>
              </w:rPr>
            </w:pPr>
            <w:r>
              <w:rPr>
                <w:color w:val="000000"/>
                <w:sz w:val="20"/>
                <w:szCs w:val="20"/>
              </w:rPr>
              <w:t>0.128</w:t>
            </w:r>
          </w:p>
        </w:tc>
        <w:tc>
          <w:tcPr>
            <w:tcW w:w="768" w:type="dxa"/>
            <w:tcBorders>
              <w:top w:val="nil"/>
              <w:left w:val="nil"/>
              <w:bottom w:val="single" w:sz="4" w:space="0" w:color="auto"/>
              <w:right w:val="nil"/>
            </w:tcBorders>
            <w:shd w:val="clear" w:color="auto" w:fill="auto"/>
            <w:noWrap/>
            <w:vAlign w:val="bottom"/>
            <w:hideMark/>
          </w:tcPr>
          <w:p w14:paraId="5FF644CA" w14:textId="77777777" w:rsidR="00EF3DD9" w:rsidRDefault="00EF3DD9" w:rsidP="005A3B4D">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05B9E6C8" w14:textId="77777777" w:rsidR="00EF3DD9" w:rsidRDefault="00EF3DD9" w:rsidP="005A3B4D">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47D741A0" w14:textId="77777777" w:rsidR="00EF3DD9" w:rsidRDefault="00EF3DD9" w:rsidP="005A3B4D">
            <w:pPr>
              <w:jc w:val="right"/>
              <w:rPr>
                <w:color w:val="000000"/>
                <w:sz w:val="20"/>
                <w:szCs w:val="20"/>
              </w:rPr>
            </w:pPr>
            <w:r>
              <w:rPr>
                <w:color w:val="000000"/>
                <w:sz w:val="20"/>
                <w:szCs w:val="20"/>
              </w:rPr>
              <w:t>0.729</w:t>
            </w:r>
          </w:p>
        </w:tc>
        <w:tc>
          <w:tcPr>
            <w:tcW w:w="768" w:type="dxa"/>
            <w:tcBorders>
              <w:top w:val="nil"/>
              <w:left w:val="nil"/>
              <w:bottom w:val="single" w:sz="4" w:space="0" w:color="auto"/>
              <w:right w:val="nil"/>
            </w:tcBorders>
            <w:shd w:val="clear" w:color="auto" w:fill="auto"/>
            <w:noWrap/>
            <w:vAlign w:val="bottom"/>
            <w:hideMark/>
          </w:tcPr>
          <w:p w14:paraId="27FD6F18" w14:textId="77777777" w:rsidR="00EF3DD9" w:rsidRDefault="00EF3DD9" w:rsidP="005A3B4D">
            <w:pPr>
              <w:jc w:val="right"/>
              <w:rPr>
                <w:color w:val="000000"/>
                <w:sz w:val="20"/>
                <w:szCs w:val="20"/>
              </w:rPr>
            </w:pPr>
            <w:r>
              <w:rPr>
                <w:color w:val="000000"/>
                <w:sz w:val="20"/>
                <w:szCs w:val="20"/>
              </w:rPr>
              <w:t>0.000</w:t>
            </w:r>
          </w:p>
        </w:tc>
      </w:tr>
      <w:tr w:rsidR="00EF3DD9" w14:paraId="3521FB78" w14:textId="77777777" w:rsidTr="005A3B4D">
        <w:trPr>
          <w:trHeight w:val="320"/>
        </w:trPr>
        <w:tc>
          <w:tcPr>
            <w:tcW w:w="1176" w:type="dxa"/>
            <w:tcBorders>
              <w:top w:val="nil"/>
              <w:left w:val="nil"/>
              <w:bottom w:val="nil"/>
              <w:right w:val="nil"/>
            </w:tcBorders>
            <w:shd w:val="clear" w:color="auto" w:fill="auto"/>
            <w:noWrap/>
            <w:vAlign w:val="bottom"/>
            <w:hideMark/>
          </w:tcPr>
          <w:p w14:paraId="2EA1428B" w14:textId="77777777" w:rsidR="00EF3DD9" w:rsidRDefault="00EF3DD9"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7B82935A" w14:textId="77777777" w:rsidR="00EF3DD9" w:rsidRDefault="00EF3DD9"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B5BE120" w14:textId="77777777" w:rsidR="00EF3DD9" w:rsidRDefault="00EF3DD9" w:rsidP="005A3B4D">
            <w:pPr>
              <w:jc w:val="right"/>
              <w:rPr>
                <w:b/>
                <w:bCs/>
                <w:color w:val="000000"/>
                <w:sz w:val="20"/>
                <w:szCs w:val="20"/>
              </w:rPr>
            </w:pPr>
            <w:r>
              <w:rPr>
                <w:b/>
                <w:bCs/>
                <w:color w:val="000000"/>
                <w:sz w:val="20"/>
                <w:szCs w:val="20"/>
              </w:rPr>
              <w:t>-0.098</w:t>
            </w:r>
          </w:p>
        </w:tc>
        <w:tc>
          <w:tcPr>
            <w:tcW w:w="768" w:type="dxa"/>
            <w:tcBorders>
              <w:top w:val="nil"/>
              <w:left w:val="nil"/>
              <w:bottom w:val="nil"/>
              <w:right w:val="nil"/>
            </w:tcBorders>
            <w:shd w:val="clear" w:color="auto" w:fill="auto"/>
            <w:noWrap/>
            <w:vAlign w:val="bottom"/>
            <w:hideMark/>
          </w:tcPr>
          <w:p w14:paraId="6ED86529" w14:textId="77777777" w:rsidR="00EF3DD9" w:rsidRDefault="00EF3DD9"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7EADBC3E" w14:textId="77777777" w:rsidR="00EF3DD9" w:rsidRDefault="00EF3DD9" w:rsidP="005A3B4D">
            <w:pPr>
              <w:jc w:val="right"/>
              <w:rPr>
                <w:b/>
                <w:bCs/>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6A1B9B85" w14:textId="77777777" w:rsidR="00EF3DD9" w:rsidRDefault="00EF3DD9"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02A270A" w14:textId="77777777" w:rsidR="00EF3DD9" w:rsidRDefault="00EF3DD9" w:rsidP="005A3B4D">
            <w:pPr>
              <w:jc w:val="right"/>
              <w:rPr>
                <w:color w:val="000000"/>
                <w:sz w:val="20"/>
                <w:szCs w:val="20"/>
              </w:rPr>
            </w:pPr>
            <w:r>
              <w:rPr>
                <w:color w:val="000000"/>
                <w:sz w:val="20"/>
                <w:szCs w:val="20"/>
              </w:rPr>
              <w:t>0.779</w:t>
            </w:r>
          </w:p>
        </w:tc>
        <w:tc>
          <w:tcPr>
            <w:tcW w:w="768" w:type="dxa"/>
            <w:tcBorders>
              <w:top w:val="nil"/>
              <w:left w:val="nil"/>
              <w:bottom w:val="nil"/>
              <w:right w:val="nil"/>
            </w:tcBorders>
            <w:shd w:val="clear" w:color="auto" w:fill="auto"/>
            <w:noWrap/>
            <w:vAlign w:val="bottom"/>
            <w:hideMark/>
          </w:tcPr>
          <w:p w14:paraId="2C288FC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20F41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415A5F" w14:textId="77777777" w:rsidR="00EF3DD9" w:rsidRDefault="00EF3DD9"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2834A895"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342D35" w14:textId="77777777" w:rsidR="00EF3DD9" w:rsidRDefault="00EF3DD9" w:rsidP="005A3B4D">
            <w:pPr>
              <w:jc w:val="right"/>
              <w:rPr>
                <w:b/>
                <w:bCs/>
                <w:color w:val="000000"/>
                <w:sz w:val="20"/>
                <w:szCs w:val="20"/>
              </w:rPr>
            </w:pPr>
            <w:r>
              <w:rPr>
                <w:b/>
                <w:bCs/>
                <w:color w:val="000000"/>
                <w:sz w:val="20"/>
                <w:szCs w:val="20"/>
              </w:rPr>
              <w:t>-0.087</w:t>
            </w:r>
          </w:p>
        </w:tc>
        <w:tc>
          <w:tcPr>
            <w:tcW w:w="768" w:type="dxa"/>
            <w:tcBorders>
              <w:top w:val="nil"/>
              <w:left w:val="nil"/>
              <w:bottom w:val="nil"/>
              <w:right w:val="nil"/>
            </w:tcBorders>
            <w:shd w:val="clear" w:color="auto" w:fill="auto"/>
            <w:noWrap/>
            <w:vAlign w:val="bottom"/>
            <w:hideMark/>
          </w:tcPr>
          <w:p w14:paraId="77B6EBE5" w14:textId="77777777" w:rsidR="00EF3DD9" w:rsidRDefault="00EF3DD9"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F849F63" w14:textId="77777777" w:rsidR="00EF3DD9" w:rsidRDefault="00EF3DD9"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DE361B8"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728B7FE" w14:textId="77777777" w:rsidR="00EF3DD9" w:rsidRDefault="00EF3DD9" w:rsidP="005A3B4D">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7027778B" w14:textId="77777777" w:rsidR="00EF3DD9" w:rsidRDefault="00EF3DD9" w:rsidP="005A3B4D">
            <w:pPr>
              <w:jc w:val="right"/>
              <w:rPr>
                <w:color w:val="000000"/>
                <w:sz w:val="20"/>
                <w:szCs w:val="20"/>
              </w:rPr>
            </w:pPr>
            <w:r>
              <w:rPr>
                <w:color w:val="000000"/>
                <w:sz w:val="20"/>
                <w:szCs w:val="20"/>
              </w:rPr>
              <w:t>0.000</w:t>
            </w:r>
          </w:p>
        </w:tc>
      </w:tr>
      <w:tr w:rsidR="00EF3DD9" w14:paraId="24C0B3D5" w14:textId="77777777" w:rsidTr="005A3B4D">
        <w:trPr>
          <w:trHeight w:val="320"/>
        </w:trPr>
        <w:tc>
          <w:tcPr>
            <w:tcW w:w="1176" w:type="dxa"/>
            <w:tcBorders>
              <w:top w:val="nil"/>
              <w:left w:val="nil"/>
              <w:bottom w:val="nil"/>
              <w:right w:val="nil"/>
            </w:tcBorders>
            <w:shd w:val="clear" w:color="auto" w:fill="auto"/>
            <w:noWrap/>
            <w:vAlign w:val="bottom"/>
            <w:hideMark/>
          </w:tcPr>
          <w:p w14:paraId="73B8FAB0"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A7638D0" w14:textId="77777777" w:rsidR="00EF3DD9" w:rsidRDefault="00EF3DD9"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46E353D" w14:textId="77777777" w:rsidR="00EF3DD9" w:rsidRDefault="00EF3DD9"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2FD4F68" w14:textId="77777777" w:rsidR="00EF3DD9" w:rsidRDefault="00EF3DD9" w:rsidP="005A3B4D">
            <w:pPr>
              <w:jc w:val="right"/>
              <w:rPr>
                <w:color w:val="000000"/>
                <w:sz w:val="20"/>
                <w:szCs w:val="20"/>
              </w:rPr>
            </w:pPr>
            <w:r>
              <w:rPr>
                <w:color w:val="000000"/>
                <w:sz w:val="20"/>
                <w:szCs w:val="20"/>
              </w:rPr>
              <w:t>0.609</w:t>
            </w:r>
          </w:p>
        </w:tc>
        <w:tc>
          <w:tcPr>
            <w:tcW w:w="768" w:type="dxa"/>
            <w:tcBorders>
              <w:top w:val="nil"/>
              <w:left w:val="nil"/>
              <w:bottom w:val="nil"/>
              <w:right w:val="nil"/>
            </w:tcBorders>
            <w:shd w:val="clear" w:color="auto" w:fill="auto"/>
            <w:noWrap/>
            <w:vAlign w:val="bottom"/>
            <w:hideMark/>
          </w:tcPr>
          <w:p w14:paraId="5ADC3859"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6A99EE" w14:textId="77777777" w:rsidR="00EF3DD9" w:rsidRDefault="00EF3DD9"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DA01302" w14:textId="77777777" w:rsidR="00EF3DD9" w:rsidRDefault="00EF3DD9" w:rsidP="005A3B4D">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5105FB82"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D8E8483" w14:textId="77777777" w:rsidR="00EF3DD9" w:rsidRDefault="00EF3DD9"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F7E9113" w14:textId="77777777" w:rsidR="00EF3DD9" w:rsidRDefault="00EF3DD9" w:rsidP="005A3B4D">
            <w:pPr>
              <w:jc w:val="right"/>
              <w:rPr>
                <w:color w:val="000000"/>
                <w:sz w:val="20"/>
                <w:szCs w:val="20"/>
              </w:rPr>
            </w:pPr>
            <w:r>
              <w:rPr>
                <w:color w:val="000000"/>
                <w:sz w:val="20"/>
                <w:szCs w:val="20"/>
              </w:rPr>
              <w:t>0.379</w:t>
            </w:r>
          </w:p>
        </w:tc>
        <w:tc>
          <w:tcPr>
            <w:tcW w:w="768" w:type="dxa"/>
            <w:tcBorders>
              <w:top w:val="nil"/>
              <w:left w:val="nil"/>
              <w:bottom w:val="nil"/>
              <w:right w:val="nil"/>
            </w:tcBorders>
            <w:shd w:val="clear" w:color="auto" w:fill="auto"/>
            <w:noWrap/>
            <w:vAlign w:val="bottom"/>
            <w:hideMark/>
          </w:tcPr>
          <w:p w14:paraId="05904692"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AEFF927"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33603CB" w14:textId="77777777" w:rsidR="00EF3DD9" w:rsidRDefault="00EF3DD9" w:rsidP="005A3B4D">
            <w:pPr>
              <w:jc w:val="right"/>
              <w:rPr>
                <w:color w:val="000000"/>
                <w:sz w:val="20"/>
                <w:szCs w:val="20"/>
              </w:rPr>
            </w:pPr>
            <w:r>
              <w:rPr>
                <w:color w:val="000000"/>
                <w:sz w:val="20"/>
                <w:szCs w:val="20"/>
              </w:rPr>
              <w:t>0.881</w:t>
            </w:r>
          </w:p>
        </w:tc>
        <w:tc>
          <w:tcPr>
            <w:tcW w:w="768" w:type="dxa"/>
            <w:tcBorders>
              <w:top w:val="nil"/>
              <w:left w:val="nil"/>
              <w:bottom w:val="nil"/>
              <w:right w:val="nil"/>
            </w:tcBorders>
            <w:shd w:val="clear" w:color="auto" w:fill="auto"/>
            <w:noWrap/>
            <w:vAlign w:val="bottom"/>
            <w:hideMark/>
          </w:tcPr>
          <w:p w14:paraId="3A3C462F"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5D3ED5" w14:textId="77777777" w:rsidR="00EF3DD9" w:rsidRDefault="00EF3DD9"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5404F57" w14:textId="77777777" w:rsidR="00EF3DD9" w:rsidRDefault="00EF3DD9" w:rsidP="005A3B4D">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1F308DE8" w14:textId="77777777" w:rsidR="00EF3DD9" w:rsidRDefault="00EF3DD9" w:rsidP="005A3B4D">
            <w:pPr>
              <w:jc w:val="right"/>
              <w:rPr>
                <w:color w:val="000000"/>
                <w:sz w:val="20"/>
                <w:szCs w:val="20"/>
              </w:rPr>
            </w:pPr>
            <w:r>
              <w:rPr>
                <w:color w:val="000000"/>
                <w:sz w:val="20"/>
                <w:szCs w:val="20"/>
              </w:rPr>
              <w:t>0.001</w:t>
            </w:r>
          </w:p>
        </w:tc>
      </w:tr>
      <w:tr w:rsidR="00EF3DD9" w14:paraId="601BA657" w14:textId="77777777" w:rsidTr="005A3B4D">
        <w:trPr>
          <w:trHeight w:val="320"/>
        </w:trPr>
        <w:tc>
          <w:tcPr>
            <w:tcW w:w="1176" w:type="dxa"/>
            <w:tcBorders>
              <w:top w:val="nil"/>
              <w:left w:val="nil"/>
              <w:bottom w:val="nil"/>
              <w:right w:val="nil"/>
            </w:tcBorders>
            <w:shd w:val="clear" w:color="auto" w:fill="auto"/>
            <w:noWrap/>
            <w:vAlign w:val="bottom"/>
            <w:hideMark/>
          </w:tcPr>
          <w:p w14:paraId="0FBFAED9"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A384B6" w14:textId="77777777" w:rsidR="00EF3DD9" w:rsidRDefault="00EF3DD9"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72717B3" w14:textId="77777777" w:rsidR="00EF3DD9" w:rsidRDefault="00EF3DD9"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1C52935" w14:textId="77777777" w:rsidR="00EF3DD9" w:rsidRDefault="00EF3DD9" w:rsidP="005A3B4D">
            <w:pPr>
              <w:jc w:val="right"/>
              <w:rPr>
                <w:color w:val="000000"/>
                <w:sz w:val="20"/>
                <w:szCs w:val="20"/>
              </w:rPr>
            </w:pPr>
            <w:r>
              <w:rPr>
                <w:color w:val="000000"/>
                <w:sz w:val="20"/>
                <w:szCs w:val="20"/>
              </w:rPr>
              <w:t>0.874</w:t>
            </w:r>
          </w:p>
        </w:tc>
        <w:tc>
          <w:tcPr>
            <w:tcW w:w="768" w:type="dxa"/>
            <w:tcBorders>
              <w:top w:val="nil"/>
              <w:left w:val="nil"/>
              <w:bottom w:val="nil"/>
              <w:right w:val="nil"/>
            </w:tcBorders>
            <w:shd w:val="clear" w:color="auto" w:fill="auto"/>
            <w:noWrap/>
            <w:vAlign w:val="bottom"/>
            <w:hideMark/>
          </w:tcPr>
          <w:p w14:paraId="63CAC7C5"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5EB185"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CCD3D2B" w14:textId="77777777" w:rsidR="00EF3DD9" w:rsidRDefault="00EF3DD9" w:rsidP="005A3B4D">
            <w:pPr>
              <w:jc w:val="right"/>
              <w:rPr>
                <w:color w:val="000000"/>
                <w:sz w:val="20"/>
                <w:szCs w:val="20"/>
              </w:rPr>
            </w:pPr>
            <w:r>
              <w:rPr>
                <w:color w:val="000000"/>
                <w:sz w:val="20"/>
                <w:szCs w:val="20"/>
              </w:rPr>
              <w:t>0.779</w:t>
            </w:r>
          </w:p>
        </w:tc>
        <w:tc>
          <w:tcPr>
            <w:tcW w:w="768" w:type="dxa"/>
            <w:tcBorders>
              <w:top w:val="nil"/>
              <w:left w:val="nil"/>
              <w:bottom w:val="nil"/>
              <w:right w:val="nil"/>
            </w:tcBorders>
            <w:shd w:val="clear" w:color="auto" w:fill="auto"/>
            <w:noWrap/>
            <w:vAlign w:val="bottom"/>
            <w:hideMark/>
          </w:tcPr>
          <w:p w14:paraId="78B06C37"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3472C4" w14:textId="77777777" w:rsidR="00EF3DD9" w:rsidRDefault="00EF3DD9"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E239B8D" w14:textId="77777777" w:rsidR="00EF3DD9" w:rsidRDefault="00EF3DD9" w:rsidP="005A3B4D">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27133B9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E25272" w14:textId="77777777" w:rsidR="00EF3DD9" w:rsidRDefault="00EF3DD9"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081AE8A" w14:textId="77777777" w:rsidR="00EF3DD9" w:rsidRDefault="00EF3DD9" w:rsidP="005A3B4D">
            <w:pPr>
              <w:jc w:val="right"/>
              <w:rPr>
                <w:color w:val="000000"/>
                <w:sz w:val="20"/>
                <w:szCs w:val="20"/>
              </w:rPr>
            </w:pPr>
            <w:r>
              <w:rPr>
                <w:color w:val="000000"/>
                <w:sz w:val="20"/>
                <w:szCs w:val="20"/>
              </w:rPr>
              <w:t>0.881</w:t>
            </w:r>
          </w:p>
        </w:tc>
        <w:tc>
          <w:tcPr>
            <w:tcW w:w="768" w:type="dxa"/>
            <w:tcBorders>
              <w:top w:val="nil"/>
              <w:left w:val="nil"/>
              <w:bottom w:val="nil"/>
              <w:right w:val="nil"/>
            </w:tcBorders>
            <w:shd w:val="clear" w:color="auto" w:fill="auto"/>
            <w:noWrap/>
            <w:vAlign w:val="bottom"/>
            <w:hideMark/>
          </w:tcPr>
          <w:p w14:paraId="7A11B6C7"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9DD78C"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662D507" w14:textId="77777777" w:rsidR="00EF3DD9" w:rsidRDefault="00EF3DD9" w:rsidP="005A3B4D">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189325BE" w14:textId="77777777" w:rsidR="00EF3DD9" w:rsidRDefault="00EF3DD9" w:rsidP="005A3B4D">
            <w:pPr>
              <w:jc w:val="right"/>
              <w:rPr>
                <w:color w:val="000000"/>
                <w:sz w:val="20"/>
                <w:szCs w:val="20"/>
              </w:rPr>
            </w:pPr>
            <w:r>
              <w:rPr>
                <w:color w:val="000000"/>
                <w:sz w:val="20"/>
                <w:szCs w:val="20"/>
              </w:rPr>
              <w:t>0.000</w:t>
            </w:r>
          </w:p>
        </w:tc>
      </w:tr>
      <w:tr w:rsidR="00EF3DD9" w14:paraId="2A3772CB" w14:textId="77777777" w:rsidTr="005A3B4D">
        <w:trPr>
          <w:trHeight w:val="320"/>
        </w:trPr>
        <w:tc>
          <w:tcPr>
            <w:tcW w:w="1176" w:type="dxa"/>
            <w:tcBorders>
              <w:top w:val="nil"/>
              <w:left w:val="nil"/>
              <w:bottom w:val="nil"/>
              <w:right w:val="nil"/>
            </w:tcBorders>
            <w:shd w:val="clear" w:color="auto" w:fill="auto"/>
            <w:noWrap/>
            <w:vAlign w:val="bottom"/>
            <w:hideMark/>
          </w:tcPr>
          <w:p w14:paraId="1FC939EA"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BF857A" w14:textId="77777777" w:rsidR="00EF3DD9" w:rsidRDefault="00EF3DD9"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F704707" w14:textId="77777777" w:rsidR="00EF3DD9" w:rsidRDefault="00EF3DD9"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3161A9BE" w14:textId="77777777" w:rsidR="00EF3DD9" w:rsidRDefault="00EF3DD9" w:rsidP="005A3B4D">
            <w:pPr>
              <w:jc w:val="right"/>
              <w:rPr>
                <w:color w:val="000000"/>
                <w:sz w:val="20"/>
                <w:szCs w:val="20"/>
              </w:rPr>
            </w:pPr>
            <w:r>
              <w:rPr>
                <w:color w:val="000000"/>
                <w:sz w:val="20"/>
                <w:szCs w:val="20"/>
              </w:rPr>
              <w:t>0.384</w:t>
            </w:r>
          </w:p>
        </w:tc>
        <w:tc>
          <w:tcPr>
            <w:tcW w:w="768" w:type="dxa"/>
            <w:tcBorders>
              <w:top w:val="nil"/>
              <w:left w:val="nil"/>
              <w:bottom w:val="nil"/>
              <w:right w:val="nil"/>
            </w:tcBorders>
            <w:shd w:val="clear" w:color="auto" w:fill="auto"/>
            <w:noWrap/>
            <w:vAlign w:val="bottom"/>
            <w:hideMark/>
          </w:tcPr>
          <w:p w14:paraId="0AB99B78"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D8DFBFA" w14:textId="77777777" w:rsidR="00EF3DD9" w:rsidRDefault="00EF3DD9"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B084DD6" w14:textId="77777777" w:rsidR="00EF3DD9" w:rsidRDefault="00EF3DD9" w:rsidP="005A3B4D">
            <w:pPr>
              <w:jc w:val="right"/>
              <w:rPr>
                <w:color w:val="000000"/>
                <w:sz w:val="20"/>
                <w:szCs w:val="20"/>
              </w:rPr>
            </w:pPr>
            <w:r>
              <w:rPr>
                <w:color w:val="000000"/>
                <w:sz w:val="20"/>
                <w:szCs w:val="20"/>
              </w:rPr>
              <w:t>0.779</w:t>
            </w:r>
          </w:p>
        </w:tc>
        <w:tc>
          <w:tcPr>
            <w:tcW w:w="768" w:type="dxa"/>
            <w:tcBorders>
              <w:top w:val="nil"/>
              <w:left w:val="nil"/>
              <w:bottom w:val="nil"/>
              <w:right w:val="nil"/>
            </w:tcBorders>
            <w:shd w:val="clear" w:color="auto" w:fill="auto"/>
            <w:noWrap/>
            <w:vAlign w:val="bottom"/>
            <w:hideMark/>
          </w:tcPr>
          <w:p w14:paraId="289EBE1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EE7C46" w14:textId="77777777" w:rsidR="00EF3DD9" w:rsidRDefault="00EF3DD9"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4226B10" w14:textId="77777777" w:rsidR="00EF3DD9" w:rsidRDefault="00EF3DD9" w:rsidP="005A3B4D">
            <w:pPr>
              <w:jc w:val="right"/>
              <w:rPr>
                <w:color w:val="000000"/>
                <w:sz w:val="20"/>
                <w:szCs w:val="20"/>
              </w:rPr>
            </w:pPr>
            <w:r>
              <w:rPr>
                <w:color w:val="000000"/>
                <w:sz w:val="20"/>
                <w:szCs w:val="20"/>
              </w:rPr>
              <w:t>0.779</w:t>
            </w:r>
          </w:p>
        </w:tc>
        <w:tc>
          <w:tcPr>
            <w:tcW w:w="768" w:type="dxa"/>
            <w:tcBorders>
              <w:top w:val="nil"/>
              <w:left w:val="nil"/>
              <w:bottom w:val="nil"/>
              <w:right w:val="nil"/>
            </w:tcBorders>
            <w:shd w:val="clear" w:color="auto" w:fill="auto"/>
            <w:noWrap/>
            <w:vAlign w:val="bottom"/>
            <w:hideMark/>
          </w:tcPr>
          <w:p w14:paraId="0772125E"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37538D" w14:textId="77777777" w:rsidR="00EF3DD9" w:rsidRDefault="00EF3DD9"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B8D12ED" w14:textId="77777777" w:rsidR="00EF3DD9" w:rsidRDefault="00EF3DD9" w:rsidP="005A3B4D">
            <w:pPr>
              <w:jc w:val="right"/>
              <w:rPr>
                <w:color w:val="000000"/>
                <w:sz w:val="20"/>
                <w:szCs w:val="20"/>
              </w:rPr>
            </w:pPr>
            <w:r>
              <w:rPr>
                <w:color w:val="000000"/>
                <w:sz w:val="20"/>
                <w:szCs w:val="20"/>
              </w:rPr>
              <w:t>0.881</w:t>
            </w:r>
          </w:p>
        </w:tc>
        <w:tc>
          <w:tcPr>
            <w:tcW w:w="768" w:type="dxa"/>
            <w:tcBorders>
              <w:top w:val="nil"/>
              <w:left w:val="nil"/>
              <w:bottom w:val="nil"/>
              <w:right w:val="nil"/>
            </w:tcBorders>
            <w:shd w:val="clear" w:color="auto" w:fill="auto"/>
            <w:noWrap/>
            <w:vAlign w:val="bottom"/>
            <w:hideMark/>
          </w:tcPr>
          <w:p w14:paraId="1E1BEB9C"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2A8D86" w14:textId="77777777" w:rsidR="00EF3DD9" w:rsidRDefault="00EF3DD9" w:rsidP="005A3B4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6B841CF4" w14:textId="77777777" w:rsidR="00EF3DD9" w:rsidRDefault="00EF3DD9" w:rsidP="005A3B4D">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46579D39" w14:textId="77777777" w:rsidR="00EF3DD9" w:rsidRDefault="00EF3DD9" w:rsidP="005A3B4D">
            <w:pPr>
              <w:jc w:val="right"/>
              <w:rPr>
                <w:color w:val="000000"/>
                <w:sz w:val="20"/>
                <w:szCs w:val="20"/>
              </w:rPr>
            </w:pPr>
            <w:r>
              <w:rPr>
                <w:color w:val="000000"/>
                <w:sz w:val="20"/>
                <w:szCs w:val="20"/>
              </w:rPr>
              <w:t>0.005</w:t>
            </w:r>
          </w:p>
        </w:tc>
      </w:tr>
      <w:tr w:rsidR="00EF3DD9" w14:paraId="79D95057" w14:textId="77777777" w:rsidTr="005A3B4D">
        <w:trPr>
          <w:trHeight w:val="320"/>
        </w:trPr>
        <w:tc>
          <w:tcPr>
            <w:tcW w:w="1176" w:type="dxa"/>
            <w:tcBorders>
              <w:top w:val="nil"/>
              <w:left w:val="nil"/>
              <w:bottom w:val="nil"/>
              <w:right w:val="nil"/>
            </w:tcBorders>
            <w:shd w:val="clear" w:color="auto" w:fill="auto"/>
            <w:noWrap/>
            <w:vAlign w:val="bottom"/>
            <w:hideMark/>
          </w:tcPr>
          <w:p w14:paraId="2C3B9C7B"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EEE025" w14:textId="77777777" w:rsidR="00EF3DD9" w:rsidRDefault="00EF3DD9"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819AD87" w14:textId="77777777" w:rsidR="00EF3DD9" w:rsidRDefault="00EF3DD9" w:rsidP="005A3B4D">
            <w:pPr>
              <w:jc w:val="right"/>
              <w:rPr>
                <w:b/>
                <w:bCs/>
                <w:color w:val="000000"/>
                <w:sz w:val="20"/>
                <w:szCs w:val="20"/>
              </w:rPr>
            </w:pPr>
            <w:r>
              <w:rPr>
                <w:b/>
                <w:bCs/>
                <w:color w:val="000000"/>
                <w:sz w:val="20"/>
                <w:szCs w:val="20"/>
              </w:rPr>
              <w:t>0.077</w:t>
            </w:r>
          </w:p>
        </w:tc>
        <w:tc>
          <w:tcPr>
            <w:tcW w:w="768" w:type="dxa"/>
            <w:tcBorders>
              <w:top w:val="nil"/>
              <w:left w:val="nil"/>
              <w:bottom w:val="nil"/>
              <w:right w:val="nil"/>
            </w:tcBorders>
            <w:shd w:val="clear" w:color="auto" w:fill="auto"/>
            <w:noWrap/>
            <w:vAlign w:val="bottom"/>
            <w:hideMark/>
          </w:tcPr>
          <w:p w14:paraId="4C22F5D3" w14:textId="77777777" w:rsidR="00EF3DD9" w:rsidRDefault="00EF3DD9" w:rsidP="005A3B4D">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743D7B10" w14:textId="77777777" w:rsidR="00EF3DD9" w:rsidRDefault="00EF3DD9" w:rsidP="005A3B4D">
            <w:pPr>
              <w:jc w:val="right"/>
              <w:rPr>
                <w:b/>
                <w:bCs/>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75A705BA"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393A696" w14:textId="77777777" w:rsidR="00EF3DD9" w:rsidRDefault="00EF3DD9" w:rsidP="005A3B4D">
            <w:pPr>
              <w:jc w:val="right"/>
              <w:rPr>
                <w:color w:val="000000"/>
                <w:sz w:val="20"/>
                <w:szCs w:val="20"/>
              </w:rPr>
            </w:pPr>
            <w:r>
              <w:rPr>
                <w:color w:val="000000"/>
                <w:sz w:val="20"/>
                <w:szCs w:val="20"/>
              </w:rPr>
              <w:t>0.779</w:t>
            </w:r>
          </w:p>
        </w:tc>
        <w:tc>
          <w:tcPr>
            <w:tcW w:w="768" w:type="dxa"/>
            <w:tcBorders>
              <w:top w:val="nil"/>
              <w:left w:val="nil"/>
              <w:bottom w:val="nil"/>
              <w:right w:val="nil"/>
            </w:tcBorders>
            <w:shd w:val="clear" w:color="auto" w:fill="auto"/>
            <w:noWrap/>
            <w:vAlign w:val="bottom"/>
            <w:hideMark/>
          </w:tcPr>
          <w:p w14:paraId="726A7F43"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A12512" w14:textId="77777777" w:rsidR="00EF3DD9" w:rsidRDefault="00EF3DD9"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13182DEF" w14:textId="77777777" w:rsidR="00EF3DD9" w:rsidRDefault="00EF3DD9" w:rsidP="005A3B4D">
            <w:pPr>
              <w:jc w:val="right"/>
              <w:rPr>
                <w:color w:val="000000"/>
                <w:sz w:val="20"/>
                <w:szCs w:val="20"/>
              </w:rPr>
            </w:pPr>
            <w:r>
              <w:rPr>
                <w:color w:val="000000"/>
                <w:sz w:val="20"/>
                <w:szCs w:val="20"/>
              </w:rPr>
              <w:t>0.188</w:t>
            </w:r>
          </w:p>
        </w:tc>
        <w:tc>
          <w:tcPr>
            <w:tcW w:w="768" w:type="dxa"/>
            <w:tcBorders>
              <w:top w:val="nil"/>
              <w:left w:val="nil"/>
              <w:bottom w:val="nil"/>
              <w:right w:val="nil"/>
            </w:tcBorders>
            <w:shd w:val="clear" w:color="auto" w:fill="auto"/>
            <w:noWrap/>
            <w:vAlign w:val="bottom"/>
            <w:hideMark/>
          </w:tcPr>
          <w:p w14:paraId="21A6F02F"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C59040F" w14:textId="77777777" w:rsidR="00EF3DD9" w:rsidRDefault="00EF3DD9"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1DFD63C8" w14:textId="77777777" w:rsidR="00EF3DD9" w:rsidRDefault="00EF3DD9" w:rsidP="005A3B4D">
            <w:pPr>
              <w:jc w:val="right"/>
              <w:rPr>
                <w:color w:val="000000"/>
                <w:sz w:val="20"/>
                <w:szCs w:val="20"/>
              </w:rPr>
            </w:pPr>
            <w:r>
              <w:rPr>
                <w:color w:val="000000"/>
                <w:sz w:val="20"/>
                <w:szCs w:val="20"/>
              </w:rPr>
              <w:t>0.344</w:t>
            </w:r>
          </w:p>
        </w:tc>
        <w:tc>
          <w:tcPr>
            <w:tcW w:w="768" w:type="dxa"/>
            <w:tcBorders>
              <w:top w:val="nil"/>
              <w:left w:val="nil"/>
              <w:bottom w:val="nil"/>
              <w:right w:val="nil"/>
            </w:tcBorders>
            <w:shd w:val="clear" w:color="auto" w:fill="auto"/>
            <w:noWrap/>
            <w:vAlign w:val="bottom"/>
            <w:hideMark/>
          </w:tcPr>
          <w:p w14:paraId="1CE9A934"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B0CF68C" w14:textId="77777777" w:rsidR="00EF3DD9" w:rsidRDefault="00EF3DD9"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4B5B3DB6" w14:textId="77777777" w:rsidR="00EF3DD9" w:rsidRDefault="00EF3DD9" w:rsidP="005A3B4D">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065B5BB1" w14:textId="77777777" w:rsidR="00EF3DD9" w:rsidRDefault="00EF3DD9" w:rsidP="005A3B4D">
            <w:pPr>
              <w:jc w:val="right"/>
              <w:rPr>
                <w:color w:val="000000"/>
                <w:sz w:val="20"/>
                <w:szCs w:val="20"/>
              </w:rPr>
            </w:pPr>
            <w:r>
              <w:rPr>
                <w:color w:val="000000"/>
                <w:sz w:val="20"/>
                <w:szCs w:val="20"/>
              </w:rPr>
              <w:t>0.001</w:t>
            </w:r>
          </w:p>
        </w:tc>
      </w:tr>
      <w:tr w:rsidR="00EF3DD9" w14:paraId="7FEA5D4D" w14:textId="77777777" w:rsidTr="005A3B4D">
        <w:trPr>
          <w:trHeight w:val="320"/>
        </w:trPr>
        <w:tc>
          <w:tcPr>
            <w:tcW w:w="1176" w:type="dxa"/>
            <w:tcBorders>
              <w:top w:val="nil"/>
              <w:left w:val="nil"/>
              <w:bottom w:val="nil"/>
              <w:right w:val="nil"/>
            </w:tcBorders>
            <w:shd w:val="clear" w:color="auto" w:fill="auto"/>
            <w:noWrap/>
            <w:vAlign w:val="bottom"/>
            <w:hideMark/>
          </w:tcPr>
          <w:p w14:paraId="20EC1EE8"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D6A6327" w14:textId="77777777" w:rsidR="00EF3DD9" w:rsidRDefault="00EF3DD9"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56AA3D7" w14:textId="77777777" w:rsidR="00EF3DD9" w:rsidRDefault="00EF3DD9"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371C2C53" w14:textId="77777777" w:rsidR="00EF3DD9" w:rsidRDefault="00EF3DD9" w:rsidP="005A3B4D">
            <w:pPr>
              <w:jc w:val="right"/>
              <w:rPr>
                <w:color w:val="000000"/>
                <w:sz w:val="20"/>
                <w:szCs w:val="20"/>
              </w:rPr>
            </w:pPr>
            <w:r>
              <w:rPr>
                <w:color w:val="000000"/>
                <w:sz w:val="20"/>
                <w:szCs w:val="20"/>
              </w:rPr>
              <w:t>0.133</w:t>
            </w:r>
          </w:p>
        </w:tc>
        <w:tc>
          <w:tcPr>
            <w:tcW w:w="768" w:type="dxa"/>
            <w:tcBorders>
              <w:top w:val="nil"/>
              <w:left w:val="nil"/>
              <w:bottom w:val="nil"/>
              <w:right w:val="nil"/>
            </w:tcBorders>
            <w:shd w:val="clear" w:color="auto" w:fill="auto"/>
            <w:noWrap/>
            <w:vAlign w:val="bottom"/>
            <w:hideMark/>
          </w:tcPr>
          <w:p w14:paraId="4EDD2EFD"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6607AA7" w14:textId="77777777" w:rsidR="00EF3DD9" w:rsidRDefault="00EF3DD9"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E4E0AE0" w14:textId="77777777" w:rsidR="00EF3DD9" w:rsidRDefault="00EF3DD9" w:rsidP="005A3B4D">
            <w:pPr>
              <w:jc w:val="right"/>
              <w:rPr>
                <w:color w:val="000000"/>
                <w:sz w:val="20"/>
                <w:szCs w:val="20"/>
              </w:rPr>
            </w:pPr>
            <w:r>
              <w:rPr>
                <w:color w:val="000000"/>
                <w:sz w:val="20"/>
                <w:szCs w:val="20"/>
              </w:rPr>
              <w:t>0.604</w:t>
            </w:r>
          </w:p>
        </w:tc>
        <w:tc>
          <w:tcPr>
            <w:tcW w:w="768" w:type="dxa"/>
            <w:tcBorders>
              <w:top w:val="nil"/>
              <w:left w:val="nil"/>
              <w:bottom w:val="nil"/>
              <w:right w:val="nil"/>
            </w:tcBorders>
            <w:shd w:val="clear" w:color="auto" w:fill="auto"/>
            <w:noWrap/>
            <w:vAlign w:val="bottom"/>
            <w:hideMark/>
          </w:tcPr>
          <w:p w14:paraId="6303DB4F"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6015EC9" w14:textId="77777777" w:rsidR="00EF3DD9" w:rsidRDefault="00EF3DD9"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D9E0CE1" w14:textId="77777777" w:rsidR="00EF3DD9" w:rsidRDefault="00EF3DD9" w:rsidP="005A3B4D">
            <w:pPr>
              <w:jc w:val="right"/>
              <w:rPr>
                <w:color w:val="000000"/>
                <w:sz w:val="20"/>
                <w:szCs w:val="20"/>
              </w:rPr>
            </w:pPr>
            <w:r>
              <w:rPr>
                <w:color w:val="000000"/>
                <w:sz w:val="20"/>
                <w:szCs w:val="20"/>
              </w:rPr>
              <w:t>0.779</w:t>
            </w:r>
          </w:p>
        </w:tc>
        <w:tc>
          <w:tcPr>
            <w:tcW w:w="768" w:type="dxa"/>
            <w:tcBorders>
              <w:top w:val="nil"/>
              <w:left w:val="nil"/>
              <w:bottom w:val="nil"/>
              <w:right w:val="nil"/>
            </w:tcBorders>
            <w:shd w:val="clear" w:color="auto" w:fill="auto"/>
            <w:noWrap/>
            <w:vAlign w:val="bottom"/>
            <w:hideMark/>
          </w:tcPr>
          <w:p w14:paraId="5360CEA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E3EDD9" w14:textId="77777777" w:rsidR="00EF3DD9" w:rsidRDefault="00EF3DD9"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A28853C" w14:textId="77777777" w:rsidR="00EF3DD9" w:rsidRDefault="00EF3DD9" w:rsidP="005A3B4D">
            <w:pPr>
              <w:jc w:val="right"/>
              <w:rPr>
                <w:color w:val="000000"/>
                <w:sz w:val="20"/>
                <w:szCs w:val="20"/>
              </w:rPr>
            </w:pPr>
            <w:r>
              <w:rPr>
                <w:color w:val="000000"/>
                <w:sz w:val="20"/>
                <w:szCs w:val="20"/>
              </w:rPr>
              <w:t>0.881</w:t>
            </w:r>
          </w:p>
        </w:tc>
        <w:tc>
          <w:tcPr>
            <w:tcW w:w="768" w:type="dxa"/>
            <w:tcBorders>
              <w:top w:val="nil"/>
              <w:left w:val="nil"/>
              <w:bottom w:val="nil"/>
              <w:right w:val="nil"/>
            </w:tcBorders>
            <w:shd w:val="clear" w:color="auto" w:fill="auto"/>
            <w:noWrap/>
            <w:vAlign w:val="bottom"/>
            <w:hideMark/>
          </w:tcPr>
          <w:p w14:paraId="1F8C1BC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115D21" w14:textId="77777777" w:rsidR="00EF3DD9" w:rsidRDefault="00EF3DD9"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E2EA6A8" w14:textId="77777777" w:rsidR="00EF3DD9" w:rsidRDefault="00EF3DD9" w:rsidP="005A3B4D">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5EBC7BE8" w14:textId="77777777" w:rsidR="00EF3DD9" w:rsidRDefault="00EF3DD9" w:rsidP="005A3B4D">
            <w:pPr>
              <w:jc w:val="right"/>
              <w:rPr>
                <w:color w:val="000000"/>
                <w:sz w:val="20"/>
                <w:szCs w:val="20"/>
              </w:rPr>
            </w:pPr>
            <w:r>
              <w:rPr>
                <w:color w:val="000000"/>
                <w:sz w:val="20"/>
                <w:szCs w:val="20"/>
              </w:rPr>
              <w:t>0.001</w:t>
            </w:r>
          </w:p>
        </w:tc>
      </w:tr>
      <w:tr w:rsidR="00EF3DD9" w14:paraId="505E8BBC" w14:textId="77777777" w:rsidTr="005A3B4D">
        <w:trPr>
          <w:trHeight w:val="320"/>
        </w:trPr>
        <w:tc>
          <w:tcPr>
            <w:tcW w:w="1176" w:type="dxa"/>
            <w:tcBorders>
              <w:top w:val="nil"/>
              <w:left w:val="nil"/>
              <w:bottom w:val="nil"/>
              <w:right w:val="nil"/>
            </w:tcBorders>
            <w:shd w:val="clear" w:color="auto" w:fill="auto"/>
            <w:noWrap/>
            <w:vAlign w:val="bottom"/>
            <w:hideMark/>
          </w:tcPr>
          <w:p w14:paraId="5D0A53FF"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4555BF" w14:textId="77777777" w:rsidR="00EF3DD9" w:rsidRDefault="00EF3DD9"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EF760BF" w14:textId="77777777" w:rsidR="00EF3DD9" w:rsidRDefault="00EF3DD9"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634749A4" w14:textId="77777777" w:rsidR="00EF3DD9" w:rsidRDefault="00EF3DD9" w:rsidP="005A3B4D">
            <w:pPr>
              <w:jc w:val="right"/>
              <w:rPr>
                <w:color w:val="000000"/>
                <w:sz w:val="20"/>
                <w:szCs w:val="20"/>
              </w:rPr>
            </w:pPr>
            <w:r>
              <w:rPr>
                <w:color w:val="000000"/>
                <w:sz w:val="20"/>
                <w:szCs w:val="20"/>
              </w:rPr>
              <w:t>0.142</w:t>
            </w:r>
          </w:p>
        </w:tc>
        <w:tc>
          <w:tcPr>
            <w:tcW w:w="768" w:type="dxa"/>
            <w:tcBorders>
              <w:top w:val="nil"/>
              <w:left w:val="nil"/>
              <w:bottom w:val="nil"/>
              <w:right w:val="nil"/>
            </w:tcBorders>
            <w:shd w:val="clear" w:color="auto" w:fill="auto"/>
            <w:noWrap/>
            <w:vAlign w:val="bottom"/>
            <w:hideMark/>
          </w:tcPr>
          <w:p w14:paraId="40E0F2A4"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0C96428" w14:textId="77777777" w:rsidR="00EF3DD9" w:rsidRDefault="00EF3DD9"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9141F8F" w14:textId="77777777" w:rsidR="00EF3DD9" w:rsidRDefault="00EF3DD9" w:rsidP="005A3B4D">
            <w:pPr>
              <w:jc w:val="right"/>
              <w:rPr>
                <w:color w:val="000000"/>
                <w:sz w:val="20"/>
                <w:szCs w:val="20"/>
              </w:rPr>
            </w:pPr>
            <w:r>
              <w:rPr>
                <w:color w:val="000000"/>
                <w:sz w:val="20"/>
                <w:szCs w:val="20"/>
              </w:rPr>
              <w:t>0.779</w:t>
            </w:r>
          </w:p>
        </w:tc>
        <w:tc>
          <w:tcPr>
            <w:tcW w:w="768" w:type="dxa"/>
            <w:tcBorders>
              <w:top w:val="nil"/>
              <w:left w:val="nil"/>
              <w:bottom w:val="nil"/>
              <w:right w:val="nil"/>
            </w:tcBorders>
            <w:shd w:val="clear" w:color="auto" w:fill="auto"/>
            <w:noWrap/>
            <w:vAlign w:val="bottom"/>
            <w:hideMark/>
          </w:tcPr>
          <w:p w14:paraId="340B804D"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45CB29"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88FBEC8" w14:textId="77777777" w:rsidR="00EF3DD9" w:rsidRDefault="00EF3DD9" w:rsidP="005A3B4D">
            <w:pPr>
              <w:jc w:val="right"/>
              <w:rPr>
                <w:color w:val="000000"/>
                <w:sz w:val="20"/>
                <w:szCs w:val="20"/>
              </w:rPr>
            </w:pPr>
            <w:r>
              <w:rPr>
                <w:color w:val="000000"/>
                <w:sz w:val="20"/>
                <w:szCs w:val="20"/>
              </w:rPr>
              <w:t>0.779</w:t>
            </w:r>
          </w:p>
        </w:tc>
        <w:tc>
          <w:tcPr>
            <w:tcW w:w="768" w:type="dxa"/>
            <w:tcBorders>
              <w:top w:val="nil"/>
              <w:left w:val="nil"/>
              <w:bottom w:val="nil"/>
              <w:right w:val="nil"/>
            </w:tcBorders>
            <w:shd w:val="clear" w:color="auto" w:fill="auto"/>
            <w:noWrap/>
            <w:vAlign w:val="bottom"/>
            <w:hideMark/>
          </w:tcPr>
          <w:p w14:paraId="6D96E528"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E21BF4" w14:textId="77777777" w:rsidR="00EF3DD9" w:rsidRDefault="00EF3DD9"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D573330" w14:textId="77777777" w:rsidR="00EF3DD9" w:rsidRDefault="00EF3DD9" w:rsidP="005A3B4D">
            <w:pPr>
              <w:jc w:val="right"/>
              <w:rPr>
                <w:color w:val="000000"/>
                <w:sz w:val="20"/>
                <w:szCs w:val="20"/>
              </w:rPr>
            </w:pPr>
            <w:r>
              <w:rPr>
                <w:color w:val="000000"/>
                <w:sz w:val="20"/>
                <w:szCs w:val="20"/>
              </w:rPr>
              <w:t>0.881</w:t>
            </w:r>
          </w:p>
        </w:tc>
        <w:tc>
          <w:tcPr>
            <w:tcW w:w="768" w:type="dxa"/>
            <w:tcBorders>
              <w:top w:val="nil"/>
              <w:left w:val="nil"/>
              <w:bottom w:val="nil"/>
              <w:right w:val="nil"/>
            </w:tcBorders>
            <w:shd w:val="clear" w:color="auto" w:fill="auto"/>
            <w:noWrap/>
            <w:vAlign w:val="bottom"/>
            <w:hideMark/>
          </w:tcPr>
          <w:p w14:paraId="65538038"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6ABEA2" w14:textId="77777777" w:rsidR="00EF3DD9" w:rsidRDefault="00EF3DD9"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4D2021F8" w14:textId="77777777" w:rsidR="00EF3DD9" w:rsidRDefault="00EF3DD9" w:rsidP="005A3B4D">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64C40E1E" w14:textId="77777777" w:rsidR="00EF3DD9" w:rsidRDefault="00EF3DD9" w:rsidP="005A3B4D">
            <w:pPr>
              <w:jc w:val="right"/>
              <w:rPr>
                <w:color w:val="000000"/>
                <w:sz w:val="20"/>
                <w:szCs w:val="20"/>
              </w:rPr>
            </w:pPr>
            <w:r>
              <w:rPr>
                <w:color w:val="000000"/>
                <w:sz w:val="20"/>
                <w:szCs w:val="20"/>
              </w:rPr>
              <w:t>0.002</w:t>
            </w:r>
          </w:p>
        </w:tc>
      </w:tr>
      <w:tr w:rsidR="00EF3DD9" w14:paraId="659595A1"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56238848" w14:textId="77777777" w:rsidR="00EF3DD9" w:rsidRDefault="00EF3DD9"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C301BF5" w14:textId="77777777" w:rsidR="00EF3DD9" w:rsidRDefault="00EF3DD9"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CAD4BC3" w14:textId="77777777" w:rsidR="00EF3DD9" w:rsidRDefault="00EF3DD9" w:rsidP="005A3B4D">
            <w:pPr>
              <w:jc w:val="right"/>
              <w:rPr>
                <w:color w:val="000000"/>
                <w:sz w:val="20"/>
                <w:szCs w:val="20"/>
              </w:rPr>
            </w:pPr>
            <w:r>
              <w:rPr>
                <w:color w:val="000000"/>
                <w:sz w:val="20"/>
                <w:szCs w:val="20"/>
              </w:rPr>
              <w:t>-0.019</w:t>
            </w:r>
          </w:p>
        </w:tc>
        <w:tc>
          <w:tcPr>
            <w:tcW w:w="768" w:type="dxa"/>
            <w:tcBorders>
              <w:top w:val="nil"/>
              <w:left w:val="nil"/>
              <w:bottom w:val="single" w:sz="4" w:space="0" w:color="auto"/>
              <w:right w:val="nil"/>
            </w:tcBorders>
            <w:shd w:val="clear" w:color="auto" w:fill="auto"/>
            <w:noWrap/>
            <w:vAlign w:val="bottom"/>
            <w:hideMark/>
          </w:tcPr>
          <w:p w14:paraId="2F4055CD" w14:textId="77777777" w:rsidR="00EF3DD9" w:rsidRDefault="00EF3DD9" w:rsidP="005A3B4D">
            <w:pPr>
              <w:jc w:val="right"/>
              <w:rPr>
                <w:color w:val="000000"/>
                <w:sz w:val="20"/>
                <w:szCs w:val="20"/>
              </w:rPr>
            </w:pPr>
            <w:r>
              <w:rPr>
                <w:color w:val="000000"/>
                <w:sz w:val="20"/>
                <w:szCs w:val="20"/>
              </w:rPr>
              <w:t>0.609</w:t>
            </w:r>
          </w:p>
        </w:tc>
        <w:tc>
          <w:tcPr>
            <w:tcW w:w="768" w:type="dxa"/>
            <w:tcBorders>
              <w:top w:val="nil"/>
              <w:left w:val="nil"/>
              <w:bottom w:val="single" w:sz="4" w:space="0" w:color="auto"/>
              <w:right w:val="nil"/>
            </w:tcBorders>
            <w:shd w:val="clear" w:color="auto" w:fill="auto"/>
            <w:noWrap/>
            <w:vAlign w:val="bottom"/>
            <w:hideMark/>
          </w:tcPr>
          <w:p w14:paraId="52286AC5"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394E47A" w14:textId="77777777" w:rsidR="00EF3DD9" w:rsidRDefault="00EF3DD9" w:rsidP="005A3B4D">
            <w:pPr>
              <w:jc w:val="right"/>
              <w:rPr>
                <w:b/>
                <w:bCs/>
                <w:color w:val="000000"/>
                <w:sz w:val="20"/>
                <w:szCs w:val="20"/>
              </w:rPr>
            </w:pPr>
            <w:r>
              <w:rPr>
                <w:b/>
                <w:bCs/>
                <w:color w:val="000000"/>
                <w:sz w:val="20"/>
                <w:szCs w:val="20"/>
              </w:rPr>
              <w:t>0.102</w:t>
            </w:r>
          </w:p>
        </w:tc>
        <w:tc>
          <w:tcPr>
            <w:tcW w:w="768" w:type="dxa"/>
            <w:tcBorders>
              <w:top w:val="nil"/>
              <w:left w:val="nil"/>
              <w:bottom w:val="single" w:sz="4" w:space="0" w:color="auto"/>
              <w:right w:val="nil"/>
            </w:tcBorders>
            <w:shd w:val="clear" w:color="auto" w:fill="auto"/>
            <w:noWrap/>
            <w:vAlign w:val="bottom"/>
            <w:hideMark/>
          </w:tcPr>
          <w:p w14:paraId="320DFF27" w14:textId="77777777" w:rsidR="00EF3DD9" w:rsidRDefault="00EF3DD9" w:rsidP="005A3B4D">
            <w:pPr>
              <w:jc w:val="right"/>
              <w:rPr>
                <w:b/>
                <w:bCs/>
                <w:color w:val="000000"/>
                <w:sz w:val="20"/>
                <w:szCs w:val="20"/>
              </w:rPr>
            </w:pPr>
            <w:r>
              <w:rPr>
                <w:b/>
                <w:bCs/>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E02451F" w14:textId="77777777" w:rsidR="00EF3DD9" w:rsidRDefault="00EF3DD9" w:rsidP="005A3B4D">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18229AD1" w14:textId="77777777" w:rsidR="00EF3DD9" w:rsidRDefault="00EF3DD9" w:rsidP="005A3B4D">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029A14A1" w14:textId="77777777" w:rsidR="00EF3DD9" w:rsidRDefault="00EF3DD9" w:rsidP="005A3B4D">
            <w:pPr>
              <w:jc w:val="right"/>
              <w:rPr>
                <w:color w:val="000000"/>
                <w:sz w:val="20"/>
                <w:szCs w:val="20"/>
              </w:rPr>
            </w:pPr>
            <w:r>
              <w:rPr>
                <w:color w:val="000000"/>
                <w:sz w:val="20"/>
                <w:szCs w:val="20"/>
              </w:rPr>
              <w:t>0.188</w:t>
            </w:r>
          </w:p>
        </w:tc>
        <w:tc>
          <w:tcPr>
            <w:tcW w:w="768" w:type="dxa"/>
            <w:tcBorders>
              <w:top w:val="nil"/>
              <w:left w:val="nil"/>
              <w:bottom w:val="single" w:sz="4" w:space="0" w:color="auto"/>
              <w:right w:val="nil"/>
            </w:tcBorders>
            <w:shd w:val="clear" w:color="auto" w:fill="auto"/>
            <w:noWrap/>
            <w:vAlign w:val="bottom"/>
            <w:hideMark/>
          </w:tcPr>
          <w:p w14:paraId="6C1609A6"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47D291C" w14:textId="77777777" w:rsidR="00EF3DD9" w:rsidRDefault="00EF3DD9" w:rsidP="005A3B4D">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709ECEB1" w14:textId="77777777" w:rsidR="00EF3DD9" w:rsidRDefault="00EF3DD9" w:rsidP="005A3B4D">
            <w:pPr>
              <w:jc w:val="right"/>
              <w:rPr>
                <w:color w:val="000000"/>
                <w:sz w:val="20"/>
                <w:szCs w:val="20"/>
              </w:rPr>
            </w:pPr>
            <w:r>
              <w:rPr>
                <w:color w:val="000000"/>
                <w:sz w:val="20"/>
                <w:szCs w:val="20"/>
              </w:rPr>
              <w:t>0.680</w:t>
            </w:r>
          </w:p>
        </w:tc>
        <w:tc>
          <w:tcPr>
            <w:tcW w:w="768" w:type="dxa"/>
            <w:tcBorders>
              <w:top w:val="nil"/>
              <w:left w:val="nil"/>
              <w:bottom w:val="single" w:sz="4" w:space="0" w:color="auto"/>
              <w:right w:val="nil"/>
            </w:tcBorders>
            <w:shd w:val="clear" w:color="auto" w:fill="auto"/>
            <w:noWrap/>
            <w:vAlign w:val="bottom"/>
            <w:hideMark/>
          </w:tcPr>
          <w:p w14:paraId="176C4CFF"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0D28D4F" w14:textId="77777777" w:rsidR="00EF3DD9" w:rsidRDefault="00EF3DD9" w:rsidP="005A3B4D">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1883CBCB" w14:textId="77777777" w:rsidR="00EF3DD9" w:rsidRDefault="00EF3DD9" w:rsidP="005A3B4D">
            <w:pPr>
              <w:jc w:val="right"/>
              <w:rPr>
                <w:color w:val="000000"/>
                <w:sz w:val="20"/>
                <w:szCs w:val="20"/>
              </w:rPr>
            </w:pPr>
            <w:r>
              <w:rPr>
                <w:color w:val="000000"/>
                <w:sz w:val="20"/>
                <w:szCs w:val="20"/>
              </w:rPr>
              <w:t>0.667</w:t>
            </w:r>
          </w:p>
        </w:tc>
        <w:tc>
          <w:tcPr>
            <w:tcW w:w="768" w:type="dxa"/>
            <w:tcBorders>
              <w:top w:val="nil"/>
              <w:left w:val="nil"/>
              <w:bottom w:val="single" w:sz="4" w:space="0" w:color="auto"/>
              <w:right w:val="nil"/>
            </w:tcBorders>
            <w:shd w:val="clear" w:color="auto" w:fill="auto"/>
            <w:noWrap/>
            <w:vAlign w:val="bottom"/>
            <w:hideMark/>
          </w:tcPr>
          <w:p w14:paraId="132DF826" w14:textId="77777777" w:rsidR="00EF3DD9" w:rsidRDefault="00EF3DD9" w:rsidP="005A3B4D">
            <w:pPr>
              <w:jc w:val="right"/>
              <w:rPr>
                <w:color w:val="000000"/>
                <w:sz w:val="20"/>
                <w:szCs w:val="20"/>
              </w:rPr>
            </w:pPr>
            <w:r>
              <w:rPr>
                <w:color w:val="000000"/>
                <w:sz w:val="20"/>
                <w:szCs w:val="20"/>
              </w:rPr>
              <w:t>0.001</w:t>
            </w:r>
          </w:p>
        </w:tc>
      </w:tr>
      <w:tr w:rsidR="00EF3DD9" w14:paraId="60553DFE" w14:textId="77777777" w:rsidTr="005A3B4D">
        <w:trPr>
          <w:trHeight w:val="320"/>
        </w:trPr>
        <w:tc>
          <w:tcPr>
            <w:tcW w:w="1176" w:type="dxa"/>
            <w:tcBorders>
              <w:top w:val="nil"/>
              <w:left w:val="nil"/>
              <w:bottom w:val="nil"/>
              <w:right w:val="nil"/>
            </w:tcBorders>
            <w:shd w:val="clear" w:color="auto" w:fill="auto"/>
            <w:noWrap/>
            <w:vAlign w:val="bottom"/>
            <w:hideMark/>
          </w:tcPr>
          <w:p w14:paraId="369A3ACC" w14:textId="77777777" w:rsidR="00EF3DD9" w:rsidRDefault="00EF3DD9"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5CE80DF" w14:textId="77777777" w:rsidR="00EF3DD9" w:rsidRDefault="00EF3DD9"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E32BFE7" w14:textId="77777777" w:rsidR="00EF3DD9" w:rsidRDefault="00EF3DD9" w:rsidP="005A3B4D">
            <w:pPr>
              <w:jc w:val="right"/>
              <w:rPr>
                <w:b/>
                <w:bCs/>
                <w:color w:val="000000"/>
                <w:sz w:val="20"/>
                <w:szCs w:val="20"/>
              </w:rPr>
            </w:pPr>
            <w:r>
              <w:rPr>
                <w:b/>
                <w:bCs/>
                <w:color w:val="000000"/>
                <w:sz w:val="20"/>
                <w:szCs w:val="20"/>
              </w:rPr>
              <w:t>-0.085</w:t>
            </w:r>
          </w:p>
        </w:tc>
        <w:tc>
          <w:tcPr>
            <w:tcW w:w="768" w:type="dxa"/>
            <w:tcBorders>
              <w:top w:val="nil"/>
              <w:left w:val="nil"/>
              <w:bottom w:val="nil"/>
              <w:right w:val="nil"/>
            </w:tcBorders>
            <w:shd w:val="clear" w:color="auto" w:fill="auto"/>
            <w:noWrap/>
            <w:vAlign w:val="bottom"/>
            <w:hideMark/>
          </w:tcPr>
          <w:p w14:paraId="2BF8F967" w14:textId="77777777" w:rsidR="00EF3DD9" w:rsidRDefault="00EF3DD9"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0984C142" w14:textId="77777777" w:rsidR="00EF3DD9" w:rsidRDefault="00EF3DD9" w:rsidP="005A3B4D">
            <w:pPr>
              <w:jc w:val="right"/>
              <w:rPr>
                <w:b/>
                <w:bCs/>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44F6B67A" w14:textId="77777777" w:rsidR="00EF3DD9" w:rsidRDefault="00EF3DD9"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7C33452" w14:textId="77777777" w:rsidR="00EF3DD9" w:rsidRDefault="00EF3DD9" w:rsidP="005A3B4D">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26BB0B0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0A1D756" w14:textId="77777777" w:rsidR="00EF3DD9" w:rsidRDefault="00EF3DD9"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BCF045E" w14:textId="77777777" w:rsidR="00EF3DD9" w:rsidRDefault="00EF3DD9"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1FE74305"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02EB7D" w14:textId="77777777" w:rsidR="00EF3DD9" w:rsidRDefault="00EF3DD9" w:rsidP="005A3B4D">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3910D7A1" w14:textId="77777777" w:rsidR="00EF3DD9" w:rsidRDefault="00EF3DD9" w:rsidP="005A3B4D">
            <w:pPr>
              <w:jc w:val="right"/>
              <w:rPr>
                <w:color w:val="000000"/>
                <w:sz w:val="20"/>
                <w:szCs w:val="20"/>
              </w:rPr>
            </w:pPr>
            <w:r>
              <w:rPr>
                <w:color w:val="000000"/>
                <w:sz w:val="20"/>
                <w:szCs w:val="20"/>
              </w:rPr>
              <w:t>0.160</w:t>
            </w:r>
          </w:p>
        </w:tc>
        <w:tc>
          <w:tcPr>
            <w:tcW w:w="768" w:type="dxa"/>
            <w:tcBorders>
              <w:top w:val="nil"/>
              <w:left w:val="nil"/>
              <w:bottom w:val="nil"/>
              <w:right w:val="nil"/>
            </w:tcBorders>
            <w:shd w:val="clear" w:color="auto" w:fill="auto"/>
            <w:noWrap/>
            <w:vAlign w:val="bottom"/>
            <w:hideMark/>
          </w:tcPr>
          <w:p w14:paraId="562CFE53"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72590E5" w14:textId="77777777" w:rsidR="00EF3DD9" w:rsidRDefault="00EF3DD9"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17345365" w14:textId="77777777" w:rsidR="00EF3DD9" w:rsidRDefault="00EF3DD9" w:rsidP="005A3B4D">
            <w:pPr>
              <w:jc w:val="right"/>
              <w:rPr>
                <w:color w:val="000000"/>
                <w:sz w:val="20"/>
                <w:szCs w:val="20"/>
              </w:rPr>
            </w:pPr>
            <w:r>
              <w:rPr>
                <w:color w:val="000000"/>
                <w:sz w:val="20"/>
                <w:szCs w:val="20"/>
              </w:rPr>
              <w:t>0.593</w:t>
            </w:r>
          </w:p>
        </w:tc>
        <w:tc>
          <w:tcPr>
            <w:tcW w:w="768" w:type="dxa"/>
            <w:tcBorders>
              <w:top w:val="nil"/>
              <w:left w:val="nil"/>
              <w:bottom w:val="nil"/>
              <w:right w:val="nil"/>
            </w:tcBorders>
            <w:shd w:val="clear" w:color="auto" w:fill="auto"/>
            <w:noWrap/>
            <w:vAlign w:val="bottom"/>
            <w:hideMark/>
          </w:tcPr>
          <w:p w14:paraId="4D7017FE" w14:textId="77777777" w:rsidR="00EF3DD9" w:rsidRDefault="00EF3DD9" w:rsidP="005A3B4D">
            <w:pPr>
              <w:jc w:val="right"/>
              <w:rPr>
                <w:color w:val="000000"/>
                <w:sz w:val="20"/>
                <w:szCs w:val="20"/>
              </w:rPr>
            </w:pPr>
            <w:r>
              <w:rPr>
                <w:color w:val="000000"/>
                <w:sz w:val="20"/>
                <w:szCs w:val="20"/>
              </w:rPr>
              <w:t>0.000</w:t>
            </w:r>
          </w:p>
        </w:tc>
      </w:tr>
      <w:tr w:rsidR="00EF3DD9" w14:paraId="484D2833" w14:textId="77777777" w:rsidTr="005A3B4D">
        <w:trPr>
          <w:trHeight w:val="320"/>
        </w:trPr>
        <w:tc>
          <w:tcPr>
            <w:tcW w:w="1176" w:type="dxa"/>
            <w:tcBorders>
              <w:top w:val="nil"/>
              <w:left w:val="nil"/>
              <w:bottom w:val="nil"/>
              <w:right w:val="nil"/>
            </w:tcBorders>
            <w:shd w:val="clear" w:color="auto" w:fill="auto"/>
            <w:noWrap/>
            <w:vAlign w:val="bottom"/>
            <w:hideMark/>
          </w:tcPr>
          <w:p w14:paraId="4138277E"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24FEE08" w14:textId="77777777" w:rsidR="00EF3DD9" w:rsidRDefault="00EF3DD9"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F6B79E7" w14:textId="77777777" w:rsidR="00EF3DD9" w:rsidRDefault="00EF3DD9"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9307A53" w14:textId="77777777" w:rsidR="00EF3DD9" w:rsidRDefault="00EF3DD9" w:rsidP="005A3B4D">
            <w:pPr>
              <w:jc w:val="right"/>
              <w:rPr>
                <w:color w:val="000000"/>
                <w:sz w:val="20"/>
                <w:szCs w:val="20"/>
              </w:rPr>
            </w:pPr>
            <w:r>
              <w:rPr>
                <w:color w:val="000000"/>
                <w:sz w:val="20"/>
                <w:szCs w:val="20"/>
              </w:rPr>
              <w:t>0.274</w:t>
            </w:r>
          </w:p>
        </w:tc>
        <w:tc>
          <w:tcPr>
            <w:tcW w:w="768" w:type="dxa"/>
            <w:tcBorders>
              <w:top w:val="nil"/>
              <w:left w:val="nil"/>
              <w:bottom w:val="nil"/>
              <w:right w:val="nil"/>
            </w:tcBorders>
            <w:shd w:val="clear" w:color="auto" w:fill="auto"/>
            <w:noWrap/>
            <w:vAlign w:val="bottom"/>
            <w:hideMark/>
          </w:tcPr>
          <w:p w14:paraId="23D168BE"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3AC0968"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9F1A016" w14:textId="77777777" w:rsidR="00EF3DD9" w:rsidRDefault="00EF3DD9" w:rsidP="005A3B4D">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75976CDE"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386AAC"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861233A" w14:textId="77777777" w:rsidR="00EF3DD9" w:rsidRDefault="00EF3DD9"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11911A47"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A9BDBC" w14:textId="77777777" w:rsidR="00EF3DD9" w:rsidRDefault="00EF3DD9" w:rsidP="005A3B4D">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8E081A8" w14:textId="77777777" w:rsidR="00EF3DD9" w:rsidRDefault="00EF3DD9" w:rsidP="005A3B4D">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17DAD1E4"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B2D2B9" w14:textId="77777777" w:rsidR="00EF3DD9" w:rsidRDefault="00EF3DD9"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74AD435" w14:textId="77777777" w:rsidR="00EF3DD9" w:rsidRDefault="00EF3DD9" w:rsidP="005A3B4D">
            <w:pPr>
              <w:jc w:val="right"/>
              <w:rPr>
                <w:color w:val="000000"/>
                <w:sz w:val="20"/>
                <w:szCs w:val="20"/>
              </w:rPr>
            </w:pPr>
            <w:r>
              <w:rPr>
                <w:color w:val="000000"/>
                <w:sz w:val="20"/>
                <w:szCs w:val="20"/>
              </w:rPr>
              <w:t>0.593</w:t>
            </w:r>
          </w:p>
        </w:tc>
        <w:tc>
          <w:tcPr>
            <w:tcW w:w="768" w:type="dxa"/>
            <w:tcBorders>
              <w:top w:val="nil"/>
              <w:left w:val="nil"/>
              <w:bottom w:val="nil"/>
              <w:right w:val="nil"/>
            </w:tcBorders>
            <w:shd w:val="clear" w:color="auto" w:fill="auto"/>
            <w:noWrap/>
            <w:vAlign w:val="bottom"/>
            <w:hideMark/>
          </w:tcPr>
          <w:p w14:paraId="7CBBB64A" w14:textId="77777777" w:rsidR="00EF3DD9" w:rsidRDefault="00EF3DD9" w:rsidP="005A3B4D">
            <w:pPr>
              <w:jc w:val="right"/>
              <w:rPr>
                <w:color w:val="000000"/>
                <w:sz w:val="20"/>
                <w:szCs w:val="20"/>
              </w:rPr>
            </w:pPr>
            <w:r>
              <w:rPr>
                <w:color w:val="000000"/>
                <w:sz w:val="20"/>
                <w:szCs w:val="20"/>
              </w:rPr>
              <w:t>0.001</w:t>
            </w:r>
          </w:p>
        </w:tc>
      </w:tr>
      <w:tr w:rsidR="00EF3DD9" w14:paraId="1400ECEF" w14:textId="77777777" w:rsidTr="005A3B4D">
        <w:trPr>
          <w:trHeight w:val="320"/>
        </w:trPr>
        <w:tc>
          <w:tcPr>
            <w:tcW w:w="1176" w:type="dxa"/>
            <w:tcBorders>
              <w:top w:val="nil"/>
              <w:left w:val="nil"/>
              <w:bottom w:val="nil"/>
              <w:right w:val="nil"/>
            </w:tcBorders>
            <w:shd w:val="clear" w:color="auto" w:fill="auto"/>
            <w:noWrap/>
            <w:vAlign w:val="bottom"/>
            <w:hideMark/>
          </w:tcPr>
          <w:p w14:paraId="530BF4FB"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C233D4" w14:textId="77777777" w:rsidR="00EF3DD9" w:rsidRDefault="00EF3DD9"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14AFC0C" w14:textId="77777777" w:rsidR="00EF3DD9" w:rsidRDefault="00EF3DD9"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04B41C66" w14:textId="77777777" w:rsidR="00EF3DD9" w:rsidRDefault="00EF3DD9" w:rsidP="005A3B4D">
            <w:pPr>
              <w:jc w:val="right"/>
              <w:rPr>
                <w:color w:val="000000"/>
                <w:sz w:val="20"/>
                <w:szCs w:val="20"/>
              </w:rPr>
            </w:pPr>
            <w:r>
              <w:rPr>
                <w:color w:val="000000"/>
                <w:sz w:val="20"/>
                <w:szCs w:val="20"/>
              </w:rPr>
              <w:t>0.274</w:t>
            </w:r>
          </w:p>
        </w:tc>
        <w:tc>
          <w:tcPr>
            <w:tcW w:w="768" w:type="dxa"/>
            <w:tcBorders>
              <w:top w:val="nil"/>
              <w:left w:val="nil"/>
              <w:bottom w:val="nil"/>
              <w:right w:val="nil"/>
            </w:tcBorders>
            <w:shd w:val="clear" w:color="auto" w:fill="auto"/>
            <w:noWrap/>
            <w:vAlign w:val="bottom"/>
            <w:hideMark/>
          </w:tcPr>
          <w:p w14:paraId="0CB225D6"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9623FBC" w14:textId="77777777" w:rsidR="00EF3DD9" w:rsidRDefault="00EF3DD9"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933E398" w14:textId="77777777" w:rsidR="00EF3DD9" w:rsidRDefault="00EF3DD9" w:rsidP="005A3B4D">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16AEFEF6"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77D472" w14:textId="77777777" w:rsidR="00EF3DD9" w:rsidRDefault="00EF3DD9"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A1DF247" w14:textId="77777777" w:rsidR="00EF3DD9" w:rsidRDefault="00EF3DD9"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49E477F7"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DB2754" w14:textId="77777777" w:rsidR="00EF3DD9" w:rsidRDefault="00EF3DD9"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5E80B13B" w14:textId="77777777" w:rsidR="00EF3DD9" w:rsidRDefault="00EF3DD9" w:rsidP="005A3B4D">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0A1C1DF9"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3B67E65"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B1BD796" w14:textId="77777777" w:rsidR="00EF3DD9" w:rsidRDefault="00EF3DD9" w:rsidP="005A3B4D">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362A68BD" w14:textId="77777777" w:rsidR="00EF3DD9" w:rsidRDefault="00EF3DD9" w:rsidP="005A3B4D">
            <w:pPr>
              <w:jc w:val="right"/>
              <w:rPr>
                <w:color w:val="000000"/>
                <w:sz w:val="20"/>
                <w:szCs w:val="20"/>
              </w:rPr>
            </w:pPr>
            <w:r>
              <w:rPr>
                <w:color w:val="000000"/>
                <w:sz w:val="20"/>
                <w:szCs w:val="20"/>
              </w:rPr>
              <w:t>0.000</w:t>
            </w:r>
          </w:p>
        </w:tc>
      </w:tr>
      <w:tr w:rsidR="00EF3DD9" w14:paraId="24E3E4D8" w14:textId="77777777" w:rsidTr="005A3B4D">
        <w:trPr>
          <w:trHeight w:val="320"/>
        </w:trPr>
        <w:tc>
          <w:tcPr>
            <w:tcW w:w="1176" w:type="dxa"/>
            <w:tcBorders>
              <w:top w:val="nil"/>
              <w:left w:val="nil"/>
              <w:bottom w:val="nil"/>
              <w:right w:val="nil"/>
            </w:tcBorders>
            <w:shd w:val="clear" w:color="auto" w:fill="auto"/>
            <w:noWrap/>
            <w:vAlign w:val="bottom"/>
            <w:hideMark/>
          </w:tcPr>
          <w:p w14:paraId="028E513D"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CF3E6B" w14:textId="77777777" w:rsidR="00EF3DD9" w:rsidRDefault="00EF3DD9"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19A5DA0" w14:textId="77777777" w:rsidR="00EF3DD9" w:rsidRDefault="00EF3DD9"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0A0689F0" w14:textId="77777777" w:rsidR="00EF3DD9" w:rsidRDefault="00EF3DD9" w:rsidP="005A3B4D">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37E66240"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C541595" w14:textId="77777777" w:rsidR="00EF3DD9" w:rsidRDefault="00EF3DD9"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60CCB0EC" w14:textId="77777777" w:rsidR="00EF3DD9" w:rsidRDefault="00EF3DD9" w:rsidP="005A3B4D">
            <w:pPr>
              <w:jc w:val="right"/>
              <w:rPr>
                <w:color w:val="000000"/>
                <w:sz w:val="20"/>
                <w:szCs w:val="20"/>
              </w:rPr>
            </w:pPr>
            <w:r>
              <w:rPr>
                <w:color w:val="000000"/>
                <w:sz w:val="20"/>
                <w:szCs w:val="20"/>
              </w:rPr>
              <w:t>0.477</w:t>
            </w:r>
          </w:p>
        </w:tc>
        <w:tc>
          <w:tcPr>
            <w:tcW w:w="768" w:type="dxa"/>
            <w:tcBorders>
              <w:top w:val="nil"/>
              <w:left w:val="nil"/>
              <w:bottom w:val="nil"/>
              <w:right w:val="nil"/>
            </w:tcBorders>
            <w:shd w:val="clear" w:color="auto" w:fill="auto"/>
            <w:noWrap/>
            <w:vAlign w:val="bottom"/>
            <w:hideMark/>
          </w:tcPr>
          <w:p w14:paraId="27AC25A1"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22C4771" w14:textId="77777777" w:rsidR="00EF3DD9" w:rsidRDefault="00EF3DD9"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7BD6522" w14:textId="77777777" w:rsidR="00EF3DD9" w:rsidRDefault="00EF3DD9"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47DDB433"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56E31E" w14:textId="77777777" w:rsidR="00EF3DD9" w:rsidRDefault="00EF3DD9"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6353C086" w14:textId="77777777" w:rsidR="00EF3DD9" w:rsidRDefault="00EF3DD9" w:rsidP="005A3B4D">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1F0DD196"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2E3976" w14:textId="77777777" w:rsidR="00EF3DD9" w:rsidRDefault="00EF3DD9"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385F5921" w14:textId="77777777" w:rsidR="00EF3DD9" w:rsidRDefault="00EF3DD9" w:rsidP="005A3B4D">
            <w:pPr>
              <w:jc w:val="right"/>
              <w:rPr>
                <w:color w:val="000000"/>
                <w:sz w:val="20"/>
                <w:szCs w:val="20"/>
              </w:rPr>
            </w:pPr>
            <w:r>
              <w:rPr>
                <w:color w:val="000000"/>
                <w:sz w:val="20"/>
                <w:szCs w:val="20"/>
              </w:rPr>
              <w:t>0.158</w:t>
            </w:r>
          </w:p>
        </w:tc>
        <w:tc>
          <w:tcPr>
            <w:tcW w:w="768" w:type="dxa"/>
            <w:tcBorders>
              <w:top w:val="nil"/>
              <w:left w:val="nil"/>
              <w:bottom w:val="nil"/>
              <w:right w:val="nil"/>
            </w:tcBorders>
            <w:shd w:val="clear" w:color="auto" w:fill="auto"/>
            <w:noWrap/>
            <w:vAlign w:val="bottom"/>
            <w:hideMark/>
          </w:tcPr>
          <w:p w14:paraId="3CEB2B2B" w14:textId="77777777" w:rsidR="00EF3DD9" w:rsidRDefault="00EF3DD9" w:rsidP="005A3B4D">
            <w:pPr>
              <w:jc w:val="right"/>
              <w:rPr>
                <w:color w:val="000000"/>
                <w:sz w:val="20"/>
                <w:szCs w:val="20"/>
              </w:rPr>
            </w:pPr>
            <w:r>
              <w:rPr>
                <w:color w:val="000000"/>
                <w:sz w:val="20"/>
                <w:szCs w:val="20"/>
              </w:rPr>
              <w:t>0.003</w:t>
            </w:r>
          </w:p>
        </w:tc>
      </w:tr>
      <w:tr w:rsidR="00EF3DD9" w14:paraId="26DA84DB" w14:textId="77777777" w:rsidTr="005A3B4D">
        <w:trPr>
          <w:trHeight w:val="320"/>
        </w:trPr>
        <w:tc>
          <w:tcPr>
            <w:tcW w:w="1176" w:type="dxa"/>
            <w:tcBorders>
              <w:top w:val="nil"/>
              <w:left w:val="nil"/>
              <w:bottom w:val="nil"/>
              <w:right w:val="nil"/>
            </w:tcBorders>
            <w:shd w:val="clear" w:color="auto" w:fill="auto"/>
            <w:noWrap/>
            <w:vAlign w:val="bottom"/>
            <w:hideMark/>
          </w:tcPr>
          <w:p w14:paraId="55CEEC3D"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49BBB8" w14:textId="77777777" w:rsidR="00EF3DD9" w:rsidRDefault="00EF3DD9"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DB380B2" w14:textId="77777777" w:rsidR="00EF3DD9" w:rsidRDefault="00EF3DD9" w:rsidP="005A3B4D">
            <w:pPr>
              <w:jc w:val="right"/>
              <w:rPr>
                <w:b/>
                <w:bCs/>
                <w:color w:val="000000"/>
                <w:sz w:val="20"/>
                <w:szCs w:val="20"/>
              </w:rPr>
            </w:pPr>
            <w:r>
              <w:rPr>
                <w:b/>
                <w:bCs/>
                <w:color w:val="000000"/>
                <w:sz w:val="20"/>
                <w:szCs w:val="20"/>
              </w:rPr>
              <w:t>0.090</w:t>
            </w:r>
          </w:p>
        </w:tc>
        <w:tc>
          <w:tcPr>
            <w:tcW w:w="768" w:type="dxa"/>
            <w:tcBorders>
              <w:top w:val="nil"/>
              <w:left w:val="nil"/>
              <w:bottom w:val="nil"/>
              <w:right w:val="nil"/>
            </w:tcBorders>
            <w:shd w:val="clear" w:color="auto" w:fill="auto"/>
            <w:noWrap/>
            <w:vAlign w:val="bottom"/>
            <w:hideMark/>
          </w:tcPr>
          <w:p w14:paraId="1A5D1A70" w14:textId="77777777" w:rsidR="00EF3DD9" w:rsidRDefault="00EF3DD9"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00CBF237" w14:textId="77777777" w:rsidR="00EF3DD9" w:rsidRDefault="00EF3DD9"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B17CBF3" w14:textId="77777777" w:rsidR="00EF3DD9" w:rsidRDefault="00EF3DD9"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AF7E3F2" w14:textId="77777777" w:rsidR="00EF3DD9" w:rsidRDefault="00EF3DD9" w:rsidP="005A3B4D">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22F0A8E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8B4F07" w14:textId="77777777" w:rsidR="00EF3DD9" w:rsidRDefault="00EF3DD9"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4C63751E" w14:textId="77777777" w:rsidR="00EF3DD9" w:rsidRDefault="00EF3DD9" w:rsidP="005A3B4D">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1E90D4DF"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54321BD" w14:textId="77777777" w:rsidR="00EF3DD9" w:rsidRDefault="00EF3DD9"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6B72285F" w14:textId="77777777" w:rsidR="00EF3DD9" w:rsidRDefault="00EF3DD9" w:rsidP="005A3B4D">
            <w:pPr>
              <w:jc w:val="right"/>
              <w:rPr>
                <w:color w:val="000000"/>
                <w:sz w:val="20"/>
                <w:szCs w:val="20"/>
              </w:rPr>
            </w:pPr>
            <w:r>
              <w:rPr>
                <w:color w:val="000000"/>
                <w:sz w:val="20"/>
                <w:szCs w:val="20"/>
              </w:rPr>
              <w:t>0.572</w:t>
            </w:r>
          </w:p>
        </w:tc>
        <w:tc>
          <w:tcPr>
            <w:tcW w:w="768" w:type="dxa"/>
            <w:tcBorders>
              <w:top w:val="nil"/>
              <w:left w:val="nil"/>
              <w:bottom w:val="nil"/>
              <w:right w:val="nil"/>
            </w:tcBorders>
            <w:shd w:val="clear" w:color="auto" w:fill="auto"/>
            <w:noWrap/>
            <w:vAlign w:val="bottom"/>
            <w:hideMark/>
          </w:tcPr>
          <w:p w14:paraId="1583C71D"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B7A6E16" w14:textId="77777777" w:rsidR="00EF3DD9" w:rsidRDefault="00EF3DD9"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22DE37EE" w14:textId="77777777" w:rsidR="00EF3DD9" w:rsidRDefault="00EF3DD9" w:rsidP="005A3B4D">
            <w:pPr>
              <w:jc w:val="right"/>
              <w:rPr>
                <w:color w:val="000000"/>
                <w:sz w:val="20"/>
                <w:szCs w:val="20"/>
              </w:rPr>
            </w:pPr>
            <w:r>
              <w:rPr>
                <w:color w:val="000000"/>
                <w:sz w:val="20"/>
                <w:szCs w:val="20"/>
              </w:rPr>
              <w:t>0.158</w:t>
            </w:r>
          </w:p>
        </w:tc>
        <w:tc>
          <w:tcPr>
            <w:tcW w:w="768" w:type="dxa"/>
            <w:tcBorders>
              <w:top w:val="nil"/>
              <w:left w:val="nil"/>
              <w:bottom w:val="nil"/>
              <w:right w:val="nil"/>
            </w:tcBorders>
            <w:shd w:val="clear" w:color="auto" w:fill="auto"/>
            <w:noWrap/>
            <w:vAlign w:val="bottom"/>
            <w:hideMark/>
          </w:tcPr>
          <w:p w14:paraId="42147BB4" w14:textId="77777777" w:rsidR="00EF3DD9" w:rsidRDefault="00EF3DD9" w:rsidP="005A3B4D">
            <w:pPr>
              <w:jc w:val="right"/>
              <w:rPr>
                <w:color w:val="000000"/>
                <w:sz w:val="20"/>
                <w:szCs w:val="20"/>
              </w:rPr>
            </w:pPr>
            <w:r>
              <w:rPr>
                <w:color w:val="000000"/>
                <w:sz w:val="20"/>
                <w:szCs w:val="20"/>
              </w:rPr>
              <w:t>0.003</w:t>
            </w:r>
          </w:p>
        </w:tc>
      </w:tr>
      <w:tr w:rsidR="00EF3DD9" w14:paraId="0859338E" w14:textId="77777777" w:rsidTr="005A3B4D">
        <w:trPr>
          <w:trHeight w:val="320"/>
        </w:trPr>
        <w:tc>
          <w:tcPr>
            <w:tcW w:w="1176" w:type="dxa"/>
            <w:tcBorders>
              <w:top w:val="nil"/>
              <w:left w:val="nil"/>
              <w:bottom w:val="nil"/>
              <w:right w:val="nil"/>
            </w:tcBorders>
            <w:shd w:val="clear" w:color="auto" w:fill="auto"/>
            <w:noWrap/>
            <w:vAlign w:val="bottom"/>
            <w:hideMark/>
          </w:tcPr>
          <w:p w14:paraId="28277E95"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E2FD660" w14:textId="77777777" w:rsidR="00EF3DD9" w:rsidRDefault="00EF3DD9"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C3FD5D9" w14:textId="77777777" w:rsidR="00EF3DD9" w:rsidRDefault="00EF3DD9"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17FBCFC9" w14:textId="77777777" w:rsidR="00EF3DD9" w:rsidRDefault="00EF3DD9" w:rsidP="005A3B4D">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325EFF5A"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176F56B" w14:textId="77777777" w:rsidR="00EF3DD9" w:rsidRDefault="00EF3DD9"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BB1B58E" w14:textId="77777777" w:rsidR="00EF3DD9" w:rsidRDefault="00EF3DD9" w:rsidP="005A3B4D">
            <w:pPr>
              <w:jc w:val="right"/>
              <w:rPr>
                <w:color w:val="000000"/>
                <w:sz w:val="20"/>
                <w:szCs w:val="20"/>
              </w:rPr>
            </w:pPr>
            <w:r>
              <w:rPr>
                <w:color w:val="000000"/>
                <w:sz w:val="20"/>
                <w:szCs w:val="20"/>
              </w:rPr>
              <w:t>0.477</w:t>
            </w:r>
          </w:p>
        </w:tc>
        <w:tc>
          <w:tcPr>
            <w:tcW w:w="768" w:type="dxa"/>
            <w:tcBorders>
              <w:top w:val="nil"/>
              <w:left w:val="nil"/>
              <w:bottom w:val="nil"/>
              <w:right w:val="nil"/>
            </w:tcBorders>
            <w:shd w:val="clear" w:color="auto" w:fill="auto"/>
            <w:noWrap/>
            <w:vAlign w:val="bottom"/>
            <w:hideMark/>
          </w:tcPr>
          <w:p w14:paraId="7B8EDE74"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F8F397"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3A5AD9E" w14:textId="77777777" w:rsidR="00EF3DD9" w:rsidRDefault="00EF3DD9"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56023DFF"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F1130EF"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18F1DBC" w14:textId="77777777" w:rsidR="00EF3DD9" w:rsidRDefault="00EF3DD9" w:rsidP="005A3B4D">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2A749821"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FCF3DE" w14:textId="77777777" w:rsidR="00EF3DD9" w:rsidRDefault="00EF3DD9"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6424693B" w14:textId="77777777" w:rsidR="00EF3DD9" w:rsidRDefault="00EF3DD9" w:rsidP="005A3B4D">
            <w:pPr>
              <w:jc w:val="right"/>
              <w:rPr>
                <w:color w:val="000000"/>
                <w:sz w:val="20"/>
                <w:szCs w:val="20"/>
              </w:rPr>
            </w:pPr>
            <w:r>
              <w:rPr>
                <w:color w:val="000000"/>
                <w:sz w:val="20"/>
                <w:szCs w:val="20"/>
              </w:rPr>
              <w:t>0.158</w:t>
            </w:r>
          </w:p>
        </w:tc>
        <w:tc>
          <w:tcPr>
            <w:tcW w:w="768" w:type="dxa"/>
            <w:tcBorders>
              <w:top w:val="nil"/>
              <w:left w:val="nil"/>
              <w:bottom w:val="nil"/>
              <w:right w:val="nil"/>
            </w:tcBorders>
            <w:shd w:val="clear" w:color="auto" w:fill="auto"/>
            <w:noWrap/>
            <w:vAlign w:val="bottom"/>
            <w:hideMark/>
          </w:tcPr>
          <w:p w14:paraId="63E5F79D" w14:textId="77777777" w:rsidR="00EF3DD9" w:rsidRDefault="00EF3DD9" w:rsidP="005A3B4D">
            <w:pPr>
              <w:jc w:val="right"/>
              <w:rPr>
                <w:color w:val="000000"/>
                <w:sz w:val="20"/>
                <w:szCs w:val="20"/>
              </w:rPr>
            </w:pPr>
            <w:r>
              <w:rPr>
                <w:color w:val="000000"/>
                <w:sz w:val="20"/>
                <w:szCs w:val="20"/>
              </w:rPr>
              <w:t>0.003</w:t>
            </w:r>
          </w:p>
        </w:tc>
      </w:tr>
      <w:tr w:rsidR="00EF3DD9" w14:paraId="1883EBCB" w14:textId="77777777" w:rsidTr="005A3B4D">
        <w:trPr>
          <w:trHeight w:val="320"/>
        </w:trPr>
        <w:tc>
          <w:tcPr>
            <w:tcW w:w="1176" w:type="dxa"/>
            <w:tcBorders>
              <w:top w:val="nil"/>
              <w:left w:val="nil"/>
              <w:bottom w:val="nil"/>
              <w:right w:val="nil"/>
            </w:tcBorders>
            <w:shd w:val="clear" w:color="auto" w:fill="auto"/>
            <w:noWrap/>
            <w:vAlign w:val="bottom"/>
            <w:hideMark/>
          </w:tcPr>
          <w:p w14:paraId="611B892E"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86A8532" w14:textId="77777777" w:rsidR="00EF3DD9" w:rsidRDefault="00EF3DD9"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984C70D" w14:textId="77777777" w:rsidR="00EF3DD9" w:rsidRDefault="00EF3DD9"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5D5092C" w14:textId="77777777" w:rsidR="00EF3DD9" w:rsidRDefault="00EF3DD9" w:rsidP="005A3B4D">
            <w:pPr>
              <w:jc w:val="right"/>
              <w:rPr>
                <w:color w:val="000000"/>
                <w:sz w:val="20"/>
                <w:szCs w:val="20"/>
              </w:rPr>
            </w:pPr>
            <w:r>
              <w:rPr>
                <w:color w:val="000000"/>
                <w:sz w:val="20"/>
                <w:szCs w:val="20"/>
              </w:rPr>
              <w:t>0.178</w:t>
            </w:r>
          </w:p>
        </w:tc>
        <w:tc>
          <w:tcPr>
            <w:tcW w:w="768" w:type="dxa"/>
            <w:tcBorders>
              <w:top w:val="nil"/>
              <w:left w:val="nil"/>
              <w:bottom w:val="nil"/>
              <w:right w:val="nil"/>
            </w:tcBorders>
            <w:shd w:val="clear" w:color="auto" w:fill="auto"/>
            <w:noWrap/>
            <w:vAlign w:val="bottom"/>
            <w:hideMark/>
          </w:tcPr>
          <w:p w14:paraId="38CDD9D1"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C29F1EE" w14:textId="77777777" w:rsidR="00EF3DD9" w:rsidRDefault="00EF3DD9"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0330A7C" w14:textId="77777777" w:rsidR="00EF3DD9" w:rsidRDefault="00EF3DD9" w:rsidP="005A3B4D">
            <w:pPr>
              <w:jc w:val="right"/>
              <w:rPr>
                <w:color w:val="000000"/>
                <w:sz w:val="20"/>
                <w:szCs w:val="20"/>
              </w:rPr>
            </w:pPr>
            <w:r>
              <w:rPr>
                <w:color w:val="000000"/>
                <w:sz w:val="20"/>
                <w:szCs w:val="20"/>
              </w:rPr>
              <w:t>0.616</w:t>
            </w:r>
          </w:p>
        </w:tc>
        <w:tc>
          <w:tcPr>
            <w:tcW w:w="768" w:type="dxa"/>
            <w:tcBorders>
              <w:top w:val="nil"/>
              <w:left w:val="nil"/>
              <w:bottom w:val="nil"/>
              <w:right w:val="nil"/>
            </w:tcBorders>
            <w:shd w:val="clear" w:color="auto" w:fill="auto"/>
            <w:noWrap/>
            <w:vAlign w:val="bottom"/>
            <w:hideMark/>
          </w:tcPr>
          <w:p w14:paraId="4125F46A"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81E5748" w14:textId="77777777" w:rsidR="00EF3DD9" w:rsidRDefault="00EF3DD9"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F074609" w14:textId="77777777" w:rsidR="00EF3DD9" w:rsidRDefault="00EF3DD9" w:rsidP="005A3B4D">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0516C228"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2327CF"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0BB21A4" w14:textId="77777777" w:rsidR="00EF3DD9" w:rsidRDefault="00EF3DD9" w:rsidP="005A3B4D">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66066A91"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331C49" w14:textId="77777777" w:rsidR="00EF3DD9" w:rsidRDefault="00EF3DD9" w:rsidP="005A3B4D">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06D0EDAC" w14:textId="77777777" w:rsidR="00EF3DD9" w:rsidRDefault="00EF3DD9" w:rsidP="005A3B4D">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183A8819" w14:textId="77777777" w:rsidR="00EF3DD9" w:rsidRDefault="00EF3DD9" w:rsidP="005A3B4D">
            <w:pPr>
              <w:jc w:val="right"/>
              <w:rPr>
                <w:color w:val="000000"/>
                <w:sz w:val="20"/>
                <w:szCs w:val="20"/>
              </w:rPr>
            </w:pPr>
            <w:r>
              <w:rPr>
                <w:color w:val="000000"/>
                <w:sz w:val="20"/>
                <w:szCs w:val="20"/>
              </w:rPr>
              <w:t>0.005</w:t>
            </w:r>
          </w:p>
        </w:tc>
      </w:tr>
      <w:tr w:rsidR="00EF3DD9" w14:paraId="508B9C3A"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17F993E1" w14:textId="77777777" w:rsidR="00EF3DD9" w:rsidRDefault="00EF3DD9"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CAADD01" w14:textId="77777777" w:rsidR="00EF3DD9" w:rsidRDefault="00EF3DD9"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1ED4708"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6CAC551" w14:textId="77777777" w:rsidR="00EF3DD9" w:rsidRDefault="00EF3DD9" w:rsidP="005A3B4D">
            <w:pPr>
              <w:jc w:val="right"/>
              <w:rPr>
                <w:color w:val="000000"/>
                <w:sz w:val="20"/>
                <w:szCs w:val="20"/>
              </w:rPr>
            </w:pPr>
            <w:r>
              <w:rPr>
                <w:color w:val="000000"/>
                <w:sz w:val="20"/>
                <w:szCs w:val="20"/>
              </w:rPr>
              <w:t>0.953</w:t>
            </w:r>
          </w:p>
        </w:tc>
        <w:tc>
          <w:tcPr>
            <w:tcW w:w="768" w:type="dxa"/>
            <w:tcBorders>
              <w:top w:val="nil"/>
              <w:left w:val="nil"/>
              <w:bottom w:val="single" w:sz="4" w:space="0" w:color="auto"/>
              <w:right w:val="nil"/>
            </w:tcBorders>
            <w:shd w:val="clear" w:color="auto" w:fill="auto"/>
            <w:noWrap/>
            <w:vAlign w:val="bottom"/>
            <w:hideMark/>
          </w:tcPr>
          <w:p w14:paraId="4C006BDF"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73733BC" w14:textId="77777777" w:rsidR="00EF3DD9" w:rsidRDefault="00EF3DD9" w:rsidP="005A3B4D">
            <w:pPr>
              <w:jc w:val="right"/>
              <w:rPr>
                <w:color w:val="000000"/>
                <w:sz w:val="20"/>
                <w:szCs w:val="20"/>
              </w:rPr>
            </w:pPr>
            <w:r>
              <w:rPr>
                <w:color w:val="000000"/>
                <w:sz w:val="20"/>
                <w:szCs w:val="20"/>
              </w:rPr>
              <w:t>0.055</w:t>
            </w:r>
          </w:p>
        </w:tc>
        <w:tc>
          <w:tcPr>
            <w:tcW w:w="768" w:type="dxa"/>
            <w:tcBorders>
              <w:top w:val="nil"/>
              <w:left w:val="nil"/>
              <w:bottom w:val="single" w:sz="4" w:space="0" w:color="auto"/>
              <w:right w:val="nil"/>
            </w:tcBorders>
            <w:shd w:val="clear" w:color="auto" w:fill="auto"/>
            <w:noWrap/>
            <w:vAlign w:val="bottom"/>
            <w:hideMark/>
          </w:tcPr>
          <w:p w14:paraId="2BC89874" w14:textId="77777777" w:rsidR="00EF3DD9" w:rsidRDefault="00EF3DD9" w:rsidP="005A3B4D">
            <w:pPr>
              <w:jc w:val="right"/>
              <w:rPr>
                <w:color w:val="000000"/>
                <w:sz w:val="20"/>
                <w:szCs w:val="20"/>
              </w:rPr>
            </w:pPr>
            <w:r>
              <w:rPr>
                <w:color w:val="000000"/>
                <w:sz w:val="20"/>
                <w:szCs w:val="20"/>
              </w:rPr>
              <w:t>0.224</w:t>
            </w:r>
          </w:p>
        </w:tc>
        <w:tc>
          <w:tcPr>
            <w:tcW w:w="768" w:type="dxa"/>
            <w:tcBorders>
              <w:top w:val="nil"/>
              <w:left w:val="nil"/>
              <w:bottom w:val="single" w:sz="4" w:space="0" w:color="auto"/>
              <w:right w:val="nil"/>
            </w:tcBorders>
            <w:shd w:val="clear" w:color="auto" w:fill="auto"/>
            <w:noWrap/>
            <w:vAlign w:val="bottom"/>
            <w:hideMark/>
          </w:tcPr>
          <w:p w14:paraId="498D55DC"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4E23A9D8" w14:textId="77777777" w:rsidR="00EF3DD9" w:rsidRDefault="00EF3DD9" w:rsidP="005A3B4D">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4937A3E7" w14:textId="77777777" w:rsidR="00EF3DD9" w:rsidRDefault="00EF3DD9" w:rsidP="005A3B4D">
            <w:pPr>
              <w:jc w:val="right"/>
              <w:rPr>
                <w:color w:val="000000"/>
                <w:sz w:val="20"/>
                <w:szCs w:val="20"/>
              </w:rPr>
            </w:pPr>
            <w:r>
              <w:rPr>
                <w:color w:val="000000"/>
                <w:sz w:val="20"/>
                <w:szCs w:val="20"/>
              </w:rPr>
              <w:t>0.240</w:t>
            </w:r>
          </w:p>
        </w:tc>
        <w:tc>
          <w:tcPr>
            <w:tcW w:w="768" w:type="dxa"/>
            <w:tcBorders>
              <w:top w:val="nil"/>
              <w:left w:val="nil"/>
              <w:bottom w:val="single" w:sz="4" w:space="0" w:color="auto"/>
              <w:right w:val="nil"/>
            </w:tcBorders>
            <w:shd w:val="clear" w:color="auto" w:fill="auto"/>
            <w:noWrap/>
            <w:vAlign w:val="bottom"/>
            <w:hideMark/>
          </w:tcPr>
          <w:p w14:paraId="7697A5FD"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2C7C948"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5819810" w14:textId="77777777" w:rsidR="00EF3DD9" w:rsidRDefault="00EF3DD9" w:rsidP="005A3B4D">
            <w:pPr>
              <w:jc w:val="right"/>
              <w:rPr>
                <w:color w:val="000000"/>
                <w:sz w:val="20"/>
                <w:szCs w:val="20"/>
              </w:rPr>
            </w:pPr>
            <w:r>
              <w:rPr>
                <w:color w:val="000000"/>
                <w:sz w:val="20"/>
                <w:szCs w:val="20"/>
              </w:rPr>
              <w:t>0.932</w:t>
            </w:r>
          </w:p>
        </w:tc>
        <w:tc>
          <w:tcPr>
            <w:tcW w:w="768" w:type="dxa"/>
            <w:tcBorders>
              <w:top w:val="nil"/>
              <w:left w:val="nil"/>
              <w:bottom w:val="single" w:sz="4" w:space="0" w:color="auto"/>
              <w:right w:val="nil"/>
            </w:tcBorders>
            <w:shd w:val="clear" w:color="auto" w:fill="auto"/>
            <w:noWrap/>
            <w:vAlign w:val="bottom"/>
            <w:hideMark/>
          </w:tcPr>
          <w:p w14:paraId="47B36D89"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97E04CC" w14:textId="77777777" w:rsidR="00EF3DD9" w:rsidRDefault="00EF3DD9" w:rsidP="005A3B4D">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028AF2C2" w14:textId="77777777" w:rsidR="00EF3DD9" w:rsidRDefault="00EF3DD9" w:rsidP="005A3B4D">
            <w:pPr>
              <w:jc w:val="right"/>
              <w:rPr>
                <w:color w:val="000000"/>
                <w:sz w:val="20"/>
                <w:szCs w:val="20"/>
              </w:rPr>
            </w:pPr>
            <w:r>
              <w:rPr>
                <w:color w:val="000000"/>
                <w:sz w:val="20"/>
                <w:szCs w:val="20"/>
              </w:rPr>
              <w:t>0.336</w:t>
            </w:r>
          </w:p>
        </w:tc>
        <w:tc>
          <w:tcPr>
            <w:tcW w:w="768" w:type="dxa"/>
            <w:tcBorders>
              <w:top w:val="nil"/>
              <w:left w:val="nil"/>
              <w:bottom w:val="single" w:sz="4" w:space="0" w:color="auto"/>
              <w:right w:val="nil"/>
            </w:tcBorders>
            <w:shd w:val="clear" w:color="auto" w:fill="auto"/>
            <w:noWrap/>
            <w:vAlign w:val="bottom"/>
            <w:hideMark/>
          </w:tcPr>
          <w:p w14:paraId="278FBE7D" w14:textId="77777777" w:rsidR="00EF3DD9" w:rsidRDefault="00EF3DD9" w:rsidP="005A3B4D">
            <w:pPr>
              <w:jc w:val="right"/>
              <w:rPr>
                <w:color w:val="000000"/>
                <w:sz w:val="20"/>
                <w:szCs w:val="20"/>
              </w:rPr>
            </w:pPr>
            <w:r>
              <w:rPr>
                <w:color w:val="000000"/>
                <w:sz w:val="20"/>
                <w:szCs w:val="20"/>
              </w:rPr>
              <w:t>0.001</w:t>
            </w:r>
          </w:p>
        </w:tc>
      </w:tr>
      <w:tr w:rsidR="00EF3DD9" w14:paraId="0F5B8AA9" w14:textId="77777777" w:rsidTr="005A3B4D">
        <w:trPr>
          <w:trHeight w:val="320"/>
        </w:trPr>
        <w:tc>
          <w:tcPr>
            <w:tcW w:w="1176" w:type="dxa"/>
            <w:tcBorders>
              <w:top w:val="nil"/>
              <w:left w:val="nil"/>
              <w:bottom w:val="nil"/>
              <w:right w:val="nil"/>
            </w:tcBorders>
            <w:shd w:val="clear" w:color="auto" w:fill="auto"/>
            <w:noWrap/>
            <w:vAlign w:val="bottom"/>
            <w:hideMark/>
          </w:tcPr>
          <w:p w14:paraId="16F52D3F" w14:textId="77777777" w:rsidR="00EF3DD9" w:rsidRDefault="00EF3DD9"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56D58B00" w14:textId="77777777" w:rsidR="00EF3DD9" w:rsidRDefault="00EF3DD9"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94252EB" w14:textId="77777777" w:rsidR="00EF3DD9" w:rsidRDefault="00EF3DD9" w:rsidP="005A3B4D">
            <w:pPr>
              <w:jc w:val="right"/>
              <w:rPr>
                <w:b/>
                <w:bCs/>
                <w:color w:val="000000"/>
                <w:sz w:val="20"/>
                <w:szCs w:val="20"/>
              </w:rPr>
            </w:pPr>
            <w:r>
              <w:rPr>
                <w:b/>
                <w:bCs/>
                <w:color w:val="000000"/>
                <w:sz w:val="20"/>
                <w:szCs w:val="20"/>
              </w:rPr>
              <w:t>-0.095</w:t>
            </w:r>
          </w:p>
        </w:tc>
        <w:tc>
          <w:tcPr>
            <w:tcW w:w="768" w:type="dxa"/>
            <w:tcBorders>
              <w:top w:val="nil"/>
              <w:left w:val="nil"/>
              <w:bottom w:val="nil"/>
              <w:right w:val="nil"/>
            </w:tcBorders>
            <w:shd w:val="clear" w:color="auto" w:fill="auto"/>
            <w:noWrap/>
            <w:vAlign w:val="bottom"/>
            <w:hideMark/>
          </w:tcPr>
          <w:p w14:paraId="6073EBFE" w14:textId="77777777" w:rsidR="00EF3DD9" w:rsidRDefault="00EF3DD9"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A315B52" w14:textId="77777777" w:rsidR="00EF3DD9" w:rsidRDefault="00EF3DD9" w:rsidP="005A3B4D">
            <w:pPr>
              <w:jc w:val="right"/>
              <w:rPr>
                <w:b/>
                <w:bCs/>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32892FC8" w14:textId="77777777" w:rsidR="00EF3DD9" w:rsidRDefault="00EF3DD9"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53FAE113" w14:textId="77777777" w:rsidR="00EF3DD9" w:rsidRDefault="00EF3DD9" w:rsidP="005A3B4D">
            <w:pPr>
              <w:jc w:val="right"/>
              <w:rPr>
                <w:color w:val="000000"/>
                <w:sz w:val="20"/>
                <w:szCs w:val="20"/>
              </w:rPr>
            </w:pPr>
            <w:r>
              <w:rPr>
                <w:color w:val="000000"/>
                <w:sz w:val="20"/>
                <w:szCs w:val="20"/>
              </w:rPr>
              <w:t>0.733</w:t>
            </w:r>
          </w:p>
        </w:tc>
        <w:tc>
          <w:tcPr>
            <w:tcW w:w="768" w:type="dxa"/>
            <w:tcBorders>
              <w:top w:val="nil"/>
              <w:left w:val="nil"/>
              <w:bottom w:val="nil"/>
              <w:right w:val="nil"/>
            </w:tcBorders>
            <w:shd w:val="clear" w:color="auto" w:fill="auto"/>
            <w:noWrap/>
            <w:vAlign w:val="bottom"/>
            <w:hideMark/>
          </w:tcPr>
          <w:p w14:paraId="5A99727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C8190A" w14:textId="77777777" w:rsidR="00EF3DD9" w:rsidRDefault="00EF3DD9"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675731E" w14:textId="77777777" w:rsidR="00EF3DD9" w:rsidRDefault="00EF3DD9" w:rsidP="005A3B4D">
            <w:pPr>
              <w:jc w:val="right"/>
              <w:rPr>
                <w:color w:val="000000"/>
                <w:sz w:val="20"/>
                <w:szCs w:val="20"/>
              </w:rPr>
            </w:pPr>
            <w:r>
              <w:rPr>
                <w:color w:val="000000"/>
                <w:sz w:val="20"/>
                <w:szCs w:val="20"/>
              </w:rPr>
              <w:t>0.742</w:t>
            </w:r>
          </w:p>
        </w:tc>
        <w:tc>
          <w:tcPr>
            <w:tcW w:w="768" w:type="dxa"/>
            <w:tcBorders>
              <w:top w:val="nil"/>
              <w:left w:val="nil"/>
              <w:bottom w:val="nil"/>
              <w:right w:val="nil"/>
            </w:tcBorders>
            <w:shd w:val="clear" w:color="auto" w:fill="auto"/>
            <w:noWrap/>
            <w:vAlign w:val="bottom"/>
            <w:hideMark/>
          </w:tcPr>
          <w:p w14:paraId="72CE219C"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EC4419" w14:textId="77777777" w:rsidR="00EF3DD9" w:rsidRDefault="00EF3DD9" w:rsidP="005A3B4D">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4AFD589C" w14:textId="77777777" w:rsidR="00EF3DD9" w:rsidRDefault="00EF3DD9" w:rsidP="005A3B4D">
            <w:pPr>
              <w:jc w:val="right"/>
              <w:rPr>
                <w:color w:val="000000"/>
                <w:sz w:val="20"/>
                <w:szCs w:val="20"/>
              </w:rPr>
            </w:pPr>
            <w:r>
              <w:rPr>
                <w:color w:val="000000"/>
                <w:sz w:val="20"/>
                <w:szCs w:val="20"/>
              </w:rPr>
              <w:t>0.136</w:t>
            </w:r>
          </w:p>
        </w:tc>
        <w:tc>
          <w:tcPr>
            <w:tcW w:w="768" w:type="dxa"/>
            <w:tcBorders>
              <w:top w:val="nil"/>
              <w:left w:val="nil"/>
              <w:bottom w:val="nil"/>
              <w:right w:val="nil"/>
            </w:tcBorders>
            <w:shd w:val="clear" w:color="auto" w:fill="auto"/>
            <w:noWrap/>
            <w:vAlign w:val="bottom"/>
            <w:hideMark/>
          </w:tcPr>
          <w:p w14:paraId="743D373B"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B7CB51D" w14:textId="77777777" w:rsidR="00EF3DD9" w:rsidRDefault="00EF3DD9"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2A3CFBEB" w14:textId="77777777" w:rsidR="00EF3DD9" w:rsidRDefault="00EF3DD9" w:rsidP="005A3B4D">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00992CE2" w14:textId="77777777" w:rsidR="00EF3DD9" w:rsidRDefault="00EF3DD9" w:rsidP="005A3B4D">
            <w:pPr>
              <w:jc w:val="right"/>
              <w:rPr>
                <w:color w:val="000000"/>
                <w:sz w:val="20"/>
                <w:szCs w:val="20"/>
              </w:rPr>
            </w:pPr>
            <w:r>
              <w:rPr>
                <w:color w:val="000000"/>
                <w:sz w:val="20"/>
                <w:szCs w:val="20"/>
              </w:rPr>
              <w:t>0.001</w:t>
            </w:r>
          </w:p>
        </w:tc>
      </w:tr>
      <w:tr w:rsidR="00EF3DD9" w14:paraId="45D977AA" w14:textId="77777777" w:rsidTr="005A3B4D">
        <w:trPr>
          <w:trHeight w:val="320"/>
        </w:trPr>
        <w:tc>
          <w:tcPr>
            <w:tcW w:w="1176" w:type="dxa"/>
            <w:tcBorders>
              <w:top w:val="nil"/>
              <w:left w:val="nil"/>
              <w:bottom w:val="nil"/>
              <w:right w:val="nil"/>
            </w:tcBorders>
            <w:shd w:val="clear" w:color="auto" w:fill="auto"/>
            <w:noWrap/>
            <w:vAlign w:val="bottom"/>
            <w:hideMark/>
          </w:tcPr>
          <w:p w14:paraId="45E31D7B"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EEE3D8" w14:textId="77777777" w:rsidR="00EF3DD9" w:rsidRDefault="00EF3DD9"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BA7A3B2" w14:textId="77777777" w:rsidR="00EF3DD9" w:rsidRDefault="00EF3DD9"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93FAF6A" w14:textId="77777777" w:rsidR="00EF3DD9" w:rsidRDefault="00EF3DD9" w:rsidP="005A3B4D">
            <w:pPr>
              <w:jc w:val="right"/>
              <w:rPr>
                <w:color w:val="000000"/>
                <w:sz w:val="20"/>
                <w:szCs w:val="20"/>
              </w:rPr>
            </w:pPr>
            <w:r>
              <w:rPr>
                <w:color w:val="000000"/>
                <w:sz w:val="20"/>
                <w:szCs w:val="20"/>
              </w:rPr>
              <w:t>0.340</w:t>
            </w:r>
          </w:p>
        </w:tc>
        <w:tc>
          <w:tcPr>
            <w:tcW w:w="768" w:type="dxa"/>
            <w:tcBorders>
              <w:top w:val="nil"/>
              <w:left w:val="nil"/>
              <w:bottom w:val="nil"/>
              <w:right w:val="nil"/>
            </w:tcBorders>
            <w:shd w:val="clear" w:color="auto" w:fill="auto"/>
            <w:noWrap/>
            <w:vAlign w:val="bottom"/>
            <w:hideMark/>
          </w:tcPr>
          <w:p w14:paraId="1B3967DA"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451D0DE" w14:textId="77777777" w:rsidR="00EF3DD9" w:rsidRDefault="00EF3DD9"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1C690BD" w14:textId="77777777" w:rsidR="00EF3DD9" w:rsidRDefault="00EF3DD9" w:rsidP="005A3B4D">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49AB966D"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B69F6D" w14:textId="77777777" w:rsidR="00EF3DD9" w:rsidRDefault="00EF3DD9"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70EEB8B" w14:textId="77777777" w:rsidR="00EF3DD9" w:rsidRDefault="00EF3DD9" w:rsidP="005A3B4D">
            <w:pPr>
              <w:jc w:val="right"/>
              <w:rPr>
                <w:color w:val="000000"/>
                <w:sz w:val="20"/>
                <w:szCs w:val="20"/>
              </w:rPr>
            </w:pPr>
            <w:r>
              <w:rPr>
                <w:color w:val="000000"/>
                <w:sz w:val="20"/>
                <w:szCs w:val="20"/>
              </w:rPr>
              <w:t>0.742</w:t>
            </w:r>
          </w:p>
        </w:tc>
        <w:tc>
          <w:tcPr>
            <w:tcW w:w="768" w:type="dxa"/>
            <w:tcBorders>
              <w:top w:val="nil"/>
              <w:left w:val="nil"/>
              <w:bottom w:val="nil"/>
              <w:right w:val="nil"/>
            </w:tcBorders>
            <w:shd w:val="clear" w:color="auto" w:fill="auto"/>
            <w:noWrap/>
            <w:vAlign w:val="bottom"/>
            <w:hideMark/>
          </w:tcPr>
          <w:p w14:paraId="526F104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CF88E0" w14:textId="77777777" w:rsidR="00EF3DD9" w:rsidRDefault="00EF3DD9"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9C2A521" w14:textId="77777777" w:rsidR="00EF3DD9" w:rsidRDefault="00EF3DD9" w:rsidP="005A3B4D">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3B45E630"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9C9B61" w14:textId="77777777" w:rsidR="00EF3DD9" w:rsidRDefault="00EF3DD9"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A0186D8" w14:textId="77777777" w:rsidR="00EF3DD9" w:rsidRDefault="00EF3DD9" w:rsidP="005A3B4D">
            <w:pPr>
              <w:jc w:val="right"/>
              <w:rPr>
                <w:color w:val="000000"/>
                <w:sz w:val="20"/>
                <w:szCs w:val="20"/>
              </w:rPr>
            </w:pPr>
            <w:r>
              <w:rPr>
                <w:color w:val="000000"/>
                <w:sz w:val="20"/>
                <w:szCs w:val="20"/>
              </w:rPr>
              <w:t>0.849</w:t>
            </w:r>
          </w:p>
        </w:tc>
        <w:tc>
          <w:tcPr>
            <w:tcW w:w="768" w:type="dxa"/>
            <w:tcBorders>
              <w:top w:val="nil"/>
              <w:left w:val="nil"/>
              <w:bottom w:val="nil"/>
              <w:right w:val="nil"/>
            </w:tcBorders>
            <w:shd w:val="clear" w:color="auto" w:fill="auto"/>
            <w:noWrap/>
            <w:vAlign w:val="bottom"/>
            <w:hideMark/>
          </w:tcPr>
          <w:p w14:paraId="179EE590" w14:textId="77777777" w:rsidR="00EF3DD9" w:rsidRDefault="00EF3DD9" w:rsidP="005A3B4D">
            <w:pPr>
              <w:jc w:val="right"/>
              <w:rPr>
                <w:color w:val="000000"/>
                <w:sz w:val="20"/>
                <w:szCs w:val="20"/>
              </w:rPr>
            </w:pPr>
            <w:r>
              <w:rPr>
                <w:color w:val="000000"/>
                <w:sz w:val="20"/>
                <w:szCs w:val="20"/>
              </w:rPr>
              <w:t>0.000</w:t>
            </w:r>
          </w:p>
        </w:tc>
      </w:tr>
      <w:tr w:rsidR="00EF3DD9" w14:paraId="5FF6C469" w14:textId="77777777" w:rsidTr="005A3B4D">
        <w:trPr>
          <w:trHeight w:val="320"/>
        </w:trPr>
        <w:tc>
          <w:tcPr>
            <w:tcW w:w="1176" w:type="dxa"/>
            <w:tcBorders>
              <w:top w:val="nil"/>
              <w:left w:val="nil"/>
              <w:bottom w:val="nil"/>
              <w:right w:val="nil"/>
            </w:tcBorders>
            <w:shd w:val="clear" w:color="auto" w:fill="auto"/>
            <w:noWrap/>
            <w:vAlign w:val="bottom"/>
            <w:hideMark/>
          </w:tcPr>
          <w:p w14:paraId="42D090FF"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657511D" w14:textId="77777777" w:rsidR="00EF3DD9" w:rsidRDefault="00EF3DD9"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ECFB480" w14:textId="77777777" w:rsidR="00EF3DD9" w:rsidRDefault="00EF3DD9"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314C9314" w14:textId="77777777" w:rsidR="00EF3DD9" w:rsidRDefault="00EF3DD9" w:rsidP="005A3B4D">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61B3346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EEB1A8" w14:textId="77777777" w:rsidR="00EF3DD9" w:rsidRDefault="00EF3DD9"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A224A22" w14:textId="77777777" w:rsidR="00EF3DD9" w:rsidRDefault="00EF3DD9" w:rsidP="005A3B4D">
            <w:pPr>
              <w:jc w:val="right"/>
              <w:rPr>
                <w:color w:val="000000"/>
                <w:sz w:val="20"/>
                <w:szCs w:val="20"/>
              </w:rPr>
            </w:pPr>
            <w:r>
              <w:rPr>
                <w:color w:val="000000"/>
                <w:sz w:val="20"/>
                <w:szCs w:val="20"/>
              </w:rPr>
              <w:t>0.785</w:t>
            </w:r>
          </w:p>
        </w:tc>
        <w:tc>
          <w:tcPr>
            <w:tcW w:w="768" w:type="dxa"/>
            <w:tcBorders>
              <w:top w:val="nil"/>
              <w:left w:val="nil"/>
              <w:bottom w:val="nil"/>
              <w:right w:val="nil"/>
            </w:tcBorders>
            <w:shd w:val="clear" w:color="auto" w:fill="auto"/>
            <w:noWrap/>
            <w:vAlign w:val="bottom"/>
            <w:hideMark/>
          </w:tcPr>
          <w:p w14:paraId="6082B47F"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53442E" w14:textId="77777777" w:rsidR="00EF3DD9" w:rsidRDefault="00EF3DD9"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426B5C99" w14:textId="77777777" w:rsidR="00EF3DD9" w:rsidRDefault="00EF3DD9" w:rsidP="005A3B4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2BCC22CA"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15F649E" w14:textId="77777777" w:rsidR="00EF3DD9" w:rsidRDefault="00EF3DD9"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3A3D4F1" w14:textId="77777777" w:rsidR="00EF3DD9" w:rsidRDefault="00EF3DD9" w:rsidP="005A3B4D">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4F2D0FB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BFF9F5" w14:textId="77777777" w:rsidR="00EF3DD9" w:rsidRDefault="00EF3DD9"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5E4DAC2" w14:textId="77777777" w:rsidR="00EF3DD9" w:rsidRDefault="00EF3DD9" w:rsidP="005A3B4D">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67A92B80" w14:textId="77777777" w:rsidR="00EF3DD9" w:rsidRDefault="00EF3DD9" w:rsidP="005A3B4D">
            <w:pPr>
              <w:jc w:val="right"/>
              <w:rPr>
                <w:color w:val="000000"/>
                <w:sz w:val="20"/>
                <w:szCs w:val="20"/>
              </w:rPr>
            </w:pPr>
            <w:r>
              <w:rPr>
                <w:color w:val="000000"/>
                <w:sz w:val="20"/>
                <w:szCs w:val="20"/>
              </w:rPr>
              <w:t>0.000</w:t>
            </w:r>
          </w:p>
        </w:tc>
      </w:tr>
      <w:tr w:rsidR="00EF3DD9" w14:paraId="716F0BAE" w14:textId="77777777" w:rsidTr="005A3B4D">
        <w:trPr>
          <w:trHeight w:val="320"/>
        </w:trPr>
        <w:tc>
          <w:tcPr>
            <w:tcW w:w="1176" w:type="dxa"/>
            <w:tcBorders>
              <w:top w:val="nil"/>
              <w:left w:val="nil"/>
              <w:bottom w:val="nil"/>
              <w:right w:val="nil"/>
            </w:tcBorders>
            <w:shd w:val="clear" w:color="auto" w:fill="auto"/>
            <w:noWrap/>
            <w:vAlign w:val="bottom"/>
            <w:hideMark/>
          </w:tcPr>
          <w:p w14:paraId="18D9D41A"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7AAA8C2" w14:textId="77777777" w:rsidR="00EF3DD9" w:rsidRDefault="00EF3DD9"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91906F8" w14:textId="77777777" w:rsidR="00EF3DD9" w:rsidRDefault="00EF3DD9"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002D58E6" w14:textId="77777777" w:rsidR="00EF3DD9" w:rsidRDefault="00EF3DD9" w:rsidP="005A3B4D">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66B82C3F"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864BAC" w14:textId="77777777" w:rsidR="00EF3DD9" w:rsidRDefault="00EF3DD9"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511E518" w14:textId="77777777" w:rsidR="00EF3DD9" w:rsidRDefault="00EF3DD9" w:rsidP="005A3B4D">
            <w:pPr>
              <w:jc w:val="right"/>
              <w:rPr>
                <w:color w:val="000000"/>
                <w:sz w:val="20"/>
                <w:szCs w:val="20"/>
              </w:rPr>
            </w:pPr>
            <w:r>
              <w:rPr>
                <w:color w:val="000000"/>
                <w:sz w:val="20"/>
                <w:szCs w:val="20"/>
              </w:rPr>
              <w:t>0.205</w:t>
            </w:r>
          </w:p>
        </w:tc>
        <w:tc>
          <w:tcPr>
            <w:tcW w:w="768" w:type="dxa"/>
            <w:tcBorders>
              <w:top w:val="nil"/>
              <w:left w:val="nil"/>
              <w:bottom w:val="nil"/>
              <w:right w:val="nil"/>
            </w:tcBorders>
            <w:shd w:val="clear" w:color="auto" w:fill="auto"/>
            <w:noWrap/>
            <w:vAlign w:val="bottom"/>
            <w:hideMark/>
          </w:tcPr>
          <w:p w14:paraId="0A8E9ADF"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D805A0" w14:textId="77777777" w:rsidR="00EF3DD9" w:rsidRDefault="00EF3DD9"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495C8FD6" w14:textId="77777777" w:rsidR="00EF3DD9" w:rsidRDefault="00EF3DD9" w:rsidP="005A3B4D">
            <w:pPr>
              <w:jc w:val="right"/>
              <w:rPr>
                <w:color w:val="000000"/>
                <w:sz w:val="20"/>
                <w:szCs w:val="20"/>
              </w:rPr>
            </w:pPr>
            <w:r>
              <w:rPr>
                <w:color w:val="000000"/>
                <w:sz w:val="20"/>
                <w:szCs w:val="20"/>
              </w:rPr>
              <w:t>0.435</w:t>
            </w:r>
          </w:p>
        </w:tc>
        <w:tc>
          <w:tcPr>
            <w:tcW w:w="768" w:type="dxa"/>
            <w:tcBorders>
              <w:top w:val="nil"/>
              <w:left w:val="nil"/>
              <w:bottom w:val="nil"/>
              <w:right w:val="nil"/>
            </w:tcBorders>
            <w:shd w:val="clear" w:color="auto" w:fill="auto"/>
            <w:noWrap/>
            <w:vAlign w:val="bottom"/>
            <w:hideMark/>
          </w:tcPr>
          <w:p w14:paraId="7F06CDDE"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14C8A4"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F621353" w14:textId="77777777" w:rsidR="00EF3DD9" w:rsidRDefault="00EF3DD9" w:rsidP="005A3B4D">
            <w:pPr>
              <w:jc w:val="right"/>
              <w:rPr>
                <w:color w:val="000000"/>
                <w:sz w:val="20"/>
                <w:szCs w:val="20"/>
              </w:rPr>
            </w:pPr>
            <w:r>
              <w:rPr>
                <w:color w:val="000000"/>
                <w:sz w:val="20"/>
                <w:szCs w:val="20"/>
              </w:rPr>
              <w:t>0.963</w:t>
            </w:r>
          </w:p>
        </w:tc>
        <w:tc>
          <w:tcPr>
            <w:tcW w:w="768" w:type="dxa"/>
            <w:tcBorders>
              <w:top w:val="nil"/>
              <w:left w:val="nil"/>
              <w:bottom w:val="nil"/>
              <w:right w:val="nil"/>
            </w:tcBorders>
            <w:shd w:val="clear" w:color="auto" w:fill="auto"/>
            <w:noWrap/>
            <w:vAlign w:val="bottom"/>
            <w:hideMark/>
          </w:tcPr>
          <w:p w14:paraId="408BFF2A"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C8C7F2" w14:textId="77777777" w:rsidR="00EF3DD9" w:rsidRDefault="00EF3DD9" w:rsidP="005A3B4D">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12AB7904" w14:textId="77777777" w:rsidR="00EF3DD9" w:rsidRDefault="00EF3DD9" w:rsidP="005A3B4D">
            <w:pPr>
              <w:jc w:val="right"/>
              <w:rPr>
                <w:color w:val="000000"/>
                <w:sz w:val="20"/>
                <w:szCs w:val="20"/>
              </w:rPr>
            </w:pPr>
            <w:r>
              <w:rPr>
                <w:color w:val="000000"/>
                <w:sz w:val="20"/>
                <w:szCs w:val="20"/>
              </w:rPr>
              <w:t>0.500</w:t>
            </w:r>
          </w:p>
        </w:tc>
        <w:tc>
          <w:tcPr>
            <w:tcW w:w="768" w:type="dxa"/>
            <w:tcBorders>
              <w:top w:val="nil"/>
              <w:left w:val="nil"/>
              <w:bottom w:val="nil"/>
              <w:right w:val="nil"/>
            </w:tcBorders>
            <w:shd w:val="clear" w:color="auto" w:fill="auto"/>
            <w:noWrap/>
            <w:vAlign w:val="bottom"/>
            <w:hideMark/>
          </w:tcPr>
          <w:p w14:paraId="574E49B8" w14:textId="77777777" w:rsidR="00EF3DD9" w:rsidRDefault="00EF3DD9" w:rsidP="005A3B4D">
            <w:pPr>
              <w:jc w:val="right"/>
              <w:rPr>
                <w:color w:val="000000"/>
                <w:sz w:val="20"/>
                <w:szCs w:val="20"/>
              </w:rPr>
            </w:pPr>
            <w:r>
              <w:rPr>
                <w:color w:val="000000"/>
                <w:sz w:val="20"/>
                <w:szCs w:val="20"/>
              </w:rPr>
              <w:t>0.003</w:t>
            </w:r>
          </w:p>
        </w:tc>
      </w:tr>
      <w:tr w:rsidR="00EF3DD9" w14:paraId="2D91AA1C" w14:textId="77777777" w:rsidTr="005A3B4D">
        <w:trPr>
          <w:trHeight w:val="320"/>
        </w:trPr>
        <w:tc>
          <w:tcPr>
            <w:tcW w:w="1176" w:type="dxa"/>
            <w:tcBorders>
              <w:top w:val="nil"/>
              <w:left w:val="nil"/>
              <w:bottom w:val="nil"/>
              <w:right w:val="nil"/>
            </w:tcBorders>
            <w:shd w:val="clear" w:color="auto" w:fill="auto"/>
            <w:noWrap/>
            <w:vAlign w:val="bottom"/>
            <w:hideMark/>
          </w:tcPr>
          <w:p w14:paraId="4C200B5F"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4610A6A" w14:textId="77777777" w:rsidR="00EF3DD9" w:rsidRDefault="00EF3DD9"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9D94240" w14:textId="77777777" w:rsidR="00EF3DD9" w:rsidRDefault="00EF3DD9" w:rsidP="005A3B4D">
            <w:pPr>
              <w:jc w:val="right"/>
              <w:rPr>
                <w:b/>
                <w:bCs/>
                <w:color w:val="000000"/>
                <w:sz w:val="20"/>
                <w:szCs w:val="20"/>
              </w:rPr>
            </w:pPr>
            <w:r>
              <w:rPr>
                <w:b/>
                <w:bCs/>
                <w:color w:val="000000"/>
                <w:sz w:val="20"/>
                <w:szCs w:val="20"/>
              </w:rPr>
              <w:t>0.078</w:t>
            </w:r>
          </w:p>
        </w:tc>
        <w:tc>
          <w:tcPr>
            <w:tcW w:w="768" w:type="dxa"/>
            <w:tcBorders>
              <w:top w:val="nil"/>
              <w:left w:val="nil"/>
              <w:bottom w:val="nil"/>
              <w:right w:val="nil"/>
            </w:tcBorders>
            <w:shd w:val="clear" w:color="auto" w:fill="auto"/>
            <w:noWrap/>
            <w:vAlign w:val="bottom"/>
            <w:hideMark/>
          </w:tcPr>
          <w:p w14:paraId="3ECF5E80" w14:textId="77777777" w:rsidR="00EF3DD9" w:rsidRDefault="00EF3DD9"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346938C1" w14:textId="77777777" w:rsidR="00EF3DD9" w:rsidRDefault="00EF3DD9" w:rsidP="005A3B4D">
            <w:pPr>
              <w:jc w:val="right"/>
              <w:rPr>
                <w:b/>
                <w:bCs/>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43B31F4D"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9C4A8FC" w14:textId="77777777" w:rsidR="00EF3DD9" w:rsidRDefault="00EF3DD9" w:rsidP="005A3B4D">
            <w:pPr>
              <w:jc w:val="right"/>
              <w:rPr>
                <w:color w:val="000000"/>
                <w:sz w:val="20"/>
                <w:szCs w:val="20"/>
              </w:rPr>
            </w:pPr>
            <w:r>
              <w:rPr>
                <w:color w:val="000000"/>
                <w:sz w:val="20"/>
                <w:szCs w:val="20"/>
              </w:rPr>
              <w:t>0.932</w:t>
            </w:r>
          </w:p>
        </w:tc>
        <w:tc>
          <w:tcPr>
            <w:tcW w:w="768" w:type="dxa"/>
            <w:tcBorders>
              <w:top w:val="nil"/>
              <w:left w:val="nil"/>
              <w:bottom w:val="nil"/>
              <w:right w:val="nil"/>
            </w:tcBorders>
            <w:shd w:val="clear" w:color="auto" w:fill="auto"/>
            <w:noWrap/>
            <w:vAlign w:val="bottom"/>
            <w:hideMark/>
          </w:tcPr>
          <w:p w14:paraId="1893A77D"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8D1503" w14:textId="77777777" w:rsidR="00EF3DD9" w:rsidRDefault="00EF3DD9"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066C138C" w14:textId="77777777" w:rsidR="00EF3DD9" w:rsidRDefault="00EF3DD9" w:rsidP="005A3B4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7B369448"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7E397B9" w14:textId="77777777" w:rsidR="00EF3DD9" w:rsidRDefault="00EF3DD9"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714080ED" w14:textId="77777777" w:rsidR="00EF3DD9" w:rsidRDefault="00EF3DD9" w:rsidP="005A3B4D">
            <w:pPr>
              <w:jc w:val="right"/>
              <w:rPr>
                <w:color w:val="000000"/>
                <w:sz w:val="20"/>
                <w:szCs w:val="20"/>
              </w:rPr>
            </w:pPr>
            <w:r>
              <w:rPr>
                <w:color w:val="000000"/>
                <w:sz w:val="20"/>
                <w:szCs w:val="20"/>
              </w:rPr>
              <w:t>0.236</w:t>
            </w:r>
          </w:p>
        </w:tc>
        <w:tc>
          <w:tcPr>
            <w:tcW w:w="768" w:type="dxa"/>
            <w:tcBorders>
              <w:top w:val="nil"/>
              <w:left w:val="nil"/>
              <w:bottom w:val="nil"/>
              <w:right w:val="nil"/>
            </w:tcBorders>
            <w:shd w:val="clear" w:color="auto" w:fill="auto"/>
            <w:noWrap/>
            <w:vAlign w:val="bottom"/>
            <w:hideMark/>
          </w:tcPr>
          <w:p w14:paraId="529EF384" w14:textId="77777777" w:rsidR="00EF3DD9" w:rsidRDefault="00EF3DD9"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6F0ECB0" w14:textId="77777777" w:rsidR="00EF3DD9" w:rsidRDefault="00EF3DD9"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3B4FEB1" w14:textId="77777777" w:rsidR="00EF3DD9" w:rsidRDefault="00EF3DD9" w:rsidP="005A3B4D">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619BB593" w14:textId="77777777" w:rsidR="00EF3DD9" w:rsidRDefault="00EF3DD9" w:rsidP="005A3B4D">
            <w:pPr>
              <w:jc w:val="right"/>
              <w:rPr>
                <w:color w:val="000000"/>
                <w:sz w:val="20"/>
                <w:szCs w:val="20"/>
              </w:rPr>
            </w:pPr>
            <w:r>
              <w:rPr>
                <w:color w:val="000000"/>
                <w:sz w:val="20"/>
                <w:szCs w:val="20"/>
              </w:rPr>
              <w:t>0.001</w:t>
            </w:r>
          </w:p>
        </w:tc>
      </w:tr>
      <w:tr w:rsidR="00EF3DD9" w14:paraId="590BC945" w14:textId="77777777" w:rsidTr="005A3B4D">
        <w:trPr>
          <w:trHeight w:val="320"/>
        </w:trPr>
        <w:tc>
          <w:tcPr>
            <w:tcW w:w="1176" w:type="dxa"/>
            <w:tcBorders>
              <w:top w:val="nil"/>
              <w:left w:val="nil"/>
              <w:bottom w:val="nil"/>
              <w:right w:val="nil"/>
            </w:tcBorders>
            <w:shd w:val="clear" w:color="auto" w:fill="auto"/>
            <w:noWrap/>
            <w:vAlign w:val="bottom"/>
            <w:hideMark/>
          </w:tcPr>
          <w:p w14:paraId="4837C89E"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F182413" w14:textId="77777777" w:rsidR="00EF3DD9" w:rsidRDefault="00EF3DD9"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C2CBC19" w14:textId="77777777" w:rsidR="00EF3DD9" w:rsidRDefault="00EF3DD9" w:rsidP="005A3B4D">
            <w:pPr>
              <w:jc w:val="right"/>
              <w:rPr>
                <w:b/>
                <w:bCs/>
                <w:color w:val="000000"/>
                <w:sz w:val="20"/>
                <w:szCs w:val="20"/>
              </w:rPr>
            </w:pPr>
            <w:r>
              <w:rPr>
                <w:b/>
                <w:bCs/>
                <w:color w:val="000000"/>
                <w:sz w:val="20"/>
                <w:szCs w:val="20"/>
              </w:rPr>
              <w:t>-0.069</w:t>
            </w:r>
          </w:p>
        </w:tc>
        <w:tc>
          <w:tcPr>
            <w:tcW w:w="768" w:type="dxa"/>
            <w:tcBorders>
              <w:top w:val="nil"/>
              <w:left w:val="nil"/>
              <w:bottom w:val="nil"/>
              <w:right w:val="nil"/>
            </w:tcBorders>
            <w:shd w:val="clear" w:color="auto" w:fill="auto"/>
            <w:noWrap/>
            <w:vAlign w:val="bottom"/>
            <w:hideMark/>
          </w:tcPr>
          <w:p w14:paraId="5B390B0F" w14:textId="77777777" w:rsidR="00EF3DD9" w:rsidRDefault="00EF3DD9" w:rsidP="005A3B4D">
            <w:pPr>
              <w:jc w:val="right"/>
              <w:rPr>
                <w:b/>
                <w:bCs/>
                <w:color w:val="000000"/>
                <w:sz w:val="20"/>
                <w:szCs w:val="20"/>
              </w:rPr>
            </w:pPr>
            <w:r>
              <w:rPr>
                <w:b/>
                <w:bCs/>
                <w:color w:val="000000"/>
                <w:sz w:val="20"/>
                <w:szCs w:val="20"/>
              </w:rPr>
              <w:t>0.019</w:t>
            </w:r>
          </w:p>
        </w:tc>
        <w:tc>
          <w:tcPr>
            <w:tcW w:w="768" w:type="dxa"/>
            <w:tcBorders>
              <w:top w:val="nil"/>
              <w:left w:val="nil"/>
              <w:bottom w:val="nil"/>
              <w:right w:val="nil"/>
            </w:tcBorders>
            <w:shd w:val="clear" w:color="auto" w:fill="auto"/>
            <w:noWrap/>
            <w:vAlign w:val="bottom"/>
            <w:hideMark/>
          </w:tcPr>
          <w:p w14:paraId="366A2195" w14:textId="77777777" w:rsidR="00EF3DD9" w:rsidRDefault="00EF3DD9" w:rsidP="005A3B4D">
            <w:pPr>
              <w:jc w:val="right"/>
              <w:rPr>
                <w:b/>
                <w:bCs/>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20971085" w14:textId="77777777" w:rsidR="00EF3DD9" w:rsidRDefault="00EF3DD9"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5E618B6B" w14:textId="77777777" w:rsidR="00EF3DD9" w:rsidRDefault="00EF3DD9" w:rsidP="005A3B4D">
            <w:pPr>
              <w:jc w:val="right"/>
              <w:rPr>
                <w:color w:val="000000"/>
                <w:sz w:val="20"/>
                <w:szCs w:val="20"/>
              </w:rPr>
            </w:pPr>
            <w:r>
              <w:rPr>
                <w:color w:val="000000"/>
                <w:sz w:val="20"/>
                <w:szCs w:val="20"/>
              </w:rPr>
              <w:t>0.205</w:t>
            </w:r>
          </w:p>
        </w:tc>
        <w:tc>
          <w:tcPr>
            <w:tcW w:w="768" w:type="dxa"/>
            <w:tcBorders>
              <w:top w:val="nil"/>
              <w:left w:val="nil"/>
              <w:bottom w:val="nil"/>
              <w:right w:val="nil"/>
            </w:tcBorders>
            <w:shd w:val="clear" w:color="auto" w:fill="auto"/>
            <w:noWrap/>
            <w:vAlign w:val="bottom"/>
            <w:hideMark/>
          </w:tcPr>
          <w:p w14:paraId="5F2E5E30"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0E03ADF"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53F31EA" w14:textId="77777777" w:rsidR="00EF3DD9" w:rsidRDefault="00EF3DD9"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646A9A9F"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BAC3F0" w14:textId="77777777" w:rsidR="00EF3DD9" w:rsidRDefault="00EF3DD9"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FFBC9E4" w14:textId="77777777" w:rsidR="00EF3DD9" w:rsidRDefault="00EF3DD9" w:rsidP="005A3B4D">
            <w:pPr>
              <w:jc w:val="right"/>
              <w:rPr>
                <w:color w:val="000000"/>
                <w:sz w:val="20"/>
                <w:szCs w:val="20"/>
              </w:rPr>
            </w:pPr>
            <w:r>
              <w:rPr>
                <w:color w:val="000000"/>
                <w:sz w:val="20"/>
                <w:szCs w:val="20"/>
              </w:rPr>
              <w:t>0.867</w:t>
            </w:r>
          </w:p>
        </w:tc>
        <w:tc>
          <w:tcPr>
            <w:tcW w:w="768" w:type="dxa"/>
            <w:tcBorders>
              <w:top w:val="nil"/>
              <w:left w:val="nil"/>
              <w:bottom w:val="nil"/>
              <w:right w:val="nil"/>
            </w:tcBorders>
            <w:shd w:val="clear" w:color="auto" w:fill="auto"/>
            <w:noWrap/>
            <w:vAlign w:val="bottom"/>
            <w:hideMark/>
          </w:tcPr>
          <w:p w14:paraId="597D2BC2"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049BF3" w14:textId="77777777" w:rsidR="00EF3DD9" w:rsidRDefault="00EF3DD9"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75DF9762" w14:textId="77777777" w:rsidR="00EF3DD9" w:rsidRDefault="00EF3DD9" w:rsidP="005A3B4D">
            <w:pPr>
              <w:jc w:val="right"/>
              <w:rPr>
                <w:color w:val="000000"/>
                <w:sz w:val="20"/>
                <w:szCs w:val="20"/>
              </w:rPr>
            </w:pPr>
            <w:r>
              <w:rPr>
                <w:color w:val="000000"/>
                <w:sz w:val="20"/>
                <w:szCs w:val="20"/>
              </w:rPr>
              <w:t>0.500</w:t>
            </w:r>
          </w:p>
        </w:tc>
        <w:tc>
          <w:tcPr>
            <w:tcW w:w="768" w:type="dxa"/>
            <w:tcBorders>
              <w:top w:val="nil"/>
              <w:left w:val="nil"/>
              <w:bottom w:val="nil"/>
              <w:right w:val="nil"/>
            </w:tcBorders>
            <w:shd w:val="clear" w:color="auto" w:fill="auto"/>
            <w:noWrap/>
            <w:vAlign w:val="bottom"/>
            <w:hideMark/>
          </w:tcPr>
          <w:p w14:paraId="1DBF9033" w14:textId="77777777" w:rsidR="00EF3DD9" w:rsidRDefault="00EF3DD9" w:rsidP="005A3B4D">
            <w:pPr>
              <w:jc w:val="right"/>
              <w:rPr>
                <w:color w:val="000000"/>
                <w:sz w:val="20"/>
                <w:szCs w:val="20"/>
              </w:rPr>
            </w:pPr>
            <w:r>
              <w:rPr>
                <w:color w:val="000000"/>
                <w:sz w:val="20"/>
                <w:szCs w:val="20"/>
              </w:rPr>
              <w:t>0.002</w:t>
            </w:r>
          </w:p>
        </w:tc>
      </w:tr>
      <w:tr w:rsidR="00EF3DD9" w14:paraId="2C3AFA36" w14:textId="77777777" w:rsidTr="005A3B4D">
        <w:trPr>
          <w:trHeight w:val="320"/>
        </w:trPr>
        <w:tc>
          <w:tcPr>
            <w:tcW w:w="1176" w:type="dxa"/>
            <w:tcBorders>
              <w:top w:val="nil"/>
              <w:left w:val="nil"/>
              <w:bottom w:val="nil"/>
              <w:right w:val="nil"/>
            </w:tcBorders>
            <w:shd w:val="clear" w:color="auto" w:fill="auto"/>
            <w:noWrap/>
            <w:vAlign w:val="bottom"/>
            <w:hideMark/>
          </w:tcPr>
          <w:p w14:paraId="3435469E" w14:textId="77777777" w:rsidR="00EF3DD9" w:rsidRDefault="00EF3DD9"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AE2DA1C" w14:textId="77777777" w:rsidR="00EF3DD9" w:rsidRDefault="00EF3DD9"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BD665A5" w14:textId="77777777" w:rsidR="00EF3DD9" w:rsidRDefault="00EF3DD9"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B06665A" w14:textId="77777777" w:rsidR="00EF3DD9" w:rsidRDefault="00EF3DD9" w:rsidP="005A3B4D">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5F914477"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FC64CB" w14:textId="77777777" w:rsidR="00EF3DD9" w:rsidRDefault="00EF3DD9"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7B3983D" w14:textId="77777777" w:rsidR="00EF3DD9" w:rsidRDefault="00EF3DD9" w:rsidP="005A3B4D">
            <w:pPr>
              <w:jc w:val="right"/>
              <w:rPr>
                <w:color w:val="000000"/>
                <w:sz w:val="20"/>
                <w:szCs w:val="20"/>
              </w:rPr>
            </w:pPr>
            <w:r>
              <w:rPr>
                <w:color w:val="000000"/>
                <w:sz w:val="20"/>
                <w:szCs w:val="20"/>
              </w:rPr>
              <w:t>0.320</w:t>
            </w:r>
          </w:p>
        </w:tc>
        <w:tc>
          <w:tcPr>
            <w:tcW w:w="768" w:type="dxa"/>
            <w:tcBorders>
              <w:top w:val="nil"/>
              <w:left w:val="nil"/>
              <w:bottom w:val="nil"/>
              <w:right w:val="nil"/>
            </w:tcBorders>
            <w:shd w:val="clear" w:color="auto" w:fill="auto"/>
            <w:noWrap/>
            <w:vAlign w:val="bottom"/>
            <w:hideMark/>
          </w:tcPr>
          <w:p w14:paraId="0FE4237F"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E326F9E" w14:textId="77777777" w:rsidR="00EF3DD9" w:rsidRDefault="00EF3DD9"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FF0C7E2" w14:textId="77777777" w:rsidR="00EF3DD9" w:rsidRDefault="00EF3DD9" w:rsidP="005A3B4D">
            <w:pPr>
              <w:jc w:val="right"/>
              <w:rPr>
                <w:color w:val="000000"/>
                <w:sz w:val="20"/>
                <w:szCs w:val="20"/>
              </w:rPr>
            </w:pPr>
            <w:r>
              <w:rPr>
                <w:color w:val="000000"/>
                <w:sz w:val="20"/>
                <w:szCs w:val="20"/>
              </w:rPr>
              <w:t>0.435</w:t>
            </w:r>
          </w:p>
        </w:tc>
        <w:tc>
          <w:tcPr>
            <w:tcW w:w="768" w:type="dxa"/>
            <w:tcBorders>
              <w:top w:val="nil"/>
              <w:left w:val="nil"/>
              <w:bottom w:val="nil"/>
              <w:right w:val="nil"/>
            </w:tcBorders>
            <w:shd w:val="clear" w:color="auto" w:fill="auto"/>
            <w:noWrap/>
            <w:vAlign w:val="bottom"/>
            <w:hideMark/>
          </w:tcPr>
          <w:p w14:paraId="4330E784"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2E988E" w14:textId="77777777" w:rsidR="00EF3DD9" w:rsidRDefault="00EF3DD9"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49F651E" w14:textId="77777777" w:rsidR="00EF3DD9" w:rsidRDefault="00EF3DD9" w:rsidP="005A3B4D">
            <w:pPr>
              <w:jc w:val="right"/>
              <w:rPr>
                <w:color w:val="000000"/>
                <w:sz w:val="20"/>
                <w:szCs w:val="20"/>
              </w:rPr>
            </w:pPr>
            <w:r>
              <w:rPr>
                <w:color w:val="000000"/>
                <w:sz w:val="20"/>
                <w:szCs w:val="20"/>
              </w:rPr>
              <w:t>0.963</w:t>
            </w:r>
          </w:p>
        </w:tc>
        <w:tc>
          <w:tcPr>
            <w:tcW w:w="768" w:type="dxa"/>
            <w:tcBorders>
              <w:top w:val="nil"/>
              <w:left w:val="nil"/>
              <w:bottom w:val="nil"/>
              <w:right w:val="nil"/>
            </w:tcBorders>
            <w:shd w:val="clear" w:color="auto" w:fill="auto"/>
            <w:noWrap/>
            <w:vAlign w:val="bottom"/>
            <w:hideMark/>
          </w:tcPr>
          <w:p w14:paraId="71F6E818"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832C367" w14:textId="77777777" w:rsidR="00EF3DD9" w:rsidRDefault="00EF3DD9"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E7F0270" w14:textId="77777777" w:rsidR="00EF3DD9" w:rsidRDefault="00EF3DD9" w:rsidP="005A3B4D">
            <w:pPr>
              <w:jc w:val="right"/>
              <w:rPr>
                <w:color w:val="000000"/>
                <w:sz w:val="20"/>
                <w:szCs w:val="20"/>
              </w:rPr>
            </w:pPr>
            <w:r>
              <w:rPr>
                <w:color w:val="000000"/>
                <w:sz w:val="20"/>
                <w:szCs w:val="20"/>
              </w:rPr>
              <w:t>0.849</w:t>
            </w:r>
          </w:p>
        </w:tc>
        <w:tc>
          <w:tcPr>
            <w:tcW w:w="768" w:type="dxa"/>
            <w:tcBorders>
              <w:top w:val="nil"/>
              <w:left w:val="nil"/>
              <w:bottom w:val="nil"/>
              <w:right w:val="nil"/>
            </w:tcBorders>
            <w:shd w:val="clear" w:color="auto" w:fill="auto"/>
            <w:noWrap/>
            <w:vAlign w:val="bottom"/>
            <w:hideMark/>
          </w:tcPr>
          <w:p w14:paraId="298D491F" w14:textId="77777777" w:rsidR="00EF3DD9" w:rsidRDefault="00EF3DD9" w:rsidP="005A3B4D">
            <w:pPr>
              <w:jc w:val="right"/>
              <w:rPr>
                <w:color w:val="000000"/>
                <w:sz w:val="20"/>
                <w:szCs w:val="20"/>
              </w:rPr>
            </w:pPr>
            <w:r>
              <w:rPr>
                <w:color w:val="000000"/>
                <w:sz w:val="20"/>
                <w:szCs w:val="20"/>
              </w:rPr>
              <w:t>0.000</w:t>
            </w:r>
          </w:p>
        </w:tc>
      </w:tr>
      <w:tr w:rsidR="00EF3DD9" w14:paraId="4F385EBE"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6D9DBC30" w14:textId="77777777" w:rsidR="00EF3DD9" w:rsidRDefault="00EF3DD9"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57495DB8" w14:textId="77777777" w:rsidR="00EF3DD9" w:rsidRDefault="00EF3DD9"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349D456B" w14:textId="77777777" w:rsidR="00EF3DD9" w:rsidRDefault="00EF3DD9" w:rsidP="005A3B4D">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107CF117" w14:textId="77777777" w:rsidR="00EF3DD9" w:rsidRDefault="00EF3DD9" w:rsidP="005A3B4D">
            <w:pPr>
              <w:jc w:val="right"/>
              <w:rPr>
                <w:color w:val="000000"/>
                <w:sz w:val="20"/>
                <w:szCs w:val="20"/>
              </w:rPr>
            </w:pPr>
            <w:r>
              <w:rPr>
                <w:color w:val="000000"/>
                <w:sz w:val="20"/>
                <w:szCs w:val="20"/>
              </w:rPr>
              <w:t>0.716</w:t>
            </w:r>
          </w:p>
        </w:tc>
        <w:tc>
          <w:tcPr>
            <w:tcW w:w="768" w:type="dxa"/>
            <w:tcBorders>
              <w:top w:val="nil"/>
              <w:left w:val="nil"/>
              <w:bottom w:val="single" w:sz="12" w:space="0" w:color="auto"/>
              <w:right w:val="nil"/>
            </w:tcBorders>
            <w:shd w:val="clear" w:color="auto" w:fill="auto"/>
            <w:noWrap/>
            <w:vAlign w:val="bottom"/>
            <w:hideMark/>
          </w:tcPr>
          <w:p w14:paraId="2439C351"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706CA99" w14:textId="77777777" w:rsidR="00EF3DD9" w:rsidRDefault="00EF3DD9" w:rsidP="005A3B4D">
            <w:pPr>
              <w:jc w:val="right"/>
              <w:rPr>
                <w:color w:val="000000"/>
                <w:sz w:val="20"/>
                <w:szCs w:val="20"/>
              </w:rPr>
            </w:pPr>
            <w:r>
              <w:rPr>
                <w:color w:val="000000"/>
                <w:sz w:val="20"/>
                <w:szCs w:val="20"/>
              </w:rPr>
              <w:t>0.049</w:t>
            </w:r>
          </w:p>
        </w:tc>
        <w:tc>
          <w:tcPr>
            <w:tcW w:w="768" w:type="dxa"/>
            <w:tcBorders>
              <w:top w:val="nil"/>
              <w:left w:val="nil"/>
              <w:bottom w:val="single" w:sz="12" w:space="0" w:color="auto"/>
              <w:right w:val="nil"/>
            </w:tcBorders>
            <w:shd w:val="clear" w:color="auto" w:fill="auto"/>
            <w:noWrap/>
            <w:vAlign w:val="bottom"/>
            <w:hideMark/>
          </w:tcPr>
          <w:p w14:paraId="3A97370F" w14:textId="77777777" w:rsidR="00EF3DD9" w:rsidRDefault="00EF3DD9" w:rsidP="005A3B4D">
            <w:pPr>
              <w:jc w:val="right"/>
              <w:rPr>
                <w:color w:val="000000"/>
                <w:sz w:val="20"/>
                <w:szCs w:val="20"/>
              </w:rPr>
            </w:pPr>
            <w:r>
              <w:rPr>
                <w:color w:val="000000"/>
                <w:sz w:val="20"/>
                <w:szCs w:val="20"/>
              </w:rPr>
              <w:t>0.205</w:t>
            </w:r>
          </w:p>
        </w:tc>
        <w:tc>
          <w:tcPr>
            <w:tcW w:w="768" w:type="dxa"/>
            <w:tcBorders>
              <w:top w:val="nil"/>
              <w:left w:val="nil"/>
              <w:bottom w:val="single" w:sz="12" w:space="0" w:color="auto"/>
              <w:right w:val="nil"/>
            </w:tcBorders>
            <w:shd w:val="clear" w:color="auto" w:fill="auto"/>
            <w:noWrap/>
            <w:vAlign w:val="bottom"/>
            <w:hideMark/>
          </w:tcPr>
          <w:p w14:paraId="56280E5E" w14:textId="77777777" w:rsidR="00EF3DD9" w:rsidRDefault="00EF3DD9"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59BC16C5" w14:textId="77777777" w:rsidR="00EF3DD9" w:rsidRDefault="00EF3DD9" w:rsidP="005A3B4D">
            <w:pPr>
              <w:jc w:val="right"/>
              <w:rPr>
                <w:color w:val="000000"/>
                <w:sz w:val="20"/>
                <w:szCs w:val="20"/>
              </w:rPr>
            </w:pPr>
            <w:r>
              <w:rPr>
                <w:color w:val="000000"/>
                <w:sz w:val="20"/>
                <w:szCs w:val="20"/>
              </w:rPr>
              <w:t>-0.023</w:t>
            </w:r>
          </w:p>
        </w:tc>
        <w:tc>
          <w:tcPr>
            <w:tcW w:w="768" w:type="dxa"/>
            <w:tcBorders>
              <w:top w:val="nil"/>
              <w:left w:val="nil"/>
              <w:bottom w:val="single" w:sz="12" w:space="0" w:color="auto"/>
              <w:right w:val="nil"/>
            </w:tcBorders>
            <w:shd w:val="clear" w:color="auto" w:fill="auto"/>
            <w:noWrap/>
            <w:vAlign w:val="bottom"/>
            <w:hideMark/>
          </w:tcPr>
          <w:p w14:paraId="1FC26F9E" w14:textId="77777777" w:rsidR="00EF3DD9" w:rsidRDefault="00EF3DD9" w:rsidP="005A3B4D">
            <w:pPr>
              <w:jc w:val="right"/>
              <w:rPr>
                <w:color w:val="000000"/>
                <w:sz w:val="20"/>
                <w:szCs w:val="20"/>
              </w:rPr>
            </w:pPr>
            <w:r>
              <w:rPr>
                <w:color w:val="000000"/>
                <w:sz w:val="20"/>
                <w:szCs w:val="20"/>
              </w:rPr>
              <w:t>0.435</w:t>
            </w:r>
          </w:p>
        </w:tc>
        <w:tc>
          <w:tcPr>
            <w:tcW w:w="768" w:type="dxa"/>
            <w:tcBorders>
              <w:top w:val="nil"/>
              <w:left w:val="nil"/>
              <w:bottom w:val="single" w:sz="12" w:space="0" w:color="auto"/>
              <w:right w:val="nil"/>
            </w:tcBorders>
            <w:shd w:val="clear" w:color="auto" w:fill="auto"/>
            <w:noWrap/>
            <w:vAlign w:val="bottom"/>
            <w:hideMark/>
          </w:tcPr>
          <w:p w14:paraId="0140B108" w14:textId="77777777" w:rsidR="00EF3DD9" w:rsidRDefault="00EF3DD9"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29D42EF7" w14:textId="77777777" w:rsidR="00EF3DD9" w:rsidRDefault="00EF3DD9" w:rsidP="005A3B4D">
            <w:pPr>
              <w:jc w:val="right"/>
              <w:rPr>
                <w:color w:val="000000"/>
                <w:sz w:val="20"/>
                <w:szCs w:val="20"/>
              </w:rPr>
            </w:pPr>
            <w:r>
              <w:rPr>
                <w:color w:val="000000"/>
                <w:sz w:val="20"/>
                <w:szCs w:val="20"/>
              </w:rPr>
              <w:t>0.007</w:t>
            </w:r>
          </w:p>
        </w:tc>
        <w:tc>
          <w:tcPr>
            <w:tcW w:w="768" w:type="dxa"/>
            <w:tcBorders>
              <w:top w:val="nil"/>
              <w:left w:val="nil"/>
              <w:bottom w:val="single" w:sz="12" w:space="0" w:color="auto"/>
              <w:right w:val="nil"/>
            </w:tcBorders>
            <w:shd w:val="clear" w:color="auto" w:fill="auto"/>
            <w:noWrap/>
            <w:vAlign w:val="bottom"/>
            <w:hideMark/>
          </w:tcPr>
          <w:p w14:paraId="4C1A6FE8" w14:textId="77777777" w:rsidR="00EF3DD9" w:rsidRDefault="00EF3DD9" w:rsidP="005A3B4D">
            <w:pPr>
              <w:jc w:val="right"/>
              <w:rPr>
                <w:color w:val="000000"/>
                <w:sz w:val="20"/>
                <w:szCs w:val="20"/>
              </w:rPr>
            </w:pPr>
            <w:r>
              <w:rPr>
                <w:color w:val="000000"/>
                <w:sz w:val="20"/>
                <w:szCs w:val="20"/>
              </w:rPr>
              <w:t>0.963</w:t>
            </w:r>
          </w:p>
        </w:tc>
        <w:tc>
          <w:tcPr>
            <w:tcW w:w="768" w:type="dxa"/>
            <w:tcBorders>
              <w:top w:val="nil"/>
              <w:left w:val="nil"/>
              <w:bottom w:val="single" w:sz="12" w:space="0" w:color="auto"/>
              <w:right w:val="nil"/>
            </w:tcBorders>
            <w:shd w:val="clear" w:color="auto" w:fill="auto"/>
            <w:noWrap/>
            <w:vAlign w:val="bottom"/>
            <w:hideMark/>
          </w:tcPr>
          <w:p w14:paraId="2D43E2C6" w14:textId="77777777" w:rsidR="00EF3DD9" w:rsidRDefault="00EF3DD9"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05F8CAA" w14:textId="77777777" w:rsidR="00EF3DD9" w:rsidRDefault="00EF3DD9" w:rsidP="005A3B4D">
            <w:pPr>
              <w:jc w:val="right"/>
              <w:rPr>
                <w:color w:val="000000"/>
                <w:sz w:val="20"/>
                <w:szCs w:val="20"/>
              </w:rPr>
            </w:pPr>
            <w:r>
              <w:rPr>
                <w:color w:val="000000"/>
                <w:sz w:val="20"/>
                <w:szCs w:val="20"/>
              </w:rPr>
              <w:t>-0.028</w:t>
            </w:r>
          </w:p>
        </w:tc>
        <w:tc>
          <w:tcPr>
            <w:tcW w:w="768" w:type="dxa"/>
            <w:tcBorders>
              <w:top w:val="nil"/>
              <w:left w:val="nil"/>
              <w:bottom w:val="single" w:sz="12" w:space="0" w:color="auto"/>
              <w:right w:val="nil"/>
            </w:tcBorders>
            <w:shd w:val="clear" w:color="auto" w:fill="auto"/>
            <w:noWrap/>
            <w:vAlign w:val="bottom"/>
            <w:hideMark/>
          </w:tcPr>
          <w:p w14:paraId="0CA41B38" w14:textId="77777777" w:rsidR="00EF3DD9" w:rsidRDefault="00EF3DD9" w:rsidP="005A3B4D">
            <w:pPr>
              <w:jc w:val="right"/>
              <w:rPr>
                <w:color w:val="000000"/>
                <w:sz w:val="20"/>
                <w:szCs w:val="20"/>
              </w:rPr>
            </w:pPr>
            <w:r>
              <w:rPr>
                <w:color w:val="000000"/>
                <w:sz w:val="20"/>
                <w:szCs w:val="20"/>
              </w:rPr>
              <w:t>0.710</w:t>
            </w:r>
          </w:p>
        </w:tc>
        <w:tc>
          <w:tcPr>
            <w:tcW w:w="768" w:type="dxa"/>
            <w:tcBorders>
              <w:top w:val="nil"/>
              <w:left w:val="nil"/>
              <w:bottom w:val="single" w:sz="12" w:space="0" w:color="auto"/>
              <w:right w:val="nil"/>
            </w:tcBorders>
            <w:shd w:val="clear" w:color="auto" w:fill="auto"/>
            <w:noWrap/>
            <w:vAlign w:val="bottom"/>
            <w:hideMark/>
          </w:tcPr>
          <w:p w14:paraId="0EB4F56F" w14:textId="77777777" w:rsidR="00EF3DD9" w:rsidRDefault="00EF3DD9" w:rsidP="005A3B4D">
            <w:pPr>
              <w:jc w:val="right"/>
              <w:rPr>
                <w:color w:val="000000"/>
                <w:sz w:val="20"/>
                <w:szCs w:val="20"/>
              </w:rPr>
            </w:pPr>
            <w:r>
              <w:rPr>
                <w:color w:val="000000"/>
                <w:sz w:val="20"/>
                <w:szCs w:val="20"/>
              </w:rPr>
              <w:t>0.001</w:t>
            </w:r>
          </w:p>
        </w:tc>
      </w:tr>
      <w:tr w:rsidR="00EF3DD9" w14:paraId="2AA88153"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40977A70" w14:textId="77777777" w:rsidR="00EF3DD9" w:rsidRDefault="00EF3DD9"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0E40E53F" w14:textId="77777777" w:rsidR="00EF3DD9" w:rsidRDefault="00EF3DD9"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6AA74B18"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F8D42D"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AF090E0"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9F2A2A4"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C562913"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07279EB"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2BC192B"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51E5692"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7EBF19D"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1A0CDF4"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109F324"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5C17C54"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CB6A99"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8C53F62" w14:textId="77777777" w:rsidR="00EF3DD9" w:rsidRDefault="00EF3DD9"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21D573D" w14:textId="77777777" w:rsidR="00EF3DD9" w:rsidRDefault="00EF3DD9" w:rsidP="005A3B4D">
            <w:pPr>
              <w:rPr>
                <w:sz w:val="20"/>
                <w:szCs w:val="20"/>
              </w:rPr>
            </w:pPr>
          </w:p>
        </w:tc>
      </w:tr>
    </w:tbl>
    <w:p w14:paraId="380CD1BE" w14:textId="0EBDB5AB" w:rsidR="00FA3A9A" w:rsidRPr="00E76140" w:rsidRDefault="00EF3DD9" w:rsidP="00E76140">
      <w:pPr>
        <w:pStyle w:val="Heading1"/>
        <w:rPr>
          <w:rFonts w:ascii="Times New Roman" w:hAnsi="Times New Roman" w:cs="Times New Roman"/>
          <w:sz w:val="24"/>
          <w:szCs w:val="24"/>
        </w:rPr>
      </w:pPr>
      <w:r>
        <w:br w:type="page"/>
      </w:r>
      <w:bookmarkStart w:id="56" w:name="_Toc155817723"/>
      <w:r w:rsidR="00432B71" w:rsidRPr="00E76140">
        <w:rPr>
          <w:rFonts w:ascii="Times New Roman" w:hAnsi="Times New Roman" w:cs="Times New Roman"/>
          <w:b/>
          <w:bCs/>
          <w:color w:val="auto"/>
          <w:sz w:val="24"/>
          <w:szCs w:val="24"/>
        </w:rPr>
        <w:lastRenderedPageBreak/>
        <w:t xml:space="preserve">Table </w:t>
      </w:r>
      <w:r w:rsidR="00B65F70" w:rsidRPr="00E76140">
        <w:rPr>
          <w:rFonts w:ascii="Times New Roman" w:hAnsi="Times New Roman" w:cs="Times New Roman"/>
          <w:b/>
          <w:bCs/>
          <w:color w:val="auto"/>
          <w:sz w:val="24"/>
          <w:szCs w:val="24"/>
        </w:rPr>
        <w:t>2</w:t>
      </w:r>
      <w:r w:rsidRPr="00E76140">
        <w:rPr>
          <w:rFonts w:ascii="Times New Roman" w:hAnsi="Times New Roman" w:cs="Times New Roman"/>
          <w:b/>
          <w:bCs/>
          <w:color w:val="auto"/>
          <w:sz w:val="24"/>
          <w:szCs w:val="24"/>
        </w:rPr>
        <w:t>3</w:t>
      </w:r>
      <w:r w:rsidR="00B65F70" w:rsidRPr="00E76140">
        <w:rPr>
          <w:rFonts w:ascii="Times New Roman" w:hAnsi="Times New Roman" w:cs="Times New Roman"/>
          <w:b/>
          <w:bCs/>
          <w:color w:val="auto"/>
          <w:sz w:val="24"/>
          <w:szCs w:val="24"/>
        </w:rPr>
        <w:t xml:space="preserve">a. </w:t>
      </w:r>
      <w:r w:rsidR="00B65F70" w:rsidRPr="00E76140">
        <w:rPr>
          <w:rFonts w:ascii="Times New Roman" w:hAnsi="Times New Roman" w:cs="Times New Roman"/>
          <w:color w:val="auto"/>
          <w:sz w:val="24"/>
          <w:szCs w:val="24"/>
        </w:rPr>
        <w:t>Results examining the relationship between environmental stress factors obtained from bifactor modeling and Shen-268 network local efficiency during rest controlling for medication</w:t>
      </w:r>
      <w:bookmarkEnd w:id="56"/>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CB2096" w14:paraId="66C18A57" w14:textId="77777777" w:rsidTr="00CB2096">
        <w:trPr>
          <w:trHeight w:val="340"/>
        </w:trPr>
        <w:tc>
          <w:tcPr>
            <w:tcW w:w="1176" w:type="dxa"/>
            <w:tcBorders>
              <w:top w:val="nil"/>
              <w:left w:val="nil"/>
              <w:bottom w:val="single" w:sz="12" w:space="0" w:color="auto"/>
              <w:right w:val="nil"/>
            </w:tcBorders>
            <w:shd w:val="clear" w:color="auto" w:fill="auto"/>
            <w:noWrap/>
            <w:vAlign w:val="bottom"/>
            <w:hideMark/>
          </w:tcPr>
          <w:p w14:paraId="6464C6C3" w14:textId="77777777" w:rsidR="00CB2096" w:rsidRDefault="00CB2096">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092A125E" w14:textId="77777777" w:rsidR="00CB2096" w:rsidRDefault="00CB2096">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2E0F465D" w14:textId="77777777" w:rsidR="00CB2096" w:rsidRDefault="00CB2096">
            <w:pPr>
              <w:rPr>
                <w:color w:val="000000"/>
              </w:rPr>
            </w:pPr>
          </w:p>
        </w:tc>
        <w:tc>
          <w:tcPr>
            <w:tcW w:w="768" w:type="dxa"/>
            <w:tcBorders>
              <w:top w:val="nil"/>
              <w:left w:val="nil"/>
              <w:bottom w:val="single" w:sz="12" w:space="0" w:color="auto"/>
              <w:right w:val="nil"/>
            </w:tcBorders>
            <w:shd w:val="clear" w:color="auto" w:fill="auto"/>
            <w:noWrap/>
            <w:vAlign w:val="bottom"/>
            <w:hideMark/>
          </w:tcPr>
          <w:p w14:paraId="1B0B29B1"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64B1EDB"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AEB69D6"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4480C03"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B019DB1"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80B5787"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629DA24"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EA279E8"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A2BA986"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813576B"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90D6044"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132D39D" w14:textId="77777777" w:rsidR="00CB2096" w:rsidRDefault="00CB20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5ED0FBD" w14:textId="77777777" w:rsidR="00CB2096" w:rsidRDefault="00CB2096">
            <w:pPr>
              <w:rPr>
                <w:sz w:val="20"/>
                <w:szCs w:val="20"/>
              </w:rPr>
            </w:pPr>
          </w:p>
        </w:tc>
        <w:tc>
          <w:tcPr>
            <w:tcW w:w="768" w:type="dxa"/>
            <w:tcBorders>
              <w:top w:val="nil"/>
              <w:left w:val="nil"/>
              <w:bottom w:val="nil"/>
              <w:right w:val="nil"/>
            </w:tcBorders>
            <w:shd w:val="clear" w:color="auto" w:fill="auto"/>
            <w:noWrap/>
            <w:vAlign w:val="bottom"/>
            <w:hideMark/>
          </w:tcPr>
          <w:p w14:paraId="2281C078" w14:textId="77777777" w:rsidR="00CB2096" w:rsidRDefault="00CB2096">
            <w:pPr>
              <w:rPr>
                <w:sz w:val="20"/>
                <w:szCs w:val="20"/>
              </w:rPr>
            </w:pPr>
          </w:p>
        </w:tc>
      </w:tr>
      <w:tr w:rsidR="00CB2096" w14:paraId="32C18D28" w14:textId="77777777" w:rsidTr="00CB2096">
        <w:trPr>
          <w:trHeight w:val="340"/>
        </w:trPr>
        <w:tc>
          <w:tcPr>
            <w:tcW w:w="1176" w:type="dxa"/>
            <w:tcBorders>
              <w:top w:val="single" w:sz="12" w:space="0" w:color="auto"/>
              <w:left w:val="nil"/>
              <w:bottom w:val="nil"/>
              <w:right w:val="nil"/>
            </w:tcBorders>
            <w:shd w:val="clear" w:color="auto" w:fill="auto"/>
            <w:noWrap/>
            <w:vAlign w:val="bottom"/>
            <w:hideMark/>
          </w:tcPr>
          <w:p w14:paraId="29E52823" w14:textId="77777777" w:rsidR="00CB2096" w:rsidRDefault="00CB2096">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57419C35" w14:textId="77777777" w:rsidR="00CB2096" w:rsidRDefault="00CB2096">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0B1280C3" w14:textId="77777777" w:rsidR="00CB2096" w:rsidRDefault="00CB2096">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FE274B5" w14:textId="77777777" w:rsidR="00CB2096" w:rsidRDefault="00CB2096">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DA4229E" w14:textId="77777777" w:rsidR="00CB2096" w:rsidRDefault="00CB2096">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CD0B939" w14:textId="77777777" w:rsidR="00CB2096" w:rsidRDefault="00CB2096">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8" w:space="0" w:color="auto"/>
              <w:right w:val="nil"/>
            </w:tcBorders>
            <w:shd w:val="clear" w:color="auto" w:fill="auto"/>
            <w:noWrap/>
            <w:vAlign w:val="center"/>
            <w:hideMark/>
          </w:tcPr>
          <w:p w14:paraId="1E5EB7E5" w14:textId="77777777" w:rsidR="00CB2096" w:rsidRDefault="00CB2096">
            <w:pPr>
              <w:jc w:val="center"/>
              <w:rPr>
                <w:color w:val="000000"/>
                <w:sz w:val="20"/>
                <w:szCs w:val="20"/>
              </w:rPr>
            </w:pPr>
            <w:r>
              <w:rPr>
                <w:color w:val="000000"/>
                <w:sz w:val="20"/>
                <w:szCs w:val="20"/>
              </w:rPr>
              <w:t>Urbanicity</w:t>
            </w:r>
          </w:p>
        </w:tc>
      </w:tr>
      <w:tr w:rsidR="00CB2096" w14:paraId="7AFC9E7D" w14:textId="77777777" w:rsidTr="00CB2096">
        <w:trPr>
          <w:trHeight w:val="360"/>
        </w:trPr>
        <w:tc>
          <w:tcPr>
            <w:tcW w:w="1176" w:type="dxa"/>
            <w:tcBorders>
              <w:top w:val="nil"/>
              <w:left w:val="nil"/>
              <w:bottom w:val="single" w:sz="12" w:space="0" w:color="auto"/>
              <w:right w:val="nil"/>
            </w:tcBorders>
            <w:shd w:val="clear" w:color="auto" w:fill="auto"/>
            <w:noWrap/>
            <w:vAlign w:val="bottom"/>
            <w:hideMark/>
          </w:tcPr>
          <w:p w14:paraId="4650FD84" w14:textId="77777777" w:rsidR="00CB2096" w:rsidRDefault="00CB2096">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2C1A7D75" w14:textId="77777777" w:rsidR="00CB2096" w:rsidRDefault="00CB2096">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0F4BB671" w14:textId="77777777" w:rsidR="00CB2096" w:rsidRDefault="00CB2096">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6A2C4B8" w14:textId="77777777" w:rsidR="00CB2096" w:rsidRDefault="00CB209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D61C57A" w14:textId="77777777" w:rsidR="00CB2096" w:rsidRDefault="00CB2096">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7AE18BBE" w14:textId="77777777" w:rsidR="00CB2096" w:rsidRDefault="00CB2096">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9BB0198" w14:textId="77777777" w:rsidR="00CB2096" w:rsidRDefault="00CB209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638EA93" w14:textId="77777777" w:rsidR="00CB2096" w:rsidRDefault="00CB2096">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08BF8BE" w14:textId="77777777" w:rsidR="00CB2096" w:rsidRDefault="00CB2096">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4D28E13" w14:textId="77777777" w:rsidR="00CB2096" w:rsidRDefault="00CB209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CA1752C" w14:textId="77777777" w:rsidR="00CB2096" w:rsidRDefault="00CB2096">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9190601" w14:textId="77777777" w:rsidR="00CB2096" w:rsidRDefault="00CB2096">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0083939" w14:textId="77777777" w:rsidR="00CB2096" w:rsidRDefault="00CB209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687DF8D" w14:textId="77777777" w:rsidR="00CB2096" w:rsidRDefault="00CB2096">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359805A2" w14:textId="77777777" w:rsidR="00CB2096" w:rsidRDefault="00CB2096">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41CDE10" w14:textId="77777777" w:rsidR="00CB2096" w:rsidRDefault="00CB209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27FC6DC" w14:textId="77777777" w:rsidR="00CB2096" w:rsidRDefault="00CB2096">
            <w:pPr>
              <w:jc w:val="center"/>
              <w:rPr>
                <w:i/>
                <w:iCs/>
                <w:color w:val="000000"/>
                <w:sz w:val="20"/>
                <w:szCs w:val="20"/>
              </w:rPr>
            </w:pPr>
            <w:r>
              <w:rPr>
                <w:i/>
                <w:iCs/>
                <w:color w:val="000000"/>
                <w:sz w:val="20"/>
                <w:szCs w:val="20"/>
              </w:rPr>
              <w:t>R2</w:t>
            </w:r>
          </w:p>
        </w:tc>
      </w:tr>
      <w:tr w:rsidR="00CB2096" w14:paraId="19CD015D" w14:textId="77777777" w:rsidTr="00CB2096">
        <w:trPr>
          <w:trHeight w:val="320"/>
        </w:trPr>
        <w:tc>
          <w:tcPr>
            <w:tcW w:w="1176" w:type="dxa"/>
            <w:tcBorders>
              <w:top w:val="single" w:sz="12" w:space="0" w:color="auto"/>
              <w:left w:val="nil"/>
              <w:bottom w:val="nil"/>
              <w:right w:val="nil"/>
            </w:tcBorders>
            <w:shd w:val="clear" w:color="auto" w:fill="auto"/>
            <w:noWrap/>
            <w:vAlign w:val="bottom"/>
            <w:hideMark/>
          </w:tcPr>
          <w:p w14:paraId="485926EF" w14:textId="77777777" w:rsidR="00CB2096" w:rsidRDefault="00CB2096">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1F37839B" w14:textId="77777777" w:rsidR="00CB2096" w:rsidRDefault="00CB2096">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2FC0908D" w14:textId="77777777" w:rsidR="00CB2096" w:rsidRDefault="00CB2096">
            <w:pPr>
              <w:jc w:val="right"/>
              <w:rPr>
                <w:color w:val="000000"/>
                <w:sz w:val="20"/>
                <w:szCs w:val="20"/>
              </w:rPr>
            </w:pPr>
            <w:r>
              <w:rPr>
                <w:color w:val="000000"/>
                <w:sz w:val="20"/>
                <w:szCs w:val="20"/>
              </w:rPr>
              <w:t>-0.027</w:t>
            </w:r>
          </w:p>
        </w:tc>
        <w:tc>
          <w:tcPr>
            <w:tcW w:w="768" w:type="dxa"/>
            <w:tcBorders>
              <w:top w:val="single" w:sz="12" w:space="0" w:color="auto"/>
              <w:left w:val="nil"/>
              <w:bottom w:val="nil"/>
              <w:right w:val="nil"/>
            </w:tcBorders>
            <w:shd w:val="clear" w:color="auto" w:fill="auto"/>
            <w:noWrap/>
            <w:vAlign w:val="bottom"/>
            <w:hideMark/>
          </w:tcPr>
          <w:p w14:paraId="09763064" w14:textId="77777777" w:rsidR="00CB2096" w:rsidRDefault="00CB2096">
            <w:pPr>
              <w:jc w:val="right"/>
              <w:rPr>
                <w:color w:val="000000"/>
                <w:sz w:val="20"/>
                <w:szCs w:val="20"/>
              </w:rPr>
            </w:pPr>
            <w:r>
              <w:rPr>
                <w:color w:val="000000"/>
                <w:sz w:val="20"/>
                <w:szCs w:val="20"/>
              </w:rPr>
              <w:t>0.659</w:t>
            </w:r>
          </w:p>
        </w:tc>
        <w:tc>
          <w:tcPr>
            <w:tcW w:w="768" w:type="dxa"/>
            <w:tcBorders>
              <w:top w:val="single" w:sz="12" w:space="0" w:color="auto"/>
              <w:left w:val="nil"/>
              <w:bottom w:val="nil"/>
              <w:right w:val="nil"/>
            </w:tcBorders>
            <w:shd w:val="clear" w:color="auto" w:fill="auto"/>
            <w:noWrap/>
            <w:vAlign w:val="bottom"/>
            <w:hideMark/>
          </w:tcPr>
          <w:p w14:paraId="162B2487" w14:textId="77777777" w:rsidR="00CB2096" w:rsidRDefault="00CB2096">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10250B5D" w14:textId="77777777" w:rsidR="00CB2096" w:rsidRDefault="00CB2096">
            <w:pPr>
              <w:jc w:val="right"/>
              <w:rPr>
                <w:color w:val="000000"/>
                <w:sz w:val="20"/>
                <w:szCs w:val="20"/>
              </w:rPr>
            </w:pPr>
            <w:r>
              <w:rPr>
                <w:color w:val="000000"/>
                <w:sz w:val="20"/>
                <w:szCs w:val="20"/>
              </w:rPr>
              <w:t>0.015</w:t>
            </w:r>
          </w:p>
        </w:tc>
        <w:tc>
          <w:tcPr>
            <w:tcW w:w="768" w:type="dxa"/>
            <w:tcBorders>
              <w:top w:val="single" w:sz="12" w:space="0" w:color="auto"/>
              <w:left w:val="nil"/>
              <w:bottom w:val="nil"/>
              <w:right w:val="nil"/>
            </w:tcBorders>
            <w:shd w:val="clear" w:color="auto" w:fill="auto"/>
            <w:noWrap/>
            <w:vAlign w:val="bottom"/>
            <w:hideMark/>
          </w:tcPr>
          <w:p w14:paraId="7831AABA" w14:textId="77777777" w:rsidR="00CB2096" w:rsidRDefault="00CB2096">
            <w:pPr>
              <w:jc w:val="right"/>
              <w:rPr>
                <w:color w:val="000000"/>
                <w:sz w:val="20"/>
                <w:szCs w:val="20"/>
              </w:rPr>
            </w:pPr>
            <w:r>
              <w:rPr>
                <w:color w:val="000000"/>
                <w:sz w:val="20"/>
                <w:szCs w:val="20"/>
              </w:rPr>
              <w:t>0.807</w:t>
            </w:r>
          </w:p>
        </w:tc>
        <w:tc>
          <w:tcPr>
            <w:tcW w:w="768" w:type="dxa"/>
            <w:tcBorders>
              <w:top w:val="single" w:sz="12" w:space="0" w:color="auto"/>
              <w:left w:val="nil"/>
              <w:bottom w:val="nil"/>
              <w:right w:val="nil"/>
            </w:tcBorders>
            <w:shd w:val="clear" w:color="auto" w:fill="auto"/>
            <w:noWrap/>
            <w:vAlign w:val="bottom"/>
            <w:hideMark/>
          </w:tcPr>
          <w:p w14:paraId="246F8766" w14:textId="77777777" w:rsidR="00CB2096" w:rsidRDefault="00CB209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5AA2832" w14:textId="77777777" w:rsidR="00CB2096" w:rsidRDefault="00CB2096">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4BD505B1" w14:textId="77777777" w:rsidR="00CB2096" w:rsidRDefault="00CB2096">
            <w:pPr>
              <w:jc w:val="right"/>
              <w:rPr>
                <w:color w:val="000000"/>
                <w:sz w:val="20"/>
                <w:szCs w:val="20"/>
              </w:rPr>
            </w:pPr>
            <w:r>
              <w:rPr>
                <w:color w:val="000000"/>
                <w:sz w:val="20"/>
                <w:szCs w:val="20"/>
              </w:rPr>
              <w:t>0.942</w:t>
            </w:r>
          </w:p>
        </w:tc>
        <w:tc>
          <w:tcPr>
            <w:tcW w:w="768" w:type="dxa"/>
            <w:tcBorders>
              <w:top w:val="single" w:sz="12" w:space="0" w:color="auto"/>
              <w:left w:val="nil"/>
              <w:bottom w:val="nil"/>
              <w:right w:val="nil"/>
            </w:tcBorders>
            <w:shd w:val="clear" w:color="auto" w:fill="auto"/>
            <w:noWrap/>
            <w:vAlign w:val="bottom"/>
            <w:hideMark/>
          </w:tcPr>
          <w:p w14:paraId="464836FC" w14:textId="77777777" w:rsidR="00CB2096" w:rsidRDefault="00CB209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B7239A9" w14:textId="77777777" w:rsidR="00CB2096" w:rsidRDefault="00CB2096">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481AF99C" w14:textId="77777777" w:rsidR="00CB2096" w:rsidRDefault="00CB2096">
            <w:pPr>
              <w:jc w:val="right"/>
              <w:rPr>
                <w:color w:val="000000"/>
                <w:sz w:val="20"/>
                <w:szCs w:val="20"/>
              </w:rPr>
            </w:pPr>
            <w:r>
              <w:rPr>
                <w:color w:val="000000"/>
                <w:sz w:val="20"/>
                <w:szCs w:val="20"/>
              </w:rPr>
              <w:t>0.933</w:t>
            </w:r>
          </w:p>
        </w:tc>
        <w:tc>
          <w:tcPr>
            <w:tcW w:w="768" w:type="dxa"/>
            <w:tcBorders>
              <w:top w:val="single" w:sz="12" w:space="0" w:color="auto"/>
              <w:left w:val="nil"/>
              <w:bottom w:val="nil"/>
              <w:right w:val="nil"/>
            </w:tcBorders>
            <w:shd w:val="clear" w:color="auto" w:fill="auto"/>
            <w:noWrap/>
            <w:vAlign w:val="bottom"/>
            <w:hideMark/>
          </w:tcPr>
          <w:p w14:paraId="4DE6C11E" w14:textId="77777777" w:rsidR="00CB2096" w:rsidRDefault="00CB209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88B87DF" w14:textId="77777777" w:rsidR="00CB2096" w:rsidRDefault="00CB2096">
            <w:pPr>
              <w:jc w:val="right"/>
              <w:rPr>
                <w:color w:val="000000"/>
                <w:sz w:val="20"/>
                <w:szCs w:val="20"/>
              </w:rPr>
            </w:pPr>
            <w:r>
              <w:rPr>
                <w:color w:val="000000"/>
                <w:sz w:val="20"/>
                <w:szCs w:val="20"/>
              </w:rPr>
              <w:t>-0.024</w:t>
            </w:r>
          </w:p>
        </w:tc>
        <w:tc>
          <w:tcPr>
            <w:tcW w:w="768" w:type="dxa"/>
            <w:tcBorders>
              <w:top w:val="single" w:sz="12" w:space="0" w:color="auto"/>
              <w:left w:val="nil"/>
              <w:bottom w:val="nil"/>
              <w:right w:val="nil"/>
            </w:tcBorders>
            <w:shd w:val="clear" w:color="auto" w:fill="auto"/>
            <w:noWrap/>
            <w:vAlign w:val="bottom"/>
            <w:hideMark/>
          </w:tcPr>
          <w:p w14:paraId="0BE8460A" w14:textId="77777777" w:rsidR="00CB2096" w:rsidRDefault="00CB2096">
            <w:pPr>
              <w:jc w:val="right"/>
              <w:rPr>
                <w:color w:val="000000"/>
                <w:sz w:val="20"/>
                <w:szCs w:val="20"/>
              </w:rPr>
            </w:pPr>
            <w:r>
              <w:rPr>
                <w:color w:val="000000"/>
                <w:sz w:val="20"/>
                <w:szCs w:val="20"/>
              </w:rPr>
              <w:t>0.781</w:t>
            </w:r>
          </w:p>
        </w:tc>
        <w:tc>
          <w:tcPr>
            <w:tcW w:w="768" w:type="dxa"/>
            <w:tcBorders>
              <w:top w:val="single" w:sz="12" w:space="0" w:color="auto"/>
              <w:left w:val="nil"/>
              <w:bottom w:val="nil"/>
              <w:right w:val="nil"/>
            </w:tcBorders>
            <w:shd w:val="clear" w:color="auto" w:fill="auto"/>
            <w:noWrap/>
            <w:vAlign w:val="bottom"/>
            <w:hideMark/>
          </w:tcPr>
          <w:p w14:paraId="68D3A0CF" w14:textId="77777777" w:rsidR="00CB2096" w:rsidRDefault="00CB2096">
            <w:pPr>
              <w:jc w:val="right"/>
              <w:rPr>
                <w:color w:val="000000"/>
                <w:sz w:val="20"/>
                <w:szCs w:val="20"/>
              </w:rPr>
            </w:pPr>
            <w:r>
              <w:rPr>
                <w:color w:val="000000"/>
                <w:sz w:val="20"/>
                <w:szCs w:val="20"/>
              </w:rPr>
              <w:t>0.001</w:t>
            </w:r>
          </w:p>
        </w:tc>
      </w:tr>
      <w:tr w:rsidR="00CB2096" w14:paraId="4258580E" w14:textId="77777777" w:rsidTr="00CB2096">
        <w:trPr>
          <w:trHeight w:val="340"/>
        </w:trPr>
        <w:tc>
          <w:tcPr>
            <w:tcW w:w="1176" w:type="dxa"/>
            <w:tcBorders>
              <w:top w:val="nil"/>
              <w:left w:val="nil"/>
              <w:bottom w:val="nil"/>
              <w:right w:val="nil"/>
            </w:tcBorders>
            <w:shd w:val="clear" w:color="auto" w:fill="auto"/>
            <w:noWrap/>
            <w:vAlign w:val="bottom"/>
            <w:hideMark/>
          </w:tcPr>
          <w:p w14:paraId="68BA104B"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5100056" w14:textId="77777777" w:rsidR="00CB2096" w:rsidRDefault="00CB209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1E9BD16" w14:textId="77777777" w:rsidR="00CB2096" w:rsidRDefault="00CB209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F07A04D" w14:textId="77777777" w:rsidR="00CB2096" w:rsidRDefault="00CB2096">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729D835C"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FC55503" w14:textId="77777777" w:rsidR="00CB2096" w:rsidRDefault="00CB209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05B1FD7"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72E16D71"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308F72" w14:textId="77777777" w:rsidR="00CB2096" w:rsidRDefault="00CB20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AFBEAF2" w14:textId="77777777" w:rsidR="00CB2096" w:rsidRDefault="00CB2096">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0D711A49"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0A2A3A" w14:textId="77777777" w:rsidR="00CB2096" w:rsidRDefault="00CB209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C02C663"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4181C391"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A387867" w14:textId="77777777" w:rsidR="00CB2096" w:rsidRDefault="00CB2096">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536FE261" w14:textId="77777777" w:rsidR="00CB2096" w:rsidRDefault="00CB2096">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064C90B6" w14:textId="77777777" w:rsidR="00CB2096" w:rsidRDefault="00CB2096">
            <w:pPr>
              <w:jc w:val="right"/>
              <w:rPr>
                <w:color w:val="000000"/>
                <w:sz w:val="20"/>
                <w:szCs w:val="20"/>
              </w:rPr>
            </w:pPr>
            <w:r>
              <w:rPr>
                <w:color w:val="000000"/>
                <w:sz w:val="20"/>
                <w:szCs w:val="20"/>
              </w:rPr>
              <w:t>0.006</w:t>
            </w:r>
          </w:p>
        </w:tc>
      </w:tr>
      <w:tr w:rsidR="00CB2096" w14:paraId="12175305" w14:textId="77777777" w:rsidTr="00CB2096">
        <w:trPr>
          <w:trHeight w:val="320"/>
        </w:trPr>
        <w:tc>
          <w:tcPr>
            <w:tcW w:w="1176" w:type="dxa"/>
            <w:tcBorders>
              <w:top w:val="nil"/>
              <w:left w:val="nil"/>
              <w:bottom w:val="nil"/>
              <w:right w:val="nil"/>
            </w:tcBorders>
            <w:shd w:val="clear" w:color="auto" w:fill="auto"/>
            <w:noWrap/>
            <w:vAlign w:val="bottom"/>
            <w:hideMark/>
          </w:tcPr>
          <w:p w14:paraId="5236E4EE"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F9621E" w14:textId="77777777" w:rsidR="00CB2096" w:rsidRDefault="00CB209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035E2B3" w14:textId="77777777" w:rsidR="00CB2096" w:rsidRDefault="00CB2096">
            <w:pPr>
              <w:jc w:val="right"/>
              <w:rPr>
                <w:color w:val="000000"/>
                <w:sz w:val="20"/>
                <w:szCs w:val="20"/>
              </w:rPr>
            </w:pPr>
            <w:r>
              <w:rPr>
                <w:color w:val="000000"/>
                <w:sz w:val="20"/>
                <w:szCs w:val="20"/>
              </w:rPr>
              <w:t>-0.119</w:t>
            </w:r>
          </w:p>
        </w:tc>
        <w:tc>
          <w:tcPr>
            <w:tcW w:w="768" w:type="dxa"/>
            <w:tcBorders>
              <w:top w:val="nil"/>
              <w:left w:val="nil"/>
              <w:bottom w:val="nil"/>
              <w:right w:val="nil"/>
            </w:tcBorders>
            <w:shd w:val="clear" w:color="auto" w:fill="auto"/>
            <w:noWrap/>
            <w:vAlign w:val="bottom"/>
            <w:hideMark/>
          </w:tcPr>
          <w:p w14:paraId="0E46EA03" w14:textId="77777777" w:rsidR="00CB2096" w:rsidRDefault="00CB2096">
            <w:pPr>
              <w:jc w:val="right"/>
              <w:rPr>
                <w:color w:val="000000"/>
                <w:sz w:val="20"/>
                <w:szCs w:val="20"/>
              </w:rPr>
            </w:pPr>
            <w:r>
              <w:rPr>
                <w:color w:val="000000"/>
                <w:sz w:val="20"/>
                <w:szCs w:val="20"/>
              </w:rPr>
              <w:t>0.326</w:t>
            </w:r>
          </w:p>
        </w:tc>
        <w:tc>
          <w:tcPr>
            <w:tcW w:w="768" w:type="dxa"/>
            <w:tcBorders>
              <w:top w:val="nil"/>
              <w:left w:val="nil"/>
              <w:bottom w:val="nil"/>
              <w:right w:val="nil"/>
            </w:tcBorders>
            <w:shd w:val="clear" w:color="auto" w:fill="auto"/>
            <w:noWrap/>
            <w:vAlign w:val="bottom"/>
            <w:hideMark/>
          </w:tcPr>
          <w:p w14:paraId="518C27AA" w14:textId="77777777" w:rsidR="00CB2096" w:rsidRDefault="00CB209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08DA95E7" w14:textId="77777777" w:rsidR="00CB2096" w:rsidRDefault="00CB209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44B57D09"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018A8C01"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B29ABA6" w14:textId="77777777" w:rsidR="00CB2096" w:rsidRDefault="00CB209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8AADC5E" w14:textId="77777777" w:rsidR="00CB2096" w:rsidRDefault="00CB2096">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5DD4D804"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6FF170" w14:textId="77777777" w:rsidR="00CB2096" w:rsidRDefault="00CB209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668E2350"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75ED94CB"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721CB1" w14:textId="77777777" w:rsidR="00CB2096" w:rsidRDefault="00CB2096">
            <w:pPr>
              <w:jc w:val="right"/>
              <w:rPr>
                <w:color w:val="000000"/>
                <w:sz w:val="20"/>
                <w:szCs w:val="20"/>
              </w:rPr>
            </w:pPr>
            <w:r>
              <w:rPr>
                <w:color w:val="000000"/>
                <w:sz w:val="20"/>
                <w:szCs w:val="20"/>
              </w:rPr>
              <w:t>-0.205</w:t>
            </w:r>
          </w:p>
        </w:tc>
        <w:tc>
          <w:tcPr>
            <w:tcW w:w="768" w:type="dxa"/>
            <w:tcBorders>
              <w:top w:val="nil"/>
              <w:left w:val="nil"/>
              <w:bottom w:val="nil"/>
              <w:right w:val="nil"/>
            </w:tcBorders>
            <w:shd w:val="clear" w:color="auto" w:fill="auto"/>
            <w:noWrap/>
            <w:vAlign w:val="bottom"/>
            <w:hideMark/>
          </w:tcPr>
          <w:p w14:paraId="52C39056" w14:textId="77777777" w:rsidR="00CB2096" w:rsidRDefault="00CB2096">
            <w:pPr>
              <w:jc w:val="right"/>
              <w:rPr>
                <w:color w:val="000000"/>
                <w:sz w:val="20"/>
                <w:szCs w:val="20"/>
              </w:rPr>
            </w:pPr>
            <w:r>
              <w:rPr>
                <w:color w:val="000000"/>
                <w:sz w:val="20"/>
                <w:szCs w:val="20"/>
              </w:rPr>
              <w:t>0.292</w:t>
            </w:r>
          </w:p>
        </w:tc>
        <w:tc>
          <w:tcPr>
            <w:tcW w:w="768" w:type="dxa"/>
            <w:tcBorders>
              <w:top w:val="nil"/>
              <w:left w:val="nil"/>
              <w:bottom w:val="nil"/>
              <w:right w:val="nil"/>
            </w:tcBorders>
            <w:shd w:val="clear" w:color="auto" w:fill="auto"/>
            <w:noWrap/>
            <w:vAlign w:val="bottom"/>
            <w:hideMark/>
          </w:tcPr>
          <w:p w14:paraId="33850B82" w14:textId="77777777" w:rsidR="00CB2096" w:rsidRDefault="00CB2096">
            <w:pPr>
              <w:jc w:val="right"/>
              <w:rPr>
                <w:color w:val="000000"/>
                <w:sz w:val="20"/>
                <w:szCs w:val="20"/>
              </w:rPr>
            </w:pPr>
            <w:r>
              <w:rPr>
                <w:color w:val="000000"/>
                <w:sz w:val="20"/>
                <w:szCs w:val="20"/>
              </w:rPr>
              <w:t>0.042</w:t>
            </w:r>
          </w:p>
        </w:tc>
      </w:tr>
      <w:tr w:rsidR="00CB2096" w14:paraId="7A4A8134" w14:textId="77777777" w:rsidTr="00CB2096">
        <w:trPr>
          <w:trHeight w:val="320"/>
        </w:trPr>
        <w:tc>
          <w:tcPr>
            <w:tcW w:w="1176" w:type="dxa"/>
            <w:tcBorders>
              <w:top w:val="nil"/>
              <w:left w:val="nil"/>
              <w:bottom w:val="nil"/>
              <w:right w:val="nil"/>
            </w:tcBorders>
            <w:shd w:val="clear" w:color="auto" w:fill="auto"/>
            <w:noWrap/>
            <w:vAlign w:val="bottom"/>
            <w:hideMark/>
          </w:tcPr>
          <w:p w14:paraId="23D8A3A9"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0B50C1" w14:textId="77777777" w:rsidR="00CB2096" w:rsidRDefault="00CB209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225C518" w14:textId="77777777" w:rsidR="00CB2096" w:rsidRDefault="00CB2096">
            <w:pPr>
              <w:jc w:val="right"/>
              <w:rPr>
                <w:color w:val="000000"/>
                <w:sz w:val="20"/>
                <w:szCs w:val="20"/>
              </w:rPr>
            </w:pPr>
            <w:r>
              <w:rPr>
                <w:color w:val="000000"/>
                <w:sz w:val="20"/>
                <w:szCs w:val="20"/>
              </w:rPr>
              <w:t>0.155</w:t>
            </w:r>
          </w:p>
        </w:tc>
        <w:tc>
          <w:tcPr>
            <w:tcW w:w="768" w:type="dxa"/>
            <w:tcBorders>
              <w:top w:val="nil"/>
              <w:left w:val="nil"/>
              <w:bottom w:val="nil"/>
              <w:right w:val="nil"/>
            </w:tcBorders>
            <w:shd w:val="clear" w:color="auto" w:fill="auto"/>
            <w:noWrap/>
            <w:vAlign w:val="bottom"/>
            <w:hideMark/>
          </w:tcPr>
          <w:p w14:paraId="0E07006A" w14:textId="77777777" w:rsidR="00CB2096" w:rsidRDefault="00CB2096">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3DA79C0E" w14:textId="77777777" w:rsidR="00CB2096" w:rsidRDefault="00CB209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21A8BBE" w14:textId="77777777" w:rsidR="00CB2096" w:rsidRDefault="00CB209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2F6FDCE1"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717969F2"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E24A52" w14:textId="77777777" w:rsidR="00CB2096" w:rsidRDefault="00CB2096">
            <w:pPr>
              <w:jc w:val="right"/>
              <w:rPr>
                <w:color w:val="000000"/>
                <w:sz w:val="20"/>
                <w:szCs w:val="20"/>
              </w:rPr>
            </w:pPr>
            <w:r>
              <w:rPr>
                <w:color w:val="000000"/>
                <w:sz w:val="20"/>
                <w:szCs w:val="20"/>
              </w:rPr>
              <w:t>-0.107</w:t>
            </w:r>
          </w:p>
        </w:tc>
        <w:tc>
          <w:tcPr>
            <w:tcW w:w="768" w:type="dxa"/>
            <w:tcBorders>
              <w:top w:val="nil"/>
              <w:left w:val="nil"/>
              <w:bottom w:val="nil"/>
              <w:right w:val="nil"/>
            </w:tcBorders>
            <w:shd w:val="clear" w:color="auto" w:fill="auto"/>
            <w:noWrap/>
            <w:vAlign w:val="bottom"/>
            <w:hideMark/>
          </w:tcPr>
          <w:p w14:paraId="594A0AB9" w14:textId="77777777" w:rsidR="00CB2096" w:rsidRDefault="00CB2096">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088A3A5F" w14:textId="77777777" w:rsidR="00CB2096" w:rsidRDefault="00CB20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9EDF5DA" w14:textId="77777777" w:rsidR="00CB2096" w:rsidRDefault="00CB2096">
            <w:pPr>
              <w:jc w:val="right"/>
              <w:rPr>
                <w:b/>
                <w:bCs/>
                <w:color w:val="000000"/>
                <w:sz w:val="20"/>
                <w:szCs w:val="20"/>
              </w:rPr>
            </w:pPr>
            <w:r>
              <w:rPr>
                <w:b/>
                <w:bCs/>
                <w:color w:val="000000"/>
                <w:sz w:val="20"/>
                <w:szCs w:val="20"/>
              </w:rPr>
              <w:t>-0.253</w:t>
            </w:r>
          </w:p>
        </w:tc>
        <w:tc>
          <w:tcPr>
            <w:tcW w:w="768" w:type="dxa"/>
            <w:tcBorders>
              <w:top w:val="nil"/>
              <w:left w:val="nil"/>
              <w:bottom w:val="nil"/>
              <w:right w:val="nil"/>
            </w:tcBorders>
            <w:shd w:val="clear" w:color="auto" w:fill="auto"/>
            <w:noWrap/>
            <w:vAlign w:val="bottom"/>
            <w:hideMark/>
          </w:tcPr>
          <w:p w14:paraId="78FD6D88" w14:textId="77777777" w:rsidR="00CB2096" w:rsidRDefault="00CB2096">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2D5FE33B" w14:textId="77777777" w:rsidR="00CB2096" w:rsidRDefault="00CB2096">
            <w:pPr>
              <w:jc w:val="right"/>
              <w:rPr>
                <w:b/>
                <w:bCs/>
                <w:color w:val="000000"/>
                <w:sz w:val="20"/>
                <w:szCs w:val="20"/>
              </w:rPr>
            </w:pPr>
            <w:r>
              <w:rPr>
                <w:b/>
                <w:bCs/>
                <w:color w:val="000000"/>
                <w:sz w:val="20"/>
                <w:szCs w:val="20"/>
              </w:rPr>
              <w:t>0.064</w:t>
            </w:r>
          </w:p>
        </w:tc>
        <w:tc>
          <w:tcPr>
            <w:tcW w:w="768" w:type="dxa"/>
            <w:tcBorders>
              <w:top w:val="nil"/>
              <w:left w:val="nil"/>
              <w:bottom w:val="nil"/>
              <w:right w:val="nil"/>
            </w:tcBorders>
            <w:shd w:val="clear" w:color="auto" w:fill="auto"/>
            <w:noWrap/>
            <w:vAlign w:val="bottom"/>
            <w:hideMark/>
          </w:tcPr>
          <w:p w14:paraId="529D2CC4" w14:textId="77777777" w:rsidR="00CB2096" w:rsidRDefault="00CB209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2CB4F57" w14:textId="77777777" w:rsidR="00CB2096" w:rsidRDefault="00CB2096">
            <w:pPr>
              <w:jc w:val="right"/>
              <w:rPr>
                <w:color w:val="000000"/>
                <w:sz w:val="20"/>
                <w:szCs w:val="20"/>
              </w:rPr>
            </w:pPr>
            <w:r>
              <w:rPr>
                <w:color w:val="000000"/>
                <w:sz w:val="20"/>
                <w:szCs w:val="20"/>
              </w:rPr>
              <w:t>0.781</w:t>
            </w:r>
          </w:p>
        </w:tc>
        <w:tc>
          <w:tcPr>
            <w:tcW w:w="768" w:type="dxa"/>
            <w:tcBorders>
              <w:top w:val="nil"/>
              <w:left w:val="nil"/>
              <w:bottom w:val="nil"/>
              <w:right w:val="nil"/>
            </w:tcBorders>
            <w:shd w:val="clear" w:color="auto" w:fill="auto"/>
            <w:noWrap/>
            <w:vAlign w:val="bottom"/>
            <w:hideMark/>
          </w:tcPr>
          <w:p w14:paraId="7CAFAB45" w14:textId="77777777" w:rsidR="00CB2096" w:rsidRDefault="00CB2096">
            <w:pPr>
              <w:jc w:val="right"/>
              <w:rPr>
                <w:color w:val="000000"/>
                <w:sz w:val="20"/>
                <w:szCs w:val="20"/>
              </w:rPr>
            </w:pPr>
            <w:r>
              <w:rPr>
                <w:color w:val="000000"/>
                <w:sz w:val="20"/>
                <w:szCs w:val="20"/>
              </w:rPr>
              <w:t>0.001</w:t>
            </w:r>
          </w:p>
        </w:tc>
      </w:tr>
      <w:tr w:rsidR="00CB2096" w14:paraId="23A5901C" w14:textId="77777777" w:rsidTr="00CB2096">
        <w:trPr>
          <w:trHeight w:val="320"/>
        </w:trPr>
        <w:tc>
          <w:tcPr>
            <w:tcW w:w="1176" w:type="dxa"/>
            <w:tcBorders>
              <w:top w:val="nil"/>
              <w:left w:val="nil"/>
              <w:bottom w:val="nil"/>
              <w:right w:val="nil"/>
            </w:tcBorders>
            <w:shd w:val="clear" w:color="auto" w:fill="auto"/>
            <w:noWrap/>
            <w:vAlign w:val="bottom"/>
            <w:hideMark/>
          </w:tcPr>
          <w:p w14:paraId="174BB3EF"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E429E08" w14:textId="77777777" w:rsidR="00CB2096" w:rsidRDefault="00CB209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CB57A50" w14:textId="77777777" w:rsidR="00CB2096" w:rsidRDefault="00CB209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9222E00" w14:textId="77777777" w:rsidR="00CB2096" w:rsidRDefault="00CB2096">
            <w:pPr>
              <w:jc w:val="right"/>
              <w:rPr>
                <w:color w:val="000000"/>
                <w:sz w:val="20"/>
                <w:szCs w:val="20"/>
              </w:rPr>
            </w:pPr>
            <w:r>
              <w:rPr>
                <w:color w:val="000000"/>
                <w:sz w:val="20"/>
                <w:szCs w:val="20"/>
              </w:rPr>
              <w:t>0.662</w:t>
            </w:r>
          </w:p>
        </w:tc>
        <w:tc>
          <w:tcPr>
            <w:tcW w:w="768" w:type="dxa"/>
            <w:tcBorders>
              <w:top w:val="nil"/>
              <w:left w:val="nil"/>
              <w:bottom w:val="nil"/>
              <w:right w:val="nil"/>
            </w:tcBorders>
            <w:shd w:val="clear" w:color="auto" w:fill="auto"/>
            <w:noWrap/>
            <w:vAlign w:val="bottom"/>
            <w:hideMark/>
          </w:tcPr>
          <w:p w14:paraId="7F4B6EDE"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BE935AF" w14:textId="77777777" w:rsidR="00CB2096" w:rsidRDefault="00CB209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CBD37F2"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5217E953"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5EE7A5"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5E9A49F" w14:textId="77777777" w:rsidR="00CB2096" w:rsidRDefault="00CB2096">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0F5D2F06"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E1A2B2" w14:textId="77777777" w:rsidR="00CB2096" w:rsidRDefault="00CB2096">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5F2B2BE7" w14:textId="77777777" w:rsidR="00CB2096" w:rsidRDefault="00CB2096">
            <w:pPr>
              <w:jc w:val="right"/>
              <w:rPr>
                <w:color w:val="000000"/>
                <w:sz w:val="20"/>
                <w:szCs w:val="20"/>
              </w:rPr>
            </w:pPr>
            <w:r>
              <w:rPr>
                <w:color w:val="000000"/>
                <w:sz w:val="20"/>
                <w:szCs w:val="20"/>
              </w:rPr>
              <w:t>0.452</w:t>
            </w:r>
          </w:p>
        </w:tc>
        <w:tc>
          <w:tcPr>
            <w:tcW w:w="768" w:type="dxa"/>
            <w:tcBorders>
              <w:top w:val="nil"/>
              <w:left w:val="nil"/>
              <w:bottom w:val="nil"/>
              <w:right w:val="nil"/>
            </w:tcBorders>
            <w:shd w:val="clear" w:color="auto" w:fill="auto"/>
            <w:noWrap/>
            <w:vAlign w:val="bottom"/>
            <w:hideMark/>
          </w:tcPr>
          <w:p w14:paraId="16402153" w14:textId="77777777" w:rsidR="00CB2096" w:rsidRDefault="00CB20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54B2FEA" w14:textId="77777777" w:rsidR="00CB2096" w:rsidRDefault="00CB209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079F7C8" w14:textId="77777777" w:rsidR="00CB2096" w:rsidRDefault="00CB2096">
            <w:pPr>
              <w:jc w:val="right"/>
              <w:rPr>
                <w:color w:val="000000"/>
                <w:sz w:val="20"/>
                <w:szCs w:val="20"/>
              </w:rPr>
            </w:pPr>
            <w:r>
              <w:rPr>
                <w:color w:val="000000"/>
                <w:sz w:val="20"/>
                <w:szCs w:val="20"/>
              </w:rPr>
              <w:t>0.781</w:t>
            </w:r>
          </w:p>
        </w:tc>
        <w:tc>
          <w:tcPr>
            <w:tcW w:w="768" w:type="dxa"/>
            <w:tcBorders>
              <w:top w:val="nil"/>
              <w:left w:val="nil"/>
              <w:bottom w:val="nil"/>
              <w:right w:val="nil"/>
            </w:tcBorders>
            <w:shd w:val="clear" w:color="auto" w:fill="auto"/>
            <w:noWrap/>
            <w:vAlign w:val="bottom"/>
            <w:hideMark/>
          </w:tcPr>
          <w:p w14:paraId="022369FC" w14:textId="77777777" w:rsidR="00CB2096" w:rsidRDefault="00CB2096">
            <w:pPr>
              <w:jc w:val="right"/>
              <w:rPr>
                <w:color w:val="000000"/>
                <w:sz w:val="20"/>
                <w:szCs w:val="20"/>
              </w:rPr>
            </w:pPr>
            <w:r>
              <w:rPr>
                <w:color w:val="000000"/>
                <w:sz w:val="20"/>
                <w:szCs w:val="20"/>
              </w:rPr>
              <w:t>0.001</w:t>
            </w:r>
          </w:p>
        </w:tc>
      </w:tr>
      <w:tr w:rsidR="00CB2096" w14:paraId="23F68D8A" w14:textId="77777777" w:rsidTr="00CB2096">
        <w:trPr>
          <w:trHeight w:val="320"/>
        </w:trPr>
        <w:tc>
          <w:tcPr>
            <w:tcW w:w="1176" w:type="dxa"/>
            <w:tcBorders>
              <w:top w:val="nil"/>
              <w:left w:val="nil"/>
              <w:bottom w:val="nil"/>
              <w:right w:val="nil"/>
            </w:tcBorders>
            <w:shd w:val="clear" w:color="auto" w:fill="auto"/>
            <w:noWrap/>
            <w:vAlign w:val="bottom"/>
            <w:hideMark/>
          </w:tcPr>
          <w:p w14:paraId="2196586B"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FCACDF9" w14:textId="77777777" w:rsidR="00CB2096" w:rsidRDefault="00CB209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24C9FC6" w14:textId="77777777" w:rsidR="00CB2096" w:rsidRPr="00FE2233" w:rsidRDefault="00CB2096">
            <w:pPr>
              <w:jc w:val="right"/>
              <w:rPr>
                <w:b/>
                <w:bCs/>
                <w:color w:val="000000"/>
                <w:sz w:val="20"/>
                <w:szCs w:val="20"/>
              </w:rPr>
            </w:pPr>
            <w:r w:rsidRPr="00FE2233">
              <w:rPr>
                <w:b/>
                <w:bCs/>
                <w:color w:val="000000"/>
                <w:sz w:val="20"/>
                <w:szCs w:val="20"/>
              </w:rPr>
              <w:t>-0.094</w:t>
            </w:r>
          </w:p>
        </w:tc>
        <w:tc>
          <w:tcPr>
            <w:tcW w:w="768" w:type="dxa"/>
            <w:tcBorders>
              <w:top w:val="nil"/>
              <w:left w:val="nil"/>
              <w:bottom w:val="nil"/>
              <w:right w:val="nil"/>
            </w:tcBorders>
            <w:shd w:val="clear" w:color="auto" w:fill="auto"/>
            <w:noWrap/>
            <w:vAlign w:val="bottom"/>
            <w:hideMark/>
          </w:tcPr>
          <w:p w14:paraId="109A525D" w14:textId="77777777" w:rsidR="00CB2096" w:rsidRPr="00FE2233" w:rsidRDefault="00CB2096">
            <w:pPr>
              <w:jc w:val="right"/>
              <w:rPr>
                <w:b/>
                <w:bCs/>
                <w:color w:val="000000"/>
                <w:sz w:val="20"/>
                <w:szCs w:val="20"/>
              </w:rPr>
            </w:pPr>
            <w:r w:rsidRPr="00FE2233">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0B566EB0" w14:textId="77777777" w:rsidR="00CB2096" w:rsidRPr="00FE2233" w:rsidRDefault="00CB2096">
            <w:pPr>
              <w:jc w:val="right"/>
              <w:rPr>
                <w:b/>
                <w:bCs/>
                <w:color w:val="000000"/>
                <w:sz w:val="20"/>
                <w:szCs w:val="20"/>
              </w:rPr>
            </w:pPr>
            <w:r w:rsidRPr="00FE2233">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0DE1128F" w14:textId="77777777" w:rsidR="00CB2096" w:rsidRDefault="00CB20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E91A968"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051CA9C4"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A97369" w14:textId="77777777" w:rsidR="00CB2096" w:rsidRDefault="00CB209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ABD4740" w14:textId="77777777" w:rsidR="00CB2096" w:rsidRDefault="00CB2096">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4A6366B9"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68A670" w14:textId="77777777" w:rsidR="00CB2096" w:rsidRDefault="00CB2096">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3C611B8"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40A2A36C"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644F6F" w14:textId="77777777" w:rsidR="00CB2096" w:rsidRDefault="00CB2096">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35483010" w14:textId="77777777" w:rsidR="00CB2096" w:rsidRDefault="00CB2096">
            <w:pPr>
              <w:jc w:val="right"/>
              <w:rPr>
                <w:color w:val="000000"/>
                <w:sz w:val="20"/>
                <w:szCs w:val="20"/>
              </w:rPr>
            </w:pPr>
            <w:r>
              <w:rPr>
                <w:color w:val="000000"/>
                <w:sz w:val="20"/>
                <w:szCs w:val="20"/>
              </w:rPr>
              <w:t>0.781</w:t>
            </w:r>
          </w:p>
        </w:tc>
        <w:tc>
          <w:tcPr>
            <w:tcW w:w="768" w:type="dxa"/>
            <w:tcBorders>
              <w:top w:val="nil"/>
              <w:left w:val="nil"/>
              <w:bottom w:val="nil"/>
              <w:right w:val="nil"/>
            </w:tcBorders>
            <w:shd w:val="clear" w:color="auto" w:fill="auto"/>
            <w:noWrap/>
            <w:vAlign w:val="bottom"/>
            <w:hideMark/>
          </w:tcPr>
          <w:p w14:paraId="2D68AE61" w14:textId="77777777" w:rsidR="00CB2096" w:rsidRDefault="00CB2096">
            <w:pPr>
              <w:jc w:val="right"/>
              <w:rPr>
                <w:color w:val="000000"/>
                <w:sz w:val="20"/>
                <w:szCs w:val="20"/>
              </w:rPr>
            </w:pPr>
            <w:r>
              <w:rPr>
                <w:color w:val="000000"/>
                <w:sz w:val="20"/>
                <w:szCs w:val="20"/>
              </w:rPr>
              <w:t>0.001</w:t>
            </w:r>
          </w:p>
        </w:tc>
      </w:tr>
      <w:tr w:rsidR="00CB2096" w14:paraId="2A0F9FA0" w14:textId="77777777" w:rsidTr="00CB2096">
        <w:trPr>
          <w:trHeight w:val="320"/>
        </w:trPr>
        <w:tc>
          <w:tcPr>
            <w:tcW w:w="1176" w:type="dxa"/>
            <w:tcBorders>
              <w:top w:val="nil"/>
              <w:left w:val="nil"/>
              <w:bottom w:val="nil"/>
              <w:right w:val="nil"/>
            </w:tcBorders>
            <w:shd w:val="clear" w:color="auto" w:fill="auto"/>
            <w:noWrap/>
            <w:vAlign w:val="bottom"/>
            <w:hideMark/>
          </w:tcPr>
          <w:p w14:paraId="44A0B9DB"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506CE6A" w14:textId="77777777" w:rsidR="00CB2096" w:rsidRDefault="00CB209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12999C4" w14:textId="77777777" w:rsidR="00CB2096" w:rsidRDefault="00CB2096">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43FCC533" w14:textId="77777777" w:rsidR="00CB2096" w:rsidRDefault="00CB2096">
            <w:pPr>
              <w:jc w:val="right"/>
              <w:rPr>
                <w:color w:val="000000"/>
                <w:sz w:val="20"/>
                <w:szCs w:val="20"/>
              </w:rPr>
            </w:pPr>
            <w:r>
              <w:rPr>
                <w:color w:val="000000"/>
                <w:sz w:val="20"/>
                <w:szCs w:val="20"/>
              </w:rPr>
              <w:t>0.252</w:t>
            </w:r>
          </w:p>
        </w:tc>
        <w:tc>
          <w:tcPr>
            <w:tcW w:w="768" w:type="dxa"/>
            <w:tcBorders>
              <w:top w:val="nil"/>
              <w:left w:val="nil"/>
              <w:bottom w:val="nil"/>
              <w:right w:val="nil"/>
            </w:tcBorders>
            <w:shd w:val="clear" w:color="auto" w:fill="auto"/>
            <w:noWrap/>
            <w:vAlign w:val="bottom"/>
            <w:hideMark/>
          </w:tcPr>
          <w:p w14:paraId="53261CED" w14:textId="77777777" w:rsidR="00CB2096" w:rsidRDefault="00CB209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830A369" w14:textId="77777777" w:rsidR="00CB2096" w:rsidRDefault="00CB2096">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7CF9E1E3" w14:textId="77777777" w:rsidR="00CB2096" w:rsidRDefault="00CB2096">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195BAD4A" w14:textId="77777777" w:rsidR="00CB2096" w:rsidRDefault="00CB209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D13B20B" w14:textId="77777777" w:rsidR="00CB2096" w:rsidRDefault="00CB2096">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27A238BF" w14:textId="77777777" w:rsidR="00CB2096" w:rsidRDefault="00CB2096">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1567CED5"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A7673E1" w14:textId="77777777" w:rsidR="00CB2096" w:rsidRDefault="00CB2096">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3D4868EA"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1DED9B3F"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69893E" w14:textId="77777777" w:rsidR="00CB2096" w:rsidRDefault="00CB2096">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4EC2E2B1" w14:textId="77777777" w:rsidR="00CB2096" w:rsidRDefault="00CB2096">
            <w:pPr>
              <w:jc w:val="right"/>
              <w:rPr>
                <w:color w:val="000000"/>
                <w:sz w:val="20"/>
                <w:szCs w:val="20"/>
              </w:rPr>
            </w:pPr>
            <w:r>
              <w:rPr>
                <w:color w:val="000000"/>
                <w:sz w:val="20"/>
                <w:szCs w:val="20"/>
              </w:rPr>
              <w:t>0.292</w:t>
            </w:r>
          </w:p>
        </w:tc>
        <w:tc>
          <w:tcPr>
            <w:tcW w:w="768" w:type="dxa"/>
            <w:tcBorders>
              <w:top w:val="nil"/>
              <w:left w:val="nil"/>
              <w:bottom w:val="nil"/>
              <w:right w:val="nil"/>
            </w:tcBorders>
            <w:shd w:val="clear" w:color="auto" w:fill="auto"/>
            <w:noWrap/>
            <w:vAlign w:val="bottom"/>
            <w:hideMark/>
          </w:tcPr>
          <w:p w14:paraId="257F91F8" w14:textId="77777777" w:rsidR="00CB2096" w:rsidRDefault="00CB2096">
            <w:pPr>
              <w:jc w:val="right"/>
              <w:rPr>
                <w:color w:val="000000"/>
                <w:sz w:val="20"/>
                <w:szCs w:val="20"/>
              </w:rPr>
            </w:pPr>
            <w:r>
              <w:rPr>
                <w:color w:val="000000"/>
                <w:sz w:val="20"/>
                <w:szCs w:val="20"/>
              </w:rPr>
              <w:t>0.007</w:t>
            </w:r>
          </w:p>
        </w:tc>
      </w:tr>
      <w:tr w:rsidR="00CB2096" w14:paraId="428E2C24" w14:textId="77777777" w:rsidTr="00CB2096">
        <w:trPr>
          <w:trHeight w:val="320"/>
        </w:trPr>
        <w:tc>
          <w:tcPr>
            <w:tcW w:w="1176" w:type="dxa"/>
            <w:tcBorders>
              <w:top w:val="nil"/>
              <w:left w:val="nil"/>
              <w:bottom w:val="single" w:sz="4" w:space="0" w:color="auto"/>
              <w:right w:val="nil"/>
            </w:tcBorders>
            <w:shd w:val="clear" w:color="auto" w:fill="auto"/>
            <w:noWrap/>
            <w:vAlign w:val="bottom"/>
            <w:hideMark/>
          </w:tcPr>
          <w:p w14:paraId="346B905F" w14:textId="77777777" w:rsidR="00CB2096" w:rsidRDefault="00CB209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D8E5EC9" w14:textId="77777777" w:rsidR="00CB2096" w:rsidRDefault="00CB209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9D7096D" w14:textId="77777777" w:rsidR="00CB2096" w:rsidRDefault="00CB2096">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49919495" w14:textId="77777777" w:rsidR="00CB2096" w:rsidRDefault="00CB2096">
            <w:pPr>
              <w:jc w:val="right"/>
              <w:rPr>
                <w:color w:val="000000"/>
                <w:sz w:val="20"/>
                <w:szCs w:val="20"/>
              </w:rPr>
            </w:pPr>
            <w:r>
              <w:rPr>
                <w:color w:val="000000"/>
                <w:sz w:val="20"/>
                <w:szCs w:val="20"/>
              </w:rPr>
              <w:t>0.662</w:t>
            </w:r>
          </w:p>
        </w:tc>
        <w:tc>
          <w:tcPr>
            <w:tcW w:w="768" w:type="dxa"/>
            <w:tcBorders>
              <w:top w:val="nil"/>
              <w:left w:val="nil"/>
              <w:bottom w:val="single" w:sz="4" w:space="0" w:color="auto"/>
              <w:right w:val="nil"/>
            </w:tcBorders>
            <w:shd w:val="clear" w:color="auto" w:fill="auto"/>
            <w:noWrap/>
            <w:vAlign w:val="bottom"/>
            <w:hideMark/>
          </w:tcPr>
          <w:p w14:paraId="70FDE6E0"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78F1BE8" w14:textId="77777777" w:rsidR="00CB2096" w:rsidRDefault="00CB2096">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282E68ED" w14:textId="77777777" w:rsidR="00CB2096" w:rsidRDefault="00CB2096">
            <w:pPr>
              <w:jc w:val="right"/>
              <w:rPr>
                <w:color w:val="000000"/>
                <w:sz w:val="20"/>
                <w:szCs w:val="20"/>
              </w:rPr>
            </w:pPr>
            <w:r>
              <w:rPr>
                <w:color w:val="000000"/>
                <w:sz w:val="20"/>
                <w:szCs w:val="20"/>
              </w:rPr>
              <w:t>0.807</w:t>
            </w:r>
          </w:p>
        </w:tc>
        <w:tc>
          <w:tcPr>
            <w:tcW w:w="768" w:type="dxa"/>
            <w:tcBorders>
              <w:top w:val="nil"/>
              <w:left w:val="nil"/>
              <w:bottom w:val="single" w:sz="4" w:space="0" w:color="auto"/>
              <w:right w:val="nil"/>
            </w:tcBorders>
            <w:shd w:val="clear" w:color="auto" w:fill="auto"/>
            <w:noWrap/>
            <w:vAlign w:val="bottom"/>
            <w:hideMark/>
          </w:tcPr>
          <w:p w14:paraId="177C172E"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E91F357" w14:textId="77777777" w:rsidR="00CB2096" w:rsidRDefault="00CB2096">
            <w:pPr>
              <w:jc w:val="right"/>
              <w:rPr>
                <w:color w:val="000000"/>
                <w:sz w:val="20"/>
                <w:szCs w:val="20"/>
              </w:rPr>
            </w:pPr>
            <w:r>
              <w:rPr>
                <w:color w:val="000000"/>
                <w:sz w:val="20"/>
                <w:szCs w:val="20"/>
              </w:rPr>
              <w:t>-0.048</w:t>
            </w:r>
          </w:p>
        </w:tc>
        <w:tc>
          <w:tcPr>
            <w:tcW w:w="768" w:type="dxa"/>
            <w:tcBorders>
              <w:top w:val="nil"/>
              <w:left w:val="nil"/>
              <w:bottom w:val="single" w:sz="4" w:space="0" w:color="auto"/>
              <w:right w:val="nil"/>
            </w:tcBorders>
            <w:shd w:val="clear" w:color="auto" w:fill="auto"/>
            <w:noWrap/>
            <w:vAlign w:val="bottom"/>
            <w:hideMark/>
          </w:tcPr>
          <w:p w14:paraId="103109DB" w14:textId="77777777" w:rsidR="00CB2096" w:rsidRDefault="00CB2096">
            <w:pPr>
              <w:jc w:val="right"/>
              <w:rPr>
                <w:color w:val="000000"/>
                <w:sz w:val="20"/>
                <w:szCs w:val="20"/>
              </w:rPr>
            </w:pPr>
            <w:r>
              <w:rPr>
                <w:color w:val="000000"/>
                <w:sz w:val="20"/>
                <w:szCs w:val="20"/>
              </w:rPr>
              <w:t>0.942</w:t>
            </w:r>
          </w:p>
        </w:tc>
        <w:tc>
          <w:tcPr>
            <w:tcW w:w="768" w:type="dxa"/>
            <w:tcBorders>
              <w:top w:val="nil"/>
              <w:left w:val="nil"/>
              <w:bottom w:val="single" w:sz="4" w:space="0" w:color="auto"/>
              <w:right w:val="nil"/>
            </w:tcBorders>
            <w:shd w:val="clear" w:color="auto" w:fill="auto"/>
            <w:noWrap/>
            <w:vAlign w:val="bottom"/>
            <w:hideMark/>
          </w:tcPr>
          <w:p w14:paraId="4453C158"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5C2D1BF1" w14:textId="77777777" w:rsidR="00CB2096" w:rsidRDefault="00CB2096">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4995D7A0" w14:textId="77777777" w:rsidR="00CB2096" w:rsidRDefault="00CB2096">
            <w:pPr>
              <w:jc w:val="right"/>
              <w:rPr>
                <w:color w:val="000000"/>
                <w:sz w:val="20"/>
                <w:szCs w:val="20"/>
              </w:rPr>
            </w:pPr>
            <w:r>
              <w:rPr>
                <w:color w:val="000000"/>
                <w:sz w:val="20"/>
                <w:szCs w:val="20"/>
              </w:rPr>
              <w:t>0.933</w:t>
            </w:r>
          </w:p>
        </w:tc>
        <w:tc>
          <w:tcPr>
            <w:tcW w:w="768" w:type="dxa"/>
            <w:tcBorders>
              <w:top w:val="nil"/>
              <w:left w:val="nil"/>
              <w:bottom w:val="single" w:sz="4" w:space="0" w:color="auto"/>
              <w:right w:val="nil"/>
            </w:tcBorders>
            <w:shd w:val="clear" w:color="auto" w:fill="auto"/>
            <w:noWrap/>
            <w:vAlign w:val="bottom"/>
            <w:hideMark/>
          </w:tcPr>
          <w:p w14:paraId="147DDE42"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BC4483E" w14:textId="77777777" w:rsidR="00CB2096" w:rsidRDefault="00CB2096">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74144A30" w14:textId="77777777" w:rsidR="00CB2096" w:rsidRDefault="00CB2096">
            <w:pPr>
              <w:jc w:val="right"/>
              <w:rPr>
                <w:color w:val="000000"/>
                <w:sz w:val="20"/>
                <w:szCs w:val="20"/>
              </w:rPr>
            </w:pPr>
            <w:r>
              <w:rPr>
                <w:color w:val="000000"/>
                <w:sz w:val="20"/>
                <w:szCs w:val="20"/>
              </w:rPr>
              <w:t>0.918</w:t>
            </w:r>
          </w:p>
        </w:tc>
        <w:tc>
          <w:tcPr>
            <w:tcW w:w="768" w:type="dxa"/>
            <w:tcBorders>
              <w:top w:val="nil"/>
              <w:left w:val="nil"/>
              <w:bottom w:val="single" w:sz="4" w:space="0" w:color="auto"/>
              <w:right w:val="nil"/>
            </w:tcBorders>
            <w:shd w:val="clear" w:color="auto" w:fill="auto"/>
            <w:noWrap/>
            <w:vAlign w:val="bottom"/>
            <w:hideMark/>
          </w:tcPr>
          <w:p w14:paraId="496F0135" w14:textId="77777777" w:rsidR="00CB2096" w:rsidRDefault="00CB2096">
            <w:pPr>
              <w:jc w:val="right"/>
              <w:rPr>
                <w:color w:val="000000"/>
                <w:sz w:val="20"/>
                <w:szCs w:val="20"/>
              </w:rPr>
            </w:pPr>
            <w:r>
              <w:rPr>
                <w:color w:val="000000"/>
                <w:sz w:val="20"/>
                <w:szCs w:val="20"/>
              </w:rPr>
              <w:t>0.000</w:t>
            </w:r>
          </w:p>
        </w:tc>
      </w:tr>
      <w:tr w:rsidR="00CB2096" w14:paraId="74F5E82B" w14:textId="77777777" w:rsidTr="00CB2096">
        <w:trPr>
          <w:trHeight w:val="320"/>
        </w:trPr>
        <w:tc>
          <w:tcPr>
            <w:tcW w:w="1176" w:type="dxa"/>
            <w:tcBorders>
              <w:top w:val="nil"/>
              <w:left w:val="nil"/>
              <w:bottom w:val="nil"/>
              <w:right w:val="nil"/>
            </w:tcBorders>
            <w:shd w:val="clear" w:color="auto" w:fill="auto"/>
            <w:noWrap/>
            <w:vAlign w:val="bottom"/>
            <w:hideMark/>
          </w:tcPr>
          <w:p w14:paraId="63402B68" w14:textId="77777777" w:rsidR="00CB2096" w:rsidRDefault="00CB2096">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2FCE15D1" w14:textId="77777777" w:rsidR="00CB2096" w:rsidRDefault="00CB209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027AF06" w14:textId="77777777" w:rsidR="00CB2096" w:rsidRDefault="00CB209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D722037" w14:textId="77777777" w:rsidR="00CB2096" w:rsidRDefault="00CB2096">
            <w:pPr>
              <w:jc w:val="right"/>
              <w:rPr>
                <w:color w:val="000000"/>
                <w:sz w:val="20"/>
                <w:szCs w:val="20"/>
              </w:rPr>
            </w:pPr>
            <w:r>
              <w:rPr>
                <w:color w:val="000000"/>
                <w:sz w:val="20"/>
                <w:szCs w:val="20"/>
              </w:rPr>
              <w:t>0.643</w:t>
            </w:r>
          </w:p>
        </w:tc>
        <w:tc>
          <w:tcPr>
            <w:tcW w:w="768" w:type="dxa"/>
            <w:tcBorders>
              <w:top w:val="nil"/>
              <w:left w:val="nil"/>
              <w:bottom w:val="nil"/>
              <w:right w:val="nil"/>
            </w:tcBorders>
            <w:shd w:val="clear" w:color="auto" w:fill="auto"/>
            <w:noWrap/>
            <w:vAlign w:val="bottom"/>
            <w:hideMark/>
          </w:tcPr>
          <w:p w14:paraId="7E4AD02B"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20FAEF"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747594C" w14:textId="77777777" w:rsidR="00CB2096" w:rsidRDefault="00CB2096">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37399479"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01B3F5" w14:textId="77777777" w:rsidR="00CB2096" w:rsidRDefault="00CB209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57619B37" w14:textId="77777777" w:rsidR="00CB2096" w:rsidRDefault="00CB2096">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568C6552"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317DA8C"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280BF2" w14:textId="77777777" w:rsidR="00CB2096" w:rsidRDefault="00CB2096">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0C5F09A6"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01EAC4" w14:textId="77777777" w:rsidR="00CB2096" w:rsidRDefault="00CB2096">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2598234B" w14:textId="77777777" w:rsidR="00CB2096" w:rsidRDefault="00CB2096">
            <w:pPr>
              <w:jc w:val="right"/>
              <w:rPr>
                <w:color w:val="000000"/>
                <w:sz w:val="20"/>
                <w:szCs w:val="20"/>
              </w:rPr>
            </w:pPr>
            <w:r>
              <w:rPr>
                <w:color w:val="000000"/>
                <w:sz w:val="20"/>
                <w:szCs w:val="20"/>
              </w:rPr>
              <w:t>0.526</w:t>
            </w:r>
          </w:p>
        </w:tc>
        <w:tc>
          <w:tcPr>
            <w:tcW w:w="768" w:type="dxa"/>
            <w:tcBorders>
              <w:top w:val="nil"/>
              <w:left w:val="nil"/>
              <w:bottom w:val="nil"/>
              <w:right w:val="nil"/>
            </w:tcBorders>
            <w:shd w:val="clear" w:color="auto" w:fill="auto"/>
            <w:noWrap/>
            <w:vAlign w:val="bottom"/>
            <w:hideMark/>
          </w:tcPr>
          <w:p w14:paraId="588EAFAA" w14:textId="77777777" w:rsidR="00CB2096" w:rsidRDefault="00CB2096">
            <w:pPr>
              <w:jc w:val="right"/>
              <w:rPr>
                <w:color w:val="000000"/>
                <w:sz w:val="20"/>
                <w:szCs w:val="20"/>
              </w:rPr>
            </w:pPr>
            <w:r>
              <w:rPr>
                <w:color w:val="000000"/>
                <w:sz w:val="20"/>
                <w:szCs w:val="20"/>
              </w:rPr>
              <w:t>0.002</w:t>
            </w:r>
          </w:p>
        </w:tc>
      </w:tr>
      <w:tr w:rsidR="00CB2096" w14:paraId="0E1BB8C2" w14:textId="77777777" w:rsidTr="00CB2096">
        <w:trPr>
          <w:trHeight w:val="320"/>
        </w:trPr>
        <w:tc>
          <w:tcPr>
            <w:tcW w:w="1176" w:type="dxa"/>
            <w:tcBorders>
              <w:top w:val="nil"/>
              <w:left w:val="nil"/>
              <w:bottom w:val="nil"/>
              <w:right w:val="nil"/>
            </w:tcBorders>
            <w:shd w:val="clear" w:color="auto" w:fill="auto"/>
            <w:noWrap/>
            <w:vAlign w:val="bottom"/>
            <w:hideMark/>
          </w:tcPr>
          <w:p w14:paraId="18D8AA8A"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133FC8" w14:textId="77777777" w:rsidR="00CB2096" w:rsidRDefault="00CB209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C82B8B8" w14:textId="77777777" w:rsidR="00CB2096" w:rsidRDefault="00CB209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DF5353E" w14:textId="77777777" w:rsidR="00CB2096" w:rsidRDefault="00CB2096">
            <w:pPr>
              <w:jc w:val="right"/>
              <w:rPr>
                <w:color w:val="000000"/>
                <w:sz w:val="20"/>
                <w:szCs w:val="20"/>
              </w:rPr>
            </w:pPr>
            <w:r>
              <w:rPr>
                <w:color w:val="000000"/>
                <w:sz w:val="20"/>
                <w:szCs w:val="20"/>
              </w:rPr>
              <w:t>0.643</w:t>
            </w:r>
          </w:p>
        </w:tc>
        <w:tc>
          <w:tcPr>
            <w:tcW w:w="768" w:type="dxa"/>
            <w:tcBorders>
              <w:top w:val="nil"/>
              <w:left w:val="nil"/>
              <w:bottom w:val="nil"/>
              <w:right w:val="nil"/>
            </w:tcBorders>
            <w:shd w:val="clear" w:color="auto" w:fill="auto"/>
            <w:noWrap/>
            <w:vAlign w:val="bottom"/>
            <w:hideMark/>
          </w:tcPr>
          <w:p w14:paraId="430899E3"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0477CD" w14:textId="77777777" w:rsidR="00CB2096" w:rsidRDefault="00CB209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274C140" w14:textId="77777777" w:rsidR="00CB2096" w:rsidRDefault="00CB2096">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24267C8F"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3853849" w14:textId="77777777" w:rsidR="00CB2096" w:rsidRDefault="00CB209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8CD4D84" w14:textId="77777777" w:rsidR="00CB2096" w:rsidRDefault="00CB2096">
            <w:pPr>
              <w:jc w:val="right"/>
              <w:rPr>
                <w:color w:val="000000"/>
                <w:sz w:val="20"/>
                <w:szCs w:val="20"/>
              </w:rPr>
            </w:pPr>
            <w:r>
              <w:rPr>
                <w:color w:val="000000"/>
                <w:sz w:val="20"/>
                <w:szCs w:val="20"/>
              </w:rPr>
              <w:t>0.890</w:t>
            </w:r>
          </w:p>
        </w:tc>
        <w:tc>
          <w:tcPr>
            <w:tcW w:w="768" w:type="dxa"/>
            <w:tcBorders>
              <w:top w:val="nil"/>
              <w:left w:val="nil"/>
              <w:bottom w:val="nil"/>
              <w:right w:val="nil"/>
            </w:tcBorders>
            <w:shd w:val="clear" w:color="auto" w:fill="auto"/>
            <w:noWrap/>
            <w:vAlign w:val="bottom"/>
            <w:hideMark/>
          </w:tcPr>
          <w:p w14:paraId="5723AAAD"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579401" w14:textId="77777777" w:rsidR="00CB2096" w:rsidRDefault="00CB2096">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50D5A615" w14:textId="77777777" w:rsidR="00CB2096" w:rsidRDefault="00CB2096">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2F51448E"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BBFB5A7" w14:textId="77777777" w:rsidR="00CB2096" w:rsidRDefault="00CB2096">
            <w:pPr>
              <w:jc w:val="right"/>
              <w:rPr>
                <w:b/>
                <w:bCs/>
                <w:color w:val="000000"/>
                <w:sz w:val="20"/>
                <w:szCs w:val="20"/>
              </w:rPr>
            </w:pPr>
            <w:r>
              <w:rPr>
                <w:b/>
                <w:bCs/>
                <w:color w:val="000000"/>
                <w:sz w:val="20"/>
                <w:szCs w:val="20"/>
              </w:rPr>
              <w:t>-0.129</w:t>
            </w:r>
          </w:p>
        </w:tc>
        <w:tc>
          <w:tcPr>
            <w:tcW w:w="768" w:type="dxa"/>
            <w:tcBorders>
              <w:top w:val="nil"/>
              <w:left w:val="nil"/>
              <w:bottom w:val="nil"/>
              <w:right w:val="nil"/>
            </w:tcBorders>
            <w:shd w:val="clear" w:color="auto" w:fill="auto"/>
            <w:noWrap/>
            <w:vAlign w:val="bottom"/>
            <w:hideMark/>
          </w:tcPr>
          <w:p w14:paraId="64A8BF1A" w14:textId="77777777" w:rsidR="00CB2096" w:rsidRDefault="00CB2096">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38B836D1" w14:textId="77777777" w:rsidR="00CB2096" w:rsidRDefault="00CB2096">
            <w:pPr>
              <w:jc w:val="right"/>
              <w:rPr>
                <w:b/>
                <w:bCs/>
                <w:color w:val="000000"/>
                <w:sz w:val="20"/>
                <w:szCs w:val="20"/>
              </w:rPr>
            </w:pPr>
            <w:r>
              <w:rPr>
                <w:b/>
                <w:bCs/>
                <w:color w:val="000000"/>
                <w:sz w:val="20"/>
                <w:szCs w:val="20"/>
              </w:rPr>
              <w:t>0.017</w:t>
            </w:r>
          </w:p>
        </w:tc>
      </w:tr>
      <w:tr w:rsidR="00CB2096" w14:paraId="301CEC22" w14:textId="77777777" w:rsidTr="00CB2096">
        <w:trPr>
          <w:trHeight w:val="320"/>
        </w:trPr>
        <w:tc>
          <w:tcPr>
            <w:tcW w:w="1176" w:type="dxa"/>
            <w:tcBorders>
              <w:top w:val="nil"/>
              <w:left w:val="nil"/>
              <w:bottom w:val="nil"/>
              <w:right w:val="nil"/>
            </w:tcBorders>
            <w:shd w:val="clear" w:color="auto" w:fill="auto"/>
            <w:noWrap/>
            <w:vAlign w:val="bottom"/>
            <w:hideMark/>
          </w:tcPr>
          <w:p w14:paraId="588BB33B" w14:textId="77777777" w:rsidR="00CB2096" w:rsidRDefault="00CB2096">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0267C697" w14:textId="77777777" w:rsidR="00CB2096" w:rsidRDefault="00CB209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23A2E66" w14:textId="77777777" w:rsidR="00CB2096" w:rsidRDefault="00CB209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6D12EAF4" w14:textId="77777777" w:rsidR="00CB2096" w:rsidRDefault="00CB2096">
            <w:pPr>
              <w:jc w:val="right"/>
              <w:rPr>
                <w:color w:val="000000"/>
                <w:sz w:val="20"/>
                <w:szCs w:val="20"/>
              </w:rPr>
            </w:pPr>
            <w:r>
              <w:rPr>
                <w:color w:val="000000"/>
                <w:sz w:val="20"/>
                <w:szCs w:val="20"/>
              </w:rPr>
              <w:t>0.643</w:t>
            </w:r>
          </w:p>
        </w:tc>
        <w:tc>
          <w:tcPr>
            <w:tcW w:w="768" w:type="dxa"/>
            <w:tcBorders>
              <w:top w:val="nil"/>
              <w:left w:val="nil"/>
              <w:bottom w:val="nil"/>
              <w:right w:val="nil"/>
            </w:tcBorders>
            <w:shd w:val="clear" w:color="auto" w:fill="auto"/>
            <w:noWrap/>
            <w:vAlign w:val="bottom"/>
            <w:hideMark/>
          </w:tcPr>
          <w:p w14:paraId="09CC72B4"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35911C6" w14:textId="77777777" w:rsidR="00CB2096" w:rsidRDefault="00CB209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0B0B9D1E" w14:textId="77777777" w:rsidR="00CB2096" w:rsidRDefault="00CB2096">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5797469D"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17CD025"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4A16DA" w14:textId="77777777" w:rsidR="00CB2096" w:rsidRDefault="00CB2096">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115B62E5"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ED996B" w14:textId="77777777" w:rsidR="00CB2096" w:rsidRDefault="00CB209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2B23A0D9" w14:textId="77777777" w:rsidR="00CB2096" w:rsidRDefault="00CB2096">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10DE6BCB"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D9FEBF" w14:textId="77777777" w:rsidR="00CB2096" w:rsidRDefault="00CB209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90EC17A" w14:textId="77777777" w:rsidR="00CB2096" w:rsidRDefault="00CB2096">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362121DD" w14:textId="77777777" w:rsidR="00CB2096" w:rsidRDefault="00CB2096">
            <w:pPr>
              <w:jc w:val="right"/>
              <w:rPr>
                <w:color w:val="000000"/>
                <w:sz w:val="20"/>
                <w:szCs w:val="20"/>
              </w:rPr>
            </w:pPr>
            <w:r>
              <w:rPr>
                <w:color w:val="000000"/>
                <w:sz w:val="20"/>
                <w:szCs w:val="20"/>
              </w:rPr>
              <w:t>0.000</w:t>
            </w:r>
          </w:p>
        </w:tc>
      </w:tr>
      <w:tr w:rsidR="00CB2096" w14:paraId="1F882C6F" w14:textId="77777777" w:rsidTr="00CB2096">
        <w:trPr>
          <w:trHeight w:val="320"/>
        </w:trPr>
        <w:tc>
          <w:tcPr>
            <w:tcW w:w="1176" w:type="dxa"/>
            <w:tcBorders>
              <w:top w:val="nil"/>
              <w:left w:val="nil"/>
              <w:bottom w:val="nil"/>
              <w:right w:val="nil"/>
            </w:tcBorders>
            <w:shd w:val="clear" w:color="auto" w:fill="auto"/>
            <w:noWrap/>
            <w:vAlign w:val="bottom"/>
            <w:hideMark/>
          </w:tcPr>
          <w:p w14:paraId="609BADD0"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68001E" w14:textId="77777777" w:rsidR="00CB2096" w:rsidRDefault="00CB209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3D96CE4" w14:textId="77777777" w:rsidR="00CB2096" w:rsidRDefault="00CB2096">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2733598C" w14:textId="77777777" w:rsidR="00CB2096" w:rsidRDefault="00CB2096">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77FF06DB"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DB6E5D7" w14:textId="77777777" w:rsidR="00CB2096" w:rsidRDefault="00CB209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C9C1A55" w14:textId="77777777" w:rsidR="00CB2096" w:rsidRDefault="00CB2096">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4BAB15AE"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D6B9624" w14:textId="77777777" w:rsidR="00CB2096" w:rsidRDefault="00CB209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36BCC6E" w14:textId="77777777" w:rsidR="00CB2096" w:rsidRDefault="00CB2096">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798E5A6B"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52FBF7E" w14:textId="77777777" w:rsidR="00CB2096" w:rsidRDefault="00CB2096">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73D23217" w14:textId="77777777" w:rsidR="00CB2096" w:rsidRDefault="00CB2096">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1D89D15" w14:textId="77777777" w:rsidR="00CB2096" w:rsidRDefault="00CB209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4E0F0ADD" w14:textId="77777777" w:rsidR="00CB2096" w:rsidRDefault="00CB2096">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3220B121" w14:textId="77777777" w:rsidR="00CB2096" w:rsidRDefault="00CB2096">
            <w:pPr>
              <w:jc w:val="right"/>
              <w:rPr>
                <w:color w:val="000000"/>
                <w:sz w:val="20"/>
                <w:szCs w:val="20"/>
              </w:rPr>
            </w:pPr>
            <w:r>
              <w:rPr>
                <w:color w:val="000000"/>
                <w:sz w:val="20"/>
                <w:szCs w:val="20"/>
              </w:rPr>
              <w:t>0.291</w:t>
            </w:r>
          </w:p>
        </w:tc>
        <w:tc>
          <w:tcPr>
            <w:tcW w:w="768" w:type="dxa"/>
            <w:tcBorders>
              <w:top w:val="nil"/>
              <w:left w:val="nil"/>
              <w:bottom w:val="nil"/>
              <w:right w:val="nil"/>
            </w:tcBorders>
            <w:shd w:val="clear" w:color="auto" w:fill="auto"/>
            <w:noWrap/>
            <w:vAlign w:val="bottom"/>
            <w:hideMark/>
          </w:tcPr>
          <w:p w14:paraId="2B380798" w14:textId="77777777" w:rsidR="00CB2096" w:rsidRDefault="00CB2096">
            <w:pPr>
              <w:jc w:val="right"/>
              <w:rPr>
                <w:color w:val="000000"/>
                <w:sz w:val="20"/>
                <w:szCs w:val="20"/>
              </w:rPr>
            </w:pPr>
            <w:r>
              <w:rPr>
                <w:color w:val="000000"/>
                <w:sz w:val="20"/>
                <w:szCs w:val="20"/>
              </w:rPr>
              <w:t>0.005</w:t>
            </w:r>
          </w:p>
        </w:tc>
      </w:tr>
      <w:tr w:rsidR="00CB2096" w14:paraId="6568B817" w14:textId="77777777" w:rsidTr="00CB2096">
        <w:trPr>
          <w:trHeight w:val="320"/>
        </w:trPr>
        <w:tc>
          <w:tcPr>
            <w:tcW w:w="1176" w:type="dxa"/>
            <w:tcBorders>
              <w:top w:val="nil"/>
              <w:left w:val="nil"/>
              <w:bottom w:val="nil"/>
              <w:right w:val="nil"/>
            </w:tcBorders>
            <w:shd w:val="clear" w:color="auto" w:fill="auto"/>
            <w:noWrap/>
            <w:vAlign w:val="bottom"/>
            <w:hideMark/>
          </w:tcPr>
          <w:p w14:paraId="461D6C79"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1D7491A" w14:textId="77777777" w:rsidR="00CB2096" w:rsidRDefault="00CB209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B1C60E8" w14:textId="77777777" w:rsidR="00CB2096" w:rsidRDefault="00CB209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3ABE84DD" w14:textId="77777777" w:rsidR="00CB2096" w:rsidRDefault="00CB2096">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39FBF15F"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67903F" w14:textId="77777777" w:rsidR="00CB2096" w:rsidRDefault="00CB2096">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D158658" w14:textId="77777777" w:rsidR="00CB2096" w:rsidRDefault="00CB2096">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4DCFC66B"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6FBD8A7" w14:textId="77777777" w:rsidR="00CB2096" w:rsidRDefault="00CB209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6B35A14" w14:textId="77777777" w:rsidR="00CB2096" w:rsidRDefault="00CB2096">
            <w:pPr>
              <w:jc w:val="right"/>
              <w:rPr>
                <w:color w:val="000000"/>
                <w:sz w:val="20"/>
                <w:szCs w:val="20"/>
              </w:rPr>
            </w:pPr>
            <w:r>
              <w:rPr>
                <w:color w:val="000000"/>
                <w:sz w:val="20"/>
                <w:szCs w:val="20"/>
              </w:rPr>
              <w:t>0.890</w:t>
            </w:r>
          </w:p>
        </w:tc>
        <w:tc>
          <w:tcPr>
            <w:tcW w:w="768" w:type="dxa"/>
            <w:tcBorders>
              <w:top w:val="nil"/>
              <w:left w:val="nil"/>
              <w:bottom w:val="nil"/>
              <w:right w:val="nil"/>
            </w:tcBorders>
            <w:shd w:val="clear" w:color="auto" w:fill="auto"/>
            <w:noWrap/>
            <w:vAlign w:val="bottom"/>
            <w:hideMark/>
          </w:tcPr>
          <w:p w14:paraId="5993A22E"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C1B4BA" w14:textId="77777777" w:rsidR="00CB2096" w:rsidRDefault="00CB209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53EFA45" w14:textId="77777777" w:rsidR="00CB2096" w:rsidRDefault="00CB2096">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2C13F379"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702A99" w14:textId="77777777" w:rsidR="00CB2096" w:rsidRDefault="00CB2096">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2E1EE78E" w14:textId="77777777" w:rsidR="00CB2096" w:rsidRDefault="00CB2096">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72A6005C" w14:textId="77777777" w:rsidR="00CB2096" w:rsidRDefault="00CB2096">
            <w:pPr>
              <w:jc w:val="right"/>
              <w:rPr>
                <w:color w:val="000000"/>
                <w:sz w:val="20"/>
                <w:szCs w:val="20"/>
              </w:rPr>
            </w:pPr>
            <w:r>
              <w:rPr>
                <w:color w:val="000000"/>
                <w:sz w:val="20"/>
                <w:szCs w:val="20"/>
              </w:rPr>
              <w:t>0.007</w:t>
            </w:r>
          </w:p>
        </w:tc>
      </w:tr>
      <w:tr w:rsidR="00CB2096" w14:paraId="42E80145" w14:textId="77777777" w:rsidTr="00CB2096">
        <w:trPr>
          <w:trHeight w:val="320"/>
        </w:trPr>
        <w:tc>
          <w:tcPr>
            <w:tcW w:w="1176" w:type="dxa"/>
            <w:tcBorders>
              <w:top w:val="nil"/>
              <w:left w:val="nil"/>
              <w:bottom w:val="nil"/>
              <w:right w:val="nil"/>
            </w:tcBorders>
            <w:shd w:val="clear" w:color="auto" w:fill="auto"/>
            <w:noWrap/>
            <w:vAlign w:val="bottom"/>
            <w:hideMark/>
          </w:tcPr>
          <w:p w14:paraId="7D6B2F21"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3FC10F5" w14:textId="77777777" w:rsidR="00CB2096" w:rsidRDefault="00CB209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823462B" w14:textId="77777777" w:rsidR="00CB2096" w:rsidRDefault="00CB2096">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0C47BE2F" w14:textId="77777777" w:rsidR="00CB2096" w:rsidRDefault="00CB2096">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3757CD64"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E6F57A2" w14:textId="77777777" w:rsidR="00CB2096" w:rsidRDefault="00CB2096">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5081C7AE" w14:textId="77777777" w:rsidR="00CB2096" w:rsidRDefault="00CB2096">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1DD63248"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D53C65A" w14:textId="77777777" w:rsidR="00CB2096" w:rsidRDefault="00CB2096">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51ED4E80" w14:textId="77777777" w:rsidR="00CB2096" w:rsidRDefault="00CB2096">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17E95C3E" w14:textId="77777777" w:rsidR="00CB2096" w:rsidRDefault="00CB209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E8484E5"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CEB453E" w14:textId="77777777" w:rsidR="00CB2096" w:rsidRDefault="00CB2096">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18CC45B3"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9AA656" w14:textId="77777777" w:rsidR="00CB2096" w:rsidRDefault="00CB209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AEC27EE" w14:textId="77777777" w:rsidR="00CB2096" w:rsidRDefault="00CB2096">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70C4A482" w14:textId="77777777" w:rsidR="00CB2096" w:rsidRDefault="00CB2096">
            <w:pPr>
              <w:jc w:val="right"/>
              <w:rPr>
                <w:color w:val="000000"/>
                <w:sz w:val="20"/>
                <w:szCs w:val="20"/>
              </w:rPr>
            </w:pPr>
            <w:r>
              <w:rPr>
                <w:color w:val="000000"/>
                <w:sz w:val="20"/>
                <w:szCs w:val="20"/>
              </w:rPr>
              <w:t>0.000</w:t>
            </w:r>
          </w:p>
        </w:tc>
      </w:tr>
      <w:tr w:rsidR="00CB2096" w14:paraId="05B2FCA6" w14:textId="77777777" w:rsidTr="00CB2096">
        <w:trPr>
          <w:trHeight w:val="320"/>
        </w:trPr>
        <w:tc>
          <w:tcPr>
            <w:tcW w:w="1176" w:type="dxa"/>
            <w:tcBorders>
              <w:top w:val="nil"/>
              <w:left w:val="nil"/>
              <w:bottom w:val="nil"/>
              <w:right w:val="nil"/>
            </w:tcBorders>
            <w:shd w:val="clear" w:color="auto" w:fill="auto"/>
            <w:noWrap/>
            <w:vAlign w:val="bottom"/>
            <w:hideMark/>
          </w:tcPr>
          <w:p w14:paraId="59857939"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8872A5" w14:textId="77777777" w:rsidR="00CB2096" w:rsidRDefault="00CB209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DA31635" w14:textId="77777777" w:rsidR="00CB2096" w:rsidRDefault="00CB2096">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3497C93E" w14:textId="77777777" w:rsidR="00CB2096" w:rsidRDefault="00CB2096">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3E102F22"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DECFC81" w14:textId="77777777" w:rsidR="00CB2096" w:rsidRDefault="00CB2096">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579F8979" w14:textId="77777777" w:rsidR="00CB2096" w:rsidRDefault="00CB2096">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1E69D208" w14:textId="77777777" w:rsidR="00CB2096" w:rsidRDefault="00CB209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CAB4609" w14:textId="77777777" w:rsidR="00CB2096" w:rsidRDefault="00CB209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31AAABE6" w14:textId="77777777" w:rsidR="00CB2096" w:rsidRDefault="00CB2096">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7B916E38"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3E481E" w14:textId="77777777" w:rsidR="00CB2096" w:rsidRDefault="00CB209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1615E6C" w14:textId="77777777" w:rsidR="00CB2096" w:rsidRDefault="00CB2096">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5F701F90"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77B858" w14:textId="77777777" w:rsidR="00CB2096" w:rsidRDefault="00CB209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AE7EA6C" w14:textId="77777777" w:rsidR="00CB2096" w:rsidRDefault="00CB2096">
            <w:pPr>
              <w:jc w:val="right"/>
              <w:rPr>
                <w:color w:val="000000"/>
                <w:sz w:val="20"/>
                <w:szCs w:val="20"/>
              </w:rPr>
            </w:pPr>
            <w:r>
              <w:rPr>
                <w:color w:val="000000"/>
                <w:sz w:val="20"/>
                <w:szCs w:val="20"/>
              </w:rPr>
              <w:t>0.541</w:t>
            </w:r>
          </w:p>
        </w:tc>
        <w:tc>
          <w:tcPr>
            <w:tcW w:w="768" w:type="dxa"/>
            <w:tcBorders>
              <w:top w:val="nil"/>
              <w:left w:val="nil"/>
              <w:bottom w:val="nil"/>
              <w:right w:val="nil"/>
            </w:tcBorders>
            <w:shd w:val="clear" w:color="auto" w:fill="auto"/>
            <w:noWrap/>
            <w:vAlign w:val="bottom"/>
            <w:hideMark/>
          </w:tcPr>
          <w:p w14:paraId="5E192526" w14:textId="77777777" w:rsidR="00CB2096" w:rsidRDefault="00CB2096">
            <w:pPr>
              <w:jc w:val="right"/>
              <w:rPr>
                <w:color w:val="000000"/>
                <w:sz w:val="20"/>
                <w:szCs w:val="20"/>
              </w:rPr>
            </w:pPr>
            <w:r>
              <w:rPr>
                <w:color w:val="000000"/>
                <w:sz w:val="20"/>
                <w:szCs w:val="20"/>
              </w:rPr>
              <w:t>0.001</w:t>
            </w:r>
          </w:p>
        </w:tc>
      </w:tr>
      <w:tr w:rsidR="00CB2096" w14:paraId="6B521210" w14:textId="77777777" w:rsidTr="00CB2096">
        <w:trPr>
          <w:trHeight w:val="320"/>
        </w:trPr>
        <w:tc>
          <w:tcPr>
            <w:tcW w:w="1176" w:type="dxa"/>
            <w:tcBorders>
              <w:top w:val="nil"/>
              <w:left w:val="nil"/>
              <w:bottom w:val="single" w:sz="4" w:space="0" w:color="auto"/>
              <w:right w:val="nil"/>
            </w:tcBorders>
            <w:shd w:val="clear" w:color="auto" w:fill="auto"/>
            <w:noWrap/>
            <w:vAlign w:val="bottom"/>
            <w:hideMark/>
          </w:tcPr>
          <w:p w14:paraId="3E93179D" w14:textId="77777777" w:rsidR="00CB2096" w:rsidRDefault="00CB209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BFDBB6D" w14:textId="77777777" w:rsidR="00CB2096" w:rsidRDefault="00CB209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00C12D3" w14:textId="77777777" w:rsidR="00CB2096" w:rsidRDefault="00CB2096">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2A3AF468" w14:textId="77777777" w:rsidR="00CB2096" w:rsidRDefault="00CB2096">
            <w:pPr>
              <w:jc w:val="right"/>
              <w:rPr>
                <w:color w:val="000000"/>
                <w:sz w:val="20"/>
                <w:szCs w:val="20"/>
              </w:rPr>
            </w:pPr>
            <w:r>
              <w:rPr>
                <w:color w:val="000000"/>
                <w:sz w:val="20"/>
                <w:szCs w:val="20"/>
              </w:rPr>
              <w:t>0.629</w:t>
            </w:r>
          </w:p>
        </w:tc>
        <w:tc>
          <w:tcPr>
            <w:tcW w:w="768" w:type="dxa"/>
            <w:tcBorders>
              <w:top w:val="nil"/>
              <w:left w:val="nil"/>
              <w:bottom w:val="single" w:sz="4" w:space="0" w:color="auto"/>
              <w:right w:val="nil"/>
            </w:tcBorders>
            <w:shd w:val="clear" w:color="auto" w:fill="auto"/>
            <w:noWrap/>
            <w:vAlign w:val="bottom"/>
            <w:hideMark/>
          </w:tcPr>
          <w:p w14:paraId="32BF05C2"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54CC45B" w14:textId="77777777" w:rsidR="00CB2096" w:rsidRDefault="00CB2096">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4D15D1F1" w14:textId="77777777" w:rsidR="00CB2096" w:rsidRDefault="00CB2096">
            <w:pPr>
              <w:jc w:val="right"/>
              <w:rPr>
                <w:color w:val="000000"/>
                <w:sz w:val="20"/>
                <w:szCs w:val="20"/>
              </w:rPr>
            </w:pPr>
            <w:r>
              <w:rPr>
                <w:color w:val="000000"/>
                <w:sz w:val="20"/>
                <w:szCs w:val="20"/>
              </w:rPr>
              <w:t>0.872</w:t>
            </w:r>
          </w:p>
        </w:tc>
        <w:tc>
          <w:tcPr>
            <w:tcW w:w="768" w:type="dxa"/>
            <w:tcBorders>
              <w:top w:val="nil"/>
              <w:left w:val="nil"/>
              <w:bottom w:val="single" w:sz="4" w:space="0" w:color="auto"/>
              <w:right w:val="nil"/>
            </w:tcBorders>
            <w:shd w:val="clear" w:color="auto" w:fill="auto"/>
            <w:noWrap/>
            <w:vAlign w:val="bottom"/>
            <w:hideMark/>
          </w:tcPr>
          <w:p w14:paraId="5923E031"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05CA93E" w14:textId="77777777" w:rsidR="00CB2096" w:rsidRDefault="00CB2096">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0DD58984" w14:textId="77777777" w:rsidR="00CB2096" w:rsidRDefault="00CB2096">
            <w:pPr>
              <w:jc w:val="right"/>
              <w:rPr>
                <w:color w:val="000000"/>
                <w:sz w:val="20"/>
                <w:szCs w:val="20"/>
              </w:rPr>
            </w:pPr>
            <w:r>
              <w:rPr>
                <w:color w:val="000000"/>
                <w:sz w:val="20"/>
                <w:szCs w:val="20"/>
              </w:rPr>
              <w:t>0.890</w:t>
            </w:r>
          </w:p>
        </w:tc>
        <w:tc>
          <w:tcPr>
            <w:tcW w:w="768" w:type="dxa"/>
            <w:tcBorders>
              <w:top w:val="nil"/>
              <w:left w:val="nil"/>
              <w:bottom w:val="single" w:sz="4" w:space="0" w:color="auto"/>
              <w:right w:val="nil"/>
            </w:tcBorders>
            <w:shd w:val="clear" w:color="auto" w:fill="auto"/>
            <w:noWrap/>
            <w:vAlign w:val="bottom"/>
            <w:hideMark/>
          </w:tcPr>
          <w:p w14:paraId="54094633"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2D6E3AE" w14:textId="77777777" w:rsidR="00CB2096" w:rsidRDefault="00CB2096">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08E932D3" w14:textId="77777777" w:rsidR="00CB2096" w:rsidRDefault="00CB2096">
            <w:pPr>
              <w:jc w:val="right"/>
              <w:rPr>
                <w:color w:val="000000"/>
                <w:sz w:val="20"/>
                <w:szCs w:val="20"/>
              </w:rPr>
            </w:pPr>
            <w:r>
              <w:rPr>
                <w:color w:val="000000"/>
                <w:sz w:val="20"/>
                <w:szCs w:val="20"/>
              </w:rPr>
              <w:t>0.760</w:t>
            </w:r>
          </w:p>
        </w:tc>
        <w:tc>
          <w:tcPr>
            <w:tcW w:w="768" w:type="dxa"/>
            <w:tcBorders>
              <w:top w:val="nil"/>
              <w:left w:val="nil"/>
              <w:bottom w:val="single" w:sz="4" w:space="0" w:color="auto"/>
              <w:right w:val="nil"/>
            </w:tcBorders>
            <w:shd w:val="clear" w:color="auto" w:fill="auto"/>
            <w:noWrap/>
            <w:vAlign w:val="bottom"/>
            <w:hideMark/>
          </w:tcPr>
          <w:p w14:paraId="754F8D5C"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7EF08EA" w14:textId="77777777" w:rsidR="00CB2096" w:rsidRDefault="00CB2096">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78359EFE" w14:textId="77777777" w:rsidR="00CB2096" w:rsidRDefault="00CB2096">
            <w:pPr>
              <w:jc w:val="right"/>
              <w:rPr>
                <w:color w:val="000000"/>
                <w:sz w:val="20"/>
                <w:szCs w:val="20"/>
              </w:rPr>
            </w:pPr>
            <w:r>
              <w:rPr>
                <w:color w:val="000000"/>
                <w:sz w:val="20"/>
                <w:szCs w:val="20"/>
              </w:rPr>
              <w:t>0.664</w:t>
            </w:r>
          </w:p>
        </w:tc>
        <w:tc>
          <w:tcPr>
            <w:tcW w:w="768" w:type="dxa"/>
            <w:tcBorders>
              <w:top w:val="nil"/>
              <w:left w:val="nil"/>
              <w:bottom w:val="single" w:sz="4" w:space="0" w:color="auto"/>
              <w:right w:val="nil"/>
            </w:tcBorders>
            <w:shd w:val="clear" w:color="auto" w:fill="auto"/>
            <w:noWrap/>
            <w:vAlign w:val="bottom"/>
            <w:hideMark/>
          </w:tcPr>
          <w:p w14:paraId="3C2179FF" w14:textId="77777777" w:rsidR="00CB2096" w:rsidRDefault="00CB2096">
            <w:pPr>
              <w:jc w:val="right"/>
              <w:rPr>
                <w:color w:val="000000"/>
                <w:sz w:val="20"/>
                <w:szCs w:val="20"/>
              </w:rPr>
            </w:pPr>
            <w:r>
              <w:rPr>
                <w:color w:val="000000"/>
                <w:sz w:val="20"/>
                <w:szCs w:val="20"/>
              </w:rPr>
              <w:t>0.001</w:t>
            </w:r>
          </w:p>
        </w:tc>
      </w:tr>
      <w:tr w:rsidR="00CB2096" w14:paraId="5015AB3D" w14:textId="77777777" w:rsidTr="00CB2096">
        <w:trPr>
          <w:trHeight w:val="320"/>
        </w:trPr>
        <w:tc>
          <w:tcPr>
            <w:tcW w:w="1176" w:type="dxa"/>
            <w:tcBorders>
              <w:top w:val="nil"/>
              <w:left w:val="nil"/>
              <w:bottom w:val="nil"/>
              <w:right w:val="nil"/>
            </w:tcBorders>
            <w:shd w:val="clear" w:color="auto" w:fill="auto"/>
            <w:noWrap/>
            <w:vAlign w:val="bottom"/>
            <w:hideMark/>
          </w:tcPr>
          <w:p w14:paraId="468BD544" w14:textId="77777777" w:rsidR="00CB2096" w:rsidRDefault="00CB2096">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7D816971" w14:textId="77777777" w:rsidR="00CB2096" w:rsidRDefault="00CB209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8B708C9" w14:textId="77777777" w:rsidR="00CB2096" w:rsidRDefault="00CB2096">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50D90739" w14:textId="77777777" w:rsidR="00CB2096" w:rsidRDefault="00CB2096">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30F6E761" w14:textId="77777777" w:rsidR="00CB2096" w:rsidRDefault="00CB20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B174DA2" w14:textId="77777777" w:rsidR="00CB2096" w:rsidRDefault="00CB209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809E7B7" w14:textId="77777777" w:rsidR="00CB2096" w:rsidRDefault="00CB2096">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4F0B233B"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5380C5" w14:textId="77777777" w:rsidR="00CB2096" w:rsidRDefault="00CB209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3800CD1" w14:textId="77777777" w:rsidR="00CB2096" w:rsidRDefault="00CB2096">
            <w:pPr>
              <w:jc w:val="right"/>
              <w:rPr>
                <w:color w:val="000000"/>
                <w:sz w:val="20"/>
                <w:szCs w:val="20"/>
              </w:rPr>
            </w:pPr>
            <w:r>
              <w:rPr>
                <w:color w:val="000000"/>
                <w:sz w:val="20"/>
                <w:szCs w:val="20"/>
              </w:rPr>
              <w:t>0.849</w:t>
            </w:r>
          </w:p>
        </w:tc>
        <w:tc>
          <w:tcPr>
            <w:tcW w:w="768" w:type="dxa"/>
            <w:tcBorders>
              <w:top w:val="nil"/>
              <w:left w:val="nil"/>
              <w:bottom w:val="nil"/>
              <w:right w:val="nil"/>
            </w:tcBorders>
            <w:shd w:val="clear" w:color="auto" w:fill="auto"/>
            <w:noWrap/>
            <w:vAlign w:val="bottom"/>
            <w:hideMark/>
          </w:tcPr>
          <w:p w14:paraId="32785C28"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744724" w14:textId="77777777" w:rsidR="00CB2096" w:rsidRDefault="00CB209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DDA1D66" w14:textId="77777777" w:rsidR="00CB2096" w:rsidRDefault="00CB2096">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13A6AC6C"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C3160F4" w14:textId="77777777" w:rsidR="00CB2096" w:rsidRDefault="00CB209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D6179EA" w14:textId="77777777" w:rsidR="00CB2096" w:rsidRDefault="00CB2096">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6F8EB07D" w14:textId="77777777" w:rsidR="00CB2096" w:rsidRDefault="00CB2096">
            <w:pPr>
              <w:jc w:val="right"/>
              <w:rPr>
                <w:color w:val="000000"/>
                <w:sz w:val="20"/>
                <w:szCs w:val="20"/>
              </w:rPr>
            </w:pPr>
            <w:r>
              <w:rPr>
                <w:color w:val="000000"/>
                <w:sz w:val="20"/>
                <w:szCs w:val="20"/>
              </w:rPr>
              <w:t>0.000</w:t>
            </w:r>
          </w:p>
        </w:tc>
      </w:tr>
      <w:tr w:rsidR="00CB2096" w14:paraId="2DFC5091" w14:textId="77777777" w:rsidTr="00CB2096">
        <w:trPr>
          <w:trHeight w:val="320"/>
        </w:trPr>
        <w:tc>
          <w:tcPr>
            <w:tcW w:w="1176" w:type="dxa"/>
            <w:tcBorders>
              <w:top w:val="nil"/>
              <w:left w:val="nil"/>
              <w:bottom w:val="nil"/>
              <w:right w:val="nil"/>
            </w:tcBorders>
            <w:shd w:val="clear" w:color="auto" w:fill="auto"/>
            <w:noWrap/>
            <w:vAlign w:val="bottom"/>
            <w:hideMark/>
          </w:tcPr>
          <w:p w14:paraId="6A571880"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53E26F" w14:textId="77777777" w:rsidR="00CB2096" w:rsidRDefault="00CB209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F22806E" w14:textId="77777777" w:rsidR="00CB2096" w:rsidRDefault="00CB209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9A60070" w14:textId="77777777" w:rsidR="00CB2096" w:rsidRDefault="00CB2096">
            <w:pPr>
              <w:jc w:val="right"/>
              <w:rPr>
                <w:color w:val="000000"/>
                <w:sz w:val="20"/>
                <w:szCs w:val="20"/>
              </w:rPr>
            </w:pPr>
            <w:r>
              <w:rPr>
                <w:color w:val="000000"/>
                <w:sz w:val="20"/>
                <w:szCs w:val="20"/>
              </w:rPr>
              <w:t>0.794</w:t>
            </w:r>
          </w:p>
        </w:tc>
        <w:tc>
          <w:tcPr>
            <w:tcW w:w="768" w:type="dxa"/>
            <w:tcBorders>
              <w:top w:val="nil"/>
              <w:left w:val="nil"/>
              <w:bottom w:val="nil"/>
              <w:right w:val="nil"/>
            </w:tcBorders>
            <w:shd w:val="clear" w:color="auto" w:fill="auto"/>
            <w:noWrap/>
            <w:vAlign w:val="bottom"/>
            <w:hideMark/>
          </w:tcPr>
          <w:p w14:paraId="106B8190"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561F9F" w14:textId="77777777" w:rsidR="00CB2096" w:rsidRDefault="00CB20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E07D3FB" w14:textId="77777777" w:rsidR="00CB2096" w:rsidRDefault="00CB2096">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5D5C0705"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86258E" w14:textId="77777777" w:rsidR="00CB2096" w:rsidRDefault="00CB209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B5B9126" w14:textId="77777777" w:rsidR="00CB2096" w:rsidRDefault="00CB2096">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32DC5378"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7AF564" w14:textId="77777777" w:rsidR="00CB2096" w:rsidRDefault="00CB2096">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0D24CC28" w14:textId="77777777" w:rsidR="00CB2096" w:rsidRDefault="00CB2096">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57B8D14D"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426EB5" w14:textId="77777777" w:rsidR="00CB2096" w:rsidRDefault="00CB2096">
            <w:pPr>
              <w:jc w:val="right"/>
              <w:rPr>
                <w:b/>
                <w:bCs/>
                <w:color w:val="000000"/>
                <w:sz w:val="20"/>
                <w:szCs w:val="20"/>
              </w:rPr>
            </w:pPr>
            <w:r>
              <w:rPr>
                <w:b/>
                <w:bCs/>
                <w:color w:val="000000"/>
                <w:sz w:val="20"/>
                <w:szCs w:val="20"/>
              </w:rPr>
              <w:t>-0.124</w:t>
            </w:r>
          </w:p>
        </w:tc>
        <w:tc>
          <w:tcPr>
            <w:tcW w:w="768" w:type="dxa"/>
            <w:tcBorders>
              <w:top w:val="nil"/>
              <w:left w:val="nil"/>
              <w:bottom w:val="nil"/>
              <w:right w:val="nil"/>
            </w:tcBorders>
            <w:shd w:val="clear" w:color="auto" w:fill="auto"/>
            <w:noWrap/>
            <w:vAlign w:val="bottom"/>
            <w:hideMark/>
          </w:tcPr>
          <w:p w14:paraId="579DF9A2" w14:textId="77777777" w:rsidR="00CB2096" w:rsidRDefault="00CB2096">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27E9A8F" w14:textId="77777777" w:rsidR="00CB2096" w:rsidRDefault="00CB2096">
            <w:pPr>
              <w:jc w:val="right"/>
              <w:rPr>
                <w:b/>
                <w:bCs/>
                <w:color w:val="000000"/>
                <w:sz w:val="20"/>
                <w:szCs w:val="20"/>
              </w:rPr>
            </w:pPr>
            <w:r>
              <w:rPr>
                <w:b/>
                <w:bCs/>
                <w:color w:val="000000"/>
                <w:sz w:val="20"/>
                <w:szCs w:val="20"/>
              </w:rPr>
              <w:t>0.015</w:t>
            </w:r>
          </w:p>
        </w:tc>
      </w:tr>
      <w:tr w:rsidR="00CB2096" w14:paraId="3D19F0A8" w14:textId="77777777" w:rsidTr="00CB2096">
        <w:trPr>
          <w:trHeight w:val="320"/>
        </w:trPr>
        <w:tc>
          <w:tcPr>
            <w:tcW w:w="1176" w:type="dxa"/>
            <w:tcBorders>
              <w:top w:val="nil"/>
              <w:left w:val="nil"/>
              <w:bottom w:val="nil"/>
              <w:right w:val="nil"/>
            </w:tcBorders>
            <w:shd w:val="clear" w:color="auto" w:fill="auto"/>
            <w:noWrap/>
            <w:vAlign w:val="bottom"/>
            <w:hideMark/>
          </w:tcPr>
          <w:p w14:paraId="43ABA4BD" w14:textId="77777777" w:rsidR="00CB2096" w:rsidRDefault="00CB2096">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2ADBCD3D" w14:textId="77777777" w:rsidR="00CB2096" w:rsidRDefault="00CB209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D5D6A30" w14:textId="77777777" w:rsidR="00CB2096" w:rsidRDefault="00CB209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3BF82CA" w14:textId="77777777" w:rsidR="00CB2096" w:rsidRDefault="00CB2096">
            <w:pPr>
              <w:jc w:val="right"/>
              <w:rPr>
                <w:color w:val="000000"/>
                <w:sz w:val="20"/>
                <w:szCs w:val="20"/>
              </w:rPr>
            </w:pPr>
            <w:r>
              <w:rPr>
                <w:color w:val="000000"/>
                <w:sz w:val="20"/>
                <w:szCs w:val="20"/>
              </w:rPr>
              <w:t>0.794</w:t>
            </w:r>
          </w:p>
        </w:tc>
        <w:tc>
          <w:tcPr>
            <w:tcW w:w="768" w:type="dxa"/>
            <w:tcBorders>
              <w:top w:val="nil"/>
              <w:left w:val="nil"/>
              <w:bottom w:val="nil"/>
              <w:right w:val="nil"/>
            </w:tcBorders>
            <w:shd w:val="clear" w:color="auto" w:fill="auto"/>
            <w:noWrap/>
            <w:vAlign w:val="bottom"/>
            <w:hideMark/>
          </w:tcPr>
          <w:p w14:paraId="35094092"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FEFBED" w14:textId="77777777" w:rsidR="00CB2096" w:rsidRDefault="00CB2096">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57139999" w14:textId="77777777" w:rsidR="00CB2096" w:rsidRDefault="00CB2096">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25F86F01" w14:textId="77777777" w:rsidR="00CB2096" w:rsidRDefault="00CB20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6C74CD5" w14:textId="77777777" w:rsidR="00CB2096" w:rsidRDefault="00CB2096">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66DB6E8E" w14:textId="77777777" w:rsidR="00CB2096" w:rsidRDefault="00CB2096">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0B2D1C00"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97DA61" w14:textId="77777777" w:rsidR="00CB2096" w:rsidRDefault="00CB209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8A1A5C9" w14:textId="77777777" w:rsidR="00CB2096" w:rsidRDefault="00CB2096">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7C61F518"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5049B32" w14:textId="77777777" w:rsidR="00CB2096" w:rsidRDefault="00CB209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CC2A236" w14:textId="77777777" w:rsidR="00CB2096" w:rsidRDefault="00CB2096">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41D5AB50" w14:textId="77777777" w:rsidR="00CB2096" w:rsidRDefault="00CB2096">
            <w:pPr>
              <w:jc w:val="right"/>
              <w:rPr>
                <w:color w:val="000000"/>
                <w:sz w:val="20"/>
                <w:szCs w:val="20"/>
              </w:rPr>
            </w:pPr>
            <w:r>
              <w:rPr>
                <w:color w:val="000000"/>
                <w:sz w:val="20"/>
                <w:szCs w:val="20"/>
              </w:rPr>
              <w:t>0.000</w:t>
            </w:r>
          </w:p>
        </w:tc>
      </w:tr>
      <w:tr w:rsidR="00CB2096" w14:paraId="4BB25A2A" w14:textId="77777777" w:rsidTr="00CB2096">
        <w:trPr>
          <w:trHeight w:val="320"/>
        </w:trPr>
        <w:tc>
          <w:tcPr>
            <w:tcW w:w="1176" w:type="dxa"/>
            <w:tcBorders>
              <w:top w:val="nil"/>
              <w:left w:val="nil"/>
              <w:bottom w:val="nil"/>
              <w:right w:val="nil"/>
            </w:tcBorders>
            <w:shd w:val="clear" w:color="auto" w:fill="auto"/>
            <w:noWrap/>
            <w:vAlign w:val="bottom"/>
            <w:hideMark/>
          </w:tcPr>
          <w:p w14:paraId="273239A5"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CDA35E6" w14:textId="77777777" w:rsidR="00CB2096" w:rsidRDefault="00CB209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A5292EA" w14:textId="77777777" w:rsidR="00CB2096" w:rsidRDefault="00CB209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CDB1D74" w14:textId="77777777" w:rsidR="00CB2096" w:rsidRDefault="00CB2096">
            <w:pPr>
              <w:jc w:val="right"/>
              <w:rPr>
                <w:color w:val="000000"/>
                <w:sz w:val="20"/>
                <w:szCs w:val="20"/>
              </w:rPr>
            </w:pPr>
            <w:r>
              <w:rPr>
                <w:color w:val="000000"/>
                <w:sz w:val="20"/>
                <w:szCs w:val="20"/>
              </w:rPr>
              <w:t>0.820</w:t>
            </w:r>
          </w:p>
        </w:tc>
        <w:tc>
          <w:tcPr>
            <w:tcW w:w="768" w:type="dxa"/>
            <w:tcBorders>
              <w:top w:val="nil"/>
              <w:left w:val="nil"/>
              <w:bottom w:val="nil"/>
              <w:right w:val="nil"/>
            </w:tcBorders>
            <w:shd w:val="clear" w:color="auto" w:fill="auto"/>
            <w:noWrap/>
            <w:vAlign w:val="bottom"/>
            <w:hideMark/>
          </w:tcPr>
          <w:p w14:paraId="7D05F468"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7E30FD" w14:textId="77777777" w:rsidR="00CB2096" w:rsidRDefault="00CB20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C2A59D0" w14:textId="77777777" w:rsidR="00CB2096" w:rsidRDefault="00CB2096">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0FC45CBA"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260F14" w14:textId="77777777" w:rsidR="00CB2096" w:rsidRDefault="00CB209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7E1D655A" w14:textId="77777777" w:rsidR="00CB2096" w:rsidRDefault="00CB2096">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48C62DE6"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5DBA24C" w14:textId="77777777" w:rsidR="00CB2096" w:rsidRDefault="00CB2096">
            <w:pPr>
              <w:jc w:val="right"/>
              <w:rPr>
                <w:color w:val="000000"/>
                <w:sz w:val="20"/>
                <w:szCs w:val="20"/>
              </w:rPr>
            </w:pPr>
            <w:r>
              <w:rPr>
                <w:color w:val="000000"/>
                <w:sz w:val="20"/>
                <w:szCs w:val="20"/>
              </w:rPr>
              <w:t>-0.089</w:t>
            </w:r>
          </w:p>
        </w:tc>
        <w:tc>
          <w:tcPr>
            <w:tcW w:w="768" w:type="dxa"/>
            <w:tcBorders>
              <w:top w:val="nil"/>
              <w:left w:val="nil"/>
              <w:bottom w:val="nil"/>
              <w:right w:val="nil"/>
            </w:tcBorders>
            <w:shd w:val="clear" w:color="auto" w:fill="auto"/>
            <w:noWrap/>
            <w:vAlign w:val="bottom"/>
            <w:hideMark/>
          </w:tcPr>
          <w:p w14:paraId="05EE4456" w14:textId="77777777" w:rsidR="00CB2096" w:rsidRDefault="00CB2096">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20C03B23" w14:textId="77777777" w:rsidR="00CB2096" w:rsidRDefault="00CB20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9A9616B" w14:textId="77777777" w:rsidR="00CB2096" w:rsidRDefault="00CB2096">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420B0616" w14:textId="77777777" w:rsidR="00CB2096" w:rsidRDefault="00CB2096">
            <w:pPr>
              <w:jc w:val="right"/>
              <w:rPr>
                <w:color w:val="000000"/>
                <w:sz w:val="20"/>
                <w:szCs w:val="20"/>
              </w:rPr>
            </w:pPr>
            <w:r>
              <w:rPr>
                <w:color w:val="000000"/>
                <w:sz w:val="20"/>
                <w:szCs w:val="20"/>
              </w:rPr>
              <w:t>0.314</w:t>
            </w:r>
          </w:p>
        </w:tc>
        <w:tc>
          <w:tcPr>
            <w:tcW w:w="768" w:type="dxa"/>
            <w:tcBorders>
              <w:top w:val="nil"/>
              <w:left w:val="nil"/>
              <w:bottom w:val="nil"/>
              <w:right w:val="nil"/>
            </w:tcBorders>
            <w:shd w:val="clear" w:color="auto" w:fill="auto"/>
            <w:noWrap/>
            <w:vAlign w:val="bottom"/>
            <w:hideMark/>
          </w:tcPr>
          <w:p w14:paraId="3BF54705" w14:textId="77777777" w:rsidR="00CB2096" w:rsidRDefault="00CB2096">
            <w:pPr>
              <w:jc w:val="right"/>
              <w:rPr>
                <w:color w:val="000000"/>
                <w:sz w:val="20"/>
                <w:szCs w:val="20"/>
              </w:rPr>
            </w:pPr>
            <w:r>
              <w:rPr>
                <w:color w:val="000000"/>
                <w:sz w:val="20"/>
                <w:szCs w:val="20"/>
              </w:rPr>
              <w:t>0.003</w:t>
            </w:r>
          </w:p>
        </w:tc>
      </w:tr>
      <w:tr w:rsidR="00CB2096" w14:paraId="7AEA17F2" w14:textId="77777777" w:rsidTr="00CB2096">
        <w:trPr>
          <w:trHeight w:val="320"/>
        </w:trPr>
        <w:tc>
          <w:tcPr>
            <w:tcW w:w="1176" w:type="dxa"/>
            <w:tcBorders>
              <w:top w:val="nil"/>
              <w:left w:val="nil"/>
              <w:bottom w:val="nil"/>
              <w:right w:val="nil"/>
            </w:tcBorders>
            <w:shd w:val="clear" w:color="auto" w:fill="auto"/>
            <w:noWrap/>
            <w:vAlign w:val="bottom"/>
            <w:hideMark/>
          </w:tcPr>
          <w:p w14:paraId="1439E4D0"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0BB417" w14:textId="77777777" w:rsidR="00CB2096" w:rsidRDefault="00CB209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808967F" w14:textId="77777777" w:rsidR="00CB2096" w:rsidRDefault="00CB209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C824C32" w14:textId="77777777" w:rsidR="00CB2096" w:rsidRDefault="00CB2096">
            <w:pPr>
              <w:jc w:val="right"/>
              <w:rPr>
                <w:color w:val="000000"/>
                <w:sz w:val="20"/>
                <w:szCs w:val="20"/>
              </w:rPr>
            </w:pPr>
            <w:r>
              <w:rPr>
                <w:color w:val="000000"/>
                <w:sz w:val="20"/>
                <w:szCs w:val="20"/>
              </w:rPr>
              <w:t>0.794</w:t>
            </w:r>
          </w:p>
        </w:tc>
        <w:tc>
          <w:tcPr>
            <w:tcW w:w="768" w:type="dxa"/>
            <w:tcBorders>
              <w:top w:val="nil"/>
              <w:left w:val="nil"/>
              <w:bottom w:val="nil"/>
              <w:right w:val="nil"/>
            </w:tcBorders>
            <w:shd w:val="clear" w:color="auto" w:fill="auto"/>
            <w:noWrap/>
            <w:vAlign w:val="bottom"/>
            <w:hideMark/>
          </w:tcPr>
          <w:p w14:paraId="6DB1EDA2"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F64707" w14:textId="77777777" w:rsidR="00CB2096" w:rsidRDefault="00CB209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C0FB607" w14:textId="77777777" w:rsidR="00CB2096" w:rsidRDefault="00CB2096">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11C70642"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47D20B" w14:textId="77777777" w:rsidR="00CB2096" w:rsidRDefault="00CB209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2D51AF16" w14:textId="77777777" w:rsidR="00CB2096" w:rsidRDefault="00CB2096">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31B6B696"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8758EE" w14:textId="77777777" w:rsidR="00CB2096" w:rsidRDefault="00CB2096">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86B8464" w14:textId="77777777" w:rsidR="00CB2096" w:rsidRDefault="00CB2096">
            <w:pPr>
              <w:jc w:val="right"/>
              <w:rPr>
                <w:color w:val="000000"/>
                <w:sz w:val="20"/>
                <w:szCs w:val="20"/>
              </w:rPr>
            </w:pPr>
            <w:r>
              <w:rPr>
                <w:color w:val="000000"/>
                <w:sz w:val="20"/>
                <w:szCs w:val="20"/>
              </w:rPr>
              <w:t>0.816</w:t>
            </w:r>
          </w:p>
        </w:tc>
        <w:tc>
          <w:tcPr>
            <w:tcW w:w="768" w:type="dxa"/>
            <w:tcBorders>
              <w:top w:val="nil"/>
              <w:left w:val="nil"/>
              <w:bottom w:val="nil"/>
              <w:right w:val="nil"/>
            </w:tcBorders>
            <w:shd w:val="clear" w:color="auto" w:fill="auto"/>
            <w:noWrap/>
            <w:vAlign w:val="bottom"/>
            <w:hideMark/>
          </w:tcPr>
          <w:p w14:paraId="7FC2D9AC"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25AA85" w14:textId="77777777" w:rsidR="00CB2096" w:rsidRDefault="00CB2096">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4D0BA714" w14:textId="77777777" w:rsidR="00CB2096" w:rsidRDefault="00CB2096">
            <w:pPr>
              <w:jc w:val="right"/>
              <w:rPr>
                <w:color w:val="000000"/>
                <w:sz w:val="20"/>
                <w:szCs w:val="20"/>
              </w:rPr>
            </w:pPr>
            <w:r>
              <w:rPr>
                <w:color w:val="000000"/>
                <w:sz w:val="20"/>
                <w:szCs w:val="20"/>
              </w:rPr>
              <w:t>0.314</w:t>
            </w:r>
          </w:p>
        </w:tc>
        <w:tc>
          <w:tcPr>
            <w:tcW w:w="768" w:type="dxa"/>
            <w:tcBorders>
              <w:top w:val="nil"/>
              <w:left w:val="nil"/>
              <w:bottom w:val="nil"/>
              <w:right w:val="nil"/>
            </w:tcBorders>
            <w:shd w:val="clear" w:color="auto" w:fill="auto"/>
            <w:noWrap/>
            <w:vAlign w:val="bottom"/>
            <w:hideMark/>
          </w:tcPr>
          <w:p w14:paraId="5315805B" w14:textId="77777777" w:rsidR="00CB2096" w:rsidRDefault="00CB2096">
            <w:pPr>
              <w:jc w:val="right"/>
              <w:rPr>
                <w:color w:val="000000"/>
                <w:sz w:val="20"/>
                <w:szCs w:val="20"/>
              </w:rPr>
            </w:pPr>
            <w:r>
              <w:rPr>
                <w:color w:val="000000"/>
                <w:sz w:val="20"/>
                <w:szCs w:val="20"/>
              </w:rPr>
              <w:t>0.002</w:t>
            </w:r>
          </w:p>
        </w:tc>
      </w:tr>
      <w:tr w:rsidR="00CB2096" w14:paraId="23A29BE3" w14:textId="77777777" w:rsidTr="00CB2096">
        <w:trPr>
          <w:trHeight w:val="320"/>
        </w:trPr>
        <w:tc>
          <w:tcPr>
            <w:tcW w:w="1176" w:type="dxa"/>
            <w:tcBorders>
              <w:top w:val="nil"/>
              <w:left w:val="nil"/>
              <w:bottom w:val="nil"/>
              <w:right w:val="nil"/>
            </w:tcBorders>
            <w:shd w:val="clear" w:color="auto" w:fill="auto"/>
            <w:noWrap/>
            <w:vAlign w:val="bottom"/>
            <w:hideMark/>
          </w:tcPr>
          <w:p w14:paraId="01A5868B"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273E10" w14:textId="77777777" w:rsidR="00CB2096" w:rsidRDefault="00CB209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6A84D529" w14:textId="77777777" w:rsidR="00CB2096" w:rsidRPr="00075A5C" w:rsidRDefault="00CB2096">
            <w:pPr>
              <w:jc w:val="right"/>
              <w:rPr>
                <w:color w:val="000000"/>
                <w:sz w:val="20"/>
                <w:szCs w:val="20"/>
              </w:rPr>
            </w:pPr>
            <w:r w:rsidRPr="00075A5C">
              <w:rPr>
                <w:color w:val="000000"/>
                <w:sz w:val="20"/>
                <w:szCs w:val="20"/>
              </w:rPr>
              <w:t>-0.072</w:t>
            </w:r>
          </w:p>
        </w:tc>
        <w:tc>
          <w:tcPr>
            <w:tcW w:w="768" w:type="dxa"/>
            <w:tcBorders>
              <w:top w:val="nil"/>
              <w:left w:val="nil"/>
              <w:bottom w:val="nil"/>
              <w:right w:val="nil"/>
            </w:tcBorders>
            <w:shd w:val="clear" w:color="auto" w:fill="auto"/>
            <w:noWrap/>
            <w:vAlign w:val="bottom"/>
            <w:hideMark/>
          </w:tcPr>
          <w:p w14:paraId="04F27A0A" w14:textId="77777777" w:rsidR="00CB2096" w:rsidRPr="00075A5C" w:rsidRDefault="00CB2096">
            <w:pPr>
              <w:jc w:val="right"/>
              <w:rPr>
                <w:color w:val="000000"/>
                <w:sz w:val="20"/>
                <w:szCs w:val="20"/>
              </w:rPr>
            </w:pPr>
            <w:r w:rsidRPr="00075A5C">
              <w:rPr>
                <w:color w:val="000000"/>
                <w:sz w:val="20"/>
                <w:szCs w:val="20"/>
              </w:rPr>
              <w:t>0.104</w:t>
            </w:r>
          </w:p>
        </w:tc>
        <w:tc>
          <w:tcPr>
            <w:tcW w:w="768" w:type="dxa"/>
            <w:tcBorders>
              <w:top w:val="nil"/>
              <w:left w:val="nil"/>
              <w:bottom w:val="nil"/>
              <w:right w:val="nil"/>
            </w:tcBorders>
            <w:shd w:val="clear" w:color="auto" w:fill="auto"/>
            <w:noWrap/>
            <w:vAlign w:val="bottom"/>
            <w:hideMark/>
          </w:tcPr>
          <w:p w14:paraId="65407393" w14:textId="77777777" w:rsidR="00CB2096" w:rsidRPr="00075A5C" w:rsidRDefault="00CB2096">
            <w:pPr>
              <w:jc w:val="right"/>
              <w:rPr>
                <w:color w:val="000000"/>
                <w:sz w:val="20"/>
                <w:szCs w:val="20"/>
              </w:rPr>
            </w:pPr>
            <w:r w:rsidRPr="00075A5C">
              <w:rPr>
                <w:color w:val="000000"/>
                <w:sz w:val="20"/>
                <w:szCs w:val="20"/>
              </w:rPr>
              <w:t>0.005</w:t>
            </w:r>
          </w:p>
        </w:tc>
        <w:tc>
          <w:tcPr>
            <w:tcW w:w="768" w:type="dxa"/>
            <w:tcBorders>
              <w:top w:val="nil"/>
              <w:left w:val="nil"/>
              <w:bottom w:val="nil"/>
              <w:right w:val="nil"/>
            </w:tcBorders>
            <w:shd w:val="clear" w:color="auto" w:fill="auto"/>
            <w:noWrap/>
            <w:vAlign w:val="bottom"/>
            <w:hideMark/>
          </w:tcPr>
          <w:p w14:paraId="749EB31A" w14:textId="77777777" w:rsidR="00CB2096" w:rsidRDefault="00CB209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0749F172" w14:textId="77777777" w:rsidR="00CB2096" w:rsidRDefault="00CB2096">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3AC065C6"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0D4216" w14:textId="77777777" w:rsidR="00CB2096" w:rsidRDefault="00CB2096">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51AD01B6" w14:textId="77777777" w:rsidR="00CB2096" w:rsidRDefault="00CB2096">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7527740A"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59B9B13" w14:textId="77777777" w:rsidR="00CB2096" w:rsidRDefault="00CB209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D98C9B2" w14:textId="77777777" w:rsidR="00CB2096" w:rsidRDefault="00CB2096">
            <w:pPr>
              <w:jc w:val="right"/>
              <w:rPr>
                <w:color w:val="000000"/>
                <w:sz w:val="20"/>
                <w:szCs w:val="20"/>
              </w:rPr>
            </w:pPr>
            <w:r>
              <w:rPr>
                <w:color w:val="000000"/>
                <w:sz w:val="20"/>
                <w:szCs w:val="20"/>
              </w:rPr>
              <w:t>0.816</w:t>
            </w:r>
          </w:p>
        </w:tc>
        <w:tc>
          <w:tcPr>
            <w:tcW w:w="768" w:type="dxa"/>
            <w:tcBorders>
              <w:top w:val="nil"/>
              <w:left w:val="nil"/>
              <w:bottom w:val="nil"/>
              <w:right w:val="nil"/>
            </w:tcBorders>
            <w:shd w:val="clear" w:color="auto" w:fill="auto"/>
            <w:noWrap/>
            <w:vAlign w:val="bottom"/>
            <w:hideMark/>
          </w:tcPr>
          <w:p w14:paraId="297E886F"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44CAD6" w14:textId="77777777" w:rsidR="00CB2096" w:rsidRDefault="00CB209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8265CA4" w14:textId="77777777" w:rsidR="00CB2096" w:rsidRDefault="00CB2096">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02BCE4CF" w14:textId="77777777" w:rsidR="00CB2096" w:rsidRDefault="00CB2096">
            <w:pPr>
              <w:jc w:val="right"/>
              <w:rPr>
                <w:color w:val="000000"/>
                <w:sz w:val="20"/>
                <w:szCs w:val="20"/>
              </w:rPr>
            </w:pPr>
            <w:r>
              <w:rPr>
                <w:color w:val="000000"/>
                <w:sz w:val="20"/>
                <w:szCs w:val="20"/>
              </w:rPr>
              <w:t>0.000</w:t>
            </w:r>
          </w:p>
        </w:tc>
      </w:tr>
      <w:tr w:rsidR="00CB2096" w14:paraId="259286E7" w14:textId="77777777" w:rsidTr="00CB2096">
        <w:trPr>
          <w:trHeight w:val="320"/>
        </w:trPr>
        <w:tc>
          <w:tcPr>
            <w:tcW w:w="1176" w:type="dxa"/>
            <w:tcBorders>
              <w:top w:val="nil"/>
              <w:left w:val="nil"/>
              <w:bottom w:val="nil"/>
              <w:right w:val="nil"/>
            </w:tcBorders>
            <w:shd w:val="clear" w:color="auto" w:fill="auto"/>
            <w:noWrap/>
            <w:vAlign w:val="bottom"/>
            <w:hideMark/>
          </w:tcPr>
          <w:p w14:paraId="30432045"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A39C884" w14:textId="77777777" w:rsidR="00CB2096" w:rsidRDefault="00CB209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5CE3470" w14:textId="77777777" w:rsidR="00CB2096" w:rsidRDefault="00CB209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2BE8747" w14:textId="77777777" w:rsidR="00CB2096" w:rsidRDefault="00CB2096">
            <w:pPr>
              <w:jc w:val="right"/>
              <w:rPr>
                <w:color w:val="000000"/>
                <w:sz w:val="20"/>
                <w:szCs w:val="20"/>
              </w:rPr>
            </w:pPr>
            <w:r>
              <w:rPr>
                <w:color w:val="000000"/>
                <w:sz w:val="20"/>
                <w:szCs w:val="20"/>
              </w:rPr>
              <w:t>0.794</w:t>
            </w:r>
          </w:p>
        </w:tc>
        <w:tc>
          <w:tcPr>
            <w:tcW w:w="768" w:type="dxa"/>
            <w:tcBorders>
              <w:top w:val="nil"/>
              <w:left w:val="nil"/>
              <w:bottom w:val="nil"/>
              <w:right w:val="nil"/>
            </w:tcBorders>
            <w:shd w:val="clear" w:color="auto" w:fill="auto"/>
            <w:noWrap/>
            <w:vAlign w:val="bottom"/>
            <w:hideMark/>
          </w:tcPr>
          <w:p w14:paraId="2258796C"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36FAC7" w14:textId="77777777" w:rsidR="00CB2096" w:rsidRDefault="00CB209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533F7644" w14:textId="77777777" w:rsidR="00CB2096" w:rsidRDefault="00CB2096">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44A8DD9A"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4A410D"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AE5CF9" w14:textId="77777777" w:rsidR="00CB2096" w:rsidRDefault="00CB2096">
            <w:pPr>
              <w:jc w:val="right"/>
              <w:rPr>
                <w:color w:val="000000"/>
                <w:sz w:val="20"/>
                <w:szCs w:val="20"/>
              </w:rPr>
            </w:pPr>
            <w:r>
              <w:rPr>
                <w:color w:val="000000"/>
                <w:sz w:val="20"/>
                <w:szCs w:val="20"/>
              </w:rPr>
              <w:t>0.965</w:t>
            </w:r>
          </w:p>
        </w:tc>
        <w:tc>
          <w:tcPr>
            <w:tcW w:w="768" w:type="dxa"/>
            <w:tcBorders>
              <w:top w:val="nil"/>
              <w:left w:val="nil"/>
              <w:bottom w:val="nil"/>
              <w:right w:val="nil"/>
            </w:tcBorders>
            <w:shd w:val="clear" w:color="auto" w:fill="auto"/>
            <w:noWrap/>
            <w:vAlign w:val="bottom"/>
            <w:hideMark/>
          </w:tcPr>
          <w:p w14:paraId="7031A0B5"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EF414E" w14:textId="77777777" w:rsidR="00CB2096" w:rsidRDefault="00CB209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7A9296D" w14:textId="77777777" w:rsidR="00CB2096" w:rsidRDefault="00CB2096">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7FA6F723"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63F0ED" w14:textId="77777777" w:rsidR="00CB2096" w:rsidRDefault="00CB209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C1E8DA2" w14:textId="77777777" w:rsidR="00CB2096" w:rsidRDefault="00CB2096">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6B2C8260" w14:textId="77777777" w:rsidR="00CB2096" w:rsidRDefault="00CB2096">
            <w:pPr>
              <w:jc w:val="right"/>
              <w:rPr>
                <w:color w:val="000000"/>
                <w:sz w:val="20"/>
                <w:szCs w:val="20"/>
              </w:rPr>
            </w:pPr>
            <w:r>
              <w:rPr>
                <w:color w:val="000000"/>
                <w:sz w:val="20"/>
                <w:szCs w:val="20"/>
              </w:rPr>
              <w:t>0.001</w:t>
            </w:r>
          </w:p>
        </w:tc>
      </w:tr>
      <w:tr w:rsidR="00CB2096" w14:paraId="2A1AF430" w14:textId="77777777" w:rsidTr="00CB2096">
        <w:trPr>
          <w:trHeight w:val="320"/>
        </w:trPr>
        <w:tc>
          <w:tcPr>
            <w:tcW w:w="1176" w:type="dxa"/>
            <w:tcBorders>
              <w:top w:val="nil"/>
              <w:left w:val="nil"/>
              <w:bottom w:val="single" w:sz="4" w:space="0" w:color="auto"/>
              <w:right w:val="nil"/>
            </w:tcBorders>
            <w:shd w:val="clear" w:color="auto" w:fill="auto"/>
            <w:noWrap/>
            <w:vAlign w:val="bottom"/>
            <w:hideMark/>
          </w:tcPr>
          <w:p w14:paraId="014E004C" w14:textId="77777777" w:rsidR="00CB2096" w:rsidRDefault="00CB209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86E15D0" w14:textId="77777777" w:rsidR="00CB2096" w:rsidRDefault="00CB209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2479ADE" w14:textId="77777777" w:rsidR="00CB2096" w:rsidRDefault="00CB2096">
            <w:pPr>
              <w:jc w:val="right"/>
              <w:rPr>
                <w:color w:val="000000"/>
                <w:sz w:val="20"/>
                <w:szCs w:val="20"/>
              </w:rPr>
            </w:pPr>
            <w:r>
              <w:rPr>
                <w:color w:val="000000"/>
                <w:sz w:val="20"/>
                <w:szCs w:val="20"/>
              </w:rPr>
              <w:t>-0.050</w:t>
            </w:r>
          </w:p>
        </w:tc>
        <w:tc>
          <w:tcPr>
            <w:tcW w:w="768" w:type="dxa"/>
            <w:tcBorders>
              <w:top w:val="nil"/>
              <w:left w:val="nil"/>
              <w:bottom w:val="single" w:sz="4" w:space="0" w:color="auto"/>
              <w:right w:val="nil"/>
            </w:tcBorders>
            <w:shd w:val="clear" w:color="auto" w:fill="auto"/>
            <w:noWrap/>
            <w:vAlign w:val="bottom"/>
            <w:hideMark/>
          </w:tcPr>
          <w:p w14:paraId="300CEE82" w14:textId="77777777" w:rsidR="00CB2096" w:rsidRDefault="00CB2096">
            <w:pPr>
              <w:jc w:val="right"/>
              <w:rPr>
                <w:color w:val="000000"/>
                <w:sz w:val="20"/>
                <w:szCs w:val="20"/>
              </w:rPr>
            </w:pPr>
            <w:r>
              <w:rPr>
                <w:color w:val="000000"/>
                <w:sz w:val="20"/>
                <w:szCs w:val="20"/>
              </w:rPr>
              <w:t>0.376</w:t>
            </w:r>
          </w:p>
        </w:tc>
        <w:tc>
          <w:tcPr>
            <w:tcW w:w="768" w:type="dxa"/>
            <w:tcBorders>
              <w:top w:val="nil"/>
              <w:left w:val="nil"/>
              <w:bottom w:val="single" w:sz="4" w:space="0" w:color="auto"/>
              <w:right w:val="nil"/>
            </w:tcBorders>
            <w:shd w:val="clear" w:color="auto" w:fill="auto"/>
            <w:noWrap/>
            <w:vAlign w:val="bottom"/>
            <w:hideMark/>
          </w:tcPr>
          <w:p w14:paraId="7B26C7BA"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19C9329B" w14:textId="77777777" w:rsidR="00CB2096" w:rsidRDefault="00CB2096">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56A72220" w14:textId="77777777" w:rsidR="00CB2096" w:rsidRDefault="00CB2096">
            <w:pPr>
              <w:jc w:val="right"/>
              <w:rPr>
                <w:color w:val="000000"/>
                <w:sz w:val="20"/>
                <w:szCs w:val="20"/>
              </w:rPr>
            </w:pPr>
            <w:r>
              <w:rPr>
                <w:color w:val="000000"/>
                <w:sz w:val="20"/>
                <w:szCs w:val="20"/>
              </w:rPr>
              <w:t>0.808</w:t>
            </w:r>
          </w:p>
        </w:tc>
        <w:tc>
          <w:tcPr>
            <w:tcW w:w="768" w:type="dxa"/>
            <w:tcBorders>
              <w:top w:val="nil"/>
              <w:left w:val="nil"/>
              <w:bottom w:val="single" w:sz="4" w:space="0" w:color="auto"/>
              <w:right w:val="nil"/>
            </w:tcBorders>
            <w:shd w:val="clear" w:color="auto" w:fill="auto"/>
            <w:noWrap/>
            <w:vAlign w:val="bottom"/>
            <w:hideMark/>
          </w:tcPr>
          <w:p w14:paraId="64D4F9D8"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981B39A" w14:textId="77777777" w:rsidR="00CB2096" w:rsidRDefault="00CB2096">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5FD3F682" w14:textId="77777777" w:rsidR="00CB2096" w:rsidRDefault="00CB2096">
            <w:pPr>
              <w:jc w:val="right"/>
              <w:rPr>
                <w:color w:val="000000"/>
                <w:sz w:val="20"/>
                <w:szCs w:val="20"/>
              </w:rPr>
            </w:pPr>
            <w:r>
              <w:rPr>
                <w:color w:val="000000"/>
                <w:sz w:val="20"/>
                <w:szCs w:val="20"/>
              </w:rPr>
              <w:t>0.524</w:t>
            </w:r>
          </w:p>
        </w:tc>
        <w:tc>
          <w:tcPr>
            <w:tcW w:w="768" w:type="dxa"/>
            <w:tcBorders>
              <w:top w:val="nil"/>
              <w:left w:val="nil"/>
              <w:bottom w:val="single" w:sz="4" w:space="0" w:color="auto"/>
              <w:right w:val="nil"/>
            </w:tcBorders>
            <w:shd w:val="clear" w:color="auto" w:fill="auto"/>
            <w:noWrap/>
            <w:vAlign w:val="bottom"/>
            <w:hideMark/>
          </w:tcPr>
          <w:p w14:paraId="61A4B1B7"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0642A72E" w14:textId="77777777" w:rsidR="00CB2096" w:rsidRDefault="00CB2096">
            <w:pPr>
              <w:jc w:val="right"/>
              <w:rPr>
                <w:color w:val="000000"/>
                <w:sz w:val="20"/>
                <w:szCs w:val="20"/>
              </w:rPr>
            </w:pPr>
            <w:r>
              <w:rPr>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46144031" w14:textId="77777777" w:rsidR="00CB2096" w:rsidRDefault="00CB2096">
            <w:pPr>
              <w:jc w:val="right"/>
              <w:rPr>
                <w:color w:val="000000"/>
                <w:sz w:val="20"/>
                <w:szCs w:val="20"/>
              </w:rPr>
            </w:pPr>
            <w:r>
              <w:rPr>
                <w:color w:val="000000"/>
                <w:sz w:val="20"/>
                <w:szCs w:val="20"/>
              </w:rPr>
              <w:t>0.597</w:t>
            </w:r>
          </w:p>
        </w:tc>
        <w:tc>
          <w:tcPr>
            <w:tcW w:w="768" w:type="dxa"/>
            <w:tcBorders>
              <w:top w:val="nil"/>
              <w:left w:val="nil"/>
              <w:bottom w:val="single" w:sz="4" w:space="0" w:color="auto"/>
              <w:right w:val="nil"/>
            </w:tcBorders>
            <w:shd w:val="clear" w:color="auto" w:fill="auto"/>
            <w:noWrap/>
            <w:vAlign w:val="bottom"/>
            <w:hideMark/>
          </w:tcPr>
          <w:p w14:paraId="11EF5F49"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72731F0" w14:textId="77777777" w:rsidR="00CB2096" w:rsidRDefault="00CB2096">
            <w:pPr>
              <w:jc w:val="right"/>
              <w:rPr>
                <w:color w:val="000000"/>
                <w:sz w:val="20"/>
                <w:szCs w:val="20"/>
              </w:rPr>
            </w:pPr>
            <w:r>
              <w:rPr>
                <w:color w:val="000000"/>
                <w:sz w:val="20"/>
                <w:szCs w:val="20"/>
              </w:rPr>
              <w:t>0.052</w:t>
            </w:r>
          </w:p>
        </w:tc>
        <w:tc>
          <w:tcPr>
            <w:tcW w:w="768" w:type="dxa"/>
            <w:tcBorders>
              <w:top w:val="nil"/>
              <w:left w:val="nil"/>
              <w:bottom w:val="single" w:sz="4" w:space="0" w:color="auto"/>
              <w:right w:val="nil"/>
            </w:tcBorders>
            <w:shd w:val="clear" w:color="auto" w:fill="auto"/>
            <w:noWrap/>
            <w:vAlign w:val="bottom"/>
            <w:hideMark/>
          </w:tcPr>
          <w:p w14:paraId="25B3836E" w14:textId="77777777" w:rsidR="00CB2096" w:rsidRDefault="00CB2096">
            <w:pPr>
              <w:jc w:val="right"/>
              <w:rPr>
                <w:color w:val="000000"/>
                <w:sz w:val="20"/>
                <w:szCs w:val="20"/>
              </w:rPr>
            </w:pPr>
            <w:r>
              <w:rPr>
                <w:color w:val="000000"/>
                <w:sz w:val="20"/>
                <w:szCs w:val="20"/>
              </w:rPr>
              <w:t>0.314</w:t>
            </w:r>
          </w:p>
        </w:tc>
        <w:tc>
          <w:tcPr>
            <w:tcW w:w="768" w:type="dxa"/>
            <w:tcBorders>
              <w:top w:val="nil"/>
              <w:left w:val="nil"/>
              <w:bottom w:val="single" w:sz="4" w:space="0" w:color="auto"/>
              <w:right w:val="nil"/>
            </w:tcBorders>
            <w:shd w:val="clear" w:color="auto" w:fill="auto"/>
            <w:noWrap/>
            <w:vAlign w:val="bottom"/>
            <w:hideMark/>
          </w:tcPr>
          <w:p w14:paraId="72C5D21F" w14:textId="77777777" w:rsidR="00CB2096" w:rsidRDefault="00CB2096">
            <w:pPr>
              <w:jc w:val="right"/>
              <w:rPr>
                <w:color w:val="000000"/>
                <w:sz w:val="20"/>
                <w:szCs w:val="20"/>
              </w:rPr>
            </w:pPr>
            <w:r>
              <w:rPr>
                <w:color w:val="000000"/>
                <w:sz w:val="20"/>
                <w:szCs w:val="20"/>
              </w:rPr>
              <w:t>0.003</w:t>
            </w:r>
          </w:p>
        </w:tc>
      </w:tr>
      <w:tr w:rsidR="00CB2096" w14:paraId="23265E64" w14:textId="77777777" w:rsidTr="00CB2096">
        <w:trPr>
          <w:trHeight w:val="320"/>
        </w:trPr>
        <w:tc>
          <w:tcPr>
            <w:tcW w:w="1176" w:type="dxa"/>
            <w:tcBorders>
              <w:top w:val="nil"/>
              <w:left w:val="nil"/>
              <w:bottom w:val="nil"/>
              <w:right w:val="nil"/>
            </w:tcBorders>
            <w:shd w:val="clear" w:color="auto" w:fill="auto"/>
            <w:noWrap/>
            <w:vAlign w:val="bottom"/>
            <w:hideMark/>
          </w:tcPr>
          <w:p w14:paraId="671691E7" w14:textId="77777777" w:rsidR="00CB2096" w:rsidRDefault="00CB2096">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67E83B29" w14:textId="77777777" w:rsidR="00CB2096" w:rsidRDefault="00CB209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332717B" w14:textId="77777777" w:rsidR="00CB2096" w:rsidRDefault="00CB2096">
            <w:pPr>
              <w:jc w:val="right"/>
              <w:rPr>
                <w:b/>
                <w:bCs/>
                <w:color w:val="000000"/>
                <w:sz w:val="20"/>
                <w:szCs w:val="20"/>
              </w:rPr>
            </w:pPr>
            <w:r>
              <w:rPr>
                <w:b/>
                <w:bCs/>
                <w:color w:val="000000"/>
                <w:sz w:val="20"/>
                <w:szCs w:val="20"/>
              </w:rPr>
              <w:t>-0.088</w:t>
            </w:r>
          </w:p>
        </w:tc>
        <w:tc>
          <w:tcPr>
            <w:tcW w:w="768" w:type="dxa"/>
            <w:tcBorders>
              <w:top w:val="nil"/>
              <w:left w:val="nil"/>
              <w:bottom w:val="nil"/>
              <w:right w:val="nil"/>
            </w:tcBorders>
            <w:shd w:val="clear" w:color="auto" w:fill="auto"/>
            <w:noWrap/>
            <w:vAlign w:val="bottom"/>
            <w:hideMark/>
          </w:tcPr>
          <w:p w14:paraId="51385080" w14:textId="77777777" w:rsidR="00CB2096" w:rsidRDefault="00CB2096">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78753003" w14:textId="77777777" w:rsidR="00CB2096" w:rsidRDefault="00CB2096">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2BFEA69" w14:textId="77777777" w:rsidR="00CB2096" w:rsidRDefault="00CB20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79099C8" w14:textId="77777777" w:rsidR="00CB2096" w:rsidRDefault="00CB2096">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61686D1D"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2EDB1B"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6989863" w14:textId="77777777" w:rsidR="00CB2096" w:rsidRDefault="00CB2096">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071AF84B"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B3FF0F" w14:textId="77777777" w:rsidR="00CB2096" w:rsidRDefault="00CB209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44CA391" w14:textId="77777777" w:rsidR="00CB2096" w:rsidRDefault="00CB2096">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0B2B9F3C"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88850F" w14:textId="77777777" w:rsidR="00CB2096" w:rsidRDefault="00CB209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7655622" w14:textId="77777777" w:rsidR="00CB2096" w:rsidRDefault="00CB2096">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15A62D59" w14:textId="77777777" w:rsidR="00CB2096" w:rsidRDefault="00CB2096">
            <w:pPr>
              <w:jc w:val="right"/>
              <w:rPr>
                <w:color w:val="000000"/>
                <w:sz w:val="20"/>
                <w:szCs w:val="20"/>
              </w:rPr>
            </w:pPr>
            <w:r>
              <w:rPr>
                <w:color w:val="000000"/>
                <w:sz w:val="20"/>
                <w:szCs w:val="20"/>
              </w:rPr>
              <w:t>0.000</w:t>
            </w:r>
          </w:p>
        </w:tc>
      </w:tr>
      <w:tr w:rsidR="00CB2096" w14:paraId="7B4E0B30" w14:textId="77777777" w:rsidTr="00CB2096">
        <w:trPr>
          <w:trHeight w:val="320"/>
        </w:trPr>
        <w:tc>
          <w:tcPr>
            <w:tcW w:w="1176" w:type="dxa"/>
            <w:tcBorders>
              <w:top w:val="nil"/>
              <w:left w:val="nil"/>
              <w:bottom w:val="nil"/>
              <w:right w:val="nil"/>
            </w:tcBorders>
            <w:shd w:val="clear" w:color="auto" w:fill="auto"/>
            <w:noWrap/>
            <w:vAlign w:val="bottom"/>
            <w:hideMark/>
          </w:tcPr>
          <w:p w14:paraId="11FFD881"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F218CDB" w14:textId="77777777" w:rsidR="00CB2096" w:rsidRDefault="00CB209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52565AE" w14:textId="77777777" w:rsidR="00CB2096" w:rsidRDefault="00CB209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6BA9FEC" w14:textId="77777777" w:rsidR="00CB2096" w:rsidRDefault="00CB2096">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2096072A"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9D9559" w14:textId="77777777" w:rsidR="00CB2096" w:rsidRDefault="00CB209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6774EEC" w14:textId="77777777" w:rsidR="00CB2096" w:rsidRDefault="00CB2096">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3A1B9A89"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045BB3" w14:textId="77777777" w:rsidR="00CB2096" w:rsidRDefault="00CB209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23ECB60" w14:textId="77777777" w:rsidR="00CB2096" w:rsidRDefault="00CB2096">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4E0D0A8D"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5A938B" w14:textId="77777777" w:rsidR="00CB2096" w:rsidRDefault="00CB209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5EDB30E8" w14:textId="77777777" w:rsidR="00CB2096" w:rsidRDefault="00CB2096">
            <w:pPr>
              <w:jc w:val="right"/>
              <w:rPr>
                <w:color w:val="000000"/>
                <w:sz w:val="20"/>
                <w:szCs w:val="20"/>
              </w:rPr>
            </w:pPr>
            <w:r>
              <w:rPr>
                <w:color w:val="000000"/>
                <w:sz w:val="20"/>
                <w:szCs w:val="20"/>
              </w:rPr>
              <w:t>0.340</w:t>
            </w:r>
          </w:p>
        </w:tc>
        <w:tc>
          <w:tcPr>
            <w:tcW w:w="768" w:type="dxa"/>
            <w:tcBorders>
              <w:top w:val="nil"/>
              <w:left w:val="nil"/>
              <w:bottom w:val="nil"/>
              <w:right w:val="nil"/>
            </w:tcBorders>
            <w:shd w:val="clear" w:color="auto" w:fill="auto"/>
            <w:noWrap/>
            <w:vAlign w:val="bottom"/>
            <w:hideMark/>
          </w:tcPr>
          <w:p w14:paraId="19F02653"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CFB032A" w14:textId="77777777" w:rsidR="00CB2096" w:rsidRDefault="00CB2096">
            <w:pPr>
              <w:jc w:val="right"/>
              <w:rPr>
                <w:b/>
                <w:bCs/>
                <w:color w:val="000000"/>
                <w:sz w:val="20"/>
                <w:szCs w:val="20"/>
              </w:rPr>
            </w:pPr>
            <w:r>
              <w:rPr>
                <w:b/>
                <w:bCs/>
                <w:color w:val="000000"/>
                <w:sz w:val="20"/>
                <w:szCs w:val="20"/>
              </w:rPr>
              <w:t>-0.110</w:t>
            </w:r>
          </w:p>
        </w:tc>
        <w:tc>
          <w:tcPr>
            <w:tcW w:w="768" w:type="dxa"/>
            <w:tcBorders>
              <w:top w:val="nil"/>
              <w:left w:val="nil"/>
              <w:bottom w:val="nil"/>
              <w:right w:val="nil"/>
            </w:tcBorders>
            <w:shd w:val="clear" w:color="auto" w:fill="auto"/>
            <w:noWrap/>
            <w:vAlign w:val="bottom"/>
            <w:hideMark/>
          </w:tcPr>
          <w:p w14:paraId="34B520E6" w14:textId="77777777" w:rsidR="00CB2096" w:rsidRDefault="00CB2096">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3BBEBB4" w14:textId="77777777" w:rsidR="00CB2096" w:rsidRDefault="00CB2096">
            <w:pPr>
              <w:jc w:val="right"/>
              <w:rPr>
                <w:b/>
                <w:bCs/>
                <w:color w:val="000000"/>
                <w:sz w:val="20"/>
                <w:szCs w:val="20"/>
              </w:rPr>
            </w:pPr>
            <w:r>
              <w:rPr>
                <w:b/>
                <w:bCs/>
                <w:color w:val="000000"/>
                <w:sz w:val="20"/>
                <w:szCs w:val="20"/>
              </w:rPr>
              <w:t>0.012</w:t>
            </w:r>
          </w:p>
        </w:tc>
      </w:tr>
      <w:tr w:rsidR="00CB2096" w14:paraId="7A7D925B" w14:textId="77777777" w:rsidTr="00CB2096">
        <w:trPr>
          <w:trHeight w:val="320"/>
        </w:trPr>
        <w:tc>
          <w:tcPr>
            <w:tcW w:w="1176" w:type="dxa"/>
            <w:tcBorders>
              <w:top w:val="nil"/>
              <w:left w:val="nil"/>
              <w:bottom w:val="nil"/>
              <w:right w:val="nil"/>
            </w:tcBorders>
            <w:shd w:val="clear" w:color="auto" w:fill="auto"/>
            <w:noWrap/>
            <w:vAlign w:val="bottom"/>
            <w:hideMark/>
          </w:tcPr>
          <w:p w14:paraId="7C10367B" w14:textId="77777777" w:rsidR="00CB2096" w:rsidRDefault="00CB2096">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15070B3E" w14:textId="77777777" w:rsidR="00CB2096" w:rsidRDefault="00CB209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A46F50E" w14:textId="77777777" w:rsidR="00CB2096" w:rsidRDefault="00CB209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F340862" w14:textId="77777777" w:rsidR="00CB2096" w:rsidRDefault="00CB2096">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2A325977"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9EF71B" w14:textId="77777777" w:rsidR="00CB2096" w:rsidRDefault="00CB2096">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357AAE96" w14:textId="77777777" w:rsidR="00CB2096" w:rsidRDefault="00CB2096">
            <w:pPr>
              <w:jc w:val="right"/>
              <w:rPr>
                <w:color w:val="000000"/>
                <w:sz w:val="20"/>
                <w:szCs w:val="20"/>
              </w:rPr>
            </w:pPr>
            <w:r>
              <w:rPr>
                <w:color w:val="000000"/>
                <w:sz w:val="20"/>
                <w:szCs w:val="20"/>
              </w:rPr>
              <w:t>0.324</w:t>
            </w:r>
          </w:p>
        </w:tc>
        <w:tc>
          <w:tcPr>
            <w:tcW w:w="768" w:type="dxa"/>
            <w:tcBorders>
              <w:top w:val="nil"/>
              <w:left w:val="nil"/>
              <w:bottom w:val="nil"/>
              <w:right w:val="nil"/>
            </w:tcBorders>
            <w:shd w:val="clear" w:color="auto" w:fill="auto"/>
            <w:noWrap/>
            <w:vAlign w:val="bottom"/>
            <w:hideMark/>
          </w:tcPr>
          <w:p w14:paraId="3E8879EC" w14:textId="77777777" w:rsidR="00CB2096" w:rsidRDefault="00CB209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4BA2CE0" w14:textId="77777777" w:rsidR="00CB2096" w:rsidRDefault="00CB209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558548F" w14:textId="77777777" w:rsidR="00CB2096" w:rsidRDefault="00CB2096">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68B0BADA"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FD3348" w14:textId="77777777" w:rsidR="00CB2096" w:rsidRDefault="00CB209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2A53530" w14:textId="77777777" w:rsidR="00CB2096" w:rsidRDefault="00CB2096">
            <w:pPr>
              <w:jc w:val="right"/>
              <w:rPr>
                <w:color w:val="000000"/>
                <w:sz w:val="20"/>
                <w:szCs w:val="20"/>
              </w:rPr>
            </w:pPr>
            <w:r>
              <w:rPr>
                <w:color w:val="000000"/>
                <w:sz w:val="20"/>
                <w:szCs w:val="20"/>
              </w:rPr>
              <w:t>0.786</w:t>
            </w:r>
          </w:p>
        </w:tc>
        <w:tc>
          <w:tcPr>
            <w:tcW w:w="768" w:type="dxa"/>
            <w:tcBorders>
              <w:top w:val="nil"/>
              <w:left w:val="nil"/>
              <w:bottom w:val="nil"/>
              <w:right w:val="nil"/>
            </w:tcBorders>
            <w:shd w:val="clear" w:color="auto" w:fill="auto"/>
            <w:noWrap/>
            <w:vAlign w:val="bottom"/>
            <w:hideMark/>
          </w:tcPr>
          <w:p w14:paraId="06F638B9"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EEAD338" w14:textId="77777777" w:rsidR="00CB2096" w:rsidRDefault="00CB20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1B5E629" w14:textId="77777777" w:rsidR="00CB2096" w:rsidRDefault="00CB2096">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3A4B6C11" w14:textId="77777777" w:rsidR="00CB2096" w:rsidRDefault="00CB2096">
            <w:pPr>
              <w:jc w:val="right"/>
              <w:rPr>
                <w:color w:val="000000"/>
                <w:sz w:val="20"/>
                <w:szCs w:val="20"/>
              </w:rPr>
            </w:pPr>
            <w:r>
              <w:rPr>
                <w:color w:val="000000"/>
                <w:sz w:val="20"/>
                <w:szCs w:val="20"/>
              </w:rPr>
              <w:t>0.000</w:t>
            </w:r>
          </w:p>
        </w:tc>
      </w:tr>
      <w:tr w:rsidR="00CB2096" w14:paraId="238FC306" w14:textId="77777777" w:rsidTr="00CB2096">
        <w:trPr>
          <w:trHeight w:val="320"/>
        </w:trPr>
        <w:tc>
          <w:tcPr>
            <w:tcW w:w="1176" w:type="dxa"/>
            <w:tcBorders>
              <w:top w:val="nil"/>
              <w:left w:val="nil"/>
              <w:bottom w:val="nil"/>
              <w:right w:val="nil"/>
            </w:tcBorders>
            <w:shd w:val="clear" w:color="auto" w:fill="auto"/>
            <w:noWrap/>
            <w:vAlign w:val="bottom"/>
            <w:hideMark/>
          </w:tcPr>
          <w:p w14:paraId="3E649728"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407BB2A" w14:textId="77777777" w:rsidR="00CB2096" w:rsidRDefault="00CB209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7A407BC" w14:textId="77777777" w:rsidR="00CB2096" w:rsidRDefault="00CB209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AC98A17" w14:textId="77777777" w:rsidR="00CB2096" w:rsidRDefault="00CB2096">
            <w:pPr>
              <w:jc w:val="right"/>
              <w:rPr>
                <w:color w:val="000000"/>
                <w:sz w:val="20"/>
                <w:szCs w:val="20"/>
              </w:rPr>
            </w:pPr>
            <w:r>
              <w:rPr>
                <w:color w:val="000000"/>
                <w:sz w:val="20"/>
                <w:szCs w:val="20"/>
              </w:rPr>
              <w:t>0.718</w:t>
            </w:r>
          </w:p>
        </w:tc>
        <w:tc>
          <w:tcPr>
            <w:tcW w:w="768" w:type="dxa"/>
            <w:tcBorders>
              <w:top w:val="nil"/>
              <w:left w:val="nil"/>
              <w:bottom w:val="nil"/>
              <w:right w:val="nil"/>
            </w:tcBorders>
            <w:shd w:val="clear" w:color="auto" w:fill="auto"/>
            <w:noWrap/>
            <w:vAlign w:val="bottom"/>
            <w:hideMark/>
          </w:tcPr>
          <w:p w14:paraId="00C3898C"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88076A1" w14:textId="77777777" w:rsidR="00CB2096" w:rsidRDefault="00CB209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2353F63A" w14:textId="77777777" w:rsidR="00CB2096" w:rsidRDefault="00CB2096">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6719D80C"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582416A" w14:textId="77777777" w:rsidR="00CB2096" w:rsidRDefault="00CB20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51145F6A" w14:textId="77777777" w:rsidR="00CB2096" w:rsidRDefault="00CB2096">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159D5288"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73E9E5" w14:textId="77777777" w:rsidR="00CB2096" w:rsidRDefault="00CB2096">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2CE0E2C4" w14:textId="77777777" w:rsidR="00CB2096" w:rsidRDefault="00CB2096">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4A68343F" w14:textId="77777777" w:rsidR="00CB2096" w:rsidRDefault="00CB209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AA933D3" w14:textId="77777777" w:rsidR="00CB2096" w:rsidRDefault="00CB209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6835DE72" w14:textId="77777777" w:rsidR="00CB2096" w:rsidRDefault="00CB2096">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75A3AF7A" w14:textId="77777777" w:rsidR="00CB2096" w:rsidRDefault="00CB2096">
            <w:pPr>
              <w:jc w:val="right"/>
              <w:rPr>
                <w:color w:val="000000"/>
                <w:sz w:val="20"/>
                <w:szCs w:val="20"/>
              </w:rPr>
            </w:pPr>
            <w:r>
              <w:rPr>
                <w:color w:val="000000"/>
                <w:sz w:val="20"/>
                <w:szCs w:val="20"/>
              </w:rPr>
              <w:t>0.000</w:t>
            </w:r>
          </w:p>
        </w:tc>
      </w:tr>
      <w:tr w:rsidR="00CB2096" w14:paraId="26CC3156" w14:textId="77777777" w:rsidTr="00CB2096">
        <w:trPr>
          <w:trHeight w:val="320"/>
        </w:trPr>
        <w:tc>
          <w:tcPr>
            <w:tcW w:w="1176" w:type="dxa"/>
            <w:tcBorders>
              <w:top w:val="nil"/>
              <w:left w:val="nil"/>
              <w:bottom w:val="nil"/>
              <w:right w:val="nil"/>
            </w:tcBorders>
            <w:shd w:val="clear" w:color="auto" w:fill="auto"/>
            <w:noWrap/>
            <w:vAlign w:val="bottom"/>
            <w:hideMark/>
          </w:tcPr>
          <w:p w14:paraId="5D397FA4"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E294D8" w14:textId="77777777" w:rsidR="00CB2096" w:rsidRDefault="00CB209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C74C2E9" w14:textId="77777777" w:rsidR="00CB2096" w:rsidRDefault="00CB20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6665770" w14:textId="77777777" w:rsidR="00CB2096" w:rsidRDefault="00CB2096">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2F3538BC"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CE3DFE" w14:textId="77777777" w:rsidR="00CB2096" w:rsidRDefault="00CB209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E2D0DDE" w14:textId="77777777" w:rsidR="00CB2096" w:rsidRDefault="00CB2096">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1179DA43"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B7034D" w14:textId="77777777" w:rsidR="00CB2096" w:rsidRDefault="00CB209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A0654F9" w14:textId="77777777" w:rsidR="00CB2096" w:rsidRDefault="00CB2096">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4FF6B08B"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DFA767" w14:textId="77777777" w:rsidR="00CB2096" w:rsidRDefault="00CB20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025EB44" w14:textId="77777777" w:rsidR="00CB2096" w:rsidRDefault="00CB2096">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39BF692B"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326BD0" w14:textId="77777777" w:rsidR="00CB2096" w:rsidRDefault="00CB2096">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4C5EF88F" w14:textId="77777777" w:rsidR="00CB2096" w:rsidRDefault="00CB2096">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7272524C" w14:textId="77777777" w:rsidR="00CB2096" w:rsidRDefault="00CB2096">
            <w:pPr>
              <w:jc w:val="right"/>
              <w:rPr>
                <w:color w:val="000000"/>
                <w:sz w:val="20"/>
                <w:szCs w:val="20"/>
              </w:rPr>
            </w:pPr>
            <w:r>
              <w:rPr>
                <w:color w:val="000000"/>
                <w:sz w:val="20"/>
                <w:szCs w:val="20"/>
              </w:rPr>
              <w:t>0.006</w:t>
            </w:r>
          </w:p>
        </w:tc>
      </w:tr>
      <w:tr w:rsidR="00CB2096" w14:paraId="769CF1C7" w14:textId="77777777" w:rsidTr="00CB2096">
        <w:trPr>
          <w:trHeight w:val="320"/>
        </w:trPr>
        <w:tc>
          <w:tcPr>
            <w:tcW w:w="1176" w:type="dxa"/>
            <w:tcBorders>
              <w:top w:val="nil"/>
              <w:left w:val="nil"/>
              <w:bottom w:val="nil"/>
              <w:right w:val="nil"/>
            </w:tcBorders>
            <w:shd w:val="clear" w:color="auto" w:fill="auto"/>
            <w:noWrap/>
            <w:vAlign w:val="bottom"/>
            <w:hideMark/>
          </w:tcPr>
          <w:p w14:paraId="028D704F"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1A45CB" w14:textId="77777777" w:rsidR="00CB2096" w:rsidRDefault="00CB209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5F42DFB" w14:textId="77777777" w:rsidR="00CB2096" w:rsidRDefault="00CB2096">
            <w:pPr>
              <w:jc w:val="right"/>
              <w:rPr>
                <w:b/>
                <w:bCs/>
                <w:color w:val="000000"/>
                <w:sz w:val="20"/>
                <w:szCs w:val="20"/>
              </w:rPr>
            </w:pPr>
            <w:r>
              <w:rPr>
                <w:b/>
                <w:bCs/>
                <w:color w:val="000000"/>
                <w:sz w:val="20"/>
                <w:szCs w:val="20"/>
              </w:rPr>
              <w:t>-0.089</w:t>
            </w:r>
          </w:p>
        </w:tc>
        <w:tc>
          <w:tcPr>
            <w:tcW w:w="768" w:type="dxa"/>
            <w:tcBorders>
              <w:top w:val="nil"/>
              <w:left w:val="nil"/>
              <w:bottom w:val="nil"/>
              <w:right w:val="nil"/>
            </w:tcBorders>
            <w:shd w:val="clear" w:color="auto" w:fill="auto"/>
            <w:noWrap/>
            <w:vAlign w:val="bottom"/>
            <w:hideMark/>
          </w:tcPr>
          <w:p w14:paraId="5394A740" w14:textId="77777777" w:rsidR="00CB2096" w:rsidRDefault="00CB2096">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08E1323C" w14:textId="77777777" w:rsidR="00CB2096" w:rsidRDefault="00CB2096">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250D9D9"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2C2408F" w14:textId="77777777" w:rsidR="00CB2096" w:rsidRDefault="00CB2096">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613388E9"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18401E" w14:textId="77777777" w:rsidR="00CB2096" w:rsidRDefault="00CB2096">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6A6080D5" w14:textId="77777777" w:rsidR="00CB2096" w:rsidRDefault="00CB2096">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133B6597" w14:textId="77777777" w:rsidR="00CB2096" w:rsidRDefault="00CB20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B50F25"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512EE9D" w14:textId="77777777" w:rsidR="00CB2096" w:rsidRDefault="00CB2096">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4258AD4A"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FCC8D2" w14:textId="77777777" w:rsidR="00CB2096" w:rsidRDefault="00CB2096">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2B1116F" w14:textId="77777777" w:rsidR="00CB2096" w:rsidRDefault="00CB2096">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7DF68D70" w14:textId="77777777" w:rsidR="00CB2096" w:rsidRDefault="00CB2096">
            <w:pPr>
              <w:jc w:val="right"/>
              <w:rPr>
                <w:color w:val="000000"/>
                <w:sz w:val="20"/>
                <w:szCs w:val="20"/>
              </w:rPr>
            </w:pPr>
            <w:r>
              <w:rPr>
                <w:color w:val="000000"/>
                <w:sz w:val="20"/>
                <w:szCs w:val="20"/>
              </w:rPr>
              <w:t>0.002</w:t>
            </w:r>
          </w:p>
        </w:tc>
      </w:tr>
      <w:tr w:rsidR="00CB2096" w14:paraId="0524EA58" w14:textId="77777777" w:rsidTr="00CB2096">
        <w:trPr>
          <w:trHeight w:val="320"/>
        </w:trPr>
        <w:tc>
          <w:tcPr>
            <w:tcW w:w="1176" w:type="dxa"/>
            <w:tcBorders>
              <w:top w:val="nil"/>
              <w:left w:val="nil"/>
              <w:bottom w:val="nil"/>
              <w:right w:val="nil"/>
            </w:tcBorders>
            <w:shd w:val="clear" w:color="auto" w:fill="auto"/>
            <w:noWrap/>
            <w:vAlign w:val="bottom"/>
            <w:hideMark/>
          </w:tcPr>
          <w:p w14:paraId="7DF4554D" w14:textId="77777777" w:rsidR="00CB2096" w:rsidRDefault="00CB20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1796E79" w14:textId="77777777" w:rsidR="00CB2096" w:rsidRDefault="00CB209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A8FE967" w14:textId="77777777" w:rsidR="00CB2096" w:rsidRDefault="00CB209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DF9FF45" w14:textId="77777777" w:rsidR="00CB2096" w:rsidRDefault="00CB2096">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4AC2AE4B"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A53DE0" w14:textId="77777777" w:rsidR="00CB2096" w:rsidRDefault="00CB20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34390EB" w14:textId="77777777" w:rsidR="00CB2096" w:rsidRDefault="00CB2096">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121B5959"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3F53DE"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E814FC1" w14:textId="77777777" w:rsidR="00CB2096" w:rsidRDefault="00CB2096">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61DD6C5D"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93100B" w14:textId="77777777" w:rsidR="00CB2096" w:rsidRDefault="00CB20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2DB2AD2" w14:textId="77777777" w:rsidR="00CB2096" w:rsidRDefault="00CB2096">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3D06964D" w14:textId="77777777" w:rsidR="00CB2096" w:rsidRDefault="00CB20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C0E3E9" w14:textId="77777777" w:rsidR="00CB2096" w:rsidRDefault="00CB209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2F4369D" w14:textId="77777777" w:rsidR="00CB2096" w:rsidRDefault="00CB2096">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2DDFFE20" w14:textId="77777777" w:rsidR="00CB2096" w:rsidRDefault="00CB2096">
            <w:pPr>
              <w:jc w:val="right"/>
              <w:rPr>
                <w:color w:val="000000"/>
                <w:sz w:val="20"/>
                <w:szCs w:val="20"/>
              </w:rPr>
            </w:pPr>
            <w:r>
              <w:rPr>
                <w:color w:val="000000"/>
                <w:sz w:val="20"/>
                <w:szCs w:val="20"/>
              </w:rPr>
              <w:t>0.000</w:t>
            </w:r>
          </w:p>
        </w:tc>
      </w:tr>
      <w:tr w:rsidR="00CB2096" w14:paraId="5253C3B7" w14:textId="77777777" w:rsidTr="00CB2096">
        <w:trPr>
          <w:trHeight w:val="340"/>
        </w:trPr>
        <w:tc>
          <w:tcPr>
            <w:tcW w:w="1176" w:type="dxa"/>
            <w:tcBorders>
              <w:top w:val="nil"/>
              <w:left w:val="nil"/>
              <w:bottom w:val="single" w:sz="12" w:space="0" w:color="auto"/>
              <w:right w:val="nil"/>
            </w:tcBorders>
            <w:shd w:val="clear" w:color="auto" w:fill="auto"/>
            <w:noWrap/>
            <w:vAlign w:val="bottom"/>
            <w:hideMark/>
          </w:tcPr>
          <w:p w14:paraId="743EE7D7" w14:textId="77777777" w:rsidR="00CB2096" w:rsidRDefault="00CB2096">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2C5113F3" w14:textId="77777777" w:rsidR="00CB2096" w:rsidRDefault="00CB2096">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3D771A08" w14:textId="77777777" w:rsidR="00CB2096" w:rsidRDefault="00CB2096">
            <w:pPr>
              <w:jc w:val="right"/>
              <w:rPr>
                <w:b/>
                <w:bCs/>
                <w:color w:val="000000"/>
                <w:sz w:val="20"/>
                <w:szCs w:val="20"/>
              </w:rPr>
            </w:pPr>
            <w:r>
              <w:rPr>
                <w:b/>
                <w:bCs/>
                <w:color w:val="000000"/>
                <w:sz w:val="20"/>
                <w:szCs w:val="20"/>
              </w:rPr>
              <w:t>-0.087</w:t>
            </w:r>
          </w:p>
        </w:tc>
        <w:tc>
          <w:tcPr>
            <w:tcW w:w="768" w:type="dxa"/>
            <w:tcBorders>
              <w:top w:val="nil"/>
              <w:left w:val="nil"/>
              <w:bottom w:val="single" w:sz="12" w:space="0" w:color="auto"/>
              <w:right w:val="nil"/>
            </w:tcBorders>
            <w:shd w:val="clear" w:color="auto" w:fill="auto"/>
            <w:noWrap/>
            <w:vAlign w:val="bottom"/>
            <w:hideMark/>
          </w:tcPr>
          <w:p w14:paraId="1D2E8D0F" w14:textId="77777777" w:rsidR="00CB2096" w:rsidRDefault="00CB2096">
            <w:pPr>
              <w:jc w:val="right"/>
              <w:rPr>
                <w:b/>
                <w:bCs/>
                <w:color w:val="000000"/>
                <w:sz w:val="20"/>
                <w:szCs w:val="20"/>
              </w:rPr>
            </w:pPr>
            <w:r>
              <w:rPr>
                <w:b/>
                <w:bCs/>
                <w:color w:val="000000"/>
                <w:sz w:val="20"/>
                <w:szCs w:val="20"/>
              </w:rPr>
              <w:t>0.021</w:t>
            </w:r>
          </w:p>
        </w:tc>
        <w:tc>
          <w:tcPr>
            <w:tcW w:w="768" w:type="dxa"/>
            <w:tcBorders>
              <w:top w:val="nil"/>
              <w:left w:val="nil"/>
              <w:bottom w:val="single" w:sz="12" w:space="0" w:color="auto"/>
              <w:right w:val="nil"/>
            </w:tcBorders>
            <w:shd w:val="clear" w:color="auto" w:fill="auto"/>
            <w:noWrap/>
            <w:vAlign w:val="bottom"/>
            <w:hideMark/>
          </w:tcPr>
          <w:p w14:paraId="1DE63E5C" w14:textId="77777777" w:rsidR="00CB2096" w:rsidRDefault="00CB2096">
            <w:pPr>
              <w:jc w:val="right"/>
              <w:rPr>
                <w:b/>
                <w:bCs/>
                <w:color w:val="000000"/>
                <w:sz w:val="20"/>
                <w:szCs w:val="20"/>
              </w:rPr>
            </w:pPr>
            <w:r>
              <w:rPr>
                <w:b/>
                <w:bCs/>
                <w:color w:val="000000"/>
                <w:sz w:val="20"/>
                <w:szCs w:val="20"/>
              </w:rPr>
              <w:t>0.008</w:t>
            </w:r>
          </w:p>
        </w:tc>
        <w:tc>
          <w:tcPr>
            <w:tcW w:w="768" w:type="dxa"/>
            <w:tcBorders>
              <w:top w:val="nil"/>
              <w:left w:val="nil"/>
              <w:bottom w:val="single" w:sz="12" w:space="0" w:color="auto"/>
              <w:right w:val="nil"/>
            </w:tcBorders>
            <w:shd w:val="clear" w:color="auto" w:fill="auto"/>
            <w:noWrap/>
            <w:vAlign w:val="bottom"/>
            <w:hideMark/>
          </w:tcPr>
          <w:p w14:paraId="24F314F5" w14:textId="77777777" w:rsidR="00CB2096" w:rsidRDefault="00CB2096">
            <w:pPr>
              <w:jc w:val="right"/>
              <w:rPr>
                <w:color w:val="000000"/>
                <w:sz w:val="20"/>
                <w:szCs w:val="20"/>
              </w:rPr>
            </w:pPr>
            <w:r>
              <w:rPr>
                <w:color w:val="000000"/>
                <w:sz w:val="20"/>
                <w:szCs w:val="20"/>
              </w:rPr>
              <w:t>0.059</w:t>
            </w:r>
          </w:p>
        </w:tc>
        <w:tc>
          <w:tcPr>
            <w:tcW w:w="768" w:type="dxa"/>
            <w:tcBorders>
              <w:top w:val="nil"/>
              <w:left w:val="nil"/>
              <w:bottom w:val="single" w:sz="12" w:space="0" w:color="auto"/>
              <w:right w:val="nil"/>
            </w:tcBorders>
            <w:shd w:val="clear" w:color="auto" w:fill="auto"/>
            <w:noWrap/>
            <w:vAlign w:val="bottom"/>
            <w:hideMark/>
          </w:tcPr>
          <w:p w14:paraId="1C77C410" w14:textId="77777777" w:rsidR="00CB2096" w:rsidRDefault="00CB2096">
            <w:pPr>
              <w:jc w:val="right"/>
              <w:rPr>
                <w:color w:val="000000"/>
                <w:sz w:val="20"/>
                <w:szCs w:val="20"/>
              </w:rPr>
            </w:pPr>
            <w:r>
              <w:rPr>
                <w:color w:val="000000"/>
                <w:sz w:val="20"/>
                <w:szCs w:val="20"/>
              </w:rPr>
              <w:t>0.324</w:t>
            </w:r>
          </w:p>
        </w:tc>
        <w:tc>
          <w:tcPr>
            <w:tcW w:w="768" w:type="dxa"/>
            <w:tcBorders>
              <w:top w:val="nil"/>
              <w:left w:val="nil"/>
              <w:bottom w:val="single" w:sz="12" w:space="0" w:color="auto"/>
              <w:right w:val="nil"/>
            </w:tcBorders>
            <w:shd w:val="clear" w:color="auto" w:fill="auto"/>
            <w:noWrap/>
            <w:vAlign w:val="bottom"/>
            <w:hideMark/>
          </w:tcPr>
          <w:p w14:paraId="39A9511C" w14:textId="77777777" w:rsidR="00CB2096" w:rsidRDefault="00CB2096">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2F997AF6" w14:textId="77777777" w:rsidR="00CB2096" w:rsidRDefault="00CB2096">
            <w:pPr>
              <w:jc w:val="right"/>
              <w:rPr>
                <w:color w:val="000000"/>
                <w:sz w:val="20"/>
                <w:szCs w:val="20"/>
              </w:rPr>
            </w:pPr>
            <w:r>
              <w:rPr>
                <w:color w:val="000000"/>
                <w:sz w:val="20"/>
                <w:szCs w:val="20"/>
              </w:rPr>
              <w:t>0.064</w:t>
            </w:r>
          </w:p>
        </w:tc>
        <w:tc>
          <w:tcPr>
            <w:tcW w:w="768" w:type="dxa"/>
            <w:tcBorders>
              <w:top w:val="nil"/>
              <w:left w:val="nil"/>
              <w:bottom w:val="single" w:sz="12" w:space="0" w:color="auto"/>
              <w:right w:val="nil"/>
            </w:tcBorders>
            <w:shd w:val="clear" w:color="auto" w:fill="auto"/>
            <w:noWrap/>
            <w:vAlign w:val="bottom"/>
            <w:hideMark/>
          </w:tcPr>
          <w:p w14:paraId="2E0EF667" w14:textId="77777777" w:rsidR="00CB2096" w:rsidRDefault="00CB2096">
            <w:pPr>
              <w:jc w:val="right"/>
              <w:rPr>
                <w:color w:val="000000"/>
                <w:sz w:val="20"/>
                <w:szCs w:val="20"/>
              </w:rPr>
            </w:pPr>
            <w:r>
              <w:rPr>
                <w:color w:val="000000"/>
                <w:sz w:val="20"/>
                <w:szCs w:val="20"/>
              </w:rPr>
              <w:t>0.368</w:t>
            </w:r>
          </w:p>
        </w:tc>
        <w:tc>
          <w:tcPr>
            <w:tcW w:w="768" w:type="dxa"/>
            <w:tcBorders>
              <w:top w:val="nil"/>
              <w:left w:val="nil"/>
              <w:bottom w:val="single" w:sz="12" w:space="0" w:color="auto"/>
              <w:right w:val="nil"/>
            </w:tcBorders>
            <w:shd w:val="clear" w:color="auto" w:fill="auto"/>
            <w:noWrap/>
            <w:vAlign w:val="bottom"/>
            <w:hideMark/>
          </w:tcPr>
          <w:p w14:paraId="0F0F8864" w14:textId="77777777" w:rsidR="00CB2096" w:rsidRDefault="00CB2096">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61F015EE" w14:textId="77777777" w:rsidR="00CB2096" w:rsidRDefault="00CB2096">
            <w:pPr>
              <w:jc w:val="right"/>
              <w:rPr>
                <w:color w:val="000000"/>
                <w:sz w:val="20"/>
                <w:szCs w:val="20"/>
              </w:rPr>
            </w:pPr>
            <w:r>
              <w:rPr>
                <w:color w:val="000000"/>
                <w:sz w:val="20"/>
                <w:szCs w:val="20"/>
              </w:rPr>
              <w:t>-0.025</w:t>
            </w:r>
          </w:p>
        </w:tc>
        <w:tc>
          <w:tcPr>
            <w:tcW w:w="768" w:type="dxa"/>
            <w:tcBorders>
              <w:top w:val="nil"/>
              <w:left w:val="nil"/>
              <w:bottom w:val="single" w:sz="12" w:space="0" w:color="auto"/>
              <w:right w:val="nil"/>
            </w:tcBorders>
            <w:shd w:val="clear" w:color="auto" w:fill="auto"/>
            <w:noWrap/>
            <w:vAlign w:val="bottom"/>
            <w:hideMark/>
          </w:tcPr>
          <w:p w14:paraId="52862EBD" w14:textId="77777777" w:rsidR="00CB2096" w:rsidRDefault="00CB2096">
            <w:pPr>
              <w:jc w:val="right"/>
              <w:rPr>
                <w:color w:val="000000"/>
                <w:sz w:val="20"/>
                <w:szCs w:val="20"/>
              </w:rPr>
            </w:pPr>
            <w:r>
              <w:rPr>
                <w:color w:val="000000"/>
                <w:sz w:val="20"/>
                <w:szCs w:val="20"/>
              </w:rPr>
              <w:t>0.786</w:t>
            </w:r>
          </w:p>
        </w:tc>
        <w:tc>
          <w:tcPr>
            <w:tcW w:w="768" w:type="dxa"/>
            <w:tcBorders>
              <w:top w:val="nil"/>
              <w:left w:val="nil"/>
              <w:bottom w:val="single" w:sz="12" w:space="0" w:color="auto"/>
              <w:right w:val="nil"/>
            </w:tcBorders>
            <w:shd w:val="clear" w:color="auto" w:fill="auto"/>
            <w:noWrap/>
            <w:vAlign w:val="bottom"/>
            <w:hideMark/>
          </w:tcPr>
          <w:p w14:paraId="00BBFC5B" w14:textId="77777777" w:rsidR="00CB2096" w:rsidRDefault="00CB2096">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46CCCD8E" w14:textId="77777777" w:rsidR="00CB2096" w:rsidRDefault="00CB2096">
            <w:pPr>
              <w:jc w:val="right"/>
              <w:rPr>
                <w:color w:val="000000"/>
                <w:sz w:val="20"/>
                <w:szCs w:val="20"/>
              </w:rPr>
            </w:pPr>
            <w:r>
              <w:rPr>
                <w:color w:val="000000"/>
                <w:sz w:val="20"/>
                <w:szCs w:val="20"/>
              </w:rPr>
              <w:t>0.043</w:t>
            </w:r>
          </w:p>
        </w:tc>
        <w:tc>
          <w:tcPr>
            <w:tcW w:w="768" w:type="dxa"/>
            <w:tcBorders>
              <w:top w:val="nil"/>
              <w:left w:val="nil"/>
              <w:bottom w:val="single" w:sz="12" w:space="0" w:color="auto"/>
              <w:right w:val="nil"/>
            </w:tcBorders>
            <w:shd w:val="clear" w:color="auto" w:fill="auto"/>
            <w:noWrap/>
            <w:vAlign w:val="bottom"/>
            <w:hideMark/>
          </w:tcPr>
          <w:p w14:paraId="39F697A8" w14:textId="77777777" w:rsidR="00CB2096" w:rsidRDefault="00CB2096">
            <w:pPr>
              <w:jc w:val="right"/>
              <w:rPr>
                <w:color w:val="000000"/>
                <w:sz w:val="20"/>
                <w:szCs w:val="20"/>
              </w:rPr>
            </w:pPr>
            <w:r>
              <w:rPr>
                <w:color w:val="000000"/>
                <w:sz w:val="20"/>
                <w:szCs w:val="20"/>
              </w:rPr>
              <w:t>0.446</w:t>
            </w:r>
          </w:p>
        </w:tc>
        <w:tc>
          <w:tcPr>
            <w:tcW w:w="768" w:type="dxa"/>
            <w:tcBorders>
              <w:top w:val="nil"/>
              <w:left w:val="nil"/>
              <w:bottom w:val="single" w:sz="12" w:space="0" w:color="auto"/>
              <w:right w:val="nil"/>
            </w:tcBorders>
            <w:shd w:val="clear" w:color="auto" w:fill="auto"/>
            <w:noWrap/>
            <w:vAlign w:val="bottom"/>
            <w:hideMark/>
          </w:tcPr>
          <w:p w14:paraId="4424C985" w14:textId="77777777" w:rsidR="00CB2096" w:rsidRDefault="00CB2096">
            <w:pPr>
              <w:jc w:val="right"/>
              <w:rPr>
                <w:color w:val="000000"/>
                <w:sz w:val="20"/>
                <w:szCs w:val="20"/>
              </w:rPr>
            </w:pPr>
            <w:r>
              <w:rPr>
                <w:color w:val="000000"/>
                <w:sz w:val="20"/>
                <w:szCs w:val="20"/>
              </w:rPr>
              <w:t>0.002</w:t>
            </w:r>
          </w:p>
        </w:tc>
      </w:tr>
      <w:tr w:rsidR="00CB2096" w14:paraId="013953CA" w14:textId="77777777" w:rsidTr="00CB2096">
        <w:trPr>
          <w:trHeight w:val="320"/>
        </w:trPr>
        <w:tc>
          <w:tcPr>
            <w:tcW w:w="1176" w:type="dxa"/>
            <w:tcBorders>
              <w:top w:val="single" w:sz="12" w:space="0" w:color="auto"/>
              <w:left w:val="nil"/>
              <w:bottom w:val="nil"/>
              <w:right w:val="nil"/>
            </w:tcBorders>
            <w:shd w:val="clear" w:color="auto" w:fill="auto"/>
            <w:noWrap/>
            <w:vAlign w:val="bottom"/>
            <w:hideMark/>
          </w:tcPr>
          <w:p w14:paraId="7288197F" w14:textId="77777777" w:rsidR="00CB2096" w:rsidRDefault="00CB2096">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6A470B0E" w14:textId="77777777" w:rsidR="00CB2096" w:rsidRDefault="00CB2096">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428003E8"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422C3BB"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4BBBEB8"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1904DE5"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80914C0"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F6DB2F5"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E775D77"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4494665"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A1E51F4"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83ADF7F"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59CED84"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050CDC0"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6F20EB3"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F2ABB99" w14:textId="77777777" w:rsidR="00CB2096" w:rsidRDefault="00CB20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56BBCDE" w14:textId="77777777" w:rsidR="00CB2096" w:rsidRDefault="00CB2096">
            <w:pPr>
              <w:rPr>
                <w:sz w:val="20"/>
                <w:szCs w:val="20"/>
              </w:rPr>
            </w:pPr>
          </w:p>
        </w:tc>
      </w:tr>
    </w:tbl>
    <w:p w14:paraId="38D275FD" w14:textId="77777777" w:rsidR="00FA3A9A" w:rsidRDefault="00FA3A9A">
      <w:pPr>
        <w:rPr>
          <w:rFonts w:eastAsiaTheme="majorEastAsia"/>
          <w:color w:val="000000" w:themeColor="text1"/>
        </w:rPr>
      </w:pPr>
      <w:r>
        <w:rPr>
          <w:color w:val="000000" w:themeColor="text1"/>
        </w:rPr>
        <w:br w:type="page"/>
      </w:r>
    </w:p>
    <w:p w14:paraId="7D0539CE" w14:textId="567CF1AA" w:rsidR="00FA3A9A" w:rsidRDefault="00432B71" w:rsidP="00FA3A9A">
      <w:pPr>
        <w:pStyle w:val="Heading1"/>
        <w:rPr>
          <w:rFonts w:ascii="Times New Roman" w:hAnsi="Times New Roman" w:cs="Times New Roman"/>
          <w:color w:val="000000" w:themeColor="text1"/>
          <w:sz w:val="24"/>
          <w:szCs w:val="24"/>
        </w:rPr>
      </w:pPr>
      <w:bookmarkStart w:id="57" w:name="_Toc155817724"/>
      <w:r>
        <w:rPr>
          <w:rFonts w:ascii="Times New Roman" w:hAnsi="Times New Roman" w:cs="Times New Roman"/>
          <w:b/>
          <w:bCs/>
          <w:color w:val="000000" w:themeColor="text1"/>
          <w:sz w:val="24"/>
          <w:szCs w:val="24"/>
        </w:rPr>
        <w:lastRenderedPageBreak/>
        <w:t xml:space="preserve">Table </w:t>
      </w:r>
      <w:r w:rsidR="00FA3A9A">
        <w:rPr>
          <w:rFonts w:ascii="Times New Roman" w:hAnsi="Times New Roman" w:cs="Times New Roman"/>
          <w:b/>
          <w:bCs/>
          <w:color w:val="000000" w:themeColor="text1"/>
          <w:sz w:val="24"/>
          <w:szCs w:val="24"/>
        </w:rPr>
        <w:t>2</w:t>
      </w:r>
      <w:r w:rsidR="00EF3DD9">
        <w:rPr>
          <w:rFonts w:ascii="Times New Roman" w:hAnsi="Times New Roman" w:cs="Times New Roman"/>
          <w:b/>
          <w:bCs/>
          <w:color w:val="000000" w:themeColor="text1"/>
          <w:sz w:val="24"/>
          <w:szCs w:val="24"/>
        </w:rPr>
        <w:t>3</w:t>
      </w:r>
      <w:r w:rsidR="00FA3A9A">
        <w:rPr>
          <w:rFonts w:ascii="Times New Roman" w:hAnsi="Times New Roman" w:cs="Times New Roman"/>
          <w:b/>
          <w:bCs/>
          <w:color w:val="000000" w:themeColor="text1"/>
          <w:sz w:val="24"/>
          <w:szCs w:val="24"/>
        </w:rPr>
        <w:t>b</w:t>
      </w:r>
      <w:r w:rsidR="00FA3A9A" w:rsidRPr="009E2A20">
        <w:rPr>
          <w:rFonts w:ascii="Times New Roman" w:hAnsi="Times New Roman" w:cs="Times New Roman"/>
          <w:b/>
          <w:bCs/>
          <w:color w:val="000000" w:themeColor="text1"/>
          <w:sz w:val="24"/>
          <w:szCs w:val="24"/>
        </w:rPr>
        <w:t xml:space="preserve">. </w:t>
      </w:r>
      <w:r w:rsidR="00FA3A9A" w:rsidRPr="009E2A20">
        <w:rPr>
          <w:rFonts w:ascii="Times New Roman" w:hAnsi="Times New Roman" w:cs="Times New Roman"/>
          <w:color w:val="000000" w:themeColor="text1"/>
          <w:sz w:val="24"/>
          <w:szCs w:val="24"/>
        </w:rPr>
        <w:t xml:space="preserve">Results examining the relationship between environmental stress factors obtained from </w:t>
      </w:r>
      <w:r w:rsidR="00FA3A9A">
        <w:rPr>
          <w:rFonts w:ascii="Times New Roman" w:hAnsi="Times New Roman" w:cs="Times New Roman"/>
          <w:color w:val="000000" w:themeColor="text1"/>
          <w:sz w:val="24"/>
          <w:szCs w:val="24"/>
        </w:rPr>
        <w:t>higher-order</w:t>
      </w:r>
      <w:r w:rsidR="00FA3A9A" w:rsidRPr="009E2A20">
        <w:rPr>
          <w:rFonts w:ascii="Times New Roman" w:hAnsi="Times New Roman" w:cs="Times New Roman"/>
          <w:color w:val="000000" w:themeColor="text1"/>
          <w:sz w:val="24"/>
          <w:szCs w:val="24"/>
        </w:rPr>
        <w:t xml:space="preserve"> modeling and Shen-268 network </w:t>
      </w:r>
      <w:r w:rsidR="00FA3A9A">
        <w:rPr>
          <w:rFonts w:ascii="Times New Roman" w:hAnsi="Times New Roman" w:cs="Times New Roman"/>
          <w:color w:val="000000" w:themeColor="text1"/>
          <w:sz w:val="24"/>
          <w:szCs w:val="24"/>
        </w:rPr>
        <w:t xml:space="preserve">local efficiency </w:t>
      </w:r>
      <w:r w:rsidR="00FA3A9A" w:rsidRPr="009E2A20">
        <w:rPr>
          <w:rFonts w:ascii="Times New Roman" w:hAnsi="Times New Roman" w:cs="Times New Roman"/>
          <w:color w:val="000000" w:themeColor="text1"/>
          <w:sz w:val="24"/>
          <w:szCs w:val="24"/>
        </w:rPr>
        <w:t>during rest</w:t>
      </w:r>
      <w:r w:rsidR="00FA3A9A">
        <w:rPr>
          <w:rFonts w:ascii="Times New Roman" w:hAnsi="Times New Roman" w:cs="Times New Roman"/>
          <w:color w:val="000000" w:themeColor="text1"/>
          <w:sz w:val="24"/>
          <w:szCs w:val="24"/>
        </w:rPr>
        <w:t xml:space="preserve"> controlling for medication</w:t>
      </w:r>
      <w:bookmarkEnd w:id="57"/>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FA1B5C" w14:paraId="48D0907E"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7DD33D7E" w14:textId="77777777" w:rsidR="00FA1B5C" w:rsidRDefault="00FA1B5C">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2BEB0116" w14:textId="77777777" w:rsidR="00FA1B5C" w:rsidRDefault="00FA1B5C">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71957BA3" w14:textId="77777777" w:rsidR="00FA1B5C" w:rsidRDefault="00FA1B5C">
            <w:pPr>
              <w:rPr>
                <w:color w:val="000000"/>
              </w:rPr>
            </w:pPr>
          </w:p>
        </w:tc>
        <w:tc>
          <w:tcPr>
            <w:tcW w:w="768" w:type="dxa"/>
            <w:tcBorders>
              <w:top w:val="nil"/>
              <w:left w:val="nil"/>
              <w:bottom w:val="single" w:sz="12" w:space="0" w:color="auto"/>
              <w:right w:val="nil"/>
            </w:tcBorders>
            <w:shd w:val="clear" w:color="auto" w:fill="auto"/>
            <w:noWrap/>
            <w:vAlign w:val="bottom"/>
            <w:hideMark/>
          </w:tcPr>
          <w:p w14:paraId="0EB50378"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152D1C2"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145DE09"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063E1F4"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2E009A9"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7DF5ED3"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F45BAF7"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122684E"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0083241"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57CD11E"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06F15C8"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0A38819"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CA91D65" w14:textId="77777777" w:rsidR="00FA1B5C" w:rsidRDefault="00FA1B5C">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ED97E57" w14:textId="77777777" w:rsidR="00FA1B5C" w:rsidRDefault="00FA1B5C">
            <w:pPr>
              <w:rPr>
                <w:sz w:val="20"/>
                <w:szCs w:val="20"/>
              </w:rPr>
            </w:pPr>
          </w:p>
        </w:tc>
      </w:tr>
      <w:tr w:rsidR="00FA1B5C" w14:paraId="42EA849C" w14:textId="77777777" w:rsidTr="00EE0A4C">
        <w:trPr>
          <w:trHeight w:val="340"/>
        </w:trPr>
        <w:tc>
          <w:tcPr>
            <w:tcW w:w="1176" w:type="dxa"/>
            <w:tcBorders>
              <w:top w:val="single" w:sz="12" w:space="0" w:color="auto"/>
              <w:left w:val="nil"/>
              <w:bottom w:val="nil"/>
              <w:right w:val="nil"/>
            </w:tcBorders>
            <w:shd w:val="clear" w:color="auto" w:fill="auto"/>
            <w:noWrap/>
            <w:vAlign w:val="bottom"/>
            <w:hideMark/>
          </w:tcPr>
          <w:p w14:paraId="04441728" w14:textId="77777777" w:rsidR="00FA1B5C" w:rsidRDefault="00FA1B5C">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33903CA" w14:textId="77777777" w:rsidR="00FA1B5C" w:rsidRDefault="00FA1B5C">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7D53474D" w14:textId="77777777" w:rsidR="00FA1B5C" w:rsidRDefault="00FA1B5C">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EE35CE4" w14:textId="77777777" w:rsidR="00FA1B5C" w:rsidRDefault="00FA1B5C">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36F83D9" w14:textId="77777777" w:rsidR="00FA1B5C" w:rsidRDefault="00FA1B5C">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82200C3" w14:textId="77777777" w:rsidR="00FA1B5C" w:rsidRDefault="00FA1B5C">
            <w:pPr>
              <w:jc w:val="center"/>
              <w:rPr>
                <w:color w:val="000000"/>
                <w:sz w:val="20"/>
                <w:szCs w:val="20"/>
              </w:rPr>
            </w:pPr>
            <w:r>
              <w:rPr>
                <w:color w:val="000000"/>
                <w:sz w:val="20"/>
                <w:szCs w:val="20"/>
              </w:rPr>
              <w:t>SES</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6B840617" w14:textId="77777777" w:rsidR="00FA1B5C" w:rsidRDefault="00FA1B5C">
            <w:pPr>
              <w:jc w:val="center"/>
              <w:rPr>
                <w:color w:val="000000"/>
                <w:sz w:val="20"/>
                <w:szCs w:val="20"/>
              </w:rPr>
            </w:pPr>
            <w:r>
              <w:rPr>
                <w:color w:val="000000"/>
                <w:sz w:val="20"/>
                <w:szCs w:val="20"/>
              </w:rPr>
              <w:t>Urbanicity</w:t>
            </w:r>
          </w:p>
        </w:tc>
      </w:tr>
      <w:tr w:rsidR="00FA1B5C" w14:paraId="43BDAAD2" w14:textId="77777777" w:rsidTr="00EE0A4C">
        <w:trPr>
          <w:trHeight w:val="360"/>
        </w:trPr>
        <w:tc>
          <w:tcPr>
            <w:tcW w:w="1176" w:type="dxa"/>
            <w:tcBorders>
              <w:top w:val="nil"/>
              <w:left w:val="nil"/>
              <w:bottom w:val="single" w:sz="12" w:space="0" w:color="auto"/>
              <w:right w:val="nil"/>
            </w:tcBorders>
            <w:shd w:val="clear" w:color="auto" w:fill="auto"/>
            <w:noWrap/>
            <w:vAlign w:val="bottom"/>
            <w:hideMark/>
          </w:tcPr>
          <w:p w14:paraId="39EE3003" w14:textId="77777777" w:rsidR="00FA1B5C" w:rsidRDefault="00FA1B5C">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01B4A6AE" w14:textId="77777777" w:rsidR="00FA1B5C" w:rsidRDefault="00FA1B5C">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0A6B0E8C" w14:textId="77777777" w:rsidR="00FA1B5C" w:rsidRDefault="00FA1B5C">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819C037" w14:textId="77777777" w:rsidR="00FA1B5C" w:rsidRDefault="00FA1B5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EEFE706" w14:textId="77777777" w:rsidR="00FA1B5C" w:rsidRDefault="00FA1B5C">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747E8EB1" w14:textId="77777777" w:rsidR="00FA1B5C" w:rsidRDefault="00FA1B5C">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6352160" w14:textId="77777777" w:rsidR="00FA1B5C" w:rsidRDefault="00FA1B5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F4E2A21" w14:textId="77777777" w:rsidR="00FA1B5C" w:rsidRDefault="00FA1B5C">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4B30E0D" w14:textId="77777777" w:rsidR="00FA1B5C" w:rsidRDefault="00FA1B5C">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42EEF4D" w14:textId="77777777" w:rsidR="00FA1B5C" w:rsidRDefault="00FA1B5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79F29FF" w14:textId="77777777" w:rsidR="00FA1B5C" w:rsidRDefault="00FA1B5C">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101B115A" w14:textId="77777777" w:rsidR="00FA1B5C" w:rsidRDefault="00FA1B5C">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9756AE1" w14:textId="77777777" w:rsidR="00FA1B5C" w:rsidRDefault="00FA1B5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8923AFE" w14:textId="77777777" w:rsidR="00FA1B5C" w:rsidRDefault="00FA1B5C">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0CEDE27E" w14:textId="77777777" w:rsidR="00FA1B5C" w:rsidRDefault="00FA1B5C">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D16A270" w14:textId="77777777" w:rsidR="00FA1B5C" w:rsidRDefault="00FA1B5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862720A" w14:textId="77777777" w:rsidR="00FA1B5C" w:rsidRDefault="00FA1B5C">
            <w:pPr>
              <w:jc w:val="center"/>
              <w:rPr>
                <w:i/>
                <w:iCs/>
                <w:color w:val="000000"/>
                <w:sz w:val="20"/>
                <w:szCs w:val="20"/>
              </w:rPr>
            </w:pPr>
            <w:r>
              <w:rPr>
                <w:i/>
                <w:iCs/>
                <w:color w:val="000000"/>
                <w:sz w:val="20"/>
                <w:szCs w:val="20"/>
              </w:rPr>
              <w:t>R2</w:t>
            </w:r>
          </w:p>
        </w:tc>
      </w:tr>
      <w:tr w:rsidR="00FA1B5C" w14:paraId="3F64DFE2"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5E4F152D" w14:textId="77777777" w:rsidR="00FA1B5C" w:rsidRDefault="00FA1B5C">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1AEC45DA" w14:textId="77777777" w:rsidR="00FA1B5C" w:rsidRDefault="00FA1B5C">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75408240" w14:textId="77777777" w:rsidR="00FA1B5C" w:rsidRDefault="00FA1B5C">
            <w:pPr>
              <w:jc w:val="right"/>
              <w:rPr>
                <w:color w:val="000000"/>
                <w:sz w:val="20"/>
                <w:szCs w:val="20"/>
              </w:rPr>
            </w:pPr>
            <w:r>
              <w:rPr>
                <w:color w:val="000000"/>
                <w:sz w:val="20"/>
                <w:szCs w:val="20"/>
              </w:rPr>
              <w:t>-0.033</w:t>
            </w:r>
          </w:p>
        </w:tc>
        <w:tc>
          <w:tcPr>
            <w:tcW w:w="768" w:type="dxa"/>
            <w:tcBorders>
              <w:top w:val="single" w:sz="12" w:space="0" w:color="auto"/>
              <w:left w:val="nil"/>
              <w:bottom w:val="nil"/>
              <w:right w:val="nil"/>
            </w:tcBorders>
            <w:shd w:val="clear" w:color="auto" w:fill="auto"/>
            <w:noWrap/>
            <w:vAlign w:val="bottom"/>
            <w:hideMark/>
          </w:tcPr>
          <w:p w14:paraId="46D1CB15" w14:textId="77777777" w:rsidR="00FA1B5C" w:rsidRDefault="00FA1B5C">
            <w:pPr>
              <w:jc w:val="right"/>
              <w:rPr>
                <w:color w:val="000000"/>
                <w:sz w:val="20"/>
                <w:szCs w:val="20"/>
              </w:rPr>
            </w:pPr>
            <w:r>
              <w:rPr>
                <w:color w:val="000000"/>
                <w:sz w:val="20"/>
                <w:szCs w:val="20"/>
              </w:rPr>
              <w:t>0.657</w:t>
            </w:r>
          </w:p>
        </w:tc>
        <w:tc>
          <w:tcPr>
            <w:tcW w:w="768" w:type="dxa"/>
            <w:tcBorders>
              <w:top w:val="single" w:sz="12" w:space="0" w:color="auto"/>
              <w:left w:val="nil"/>
              <w:bottom w:val="nil"/>
              <w:right w:val="nil"/>
            </w:tcBorders>
            <w:shd w:val="clear" w:color="auto" w:fill="auto"/>
            <w:noWrap/>
            <w:vAlign w:val="bottom"/>
            <w:hideMark/>
          </w:tcPr>
          <w:p w14:paraId="7968CBF4" w14:textId="77777777" w:rsidR="00FA1B5C" w:rsidRDefault="00FA1B5C">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44653BFD" w14:textId="77777777" w:rsidR="00FA1B5C" w:rsidRDefault="00FA1B5C">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7ABB258F" w14:textId="77777777" w:rsidR="00FA1B5C" w:rsidRDefault="00FA1B5C">
            <w:pPr>
              <w:jc w:val="right"/>
              <w:rPr>
                <w:color w:val="000000"/>
                <w:sz w:val="20"/>
                <w:szCs w:val="20"/>
              </w:rPr>
            </w:pPr>
            <w:r>
              <w:rPr>
                <w:color w:val="000000"/>
                <w:sz w:val="20"/>
                <w:szCs w:val="20"/>
              </w:rPr>
              <w:t>0.741</w:t>
            </w:r>
          </w:p>
        </w:tc>
        <w:tc>
          <w:tcPr>
            <w:tcW w:w="768" w:type="dxa"/>
            <w:tcBorders>
              <w:top w:val="single" w:sz="12" w:space="0" w:color="auto"/>
              <w:left w:val="nil"/>
              <w:bottom w:val="nil"/>
              <w:right w:val="nil"/>
            </w:tcBorders>
            <w:shd w:val="clear" w:color="auto" w:fill="auto"/>
            <w:noWrap/>
            <w:vAlign w:val="bottom"/>
            <w:hideMark/>
          </w:tcPr>
          <w:p w14:paraId="789CD82E" w14:textId="77777777" w:rsidR="00FA1B5C" w:rsidRDefault="00FA1B5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41E5905" w14:textId="77777777" w:rsidR="00FA1B5C" w:rsidRDefault="00FA1B5C">
            <w:pPr>
              <w:jc w:val="right"/>
              <w:rPr>
                <w:color w:val="000000"/>
                <w:sz w:val="20"/>
                <w:szCs w:val="20"/>
              </w:rPr>
            </w:pPr>
            <w:r>
              <w:rPr>
                <w:color w:val="000000"/>
                <w:sz w:val="20"/>
                <w:szCs w:val="20"/>
              </w:rPr>
              <w:t>0.002</w:t>
            </w:r>
          </w:p>
        </w:tc>
        <w:tc>
          <w:tcPr>
            <w:tcW w:w="768" w:type="dxa"/>
            <w:tcBorders>
              <w:top w:val="single" w:sz="12" w:space="0" w:color="auto"/>
              <w:left w:val="nil"/>
              <w:bottom w:val="nil"/>
              <w:right w:val="nil"/>
            </w:tcBorders>
            <w:shd w:val="clear" w:color="auto" w:fill="auto"/>
            <w:noWrap/>
            <w:vAlign w:val="bottom"/>
            <w:hideMark/>
          </w:tcPr>
          <w:p w14:paraId="0B49D57C" w14:textId="77777777" w:rsidR="00FA1B5C" w:rsidRDefault="00FA1B5C">
            <w:pPr>
              <w:jc w:val="right"/>
              <w:rPr>
                <w:color w:val="000000"/>
                <w:sz w:val="20"/>
                <w:szCs w:val="20"/>
              </w:rPr>
            </w:pPr>
            <w:r>
              <w:rPr>
                <w:color w:val="000000"/>
                <w:sz w:val="20"/>
                <w:szCs w:val="20"/>
              </w:rPr>
              <w:t>0.933</w:t>
            </w:r>
          </w:p>
        </w:tc>
        <w:tc>
          <w:tcPr>
            <w:tcW w:w="768" w:type="dxa"/>
            <w:tcBorders>
              <w:top w:val="single" w:sz="12" w:space="0" w:color="auto"/>
              <w:left w:val="nil"/>
              <w:bottom w:val="nil"/>
              <w:right w:val="nil"/>
            </w:tcBorders>
            <w:shd w:val="clear" w:color="auto" w:fill="auto"/>
            <w:noWrap/>
            <w:vAlign w:val="bottom"/>
            <w:hideMark/>
          </w:tcPr>
          <w:p w14:paraId="2A8FA029" w14:textId="77777777" w:rsidR="00FA1B5C" w:rsidRDefault="00FA1B5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62FFFB84" w14:textId="77777777" w:rsidR="00FA1B5C" w:rsidRDefault="00FA1B5C">
            <w:pPr>
              <w:jc w:val="right"/>
              <w:rPr>
                <w:color w:val="000000"/>
                <w:sz w:val="20"/>
                <w:szCs w:val="20"/>
              </w:rPr>
            </w:pPr>
            <w:r>
              <w:rPr>
                <w:color w:val="000000"/>
                <w:sz w:val="20"/>
                <w:szCs w:val="20"/>
              </w:rPr>
              <w:t>-0.012</w:t>
            </w:r>
          </w:p>
        </w:tc>
        <w:tc>
          <w:tcPr>
            <w:tcW w:w="768" w:type="dxa"/>
            <w:tcBorders>
              <w:top w:val="single" w:sz="12" w:space="0" w:color="auto"/>
              <w:left w:val="nil"/>
              <w:bottom w:val="nil"/>
              <w:right w:val="nil"/>
            </w:tcBorders>
            <w:shd w:val="clear" w:color="auto" w:fill="auto"/>
            <w:noWrap/>
            <w:vAlign w:val="bottom"/>
            <w:hideMark/>
          </w:tcPr>
          <w:p w14:paraId="1160E0C1" w14:textId="77777777" w:rsidR="00FA1B5C" w:rsidRDefault="00FA1B5C">
            <w:pPr>
              <w:jc w:val="right"/>
              <w:rPr>
                <w:color w:val="000000"/>
                <w:sz w:val="20"/>
                <w:szCs w:val="20"/>
              </w:rPr>
            </w:pPr>
            <w:r>
              <w:rPr>
                <w:color w:val="000000"/>
                <w:sz w:val="20"/>
                <w:szCs w:val="20"/>
              </w:rPr>
              <w:t>0.688</w:t>
            </w:r>
          </w:p>
        </w:tc>
        <w:tc>
          <w:tcPr>
            <w:tcW w:w="768" w:type="dxa"/>
            <w:tcBorders>
              <w:top w:val="single" w:sz="12" w:space="0" w:color="auto"/>
              <w:left w:val="nil"/>
              <w:bottom w:val="nil"/>
              <w:right w:val="nil"/>
            </w:tcBorders>
            <w:shd w:val="clear" w:color="auto" w:fill="auto"/>
            <w:noWrap/>
            <w:vAlign w:val="bottom"/>
            <w:hideMark/>
          </w:tcPr>
          <w:p w14:paraId="4C9B11DF" w14:textId="77777777" w:rsidR="00FA1B5C" w:rsidRDefault="00FA1B5C">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40975F8" w14:textId="77777777" w:rsidR="00FA1B5C" w:rsidRDefault="00FA1B5C">
            <w:pPr>
              <w:jc w:val="right"/>
              <w:rPr>
                <w:color w:val="000000"/>
                <w:sz w:val="20"/>
                <w:szCs w:val="20"/>
              </w:rPr>
            </w:pPr>
            <w:r>
              <w:rPr>
                <w:color w:val="000000"/>
                <w:sz w:val="20"/>
                <w:szCs w:val="20"/>
              </w:rPr>
              <w:t>-0.035</w:t>
            </w:r>
          </w:p>
        </w:tc>
        <w:tc>
          <w:tcPr>
            <w:tcW w:w="768" w:type="dxa"/>
            <w:tcBorders>
              <w:top w:val="single" w:sz="12" w:space="0" w:color="auto"/>
              <w:left w:val="nil"/>
              <w:bottom w:val="nil"/>
              <w:right w:val="nil"/>
            </w:tcBorders>
            <w:shd w:val="clear" w:color="auto" w:fill="auto"/>
            <w:noWrap/>
            <w:vAlign w:val="bottom"/>
            <w:hideMark/>
          </w:tcPr>
          <w:p w14:paraId="29FFA2C2" w14:textId="77777777" w:rsidR="00FA1B5C" w:rsidRDefault="00FA1B5C">
            <w:pPr>
              <w:jc w:val="right"/>
              <w:rPr>
                <w:color w:val="000000"/>
                <w:sz w:val="20"/>
                <w:szCs w:val="20"/>
              </w:rPr>
            </w:pPr>
            <w:r>
              <w:rPr>
                <w:color w:val="000000"/>
                <w:sz w:val="20"/>
                <w:szCs w:val="20"/>
              </w:rPr>
              <w:t>0.680</w:t>
            </w:r>
          </w:p>
        </w:tc>
        <w:tc>
          <w:tcPr>
            <w:tcW w:w="768" w:type="dxa"/>
            <w:tcBorders>
              <w:top w:val="single" w:sz="12" w:space="0" w:color="auto"/>
              <w:left w:val="nil"/>
              <w:bottom w:val="nil"/>
              <w:right w:val="nil"/>
            </w:tcBorders>
            <w:shd w:val="clear" w:color="auto" w:fill="auto"/>
            <w:noWrap/>
            <w:vAlign w:val="bottom"/>
            <w:hideMark/>
          </w:tcPr>
          <w:p w14:paraId="4F13A319" w14:textId="77777777" w:rsidR="00FA1B5C" w:rsidRDefault="00FA1B5C">
            <w:pPr>
              <w:jc w:val="right"/>
              <w:rPr>
                <w:color w:val="000000"/>
                <w:sz w:val="20"/>
                <w:szCs w:val="20"/>
              </w:rPr>
            </w:pPr>
            <w:r>
              <w:rPr>
                <w:color w:val="000000"/>
                <w:sz w:val="20"/>
                <w:szCs w:val="20"/>
              </w:rPr>
              <w:t>0.001</w:t>
            </w:r>
          </w:p>
        </w:tc>
      </w:tr>
      <w:tr w:rsidR="00FA1B5C" w14:paraId="253E1A96" w14:textId="77777777" w:rsidTr="00FA1B5C">
        <w:trPr>
          <w:trHeight w:val="340"/>
        </w:trPr>
        <w:tc>
          <w:tcPr>
            <w:tcW w:w="1176" w:type="dxa"/>
            <w:tcBorders>
              <w:top w:val="nil"/>
              <w:left w:val="nil"/>
              <w:bottom w:val="nil"/>
              <w:right w:val="nil"/>
            </w:tcBorders>
            <w:shd w:val="clear" w:color="auto" w:fill="auto"/>
            <w:noWrap/>
            <w:vAlign w:val="bottom"/>
            <w:hideMark/>
          </w:tcPr>
          <w:p w14:paraId="1BEDA6DD"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2723E3" w14:textId="77777777" w:rsidR="00FA1B5C" w:rsidRDefault="00FA1B5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3986667" w14:textId="77777777" w:rsidR="00FA1B5C" w:rsidRDefault="00FA1B5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89D33F8" w14:textId="77777777" w:rsidR="00FA1B5C" w:rsidRDefault="00FA1B5C">
            <w:pPr>
              <w:jc w:val="right"/>
              <w:rPr>
                <w:color w:val="000000"/>
                <w:sz w:val="20"/>
                <w:szCs w:val="20"/>
              </w:rPr>
            </w:pPr>
            <w:r>
              <w:rPr>
                <w:color w:val="000000"/>
                <w:sz w:val="20"/>
                <w:szCs w:val="20"/>
              </w:rPr>
              <w:t>0.776</w:t>
            </w:r>
          </w:p>
        </w:tc>
        <w:tc>
          <w:tcPr>
            <w:tcW w:w="768" w:type="dxa"/>
            <w:tcBorders>
              <w:top w:val="nil"/>
              <w:left w:val="nil"/>
              <w:bottom w:val="nil"/>
              <w:right w:val="nil"/>
            </w:tcBorders>
            <w:shd w:val="clear" w:color="auto" w:fill="auto"/>
            <w:noWrap/>
            <w:vAlign w:val="bottom"/>
            <w:hideMark/>
          </w:tcPr>
          <w:p w14:paraId="11DF6D90"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7AF731" w14:textId="77777777" w:rsidR="00FA1B5C" w:rsidRDefault="00FA1B5C">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F69F062" w14:textId="77777777" w:rsidR="00FA1B5C" w:rsidRDefault="00FA1B5C">
            <w:pPr>
              <w:jc w:val="right"/>
              <w:rPr>
                <w:color w:val="000000"/>
                <w:sz w:val="20"/>
                <w:szCs w:val="20"/>
              </w:rPr>
            </w:pPr>
            <w:r>
              <w:rPr>
                <w:color w:val="000000"/>
                <w:sz w:val="20"/>
                <w:szCs w:val="20"/>
              </w:rPr>
              <w:t>0.525</w:t>
            </w:r>
          </w:p>
        </w:tc>
        <w:tc>
          <w:tcPr>
            <w:tcW w:w="768" w:type="dxa"/>
            <w:tcBorders>
              <w:top w:val="nil"/>
              <w:left w:val="nil"/>
              <w:bottom w:val="nil"/>
              <w:right w:val="nil"/>
            </w:tcBorders>
            <w:shd w:val="clear" w:color="auto" w:fill="auto"/>
            <w:noWrap/>
            <w:vAlign w:val="bottom"/>
            <w:hideMark/>
          </w:tcPr>
          <w:p w14:paraId="7E37DAC8"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D11C2C" w14:textId="77777777" w:rsidR="00FA1B5C" w:rsidRDefault="00FA1B5C">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432A504" w14:textId="77777777" w:rsidR="00FA1B5C" w:rsidRDefault="00FA1B5C">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35F16CE9"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EBF40D" w14:textId="77777777" w:rsidR="00FA1B5C" w:rsidRDefault="00FA1B5C">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3BFE3C30" w14:textId="77777777" w:rsidR="00FA1B5C" w:rsidRDefault="00FA1B5C">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2357D063"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E21C5C" w14:textId="77777777" w:rsidR="00FA1B5C" w:rsidRDefault="00FA1B5C">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4F66F0AE" w14:textId="77777777" w:rsidR="00FA1B5C" w:rsidRDefault="00FA1B5C">
            <w:pPr>
              <w:jc w:val="right"/>
              <w:rPr>
                <w:color w:val="000000"/>
                <w:sz w:val="20"/>
                <w:szCs w:val="20"/>
              </w:rPr>
            </w:pPr>
            <w:r>
              <w:rPr>
                <w:color w:val="000000"/>
                <w:sz w:val="20"/>
                <w:szCs w:val="20"/>
              </w:rPr>
              <w:t>0.468</w:t>
            </w:r>
          </w:p>
        </w:tc>
        <w:tc>
          <w:tcPr>
            <w:tcW w:w="768" w:type="dxa"/>
            <w:tcBorders>
              <w:top w:val="nil"/>
              <w:left w:val="nil"/>
              <w:bottom w:val="nil"/>
              <w:right w:val="nil"/>
            </w:tcBorders>
            <w:shd w:val="clear" w:color="auto" w:fill="auto"/>
            <w:noWrap/>
            <w:vAlign w:val="bottom"/>
            <w:hideMark/>
          </w:tcPr>
          <w:p w14:paraId="3B2C1568" w14:textId="77777777" w:rsidR="00FA1B5C" w:rsidRDefault="00FA1B5C">
            <w:pPr>
              <w:jc w:val="right"/>
              <w:rPr>
                <w:color w:val="000000"/>
                <w:sz w:val="20"/>
                <w:szCs w:val="20"/>
              </w:rPr>
            </w:pPr>
            <w:r>
              <w:rPr>
                <w:color w:val="000000"/>
                <w:sz w:val="20"/>
                <w:szCs w:val="20"/>
              </w:rPr>
              <w:t>0.004</w:t>
            </w:r>
          </w:p>
        </w:tc>
      </w:tr>
      <w:tr w:rsidR="00FA1B5C" w14:paraId="0AB9E45C" w14:textId="77777777" w:rsidTr="00FA1B5C">
        <w:trPr>
          <w:trHeight w:val="320"/>
        </w:trPr>
        <w:tc>
          <w:tcPr>
            <w:tcW w:w="1176" w:type="dxa"/>
            <w:tcBorders>
              <w:top w:val="nil"/>
              <w:left w:val="nil"/>
              <w:bottom w:val="nil"/>
              <w:right w:val="nil"/>
            </w:tcBorders>
            <w:shd w:val="clear" w:color="auto" w:fill="auto"/>
            <w:noWrap/>
            <w:vAlign w:val="bottom"/>
            <w:hideMark/>
          </w:tcPr>
          <w:p w14:paraId="5A8EC43B"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20B002C" w14:textId="77777777" w:rsidR="00FA1B5C" w:rsidRDefault="00FA1B5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B1271AC" w14:textId="77777777" w:rsidR="00FA1B5C" w:rsidRDefault="00FA1B5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D9FBD95" w14:textId="77777777" w:rsidR="00FA1B5C" w:rsidRDefault="00FA1B5C">
            <w:pPr>
              <w:jc w:val="right"/>
              <w:rPr>
                <w:color w:val="000000"/>
                <w:sz w:val="20"/>
                <w:szCs w:val="20"/>
              </w:rPr>
            </w:pPr>
            <w:r>
              <w:rPr>
                <w:color w:val="000000"/>
                <w:sz w:val="20"/>
                <w:szCs w:val="20"/>
              </w:rPr>
              <w:t>0.776</w:t>
            </w:r>
          </w:p>
        </w:tc>
        <w:tc>
          <w:tcPr>
            <w:tcW w:w="768" w:type="dxa"/>
            <w:tcBorders>
              <w:top w:val="nil"/>
              <w:left w:val="nil"/>
              <w:bottom w:val="nil"/>
              <w:right w:val="nil"/>
            </w:tcBorders>
            <w:shd w:val="clear" w:color="auto" w:fill="auto"/>
            <w:noWrap/>
            <w:vAlign w:val="bottom"/>
            <w:hideMark/>
          </w:tcPr>
          <w:p w14:paraId="3438DEC3"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C6AC52" w14:textId="77777777" w:rsidR="00FA1B5C" w:rsidRDefault="00FA1B5C">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54CD7238" w14:textId="77777777" w:rsidR="00FA1B5C" w:rsidRDefault="00FA1B5C">
            <w:pPr>
              <w:jc w:val="right"/>
              <w:rPr>
                <w:color w:val="000000"/>
                <w:sz w:val="20"/>
                <w:szCs w:val="20"/>
              </w:rPr>
            </w:pPr>
            <w:r>
              <w:rPr>
                <w:color w:val="000000"/>
                <w:sz w:val="20"/>
                <w:szCs w:val="20"/>
              </w:rPr>
              <w:t>0.300</w:t>
            </w:r>
          </w:p>
        </w:tc>
        <w:tc>
          <w:tcPr>
            <w:tcW w:w="768" w:type="dxa"/>
            <w:tcBorders>
              <w:top w:val="nil"/>
              <w:left w:val="nil"/>
              <w:bottom w:val="nil"/>
              <w:right w:val="nil"/>
            </w:tcBorders>
            <w:shd w:val="clear" w:color="auto" w:fill="auto"/>
            <w:noWrap/>
            <w:vAlign w:val="bottom"/>
            <w:hideMark/>
          </w:tcPr>
          <w:p w14:paraId="68A3C388" w14:textId="77777777" w:rsidR="00FA1B5C" w:rsidRDefault="00FA1B5C">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D91158A" w14:textId="77777777" w:rsidR="00FA1B5C" w:rsidRDefault="00FA1B5C">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71F446DE" w14:textId="77777777" w:rsidR="00FA1B5C" w:rsidRDefault="00FA1B5C">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434F96AE" w14:textId="77777777" w:rsidR="00FA1B5C" w:rsidRDefault="00FA1B5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F545791" w14:textId="77777777" w:rsidR="00FA1B5C" w:rsidRDefault="00FA1B5C">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41B04505" w14:textId="77777777" w:rsidR="00FA1B5C" w:rsidRDefault="00FA1B5C">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2254A783"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4AB0623" w14:textId="77777777" w:rsidR="00FA1B5C" w:rsidRDefault="00FA1B5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017335F" w14:textId="77777777" w:rsidR="00FA1B5C" w:rsidRDefault="00FA1B5C">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251AA85E" w14:textId="77777777" w:rsidR="00FA1B5C" w:rsidRDefault="00FA1B5C">
            <w:pPr>
              <w:jc w:val="right"/>
              <w:rPr>
                <w:color w:val="000000"/>
                <w:sz w:val="20"/>
                <w:szCs w:val="20"/>
              </w:rPr>
            </w:pPr>
            <w:r>
              <w:rPr>
                <w:color w:val="000000"/>
                <w:sz w:val="20"/>
                <w:szCs w:val="20"/>
              </w:rPr>
              <w:t>0.000</w:t>
            </w:r>
          </w:p>
        </w:tc>
      </w:tr>
      <w:tr w:rsidR="00FA1B5C" w14:paraId="74BDF685" w14:textId="77777777" w:rsidTr="00FA1B5C">
        <w:trPr>
          <w:trHeight w:val="320"/>
        </w:trPr>
        <w:tc>
          <w:tcPr>
            <w:tcW w:w="1176" w:type="dxa"/>
            <w:tcBorders>
              <w:top w:val="nil"/>
              <w:left w:val="nil"/>
              <w:bottom w:val="nil"/>
              <w:right w:val="nil"/>
            </w:tcBorders>
            <w:shd w:val="clear" w:color="auto" w:fill="auto"/>
            <w:noWrap/>
            <w:vAlign w:val="bottom"/>
            <w:hideMark/>
          </w:tcPr>
          <w:p w14:paraId="187A5878"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A0AC2B" w14:textId="77777777" w:rsidR="00FA1B5C" w:rsidRDefault="00FA1B5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6F9A66B" w14:textId="77777777" w:rsidR="00FA1B5C" w:rsidRDefault="00FA1B5C">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22722493" w14:textId="77777777" w:rsidR="00FA1B5C" w:rsidRDefault="00FA1B5C">
            <w:pPr>
              <w:jc w:val="right"/>
              <w:rPr>
                <w:color w:val="000000"/>
                <w:sz w:val="20"/>
                <w:szCs w:val="20"/>
              </w:rPr>
            </w:pPr>
            <w:r>
              <w:rPr>
                <w:color w:val="000000"/>
                <w:sz w:val="20"/>
                <w:szCs w:val="20"/>
              </w:rPr>
              <w:t>0.657</w:t>
            </w:r>
          </w:p>
        </w:tc>
        <w:tc>
          <w:tcPr>
            <w:tcW w:w="768" w:type="dxa"/>
            <w:tcBorders>
              <w:top w:val="nil"/>
              <w:left w:val="nil"/>
              <w:bottom w:val="nil"/>
              <w:right w:val="nil"/>
            </w:tcBorders>
            <w:shd w:val="clear" w:color="auto" w:fill="auto"/>
            <w:noWrap/>
            <w:vAlign w:val="bottom"/>
            <w:hideMark/>
          </w:tcPr>
          <w:p w14:paraId="0FF1DCBE"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CAE277C" w14:textId="77777777" w:rsidR="00FA1B5C" w:rsidRDefault="00FA1B5C">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502D9E4E" w14:textId="77777777" w:rsidR="00FA1B5C" w:rsidRDefault="00FA1B5C">
            <w:pPr>
              <w:jc w:val="right"/>
              <w:rPr>
                <w:color w:val="000000"/>
                <w:sz w:val="20"/>
                <w:szCs w:val="20"/>
              </w:rPr>
            </w:pPr>
            <w:r>
              <w:rPr>
                <w:color w:val="000000"/>
                <w:sz w:val="20"/>
                <w:szCs w:val="20"/>
              </w:rPr>
              <w:t>0.525</w:t>
            </w:r>
          </w:p>
        </w:tc>
        <w:tc>
          <w:tcPr>
            <w:tcW w:w="768" w:type="dxa"/>
            <w:tcBorders>
              <w:top w:val="nil"/>
              <w:left w:val="nil"/>
              <w:bottom w:val="nil"/>
              <w:right w:val="nil"/>
            </w:tcBorders>
            <w:shd w:val="clear" w:color="auto" w:fill="auto"/>
            <w:noWrap/>
            <w:vAlign w:val="bottom"/>
            <w:hideMark/>
          </w:tcPr>
          <w:p w14:paraId="011F0383"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DD65EA8" w14:textId="77777777" w:rsidR="00FA1B5C" w:rsidRDefault="00FA1B5C">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43FA1100" w14:textId="77777777" w:rsidR="00FA1B5C" w:rsidRDefault="00FA1B5C">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6B6AF44B"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12AC7C1" w14:textId="77777777" w:rsidR="00FA1B5C" w:rsidRDefault="00FA1B5C">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613DD6CE" w14:textId="77777777" w:rsidR="00FA1B5C" w:rsidRDefault="00FA1B5C">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1C6696AC" w14:textId="77777777" w:rsidR="00FA1B5C" w:rsidRDefault="00FA1B5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6AF10C3" w14:textId="77777777" w:rsidR="00FA1B5C" w:rsidRDefault="00FA1B5C">
            <w:pPr>
              <w:jc w:val="right"/>
              <w:rPr>
                <w:color w:val="000000"/>
                <w:sz w:val="20"/>
                <w:szCs w:val="20"/>
              </w:rPr>
            </w:pPr>
            <w:r>
              <w:rPr>
                <w:color w:val="000000"/>
                <w:sz w:val="20"/>
                <w:szCs w:val="20"/>
              </w:rPr>
              <w:t>-0.109</w:t>
            </w:r>
          </w:p>
        </w:tc>
        <w:tc>
          <w:tcPr>
            <w:tcW w:w="768" w:type="dxa"/>
            <w:tcBorders>
              <w:top w:val="nil"/>
              <w:left w:val="nil"/>
              <w:bottom w:val="nil"/>
              <w:right w:val="nil"/>
            </w:tcBorders>
            <w:shd w:val="clear" w:color="auto" w:fill="auto"/>
            <w:noWrap/>
            <w:vAlign w:val="bottom"/>
            <w:hideMark/>
          </w:tcPr>
          <w:p w14:paraId="2522DF3C" w14:textId="77777777" w:rsidR="00FA1B5C" w:rsidRDefault="00FA1B5C">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45DAC4D5" w14:textId="77777777" w:rsidR="00FA1B5C" w:rsidRDefault="00FA1B5C">
            <w:pPr>
              <w:jc w:val="right"/>
              <w:rPr>
                <w:color w:val="000000"/>
                <w:sz w:val="20"/>
                <w:szCs w:val="20"/>
              </w:rPr>
            </w:pPr>
            <w:r>
              <w:rPr>
                <w:color w:val="000000"/>
                <w:sz w:val="20"/>
                <w:szCs w:val="20"/>
              </w:rPr>
              <w:t>0.012</w:t>
            </w:r>
          </w:p>
        </w:tc>
      </w:tr>
      <w:tr w:rsidR="00FA1B5C" w14:paraId="7E5F6974" w14:textId="77777777" w:rsidTr="00FA1B5C">
        <w:trPr>
          <w:trHeight w:val="320"/>
        </w:trPr>
        <w:tc>
          <w:tcPr>
            <w:tcW w:w="1176" w:type="dxa"/>
            <w:tcBorders>
              <w:top w:val="nil"/>
              <w:left w:val="nil"/>
              <w:bottom w:val="nil"/>
              <w:right w:val="nil"/>
            </w:tcBorders>
            <w:shd w:val="clear" w:color="auto" w:fill="auto"/>
            <w:noWrap/>
            <w:vAlign w:val="bottom"/>
            <w:hideMark/>
          </w:tcPr>
          <w:p w14:paraId="36A72FAC"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6DCADEE" w14:textId="77777777" w:rsidR="00FA1B5C" w:rsidRDefault="00FA1B5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B095223" w14:textId="77777777" w:rsidR="00FA1B5C" w:rsidRDefault="00FA1B5C">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4FA0D7EA" w14:textId="77777777" w:rsidR="00FA1B5C" w:rsidRDefault="00FA1B5C">
            <w:pPr>
              <w:jc w:val="right"/>
              <w:rPr>
                <w:color w:val="000000"/>
                <w:sz w:val="20"/>
                <w:szCs w:val="20"/>
              </w:rPr>
            </w:pPr>
            <w:r>
              <w:rPr>
                <w:color w:val="000000"/>
                <w:sz w:val="20"/>
                <w:szCs w:val="20"/>
              </w:rPr>
              <w:t>0.657</w:t>
            </w:r>
          </w:p>
        </w:tc>
        <w:tc>
          <w:tcPr>
            <w:tcW w:w="768" w:type="dxa"/>
            <w:tcBorders>
              <w:top w:val="nil"/>
              <w:left w:val="nil"/>
              <w:bottom w:val="nil"/>
              <w:right w:val="nil"/>
            </w:tcBorders>
            <w:shd w:val="clear" w:color="auto" w:fill="auto"/>
            <w:noWrap/>
            <w:vAlign w:val="bottom"/>
            <w:hideMark/>
          </w:tcPr>
          <w:p w14:paraId="6888059F"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54C87E4" w14:textId="77777777" w:rsidR="00FA1B5C" w:rsidRDefault="00FA1B5C">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24061B95" w14:textId="77777777" w:rsidR="00FA1B5C" w:rsidRDefault="00FA1B5C">
            <w:pPr>
              <w:jc w:val="right"/>
              <w:rPr>
                <w:color w:val="000000"/>
                <w:sz w:val="20"/>
                <w:szCs w:val="20"/>
              </w:rPr>
            </w:pPr>
            <w:r>
              <w:rPr>
                <w:color w:val="000000"/>
                <w:sz w:val="20"/>
                <w:szCs w:val="20"/>
              </w:rPr>
              <w:t>0.525</w:t>
            </w:r>
          </w:p>
        </w:tc>
        <w:tc>
          <w:tcPr>
            <w:tcW w:w="768" w:type="dxa"/>
            <w:tcBorders>
              <w:top w:val="nil"/>
              <w:left w:val="nil"/>
              <w:bottom w:val="nil"/>
              <w:right w:val="nil"/>
            </w:tcBorders>
            <w:shd w:val="clear" w:color="auto" w:fill="auto"/>
            <w:noWrap/>
            <w:vAlign w:val="bottom"/>
            <w:hideMark/>
          </w:tcPr>
          <w:p w14:paraId="195CF03C"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D78DDC1" w14:textId="77777777" w:rsidR="00FA1B5C" w:rsidRDefault="00FA1B5C">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0DFF22E" w14:textId="77777777" w:rsidR="00FA1B5C" w:rsidRDefault="00FA1B5C">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6A5AA9F9"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379870" w14:textId="77777777" w:rsidR="00FA1B5C" w:rsidRDefault="00FA1B5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6DFD880" w14:textId="77777777" w:rsidR="00FA1B5C" w:rsidRDefault="00FA1B5C">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0481A236"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38A0E5" w14:textId="77777777" w:rsidR="00FA1B5C" w:rsidRDefault="00FA1B5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38162A3" w14:textId="77777777" w:rsidR="00FA1B5C" w:rsidRDefault="00FA1B5C">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35B1BAFE" w14:textId="77777777" w:rsidR="00FA1B5C" w:rsidRDefault="00FA1B5C">
            <w:pPr>
              <w:jc w:val="right"/>
              <w:rPr>
                <w:color w:val="000000"/>
                <w:sz w:val="20"/>
                <w:szCs w:val="20"/>
              </w:rPr>
            </w:pPr>
            <w:r>
              <w:rPr>
                <w:color w:val="000000"/>
                <w:sz w:val="20"/>
                <w:szCs w:val="20"/>
              </w:rPr>
              <w:t>0.000</w:t>
            </w:r>
          </w:p>
        </w:tc>
      </w:tr>
      <w:tr w:rsidR="00FA1B5C" w14:paraId="66FA71C8" w14:textId="77777777" w:rsidTr="00FA1B5C">
        <w:trPr>
          <w:trHeight w:val="320"/>
        </w:trPr>
        <w:tc>
          <w:tcPr>
            <w:tcW w:w="1176" w:type="dxa"/>
            <w:tcBorders>
              <w:top w:val="nil"/>
              <w:left w:val="nil"/>
              <w:bottom w:val="nil"/>
              <w:right w:val="nil"/>
            </w:tcBorders>
            <w:shd w:val="clear" w:color="auto" w:fill="auto"/>
            <w:noWrap/>
            <w:vAlign w:val="bottom"/>
            <w:hideMark/>
          </w:tcPr>
          <w:p w14:paraId="2D5D7669"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9469F1" w14:textId="77777777" w:rsidR="00FA1B5C" w:rsidRDefault="00FA1B5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9B12D8C" w14:textId="77777777" w:rsidR="00FA1B5C" w:rsidRDefault="00FA1B5C">
            <w:pPr>
              <w:jc w:val="right"/>
              <w:rPr>
                <w:b/>
                <w:bCs/>
                <w:color w:val="000000"/>
                <w:sz w:val="20"/>
                <w:szCs w:val="20"/>
              </w:rPr>
            </w:pPr>
            <w:r>
              <w:rPr>
                <w:b/>
                <w:bCs/>
                <w:color w:val="000000"/>
                <w:sz w:val="20"/>
                <w:szCs w:val="20"/>
              </w:rPr>
              <w:t>-0.083</w:t>
            </w:r>
          </w:p>
        </w:tc>
        <w:tc>
          <w:tcPr>
            <w:tcW w:w="768" w:type="dxa"/>
            <w:tcBorders>
              <w:top w:val="nil"/>
              <w:left w:val="nil"/>
              <w:bottom w:val="nil"/>
              <w:right w:val="nil"/>
            </w:tcBorders>
            <w:shd w:val="clear" w:color="auto" w:fill="auto"/>
            <w:noWrap/>
            <w:vAlign w:val="bottom"/>
            <w:hideMark/>
          </w:tcPr>
          <w:p w14:paraId="7D2D3C62" w14:textId="77777777" w:rsidR="00FA1B5C" w:rsidRDefault="00FA1B5C">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4B72645A" w14:textId="77777777" w:rsidR="00FA1B5C" w:rsidRDefault="00FA1B5C">
            <w:pPr>
              <w:jc w:val="right"/>
              <w:rPr>
                <w:b/>
                <w:bCs/>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7E80A822" w14:textId="77777777" w:rsidR="00FA1B5C" w:rsidRDefault="00FA1B5C">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8BF1F95" w14:textId="77777777" w:rsidR="00FA1B5C" w:rsidRDefault="00FA1B5C">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472B5B17"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525187" w14:textId="77777777" w:rsidR="00FA1B5C" w:rsidRDefault="00FA1B5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20E8F85" w14:textId="77777777" w:rsidR="00FA1B5C" w:rsidRDefault="00FA1B5C">
            <w:pPr>
              <w:jc w:val="right"/>
              <w:rPr>
                <w:color w:val="000000"/>
                <w:sz w:val="20"/>
                <w:szCs w:val="20"/>
              </w:rPr>
            </w:pPr>
            <w:r>
              <w:rPr>
                <w:color w:val="000000"/>
                <w:sz w:val="20"/>
                <w:szCs w:val="20"/>
              </w:rPr>
              <w:t>0.666</w:t>
            </w:r>
          </w:p>
        </w:tc>
        <w:tc>
          <w:tcPr>
            <w:tcW w:w="768" w:type="dxa"/>
            <w:tcBorders>
              <w:top w:val="nil"/>
              <w:left w:val="nil"/>
              <w:bottom w:val="nil"/>
              <w:right w:val="nil"/>
            </w:tcBorders>
            <w:shd w:val="clear" w:color="auto" w:fill="auto"/>
            <w:noWrap/>
            <w:vAlign w:val="bottom"/>
            <w:hideMark/>
          </w:tcPr>
          <w:p w14:paraId="23A4B53D"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C9A96D" w14:textId="77777777" w:rsidR="00FA1B5C" w:rsidRDefault="00FA1B5C">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537559EB" w14:textId="77777777" w:rsidR="00FA1B5C" w:rsidRDefault="00FA1B5C">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5807635D" w14:textId="77777777" w:rsidR="00FA1B5C" w:rsidRDefault="00FA1B5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E7BC7AB" w14:textId="77777777" w:rsidR="00FA1B5C" w:rsidRDefault="00FA1B5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DA7BFA4" w14:textId="77777777" w:rsidR="00FA1B5C" w:rsidRDefault="00FA1B5C">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076FCC3A" w14:textId="77777777" w:rsidR="00FA1B5C" w:rsidRDefault="00FA1B5C">
            <w:pPr>
              <w:jc w:val="right"/>
              <w:rPr>
                <w:color w:val="000000"/>
                <w:sz w:val="20"/>
                <w:szCs w:val="20"/>
              </w:rPr>
            </w:pPr>
            <w:r>
              <w:rPr>
                <w:color w:val="000000"/>
                <w:sz w:val="20"/>
                <w:szCs w:val="20"/>
              </w:rPr>
              <w:t>0.000</w:t>
            </w:r>
          </w:p>
        </w:tc>
      </w:tr>
      <w:tr w:rsidR="00FA1B5C" w14:paraId="38DB5016" w14:textId="77777777" w:rsidTr="00FA1B5C">
        <w:trPr>
          <w:trHeight w:val="320"/>
        </w:trPr>
        <w:tc>
          <w:tcPr>
            <w:tcW w:w="1176" w:type="dxa"/>
            <w:tcBorders>
              <w:top w:val="nil"/>
              <w:left w:val="nil"/>
              <w:bottom w:val="nil"/>
              <w:right w:val="nil"/>
            </w:tcBorders>
            <w:shd w:val="clear" w:color="auto" w:fill="auto"/>
            <w:noWrap/>
            <w:vAlign w:val="bottom"/>
            <w:hideMark/>
          </w:tcPr>
          <w:p w14:paraId="30EC0602"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AF5A55" w14:textId="77777777" w:rsidR="00FA1B5C" w:rsidRDefault="00FA1B5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7296665" w14:textId="77777777" w:rsidR="00FA1B5C" w:rsidRDefault="00FA1B5C">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A49D94D" w14:textId="77777777" w:rsidR="00FA1B5C" w:rsidRDefault="00FA1B5C">
            <w:pPr>
              <w:jc w:val="right"/>
              <w:rPr>
                <w:color w:val="000000"/>
                <w:sz w:val="20"/>
                <w:szCs w:val="20"/>
              </w:rPr>
            </w:pPr>
            <w:r>
              <w:rPr>
                <w:color w:val="000000"/>
                <w:sz w:val="20"/>
                <w:szCs w:val="20"/>
              </w:rPr>
              <w:t>0.657</w:t>
            </w:r>
          </w:p>
        </w:tc>
        <w:tc>
          <w:tcPr>
            <w:tcW w:w="768" w:type="dxa"/>
            <w:tcBorders>
              <w:top w:val="nil"/>
              <w:left w:val="nil"/>
              <w:bottom w:val="nil"/>
              <w:right w:val="nil"/>
            </w:tcBorders>
            <w:shd w:val="clear" w:color="auto" w:fill="auto"/>
            <w:noWrap/>
            <w:vAlign w:val="bottom"/>
            <w:hideMark/>
          </w:tcPr>
          <w:p w14:paraId="5E224A0B"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7F777D" w14:textId="77777777" w:rsidR="00FA1B5C" w:rsidRDefault="00FA1B5C">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917DB0B" w14:textId="77777777" w:rsidR="00FA1B5C" w:rsidRDefault="00FA1B5C">
            <w:pPr>
              <w:jc w:val="right"/>
              <w:rPr>
                <w:color w:val="000000"/>
                <w:sz w:val="20"/>
                <w:szCs w:val="20"/>
              </w:rPr>
            </w:pPr>
            <w:r>
              <w:rPr>
                <w:color w:val="000000"/>
                <w:sz w:val="20"/>
                <w:szCs w:val="20"/>
              </w:rPr>
              <w:t>0.525</w:t>
            </w:r>
          </w:p>
        </w:tc>
        <w:tc>
          <w:tcPr>
            <w:tcW w:w="768" w:type="dxa"/>
            <w:tcBorders>
              <w:top w:val="nil"/>
              <w:left w:val="nil"/>
              <w:bottom w:val="nil"/>
              <w:right w:val="nil"/>
            </w:tcBorders>
            <w:shd w:val="clear" w:color="auto" w:fill="auto"/>
            <w:noWrap/>
            <w:vAlign w:val="bottom"/>
            <w:hideMark/>
          </w:tcPr>
          <w:p w14:paraId="733AE64C"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5A1DF61" w14:textId="77777777" w:rsidR="00FA1B5C" w:rsidRDefault="00FA1B5C">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1E036A20" w14:textId="77777777" w:rsidR="00FA1B5C" w:rsidRDefault="00FA1B5C">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040B17F5"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8A2CCAC" w14:textId="77777777" w:rsidR="00FA1B5C" w:rsidRDefault="00FA1B5C">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5892C4F0" w14:textId="77777777" w:rsidR="00FA1B5C" w:rsidRDefault="00FA1B5C">
            <w:pPr>
              <w:jc w:val="right"/>
              <w:rPr>
                <w:color w:val="000000"/>
                <w:sz w:val="20"/>
                <w:szCs w:val="20"/>
              </w:rPr>
            </w:pPr>
            <w:r>
              <w:rPr>
                <w:color w:val="000000"/>
                <w:sz w:val="20"/>
                <w:szCs w:val="20"/>
              </w:rPr>
              <w:t>0.280</w:t>
            </w:r>
          </w:p>
        </w:tc>
        <w:tc>
          <w:tcPr>
            <w:tcW w:w="768" w:type="dxa"/>
            <w:tcBorders>
              <w:top w:val="nil"/>
              <w:left w:val="nil"/>
              <w:bottom w:val="nil"/>
              <w:right w:val="nil"/>
            </w:tcBorders>
            <w:shd w:val="clear" w:color="auto" w:fill="auto"/>
            <w:noWrap/>
            <w:vAlign w:val="bottom"/>
            <w:hideMark/>
          </w:tcPr>
          <w:p w14:paraId="119A1EF4"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0A24277" w14:textId="77777777" w:rsidR="00FA1B5C" w:rsidRDefault="00FA1B5C">
            <w:pPr>
              <w:jc w:val="right"/>
              <w:rPr>
                <w:color w:val="000000"/>
                <w:sz w:val="20"/>
                <w:szCs w:val="20"/>
              </w:rPr>
            </w:pPr>
            <w:r>
              <w:rPr>
                <w:color w:val="000000"/>
                <w:sz w:val="20"/>
                <w:szCs w:val="20"/>
              </w:rPr>
              <w:t>-0.087</w:t>
            </w:r>
          </w:p>
        </w:tc>
        <w:tc>
          <w:tcPr>
            <w:tcW w:w="768" w:type="dxa"/>
            <w:tcBorders>
              <w:top w:val="nil"/>
              <w:left w:val="nil"/>
              <w:bottom w:val="nil"/>
              <w:right w:val="nil"/>
            </w:tcBorders>
            <w:shd w:val="clear" w:color="auto" w:fill="auto"/>
            <w:noWrap/>
            <w:vAlign w:val="bottom"/>
            <w:hideMark/>
          </w:tcPr>
          <w:p w14:paraId="4BDCC88A" w14:textId="77777777" w:rsidR="00FA1B5C" w:rsidRDefault="00FA1B5C">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700632E4" w14:textId="77777777" w:rsidR="00FA1B5C" w:rsidRDefault="00FA1B5C">
            <w:pPr>
              <w:jc w:val="right"/>
              <w:rPr>
                <w:color w:val="000000"/>
                <w:sz w:val="20"/>
                <w:szCs w:val="20"/>
              </w:rPr>
            </w:pPr>
            <w:r>
              <w:rPr>
                <w:color w:val="000000"/>
                <w:sz w:val="20"/>
                <w:szCs w:val="20"/>
              </w:rPr>
              <w:t>0.008</w:t>
            </w:r>
          </w:p>
        </w:tc>
      </w:tr>
      <w:tr w:rsidR="00FA1B5C" w14:paraId="5F9A51BD" w14:textId="77777777" w:rsidTr="00FA1B5C">
        <w:trPr>
          <w:trHeight w:val="320"/>
        </w:trPr>
        <w:tc>
          <w:tcPr>
            <w:tcW w:w="1176" w:type="dxa"/>
            <w:tcBorders>
              <w:top w:val="nil"/>
              <w:left w:val="nil"/>
              <w:bottom w:val="single" w:sz="4" w:space="0" w:color="auto"/>
              <w:right w:val="nil"/>
            </w:tcBorders>
            <w:shd w:val="clear" w:color="auto" w:fill="auto"/>
            <w:noWrap/>
            <w:vAlign w:val="bottom"/>
            <w:hideMark/>
          </w:tcPr>
          <w:p w14:paraId="509C2E30" w14:textId="77777777" w:rsidR="00FA1B5C" w:rsidRDefault="00FA1B5C">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2A4CB3F" w14:textId="77777777" w:rsidR="00FA1B5C" w:rsidRDefault="00FA1B5C">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715E143" w14:textId="77777777" w:rsidR="00FA1B5C" w:rsidRDefault="00FA1B5C">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7D6FBC13" w14:textId="77777777" w:rsidR="00FA1B5C" w:rsidRDefault="00FA1B5C">
            <w:pPr>
              <w:jc w:val="right"/>
              <w:rPr>
                <w:color w:val="000000"/>
                <w:sz w:val="20"/>
                <w:szCs w:val="20"/>
              </w:rPr>
            </w:pPr>
            <w:r>
              <w:rPr>
                <w:color w:val="000000"/>
                <w:sz w:val="20"/>
                <w:szCs w:val="20"/>
              </w:rPr>
              <w:t>0.657</w:t>
            </w:r>
          </w:p>
        </w:tc>
        <w:tc>
          <w:tcPr>
            <w:tcW w:w="768" w:type="dxa"/>
            <w:tcBorders>
              <w:top w:val="nil"/>
              <w:left w:val="nil"/>
              <w:bottom w:val="single" w:sz="4" w:space="0" w:color="auto"/>
              <w:right w:val="nil"/>
            </w:tcBorders>
            <w:shd w:val="clear" w:color="auto" w:fill="auto"/>
            <w:noWrap/>
            <w:vAlign w:val="bottom"/>
            <w:hideMark/>
          </w:tcPr>
          <w:p w14:paraId="428F24F4"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08898ED1" w14:textId="77777777" w:rsidR="00FA1B5C" w:rsidRDefault="00FA1B5C">
            <w:pPr>
              <w:jc w:val="right"/>
              <w:rPr>
                <w:b/>
                <w:bCs/>
                <w:color w:val="000000"/>
                <w:sz w:val="20"/>
                <w:szCs w:val="20"/>
              </w:rPr>
            </w:pPr>
            <w:r>
              <w:rPr>
                <w:b/>
                <w:bCs/>
                <w:color w:val="000000"/>
                <w:sz w:val="20"/>
                <w:szCs w:val="20"/>
              </w:rPr>
              <w:t>0.119</w:t>
            </w:r>
          </w:p>
        </w:tc>
        <w:tc>
          <w:tcPr>
            <w:tcW w:w="768" w:type="dxa"/>
            <w:tcBorders>
              <w:top w:val="nil"/>
              <w:left w:val="nil"/>
              <w:bottom w:val="single" w:sz="4" w:space="0" w:color="auto"/>
              <w:right w:val="nil"/>
            </w:tcBorders>
            <w:shd w:val="clear" w:color="auto" w:fill="auto"/>
            <w:noWrap/>
            <w:vAlign w:val="bottom"/>
            <w:hideMark/>
          </w:tcPr>
          <w:p w14:paraId="2038AA2A" w14:textId="77777777" w:rsidR="00FA1B5C" w:rsidRDefault="00FA1B5C">
            <w:pPr>
              <w:jc w:val="right"/>
              <w:rPr>
                <w:b/>
                <w:bCs/>
                <w:color w:val="000000"/>
                <w:sz w:val="20"/>
                <w:szCs w:val="20"/>
              </w:rPr>
            </w:pPr>
            <w:r>
              <w:rPr>
                <w:b/>
                <w:bCs/>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38E4D69D" w14:textId="77777777" w:rsidR="00FA1B5C" w:rsidRDefault="00FA1B5C">
            <w:pPr>
              <w:jc w:val="right"/>
              <w:rPr>
                <w:b/>
                <w:bCs/>
                <w:color w:val="000000"/>
                <w:sz w:val="20"/>
                <w:szCs w:val="20"/>
              </w:rPr>
            </w:pPr>
            <w:r>
              <w:rPr>
                <w:b/>
                <w:bCs/>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3E0A1835" w14:textId="77777777" w:rsidR="00FA1B5C" w:rsidRDefault="00FA1B5C">
            <w:pPr>
              <w:jc w:val="right"/>
              <w:rPr>
                <w:color w:val="000000"/>
                <w:sz w:val="20"/>
                <w:szCs w:val="20"/>
              </w:rPr>
            </w:pPr>
            <w:r>
              <w:rPr>
                <w:color w:val="000000"/>
                <w:sz w:val="20"/>
                <w:szCs w:val="20"/>
              </w:rPr>
              <w:t>0.047</w:t>
            </w:r>
          </w:p>
        </w:tc>
        <w:tc>
          <w:tcPr>
            <w:tcW w:w="768" w:type="dxa"/>
            <w:tcBorders>
              <w:top w:val="nil"/>
              <w:left w:val="nil"/>
              <w:bottom w:val="single" w:sz="4" w:space="0" w:color="auto"/>
              <w:right w:val="nil"/>
            </w:tcBorders>
            <w:shd w:val="clear" w:color="auto" w:fill="auto"/>
            <w:noWrap/>
            <w:vAlign w:val="bottom"/>
            <w:hideMark/>
          </w:tcPr>
          <w:p w14:paraId="244F748F" w14:textId="77777777" w:rsidR="00FA1B5C" w:rsidRDefault="00FA1B5C">
            <w:pPr>
              <w:jc w:val="right"/>
              <w:rPr>
                <w:color w:val="000000"/>
                <w:sz w:val="20"/>
                <w:szCs w:val="20"/>
              </w:rPr>
            </w:pPr>
            <w:r>
              <w:rPr>
                <w:color w:val="000000"/>
                <w:sz w:val="20"/>
                <w:szCs w:val="20"/>
              </w:rPr>
              <w:t>0.552</w:t>
            </w:r>
          </w:p>
        </w:tc>
        <w:tc>
          <w:tcPr>
            <w:tcW w:w="768" w:type="dxa"/>
            <w:tcBorders>
              <w:top w:val="nil"/>
              <w:left w:val="nil"/>
              <w:bottom w:val="single" w:sz="4" w:space="0" w:color="auto"/>
              <w:right w:val="nil"/>
            </w:tcBorders>
            <w:shd w:val="clear" w:color="auto" w:fill="auto"/>
            <w:noWrap/>
            <w:vAlign w:val="bottom"/>
            <w:hideMark/>
          </w:tcPr>
          <w:p w14:paraId="17375A7C"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196F3EE" w14:textId="77777777" w:rsidR="00FA1B5C" w:rsidRDefault="00FA1B5C">
            <w:pPr>
              <w:jc w:val="right"/>
              <w:rPr>
                <w:color w:val="000000"/>
                <w:sz w:val="20"/>
                <w:szCs w:val="20"/>
              </w:rPr>
            </w:pPr>
            <w:r>
              <w:rPr>
                <w:color w:val="000000"/>
                <w:sz w:val="20"/>
                <w:szCs w:val="20"/>
              </w:rPr>
              <w:t>-0.071</w:t>
            </w:r>
          </w:p>
        </w:tc>
        <w:tc>
          <w:tcPr>
            <w:tcW w:w="768" w:type="dxa"/>
            <w:tcBorders>
              <w:top w:val="nil"/>
              <w:left w:val="nil"/>
              <w:bottom w:val="single" w:sz="4" w:space="0" w:color="auto"/>
              <w:right w:val="nil"/>
            </w:tcBorders>
            <w:shd w:val="clear" w:color="auto" w:fill="auto"/>
            <w:noWrap/>
            <w:vAlign w:val="bottom"/>
            <w:hideMark/>
          </w:tcPr>
          <w:p w14:paraId="5718C3BB" w14:textId="77777777" w:rsidR="00FA1B5C" w:rsidRDefault="00FA1B5C">
            <w:pPr>
              <w:jc w:val="right"/>
              <w:rPr>
                <w:color w:val="000000"/>
                <w:sz w:val="20"/>
                <w:szCs w:val="20"/>
              </w:rPr>
            </w:pPr>
            <w:r>
              <w:rPr>
                <w:color w:val="000000"/>
                <w:sz w:val="20"/>
                <w:szCs w:val="20"/>
              </w:rPr>
              <w:t>0.280</w:t>
            </w:r>
          </w:p>
        </w:tc>
        <w:tc>
          <w:tcPr>
            <w:tcW w:w="768" w:type="dxa"/>
            <w:tcBorders>
              <w:top w:val="nil"/>
              <w:left w:val="nil"/>
              <w:bottom w:val="single" w:sz="4" w:space="0" w:color="auto"/>
              <w:right w:val="nil"/>
            </w:tcBorders>
            <w:shd w:val="clear" w:color="auto" w:fill="auto"/>
            <w:noWrap/>
            <w:vAlign w:val="bottom"/>
            <w:hideMark/>
          </w:tcPr>
          <w:p w14:paraId="6C19C7B4" w14:textId="77777777" w:rsidR="00FA1B5C" w:rsidRDefault="00FA1B5C">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340F3E60"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7D8B7A0" w14:textId="77777777" w:rsidR="00FA1B5C" w:rsidRDefault="00FA1B5C">
            <w:pPr>
              <w:jc w:val="right"/>
              <w:rPr>
                <w:color w:val="000000"/>
                <w:sz w:val="20"/>
                <w:szCs w:val="20"/>
              </w:rPr>
            </w:pPr>
            <w:r>
              <w:rPr>
                <w:color w:val="000000"/>
                <w:sz w:val="20"/>
                <w:szCs w:val="20"/>
              </w:rPr>
              <w:t>0.988</w:t>
            </w:r>
          </w:p>
        </w:tc>
        <w:tc>
          <w:tcPr>
            <w:tcW w:w="768" w:type="dxa"/>
            <w:tcBorders>
              <w:top w:val="nil"/>
              <w:left w:val="nil"/>
              <w:bottom w:val="single" w:sz="4" w:space="0" w:color="auto"/>
              <w:right w:val="nil"/>
            </w:tcBorders>
            <w:shd w:val="clear" w:color="auto" w:fill="auto"/>
            <w:noWrap/>
            <w:vAlign w:val="bottom"/>
            <w:hideMark/>
          </w:tcPr>
          <w:p w14:paraId="60094B4A" w14:textId="77777777" w:rsidR="00FA1B5C" w:rsidRDefault="00FA1B5C">
            <w:pPr>
              <w:jc w:val="right"/>
              <w:rPr>
                <w:color w:val="000000"/>
                <w:sz w:val="20"/>
                <w:szCs w:val="20"/>
              </w:rPr>
            </w:pPr>
            <w:r>
              <w:rPr>
                <w:color w:val="000000"/>
                <w:sz w:val="20"/>
                <w:szCs w:val="20"/>
              </w:rPr>
              <w:t>0.000</w:t>
            </w:r>
          </w:p>
        </w:tc>
      </w:tr>
      <w:tr w:rsidR="00FA1B5C" w14:paraId="1F040371" w14:textId="77777777" w:rsidTr="00FA1B5C">
        <w:trPr>
          <w:trHeight w:val="320"/>
        </w:trPr>
        <w:tc>
          <w:tcPr>
            <w:tcW w:w="1176" w:type="dxa"/>
            <w:tcBorders>
              <w:top w:val="nil"/>
              <w:left w:val="nil"/>
              <w:bottom w:val="nil"/>
              <w:right w:val="nil"/>
            </w:tcBorders>
            <w:shd w:val="clear" w:color="auto" w:fill="auto"/>
            <w:noWrap/>
            <w:vAlign w:val="bottom"/>
            <w:hideMark/>
          </w:tcPr>
          <w:p w14:paraId="3E3EA32A" w14:textId="77777777" w:rsidR="00FA1B5C" w:rsidRDefault="00FA1B5C">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0406647E" w14:textId="77777777" w:rsidR="00FA1B5C" w:rsidRDefault="00FA1B5C">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449EE46" w14:textId="77777777" w:rsidR="00FA1B5C" w:rsidRDefault="00FA1B5C">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2346A542" w14:textId="77777777" w:rsidR="00FA1B5C" w:rsidRDefault="00FA1B5C">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683EA6CC"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691C76F" w14:textId="77777777" w:rsidR="00FA1B5C" w:rsidRDefault="00FA1B5C">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19CD9AB" w14:textId="77777777" w:rsidR="00FA1B5C" w:rsidRDefault="00FA1B5C">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595767FC"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3D19D9"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8155182" w14:textId="77777777" w:rsidR="00FA1B5C" w:rsidRDefault="00FA1B5C">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34E49A21"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F9BCC7" w14:textId="77777777" w:rsidR="00FA1B5C" w:rsidRDefault="00FA1B5C">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7CC017F" w14:textId="77777777" w:rsidR="00FA1B5C" w:rsidRDefault="00FA1B5C">
            <w:pPr>
              <w:jc w:val="right"/>
              <w:rPr>
                <w:color w:val="000000"/>
                <w:sz w:val="20"/>
                <w:szCs w:val="20"/>
              </w:rPr>
            </w:pPr>
            <w:r>
              <w:rPr>
                <w:color w:val="000000"/>
                <w:sz w:val="20"/>
                <w:szCs w:val="20"/>
              </w:rPr>
              <w:t>0.212</w:t>
            </w:r>
          </w:p>
        </w:tc>
        <w:tc>
          <w:tcPr>
            <w:tcW w:w="768" w:type="dxa"/>
            <w:tcBorders>
              <w:top w:val="nil"/>
              <w:left w:val="nil"/>
              <w:bottom w:val="nil"/>
              <w:right w:val="nil"/>
            </w:tcBorders>
            <w:shd w:val="clear" w:color="auto" w:fill="auto"/>
            <w:noWrap/>
            <w:vAlign w:val="bottom"/>
            <w:hideMark/>
          </w:tcPr>
          <w:p w14:paraId="786251DB"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EEB2DE6" w14:textId="77777777" w:rsidR="00FA1B5C" w:rsidRDefault="00FA1B5C">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F4CCDC2" w14:textId="77777777" w:rsidR="00FA1B5C" w:rsidRDefault="00FA1B5C">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507E7965" w14:textId="77777777" w:rsidR="00FA1B5C" w:rsidRDefault="00FA1B5C">
            <w:pPr>
              <w:jc w:val="right"/>
              <w:rPr>
                <w:color w:val="000000"/>
                <w:sz w:val="20"/>
                <w:szCs w:val="20"/>
              </w:rPr>
            </w:pPr>
            <w:r>
              <w:rPr>
                <w:color w:val="000000"/>
                <w:sz w:val="20"/>
                <w:szCs w:val="20"/>
              </w:rPr>
              <w:t>0.001</w:t>
            </w:r>
          </w:p>
        </w:tc>
      </w:tr>
      <w:tr w:rsidR="00FA1B5C" w14:paraId="6EE98FC5" w14:textId="77777777" w:rsidTr="00FA1B5C">
        <w:trPr>
          <w:trHeight w:val="320"/>
        </w:trPr>
        <w:tc>
          <w:tcPr>
            <w:tcW w:w="1176" w:type="dxa"/>
            <w:tcBorders>
              <w:top w:val="nil"/>
              <w:left w:val="nil"/>
              <w:bottom w:val="nil"/>
              <w:right w:val="nil"/>
            </w:tcBorders>
            <w:shd w:val="clear" w:color="auto" w:fill="auto"/>
            <w:noWrap/>
            <w:vAlign w:val="bottom"/>
            <w:hideMark/>
          </w:tcPr>
          <w:p w14:paraId="7804C12B"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737485" w14:textId="77777777" w:rsidR="00FA1B5C" w:rsidRDefault="00FA1B5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D4A13B9" w14:textId="77777777" w:rsidR="00FA1B5C" w:rsidRDefault="00FA1B5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DE347EB" w14:textId="77777777" w:rsidR="00FA1B5C" w:rsidRDefault="00FA1B5C">
            <w:pPr>
              <w:jc w:val="right"/>
              <w:rPr>
                <w:color w:val="000000"/>
                <w:sz w:val="20"/>
                <w:szCs w:val="20"/>
              </w:rPr>
            </w:pPr>
            <w:r>
              <w:rPr>
                <w:color w:val="000000"/>
                <w:sz w:val="20"/>
                <w:szCs w:val="20"/>
              </w:rPr>
              <w:t>0.775</w:t>
            </w:r>
          </w:p>
        </w:tc>
        <w:tc>
          <w:tcPr>
            <w:tcW w:w="768" w:type="dxa"/>
            <w:tcBorders>
              <w:top w:val="nil"/>
              <w:left w:val="nil"/>
              <w:bottom w:val="nil"/>
              <w:right w:val="nil"/>
            </w:tcBorders>
            <w:shd w:val="clear" w:color="auto" w:fill="auto"/>
            <w:noWrap/>
            <w:vAlign w:val="bottom"/>
            <w:hideMark/>
          </w:tcPr>
          <w:p w14:paraId="434AE68D"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7B8385" w14:textId="77777777" w:rsidR="00FA1B5C" w:rsidRDefault="00FA1B5C">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C71460E" w14:textId="77777777" w:rsidR="00FA1B5C" w:rsidRDefault="00FA1B5C">
            <w:pPr>
              <w:jc w:val="right"/>
              <w:rPr>
                <w:color w:val="000000"/>
                <w:sz w:val="20"/>
                <w:szCs w:val="20"/>
              </w:rPr>
            </w:pPr>
            <w:r>
              <w:rPr>
                <w:color w:val="000000"/>
                <w:sz w:val="20"/>
                <w:szCs w:val="20"/>
              </w:rPr>
              <w:t>0.400</w:t>
            </w:r>
          </w:p>
        </w:tc>
        <w:tc>
          <w:tcPr>
            <w:tcW w:w="768" w:type="dxa"/>
            <w:tcBorders>
              <w:top w:val="nil"/>
              <w:left w:val="nil"/>
              <w:bottom w:val="nil"/>
              <w:right w:val="nil"/>
            </w:tcBorders>
            <w:shd w:val="clear" w:color="auto" w:fill="auto"/>
            <w:noWrap/>
            <w:vAlign w:val="bottom"/>
            <w:hideMark/>
          </w:tcPr>
          <w:p w14:paraId="60995E87"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CC39E8" w14:textId="77777777" w:rsidR="00FA1B5C" w:rsidRDefault="00FA1B5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3D66375" w14:textId="77777777" w:rsidR="00FA1B5C" w:rsidRDefault="00FA1B5C">
            <w:pPr>
              <w:jc w:val="right"/>
              <w:rPr>
                <w:color w:val="000000"/>
                <w:sz w:val="20"/>
                <w:szCs w:val="20"/>
              </w:rPr>
            </w:pPr>
            <w:r>
              <w:rPr>
                <w:color w:val="000000"/>
                <w:sz w:val="20"/>
                <w:szCs w:val="20"/>
              </w:rPr>
              <w:t>0.831</w:t>
            </w:r>
          </w:p>
        </w:tc>
        <w:tc>
          <w:tcPr>
            <w:tcW w:w="768" w:type="dxa"/>
            <w:tcBorders>
              <w:top w:val="nil"/>
              <w:left w:val="nil"/>
              <w:bottom w:val="nil"/>
              <w:right w:val="nil"/>
            </w:tcBorders>
            <w:shd w:val="clear" w:color="auto" w:fill="auto"/>
            <w:noWrap/>
            <w:vAlign w:val="bottom"/>
            <w:hideMark/>
          </w:tcPr>
          <w:p w14:paraId="22B241D1"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93BF40" w14:textId="77777777" w:rsidR="00FA1B5C" w:rsidRDefault="00FA1B5C">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5E1CC94C" w14:textId="77777777" w:rsidR="00FA1B5C" w:rsidRDefault="00FA1B5C">
            <w:pPr>
              <w:jc w:val="right"/>
              <w:rPr>
                <w:color w:val="000000"/>
                <w:sz w:val="20"/>
                <w:szCs w:val="20"/>
              </w:rPr>
            </w:pPr>
            <w:r>
              <w:rPr>
                <w:color w:val="000000"/>
                <w:sz w:val="20"/>
                <w:szCs w:val="20"/>
              </w:rPr>
              <w:t>0.212</w:t>
            </w:r>
          </w:p>
        </w:tc>
        <w:tc>
          <w:tcPr>
            <w:tcW w:w="768" w:type="dxa"/>
            <w:tcBorders>
              <w:top w:val="nil"/>
              <w:left w:val="nil"/>
              <w:bottom w:val="nil"/>
              <w:right w:val="nil"/>
            </w:tcBorders>
            <w:shd w:val="clear" w:color="auto" w:fill="auto"/>
            <w:noWrap/>
            <w:vAlign w:val="bottom"/>
            <w:hideMark/>
          </w:tcPr>
          <w:p w14:paraId="11635AA7"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997DAE" w14:textId="77777777" w:rsidR="00FA1B5C" w:rsidRDefault="00FA1B5C">
            <w:pPr>
              <w:jc w:val="right"/>
              <w:rPr>
                <w:b/>
                <w:bCs/>
                <w:color w:val="000000"/>
                <w:sz w:val="20"/>
                <w:szCs w:val="20"/>
              </w:rPr>
            </w:pPr>
            <w:r>
              <w:rPr>
                <w:b/>
                <w:bCs/>
                <w:color w:val="000000"/>
                <w:sz w:val="20"/>
                <w:szCs w:val="20"/>
              </w:rPr>
              <w:t>-0.100</w:t>
            </w:r>
          </w:p>
        </w:tc>
        <w:tc>
          <w:tcPr>
            <w:tcW w:w="768" w:type="dxa"/>
            <w:tcBorders>
              <w:top w:val="nil"/>
              <w:left w:val="nil"/>
              <w:bottom w:val="nil"/>
              <w:right w:val="nil"/>
            </w:tcBorders>
            <w:shd w:val="clear" w:color="auto" w:fill="auto"/>
            <w:noWrap/>
            <w:vAlign w:val="bottom"/>
            <w:hideMark/>
          </w:tcPr>
          <w:p w14:paraId="3A773ADA" w14:textId="77777777" w:rsidR="00FA1B5C" w:rsidRDefault="00FA1B5C">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0B199158" w14:textId="77777777" w:rsidR="00FA1B5C" w:rsidRDefault="00FA1B5C">
            <w:pPr>
              <w:jc w:val="right"/>
              <w:rPr>
                <w:b/>
                <w:bCs/>
                <w:color w:val="000000"/>
                <w:sz w:val="20"/>
                <w:szCs w:val="20"/>
              </w:rPr>
            </w:pPr>
            <w:r>
              <w:rPr>
                <w:b/>
                <w:bCs/>
                <w:color w:val="000000"/>
                <w:sz w:val="20"/>
                <w:szCs w:val="20"/>
              </w:rPr>
              <w:t>0.010</w:t>
            </w:r>
          </w:p>
        </w:tc>
      </w:tr>
      <w:tr w:rsidR="00FA1B5C" w14:paraId="075A4B71" w14:textId="77777777" w:rsidTr="00FA1B5C">
        <w:trPr>
          <w:trHeight w:val="320"/>
        </w:trPr>
        <w:tc>
          <w:tcPr>
            <w:tcW w:w="1176" w:type="dxa"/>
            <w:tcBorders>
              <w:top w:val="nil"/>
              <w:left w:val="nil"/>
              <w:bottom w:val="nil"/>
              <w:right w:val="nil"/>
            </w:tcBorders>
            <w:shd w:val="clear" w:color="auto" w:fill="auto"/>
            <w:noWrap/>
            <w:vAlign w:val="bottom"/>
            <w:hideMark/>
          </w:tcPr>
          <w:p w14:paraId="113D5841" w14:textId="77777777" w:rsidR="00FA1B5C" w:rsidRDefault="00FA1B5C">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796F6770" w14:textId="77777777" w:rsidR="00FA1B5C" w:rsidRDefault="00FA1B5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1E02BDF" w14:textId="77777777" w:rsidR="00FA1B5C" w:rsidRDefault="00FA1B5C">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4FFFF156" w14:textId="77777777" w:rsidR="00FA1B5C" w:rsidRDefault="00FA1B5C">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28DA5C97" w14:textId="77777777" w:rsidR="00FA1B5C" w:rsidRDefault="00FA1B5C">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C1ED95B" w14:textId="77777777" w:rsidR="00FA1B5C" w:rsidRDefault="00FA1B5C">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2685635C" w14:textId="77777777" w:rsidR="00FA1B5C" w:rsidRDefault="00FA1B5C">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66417817"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8A908FB" w14:textId="77777777" w:rsidR="00FA1B5C" w:rsidRDefault="00FA1B5C">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07CA8457" w14:textId="77777777" w:rsidR="00FA1B5C" w:rsidRDefault="00FA1B5C">
            <w:pPr>
              <w:jc w:val="right"/>
              <w:rPr>
                <w:color w:val="000000"/>
                <w:sz w:val="20"/>
                <w:szCs w:val="20"/>
              </w:rPr>
            </w:pPr>
            <w:r>
              <w:rPr>
                <w:color w:val="000000"/>
                <w:sz w:val="20"/>
                <w:szCs w:val="20"/>
              </w:rPr>
              <w:t>0.583</w:t>
            </w:r>
          </w:p>
        </w:tc>
        <w:tc>
          <w:tcPr>
            <w:tcW w:w="768" w:type="dxa"/>
            <w:tcBorders>
              <w:top w:val="nil"/>
              <w:left w:val="nil"/>
              <w:bottom w:val="nil"/>
              <w:right w:val="nil"/>
            </w:tcBorders>
            <w:shd w:val="clear" w:color="auto" w:fill="auto"/>
            <w:noWrap/>
            <w:vAlign w:val="bottom"/>
            <w:hideMark/>
          </w:tcPr>
          <w:p w14:paraId="7F43BA85"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577401" w14:textId="77777777" w:rsidR="00FA1B5C" w:rsidRDefault="00FA1B5C">
            <w:pPr>
              <w:jc w:val="right"/>
              <w:rPr>
                <w:b/>
                <w:bCs/>
                <w:color w:val="000000"/>
                <w:sz w:val="20"/>
                <w:szCs w:val="20"/>
              </w:rPr>
            </w:pPr>
            <w:r>
              <w:rPr>
                <w:b/>
                <w:bCs/>
                <w:color w:val="000000"/>
                <w:sz w:val="20"/>
                <w:szCs w:val="20"/>
              </w:rPr>
              <w:t>0.095</w:t>
            </w:r>
          </w:p>
        </w:tc>
        <w:tc>
          <w:tcPr>
            <w:tcW w:w="768" w:type="dxa"/>
            <w:tcBorders>
              <w:top w:val="nil"/>
              <w:left w:val="nil"/>
              <w:bottom w:val="nil"/>
              <w:right w:val="nil"/>
            </w:tcBorders>
            <w:shd w:val="clear" w:color="auto" w:fill="auto"/>
            <w:noWrap/>
            <w:vAlign w:val="bottom"/>
            <w:hideMark/>
          </w:tcPr>
          <w:p w14:paraId="0A0A3597" w14:textId="77777777" w:rsidR="00FA1B5C" w:rsidRDefault="00FA1B5C">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44B6928F" w14:textId="77777777" w:rsidR="00FA1B5C" w:rsidRDefault="00FA1B5C">
            <w:pPr>
              <w:jc w:val="right"/>
              <w:rPr>
                <w:b/>
                <w:bCs/>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2B215456" w14:textId="77777777" w:rsidR="00FA1B5C" w:rsidRDefault="00FA1B5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38AD3FA9" w14:textId="77777777" w:rsidR="00FA1B5C" w:rsidRDefault="00FA1B5C">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696FF6C1" w14:textId="77777777" w:rsidR="00FA1B5C" w:rsidRDefault="00FA1B5C">
            <w:pPr>
              <w:jc w:val="right"/>
              <w:rPr>
                <w:color w:val="000000"/>
                <w:sz w:val="20"/>
                <w:szCs w:val="20"/>
              </w:rPr>
            </w:pPr>
            <w:r>
              <w:rPr>
                <w:color w:val="000000"/>
                <w:sz w:val="20"/>
                <w:szCs w:val="20"/>
              </w:rPr>
              <w:t>0.001</w:t>
            </w:r>
          </w:p>
        </w:tc>
      </w:tr>
      <w:tr w:rsidR="00FA1B5C" w14:paraId="5CE7F794" w14:textId="77777777" w:rsidTr="00FA1B5C">
        <w:trPr>
          <w:trHeight w:val="320"/>
        </w:trPr>
        <w:tc>
          <w:tcPr>
            <w:tcW w:w="1176" w:type="dxa"/>
            <w:tcBorders>
              <w:top w:val="nil"/>
              <w:left w:val="nil"/>
              <w:bottom w:val="nil"/>
              <w:right w:val="nil"/>
            </w:tcBorders>
            <w:shd w:val="clear" w:color="auto" w:fill="auto"/>
            <w:noWrap/>
            <w:vAlign w:val="bottom"/>
            <w:hideMark/>
          </w:tcPr>
          <w:p w14:paraId="2E0CF529"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225E7D5" w14:textId="77777777" w:rsidR="00FA1B5C" w:rsidRDefault="00FA1B5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33BAA39" w14:textId="77777777" w:rsidR="00FA1B5C" w:rsidRDefault="00FA1B5C">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62FE305C" w14:textId="77777777" w:rsidR="00FA1B5C" w:rsidRDefault="00FA1B5C">
            <w:pPr>
              <w:jc w:val="right"/>
              <w:rPr>
                <w:color w:val="000000"/>
                <w:sz w:val="20"/>
                <w:szCs w:val="20"/>
              </w:rPr>
            </w:pPr>
            <w:r>
              <w:rPr>
                <w:color w:val="000000"/>
                <w:sz w:val="20"/>
                <w:szCs w:val="20"/>
              </w:rPr>
              <w:t>0.202</w:t>
            </w:r>
          </w:p>
        </w:tc>
        <w:tc>
          <w:tcPr>
            <w:tcW w:w="768" w:type="dxa"/>
            <w:tcBorders>
              <w:top w:val="nil"/>
              <w:left w:val="nil"/>
              <w:bottom w:val="nil"/>
              <w:right w:val="nil"/>
            </w:tcBorders>
            <w:shd w:val="clear" w:color="auto" w:fill="auto"/>
            <w:noWrap/>
            <w:vAlign w:val="bottom"/>
            <w:hideMark/>
          </w:tcPr>
          <w:p w14:paraId="4C922997"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E525C7A" w14:textId="77777777" w:rsidR="00FA1B5C" w:rsidRDefault="00FA1B5C">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58B266E5" w14:textId="77777777" w:rsidR="00FA1B5C" w:rsidRDefault="00FA1B5C">
            <w:pPr>
              <w:jc w:val="right"/>
              <w:rPr>
                <w:color w:val="000000"/>
                <w:sz w:val="20"/>
                <w:szCs w:val="20"/>
              </w:rPr>
            </w:pPr>
            <w:r>
              <w:rPr>
                <w:color w:val="000000"/>
                <w:sz w:val="20"/>
                <w:szCs w:val="20"/>
              </w:rPr>
              <w:t>0.280</w:t>
            </w:r>
          </w:p>
        </w:tc>
        <w:tc>
          <w:tcPr>
            <w:tcW w:w="768" w:type="dxa"/>
            <w:tcBorders>
              <w:top w:val="nil"/>
              <w:left w:val="nil"/>
              <w:bottom w:val="nil"/>
              <w:right w:val="nil"/>
            </w:tcBorders>
            <w:shd w:val="clear" w:color="auto" w:fill="auto"/>
            <w:noWrap/>
            <w:vAlign w:val="bottom"/>
            <w:hideMark/>
          </w:tcPr>
          <w:p w14:paraId="4F225055"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270B15B" w14:textId="77777777" w:rsidR="00FA1B5C" w:rsidRDefault="00FA1B5C">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6850E026" w14:textId="77777777" w:rsidR="00FA1B5C" w:rsidRDefault="00FA1B5C">
            <w:pPr>
              <w:jc w:val="right"/>
              <w:rPr>
                <w:color w:val="000000"/>
                <w:sz w:val="20"/>
                <w:szCs w:val="20"/>
              </w:rPr>
            </w:pPr>
            <w:r>
              <w:rPr>
                <w:color w:val="000000"/>
                <w:sz w:val="20"/>
                <w:szCs w:val="20"/>
              </w:rPr>
              <w:t>0.307</w:t>
            </w:r>
          </w:p>
        </w:tc>
        <w:tc>
          <w:tcPr>
            <w:tcW w:w="768" w:type="dxa"/>
            <w:tcBorders>
              <w:top w:val="nil"/>
              <w:left w:val="nil"/>
              <w:bottom w:val="nil"/>
              <w:right w:val="nil"/>
            </w:tcBorders>
            <w:shd w:val="clear" w:color="auto" w:fill="auto"/>
            <w:noWrap/>
            <w:vAlign w:val="bottom"/>
            <w:hideMark/>
          </w:tcPr>
          <w:p w14:paraId="01B407D2"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29CB9FC" w14:textId="77777777" w:rsidR="00FA1B5C" w:rsidRDefault="00FA1B5C">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197E952" w14:textId="77777777" w:rsidR="00FA1B5C" w:rsidRDefault="00FA1B5C">
            <w:pPr>
              <w:jc w:val="right"/>
              <w:rPr>
                <w:color w:val="000000"/>
                <w:sz w:val="20"/>
                <w:szCs w:val="20"/>
              </w:rPr>
            </w:pPr>
            <w:r>
              <w:rPr>
                <w:color w:val="000000"/>
                <w:sz w:val="20"/>
                <w:szCs w:val="20"/>
              </w:rPr>
              <w:t>0.506</w:t>
            </w:r>
          </w:p>
        </w:tc>
        <w:tc>
          <w:tcPr>
            <w:tcW w:w="768" w:type="dxa"/>
            <w:tcBorders>
              <w:top w:val="nil"/>
              <w:left w:val="nil"/>
              <w:bottom w:val="nil"/>
              <w:right w:val="nil"/>
            </w:tcBorders>
            <w:shd w:val="clear" w:color="auto" w:fill="auto"/>
            <w:noWrap/>
            <w:vAlign w:val="bottom"/>
            <w:hideMark/>
          </w:tcPr>
          <w:p w14:paraId="3BDEA111"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6D5DE71"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5C3957B" w14:textId="77777777" w:rsidR="00FA1B5C" w:rsidRDefault="00FA1B5C">
            <w:pPr>
              <w:jc w:val="right"/>
              <w:rPr>
                <w:color w:val="000000"/>
                <w:sz w:val="20"/>
                <w:szCs w:val="20"/>
              </w:rPr>
            </w:pPr>
            <w:r>
              <w:rPr>
                <w:color w:val="000000"/>
                <w:sz w:val="20"/>
                <w:szCs w:val="20"/>
              </w:rPr>
              <w:t>0.962</w:t>
            </w:r>
          </w:p>
        </w:tc>
        <w:tc>
          <w:tcPr>
            <w:tcW w:w="768" w:type="dxa"/>
            <w:tcBorders>
              <w:top w:val="nil"/>
              <w:left w:val="nil"/>
              <w:bottom w:val="nil"/>
              <w:right w:val="nil"/>
            </w:tcBorders>
            <w:shd w:val="clear" w:color="auto" w:fill="auto"/>
            <w:noWrap/>
            <w:vAlign w:val="bottom"/>
            <w:hideMark/>
          </w:tcPr>
          <w:p w14:paraId="2B4A4FE6" w14:textId="77777777" w:rsidR="00FA1B5C" w:rsidRDefault="00FA1B5C">
            <w:pPr>
              <w:jc w:val="right"/>
              <w:rPr>
                <w:color w:val="000000"/>
                <w:sz w:val="20"/>
                <w:szCs w:val="20"/>
              </w:rPr>
            </w:pPr>
            <w:r>
              <w:rPr>
                <w:color w:val="000000"/>
                <w:sz w:val="20"/>
                <w:szCs w:val="20"/>
              </w:rPr>
              <w:t>0.000</w:t>
            </w:r>
          </w:p>
        </w:tc>
      </w:tr>
      <w:tr w:rsidR="00FA1B5C" w14:paraId="79EC1C22" w14:textId="77777777" w:rsidTr="00FA1B5C">
        <w:trPr>
          <w:trHeight w:val="320"/>
        </w:trPr>
        <w:tc>
          <w:tcPr>
            <w:tcW w:w="1176" w:type="dxa"/>
            <w:tcBorders>
              <w:top w:val="nil"/>
              <w:left w:val="nil"/>
              <w:bottom w:val="nil"/>
              <w:right w:val="nil"/>
            </w:tcBorders>
            <w:shd w:val="clear" w:color="auto" w:fill="auto"/>
            <w:noWrap/>
            <w:vAlign w:val="bottom"/>
            <w:hideMark/>
          </w:tcPr>
          <w:p w14:paraId="4A11DE7A"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90D5DF" w14:textId="77777777" w:rsidR="00FA1B5C" w:rsidRDefault="00FA1B5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169A6E7" w14:textId="77777777" w:rsidR="00FA1B5C" w:rsidRDefault="00FA1B5C">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1D34AC0F" w14:textId="77777777" w:rsidR="00FA1B5C" w:rsidRDefault="00FA1B5C">
            <w:pPr>
              <w:jc w:val="right"/>
              <w:rPr>
                <w:color w:val="000000"/>
                <w:sz w:val="20"/>
                <w:szCs w:val="20"/>
              </w:rPr>
            </w:pPr>
            <w:r>
              <w:rPr>
                <w:color w:val="000000"/>
                <w:sz w:val="20"/>
                <w:szCs w:val="20"/>
              </w:rPr>
              <w:t>0.117</w:t>
            </w:r>
          </w:p>
        </w:tc>
        <w:tc>
          <w:tcPr>
            <w:tcW w:w="768" w:type="dxa"/>
            <w:tcBorders>
              <w:top w:val="nil"/>
              <w:left w:val="nil"/>
              <w:bottom w:val="nil"/>
              <w:right w:val="nil"/>
            </w:tcBorders>
            <w:shd w:val="clear" w:color="auto" w:fill="auto"/>
            <w:noWrap/>
            <w:vAlign w:val="bottom"/>
            <w:hideMark/>
          </w:tcPr>
          <w:p w14:paraId="08B98183"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FAA2BB2" w14:textId="77777777" w:rsidR="00FA1B5C" w:rsidRDefault="00FA1B5C">
            <w:pPr>
              <w:jc w:val="right"/>
              <w:rPr>
                <w:b/>
                <w:bCs/>
                <w:color w:val="000000"/>
                <w:sz w:val="20"/>
                <w:szCs w:val="20"/>
              </w:rPr>
            </w:pPr>
            <w:r>
              <w:rPr>
                <w:b/>
                <w:bCs/>
                <w:color w:val="000000"/>
                <w:sz w:val="20"/>
                <w:szCs w:val="20"/>
              </w:rPr>
              <w:t>-0.066</w:t>
            </w:r>
          </w:p>
        </w:tc>
        <w:tc>
          <w:tcPr>
            <w:tcW w:w="768" w:type="dxa"/>
            <w:tcBorders>
              <w:top w:val="nil"/>
              <w:left w:val="nil"/>
              <w:bottom w:val="nil"/>
              <w:right w:val="nil"/>
            </w:tcBorders>
            <w:shd w:val="clear" w:color="auto" w:fill="auto"/>
            <w:noWrap/>
            <w:vAlign w:val="bottom"/>
            <w:hideMark/>
          </w:tcPr>
          <w:p w14:paraId="4E5B32D7" w14:textId="77777777" w:rsidR="00FA1B5C" w:rsidRDefault="00FA1B5C">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1BBA4085" w14:textId="77777777" w:rsidR="00FA1B5C" w:rsidRDefault="00FA1B5C">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5349DCB2" w14:textId="77777777" w:rsidR="00FA1B5C" w:rsidRDefault="00FA1B5C">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53A48336" w14:textId="77777777" w:rsidR="00FA1B5C" w:rsidRDefault="00FA1B5C">
            <w:pPr>
              <w:jc w:val="right"/>
              <w:rPr>
                <w:color w:val="000000"/>
                <w:sz w:val="20"/>
                <w:szCs w:val="20"/>
              </w:rPr>
            </w:pPr>
            <w:r>
              <w:rPr>
                <w:color w:val="000000"/>
                <w:sz w:val="20"/>
                <w:szCs w:val="20"/>
              </w:rPr>
              <w:t>0.307</w:t>
            </w:r>
          </w:p>
        </w:tc>
        <w:tc>
          <w:tcPr>
            <w:tcW w:w="768" w:type="dxa"/>
            <w:tcBorders>
              <w:top w:val="nil"/>
              <w:left w:val="nil"/>
              <w:bottom w:val="nil"/>
              <w:right w:val="nil"/>
            </w:tcBorders>
            <w:shd w:val="clear" w:color="auto" w:fill="auto"/>
            <w:noWrap/>
            <w:vAlign w:val="bottom"/>
            <w:hideMark/>
          </w:tcPr>
          <w:p w14:paraId="694A93B1"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D10EEC6" w14:textId="77777777" w:rsidR="00FA1B5C" w:rsidRDefault="00FA1B5C">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DA51D56" w14:textId="77777777" w:rsidR="00FA1B5C" w:rsidRDefault="00FA1B5C">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02634C61"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75DA70" w14:textId="77777777" w:rsidR="00FA1B5C" w:rsidRDefault="00FA1B5C">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6249D32E" w14:textId="77777777" w:rsidR="00FA1B5C" w:rsidRDefault="00FA1B5C">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45376A0C" w14:textId="77777777" w:rsidR="00FA1B5C" w:rsidRDefault="00FA1B5C">
            <w:pPr>
              <w:jc w:val="right"/>
              <w:rPr>
                <w:color w:val="000000"/>
                <w:sz w:val="20"/>
                <w:szCs w:val="20"/>
              </w:rPr>
            </w:pPr>
            <w:r>
              <w:rPr>
                <w:color w:val="000000"/>
                <w:sz w:val="20"/>
                <w:szCs w:val="20"/>
              </w:rPr>
              <w:t>0.005</w:t>
            </w:r>
          </w:p>
        </w:tc>
      </w:tr>
      <w:tr w:rsidR="00FA1B5C" w14:paraId="2DC77C33" w14:textId="77777777" w:rsidTr="00FA1B5C">
        <w:trPr>
          <w:trHeight w:val="320"/>
        </w:trPr>
        <w:tc>
          <w:tcPr>
            <w:tcW w:w="1176" w:type="dxa"/>
            <w:tcBorders>
              <w:top w:val="nil"/>
              <w:left w:val="nil"/>
              <w:bottom w:val="nil"/>
              <w:right w:val="nil"/>
            </w:tcBorders>
            <w:shd w:val="clear" w:color="auto" w:fill="auto"/>
            <w:noWrap/>
            <w:vAlign w:val="bottom"/>
            <w:hideMark/>
          </w:tcPr>
          <w:p w14:paraId="72003305"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CB22B99" w14:textId="77777777" w:rsidR="00FA1B5C" w:rsidRDefault="00FA1B5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A3F4BE6" w14:textId="77777777" w:rsidR="00FA1B5C" w:rsidRDefault="00FA1B5C">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594F7CB0" w14:textId="77777777" w:rsidR="00FA1B5C" w:rsidRDefault="00FA1B5C">
            <w:pPr>
              <w:jc w:val="right"/>
              <w:rPr>
                <w:color w:val="000000"/>
                <w:sz w:val="20"/>
                <w:szCs w:val="20"/>
              </w:rPr>
            </w:pPr>
            <w:r>
              <w:rPr>
                <w:color w:val="000000"/>
                <w:sz w:val="20"/>
                <w:szCs w:val="20"/>
              </w:rPr>
              <w:t>0.093</w:t>
            </w:r>
          </w:p>
        </w:tc>
        <w:tc>
          <w:tcPr>
            <w:tcW w:w="768" w:type="dxa"/>
            <w:tcBorders>
              <w:top w:val="nil"/>
              <w:left w:val="nil"/>
              <w:bottom w:val="nil"/>
              <w:right w:val="nil"/>
            </w:tcBorders>
            <w:shd w:val="clear" w:color="auto" w:fill="auto"/>
            <w:noWrap/>
            <w:vAlign w:val="bottom"/>
            <w:hideMark/>
          </w:tcPr>
          <w:p w14:paraId="596F4660"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CEBB3EF" w14:textId="77777777" w:rsidR="00FA1B5C" w:rsidRDefault="00FA1B5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962903F" w14:textId="77777777" w:rsidR="00FA1B5C" w:rsidRDefault="00FA1B5C">
            <w:pPr>
              <w:jc w:val="right"/>
              <w:rPr>
                <w:color w:val="000000"/>
                <w:sz w:val="20"/>
                <w:szCs w:val="20"/>
              </w:rPr>
            </w:pPr>
            <w:r>
              <w:rPr>
                <w:color w:val="000000"/>
                <w:sz w:val="20"/>
                <w:szCs w:val="20"/>
              </w:rPr>
              <w:t>0.725</w:t>
            </w:r>
          </w:p>
        </w:tc>
        <w:tc>
          <w:tcPr>
            <w:tcW w:w="768" w:type="dxa"/>
            <w:tcBorders>
              <w:top w:val="nil"/>
              <w:left w:val="nil"/>
              <w:bottom w:val="nil"/>
              <w:right w:val="nil"/>
            </w:tcBorders>
            <w:shd w:val="clear" w:color="auto" w:fill="auto"/>
            <w:noWrap/>
            <w:vAlign w:val="bottom"/>
            <w:hideMark/>
          </w:tcPr>
          <w:p w14:paraId="7544921B"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A6121D" w14:textId="77777777" w:rsidR="00FA1B5C" w:rsidRDefault="00FA1B5C">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811C990" w14:textId="77777777" w:rsidR="00FA1B5C" w:rsidRDefault="00FA1B5C">
            <w:pPr>
              <w:jc w:val="right"/>
              <w:rPr>
                <w:color w:val="000000"/>
                <w:sz w:val="20"/>
                <w:szCs w:val="20"/>
              </w:rPr>
            </w:pPr>
            <w:r>
              <w:rPr>
                <w:color w:val="000000"/>
                <w:sz w:val="20"/>
                <w:szCs w:val="20"/>
              </w:rPr>
              <w:t>0.402</w:t>
            </w:r>
          </w:p>
        </w:tc>
        <w:tc>
          <w:tcPr>
            <w:tcW w:w="768" w:type="dxa"/>
            <w:tcBorders>
              <w:top w:val="nil"/>
              <w:left w:val="nil"/>
              <w:bottom w:val="nil"/>
              <w:right w:val="nil"/>
            </w:tcBorders>
            <w:shd w:val="clear" w:color="auto" w:fill="auto"/>
            <w:noWrap/>
            <w:vAlign w:val="bottom"/>
            <w:hideMark/>
          </w:tcPr>
          <w:p w14:paraId="7D6E69C8"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FDD2102" w14:textId="77777777" w:rsidR="00FA1B5C" w:rsidRDefault="00FA1B5C">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31480D3D" w14:textId="77777777" w:rsidR="00FA1B5C" w:rsidRDefault="00FA1B5C">
            <w:pPr>
              <w:jc w:val="right"/>
              <w:rPr>
                <w:color w:val="000000"/>
                <w:sz w:val="20"/>
                <w:szCs w:val="20"/>
              </w:rPr>
            </w:pPr>
            <w:r>
              <w:rPr>
                <w:color w:val="000000"/>
                <w:sz w:val="20"/>
                <w:szCs w:val="20"/>
              </w:rPr>
              <w:t>0.187</w:t>
            </w:r>
          </w:p>
        </w:tc>
        <w:tc>
          <w:tcPr>
            <w:tcW w:w="768" w:type="dxa"/>
            <w:tcBorders>
              <w:top w:val="nil"/>
              <w:left w:val="nil"/>
              <w:bottom w:val="nil"/>
              <w:right w:val="nil"/>
            </w:tcBorders>
            <w:shd w:val="clear" w:color="auto" w:fill="auto"/>
            <w:noWrap/>
            <w:vAlign w:val="bottom"/>
            <w:hideMark/>
          </w:tcPr>
          <w:p w14:paraId="3430A9E3"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9F2434E" w14:textId="77777777" w:rsidR="00FA1B5C" w:rsidRDefault="00FA1B5C">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E0CD901" w14:textId="77777777" w:rsidR="00FA1B5C" w:rsidRDefault="00FA1B5C">
            <w:pPr>
              <w:jc w:val="right"/>
              <w:rPr>
                <w:color w:val="000000"/>
                <w:sz w:val="20"/>
                <w:szCs w:val="20"/>
              </w:rPr>
            </w:pPr>
            <w:r>
              <w:rPr>
                <w:color w:val="000000"/>
                <w:sz w:val="20"/>
                <w:szCs w:val="20"/>
              </w:rPr>
              <w:t>0.816</w:t>
            </w:r>
          </w:p>
        </w:tc>
        <w:tc>
          <w:tcPr>
            <w:tcW w:w="768" w:type="dxa"/>
            <w:tcBorders>
              <w:top w:val="nil"/>
              <w:left w:val="nil"/>
              <w:bottom w:val="nil"/>
              <w:right w:val="nil"/>
            </w:tcBorders>
            <w:shd w:val="clear" w:color="auto" w:fill="auto"/>
            <w:noWrap/>
            <w:vAlign w:val="bottom"/>
            <w:hideMark/>
          </w:tcPr>
          <w:p w14:paraId="7DEDFB1D" w14:textId="77777777" w:rsidR="00FA1B5C" w:rsidRDefault="00FA1B5C">
            <w:pPr>
              <w:jc w:val="right"/>
              <w:rPr>
                <w:color w:val="000000"/>
                <w:sz w:val="20"/>
                <w:szCs w:val="20"/>
              </w:rPr>
            </w:pPr>
            <w:r>
              <w:rPr>
                <w:color w:val="000000"/>
                <w:sz w:val="20"/>
                <w:szCs w:val="20"/>
              </w:rPr>
              <w:t>0.000</w:t>
            </w:r>
          </w:p>
        </w:tc>
      </w:tr>
      <w:tr w:rsidR="00FA1B5C" w14:paraId="35830FCA" w14:textId="77777777" w:rsidTr="00FA1B5C">
        <w:trPr>
          <w:trHeight w:val="320"/>
        </w:trPr>
        <w:tc>
          <w:tcPr>
            <w:tcW w:w="1176" w:type="dxa"/>
            <w:tcBorders>
              <w:top w:val="nil"/>
              <w:left w:val="nil"/>
              <w:bottom w:val="nil"/>
              <w:right w:val="nil"/>
            </w:tcBorders>
            <w:shd w:val="clear" w:color="auto" w:fill="auto"/>
            <w:noWrap/>
            <w:vAlign w:val="bottom"/>
            <w:hideMark/>
          </w:tcPr>
          <w:p w14:paraId="58F48352"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75ED5FA" w14:textId="77777777" w:rsidR="00FA1B5C" w:rsidRDefault="00FA1B5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C43B4F5" w14:textId="77777777" w:rsidR="00FA1B5C" w:rsidRDefault="00FA1B5C">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C81EC60" w14:textId="77777777" w:rsidR="00FA1B5C" w:rsidRDefault="00FA1B5C">
            <w:pPr>
              <w:jc w:val="right"/>
              <w:rPr>
                <w:color w:val="000000"/>
                <w:sz w:val="20"/>
                <w:szCs w:val="20"/>
              </w:rPr>
            </w:pPr>
            <w:r>
              <w:rPr>
                <w:color w:val="000000"/>
                <w:sz w:val="20"/>
                <w:szCs w:val="20"/>
              </w:rPr>
              <w:t>0.161</w:t>
            </w:r>
          </w:p>
        </w:tc>
        <w:tc>
          <w:tcPr>
            <w:tcW w:w="768" w:type="dxa"/>
            <w:tcBorders>
              <w:top w:val="nil"/>
              <w:left w:val="nil"/>
              <w:bottom w:val="nil"/>
              <w:right w:val="nil"/>
            </w:tcBorders>
            <w:shd w:val="clear" w:color="auto" w:fill="auto"/>
            <w:noWrap/>
            <w:vAlign w:val="bottom"/>
            <w:hideMark/>
          </w:tcPr>
          <w:p w14:paraId="7F5602C0"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1B484D3" w14:textId="77777777" w:rsidR="00FA1B5C" w:rsidRDefault="00FA1B5C">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25585CE9" w14:textId="77777777" w:rsidR="00FA1B5C" w:rsidRDefault="00FA1B5C">
            <w:pPr>
              <w:jc w:val="right"/>
              <w:rPr>
                <w:color w:val="000000"/>
                <w:sz w:val="20"/>
                <w:szCs w:val="20"/>
              </w:rPr>
            </w:pPr>
            <w:r>
              <w:rPr>
                <w:color w:val="000000"/>
                <w:sz w:val="20"/>
                <w:szCs w:val="20"/>
              </w:rPr>
              <w:t>0.400</w:t>
            </w:r>
          </w:p>
        </w:tc>
        <w:tc>
          <w:tcPr>
            <w:tcW w:w="768" w:type="dxa"/>
            <w:tcBorders>
              <w:top w:val="nil"/>
              <w:left w:val="nil"/>
              <w:bottom w:val="nil"/>
              <w:right w:val="nil"/>
            </w:tcBorders>
            <w:shd w:val="clear" w:color="auto" w:fill="auto"/>
            <w:noWrap/>
            <w:vAlign w:val="bottom"/>
            <w:hideMark/>
          </w:tcPr>
          <w:p w14:paraId="49F10A58"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26B88C" w14:textId="77777777" w:rsidR="00FA1B5C" w:rsidRDefault="00FA1B5C">
            <w:pPr>
              <w:jc w:val="right"/>
              <w:rPr>
                <w:b/>
                <w:bCs/>
                <w:color w:val="000000"/>
                <w:sz w:val="20"/>
                <w:szCs w:val="20"/>
              </w:rPr>
            </w:pPr>
            <w:r>
              <w:rPr>
                <w:b/>
                <w:bCs/>
                <w:color w:val="000000"/>
                <w:sz w:val="20"/>
                <w:szCs w:val="20"/>
              </w:rPr>
              <w:t>-0.065</w:t>
            </w:r>
          </w:p>
        </w:tc>
        <w:tc>
          <w:tcPr>
            <w:tcW w:w="768" w:type="dxa"/>
            <w:tcBorders>
              <w:top w:val="nil"/>
              <w:left w:val="nil"/>
              <w:bottom w:val="nil"/>
              <w:right w:val="nil"/>
            </w:tcBorders>
            <w:shd w:val="clear" w:color="auto" w:fill="auto"/>
            <w:noWrap/>
            <w:vAlign w:val="bottom"/>
            <w:hideMark/>
          </w:tcPr>
          <w:p w14:paraId="4B829FE3" w14:textId="77777777" w:rsidR="00FA1B5C" w:rsidRDefault="00FA1B5C">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6D3C96D0" w14:textId="77777777" w:rsidR="00FA1B5C" w:rsidRDefault="00FA1B5C">
            <w:pPr>
              <w:jc w:val="right"/>
              <w:rPr>
                <w:b/>
                <w:bCs/>
                <w:color w:val="000000"/>
                <w:sz w:val="20"/>
                <w:szCs w:val="20"/>
              </w:rPr>
            </w:pPr>
            <w:r>
              <w:rPr>
                <w:b/>
                <w:bCs/>
                <w:color w:val="000000"/>
                <w:sz w:val="20"/>
                <w:szCs w:val="20"/>
              </w:rPr>
              <w:t>0.004</w:t>
            </w:r>
          </w:p>
        </w:tc>
        <w:tc>
          <w:tcPr>
            <w:tcW w:w="768" w:type="dxa"/>
            <w:tcBorders>
              <w:top w:val="nil"/>
              <w:left w:val="nil"/>
              <w:bottom w:val="nil"/>
              <w:right w:val="nil"/>
            </w:tcBorders>
            <w:shd w:val="clear" w:color="auto" w:fill="auto"/>
            <w:noWrap/>
            <w:vAlign w:val="bottom"/>
            <w:hideMark/>
          </w:tcPr>
          <w:p w14:paraId="4872911D" w14:textId="77777777" w:rsidR="00FA1B5C" w:rsidRDefault="00FA1B5C">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6E35E092" w14:textId="77777777" w:rsidR="00FA1B5C" w:rsidRDefault="00FA1B5C">
            <w:pPr>
              <w:jc w:val="right"/>
              <w:rPr>
                <w:color w:val="000000"/>
                <w:sz w:val="20"/>
                <w:szCs w:val="20"/>
              </w:rPr>
            </w:pPr>
            <w:r>
              <w:rPr>
                <w:color w:val="000000"/>
                <w:sz w:val="20"/>
                <w:szCs w:val="20"/>
              </w:rPr>
              <w:t>0.212</w:t>
            </w:r>
          </w:p>
        </w:tc>
        <w:tc>
          <w:tcPr>
            <w:tcW w:w="768" w:type="dxa"/>
            <w:tcBorders>
              <w:top w:val="nil"/>
              <w:left w:val="nil"/>
              <w:bottom w:val="nil"/>
              <w:right w:val="nil"/>
            </w:tcBorders>
            <w:shd w:val="clear" w:color="auto" w:fill="auto"/>
            <w:noWrap/>
            <w:vAlign w:val="bottom"/>
            <w:hideMark/>
          </w:tcPr>
          <w:p w14:paraId="23F5357B"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1116DA7" w14:textId="77777777" w:rsidR="00FA1B5C" w:rsidRDefault="00FA1B5C">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64A85B75" w14:textId="77777777" w:rsidR="00FA1B5C" w:rsidRDefault="00FA1B5C">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29C995C2" w14:textId="77777777" w:rsidR="00FA1B5C" w:rsidRDefault="00FA1B5C">
            <w:pPr>
              <w:jc w:val="right"/>
              <w:rPr>
                <w:color w:val="000000"/>
                <w:sz w:val="20"/>
                <w:szCs w:val="20"/>
              </w:rPr>
            </w:pPr>
            <w:r>
              <w:rPr>
                <w:color w:val="000000"/>
                <w:sz w:val="20"/>
                <w:szCs w:val="20"/>
              </w:rPr>
              <w:t>0.001</w:t>
            </w:r>
          </w:p>
        </w:tc>
      </w:tr>
      <w:tr w:rsidR="00FA1B5C" w14:paraId="7F5EDFA7" w14:textId="77777777" w:rsidTr="00FA1B5C">
        <w:trPr>
          <w:trHeight w:val="320"/>
        </w:trPr>
        <w:tc>
          <w:tcPr>
            <w:tcW w:w="1176" w:type="dxa"/>
            <w:tcBorders>
              <w:top w:val="nil"/>
              <w:left w:val="nil"/>
              <w:bottom w:val="single" w:sz="4" w:space="0" w:color="auto"/>
              <w:right w:val="nil"/>
            </w:tcBorders>
            <w:shd w:val="clear" w:color="auto" w:fill="auto"/>
            <w:noWrap/>
            <w:vAlign w:val="bottom"/>
            <w:hideMark/>
          </w:tcPr>
          <w:p w14:paraId="000189D6" w14:textId="77777777" w:rsidR="00FA1B5C" w:rsidRDefault="00FA1B5C">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61174DD" w14:textId="77777777" w:rsidR="00FA1B5C" w:rsidRDefault="00FA1B5C">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76BD1CDF" w14:textId="77777777" w:rsidR="00FA1B5C" w:rsidRDefault="00FA1B5C">
            <w:pPr>
              <w:jc w:val="right"/>
              <w:rPr>
                <w:color w:val="000000"/>
                <w:sz w:val="20"/>
                <w:szCs w:val="20"/>
              </w:rPr>
            </w:pPr>
            <w:r>
              <w:rPr>
                <w:color w:val="000000"/>
                <w:sz w:val="20"/>
                <w:szCs w:val="20"/>
              </w:rPr>
              <w:t>-0.060</w:t>
            </w:r>
          </w:p>
        </w:tc>
        <w:tc>
          <w:tcPr>
            <w:tcW w:w="768" w:type="dxa"/>
            <w:tcBorders>
              <w:top w:val="nil"/>
              <w:left w:val="nil"/>
              <w:bottom w:val="single" w:sz="4" w:space="0" w:color="auto"/>
              <w:right w:val="nil"/>
            </w:tcBorders>
            <w:shd w:val="clear" w:color="auto" w:fill="auto"/>
            <w:noWrap/>
            <w:vAlign w:val="bottom"/>
            <w:hideMark/>
          </w:tcPr>
          <w:p w14:paraId="500995DD" w14:textId="77777777" w:rsidR="00FA1B5C" w:rsidRDefault="00FA1B5C">
            <w:pPr>
              <w:jc w:val="right"/>
              <w:rPr>
                <w:color w:val="000000"/>
                <w:sz w:val="20"/>
                <w:szCs w:val="20"/>
              </w:rPr>
            </w:pPr>
            <w:r>
              <w:rPr>
                <w:color w:val="000000"/>
                <w:sz w:val="20"/>
                <w:szCs w:val="20"/>
              </w:rPr>
              <w:t>0.117</w:t>
            </w:r>
          </w:p>
        </w:tc>
        <w:tc>
          <w:tcPr>
            <w:tcW w:w="768" w:type="dxa"/>
            <w:tcBorders>
              <w:top w:val="nil"/>
              <w:left w:val="nil"/>
              <w:bottom w:val="single" w:sz="4" w:space="0" w:color="auto"/>
              <w:right w:val="nil"/>
            </w:tcBorders>
            <w:shd w:val="clear" w:color="auto" w:fill="auto"/>
            <w:noWrap/>
            <w:vAlign w:val="bottom"/>
            <w:hideMark/>
          </w:tcPr>
          <w:p w14:paraId="1AC72D0F"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66184FE5" w14:textId="77777777" w:rsidR="00FA1B5C" w:rsidRDefault="00FA1B5C">
            <w:pPr>
              <w:jc w:val="right"/>
              <w:rPr>
                <w:color w:val="000000"/>
                <w:sz w:val="20"/>
                <w:szCs w:val="20"/>
              </w:rPr>
            </w:pPr>
            <w:r>
              <w:rPr>
                <w:color w:val="000000"/>
                <w:sz w:val="20"/>
                <w:szCs w:val="20"/>
              </w:rPr>
              <w:t>0.065</w:t>
            </w:r>
          </w:p>
        </w:tc>
        <w:tc>
          <w:tcPr>
            <w:tcW w:w="768" w:type="dxa"/>
            <w:tcBorders>
              <w:top w:val="nil"/>
              <w:left w:val="nil"/>
              <w:bottom w:val="single" w:sz="4" w:space="0" w:color="auto"/>
              <w:right w:val="nil"/>
            </w:tcBorders>
            <w:shd w:val="clear" w:color="auto" w:fill="auto"/>
            <w:noWrap/>
            <w:vAlign w:val="bottom"/>
            <w:hideMark/>
          </w:tcPr>
          <w:p w14:paraId="4DBDEDEA" w14:textId="77777777" w:rsidR="00FA1B5C" w:rsidRDefault="00FA1B5C">
            <w:pPr>
              <w:jc w:val="right"/>
              <w:rPr>
                <w:color w:val="000000"/>
                <w:sz w:val="20"/>
                <w:szCs w:val="20"/>
              </w:rPr>
            </w:pPr>
            <w:r>
              <w:rPr>
                <w:color w:val="000000"/>
                <w:sz w:val="20"/>
                <w:szCs w:val="20"/>
              </w:rPr>
              <w:t>0.056</w:t>
            </w:r>
          </w:p>
        </w:tc>
        <w:tc>
          <w:tcPr>
            <w:tcW w:w="768" w:type="dxa"/>
            <w:tcBorders>
              <w:top w:val="nil"/>
              <w:left w:val="nil"/>
              <w:bottom w:val="single" w:sz="4" w:space="0" w:color="auto"/>
              <w:right w:val="nil"/>
            </w:tcBorders>
            <w:shd w:val="clear" w:color="auto" w:fill="auto"/>
            <w:noWrap/>
            <w:vAlign w:val="bottom"/>
            <w:hideMark/>
          </w:tcPr>
          <w:p w14:paraId="0A5D0F2A"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2F1B79FA" w14:textId="77777777" w:rsidR="00FA1B5C" w:rsidRDefault="00FA1B5C">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4C233CBE" w14:textId="77777777" w:rsidR="00FA1B5C" w:rsidRDefault="00FA1B5C">
            <w:pPr>
              <w:jc w:val="right"/>
              <w:rPr>
                <w:color w:val="000000"/>
                <w:sz w:val="20"/>
                <w:szCs w:val="20"/>
              </w:rPr>
            </w:pPr>
            <w:r>
              <w:rPr>
                <w:color w:val="000000"/>
                <w:sz w:val="20"/>
                <w:szCs w:val="20"/>
              </w:rPr>
              <w:t>0.583</w:t>
            </w:r>
          </w:p>
        </w:tc>
        <w:tc>
          <w:tcPr>
            <w:tcW w:w="768" w:type="dxa"/>
            <w:tcBorders>
              <w:top w:val="nil"/>
              <w:left w:val="nil"/>
              <w:bottom w:val="single" w:sz="4" w:space="0" w:color="auto"/>
              <w:right w:val="nil"/>
            </w:tcBorders>
            <w:shd w:val="clear" w:color="auto" w:fill="auto"/>
            <w:noWrap/>
            <w:vAlign w:val="bottom"/>
            <w:hideMark/>
          </w:tcPr>
          <w:p w14:paraId="7EDE2574"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B4FCA94" w14:textId="77777777" w:rsidR="00FA1B5C" w:rsidRDefault="00FA1B5C">
            <w:pPr>
              <w:jc w:val="right"/>
              <w:rPr>
                <w:color w:val="000000"/>
                <w:sz w:val="20"/>
                <w:szCs w:val="20"/>
              </w:rPr>
            </w:pPr>
            <w:r>
              <w:rPr>
                <w:color w:val="000000"/>
                <w:sz w:val="20"/>
                <w:szCs w:val="20"/>
              </w:rPr>
              <w:t>-0.055</w:t>
            </w:r>
          </w:p>
        </w:tc>
        <w:tc>
          <w:tcPr>
            <w:tcW w:w="768" w:type="dxa"/>
            <w:tcBorders>
              <w:top w:val="nil"/>
              <w:left w:val="nil"/>
              <w:bottom w:val="single" w:sz="4" w:space="0" w:color="auto"/>
              <w:right w:val="nil"/>
            </w:tcBorders>
            <w:shd w:val="clear" w:color="auto" w:fill="auto"/>
            <w:noWrap/>
            <w:vAlign w:val="bottom"/>
            <w:hideMark/>
          </w:tcPr>
          <w:p w14:paraId="2F1B57EC" w14:textId="77777777" w:rsidR="00FA1B5C" w:rsidRDefault="00FA1B5C">
            <w:pPr>
              <w:jc w:val="right"/>
              <w:rPr>
                <w:color w:val="000000"/>
                <w:sz w:val="20"/>
                <w:szCs w:val="20"/>
              </w:rPr>
            </w:pPr>
            <w:r>
              <w:rPr>
                <w:color w:val="000000"/>
                <w:sz w:val="20"/>
                <w:szCs w:val="20"/>
              </w:rPr>
              <w:t>0.187</w:t>
            </w:r>
          </w:p>
        </w:tc>
        <w:tc>
          <w:tcPr>
            <w:tcW w:w="768" w:type="dxa"/>
            <w:tcBorders>
              <w:top w:val="nil"/>
              <w:left w:val="nil"/>
              <w:bottom w:val="single" w:sz="4" w:space="0" w:color="auto"/>
              <w:right w:val="nil"/>
            </w:tcBorders>
            <w:shd w:val="clear" w:color="auto" w:fill="auto"/>
            <w:noWrap/>
            <w:vAlign w:val="bottom"/>
            <w:hideMark/>
          </w:tcPr>
          <w:p w14:paraId="4708CF80"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380D4861" w14:textId="77777777" w:rsidR="00FA1B5C" w:rsidRDefault="00FA1B5C">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709E73C6" w14:textId="77777777" w:rsidR="00FA1B5C" w:rsidRDefault="00FA1B5C">
            <w:pPr>
              <w:jc w:val="right"/>
              <w:rPr>
                <w:color w:val="000000"/>
                <w:sz w:val="20"/>
                <w:szCs w:val="20"/>
              </w:rPr>
            </w:pPr>
            <w:r>
              <w:rPr>
                <w:color w:val="000000"/>
                <w:sz w:val="20"/>
                <w:szCs w:val="20"/>
              </w:rPr>
              <w:t>0.624</w:t>
            </w:r>
          </w:p>
        </w:tc>
        <w:tc>
          <w:tcPr>
            <w:tcW w:w="768" w:type="dxa"/>
            <w:tcBorders>
              <w:top w:val="nil"/>
              <w:left w:val="nil"/>
              <w:bottom w:val="single" w:sz="4" w:space="0" w:color="auto"/>
              <w:right w:val="nil"/>
            </w:tcBorders>
            <w:shd w:val="clear" w:color="auto" w:fill="auto"/>
            <w:noWrap/>
            <w:vAlign w:val="bottom"/>
            <w:hideMark/>
          </w:tcPr>
          <w:p w14:paraId="09CC5829" w14:textId="77777777" w:rsidR="00FA1B5C" w:rsidRDefault="00FA1B5C">
            <w:pPr>
              <w:jc w:val="right"/>
              <w:rPr>
                <w:color w:val="000000"/>
                <w:sz w:val="20"/>
                <w:szCs w:val="20"/>
              </w:rPr>
            </w:pPr>
            <w:r>
              <w:rPr>
                <w:color w:val="000000"/>
                <w:sz w:val="20"/>
                <w:szCs w:val="20"/>
              </w:rPr>
              <w:t>0.001</w:t>
            </w:r>
          </w:p>
        </w:tc>
      </w:tr>
      <w:tr w:rsidR="00FA1B5C" w14:paraId="5AB9AC61" w14:textId="77777777" w:rsidTr="00FA1B5C">
        <w:trPr>
          <w:trHeight w:val="320"/>
        </w:trPr>
        <w:tc>
          <w:tcPr>
            <w:tcW w:w="1176" w:type="dxa"/>
            <w:tcBorders>
              <w:top w:val="nil"/>
              <w:left w:val="nil"/>
              <w:bottom w:val="nil"/>
              <w:right w:val="nil"/>
            </w:tcBorders>
            <w:shd w:val="clear" w:color="auto" w:fill="auto"/>
            <w:noWrap/>
            <w:vAlign w:val="bottom"/>
            <w:hideMark/>
          </w:tcPr>
          <w:p w14:paraId="75B703CC" w14:textId="77777777" w:rsidR="00FA1B5C" w:rsidRDefault="00FA1B5C">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0919AC50" w14:textId="77777777" w:rsidR="00FA1B5C" w:rsidRDefault="00FA1B5C">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8F42EA3" w14:textId="77777777" w:rsidR="00FA1B5C" w:rsidRDefault="00FA1B5C">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0AADF830" w14:textId="77777777" w:rsidR="00FA1B5C" w:rsidRDefault="00FA1B5C">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4F16FC2A"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FD4AFF9" w14:textId="77777777" w:rsidR="00FA1B5C" w:rsidRDefault="00FA1B5C">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5D6FBFB1" w14:textId="77777777" w:rsidR="00FA1B5C" w:rsidRDefault="00FA1B5C">
            <w:pPr>
              <w:jc w:val="right"/>
              <w:rPr>
                <w:color w:val="000000"/>
                <w:sz w:val="20"/>
                <w:szCs w:val="20"/>
              </w:rPr>
            </w:pPr>
            <w:r>
              <w:rPr>
                <w:color w:val="000000"/>
                <w:sz w:val="20"/>
                <w:szCs w:val="20"/>
              </w:rPr>
              <w:t>0.497</w:t>
            </w:r>
          </w:p>
        </w:tc>
        <w:tc>
          <w:tcPr>
            <w:tcW w:w="768" w:type="dxa"/>
            <w:tcBorders>
              <w:top w:val="nil"/>
              <w:left w:val="nil"/>
              <w:bottom w:val="nil"/>
              <w:right w:val="nil"/>
            </w:tcBorders>
            <w:shd w:val="clear" w:color="auto" w:fill="auto"/>
            <w:noWrap/>
            <w:vAlign w:val="bottom"/>
            <w:hideMark/>
          </w:tcPr>
          <w:p w14:paraId="2319DA25"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D2860C"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46D5492" w14:textId="77777777" w:rsidR="00FA1B5C" w:rsidRDefault="00FA1B5C">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2152598E"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426171" w14:textId="77777777" w:rsidR="00FA1B5C" w:rsidRDefault="00FA1B5C">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60A1297B" w14:textId="77777777" w:rsidR="00FA1B5C" w:rsidRDefault="00FA1B5C">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21C13039"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B63BAB3" w14:textId="77777777" w:rsidR="00FA1B5C" w:rsidRDefault="00FA1B5C">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BFE1D27" w14:textId="77777777" w:rsidR="00FA1B5C" w:rsidRDefault="00FA1B5C">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2EB11685" w14:textId="77777777" w:rsidR="00FA1B5C" w:rsidRDefault="00FA1B5C">
            <w:pPr>
              <w:jc w:val="right"/>
              <w:rPr>
                <w:color w:val="000000"/>
                <w:sz w:val="20"/>
                <w:szCs w:val="20"/>
              </w:rPr>
            </w:pPr>
            <w:r>
              <w:rPr>
                <w:color w:val="000000"/>
                <w:sz w:val="20"/>
                <w:szCs w:val="20"/>
              </w:rPr>
              <w:t>0.001</w:t>
            </w:r>
          </w:p>
        </w:tc>
      </w:tr>
      <w:tr w:rsidR="00FA1B5C" w14:paraId="72940EB0" w14:textId="77777777" w:rsidTr="00FA1B5C">
        <w:trPr>
          <w:trHeight w:val="320"/>
        </w:trPr>
        <w:tc>
          <w:tcPr>
            <w:tcW w:w="1176" w:type="dxa"/>
            <w:tcBorders>
              <w:top w:val="nil"/>
              <w:left w:val="nil"/>
              <w:bottom w:val="nil"/>
              <w:right w:val="nil"/>
            </w:tcBorders>
            <w:shd w:val="clear" w:color="auto" w:fill="auto"/>
            <w:noWrap/>
            <w:vAlign w:val="bottom"/>
            <w:hideMark/>
          </w:tcPr>
          <w:p w14:paraId="2016EAB2"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365FE5" w14:textId="77777777" w:rsidR="00FA1B5C" w:rsidRDefault="00FA1B5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30994A2"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197C66C" w14:textId="77777777" w:rsidR="00FA1B5C" w:rsidRDefault="00FA1B5C">
            <w:pPr>
              <w:jc w:val="right"/>
              <w:rPr>
                <w:color w:val="000000"/>
                <w:sz w:val="20"/>
                <w:szCs w:val="20"/>
              </w:rPr>
            </w:pPr>
            <w:r>
              <w:rPr>
                <w:color w:val="000000"/>
                <w:sz w:val="20"/>
                <w:szCs w:val="20"/>
              </w:rPr>
              <w:t>0.894</w:t>
            </w:r>
          </w:p>
        </w:tc>
        <w:tc>
          <w:tcPr>
            <w:tcW w:w="768" w:type="dxa"/>
            <w:tcBorders>
              <w:top w:val="nil"/>
              <w:left w:val="nil"/>
              <w:bottom w:val="nil"/>
              <w:right w:val="nil"/>
            </w:tcBorders>
            <w:shd w:val="clear" w:color="auto" w:fill="auto"/>
            <w:noWrap/>
            <w:vAlign w:val="bottom"/>
            <w:hideMark/>
          </w:tcPr>
          <w:p w14:paraId="56A3E039"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DDC405" w14:textId="77777777" w:rsidR="00FA1B5C" w:rsidRDefault="00FA1B5C">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41B5E170" w14:textId="77777777" w:rsidR="00FA1B5C" w:rsidRDefault="00FA1B5C">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7996558F"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5D40EB" w14:textId="77777777" w:rsidR="00FA1B5C" w:rsidRDefault="00FA1B5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6F90357C" w14:textId="77777777" w:rsidR="00FA1B5C" w:rsidRDefault="00FA1B5C">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0A60C625"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9E22BA" w14:textId="77777777" w:rsidR="00FA1B5C" w:rsidRDefault="00FA1B5C">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76A716A1" w14:textId="77777777" w:rsidR="00FA1B5C" w:rsidRDefault="00FA1B5C">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031C0F42"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68218B0" w14:textId="77777777" w:rsidR="00FA1B5C" w:rsidRDefault="00FA1B5C">
            <w:pPr>
              <w:jc w:val="right"/>
              <w:rPr>
                <w:b/>
                <w:bCs/>
                <w:color w:val="000000"/>
                <w:sz w:val="20"/>
                <w:szCs w:val="20"/>
              </w:rPr>
            </w:pPr>
            <w:r>
              <w:rPr>
                <w:b/>
                <w:bCs/>
                <w:color w:val="000000"/>
                <w:sz w:val="20"/>
                <w:szCs w:val="20"/>
              </w:rPr>
              <w:t>-0.129</w:t>
            </w:r>
          </w:p>
        </w:tc>
        <w:tc>
          <w:tcPr>
            <w:tcW w:w="768" w:type="dxa"/>
            <w:tcBorders>
              <w:top w:val="nil"/>
              <w:left w:val="nil"/>
              <w:bottom w:val="nil"/>
              <w:right w:val="nil"/>
            </w:tcBorders>
            <w:shd w:val="clear" w:color="auto" w:fill="auto"/>
            <w:noWrap/>
            <w:vAlign w:val="bottom"/>
            <w:hideMark/>
          </w:tcPr>
          <w:p w14:paraId="27F9FD3F" w14:textId="77777777" w:rsidR="00FA1B5C" w:rsidRDefault="00FA1B5C">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3C75142E" w14:textId="77777777" w:rsidR="00FA1B5C" w:rsidRDefault="00FA1B5C">
            <w:pPr>
              <w:jc w:val="right"/>
              <w:rPr>
                <w:b/>
                <w:bCs/>
                <w:color w:val="000000"/>
                <w:sz w:val="20"/>
                <w:szCs w:val="20"/>
              </w:rPr>
            </w:pPr>
            <w:r>
              <w:rPr>
                <w:b/>
                <w:bCs/>
                <w:color w:val="000000"/>
                <w:sz w:val="20"/>
                <w:szCs w:val="20"/>
              </w:rPr>
              <w:t>0.017</w:t>
            </w:r>
          </w:p>
        </w:tc>
      </w:tr>
      <w:tr w:rsidR="00FA1B5C" w14:paraId="7EE6F658" w14:textId="77777777" w:rsidTr="00FA1B5C">
        <w:trPr>
          <w:trHeight w:val="320"/>
        </w:trPr>
        <w:tc>
          <w:tcPr>
            <w:tcW w:w="1176" w:type="dxa"/>
            <w:tcBorders>
              <w:top w:val="nil"/>
              <w:left w:val="nil"/>
              <w:bottom w:val="nil"/>
              <w:right w:val="nil"/>
            </w:tcBorders>
            <w:shd w:val="clear" w:color="auto" w:fill="auto"/>
            <w:noWrap/>
            <w:vAlign w:val="bottom"/>
            <w:hideMark/>
          </w:tcPr>
          <w:p w14:paraId="350457F2" w14:textId="77777777" w:rsidR="00FA1B5C" w:rsidRDefault="00FA1B5C">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02AEA8DF" w14:textId="77777777" w:rsidR="00FA1B5C" w:rsidRDefault="00FA1B5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1913135" w14:textId="77777777" w:rsidR="00FA1B5C" w:rsidRDefault="00FA1B5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A196897" w14:textId="77777777" w:rsidR="00FA1B5C" w:rsidRDefault="00FA1B5C">
            <w:pPr>
              <w:jc w:val="right"/>
              <w:rPr>
                <w:color w:val="000000"/>
                <w:sz w:val="20"/>
                <w:szCs w:val="20"/>
              </w:rPr>
            </w:pPr>
            <w:r>
              <w:rPr>
                <w:color w:val="000000"/>
                <w:sz w:val="20"/>
                <w:szCs w:val="20"/>
              </w:rPr>
              <w:t>0.798</w:t>
            </w:r>
          </w:p>
        </w:tc>
        <w:tc>
          <w:tcPr>
            <w:tcW w:w="768" w:type="dxa"/>
            <w:tcBorders>
              <w:top w:val="nil"/>
              <w:left w:val="nil"/>
              <w:bottom w:val="nil"/>
              <w:right w:val="nil"/>
            </w:tcBorders>
            <w:shd w:val="clear" w:color="auto" w:fill="auto"/>
            <w:noWrap/>
            <w:vAlign w:val="bottom"/>
            <w:hideMark/>
          </w:tcPr>
          <w:p w14:paraId="7BCE4B61"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2EAFDD" w14:textId="77777777" w:rsidR="00FA1B5C" w:rsidRDefault="00FA1B5C">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E1D9337" w14:textId="77777777" w:rsidR="00FA1B5C" w:rsidRDefault="00FA1B5C">
            <w:pPr>
              <w:jc w:val="right"/>
              <w:rPr>
                <w:color w:val="000000"/>
                <w:sz w:val="20"/>
                <w:szCs w:val="20"/>
              </w:rPr>
            </w:pPr>
            <w:r>
              <w:rPr>
                <w:color w:val="000000"/>
                <w:sz w:val="20"/>
                <w:szCs w:val="20"/>
              </w:rPr>
              <w:t>0.497</w:t>
            </w:r>
          </w:p>
        </w:tc>
        <w:tc>
          <w:tcPr>
            <w:tcW w:w="768" w:type="dxa"/>
            <w:tcBorders>
              <w:top w:val="nil"/>
              <w:left w:val="nil"/>
              <w:bottom w:val="nil"/>
              <w:right w:val="nil"/>
            </w:tcBorders>
            <w:shd w:val="clear" w:color="auto" w:fill="auto"/>
            <w:noWrap/>
            <w:vAlign w:val="bottom"/>
            <w:hideMark/>
          </w:tcPr>
          <w:p w14:paraId="4FA58E54"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521558" w14:textId="77777777" w:rsidR="00FA1B5C" w:rsidRDefault="00FA1B5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10988DD" w14:textId="77777777" w:rsidR="00FA1B5C" w:rsidRDefault="00FA1B5C">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15D47375"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5E1C02" w14:textId="77777777" w:rsidR="00FA1B5C" w:rsidRDefault="00FA1B5C">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F653DA9" w14:textId="77777777" w:rsidR="00FA1B5C" w:rsidRDefault="00FA1B5C">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29FB5A6E"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C9063A"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D00B7DB" w14:textId="77777777" w:rsidR="00FA1B5C" w:rsidRDefault="00FA1B5C">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1F9A5621" w14:textId="77777777" w:rsidR="00FA1B5C" w:rsidRDefault="00FA1B5C">
            <w:pPr>
              <w:jc w:val="right"/>
              <w:rPr>
                <w:color w:val="000000"/>
                <w:sz w:val="20"/>
                <w:szCs w:val="20"/>
              </w:rPr>
            </w:pPr>
            <w:r>
              <w:rPr>
                <w:color w:val="000000"/>
                <w:sz w:val="20"/>
                <w:szCs w:val="20"/>
              </w:rPr>
              <w:t>0.000</w:t>
            </w:r>
          </w:p>
        </w:tc>
      </w:tr>
      <w:tr w:rsidR="00FA1B5C" w14:paraId="47F301D5" w14:textId="77777777" w:rsidTr="00FA1B5C">
        <w:trPr>
          <w:trHeight w:val="320"/>
        </w:trPr>
        <w:tc>
          <w:tcPr>
            <w:tcW w:w="1176" w:type="dxa"/>
            <w:tcBorders>
              <w:top w:val="nil"/>
              <w:left w:val="nil"/>
              <w:bottom w:val="nil"/>
              <w:right w:val="nil"/>
            </w:tcBorders>
            <w:shd w:val="clear" w:color="auto" w:fill="auto"/>
            <w:noWrap/>
            <w:vAlign w:val="bottom"/>
            <w:hideMark/>
          </w:tcPr>
          <w:p w14:paraId="7D857D4F"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253CE9" w14:textId="77777777" w:rsidR="00FA1B5C" w:rsidRDefault="00FA1B5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09E57D8" w14:textId="77777777" w:rsidR="00FA1B5C" w:rsidRDefault="00FA1B5C">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59C987D" w14:textId="77777777" w:rsidR="00FA1B5C" w:rsidRDefault="00FA1B5C">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7392D4E4"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FE2031" w14:textId="77777777" w:rsidR="00FA1B5C" w:rsidRDefault="00FA1B5C">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A25F142" w14:textId="77777777" w:rsidR="00FA1B5C" w:rsidRDefault="00FA1B5C">
            <w:pPr>
              <w:jc w:val="right"/>
              <w:rPr>
                <w:color w:val="000000"/>
                <w:sz w:val="20"/>
                <w:szCs w:val="20"/>
              </w:rPr>
            </w:pPr>
            <w:r>
              <w:rPr>
                <w:color w:val="000000"/>
                <w:sz w:val="20"/>
                <w:szCs w:val="20"/>
              </w:rPr>
              <w:t>0.459</w:t>
            </w:r>
          </w:p>
        </w:tc>
        <w:tc>
          <w:tcPr>
            <w:tcW w:w="768" w:type="dxa"/>
            <w:tcBorders>
              <w:top w:val="nil"/>
              <w:left w:val="nil"/>
              <w:bottom w:val="nil"/>
              <w:right w:val="nil"/>
            </w:tcBorders>
            <w:shd w:val="clear" w:color="auto" w:fill="auto"/>
            <w:noWrap/>
            <w:vAlign w:val="bottom"/>
            <w:hideMark/>
          </w:tcPr>
          <w:p w14:paraId="2CA55BAD"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BAC87F" w14:textId="77777777" w:rsidR="00FA1B5C" w:rsidRDefault="00FA1B5C">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EAAA95F" w14:textId="77777777" w:rsidR="00FA1B5C" w:rsidRDefault="00FA1B5C">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3430774E"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5DC45A" w14:textId="77777777" w:rsidR="00FA1B5C" w:rsidRDefault="00FA1B5C">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2428272" w14:textId="77777777" w:rsidR="00FA1B5C" w:rsidRDefault="00FA1B5C">
            <w:pPr>
              <w:jc w:val="right"/>
              <w:rPr>
                <w:color w:val="000000"/>
                <w:sz w:val="20"/>
                <w:szCs w:val="20"/>
              </w:rPr>
            </w:pPr>
            <w:r>
              <w:rPr>
                <w:color w:val="000000"/>
                <w:sz w:val="20"/>
                <w:szCs w:val="20"/>
              </w:rPr>
              <w:t>0.663</w:t>
            </w:r>
          </w:p>
        </w:tc>
        <w:tc>
          <w:tcPr>
            <w:tcW w:w="768" w:type="dxa"/>
            <w:tcBorders>
              <w:top w:val="nil"/>
              <w:left w:val="nil"/>
              <w:bottom w:val="nil"/>
              <w:right w:val="nil"/>
            </w:tcBorders>
            <w:shd w:val="clear" w:color="auto" w:fill="auto"/>
            <w:noWrap/>
            <w:vAlign w:val="bottom"/>
            <w:hideMark/>
          </w:tcPr>
          <w:p w14:paraId="6C930968"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DCCB3F" w14:textId="77777777" w:rsidR="00FA1B5C" w:rsidRDefault="00FA1B5C">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46E2274" w14:textId="77777777" w:rsidR="00FA1B5C" w:rsidRDefault="00FA1B5C">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002C8B92" w14:textId="77777777" w:rsidR="00FA1B5C" w:rsidRDefault="00FA1B5C">
            <w:pPr>
              <w:jc w:val="right"/>
              <w:rPr>
                <w:color w:val="000000"/>
                <w:sz w:val="20"/>
                <w:szCs w:val="20"/>
              </w:rPr>
            </w:pPr>
            <w:r>
              <w:rPr>
                <w:color w:val="000000"/>
                <w:sz w:val="20"/>
                <w:szCs w:val="20"/>
              </w:rPr>
              <w:t>0.000</w:t>
            </w:r>
          </w:p>
        </w:tc>
      </w:tr>
      <w:tr w:rsidR="00FA1B5C" w14:paraId="58B903DD" w14:textId="77777777" w:rsidTr="00FA1B5C">
        <w:trPr>
          <w:trHeight w:val="320"/>
        </w:trPr>
        <w:tc>
          <w:tcPr>
            <w:tcW w:w="1176" w:type="dxa"/>
            <w:tcBorders>
              <w:top w:val="nil"/>
              <w:left w:val="nil"/>
              <w:bottom w:val="nil"/>
              <w:right w:val="nil"/>
            </w:tcBorders>
            <w:shd w:val="clear" w:color="auto" w:fill="auto"/>
            <w:noWrap/>
            <w:vAlign w:val="bottom"/>
            <w:hideMark/>
          </w:tcPr>
          <w:p w14:paraId="509A1F26"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3A9C3B4" w14:textId="77777777" w:rsidR="00FA1B5C" w:rsidRDefault="00FA1B5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2C5B47E" w14:textId="77777777" w:rsidR="00FA1B5C" w:rsidRDefault="00FA1B5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5AA3963" w14:textId="77777777" w:rsidR="00FA1B5C" w:rsidRDefault="00FA1B5C">
            <w:pPr>
              <w:jc w:val="right"/>
              <w:rPr>
                <w:color w:val="000000"/>
                <w:sz w:val="20"/>
                <w:szCs w:val="20"/>
              </w:rPr>
            </w:pPr>
            <w:r>
              <w:rPr>
                <w:color w:val="000000"/>
                <w:sz w:val="20"/>
                <w:szCs w:val="20"/>
              </w:rPr>
              <w:t>0.648</w:t>
            </w:r>
          </w:p>
        </w:tc>
        <w:tc>
          <w:tcPr>
            <w:tcW w:w="768" w:type="dxa"/>
            <w:tcBorders>
              <w:top w:val="nil"/>
              <w:left w:val="nil"/>
              <w:bottom w:val="nil"/>
              <w:right w:val="nil"/>
            </w:tcBorders>
            <w:shd w:val="clear" w:color="auto" w:fill="auto"/>
            <w:noWrap/>
            <w:vAlign w:val="bottom"/>
            <w:hideMark/>
          </w:tcPr>
          <w:p w14:paraId="7E686F37"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7F9289" w14:textId="77777777" w:rsidR="00FA1B5C" w:rsidRDefault="00FA1B5C">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425477E" w14:textId="77777777" w:rsidR="00FA1B5C" w:rsidRDefault="00FA1B5C">
            <w:pPr>
              <w:jc w:val="right"/>
              <w:rPr>
                <w:color w:val="000000"/>
                <w:sz w:val="20"/>
                <w:szCs w:val="20"/>
              </w:rPr>
            </w:pPr>
            <w:r>
              <w:rPr>
                <w:color w:val="000000"/>
                <w:sz w:val="20"/>
                <w:szCs w:val="20"/>
              </w:rPr>
              <w:t>0.497</w:t>
            </w:r>
          </w:p>
        </w:tc>
        <w:tc>
          <w:tcPr>
            <w:tcW w:w="768" w:type="dxa"/>
            <w:tcBorders>
              <w:top w:val="nil"/>
              <w:left w:val="nil"/>
              <w:bottom w:val="nil"/>
              <w:right w:val="nil"/>
            </w:tcBorders>
            <w:shd w:val="clear" w:color="auto" w:fill="auto"/>
            <w:noWrap/>
            <w:vAlign w:val="bottom"/>
            <w:hideMark/>
          </w:tcPr>
          <w:p w14:paraId="65348FAD"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C78D70F" w14:textId="77777777" w:rsidR="00FA1B5C" w:rsidRDefault="00FA1B5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2DF33EA" w14:textId="77777777" w:rsidR="00FA1B5C" w:rsidRDefault="00FA1B5C">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37D76D34"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852B85" w14:textId="77777777" w:rsidR="00FA1B5C" w:rsidRDefault="00FA1B5C">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5E38008" w14:textId="77777777" w:rsidR="00FA1B5C" w:rsidRDefault="00FA1B5C">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73B39044"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B266FB" w14:textId="77777777" w:rsidR="00FA1B5C" w:rsidRDefault="00FA1B5C">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392582C7" w14:textId="77777777" w:rsidR="00FA1B5C" w:rsidRDefault="00FA1B5C">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6F16CCBB" w14:textId="77777777" w:rsidR="00FA1B5C" w:rsidRDefault="00FA1B5C">
            <w:pPr>
              <w:jc w:val="right"/>
              <w:rPr>
                <w:color w:val="000000"/>
                <w:sz w:val="20"/>
                <w:szCs w:val="20"/>
              </w:rPr>
            </w:pPr>
            <w:r>
              <w:rPr>
                <w:color w:val="000000"/>
                <w:sz w:val="20"/>
                <w:szCs w:val="20"/>
              </w:rPr>
              <w:t>0.002</w:t>
            </w:r>
          </w:p>
        </w:tc>
      </w:tr>
      <w:tr w:rsidR="00FA1B5C" w14:paraId="550BF29E" w14:textId="77777777" w:rsidTr="00FA1B5C">
        <w:trPr>
          <w:trHeight w:val="320"/>
        </w:trPr>
        <w:tc>
          <w:tcPr>
            <w:tcW w:w="1176" w:type="dxa"/>
            <w:tcBorders>
              <w:top w:val="nil"/>
              <w:left w:val="nil"/>
              <w:bottom w:val="nil"/>
              <w:right w:val="nil"/>
            </w:tcBorders>
            <w:shd w:val="clear" w:color="auto" w:fill="auto"/>
            <w:noWrap/>
            <w:vAlign w:val="bottom"/>
            <w:hideMark/>
          </w:tcPr>
          <w:p w14:paraId="4CD61EB5"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D64F566" w14:textId="77777777" w:rsidR="00FA1B5C" w:rsidRDefault="00FA1B5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5271642" w14:textId="77777777" w:rsidR="00FA1B5C" w:rsidRDefault="00FA1B5C">
            <w:pPr>
              <w:jc w:val="right"/>
              <w:rPr>
                <w:b/>
                <w:bCs/>
                <w:color w:val="000000"/>
                <w:sz w:val="20"/>
                <w:szCs w:val="20"/>
              </w:rPr>
            </w:pPr>
            <w:r>
              <w:rPr>
                <w:b/>
                <w:bCs/>
                <w:color w:val="000000"/>
                <w:sz w:val="20"/>
                <w:szCs w:val="20"/>
              </w:rPr>
              <w:t>-0.080</w:t>
            </w:r>
          </w:p>
        </w:tc>
        <w:tc>
          <w:tcPr>
            <w:tcW w:w="768" w:type="dxa"/>
            <w:tcBorders>
              <w:top w:val="nil"/>
              <w:left w:val="nil"/>
              <w:bottom w:val="nil"/>
              <w:right w:val="nil"/>
            </w:tcBorders>
            <w:shd w:val="clear" w:color="auto" w:fill="auto"/>
            <w:noWrap/>
            <w:vAlign w:val="bottom"/>
            <w:hideMark/>
          </w:tcPr>
          <w:p w14:paraId="378DB167" w14:textId="77777777" w:rsidR="00FA1B5C" w:rsidRDefault="00FA1B5C">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51DB8493" w14:textId="77777777" w:rsidR="00FA1B5C" w:rsidRDefault="00FA1B5C">
            <w:pPr>
              <w:jc w:val="right"/>
              <w:rPr>
                <w:b/>
                <w:bCs/>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6D79D22B" w14:textId="77777777" w:rsidR="00FA1B5C" w:rsidRDefault="00FA1B5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580A27F" w14:textId="77777777" w:rsidR="00FA1B5C" w:rsidRDefault="00FA1B5C">
            <w:pPr>
              <w:jc w:val="right"/>
              <w:rPr>
                <w:color w:val="000000"/>
                <w:sz w:val="20"/>
                <w:szCs w:val="20"/>
              </w:rPr>
            </w:pPr>
            <w:r>
              <w:rPr>
                <w:color w:val="000000"/>
                <w:sz w:val="20"/>
                <w:szCs w:val="20"/>
              </w:rPr>
              <w:t>0.497</w:t>
            </w:r>
          </w:p>
        </w:tc>
        <w:tc>
          <w:tcPr>
            <w:tcW w:w="768" w:type="dxa"/>
            <w:tcBorders>
              <w:top w:val="nil"/>
              <w:left w:val="nil"/>
              <w:bottom w:val="nil"/>
              <w:right w:val="nil"/>
            </w:tcBorders>
            <w:shd w:val="clear" w:color="auto" w:fill="auto"/>
            <w:noWrap/>
            <w:vAlign w:val="bottom"/>
            <w:hideMark/>
          </w:tcPr>
          <w:p w14:paraId="62E6CB1C"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0ADD71" w14:textId="77777777" w:rsidR="00FA1B5C" w:rsidRDefault="00FA1B5C">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ADE23F2" w14:textId="77777777" w:rsidR="00FA1B5C" w:rsidRDefault="00FA1B5C">
            <w:pPr>
              <w:jc w:val="right"/>
              <w:rPr>
                <w:color w:val="000000"/>
                <w:sz w:val="20"/>
                <w:szCs w:val="20"/>
              </w:rPr>
            </w:pPr>
            <w:r>
              <w:rPr>
                <w:color w:val="000000"/>
                <w:sz w:val="20"/>
                <w:szCs w:val="20"/>
              </w:rPr>
              <w:t>0.580</w:t>
            </w:r>
          </w:p>
        </w:tc>
        <w:tc>
          <w:tcPr>
            <w:tcW w:w="768" w:type="dxa"/>
            <w:tcBorders>
              <w:top w:val="nil"/>
              <w:left w:val="nil"/>
              <w:bottom w:val="nil"/>
              <w:right w:val="nil"/>
            </w:tcBorders>
            <w:shd w:val="clear" w:color="auto" w:fill="auto"/>
            <w:noWrap/>
            <w:vAlign w:val="bottom"/>
            <w:hideMark/>
          </w:tcPr>
          <w:p w14:paraId="3715EA55"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CB9C9D" w14:textId="77777777" w:rsidR="00FA1B5C" w:rsidRDefault="00FA1B5C">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444415CA" w14:textId="77777777" w:rsidR="00FA1B5C" w:rsidRDefault="00FA1B5C">
            <w:pPr>
              <w:jc w:val="right"/>
              <w:rPr>
                <w:color w:val="000000"/>
                <w:sz w:val="20"/>
                <w:szCs w:val="20"/>
              </w:rPr>
            </w:pPr>
            <w:r>
              <w:rPr>
                <w:color w:val="000000"/>
                <w:sz w:val="20"/>
                <w:szCs w:val="20"/>
              </w:rPr>
              <w:t>0.164</w:t>
            </w:r>
          </w:p>
        </w:tc>
        <w:tc>
          <w:tcPr>
            <w:tcW w:w="768" w:type="dxa"/>
            <w:tcBorders>
              <w:top w:val="nil"/>
              <w:left w:val="nil"/>
              <w:bottom w:val="nil"/>
              <w:right w:val="nil"/>
            </w:tcBorders>
            <w:shd w:val="clear" w:color="auto" w:fill="auto"/>
            <w:noWrap/>
            <w:vAlign w:val="bottom"/>
            <w:hideMark/>
          </w:tcPr>
          <w:p w14:paraId="0304CFA9"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A9F41BC"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AA9C41A" w14:textId="77777777" w:rsidR="00FA1B5C" w:rsidRDefault="00FA1B5C">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5DD5257C" w14:textId="77777777" w:rsidR="00FA1B5C" w:rsidRDefault="00FA1B5C">
            <w:pPr>
              <w:jc w:val="right"/>
              <w:rPr>
                <w:color w:val="000000"/>
                <w:sz w:val="20"/>
                <w:szCs w:val="20"/>
              </w:rPr>
            </w:pPr>
            <w:r>
              <w:rPr>
                <w:color w:val="000000"/>
                <w:sz w:val="20"/>
                <w:szCs w:val="20"/>
              </w:rPr>
              <w:t>0.000</w:t>
            </w:r>
          </w:p>
        </w:tc>
      </w:tr>
      <w:tr w:rsidR="00FA1B5C" w14:paraId="5377CFBF" w14:textId="77777777" w:rsidTr="00FA1B5C">
        <w:trPr>
          <w:trHeight w:val="320"/>
        </w:trPr>
        <w:tc>
          <w:tcPr>
            <w:tcW w:w="1176" w:type="dxa"/>
            <w:tcBorders>
              <w:top w:val="nil"/>
              <w:left w:val="nil"/>
              <w:bottom w:val="nil"/>
              <w:right w:val="nil"/>
            </w:tcBorders>
            <w:shd w:val="clear" w:color="auto" w:fill="auto"/>
            <w:noWrap/>
            <w:vAlign w:val="bottom"/>
            <w:hideMark/>
          </w:tcPr>
          <w:p w14:paraId="466778CE"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A9255C6" w14:textId="77777777" w:rsidR="00FA1B5C" w:rsidRDefault="00FA1B5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AF145BA" w14:textId="77777777" w:rsidR="00FA1B5C" w:rsidRDefault="00FA1B5C">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050CBE46" w14:textId="77777777" w:rsidR="00FA1B5C" w:rsidRDefault="00FA1B5C">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54EC44C4"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16FC08" w14:textId="77777777" w:rsidR="00FA1B5C" w:rsidRDefault="00FA1B5C">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7CF76CE" w14:textId="77777777" w:rsidR="00FA1B5C" w:rsidRDefault="00FA1B5C">
            <w:pPr>
              <w:jc w:val="right"/>
              <w:rPr>
                <w:color w:val="000000"/>
                <w:sz w:val="20"/>
                <w:szCs w:val="20"/>
              </w:rPr>
            </w:pPr>
            <w:r>
              <w:rPr>
                <w:color w:val="000000"/>
                <w:sz w:val="20"/>
                <w:szCs w:val="20"/>
              </w:rPr>
              <w:t>0.525</w:t>
            </w:r>
          </w:p>
        </w:tc>
        <w:tc>
          <w:tcPr>
            <w:tcW w:w="768" w:type="dxa"/>
            <w:tcBorders>
              <w:top w:val="nil"/>
              <w:left w:val="nil"/>
              <w:bottom w:val="nil"/>
              <w:right w:val="nil"/>
            </w:tcBorders>
            <w:shd w:val="clear" w:color="auto" w:fill="auto"/>
            <w:noWrap/>
            <w:vAlign w:val="bottom"/>
            <w:hideMark/>
          </w:tcPr>
          <w:p w14:paraId="0D0D83A6"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801D5E" w14:textId="77777777" w:rsidR="00FA1B5C" w:rsidRDefault="00FA1B5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FF38379" w14:textId="77777777" w:rsidR="00FA1B5C" w:rsidRDefault="00FA1B5C">
            <w:pPr>
              <w:jc w:val="right"/>
              <w:rPr>
                <w:color w:val="000000"/>
                <w:sz w:val="20"/>
                <w:szCs w:val="20"/>
              </w:rPr>
            </w:pPr>
            <w:r>
              <w:rPr>
                <w:color w:val="000000"/>
                <w:sz w:val="20"/>
                <w:szCs w:val="20"/>
              </w:rPr>
              <w:t>0.866</w:t>
            </w:r>
          </w:p>
        </w:tc>
        <w:tc>
          <w:tcPr>
            <w:tcW w:w="768" w:type="dxa"/>
            <w:tcBorders>
              <w:top w:val="nil"/>
              <w:left w:val="nil"/>
              <w:bottom w:val="nil"/>
              <w:right w:val="nil"/>
            </w:tcBorders>
            <w:shd w:val="clear" w:color="auto" w:fill="auto"/>
            <w:noWrap/>
            <w:vAlign w:val="bottom"/>
            <w:hideMark/>
          </w:tcPr>
          <w:p w14:paraId="3C07C17A"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963D5D" w14:textId="77777777" w:rsidR="00FA1B5C" w:rsidRDefault="00FA1B5C">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6EBCDCAB" w14:textId="77777777" w:rsidR="00FA1B5C" w:rsidRDefault="00FA1B5C">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5E6A7BB0"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17FA9C" w14:textId="77777777" w:rsidR="00FA1B5C" w:rsidRDefault="00FA1B5C">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50F60D2F" w14:textId="77777777" w:rsidR="00FA1B5C" w:rsidRDefault="00FA1B5C">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0A64AE1A" w14:textId="77777777" w:rsidR="00FA1B5C" w:rsidRDefault="00FA1B5C">
            <w:pPr>
              <w:jc w:val="right"/>
              <w:rPr>
                <w:color w:val="000000"/>
                <w:sz w:val="20"/>
                <w:szCs w:val="20"/>
              </w:rPr>
            </w:pPr>
            <w:r>
              <w:rPr>
                <w:color w:val="000000"/>
                <w:sz w:val="20"/>
                <w:szCs w:val="20"/>
              </w:rPr>
              <w:t>0.001</w:t>
            </w:r>
          </w:p>
        </w:tc>
      </w:tr>
      <w:tr w:rsidR="00FA1B5C" w14:paraId="26DB295C" w14:textId="77777777" w:rsidTr="00FA1B5C">
        <w:trPr>
          <w:trHeight w:val="320"/>
        </w:trPr>
        <w:tc>
          <w:tcPr>
            <w:tcW w:w="1176" w:type="dxa"/>
            <w:tcBorders>
              <w:top w:val="nil"/>
              <w:left w:val="nil"/>
              <w:bottom w:val="single" w:sz="4" w:space="0" w:color="auto"/>
              <w:right w:val="nil"/>
            </w:tcBorders>
            <w:shd w:val="clear" w:color="auto" w:fill="auto"/>
            <w:noWrap/>
            <w:vAlign w:val="bottom"/>
            <w:hideMark/>
          </w:tcPr>
          <w:p w14:paraId="3669A3FC" w14:textId="77777777" w:rsidR="00FA1B5C" w:rsidRDefault="00FA1B5C">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DC4CCF9" w14:textId="77777777" w:rsidR="00FA1B5C" w:rsidRDefault="00FA1B5C">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1F81870" w14:textId="77777777" w:rsidR="00FA1B5C" w:rsidRDefault="00FA1B5C">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35CE726E" w14:textId="77777777" w:rsidR="00FA1B5C" w:rsidRDefault="00FA1B5C">
            <w:pPr>
              <w:jc w:val="right"/>
              <w:rPr>
                <w:color w:val="000000"/>
                <w:sz w:val="20"/>
                <w:szCs w:val="20"/>
              </w:rPr>
            </w:pPr>
            <w:r>
              <w:rPr>
                <w:color w:val="000000"/>
                <w:sz w:val="20"/>
                <w:szCs w:val="20"/>
              </w:rPr>
              <w:t>0.552</w:t>
            </w:r>
          </w:p>
        </w:tc>
        <w:tc>
          <w:tcPr>
            <w:tcW w:w="768" w:type="dxa"/>
            <w:tcBorders>
              <w:top w:val="nil"/>
              <w:left w:val="nil"/>
              <w:bottom w:val="single" w:sz="4" w:space="0" w:color="auto"/>
              <w:right w:val="nil"/>
            </w:tcBorders>
            <w:shd w:val="clear" w:color="auto" w:fill="auto"/>
            <w:noWrap/>
            <w:vAlign w:val="bottom"/>
            <w:hideMark/>
          </w:tcPr>
          <w:p w14:paraId="4C08B576"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5263EFF" w14:textId="77777777" w:rsidR="00FA1B5C" w:rsidRDefault="00FA1B5C">
            <w:pPr>
              <w:jc w:val="right"/>
              <w:rPr>
                <w:color w:val="000000"/>
                <w:sz w:val="20"/>
                <w:szCs w:val="20"/>
              </w:rPr>
            </w:pPr>
            <w:r>
              <w:rPr>
                <w:color w:val="000000"/>
                <w:sz w:val="20"/>
                <w:szCs w:val="20"/>
              </w:rPr>
              <w:t>0.053</w:t>
            </w:r>
          </w:p>
        </w:tc>
        <w:tc>
          <w:tcPr>
            <w:tcW w:w="768" w:type="dxa"/>
            <w:tcBorders>
              <w:top w:val="nil"/>
              <w:left w:val="nil"/>
              <w:bottom w:val="single" w:sz="4" w:space="0" w:color="auto"/>
              <w:right w:val="nil"/>
            </w:tcBorders>
            <w:shd w:val="clear" w:color="auto" w:fill="auto"/>
            <w:noWrap/>
            <w:vAlign w:val="bottom"/>
            <w:hideMark/>
          </w:tcPr>
          <w:p w14:paraId="274B68EC" w14:textId="77777777" w:rsidR="00FA1B5C" w:rsidRDefault="00FA1B5C">
            <w:pPr>
              <w:jc w:val="right"/>
              <w:rPr>
                <w:color w:val="000000"/>
                <w:sz w:val="20"/>
                <w:szCs w:val="20"/>
              </w:rPr>
            </w:pPr>
            <w:r>
              <w:rPr>
                <w:color w:val="000000"/>
                <w:sz w:val="20"/>
                <w:szCs w:val="20"/>
              </w:rPr>
              <w:t>0.216</w:t>
            </w:r>
          </w:p>
        </w:tc>
        <w:tc>
          <w:tcPr>
            <w:tcW w:w="768" w:type="dxa"/>
            <w:tcBorders>
              <w:top w:val="nil"/>
              <w:left w:val="nil"/>
              <w:bottom w:val="single" w:sz="4" w:space="0" w:color="auto"/>
              <w:right w:val="nil"/>
            </w:tcBorders>
            <w:shd w:val="clear" w:color="auto" w:fill="auto"/>
            <w:noWrap/>
            <w:vAlign w:val="bottom"/>
            <w:hideMark/>
          </w:tcPr>
          <w:p w14:paraId="1304E6A0"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3E104724" w14:textId="77777777" w:rsidR="00FA1B5C" w:rsidRDefault="00FA1B5C">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118600B4" w14:textId="77777777" w:rsidR="00FA1B5C" w:rsidRDefault="00FA1B5C">
            <w:pPr>
              <w:jc w:val="right"/>
              <w:rPr>
                <w:color w:val="000000"/>
                <w:sz w:val="20"/>
                <w:szCs w:val="20"/>
              </w:rPr>
            </w:pPr>
            <w:r>
              <w:rPr>
                <w:color w:val="000000"/>
                <w:sz w:val="20"/>
                <w:szCs w:val="20"/>
              </w:rPr>
              <w:t>0.580</w:t>
            </w:r>
          </w:p>
        </w:tc>
        <w:tc>
          <w:tcPr>
            <w:tcW w:w="768" w:type="dxa"/>
            <w:tcBorders>
              <w:top w:val="nil"/>
              <w:left w:val="nil"/>
              <w:bottom w:val="single" w:sz="4" w:space="0" w:color="auto"/>
              <w:right w:val="nil"/>
            </w:tcBorders>
            <w:shd w:val="clear" w:color="auto" w:fill="auto"/>
            <w:noWrap/>
            <w:vAlign w:val="bottom"/>
            <w:hideMark/>
          </w:tcPr>
          <w:p w14:paraId="5CD5BDF3"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EE4F4D6" w14:textId="77777777" w:rsidR="00FA1B5C" w:rsidRDefault="00FA1B5C">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00917C41" w14:textId="77777777" w:rsidR="00FA1B5C" w:rsidRDefault="00FA1B5C">
            <w:pPr>
              <w:jc w:val="right"/>
              <w:rPr>
                <w:color w:val="000000"/>
                <w:sz w:val="20"/>
                <w:szCs w:val="20"/>
              </w:rPr>
            </w:pPr>
            <w:r>
              <w:rPr>
                <w:color w:val="000000"/>
                <w:sz w:val="20"/>
                <w:szCs w:val="20"/>
              </w:rPr>
              <w:t>0.467</w:t>
            </w:r>
          </w:p>
        </w:tc>
        <w:tc>
          <w:tcPr>
            <w:tcW w:w="768" w:type="dxa"/>
            <w:tcBorders>
              <w:top w:val="nil"/>
              <w:left w:val="nil"/>
              <w:bottom w:val="single" w:sz="4" w:space="0" w:color="auto"/>
              <w:right w:val="nil"/>
            </w:tcBorders>
            <w:shd w:val="clear" w:color="auto" w:fill="auto"/>
            <w:noWrap/>
            <w:vAlign w:val="bottom"/>
            <w:hideMark/>
          </w:tcPr>
          <w:p w14:paraId="68587A2A"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5539213" w14:textId="77777777" w:rsidR="00FA1B5C" w:rsidRDefault="00FA1B5C">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1217A8AA" w14:textId="77777777" w:rsidR="00FA1B5C" w:rsidRDefault="00FA1B5C">
            <w:pPr>
              <w:jc w:val="right"/>
              <w:rPr>
                <w:color w:val="000000"/>
                <w:sz w:val="20"/>
                <w:szCs w:val="20"/>
              </w:rPr>
            </w:pPr>
            <w:r>
              <w:rPr>
                <w:color w:val="000000"/>
                <w:sz w:val="20"/>
                <w:szCs w:val="20"/>
              </w:rPr>
              <w:t>0.392</w:t>
            </w:r>
          </w:p>
        </w:tc>
        <w:tc>
          <w:tcPr>
            <w:tcW w:w="768" w:type="dxa"/>
            <w:tcBorders>
              <w:top w:val="nil"/>
              <w:left w:val="nil"/>
              <w:bottom w:val="single" w:sz="4" w:space="0" w:color="auto"/>
              <w:right w:val="nil"/>
            </w:tcBorders>
            <w:shd w:val="clear" w:color="auto" w:fill="auto"/>
            <w:noWrap/>
            <w:vAlign w:val="bottom"/>
            <w:hideMark/>
          </w:tcPr>
          <w:p w14:paraId="30AE395B" w14:textId="77777777" w:rsidR="00FA1B5C" w:rsidRDefault="00FA1B5C">
            <w:pPr>
              <w:jc w:val="right"/>
              <w:rPr>
                <w:color w:val="000000"/>
                <w:sz w:val="20"/>
                <w:szCs w:val="20"/>
              </w:rPr>
            </w:pPr>
            <w:r>
              <w:rPr>
                <w:color w:val="000000"/>
                <w:sz w:val="20"/>
                <w:szCs w:val="20"/>
              </w:rPr>
              <w:t>0.001</w:t>
            </w:r>
          </w:p>
        </w:tc>
      </w:tr>
      <w:tr w:rsidR="00FA1B5C" w14:paraId="0A91B53A" w14:textId="77777777" w:rsidTr="00FA1B5C">
        <w:trPr>
          <w:trHeight w:val="320"/>
        </w:trPr>
        <w:tc>
          <w:tcPr>
            <w:tcW w:w="1176" w:type="dxa"/>
            <w:tcBorders>
              <w:top w:val="nil"/>
              <w:left w:val="nil"/>
              <w:bottom w:val="nil"/>
              <w:right w:val="nil"/>
            </w:tcBorders>
            <w:shd w:val="clear" w:color="auto" w:fill="auto"/>
            <w:noWrap/>
            <w:vAlign w:val="bottom"/>
            <w:hideMark/>
          </w:tcPr>
          <w:p w14:paraId="40CE64F8" w14:textId="77777777" w:rsidR="00FA1B5C" w:rsidRDefault="00FA1B5C">
            <w:pPr>
              <w:rPr>
                <w:color w:val="000000"/>
                <w:sz w:val="20"/>
                <w:szCs w:val="20"/>
              </w:rPr>
            </w:pPr>
            <w:r>
              <w:rPr>
                <w:color w:val="000000"/>
                <w:sz w:val="20"/>
                <w:szCs w:val="20"/>
              </w:rPr>
              <w:t>Threshold 30%</w:t>
            </w:r>
          </w:p>
        </w:tc>
        <w:tc>
          <w:tcPr>
            <w:tcW w:w="1705" w:type="dxa"/>
            <w:tcBorders>
              <w:top w:val="nil"/>
              <w:left w:val="nil"/>
              <w:bottom w:val="nil"/>
              <w:right w:val="nil"/>
            </w:tcBorders>
            <w:shd w:val="clear" w:color="auto" w:fill="auto"/>
            <w:noWrap/>
            <w:vAlign w:val="center"/>
            <w:hideMark/>
          </w:tcPr>
          <w:p w14:paraId="490460ED" w14:textId="77777777" w:rsidR="00FA1B5C" w:rsidRDefault="00FA1B5C">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8072DFA" w14:textId="77777777" w:rsidR="00FA1B5C" w:rsidRDefault="00FA1B5C">
            <w:pPr>
              <w:jc w:val="right"/>
              <w:rPr>
                <w:b/>
                <w:bCs/>
                <w:color w:val="000000"/>
                <w:sz w:val="20"/>
                <w:szCs w:val="20"/>
              </w:rPr>
            </w:pPr>
            <w:r>
              <w:rPr>
                <w:b/>
                <w:bCs/>
                <w:color w:val="000000"/>
                <w:sz w:val="20"/>
                <w:szCs w:val="20"/>
              </w:rPr>
              <w:t>-0.081</w:t>
            </w:r>
          </w:p>
        </w:tc>
        <w:tc>
          <w:tcPr>
            <w:tcW w:w="768" w:type="dxa"/>
            <w:tcBorders>
              <w:top w:val="nil"/>
              <w:left w:val="nil"/>
              <w:bottom w:val="nil"/>
              <w:right w:val="nil"/>
            </w:tcBorders>
            <w:shd w:val="clear" w:color="auto" w:fill="auto"/>
            <w:noWrap/>
            <w:vAlign w:val="bottom"/>
            <w:hideMark/>
          </w:tcPr>
          <w:p w14:paraId="567BAD68" w14:textId="77777777" w:rsidR="00FA1B5C" w:rsidRDefault="00FA1B5C">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61B84399" w14:textId="77777777" w:rsidR="00FA1B5C" w:rsidRDefault="00FA1B5C">
            <w:pPr>
              <w:jc w:val="right"/>
              <w:rPr>
                <w:b/>
                <w:bCs/>
                <w:color w:val="000000"/>
                <w:sz w:val="20"/>
                <w:szCs w:val="20"/>
              </w:rPr>
            </w:pPr>
            <w:r>
              <w:rPr>
                <w:b/>
                <w:bCs/>
                <w:color w:val="000000"/>
                <w:sz w:val="20"/>
                <w:szCs w:val="20"/>
              </w:rPr>
              <w:t>0.007</w:t>
            </w:r>
          </w:p>
        </w:tc>
        <w:tc>
          <w:tcPr>
            <w:tcW w:w="768" w:type="dxa"/>
            <w:tcBorders>
              <w:top w:val="nil"/>
              <w:left w:val="nil"/>
              <w:bottom w:val="nil"/>
              <w:right w:val="nil"/>
            </w:tcBorders>
            <w:shd w:val="clear" w:color="auto" w:fill="auto"/>
            <w:noWrap/>
            <w:vAlign w:val="bottom"/>
            <w:hideMark/>
          </w:tcPr>
          <w:p w14:paraId="75063618" w14:textId="77777777" w:rsidR="00FA1B5C" w:rsidRDefault="00FA1B5C">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A563E0B" w14:textId="77777777" w:rsidR="00FA1B5C" w:rsidRDefault="00FA1B5C">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2996E146"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C4CF387"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F274541" w14:textId="77777777" w:rsidR="00FA1B5C" w:rsidRDefault="00FA1B5C">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3098A5D5"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1EA056" w14:textId="77777777" w:rsidR="00FA1B5C" w:rsidRDefault="00FA1B5C">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10F9F9C8" w14:textId="77777777" w:rsidR="00FA1B5C" w:rsidRDefault="00FA1B5C">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60F02EEB"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944CF39" w14:textId="77777777" w:rsidR="00FA1B5C" w:rsidRDefault="00FA1B5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FCEC673" w14:textId="77777777" w:rsidR="00FA1B5C" w:rsidRDefault="00FA1B5C">
            <w:pPr>
              <w:jc w:val="right"/>
              <w:rPr>
                <w:color w:val="000000"/>
                <w:sz w:val="20"/>
                <w:szCs w:val="20"/>
              </w:rPr>
            </w:pPr>
            <w:r>
              <w:rPr>
                <w:color w:val="000000"/>
                <w:sz w:val="20"/>
                <w:szCs w:val="20"/>
              </w:rPr>
              <w:t>0.755</w:t>
            </w:r>
          </w:p>
        </w:tc>
        <w:tc>
          <w:tcPr>
            <w:tcW w:w="768" w:type="dxa"/>
            <w:tcBorders>
              <w:top w:val="nil"/>
              <w:left w:val="nil"/>
              <w:bottom w:val="nil"/>
              <w:right w:val="nil"/>
            </w:tcBorders>
            <w:shd w:val="clear" w:color="auto" w:fill="auto"/>
            <w:noWrap/>
            <w:vAlign w:val="bottom"/>
            <w:hideMark/>
          </w:tcPr>
          <w:p w14:paraId="1AA016A7" w14:textId="77777777" w:rsidR="00FA1B5C" w:rsidRDefault="00FA1B5C">
            <w:pPr>
              <w:jc w:val="right"/>
              <w:rPr>
                <w:color w:val="000000"/>
                <w:sz w:val="20"/>
                <w:szCs w:val="20"/>
              </w:rPr>
            </w:pPr>
            <w:r>
              <w:rPr>
                <w:color w:val="000000"/>
                <w:sz w:val="20"/>
                <w:szCs w:val="20"/>
              </w:rPr>
              <w:t>0.000</w:t>
            </w:r>
          </w:p>
        </w:tc>
      </w:tr>
      <w:tr w:rsidR="00FA1B5C" w14:paraId="50CAE8CF" w14:textId="77777777" w:rsidTr="00FA1B5C">
        <w:trPr>
          <w:trHeight w:val="320"/>
        </w:trPr>
        <w:tc>
          <w:tcPr>
            <w:tcW w:w="1176" w:type="dxa"/>
            <w:tcBorders>
              <w:top w:val="nil"/>
              <w:left w:val="nil"/>
              <w:bottom w:val="nil"/>
              <w:right w:val="nil"/>
            </w:tcBorders>
            <w:shd w:val="clear" w:color="auto" w:fill="auto"/>
            <w:noWrap/>
            <w:vAlign w:val="bottom"/>
            <w:hideMark/>
          </w:tcPr>
          <w:p w14:paraId="12E21A29"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125131" w14:textId="77777777" w:rsidR="00FA1B5C" w:rsidRDefault="00FA1B5C">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4C1846A" w14:textId="77777777" w:rsidR="00FA1B5C" w:rsidRDefault="00FA1B5C">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F01B883" w14:textId="77777777" w:rsidR="00FA1B5C" w:rsidRDefault="00FA1B5C">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301069E9"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BBCDEA" w14:textId="77777777" w:rsidR="00FA1B5C" w:rsidRDefault="00FA1B5C">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3FD73B50" w14:textId="77777777" w:rsidR="00FA1B5C" w:rsidRDefault="00FA1B5C">
            <w:pPr>
              <w:jc w:val="right"/>
              <w:rPr>
                <w:color w:val="000000"/>
                <w:sz w:val="20"/>
                <w:szCs w:val="20"/>
              </w:rPr>
            </w:pPr>
            <w:r>
              <w:rPr>
                <w:color w:val="000000"/>
                <w:sz w:val="20"/>
                <w:szCs w:val="20"/>
              </w:rPr>
              <w:t>0.291</w:t>
            </w:r>
          </w:p>
        </w:tc>
        <w:tc>
          <w:tcPr>
            <w:tcW w:w="768" w:type="dxa"/>
            <w:tcBorders>
              <w:top w:val="nil"/>
              <w:left w:val="nil"/>
              <w:bottom w:val="nil"/>
              <w:right w:val="nil"/>
            </w:tcBorders>
            <w:shd w:val="clear" w:color="auto" w:fill="auto"/>
            <w:noWrap/>
            <w:vAlign w:val="bottom"/>
            <w:hideMark/>
          </w:tcPr>
          <w:p w14:paraId="3F0B3379"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C26BDF" w14:textId="77777777" w:rsidR="00FA1B5C" w:rsidRDefault="00FA1B5C">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CB1055A" w14:textId="77777777" w:rsidR="00FA1B5C" w:rsidRDefault="00FA1B5C">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0E274882"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154B8A" w14:textId="77777777" w:rsidR="00FA1B5C" w:rsidRDefault="00FA1B5C">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0FFFBC56" w14:textId="77777777" w:rsidR="00FA1B5C" w:rsidRDefault="00FA1B5C">
            <w:pPr>
              <w:jc w:val="right"/>
              <w:rPr>
                <w:color w:val="000000"/>
                <w:sz w:val="20"/>
                <w:szCs w:val="20"/>
              </w:rPr>
            </w:pPr>
            <w:r>
              <w:rPr>
                <w:color w:val="000000"/>
                <w:sz w:val="20"/>
                <w:szCs w:val="20"/>
              </w:rPr>
              <w:t>0.131</w:t>
            </w:r>
          </w:p>
        </w:tc>
        <w:tc>
          <w:tcPr>
            <w:tcW w:w="768" w:type="dxa"/>
            <w:tcBorders>
              <w:top w:val="nil"/>
              <w:left w:val="nil"/>
              <w:bottom w:val="nil"/>
              <w:right w:val="nil"/>
            </w:tcBorders>
            <w:shd w:val="clear" w:color="auto" w:fill="auto"/>
            <w:noWrap/>
            <w:vAlign w:val="bottom"/>
            <w:hideMark/>
          </w:tcPr>
          <w:p w14:paraId="60E8E27E"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145DEE7" w14:textId="77777777" w:rsidR="00FA1B5C" w:rsidRDefault="00FA1B5C">
            <w:pPr>
              <w:jc w:val="right"/>
              <w:rPr>
                <w:b/>
                <w:bCs/>
                <w:color w:val="000000"/>
                <w:sz w:val="20"/>
                <w:szCs w:val="20"/>
              </w:rPr>
            </w:pPr>
            <w:r>
              <w:rPr>
                <w:b/>
                <w:bCs/>
                <w:color w:val="000000"/>
                <w:sz w:val="20"/>
                <w:szCs w:val="20"/>
              </w:rPr>
              <w:t>-0.097</w:t>
            </w:r>
          </w:p>
        </w:tc>
        <w:tc>
          <w:tcPr>
            <w:tcW w:w="768" w:type="dxa"/>
            <w:tcBorders>
              <w:top w:val="nil"/>
              <w:left w:val="nil"/>
              <w:bottom w:val="nil"/>
              <w:right w:val="nil"/>
            </w:tcBorders>
            <w:shd w:val="clear" w:color="auto" w:fill="auto"/>
            <w:noWrap/>
            <w:vAlign w:val="bottom"/>
            <w:hideMark/>
          </w:tcPr>
          <w:p w14:paraId="508529AB" w14:textId="77777777" w:rsidR="00FA1B5C" w:rsidRDefault="00FA1B5C">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1F9C7897" w14:textId="77777777" w:rsidR="00FA1B5C" w:rsidRDefault="00FA1B5C">
            <w:pPr>
              <w:jc w:val="right"/>
              <w:rPr>
                <w:b/>
                <w:bCs/>
                <w:color w:val="000000"/>
                <w:sz w:val="20"/>
                <w:szCs w:val="20"/>
              </w:rPr>
            </w:pPr>
            <w:r>
              <w:rPr>
                <w:b/>
                <w:bCs/>
                <w:color w:val="000000"/>
                <w:sz w:val="20"/>
                <w:szCs w:val="20"/>
              </w:rPr>
              <w:t>0.009</w:t>
            </w:r>
          </w:p>
        </w:tc>
      </w:tr>
      <w:tr w:rsidR="00FA1B5C" w14:paraId="7EF4D854" w14:textId="77777777" w:rsidTr="00FA1B5C">
        <w:trPr>
          <w:trHeight w:val="320"/>
        </w:trPr>
        <w:tc>
          <w:tcPr>
            <w:tcW w:w="1176" w:type="dxa"/>
            <w:tcBorders>
              <w:top w:val="nil"/>
              <w:left w:val="nil"/>
              <w:bottom w:val="nil"/>
              <w:right w:val="nil"/>
            </w:tcBorders>
            <w:shd w:val="clear" w:color="auto" w:fill="auto"/>
            <w:noWrap/>
            <w:vAlign w:val="bottom"/>
            <w:hideMark/>
          </w:tcPr>
          <w:p w14:paraId="135230A2" w14:textId="77777777" w:rsidR="00FA1B5C" w:rsidRDefault="00FA1B5C">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53206BC0" w14:textId="77777777" w:rsidR="00FA1B5C" w:rsidRDefault="00FA1B5C">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DD287BC" w14:textId="77777777" w:rsidR="00FA1B5C" w:rsidRDefault="00FA1B5C">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0ADE8C0" w14:textId="77777777" w:rsidR="00FA1B5C" w:rsidRDefault="00FA1B5C">
            <w:pPr>
              <w:jc w:val="right"/>
              <w:rPr>
                <w:color w:val="000000"/>
                <w:sz w:val="20"/>
                <w:szCs w:val="20"/>
              </w:rPr>
            </w:pPr>
            <w:r>
              <w:rPr>
                <w:color w:val="000000"/>
                <w:sz w:val="20"/>
                <w:szCs w:val="20"/>
              </w:rPr>
              <w:t>0.613</w:t>
            </w:r>
          </w:p>
        </w:tc>
        <w:tc>
          <w:tcPr>
            <w:tcW w:w="768" w:type="dxa"/>
            <w:tcBorders>
              <w:top w:val="nil"/>
              <w:left w:val="nil"/>
              <w:bottom w:val="nil"/>
              <w:right w:val="nil"/>
            </w:tcBorders>
            <w:shd w:val="clear" w:color="auto" w:fill="auto"/>
            <w:noWrap/>
            <w:vAlign w:val="bottom"/>
            <w:hideMark/>
          </w:tcPr>
          <w:p w14:paraId="1AC6E319"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B02E549" w14:textId="77777777" w:rsidR="00FA1B5C" w:rsidRDefault="00FA1B5C">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9230BFF" w14:textId="77777777" w:rsidR="00FA1B5C" w:rsidRDefault="00FA1B5C">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708FED61"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C92A7D6" w14:textId="77777777" w:rsidR="00FA1B5C" w:rsidRDefault="00FA1B5C">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013D917E" w14:textId="77777777" w:rsidR="00FA1B5C" w:rsidRDefault="00FA1B5C">
            <w:pPr>
              <w:jc w:val="right"/>
              <w:rPr>
                <w:color w:val="000000"/>
                <w:sz w:val="20"/>
                <w:szCs w:val="20"/>
              </w:rPr>
            </w:pPr>
            <w:r>
              <w:rPr>
                <w:color w:val="000000"/>
                <w:sz w:val="20"/>
                <w:szCs w:val="20"/>
              </w:rPr>
              <w:t>0.420</w:t>
            </w:r>
          </w:p>
        </w:tc>
        <w:tc>
          <w:tcPr>
            <w:tcW w:w="768" w:type="dxa"/>
            <w:tcBorders>
              <w:top w:val="nil"/>
              <w:left w:val="nil"/>
              <w:bottom w:val="nil"/>
              <w:right w:val="nil"/>
            </w:tcBorders>
            <w:shd w:val="clear" w:color="auto" w:fill="auto"/>
            <w:noWrap/>
            <w:vAlign w:val="bottom"/>
            <w:hideMark/>
          </w:tcPr>
          <w:p w14:paraId="32032C99" w14:textId="77777777" w:rsidR="00FA1B5C" w:rsidRDefault="00FA1B5C">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ED2A84C" w14:textId="77777777" w:rsidR="00FA1B5C" w:rsidRDefault="00FA1B5C">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28F523A" w14:textId="77777777" w:rsidR="00FA1B5C" w:rsidRDefault="00FA1B5C">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3F52385D"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491197" w14:textId="77777777" w:rsidR="00FA1B5C" w:rsidRDefault="00FA1B5C">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E34A47A" w14:textId="77777777" w:rsidR="00FA1B5C" w:rsidRDefault="00FA1B5C">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64968EE5" w14:textId="77777777" w:rsidR="00FA1B5C" w:rsidRDefault="00FA1B5C">
            <w:pPr>
              <w:jc w:val="right"/>
              <w:rPr>
                <w:color w:val="000000"/>
                <w:sz w:val="20"/>
                <w:szCs w:val="20"/>
              </w:rPr>
            </w:pPr>
            <w:r>
              <w:rPr>
                <w:color w:val="000000"/>
                <w:sz w:val="20"/>
                <w:szCs w:val="20"/>
              </w:rPr>
              <w:t>0.000</w:t>
            </w:r>
          </w:p>
        </w:tc>
      </w:tr>
      <w:tr w:rsidR="00FA1B5C" w14:paraId="253CEB43" w14:textId="77777777" w:rsidTr="00FA1B5C">
        <w:trPr>
          <w:trHeight w:val="320"/>
        </w:trPr>
        <w:tc>
          <w:tcPr>
            <w:tcW w:w="1176" w:type="dxa"/>
            <w:tcBorders>
              <w:top w:val="nil"/>
              <w:left w:val="nil"/>
              <w:bottom w:val="nil"/>
              <w:right w:val="nil"/>
            </w:tcBorders>
            <w:shd w:val="clear" w:color="auto" w:fill="auto"/>
            <w:noWrap/>
            <w:vAlign w:val="bottom"/>
            <w:hideMark/>
          </w:tcPr>
          <w:p w14:paraId="121C195C"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B05A83A" w14:textId="77777777" w:rsidR="00FA1B5C" w:rsidRDefault="00FA1B5C">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3138FB1" w14:textId="77777777" w:rsidR="00FA1B5C" w:rsidRDefault="00FA1B5C">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07C2BE1" w14:textId="77777777" w:rsidR="00FA1B5C" w:rsidRDefault="00FA1B5C">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56AC2185"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8EC070" w14:textId="77777777" w:rsidR="00FA1B5C" w:rsidRDefault="00FA1B5C">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1379495B" w14:textId="77777777" w:rsidR="00FA1B5C" w:rsidRDefault="00FA1B5C">
            <w:pPr>
              <w:jc w:val="right"/>
              <w:rPr>
                <w:color w:val="000000"/>
                <w:sz w:val="20"/>
                <w:szCs w:val="20"/>
              </w:rPr>
            </w:pPr>
            <w:r>
              <w:rPr>
                <w:color w:val="000000"/>
                <w:sz w:val="20"/>
                <w:szCs w:val="20"/>
              </w:rPr>
              <w:t>0.386</w:t>
            </w:r>
          </w:p>
        </w:tc>
        <w:tc>
          <w:tcPr>
            <w:tcW w:w="768" w:type="dxa"/>
            <w:tcBorders>
              <w:top w:val="nil"/>
              <w:left w:val="nil"/>
              <w:bottom w:val="nil"/>
              <w:right w:val="nil"/>
            </w:tcBorders>
            <w:shd w:val="clear" w:color="auto" w:fill="auto"/>
            <w:noWrap/>
            <w:vAlign w:val="bottom"/>
            <w:hideMark/>
          </w:tcPr>
          <w:p w14:paraId="2EFFD22B"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2E989C" w14:textId="77777777" w:rsidR="00FA1B5C" w:rsidRDefault="00FA1B5C">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1A15C1C" w14:textId="77777777" w:rsidR="00FA1B5C" w:rsidRDefault="00FA1B5C">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665763EE"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1A17F6C" w14:textId="77777777" w:rsidR="00FA1B5C" w:rsidRDefault="00FA1B5C">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BA22387" w14:textId="77777777" w:rsidR="00FA1B5C" w:rsidRDefault="00FA1B5C">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4639F551"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850742" w14:textId="77777777" w:rsidR="00FA1B5C" w:rsidRDefault="00FA1B5C">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27438DB" w14:textId="77777777" w:rsidR="00FA1B5C" w:rsidRDefault="00FA1B5C">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1FB60725" w14:textId="77777777" w:rsidR="00FA1B5C" w:rsidRDefault="00FA1B5C">
            <w:pPr>
              <w:jc w:val="right"/>
              <w:rPr>
                <w:color w:val="000000"/>
                <w:sz w:val="20"/>
                <w:szCs w:val="20"/>
              </w:rPr>
            </w:pPr>
            <w:r>
              <w:rPr>
                <w:color w:val="000000"/>
                <w:sz w:val="20"/>
                <w:szCs w:val="20"/>
              </w:rPr>
              <w:t>0.000</w:t>
            </w:r>
          </w:p>
        </w:tc>
      </w:tr>
      <w:tr w:rsidR="00FA1B5C" w14:paraId="23C7E8AA" w14:textId="77777777" w:rsidTr="00FA1B5C">
        <w:trPr>
          <w:trHeight w:val="320"/>
        </w:trPr>
        <w:tc>
          <w:tcPr>
            <w:tcW w:w="1176" w:type="dxa"/>
            <w:tcBorders>
              <w:top w:val="nil"/>
              <w:left w:val="nil"/>
              <w:bottom w:val="nil"/>
              <w:right w:val="nil"/>
            </w:tcBorders>
            <w:shd w:val="clear" w:color="auto" w:fill="auto"/>
            <w:noWrap/>
            <w:vAlign w:val="bottom"/>
            <w:hideMark/>
          </w:tcPr>
          <w:p w14:paraId="2D1A347F"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15CA6BB" w14:textId="77777777" w:rsidR="00FA1B5C" w:rsidRDefault="00FA1B5C">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A752F6C" w14:textId="77777777" w:rsidR="00FA1B5C" w:rsidRDefault="00FA1B5C">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3CA913C2" w14:textId="77777777" w:rsidR="00FA1B5C" w:rsidRDefault="00FA1B5C">
            <w:pPr>
              <w:jc w:val="right"/>
              <w:rPr>
                <w:color w:val="000000"/>
                <w:sz w:val="20"/>
                <w:szCs w:val="20"/>
              </w:rPr>
            </w:pPr>
            <w:r>
              <w:rPr>
                <w:color w:val="000000"/>
                <w:sz w:val="20"/>
                <w:szCs w:val="20"/>
              </w:rPr>
              <w:t>0.744</w:t>
            </w:r>
          </w:p>
        </w:tc>
        <w:tc>
          <w:tcPr>
            <w:tcW w:w="768" w:type="dxa"/>
            <w:tcBorders>
              <w:top w:val="nil"/>
              <w:left w:val="nil"/>
              <w:bottom w:val="nil"/>
              <w:right w:val="nil"/>
            </w:tcBorders>
            <w:shd w:val="clear" w:color="auto" w:fill="auto"/>
            <w:noWrap/>
            <w:vAlign w:val="bottom"/>
            <w:hideMark/>
          </w:tcPr>
          <w:p w14:paraId="3D67C4EE"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FAB4ED" w14:textId="77777777" w:rsidR="00FA1B5C" w:rsidRDefault="00FA1B5C">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CFBD977" w14:textId="77777777" w:rsidR="00FA1B5C" w:rsidRDefault="00FA1B5C">
            <w:pPr>
              <w:jc w:val="right"/>
              <w:rPr>
                <w:color w:val="000000"/>
                <w:sz w:val="20"/>
                <w:szCs w:val="20"/>
              </w:rPr>
            </w:pPr>
            <w:r>
              <w:rPr>
                <w:color w:val="000000"/>
                <w:sz w:val="20"/>
                <w:szCs w:val="20"/>
              </w:rPr>
              <w:t>0.797</w:t>
            </w:r>
          </w:p>
        </w:tc>
        <w:tc>
          <w:tcPr>
            <w:tcW w:w="768" w:type="dxa"/>
            <w:tcBorders>
              <w:top w:val="nil"/>
              <w:left w:val="nil"/>
              <w:bottom w:val="nil"/>
              <w:right w:val="nil"/>
            </w:tcBorders>
            <w:shd w:val="clear" w:color="auto" w:fill="auto"/>
            <w:noWrap/>
            <w:vAlign w:val="bottom"/>
            <w:hideMark/>
          </w:tcPr>
          <w:p w14:paraId="24D27D41"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1BE3FB" w14:textId="77777777" w:rsidR="00FA1B5C" w:rsidRDefault="00FA1B5C">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B05E4F4" w14:textId="77777777" w:rsidR="00FA1B5C" w:rsidRDefault="00FA1B5C">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0C2D5D81"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68D0D1" w14:textId="77777777" w:rsidR="00FA1B5C" w:rsidRDefault="00FA1B5C">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71FA92F" w14:textId="77777777" w:rsidR="00FA1B5C" w:rsidRDefault="00FA1B5C">
            <w:pPr>
              <w:jc w:val="right"/>
              <w:rPr>
                <w:color w:val="000000"/>
                <w:sz w:val="20"/>
                <w:szCs w:val="20"/>
              </w:rPr>
            </w:pPr>
            <w:r>
              <w:rPr>
                <w:color w:val="000000"/>
                <w:sz w:val="20"/>
                <w:szCs w:val="20"/>
              </w:rPr>
              <w:t>0.791</w:t>
            </w:r>
          </w:p>
        </w:tc>
        <w:tc>
          <w:tcPr>
            <w:tcW w:w="768" w:type="dxa"/>
            <w:tcBorders>
              <w:top w:val="nil"/>
              <w:left w:val="nil"/>
              <w:bottom w:val="nil"/>
              <w:right w:val="nil"/>
            </w:tcBorders>
            <w:shd w:val="clear" w:color="auto" w:fill="auto"/>
            <w:noWrap/>
            <w:vAlign w:val="bottom"/>
            <w:hideMark/>
          </w:tcPr>
          <w:p w14:paraId="04AA3FF4"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6418E2" w14:textId="77777777" w:rsidR="00FA1B5C" w:rsidRDefault="00FA1B5C">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51B5425" w14:textId="77777777" w:rsidR="00FA1B5C" w:rsidRDefault="00FA1B5C">
            <w:pPr>
              <w:jc w:val="right"/>
              <w:rPr>
                <w:color w:val="000000"/>
                <w:sz w:val="20"/>
                <w:szCs w:val="20"/>
              </w:rPr>
            </w:pPr>
            <w:r>
              <w:rPr>
                <w:color w:val="000000"/>
                <w:sz w:val="20"/>
                <w:szCs w:val="20"/>
              </w:rPr>
              <w:t>0.755</w:t>
            </w:r>
          </w:p>
        </w:tc>
        <w:tc>
          <w:tcPr>
            <w:tcW w:w="768" w:type="dxa"/>
            <w:tcBorders>
              <w:top w:val="nil"/>
              <w:left w:val="nil"/>
              <w:bottom w:val="nil"/>
              <w:right w:val="nil"/>
            </w:tcBorders>
            <w:shd w:val="clear" w:color="auto" w:fill="auto"/>
            <w:noWrap/>
            <w:vAlign w:val="bottom"/>
            <w:hideMark/>
          </w:tcPr>
          <w:p w14:paraId="2477D234" w14:textId="77777777" w:rsidR="00FA1B5C" w:rsidRDefault="00FA1B5C">
            <w:pPr>
              <w:jc w:val="right"/>
              <w:rPr>
                <w:color w:val="000000"/>
                <w:sz w:val="20"/>
                <w:szCs w:val="20"/>
              </w:rPr>
            </w:pPr>
            <w:r>
              <w:rPr>
                <w:color w:val="000000"/>
                <w:sz w:val="20"/>
                <w:szCs w:val="20"/>
              </w:rPr>
              <w:t>0.001</w:t>
            </w:r>
          </w:p>
        </w:tc>
      </w:tr>
      <w:tr w:rsidR="00FA1B5C" w14:paraId="18AE711D" w14:textId="77777777" w:rsidTr="00FA1B5C">
        <w:trPr>
          <w:trHeight w:val="320"/>
        </w:trPr>
        <w:tc>
          <w:tcPr>
            <w:tcW w:w="1176" w:type="dxa"/>
            <w:tcBorders>
              <w:top w:val="nil"/>
              <w:left w:val="nil"/>
              <w:bottom w:val="nil"/>
              <w:right w:val="nil"/>
            </w:tcBorders>
            <w:shd w:val="clear" w:color="auto" w:fill="auto"/>
            <w:noWrap/>
            <w:vAlign w:val="bottom"/>
            <w:hideMark/>
          </w:tcPr>
          <w:p w14:paraId="47357815"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94C8B8D" w14:textId="77777777" w:rsidR="00FA1B5C" w:rsidRDefault="00FA1B5C">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8929CD4" w14:textId="77777777" w:rsidR="00FA1B5C" w:rsidRDefault="00FA1B5C">
            <w:pPr>
              <w:jc w:val="right"/>
              <w:rPr>
                <w:b/>
                <w:bCs/>
                <w:color w:val="000000"/>
                <w:sz w:val="20"/>
                <w:szCs w:val="20"/>
              </w:rPr>
            </w:pPr>
            <w:r>
              <w:rPr>
                <w:b/>
                <w:bCs/>
                <w:color w:val="000000"/>
                <w:sz w:val="20"/>
                <w:szCs w:val="20"/>
              </w:rPr>
              <w:t>-0.099</w:t>
            </w:r>
          </w:p>
        </w:tc>
        <w:tc>
          <w:tcPr>
            <w:tcW w:w="768" w:type="dxa"/>
            <w:tcBorders>
              <w:top w:val="nil"/>
              <w:left w:val="nil"/>
              <w:bottom w:val="nil"/>
              <w:right w:val="nil"/>
            </w:tcBorders>
            <w:shd w:val="clear" w:color="auto" w:fill="auto"/>
            <w:noWrap/>
            <w:vAlign w:val="bottom"/>
            <w:hideMark/>
          </w:tcPr>
          <w:p w14:paraId="6B974D7A" w14:textId="77777777" w:rsidR="00FA1B5C" w:rsidRDefault="00FA1B5C">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268420B5" w14:textId="77777777" w:rsidR="00FA1B5C" w:rsidRDefault="00FA1B5C">
            <w:pPr>
              <w:jc w:val="right"/>
              <w:rPr>
                <w:b/>
                <w:bCs/>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35E77C12" w14:textId="77777777" w:rsidR="00FA1B5C" w:rsidRDefault="00FA1B5C">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0C8FA0D9" w14:textId="77777777" w:rsidR="00FA1B5C" w:rsidRDefault="00FA1B5C">
            <w:pPr>
              <w:jc w:val="right"/>
              <w:rPr>
                <w:color w:val="000000"/>
                <w:sz w:val="20"/>
                <w:szCs w:val="20"/>
              </w:rPr>
            </w:pPr>
            <w:r>
              <w:rPr>
                <w:color w:val="000000"/>
                <w:sz w:val="20"/>
                <w:szCs w:val="20"/>
              </w:rPr>
              <w:t>0.291</w:t>
            </w:r>
          </w:p>
        </w:tc>
        <w:tc>
          <w:tcPr>
            <w:tcW w:w="768" w:type="dxa"/>
            <w:tcBorders>
              <w:top w:val="nil"/>
              <w:left w:val="nil"/>
              <w:bottom w:val="nil"/>
              <w:right w:val="nil"/>
            </w:tcBorders>
            <w:shd w:val="clear" w:color="auto" w:fill="auto"/>
            <w:noWrap/>
            <w:vAlign w:val="bottom"/>
            <w:hideMark/>
          </w:tcPr>
          <w:p w14:paraId="7D1A644B"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8868BAD" w14:textId="77777777" w:rsidR="00FA1B5C" w:rsidRDefault="00FA1B5C">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CA9648E" w14:textId="77777777" w:rsidR="00FA1B5C" w:rsidRDefault="00FA1B5C">
            <w:pPr>
              <w:jc w:val="right"/>
              <w:rPr>
                <w:color w:val="000000"/>
                <w:sz w:val="20"/>
                <w:szCs w:val="20"/>
              </w:rPr>
            </w:pPr>
            <w:r>
              <w:rPr>
                <w:color w:val="000000"/>
                <w:sz w:val="20"/>
                <w:szCs w:val="20"/>
              </w:rPr>
              <w:t>0.456</w:t>
            </w:r>
          </w:p>
        </w:tc>
        <w:tc>
          <w:tcPr>
            <w:tcW w:w="768" w:type="dxa"/>
            <w:tcBorders>
              <w:top w:val="nil"/>
              <w:left w:val="nil"/>
              <w:bottom w:val="nil"/>
              <w:right w:val="nil"/>
            </w:tcBorders>
            <w:shd w:val="clear" w:color="auto" w:fill="auto"/>
            <w:noWrap/>
            <w:vAlign w:val="bottom"/>
            <w:hideMark/>
          </w:tcPr>
          <w:p w14:paraId="69838D66"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6D47EE2" w14:textId="77777777" w:rsidR="00FA1B5C" w:rsidRDefault="00FA1B5C">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51149578" w14:textId="77777777" w:rsidR="00FA1B5C" w:rsidRDefault="00FA1B5C">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1DB6EFB1" w14:textId="77777777" w:rsidR="00FA1B5C" w:rsidRDefault="00FA1B5C">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E161DA4"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17BC2DF" w14:textId="77777777" w:rsidR="00FA1B5C" w:rsidRDefault="00FA1B5C">
            <w:pPr>
              <w:jc w:val="right"/>
              <w:rPr>
                <w:color w:val="000000"/>
                <w:sz w:val="20"/>
                <w:szCs w:val="20"/>
              </w:rPr>
            </w:pPr>
            <w:r>
              <w:rPr>
                <w:color w:val="000000"/>
                <w:sz w:val="20"/>
                <w:szCs w:val="20"/>
              </w:rPr>
              <w:t>0.929</w:t>
            </w:r>
          </w:p>
        </w:tc>
        <w:tc>
          <w:tcPr>
            <w:tcW w:w="768" w:type="dxa"/>
            <w:tcBorders>
              <w:top w:val="nil"/>
              <w:left w:val="nil"/>
              <w:bottom w:val="nil"/>
              <w:right w:val="nil"/>
            </w:tcBorders>
            <w:shd w:val="clear" w:color="auto" w:fill="auto"/>
            <w:noWrap/>
            <w:vAlign w:val="bottom"/>
            <w:hideMark/>
          </w:tcPr>
          <w:p w14:paraId="03EF9186" w14:textId="77777777" w:rsidR="00FA1B5C" w:rsidRDefault="00FA1B5C">
            <w:pPr>
              <w:jc w:val="right"/>
              <w:rPr>
                <w:color w:val="000000"/>
                <w:sz w:val="20"/>
                <w:szCs w:val="20"/>
              </w:rPr>
            </w:pPr>
            <w:r>
              <w:rPr>
                <w:color w:val="000000"/>
                <w:sz w:val="20"/>
                <w:szCs w:val="20"/>
              </w:rPr>
              <w:t>0.000</w:t>
            </w:r>
          </w:p>
        </w:tc>
      </w:tr>
      <w:tr w:rsidR="00FA1B5C" w14:paraId="5A49E70F" w14:textId="77777777" w:rsidTr="00FA1B5C">
        <w:trPr>
          <w:trHeight w:val="320"/>
        </w:trPr>
        <w:tc>
          <w:tcPr>
            <w:tcW w:w="1176" w:type="dxa"/>
            <w:tcBorders>
              <w:top w:val="nil"/>
              <w:left w:val="nil"/>
              <w:bottom w:val="nil"/>
              <w:right w:val="nil"/>
            </w:tcBorders>
            <w:shd w:val="clear" w:color="auto" w:fill="auto"/>
            <w:noWrap/>
            <w:vAlign w:val="bottom"/>
            <w:hideMark/>
          </w:tcPr>
          <w:p w14:paraId="773623AE" w14:textId="77777777" w:rsidR="00FA1B5C" w:rsidRDefault="00FA1B5C">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303C958" w14:textId="77777777" w:rsidR="00FA1B5C" w:rsidRDefault="00FA1B5C">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350200A"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3EA0F33" w14:textId="77777777" w:rsidR="00FA1B5C" w:rsidRDefault="00FA1B5C">
            <w:pPr>
              <w:jc w:val="right"/>
              <w:rPr>
                <w:color w:val="000000"/>
                <w:sz w:val="20"/>
                <w:szCs w:val="20"/>
              </w:rPr>
            </w:pPr>
            <w:r>
              <w:rPr>
                <w:color w:val="000000"/>
                <w:sz w:val="20"/>
                <w:szCs w:val="20"/>
              </w:rPr>
              <w:t>0.908</w:t>
            </w:r>
          </w:p>
        </w:tc>
        <w:tc>
          <w:tcPr>
            <w:tcW w:w="768" w:type="dxa"/>
            <w:tcBorders>
              <w:top w:val="nil"/>
              <w:left w:val="nil"/>
              <w:bottom w:val="nil"/>
              <w:right w:val="nil"/>
            </w:tcBorders>
            <w:shd w:val="clear" w:color="auto" w:fill="auto"/>
            <w:noWrap/>
            <w:vAlign w:val="bottom"/>
            <w:hideMark/>
          </w:tcPr>
          <w:p w14:paraId="25560334"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C5960A"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A19E7A9" w14:textId="77777777" w:rsidR="00FA1B5C" w:rsidRDefault="00FA1B5C">
            <w:pPr>
              <w:jc w:val="right"/>
              <w:rPr>
                <w:color w:val="000000"/>
                <w:sz w:val="20"/>
                <w:szCs w:val="20"/>
              </w:rPr>
            </w:pPr>
            <w:r>
              <w:rPr>
                <w:color w:val="000000"/>
                <w:sz w:val="20"/>
                <w:szCs w:val="20"/>
              </w:rPr>
              <w:t>0.965</w:t>
            </w:r>
          </w:p>
        </w:tc>
        <w:tc>
          <w:tcPr>
            <w:tcW w:w="768" w:type="dxa"/>
            <w:tcBorders>
              <w:top w:val="nil"/>
              <w:left w:val="nil"/>
              <w:bottom w:val="nil"/>
              <w:right w:val="nil"/>
            </w:tcBorders>
            <w:shd w:val="clear" w:color="auto" w:fill="auto"/>
            <w:noWrap/>
            <w:vAlign w:val="bottom"/>
            <w:hideMark/>
          </w:tcPr>
          <w:p w14:paraId="1ED8F2C6"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E64823" w14:textId="77777777" w:rsidR="00FA1B5C" w:rsidRDefault="00FA1B5C">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46A0EA7" w14:textId="77777777" w:rsidR="00FA1B5C" w:rsidRDefault="00FA1B5C">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63C0EF63"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AC972E" w14:textId="77777777" w:rsidR="00FA1B5C" w:rsidRDefault="00FA1B5C">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730C755" w14:textId="77777777" w:rsidR="00FA1B5C" w:rsidRDefault="00FA1B5C">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155BD907"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A1B084" w14:textId="77777777" w:rsidR="00FA1B5C" w:rsidRDefault="00FA1B5C">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8FDA306" w14:textId="77777777" w:rsidR="00FA1B5C" w:rsidRDefault="00FA1B5C">
            <w:pPr>
              <w:jc w:val="right"/>
              <w:rPr>
                <w:color w:val="000000"/>
                <w:sz w:val="20"/>
                <w:szCs w:val="20"/>
              </w:rPr>
            </w:pPr>
            <w:r>
              <w:rPr>
                <w:color w:val="000000"/>
                <w:sz w:val="20"/>
                <w:szCs w:val="20"/>
              </w:rPr>
              <w:t>0.755</w:t>
            </w:r>
          </w:p>
        </w:tc>
        <w:tc>
          <w:tcPr>
            <w:tcW w:w="768" w:type="dxa"/>
            <w:tcBorders>
              <w:top w:val="nil"/>
              <w:left w:val="nil"/>
              <w:bottom w:val="nil"/>
              <w:right w:val="nil"/>
            </w:tcBorders>
            <w:shd w:val="clear" w:color="auto" w:fill="auto"/>
            <w:noWrap/>
            <w:vAlign w:val="bottom"/>
            <w:hideMark/>
          </w:tcPr>
          <w:p w14:paraId="35640CC0" w14:textId="77777777" w:rsidR="00FA1B5C" w:rsidRDefault="00FA1B5C">
            <w:pPr>
              <w:jc w:val="right"/>
              <w:rPr>
                <w:color w:val="000000"/>
                <w:sz w:val="20"/>
                <w:szCs w:val="20"/>
              </w:rPr>
            </w:pPr>
            <w:r>
              <w:rPr>
                <w:color w:val="000000"/>
                <w:sz w:val="20"/>
                <w:szCs w:val="20"/>
              </w:rPr>
              <w:t>0.001</w:t>
            </w:r>
          </w:p>
        </w:tc>
      </w:tr>
      <w:tr w:rsidR="00FA1B5C" w14:paraId="04D5E95C"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603204F6" w14:textId="77777777" w:rsidR="00FA1B5C" w:rsidRDefault="00FA1B5C">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79F53B63" w14:textId="77777777" w:rsidR="00FA1B5C" w:rsidRDefault="00FA1B5C">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4FF445FE"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692DF305" w14:textId="77777777" w:rsidR="00FA1B5C" w:rsidRDefault="00FA1B5C">
            <w:pPr>
              <w:jc w:val="right"/>
              <w:rPr>
                <w:color w:val="000000"/>
                <w:sz w:val="20"/>
                <w:szCs w:val="20"/>
              </w:rPr>
            </w:pPr>
            <w:r>
              <w:rPr>
                <w:color w:val="000000"/>
                <w:sz w:val="20"/>
                <w:szCs w:val="20"/>
              </w:rPr>
              <w:t>0.908</w:t>
            </w:r>
          </w:p>
        </w:tc>
        <w:tc>
          <w:tcPr>
            <w:tcW w:w="768" w:type="dxa"/>
            <w:tcBorders>
              <w:top w:val="nil"/>
              <w:left w:val="nil"/>
              <w:bottom w:val="single" w:sz="12" w:space="0" w:color="auto"/>
              <w:right w:val="nil"/>
            </w:tcBorders>
            <w:shd w:val="clear" w:color="auto" w:fill="auto"/>
            <w:noWrap/>
            <w:vAlign w:val="bottom"/>
            <w:hideMark/>
          </w:tcPr>
          <w:p w14:paraId="22D0E72D"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3417374" w14:textId="77777777" w:rsidR="00FA1B5C" w:rsidRDefault="00FA1B5C">
            <w:pPr>
              <w:jc w:val="right"/>
              <w:rPr>
                <w:color w:val="000000"/>
                <w:sz w:val="20"/>
                <w:szCs w:val="20"/>
              </w:rPr>
            </w:pPr>
            <w:r>
              <w:rPr>
                <w:color w:val="000000"/>
                <w:sz w:val="20"/>
                <w:szCs w:val="20"/>
              </w:rPr>
              <w:t>0.058</w:t>
            </w:r>
          </w:p>
        </w:tc>
        <w:tc>
          <w:tcPr>
            <w:tcW w:w="768" w:type="dxa"/>
            <w:tcBorders>
              <w:top w:val="nil"/>
              <w:left w:val="nil"/>
              <w:bottom w:val="single" w:sz="12" w:space="0" w:color="auto"/>
              <w:right w:val="nil"/>
            </w:tcBorders>
            <w:shd w:val="clear" w:color="auto" w:fill="auto"/>
            <w:noWrap/>
            <w:vAlign w:val="bottom"/>
            <w:hideMark/>
          </w:tcPr>
          <w:p w14:paraId="40F6F545" w14:textId="77777777" w:rsidR="00FA1B5C" w:rsidRDefault="00FA1B5C">
            <w:pPr>
              <w:jc w:val="right"/>
              <w:rPr>
                <w:color w:val="000000"/>
                <w:sz w:val="20"/>
                <w:szCs w:val="20"/>
              </w:rPr>
            </w:pPr>
            <w:r>
              <w:rPr>
                <w:color w:val="000000"/>
                <w:sz w:val="20"/>
                <w:szCs w:val="20"/>
              </w:rPr>
              <w:t>0.088</w:t>
            </w:r>
          </w:p>
        </w:tc>
        <w:tc>
          <w:tcPr>
            <w:tcW w:w="768" w:type="dxa"/>
            <w:tcBorders>
              <w:top w:val="nil"/>
              <w:left w:val="nil"/>
              <w:bottom w:val="single" w:sz="12" w:space="0" w:color="auto"/>
              <w:right w:val="nil"/>
            </w:tcBorders>
            <w:shd w:val="clear" w:color="auto" w:fill="auto"/>
            <w:noWrap/>
            <w:vAlign w:val="bottom"/>
            <w:hideMark/>
          </w:tcPr>
          <w:p w14:paraId="5D2C2085" w14:textId="77777777" w:rsidR="00FA1B5C" w:rsidRDefault="00FA1B5C">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00E880F6" w14:textId="77777777" w:rsidR="00FA1B5C" w:rsidRDefault="00FA1B5C">
            <w:pPr>
              <w:jc w:val="right"/>
              <w:rPr>
                <w:color w:val="000000"/>
                <w:sz w:val="20"/>
                <w:szCs w:val="20"/>
              </w:rPr>
            </w:pPr>
            <w:r>
              <w:rPr>
                <w:color w:val="000000"/>
                <w:sz w:val="20"/>
                <w:szCs w:val="20"/>
              </w:rPr>
              <w:t>-0.035</w:t>
            </w:r>
          </w:p>
        </w:tc>
        <w:tc>
          <w:tcPr>
            <w:tcW w:w="768" w:type="dxa"/>
            <w:tcBorders>
              <w:top w:val="nil"/>
              <w:left w:val="nil"/>
              <w:bottom w:val="single" w:sz="12" w:space="0" w:color="auto"/>
              <w:right w:val="nil"/>
            </w:tcBorders>
            <w:shd w:val="clear" w:color="auto" w:fill="auto"/>
            <w:noWrap/>
            <w:vAlign w:val="bottom"/>
            <w:hideMark/>
          </w:tcPr>
          <w:p w14:paraId="72A80D65" w14:textId="77777777" w:rsidR="00FA1B5C" w:rsidRDefault="00FA1B5C">
            <w:pPr>
              <w:jc w:val="right"/>
              <w:rPr>
                <w:color w:val="000000"/>
                <w:sz w:val="20"/>
                <w:szCs w:val="20"/>
              </w:rPr>
            </w:pPr>
            <w:r>
              <w:rPr>
                <w:color w:val="000000"/>
                <w:sz w:val="20"/>
                <w:szCs w:val="20"/>
              </w:rPr>
              <w:t>0.420</w:t>
            </w:r>
          </w:p>
        </w:tc>
        <w:tc>
          <w:tcPr>
            <w:tcW w:w="768" w:type="dxa"/>
            <w:tcBorders>
              <w:top w:val="nil"/>
              <w:left w:val="nil"/>
              <w:bottom w:val="single" w:sz="12" w:space="0" w:color="auto"/>
              <w:right w:val="nil"/>
            </w:tcBorders>
            <w:shd w:val="clear" w:color="auto" w:fill="auto"/>
            <w:noWrap/>
            <w:vAlign w:val="bottom"/>
            <w:hideMark/>
          </w:tcPr>
          <w:p w14:paraId="3416C618" w14:textId="77777777" w:rsidR="00FA1B5C" w:rsidRDefault="00FA1B5C">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68BA4309" w14:textId="77777777" w:rsidR="00FA1B5C" w:rsidRDefault="00FA1B5C">
            <w:pPr>
              <w:jc w:val="right"/>
              <w:rPr>
                <w:color w:val="000000"/>
                <w:sz w:val="20"/>
                <w:szCs w:val="20"/>
              </w:rPr>
            </w:pPr>
            <w:r>
              <w:rPr>
                <w:color w:val="000000"/>
                <w:sz w:val="20"/>
                <w:szCs w:val="20"/>
              </w:rPr>
              <w:t>-0.011</w:t>
            </w:r>
          </w:p>
        </w:tc>
        <w:tc>
          <w:tcPr>
            <w:tcW w:w="768" w:type="dxa"/>
            <w:tcBorders>
              <w:top w:val="nil"/>
              <w:left w:val="nil"/>
              <w:bottom w:val="single" w:sz="12" w:space="0" w:color="auto"/>
              <w:right w:val="nil"/>
            </w:tcBorders>
            <w:shd w:val="clear" w:color="auto" w:fill="auto"/>
            <w:noWrap/>
            <w:vAlign w:val="bottom"/>
            <w:hideMark/>
          </w:tcPr>
          <w:p w14:paraId="4CAA9293" w14:textId="77777777" w:rsidR="00FA1B5C" w:rsidRDefault="00FA1B5C">
            <w:pPr>
              <w:jc w:val="right"/>
              <w:rPr>
                <w:color w:val="000000"/>
                <w:sz w:val="20"/>
                <w:szCs w:val="20"/>
              </w:rPr>
            </w:pPr>
            <w:r>
              <w:rPr>
                <w:color w:val="000000"/>
                <w:sz w:val="20"/>
                <w:szCs w:val="20"/>
              </w:rPr>
              <w:t>0.771</w:t>
            </w:r>
          </w:p>
        </w:tc>
        <w:tc>
          <w:tcPr>
            <w:tcW w:w="768" w:type="dxa"/>
            <w:tcBorders>
              <w:top w:val="nil"/>
              <w:left w:val="nil"/>
              <w:bottom w:val="single" w:sz="12" w:space="0" w:color="auto"/>
              <w:right w:val="nil"/>
            </w:tcBorders>
            <w:shd w:val="clear" w:color="auto" w:fill="auto"/>
            <w:noWrap/>
            <w:vAlign w:val="bottom"/>
            <w:hideMark/>
          </w:tcPr>
          <w:p w14:paraId="46C5F73B" w14:textId="77777777" w:rsidR="00FA1B5C" w:rsidRDefault="00FA1B5C">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33AA6681" w14:textId="77777777" w:rsidR="00FA1B5C" w:rsidRDefault="00FA1B5C">
            <w:pPr>
              <w:jc w:val="right"/>
              <w:rPr>
                <w:color w:val="000000"/>
                <w:sz w:val="20"/>
                <w:szCs w:val="20"/>
              </w:rPr>
            </w:pPr>
            <w:r>
              <w:rPr>
                <w:color w:val="000000"/>
                <w:sz w:val="20"/>
                <w:szCs w:val="20"/>
              </w:rPr>
              <w:t>-0.023</w:t>
            </w:r>
          </w:p>
        </w:tc>
        <w:tc>
          <w:tcPr>
            <w:tcW w:w="768" w:type="dxa"/>
            <w:tcBorders>
              <w:top w:val="nil"/>
              <w:left w:val="nil"/>
              <w:bottom w:val="single" w:sz="12" w:space="0" w:color="auto"/>
              <w:right w:val="nil"/>
            </w:tcBorders>
            <w:shd w:val="clear" w:color="auto" w:fill="auto"/>
            <w:noWrap/>
            <w:vAlign w:val="bottom"/>
            <w:hideMark/>
          </w:tcPr>
          <w:p w14:paraId="2B2B3510" w14:textId="77777777" w:rsidR="00FA1B5C" w:rsidRDefault="00FA1B5C">
            <w:pPr>
              <w:jc w:val="right"/>
              <w:rPr>
                <w:color w:val="000000"/>
                <w:sz w:val="20"/>
                <w:szCs w:val="20"/>
              </w:rPr>
            </w:pPr>
            <w:r>
              <w:rPr>
                <w:color w:val="000000"/>
                <w:sz w:val="20"/>
                <w:szCs w:val="20"/>
              </w:rPr>
              <w:t>0.755</w:t>
            </w:r>
          </w:p>
        </w:tc>
        <w:tc>
          <w:tcPr>
            <w:tcW w:w="768" w:type="dxa"/>
            <w:tcBorders>
              <w:top w:val="nil"/>
              <w:left w:val="nil"/>
              <w:bottom w:val="single" w:sz="12" w:space="0" w:color="auto"/>
              <w:right w:val="nil"/>
            </w:tcBorders>
            <w:shd w:val="clear" w:color="auto" w:fill="auto"/>
            <w:noWrap/>
            <w:vAlign w:val="bottom"/>
            <w:hideMark/>
          </w:tcPr>
          <w:p w14:paraId="339F6441" w14:textId="77777777" w:rsidR="00FA1B5C" w:rsidRDefault="00FA1B5C">
            <w:pPr>
              <w:jc w:val="right"/>
              <w:rPr>
                <w:color w:val="000000"/>
                <w:sz w:val="20"/>
                <w:szCs w:val="20"/>
              </w:rPr>
            </w:pPr>
            <w:r>
              <w:rPr>
                <w:color w:val="000000"/>
                <w:sz w:val="20"/>
                <w:szCs w:val="20"/>
              </w:rPr>
              <w:t>0.001</w:t>
            </w:r>
          </w:p>
        </w:tc>
      </w:tr>
      <w:tr w:rsidR="00FA1B5C" w14:paraId="11288FB6"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1D661670" w14:textId="77777777" w:rsidR="00FA1B5C" w:rsidRDefault="00FA1B5C">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70777A03" w14:textId="77777777" w:rsidR="00FA1B5C" w:rsidRDefault="00FA1B5C">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3290AF30"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39DA611"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1F8CE05"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1044266"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B741FD1"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0F580D3"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55BE7B5"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1D4E86B"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FE5064B"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02F58A5"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3686CEA"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826FE9C"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B0289F3"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B7322F7" w14:textId="77777777" w:rsidR="00FA1B5C" w:rsidRDefault="00FA1B5C">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B1148F3" w14:textId="77777777" w:rsidR="00FA1B5C" w:rsidRDefault="00FA1B5C">
            <w:pPr>
              <w:rPr>
                <w:sz w:val="20"/>
                <w:szCs w:val="20"/>
              </w:rPr>
            </w:pPr>
          </w:p>
        </w:tc>
      </w:tr>
    </w:tbl>
    <w:p w14:paraId="57F85666" w14:textId="5DF07A14" w:rsidR="00896509" w:rsidRDefault="00896509">
      <w:pPr>
        <w:rPr>
          <w:rFonts w:eastAsiaTheme="majorEastAsia"/>
          <w:color w:val="000000" w:themeColor="text1"/>
        </w:rPr>
      </w:pPr>
      <w:r>
        <w:rPr>
          <w:color w:val="000000" w:themeColor="text1"/>
        </w:rPr>
        <w:br w:type="page"/>
      </w:r>
    </w:p>
    <w:p w14:paraId="62D7FFE9" w14:textId="78453732" w:rsidR="003F1B09" w:rsidRDefault="00432B71" w:rsidP="00B55F0B">
      <w:pPr>
        <w:pStyle w:val="Heading1"/>
        <w:rPr>
          <w:rFonts w:ascii="Times New Roman" w:hAnsi="Times New Roman" w:cs="Times New Roman"/>
          <w:color w:val="000000" w:themeColor="text1"/>
          <w:sz w:val="24"/>
          <w:szCs w:val="24"/>
        </w:rPr>
      </w:pPr>
      <w:bookmarkStart w:id="58" w:name="_Toc155817725"/>
      <w:r>
        <w:rPr>
          <w:rFonts w:ascii="Times New Roman" w:hAnsi="Times New Roman" w:cs="Times New Roman"/>
          <w:b/>
          <w:bCs/>
          <w:color w:val="000000" w:themeColor="text1"/>
          <w:sz w:val="24"/>
          <w:szCs w:val="24"/>
        </w:rPr>
        <w:lastRenderedPageBreak/>
        <w:t xml:space="preserve">Table </w:t>
      </w:r>
      <w:r w:rsidR="00B55F0B">
        <w:rPr>
          <w:rFonts w:ascii="Times New Roman" w:hAnsi="Times New Roman" w:cs="Times New Roman"/>
          <w:b/>
          <w:bCs/>
          <w:color w:val="000000" w:themeColor="text1"/>
          <w:sz w:val="24"/>
          <w:szCs w:val="24"/>
        </w:rPr>
        <w:t>2</w:t>
      </w:r>
      <w:r w:rsidR="00F371CF">
        <w:rPr>
          <w:rFonts w:ascii="Times New Roman" w:hAnsi="Times New Roman" w:cs="Times New Roman"/>
          <w:b/>
          <w:bCs/>
          <w:color w:val="000000" w:themeColor="text1"/>
          <w:sz w:val="24"/>
          <w:szCs w:val="24"/>
        </w:rPr>
        <w:t>4</w:t>
      </w:r>
      <w:r w:rsidR="00B55F0B">
        <w:rPr>
          <w:rFonts w:ascii="Times New Roman" w:hAnsi="Times New Roman" w:cs="Times New Roman"/>
          <w:b/>
          <w:bCs/>
          <w:color w:val="000000" w:themeColor="text1"/>
          <w:sz w:val="24"/>
          <w:szCs w:val="24"/>
        </w:rPr>
        <w:t>a</w:t>
      </w:r>
      <w:r w:rsidR="00B55F0B" w:rsidRPr="009E2A20">
        <w:rPr>
          <w:rFonts w:ascii="Times New Roman" w:hAnsi="Times New Roman" w:cs="Times New Roman"/>
          <w:b/>
          <w:bCs/>
          <w:color w:val="000000" w:themeColor="text1"/>
          <w:sz w:val="24"/>
          <w:szCs w:val="24"/>
        </w:rPr>
        <w:t xml:space="preserve">. </w:t>
      </w:r>
      <w:r w:rsidR="00B55F0B"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w:t>
      </w:r>
      <w:r w:rsidR="00B55F0B">
        <w:rPr>
          <w:rFonts w:ascii="Times New Roman" w:hAnsi="Times New Roman" w:cs="Times New Roman"/>
          <w:color w:val="000000" w:themeColor="text1"/>
          <w:sz w:val="24"/>
          <w:szCs w:val="24"/>
        </w:rPr>
        <w:t xml:space="preserve">local efficiency </w:t>
      </w:r>
      <w:r w:rsidR="00B55F0B" w:rsidRPr="009E2A20">
        <w:rPr>
          <w:rFonts w:ascii="Times New Roman" w:hAnsi="Times New Roman" w:cs="Times New Roman"/>
          <w:color w:val="000000" w:themeColor="text1"/>
          <w:sz w:val="24"/>
          <w:szCs w:val="24"/>
        </w:rPr>
        <w:t xml:space="preserve">during </w:t>
      </w:r>
      <w:r w:rsidR="00B55F0B">
        <w:rPr>
          <w:rFonts w:ascii="Times New Roman" w:hAnsi="Times New Roman" w:cs="Times New Roman"/>
          <w:color w:val="000000" w:themeColor="text1"/>
          <w:sz w:val="24"/>
          <w:szCs w:val="24"/>
        </w:rPr>
        <w:t>emotional n-back task controlling for medication</w:t>
      </w:r>
      <w:bookmarkEnd w:id="58"/>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971C94" w14:paraId="1580EF9E" w14:textId="77777777" w:rsidTr="00285FEC">
        <w:trPr>
          <w:trHeight w:val="280"/>
        </w:trPr>
        <w:tc>
          <w:tcPr>
            <w:tcW w:w="1176" w:type="dxa"/>
            <w:tcBorders>
              <w:top w:val="nil"/>
              <w:left w:val="nil"/>
              <w:bottom w:val="single" w:sz="12" w:space="0" w:color="auto"/>
              <w:right w:val="nil"/>
            </w:tcBorders>
            <w:shd w:val="clear" w:color="auto" w:fill="auto"/>
            <w:noWrap/>
            <w:vAlign w:val="bottom"/>
            <w:hideMark/>
          </w:tcPr>
          <w:p w14:paraId="5B1DD648" w14:textId="77777777" w:rsidR="00971C94" w:rsidRDefault="00971C94">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bottom"/>
            <w:hideMark/>
          </w:tcPr>
          <w:p w14:paraId="22B27C99" w14:textId="77777777" w:rsidR="00971C94" w:rsidRDefault="00971C94">
            <w:pPr>
              <w:rPr>
                <w:color w:val="000000"/>
                <w:sz w:val="20"/>
                <w:szCs w:val="20"/>
              </w:rPr>
            </w:pPr>
            <w:r>
              <w:rPr>
                <w:color w:val="000000"/>
                <w:sz w:val="20"/>
                <w:szCs w:val="20"/>
              </w:rPr>
              <w:t> </w:t>
            </w:r>
          </w:p>
        </w:tc>
        <w:tc>
          <w:tcPr>
            <w:tcW w:w="767" w:type="dxa"/>
            <w:tcBorders>
              <w:top w:val="nil"/>
              <w:left w:val="nil"/>
              <w:bottom w:val="single" w:sz="12" w:space="0" w:color="auto"/>
              <w:right w:val="nil"/>
            </w:tcBorders>
            <w:shd w:val="clear" w:color="auto" w:fill="auto"/>
            <w:noWrap/>
            <w:vAlign w:val="bottom"/>
            <w:hideMark/>
          </w:tcPr>
          <w:p w14:paraId="3462B766" w14:textId="77777777" w:rsidR="00971C94" w:rsidRDefault="00971C94">
            <w:pPr>
              <w:rPr>
                <w:color w:val="000000"/>
                <w:sz w:val="20"/>
                <w:szCs w:val="20"/>
              </w:rPr>
            </w:pPr>
          </w:p>
        </w:tc>
        <w:tc>
          <w:tcPr>
            <w:tcW w:w="768" w:type="dxa"/>
            <w:tcBorders>
              <w:top w:val="nil"/>
              <w:left w:val="nil"/>
              <w:bottom w:val="single" w:sz="12" w:space="0" w:color="auto"/>
              <w:right w:val="nil"/>
            </w:tcBorders>
            <w:shd w:val="clear" w:color="auto" w:fill="auto"/>
            <w:noWrap/>
            <w:vAlign w:val="bottom"/>
            <w:hideMark/>
          </w:tcPr>
          <w:p w14:paraId="4A229846"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C389590"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1CE90E1"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C98B9DE"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A1F40FB"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C0CB407"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E633805"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F6922F5"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F6EF6AF"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EFA5DB6"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5E9C332"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3F211DA" w14:textId="77777777" w:rsidR="00971C94" w:rsidRDefault="00971C94">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8A3DD58" w14:textId="77777777" w:rsidR="00971C94" w:rsidRDefault="00971C94">
            <w:pPr>
              <w:rPr>
                <w:sz w:val="20"/>
                <w:szCs w:val="20"/>
              </w:rPr>
            </w:pPr>
          </w:p>
        </w:tc>
        <w:tc>
          <w:tcPr>
            <w:tcW w:w="768" w:type="dxa"/>
            <w:tcBorders>
              <w:top w:val="nil"/>
              <w:left w:val="nil"/>
              <w:bottom w:val="nil"/>
              <w:right w:val="nil"/>
            </w:tcBorders>
            <w:shd w:val="clear" w:color="auto" w:fill="auto"/>
            <w:noWrap/>
            <w:vAlign w:val="bottom"/>
            <w:hideMark/>
          </w:tcPr>
          <w:p w14:paraId="316F4A44" w14:textId="77777777" w:rsidR="00971C94" w:rsidRDefault="00971C94">
            <w:pPr>
              <w:rPr>
                <w:sz w:val="20"/>
                <w:szCs w:val="20"/>
              </w:rPr>
            </w:pPr>
          </w:p>
        </w:tc>
      </w:tr>
      <w:tr w:rsidR="00971C94" w14:paraId="222F0772" w14:textId="77777777" w:rsidTr="00285FEC">
        <w:trPr>
          <w:trHeight w:val="340"/>
        </w:trPr>
        <w:tc>
          <w:tcPr>
            <w:tcW w:w="1176" w:type="dxa"/>
            <w:tcBorders>
              <w:top w:val="single" w:sz="12" w:space="0" w:color="auto"/>
              <w:left w:val="nil"/>
              <w:bottom w:val="nil"/>
              <w:right w:val="nil"/>
            </w:tcBorders>
            <w:shd w:val="clear" w:color="auto" w:fill="auto"/>
            <w:noWrap/>
            <w:vAlign w:val="bottom"/>
            <w:hideMark/>
          </w:tcPr>
          <w:p w14:paraId="0E753CDE" w14:textId="77777777" w:rsidR="00971C94" w:rsidRDefault="00971C94">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2ACDA87" w14:textId="77777777" w:rsidR="00971C94" w:rsidRDefault="00971C94">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7C484AA0" w14:textId="77777777" w:rsidR="00971C94" w:rsidRDefault="00971C94">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7C63D74E" w14:textId="77777777" w:rsidR="00971C94" w:rsidRDefault="00971C94">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D47BCDB" w14:textId="77777777" w:rsidR="00971C94" w:rsidRDefault="00971C94">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424D83A" w14:textId="77777777" w:rsidR="00971C94" w:rsidRDefault="00971C94">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74880B86" w14:textId="77777777" w:rsidR="00971C94" w:rsidRDefault="00971C94">
            <w:pPr>
              <w:jc w:val="center"/>
              <w:rPr>
                <w:color w:val="000000"/>
                <w:sz w:val="20"/>
                <w:szCs w:val="20"/>
              </w:rPr>
            </w:pPr>
            <w:r>
              <w:rPr>
                <w:color w:val="000000"/>
                <w:sz w:val="20"/>
                <w:szCs w:val="20"/>
              </w:rPr>
              <w:t>Urbanicity</w:t>
            </w:r>
          </w:p>
        </w:tc>
      </w:tr>
      <w:tr w:rsidR="00971C94" w14:paraId="4D6719FA" w14:textId="77777777" w:rsidTr="00285FEC">
        <w:trPr>
          <w:trHeight w:val="360"/>
        </w:trPr>
        <w:tc>
          <w:tcPr>
            <w:tcW w:w="1176" w:type="dxa"/>
            <w:tcBorders>
              <w:top w:val="nil"/>
              <w:left w:val="nil"/>
              <w:bottom w:val="single" w:sz="12" w:space="0" w:color="auto"/>
              <w:right w:val="nil"/>
            </w:tcBorders>
            <w:shd w:val="clear" w:color="auto" w:fill="auto"/>
            <w:noWrap/>
            <w:vAlign w:val="bottom"/>
            <w:hideMark/>
          </w:tcPr>
          <w:p w14:paraId="013D6C52" w14:textId="77777777" w:rsidR="00971C94" w:rsidRDefault="00971C94">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2C713957" w14:textId="77777777" w:rsidR="00971C94" w:rsidRDefault="00971C94">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0EB19740" w14:textId="77777777" w:rsidR="00971C94" w:rsidRDefault="00971C9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E042CA8" w14:textId="77777777" w:rsidR="00971C94" w:rsidRDefault="00971C9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1320648" w14:textId="77777777" w:rsidR="00971C94" w:rsidRDefault="00971C94">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4727C0D6" w14:textId="77777777" w:rsidR="00971C94" w:rsidRDefault="00971C9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B1DB2EC" w14:textId="77777777" w:rsidR="00971C94" w:rsidRDefault="00971C9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D65F821" w14:textId="77777777" w:rsidR="00971C94" w:rsidRDefault="00971C94">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BECCF25" w14:textId="77777777" w:rsidR="00971C94" w:rsidRDefault="00971C9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76D3B161" w14:textId="77777777" w:rsidR="00971C94" w:rsidRDefault="00971C9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248C8A8" w14:textId="77777777" w:rsidR="00971C94" w:rsidRDefault="00971C94">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2D469698" w14:textId="77777777" w:rsidR="00971C94" w:rsidRDefault="00971C9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80C1C97" w14:textId="77777777" w:rsidR="00971C94" w:rsidRDefault="00971C9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3B17863" w14:textId="77777777" w:rsidR="00971C94" w:rsidRDefault="00971C94">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5A645C42" w14:textId="77777777" w:rsidR="00971C94" w:rsidRDefault="00971C94">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7343833" w14:textId="77777777" w:rsidR="00971C94" w:rsidRDefault="00971C9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95CEFC5" w14:textId="77777777" w:rsidR="00971C94" w:rsidRDefault="00971C94">
            <w:pPr>
              <w:jc w:val="center"/>
              <w:rPr>
                <w:i/>
                <w:iCs/>
                <w:color w:val="000000"/>
                <w:sz w:val="20"/>
                <w:szCs w:val="20"/>
              </w:rPr>
            </w:pPr>
            <w:r>
              <w:rPr>
                <w:i/>
                <w:iCs/>
                <w:color w:val="000000"/>
                <w:sz w:val="20"/>
                <w:szCs w:val="20"/>
              </w:rPr>
              <w:t>R2</w:t>
            </w:r>
          </w:p>
        </w:tc>
      </w:tr>
      <w:tr w:rsidR="00971C94" w14:paraId="31E65766" w14:textId="77777777" w:rsidTr="00285FEC">
        <w:trPr>
          <w:trHeight w:val="260"/>
        </w:trPr>
        <w:tc>
          <w:tcPr>
            <w:tcW w:w="1176" w:type="dxa"/>
            <w:tcBorders>
              <w:top w:val="single" w:sz="12" w:space="0" w:color="auto"/>
              <w:left w:val="nil"/>
              <w:bottom w:val="nil"/>
              <w:right w:val="nil"/>
            </w:tcBorders>
            <w:shd w:val="clear" w:color="auto" w:fill="auto"/>
            <w:noWrap/>
            <w:vAlign w:val="bottom"/>
            <w:hideMark/>
          </w:tcPr>
          <w:p w14:paraId="075C7B9E" w14:textId="77777777" w:rsidR="00971C94" w:rsidRDefault="00971C94">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01FF102E" w14:textId="77777777" w:rsidR="00971C94" w:rsidRDefault="00971C94">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311C5588" w14:textId="77777777" w:rsidR="00971C94" w:rsidRDefault="00971C94">
            <w:pPr>
              <w:jc w:val="right"/>
              <w:rPr>
                <w:color w:val="000000"/>
                <w:sz w:val="20"/>
                <w:szCs w:val="20"/>
              </w:rPr>
            </w:pPr>
            <w:r>
              <w:rPr>
                <w:color w:val="000000"/>
                <w:sz w:val="20"/>
                <w:szCs w:val="20"/>
              </w:rPr>
              <w:t>-0.027</w:t>
            </w:r>
          </w:p>
        </w:tc>
        <w:tc>
          <w:tcPr>
            <w:tcW w:w="768" w:type="dxa"/>
            <w:tcBorders>
              <w:top w:val="single" w:sz="12" w:space="0" w:color="auto"/>
              <w:left w:val="nil"/>
              <w:bottom w:val="nil"/>
              <w:right w:val="nil"/>
            </w:tcBorders>
            <w:shd w:val="clear" w:color="auto" w:fill="auto"/>
            <w:noWrap/>
            <w:vAlign w:val="bottom"/>
            <w:hideMark/>
          </w:tcPr>
          <w:p w14:paraId="270A0B51" w14:textId="77777777" w:rsidR="00971C94" w:rsidRDefault="00971C94">
            <w:pPr>
              <w:jc w:val="right"/>
              <w:rPr>
                <w:color w:val="000000"/>
                <w:sz w:val="20"/>
                <w:szCs w:val="20"/>
              </w:rPr>
            </w:pPr>
            <w:r>
              <w:rPr>
                <w:color w:val="000000"/>
                <w:sz w:val="20"/>
                <w:szCs w:val="20"/>
              </w:rPr>
              <w:t>0.659</w:t>
            </w:r>
          </w:p>
        </w:tc>
        <w:tc>
          <w:tcPr>
            <w:tcW w:w="768" w:type="dxa"/>
            <w:tcBorders>
              <w:top w:val="single" w:sz="12" w:space="0" w:color="auto"/>
              <w:left w:val="nil"/>
              <w:bottom w:val="nil"/>
              <w:right w:val="nil"/>
            </w:tcBorders>
            <w:shd w:val="clear" w:color="auto" w:fill="auto"/>
            <w:noWrap/>
            <w:vAlign w:val="bottom"/>
            <w:hideMark/>
          </w:tcPr>
          <w:p w14:paraId="4760E2CA" w14:textId="77777777" w:rsidR="00971C94" w:rsidRDefault="00971C94">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6AE93A58" w14:textId="77777777" w:rsidR="00971C94" w:rsidRDefault="00971C94">
            <w:pPr>
              <w:jc w:val="right"/>
              <w:rPr>
                <w:color w:val="000000"/>
                <w:sz w:val="20"/>
                <w:szCs w:val="20"/>
              </w:rPr>
            </w:pPr>
            <w:r>
              <w:rPr>
                <w:color w:val="000000"/>
                <w:sz w:val="20"/>
                <w:szCs w:val="20"/>
              </w:rPr>
              <w:t>0.015</w:t>
            </w:r>
          </w:p>
        </w:tc>
        <w:tc>
          <w:tcPr>
            <w:tcW w:w="768" w:type="dxa"/>
            <w:tcBorders>
              <w:top w:val="single" w:sz="12" w:space="0" w:color="auto"/>
              <w:left w:val="nil"/>
              <w:bottom w:val="nil"/>
              <w:right w:val="nil"/>
            </w:tcBorders>
            <w:shd w:val="clear" w:color="auto" w:fill="auto"/>
            <w:noWrap/>
            <w:vAlign w:val="bottom"/>
            <w:hideMark/>
          </w:tcPr>
          <w:p w14:paraId="10702F71" w14:textId="77777777" w:rsidR="00971C94" w:rsidRDefault="00971C94">
            <w:pPr>
              <w:jc w:val="right"/>
              <w:rPr>
                <w:color w:val="000000"/>
                <w:sz w:val="20"/>
                <w:szCs w:val="20"/>
              </w:rPr>
            </w:pPr>
            <w:r>
              <w:rPr>
                <w:color w:val="000000"/>
                <w:sz w:val="20"/>
                <w:szCs w:val="20"/>
              </w:rPr>
              <w:t>0.807</w:t>
            </w:r>
          </w:p>
        </w:tc>
        <w:tc>
          <w:tcPr>
            <w:tcW w:w="768" w:type="dxa"/>
            <w:tcBorders>
              <w:top w:val="single" w:sz="12" w:space="0" w:color="auto"/>
              <w:left w:val="nil"/>
              <w:bottom w:val="nil"/>
              <w:right w:val="nil"/>
            </w:tcBorders>
            <w:shd w:val="clear" w:color="auto" w:fill="auto"/>
            <w:noWrap/>
            <w:vAlign w:val="bottom"/>
            <w:hideMark/>
          </w:tcPr>
          <w:p w14:paraId="3AD8C410" w14:textId="77777777" w:rsidR="00971C94" w:rsidRDefault="00971C94">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8E674A1" w14:textId="77777777" w:rsidR="00971C94" w:rsidRDefault="00971C94">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2C14FDA9" w14:textId="77777777" w:rsidR="00971C94" w:rsidRDefault="00971C94">
            <w:pPr>
              <w:jc w:val="right"/>
              <w:rPr>
                <w:color w:val="000000"/>
                <w:sz w:val="20"/>
                <w:szCs w:val="20"/>
              </w:rPr>
            </w:pPr>
            <w:r>
              <w:rPr>
                <w:color w:val="000000"/>
                <w:sz w:val="20"/>
                <w:szCs w:val="20"/>
              </w:rPr>
              <w:t>0.942</w:t>
            </w:r>
          </w:p>
        </w:tc>
        <w:tc>
          <w:tcPr>
            <w:tcW w:w="768" w:type="dxa"/>
            <w:tcBorders>
              <w:top w:val="single" w:sz="12" w:space="0" w:color="auto"/>
              <w:left w:val="nil"/>
              <w:bottom w:val="nil"/>
              <w:right w:val="nil"/>
            </w:tcBorders>
            <w:shd w:val="clear" w:color="auto" w:fill="auto"/>
            <w:noWrap/>
            <w:vAlign w:val="bottom"/>
            <w:hideMark/>
          </w:tcPr>
          <w:p w14:paraId="3C540693" w14:textId="77777777" w:rsidR="00971C94" w:rsidRDefault="00971C94">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E8D087F" w14:textId="77777777" w:rsidR="00971C94" w:rsidRDefault="00971C94">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038BDAD7" w14:textId="77777777" w:rsidR="00971C94" w:rsidRDefault="00971C94">
            <w:pPr>
              <w:jc w:val="right"/>
              <w:rPr>
                <w:color w:val="000000"/>
                <w:sz w:val="20"/>
                <w:szCs w:val="20"/>
              </w:rPr>
            </w:pPr>
            <w:r>
              <w:rPr>
                <w:color w:val="000000"/>
                <w:sz w:val="20"/>
                <w:szCs w:val="20"/>
              </w:rPr>
              <w:t>0.933</w:t>
            </w:r>
          </w:p>
        </w:tc>
        <w:tc>
          <w:tcPr>
            <w:tcW w:w="768" w:type="dxa"/>
            <w:tcBorders>
              <w:top w:val="single" w:sz="12" w:space="0" w:color="auto"/>
              <w:left w:val="nil"/>
              <w:bottom w:val="nil"/>
              <w:right w:val="nil"/>
            </w:tcBorders>
            <w:shd w:val="clear" w:color="auto" w:fill="auto"/>
            <w:noWrap/>
            <w:vAlign w:val="bottom"/>
            <w:hideMark/>
          </w:tcPr>
          <w:p w14:paraId="27571065" w14:textId="77777777" w:rsidR="00971C94" w:rsidRDefault="00971C94">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521CC590" w14:textId="77777777" w:rsidR="00971C94" w:rsidRDefault="00971C94">
            <w:pPr>
              <w:jc w:val="right"/>
              <w:rPr>
                <w:color w:val="000000"/>
                <w:sz w:val="20"/>
                <w:szCs w:val="20"/>
              </w:rPr>
            </w:pPr>
            <w:r>
              <w:rPr>
                <w:color w:val="000000"/>
                <w:sz w:val="20"/>
                <w:szCs w:val="20"/>
              </w:rPr>
              <w:t>-0.024</w:t>
            </w:r>
          </w:p>
        </w:tc>
        <w:tc>
          <w:tcPr>
            <w:tcW w:w="768" w:type="dxa"/>
            <w:tcBorders>
              <w:top w:val="single" w:sz="12" w:space="0" w:color="auto"/>
              <w:left w:val="nil"/>
              <w:bottom w:val="nil"/>
              <w:right w:val="nil"/>
            </w:tcBorders>
            <w:shd w:val="clear" w:color="auto" w:fill="auto"/>
            <w:noWrap/>
            <w:vAlign w:val="bottom"/>
            <w:hideMark/>
          </w:tcPr>
          <w:p w14:paraId="34D3FB1B" w14:textId="77777777" w:rsidR="00971C94" w:rsidRDefault="00971C94">
            <w:pPr>
              <w:jc w:val="right"/>
              <w:rPr>
                <w:color w:val="000000"/>
                <w:sz w:val="20"/>
                <w:szCs w:val="20"/>
              </w:rPr>
            </w:pPr>
            <w:r>
              <w:rPr>
                <w:color w:val="000000"/>
                <w:sz w:val="20"/>
                <w:szCs w:val="20"/>
              </w:rPr>
              <w:t>0.781</w:t>
            </w:r>
          </w:p>
        </w:tc>
        <w:tc>
          <w:tcPr>
            <w:tcW w:w="768" w:type="dxa"/>
            <w:tcBorders>
              <w:top w:val="single" w:sz="12" w:space="0" w:color="auto"/>
              <w:left w:val="nil"/>
              <w:bottom w:val="nil"/>
              <w:right w:val="nil"/>
            </w:tcBorders>
            <w:shd w:val="clear" w:color="auto" w:fill="auto"/>
            <w:noWrap/>
            <w:vAlign w:val="bottom"/>
            <w:hideMark/>
          </w:tcPr>
          <w:p w14:paraId="435513D3" w14:textId="77777777" w:rsidR="00971C94" w:rsidRDefault="00971C94">
            <w:pPr>
              <w:jc w:val="right"/>
              <w:rPr>
                <w:color w:val="000000"/>
                <w:sz w:val="20"/>
                <w:szCs w:val="20"/>
              </w:rPr>
            </w:pPr>
            <w:r>
              <w:rPr>
                <w:color w:val="000000"/>
                <w:sz w:val="20"/>
                <w:szCs w:val="20"/>
              </w:rPr>
              <w:t>0.001</w:t>
            </w:r>
          </w:p>
        </w:tc>
      </w:tr>
      <w:tr w:rsidR="00971C94" w14:paraId="5ED53AE7" w14:textId="77777777" w:rsidTr="00971C94">
        <w:trPr>
          <w:trHeight w:val="340"/>
        </w:trPr>
        <w:tc>
          <w:tcPr>
            <w:tcW w:w="1176" w:type="dxa"/>
            <w:tcBorders>
              <w:top w:val="nil"/>
              <w:left w:val="nil"/>
              <w:bottom w:val="nil"/>
              <w:right w:val="nil"/>
            </w:tcBorders>
            <w:shd w:val="clear" w:color="auto" w:fill="auto"/>
            <w:noWrap/>
            <w:vAlign w:val="bottom"/>
            <w:hideMark/>
          </w:tcPr>
          <w:p w14:paraId="6CB3C469"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82E09D" w14:textId="77777777" w:rsidR="00971C94" w:rsidRDefault="00971C9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2EFB33E" w14:textId="77777777" w:rsidR="00971C94" w:rsidRDefault="00971C9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0BBFA96" w14:textId="77777777" w:rsidR="00971C94" w:rsidRDefault="00971C94">
            <w:pPr>
              <w:jc w:val="right"/>
              <w:rPr>
                <w:color w:val="000000"/>
                <w:sz w:val="20"/>
                <w:szCs w:val="20"/>
              </w:rPr>
            </w:pPr>
            <w:r>
              <w:rPr>
                <w:color w:val="000000"/>
                <w:sz w:val="20"/>
                <w:szCs w:val="20"/>
              </w:rPr>
              <w:t>0.659</w:t>
            </w:r>
          </w:p>
        </w:tc>
        <w:tc>
          <w:tcPr>
            <w:tcW w:w="768" w:type="dxa"/>
            <w:tcBorders>
              <w:top w:val="nil"/>
              <w:left w:val="nil"/>
              <w:bottom w:val="nil"/>
              <w:right w:val="nil"/>
            </w:tcBorders>
            <w:shd w:val="clear" w:color="auto" w:fill="auto"/>
            <w:noWrap/>
            <w:vAlign w:val="bottom"/>
            <w:hideMark/>
          </w:tcPr>
          <w:p w14:paraId="068914A8"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3EA1213" w14:textId="77777777" w:rsidR="00971C94" w:rsidRDefault="00971C9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5C440B6"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64F36FD7"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167042" w14:textId="77777777" w:rsidR="00971C94" w:rsidRDefault="00971C94">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9DD760E" w14:textId="77777777" w:rsidR="00971C94" w:rsidRDefault="00971C94">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4006EE5F"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4F392F1" w14:textId="77777777" w:rsidR="00971C94" w:rsidRDefault="00971C94">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F591EFC"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490697EB"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CFEDB47" w14:textId="77777777" w:rsidR="00971C94" w:rsidRDefault="00971C94">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782F0283" w14:textId="77777777" w:rsidR="00971C94" w:rsidRDefault="00971C94">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3E8065FC" w14:textId="77777777" w:rsidR="00971C94" w:rsidRDefault="00971C94">
            <w:pPr>
              <w:jc w:val="right"/>
              <w:rPr>
                <w:color w:val="000000"/>
                <w:sz w:val="20"/>
                <w:szCs w:val="20"/>
              </w:rPr>
            </w:pPr>
            <w:r>
              <w:rPr>
                <w:color w:val="000000"/>
                <w:sz w:val="20"/>
                <w:szCs w:val="20"/>
              </w:rPr>
              <w:t>0.006</w:t>
            </w:r>
          </w:p>
        </w:tc>
      </w:tr>
      <w:tr w:rsidR="00971C94" w14:paraId="2C275105" w14:textId="77777777" w:rsidTr="00971C94">
        <w:trPr>
          <w:trHeight w:val="260"/>
        </w:trPr>
        <w:tc>
          <w:tcPr>
            <w:tcW w:w="1176" w:type="dxa"/>
            <w:tcBorders>
              <w:top w:val="nil"/>
              <w:left w:val="nil"/>
              <w:bottom w:val="nil"/>
              <w:right w:val="nil"/>
            </w:tcBorders>
            <w:shd w:val="clear" w:color="auto" w:fill="auto"/>
            <w:noWrap/>
            <w:vAlign w:val="bottom"/>
            <w:hideMark/>
          </w:tcPr>
          <w:p w14:paraId="35419F43"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87A408" w14:textId="77777777" w:rsidR="00971C94" w:rsidRDefault="00971C9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BACA6D1" w14:textId="77777777" w:rsidR="00971C94" w:rsidRDefault="00971C94">
            <w:pPr>
              <w:jc w:val="right"/>
              <w:rPr>
                <w:color w:val="000000"/>
                <w:sz w:val="20"/>
                <w:szCs w:val="20"/>
              </w:rPr>
            </w:pPr>
            <w:r>
              <w:rPr>
                <w:color w:val="000000"/>
                <w:sz w:val="20"/>
                <w:szCs w:val="20"/>
              </w:rPr>
              <w:t>-0.119</w:t>
            </w:r>
          </w:p>
        </w:tc>
        <w:tc>
          <w:tcPr>
            <w:tcW w:w="768" w:type="dxa"/>
            <w:tcBorders>
              <w:top w:val="nil"/>
              <w:left w:val="nil"/>
              <w:bottom w:val="nil"/>
              <w:right w:val="nil"/>
            </w:tcBorders>
            <w:shd w:val="clear" w:color="auto" w:fill="auto"/>
            <w:noWrap/>
            <w:vAlign w:val="bottom"/>
            <w:hideMark/>
          </w:tcPr>
          <w:p w14:paraId="69886695" w14:textId="77777777" w:rsidR="00971C94" w:rsidRDefault="00971C94">
            <w:pPr>
              <w:jc w:val="right"/>
              <w:rPr>
                <w:color w:val="000000"/>
                <w:sz w:val="20"/>
                <w:szCs w:val="20"/>
              </w:rPr>
            </w:pPr>
            <w:r>
              <w:rPr>
                <w:color w:val="000000"/>
                <w:sz w:val="20"/>
                <w:szCs w:val="20"/>
              </w:rPr>
              <w:t>0.326</w:t>
            </w:r>
          </w:p>
        </w:tc>
        <w:tc>
          <w:tcPr>
            <w:tcW w:w="768" w:type="dxa"/>
            <w:tcBorders>
              <w:top w:val="nil"/>
              <w:left w:val="nil"/>
              <w:bottom w:val="nil"/>
              <w:right w:val="nil"/>
            </w:tcBorders>
            <w:shd w:val="clear" w:color="auto" w:fill="auto"/>
            <w:noWrap/>
            <w:vAlign w:val="bottom"/>
            <w:hideMark/>
          </w:tcPr>
          <w:p w14:paraId="30D446FC" w14:textId="77777777" w:rsidR="00971C94" w:rsidRDefault="00971C9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AB3F7C1" w14:textId="77777777" w:rsidR="00971C94" w:rsidRDefault="00971C94">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45348885"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0B663541"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B15B768" w14:textId="77777777" w:rsidR="00971C94" w:rsidRDefault="00971C9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3B2A04D9" w14:textId="77777777" w:rsidR="00971C94" w:rsidRDefault="00971C94">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5608BA3E"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DDCC51" w14:textId="77777777" w:rsidR="00971C94" w:rsidRDefault="00971C94">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02F41992"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698596DB"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F93ED4" w14:textId="77777777" w:rsidR="00971C94" w:rsidRDefault="00971C94">
            <w:pPr>
              <w:jc w:val="right"/>
              <w:rPr>
                <w:color w:val="000000"/>
                <w:sz w:val="20"/>
                <w:szCs w:val="20"/>
              </w:rPr>
            </w:pPr>
            <w:r>
              <w:rPr>
                <w:color w:val="000000"/>
                <w:sz w:val="20"/>
                <w:szCs w:val="20"/>
              </w:rPr>
              <w:t>-0.205</w:t>
            </w:r>
          </w:p>
        </w:tc>
        <w:tc>
          <w:tcPr>
            <w:tcW w:w="768" w:type="dxa"/>
            <w:tcBorders>
              <w:top w:val="nil"/>
              <w:left w:val="nil"/>
              <w:bottom w:val="nil"/>
              <w:right w:val="nil"/>
            </w:tcBorders>
            <w:shd w:val="clear" w:color="auto" w:fill="auto"/>
            <w:noWrap/>
            <w:vAlign w:val="bottom"/>
            <w:hideMark/>
          </w:tcPr>
          <w:p w14:paraId="28EC31BE" w14:textId="77777777" w:rsidR="00971C94" w:rsidRDefault="00971C94">
            <w:pPr>
              <w:jc w:val="right"/>
              <w:rPr>
                <w:color w:val="000000"/>
                <w:sz w:val="20"/>
                <w:szCs w:val="20"/>
              </w:rPr>
            </w:pPr>
            <w:r>
              <w:rPr>
                <w:color w:val="000000"/>
                <w:sz w:val="20"/>
                <w:szCs w:val="20"/>
              </w:rPr>
              <w:t>0.292</w:t>
            </w:r>
          </w:p>
        </w:tc>
        <w:tc>
          <w:tcPr>
            <w:tcW w:w="768" w:type="dxa"/>
            <w:tcBorders>
              <w:top w:val="nil"/>
              <w:left w:val="nil"/>
              <w:bottom w:val="nil"/>
              <w:right w:val="nil"/>
            </w:tcBorders>
            <w:shd w:val="clear" w:color="auto" w:fill="auto"/>
            <w:noWrap/>
            <w:vAlign w:val="bottom"/>
            <w:hideMark/>
          </w:tcPr>
          <w:p w14:paraId="083D20FD" w14:textId="77777777" w:rsidR="00971C94" w:rsidRDefault="00971C94">
            <w:pPr>
              <w:jc w:val="right"/>
              <w:rPr>
                <w:color w:val="000000"/>
                <w:sz w:val="20"/>
                <w:szCs w:val="20"/>
              </w:rPr>
            </w:pPr>
            <w:r>
              <w:rPr>
                <w:color w:val="000000"/>
                <w:sz w:val="20"/>
                <w:szCs w:val="20"/>
              </w:rPr>
              <w:t>0.042</w:t>
            </w:r>
          </w:p>
        </w:tc>
      </w:tr>
      <w:tr w:rsidR="00971C94" w14:paraId="71B16B94" w14:textId="77777777" w:rsidTr="00971C94">
        <w:trPr>
          <w:trHeight w:val="260"/>
        </w:trPr>
        <w:tc>
          <w:tcPr>
            <w:tcW w:w="1176" w:type="dxa"/>
            <w:tcBorders>
              <w:top w:val="nil"/>
              <w:left w:val="nil"/>
              <w:bottom w:val="nil"/>
              <w:right w:val="nil"/>
            </w:tcBorders>
            <w:shd w:val="clear" w:color="auto" w:fill="auto"/>
            <w:noWrap/>
            <w:vAlign w:val="bottom"/>
            <w:hideMark/>
          </w:tcPr>
          <w:p w14:paraId="7B5BEEC0"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0E335F6" w14:textId="77777777" w:rsidR="00971C94" w:rsidRDefault="00971C9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799DBBB" w14:textId="77777777" w:rsidR="00971C94" w:rsidRDefault="00971C94">
            <w:pPr>
              <w:jc w:val="right"/>
              <w:rPr>
                <w:color w:val="000000"/>
                <w:sz w:val="20"/>
                <w:szCs w:val="20"/>
              </w:rPr>
            </w:pPr>
            <w:r>
              <w:rPr>
                <w:color w:val="000000"/>
                <w:sz w:val="20"/>
                <w:szCs w:val="20"/>
              </w:rPr>
              <w:t>0.155</w:t>
            </w:r>
          </w:p>
        </w:tc>
        <w:tc>
          <w:tcPr>
            <w:tcW w:w="768" w:type="dxa"/>
            <w:tcBorders>
              <w:top w:val="nil"/>
              <w:left w:val="nil"/>
              <w:bottom w:val="nil"/>
              <w:right w:val="nil"/>
            </w:tcBorders>
            <w:shd w:val="clear" w:color="auto" w:fill="auto"/>
            <w:noWrap/>
            <w:vAlign w:val="bottom"/>
            <w:hideMark/>
          </w:tcPr>
          <w:p w14:paraId="648F8C11" w14:textId="77777777" w:rsidR="00971C94" w:rsidRDefault="00971C94">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71FD612F" w14:textId="77777777" w:rsidR="00971C94" w:rsidRDefault="00971C94">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0862F54" w14:textId="77777777" w:rsidR="00971C94" w:rsidRDefault="00971C9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6D268AE"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6106B9C5"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119D3F" w14:textId="77777777" w:rsidR="00971C94" w:rsidRDefault="00971C94">
            <w:pPr>
              <w:jc w:val="right"/>
              <w:rPr>
                <w:color w:val="000000"/>
                <w:sz w:val="20"/>
                <w:szCs w:val="20"/>
              </w:rPr>
            </w:pPr>
            <w:r>
              <w:rPr>
                <w:color w:val="000000"/>
                <w:sz w:val="20"/>
                <w:szCs w:val="20"/>
              </w:rPr>
              <w:t>-0.107</w:t>
            </w:r>
          </w:p>
        </w:tc>
        <w:tc>
          <w:tcPr>
            <w:tcW w:w="768" w:type="dxa"/>
            <w:tcBorders>
              <w:top w:val="nil"/>
              <w:left w:val="nil"/>
              <w:bottom w:val="nil"/>
              <w:right w:val="nil"/>
            </w:tcBorders>
            <w:shd w:val="clear" w:color="auto" w:fill="auto"/>
            <w:noWrap/>
            <w:vAlign w:val="bottom"/>
            <w:hideMark/>
          </w:tcPr>
          <w:p w14:paraId="70CA5C31" w14:textId="77777777" w:rsidR="00971C94" w:rsidRDefault="00971C94">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1E3FA9A1" w14:textId="77777777" w:rsidR="00971C94" w:rsidRDefault="00971C94">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B5B59A3" w14:textId="77777777" w:rsidR="00971C94" w:rsidRDefault="00971C94">
            <w:pPr>
              <w:jc w:val="right"/>
              <w:rPr>
                <w:b/>
                <w:bCs/>
                <w:color w:val="000000"/>
                <w:sz w:val="20"/>
                <w:szCs w:val="20"/>
              </w:rPr>
            </w:pPr>
            <w:r>
              <w:rPr>
                <w:b/>
                <w:bCs/>
                <w:color w:val="000000"/>
                <w:sz w:val="20"/>
                <w:szCs w:val="20"/>
              </w:rPr>
              <w:t>-0.253</w:t>
            </w:r>
          </w:p>
        </w:tc>
        <w:tc>
          <w:tcPr>
            <w:tcW w:w="768" w:type="dxa"/>
            <w:tcBorders>
              <w:top w:val="nil"/>
              <w:left w:val="nil"/>
              <w:bottom w:val="nil"/>
              <w:right w:val="nil"/>
            </w:tcBorders>
            <w:shd w:val="clear" w:color="auto" w:fill="auto"/>
            <w:noWrap/>
            <w:vAlign w:val="bottom"/>
            <w:hideMark/>
          </w:tcPr>
          <w:p w14:paraId="4A8A7504" w14:textId="77777777" w:rsidR="00971C94" w:rsidRDefault="00971C94">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3CB7FA23" w14:textId="77777777" w:rsidR="00971C94" w:rsidRDefault="00971C94">
            <w:pPr>
              <w:jc w:val="right"/>
              <w:rPr>
                <w:b/>
                <w:bCs/>
                <w:color w:val="000000"/>
                <w:sz w:val="20"/>
                <w:szCs w:val="20"/>
              </w:rPr>
            </w:pPr>
            <w:r>
              <w:rPr>
                <w:b/>
                <w:bCs/>
                <w:color w:val="000000"/>
                <w:sz w:val="20"/>
                <w:szCs w:val="20"/>
              </w:rPr>
              <w:t>0.064</w:t>
            </w:r>
          </w:p>
        </w:tc>
        <w:tc>
          <w:tcPr>
            <w:tcW w:w="768" w:type="dxa"/>
            <w:tcBorders>
              <w:top w:val="nil"/>
              <w:left w:val="nil"/>
              <w:bottom w:val="nil"/>
              <w:right w:val="nil"/>
            </w:tcBorders>
            <w:shd w:val="clear" w:color="auto" w:fill="auto"/>
            <w:noWrap/>
            <w:vAlign w:val="bottom"/>
            <w:hideMark/>
          </w:tcPr>
          <w:p w14:paraId="7903E8D4" w14:textId="77777777" w:rsidR="00971C94" w:rsidRDefault="00971C94">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607FE3C" w14:textId="77777777" w:rsidR="00971C94" w:rsidRDefault="00971C94">
            <w:pPr>
              <w:jc w:val="right"/>
              <w:rPr>
                <w:color w:val="000000"/>
                <w:sz w:val="20"/>
                <w:szCs w:val="20"/>
              </w:rPr>
            </w:pPr>
            <w:r>
              <w:rPr>
                <w:color w:val="000000"/>
                <w:sz w:val="20"/>
                <w:szCs w:val="20"/>
              </w:rPr>
              <w:t>0.781</w:t>
            </w:r>
          </w:p>
        </w:tc>
        <w:tc>
          <w:tcPr>
            <w:tcW w:w="768" w:type="dxa"/>
            <w:tcBorders>
              <w:top w:val="nil"/>
              <w:left w:val="nil"/>
              <w:bottom w:val="nil"/>
              <w:right w:val="nil"/>
            </w:tcBorders>
            <w:shd w:val="clear" w:color="auto" w:fill="auto"/>
            <w:noWrap/>
            <w:vAlign w:val="bottom"/>
            <w:hideMark/>
          </w:tcPr>
          <w:p w14:paraId="1BB108F5" w14:textId="77777777" w:rsidR="00971C94" w:rsidRDefault="00971C94">
            <w:pPr>
              <w:jc w:val="right"/>
              <w:rPr>
                <w:color w:val="000000"/>
                <w:sz w:val="20"/>
                <w:szCs w:val="20"/>
              </w:rPr>
            </w:pPr>
            <w:r>
              <w:rPr>
                <w:color w:val="000000"/>
                <w:sz w:val="20"/>
                <w:szCs w:val="20"/>
              </w:rPr>
              <w:t>0.001</w:t>
            </w:r>
          </w:p>
        </w:tc>
      </w:tr>
      <w:tr w:rsidR="00971C94" w14:paraId="5CA6F964" w14:textId="77777777" w:rsidTr="00971C94">
        <w:trPr>
          <w:trHeight w:val="260"/>
        </w:trPr>
        <w:tc>
          <w:tcPr>
            <w:tcW w:w="1176" w:type="dxa"/>
            <w:tcBorders>
              <w:top w:val="nil"/>
              <w:left w:val="nil"/>
              <w:bottom w:val="nil"/>
              <w:right w:val="nil"/>
            </w:tcBorders>
            <w:shd w:val="clear" w:color="auto" w:fill="auto"/>
            <w:noWrap/>
            <w:vAlign w:val="bottom"/>
            <w:hideMark/>
          </w:tcPr>
          <w:p w14:paraId="3E78FF08"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2DCAFE5" w14:textId="77777777" w:rsidR="00971C94" w:rsidRDefault="00971C9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754C3CD" w14:textId="77777777" w:rsidR="00971C94" w:rsidRDefault="00971C9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9E8609E" w14:textId="77777777" w:rsidR="00971C94" w:rsidRDefault="00971C94">
            <w:pPr>
              <w:jc w:val="right"/>
              <w:rPr>
                <w:color w:val="000000"/>
                <w:sz w:val="20"/>
                <w:szCs w:val="20"/>
              </w:rPr>
            </w:pPr>
            <w:r>
              <w:rPr>
                <w:color w:val="000000"/>
                <w:sz w:val="20"/>
                <w:szCs w:val="20"/>
              </w:rPr>
              <w:t>0.662</w:t>
            </w:r>
          </w:p>
        </w:tc>
        <w:tc>
          <w:tcPr>
            <w:tcW w:w="768" w:type="dxa"/>
            <w:tcBorders>
              <w:top w:val="nil"/>
              <w:left w:val="nil"/>
              <w:bottom w:val="nil"/>
              <w:right w:val="nil"/>
            </w:tcBorders>
            <w:shd w:val="clear" w:color="auto" w:fill="auto"/>
            <w:noWrap/>
            <w:vAlign w:val="bottom"/>
            <w:hideMark/>
          </w:tcPr>
          <w:p w14:paraId="62CF82BC"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D75185" w14:textId="77777777" w:rsidR="00971C94" w:rsidRDefault="00971C9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85F3262"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571CB5FD"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7E8354"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780EDE1" w14:textId="77777777" w:rsidR="00971C94" w:rsidRDefault="00971C94">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1832ABB4"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F1DF7F" w14:textId="77777777" w:rsidR="00971C94" w:rsidRDefault="00971C94">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5C17F36F" w14:textId="77777777" w:rsidR="00971C94" w:rsidRDefault="00971C94">
            <w:pPr>
              <w:jc w:val="right"/>
              <w:rPr>
                <w:color w:val="000000"/>
                <w:sz w:val="20"/>
                <w:szCs w:val="20"/>
              </w:rPr>
            </w:pPr>
            <w:r>
              <w:rPr>
                <w:color w:val="000000"/>
                <w:sz w:val="20"/>
                <w:szCs w:val="20"/>
              </w:rPr>
              <w:t>0.452</w:t>
            </w:r>
          </w:p>
        </w:tc>
        <w:tc>
          <w:tcPr>
            <w:tcW w:w="768" w:type="dxa"/>
            <w:tcBorders>
              <w:top w:val="nil"/>
              <w:left w:val="nil"/>
              <w:bottom w:val="nil"/>
              <w:right w:val="nil"/>
            </w:tcBorders>
            <w:shd w:val="clear" w:color="auto" w:fill="auto"/>
            <w:noWrap/>
            <w:vAlign w:val="bottom"/>
            <w:hideMark/>
          </w:tcPr>
          <w:p w14:paraId="1DE2E389" w14:textId="77777777" w:rsidR="00971C94" w:rsidRDefault="00971C9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43FBC10" w14:textId="77777777" w:rsidR="00971C94" w:rsidRDefault="00971C94">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C1E7B9E" w14:textId="77777777" w:rsidR="00971C94" w:rsidRDefault="00971C94">
            <w:pPr>
              <w:jc w:val="right"/>
              <w:rPr>
                <w:color w:val="000000"/>
                <w:sz w:val="20"/>
                <w:szCs w:val="20"/>
              </w:rPr>
            </w:pPr>
            <w:r>
              <w:rPr>
                <w:color w:val="000000"/>
                <w:sz w:val="20"/>
                <w:szCs w:val="20"/>
              </w:rPr>
              <w:t>0.781</w:t>
            </w:r>
          </w:p>
        </w:tc>
        <w:tc>
          <w:tcPr>
            <w:tcW w:w="768" w:type="dxa"/>
            <w:tcBorders>
              <w:top w:val="nil"/>
              <w:left w:val="nil"/>
              <w:bottom w:val="nil"/>
              <w:right w:val="nil"/>
            </w:tcBorders>
            <w:shd w:val="clear" w:color="auto" w:fill="auto"/>
            <w:noWrap/>
            <w:vAlign w:val="bottom"/>
            <w:hideMark/>
          </w:tcPr>
          <w:p w14:paraId="78793303" w14:textId="77777777" w:rsidR="00971C94" w:rsidRDefault="00971C94">
            <w:pPr>
              <w:jc w:val="right"/>
              <w:rPr>
                <w:color w:val="000000"/>
                <w:sz w:val="20"/>
                <w:szCs w:val="20"/>
              </w:rPr>
            </w:pPr>
            <w:r>
              <w:rPr>
                <w:color w:val="000000"/>
                <w:sz w:val="20"/>
                <w:szCs w:val="20"/>
              </w:rPr>
              <w:t>0.001</w:t>
            </w:r>
          </w:p>
        </w:tc>
      </w:tr>
      <w:tr w:rsidR="00971C94" w14:paraId="76BD3C81" w14:textId="77777777" w:rsidTr="00971C94">
        <w:trPr>
          <w:trHeight w:val="260"/>
        </w:trPr>
        <w:tc>
          <w:tcPr>
            <w:tcW w:w="1176" w:type="dxa"/>
            <w:tcBorders>
              <w:top w:val="nil"/>
              <w:left w:val="nil"/>
              <w:bottom w:val="nil"/>
              <w:right w:val="nil"/>
            </w:tcBorders>
            <w:shd w:val="clear" w:color="auto" w:fill="auto"/>
            <w:noWrap/>
            <w:vAlign w:val="bottom"/>
            <w:hideMark/>
          </w:tcPr>
          <w:p w14:paraId="0CBA628C"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56359F1" w14:textId="77777777" w:rsidR="00971C94" w:rsidRDefault="00971C9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F7E5E86" w14:textId="77777777" w:rsidR="00971C94" w:rsidRPr="00971C94" w:rsidRDefault="00971C94">
            <w:pPr>
              <w:jc w:val="right"/>
              <w:rPr>
                <w:b/>
                <w:bCs/>
                <w:color w:val="000000"/>
                <w:sz w:val="20"/>
                <w:szCs w:val="20"/>
              </w:rPr>
            </w:pPr>
            <w:r w:rsidRPr="00971C94">
              <w:rPr>
                <w:b/>
                <w:bCs/>
                <w:color w:val="000000"/>
                <w:sz w:val="20"/>
                <w:szCs w:val="20"/>
              </w:rPr>
              <w:t>-0.094</w:t>
            </w:r>
          </w:p>
        </w:tc>
        <w:tc>
          <w:tcPr>
            <w:tcW w:w="768" w:type="dxa"/>
            <w:tcBorders>
              <w:top w:val="nil"/>
              <w:left w:val="nil"/>
              <w:bottom w:val="nil"/>
              <w:right w:val="nil"/>
            </w:tcBorders>
            <w:shd w:val="clear" w:color="auto" w:fill="auto"/>
            <w:noWrap/>
            <w:vAlign w:val="bottom"/>
            <w:hideMark/>
          </w:tcPr>
          <w:p w14:paraId="1DFD0AB5" w14:textId="77777777" w:rsidR="00971C94" w:rsidRPr="00971C94" w:rsidRDefault="00971C94">
            <w:pPr>
              <w:jc w:val="right"/>
              <w:rPr>
                <w:b/>
                <w:bCs/>
                <w:color w:val="000000"/>
                <w:sz w:val="20"/>
                <w:szCs w:val="20"/>
              </w:rPr>
            </w:pPr>
            <w:r w:rsidRPr="00971C94">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0F9074EF" w14:textId="77777777" w:rsidR="00971C94" w:rsidRPr="00971C94" w:rsidRDefault="00971C94">
            <w:pPr>
              <w:jc w:val="right"/>
              <w:rPr>
                <w:b/>
                <w:bCs/>
                <w:color w:val="000000"/>
                <w:sz w:val="20"/>
                <w:szCs w:val="20"/>
              </w:rPr>
            </w:pPr>
            <w:r w:rsidRPr="00971C94">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33E2AAA0" w14:textId="77777777" w:rsidR="00971C94" w:rsidRDefault="00971C94">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9B87FA3"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56055CF1"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CB6364" w14:textId="77777777" w:rsidR="00971C94" w:rsidRDefault="00971C9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3B0C500" w14:textId="77777777" w:rsidR="00971C94" w:rsidRDefault="00971C94">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0F826A65"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384C8E" w14:textId="77777777" w:rsidR="00971C94" w:rsidRDefault="00971C94">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FDDAF57"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169C6896"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64FD04" w14:textId="77777777" w:rsidR="00971C94" w:rsidRDefault="00971C94">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24B309D" w14:textId="77777777" w:rsidR="00971C94" w:rsidRDefault="00971C94">
            <w:pPr>
              <w:jc w:val="right"/>
              <w:rPr>
                <w:color w:val="000000"/>
                <w:sz w:val="20"/>
                <w:szCs w:val="20"/>
              </w:rPr>
            </w:pPr>
            <w:r>
              <w:rPr>
                <w:color w:val="000000"/>
                <w:sz w:val="20"/>
                <w:szCs w:val="20"/>
              </w:rPr>
              <w:t>0.781</w:t>
            </w:r>
          </w:p>
        </w:tc>
        <w:tc>
          <w:tcPr>
            <w:tcW w:w="768" w:type="dxa"/>
            <w:tcBorders>
              <w:top w:val="nil"/>
              <w:left w:val="nil"/>
              <w:bottom w:val="nil"/>
              <w:right w:val="nil"/>
            </w:tcBorders>
            <w:shd w:val="clear" w:color="auto" w:fill="auto"/>
            <w:noWrap/>
            <w:vAlign w:val="bottom"/>
            <w:hideMark/>
          </w:tcPr>
          <w:p w14:paraId="1994A651" w14:textId="77777777" w:rsidR="00971C94" w:rsidRDefault="00971C94">
            <w:pPr>
              <w:jc w:val="right"/>
              <w:rPr>
                <w:color w:val="000000"/>
                <w:sz w:val="20"/>
                <w:szCs w:val="20"/>
              </w:rPr>
            </w:pPr>
            <w:r>
              <w:rPr>
                <w:color w:val="000000"/>
                <w:sz w:val="20"/>
                <w:szCs w:val="20"/>
              </w:rPr>
              <w:t>0.001</w:t>
            </w:r>
          </w:p>
        </w:tc>
      </w:tr>
      <w:tr w:rsidR="00971C94" w14:paraId="12C554F5" w14:textId="77777777" w:rsidTr="00971C94">
        <w:trPr>
          <w:trHeight w:val="260"/>
        </w:trPr>
        <w:tc>
          <w:tcPr>
            <w:tcW w:w="1176" w:type="dxa"/>
            <w:tcBorders>
              <w:top w:val="nil"/>
              <w:left w:val="nil"/>
              <w:bottom w:val="nil"/>
              <w:right w:val="nil"/>
            </w:tcBorders>
            <w:shd w:val="clear" w:color="auto" w:fill="auto"/>
            <w:noWrap/>
            <w:vAlign w:val="bottom"/>
            <w:hideMark/>
          </w:tcPr>
          <w:p w14:paraId="54C711DB"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404D519" w14:textId="77777777" w:rsidR="00971C94" w:rsidRDefault="00971C9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870186A" w14:textId="77777777" w:rsidR="00971C94" w:rsidRDefault="00971C94">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7F658FEB" w14:textId="77777777" w:rsidR="00971C94" w:rsidRDefault="00971C94">
            <w:pPr>
              <w:jc w:val="right"/>
              <w:rPr>
                <w:color w:val="000000"/>
                <w:sz w:val="20"/>
                <w:szCs w:val="20"/>
              </w:rPr>
            </w:pPr>
            <w:r>
              <w:rPr>
                <w:color w:val="000000"/>
                <w:sz w:val="20"/>
                <w:szCs w:val="20"/>
              </w:rPr>
              <w:t>0.252</w:t>
            </w:r>
          </w:p>
        </w:tc>
        <w:tc>
          <w:tcPr>
            <w:tcW w:w="768" w:type="dxa"/>
            <w:tcBorders>
              <w:top w:val="nil"/>
              <w:left w:val="nil"/>
              <w:bottom w:val="nil"/>
              <w:right w:val="nil"/>
            </w:tcBorders>
            <w:shd w:val="clear" w:color="auto" w:fill="auto"/>
            <w:noWrap/>
            <w:vAlign w:val="bottom"/>
            <w:hideMark/>
          </w:tcPr>
          <w:p w14:paraId="764F1C7C" w14:textId="77777777" w:rsidR="00971C94" w:rsidRDefault="00971C9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404B376" w14:textId="77777777" w:rsidR="00971C94" w:rsidRDefault="00971C94">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53659DCB" w14:textId="77777777" w:rsidR="00971C94" w:rsidRDefault="00971C94">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7C634C1C" w14:textId="77777777" w:rsidR="00971C94" w:rsidRDefault="00971C9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86BC66F" w14:textId="77777777" w:rsidR="00971C94" w:rsidRDefault="00971C94">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29A85855" w14:textId="77777777" w:rsidR="00971C94" w:rsidRDefault="00971C94">
            <w:pPr>
              <w:jc w:val="right"/>
              <w:rPr>
                <w:color w:val="000000"/>
                <w:sz w:val="20"/>
                <w:szCs w:val="20"/>
              </w:rPr>
            </w:pPr>
            <w:r>
              <w:rPr>
                <w:color w:val="000000"/>
                <w:sz w:val="20"/>
                <w:szCs w:val="20"/>
              </w:rPr>
              <w:t>0.942</w:t>
            </w:r>
          </w:p>
        </w:tc>
        <w:tc>
          <w:tcPr>
            <w:tcW w:w="768" w:type="dxa"/>
            <w:tcBorders>
              <w:top w:val="nil"/>
              <w:left w:val="nil"/>
              <w:bottom w:val="nil"/>
              <w:right w:val="nil"/>
            </w:tcBorders>
            <w:shd w:val="clear" w:color="auto" w:fill="auto"/>
            <w:noWrap/>
            <w:vAlign w:val="bottom"/>
            <w:hideMark/>
          </w:tcPr>
          <w:p w14:paraId="3A517DB6"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35077DF" w14:textId="77777777" w:rsidR="00971C94" w:rsidRDefault="00971C94">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1138E2A"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nil"/>
              <w:right w:val="nil"/>
            </w:tcBorders>
            <w:shd w:val="clear" w:color="auto" w:fill="auto"/>
            <w:noWrap/>
            <w:vAlign w:val="bottom"/>
            <w:hideMark/>
          </w:tcPr>
          <w:p w14:paraId="0641A72B"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FB6E228" w14:textId="77777777" w:rsidR="00971C94" w:rsidRDefault="00971C94">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460EE196" w14:textId="77777777" w:rsidR="00971C94" w:rsidRDefault="00971C94">
            <w:pPr>
              <w:jc w:val="right"/>
              <w:rPr>
                <w:color w:val="000000"/>
                <w:sz w:val="20"/>
                <w:szCs w:val="20"/>
              </w:rPr>
            </w:pPr>
            <w:r>
              <w:rPr>
                <w:color w:val="000000"/>
                <w:sz w:val="20"/>
                <w:szCs w:val="20"/>
              </w:rPr>
              <w:t>0.292</w:t>
            </w:r>
          </w:p>
        </w:tc>
        <w:tc>
          <w:tcPr>
            <w:tcW w:w="768" w:type="dxa"/>
            <w:tcBorders>
              <w:top w:val="nil"/>
              <w:left w:val="nil"/>
              <w:bottom w:val="nil"/>
              <w:right w:val="nil"/>
            </w:tcBorders>
            <w:shd w:val="clear" w:color="auto" w:fill="auto"/>
            <w:noWrap/>
            <w:vAlign w:val="bottom"/>
            <w:hideMark/>
          </w:tcPr>
          <w:p w14:paraId="43F11527" w14:textId="77777777" w:rsidR="00971C94" w:rsidRDefault="00971C94">
            <w:pPr>
              <w:jc w:val="right"/>
              <w:rPr>
                <w:color w:val="000000"/>
                <w:sz w:val="20"/>
                <w:szCs w:val="20"/>
              </w:rPr>
            </w:pPr>
            <w:r>
              <w:rPr>
                <w:color w:val="000000"/>
                <w:sz w:val="20"/>
                <w:szCs w:val="20"/>
              </w:rPr>
              <w:t>0.007</w:t>
            </w:r>
          </w:p>
        </w:tc>
      </w:tr>
      <w:tr w:rsidR="00971C94" w14:paraId="6BBFB22D" w14:textId="77777777" w:rsidTr="00971C94">
        <w:trPr>
          <w:trHeight w:val="260"/>
        </w:trPr>
        <w:tc>
          <w:tcPr>
            <w:tcW w:w="1176" w:type="dxa"/>
            <w:tcBorders>
              <w:top w:val="nil"/>
              <w:left w:val="nil"/>
              <w:bottom w:val="single" w:sz="4" w:space="0" w:color="auto"/>
              <w:right w:val="nil"/>
            </w:tcBorders>
            <w:shd w:val="clear" w:color="auto" w:fill="auto"/>
            <w:noWrap/>
            <w:vAlign w:val="bottom"/>
            <w:hideMark/>
          </w:tcPr>
          <w:p w14:paraId="37590209" w14:textId="77777777" w:rsidR="00971C94" w:rsidRDefault="00971C94">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CAFF499" w14:textId="77777777" w:rsidR="00971C94" w:rsidRDefault="00971C94">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5478FEA" w14:textId="77777777" w:rsidR="00971C94" w:rsidRDefault="00971C94">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1568C114" w14:textId="77777777" w:rsidR="00971C94" w:rsidRDefault="00971C94">
            <w:pPr>
              <w:jc w:val="right"/>
              <w:rPr>
                <w:color w:val="000000"/>
                <w:sz w:val="20"/>
                <w:szCs w:val="20"/>
              </w:rPr>
            </w:pPr>
            <w:r>
              <w:rPr>
                <w:color w:val="000000"/>
                <w:sz w:val="20"/>
                <w:szCs w:val="20"/>
              </w:rPr>
              <w:t>0.662</w:t>
            </w:r>
          </w:p>
        </w:tc>
        <w:tc>
          <w:tcPr>
            <w:tcW w:w="768" w:type="dxa"/>
            <w:tcBorders>
              <w:top w:val="nil"/>
              <w:left w:val="nil"/>
              <w:bottom w:val="single" w:sz="4" w:space="0" w:color="auto"/>
              <w:right w:val="nil"/>
            </w:tcBorders>
            <w:shd w:val="clear" w:color="auto" w:fill="auto"/>
            <w:noWrap/>
            <w:vAlign w:val="bottom"/>
            <w:hideMark/>
          </w:tcPr>
          <w:p w14:paraId="6EC3D12A"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93C1B3C" w14:textId="77777777" w:rsidR="00971C94" w:rsidRDefault="00971C94">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41EDCB0D" w14:textId="77777777" w:rsidR="00971C94" w:rsidRDefault="00971C94">
            <w:pPr>
              <w:jc w:val="right"/>
              <w:rPr>
                <w:color w:val="000000"/>
                <w:sz w:val="20"/>
                <w:szCs w:val="20"/>
              </w:rPr>
            </w:pPr>
            <w:r>
              <w:rPr>
                <w:color w:val="000000"/>
                <w:sz w:val="20"/>
                <w:szCs w:val="20"/>
              </w:rPr>
              <w:t>0.807</w:t>
            </w:r>
          </w:p>
        </w:tc>
        <w:tc>
          <w:tcPr>
            <w:tcW w:w="768" w:type="dxa"/>
            <w:tcBorders>
              <w:top w:val="nil"/>
              <w:left w:val="nil"/>
              <w:bottom w:val="single" w:sz="4" w:space="0" w:color="auto"/>
              <w:right w:val="nil"/>
            </w:tcBorders>
            <w:shd w:val="clear" w:color="auto" w:fill="auto"/>
            <w:noWrap/>
            <w:vAlign w:val="bottom"/>
            <w:hideMark/>
          </w:tcPr>
          <w:p w14:paraId="5A938E08"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9BCC0B7" w14:textId="77777777" w:rsidR="00971C94" w:rsidRDefault="00971C94">
            <w:pPr>
              <w:jc w:val="right"/>
              <w:rPr>
                <w:color w:val="000000"/>
                <w:sz w:val="20"/>
                <w:szCs w:val="20"/>
              </w:rPr>
            </w:pPr>
            <w:r>
              <w:rPr>
                <w:color w:val="000000"/>
                <w:sz w:val="20"/>
                <w:szCs w:val="20"/>
              </w:rPr>
              <w:t>-0.048</w:t>
            </w:r>
          </w:p>
        </w:tc>
        <w:tc>
          <w:tcPr>
            <w:tcW w:w="768" w:type="dxa"/>
            <w:tcBorders>
              <w:top w:val="nil"/>
              <w:left w:val="nil"/>
              <w:bottom w:val="single" w:sz="4" w:space="0" w:color="auto"/>
              <w:right w:val="nil"/>
            </w:tcBorders>
            <w:shd w:val="clear" w:color="auto" w:fill="auto"/>
            <w:noWrap/>
            <w:vAlign w:val="bottom"/>
            <w:hideMark/>
          </w:tcPr>
          <w:p w14:paraId="093A1755" w14:textId="77777777" w:rsidR="00971C94" w:rsidRDefault="00971C94">
            <w:pPr>
              <w:jc w:val="right"/>
              <w:rPr>
                <w:color w:val="000000"/>
                <w:sz w:val="20"/>
                <w:szCs w:val="20"/>
              </w:rPr>
            </w:pPr>
            <w:r>
              <w:rPr>
                <w:color w:val="000000"/>
                <w:sz w:val="20"/>
                <w:szCs w:val="20"/>
              </w:rPr>
              <w:t>0.942</w:t>
            </w:r>
          </w:p>
        </w:tc>
        <w:tc>
          <w:tcPr>
            <w:tcW w:w="768" w:type="dxa"/>
            <w:tcBorders>
              <w:top w:val="nil"/>
              <w:left w:val="nil"/>
              <w:bottom w:val="single" w:sz="4" w:space="0" w:color="auto"/>
              <w:right w:val="nil"/>
            </w:tcBorders>
            <w:shd w:val="clear" w:color="auto" w:fill="auto"/>
            <w:noWrap/>
            <w:vAlign w:val="bottom"/>
            <w:hideMark/>
          </w:tcPr>
          <w:p w14:paraId="149DCC1B"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04ABF271" w14:textId="77777777" w:rsidR="00971C94" w:rsidRDefault="00971C94">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5380893B" w14:textId="77777777" w:rsidR="00971C94" w:rsidRDefault="00971C94">
            <w:pPr>
              <w:jc w:val="right"/>
              <w:rPr>
                <w:color w:val="000000"/>
                <w:sz w:val="20"/>
                <w:szCs w:val="20"/>
              </w:rPr>
            </w:pPr>
            <w:r>
              <w:rPr>
                <w:color w:val="000000"/>
                <w:sz w:val="20"/>
                <w:szCs w:val="20"/>
              </w:rPr>
              <w:t>0.933</w:t>
            </w:r>
          </w:p>
        </w:tc>
        <w:tc>
          <w:tcPr>
            <w:tcW w:w="768" w:type="dxa"/>
            <w:tcBorders>
              <w:top w:val="nil"/>
              <w:left w:val="nil"/>
              <w:bottom w:val="single" w:sz="4" w:space="0" w:color="auto"/>
              <w:right w:val="nil"/>
            </w:tcBorders>
            <w:shd w:val="clear" w:color="auto" w:fill="auto"/>
            <w:noWrap/>
            <w:vAlign w:val="bottom"/>
            <w:hideMark/>
          </w:tcPr>
          <w:p w14:paraId="051D6E69"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5215AAE" w14:textId="77777777" w:rsidR="00971C94" w:rsidRDefault="00971C94">
            <w:pPr>
              <w:jc w:val="right"/>
              <w:rPr>
                <w:color w:val="000000"/>
                <w:sz w:val="20"/>
                <w:szCs w:val="20"/>
              </w:rPr>
            </w:pPr>
            <w:r>
              <w:rPr>
                <w:color w:val="000000"/>
                <w:sz w:val="20"/>
                <w:szCs w:val="20"/>
              </w:rPr>
              <w:t>0.006</w:t>
            </w:r>
          </w:p>
        </w:tc>
        <w:tc>
          <w:tcPr>
            <w:tcW w:w="768" w:type="dxa"/>
            <w:tcBorders>
              <w:top w:val="nil"/>
              <w:left w:val="nil"/>
              <w:bottom w:val="single" w:sz="4" w:space="0" w:color="auto"/>
              <w:right w:val="nil"/>
            </w:tcBorders>
            <w:shd w:val="clear" w:color="auto" w:fill="auto"/>
            <w:noWrap/>
            <w:vAlign w:val="bottom"/>
            <w:hideMark/>
          </w:tcPr>
          <w:p w14:paraId="7BA0A950" w14:textId="77777777" w:rsidR="00971C94" w:rsidRDefault="00971C94">
            <w:pPr>
              <w:jc w:val="right"/>
              <w:rPr>
                <w:color w:val="000000"/>
                <w:sz w:val="20"/>
                <w:szCs w:val="20"/>
              </w:rPr>
            </w:pPr>
            <w:r>
              <w:rPr>
                <w:color w:val="000000"/>
                <w:sz w:val="20"/>
                <w:szCs w:val="20"/>
              </w:rPr>
              <w:t>0.918</w:t>
            </w:r>
          </w:p>
        </w:tc>
        <w:tc>
          <w:tcPr>
            <w:tcW w:w="768" w:type="dxa"/>
            <w:tcBorders>
              <w:top w:val="nil"/>
              <w:left w:val="nil"/>
              <w:bottom w:val="single" w:sz="4" w:space="0" w:color="auto"/>
              <w:right w:val="nil"/>
            </w:tcBorders>
            <w:shd w:val="clear" w:color="auto" w:fill="auto"/>
            <w:noWrap/>
            <w:vAlign w:val="bottom"/>
            <w:hideMark/>
          </w:tcPr>
          <w:p w14:paraId="5D8C55AD" w14:textId="77777777" w:rsidR="00971C94" w:rsidRDefault="00971C94">
            <w:pPr>
              <w:jc w:val="right"/>
              <w:rPr>
                <w:color w:val="000000"/>
                <w:sz w:val="20"/>
                <w:szCs w:val="20"/>
              </w:rPr>
            </w:pPr>
            <w:r>
              <w:rPr>
                <w:color w:val="000000"/>
                <w:sz w:val="20"/>
                <w:szCs w:val="20"/>
              </w:rPr>
              <w:t>0.000</w:t>
            </w:r>
          </w:p>
        </w:tc>
      </w:tr>
      <w:tr w:rsidR="00971C94" w14:paraId="0F25CCF7" w14:textId="77777777" w:rsidTr="00971C94">
        <w:trPr>
          <w:trHeight w:val="260"/>
        </w:trPr>
        <w:tc>
          <w:tcPr>
            <w:tcW w:w="1176" w:type="dxa"/>
            <w:tcBorders>
              <w:top w:val="nil"/>
              <w:left w:val="nil"/>
              <w:bottom w:val="nil"/>
              <w:right w:val="nil"/>
            </w:tcBorders>
            <w:shd w:val="clear" w:color="auto" w:fill="auto"/>
            <w:noWrap/>
            <w:vAlign w:val="bottom"/>
            <w:hideMark/>
          </w:tcPr>
          <w:p w14:paraId="34234A81" w14:textId="77777777" w:rsidR="00971C94" w:rsidRDefault="00971C94">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48EE0EE7" w14:textId="77777777" w:rsidR="00971C94" w:rsidRDefault="00971C94">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FBE9E2A" w14:textId="77777777" w:rsidR="00971C94" w:rsidRDefault="00971C94">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EC6A0D3" w14:textId="77777777" w:rsidR="00971C94" w:rsidRDefault="00971C94">
            <w:pPr>
              <w:jc w:val="right"/>
              <w:rPr>
                <w:color w:val="000000"/>
                <w:sz w:val="20"/>
                <w:szCs w:val="20"/>
              </w:rPr>
            </w:pPr>
            <w:r>
              <w:rPr>
                <w:color w:val="000000"/>
                <w:sz w:val="20"/>
                <w:szCs w:val="20"/>
              </w:rPr>
              <w:t>0.643</w:t>
            </w:r>
          </w:p>
        </w:tc>
        <w:tc>
          <w:tcPr>
            <w:tcW w:w="768" w:type="dxa"/>
            <w:tcBorders>
              <w:top w:val="nil"/>
              <w:left w:val="nil"/>
              <w:bottom w:val="nil"/>
              <w:right w:val="nil"/>
            </w:tcBorders>
            <w:shd w:val="clear" w:color="auto" w:fill="auto"/>
            <w:noWrap/>
            <w:vAlign w:val="bottom"/>
            <w:hideMark/>
          </w:tcPr>
          <w:p w14:paraId="2514AA54"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D70CBE"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9109FA6" w14:textId="77777777" w:rsidR="00971C94" w:rsidRDefault="00971C94">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3DC9A036"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140996" w14:textId="77777777" w:rsidR="00971C94" w:rsidRDefault="00971C9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AC0B4C1" w14:textId="77777777" w:rsidR="00971C94" w:rsidRDefault="00971C94">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5DE3344A"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59F576"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62AB65D" w14:textId="77777777" w:rsidR="00971C94" w:rsidRDefault="00971C94">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6FA2E96B"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7E1B3B1" w14:textId="77777777" w:rsidR="00971C94" w:rsidRDefault="00971C94">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08B77707" w14:textId="77777777" w:rsidR="00971C94" w:rsidRDefault="00971C94">
            <w:pPr>
              <w:jc w:val="right"/>
              <w:rPr>
                <w:color w:val="000000"/>
                <w:sz w:val="20"/>
                <w:szCs w:val="20"/>
              </w:rPr>
            </w:pPr>
            <w:r>
              <w:rPr>
                <w:color w:val="000000"/>
                <w:sz w:val="20"/>
                <w:szCs w:val="20"/>
              </w:rPr>
              <w:t>0.526</w:t>
            </w:r>
          </w:p>
        </w:tc>
        <w:tc>
          <w:tcPr>
            <w:tcW w:w="768" w:type="dxa"/>
            <w:tcBorders>
              <w:top w:val="nil"/>
              <w:left w:val="nil"/>
              <w:bottom w:val="nil"/>
              <w:right w:val="nil"/>
            </w:tcBorders>
            <w:shd w:val="clear" w:color="auto" w:fill="auto"/>
            <w:noWrap/>
            <w:vAlign w:val="bottom"/>
            <w:hideMark/>
          </w:tcPr>
          <w:p w14:paraId="015E0656" w14:textId="77777777" w:rsidR="00971C94" w:rsidRDefault="00971C94">
            <w:pPr>
              <w:jc w:val="right"/>
              <w:rPr>
                <w:color w:val="000000"/>
                <w:sz w:val="20"/>
                <w:szCs w:val="20"/>
              </w:rPr>
            </w:pPr>
            <w:r>
              <w:rPr>
                <w:color w:val="000000"/>
                <w:sz w:val="20"/>
                <w:szCs w:val="20"/>
              </w:rPr>
              <w:t>0.002</w:t>
            </w:r>
          </w:p>
        </w:tc>
      </w:tr>
      <w:tr w:rsidR="00971C94" w14:paraId="49F690D1" w14:textId="77777777" w:rsidTr="00971C94">
        <w:trPr>
          <w:trHeight w:val="260"/>
        </w:trPr>
        <w:tc>
          <w:tcPr>
            <w:tcW w:w="1176" w:type="dxa"/>
            <w:tcBorders>
              <w:top w:val="nil"/>
              <w:left w:val="nil"/>
              <w:bottom w:val="nil"/>
              <w:right w:val="nil"/>
            </w:tcBorders>
            <w:shd w:val="clear" w:color="auto" w:fill="auto"/>
            <w:noWrap/>
            <w:vAlign w:val="bottom"/>
            <w:hideMark/>
          </w:tcPr>
          <w:p w14:paraId="3834CA4B"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C4164D1" w14:textId="77777777" w:rsidR="00971C94" w:rsidRDefault="00971C9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3C585AF" w14:textId="77777777" w:rsidR="00971C94" w:rsidRDefault="00971C94">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BA669A8" w14:textId="77777777" w:rsidR="00971C94" w:rsidRDefault="00971C94">
            <w:pPr>
              <w:jc w:val="right"/>
              <w:rPr>
                <w:color w:val="000000"/>
                <w:sz w:val="20"/>
                <w:szCs w:val="20"/>
              </w:rPr>
            </w:pPr>
            <w:r>
              <w:rPr>
                <w:color w:val="000000"/>
                <w:sz w:val="20"/>
                <w:szCs w:val="20"/>
              </w:rPr>
              <w:t>0.643</w:t>
            </w:r>
          </w:p>
        </w:tc>
        <w:tc>
          <w:tcPr>
            <w:tcW w:w="768" w:type="dxa"/>
            <w:tcBorders>
              <w:top w:val="nil"/>
              <w:left w:val="nil"/>
              <w:bottom w:val="nil"/>
              <w:right w:val="nil"/>
            </w:tcBorders>
            <w:shd w:val="clear" w:color="auto" w:fill="auto"/>
            <w:noWrap/>
            <w:vAlign w:val="bottom"/>
            <w:hideMark/>
          </w:tcPr>
          <w:p w14:paraId="1A303F21"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F29A72" w14:textId="77777777" w:rsidR="00971C94" w:rsidRDefault="00971C9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11BEFDD" w14:textId="77777777" w:rsidR="00971C94" w:rsidRDefault="00971C94">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67CDD311"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270E96" w14:textId="77777777" w:rsidR="00971C94" w:rsidRDefault="00971C94">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1B678169" w14:textId="77777777" w:rsidR="00971C94" w:rsidRDefault="00971C94">
            <w:pPr>
              <w:jc w:val="right"/>
              <w:rPr>
                <w:color w:val="000000"/>
                <w:sz w:val="20"/>
                <w:szCs w:val="20"/>
              </w:rPr>
            </w:pPr>
            <w:r>
              <w:rPr>
                <w:color w:val="000000"/>
                <w:sz w:val="20"/>
                <w:szCs w:val="20"/>
              </w:rPr>
              <w:t>0.890</w:t>
            </w:r>
          </w:p>
        </w:tc>
        <w:tc>
          <w:tcPr>
            <w:tcW w:w="768" w:type="dxa"/>
            <w:tcBorders>
              <w:top w:val="nil"/>
              <w:left w:val="nil"/>
              <w:bottom w:val="nil"/>
              <w:right w:val="nil"/>
            </w:tcBorders>
            <w:shd w:val="clear" w:color="auto" w:fill="auto"/>
            <w:noWrap/>
            <w:vAlign w:val="bottom"/>
            <w:hideMark/>
          </w:tcPr>
          <w:p w14:paraId="6CDC68B7"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EAA30EF" w14:textId="77777777" w:rsidR="00971C94" w:rsidRDefault="00971C94">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422435CA" w14:textId="77777777" w:rsidR="00971C94" w:rsidRDefault="00971C94">
            <w:pPr>
              <w:jc w:val="right"/>
              <w:rPr>
                <w:color w:val="000000"/>
                <w:sz w:val="20"/>
                <w:szCs w:val="20"/>
              </w:rPr>
            </w:pPr>
            <w:r>
              <w:rPr>
                <w:color w:val="000000"/>
                <w:sz w:val="20"/>
                <w:szCs w:val="20"/>
              </w:rPr>
              <w:t>0.680</w:t>
            </w:r>
          </w:p>
        </w:tc>
        <w:tc>
          <w:tcPr>
            <w:tcW w:w="768" w:type="dxa"/>
            <w:tcBorders>
              <w:top w:val="nil"/>
              <w:left w:val="nil"/>
              <w:bottom w:val="nil"/>
              <w:right w:val="nil"/>
            </w:tcBorders>
            <w:shd w:val="clear" w:color="auto" w:fill="auto"/>
            <w:noWrap/>
            <w:vAlign w:val="bottom"/>
            <w:hideMark/>
          </w:tcPr>
          <w:p w14:paraId="02304E9E"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244BAC6" w14:textId="77777777" w:rsidR="00971C94" w:rsidRDefault="00971C94">
            <w:pPr>
              <w:jc w:val="right"/>
              <w:rPr>
                <w:b/>
                <w:bCs/>
                <w:color w:val="000000"/>
                <w:sz w:val="20"/>
                <w:szCs w:val="20"/>
              </w:rPr>
            </w:pPr>
            <w:r>
              <w:rPr>
                <w:b/>
                <w:bCs/>
                <w:color w:val="000000"/>
                <w:sz w:val="20"/>
                <w:szCs w:val="20"/>
              </w:rPr>
              <w:t>-0.129</w:t>
            </w:r>
          </w:p>
        </w:tc>
        <w:tc>
          <w:tcPr>
            <w:tcW w:w="768" w:type="dxa"/>
            <w:tcBorders>
              <w:top w:val="nil"/>
              <w:left w:val="nil"/>
              <w:bottom w:val="nil"/>
              <w:right w:val="nil"/>
            </w:tcBorders>
            <w:shd w:val="clear" w:color="auto" w:fill="auto"/>
            <w:noWrap/>
            <w:vAlign w:val="bottom"/>
            <w:hideMark/>
          </w:tcPr>
          <w:p w14:paraId="71BDFA52" w14:textId="77777777" w:rsidR="00971C94" w:rsidRDefault="00971C9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20391C12" w14:textId="77777777" w:rsidR="00971C94" w:rsidRDefault="00971C94">
            <w:pPr>
              <w:jc w:val="right"/>
              <w:rPr>
                <w:b/>
                <w:bCs/>
                <w:color w:val="000000"/>
                <w:sz w:val="20"/>
                <w:szCs w:val="20"/>
              </w:rPr>
            </w:pPr>
            <w:r>
              <w:rPr>
                <w:b/>
                <w:bCs/>
                <w:color w:val="000000"/>
                <w:sz w:val="20"/>
                <w:szCs w:val="20"/>
              </w:rPr>
              <w:t>0.017</w:t>
            </w:r>
          </w:p>
        </w:tc>
      </w:tr>
      <w:tr w:rsidR="00971C94" w14:paraId="036A9B8B" w14:textId="77777777" w:rsidTr="00971C94">
        <w:trPr>
          <w:trHeight w:val="260"/>
        </w:trPr>
        <w:tc>
          <w:tcPr>
            <w:tcW w:w="1176" w:type="dxa"/>
            <w:tcBorders>
              <w:top w:val="nil"/>
              <w:left w:val="nil"/>
              <w:bottom w:val="nil"/>
              <w:right w:val="nil"/>
            </w:tcBorders>
            <w:shd w:val="clear" w:color="auto" w:fill="auto"/>
            <w:noWrap/>
            <w:vAlign w:val="bottom"/>
            <w:hideMark/>
          </w:tcPr>
          <w:p w14:paraId="131E7732" w14:textId="77777777" w:rsidR="00971C94" w:rsidRDefault="00971C94">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12CF87C4" w14:textId="77777777" w:rsidR="00971C94" w:rsidRDefault="00971C9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E98326F" w14:textId="77777777" w:rsidR="00971C94" w:rsidRDefault="00971C94">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6FD3AA0F" w14:textId="77777777" w:rsidR="00971C94" w:rsidRDefault="00971C94">
            <w:pPr>
              <w:jc w:val="right"/>
              <w:rPr>
                <w:color w:val="000000"/>
                <w:sz w:val="20"/>
                <w:szCs w:val="20"/>
              </w:rPr>
            </w:pPr>
            <w:r>
              <w:rPr>
                <w:color w:val="000000"/>
                <w:sz w:val="20"/>
                <w:szCs w:val="20"/>
              </w:rPr>
              <w:t>0.643</w:t>
            </w:r>
          </w:p>
        </w:tc>
        <w:tc>
          <w:tcPr>
            <w:tcW w:w="768" w:type="dxa"/>
            <w:tcBorders>
              <w:top w:val="nil"/>
              <w:left w:val="nil"/>
              <w:bottom w:val="nil"/>
              <w:right w:val="nil"/>
            </w:tcBorders>
            <w:shd w:val="clear" w:color="auto" w:fill="auto"/>
            <w:noWrap/>
            <w:vAlign w:val="bottom"/>
            <w:hideMark/>
          </w:tcPr>
          <w:p w14:paraId="262FE435"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528851" w14:textId="77777777" w:rsidR="00971C94" w:rsidRDefault="00971C94">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774454B4" w14:textId="77777777" w:rsidR="00971C94" w:rsidRDefault="00971C94">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13726FF6"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83DD981"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CDF8FC" w14:textId="77777777" w:rsidR="00971C94" w:rsidRDefault="00971C94">
            <w:pPr>
              <w:jc w:val="right"/>
              <w:rPr>
                <w:color w:val="000000"/>
                <w:sz w:val="20"/>
                <w:szCs w:val="20"/>
              </w:rPr>
            </w:pPr>
            <w:r>
              <w:rPr>
                <w:color w:val="000000"/>
                <w:sz w:val="20"/>
                <w:szCs w:val="20"/>
              </w:rPr>
              <w:t>0.979</w:t>
            </w:r>
          </w:p>
        </w:tc>
        <w:tc>
          <w:tcPr>
            <w:tcW w:w="768" w:type="dxa"/>
            <w:tcBorders>
              <w:top w:val="nil"/>
              <w:left w:val="nil"/>
              <w:bottom w:val="nil"/>
              <w:right w:val="nil"/>
            </w:tcBorders>
            <w:shd w:val="clear" w:color="auto" w:fill="auto"/>
            <w:noWrap/>
            <w:vAlign w:val="bottom"/>
            <w:hideMark/>
          </w:tcPr>
          <w:p w14:paraId="63D5D48E"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4832D7" w14:textId="77777777" w:rsidR="00971C94" w:rsidRDefault="00971C94">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75D3211E" w14:textId="77777777" w:rsidR="00971C94" w:rsidRDefault="00971C94">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3FAA72E3"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063307" w14:textId="77777777" w:rsidR="00971C94" w:rsidRDefault="00971C9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DE04EBC" w14:textId="77777777" w:rsidR="00971C94" w:rsidRDefault="00971C94">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31396F2B" w14:textId="77777777" w:rsidR="00971C94" w:rsidRDefault="00971C94">
            <w:pPr>
              <w:jc w:val="right"/>
              <w:rPr>
                <w:color w:val="000000"/>
                <w:sz w:val="20"/>
                <w:szCs w:val="20"/>
              </w:rPr>
            </w:pPr>
            <w:r>
              <w:rPr>
                <w:color w:val="000000"/>
                <w:sz w:val="20"/>
                <w:szCs w:val="20"/>
              </w:rPr>
              <w:t>0.000</w:t>
            </w:r>
          </w:p>
        </w:tc>
      </w:tr>
      <w:tr w:rsidR="00971C94" w14:paraId="12FCBE99" w14:textId="77777777" w:rsidTr="00971C94">
        <w:trPr>
          <w:trHeight w:val="260"/>
        </w:trPr>
        <w:tc>
          <w:tcPr>
            <w:tcW w:w="1176" w:type="dxa"/>
            <w:tcBorders>
              <w:top w:val="nil"/>
              <w:left w:val="nil"/>
              <w:bottom w:val="nil"/>
              <w:right w:val="nil"/>
            </w:tcBorders>
            <w:shd w:val="clear" w:color="auto" w:fill="auto"/>
            <w:noWrap/>
            <w:vAlign w:val="bottom"/>
            <w:hideMark/>
          </w:tcPr>
          <w:p w14:paraId="2BDDCB96"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D7F3C9" w14:textId="77777777" w:rsidR="00971C94" w:rsidRDefault="00971C9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55B04BFF" w14:textId="77777777" w:rsidR="00971C94" w:rsidRDefault="00971C94">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676057B7" w14:textId="77777777" w:rsidR="00971C94" w:rsidRDefault="00971C94">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7611FEC3"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6785A3" w14:textId="77777777" w:rsidR="00971C94" w:rsidRDefault="00971C94">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D7E8F5D" w14:textId="77777777" w:rsidR="00971C94" w:rsidRDefault="00971C94">
            <w:pPr>
              <w:jc w:val="right"/>
              <w:rPr>
                <w:color w:val="000000"/>
                <w:sz w:val="20"/>
                <w:szCs w:val="20"/>
              </w:rPr>
            </w:pPr>
            <w:r>
              <w:rPr>
                <w:color w:val="000000"/>
                <w:sz w:val="20"/>
                <w:szCs w:val="20"/>
              </w:rPr>
              <w:t>0.872</w:t>
            </w:r>
          </w:p>
        </w:tc>
        <w:tc>
          <w:tcPr>
            <w:tcW w:w="768" w:type="dxa"/>
            <w:tcBorders>
              <w:top w:val="nil"/>
              <w:left w:val="nil"/>
              <w:bottom w:val="nil"/>
              <w:right w:val="nil"/>
            </w:tcBorders>
            <w:shd w:val="clear" w:color="auto" w:fill="auto"/>
            <w:noWrap/>
            <w:vAlign w:val="bottom"/>
            <w:hideMark/>
          </w:tcPr>
          <w:p w14:paraId="3B4EB1C3"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064A8C" w14:textId="77777777" w:rsidR="00971C94" w:rsidRDefault="00971C94">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6D66CC5A" w14:textId="77777777" w:rsidR="00971C94" w:rsidRDefault="00971C94">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1BBA7D54"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66B0E4" w14:textId="77777777" w:rsidR="00971C94" w:rsidRPr="00652C69" w:rsidRDefault="00971C94">
            <w:pPr>
              <w:jc w:val="right"/>
              <w:rPr>
                <w:color w:val="000000"/>
                <w:sz w:val="20"/>
                <w:szCs w:val="20"/>
              </w:rPr>
            </w:pPr>
            <w:r w:rsidRPr="00652C69">
              <w:rPr>
                <w:color w:val="000000"/>
                <w:sz w:val="20"/>
                <w:szCs w:val="20"/>
              </w:rPr>
              <w:t>-0.112</w:t>
            </w:r>
          </w:p>
        </w:tc>
        <w:tc>
          <w:tcPr>
            <w:tcW w:w="768" w:type="dxa"/>
            <w:tcBorders>
              <w:top w:val="nil"/>
              <w:left w:val="nil"/>
              <w:bottom w:val="nil"/>
              <w:right w:val="nil"/>
            </w:tcBorders>
            <w:shd w:val="clear" w:color="auto" w:fill="auto"/>
            <w:noWrap/>
            <w:vAlign w:val="bottom"/>
            <w:hideMark/>
          </w:tcPr>
          <w:p w14:paraId="6A9D0F90" w14:textId="77777777" w:rsidR="00971C94" w:rsidRPr="00652C69" w:rsidRDefault="00971C94">
            <w:pPr>
              <w:jc w:val="right"/>
              <w:rPr>
                <w:color w:val="000000"/>
                <w:sz w:val="20"/>
                <w:szCs w:val="20"/>
              </w:rPr>
            </w:pPr>
            <w:r w:rsidRPr="00652C69">
              <w:rPr>
                <w:color w:val="000000"/>
                <w:sz w:val="20"/>
                <w:szCs w:val="20"/>
              </w:rPr>
              <w:t>0.056</w:t>
            </w:r>
          </w:p>
        </w:tc>
        <w:tc>
          <w:tcPr>
            <w:tcW w:w="768" w:type="dxa"/>
            <w:tcBorders>
              <w:top w:val="nil"/>
              <w:left w:val="nil"/>
              <w:bottom w:val="nil"/>
              <w:right w:val="nil"/>
            </w:tcBorders>
            <w:shd w:val="clear" w:color="auto" w:fill="auto"/>
            <w:noWrap/>
            <w:vAlign w:val="bottom"/>
            <w:hideMark/>
          </w:tcPr>
          <w:p w14:paraId="266B075E" w14:textId="77777777" w:rsidR="00971C94" w:rsidRPr="00652C69" w:rsidRDefault="00971C94">
            <w:pPr>
              <w:jc w:val="right"/>
              <w:rPr>
                <w:color w:val="000000"/>
                <w:sz w:val="20"/>
                <w:szCs w:val="20"/>
              </w:rPr>
            </w:pPr>
            <w:r w:rsidRPr="00652C69">
              <w:rPr>
                <w:color w:val="000000"/>
                <w:sz w:val="20"/>
                <w:szCs w:val="20"/>
              </w:rPr>
              <w:t>0.013</w:t>
            </w:r>
          </w:p>
        </w:tc>
        <w:tc>
          <w:tcPr>
            <w:tcW w:w="768" w:type="dxa"/>
            <w:tcBorders>
              <w:top w:val="nil"/>
              <w:left w:val="nil"/>
              <w:bottom w:val="nil"/>
              <w:right w:val="nil"/>
            </w:tcBorders>
            <w:shd w:val="clear" w:color="auto" w:fill="auto"/>
            <w:noWrap/>
            <w:vAlign w:val="bottom"/>
            <w:hideMark/>
          </w:tcPr>
          <w:p w14:paraId="730664E1" w14:textId="77777777" w:rsidR="00971C94" w:rsidRDefault="00971C94">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575913BB" w14:textId="77777777" w:rsidR="00971C94" w:rsidRDefault="00971C94">
            <w:pPr>
              <w:jc w:val="right"/>
              <w:rPr>
                <w:color w:val="000000"/>
                <w:sz w:val="20"/>
                <w:szCs w:val="20"/>
              </w:rPr>
            </w:pPr>
            <w:r>
              <w:rPr>
                <w:color w:val="000000"/>
                <w:sz w:val="20"/>
                <w:szCs w:val="20"/>
              </w:rPr>
              <w:t>0.291</w:t>
            </w:r>
          </w:p>
        </w:tc>
        <w:tc>
          <w:tcPr>
            <w:tcW w:w="768" w:type="dxa"/>
            <w:tcBorders>
              <w:top w:val="nil"/>
              <w:left w:val="nil"/>
              <w:bottom w:val="nil"/>
              <w:right w:val="nil"/>
            </w:tcBorders>
            <w:shd w:val="clear" w:color="auto" w:fill="auto"/>
            <w:noWrap/>
            <w:vAlign w:val="bottom"/>
            <w:hideMark/>
          </w:tcPr>
          <w:p w14:paraId="0F56E0DA" w14:textId="77777777" w:rsidR="00971C94" w:rsidRDefault="00971C94">
            <w:pPr>
              <w:jc w:val="right"/>
              <w:rPr>
                <w:color w:val="000000"/>
                <w:sz w:val="20"/>
                <w:szCs w:val="20"/>
              </w:rPr>
            </w:pPr>
            <w:r>
              <w:rPr>
                <w:color w:val="000000"/>
                <w:sz w:val="20"/>
                <w:szCs w:val="20"/>
              </w:rPr>
              <w:t>0.005</w:t>
            </w:r>
          </w:p>
        </w:tc>
      </w:tr>
      <w:tr w:rsidR="00971C94" w14:paraId="4789D59B" w14:textId="77777777" w:rsidTr="00971C94">
        <w:trPr>
          <w:trHeight w:val="260"/>
        </w:trPr>
        <w:tc>
          <w:tcPr>
            <w:tcW w:w="1176" w:type="dxa"/>
            <w:tcBorders>
              <w:top w:val="nil"/>
              <w:left w:val="nil"/>
              <w:bottom w:val="nil"/>
              <w:right w:val="nil"/>
            </w:tcBorders>
            <w:shd w:val="clear" w:color="auto" w:fill="auto"/>
            <w:noWrap/>
            <w:vAlign w:val="bottom"/>
            <w:hideMark/>
          </w:tcPr>
          <w:p w14:paraId="0528BE4A"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18D409" w14:textId="77777777" w:rsidR="00971C94" w:rsidRDefault="00971C9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E8B04C1" w14:textId="77777777" w:rsidR="00971C94" w:rsidRDefault="00971C94">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64255C1" w14:textId="77777777" w:rsidR="00971C94" w:rsidRDefault="00971C94">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09E08756"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5B4A6E4" w14:textId="77777777" w:rsidR="00971C94" w:rsidRDefault="00971C94">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7E733897" w14:textId="77777777" w:rsidR="00971C94" w:rsidRDefault="00971C94">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254EE8CD"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F45C255" w14:textId="77777777" w:rsidR="00971C94" w:rsidRDefault="00971C94">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123D2A1F" w14:textId="77777777" w:rsidR="00971C94" w:rsidRDefault="00971C94">
            <w:pPr>
              <w:jc w:val="right"/>
              <w:rPr>
                <w:color w:val="000000"/>
                <w:sz w:val="20"/>
                <w:szCs w:val="20"/>
              </w:rPr>
            </w:pPr>
            <w:r>
              <w:rPr>
                <w:color w:val="000000"/>
                <w:sz w:val="20"/>
                <w:szCs w:val="20"/>
              </w:rPr>
              <w:t>0.890</w:t>
            </w:r>
          </w:p>
        </w:tc>
        <w:tc>
          <w:tcPr>
            <w:tcW w:w="768" w:type="dxa"/>
            <w:tcBorders>
              <w:top w:val="nil"/>
              <w:left w:val="nil"/>
              <w:bottom w:val="nil"/>
              <w:right w:val="nil"/>
            </w:tcBorders>
            <w:shd w:val="clear" w:color="auto" w:fill="auto"/>
            <w:noWrap/>
            <w:vAlign w:val="bottom"/>
            <w:hideMark/>
          </w:tcPr>
          <w:p w14:paraId="4F85A8AC"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5A4BE47" w14:textId="77777777" w:rsidR="00971C94" w:rsidRDefault="00971C94">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C2483EF" w14:textId="77777777" w:rsidR="00971C94" w:rsidRDefault="00971C94">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0FE62F02"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A628A3" w14:textId="77777777" w:rsidR="00971C94" w:rsidRDefault="00971C94">
            <w:pPr>
              <w:jc w:val="right"/>
              <w:rPr>
                <w:color w:val="000000"/>
                <w:sz w:val="20"/>
                <w:szCs w:val="20"/>
              </w:rPr>
            </w:pPr>
            <w:r>
              <w:rPr>
                <w:color w:val="000000"/>
                <w:sz w:val="20"/>
                <w:szCs w:val="20"/>
              </w:rPr>
              <w:t>-0.085</w:t>
            </w:r>
          </w:p>
        </w:tc>
        <w:tc>
          <w:tcPr>
            <w:tcW w:w="768" w:type="dxa"/>
            <w:tcBorders>
              <w:top w:val="nil"/>
              <w:left w:val="nil"/>
              <w:bottom w:val="nil"/>
              <w:right w:val="nil"/>
            </w:tcBorders>
            <w:shd w:val="clear" w:color="auto" w:fill="auto"/>
            <w:noWrap/>
            <w:vAlign w:val="bottom"/>
            <w:hideMark/>
          </w:tcPr>
          <w:p w14:paraId="5D719E93" w14:textId="77777777" w:rsidR="00971C94" w:rsidRDefault="00971C94">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6ADD516E" w14:textId="77777777" w:rsidR="00971C94" w:rsidRDefault="00971C94">
            <w:pPr>
              <w:jc w:val="right"/>
              <w:rPr>
                <w:color w:val="000000"/>
                <w:sz w:val="20"/>
                <w:szCs w:val="20"/>
              </w:rPr>
            </w:pPr>
            <w:r>
              <w:rPr>
                <w:color w:val="000000"/>
                <w:sz w:val="20"/>
                <w:szCs w:val="20"/>
              </w:rPr>
              <w:t>0.007</w:t>
            </w:r>
          </w:p>
        </w:tc>
      </w:tr>
      <w:tr w:rsidR="00971C94" w14:paraId="58D3C320" w14:textId="77777777" w:rsidTr="00971C94">
        <w:trPr>
          <w:trHeight w:val="260"/>
        </w:trPr>
        <w:tc>
          <w:tcPr>
            <w:tcW w:w="1176" w:type="dxa"/>
            <w:tcBorders>
              <w:top w:val="nil"/>
              <w:left w:val="nil"/>
              <w:bottom w:val="nil"/>
              <w:right w:val="nil"/>
            </w:tcBorders>
            <w:shd w:val="clear" w:color="auto" w:fill="auto"/>
            <w:noWrap/>
            <w:vAlign w:val="bottom"/>
            <w:hideMark/>
          </w:tcPr>
          <w:p w14:paraId="0DD483D6"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CD26B21" w14:textId="77777777" w:rsidR="00971C94" w:rsidRDefault="00971C9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F64A848" w14:textId="77777777" w:rsidR="00971C94" w:rsidRDefault="00971C94">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73989D15" w14:textId="77777777" w:rsidR="00971C94" w:rsidRDefault="00971C94">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40CF210B"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5338AEB" w14:textId="77777777" w:rsidR="00971C94" w:rsidRDefault="00971C94">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0565571B" w14:textId="77777777" w:rsidR="00971C94" w:rsidRDefault="00971C94">
            <w:pPr>
              <w:jc w:val="right"/>
              <w:rPr>
                <w:color w:val="000000"/>
                <w:sz w:val="20"/>
                <w:szCs w:val="20"/>
              </w:rPr>
            </w:pPr>
            <w:r>
              <w:rPr>
                <w:color w:val="000000"/>
                <w:sz w:val="20"/>
                <w:szCs w:val="20"/>
              </w:rPr>
              <w:t>0.661</w:t>
            </w:r>
          </w:p>
        </w:tc>
        <w:tc>
          <w:tcPr>
            <w:tcW w:w="768" w:type="dxa"/>
            <w:tcBorders>
              <w:top w:val="nil"/>
              <w:left w:val="nil"/>
              <w:bottom w:val="nil"/>
              <w:right w:val="nil"/>
            </w:tcBorders>
            <w:shd w:val="clear" w:color="auto" w:fill="auto"/>
            <w:noWrap/>
            <w:vAlign w:val="bottom"/>
            <w:hideMark/>
          </w:tcPr>
          <w:p w14:paraId="1BCB5258"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222C1E6" w14:textId="77777777" w:rsidR="00971C94" w:rsidRDefault="00971C94">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6A757CC7" w14:textId="77777777" w:rsidR="00971C94" w:rsidRDefault="00971C94">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3840D189" w14:textId="77777777" w:rsidR="00971C94" w:rsidRDefault="00971C9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9B3362F"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B327281" w14:textId="77777777" w:rsidR="00971C94" w:rsidRDefault="00971C94">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395F9901"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7D828C" w14:textId="77777777" w:rsidR="00971C94" w:rsidRDefault="00971C9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105FDC4" w14:textId="77777777" w:rsidR="00971C94" w:rsidRDefault="00971C94">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7DE517EC" w14:textId="77777777" w:rsidR="00971C94" w:rsidRDefault="00971C94">
            <w:pPr>
              <w:jc w:val="right"/>
              <w:rPr>
                <w:color w:val="000000"/>
                <w:sz w:val="20"/>
                <w:szCs w:val="20"/>
              </w:rPr>
            </w:pPr>
            <w:r>
              <w:rPr>
                <w:color w:val="000000"/>
                <w:sz w:val="20"/>
                <w:szCs w:val="20"/>
              </w:rPr>
              <w:t>0.000</w:t>
            </w:r>
          </w:p>
        </w:tc>
      </w:tr>
      <w:tr w:rsidR="00971C94" w14:paraId="2868E20A" w14:textId="77777777" w:rsidTr="00971C94">
        <w:trPr>
          <w:trHeight w:val="260"/>
        </w:trPr>
        <w:tc>
          <w:tcPr>
            <w:tcW w:w="1176" w:type="dxa"/>
            <w:tcBorders>
              <w:top w:val="nil"/>
              <w:left w:val="nil"/>
              <w:bottom w:val="nil"/>
              <w:right w:val="nil"/>
            </w:tcBorders>
            <w:shd w:val="clear" w:color="auto" w:fill="auto"/>
            <w:noWrap/>
            <w:vAlign w:val="bottom"/>
            <w:hideMark/>
          </w:tcPr>
          <w:p w14:paraId="4EF18F58"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151250" w14:textId="77777777" w:rsidR="00971C94" w:rsidRDefault="00971C9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76C5DC1" w14:textId="77777777" w:rsidR="00971C94" w:rsidRDefault="00971C94">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73559505" w14:textId="77777777" w:rsidR="00971C94" w:rsidRDefault="00971C94">
            <w:pPr>
              <w:jc w:val="right"/>
              <w:rPr>
                <w:color w:val="000000"/>
                <w:sz w:val="20"/>
                <w:szCs w:val="20"/>
              </w:rPr>
            </w:pPr>
            <w:r>
              <w:rPr>
                <w:color w:val="000000"/>
                <w:sz w:val="20"/>
                <w:szCs w:val="20"/>
              </w:rPr>
              <w:t>0.629</w:t>
            </w:r>
          </w:p>
        </w:tc>
        <w:tc>
          <w:tcPr>
            <w:tcW w:w="768" w:type="dxa"/>
            <w:tcBorders>
              <w:top w:val="nil"/>
              <w:left w:val="nil"/>
              <w:bottom w:val="nil"/>
              <w:right w:val="nil"/>
            </w:tcBorders>
            <w:shd w:val="clear" w:color="auto" w:fill="auto"/>
            <w:noWrap/>
            <w:vAlign w:val="bottom"/>
            <w:hideMark/>
          </w:tcPr>
          <w:p w14:paraId="3542CDD7"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EDF6FAB" w14:textId="77777777" w:rsidR="00971C94" w:rsidRDefault="00971C94">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3CCBE6A9" w14:textId="77777777" w:rsidR="00971C94" w:rsidRDefault="00971C94">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755CBEAD" w14:textId="77777777" w:rsidR="00971C94" w:rsidRDefault="00971C9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20BF886" w14:textId="77777777" w:rsidR="00971C94" w:rsidRDefault="00971C94">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049E1F5" w14:textId="77777777" w:rsidR="00971C94" w:rsidRDefault="00971C94">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4D6E2D1A"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6C518A9" w14:textId="77777777" w:rsidR="00971C94" w:rsidRDefault="00971C94">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24FD98C" w14:textId="77777777" w:rsidR="00971C94" w:rsidRDefault="00971C94">
            <w:pPr>
              <w:jc w:val="right"/>
              <w:rPr>
                <w:color w:val="000000"/>
                <w:sz w:val="20"/>
                <w:szCs w:val="20"/>
              </w:rPr>
            </w:pPr>
            <w:r>
              <w:rPr>
                <w:color w:val="000000"/>
                <w:sz w:val="20"/>
                <w:szCs w:val="20"/>
              </w:rPr>
              <w:t>0.988</w:t>
            </w:r>
          </w:p>
        </w:tc>
        <w:tc>
          <w:tcPr>
            <w:tcW w:w="768" w:type="dxa"/>
            <w:tcBorders>
              <w:top w:val="nil"/>
              <w:left w:val="nil"/>
              <w:bottom w:val="nil"/>
              <w:right w:val="nil"/>
            </w:tcBorders>
            <w:shd w:val="clear" w:color="auto" w:fill="auto"/>
            <w:noWrap/>
            <w:vAlign w:val="bottom"/>
            <w:hideMark/>
          </w:tcPr>
          <w:p w14:paraId="6C5994A4"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3A84E0A" w14:textId="77777777" w:rsidR="00971C94" w:rsidRDefault="00971C94">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2AC6B638" w14:textId="77777777" w:rsidR="00971C94" w:rsidRDefault="00971C94">
            <w:pPr>
              <w:jc w:val="right"/>
              <w:rPr>
                <w:color w:val="000000"/>
                <w:sz w:val="20"/>
                <w:szCs w:val="20"/>
              </w:rPr>
            </w:pPr>
            <w:r>
              <w:rPr>
                <w:color w:val="000000"/>
                <w:sz w:val="20"/>
                <w:szCs w:val="20"/>
              </w:rPr>
              <w:t>0.541</w:t>
            </w:r>
          </w:p>
        </w:tc>
        <w:tc>
          <w:tcPr>
            <w:tcW w:w="768" w:type="dxa"/>
            <w:tcBorders>
              <w:top w:val="nil"/>
              <w:left w:val="nil"/>
              <w:bottom w:val="nil"/>
              <w:right w:val="nil"/>
            </w:tcBorders>
            <w:shd w:val="clear" w:color="auto" w:fill="auto"/>
            <w:noWrap/>
            <w:vAlign w:val="bottom"/>
            <w:hideMark/>
          </w:tcPr>
          <w:p w14:paraId="24493AFE" w14:textId="77777777" w:rsidR="00971C94" w:rsidRDefault="00971C94">
            <w:pPr>
              <w:jc w:val="right"/>
              <w:rPr>
                <w:color w:val="000000"/>
                <w:sz w:val="20"/>
                <w:szCs w:val="20"/>
              </w:rPr>
            </w:pPr>
            <w:r>
              <w:rPr>
                <w:color w:val="000000"/>
                <w:sz w:val="20"/>
                <w:szCs w:val="20"/>
              </w:rPr>
              <w:t>0.001</w:t>
            </w:r>
          </w:p>
        </w:tc>
      </w:tr>
      <w:tr w:rsidR="00971C94" w14:paraId="38E65240" w14:textId="77777777" w:rsidTr="00971C94">
        <w:trPr>
          <w:trHeight w:val="260"/>
        </w:trPr>
        <w:tc>
          <w:tcPr>
            <w:tcW w:w="1176" w:type="dxa"/>
            <w:tcBorders>
              <w:top w:val="nil"/>
              <w:left w:val="nil"/>
              <w:bottom w:val="single" w:sz="4" w:space="0" w:color="auto"/>
              <w:right w:val="nil"/>
            </w:tcBorders>
            <w:shd w:val="clear" w:color="auto" w:fill="auto"/>
            <w:noWrap/>
            <w:vAlign w:val="bottom"/>
            <w:hideMark/>
          </w:tcPr>
          <w:p w14:paraId="5AB46336" w14:textId="77777777" w:rsidR="00971C94" w:rsidRDefault="00971C94">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54EF6B1" w14:textId="77777777" w:rsidR="00971C94" w:rsidRDefault="00971C94">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15AC99A" w14:textId="77777777" w:rsidR="00971C94" w:rsidRDefault="00971C94">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22F508F7" w14:textId="77777777" w:rsidR="00971C94" w:rsidRDefault="00971C94">
            <w:pPr>
              <w:jc w:val="right"/>
              <w:rPr>
                <w:color w:val="000000"/>
                <w:sz w:val="20"/>
                <w:szCs w:val="20"/>
              </w:rPr>
            </w:pPr>
            <w:r>
              <w:rPr>
                <w:color w:val="000000"/>
                <w:sz w:val="20"/>
                <w:szCs w:val="20"/>
              </w:rPr>
              <w:t>0.629</w:t>
            </w:r>
          </w:p>
        </w:tc>
        <w:tc>
          <w:tcPr>
            <w:tcW w:w="768" w:type="dxa"/>
            <w:tcBorders>
              <w:top w:val="nil"/>
              <w:left w:val="nil"/>
              <w:bottom w:val="single" w:sz="4" w:space="0" w:color="auto"/>
              <w:right w:val="nil"/>
            </w:tcBorders>
            <w:shd w:val="clear" w:color="auto" w:fill="auto"/>
            <w:noWrap/>
            <w:vAlign w:val="bottom"/>
            <w:hideMark/>
          </w:tcPr>
          <w:p w14:paraId="2D65B46A"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1C70154" w14:textId="77777777" w:rsidR="00971C94" w:rsidRDefault="00971C94">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3A8ABD8C" w14:textId="77777777" w:rsidR="00971C94" w:rsidRDefault="00971C94">
            <w:pPr>
              <w:jc w:val="right"/>
              <w:rPr>
                <w:color w:val="000000"/>
                <w:sz w:val="20"/>
                <w:szCs w:val="20"/>
              </w:rPr>
            </w:pPr>
            <w:r>
              <w:rPr>
                <w:color w:val="000000"/>
                <w:sz w:val="20"/>
                <w:szCs w:val="20"/>
              </w:rPr>
              <w:t>0.872</w:t>
            </w:r>
          </w:p>
        </w:tc>
        <w:tc>
          <w:tcPr>
            <w:tcW w:w="768" w:type="dxa"/>
            <w:tcBorders>
              <w:top w:val="nil"/>
              <w:left w:val="nil"/>
              <w:bottom w:val="single" w:sz="4" w:space="0" w:color="auto"/>
              <w:right w:val="nil"/>
            </w:tcBorders>
            <w:shd w:val="clear" w:color="auto" w:fill="auto"/>
            <w:noWrap/>
            <w:vAlign w:val="bottom"/>
            <w:hideMark/>
          </w:tcPr>
          <w:p w14:paraId="77966904"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6047B164" w14:textId="77777777" w:rsidR="00971C94" w:rsidRDefault="00971C94">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396D3BBF" w14:textId="77777777" w:rsidR="00971C94" w:rsidRDefault="00971C94">
            <w:pPr>
              <w:jc w:val="right"/>
              <w:rPr>
                <w:color w:val="000000"/>
                <w:sz w:val="20"/>
                <w:szCs w:val="20"/>
              </w:rPr>
            </w:pPr>
            <w:r>
              <w:rPr>
                <w:color w:val="000000"/>
                <w:sz w:val="20"/>
                <w:szCs w:val="20"/>
              </w:rPr>
              <w:t>0.890</w:t>
            </w:r>
          </w:p>
        </w:tc>
        <w:tc>
          <w:tcPr>
            <w:tcW w:w="768" w:type="dxa"/>
            <w:tcBorders>
              <w:top w:val="nil"/>
              <w:left w:val="nil"/>
              <w:bottom w:val="single" w:sz="4" w:space="0" w:color="auto"/>
              <w:right w:val="nil"/>
            </w:tcBorders>
            <w:shd w:val="clear" w:color="auto" w:fill="auto"/>
            <w:noWrap/>
            <w:vAlign w:val="bottom"/>
            <w:hideMark/>
          </w:tcPr>
          <w:p w14:paraId="2E99CFE0"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DC894C6" w14:textId="77777777" w:rsidR="00971C94" w:rsidRDefault="00971C94">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730045F2" w14:textId="77777777" w:rsidR="00971C94" w:rsidRDefault="00971C94">
            <w:pPr>
              <w:jc w:val="right"/>
              <w:rPr>
                <w:color w:val="000000"/>
                <w:sz w:val="20"/>
                <w:szCs w:val="20"/>
              </w:rPr>
            </w:pPr>
            <w:r>
              <w:rPr>
                <w:color w:val="000000"/>
                <w:sz w:val="20"/>
                <w:szCs w:val="20"/>
              </w:rPr>
              <w:t>0.760</w:t>
            </w:r>
          </w:p>
        </w:tc>
        <w:tc>
          <w:tcPr>
            <w:tcW w:w="768" w:type="dxa"/>
            <w:tcBorders>
              <w:top w:val="nil"/>
              <w:left w:val="nil"/>
              <w:bottom w:val="single" w:sz="4" w:space="0" w:color="auto"/>
              <w:right w:val="nil"/>
            </w:tcBorders>
            <w:shd w:val="clear" w:color="auto" w:fill="auto"/>
            <w:noWrap/>
            <w:vAlign w:val="bottom"/>
            <w:hideMark/>
          </w:tcPr>
          <w:p w14:paraId="6C8842D5"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278D133" w14:textId="77777777" w:rsidR="00971C94" w:rsidRDefault="00971C94">
            <w:pPr>
              <w:jc w:val="right"/>
              <w:rPr>
                <w:color w:val="000000"/>
                <w:sz w:val="20"/>
                <w:szCs w:val="20"/>
              </w:rPr>
            </w:pPr>
            <w:r>
              <w:rPr>
                <w:color w:val="000000"/>
                <w:sz w:val="20"/>
                <w:szCs w:val="20"/>
              </w:rPr>
              <w:t>0.027</w:t>
            </w:r>
          </w:p>
        </w:tc>
        <w:tc>
          <w:tcPr>
            <w:tcW w:w="768" w:type="dxa"/>
            <w:tcBorders>
              <w:top w:val="nil"/>
              <w:left w:val="nil"/>
              <w:bottom w:val="single" w:sz="4" w:space="0" w:color="auto"/>
              <w:right w:val="nil"/>
            </w:tcBorders>
            <w:shd w:val="clear" w:color="auto" w:fill="auto"/>
            <w:noWrap/>
            <w:vAlign w:val="bottom"/>
            <w:hideMark/>
          </w:tcPr>
          <w:p w14:paraId="2FFE7A0E" w14:textId="77777777" w:rsidR="00971C94" w:rsidRDefault="00971C94">
            <w:pPr>
              <w:jc w:val="right"/>
              <w:rPr>
                <w:color w:val="000000"/>
                <w:sz w:val="20"/>
                <w:szCs w:val="20"/>
              </w:rPr>
            </w:pPr>
            <w:r>
              <w:rPr>
                <w:color w:val="000000"/>
                <w:sz w:val="20"/>
                <w:szCs w:val="20"/>
              </w:rPr>
              <w:t>0.664</w:t>
            </w:r>
          </w:p>
        </w:tc>
        <w:tc>
          <w:tcPr>
            <w:tcW w:w="768" w:type="dxa"/>
            <w:tcBorders>
              <w:top w:val="nil"/>
              <w:left w:val="nil"/>
              <w:bottom w:val="single" w:sz="4" w:space="0" w:color="auto"/>
              <w:right w:val="nil"/>
            </w:tcBorders>
            <w:shd w:val="clear" w:color="auto" w:fill="auto"/>
            <w:noWrap/>
            <w:vAlign w:val="bottom"/>
            <w:hideMark/>
          </w:tcPr>
          <w:p w14:paraId="509D2D79" w14:textId="77777777" w:rsidR="00971C94" w:rsidRDefault="00971C94">
            <w:pPr>
              <w:jc w:val="right"/>
              <w:rPr>
                <w:color w:val="000000"/>
                <w:sz w:val="20"/>
                <w:szCs w:val="20"/>
              </w:rPr>
            </w:pPr>
            <w:r>
              <w:rPr>
                <w:color w:val="000000"/>
                <w:sz w:val="20"/>
                <w:szCs w:val="20"/>
              </w:rPr>
              <w:t>0.001</w:t>
            </w:r>
          </w:p>
        </w:tc>
      </w:tr>
      <w:tr w:rsidR="00971C94" w14:paraId="0D8FC72A" w14:textId="77777777" w:rsidTr="00971C94">
        <w:trPr>
          <w:trHeight w:val="260"/>
        </w:trPr>
        <w:tc>
          <w:tcPr>
            <w:tcW w:w="1176" w:type="dxa"/>
            <w:tcBorders>
              <w:top w:val="nil"/>
              <w:left w:val="nil"/>
              <w:bottom w:val="nil"/>
              <w:right w:val="nil"/>
            </w:tcBorders>
            <w:shd w:val="clear" w:color="auto" w:fill="auto"/>
            <w:noWrap/>
            <w:vAlign w:val="bottom"/>
            <w:hideMark/>
          </w:tcPr>
          <w:p w14:paraId="76EE2C2D" w14:textId="77777777" w:rsidR="00971C94" w:rsidRDefault="00971C94">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2A21ACC4" w14:textId="77777777" w:rsidR="00971C94" w:rsidRDefault="00971C94">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8ED9CC3" w14:textId="77777777" w:rsidR="00971C94" w:rsidRDefault="00971C94">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7EA3E291" w14:textId="77777777" w:rsidR="00971C94" w:rsidRDefault="00971C94">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7037CCEF" w14:textId="77777777" w:rsidR="00971C94" w:rsidRDefault="00971C9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7BDDB32" w14:textId="77777777" w:rsidR="00971C94" w:rsidRDefault="00971C9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98ED612" w14:textId="77777777" w:rsidR="00971C94" w:rsidRDefault="00971C94">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37B74043"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292E5F" w14:textId="77777777" w:rsidR="00971C94" w:rsidRDefault="00971C9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2E4B8CC" w14:textId="77777777" w:rsidR="00971C94" w:rsidRDefault="00971C94">
            <w:pPr>
              <w:jc w:val="right"/>
              <w:rPr>
                <w:color w:val="000000"/>
                <w:sz w:val="20"/>
                <w:szCs w:val="20"/>
              </w:rPr>
            </w:pPr>
            <w:r>
              <w:rPr>
                <w:color w:val="000000"/>
                <w:sz w:val="20"/>
                <w:szCs w:val="20"/>
              </w:rPr>
              <w:t>0.849</w:t>
            </w:r>
          </w:p>
        </w:tc>
        <w:tc>
          <w:tcPr>
            <w:tcW w:w="768" w:type="dxa"/>
            <w:tcBorders>
              <w:top w:val="nil"/>
              <w:left w:val="nil"/>
              <w:bottom w:val="nil"/>
              <w:right w:val="nil"/>
            </w:tcBorders>
            <w:shd w:val="clear" w:color="auto" w:fill="auto"/>
            <w:noWrap/>
            <w:vAlign w:val="bottom"/>
            <w:hideMark/>
          </w:tcPr>
          <w:p w14:paraId="3B922C1F"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B37C12" w14:textId="77777777" w:rsidR="00971C94" w:rsidRDefault="00971C94">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0DABC470" w14:textId="77777777" w:rsidR="00971C94" w:rsidRDefault="00971C94">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119BC6F2"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02BE59E" w14:textId="77777777" w:rsidR="00971C94" w:rsidRDefault="00971C9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F149E9D" w14:textId="77777777" w:rsidR="00971C94" w:rsidRDefault="00971C94">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6515BA0F" w14:textId="77777777" w:rsidR="00971C94" w:rsidRDefault="00971C94">
            <w:pPr>
              <w:jc w:val="right"/>
              <w:rPr>
                <w:color w:val="000000"/>
                <w:sz w:val="20"/>
                <w:szCs w:val="20"/>
              </w:rPr>
            </w:pPr>
            <w:r>
              <w:rPr>
                <w:color w:val="000000"/>
                <w:sz w:val="20"/>
                <w:szCs w:val="20"/>
              </w:rPr>
              <w:t>0.000</w:t>
            </w:r>
          </w:p>
        </w:tc>
      </w:tr>
      <w:tr w:rsidR="00971C94" w14:paraId="5BF0E75A" w14:textId="77777777" w:rsidTr="00971C94">
        <w:trPr>
          <w:trHeight w:val="260"/>
        </w:trPr>
        <w:tc>
          <w:tcPr>
            <w:tcW w:w="1176" w:type="dxa"/>
            <w:tcBorders>
              <w:top w:val="nil"/>
              <w:left w:val="nil"/>
              <w:bottom w:val="nil"/>
              <w:right w:val="nil"/>
            </w:tcBorders>
            <w:shd w:val="clear" w:color="auto" w:fill="auto"/>
            <w:noWrap/>
            <w:vAlign w:val="bottom"/>
            <w:hideMark/>
          </w:tcPr>
          <w:p w14:paraId="5FD85772"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99F8B4E" w14:textId="77777777" w:rsidR="00971C94" w:rsidRDefault="00971C9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8AFEF79" w14:textId="77777777" w:rsidR="00971C94" w:rsidRDefault="00971C9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082E161" w14:textId="77777777" w:rsidR="00971C94" w:rsidRDefault="00971C94">
            <w:pPr>
              <w:jc w:val="right"/>
              <w:rPr>
                <w:color w:val="000000"/>
                <w:sz w:val="20"/>
                <w:szCs w:val="20"/>
              </w:rPr>
            </w:pPr>
            <w:r>
              <w:rPr>
                <w:color w:val="000000"/>
                <w:sz w:val="20"/>
                <w:szCs w:val="20"/>
              </w:rPr>
              <w:t>0.794</w:t>
            </w:r>
          </w:p>
        </w:tc>
        <w:tc>
          <w:tcPr>
            <w:tcW w:w="768" w:type="dxa"/>
            <w:tcBorders>
              <w:top w:val="nil"/>
              <w:left w:val="nil"/>
              <w:bottom w:val="nil"/>
              <w:right w:val="nil"/>
            </w:tcBorders>
            <w:shd w:val="clear" w:color="auto" w:fill="auto"/>
            <w:noWrap/>
            <w:vAlign w:val="bottom"/>
            <w:hideMark/>
          </w:tcPr>
          <w:p w14:paraId="580D19B5"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A01BEF" w14:textId="77777777" w:rsidR="00971C94" w:rsidRDefault="00971C94">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E5C57DE" w14:textId="77777777" w:rsidR="00971C94" w:rsidRDefault="00971C94">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17A3DAC2"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0C08AA" w14:textId="77777777" w:rsidR="00971C94" w:rsidRDefault="00971C94">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CB52079" w14:textId="77777777" w:rsidR="00971C94" w:rsidRDefault="00971C94">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2BAB9D12"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1B59094" w14:textId="77777777" w:rsidR="00971C94" w:rsidRDefault="00971C94">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5D78842F" w14:textId="77777777" w:rsidR="00971C94" w:rsidRDefault="00971C94">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7373FA2E"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351A142" w14:textId="77777777" w:rsidR="00971C94" w:rsidRDefault="00971C94">
            <w:pPr>
              <w:jc w:val="right"/>
              <w:rPr>
                <w:b/>
                <w:bCs/>
                <w:color w:val="000000"/>
                <w:sz w:val="20"/>
                <w:szCs w:val="20"/>
              </w:rPr>
            </w:pPr>
            <w:r>
              <w:rPr>
                <w:b/>
                <w:bCs/>
                <w:color w:val="000000"/>
                <w:sz w:val="20"/>
                <w:szCs w:val="20"/>
              </w:rPr>
              <w:t>-0.124</w:t>
            </w:r>
          </w:p>
        </w:tc>
        <w:tc>
          <w:tcPr>
            <w:tcW w:w="768" w:type="dxa"/>
            <w:tcBorders>
              <w:top w:val="nil"/>
              <w:left w:val="nil"/>
              <w:bottom w:val="nil"/>
              <w:right w:val="nil"/>
            </w:tcBorders>
            <w:shd w:val="clear" w:color="auto" w:fill="auto"/>
            <w:noWrap/>
            <w:vAlign w:val="bottom"/>
            <w:hideMark/>
          </w:tcPr>
          <w:p w14:paraId="2DA44635" w14:textId="77777777" w:rsidR="00971C94" w:rsidRDefault="00971C94">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122621F1" w14:textId="77777777" w:rsidR="00971C94" w:rsidRDefault="00971C94">
            <w:pPr>
              <w:jc w:val="right"/>
              <w:rPr>
                <w:b/>
                <w:bCs/>
                <w:color w:val="000000"/>
                <w:sz w:val="20"/>
                <w:szCs w:val="20"/>
              </w:rPr>
            </w:pPr>
            <w:r>
              <w:rPr>
                <w:b/>
                <w:bCs/>
                <w:color w:val="000000"/>
                <w:sz w:val="20"/>
                <w:szCs w:val="20"/>
              </w:rPr>
              <w:t>0.015</w:t>
            </w:r>
          </w:p>
        </w:tc>
      </w:tr>
      <w:tr w:rsidR="00971C94" w14:paraId="70AD84C6" w14:textId="77777777" w:rsidTr="00971C94">
        <w:trPr>
          <w:trHeight w:val="260"/>
        </w:trPr>
        <w:tc>
          <w:tcPr>
            <w:tcW w:w="1176" w:type="dxa"/>
            <w:tcBorders>
              <w:top w:val="nil"/>
              <w:left w:val="nil"/>
              <w:bottom w:val="nil"/>
              <w:right w:val="nil"/>
            </w:tcBorders>
            <w:shd w:val="clear" w:color="auto" w:fill="auto"/>
            <w:noWrap/>
            <w:vAlign w:val="bottom"/>
            <w:hideMark/>
          </w:tcPr>
          <w:p w14:paraId="43E84881" w14:textId="77777777" w:rsidR="00971C94" w:rsidRDefault="00971C94">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41324A6A" w14:textId="77777777" w:rsidR="00971C94" w:rsidRDefault="00971C9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15D9E46" w14:textId="77777777" w:rsidR="00971C94" w:rsidRDefault="00971C94">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F8DAE22" w14:textId="77777777" w:rsidR="00971C94" w:rsidRDefault="00971C94">
            <w:pPr>
              <w:jc w:val="right"/>
              <w:rPr>
                <w:color w:val="000000"/>
                <w:sz w:val="20"/>
                <w:szCs w:val="20"/>
              </w:rPr>
            </w:pPr>
            <w:r>
              <w:rPr>
                <w:color w:val="000000"/>
                <w:sz w:val="20"/>
                <w:szCs w:val="20"/>
              </w:rPr>
              <w:t>0.794</w:t>
            </w:r>
          </w:p>
        </w:tc>
        <w:tc>
          <w:tcPr>
            <w:tcW w:w="768" w:type="dxa"/>
            <w:tcBorders>
              <w:top w:val="nil"/>
              <w:left w:val="nil"/>
              <w:bottom w:val="nil"/>
              <w:right w:val="nil"/>
            </w:tcBorders>
            <w:shd w:val="clear" w:color="auto" w:fill="auto"/>
            <w:noWrap/>
            <w:vAlign w:val="bottom"/>
            <w:hideMark/>
          </w:tcPr>
          <w:p w14:paraId="395E2BDD"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C58B22" w14:textId="77777777" w:rsidR="00971C94" w:rsidRDefault="00971C94">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71778CFC" w14:textId="77777777" w:rsidR="00971C94" w:rsidRDefault="00971C94">
            <w:pPr>
              <w:jc w:val="right"/>
              <w:rPr>
                <w:color w:val="000000"/>
                <w:sz w:val="20"/>
                <w:szCs w:val="20"/>
              </w:rPr>
            </w:pPr>
            <w:r>
              <w:rPr>
                <w:color w:val="000000"/>
                <w:sz w:val="20"/>
                <w:szCs w:val="20"/>
              </w:rPr>
              <w:t>0.448</w:t>
            </w:r>
          </w:p>
        </w:tc>
        <w:tc>
          <w:tcPr>
            <w:tcW w:w="768" w:type="dxa"/>
            <w:tcBorders>
              <w:top w:val="nil"/>
              <w:left w:val="nil"/>
              <w:bottom w:val="nil"/>
              <w:right w:val="nil"/>
            </w:tcBorders>
            <w:shd w:val="clear" w:color="auto" w:fill="auto"/>
            <w:noWrap/>
            <w:vAlign w:val="bottom"/>
            <w:hideMark/>
          </w:tcPr>
          <w:p w14:paraId="1268A6A5" w14:textId="77777777" w:rsidR="00971C94" w:rsidRDefault="00971C9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3CDCE99" w14:textId="77777777" w:rsidR="00971C94" w:rsidRDefault="00971C94">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197BA870" w14:textId="77777777" w:rsidR="00971C94" w:rsidRDefault="00971C94">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37F996E5"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D1EB098" w14:textId="77777777" w:rsidR="00971C94" w:rsidRDefault="00971C94">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D69BC85" w14:textId="77777777" w:rsidR="00971C94" w:rsidRDefault="00971C94">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7C71F32F"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8B4D1B" w14:textId="77777777" w:rsidR="00971C94" w:rsidRDefault="00971C94">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D19E88B" w14:textId="77777777" w:rsidR="00971C94" w:rsidRDefault="00971C94">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35FAC6E8" w14:textId="77777777" w:rsidR="00971C94" w:rsidRDefault="00971C94">
            <w:pPr>
              <w:jc w:val="right"/>
              <w:rPr>
                <w:color w:val="000000"/>
                <w:sz w:val="20"/>
                <w:szCs w:val="20"/>
              </w:rPr>
            </w:pPr>
            <w:r>
              <w:rPr>
                <w:color w:val="000000"/>
                <w:sz w:val="20"/>
                <w:szCs w:val="20"/>
              </w:rPr>
              <w:t>0.000</w:t>
            </w:r>
          </w:p>
        </w:tc>
      </w:tr>
      <w:tr w:rsidR="00971C94" w14:paraId="78CA3976" w14:textId="77777777" w:rsidTr="00971C94">
        <w:trPr>
          <w:trHeight w:val="260"/>
        </w:trPr>
        <w:tc>
          <w:tcPr>
            <w:tcW w:w="1176" w:type="dxa"/>
            <w:tcBorders>
              <w:top w:val="nil"/>
              <w:left w:val="nil"/>
              <w:bottom w:val="nil"/>
              <w:right w:val="nil"/>
            </w:tcBorders>
            <w:shd w:val="clear" w:color="auto" w:fill="auto"/>
            <w:noWrap/>
            <w:vAlign w:val="bottom"/>
            <w:hideMark/>
          </w:tcPr>
          <w:p w14:paraId="4BCB9F9B"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DB6EAED" w14:textId="77777777" w:rsidR="00971C94" w:rsidRDefault="00971C9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D5F7C56" w14:textId="77777777" w:rsidR="00971C94" w:rsidRDefault="00971C9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331BAD8" w14:textId="77777777" w:rsidR="00971C94" w:rsidRDefault="00971C94">
            <w:pPr>
              <w:jc w:val="right"/>
              <w:rPr>
                <w:color w:val="000000"/>
                <w:sz w:val="20"/>
                <w:szCs w:val="20"/>
              </w:rPr>
            </w:pPr>
            <w:r>
              <w:rPr>
                <w:color w:val="000000"/>
                <w:sz w:val="20"/>
                <w:szCs w:val="20"/>
              </w:rPr>
              <w:t>0.820</w:t>
            </w:r>
          </w:p>
        </w:tc>
        <w:tc>
          <w:tcPr>
            <w:tcW w:w="768" w:type="dxa"/>
            <w:tcBorders>
              <w:top w:val="nil"/>
              <w:left w:val="nil"/>
              <w:bottom w:val="nil"/>
              <w:right w:val="nil"/>
            </w:tcBorders>
            <w:shd w:val="clear" w:color="auto" w:fill="auto"/>
            <w:noWrap/>
            <w:vAlign w:val="bottom"/>
            <w:hideMark/>
          </w:tcPr>
          <w:p w14:paraId="05D9D4E0"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C85824" w14:textId="77777777" w:rsidR="00971C94" w:rsidRDefault="00971C94">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70EA0A7B" w14:textId="77777777" w:rsidR="00971C94" w:rsidRDefault="00971C94">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5DA113BB"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7EE14D" w14:textId="77777777" w:rsidR="00971C94" w:rsidRDefault="00971C94">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2995FDD2" w14:textId="77777777" w:rsidR="00971C94" w:rsidRDefault="00971C94">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7A3739A0"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3AAB53F" w14:textId="77777777" w:rsidR="00971C94" w:rsidRPr="00652C69" w:rsidRDefault="00971C94">
            <w:pPr>
              <w:jc w:val="right"/>
              <w:rPr>
                <w:color w:val="000000"/>
                <w:sz w:val="20"/>
                <w:szCs w:val="20"/>
              </w:rPr>
            </w:pPr>
            <w:r w:rsidRPr="00652C69">
              <w:rPr>
                <w:color w:val="000000"/>
                <w:sz w:val="20"/>
                <w:szCs w:val="20"/>
              </w:rPr>
              <w:t>-0.089</w:t>
            </w:r>
          </w:p>
        </w:tc>
        <w:tc>
          <w:tcPr>
            <w:tcW w:w="768" w:type="dxa"/>
            <w:tcBorders>
              <w:top w:val="nil"/>
              <w:left w:val="nil"/>
              <w:bottom w:val="nil"/>
              <w:right w:val="nil"/>
            </w:tcBorders>
            <w:shd w:val="clear" w:color="auto" w:fill="auto"/>
            <w:noWrap/>
            <w:vAlign w:val="bottom"/>
            <w:hideMark/>
          </w:tcPr>
          <w:p w14:paraId="36F8111F" w14:textId="77777777" w:rsidR="00971C94" w:rsidRPr="00652C69" w:rsidRDefault="00971C94">
            <w:pPr>
              <w:jc w:val="right"/>
              <w:rPr>
                <w:color w:val="000000"/>
                <w:sz w:val="20"/>
                <w:szCs w:val="20"/>
              </w:rPr>
            </w:pPr>
            <w:r w:rsidRPr="00652C69">
              <w:rPr>
                <w:color w:val="000000"/>
                <w:sz w:val="20"/>
                <w:szCs w:val="20"/>
              </w:rPr>
              <w:t>0.056</w:t>
            </w:r>
          </w:p>
        </w:tc>
        <w:tc>
          <w:tcPr>
            <w:tcW w:w="768" w:type="dxa"/>
            <w:tcBorders>
              <w:top w:val="nil"/>
              <w:left w:val="nil"/>
              <w:bottom w:val="nil"/>
              <w:right w:val="nil"/>
            </w:tcBorders>
            <w:shd w:val="clear" w:color="auto" w:fill="auto"/>
            <w:noWrap/>
            <w:vAlign w:val="bottom"/>
            <w:hideMark/>
          </w:tcPr>
          <w:p w14:paraId="65B5A6EE" w14:textId="77777777" w:rsidR="00971C94" w:rsidRPr="00652C69" w:rsidRDefault="00971C94">
            <w:pPr>
              <w:jc w:val="right"/>
              <w:rPr>
                <w:color w:val="000000"/>
                <w:sz w:val="20"/>
                <w:szCs w:val="20"/>
              </w:rPr>
            </w:pPr>
            <w:r w:rsidRPr="00652C69">
              <w:rPr>
                <w:color w:val="000000"/>
                <w:sz w:val="20"/>
                <w:szCs w:val="20"/>
              </w:rPr>
              <w:t>0.008</w:t>
            </w:r>
          </w:p>
        </w:tc>
        <w:tc>
          <w:tcPr>
            <w:tcW w:w="768" w:type="dxa"/>
            <w:tcBorders>
              <w:top w:val="nil"/>
              <w:left w:val="nil"/>
              <w:bottom w:val="nil"/>
              <w:right w:val="nil"/>
            </w:tcBorders>
            <w:shd w:val="clear" w:color="auto" w:fill="auto"/>
            <w:noWrap/>
            <w:vAlign w:val="bottom"/>
            <w:hideMark/>
          </w:tcPr>
          <w:p w14:paraId="04D1DC0B" w14:textId="77777777" w:rsidR="00971C94" w:rsidRDefault="00971C94">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01F354D6" w14:textId="77777777" w:rsidR="00971C94" w:rsidRDefault="00971C94">
            <w:pPr>
              <w:jc w:val="right"/>
              <w:rPr>
                <w:color w:val="000000"/>
                <w:sz w:val="20"/>
                <w:szCs w:val="20"/>
              </w:rPr>
            </w:pPr>
            <w:r>
              <w:rPr>
                <w:color w:val="000000"/>
                <w:sz w:val="20"/>
                <w:szCs w:val="20"/>
              </w:rPr>
              <w:t>0.314</w:t>
            </w:r>
          </w:p>
        </w:tc>
        <w:tc>
          <w:tcPr>
            <w:tcW w:w="768" w:type="dxa"/>
            <w:tcBorders>
              <w:top w:val="nil"/>
              <w:left w:val="nil"/>
              <w:bottom w:val="nil"/>
              <w:right w:val="nil"/>
            </w:tcBorders>
            <w:shd w:val="clear" w:color="auto" w:fill="auto"/>
            <w:noWrap/>
            <w:vAlign w:val="bottom"/>
            <w:hideMark/>
          </w:tcPr>
          <w:p w14:paraId="6F0A4A1D" w14:textId="77777777" w:rsidR="00971C94" w:rsidRDefault="00971C94">
            <w:pPr>
              <w:jc w:val="right"/>
              <w:rPr>
                <w:color w:val="000000"/>
                <w:sz w:val="20"/>
                <w:szCs w:val="20"/>
              </w:rPr>
            </w:pPr>
            <w:r>
              <w:rPr>
                <w:color w:val="000000"/>
                <w:sz w:val="20"/>
                <w:szCs w:val="20"/>
              </w:rPr>
              <w:t>0.003</w:t>
            </w:r>
          </w:p>
        </w:tc>
      </w:tr>
      <w:tr w:rsidR="00971C94" w14:paraId="2CA5F197" w14:textId="77777777" w:rsidTr="00971C94">
        <w:trPr>
          <w:trHeight w:val="260"/>
        </w:trPr>
        <w:tc>
          <w:tcPr>
            <w:tcW w:w="1176" w:type="dxa"/>
            <w:tcBorders>
              <w:top w:val="nil"/>
              <w:left w:val="nil"/>
              <w:bottom w:val="nil"/>
              <w:right w:val="nil"/>
            </w:tcBorders>
            <w:shd w:val="clear" w:color="auto" w:fill="auto"/>
            <w:noWrap/>
            <w:vAlign w:val="bottom"/>
            <w:hideMark/>
          </w:tcPr>
          <w:p w14:paraId="010B6F9D"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EC5845F" w14:textId="77777777" w:rsidR="00971C94" w:rsidRDefault="00971C9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A73FC0A" w14:textId="77777777" w:rsidR="00971C94" w:rsidRDefault="00971C94">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7E98F491" w14:textId="77777777" w:rsidR="00971C94" w:rsidRDefault="00971C94">
            <w:pPr>
              <w:jc w:val="right"/>
              <w:rPr>
                <w:color w:val="000000"/>
                <w:sz w:val="20"/>
                <w:szCs w:val="20"/>
              </w:rPr>
            </w:pPr>
            <w:r>
              <w:rPr>
                <w:color w:val="000000"/>
                <w:sz w:val="20"/>
                <w:szCs w:val="20"/>
              </w:rPr>
              <w:t>0.794</w:t>
            </w:r>
          </w:p>
        </w:tc>
        <w:tc>
          <w:tcPr>
            <w:tcW w:w="768" w:type="dxa"/>
            <w:tcBorders>
              <w:top w:val="nil"/>
              <w:left w:val="nil"/>
              <w:bottom w:val="nil"/>
              <w:right w:val="nil"/>
            </w:tcBorders>
            <w:shd w:val="clear" w:color="auto" w:fill="auto"/>
            <w:noWrap/>
            <w:vAlign w:val="bottom"/>
            <w:hideMark/>
          </w:tcPr>
          <w:p w14:paraId="4CEB5A9B"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FFD6EE" w14:textId="77777777" w:rsidR="00971C94" w:rsidRDefault="00971C94">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20E55483" w14:textId="77777777" w:rsidR="00971C94" w:rsidRDefault="00971C94">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18E7D65F"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17B782" w14:textId="77777777" w:rsidR="00971C94" w:rsidRDefault="00971C94">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5E7A428" w14:textId="77777777" w:rsidR="00971C94" w:rsidRDefault="00971C94">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329179A2"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F4134C" w14:textId="77777777" w:rsidR="00971C94" w:rsidRDefault="00971C94">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B94FD1C" w14:textId="77777777" w:rsidR="00971C94" w:rsidRDefault="00971C94">
            <w:pPr>
              <w:jc w:val="right"/>
              <w:rPr>
                <w:color w:val="000000"/>
                <w:sz w:val="20"/>
                <w:szCs w:val="20"/>
              </w:rPr>
            </w:pPr>
            <w:r>
              <w:rPr>
                <w:color w:val="000000"/>
                <w:sz w:val="20"/>
                <w:szCs w:val="20"/>
              </w:rPr>
              <w:t>0.816</w:t>
            </w:r>
          </w:p>
        </w:tc>
        <w:tc>
          <w:tcPr>
            <w:tcW w:w="768" w:type="dxa"/>
            <w:tcBorders>
              <w:top w:val="nil"/>
              <w:left w:val="nil"/>
              <w:bottom w:val="nil"/>
              <w:right w:val="nil"/>
            </w:tcBorders>
            <w:shd w:val="clear" w:color="auto" w:fill="auto"/>
            <w:noWrap/>
            <w:vAlign w:val="bottom"/>
            <w:hideMark/>
          </w:tcPr>
          <w:p w14:paraId="7DBF0558"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3CE992" w14:textId="77777777" w:rsidR="00971C94" w:rsidRDefault="00971C94">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4FD94F65" w14:textId="77777777" w:rsidR="00971C94" w:rsidRDefault="00971C94">
            <w:pPr>
              <w:jc w:val="right"/>
              <w:rPr>
                <w:color w:val="000000"/>
                <w:sz w:val="20"/>
                <w:szCs w:val="20"/>
              </w:rPr>
            </w:pPr>
            <w:r>
              <w:rPr>
                <w:color w:val="000000"/>
                <w:sz w:val="20"/>
                <w:szCs w:val="20"/>
              </w:rPr>
              <w:t>0.314</w:t>
            </w:r>
          </w:p>
        </w:tc>
        <w:tc>
          <w:tcPr>
            <w:tcW w:w="768" w:type="dxa"/>
            <w:tcBorders>
              <w:top w:val="nil"/>
              <w:left w:val="nil"/>
              <w:bottom w:val="nil"/>
              <w:right w:val="nil"/>
            </w:tcBorders>
            <w:shd w:val="clear" w:color="auto" w:fill="auto"/>
            <w:noWrap/>
            <w:vAlign w:val="bottom"/>
            <w:hideMark/>
          </w:tcPr>
          <w:p w14:paraId="5EC7A8DC" w14:textId="77777777" w:rsidR="00971C94" w:rsidRDefault="00971C94">
            <w:pPr>
              <w:jc w:val="right"/>
              <w:rPr>
                <w:color w:val="000000"/>
                <w:sz w:val="20"/>
                <w:szCs w:val="20"/>
              </w:rPr>
            </w:pPr>
            <w:r>
              <w:rPr>
                <w:color w:val="000000"/>
                <w:sz w:val="20"/>
                <w:szCs w:val="20"/>
              </w:rPr>
              <w:t>0.002</w:t>
            </w:r>
          </w:p>
        </w:tc>
      </w:tr>
      <w:tr w:rsidR="00971C94" w14:paraId="6282E200" w14:textId="77777777" w:rsidTr="00971C94">
        <w:trPr>
          <w:trHeight w:val="260"/>
        </w:trPr>
        <w:tc>
          <w:tcPr>
            <w:tcW w:w="1176" w:type="dxa"/>
            <w:tcBorders>
              <w:top w:val="nil"/>
              <w:left w:val="nil"/>
              <w:bottom w:val="nil"/>
              <w:right w:val="nil"/>
            </w:tcBorders>
            <w:shd w:val="clear" w:color="auto" w:fill="auto"/>
            <w:noWrap/>
            <w:vAlign w:val="bottom"/>
            <w:hideMark/>
          </w:tcPr>
          <w:p w14:paraId="7531F662"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C60737" w14:textId="77777777" w:rsidR="00971C94" w:rsidRDefault="00971C9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00F74F8" w14:textId="77777777" w:rsidR="00971C94" w:rsidRDefault="00971C94">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6C06F31B" w14:textId="77777777" w:rsidR="00971C94" w:rsidRDefault="00971C94">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61A948AC" w14:textId="77777777" w:rsidR="00971C94" w:rsidRDefault="00971C9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655CB52" w14:textId="77777777" w:rsidR="00971C94" w:rsidRDefault="00971C94">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1465E4A7" w14:textId="77777777" w:rsidR="00971C94" w:rsidRDefault="00971C94">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2401A8AC"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EB08554" w14:textId="77777777" w:rsidR="00971C94" w:rsidRDefault="00971C94">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04F7E639" w14:textId="77777777" w:rsidR="00971C94" w:rsidRDefault="00971C94">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3547D22E"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F56EE67" w14:textId="77777777" w:rsidR="00971C94" w:rsidRDefault="00971C9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504A807" w14:textId="77777777" w:rsidR="00971C94" w:rsidRDefault="00971C94">
            <w:pPr>
              <w:jc w:val="right"/>
              <w:rPr>
                <w:color w:val="000000"/>
                <w:sz w:val="20"/>
                <w:szCs w:val="20"/>
              </w:rPr>
            </w:pPr>
            <w:r>
              <w:rPr>
                <w:color w:val="000000"/>
                <w:sz w:val="20"/>
                <w:szCs w:val="20"/>
              </w:rPr>
              <w:t>0.816</w:t>
            </w:r>
          </w:p>
        </w:tc>
        <w:tc>
          <w:tcPr>
            <w:tcW w:w="768" w:type="dxa"/>
            <w:tcBorders>
              <w:top w:val="nil"/>
              <w:left w:val="nil"/>
              <w:bottom w:val="nil"/>
              <w:right w:val="nil"/>
            </w:tcBorders>
            <w:shd w:val="clear" w:color="auto" w:fill="auto"/>
            <w:noWrap/>
            <w:vAlign w:val="bottom"/>
            <w:hideMark/>
          </w:tcPr>
          <w:p w14:paraId="7EAF00BC"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BC3797" w14:textId="77777777" w:rsidR="00971C94" w:rsidRDefault="00971C94">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1AD691B" w14:textId="77777777" w:rsidR="00971C94" w:rsidRDefault="00971C94">
            <w:pPr>
              <w:jc w:val="right"/>
              <w:rPr>
                <w:color w:val="000000"/>
                <w:sz w:val="20"/>
                <w:szCs w:val="20"/>
              </w:rPr>
            </w:pPr>
            <w:r>
              <w:rPr>
                <w:color w:val="000000"/>
                <w:sz w:val="20"/>
                <w:szCs w:val="20"/>
              </w:rPr>
              <w:t>0.774</w:t>
            </w:r>
          </w:p>
        </w:tc>
        <w:tc>
          <w:tcPr>
            <w:tcW w:w="768" w:type="dxa"/>
            <w:tcBorders>
              <w:top w:val="nil"/>
              <w:left w:val="nil"/>
              <w:bottom w:val="nil"/>
              <w:right w:val="nil"/>
            </w:tcBorders>
            <w:shd w:val="clear" w:color="auto" w:fill="auto"/>
            <w:noWrap/>
            <w:vAlign w:val="bottom"/>
            <w:hideMark/>
          </w:tcPr>
          <w:p w14:paraId="34A61510" w14:textId="77777777" w:rsidR="00971C94" w:rsidRDefault="00971C94">
            <w:pPr>
              <w:jc w:val="right"/>
              <w:rPr>
                <w:color w:val="000000"/>
                <w:sz w:val="20"/>
                <w:szCs w:val="20"/>
              </w:rPr>
            </w:pPr>
            <w:r>
              <w:rPr>
                <w:color w:val="000000"/>
                <w:sz w:val="20"/>
                <w:szCs w:val="20"/>
              </w:rPr>
              <w:t>0.000</w:t>
            </w:r>
          </w:p>
        </w:tc>
      </w:tr>
      <w:tr w:rsidR="00971C94" w14:paraId="7470BBCC" w14:textId="77777777" w:rsidTr="00971C94">
        <w:trPr>
          <w:trHeight w:val="260"/>
        </w:trPr>
        <w:tc>
          <w:tcPr>
            <w:tcW w:w="1176" w:type="dxa"/>
            <w:tcBorders>
              <w:top w:val="nil"/>
              <w:left w:val="nil"/>
              <w:bottom w:val="nil"/>
              <w:right w:val="nil"/>
            </w:tcBorders>
            <w:shd w:val="clear" w:color="auto" w:fill="auto"/>
            <w:noWrap/>
            <w:vAlign w:val="bottom"/>
            <w:hideMark/>
          </w:tcPr>
          <w:p w14:paraId="5224F603"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EFEAD06" w14:textId="77777777" w:rsidR="00971C94" w:rsidRDefault="00971C9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B40BA83" w14:textId="77777777" w:rsidR="00971C94" w:rsidRDefault="00971C94">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3D400CD4" w14:textId="77777777" w:rsidR="00971C94" w:rsidRDefault="00971C94">
            <w:pPr>
              <w:jc w:val="right"/>
              <w:rPr>
                <w:color w:val="000000"/>
                <w:sz w:val="20"/>
                <w:szCs w:val="20"/>
              </w:rPr>
            </w:pPr>
            <w:r>
              <w:rPr>
                <w:color w:val="000000"/>
                <w:sz w:val="20"/>
                <w:szCs w:val="20"/>
              </w:rPr>
              <w:t>0.794</w:t>
            </w:r>
          </w:p>
        </w:tc>
        <w:tc>
          <w:tcPr>
            <w:tcW w:w="768" w:type="dxa"/>
            <w:tcBorders>
              <w:top w:val="nil"/>
              <w:left w:val="nil"/>
              <w:bottom w:val="nil"/>
              <w:right w:val="nil"/>
            </w:tcBorders>
            <w:shd w:val="clear" w:color="auto" w:fill="auto"/>
            <w:noWrap/>
            <w:vAlign w:val="bottom"/>
            <w:hideMark/>
          </w:tcPr>
          <w:p w14:paraId="5D3907AA"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E7FF1D" w14:textId="77777777" w:rsidR="00971C94" w:rsidRDefault="00971C94">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232ED21" w14:textId="77777777" w:rsidR="00971C94" w:rsidRDefault="00971C94">
            <w:pPr>
              <w:jc w:val="right"/>
              <w:rPr>
                <w:color w:val="000000"/>
                <w:sz w:val="20"/>
                <w:szCs w:val="20"/>
              </w:rPr>
            </w:pPr>
            <w:r>
              <w:rPr>
                <w:color w:val="000000"/>
                <w:sz w:val="20"/>
                <w:szCs w:val="20"/>
              </w:rPr>
              <w:t>0.808</w:t>
            </w:r>
          </w:p>
        </w:tc>
        <w:tc>
          <w:tcPr>
            <w:tcW w:w="768" w:type="dxa"/>
            <w:tcBorders>
              <w:top w:val="nil"/>
              <w:left w:val="nil"/>
              <w:bottom w:val="nil"/>
              <w:right w:val="nil"/>
            </w:tcBorders>
            <w:shd w:val="clear" w:color="auto" w:fill="auto"/>
            <w:noWrap/>
            <w:vAlign w:val="bottom"/>
            <w:hideMark/>
          </w:tcPr>
          <w:p w14:paraId="66BFCC8C"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171496"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B7DB6C0" w14:textId="77777777" w:rsidR="00971C94" w:rsidRDefault="00971C94">
            <w:pPr>
              <w:jc w:val="right"/>
              <w:rPr>
                <w:color w:val="000000"/>
                <w:sz w:val="20"/>
                <w:szCs w:val="20"/>
              </w:rPr>
            </w:pPr>
            <w:r>
              <w:rPr>
                <w:color w:val="000000"/>
                <w:sz w:val="20"/>
                <w:szCs w:val="20"/>
              </w:rPr>
              <w:t>0.965</w:t>
            </w:r>
          </w:p>
        </w:tc>
        <w:tc>
          <w:tcPr>
            <w:tcW w:w="768" w:type="dxa"/>
            <w:tcBorders>
              <w:top w:val="nil"/>
              <w:left w:val="nil"/>
              <w:bottom w:val="nil"/>
              <w:right w:val="nil"/>
            </w:tcBorders>
            <w:shd w:val="clear" w:color="auto" w:fill="auto"/>
            <w:noWrap/>
            <w:vAlign w:val="bottom"/>
            <w:hideMark/>
          </w:tcPr>
          <w:p w14:paraId="20D8D20C"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8FED839" w14:textId="77777777" w:rsidR="00971C94" w:rsidRDefault="00971C94">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3B9CF96" w14:textId="77777777" w:rsidR="00971C94" w:rsidRDefault="00971C94">
            <w:pPr>
              <w:jc w:val="right"/>
              <w:rPr>
                <w:color w:val="000000"/>
                <w:sz w:val="20"/>
                <w:szCs w:val="20"/>
              </w:rPr>
            </w:pPr>
            <w:r>
              <w:rPr>
                <w:color w:val="000000"/>
                <w:sz w:val="20"/>
                <w:szCs w:val="20"/>
              </w:rPr>
              <w:t>0.667</w:t>
            </w:r>
          </w:p>
        </w:tc>
        <w:tc>
          <w:tcPr>
            <w:tcW w:w="768" w:type="dxa"/>
            <w:tcBorders>
              <w:top w:val="nil"/>
              <w:left w:val="nil"/>
              <w:bottom w:val="nil"/>
              <w:right w:val="nil"/>
            </w:tcBorders>
            <w:shd w:val="clear" w:color="auto" w:fill="auto"/>
            <w:noWrap/>
            <w:vAlign w:val="bottom"/>
            <w:hideMark/>
          </w:tcPr>
          <w:p w14:paraId="2A5D6EE8"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7483B6" w14:textId="77777777" w:rsidR="00971C94" w:rsidRDefault="00971C94">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9EDB741" w14:textId="77777777" w:rsidR="00971C94" w:rsidRDefault="00971C94">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0F9C2629" w14:textId="77777777" w:rsidR="00971C94" w:rsidRDefault="00971C94">
            <w:pPr>
              <w:jc w:val="right"/>
              <w:rPr>
                <w:color w:val="000000"/>
                <w:sz w:val="20"/>
                <w:szCs w:val="20"/>
              </w:rPr>
            </w:pPr>
            <w:r>
              <w:rPr>
                <w:color w:val="000000"/>
                <w:sz w:val="20"/>
                <w:szCs w:val="20"/>
              </w:rPr>
              <w:t>0.001</w:t>
            </w:r>
          </w:p>
        </w:tc>
      </w:tr>
      <w:tr w:rsidR="00971C94" w14:paraId="1D2A949D" w14:textId="77777777" w:rsidTr="00971C94">
        <w:trPr>
          <w:trHeight w:val="260"/>
        </w:trPr>
        <w:tc>
          <w:tcPr>
            <w:tcW w:w="1176" w:type="dxa"/>
            <w:tcBorders>
              <w:top w:val="nil"/>
              <w:left w:val="nil"/>
              <w:bottom w:val="single" w:sz="4" w:space="0" w:color="auto"/>
              <w:right w:val="nil"/>
            </w:tcBorders>
            <w:shd w:val="clear" w:color="auto" w:fill="auto"/>
            <w:noWrap/>
            <w:vAlign w:val="bottom"/>
            <w:hideMark/>
          </w:tcPr>
          <w:p w14:paraId="23E17733" w14:textId="77777777" w:rsidR="00971C94" w:rsidRDefault="00971C94">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BA69D32" w14:textId="77777777" w:rsidR="00971C94" w:rsidRDefault="00971C94">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1E94D72" w14:textId="77777777" w:rsidR="00971C94" w:rsidRDefault="00971C94">
            <w:pPr>
              <w:jc w:val="right"/>
              <w:rPr>
                <w:color w:val="000000"/>
                <w:sz w:val="20"/>
                <w:szCs w:val="20"/>
              </w:rPr>
            </w:pPr>
            <w:r>
              <w:rPr>
                <w:color w:val="000000"/>
                <w:sz w:val="20"/>
                <w:szCs w:val="20"/>
              </w:rPr>
              <w:t>-0.050</w:t>
            </w:r>
          </w:p>
        </w:tc>
        <w:tc>
          <w:tcPr>
            <w:tcW w:w="768" w:type="dxa"/>
            <w:tcBorders>
              <w:top w:val="nil"/>
              <w:left w:val="nil"/>
              <w:bottom w:val="single" w:sz="4" w:space="0" w:color="auto"/>
              <w:right w:val="nil"/>
            </w:tcBorders>
            <w:shd w:val="clear" w:color="auto" w:fill="auto"/>
            <w:noWrap/>
            <w:vAlign w:val="bottom"/>
            <w:hideMark/>
          </w:tcPr>
          <w:p w14:paraId="4E4CF6CA" w14:textId="77777777" w:rsidR="00971C94" w:rsidRDefault="00971C94">
            <w:pPr>
              <w:jc w:val="right"/>
              <w:rPr>
                <w:color w:val="000000"/>
                <w:sz w:val="20"/>
                <w:szCs w:val="20"/>
              </w:rPr>
            </w:pPr>
            <w:r>
              <w:rPr>
                <w:color w:val="000000"/>
                <w:sz w:val="20"/>
                <w:szCs w:val="20"/>
              </w:rPr>
              <w:t>0.376</w:t>
            </w:r>
          </w:p>
        </w:tc>
        <w:tc>
          <w:tcPr>
            <w:tcW w:w="768" w:type="dxa"/>
            <w:tcBorders>
              <w:top w:val="nil"/>
              <w:left w:val="nil"/>
              <w:bottom w:val="single" w:sz="4" w:space="0" w:color="auto"/>
              <w:right w:val="nil"/>
            </w:tcBorders>
            <w:shd w:val="clear" w:color="auto" w:fill="auto"/>
            <w:noWrap/>
            <w:vAlign w:val="bottom"/>
            <w:hideMark/>
          </w:tcPr>
          <w:p w14:paraId="79A47E31"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368A23B3" w14:textId="77777777" w:rsidR="00971C94" w:rsidRDefault="00971C94">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6C885447" w14:textId="77777777" w:rsidR="00971C94" w:rsidRDefault="00971C94">
            <w:pPr>
              <w:jc w:val="right"/>
              <w:rPr>
                <w:color w:val="000000"/>
                <w:sz w:val="20"/>
                <w:szCs w:val="20"/>
              </w:rPr>
            </w:pPr>
            <w:r>
              <w:rPr>
                <w:color w:val="000000"/>
                <w:sz w:val="20"/>
                <w:szCs w:val="20"/>
              </w:rPr>
              <w:t>0.808</w:t>
            </w:r>
          </w:p>
        </w:tc>
        <w:tc>
          <w:tcPr>
            <w:tcW w:w="768" w:type="dxa"/>
            <w:tcBorders>
              <w:top w:val="nil"/>
              <w:left w:val="nil"/>
              <w:bottom w:val="single" w:sz="4" w:space="0" w:color="auto"/>
              <w:right w:val="nil"/>
            </w:tcBorders>
            <w:shd w:val="clear" w:color="auto" w:fill="auto"/>
            <w:noWrap/>
            <w:vAlign w:val="bottom"/>
            <w:hideMark/>
          </w:tcPr>
          <w:p w14:paraId="45162838"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7E11D311" w14:textId="77777777" w:rsidR="00971C94" w:rsidRDefault="00971C94">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0CDB3481" w14:textId="77777777" w:rsidR="00971C94" w:rsidRDefault="00971C94">
            <w:pPr>
              <w:jc w:val="right"/>
              <w:rPr>
                <w:color w:val="000000"/>
                <w:sz w:val="20"/>
                <w:szCs w:val="20"/>
              </w:rPr>
            </w:pPr>
            <w:r>
              <w:rPr>
                <w:color w:val="000000"/>
                <w:sz w:val="20"/>
                <w:szCs w:val="20"/>
              </w:rPr>
              <w:t>0.524</w:t>
            </w:r>
          </w:p>
        </w:tc>
        <w:tc>
          <w:tcPr>
            <w:tcW w:w="768" w:type="dxa"/>
            <w:tcBorders>
              <w:top w:val="nil"/>
              <w:left w:val="nil"/>
              <w:bottom w:val="single" w:sz="4" w:space="0" w:color="auto"/>
              <w:right w:val="nil"/>
            </w:tcBorders>
            <w:shd w:val="clear" w:color="auto" w:fill="auto"/>
            <w:noWrap/>
            <w:vAlign w:val="bottom"/>
            <w:hideMark/>
          </w:tcPr>
          <w:p w14:paraId="507A001F"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3637522" w14:textId="77777777" w:rsidR="00971C94" w:rsidRDefault="00971C94">
            <w:pPr>
              <w:jc w:val="right"/>
              <w:rPr>
                <w:color w:val="000000"/>
                <w:sz w:val="20"/>
                <w:szCs w:val="20"/>
              </w:rPr>
            </w:pPr>
            <w:r>
              <w:rPr>
                <w:color w:val="000000"/>
                <w:sz w:val="20"/>
                <w:szCs w:val="20"/>
              </w:rPr>
              <w:t>-0.040</w:t>
            </w:r>
          </w:p>
        </w:tc>
        <w:tc>
          <w:tcPr>
            <w:tcW w:w="768" w:type="dxa"/>
            <w:tcBorders>
              <w:top w:val="nil"/>
              <w:left w:val="nil"/>
              <w:bottom w:val="single" w:sz="4" w:space="0" w:color="auto"/>
              <w:right w:val="nil"/>
            </w:tcBorders>
            <w:shd w:val="clear" w:color="auto" w:fill="auto"/>
            <w:noWrap/>
            <w:vAlign w:val="bottom"/>
            <w:hideMark/>
          </w:tcPr>
          <w:p w14:paraId="49918B51" w14:textId="77777777" w:rsidR="00971C94" w:rsidRDefault="00971C94">
            <w:pPr>
              <w:jc w:val="right"/>
              <w:rPr>
                <w:color w:val="000000"/>
                <w:sz w:val="20"/>
                <w:szCs w:val="20"/>
              </w:rPr>
            </w:pPr>
            <w:r>
              <w:rPr>
                <w:color w:val="000000"/>
                <w:sz w:val="20"/>
                <w:szCs w:val="20"/>
              </w:rPr>
              <w:t>0.597</w:t>
            </w:r>
          </w:p>
        </w:tc>
        <w:tc>
          <w:tcPr>
            <w:tcW w:w="768" w:type="dxa"/>
            <w:tcBorders>
              <w:top w:val="nil"/>
              <w:left w:val="nil"/>
              <w:bottom w:val="single" w:sz="4" w:space="0" w:color="auto"/>
              <w:right w:val="nil"/>
            </w:tcBorders>
            <w:shd w:val="clear" w:color="auto" w:fill="auto"/>
            <w:noWrap/>
            <w:vAlign w:val="bottom"/>
            <w:hideMark/>
          </w:tcPr>
          <w:p w14:paraId="6F9A86E7"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16363C03" w14:textId="77777777" w:rsidR="00971C94" w:rsidRDefault="00971C94">
            <w:pPr>
              <w:jc w:val="right"/>
              <w:rPr>
                <w:color w:val="000000"/>
                <w:sz w:val="20"/>
                <w:szCs w:val="20"/>
              </w:rPr>
            </w:pPr>
            <w:r>
              <w:rPr>
                <w:color w:val="000000"/>
                <w:sz w:val="20"/>
                <w:szCs w:val="20"/>
              </w:rPr>
              <w:t>0.052</w:t>
            </w:r>
          </w:p>
        </w:tc>
        <w:tc>
          <w:tcPr>
            <w:tcW w:w="768" w:type="dxa"/>
            <w:tcBorders>
              <w:top w:val="nil"/>
              <w:left w:val="nil"/>
              <w:bottom w:val="single" w:sz="4" w:space="0" w:color="auto"/>
              <w:right w:val="nil"/>
            </w:tcBorders>
            <w:shd w:val="clear" w:color="auto" w:fill="auto"/>
            <w:noWrap/>
            <w:vAlign w:val="bottom"/>
            <w:hideMark/>
          </w:tcPr>
          <w:p w14:paraId="39A90EBD" w14:textId="77777777" w:rsidR="00971C94" w:rsidRDefault="00971C94">
            <w:pPr>
              <w:jc w:val="right"/>
              <w:rPr>
                <w:color w:val="000000"/>
                <w:sz w:val="20"/>
                <w:szCs w:val="20"/>
              </w:rPr>
            </w:pPr>
            <w:r>
              <w:rPr>
                <w:color w:val="000000"/>
                <w:sz w:val="20"/>
                <w:szCs w:val="20"/>
              </w:rPr>
              <w:t>0.314</w:t>
            </w:r>
          </w:p>
        </w:tc>
        <w:tc>
          <w:tcPr>
            <w:tcW w:w="768" w:type="dxa"/>
            <w:tcBorders>
              <w:top w:val="nil"/>
              <w:left w:val="nil"/>
              <w:bottom w:val="single" w:sz="4" w:space="0" w:color="auto"/>
              <w:right w:val="nil"/>
            </w:tcBorders>
            <w:shd w:val="clear" w:color="auto" w:fill="auto"/>
            <w:noWrap/>
            <w:vAlign w:val="bottom"/>
            <w:hideMark/>
          </w:tcPr>
          <w:p w14:paraId="25A745B9" w14:textId="77777777" w:rsidR="00971C94" w:rsidRDefault="00971C94">
            <w:pPr>
              <w:jc w:val="right"/>
              <w:rPr>
                <w:color w:val="000000"/>
                <w:sz w:val="20"/>
                <w:szCs w:val="20"/>
              </w:rPr>
            </w:pPr>
            <w:r>
              <w:rPr>
                <w:color w:val="000000"/>
                <w:sz w:val="20"/>
                <w:szCs w:val="20"/>
              </w:rPr>
              <w:t>0.003</w:t>
            </w:r>
          </w:p>
        </w:tc>
      </w:tr>
      <w:tr w:rsidR="00971C94" w14:paraId="293F5794" w14:textId="77777777" w:rsidTr="00971C94">
        <w:trPr>
          <w:trHeight w:val="260"/>
        </w:trPr>
        <w:tc>
          <w:tcPr>
            <w:tcW w:w="1176" w:type="dxa"/>
            <w:tcBorders>
              <w:top w:val="nil"/>
              <w:left w:val="nil"/>
              <w:bottom w:val="nil"/>
              <w:right w:val="nil"/>
            </w:tcBorders>
            <w:shd w:val="clear" w:color="auto" w:fill="auto"/>
            <w:noWrap/>
            <w:vAlign w:val="bottom"/>
            <w:hideMark/>
          </w:tcPr>
          <w:p w14:paraId="05940CAD" w14:textId="77777777" w:rsidR="00971C94" w:rsidRDefault="00971C94">
            <w:pPr>
              <w:rPr>
                <w:color w:val="000000"/>
                <w:sz w:val="20"/>
                <w:szCs w:val="20"/>
              </w:rPr>
            </w:pPr>
            <w:r>
              <w:rPr>
                <w:color w:val="000000"/>
                <w:sz w:val="20"/>
                <w:szCs w:val="20"/>
              </w:rPr>
              <w:t>Threshold 30%</w:t>
            </w:r>
          </w:p>
        </w:tc>
        <w:tc>
          <w:tcPr>
            <w:tcW w:w="1705" w:type="dxa"/>
            <w:tcBorders>
              <w:top w:val="nil"/>
              <w:left w:val="nil"/>
              <w:bottom w:val="nil"/>
              <w:right w:val="nil"/>
            </w:tcBorders>
            <w:shd w:val="clear" w:color="auto" w:fill="auto"/>
            <w:noWrap/>
            <w:vAlign w:val="center"/>
            <w:hideMark/>
          </w:tcPr>
          <w:p w14:paraId="1BB700D2" w14:textId="77777777" w:rsidR="00971C94" w:rsidRDefault="00971C94">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6A74610" w14:textId="77777777" w:rsidR="00971C94" w:rsidRDefault="00971C94">
            <w:pPr>
              <w:jc w:val="right"/>
              <w:rPr>
                <w:b/>
                <w:bCs/>
                <w:color w:val="000000"/>
                <w:sz w:val="20"/>
                <w:szCs w:val="20"/>
              </w:rPr>
            </w:pPr>
            <w:r>
              <w:rPr>
                <w:b/>
                <w:bCs/>
                <w:color w:val="000000"/>
                <w:sz w:val="20"/>
                <w:szCs w:val="20"/>
              </w:rPr>
              <w:t>-0.088</w:t>
            </w:r>
          </w:p>
        </w:tc>
        <w:tc>
          <w:tcPr>
            <w:tcW w:w="768" w:type="dxa"/>
            <w:tcBorders>
              <w:top w:val="nil"/>
              <w:left w:val="nil"/>
              <w:bottom w:val="nil"/>
              <w:right w:val="nil"/>
            </w:tcBorders>
            <w:shd w:val="clear" w:color="auto" w:fill="auto"/>
            <w:noWrap/>
            <w:vAlign w:val="bottom"/>
            <w:hideMark/>
          </w:tcPr>
          <w:p w14:paraId="6A37C27B" w14:textId="77777777" w:rsidR="00971C94" w:rsidRDefault="00971C94">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782CCD62" w14:textId="77777777" w:rsidR="00971C94" w:rsidRDefault="00971C9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69D02D99" w14:textId="77777777" w:rsidR="00971C94" w:rsidRDefault="00971C9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272304E" w14:textId="77777777" w:rsidR="00971C94" w:rsidRDefault="00971C94">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21B4057E"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436EA5"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FF86870" w14:textId="77777777" w:rsidR="00971C94" w:rsidRDefault="00971C94">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37CB68E1"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835190" w14:textId="77777777" w:rsidR="00971C94" w:rsidRDefault="00971C94">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75DCC246" w14:textId="77777777" w:rsidR="00971C94" w:rsidRDefault="00971C94">
            <w:pPr>
              <w:jc w:val="right"/>
              <w:rPr>
                <w:color w:val="000000"/>
                <w:sz w:val="20"/>
                <w:szCs w:val="20"/>
              </w:rPr>
            </w:pPr>
            <w:r>
              <w:rPr>
                <w:color w:val="000000"/>
                <w:sz w:val="20"/>
                <w:szCs w:val="20"/>
              </w:rPr>
              <w:t>0.581</w:t>
            </w:r>
          </w:p>
        </w:tc>
        <w:tc>
          <w:tcPr>
            <w:tcW w:w="768" w:type="dxa"/>
            <w:tcBorders>
              <w:top w:val="nil"/>
              <w:left w:val="nil"/>
              <w:bottom w:val="nil"/>
              <w:right w:val="nil"/>
            </w:tcBorders>
            <w:shd w:val="clear" w:color="auto" w:fill="auto"/>
            <w:noWrap/>
            <w:vAlign w:val="bottom"/>
            <w:hideMark/>
          </w:tcPr>
          <w:p w14:paraId="3115E3C7"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FD015F2" w14:textId="77777777" w:rsidR="00971C94" w:rsidRDefault="00971C9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CE6B7C9" w14:textId="77777777" w:rsidR="00971C94" w:rsidRDefault="00971C94">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1A256FD1" w14:textId="77777777" w:rsidR="00971C94" w:rsidRDefault="00971C94">
            <w:pPr>
              <w:jc w:val="right"/>
              <w:rPr>
                <w:color w:val="000000"/>
                <w:sz w:val="20"/>
                <w:szCs w:val="20"/>
              </w:rPr>
            </w:pPr>
            <w:r>
              <w:rPr>
                <w:color w:val="000000"/>
                <w:sz w:val="20"/>
                <w:szCs w:val="20"/>
              </w:rPr>
              <w:t>0.000</w:t>
            </w:r>
          </w:p>
        </w:tc>
      </w:tr>
      <w:tr w:rsidR="00971C94" w14:paraId="33D3AC7D" w14:textId="77777777" w:rsidTr="00971C94">
        <w:trPr>
          <w:trHeight w:val="260"/>
        </w:trPr>
        <w:tc>
          <w:tcPr>
            <w:tcW w:w="1176" w:type="dxa"/>
            <w:tcBorders>
              <w:top w:val="nil"/>
              <w:left w:val="nil"/>
              <w:bottom w:val="nil"/>
              <w:right w:val="nil"/>
            </w:tcBorders>
            <w:shd w:val="clear" w:color="auto" w:fill="auto"/>
            <w:noWrap/>
            <w:vAlign w:val="bottom"/>
            <w:hideMark/>
          </w:tcPr>
          <w:p w14:paraId="7E0F9A82"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7A773F3" w14:textId="77777777" w:rsidR="00971C94" w:rsidRDefault="00971C94">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E17FB88" w14:textId="77777777" w:rsidR="00971C94" w:rsidRDefault="00971C94">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9196A78" w14:textId="77777777" w:rsidR="00971C94" w:rsidRDefault="00971C94">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0F16642D"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0DB902" w14:textId="77777777" w:rsidR="00971C94" w:rsidRDefault="00971C94">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E7F7770" w14:textId="77777777" w:rsidR="00971C94" w:rsidRDefault="00971C94">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0B15EB3E"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EE5E0C" w14:textId="77777777" w:rsidR="00971C94" w:rsidRDefault="00971C94">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D9AD8DC" w14:textId="77777777" w:rsidR="00971C94" w:rsidRDefault="00971C94">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687E5C57"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A96F83" w14:textId="77777777" w:rsidR="00971C94" w:rsidRDefault="00971C94">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4927E2BC" w14:textId="77777777" w:rsidR="00971C94" w:rsidRDefault="00971C94">
            <w:pPr>
              <w:jc w:val="right"/>
              <w:rPr>
                <w:color w:val="000000"/>
                <w:sz w:val="20"/>
                <w:szCs w:val="20"/>
              </w:rPr>
            </w:pPr>
            <w:r>
              <w:rPr>
                <w:color w:val="000000"/>
                <w:sz w:val="20"/>
                <w:szCs w:val="20"/>
              </w:rPr>
              <w:t>0.340</w:t>
            </w:r>
          </w:p>
        </w:tc>
        <w:tc>
          <w:tcPr>
            <w:tcW w:w="768" w:type="dxa"/>
            <w:tcBorders>
              <w:top w:val="nil"/>
              <w:left w:val="nil"/>
              <w:bottom w:val="nil"/>
              <w:right w:val="nil"/>
            </w:tcBorders>
            <w:shd w:val="clear" w:color="auto" w:fill="auto"/>
            <w:noWrap/>
            <w:vAlign w:val="bottom"/>
            <w:hideMark/>
          </w:tcPr>
          <w:p w14:paraId="1A322097"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018EF9D" w14:textId="77777777" w:rsidR="00971C94" w:rsidRDefault="00971C94">
            <w:pPr>
              <w:jc w:val="right"/>
              <w:rPr>
                <w:b/>
                <w:bCs/>
                <w:color w:val="000000"/>
                <w:sz w:val="20"/>
                <w:szCs w:val="20"/>
              </w:rPr>
            </w:pPr>
            <w:r>
              <w:rPr>
                <w:b/>
                <w:bCs/>
                <w:color w:val="000000"/>
                <w:sz w:val="20"/>
                <w:szCs w:val="20"/>
              </w:rPr>
              <w:t>-0.110</w:t>
            </w:r>
          </w:p>
        </w:tc>
        <w:tc>
          <w:tcPr>
            <w:tcW w:w="768" w:type="dxa"/>
            <w:tcBorders>
              <w:top w:val="nil"/>
              <w:left w:val="nil"/>
              <w:bottom w:val="nil"/>
              <w:right w:val="nil"/>
            </w:tcBorders>
            <w:shd w:val="clear" w:color="auto" w:fill="auto"/>
            <w:noWrap/>
            <w:vAlign w:val="bottom"/>
            <w:hideMark/>
          </w:tcPr>
          <w:p w14:paraId="27AD1AB3" w14:textId="77777777" w:rsidR="00971C94" w:rsidRDefault="00971C9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6E61580" w14:textId="77777777" w:rsidR="00971C94" w:rsidRDefault="00971C94">
            <w:pPr>
              <w:jc w:val="right"/>
              <w:rPr>
                <w:b/>
                <w:bCs/>
                <w:color w:val="000000"/>
                <w:sz w:val="20"/>
                <w:szCs w:val="20"/>
              </w:rPr>
            </w:pPr>
            <w:r>
              <w:rPr>
                <w:b/>
                <w:bCs/>
                <w:color w:val="000000"/>
                <w:sz w:val="20"/>
                <w:szCs w:val="20"/>
              </w:rPr>
              <w:t>0.012</w:t>
            </w:r>
          </w:p>
        </w:tc>
      </w:tr>
      <w:tr w:rsidR="00971C94" w14:paraId="565EDF03" w14:textId="77777777" w:rsidTr="00971C94">
        <w:trPr>
          <w:trHeight w:val="260"/>
        </w:trPr>
        <w:tc>
          <w:tcPr>
            <w:tcW w:w="1176" w:type="dxa"/>
            <w:tcBorders>
              <w:top w:val="nil"/>
              <w:left w:val="nil"/>
              <w:bottom w:val="nil"/>
              <w:right w:val="nil"/>
            </w:tcBorders>
            <w:shd w:val="clear" w:color="auto" w:fill="auto"/>
            <w:noWrap/>
            <w:vAlign w:val="bottom"/>
            <w:hideMark/>
          </w:tcPr>
          <w:p w14:paraId="5A8CFAD8" w14:textId="77777777" w:rsidR="00971C94" w:rsidRDefault="00971C94">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6D801C96" w14:textId="77777777" w:rsidR="00971C94" w:rsidRDefault="00971C94">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6D5AAD0" w14:textId="77777777" w:rsidR="00971C94" w:rsidRDefault="00971C94">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E06E560" w14:textId="77777777" w:rsidR="00971C94" w:rsidRDefault="00971C94">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599A585C"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3C9C03" w14:textId="77777777" w:rsidR="00971C94" w:rsidRDefault="00971C94">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5D39E9B8" w14:textId="77777777" w:rsidR="00971C94" w:rsidRDefault="00971C94">
            <w:pPr>
              <w:jc w:val="right"/>
              <w:rPr>
                <w:color w:val="000000"/>
                <w:sz w:val="20"/>
                <w:szCs w:val="20"/>
              </w:rPr>
            </w:pPr>
            <w:r>
              <w:rPr>
                <w:color w:val="000000"/>
                <w:sz w:val="20"/>
                <w:szCs w:val="20"/>
              </w:rPr>
              <w:t>0.324</w:t>
            </w:r>
          </w:p>
        </w:tc>
        <w:tc>
          <w:tcPr>
            <w:tcW w:w="768" w:type="dxa"/>
            <w:tcBorders>
              <w:top w:val="nil"/>
              <w:left w:val="nil"/>
              <w:bottom w:val="nil"/>
              <w:right w:val="nil"/>
            </w:tcBorders>
            <w:shd w:val="clear" w:color="auto" w:fill="auto"/>
            <w:noWrap/>
            <w:vAlign w:val="bottom"/>
            <w:hideMark/>
          </w:tcPr>
          <w:p w14:paraId="11C80E64" w14:textId="77777777" w:rsidR="00971C94" w:rsidRDefault="00971C94">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2DCBDF0" w14:textId="77777777" w:rsidR="00971C94" w:rsidRDefault="00971C94">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296F6F17" w14:textId="77777777" w:rsidR="00971C94" w:rsidRDefault="00971C94">
            <w:pPr>
              <w:jc w:val="right"/>
              <w:rPr>
                <w:color w:val="000000"/>
                <w:sz w:val="20"/>
                <w:szCs w:val="20"/>
              </w:rPr>
            </w:pPr>
            <w:r>
              <w:rPr>
                <w:color w:val="000000"/>
                <w:sz w:val="20"/>
                <w:szCs w:val="20"/>
              </w:rPr>
              <w:t>0.728</w:t>
            </w:r>
          </w:p>
        </w:tc>
        <w:tc>
          <w:tcPr>
            <w:tcW w:w="768" w:type="dxa"/>
            <w:tcBorders>
              <w:top w:val="nil"/>
              <w:left w:val="nil"/>
              <w:bottom w:val="nil"/>
              <w:right w:val="nil"/>
            </w:tcBorders>
            <w:shd w:val="clear" w:color="auto" w:fill="auto"/>
            <w:noWrap/>
            <w:vAlign w:val="bottom"/>
            <w:hideMark/>
          </w:tcPr>
          <w:p w14:paraId="33058319"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832355" w14:textId="77777777" w:rsidR="00971C94" w:rsidRDefault="00971C94">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42EF5822" w14:textId="77777777" w:rsidR="00971C94" w:rsidRDefault="00971C94">
            <w:pPr>
              <w:jc w:val="right"/>
              <w:rPr>
                <w:color w:val="000000"/>
                <w:sz w:val="20"/>
                <w:szCs w:val="20"/>
              </w:rPr>
            </w:pPr>
            <w:r>
              <w:rPr>
                <w:color w:val="000000"/>
                <w:sz w:val="20"/>
                <w:szCs w:val="20"/>
              </w:rPr>
              <w:t>0.786</w:t>
            </w:r>
          </w:p>
        </w:tc>
        <w:tc>
          <w:tcPr>
            <w:tcW w:w="768" w:type="dxa"/>
            <w:tcBorders>
              <w:top w:val="nil"/>
              <w:left w:val="nil"/>
              <w:bottom w:val="nil"/>
              <w:right w:val="nil"/>
            </w:tcBorders>
            <w:shd w:val="clear" w:color="auto" w:fill="auto"/>
            <w:noWrap/>
            <w:vAlign w:val="bottom"/>
            <w:hideMark/>
          </w:tcPr>
          <w:p w14:paraId="7314EBB0"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4A2A8E4" w14:textId="77777777" w:rsidR="00971C94" w:rsidRDefault="00971C9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F35E04F" w14:textId="77777777" w:rsidR="00971C94" w:rsidRDefault="00971C94">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00EB1A5C" w14:textId="77777777" w:rsidR="00971C94" w:rsidRDefault="00971C94">
            <w:pPr>
              <w:jc w:val="right"/>
              <w:rPr>
                <w:color w:val="000000"/>
                <w:sz w:val="20"/>
                <w:szCs w:val="20"/>
              </w:rPr>
            </w:pPr>
            <w:r>
              <w:rPr>
                <w:color w:val="000000"/>
                <w:sz w:val="20"/>
                <w:szCs w:val="20"/>
              </w:rPr>
              <w:t>0.000</w:t>
            </w:r>
          </w:p>
        </w:tc>
      </w:tr>
      <w:tr w:rsidR="00971C94" w14:paraId="13B32BFF" w14:textId="77777777" w:rsidTr="00971C94">
        <w:trPr>
          <w:trHeight w:val="260"/>
        </w:trPr>
        <w:tc>
          <w:tcPr>
            <w:tcW w:w="1176" w:type="dxa"/>
            <w:tcBorders>
              <w:top w:val="nil"/>
              <w:left w:val="nil"/>
              <w:bottom w:val="nil"/>
              <w:right w:val="nil"/>
            </w:tcBorders>
            <w:shd w:val="clear" w:color="auto" w:fill="auto"/>
            <w:noWrap/>
            <w:vAlign w:val="bottom"/>
            <w:hideMark/>
          </w:tcPr>
          <w:p w14:paraId="109E5AA6"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608481B" w14:textId="77777777" w:rsidR="00971C94" w:rsidRDefault="00971C94">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6C2F752" w14:textId="77777777" w:rsidR="00971C94" w:rsidRDefault="00971C94">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2096D185" w14:textId="77777777" w:rsidR="00971C94" w:rsidRDefault="00971C94">
            <w:pPr>
              <w:jc w:val="right"/>
              <w:rPr>
                <w:color w:val="000000"/>
                <w:sz w:val="20"/>
                <w:szCs w:val="20"/>
              </w:rPr>
            </w:pPr>
            <w:r>
              <w:rPr>
                <w:color w:val="000000"/>
                <w:sz w:val="20"/>
                <w:szCs w:val="20"/>
              </w:rPr>
              <w:t>0.718</w:t>
            </w:r>
          </w:p>
        </w:tc>
        <w:tc>
          <w:tcPr>
            <w:tcW w:w="768" w:type="dxa"/>
            <w:tcBorders>
              <w:top w:val="nil"/>
              <w:left w:val="nil"/>
              <w:bottom w:val="nil"/>
              <w:right w:val="nil"/>
            </w:tcBorders>
            <w:shd w:val="clear" w:color="auto" w:fill="auto"/>
            <w:noWrap/>
            <w:vAlign w:val="bottom"/>
            <w:hideMark/>
          </w:tcPr>
          <w:p w14:paraId="54F08ECB"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A2D36B" w14:textId="77777777" w:rsidR="00971C94" w:rsidRDefault="00971C94">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20958943" w14:textId="77777777" w:rsidR="00971C94" w:rsidRDefault="00971C94">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23BF9D91"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90C8F6F" w14:textId="77777777" w:rsidR="00971C94" w:rsidRDefault="00971C94">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1E73AF0" w14:textId="77777777" w:rsidR="00971C94" w:rsidRDefault="00971C94">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5ECCEA11"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3C890E" w14:textId="77777777" w:rsidR="00971C94" w:rsidRDefault="00971C94">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0B62DA19" w14:textId="77777777" w:rsidR="00971C94" w:rsidRDefault="00971C94">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6A5595DF" w14:textId="77777777" w:rsidR="00971C94" w:rsidRDefault="00971C9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0636CF7" w14:textId="77777777" w:rsidR="00971C94" w:rsidRDefault="00971C94">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1584195" w14:textId="77777777" w:rsidR="00971C94" w:rsidRDefault="00971C94">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21D8C2BA" w14:textId="77777777" w:rsidR="00971C94" w:rsidRDefault="00971C94">
            <w:pPr>
              <w:jc w:val="right"/>
              <w:rPr>
                <w:color w:val="000000"/>
                <w:sz w:val="20"/>
                <w:szCs w:val="20"/>
              </w:rPr>
            </w:pPr>
            <w:r>
              <w:rPr>
                <w:color w:val="000000"/>
                <w:sz w:val="20"/>
                <w:szCs w:val="20"/>
              </w:rPr>
              <w:t>0.000</w:t>
            </w:r>
          </w:p>
        </w:tc>
      </w:tr>
      <w:tr w:rsidR="00971C94" w14:paraId="612B149B" w14:textId="77777777" w:rsidTr="00971C94">
        <w:trPr>
          <w:trHeight w:val="260"/>
        </w:trPr>
        <w:tc>
          <w:tcPr>
            <w:tcW w:w="1176" w:type="dxa"/>
            <w:tcBorders>
              <w:top w:val="nil"/>
              <w:left w:val="nil"/>
              <w:bottom w:val="nil"/>
              <w:right w:val="nil"/>
            </w:tcBorders>
            <w:shd w:val="clear" w:color="auto" w:fill="auto"/>
            <w:noWrap/>
            <w:vAlign w:val="bottom"/>
            <w:hideMark/>
          </w:tcPr>
          <w:p w14:paraId="5BAB819E"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D987C23" w14:textId="77777777" w:rsidR="00971C94" w:rsidRDefault="00971C94">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DDF4094" w14:textId="77777777" w:rsidR="00971C94" w:rsidRDefault="00971C9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8BD3CE4" w14:textId="77777777" w:rsidR="00971C94" w:rsidRDefault="00971C94">
            <w:pPr>
              <w:jc w:val="right"/>
              <w:rPr>
                <w:color w:val="000000"/>
                <w:sz w:val="20"/>
                <w:szCs w:val="20"/>
              </w:rPr>
            </w:pPr>
            <w:r>
              <w:rPr>
                <w:color w:val="000000"/>
                <w:sz w:val="20"/>
                <w:szCs w:val="20"/>
              </w:rPr>
              <w:t>0.882</w:t>
            </w:r>
          </w:p>
        </w:tc>
        <w:tc>
          <w:tcPr>
            <w:tcW w:w="768" w:type="dxa"/>
            <w:tcBorders>
              <w:top w:val="nil"/>
              <w:left w:val="nil"/>
              <w:bottom w:val="nil"/>
              <w:right w:val="nil"/>
            </w:tcBorders>
            <w:shd w:val="clear" w:color="auto" w:fill="auto"/>
            <w:noWrap/>
            <w:vAlign w:val="bottom"/>
            <w:hideMark/>
          </w:tcPr>
          <w:p w14:paraId="4ED5C979"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9F0E34" w14:textId="77777777" w:rsidR="00971C94" w:rsidRDefault="00971C94">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2F0ECA2" w14:textId="77777777" w:rsidR="00971C94" w:rsidRDefault="00971C94">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2FB2D38D"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6A93BF" w14:textId="77777777" w:rsidR="00971C94" w:rsidRDefault="00971C94">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5B30A2F" w14:textId="77777777" w:rsidR="00971C94" w:rsidRDefault="00971C94">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209A9A66"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21EF0E" w14:textId="77777777" w:rsidR="00971C94" w:rsidRDefault="00971C94">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EDCC82C" w14:textId="77777777" w:rsidR="00971C94" w:rsidRDefault="00971C94">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36F822E4"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85F55AC" w14:textId="77777777" w:rsidR="00971C94" w:rsidRDefault="00971C94">
            <w:pPr>
              <w:jc w:val="right"/>
              <w:rPr>
                <w:b/>
                <w:bCs/>
                <w:color w:val="000000"/>
                <w:sz w:val="20"/>
                <w:szCs w:val="20"/>
              </w:rPr>
            </w:pPr>
            <w:r>
              <w:rPr>
                <w:b/>
                <w:bCs/>
                <w:color w:val="000000"/>
                <w:sz w:val="20"/>
                <w:szCs w:val="20"/>
              </w:rPr>
              <w:t>-0.080</w:t>
            </w:r>
          </w:p>
        </w:tc>
        <w:tc>
          <w:tcPr>
            <w:tcW w:w="768" w:type="dxa"/>
            <w:tcBorders>
              <w:top w:val="nil"/>
              <w:left w:val="nil"/>
              <w:bottom w:val="nil"/>
              <w:right w:val="nil"/>
            </w:tcBorders>
            <w:shd w:val="clear" w:color="auto" w:fill="auto"/>
            <w:noWrap/>
            <w:vAlign w:val="bottom"/>
            <w:hideMark/>
          </w:tcPr>
          <w:p w14:paraId="2C66A750" w14:textId="77777777" w:rsidR="00971C94" w:rsidRDefault="00971C94">
            <w:pPr>
              <w:jc w:val="right"/>
              <w:rPr>
                <w:b/>
                <w:bCs/>
                <w:color w:val="000000"/>
                <w:sz w:val="20"/>
                <w:szCs w:val="20"/>
              </w:rPr>
            </w:pPr>
            <w:r>
              <w:rPr>
                <w:b/>
                <w:bCs/>
                <w:color w:val="000000"/>
                <w:sz w:val="20"/>
                <w:szCs w:val="20"/>
              </w:rPr>
              <w:t>0.048</w:t>
            </w:r>
          </w:p>
        </w:tc>
        <w:tc>
          <w:tcPr>
            <w:tcW w:w="768" w:type="dxa"/>
            <w:tcBorders>
              <w:top w:val="nil"/>
              <w:left w:val="nil"/>
              <w:bottom w:val="nil"/>
              <w:right w:val="nil"/>
            </w:tcBorders>
            <w:shd w:val="clear" w:color="auto" w:fill="auto"/>
            <w:noWrap/>
            <w:vAlign w:val="bottom"/>
            <w:hideMark/>
          </w:tcPr>
          <w:p w14:paraId="792D7D41" w14:textId="77777777" w:rsidR="00971C94" w:rsidRDefault="00971C94">
            <w:pPr>
              <w:jc w:val="right"/>
              <w:rPr>
                <w:b/>
                <w:bCs/>
                <w:color w:val="000000"/>
                <w:sz w:val="20"/>
                <w:szCs w:val="20"/>
              </w:rPr>
            </w:pPr>
            <w:r>
              <w:rPr>
                <w:b/>
                <w:bCs/>
                <w:color w:val="000000"/>
                <w:sz w:val="20"/>
                <w:szCs w:val="20"/>
              </w:rPr>
              <w:t>0.006</w:t>
            </w:r>
          </w:p>
        </w:tc>
      </w:tr>
      <w:tr w:rsidR="00971C94" w14:paraId="3B331746" w14:textId="77777777" w:rsidTr="00971C94">
        <w:trPr>
          <w:trHeight w:val="260"/>
        </w:trPr>
        <w:tc>
          <w:tcPr>
            <w:tcW w:w="1176" w:type="dxa"/>
            <w:tcBorders>
              <w:top w:val="nil"/>
              <w:left w:val="nil"/>
              <w:bottom w:val="nil"/>
              <w:right w:val="nil"/>
            </w:tcBorders>
            <w:shd w:val="clear" w:color="auto" w:fill="auto"/>
            <w:noWrap/>
            <w:vAlign w:val="bottom"/>
            <w:hideMark/>
          </w:tcPr>
          <w:p w14:paraId="4CC27106" w14:textId="77777777" w:rsidR="00971C94" w:rsidRDefault="00971C94">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5A76D08A" w14:textId="77777777" w:rsidR="00971C94" w:rsidRDefault="00971C94">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B2B246A" w14:textId="77777777" w:rsidR="00971C94" w:rsidRDefault="00971C94">
            <w:pPr>
              <w:jc w:val="right"/>
              <w:rPr>
                <w:b/>
                <w:bCs/>
                <w:color w:val="000000"/>
                <w:sz w:val="20"/>
                <w:szCs w:val="20"/>
              </w:rPr>
            </w:pPr>
            <w:r>
              <w:rPr>
                <w:b/>
                <w:bCs/>
                <w:color w:val="000000"/>
                <w:sz w:val="20"/>
                <w:szCs w:val="20"/>
              </w:rPr>
              <w:t>-0.089</w:t>
            </w:r>
          </w:p>
        </w:tc>
        <w:tc>
          <w:tcPr>
            <w:tcW w:w="768" w:type="dxa"/>
            <w:tcBorders>
              <w:top w:val="nil"/>
              <w:left w:val="nil"/>
              <w:bottom w:val="nil"/>
              <w:right w:val="nil"/>
            </w:tcBorders>
            <w:shd w:val="clear" w:color="auto" w:fill="auto"/>
            <w:noWrap/>
            <w:vAlign w:val="bottom"/>
            <w:hideMark/>
          </w:tcPr>
          <w:p w14:paraId="6120A7A9" w14:textId="77777777" w:rsidR="00971C94" w:rsidRDefault="00971C94">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3CCCDE3A" w14:textId="77777777" w:rsidR="00971C94" w:rsidRDefault="00971C94">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1A763D20"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513B73C" w14:textId="77777777" w:rsidR="00971C94" w:rsidRDefault="00971C94">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206964FF"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544935" w14:textId="77777777" w:rsidR="00971C94" w:rsidRDefault="00971C94">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6A891D11" w14:textId="77777777" w:rsidR="00971C94" w:rsidRDefault="00971C94">
            <w:pPr>
              <w:jc w:val="right"/>
              <w:rPr>
                <w:color w:val="000000"/>
                <w:sz w:val="20"/>
                <w:szCs w:val="20"/>
              </w:rPr>
            </w:pPr>
            <w:r>
              <w:rPr>
                <w:color w:val="000000"/>
                <w:sz w:val="20"/>
                <w:szCs w:val="20"/>
              </w:rPr>
              <w:t>0.568</w:t>
            </w:r>
          </w:p>
        </w:tc>
        <w:tc>
          <w:tcPr>
            <w:tcW w:w="768" w:type="dxa"/>
            <w:tcBorders>
              <w:top w:val="nil"/>
              <w:left w:val="nil"/>
              <w:bottom w:val="nil"/>
              <w:right w:val="nil"/>
            </w:tcBorders>
            <w:shd w:val="clear" w:color="auto" w:fill="auto"/>
            <w:noWrap/>
            <w:vAlign w:val="bottom"/>
            <w:hideMark/>
          </w:tcPr>
          <w:p w14:paraId="292CF277" w14:textId="77777777" w:rsidR="00971C94" w:rsidRDefault="00971C94">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C5E782D"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F3531FD" w14:textId="77777777" w:rsidR="00971C94" w:rsidRDefault="00971C94">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06CB7002"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94BFF0" w14:textId="77777777" w:rsidR="00971C94" w:rsidRDefault="00971C94">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76943167" w14:textId="77777777" w:rsidR="00971C94" w:rsidRDefault="00971C94">
            <w:pPr>
              <w:jc w:val="right"/>
              <w:rPr>
                <w:color w:val="000000"/>
                <w:sz w:val="20"/>
                <w:szCs w:val="20"/>
              </w:rPr>
            </w:pPr>
            <w:r>
              <w:rPr>
                <w:color w:val="000000"/>
                <w:sz w:val="20"/>
                <w:szCs w:val="20"/>
              </w:rPr>
              <w:t>0.446</w:t>
            </w:r>
          </w:p>
        </w:tc>
        <w:tc>
          <w:tcPr>
            <w:tcW w:w="768" w:type="dxa"/>
            <w:tcBorders>
              <w:top w:val="nil"/>
              <w:left w:val="nil"/>
              <w:bottom w:val="nil"/>
              <w:right w:val="nil"/>
            </w:tcBorders>
            <w:shd w:val="clear" w:color="auto" w:fill="auto"/>
            <w:noWrap/>
            <w:vAlign w:val="bottom"/>
            <w:hideMark/>
          </w:tcPr>
          <w:p w14:paraId="2E3826BE" w14:textId="77777777" w:rsidR="00971C94" w:rsidRDefault="00971C94">
            <w:pPr>
              <w:jc w:val="right"/>
              <w:rPr>
                <w:color w:val="000000"/>
                <w:sz w:val="20"/>
                <w:szCs w:val="20"/>
              </w:rPr>
            </w:pPr>
            <w:r>
              <w:rPr>
                <w:color w:val="000000"/>
                <w:sz w:val="20"/>
                <w:szCs w:val="20"/>
              </w:rPr>
              <w:t>0.002</w:t>
            </w:r>
          </w:p>
        </w:tc>
      </w:tr>
      <w:tr w:rsidR="00971C94" w14:paraId="3655C017" w14:textId="77777777" w:rsidTr="00971C94">
        <w:trPr>
          <w:trHeight w:val="260"/>
        </w:trPr>
        <w:tc>
          <w:tcPr>
            <w:tcW w:w="1176" w:type="dxa"/>
            <w:tcBorders>
              <w:top w:val="nil"/>
              <w:left w:val="nil"/>
              <w:bottom w:val="nil"/>
              <w:right w:val="nil"/>
            </w:tcBorders>
            <w:shd w:val="clear" w:color="auto" w:fill="auto"/>
            <w:noWrap/>
            <w:vAlign w:val="bottom"/>
            <w:hideMark/>
          </w:tcPr>
          <w:p w14:paraId="3210A083" w14:textId="77777777" w:rsidR="00971C94" w:rsidRDefault="00971C94">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2EA9163" w14:textId="77777777" w:rsidR="00971C94" w:rsidRDefault="00971C94">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BD86DF7" w14:textId="77777777" w:rsidR="00971C94" w:rsidRDefault="00971C94">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8FF5EE4" w14:textId="77777777" w:rsidR="00971C94" w:rsidRDefault="00971C94">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77E83993"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F5BA36" w14:textId="77777777" w:rsidR="00971C94" w:rsidRDefault="00971C94">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7F55C32" w14:textId="77777777" w:rsidR="00971C94" w:rsidRDefault="00971C94">
            <w:pPr>
              <w:jc w:val="right"/>
              <w:rPr>
                <w:color w:val="000000"/>
                <w:sz w:val="20"/>
                <w:szCs w:val="20"/>
              </w:rPr>
            </w:pPr>
            <w:r>
              <w:rPr>
                <w:color w:val="000000"/>
                <w:sz w:val="20"/>
                <w:szCs w:val="20"/>
              </w:rPr>
              <w:t>0.954</w:t>
            </w:r>
          </w:p>
        </w:tc>
        <w:tc>
          <w:tcPr>
            <w:tcW w:w="768" w:type="dxa"/>
            <w:tcBorders>
              <w:top w:val="nil"/>
              <w:left w:val="nil"/>
              <w:bottom w:val="nil"/>
              <w:right w:val="nil"/>
            </w:tcBorders>
            <w:shd w:val="clear" w:color="auto" w:fill="auto"/>
            <w:noWrap/>
            <w:vAlign w:val="bottom"/>
            <w:hideMark/>
          </w:tcPr>
          <w:p w14:paraId="2ADEB4F2"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D06608"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1E70AA3" w14:textId="77777777" w:rsidR="00971C94" w:rsidRDefault="00971C94">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378FDEDD"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65A159" w14:textId="77777777" w:rsidR="00971C94" w:rsidRDefault="00971C94">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6EB9DBC" w14:textId="77777777" w:rsidR="00971C94" w:rsidRDefault="00971C94">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580F1D4C" w14:textId="77777777" w:rsidR="00971C94" w:rsidRDefault="00971C94">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6E3CAF1" w14:textId="77777777" w:rsidR="00971C94" w:rsidRDefault="00971C94">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BED73B0" w14:textId="77777777" w:rsidR="00971C94" w:rsidRDefault="00971C94">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5F7C159B" w14:textId="77777777" w:rsidR="00971C94" w:rsidRDefault="00971C94">
            <w:pPr>
              <w:jc w:val="right"/>
              <w:rPr>
                <w:color w:val="000000"/>
                <w:sz w:val="20"/>
                <w:szCs w:val="20"/>
              </w:rPr>
            </w:pPr>
            <w:r>
              <w:rPr>
                <w:color w:val="000000"/>
                <w:sz w:val="20"/>
                <w:szCs w:val="20"/>
              </w:rPr>
              <w:t>0.000</w:t>
            </w:r>
          </w:p>
        </w:tc>
      </w:tr>
      <w:tr w:rsidR="00971C94" w14:paraId="7F26AB94" w14:textId="77777777" w:rsidTr="00285FEC">
        <w:trPr>
          <w:trHeight w:val="280"/>
        </w:trPr>
        <w:tc>
          <w:tcPr>
            <w:tcW w:w="1176" w:type="dxa"/>
            <w:tcBorders>
              <w:top w:val="nil"/>
              <w:left w:val="nil"/>
              <w:bottom w:val="single" w:sz="12" w:space="0" w:color="auto"/>
              <w:right w:val="nil"/>
            </w:tcBorders>
            <w:shd w:val="clear" w:color="auto" w:fill="auto"/>
            <w:noWrap/>
            <w:vAlign w:val="bottom"/>
            <w:hideMark/>
          </w:tcPr>
          <w:p w14:paraId="12B6F199" w14:textId="77777777" w:rsidR="00971C94" w:rsidRDefault="00971C94">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0F5F39C0" w14:textId="77777777" w:rsidR="00971C94" w:rsidRDefault="00971C94">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533732F2" w14:textId="77777777" w:rsidR="00971C94" w:rsidRDefault="00971C94">
            <w:pPr>
              <w:jc w:val="right"/>
              <w:rPr>
                <w:b/>
                <w:bCs/>
                <w:color w:val="000000"/>
                <w:sz w:val="20"/>
                <w:szCs w:val="20"/>
              </w:rPr>
            </w:pPr>
            <w:r>
              <w:rPr>
                <w:b/>
                <w:bCs/>
                <w:color w:val="000000"/>
                <w:sz w:val="20"/>
                <w:szCs w:val="20"/>
              </w:rPr>
              <w:t>-0.087</w:t>
            </w:r>
          </w:p>
        </w:tc>
        <w:tc>
          <w:tcPr>
            <w:tcW w:w="768" w:type="dxa"/>
            <w:tcBorders>
              <w:top w:val="nil"/>
              <w:left w:val="nil"/>
              <w:bottom w:val="single" w:sz="12" w:space="0" w:color="auto"/>
              <w:right w:val="nil"/>
            </w:tcBorders>
            <w:shd w:val="clear" w:color="auto" w:fill="auto"/>
            <w:noWrap/>
            <w:vAlign w:val="bottom"/>
            <w:hideMark/>
          </w:tcPr>
          <w:p w14:paraId="07AA5099" w14:textId="77777777" w:rsidR="00971C94" w:rsidRDefault="00971C94">
            <w:pPr>
              <w:jc w:val="right"/>
              <w:rPr>
                <w:b/>
                <w:bCs/>
                <w:color w:val="000000"/>
                <w:sz w:val="20"/>
                <w:szCs w:val="20"/>
              </w:rPr>
            </w:pPr>
            <w:r>
              <w:rPr>
                <w:b/>
                <w:bCs/>
                <w:color w:val="000000"/>
                <w:sz w:val="20"/>
                <w:szCs w:val="20"/>
              </w:rPr>
              <w:t>0.021</w:t>
            </w:r>
          </w:p>
        </w:tc>
        <w:tc>
          <w:tcPr>
            <w:tcW w:w="768" w:type="dxa"/>
            <w:tcBorders>
              <w:top w:val="nil"/>
              <w:left w:val="nil"/>
              <w:bottom w:val="single" w:sz="12" w:space="0" w:color="auto"/>
              <w:right w:val="nil"/>
            </w:tcBorders>
            <w:shd w:val="clear" w:color="auto" w:fill="auto"/>
            <w:noWrap/>
            <w:vAlign w:val="bottom"/>
            <w:hideMark/>
          </w:tcPr>
          <w:p w14:paraId="2BE2B987" w14:textId="77777777" w:rsidR="00971C94" w:rsidRDefault="00971C94">
            <w:pPr>
              <w:jc w:val="right"/>
              <w:rPr>
                <w:b/>
                <w:bCs/>
                <w:color w:val="000000"/>
                <w:sz w:val="20"/>
                <w:szCs w:val="20"/>
              </w:rPr>
            </w:pPr>
            <w:r>
              <w:rPr>
                <w:b/>
                <w:bCs/>
                <w:color w:val="000000"/>
                <w:sz w:val="20"/>
                <w:szCs w:val="20"/>
              </w:rPr>
              <w:t>0.008</w:t>
            </w:r>
          </w:p>
        </w:tc>
        <w:tc>
          <w:tcPr>
            <w:tcW w:w="768" w:type="dxa"/>
            <w:tcBorders>
              <w:top w:val="nil"/>
              <w:left w:val="nil"/>
              <w:bottom w:val="single" w:sz="12" w:space="0" w:color="auto"/>
              <w:right w:val="nil"/>
            </w:tcBorders>
            <w:shd w:val="clear" w:color="auto" w:fill="auto"/>
            <w:noWrap/>
            <w:vAlign w:val="bottom"/>
            <w:hideMark/>
          </w:tcPr>
          <w:p w14:paraId="33F42F82" w14:textId="77777777" w:rsidR="00971C94" w:rsidRDefault="00971C94">
            <w:pPr>
              <w:jc w:val="right"/>
              <w:rPr>
                <w:color w:val="000000"/>
                <w:sz w:val="20"/>
                <w:szCs w:val="20"/>
              </w:rPr>
            </w:pPr>
            <w:r>
              <w:rPr>
                <w:color w:val="000000"/>
                <w:sz w:val="20"/>
                <w:szCs w:val="20"/>
              </w:rPr>
              <w:t>0.059</w:t>
            </w:r>
          </w:p>
        </w:tc>
        <w:tc>
          <w:tcPr>
            <w:tcW w:w="768" w:type="dxa"/>
            <w:tcBorders>
              <w:top w:val="nil"/>
              <w:left w:val="nil"/>
              <w:bottom w:val="single" w:sz="12" w:space="0" w:color="auto"/>
              <w:right w:val="nil"/>
            </w:tcBorders>
            <w:shd w:val="clear" w:color="auto" w:fill="auto"/>
            <w:noWrap/>
            <w:vAlign w:val="bottom"/>
            <w:hideMark/>
          </w:tcPr>
          <w:p w14:paraId="39CF624C" w14:textId="77777777" w:rsidR="00971C94" w:rsidRDefault="00971C94">
            <w:pPr>
              <w:jc w:val="right"/>
              <w:rPr>
                <w:color w:val="000000"/>
                <w:sz w:val="20"/>
                <w:szCs w:val="20"/>
              </w:rPr>
            </w:pPr>
            <w:r>
              <w:rPr>
                <w:color w:val="000000"/>
                <w:sz w:val="20"/>
                <w:szCs w:val="20"/>
              </w:rPr>
              <w:t>0.324</w:t>
            </w:r>
          </w:p>
        </w:tc>
        <w:tc>
          <w:tcPr>
            <w:tcW w:w="768" w:type="dxa"/>
            <w:tcBorders>
              <w:top w:val="nil"/>
              <w:left w:val="nil"/>
              <w:bottom w:val="single" w:sz="12" w:space="0" w:color="auto"/>
              <w:right w:val="nil"/>
            </w:tcBorders>
            <w:shd w:val="clear" w:color="auto" w:fill="auto"/>
            <w:noWrap/>
            <w:vAlign w:val="bottom"/>
            <w:hideMark/>
          </w:tcPr>
          <w:p w14:paraId="63FACFCE" w14:textId="77777777" w:rsidR="00971C94" w:rsidRDefault="00971C94">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2802F5A4" w14:textId="77777777" w:rsidR="00971C94" w:rsidRDefault="00971C94">
            <w:pPr>
              <w:jc w:val="right"/>
              <w:rPr>
                <w:color w:val="000000"/>
                <w:sz w:val="20"/>
                <w:szCs w:val="20"/>
              </w:rPr>
            </w:pPr>
            <w:r>
              <w:rPr>
                <w:color w:val="000000"/>
                <w:sz w:val="20"/>
                <w:szCs w:val="20"/>
              </w:rPr>
              <w:t>0.064</w:t>
            </w:r>
          </w:p>
        </w:tc>
        <w:tc>
          <w:tcPr>
            <w:tcW w:w="768" w:type="dxa"/>
            <w:tcBorders>
              <w:top w:val="nil"/>
              <w:left w:val="nil"/>
              <w:bottom w:val="single" w:sz="12" w:space="0" w:color="auto"/>
              <w:right w:val="nil"/>
            </w:tcBorders>
            <w:shd w:val="clear" w:color="auto" w:fill="auto"/>
            <w:noWrap/>
            <w:vAlign w:val="bottom"/>
            <w:hideMark/>
          </w:tcPr>
          <w:p w14:paraId="14966C52" w14:textId="77777777" w:rsidR="00971C94" w:rsidRDefault="00971C94">
            <w:pPr>
              <w:jc w:val="right"/>
              <w:rPr>
                <w:color w:val="000000"/>
                <w:sz w:val="20"/>
                <w:szCs w:val="20"/>
              </w:rPr>
            </w:pPr>
            <w:r>
              <w:rPr>
                <w:color w:val="000000"/>
                <w:sz w:val="20"/>
                <w:szCs w:val="20"/>
              </w:rPr>
              <w:t>0.368</w:t>
            </w:r>
          </w:p>
        </w:tc>
        <w:tc>
          <w:tcPr>
            <w:tcW w:w="768" w:type="dxa"/>
            <w:tcBorders>
              <w:top w:val="nil"/>
              <w:left w:val="nil"/>
              <w:bottom w:val="single" w:sz="12" w:space="0" w:color="auto"/>
              <w:right w:val="nil"/>
            </w:tcBorders>
            <w:shd w:val="clear" w:color="auto" w:fill="auto"/>
            <w:noWrap/>
            <w:vAlign w:val="bottom"/>
            <w:hideMark/>
          </w:tcPr>
          <w:p w14:paraId="69C65429" w14:textId="77777777" w:rsidR="00971C94" w:rsidRDefault="00971C94">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7897A8F2" w14:textId="77777777" w:rsidR="00971C94" w:rsidRDefault="00971C94">
            <w:pPr>
              <w:jc w:val="right"/>
              <w:rPr>
                <w:color w:val="000000"/>
                <w:sz w:val="20"/>
                <w:szCs w:val="20"/>
              </w:rPr>
            </w:pPr>
            <w:r>
              <w:rPr>
                <w:color w:val="000000"/>
                <w:sz w:val="20"/>
                <w:szCs w:val="20"/>
              </w:rPr>
              <w:t>-0.025</w:t>
            </w:r>
          </w:p>
        </w:tc>
        <w:tc>
          <w:tcPr>
            <w:tcW w:w="768" w:type="dxa"/>
            <w:tcBorders>
              <w:top w:val="nil"/>
              <w:left w:val="nil"/>
              <w:bottom w:val="single" w:sz="12" w:space="0" w:color="auto"/>
              <w:right w:val="nil"/>
            </w:tcBorders>
            <w:shd w:val="clear" w:color="auto" w:fill="auto"/>
            <w:noWrap/>
            <w:vAlign w:val="bottom"/>
            <w:hideMark/>
          </w:tcPr>
          <w:p w14:paraId="6D393603" w14:textId="77777777" w:rsidR="00971C94" w:rsidRDefault="00971C94">
            <w:pPr>
              <w:jc w:val="right"/>
              <w:rPr>
                <w:color w:val="000000"/>
                <w:sz w:val="20"/>
                <w:szCs w:val="20"/>
              </w:rPr>
            </w:pPr>
            <w:r>
              <w:rPr>
                <w:color w:val="000000"/>
                <w:sz w:val="20"/>
                <w:szCs w:val="20"/>
              </w:rPr>
              <w:t>0.786</w:t>
            </w:r>
          </w:p>
        </w:tc>
        <w:tc>
          <w:tcPr>
            <w:tcW w:w="768" w:type="dxa"/>
            <w:tcBorders>
              <w:top w:val="nil"/>
              <w:left w:val="nil"/>
              <w:bottom w:val="single" w:sz="12" w:space="0" w:color="auto"/>
              <w:right w:val="nil"/>
            </w:tcBorders>
            <w:shd w:val="clear" w:color="auto" w:fill="auto"/>
            <w:noWrap/>
            <w:vAlign w:val="bottom"/>
            <w:hideMark/>
          </w:tcPr>
          <w:p w14:paraId="46D9F2B9" w14:textId="77777777" w:rsidR="00971C94" w:rsidRDefault="00971C94">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324170C2" w14:textId="77777777" w:rsidR="00971C94" w:rsidRDefault="00971C94">
            <w:pPr>
              <w:jc w:val="right"/>
              <w:rPr>
                <w:color w:val="000000"/>
                <w:sz w:val="20"/>
                <w:szCs w:val="20"/>
              </w:rPr>
            </w:pPr>
            <w:r>
              <w:rPr>
                <w:color w:val="000000"/>
                <w:sz w:val="20"/>
                <w:szCs w:val="20"/>
              </w:rPr>
              <w:t>0.043</w:t>
            </w:r>
          </w:p>
        </w:tc>
        <w:tc>
          <w:tcPr>
            <w:tcW w:w="768" w:type="dxa"/>
            <w:tcBorders>
              <w:top w:val="nil"/>
              <w:left w:val="nil"/>
              <w:bottom w:val="single" w:sz="12" w:space="0" w:color="auto"/>
              <w:right w:val="nil"/>
            </w:tcBorders>
            <w:shd w:val="clear" w:color="auto" w:fill="auto"/>
            <w:noWrap/>
            <w:vAlign w:val="bottom"/>
            <w:hideMark/>
          </w:tcPr>
          <w:p w14:paraId="138F9C3E" w14:textId="77777777" w:rsidR="00971C94" w:rsidRDefault="00971C94">
            <w:pPr>
              <w:jc w:val="right"/>
              <w:rPr>
                <w:color w:val="000000"/>
                <w:sz w:val="20"/>
                <w:szCs w:val="20"/>
              </w:rPr>
            </w:pPr>
            <w:r>
              <w:rPr>
                <w:color w:val="000000"/>
                <w:sz w:val="20"/>
                <w:szCs w:val="20"/>
              </w:rPr>
              <w:t>0.446</w:t>
            </w:r>
          </w:p>
        </w:tc>
        <w:tc>
          <w:tcPr>
            <w:tcW w:w="768" w:type="dxa"/>
            <w:tcBorders>
              <w:top w:val="nil"/>
              <w:left w:val="nil"/>
              <w:bottom w:val="single" w:sz="12" w:space="0" w:color="auto"/>
              <w:right w:val="nil"/>
            </w:tcBorders>
            <w:shd w:val="clear" w:color="auto" w:fill="auto"/>
            <w:noWrap/>
            <w:vAlign w:val="bottom"/>
            <w:hideMark/>
          </w:tcPr>
          <w:p w14:paraId="0769C13B" w14:textId="77777777" w:rsidR="00971C94" w:rsidRDefault="00971C94">
            <w:pPr>
              <w:jc w:val="right"/>
              <w:rPr>
                <w:color w:val="000000"/>
                <w:sz w:val="20"/>
                <w:szCs w:val="20"/>
              </w:rPr>
            </w:pPr>
            <w:r>
              <w:rPr>
                <w:color w:val="000000"/>
                <w:sz w:val="20"/>
                <w:szCs w:val="20"/>
              </w:rPr>
              <w:t>0.002</w:t>
            </w:r>
          </w:p>
        </w:tc>
      </w:tr>
      <w:tr w:rsidR="00971C94" w14:paraId="2B19B745" w14:textId="77777777" w:rsidTr="00285FEC">
        <w:trPr>
          <w:trHeight w:val="260"/>
        </w:trPr>
        <w:tc>
          <w:tcPr>
            <w:tcW w:w="1176" w:type="dxa"/>
            <w:tcBorders>
              <w:top w:val="single" w:sz="12" w:space="0" w:color="auto"/>
              <w:left w:val="nil"/>
              <w:bottom w:val="nil"/>
              <w:right w:val="nil"/>
            </w:tcBorders>
            <w:shd w:val="clear" w:color="auto" w:fill="auto"/>
            <w:noWrap/>
            <w:vAlign w:val="bottom"/>
            <w:hideMark/>
          </w:tcPr>
          <w:p w14:paraId="099140FC" w14:textId="77777777" w:rsidR="00971C94" w:rsidRDefault="00971C94">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2476AC89" w14:textId="77777777" w:rsidR="00971C94" w:rsidRDefault="00971C94">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77C5C4F4"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921C5E4"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FB1A268"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CB03CE1"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01C806C"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0776C4D"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082A13C"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E705DC7"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7CA7330"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CB1AE63"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77BDD69"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5E9EFFE"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A8BDDD"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68891E9" w14:textId="77777777" w:rsidR="00971C94" w:rsidRDefault="00971C94">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052948C" w14:textId="77777777" w:rsidR="00971C94" w:rsidRDefault="00971C94">
            <w:pPr>
              <w:rPr>
                <w:sz w:val="20"/>
                <w:szCs w:val="20"/>
              </w:rPr>
            </w:pPr>
          </w:p>
        </w:tc>
      </w:tr>
    </w:tbl>
    <w:p w14:paraId="475A0D08" w14:textId="77777777" w:rsidR="003F1B09" w:rsidRDefault="003F1B09">
      <w:pPr>
        <w:rPr>
          <w:rFonts w:eastAsiaTheme="majorEastAsia"/>
          <w:color w:val="000000" w:themeColor="text1"/>
        </w:rPr>
      </w:pPr>
      <w:r>
        <w:rPr>
          <w:color w:val="000000" w:themeColor="text1"/>
        </w:rPr>
        <w:br w:type="page"/>
      </w:r>
    </w:p>
    <w:p w14:paraId="0EBD6A4A" w14:textId="28281254" w:rsidR="003B7E29" w:rsidRDefault="00432B71" w:rsidP="003F1B09">
      <w:pPr>
        <w:pStyle w:val="Heading1"/>
        <w:rPr>
          <w:rFonts w:ascii="Times New Roman" w:hAnsi="Times New Roman" w:cs="Times New Roman"/>
          <w:color w:val="000000" w:themeColor="text1"/>
          <w:sz w:val="24"/>
          <w:szCs w:val="24"/>
        </w:rPr>
      </w:pPr>
      <w:bookmarkStart w:id="59" w:name="_Toc155817726"/>
      <w:r>
        <w:rPr>
          <w:rFonts w:ascii="Times New Roman" w:hAnsi="Times New Roman" w:cs="Times New Roman"/>
          <w:b/>
          <w:bCs/>
          <w:color w:val="000000" w:themeColor="text1"/>
          <w:sz w:val="24"/>
          <w:szCs w:val="24"/>
        </w:rPr>
        <w:lastRenderedPageBreak/>
        <w:t xml:space="preserve">Table </w:t>
      </w:r>
      <w:r w:rsidR="003F1B09">
        <w:rPr>
          <w:rFonts w:ascii="Times New Roman" w:hAnsi="Times New Roman" w:cs="Times New Roman"/>
          <w:b/>
          <w:bCs/>
          <w:color w:val="000000" w:themeColor="text1"/>
          <w:sz w:val="24"/>
          <w:szCs w:val="24"/>
        </w:rPr>
        <w:t>2</w:t>
      </w:r>
      <w:r w:rsidR="0036523A">
        <w:rPr>
          <w:rFonts w:ascii="Times New Roman" w:hAnsi="Times New Roman" w:cs="Times New Roman"/>
          <w:b/>
          <w:bCs/>
          <w:color w:val="000000" w:themeColor="text1"/>
          <w:sz w:val="24"/>
          <w:szCs w:val="24"/>
        </w:rPr>
        <w:t>4</w:t>
      </w:r>
      <w:r w:rsidR="003F1B09">
        <w:rPr>
          <w:rFonts w:ascii="Times New Roman" w:hAnsi="Times New Roman" w:cs="Times New Roman"/>
          <w:b/>
          <w:bCs/>
          <w:color w:val="000000" w:themeColor="text1"/>
          <w:sz w:val="24"/>
          <w:szCs w:val="24"/>
        </w:rPr>
        <w:t>b</w:t>
      </w:r>
      <w:r w:rsidR="003F1B09" w:rsidRPr="009E2A20">
        <w:rPr>
          <w:rFonts w:ascii="Times New Roman" w:hAnsi="Times New Roman" w:cs="Times New Roman"/>
          <w:b/>
          <w:bCs/>
          <w:color w:val="000000" w:themeColor="text1"/>
          <w:sz w:val="24"/>
          <w:szCs w:val="24"/>
        </w:rPr>
        <w:t xml:space="preserve">. </w:t>
      </w:r>
      <w:r w:rsidR="003F1B09" w:rsidRPr="009E2A20">
        <w:rPr>
          <w:rFonts w:ascii="Times New Roman" w:hAnsi="Times New Roman" w:cs="Times New Roman"/>
          <w:color w:val="000000" w:themeColor="text1"/>
          <w:sz w:val="24"/>
          <w:szCs w:val="24"/>
        </w:rPr>
        <w:t xml:space="preserve">Results examining the relationship between environmental stress factors obtained from </w:t>
      </w:r>
      <w:r w:rsidR="003F1B09">
        <w:rPr>
          <w:rFonts w:ascii="Times New Roman" w:hAnsi="Times New Roman" w:cs="Times New Roman"/>
          <w:color w:val="000000" w:themeColor="text1"/>
          <w:sz w:val="24"/>
          <w:szCs w:val="24"/>
        </w:rPr>
        <w:t>higher-order</w:t>
      </w:r>
      <w:r w:rsidR="003F1B09" w:rsidRPr="009E2A20">
        <w:rPr>
          <w:rFonts w:ascii="Times New Roman" w:hAnsi="Times New Roman" w:cs="Times New Roman"/>
          <w:color w:val="000000" w:themeColor="text1"/>
          <w:sz w:val="24"/>
          <w:szCs w:val="24"/>
        </w:rPr>
        <w:t xml:space="preserve"> modeling and Shen-268 network </w:t>
      </w:r>
      <w:r w:rsidR="003F1B09">
        <w:rPr>
          <w:rFonts w:ascii="Times New Roman" w:hAnsi="Times New Roman" w:cs="Times New Roman"/>
          <w:color w:val="000000" w:themeColor="text1"/>
          <w:sz w:val="24"/>
          <w:szCs w:val="24"/>
        </w:rPr>
        <w:t xml:space="preserve">local efficiency </w:t>
      </w:r>
      <w:r w:rsidR="003F1B09" w:rsidRPr="009E2A20">
        <w:rPr>
          <w:rFonts w:ascii="Times New Roman" w:hAnsi="Times New Roman" w:cs="Times New Roman"/>
          <w:color w:val="000000" w:themeColor="text1"/>
          <w:sz w:val="24"/>
          <w:szCs w:val="24"/>
        </w:rPr>
        <w:t xml:space="preserve">during </w:t>
      </w:r>
      <w:r w:rsidR="003F1B09">
        <w:rPr>
          <w:rFonts w:ascii="Times New Roman" w:hAnsi="Times New Roman" w:cs="Times New Roman"/>
          <w:color w:val="000000" w:themeColor="text1"/>
          <w:sz w:val="24"/>
          <w:szCs w:val="24"/>
        </w:rPr>
        <w:t>emotional n-back task controlling for medication</w:t>
      </w:r>
      <w:bookmarkEnd w:id="59"/>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973EB0" w14:paraId="2557A8D3" w14:textId="77777777" w:rsidTr="00285FEC">
        <w:trPr>
          <w:trHeight w:val="280"/>
        </w:trPr>
        <w:tc>
          <w:tcPr>
            <w:tcW w:w="1176" w:type="dxa"/>
            <w:tcBorders>
              <w:top w:val="nil"/>
              <w:left w:val="nil"/>
              <w:bottom w:val="single" w:sz="12" w:space="0" w:color="auto"/>
              <w:right w:val="nil"/>
            </w:tcBorders>
            <w:shd w:val="clear" w:color="auto" w:fill="auto"/>
            <w:noWrap/>
            <w:vAlign w:val="bottom"/>
            <w:hideMark/>
          </w:tcPr>
          <w:p w14:paraId="57000150" w14:textId="77777777" w:rsidR="00973EB0" w:rsidRDefault="00973EB0">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bottom"/>
            <w:hideMark/>
          </w:tcPr>
          <w:p w14:paraId="363F43F0" w14:textId="77777777" w:rsidR="00973EB0" w:rsidRDefault="00973EB0">
            <w:pPr>
              <w:rPr>
                <w:color w:val="000000"/>
                <w:sz w:val="20"/>
                <w:szCs w:val="20"/>
              </w:rPr>
            </w:pPr>
            <w:r>
              <w:rPr>
                <w:color w:val="000000"/>
                <w:sz w:val="20"/>
                <w:szCs w:val="20"/>
              </w:rPr>
              <w:t> </w:t>
            </w:r>
          </w:p>
        </w:tc>
        <w:tc>
          <w:tcPr>
            <w:tcW w:w="767" w:type="dxa"/>
            <w:tcBorders>
              <w:top w:val="nil"/>
              <w:left w:val="nil"/>
              <w:bottom w:val="single" w:sz="12" w:space="0" w:color="auto"/>
              <w:right w:val="nil"/>
            </w:tcBorders>
            <w:shd w:val="clear" w:color="auto" w:fill="auto"/>
            <w:noWrap/>
            <w:vAlign w:val="bottom"/>
            <w:hideMark/>
          </w:tcPr>
          <w:p w14:paraId="341E1AEA" w14:textId="77777777" w:rsidR="00973EB0" w:rsidRDefault="00973EB0">
            <w:pPr>
              <w:rPr>
                <w:color w:val="000000"/>
                <w:sz w:val="20"/>
                <w:szCs w:val="20"/>
              </w:rPr>
            </w:pPr>
          </w:p>
        </w:tc>
        <w:tc>
          <w:tcPr>
            <w:tcW w:w="768" w:type="dxa"/>
            <w:tcBorders>
              <w:top w:val="nil"/>
              <w:left w:val="nil"/>
              <w:bottom w:val="single" w:sz="12" w:space="0" w:color="auto"/>
              <w:right w:val="nil"/>
            </w:tcBorders>
            <w:shd w:val="clear" w:color="auto" w:fill="auto"/>
            <w:noWrap/>
            <w:vAlign w:val="bottom"/>
            <w:hideMark/>
          </w:tcPr>
          <w:p w14:paraId="01FB5CDA"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325C282"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AA3A840"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37AAAD7"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3F8E33B"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E322247"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459E173"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72AC295"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E77A4BF"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EF80C54"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CFDBD4B"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D53CABA"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2950B4D" w14:textId="77777777" w:rsidR="00973EB0" w:rsidRDefault="00973EB0">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ADF589F" w14:textId="77777777" w:rsidR="00973EB0" w:rsidRDefault="00973EB0">
            <w:pPr>
              <w:rPr>
                <w:sz w:val="20"/>
                <w:szCs w:val="20"/>
              </w:rPr>
            </w:pPr>
          </w:p>
        </w:tc>
      </w:tr>
      <w:tr w:rsidR="00973EB0" w14:paraId="11361EBC" w14:textId="77777777" w:rsidTr="00285FEC">
        <w:trPr>
          <w:trHeight w:val="340"/>
        </w:trPr>
        <w:tc>
          <w:tcPr>
            <w:tcW w:w="1176" w:type="dxa"/>
            <w:tcBorders>
              <w:top w:val="single" w:sz="12" w:space="0" w:color="auto"/>
              <w:left w:val="nil"/>
              <w:bottom w:val="nil"/>
              <w:right w:val="nil"/>
            </w:tcBorders>
            <w:shd w:val="clear" w:color="auto" w:fill="auto"/>
            <w:noWrap/>
            <w:vAlign w:val="bottom"/>
            <w:hideMark/>
          </w:tcPr>
          <w:p w14:paraId="2EF4710F" w14:textId="77777777" w:rsidR="00973EB0" w:rsidRDefault="00973EB0">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72A20E15" w14:textId="77777777" w:rsidR="00973EB0" w:rsidRDefault="00973EB0">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4E034054" w14:textId="77777777" w:rsidR="00973EB0" w:rsidRDefault="00973EB0">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DC7A45D" w14:textId="77777777" w:rsidR="00973EB0" w:rsidRDefault="00973EB0">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EF9796D" w14:textId="77777777" w:rsidR="00973EB0" w:rsidRDefault="00973EB0">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3B404F7" w14:textId="77777777" w:rsidR="00973EB0" w:rsidRDefault="00973EB0">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0C2F64AE" w14:textId="77777777" w:rsidR="00973EB0" w:rsidRDefault="00973EB0">
            <w:pPr>
              <w:jc w:val="center"/>
              <w:rPr>
                <w:color w:val="000000"/>
                <w:sz w:val="20"/>
                <w:szCs w:val="20"/>
              </w:rPr>
            </w:pPr>
            <w:r>
              <w:rPr>
                <w:color w:val="000000"/>
                <w:sz w:val="20"/>
                <w:szCs w:val="20"/>
              </w:rPr>
              <w:t>Urbanicity</w:t>
            </w:r>
          </w:p>
        </w:tc>
      </w:tr>
      <w:tr w:rsidR="00973EB0" w14:paraId="71A09632" w14:textId="77777777" w:rsidTr="00285FEC">
        <w:trPr>
          <w:trHeight w:val="360"/>
        </w:trPr>
        <w:tc>
          <w:tcPr>
            <w:tcW w:w="1176" w:type="dxa"/>
            <w:tcBorders>
              <w:top w:val="nil"/>
              <w:left w:val="nil"/>
              <w:bottom w:val="single" w:sz="12" w:space="0" w:color="auto"/>
              <w:right w:val="nil"/>
            </w:tcBorders>
            <w:shd w:val="clear" w:color="auto" w:fill="auto"/>
            <w:noWrap/>
            <w:vAlign w:val="bottom"/>
            <w:hideMark/>
          </w:tcPr>
          <w:p w14:paraId="6445DCA0" w14:textId="77777777" w:rsidR="00973EB0" w:rsidRDefault="00973EB0">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672DC728" w14:textId="77777777" w:rsidR="00973EB0" w:rsidRDefault="00973EB0">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623E2BFC" w14:textId="77777777" w:rsidR="00973EB0" w:rsidRDefault="00973EB0">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62A5651" w14:textId="77777777" w:rsidR="00973EB0" w:rsidRDefault="00973EB0">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13E06E4" w14:textId="77777777" w:rsidR="00973EB0" w:rsidRDefault="00973EB0">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39B2BC6" w14:textId="77777777" w:rsidR="00973EB0" w:rsidRDefault="00973EB0">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2EB27B1" w14:textId="77777777" w:rsidR="00973EB0" w:rsidRDefault="00973EB0">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25E8632" w14:textId="77777777" w:rsidR="00973EB0" w:rsidRDefault="00973EB0">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1F4EFE4A" w14:textId="77777777" w:rsidR="00973EB0" w:rsidRDefault="00973EB0">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47E135B" w14:textId="77777777" w:rsidR="00973EB0" w:rsidRDefault="00973EB0">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3B965EB" w14:textId="77777777" w:rsidR="00973EB0" w:rsidRDefault="00973EB0">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5A87DCBC" w14:textId="77777777" w:rsidR="00973EB0" w:rsidRDefault="00973EB0">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92BF582" w14:textId="77777777" w:rsidR="00973EB0" w:rsidRDefault="00973EB0">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6765492" w14:textId="77777777" w:rsidR="00973EB0" w:rsidRDefault="00973EB0">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54971E6F" w14:textId="77777777" w:rsidR="00973EB0" w:rsidRDefault="00973EB0">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4776769" w14:textId="77777777" w:rsidR="00973EB0" w:rsidRDefault="00973EB0">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3C6EDE1" w14:textId="77777777" w:rsidR="00973EB0" w:rsidRDefault="00973EB0">
            <w:pPr>
              <w:jc w:val="center"/>
              <w:rPr>
                <w:i/>
                <w:iCs/>
                <w:color w:val="000000"/>
                <w:sz w:val="20"/>
                <w:szCs w:val="20"/>
              </w:rPr>
            </w:pPr>
            <w:r>
              <w:rPr>
                <w:i/>
                <w:iCs/>
                <w:color w:val="000000"/>
                <w:sz w:val="20"/>
                <w:szCs w:val="20"/>
              </w:rPr>
              <w:t>R2</w:t>
            </w:r>
          </w:p>
        </w:tc>
      </w:tr>
      <w:tr w:rsidR="00973EB0" w14:paraId="69EE4110" w14:textId="77777777" w:rsidTr="00285FEC">
        <w:trPr>
          <w:trHeight w:val="260"/>
        </w:trPr>
        <w:tc>
          <w:tcPr>
            <w:tcW w:w="1176" w:type="dxa"/>
            <w:tcBorders>
              <w:top w:val="single" w:sz="12" w:space="0" w:color="auto"/>
              <w:left w:val="nil"/>
              <w:bottom w:val="nil"/>
              <w:right w:val="nil"/>
            </w:tcBorders>
            <w:shd w:val="clear" w:color="auto" w:fill="auto"/>
            <w:noWrap/>
            <w:vAlign w:val="bottom"/>
            <w:hideMark/>
          </w:tcPr>
          <w:p w14:paraId="38AEE49D" w14:textId="77777777" w:rsidR="00973EB0" w:rsidRDefault="00973EB0">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28853CF8" w14:textId="77777777" w:rsidR="00973EB0" w:rsidRDefault="00973EB0">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1A80B915" w14:textId="77777777" w:rsidR="00973EB0" w:rsidRDefault="00973EB0">
            <w:pPr>
              <w:jc w:val="right"/>
              <w:rPr>
                <w:color w:val="000000"/>
                <w:sz w:val="20"/>
                <w:szCs w:val="20"/>
              </w:rPr>
            </w:pPr>
            <w:r>
              <w:rPr>
                <w:color w:val="000000"/>
                <w:sz w:val="20"/>
                <w:szCs w:val="20"/>
              </w:rPr>
              <w:t>-0.033</w:t>
            </w:r>
          </w:p>
        </w:tc>
        <w:tc>
          <w:tcPr>
            <w:tcW w:w="768" w:type="dxa"/>
            <w:tcBorders>
              <w:top w:val="single" w:sz="12" w:space="0" w:color="auto"/>
              <w:left w:val="nil"/>
              <w:bottom w:val="nil"/>
              <w:right w:val="nil"/>
            </w:tcBorders>
            <w:shd w:val="clear" w:color="auto" w:fill="auto"/>
            <w:noWrap/>
            <w:vAlign w:val="bottom"/>
            <w:hideMark/>
          </w:tcPr>
          <w:p w14:paraId="57491CF0" w14:textId="77777777" w:rsidR="00973EB0" w:rsidRDefault="00973EB0">
            <w:pPr>
              <w:jc w:val="right"/>
              <w:rPr>
                <w:color w:val="000000"/>
                <w:sz w:val="20"/>
                <w:szCs w:val="20"/>
              </w:rPr>
            </w:pPr>
            <w:r>
              <w:rPr>
                <w:color w:val="000000"/>
                <w:sz w:val="20"/>
                <w:szCs w:val="20"/>
              </w:rPr>
              <w:t>0.760</w:t>
            </w:r>
          </w:p>
        </w:tc>
        <w:tc>
          <w:tcPr>
            <w:tcW w:w="768" w:type="dxa"/>
            <w:tcBorders>
              <w:top w:val="single" w:sz="12" w:space="0" w:color="auto"/>
              <w:left w:val="nil"/>
              <w:bottom w:val="nil"/>
              <w:right w:val="nil"/>
            </w:tcBorders>
            <w:shd w:val="clear" w:color="auto" w:fill="auto"/>
            <w:noWrap/>
            <w:vAlign w:val="bottom"/>
            <w:hideMark/>
          </w:tcPr>
          <w:p w14:paraId="2AE819E0" w14:textId="77777777" w:rsidR="00973EB0" w:rsidRDefault="00973EB0">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2535756D" w14:textId="77777777" w:rsidR="00973EB0" w:rsidRDefault="00973EB0">
            <w:pPr>
              <w:jc w:val="right"/>
              <w:rPr>
                <w:color w:val="000000"/>
                <w:sz w:val="20"/>
                <w:szCs w:val="20"/>
              </w:rPr>
            </w:pPr>
            <w:r>
              <w:rPr>
                <w:color w:val="000000"/>
                <w:sz w:val="20"/>
                <w:szCs w:val="20"/>
              </w:rPr>
              <w:t>0.014</w:t>
            </w:r>
          </w:p>
        </w:tc>
        <w:tc>
          <w:tcPr>
            <w:tcW w:w="768" w:type="dxa"/>
            <w:tcBorders>
              <w:top w:val="single" w:sz="12" w:space="0" w:color="auto"/>
              <w:left w:val="nil"/>
              <w:bottom w:val="nil"/>
              <w:right w:val="nil"/>
            </w:tcBorders>
            <w:shd w:val="clear" w:color="auto" w:fill="auto"/>
            <w:noWrap/>
            <w:vAlign w:val="bottom"/>
            <w:hideMark/>
          </w:tcPr>
          <w:p w14:paraId="0EE6A247" w14:textId="77777777" w:rsidR="00973EB0" w:rsidRDefault="00973EB0">
            <w:pPr>
              <w:jc w:val="right"/>
              <w:rPr>
                <w:color w:val="000000"/>
                <w:sz w:val="20"/>
                <w:szCs w:val="20"/>
              </w:rPr>
            </w:pPr>
            <w:r>
              <w:rPr>
                <w:color w:val="000000"/>
                <w:sz w:val="20"/>
                <w:szCs w:val="20"/>
              </w:rPr>
              <w:t>0.948</w:t>
            </w:r>
          </w:p>
        </w:tc>
        <w:tc>
          <w:tcPr>
            <w:tcW w:w="768" w:type="dxa"/>
            <w:tcBorders>
              <w:top w:val="single" w:sz="12" w:space="0" w:color="auto"/>
              <w:left w:val="nil"/>
              <w:bottom w:val="nil"/>
              <w:right w:val="nil"/>
            </w:tcBorders>
            <w:shd w:val="clear" w:color="auto" w:fill="auto"/>
            <w:noWrap/>
            <w:vAlign w:val="bottom"/>
            <w:hideMark/>
          </w:tcPr>
          <w:p w14:paraId="40EC42CD" w14:textId="77777777" w:rsidR="00973EB0" w:rsidRDefault="00973EB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2CB977A" w14:textId="77777777" w:rsidR="00973EB0" w:rsidRDefault="00973EB0">
            <w:pPr>
              <w:jc w:val="right"/>
              <w:rPr>
                <w:color w:val="000000"/>
                <w:sz w:val="20"/>
                <w:szCs w:val="20"/>
              </w:rPr>
            </w:pPr>
            <w:r>
              <w:rPr>
                <w:color w:val="000000"/>
                <w:sz w:val="20"/>
                <w:szCs w:val="20"/>
              </w:rPr>
              <w:t>-0.007</w:t>
            </w:r>
          </w:p>
        </w:tc>
        <w:tc>
          <w:tcPr>
            <w:tcW w:w="768" w:type="dxa"/>
            <w:tcBorders>
              <w:top w:val="single" w:sz="12" w:space="0" w:color="auto"/>
              <w:left w:val="nil"/>
              <w:bottom w:val="nil"/>
              <w:right w:val="nil"/>
            </w:tcBorders>
            <w:shd w:val="clear" w:color="auto" w:fill="auto"/>
            <w:noWrap/>
            <w:vAlign w:val="bottom"/>
            <w:hideMark/>
          </w:tcPr>
          <w:p w14:paraId="177EF778" w14:textId="77777777" w:rsidR="00973EB0" w:rsidRDefault="00973EB0">
            <w:pPr>
              <w:jc w:val="right"/>
              <w:rPr>
                <w:color w:val="000000"/>
                <w:sz w:val="20"/>
                <w:szCs w:val="20"/>
              </w:rPr>
            </w:pPr>
            <w:r>
              <w:rPr>
                <w:color w:val="000000"/>
                <w:sz w:val="20"/>
                <w:szCs w:val="20"/>
              </w:rPr>
              <w:t>0.959</w:t>
            </w:r>
          </w:p>
        </w:tc>
        <w:tc>
          <w:tcPr>
            <w:tcW w:w="768" w:type="dxa"/>
            <w:tcBorders>
              <w:top w:val="single" w:sz="12" w:space="0" w:color="auto"/>
              <w:left w:val="nil"/>
              <w:bottom w:val="nil"/>
              <w:right w:val="nil"/>
            </w:tcBorders>
            <w:shd w:val="clear" w:color="auto" w:fill="auto"/>
            <w:noWrap/>
            <w:vAlign w:val="bottom"/>
            <w:hideMark/>
          </w:tcPr>
          <w:p w14:paraId="7CE86964" w14:textId="77777777" w:rsidR="00973EB0" w:rsidRDefault="00973EB0">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7B20275F" w14:textId="77777777" w:rsidR="00973EB0" w:rsidRDefault="00973EB0">
            <w:pPr>
              <w:jc w:val="right"/>
              <w:rPr>
                <w:color w:val="000000"/>
                <w:sz w:val="20"/>
                <w:szCs w:val="20"/>
              </w:rPr>
            </w:pPr>
            <w:r>
              <w:rPr>
                <w:color w:val="000000"/>
                <w:sz w:val="20"/>
                <w:szCs w:val="20"/>
              </w:rPr>
              <w:t>-0.030</w:t>
            </w:r>
          </w:p>
        </w:tc>
        <w:tc>
          <w:tcPr>
            <w:tcW w:w="768" w:type="dxa"/>
            <w:tcBorders>
              <w:top w:val="single" w:sz="12" w:space="0" w:color="auto"/>
              <w:left w:val="nil"/>
              <w:bottom w:val="nil"/>
              <w:right w:val="nil"/>
            </w:tcBorders>
            <w:shd w:val="clear" w:color="auto" w:fill="auto"/>
            <w:noWrap/>
            <w:vAlign w:val="bottom"/>
            <w:hideMark/>
          </w:tcPr>
          <w:p w14:paraId="1B936611" w14:textId="77777777" w:rsidR="00973EB0" w:rsidRDefault="00973EB0">
            <w:pPr>
              <w:jc w:val="right"/>
              <w:rPr>
                <w:color w:val="000000"/>
                <w:sz w:val="20"/>
                <w:szCs w:val="20"/>
              </w:rPr>
            </w:pPr>
            <w:r>
              <w:rPr>
                <w:color w:val="000000"/>
                <w:sz w:val="20"/>
                <w:szCs w:val="20"/>
              </w:rPr>
              <w:t>0.625</w:t>
            </w:r>
          </w:p>
        </w:tc>
        <w:tc>
          <w:tcPr>
            <w:tcW w:w="768" w:type="dxa"/>
            <w:tcBorders>
              <w:top w:val="single" w:sz="12" w:space="0" w:color="auto"/>
              <w:left w:val="nil"/>
              <w:bottom w:val="nil"/>
              <w:right w:val="nil"/>
            </w:tcBorders>
            <w:shd w:val="clear" w:color="auto" w:fill="auto"/>
            <w:noWrap/>
            <w:vAlign w:val="bottom"/>
            <w:hideMark/>
          </w:tcPr>
          <w:p w14:paraId="00BF6C14" w14:textId="77777777" w:rsidR="00973EB0" w:rsidRDefault="00973EB0">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4AA1DCD5" w14:textId="77777777" w:rsidR="00973EB0" w:rsidRDefault="00973EB0">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3EA1BF9B" w14:textId="77777777" w:rsidR="00973EB0" w:rsidRDefault="00973EB0">
            <w:pPr>
              <w:jc w:val="right"/>
              <w:rPr>
                <w:color w:val="000000"/>
                <w:sz w:val="20"/>
                <w:szCs w:val="20"/>
              </w:rPr>
            </w:pPr>
            <w:r>
              <w:rPr>
                <w:color w:val="000000"/>
                <w:sz w:val="20"/>
                <w:szCs w:val="20"/>
              </w:rPr>
              <w:t>0.895</w:t>
            </w:r>
          </w:p>
        </w:tc>
        <w:tc>
          <w:tcPr>
            <w:tcW w:w="768" w:type="dxa"/>
            <w:tcBorders>
              <w:top w:val="single" w:sz="12" w:space="0" w:color="auto"/>
              <w:left w:val="nil"/>
              <w:bottom w:val="nil"/>
              <w:right w:val="nil"/>
            </w:tcBorders>
            <w:shd w:val="clear" w:color="auto" w:fill="auto"/>
            <w:noWrap/>
            <w:vAlign w:val="bottom"/>
            <w:hideMark/>
          </w:tcPr>
          <w:p w14:paraId="5E4075A6" w14:textId="77777777" w:rsidR="00973EB0" w:rsidRDefault="00973EB0">
            <w:pPr>
              <w:jc w:val="right"/>
              <w:rPr>
                <w:color w:val="000000"/>
                <w:sz w:val="20"/>
                <w:szCs w:val="20"/>
              </w:rPr>
            </w:pPr>
            <w:r>
              <w:rPr>
                <w:color w:val="000000"/>
                <w:sz w:val="20"/>
                <w:szCs w:val="20"/>
              </w:rPr>
              <w:t>0.000</w:t>
            </w:r>
          </w:p>
        </w:tc>
      </w:tr>
      <w:tr w:rsidR="00973EB0" w14:paraId="568BB165" w14:textId="77777777" w:rsidTr="00973EB0">
        <w:trPr>
          <w:trHeight w:val="340"/>
        </w:trPr>
        <w:tc>
          <w:tcPr>
            <w:tcW w:w="1176" w:type="dxa"/>
            <w:tcBorders>
              <w:top w:val="nil"/>
              <w:left w:val="nil"/>
              <w:bottom w:val="nil"/>
              <w:right w:val="nil"/>
            </w:tcBorders>
            <w:shd w:val="clear" w:color="auto" w:fill="auto"/>
            <w:noWrap/>
            <w:vAlign w:val="bottom"/>
            <w:hideMark/>
          </w:tcPr>
          <w:p w14:paraId="7442E1E5"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E0FB49" w14:textId="77777777" w:rsidR="00973EB0" w:rsidRDefault="00973EB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6150B58" w14:textId="77777777" w:rsidR="00973EB0" w:rsidRDefault="00973EB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060F10E" w14:textId="77777777" w:rsidR="00973EB0" w:rsidRDefault="00973EB0">
            <w:pPr>
              <w:jc w:val="right"/>
              <w:rPr>
                <w:color w:val="000000"/>
                <w:sz w:val="20"/>
                <w:szCs w:val="20"/>
              </w:rPr>
            </w:pPr>
            <w:r>
              <w:rPr>
                <w:color w:val="000000"/>
                <w:sz w:val="20"/>
                <w:szCs w:val="20"/>
              </w:rPr>
              <w:t>0.897</w:t>
            </w:r>
          </w:p>
        </w:tc>
        <w:tc>
          <w:tcPr>
            <w:tcW w:w="768" w:type="dxa"/>
            <w:tcBorders>
              <w:top w:val="nil"/>
              <w:left w:val="nil"/>
              <w:bottom w:val="nil"/>
              <w:right w:val="nil"/>
            </w:tcBorders>
            <w:shd w:val="clear" w:color="auto" w:fill="auto"/>
            <w:noWrap/>
            <w:vAlign w:val="bottom"/>
            <w:hideMark/>
          </w:tcPr>
          <w:p w14:paraId="520C87DE"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C52B23" w14:textId="77777777" w:rsidR="00973EB0" w:rsidRDefault="00973EB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814AF3D" w14:textId="77777777" w:rsidR="00973EB0" w:rsidRDefault="00973EB0">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0C93829E"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069781" w14:textId="77777777" w:rsidR="00973EB0" w:rsidRDefault="00973EB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1EEFADE" w14:textId="77777777" w:rsidR="00973EB0" w:rsidRDefault="00973EB0">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681AE9AB"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B8328D9" w14:textId="77777777" w:rsidR="00973EB0" w:rsidRDefault="00973EB0">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21C303F8" w14:textId="77777777" w:rsidR="00973EB0" w:rsidRDefault="00973EB0">
            <w:pPr>
              <w:jc w:val="right"/>
              <w:rPr>
                <w:color w:val="000000"/>
                <w:sz w:val="20"/>
                <w:szCs w:val="20"/>
              </w:rPr>
            </w:pPr>
            <w:r>
              <w:rPr>
                <w:color w:val="000000"/>
                <w:sz w:val="20"/>
                <w:szCs w:val="20"/>
              </w:rPr>
              <w:t>0.625</w:t>
            </w:r>
          </w:p>
        </w:tc>
        <w:tc>
          <w:tcPr>
            <w:tcW w:w="768" w:type="dxa"/>
            <w:tcBorders>
              <w:top w:val="nil"/>
              <w:left w:val="nil"/>
              <w:bottom w:val="nil"/>
              <w:right w:val="nil"/>
            </w:tcBorders>
            <w:shd w:val="clear" w:color="auto" w:fill="auto"/>
            <w:noWrap/>
            <w:vAlign w:val="bottom"/>
            <w:hideMark/>
          </w:tcPr>
          <w:p w14:paraId="517C13BD"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00E20EA" w14:textId="77777777" w:rsidR="00973EB0" w:rsidRDefault="00973EB0">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59117005" w14:textId="77777777" w:rsidR="00973EB0" w:rsidRDefault="00973EB0">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0D0366CE" w14:textId="77777777" w:rsidR="00973EB0" w:rsidRDefault="00973EB0">
            <w:pPr>
              <w:jc w:val="right"/>
              <w:rPr>
                <w:color w:val="000000"/>
                <w:sz w:val="20"/>
                <w:szCs w:val="20"/>
              </w:rPr>
            </w:pPr>
            <w:r>
              <w:rPr>
                <w:color w:val="000000"/>
                <w:sz w:val="20"/>
                <w:szCs w:val="20"/>
              </w:rPr>
              <w:t>0.004</w:t>
            </w:r>
          </w:p>
        </w:tc>
      </w:tr>
      <w:tr w:rsidR="00973EB0" w14:paraId="0D5098FE" w14:textId="77777777" w:rsidTr="00973EB0">
        <w:trPr>
          <w:trHeight w:val="260"/>
        </w:trPr>
        <w:tc>
          <w:tcPr>
            <w:tcW w:w="1176" w:type="dxa"/>
            <w:tcBorders>
              <w:top w:val="nil"/>
              <w:left w:val="nil"/>
              <w:bottom w:val="nil"/>
              <w:right w:val="nil"/>
            </w:tcBorders>
            <w:shd w:val="clear" w:color="auto" w:fill="auto"/>
            <w:noWrap/>
            <w:vAlign w:val="bottom"/>
            <w:hideMark/>
          </w:tcPr>
          <w:p w14:paraId="4821513F"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36CAC2" w14:textId="77777777" w:rsidR="00973EB0" w:rsidRDefault="00973EB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E0D4B64" w14:textId="77777777" w:rsidR="00973EB0" w:rsidRDefault="00973EB0">
            <w:pPr>
              <w:jc w:val="right"/>
              <w:rPr>
                <w:color w:val="000000"/>
                <w:sz w:val="20"/>
                <w:szCs w:val="20"/>
              </w:rPr>
            </w:pPr>
            <w:r>
              <w:rPr>
                <w:color w:val="000000"/>
                <w:sz w:val="20"/>
                <w:szCs w:val="20"/>
              </w:rPr>
              <w:t>-0.153</w:t>
            </w:r>
          </w:p>
        </w:tc>
        <w:tc>
          <w:tcPr>
            <w:tcW w:w="768" w:type="dxa"/>
            <w:tcBorders>
              <w:top w:val="nil"/>
              <w:left w:val="nil"/>
              <w:bottom w:val="nil"/>
              <w:right w:val="nil"/>
            </w:tcBorders>
            <w:shd w:val="clear" w:color="auto" w:fill="auto"/>
            <w:noWrap/>
            <w:vAlign w:val="bottom"/>
            <w:hideMark/>
          </w:tcPr>
          <w:p w14:paraId="0F123025" w14:textId="77777777" w:rsidR="00973EB0" w:rsidRDefault="00973EB0">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47CDB5CF" w14:textId="77777777" w:rsidR="00973EB0" w:rsidRDefault="00973EB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9C4B325" w14:textId="77777777" w:rsidR="00973EB0" w:rsidRDefault="00973EB0">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4A197054" w14:textId="77777777" w:rsidR="00973EB0" w:rsidRDefault="00973EB0">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4CF710D8"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4E0F80" w14:textId="77777777" w:rsidR="00973EB0" w:rsidRDefault="00973EB0">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76B583F4" w14:textId="77777777" w:rsidR="00973EB0" w:rsidRDefault="00973EB0">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2C941B68"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8EC30AF" w14:textId="77777777" w:rsidR="00973EB0" w:rsidRDefault="00973EB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814837D" w14:textId="77777777" w:rsidR="00973EB0" w:rsidRDefault="00973EB0">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36052B0D"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5166FD" w14:textId="77777777" w:rsidR="00973EB0" w:rsidRDefault="00973EB0">
            <w:pPr>
              <w:jc w:val="right"/>
              <w:rPr>
                <w:color w:val="000000"/>
                <w:sz w:val="20"/>
                <w:szCs w:val="20"/>
              </w:rPr>
            </w:pPr>
            <w:r>
              <w:rPr>
                <w:color w:val="000000"/>
                <w:sz w:val="20"/>
                <w:szCs w:val="20"/>
              </w:rPr>
              <w:t>-0.206</w:t>
            </w:r>
          </w:p>
        </w:tc>
        <w:tc>
          <w:tcPr>
            <w:tcW w:w="768" w:type="dxa"/>
            <w:tcBorders>
              <w:top w:val="nil"/>
              <w:left w:val="nil"/>
              <w:bottom w:val="nil"/>
              <w:right w:val="nil"/>
            </w:tcBorders>
            <w:shd w:val="clear" w:color="auto" w:fill="auto"/>
            <w:noWrap/>
            <w:vAlign w:val="bottom"/>
            <w:hideMark/>
          </w:tcPr>
          <w:p w14:paraId="70E8ECDF" w14:textId="77777777" w:rsidR="00973EB0" w:rsidRDefault="00973EB0">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32D415AF" w14:textId="77777777" w:rsidR="00973EB0" w:rsidRDefault="00973EB0">
            <w:pPr>
              <w:jc w:val="right"/>
              <w:rPr>
                <w:color w:val="000000"/>
                <w:sz w:val="20"/>
                <w:szCs w:val="20"/>
              </w:rPr>
            </w:pPr>
            <w:r>
              <w:rPr>
                <w:color w:val="000000"/>
                <w:sz w:val="20"/>
                <w:szCs w:val="20"/>
              </w:rPr>
              <w:t>0.042</w:t>
            </w:r>
          </w:p>
        </w:tc>
      </w:tr>
      <w:tr w:rsidR="00973EB0" w14:paraId="4FFF5F21" w14:textId="77777777" w:rsidTr="00973EB0">
        <w:trPr>
          <w:trHeight w:val="260"/>
        </w:trPr>
        <w:tc>
          <w:tcPr>
            <w:tcW w:w="1176" w:type="dxa"/>
            <w:tcBorders>
              <w:top w:val="nil"/>
              <w:left w:val="nil"/>
              <w:bottom w:val="nil"/>
              <w:right w:val="nil"/>
            </w:tcBorders>
            <w:shd w:val="clear" w:color="auto" w:fill="auto"/>
            <w:noWrap/>
            <w:vAlign w:val="bottom"/>
            <w:hideMark/>
          </w:tcPr>
          <w:p w14:paraId="680A0783"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3CF121E" w14:textId="77777777" w:rsidR="00973EB0" w:rsidRDefault="00973EB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9F6E776" w14:textId="77777777" w:rsidR="00973EB0" w:rsidRDefault="00973EB0">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01A5630" w14:textId="77777777" w:rsidR="00973EB0" w:rsidRDefault="00973EB0">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7D692B60"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6B20E11" w14:textId="77777777" w:rsidR="00973EB0" w:rsidRDefault="00973EB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7D27652" w14:textId="77777777" w:rsidR="00973EB0" w:rsidRDefault="00973EB0">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201200F5"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BB7052" w14:textId="77777777" w:rsidR="00973EB0" w:rsidRDefault="00973EB0">
            <w:pPr>
              <w:jc w:val="right"/>
              <w:rPr>
                <w:color w:val="000000"/>
                <w:sz w:val="20"/>
                <w:szCs w:val="20"/>
              </w:rPr>
            </w:pPr>
            <w:r>
              <w:rPr>
                <w:color w:val="000000"/>
                <w:sz w:val="20"/>
                <w:szCs w:val="20"/>
              </w:rPr>
              <w:t>-0.108</w:t>
            </w:r>
          </w:p>
        </w:tc>
        <w:tc>
          <w:tcPr>
            <w:tcW w:w="768" w:type="dxa"/>
            <w:tcBorders>
              <w:top w:val="nil"/>
              <w:left w:val="nil"/>
              <w:bottom w:val="nil"/>
              <w:right w:val="nil"/>
            </w:tcBorders>
            <w:shd w:val="clear" w:color="auto" w:fill="auto"/>
            <w:noWrap/>
            <w:vAlign w:val="bottom"/>
            <w:hideMark/>
          </w:tcPr>
          <w:p w14:paraId="4AD0F845" w14:textId="77777777" w:rsidR="00973EB0" w:rsidRDefault="00973EB0">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4DD139EB" w14:textId="77777777" w:rsidR="00973EB0" w:rsidRDefault="00973EB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EA7D7D1" w14:textId="77777777" w:rsidR="00973EB0" w:rsidRDefault="00973EB0">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380F58E6" w14:textId="77777777" w:rsidR="00973EB0" w:rsidRDefault="00973EB0">
            <w:pPr>
              <w:jc w:val="right"/>
              <w:rPr>
                <w:color w:val="000000"/>
                <w:sz w:val="20"/>
                <w:szCs w:val="20"/>
              </w:rPr>
            </w:pPr>
            <w:r>
              <w:rPr>
                <w:color w:val="000000"/>
                <w:sz w:val="20"/>
                <w:szCs w:val="20"/>
              </w:rPr>
              <w:t>0.625</w:t>
            </w:r>
          </w:p>
        </w:tc>
        <w:tc>
          <w:tcPr>
            <w:tcW w:w="768" w:type="dxa"/>
            <w:tcBorders>
              <w:top w:val="nil"/>
              <w:left w:val="nil"/>
              <w:bottom w:val="nil"/>
              <w:right w:val="nil"/>
            </w:tcBorders>
            <w:shd w:val="clear" w:color="auto" w:fill="auto"/>
            <w:noWrap/>
            <w:vAlign w:val="bottom"/>
            <w:hideMark/>
          </w:tcPr>
          <w:p w14:paraId="3FD23FA7"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FE0CA2C" w14:textId="77777777" w:rsidR="00973EB0" w:rsidRDefault="00973EB0">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DB8F863" w14:textId="77777777" w:rsidR="00973EB0" w:rsidRDefault="00973EB0">
            <w:pPr>
              <w:jc w:val="right"/>
              <w:rPr>
                <w:color w:val="000000"/>
                <w:sz w:val="20"/>
                <w:szCs w:val="20"/>
              </w:rPr>
            </w:pPr>
            <w:r>
              <w:rPr>
                <w:color w:val="000000"/>
                <w:sz w:val="20"/>
                <w:szCs w:val="20"/>
              </w:rPr>
              <w:t>0.895</w:t>
            </w:r>
          </w:p>
        </w:tc>
        <w:tc>
          <w:tcPr>
            <w:tcW w:w="768" w:type="dxa"/>
            <w:tcBorders>
              <w:top w:val="nil"/>
              <w:left w:val="nil"/>
              <w:bottom w:val="nil"/>
              <w:right w:val="nil"/>
            </w:tcBorders>
            <w:shd w:val="clear" w:color="auto" w:fill="auto"/>
            <w:noWrap/>
            <w:vAlign w:val="bottom"/>
            <w:hideMark/>
          </w:tcPr>
          <w:p w14:paraId="6C1DD849" w14:textId="77777777" w:rsidR="00973EB0" w:rsidRDefault="00973EB0">
            <w:pPr>
              <w:jc w:val="right"/>
              <w:rPr>
                <w:color w:val="000000"/>
                <w:sz w:val="20"/>
                <w:szCs w:val="20"/>
              </w:rPr>
            </w:pPr>
            <w:r>
              <w:rPr>
                <w:color w:val="000000"/>
                <w:sz w:val="20"/>
                <w:szCs w:val="20"/>
              </w:rPr>
              <w:t>0.002</w:t>
            </w:r>
          </w:p>
        </w:tc>
      </w:tr>
      <w:tr w:rsidR="00973EB0" w14:paraId="74375B9D" w14:textId="77777777" w:rsidTr="00973EB0">
        <w:trPr>
          <w:trHeight w:val="260"/>
        </w:trPr>
        <w:tc>
          <w:tcPr>
            <w:tcW w:w="1176" w:type="dxa"/>
            <w:tcBorders>
              <w:top w:val="nil"/>
              <w:left w:val="nil"/>
              <w:bottom w:val="nil"/>
              <w:right w:val="nil"/>
            </w:tcBorders>
            <w:shd w:val="clear" w:color="auto" w:fill="auto"/>
            <w:noWrap/>
            <w:vAlign w:val="bottom"/>
            <w:hideMark/>
          </w:tcPr>
          <w:p w14:paraId="12F16383"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18348FE" w14:textId="77777777" w:rsidR="00973EB0" w:rsidRDefault="00973EB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4941F27" w14:textId="77777777" w:rsidR="00973EB0" w:rsidRDefault="00973EB0">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317BDDB5" w14:textId="77777777" w:rsidR="00973EB0" w:rsidRDefault="00973EB0">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77F5279E"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2FDC173" w14:textId="77777777" w:rsidR="00973EB0" w:rsidRDefault="00973EB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2BF325BB" w14:textId="77777777" w:rsidR="00973EB0" w:rsidRDefault="00973EB0">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29FB3F51"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B8CBBC"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A6CC5D0" w14:textId="77777777" w:rsidR="00973EB0" w:rsidRDefault="00973EB0">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59ED8039"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5CE560" w14:textId="77777777" w:rsidR="00973EB0" w:rsidRDefault="00973EB0">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1D83F1D" w14:textId="77777777" w:rsidR="00973EB0" w:rsidRDefault="00973EB0">
            <w:pPr>
              <w:jc w:val="right"/>
              <w:rPr>
                <w:color w:val="000000"/>
                <w:sz w:val="20"/>
                <w:szCs w:val="20"/>
              </w:rPr>
            </w:pPr>
            <w:r>
              <w:rPr>
                <w:color w:val="000000"/>
                <w:sz w:val="20"/>
                <w:szCs w:val="20"/>
              </w:rPr>
              <w:t>0.625</w:t>
            </w:r>
          </w:p>
        </w:tc>
        <w:tc>
          <w:tcPr>
            <w:tcW w:w="768" w:type="dxa"/>
            <w:tcBorders>
              <w:top w:val="nil"/>
              <w:left w:val="nil"/>
              <w:bottom w:val="nil"/>
              <w:right w:val="nil"/>
            </w:tcBorders>
            <w:shd w:val="clear" w:color="auto" w:fill="auto"/>
            <w:noWrap/>
            <w:vAlign w:val="bottom"/>
            <w:hideMark/>
          </w:tcPr>
          <w:p w14:paraId="2FF9E798"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368491" w14:textId="77777777" w:rsidR="00973EB0" w:rsidRDefault="00973EB0">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43887A0E" w14:textId="77777777" w:rsidR="00973EB0" w:rsidRDefault="00973EB0">
            <w:pPr>
              <w:jc w:val="right"/>
              <w:rPr>
                <w:color w:val="000000"/>
                <w:sz w:val="20"/>
                <w:szCs w:val="20"/>
              </w:rPr>
            </w:pPr>
            <w:r>
              <w:rPr>
                <w:color w:val="000000"/>
                <w:sz w:val="20"/>
                <w:szCs w:val="20"/>
              </w:rPr>
              <w:t>0.895</w:t>
            </w:r>
          </w:p>
        </w:tc>
        <w:tc>
          <w:tcPr>
            <w:tcW w:w="768" w:type="dxa"/>
            <w:tcBorders>
              <w:top w:val="nil"/>
              <w:left w:val="nil"/>
              <w:bottom w:val="nil"/>
              <w:right w:val="nil"/>
            </w:tcBorders>
            <w:shd w:val="clear" w:color="auto" w:fill="auto"/>
            <w:noWrap/>
            <w:vAlign w:val="bottom"/>
            <w:hideMark/>
          </w:tcPr>
          <w:p w14:paraId="65BF3A95" w14:textId="77777777" w:rsidR="00973EB0" w:rsidRDefault="00973EB0">
            <w:pPr>
              <w:jc w:val="right"/>
              <w:rPr>
                <w:color w:val="000000"/>
                <w:sz w:val="20"/>
                <w:szCs w:val="20"/>
              </w:rPr>
            </w:pPr>
            <w:r>
              <w:rPr>
                <w:color w:val="000000"/>
                <w:sz w:val="20"/>
                <w:szCs w:val="20"/>
              </w:rPr>
              <w:t>0.001</w:t>
            </w:r>
          </w:p>
        </w:tc>
      </w:tr>
      <w:tr w:rsidR="00973EB0" w14:paraId="7D04B8C2" w14:textId="77777777" w:rsidTr="00973EB0">
        <w:trPr>
          <w:trHeight w:val="260"/>
        </w:trPr>
        <w:tc>
          <w:tcPr>
            <w:tcW w:w="1176" w:type="dxa"/>
            <w:tcBorders>
              <w:top w:val="nil"/>
              <w:left w:val="nil"/>
              <w:bottom w:val="nil"/>
              <w:right w:val="nil"/>
            </w:tcBorders>
            <w:shd w:val="clear" w:color="auto" w:fill="auto"/>
            <w:noWrap/>
            <w:vAlign w:val="bottom"/>
            <w:hideMark/>
          </w:tcPr>
          <w:p w14:paraId="0AC28F0C"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4F68052" w14:textId="77777777" w:rsidR="00973EB0" w:rsidRDefault="00973EB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FA5B622" w14:textId="77777777" w:rsidR="00973EB0" w:rsidRDefault="00973EB0">
            <w:pPr>
              <w:jc w:val="right"/>
              <w:rPr>
                <w:b/>
                <w:bCs/>
                <w:color w:val="000000"/>
                <w:sz w:val="20"/>
                <w:szCs w:val="20"/>
              </w:rPr>
            </w:pPr>
            <w:r>
              <w:rPr>
                <w:b/>
                <w:bCs/>
                <w:color w:val="000000"/>
                <w:sz w:val="20"/>
                <w:szCs w:val="20"/>
              </w:rPr>
              <w:t>-0.122</w:t>
            </w:r>
          </w:p>
        </w:tc>
        <w:tc>
          <w:tcPr>
            <w:tcW w:w="768" w:type="dxa"/>
            <w:tcBorders>
              <w:top w:val="nil"/>
              <w:left w:val="nil"/>
              <w:bottom w:val="nil"/>
              <w:right w:val="nil"/>
            </w:tcBorders>
            <w:shd w:val="clear" w:color="auto" w:fill="auto"/>
            <w:noWrap/>
            <w:vAlign w:val="bottom"/>
            <w:hideMark/>
          </w:tcPr>
          <w:p w14:paraId="73492937" w14:textId="77777777" w:rsidR="00973EB0" w:rsidRDefault="00973EB0">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58BF0E47" w14:textId="77777777" w:rsidR="00973EB0" w:rsidRDefault="00973EB0">
            <w:pPr>
              <w:jc w:val="right"/>
              <w:rPr>
                <w:b/>
                <w:bCs/>
                <w:color w:val="000000"/>
                <w:sz w:val="20"/>
                <w:szCs w:val="20"/>
              </w:rPr>
            </w:pPr>
            <w:r>
              <w:rPr>
                <w:b/>
                <w:bCs/>
                <w:color w:val="000000"/>
                <w:sz w:val="20"/>
                <w:szCs w:val="20"/>
              </w:rPr>
              <w:t>0.015</w:t>
            </w:r>
          </w:p>
        </w:tc>
        <w:tc>
          <w:tcPr>
            <w:tcW w:w="768" w:type="dxa"/>
            <w:tcBorders>
              <w:top w:val="nil"/>
              <w:left w:val="nil"/>
              <w:bottom w:val="nil"/>
              <w:right w:val="nil"/>
            </w:tcBorders>
            <w:shd w:val="clear" w:color="auto" w:fill="auto"/>
            <w:noWrap/>
            <w:vAlign w:val="bottom"/>
            <w:hideMark/>
          </w:tcPr>
          <w:p w14:paraId="349397D4"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D347849" w14:textId="77777777" w:rsidR="00973EB0" w:rsidRDefault="00973EB0">
            <w:pPr>
              <w:jc w:val="right"/>
              <w:rPr>
                <w:color w:val="000000"/>
                <w:sz w:val="20"/>
                <w:szCs w:val="20"/>
              </w:rPr>
            </w:pPr>
            <w:r>
              <w:rPr>
                <w:color w:val="000000"/>
                <w:sz w:val="20"/>
                <w:szCs w:val="20"/>
              </w:rPr>
              <w:t>0.948</w:t>
            </w:r>
          </w:p>
        </w:tc>
        <w:tc>
          <w:tcPr>
            <w:tcW w:w="768" w:type="dxa"/>
            <w:tcBorders>
              <w:top w:val="nil"/>
              <w:left w:val="nil"/>
              <w:bottom w:val="nil"/>
              <w:right w:val="nil"/>
            </w:tcBorders>
            <w:shd w:val="clear" w:color="auto" w:fill="auto"/>
            <w:noWrap/>
            <w:vAlign w:val="bottom"/>
            <w:hideMark/>
          </w:tcPr>
          <w:p w14:paraId="00F73AF3"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9D391F" w14:textId="77777777" w:rsidR="00973EB0" w:rsidRDefault="00973EB0">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5A5209F" w14:textId="77777777" w:rsidR="00973EB0" w:rsidRDefault="00973EB0">
            <w:pPr>
              <w:jc w:val="right"/>
              <w:rPr>
                <w:color w:val="000000"/>
                <w:sz w:val="20"/>
                <w:szCs w:val="20"/>
              </w:rPr>
            </w:pPr>
            <w:r>
              <w:rPr>
                <w:color w:val="000000"/>
                <w:sz w:val="20"/>
                <w:szCs w:val="20"/>
              </w:rPr>
              <w:t>0.959</w:t>
            </w:r>
          </w:p>
        </w:tc>
        <w:tc>
          <w:tcPr>
            <w:tcW w:w="768" w:type="dxa"/>
            <w:tcBorders>
              <w:top w:val="nil"/>
              <w:left w:val="nil"/>
              <w:bottom w:val="nil"/>
              <w:right w:val="nil"/>
            </w:tcBorders>
            <w:shd w:val="clear" w:color="auto" w:fill="auto"/>
            <w:noWrap/>
            <w:vAlign w:val="bottom"/>
            <w:hideMark/>
          </w:tcPr>
          <w:p w14:paraId="3AE1483E"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9D57D3" w14:textId="77777777" w:rsidR="00973EB0" w:rsidRDefault="00973EB0">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023F29AD" w14:textId="77777777" w:rsidR="00973EB0" w:rsidRDefault="00973EB0">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4C2E743D" w14:textId="77777777" w:rsidR="00973EB0" w:rsidRDefault="00973EB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D2E3050" w14:textId="77777777" w:rsidR="00973EB0" w:rsidRDefault="00973EB0">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600049F9" w14:textId="77777777" w:rsidR="00973EB0" w:rsidRDefault="00973EB0">
            <w:pPr>
              <w:jc w:val="right"/>
              <w:rPr>
                <w:color w:val="000000"/>
                <w:sz w:val="20"/>
                <w:szCs w:val="20"/>
              </w:rPr>
            </w:pPr>
            <w:r>
              <w:rPr>
                <w:color w:val="000000"/>
                <w:sz w:val="20"/>
                <w:szCs w:val="20"/>
              </w:rPr>
              <w:t>0.688</w:t>
            </w:r>
          </w:p>
        </w:tc>
        <w:tc>
          <w:tcPr>
            <w:tcW w:w="768" w:type="dxa"/>
            <w:tcBorders>
              <w:top w:val="nil"/>
              <w:left w:val="nil"/>
              <w:bottom w:val="nil"/>
              <w:right w:val="nil"/>
            </w:tcBorders>
            <w:shd w:val="clear" w:color="auto" w:fill="auto"/>
            <w:noWrap/>
            <w:vAlign w:val="bottom"/>
            <w:hideMark/>
          </w:tcPr>
          <w:p w14:paraId="0622B84B" w14:textId="77777777" w:rsidR="00973EB0" w:rsidRDefault="00973EB0">
            <w:pPr>
              <w:jc w:val="right"/>
              <w:rPr>
                <w:color w:val="000000"/>
                <w:sz w:val="20"/>
                <w:szCs w:val="20"/>
              </w:rPr>
            </w:pPr>
            <w:r>
              <w:rPr>
                <w:color w:val="000000"/>
                <w:sz w:val="20"/>
                <w:szCs w:val="20"/>
              </w:rPr>
              <w:t>0.002</w:t>
            </w:r>
          </w:p>
        </w:tc>
      </w:tr>
      <w:tr w:rsidR="00973EB0" w14:paraId="548D7B94" w14:textId="77777777" w:rsidTr="00973EB0">
        <w:trPr>
          <w:trHeight w:val="260"/>
        </w:trPr>
        <w:tc>
          <w:tcPr>
            <w:tcW w:w="1176" w:type="dxa"/>
            <w:tcBorders>
              <w:top w:val="nil"/>
              <w:left w:val="nil"/>
              <w:bottom w:val="nil"/>
              <w:right w:val="nil"/>
            </w:tcBorders>
            <w:shd w:val="clear" w:color="auto" w:fill="auto"/>
            <w:noWrap/>
            <w:vAlign w:val="bottom"/>
            <w:hideMark/>
          </w:tcPr>
          <w:p w14:paraId="3930EE6D"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537A07E" w14:textId="77777777" w:rsidR="00973EB0" w:rsidRDefault="00973EB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214D3E5" w14:textId="77777777" w:rsidR="00973EB0" w:rsidRDefault="00973EB0">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5411D507" w14:textId="77777777" w:rsidR="00973EB0" w:rsidRDefault="00973EB0">
            <w:pPr>
              <w:jc w:val="right"/>
              <w:rPr>
                <w:color w:val="000000"/>
                <w:sz w:val="20"/>
                <w:szCs w:val="20"/>
              </w:rPr>
            </w:pPr>
            <w:r>
              <w:rPr>
                <w:color w:val="000000"/>
                <w:sz w:val="20"/>
                <w:szCs w:val="20"/>
              </w:rPr>
              <w:t>0.674</w:t>
            </w:r>
          </w:p>
        </w:tc>
        <w:tc>
          <w:tcPr>
            <w:tcW w:w="768" w:type="dxa"/>
            <w:tcBorders>
              <w:top w:val="nil"/>
              <w:left w:val="nil"/>
              <w:bottom w:val="nil"/>
              <w:right w:val="nil"/>
            </w:tcBorders>
            <w:shd w:val="clear" w:color="auto" w:fill="auto"/>
            <w:noWrap/>
            <w:vAlign w:val="bottom"/>
            <w:hideMark/>
          </w:tcPr>
          <w:p w14:paraId="4B264968"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6DAE8C9" w14:textId="77777777" w:rsidR="00973EB0" w:rsidRDefault="00973EB0">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67211DDD" w14:textId="77777777" w:rsidR="00973EB0" w:rsidRDefault="00973EB0">
            <w:pPr>
              <w:jc w:val="right"/>
              <w:rPr>
                <w:color w:val="000000"/>
                <w:sz w:val="20"/>
                <w:szCs w:val="20"/>
              </w:rPr>
            </w:pPr>
            <w:r>
              <w:rPr>
                <w:color w:val="000000"/>
                <w:sz w:val="20"/>
                <w:szCs w:val="20"/>
              </w:rPr>
              <w:t>0.496</w:t>
            </w:r>
          </w:p>
        </w:tc>
        <w:tc>
          <w:tcPr>
            <w:tcW w:w="768" w:type="dxa"/>
            <w:tcBorders>
              <w:top w:val="nil"/>
              <w:left w:val="nil"/>
              <w:bottom w:val="nil"/>
              <w:right w:val="nil"/>
            </w:tcBorders>
            <w:shd w:val="clear" w:color="auto" w:fill="auto"/>
            <w:noWrap/>
            <w:vAlign w:val="bottom"/>
            <w:hideMark/>
          </w:tcPr>
          <w:p w14:paraId="7C83A5FC" w14:textId="77777777" w:rsidR="00973EB0" w:rsidRDefault="00973EB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183BAAB" w14:textId="77777777" w:rsidR="00973EB0" w:rsidRDefault="00973EB0">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159D115C" w14:textId="77777777" w:rsidR="00973EB0" w:rsidRDefault="00973EB0">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45AFA4BA"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E4F5726" w14:textId="77777777" w:rsidR="00973EB0" w:rsidRDefault="00973EB0">
            <w:pPr>
              <w:jc w:val="right"/>
              <w:rPr>
                <w:color w:val="000000"/>
                <w:sz w:val="20"/>
                <w:szCs w:val="20"/>
              </w:rPr>
            </w:pPr>
            <w:r>
              <w:rPr>
                <w:color w:val="000000"/>
                <w:sz w:val="20"/>
                <w:szCs w:val="20"/>
              </w:rPr>
              <w:t>-0.107</w:t>
            </w:r>
          </w:p>
        </w:tc>
        <w:tc>
          <w:tcPr>
            <w:tcW w:w="768" w:type="dxa"/>
            <w:tcBorders>
              <w:top w:val="nil"/>
              <w:left w:val="nil"/>
              <w:bottom w:val="nil"/>
              <w:right w:val="nil"/>
            </w:tcBorders>
            <w:shd w:val="clear" w:color="auto" w:fill="auto"/>
            <w:noWrap/>
            <w:vAlign w:val="bottom"/>
            <w:hideMark/>
          </w:tcPr>
          <w:p w14:paraId="44CF3601" w14:textId="77777777" w:rsidR="00973EB0" w:rsidRDefault="00973EB0">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5C579F1A" w14:textId="77777777" w:rsidR="00973EB0" w:rsidRDefault="00973EB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87F8103" w14:textId="77777777" w:rsidR="00973EB0" w:rsidRDefault="00973EB0">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3E851E64" w14:textId="77777777" w:rsidR="00973EB0" w:rsidRDefault="00973EB0">
            <w:pPr>
              <w:jc w:val="right"/>
              <w:rPr>
                <w:color w:val="000000"/>
                <w:sz w:val="20"/>
                <w:szCs w:val="20"/>
              </w:rPr>
            </w:pPr>
            <w:r>
              <w:rPr>
                <w:color w:val="000000"/>
                <w:sz w:val="20"/>
                <w:szCs w:val="20"/>
              </w:rPr>
              <w:t>0.524</w:t>
            </w:r>
          </w:p>
        </w:tc>
        <w:tc>
          <w:tcPr>
            <w:tcW w:w="768" w:type="dxa"/>
            <w:tcBorders>
              <w:top w:val="nil"/>
              <w:left w:val="nil"/>
              <w:bottom w:val="nil"/>
              <w:right w:val="nil"/>
            </w:tcBorders>
            <w:shd w:val="clear" w:color="auto" w:fill="auto"/>
            <w:noWrap/>
            <w:vAlign w:val="bottom"/>
            <w:hideMark/>
          </w:tcPr>
          <w:p w14:paraId="13EBB50D" w14:textId="77777777" w:rsidR="00973EB0" w:rsidRDefault="00973EB0">
            <w:pPr>
              <w:jc w:val="right"/>
              <w:rPr>
                <w:color w:val="000000"/>
                <w:sz w:val="20"/>
                <w:szCs w:val="20"/>
              </w:rPr>
            </w:pPr>
            <w:r>
              <w:rPr>
                <w:color w:val="000000"/>
                <w:sz w:val="20"/>
                <w:szCs w:val="20"/>
              </w:rPr>
              <w:t>0.006</w:t>
            </w:r>
          </w:p>
        </w:tc>
      </w:tr>
      <w:tr w:rsidR="00973EB0" w14:paraId="538E603B" w14:textId="77777777" w:rsidTr="00973EB0">
        <w:trPr>
          <w:trHeight w:val="260"/>
        </w:trPr>
        <w:tc>
          <w:tcPr>
            <w:tcW w:w="1176" w:type="dxa"/>
            <w:tcBorders>
              <w:top w:val="nil"/>
              <w:left w:val="nil"/>
              <w:bottom w:val="single" w:sz="4" w:space="0" w:color="auto"/>
              <w:right w:val="nil"/>
            </w:tcBorders>
            <w:shd w:val="clear" w:color="auto" w:fill="auto"/>
            <w:noWrap/>
            <w:vAlign w:val="bottom"/>
            <w:hideMark/>
          </w:tcPr>
          <w:p w14:paraId="52CABE06" w14:textId="77777777" w:rsidR="00973EB0" w:rsidRDefault="00973EB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46E8BD2D" w14:textId="77777777" w:rsidR="00973EB0" w:rsidRDefault="00973EB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9AE4EBF" w14:textId="77777777" w:rsidR="00973EB0" w:rsidRDefault="00973EB0">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5F0FE8B3" w14:textId="77777777" w:rsidR="00973EB0" w:rsidRDefault="00973EB0">
            <w:pPr>
              <w:jc w:val="right"/>
              <w:rPr>
                <w:color w:val="000000"/>
                <w:sz w:val="20"/>
                <w:szCs w:val="20"/>
              </w:rPr>
            </w:pPr>
            <w:r>
              <w:rPr>
                <w:color w:val="000000"/>
                <w:sz w:val="20"/>
                <w:szCs w:val="20"/>
              </w:rPr>
              <w:t>0.760</w:t>
            </w:r>
          </w:p>
        </w:tc>
        <w:tc>
          <w:tcPr>
            <w:tcW w:w="768" w:type="dxa"/>
            <w:tcBorders>
              <w:top w:val="nil"/>
              <w:left w:val="nil"/>
              <w:bottom w:val="single" w:sz="4" w:space="0" w:color="auto"/>
              <w:right w:val="nil"/>
            </w:tcBorders>
            <w:shd w:val="clear" w:color="auto" w:fill="auto"/>
            <w:noWrap/>
            <w:vAlign w:val="bottom"/>
            <w:hideMark/>
          </w:tcPr>
          <w:p w14:paraId="005F09C7"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906B63D" w14:textId="77777777" w:rsidR="00973EB0" w:rsidRDefault="00973EB0">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718A1CAC" w14:textId="77777777" w:rsidR="00973EB0" w:rsidRDefault="00973EB0">
            <w:pPr>
              <w:jc w:val="right"/>
              <w:rPr>
                <w:color w:val="000000"/>
                <w:sz w:val="20"/>
                <w:szCs w:val="20"/>
              </w:rPr>
            </w:pPr>
            <w:r>
              <w:rPr>
                <w:color w:val="000000"/>
                <w:sz w:val="20"/>
                <w:szCs w:val="20"/>
              </w:rPr>
              <w:t>0.948</w:t>
            </w:r>
          </w:p>
        </w:tc>
        <w:tc>
          <w:tcPr>
            <w:tcW w:w="768" w:type="dxa"/>
            <w:tcBorders>
              <w:top w:val="nil"/>
              <w:left w:val="nil"/>
              <w:bottom w:val="single" w:sz="4" w:space="0" w:color="auto"/>
              <w:right w:val="nil"/>
            </w:tcBorders>
            <w:shd w:val="clear" w:color="auto" w:fill="auto"/>
            <w:noWrap/>
            <w:vAlign w:val="bottom"/>
            <w:hideMark/>
          </w:tcPr>
          <w:p w14:paraId="5A7AEAE5"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8922923" w14:textId="77777777" w:rsidR="00973EB0" w:rsidRDefault="00973EB0">
            <w:pPr>
              <w:jc w:val="right"/>
              <w:rPr>
                <w:color w:val="000000"/>
                <w:sz w:val="20"/>
                <w:szCs w:val="20"/>
              </w:rPr>
            </w:pPr>
            <w:r>
              <w:rPr>
                <w:color w:val="000000"/>
                <w:sz w:val="20"/>
                <w:szCs w:val="20"/>
              </w:rPr>
              <w:t>-0.048</w:t>
            </w:r>
          </w:p>
        </w:tc>
        <w:tc>
          <w:tcPr>
            <w:tcW w:w="768" w:type="dxa"/>
            <w:tcBorders>
              <w:top w:val="nil"/>
              <w:left w:val="nil"/>
              <w:bottom w:val="single" w:sz="4" w:space="0" w:color="auto"/>
              <w:right w:val="nil"/>
            </w:tcBorders>
            <w:shd w:val="clear" w:color="auto" w:fill="auto"/>
            <w:noWrap/>
            <w:vAlign w:val="bottom"/>
            <w:hideMark/>
          </w:tcPr>
          <w:p w14:paraId="5A40E44D" w14:textId="77777777" w:rsidR="00973EB0" w:rsidRDefault="00973EB0">
            <w:pPr>
              <w:jc w:val="right"/>
              <w:rPr>
                <w:color w:val="000000"/>
                <w:sz w:val="20"/>
                <w:szCs w:val="20"/>
              </w:rPr>
            </w:pPr>
            <w:r>
              <w:rPr>
                <w:color w:val="000000"/>
                <w:sz w:val="20"/>
                <w:szCs w:val="20"/>
              </w:rPr>
              <w:t>0.952</w:t>
            </w:r>
          </w:p>
        </w:tc>
        <w:tc>
          <w:tcPr>
            <w:tcW w:w="768" w:type="dxa"/>
            <w:tcBorders>
              <w:top w:val="nil"/>
              <w:left w:val="nil"/>
              <w:bottom w:val="single" w:sz="4" w:space="0" w:color="auto"/>
              <w:right w:val="nil"/>
            </w:tcBorders>
            <w:shd w:val="clear" w:color="auto" w:fill="auto"/>
            <w:noWrap/>
            <w:vAlign w:val="bottom"/>
            <w:hideMark/>
          </w:tcPr>
          <w:p w14:paraId="06834DD8"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64E1236" w14:textId="77777777" w:rsidR="00973EB0" w:rsidRDefault="00973EB0">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2C1D8B0B" w14:textId="77777777" w:rsidR="00973EB0" w:rsidRDefault="00973EB0">
            <w:pPr>
              <w:jc w:val="right"/>
              <w:rPr>
                <w:color w:val="000000"/>
                <w:sz w:val="20"/>
                <w:szCs w:val="20"/>
              </w:rPr>
            </w:pPr>
            <w:r>
              <w:rPr>
                <w:color w:val="000000"/>
                <w:sz w:val="20"/>
                <w:szCs w:val="20"/>
              </w:rPr>
              <w:t>0.625</w:t>
            </w:r>
          </w:p>
        </w:tc>
        <w:tc>
          <w:tcPr>
            <w:tcW w:w="768" w:type="dxa"/>
            <w:tcBorders>
              <w:top w:val="nil"/>
              <w:left w:val="nil"/>
              <w:bottom w:val="single" w:sz="4" w:space="0" w:color="auto"/>
              <w:right w:val="nil"/>
            </w:tcBorders>
            <w:shd w:val="clear" w:color="auto" w:fill="auto"/>
            <w:noWrap/>
            <w:vAlign w:val="bottom"/>
            <w:hideMark/>
          </w:tcPr>
          <w:p w14:paraId="046BEE5B"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BA3C5DE" w14:textId="77777777" w:rsidR="00973EB0" w:rsidRDefault="00973EB0">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14EAA0F4" w14:textId="77777777" w:rsidR="00973EB0" w:rsidRDefault="00973EB0">
            <w:pPr>
              <w:jc w:val="right"/>
              <w:rPr>
                <w:color w:val="000000"/>
                <w:sz w:val="20"/>
                <w:szCs w:val="20"/>
              </w:rPr>
            </w:pPr>
            <w:r>
              <w:rPr>
                <w:color w:val="000000"/>
                <w:sz w:val="20"/>
                <w:szCs w:val="20"/>
              </w:rPr>
              <w:t>0.895</w:t>
            </w:r>
          </w:p>
        </w:tc>
        <w:tc>
          <w:tcPr>
            <w:tcW w:w="768" w:type="dxa"/>
            <w:tcBorders>
              <w:top w:val="nil"/>
              <w:left w:val="nil"/>
              <w:bottom w:val="single" w:sz="4" w:space="0" w:color="auto"/>
              <w:right w:val="nil"/>
            </w:tcBorders>
            <w:shd w:val="clear" w:color="auto" w:fill="auto"/>
            <w:noWrap/>
            <w:vAlign w:val="bottom"/>
            <w:hideMark/>
          </w:tcPr>
          <w:p w14:paraId="082D792D" w14:textId="77777777" w:rsidR="00973EB0" w:rsidRDefault="00973EB0">
            <w:pPr>
              <w:jc w:val="right"/>
              <w:rPr>
                <w:color w:val="000000"/>
                <w:sz w:val="20"/>
                <w:szCs w:val="20"/>
              </w:rPr>
            </w:pPr>
            <w:r>
              <w:rPr>
                <w:color w:val="000000"/>
                <w:sz w:val="20"/>
                <w:szCs w:val="20"/>
              </w:rPr>
              <w:t>0.000</w:t>
            </w:r>
          </w:p>
        </w:tc>
      </w:tr>
      <w:tr w:rsidR="00973EB0" w14:paraId="52DF4C51" w14:textId="77777777" w:rsidTr="00973EB0">
        <w:trPr>
          <w:trHeight w:val="260"/>
        </w:trPr>
        <w:tc>
          <w:tcPr>
            <w:tcW w:w="1176" w:type="dxa"/>
            <w:tcBorders>
              <w:top w:val="nil"/>
              <w:left w:val="nil"/>
              <w:bottom w:val="nil"/>
              <w:right w:val="nil"/>
            </w:tcBorders>
            <w:shd w:val="clear" w:color="auto" w:fill="auto"/>
            <w:noWrap/>
            <w:vAlign w:val="bottom"/>
            <w:hideMark/>
          </w:tcPr>
          <w:p w14:paraId="180E89B5" w14:textId="77777777" w:rsidR="00973EB0" w:rsidRDefault="00973EB0">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00C5A92B" w14:textId="77777777" w:rsidR="00973EB0" w:rsidRDefault="00973EB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9F783E1" w14:textId="77777777" w:rsidR="00973EB0" w:rsidRDefault="00973EB0">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78B1D7D" w14:textId="77777777" w:rsidR="00973EB0" w:rsidRDefault="00973EB0">
            <w:pPr>
              <w:jc w:val="right"/>
              <w:rPr>
                <w:color w:val="000000"/>
                <w:sz w:val="20"/>
                <w:szCs w:val="20"/>
              </w:rPr>
            </w:pPr>
            <w:r>
              <w:rPr>
                <w:color w:val="000000"/>
                <w:sz w:val="20"/>
                <w:szCs w:val="20"/>
              </w:rPr>
              <w:t>0.627</w:t>
            </w:r>
          </w:p>
        </w:tc>
        <w:tc>
          <w:tcPr>
            <w:tcW w:w="768" w:type="dxa"/>
            <w:tcBorders>
              <w:top w:val="nil"/>
              <w:left w:val="nil"/>
              <w:bottom w:val="nil"/>
              <w:right w:val="nil"/>
            </w:tcBorders>
            <w:shd w:val="clear" w:color="auto" w:fill="auto"/>
            <w:noWrap/>
            <w:vAlign w:val="bottom"/>
            <w:hideMark/>
          </w:tcPr>
          <w:p w14:paraId="5EF7260A"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A7B4179"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58B91C0" w14:textId="77777777" w:rsidR="00973EB0" w:rsidRDefault="00973EB0">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066367F1"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973F53" w14:textId="77777777" w:rsidR="00973EB0" w:rsidRDefault="00973EB0">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7B652485" w14:textId="77777777" w:rsidR="00973EB0" w:rsidRDefault="00973EB0">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72370C8E"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E9A8BC" w14:textId="77777777" w:rsidR="00973EB0" w:rsidRDefault="00973EB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52FB0598" w14:textId="77777777" w:rsidR="00973EB0" w:rsidRDefault="00973EB0">
            <w:pPr>
              <w:jc w:val="right"/>
              <w:rPr>
                <w:color w:val="000000"/>
                <w:sz w:val="20"/>
                <w:szCs w:val="20"/>
              </w:rPr>
            </w:pPr>
            <w:r>
              <w:rPr>
                <w:color w:val="000000"/>
                <w:sz w:val="20"/>
                <w:szCs w:val="20"/>
              </w:rPr>
              <w:t>0.780</w:t>
            </w:r>
          </w:p>
        </w:tc>
        <w:tc>
          <w:tcPr>
            <w:tcW w:w="768" w:type="dxa"/>
            <w:tcBorders>
              <w:top w:val="nil"/>
              <w:left w:val="nil"/>
              <w:bottom w:val="nil"/>
              <w:right w:val="nil"/>
            </w:tcBorders>
            <w:shd w:val="clear" w:color="auto" w:fill="auto"/>
            <w:noWrap/>
            <w:vAlign w:val="bottom"/>
            <w:hideMark/>
          </w:tcPr>
          <w:p w14:paraId="03127522"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2455D1" w14:textId="77777777" w:rsidR="00973EB0" w:rsidRDefault="00973EB0">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AFD232B" w14:textId="77777777" w:rsidR="00973EB0" w:rsidRDefault="00973EB0">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0C3B1D4A" w14:textId="77777777" w:rsidR="00973EB0" w:rsidRDefault="00973EB0">
            <w:pPr>
              <w:jc w:val="right"/>
              <w:rPr>
                <w:color w:val="000000"/>
                <w:sz w:val="20"/>
                <w:szCs w:val="20"/>
              </w:rPr>
            </w:pPr>
            <w:r>
              <w:rPr>
                <w:color w:val="000000"/>
                <w:sz w:val="20"/>
                <w:szCs w:val="20"/>
              </w:rPr>
              <w:t>0.000</w:t>
            </w:r>
          </w:p>
        </w:tc>
      </w:tr>
      <w:tr w:rsidR="00973EB0" w14:paraId="7F62DE2F" w14:textId="77777777" w:rsidTr="00973EB0">
        <w:trPr>
          <w:trHeight w:val="260"/>
        </w:trPr>
        <w:tc>
          <w:tcPr>
            <w:tcW w:w="1176" w:type="dxa"/>
            <w:tcBorders>
              <w:top w:val="nil"/>
              <w:left w:val="nil"/>
              <w:bottom w:val="nil"/>
              <w:right w:val="nil"/>
            </w:tcBorders>
            <w:shd w:val="clear" w:color="auto" w:fill="auto"/>
            <w:noWrap/>
            <w:vAlign w:val="bottom"/>
            <w:hideMark/>
          </w:tcPr>
          <w:p w14:paraId="5B7F8E40"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810A63" w14:textId="77777777" w:rsidR="00973EB0" w:rsidRDefault="00973EB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C784956" w14:textId="77777777" w:rsidR="00973EB0" w:rsidRDefault="00973EB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DA24C1E" w14:textId="77777777" w:rsidR="00973EB0" w:rsidRDefault="00973EB0">
            <w:pPr>
              <w:jc w:val="right"/>
              <w:rPr>
                <w:color w:val="000000"/>
                <w:sz w:val="20"/>
                <w:szCs w:val="20"/>
              </w:rPr>
            </w:pPr>
            <w:r>
              <w:rPr>
                <w:color w:val="000000"/>
                <w:sz w:val="20"/>
                <w:szCs w:val="20"/>
              </w:rPr>
              <w:t>0.787</w:t>
            </w:r>
          </w:p>
        </w:tc>
        <w:tc>
          <w:tcPr>
            <w:tcW w:w="768" w:type="dxa"/>
            <w:tcBorders>
              <w:top w:val="nil"/>
              <w:left w:val="nil"/>
              <w:bottom w:val="nil"/>
              <w:right w:val="nil"/>
            </w:tcBorders>
            <w:shd w:val="clear" w:color="auto" w:fill="auto"/>
            <w:noWrap/>
            <w:vAlign w:val="bottom"/>
            <w:hideMark/>
          </w:tcPr>
          <w:p w14:paraId="064F1FFA"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8A5DB7" w14:textId="77777777" w:rsidR="00973EB0" w:rsidRDefault="00973EB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B39E92E" w14:textId="77777777" w:rsidR="00973EB0" w:rsidRDefault="00973EB0">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27B3704A"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9E793FC" w14:textId="77777777" w:rsidR="00973EB0" w:rsidRDefault="00973EB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42500DE" w14:textId="77777777" w:rsidR="00973EB0" w:rsidRDefault="00973EB0">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0A9F01B8"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11A4BF" w14:textId="77777777" w:rsidR="00973EB0" w:rsidRDefault="00973EB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6CE9F000" w14:textId="77777777" w:rsidR="00973EB0" w:rsidRDefault="00973EB0">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65A92E2D"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65D700E" w14:textId="77777777" w:rsidR="00973EB0" w:rsidRDefault="00973EB0">
            <w:pPr>
              <w:jc w:val="right"/>
              <w:rPr>
                <w:b/>
                <w:bCs/>
                <w:color w:val="000000"/>
                <w:sz w:val="20"/>
                <w:szCs w:val="20"/>
              </w:rPr>
            </w:pPr>
            <w:r>
              <w:rPr>
                <w:b/>
                <w:bCs/>
                <w:color w:val="000000"/>
                <w:sz w:val="20"/>
                <w:szCs w:val="20"/>
              </w:rPr>
              <w:t>-0.135</w:t>
            </w:r>
          </w:p>
        </w:tc>
        <w:tc>
          <w:tcPr>
            <w:tcW w:w="768" w:type="dxa"/>
            <w:tcBorders>
              <w:top w:val="nil"/>
              <w:left w:val="nil"/>
              <w:bottom w:val="nil"/>
              <w:right w:val="nil"/>
            </w:tcBorders>
            <w:shd w:val="clear" w:color="auto" w:fill="auto"/>
            <w:noWrap/>
            <w:vAlign w:val="bottom"/>
            <w:hideMark/>
          </w:tcPr>
          <w:p w14:paraId="69A09EA7" w14:textId="77777777" w:rsidR="00973EB0" w:rsidRDefault="00973EB0">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1F35724" w14:textId="77777777" w:rsidR="00973EB0" w:rsidRDefault="00973EB0">
            <w:pPr>
              <w:jc w:val="right"/>
              <w:rPr>
                <w:b/>
                <w:bCs/>
                <w:color w:val="000000"/>
                <w:sz w:val="20"/>
                <w:szCs w:val="20"/>
              </w:rPr>
            </w:pPr>
            <w:r>
              <w:rPr>
                <w:b/>
                <w:bCs/>
                <w:color w:val="000000"/>
                <w:sz w:val="20"/>
                <w:szCs w:val="20"/>
              </w:rPr>
              <w:t>0.018</w:t>
            </w:r>
          </w:p>
        </w:tc>
      </w:tr>
      <w:tr w:rsidR="00973EB0" w14:paraId="1291242D" w14:textId="77777777" w:rsidTr="00973EB0">
        <w:trPr>
          <w:trHeight w:val="260"/>
        </w:trPr>
        <w:tc>
          <w:tcPr>
            <w:tcW w:w="1176" w:type="dxa"/>
            <w:tcBorders>
              <w:top w:val="nil"/>
              <w:left w:val="nil"/>
              <w:bottom w:val="nil"/>
              <w:right w:val="nil"/>
            </w:tcBorders>
            <w:shd w:val="clear" w:color="auto" w:fill="auto"/>
            <w:noWrap/>
            <w:vAlign w:val="bottom"/>
            <w:hideMark/>
          </w:tcPr>
          <w:p w14:paraId="0EF2B6AD" w14:textId="77777777" w:rsidR="00973EB0" w:rsidRDefault="00973EB0">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1056B93B" w14:textId="77777777" w:rsidR="00973EB0" w:rsidRDefault="00973EB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A0CD09E" w14:textId="77777777" w:rsidR="00973EB0" w:rsidRDefault="00973EB0">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08AC227B" w14:textId="77777777" w:rsidR="00973EB0" w:rsidRDefault="00973EB0">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4EB37D6F"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6DFE05E" w14:textId="77777777" w:rsidR="00973EB0" w:rsidRDefault="00973EB0">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5AF5634" w14:textId="77777777" w:rsidR="00973EB0" w:rsidRDefault="00973EB0">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128B03DA"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A1F7871"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45C7460" w14:textId="77777777" w:rsidR="00973EB0" w:rsidRDefault="00973EB0">
            <w:pPr>
              <w:jc w:val="right"/>
              <w:rPr>
                <w:color w:val="000000"/>
                <w:sz w:val="20"/>
                <w:szCs w:val="20"/>
              </w:rPr>
            </w:pPr>
            <w:r>
              <w:rPr>
                <w:color w:val="000000"/>
                <w:sz w:val="20"/>
                <w:szCs w:val="20"/>
              </w:rPr>
              <w:t>0.986</w:t>
            </w:r>
          </w:p>
        </w:tc>
        <w:tc>
          <w:tcPr>
            <w:tcW w:w="768" w:type="dxa"/>
            <w:tcBorders>
              <w:top w:val="nil"/>
              <w:left w:val="nil"/>
              <w:bottom w:val="nil"/>
              <w:right w:val="nil"/>
            </w:tcBorders>
            <w:shd w:val="clear" w:color="auto" w:fill="auto"/>
            <w:noWrap/>
            <w:vAlign w:val="bottom"/>
            <w:hideMark/>
          </w:tcPr>
          <w:p w14:paraId="09E93AF4"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875F55" w14:textId="77777777" w:rsidR="00973EB0" w:rsidRDefault="00973EB0">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0B611EAB" w14:textId="77777777" w:rsidR="00973EB0" w:rsidRDefault="00973EB0">
            <w:pPr>
              <w:jc w:val="right"/>
              <w:rPr>
                <w:color w:val="000000"/>
                <w:sz w:val="20"/>
                <w:szCs w:val="20"/>
              </w:rPr>
            </w:pPr>
            <w:r>
              <w:rPr>
                <w:color w:val="000000"/>
                <w:sz w:val="20"/>
                <w:szCs w:val="20"/>
              </w:rPr>
              <w:t>0.780</w:t>
            </w:r>
          </w:p>
        </w:tc>
        <w:tc>
          <w:tcPr>
            <w:tcW w:w="768" w:type="dxa"/>
            <w:tcBorders>
              <w:top w:val="nil"/>
              <w:left w:val="nil"/>
              <w:bottom w:val="nil"/>
              <w:right w:val="nil"/>
            </w:tcBorders>
            <w:shd w:val="clear" w:color="auto" w:fill="auto"/>
            <w:noWrap/>
            <w:vAlign w:val="bottom"/>
            <w:hideMark/>
          </w:tcPr>
          <w:p w14:paraId="27E230FB"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7DE321" w14:textId="77777777" w:rsidR="00973EB0" w:rsidRDefault="00973EB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77F2994" w14:textId="77777777" w:rsidR="00973EB0" w:rsidRDefault="00973EB0">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046ADC46" w14:textId="77777777" w:rsidR="00973EB0" w:rsidRDefault="00973EB0">
            <w:pPr>
              <w:jc w:val="right"/>
              <w:rPr>
                <w:color w:val="000000"/>
                <w:sz w:val="20"/>
                <w:szCs w:val="20"/>
              </w:rPr>
            </w:pPr>
            <w:r>
              <w:rPr>
                <w:color w:val="000000"/>
                <w:sz w:val="20"/>
                <w:szCs w:val="20"/>
              </w:rPr>
              <w:t>0.000</w:t>
            </w:r>
          </w:p>
        </w:tc>
      </w:tr>
      <w:tr w:rsidR="00973EB0" w14:paraId="2524F69E" w14:textId="77777777" w:rsidTr="00973EB0">
        <w:trPr>
          <w:trHeight w:val="260"/>
        </w:trPr>
        <w:tc>
          <w:tcPr>
            <w:tcW w:w="1176" w:type="dxa"/>
            <w:tcBorders>
              <w:top w:val="nil"/>
              <w:left w:val="nil"/>
              <w:bottom w:val="nil"/>
              <w:right w:val="nil"/>
            </w:tcBorders>
            <w:shd w:val="clear" w:color="auto" w:fill="auto"/>
            <w:noWrap/>
            <w:vAlign w:val="bottom"/>
            <w:hideMark/>
          </w:tcPr>
          <w:p w14:paraId="65259568"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DE1A66C" w14:textId="77777777" w:rsidR="00973EB0" w:rsidRDefault="00973EB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4BA6FCE" w14:textId="77777777" w:rsidR="00973EB0" w:rsidRDefault="00973EB0">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7F5FDAF8" w14:textId="77777777" w:rsidR="00973EB0" w:rsidRDefault="00973EB0">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1B605195" w14:textId="77777777" w:rsidR="00973EB0" w:rsidRDefault="00973EB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92693C6" w14:textId="77777777" w:rsidR="00973EB0" w:rsidRDefault="00973EB0">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7FFFA2F" w14:textId="77777777" w:rsidR="00973EB0" w:rsidRDefault="00973EB0">
            <w:pPr>
              <w:jc w:val="right"/>
              <w:rPr>
                <w:color w:val="000000"/>
                <w:sz w:val="20"/>
                <w:szCs w:val="20"/>
              </w:rPr>
            </w:pPr>
            <w:r>
              <w:rPr>
                <w:color w:val="000000"/>
                <w:sz w:val="20"/>
                <w:szCs w:val="20"/>
              </w:rPr>
              <w:t>0.928</w:t>
            </w:r>
          </w:p>
        </w:tc>
        <w:tc>
          <w:tcPr>
            <w:tcW w:w="768" w:type="dxa"/>
            <w:tcBorders>
              <w:top w:val="nil"/>
              <w:left w:val="nil"/>
              <w:bottom w:val="nil"/>
              <w:right w:val="nil"/>
            </w:tcBorders>
            <w:shd w:val="clear" w:color="auto" w:fill="auto"/>
            <w:noWrap/>
            <w:vAlign w:val="bottom"/>
            <w:hideMark/>
          </w:tcPr>
          <w:p w14:paraId="722D9C16"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C9EEFA" w14:textId="77777777" w:rsidR="00973EB0" w:rsidRDefault="00973EB0">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FE1D7BF" w14:textId="77777777" w:rsidR="00973EB0" w:rsidRDefault="00973EB0">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661E7594"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9919BA3" w14:textId="77777777" w:rsidR="00973EB0" w:rsidRDefault="00973EB0">
            <w:pPr>
              <w:jc w:val="right"/>
              <w:rPr>
                <w:color w:val="000000"/>
                <w:sz w:val="20"/>
                <w:szCs w:val="20"/>
              </w:rPr>
            </w:pPr>
            <w:r>
              <w:rPr>
                <w:color w:val="000000"/>
                <w:sz w:val="20"/>
                <w:szCs w:val="20"/>
              </w:rPr>
              <w:t>-0.107</w:t>
            </w:r>
          </w:p>
        </w:tc>
        <w:tc>
          <w:tcPr>
            <w:tcW w:w="768" w:type="dxa"/>
            <w:tcBorders>
              <w:top w:val="nil"/>
              <w:left w:val="nil"/>
              <w:bottom w:val="nil"/>
              <w:right w:val="nil"/>
            </w:tcBorders>
            <w:shd w:val="clear" w:color="auto" w:fill="auto"/>
            <w:noWrap/>
            <w:vAlign w:val="bottom"/>
            <w:hideMark/>
          </w:tcPr>
          <w:p w14:paraId="220C9322" w14:textId="77777777" w:rsidR="00973EB0" w:rsidRDefault="00973EB0">
            <w:pPr>
              <w:jc w:val="right"/>
              <w:rPr>
                <w:color w:val="000000"/>
                <w:sz w:val="20"/>
                <w:szCs w:val="20"/>
              </w:rPr>
            </w:pPr>
            <w:r>
              <w:rPr>
                <w:color w:val="000000"/>
                <w:sz w:val="20"/>
                <w:szCs w:val="20"/>
              </w:rPr>
              <w:t>0.232</w:t>
            </w:r>
          </w:p>
        </w:tc>
        <w:tc>
          <w:tcPr>
            <w:tcW w:w="768" w:type="dxa"/>
            <w:tcBorders>
              <w:top w:val="nil"/>
              <w:left w:val="nil"/>
              <w:bottom w:val="nil"/>
              <w:right w:val="nil"/>
            </w:tcBorders>
            <w:shd w:val="clear" w:color="auto" w:fill="auto"/>
            <w:noWrap/>
            <w:vAlign w:val="bottom"/>
            <w:hideMark/>
          </w:tcPr>
          <w:p w14:paraId="57754DCD" w14:textId="77777777" w:rsidR="00973EB0" w:rsidRDefault="00973EB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A369221" w14:textId="77777777" w:rsidR="00973EB0" w:rsidRDefault="00973EB0">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2A90E1F8" w14:textId="77777777" w:rsidR="00973EB0" w:rsidRDefault="00973EB0">
            <w:pPr>
              <w:jc w:val="right"/>
              <w:rPr>
                <w:color w:val="000000"/>
                <w:sz w:val="20"/>
                <w:szCs w:val="20"/>
              </w:rPr>
            </w:pPr>
            <w:r>
              <w:rPr>
                <w:color w:val="000000"/>
                <w:sz w:val="20"/>
                <w:szCs w:val="20"/>
              </w:rPr>
              <w:t>0.368</w:t>
            </w:r>
          </w:p>
        </w:tc>
        <w:tc>
          <w:tcPr>
            <w:tcW w:w="768" w:type="dxa"/>
            <w:tcBorders>
              <w:top w:val="nil"/>
              <w:left w:val="nil"/>
              <w:bottom w:val="nil"/>
              <w:right w:val="nil"/>
            </w:tcBorders>
            <w:shd w:val="clear" w:color="auto" w:fill="auto"/>
            <w:noWrap/>
            <w:vAlign w:val="bottom"/>
            <w:hideMark/>
          </w:tcPr>
          <w:p w14:paraId="1339A2BD" w14:textId="77777777" w:rsidR="00973EB0" w:rsidRDefault="00973EB0">
            <w:pPr>
              <w:jc w:val="right"/>
              <w:rPr>
                <w:color w:val="000000"/>
                <w:sz w:val="20"/>
                <w:szCs w:val="20"/>
              </w:rPr>
            </w:pPr>
            <w:r>
              <w:rPr>
                <w:color w:val="000000"/>
                <w:sz w:val="20"/>
                <w:szCs w:val="20"/>
              </w:rPr>
              <w:t>0.007</w:t>
            </w:r>
          </w:p>
        </w:tc>
      </w:tr>
      <w:tr w:rsidR="00973EB0" w14:paraId="78784B40" w14:textId="77777777" w:rsidTr="00973EB0">
        <w:trPr>
          <w:trHeight w:val="260"/>
        </w:trPr>
        <w:tc>
          <w:tcPr>
            <w:tcW w:w="1176" w:type="dxa"/>
            <w:tcBorders>
              <w:top w:val="nil"/>
              <w:left w:val="nil"/>
              <w:bottom w:val="nil"/>
              <w:right w:val="nil"/>
            </w:tcBorders>
            <w:shd w:val="clear" w:color="auto" w:fill="auto"/>
            <w:noWrap/>
            <w:vAlign w:val="bottom"/>
            <w:hideMark/>
          </w:tcPr>
          <w:p w14:paraId="1615C998"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CE3768D" w14:textId="77777777" w:rsidR="00973EB0" w:rsidRDefault="00973EB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D47F11E" w14:textId="77777777" w:rsidR="00973EB0" w:rsidRDefault="00973EB0">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BF9C2F8" w14:textId="77777777" w:rsidR="00973EB0" w:rsidRDefault="00973EB0">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67B99156"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5098A26" w14:textId="77777777" w:rsidR="00973EB0" w:rsidRDefault="00973EB0">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6A05C1F2" w14:textId="77777777" w:rsidR="00973EB0" w:rsidRDefault="00973EB0">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79EE6190"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921CCCB" w14:textId="77777777" w:rsidR="00973EB0" w:rsidRDefault="00973EB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0BA6EC6" w14:textId="77777777" w:rsidR="00973EB0" w:rsidRDefault="00973EB0">
            <w:pPr>
              <w:jc w:val="right"/>
              <w:rPr>
                <w:color w:val="000000"/>
                <w:sz w:val="20"/>
                <w:szCs w:val="20"/>
              </w:rPr>
            </w:pPr>
            <w:r>
              <w:rPr>
                <w:color w:val="000000"/>
                <w:sz w:val="20"/>
                <w:szCs w:val="20"/>
              </w:rPr>
              <w:t>0.899</w:t>
            </w:r>
          </w:p>
        </w:tc>
        <w:tc>
          <w:tcPr>
            <w:tcW w:w="768" w:type="dxa"/>
            <w:tcBorders>
              <w:top w:val="nil"/>
              <w:left w:val="nil"/>
              <w:bottom w:val="nil"/>
              <w:right w:val="nil"/>
            </w:tcBorders>
            <w:shd w:val="clear" w:color="auto" w:fill="auto"/>
            <w:noWrap/>
            <w:vAlign w:val="bottom"/>
            <w:hideMark/>
          </w:tcPr>
          <w:p w14:paraId="7B387266"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F89B668" w14:textId="77777777" w:rsidR="00973EB0" w:rsidRDefault="00973EB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127774B" w14:textId="77777777" w:rsidR="00973EB0" w:rsidRDefault="00973EB0">
            <w:pPr>
              <w:jc w:val="right"/>
              <w:rPr>
                <w:color w:val="000000"/>
                <w:sz w:val="20"/>
                <w:szCs w:val="20"/>
              </w:rPr>
            </w:pPr>
            <w:r>
              <w:rPr>
                <w:color w:val="000000"/>
                <w:sz w:val="20"/>
                <w:szCs w:val="20"/>
              </w:rPr>
              <w:t>0.780</w:t>
            </w:r>
          </w:p>
        </w:tc>
        <w:tc>
          <w:tcPr>
            <w:tcW w:w="768" w:type="dxa"/>
            <w:tcBorders>
              <w:top w:val="nil"/>
              <w:left w:val="nil"/>
              <w:bottom w:val="nil"/>
              <w:right w:val="nil"/>
            </w:tcBorders>
            <w:shd w:val="clear" w:color="auto" w:fill="auto"/>
            <w:noWrap/>
            <w:vAlign w:val="bottom"/>
            <w:hideMark/>
          </w:tcPr>
          <w:p w14:paraId="021844FA"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1ADE4B" w14:textId="77777777" w:rsidR="00973EB0" w:rsidRDefault="00973EB0">
            <w:pPr>
              <w:jc w:val="right"/>
              <w:rPr>
                <w:color w:val="000000"/>
                <w:sz w:val="20"/>
                <w:szCs w:val="20"/>
              </w:rPr>
            </w:pPr>
            <w:r>
              <w:rPr>
                <w:color w:val="000000"/>
                <w:sz w:val="20"/>
                <w:szCs w:val="20"/>
              </w:rPr>
              <w:t>-0.112</w:t>
            </w:r>
          </w:p>
        </w:tc>
        <w:tc>
          <w:tcPr>
            <w:tcW w:w="768" w:type="dxa"/>
            <w:tcBorders>
              <w:top w:val="nil"/>
              <w:left w:val="nil"/>
              <w:bottom w:val="nil"/>
              <w:right w:val="nil"/>
            </w:tcBorders>
            <w:shd w:val="clear" w:color="auto" w:fill="auto"/>
            <w:noWrap/>
            <w:vAlign w:val="bottom"/>
            <w:hideMark/>
          </w:tcPr>
          <w:p w14:paraId="39CEDB49" w14:textId="77777777" w:rsidR="00973EB0" w:rsidRDefault="00973EB0">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FBF499F" w14:textId="77777777" w:rsidR="00973EB0" w:rsidRDefault="00973EB0">
            <w:pPr>
              <w:jc w:val="right"/>
              <w:rPr>
                <w:color w:val="000000"/>
                <w:sz w:val="20"/>
                <w:szCs w:val="20"/>
              </w:rPr>
            </w:pPr>
            <w:r>
              <w:rPr>
                <w:color w:val="000000"/>
                <w:sz w:val="20"/>
                <w:szCs w:val="20"/>
              </w:rPr>
              <w:t>0.013</w:t>
            </w:r>
          </w:p>
        </w:tc>
      </w:tr>
      <w:tr w:rsidR="00973EB0" w14:paraId="56CD325B" w14:textId="77777777" w:rsidTr="00973EB0">
        <w:trPr>
          <w:trHeight w:val="260"/>
        </w:trPr>
        <w:tc>
          <w:tcPr>
            <w:tcW w:w="1176" w:type="dxa"/>
            <w:tcBorders>
              <w:top w:val="nil"/>
              <w:left w:val="nil"/>
              <w:bottom w:val="nil"/>
              <w:right w:val="nil"/>
            </w:tcBorders>
            <w:shd w:val="clear" w:color="auto" w:fill="auto"/>
            <w:noWrap/>
            <w:vAlign w:val="bottom"/>
            <w:hideMark/>
          </w:tcPr>
          <w:p w14:paraId="39EBC512"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F40FE5" w14:textId="77777777" w:rsidR="00973EB0" w:rsidRDefault="00973EB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2127B30" w14:textId="77777777" w:rsidR="00973EB0" w:rsidRDefault="00973EB0">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A0CC6B7" w14:textId="77777777" w:rsidR="00973EB0" w:rsidRDefault="00973EB0">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373031FF"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EFAE378" w14:textId="77777777" w:rsidR="00973EB0" w:rsidRDefault="00973EB0">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09F558A6" w14:textId="77777777" w:rsidR="00973EB0" w:rsidRDefault="00973EB0">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24569AEB"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981EF35" w14:textId="77777777" w:rsidR="00973EB0" w:rsidRDefault="00973EB0">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78C282D1" w14:textId="77777777" w:rsidR="00973EB0" w:rsidRDefault="00973EB0">
            <w:pPr>
              <w:jc w:val="right"/>
              <w:rPr>
                <w:color w:val="000000"/>
                <w:sz w:val="20"/>
                <w:szCs w:val="20"/>
              </w:rPr>
            </w:pPr>
            <w:r>
              <w:rPr>
                <w:color w:val="000000"/>
                <w:sz w:val="20"/>
                <w:szCs w:val="20"/>
              </w:rPr>
              <w:t>0.432</w:t>
            </w:r>
          </w:p>
        </w:tc>
        <w:tc>
          <w:tcPr>
            <w:tcW w:w="768" w:type="dxa"/>
            <w:tcBorders>
              <w:top w:val="nil"/>
              <w:left w:val="nil"/>
              <w:bottom w:val="nil"/>
              <w:right w:val="nil"/>
            </w:tcBorders>
            <w:shd w:val="clear" w:color="auto" w:fill="auto"/>
            <w:noWrap/>
            <w:vAlign w:val="bottom"/>
            <w:hideMark/>
          </w:tcPr>
          <w:p w14:paraId="59217F77"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523D5AA" w14:textId="77777777" w:rsidR="00973EB0" w:rsidRDefault="00973EB0">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7AC8C800" w14:textId="77777777" w:rsidR="00973EB0" w:rsidRDefault="00973EB0">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03ADA1EA"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7292F80" w14:textId="77777777" w:rsidR="00973EB0" w:rsidRDefault="00973EB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21022C2" w14:textId="77777777" w:rsidR="00973EB0" w:rsidRDefault="00973EB0">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00123D7A" w14:textId="77777777" w:rsidR="00973EB0" w:rsidRDefault="00973EB0">
            <w:pPr>
              <w:jc w:val="right"/>
              <w:rPr>
                <w:color w:val="000000"/>
                <w:sz w:val="20"/>
                <w:szCs w:val="20"/>
              </w:rPr>
            </w:pPr>
            <w:r>
              <w:rPr>
                <w:color w:val="000000"/>
                <w:sz w:val="20"/>
                <w:szCs w:val="20"/>
              </w:rPr>
              <w:t>0.000</w:t>
            </w:r>
          </w:p>
        </w:tc>
      </w:tr>
      <w:tr w:rsidR="00973EB0" w14:paraId="41E06818" w14:textId="77777777" w:rsidTr="00973EB0">
        <w:trPr>
          <w:trHeight w:val="260"/>
        </w:trPr>
        <w:tc>
          <w:tcPr>
            <w:tcW w:w="1176" w:type="dxa"/>
            <w:tcBorders>
              <w:top w:val="nil"/>
              <w:left w:val="nil"/>
              <w:bottom w:val="nil"/>
              <w:right w:val="nil"/>
            </w:tcBorders>
            <w:shd w:val="clear" w:color="auto" w:fill="auto"/>
            <w:noWrap/>
            <w:vAlign w:val="bottom"/>
            <w:hideMark/>
          </w:tcPr>
          <w:p w14:paraId="1911C061"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90DF8E4" w14:textId="77777777" w:rsidR="00973EB0" w:rsidRDefault="00973EB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81230C0" w14:textId="77777777" w:rsidR="00973EB0" w:rsidRDefault="00973EB0">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3CE4FB22" w14:textId="77777777" w:rsidR="00973EB0" w:rsidRDefault="00973EB0">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378328D6"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DC25948" w14:textId="77777777" w:rsidR="00973EB0" w:rsidRDefault="00973EB0">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63E7FA31" w14:textId="77777777" w:rsidR="00973EB0" w:rsidRDefault="00973EB0">
            <w:pPr>
              <w:jc w:val="right"/>
              <w:rPr>
                <w:color w:val="000000"/>
                <w:sz w:val="20"/>
                <w:szCs w:val="20"/>
              </w:rPr>
            </w:pPr>
            <w:r>
              <w:rPr>
                <w:color w:val="000000"/>
                <w:sz w:val="20"/>
                <w:szCs w:val="20"/>
              </w:rPr>
              <w:t>0.485</w:t>
            </w:r>
          </w:p>
        </w:tc>
        <w:tc>
          <w:tcPr>
            <w:tcW w:w="768" w:type="dxa"/>
            <w:tcBorders>
              <w:top w:val="nil"/>
              <w:left w:val="nil"/>
              <w:bottom w:val="nil"/>
              <w:right w:val="nil"/>
            </w:tcBorders>
            <w:shd w:val="clear" w:color="auto" w:fill="auto"/>
            <w:noWrap/>
            <w:vAlign w:val="bottom"/>
            <w:hideMark/>
          </w:tcPr>
          <w:p w14:paraId="55761E3D"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F72EE57" w14:textId="77777777" w:rsidR="00973EB0" w:rsidRDefault="00973EB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672E53D3" w14:textId="77777777" w:rsidR="00973EB0" w:rsidRDefault="00973EB0">
            <w:pPr>
              <w:jc w:val="right"/>
              <w:rPr>
                <w:color w:val="000000"/>
                <w:sz w:val="20"/>
                <w:szCs w:val="20"/>
              </w:rPr>
            </w:pPr>
            <w:r>
              <w:rPr>
                <w:color w:val="000000"/>
                <w:sz w:val="20"/>
                <w:szCs w:val="20"/>
              </w:rPr>
              <w:t>0.898</w:t>
            </w:r>
          </w:p>
        </w:tc>
        <w:tc>
          <w:tcPr>
            <w:tcW w:w="768" w:type="dxa"/>
            <w:tcBorders>
              <w:top w:val="nil"/>
              <w:left w:val="nil"/>
              <w:bottom w:val="nil"/>
              <w:right w:val="nil"/>
            </w:tcBorders>
            <w:shd w:val="clear" w:color="auto" w:fill="auto"/>
            <w:noWrap/>
            <w:vAlign w:val="bottom"/>
            <w:hideMark/>
          </w:tcPr>
          <w:p w14:paraId="7752A5C8"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8AEEB95" w14:textId="77777777" w:rsidR="00973EB0" w:rsidRDefault="00973EB0">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29908BC5" w14:textId="77777777" w:rsidR="00973EB0" w:rsidRDefault="00973EB0">
            <w:pPr>
              <w:jc w:val="right"/>
              <w:rPr>
                <w:color w:val="000000"/>
                <w:sz w:val="20"/>
                <w:szCs w:val="20"/>
              </w:rPr>
            </w:pPr>
            <w:r>
              <w:rPr>
                <w:color w:val="000000"/>
                <w:sz w:val="20"/>
                <w:szCs w:val="20"/>
              </w:rPr>
              <w:t>0.504</w:t>
            </w:r>
          </w:p>
        </w:tc>
        <w:tc>
          <w:tcPr>
            <w:tcW w:w="768" w:type="dxa"/>
            <w:tcBorders>
              <w:top w:val="nil"/>
              <w:left w:val="nil"/>
              <w:bottom w:val="nil"/>
              <w:right w:val="nil"/>
            </w:tcBorders>
            <w:shd w:val="clear" w:color="auto" w:fill="auto"/>
            <w:noWrap/>
            <w:vAlign w:val="bottom"/>
            <w:hideMark/>
          </w:tcPr>
          <w:p w14:paraId="294ED9D6"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107B557" w14:textId="77777777" w:rsidR="00973EB0" w:rsidRDefault="00973EB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FC4B933" w14:textId="77777777" w:rsidR="00973EB0" w:rsidRDefault="00973EB0">
            <w:pPr>
              <w:jc w:val="right"/>
              <w:rPr>
                <w:color w:val="000000"/>
                <w:sz w:val="20"/>
                <w:szCs w:val="20"/>
              </w:rPr>
            </w:pPr>
            <w:r>
              <w:rPr>
                <w:color w:val="000000"/>
                <w:sz w:val="20"/>
                <w:szCs w:val="20"/>
              </w:rPr>
              <w:t>0.926</w:t>
            </w:r>
          </w:p>
        </w:tc>
        <w:tc>
          <w:tcPr>
            <w:tcW w:w="768" w:type="dxa"/>
            <w:tcBorders>
              <w:top w:val="nil"/>
              <w:left w:val="nil"/>
              <w:bottom w:val="nil"/>
              <w:right w:val="nil"/>
            </w:tcBorders>
            <w:shd w:val="clear" w:color="auto" w:fill="auto"/>
            <w:noWrap/>
            <w:vAlign w:val="bottom"/>
            <w:hideMark/>
          </w:tcPr>
          <w:p w14:paraId="2901B744" w14:textId="77777777" w:rsidR="00973EB0" w:rsidRDefault="00973EB0">
            <w:pPr>
              <w:jc w:val="right"/>
              <w:rPr>
                <w:color w:val="000000"/>
                <w:sz w:val="20"/>
                <w:szCs w:val="20"/>
              </w:rPr>
            </w:pPr>
            <w:r>
              <w:rPr>
                <w:color w:val="000000"/>
                <w:sz w:val="20"/>
                <w:szCs w:val="20"/>
              </w:rPr>
              <w:t>0.000</w:t>
            </w:r>
          </w:p>
        </w:tc>
      </w:tr>
      <w:tr w:rsidR="00973EB0" w14:paraId="303FF75E" w14:textId="77777777" w:rsidTr="00973EB0">
        <w:trPr>
          <w:trHeight w:val="260"/>
        </w:trPr>
        <w:tc>
          <w:tcPr>
            <w:tcW w:w="1176" w:type="dxa"/>
            <w:tcBorders>
              <w:top w:val="nil"/>
              <w:left w:val="nil"/>
              <w:bottom w:val="single" w:sz="4" w:space="0" w:color="auto"/>
              <w:right w:val="nil"/>
            </w:tcBorders>
            <w:shd w:val="clear" w:color="auto" w:fill="auto"/>
            <w:noWrap/>
            <w:vAlign w:val="bottom"/>
            <w:hideMark/>
          </w:tcPr>
          <w:p w14:paraId="590649FE" w14:textId="77777777" w:rsidR="00973EB0" w:rsidRDefault="00973EB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615176FA" w14:textId="77777777" w:rsidR="00973EB0" w:rsidRDefault="00973EB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D4E4FA2" w14:textId="77777777" w:rsidR="00973EB0" w:rsidRDefault="00973EB0">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1051A22B" w14:textId="77777777" w:rsidR="00973EB0" w:rsidRDefault="00973EB0">
            <w:pPr>
              <w:jc w:val="right"/>
              <w:rPr>
                <w:color w:val="000000"/>
                <w:sz w:val="20"/>
                <w:szCs w:val="20"/>
              </w:rPr>
            </w:pPr>
            <w:r>
              <w:rPr>
                <w:color w:val="000000"/>
                <w:sz w:val="20"/>
                <w:szCs w:val="20"/>
              </w:rPr>
              <w:t>0.787</w:t>
            </w:r>
          </w:p>
        </w:tc>
        <w:tc>
          <w:tcPr>
            <w:tcW w:w="768" w:type="dxa"/>
            <w:tcBorders>
              <w:top w:val="nil"/>
              <w:left w:val="nil"/>
              <w:bottom w:val="single" w:sz="4" w:space="0" w:color="auto"/>
              <w:right w:val="nil"/>
            </w:tcBorders>
            <w:shd w:val="clear" w:color="auto" w:fill="auto"/>
            <w:noWrap/>
            <w:vAlign w:val="bottom"/>
            <w:hideMark/>
          </w:tcPr>
          <w:p w14:paraId="26C6F475"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99D061E" w14:textId="77777777" w:rsidR="00973EB0" w:rsidRDefault="00973EB0">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58009007" w14:textId="77777777" w:rsidR="00973EB0" w:rsidRDefault="00973EB0">
            <w:pPr>
              <w:jc w:val="right"/>
              <w:rPr>
                <w:color w:val="000000"/>
                <w:sz w:val="20"/>
                <w:szCs w:val="20"/>
              </w:rPr>
            </w:pPr>
            <w:r>
              <w:rPr>
                <w:color w:val="000000"/>
                <w:sz w:val="20"/>
                <w:szCs w:val="20"/>
              </w:rPr>
              <w:t>0.928</w:t>
            </w:r>
          </w:p>
        </w:tc>
        <w:tc>
          <w:tcPr>
            <w:tcW w:w="768" w:type="dxa"/>
            <w:tcBorders>
              <w:top w:val="nil"/>
              <w:left w:val="nil"/>
              <w:bottom w:val="single" w:sz="4" w:space="0" w:color="auto"/>
              <w:right w:val="nil"/>
            </w:tcBorders>
            <w:shd w:val="clear" w:color="auto" w:fill="auto"/>
            <w:noWrap/>
            <w:vAlign w:val="bottom"/>
            <w:hideMark/>
          </w:tcPr>
          <w:p w14:paraId="28A2424C"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3D62AB5" w14:textId="77777777" w:rsidR="00973EB0" w:rsidRDefault="00973EB0">
            <w:pPr>
              <w:jc w:val="right"/>
              <w:rPr>
                <w:color w:val="000000"/>
                <w:sz w:val="20"/>
                <w:szCs w:val="20"/>
              </w:rPr>
            </w:pPr>
            <w:r>
              <w:rPr>
                <w:color w:val="000000"/>
                <w:sz w:val="20"/>
                <w:szCs w:val="20"/>
              </w:rPr>
              <w:t>-0.010</w:t>
            </w:r>
          </w:p>
        </w:tc>
        <w:tc>
          <w:tcPr>
            <w:tcW w:w="768" w:type="dxa"/>
            <w:tcBorders>
              <w:top w:val="nil"/>
              <w:left w:val="nil"/>
              <w:bottom w:val="single" w:sz="4" w:space="0" w:color="auto"/>
              <w:right w:val="nil"/>
            </w:tcBorders>
            <w:shd w:val="clear" w:color="auto" w:fill="auto"/>
            <w:noWrap/>
            <w:vAlign w:val="bottom"/>
            <w:hideMark/>
          </w:tcPr>
          <w:p w14:paraId="7A315E6E" w14:textId="77777777" w:rsidR="00973EB0" w:rsidRDefault="00973EB0">
            <w:pPr>
              <w:jc w:val="right"/>
              <w:rPr>
                <w:color w:val="000000"/>
                <w:sz w:val="20"/>
                <w:szCs w:val="20"/>
              </w:rPr>
            </w:pPr>
            <w:r>
              <w:rPr>
                <w:color w:val="000000"/>
                <w:sz w:val="20"/>
                <w:szCs w:val="20"/>
              </w:rPr>
              <w:t>0.899</w:t>
            </w:r>
          </w:p>
        </w:tc>
        <w:tc>
          <w:tcPr>
            <w:tcW w:w="768" w:type="dxa"/>
            <w:tcBorders>
              <w:top w:val="nil"/>
              <w:left w:val="nil"/>
              <w:bottom w:val="single" w:sz="4" w:space="0" w:color="auto"/>
              <w:right w:val="nil"/>
            </w:tcBorders>
            <w:shd w:val="clear" w:color="auto" w:fill="auto"/>
            <w:noWrap/>
            <w:vAlign w:val="bottom"/>
            <w:hideMark/>
          </w:tcPr>
          <w:p w14:paraId="5300ABC1"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BC9E673" w14:textId="77777777" w:rsidR="00973EB0" w:rsidRDefault="00973EB0">
            <w:pPr>
              <w:jc w:val="right"/>
              <w:rPr>
                <w:color w:val="000000"/>
                <w:sz w:val="20"/>
                <w:szCs w:val="20"/>
              </w:rPr>
            </w:pPr>
            <w:r>
              <w:rPr>
                <w:color w:val="000000"/>
                <w:sz w:val="20"/>
                <w:szCs w:val="20"/>
              </w:rPr>
              <w:t>-0.015</w:t>
            </w:r>
          </w:p>
        </w:tc>
        <w:tc>
          <w:tcPr>
            <w:tcW w:w="768" w:type="dxa"/>
            <w:tcBorders>
              <w:top w:val="nil"/>
              <w:left w:val="nil"/>
              <w:bottom w:val="single" w:sz="4" w:space="0" w:color="auto"/>
              <w:right w:val="nil"/>
            </w:tcBorders>
            <w:shd w:val="clear" w:color="auto" w:fill="auto"/>
            <w:noWrap/>
            <w:vAlign w:val="bottom"/>
            <w:hideMark/>
          </w:tcPr>
          <w:p w14:paraId="6B9AB3B9" w14:textId="77777777" w:rsidR="00973EB0" w:rsidRDefault="00973EB0">
            <w:pPr>
              <w:jc w:val="right"/>
              <w:rPr>
                <w:color w:val="000000"/>
                <w:sz w:val="20"/>
                <w:szCs w:val="20"/>
              </w:rPr>
            </w:pPr>
            <w:r>
              <w:rPr>
                <w:color w:val="000000"/>
                <w:sz w:val="20"/>
                <w:szCs w:val="20"/>
              </w:rPr>
              <w:t>0.780</w:t>
            </w:r>
          </w:p>
        </w:tc>
        <w:tc>
          <w:tcPr>
            <w:tcW w:w="768" w:type="dxa"/>
            <w:tcBorders>
              <w:top w:val="nil"/>
              <w:left w:val="nil"/>
              <w:bottom w:val="single" w:sz="4" w:space="0" w:color="auto"/>
              <w:right w:val="nil"/>
            </w:tcBorders>
            <w:shd w:val="clear" w:color="auto" w:fill="auto"/>
            <w:noWrap/>
            <w:vAlign w:val="bottom"/>
            <w:hideMark/>
          </w:tcPr>
          <w:p w14:paraId="28EDBA44"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30F987F" w14:textId="77777777" w:rsidR="00973EB0" w:rsidRDefault="00973EB0">
            <w:pPr>
              <w:jc w:val="right"/>
              <w:rPr>
                <w:color w:val="000000"/>
                <w:sz w:val="20"/>
                <w:szCs w:val="20"/>
              </w:rPr>
            </w:pPr>
            <w:r>
              <w:rPr>
                <w:color w:val="000000"/>
                <w:sz w:val="20"/>
                <w:szCs w:val="20"/>
              </w:rPr>
              <w:t>0.005</w:t>
            </w:r>
          </w:p>
        </w:tc>
        <w:tc>
          <w:tcPr>
            <w:tcW w:w="768" w:type="dxa"/>
            <w:tcBorders>
              <w:top w:val="nil"/>
              <w:left w:val="nil"/>
              <w:bottom w:val="single" w:sz="4" w:space="0" w:color="auto"/>
              <w:right w:val="nil"/>
            </w:tcBorders>
            <w:shd w:val="clear" w:color="auto" w:fill="auto"/>
            <w:noWrap/>
            <w:vAlign w:val="bottom"/>
            <w:hideMark/>
          </w:tcPr>
          <w:p w14:paraId="485A1927" w14:textId="77777777" w:rsidR="00973EB0" w:rsidRDefault="00973EB0">
            <w:pPr>
              <w:jc w:val="right"/>
              <w:rPr>
                <w:color w:val="000000"/>
                <w:sz w:val="20"/>
                <w:szCs w:val="20"/>
              </w:rPr>
            </w:pPr>
            <w:r>
              <w:rPr>
                <w:color w:val="000000"/>
                <w:sz w:val="20"/>
                <w:szCs w:val="20"/>
              </w:rPr>
              <w:t>0.926</w:t>
            </w:r>
          </w:p>
        </w:tc>
        <w:tc>
          <w:tcPr>
            <w:tcW w:w="768" w:type="dxa"/>
            <w:tcBorders>
              <w:top w:val="nil"/>
              <w:left w:val="nil"/>
              <w:bottom w:val="single" w:sz="4" w:space="0" w:color="auto"/>
              <w:right w:val="nil"/>
            </w:tcBorders>
            <w:shd w:val="clear" w:color="auto" w:fill="auto"/>
            <w:noWrap/>
            <w:vAlign w:val="bottom"/>
            <w:hideMark/>
          </w:tcPr>
          <w:p w14:paraId="4383BEEA" w14:textId="77777777" w:rsidR="00973EB0" w:rsidRDefault="00973EB0">
            <w:pPr>
              <w:jc w:val="right"/>
              <w:rPr>
                <w:color w:val="000000"/>
                <w:sz w:val="20"/>
                <w:szCs w:val="20"/>
              </w:rPr>
            </w:pPr>
            <w:r>
              <w:rPr>
                <w:color w:val="000000"/>
                <w:sz w:val="20"/>
                <w:szCs w:val="20"/>
              </w:rPr>
              <w:t>0.000</w:t>
            </w:r>
          </w:p>
        </w:tc>
      </w:tr>
      <w:tr w:rsidR="00973EB0" w14:paraId="28407BC5" w14:textId="77777777" w:rsidTr="00973EB0">
        <w:trPr>
          <w:trHeight w:val="260"/>
        </w:trPr>
        <w:tc>
          <w:tcPr>
            <w:tcW w:w="1176" w:type="dxa"/>
            <w:tcBorders>
              <w:top w:val="nil"/>
              <w:left w:val="nil"/>
              <w:bottom w:val="nil"/>
              <w:right w:val="nil"/>
            </w:tcBorders>
            <w:shd w:val="clear" w:color="auto" w:fill="auto"/>
            <w:noWrap/>
            <w:vAlign w:val="bottom"/>
            <w:hideMark/>
          </w:tcPr>
          <w:p w14:paraId="21019B41" w14:textId="77777777" w:rsidR="00973EB0" w:rsidRDefault="00973EB0">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5ADD8BD" w14:textId="77777777" w:rsidR="00973EB0" w:rsidRDefault="00973EB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960B97C" w14:textId="77777777" w:rsidR="00973EB0" w:rsidRDefault="00973EB0">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5EB86FF6" w14:textId="77777777" w:rsidR="00973EB0" w:rsidRDefault="00973EB0">
            <w:pPr>
              <w:jc w:val="right"/>
              <w:rPr>
                <w:color w:val="000000"/>
                <w:sz w:val="20"/>
                <w:szCs w:val="20"/>
              </w:rPr>
            </w:pPr>
            <w:r>
              <w:rPr>
                <w:color w:val="000000"/>
                <w:sz w:val="20"/>
                <w:szCs w:val="20"/>
              </w:rPr>
              <w:t>0.352</w:t>
            </w:r>
          </w:p>
        </w:tc>
        <w:tc>
          <w:tcPr>
            <w:tcW w:w="768" w:type="dxa"/>
            <w:tcBorders>
              <w:top w:val="nil"/>
              <w:left w:val="nil"/>
              <w:bottom w:val="nil"/>
              <w:right w:val="nil"/>
            </w:tcBorders>
            <w:shd w:val="clear" w:color="auto" w:fill="auto"/>
            <w:noWrap/>
            <w:vAlign w:val="bottom"/>
            <w:hideMark/>
          </w:tcPr>
          <w:p w14:paraId="64AC06C2"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68C2AE0" w14:textId="77777777" w:rsidR="00973EB0" w:rsidRDefault="00973EB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A55AA84" w14:textId="77777777" w:rsidR="00973EB0" w:rsidRDefault="00973EB0">
            <w:pPr>
              <w:jc w:val="right"/>
              <w:rPr>
                <w:color w:val="000000"/>
                <w:sz w:val="20"/>
                <w:szCs w:val="20"/>
              </w:rPr>
            </w:pPr>
            <w:r>
              <w:rPr>
                <w:color w:val="000000"/>
                <w:sz w:val="20"/>
                <w:szCs w:val="20"/>
              </w:rPr>
              <w:t>0.833</w:t>
            </w:r>
          </w:p>
        </w:tc>
        <w:tc>
          <w:tcPr>
            <w:tcW w:w="768" w:type="dxa"/>
            <w:tcBorders>
              <w:top w:val="nil"/>
              <w:left w:val="nil"/>
              <w:bottom w:val="nil"/>
              <w:right w:val="nil"/>
            </w:tcBorders>
            <w:shd w:val="clear" w:color="auto" w:fill="auto"/>
            <w:noWrap/>
            <w:vAlign w:val="bottom"/>
            <w:hideMark/>
          </w:tcPr>
          <w:p w14:paraId="037B6D50"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1D43FF" w14:textId="77777777" w:rsidR="00973EB0" w:rsidRDefault="00973EB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4AC64E60" w14:textId="77777777" w:rsidR="00973EB0" w:rsidRDefault="00973EB0">
            <w:pPr>
              <w:jc w:val="right"/>
              <w:rPr>
                <w:color w:val="000000"/>
                <w:sz w:val="20"/>
                <w:szCs w:val="20"/>
              </w:rPr>
            </w:pPr>
            <w:r>
              <w:rPr>
                <w:color w:val="000000"/>
                <w:sz w:val="20"/>
                <w:szCs w:val="20"/>
              </w:rPr>
              <w:t>0.843</w:t>
            </w:r>
          </w:p>
        </w:tc>
        <w:tc>
          <w:tcPr>
            <w:tcW w:w="768" w:type="dxa"/>
            <w:tcBorders>
              <w:top w:val="nil"/>
              <w:left w:val="nil"/>
              <w:bottom w:val="nil"/>
              <w:right w:val="nil"/>
            </w:tcBorders>
            <w:shd w:val="clear" w:color="auto" w:fill="auto"/>
            <w:noWrap/>
            <w:vAlign w:val="bottom"/>
            <w:hideMark/>
          </w:tcPr>
          <w:p w14:paraId="34B99051"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DE24C4A" w14:textId="77777777" w:rsidR="00973EB0" w:rsidRDefault="00973EB0">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7D959D0E" w14:textId="77777777" w:rsidR="00973EB0" w:rsidRDefault="00973EB0">
            <w:pPr>
              <w:jc w:val="right"/>
              <w:rPr>
                <w:color w:val="000000"/>
                <w:sz w:val="20"/>
                <w:szCs w:val="20"/>
              </w:rPr>
            </w:pPr>
            <w:r>
              <w:rPr>
                <w:color w:val="000000"/>
                <w:sz w:val="20"/>
                <w:szCs w:val="20"/>
              </w:rPr>
              <w:t>0.278</w:t>
            </w:r>
          </w:p>
        </w:tc>
        <w:tc>
          <w:tcPr>
            <w:tcW w:w="768" w:type="dxa"/>
            <w:tcBorders>
              <w:top w:val="nil"/>
              <w:left w:val="nil"/>
              <w:bottom w:val="nil"/>
              <w:right w:val="nil"/>
            </w:tcBorders>
            <w:shd w:val="clear" w:color="auto" w:fill="auto"/>
            <w:noWrap/>
            <w:vAlign w:val="bottom"/>
            <w:hideMark/>
          </w:tcPr>
          <w:p w14:paraId="6FB70AAF"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C21CB4A" w14:textId="77777777" w:rsidR="00973EB0" w:rsidRDefault="00973EB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1780CF7F" w14:textId="77777777" w:rsidR="00973EB0" w:rsidRDefault="00973EB0">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43A4E70B" w14:textId="77777777" w:rsidR="00973EB0" w:rsidRDefault="00973EB0">
            <w:pPr>
              <w:jc w:val="right"/>
              <w:rPr>
                <w:color w:val="000000"/>
                <w:sz w:val="20"/>
                <w:szCs w:val="20"/>
              </w:rPr>
            </w:pPr>
            <w:r>
              <w:rPr>
                <w:color w:val="000000"/>
                <w:sz w:val="20"/>
                <w:szCs w:val="20"/>
              </w:rPr>
              <w:t>0.000</w:t>
            </w:r>
          </w:p>
        </w:tc>
      </w:tr>
      <w:tr w:rsidR="00973EB0" w14:paraId="5E38C65A" w14:textId="77777777" w:rsidTr="00973EB0">
        <w:trPr>
          <w:trHeight w:val="260"/>
        </w:trPr>
        <w:tc>
          <w:tcPr>
            <w:tcW w:w="1176" w:type="dxa"/>
            <w:tcBorders>
              <w:top w:val="nil"/>
              <w:left w:val="nil"/>
              <w:bottom w:val="nil"/>
              <w:right w:val="nil"/>
            </w:tcBorders>
            <w:shd w:val="clear" w:color="auto" w:fill="auto"/>
            <w:noWrap/>
            <w:vAlign w:val="bottom"/>
            <w:hideMark/>
          </w:tcPr>
          <w:p w14:paraId="4CD90830"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D1BE830" w14:textId="77777777" w:rsidR="00973EB0" w:rsidRDefault="00973EB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2A74F9A" w14:textId="77777777" w:rsidR="00973EB0" w:rsidRDefault="00973EB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17A5C2CE" w14:textId="77777777" w:rsidR="00973EB0" w:rsidRDefault="00973EB0">
            <w:pPr>
              <w:jc w:val="right"/>
              <w:rPr>
                <w:color w:val="000000"/>
                <w:sz w:val="20"/>
                <w:szCs w:val="20"/>
              </w:rPr>
            </w:pPr>
            <w:r>
              <w:rPr>
                <w:color w:val="000000"/>
                <w:sz w:val="20"/>
                <w:szCs w:val="20"/>
              </w:rPr>
              <w:t>0.593</w:t>
            </w:r>
          </w:p>
        </w:tc>
        <w:tc>
          <w:tcPr>
            <w:tcW w:w="768" w:type="dxa"/>
            <w:tcBorders>
              <w:top w:val="nil"/>
              <w:left w:val="nil"/>
              <w:bottom w:val="nil"/>
              <w:right w:val="nil"/>
            </w:tcBorders>
            <w:shd w:val="clear" w:color="auto" w:fill="auto"/>
            <w:noWrap/>
            <w:vAlign w:val="bottom"/>
            <w:hideMark/>
          </w:tcPr>
          <w:p w14:paraId="4D2F160D"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26DD9ED" w14:textId="77777777" w:rsidR="00973EB0" w:rsidRDefault="00973EB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B4E0D78" w14:textId="77777777" w:rsidR="00973EB0" w:rsidRDefault="00973EB0">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2C67B386"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5EEA22" w14:textId="77777777" w:rsidR="00973EB0" w:rsidRDefault="00973EB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148D4A5" w14:textId="77777777" w:rsidR="00973EB0" w:rsidRDefault="00973EB0">
            <w:pPr>
              <w:jc w:val="right"/>
              <w:rPr>
                <w:color w:val="000000"/>
                <w:sz w:val="20"/>
                <w:szCs w:val="20"/>
              </w:rPr>
            </w:pPr>
            <w:r>
              <w:rPr>
                <w:color w:val="000000"/>
                <w:sz w:val="20"/>
                <w:szCs w:val="20"/>
              </w:rPr>
              <w:t>0.511</w:t>
            </w:r>
          </w:p>
        </w:tc>
        <w:tc>
          <w:tcPr>
            <w:tcW w:w="768" w:type="dxa"/>
            <w:tcBorders>
              <w:top w:val="nil"/>
              <w:left w:val="nil"/>
              <w:bottom w:val="nil"/>
              <w:right w:val="nil"/>
            </w:tcBorders>
            <w:shd w:val="clear" w:color="auto" w:fill="auto"/>
            <w:noWrap/>
            <w:vAlign w:val="bottom"/>
            <w:hideMark/>
          </w:tcPr>
          <w:p w14:paraId="7212A3EB"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275060" w14:textId="77777777" w:rsidR="00973EB0" w:rsidRDefault="00973EB0">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0F436332" w14:textId="77777777" w:rsidR="00973EB0" w:rsidRDefault="00973EB0">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2741335B" w14:textId="77777777" w:rsidR="00973EB0" w:rsidRDefault="00973EB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B5BFAC3" w14:textId="77777777" w:rsidR="00973EB0" w:rsidRDefault="00973EB0">
            <w:pPr>
              <w:jc w:val="right"/>
              <w:rPr>
                <w:b/>
                <w:bCs/>
                <w:color w:val="000000"/>
                <w:sz w:val="20"/>
                <w:szCs w:val="20"/>
              </w:rPr>
            </w:pPr>
            <w:r>
              <w:rPr>
                <w:b/>
                <w:bCs/>
                <w:color w:val="000000"/>
                <w:sz w:val="20"/>
                <w:szCs w:val="20"/>
              </w:rPr>
              <w:t>-0.127</w:t>
            </w:r>
          </w:p>
        </w:tc>
        <w:tc>
          <w:tcPr>
            <w:tcW w:w="768" w:type="dxa"/>
            <w:tcBorders>
              <w:top w:val="nil"/>
              <w:left w:val="nil"/>
              <w:bottom w:val="nil"/>
              <w:right w:val="nil"/>
            </w:tcBorders>
            <w:shd w:val="clear" w:color="auto" w:fill="auto"/>
            <w:noWrap/>
            <w:vAlign w:val="bottom"/>
            <w:hideMark/>
          </w:tcPr>
          <w:p w14:paraId="62AFB001" w14:textId="77777777" w:rsidR="00973EB0" w:rsidRDefault="00973EB0">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08FFF3CD" w14:textId="77777777" w:rsidR="00973EB0" w:rsidRDefault="00973EB0">
            <w:pPr>
              <w:jc w:val="right"/>
              <w:rPr>
                <w:b/>
                <w:bCs/>
                <w:color w:val="000000"/>
                <w:sz w:val="20"/>
                <w:szCs w:val="20"/>
              </w:rPr>
            </w:pPr>
            <w:r>
              <w:rPr>
                <w:b/>
                <w:bCs/>
                <w:color w:val="000000"/>
                <w:sz w:val="20"/>
                <w:szCs w:val="20"/>
              </w:rPr>
              <w:t>0.016</w:t>
            </w:r>
          </w:p>
        </w:tc>
      </w:tr>
      <w:tr w:rsidR="00973EB0" w14:paraId="50B2002C" w14:textId="77777777" w:rsidTr="00973EB0">
        <w:trPr>
          <w:trHeight w:val="260"/>
        </w:trPr>
        <w:tc>
          <w:tcPr>
            <w:tcW w:w="1176" w:type="dxa"/>
            <w:tcBorders>
              <w:top w:val="nil"/>
              <w:left w:val="nil"/>
              <w:bottom w:val="nil"/>
              <w:right w:val="nil"/>
            </w:tcBorders>
            <w:shd w:val="clear" w:color="auto" w:fill="auto"/>
            <w:noWrap/>
            <w:vAlign w:val="bottom"/>
            <w:hideMark/>
          </w:tcPr>
          <w:p w14:paraId="431E6474" w14:textId="77777777" w:rsidR="00973EB0" w:rsidRDefault="00973EB0">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0000965A" w14:textId="77777777" w:rsidR="00973EB0" w:rsidRDefault="00973EB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3194B6DD" w14:textId="77777777" w:rsidR="00973EB0" w:rsidRDefault="00973EB0">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13810A8" w14:textId="77777777" w:rsidR="00973EB0" w:rsidRDefault="00973EB0">
            <w:pPr>
              <w:jc w:val="right"/>
              <w:rPr>
                <w:color w:val="000000"/>
                <w:sz w:val="20"/>
                <w:szCs w:val="20"/>
              </w:rPr>
            </w:pPr>
            <w:r>
              <w:rPr>
                <w:color w:val="000000"/>
                <w:sz w:val="20"/>
                <w:szCs w:val="20"/>
              </w:rPr>
              <w:t>0.750</w:t>
            </w:r>
          </w:p>
        </w:tc>
        <w:tc>
          <w:tcPr>
            <w:tcW w:w="768" w:type="dxa"/>
            <w:tcBorders>
              <w:top w:val="nil"/>
              <w:left w:val="nil"/>
              <w:bottom w:val="nil"/>
              <w:right w:val="nil"/>
            </w:tcBorders>
            <w:shd w:val="clear" w:color="auto" w:fill="auto"/>
            <w:noWrap/>
            <w:vAlign w:val="bottom"/>
            <w:hideMark/>
          </w:tcPr>
          <w:p w14:paraId="4EE3D286"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104230" w14:textId="77777777" w:rsidR="00973EB0" w:rsidRDefault="00973EB0">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2BC7E74F" w14:textId="77777777" w:rsidR="00973EB0" w:rsidRDefault="00973EB0">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2F017A32" w14:textId="77777777" w:rsidR="00973EB0" w:rsidRDefault="00973EB0">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6B9A85A" w14:textId="77777777" w:rsidR="00973EB0" w:rsidRDefault="00973EB0">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B7C7CE1" w14:textId="77777777" w:rsidR="00973EB0" w:rsidRDefault="00973EB0">
            <w:pPr>
              <w:jc w:val="right"/>
              <w:rPr>
                <w:color w:val="000000"/>
                <w:sz w:val="20"/>
                <w:szCs w:val="20"/>
              </w:rPr>
            </w:pPr>
            <w:r>
              <w:rPr>
                <w:color w:val="000000"/>
                <w:sz w:val="20"/>
                <w:szCs w:val="20"/>
              </w:rPr>
              <w:t>0.511</w:t>
            </w:r>
          </w:p>
        </w:tc>
        <w:tc>
          <w:tcPr>
            <w:tcW w:w="768" w:type="dxa"/>
            <w:tcBorders>
              <w:top w:val="nil"/>
              <w:left w:val="nil"/>
              <w:bottom w:val="nil"/>
              <w:right w:val="nil"/>
            </w:tcBorders>
            <w:shd w:val="clear" w:color="auto" w:fill="auto"/>
            <w:noWrap/>
            <w:vAlign w:val="bottom"/>
            <w:hideMark/>
          </w:tcPr>
          <w:p w14:paraId="71CFAB10"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6E2713C"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81EDE57" w14:textId="77777777" w:rsidR="00973EB0" w:rsidRDefault="00973EB0">
            <w:pPr>
              <w:jc w:val="right"/>
              <w:rPr>
                <w:color w:val="000000"/>
                <w:sz w:val="20"/>
                <w:szCs w:val="20"/>
              </w:rPr>
            </w:pPr>
            <w:r>
              <w:rPr>
                <w:color w:val="000000"/>
                <w:sz w:val="20"/>
                <w:szCs w:val="20"/>
              </w:rPr>
              <w:t>0.945</w:t>
            </w:r>
          </w:p>
        </w:tc>
        <w:tc>
          <w:tcPr>
            <w:tcW w:w="768" w:type="dxa"/>
            <w:tcBorders>
              <w:top w:val="nil"/>
              <w:left w:val="nil"/>
              <w:bottom w:val="nil"/>
              <w:right w:val="nil"/>
            </w:tcBorders>
            <w:shd w:val="clear" w:color="auto" w:fill="auto"/>
            <w:noWrap/>
            <w:vAlign w:val="bottom"/>
            <w:hideMark/>
          </w:tcPr>
          <w:p w14:paraId="53449DC0"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64A931" w14:textId="77777777" w:rsidR="00973EB0" w:rsidRDefault="00973EB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2BB797E" w14:textId="77777777" w:rsidR="00973EB0" w:rsidRDefault="00973EB0">
            <w:pPr>
              <w:jc w:val="right"/>
              <w:rPr>
                <w:color w:val="000000"/>
                <w:sz w:val="20"/>
                <w:szCs w:val="20"/>
              </w:rPr>
            </w:pPr>
            <w:r>
              <w:rPr>
                <w:color w:val="000000"/>
                <w:sz w:val="20"/>
                <w:szCs w:val="20"/>
              </w:rPr>
              <w:t>0.833</w:t>
            </w:r>
          </w:p>
        </w:tc>
        <w:tc>
          <w:tcPr>
            <w:tcW w:w="768" w:type="dxa"/>
            <w:tcBorders>
              <w:top w:val="nil"/>
              <w:left w:val="nil"/>
              <w:bottom w:val="nil"/>
              <w:right w:val="nil"/>
            </w:tcBorders>
            <w:shd w:val="clear" w:color="auto" w:fill="auto"/>
            <w:noWrap/>
            <w:vAlign w:val="bottom"/>
            <w:hideMark/>
          </w:tcPr>
          <w:p w14:paraId="7D30B58E" w14:textId="77777777" w:rsidR="00973EB0" w:rsidRDefault="00973EB0">
            <w:pPr>
              <w:jc w:val="right"/>
              <w:rPr>
                <w:color w:val="000000"/>
                <w:sz w:val="20"/>
                <w:szCs w:val="20"/>
              </w:rPr>
            </w:pPr>
            <w:r>
              <w:rPr>
                <w:color w:val="000000"/>
                <w:sz w:val="20"/>
                <w:szCs w:val="20"/>
              </w:rPr>
              <w:t>0.001</w:t>
            </w:r>
          </w:p>
        </w:tc>
      </w:tr>
      <w:tr w:rsidR="00973EB0" w14:paraId="6E7265CB" w14:textId="77777777" w:rsidTr="00973EB0">
        <w:trPr>
          <w:trHeight w:val="260"/>
        </w:trPr>
        <w:tc>
          <w:tcPr>
            <w:tcW w:w="1176" w:type="dxa"/>
            <w:tcBorders>
              <w:top w:val="nil"/>
              <w:left w:val="nil"/>
              <w:bottom w:val="nil"/>
              <w:right w:val="nil"/>
            </w:tcBorders>
            <w:shd w:val="clear" w:color="auto" w:fill="auto"/>
            <w:noWrap/>
            <w:vAlign w:val="bottom"/>
            <w:hideMark/>
          </w:tcPr>
          <w:p w14:paraId="57BD6DED"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92F040D" w14:textId="77777777" w:rsidR="00973EB0" w:rsidRDefault="00973EB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BBB303A" w14:textId="77777777" w:rsidR="00973EB0" w:rsidRDefault="00973EB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1736022E" w14:textId="77777777" w:rsidR="00973EB0" w:rsidRDefault="00973EB0">
            <w:pPr>
              <w:jc w:val="right"/>
              <w:rPr>
                <w:color w:val="000000"/>
                <w:sz w:val="20"/>
                <w:szCs w:val="20"/>
              </w:rPr>
            </w:pPr>
            <w:r>
              <w:rPr>
                <w:color w:val="000000"/>
                <w:sz w:val="20"/>
                <w:szCs w:val="20"/>
              </w:rPr>
              <w:t>0.593</w:t>
            </w:r>
          </w:p>
        </w:tc>
        <w:tc>
          <w:tcPr>
            <w:tcW w:w="768" w:type="dxa"/>
            <w:tcBorders>
              <w:top w:val="nil"/>
              <w:left w:val="nil"/>
              <w:bottom w:val="nil"/>
              <w:right w:val="nil"/>
            </w:tcBorders>
            <w:shd w:val="clear" w:color="auto" w:fill="auto"/>
            <w:noWrap/>
            <w:vAlign w:val="bottom"/>
            <w:hideMark/>
          </w:tcPr>
          <w:p w14:paraId="0DFE61C6"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2F9B235" w14:textId="77777777" w:rsidR="00973EB0" w:rsidRDefault="00973EB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0368DD1" w14:textId="77777777" w:rsidR="00973EB0" w:rsidRDefault="00973EB0">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77EB80C9"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0B89496" w14:textId="77777777" w:rsidR="00973EB0" w:rsidRDefault="00973EB0">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428F1D1" w14:textId="77777777" w:rsidR="00973EB0" w:rsidRDefault="00973EB0">
            <w:pPr>
              <w:jc w:val="right"/>
              <w:rPr>
                <w:color w:val="000000"/>
                <w:sz w:val="20"/>
                <w:szCs w:val="20"/>
              </w:rPr>
            </w:pPr>
            <w:r>
              <w:rPr>
                <w:color w:val="000000"/>
                <w:sz w:val="20"/>
                <w:szCs w:val="20"/>
              </w:rPr>
              <w:t>0.511</w:t>
            </w:r>
          </w:p>
        </w:tc>
        <w:tc>
          <w:tcPr>
            <w:tcW w:w="768" w:type="dxa"/>
            <w:tcBorders>
              <w:top w:val="nil"/>
              <w:left w:val="nil"/>
              <w:bottom w:val="nil"/>
              <w:right w:val="nil"/>
            </w:tcBorders>
            <w:shd w:val="clear" w:color="auto" w:fill="auto"/>
            <w:noWrap/>
            <w:vAlign w:val="bottom"/>
            <w:hideMark/>
          </w:tcPr>
          <w:p w14:paraId="11D1C907"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819CCD0" w14:textId="77777777" w:rsidR="00973EB0" w:rsidRDefault="00973EB0">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50D3150A" w14:textId="77777777" w:rsidR="00973EB0" w:rsidRDefault="00973EB0">
            <w:pPr>
              <w:jc w:val="right"/>
              <w:rPr>
                <w:color w:val="000000"/>
                <w:sz w:val="20"/>
                <w:szCs w:val="20"/>
              </w:rPr>
            </w:pPr>
            <w:r>
              <w:rPr>
                <w:color w:val="000000"/>
                <w:sz w:val="20"/>
                <w:szCs w:val="20"/>
              </w:rPr>
              <w:t>0.278</w:t>
            </w:r>
          </w:p>
        </w:tc>
        <w:tc>
          <w:tcPr>
            <w:tcW w:w="768" w:type="dxa"/>
            <w:tcBorders>
              <w:top w:val="nil"/>
              <w:left w:val="nil"/>
              <w:bottom w:val="nil"/>
              <w:right w:val="nil"/>
            </w:tcBorders>
            <w:shd w:val="clear" w:color="auto" w:fill="auto"/>
            <w:noWrap/>
            <w:vAlign w:val="bottom"/>
            <w:hideMark/>
          </w:tcPr>
          <w:p w14:paraId="4CDAF36E"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6B991CA" w14:textId="77777777" w:rsidR="00973EB0" w:rsidRDefault="00973EB0">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181AA928" w14:textId="77777777" w:rsidR="00973EB0" w:rsidRDefault="00973EB0">
            <w:pPr>
              <w:jc w:val="right"/>
              <w:rPr>
                <w:color w:val="000000"/>
                <w:sz w:val="20"/>
                <w:szCs w:val="20"/>
              </w:rPr>
            </w:pPr>
            <w:r>
              <w:rPr>
                <w:color w:val="000000"/>
                <w:sz w:val="20"/>
                <w:szCs w:val="20"/>
              </w:rPr>
              <w:t>0.317</w:t>
            </w:r>
          </w:p>
        </w:tc>
        <w:tc>
          <w:tcPr>
            <w:tcW w:w="768" w:type="dxa"/>
            <w:tcBorders>
              <w:top w:val="nil"/>
              <w:left w:val="nil"/>
              <w:bottom w:val="nil"/>
              <w:right w:val="nil"/>
            </w:tcBorders>
            <w:shd w:val="clear" w:color="auto" w:fill="auto"/>
            <w:noWrap/>
            <w:vAlign w:val="bottom"/>
            <w:hideMark/>
          </w:tcPr>
          <w:p w14:paraId="51D834E7" w14:textId="77777777" w:rsidR="00973EB0" w:rsidRDefault="00973EB0">
            <w:pPr>
              <w:jc w:val="right"/>
              <w:rPr>
                <w:color w:val="000000"/>
                <w:sz w:val="20"/>
                <w:szCs w:val="20"/>
              </w:rPr>
            </w:pPr>
            <w:r>
              <w:rPr>
                <w:color w:val="000000"/>
                <w:sz w:val="20"/>
                <w:szCs w:val="20"/>
              </w:rPr>
              <w:t>0.004</w:t>
            </w:r>
          </w:p>
        </w:tc>
      </w:tr>
      <w:tr w:rsidR="00973EB0" w14:paraId="0588569E" w14:textId="77777777" w:rsidTr="00973EB0">
        <w:trPr>
          <w:trHeight w:val="260"/>
        </w:trPr>
        <w:tc>
          <w:tcPr>
            <w:tcW w:w="1176" w:type="dxa"/>
            <w:tcBorders>
              <w:top w:val="nil"/>
              <w:left w:val="nil"/>
              <w:bottom w:val="nil"/>
              <w:right w:val="nil"/>
            </w:tcBorders>
            <w:shd w:val="clear" w:color="auto" w:fill="auto"/>
            <w:noWrap/>
            <w:vAlign w:val="bottom"/>
            <w:hideMark/>
          </w:tcPr>
          <w:p w14:paraId="35B821D2"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3F63F8A" w14:textId="77777777" w:rsidR="00973EB0" w:rsidRDefault="00973EB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8F0918F" w14:textId="77777777" w:rsidR="00973EB0" w:rsidRDefault="00973EB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00D01AD" w14:textId="77777777" w:rsidR="00973EB0" w:rsidRDefault="00973EB0">
            <w:pPr>
              <w:jc w:val="right"/>
              <w:rPr>
                <w:color w:val="000000"/>
                <w:sz w:val="20"/>
                <w:szCs w:val="20"/>
              </w:rPr>
            </w:pPr>
            <w:r>
              <w:rPr>
                <w:color w:val="000000"/>
                <w:sz w:val="20"/>
                <w:szCs w:val="20"/>
              </w:rPr>
              <w:t>0.593</w:t>
            </w:r>
          </w:p>
        </w:tc>
        <w:tc>
          <w:tcPr>
            <w:tcW w:w="768" w:type="dxa"/>
            <w:tcBorders>
              <w:top w:val="nil"/>
              <w:left w:val="nil"/>
              <w:bottom w:val="nil"/>
              <w:right w:val="nil"/>
            </w:tcBorders>
            <w:shd w:val="clear" w:color="auto" w:fill="auto"/>
            <w:noWrap/>
            <w:vAlign w:val="bottom"/>
            <w:hideMark/>
          </w:tcPr>
          <w:p w14:paraId="1E0624D0"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CBF06AB" w14:textId="77777777" w:rsidR="00973EB0" w:rsidRDefault="00973EB0">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776FB66B" w14:textId="77777777" w:rsidR="00973EB0" w:rsidRDefault="00973EB0">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13B62115"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D1FDFFF" w14:textId="77777777" w:rsidR="00973EB0" w:rsidRDefault="00973EB0">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5AE10A68" w14:textId="77777777" w:rsidR="00973EB0" w:rsidRDefault="00973EB0">
            <w:pPr>
              <w:jc w:val="right"/>
              <w:rPr>
                <w:color w:val="000000"/>
                <w:sz w:val="20"/>
                <w:szCs w:val="20"/>
              </w:rPr>
            </w:pPr>
            <w:r>
              <w:rPr>
                <w:color w:val="000000"/>
                <w:sz w:val="20"/>
                <w:szCs w:val="20"/>
              </w:rPr>
              <w:t>0.511</w:t>
            </w:r>
          </w:p>
        </w:tc>
        <w:tc>
          <w:tcPr>
            <w:tcW w:w="768" w:type="dxa"/>
            <w:tcBorders>
              <w:top w:val="nil"/>
              <w:left w:val="nil"/>
              <w:bottom w:val="nil"/>
              <w:right w:val="nil"/>
            </w:tcBorders>
            <w:shd w:val="clear" w:color="auto" w:fill="auto"/>
            <w:noWrap/>
            <w:vAlign w:val="bottom"/>
            <w:hideMark/>
          </w:tcPr>
          <w:p w14:paraId="065930A5"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6ABDCE5" w14:textId="77777777" w:rsidR="00973EB0" w:rsidRDefault="00973EB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A460473" w14:textId="77777777" w:rsidR="00973EB0" w:rsidRDefault="00973EB0">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5B257FA6"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9EF545" w14:textId="77777777" w:rsidR="00973EB0" w:rsidRDefault="00973EB0">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15343C79" w14:textId="77777777" w:rsidR="00973EB0" w:rsidRDefault="00973EB0">
            <w:pPr>
              <w:jc w:val="right"/>
              <w:rPr>
                <w:color w:val="000000"/>
                <w:sz w:val="20"/>
                <w:szCs w:val="20"/>
              </w:rPr>
            </w:pPr>
            <w:r>
              <w:rPr>
                <w:color w:val="000000"/>
                <w:sz w:val="20"/>
                <w:szCs w:val="20"/>
              </w:rPr>
              <w:t>0.152</w:t>
            </w:r>
          </w:p>
        </w:tc>
        <w:tc>
          <w:tcPr>
            <w:tcW w:w="768" w:type="dxa"/>
            <w:tcBorders>
              <w:top w:val="nil"/>
              <w:left w:val="nil"/>
              <w:bottom w:val="nil"/>
              <w:right w:val="nil"/>
            </w:tcBorders>
            <w:shd w:val="clear" w:color="auto" w:fill="auto"/>
            <w:noWrap/>
            <w:vAlign w:val="bottom"/>
            <w:hideMark/>
          </w:tcPr>
          <w:p w14:paraId="1000B0B9" w14:textId="77777777" w:rsidR="00973EB0" w:rsidRDefault="00973EB0">
            <w:pPr>
              <w:jc w:val="right"/>
              <w:rPr>
                <w:color w:val="000000"/>
                <w:sz w:val="20"/>
                <w:szCs w:val="20"/>
              </w:rPr>
            </w:pPr>
            <w:r>
              <w:rPr>
                <w:color w:val="000000"/>
                <w:sz w:val="20"/>
                <w:szCs w:val="20"/>
              </w:rPr>
              <w:t>0.007</w:t>
            </w:r>
          </w:p>
        </w:tc>
      </w:tr>
      <w:tr w:rsidR="00973EB0" w14:paraId="502F1B07" w14:textId="77777777" w:rsidTr="00973EB0">
        <w:trPr>
          <w:trHeight w:val="260"/>
        </w:trPr>
        <w:tc>
          <w:tcPr>
            <w:tcW w:w="1176" w:type="dxa"/>
            <w:tcBorders>
              <w:top w:val="nil"/>
              <w:left w:val="nil"/>
              <w:bottom w:val="nil"/>
              <w:right w:val="nil"/>
            </w:tcBorders>
            <w:shd w:val="clear" w:color="auto" w:fill="auto"/>
            <w:noWrap/>
            <w:vAlign w:val="bottom"/>
            <w:hideMark/>
          </w:tcPr>
          <w:p w14:paraId="5A6FA1B8"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79C0423" w14:textId="77777777" w:rsidR="00973EB0" w:rsidRDefault="00973EB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7576299" w14:textId="77777777" w:rsidR="00973EB0" w:rsidRDefault="00973EB0">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3E6E3DAE" w14:textId="77777777" w:rsidR="00973EB0" w:rsidRDefault="00973EB0">
            <w:pPr>
              <w:jc w:val="right"/>
              <w:rPr>
                <w:color w:val="000000"/>
                <w:sz w:val="20"/>
                <w:szCs w:val="20"/>
              </w:rPr>
            </w:pPr>
            <w:r>
              <w:rPr>
                <w:color w:val="000000"/>
                <w:sz w:val="20"/>
                <w:szCs w:val="20"/>
              </w:rPr>
              <w:t>0.328</w:t>
            </w:r>
          </w:p>
        </w:tc>
        <w:tc>
          <w:tcPr>
            <w:tcW w:w="768" w:type="dxa"/>
            <w:tcBorders>
              <w:top w:val="nil"/>
              <w:left w:val="nil"/>
              <w:bottom w:val="nil"/>
              <w:right w:val="nil"/>
            </w:tcBorders>
            <w:shd w:val="clear" w:color="auto" w:fill="auto"/>
            <w:noWrap/>
            <w:vAlign w:val="bottom"/>
            <w:hideMark/>
          </w:tcPr>
          <w:p w14:paraId="26411B99" w14:textId="77777777" w:rsidR="00973EB0" w:rsidRDefault="00973EB0">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ACC78D3" w14:textId="77777777" w:rsidR="00973EB0" w:rsidRDefault="00973EB0">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14411FE" w14:textId="77777777" w:rsidR="00973EB0" w:rsidRDefault="00973EB0">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2B7300DC"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5F4CB9D" w14:textId="77777777" w:rsidR="00973EB0" w:rsidRDefault="00973EB0">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4B344D9E" w14:textId="77777777" w:rsidR="00973EB0" w:rsidRDefault="00973EB0">
            <w:pPr>
              <w:jc w:val="right"/>
              <w:rPr>
                <w:color w:val="000000"/>
                <w:sz w:val="20"/>
                <w:szCs w:val="20"/>
              </w:rPr>
            </w:pPr>
            <w:r>
              <w:rPr>
                <w:color w:val="000000"/>
                <w:sz w:val="20"/>
                <w:szCs w:val="20"/>
              </w:rPr>
              <w:t>0.511</w:t>
            </w:r>
          </w:p>
        </w:tc>
        <w:tc>
          <w:tcPr>
            <w:tcW w:w="768" w:type="dxa"/>
            <w:tcBorders>
              <w:top w:val="nil"/>
              <w:left w:val="nil"/>
              <w:bottom w:val="nil"/>
              <w:right w:val="nil"/>
            </w:tcBorders>
            <w:shd w:val="clear" w:color="auto" w:fill="auto"/>
            <w:noWrap/>
            <w:vAlign w:val="bottom"/>
            <w:hideMark/>
          </w:tcPr>
          <w:p w14:paraId="30928722"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056E9F0" w14:textId="77777777" w:rsidR="00973EB0" w:rsidRDefault="00973EB0">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215953B6" w14:textId="77777777" w:rsidR="00973EB0" w:rsidRDefault="00973EB0">
            <w:pPr>
              <w:jc w:val="right"/>
              <w:rPr>
                <w:color w:val="000000"/>
                <w:sz w:val="20"/>
                <w:szCs w:val="20"/>
              </w:rPr>
            </w:pPr>
            <w:r>
              <w:rPr>
                <w:color w:val="000000"/>
                <w:sz w:val="20"/>
                <w:szCs w:val="20"/>
              </w:rPr>
              <w:t>0.278</w:t>
            </w:r>
          </w:p>
        </w:tc>
        <w:tc>
          <w:tcPr>
            <w:tcW w:w="768" w:type="dxa"/>
            <w:tcBorders>
              <w:top w:val="nil"/>
              <w:left w:val="nil"/>
              <w:bottom w:val="nil"/>
              <w:right w:val="nil"/>
            </w:tcBorders>
            <w:shd w:val="clear" w:color="auto" w:fill="auto"/>
            <w:noWrap/>
            <w:vAlign w:val="bottom"/>
            <w:hideMark/>
          </w:tcPr>
          <w:p w14:paraId="7AED3772"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974FFD4" w14:textId="77777777" w:rsidR="00973EB0" w:rsidRDefault="00973EB0">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18876C1E" w14:textId="77777777" w:rsidR="00973EB0" w:rsidRDefault="00973EB0">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1E4B775E" w14:textId="77777777" w:rsidR="00973EB0" w:rsidRDefault="00973EB0">
            <w:pPr>
              <w:jc w:val="right"/>
              <w:rPr>
                <w:color w:val="000000"/>
                <w:sz w:val="20"/>
                <w:szCs w:val="20"/>
              </w:rPr>
            </w:pPr>
            <w:r>
              <w:rPr>
                <w:color w:val="000000"/>
                <w:sz w:val="20"/>
                <w:szCs w:val="20"/>
              </w:rPr>
              <w:t>0.001</w:t>
            </w:r>
          </w:p>
        </w:tc>
      </w:tr>
      <w:tr w:rsidR="00973EB0" w14:paraId="6ED9016A" w14:textId="77777777" w:rsidTr="00973EB0">
        <w:trPr>
          <w:trHeight w:val="260"/>
        </w:trPr>
        <w:tc>
          <w:tcPr>
            <w:tcW w:w="1176" w:type="dxa"/>
            <w:tcBorders>
              <w:top w:val="nil"/>
              <w:left w:val="nil"/>
              <w:bottom w:val="nil"/>
              <w:right w:val="nil"/>
            </w:tcBorders>
            <w:shd w:val="clear" w:color="auto" w:fill="auto"/>
            <w:noWrap/>
            <w:vAlign w:val="bottom"/>
            <w:hideMark/>
          </w:tcPr>
          <w:p w14:paraId="3A2CB921"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0C6FBCE" w14:textId="77777777" w:rsidR="00973EB0" w:rsidRDefault="00973EB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CB6FF5A" w14:textId="77777777" w:rsidR="00973EB0" w:rsidRDefault="00973EB0">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36F00A8" w14:textId="77777777" w:rsidR="00973EB0" w:rsidRDefault="00973EB0">
            <w:pPr>
              <w:jc w:val="right"/>
              <w:rPr>
                <w:color w:val="000000"/>
                <w:sz w:val="20"/>
                <w:szCs w:val="20"/>
              </w:rPr>
            </w:pPr>
            <w:r>
              <w:rPr>
                <w:color w:val="000000"/>
                <w:sz w:val="20"/>
                <w:szCs w:val="20"/>
              </w:rPr>
              <w:t>0.593</w:t>
            </w:r>
          </w:p>
        </w:tc>
        <w:tc>
          <w:tcPr>
            <w:tcW w:w="768" w:type="dxa"/>
            <w:tcBorders>
              <w:top w:val="nil"/>
              <w:left w:val="nil"/>
              <w:bottom w:val="nil"/>
              <w:right w:val="nil"/>
            </w:tcBorders>
            <w:shd w:val="clear" w:color="auto" w:fill="auto"/>
            <w:noWrap/>
            <w:vAlign w:val="bottom"/>
            <w:hideMark/>
          </w:tcPr>
          <w:p w14:paraId="7478E227"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88EA0D" w14:textId="77777777" w:rsidR="00973EB0" w:rsidRDefault="00973EB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B87E68B" w14:textId="77777777" w:rsidR="00973EB0" w:rsidRDefault="00973EB0">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77A41299"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C6A68F2"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949055F" w14:textId="77777777" w:rsidR="00973EB0" w:rsidRDefault="00973EB0">
            <w:pPr>
              <w:jc w:val="right"/>
              <w:rPr>
                <w:color w:val="000000"/>
                <w:sz w:val="20"/>
                <w:szCs w:val="20"/>
              </w:rPr>
            </w:pPr>
            <w:r>
              <w:rPr>
                <w:color w:val="000000"/>
                <w:sz w:val="20"/>
                <w:szCs w:val="20"/>
              </w:rPr>
              <w:t>0.965</w:t>
            </w:r>
          </w:p>
        </w:tc>
        <w:tc>
          <w:tcPr>
            <w:tcW w:w="768" w:type="dxa"/>
            <w:tcBorders>
              <w:top w:val="nil"/>
              <w:left w:val="nil"/>
              <w:bottom w:val="nil"/>
              <w:right w:val="nil"/>
            </w:tcBorders>
            <w:shd w:val="clear" w:color="auto" w:fill="auto"/>
            <w:noWrap/>
            <w:vAlign w:val="bottom"/>
            <w:hideMark/>
          </w:tcPr>
          <w:p w14:paraId="115FF84A"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9C4DC24" w14:textId="77777777" w:rsidR="00973EB0" w:rsidRDefault="00973EB0">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03E1FD5" w14:textId="77777777" w:rsidR="00973EB0" w:rsidRDefault="00973EB0">
            <w:pPr>
              <w:jc w:val="right"/>
              <w:rPr>
                <w:color w:val="000000"/>
                <w:sz w:val="20"/>
                <w:szCs w:val="20"/>
              </w:rPr>
            </w:pPr>
            <w:r>
              <w:rPr>
                <w:color w:val="000000"/>
                <w:sz w:val="20"/>
                <w:szCs w:val="20"/>
              </w:rPr>
              <w:t>0.739</w:t>
            </w:r>
          </w:p>
        </w:tc>
        <w:tc>
          <w:tcPr>
            <w:tcW w:w="768" w:type="dxa"/>
            <w:tcBorders>
              <w:top w:val="nil"/>
              <w:left w:val="nil"/>
              <w:bottom w:val="nil"/>
              <w:right w:val="nil"/>
            </w:tcBorders>
            <w:shd w:val="clear" w:color="auto" w:fill="auto"/>
            <w:noWrap/>
            <w:vAlign w:val="bottom"/>
            <w:hideMark/>
          </w:tcPr>
          <w:p w14:paraId="6A57DE2E"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7F38692" w14:textId="77777777" w:rsidR="00973EB0" w:rsidRDefault="00973EB0">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647E5A91" w14:textId="77777777" w:rsidR="00973EB0" w:rsidRDefault="00973EB0">
            <w:pPr>
              <w:jc w:val="right"/>
              <w:rPr>
                <w:color w:val="000000"/>
                <w:sz w:val="20"/>
                <w:szCs w:val="20"/>
              </w:rPr>
            </w:pPr>
            <w:r>
              <w:rPr>
                <w:color w:val="000000"/>
                <w:sz w:val="20"/>
                <w:szCs w:val="20"/>
              </w:rPr>
              <w:t>0.847</w:t>
            </w:r>
          </w:p>
        </w:tc>
        <w:tc>
          <w:tcPr>
            <w:tcW w:w="768" w:type="dxa"/>
            <w:tcBorders>
              <w:top w:val="nil"/>
              <w:left w:val="nil"/>
              <w:bottom w:val="nil"/>
              <w:right w:val="nil"/>
            </w:tcBorders>
            <w:shd w:val="clear" w:color="auto" w:fill="auto"/>
            <w:noWrap/>
            <w:vAlign w:val="bottom"/>
            <w:hideMark/>
          </w:tcPr>
          <w:p w14:paraId="5E654A1C" w14:textId="77777777" w:rsidR="00973EB0" w:rsidRDefault="00973EB0">
            <w:pPr>
              <w:jc w:val="right"/>
              <w:rPr>
                <w:color w:val="000000"/>
                <w:sz w:val="20"/>
                <w:szCs w:val="20"/>
              </w:rPr>
            </w:pPr>
            <w:r>
              <w:rPr>
                <w:color w:val="000000"/>
                <w:sz w:val="20"/>
                <w:szCs w:val="20"/>
              </w:rPr>
              <w:t>0.000</w:t>
            </w:r>
          </w:p>
        </w:tc>
      </w:tr>
      <w:tr w:rsidR="00973EB0" w14:paraId="3702CFEE" w14:textId="77777777" w:rsidTr="00973EB0">
        <w:trPr>
          <w:trHeight w:val="260"/>
        </w:trPr>
        <w:tc>
          <w:tcPr>
            <w:tcW w:w="1176" w:type="dxa"/>
            <w:tcBorders>
              <w:top w:val="nil"/>
              <w:left w:val="nil"/>
              <w:bottom w:val="single" w:sz="4" w:space="0" w:color="auto"/>
              <w:right w:val="nil"/>
            </w:tcBorders>
            <w:shd w:val="clear" w:color="auto" w:fill="auto"/>
            <w:noWrap/>
            <w:vAlign w:val="bottom"/>
            <w:hideMark/>
          </w:tcPr>
          <w:p w14:paraId="16183945" w14:textId="77777777" w:rsidR="00973EB0" w:rsidRDefault="00973EB0">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A59C5FD" w14:textId="77777777" w:rsidR="00973EB0" w:rsidRDefault="00973EB0">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10D3E0C" w14:textId="77777777" w:rsidR="00973EB0" w:rsidRDefault="00973EB0">
            <w:pPr>
              <w:jc w:val="right"/>
              <w:rPr>
                <w:color w:val="000000"/>
                <w:sz w:val="20"/>
                <w:szCs w:val="20"/>
              </w:rPr>
            </w:pPr>
            <w:r>
              <w:rPr>
                <w:color w:val="000000"/>
                <w:sz w:val="20"/>
                <w:szCs w:val="20"/>
              </w:rPr>
              <w:t>-0.061</w:t>
            </w:r>
          </w:p>
        </w:tc>
        <w:tc>
          <w:tcPr>
            <w:tcW w:w="768" w:type="dxa"/>
            <w:tcBorders>
              <w:top w:val="nil"/>
              <w:left w:val="nil"/>
              <w:bottom w:val="single" w:sz="4" w:space="0" w:color="auto"/>
              <w:right w:val="nil"/>
            </w:tcBorders>
            <w:shd w:val="clear" w:color="auto" w:fill="auto"/>
            <w:noWrap/>
            <w:vAlign w:val="bottom"/>
            <w:hideMark/>
          </w:tcPr>
          <w:p w14:paraId="1412229C" w14:textId="77777777" w:rsidR="00973EB0" w:rsidRDefault="00973EB0">
            <w:pPr>
              <w:jc w:val="right"/>
              <w:rPr>
                <w:color w:val="000000"/>
                <w:sz w:val="20"/>
                <w:szCs w:val="20"/>
              </w:rPr>
            </w:pPr>
            <w:r>
              <w:rPr>
                <w:color w:val="000000"/>
                <w:sz w:val="20"/>
                <w:szCs w:val="20"/>
              </w:rPr>
              <w:t>0.352</w:t>
            </w:r>
          </w:p>
        </w:tc>
        <w:tc>
          <w:tcPr>
            <w:tcW w:w="768" w:type="dxa"/>
            <w:tcBorders>
              <w:top w:val="nil"/>
              <w:left w:val="nil"/>
              <w:bottom w:val="single" w:sz="4" w:space="0" w:color="auto"/>
              <w:right w:val="nil"/>
            </w:tcBorders>
            <w:shd w:val="clear" w:color="auto" w:fill="auto"/>
            <w:noWrap/>
            <w:vAlign w:val="bottom"/>
            <w:hideMark/>
          </w:tcPr>
          <w:p w14:paraId="16C682C1"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single" w:sz="4" w:space="0" w:color="auto"/>
              <w:right w:val="nil"/>
            </w:tcBorders>
            <w:shd w:val="clear" w:color="auto" w:fill="auto"/>
            <w:noWrap/>
            <w:vAlign w:val="bottom"/>
            <w:hideMark/>
          </w:tcPr>
          <w:p w14:paraId="5892F5E9" w14:textId="77777777" w:rsidR="00973EB0" w:rsidRDefault="00973EB0">
            <w:pPr>
              <w:jc w:val="right"/>
              <w:rPr>
                <w:color w:val="000000"/>
                <w:sz w:val="20"/>
                <w:szCs w:val="20"/>
              </w:rPr>
            </w:pPr>
            <w:r>
              <w:rPr>
                <w:color w:val="000000"/>
                <w:sz w:val="20"/>
                <w:szCs w:val="20"/>
              </w:rPr>
              <w:t>0.026</w:t>
            </w:r>
          </w:p>
        </w:tc>
        <w:tc>
          <w:tcPr>
            <w:tcW w:w="768" w:type="dxa"/>
            <w:tcBorders>
              <w:top w:val="nil"/>
              <w:left w:val="nil"/>
              <w:bottom w:val="single" w:sz="4" w:space="0" w:color="auto"/>
              <w:right w:val="nil"/>
            </w:tcBorders>
            <w:shd w:val="clear" w:color="auto" w:fill="auto"/>
            <w:noWrap/>
            <w:vAlign w:val="bottom"/>
            <w:hideMark/>
          </w:tcPr>
          <w:p w14:paraId="18F0D6A5" w14:textId="77777777" w:rsidR="00973EB0" w:rsidRDefault="00973EB0">
            <w:pPr>
              <w:jc w:val="right"/>
              <w:rPr>
                <w:color w:val="000000"/>
                <w:sz w:val="20"/>
                <w:szCs w:val="20"/>
              </w:rPr>
            </w:pPr>
            <w:r>
              <w:rPr>
                <w:color w:val="000000"/>
                <w:sz w:val="20"/>
                <w:szCs w:val="20"/>
              </w:rPr>
              <w:t>0.771</w:t>
            </w:r>
          </w:p>
        </w:tc>
        <w:tc>
          <w:tcPr>
            <w:tcW w:w="768" w:type="dxa"/>
            <w:tcBorders>
              <w:top w:val="nil"/>
              <w:left w:val="nil"/>
              <w:bottom w:val="single" w:sz="4" w:space="0" w:color="auto"/>
              <w:right w:val="nil"/>
            </w:tcBorders>
            <w:shd w:val="clear" w:color="auto" w:fill="auto"/>
            <w:noWrap/>
            <w:vAlign w:val="bottom"/>
            <w:hideMark/>
          </w:tcPr>
          <w:p w14:paraId="6A673A1A"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152CE033" w14:textId="77777777" w:rsidR="00973EB0" w:rsidRDefault="00973EB0">
            <w:pPr>
              <w:jc w:val="right"/>
              <w:rPr>
                <w:color w:val="000000"/>
                <w:sz w:val="20"/>
                <w:szCs w:val="20"/>
              </w:rPr>
            </w:pPr>
            <w:r>
              <w:rPr>
                <w:color w:val="000000"/>
                <w:sz w:val="20"/>
                <w:szCs w:val="20"/>
              </w:rPr>
              <w:t>0.042</w:t>
            </w:r>
          </w:p>
        </w:tc>
        <w:tc>
          <w:tcPr>
            <w:tcW w:w="768" w:type="dxa"/>
            <w:tcBorders>
              <w:top w:val="nil"/>
              <w:left w:val="nil"/>
              <w:bottom w:val="single" w:sz="4" w:space="0" w:color="auto"/>
              <w:right w:val="nil"/>
            </w:tcBorders>
            <w:shd w:val="clear" w:color="auto" w:fill="auto"/>
            <w:noWrap/>
            <w:vAlign w:val="bottom"/>
            <w:hideMark/>
          </w:tcPr>
          <w:p w14:paraId="75A1B574" w14:textId="77777777" w:rsidR="00973EB0" w:rsidRDefault="00973EB0">
            <w:pPr>
              <w:jc w:val="right"/>
              <w:rPr>
                <w:color w:val="000000"/>
                <w:sz w:val="20"/>
                <w:szCs w:val="20"/>
              </w:rPr>
            </w:pPr>
            <w:r>
              <w:rPr>
                <w:color w:val="000000"/>
                <w:sz w:val="20"/>
                <w:szCs w:val="20"/>
              </w:rPr>
              <w:t>0.511</w:t>
            </w:r>
          </w:p>
        </w:tc>
        <w:tc>
          <w:tcPr>
            <w:tcW w:w="768" w:type="dxa"/>
            <w:tcBorders>
              <w:top w:val="nil"/>
              <w:left w:val="nil"/>
              <w:bottom w:val="single" w:sz="4" w:space="0" w:color="auto"/>
              <w:right w:val="nil"/>
            </w:tcBorders>
            <w:shd w:val="clear" w:color="auto" w:fill="auto"/>
            <w:noWrap/>
            <w:vAlign w:val="bottom"/>
            <w:hideMark/>
          </w:tcPr>
          <w:p w14:paraId="57BB146E"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F0BB260" w14:textId="77777777" w:rsidR="00973EB0" w:rsidRDefault="00973EB0">
            <w:pPr>
              <w:jc w:val="right"/>
              <w:rPr>
                <w:color w:val="000000"/>
                <w:sz w:val="20"/>
                <w:szCs w:val="20"/>
              </w:rPr>
            </w:pPr>
            <w:r>
              <w:rPr>
                <w:color w:val="000000"/>
                <w:sz w:val="20"/>
                <w:szCs w:val="20"/>
              </w:rPr>
              <w:t>-0.091</w:t>
            </w:r>
          </w:p>
        </w:tc>
        <w:tc>
          <w:tcPr>
            <w:tcW w:w="768" w:type="dxa"/>
            <w:tcBorders>
              <w:top w:val="nil"/>
              <w:left w:val="nil"/>
              <w:bottom w:val="single" w:sz="4" w:space="0" w:color="auto"/>
              <w:right w:val="nil"/>
            </w:tcBorders>
            <w:shd w:val="clear" w:color="auto" w:fill="auto"/>
            <w:noWrap/>
            <w:vAlign w:val="bottom"/>
            <w:hideMark/>
          </w:tcPr>
          <w:p w14:paraId="3EC6F4BA" w14:textId="77777777" w:rsidR="00973EB0" w:rsidRDefault="00973EB0">
            <w:pPr>
              <w:jc w:val="right"/>
              <w:rPr>
                <w:color w:val="000000"/>
                <w:sz w:val="20"/>
                <w:szCs w:val="20"/>
              </w:rPr>
            </w:pPr>
            <w:r>
              <w:rPr>
                <w:color w:val="000000"/>
                <w:sz w:val="20"/>
                <w:szCs w:val="20"/>
              </w:rPr>
              <w:t>0.120</w:t>
            </w:r>
          </w:p>
        </w:tc>
        <w:tc>
          <w:tcPr>
            <w:tcW w:w="768" w:type="dxa"/>
            <w:tcBorders>
              <w:top w:val="nil"/>
              <w:left w:val="nil"/>
              <w:bottom w:val="single" w:sz="4" w:space="0" w:color="auto"/>
              <w:right w:val="nil"/>
            </w:tcBorders>
            <w:shd w:val="clear" w:color="auto" w:fill="auto"/>
            <w:noWrap/>
            <w:vAlign w:val="bottom"/>
            <w:hideMark/>
          </w:tcPr>
          <w:p w14:paraId="71A753F7" w14:textId="77777777" w:rsidR="00973EB0" w:rsidRDefault="00973EB0">
            <w:pPr>
              <w:jc w:val="right"/>
              <w:rPr>
                <w:color w:val="000000"/>
                <w:sz w:val="20"/>
                <w:szCs w:val="20"/>
              </w:rPr>
            </w:pPr>
            <w:r>
              <w:rPr>
                <w:color w:val="000000"/>
                <w:sz w:val="20"/>
                <w:szCs w:val="20"/>
              </w:rPr>
              <w:t>0.008</w:t>
            </w:r>
          </w:p>
        </w:tc>
        <w:tc>
          <w:tcPr>
            <w:tcW w:w="768" w:type="dxa"/>
            <w:tcBorders>
              <w:top w:val="nil"/>
              <w:left w:val="nil"/>
              <w:bottom w:val="single" w:sz="4" w:space="0" w:color="auto"/>
              <w:right w:val="nil"/>
            </w:tcBorders>
            <w:shd w:val="clear" w:color="auto" w:fill="auto"/>
            <w:noWrap/>
            <w:vAlign w:val="bottom"/>
            <w:hideMark/>
          </w:tcPr>
          <w:p w14:paraId="3B4D271D" w14:textId="77777777" w:rsidR="00973EB0" w:rsidRDefault="00973EB0">
            <w:pPr>
              <w:jc w:val="right"/>
              <w:rPr>
                <w:color w:val="000000"/>
                <w:sz w:val="20"/>
                <w:szCs w:val="20"/>
              </w:rPr>
            </w:pPr>
            <w:r>
              <w:rPr>
                <w:color w:val="000000"/>
                <w:sz w:val="20"/>
                <w:szCs w:val="20"/>
              </w:rPr>
              <w:t>0.063</w:t>
            </w:r>
          </w:p>
        </w:tc>
        <w:tc>
          <w:tcPr>
            <w:tcW w:w="768" w:type="dxa"/>
            <w:tcBorders>
              <w:top w:val="nil"/>
              <w:left w:val="nil"/>
              <w:bottom w:val="single" w:sz="4" w:space="0" w:color="auto"/>
              <w:right w:val="nil"/>
            </w:tcBorders>
            <w:shd w:val="clear" w:color="auto" w:fill="auto"/>
            <w:noWrap/>
            <w:vAlign w:val="bottom"/>
            <w:hideMark/>
          </w:tcPr>
          <w:p w14:paraId="19E24B18" w14:textId="77777777" w:rsidR="00973EB0" w:rsidRDefault="00973EB0">
            <w:pPr>
              <w:jc w:val="right"/>
              <w:rPr>
                <w:color w:val="000000"/>
                <w:sz w:val="20"/>
                <w:szCs w:val="20"/>
              </w:rPr>
            </w:pPr>
            <w:r>
              <w:rPr>
                <w:color w:val="000000"/>
                <w:sz w:val="20"/>
                <w:szCs w:val="20"/>
              </w:rPr>
              <w:t>0.332</w:t>
            </w:r>
          </w:p>
        </w:tc>
        <w:tc>
          <w:tcPr>
            <w:tcW w:w="768" w:type="dxa"/>
            <w:tcBorders>
              <w:top w:val="nil"/>
              <w:left w:val="nil"/>
              <w:bottom w:val="single" w:sz="4" w:space="0" w:color="auto"/>
              <w:right w:val="nil"/>
            </w:tcBorders>
            <w:shd w:val="clear" w:color="auto" w:fill="auto"/>
            <w:noWrap/>
            <w:vAlign w:val="bottom"/>
            <w:hideMark/>
          </w:tcPr>
          <w:p w14:paraId="19679D1B" w14:textId="77777777" w:rsidR="00973EB0" w:rsidRDefault="00973EB0">
            <w:pPr>
              <w:jc w:val="right"/>
              <w:rPr>
                <w:color w:val="000000"/>
                <w:sz w:val="20"/>
                <w:szCs w:val="20"/>
              </w:rPr>
            </w:pPr>
            <w:r>
              <w:rPr>
                <w:color w:val="000000"/>
                <w:sz w:val="20"/>
                <w:szCs w:val="20"/>
              </w:rPr>
              <w:t>0.004</w:t>
            </w:r>
          </w:p>
        </w:tc>
      </w:tr>
      <w:tr w:rsidR="00973EB0" w14:paraId="0B1B63FA" w14:textId="77777777" w:rsidTr="00973EB0">
        <w:trPr>
          <w:trHeight w:val="260"/>
        </w:trPr>
        <w:tc>
          <w:tcPr>
            <w:tcW w:w="1176" w:type="dxa"/>
            <w:tcBorders>
              <w:top w:val="nil"/>
              <w:left w:val="nil"/>
              <w:bottom w:val="nil"/>
              <w:right w:val="nil"/>
            </w:tcBorders>
            <w:shd w:val="clear" w:color="auto" w:fill="auto"/>
            <w:noWrap/>
            <w:vAlign w:val="bottom"/>
            <w:hideMark/>
          </w:tcPr>
          <w:p w14:paraId="01EF9D01" w14:textId="77777777" w:rsidR="00973EB0" w:rsidRDefault="00973EB0">
            <w:pPr>
              <w:rPr>
                <w:color w:val="000000"/>
                <w:sz w:val="20"/>
                <w:szCs w:val="20"/>
              </w:rPr>
            </w:pPr>
            <w:r>
              <w:rPr>
                <w:color w:val="000000"/>
                <w:sz w:val="20"/>
                <w:szCs w:val="20"/>
              </w:rPr>
              <w:t>Threshold 30%</w:t>
            </w:r>
          </w:p>
        </w:tc>
        <w:tc>
          <w:tcPr>
            <w:tcW w:w="1705" w:type="dxa"/>
            <w:tcBorders>
              <w:top w:val="nil"/>
              <w:left w:val="nil"/>
              <w:bottom w:val="nil"/>
              <w:right w:val="nil"/>
            </w:tcBorders>
            <w:shd w:val="clear" w:color="auto" w:fill="auto"/>
            <w:noWrap/>
            <w:vAlign w:val="center"/>
            <w:hideMark/>
          </w:tcPr>
          <w:p w14:paraId="6066E409" w14:textId="77777777" w:rsidR="00973EB0" w:rsidRDefault="00973EB0">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664721B5" w14:textId="77777777" w:rsidR="00973EB0" w:rsidRDefault="00973EB0">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51E517EF" w14:textId="77777777" w:rsidR="00973EB0" w:rsidRDefault="00973EB0">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5CD41D57" w14:textId="77777777" w:rsidR="00973EB0" w:rsidRDefault="00973EB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0767390" w14:textId="77777777" w:rsidR="00973EB0" w:rsidRDefault="00973EB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B3C36CC" w14:textId="77777777" w:rsidR="00973EB0" w:rsidRDefault="00973EB0">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000F2800"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7E2D16"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394A1D2" w14:textId="77777777" w:rsidR="00973EB0" w:rsidRDefault="00973EB0">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5810F44B"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78B684" w14:textId="77777777" w:rsidR="00973EB0" w:rsidRDefault="00973EB0">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3AFEB48E" w14:textId="77777777" w:rsidR="00973EB0" w:rsidRDefault="00973EB0">
            <w:pPr>
              <w:jc w:val="right"/>
              <w:rPr>
                <w:color w:val="000000"/>
                <w:sz w:val="20"/>
                <w:szCs w:val="20"/>
              </w:rPr>
            </w:pPr>
            <w:r>
              <w:rPr>
                <w:color w:val="000000"/>
                <w:sz w:val="20"/>
                <w:szCs w:val="20"/>
              </w:rPr>
              <w:t>0.202</w:t>
            </w:r>
          </w:p>
        </w:tc>
        <w:tc>
          <w:tcPr>
            <w:tcW w:w="768" w:type="dxa"/>
            <w:tcBorders>
              <w:top w:val="nil"/>
              <w:left w:val="nil"/>
              <w:bottom w:val="nil"/>
              <w:right w:val="nil"/>
            </w:tcBorders>
            <w:shd w:val="clear" w:color="auto" w:fill="auto"/>
            <w:noWrap/>
            <w:vAlign w:val="bottom"/>
            <w:hideMark/>
          </w:tcPr>
          <w:p w14:paraId="586173D1"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DA4F6AA" w14:textId="77777777" w:rsidR="00973EB0" w:rsidRDefault="00973EB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2C979427" w14:textId="77777777" w:rsidR="00973EB0" w:rsidRDefault="00973EB0">
            <w:pPr>
              <w:jc w:val="right"/>
              <w:rPr>
                <w:color w:val="000000"/>
                <w:sz w:val="20"/>
                <w:szCs w:val="20"/>
              </w:rPr>
            </w:pPr>
            <w:r>
              <w:rPr>
                <w:color w:val="000000"/>
                <w:sz w:val="20"/>
                <w:szCs w:val="20"/>
              </w:rPr>
              <w:t>0.840</w:t>
            </w:r>
          </w:p>
        </w:tc>
        <w:tc>
          <w:tcPr>
            <w:tcW w:w="768" w:type="dxa"/>
            <w:tcBorders>
              <w:top w:val="nil"/>
              <w:left w:val="nil"/>
              <w:bottom w:val="nil"/>
              <w:right w:val="nil"/>
            </w:tcBorders>
            <w:shd w:val="clear" w:color="auto" w:fill="auto"/>
            <w:noWrap/>
            <w:vAlign w:val="bottom"/>
            <w:hideMark/>
          </w:tcPr>
          <w:p w14:paraId="4E1B5F14" w14:textId="77777777" w:rsidR="00973EB0" w:rsidRDefault="00973EB0">
            <w:pPr>
              <w:jc w:val="right"/>
              <w:rPr>
                <w:color w:val="000000"/>
                <w:sz w:val="20"/>
                <w:szCs w:val="20"/>
              </w:rPr>
            </w:pPr>
            <w:r>
              <w:rPr>
                <w:color w:val="000000"/>
                <w:sz w:val="20"/>
                <w:szCs w:val="20"/>
              </w:rPr>
              <w:t>0.000</w:t>
            </w:r>
          </w:p>
        </w:tc>
      </w:tr>
      <w:tr w:rsidR="00973EB0" w14:paraId="511C6B1F" w14:textId="77777777" w:rsidTr="00973EB0">
        <w:trPr>
          <w:trHeight w:val="260"/>
        </w:trPr>
        <w:tc>
          <w:tcPr>
            <w:tcW w:w="1176" w:type="dxa"/>
            <w:tcBorders>
              <w:top w:val="nil"/>
              <w:left w:val="nil"/>
              <w:bottom w:val="nil"/>
              <w:right w:val="nil"/>
            </w:tcBorders>
            <w:shd w:val="clear" w:color="auto" w:fill="auto"/>
            <w:noWrap/>
            <w:vAlign w:val="bottom"/>
            <w:hideMark/>
          </w:tcPr>
          <w:p w14:paraId="34D71BE7"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B563B98" w14:textId="77777777" w:rsidR="00973EB0" w:rsidRDefault="00973EB0">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7639056A" w14:textId="77777777" w:rsidR="00973EB0" w:rsidRDefault="00973EB0">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0491B37D" w14:textId="77777777" w:rsidR="00973EB0" w:rsidRDefault="00973EB0">
            <w:pPr>
              <w:jc w:val="right"/>
              <w:rPr>
                <w:color w:val="000000"/>
                <w:sz w:val="20"/>
                <w:szCs w:val="20"/>
              </w:rPr>
            </w:pPr>
            <w:r>
              <w:rPr>
                <w:color w:val="000000"/>
                <w:sz w:val="20"/>
                <w:szCs w:val="20"/>
              </w:rPr>
              <w:t>0.516</w:t>
            </w:r>
          </w:p>
        </w:tc>
        <w:tc>
          <w:tcPr>
            <w:tcW w:w="768" w:type="dxa"/>
            <w:tcBorders>
              <w:top w:val="nil"/>
              <w:left w:val="nil"/>
              <w:bottom w:val="nil"/>
              <w:right w:val="nil"/>
            </w:tcBorders>
            <w:shd w:val="clear" w:color="auto" w:fill="auto"/>
            <w:noWrap/>
            <w:vAlign w:val="bottom"/>
            <w:hideMark/>
          </w:tcPr>
          <w:p w14:paraId="649F7F2D"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5DEC719" w14:textId="77777777" w:rsidR="00973EB0" w:rsidRDefault="00973EB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E88FD8C" w14:textId="77777777" w:rsidR="00973EB0" w:rsidRDefault="00973EB0">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4873BA2D"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BA33C8" w14:textId="77777777" w:rsidR="00973EB0" w:rsidRDefault="00973EB0">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7461348E" w14:textId="77777777" w:rsidR="00973EB0" w:rsidRDefault="00973EB0">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502A0E91"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87DA890" w14:textId="77777777" w:rsidR="00973EB0" w:rsidRDefault="00973EB0">
            <w:pPr>
              <w:jc w:val="right"/>
              <w:rPr>
                <w:color w:val="000000"/>
                <w:sz w:val="20"/>
                <w:szCs w:val="20"/>
              </w:rPr>
            </w:pPr>
            <w:r>
              <w:rPr>
                <w:color w:val="000000"/>
                <w:sz w:val="20"/>
                <w:szCs w:val="20"/>
              </w:rPr>
              <w:t>0.095</w:t>
            </w:r>
          </w:p>
        </w:tc>
        <w:tc>
          <w:tcPr>
            <w:tcW w:w="768" w:type="dxa"/>
            <w:tcBorders>
              <w:top w:val="nil"/>
              <w:left w:val="nil"/>
              <w:bottom w:val="nil"/>
              <w:right w:val="nil"/>
            </w:tcBorders>
            <w:shd w:val="clear" w:color="auto" w:fill="auto"/>
            <w:noWrap/>
            <w:vAlign w:val="bottom"/>
            <w:hideMark/>
          </w:tcPr>
          <w:p w14:paraId="07B89EFE" w14:textId="77777777" w:rsidR="00973EB0" w:rsidRDefault="00973EB0">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50B8215B" w14:textId="77777777" w:rsidR="00973EB0" w:rsidRDefault="00973EB0">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2E48AE8" w14:textId="77777777" w:rsidR="00973EB0" w:rsidRDefault="00973EB0">
            <w:pPr>
              <w:jc w:val="right"/>
              <w:rPr>
                <w:b/>
                <w:bCs/>
                <w:color w:val="000000"/>
                <w:sz w:val="20"/>
                <w:szCs w:val="20"/>
              </w:rPr>
            </w:pPr>
            <w:r>
              <w:rPr>
                <w:b/>
                <w:bCs/>
                <w:color w:val="000000"/>
                <w:sz w:val="20"/>
                <w:szCs w:val="20"/>
              </w:rPr>
              <w:t>-0.119</w:t>
            </w:r>
          </w:p>
        </w:tc>
        <w:tc>
          <w:tcPr>
            <w:tcW w:w="768" w:type="dxa"/>
            <w:tcBorders>
              <w:top w:val="nil"/>
              <w:left w:val="nil"/>
              <w:bottom w:val="nil"/>
              <w:right w:val="nil"/>
            </w:tcBorders>
            <w:shd w:val="clear" w:color="auto" w:fill="auto"/>
            <w:noWrap/>
            <w:vAlign w:val="bottom"/>
            <w:hideMark/>
          </w:tcPr>
          <w:p w14:paraId="54B1C0DE" w14:textId="77777777" w:rsidR="00973EB0" w:rsidRDefault="00973EB0">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4240F5A4" w14:textId="77777777" w:rsidR="00973EB0" w:rsidRDefault="00973EB0">
            <w:pPr>
              <w:jc w:val="right"/>
              <w:rPr>
                <w:b/>
                <w:bCs/>
                <w:color w:val="000000"/>
                <w:sz w:val="20"/>
                <w:szCs w:val="20"/>
              </w:rPr>
            </w:pPr>
            <w:r>
              <w:rPr>
                <w:b/>
                <w:bCs/>
                <w:color w:val="000000"/>
                <w:sz w:val="20"/>
                <w:szCs w:val="20"/>
              </w:rPr>
              <w:t>0.014</w:t>
            </w:r>
          </w:p>
        </w:tc>
      </w:tr>
      <w:tr w:rsidR="00973EB0" w14:paraId="63946BFF" w14:textId="77777777" w:rsidTr="00973EB0">
        <w:trPr>
          <w:trHeight w:val="260"/>
        </w:trPr>
        <w:tc>
          <w:tcPr>
            <w:tcW w:w="1176" w:type="dxa"/>
            <w:tcBorders>
              <w:top w:val="nil"/>
              <w:left w:val="nil"/>
              <w:bottom w:val="nil"/>
              <w:right w:val="nil"/>
            </w:tcBorders>
            <w:shd w:val="clear" w:color="auto" w:fill="auto"/>
            <w:noWrap/>
            <w:vAlign w:val="bottom"/>
            <w:hideMark/>
          </w:tcPr>
          <w:p w14:paraId="4A46563C" w14:textId="77777777" w:rsidR="00973EB0" w:rsidRDefault="00973EB0">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07670AB3" w14:textId="77777777" w:rsidR="00973EB0" w:rsidRDefault="00973EB0">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71232C5" w14:textId="77777777" w:rsidR="00973EB0" w:rsidRDefault="00973EB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30327CD2" w14:textId="77777777" w:rsidR="00973EB0" w:rsidRDefault="00973EB0">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1BEB422F"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56B9E6" w14:textId="77777777" w:rsidR="00973EB0" w:rsidRDefault="00973EB0">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39268891" w14:textId="77777777" w:rsidR="00973EB0" w:rsidRDefault="00973EB0">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1651FE9E"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2A1A201" w14:textId="77777777" w:rsidR="00973EB0" w:rsidRDefault="00973EB0">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6DD0D973" w14:textId="77777777" w:rsidR="00973EB0" w:rsidRDefault="00973EB0">
            <w:pPr>
              <w:jc w:val="right"/>
              <w:rPr>
                <w:color w:val="000000"/>
                <w:sz w:val="20"/>
                <w:szCs w:val="20"/>
              </w:rPr>
            </w:pPr>
            <w:r>
              <w:rPr>
                <w:color w:val="000000"/>
                <w:sz w:val="20"/>
                <w:szCs w:val="20"/>
              </w:rPr>
              <w:t>0.723</w:t>
            </w:r>
          </w:p>
        </w:tc>
        <w:tc>
          <w:tcPr>
            <w:tcW w:w="768" w:type="dxa"/>
            <w:tcBorders>
              <w:top w:val="nil"/>
              <w:left w:val="nil"/>
              <w:bottom w:val="nil"/>
              <w:right w:val="nil"/>
            </w:tcBorders>
            <w:shd w:val="clear" w:color="auto" w:fill="auto"/>
            <w:noWrap/>
            <w:vAlign w:val="bottom"/>
            <w:hideMark/>
          </w:tcPr>
          <w:p w14:paraId="00330FDC"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F420CC" w14:textId="77777777" w:rsidR="00973EB0" w:rsidRDefault="00973EB0">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D9AFC97" w14:textId="77777777" w:rsidR="00973EB0" w:rsidRDefault="00973EB0">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4DD903D9"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757141" w14:textId="77777777" w:rsidR="00973EB0" w:rsidRDefault="00973EB0">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498680C9" w14:textId="77777777" w:rsidR="00973EB0" w:rsidRDefault="00973EB0">
            <w:pPr>
              <w:jc w:val="right"/>
              <w:rPr>
                <w:color w:val="000000"/>
                <w:sz w:val="20"/>
                <w:szCs w:val="20"/>
              </w:rPr>
            </w:pPr>
            <w:r>
              <w:rPr>
                <w:color w:val="000000"/>
                <w:sz w:val="20"/>
                <w:szCs w:val="20"/>
              </w:rPr>
              <w:t>0.549</w:t>
            </w:r>
          </w:p>
        </w:tc>
        <w:tc>
          <w:tcPr>
            <w:tcW w:w="768" w:type="dxa"/>
            <w:tcBorders>
              <w:top w:val="nil"/>
              <w:left w:val="nil"/>
              <w:bottom w:val="nil"/>
              <w:right w:val="nil"/>
            </w:tcBorders>
            <w:shd w:val="clear" w:color="auto" w:fill="auto"/>
            <w:noWrap/>
            <w:vAlign w:val="bottom"/>
            <w:hideMark/>
          </w:tcPr>
          <w:p w14:paraId="4807855F" w14:textId="77777777" w:rsidR="00973EB0" w:rsidRDefault="00973EB0">
            <w:pPr>
              <w:jc w:val="right"/>
              <w:rPr>
                <w:color w:val="000000"/>
                <w:sz w:val="20"/>
                <w:szCs w:val="20"/>
              </w:rPr>
            </w:pPr>
            <w:r>
              <w:rPr>
                <w:color w:val="000000"/>
                <w:sz w:val="20"/>
                <w:szCs w:val="20"/>
              </w:rPr>
              <w:t>0.002</w:t>
            </w:r>
          </w:p>
        </w:tc>
      </w:tr>
      <w:tr w:rsidR="00973EB0" w14:paraId="0015C1F2" w14:textId="77777777" w:rsidTr="00973EB0">
        <w:trPr>
          <w:trHeight w:val="260"/>
        </w:trPr>
        <w:tc>
          <w:tcPr>
            <w:tcW w:w="1176" w:type="dxa"/>
            <w:tcBorders>
              <w:top w:val="nil"/>
              <w:left w:val="nil"/>
              <w:bottom w:val="nil"/>
              <w:right w:val="nil"/>
            </w:tcBorders>
            <w:shd w:val="clear" w:color="auto" w:fill="auto"/>
            <w:noWrap/>
            <w:vAlign w:val="bottom"/>
            <w:hideMark/>
          </w:tcPr>
          <w:p w14:paraId="4FFFF159"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8DAC9C3" w14:textId="77777777" w:rsidR="00973EB0" w:rsidRDefault="00973EB0">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C7AFCED" w14:textId="77777777" w:rsidR="00973EB0" w:rsidRDefault="00973EB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5460E0D" w14:textId="77777777" w:rsidR="00973EB0" w:rsidRDefault="00973EB0">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2B95EF9A"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15A97C" w14:textId="77777777" w:rsidR="00973EB0" w:rsidRDefault="00973EB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413B8EA" w14:textId="77777777" w:rsidR="00973EB0" w:rsidRDefault="00973EB0">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03A9ABB3"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F2C9878" w14:textId="77777777" w:rsidR="00973EB0" w:rsidRDefault="00973EB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0CE1EE0B" w14:textId="77777777" w:rsidR="00973EB0" w:rsidRDefault="00973EB0">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5275C32F"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ACDBBD8" w14:textId="77777777" w:rsidR="00973EB0" w:rsidRDefault="00973EB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1ABF1D0" w14:textId="77777777" w:rsidR="00973EB0" w:rsidRDefault="00973EB0">
            <w:pPr>
              <w:jc w:val="right"/>
              <w:rPr>
                <w:color w:val="000000"/>
                <w:sz w:val="20"/>
                <w:szCs w:val="20"/>
              </w:rPr>
            </w:pPr>
            <w:r>
              <w:rPr>
                <w:color w:val="000000"/>
                <w:sz w:val="20"/>
                <w:szCs w:val="20"/>
              </w:rPr>
              <w:t>0.883</w:t>
            </w:r>
          </w:p>
        </w:tc>
        <w:tc>
          <w:tcPr>
            <w:tcW w:w="768" w:type="dxa"/>
            <w:tcBorders>
              <w:top w:val="nil"/>
              <w:left w:val="nil"/>
              <w:bottom w:val="nil"/>
              <w:right w:val="nil"/>
            </w:tcBorders>
            <w:shd w:val="clear" w:color="auto" w:fill="auto"/>
            <w:noWrap/>
            <w:vAlign w:val="bottom"/>
            <w:hideMark/>
          </w:tcPr>
          <w:p w14:paraId="0C686FB7"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9266F8" w14:textId="77777777" w:rsidR="00973EB0" w:rsidRDefault="00973EB0">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485075F" w14:textId="77777777" w:rsidR="00973EB0" w:rsidRDefault="00973EB0">
            <w:pPr>
              <w:jc w:val="right"/>
              <w:rPr>
                <w:color w:val="000000"/>
                <w:sz w:val="20"/>
                <w:szCs w:val="20"/>
              </w:rPr>
            </w:pPr>
            <w:r>
              <w:rPr>
                <w:color w:val="000000"/>
                <w:sz w:val="20"/>
                <w:szCs w:val="20"/>
              </w:rPr>
              <w:t>0.704</w:t>
            </w:r>
          </w:p>
        </w:tc>
        <w:tc>
          <w:tcPr>
            <w:tcW w:w="768" w:type="dxa"/>
            <w:tcBorders>
              <w:top w:val="nil"/>
              <w:left w:val="nil"/>
              <w:bottom w:val="nil"/>
              <w:right w:val="nil"/>
            </w:tcBorders>
            <w:shd w:val="clear" w:color="auto" w:fill="auto"/>
            <w:noWrap/>
            <w:vAlign w:val="bottom"/>
            <w:hideMark/>
          </w:tcPr>
          <w:p w14:paraId="4E7881BB" w14:textId="77777777" w:rsidR="00973EB0" w:rsidRDefault="00973EB0">
            <w:pPr>
              <w:jc w:val="right"/>
              <w:rPr>
                <w:color w:val="000000"/>
                <w:sz w:val="20"/>
                <w:szCs w:val="20"/>
              </w:rPr>
            </w:pPr>
            <w:r>
              <w:rPr>
                <w:color w:val="000000"/>
                <w:sz w:val="20"/>
                <w:szCs w:val="20"/>
              </w:rPr>
              <w:t>0.001</w:t>
            </w:r>
          </w:p>
        </w:tc>
      </w:tr>
      <w:tr w:rsidR="00973EB0" w14:paraId="79B7DFFF" w14:textId="77777777" w:rsidTr="00973EB0">
        <w:trPr>
          <w:trHeight w:val="260"/>
        </w:trPr>
        <w:tc>
          <w:tcPr>
            <w:tcW w:w="1176" w:type="dxa"/>
            <w:tcBorders>
              <w:top w:val="nil"/>
              <w:left w:val="nil"/>
              <w:bottom w:val="nil"/>
              <w:right w:val="nil"/>
            </w:tcBorders>
            <w:shd w:val="clear" w:color="auto" w:fill="auto"/>
            <w:noWrap/>
            <w:vAlign w:val="bottom"/>
            <w:hideMark/>
          </w:tcPr>
          <w:p w14:paraId="5DBE20AD"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1F87CCA" w14:textId="77777777" w:rsidR="00973EB0" w:rsidRDefault="00973EB0">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14D84719" w14:textId="77777777" w:rsidR="00973EB0" w:rsidRDefault="00973EB0">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82C4B45" w14:textId="77777777" w:rsidR="00973EB0" w:rsidRDefault="00973EB0">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665070F4"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70A2725" w14:textId="77777777" w:rsidR="00973EB0" w:rsidRDefault="00973EB0">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1B8C7C80" w14:textId="77777777" w:rsidR="00973EB0" w:rsidRDefault="00973EB0">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77910DF8"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D1CA46" w14:textId="77777777" w:rsidR="00973EB0" w:rsidRDefault="00973EB0">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1549978E" w14:textId="77777777" w:rsidR="00973EB0" w:rsidRDefault="00973EB0">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4347D7EF"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33D241" w14:textId="77777777" w:rsidR="00973EB0" w:rsidRDefault="00973EB0">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D15C6B3" w14:textId="77777777" w:rsidR="00973EB0" w:rsidRDefault="00973EB0">
            <w:pPr>
              <w:jc w:val="right"/>
              <w:rPr>
                <w:color w:val="000000"/>
                <w:sz w:val="20"/>
                <w:szCs w:val="20"/>
              </w:rPr>
            </w:pPr>
            <w:r>
              <w:rPr>
                <w:color w:val="000000"/>
                <w:sz w:val="20"/>
                <w:szCs w:val="20"/>
              </w:rPr>
              <w:t>0.474</w:t>
            </w:r>
          </w:p>
        </w:tc>
        <w:tc>
          <w:tcPr>
            <w:tcW w:w="768" w:type="dxa"/>
            <w:tcBorders>
              <w:top w:val="nil"/>
              <w:left w:val="nil"/>
              <w:bottom w:val="nil"/>
              <w:right w:val="nil"/>
            </w:tcBorders>
            <w:shd w:val="clear" w:color="auto" w:fill="auto"/>
            <w:noWrap/>
            <w:vAlign w:val="bottom"/>
            <w:hideMark/>
          </w:tcPr>
          <w:p w14:paraId="4774BEFB" w14:textId="77777777" w:rsidR="00973EB0" w:rsidRDefault="00973EB0">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CF8A0F" w14:textId="77777777" w:rsidR="00973EB0" w:rsidRDefault="00973EB0">
            <w:pPr>
              <w:jc w:val="right"/>
              <w:rPr>
                <w:b/>
                <w:bCs/>
                <w:color w:val="000000"/>
                <w:sz w:val="20"/>
                <w:szCs w:val="20"/>
              </w:rPr>
            </w:pPr>
            <w:r>
              <w:rPr>
                <w:b/>
                <w:bCs/>
                <w:color w:val="000000"/>
                <w:sz w:val="20"/>
                <w:szCs w:val="20"/>
              </w:rPr>
              <w:t>-0.100</w:t>
            </w:r>
          </w:p>
        </w:tc>
        <w:tc>
          <w:tcPr>
            <w:tcW w:w="768" w:type="dxa"/>
            <w:tcBorders>
              <w:top w:val="nil"/>
              <w:left w:val="nil"/>
              <w:bottom w:val="nil"/>
              <w:right w:val="nil"/>
            </w:tcBorders>
            <w:shd w:val="clear" w:color="auto" w:fill="auto"/>
            <w:noWrap/>
            <w:vAlign w:val="bottom"/>
            <w:hideMark/>
          </w:tcPr>
          <w:p w14:paraId="08F04A5A" w14:textId="77777777" w:rsidR="00973EB0" w:rsidRDefault="00973EB0">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05611D90" w14:textId="77777777" w:rsidR="00973EB0" w:rsidRDefault="00973EB0">
            <w:pPr>
              <w:jc w:val="right"/>
              <w:rPr>
                <w:b/>
                <w:bCs/>
                <w:color w:val="000000"/>
                <w:sz w:val="20"/>
                <w:szCs w:val="20"/>
              </w:rPr>
            </w:pPr>
            <w:r>
              <w:rPr>
                <w:b/>
                <w:bCs/>
                <w:color w:val="000000"/>
                <w:sz w:val="20"/>
                <w:szCs w:val="20"/>
              </w:rPr>
              <w:t>0.010</w:t>
            </w:r>
          </w:p>
        </w:tc>
      </w:tr>
      <w:tr w:rsidR="00973EB0" w14:paraId="403D2E6B" w14:textId="77777777" w:rsidTr="00973EB0">
        <w:trPr>
          <w:trHeight w:val="260"/>
        </w:trPr>
        <w:tc>
          <w:tcPr>
            <w:tcW w:w="1176" w:type="dxa"/>
            <w:tcBorders>
              <w:top w:val="nil"/>
              <w:left w:val="nil"/>
              <w:bottom w:val="nil"/>
              <w:right w:val="nil"/>
            </w:tcBorders>
            <w:shd w:val="clear" w:color="auto" w:fill="auto"/>
            <w:noWrap/>
            <w:vAlign w:val="bottom"/>
            <w:hideMark/>
          </w:tcPr>
          <w:p w14:paraId="1E192CCE" w14:textId="77777777" w:rsidR="00973EB0" w:rsidRDefault="00973EB0">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46D8955B" w14:textId="77777777" w:rsidR="00973EB0" w:rsidRDefault="00973EB0">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DE69893" w14:textId="77777777" w:rsidR="00973EB0" w:rsidRDefault="00973EB0">
            <w:pPr>
              <w:jc w:val="right"/>
              <w:rPr>
                <w:b/>
                <w:bCs/>
                <w:color w:val="000000"/>
                <w:sz w:val="20"/>
                <w:szCs w:val="20"/>
              </w:rPr>
            </w:pPr>
            <w:r>
              <w:rPr>
                <w:b/>
                <w:bCs/>
                <w:color w:val="000000"/>
                <w:sz w:val="20"/>
                <w:szCs w:val="20"/>
              </w:rPr>
              <w:t>-0.110</w:t>
            </w:r>
          </w:p>
        </w:tc>
        <w:tc>
          <w:tcPr>
            <w:tcW w:w="768" w:type="dxa"/>
            <w:tcBorders>
              <w:top w:val="nil"/>
              <w:left w:val="nil"/>
              <w:bottom w:val="nil"/>
              <w:right w:val="nil"/>
            </w:tcBorders>
            <w:shd w:val="clear" w:color="auto" w:fill="auto"/>
            <w:noWrap/>
            <w:vAlign w:val="bottom"/>
            <w:hideMark/>
          </w:tcPr>
          <w:p w14:paraId="12783B69" w14:textId="77777777" w:rsidR="00973EB0" w:rsidRDefault="00973EB0">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298BF64D" w14:textId="77777777" w:rsidR="00973EB0" w:rsidRDefault="00973EB0">
            <w:pPr>
              <w:jc w:val="right"/>
              <w:rPr>
                <w:b/>
                <w:bCs/>
                <w:color w:val="000000"/>
                <w:sz w:val="20"/>
                <w:szCs w:val="20"/>
              </w:rPr>
            </w:pPr>
            <w:r>
              <w:rPr>
                <w:b/>
                <w:bCs/>
                <w:color w:val="000000"/>
                <w:sz w:val="20"/>
                <w:szCs w:val="20"/>
              </w:rPr>
              <w:t>0.012</w:t>
            </w:r>
          </w:p>
        </w:tc>
        <w:tc>
          <w:tcPr>
            <w:tcW w:w="768" w:type="dxa"/>
            <w:tcBorders>
              <w:top w:val="nil"/>
              <w:left w:val="nil"/>
              <w:bottom w:val="nil"/>
              <w:right w:val="nil"/>
            </w:tcBorders>
            <w:shd w:val="clear" w:color="auto" w:fill="auto"/>
            <w:noWrap/>
            <w:vAlign w:val="bottom"/>
            <w:hideMark/>
          </w:tcPr>
          <w:p w14:paraId="7974A290" w14:textId="77777777" w:rsidR="00973EB0" w:rsidRDefault="00973EB0">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A8D702B" w14:textId="77777777" w:rsidR="00973EB0" w:rsidRDefault="00973EB0">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6F14CCDA"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03BFFC" w14:textId="77777777" w:rsidR="00973EB0" w:rsidRDefault="00973EB0">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06E8D289" w14:textId="77777777" w:rsidR="00973EB0" w:rsidRDefault="00973EB0">
            <w:pPr>
              <w:jc w:val="right"/>
              <w:rPr>
                <w:color w:val="000000"/>
                <w:sz w:val="20"/>
                <w:szCs w:val="20"/>
              </w:rPr>
            </w:pPr>
            <w:r>
              <w:rPr>
                <w:color w:val="000000"/>
                <w:sz w:val="20"/>
                <w:szCs w:val="20"/>
              </w:rPr>
              <w:t>0.556</w:t>
            </w:r>
          </w:p>
        </w:tc>
        <w:tc>
          <w:tcPr>
            <w:tcW w:w="768" w:type="dxa"/>
            <w:tcBorders>
              <w:top w:val="nil"/>
              <w:left w:val="nil"/>
              <w:bottom w:val="nil"/>
              <w:right w:val="nil"/>
            </w:tcBorders>
            <w:shd w:val="clear" w:color="auto" w:fill="auto"/>
            <w:noWrap/>
            <w:vAlign w:val="bottom"/>
            <w:hideMark/>
          </w:tcPr>
          <w:p w14:paraId="2CE176C9" w14:textId="77777777" w:rsidR="00973EB0" w:rsidRDefault="00973EB0">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096CC84" w14:textId="77777777" w:rsidR="00973EB0" w:rsidRDefault="00973EB0">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1430D972" w14:textId="77777777" w:rsidR="00973EB0" w:rsidRDefault="00973EB0">
            <w:pPr>
              <w:jc w:val="right"/>
              <w:rPr>
                <w:color w:val="000000"/>
                <w:sz w:val="20"/>
                <w:szCs w:val="20"/>
              </w:rPr>
            </w:pPr>
            <w:r>
              <w:rPr>
                <w:color w:val="000000"/>
                <w:sz w:val="20"/>
                <w:szCs w:val="20"/>
              </w:rPr>
              <w:t>0.202</w:t>
            </w:r>
          </w:p>
        </w:tc>
        <w:tc>
          <w:tcPr>
            <w:tcW w:w="768" w:type="dxa"/>
            <w:tcBorders>
              <w:top w:val="nil"/>
              <w:left w:val="nil"/>
              <w:bottom w:val="nil"/>
              <w:right w:val="nil"/>
            </w:tcBorders>
            <w:shd w:val="clear" w:color="auto" w:fill="auto"/>
            <w:noWrap/>
            <w:vAlign w:val="bottom"/>
            <w:hideMark/>
          </w:tcPr>
          <w:p w14:paraId="311296B3"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12C11EB" w14:textId="77777777" w:rsidR="00973EB0" w:rsidRDefault="00973EB0">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02B82364" w14:textId="77777777" w:rsidR="00973EB0" w:rsidRDefault="00973EB0">
            <w:pPr>
              <w:jc w:val="right"/>
              <w:rPr>
                <w:color w:val="000000"/>
                <w:sz w:val="20"/>
                <w:szCs w:val="20"/>
              </w:rPr>
            </w:pPr>
            <w:r>
              <w:rPr>
                <w:color w:val="000000"/>
                <w:sz w:val="20"/>
                <w:szCs w:val="20"/>
              </w:rPr>
              <w:t>0.440</w:t>
            </w:r>
          </w:p>
        </w:tc>
        <w:tc>
          <w:tcPr>
            <w:tcW w:w="768" w:type="dxa"/>
            <w:tcBorders>
              <w:top w:val="nil"/>
              <w:left w:val="nil"/>
              <w:bottom w:val="nil"/>
              <w:right w:val="nil"/>
            </w:tcBorders>
            <w:shd w:val="clear" w:color="auto" w:fill="auto"/>
            <w:noWrap/>
            <w:vAlign w:val="bottom"/>
            <w:hideMark/>
          </w:tcPr>
          <w:p w14:paraId="6D325D96" w14:textId="77777777" w:rsidR="00973EB0" w:rsidRDefault="00973EB0">
            <w:pPr>
              <w:jc w:val="right"/>
              <w:rPr>
                <w:color w:val="000000"/>
                <w:sz w:val="20"/>
                <w:szCs w:val="20"/>
              </w:rPr>
            </w:pPr>
            <w:r>
              <w:rPr>
                <w:color w:val="000000"/>
                <w:sz w:val="20"/>
                <w:szCs w:val="20"/>
              </w:rPr>
              <w:t>0.004</w:t>
            </w:r>
          </w:p>
        </w:tc>
      </w:tr>
      <w:tr w:rsidR="00973EB0" w14:paraId="7D47AA89" w14:textId="77777777" w:rsidTr="00973EB0">
        <w:trPr>
          <w:trHeight w:val="260"/>
        </w:trPr>
        <w:tc>
          <w:tcPr>
            <w:tcW w:w="1176" w:type="dxa"/>
            <w:tcBorders>
              <w:top w:val="nil"/>
              <w:left w:val="nil"/>
              <w:bottom w:val="nil"/>
              <w:right w:val="nil"/>
            </w:tcBorders>
            <w:shd w:val="clear" w:color="auto" w:fill="auto"/>
            <w:noWrap/>
            <w:vAlign w:val="bottom"/>
            <w:hideMark/>
          </w:tcPr>
          <w:p w14:paraId="062A9112" w14:textId="77777777" w:rsidR="00973EB0" w:rsidRDefault="00973EB0">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A0C1CFB" w14:textId="77777777" w:rsidR="00973EB0" w:rsidRDefault="00973EB0">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DC0A0ED" w14:textId="77777777" w:rsidR="00973EB0" w:rsidRDefault="00973EB0">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51EA7279" w14:textId="77777777" w:rsidR="00973EB0" w:rsidRDefault="00973EB0">
            <w:pPr>
              <w:jc w:val="right"/>
              <w:rPr>
                <w:color w:val="000000"/>
                <w:sz w:val="20"/>
                <w:szCs w:val="20"/>
              </w:rPr>
            </w:pPr>
            <w:r>
              <w:rPr>
                <w:color w:val="000000"/>
                <w:sz w:val="20"/>
                <w:szCs w:val="20"/>
              </w:rPr>
              <w:t>0.855</w:t>
            </w:r>
          </w:p>
        </w:tc>
        <w:tc>
          <w:tcPr>
            <w:tcW w:w="768" w:type="dxa"/>
            <w:tcBorders>
              <w:top w:val="nil"/>
              <w:left w:val="nil"/>
              <w:bottom w:val="nil"/>
              <w:right w:val="nil"/>
            </w:tcBorders>
            <w:shd w:val="clear" w:color="auto" w:fill="auto"/>
            <w:noWrap/>
            <w:vAlign w:val="bottom"/>
            <w:hideMark/>
          </w:tcPr>
          <w:p w14:paraId="2A3665A6"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3E6550B" w14:textId="77777777" w:rsidR="00973EB0" w:rsidRDefault="00973EB0">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6594244" w14:textId="77777777" w:rsidR="00973EB0" w:rsidRDefault="00973EB0">
            <w:pPr>
              <w:jc w:val="right"/>
              <w:rPr>
                <w:color w:val="000000"/>
                <w:sz w:val="20"/>
                <w:szCs w:val="20"/>
              </w:rPr>
            </w:pPr>
            <w:r>
              <w:rPr>
                <w:color w:val="000000"/>
                <w:sz w:val="20"/>
                <w:szCs w:val="20"/>
              </w:rPr>
              <w:t>0.818</w:t>
            </w:r>
          </w:p>
        </w:tc>
        <w:tc>
          <w:tcPr>
            <w:tcW w:w="768" w:type="dxa"/>
            <w:tcBorders>
              <w:top w:val="nil"/>
              <w:left w:val="nil"/>
              <w:bottom w:val="nil"/>
              <w:right w:val="nil"/>
            </w:tcBorders>
            <w:shd w:val="clear" w:color="auto" w:fill="auto"/>
            <w:noWrap/>
            <w:vAlign w:val="bottom"/>
            <w:hideMark/>
          </w:tcPr>
          <w:p w14:paraId="194FF82F"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F0CF82"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0557D0D" w14:textId="77777777" w:rsidR="00973EB0" w:rsidRDefault="00973EB0">
            <w:pPr>
              <w:jc w:val="right"/>
              <w:rPr>
                <w:color w:val="000000"/>
                <w:sz w:val="20"/>
                <w:szCs w:val="20"/>
              </w:rPr>
            </w:pPr>
            <w:r>
              <w:rPr>
                <w:color w:val="000000"/>
                <w:sz w:val="20"/>
                <w:szCs w:val="20"/>
              </w:rPr>
              <w:t>0.934</w:t>
            </w:r>
          </w:p>
        </w:tc>
        <w:tc>
          <w:tcPr>
            <w:tcW w:w="768" w:type="dxa"/>
            <w:tcBorders>
              <w:top w:val="nil"/>
              <w:left w:val="nil"/>
              <w:bottom w:val="nil"/>
              <w:right w:val="nil"/>
            </w:tcBorders>
            <w:shd w:val="clear" w:color="auto" w:fill="auto"/>
            <w:noWrap/>
            <w:vAlign w:val="bottom"/>
            <w:hideMark/>
          </w:tcPr>
          <w:p w14:paraId="7AAB38DB"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B1214C"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7571E46" w14:textId="77777777" w:rsidR="00973EB0" w:rsidRDefault="00973EB0">
            <w:pPr>
              <w:jc w:val="right"/>
              <w:rPr>
                <w:color w:val="000000"/>
                <w:sz w:val="20"/>
                <w:szCs w:val="20"/>
              </w:rPr>
            </w:pPr>
            <w:r>
              <w:rPr>
                <w:color w:val="000000"/>
                <w:sz w:val="20"/>
                <w:szCs w:val="20"/>
              </w:rPr>
              <w:t>0.924</w:t>
            </w:r>
          </w:p>
        </w:tc>
        <w:tc>
          <w:tcPr>
            <w:tcW w:w="768" w:type="dxa"/>
            <w:tcBorders>
              <w:top w:val="nil"/>
              <w:left w:val="nil"/>
              <w:bottom w:val="nil"/>
              <w:right w:val="nil"/>
            </w:tcBorders>
            <w:shd w:val="clear" w:color="auto" w:fill="auto"/>
            <w:noWrap/>
            <w:vAlign w:val="bottom"/>
            <w:hideMark/>
          </w:tcPr>
          <w:p w14:paraId="74315013" w14:textId="77777777" w:rsidR="00973EB0" w:rsidRDefault="00973EB0">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2D9D148" w14:textId="77777777" w:rsidR="00973EB0" w:rsidRDefault="00973EB0">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193E6BAF" w14:textId="77777777" w:rsidR="00973EB0" w:rsidRDefault="00973EB0">
            <w:pPr>
              <w:jc w:val="right"/>
              <w:rPr>
                <w:color w:val="000000"/>
                <w:sz w:val="20"/>
                <w:szCs w:val="20"/>
              </w:rPr>
            </w:pPr>
            <w:r>
              <w:rPr>
                <w:color w:val="000000"/>
                <w:sz w:val="20"/>
                <w:szCs w:val="20"/>
              </w:rPr>
              <w:t>0.779</w:t>
            </w:r>
          </w:p>
        </w:tc>
        <w:tc>
          <w:tcPr>
            <w:tcW w:w="768" w:type="dxa"/>
            <w:tcBorders>
              <w:top w:val="nil"/>
              <w:left w:val="nil"/>
              <w:bottom w:val="nil"/>
              <w:right w:val="nil"/>
            </w:tcBorders>
            <w:shd w:val="clear" w:color="auto" w:fill="auto"/>
            <w:noWrap/>
            <w:vAlign w:val="bottom"/>
            <w:hideMark/>
          </w:tcPr>
          <w:p w14:paraId="0AB5D8B7" w14:textId="77777777" w:rsidR="00973EB0" w:rsidRDefault="00973EB0">
            <w:pPr>
              <w:jc w:val="right"/>
              <w:rPr>
                <w:color w:val="000000"/>
                <w:sz w:val="20"/>
                <w:szCs w:val="20"/>
              </w:rPr>
            </w:pPr>
            <w:r>
              <w:rPr>
                <w:color w:val="000000"/>
                <w:sz w:val="20"/>
                <w:szCs w:val="20"/>
              </w:rPr>
              <w:t>0.000</w:t>
            </w:r>
          </w:p>
        </w:tc>
      </w:tr>
      <w:tr w:rsidR="00973EB0" w14:paraId="3D9695F2" w14:textId="77777777" w:rsidTr="00285FEC">
        <w:trPr>
          <w:trHeight w:val="280"/>
        </w:trPr>
        <w:tc>
          <w:tcPr>
            <w:tcW w:w="1176" w:type="dxa"/>
            <w:tcBorders>
              <w:top w:val="nil"/>
              <w:left w:val="nil"/>
              <w:bottom w:val="single" w:sz="12" w:space="0" w:color="auto"/>
              <w:right w:val="nil"/>
            </w:tcBorders>
            <w:shd w:val="clear" w:color="auto" w:fill="auto"/>
            <w:noWrap/>
            <w:vAlign w:val="bottom"/>
            <w:hideMark/>
          </w:tcPr>
          <w:p w14:paraId="4166439A" w14:textId="77777777" w:rsidR="00973EB0" w:rsidRDefault="00973EB0">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0B3C5246" w14:textId="77777777" w:rsidR="00973EB0" w:rsidRDefault="00973EB0">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242D0D6A" w14:textId="77777777" w:rsidR="00973EB0" w:rsidRDefault="00973EB0">
            <w:pPr>
              <w:jc w:val="right"/>
              <w:rPr>
                <w:color w:val="000000"/>
                <w:sz w:val="20"/>
                <w:szCs w:val="20"/>
              </w:rPr>
            </w:pPr>
            <w:r>
              <w:rPr>
                <w:color w:val="000000"/>
                <w:sz w:val="20"/>
                <w:szCs w:val="20"/>
              </w:rPr>
              <w:t>-0.095</w:t>
            </w:r>
          </w:p>
        </w:tc>
        <w:tc>
          <w:tcPr>
            <w:tcW w:w="768" w:type="dxa"/>
            <w:tcBorders>
              <w:top w:val="nil"/>
              <w:left w:val="nil"/>
              <w:bottom w:val="single" w:sz="12" w:space="0" w:color="auto"/>
              <w:right w:val="nil"/>
            </w:tcBorders>
            <w:shd w:val="clear" w:color="auto" w:fill="auto"/>
            <w:noWrap/>
            <w:vAlign w:val="bottom"/>
            <w:hideMark/>
          </w:tcPr>
          <w:p w14:paraId="6F686802" w14:textId="77777777" w:rsidR="00973EB0" w:rsidRDefault="00973EB0">
            <w:pPr>
              <w:jc w:val="right"/>
              <w:rPr>
                <w:color w:val="000000"/>
                <w:sz w:val="20"/>
                <w:szCs w:val="20"/>
              </w:rPr>
            </w:pPr>
            <w:r>
              <w:rPr>
                <w:color w:val="000000"/>
                <w:sz w:val="20"/>
                <w:szCs w:val="20"/>
              </w:rPr>
              <w:t>0.056</w:t>
            </w:r>
          </w:p>
        </w:tc>
        <w:tc>
          <w:tcPr>
            <w:tcW w:w="768" w:type="dxa"/>
            <w:tcBorders>
              <w:top w:val="nil"/>
              <w:left w:val="nil"/>
              <w:bottom w:val="single" w:sz="12" w:space="0" w:color="auto"/>
              <w:right w:val="nil"/>
            </w:tcBorders>
            <w:shd w:val="clear" w:color="auto" w:fill="auto"/>
            <w:noWrap/>
            <w:vAlign w:val="bottom"/>
            <w:hideMark/>
          </w:tcPr>
          <w:p w14:paraId="136B0007" w14:textId="77777777" w:rsidR="00973EB0" w:rsidRDefault="00973EB0">
            <w:pPr>
              <w:jc w:val="right"/>
              <w:rPr>
                <w:color w:val="000000"/>
                <w:sz w:val="20"/>
                <w:szCs w:val="20"/>
              </w:rPr>
            </w:pPr>
            <w:r>
              <w:rPr>
                <w:color w:val="000000"/>
                <w:sz w:val="20"/>
                <w:szCs w:val="20"/>
              </w:rPr>
              <w:t>0.009</w:t>
            </w:r>
          </w:p>
        </w:tc>
        <w:tc>
          <w:tcPr>
            <w:tcW w:w="768" w:type="dxa"/>
            <w:tcBorders>
              <w:top w:val="nil"/>
              <w:left w:val="nil"/>
              <w:bottom w:val="single" w:sz="12" w:space="0" w:color="auto"/>
              <w:right w:val="nil"/>
            </w:tcBorders>
            <w:shd w:val="clear" w:color="auto" w:fill="auto"/>
            <w:noWrap/>
            <w:vAlign w:val="bottom"/>
            <w:hideMark/>
          </w:tcPr>
          <w:p w14:paraId="0AECC438" w14:textId="77777777" w:rsidR="00973EB0" w:rsidRDefault="00973EB0">
            <w:pPr>
              <w:jc w:val="right"/>
              <w:rPr>
                <w:color w:val="000000"/>
                <w:sz w:val="20"/>
                <w:szCs w:val="20"/>
              </w:rPr>
            </w:pPr>
            <w:r>
              <w:rPr>
                <w:color w:val="000000"/>
                <w:sz w:val="20"/>
                <w:szCs w:val="20"/>
              </w:rPr>
              <w:t>0.056</w:t>
            </w:r>
          </w:p>
        </w:tc>
        <w:tc>
          <w:tcPr>
            <w:tcW w:w="768" w:type="dxa"/>
            <w:tcBorders>
              <w:top w:val="nil"/>
              <w:left w:val="nil"/>
              <w:bottom w:val="single" w:sz="12" w:space="0" w:color="auto"/>
              <w:right w:val="nil"/>
            </w:tcBorders>
            <w:shd w:val="clear" w:color="auto" w:fill="auto"/>
            <w:noWrap/>
            <w:vAlign w:val="bottom"/>
            <w:hideMark/>
          </w:tcPr>
          <w:p w14:paraId="38304A3F" w14:textId="77777777" w:rsidR="00973EB0" w:rsidRDefault="00973EB0">
            <w:pPr>
              <w:jc w:val="right"/>
              <w:rPr>
                <w:color w:val="000000"/>
                <w:sz w:val="20"/>
                <w:szCs w:val="20"/>
              </w:rPr>
            </w:pPr>
            <w:r>
              <w:rPr>
                <w:color w:val="000000"/>
                <w:sz w:val="20"/>
                <w:szCs w:val="20"/>
              </w:rPr>
              <w:t>0.392</w:t>
            </w:r>
          </w:p>
        </w:tc>
        <w:tc>
          <w:tcPr>
            <w:tcW w:w="768" w:type="dxa"/>
            <w:tcBorders>
              <w:top w:val="nil"/>
              <w:left w:val="nil"/>
              <w:bottom w:val="single" w:sz="12" w:space="0" w:color="auto"/>
              <w:right w:val="nil"/>
            </w:tcBorders>
            <w:shd w:val="clear" w:color="auto" w:fill="auto"/>
            <w:noWrap/>
            <w:vAlign w:val="bottom"/>
            <w:hideMark/>
          </w:tcPr>
          <w:p w14:paraId="2F9D2BAE" w14:textId="77777777" w:rsidR="00973EB0" w:rsidRDefault="00973EB0">
            <w:pPr>
              <w:jc w:val="right"/>
              <w:rPr>
                <w:color w:val="000000"/>
                <w:sz w:val="20"/>
                <w:szCs w:val="20"/>
              </w:rPr>
            </w:pPr>
            <w:r>
              <w:rPr>
                <w:color w:val="000000"/>
                <w:sz w:val="20"/>
                <w:szCs w:val="20"/>
              </w:rPr>
              <w:t>0.003</w:t>
            </w:r>
          </w:p>
        </w:tc>
        <w:tc>
          <w:tcPr>
            <w:tcW w:w="768" w:type="dxa"/>
            <w:tcBorders>
              <w:top w:val="nil"/>
              <w:left w:val="nil"/>
              <w:bottom w:val="single" w:sz="12" w:space="0" w:color="auto"/>
              <w:right w:val="nil"/>
            </w:tcBorders>
            <w:shd w:val="clear" w:color="auto" w:fill="auto"/>
            <w:noWrap/>
            <w:vAlign w:val="bottom"/>
            <w:hideMark/>
          </w:tcPr>
          <w:p w14:paraId="3BA16F0E" w14:textId="77777777" w:rsidR="00973EB0" w:rsidRDefault="00973EB0">
            <w:pPr>
              <w:jc w:val="right"/>
              <w:rPr>
                <w:color w:val="000000"/>
                <w:sz w:val="20"/>
                <w:szCs w:val="20"/>
              </w:rPr>
            </w:pPr>
            <w:r>
              <w:rPr>
                <w:color w:val="000000"/>
                <w:sz w:val="20"/>
                <w:szCs w:val="20"/>
              </w:rPr>
              <w:t>0.065</w:t>
            </w:r>
          </w:p>
        </w:tc>
        <w:tc>
          <w:tcPr>
            <w:tcW w:w="768" w:type="dxa"/>
            <w:tcBorders>
              <w:top w:val="nil"/>
              <w:left w:val="nil"/>
              <w:bottom w:val="single" w:sz="12" w:space="0" w:color="auto"/>
              <w:right w:val="nil"/>
            </w:tcBorders>
            <w:shd w:val="clear" w:color="auto" w:fill="auto"/>
            <w:noWrap/>
            <w:vAlign w:val="bottom"/>
            <w:hideMark/>
          </w:tcPr>
          <w:p w14:paraId="3B2E3272" w14:textId="77777777" w:rsidR="00973EB0" w:rsidRDefault="00973EB0">
            <w:pPr>
              <w:jc w:val="right"/>
              <w:rPr>
                <w:color w:val="000000"/>
                <w:sz w:val="20"/>
                <w:szCs w:val="20"/>
              </w:rPr>
            </w:pPr>
            <w:r>
              <w:rPr>
                <w:color w:val="000000"/>
                <w:sz w:val="20"/>
                <w:szCs w:val="20"/>
              </w:rPr>
              <w:t>0.360</w:t>
            </w:r>
          </w:p>
        </w:tc>
        <w:tc>
          <w:tcPr>
            <w:tcW w:w="768" w:type="dxa"/>
            <w:tcBorders>
              <w:top w:val="nil"/>
              <w:left w:val="nil"/>
              <w:bottom w:val="single" w:sz="12" w:space="0" w:color="auto"/>
              <w:right w:val="nil"/>
            </w:tcBorders>
            <w:shd w:val="clear" w:color="auto" w:fill="auto"/>
            <w:noWrap/>
            <w:vAlign w:val="bottom"/>
            <w:hideMark/>
          </w:tcPr>
          <w:p w14:paraId="76520864" w14:textId="77777777" w:rsidR="00973EB0" w:rsidRDefault="00973EB0">
            <w:pPr>
              <w:jc w:val="right"/>
              <w:rPr>
                <w:color w:val="000000"/>
                <w:sz w:val="20"/>
                <w:szCs w:val="20"/>
              </w:rPr>
            </w:pPr>
            <w:r>
              <w:rPr>
                <w:color w:val="000000"/>
                <w:sz w:val="20"/>
                <w:szCs w:val="20"/>
              </w:rPr>
              <w:t>0.004</w:t>
            </w:r>
          </w:p>
        </w:tc>
        <w:tc>
          <w:tcPr>
            <w:tcW w:w="768" w:type="dxa"/>
            <w:tcBorders>
              <w:top w:val="nil"/>
              <w:left w:val="nil"/>
              <w:bottom w:val="single" w:sz="12" w:space="0" w:color="auto"/>
              <w:right w:val="nil"/>
            </w:tcBorders>
            <w:shd w:val="clear" w:color="auto" w:fill="auto"/>
            <w:noWrap/>
            <w:vAlign w:val="bottom"/>
            <w:hideMark/>
          </w:tcPr>
          <w:p w14:paraId="4418E162" w14:textId="77777777" w:rsidR="00973EB0" w:rsidRDefault="00973EB0">
            <w:pPr>
              <w:jc w:val="right"/>
              <w:rPr>
                <w:b/>
                <w:bCs/>
                <w:color w:val="000000"/>
                <w:sz w:val="20"/>
                <w:szCs w:val="20"/>
              </w:rPr>
            </w:pPr>
            <w:r>
              <w:rPr>
                <w:b/>
                <w:bCs/>
                <w:color w:val="000000"/>
                <w:sz w:val="20"/>
                <w:szCs w:val="20"/>
              </w:rPr>
              <w:t>-0.117</w:t>
            </w:r>
          </w:p>
        </w:tc>
        <w:tc>
          <w:tcPr>
            <w:tcW w:w="768" w:type="dxa"/>
            <w:tcBorders>
              <w:top w:val="nil"/>
              <w:left w:val="nil"/>
              <w:bottom w:val="single" w:sz="12" w:space="0" w:color="auto"/>
              <w:right w:val="nil"/>
            </w:tcBorders>
            <w:shd w:val="clear" w:color="auto" w:fill="auto"/>
            <w:noWrap/>
            <w:vAlign w:val="bottom"/>
            <w:hideMark/>
          </w:tcPr>
          <w:p w14:paraId="098B4C97" w14:textId="77777777" w:rsidR="00973EB0" w:rsidRDefault="00973EB0">
            <w:pPr>
              <w:jc w:val="right"/>
              <w:rPr>
                <w:b/>
                <w:bCs/>
                <w:color w:val="000000"/>
                <w:sz w:val="20"/>
                <w:szCs w:val="20"/>
              </w:rPr>
            </w:pPr>
            <w:r>
              <w:rPr>
                <w:b/>
                <w:bCs/>
                <w:color w:val="000000"/>
                <w:sz w:val="20"/>
                <w:szCs w:val="20"/>
              </w:rPr>
              <w:t>0.032</w:t>
            </w:r>
          </w:p>
        </w:tc>
        <w:tc>
          <w:tcPr>
            <w:tcW w:w="768" w:type="dxa"/>
            <w:tcBorders>
              <w:top w:val="nil"/>
              <w:left w:val="nil"/>
              <w:bottom w:val="single" w:sz="12" w:space="0" w:color="auto"/>
              <w:right w:val="nil"/>
            </w:tcBorders>
            <w:shd w:val="clear" w:color="auto" w:fill="auto"/>
            <w:noWrap/>
            <w:vAlign w:val="bottom"/>
            <w:hideMark/>
          </w:tcPr>
          <w:p w14:paraId="4005E41E" w14:textId="77777777" w:rsidR="00973EB0" w:rsidRDefault="00973EB0">
            <w:pPr>
              <w:jc w:val="right"/>
              <w:rPr>
                <w:b/>
                <w:bCs/>
                <w:color w:val="000000"/>
                <w:sz w:val="20"/>
                <w:szCs w:val="20"/>
              </w:rPr>
            </w:pPr>
            <w:r>
              <w:rPr>
                <w:b/>
                <w:bCs/>
                <w:color w:val="000000"/>
                <w:sz w:val="20"/>
                <w:szCs w:val="20"/>
              </w:rPr>
              <w:t>0.014</w:t>
            </w:r>
          </w:p>
        </w:tc>
        <w:tc>
          <w:tcPr>
            <w:tcW w:w="768" w:type="dxa"/>
            <w:tcBorders>
              <w:top w:val="nil"/>
              <w:left w:val="nil"/>
              <w:bottom w:val="single" w:sz="12" w:space="0" w:color="auto"/>
              <w:right w:val="nil"/>
            </w:tcBorders>
            <w:shd w:val="clear" w:color="auto" w:fill="auto"/>
            <w:noWrap/>
            <w:vAlign w:val="bottom"/>
            <w:hideMark/>
          </w:tcPr>
          <w:p w14:paraId="3D0D33A2" w14:textId="77777777" w:rsidR="00973EB0" w:rsidRDefault="00973EB0">
            <w:pPr>
              <w:jc w:val="right"/>
              <w:rPr>
                <w:color w:val="000000"/>
                <w:sz w:val="20"/>
                <w:szCs w:val="20"/>
              </w:rPr>
            </w:pPr>
            <w:r>
              <w:rPr>
                <w:color w:val="000000"/>
                <w:sz w:val="20"/>
                <w:szCs w:val="20"/>
              </w:rPr>
              <w:t>0.044</w:t>
            </w:r>
          </w:p>
        </w:tc>
        <w:tc>
          <w:tcPr>
            <w:tcW w:w="768" w:type="dxa"/>
            <w:tcBorders>
              <w:top w:val="nil"/>
              <w:left w:val="nil"/>
              <w:bottom w:val="single" w:sz="12" w:space="0" w:color="auto"/>
              <w:right w:val="nil"/>
            </w:tcBorders>
            <w:shd w:val="clear" w:color="auto" w:fill="auto"/>
            <w:noWrap/>
            <w:vAlign w:val="bottom"/>
            <w:hideMark/>
          </w:tcPr>
          <w:p w14:paraId="3E82946F" w14:textId="77777777" w:rsidR="00973EB0" w:rsidRDefault="00973EB0">
            <w:pPr>
              <w:jc w:val="right"/>
              <w:rPr>
                <w:color w:val="000000"/>
                <w:sz w:val="20"/>
                <w:szCs w:val="20"/>
              </w:rPr>
            </w:pPr>
            <w:r>
              <w:rPr>
                <w:color w:val="000000"/>
                <w:sz w:val="20"/>
                <w:szCs w:val="20"/>
              </w:rPr>
              <w:t>0.549</w:t>
            </w:r>
          </w:p>
        </w:tc>
        <w:tc>
          <w:tcPr>
            <w:tcW w:w="768" w:type="dxa"/>
            <w:tcBorders>
              <w:top w:val="nil"/>
              <w:left w:val="nil"/>
              <w:bottom w:val="single" w:sz="12" w:space="0" w:color="auto"/>
              <w:right w:val="nil"/>
            </w:tcBorders>
            <w:shd w:val="clear" w:color="auto" w:fill="auto"/>
            <w:noWrap/>
            <w:vAlign w:val="bottom"/>
            <w:hideMark/>
          </w:tcPr>
          <w:p w14:paraId="32854436" w14:textId="77777777" w:rsidR="00973EB0" w:rsidRDefault="00973EB0">
            <w:pPr>
              <w:jc w:val="right"/>
              <w:rPr>
                <w:color w:val="000000"/>
                <w:sz w:val="20"/>
                <w:szCs w:val="20"/>
              </w:rPr>
            </w:pPr>
            <w:r>
              <w:rPr>
                <w:color w:val="000000"/>
                <w:sz w:val="20"/>
                <w:szCs w:val="20"/>
              </w:rPr>
              <w:t>0.002</w:t>
            </w:r>
          </w:p>
        </w:tc>
      </w:tr>
      <w:tr w:rsidR="00973EB0" w14:paraId="0F9B7FC6" w14:textId="77777777" w:rsidTr="00285FEC">
        <w:trPr>
          <w:trHeight w:val="260"/>
        </w:trPr>
        <w:tc>
          <w:tcPr>
            <w:tcW w:w="1176" w:type="dxa"/>
            <w:tcBorders>
              <w:top w:val="single" w:sz="12" w:space="0" w:color="auto"/>
              <w:left w:val="nil"/>
              <w:bottom w:val="nil"/>
              <w:right w:val="nil"/>
            </w:tcBorders>
            <w:shd w:val="clear" w:color="auto" w:fill="auto"/>
            <w:noWrap/>
            <w:vAlign w:val="bottom"/>
            <w:hideMark/>
          </w:tcPr>
          <w:p w14:paraId="550345F2" w14:textId="77777777" w:rsidR="00973EB0" w:rsidRDefault="00973EB0">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799F375E" w14:textId="77777777" w:rsidR="00973EB0" w:rsidRDefault="00973EB0">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6C1C04E9"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9F550EA"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32DD4A3"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0432A76"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BC0C204"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CDFE26D"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3FE5AAC"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FE9419E"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28708AB"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164396D"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CFBD202"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3B4652C"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A9A5001"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CFC1C7E" w14:textId="77777777" w:rsidR="00973EB0" w:rsidRDefault="00973EB0">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DDD75B" w14:textId="77777777" w:rsidR="00973EB0" w:rsidRDefault="00973EB0">
            <w:pPr>
              <w:rPr>
                <w:sz w:val="20"/>
                <w:szCs w:val="20"/>
              </w:rPr>
            </w:pPr>
          </w:p>
        </w:tc>
      </w:tr>
    </w:tbl>
    <w:p w14:paraId="1477D7C8" w14:textId="2103D0C7" w:rsidR="003F050F" w:rsidRDefault="003B7E29" w:rsidP="003F050F">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bookmarkStart w:id="60" w:name="_Toc155817727"/>
      <w:r w:rsidR="003F050F">
        <w:rPr>
          <w:rFonts w:ascii="Times New Roman" w:hAnsi="Times New Roman" w:cs="Times New Roman"/>
          <w:b/>
          <w:bCs/>
          <w:color w:val="000000" w:themeColor="text1"/>
          <w:sz w:val="24"/>
          <w:szCs w:val="24"/>
        </w:rPr>
        <w:lastRenderedPageBreak/>
        <w:t>Table 25a</w:t>
      </w:r>
      <w:r w:rsidR="003F050F" w:rsidRPr="009E2A20">
        <w:rPr>
          <w:rFonts w:ascii="Times New Roman" w:hAnsi="Times New Roman" w:cs="Times New Roman"/>
          <w:b/>
          <w:bCs/>
          <w:color w:val="000000" w:themeColor="text1"/>
          <w:sz w:val="24"/>
          <w:szCs w:val="24"/>
        </w:rPr>
        <w:t xml:space="preserve">. </w:t>
      </w:r>
      <w:r w:rsidR="003F050F"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w:t>
      </w:r>
      <w:r w:rsidR="003F050F">
        <w:rPr>
          <w:rFonts w:ascii="Times New Roman" w:hAnsi="Times New Roman" w:cs="Times New Roman"/>
          <w:color w:val="000000" w:themeColor="text1"/>
          <w:sz w:val="24"/>
          <w:szCs w:val="24"/>
        </w:rPr>
        <w:t xml:space="preserve">small world omega </w:t>
      </w:r>
      <w:r w:rsidR="003F050F" w:rsidRPr="009E2A20">
        <w:rPr>
          <w:rFonts w:ascii="Times New Roman" w:hAnsi="Times New Roman" w:cs="Times New Roman"/>
          <w:color w:val="000000" w:themeColor="text1"/>
          <w:sz w:val="24"/>
          <w:szCs w:val="24"/>
        </w:rPr>
        <w:t xml:space="preserve">during </w:t>
      </w:r>
      <w:r w:rsidR="003F050F">
        <w:rPr>
          <w:rFonts w:ascii="Times New Roman" w:hAnsi="Times New Roman" w:cs="Times New Roman"/>
          <w:color w:val="000000" w:themeColor="text1"/>
          <w:sz w:val="24"/>
          <w:szCs w:val="24"/>
        </w:rPr>
        <w:t>stop signal task controlling for medication</w:t>
      </w:r>
      <w:bookmarkEnd w:id="60"/>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3F050F" w14:paraId="3D02025D"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549DD152" w14:textId="77777777" w:rsidR="003F050F" w:rsidRDefault="003F050F"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4574236F" w14:textId="77777777" w:rsidR="003F050F" w:rsidRDefault="003F050F"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138041B4" w14:textId="77777777" w:rsidR="003F050F" w:rsidRDefault="003F050F"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3A654AD7"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AF4F9A3"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319D2C3"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0B72F93"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EA8DEBD"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F75DC51"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791D93B"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147830C"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F7B62A9"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B84DE9D"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35CF21E"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FC154DF"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6E1BF09" w14:textId="77777777" w:rsidR="003F050F" w:rsidRDefault="003F050F" w:rsidP="005A3B4D">
            <w:pPr>
              <w:rPr>
                <w:sz w:val="20"/>
                <w:szCs w:val="20"/>
              </w:rPr>
            </w:pPr>
          </w:p>
        </w:tc>
        <w:tc>
          <w:tcPr>
            <w:tcW w:w="768" w:type="dxa"/>
            <w:tcBorders>
              <w:top w:val="nil"/>
              <w:left w:val="nil"/>
              <w:bottom w:val="nil"/>
              <w:right w:val="nil"/>
            </w:tcBorders>
            <w:shd w:val="clear" w:color="auto" w:fill="auto"/>
            <w:noWrap/>
            <w:vAlign w:val="bottom"/>
            <w:hideMark/>
          </w:tcPr>
          <w:p w14:paraId="3D6A95CF" w14:textId="77777777" w:rsidR="003F050F" w:rsidRDefault="003F050F" w:rsidP="005A3B4D">
            <w:pPr>
              <w:rPr>
                <w:sz w:val="20"/>
                <w:szCs w:val="20"/>
              </w:rPr>
            </w:pPr>
          </w:p>
        </w:tc>
      </w:tr>
      <w:tr w:rsidR="003F050F" w14:paraId="3160EB00"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11216D4C" w14:textId="77777777" w:rsidR="003F050F" w:rsidRDefault="003F050F"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A6AC956" w14:textId="77777777" w:rsidR="003F050F" w:rsidRDefault="003F050F"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7DBAC214" w14:textId="77777777" w:rsidR="003F050F" w:rsidRDefault="003F050F" w:rsidP="005A3B4D">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0B4714E" w14:textId="77777777" w:rsidR="003F050F" w:rsidRDefault="003F050F"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56B7084" w14:textId="77777777" w:rsidR="003F050F" w:rsidRDefault="003F050F"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5C82DC1" w14:textId="77777777" w:rsidR="003F050F" w:rsidRDefault="003F050F"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0B901421" w14:textId="77777777" w:rsidR="003F050F" w:rsidRDefault="003F050F" w:rsidP="005A3B4D">
            <w:pPr>
              <w:jc w:val="center"/>
              <w:rPr>
                <w:color w:val="000000"/>
                <w:sz w:val="20"/>
                <w:szCs w:val="20"/>
              </w:rPr>
            </w:pPr>
            <w:r>
              <w:rPr>
                <w:color w:val="000000"/>
                <w:sz w:val="20"/>
                <w:szCs w:val="20"/>
              </w:rPr>
              <w:t>Urbanicity</w:t>
            </w:r>
          </w:p>
        </w:tc>
      </w:tr>
      <w:tr w:rsidR="003F050F" w14:paraId="28E23140"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6E243940" w14:textId="77777777" w:rsidR="003F050F" w:rsidRDefault="003F050F"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7EB53110" w14:textId="77777777" w:rsidR="003F050F" w:rsidRDefault="003F050F"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08282F1F" w14:textId="77777777" w:rsidR="003F050F" w:rsidRDefault="003F050F"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8A478EE" w14:textId="77777777" w:rsidR="003F050F" w:rsidRDefault="003F050F" w:rsidP="005A3B4D">
            <w:pP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8BFEC93" w14:textId="77777777" w:rsidR="003F050F" w:rsidRDefault="003F050F" w:rsidP="005A3B4D">
            <w:pP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5E37A06" w14:textId="77777777" w:rsidR="003F050F" w:rsidRDefault="003F050F"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2CD21FA" w14:textId="77777777" w:rsidR="003F050F" w:rsidRDefault="003F050F"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29D5FF0" w14:textId="77777777" w:rsidR="003F050F" w:rsidRDefault="003F050F" w:rsidP="005A3B4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1A767E83" w14:textId="77777777" w:rsidR="003F050F" w:rsidRDefault="003F050F" w:rsidP="005A3B4D">
            <w:pP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EE03909" w14:textId="77777777" w:rsidR="003F050F" w:rsidRDefault="003F050F"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AF8F91F" w14:textId="77777777" w:rsidR="003F050F" w:rsidRDefault="003F050F" w:rsidP="005A3B4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0C79CE7D" w14:textId="77777777" w:rsidR="003F050F" w:rsidRDefault="003F050F" w:rsidP="005A3B4D">
            <w:pP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7F35C0A" w14:textId="77777777" w:rsidR="003F050F" w:rsidRDefault="003F050F" w:rsidP="005A3B4D">
            <w:pP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E1EC22E" w14:textId="77777777" w:rsidR="003F050F" w:rsidRDefault="003F050F" w:rsidP="005A3B4D">
            <w:pP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4D0C0A52" w14:textId="77777777" w:rsidR="003F050F" w:rsidRDefault="003F050F" w:rsidP="005A3B4D">
            <w:pP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1F4BAB0" w14:textId="77777777" w:rsidR="003F050F" w:rsidRDefault="003F050F" w:rsidP="005A3B4D">
            <w:pP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4AAD60C" w14:textId="77777777" w:rsidR="003F050F" w:rsidRDefault="003F050F" w:rsidP="005A3B4D">
            <w:pPr>
              <w:rPr>
                <w:i/>
                <w:iCs/>
                <w:color w:val="000000"/>
                <w:sz w:val="20"/>
                <w:szCs w:val="20"/>
              </w:rPr>
            </w:pPr>
            <w:r>
              <w:rPr>
                <w:i/>
                <w:iCs/>
                <w:color w:val="000000"/>
                <w:sz w:val="20"/>
                <w:szCs w:val="20"/>
              </w:rPr>
              <w:t>R2</w:t>
            </w:r>
          </w:p>
        </w:tc>
      </w:tr>
      <w:tr w:rsidR="003F050F" w14:paraId="27B27EB4"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08882225" w14:textId="77777777" w:rsidR="003F050F" w:rsidRDefault="003F050F"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69929A43" w14:textId="77777777" w:rsidR="003F050F" w:rsidRDefault="003F050F"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3834FEB7" w14:textId="77777777" w:rsidR="003F050F" w:rsidRDefault="003F050F" w:rsidP="005A3B4D">
            <w:pPr>
              <w:jc w:val="right"/>
              <w:rPr>
                <w:color w:val="000000"/>
                <w:sz w:val="20"/>
                <w:szCs w:val="20"/>
              </w:rPr>
            </w:pPr>
            <w:r>
              <w:rPr>
                <w:color w:val="000000"/>
                <w:sz w:val="20"/>
                <w:szCs w:val="20"/>
              </w:rPr>
              <w:t>-0.028</w:t>
            </w:r>
          </w:p>
        </w:tc>
        <w:tc>
          <w:tcPr>
            <w:tcW w:w="768" w:type="dxa"/>
            <w:tcBorders>
              <w:top w:val="single" w:sz="12" w:space="0" w:color="auto"/>
              <w:left w:val="nil"/>
              <w:bottom w:val="nil"/>
              <w:right w:val="nil"/>
            </w:tcBorders>
            <w:shd w:val="clear" w:color="auto" w:fill="auto"/>
            <w:noWrap/>
            <w:vAlign w:val="bottom"/>
            <w:hideMark/>
          </w:tcPr>
          <w:p w14:paraId="641C8E6A" w14:textId="77777777" w:rsidR="003F050F" w:rsidRDefault="003F050F" w:rsidP="005A3B4D">
            <w:pPr>
              <w:jc w:val="right"/>
              <w:rPr>
                <w:color w:val="000000"/>
                <w:sz w:val="20"/>
                <w:szCs w:val="20"/>
              </w:rPr>
            </w:pPr>
            <w:r>
              <w:rPr>
                <w:color w:val="000000"/>
                <w:sz w:val="20"/>
                <w:szCs w:val="20"/>
              </w:rPr>
              <w:t>0.800</w:t>
            </w:r>
          </w:p>
        </w:tc>
        <w:tc>
          <w:tcPr>
            <w:tcW w:w="768" w:type="dxa"/>
            <w:tcBorders>
              <w:top w:val="single" w:sz="12" w:space="0" w:color="auto"/>
              <w:left w:val="nil"/>
              <w:bottom w:val="nil"/>
              <w:right w:val="nil"/>
            </w:tcBorders>
            <w:shd w:val="clear" w:color="auto" w:fill="auto"/>
            <w:noWrap/>
            <w:vAlign w:val="bottom"/>
            <w:hideMark/>
          </w:tcPr>
          <w:p w14:paraId="369073D7" w14:textId="77777777" w:rsidR="003F050F" w:rsidRDefault="003F050F"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5EB8D832" w14:textId="77777777" w:rsidR="003F050F" w:rsidRDefault="003F050F" w:rsidP="005A3B4D">
            <w:pPr>
              <w:jc w:val="right"/>
              <w:rPr>
                <w:color w:val="000000"/>
                <w:sz w:val="20"/>
                <w:szCs w:val="20"/>
              </w:rPr>
            </w:pPr>
            <w:r>
              <w:rPr>
                <w:color w:val="000000"/>
                <w:sz w:val="20"/>
                <w:szCs w:val="20"/>
              </w:rPr>
              <w:t>-0.032</w:t>
            </w:r>
          </w:p>
        </w:tc>
        <w:tc>
          <w:tcPr>
            <w:tcW w:w="768" w:type="dxa"/>
            <w:tcBorders>
              <w:top w:val="single" w:sz="12" w:space="0" w:color="auto"/>
              <w:left w:val="nil"/>
              <w:bottom w:val="nil"/>
              <w:right w:val="nil"/>
            </w:tcBorders>
            <w:shd w:val="clear" w:color="auto" w:fill="auto"/>
            <w:noWrap/>
            <w:vAlign w:val="bottom"/>
            <w:hideMark/>
          </w:tcPr>
          <w:p w14:paraId="744ACEE0" w14:textId="77777777" w:rsidR="003F050F" w:rsidRDefault="003F050F" w:rsidP="005A3B4D">
            <w:pPr>
              <w:jc w:val="right"/>
              <w:rPr>
                <w:color w:val="000000"/>
                <w:sz w:val="20"/>
                <w:szCs w:val="20"/>
              </w:rPr>
            </w:pPr>
            <w:r>
              <w:rPr>
                <w:color w:val="000000"/>
                <w:sz w:val="20"/>
                <w:szCs w:val="20"/>
              </w:rPr>
              <w:t>0.694</w:t>
            </w:r>
          </w:p>
        </w:tc>
        <w:tc>
          <w:tcPr>
            <w:tcW w:w="768" w:type="dxa"/>
            <w:tcBorders>
              <w:top w:val="single" w:sz="12" w:space="0" w:color="auto"/>
              <w:left w:val="nil"/>
              <w:bottom w:val="nil"/>
              <w:right w:val="nil"/>
            </w:tcBorders>
            <w:shd w:val="clear" w:color="auto" w:fill="auto"/>
            <w:noWrap/>
            <w:vAlign w:val="bottom"/>
            <w:hideMark/>
          </w:tcPr>
          <w:p w14:paraId="74EF69F9" w14:textId="77777777" w:rsidR="003F050F" w:rsidRDefault="003F050F"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1FC16660" w14:textId="77777777" w:rsidR="003F050F" w:rsidRDefault="003F050F" w:rsidP="005A3B4D">
            <w:pPr>
              <w:jc w:val="right"/>
              <w:rPr>
                <w:color w:val="000000"/>
                <w:sz w:val="20"/>
                <w:szCs w:val="20"/>
              </w:rPr>
            </w:pPr>
            <w:r>
              <w:rPr>
                <w:color w:val="000000"/>
                <w:sz w:val="20"/>
                <w:szCs w:val="20"/>
              </w:rPr>
              <w:t>-0.033</w:t>
            </w:r>
          </w:p>
        </w:tc>
        <w:tc>
          <w:tcPr>
            <w:tcW w:w="768" w:type="dxa"/>
            <w:tcBorders>
              <w:top w:val="single" w:sz="12" w:space="0" w:color="auto"/>
              <w:left w:val="nil"/>
              <w:bottom w:val="nil"/>
              <w:right w:val="nil"/>
            </w:tcBorders>
            <w:shd w:val="clear" w:color="auto" w:fill="auto"/>
            <w:noWrap/>
            <w:vAlign w:val="bottom"/>
            <w:hideMark/>
          </w:tcPr>
          <w:p w14:paraId="59814086" w14:textId="77777777" w:rsidR="003F050F" w:rsidRDefault="003F050F" w:rsidP="005A3B4D">
            <w:pPr>
              <w:jc w:val="right"/>
              <w:rPr>
                <w:color w:val="000000"/>
                <w:sz w:val="20"/>
                <w:szCs w:val="20"/>
              </w:rPr>
            </w:pPr>
            <w:r>
              <w:rPr>
                <w:color w:val="000000"/>
                <w:sz w:val="20"/>
                <w:szCs w:val="20"/>
              </w:rPr>
              <w:t>0.734</w:t>
            </w:r>
          </w:p>
        </w:tc>
        <w:tc>
          <w:tcPr>
            <w:tcW w:w="768" w:type="dxa"/>
            <w:tcBorders>
              <w:top w:val="single" w:sz="12" w:space="0" w:color="auto"/>
              <w:left w:val="nil"/>
              <w:bottom w:val="nil"/>
              <w:right w:val="nil"/>
            </w:tcBorders>
            <w:shd w:val="clear" w:color="auto" w:fill="auto"/>
            <w:noWrap/>
            <w:vAlign w:val="bottom"/>
            <w:hideMark/>
          </w:tcPr>
          <w:p w14:paraId="4E9531BD" w14:textId="77777777" w:rsidR="003F050F" w:rsidRDefault="003F050F"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4CA2106D" w14:textId="77777777" w:rsidR="003F050F" w:rsidRDefault="003F050F" w:rsidP="005A3B4D">
            <w:pPr>
              <w:jc w:val="right"/>
              <w:rPr>
                <w:color w:val="000000"/>
                <w:sz w:val="20"/>
                <w:szCs w:val="20"/>
              </w:rPr>
            </w:pPr>
            <w:r>
              <w:rPr>
                <w:color w:val="000000"/>
                <w:sz w:val="20"/>
                <w:szCs w:val="20"/>
              </w:rPr>
              <w:t>-0.062</w:t>
            </w:r>
          </w:p>
        </w:tc>
        <w:tc>
          <w:tcPr>
            <w:tcW w:w="768" w:type="dxa"/>
            <w:tcBorders>
              <w:top w:val="single" w:sz="12" w:space="0" w:color="auto"/>
              <w:left w:val="nil"/>
              <w:bottom w:val="nil"/>
              <w:right w:val="nil"/>
            </w:tcBorders>
            <w:shd w:val="clear" w:color="auto" w:fill="auto"/>
            <w:noWrap/>
            <w:vAlign w:val="bottom"/>
            <w:hideMark/>
          </w:tcPr>
          <w:p w14:paraId="005D0D9A" w14:textId="77777777" w:rsidR="003F050F" w:rsidRDefault="003F050F" w:rsidP="005A3B4D">
            <w:pPr>
              <w:jc w:val="right"/>
              <w:rPr>
                <w:color w:val="000000"/>
                <w:sz w:val="20"/>
                <w:szCs w:val="20"/>
              </w:rPr>
            </w:pPr>
            <w:r>
              <w:rPr>
                <w:color w:val="000000"/>
                <w:sz w:val="20"/>
                <w:szCs w:val="20"/>
              </w:rPr>
              <w:t>0.352</w:t>
            </w:r>
          </w:p>
        </w:tc>
        <w:tc>
          <w:tcPr>
            <w:tcW w:w="768" w:type="dxa"/>
            <w:tcBorders>
              <w:top w:val="single" w:sz="12" w:space="0" w:color="auto"/>
              <w:left w:val="nil"/>
              <w:bottom w:val="nil"/>
              <w:right w:val="nil"/>
            </w:tcBorders>
            <w:shd w:val="clear" w:color="auto" w:fill="auto"/>
            <w:noWrap/>
            <w:vAlign w:val="bottom"/>
            <w:hideMark/>
          </w:tcPr>
          <w:p w14:paraId="0CDF84EC" w14:textId="77777777" w:rsidR="003F050F" w:rsidRDefault="003F050F" w:rsidP="005A3B4D">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75FAF925" w14:textId="77777777" w:rsidR="003F050F" w:rsidRDefault="003F050F" w:rsidP="005A3B4D">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3834FD7D" w14:textId="77777777" w:rsidR="003F050F" w:rsidRDefault="003F050F" w:rsidP="005A3B4D">
            <w:pPr>
              <w:jc w:val="right"/>
              <w:rPr>
                <w:color w:val="000000"/>
                <w:sz w:val="20"/>
                <w:szCs w:val="20"/>
              </w:rPr>
            </w:pPr>
            <w:r>
              <w:rPr>
                <w:color w:val="000000"/>
                <w:sz w:val="20"/>
                <w:szCs w:val="20"/>
              </w:rPr>
              <w:t>0.999</w:t>
            </w:r>
          </w:p>
        </w:tc>
        <w:tc>
          <w:tcPr>
            <w:tcW w:w="768" w:type="dxa"/>
            <w:tcBorders>
              <w:top w:val="single" w:sz="12" w:space="0" w:color="auto"/>
              <w:left w:val="nil"/>
              <w:bottom w:val="nil"/>
              <w:right w:val="nil"/>
            </w:tcBorders>
            <w:shd w:val="clear" w:color="auto" w:fill="auto"/>
            <w:noWrap/>
            <w:vAlign w:val="bottom"/>
            <w:hideMark/>
          </w:tcPr>
          <w:p w14:paraId="63ED751B" w14:textId="77777777" w:rsidR="003F050F" w:rsidRDefault="003F050F" w:rsidP="005A3B4D">
            <w:pPr>
              <w:jc w:val="right"/>
              <w:rPr>
                <w:color w:val="000000"/>
                <w:sz w:val="20"/>
                <w:szCs w:val="20"/>
              </w:rPr>
            </w:pPr>
            <w:r>
              <w:rPr>
                <w:color w:val="000000"/>
                <w:sz w:val="20"/>
                <w:szCs w:val="20"/>
              </w:rPr>
              <w:t>0.000</w:t>
            </w:r>
          </w:p>
        </w:tc>
      </w:tr>
      <w:tr w:rsidR="003F050F" w14:paraId="7A332158" w14:textId="77777777" w:rsidTr="005A3B4D">
        <w:trPr>
          <w:trHeight w:val="340"/>
        </w:trPr>
        <w:tc>
          <w:tcPr>
            <w:tcW w:w="1176" w:type="dxa"/>
            <w:tcBorders>
              <w:top w:val="nil"/>
              <w:left w:val="nil"/>
              <w:bottom w:val="nil"/>
              <w:right w:val="nil"/>
            </w:tcBorders>
            <w:shd w:val="clear" w:color="auto" w:fill="auto"/>
            <w:noWrap/>
            <w:vAlign w:val="bottom"/>
            <w:hideMark/>
          </w:tcPr>
          <w:p w14:paraId="05B37678"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0D47A1D" w14:textId="77777777" w:rsidR="003F050F" w:rsidRDefault="003F050F"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25D7DEF" w14:textId="77777777" w:rsidR="003F050F" w:rsidRDefault="003F050F"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7B4F3AB" w14:textId="77777777" w:rsidR="003F050F" w:rsidRDefault="003F050F" w:rsidP="005A3B4D">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53F4C9A7"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E8F70A" w14:textId="77777777" w:rsidR="003F050F" w:rsidRDefault="003F050F"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345A1FA3" w14:textId="77777777" w:rsidR="003F050F" w:rsidRDefault="003F050F" w:rsidP="005A3B4D">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007C845D"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3EE9696" w14:textId="77777777" w:rsidR="003F050F" w:rsidRDefault="003F050F"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3313D82E" w14:textId="77777777" w:rsidR="003F050F" w:rsidRDefault="003F050F" w:rsidP="005A3B4D">
            <w:pPr>
              <w:jc w:val="right"/>
              <w:rPr>
                <w:color w:val="000000"/>
                <w:sz w:val="20"/>
                <w:szCs w:val="20"/>
              </w:rPr>
            </w:pPr>
            <w:r>
              <w:rPr>
                <w:color w:val="000000"/>
                <w:sz w:val="20"/>
                <w:szCs w:val="20"/>
              </w:rPr>
              <w:t>0.734</w:t>
            </w:r>
          </w:p>
        </w:tc>
        <w:tc>
          <w:tcPr>
            <w:tcW w:w="768" w:type="dxa"/>
            <w:tcBorders>
              <w:top w:val="nil"/>
              <w:left w:val="nil"/>
              <w:bottom w:val="nil"/>
              <w:right w:val="nil"/>
            </w:tcBorders>
            <w:shd w:val="clear" w:color="auto" w:fill="auto"/>
            <w:noWrap/>
            <w:vAlign w:val="bottom"/>
            <w:hideMark/>
          </w:tcPr>
          <w:p w14:paraId="1B5919EE"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444824C"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347785A"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37E0C6E6"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3B33DB" w14:textId="77777777" w:rsidR="003F050F" w:rsidRDefault="003F050F" w:rsidP="005A3B4D">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0B412B48" w14:textId="77777777" w:rsidR="003F050F" w:rsidRDefault="003F050F"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5E263103" w14:textId="77777777" w:rsidR="003F050F" w:rsidRDefault="003F050F" w:rsidP="005A3B4D">
            <w:pPr>
              <w:jc w:val="right"/>
              <w:rPr>
                <w:color w:val="000000"/>
                <w:sz w:val="20"/>
                <w:szCs w:val="20"/>
              </w:rPr>
            </w:pPr>
            <w:r>
              <w:rPr>
                <w:color w:val="000000"/>
                <w:sz w:val="20"/>
                <w:szCs w:val="20"/>
              </w:rPr>
              <w:t>0.005</w:t>
            </w:r>
          </w:p>
        </w:tc>
      </w:tr>
      <w:tr w:rsidR="003F050F" w14:paraId="11F54099" w14:textId="77777777" w:rsidTr="005A3B4D">
        <w:trPr>
          <w:trHeight w:val="320"/>
        </w:trPr>
        <w:tc>
          <w:tcPr>
            <w:tcW w:w="1176" w:type="dxa"/>
            <w:tcBorders>
              <w:top w:val="nil"/>
              <w:left w:val="nil"/>
              <w:bottom w:val="nil"/>
              <w:right w:val="nil"/>
            </w:tcBorders>
            <w:shd w:val="clear" w:color="auto" w:fill="auto"/>
            <w:noWrap/>
            <w:vAlign w:val="bottom"/>
            <w:hideMark/>
          </w:tcPr>
          <w:p w14:paraId="16932455"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5E591FE" w14:textId="77777777" w:rsidR="003F050F" w:rsidRDefault="003F050F"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31E9131" w14:textId="77777777" w:rsidR="003F050F" w:rsidRDefault="003F050F"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76B4EF6C"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1651EE5C"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31F718" w14:textId="77777777" w:rsidR="003F050F" w:rsidRDefault="003F050F" w:rsidP="005A3B4D">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77E12BFB"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14613B57"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12E3585" w14:textId="77777777" w:rsidR="003F050F" w:rsidRDefault="003F050F"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14C82302" w14:textId="77777777" w:rsidR="003F050F" w:rsidRDefault="003F050F"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5CF3C896"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F62F990" w14:textId="77777777" w:rsidR="003F050F" w:rsidRDefault="003F050F"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30CBF56"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7B151EA7"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445F9C1" w14:textId="77777777" w:rsidR="003F050F" w:rsidRDefault="003F050F"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B8B6284"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6D4F301A" w14:textId="77777777" w:rsidR="003F050F" w:rsidRDefault="003F050F" w:rsidP="005A3B4D">
            <w:pPr>
              <w:jc w:val="right"/>
              <w:rPr>
                <w:color w:val="000000"/>
                <w:sz w:val="20"/>
                <w:szCs w:val="20"/>
              </w:rPr>
            </w:pPr>
            <w:r>
              <w:rPr>
                <w:color w:val="000000"/>
                <w:sz w:val="20"/>
                <w:szCs w:val="20"/>
              </w:rPr>
              <w:t>0.000</w:t>
            </w:r>
          </w:p>
        </w:tc>
      </w:tr>
      <w:tr w:rsidR="003F050F" w14:paraId="137998BC" w14:textId="77777777" w:rsidTr="005A3B4D">
        <w:trPr>
          <w:trHeight w:val="320"/>
        </w:trPr>
        <w:tc>
          <w:tcPr>
            <w:tcW w:w="1176" w:type="dxa"/>
            <w:tcBorders>
              <w:top w:val="nil"/>
              <w:left w:val="nil"/>
              <w:bottom w:val="nil"/>
              <w:right w:val="nil"/>
            </w:tcBorders>
            <w:shd w:val="clear" w:color="auto" w:fill="auto"/>
            <w:noWrap/>
            <w:vAlign w:val="bottom"/>
            <w:hideMark/>
          </w:tcPr>
          <w:p w14:paraId="08BBD778"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945DEAD" w14:textId="77777777" w:rsidR="003F050F" w:rsidRDefault="003F050F"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87C62A5" w14:textId="77777777" w:rsidR="003F050F" w:rsidRDefault="003F050F"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56E13EF0" w14:textId="77777777" w:rsidR="003F050F" w:rsidRDefault="003F050F" w:rsidP="005A3B4D">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1A3865B7"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0A2DFDF" w14:textId="77777777" w:rsidR="003F050F" w:rsidRDefault="003F050F" w:rsidP="005A3B4D">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03731EF2" w14:textId="77777777" w:rsidR="003F050F" w:rsidRDefault="003F050F" w:rsidP="005A3B4D">
            <w:pPr>
              <w:jc w:val="right"/>
              <w:rPr>
                <w:color w:val="000000"/>
                <w:sz w:val="20"/>
                <w:szCs w:val="20"/>
              </w:rPr>
            </w:pPr>
            <w:r>
              <w:rPr>
                <w:color w:val="000000"/>
                <w:sz w:val="20"/>
                <w:szCs w:val="20"/>
              </w:rPr>
              <w:t>0.733</w:t>
            </w:r>
          </w:p>
        </w:tc>
        <w:tc>
          <w:tcPr>
            <w:tcW w:w="768" w:type="dxa"/>
            <w:tcBorders>
              <w:top w:val="nil"/>
              <w:left w:val="nil"/>
              <w:bottom w:val="nil"/>
              <w:right w:val="nil"/>
            </w:tcBorders>
            <w:shd w:val="clear" w:color="auto" w:fill="auto"/>
            <w:noWrap/>
            <w:vAlign w:val="bottom"/>
            <w:hideMark/>
          </w:tcPr>
          <w:p w14:paraId="7276CE7A"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2DC1C3B" w14:textId="77777777" w:rsidR="003F050F" w:rsidRDefault="003F050F" w:rsidP="005A3B4D">
            <w:pPr>
              <w:jc w:val="right"/>
              <w:rPr>
                <w:color w:val="000000"/>
                <w:sz w:val="20"/>
                <w:szCs w:val="20"/>
              </w:rPr>
            </w:pPr>
            <w:r>
              <w:rPr>
                <w:color w:val="000000"/>
                <w:sz w:val="20"/>
                <w:szCs w:val="20"/>
              </w:rPr>
              <w:t>0.098</w:t>
            </w:r>
          </w:p>
        </w:tc>
        <w:tc>
          <w:tcPr>
            <w:tcW w:w="768" w:type="dxa"/>
            <w:tcBorders>
              <w:top w:val="nil"/>
              <w:left w:val="nil"/>
              <w:bottom w:val="nil"/>
              <w:right w:val="nil"/>
            </w:tcBorders>
            <w:shd w:val="clear" w:color="auto" w:fill="auto"/>
            <w:noWrap/>
            <w:vAlign w:val="bottom"/>
            <w:hideMark/>
          </w:tcPr>
          <w:p w14:paraId="6133F267" w14:textId="77777777" w:rsidR="003F050F" w:rsidRDefault="003F050F" w:rsidP="005A3B4D">
            <w:pPr>
              <w:jc w:val="right"/>
              <w:rPr>
                <w:color w:val="000000"/>
                <w:sz w:val="20"/>
                <w:szCs w:val="20"/>
              </w:rPr>
            </w:pPr>
            <w:r>
              <w:rPr>
                <w:color w:val="000000"/>
                <w:sz w:val="20"/>
                <w:szCs w:val="20"/>
              </w:rPr>
              <w:t>0.734</w:t>
            </w:r>
          </w:p>
        </w:tc>
        <w:tc>
          <w:tcPr>
            <w:tcW w:w="768" w:type="dxa"/>
            <w:tcBorders>
              <w:top w:val="nil"/>
              <w:left w:val="nil"/>
              <w:bottom w:val="nil"/>
              <w:right w:val="nil"/>
            </w:tcBorders>
            <w:shd w:val="clear" w:color="auto" w:fill="auto"/>
            <w:noWrap/>
            <w:vAlign w:val="bottom"/>
            <w:hideMark/>
          </w:tcPr>
          <w:p w14:paraId="20E733A2" w14:textId="77777777" w:rsidR="003F050F" w:rsidRDefault="003F050F"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0B49C00" w14:textId="77777777" w:rsidR="003F050F" w:rsidRDefault="003F050F" w:rsidP="005A3B4D">
            <w:pPr>
              <w:jc w:val="right"/>
              <w:rPr>
                <w:color w:val="000000"/>
                <w:sz w:val="20"/>
                <w:szCs w:val="20"/>
              </w:rPr>
            </w:pPr>
            <w:r>
              <w:rPr>
                <w:color w:val="000000"/>
                <w:sz w:val="20"/>
                <w:szCs w:val="20"/>
              </w:rPr>
              <w:t>0.158</w:t>
            </w:r>
          </w:p>
        </w:tc>
        <w:tc>
          <w:tcPr>
            <w:tcW w:w="768" w:type="dxa"/>
            <w:tcBorders>
              <w:top w:val="nil"/>
              <w:left w:val="nil"/>
              <w:bottom w:val="nil"/>
              <w:right w:val="nil"/>
            </w:tcBorders>
            <w:shd w:val="clear" w:color="auto" w:fill="auto"/>
            <w:noWrap/>
            <w:vAlign w:val="bottom"/>
            <w:hideMark/>
          </w:tcPr>
          <w:p w14:paraId="0BD19727" w14:textId="77777777" w:rsidR="003F050F" w:rsidRDefault="003F050F" w:rsidP="005A3B4D">
            <w:pPr>
              <w:jc w:val="right"/>
              <w:rPr>
                <w:color w:val="000000"/>
                <w:sz w:val="20"/>
                <w:szCs w:val="20"/>
              </w:rPr>
            </w:pPr>
            <w:r>
              <w:rPr>
                <w:color w:val="000000"/>
                <w:sz w:val="20"/>
                <w:szCs w:val="20"/>
              </w:rPr>
              <w:t>0.352</w:t>
            </w:r>
          </w:p>
        </w:tc>
        <w:tc>
          <w:tcPr>
            <w:tcW w:w="768" w:type="dxa"/>
            <w:tcBorders>
              <w:top w:val="nil"/>
              <w:left w:val="nil"/>
              <w:bottom w:val="nil"/>
              <w:right w:val="nil"/>
            </w:tcBorders>
            <w:shd w:val="clear" w:color="auto" w:fill="auto"/>
            <w:noWrap/>
            <w:vAlign w:val="bottom"/>
            <w:hideMark/>
          </w:tcPr>
          <w:p w14:paraId="02A05CE8" w14:textId="77777777" w:rsidR="003F050F" w:rsidRDefault="003F050F"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5D18EA6D" w14:textId="77777777" w:rsidR="003F050F" w:rsidRDefault="003F050F" w:rsidP="005A3B4D">
            <w:pPr>
              <w:jc w:val="right"/>
              <w:rPr>
                <w:color w:val="000000"/>
                <w:sz w:val="20"/>
                <w:szCs w:val="20"/>
              </w:rPr>
            </w:pPr>
            <w:r>
              <w:rPr>
                <w:color w:val="000000"/>
                <w:sz w:val="20"/>
                <w:szCs w:val="20"/>
              </w:rPr>
              <w:t>-0.079</w:t>
            </w:r>
          </w:p>
        </w:tc>
        <w:tc>
          <w:tcPr>
            <w:tcW w:w="768" w:type="dxa"/>
            <w:tcBorders>
              <w:top w:val="nil"/>
              <w:left w:val="nil"/>
              <w:bottom w:val="nil"/>
              <w:right w:val="nil"/>
            </w:tcBorders>
            <w:shd w:val="clear" w:color="auto" w:fill="auto"/>
            <w:noWrap/>
            <w:vAlign w:val="bottom"/>
            <w:hideMark/>
          </w:tcPr>
          <w:p w14:paraId="1FE62FA5"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5CBE8177" w14:textId="77777777" w:rsidR="003F050F" w:rsidRDefault="003F050F" w:rsidP="005A3B4D">
            <w:pPr>
              <w:jc w:val="right"/>
              <w:rPr>
                <w:color w:val="000000"/>
                <w:sz w:val="20"/>
                <w:szCs w:val="20"/>
              </w:rPr>
            </w:pPr>
            <w:r>
              <w:rPr>
                <w:color w:val="000000"/>
                <w:sz w:val="20"/>
                <w:szCs w:val="20"/>
              </w:rPr>
              <w:t>0.006</w:t>
            </w:r>
          </w:p>
        </w:tc>
      </w:tr>
      <w:tr w:rsidR="003F050F" w14:paraId="6626FA33" w14:textId="77777777" w:rsidTr="005A3B4D">
        <w:trPr>
          <w:trHeight w:val="320"/>
        </w:trPr>
        <w:tc>
          <w:tcPr>
            <w:tcW w:w="1176" w:type="dxa"/>
            <w:tcBorders>
              <w:top w:val="nil"/>
              <w:left w:val="nil"/>
              <w:bottom w:val="nil"/>
              <w:right w:val="nil"/>
            </w:tcBorders>
            <w:shd w:val="clear" w:color="auto" w:fill="auto"/>
            <w:noWrap/>
            <w:vAlign w:val="bottom"/>
            <w:hideMark/>
          </w:tcPr>
          <w:p w14:paraId="3AE52A5B"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496B888" w14:textId="77777777" w:rsidR="003F050F" w:rsidRDefault="003F050F"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531FA39" w14:textId="77777777" w:rsidR="003F050F" w:rsidRDefault="003F050F" w:rsidP="005A3B4D">
            <w:pPr>
              <w:jc w:val="right"/>
              <w:rPr>
                <w:color w:val="000000"/>
                <w:sz w:val="20"/>
                <w:szCs w:val="20"/>
              </w:rPr>
            </w:pPr>
            <w:r>
              <w:rPr>
                <w:color w:val="000000"/>
                <w:sz w:val="20"/>
                <w:szCs w:val="20"/>
              </w:rPr>
              <w:t>0.089</w:t>
            </w:r>
          </w:p>
        </w:tc>
        <w:tc>
          <w:tcPr>
            <w:tcW w:w="768" w:type="dxa"/>
            <w:tcBorders>
              <w:top w:val="nil"/>
              <w:left w:val="nil"/>
              <w:bottom w:val="nil"/>
              <w:right w:val="nil"/>
            </w:tcBorders>
            <w:shd w:val="clear" w:color="auto" w:fill="auto"/>
            <w:noWrap/>
            <w:vAlign w:val="bottom"/>
            <w:hideMark/>
          </w:tcPr>
          <w:p w14:paraId="095914C2" w14:textId="77777777" w:rsidR="003F050F" w:rsidRDefault="003F050F" w:rsidP="005A3B4D">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397E04DC" w14:textId="77777777" w:rsidR="003F050F" w:rsidRDefault="003F050F"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28D301C" w14:textId="77777777" w:rsidR="003F050F" w:rsidRDefault="003F050F" w:rsidP="005A3B4D">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6D7B60E2" w14:textId="77777777" w:rsidR="003F050F" w:rsidRDefault="003F050F" w:rsidP="005A3B4D">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3140BF94"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C0265D0" w14:textId="77777777" w:rsidR="003F050F" w:rsidRDefault="003F050F"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23089642" w14:textId="77777777" w:rsidR="003F050F" w:rsidRDefault="003F050F" w:rsidP="005A3B4D">
            <w:pPr>
              <w:jc w:val="right"/>
              <w:rPr>
                <w:color w:val="000000"/>
                <w:sz w:val="20"/>
                <w:szCs w:val="20"/>
              </w:rPr>
            </w:pPr>
            <w:r>
              <w:rPr>
                <w:color w:val="000000"/>
                <w:sz w:val="20"/>
                <w:szCs w:val="20"/>
              </w:rPr>
              <w:t>0.777</w:t>
            </w:r>
          </w:p>
        </w:tc>
        <w:tc>
          <w:tcPr>
            <w:tcW w:w="768" w:type="dxa"/>
            <w:tcBorders>
              <w:top w:val="nil"/>
              <w:left w:val="nil"/>
              <w:bottom w:val="nil"/>
              <w:right w:val="nil"/>
            </w:tcBorders>
            <w:shd w:val="clear" w:color="auto" w:fill="auto"/>
            <w:noWrap/>
            <w:vAlign w:val="bottom"/>
            <w:hideMark/>
          </w:tcPr>
          <w:p w14:paraId="1B793693"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42F5BA7" w14:textId="77777777" w:rsidR="003F050F" w:rsidRDefault="003F050F"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77DBDC9F" w14:textId="77777777" w:rsidR="003F050F" w:rsidRDefault="003F050F" w:rsidP="005A3B4D">
            <w:pPr>
              <w:jc w:val="right"/>
              <w:rPr>
                <w:color w:val="000000"/>
                <w:sz w:val="20"/>
                <w:szCs w:val="20"/>
              </w:rPr>
            </w:pPr>
            <w:r>
              <w:rPr>
                <w:color w:val="000000"/>
                <w:sz w:val="20"/>
                <w:szCs w:val="20"/>
              </w:rPr>
              <w:t>0.630</w:t>
            </w:r>
          </w:p>
        </w:tc>
        <w:tc>
          <w:tcPr>
            <w:tcW w:w="768" w:type="dxa"/>
            <w:tcBorders>
              <w:top w:val="nil"/>
              <w:left w:val="nil"/>
              <w:bottom w:val="nil"/>
              <w:right w:val="nil"/>
            </w:tcBorders>
            <w:shd w:val="clear" w:color="auto" w:fill="auto"/>
            <w:noWrap/>
            <w:vAlign w:val="bottom"/>
            <w:hideMark/>
          </w:tcPr>
          <w:p w14:paraId="48ABC07D"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00457A7" w14:textId="77777777" w:rsidR="003F050F" w:rsidRDefault="003F050F"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1A345C9"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2FB8F8A1" w14:textId="77777777" w:rsidR="003F050F" w:rsidRDefault="003F050F" w:rsidP="005A3B4D">
            <w:pPr>
              <w:jc w:val="right"/>
              <w:rPr>
                <w:color w:val="000000"/>
                <w:sz w:val="20"/>
                <w:szCs w:val="20"/>
              </w:rPr>
            </w:pPr>
            <w:r>
              <w:rPr>
                <w:color w:val="000000"/>
                <w:sz w:val="20"/>
                <w:szCs w:val="20"/>
              </w:rPr>
              <w:t>0.001</w:t>
            </w:r>
          </w:p>
        </w:tc>
      </w:tr>
      <w:tr w:rsidR="003F050F" w14:paraId="44E881B2" w14:textId="77777777" w:rsidTr="005A3B4D">
        <w:trPr>
          <w:trHeight w:val="320"/>
        </w:trPr>
        <w:tc>
          <w:tcPr>
            <w:tcW w:w="1176" w:type="dxa"/>
            <w:tcBorders>
              <w:top w:val="nil"/>
              <w:left w:val="nil"/>
              <w:bottom w:val="nil"/>
              <w:right w:val="nil"/>
            </w:tcBorders>
            <w:shd w:val="clear" w:color="auto" w:fill="auto"/>
            <w:noWrap/>
            <w:vAlign w:val="bottom"/>
            <w:hideMark/>
          </w:tcPr>
          <w:p w14:paraId="00595BD6"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F24C408" w14:textId="77777777" w:rsidR="003F050F" w:rsidRDefault="003F050F"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08155F4" w14:textId="77777777" w:rsidR="003F050F" w:rsidRDefault="003F050F"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3CCB3AD9" w14:textId="77777777" w:rsidR="003F050F" w:rsidRDefault="003F050F" w:rsidP="005A3B4D">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5B9D5C10"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E1CBB9" w14:textId="77777777" w:rsidR="003F050F" w:rsidRDefault="003F050F"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77513FFC" w14:textId="77777777" w:rsidR="003F050F" w:rsidRDefault="003F050F" w:rsidP="005A3B4D">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0310A734"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0EB24B9" w14:textId="77777777" w:rsidR="003F050F" w:rsidRDefault="003F050F" w:rsidP="005A3B4D">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47EC94D7" w14:textId="77777777" w:rsidR="003F050F" w:rsidRDefault="003F050F" w:rsidP="005A3B4D">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5A16DF76"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3A87862A" w14:textId="77777777" w:rsidR="003F050F" w:rsidRDefault="003F050F"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C32B9FE"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41164314"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E182F35"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D7CF08"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022E4A64" w14:textId="77777777" w:rsidR="003F050F" w:rsidRDefault="003F050F" w:rsidP="005A3B4D">
            <w:pPr>
              <w:jc w:val="right"/>
              <w:rPr>
                <w:color w:val="000000"/>
                <w:sz w:val="20"/>
                <w:szCs w:val="20"/>
              </w:rPr>
            </w:pPr>
            <w:r>
              <w:rPr>
                <w:color w:val="000000"/>
                <w:sz w:val="20"/>
                <w:szCs w:val="20"/>
              </w:rPr>
              <w:t>0.000</w:t>
            </w:r>
          </w:p>
        </w:tc>
      </w:tr>
      <w:tr w:rsidR="003F050F" w14:paraId="240287D0" w14:textId="77777777" w:rsidTr="005A3B4D">
        <w:trPr>
          <w:trHeight w:val="320"/>
        </w:trPr>
        <w:tc>
          <w:tcPr>
            <w:tcW w:w="1176" w:type="dxa"/>
            <w:tcBorders>
              <w:top w:val="nil"/>
              <w:left w:val="nil"/>
              <w:bottom w:val="nil"/>
              <w:right w:val="nil"/>
            </w:tcBorders>
            <w:shd w:val="clear" w:color="auto" w:fill="auto"/>
            <w:noWrap/>
            <w:vAlign w:val="bottom"/>
            <w:hideMark/>
          </w:tcPr>
          <w:p w14:paraId="26C45951"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A34620" w14:textId="77777777" w:rsidR="003F050F" w:rsidRDefault="003F050F"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3C62153" w14:textId="77777777" w:rsidR="003F050F" w:rsidRDefault="003F050F"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12F955FB" w14:textId="77777777" w:rsidR="003F050F" w:rsidRDefault="003F050F" w:rsidP="005A3B4D">
            <w:pPr>
              <w:jc w:val="right"/>
              <w:rPr>
                <w:color w:val="000000"/>
                <w:sz w:val="20"/>
                <w:szCs w:val="20"/>
              </w:rPr>
            </w:pPr>
            <w:r>
              <w:rPr>
                <w:color w:val="000000"/>
                <w:sz w:val="20"/>
                <w:szCs w:val="20"/>
              </w:rPr>
              <w:t>0.800</w:t>
            </w:r>
          </w:p>
        </w:tc>
        <w:tc>
          <w:tcPr>
            <w:tcW w:w="768" w:type="dxa"/>
            <w:tcBorders>
              <w:top w:val="nil"/>
              <w:left w:val="nil"/>
              <w:bottom w:val="nil"/>
              <w:right w:val="nil"/>
            </w:tcBorders>
            <w:shd w:val="clear" w:color="auto" w:fill="auto"/>
            <w:noWrap/>
            <w:vAlign w:val="bottom"/>
            <w:hideMark/>
          </w:tcPr>
          <w:p w14:paraId="02643629"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97E6A4E" w14:textId="77777777" w:rsidR="003F050F" w:rsidRDefault="003F050F"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61C12101" w14:textId="77777777" w:rsidR="003F050F" w:rsidRDefault="003F050F" w:rsidP="005A3B4D">
            <w:pPr>
              <w:jc w:val="right"/>
              <w:rPr>
                <w:color w:val="000000"/>
                <w:sz w:val="20"/>
                <w:szCs w:val="20"/>
              </w:rPr>
            </w:pPr>
            <w:r>
              <w:rPr>
                <w:color w:val="000000"/>
                <w:sz w:val="20"/>
                <w:szCs w:val="20"/>
              </w:rPr>
              <w:t>0.733</w:t>
            </w:r>
          </w:p>
        </w:tc>
        <w:tc>
          <w:tcPr>
            <w:tcW w:w="768" w:type="dxa"/>
            <w:tcBorders>
              <w:top w:val="nil"/>
              <w:left w:val="nil"/>
              <w:bottom w:val="nil"/>
              <w:right w:val="nil"/>
            </w:tcBorders>
            <w:shd w:val="clear" w:color="auto" w:fill="auto"/>
            <w:noWrap/>
            <w:vAlign w:val="bottom"/>
            <w:hideMark/>
          </w:tcPr>
          <w:p w14:paraId="491C1F12"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E0CB1B" w14:textId="77777777" w:rsidR="003F050F" w:rsidRDefault="003F050F"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8DCB549" w14:textId="77777777" w:rsidR="003F050F" w:rsidRDefault="003F050F" w:rsidP="005A3B4D">
            <w:pPr>
              <w:jc w:val="right"/>
              <w:rPr>
                <w:color w:val="000000"/>
                <w:sz w:val="20"/>
                <w:szCs w:val="20"/>
              </w:rPr>
            </w:pPr>
            <w:r>
              <w:rPr>
                <w:color w:val="000000"/>
                <w:sz w:val="20"/>
                <w:szCs w:val="20"/>
              </w:rPr>
              <w:t>0.777</w:t>
            </w:r>
          </w:p>
        </w:tc>
        <w:tc>
          <w:tcPr>
            <w:tcW w:w="768" w:type="dxa"/>
            <w:tcBorders>
              <w:top w:val="nil"/>
              <w:left w:val="nil"/>
              <w:bottom w:val="nil"/>
              <w:right w:val="nil"/>
            </w:tcBorders>
            <w:shd w:val="clear" w:color="auto" w:fill="auto"/>
            <w:noWrap/>
            <w:vAlign w:val="bottom"/>
            <w:hideMark/>
          </w:tcPr>
          <w:p w14:paraId="16236945"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8A34EF" w14:textId="77777777" w:rsidR="003F050F" w:rsidRDefault="003F050F"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C1DAFDB" w14:textId="77777777" w:rsidR="003F050F" w:rsidRDefault="003F050F" w:rsidP="005A3B4D">
            <w:pPr>
              <w:jc w:val="right"/>
              <w:rPr>
                <w:color w:val="000000"/>
                <w:sz w:val="20"/>
                <w:szCs w:val="20"/>
              </w:rPr>
            </w:pPr>
            <w:r>
              <w:rPr>
                <w:color w:val="000000"/>
                <w:sz w:val="20"/>
                <w:szCs w:val="20"/>
              </w:rPr>
              <w:t>0.630</w:t>
            </w:r>
          </w:p>
        </w:tc>
        <w:tc>
          <w:tcPr>
            <w:tcW w:w="768" w:type="dxa"/>
            <w:tcBorders>
              <w:top w:val="nil"/>
              <w:left w:val="nil"/>
              <w:bottom w:val="nil"/>
              <w:right w:val="nil"/>
            </w:tcBorders>
            <w:shd w:val="clear" w:color="auto" w:fill="auto"/>
            <w:noWrap/>
            <w:vAlign w:val="bottom"/>
            <w:hideMark/>
          </w:tcPr>
          <w:p w14:paraId="59F04823"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20C4FE9" w14:textId="77777777" w:rsidR="003F050F" w:rsidRDefault="003F050F" w:rsidP="005A3B4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5D629EBF" w14:textId="77777777" w:rsidR="003F050F" w:rsidRDefault="003F050F"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2B70DE07" w14:textId="77777777" w:rsidR="003F050F" w:rsidRDefault="003F050F" w:rsidP="005A3B4D">
            <w:pPr>
              <w:jc w:val="right"/>
              <w:rPr>
                <w:color w:val="000000"/>
                <w:sz w:val="20"/>
                <w:szCs w:val="20"/>
              </w:rPr>
            </w:pPr>
            <w:r>
              <w:rPr>
                <w:color w:val="000000"/>
                <w:sz w:val="20"/>
                <w:szCs w:val="20"/>
              </w:rPr>
              <w:t>0.005</w:t>
            </w:r>
          </w:p>
        </w:tc>
      </w:tr>
      <w:tr w:rsidR="003F050F" w14:paraId="3851B92C"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1021052A" w14:textId="77777777" w:rsidR="003F050F" w:rsidRDefault="003F050F"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DCFE47D" w14:textId="77777777" w:rsidR="003F050F" w:rsidRDefault="003F050F"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0B7D6D26" w14:textId="77777777" w:rsidR="003F050F" w:rsidRDefault="003F050F" w:rsidP="005A3B4D">
            <w:pPr>
              <w:jc w:val="right"/>
              <w:rPr>
                <w:color w:val="000000"/>
                <w:sz w:val="20"/>
                <w:szCs w:val="20"/>
              </w:rPr>
            </w:pPr>
            <w:r>
              <w:rPr>
                <w:color w:val="000000"/>
                <w:sz w:val="20"/>
                <w:szCs w:val="20"/>
              </w:rPr>
              <w:t>0.143</w:t>
            </w:r>
          </w:p>
        </w:tc>
        <w:tc>
          <w:tcPr>
            <w:tcW w:w="768" w:type="dxa"/>
            <w:tcBorders>
              <w:top w:val="nil"/>
              <w:left w:val="nil"/>
              <w:bottom w:val="single" w:sz="4" w:space="0" w:color="auto"/>
              <w:right w:val="nil"/>
            </w:tcBorders>
            <w:shd w:val="clear" w:color="auto" w:fill="auto"/>
            <w:noWrap/>
            <w:vAlign w:val="bottom"/>
            <w:hideMark/>
          </w:tcPr>
          <w:p w14:paraId="65D10732"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single" w:sz="4" w:space="0" w:color="auto"/>
              <w:right w:val="nil"/>
            </w:tcBorders>
            <w:shd w:val="clear" w:color="auto" w:fill="auto"/>
            <w:noWrap/>
            <w:vAlign w:val="bottom"/>
            <w:hideMark/>
          </w:tcPr>
          <w:p w14:paraId="1F0DF271" w14:textId="77777777" w:rsidR="003F050F" w:rsidRDefault="003F050F" w:rsidP="005A3B4D">
            <w:pPr>
              <w:jc w:val="right"/>
              <w:rPr>
                <w:color w:val="000000"/>
                <w:sz w:val="20"/>
                <w:szCs w:val="20"/>
              </w:rPr>
            </w:pPr>
            <w:r>
              <w:rPr>
                <w:color w:val="000000"/>
                <w:sz w:val="20"/>
                <w:szCs w:val="20"/>
              </w:rPr>
              <w:t>0.020</w:t>
            </w:r>
          </w:p>
        </w:tc>
        <w:tc>
          <w:tcPr>
            <w:tcW w:w="768" w:type="dxa"/>
            <w:tcBorders>
              <w:top w:val="nil"/>
              <w:left w:val="nil"/>
              <w:bottom w:val="single" w:sz="4" w:space="0" w:color="auto"/>
              <w:right w:val="nil"/>
            </w:tcBorders>
            <w:shd w:val="clear" w:color="auto" w:fill="auto"/>
            <w:noWrap/>
            <w:vAlign w:val="bottom"/>
            <w:hideMark/>
          </w:tcPr>
          <w:p w14:paraId="751A9464" w14:textId="77777777" w:rsidR="003F050F" w:rsidRDefault="003F050F" w:rsidP="005A3B4D">
            <w:pPr>
              <w:jc w:val="right"/>
              <w:rPr>
                <w:color w:val="000000"/>
                <w:sz w:val="20"/>
                <w:szCs w:val="20"/>
              </w:rPr>
            </w:pPr>
            <w:r>
              <w:rPr>
                <w:color w:val="000000"/>
                <w:sz w:val="20"/>
                <w:szCs w:val="20"/>
              </w:rPr>
              <w:t>0.012</w:t>
            </w:r>
          </w:p>
        </w:tc>
        <w:tc>
          <w:tcPr>
            <w:tcW w:w="768" w:type="dxa"/>
            <w:tcBorders>
              <w:top w:val="nil"/>
              <w:left w:val="nil"/>
              <w:bottom w:val="single" w:sz="4" w:space="0" w:color="auto"/>
              <w:right w:val="nil"/>
            </w:tcBorders>
            <w:shd w:val="clear" w:color="auto" w:fill="auto"/>
            <w:noWrap/>
            <w:vAlign w:val="bottom"/>
            <w:hideMark/>
          </w:tcPr>
          <w:p w14:paraId="17BBBB23"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single" w:sz="4" w:space="0" w:color="auto"/>
              <w:right w:val="nil"/>
            </w:tcBorders>
            <w:shd w:val="clear" w:color="auto" w:fill="auto"/>
            <w:noWrap/>
            <w:vAlign w:val="bottom"/>
            <w:hideMark/>
          </w:tcPr>
          <w:p w14:paraId="1806FC78"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F103765"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0C2A198D" w14:textId="77777777" w:rsidR="003F050F" w:rsidRDefault="003F050F" w:rsidP="005A3B4D">
            <w:pPr>
              <w:jc w:val="right"/>
              <w:rPr>
                <w:color w:val="000000"/>
                <w:sz w:val="20"/>
                <w:szCs w:val="20"/>
              </w:rPr>
            </w:pPr>
            <w:r>
              <w:rPr>
                <w:color w:val="000000"/>
                <w:sz w:val="20"/>
                <w:szCs w:val="20"/>
              </w:rPr>
              <w:t>0.984</w:t>
            </w:r>
          </w:p>
        </w:tc>
        <w:tc>
          <w:tcPr>
            <w:tcW w:w="768" w:type="dxa"/>
            <w:tcBorders>
              <w:top w:val="nil"/>
              <w:left w:val="nil"/>
              <w:bottom w:val="single" w:sz="4" w:space="0" w:color="auto"/>
              <w:right w:val="nil"/>
            </w:tcBorders>
            <w:shd w:val="clear" w:color="auto" w:fill="auto"/>
            <w:noWrap/>
            <w:vAlign w:val="bottom"/>
            <w:hideMark/>
          </w:tcPr>
          <w:p w14:paraId="4622F35D"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5DF1904"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1ACF8D51"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single" w:sz="4" w:space="0" w:color="auto"/>
              <w:right w:val="nil"/>
            </w:tcBorders>
            <w:shd w:val="clear" w:color="auto" w:fill="auto"/>
            <w:noWrap/>
            <w:vAlign w:val="bottom"/>
            <w:hideMark/>
          </w:tcPr>
          <w:p w14:paraId="276D0E41"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DC8A570" w14:textId="77777777" w:rsidR="003F050F" w:rsidRDefault="003F050F" w:rsidP="005A3B4D">
            <w:pPr>
              <w:jc w:val="right"/>
              <w:rPr>
                <w:color w:val="000000"/>
                <w:sz w:val="20"/>
                <w:szCs w:val="20"/>
              </w:rPr>
            </w:pPr>
            <w:r>
              <w:rPr>
                <w:color w:val="000000"/>
                <w:sz w:val="20"/>
                <w:szCs w:val="20"/>
              </w:rPr>
              <w:t>0.075</w:t>
            </w:r>
          </w:p>
        </w:tc>
        <w:tc>
          <w:tcPr>
            <w:tcW w:w="768" w:type="dxa"/>
            <w:tcBorders>
              <w:top w:val="nil"/>
              <w:left w:val="nil"/>
              <w:bottom w:val="single" w:sz="4" w:space="0" w:color="auto"/>
              <w:right w:val="nil"/>
            </w:tcBorders>
            <w:shd w:val="clear" w:color="auto" w:fill="auto"/>
            <w:noWrap/>
            <w:vAlign w:val="bottom"/>
            <w:hideMark/>
          </w:tcPr>
          <w:p w14:paraId="357F7AA7"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single" w:sz="4" w:space="0" w:color="auto"/>
              <w:right w:val="nil"/>
            </w:tcBorders>
            <w:shd w:val="clear" w:color="auto" w:fill="auto"/>
            <w:noWrap/>
            <w:vAlign w:val="bottom"/>
            <w:hideMark/>
          </w:tcPr>
          <w:p w14:paraId="76911EA6" w14:textId="77777777" w:rsidR="003F050F" w:rsidRDefault="003F050F" w:rsidP="005A3B4D">
            <w:pPr>
              <w:jc w:val="right"/>
              <w:rPr>
                <w:color w:val="000000"/>
                <w:sz w:val="20"/>
                <w:szCs w:val="20"/>
              </w:rPr>
            </w:pPr>
            <w:r>
              <w:rPr>
                <w:color w:val="000000"/>
                <w:sz w:val="20"/>
                <w:szCs w:val="20"/>
              </w:rPr>
              <w:t>0.006</w:t>
            </w:r>
          </w:p>
        </w:tc>
      </w:tr>
      <w:tr w:rsidR="003F050F" w14:paraId="721EE7FD" w14:textId="77777777" w:rsidTr="005A3B4D">
        <w:trPr>
          <w:trHeight w:val="320"/>
        </w:trPr>
        <w:tc>
          <w:tcPr>
            <w:tcW w:w="1176" w:type="dxa"/>
            <w:tcBorders>
              <w:top w:val="nil"/>
              <w:left w:val="nil"/>
              <w:bottom w:val="nil"/>
              <w:right w:val="nil"/>
            </w:tcBorders>
            <w:shd w:val="clear" w:color="auto" w:fill="auto"/>
            <w:noWrap/>
            <w:vAlign w:val="bottom"/>
            <w:hideMark/>
          </w:tcPr>
          <w:p w14:paraId="323991FF" w14:textId="77777777" w:rsidR="003F050F" w:rsidRDefault="003F050F"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65A2A246" w14:textId="77777777" w:rsidR="003F050F" w:rsidRDefault="003F050F"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B3851F0" w14:textId="77777777" w:rsidR="003F050F" w:rsidRDefault="003F050F"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2AAC3D5B" w14:textId="77777777" w:rsidR="003F050F" w:rsidRDefault="003F050F" w:rsidP="005A3B4D">
            <w:pPr>
              <w:jc w:val="right"/>
              <w:rPr>
                <w:color w:val="000000"/>
                <w:sz w:val="20"/>
                <w:szCs w:val="20"/>
              </w:rPr>
            </w:pPr>
            <w:r>
              <w:rPr>
                <w:color w:val="000000"/>
                <w:sz w:val="20"/>
                <w:szCs w:val="20"/>
              </w:rPr>
              <w:t>0.367</w:t>
            </w:r>
          </w:p>
        </w:tc>
        <w:tc>
          <w:tcPr>
            <w:tcW w:w="768" w:type="dxa"/>
            <w:tcBorders>
              <w:top w:val="nil"/>
              <w:left w:val="nil"/>
              <w:bottom w:val="nil"/>
              <w:right w:val="nil"/>
            </w:tcBorders>
            <w:shd w:val="clear" w:color="auto" w:fill="auto"/>
            <w:noWrap/>
            <w:vAlign w:val="bottom"/>
            <w:hideMark/>
          </w:tcPr>
          <w:p w14:paraId="2CBA8561"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A9BB25C" w14:textId="77777777" w:rsidR="003F050F" w:rsidRDefault="003F050F"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121617EA" w14:textId="77777777" w:rsidR="003F050F" w:rsidRDefault="003F050F" w:rsidP="005A3B4D">
            <w:pPr>
              <w:jc w:val="right"/>
              <w:rPr>
                <w:color w:val="000000"/>
                <w:sz w:val="20"/>
                <w:szCs w:val="20"/>
              </w:rPr>
            </w:pPr>
            <w:r>
              <w:rPr>
                <w:color w:val="000000"/>
                <w:sz w:val="20"/>
                <w:szCs w:val="20"/>
              </w:rPr>
              <w:t>0.666</w:t>
            </w:r>
          </w:p>
        </w:tc>
        <w:tc>
          <w:tcPr>
            <w:tcW w:w="768" w:type="dxa"/>
            <w:tcBorders>
              <w:top w:val="nil"/>
              <w:left w:val="nil"/>
              <w:bottom w:val="nil"/>
              <w:right w:val="nil"/>
            </w:tcBorders>
            <w:shd w:val="clear" w:color="auto" w:fill="auto"/>
            <w:noWrap/>
            <w:vAlign w:val="bottom"/>
            <w:hideMark/>
          </w:tcPr>
          <w:p w14:paraId="74A03117"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0882B54" w14:textId="77777777" w:rsidR="003F050F" w:rsidRDefault="003F050F"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2F3059D" w14:textId="77777777" w:rsidR="003F050F" w:rsidRDefault="003F050F" w:rsidP="005A3B4D">
            <w:pPr>
              <w:jc w:val="right"/>
              <w:rPr>
                <w:color w:val="000000"/>
                <w:sz w:val="20"/>
                <w:szCs w:val="20"/>
              </w:rPr>
            </w:pPr>
            <w:r>
              <w:rPr>
                <w:color w:val="000000"/>
                <w:sz w:val="20"/>
                <w:szCs w:val="20"/>
              </w:rPr>
              <w:t>0.817</w:t>
            </w:r>
          </w:p>
        </w:tc>
        <w:tc>
          <w:tcPr>
            <w:tcW w:w="768" w:type="dxa"/>
            <w:tcBorders>
              <w:top w:val="nil"/>
              <w:left w:val="nil"/>
              <w:bottom w:val="nil"/>
              <w:right w:val="nil"/>
            </w:tcBorders>
            <w:shd w:val="clear" w:color="auto" w:fill="auto"/>
            <w:noWrap/>
            <w:vAlign w:val="bottom"/>
            <w:hideMark/>
          </w:tcPr>
          <w:p w14:paraId="002B388C"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25048A" w14:textId="77777777" w:rsidR="003F050F" w:rsidRDefault="003F050F" w:rsidP="005A3B4D">
            <w:pPr>
              <w:jc w:val="right"/>
              <w:rPr>
                <w:b/>
                <w:bCs/>
                <w:color w:val="000000"/>
                <w:sz w:val="20"/>
                <w:szCs w:val="20"/>
              </w:rPr>
            </w:pPr>
            <w:r>
              <w:rPr>
                <w:b/>
                <w:bCs/>
                <w:color w:val="000000"/>
                <w:sz w:val="20"/>
                <w:szCs w:val="20"/>
              </w:rPr>
              <w:t>-0.077</w:t>
            </w:r>
          </w:p>
        </w:tc>
        <w:tc>
          <w:tcPr>
            <w:tcW w:w="768" w:type="dxa"/>
            <w:tcBorders>
              <w:top w:val="nil"/>
              <w:left w:val="nil"/>
              <w:bottom w:val="nil"/>
              <w:right w:val="nil"/>
            </w:tcBorders>
            <w:shd w:val="clear" w:color="auto" w:fill="auto"/>
            <w:noWrap/>
            <w:vAlign w:val="bottom"/>
            <w:hideMark/>
          </w:tcPr>
          <w:p w14:paraId="482BE605" w14:textId="77777777" w:rsidR="003F050F" w:rsidRDefault="003F050F" w:rsidP="005A3B4D">
            <w:pPr>
              <w:jc w:val="right"/>
              <w:rPr>
                <w:b/>
                <w:bCs/>
                <w:color w:val="000000"/>
                <w:sz w:val="20"/>
                <w:szCs w:val="20"/>
              </w:rPr>
            </w:pPr>
            <w:r>
              <w:rPr>
                <w:b/>
                <w:bCs/>
                <w:color w:val="000000"/>
                <w:sz w:val="20"/>
                <w:szCs w:val="20"/>
              </w:rPr>
              <w:t>0.032</w:t>
            </w:r>
          </w:p>
        </w:tc>
        <w:tc>
          <w:tcPr>
            <w:tcW w:w="768" w:type="dxa"/>
            <w:tcBorders>
              <w:top w:val="nil"/>
              <w:left w:val="nil"/>
              <w:bottom w:val="nil"/>
              <w:right w:val="nil"/>
            </w:tcBorders>
            <w:shd w:val="clear" w:color="auto" w:fill="auto"/>
            <w:noWrap/>
            <w:vAlign w:val="bottom"/>
            <w:hideMark/>
          </w:tcPr>
          <w:p w14:paraId="57242563" w14:textId="77777777" w:rsidR="003F050F" w:rsidRDefault="003F050F" w:rsidP="005A3B4D">
            <w:pPr>
              <w:jc w:val="right"/>
              <w:rPr>
                <w:b/>
                <w:bCs/>
                <w:color w:val="000000"/>
                <w:sz w:val="20"/>
                <w:szCs w:val="20"/>
              </w:rPr>
            </w:pPr>
            <w:r>
              <w:rPr>
                <w:b/>
                <w:bCs/>
                <w:color w:val="000000"/>
                <w:sz w:val="20"/>
                <w:szCs w:val="20"/>
              </w:rPr>
              <w:t>0.006</w:t>
            </w:r>
          </w:p>
        </w:tc>
        <w:tc>
          <w:tcPr>
            <w:tcW w:w="768" w:type="dxa"/>
            <w:tcBorders>
              <w:top w:val="nil"/>
              <w:left w:val="nil"/>
              <w:bottom w:val="nil"/>
              <w:right w:val="nil"/>
            </w:tcBorders>
            <w:shd w:val="clear" w:color="auto" w:fill="auto"/>
            <w:noWrap/>
            <w:vAlign w:val="bottom"/>
            <w:hideMark/>
          </w:tcPr>
          <w:p w14:paraId="20BB35A3" w14:textId="77777777" w:rsidR="003F050F" w:rsidRDefault="003F050F"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9056C8E" w14:textId="77777777" w:rsidR="003F050F" w:rsidRDefault="003F050F" w:rsidP="005A3B4D">
            <w:pPr>
              <w:jc w:val="right"/>
              <w:rPr>
                <w:color w:val="000000"/>
                <w:sz w:val="20"/>
                <w:szCs w:val="20"/>
              </w:rPr>
            </w:pPr>
            <w:r>
              <w:rPr>
                <w:color w:val="000000"/>
                <w:sz w:val="20"/>
                <w:szCs w:val="20"/>
              </w:rPr>
              <w:t>0.893</w:t>
            </w:r>
          </w:p>
        </w:tc>
        <w:tc>
          <w:tcPr>
            <w:tcW w:w="768" w:type="dxa"/>
            <w:tcBorders>
              <w:top w:val="nil"/>
              <w:left w:val="nil"/>
              <w:bottom w:val="nil"/>
              <w:right w:val="nil"/>
            </w:tcBorders>
            <w:shd w:val="clear" w:color="auto" w:fill="auto"/>
            <w:noWrap/>
            <w:vAlign w:val="bottom"/>
            <w:hideMark/>
          </w:tcPr>
          <w:p w14:paraId="70226238" w14:textId="77777777" w:rsidR="003F050F" w:rsidRDefault="003F050F" w:rsidP="005A3B4D">
            <w:pPr>
              <w:jc w:val="right"/>
              <w:rPr>
                <w:color w:val="000000"/>
                <w:sz w:val="20"/>
                <w:szCs w:val="20"/>
              </w:rPr>
            </w:pPr>
            <w:r>
              <w:rPr>
                <w:color w:val="000000"/>
                <w:sz w:val="20"/>
                <w:szCs w:val="20"/>
              </w:rPr>
              <w:t>0.000</w:t>
            </w:r>
          </w:p>
        </w:tc>
      </w:tr>
      <w:tr w:rsidR="003F050F" w14:paraId="51F921A7" w14:textId="77777777" w:rsidTr="005A3B4D">
        <w:trPr>
          <w:trHeight w:val="320"/>
        </w:trPr>
        <w:tc>
          <w:tcPr>
            <w:tcW w:w="1176" w:type="dxa"/>
            <w:tcBorders>
              <w:top w:val="nil"/>
              <w:left w:val="nil"/>
              <w:bottom w:val="nil"/>
              <w:right w:val="nil"/>
            </w:tcBorders>
            <w:shd w:val="clear" w:color="auto" w:fill="auto"/>
            <w:noWrap/>
            <w:vAlign w:val="bottom"/>
            <w:hideMark/>
          </w:tcPr>
          <w:p w14:paraId="26B6D99C"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C70386" w14:textId="77777777" w:rsidR="003F050F" w:rsidRDefault="003F050F"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0DEFAF5" w14:textId="77777777" w:rsidR="003F050F" w:rsidRDefault="003F050F"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254E433A" w14:textId="77777777" w:rsidR="003F050F" w:rsidRDefault="003F050F" w:rsidP="005A3B4D">
            <w:pPr>
              <w:jc w:val="right"/>
              <w:rPr>
                <w:color w:val="000000"/>
                <w:sz w:val="20"/>
                <w:szCs w:val="20"/>
              </w:rPr>
            </w:pPr>
            <w:r>
              <w:rPr>
                <w:color w:val="000000"/>
                <w:sz w:val="20"/>
                <w:szCs w:val="20"/>
              </w:rPr>
              <w:t>0.367</w:t>
            </w:r>
          </w:p>
        </w:tc>
        <w:tc>
          <w:tcPr>
            <w:tcW w:w="768" w:type="dxa"/>
            <w:tcBorders>
              <w:top w:val="nil"/>
              <w:left w:val="nil"/>
              <w:bottom w:val="nil"/>
              <w:right w:val="nil"/>
            </w:tcBorders>
            <w:shd w:val="clear" w:color="auto" w:fill="auto"/>
            <w:noWrap/>
            <w:vAlign w:val="bottom"/>
            <w:hideMark/>
          </w:tcPr>
          <w:p w14:paraId="4675C0B7"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E6F129C" w14:textId="77777777" w:rsidR="003F050F" w:rsidRDefault="003F050F" w:rsidP="005A3B4D">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7629B440" w14:textId="77777777" w:rsidR="003F050F" w:rsidRDefault="003F050F" w:rsidP="005A3B4D">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38F4E353"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25C1CC88" w14:textId="77777777" w:rsidR="003F050F" w:rsidRDefault="003F050F"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16D04E08" w14:textId="77777777" w:rsidR="003F050F" w:rsidRDefault="003F050F" w:rsidP="005A3B4D">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504E4D77"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6FEAFC9" w14:textId="77777777" w:rsidR="003F050F" w:rsidRDefault="003F050F"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53AA9EE4" w14:textId="77777777" w:rsidR="003F050F" w:rsidRDefault="003F050F"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539E67BE"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EFED8D5" w14:textId="77777777" w:rsidR="003F050F" w:rsidRDefault="003F050F"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11D16A67" w14:textId="77777777" w:rsidR="003F050F" w:rsidRDefault="003F050F" w:rsidP="005A3B4D">
            <w:pPr>
              <w:jc w:val="right"/>
              <w:rPr>
                <w:color w:val="000000"/>
                <w:sz w:val="20"/>
                <w:szCs w:val="20"/>
              </w:rPr>
            </w:pPr>
            <w:r>
              <w:rPr>
                <w:color w:val="000000"/>
                <w:sz w:val="20"/>
                <w:szCs w:val="20"/>
              </w:rPr>
              <w:t>0.893</w:t>
            </w:r>
          </w:p>
        </w:tc>
        <w:tc>
          <w:tcPr>
            <w:tcW w:w="768" w:type="dxa"/>
            <w:tcBorders>
              <w:top w:val="nil"/>
              <w:left w:val="nil"/>
              <w:bottom w:val="nil"/>
              <w:right w:val="nil"/>
            </w:tcBorders>
            <w:shd w:val="clear" w:color="auto" w:fill="auto"/>
            <w:noWrap/>
            <w:vAlign w:val="bottom"/>
            <w:hideMark/>
          </w:tcPr>
          <w:p w14:paraId="29EBB12F" w14:textId="77777777" w:rsidR="003F050F" w:rsidRDefault="003F050F" w:rsidP="005A3B4D">
            <w:pPr>
              <w:jc w:val="right"/>
              <w:rPr>
                <w:color w:val="000000"/>
                <w:sz w:val="20"/>
                <w:szCs w:val="20"/>
              </w:rPr>
            </w:pPr>
            <w:r>
              <w:rPr>
                <w:color w:val="000000"/>
                <w:sz w:val="20"/>
                <w:szCs w:val="20"/>
              </w:rPr>
              <w:t>0.000</w:t>
            </w:r>
          </w:p>
        </w:tc>
      </w:tr>
      <w:tr w:rsidR="003F050F" w14:paraId="2F13248E" w14:textId="77777777" w:rsidTr="005A3B4D">
        <w:trPr>
          <w:trHeight w:val="320"/>
        </w:trPr>
        <w:tc>
          <w:tcPr>
            <w:tcW w:w="1176" w:type="dxa"/>
            <w:tcBorders>
              <w:top w:val="nil"/>
              <w:left w:val="nil"/>
              <w:bottom w:val="nil"/>
              <w:right w:val="nil"/>
            </w:tcBorders>
            <w:shd w:val="clear" w:color="auto" w:fill="auto"/>
            <w:noWrap/>
            <w:vAlign w:val="bottom"/>
            <w:hideMark/>
          </w:tcPr>
          <w:p w14:paraId="5D8CEBBE"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23CBD55" w14:textId="77777777" w:rsidR="003F050F" w:rsidRDefault="003F050F"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F38092B" w14:textId="77777777" w:rsidR="003F050F" w:rsidRDefault="003F050F" w:rsidP="005A3B4D">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53C4A5AB" w14:textId="77777777" w:rsidR="003F050F" w:rsidRDefault="003F050F" w:rsidP="005A3B4D">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3A146305" w14:textId="77777777" w:rsidR="003F050F" w:rsidRDefault="003F050F"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B277EC0" w14:textId="77777777" w:rsidR="003F050F" w:rsidRDefault="003F050F"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5364D9C" w14:textId="77777777" w:rsidR="003F050F" w:rsidRDefault="003F050F" w:rsidP="005A3B4D">
            <w:pPr>
              <w:jc w:val="right"/>
              <w:rPr>
                <w:color w:val="000000"/>
                <w:sz w:val="20"/>
                <w:szCs w:val="20"/>
              </w:rPr>
            </w:pPr>
            <w:r>
              <w:rPr>
                <w:color w:val="000000"/>
                <w:sz w:val="20"/>
                <w:szCs w:val="20"/>
              </w:rPr>
              <w:t>0.836</w:t>
            </w:r>
          </w:p>
        </w:tc>
        <w:tc>
          <w:tcPr>
            <w:tcW w:w="768" w:type="dxa"/>
            <w:tcBorders>
              <w:top w:val="nil"/>
              <w:left w:val="nil"/>
              <w:bottom w:val="nil"/>
              <w:right w:val="nil"/>
            </w:tcBorders>
            <w:shd w:val="clear" w:color="auto" w:fill="auto"/>
            <w:noWrap/>
            <w:vAlign w:val="bottom"/>
            <w:hideMark/>
          </w:tcPr>
          <w:p w14:paraId="3F4C4CE9"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2F6E91" w14:textId="77777777" w:rsidR="003F050F" w:rsidRDefault="003F050F"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FB1AE68" w14:textId="77777777" w:rsidR="003F050F" w:rsidRDefault="003F050F" w:rsidP="005A3B4D">
            <w:pPr>
              <w:jc w:val="right"/>
              <w:rPr>
                <w:color w:val="000000"/>
                <w:sz w:val="20"/>
                <w:szCs w:val="20"/>
              </w:rPr>
            </w:pPr>
            <w:r>
              <w:rPr>
                <w:color w:val="000000"/>
                <w:sz w:val="20"/>
                <w:szCs w:val="20"/>
              </w:rPr>
              <w:t>0.817</w:t>
            </w:r>
          </w:p>
        </w:tc>
        <w:tc>
          <w:tcPr>
            <w:tcW w:w="768" w:type="dxa"/>
            <w:tcBorders>
              <w:top w:val="nil"/>
              <w:left w:val="nil"/>
              <w:bottom w:val="nil"/>
              <w:right w:val="nil"/>
            </w:tcBorders>
            <w:shd w:val="clear" w:color="auto" w:fill="auto"/>
            <w:noWrap/>
            <w:vAlign w:val="bottom"/>
            <w:hideMark/>
          </w:tcPr>
          <w:p w14:paraId="6E7C9DD3"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BFA3E2" w14:textId="77777777" w:rsidR="003F050F" w:rsidRDefault="003F050F"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BFEF53B" w14:textId="77777777" w:rsidR="003F050F" w:rsidRDefault="003F050F"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7F12DA5B"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4FD411" w14:textId="77777777" w:rsidR="003F050F" w:rsidRDefault="003F050F"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3E873F28" w14:textId="77777777" w:rsidR="003F050F" w:rsidRDefault="003F050F" w:rsidP="005A3B4D">
            <w:pPr>
              <w:jc w:val="right"/>
              <w:rPr>
                <w:color w:val="000000"/>
                <w:sz w:val="20"/>
                <w:szCs w:val="20"/>
              </w:rPr>
            </w:pPr>
            <w:r>
              <w:rPr>
                <w:color w:val="000000"/>
                <w:sz w:val="20"/>
                <w:szCs w:val="20"/>
              </w:rPr>
              <w:t>0.786</w:t>
            </w:r>
          </w:p>
        </w:tc>
        <w:tc>
          <w:tcPr>
            <w:tcW w:w="768" w:type="dxa"/>
            <w:tcBorders>
              <w:top w:val="nil"/>
              <w:left w:val="nil"/>
              <w:bottom w:val="nil"/>
              <w:right w:val="nil"/>
            </w:tcBorders>
            <w:shd w:val="clear" w:color="auto" w:fill="auto"/>
            <w:noWrap/>
            <w:vAlign w:val="bottom"/>
            <w:hideMark/>
          </w:tcPr>
          <w:p w14:paraId="658EB719" w14:textId="77777777" w:rsidR="003F050F" w:rsidRDefault="003F050F" w:rsidP="005A3B4D">
            <w:pPr>
              <w:jc w:val="right"/>
              <w:rPr>
                <w:color w:val="000000"/>
                <w:sz w:val="20"/>
                <w:szCs w:val="20"/>
              </w:rPr>
            </w:pPr>
            <w:r>
              <w:rPr>
                <w:color w:val="000000"/>
                <w:sz w:val="20"/>
                <w:szCs w:val="20"/>
              </w:rPr>
              <w:t>0.002</w:t>
            </w:r>
          </w:p>
        </w:tc>
      </w:tr>
      <w:tr w:rsidR="003F050F" w14:paraId="26B7D494" w14:textId="77777777" w:rsidTr="005A3B4D">
        <w:trPr>
          <w:trHeight w:val="320"/>
        </w:trPr>
        <w:tc>
          <w:tcPr>
            <w:tcW w:w="1176" w:type="dxa"/>
            <w:tcBorders>
              <w:top w:val="nil"/>
              <w:left w:val="nil"/>
              <w:bottom w:val="nil"/>
              <w:right w:val="nil"/>
            </w:tcBorders>
            <w:shd w:val="clear" w:color="auto" w:fill="auto"/>
            <w:noWrap/>
            <w:vAlign w:val="bottom"/>
            <w:hideMark/>
          </w:tcPr>
          <w:p w14:paraId="0C6E39B3"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BA840E5" w14:textId="77777777" w:rsidR="003F050F" w:rsidRDefault="003F050F"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0CE8C3A" w14:textId="77777777" w:rsidR="003F050F" w:rsidRDefault="003F050F"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EE64A71" w14:textId="77777777" w:rsidR="003F050F" w:rsidRDefault="003F050F" w:rsidP="005A3B4D">
            <w:pPr>
              <w:jc w:val="right"/>
              <w:rPr>
                <w:color w:val="000000"/>
                <w:sz w:val="20"/>
                <w:szCs w:val="20"/>
              </w:rPr>
            </w:pPr>
            <w:r>
              <w:rPr>
                <w:color w:val="000000"/>
                <w:sz w:val="20"/>
                <w:szCs w:val="20"/>
              </w:rPr>
              <w:t>0.903</w:t>
            </w:r>
          </w:p>
        </w:tc>
        <w:tc>
          <w:tcPr>
            <w:tcW w:w="768" w:type="dxa"/>
            <w:tcBorders>
              <w:top w:val="nil"/>
              <w:left w:val="nil"/>
              <w:bottom w:val="nil"/>
              <w:right w:val="nil"/>
            </w:tcBorders>
            <w:shd w:val="clear" w:color="auto" w:fill="auto"/>
            <w:noWrap/>
            <w:vAlign w:val="bottom"/>
            <w:hideMark/>
          </w:tcPr>
          <w:p w14:paraId="33C27B76"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7073BDD" w14:textId="77777777" w:rsidR="003F050F" w:rsidRDefault="003F050F" w:rsidP="005A3B4D">
            <w:pPr>
              <w:jc w:val="right"/>
              <w:rPr>
                <w:color w:val="000000"/>
                <w:sz w:val="20"/>
                <w:szCs w:val="20"/>
              </w:rPr>
            </w:pPr>
            <w:r>
              <w:rPr>
                <w:color w:val="000000"/>
                <w:sz w:val="20"/>
                <w:szCs w:val="20"/>
              </w:rPr>
              <w:t>-0.074</w:t>
            </w:r>
          </w:p>
        </w:tc>
        <w:tc>
          <w:tcPr>
            <w:tcW w:w="768" w:type="dxa"/>
            <w:tcBorders>
              <w:top w:val="nil"/>
              <w:left w:val="nil"/>
              <w:bottom w:val="nil"/>
              <w:right w:val="nil"/>
            </w:tcBorders>
            <w:shd w:val="clear" w:color="auto" w:fill="auto"/>
            <w:noWrap/>
            <w:vAlign w:val="bottom"/>
            <w:hideMark/>
          </w:tcPr>
          <w:p w14:paraId="7B90753F" w14:textId="77777777" w:rsidR="003F050F" w:rsidRDefault="003F050F" w:rsidP="005A3B4D">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6FEEDFE1"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A0FAD74" w14:textId="77777777" w:rsidR="003F050F" w:rsidRDefault="003F050F"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67E1894" w14:textId="77777777" w:rsidR="003F050F" w:rsidRDefault="003F050F" w:rsidP="005A3B4D">
            <w:pPr>
              <w:jc w:val="right"/>
              <w:rPr>
                <w:color w:val="000000"/>
                <w:sz w:val="20"/>
                <w:szCs w:val="20"/>
              </w:rPr>
            </w:pPr>
            <w:r>
              <w:rPr>
                <w:color w:val="000000"/>
                <w:sz w:val="20"/>
                <w:szCs w:val="20"/>
              </w:rPr>
              <w:t>0.817</w:t>
            </w:r>
          </w:p>
        </w:tc>
        <w:tc>
          <w:tcPr>
            <w:tcW w:w="768" w:type="dxa"/>
            <w:tcBorders>
              <w:top w:val="nil"/>
              <w:left w:val="nil"/>
              <w:bottom w:val="nil"/>
              <w:right w:val="nil"/>
            </w:tcBorders>
            <w:shd w:val="clear" w:color="auto" w:fill="auto"/>
            <w:noWrap/>
            <w:vAlign w:val="bottom"/>
            <w:hideMark/>
          </w:tcPr>
          <w:p w14:paraId="2E81ACA6"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C92FB3"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437C63D" w14:textId="77777777" w:rsidR="003F050F" w:rsidRDefault="003F050F"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0ABCCE55"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4440E3" w14:textId="77777777" w:rsidR="003F050F" w:rsidRDefault="003F050F" w:rsidP="005A3B4D">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3D7A0C2C" w14:textId="77777777" w:rsidR="003F050F" w:rsidRDefault="003F050F" w:rsidP="005A3B4D">
            <w:pPr>
              <w:jc w:val="right"/>
              <w:rPr>
                <w:color w:val="000000"/>
                <w:sz w:val="20"/>
                <w:szCs w:val="20"/>
              </w:rPr>
            </w:pPr>
            <w:r>
              <w:rPr>
                <w:color w:val="000000"/>
                <w:sz w:val="20"/>
                <w:szCs w:val="20"/>
              </w:rPr>
              <w:t>0.786</w:t>
            </w:r>
          </w:p>
        </w:tc>
        <w:tc>
          <w:tcPr>
            <w:tcW w:w="768" w:type="dxa"/>
            <w:tcBorders>
              <w:top w:val="nil"/>
              <w:left w:val="nil"/>
              <w:bottom w:val="nil"/>
              <w:right w:val="nil"/>
            </w:tcBorders>
            <w:shd w:val="clear" w:color="auto" w:fill="auto"/>
            <w:noWrap/>
            <w:vAlign w:val="bottom"/>
            <w:hideMark/>
          </w:tcPr>
          <w:p w14:paraId="0E31C74F" w14:textId="77777777" w:rsidR="003F050F" w:rsidRDefault="003F050F" w:rsidP="005A3B4D">
            <w:pPr>
              <w:jc w:val="right"/>
              <w:rPr>
                <w:color w:val="000000"/>
                <w:sz w:val="20"/>
                <w:szCs w:val="20"/>
              </w:rPr>
            </w:pPr>
            <w:r>
              <w:rPr>
                <w:color w:val="000000"/>
                <w:sz w:val="20"/>
                <w:szCs w:val="20"/>
              </w:rPr>
              <w:t>0.004</w:t>
            </w:r>
          </w:p>
        </w:tc>
      </w:tr>
      <w:tr w:rsidR="003F050F" w14:paraId="6E5DFF0F" w14:textId="77777777" w:rsidTr="005A3B4D">
        <w:trPr>
          <w:trHeight w:val="320"/>
        </w:trPr>
        <w:tc>
          <w:tcPr>
            <w:tcW w:w="1176" w:type="dxa"/>
            <w:tcBorders>
              <w:top w:val="nil"/>
              <w:left w:val="nil"/>
              <w:bottom w:val="nil"/>
              <w:right w:val="nil"/>
            </w:tcBorders>
            <w:shd w:val="clear" w:color="auto" w:fill="auto"/>
            <w:noWrap/>
            <w:vAlign w:val="bottom"/>
            <w:hideMark/>
          </w:tcPr>
          <w:p w14:paraId="7562F20D"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FECD714" w14:textId="77777777" w:rsidR="003F050F" w:rsidRDefault="003F050F"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C040BEE" w14:textId="77777777" w:rsidR="003F050F" w:rsidRDefault="003F050F" w:rsidP="005A3B4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724A986D" w14:textId="77777777" w:rsidR="003F050F" w:rsidRDefault="003F050F" w:rsidP="005A3B4D">
            <w:pPr>
              <w:jc w:val="right"/>
              <w:rPr>
                <w:color w:val="000000"/>
                <w:sz w:val="20"/>
                <w:szCs w:val="20"/>
              </w:rPr>
            </w:pPr>
            <w:r>
              <w:rPr>
                <w:color w:val="000000"/>
                <w:sz w:val="20"/>
                <w:szCs w:val="20"/>
              </w:rPr>
              <w:t>0.212</w:t>
            </w:r>
          </w:p>
        </w:tc>
        <w:tc>
          <w:tcPr>
            <w:tcW w:w="768" w:type="dxa"/>
            <w:tcBorders>
              <w:top w:val="nil"/>
              <w:left w:val="nil"/>
              <w:bottom w:val="nil"/>
              <w:right w:val="nil"/>
            </w:tcBorders>
            <w:shd w:val="clear" w:color="auto" w:fill="auto"/>
            <w:noWrap/>
            <w:vAlign w:val="bottom"/>
            <w:hideMark/>
          </w:tcPr>
          <w:p w14:paraId="32C68E40"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64C0273"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D06970C" w14:textId="77777777" w:rsidR="003F050F" w:rsidRDefault="003F050F"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70DD73B5"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ACEA79" w14:textId="77777777" w:rsidR="003F050F" w:rsidRDefault="003F050F"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6AC30BF" w14:textId="77777777" w:rsidR="003F050F" w:rsidRDefault="003F050F"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26D6F4EB"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7E9392" w14:textId="77777777" w:rsidR="003F050F" w:rsidRDefault="003F050F"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5F0045B" w14:textId="77777777" w:rsidR="003F050F" w:rsidRDefault="003F050F"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73E3F95D"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BE24A9E"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3553D2F" w14:textId="77777777" w:rsidR="003F050F" w:rsidRDefault="003F050F" w:rsidP="005A3B4D">
            <w:pPr>
              <w:jc w:val="right"/>
              <w:rPr>
                <w:color w:val="000000"/>
                <w:sz w:val="20"/>
                <w:szCs w:val="20"/>
              </w:rPr>
            </w:pPr>
            <w:r>
              <w:rPr>
                <w:color w:val="000000"/>
                <w:sz w:val="20"/>
                <w:szCs w:val="20"/>
              </w:rPr>
              <w:t>0.897</w:t>
            </w:r>
          </w:p>
        </w:tc>
        <w:tc>
          <w:tcPr>
            <w:tcW w:w="768" w:type="dxa"/>
            <w:tcBorders>
              <w:top w:val="nil"/>
              <w:left w:val="nil"/>
              <w:bottom w:val="nil"/>
              <w:right w:val="nil"/>
            </w:tcBorders>
            <w:shd w:val="clear" w:color="auto" w:fill="auto"/>
            <w:noWrap/>
            <w:vAlign w:val="bottom"/>
            <w:hideMark/>
          </w:tcPr>
          <w:p w14:paraId="7818E6DF" w14:textId="77777777" w:rsidR="003F050F" w:rsidRDefault="003F050F" w:rsidP="005A3B4D">
            <w:pPr>
              <w:jc w:val="right"/>
              <w:rPr>
                <w:color w:val="000000"/>
                <w:sz w:val="20"/>
                <w:szCs w:val="20"/>
              </w:rPr>
            </w:pPr>
            <w:r>
              <w:rPr>
                <w:color w:val="000000"/>
                <w:sz w:val="20"/>
                <w:szCs w:val="20"/>
              </w:rPr>
              <w:t>0.000</w:t>
            </w:r>
          </w:p>
        </w:tc>
      </w:tr>
      <w:tr w:rsidR="003F050F" w14:paraId="6C1261F4" w14:textId="77777777" w:rsidTr="005A3B4D">
        <w:trPr>
          <w:trHeight w:val="320"/>
        </w:trPr>
        <w:tc>
          <w:tcPr>
            <w:tcW w:w="1176" w:type="dxa"/>
            <w:tcBorders>
              <w:top w:val="nil"/>
              <w:left w:val="nil"/>
              <w:bottom w:val="nil"/>
              <w:right w:val="nil"/>
            </w:tcBorders>
            <w:shd w:val="clear" w:color="auto" w:fill="auto"/>
            <w:noWrap/>
            <w:vAlign w:val="bottom"/>
            <w:hideMark/>
          </w:tcPr>
          <w:p w14:paraId="270ED192"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8A8FE6" w14:textId="77777777" w:rsidR="003F050F" w:rsidRDefault="003F050F"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4BF5DCC" w14:textId="77777777" w:rsidR="003F050F" w:rsidRDefault="003F050F"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C7E1CAC" w14:textId="77777777" w:rsidR="003F050F" w:rsidRDefault="003F050F" w:rsidP="005A3B4D">
            <w:pPr>
              <w:jc w:val="right"/>
              <w:rPr>
                <w:color w:val="000000"/>
                <w:sz w:val="20"/>
                <w:szCs w:val="20"/>
              </w:rPr>
            </w:pPr>
            <w:r>
              <w:rPr>
                <w:color w:val="000000"/>
                <w:sz w:val="20"/>
                <w:szCs w:val="20"/>
              </w:rPr>
              <w:t>0.367</w:t>
            </w:r>
          </w:p>
        </w:tc>
        <w:tc>
          <w:tcPr>
            <w:tcW w:w="768" w:type="dxa"/>
            <w:tcBorders>
              <w:top w:val="nil"/>
              <w:left w:val="nil"/>
              <w:bottom w:val="nil"/>
              <w:right w:val="nil"/>
            </w:tcBorders>
            <w:shd w:val="clear" w:color="auto" w:fill="auto"/>
            <w:noWrap/>
            <w:vAlign w:val="bottom"/>
            <w:hideMark/>
          </w:tcPr>
          <w:p w14:paraId="6D1EC9D9"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328217" w14:textId="77777777" w:rsidR="003F050F" w:rsidRDefault="003F050F"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9B59ABA" w14:textId="77777777" w:rsidR="003F050F" w:rsidRDefault="003F050F" w:rsidP="005A3B4D">
            <w:pPr>
              <w:jc w:val="right"/>
              <w:rPr>
                <w:color w:val="000000"/>
                <w:sz w:val="20"/>
                <w:szCs w:val="20"/>
              </w:rPr>
            </w:pPr>
            <w:r>
              <w:rPr>
                <w:color w:val="000000"/>
                <w:sz w:val="20"/>
                <w:szCs w:val="20"/>
              </w:rPr>
              <w:t>0.854</w:t>
            </w:r>
          </w:p>
        </w:tc>
        <w:tc>
          <w:tcPr>
            <w:tcW w:w="768" w:type="dxa"/>
            <w:tcBorders>
              <w:top w:val="nil"/>
              <w:left w:val="nil"/>
              <w:bottom w:val="nil"/>
              <w:right w:val="nil"/>
            </w:tcBorders>
            <w:shd w:val="clear" w:color="auto" w:fill="auto"/>
            <w:noWrap/>
            <w:vAlign w:val="bottom"/>
            <w:hideMark/>
          </w:tcPr>
          <w:p w14:paraId="66FD9A66"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192A2D" w14:textId="77777777" w:rsidR="003F050F" w:rsidRDefault="003F050F" w:rsidP="005A3B4D">
            <w:pPr>
              <w:jc w:val="right"/>
              <w:rPr>
                <w:b/>
                <w:bCs/>
                <w:color w:val="000000"/>
                <w:sz w:val="20"/>
                <w:szCs w:val="20"/>
              </w:rPr>
            </w:pPr>
            <w:r>
              <w:rPr>
                <w:b/>
                <w:bCs/>
                <w:color w:val="000000"/>
                <w:sz w:val="20"/>
                <w:szCs w:val="20"/>
              </w:rPr>
              <w:t>-0.093</w:t>
            </w:r>
          </w:p>
        </w:tc>
        <w:tc>
          <w:tcPr>
            <w:tcW w:w="768" w:type="dxa"/>
            <w:tcBorders>
              <w:top w:val="nil"/>
              <w:left w:val="nil"/>
              <w:bottom w:val="nil"/>
              <w:right w:val="nil"/>
            </w:tcBorders>
            <w:shd w:val="clear" w:color="auto" w:fill="auto"/>
            <w:noWrap/>
            <w:vAlign w:val="bottom"/>
            <w:hideMark/>
          </w:tcPr>
          <w:p w14:paraId="2273C223" w14:textId="77777777" w:rsidR="003F050F" w:rsidRDefault="003F050F"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4DEB7E9F" w14:textId="77777777" w:rsidR="003F050F" w:rsidRDefault="003F050F" w:rsidP="005A3B4D">
            <w:pPr>
              <w:jc w:val="right"/>
              <w:rPr>
                <w:b/>
                <w:bCs/>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5E6585A8"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7C56D72" w14:textId="77777777" w:rsidR="003F050F" w:rsidRDefault="003F050F"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6C04B26F"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B3E4EA1" w14:textId="77777777" w:rsidR="003F050F" w:rsidRDefault="003F050F"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05B252A" w14:textId="77777777" w:rsidR="003F050F" w:rsidRDefault="003F050F" w:rsidP="005A3B4D">
            <w:pPr>
              <w:jc w:val="right"/>
              <w:rPr>
                <w:color w:val="000000"/>
                <w:sz w:val="20"/>
                <w:szCs w:val="20"/>
              </w:rPr>
            </w:pPr>
            <w:r>
              <w:rPr>
                <w:color w:val="000000"/>
                <w:sz w:val="20"/>
                <w:szCs w:val="20"/>
              </w:rPr>
              <w:t>0.786</w:t>
            </w:r>
          </w:p>
        </w:tc>
        <w:tc>
          <w:tcPr>
            <w:tcW w:w="768" w:type="dxa"/>
            <w:tcBorders>
              <w:top w:val="nil"/>
              <w:left w:val="nil"/>
              <w:bottom w:val="nil"/>
              <w:right w:val="nil"/>
            </w:tcBorders>
            <w:shd w:val="clear" w:color="auto" w:fill="auto"/>
            <w:noWrap/>
            <w:vAlign w:val="bottom"/>
            <w:hideMark/>
          </w:tcPr>
          <w:p w14:paraId="73ADC2AD" w14:textId="77777777" w:rsidR="003F050F" w:rsidRDefault="003F050F" w:rsidP="005A3B4D">
            <w:pPr>
              <w:jc w:val="right"/>
              <w:rPr>
                <w:color w:val="000000"/>
                <w:sz w:val="20"/>
                <w:szCs w:val="20"/>
              </w:rPr>
            </w:pPr>
            <w:r>
              <w:rPr>
                <w:color w:val="000000"/>
                <w:sz w:val="20"/>
                <w:szCs w:val="20"/>
              </w:rPr>
              <w:t>0.001</w:t>
            </w:r>
          </w:p>
        </w:tc>
      </w:tr>
      <w:tr w:rsidR="003F050F" w14:paraId="611EA6DD" w14:textId="77777777" w:rsidTr="005A3B4D">
        <w:trPr>
          <w:trHeight w:val="320"/>
        </w:trPr>
        <w:tc>
          <w:tcPr>
            <w:tcW w:w="1176" w:type="dxa"/>
            <w:tcBorders>
              <w:top w:val="nil"/>
              <w:left w:val="nil"/>
              <w:bottom w:val="nil"/>
              <w:right w:val="nil"/>
            </w:tcBorders>
            <w:shd w:val="clear" w:color="auto" w:fill="auto"/>
            <w:noWrap/>
            <w:vAlign w:val="bottom"/>
            <w:hideMark/>
          </w:tcPr>
          <w:p w14:paraId="1844B844"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F5DCE77" w14:textId="77777777" w:rsidR="003F050F" w:rsidRDefault="003F050F"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CC662D3"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1CA3051" w14:textId="77777777" w:rsidR="003F050F" w:rsidRDefault="003F050F" w:rsidP="005A3B4D">
            <w:pPr>
              <w:jc w:val="right"/>
              <w:rPr>
                <w:color w:val="000000"/>
                <w:sz w:val="20"/>
                <w:szCs w:val="20"/>
              </w:rPr>
            </w:pPr>
            <w:r>
              <w:rPr>
                <w:color w:val="000000"/>
                <w:sz w:val="20"/>
                <w:szCs w:val="20"/>
              </w:rPr>
              <w:t>0.903</w:t>
            </w:r>
          </w:p>
        </w:tc>
        <w:tc>
          <w:tcPr>
            <w:tcW w:w="768" w:type="dxa"/>
            <w:tcBorders>
              <w:top w:val="nil"/>
              <w:left w:val="nil"/>
              <w:bottom w:val="nil"/>
              <w:right w:val="nil"/>
            </w:tcBorders>
            <w:shd w:val="clear" w:color="auto" w:fill="auto"/>
            <w:noWrap/>
            <w:vAlign w:val="bottom"/>
            <w:hideMark/>
          </w:tcPr>
          <w:p w14:paraId="14AC4A0D"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A19829" w14:textId="77777777" w:rsidR="003F050F" w:rsidRDefault="003F050F"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25722A7" w14:textId="77777777" w:rsidR="003F050F" w:rsidRDefault="003F050F" w:rsidP="005A3B4D">
            <w:pPr>
              <w:jc w:val="right"/>
              <w:rPr>
                <w:color w:val="000000"/>
                <w:sz w:val="20"/>
                <w:szCs w:val="20"/>
              </w:rPr>
            </w:pPr>
            <w:r>
              <w:rPr>
                <w:color w:val="000000"/>
                <w:sz w:val="20"/>
                <w:szCs w:val="20"/>
              </w:rPr>
              <w:t>0.666</w:t>
            </w:r>
          </w:p>
        </w:tc>
        <w:tc>
          <w:tcPr>
            <w:tcW w:w="768" w:type="dxa"/>
            <w:tcBorders>
              <w:top w:val="nil"/>
              <w:left w:val="nil"/>
              <w:bottom w:val="nil"/>
              <w:right w:val="nil"/>
            </w:tcBorders>
            <w:shd w:val="clear" w:color="auto" w:fill="auto"/>
            <w:noWrap/>
            <w:vAlign w:val="bottom"/>
            <w:hideMark/>
          </w:tcPr>
          <w:p w14:paraId="23D93EA1"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4477C9"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DB436EE" w14:textId="77777777" w:rsidR="003F050F" w:rsidRDefault="003F050F" w:rsidP="005A3B4D">
            <w:pPr>
              <w:jc w:val="right"/>
              <w:rPr>
                <w:color w:val="000000"/>
                <w:sz w:val="20"/>
                <w:szCs w:val="20"/>
              </w:rPr>
            </w:pPr>
            <w:r>
              <w:rPr>
                <w:color w:val="000000"/>
                <w:sz w:val="20"/>
                <w:szCs w:val="20"/>
              </w:rPr>
              <w:t>0.892</w:t>
            </w:r>
          </w:p>
        </w:tc>
        <w:tc>
          <w:tcPr>
            <w:tcW w:w="768" w:type="dxa"/>
            <w:tcBorders>
              <w:top w:val="nil"/>
              <w:left w:val="nil"/>
              <w:bottom w:val="nil"/>
              <w:right w:val="nil"/>
            </w:tcBorders>
            <w:shd w:val="clear" w:color="auto" w:fill="auto"/>
            <w:noWrap/>
            <w:vAlign w:val="bottom"/>
            <w:hideMark/>
          </w:tcPr>
          <w:p w14:paraId="45AC2B4B"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05A61F" w14:textId="77777777" w:rsidR="003F050F" w:rsidRDefault="003F050F"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8C2F735" w14:textId="77777777" w:rsidR="003F050F" w:rsidRDefault="003F050F" w:rsidP="005A3B4D">
            <w:pPr>
              <w:jc w:val="right"/>
              <w:rPr>
                <w:color w:val="000000"/>
                <w:sz w:val="20"/>
                <w:szCs w:val="20"/>
              </w:rPr>
            </w:pPr>
            <w:r>
              <w:rPr>
                <w:color w:val="000000"/>
                <w:sz w:val="20"/>
                <w:szCs w:val="20"/>
              </w:rPr>
              <w:t>0.886</w:t>
            </w:r>
          </w:p>
        </w:tc>
        <w:tc>
          <w:tcPr>
            <w:tcW w:w="768" w:type="dxa"/>
            <w:tcBorders>
              <w:top w:val="nil"/>
              <w:left w:val="nil"/>
              <w:bottom w:val="nil"/>
              <w:right w:val="nil"/>
            </w:tcBorders>
            <w:shd w:val="clear" w:color="auto" w:fill="auto"/>
            <w:noWrap/>
            <w:vAlign w:val="bottom"/>
            <w:hideMark/>
          </w:tcPr>
          <w:p w14:paraId="1A92A783"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311EB7" w14:textId="77777777" w:rsidR="003F050F" w:rsidRDefault="003F050F"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27408F5" w14:textId="77777777" w:rsidR="003F050F" w:rsidRDefault="003F050F" w:rsidP="005A3B4D">
            <w:pPr>
              <w:jc w:val="right"/>
              <w:rPr>
                <w:color w:val="000000"/>
                <w:sz w:val="20"/>
                <w:szCs w:val="20"/>
              </w:rPr>
            </w:pPr>
            <w:r>
              <w:rPr>
                <w:color w:val="000000"/>
                <w:sz w:val="20"/>
                <w:szCs w:val="20"/>
              </w:rPr>
              <w:t>0.786</w:t>
            </w:r>
          </w:p>
        </w:tc>
        <w:tc>
          <w:tcPr>
            <w:tcW w:w="768" w:type="dxa"/>
            <w:tcBorders>
              <w:top w:val="nil"/>
              <w:left w:val="nil"/>
              <w:bottom w:val="nil"/>
              <w:right w:val="nil"/>
            </w:tcBorders>
            <w:shd w:val="clear" w:color="auto" w:fill="auto"/>
            <w:noWrap/>
            <w:vAlign w:val="bottom"/>
            <w:hideMark/>
          </w:tcPr>
          <w:p w14:paraId="38885481" w14:textId="77777777" w:rsidR="003F050F" w:rsidRDefault="003F050F" w:rsidP="005A3B4D">
            <w:pPr>
              <w:jc w:val="right"/>
              <w:rPr>
                <w:color w:val="000000"/>
                <w:sz w:val="20"/>
                <w:szCs w:val="20"/>
              </w:rPr>
            </w:pPr>
            <w:r>
              <w:rPr>
                <w:color w:val="000000"/>
                <w:sz w:val="20"/>
                <w:szCs w:val="20"/>
              </w:rPr>
              <w:t>0.001</w:t>
            </w:r>
          </w:p>
        </w:tc>
      </w:tr>
      <w:tr w:rsidR="003F050F" w14:paraId="6FC6EE81"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6FF4607F" w14:textId="77777777" w:rsidR="003F050F" w:rsidRDefault="003F050F"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0D26DDC7" w14:textId="77777777" w:rsidR="003F050F" w:rsidRDefault="003F050F"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2716D5AA" w14:textId="77777777" w:rsidR="003F050F" w:rsidRDefault="003F050F" w:rsidP="005A3B4D">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320FA157" w14:textId="77777777" w:rsidR="003F050F" w:rsidRDefault="003F050F" w:rsidP="005A3B4D">
            <w:pPr>
              <w:jc w:val="right"/>
              <w:rPr>
                <w:color w:val="000000"/>
                <w:sz w:val="20"/>
                <w:szCs w:val="20"/>
              </w:rPr>
            </w:pPr>
            <w:r>
              <w:rPr>
                <w:color w:val="000000"/>
                <w:sz w:val="20"/>
                <w:szCs w:val="20"/>
              </w:rPr>
              <w:t>0.367</w:t>
            </w:r>
          </w:p>
        </w:tc>
        <w:tc>
          <w:tcPr>
            <w:tcW w:w="768" w:type="dxa"/>
            <w:tcBorders>
              <w:top w:val="nil"/>
              <w:left w:val="nil"/>
              <w:bottom w:val="single" w:sz="4" w:space="0" w:color="auto"/>
              <w:right w:val="nil"/>
            </w:tcBorders>
            <w:shd w:val="clear" w:color="auto" w:fill="auto"/>
            <w:noWrap/>
            <w:vAlign w:val="bottom"/>
            <w:hideMark/>
          </w:tcPr>
          <w:p w14:paraId="1CAD647E"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2F5001A" w14:textId="77777777" w:rsidR="003F050F" w:rsidRDefault="003F050F" w:rsidP="005A3B4D">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4C11C67A" w14:textId="77777777" w:rsidR="003F050F" w:rsidRDefault="003F050F" w:rsidP="005A3B4D">
            <w:pPr>
              <w:jc w:val="right"/>
              <w:rPr>
                <w:color w:val="000000"/>
                <w:sz w:val="20"/>
                <w:szCs w:val="20"/>
              </w:rPr>
            </w:pPr>
            <w:r>
              <w:rPr>
                <w:color w:val="000000"/>
                <w:sz w:val="20"/>
                <w:szCs w:val="20"/>
              </w:rPr>
              <w:t>0.666</w:t>
            </w:r>
          </w:p>
        </w:tc>
        <w:tc>
          <w:tcPr>
            <w:tcW w:w="768" w:type="dxa"/>
            <w:tcBorders>
              <w:top w:val="nil"/>
              <w:left w:val="nil"/>
              <w:bottom w:val="single" w:sz="4" w:space="0" w:color="auto"/>
              <w:right w:val="nil"/>
            </w:tcBorders>
            <w:shd w:val="clear" w:color="auto" w:fill="auto"/>
            <w:noWrap/>
            <w:vAlign w:val="bottom"/>
            <w:hideMark/>
          </w:tcPr>
          <w:p w14:paraId="60F818C6"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8DB57B2" w14:textId="77777777" w:rsidR="003F050F" w:rsidRDefault="003F050F" w:rsidP="005A3B4D">
            <w:pPr>
              <w:jc w:val="right"/>
              <w:rPr>
                <w:b/>
                <w:bCs/>
                <w:color w:val="000000"/>
                <w:sz w:val="20"/>
                <w:szCs w:val="20"/>
              </w:rPr>
            </w:pPr>
            <w:r>
              <w:rPr>
                <w:b/>
                <w:bCs/>
                <w:color w:val="000000"/>
                <w:sz w:val="20"/>
                <w:szCs w:val="20"/>
              </w:rPr>
              <w:t>-0.097</w:t>
            </w:r>
          </w:p>
        </w:tc>
        <w:tc>
          <w:tcPr>
            <w:tcW w:w="768" w:type="dxa"/>
            <w:tcBorders>
              <w:top w:val="nil"/>
              <w:left w:val="nil"/>
              <w:bottom w:val="single" w:sz="4" w:space="0" w:color="auto"/>
              <w:right w:val="nil"/>
            </w:tcBorders>
            <w:shd w:val="clear" w:color="auto" w:fill="auto"/>
            <w:noWrap/>
            <w:vAlign w:val="bottom"/>
            <w:hideMark/>
          </w:tcPr>
          <w:p w14:paraId="01C0137F" w14:textId="77777777" w:rsidR="003F050F" w:rsidRDefault="003F050F" w:rsidP="005A3B4D">
            <w:pPr>
              <w:jc w:val="right"/>
              <w:rPr>
                <w:b/>
                <w:bCs/>
                <w:color w:val="000000"/>
                <w:sz w:val="20"/>
                <w:szCs w:val="20"/>
              </w:rPr>
            </w:pPr>
            <w:r>
              <w:rPr>
                <w:b/>
                <w:bCs/>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40B89BB8" w14:textId="77777777" w:rsidR="003F050F" w:rsidRDefault="003F050F" w:rsidP="005A3B4D">
            <w:pPr>
              <w:jc w:val="right"/>
              <w:rPr>
                <w:b/>
                <w:bCs/>
                <w:color w:val="000000"/>
                <w:sz w:val="20"/>
                <w:szCs w:val="20"/>
              </w:rPr>
            </w:pPr>
            <w:r>
              <w:rPr>
                <w:b/>
                <w:bCs/>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053ABE9C"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39AF2C35" w14:textId="77777777" w:rsidR="003F050F" w:rsidRDefault="003F050F" w:rsidP="005A3B4D">
            <w:pPr>
              <w:jc w:val="right"/>
              <w:rPr>
                <w:color w:val="000000"/>
                <w:sz w:val="20"/>
                <w:szCs w:val="20"/>
              </w:rPr>
            </w:pPr>
            <w:r>
              <w:rPr>
                <w:color w:val="000000"/>
                <w:sz w:val="20"/>
                <w:szCs w:val="20"/>
              </w:rPr>
              <w:t>0.886</w:t>
            </w:r>
          </w:p>
        </w:tc>
        <w:tc>
          <w:tcPr>
            <w:tcW w:w="768" w:type="dxa"/>
            <w:tcBorders>
              <w:top w:val="nil"/>
              <w:left w:val="nil"/>
              <w:bottom w:val="single" w:sz="4" w:space="0" w:color="auto"/>
              <w:right w:val="nil"/>
            </w:tcBorders>
            <w:shd w:val="clear" w:color="auto" w:fill="auto"/>
            <w:noWrap/>
            <w:vAlign w:val="bottom"/>
            <w:hideMark/>
          </w:tcPr>
          <w:p w14:paraId="103FB650"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741D25B" w14:textId="77777777" w:rsidR="003F050F" w:rsidRDefault="003F050F" w:rsidP="005A3B4D">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332FEF36" w14:textId="77777777" w:rsidR="003F050F" w:rsidRDefault="003F050F" w:rsidP="005A3B4D">
            <w:pPr>
              <w:jc w:val="right"/>
              <w:rPr>
                <w:color w:val="000000"/>
                <w:sz w:val="20"/>
                <w:szCs w:val="20"/>
              </w:rPr>
            </w:pPr>
            <w:r>
              <w:rPr>
                <w:color w:val="000000"/>
                <w:sz w:val="20"/>
                <w:szCs w:val="20"/>
              </w:rPr>
              <w:t>0.893</w:t>
            </w:r>
          </w:p>
        </w:tc>
        <w:tc>
          <w:tcPr>
            <w:tcW w:w="768" w:type="dxa"/>
            <w:tcBorders>
              <w:top w:val="nil"/>
              <w:left w:val="nil"/>
              <w:bottom w:val="single" w:sz="4" w:space="0" w:color="auto"/>
              <w:right w:val="nil"/>
            </w:tcBorders>
            <w:shd w:val="clear" w:color="auto" w:fill="auto"/>
            <w:noWrap/>
            <w:vAlign w:val="bottom"/>
            <w:hideMark/>
          </w:tcPr>
          <w:p w14:paraId="50F8B1B9" w14:textId="77777777" w:rsidR="003F050F" w:rsidRDefault="003F050F" w:rsidP="005A3B4D">
            <w:pPr>
              <w:jc w:val="right"/>
              <w:rPr>
                <w:color w:val="000000"/>
                <w:sz w:val="20"/>
                <w:szCs w:val="20"/>
              </w:rPr>
            </w:pPr>
            <w:r>
              <w:rPr>
                <w:color w:val="000000"/>
                <w:sz w:val="20"/>
                <w:szCs w:val="20"/>
              </w:rPr>
              <w:t>0.000</w:t>
            </w:r>
          </w:p>
        </w:tc>
      </w:tr>
      <w:tr w:rsidR="003F050F" w14:paraId="0599A336" w14:textId="77777777" w:rsidTr="005A3B4D">
        <w:trPr>
          <w:trHeight w:val="320"/>
        </w:trPr>
        <w:tc>
          <w:tcPr>
            <w:tcW w:w="1176" w:type="dxa"/>
            <w:tcBorders>
              <w:top w:val="nil"/>
              <w:left w:val="nil"/>
              <w:bottom w:val="nil"/>
              <w:right w:val="nil"/>
            </w:tcBorders>
            <w:shd w:val="clear" w:color="auto" w:fill="auto"/>
            <w:noWrap/>
            <w:vAlign w:val="bottom"/>
            <w:hideMark/>
          </w:tcPr>
          <w:p w14:paraId="3DB8C512" w14:textId="77777777" w:rsidR="003F050F" w:rsidRDefault="003F050F"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746D2744" w14:textId="77777777" w:rsidR="003F050F" w:rsidRDefault="003F050F"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1A8852D7" w14:textId="77777777" w:rsidR="003F050F" w:rsidRDefault="003F050F"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7ADED4C0" w14:textId="77777777" w:rsidR="003F050F" w:rsidRDefault="003F050F" w:rsidP="005A3B4D">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5194B100"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0573287" w14:textId="77777777" w:rsidR="003F050F" w:rsidRDefault="003F050F"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3C3A439A" w14:textId="77777777" w:rsidR="003F050F" w:rsidRDefault="003F050F" w:rsidP="005A3B4D">
            <w:pPr>
              <w:jc w:val="right"/>
              <w:rPr>
                <w:color w:val="000000"/>
                <w:sz w:val="20"/>
                <w:szCs w:val="20"/>
              </w:rPr>
            </w:pPr>
            <w:r>
              <w:rPr>
                <w:color w:val="000000"/>
                <w:sz w:val="20"/>
                <w:szCs w:val="20"/>
              </w:rPr>
              <w:t>0.402</w:t>
            </w:r>
          </w:p>
        </w:tc>
        <w:tc>
          <w:tcPr>
            <w:tcW w:w="768" w:type="dxa"/>
            <w:tcBorders>
              <w:top w:val="nil"/>
              <w:left w:val="nil"/>
              <w:bottom w:val="nil"/>
              <w:right w:val="nil"/>
            </w:tcBorders>
            <w:shd w:val="clear" w:color="auto" w:fill="auto"/>
            <w:noWrap/>
            <w:vAlign w:val="bottom"/>
            <w:hideMark/>
          </w:tcPr>
          <w:p w14:paraId="22404DA1"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7EED56F" w14:textId="77777777" w:rsidR="003F050F" w:rsidRDefault="003F050F"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07EC2CA" w14:textId="77777777" w:rsidR="003F050F" w:rsidRDefault="003F050F" w:rsidP="005A3B4D">
            <w:pPr>
              <w:jc w:val="right"/>
              <w:rPr>
                <w:color w:val="000000"/>
                <w:sz w:val="20"/>
                <w:szCs w:val="20"/>
              </w:rPr>
            </w:pPr>
            <w:r>
              <w:rPr>
                <w:color w:val="000000"/>
                <w:sz w:val="20"/>
                <w:szCs w:val="20"/>
              </w:rPr>
              <w:t>0.529</w:t>
            </w:r>
          </w:p>
        </w:tc>
        <w:tc>
          <w:tcPr>
            <w:tcW w:w="768" w:type="dxa"/>
            <w:tcBorders>
              <w:top w:val="nil"/>
              <w:left w:val="nil"/>
              <w:bottom w:val="nil"/>
              <w:right w:val="nil"/>
            </w:tcBorders>
            <w:shd w:val="clear" w:color="auto" w:fill="auto"/>
            <w:noWrap/>
            <w:vAlign w:val="bottom"/>
            <w:hideMark/>
          </w:tcPr>
          <w:p w14:paraId="5A039373"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63C9B56" w14:textId="77777777" w:rsidR="003F050F" w:rsidRDefault="003F050F"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6E20160B" w14:textId="77777777" w:rsidR="003F050F" w:rsidRDefault="003F050F" w:rsidP="005A3B4D">
            <w:pPr>
              <w:jc w:val="right"/>
              <w:rPr>
                <w:color w:val="000000"/>
                <w:sz w:val="20"/>
                <w:szCs w:val="20"/>
              </w:rPr>
            </w:pPr>
            <w:r>
              <w:rPr>
                <w:color w:val="000000"/>
                <w:sz w:val="20"/>
                <w:szCs w:val="20"/>
              </w:rPr>
              <w:t>0.268</w:t>
            </w:r>
          </w:p>
        </w:tc>
        <w:tc>
          <w:tcPr>
            <w:tcW w:w="768" w:type="dxa"/>
            <w:tcBorders>
              <w:top w:val="nil"/>
              <w:left w:val="nil"/>
              <w:bottom w:val="nil"/>
              <w:right w:val="nil"/>
            </w:tcBorders>
            <w:shd w:val="clear" w:color="auto" w:fill="auto"/>
            <w:noWrap/>
            <w:vAlign w:val="bottom"/>
            <w:hideMark/>
          </w:tcPr>
          <w:p w14:paraId="5FFAA219"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D298DE6" w14:textId="77777777" w:rsidR="003F050F" w:rsidRDefault="003F050F"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2E356ADA" w14:textId="77777777" w:rsidR="003F050F" w:rsidRDefault="003F050F" w:rsidP="005A3B4D">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5250ECCF" w14:textId="77777777" w:rsidR="003F050F" w:rsidRDefault="003F050F" w:rsidP="005A3B4D">
            <w:pPr>
              <w:jc w:val="right"/>
              <w:rPr>
                <w:color w:val="000000"/>
                <w:sz w:val="20"/>
                <w:szCs w:val="20"/>
              </w:rPr>
            </w:pPr>
            <w:r>
              <w:rPr>
                <w:color w:val="000000"/>
                <w:sz w:val="20"/>
                <w:szCs w:val="20"/>
              </w:rPr>
              <w:t>0.001</w:t>
            </w:r>
          </w:p>
        </w:tc>
      </w:tr>
      <w:tr w:rsidR="003F050F" w14:paraId="19E50787" w14:textId="77777777" w:rsidTr="005A3B4D">
        <w:trPr>
          <w:trHeight w:val="320"/>
        </w:trPr>
        <w:tc>
          <w:tcPr>
            <w:tcW w:w="1176" w:type="dxa"/>
            <w:tcBorders>
              <w:top w:val="nil"/>
              <w:left w:val="nil"/>
              <w:bottom w:val="nil"/>
              <w:right w:val="nil"/>
            </w:tcBorders>
            <w:shd w:val="clear" w:color="auto" w:fill="auto"/>
            <w:noWrap/>
            <w:vAlign w:val="bottom"/>
            <w:hideMark/>
          </w:tcPr>
          <w:p w14:paraId="7216F235"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56BFCE" w14:textId="77777777" w:rsidR="003F050F" w:rsidRDefault="003F050F"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C09390D" w14:textId="77777777" w:rsidR="003F050F" w:rsidRDefault="003F050F"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28DE5AE7" w14:textId="77777777" w:rsidR="003F050F" w:rsidRDefault="003F050F" w:rsidP="005A3B4D">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755205B7"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B2275A" w14:textId="77777777" w:rsidR="003F050F" w:rsidRDefault="003F050F"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5B9C9ADC" w14:textId="77777777" w:rsidR="003F050F" w:rsidRDefault="003F050F" w:rsidP="005A3B4D">
            <w:pPr>
              <w:jc w:val="right"/>
              <w:rPr>
                <w:color w:val="000000"/>
                <w:sz w:val="20"/>
                <w:szCs w:val="20"/>
              </w:rPr>
            </w:pPr>
            <w:r>
              <w:rPr>
                <w:color w:val="000000"/>
                <w:sz w:val="20"/>
                <w:szCs w:val="20"/>
              </w:rPr>
              <w:t>0.402</w:t>
            </w:r>
          </w:p>
        </w:tc>
        <w:tc>
          <w:tcPr>
            <w:tcW w:w="768" w:type="dxa"/>
            <w:tcBorders>
              <w:top w:val="nil"/>
              <w:left w:val="nil"/>
              <w:bottom w:val="nil"/>
              <w:right w:val="nil"/>
            </w:tcBorders>
            <w:shd w:val="clear" w:color="auto" w:fill="auto"/>
            <w:noWrap/>
            <w:vAlign w:val="bottom"/>
            <w:hideMark/>
          </w:tcPr>
          <w:p w14:paraId="21EDCABB"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87357C"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01BAFCF" w14:textId="77777777" w:rsidR="003F050F" w:rsidRDefault="003F050F" w:rsidP="005A3B4D">
            <w:pPr>
              <w:jc w:val="right"/>
              <w:rPr>
                <w:color w:val="000000"/>
                <w:sz w:val="20"/>
                <w:szCs w:val="20"/>
              </w:rPr>
            </w:pPr>
            <w:r>
              <w:rPr>
                <w:color w:val="000000"/>
                <w:sz w:val="20"/>
                <w:szCs w:val="20"/>
              </w:rPr>
              <w:t>0.894</w:t>
            </w:r>
          </w:p>
        </w:tc>
        <w:tc>
          <w:tcPr>
            <w:tcW w:w="768" w:type="dxa"/>
            <w:tcBorders>
              <w:top w:val="nil"/>
              <w:left w:val="nil"/>
              <w:bottom w:val="nil"/>
              <w:right w:val="nil"/>
            </w:tcBorders>
            <w:shd w:val="clear" w:color="auto" w:fill="auto"/>
            <w:noWrap/>
            <w:vAlign w:val="bottom"/>
            <w:hideMark/>
          </w:tcPr>
          <w:p w14:paraId="71348943"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82D34B" w14:textId="77777777" w:rsidR="003F050F" w:rsidRDefault="003F050F"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0F092C7" w14:textId="77777777" w:rsidR="003F050F" w:rsidRDefault="003F050F" w:rsidP="005A3B4D">
            <w:pPr>
              <w:jc w:val="right"/>
              <w:rPr>
                <w:color w:val="000000"/>
                <w:sz w:val="20"/>
                <w:szCs w:val="20"/>
              </w:rPr>
            </w:pPr>
            <w:r>
              <w:rPr>
                <w:color w:val="000000"/>
                <w:sz w:val="20"/>
                <w:szCs w:val="20"/>
              </w:rPr>
              <w:t>0.873</w:t>
            </w:r>
          </w:p>
        </w:tc>
        <w:tc>
          <w:tcPr>
            <w:tcW w:w="768" w:type="dxa"/>
            <w:tcBorders>
              <w:top w:val="nil"/>
              <w:left w:val="nil"/>
              <w:bottom w:val="nil"/>
              <w:right w:val="nil"/>
            </w:tcBorders>
            <w:shd w:val="clear" w:color="auto" w:fill="auto"/>
            <w:noWrap/>
            <w:vAlign w:val="bottom"/>
            <w:hideMark/>
          </w:tcPr>
          <w:p w14:paraId="683BAE6A"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49EF558"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1370CD4" w14:textId="77777777" w:rsidR="003F050F" w:rsidRDefault="003F050F" w:rsidP="005A3B4D">
            <w:pPr>
              <w:jc w:val="right"/>
              <w:rPr>
                <w:color w:val="000000"/>
                <w:sz w:val="20"/>
                <w:szCs w:val="20"/>
              </w:rPr>
            </w:pPr>
            <w:r>
              <w:rPr>
                <w:color w:val="000000"/>
                <w:sz w:val="20"/>
                <w:szCs w:val="20"/>
              </w:rPr>
              <w:t>0.901</w:t>
            </w:r>
          </w:p>
        </w:tc>
        <w:tc>
          <w:tcPr>
            <w:tcW w:w="768" w:type="dxa"/>
            <w:tcBorders>
              <w:top w:val="nil"/>
              <w:left w:val="nil"/>
              <w:bottom w:val="nil"/>
              <w:right w:val="nil"/>
            </w:tcBorders>
            <w:shd w:val="clear" w:color="auto" w:fill="auto"/>
            <w:noWrap/>
            <w:vAlign w:val="bottom"/>
            <w:hideMark/>
          </w:tcPr>
          <w:p w14:paraId="67F41561" w14:textId="77777777" w:rsidR="003F050F" w:rsidRDefault="003F050F" w:rsidP="005A3B4D">
            <w:pPr>
              <w:jc w:val="right"/>
              <w:rPr>
                <w:color w:val="000000"/>
                <w:sz w:val="20"/>
                <w:szCs w:val="20"/>
              </w:rPr>
            </w:pPr>
            <w:r>
              <w:rPr>
                <w:color w:val="000000"/>
                <w:sz w:val="20"/>
                <w:szCs w:val="20"/>
              </w:rPr>
              <w:t>0.000</w:t>
            </w:r>
          </w:p>
        </w:tc>
      </w:tr>
      <w:tr w:rsidR="003F050F" w14:paraId="424A73D5" w14:textId="77777777" w:rsidTr="005A3B4D">
        <w:trPr>
          <w:trHeight w:val="320"/>
        </w:trPr>
        <w:tc>
          <w:tcPr>
            <w:tcW w:w="1176" w:type="dxa"/>
            <w:tcBorders>
              <w:top w:val="nil"/>
              <w:left w:val="nil"/>
              <w:bottom w:val="nil"/>
              <w:right w:val="nil"/>
            </w:tcBorders>
            <w:shd w:val="clear" w:color="auto" w:fill="auto"/>
            <w:noWrap/>
            <w:vAlign w:val="bottom"/>
            <w:hideMark/>
          </w:tcPr>
          <w:p w14:paraId="025E7EFE"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E3A8B8B" w14:textId="77777777" w:rsidR="003F050F" w:rsidRDefault="003F050F"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27085952" w14:textId="77777777" w:rsidR="003F050F" w:rsidRDefault="003F050F"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06577915" w14:textId="77777777" w:rsidR="003F050F" w:rsidRDefault="003F050F" w:rsidP="005A3B4D">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64CCC962"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F569BA1" w14:textId="77777777" w:rsidR="003F050F" w:rsidRDefault="003F050F"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89D3FF6" w14:textId="77777777" w:rsidR="003F050F" w:rsidRDefault="003F050F" w:rsidP="005A3B4D">
            <w:pPr>
              <w:jc w:val="right"/>
              <w:rPr>
                <w:color w:val="000000"/>
                <w:sz w:val="20"/>
                <w:szCs w:val="20"/>
              </w:rPr>
            </w:pPr>
            <w:r>
              <w:rPr>
                <w:color w:val="000000"/>
                <w:sz w:val="20"/>
                <w:szCs w:val="20"/>
              </w:rPr>
              <w:t>0.825</w:t>
            </w:r>
          </w:p>
        </w:tc>
        <w:tc>
          <w:tcPr>
            <w:tcW w:w="768" w:type="dxa"/>
            <w:tcBorders>
              <w:top w:val="nil"/>
              <w:left w:val="nil"/>
              <w:bottom w:val="nil"/>
              <w:right w:val="nil"/>
            </w:tcBorders>
            <w:shd w:val="clear" w:color="auto" w:fill="auto"/>
            <w:noWrap/>
            <w:vAlign w:val="bottom"/>
            <w:hideMark/>
          </w:tcPr>
          <w:p w14:paraId="23AB9D5B"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9C06F7F"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68220E5" w14:textId="77777777" w:rsidR="003F050F" w:rsidRDefault="003F050F" w:rsidP="005A3B4D">
            <w:pPr>
              <w:jc w:val="right"/>
              <w:rPr>
                <w:color w:val="000000"/>
                <w:sz w:val="20"/>
                <w:szCs w:val="20"/>
              </w:rPr>
            </w:pPr>
            <w:r>
              <w:rPr>
                <w:color w:val="000000"/>
                <w:sz w:val="20"/>
                <w:szCs w:val="20"/>
              </w:rPr>
              <w:t>0.894</w:t>
            </w:r>
          </w:p>
        </w:tc>
        <w:tc>
          <w:tcPr>
            <w:tcW w:w="768" w:type="dxa"/>
            <w:tcBorders>
              <w:top w:val="nil"/>
              <w:left w:val="nil"/>
              <w:bottom w:val="nil"/>
              <w:right w:val="nil"/>
            </w:tcBorders>
            <w:shd w:val="clear" w:color="auto" w:fill="auto"/>
            <w:noWrap/>
            <w:vAlign w:val="bottom"/>
            <w:hideMark/>
          </w:tcPr>
          <w:p w14:paraId="3934CF27"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FBDC77" w14:textId="77777777" w:rsidR="003F050F" w:rsidRDefault="003F050F" w:rsidP="005A3B4D">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E459E25" w14:textId="77777777" w:rsidR="003F050F" w:rsidRDefault="003F050F" w:rsidP="005A3B4D">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1FD0ADE9"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3AC8D87" w14:textId="77777777" w:rsidR="003F050F" w:rsidRDefault="003F050F"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2DBE2B44" w14:textId="77777777" w:rsidR="003F050F" w:rsidRDefault="003F050F" w:rsidP="005A3B4D">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738EA485" w14:textId="77777777" w:rsidR="003F050F" w:rsidRDefault="003F050F" w:rsidP="005A3B4D">
            <w:pPr>
              <w:jc w:val="right"/>
              <w:rPr>
                <w:color w:val="000000"/>
                <w:sz w:val="20"/>
                <w:szCs w:val="20"/>
              </w:rPr>
            </w:pPr>
            <w:r>
              <w:rPr>
                <w:color w:val="000000"/>
                <w:sz w:val="20"/>
                <w:szCs w:val="20"/>
              </w:rPr>
              <w:t>0.002</w:t>
            </w:r>
          </w:p>
        </w:tc>
      </w:tr>
      <w:tr w:rsidR="003F050F" w14:paraId="055EC2F8" w14:textId="77777777" w:rsidTr="005A3B4D">
        <w:trPr>
          <w:trHeight w:val="320"/>
        </w:trPr>
        <w:tc>
          <w:tcPr>
            <w:tcW w:w="1176" w:type="dxa"/>
            <w:tcBorders>
              <w:top w:val="nil"/>
              <w:left w:val="nil"/>
              <w:bottom w:val="nil"/>
              <w:right w:val="nil"/>
            </w:tcBorders>
            <w:shd w:val="clear" w:color="auto" w:fill="auto"/>
            <w:noWrap/>
            <w:vAlign w:val="bottom"/>
            <w:hideMark/>
          </w:tcPr>
          <w:p w14:paraId="3D4A9369"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1060599" w14:textId="77777777" w:rsidR="003F050F" w:rsidRDefault="003F050F"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F11B259" w14:textId="77777777" w:rsidR="003F050F" w:rsidRDefault="003F050F"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4F3CC3C" w14:textId="77777777" w:rsidR="003F050F" w:rsidRDefault="003F050F" w:rsidP="005A3B4D">
            <w:pPr>
              <w:jc w:val="right"/>
              <w:rPr>
                <w:color w:val="000000"/>
                <w:sz w:val="20"/>
                <w:szCs w:val="20"/>
              </w:rPr>
            </w:pPr>
            <w:r>
              <w:rPr>
                <w:color w:val="000000"/>
                <w:sz w:val="20"/>
                <w:szCs w:val="20"/>
              </w:rPr>
              <w:t>0.863</w:t>
            </w:r>
          </w:p>
        </w:tc>
        <w:tc>
          <w:tcPr>
            <w:tcW w:w="768" w:type="dxa"/>
            <w:tcBorders>
              <w:top w:val="nil"/>
              <w:left w:val="nil"/>
              <w:bottom w:val="nil"/>
              <w:right w:val="nil"/>
            </w:tcBorders>
            <w:shd w:val="clear" w:color="auto" w:fill="auto"/>
            <w:noWrap/>
            <w:vAlign w:val="bottom"/>
            <w:hideMark/>
          </w:tcPr>
          <w:p w14:paraId="07EEF3B7"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0865C1" w14:textId="77777777" w:rsidR="003F050F" w:rsidRDefault="003F050F"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5E3498BE" w14:textId="77777777" w:rsidR="003F050F" w:rsidRDefault="003F050F" w:rsidP="005A3B4D">
            <w:pPr>
              <w:jc w:val="right"/>
              <w:rPr>
                <w:color w:val="000000"/>
                <w:sz w:val="20"/>
                <w:szCs w:val="20"/>
              </w:rPr>
            </w:pPr>
            <w:r>
              <w:rPr>
                <w:color w:val="000000"/>
                <w:sz w:val="20"/>
                <w:szCs w:val="20"/>
              </w:rPr>
              <w:t>0.402</w:t>
            </w:r>
          </w:p>
        </w:tc>
        <w:tc>
          <w:tcPr>
            <w:tcW w:w="768" w:type="dxa"/>
            <w:tcBorders>
              <w:top w:val="nil"/>
              <w:left w:val="nil"/>
              <w:bottom w:val="nil"/>
              <w:right w:val="nil"/>
            </w:tcBorders>
            <w:shd w:val="clear" w:color="auto" w:fill="auto"/>
            <w:noWrap/>
            <w:vAlign w:val="bottom"/>
            <w:hideMark/>
          </w:tcPr>
          <w:p w14:paraId="22D4A623"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2F662E2" w14:textId="77777777" w:rsidR="003F050F" w:rsidRDefault="003F050F"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13C4D98" w14:textId="77777777" w:rsidR="003F050F" w:rsidRDefault="003F050F" w:rsidP="005A3B4D">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1179A3BA"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8AD271" w14:textId="77777777" w:rsidR="003F050F" w:rsidRDefault="003F050F"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22B7F18D" w14:textId="77777777" w:rsidR="003F050F" w:rsidRDefault="003F050F" w:rsidP="005A3B4D">
            <w:pPr>
              <w:jc w:val="right"/>
              <w:rPr>
                <w:color w:val="000000"/>
                <w:sz w:val="20"/>
                <w:szCs w:val="20"/>
              </w:rPr>
            </w:pPr>
            <w:r>
              <w:rPr>
                <w:color w:val="000000"/>
                <w:sz w:val="20"/>
                <w:szCs w:val="20"/>
              </w:rPr>
              <w:t>0.873</w:t>
            </w:r>
          </w:p>
        </w:tc>
        <w:tc>
          <w:tcPr>
            <w:tcW w:w="768" w:type="dxa"/>
            <w:tcBorders>
              <w:top w:val="nil"/>
              <w:left w:val="nil"/>
              <w:bottom w:val="nil"/>
              <w:right w:val="nil"/>
            </w:tcBorders>
            <w:shd w:val="clear" w:color="auto" w:fill="auto"/>
            <w:noWrap/>
            <w:vAlign w:val="bottom"/>
            <w:hideMark/>
          </w:tcPr>
          <w:p w14:paraId="05BA600E"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03BB8C" w14:textId="77777777" w:rsidR="003F050F" w:rsidRDefault="003F050F"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5C3EC81E" w14:textId="77777777" w:rsidR="003F050F" w:rsidRDefault="003F050F" w:rsidP="005A3B4D">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6F901411" w14:textId="77777777" w:rsidR="003F050F" w:rsidRDefault="003F050F" w:rsidP="005A3B4D">
            <w:pPr>
              <w:jc w:val="right"/>
              <w:rPr>
                <w:color w:val="000000"/>
                <w:sz w:val="20"/>
                <w:szCs w:val="20"/>
              </w:rPr>
            </w:pPr>
            <w:r>
              <w:rPr>
                <w:color w:val="000000"/>
                <w:sz w:val="20"/>
                <w:szCs w:val="20"/>
              </w:rPr>
              <w:t>0.001</w:t>
            </w:r>
          </w:p>
        </w:tc>
      </w:tr>
      <w:tr w:rsidR="003F050F" w14:paraId="1EEE5454" w14:textId="77777777" w:rsidTr="005A3B4D">
        <w:trPr>
          <w:trHeight w:val="320"/>
        </w:trPr>
        <w:tc>
          <w:tcPr>
            <w:tcW w:w="1176" w:type="dxa"/>
            <w:tcBorders>
              <w:top w:val="nil"/>
              <w:left w:val="nil"/>
              <w:bottom w:val="nil"/>
              <w:right w:val="nil"/>
            </w:tcBorders>
            <w:shd w:val="clear" w:color="auto" w:fill="auto"/>
            <w:noWrap/>
            <w:vAlign w:val="bottom"/>
            <w:hideMark/>
          </w:tcPr>
          <w:p w14:paraId="1F6A6210"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F40BB9B" w14:textId="77777777" w:rsidR="003F050F" w:rsidRDefault="003F050F"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16A0134"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ABCDDD6" w14:textId="77777777" w:rsidR="003F050F" w:rsidRDefault="003F050F" w:rsidP="005A3B4D">
            <w:pPr>
              <w:jc w:val="right"/>
              <w:rPr>
                <w:color w:val="000000"/>
                <w:sz w:val="20"/>
                <w:szCs w:val="20"/>
              </w:rPr>
            </w:pPr>
            <w:r>
              <w:rPr>
                <w:color w:val="000000"/>
                <w:sz w:val="20"/>
                <w:szCs w:val="20"/>
              </w:rPr>
              <w:t>0.901</w:t>
            </w:r>
          </w:p>
        </w:tc>
        <w:tc>
          <w:tcPr>
            <w:tcW w:w="768" w:type="dxa"/>
            <w:tcBorders>
              <w:top w:val="nil"/>
              <w:left w:val="nil"/>
              <w:bottom w:val="nil"/>
              <w:right w:val="nil"/>
            </w:tcBorders>
            <w:shd w:val="clear" w:color="auto" w:fill="auto"/>
            <w:noWrap/>
            <w:vAlign w:val="bottom"/>
            <w:hideMark/>
          </w:tcPr>
          <w:p w14:paraId="1A97528E"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A46E189" w14:textId="77777777" w:rsidR="003F050F" w:rsidRDefault="003F050F"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C471757" w14:textId="77777777" w:rsidR="003F050F" w:rsidRDefault="003F050F" w:rsidP="005A3B4D">
            <w:pPr>
              <w:jc w:val="right"/>
              <w:rPr>
                <w:color w:val="000000"/>
                <w:sz w:val="20"/>
                <w:szCs w:val="20"/>
              </w:rPr>
            </w:pPr>
            <w:r>
              <w:rPr>
                <w:color w:val="000000"/>
                <w:sz w:val="20"/>
                <w:szCs w:val="20"/>
              </w:rPr>
              <w:t>0.675</w:t>
            </w:r>
          </w:p>
        </w:tc>
        <w:tc>
          <w:tcPr>
            <w:tcW w:w="768" w:type="dxa"/>
            <w:tcBorders>
              <w:top w:val="nil"/>
              <w:left w:val="nil"/>
              <w:bottom w:val="nil"/>
              <w:right w:val="nil"/>
            </w:tcBorders>
            <w:shd w:val="clear" w:color="auto" w:fill="auto"/>
            <w:noWrap/>
            <w:vAlign w:val="bottom"/>
            <w:hideMark/>
          </w:tcPr>
          <w:p w14:paraId="5E5744E3"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4FAA1F7" w14:textId="77777777" w:rsidR="003F050F" w:rsidRDefault="003F050F"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2E2450FB" w14:textId="77777777" w:rsidR="003F050F" w:rsidRDefault="003F050F" w:rsidP="005A3B4D">
            <w:pPr>
              <w:jc w:val="right"/>
              <w:rPr>
                <w:color w:val="000000"/>
                <w:sz w:val="20"/>
                <w:szCs w:val="20"/>
              </w:rPr>
            </w:pPr>
            <w:r>
              <w:rPr>
                <w:color w:val="000000"/>
                <w:sz w:val="20"/>
                <w:szCs w:val="20"/>
              </w:rPr>
              <w:t>0.475</w:t>
            </w:r>
          </w:p>
        </w:tc>
        <w:tc>
          <w:tcPr>
            <w:tcW w:w="768" w:type="dxa"/>
            <w:tcBorders>
              <w:top w:val="nil"/>
              <w:left w:val="nil"/>
              <w:bottom w:val="nil"/>
              <w:right w:val="nil"/>
            </w:tcBorders>
            <w:shd w:val="clear" w:color="auto" w:fill="auto"/>
            <w:noWrap/>
            <w:vAlign w:val="bottom"/>
            <w:hideMark/>
          </w:tcPr>
          <w:p w14:paraId="42437544"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0F68181" w14:textId="77777777" w:rsidR="003F050F" w:rsidRDefault="003F050F"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7BD2F67F" w14:textId="77777777" w:rsidR="003F050F" w:rsidRDefault="003F050F" w:rsidP="005A3B4D">
            <w:pPr>
              <w:jc w:val="right"/>
              <w:rPr>
                <w:color w:val="000000"/>
                <w:sz w:val="20"/>
                <w:szCs w:val="20"/>
              </w:rPr>
            </w:pPr>
            <w:r>
              <w:rPr>
                <w:color w:val="000000"/>
                <w:sz w:val="20"/>
                <w:szCs w:val="20"/>
              </w:rPr>
              <w:t>0.873</w:t>
            </w:r>
          </w:p>
        </w:tc>
        <w:tc>
          <w:tcPr>
            <w:tcW w:w="768" w:type="dxa"/>
            <w:tcBorders>
              <w:top w:val="nil"/>
              <w:left w:val="nil"/>
              <w:bottom w:val="nil"/>
              <w:right w:val="nil"/>
            </w:tcBorders>
            <w:shd w:val="clear" w:color="auto" w:fill="auto"/>
            <w:noWrap/>
            <w:vAlign w:val="bottom"/>
            <w:hideMark/>
          </w:tcPr>
          <w:p w14:paraId="67474EA9"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5A19238" w14:textId="77777777" w:rsidR="003F050F" w:rsidRDefault="003F050F" w:rsidP="005A3B4D">
            <w:pPr>
              <w:jc w:val="right"/>
              <w:rPr>
                <w:color w:val="000000"/>
                <w:sz w:val="20"/>
                <w:szCs w:val="20"/>
              </w:rPr>
            </w:pPr>
            <w:r>
              <w:rPr>
                <w:color w:val="000000"/>
                <w:sz w:val="20"/>
                <w:szCs w:val="20"/>
              </w:rPr>
              <w:t>-0.034</w:t>
            </w:r>
          </w:p>
        </w:tc>
        <w:tc>
          <w:tcPr>
            <w:tcW w:w="768" w:type="dxa"/>
            <w:tcBorders>
              <w:top w:val="nil"/>
              <w:left w:val="nil"/>
              <w:bottom w:val="nil"/>
              <w:right w:val="nil"/>
            </w:tcBorders>
            <w:shd w:val="clear" w:color="auto" w:fill="auto"/>
            <w:noWrap/>
            <w:vAlign w:val="bottom"/>
            <w:hideMark/>
          </w:tcPr>
          <w:p w14:paraId="12734C9B" w14:textId="77777777" w:rsidR="003F050F" w:rsidRDefault="003F050F" w:rsidP="005A3B4D">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6C4E9D1D" w14:textId="77777777" w:rsidR="003F050F" w:rsidRDefault="003F050F" w:rsidP="005A3B4D">
            <w:pPr>
              <w:jc w:val="right"/>
              <w:rPr>
                <w:color w:val="000000"/>
                <w:sz w:val="20"/>
                <w:szCs w:val="20"/>
              </w:rPr>
            </w:pPr>
            <w:r>
              <w:rPr>
                <w:color w:val="000000"/>
                <w:sz w:val="20"/>
                <w:szCs w:val="20"/>
              </w:rPr>
              <w:t>0.001</w:t>
            </w:r>
          </w:p>
        </w:tc>
      </w:tr>
      <w:tr w:rsidR="003F050F" w14:paraId="69F884AB" w14:textId="77777777" w:rsidTr="005A3B4D">
        <w:trPr>
          <w:trHeight w:val="320"/>
        </w:trPr>
        <w:tc>
          <w:tcPr>
            <w:tcW w:w="1176" w:type="dxa"/>
            <w:tcBorders>
              <w:top w:val="nil"/>
              <w:left w:val="nil"/>
              <w:bottom w:val="nil"/>
              <w:right w:val="nil"/>
            </w:tcBorders>
            <w:shd w:val="clear" w:color="auto" w:fill="auto"/>
            <w:noWrap/>
            <w:vAlign w:val="bottom"/>
            <w:hideMark/>
          </w:tcPr>
          <w:p w14:paraId="3825D87B"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EEC8D8" w14:textId="77777777" w:rsidR="003F050F" w:rsidRDefault="003F050F"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99BB7FF" w14:textId="77777777" w:rsidR="003F050F" w:rsidRDefault="003F050F"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75EE8DF2" w14:textId="77777777" w:rsidR="003F050F" w:rsidRDefault="003F050F" w:rsidP="005A3B4D">
            <w:pPr>
              <w:jc w:val="right"/>
              <w:rPr>
                <w:color w:val="000000"/>
                <w:sz w:val="20"/>
                <w:szCs w:val="20"/>
              </w:rPr>
            </w:pPr>
            <w:r>
              <w:rPr>
                <w:color w:val="000000"/>
                <w:sz w:val="20"/>
                <w:szCs w:val="20"/>
              </w:rPr>
              <w:t>0.712</w:t>
            </w:r>
          </w:p>
        </w:tc>
        <w:tc>
          <w:tcPr>
            <w:tcW w:w="768" w:type="dxa"/>
            <w:tcBorders>
              <w:top w:val="nil"/>
              <w:left w:val="nil"/>
              <w:bottom w:val="nil"/>
              <w:right w:val="nil"/>
            </w:tcBorders>
            <w:shd w:val="clear" w:color="auto" w:fill="auto"/>
            <w:noWrap/>
            <w:vAlign w:val="bottom"/>
            <w:hideMark/>
          </w:tcPr>
          <w:p w14:paraId="5BC874B9"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432C821"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B347B8C" w14:textId="77777777" w:rsidR="003F050F" w:rsidRDefault="003F050F" w:rsidP="005A3B4D">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4774705E"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9079D10" w14:textId="77777777" w:rsidR="003F050F" w:rsidRDefault="003F050F" w:rsidP="005A3B4D">
            <w:pPr>
              <w:jc w:val="right"/>
              <w:rPr>
                <w:b/>
                <w:bCs/>
                <w:color w:val="000000"/>
                <w:sz w:val="20"/>
                <w:szCs w:val="20"/>
              </w:rPr>
            </w:pPr>
            <w:r>
              <w:rPr>
                <w:b/>
                <w:bCs/>
                <w:color w:val="000000"/>
                <w:sz w:val="20"/>
                <w:szCs w:val="20"/>
              </w:rPr>
              <w:t>-0.102</w:t>
            </w:r>
          </w:p>
        </w:tc>
        <w:tc>
          <w:tcPr>
            <w:tcW w:w="768" w:type="dxa"/>
            <w:tcBorders>
              <w:top w:val="nil"/>
              <w:left w:val="nil"/>
              <w:bottom w:val="nil"/>
              <w:right w:val="nil"/>
            </w:tcBorders>
            <w:shd w:val="clear" w:color="auto" w:fill="auto"/>
            <w:noWrap/>
            <w:vAlign w:val="bottom"/>
            <w:hideMark/>
          </w:tcPr>
          <w:p w14:paraId="142163A1" w14:textId="77777777" w:rsidR="003F050F" w:rsidRDefault="003F050F"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5FF7D1C8" w14:textId="77777777" w:rsidR="003F050F" w:rsidRDefault="003F050F" w:rsidP="005A3B4D">
            <w:pPr>
              <w:jc w:val="right"/>
              <w:rPr>
                <w:b/>
                <w:bCs/>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4137CBA2" w14:textId="77777777" w:rsidR="003F050F" w:rsidRDefault="003F050F"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148BE7DC" w14:textId="77777777" w:rsidR="003F050F" w:rsidRDefault="003F050F" w:rsidP="005A3B4D">
            <w:pPr>
              <w:jc w:val="right"/>
              <w:rPr>
                <w:color w:val="000000"/>
                <w:sz w:val="20"/>
                <w:szCs w:val="20"/>
              </w:rPr>
            </w:pPr>
            <w:r>
              <w:rPr>
                <w:color w:val="000000"/>
                <w:sz w:val="20"/>
                <w:szCs w:val="20"/>
              </w:rPr>
              <w:t>0.268</w:t>
            </w:r>
          </w:p>
        </w:tc>
        <w:tc>
          <w:tcPr>
            <w:tcW w:w="768" w:type="dxa"/>
            <w:tcBorders>
              <w:top w:val="nil"/>
              <w:left w:val="nil"/>
              <w:bottom w:val="nil"/>
              <w:right w:val="nil"/>
            </w:tcBorders>
            <w:shd w:val="clear" w:color="auto" w:fill="auto"/>
            <w:noWrap/>
            <w:vAlign w:val="bottom"/>
            <w:hideMark/>
          </w:tcPr>
          <w:p w14:paraId="564AACE0"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9D6F1EF" w14:textId="77777777" w:rsidR="003F050F" w:rsidRDefault="003F050F" w:rsidP="005A3B4D">
            <w:pPr>
              <w:jc w:val="right"/>
              <w:rPr>
                <w:color w:val="000000"/>
                <w:sz w:val="20"/>
                <w:szCs w:val="20"/>
              </w:rPr>
            </w:pPr>
            <w:r>
              <w:rPr>
                <w:color w:val="000000"/>
                <w:sz w:val="20"/>
                <w:szCs w:val="20"/>
              </w:rPr>
              <w:t>-0.089</w:t>
            </w:r>
          </w:p>
        </w:tc>
        <w:tc>
          <w:tcPr>
            <w:tcW w:w="768" w:type="dxa"/>
            <w:tcBorders>
              <w:top w:val="nil"/>
              <w:left w:val="nil"/>
              <w:bottom w:val="nil"/>
              <w:right w:val="nil"/>
            </w:tcBorders>
            <w:shd w:val="clear" w:color="auto" w:fill="auto"/>
            <w:noWrap/>
            <w:vAlign w:val="bottom"/>
            <w:hideMark/>
          </w:tcPr>
          <w:p w14:paraId="160C0829" w14:textId="77777777" w:rsidR="003F050F" w:rsidRDefault="003F050F"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66A1D86C" w14:textId="77777777" w:rsidR="003F050F" w:rsidRDefault="003F050F" w:rsidP="005A3B4D">
            <w:pPr>
              <w:jc w:val="right"/>
              <w:rPr>
                <w:color w:val="000000"/>
                <w:sz w:val="20"/>
                <w:szCs w:val="20"/>
              </w:rPr>
            </w:pPr>
            <w:r>
              <w:rPr>
                <w:color w:val="000000"/>
                <w:sz w:val="20"/>
                <w:szCs w:val="20"/>
              </w:rPr>
              <w:t>0.008</w:t>
            </w:r>
          </w:p>
        </w:tc>
      </w:tr>
      <w:tr w:rsidR="003F050F" w14:paraId="73354F20" w14:textId="77777777" w:rsidTr="005A3B4D">
        <w:trPr>
          <w:trHeight w:val="320"/>
        </w:trPr>
        <w:tc>
          <w:tcPr>
            <w:tcW w:w="1176" w:type="dxa"/>
            <w:tcBorders>
              <w:top w:val="nil"/>
              <w:left w:val="nil"/>
              <w:bottom w:val="nil"/>
              <w:right w:val="nil"/>
            </w:tcBorders>
            <w:shd w:val="clear" w:color="auto" w:fill="auto"/>
            <w:noWrap/>
            <w:vAlign w:val="bottom"/>
            <w:hideMark/>
          </w:tcPr>
          <w:p w14:paraId="7E06815D"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A9DC68B" w14:textId="77777777" w:rsidR="003F050F" w:rsidRDefault="003F050F"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1D6A2C7" w14:textId="77777777" w:rsidR="003F050F" w:rsidRDefault="003F050F"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22F95CB" w14:textId="77777777" w:rsidR="003F050F" w:rsidRDefault="003F050F" w:rsidP="005A3B4D">
            <w:pPr>
              <w:jc w:val="right"/>
              <w:rPr>
                <w:color w:val="000000"/>
                <w:sz w:val="20"/>
                <w:szCs w:val="20"/>
              </w:rPr>
            </w:pPr>
            <w:r>
              <w:rPr>
                <w:color w:val="000000"/>
                <w:sz w:val="20"/>
                <w:szCs w:val="20"/>
              </w:rPr>
              <w:t>0.632</w:t>
            </w:r>
          </w:p>
        </w:tc>
        <w:tc>
          <w:tcPr>
            <w:tcW w:w="768" w:type="dxa"/>
            <w:tcBorders>
              <w:top w:val="nil"/>
              <w:left w:val="nil"/>
              <w:bottom w:val="nil"/>
              <w:right w:val="nil"/>
            </w:tcBorders>
            <w:shd w:val="clear" w:color="auto" w:fill="auto"/>
            <w:noWrap/>
            <w:vAlign w:val="bottom"/>
            <w:hideMark/>
          </w:tcPr>
          <w:p w14:paraId="06925D00"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8066AB8" w14:textId="77777777" w:rsidR="003F050F" w:rsidRDefault="003F050F"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938E4A4" w14:textId="77777777" w:rsidR="003F050F" w:rsidRDefault="003F050F" w:rsidP="005A3B4D">
            <w:pPr>
              <w:jc w:val="right"/>
              <w:rPr>
                <w:color w:val="000000"/>
                <w:sz w:val="20"/>
                <w:szCs w:val="20"/>
              </w:rPr>
            </w:pPr>
            <w:r>
              <w:rPr>
                <w:color w:val="000000"/>
                <w:sz w:val="20"/>
                <w:szCs w:val="20"/>
              </w:rPr>
              <w:t>0.889</w:t>
            </w:r>
          </w:p>
        </w:tc>
        <w:tc>
          <w:tcPr>
            <w:tcW w:w="768" w:type="dxa"/>
            <w:tcBorders>
              <w:top w:val="nil"/>
              <w:left w:val="nil"/>
              <w:bottom w:val="nil"/>
              <w:right w:val="nil"/>
            </w:tcBorders>
            <w:shd w:val="clear" w:color="auto" w:fill="auto"/>
            <w:noWrap/>
            <w:vAlign w:val="bottom"/>
            <w:hideMark/>
          </w:tcPr>
          <w:p w14:paraId="46A85293"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74B9ED" w14:textId="77777777" w:rsidR="003F050F" w:rsidRDefault="003F050F"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130DA1DA" w14:textId="77777777" w:rsidR="003F050F" w:rsidRDefault="003F050F" w:rsidP="005A3B4D">
            <w:pPr>
              <w:jc w:val="right"/>
              <w:rPr>
                <w:color w:val="000000"/>
                <w:sz w:val="20"/>
                <w:szCs w:val="20"/>
              </w:rPr>
            </w:pPr>
            <w:r>
              <w:rPr>
                <w:color w:val="000000"/>
                <w:sz w:val="20"/>
                <w:szCs w:val="20"/>
              </w:rPr>
              <w:t>0.288</w:t>
            </w:r>
          </w:p>
        </w:tc>
        <w:tc>
          <w:tcPr>
            <w:tcW w:w="768" w:type="dxa"/>
            <w:tcBorders>
              <w:top w:val="nil"/>
              <w:left w:val="nil"/>
              <w:bottom w:val="nil"/>
              <w:right w:val="nil"/>
            </w:tcBorders>
            <w:shd w:val="clear" w:color="auto" w:fill="auto"/>
            <w:noWrap/>
            <w:vAlign w:val="bottom"/>
            <w:hideMark/>
          </w:tcPr>
          <w:p w14:paraId="0D06D920"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AC46B8D"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C5EF2A4" w14:textId="77777777" w:rsidR="003F050F" w:rsidRDefault="003F050F" w:rsidP="005A3B4D">
            <w:pPr>
              <w:jc w:val="right"/>
              <w:rPr>
                <w:color w:val="000000"/>
                <w:sz w:val="20"/>
                <w:szCs w:val="20"/>
              </w:rPr>
            </w:pPr>
            <w:r>
              <w:rPr>
                <w:color w:val="000000"/>
                <w:sz w:val="20"/>
                <w:szCs w:val="20"/>
              </w:rPr>
              <w:t>0.873</w:t>
            </w:r>
          </w:p>
        </w:tc>
        <w:tc>
          <w:tcPr>
            <w:tcW w:w="768" w:type="dxa"/>
            <w:tcBorders>
              <w:top w:val="nil"/>
              <w:left w:val="nil"/>
              <w:bottom w:val="nil"/>
              <w:right w:val="nil"/>
            </w:tcBorders>
            <w:shd w:val="clear" w:color="auto" w:fill="auto"/>
            <w:noWrap/>
            <w:vAlign w:val="bottom"/>
            <w:hideMark/>
          </w:tcPr>
          <w:p w14:paraId="218F3F11"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F733F94" w14:textId="77777777" w:rsidR="003F050F" w:rsidRDefault="003F050F" w:rsidP="005A3B4D">
            <w:pPr>
              <w:jc w:val="right"/>
              <w:rPr>
                <w:color w:val="000000"/>
                <w:sz w:val="20"/>
                <w:szCs w:val="20"/>
              </w:rPr>
            </w:pPr>
            <w:r>
              <w:rPr>
                <w:color w:val="000000"/>
                <w:sz w:val="20"/>
                <w:szCs w:val="20"/>
              </w:rPr>
              <w:t>0.044</w:t>
            </w:r>
          </w:p>
        </w:tc>
        <w:tc>
          <w:tcPr>
            <w:tcW w:w="768" w:type="dxa"/>
            <w:tcBorders>
              <w:top w:val="nil"/>
              <w:left w:val="nil"/>
              <w:bottom w:val="nil"/>
              <w:right w:val="nil"/>
            </w:tcBorders>
            <w:shd w:val="clear" w:color="auto" w:fill="auto"/>
            <w:noWrap/>
            <w:vAlign w:val="bottom"/>
            <w:hideMark/>
          </w:tcPr>
          <w:p w14:paraId="535AC06B" w14:textId="77777777" w:rsidR="003F050F" w:rsidRDefault="003F050F" w:rsidP="005A3B4D">
            <w:pPr>
              <w:jc w:val="right"/>
              <w:rPr>
                <w:color w:val="000000"/>
                <w:sz w:val="20"/>
                <w:szCs w:val="20"/>
              </w:rPr>
            </w:pPr>
            <w:r>
              <w:rPr>
                <w:color w:val="000000"/>
                <w:sz w:val="20"/>
                <w:szCs w:val="20"/>
              </w:rPr>
              <w:t>0.392</w:t>
            </w:r>
          </w:p>
        </w:tc>
        <w:tc>
          <w:tcPr>
            <w:tcW w:w="768" w:type="dxa"/>
            <w:tcBorders>
              <w:top w:val="nil"/>
              <w:left w:val="nil"/>
              <w:bottom w:val="nil"/>
              <w:right w:val="nil"/>
            </w:tcBorders>
            <w:shd w:val="clear" w:color="auto" w:fill="auto"/>
            <w:noWrap/>
            <w:vAlign w:val="bottom"/>
            <w:hideMark/>
          </w:tcPr>
          <w:p w14:paraId="5B94B6CA" w14:textId="77777777" w:rsidR="003F050F" w:rsidRDefault="003F050F" w:rsidP="005A3B4D">
            <w:pPr>
              <w:jc w:val="right"/>
              <w:rPr>
                <w:color w:val="000000"/>
                <w:sz w:val="20"/>
                <w:szCs w:val="20"/>
              </w:rPr>
            </w:pPr>
            <w:r>
              <w:rPr>
                <w:color w:val="000000"/>
                <w:sz w:val="20"/>
                <w:szCs w:val="20"/>
              </w:rPr>
              <w:t>0.002</w:t>
            </w:r>
          </w:p>
        </w:tc>
      </w:tr>
      <w:tr w:rsidR="003F050F" w14:paraId="7A027BDD"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5F298678" w14:textId="77777777" w:rsidR="003F050F" w:rsidRDefault="003F050F"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7188F92" w14:textId="77777777" w:rsidR="003F050F" w:rsidRDefault="003F050F"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448B60B" w14:textId="77777777" w:rsidR="003F050F" w:rsidRDefault="003F050F" w:rsidP="005A3B4D">
            <w:pPr>
              <w:jc w:val="right"/>
              <w:rPr>
                <w:color w:val="000000"/>
                <w:sz w:val="20"/>
                <w:szCs w:val="20"/>
              </w:rPr>
            </w:pPr>
            <w:r>
              <w:rPr>
                <w:color w:val="000000"/>
                <w:sz w:val="20"/>
                <w:szCs w:val="20"/>
              </w:rPr>
              <w:t>0.037</w:t>
            </w:r>
          </w:p>
        </w:tc>
        <w:tc>
          <w:tcPr>
            <w:tcW w:w="768" w:type="dxa"/>
            <w:tcBorders>
              <w:top w:val="nil"/>
              <w:left w:val="nil"/>
              <w:bottom w:val="single" w:sz="4" w:space="0" w:color="auto"/>
              <w:right w:val="nil"/>
            </w:tcBorders>
            <w:shd w:val="clear" w:color="auto" w:fill="auto"/>
            <w:noWrap/>
            <w:vAlign w:val="bottom"/>
            <w:hideMark/>
          </w:tcPr>
          <w:p w14:paraId="547CB450" w14:textId="77777777" w:rsidR="003F050F" w:rsidRDefault="003F050F" w:rsidP="005A3B4D">
            <w:pPr>
              <w:jc w:val="right"/>
              <w:rPr>
                <w:color w:val="000000"/>
                <w:sz w:val="20"/>
                <w:szCs w:val="20"/>
              </w:rPr>
            </w:pPr>
            <w:r>
              <w:rPr>
                <w:color w:val="000000"/>
                <w:sz w:val="20"/>
                <w:szCs w:val="20"/>
              </w:rPr>
              <w:t>0.752</w:t>
            </w:r>
          </w:p>
        </w:tc>
        <w:tc>
          <w:tcPr>
            <w:tcW w:w="768" w:type="dxa"/>
            <w:tcBorders>
              <w:top w:val="nil"/>
              <w:left w:val="nil"/>
              <w:bottom w:val="single" w:sz="4" w:space="0" w:color="auto"/>
              <w:right w:val="nil"/>
            </w:tcBorders>
            <w:shd w:val="clear" w:color="auto" w:fill="auto"/>
            <w:noWrap/>
            <w:vAlign w:val="bottom"/>
            <w:hideMark/>
          </w:tcPr>
          <w:p w14:paraId="4F1E459E"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7618F18" w14:textId="77777777" w:rsidR="003F050F" w:rsidRDefault="003F050F" w:rsidP="005A3B4D">
            <w:pPr>
              <w:jc w:val="right"/>
              <w:rPr>
                <w:color w:val="000000"/>
                <w:sz w:val="20"/>
                <w:szCs w:val="20"/>
              </w:rPr>
            </w:pPr>
            <w:r>
              <w:rPr>
                <w:color w:val="000000"/>
                <w:sz w:val="20"/>
                <w:szCs w:val="20"/>
              </w:rPr>
              <w:t>-0.038</w:t>
            </w:r>
          </w:p>
        </w:tc>
        <w:tc>
          <w:tcPr>
            <w:tcW w:w="768" w:type="dxa"/>
            <w:tcBorders>
              <w:top w:val="nil"/>
              <w:left w:val="nil"/>
              <w:bottom w:val="single" w:sz="4" w:space="0" w:color="auto"/>
              <w:right w:val="nil"/>
            </w:tcBorders>
            <w:shd w:val="clear" w:color="auto" w:fill="auto"/>
            <w:noWrap/>
            <w:vAlign w:val="bottom"/>
            <w:hideMark/>
          </w:tcPr>
          <w:p w14:paraId="54BB7D9C" w14:textId="77777777" w:rsidR="003F050F" w:rsidRDefault="003F050F" w:rsidP="005A3B4D">
            <w:pPr>
              <w:jc w:val="right"/>
              <w:rPr>
                <w:color w:val="000000"/>
                <w:sz w:val="20"/>
                <w:szCs w:val="20"/>
              </w:rPr>
            </w:pPr>
            <w:r>
              <w:rPr>
                <w:color w:val="000000"/>
                <w:sz w:val="20"/>
                <w:szCs w:val="20"/>
              </w:rPr>
              <w:t>0.402</w:t>
            </w:r>
          </w:p>
        </w:tc>
        <w:tc>
          <w:tcPr>
            <w:tcW w:w="768" w:type="dxa"/>
            <w:tcBorders>
              <w:top w:val="nil"/>
              <w:left w:val="nil"/>
              <w:bottom w:val="single" w:sz="4" w:space="0" w:color="auto"/>
              <w:right w:val="nil"/>
            </w:tcBorders>
            <w:shd w:val="clear" w:color="auto" w:fill="auto"/>
            <w:noWrap/>
            <w:vAlign w:val="bottom"/>
            <w:hideMark/>
          </w:tcPr>
          <w:p w14:paraId="37CEA71C"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DEDA40F" w14:textId="77777777" w:rsidR="003F050F" w:rsidRDefault="003F050F" w:rsidP="005A3B4D">
            <w:pPr>
              <w:jc w:val="right"/>
              <w:rPr>
                <w:color w:val="000000"/>
                <w:sz w:val="20"/>
                <w:szCs w:val="20"/>
              </w:rPr>
            </w:pPr>
            <w:r>
              <w:rPr>
                <w:color w:val="000000"/>
                <w:sz w:val="20"/>
                <w:szCs w:val="20"/>
              </w:rPr>
              <w:t>-0.043</w:t>
            </w:r>
          </w:p>
        </w:tc>
        <w:tc>
          <w:tcPr>
            <w:tcW w:w="768" w:type="dxa"/>
            <w:tcBorders>
              <w:top w:val="nil"/>
              <w:left w:val="nil"/>
              <w:bottom w:val="single" w:sz="4" w:space="0" w:color="auto"/>
              <w:right w:val="nil"/>
            </w:tcBorders>
            <w:shd w:val="clear" w:color="auto" w:fill="auto"/>
            <w:noWrap/>
            <w:vAlign w:val="bottom"/>
            <w:hideMark/>
          </w:tcPr>
          <w:p w14:paraId="70BB807A" w14:textId="77777777" w:rsidR="003F050F" w:rsidRDefault="003F050F" w:rsidP="005A3B4D">
            <w:pPr>
              <w:jc w:val="right"/>
              <w:rPr>
                <w:color w:val="000000"/>
                <w:sz w:val="20"/>
                <w:szCs w:val="20"/>
              </w:rPr>
            </w:pPr>
            <w:r>
              <w:rPr>
                <w:color w:val="000000"/>
                <w:sz w:val="20"/>
                <w:szCs w:val="20"/>
              </w:rPr>
              <w:t>0.408</w:t>
            </w:r>
          </w:p>
        </w:tc>
        <w:tc>
          <w:tcPr>
            <w:tcW w:w="768" w:type="dxa"/>
            <w:tcBorders>
              <w:top w:val="nil"/>
              <w:left w:val="nil"/>
              <w:bottom w:val="single" w:sz="4" w:space="0" w:color="auto"/>
              <w:right w:val="nil"/>
            </w:tcBorders>
            <w:shd w:val="clear" w:color="auto" w:fill="auto"/>
            <w:noWrap/>
            <w:vAlign w:val="bottom"/>
            <w:hideMark/>
          </w:tcPr>
          <w:p w14:paraId="643CCEE4"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0BD9E35D"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40F414CB" w14:textId="77777777" w:rsidR="003F050F" w:rsidRDefault="003F050F" w:rsidP="005A3B4D">
            <w:pPr>
              <w:jc w:val="right"/>
              <w:rPr>
                <w:color w:val="000000"/>
                <w:sz w:val="20"/>
                <w:szCs w:val="20"/>
              </w:rPr>
            </w:pPr>
            <w:r>
              <w:rPr>
                <w:color w:val="000000"/>
                <w:sz w:val="20"/>
                <w:szCs w:val="20"/>
              </w:rPr>
              <w:t>0.873</w:t>
            </w:r>
          </w:p>
        </w:tc>
        <w:tc>
          <w:tcPr>
            <w:tcW w:w="768" w:type="dxa"/>
            <w:tcBorders>
              <w:top w:val="nil"/>
              <w:left w:val="nil"/>
              <w:bottom w:val="single" w:sz="4" w:space="0" w:color="auto"/>
              <w:right w:val="nil"/>
            </w:tcBorders>
            <w:shd w:val="clear" w:color="auto" w:fill="auto"/>
            <w:noWrap/>
            <w:vAlign w:val="bottom"/>
            <w:hideMark/>
          </w:tcPr>
          <w:p w14:paraId="6ECE7773"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1C97077" w14:textId="77777777" w:rsidR="003F050F" w:rsidRDefault="003F050F" w:rsidP="005A3B4D">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27EC381C" w14:textId="77777777" w:rsidR="003F050F" w:rsidRDefault="003F050F" w:rsidP="005A3B4D">
            <w:pPr>
              <w:jc w:val="right"/>
              <w:rPr>
                <w:color w:val="000000"/>
                <w:sz w:val="20"/>
                <w:szCs w:val="20"/>
              </w:rPr>
            </w:pPr>
            <w:r>
              <w:rPr>
                <w:color w:val="000000"/>
                <w:sz w:val="20"/>
                <w:szCs w:val="20"/>
              </w:rPr>
              <w:t>0.901</w:t>
            </w:r>
          </w:p>
        </w:tc>
        <w:tc>
          <w:tcPr>
            <w:tcW w:w="768" w:type="dxa"/>
            <w:tcBorders>
              <w:top w:val="nil"/>
              <w:left w:val="nil"/>
              <w:bottom w:val="single" w:sz="4" w:space="0" w:color="auto"/>
              <w:right w:val="nil"/>
            </w:tcBorders>
            <w:shd w:val="clear" w:color="auto" w:fill="auto"/>
            <w:noWrap/>
            <w:vAlign w:val="bottom"/>
            <w:hideMark/>
          </w:tcPr>
          <w:p w14:paraId="2C314A77" w14:textId="77777777" w:rsidR="003F050F" w:rsidRDefault="003F050F" w:rsidP="005A3B4D">
            <w:pPr>
              <w:jc w:val="right"/>
              <w:rPr>
                <w:color w:val="000000"/>
                <w:sz w:val="20"/>
                <w:szCs w:val="20"/>
              </w:rPr>
            </w:pPr>
            <w:r>
              <w:rPr>
                <w:color w:val="000000"/>
                <w:sz w:val="20"/>
                <w:szCs w:val="20"/>
              </w:rPr>
              <w:t>0.000</w:t>
            </w:r>
          </w:p>
        </w:tc>
      </w:tr>
      <w:tr w:rsidR="003F050F" w14:paraId="066648BB" w14:textId="77777777" w:rsidTr="005A3B4D">
        <w:trPr>
          <w:trHeight w:val="320"/>
        </w:trPr>
        <w:tc>
          <w:tcPr>
            <w:tcW w:w="1176" w:type="dxa"/>
            <w:tcBorders>
              <w:top w:val="nil"/>
              <w:left w:val="nil"/>
              <w:bottom w:val="nil"/>
              <w:right w:val="nil"/>
            </w:tcBorders>
            <w:shd w:val="clear" w:color="auto" w:fill="auto"/>
            <w:noWrap/>
            <w:vAlign w:val="bottom"/>
            <w:hideMark/>
          </w:tcPr>
          <w:p w14:paraId="4C56B5CF" w14:textId="77777777" w:rsidR="003F050F" w:rsidRDefault="003F050F"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3589AF06" w14:textId="77777777" w:rsidR="003F050F" w:rsidRDefault="003F050F"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E0C5770" w14:textId="77777777" w:rsidR="003F050F" w:rsidRDefault="003F050F" w:rsidP="005A3B4D">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A8350DC" w14:textId="77777777" w:rsidR="003F050F" w:rsidRDefault="003F050F" w:rsidP="005A3B4D">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5AC1D46C"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8FF1E88" w14:textId="77777777" w:rsidR="003F050F" w:rsidRDefault="003F050F"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4E432571" w14:textId="77777777" w:rsidR="003F050F" w:rsidRDefault="003F050F"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01003852"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7D5438" w14:textId="77777777" w:rsidR="003F050F" w:rsidRDefault="003F050F"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314A52F" w14:textId="77777777" w:rsidR="003F050F" w:rsidRDefault="003F050F" w:rsidP="005A3B4D">
            <w:pPr>
              <w:jc w:val="right"/>
              <w:rPr>
                <w:color w:val="000000"/>
                <w:sz w:val="20"/>
                <w:szCs w:val="20"/>
              </w:rPr>
            </w:pPr>
            <w:r>
              <w:rPr>
                <w:color w:val="000000"/>
                <w:sz w:val="20"/>
                <w:szCs w:val="20"/>
              </w:rPr>
              <w:t>0.521</w:t>
            </w:r>
          </w:p>
        </w:tc>
        <w:tc>
          <w:tcPr>
            <w:tcW w:w="768" w:type="dxa"/>
            <w:tcBorders>
              <w:top w:val="nil"/>
              <w:left w:val="nil"/>
              <w:bottom w:val="nil"/>
              <w:right w:val="nil"/>
            </w:tcBorders>
            <w:shd w:val="clear" w:color="auto" w:fill="auto"/>
            <w:noWrap/>
            <w:vAlign w:val="bottom"/>
            <w:hideMark/>
          </w:tcPr>
          <w:p w14:paraId="2A11F44C"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D5C847" w14:textId="77777777" w:rsidR="003F050F" w:rsidRDefault="003F050F" w:rsidP="005A3B4D">
            <w:pPr>
              <w:jc w:val="right"/>
              <w:rPr>
                <w:color w:val="000000"/>
                <w:sz w:val="20"/>
                <w:szCs w:val="20"/>
              </w:rPr>
            </w:pPr>
            <w:r>
              <w:rPr>
                <w:color w:val="000000"/>
                <w:sz w:val="20"/>
                <w:szCs w:val="20"/>
              </w:rPr>
              <w:t>-0.068</w:t>
            </w:r>
          </w:p>
        </w:tc>
        <w:tc>
          <w:tcPr>
            <w:tcW w:w="768" w:type="dxa"/>
            <w:tcBorders>
              <w:top w:val="nil"/>
              <w:left w:val="nil"/>
              <w:bottom w:val="nil"/>
              <w:right w:val="nil"/>
            </w:tcBorders>
            <w:shd w:val="clear" w:color="auto" w:fill="auto"/>
            <w:noWrap/>
            <w:vAlign w:val="bottom"/>
            <w:hideMark/>
          </w:tcPr>
          <w:p w14:paraId="5D70F5E7" w14:textId="77777777" w:rsidR="003F050F" w:rsidRDefault="003F050F"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51967BE7"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51C36B8" w14:textId="77777777" w:rsidR="003F050F" w:rsidRDefault="003F050F" w:rsidP="005A3B4D">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766BF699" w14:textId="77777777" w:rsidR="003F050F" w:rsidRDefault="003F050F" w:rsidP="005A3B4D">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26E04FE8" w14:textId="77777777" w:rsidR="003F050F" w:rsidRDefault="003F050F" w:rsidP="005A3B4D">
            <w:pPr>
              <w:jc w:val="right"/>
              <w:rPr>
                <w:color w:val="000000"/>
                <w:sz w:val="20"/>
                <w:szCs w:val="20"/>
              </w:rPr>
            </w:pPr>
            <w:r>
              <w:rPr>
                <w:color w:val="000000"/>
                <w:sz w:val="20"/>
                <w:szCs w:val="20"/>
              </w:rPr>
              <w:t>0.002</w:t>
            </w:r>
          </w:p>
        </w:tc>
      </w:tr>
      <w:tr w:rsidR="003F050F" w14:paraId="6B418ACC" w14:textId="77777777" w:rsidTr="005A3B4D">
        <w:trPr>
          <w:trHeight w:val="320"/>
        </w:trPr>
        <w:tc>
          <w:tcPr>
            <w:tcW w:w="1176" w:type="dxa"/>
            <w:tcBorders>
              <w:top w:val="nil"/>
              <w:left w:val="nil"/>
              <w:bottom w:val="nil"/>
              <w:right w:val="nil"/>
            </w:tcBorders>
            <w:shd w:val="clear" w:color="auto" w:fill="auto"/>
            <w:noWrap/>
            <w:vAlign w:val="bottom"/>
            <w:hideMark/>
          </w:tcPr>
          <w:p w14:paraId="1D00F26C"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860CD76" w14:textId="77777777" w:rsidR="003F050F" w:rsidRDefault="003F050F"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44B6F27F" w14:textId="77777777" w:rsidR="003F050F" w:rsidRDefault="003F050F"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3981C8AE" w14:textId="77777777" w:rsidR="003F050F" w:rsidRDefault="003F050F" w:rsidP="005A3B4D">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42FC8D2F"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DC112F9" w14:textId="77777777" w:rsidR="003F050F" w:rsidRDefault="003F050F"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301BE90" w14:textId="77777777" w:rsidR="003F050F" w:rsidRDefault="003F050F" w:rsidP="005A3B4D">
            <w:pPr>
              <w:jc w:val="right"/>
              <w:rPr>
                <w:color w:val="000000"/>
                <w:sz w:val="20"/>
                <w:szCs w:val="20"/>
              </w:rPr>
            </w:pPr>
            <w:r>
              <w:rPr>
                <w:color w:val="000000"/>
                <w:sz w:val="20"/>
                <w:szCs w:val="20"/>
              </w:rPr>
              <w:t>0.885</w:t>
            </w:r>
          </w:p>
        </w:tc>
        <w:tc>
          <w:tcPr>
            <w:tcW w:w="768" w:type="dxa"/>
            <w:tcBorders>
              <w:top w:val="nil"/>
              <w:left w:val="nil"/>
              <w:bottom w:val="nil"/>
              <w:right w:val="nil"/>
            </w:tcBorders>
            <w:shd w:val="clear" w:color="auto" w:fill="auto"/>
            <w:noWrap/>
            <w:vAlign w:val="bottom"/>
            <w:hideMark/>
          </w:tcPr>
          <w:p w14:paraId="14F86791"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8A9E392" w14:textId="77777777" w:rsidR="003F050F" w:rsidRDefault="003F050F"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88C0CDD" w14:textId="77777777" w:rsidR="003F050F" w:rsidRDefault="003F050F" w:rsidP="005A3B4D">
            <w:pPr>
              <w:jc w:val="right"/>
              <w:rPr>
                <w:color w:val="000000"/>
                <w:sz w:val="20"/>
                <w:szCs w:val="20"/>
              </w:rPr>
            </w:pPr>
            <w:r>
              <w:rPr>
                <w:color w:val="000000"/>
                <w:sz w:val="20"/>
                <w:szCs w:val="20"/>
              </w:rPr>
              <w:t>0.380</w:t>
            </w:r>
          </w:p>
        </w:tc>
        <w:tc>
          <w:tcPr>
            <w:tcW w:w="768" w:type="dxa"/>
            <w:tcBorders>
              <w:top w:val="nil"/>
              <w:left w:val="nil"/>
              <w:bottom w:val="nil"/>
              <w:right w:val="nil"/>
            </w:tcBorders>
            <w:shd w:val="clear" w:color="auto" w:fill="auto"/>
            <w:noWrap/>
            <w:vAlign w:val="bottom"/>
            <w:hideMark/>
          </w:tcPr>
          <w:p w14:paraId="3FD6564C"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CB97D8D" w14:textId="77777777" w:rsidR="003F050F" w:rsidRDefault="003F050F"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31238D5" w14:textId="77777777" w:rsidR="003F050F" w:rsidRDefault="003F050F" w:rsidP="005A3B4D">
            <w:pPr>
              <w:jc w:val="right"/>
              <w:rPr>
                <w:color w:val="000000"/>
                <w:sz w:val="20"/>
                <w:szCs w:val="20"/>
              </w:rPr>
            </w:pPr>
            <w:r>
              <w:rPr>
                <w:color w:val="000000"/>
                <w:sz w:val="20"/>
                <w:szCs w:val="20"/>
              </w:rPr>
              <w:t>0.671</w:t>
            </w:r>
          </w:p>
        </w:tc>
        <w:tc>
          <w:tcPr>
            <w:tcW w:w="768" w:type="dxa"/>
            <w:tcBorders>
              <w:top w:val="nil"/>
              <w:left w:val="nil"/>
              <w:bottom w:val="nil"/>
              <w:right w:val="nil"/>
            </w:tcBorders>
            <w:shd w:val="clear" w:color="auto" w:fill="auto"/>
            <w:noWrap/>
            <w:vAlign w:val="bottom"/>
            <w:hideMark/>
          </w:tcPr>
          <w:p w14:paraId="3D1AF61B"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E604286" w14:textId="77777777" w:rsidR="003F050F" w:rsidRDefault="003F050F" w:rsidP="005A3B4D">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DE4EAEA" w14:textId="77777777" w:rsidR="003F050F" w:rsidRDefault="003F050F" w:rsidP="005A3B4D">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321503DA" w14:textId="77777777" w:rsidR="003F050F" w:rsidRDefault="003F050F" w:rsidP="005A3B4D">
            <w:pPr>
              <w:jc w:val="right"/>
              <w:rPr>
                <w:color w:val="000000"/>
                <w:sz w:val="20"/>
                <w:szCs w:val="20"/>
              </w:rPr>
            </w:pPr>
            <w:r>
              <w:rPr>
                <w:color w:val="000000"/>
                <w:sz w:val="20"/>
                <w:szCs w:val="20"/>
              </w:rPr>
              <w:t>0.000</w:t>
            </w:r>
          </w:p>
        </w:tc>
      </w:tr>
      <w:tr w:rsidR="003F050F" w14:paraId="2CBE7DDC" w14:textId="77777777" w:rsidTr="005A3B4D">
        <w:trPr>
          <w:trHeight w:val="320"/>
        </w:trPr>
        <w:tc>
          <w:tcPr>
            <w:tcW w:w="1176" w:type="dxa"/>
            <w:tcBorders>
              <w:top w:val="nil"/>
              <w:left w:val="nil"/>
              <w:bottom w:val="nil"/>
              <w:right w:val="nil"/>
            </w:tcBorders>
            <w:shd w:val="clear" w:color="auto" w:fill="auto"/>
            <w:noWrap/>
            <w:vAlign w:val="bottom"/>
            <w:hideMark/>
          </w:tcPr>
          <w:p w14:paraId="4C76B4B0"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0FE9218" w14:textId="77777777" w:rsidR="003F050F" w:rsidRDefault="003F050F"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41374124" w14:textId="77777777" w:rsidR="003F050F" w:rsidRDefault="003F050F"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7FCAD22D" w14:textId="77777777" w:rsidR="003F050F" w:rsidRDefault="003F050F" w:rsidP="005A3B4D">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22EDF452"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DC2BDE4" w14:textId="77777777" w:rsidR="003F050F" w:rsidRDefault="003F050F"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52FB8DF9" w14:textId="77777777" w:rsidR="003F050F" w:rsidRDefault="003F050F" w:rsidP="005A3B4D">
            <w:pPr>
              <w:jc w:val="right"/>
              <w:rPr>
                <w:color w:val="000000"/>
                <w:sz w:val="20"/>
                <w:szCs w:val="20"/>
              </w:rPr>
            </w:pPr>
            <w:r>
              <w:rPr>
                <w:color w:val="000000"/>
                <w:sz w:val="20"/>
                <w:szCs w:val="20"/>
              </w:rPr>
              <w:t>0.740</w:t>
            </w:r>
          </w:p>
        </w:tc>
        <w:tc>
          <w:tcPr>
            <w:tcW w:w="768" w:type="dxa"/>
            <w:tcBorders>
              <w:top w:val="nil"/>
              <w:left w:val="nil"/>
              <w:bottom w:val="nil"/>
              <w:right w:val="nil"/>
            </w:tcBorders>
            <w:shd w:val="clear" w:color="auto" w:fill="auto"/>
            <w:noWrap/>
            <w:vAlign w:val="bottom"/>
            <w:hideMark/>
          </w:tcPr>
          <w:p w14:paraId="17826180"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FE32F62" w14:textId="77777777" w:rsidR="003F050F" w:rsidRDefault="003F050F"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99DB22B" w14:textId="77777777" w:rsidR="003F050F" w:rsidRDefault="003F050F" w:rsidP="005A3B4D">
            <w:pPr>
              <w:jc w:val="right"/>
              <w:rPr>
                <w:color w:val="000000"/>
                <w:sz w:val="20"/>
                <w:szCs w:val="20"/>
              </w:rPr>
            </w:pPr>
            <w:r>
              <w:rPr>
                <w:color w:val="000000"/>
                <w:sz w:val="20"/>
                <w:szCs w:val="20"/>
              </w:rPr>
              <w:t>0.469</w:t>
            </w:r>
          </w:p>
        </w:tc>
        <w:tc>
          <w:tcPr>
            <w:tcW w:w="768" w:type="dxa"/>
            <w:tcBorders>
              <w:top w:val="nil"/>
              <w:left w:val="nil"/>
              <w:bottom w:val="nil"/>
              <w:right w:val="nil"/>
            </w:tcBorders>
            <w:shd w:val="clear" w:color="auto" w:fill="auto"/>
            <w:noWrap/>
            <w:vAlign w:val="bottom"/>
            <w:hideMark/>
          </w:tcPr>
          <w:p w14:paraId="41C9074B"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29A2C2"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055D680" w14:textId="77777777" w:rsidR="003F050F" w:rsidRDefault="003F050F" w:rsidP="005A3B4D">
            <w:pPr>
              <w:jc w:val="right"/>
              <w:rPr>
                <w:color w:val="000000"/>
                <w:sz w:val="20"/>
                <w:szCs w:val="20"/>
              </w:rPr>
            </w:pPr>
            <w:r>
              <w:rPr>
                <w:color w:val="000000"/>
                <w:sz w:val="20"/>
                <w:szCs w:val="20"/>
              </w:rPr>
              <w:t>0.877</w:t>
            </w:r>
          </w:p>
        </w:tc>
        <w:tc>
          <w:tcPr>
            <w:tcW w:w="768" w:type="dxa"/>
            <w:tcBorders>
              <w:top w:val="nil"/>
              <w:left w:val="nil"/>
              <w:bottom w:val="nil"/>
              <w:right w:val="nil"/>
            </w:tcBorders>
            <w:shd w:val="clear" w:color="auto" w:fill="auto"/>
            <w:noWrap/>
            <w:vAlign w:val="bottom"/>
            <w:hideMark/>
          </w:tcPr>
          <w:p w14:paraId="0812C72B"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6F67DB" w14:textId="77777777" w:rsidR="003F050F" w:rsidRDefault="003F050F" w:rsidP="005A3B4D">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73F00EFA" w14:textId="77777777" w:rsidR="003F050F" w:rsidRDefault="003F050F" w:rsidP="005A3B4D">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5B7B8587" w14:textId="77777777" w:rsidR="003F050F" w:rsidRDefault="003F050F" w:rsidP="005A3B4D">
            <w:pPr>
              <w:jc w:val="right"/>
              <w:rPr>
                <w:color w:val="000000"/>
                <w:sz w:val="20"/>
                <w:szCs w:val="20"/>
              </w:rPr>
            </w:pPr>
            <w:r>
              <w:rPr>
                <w:color w:val="000000"/>
                <w:sz w:val="20"/>
                <w:szCs w:val="20"/>
              </w:rPr>
              <w:t>0.003</w:t>
            </w:r>
          </w:p>
        </w:tc>
      </w:tr>
      <w:tr w:rsidR="003F050F" w14:paraId="0BF6723E" w14:textId="77777777" w:rsidTr="005A3B4D">
        <w:trPr>
          <w:trHeight w:val="320"/>
        </w:trPr>
        <w:tc>
          <w:tcPr>
            <w:tcW w:w="1176" w:type="dxa"/>
            <w:tcBorders>
              <w:top w:val="nil"/>
              <w:left w:val="nil"/>
              <w:bottom w:val="nil"/>
              <w:right w:val="nil"/>
            </w:tcBorders>
            <w:shd w:val="clear" w:color="auto" w:fill="auto"/>
            <w:noWrap/>
            <w:vAlign w:val="bottom"/>
            <w:hideMark/>
          </w:tcPr>
          <w:p w14:paraId="22EF3764"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E2CC255" w14:textId="77777777" w:rsidR="003F050F" w:rsidRDefault="003F050F"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262809E7"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6910A048" w14:textId="77777777" w:rsidR="003F050F" w:rsidRDefault="003F050F" w:rsidP="005A3B4D">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3DE1E14B"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8CCCBF" w14:textId="77777777" w:rsidR="003F050F" w:rsidRDefault="003F050F" w:rsidP="005A3B4D">
            <w:pPr>
              <w:jc w:val="right"/>
              <w:rPr>
                <w:b/>
                <w:bCs/>
                <w:color w:val="000000"/>
                <w:sz w:val="20"/>
                <w:szCs w:val="20"/>
              </w:rPr>
            </w:pPr>
            <w:r>
              <w:rPr>
                <w:b/>
                <w:bCs/>
                <w:color w:val="000000"/>
                <w:sz w:val="20"/>
                <w:szCs w:val="20"/>
              </w:rPr>
              <w:t>-0.124</w:t>
            </w:r>
          </w:p>
        </w:tc>
        <w:tc>
          <w:tcPr>
            <w:tcW w:w="768" w:type="dxa"/>
            <w:tcBorders>
              <w:top w:val="nil"/>
              <w:left w:val="nil"/>
              <w:bottom w:val="nil"/>
              <w:right w:val="nil"/>
            </w:tcBorders>
            <w:shd w:val="clear" w:color="auto" w:fill="auto"/>
            <w:noWrap/>
            <w:vAlign w:val="bottom"/>
            <w:hideMark/>
          </w:tcPr>
          <w:p w14:paraId="3D976E57" w14:textId="77777777" w:rsidR="003F050F" w:rsidRDefault="003F050F"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7570C6DC" w14:textId="77777777" w:rsidR="003F050F" w:rsidRDefault="003F050F" w:rsidP="005A3B4D">
            <w:pPr>
              <w:jc w:val="right"/>
              <w:rPr>
                <w:b/>
                <w:bCs/>
                <w:color w:val="000000"/>
                <w:sz w:val="20"/>
                <w:szCs w:val="20"/>
              </w:rPr>
            </w:pPr>
            <w:r>
              <w:rPr>
                <w:b/>
                <w:bCs/>
                <w:color w:val="000000"/>
                <w:sz w:val="20"/>
                <w:szCs w:val="20"/>
              </w:rPr>
              <w:t>0.015</w:t>
            </w:r>
          </w:p>
        </w:tc>
        <w:tc>
          <w:tcPr>
            <w:tcW w:w="768" w:type="dxa"/>
            <w:tcBorders>
              <w:top w:val="nil"/>
              <w:left w:val="nil"/>
              <w:bottom w:val="nil"/>
              <w:right w:val="nil"/>
            </w:tcBorders>
            <w:shd w:val="clear" w:color="auto" w:fill="auto"/>
            <w:noWrap/>
            <w:vAlign w:val="bottom"/>
            <w:hideMark/>
          </w:tcPr>
          <w:p w14:paraId="0289DC2A" w14:textId="77777777" w:rsidR="003F050F" w:rsidRDefault="003F050F" w:rsidP="005A3B4D">
            <w:pPr>
              <w:jc w:val="right"/>
              <w:rPr>
                <w:color w:val="000000"/>
                <w:sz w:val="20"/>
                <w:szCs w:val="20"/>
              </w:rPr>
            </w:pPr>
            <w:r>
              <w:rPr>
                <w:color w:val="000000"/>
                <w:sz w:val="20"/>
                <w:szCs w:val="20"/>
              </w:rPr>
              <w:t>-0.066</w:t>
            </w:r>
          </w:p>
        </w:tc>
        <w:tc>
          <w:tcPr>
            <w:tcW w:w="768" w:type="dxa"/>
            <w:tcBorders>
              <w:top w:val="nil"/>
              <w:left w:val="nil"/>
              <w:bottom w:val="nil"/>
              <w:right w:val="nil"/>
            </w:tcBorders>
            <w:shd w:val="clear" w:color="auto" w:fill="auto"/>
            <w:noWrap/>
            <w:vAlign w:val="bottom"/>
            <w:hideMark/>
          </w:tcPr>
          <w:p w14:paraId="7DCFDCA5" w14:textId="77777777" w:rsidR="003F050F" w:rsidRDefault="003F050F" w:rsidP="005A3B4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2A509849"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0EEFA1D" w14:textId="77777777" w:rsidR="003F050F" w:rsidRDefault="003F050F" w:rsidP="005A3B4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1AFE2352" w14:textId="77777777" w:rsidR="003F050F" w:rsidRDefault="003F050F"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229DD323"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BB9B118" w14:textId="77777777" w:rsidR="003F050F" w:rsidRDefault="003F050F"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3DCBB538" w14:textId="77777777" w:rsidR="003F050F" w:rsidRDefault="003F050F" w:rsidP="005A3B4D">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4AF3F478" w14:textId="77777777" w:rsidR="003F050F" w:rsidRDefault="003F050F" w:rsidP="005A3B4D">
            <w:pPr>
              <w:jc w:val="right"/>
              <w:rPr>
                <w:color w:val="000000"/>
                <w:sz w:val="20"/>
                <w:szCs w:val="20"/>
              </w:rPr>
            </w:pPr>
            <w:r>
              <w:rPr>
                <w:color w:val="000000"/>
                <w:sz w:val="20"/>
                <w:szCs w:val="20"/>
              </w:rPr>
              <w:t>0.002</w:t>
            </w:r>
          </w:p>
        </w:tc>
      </w:tr>
      <w:tr w:rsidR="003F050F" w14:paraId="4EF21A22" w14:textId="77777777" w:rsidTr="005A3B4D">
        <w:trPr>
          <w:trHeight w:val="320"/>
        </w:trPr>
        <w:tc>
          <w:tcPr>
            <w:tcW w:w="1176" w:type="dxa"/>
            <w:tcBorders>
              <w:top w:val="nil"/>
              <w:left w:val="nil"/>
              <w:bottom w:val="nil"/>
              <w:right w:val="nil"/>
            </w:tcBorders>
            <w:shd w:val="clear" w:color="auto" w:fill="auto"/>
            <w:noWrap/>
            <w:vAlign w:val="bottom"/>
            <w:hideMark/>
          </w:tcPr>
          <w:p w14:paraId="0889756A"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C6A2286" w14:textId="77777777" w:rsidR="003F050F" w:rsidRDefault="003F050F"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2EBB3F4E" w14:textId="77777777" w:rsidR="003F050F" w:rsidRDefault="003F050F"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07857E5" w14:textId="77777777" w:rsidR="003F050F" w:rsidRDefault="003F050F" w:rsidP="005A3B4D">
            <w:pPr>
              <w:jc w:val="right"/>
              <w:rPr>
                <w:color w:val="000000"/>
                <w:sz w:val="20"/>
                <w:szCs w:val="20"/>
              </w:rPr>
            </w:pPr>
            <w:r>
              <w:rPr>
                <w:color w:val="000000"/>
                <w:sz w:val="20"/>
                <w:szCs w:val="20"/>
              </w:rPr>
              <w:t>0.803</w:t>
            </w:r>
          </w:p>
        </w:tc>
        <w:tc>
          <w:tcPr>
            <w:tcW w:w="768" w:type="dxa"/>
            <w:tcBorders>
              <w:top w:val="nil"/>
              <w:left w:val="nil"/>
              <w:bottom w:val="nil"/>
              <w:right w:val="nil"/>
            </w:tcBorders>
            <w:shd w:val="clear" w:color="auto" w:fill="auto"/>
            <w:noWrap/>
            <w:vAlign w:val="bottom"/>
            <w:hideMark/>
          </w:tcPr>
          <w:p w14:paraId="03D0CDC1"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720541"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D408BE5" w14:textId="77777777" w:rsidR="003F050F" w:rsidRDefault="003F050F" w:rsidP="005A3B4D">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70439EA4"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D29DA3C"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9A615EC" w14:textId="77777777" w:rsidR="003F050F" w:rsidRDefault="003F050F" w:rsidP="005A3B4D">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73A3EEC0"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30B2ADE" w14:textId="77777777" w:rsidR="003F050F" w:rsidRDefault="003F050F"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E786EE1" w14:textId="77777777" w:rsidR="003F050F" w:rsidRDefault="003F050F" w:rsidP="005A3B4D">
            <w:pPr>
              <w:jc w:val="right"/>
              <w:rPr>
                <w:color w:val="000000"/>
                <w:sz w:val="20"/>
                <w:szCs w:val="20"/>
              </w:rPr>
            </w:pPr>
            <w:r>
              <w:rPr>
                <w:color w:val="000000"/>
                <w:sz w:val="20"/>
                <w:szCs w:val="20"/>
              </w:rPr>
              <w:t>0.671</w:t>
            </w:r>
          </w:p>
        </w:tc>
        <w:tc>
          <w:tcPr>
            <w:tcW w:w="768" w:type="dxa"/>
            <w:tcBorders>
              <w:top w:val="nil"/>
              <w:left w:val="nil"/>
              <w:bottom w:val="nil"/>
              <w:right w:val="nil"/>
            </w:tcBorders>
            <w:shd w:val="clear" w:color="auto" w:fill="auto"/>
            <w:noWrap/>
            <w:vAlign w:val="bottom"/>
            <w:hideMark/>
          </w:tcPr>
          <w:p w14:paraId="3D425454"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A9E2E6" w14:textId="77777777" w:rsidR="003F050F" w:rsidRDefault="003F050F"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47256DC" w14:textId="77777777" w:rsidR="003F050F" w:rsidRDefault="003F050F" w:rsidP="005A3B4D">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617B36CC" w14:textId="77777777" w:rsidR="003F050F" w:rsidRDefault="003F050F" w:rsidP="005A3B4D">
            <w:pPr>
              <w:jc w:val="right"/>
              <w:rPr>
                <w:color w:val="000000"/>
                <w:sz w:val="20"/>
                <w:szCs w:val="20"/>
              </w:rPr>
            </w:pPr>
            <w:r>
              <w:rPr>
                <w:color w:val="000000"/>
                <w:sz w:val="20"/>
                <w:szCs w:val="20"/>
              </w:rPr>
              <w:t>0.000</w:t>
            </w:r>
          </w:p>
        </w:tc>
      </w:tr>
      <w:tr w:rsidR="003F050F" w14:paraId="75934E9B" w14:textId="77777777" w:rsidTr="005A3B4D">
        <w:trPr>
          <w:trHeight w:val="320"/>
        </w:trPr>
        <w:tc>
          <w:tcPr>
            <w:tcW w:w="1176" w:type="dxa"/>
            <w:tcBorders>
              <w:top w:val="nil"/>
              <w:left w:val="nil"/>
              <w:bottom w:val="nil"/>
              <w:right w:val="nil"/>
            </w:tcBorders>
            <w:shd w:val="clear" w:color="auto" w:fill="auto"/>
            <w:noWrap/>
            <w:vAlign w:val="bottom"/>
            <w:hideMark/>
          </w:tcPr>
          <w:p w14:paraId="38E16504"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9ED1C0D" w14:textId="77777777" w:rsidR="003F050F" w:rsidRDefault="003F050F"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5859F125" w14:textId="77777777" w:rsidR="003F050F" w:rsidRDefault="003F050F"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0D84EACA" w14:textId="77777777" w:rsidR="003F050F" w:rsidRDefault="003F050F" w:rsidP="005A3B4D">
            <w:pPr>
              <w:jc w:val="right"/>
              <w:rPr>
                <w:color w:val="000000"/>
                <w:sz w:val="20"/>
                <w:szCs w:val="20"/>
              </w:rPr>
            </w:pPr>
            <w:r>
              <w:rPr>
                <w:color w:val="000000"/>
                <w:sz w:val="20"/>
                <w:szCs w:val="20"/>
              </w:rPr>
              <w:t>0.546</w:t>
            </w:r>
          </w:p>
        </w:tc>
        <w:tc>
          <w:tcPr>
            <w:tcW w:w="768" w:type="dxa"/>
            <w:tcBorders>
              <w:top w:val="nil"/>
              <w:left w:val="nil"/>
              <w:bottom w:val="nil"/>
              <w:right w:val="nil"/>
            </w:tcBorders>
            <w:shd w:val="clear" w:color="auto" w:fill="auto"/>
            <w:noWrap/>
            <w:vAlign w:val="bottom"/>
            <w:hideMark/>
          </w:tcPr>
          <w:p w14:paraId="3F3012C3"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4C9257"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E96E2BB" w14:textId="77777777" w:rsidR="003F050F" w:rsidRDefault="003F050F" w:rsidP="005A3B4D">
            <w:pPr>
              <w:jc w:val="right"/>
              <w:rPr>
                <w:color w:val="000000"/>
                <w:sz w:val="20"/>
                <w:szCs w:val="20"/>
              </w:rPr>
            </w:pPr>
            <w:r>
              <w:rPr>
                <w:color w:val="000000"/>
                <w:sz w:val="20"/>
                <w:szCs w:val="20"/>
              </w:rPr>
              <w:t>0.949</w:t>
            </w:r>
          </w:p>
        </w:tc>
        <w:tc>
          <w:tcPr>
            <w:tcW w:w="768" w:type="dxa"/>
            <w:tcBorders>
              <w:top w:val="nil"/>
              <w:left w:val="nil"/>
              <w:bottom w:val="nil"/>
              <w:right w:val="nil"/>
            </w:tcBorders>
            <w:shd w:val="clear" w:color="auto" w:fill="auto"/>
            <w:noWrap/>
            <w:vAlign w:val="bottom"/>
            <w:hideMark/>
          </w:tcPr>
          <w:p w14:paraId="3D84F294"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05AFF05" w14:textId="77777777" w:rsidR="003F050F" w:rsidRDefault="003F050F" w:rsidP="005A3B4D">
            <w:pPr>
              <w:jc w:val="right"/>
              <w:rPr>
                <w:b/>
                <w:bCs/>
                <w:color w:val="000000"/>
                <w:sz w:val="20"/>
                <w:szCs w:val="20"/>
              </w:rPr>
            </w:pPr>
            <w:r>
              <w:rPr>
                <w:b/>
                <w:bCs/>
                <w:color w:val="000000"/>
                <w:sz w:val="20"/>
                <w:szCs w:val="20"/>
              </w:rPr>
              <w:t>-0.090</w:t>
            </w:r>
          </w:p>
        </w:tc>
        <w:tc>
          <w:tcPr>
            <w:tcW w:w="768" w:type="dxa"/>
            <w:tcBorders>
              <w:top w:val="nil"/>
              <w:left w:val="nil"/>
              <w:bottom w:val="nil"/>
              <w:right w:val="nil"/>
            </w:tcBorders>
            <w:shd w:val="clear" w:color="auto" w:fill="auto"/>
            <w:noWrap/>
            <w:vAlign w:val="bottom"/>
            <w:hideMark/>
          </w:tcPr>
          <w:p w14:paraId="2DF621D5" w14:textId="77777777" w:rsidR="003F050F" w:rsidRDefault="003F050F"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567CB900" w14:textId="77777777" w:rsidR="003F050F" w:rsidRDefault="003F050F"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09D21FED" w14:textId="77777777" w:rsidR="003F050F" w:rsidRDefault="003F050F"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5D1F824A" w14:textId="77777777" w:rsidR="003F050F" w:rsidRDefault="003F050F" w:rsidP="005A3B4D">
            <w:pPr>
              <w:jc w:val="right"/>
              <w:rPr>
                <w:color w:val="000000"/>
                <w:sz w:val="20"/>
                <w:szCs w:val="20"/>
              </w:rPr>
            </w:pPr>
            <w:r>
              <w:rPr>
                <w:color w:val="000000"/>
                <w:sz w:val="20"/>
                <w:szCs w:val="20"/>
              </w:rPr>
              <w:t>0.221</w:t>
            </w:r>
          </w:p>
        </w:tc>
        <w:tc>
          <w:tcPr>
            <w:tcW w:w="768" w:type="dxa"/>
            <w:tcBorders>
              <w:top w:val="nil"/>
              <w:left w:val="nil"/>
              <w:bottom w:val="nil"/>
              <w:right w:val="nil"/>
            </w:tcBorders>
            <w:shd w:val="clear" w:color="auto" w:fill="auto"/>
            <w:noWrap/>
            <w:vAlign w:val="bottom"/>
            <w:hideMark/>
          </w:tcPr>
          <w:p w14:paraId="1CD63DC2"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20BEC07" w14:textId="77777777" w:rsidR="003F050F" w:rsidRDefault="003F050F" w:rsidP="005A3B4D">
            <w:pPr>
              <w:jc w:val="right"/>
              <w:rPr>
                <w:color w:val="000000"/>
                <w:sz w:val="20"/>
                <w:szCs w:val="20"/>
              </w:rPr>
            </w:pPr>
            <w:r>
              <w:rPr>
                <w:color w:val="000000"/>
                <w:sz w:val="20"/>
                <w:szCs w:val="20"/>
              </w:rPr>
              <w:t>-0.061</w:t>
            </w:r>
          </w:p>
        </w:tc>
        <w:tc>
          <w:tcPr>
            <w:tcW w:w="768" w:type="dxa"/>
            <w:tcBorders>
              <w:top w:val="nil"/>
              <w:left w:val="nil"/>
              <w:bottom w:val="nil"/>
              <w:right w:val="nil"/>
            </w:tcBorders>
            <w:shd w:val="clear" w:color="auto" w:fill="auto"/>
            <w:noWrap/>
            <w:vAlign w:val="bottom"/>
            <w:hideMark/>
          </w:tcPr>
          <w:p w14:paraId="7E6ABD5A" w14:textId="77777777" w:rsidR="003F050F" w:rsidRDefault="003F050F" w:rsidP="005A3B4D">
            <w:pPr>
              <w:jc w:val="right"/>
              <w:rPr>
                <w:color w:val="000000"/>
                <w:sz w:val="20"/>
                <w:szCs w:val="20"/>
              </w:rPr>
            </w:pPr>
            <w:r>
              <w:rPr>
                <w:color w:val="000000"/>
                <w:sz w:val="20"/>
                <w:szCs w:val="20"/>
              </w:rPr>
              <w:t>0.309</w:t>
            </w:r>
          </w:p>
        </w:tc>
        <w:tc>
          <w:tcPr>
            <w:tcW w:w="768" w:type="dxa"/>
            <w:tcBorders>
              <w:top w:val="nil"/>
              <w:left w:val="nil"/>
              <w:bottom w:val="nil"/>
              <w:right w:val="nil"/>
            </w:tcBorders>
            <w:shd w:val="clear" w:color="auto" w:fill="auto"/>
            <w:noWrap/>
            <w:vAlign w:val="bottom"/>
            <w:hideMark/>
          </w:tcPr>
          <w:p w14:paraId="5FEF2CB7" w14:textId="77777777" w:rsidR="003F050F" w:rsidRDefault="003F050F" w:rsidP="005A3B4D">
            <w:pPr>
              <w:jc w:val="right"/>
              <w:rPr>
                <w:color w:val="000000"/>
                <w:sz w:val="20"/>
                <w:szCs w:val="20"/>
              </w:rPr>
            </w:pPr>
            <w:r>
              <w:rPr>
                <w:color w:val="000000"/>
                <w:sz w:val="20"/>
                <w:szCs w:val="20"/>
              </w:rPr>
              <w:t>0.004</w:t>
            </w:r>
          </w:p>
        </w:tc>
      </w:tr>
      <w:tr w:rsidR="003F050F" w14:paraId="2737FF14" w14:textId="77777777" w:rsidTr="005A3B4D">
        <w:trPr>
          <w:trHeight w:val="320"/>
        </w:trPr>
        <w:tc>
          <w:tcPr>
            <w:tcW w:w="1176" w:type="dxa"/>
            <w:tcBorders>
              <w:top w:val="nil"/>
              <w:left w:val="nil"/>
              <w:bottom w:val="nil"/>
              <w:right w:val="nil"/>
            </w:tcBorders>
            <w:shd w:val="clear" w:color="auto" w:fill="auto"/>
            <w:noWrap/>
            <w:vAlign w:val="bottom"/>
            <w:hideMark/>
          </w:tcPr>
          <w:p w14:paraId="2F3B8041"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B3FF7A" w14:textId="77777777" w:rsidR="003F050F" w:rsidRDefault="003F050F"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C5CB832" w14:textId="77777777" w:rsidR="003F050F" w:rsidRDefault="003F050F" w:rsidP="005A3B4D">
            <w:pPr>
              <w:jc w:val="right"/>
              <w:rPr>
                <w:b/>
                <w:bCs/>
                <w:color w:val="000000"/>
                <w:sz w:val="20"/>
                <w:szCs w:val="20"/>
              </w:rPr>
            </w:pPr>
            <w:r>
              <w:rPr>
                <w:b/>
                <w:bCs/>
                <w:color w:val="000000"/>
                <w:sz w:val="20"/>
                <w:szCs w:val="20"/>
              </w:rPr>
              <w:t>0.071</w:t>
            </w:r>
          </w:p>
        </w:tc>
        <w:tc>
          <w:tcPr>
            <w:tcW w:w="768" w:type="dxa"/>
            <w:tcBorders>
              <w:top w:val="nil"/>
              <w:left w:val="nil"/>
              <w:bottom w:val="nil"/>
              <w:right w:val="nil"/>
            </w:tcBorders>
            <w:shd w:val="clear" w:color="auto" w:fill="auto"/>
            <w:noWrap/>
            <w:vAlign w:val="bottom"/>
            <w:hideMark/>
          </w:tcPr>
          <w:p w14:paraId="1C133DF1" w14:textId="77777777" w:rsidR="003F050F" w:rsidRDefault="003F050F" w:rsidP="005A3B4D">
            <w:pPr>
              <w:jc w:val="right"/>
              <w:rPr>
                <w:b/>
                <w:bCs/>
                <w:color w:val="000000"/>
                <w:sz w:val="20"/>
                <w:szCs w:val="20"/>
              </w:rPr>
            </w:pPr>
            <w:r>
              <w:rPr>
                <w:b/>
                <w:bCs/>
                <w:color w:val="000000"/>
                <w:sz w:val="20"/>
                <w:szCs w:val="20"/>
              </w:rPr>
              <w:t>0.040</w:t>
            </w:r>
          </w:p>
        </w:tc>
        <w:tc>
          <w:tcPr>
            <w:tcW w:w="768" w:type="dxa"/>
            <w:tcBorders>
              <w:top w:val="nil"/>
              <w:left w:val="nil"/>
              <w:bottom w:val="nil"/>
              <w:right w:val="nil"/>
            </w:tcBorders>
            <w:shd w:val="clear" w:color="auto" w:fill="auto"/>
            <w:noWrap/>
            <w:vAlign w:val="bottom"/>
            <w:hideMark/>
          </w:tcPr>
          <w:p w14:paraId="293C0FFB" w14:textId="77777777" w:rsidR="003F050F" w:rsidRDefault="003F050F" w:rsidP="005A3B4D">
            <w:pPr>
              <w:jc w:val="right"/>
              <w:rPr>
                <w:b/>
                <w:bCs/>
                <w:color w:val="000000"/>
                <w:sz w:val="20"/>
                <w:szCs w:val="20"/>
              </w:rPr>
            </w:pPr>
            <w:r>
              <w:rPr>
                <w:b/>
                <w:bCs/>
                <w:color w:val="000000"/>
                <w:sz w:val="20"/>
                <w:szCs w:val="20"/>
              </w:rPr>
              <w:t>0.005</w:t>
            </w:r>
          </w:p>
        </w:tc>
        <w:tc>
          <w:tcPr>
            <w:tcW w:w="768" w:type="dxa"/>
            <w:tcBorders>
              <w:top w:val="nil"/>
              <w:left w:val="nil"/>
              <w:bottom w:val="nil"/>
              <w:right w:val="nil"/>
            </w:tcBorders>
            <w:shd w:val="clear" w:color="auto" w:fill="auto"/>
            <w:noWrap/>
            <w:vAlign w:val="bottom"/>
            <w:hideMark/>
          </w:tcPr>
          <w:p w14:paraId="003DEA54" w14:textId="77777777" w:rsidR="003F050F" w:rsidRDefault="003F050F"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62533955" w14:textId="77777777" w:rsidR="003F050F" w:rsidRDefault="003F050F" w:rsidP="005A3B4D">
            <w:pPr>
              <w:jc w:val="right"/>
              <w:rPr>
                <w:color w:val="000000"/>
                <w:sz w:val="20"/>
                <w:szCs w:val="20"/>
              </w:rPr>
            </w:pPr>
            <w:r>
              <w:rPr>
                <w:color w:val="000000"/>
                <w:sz w:val="20"/>
                <w:szCs w:val="20"/>
              </w:rPr>
              <w:t>0.360</w:t>
            </w:r>
          </w:p>
        </w:tc>
        <w:tc>
          <w:tcPr>
            <w:tcW w:w="768" w:type="dxa"/>
            <w:tcBorders>
              <w:top w:val="nil"/>
              <w:left w:val="nil"/>
              <w:bottom w:val="nil"/>
              <w:right w:val="nil"/>
            </w:tcBorders>
            <w:shd w:val="clear" w:color="auto" w:fill="auto"/>
            <w:noWrap/>
            <w:vAlign w:val="bottom"/>
            <w:hideMark/>
          </w:tcPr>
          <w:p w14:paraId="2DCB6126"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E5ACCEA" w14:textId="77777777" w:rsidR="003F050F" w:rsidRDefault="003F050F"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C740C3E" w14:textId="77777777" w:rsidR="003F050F" w:rsidRDefault="003F050F" w:rsidP="005A3B4D">
            <w:pPr>
              <w:jc w:val="right"/>
              <w:rPr>
                <w:color w:val="000000"/>
                <w:sz w:val="20"/>
                <w:szCs w:val="20"/>
              </w:rPr>
            </w:pPr>
            <w:r>
              <w:rPr>
                <w:color w:val="000000"/>
                <w:sz w:val="20"/>
                <w:szCs w:val="20"/>
              </w:rPr>
              <w:t>0.521</w:t>
            </w:r>
          </w:p>
        </w:tc>
        <w:tc>
          <w:tcPr>
            <w:tcW w:w="768" w:type="dxa"/>
            <w:tcBorders>
              <w:top w:val="nil"/>
              <w:left w:val="nil"/>
              <w:bottom w:val="nil"/>
              <w:right w:val="nil"/>
            </w:tcBorders>
            <w:shd w:val="clear" w:color="auto" w:fill="auto"/>
            <w:noWrap/>
            <w:vAlign w:val="bottom"/>
            <w:hideMark/>
          </w:tcPr>
          <w:p w14:paraId="7B067B44"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B3CA40" w14:textId="77777777" w:rsidR="003F050F" w:rsidRDefault="003F050F"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662DE7B" w14:textId="77777777" w:rsidR="003F050F" w:rsidRDefault="003F050F" w:rsidP="005A3B4D">
            <w:pPr>
              <w:jc w:val="right"/>
              <w:rPr>
                <w:color w:val="000000"/>
                <w:sz w:val="20"/>
                <w:szCs w:val="20"/>
              </w:rPr>
            </w:pPr>
            <w:r>
              <w:rPr>
                <w:color w:val="000000"/>
                <w:sz w:val="20"/>
                <w:szCs w:val="20"/>
              </w:rPr>
              <w:t>0.426</w:t>
            </w:r>
          </w:p>
        </w:tc>
        <w:tc>
          <w:tcPr>
            <w:tcW w:w="768" w:type="dxa"/>
            <w:tcBorders>
              <w:top w:val="nil"/>
              <w:left w:val="nil"/>
              <w:bottom w:val="nil"/>
              <w:right w:val="nil"/>
            </w:tcBorders>
            <w:shd w:val="clear" w:color="auto" w:fill="auto"/>
            <w:noWrap/>
            <w:vAlign w:val="bottom"/>
            <w:hideMark/>
          </w:tcPr>
          <w:p w14:paraId="19FDD75F"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A3C2450" w14:textId="77777777" w:rsidR="003F050F" w:rsidRDefault="003F050F"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3049F1DF" w14:textId="77777777" w:rsidR="003F050F" w:rsidRDefault="003F050F" w:rsidP="005A3B4D">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1FD0C591" w14:textId="77777777" w:rsidR="003F050F" w:rsidRDefault="003F050F" w:rsidP="005A3B4D">
            <w:pPr>
              <w:jc w:val="right"/>
              <w:rPr>
                <w:color w:val="000000"/>
                <w:sz w:val="20"/>
                <w:szCs w:val="20"/>
              </w:rPr>
            </w:pPr>
            <w:r>
              <w:rPr>
                <w:color w:val="000000"/>
                <w:sz w:val="20"/>
                <w:szCs w:val="20"/>
              </w:rPr>
              <w:t>0.000</w:t>
            </w:r>
          </w:p>
        </w:tc>
      </w:tr>
      <w:tr w:rsidR="003F050F" w14:paraId="51982BAE"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2A416CF9" w14:textId="77777777" w:rsidR="003F050F" w:rsidRDefault="003F050F"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2AFE439B" w14:textId="77777777" w:rsidR="003F050F" w:rsidRDefault="003F050F"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77745F28" w14:textId="77777777" w:rsidR="003F050F" w:rsidRDefault="003F050F" w:rsidP="005A3B4D">
            <w:pPr>
              <w:jc w:val="right"/>
              <w:rPr>
                <w:color w:val="000000"/>
                <w:sz w:val="20"/>
                <w:szCs w:val="20"/>
              </w:rPr>
            </w:pPr>
            <w:r>
              <w:rPr>
                <w:color w:val="000000"/>
                <w:sz w:val="20"/>
                <w:szCs w:val="20"/>
              </w:rPr>
              <w:t>0.011</w:t>
            </w:r>
          </w:p>
        </w:tc>
        <w:tc>
          <w:tcPr>
            <w:tcW w:w="768" w:type="dxa"/>
            <w:tcBorders>
              <w:top w:val="nil"/>
              <w:left w:val="nil"/>
              <w:bottom w:val="single" w:sz="12" w:space="0" w:color="auto"/>
              <w:right w:val="nil"/>
            </w:tcBorders>
            <w:shd w:val="clear" w:color="auto" w:fill="auto"/>
            <w:noWrap/>
            <w:vAlign w:val="bottom"/>
            <w:hideMark/>
          </w:tcPr>
          <w:p w14:paraId="4673772B" w14:textId="77777777" w:rsidR="003F050F" w:rsidRDefault="003F050F" w:rsidP="005A3B4D">
            <w:pPr>
              <w:jc w:val="right"/>
              <w:rPr>
                <w:color w:val="000000"/>
                <w:sz w:val="20"/>
                <w:szCs w:val="20"/>
              </w:rPr>
            </w:pPr>
            <w:r>
              <w:rPr>
                <w:color w:val="000000"/>
                <w:sz w:val="20"/>
                <w:szCs w:val="20"/>
              </w:rPr>
              <w:t>0.803</w:t>
            </w:r>
          </w:p>
        </w:tc>
        <w:tc>
          <w:tcPr>
            <w:tcW w:w="768" w:type="dxa"/>
            <w:tcBorders>
              <w:top w:val="nil"/>
              <w:left w:val="nil"/>
              <w:bottom w:val="single" w:sz="12" w:space="0" w:color="auto"/>
              <w:right w:val="nil"/>
            </w:tcBorders>
            <w:shd w:val="clear" w:color="auto" w:fill="auto"/>
            <w:noWrap/>
            <w:vAlign w:val="bottom"/>
            <w:hideMark/>
          </w:tcPr>
          <w:p w14:paraId="56AF8D5A"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7CEA2A5" w14:textId="77777777" w:rsidR="003F050F" w:rsidRDefault="003F050F" w:rsidP="005A3B4D">
            <w:pPr>
              <w:jc w:val="right"/>
              <w:rPr>
                <w:color w:val="000000"/>
                <w:sz w:val="20"/>
                <w:szCs w:val="20"/>
              </w:rPr>
            </w:pPr>
            <w:r>
              <w:rPr>
                <w:color w:val="000000"/>
                <w:sz w:val="20"/>
                <w:szCs w:val="20"/>
              </w:rPr>
              <w:t>0.012</w:t>
            </w:r>
          </w:p>
        </w:tc>
        <w:tc>
          <w:tcPr>
            <w:tcW w:w="768" w:type="dxa"/>
            <w:tcBorders>
              <w:top w:val="nil"/>
              <w:left w:val="nil"/>
              <w:bottom w:val="single" w:sz="12" w:space="0" w:color="auto"/>
              <w:right w:val="nil"/>
            </w:tcBorders>
            <w:shd w:val="clear" w:color="auto" w:fill="auto"/>
            <w:noWrap/>
            <w:vAlign w:val="bottom"/>
            <w:hideMark/>
          </w:tcPr>
          <w:p w14:paraId="3D424B77" w14:textId="77777777" w:rsidR="003F050F" w:rsidRDefault="003F050F" w:rsidP="005A3B4D">
            <w:pPr>
              <w:jc w:val="right"/>
              <w:rPr>
                <w:color w:val="000000"/>
                <w:sz w:val="20"/>
                <w:szCs w:val="20"/>
              </w:rPr>
            </w:pPr>
            <w:r>
              <w:rPr>
                <w:color w:val="000000"/>
                <w:sz w:val="20"/>
                <w:szCs w:val="20"/>
              </w:rPr>
              <w:t>0.912</w:t>
            </w:r>
          </w:p>
        </w:tc>
        <w:tc>
          <w:tcPr>
            <w:tcW w:w="768" w:type="dxa"/>
            <w:tcBorders>
              <w:top w:val="nil"/>
              <w:left w:val="nil"/>
              <w:bottom w:val="single" w:sz="12" w:space="0" w:color="auto"/>
              <w:right w:val="nil"/>
            </w:tcBorders>
            <w:shd w:val="clear" w:color="auto" w:fill="auto"/>
            <w:noWrap/>
            <w:vAlign w:val="bottom"/>
            <w:hideMark/>
          </w:tcPr>
          <w:p w14:paraId="3355DE8F"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047F4FC" w14:textId="77777777" w:rsidR="003F050F" w:rsidRDefault="003F050F" w:rsidP="005A3B4D">
            <w:pPr>
              <w:jc w:val="right"/>
              <w:rPr>
                <w:color w:val="000000"/>
                <w:sz w:val="20"/>
                <w:szCs w:val="20"/>
              </w:rPr>
            </w:pPr>
            <w:r>
              <w:rPr>
                <w:color w:val="000000"/>
                <w:sz w:val="20"/>
                <w:szCs w:val="20"/>
              </w:rPr>
              <w:t>-0.049</w:t>
            </w:r>
          </w:p>
        </w:tc>
        <w:tc>
          <w:tcPr>
            <w:tcW w:w="768" w:type="dxa"/>
            <w:tcBorders>
              <w:top w:val="nil"/>
              <w:left w:val="nil"/>
              <w:bottom w:val="single" w:sz="12" w:space="0" w:color="auto"/>
              <w:right w:val="nil"/>
            </w:tcBorders>
            <w:shd w:val="clear" w:color="auto" w:fill="auto"/>
            <w:noWrap/>
            <w:vAlign w:val="bottom"/>
            <w:hideMark/>
          </w:tcPr>
          <w:p w14:paraId="638E23A3" w14:textId="77777777" w:rsidR="003F050F" w:rsidRDefault="003F050F" w:rsidP="005A3B4D">
            <w:pPr>
              <w:jc w:val="right"/>
              <w:rPr>
                <w:color w:val="000000"/>
                <w:sz w:val="20"/>
                <w:szCs w:val="20"/>
              </w:rPr>
            </w:pPr>
            <w:r>
              <w:rPr>
                <w:color w:val="000000"/>
                <w:sz w:val="20"/>
                <w:szCs w:val="20"/>
              </w:rPr>
              <w:t>0.235</w:t>
            </w:r>
          </w:p>
        </w:tc>
        <w:tc>
          <w:tcPr>
            <w:tcW w:w="768" w:type="dxa"/>
            <w:tcBorders>
              <w:top w:val="nil"/>
              <w:left w:val="nil"/>
              <w:bottom w:val="single" w:sz="12" w:space="0" w:color="auto"/>
              <w:right w:val="nil"/>
            </w:tcBorders>
            <w:shd w:val="clear" w:color="auto" w:fill="auto"/>
            <w:noWrap/>
            <w:vAlign w:val="bottom"/>
            <w:hideMark/>
          </w:tcPr>
          <w:p w14:paraId="5EFA17FB"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3B76D266" w14:textId="77777777" w:rsidR="003F050F" w:rsidRDefault="003F050F" w:rsidP="005A3B4D">
            <w:pPr>
              <w:jc w:val="right"/>
              <w:rPr>
                <w:color w:val="000000"/>
                <w:sz w:val="20"/>
                <w:szCs w:val="20"/>
              </w:rPr>
            </w:pPr>
            <w:r>
              <w:rPr>
                <w:color w:val="000000"/>
                <w:sz w:val="20"/>
                <w:szCs w:val="20"/>
              </w:rPr>
              <w:t>0.021</w:t>
            </w:r>
          </w:p>
        </w:tc>
        <w:tc>
          <w:tcPr>
            <w:tcW w:w="768" w:type="dxa"/>
            <w:tcBorders>
              <w:top w:val="nil"/>
              <w:left w:val="nil"/>
              <w:bottom w:val="single" w:sz="12" w:space="0" w:color="auto"/>
              <w:right w:val="nil"/>
            </w:tcBorders>
            <w:shd w:val="clear" w:color="auto" w:fill="auto"/>
            <w:noWrap/>
            <w:vAlign w:val="bottom"/>
            <w:hideMark/>
          </w:tcPr>
          <w:p w14:paraId="58726134" w14:textId="77777777" w:rsidR="003F050F" w:rsidRDefault="003F050F" w:rsidP="005A3B4D">
            <w:pPr>
              <w:jc w:val="right"/>
              <w:rPr>
                <w:color w:val="000000"/>
                <w:sz w:val="20"/>
                <w:szCs w:val="20"/>
              </w:rPr>
            </w:pPr>
            <w:r>
              <w:rPr>
                <w:color w:val="000000"/>
                <w:sz w:val="20"/>
                <w:szCs w:val="20"/>
              </w:rPr>
              <w:t>0.671</w:t>
            </w:r>
          </w:p>
        </w:tc>
        <w:tc>
          <w:tcPr>
            <w:tcW w:w="768" w:type="dxa"/>
            <w:tcBorders>
              <w:top w:val="nil"/>
              <w:left w:val="nil"/>
              <w:bottom w:val="single" w:sz="12" w:space="0" w:color="auto"/>
              <w:right w:val="nil"/>
            </w:tcBorders>
            <w:shd w:val="clear" w:color="auto" w:fill="auto"/>
            <w:noWrap/>
            <w:vAlign w:val="bottom"/>
            <w:hideMark/>
          </w:tcPr>
          <w:p w14:paraId="3707F30A"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70396BB" w14:textId="77777777" w:rsidR="003F050F" w:rsidRDefault="003F050F" w:rsidP="005A3B4D">
            <w:pPr>
              <w:jc w:val="right"/>
              <w:rPr>
                <w:color w:val="000000"/>
                <w:sz w:val="20"/>
                <w:szCs w:val="20"/>
              </w:rPr>
            </w:pPr>
            <w:r>
              <w:rPr>
                <w:color w:val="000000"/>
                <w:sz w:val="20"/>
                <w:szCs w:val="20"/>
              </w:rPr>
              <w:t>0.016</w:t>
            </w:r>
          </w:p>
        </w:tc>
        <w:tc>
          <w:tcPr>
            <w:tcW w:w="768" w:type="dxa"/>
            <w:tcBorders>
              <w:top w:val="nil"/>
              <w:left w:val="nil"/>
              <w:bottom w:val="single" w:sz="12" w:space="0" w:color="auto"/>
              <w:right w:val="nil"/>
            </w:tcBorders>
            <w:shd w:val="clear" w:color="auto" w:fill="auto"/>
            <w:noWrap/>
            <w:vAlign w:val="bottom"/>
            <w:hideMark/>
          </w:tcPr>
          <w:p w14:paraId="6FBA6470" w14:textId="77777777" w:rsidR="003F050F" w:rsidRDefault="003F050F" w:rsidP="005A3B4D">
            <w:pPr>
              <w:jc w:val="right"/>
              <w:rPr>
                <w:color w:val="000000"/>
                <w:sz w:val="20"/>
                <w:szCs w:val="20"/>
              </w:rPr>
            </w:pPr>
            <w:r>
              <w:rPr>
                <w:color w:val="000000"/>
                <w:sz w:val="20"/>
                <w:szCs w:val="20"/>
              </w:rPr>
              <w:t>0.668</w:t>
            </w:r>
          </w:p>
        </w:tc>
        <w:tc>
          <w:tcPr>
            <w:tcW w:w="768" w:type="dxa"/>
            <w:tcBorders>
              <w:top w:val="nil"/>
              <w:left w:val="nil"/>
              <w:bottom w:val="single" w:sz="12" w:space="0" w:color="auto"/>
              <w:right w:val="nil"/>
            </w:tcBorders>
            <w:shd w:val="clear" w:color="auto" w:fill="auto"/>
            <w:noWrap/>
            <w:vAlign w:val="bottom"/>
            <w:hideMark/>
          </w:tcPr>
          <w:p w14:paraId="5CAC1B17" w14:textId="77777777" w:rsidR="003F050F" w:rsidRDefault="003F050F" w:rsidP="005A3B4D">
            <w:pPr>
              <w:jc w:val="right"/>
              <w:rPr>
                <w:color w:val="000000"/>
                <w:sz w:val="20"/>
                <w:szCs w:val="20"/>
              </w:rPr>
            </w:pPr>
            <w:r>
              <w:rPr>
                <w:color w:val="000000"/>
                <w:sz w:val="20"/>
                <w:szCs w:val="20"/>
              </w:rPr>
              <w:t>0.000</w:t>
            </w:r>
          </w:p>
        </w:tc>
      </w:tr>
      <w:tr w:rsidR="003F050F" w14:paraId="496C07F5"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55D08262" w14:textId="77777777" w:rsidR="003F050F" w:rsidRDefault="003F050F"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3B26D114" w14:textId="77777777" w:rsidR="003F050F" w:rsidRDefault="003F050F"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5B2FC02F"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1ECB5B2"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10359B7"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895721B"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8477198"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7DD95EF"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ACDB0C3"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00318DC"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1DD789A"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8688D21"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DFAF504"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F9685FA"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C9E9478"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AB2B8D5"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56972F5" w14:textId="77777777" w:rsidR="003F050F" w:rsidRDefault="003F050F" w:rsidP="005A3B4D">
            <w:pPr>
              <w:rPr>
                <w:sz w:val="20"/>
                <w:szCs w:val="20"/>
              </w:rPr>
            </w:pPr>
          </w:p>
        </w:tc>
      </w:tr>
    </w:tbl>
    <w:p w14:paraId="507A0B82" w14:textId="77777777" w:rsidR="003F050F" w:rsidRDefault="003F050F" w:rsidP="003F050F">
      <w:pPr>
        <w:rPr>
          <w:rFonts w:eastAsiaTheme="majorEastAsia"/>
          <w:color w:val="000000" w:themeColor="text1"/>
        </w:rPr>
      </w:pPr>
      <w:r>
        <w:rPr>
          <w:color w:val="000000" w:themeColor="text1"/>
        </w:rPr>
        <w:br w:type="page"/>
      </w:r>
    </w:p>
    <w:p w14:paraId="75185B55" w14:textId="3B1EBC3B" w:rsidR="003F050F" w:rsidRDefault="003F050F" w:rsidP="003F050F">
      <w:pPr>
        <w:pStyle w:val="Heading1"/>
        <w:rPr>
          <w:rFonts w:ascii="Times New Roman" w:hAnsi="Times New Roman" w:cs="Times New Roman"/>
          <w:color w:val="000000" w:themeColor="text1"/>
          <w:sz w:val="24"/>
          <w:szCs w:val="24"/>
        </w:rPr>
      </w:pPr>
      <w:bookmarkStart w:id="61" w:name="_Toc155817728"/>
      <w:r>
        <w:rPr>
          <w:rFonts w:ascii="Times New Roman" w:hAnsi="Times New Roman" w:cs="Times New Roman"/>
          <w:b/>
          <w:bCs/>
          <w:color w:val="000000" w:themeColor="text1"/>
          <w:sz w:val="24"/>
          <w:szCs w:val="24"/>
        </w:rPr>
        <w:lastRenderedPageBreak/>
        <w:t>Table 25b</w:t>
      </w:r>
      <w:r w:rsidRPr="009E2A20">
        <w:rPr>
          <w:rFonts w:ascii="Times New Roman" w:hAnsi="Times New Roman" w:cs="Times New Roman"/>
          <w:b/>
          <w:bCs/>
          <w:color w:val="000000" w:themeColor="text1"/>
          <w:sz w:val="24"/>
          <w:szCs w:val="24"/>
        </w:rPr>
        <w:t xml:space="preserve">. </w:t>
      </w:r>
      <w:r w:rsidRPr="009E2A20">
        <w:rPr>
          <w:rFonts w:ascii="Times New Roman" w:hAnsi="Times New Roman" w:cs="Times New Roman"/>
          <w:color w:val="000000" w:themeColor="text1"/>
          <w:sz w:val="24"/>
          <w:szCs w:val="24"/>
        </w:rPr>
        <w:t xml:space="preserve">Results examining the relationship between environmental stress factors obtained from </w:t>
      </w:r>
      <w:r>
        <w:rPr>
          <w:rFonts w:ascii="Times New Roman" w:hAnsi="Times New Roman" w:cs="Times New Roman"/>
          <w:color w:val="000000" w:themeColor="text1"/>
          <w:sz w:val="24"/>
          <w:szCs w:val="24"/>
        </w:rPr>
        <w:t>higher-order</w:t>
      </w:r>
      <w:r w:rsidRPr="009E2A20">
        <w:rPr>
          <w:rFonts w:ascii="Times New Roman" w:hAnsi="Times New Roman" w:cs="Times New Roman"/>
          <w:color w:val="000000" w:themeColor="text1"/>
          <w:sz w:val="24"/>
          <w:szCs w:val="24"/>
        </w:rPr>
        <w:t xml:space="preserve"> modeling and Shen-268 network </w:t>
      </w:r>
      <w:r>
        <w:rPr>
          <w:rFonts w:ascii="Times New Roman" w:hAnsi="Times New Roman" w:cs="Times New Roman"/>
          <w:color w:val="000000" w:themeColor="text1"/>
          <w:sz w:val="24"/>
          <w:szCs w:val="24"/>
        </w:rPr>
        <w:t xml:space="preserve">small world omega </w:t>
      </w:r>
      <w:r w:rsidRPr="009E2A20">
        <w:rPr>
          <w:rFonts w:ascii="Times New Roman" w:hAnsi="Times New Roman" w:cs="Times New Roman"/>
          <w:color w:val="000000" w:themeColor="text1"/>
          <w:sz w:val="24"/>
          <w:szCs w:val="24"/>
        </w:rPr>
        <w:t xml:space="preserve">during </w:t>
      </w:r>
      <w:r>
        <w:rPr>
          <w:rFonts w:ascii="Times New Roman" w:hAnsi="Times New Roman" w:cs="Times New Roman"/>
          <w:color w:val="000000" w:themeColor="text1"/>
          <w:sz w:val="24"/>
          <w:szCs w:val="24"/>
        </w:rPr>
        <w:t>stop signal task controlling for medication</w:t>
      </w:r>
      <w:bookmarkEnd w:id="61"/>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3F050F" w14:paraId="3A338B80"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4274B54E" w14:textId="77777777" w:rsidR="003F050F" w:rsidRDefault="003F050F" w:rsidP="005A3B4D">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125C3AB2" w14:textId="77777777" w:rsidR="003F050F" w:rsidRDefault="003F050F" w:rsidP="005A3B4D">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77446B78" w14:textId="77777777" w:rsidR="003F050F" w:rsidRDefault="003F050F" w:rsidP="005A3B4D">
            <w:pPr>
              <w:rPr>
                <w:color w:val="000000"/>
              </w:rPr>
            </w:pPr>
          </w:p>
        </w:tc>
        <w:tc>
          <w:tcPr>
            <w:tcW w:w="768" w:type="dxa"/>
            <w:tcBorders>
              <w:top w:val="nil"/>
              <w:left w:val="nil"/>
              <w:bottom w:val="single" w:sz="12" w:space="0" w:color="auto"/>
              <w:right w:val="nil"/>
            </w:tcBorders>
            <w:shd w:val="clear" w:color="auto" w:fill="auto"/>
            <w:noWrap/>
            <w:vAlign w:val="bottom"/>
            <w:hideMark/>
          </w:tcPr>
          <w:p w14:paraId="16DBCC43"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937EEF3"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1D69421"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FFD8423"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BC31DDD"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75D7763"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7B9CB1C"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DB1C937"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88106DD"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8F13BDB"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99205CC"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1F5104B"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17ED508" w14:textId="77777777" w:rsidR="003F050F" w:rsidRDefault="003F050F" w:rsidP="005A3B4D">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9BF47D4" w14:textId="77777777" w:rsidR="003F050F" w:rsidRDefault="003F050F" w:rsidP="005A3B4D">
            <w:pPr>
              <w:rPr>
                <w:sz w:val="20"/>
                <w:szCs w:val="20"/>
              </w:rPr>
            </w:pPr>
          </w:p>
        </w:tc>
      </w:tr>
      <w:tr w:rsidR="003F050F" w14:paraId="1E31308A" w14:textId="77777777" w:rsidTr="005A3B4D">
        <w:trPr>
          <w:trHeight w:val="340"/>
        </w:trPr>
        <w:tc>
          <w:tcPr>
            <w:tcW w:w="1176" w:type="dxa"/>
            <w:tcBorders>
              <w:top w:val="single" w:sz="12" w:space="0" w:color="auto"/>
              <w:left w:val="nil"/>
              <w:bottom w:val="nil"/>
              <w:right w:val="nil"/>
            </w:tcBorders>
            <w:shd w:val="clear" w:color="auto" w:fill="auto"/>
            <w:noWrap/>
            <w:vAlign w:val="bottom"/>
            <w:hideMark/>
          </w:tcPr>
          <w:p w14:paraId="667B79B3" w14:textId="77777777" w:rsidR="003F050F" w:rsidRDefault="003F050F" w:rsidP="005A3B4D">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29F8BDD1" w14:textId="77777777" w:rsidR="003F050F" w:rsidRDefault="003F050F" w:rsidP="005A3B4D">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4696C315" w14:textId="77777777" w:rsidR="003F050F" w:rsidRDefault="003F050F" w:rsidP="005A3B4D">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20C6D366" w14:textId="77777777" w:rsidR="003F050F" w:rsidRDefault="003F050F" w:rsidP="005A3B4D">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06A8B092" w14:textId="77777777" w:rsidR="003F050F" w:rsidRDefault="003F050F" w:rsidP="005A3B4D">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108A9394" w14:textId="77777777" w:rsidR="003F050F" w:rsidRDefault="003F050F" w:rsidP="005A3B4D">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2F4C53A2" w14:textId="77777777" w:rsidR="003F050F" w:rsidRDefault="003F050F" w:rsidP="005A3B4D">
            <w:pPr>
              <w:jc w:val="center"/>
              <w:rPr>
                <w:color w:val="000000"/>
                <w:sz w:val="20"/>
                <w:szCs w:val="20"/>
              </w:rPr>
            </w:pPr>
            <w:r>
              <w:rPr>
                <w:color w:val="000000"/>
                <w:sz w:val="20"/>
                <w:szCs w:val="20"/>
              </w:rPr>
              <w:t>Urbanicity</w:t>
            </w:r>
          </w:p>
        </w:tc>
      </w:tr>
      <w:tr w:rsidR="003F050F" w14:paraId="560915EE" w14:textId="77777777" w:rsidTr="005A3B4D">
        <w:trPr>
          <w:trHeight w:val="360"/>
        </w:trPr>
        <w:tc>
          <w:tcPr>
            <w:tcW w:w="1176" w:type="dxa"/>
            <w:tcBorders>
              <w:top w:val="nil"/>
              <w:left w:val="nil"/>
              <w:bottom w:val="single" w:sz="12" w:space="0" w:color="auto"/>
              <w:right w:val="nil"/>
            </w:tcBorders>
            <w:shd w:val="clear" w:color="auto" w:fill="auto"/>
            <w:noWrap/>
            <w:vAlign w:val="bottom"/>
            <w:hideMark/>
          </w:tcPr>
          <w:p w14:paraId="601FEAEF" w14:textId="77777777" w:rsidR="003F050F" w:rsidRDefault="003F050F" w:rsidP="005A3B4D">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4384B3A2" w14:textId="77777777" w:rsidR="003F050F" w:rsidRDefault="003F050F" w:rsidP="005A3B4D">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54EC1B67" w14:textId="77777777" w:rsidR="003F050F" w:rsidRDefault="003F050F"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00E41830" w14:textId="77777777" w:rsidR="003F050F" w:rsidRDefault="003F050F"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9808DC7" w14:textId="77777777" w:rsidR="003F050F" w:rsidRDefault="003F050F" w:rsidP="005A3B4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3CBE8CE" w14:textId="77777777" w:rsidR="003F050F" w:rsidRDefault="003F050F"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20AF0027" w14:textId="77777777" w:rsidR="003F050F" w:rsidRDefault="003F050F"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74A59F6C" w14:textId="77777777" w:rsidR="003F050F" w:rsidRDefault="003F050F" w:rsidP="005A3B4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10E1E879" w14:textId="77777777" w:rsidR="003F050F" w:rsidRDefault="003F050F"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5A035B6" w14:textId="77777777" w:rsidR="003F050F" w:rsidRDefault="003F050F"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2E395319" w14:textId="77777777" w:rsidR="003F050F" w:rsidRDefault="003F050F" w:rsidP="005A3B4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835A099" w14:textId="77777777" w:rsidR="003F050F" w:rsidRDefault="003F050F"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6C5F0876" w14:textId="77777777" w:rsidR="003F050F" w:rsidRDefault="003F050F"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4D492E0" w14:textId="77777777" w:rsidR="003F050F" w:rsidRDefault="003F050F" w:rsidP="005A3B4D">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3A136687" w14:textId="77777777" w:rsidR="003F050F" w:rsidRDefault="003F050F" w:rsidP="005A3B4D">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5512A01" w14:textId="77777777" w:rsidR="003F050F" w:rsidRDefault="003F050F"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65C51D7C" w14:textId="77777777" w:rsidR="003F050F" w:rsidRDefault="003F050F" w:rsidP="005A3B4D">
            <w:pPr>
              <w:jc w:val="center"/>
              <w:rPr>
                <w:i/>
                <w:iCs/>
                <w:color w:val="000000"/>
                <w:sz w:val="20"/>
                <w:szCs w:val="20"/>
              </w:rPr>
            </w:pPr>
            <w:r>
              <w:rPr>
                <w:i/>
                <w:iCs/>
                <w:color w:val="000000"/>
                <w:sz w:val="20"/>
                <w:szCs w:val="20"/>
              </w:rPr>
              <w:t>R2</w:t>
            </w:r>
          </w:p>
        </w:tc>
      </w:tr>
      <w:tr w:rsidR="003F050F" w14:paraId="6FF6AFDB"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359B3D47" w14:textId="77777777" w:rsidR="003F050F" w:rsidRDefault="003F050F" w:rsidP="005A3B4D">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1F8AA343" w14:textId="77777777" w:rsidR="003F050F" w:rsidRDefault="003F050F" w:rsidP="005A3B4D">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24A60C58" w14:textId="77777777" w:rsidR="003F050F" w:rsidRDefault="003F050F" w:rsidP="005A3B4D">
            <w:pPr>
              <w:jc w:val="right"/>
              <w:rPr>
                <w:color w:val="000000"/>
                <w:sz w:val="20"/>
                <w:szCs w:val="20"/>
              </w:rPr>
            </w:pPr>
            <w:r>
              <w:rPr>
                <w:color w:val="000000"/>
                <w:sz w:val="20"/>
                <w:szCs w:val="20"/>
              </w:rPr>
              <w:t>-0.065</w:t>
            </w:r>
          </w:p>
        </w:tc>
        <w:tc>
          <w:tcPr>
            <w:tcW w:w="768" w:type="dxa"/>
            <w:tcBorders>
              <w:top w:val="single" w:sz="12" w:space="0" w:color="auto"/>
              <w:left w:val="nil"/>
              <w:bottom w:val="nil"/>
              <w:right w:val="nil"/>
            </w:tcBorders>
            <w:shd w:val="clear" w:color="auto" w:fill="auto"/>
            <w:noWrap/>
            <w:vAlign w:val="bottom"/>
            <w:hideMark/>
          </w:tcPr>
          <w:p w14:paraId="11345EFE" w14:textId="77777777" w:rsidR="003F050F" w:rsidRDefault="003F050F" w:rsidP="005A3B4D">
            <w:pPr>
              <w:jc w:val="right"/>
              <w:rPr>
                <w:color w:val="000000"/>
                <w:sz w:val="20"/>
                <w:szCs w:val="20"/>
              </w:rPr>
            </w:pPr>
            <w:r>
              <w:rPr>
                <w:color w:val="000000"/>
                <w:sz w:val="20"/>
                <w:szCs w:val="20"/>
              </w:rPr>
              <w:t>0.565</w:t>
            </w:r>
          </w:p>
        </w:tc>
        <w:tc>
          <w:tcPr>
            <w:tcW w:w="768" w:type="dxa"/>
            <w:tcBorders>
              <w:top w:val="single" w:sz="12" w:space="0" w:color="auto"/>
              <w:left w:val="nil"/>
              <w:bottom w:val="nil"/>
              <w:right w:val="nil"/>
            </w:tcBorders>
            <w:shd w:val="clear" w:color="auto" w:fill="auto"/>
            <w:noWrap/>
            <w:vAlign w:val="bottom"/>
            <w:hideMark/>
          </w:tcPr>
          <w:p w14:paraId="212CF3A4" w14:textId="77777777" w:rsidR="003F050F" w:rsidRDefault="003F050F" w:rsidP="005A3B4D">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548BAB5A" w14:textId="77777777" w:rsidR="003F050F" w:rsidRDefault="003F050F" w:rsidP="005A3B4D">
            <w:pPr>
              <w:jc w:val="right"/>
              <w:rPr>
                <w:color w:val="000000"/>
                <w:sz w:val="20"/>
                <w:szCs w:val="20"/>
              </w:rPr>
            </w:pPr>
            <w:r>
              <w:rPr>
                <w:color w:val="000000"/>
                <w:sz w:val="20"/>
                <w:szCs w:val="20"/>
              </w:rPr>
              <w:t>-0.024</w:t>
            </w:r>
          </w:p>
        </w:tc>
        <w:tc>
          <w:tcPr>
            <w:tcW w:w="768" w:type="dxa"/>
            <w:tcBorders>
              <w:top w:val="single" w:sz="12" w:space="0" w:color="auto"/>
              <w:left w:val="nil"/>
              <w:bottom w:val="nil"/>
              <w:right w:val="nil"/>
            </w:tcBorders>
            <w:shd w:val="clear" w:color="auto" w:fill="auto"/>
            <w:noWrap/>
            <w:vAlign w:val="bottom"/>
            <w:hideMark/>
          </w:tcPr>
          <w:p w14:paraId="0D396E32" w14:textId="77777777" w:rsidR="003F050F" w:rsidRDefault="003F050F" w:rsidP="005A3B4D">
            <w:pPr>
              <w:jc w:val="right"/>
              <w:rPr>
                <w:color w:val="000000"/>
                <w:sz w:val="20"/>
                <w:szCs w:val="20"/>
              </w:rPr>
            </w:pPr>
            <w:r>
              <w:rPr>
                <w:color w:val="000000"/>
                <w:sz w:val="20"/>
                <w:szCs w:val="20"/>
              </w:rPr>
              <w:t>0.771</w:t>
            </w:r>
          </w:p>
        </w:tc>
        <w:tc>
          <w:tcPr>
            <w:tcW w:w="768" w:type="dxa"/>
            <w:tcBorders>
              <w:top w:val="single" w:sz="12" w:space="0" w:color="auto"/>
              <w:left w:val="nil"/>
              <w:bottom w:val="nil"/>
              <w:right w:val="nil"/>
            </w:tcBorders>
            <w:shd w:val="clear" w:color="auto" w:fill="auto"/>
            <w:noWrap/>
            <w:vAlign w:val="bottom"/>
            <w:hideMark/>
          </w:tcPr>
          <w:p w14:paraId="6F45271D" w14:textId="77777777" w:rsidR="003F050F" w:rsidRDefault="003F050F"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4AFA7128" w14:textId="77777777" w:rsidR="003F050F" w:rsidRDefault="003F050F" w:rsidP="005A3B4D">
            <w:pPr>
              <w:jc w:val="right"/>
              <w:rPr>
                <w:color w:val="000000"/>
                <w:sz w:val="20"/>
                <w:szCs w:val="20"/>
              </w:rPr>
            </w:pPr>
            <w:r>
              <w:rPr>
                <w:color w:val="000000"/>
                <w:sz w:val="20"/>
                <w:szCs w:val="20"/>
              </w:rPr>
              <w:t>-0.033</w:t>
            </w:r>
          </w:p>
        </w:tc>
        <w:tc>
          <w:tcPr>
            <w:tcW w:w="768" w:type="dxa"/>
            <w:tcBorders>
              <w:top w:val="single" w:sz="12" w:space="0" w:color="auto"/>
              <w:left w:val="nil"/>
              <w:bottom w:val="nil"/>
              <w:right w:val="nil"/>
            </w:tcBorders>
            <w:shd w:val="clear" w:color="auto" w:fill="auto"/>
            <w:noWrap/>
            <w:vAlign w:val="bottom"/>
            <w:hideMark/>
          </w:tcPr>
          <w:p w14:paraId="04D3DB7C" w14:textId="77777777" w:rsidR="003F050F" w:rsidRDefault="003F050F" w:rsidP="005A3B4D">
            <w:pPr>
              <w:jc w:val="right"/>
              <w:rPr>
                <w:color w:val="000000"/>
                <w:sz w:val="20"/>
                <w:szCs w:val="20"/>
              </w:rPr>
            </w:pPr>
            <w:r>
              <w:rPr>
                <w:color w:val="000000"/>
                <w:sz w:val="20"/>
                <w:szCs w:val="20"/>
              </w:rPr>
              <w:t>0.720</w:t>
            </w:r>
          </w:p>
        </w:tc>
        <w:tc>
          <w:tcPr>
            <w:tcW w:w="768" w:type="dxa"/>
            <w:tcBorders>
              <w:top w:val="single" w:sz="12" w:space="0" w:color="auto"/>
              <w:left w:val="nil"/>
              <w:bottom w:val="nil"/>
              <w:right w:val="nil"/>
            </w:tcBorders>
            <w:shd w:val="clear" w:color="auto" w:fill="auto"/>
            <w:noWrap/>
            <w:vAlign w:val="bottom"/>
            <w:hideMark/>
          </w:tcPr>
          <w:p w14:paraId="4E97D041" w14:textId="77777777" w:rsidR="003F050F" w:rsidRDefault="003F050F" w:rsidP="005A3B4D">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311D2DE6" w14:textId="77777777" w:rsidR="003F050F" w:rsidRDefault="003F050F" w:rsidP="005A3B4D">
            <w:pPr>
              <w:jc w:val="right"/>
              <w:rPr>
                <w:color w:val="000000"/>
                <w:sz w:val="20"/>
                <w:szCs w:val="20"/>
              </w:rPr>
            </w:pPr>
            <w:r>
              <w:rPr>
                <w:color w:val="000000"/>
                <w:sz w:val="20"/>
                <w:szCs w:val="20"/>
              </w:rPr>
              <w:t>-0.055</w:t>
            </w:r>
          </w:p>
        </w:tc>
        <w:tc>
          <w:tcPr>
            <w:tcW w:w="768" w:type="dxa"/>
            <w:tcBorders>
              <w:top w:val="single" w:sz="12" w:space="0" w:color="auto"/>
              <w:left w:val="nil"/>
              <w:bottom w:val="nil"/>
              <w:right w:val="nil"/>
            </w:tcBorders>
            <w:shd w:val="clear" w:color="auto" w:fill="auto"/>
            <w:noWrap/>
            <w:vAlign w:val="bottom"/>
            <w:hideMark/>
          </w:tcPr>
          <w:p w14:paraId="477693B1" w14:textId="77777777" w:rsidR="003F050F" w:rsidRDefault="003F050F" w:rsidP="005A3B4D">
            <w:pPr>
              <w:jc w:val="right"/>
              <w:rPr>
                <w:color w:val="000000"/>
                <w:sz w:val="20"/>
                <w:szCs w:val="20"/>
              </w:rPr>
            </w:pPr>
            <w:r>
              <w:rPr>
                <w:color w:val="000000"/>
                <w:sz w:val="20"/>
                <w:szCs w:val="20"/>
              </w:rPr>
              <w:t>0.450</w:t>
            </w:r>
          </w:p>
        </w:tc>
        <w:tc>
          <w:tcPr>
            <w:tcW w:w="768" w:type="dxa"/>
            <w:tcBorders>
              <w:top w:val="single" w:sz="12" w:space="0" w:color="auto"/>
              <w:left w:val="nil"/>
              <w:bottom w:val="nil"/>
              <w:right w:val="nil"/>
            </w:tcBorders>
            <w:shd w:val="clear" w:color="auto" w:fill="auto"/>
            <w:noWrap/>
            <w:vAlign w:val="bottom"/>
            <w:hideMark/>
          </w:tcPr>
          <w:p w14:paraId="2B0CBD8D" w14:textId="77777777" w:rsidR="003F050F" w:rsidRDefault="003F050F" w:rsidP="005A3B4D">
            <w:pPr>
              <w:jc w:val="right"/>
              <w:rPr>
                <w:color w:val="000000"/>
                <w:sz w:val="20"/>
                <w:szCs w:val="20"/>
              </w:rPr>
            </w:pPr>
            <w:r>
              <w:rPr>
                <w:color w:val="000000"/>
                <w:sz w:val="20"/>
                <w:szCs w:val="20"/>
              </w:rPr>
              <w:t>0.003</w:t>
            </w:r>
          </w:p>
        </w:tc>
        <w:tc>
          <w:tcPr>
            <w:tcW w:w="768" w:type="dxa"/>
            <w:tcBorders>
              <w:top w:val="single" w:sz="12" w:space="0" w:color="auto"/>
              <w:left w:val="nil"/>
              <w:bottom w:val="nil"/>
              <w:right w:val="nil"/>
            </w:tcBorders>
            <w:shd w:val="clear" w:color="auto" w:fill="auto"/>
            <w:noWrap/>
            <w:vAlign w:val="bottom"/>
            <w:hideMark/>
          </w:tcPr>
          <w:p w14:paraId="22D0924E" w14:textId="77777777" w:rsidR="003F050F" w:rsidRDefault="003F050F" w:rsidP="005A3B4D">
            <w:pPr>
              <w:jc w:val="right"/>
              <w:rPr>
                <w:color w:val="000000"/>
                <w:sz w:val="20"/>
                <w:szCs w:val="20"/>
              </w:rPr>
            </w:pPr>
            <w:r>
              <w:rPr>
                <w:color w:val="000000"/>
                <w:sz w:val="20"/>
                <w:szCs w:val="20"/>
              </w:rPr>
              <w:t>0.014</w:t>
            </w:r>
          </w:p>
        </w:tc>
        <w:tc>
          <w:tcPr>
            <w:tcW w:w="768" w:type="dxa"/>
            <w:tcBorders>
              <w:top w:val="single" w:sz="12" w:space="0" w:color="auto"/>
              <w:left w:val="nil"/>
              <w:bottom w:val="nil"/>
              <w:right w:val="nil"/>
            </w:tcBorders>
            <w:shd w:val="clear" w:color="auto" w:fill="auto"/>
            <w:noWrap/>
            <w:vAlign w:val="bottom"/>
            <w:hideMark/>
          </w:tcPr>
          <w:p w14:paraId="36898A23" w14:textId="77777777" w:rsidR="003F050F" w:rsidRDefault="003F050F" w:rsidP="005A3B4D">
            <w:pPr>
              <w:jc w:val="right"/>
              <w:rPr>
                <w:color w:val="000000"/>
                <w:sz w:val="20"/>
                <w:szCs w:val="20"/>
              </w:rPr>
            </w:pPr>
            <w:r>
              <w:rPr>
                <w:color w:val="000000"/>
                <w:sz w:val="20"/>
                <w:szCs w:val="20"/>
              </w:rPr>
              <w:t>0.997</w:t>
            </w:r>
          </w:p>
        </w:tc>
        <w:tc>
          <w:tcPr>
            <w:tcW w:w="768" w:type="dxa"/>
            <w:tcBorders>
              <w:top w:val="single" w:sz="12" w:space="0" w:color="auto"/>
              <w:left w:val="nil"/>
              <w:bottom w:val="nil"/>
              <w:right w:val="nil"/>
            </w:tcBorders>
            <w:shd w:val="clear" w:color="auto" w:fill="auto"/>
            <w:noWrap/>
            <w:vAlign w:val="bottom"/>
            <w:hideMark/>
          </w:tcPr>
          <w:p w14:paraId="55852559" w14:textId="77777777" w:rsidR="003F050F" w:rsidRDefault="003F050F" w:rsidP="005A3B4D">
            <w:pPr>
              <w:jc w:val="right"/>
              <w:rPr>
                <w:color w:val="000000"/>
                <w:sz w:val="20"/>
                <w:szCs w:val="20"/>
              </w:rPr>
            </w:pPr>
            <w:r>
              <w:rPr>
                <w:color w:val="000000"/>
                <w:sz w:val="20"/>
                <w:szCs w:val="20"/>
              </w:rPr>
              <w:t>0.000</w:t>
            </w:r>
          </w:p>
        </w:tc>
      </w:tr>
      <w:tr w:rsidR="003F050F" w14:paraId="453548CA" w14:textId="77777777" w:rsidTr="005A3B4D">
        <w:trPr>
          <w:trHeight w:val="340"/>
        </w:trPr>
        <w:tc>
          <w:tcPr>
            <w:tcW w:w="1176" w:type="dxa"/>
            <w:tcBorders>
              <w:top w:val="nil"/>
              <w:left w:val="nil"/>
              <w:bottom w:val="nil"/>
              <w:right w:val="nil"/>
            </w:tcBorders>
            <w:shd w:val="clear" w:color="auto" w:fill="auto"/>
            <w:noWrap/>
            <w:vAlign w:val="bottom"/>
            <w:hideMark/>
          </w:tcPr>
          <w:p w14:paraId="65C54D4E"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D33A724" w14:textId="77777777" w:rsidR="003F050F" w:rsidRDefault="003F050F"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219FE8F2" w14:textId="77777777" w:rsidR="003F050F" w:rsidRDefault="003F050F"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0EB84FBA" w14:textId="77777777" w:rsidR="003F050F" w:rsidRDefault="003F050F" w:rsidP="005A3B4D">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4FD754CE"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2DD528F" w14:textId="77777777" w:rsidR="003F050F" w:rsidRDefault="003F050F" w:rsidP="005A3B4D">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4FB4E4C1" w14:textId="77777777" w:rsidR="003F050F" w:rsidRDefault="003F050F" w:rsidP="005A3B4D">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69B8B1C7"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D890E2F" w14:textId="77777777" w:rsidR="003F050F" w:rsidRDefault="003F050F"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3DF21AAF" w14:textId="77777777" w:rsidR="003F050F" w:rsidRDefault="003F050F" w:rsidP="005A3B4D">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0BF67DED"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A49921E"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3773209"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4EC75265"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B0BF56" w14:textId="77777777" w:rsidR="003F050F" w:rsidRDefault="003F050F"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4AA92D7E" w14:textId="77777777" w:rsidR="003F050F" w:rsidRDefault="003F050F"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57432026" w14:textId="77777777" w:rsidR="003F050F" w:rsidRDefault="003F050F" w:rsidP="005A3B4D">
            <w:pPr>
              <w:jc w:val="right"/>
              <w:rPr>
                <w:color w:val="000000"/>
                <w:sz w:val="20"/>
                <w:szCs w:val="20"/>
              </w:rPr>
            </w:pPr>
            <w:r>
              <w:rPr>
                <w:color w:val="000000"/>
                <w:sz w:val="20"/>
                <w:szCs w:val="20"/>
              </w:rPr>
              <w:t>0.002</w:t>
            </w:r>
          </w:p>
        </w:tc>
      </w:tr>
      <w:tr w:rsidR="003F050F" w14:paraId="64FDCA7F" w14:textId="77777777" w:rsidTr="005A3B4D">
        <w:trPr>
          <w:trHeight w:val="320"/>
        </w:trPr>
        <w:tc>
          <w:tcPr>
            <w:tcW w:w="1176" w:type="dxa"/>
            <w:tcBorders>
              <w:top w:val="nil"/>
              <w:left w:val="nil"/>
              <w:bottom w:val="nil"/>
              <w:right w:val="nil"/>
            </w:tcBorders>
            <w:shd w:val="clear" w:color="auto" w:fill="auto"/>
            <w:noWrap/>
            <w:vAlign w:val="bottom"/>
            <w:hideMark/>
          </w:tcPr>
          <w:p w14:paraId="2836584F"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E689E4" w14:textId="77777777" w:rsidR="003F050F" w:rsidRDefault="003F050F"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7244DCB2" w14:textId="77777777" w:rsidR="003F050F" w:rsidRDefault="003F050F"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56D395F1"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0E2C335E"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0BB5771" w14:textId="77777777" w:rsidR="003F050F" w:rsidRDefault="003F050F"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3E167007"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nil"/>
              <w:right w:val="nil"/>
            </w:tcBorders>
            <w:shd w:val="clear" w:color="auto" w:fill="auto"/>
            <w:noWrap/>
            <w:vAlign w:val="bottom"/>
            <w:hideMark/>
          </w:tcPr>
          <w:p w14:paraId="7DD49E8C"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0D3512D" w14:textId="77777777" w:rsidR="003F050F" w:rsidRDefault="003F050F"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25DE0FFA" w14:textId="77777777" w:rsidR="003F050F" w:rsidRDefault="003F050F" w:rsidP="005A3B4D">
            <w:pPr>
              <w:jc w:val="right"/>
              <w:rPr>
                <w:color w:val="000000"/>
                <w:sz w:val="20"/>
                <w:szCs w:val="20"/>
              </w:rPr>
            </w:pPr>
            <w:r>
              <w:rPr>
                <w:color w:val="000000"/>
                <w:sz w:val="20"/>
                <w:szCs w:val="20"/>
              </w:rPr>
              <w:t>0.978</w:t>
            </w:r>
          </w:p>
        </w:tc>
        <w:tc>
          <w:tcPr>
            <w:tcW w:w="768" w:type="dxa"/>
            <w:tcBorders>
              <w:top w:val="nil"/>
              <w:left w:val="nil"/>
              <w:bottom w:val="nil"/>
              <w:right w:val="nil"/>
            </w:tcBorders>
            <w:shd w:val="clear" w:color="auto" w:fill="auto"/>
            <w:noWrap/>
            <w:vAlign w:val="bottom"/>
            <w:hideMark/>
          </w:tcPr>
          <w:p w14:paraId="5317C17C"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1669FD1" w14:textId="77777777" w:rsidR="003F050F" w:rsidRDefault="003F050F"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690DF2BC"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57260005"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7DBA4F8" w14:textId="77777777" w:rsidR="003F050F" w:rsidRDefault="003F050F" w:rsidP="005A3B4D">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7054A02C" w14:textId="77777777" w:rsidR="003F050F" w:rsidRDefault="003F050F"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7991AF44" w14:textId="77777777" w:rsidR="003F050F" w:rsidRDefault="003F050F" w:rsidP="005A3B4D">
            <w:pPr>
              <w:jc w:val="right"/>
              <w:rPr>
                <w:color w:val="000000"/>
                <w:sz w:val="20"/>
                <w:szCs w:val="20"/>
              </w:rPr>
            </w:pPr>
            <w:r>
              <w:rPr>
                <w:color w:val="000000"/>
                <w:sz w:val="20"/>
                <w:szCs w:val="20"/>
              </w:rPr>
              <w:t>0.005</w:t>
            </w:r>
          </w:p>
        </w:tc>
      </w:tr>
      <w:tr w:rsidR="003F050F" w14:paraId="2EC731CE" w14:textId="77777777" w:rsidTr="005A3B4D">
        <w:trPr>
          <w:trHeight w:val="320"/>
        </w:trPr>
        <w:tc>
          <w:tcPr>
            <w:tcW w:w="1176" w:type="dxa"/>
            <w:tcBorders>
              <w:top w:val="nil"/>
              <w:left w:val="nil"/>
              <w:bottom w:val="nil"/>
              <w:right w:val="nil"/>
            </w:tcBorders>
            <w:shd w:val="clear" w:color="auto" w:fill="auto"/>
            <w:noWrap/>
            <w:vAlign w:val="bottom"/>
            <w:hideMark/>
          </w:tcPr>
          <w:p w14:paraId="774E61A5"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504EC48" w14:textId="77777777" w:rsidR="003F050F" w:rsidRDefault="003F050F"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78E94B03" w14:textId="77777777" w:rsidR="003F050F" w:rsidRDefault="003F050F" w:rsidP="005A3B4D">
            <w:pPr>
              <w:jc w:val="right"/>
              <w:rPr>
                <w:color w:val="000000"/>
                <w:sz w:val="20"/>
                <w:szCs w:val="20"/>
              </w:rPr>
            </w:pPr>
            <w:r>
              <w:rPr>
                <w:color w:val="000000"/>
                <w:sz w:val="20"/>
                <w:szCs w:val="20"/>
              </w:rPr>
              <w:t>0.142</w:t>
            </w:r>
          </w:p>
        </w:tc>
        <w:tc>
          <w:tcPr>
            <w:tcW w:w="768" w:type="dxa"/>
            <w:tcBorders>
              <w:top w:val="nil"/>
              <w:left w:val="nil"/>
              <w:bottom w:val="nil"/>
              <w:right w:val="nil"/>
            </w:tcBorders>
            <w:shd w:val="clear" w:color="auto" w:fill="auto"/>
            <w:noWrap/>
            <w:vAlign w:val="bottom"/>
            <w:hideMark/>
          </w:tcPr>
          <w:p w14:paraId="28EFAF86" w14:textId="77777777" w:rsidR="003F050F" w:rsidRDefault="003F050F" w:rsidP="005A3B4D">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0E2D5DDB" w14:textId="77777777" w:rsidR="003F050F" w:rsidRDefault="003F050F"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D765A8B" w14:textId="77777777" w:rsidR="003F050F" w:rsidRDefault="003F050F" w:rsidP="005A3B4D">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407C8B58" w14:textId="77777777" w:rsidR="003F050F" w:rsidRDefault="003F050F" w:rsidP="005A3B4D">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04FA8AC3"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AA9FB83" w14:textId="77777777" w:rsidR="003F050F" w:rsidRDefault="003F050F" w:rsidP="005A3B4D">
            <w:pPr>
              <w:jc w:val="right"/>
              <w:rPr>
                <w:color w:val="000000"/>
                <w:sz w:val="20"/>
                <w:szCs w:val="20"/>
              </w:rPr>
            </w:pPr>
            <w:r>
              <w:rPr>
                <w:color w:val="000000"/>
                <w:sz w:val="20"/>
                <w:szCs w:val="20"/>
              </w:rPr>
              <w:t>0.097</w:t>
            </w:r>
          </w:p>
        </w:tc>
        <w:tc>
          <w:tcPr>
            <w:tcW w:w="768" w:type="dxa"/>
            <w:tcBorders>
              <w:top w:val="nil"/>
              <w:left w:val="nil"/>
              <w:bottom w:val="nil"/>
              <w:right w:val="nil"/>
            </w:tcBorders>
            <w:shd w:val="clear" w:color="auto" w:fill="auto"/>
            <w:noWrap/>
            <w:vAlign w:val="bottom"/>
            <w:hideMark/>
          </w:tcPr>
          <w:p w14:paraId="06228B90" w14:textId="77777777" w:rsidR="003F050F" w:rsidRDefault="003F050F" w:rsidP="005A3B4D">
            <w:pPr>
              <w:jc w:val="right"/>
              <w:rPr>
                <w:color w:val="000000"/>
                <w:sz w:val="20"/>
                <w:szCs w:val="20"/>
              </w:rPr>
            </w:pPr>
            <w:r>
              <w:rPr>
                <w:color w:val="000000"/>
                <w:sz w:val="20"/>
                <w:szCs w:val="20"/>
              </w:rPr>
              <w:t>0.720</w:t>
            </w:r>
          </w:p>
        </w:tc>
        <w:tc>
          <w:tcPr>
            <w:tcW w:w="768" w:type="dxa"/>
            <w:tcBorders>
              <w:top w:val="nil"/>
              <w:left w:val="nil"/>
              <w:bottom w:val="nil"/>
              <w:right w:val="nil"/>
            </w:tcBorders>
            <w:shd w:val="clear" w:color="auto" w:fill="auto"/>
            <w:noWrap/>
            <w:vAlign w:val="bottom"/>
            <w:hideMark/>
          </w:tcPr>
          <w:p w14:paraId="7650C4E9" w14:textId="77777777" w:rsidR="003F050F" w:rsidRDefault="003F050F"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39F284A" w14:textId="77777777" w:rsidR="003F050F" w:rsidRDefault="003F050F" w:rsidP="005A3B4D">
            <w:pPr>
              <w:jc w:val="right"/>
              <w:rPr>
                <w:color w:val="000000"/>
                <w:sz w:val="20"/>
                <w:szCs w:val="20"/>
              </w:rPr>
            </w:pPr>
            <w:r>
              <w:rPr>
                <w:color w:val="000000"/>
                <w:sz w:val="20"/>
                <w:szCs w:val="20"/>
              </w:rPr>
              <w:t>0.155</w:t>
            </w:r>
          </w:p>
        </w:tc>
        <w:tc>
          <w:tcPr>
            <w:tcW w:w="768" w:type="dxa"/>
            <w:tcBorders>
              <w:top w:val="nil"/>
              <w:left w:val="nil"/>
              <w:bottom w:val="nil"/>
              <w:right w:val="nil"/>
            </w:tcBorders>
            <w:shd w:val="clear" w:color="auto" w:fill="auto"/>
            <w:noWrap/>
            <w:vAlign w:val="bottom"/>
            <w:hideMark/>
          </w:tcPr>
          <w:p w14:paraId="5BD96C48" w14:textId="77777777" w:rsidR="003F050F" w:rsidRDefault="003F050F" w:rsidP="005A3B4D">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3F1BF859" w14:textId="77777777" w:rsidR="003F050F" w:rsidRDefault="003F050F"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2F134147" w14:textId="77777777" w:rsidR="003F050F" w:rsidRDefault="003F050F" w:rsidP="005A3B4D">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10BC1D8F" w14:textId="77777777" w:rsidR="003F050F" w:rsidRDefault="003F050F"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1BC6A57B" w14:textId="77777777" w:rsidR="003F050F" w:rsidRDefault="003F050F" w:rsidP="005A3B4D">
            <w:pPr>
              <w:jc w:val="right"/>
              <w:rPr>
                <w:color w:val="000000"/>
                <w:sz w:val="20"/>
                <w:szCs w:val="20"/>
              </w:rPr>
            </w:pPr>
            <w:r>
              <w:rPr>
                <w:color w:val="000000"/>
                <w:sz w:val="20"/>
                <w:szCs w:val="20"/>
              </w:rPr>
              <w:t>0.008</w:t>
            </w:r>
          </w:p>
        </w:tc>
      </w:tr>
      <w:tr w:rsidR="003F050F" w14:paraId="12D1D0B0" w14:textId="77777777" w:rsidTr="005A3B4D">
        <w:trPr>
          <w:trHeight w:val="320"/>
        </w:trPr>
        <w:tc>
          <w:tcPr>
            <w:tcW w:w="1176" w:type="dxa"/>
            <w:tcBorders>
              <w:top w:val="nil"/>
              <w:left w:val="nil"/>
              <w:bottom w:val="nil"/>
              <w:right w:val="nil"/>
            </w:tcBorders>
            <w:shd w:val="clear" w:color="auto" w:fill="auto"/>
            <w:noWrap/>
            <w:vAlign w:val="bottom"/>
            <w:hideMark/>
          </w:tcPr>
          <w:p w14:paraId="2ACE88AC"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05E0A59" w14:textId="77777777" w:rsidR="003F050F" w:rsidRDefault="003F050F"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2BFC655" w14:textId="77777777" w:rsidR="003F050F" w:rsidRDefault="003F050F" w:rsidP="005A3B4D">
            <w:pPr>
              <w:jc w:val="right"/>
              <w:rPr>
                <w:color w:val="000000"/>
                <w:sz w:val="20"/>
                <w:szCs w:val="20"/>
              </w:rPr>
            </w:pPr>
            <w:r>
              <w:rPr>
                <w:color w:val="000000"/>
                <w:sz w:val="20"/>
                <w:szCs w:val="20"/>
              </w:rPr>
              <w:t>0.122</w:t>
            </w:r>
          </w:p>
        </w:tc>
        <w:tc>
          <w:tcPr>
            <w:tcW w:w="768" w:type="dxa"/>
            <w:tcBorders>
              <w:top w:val="nil"/>
              <w:left w:val="nil"/>
              <w:bottom w:val="nil"/>
              <w:right w:val="nil"/>
            </w:tcBorders>
            <w:shd w:val="clear" w:color="auto" w:fill="auto"/>
            <w:noWrap/>
            <w:vAlign w:val="bottom"/>
            <w:hideMark/>
          </w:tcPr>
          <w:p w14:paraId="52288817" w14:textId="77777777" w:rsidR="003F050F" w:rsidRDefault="003F050F" w:rsidP="005A3B4D">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77F9B2B1" w14:textId="77777777" w:rsidR="003F050F" w:rsidRDefault="003F050F"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149366C" w14:textId="77777777" w:rsidR="003F050F" w:rsidRDefault="003F050F"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30B9AC78" w14:textId="77777777" w:rsidR="003F050F" w:rsidRDefault="003F050F" w:rsidP="005A3B4D">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5E1A4C43"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1EC89EC" w14:textId="77777777" w:rsidR="003F050F" w:rsidRDefault="003F050F"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5A73E592" w14:textId="77777777" w:rsidR="003F050F" w:rsidRDefault="003F050F" w:rsidP="005A3B4D">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2B3AECC7"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9A66DD" w14:textId="77777777" w:rsidR="003F050F" w:rsidRDefault="003F050F" w:rsidP="005A3B4D">
            <w:pPr>
              <w:jc w:val="right"/>
              <w:rPr>
                <w:color w:val="000000"/>
                <w:sz w:val="20"/>
                <w:szCs w:val="20"/>
              </w:rPr>
            </w:pPr>
            <w:r>
              <w:rPr>
                <w:color w:val="000000"/>
                <w:sz w:val="20"/>
                <w:szCs w:val="20"/>
              </w:rPr>
              <w:t>0.141</w:t>
            </w:r>
          </w:p>
        </w:tc>
        <w:tc>
          <w:tcPr>
            <w:tcW w:w="768" w:type="dxa"/>
            <w:tcBorders>
              <w:top w:val="nil"/>
              <w:left w:val="nil"/>
              <w:bottom w:val="nil"/>
              <w:right w:val="nil"/>
            </w:tcBorders>
            <w:shd w:val="clear" w:color="auto" w:fill="auto"/>
            <w:noWrap/>
            <w:vAlign w:val="bottom"/>
            <w:hideMark/>
          </w:tcPr>
          <w:p w14:paraId="5468D439" w14:textId="77777777" w:rsidR="003F050F" w:rsidRDefault="003F050F" w:rsidP="005A3B4D">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54A2616D" w14:textId="77777777" w:rsidR="003F050F" w:rsidRDefault="003F050F"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748080D0" w14:textId="77777777" w:rsidR="003F050F" w:rsidRDefault="003F050F"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00DAB330" w14:textId="77777777" w:rsidR="003F050F" w:rsidRDefault="003F050F"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6118E338" w14:textId="77777777" w:rsidR="003F050F" w:rsidRDefault="003F050F" w:rsidP="005A3B4D">
            <w:pPr>
              <w:jc w:val="right"/>
              <w:rPr>
                <w:color w:val="000000"/>
                <w:sz w:val="20"/>
                <w:szCs w:val="20"/>
              </w:rPr>
            </w:pPr>
            <w:r>
              <w:rPr>
                <w:color w:val="000000"/>
                <w:sz w:val="20"/>
                <w:szCs w:val="20"/>
              </w:rPr>
              <w:t>0.002</w:t>
            </w:r>
          </w:p>
        </w:tc>
      </w:tr>
      <w:tr w:rsidR="003F050F" w14:paraId="159D36D9" w14:textId="77777777" w:rsidTr="005A3B4D">
        <w:trPr>
          <w:trHeight w:val="320"/>
        </w:trPr>
        <w:tc>
          <w:tcPr>
            <w:tcW w:w="1176" w:type="dxa"/>
            <w:tcBorders>
              <w:top w:val="nil"/>
              <w:left w:val="nil"/>
              <w:bottom w:val="nil"/>
              <w:right w:val="nil"/>
            </w:tcBorders>
            <w:shd w:val="clear" w:color="auto" w:fill="auto"/>
            <w:noWrap/>
            <w:vAlign w:val="bottom"/>
            <w:hideMark/>
          </w:tcPr>
          <w:p w14:paraId="163F99C0"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0FA1BDD" w14:textId="77777777" w:rsidR="003F050F" w:rsidRDefault="003F050F"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60BC135" w14:textId="77777777" w:rsidR="003F050F" w:rsidRDefault="003F050F"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BFFD283" w14:textId="77777777" w:rsidR="003F050F" w:rsidRDefault="003F050F" w:rsidP="005A3B4D">
            <w:pPr>
              <w:jc w:val="right"/>
              <w:rPr>
                <w:color w:val="000000"/>
                <w:sz w:val="20"/>
                <w:szCs w:val="20"/>
              </w:rPr>
            </w:pPr>
            <w:r>
              <w:rPr>
                <w:color w:val="000000"/>
                <w:sz w:val="20"/>
                <w:szCs w:val="20"/>
              </w:rPr>
              <w:t>0.653</w:t>
            </w:r>
          </w:p>
        </w:tc>
        <w:tc>
          <w:tcPr>
            <w:tcW w:w="768" w:type="dxa"/>
            <w:tcBorders>
              <w:top w:val="nil"/>
              <w:left w:val="nil"/>
              <w:bottom w:val="nil"/>
              <w:right w:val="nil"/>
            </w:tcBorders>
            <w:shd w:val="clear" w:color="auto" w:fill="auto"/>
            <w:noWrap/>
            <w:vAlign w:val="bottom"/>
            <w:hideMark/>
          </w:tcPr>
          <w:p w14:paraId="203BD7A4"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2CC5F5C" w14:textId="77777777" w:rsidR="003F050F" w:rsidRDefault="003F050F"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5730969" w14:textId="77777777" w:rsidR="003F050F" w:rsidRDefault="003F050F" w:rsidP="005A3B4D">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093CFBCE"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394CE94" w14:textId="77777777" w:rsidR="003F050F" w:rsidRDefault="003F050F" w:rsidP="005A3B4D">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7EC5B4D7" w14:textId="77777777" w:rsidR="003F050F" w:rsidRDefault="003F050F" w:rsidP="005A3B4D">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01B79B56"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BCEF633" w14:textId="77777777" w:rsidR="003F050F" w:rsidRDefault="003F050F"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4DC7F911"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nil"/>
              <w:right w:val="nil"/>
            </w:tcBorders>
            <w:shd w:val="clear" w:color="auto" w:fill="auto"/>
            <w:noWrap/>
            <w:vAlign w:val="bottom"/>
            <w:hideMark/>
          </w:tcPr>
          <w:p w14:paraId="0BAAD95F"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61BCF9" w14:textId="77777777" w:rsidR="003F050F" w:rsidRDefault="003F050F"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49B5D6C" w14:textId="77777777" w:rsidR="003F050F" w:rsidRDefault="003F050F"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775BBE37" w14:textId="77777777" w:rsidR="003F050F" w:rsidRDefault="003F050F" w:rsidP="005A3B4D">
            <w:pPr>
              <w:jc w:val="right"/>
              <w:rPr>
                <w:color w:val="000000"/>
                <w:sz w:val="20"/>
                <w:szCs w:val="20"/>
              </w:rPr>
            </w:pPr>
            <w:r>
              <w:rPr>
                <w:color w:val="000000"/>
                <w:sz w:val="20"/>
                <w:szCs w:val="20"/>
              </w:rPr>
              <w:t>0.000</w:t>
            </w:r>
          </w:p>
        </w:tc>
      </w:tr>
      <w:tr w:rsidR="003F050F" w14:paraId="0B2B2407" w14:textId="77777777" w:rsidTr="005A3B4D">
        <w:trPr>
          <w:trHeight w:val="320"/>
        </w:trPr>
        <w:tc>
          <w:tcPr>
            <w:tcW w:w="1176" w:type="dxa"/>
            <w:tcBorders>
              <w:top w:val="nil"/>
              <w:left w:val="nil"/>
              <w:bottom w:val="nil"/>
              <w:right w:val="nil"/>
            </w:tcBorders>
            <w:shd w:val="clear" w:color="auto" w:fill="auto"/>
            <w:noWrap/>
            <w:vAlign w:val="bottom"/>
            <w:hideMark/>
          </w:tcPr>
          <w:p w14:paraId="4B4DE7D7"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6C4081D" w14:textId="77777777" w:rsidR="003F050F" w:rsidRDefault="003F050F"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977EE51" w14:textId="77777777" w:rsidR="003F050F" w:rsidRDefault="003F050F" w:rsidP="005A3B4D">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78FE7296" w14:textId="77777777" w:rsidR="003F050F" w:rsidRDefault="003F050F" w:rsidP="005A3B4D">
            <w:pPr>
              <w:jc w:val="right"/>
              <w:rPr>
                <w:color w:val="000000"/>
                <w:sz w:val="20"/>
                <w:szCs w:val="20"/>
              </w:rPr>
            </w:pPr>
            <w:r>
              <w:rPr>
                <w:color w:val="000000"/>
                <w:sz w:val="20"/>
                <w:szCs w:val="20"/>
              </w:rPr>
              <w:t>0.565</w:t>
            </w:r>
          </w:p>
        </w:tc>
        <w:tc>
          <w:tcPr>
            <w:tcW w:w="768" w:type="dxa"/>
            <w:tcBorders>
              <w:top w:val="nil"/>
              <w:left w:val="nil"/>
              <w:bottom w:val="nil"/>
              <w:right w:val="nil"/>
            </w:tcBorders>
            <w:shd w:val="clear" w:color="auto" w:fill="auto"/>
            <w:noWrap/>
            <w:vAlign w:val="bottom"/>
            <w:hideMark/>
          </w:tcPr>
          <w:p w14:paraId="547EEA8A"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3F88853" w14:textId="77777777" w:rsidR="003F050F" w:rsidRDefault="003F050F"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092A9FA" w14:textId="77777777" w:rsidR="003F050F" w:rsidRDefault="003F050F" w:rsidP="005A3B4D">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658F9CC8"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7E9100" w14:textId="77777777" w:rsidR="003F050F" w:rsidRDefault="003F050F"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7F8D9FDD" w14:textId="77777777" w:rsidR="003F050F" w:rsidRDefault="003F050F" w:rsidP="005A3B4D">
            <w:pPr>
              <w:jc w:val="right"/>
              <w:rPr>
                <w:color w:val="000000"/>
                <w:sz w:val="20"/>
                <w:szCs w:val="20"/>
              </w:rPr>
            </w:pPr>
            <w:r>
              <w:rPr>
                <w:color w:val="000000"/>
                <w:sz w:val="20"/>
                <w:szCs w:val="20"/>
              </w:rPr>
              <w:t>0.771</w:t>
            </w:r>
          </w:p>
        </w:tc>
        <w:tc>
          <w:tcPr>
            <w:tcW w:w="768" w:type="dxa"/>
            <w:tcBorders>
              <w:top w:val="nil"/>
              <w:left w:val="nil"/>
              <w:bottom w:val="nil"/>
              <w:right w:val="nil"/>
            </w:tcBorders>
            <w:shd w:val="clear" w:color="auto" w:fill="auto"/>
            <w:noWrap/>
            <w:vAlign w:val="bottom"/>
            <w:hideMark/>
          </w:tcPr>
          <w:p w14:paraId="773ACC94"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C74E2A" w14:textId="77777777" w:rsidR="003F050F" w:rsidRDefault="003F050F" w:rsidP="005A3B4D">
            <w:pPr>
              <w:jc w:val="right"/>
              <w:rPr>
                <w:color w:val="000000"/>
                <w:sz w:val="20"/>
                <w:szCs w:val="20"/>
              </w:rPr>
            </w:pPr>
            <w:r>
              <w:rPr>
                <w:color w:val="000000"/>
                <w:sz w:val="20"/>
                <w:szCs w:val="20"/>
              </w:rPr>
              <w:t>-0.084</w:t>
            </w:r>
          </w:p>
        </w:tc>
        <w:tc>
          <w:tcPr>
            <w:tcW w:w="768" w:type="dxa"/>
            <w:tcBorders>
              <w:top w:val="nil"/>
              <w:left w:val="nil"/>
              <w:bottom w:val="nil"/>
              <w:right w:val="nil"/>
            </w:tcBorders>
            <w:shd w:val="clear" w:color="auto" w:fill="auto"/>
            <w:noWrap/>
            <w:vAlign w:val="bottom"/>
            <w:hideMark/>
          </w:tcPr>
          <w:p w14:paraId="6A0E7999" w14:textId="77777777" w:rsidR="003F050F" w:rsidRDefault="003F050F" w:rsidP="005A3B4D">
            <w:pPr>
              <w:jc w:val="right"/>
              <w:rPr>
                <w:color w:val="000000"/>
                <w:sz w:val="20"/>
                <w:szCs w:val="20"/>
              </w:rPr>
            </w:pPr>
            <w:r>
              <w:rPr>
                <w:color w:val="000000"/>
                <w:sz w:val="20"/>
                <w:szCs w:val="20"/>
              </w:rPr>
              <w:t>0.450</w:t>
            </w:r>
          </w:p>
        </w:tc>
        <w:tc>
          <w:tcPr>
            <w:tcW w:w="768" w:type="dxa"/>
            <w:tcBorders>
              <w:top w:val="nil"/>
              <w:left w:val="nil"/>
              <w:bottom w:val="nil"/>
              <w:right w:val="nil"/>
            </w:tcBorders>
            <w:shd w:val="clear" w:color="auto" w:fill="auto"/>
            <w:noWrap/>
            <w:vAlign w:val="bottom"/>
            <w:hideMark/>
          </w:tcPr>
          <w:p w14:paraId="485BC257"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33B62B2" w14:textId="77777777" w:rsidR="003F050F" w:rsidRDefault="003F050F" w:rsidP="005A3B4D">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1845E709" w14:textId="77777777" w:rsidR="003F050F" w:rsidRDefault="003F050F" w:rsidP="005A3B4D">
            <w:pPr>
              <w:jc w:val="right"/>
              <w:rPr>
                <w:color w:val="000000"/>
                <w:sz w:val="20"/>
                <w:szCs w:val="20"/>
              </w:rPr>
            </w:pPr>
            <w:r>
              <w:rPr>
                <w:color w:val="000000"/>
                <w:sz w:val="20"/>
                <w:szCs w:val="20"/>
              </w:rPr>
              <w:t>0.997</w:t>
            </w:r>
          </w:p>
        </w:tc>
        <w:tc>
          <w:tcPr>
            <w:tcW w:w="768" w:type="dxa"/>
            <w:tcBorders>
              <w:top w:val="nil"/>
              <w:left w:val="nil"/>
              <w:bottom w:val="nil"/>
              <w:right w:val="nil"/>
            </w:tcBorders>
            <w:shd w:val="clear" w:color="auto" w:fill="auto"/>
            <w:noWrap/>
            <w:vAlign w:val="bottom"/>
            <w:hideMark/>
          </w:tcPr>
          <w:p w14:paraId="4CBD09BB" w14:textId="77777777" w:rsidR="003F050F" w:rsidRDefault="003F050F" w:rsidP="005A3B4D">
            <w:pPr>
              <w:jc w:val="right"/>
              <w:rPr>
                <w:color w:val="000000"/>
                <w:sz w:val="20"/>
                <w:szCs w:val="20"/>
              </w:rPr>
            </w:pPr>
            <w:r>
              <w:rPr>
                <w:color w:val="000000"/>
                <w:sz w:val="20"/>
                <w:szCs w:val="20"/>
              </w:rPr>
              <w:t>0.007</w:t>
            </w:r>
          </w:p>
        </w:tc>
      </w:tr>
      <w:tr w:rsidR="003F050F" w14:paraId="40918124"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1111D2E6" w14:textId="77777777" w:rsidR="003F050F" w:rsidRDefault="003F050F"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3D4776D" w14:textId="77777777" w:rsidR="003F050F" w:rsidRDefault="003F050F"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8F68171" w14:textId="77777777" w:rsidR="003F050F" w:rsidRDefault="003F050F" w:rsidP="005A3B4D">
            <w:pPr>
              <w:jc w:val="right"/>
              <w:rPr>
                <w:color w:val="000000"/>
                <w:sz w:val="20"/>
                <w:szCs w:val="20"/>
              </w:rPr>
            </w:pPr>
            <w:r>
              <w:rPr>
                <w:color w:val="000000"/>
                <w:sz w:val="20"/>
                <w:szCs w:val="20"/>
              </w:rPr>
              <w:t>0.171</w:t>
            </w:r>
          </w:p>
        </w:tc>
        <w:tc>
          <w:tcPr>
            <w:tcW w:w="768" w:type="dxa"/>
            <w:tcBorders>
              <w:top w:val="nil"/>
              <w:left w:val="nil"/>
              <w:bottom w:val="single" w:sz="4" w:space="0" w:color="auto"/>
              <w:right w:val="nil"/>
            </w:tcBorders>
            <w:shd w:val="clear" w:color="auto" w:fill="auto"/>
            <w:noWrap/>
            <w:vAlign w:val="bottom"/>
            <w:hideMark/>
          </w:tcPr>
          <w:p w14:paraId="63D094CE"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single" w:sz="4" w:space="0" w:color="auto"/>
              <w:right w:val="nil"/>
            </w:tcBorders>
            <w:shd w:val="clear" w:color="auto" w:fill="auto"/>
            <w:noWrap/>
            <w:vAlign w:val="bottom"/>
            <w:hideMark/>
          </w:tcPr>
          <w:p w14:paraId="53E98AFC" w14:textId="77777777" w:rsidR="003F050F" w:rsidRDefault="003F050F" w:rsidP="005A3B4D">
            <w:pPr>
              <w:jc w:val="right"/>
              <w:rPr>
                <w:color w:val="000000"/>
                <w:sz w:val="20"/>
                <w:szCs w:val="20"/>
              </w:rPr>
            </w:pPr>
            <w:r>
              <w:rPr>
                <w:color w:val="000000"/>
                <w:sz w:val="20"/>
                <w:szCs w:val="20"/>
              </w:rPr>
              <w:t>0.029</w:t>
            </w:r>
          </w:p>
        </w:tc>
        <w:tc>
          <w:tcPr>
            <w:tcW w:w="768" w:type="dxa"/>
            <w:tcBorders>
              <w:top w:val="nil"/>
              <w:left w:val="nil"/>
              <w:bottom w:val="single" w:sz="4" w:space="0" w:color="auto"/>
              <w:right w:val="nil"/>
            </w:tcBorders>
            <w:shd w:val="clear" w:color="auto" w:fill="auto"/>
            <w:noWrap/>
            <w:vAlign w:val="bottom"/>
            <w:hideMark/>
          </w:tcPr>
          <w:p w14:paraId="4185D1D2" w14:textId="77777777" w:rsidR="003F050F" w:rsidRDefault="003F050F" w:rsidP="005A3B4D">
            <w:pPr>
              <w:jc w:val="right"/>
              <w:rPr>
                <w:color w:val="000000"/>
                <w:sz w:val="20"/>
                <w:szCs w:val="20"/>
              </w:rPr>
            </w:pPr>
            <w:r>
              <w:rPr>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45CF2AD3" w14:textId="77777777" w:rsidR="003F050F" w:rsidRDefault="003F050F" w:rsidP="005A3B4D">
            <w:pPr>
              <w:jc w:val="right"/>
              <w:rPr>
                <w:color w:val="000000"/>
                <w:sz w:val="20"/>
                <w:szCs w:val="20"/>
              </w:rPr>
            </w:pPr>
            <w:r>
              <w:rPr>
                <w:color w:val="000000"/>
                <w:sz w:val="20"/>
                <w:szCs w:val="20"/>
              </w:rPr>
              <w:t>1.000</w:t>
            </w:r>
          </w:p>
        </w:tc>
        <w:tc>
          <w:tcPr>
            <w:tcW w:w="768" w:type="dxa"/>
            <w:tcBorders>
              <w:top w:val="nil"/>
              <w:left w:val="nil"/>
              <w:bottom w:val="single" w:sz="4" w:space="0" w:color="auto"/>
              <w:right w:val="nil"/>
            </w:tcBorders>
            <w:shd w:val="clear" w:color="auto" w:fill="auto"/>
            <w:noWrap/>
            <w:vAlign w:val="bottom"/>
            <w:hideMark/>
          </w:tcPr>
          <w:p w14:paraId="37AAA9B5"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93D626A"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2F5584C" w14:textId="77777777" w:rsidR="003F050F" w:rsidRDefault="003F050F" w:rsidP="005A3B4D">
            <w:pPr>
              <w:jc w:val="right"/>
              <w:rPr>
                <w:color w:val="000000"/>
                <w:sz w:val="20"/>
                <w:szCs w:val="20"/>
              </w:rPr>
            </w:pPr>
            <w:r>
              <w:rPr>
                <w:color w:val="000000"/>
                <w:sz w:val="20"/>
                <w:szCs w:val="20"/>
              </w:rPr>
              <w:t>0.978</w:t>
            </w:r>
          </w:p>
        </w:tc>
        <w:tc>
          <w:tcPr>
            <w:tcW w:w="768" w:type="dxa"/>
            <w:tcBorders>
              <w:top w:val="nil"/>
              <w:left w:val="nil"/>
              <w:bottom w:val="single" w:sz="4" w:space="0" w:color="auto"/>
              <w:right w:val="nil"/>
            </w:tcBorders>
            <w:shd w:val="clear" w:color="auto" w:fill="auto"/>
            <w:noWrap/>
            <w:vAlign w:val="bottom"/>
            <w:hideMark/>
          </w:tcPr>
          <w:p w14:paraId="094922A5"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5C2CEE9" w14:textId="77777777" w:rsidR="003F050F" w:rsidRDefault="003F050F" w:rsidP="005A3B4D">
            <w:pPr>
              <w:jc w:val="right"/>
              <w:rPr>
                <w:color w:val="000000"/>
                <w:sz w:val="20"/>
                <w:szCs w:val="20"/>
              </w:rPr>
            </w:pPr>
            <w:r>
              <w:rPr>
                <w:color w:val="000000"/>
                <w:sz w:val="20"/>
                <w:szCs w:val="20"/>
              </w:rPr>
              <w:t>0.084</w:t>
            </w:r>
          </w:p>
        </w:tc>
        <w:tc>
          <w:tcPr>
            <w:tcW w:w="768" w:type="dxa"/>
            <w:tcBorders>
              <w:top w:val="nil"/>
              <w:left w:val="nil"/>
              <w:bottom w:val="single" w:sz="4" w:space="0" w:color="auto"/>
              <w:right w:val="nil"/>
            </w:tcBorders>
            <w:shd w:val="clear" w:color="auto" w:fill="auto"/>
            <w:noWrap/>
            <w:vAlign w:val="bottom"/>
            <w:hideMark/>
          </w:tcPr>
          <w:p w14:paraId="2D88989D" w14:textId="77777777" w:rsidR="003F050F" w:rsidRDefault="003F050F" w:rsidP="005A3B4D">
            <w:pPr>
              <w:jc w:val="right"/>
              <w:rPr>
                <w:color w:val="000000"/>
                <w:sz w:val="20"/>
                <w:szCs w:val="20"/>
              </w:rPr>
            </w:pPr>
            <w:r>
              <w:rPr>
                <w:color w:val="000000"/>
                <w:sz w:val="20"/>
                <w:szCs w:val="20"/>
              </w:rPr>
              <w:t>0.999</w:t>
            </w:r>
          </w:p>
        </w:tc>
        <w:tc>
          <w:tcPr>
            <w:tcW w:w="768" w:type="dxa"/>
            <w:tcBorders>
              <w:top w:val="nil"/>
              <w:left w:val="nil"/>
              <w:bottom w:val="single" w:sz="4" w:space="0" w:color="auto"/>
              <w:right w:val="nil"/>
            </w:tcBorders>
            <w:shd w:val="clear" w:color="auto" w:fill="auto"/>
            <w:noWrap/>
            <w:vAlign w:val="bottom"/>
            <w:hideMark/>
          </w:tcPr>
          <w:p w14:paraId="6C537BF3"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single" w:sz="4" w:space="0" w:color="auto"/>
              <w:right w:val="nil"/>
            </w:tcBorders>
            <w:shd w:val="clear" w:color="auto" w:fill="auto"/>
            <w:noWrap/>
            <w:vAlign w:val="bottom"/>
            <w:hideMark/>
          </w:tcPr>
          <w:p w14:paraId="59C70CF7" w14:textId="77777777" w:rsidR="003F050F" w:rsidRDefault="003F050F" w:rsidP="005A3B4D">
            <w:pPr>
              <w:jc w:val="right"/>
              <w:rPr>
                <w:color w:val="000000"/>
                <w:sz w:val="20"/>
                <w:szCs w:val="20"/>
              </w:rPr>
            </w:pPr>
            <w:r>
              <w:rPr>
                <w:color w:val="000000"/>
                <w:sz w:val="20"/>
                <w:szCs w:val="20"/>
              </w:rPr>
              <w:t>0.101</w:t>
            </w:r>
          </w:p>
        </w:tc>
        <w:tc>
          <w:tcPr>
            <w:tcW w:w="768" w:type="dxa"/>
            <w:tcBorders>
              <w:top w:val="nil"/>
              <w:left w:val="nil"/>
              <w:bottom w:val="single" w:sz="4" w:space="0" w:color="auto"/>
              <w:right w:val="nil"/>
            </w:tcBorders>
            <w:shd w:val="clear" w:color="auto" w:fill="auto"/>
            <w:noWrap/>
            <w:vAlign w:val="bottom"/>
            <w:hideMark/>
          </w:tcPr>
          <w:p w14:paraId="44494AF4" w14:textId="77777777" w:rsidR="003F050F" w:rsidRDefault="003F050F" w:rsidP="005A3B4D">
            <w:pPr>
              <w:jc w:val="right"/>
              <w:rPr>
                <w:color w:val="000000"/>
                <w:sz w:val="20"/>
                <w:szCs w:val="20"/>
              </w:rPr>
            </w:pPr>
            <w:r>
              <w:rPr>
                <w:color w:val="000000"/>
                <w:sz w:val="20"/>
                <w:szCs w:val="20"/>
              </w:rPr>
              <w:t>0.997</w:t>
            </w:r>
          </w:p>
        </w:tc>
        <w:tc>
          <w:tcPr>
            <w:tcW w:w="768" w:type="dxa"/>
            <w:tcBorders>
              <w:top w:val="nil"/>
              <w:left w:val="nil"/>
              <w:bottom w:val="single" w:sz="4" w:space="0" w:color="auto"/>
              <w:right w:val="nil"/>
            </w:tcBorders>
            <w:shd w:val="clear" w:color="auto" w:fill="auto"/>
            <w:noWrap/>
            <w:vAlign w:val="bottom"/>
            <w:hideMark/>
          </w:tcPr>
          <w:p w14:paraId="4ACD49B5" w14:textId="77777777" w:rsidR="003F050F" w:rsidRDefault="003F050F" w:rsidP="005A3B4D">
            <w:pPr>
              <w:jc w:val="right"/>
              <w:rPr>
                <w:color w:val="000000"/>
                <w:sz w:val="20"/>
                <w:szCs w:val="20"/>
              </w:rPr>
            </w:pPr>
            <w:r>
              <w:rPr>
                <w:color w:val="000000"/>
                <w:sz w:val="20"/>
                <w:szCs w:val="20"/>
              </w:rPr>
              <w:t>0.010</w:t>
            </w:r>
          </w:p>
        </w:tc>
      </w:tr>
      <w:tr w:rsidR="003F050F" w14:paraId="6EE20860" w14:textId="77777777" w:rsidTr="005A3B4D">
        <w:trPr>
          <w:trHeight w:val="320"/>
        </w:trPr>
        <w:tc>
          <w:tcPr>
            <w:tcW w:w="1176" w:type="dxa"/>
            <w:tcBorders>
              <w:top w:val="nil"/>
              <w:left w:val="nil"/>
              <w:bottom w:val="nil"/>
              <w:right w:val="nil"/>
            </w:tcBorders>
            <w:shd w:val="clear" w:color="auto" w:fill="auto"/>
            <w:noWrap/>
            <w:vAlign w:val="bottom"/>
            <w:hideMark/>
          </w:tcPr>
          <w:p w14:paraId="29141A7F" w14:textId="77777777" w:rsidR="003F050F" w:rsidRDefault="003F050F" w:rsidP="005A3B4D">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03493A81" w14:textId="77777777" w:rsidR="003F050F" w:rsidRDefault="003F050F"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B561B77" w14:textId="77777777" w:rsidR="003F050F" w:rsidRDefault="003F050F"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21686B58" w14:textId="77777777" w:rsidR="003F050F" w:rsidRDefault="003F050F" w:rsidP="005A3B4D">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3DEAC18C" w14:textId="77777777" w:rsidR="003F050F" w:rsidRDefault="003F050F"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20FE2A3" w14:textId="77777777" w:rsidR="003F050F" w:rsidRDefault="003F050F"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66766BB1" w14:textId="77777777" w:rsidR="003F050F" w:rsidRDefault="003F050F"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680E5577"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8F1B337" w14:textId="77777777" w:rsidR="003F050F" w:rsidRDefault="003F050F"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3B74F78F" w14:textId="77777777" w:rsidR="003F050F" w:rsidRDefault="003F050F" w:rsidP="005A3B4D">
            <w:pPr>
              <w:jc w:val="right"/>
              <w:rPr>
                <w:color w:val="000000"/>
                <w:sz w:val="20"/>
                <w:szCs w:val="20"/>
              </w:rPr>
            </w:pPr>
            <w:r>
              <w:rPr>
                <w:color w:val="000000"/>
                <w:sz w:val="20"/>
                <w:szCs w:val="20"/>
              </w:rPr>
              <w:t>0.821</w:t>
            </w:r>
          </w:p>
        </w:tc>
        <w:tc>
          <w:tcPr>
            <w:tcW w:w="768" w:type="dxa"/>
            <w:tcBorders>
              <w:top w:val="nil"/>
              <w:left w:val="nil"/>
              <w:bottom w:val="nil"/>
              <w:right w:val="nil"/>
            </w:tcBorders>
            <w:shd w:val="clear" w:color="auto" w:fill="auto"/>
            <w:noWrap/>
            <w:vAlign w:val="bottom"/>
            <w:hideMark/>
          </w:tcPr>
          <w:p w14:paraId="1149F3BB"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D180B0C" w14:textId="77777777" w:rsidR="003F050F" w:rsidRDefault="003F050F" w:rsidP="005A3B4D">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7E6CBB73" w14:textId="77777777" w:rsidR="003F050F" w:rsidRDefault="003F050F" w:rsidP="005A3B4D">
            <w:pPr>
              <w:jc w:val="right"/>
              <w:rPr>
                <w:color w:val="000000"/>
                <w:sz w:val="20"/>
                <w:szCs w:val="20"/>
              </w:rPr>
            </w:pPr>
            <w:r>
              <w:rPr>
                <w:color w:val="000000"/>
                <w:sz w:val="20"/>
                <w:szCs w:val="20"/>
              </w:rPr>
              <w:t>0.275</w:t>
            </w:r>
          </w:p>
        </w:tc>
        <w:tc>
          <w:tcPr>
            <w:tcW w:w="768" w:type="dxa"/>
            <w:tcBorders>
              <w:top w:val="nil"/>
              <w:left w:val="nil"/>
              <w:bottom w:val="nil"/>
              <w:right w:val="nil"/>
            </w:tcBorders>
            <w:shd w:val="clear" w:color="auto" w:fill="auto"/>
            <w:noWrap/>
            <w:vAlign w:val="bottom"/>
            <w:hideMark/>
          </w:tcPr>
          <w:p w14:paraId="2C6020CA"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ED6C284" w14:textId="77777777" w:rsidR="003F050F" w:rsidRDefault="003F050F" w:rsidP="005A3B4D">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0FF139B1" w14:textId="77777777" w:rsidR="003F050F" w:rsidRDefault="003F050F"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343EF8F8" w14:textId="77777777" w:rsidR="003F050F" w:rsidRDefault="003F050F" w:rsidP="005A3B4D">
            <w:pPr>
              <w:jc w:val="right"/>
              <w:rPr>
                <w:color w:val="000000"/>
                <w:sz w:val="20"/>
                <w:szCs w:val="20"/>
              </w:rPr>
            </w:pPr>
            <w:r>
              <w:rPr>
                <w:color w:val="000000"/>
                <w:sz w:val="20"/>
                <w:szCs w:val="20"/>
              </w:rPr>
              <w:t>0.000</w:t>
            </w:r>
          </w:p>
        </w:tc>
      </w:tr>
      <w:tr w:rsidR="003F050F" w14:paraId="66BA7735" w14:textId="77777777" w:rsidTr="005A3B4D">
        <w:trPr>
          <w:trHeight w:val="320"/>
        </w:trPr>
        <w:tc>
          <w:tcPr>
            <w:tcW w:w="1176" w:type="dxa"/>
            <w:tcBorders>
              <w:top w:val="nil"/>
              <w:left w:val="nil"/>
              <w:bottom w:val="nil"/>
              <w:right w:val="nil"/>
            </w:tcBorders>
            <w:shd w:val="clear" w:color="auto" w:fill="auto"/>
            <w:noWrap/>
            <w:vAlign w:val="bottom"/>
            <w:hideMark/>
          </w:tcPr>
          <w:p w14:paraId="7068333F"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882F923" w14:textId="77777777" w:rsidR="003F050F" w:rsidRDefault="003F050F"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39C9A4C" w14:textId="77777777" w:rsidR="003F050F" w:rsidRDefault="003F050F" w:rsidP="005A3B4D">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29D7FC46" w14:textId="77777777" w:rsidR="003F050F" w:rsidRDefault="003F050F" w:rsidP="005A3B4D">
            <w:pPr>
              <w:jc w:val="right"/>
              <w:rPr>
                <w:color w:val="000000"/>
                <w:sz w:val="20"/>
                <w:szCs w:val="20"/>
              </w:rPr>
            </w:pPr>
            <w:r>
              <w:rPr>
                <w:color w:val="000000"/>
                <w:sz w:val="20"/>
                <w:szCs w:val="20"/>
              </w:rPr>
              <w:t>0.671</w:t>
            </w:r>
          </w:p>
        </w:tc>
        <w:tc>
          <w:tcPr>
            <w:tcW w:w="768" w:type="dxa"/>
            <w:tcBorders>
              <w:top w:val="nil"/>
              <w:left w:val="nil"/>
              <w:bottom w:val="nil"/>
              <w:right w:val="nil"/>
            </w:tcBorders>
            <w:shd w:val="clear" w:color="auto" w:fill="auto"/>
            <w:noWrap/>
            <w:vAlign w:val="bottom"/>
            <w:hideMark/>
          </w:tcPr>
          <w:p w14:paraId="5DF5D8C7"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8A31D8" w14:textId="77777777" w:rsidR="003F050F" w:rsidRDefault="003F050F" w:rsidP="005A3B4D">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3FA7065B" w14:textId="77777777" w:rsidR="003F050F" w:rsidRDefault="003F050F" w:rsidP="005A3B4D">
            <w:pPr>
              <w:jc w:val="right"/>
              <w:rPr>
                <w:color w:val="000000"/>
                <w:sz w:val="20"/>
                <w:szCs w:val="20"/>
              </w:rPr>
            </w:pPr>
            <w:r>
              <w:rPr>
                <w:color w:val="000000"/>
                <w:sz w:val="20"/>
                <w:szCs w:val="20"/>
              </w:rPr>
              <w:t>0.096</w:t>
            </w:r>
          </w:p>
        </w:tc>
        <w:tc>
          <w:tcPr>
            <w:tcW w:w="768" w:type="dxa"/>
            <w:tcBorders>
              <w:top w:val="nil"/>
              <w:left w:val="nil"/>
              <w:bottom w:val="nil"/>
              <w:right w:val="nil"/>
            </w:tcBorders>
            <w:shd w:val="clear" w:color="auto" w:fill="auto"/>
            <w:noWrap/>
            <w:vAlign w:val="bottom"/>
            <w:hideMark/>
          </w:tcPr>
          <w:p w14:paraId="05ABB790"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7ADD55F" w14:textId="77777777" w:rsidR="003F050F" w:rsidRDefault="003F050F" w:rsidP="005A3B4D">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52DF70FB" w14:textId="77777777" w:rsidR="003F050F" w:rsidRDefault="003F050F" w:rsidP="005A3B4D">
            <w:pPr>
              <w:jc w:val="right"/>
              <w:rPr>
                <w:color w:val="000000"/>
                <w:sz w:val="20"/>
                <w:szCs w:val="20"/>
              </w:rPr>
            </w:pPr>
            <w:r>
              <w:rPr>
                <w:color w:val="000000"/>
                <w:sz w:val="20"/>
                <w:szCs w:val="20"/>
              </w:rPr>
              <w:t>0.251</w:t>
            </w:r>
          </w:p>
        </w:tc>
        <w:tc>
          <w:tcPr>
            <w:tcW w:w="768" w:type="dxa"/>
            <w:tcBorders>
              <w:top w:val="nil"/>
              <w:left w:val="nil"/>
              <w:bottom w:val="nil"/>
              <w:right w:val="nil"/>
            </w:tcBorders>
            <w:shd w:val="clear" w:color="auto" w:fill="auto"/>
            <w:noWrap/>
            <w:vAlign w:val="bottom"/>
            <w:hideMark/>
          </w:tcPr>
          <w:p w14:paraId="60FE345C"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32B8BD6" w14:textId="77777777" w:rsidR="003F050F" w:rsidRDefault="003F050F"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08A03F20" w14:textId="77777777" w:rsidR="003F050F" w:rsidRDefault="003F050F" w:rsidP="005A3B4D">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06A272D0"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1B5448" w14:textId="77777777" w:rsidR="003F050F" w:rsidRDefault="003F050F"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307D02E8" w14:textId="77777777" w:rsidR="003F050F" w:rsidRDefault="003F050F"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46E55353" w14:textId="77777777" w:rsidR="003F050F" w:rsidRDefault="003F050F" w:rsidP="005A3B4D">
            <w:pPr>
              <w:jc w:val="right"/>
              <w:rPr>
                <w:color w:val="000000"/>
                <w:sz w:val="20"/>
                <w:szCs w:val="20"/>
              </w:rPr>
            </w:pPr>
            <w:r>
              <w:rPr>
                <w:color w:val="000000"/>
                <w:sz w:val="20"/>
                <w:szCs w:val="20"/>
              </w:rPr>
              <w:t>0.001</w:t>
            </w:r>
          </w:p>
        </w:tc>
      </w:tr>
      <w:tr w:rsidR="003F050F" w14:paraId="47C4BAC9" w14:textId="77777777" w:rsidTr="005A3B4D">
        <w:trPr>
          <w:trHeight w:val="320"/>
        </w:trPr>
        <w:tc>
          <w:tcPr>
            <w:tcW w:w="1176" w:type="dxa"/>
            <w:tcBorders>
              <w:top w:val="nil"/>
              <w:left w:val="nil"/>
              <w:bottom w:val="nil"/>
              <w:right w:val="nil"/>
            </w:tcBorders>
            <w:shd w:val="clear" w:color="auto" w:fill="auto"/>
            <w:noWrap/>
            <w:vAlign w:val="bottom"/>
            <w:hideMark/>
          </w:tcPr>
          <w:p w14:paraId="1A7C2737"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7F91F3B" w14:textId="77777777" w:rsidR="003F050F" w:rsidRDefault="003F050F"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B2FE165" w14:textId="77777777" w:rsidR="003F050F" w:rsidRDefault="003F050F" w:rsidP="005A3B4D">
            <w:pPr>
              <w:jc w:val="right"/>
              <w:rPr>
                <w:color w:val="000000"/>
                <w:sz w:val="20"/>
                <w:szCs w:val="20"/>
              </w:rPr>
            </w:pPr>
            <w:r>
              <w:rPr>
                <w:color w:val="000000"/>
                <w:sz w:val="20"/>
                <w:szCs w:val="20"/>
              </w:rPr>
              <w:t>-0.086</w:t>
            </w:r>
          </w:p>
        </w:tc>
        <w:tc>
          <w:tcPr>
            <w:tcW w:w="768" w:type="dxa"/>
            <w:tcBorders>
              <w:top w:val="nil"/>
              <w:left w:val="nil"/>
              <w:bottom w:val="nil"/>
              <w:right w:val="nil"/>
            </w:tcBorders>
            <w:shd w:val="clear" w:color="auto" w:fill="auto"/>
            <w:noWrap/>
            <w:vAlign w:val="bottom"/>
            <w:hideMark/>
          </w:tcPr>
          <w:p w14:paraId="16E693B2" w14:textId="77777777" w:rsidR="003F050F" w:rsidRDefault="003F050F" w:rsidP="005A3B4D">
            <w:pPr>
              <w:jc w:val="right"/>
              <w:rPr>
                <w:color w:val="000000"/>
                <w:sz w:val="20"/>
                <w:szCs w:val="20"/>
              </w:rPr>
            </w:pPr>
            <w:r>
              <w:rPr>
                <w:color w:val="000000"/>
                <w:sz w:val="20"/>
                <w:szCs w:val="20"/>
              </w:rPr>
              <w:t>0.213</w:t>
            </w:r>
          </w:p>
        </w:tc>
        <w:tc>
          <w:tcPr>
            <w:tcW w:w="768" w:type="dxa"/>
            <w:tcBorders>
              <w:top w:val="nil"/>
              <w:left w:val="nil"/>
              <w:bottom w:val="nil"/>
              <w:right w:val="nil"/>
            </w:tcBorders>
            <w:shd w:val="clear" w:color="auto" w:fill="auto"/>
            <w:noWrap/>
            <w:vAlign w:val="bottom"/>
            <w:hideMark/>
          </w:tcPr>
          <w:p w14:paraId="26BCC964"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386BDDF" w14:textId="77777777" w:rsidR="003F050F" w:rsidRDefault="003F050F"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532EE4DC" w14:textId="77777777" w:rsidR="003F050F" w:rsidRDefault="003F050F"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490EA563"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EB9C28" w14:textId="77777777" w:rsidR="003F050F" w:rsidRDefault="003F050F"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6D29886" w14:textId="77777777" w:rsidR="003F050F" w:rsidRDefault="003F050F" w:rsidP="005A3B4D">
            <w:pPr>
              <w:jc w:val="right"/>
              <w:rPr>
                <w:color w:val="000000"/>
                <w:sz w:val="20"/>
                <w:szCs w:val="20"/>
              </w:rPr>
            </w:pPr>
            <w:r>
              <w:rPr>
                <w:color w:val="000000"/>
                <w:sz w:val="20"/>
                <w:szCs w:val="20"/>
              </w:rPr>
              <w:t>0.821</w:t>
            </w:r>
          </w:p>
        </w:tc>
        <w:tc>
          <w:tcPr>
            <w:tcW w:w="768" w:type="dxa"/>
            <w:tcBorders>
              <w:top w:val="nil"/>
              <w:left w:val="nil"/>
              <w:bottom w:val="nil"/>
              <w:right w:val="nil"/>
            </w:tcBorders>
            <w:shd w:val="clear" w:color="auto" w:fill="auto"/>
            <w:noWrap/>
            <w:vAlign w:val="bottom"/>
            <w:hideMark/>
          </w:tcPr>
          <w:p w14:paraId="68323F65"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AB6E30D" w14:textId="77777777" w:rsidR="003F050F" w:rsidRDefault="003F050F" w:rsidP="005A3B4D">
            <w:pPr>
              <w:jc w:val="right"/>
              <w:rPr>
                <w:color w:val="000000"/>
                <w:sz w:val="20"/>
                <w:szCs w:val="20"/>
              </w:rPr>
            </w:pPr>
            <w:r>
              <w:rPr>
                <w:color w:val="000000"/>
                <w:sz w:val="20"/>
                <w:szCs w:val="20"/>
              </w:rPr>
              <w:t>-0.077</w:t>
            </w:r>
          </w:p>
        </w:tc>
        <w:tc>
          <w:tcPr>
            <w:tcW w:w="768" w:type="dxa"/>
            <w:tcBorders>
              <w:top w:val="nil"/>
              <w:left w:val="nil"/>
              <w:bottom w:val="nil"/>
              <w:right w:val="nil"/>
            </w:tcBorders>
            <w:shd w:val="clear" w:color="auto" w:fill="auto"/>
            <w:noWrap/>
            <w:vAlign w:val="bottom"/>
            <w:hideMark/>
          </w:tcPr>
          <w:p w14:paraId="05315001" w14:textId="77777777" w:rsidR="003F050F" w:rsidRDefault="003F050F" w:rsidP="005A3B4D">
            <w:pPr>
              <w:jc w:val="right"/>
              <w:rPr>
                <w:color w:val="000000"/>
                <w:sz w:val="20"/>
                <w:szCs w:val="20"/>
              </w:rPr>
            </w:pPr>
            <w:r>
              <w:rPr>
                <w:color w:val="000000"/>
                <w:sz w:val="20"/>
                <w:szCs w:val="20"/>
              </w:rPr>
              <w:t>0.275</w:t>
            </w:r>
          </w:p>
        </w:tc>
        <w:tc>
          <w:tcPr>
            <w:tcW w:w="768" w:type="dxa"/>
            <w:tcBorders>
              <w:top w:val="nil"/>
              <w:left w:val="nil"/>
              <w:bottom w:val="nil"/>
              <w:right w:val="nil"/>
            </w:tcBorders>
            <w:shd w:val="clear" w:color="auto" w:fill="auto"/>
            <w:noWrap/>
            <w:vAlign w:val="bottom"/>
            <w:hideMark/>
          </w:tcPr>
          <w:p w14:paraId="4FD6E784"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027C92CA"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0180F13" w14:textId="77777777" w:rsidR="003F050F" w:rsidRDefault="003F050F"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36070E84" w14:textId="77777777" w:rsidR="003F050F" w:rsidRDefault="003F050F" w:rsidP="005A3B4D">
            <w:pPr>
              <w:jc w:val="right"/>
              <w:rPr>
                <w:color w:val="000000"/>
                <w:sz w:val="20"/>
                <w:szCs w:val="20"/>
              </w:rPr>
            </w:pPr>
            <w:r>
              <w:rPr>
                <w:color w:val="000000"/>
                <w:sz w:val="20"/>
                <w:szCs w:val="20"/>
              </w:rPr>
              <w:t>0.000</w:t>
            </w:r>
          </w:p>
        </w:tc>
      </w:tr>
      <w:tr w:rsidR="003F050F" w14:paraId="08A99D7A" w14:textId="77777777" w:rsidTr="005A3B4D">
        <w:trPr>
          <w:trHeight w:val="320"/>
        </w:trPr>
        <w:tc>
          <w:tcPr>
            <w:tcW w:w="1176" w:type="dxa"/>
            <w:tcBorders>
              <w:top w:val="nil"/>
              <w:left w:val="nil"/>
              <w:bottom w:val="nil"/>
              <w:right w:val="nil"/>
            </w:tcBorders>
            <w:shd w:val="clear" w:color="auto" w:fill="auto"/>
            <w:noWrap/>
            <w:vAlign w:val="bottom"/>
            <w:hideMark/>
          </w:tcPr>
          <w:p w14:paraId="613E7BF2"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525E555" w14:textId="77777777" w:rsidR="003F050F" w:rsidRDefault="003F050F"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9DBAF5F"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BE3798C" w14:textId="77777777" w:rsidR="003F050F" w:rsidRDefault="003F050F" w:rsidP="005A3B4D">
            <w:pPr>
              <w:jc w:val="right"/>
              <w:rPr>
                <w:color w:val="000000"/>
                <w:sz w:val="20"/>
                <w:szCs w:val="20"/>
              </w:rPr>
            </w:pPr>
            <w:r>
              <w:rPr>
                <w:color w:val="000000"/>
                <w:sz w:val="20"/>
                <w:szCs w:val="20"/>
              </w:rPr>
              <w:t>0.944</w:t>
            </w:r>
          </w:p>
        </w:tc>
        <w:tc>
          <w:tcPr>
            <w:tcW w:w="768" w:type="dxa"/>
            <w:tcBorders>
              <w:top w:val="nil"/>
              <w:left w:val="nil"/>
              <w:bottom w:val="nil"/>
              <w:right w:val="nil"/>
            </w:tcBorders>
            <w:shd w:val="clear" w:color="auto" w:fill="auto"/>
            <w:noWrap/>
            <w:vAlign w:val="bottom"/>
            <w:hideMark/>
          </w:tcPr>
          <w:p w14:paraId="70BAC5E0"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46104B" w14:textId="77777777" w:rsidR="003F050F" w:rsidRDefault="003F050F" w:rsidP="005A3B4D">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42EBF911" w14:textId="77777777" w:rsidR="003F050F" w:rsidRDefault="003F050F" w:rsidP="005A3B4D">
            <w:pPr>
              <w:jc w:val="right"/>
              <w:rPr>
                <w:color w:val="000000"/>
                <w:sz w:val="20"/>
                <w:szCs w:val="20"/>
              </w:rPr>
            </w:pPr>
            <w:r>
              <w:rPr>
                <w:color w:val="000000"/>
                <w:sz w:val="20"/>
                <w:szCs w:val="20"/>
              </w:rPr>
              <w:t>0.172</w:t>
            </w:r>
          </w:p>
        </w:tc>
        <w:tc>
          <w:tcPr>
            <w:tcW w:w="768" w:type="dxa"/>
            <w:tcBorders>
              <w:top w:val="nil"/>
              <w:left w:val="nil"/>
              <w:bottom w:val="nil"/>
              <w:right w:val="nil"/>
            </w:tcBorders>
            <w:shd w:val="clear" w:color="auto" w:fill="auto"/>
            <w:noWrap/>
            <w:vAlign w:val="bottom"/>
            <w:hideMark/>
          </w:tcPr>
          <w:p w14:paraId="71BEE9A0"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41580E8" w14:textId="77777777" w:rsidR="003F050F" w:rsidRDefault="003F050F" w:rsidP="005A3B4D">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07FF1FC6" w14:textId="77777777" w:rsidR="003F050F" w:rsidRDefault="003F050F" w:rsidP="005A3B4D">
            <w:pPr>
              <w:jc w:val="right"/>
              <w:rPr>
                <w:color w:val="000000"/>
                <w:sz w:val="20"/>
                <w:szCs w:val="20"/>
              </w:rPr>
            </w:pPr>
            <w:r>
              <w:rPr>
                <w:color w:val="000000"/>
                <w:sz w:val="20"/>
                <w:szCs w:val="20"/>
              </w:rPr>
              <w:t>0.821</w:t>
            </w:r>
          </w:p>
        </w:tc>
        <w:tc>
          <w:tcPr>
            <w:tcW w:w="768" w:type="dxa"/>
            <w:tcBorders>
              <w:top w:val="nil"/>
              <w:left w:val="nil"/>
              <w:bottom w:val="nil"/>
              <w:right w:val="nil"/>
            </w:tcBorders>
            <w:shd w:val="clear" w:color="auto" w:fill="auto"/>
            <w:noWrap/>
            <w:vAlign w:val="bottom"/>
            <w:hideMark/>
          </w:tcPr>
          <w:p w14:paraId="61729A16"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48E2FD0" w14:textId="77777777" w:rsidR="003F050F" w:rsidRDefault="003F050F" w:rsidP="005A3B4D">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5DCCEEAA" w14:textId="77777777" w:rsidR="003F050F" w:rsidRDefault="003F050F" w:rsidP="005A3B4D">
            <w:pPr>
              <w:jc w:val="right"/>
              <w:rPr>
                <w:color w:val="000000"/>
                <w:sz w:val="20"/>
                <w:szCs w:val="20"/>
              </w:rPr>
            </w:pPr>
            <w:r>
              <w:rPr>
                <w:color w:val="000000"/>
                <w:sz w:val="20"/>
                <w:szCs w:val="20"/>
              </w:rPr>
              <w:t>0.952</w:t>
            </w:r>
          </w:p>
        </w:tc>
        <w:tc>
          <w:tcPr>
            <w:tcW w:w="768" w:type="dxa"/>
            <w:tcBorders>
              <w:top w:val="nil"/>
              <w:left w:val="nil"/>
              <w:bottom w:val="nil"/>
              <w:right w:val="nil"/>
            </w:tcBorders>
            <w:shd w:val="clear" w:color="auto" w:fill="auto"/>
            <w:noWrap/>
            <w:vAlign w:val="bottom"/>
            <w:hideMark/>
          </w:tcPr>
          <w:p w14:paraId="19ECE121"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F855BA6" w14:textId="77777777" w:rsidR="003F050F" w:rsidRDefault="003F050F"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2A19ACAC" w14:textId="77777777" w:rsidR="003F050F" w:rsidRDefault="003F050F"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36021342" w14:textId="77777777" w:rsidR="003F050F" w:rsidRDefault="003F050F" w:rsidP="005A3B4D">
            <w:pPr>
              <w:jc w:val="right"/>
              <w:rPr>
                <w:color w:val="000000"/>
                <w:sz w:val="20"/>
                <w:szCs w:val="20"/>
              </w:rPr>
            </w:pPr>
            <w:r>
              <w:rPr>
                <w:color w:val="000000"/>
                <w:sz w:val="20"/>
                <w:szCs w:val="20"/>
              </w:rPr>
              <w:t>0.000</w:t>
            </w:r>
          </w:p>
        </w:tc>
      </w:tr>
      <w:tr w:rsidR="003F050F" w14:paraId="16E90415" w14:textId="77777777" w:rsidTr="005A3B4D">
        <w:trPr>
          <w:trHeight w:val="320"/>
        </w:trPr>
        <w:tc>
          <w:tcPr>
            <w:tcW w:w="1176" w:type="dxa"/>
            <w:tcBorders>
              <w:top w:val="nil"/>
              <w:left w:val="nil"/>
              <w:bottom w:val="nil"/>
              <w:right w:val="nil"/>
            </w:tcBorders>
            <w:shd w:val="clear" w:color="auto" w:fill="auto"/>
            <w:noWrap/>
            <w:vAlign w:val="bottom"/>
            <w:hideMark/>
          </w:tcPr>
          <w:p w14:paraId="6E0B0445"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7AFB8B0" w14:textId="77777777" w:rsidR="003F050F" w:rsidRDefault="003F050F"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6B4D07E2" w14:textId="77777777" w:rsidR="003F050F" w:rsidRDefault="003F050F" w:rsidP="005A3B4D">
            <w:pPr>
              <w:jc w:val="right"/>
              <w:rPr>
                <w:color w:val="000000"/>
                <w:sz w:val="20"/>
                <w:szCs w:val="20"/>
              </w:rPr>
            </w:pPr>
            <w:r>
              <w:rPr>
                <w:color w:val="000000"/>
                <w:sz w:val="20"/>
                <w:szCs w:val="20"/>
              </w:rPr>
              <w:t>0.089</w:t>
            </w:r>
          </w:p>
        </w:tc>
        <w:tc>
          <w:tcPr>
            <w:tcW w:w="768" w:type="dxa"/>
            <w:tcBorders>
              <w:top w:val="nil"/>
              <w:left w:val="nil"/>
              <w:bottom w:val="nil"/>
              <w:right w:val="nil"/>
            </w:tcBorders>
            <w:shd w:val="clear" w:color="auto" w:fill="auto"/>
            <w:noWrap/>
            <w:vAlign w:val="bottom"/>
            <w:hideMark/>
          </w:tcPr>
          <w:p w14:paraId="0534620A" w14:textId="77777777" w:rsidR="003F050F" w:rsidRDefault="003F050F" w:rsidP="005A3B4D">
            <w:pPr>
              <w:jc w:val="right"/>
              <w:rPr>
                <w:color w:val="000000"/>
                <w:sz w:val="20"/>
                <w:szCs w:val="20"/>
              </w:rPr>
            </w:pPr>
            <w:r>
              <w:rPr>
                <w:color w:val="000000"/>
                <w:sz w:val="20"/>
                <w:szCs w:val="20"/>
              </w:rPr>
              <w:t>0.144</w:t>
            </w:r>
          </w:p>
        </w:tc>
        <w:tc>
          <w:tcPr>
            <w:tcW w:w="768" w:type="dxa"/>
            <w:tcBorders>
              <w:top w:val="nil"/>
              <w:left w:val="nil"/>
              <w:bottom w:val="nil"/>
              <w:right w:val="nil"/>
            </w:tcBorders>
            <w:shd w:val="clear" w:color="auto" w:fill="auto"/>
            <w:noWrap/>
            <w:vAlign w:val="bottom"/>
            <w:hideMark/>
          </w:tcPr>
          <w:p w14:paraId="45A1D3B4" w14:textId="77777777" w:rsidR="003F050F" w:rsidRDefault="003F050F"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C437176"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264AA3C" w14:textId="77777777" w:rsidR="003F050F" w:rsidRDefault="003F050F" w:rsidP="005A3B4D">
            <w:pPr>
              <w:jc w:val="right"/>
              <w:rPr>
                <w:color w:val="000000"/>
                <w:sz w:val="20"/>
                <w:szCs w:val="20"/>
              </w:rPr>
            </w:pPr>
            <w:r>
              <w:rPr>
                <w:color w:val="000000"/>
                <w:sz w:val="20"/>
                <w:szCs w:val="20"/>
              </w:rPr>
              <w:t>0.862</w:t>
            </w:r>
          </w:p>
        </w:tc>
        <w:tc>
          <w:tcPr>
            <w:tcW w:w="768" w:type="dxa"/>
            <w:tcBorders>
              <w:top w:val="nil"/>
              <w:left w:val="nil"/>
              <w:bottom w:val="nil"/>
              <w:right w:val="nil"/>
            </w:tcBorders>
            <w:shd w:val="clear" w:color="auto" w:fill="auto"/>
            <w:noWrap/>
            <w:vAlign w:val="bottom"/>
            <w:hideMark/>
          </w:tcPr>
          <w:p w14:paraId="1AE3AF11"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BFEEFA" w14:textId="77777777" w:rsidR="003F050F" w:rsidRDefault="003F050F"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D3FB174" w14:textId="77777777" w:rsidR="003F050F" w:rsidRDefault="003F050F" w:rsidP="005A3B4D">
            <w:pPr>
              <w:jc w:val="right"/>
              <w:rPr>
                <w:color w:val="000000"/>
                <w:sz w:val="20"/>
                <w:szCs w:val="20"/>
              </w:rPr>
            </w:pPr>
            <w:r>
              <w:rPr>
                <w:color w:val="000000"/>
                <w:sz w:val="20"/>
                <w:szCs w:val="20"/>
              </w:rPr>
              <w:t>0.907</w:t>
            </w:r>
          </w:p>
        </w:tc>
        <w:tc>
          <w:tcPr>
            <w:tcW w:w="768" w:type="dxa"/>
            <w:tcBorders>
              <w:top w:val="nil"/>
              <w:left w:val="nil"/>
              <w:bottom w:val="nil"/>
              <w:right w:val="nil"/>
            </w:tcBorders>
            <w:shd w:val="clear" w:color="auto" w:fill="auto"/>
            <w:noWrap/>
            <w:vAlign w:val="bottom"/>
            <w:hideMark/>
          </w:tcPr>
          <w:p w14:paraId="0F8797AB"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D23D95" w14:textId="77777777" w:rsidR="003F050F" w:rsidRDefault="003F050F" w:rsidP="005A3B4D">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1F915B64" w14:textId="77777777" w:rsidR="003F050F" w:rsidRDefault="003F050F" w:rsidP="005A3B4D">
            <w:pPr>
              <w:jc w:val="right"/>
              <w:rPr>
                <w:color w:val="000000"/>
                <w:sz w:val="20"/>
                <w:szCs w:val="20"/>
              </w:rPr>
            </w:pPr>
            <w:r>
              <w:rPr>
                <w:color w:val="000000"/>
                <w:sz w:val="20"/>
                <w:szCs w:val="20"/>
              </w:rPr>
              <w:t>0.275</w:t>
            </w:r>
          </w:p>
        </w:tc>
        <w:tc>
          <w:tcPr>
            <w:tcW w:w="768" w:type="dxa"/>
            <w:tcBorders>
              <w:top w:val="nil"/>
              <w:left w:val="nil"/>
              <w:bottom w:val="nil"/>
              <w:right w:val="nil"/>
            </w:tcBorders>
            <w:shd w:val="clear" w:color="auto" w:fill="auto"/>
            <w:noWrap/>
            <w:vAlign w:val="bottom"/>
            <w:hideMark/>
          </w:tcPr>
          <w:p w14:paraId="266BD223"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1695525" w14:textId="77777777" w:rsidR="003F050F" w:rsidRDefault="003F050F" w:rsidP="005A3B4D">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10F42A69" w14:textId="77777777" w:rsidR="003F050F" w:rsidRDefault="003F050F"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020BB9F1" w14:textId="77777777" w:rsidR="003F050F" w:rsidRDefault="003F050F" w:rsidP="005A3B4D">
            <w:pPr>
              <w:jc w:val="right"/>
              <w:rPr>
                <w:color w:val="000000"/>
                <w:sz w:val="20"/>
                <w:szCs w:val="20"/>
              </w:rPr>
            </w:pPr>
            <w:r>
              <w:rPr>
                <w:color w:val="000000"/>
                <w:sz w:val="20"/>
                <w:szCs w:val="20"/>
              </w:rPr>
              <w:t>0.000</w:t>
            </w:r>
          </w:p>
        </w:tc>
      </w:tr>
      <w:tr w:rsidR="003F050F" w14:paraId="3E6C078E" w14:textId="77777777" w:rsidTr="005A3B4D">
        <w:trPr>
          <w:trHeight w:val="320"/>
        </w:trPr>
        <w:tc>
          <w:tcPr>
            <w:tcW w:w="1176" w:type="dxa"/>
            <w:tcBorders>
              <w:top w:val="nil"/>
              <w:left w:val="nil"/>
              <w:bottom w:val="nil"/>
              <w:right w:val="nil"/>
            </w:tcBorders>
            <w:shd w:val="clear" w:color="auto" w:fill="auto"/>
            <w:noWrap/>
            <w:vAlign w:val="bottom"/>
            <w:hideMark/>
          </w:tcPr>
          <w:p w14:paraId="044E4F95"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4FC937" w14:textId="77777777" w:rsidR="003F050F" w:rsidRDefault="003F050F"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EE724C3" w14:textId="77777777" w:rsidR="003F050F" w:rsidRDefault="003F050F"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147A2841" w14:textId="77777777" w:rsidR="003F050F" w:rsidRDefault="003F050F" w:rsidP="005A3B4D">
            <w:pPr>
              <w:jc w:val="right"/>
              <w:rPr>
                <w:color w:val="000000"/>
                <w:sz w:val="20"/>
                <w:szCs w:val="20"/>
              </w:rPr>
            </w:pPr>
            <w:r>
              <w:rPr>
                <w:color w:val="000000"/>
                <w:sz w:val="20"/>
                <w:szCs w:val="20"/>
              </w:rPr>
              <w:t>0.376</w:t>
            </w:r>
          </w:p>
        </w:tc>
        <w:tc>
          <w:tcPr>
            <w:tcW w:w="768" w:type="dxa"/>
            <w:tcBorders>
              <w:top w:val="nil"/>
              <w:left w:val="nil"/>
              <w:bottom w:val="nil"/>
              <w:right w:val="nil"/>
            </w:tcBorders>
            <w:shd w:val="clear" w:color="auto" w:fill="auto"/>
            <w:noWrap/>
            <w:vAlign w:val="bottom"/>
            <w:hideMark/>
          </w:tcPr>
          <w:p w14:paraId="2D67102B"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5E41131" w14:textId="77777777" w:rsidR="003F050F" w:rsidRDefault="003F050F"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9748141" w14:textId="77777777" w:rsidR="003F050F" w:rsidRDefault="003F050F"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058F8F81"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810920" w14:textId="77777777" w:rsidR="003F050F" w:rsidRDefault="003F050F" w:rsidP="005A3B4D">
            <w:pPr>
              <w:jc w:val="right"/>
              <w:rPr>
                <w:b/>
                <w:bCs/>
                <w:color w:val="000000"/>
                <w:sz w:val="20"/>
                <w:szCs w:val="20"/>
              </w:rPr>
            </w:pPr>
            <w:r>
              <w:rPr>
                <w:b/>
                <w:bCs/>
                <w:color w:val="000000"/>
                <w:sz w:val="20"/>
                <w:szCs w:val="20"/>
              </w:rPr>
              <w:t>-0.093</w:t>
            </w:r>
          </w:p>
        </w:tc>
        <w:tc>
          <w:tcPr>
            <w:tcW w:w="768" w:type="dxa"/>
            <w:tcBorders>
              <w:top w:val="nil"/>
              <w:left w:val="nil"/>
              <w:bottom w:val="nil"/>
              <w:right w:val="nil"/>
            </w:tcBorders>
            <w:shd w:val="clear" w:color="auto" w:fill="auto"/>
            <w:noWrap/>
            <w:vAlign w:val="bottom"/>
            <w:hideMark/>
          </w:tcPr>
          <w:p w14:paraId="4447F27B" w14:textId="77777777" w:rsidR="003F050F" w:rsidRDefault="003F050F"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172E3B38" w14:textId="77777777" w:rsidR="003F050F" w:rsidRDefault="003F050F" w:rsidP="005A3B4D">
            <w:pPr>
              <w:jc w:val="right"/>
              <w:rPr>
                <w:b/>
                <w:bCs/>
                <w:color w:val="000000"/>
                <w:sz w:val="20"/>
                <w:szCs w:val="20"/>
              </w:rPr>
            </w:pPr>
            <w:r>
              <w:rPr>
                <w:b/>
                <w:bCs/>
                <w:color w:val="000000"/>
                <w:sz w:val="20"/>
                <w:szCs w:val="20"/>
              </w:rPr>
              <w:t>0.009</w:t>
            </w:r>
          </w:p>
        </w:tc>
        <w:tc>
          <w:tcPr>
            <w:tcW w:w="768" w:type="dxa"/>
            <w:tcBorders>
              <w:top w:val="nil"/>
              <w:left w:val="nil"/>
              <w:bottom w:val="nil"/>
              <w:right w:val="nil"/>
            </w:tcBorders>
            <w:shd w:val="clear" w:color="auto" w:fill="auto"/>
            <w:noWrap/>
            <w:vAlign w:val="bottom"/>
            <w:hideMark/>
          </w:tcPr>
          <w:p w14:paraId="63A28159" w14:textId="77777777" w:rsidR="003F050F" w:rsidRDefault="003F050F"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6C492166" w14:textId="77777777" w:rsidR="003F050F" w:rsidRDefault="003F050F" w:rsidP="005A3B4D">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4C933FBD"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8010EE6" w14:textId="77777777" w:rsidR="003F050F" w:rsidRDefault="003F050F"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6BA57434" w14:textId="77777777" w:rsidR="003F050F" w:rsidRDefault="003F050F"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4567E940" w14:textId="77777777" w:rsidR="003F050F" w:rsidRDefault="003F050F" w:rsidP="005A3B4D">
            <w:pPr>
              <w:jc w:val="right"/>
              <w:rPr>
                <w:color w:val="000000"/>
                <w:sz w:val="20"/>
                <w:szCs w:val="20"/>
              </w:rPr>
            </w:pPr>
            <w:r>
              <w:rPr>
                <w:color w:val="000000"/>
                <w:sz w:val="20"/>
                <w:szCs w:val="20"/>
              </w:rPr>
              <w:t>0.001</w:t>
            </w:r>
          </w:p>
        </w:tc>
      </w:tr>
      <w:tr w:rsidR="003F050F" w14:paraId="2E9F4AF9" w14:textId="77777777" w:rsidTr="005A3B4D">
        <w:trPr>
          <w:trHeight w:val="320"/>
        </w:trPr>
        <w:tc>
          <w:tcPr>
            <w:tcW w:w="1176" w:type="dxa"/>
            <w:tcBorders>
              <w:top w:val="nil"/>
              <w:left w:val="nil"/>
              <w:bottom w:val="nil"/>
              <w:right w:val="nil"/>
            </w:tcBorders>
            <w:shd w:val="clear" w:color="auto" w:fill="auto"/>
            <w:noWrap/>
            <w:vAlign w:val="bottom"/>
            <w:hideMark/>
          </w:tcPr>
          <w:p w14:paraId="516A9B1E"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1CDA126" w14:textId="77777777" w:rsidR="003F050F" w:rsidRDefault="003F050F"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8ABDAB6" w14:textId="77777777" w:rsidR="003F050F" w:rsidRDefault="003F050F" w:rsidP="005A3B4D">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03F262E5" w14:textId="77777777" w:rsidR="003F050F" w:rsidRDefault="003F050F" w:rsidP="005A3B4D">
            <w:pPr>
              <w:jc w:val="right"/>
              <w:rPr>
                <w:color w:val="000000"/>
                <w:sz w:val="20"/>
                <w:szCs w:val="20"/>
              </w:rPr>
            </w:pPr>
            <w:r>
              <w:rPr>
                <w:color w:val="000000"/>
                <w:sz w:val="20"/>
                <w:szCs w:val="20"/>
              </w:rPr>
              <w:t>0.815</w:t>
            </w:r>
          </w:p>
        </w:tc>
        <w:tc>
          <w:tcPr>
            <w:tcW w:w="768" w:type="dxa"/>
            <w:tcBorders>
              <w:top w:val="nil"/>
              <w:left w:val="nil"/>
              <w:bottom w:val="nil"/>
              <w:right w:val="nil"/>
            </w:tcBorders>
            <w:shd w:val="clear" w:color="auto" w:fill="auto"/>
            <w:noWrap/>
            <w:vAlign w:val="bottom"/>
            <w:hideMark/>
          </w:tcPr>
          <w:p w14:paraId="04C8AF74"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FFBAD3" w14:textId="77777777" w:rsidR="003F050F" w:rsidRDefault="003F050F"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AAF07A4" w14:textId="77777777" w:rsidR="003F050F" w:rsidRDefault="003F050F" w:rsidP="005A3B4D">
            <w:pPr>
              <w:jc w:val="right"/>
              <w:rPr>
                <w:color w:val="000000"/>
                <w:sz w:val="20"/>
                <w:szCs w:val="20"/>
              </w:rPr>
            </w:pPr>
            <w:r>
              <w:rPr>
                <w:color w:val="000000"/>
                <w:sz w:val="20"/>
                <w:szCs w:val="20"/>
              </w:rPr>
              <w:t>0.823</w:t>
            </w:r>
          </w:p>
        </w:tc>
        <w:tc>
          <w:tcPr>
            <w:tcW w:w="768" w:type="dxa"/>
            <w:tcBorders>
              <w:top w:val="nil"/>
              <w:left w:val="nil"/>
              <w:bottom w:val="nil"/>
              <w:right w:val="nil"/>
            </w:tcBorders>
            <w:shd w:val="clear" w:color="auto" w:fill="auto"/>
            <w:noWrap/>
            <w:vAlign w:val="bottom"/>
            <w:hideMark/>
          </w:tcPr>
          <w:p w14:paraId="57C51A5C"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F9117F5"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C50F85B" w14:textId="77777777" w:rsidR="003F050F" w:rsidRDefault="003F050F" w:rsidP="005A3B4D">
            <w:pPr>
              <w:jc w:val="right"/>
              <w:rPr>
                <w:color w:val="000000"/>
                <w:sz w:val="20"/>
                <w:szCs w:val="20"/>
              </w:rPr>
            </w:pPr>
            <w:r>
              <w:rPr>
                <w:color w:val="000000"/>
                <w:sz w:val="20"/>
                <w:szCs w:val="20"/>
              </w:rPr>
              <w:t>0.907</w:t>
            </w:r>
          </w:p>
        </w:tc>
        <w:tc>
          <w:tcPr>
            <w:tcW w:w="768" w:type="dxa"/>
            <w:tcBorders>
              <w:top w:val="nil"/>
              <w:left w:val="nil"/>
              <w:bottom w:val="nil"/>
              <w:right w:val="nil"/>
            </w:tcBorders>
            <w:shd w:val="clear" w:color="auto" w:fill="auto"/>
            <w:noWrap/>
            <w:vAlign w:val="bottom"/>
            <w:hideMark/>
          </w:tcPr>
          <w:p w14:paraId="0954998C"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934536" w14:textId="77777777" w:rsidR="003F050F" w:rsidRDefault="003F050F"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65D2E8AE" w14:textId="77777777" w:rsidR="003F050F" w:rsidRDefault="003F050F" w:rsidP="005A3B4D">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673540A9"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FE915A" w14:textId="77777777" w:rsidR="003F050F" w:rsidRDefault="003F050F" w:rsidP="005A3B4D">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411AEA22" w14:textId="77777777" w:rsidR="003F050F" w:rsidRDefault="003F050F" w:rsidP="005A3B4D">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4094FC49" w14:textId="77777777" w:rsidR="003F050F" w:rsidRDefault="003F050F" w:rsidP="005A3B4D">
            <w:pPr>
              <w:jc w:val="right"/>
              <w:rPr>
                <w:color w:val="000000"/>
                <w:sz w:val="20"/>
                <w:szCs w:val="20"/>
              </w:rPr>
            </w:pPr>
            <w:r>
              <w:rPr>
                <w:color w:val="000000"/>
                <w:sz w:val="20"/>
                <w:szCs w:val="20"/>
              </w:rPr>
              <w:t>0.002</w:t>
            </w:r>
          </w:p>
        </w:tc>
      </w:tr>
      <w:tr w:rsidR="003F050F" w14:paraId="09A3FAE7"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300BECC1" w14:textId="77777777" w:rsidR="003F050F" w:rsidRDefault="003F050F"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48667BA" w14:textId="77777777" w:rsidR="003F050F" w:rsidRDefault="003F050F"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43462C94" w14:textId="77777777" w:rsidR="003F050F" w:rsidRDefault="003F050F" w:rsidP="005A3B4D">
            <w:pPr>
              <w:jc w:val="right"/>
              <w:rPr>
                <w:color w:val="000000"/>
                <w:sz w:val="20"/>
                <w:szCs w:val="20"/>
              </w:rPr>
            </w:pPr>
            <w:r>
              <w:rPr>
                <w:color w:val="000000"/>
                <w:sz w:val="20"/>
                <w:szCs w:val="20"/>
              </w:rPr>
              <w:t>0.058</w:t>
            </w:r>
          </w:p>
        </w:tc>
        <w:tc>
          <w:tcPr>
            <w:tcW w:w="768" w:type="dxa"/>
            <w:tcBorders>
              <w:top w:val="nil"/>
              <w:left w:val="nil"/>
              <w:bottom w:val="single" w:sz="4" w:space="0" w:color="auto"/>
              <w:right w:val="nil"/>
            </w:tcBorders>
            <w:shd w:val="clear" w:color="auto" w:fill="auto"/>
            <w:noWrap/>
            <w:vAlign w:val="bottom"/>
            <w:hideMark/>
          </w:tcPr>
          <w:p w14:paraId="7628F3B8" w14:textId="77777777" w:rsidR="003F050F" w:rsidRDefault="003F050F" w:rsidP="005A3B4D">
            <w:pPr>
              <w:jc w:val="right"/>
              <w:rPr>
                <w:color w:val="000000"/>
                <w:sz w:val="20"/>
                <w:szCs w:val="20"/>
              </w:rPr>
            </w:pPr>
            <w:r>
              <w:rPr>
                <w:color w:val="000000"/>
                <w:sz w:val="20"/>
                <w:szCs w:val="20"/>
              </w:rPr>
              <w:t>0.376</w:t>
            </w:r>
          </w:p>
        </w:tc>
        <w:tc>
          <w:tcPr>
            <w:tcW w:w="768" w:type="dxa"/>
            <w:tcBorders>
              <w:top w:val="nil"/>
              <w:left w:val="nil"/>
              <w:bottom w:val="single" w:sz="4" w:space="0" w:color="auto"/>
              <w:right w:val="nil"/>
            </w:tcBorders>
            <w:shd w:val="clear" w:color="auto" w:fill="auto"/>
            <w:noWrap/>
            <w:vAlign w:val="bottom"/>
            <w:hideMark/>
          </w:tcPr>
          <w:p w14:paraId="1C1ABE66"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49071FE7" w14:textId="77777777" w:rsidR="003F050F" w:rsidRDefault="003F050F" w:rsidP="005A3B4D">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315FBA62" w14:textId="77777777" w:rsidR="003F050F" w:rsidRDefault="003F050F" w:rsidP="005A3B4D">
            <w:pPr>
              <w:jc w:val="right"/>
              <w:rPr>
                <w:color w:val="000000"/>
                <w:sz w:val="20"/>
                <w:szCs w:val="20"/>
              </w:rPr>
            </w:pPr>
            <w:r>
              <w:rPr>
                <w:color w:val="000000"/>
                <w:sz w:val="20"/>
                <w:szCs w:val="20"/>
              </w:rPr>
              <w:t>0.823</w:t>
            </w:r>
          </w:p>
        </w:tc>
        <w:tc>
          <w:tcPr>
            <w:tcW w:w="768" w:type="dxa"/>
            <w:tcBorders>
              <w:top w:val="nil"/>
              <w:left w:val="nil"/>
              <w:bottom w:val="single" w:sz="4" w:space="0" w:color="auto"/>
              <w:right w:val="nil"/>
            </w:tcBorders>
            <w:shd w:val="clear" w:color="auto" w:fill="auto"/>
            <w:noWrap/>
            <w:vAlign w:val="bottom"/>
            <w:hideMark/>
          </w:tcPr>
          <w:p w14:paraId="407E16CC"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03D57BE" w14:textId="77777777" w:rsidR="003F050F" w:rsidRDefault="003F050F" w:rsidP="005A3B4D">
            <w:pPr>
              <w:jc w:val="right"/>
              <w:rPr>
                <w:b/>
                <w:bCs/>
                <w:color w:val="000000"/>
                <w:sz w:val="20"/>
                <w:szCs w:val="20"/>
              </w:rPr>
            </w:pPr>
            <w:r>
              <w:rPr>
                <w:b/>
                <w:bCs/>
                <w:color w:val="000000"/>
                <w:sz w:val="20"/>
                <w:szCs w:val="20"/>
              </w:rPr>
              <w:t>-0.096</w:t>
            </w:r>
          </w:p>
        </w:tc>
        <w:tc>
          <w:tcPr>
            <w:tcW w:w="768" w:type="dxa"/>
            <w:tcBorders>
              <w:top w:val="nil"/>
              <w:left w:val="nil"/>
              <w:bottom w:val="single" w:sz="4" w:space="0" w:color="auto"/>
              <w:right w:val="nil"/>
            </w:tcBorders>
            <w:shd w:val="clear" w:color="auto" w:fill="auto"/>
            <w:noWrap/>
            <w:vAlign w:val="bottom"/>
            <w:hideMark/>
          </w:tcPr>
          <w:p w14:paraId="0C5BE061" w14:textId="77777777" w:rsidR="003F050F" w:rsidRDefault="003F050F" w:rsidP="005A3B4D">
            <w:pPr>
              <w:jc w:val="right"/>
              <w:rPr>
                <w:b/>
                <w:bCs/>
                <w:color w:val="000000"/>
                <w:sz w:val="20"/>
                <w:szCs w:val="20"/>
              </w:rPr>
            </w:pPr>
            <w:r>
              <w:rPr>
                <w:b/>
                <w:bCs/>
                <w:color w:val="000000"/>
                <w:sz w:val="20"/>
                <w:szCs w:val="20"/>
              </w:rPr>
              <w:t>0.032</w:t>
            </w:r>
          </w:p>
        </w:tc>
        <w:tc>
          <w:tcPr>
            <w:tcW w:w="768" w:type="dxa"/>
            <w:tcBorders>
              <w:top w:val="nil"/>
              <w:left w:val="nil"/>
              <w:bottom w:val="single" w:sz="4" w:space="0" w:color="auto"/>
              <w:right w:val="nil"/>
            </w:tcBorders>
            <w:shd w:val="clear" w:color="auto" w:fill="auto"/>
            <w:noWrap/>
            <w:vAlign w:val="bottom"/>
            <w:hideMark/>
          </w:tcPr>
          <w:p w14:paraId="3BBBA03C" w14:textId="77777777" w:rsidR="003F050F" w:rsidRDefault="003F050F" w:rsidP="005A3B4D">
            <w:pPr>
              <w:jc w:val="right"/>
              <w:rPr>
                <w:b/>
                <w:bCs/>
                <w:color w:val="000000"/>
                <w:sz w:val="20"/>
                <w:szCs w:val="20"/>
              </w:rPr>
            </w:pPr>
            <w:r>
              <w:rPr>
                <w:b/>
                <w:bCs/>
                <w:color w:val="000000"/>
                <w:sz w:val="20"/>
                <w:szCs w:val="20"/>
              </w:rPr>
              <w:t>0.009</w:t>
            </w:r>
          </w:p>
        </w:tc>
        <w:tc>
          <w:tcPr>
            <w:tcW w:w="768" w:type="dxa"/>
            <w:tcBorders>
              <w:top w:val="nil"/>
              <w:left w:val="nil"/>
              <w:bottom w:val="single" w:sz="4" w:space="0" w:color="auto"/>
              <w:right w:val="nil"/>
            </w:tcBorders>
            <w:shd w:val="clear" w:color="auto" w:fill="auto"/>
            <w:noWrap/>
            <w:vAlign w:val="bottom"/>
            <w:hideMark/>
          </w:tcPr>
          <w:p w14:paraId="27FF0413"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D4C246A" w14:textId="77777777" w:rsidR="003F050F" w:rsidRDefault="003F050F" w:rsidP="005A3B4D">
            <w:pPr>
              <w:jc w:val="right"/>
              <w:rPr>
                <w:color w:val="000000"/>
                <w:sz w:val="20"/>
                <w:szCs w:val="20"/>
              </w:rPr>
            </w:pPr>
            <w:r>
              <w:rPr>
                <w:color w:val="000000"/>
                <w:sz w:val="20"/>
                <w:szCs w:val="20"/>
              </w:rPr>
              <w:t>0.958</w:t>
            </w:r>
          </w:p>
        </w:tc>
        <w:tc>
          <w:tcPr>
            <w:tcW w:w="768" w:type="dxa"/>
            <w:tcBorders>
              <w:top w:val="nil"/>
              <w:left w:val="nil"/>
              <w:bottom w:val="single" w:sz="4" w:space="0" w:color="auto"/>
              <w:right w:val="nil"/>
            </w:tcBorders>
            <w:shd w:val="clear" w:color="auto" w:fill="auto"/>
            <w:noWrap/>
            <w:vAlign w:val="bottom"/>
            <w:hideMark/>
          </w:tcPr>
          <w:p w14:paraId="6D1DFCB4"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32746B85" w14:textId="77777777" w:rsidR="003F050F" w:rsidRDefault="003F050F" w:rsidP="005A3B4D">
            <w:pPr>
              <w:jc w:val="right"/>
              <w:rPr>
                <w:color w:val="000000"/>
                <w:sz w:val="20"/>
                <w:szCs w:val="20"/>
              </w:rPr>
            </w:pPr>
            <w:r>
              <w:rPr>
                <w:color w:val="000000"/>
                <w:sz w:val="20"/>
                <w:szCs w:val="20"/>
              </w:rPr>
              <w:t>0.058</w:t>
            </w:r>
          </w:p>
        </w:tc>
        <w:tc>
          <w:tcPr>
            <w:tcW w:w="768" w:type="dxa"/>
            <w:tcBorders>
              <w:top w:val="nil"/>
              <w:left w:val="nil"/>
              <w:bottom w:val="single" w:sz="4" w:space="0" w:color="auto"/>
              <w:right w:val="nil"/>
            </w:tcBorders>
            <w:shd w:val="clear" w:color="auto" w:fill="auto"/>
            <w:noWrap/>
            <w:vAlign w:val="bottom"/>
            <w:hideMark/>
          </w:tcPr>
          <w:p w14:paraId="374D96F9" w14:textId="77777777" w:rsidR="003F050F" w:rsidRDefault="003F050F" w:rsidP="005A3B4D">
            <w:pPr>
              <w:jc w:val="right"/>
              <w:rPr>
                <w:color w:val="000000"/>
                <w:sz w:val="20"/>
                <w:szCs w:val="20"/>
              </w:rPr>
            </w:pPr>
            <w:r>
              <w:rPr>
                <w:color w:val="000000"/>
                <w:sz w:val="20"/>
                <w:szCs w:val="20"/>
              </w:rPr>
              <w:t>0.951</w:t>
            </w:r>
          </w:p>
        </w:tc>
        <w:tc>
          <w:tcPr>
            <w:tcW w:w="768" w:type="dxa"/>
            <w:tcBorders>
              <w:top w:val="nil"/>
              <w:left w:val="nil"/>
              <w:bottom w:val="single" w:sz="4" w:space="0" w:color="auto"/>
              <w:right w:val="nil"/>
            </w:tcBorders>
            <w:shd w:val="clear" w:color="auto" w:fill="auto"/>
            <w:noWrap/>
            <w:vAlign w:val="bottom"/>
            <w:hideMark/>
          </w:tcPr>
          <w:p w14:paraId="36A59723" w14:textId="77777777" w:rsidR="003F050F" w:rsidRDefault="003F050F" w:rsidP="005A3B4D">
            <w:pPr>
              <w:jc w:val="right"/>
              <w:rPr>
                <w:color w:val="000000"/>
                <w:sz w:val="20"/>
                <w:szCs w:val="20"/>
              </w:rPr>
            </w:pPr>
            <w:r>
              <w:rPr>
                <w:color w:val="000000"/>
                <w:sz w:val="20"/>
                <w:szCs w:val="20"/>
              </w:rPr>
              <w:t>0.003</w:t>
            </w:r>
          </w:p>
        </w:tc>
      </w:tr>
      <w:tr w:rsidR="003F050F" w14:paraId="4A2E315D" w14:textId="77777777" w:rsidTr="005A3B4D">
        <w:trPr>
          <w:trHeight w:val="320"/>
        </w:trPr>
        <w:tc>
          <w:tcPr>
            <w:tcW w:w="1176" w:type="dxa"/>
            <w:tcBorders>
              <w:top w:val="nil"/>
              <w:left w:val="nil"/>
              <w:bottom w:val="nil"/>
              <w:right w:val="nil"/>
            </w:tcBorders>
            <w:shd w:val="clear" w:color="auto" w:fill="auto"/>
            <w:noWrap/>
            <w:vAlign w:val="bottom"/>
            <w:hideMark/>
          </w:tcPr>
          <w:p w14:paraId="72DD1395" w14:textId="77777777" w:rsidR="003F050F" w:rsidRDefault="003F050F" w:rsidP="005A3B4D">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264526A7" w14:textId="77777777" w:rsidR="003F050F" w:rsidRDefault="003F050F"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45E8A152" w14:textId="77777777" w:rsidR="003F050F" w:rsidRDefault="003F050F" w:rsidP="005A3B4D">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88199AA" w14:textId="77777777" w:rsidR="003F050F" w:rsidRDefault="003F050F"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6EF0BE2F"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4BD1074" w14:textId="77777777" w:rsidR="003F050F" w:rsidRDefault="003F050F" w:rsidP="005A3B4D">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042D03E4" w14:textId="77777777" w:rsidR="003F050F" w:rsidRDefault="003F050F" w:rsidP="005A3B4D">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4DFAFBD2"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09B97C2" w14:textId="77777777" w:rsidR="003F050F" w:rsidRDefault="003F050F"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5C19B99A" w14:textId="77777777" w:rsidR="003F050F" w:rsidRDefault="003F050F" w:rsidP="005A3B4D">
            <w:pPr>
              <w:jc w:val="right"/>
              <w:rPr>
                <w:color w:val="000000"/>
                <w:sz w:val="20"/>
                <w:szCs w:val="20"/>
              </w:rPr>
            </w:pPr>
            <w:r>
              <w:rPr>
                <w:color w:val="000000"/>
                <w:sz w:val="20"/>
                <w:szCs w:val="20"/>
              </w:rPr>
              <w:t>0.536</w:t>
            </w:r>
          </w:p>
        </w:tc>
        <w:tc>
          <w:tcPr>
            <w:tcW w:w="768" w:type="dxa"/>
            <w:tcBorders>
              <w:top w:val="nil"/>
              <w:left w:val="nil"/>
              <w:bottom w:val="nil"/>
              <w:right w:val="nil"/>
            </w:tcBorders>
            <w:shd w:val="clear" w:color="auto" w:fill="auto"/>
            <w:noWrap/>
            <w:vAlign w:val="bottom"/>
            <w:hideMark/>
          </w:tcPr>
          <w:p w14:paraId="61F237C3"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452267B" w14:textId="77777777" w:rsidR="003F050F" w:rsidRDefault="003F050F"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7E9B1313" w14:textId="77777777" w:rsidR="003F050F" w:rsidRDefault="003F050F" w:rsidP="005A3B4D">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1E37AA4E"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88D231D" w14:textId="77777777" w:rsidR="003F050F" w:rsidRDefault="003F050F"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3988F2E4" w14:textId="77777777" w:rsidR="003F050F" w:rsidRDefault="003F050F" w:rsidP="005A3B4D">
            <w:pPr>
              <w:jc w:val="right"/>
              <w:rPr>
                <w:color w:val="000000"/>
                <w:sz w:val="20"/>
                <w:szCs w:val="20"/>
              </w:rPr>
            </w:pPr>
            <w:r>
              <w:rPr>
                <w:color w:val="000000"/>
                <w:sz w:val="20"/>
                <w:szCs w:val="20"/>
              </w:rPr>
              <w:t>0.411</w:t>
            </w:r>
          </w:p>
        </w:tc>
        <w:tc>
          <w:tcPr>
            <w:tcW w:w="768" w:type="dxa"/>
            <w:tcBorders>
              <w:top w:val="nil"/>
              <w:left w:val="nil"/>
              <w:bottom w:val="nil"/>
              <w:right w:val="nil"/>
            </w:tcBorders>
            <w:shd w:val="clear" w:color="auto" w:fill="auto"/>
            <w:noWrap/>
            <w:vAlign w:val="bottom"/>
            <w:hideMark/>
          </w:tcPr>
          <w:p w14:paraId="55DAE91F" w14:textId="77777777" w:rsidR="003F050F" w:rsidRDefault="003F050F" w:rsidP="005A3B4D">
            <w:pPr>
              <w:jc w:val="right"/>
              <w:rPr>
                <w:color w:val="000000"/>
                <w:sz w:val="20"/>
                <w:szCs w:val="20"/>
              </w:rPr>
            </w:pPr>
            <w:r>
              <w:rPr>
                <w:color w:val="000000"/>
                <w:sz w:val="20"/>
                <w:szCs w:val="20"/>
              </w:rPr>
              <w:t>0.003</w:t>
            </w:r>
          </w:p>
        </w:tc>
      </w:tr>
      <w:tr w:rsidR="003F050F" w14:paraId="47C3A045" w14:textId="77777777" w:rsidTr="005A3B4D">
        <w:trPr>
          <w:trHeight w:val="320"/>
        </w:trPr>
        <w:tc>
          <w:tcPr>
            <w:tcW w:w="1176" w:type="dxa"/>
            <w:tcBorders>
              <w:top w:val="nil"/>
              <w:left w:val="nil"/>
              <w:bottom w:val="nil"/>
              <w:right w:val="nil"/>
            </w:tcBorders>
            <w:shd w:val="clear" w:color="auto" w:fill="auto"/>
            <w:noWrap/>
            <w:vAlign w:val="bottom"/>
            <w:hideMark/>
          </w:tcPr>
          <w:p w14:paraId="69289439"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CB4DEF" w14:textId="77777777" w:rsidR="003F050F" w:rsidRDefault="003F050F"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679B400"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5FB263C" w14:textId="77777777" w:rsidR="003F050F" w:rsidRDefault="003F050F"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1EF6BB84"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848A1F" w14:textId="77777777" w:rsidR="003F050F" w:rsidRDefault="003F050F" w:rsidP="005A3B4D">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49B3B8ED" w14:textId="77777777" w:rsidR="003F050F" w:rsidRDefault="003F050F" w:rsidP="005A3B4D">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0ECA4B12"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1AEA565"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40BBB7B" w14:textId="77777777" w:rsidR="003F050F" w:rsidRDefault="003F050F" w:rsidP="005A3B4D">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71242278"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4B3CB3"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B64501A" w14:textId="77777777" w:rsidR="003F050F" w:rsidRDefault="003F050F" w:rsidP="005A3B4D">
            <w:pPr>
              <w:jc w:val="right"/>
              <w:rPr>
                <w:color w:val="000000"/>
                <w:sz w:val="20"/>
                <w:szCs w:val="20"/>
              </w:rPr>
            </w:pPr>
            <w:r>
              <w:rPr>
                <w:color w:val="000000"/>
                <w:sz w:val="20"/>
                <w:szCs w:val="20"/>
              </w:rPr>
              <w:t>0.887</w:t>
            </w:r>
          </w:p>
        </w:tc>
        <w:tc>
          <w:tcPr>
            <w:tcW w:w="768" w:type="dxa"/>
            <w:tcBorders>
              <w:top w:val="nil"/>
              <w:left w:val="nil"/>
              <w:bottom w:val="nil"/>
              <w:right w:val="nil"/>
            </w:tcBorders>
            <w:shd w:val="clear" w:color="auto" w:fill="auto"/>
            <w:noWrap/>
            <w:vAlign w:val="bottom"/>
            <w:hideMark/>
          </w:tcPr>
          <w:p w14:paraId="0261F4AD"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2F454D0" w14:textId="77777777" w:rsidR="003F050F" w:rsidRDefault="003F050F"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266595F" w14:textId="77777777" w:rsidR="003F050F" w:rsidRDefault="003F050F" w:rsidP="005A3B4D">
            <w:pPr>
              <w:jc w:val="right"/>
              <w:rPr>
                <w:color w:val="000000"/>
                <w:sz w:val="20"/>
                <w:szCs w:val="20"/>
              </w:rPr>
            </w:pPr>
            <w:r>
              <w:rPr>
                <w:color w:val="000000"/>
                <w:sz w:val="20"/>
                <w:szCs w:val="20"/>
              </w:rPr>
              <w:t>0.493</w:t>
            </w:r>
          </w:p>
        </w:tc>
        <w:tc>
          <w:tcPr>
            <w:tcW w:w="768" w:type="dxa"/>
            <w:tcBorders>
              <w:top w:val="nil"/>
              <w:left w:val="nil"/>
              <w:bottom w:val="nil"/>
              <w:right w:val="nil"/>
            </w:tcBorders>
            <w:shd w:val="clear" w:color="auto" w:fill="auto"/>
            <w:noWrap/>
            <w:vAlign w:val="bottom"/>
            <w:hideMark/>
          </w:tcPr>
          <w:p w14:paraId="5B7F8FFC" w14:textId="77777777" w:rsidR="003F050F" w:rsidRDefault="003F050F" w:rsidP="005A3B4D">
            <w:pPr>
              <w:jc w:val="right"/>
              <w:rPr>
                <w:color w:val="000000"/>
                <w:sz w:val="20"/>
                <w:szCs w:val="20"/>
              </w:rPr>
            </w:pPr>
            <w:r>
              <w:rPr>
                <w:color w:val="000000"/>
                <w:sz w:val="20"/>
                <w:szCs w:val="20"/>
              </w:rPr>
              <w:t>0.001</w:t>
            </w:r>
          </w:p>
        </w:tc>
      </w:tr>
      <w:tr w:rsidR="003F050F" w14:paraId="72AD9398" w14:textId="77777777" w:rsidTr="005A3B4D">
        <w:trPr>
          <w:trHeight w:val="320"/>
        </w:trPr>
        <w:tc>
          <w:tcPr>
            <w:tcW w:w="1176" w:type="dxa"/>
            <w:tcBorders>
              <w:top w:val="nil"/>
              <w:left w:val="nil"/>
              <w:bottom w:val="nil"/>
              <w:right w:val="nil"/>
            </w:tcBorders>
            <w:shd w:val="clear" w:color="auto" w:fill="auto"/>
            <w:noWrap/>
            <w:vAlign w:val="bottom"/>
            <w:hideMark/>
          </w:tcPr>
          <w:p w14:paraId="36E85C38"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B26B26E" w14:textId="77777777" w:rsidR="003F050F" w:rsidRDefault="003F050F"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697D085"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9275EBF" w14:textId="77777777" w:rsidR="003F050F" w:rsidRDefault="003F050F"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266ABCD3"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7DAB2A8" w14:textId="77777777" w:rsidR="003F050F" w:rsidRDefault="003F050F"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C04C639" w14:textId="77777777" w:rsidR="003F050F" w:rsidRDefault="003F050F"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6E3567D3"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DCF1CE"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643531E4" w14:textId="77777777" w:rsidR="003F050F" w:rsidRDefault="003F050F" w:rsidP="005A3B4D">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67C7F1A9"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8EC791" w14:textId="77777777" w:rsidR="003F050F" w:rsidRDefault="003F050F"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C8B0A74" w14:textId="77777777" w:rsidR="003F050F" w:rsidRDefault="003F050F" w:rsidP="005A3B4D">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4D1CB285"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F982DD" w14:textId="77777777" w:rsidR="003F050F" w:rsidRDefault="003F050F" w:rsidP="005A3B4D">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5F1E3D5D" w14:textId="77777777" w:rsidR="003F050F" w:rsidRDefault="003F050F" w:rsidP="005A3B4D">
            <w:pPr>
              <w:jc w:val="right"/>
              <w:rPr>
                <w:color w:val="000000"/>
                <w:sz w:val="20"/>
                <w:szCs w:val="20"/>
              </w:rPr>
            </w:pPr>
            <w:r>
              <w:rPr>
                <w:color w:val="000000"/>
                <w:sz w:val="20"/>
                <w:szCs w:val="20"/>
              </w:rPr>
              <w:t>0.411</w:t>
            </w:r>
          </w:p>
        </w:tc>
        <w:tc>
          <w:tcPr>
            <w:tcW w:w="768" w:type="dxa"/>
            <w:tcBorders>
              <w:top w:val="nil"/>
              <w:left w:val="nil"/>
              <w:bottom w:val="nil"/>
              <w:right w:val="nil"/>
            </w:tcBorders>
            <w:shd w:val="clear" w:color="auto" w:fill="auto"/>
            <w:noWrap/>
            <w:vAlign w:val="bottom"/>
            <w:hideMark/>
          </w:tcPr>
          <w:p w14:paraId="2624F3E6" w14:textId="77777777" w:rsidR="003F050F" w:rsidRDefault="003F050F" w:rsidP="005A3B4D">
            <w:pPr>
              <w:jc w:val="right"/>
              <w:rPr>
                <w:color w:val="000000"/>
                <w:sz w:val="20"/>
                <w:szCs w:val="20"/>
              </w:rPr>
            </w:pPr>
            <w:r>
              <w:rPr>
                <w:color w:val="000000"/>
                <w:sz w:val="20"/>
                <w:szCs w:val="20"/>
              </w:rPr>
              <w:t>0.003</w:t>
            </w:r>
          </w:p>
        </w:tc>
      </w:tr>
      <w:tr w:rsidR="003F050F" w14:paraId="3E5E324F" w14:textId="77777777" w:rsidTr="005A3B4D">
        <w:trPr>
          <w:trHeight w:val="320"/>
        </w:trPr>
        <w:tc>
          <w:tcPr>
            <w:tcW w:w="1176" w:type="dxa"/>
            <w:tcBorders>
              <w:top w:val="nil"/>
              <w:left w:val="nil"/>
              <w:bottom w:val="nil"/>
              <w:right w:val="nil"/>
            </w:tcBorders>
            <w:shd w:val="clear" w:color="auto" w:fill="auto"/>
            <w:noWrap/>
            <w:vAlign w:val="bottom"/>
            <w:hideMark/>
          </w:tcPr>
          <w:p w14:paraId="080434A5"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644C53" w14:textId="77777777" w:rsidR="003F050F" w:rsidRDefault="003F050F"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6D0D057" w14:textId="77777777" w:rsidR="003F050F" w:rsidRDefault="003F050F" w:rsidP="005A3B4D">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03D55853" w14:textId="77777777" w:rsidR="003F050F" w:rsidRDefault="003F050F"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2AAA1CE7"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239EF6" w14:textId="77777777" w:rsidR="003F050F" w:rsidRDefault="003F050F" w:rsidP="005A3B4D">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0096236E" w14:textId="77777777" w:rsidR="003F050F" w:rsidRDefault="003F050F" w:rsidP="005A3B4D">
            <w:pPr>
              <w:jc w:val="right"/>
              <w:rPr>
                <w:color w:val="000000"/>
                <w:sz w:val="20"/>
                <w:szCs w:val="20"/>
              </w:rPr>
            </w:pPr>
            <w:r>
              <w:rPr>
                <w:color w:val="000000"/>
                <w:sz w:val="20"/>
                <w:szCs w:val="20"/>
              </w:rPr>
              <w:t>0.480</w:t>
            </w:r>
          </w:p>
        </w:tc>
        <w:tc>
          <w:tcPr>
            <w:tcW w:w="768" w:type="dxa"/>
            <w:tcBorders>
              <w:top w:val="nil"/>
              <w:left w:val="nil"/>
              <w:bottom w:val="nil"/>
              <w:right w:val="nil"/>
            </w:tcBorders>
            <w:shd w:val="clear" w:color="auto" w:fill="auto"/>
            <w:noWrap/>
            <w:vAlign w:val="bottom"/>
            <w:hideMark/>
          </w:tcPr>
          <w:p w14:paraId="1AD9E132"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3A0F16A" w14:textId="77777777" w:rsidR="003F050F" w:rsidRDefault="003F050F" w:rsidP="005A3B4D">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405A41F7" w14:textId="77777777" w:rsidR="003F050F" w:rsidRDefault="003F050F" w:rsidP="005A3B4D">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61A189BE"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D2E1A7D" w14:textId="77777777" w:rsidR="003F050F" w:rsidRDefault="003F050F"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3CBAE66E" w14:textId="77777777" w:rsidR="003F050F" w:rsidRDefault="003F050F" w:rsidP="005A3B4D">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6926EC90"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4E5204" w14:textId="77777777" w:rsidR="003F050F" w:rsidRDefault="003F050F" w:rsidP="005A3B4D">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78AD2709" w14:textId="77777777" w:rsidR="003F050F" w:rsidRDefault="003F050F" w:rsidP="005A3B4D">
            <w:pPr>
              <w:jc w:val="right"/>
              <w:rPr>
                <w:color w:val="000000"/>
                <w:sz w:val="20"/>
                <w:szCs w:val="20"/>
              </w:rPr>
            </w:pPr>
            <w:r>
              <w:rPr>
                <w:color w:val="000000"/>
                <w:sz w:val="20"/>
                <w:szCs w:val="20"/>
              </w:rPr>
              <w:t>0.486</w:t>
            </w:r>
          </w:p>
        </w:tc>
        <w:tc>
          <w:tcPr>
            <w:tcW w:w="768" w:type="dxa"/>
            <w:tcBorders>
              <w:top w:val="nil"/>
              <w:left w:val="nil"/>
              <w:bottom w:val="nil"/>
              <w:right w:val="nil"/>
            </w:tcBorders>
            <w:shd w:val="clear" w:color="auto" w:fill="auto"/>
            <w:noWrap/>
            <w:vAlign w:val="bottom"/>
            <w:hideMark/>
          </w:tcPr>
          <w:p w14:paraId="25BF7E54" w14:textId="77777777" w:rsidR="003F050F" w:rsidRDefault="003F050F" w:rsidP="005A3B4D">
            <w:pPr>
              <w:jc w:val="right"/>
              <w:rPr>
                <w:color w:val="000000"/>
                <w:sz w:val="20"/>
                <w:szCs w:val="20"/>
              </w:rPr>
            </w:pPr>
            <w:r>
              <w:rPr>
                <w:color w:val="000000"/>
                <w:sz w:val="20"/>
                <w:szCs w:val="20"/>
              </w:rPr>
              <w:t>0.002</w:t>
            </w:r>
          </w:p>
        </w:tc>
      </w:tr>
      <w:tr w:rsidR="003F050F" w14:paraId="576B4525" w14:textId="77777777" w:rsidTr="005A3B4D">
        <w:trPr>
          <w:trHeight w:val="320"/>
        </w:trPr>
        <w:tc>
          <w:tcPr>
            <w:tcW w:w="1176" w:type="dxa"/>
            <w:tcBorders>
              <w:top w:val="nil"/>
              <w:left w:val="nil"/>
              <w:bottom w:val="nil"/>
              <w:right w:val="nil"/>
            </w:tcBorders>
            <w:shd w:val="clear" w:color="auto" w:fill="auto"/>
            <w:noWrap/>
            <w:vAlign w:val="bottom"/>
            <w:hideMark/>
          </w:tcPr>
          <w:p w14:paraId="3EBCD9B7"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DF9133A" w14:textId="77777777" w:rsidR="003F050F" w:rsidRDefault="003F050F"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763786F"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E0FDE38" w14:textId="77777777" w:rsidR="003F050F" w:rsidRDefault="003F050F"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11CCBE0C"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A39292" w14:textId="77777777" w:rsidR="003F050F" w:rsidRDefault="003F050F"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C3ADE6D" w14:textId="77777777" w:rsidR="003F050F" w:rsidRDefault="003F050F" w:rsidP="005A3B4D">
            <w:pPr>
              <w:jc w:val="right"/>
              <w:rPr>
                <w:color w:val="000000"/>
                <w:sz w:val="20"/>
                <w:szCs w:val="20"/>
              </w:rPr>
            </w:pPr>
            <w:r>
              <w:rPr>
                <w:color w:val="000000"/>
                <w:sz w:val="20"/>
                <w:szCs w:val="20"/>
              </w:rPr>
              <w:t>0.743</w:t>
            </w:r>
          </w:p>
        </w:tc>
        <w:tc>
          <w:tcPr>
            <w:tcW w:w="768" w:type="dxa"/>
            <w:tcBorders>
              <w:top w:val="nil"/>
              <w:left w:val="nil"/>
              <w:bottom w:val="nil"/>
              <w:right w:val="nil"/>
            </w:tcBorders>
            <w:shd w:val="clear" w:color="auto" w:fill="auto"/>
            <w:noWrap/>
            <w:vAlign w:val="bottom"/>
            <w:hideMark/>
          </w:tcPr>
          <w:p w14:paraId="7973F14F"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FD4B53" w14:textId="77777777" w:rsidR="003F050F" w:rsidRDefault="003F050F"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33F9115" w14:textId="77777777" w:rsidR="003F050F" w:rsidRDefault="003F050F" w:rsidP="005A3B4D">
            <w:pPr>
              <w:jc w:val="right"/>
              <w:rPr>
                <w:color w:val="000000"/>
                <w:sz w:val="20"/>
                <w:szCs w:val="20"/>
              </w:rPr>
            </w:pPr>
            <w:r>
              <w:rPr>
                <w:color w:val="000000"/>
                <w:sz w:val="20"/>
                <w:szCs w:val="20"/>
              </w:rPr>
              <w:t>0.467</w:t>
            </w:r>
          </w:p>
        </w:tc>
        <w:tc>
          <w:tcPr>
            <w:tcW w:w="768" w:type="dxa"/>
            <w:tcBorders>
              <w:top w:val="nil"/>
              <w:left w:val="nil"/>
              <w:bottom w:val="nil"/>
              <w:right w:val="nil"/>
            </w:tcBorders>
            <w:shd w:val="clear" w:color="auto" w:fill="auto"/>
            <w:noWrap/>
            <w:vAlign w:val="bottom"/>
            <w:hideMark/>
          </w:tcPr>
          <w:p w14:paraId="18ADBC0E"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C142E5D" w14:textId="77777777" w:rsidR="003F050F" w:rsidRDefault="003F050F"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D43985B" w14:textId="77777777" w:rsidR="003F050F" w:rsidRDefault="003F050F" w:rsidP="005A3B4D">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7538841E"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431616C" w14:textId="77777777" w:rsidR="003F050F" w:rsidRDefault="003F050F"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45731CB7" w14:textId="77777777" w:rsidR="003F050F" w:rsidRDefault="003F050F" w:rsidP="005A3B4D">
            <w:pPr>
              <w:jc w:val="right"/>
              <w:rPr>
                <w:color w:val="000000"/>
                <w:sz w:val="20"/>
                <w:szCs w:val="20"/>
              </w:rPr>
            </w:pPr>
            <w:r>
              <w:rPr>
                <w:color w:val="000000"/>
                <w:sz w:val="20"/>
                <w:szCs w:val="20"/>
              </w:rPr>
              <w:t>0.493</w:t>
            </w:r>
          </w:p>
        </w:tc>
        <w:tc>
          <w:tcPr>
            <w:tcW w:w="768" w:type="dxa"/>
            <w:tcBorders>
              <w:top w:val="nil"/>
              <w:left w:val="nil"/>
              <w:bottom w:val="nil"/>
              <w:right w:val="nil"/>
            </w:tcBorders>
            <w:shd w:val="clear" w:color="auto" w:fill="auto"/>
            <w:noWrap/>
            <w:vAlign w:val="bottom"/>
            <w:hideMark/>
          </w:tcPr>
          <w:p w14:paraId="6C215FF6" w14:textId="77777777" w:rsidR="003F050F" w:rsidRDefault="003F050F" w:rsidP="005A3B4D">
            <w:pPr>
              <w:jc w:val="right"/>
              <w:rPr>
                <w:color w:val="000000"/>
                <w:sz w:val="20"/>
                <w:szCs w:val="20"/>
              </w:rPr>
            </w:pPr>
            <w:r>
              <w:rPr>
                <w:color w:val="000000"/>
                <w:sz w:val="20"/>
                <w:szCs w:val="20"/>
              </w:rPr>
              <w:t>0.001</w:t>
            </w:r>
          </w:p>
        </w:tc>
      </w:tr>
      <w:tr w:rsidR="003F050F" w14:paraId="2BCFA8B2" w14:textId="77777777" w:rsidTr="005A3B4D">
        <w:trPr>
          <w:trHeight w:val="320"/>
        </w:trPr>
        <w:tc>
          <w:tcPr>
            <w:tcW w:w="1176" w:type="dxa"/>
            <w:tcBorders>
              <w:top w:val="nil"/>
              <w:left w:val="nil"/>
              <w:bottom w:val="nil"/>
              <w:right w:val="nil"/>
            </w:tcBorders>
            <w:shd w:val="clear" w:color="auto" w:fill="auto"/>
            <w:noWrap/>
            <w:vAlign w:val="bottom"/>
            <w:hideMark/>
          </w:tcPr>
          <w:p w14:paraId="4948821E"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DB4A564" w14:textId="77777777" w:rsidR="003F050F" w:rsidRDefault="003F050F"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639EE22" w14:textId="77777777" w:rsidR="003F050F" w:rsidRDefault="003F050F"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47714B1E" w14:textId="77777777" w:rsidR="003F050F" w:rsidRDefault="003F050F" w:rsidP="005A3B4D">
            <w:pPr>
              <w:jc w:val="right"/>
              <w:rPr>
                <w:color w:val="000000"/>
                <w:sz w:val="20"/>
                <w:szCs w:val="20"/>
              </w:rPr>
            </w:pPr>
            <w:r>
              <w:rPr>
                <w:color w:val="000000"/>
                <w:sz w:val="20"/>
                <w:szCs w:val="20"/>
              </w:rPr>
              <w:t>0.984</w:t>
            </w:r>
          </w:p>
        </w:tc>
        <w:tc>
          <w:tcPr>
            <w:tcW w:w="768" w:type="dxa"/>
            <w:tcBorders>
              <w:top w:val="nil"/>
              <w:left w:val="nil"/>
              <w:bottom w:val="nil"/>
              <w:right w:val="nil"/>
            </w:tcBorders>
            <w:shd w:val="clear" w:color="auto" w:fill="auto"/>
            <w:noWrap/>
            <w:vAlign w:val="bottom"/>
            <w:hideMark/>
          </w:tcPr>
          <w:p w14:paraId="605BA3A6"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6A20AC5"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83FDE3" w14:textId="77777777" w:rsidR="003F050F" w:rsidRDefault="003F050F" w:rsidP="005A3B4D">
            <w:pPr>
              <w:jc w:val="right"/>
              <w:rPr>
                <w:color w:val="000000"/>
                <w:sz w:val="20"/>
                <w:szCs w:val="20"/>
              </w:rPr>
            </w:pPr>
            <w:r>
              <w:rPr>
                <w:color w:val="000000"/>
                <w:sz w:val="20"/>
                <w:szCs w:val="20"/>
              </w:rPr>
              <w:t>0.989</w:t>
            </w:r>
          </w:p>
        </w:tc>
        <w:tc>
          <w:tcPr>
            <w:tcW w:w="768" w:type="dxa"/>
            <w:tcBorders>
              <w:top w:val="nil"/>
              <w:left w:val="nil"/>
              <w:bottom w:val="nil"/>
              <w:right w:val="nil"/>
            </w:tcBorders>
            <w:shd w:val="clear" w:color="auto" w:fill="auto"/>
            <w:noWrap/>
            <w:vAlign w:val="bottom"/>
            <w:hideMark/>
          </w:tcPr>
          <w:p w14:paraId="3FAFAA88"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12DFEAB" w14:textId="77777777" w:rsidR="003F050F" w:rsidRDefault="003F050F" w:rsidP="005A3B4D">
            <w:pPr>
              <w:jc w:val="right"/>
              <w:rPr>
                <w:b/>
                <w:bCs/>
                <w:color w:val="000000"/>
                <w:sz w:val="20"/>
                <w:szCs w:val="20"/>
              </w:rPr>
            </w:pPr>
            <w:r>
              <w:rPr>
                <w:b/>
                <w:bCs/>
                <w:color w:val="000000"/>
                <w:sz w:val="20"/>
                <w:szCs w:val="20"/>
              </w:rPr>
              <w:t>-0.102</w:t>
            </w:r>
          </w:p>
        </w:tc>
        <w:tc>
          <w:tcPr>
            <w:tcW w:w="768" w:type="dxa"/>
            <w:tcBorders>
              <w:top w:val="nil"/>
              <w:left w:val="nil"/>
              <w:bottom w:val="nil"/>
              <w:right w:val="nil"/>
            </w:tcBorders>
            <w:shd w:val="clear" w:color="auto" w:fill="auto"/>
            <w:noWrap/>
            <w:vAlign w:val="bottom"/>
            <w:hideMark/>
          </w:tcPr>
          <w:p w14:paraId="6C8FD490" w14:textId="77777777" w:rsidR="003F050F" w:rsidRDefault="003F050F"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4DA8E79" w14:textId="77777777" w:rsidR="003F050F" w:rsidRDefault="003F050F" w:rsidP="005A3B4D">
            <w:pPr>
              <w:jc w:val="right"/>
              <w:rPr>
                <w:b/>
                <w:bCs/>
                <w:color w:val="000000"/>
                <w:sz w:val="20"/>
                <w:szCs w:val="20"/>
              </w:rPr>
            </w:pPr>
            <w:r>
              <w:rPr>
                <w:b/>
                <w:bCs/>
                <w:color w:val="000000"/>
                <w:sz w:val="20"/>
                <w:szCs w:val="20"/>
              </w:rPr>
              <w:t>0.010</w:t>
            </w:r>
          </w:p>
        </w:tc>
        <w:tc>
          <w:tcPr>
            <w:tcW w:w="768" w:type="dxa"/>
            <w:tcBorders>
              <w:top w:val="nil"/>
              <w:left w:val="nil"/>
              <w:bottom w:val="nil"/>
              <w:right w:val="nil"/>
            </w:tcBorders>
            <w:shd w:val="clear" w:color="auto" w:fill="auto"/>
            <w:noWrap/>
            <w:vAlign w:val="bottom"/>
            <w:hideMark/>
          </w:tcPr>
          <w:p w14:paraId="2F98A308" w14:textId="77777777" w:rsidR="003F050F" w:rsidRDefault="003F050F" w:rsidP="005A3B4D">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0DB3330A" w14:textId="77777777" w:rsidR="003F050F" w:rsidRDefault="003F050F" w:rsidP="005A3B4D">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2EB9C4E6"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7C38339" w14:textId="77777777" w:rsidR="003F050F" w:rsidRDefault="003F050F" w:rsidP="005A3B4D">
            <w:pPr>
              <w:jc w:val="right"/>
              <w:rPr>
                <w:color w:val="000000"/>
                <w:sz w:val="20"/>
                <w:szCs w:val="20"/>
              </w:rPr>
            </w:pPr>
            <w:r>
              <w:rPr>
                <w:color w:val="000000"/>
                <w:sz w:val="20"/>
                <w:szCs w:val="20"/>
              </w:rPr>
              <w:t>-0.108</w:t>
            </w:r>
          </w:p>
        </w:tc>
        <w:tc>
          <w:tcPr>
            <w:tcW w:w="768" w:type="dxa"/>
            <w:tcBorders>
              <w:top w:val="nil"/>
              <w:left w:val="nil"/>
              <w:bottom w:val="nil"/>
              <w:right w:val="nil"/>
            </w:tcBorders>
            <w:shd w:val="clear" w:color="auto" w:fill="auto"/>
            <w:noWrap/>
            <w:vAlign w:val="bottom"/>
            <w:hideMark/>
          </w:tcPr>
          <w:p w14:paraId="128DE91E" w14:textId="77777777" w:rsidR="003F050F" w:rsidRDefault="003F050F"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934DB58" w14:textId="77777777" w:rsidR="003F050F" w:rsidRDefault="003F050F" w:rsidP="005A3B4D">
            <w:pPr>
              <w:jc w:val="right"/>
              <w:rPr>
                <w:color w:val="000000"/>
                <w:sz w:val="20"/>
                <w:szCs w:val="20"/>
              </w:rPr>
            </w:pPr>
            <w:r>
              <w:rPr>
                <w:color w:val="000000"/>
                <w:sz w:val="20"/>
                <w:szCs w:val="20"/>
              </w:rPr>
              <w:t>0.012</w:t>
            </w:r>
          </w:p>
        </w:tc>
      </w:tr>
      <w:tr w:rsidR="003F050F" w14:paraId="6E16468F" w14:textId="77777777" w:rsidTr="005A3B4D">
        <w:trPr>
          <w:trHeight w:val="320"/>
        </w:trPr>
        <w:tc>
          <w:tcPr>
            <w:tcW w:w="1176" w:type="dxa"/>
            <w:tcBorders>
              <w:top w:val="nil"/>
              <w:left w:val="nil"/>
              <w:bottom w:val="nil"/>
              <w:right w:val="nil"/>
            </w:tcBorders>
            <w:shd w:val="clear" w:color="auto" w:fill="auto"/>
            <w:noWrap/>
            <w:vAlign w:val="bottom"/>
            <w:hideMark/>
          </w:tcPr>
          <w:p w14:paraId="58877374"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F650B38" w14:textId="77777777" w:rsidR="003F050F" w:rsidRDefault="003F050F"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426C5AA1" w14:textId="77777777" w:rsidR="003F050F" w:rsidRDefault="003F050F" w:rsidP="005A3B4D">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51DDB2EC" w14:textId="77777777" w:rsidR="003F050F" w:rsidRDefault="003F050F" w:rsidP="005A3B4D">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4125D8CF"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3FB4534" w14:textId="77777777" w:rsidR="003F050F" w:rsidRDefault="003F050F" w:rsidP="005A3B4D">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99ACB16" w14:textId="77777777" w:rsidR="003F050F" w:rsidRDefault="003F050F" w:rsidP="005A3B4D">
            <w:pPr>
              <w:jc w:val="right"/>
              <w:rPr>
                <w:color w:val="000000"/>
                <w:sz w:val="20"/>
                <w:szCs w:val="20"/>
              </w:rPr>
            </w:pPr>
            <w:r>
              <w:rPr>
                <w:color w:val="000000"/>
                <w:sz w:val="20"/>
                <w:szCs w:val="20"/>
              </w:rPr>
              <w:t>0.881</w:t>
            </w:r>
          </w:p>
        </w:tc>
        <w:tc>
          <w:tcPr>
            <w:tcW w:w="768" w:type="dxa"/>
            <w:tcBorders>
              <w:top w:val="nil"/>
              <w:left w:val="nil"/>
              <w:bottom w:val="nil"/>
              <w:right w:val="nil"/>
            </w:tcBorders>
            <w:shd w:val="clear" w:color="auto" w:fill="auto"/>
            <w:noWrap/>
            <w:vAlign w:val="bottom"/>
            <w:hideMark/>
          </w:tcPr>
          <w:p w14:paraId="026DD3C0"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612E89" w14:textId="77777777" w:rsidR="003F050F" w:rsidRDefault="003F050F" w:rsidP="005A3B4D">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0D432A0C" w14:textId="77777777" w:rsidR="003F050F" w:rsidRDefault="003F050F" w:rsidP="005A3B4D">
            <w:pPr>
              <w:jc w:val="right"/>
              <w:rPr>
                <w:color w:val="000000"/>
                <w:sz w:val="20"/>
                <w:szCs w:val="20"/>
              </w:rPr>
            </w:pPr>
            <w:r>
              <w:rPr>
                <w:color w:val="000000"/>
                <w:sz w:val="20"/>
                <w:szCs w:val="20"/>
              </w:rPr>
              <w:t>0.296</w:t>
            </w:r>
          </w:p>
        </w:tc>
        <w:tc>
          <w:tcPr>
            <w:tcW w:w="768" w:type="dxa"/>
            <w:tcBorders>
              <w:top w:val="nil"/>
              <w:left w:val="nil"/>
              <w:bottom w:val="nil"/>
              <w:right w:val="nil"/>
            </w:tcBorders>
            <w:shd w:val="clear" w:color="auto" w:fill="auto"/>
            <w:noWrap/>
            <w:vAlign w:val="bottom"/>
            <w:hideMark/>
          </w:tcPr>
          <w:p w14:paraId="64B0C488"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C707BC2" w14:textId="77777777" w:rsidR="003F050F" w:rsidRDefault="003F050F" w:rsidP="005A3B4D">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32489FF6" w14:textId="77777777" w:rsidR="003F050F" w:rsidRDefault="003F050F" w:rsidP="005A3B4D">
            <w:pPr>
              <w:jc w:val="right"/>
              <w:rPr>
                <w:color w:val="000000"/>
                <w:sz w:val="20"/>
                <w:szCs w:val="20"/>
              </w:rPr>
            </w:pPr>
            <w:r>
              <w:rPr>
                <w:color w:val="000000"/>
                <w:sz w:val="20"/>
                <w:szCs w:val="20"/>
              </w:rPr>
              <w:t>0.709</w:t>
            </w:r>
          </w:p>
        </w:tc>
        <w:tc>
          <w:tcPr>
            <w:tcW w:w="768" w:type="dxa"/>
            <w:tcBorders>
              <w:top w:val="nil"/>
              <w:left w:val="nil"/>
              <w:bottom w:val="nil"/>
              <w:right w:val="nil"/>
            </w:tcBorders>
            <w:shd w:val="clear" w:color="auto" w:fill="auto"/>
            <w:noWrap/>
            <w:vAlign w:val="bottom"/>
            <w:hideMark/>
          </w:tcPr>
          <w:p w14:paraId="272D7C28"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00D191" w14:textId="77777777" w:rsidR="003F050F" w:rsidRDefault="003F050F" w:rsidP="005A3B4D">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157462A6" w14:textId="77777777" w:rsidR="003F050F" w:rsidRDefault="003F050F" w:rsidP="005A3B4D">
            <w:pPr>
              <w:jc w:val="right"/>
              <w:rPr>
                <w:color w:val="000000"/>
                <w:sz w:val="20"/>
                <w:szCs w:val="20"/>
              </w:rPr>
            </w:pPr>
            <w:r>
              <w:rPr>
                <w:color w:val="000000"/>
                <w:sz w:val="20"/>
                <w:szCs w:val="20"/>
              </w:rPr>
              <w:t>0.493</w:t>
            </w:r>
          </w:p>
        </w:tc>
        <w:tc>
          <w:tcPr>
            <w:tcW w:w="768" w:type="dxa"/>
            <w:tcBorders>
              <w:top w:val="nil"/>
              <w:left w:val="nil"/>
              <w:bottom w:val="nil"/>
              <w:right w:val="nil"/>
            </w:tcBorders>
            <w:shd w:val="clear" w:color="auto" w:fill="auto"/>
            <w:noWrap/>
            <w:vAlign w:val="bottom"/>
            <w:hideMark/>
          </w:tcPr>
          <w:p w14:paraId="2CF92BE9" w14:textId="77777777" w:rsidR="003F050F" w:rsidRDefault="003F050F" w:rsidP="005A3B4D">
            <w:pPr>
              <w:jc w:val="right"/>
              <w:rPr>
                <w:color w:val="000000"/>
                <w:sz w:val="20"/>
                <w:szCs w:val="20"/>
              </w:rPr>
            </w:pPr>
            <w:r>
              <w:rPr>
                <w:color w:val="000000"/>
                <w:sz w:val="20"/>
                <w:szCs w:val="20"/>
              </w:rPr>
              <w:t>0.001</w:t>
            </w:r>
          </w:p>
        </w:tc>
      </w:tr>
      <w:tr w:rsidR="003F050F" w14:paraId="1671B62C" w14:textId="77777777" w:rsidTr="005A3B4D">
        <w:trPr>
          <w:trHeight w:val="320"/>
        </w:trPr>
        <w:tc>
          <w:tcPr>
            <w:tcW w:w="1176" w:type="dxa"/>
            <w:tcBorders>
              <w:top w:val="nil"/>
              <w:left w:val="nil"/>
              <w:bottom w:val="single" w:sz="4" w:space="0" w:color="auto"/>
              <w:right w:val="nil"/>
            </w:tcBorders>
            <w:shd w:val="clear" w:color="auto" w:fill="auto"/>
            <w:noWrap/>
            <w:vAlign w:val="bottom"/>
            <w:hideMark/>
          </w:tcPr>
          <w:p w14:paraId="679DCFA3" w14:textId="77777777" w:rsidR="003F050F" w:rsidRDefault="003F050F" w:rsidP="005A3B4D">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2C338B70" w14:textId="77777777" w:rsidR="003F050F" w:rsidRDefault="003F050F" w:rsidP="005A3B4D">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0791EC1" w14:textId="77777777" w:rsidR="003F050F" w:rsidRDefault="003F050F" w:rsidP="005A3B4D">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519DAE80" w14:textId="77777777" w:rsidR="003F050F" w:rsidRDefault="003F050F" w:rsidP="005A3B4D">
            <w:pPr>
              <w:jc w:val="right"/>
              <w:rPr>
                <w:color w:val="000000"/>
                <w:sz w:val="20"/>
                <w:szCs w:val="20"/>
              </w:rPr>
            </w:pPr>
            <w:r>
              <w:rPr>
                <w:color w:val="000000"/>
                <w:sz w:val="20"/>
                <w:szCs w:val="20"/>
              </w:rPr>
              <w:t>0.984</w:t>
            </w:r>
          </w:p>
        </w:tc>
        <w:tc>
          <w:tcPr>
            <w:tcW w:w="768" w:type="dxa"/>
            <w:tcBorders>
              <w:top w:val="nil"/>
              <w:left w:val="nil"/>
              <w:bottom w:val="single" w:sz="4" w:space="0" w:color="auto"/>
              <w:right w:val="nil"/>
            </w:tcBorders>
            <w:shd w:val="clear" w:color="auto" w:fill="auto"/>
            <w:noWrap/>
            <w:vAlign w:val="bottom"/>
            <w:hideMark/>
          </w:tcPr>
          <w:p w14:paraId="293C3CEB"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06F9C3BD" w14:textId="77777777" w:rsidR="003F050F" w:rsidRDefault="003F050F" w:rsidP="005A3B4D">
            <w:pPr>
              <w:jc w:val="right"/>
              <w:rPr>
                <w:color w:val="000000"/>
                <w:sz w:val="20"/>
                <w:szCs w:val="20"/>
              </w:rPr>
            </w:pPr>
            <w:r>
              <w:rPr>
                <w:color w:val="000000"/>
                <w:sz w:val="20"/>
                <w:szCs w:val="20"/>
              </w:rPr>
              <w:t>-0.034</w:t>
            </w:r>
          </w:p>
        </w:tc>
        <w:tc>
          <w:tcPr>
            <w:tcW w:w="768" w:type="dxa"/>
            <w:tcBorders>
              <w:top w:val="nil"/>
              <w:left w:val="nil"/>
              <w:bottom w:val="single" w:sz="4" w:space="0" w:color="auto"/>
              <w:right w:val="nil"/>
            </w:tcBorders>
            <w:shd w:val="clear" w:color="auto" w:fill="auto"/>
            <w:noWrap/>
            <w:vAlign w:val="bottom"/>
            <w:hideMark/>
          </w:tcPr>
          <w:p w14:paraId="36D6DE43" w14:textId="77777777" w:rsidR="003F050F" w:rsidRDefault="003F050F" w:rsidP="005A3B4D">
            <w:pPr>
              <w:jc w:val="right"/>
              <w:rPr>
                <w:color w:val="000000"/>
                <w:sz w:val="20"/>
                <w:szCs w:val="20"/>
              </w:rPr>
            </w:pPr>
            <w:r>
              <w:rPr>
                <w:color w:val="000000"/>
                <w:sz w:val="20"/>
                <w:szCs w:val="20"/>
              </w:rPr>
              <w:t>0.480</w:t>
            </w:r>
          </w:p>
        </w:tc>
        <w:tc>
          <w:tcPr>
            <w:tcW w:w="768" w:type="dxa"/>
            <w:tcBorders>
              <w:top w:val="nil"/>
              <w:left w:val="nil"/>
              <w:bottom w:val="single" w:sz="4" w:space="0" w:color="auto"/>
              <w:right w:val="nil"/>
            </w:tcBorders>
            <w:shd w:val="clear" w:color="auto" w:fill="auto"/>
            <w:noWrap/>
            <w:vAlign w:val="bottom"/>
            <w:hideMark/>
          </w:tcPr>
          <w:p w14:paraId="6C197772"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280838B7" w14:textId="77777777" w:rsidR="003F050F" w:rsidRDefault="003F050F" w:rsidP="005A3B4D">
            <w:pPr>
              <w:jc w:val="right"/>
              <w:rPr>
                <w:color w:val="000000"/>
                <w:sz w:val="20"/>
                <w:szCs w:val="20"/>
              </w:rPr>
            </w:pPr>
            <w:r>
              <w:rPr>
                <w:color w:val="000000"/>
                <w:sz w:val="20"/>
                <w:szCs w:val="20"/>
              </w:rPr>
              <w:t>-0.043</w:t>
            </w:r>
          </w:p>
        </w:tc>
        <w:tc>
          <w:tcPr>
            <w:tcW w:w="768" w:type="dxa"/>
            <w:tcBorders>
              <w:top w:val="nil"/>
              <w:left w:val="nil"/>
              <w:bottom w:val="single" w:sz="4" w:space="0" w:color="auto"/>
              <w:right w:val="nil"/>
            </w:tcBorders>
            <w:shd w:val="clear" w:color="auto" w:fill="auto"/>
            <w:noWrap/>
            <w:vAlign w:val="bottom"/>
            <w:hideMark/>
          </w:tcPr>
          <w:p w14:paraId="5E749853" w14:textId="77777777" w:rsidR="003F050F" w:rsidRDefault="003F050F" w:rsidP="005A3B4D">
            <w:pPr>
              <w:jc w:val="right"/>
              <w:rPr>
                <w:color w:val="000000"/>
                <w:sz w:val="20"/>
                <w:szCs w:val="20"/>
              </w:rPr>
            </w:pPr>
            <w:r>
              <w:rPr>
                <w:color w:val="000000"/>
                <w:sz w:val="20"/>
                <w:szCs w:val="20"/>
              </w:rPr>
              <w:t>0.400</w:t>
            </w:r>
          </w:p>
        </w:tc>
        <w:tc>
          <w:tcPr>
            <w:tcW w:w="768" w:type="dxa"/>
            <w:tcBorders>
              <w:top w:val="nil"/>
              <w:left w:val="nil"/>
              <w:bottom w:val="single" w:sz="4" w:space="0" w:color="auto"/>
              <w:right w:val="nil"/>
            </w:tcBorders>
            <w:shd w:val="clear" w:color="auto" w:fill="auto"/>
            <w:noWrap/>
            <w:vAlign w:val="bottom"/>
            <w:hideMark/>
          </w:tcPr>
          <w:p w14:paraId="3A048BCF"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5B744E01" w14:textId="77777777" w:rsidR="003F050F" w:rsidRDefault="003F050F" w:rsidP="005A3B4D">
            <w:pPr>
              <w:jc w:val="right"/>
              <w:rPr>
                <w:color w:val="000000"/>
                <w:sz w:val="20"/>
                <w:szCs w:val="20"/>
              </w:rPr>
            </w:pPr>
            <w:r>
              <w:rPr>
                <w:color w:val="000000"/>
                <w:sz w:val="20"/>
                <w:szCs w:val="20"/>
              </w:rPr>
              <w:t>0.017</w:t>
            </w:r>
          </w:p>
        </w:tc>
        <w:tc>
          <w:tcPr>
            <w:tcW w:w="768" w:type="dxa"/>
            <w:tcBorders>
              <w:top w:val="nil"/>
              <w:left w:val="nil"/>
              <w:bottom w:val="single" w:sz="4" w:space="0" w:color="auto"/>
              <w:right w:val="nil"/>
            </w:tcBorders>
            <w:shd w:val="clear" w:color="auto" w:fill="auto"/>
            <w:noWrap/>
            <w:vAlign w:val="bottom"/>
            <w:hideMark/>
          </w:tcPr>
          <w:p w14:paraId="17E152FC" w14:textId="77777777" w:rsidR="003F050F" w:rsidRDefault="003F050F" w:rsidP="005A3B4D">
            <w:pPr>
              <w:jc w:val="right"/>
              <w:rPr>
                <w:color w:val="000000"/>
                <w:sz w:val="20"/>
                <w:szCs w:val="20"/>
              </w:rPr>
            </w:pPr>
            <w:r>
              <w:rPr>
                <w:color w:val="000000"/>
                <w:sz w:val="20"/>
                <w:szCs w:val="20"/>
              </w:rPr>
              <w:t>0.754</w:t>
            </w:r>
          </w:p>
        </w:tc>
        <w:tc>
          <w:tcPr>
            <w:tcW w:w="768" w:type="dxa"/>
            <w:tcBorders>
              <w:top w:val="nil"/>
              <w:left w:val="nil"/>
              <w:bottom w:val="single" w:sz="4" w:space="0" w:color="auto"/>
              <w:right w:val="nil"/>
            </w:tcBorders>
            <w:shd w:val="clear" w:color="auto" w:fill="auto"/>
            <w:noWrap/>
            <w:vAlign w:val="bottom"/>
            <w:hideMark/>
          </w:tcPr>
          <w:p w14:paraId="3A394020"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415DD667" w14:textId="77777777" w:rsidR="003F050F" w:rsidRDefault="003F050F" w:rsidP="005A3B4D">
            <w:pPr>
              <w:jc w:val="right"/>
              <w:rPr>
                <w:color w:val="000000"/>
                <w:sz w:val="20"/>
                <w:szCs w:val="20"/>
              </w:rPr>
            </w:pPr>
            <w:r>
              <w:rPr>
                <w:color w:val="000000"/>
                <w:sz w:val="20"/>
                <w:szCs w:val="20"/>
              </w:rPr>
              <w:t>0.035</w:t>
            </w:r>
          </w:p>
        </w:tc>
        <w:tc>
          <w:tcPr>
            <w:tcW w:w="768" w:type="dxa"/>
            <w:tcBorders>
              <w:top w:val="nil"/>
              <w:left w:val="nil"/>
              <w:bottom w:val="single" w:sz="4" w:space="0" w:color="auto"/>
              <w:right w:val="nil"/>
            </w:tcBorders>
            <w:shd w:val="clear" w:color="auto" w:fill="auto"/>
            <w:noWrap/>
            <w:vAlign w:val="bottom"/>
            <w:hideMark/>
          </w:tcPr>
          <w:p w14:paraId="47F711E6" w14:textId="77777777" w:rsidR="003F050F" w:rsidRDefault="003F050F" w:rsidP="005A3B4D">
            <w:pPr>
              <w:jc w:val="right"/>
              <w:rPr>
                <w:color w:val="000000"/>
                <w:sz w:val="20"/>
                <w:szCs w:val="20"/>
              </w:rPr>
            </w:pPr>
            <w:r>
              <w:rPr>
                <w:color w:val="000000"/>
                <w:sz w:val="20"/>
                <w:szCs w:val="20"/>
              </w:rPr>
              <w:t>0.493</w:t>
            </w:r>
          </w:p>
        </w:tc>
        <w:tc>
          <w:tcPr>
            <w:tcW w:w="768" w:type="dxa"/>
            <w:tcBorders>
              <w:top w:val="nil"/>
              <w:left w:val="nil"/>
              <w:bottom w:val="single" w:sz="4" w:space="0" w:color="auto"/>
              <w:right w:val="nil"/>
            </w:tcBorders>
            <w:shd w:val="clear" w:color="auto" w:fill="auto"/>
            <w:noWrap/>
            <w:vAlign w:val="bottom"/>
            <w:hideMark/>
          </w:tcPr>
          <w:p w14:paraId="6C766E48" w14:textId="77777777" w:rsidR="003F050F" w:rsidRDefault="003F050F" w:rsidP="005A3B4D">
            <w:pPr>
              <w:jc w:val="right"/>
              <w:rPr>
                <w:color w:val="000000"/>
                <w:sz w:val="20"/>
                <w:szCs w:val="20"/>
              </w:rPr>
            </w:pPr>
            <w:r>
              <w:rPr>
                <w:color w:val="000000"/>
                <w:sz w:val="20"/>
                <w:szCs w:val="20"/>
              </w:rPr>
              <w:t>0.001</w:t>
            </w:r>
          </w:p>
        </w:tc>
      </w:tr>
      <w:tr w:rsidR="003F050F" w14:paraId="7A82C0DC" w14:textId="77777777" w:rsidTr="005A3B4D">
        <w:trPr>
          <w:trHeight w:val="320"/>
        </w:trPr>
        <w:tc>
          <w:tcPr>
            <w:tcW w:w="1176" w:type="dxa"/>
            <w:tcBorders>
              <w:top w:val="nil"/>
              <w:left w:val="nil"/>
              <w:bottom w:val="nil"/>
              <w:right w:val="nil"/>
            </w:tcBorders>
            <w:shd w:val="clear" w:color="auto" w:fill="auto"/>
            <w:noWrap/>
            <w:vAlign w:val="bottom"/>
            <w:hideMark/>
          </w:tcPr>
          <w:p w14:paraId="23666CC2" w14:textId="77777777" w:rsidR="003F050F" w:rsidRDefault="003F050F" w:rsidP="005A3B4D">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2B671FDA" w14:textId="77777777" w:rsidR="003F050F" w:rsidRDefault="003F050F" w:rsidP="005A3B4D">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E3DABB6" w14:textId="77777777" w:rsidR="003F050F" w:rsidRDefault="003F050F" w:rsidP="005A3B4D">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0EF143D4" w14:textId="77777777" w:rsidR="003F050F" w:rsidRDefault="003F050F" w:rsidP="005A3B4D">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58C3E645"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E65BF21" w14:textId="77777777" w:rsidR="003F050F" w:rsidRDefault="003F050F" w:rsidP="005A3B4D">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50623B90" w14:textId="77777777" w:rsidR="003F050F" w:rsidRDefault="003F050F" w:rsidP="005A3B4D">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6393F6C6"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E6F069C" w14:textId="77777777" w:rsidR="003F050F" w:rsidRDefault="003F050F" w:rsidP="005A3B4D">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45D721A" w14:textId="77777777" w:rsidR="003F050F" w:rsidRDefault="003F050F" w:rsidP="005A3B4D">
            <w:pPr>
              <w:jc w:val="right"/>
              <w:rPr>
                <w:color w:val="000000"/>
                <w:sz w:val="20"/>
                <w:szCs w:val="20"/>
              </w:rPr>
            </w:pPr>
            <w:r>
              <w:rPr>
                <w:color w:val="000000"/>
                <w:sz w:val="20"/>
                <w:szCs w:val="20"/>
              </w:rPr>
              <w:t>0.530</w:t>
            </w:r>
          </w:p>
        </w:tc>
        <w:tc>
          <w:tcPr>
            <w:tcW w:w="768" w:type="dxa"/>
            <w:tcBorders>
              <w:top w:val="nil"/>
              <w:left w:val="nil"/>
              <w:bottom w:val="nil"/>
              <w:right w:val="nil"/>
            </w:tcBorders>
            <w:shd w:val="clear" w:color="auto" w:fill="auto"/>
            <w:noWrap/>
            <w:vAlign w:val="bottom"/>
            <w:hideMark/>
          </w:tcPr>
          <w:p w14:paraId="4FEF2AB5"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4644BC" w14:textId="77777777" w:rsidR="003F050F" w:rsidRDefault="003F050F" w:rsidP="005A3B4D">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13C7B81E" w14:textId="77777777" w:rsidR="003F050F" w:rsidRDefault="003F050F" w:rsidP="005A3B4D">
            <w:pPr>
              <w:jc w:val="right"/>
              <w:rPr>
                <w:color w:val="000000"/>
                <w:sz w:val="20"/>
                <w:szCs w:val="20"/>
              </w:rPr>
            </w:pPr>
            <w:r>
              <w:rPr>
                <w:color w:val="000000"/>
                <w:sz w:val="20"/>
                <w:szCs w:val="20"/>
              </w:rPr>
              <w:t>0.371</w:t>
            </w:r>
          </w:p>
        </w:tc>
        <w:tc>
          <w:tcPr>
            <w:tcW w:w="768" w:type="dxa"/>
            <w:tcBorders>
              <w:top w:val="nil"/>
              <w:left w:val="nil"/>
              <w:bottom w:val="nil"/>
              <w:right w:val="nil"/>
            </w:tcBorders>
            <w:shd w:val="clear" w:color="auto" w:fill="auto"/>
            <w:noWrap/>
            <w:vAlign w:val="bottom"/>
            <w:hideMark/>
          </w:tcPr>
          <w:p w14:paraId="6FEF05E0"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FC15E4F" w14:textId="77777777" w:rsidR="003F050F" w:rsidRDefault="003F050F"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784BC0F5" w14:textId="77777777" w:rsidR="003F050F" w:rsidRDefault="003F050F" w:rsidP="005A3B4D">
            <w:pPr>
              <w:jc w:val="right"/>
              <w:rPr>
                <w:color w:val="000000"/>
                <w:sz w:val="20"/>
                <w:szCs w:val="20"/>
              </w:rPr>
            </w:pPr>
            <w:r>
              <w:rPr>
                <w:color w:val="000000"/>
                <w:sz w:val="20"/>
                <w:szCs w:val="20"/>
              </w:rPr>
              <w:t>0.644</w:t>
            </w:r>
          </w:p>
        </w:tc>
        <w:tc>
          <w:tcPr>
            <w:tcW w:w="768" w:type="dxa"/>
            <w:tcBorders>
              <w:top w:val="nil"/>
              <w:left w:val="nil"/>
              <w:bottom w:val="nil"/>
              <w:right w:val="nil"/>
            </w:tcBorders>
            <w:shd w:val="clear" w:color="auto" w:fill="auto"/>
            <w:noWrap/>
            <w:vAlign w:val="bottom"/>
            <w:hideMark/>
          </w:tcPr>
          <w:p w14:paraId="0D36630E" w14:textId="77777777" w:rsidR="003F050F" w:rsidRDefault="003F050F" w:rsidP="005A3B4D">
            <w:pPr>
              <w:jc w:val="right"/>
              <w:rPr>
                <w:color w:val="000000"/>
                <w:sz w:val="20"/>
                <w:szCs w:val="20"/>
              </w:rPr>
            </w:pPr>
            <w:r>
              <w:rPr>
                <w:color w:val="000000"/>
                <w:sz w:val="20"/>
                <w:szCs w:val="20"/>
              </w:rPr>
              <w:t>0.001</w:t>
            </w:r>
          </w:p>
        </w:tc>
      </w:tr>
      <w:tr w:rsidR="003F050F" w14:paraId="098E4F5C" w14:textId="77777777" w:rsidTr="005A3B4D">
        <w:trPr>
          <w:trHeight w:val="320"/>
        </w:trPr>
        <w:tc>
          <w:tcPr>
            <w:tcW w:w="1176" w:type="dxa"/>
            <w:tcBorders>
              <w:top w:val="nil"/>
              <w:left w:val="nil"/>
              <w:bottom w:val="nil"/>
              <w:right w:val="nil"/>
            </w:tcBorders>
            <w:shd w:val="clear" w:color="auto" w:fill="auto"/>
            <w:noWrap/>
            <w:vAlign w:val="bottom"/>
            <w:hideMark/>
          </w:tcPr>
          <w:p w14:paraId="052DC1A5"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6A8506" w14:textId="77777777" w:rsidR="003F050F" w:rsidRDefault="003F050F" w:rsidP="005A3B4D">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C7E05DA" w14:textId="77777777" w:rsidR="003F050F" w:rsidRDefault="003F050F"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9B371C1" w14:textId="77777777" w:rsidR="003F050F" w:rsidRDefault="003F050F" w:rsidP="005A3B4D">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241FF918"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9A3CA7B" w14:textId="77777777" w:rsidR="003F050F" w:rsidRDefault="003F050F" w:rsidP="005A3B4D">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1B9BDCCD" w14:textId="77777777" w:rsidR="003F050F" w:rsidRDefault="003F050F" w:rsidP="005A3B4D">
            <w:pPr>
              <w:jc w:val="right"/>
              <w:rPr>
                <w:color w:val="000000"/>
                <w:sz w:val="20"/>
                <w:szCs w:val="20"/>
              </w:rPr>
            </w:pPr>
            <w:r>
              <w:rPr>
                <w:color w:val="000000"/>
                <w:sz w:val="20"/>
                <w:szCs w:val="20"/>
              </w:rPr>
              <w:t>0.859</w:t>
            </w:r>
          </w:p>
        </w:tc>
        <w:tc>
          <w:tcPr>
            <w:tcW w:w="768" w:type="dxa"/>
            <w:tcBorders>
              <w:top w:val="nil"/>
              <w:left w:val="nil"/>
              <w:bottom w:val="nil"/>
              <w:right w:val="nil"/>
            </w:tcBorders>
            <w:shd w:val="clear" w:color="auto" w:fill="auto"/>
            <w:noWrap/>
            <w:vAlign w:val="bottom"/>
            <w:hideMark/>
          </w:tcPr>
          <w:p w14:paraId="457271B9"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81AA76" w14:textId="77777777" w:rsidR="003F050F" w:rsidRDefault="003F050F" w:rsidP="005A3B4D">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53754C0E" w14:textId="77777777" w:rsidR="003F050F" w:rsidRDefault="003F050F" w:rsidP="005A3B4D">
            <w:pPr>
              <w:jc w:val="right"/>
              <w:rPr>
                <w:color w:val="000000"/>
                <w:sz w:val="20"/>
                <w:szCs w:val="20"/>
              </w:rPr>
            </w:pPr>
            <w:r>
              <w:rPr>
                <w:color w:val="000000"/>
                <w:sz w:val="20"/>
                <w:szCs w:val="20"/>
              </w:rPr>
              <w:t>0.376</w:t>
            </w:r>
          </w:p>
        </w:tc>
        <w:tc>
          <w:tcPr>
            <w:tcW w:w="768" w:type="dxa"/>
            <w:tcBorders>
              <w:top w:val="nil"/>
              <w:left w:val="nil"/>
              <w:bottom w:val="nil"/>
              <w:right w:val="nil"/>
            </w:tcBorders>
            <w:shd w:val="clear" w:color="auto" w:fill="auto"/>
            <w:noWrap/>
            <w:vAlign w:val="bottom"/>
            <w:hideMark/>
          </w:tcPr>
          <w:p w14:paraId="55F39119"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C124804" w14:textId="77777777" w:rsidR="003F050F" w:rsidRDefault="003F050F"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461BCC9" w14:textId="77777777" w:rsidR="003F050F" w:rsidRDefault="003F050F" w:rsidP="005A3B4D">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14944443"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0B7EA2" w14:textId="77777777" w:rsidR="003F050F" w:rsidRDefault="003F050F" w:rsidP="005A3B4D">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F05BA7C" w14:textId="77777777" w:rsidR="003F050F" w:rsidRDefault="003F050F" w:rsidP="005A3B4D">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09CFF247" w14:textId="77777777" w:rsidR="003F050F" w:rsidRDefault="003F050F" w:rsidP="005A3B4D">
            <w:pPr>
              <w:jc w:val="right"/>
              <w:rPr>
                <w:color w:val="000000"/>
                <w:sz w:val="20"/>
                <w:szCs w:val="20"/>
              </w:rPr>
            </w:pPr>
            <w:r>
              <w:rPr>
                <w:color w:val="000000"/>
                <w:sz w:val="20"/>
                <w:szCs w:val="20"/>
              </w:rPr>
              <w:t>0.000</w:t>
            </w:r>
          </w:p>
        </w:tc>
      </w:tr>
      <w:tr w:rsidR="003F050F" w14:paraId="7C55F9C4" w14:textId="77777777" w:rsidTr="005A3B4D">
        <w:trPr>
          <w:trHeight w:val="320"/>
        </w:trPr>
        <w:tc>
          <w:tcPr>
            <w:tcW w:w="1176" w:type="dxa"/>
            <w:tcBorders>
              <w:top w:val="nil"/>
              <w:left w:val="nil"/>
              <w:bottom w:val="nil"/>
              <w:right w:val="nil"/>
            </w:tcBorders>
            <w:shd w:val="clear" w:color="auto" w:fill="auto"/>
            <w:noWrap/>
            <w:vAlign w:val="bottom"/>
            <w:hideMark/>
          </w:tcPr>
          <w:p w14:paraId="33872D6D"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3E6807E" w14:textId="77777777" w:rsidR="003F050F" w:rsidRDefault="003F050F" w:rsidP="005A3B4D">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CDC5012" w14:textId="77777777" w:rsidR="003F050F" w:rsidRDefault="003F050F" w:rsidP="005A3B4D">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4AF88467" w14:textId="77777777" w:rsidR="003F050F" w:rsidRDefault="003F050F" w:rsidP="005A3B4D">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3AFC304C"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7D59505" w14:textId="77777777" w:rsidR="003F050F" w:rsidRDefault="003F050F" w:rsidP="005A3B4D">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57C2D09C" w14:textId="77777777" w:rsidR="003F050F" w:rsidRDefault="003F050F" w:rsidP="005A3B4D">
            <w:pPr>
              <w:jc w:val="right"/>
              <w:rPr>
                <w:color w:val="000000"/>
                <w:sz w:val="20"/>
                <w:szCs w:val="20"/>
              </w:rPr>
            </w:pPr>
            <w:r>
              <w:rPr>
                <w:color w:val="000000"/>
                <w:sz w:val="20"/>
                <w:szCs w:val="20"/>
              </w:rPr>
              <w:t>0.827</w:t>
            </w:r>
          </w:p>
        </w:tc>
        <w:tc>
          <w:tcPr>
            <w:tcW w:w="768" w:type="dxa"/>
            <w:tcBorders>
              <w:top w:val="nil"/>
              <w:left w:val="nil"/>
              <w:bottom w:val="nil"/>
              <w:right w:val="nil"/>
            </w:tcBorders>
            <w:shd w:val="clear" w:color="auto" w:fill="auto"/>
            <w:noWrap/>
            <w:vAlign w:val="bottom"/>
            <w:hideMark/>
          </w:tcPr>
          <w:p w14:paraId="67C9CACF"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37654BF" w14:textId="77777777" w:rsidR="003F050F" w:rsidRDefault="003F050F" w:rsidP="005A3B4D">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2D9DEC4B" w14:textId="77777777" w:rsidR="003F050F" w:rsidRDefault="003F050F" w:rsidP="005A3B4D">
            <w:pPr>
              <w:jc w:val="right"/>
              <w:rPr>
                <w:color w:val="000000"/>
                <w:sz w:val="20"/>
                <w:szCs w:val="20"/>
              </w:rPr>
            </w:pPr>
            <w:r>
              <w:rPr>
                <w:color w:val="000000"/>
                <w:sz w:val="20"/>
                <w:szCs w:val="20"/>
              </w:rPr>
              <w:t>0.482</w:t>
            </w:r>
          </w:p>
        </w:tc>
        <w:tc>
          <w:tcPr>
            <w:tcW w:w="768" w:type="dxa"/>
            <w:tcBorders>
              <w:top w:val="nil"/>
              <w:left w:val="nil"/>
              <w:bottom w:val="nil"/>
              <w:right w:val="nil"/>
            </w:tcBorders>
            <w:shd w:val="clear" w:color="auto" w:fill="auto"/>
            <w:noWrap/>
            <w:vAlign w:val="bottom"/>
            <w:hideMark/>
          </w:tcPr>
          <w:p w14:paraId="1E7EC8F9"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0F0B621" w14:textId="77777777" w:rsidR="003F050F" w:rsidRDefault="003F050F" w:rsidP="005A3B4D">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2D87AFE9" w14:textId="77777777" w:rsidR="003F050F" w:rsidRDefault="003F050F" w:rsidP="005A3B4D">
            <w:pPr>
              <w:jc w:val="right"/>
              <w:rPr>
                <w:color w:val="000000"/>
                <w:sz w:val="20"/>
                <w:szCs w:val="20"/>
              </w:rPr>
            </w:pPr>
            <w:r>
              <w:rPr>
                <w:color w:val="000000"/>
                <w:sz w:val="20"/>
                <w:szCs w:val="20"/>
              </w:rPr>
              <w:t>0.371</w:t>
            </w:r>
          </w:p>
        </w:tc>
        <w:tc>
          <w:tcPr>
            <w:tcW w:w="768" w:type="dxa"/>
            <w:tcBorders>
              <w:top w:val="nil"/>
              <w:left w:val="nil"/>
              <w:bottom w:val="nil"/>
              <w:right w:val="nil"/>
            </w:tcBorders>
            <w:shd w:val="clear" w:color="auto" w:fill="auto"/>
            <w:noWrap/>
            <w:vAlign w:val="bottom"/>
            <w:hideMark/>
          </w:tcPr>
          <w:p w14:paraId="49743FA8"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BBAF659" w14:textId="77777777" w:rsidR="003F050F" w:rsidRDefault="003F050F" w:rsidP="005A3B4D">
            <w:pPr>
              <w:jc w:val="right"/>
              <w:rPr>
                <w:color w:val="000000"/>
                <w:sz w:val="20"/>
                <w:szCs w:val="20"/>
              </w:rPr>
            </w:pPr>
            <w:r>
              <w:rPr>
                <w:color w:val="000000"/>
                <w:sz w:val="20"/>
                <w:szCs w:val="20"/>
              </w:rPr>
              <w:t>0.081</w:t>
            </w:r>
          </w:p>
        </w:tc>
        <w:tc>
          <w:tcPr>
            <w:tcW w:w="768" w:type="dxa"/>
            <w:tcBorders>
              <w:top w:val="nil"/>
              <w:left w:val="nil"/>
              <w:bottom w:val="nil"/>
              <w:right w:val="nil"/>
            </w:tcBorders>
            <w:shd w:val="clear" w:color="auto" w:fill="auto"/>
            <w:noWrap/>
            <w:vAlign w:val="bottom"/>
            <w:hideMark/>
          </w:tcPr>
          <w:p w14:paraId="1E897C1E" w14:textId="77777777" w:rsidR="003F050F" w:rsidRDefault="003F050F" w:rsidP="005A3B4D">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1B6B3ED4" w14:textId="77777777" w:rsidR="003F050F" w:rsidRDefault="003F050F" w:rsidP="005A3B4D">
            <w:pPr>
              <w:jc w:val="right"/>
              <w:rPr>
                <w:color w:val="000000"/>
                <w:sz w:val="20"/>
                <w:szCs w:val="20"/>
              </w:rPr>
            </w:pPr>
            <w:r>
              <w:rPr>
                <w:color w:val="000000"/>
                <w:sz w:val="20"/>
                <w:szCs w:val="20"/>
              </w:rPr>
              <w:t>0.007</w:t>
            </w:r>
          </w:p>
        </w:tc>
      </w:tr>
      <w:tr w:rsidR="003F050F" w14:paraId="5E112E8B" w14:textId="77777777" w:rsidTr="005A3B4D">
        <w:trPr>
          <w:trHeight w:val="320"/>
        </w:trPr>
        <w:tc>
          <w:tcPr>
            <w:tcW w:w="1176" w:type="dxa"/>
            <w:tcBorders>
              <w:top w:val="nil"/>
              <w:left w:val="nil"/>
              <w:bottom w:val="nil"/>
              <w:right w:val="nil"/>
            </w:tcBorders>
            <w:shd w:val="clear" w:color="auto" w:fill="auto"/>
            <w:noWrap/>
            <w:vAlign w:val="bottom"/>
            <w:hideMark/>
          </w:tcPr>
          <w:p w14:paraId="095BE199"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4EA54C5" w14:textId="77777777" w:rsidR="003F050F" w:rsidRDefault="003F050F" w:rsidP="005A3B4D">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4CC2C728" w14:textId="77777777" w:rsidR="003F050F" w:rsidRDefault="003F050F" w:rsidP="005A3B4D">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75F2F35" w14:textId="77777777" w:rsidR="003F050F" w:rsidRDefault="003F050F" w:rsidP="005A3B4D">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49A2F0C0"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AFAD031" w14:textId="77777777" w:rsidR="003F050F" w:rsidRDefault="003F050F" w:rsidP="005A3B4D">
            <w:pPr>
              <w:jc w:val="right"/>
              <w:rPr>
                <w:b/>
                <w:bCs/>
                <w:color w:val="000000"/>
                <w:sz w:val="20"/>
                <w:szCs w:val="20"/>
              </w:rPr>
            </w:pPr>
            <w:r>
              <w:rPr>
                <w:b/>
                <w:bCs/>
                <w:color w:val="000000"/>
                <w:sz w:val="20"/>
                <w:szCs w:val="20"/>
              </w:rPr>
              <w:t>-0.126</w:t>
            </w:r>
          </w:p>
        </w:tc>
        <w:tc>
          <w:tcPr>
            <w:tcW w:w="768" w:type="dxa"/>
            <w:tcBorders>
              <w:top w:val="nil"/>
              <w:left w:val="nil"/>
              <w:bottom w:val="nil"/>
              <w:right w:val="nil"/>
            </w:tcBorders>
            <w:shd w:val="clear" w:color="auto" w:fill="auto"/>
            <w:noWrap/>
            <w:vAlign w:val="bottom"/>
            <w:hideMark/>
          </w:tcPr>
          <w:p w14:paraId="5311A47E" w14:textId="77777777" w:rsidR="003F050F" w:rsidRDefault="003F050F" w:rsidP="005A3B4D">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6E0548E" w14:textId="77777777" w:rsidR="003F050F" w:rsidRDefault="003F050F"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4718C32C" w14:textId="77777777" w:rsidR="003F050F" w:rsidRDefault="003F050F" w:rsidP="005A3B4D">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1C0444EE" w14:textId="77777777" w:rsidR="003F050F" w:rsidRDefault="003F050F" w:rsidP="005A3B4D">
            <w:pPr>
              <w:jc w:val="right"/>
              <w:rPr>
                <w:color w:val="000000"/>
                <w:sz w:val="20"/>
                <w:szCs w:val="20"/>
              </w:rPr>
            </w:pPr>
            <w:r>
              <w:rPr>
                <w:color w:val="000000"/>
                <w:sz w:val="20"/>
                <w:szCs w:val="20"/>
              </w:rPr>
              <w:t>0.148</w:t>
            </w:r>
          </w:p>
        </w:tc>
        <w:tc>
          <w:tcPr>
            <w:tcW w:w="768" w:type="dxa"/>
            <w:tcBorders>
              <w:top w:val="nil"/>
              <w:left w:val="nil"/>
              <w:bottom w:val="nil"/>
              <w:right w:val="nil"/>
            </w:tcBorders>
            <w:shd w:val="clear" w:color="auto" w:fill="auto"/>
            <w:noWrap/>
            <w:vAlign w:val="bottom"/>
            <w:hideMark/>
          </w:tcPr>
          <w:p w14:paraId="6AD51F0C" w14:textId="77777777" w:rsidR="003F050F" w:rsidRDefault="003F050F" w:rsidP="005A3B4D">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D14FF3B" w14:textId="77777777" w:rsidR="003F050F" w:rsidRDefault="003F050F" w:rsidP="005A3B4D">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9903540" w14:textId="77777777" w:rsidR="003F050F" w:rsidRDefault="003F050F" w:rsidP="005A3B4D">
            <w:pPr>
              <w:jc w:val="right"/>
              <w:rPr>
                <w:color w:val="000000"/>
                <w:sz w:val="20"/>
                <w:szCs w:val="20"/>
              </w:rPr>
            </w:pPr>
            <w:r>
              <w:rPr>
                <w:color w:val="000000"/>
                <w:sz w:val="20"/>
                <w:szCs w:val="20"/>
              </w:rPr>
              <w:t>0.696</w:t>
            </w:r>
          </w:p>
        </w:tc>
        <w:tc>
          <w:tcPr>
            <w:tcW w:w="768" w:type="dxa"/>
            <w:tcBorders>
              <w:top w:val="nil"/>
              <w:left w:val="nil"/>
              <w:bottom w:val="nil"/>
              <w:right w:val="nil"/>
            </w:tcBorders>
            <w:shd w:val="clear" w:color="auto" w:fill="auto"/>
            <w:noWrap/>
            <w:vAlign w:val="bottom"/>
            <w:hideMark/>
          </w:tcPr>
          <w:p w14:paraId="2C57C8A5"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EB9271A" w14:textId="77777777" w:rsidR="003F050F" w:rsidRDefault="003F050F"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601DDD05" w14:textId="77777777" w:rsidR="003F050F" w:rsidRDefault="003F050F"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74B4FB14" w14:textId="77777777" w:rsidR="003F050F" w:rsidRDefault="003F050F" w:rsidP="005A3B4D">
            <w:pPr>
              <w:jc w:val="right"/>
              <w:rPr>
                <w:color w:val="000000"/>
                <w:sz w:val="20"/>
                <w:szCs w:val="20"/>
              </w:rPr>
            </w:pPr>
            <w:r>
              <w:rPr>
                <w:color w:val="000000"/>
                <w:sz w:val="20"/>
                <w:szCs w:val="20"/>
              </w:rPr>
              <w:t>0.008</w:t>
            </w:r>
          </w:p>
        </w:tc>
      </w:tr>
      <w:tr w:rsidR="003F050F" w14:paraId="32FE107D" w14:textId="77777777" w:rsidTr="005A3B4D">
        <w:trPr>
          <w:trHeight w:val="320"/>
        </w:trPr>
        <w:tc>
          <w:tcPr>
            <w:tcW w:w="1176" w:type="dxa"/>
            <w:tcBorders>
              <w:top w:val="nil"/>
              <w:left w:val="nil"/>
              <w:bottom w:val="nil"/>
              <w:right w:val="nil"/>
            </w:tcBorders>
            <w:shd w:val="clear" w:color="auto" w:fill="auto"/>
            <w:noWrap/>
            <w:vAlign w:val="bottom"/>
            <w:hideMark/>
          </w:tcPr>
          <w:p w14:paraId="54336323"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26F0AFC" w14:textId="77777777" w:rsidR="003F050F" w:rsidRDefault="003F050F" w:rsidP="005A3B4D">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9053426"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7AE5E0A" w14:textId="77777777" w:rsidR="003F050F" w:rsidRDefault="003F050F" w:rsidP="005A3B4D">
            <w:pPr>
              <w:jc w:val="right"/>
              <w:rPr>
                <w:color w:val="000000"/>
                <w:sz w:val="20"/>
                <w:szCs w:val="20"/>
              </w:rPr>
            </w:pPr>
            <w:r>
              <w:rPr>
                <w:color w:val="000000"/>
                <w:sz w:val="20"/>
                <w:szCs w:val="20"/>
              </w:rPr>
              <w:t>0.896</w:t>
            </w:r>
          </w:p>
        </w:tc>
        <w:tc>
          <w:tcPr>
            <w:tcW w:w="768" w:type="dxa"/>
            <w:tcBorders>
              <w:top w:val="nil"/>
              <w:left w:val="nil"/>
              <w:bottom w:val="nil"/>
              <w:right w:val="nil"/>
            </w:tcBorders>
            <w:shd w:val="clear" w:color="auto" w:fill="auto"/>
            <w:noWrap/>
            <w:vAlign w:val="bottom"/>
            <w:hideMark/>
          </w:tcPr>
          <w:p w14:paraId="675A5D01"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AED21F"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BFB22D" w14:textId="77777777" w:rsidR="003F050F" w:rsidRDefault="003F050F" w:rsidP="005A3B4D">
            <w:pPr>
              <w:jc w:val="right"/>
              <w:rPr>
                <w:color w:val="000000"/>
                <w:sz w:val="20"/>
                <w:szCs w:val="20"/>
              </w:rPr>
            </w:pPr>
            <w:r>
              <w:rPr>
                <w:color w:val="000000"/>
                <w:sz w:val="20"/>
                <w:szCs w:val="20"/>
              </w:rPr>
              <w:t>0.995</w:t>
            </w:r>
          </w:p>
        </w:tc>
        <w:tc>
          <w:tcPr>
            <w:tcW w:w="768" w:type="dxa"/>
            <w:tcBorders>
              <w:top w:val="nil"/>
              <w:left w:val="nil"/>
              <w:bottom w:val="nil"/>
              <w:right w:val="nil"/>
            </w:tcBorders>
            <w:shd w:val="clear" w:color="auto" w:fill="auto"/>
            <w:noWrap/>
            <w:vAlign w:val="bottom"/>
            <w:hideMark/>
          </w:tcPr>
          <w:p w14:paraId="5E2323B0"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1D11C0"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73E9B10" w14:textId="77777777" w:rsidR="003F050F" w:rsidRDefault="003F050F" w:rsidP="005A3B4D">
            <w:pPr>
              <w:jc w:val="right"/>
              <w:rPr>
                <w:color w:val="000000"/>
                <w:sz w:val="20"/>
                <w:szCs w:val="20"/>
              </w:rPr>
            </w:pPr>
            <w:r>
              <w:rPr>
                <w:color w:val="000000"/>
                <w:sz w:val="20"/>
                <w:szCs w:val="20"/>
              </w:rPr>
              <w:t>0.860</w:t>
            </w:r>
          </w:p>
        </w:tc>
        <w:tc>
          <w:tcPr>
            <w:tcW w:w="768" w:type="dxa"/>
            <w:tcBorders>
              <w:top w:val="nil"/>
              <w:left w:val="nil"/>
              <w:bottom w:val="nil"/>
              <w:right w:val="nil"/>
            </w:tcBorders>
            <w:shd w:val="clear" w:color="auto" w:fill="auto"/>
            <w:noWrap/>
            <w:vAlign w:val="bottom"/>
            <w:hideMark/>
          </w:tcPr>
          <w:p w14:paraId="47CF8403"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0840B3"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AA71C84" w14:textId="77777777" w:rsidR="003F050F" w:rsidRDefault="003F050F" w:rsidP="005A3B4D">
            <w:pPr>
              <w:jc w:val="right"/>
              <w:rPr>
                <w:color w:val="000000"/>
                <w:sz w:val="20"/>
                <w:szCs w:val="20"/>
              </w:rPr>
            </w:pPr>
            <w:r>
              <w:rPr>
                <w:color w:val="000000"/>
                <w:sz w:val="20"/>
                <w:szCs w:val="20"/>
              </w:rPr>
              <w:t>0.937</w:t>
            </w:r>
          </w:p>
        </w:tc>
        <w:tc>
          <w:tcPr>
            <w:tcW w:w="768" w:type="dxa"/>
            <w:tcBorders>
              <w:top w:val="nil"/>
              <w:left w:val="nil"/>
              <w:bottom w:val="nil"/>
              <w:right w:val="nil"/>
            </w:tcBorders>
            <w:shd w:val="clear" w:color="auto" w:fill="auto"/>
            <w:noWrap/>
            <w:vAlign w:val="bottom"/>
            <w:hideMark/>
          </w:tcPr>
          <w:p w14:paraId="77FE0024"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585F95" w14:textId="77777777" w:rsidR="003F050F" w:rsidRDefault="003F050F" w:rsidP="005A3B4D">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757D6BB" w14:textId="77777777" w:rsidR="003F050F" w:rsidRDefault="003F050F" w:rsidP="005A3B4D">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2FD5AA96" w14:textId="77777777" w:rsidR="003F050F" w:rsidRDefault="003F050F" w:rsidP="005A3B4D">
            <w:pPr>
              <w:jc w:val="right"/>
              <w:rPr>
                <w:color w:val="000000"/>
                <w:sz w:val="20"/>
                <w:szCs w:val="20"/>
              </w:rPr>
            </w:pPr>
            <w:r>
              <w:rPr>
                <w:color w:val="000000"/>
                <w:sz w:val="20"/>
                <w:szCs w:val="20"/>
              </w:rPr>
              <w:t>0.000</w:t>
            </w:r>
          </w:p>
        </w:tc>
      </w:tr>
      <w:tr w:rsidR="003F050F" w14:paraId="0567F242" w14:textId="77777777" w:rsidTr="005A3B4D">
        <w:trPr>
          <w:trHeight w:val="320"/>
        </w:trPr>
        <w:tc>
          <w:tcPr>
            <w:tcW w:w="1176" w:type="dxa"/>
            <w:tcBorders>
              <w:top w:val="nil"/>
              <w:left w:val="nil"/>
              <w:bottom w:val="nil"/>
              <w:right w:val="nil"/>
            </w:tcBorders>
            <w:shd w:val="clear" w:color="auto" w:fill="auto"/>
            <w:noWrap/>
            <w:vAlign w:val="bottom"/>
            <w:hideMark/>
          </w:tcPr>
          <w:p w14:paraId="57CB56A3"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EC79324" w14:textId="77777777" w:rsidR="003F050F" w:rsidRDefault="003F050F" w:rsidP="005A3B4D">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964A372" w14:textId="77777777" w:rsidR="003F050F" w:rsidRDefault="003F050F" w:rsidP="005A3B4D">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4DF1E4F" w14:textId="77777777" w:rsidR="003F050F" w:rsidRDefault="003F050F" w:rsidP="005A3B4D">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5E9AAAFE"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E9EBA7F" w14:textId="77777777" w:rsidR="003F050F" w:rsidRDefault="003F050F" w:rsidP="005A3B4D">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A658D60" w14:textId="77777777" w:rsidR="003F050F" w:rsidRDefault="003F050F" w:rsidP="005A3B4D">
            <w:pPr>
              <w:jc w:val="right"/>
              <w:rPr>
                <w:color w:val="000000"/>
                <w:sz w:val="20"/>
                <w:szCs w:val="20"/>
              </w:rPr>
            </w:pPr>
            <w:r>
              <w:rPr>
                <w:color w:val="000000"/>
                <w:sz w:val="20"/>
                <w:szCs w:val="20"/>
              </w:rPr>
              <w:t>0.987</w:t>
            </w:r>
          </w:p>
        </w:tc>
        <w:tc>
          <w:tcPr>
            <w:tcW w:w="768" w:type="dxa"/>
            <w:tcBorders>
              <w:top w:val="nil"/>
              <w:left w:val="nil"/>
              <w:bottom w:val="nil"/>
              <w:right w:val="nil"/>
            </w:tcBorders>
            <w:shd w:val="clear" w:color="auto" w:fill="auto"/>
            <w:noWrap/>
            <w:vAlign w:val="bottom"/>
            <w:hideMark/>
          </w:tcPr>
          <w:p w14:paraId="04ED83CE"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E626D7" w14:textId="77777777" w:rsidR="003F050F" w:rsidRDefault="003F050F" w:rsidP="005A3B4D">
            <w:pPr>
              <w:jc w:val="right"/>
              <w:rPr>
                <w:b/>
                <w:bCs/>
                <w:color w:val="000000"/>
                <w:sz w:val="20"/>
                <w:szCs w:val="20"/>
              </w:rPr>
            </w:pPr>
            <w:r>
              <w:rPr>
                <w:b/>
                <w:bCs/>
                <w:color w:val="000000"/>
                <w:sz w:val="20"/>
                <w:szCs w:val="20"/>
              </w:rPr>
              <w:t>-0.090</w:t>
            </w:r>
          </w:p>
        </w:tc>
        <w:tc>
          <w:tcPr>
            <w:tcW w:w="768" w:type="dxa"/>
            <w:tcBorders>
              <w:top w:val="nil"/>
              <w:left w:val="nil"/>
              <w:bottom w:val="nil"/>
              <w:right w:val="nil"/>
            </w:tcBorders>
            <w:shd w:val="clear" w:color="auto" w:fill="auto"/>
            <w:noWrap/>
            <w:vAlign w:val="bottom"/>
            <w:hideMark/>
          </w:tcPr>
          <w:p w14:paraId="666CD800" w14:textId="77777777" w:rsidR="003F050F" w:rsidRDefault="003F050F" w:rsidP="005A3B4D">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78A7664B" w14:textId="77777777" w:rsidR="003F050F" w:rsidRDefault="003F050F" w:rsidP="005A3B4D">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490C3379" w14:textId="77777777" w:rsidR="003F050F" w:rsidRDefault="003F050F" w:rsidP="005A3B4D">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741F75E8" w14:textId="77777777" w:rsidR="003F050F" w:rsidRDefault="003F050F" w:rsidP="005A3B4D">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75FB3406"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107B600" w14:textId="77777777" w:rsidR="003F050F" w:rsidRDefault="003F050F" w:rsidP="005A3B4D">
            <w:pPr>
              <w:jc w:val="right"/>
              <w:rPr>
                <w:color w:val="000000"/>
                <w:sz w:val="20"/>
                <w:szCs w:val="20"/>
              </w:rPr>
            </w:pPr>
            <w:r>
              <w:rPr>
                <w:color w:val="000000"/>
                <w:sz w:val="20"/>
                <w:szCs w:val="20"/>
              </w:rPr>
              <w:t>-0.094</w:t>
            </w:r>
          </w:p>
        </w:tc>
        <w:tc>
          <w:tcPr>
            <w:tcW w:w="768" w:type="dxa"/>
            <w:tcBorders>
              <w:top w:val="nil"/>
              <w:left w:val="nil"/>
              <w:bottom w:val="nil"/>
              <w:right w:val="nil"/>
            </w:tcBorders>
            <w:shd w:val="clear" w:color="auto" w:fill="auto"/>
            <w:noWrap/>
            <w:vAlign w:val="bottom"/>
            <w:hideMark/>
          </w:tcPr>
          <w:p w14:paraId="5FDE0686" w14:textId="77777777" w:rsidR="003F050F" w:rsidRDefault="003F050F" w:rsidP="005A3B4D">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63AD2B6D" w14:textId="77777777" w:rsidR="003F050F" w:rsidRDefault="003F050F" w:rsidP="005A3B4D">
            <w:pPr>
              <w:jc w:val="right"/>
              <w:rPr>
                <w:color w:val="000000"/>
                <w:sz w:val="20"/>
                <w:szCs w:val="20"/>
              </w:rPr>
            </w:pPr>
            <w:r>
              <w:rPr>
                <w:color w:val="000000"/>
                <w:sz w:val="20"/>
                <w:szCs w:val="20"/>
              </w:rPr>
              <w:t>0.009</w:t>
            </w:r>
          </w:p>
        </w:tc>
      </w:tr>
      <w:tr w:rsidR="003F050F" w14:paraId="7563A9FC" w14:textId="77777777" w:rsidTr="005A3B4D">
        <w:trPr>
          <w:trHeight w:val="320"/>
        </w:trPr>
        <w:tc>
          <w:tcPr>
            <w:tcW w:w="1176" w:type="dxa"/>
            <w:tcBorders>
              <w:top w:val="nil"/>
              <w:left w:val="nil"/>
              <w:bottom w:val="nil"/>
              <w:right w:val="nil"/>
            </w:tcBorders>
            <w:shd w:val="clear" w:color="auto" w:fill="auto"/>
            <w:noWrap/>
            <w:vAlign w:val="bottom"/>
            <w:hideMark/>
          </w:tcPr>
          <w:p w14:paraId="7FC5728A" w14:textId="77777777" w:rsidR="003F050F" w:rsidRDefault="003F050F" w:rsidP="005A3B4D">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4C80A8C" w14:textId="77777777" w:rsidR="003F050F" w:rsidRDefault="003F050F" w:rsidP="005A3B4D">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194984CA" w14:textId="77777777" w:rsidR="003F050F" w:rsidRDefault="003F050F" w:rsidP="005A3B4D">
            <w:pPr>
              <w:jc w:val="right"/>
              <w:rPr>
                <w:color w:val="000000"/>
                <w:sz w:val="20"/>
                <w:szCs w:val="20"/>
              </w:rPr>
            </w:pPr>
            <w:r>
              <w:rPr>
                <w:color w:val="000000"/>
                <w:sz w:val="20"/>
                <w:szCs w:val="20"/>
              </w:rPr>
              <w:t>0.073</w:t>
            </w:r>
          </w:p>
        </w:tc>
        <w:tc>
          <w:tcPr>
            <w:tcW w:w="768" w:type="dxa"/>
            <w:tcBorders>
              <w:top w:val="nil"/>
              <w:left w:val="nil"/>
              <w:bottom w:val="nil"/>
              <w:right w:val="nil"/>
            </w:tcBorders>
            <w:shd w:val="clear" w:color="auto" w:fill="auto"/>
            <w:noWrap/>
            <w:vAlign w:val="bottom"/>
            <w:hideMark/>
          </w:tcPr>
          <w:p w14:paraId="3477EA63" w14:textId="77777777" w:rsidR="003F050F" w:rsidRDefault="003F050F" w:rsidP="005A3B4D">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7767A9DC"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EEC4B37" w14:textId="77777777" w:rsidR="003F050F" w:rsidRDefault="003F050F" w:rsidP="005A3B4D">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2A0E6535" w14:textId="77777777" w:rsidR="003F050F" w:rsidRDefault="003F050F" w:rsidP="005A3B4D">
            <w:pPr>
              <w:jc w:val="right"/>
              <w:rPr>
                <w:color w:val="000000"/>
                <w:sz w:val="20"/>
                <w:szCs w:val="20"/>
              </w:rPr>
            </w:pPr>
            <w:r>
              <w:rPr>
                <w:color w:val="000000"/>
                <w:sz w:val="20"/>
                <w:szCs w:val="20"/>
              </w:rPr>
              <w:t>0.264</w:t>
            </w:r>
          </w:p>
        </w:tc>
        <w:tc>
          <w:tcPr>
            <w:tcW w:w="768" w:type="dxa"/>
            <w:tcBorders>
              <w:top w:val="nil"/>
              <w:left w:val="nil"/>
              <w:bottom w:val="nil"/>
              <w:right w:val="nil"/>
            </w:tcBorders>
            <w:shd w:val="clear" w:color="auto" w:fill="auto"/>
            <w:noWrap/>
            <w:vAlign w:val="bottom"/>
            <w:hideMark/>
          </w:tcPr>
          <w:p w14:paraId="054D6F22"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6AD2CC5" w14:textId="77777777" w:rsidR="003F050F" w:rsidRDefault="003F050F" w:rsidP="005A3B4D">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C9B24A2" w14:textId="77777777" w:rsidR="003F050F" w:rsidRDefault="003F050F" w:rsidP="005A3B4D">
            <w:pPr>
              <w:jc w:val="right"/>
              <w:rPr>
                <w:color w:val="000000"/>
                <w:sz w:val="20"/>
                <w:szCs w:val="20"/>
              </w:rPr>
            </w:pPr>
            <w:r>
              <w:rPr>
                <w:color w:val="000000"/>
                <w:sz w:val="20"/>
                <w:szCs w:val="20"/>
              </w:rPr>
              <w:t>0.530</w:t>
            </w:r>
          </w:p>
        </w:tc>
        <w:tc>
          <w:tcPr>
            <w:tcW w:w="768" w:type="dxa"/>
            <w:tcBorders>
              <w:top w:val="nil"/>
              <w:left w:val="nil"/>
              <w:bottom w:val="nil"/>
              <w:right w:val="nil"/>
            </w:tcBorders>
            <w:shd w:val="clear" w:color="auto" w:fill="auto"/>
            <w:noWrap/>
            <w:vAlign w:val="bottom"/>
            <w:hideMark/>
          </w:tcPr>
          <w:p w14:paraId="26D934FE"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5D2BB74" w14:textId="77777777" w:rsidR="003F050F" w:rsidRDefault="003F050F" w:rsidP="005A3B4D">
            <w:pPr>
              <w:jc w:val="right"/>
              <w:rPr>
                <w:color w:val="000000"/>
                <w:sz w:val="20"/>
                <w:szCs w:val="20"/>
              </w:rPr>
            </w:pPr>
            <w:r>
              <w:rPr>
                <w:color w:val="000000"/>
                <w:sz w:val="20"/>
                <w:szCs w:val="20"/>
              </w:rPr>
              <w:t>0.050</w:t>
            </w:r>
          </w:p>
        </w:tc>
        <w:tc>
          <w:tcPr>
            <w:tcW w:w="768" w:type="dxa"/>
            <w:tcBorders>
              <w:top w:val="nil"/>
              <w:left w:val="nil"/>
              <w:bottom w:val="nil"/>
              <w:right w:val="nil"/>
            </w:tcBorders>
            <w:shd w:val="clear" w:color="auto" w:fill="auto"/>
            <w:noWrap/>
            <w:vAlign w:val="bottom"/>
            <w:hideMark/>
          </w:tcPr>
          <w:p w14:paraId="306E4069" w14:textId="77777777" w:rsidR="003F050F" w:rsidRDefault="003F050F" w:rsidP="005A3B4D">
            <w:pPr>
              <w:jc w:val="right"/>
              <w:rPr>
                <w:color w:val="000000"/>
                <w:sz w:val="20"/>
                <w:szCs w:val="20"/>
              </w:rPr>
            </w:pPr>
            <w:r>
              <w:rPr>
                <w:color w:val="000000"/>
                <w:sz w:val="20"/>
                <w:szCs w:val="20"/>
              </w:rPr>
              <w:t>0.371</w:t>
            </w:r>
          </w:p>
        </w:tc>
        <w:tc>
          <w:tcPr>
            <w:tcW w:w="768" w:type="dxa"/>
            <w:tcBorders>
              <w:top w:val="nil"/>
              <w:left w:val="nil"/>
              <w:bottom w:val="nil"/>
              <w:right w:val="nil"/>
            </w:tcBorders>
            <w:shd w:val="clear" w:color="auto" w:fill="auto"/>
            <w:noWrap/>
            <w:vAlign w:val="bottom"/>
            <w:hideMark/>
          </w:tcPr>
          <w:p w14:paraId="10A9CBF2" w14:textId="77777777" w:rsidR="003F050F" w:rsidRDefault="003F050F" w:rsidP="005A3B4D">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D01C78C" w14:textId="77777777" w:rsidR="003F050F" w:rsidRDefault="003F050F" w:rsidP="005A3B4D">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8512E63" w14:textId="77777777" w:rsidR="003F050F" w:rsidRDefault="003F050F" w:rsidP="005A3B4D">
            <w:pPr>
              <w:jc w:val="right"/>
              <w:rPr>
                <w:color w:val="000000"/>
                <w:sz w:val="20"/>
                <w:szCs w:val="20"/>
              </w:rPr>
            </w:pPr>
            <w:r>
              <w:rPr>
                <w:color w:val="000000"/>
                <w:sz w:val="20"/>
                <w:szCs w:val="20"/>
              </w:rPr>
              <w:t>0.879</w:t>
            </w:r>
          </w:p>
        </w:tc>
        <w:tc>
          <w:tcPr>
            <w:tcW w:w="768" w:type="dxa"/>
            <w:tcBorders>
              <w:top w:val="nil"/>
              <w:left w:val="nil"/>
              <w:bottom w:val="nil"/>
              <w:right w:val="nil"/>
            </w:tcBorders>
            <w:shd w:val="clear" w:color="auto" w:fill="auto"/>
            <w:noWrap/>
            <w:vAlign w:val="bottom"/>
            <w:hideMark/>
          </w:tcPr>
          <w:p w14:paraId="4D6D4E5A" w14:textId="77777777" w:rsidR="003F050F" w:rsidRDefault="003F050F" w:rsidP="005A3B4D">
            <w:pPr>
              <w:jc w:val="right"/>
              <w:rPr>
                <w:color w:val="000000"/>
                <w:sz w:val="20"/>
                <w:szCs w:val="20"/>
              </w:rPr>
            </w:pPr>
            <w:r>
              <w:rPr>
                <w:color w:val="000000"/>
                <w:sz w:val="20"/>
                <w:szCs w:val="20"/>
              </w:rPr>
              <w:t>0.000</w:t>
            </w:r>
          </w:p>
        </w:tc>
      </w:tr>
      <w:tr w:rsidR="003F050F" w14:paraId="072F7FAA" w14:textId="77777777" w:rsidTr="005A3B4D">
        <w:trPr>
          <w:trHeight w:val="340"/>
        </w:trPr>
        <w:tc>
          <w:tcPr>
            <w:tcW w:w="1176" w:type="dxa"/>
            <w:tcBorders>
              <w:top w:val="nil"/>
              <w:left w:val="nil"/>
              <w:bottom w:val="single" w:sz="12" w:space="0" w:color="auto"/>
              <w:right w:val="nil"/>
            </w:tcBorders>
            <w:shd w:val="clear" w:color="auto" w:fill="auto"/>
            <w:noWrap/>
            <w:vAlign w:val="bottom"/>
            <w:hideMark/>
          </w:tcPr>
          <w:p w14:paraId="0B7D19D8" w14:textId="77777777" w:rsidR="003F050F" w:rsidRDefault="003F050F" w:rsidP="005A3B4D">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59551928" w14:textId="77777777" w:rsidR="003F050F" w:rsidRDefault="003F050F" w:rsidP="005A3B4D">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30B2FB62" w14:textId="77777777" w:rsidR="003F050F" w:rsidRDefault="003F050F" w:rsidP="005A3B4D">
            <w:pPr>
              <w:jc w:val="right"/>
              <w:rPr>
                <w:color w:val="000000"/>
                <w:sz w:val="20"/>
                <w:szCs w:val="20"/>
              </w:rPr>
            </w:pPr>
            <w:r>
              <w:rPr>
                <w:color w:val="000000"/>
                <w:sz w:val="20"/>
                <w:szCs w:val="20"/>
              </w:rPr>
              <w:t>0.026</w:t>
            </w:r>
          </w:p>
        </w:tc>
        <w:tc>
          <w:tcPr>
            <w:tcW w:w="768" w:type="dxa"/>
            <w:tcBorders>
              <w:top w:val="nil"/>
              <w:left w:val="nil"/>
              <w:bottom w:val="single" w:sz="12" w:space="0" w:color="auto"/>
              <w:right w:val="nil"/>
            </w:tcBorders>
            <w:shd w:val="clear" w:color="auto" w:fill="auto"/>
            <w:noWrap/>
            <w:vAlign w:val="bottom"/>
            <w:hideMark/>
          </w:tcPr>
          <w:p w14:paraId="5D62AF00" w14:textId="77777777" w:rsidR="003F050F" w:rsidRDefault="003F050F" w:rsidP="005A3B4D">
            <w:pPr>
              <w:jc w:val="right"/>
              <w:rPr>
                <w:color w:val="000000"/>
                <w:sz w:val="20"/>
                <w:szCs w:val="20"/>
              </w:rPr>
            </w:pPr>
            <w:r>
              <w:rPr>
                <w:color w:val="000000"/>
                <w:sz w:val="20"/>
                <w:szCs w:val="20"/>
              </w:rPr>
              <w:t>0.573</w:t>
            </w:r>
          </w:p>
        </w:tc>
        <w:tc>
          <w:tcPr>
            <w:tcW w:w="768" w:type="dxa"/>
            <w:tcBorders>
              <w:top w:val="nil"/>
              <w:left w:val="nil"/>
              <w:bottom w:val="single" w:sz="12" w:space="0" w:color="auto"/>
              <w:right w:val="nil"/>
            </w:tcBorders>
            <w:shd w:val="clear" w:color="auto" w:fill="auto"/>
            <w:noWrap/>
            <w:vAlign w:val="bottom"/>
            <w:hideMark/>
          </w:tcPr>
          <w:p w14:paraId="2DE06905" w14:textId="77777777" w:rsidR="003F050F" w:rsidRDefault="003F050F" w:rsidP="005A3B4D">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1529AC60" w14:textId="77777777" w:rsidR="003F050F" w:rsidRDefault="003F050F" w:rsidP="005A3B4D">
            <w:pPr>
              <w:jc w:val="right"/>
              <w:rPr>
                <w:color w:val="000000"/>
                <w:sz w:val="20"/>
                <w:szCs w:val="20"/>
              </w:rPr>
            </w:pPr>
            <w:r>
              <w:rPr>
                <w:color w:val="000000"/>
                <w:sz w:val="20"/>
                <w:szCs w:val="20"/>
              </w:rPr>
              <w:t>0.012</w:t>
            </w:r>
          </w:p>
        </w:tc>
        <w:tc>
          <w:tcPr>
            <w:tcW w:w="768" w:type="dxa"/>
            <w:tcBorders>
              <w:top w:val="nil"/>
              <w:left w:val="nil"/>
              <w:bottom w:val="single" w:sz="12" w:space="0" w:color="auto"/>
              <w:right w:val="nil"/>
            </w:tcBorders>
            <w:shd w:val="clear" w:color="auto" w:fill="auto"/>
            <w:noWrap/>
            <w:vAlign w:val="bottom"/>
            <w:hideMark/>
          </w:tcPr>
          <w:p w14:paraId="7AC6A441" w14:textId="77777777" w:rsidR="003F050F" w:rsidRDefault="003F050F" w:rsidP="005A3B4D">
            <w:pPr>
              <w:jc w:val="right"/>
              <w:rPr>
                <w:color w:val="000000"/>
                <w:sz w:val="20"/>
                <w:szCs w:val="20"/>
              </w:rPr>
            </w:pPr>
            <w:r>
              <w:rPr>
                <w:color w:val="000000"/>
                <w:sz w:val="20"/>
                <w:szCs w:val="20"/>
              </w:rPr>
              <w:t>0.907</w:t>
            </w:r>
          </w:p>
        </w:tc>
        <w:tc>
          <w:tcPr>
            <w:tcW w:w="768" w:type="dxa"/>
            <w:tcBorders>
              <w:top w:val="nil"/>
              <w:left w:val="nil"/>
              <w:bottom w:val="single" w:sz="12" w:space="0" w:color="auto"/>
              <w:right w:val="nil"/>
            </w:tcBorders>
            <w:shd w:val="clear" w:color="auto" w:fill="auto"/>
            <w:noWrap/>
            <w:vAlign w:val="bottom"/>
            <w:hideMark/>
          </w:tcPr>
          <w:p w14:paraId="31985976"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3CACC37B" w14:textId="77777777" w:rsidR="003F050F" w:rsidRDefault="003F050F" w:rsidP="005A3B4D">
            <w:pPr>
              <w:jc w:val="right"/>
              <w:rPr>
                <w:color w:val="000000"/>
                <w:sz w:val="20"/>
                <w:szCs w:val="20"/>
              </w:rPr>
            </w:pPr>
            <w:r>
              <w:rPr>
                <w:color w:val="000000"/>
                <w:sz w:val="20"/>
                <w:szCs w:val="20"/>
              </w:rPr>
              <w:t>-0.049</w:t>
            </w:r>
          </w:p>
        </w:tc>
        <w:tc>
          <w:tcPr>
            <w:tcW w:w="768" w:type="dxa"/>
            <w:tcBorders>
              <w:top w:val="nil"/>
              <w:left w:val="nil"/>
              <w:bottom w:val="single" w:sz="12" w:space="0" w:color="auto"/>
              <w:right w:val="nil"/>
            </w:tcBorders>
            <w:shd w:val="clear" w:color="auto" w:fill="auto"/>
            <w:noWrap/>
            <w:vAlign w:val="bottom"/>
            <w:hideMark/>
          </w:tcPr>
          <w:p w14:paraId="4AD427B1" w14:textId="77777777" w:rsidR="003F050F" w:rsidRDefault="003F050F" w:rsidP="005A3B4D">
            <w:pPr>
              <w:jc w:val="right"/>
              <w:rPr>
                <w:color w:val="000000"/>
                <w:sz w:val="20"/>
                <w:szCs w:val="20"/>
              </w:rPr>
            </w:pPr>
            <w:r>
              <w:rPr>
                <w:color w:val="000000"/>
                <w:sz w:val="20"/>
                <w:szCs w:val="20"/>
              </w:rPr>
              <w:t>0.240</w:t>
            </w:r>
          </w:p>
        </w:tc>
        <w:tc>
          <w:tcPr>
            <w:tcW w:w="768" w:type="dxa"/>
            <w:tcBorders>
              <w:top w:val="nil"/>
              <w:left w:val="nil"/>
              <w:bottom w:val="single" w:sz="12" w:space="0" w:color="auto"/>
              <w:right w:val="nil"/>
            </w:tcBorders>
            <w:shd w:val="clear" w:color="auto" w:fill="auto"/>
            <w:noWrap/>
            <w:vAlign w:val="bottom"/>
            <w:hideMark/>
          </w:tcPr>
          <w:p w14:paraId="48037B41" w14:textId="77777777" w:rsidR="003F050F" w:rsidRDefault="003F050F" w:rsidP="005A3B4D">
            <w:pPr>
              <w:jc w:val="right"/>
              <w:rPr>
                <w:color w:val="000000"/>
                <w:sz w:val="20"/>
                <w:szCs w:val="20"/>
              </w:rPr>
            </w:pPr>
            <w:r>
              <w:rPr>
                <w:color w:val="000000"/>
                <w:sz w:val="20"/>
                <w:szCs w:val="20"/>
              </w:rPr>
              <w:t>0.002</w:t>
            </w:r>
          </w:p>
        </w:tc>
        <w:tc>
          <w:tcPr>
            <w:tcW w:w="768" w:type="dxa"/>
            <w:tcBorders>
              <w:top w:val="nil"/>
              <w:left w:val="nil"/>
              <w:bottom w:val="single" w:sz="12" w:space="0" w:color="auto"/>
              <w:right w:val="nil"/>
            </w:tcBorders>
            <w:shd w:val="clear" w:color="auto" w:fill="auto"/>
            <w:noWrap/>
            <w:vAlign w:val="bottom"/>
            <w:hideMark/>
          </w:tcPr>
          <w:p w14:paraId="489C512B" w14:textId="77777777" w:rsidR="003F050F" w:rsidRDefault="003F050F" w:rsidP="005A3B4D">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2FE2AF52" w14:textId="77777777" w:rsidR="003F050F" w:rsidRDefault="003F050F" w:rsidP="005A3B4D">
            <w:pPr>
              <w:jc w:val="right"/>
              <w:rPr>
                <w:color w:val="000000"/>
                <w:sz w:val="20"/>
                <w:szCs w:val="20"/>
              </w:rPr>
            </w:pPr>
            <w:r>
              <w:rPr>
                <w:color w:val="000000"/>
                <w:sz w:val="20"/>
                <w:szCs w:val="20"/>
              </w:rPr>
              <w:t>0.878</w:t>
            </w:r>
          </w:p>
        </w:tc>
        <w:tc>
          <w:tcPr>
            <w:tcW w:w="768" w:type="dxa"/>
            <w:tcBorders>
              <w:top w:val="nil"/>
              <w:left w:val="nil"/>
              <w:bottom w:val="single" w:sz="12" w:space="0" w:color="auto"/>
              <w:right w:val="nil"/>
            </w:tcBorders>
            <w:shd w:val="clear" w:color="auto" w:fill="auto"/>
            <w:noWrap/>
            <w:vAlign w:val="bottom"/>
            <w:hideMark/>
          </w:tcPr>
          <w:p w14:paraId="266CA852" w14:textId="77777777" w:rsidR="003F050F" w:rsidRDefault="003F050F" w:rsidP="005A3B4D">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318208DD" w14:textId="77777777" w:rsidR="003F050F" w:rsidRDefault="003F050F" w:rsidP="005A3B4D">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649ACD2A" w14:textId="77777777" w:rsidR="003F050F" w:rsidRDefault="003F050F" w:rsidP="005A3B4D">
            <w:pPr>
              <w:jc w:val="right"/>
              <w:rPr>
                <w:color w:val="000000"/>
                <w:sz w:val="20"/>
                <w:szCs w:val="20"/>
              </w:rPr>
            </w:pPr>
            <w:r>
              <w:rPr>
                <w:color w:val="000000"/>
                <w:sz w:val="20"/>
                <w:szCs w:val="20"/>
              </w:rPr>
              <w:t>0.879</w:t>
            </w:r>
          </w:p>
        </w:tc>
        <w:tc>
          <w:tcPr>
            <w:tcW w:w="768" w:type="dxa"/>
            <w:tcBorders>
              <w:top w:val="nil"/>
              <w:left w:val="nil"/>
              <w:bottom w:val="single" w:sz="12" w:space="0" w:color="auto"/>
              <w:right w:val="nil"/>
            </w:tcBorders>
            <w:shd w:val="clear" w:color="auto" w:fill="auto"/>
            <w:noWrap/>
            <w:vAlign w:val="bottom"/>
            <w:hideMark/>
          </w:tcPr>
          <w:p w14:paraId="21BDBE05" w14:textId="77777777" w:rsidR="003F050F" w:rsidRDefault="003F050F" w:rsidP="005A3B4D">
            <w:pPr>
              <w:jc w:val="right"/>
              <w:rPr>
                <w:color w:val="000000"/>
                <w:sz w:val="20"/>
                <w:szCs w:val="20"/>
              </w:rPr>
            </w:pPr>
            <w:r>
              <w:rPr>
                <w:color w:val="000000"/>
                <w:sz w:val="20"/>
                <w:szCs w:val="20"/>
              </w:rPr>
              <w:t>0.000</w:t>
            </w:r>
          </w:p>
        </w:tc>
      </w:tr>
      <w:tr w:rsidR="003F050F" w14:paraId="5E436FC3" w14:textId="77777777" w:rsidTr="005A3B4D">
        <w:trPr>
          <w:trHeight w:val="320"/>
        </w:trPr>
        <w:tc>
          <w:tcPr>
            <w:tcW w:w="1176" w:type="dxa"/>
            <w:tcBorders>
              <w:top w:val="single" w:sz="12" w:space="0" w:color="auto"/>
              <w:left w:val="nil"/>
              <w:bottom w:val="nil"/>
              <w:right w:val="nil"/>
            </w:tcBorders>
            <w:shd w:val="clear" w:color="auto" w:fill="auto"/>
            <w:noWrap/>
            <w:vAlign w:val="bottom"/>
            <w:hideMark/>
          </w:tcPr>
          <w:p w14:paraId="444158ED" w14:textId="77777777" w:rsidR="003F050F" w:rsidRDefault="003F050F" w:rsidP="005A3B4D">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19FD5078" w14:textId="77777777" w:rsidR="003F050F" w:rsidRDefault="003F050F" w:rsidP="005A3B4D">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2604D34D"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22B044C"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7508A7C"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7DD9DB4"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BF7B006"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828A168"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9C4FAB5"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4D2C920"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57A7C29"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6F9F8D3"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ECB9EE1"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49AEA9E"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62770D0"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21FA4FD" w14:textId="77777777" w:rsidR="003F050F" w:rsidRDefault="003F050F" w:rsidP="005A3B4D">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3097E6A" w14:textId="77777777" w:rsidR="003F050F" w:rsidRDefault="003F050F" w:rsidP="005A3B4D">
            <w:pPr>
              <w:rPr>
                <w:sz w:val="20"/>
                <w:szCs w:val="20"/>
              </w:rPr>
            </w:pPr>
          </w:p>
        </w:tc>
      </w:tr>
    </w:tbl>
    <w:p w14:paraId="5C238213" w14:textId="77777777" w:rsidR="003F050F" w:rsidRDefault="003F050F" w:rsidP="003F050F">
      <w:pPr>
        <w:rPr>
          <w:rFonts w:eastAsiaTheme="majorEastAsia"/>
          <w:color w:val="000000" w:themeColor="text1"/>
        </w:rPr>
      </w:pPr>
      <w:r>
        <w:rPr>
          <w:color w:val="000000" w:themeColor="text1"/>
        </w:rPr>
        <w:br w:type="page"/>
      </w:r>
    </w:p>
    <w:p w14:paraId="7A689DFF" w14:textId="0B00EE89" w:rsidR="004F7215" w:rsidRDefault="00432B71" w:rsidP="003B7E29">
      <w:pPr>
        <w:pStyle w:val="Heading1"/>
        <w:rPr>
          <w:rFonts w:ascii="Times New Roman" w:hAnsi="Times New Roman" w:cs="Times New Roman"/>
          <w:color w:val="000000" w:themeColor="text1"/>
          <w:sz w:val="24"/>
          <w:szCs w:val="24"/>
        </w:rPr>
      </w:pPr>
      <w:bookmarkStart w:id="62" w:name="_Toc155817729"/>
      <w:r>
        <w:rPr>
          <w:rFonts w:ascii="Times New Roman" w:hAnsi="Times New Roman" w:cs="Times New Roman"/>
          <w:b/>
          <w:bCs/>
          <w:color w:val="000000" w:themeColor="text1"/>
          <w:sz w:val="24"/>
          <w:szCs w:val="24"/>
        </w:rPr>
        <w:lastRenderedPageBreak/>
        <w:t xml:space="preserve">Table </w:t>
      </w:r>
      <w:r w:rsidR="003B7E29">
        <w:rPr>
          <w:rFonts w:ascii="Times New Roman" w:hAnsi="Times New Roman" w:cs="Times New Roman"/>
          <w:b/>
          <w:bCs/>
          <w:color w:val="000000" w:themeColor="text1"/>
          <w:sz w:val="24"/>
          <w:szCs w:val="24"/>
        </w:rPr>
        <w:t>2</w:t>
      </w:r>
      <w:r w:rsidR="003F050F">
        <w:rPr>
          <w:rFonts w:ascii="Times New Roman" w:hAnsi="Times New Roman" w:cs="Times New Roman"/>
          <w:b/>
          <w:bCs/>
          <w:color w:val="000000" w:themeColor="text1"/>
          <w:sz w:val="24"/>
          <w:szCs w:val="24"/>
        </w:rPr>
        <w:t>6</w:t>
      </w:r>
      <w:r w:rsidR="003B7E29">
        <w:rPr>
          <w:rFonts w:ascii="Times New Roman" w:hAnsi="Times New Roman" w:cs="Times New Roman"/>
          <w:b/>
          <w:bCs/>
          <w:color w:val="000000" w:themeColor="text1"/>
          <w:sz w:val="24"/>
          <w:szCs w:val="24"/>
        </w:rPr>
        <w:t>a</w:t>
      </w:r>
      <w:r w:rsidR="003B7E29" w:rsidRPr="009E2A20">
        <w:rPr>
          <w:rFonts w:ascii="Times New Roman" w:hAnsi="Times New Roman" w:cs="Times New Roman"/>
          <w:b/>
          <w:bCs/>
          <w:color w:val="000000" w:themeColor="text1"/>
          <w:sz w:val="24"/>
          <w:szCs w:val="24"/>
        </w:rPr>
        <w:t xml:space="preserve">. </w:t>
      </w:r>
      <w:r w:rsidR="003B7E29" w:rsidRPr="009E2A20">
        <w:rPr>
          <w:rFonts w:ascii="Times New Roman" w:hAnsi="Times New Roman" w:cs="Times New Roman"/>
          <w:color w:val="000000" w:themeColor="text1"/>
          <w:sz w:val="24"/>
          <w:szCs w:val="24"/>
        </w:rPr>
        <w:t xml:space="preserve">Results examining the relationship between environmental stress factors obtained from bifactor modeling and Shen-268 network </w:t>
      </w:r>
      <w:r w:rsidR="003B7E29">
        <w:rPr>
          <w:rFonts w:ascii="Times New Roman" w:hAnsi="Times New Roman" w:cs="Times New Roman"/>
          <w:color w:val="000000" w:themeColor="text1"/>
          <w:sz w:val="24"/>
          <w:szCs w:val="24"/>
        </w:rPr>
        <w:t xml:space="preserve">diameter </w:t>
      </w:r>
      <w:r w:rsidR="003B7E29" w:rsidRPr="009E2A20">
        <w:rPr>
          <w:rFonts w:ascii="Times New Roman" w:hAnsi="Times New Roman" w:cs="Times New Roman"/>
          <w:color w:val="000000" w:themeColor="text1"/>
          <w:sz w:val="24"/>
          <w:szCs w:val="24"/>
        </w:rPr>
        <w:t xml:space="preserve">during </w:t>
      </w:r>
      <w:r w:rsidR="003B7E29">
        <w:rPr>
          <w:rFonts w:ascii="Times New Roman" w:hAnsi="Times New Roman" w:cs="Times New Roman"/>
          <w:color w:val="000000" w:themeColor="text1"/>
          <w:sz w:val="24"/>
          <w:szCs w:val="24"/>
        </w:rPr>
        <w:t>stop signal task controlling for medication</w:t>
      </w:r>
      <w:bookmarkEnd w:id="62"/>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510396" w14:paraId="1AE52DE1"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7CE16A6C" w14:textId="77777777" w:rsidR="00510396" w:rsidRDefault="00510396">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6EBCAD3D" w14:textId="77777777" w:rsidR="00510396" w:rsidRDefault="00510396">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574EEEAD" w14:textId="77777777" w:rsidR="00510396" w:rsidRDefault="00510396">
            <w:pPr>
              <w:rPr>
                <w:color w:val="000000"/>
              </w:rPr>
            </w:pPr>
          </w:p>
        </w:tc>
        <w:tc>
          <w:tcPr>
            <w:tcW w:w="768" w:type="dxa"/>
            <w:tcBorders>
              <w:top w:val="nil"/>
              <w:left w:val="nil"/>
              <w:bottom w:val="single" w:sz="12" w:space="0" w:color="auto"/>
              <w:right w:val="nil"/>
            </w:tcBorders>
            <w:shd w:val="clear" w:color="auto" w:fill="auto"/>
            <w:noWrap/>
            <w:vAlign w:val="bottom"/>
            <w:hideMark/>
          </w:tcPr>
          <w:p w14:paraId="0A2743E2"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F63F132"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828D890"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208FE81"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E186DD0"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2A397AF6"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A2F0442"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8C35075"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77F29BB3"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14C2454"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11A7F8F"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09C7103" w14:textId="77777777" w:rsidR="00510396" w:rsidRDefault="00510396">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CA82E53" w14:textId="77777777" w:rsidR="00510396" w:rsidRDefault="00510396">
            <w:pPr>
              <w:rPr>
                <w:sz w:val="20"/>
                <w:szCs w:val="20"/>
              </w:rPr>
            </w:pPr>
          </w:p>
        </w:tc>
        <w:tc>
          <w:tcPr>
            <w:tcW w:w="768" w:type="dxa"/>
            <w:tcBorders>
              <w:top w:val="nil"/>
              <w:left w:val="nil"/>
              <w:bottom w:val="nil"/>
              <w:right w:val="nil"/>
            </w:tcBorders>
            <w:shd w:val="clear" w:color="auto" w:fill="auto"/>
            <w:noWrap/>
            <w:vAlign w:val="bottom"/>
            <w:hideMark/>
          </w:tcPr>
          <w:p w14:paraId="2B05DC67" w14:textId="77777777" w:rsidR="00510396" w:rsidRDefault="00510396">
            <w:pPr>
              <w:rPr>
                <w:sz w:val="20"/>
                <w:szCs w:val="20"/>
              </w:rPr>
            </w:pPr>
          </w:p>
        </w:tc>
      </w:tr>
      <w:tr w:rsidR="00510396" w14:paraId="0387A94E" w14:textId="77777777" w:rsidTr="00EE0A4C">
        <w:trPr>
          <w:trHeight w:val="340"/>
        </w:trPr>
        <w:tc>
          <w:tcPr>
            <w:tcW w:w="1176" w:type="dxa"/>
            <w:tcBorders>
              <w:top w:val="single" w:sz="12" w:space="0" w:color="auto"/>
              <w:left w:val="nil"/>
              <w:bottom w:val="nil"/>
              <w:right w:val="nil"/>
            </w:tcBorders>
            <w:shd w:val="clear" w:color="auto" w:fill="auto"/>
            <w:noWrap/>
            <w:vAlign w:val="bottom"/>
            <w:hideMark/>
          </w:tcPr>
          <w:p w14:paraId="651DD363" w14:textId="77777777" w:rsidR="00510396" w:rsidRDefault="00510396">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44435977" w14:textId="77777777" w:rsidR="00510396" w:rsidRDefault="00510396">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66CBF9F4" w14:textId="77777777" w:rsidR="00510396" w:rsidRDefault="00510396">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A40E9AC" w14:textId="77777777" w:rsidR="00510396" w:rsidRDefault="00510396">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675131C4" w14:textId="77777777" w:rsidR="00510396" w:rsidRDefault="00510396">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30EF1494" w14:textId="77777777" w:rsidR="00510396" w:rsidRDefault="00510396">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EF54C94" w14:textId="77777777" w:rsidR="00510396" w:rsidRDefault="00510396">
            <w:pPr>
              <w:jc w:val="center"/>
              <w:rPr>
                <w:color w:val="000000"/>
                <w:sz w:val="20"/>
                <w:szCs w:val="20"/>
              </w:rPr>
            </w:pPr>
            <w:r>
              <w:rPr>
                <w:color w:val="000000"/>
                <w:sz w:val="20"/>
                <w:szCs w:val="20"/>
              </w:rPr>
              <w:t>Urbanicity</w:t>
            </w:r>
          </w:p>
        </w:tc>
      </w:tr>
      <w:tr w:rsidR="00510396" w14:paraId="38F37CB6" w14:textId="77777777" w:rsidTr="00EE0A4C">
        <w:trPr>
          <w:trHeight w:val="360"/>
        </w:trPr>
        <w:tc>
          <w:tcPr>
            <w:tcW w:w="1176" w:type="dxa"/>
            <w:tcBorders>
              <w:top w:val="nil"/>
              <w:left w:val="nil"/>
              <w:bottom w:val="single" w:sz="12" w:space="0" w:color="auto"/>
              <w:right w:val="nil"/>
            </w:tcBorders>
            <w:shd w:val="clear" w:color="auto" w:fill="auto"/>
            <w:noWrap/>
            <w:vAlign w:val="bottom"/>
            <w:hideMark/>
          </w:tcPr>
          <w:p w14:paraId="0676B928" w14:textId="77777777" w:rsidR="00510396" w:rsidRDefault="00510396">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13A9E044" w14:textId="77777777" w:rsidR="00510396" w:rsidRDefault="00510396">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770D5509" w14:textId="77777777" w:rsidR="00510396" w:rsidRDefault="00510396" w:rsidP="00EE0A4C">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5842D49" w14:textId="77777777" w:rsidR="00510396" w:rsidRDefault="00510396" w:rsidP="00EE0A4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4ACA1C77" w14:textId="77777777" w:rsidR="00510396" w:rsidRDefault="00510396" w:rsidP="00EE0A4C">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46B2DDFE" w14:textId="77777777" w:rsidR="00510396" w:rsidRDefault="00510396" w:rsidP="00EE0A4C">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6FB2E2B" w14:textId="77777777" w:rsidR="00510396" w:rsidRDefault="00510396" w:rsidP="00EE0A4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7D26F9BD" w14:textId="77777777" w:rsidR="00510396" w:rsidRDefault="00510396" w:rsidP="00EE0A4C">
            <w:pPr>
              <w:jc w:val="center"/>
              <w:rPr>
                <w:i/>
                <w:iCs/>
                <w:color w:val="000000"/>
                <w:sz w:val="20"/>
                <w:szCs w:val="20"/>
              </w:rPr>
            </w:pPr>
            <w:r>
              <w:rPr>
                <w:i/>
                <w:iCs/>
                <w:color w:val="000000"/>
                <w:sz w:val="20"/>
                <w:szCs w:val="20"/>
              </w:rPr>
              <w:t>R2</w:t>
            </w:r>
          </w:p>
        </w:tc>
        <w:tc>
          <w:tcPr>
            <w:tcW w:w="768" w:type="dxa"/>
            <w:tcBorders>
              <w:top w:val="nil"/>
              <w:left w:val="nil"/>
              <w:bottom w:val="single" w:sz="12" w:space="0" w:color="auto"/>
              <w:right w:val="nil"/>
            </w:tcBorders>
            <w:shd w:val="clear" w:color="auto" w:fill="auto"/>
            <w:noWrap/>
            <w:vAlign w:val="center"/>
            <w:hideMark/>
          </w:tcPr>
          <w:p w14:paraId="5B47CADC" w14:textId="77777777" w:rsidR="00510396" w:rsidRDefault="00510396" w:rsidP="00EE0A4C">
            <w:pPr>
              <w:jc w:val="cente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6C3E35DB" w14:textId="77777777" w:rsidR="00510396" w:rsidRDefault="00510396" w:rsidP="00EE0A4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29A50DE4" w14:textId="77777777" w:rsidR="00510396" w:rsidRDefault="00510396" w:rsidP="00EE0A4C">
            <w:pPr>
              <w:jc w:val="center"/>
              <w:rPr>
                <w:i/>
                <w:iCs/>
                <w:color w:val="000000"/>
                <w:sz w:val="20"/>
                <w:szCs w:val="20"/>
              </w:rPr>
            </w:pPr>
            <w:r>
              <w:rPr>
                <w:i/>
                <w:iCs/>
                <w:color w:val="000000"/>
                <w:sz w:val="20"/>
                <w:szCs w:val="20"/>
              </w:rPr>
              <w:t>R2</w:t>
            </w:r>
          </w:p>
        </w:tc>
        <w:tc>
          <w:tcPr>
            <w:tcW w:w="768" w:type="dxa"/>
            <w:tcBorders>
              <w:top w:val="nil"/>
              <w:left w:val="nil"/>
              <w:bottom w:val="single" w:sz="12" w:space="0" w:color="auto"/>
              <w:right w:val="nil"/>
            </w:tcBorders>
            <w:shd w:val="clear" w:color="auto" w:fill="auto"/>
            <w:noWrap/>
            <w:vAlign w:val="center"/>
            <w:hideMark/>
          </w:tcPr>
          <w:p w14:paraId="3C12BD11" w14:textId="77777777" w:rsidR="00510396" w:rsidRDefault="00510396" w:rsidP="00EE0A4C">
            <w:pPr>
              <w:jc w:val="center"/>
              <w:rPr>
                <w:i/>
                <w:iCs/>
                <w:color w:val="000000"/>
                <w:sz w:val="20"/>
                <w:szCs w:val="20"/>
              </w:rPr>
            </w:pPr>
            <w:r>
              <w:rPr>
                <w:i/>
                <w:iCs/>
                <w:color w:val="000000"/>
                <w:sz w:val="20"/>
                <w:szCs w:val="20"/>
              </w:rPr>
              <w:t>β</w:t>
            </w:r>
          </w:p>
        </w:tc>
        <w:tc>
          <w:tcPr>
            <w:tcW w:w="768" w:type="dxa"/>
            <w:tcBorders>
              <w:top w:val="nil"/>
              <w:left w:val="nil"/>
              <w:bottom w:val="single" w:sz="12" w:space="0" w:color="auto"/>
              <w:right w:val="nil"/>
            </w:tcBorders>
            <w:shd w:val="clear" w:color="auto" w:fill="auto"/>
            <w:noWrap/>
            <w:vAlign w:val="center"/>
            <w:hideMark/>
          </w:tcPr>
          <w:p w14:paraId="35EC1BD4" w14:textId="77777777" w:rsidR="00510396" w:rsidRDefault="00510396" w:rsidP="00EE0A4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nil"/>
              <w:left w:val="nil"/>
              <w:bottom w:val="single" w:sz="12" w:space="0" w:color="auto"/>
              <w:right w:val="nil"/>
            </w:tcBorders>
            <w:shd w:val="clear" w:color="auto" w:fill="auto"/>
            <w:noWrap/>
            <w:vAlign w:val="center"/>
            <w:hideMark/>
          </w:tcPr>
          <w:p w14:paraId="3DF46803" w14:textId="7EE089C1" w:rsidR="00510396" w:rsidRDefault="00EE0A4C" w:rsidP="00EE0A4C">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64470651" w14:textId="77777777" w:rsidR="00510396" w:rsidRDefault="00510396" w:rsidP="00EE0A4C">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13CA395B" w14:textId="77777777" w:rsidR="00510396" w:rsidRDefault="00510396" w:rsidP="00EE0A4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50070910" w14:textId="77777777" w:rsidR="00510396" w:rsidRDefault="00510396" w:rsidP="00EE0A4C">
            <w:pPr>
              <w:jc w:val="center"/>
              <w:rPr>
                <w:i/>
                <w:iCs/>
                <w:color w:val="000000"/>
                <w:sz w:val="20"/>
                <w:szCs w:val="20"/>
              </w:rPr>
            </w:pPr>
            <w:r>
              <w:rPr>
                <w:i/>
                <w:iCs/>
                <w:color w:val="000000"/>
                <w:sz w:val="20"/>
                <w:szCs w:val="20"/>
              </w:rPr>
              <w:t>R2</w:t>
            </w:r>
          </w:p>
        </w:tc>
      </w:tr>
      <w:tr w:rsidR="00510396" w14:paraId="1E2D2478"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70041A0C" w14:textId="77777777" w:rsidR="00510396" w:rsidRDefault="00510396">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68682695" w14:textId="77777777" w:rsidR="00510396" w:rsidRDefault="00510396">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7E9D1571" w14:textId="77777777" w:rsidR="00510396" w:rsidRDefault="00510396">
            <w:pPr>
              <w:jc w:val="right"/>
              <w:rPr>
                <w:color w:val="000000"/>
                <w:sz w:val="20"/>
                <w:szCs w:val="20"/>
              </w:rPr>
            </w:pPr>
            <w:r>
              <w:rPr>
                <w:color w:val="000000"/>
                <w:sz w:val="20"/>
                <w:szCs w:val="20"/>
              </w:rPr>
              <w:t>0.017</w:t>
            </w:r>
          </w:p>
        </w:tc>
        <w:tc>
          <w:tcPr>
            <w:tcW w:w="768" w:type="dxa"/>
            <w:tcBorders>
              <w:top w:val="single" w:sz="12" w:space="0" w:color="auto"/>
              <w:left w:val="nil"/>
              <w:bottom w:val="nil"/>
              <w:right w:val="nil"/>
            </w:tcBorders>
            <w:shd w:val="clear" w:color="auto" w:fill="auto"/>
            <w:noWrap/>
            <w:vAlign w:val="bottom"/>
            <w:hideMark/>
          </w:tcPr>
          <w:p w14:paraId="6B4C7ECB" w14:textId="77777777" w:rsidR="00510396" w:rsidRDefault="00510396">
            <w:pPr>
              <w:jc w:val="right"/>
              <w:rPr>
                <w:color w:val="000000"/>
                <w:sz w:val="20"/>
                <w:szCs w:val="20"/>
              </w:rPr>
            </w:pPr>
            <w:r>
              <w:rPr>
                <w:color w:val="000000"/>
                <w:sz w:val="20"/>
                <w:szCs w:val="20"/>
              </w:rPr>
              <w:t>0.970</w:t>
            </w:r>
          </w:p>
        </w:tc>
        <w:tc>
          <w:tcPr>
            <w:tcW w:w="768" w:type="dxa"/>
            <w:tcBorders>
              <w:top w:val="single" w:sz="12" w:space="0" w:color="auto"/>
              <w:left w:val="nil"/>
              <w:bottom w:val="nil"/>
              <w:right w:val="nil"/>
            </w:tcBorders>
            <w:shd w:val="clear" w:color="auto" w:fill="auto"/>
            <w:noWrap/>
            <w:vAlign w:val="bottom"/>
            <w:hideMark/>
          </w:tcPr>
          <w:p w14:paraId="70A91D91" w14:textId="77777777" w:rsidR="00510396" w:rsidRDefault="0051039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22E02C34" w14:textId="77777777" w:rsidR="00510396" w:rsidRDefault="00510396">
            <w:pPr>
              <w:jc w:val="right"/>
              <w:rPr>
                <w:color w:val="000000"/>
                <w:sz w:val="20"/>
                <w:szCs w:val="20"/>
              </w:rPr>
            </w:pPr>
            <w:r>
              <w:rPr>
                <w:color w:val="000000"/>
                <w:sz w:val="20"/>
                <w:szCs w:val="20"/>
              </w:rPr>
              <w:t>0.010</w:t>
            </w:r>
          </w:p>
        </w:tc>
        <w:tc>
          <w:tcPr>
            <w:tcW w:w="768" w:type="dxa"/>
            <w:tcBorders>
              <w:top w:val="single" w:sz="12" w:space="0" w:color="auto"/>
              <w:left w:val="nil"/>
              <w:bottom w:val="nil"/>
              <w:right w:val="nil"/>
            </w:tcBorders>
            <w:shd w:val="clear" w:color="auto" w:fill="auto"/>
            <w:noWrap/>
            <w:vAlign w:val="bottom"/>
            <w:hideMark/>
          </w:tcPr>
          <w:p w14:paraId="0D0C895B" w14:textId="77777777" w:rsidR="00510396" w:rsidRDefault="00510396">
            <w:pPr>
              <w:jc w:val="right"/>
              <w:rPr>
                <w:color w:val="000000"/>
                <w:sz w:val="20"/>
                <w:szCs w:val="20"/>
              </w:rPr>
            </w:pPr>
            <w:r>
              <w:rPr>
                <w:color w:val="000000"/>
                <w:sz w:val="20"/>
                <w:szCs w:val="20"/>
              </w:rPr>
              <w:t>0.935</w:t>
            </w:r>
          </w:p>
        </w:tc>
        <w:tc>
          <w:tcPr>
            <w:tcW w:w="768" w:type="dxa"/>
            <w:tcBorders>
              <w:top w:val="single" w:sz="12" w:space="0" w:color="auto"/>
              <w:left w:val="nil"/>
              <w:bottom w:val="nil"/>
              <w:right w:val="nil"/>
            </w:tcBorders>
            <w:shd w:val="clear" w:color="auto" w:fill="auto"/>
            <w:noWrap/>
            <w:vAlign w:val="bottom"/>
            <w:hideMark/>
          </w:tcPr>
          <w:p w14:paraId="34FE1FF5" w14:textId="77777777" w:rsidR="00510396" w:rsidRDefault="0051039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41CC0D0" w14:textId="77777777" w:rsidR="00510396" w:rsidRDefault="00510396">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2E1DB7FE" w14:textId="77777777" w:rsidR="00510396" w:rsidRDefault="00510396">
            <w:pPr>
              <w:jc w:val="right"/>
              <w:rPr>
                <w:color w:val="000000"/>
                <w:sz w:val="20"/>
                <w:szCs w:val="20"/>
              </w:rPr>
            </w:pPr>
            <w:r>
              <w:rPr>
                <w:color w:val="000000"/>
                <w:sz w:val="20"/>
                <w:szCs w:val="20"/>
              </w:rPr>
              <w:t>0.913</w:t>
            </w:r>
          </w:p>
        </w:tc>
        <w:tc>
          <w:tcPr>
            <w:tcW w:w="768" w:type="dxa"/>
            <w:tcBorders>
              <w:top w:val="single" w:sz="12" w:space="0" w:color="auto"/>
              <w:left w:val="nil"/>
              <w:bottom w:val="nil"/>
              <w:right w:val="nil"/>
            </w:tcBorders>
            <w:shd w:val="clear" w:color="auto" w:fill="auto"/>
            <w:noWrap/>
            <w:vAlign w:val="bottom"/>
            <w:hideMark/>
          </w:tcPr>
          <w:p w14:paraId="4528493D" w14:textId="77777777" w:rsidR="00510396" w:rsidRDefault="0051039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58E8B51" w14:textId="77777777" w:rsidR="00510396" w:rsidRDefault="00510396">
            <w:pPr>
              <w:jc w:val="right"/>
              <w:rPr>
                <w:color w:val="000000"/>
                <w:sz w:val="20"/>
                <w:szCs w:val="20"/>
              </w:rPr>
            </w:pPr>
            <w:r>
              <w:rPr>
                <w:color w:val="000000"/>
                <w:sz w:val="20"/>
                <w:szCs w:val="20"/>
              </w:rPr>
              <w:t>0.022</w:t>
            </w:r>
          </w:p>
        </w:tc>
        <w:tc>
          <w:tcPr>
            <w:tcW w:w="768" w:type="dxa"/>
            <w:tcBorders>
              <w:top w:val="single" w:sz="12" w:space="0" w:color="auto"/>
              <w:left w:val="nil"/>
              <w:bottom w:val="nil"/>
              <w:right w:val="nil"/>
            </w:tcBorders>
            <w:shd w:val="clear" w:color="auto" w:fill="auto"/>
            <w:noWrap/>
            <w:vAlign w:val="bottom"/>
            <w:hideMark/>
          </w:tcPr>
          <w:p w14:paraId="38837A51" w14:textId="77777777" w:rsidR="00510396" w:rsidRDefault="00510396">
            <w:pPr>
              <w:jc w:val="right"/>
              <w:rPr>
                <w:color w:val="000000"/>
                <w:sz w:val="20"/>
                <w:szCs w:val="20"/>
              </w:rPr>
            </w:pPr>
            <w:r>
              <w:rPr>
                <w:color w:val="000000"/>
                <w:sz w:val="20"/>
                <w:szCs w:val="20"/>
              </w:rPr>
              <w:t>0.757</w:t>
            </w:r>
          </w:p>
        </w:tc>
        <w:tc>
          <w:tcPr>
            <w:tcW w:w="768" w:type="dxa"/>
            <w:tcBorders>
              <w:top w:val="single" w:sz="12" w:space="0" w:color="auto"/>
              <w:left w:val="nil"/>
              <w:bottom w:val="nil"/>
              <w:right w:val="nil"/>
            </w:tcBorders>
            <w:shd w:val="clear" w:color="auto" w:fill="auto"/>
            <w:noWrap/>
            <w:vAlign w:val="bottom"/>
            <w:hideMark/>
          </w:tcPr>
          <w:p w14:paraId="26F851BD" w14:textId="77777777" w:rsidR="00510396" w:rsidRDefault="00510396">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1F64911C" w14:textId="77777777" w:rsidR="00510396" w:rsidRDefault="00510396">
            <w:pPr>
              <w:jc w:val="right"/>
              <w:rPr>
                <w:color w:val="000000"/>
                <w:sz w:val="20"/>
                <w:szCs w:val="20"/>
              </w:rPr>
            </w:pPr>
            <w:r>
              <w:rPr>
                <w:color w:val="000000"/>
                <w:sz w:val="20"/>
                <w:szCs w:val="20"/>
              </w:rPr>
              <w:t>0.033</w:t>
            </w:r>
          </w:p>
        </w:tc>
        <w:tc>
          <w:tcPr>
            <w:tcW w:w="768" w:type="dxa"/>
            <w:tcBorders>
              <w:top w:val="single" w:sz="12" w:space="0" w:color="auto"/>
              <w:left w:val="nil"/>
              <w:bottom w:val="nil"/>
              <w:right w:val="nil"/>
            </w:tcBorders>
            <w:shd w:val="clear" w:color="auto" w:fill="auto"/>
            <w:noWrap/>
            <w:vAlign w:val="bottom"/>
            <w:hideMark/>
          </w:tcPr>
          <w:p w14:paraId="701FA3A7" w14:textId="77777777" w:rsidR="00510396" w:rsidRDefault="00510396">
            <w:pPr>
              <w:jc w:val="right"/>
              <w:rPr>
                <w:color w:val="000000"/>
                <w:sz w:val="20"/>
                <w:szCs w:val="20"/>
              </w:rPr>
            </w:pPr>
            <w:r>
              <w:rPr>
                <w:color w:val="000000"/>
                <w:sz w:val="20"/>
                <w:szCs w:val="20"/>
              </w:rPr>
              <w:t>0.694</w:t>
            </w:r>
          </w:p>
        </w:tc>
        <w:tc>
          <w:tcPr>
            <w:tcW w:w="768" w:type="dxa"/>
            <w:tcBorders>
              <w:top w:val="single" w:sz="12" w:space="0" w:color="auto"/>
              <w:left w:val="nil"/>
              <w:bottom w:val="nil"/>
              <w:right w:val="nil"/>
            </w:tcBorders>
            <w:shd w:val="clear" w:color="auto" w:fill="auto"/>
            <w:noWrap/>
            <w:vAlign w:val="bottom"/>
            <w:hideMark/>
          </w:tcPr>
          <w:p w14:paraId="08D63EA0" w14:textId="77777777" w:rsidR="00510396" w:rsidRDefault="00510396">
            <w:pPr>
              <w:jc w:val="right"/>
              <w:rPr>
                <w:color w:val="000000"/>
                <w:sz w:val="20"/>
                <w:szCs w:val="20"/>
              </w:rPr>
            </w:pPr>
            <w:r>
              <w:rPr>
                <w:color w:val="000000"/>
                <w:sz w:val="20"/>
                <w:szCs w:val="20"/>
              </w:rPr>
              <w:t>0.001</w:t>
            </w:r>
          </w:p>
        </w:tc>
      </w:tr>
      <w:tr w:rsidR="00510396" w14:paraId="555AD360" w14:textId="77777777" w:rsidTr="00510396">
        <w:trPr>
          <w:trHeight w:val="340"/>
        </w:trPr>
        <w:tc>
          <w:tcPr>
            <w:tcW w:w="1176" w:type="dxa"/>
            <w:tcBorders>
              <w:top w:val="nil"/>
              <w:left w:val="nil"/>
              <w:bottom w:val="nil"/>
              <w:right w:val="nil"/>
            </w:tcBorders>
            <w:shd w:val="clear" w:color="auto" w:fill="auto"/>
            <w:noWrap/>
            <w:vAlign w:val="bottom"/>
            <w:hideMark/>
          </w:tcPr>
          <w:p w14:paraId="44DCC6BE"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64C134DF" w14:textId="77777777" w:rsidR="00510396" w:rsidRDefault="0051039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631644A6" w14:textId="77777777" w:rsidR="00510396" w:rsidRDefault="0051039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685474E3" w14:textId="77777777" w:rsidR="00510396" w:rsidRDefault="00510396">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0B15077A"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CC9316" w14:textId="77777777" w:rsidR="00510396" w:rsidRDefault="00510396">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03337C93" w14:textId="77777777" w:rsidR="00510396" w:rsidRDefault="00510396">
            <w:pPr>
              <w:jc w:val="right"/>
              <w:rPr>
                <w:color w:val="000000"/>
                <w:sz w:val="20"/>
                <w:szCs w:val="20"/>
              </w:rPr>
            </w:pPr>
            <w:r>
              <w:rPr>
                <w:color w:val="000000"/>
                <w:sz w:val="20"/>
                <w:szCs w:val="20"/>
              </w:rPr>
              <w:t>0.716</w:t>
            </w:r>
          </w:p>
        </w:tc>
        <w:tc>
          <w:tcPr>
            <w:tcW w:w="768" w:type="dxa"/>
            <w:tcBorders>
              <w:top w:val="nil"/>
              <w:left w:val="nil"/>
              <w:bottom w:val="nil"/>
              <w:right w:val="nil"/>
            </w:tcBorders>
            <w:shd w:val="clear" w:color="auto" w:fill="auto"/>
            <w:noWrap/>
            <w:vAlign w:val="bottom"/>
            <w:hideMark/>
          </w:tcPr>
          <w:p w14:paraId="693ED51D"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A829ED8" w14:textId="77777777" w:rsidR="00510396" w:rsidRDefault="00510396">
            <w:pPr>
              <w:jc w:val="right"/>
              <w:rPr>
                <w:color w:val="000000"/>
                <w:sz w:val="20"/>
                <w:szCs w:val="20"/>
              </w:rPr>
            </w:pPr>
            <w:r>
              <w:rPr>
                <w:color w:val="000000"/>
                <w:sz w:val="20"/>
                <w:szCs w:val="20"/>
              </w:rPr>
              <w:t>0.016</w:t>
            </w:r>
          </w:p>
        </w:tc>
        <w:tc>
          <w:tcPr>
            <w:tcW w:w="768" w:type="dxa"/>
            <w:tcBorders>
              <w:top w:val="nil"/>
              <w:left w:val="nil"/>
              <w:bottom w:val="nil"/>
              <w:right w:val="nil"/>
            </w:tcBorders>
            <w:shd w:val="clear" w:color="auto" w:fill="auto"/>
            <w:noWrap/>
            <w:vAlign w:val="bottom"/>
            <w:hideMark/>
          </w:tcPr>
          <w:p w14:paraId="70147EC3" w14:textId="77777777" w:rsidR="00510396" w:rsidRDefault="00510396">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5D4FE4D1"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0A0801"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E205A6" w14:textId="77777777" w:rsidR="00510396" w:rsidRDefault="00510396">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4DFF91BD"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86D0BB" w14:textId="77777777" w:rsidR="00510396" w:rsidRDefault="00510396">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2F02844E" w14:textId="77777777" w:rsidR="00510396" w:rsidRDefault="00510396">
            <w:pPr>
              <w:jc w:val="right"/>
              <w:rPr>
                <w:color w:val="000000"/>
                <w:sz w:val="20"/>
                <w:szCs w:val="20"/>
              </w:rPr>
            </w:pPr>
            <w:r>
              <w:rPr>
                <w:color w:val="000000"/>
                <w:sz w:val="20"/>
                <w:szCs w:val="20"/>
              </w:rPr>
              <w:t>0.444</w:t>
            </w:r>
          </w:p>
        </w:tc>
        <w:tc>
          <w:tcPr>
            <w:tcW w:w="768" w:type="dxa"/>
            <w:tcBorders>
              <w:top w:val="nil"/>
              <w:left w:val="nil"/>
              <w:bottom w:val="nil"/>
              <w:right w:val="nil"/>
            </w:tcBorders>
            <w:shd w:val="clear" w:color="auto" w:fill="auto"/>
            <w:noWrap/>
            <w:vAlign w:val="bottom"/>
            <w:hideMark/>
          </w:tcPr>
          <w:p w14:paraId="0E9A6D2B" w14:textId="77777777" w:rsidR="00510396" w:rsidRDefault="00510396">
            <w:pPr>
              <w:jc w:val="right"/>
              <w:rPr>
                <w:color w:val="000000"/>
                <w:sz w:val="20"/>
                <w:szCs w:val="20"/>
              </w:rPr>
            </w:pPr>
            <w:r>
              <w:rPr>
                <w:color w:val="000000"/>
                <w:sz w:val="20"/>
                <w:szCs w:val="20"/>
              </w:rPr>
              <w:t>0.006</w:t>
            </w:r>
          </w:p>
        </w:tc>
      </w:tr>
      <w:tr w:rsidR="00510396" w14:paraId="4E9A8584" w14:textId="77777777" w:rsidTr="00510396">
        <w:trPr>
          <w:trHeight w:val="320"/>
        </w:trPr>
        <w:tc>
          <w:tcPr>
            <w:tcW w:w="1176" w:type="dxa"/>
            <w:tcBorders>
              <w:top w:val="nil"/>
              <w:left w:val="nil"/>
              <w:bottom w:val="nil"/>
              <w:right w:val="nil"/>
            </w:tcBorders>
            <w:shd w:val="clear" w:color="auto" w:fill="auto"/>
            <w:noWrap/>
            <w:vAlign w:val="bottom"/>
            <w:hideMark/>
          </w:tcPr>
          <w:p w14:paraId="186BF207"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030BC75" w14:textId="77777777" w:rsidR="00510396" w:rsidRDefault="0051039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68BA73AC" w14:textId="77777777" w:rsidR="00510396" w:rsidRDefault="00510396">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53F47CE7" w14:textId="77777777" w:rsidR="00510396" w:rsidRDefault="00510396">
            <w:pPr>
              <w:jc w:val="right"/>
              <w:rPr>
                <w:color w:val="000000"/>
                <w:sz w:val="20"/>
                <w:szCs w:val="20"/>
              </w:rPr>
            </w:pPr>
            <w:r>
              <w:rPr>
                <w:color w:val="000000"/>
                <w:sz w:val="20"/>
                <w:szCs w:val="20"/>
              </w:rPr>
              <w:t>0.816</w:t>
            </w:r>
          </w:p>
        </w:tc>
        <w:tc>
          <w:tcPr>
            <w:tcW w:w="768" w:type="dxa"/>
            <w:tcBorders>
              <w:top w:val="nil"/>
              <w:left w:val="nil"/>
              <w:bottom w:val="nil"/>
              <w:right w:val="nil"/>
            </w:tcBorders>
            <w:shd w:val="clear" w:color="auto" w:fill="auto"/>
            <w:noWrap/>
            <w:vAlign w:val="bottom"/>
            <w:hideMark/>
          </w:tcPr>
          <w:p w14:paraId="656895F6" w14:textId="77777777" w:rsidR="00510396" w:rsidRDefault="005103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84DFBB8" w14:textId="77777777" w:rsidR="00510396" w:rsidRDefault="005103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2BEBDA0" w14:textId="77777777" w:rsidR="00510396" w:rsidRDefault="0051039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4A7D7FA9"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975CBF" w14:textId="77777777" w:rsidR="00510396" w:rsidRDefault="00510396">
            <w:pPr>
              <w:jc w:val="right"/>
              <w:rPr>
                <w:color w:val="000000"/>
                <w:sz w:val="20"/>
                <w:szCs w:val="20"/>
              </w:rPr>
            </w:pPr>
            <w:r>
              <w:rPr>
                <w:color w:val="000000"/>
                <w:sz w:val="20"/>
                <w:szCs w:val="20"/>
              </w:rPr>
              <w:t>0.123</w:t>
            </w:r>
          </w:p>
        </w:tc>
        <w:tc>
          <w:tcPr>
            <w:tcW w:w="768" w:type="dxa"/>
            <w:tcBorders>
              <w:top w:val="nil"/>
              <w:left w:val="nil"/>
              <w:bottom w:val="nil"/>
              <w:right w:val="nil"/>
            </w:tcBorders>
            <w:shd w:val="clear" w:color="auto" w:fill="auto"/>
            <w:noWrap/>
            <w:vAlign w:val="bottom"/>
            <w:hideMark/>
          </w:tcPr>
          <w:p w14:paraId="08CDE9E0" w14:textId="77777777" w:rsidR="00510396" w:rsidRDefault="00510396">
            <w:pPr>
              <w:jc w:val="right"/>
              <w:rPr>
                <w:color w:val="000000"/>
                <w:sz w:val="20"/>
                <w:szCs w:val="20"/>
              </w:rPr>
            </w:pPr>
            <w:r>
              <w:rPr>
                <w:color w:val="000000"/>
                <w:sz w:val="20"/>
                <w:szCs w:val="20"/>
              </w:rPr>
              <w:t>0.380</w:t>
            </w:r>
          </w:p>
        </w:tc>
        <w:tc>
          <w:tcPr>
            <w:tcW w:w="768" w:type="dxa"/>
            <w:tcBorders>
              <w:top w:val="nil"/>
              <w:left w:val="nil"/>
              <w:bottom w:val="nil"/>
              <w:right w:val="nil"/>
            </w:tcBorders>
            <w:shd w:val="clear" w:color="auto" w:fill="auto"/>
            <w:noWrap/>
            <w:vAlign w:val="bottom"/>
            <w:hideMark/>
          </w:tcPr>
          <w:p w14:paraId="5E91EBB9" w14:textId="77777777" w:rsidR="00510396" w:rsidRDefault="0051039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1F0CFEA3" w14:textId="77777777" w:rsidR="00510396" w:rsidRDefault="00510396">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5091724E" w14:textId="77777777" w:rsidR="00510396" w:rsidRDefault="00510396">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76DAF1ED"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487FF7E6" w14:textId="77777777" w:rsidR="00510396" w:rsidRDefault="00510396">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7056147C" w14:textId="77777777" w:rsidR="00510396" w:rsidRDefault="00510396">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315CC266" w14:textId="77777777" w:rsidR="00510396" w:rsidRDefault="00510396">
            <w:pPr>
              <w:jc w:val="right"/>
              <w:rPr>
                <w:color w:val="000000"/>
                <w:sz w:val="20"/>
                <w:szCs w:val="20"/>
              </w:rPr>
            </w:pPr>
            <w:r>
              <w:rPr>
                <w:color w:val="000000"/>
                <w:sz w:val="20"/>
                <w:szCs w:val="20"/>
              </w:rPr>
              <w:t>0.003</w:t>
            </w:r>
          </w:p>
        </w:tc>
      </w:tr>
      <w:tr w:rsidR="00510396" w14:paraId="310752CC" w14:textId="77777777" w:rsidTr="00510396">
        <w:trPr>
          <w:trHeight w:val="320"/>
        </w:trPr>
        <w:tc>
          <w:tcPr>
            <w:tcW w:w="1176" w:type="dxa"/>
            <w:tcBorders>
              <w:top w:val="nil"/>
              <w:left w:val="nil"/>
              <w:bottom w:val="nil"/>
              <w:right w:val="nil"/>
            </w:tcBorders>
            <w:shd w:val="clear" w:color="auto" w:fill="auto"/>
            <w:noWrap/>
            <w:vAlign w:val="bottom"/>
            <w:hideMark/>
          </w:tcPr>
          <w:p w14:paraId="1900F737"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18BFC9" w14:textId="77777777" w:rsidR="00510396" w:rsidRDefault="0051039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18274D0" w14:textId="77777777" w:rsidR="00510396" w:rsidRDefault="00510396">
            <w:pPr>
              <w:jc w:val="right"/>
              <w:rPr>
                <w:color w:val="000000"/>
                <w:sz w:val="20"/>
                <w:szCs w:val="20"/>
              </w:rPr>
            </w:pPr>
            <w:r>
              <w:rPr>
                <w:color w:val="000000"/>
                <w:sz w:val="20"/>
                <w:szCs w:val="20"/>
              </w:rPr>
              <w:t>-0.206</w:t>
            </w:r>
          </w:p>
        </w:tc>
        <w:tc>
          <w:tcPr>
            <w:tcW w:w="768" w:type="dxa"/>
            <w:tcBorders>
              <w:top w:val="nil"/>
              <w:left w:val="nil"/>
              <w:bottom w:val="nil"/>
              <w:right w:val="nil"/>
            </w:tcBorders>
            <w:shd w:val="clear" w:color="auto" w:fill="auto"/>
            <w:noWrap/>
            <w:vAlign w:val="bottom"/>
            <w:hideMark/>
          </w:tcPr>
          <w:p w14:paraId="74C80D86" w14:textId="77777777" w:rsidR="00510396" w:rsidRDefault="00510396">
            <w:pPr>
              <w:jc w:val="right"/>
              <w:rPr>
                <w:color w:val="000000"/>
                <w:sz w:val="20"/>
                <w:szCs w:val="20"/>
              </w:rPr>
            </w:pPr>
            <w:r>
              <w:rPr>
                <w:color w:val="000000"/>
                <w:sz w:val="20"/>
                <w:szCs w:val="20"/>
              </w:rPr>
              <w:t>0.248</w:t>
            </w:r>
          </w:p>
        </w:tc>
        <w:tc>
          <w:tcPr>
            <w:tcW w:w="768" w:type="dxa"/>
            <w:tcBorders>
              <w:top w:val="nil"/>
              <w:left w:val="nil"/>
              <w:bottom w:val="nil"/>
              <w:right w:val="nil"/>
            </w:tcBorders>
            <w:shd w:val="clear" w:color="auto" w:fill="auto"/>
            <w:noWrap/>
            <w:vAlign w:val="bottom"/>
            <w:hideMark/>
          </w:tcPr>
          <w:p w14:paraId="39BBD633" w14:textId="77777777" w:rsidR="00510396" w:rsidRDefault="0051039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76153A91" w14:textId="77777777" w:rsidR="00510396" w:rsidRDefault="00510396">
            <w:pPr>
              <w:jc w:val="right"/>
              <w:rPr>
                <w:color w:val="000000"/>
                <w:sz w:val="20"/>
                <w:szCs w:val="20"/>
              </w:rPr>
            </w:pPr>
            <w:r>
              <w:rPr>
                <w:color w:val="000000"/>
                <w:sz w:val="20"/>
                <w:szCs w:val="20"/>
              </w:rPr>
              <w:t>0.100</w:t>
            </w:r>
          </w:p>
        </w:tc>
        <w:tc>
          <w:tcPr>
            <w:tcW w:w="768" w:type="dxa"/>
            <w:tcBorders>
              <w:top w:val="nil"/>
              <w:left w:val="nil"/>
              <w:bottom w:val="nil"/>
              <w:right w:val="nil"/>
            </w:tcBorders>
            <w:shd w:val="clear" w:color="auto" w:fill="auto"/>
            <w:noWrap/>
            <w:vAlign w:val="bottom"/>
            <w:hideMark/>
          </w:tcPr>
          <w:p w14:paraId="2774B6ED" w14:textId="77777777" w:rsidR="00510396" w:rsidRDefault="00510396">
            <w:pPr>
              <w:jc w:val="right"/>
              <w:rPr>
                <w:color w:val="000000"/>
                <w:sz w:val="20"/>
                <w:szCs w:val="20"/>
              </w:rPr>
            </w:pPr>
            <w:r>
              <w:rPr>
                <w:color w:val="000000"/>
                <w:sz w:val="20"/>
                <w:szCs w:val="20"/>
              </w:rPr>
              <w:t>0.716</w:t>
            </w:r>
          </w:p>
        </w:tc>
        <w:tc>
          <w:tcPr>
            <w:tcW w:w="768" w:type="dxa"/>
            <w:tcBorders>
              <w:top w:val="nil"/>
              <w:left w:val="nil"/>
              <w:bottom w:val="nil"/>
              <w:right w:val="nil"/>
            </w:tcBorders>
            <w:shd w:val="clear" w:color="auto" w:fill="auto"/>
            <w:noWrap/>
            <w:vAlign w:val="bottom"/>
            <w:hideMark/>
          </w:tcPr>
          <w:p w14:paraId="439A6B74" w14:textId="77777777" w:rsidR="00510396" w:rsidRDefault="00510396">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16191450" w14:textId="77777777" w:rsidR="00510396" w:rsidRDefault="00510396">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5B2D0C5D" w14:textId="77777777" w:rsidR="00510396" w:rsidRDefault="00510396">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6A403AAD" w14:textId="77777777" w:rsidR="00510396" w:rsidRDefault="0051039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3D17F875" w14:textId="77777777" w:rsidR="00510396" w:rsidRDefault="00510396">
            <w:pPr>
              <w:jc w:val="right"/>
              <w:rPr>
                <w:color w:val="000000"/>
                <w:sz w:val="20"/>
                <w:szCs w:val="20"/>
              </w:rPr>
            </w:pPr>
            <w:r>
              <w:rPr>
                <w:color w:val="000000"/>
                <w:sz w:val="20"/>
                <w:szCs w:val="20"/>
              </w:rPr>
              <w:t>0.163</w:t>
            </w:r>
          </w:p>
        </w:tc>
        <w:tc>
          <w:tcPr>
            <w:tcW w:w="768" w:type="dxa"/>
            <w:tcBorders>
              <w:top w:val="nil"/>
              <w:left w:val="nil"/>
              <w:bottom w:val="nil"/>
              <w:right w:val="nil"/>
            </w:tcBorders>
            <w:shd w:val="clear" w:color="auto" w:fill="auto"/>
            <w:noWrap/>
            <w:vAlign w:val="bottom"/>
            <w:hideMark/>
          </w:tcPr>
          <w:p w14:paraId="5BA372C6" w14:textId="77777777" w:rsidR="00510396" w:rsidRDefault="00510396">
            <w:pPr>
              <w:jc w:val="right"/>
              <w:rPr>
                <w:color w:val="000000"/>
                <w:sz w:val="20"/>
                <w:szCs w:val="20"/>
              </w:rPr>
            </w:pPr>
            <w:r>
              <w:rPr>
                <w:color w:val="000000"/>
                <w:sz w:val="20"/>
                <w:szCs w:val="20"/>
              </w:rPr>
              <w:t>0.200</w:t>
            </w:r>
          </w:p>
        </w:tc>
        <w:tc>
          <w:tcPr>
            <w:tcW w:w="768" w:type="dxa"/>
            <w:tcBorders>
              <w:top w:val="nil"/>
              <w:left w:val="nil"/>
              <w:bottom w:val="nil"/>
              <w:right w:val="nil"/>
            </w:tcBorders>
            <w:shd w:val="clear" w:color="auto" w:fill="auto"/>
            <w:noWrap/>
            <w:vAlign w:val="bottom"/>
            <w:hideMark/>
          </w:tcPr>
          <w:p w14:paraId="287700B4" w14:textId="77777777" w:rsidR="00510396" w:rsidRDefault="00510396">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7862CD02" w14:textId="77777777" w:rsidR="00510396" w:rsidRDefault="00510396">
            <w:pPr>
              <w:jc w:val="right"/>
              <w:rPr>
                <w:color w:val="000000"/>
                <w:sz w:val="20"/>
                <w:szCs w:val="20"/>
              </w:rPr>
            </w:pPr>
            <w:r>
              <w:rPr>
                <w:color w:val="000000"/>
                <w:sz w:val="20"/>
                <w:szCs w:val="20"/>
              </w:rPr>
              <w:t>0.123</w:t>
            </w:r>
          </w:p>
        </w:tc>
        <w:tc>
          <w:tcPr>
            <w:tcW w:w="768" w:type="dxa"/>
            <w:tcBorders>
              <w:top w:val="nil"/>
              <w:left w:val="nil"/>
              <w:bottom w:val="nil"/>
              <w:right w:val="nil"/>
            </w:tcBorders>
            <w:shd w:val="clear" w:color="auto" w:fill="auto"/>
            <w:noWrap/>
            <w:vAlign w:val="bottom"/>
            <w:hideMark/>
          </w:tcPr>
          <w:p w14:paraId="015FBAD8" w14:textId="77777777" w:rsidR="00510396" w:rsidRDefault="00510396">
            <w:pPr>
              <w:jc w:val="right"/>
              <w:rPr>
                <w:color w:val="000000"/>
                <w:sz w:val="20"/>
                <w:szCs w:val="20"/>
              </w:rPr>
            </w:pPr>
            <w:r>
              <w:rPr>
                <w:color w:val="000000"/>
                <w:sz w:val="20"/>
                <w:szCs w:val="20"/>
              </w:rPr>
              <w:t>0.444</w:t>
            </w:r>
          </w:p>
        </w:tc>
        <w:tc>
          <w:tcPr>
            <w:tcW w:w="768" w:type="dxa"/>
            <w:tcBorders>
              <w:top w:val="nil"/>
              <w:left w:val="nil"/>
              <w:bottom w:val="nil"/>
              <w:right w:val="nil"/>
            </w:tcBorders>
            <w:shd w:val="clear" w:color="auto" w:fill="auto"/>
            <w:noWrap/>
            <w:vAlign w:val="bottom"/>
            <w:hideMark/>
          </w:tcPr>
          <w:p w14:paraId="508FA059" w14:textId="77777777" w:rsidR="00510396" w:rsidRDefault="00510396">
            <w:pPr>
              <w:jc w:val="right"/>
              <w:rPr>
                <w:color w:val="000000"/>
                <w:sz w:val="20"/>
                <w:szCs w:val="20"/>
              </w:rPr>
            </w:pPr>
            <w:r>
              <w:rPr>
                <w:color w:val="000000"/>
                <w:sz w:val="20"/>
                <w:szCs w:val="20"/>
              </w:rPr>
              <w:t>0.015</w:t>
            </w:r>
          </w:p>
        </w:tc>
      </w:tr>
      <w:tr w:rsidR="00510396" w14:paraId="6D83F77A" w14:textId="77777777" w:rsidTr="00510396">
        <w:trPr>
          <w:trHeight w:val="320"/>
        </w:trPr>
        <w:tc>
          <w:tcPr>
            <w:tcW w:w="1176" w:type="dxa"/>
            <w:tcBorders>
              <w:top w:val="nil"/>
              <w:left w:val="nil"/>
              <w:bottom w:val="nil"/>
              <w:right w:val="nil"/>
            </w:tcBorders>
            <w:shd w:val="clear" w:color="auto" w:fill="auto"/>
            <w:noWrap/>
            <w:vAlign w:val="bottom"/>
            <w:hideMark/>
          </w:tcPr>
          <w:p w14:paraId="01002099"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CEF41CE" w14:textId="77777777" w:rsidR="00510396" w:rsidRDefault="0051039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1BC6CD5"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4A7E319" w14:textId="77777777" w:rsidR="00510396" w:rsidRDefault="00510396">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27C00702"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CD9A8CD" w14:textId="77777777" w:rsidR="00510396" w:rsidRDefault="0051039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152D887B" w14:textId="77777777" w:rsidR="00510396" w:rsidRDefault="00510396">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0ED99F84"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DC953B5" w14:textId="77777777" w:rsidR="00510396" w:rsidRDefault="00510396">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3F9D2EE8" w14:textId="77777777" w:rsidR="00510396" w:rsidRDefault="00510396">
            <w:pPr>
              <w:jc w:val="right"/>
              <w:rPr>
                <w:color w:val="000000"/>
                <w:sz w:val="20"/>
                <w:szCs w:val="20"/>
              </w:rPr>
            </w:pPr>
            <w:r>
              <w:rPr>
                <w:color w:val="000000"/>
                <w:sz w:val="20"/>
                <w:szCs w:val="20"/>
              </w:rPr>
              <w:t>0.499</w:t>
            </w:r>
          </w:p>
        </w:tc>
        <w:tc>
          <w:tcPr>
            <w:tcW w:w="768" w:type="dxa"/>
            <w:tcBorders>
              <w:top w:val="nil"/>
              <w:left w:val="nil"/>
              <w:bottom w:val="nil"/>
              <w:right w:val="nil"/>
            </w:tcBorders>
            <w:shd w:val="clear" w:color="auto" w:fill="auto"/>
            <w:noWrap/>
            <w:vAlign w:val="bottom"/>
            <w:hideMark/>
          </w:tcPr>
          <w:p w14:paraId="0C1D4031" w14:textId="77777777" w:rsidR="00510396" w:rsidRDefault="005103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9345D55" w14:textId="77777777" w:rsidR="00510396" w:rsidRDefault="00510396">
            <w:pPr>
              <w:jc w:val="right"/>
              <w:rPr>
                <w:color w:val="000000"/>
                <w:sz w:val="20"/>
                <w:szCs w:val="20"/>
              </w:rPr>
            </w:pPr>
            <w:r>
              <w:rPr>
                <w:color w:val="000000"/>
                <w:sz w:val="20"/>
                <w:szCs w:val="20"/>
              </w:rPr>
              <w:t>-0.094</w:t>
            </w:r>
          </w:p>
        </w:tc>
        <w:tc>
          <w:tcPr>
            <w:tcW w:w="768" w:type="dxa"/>
            <w:tcBorders>
              <w:top w:val="nil"/>
              <w:left w:val="nil"/>
              <w:bottom w:val="nil"/>
              <w:right w:val="nil"/>
            </w:tcBorders>
            <w:shd w:val="clear" w:color="auto" w:fill="auto"/>
            <w:noWrap/>
            <w:vAlign w:val="bottom"/>
            <w:hideMark/>
          </w:tcPr>
          <w:p w14:paraId="48ED754C" w14:textId="77777777" w:rsidR="00510396" w:rsidRDefault="00510396">
            <w:pPr>
              <w:jc w:val="right"/>
              <w:rPr>
                <w:color w:val="000000"/>
                <w:sz w:val="20"/>
                <w:szCs w:val="20"/>
              </w:rPr>
            </w:pPr>
            <w:r>
              <w:rPr>
                <w:color w:val="000000"/>
                <w:sz w:val="20"/>
                <w:szCs w:val="20"/>
              </w:rPr>
              <w:t>0.376</w:t>
            </w:r>
          </w:p>
        </w:tc>
        <w:tc>
          <w:tcPr>
            <w:tcW w:w="768" w:type="dxa"/>
            <w:tcBorders>
              <w:top w:val="nil"/>
              <w:left w:val="nil"/>
              <w:bottom w:val="nil"/>
              <w:right w:val="nil"/>
            </w:tcBorders>
            <w:shd w:val="clear" w:color="auto" w:fill="auto"/>
            <w:noWrap/>
            <w:vAlign w:val="bottom"/>
            <w:hideMark/>
          </w:tcPr>
          <w:p w14:paraId="58B9C245" w14:textId="77777777" w:rsidR="00510396" w:rsidRDefault="0051039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695EACDA" w14:textId="77777777" w:rsidR="00510396" w:rsidRDefault="0051039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701A1497" w14:textId="77777777" w:rsidR="00510396" w:rsidRDefault="00510396">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3394C630" w14:textId="77777777" w:rsidR="00510396" w:rsidRDefault="00510396">
            <w:pPr>
              <w:jc w:val="right"/>
              <w:rPr>
                <w:color w:val="000000"/>
                <w:sz w:val="20"/>
                <w:szCs w:val="20"/>
              </w:rPr>
            </w:pPr>
            <w:r>
              <w:rPr>
                <w:color w:val="000000"/>
                <w:sz w:val="20"/>
                <w:szCs w:val="20"/>
              </w:rPr>
              <w:t>0.001</w:t>
            </w:r>
          </w:p>
        </w:tc>
      </w:tr>
      <w:tr w:rsidR="00510396" w14:paraId="1FEAEF56" w14:textId="77777777" w:rsidTr="00510396">
        <w:trPr>
          <w:trHeight w:val="320"/>
        </w:trPr>
        <w:tc>
          <w:tcPr>
            <w:tcW w:w="1176" w:type="dxa"/>
            <w:tcBorders>
              <w:top w:val="nil"/>
              <w:left w:val="nil"/>
              <w:bottom w:val="nil"/>
              <w:right w:val="nil"/>
            </w:tcBorders>
            <w:shd w:val="clear" w:color="auto" w:fill="auto"/>
            <w:noWrap/>
            <w:vAlign w:val="bottom"/>
            <w:hideMark/>
          </w:tcPr>
          <w:p w14:paraId="7AB9ED91"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DBC365" w14:textId="77777777" w:rsidR="00510396" w:rsidRDefault="0051039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0EE3CCF1" w14:textId="77777777" w:rsidR="00510396" w:rsidRDefault="0051039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5439E575" w14:textId="77777777" w:rsidR="00510396" w:rsidRDefault="00510396">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4C24A447"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4BF0B6A" w14:textId="77777777" w:rsidR="00510396" w:rsidRDefault="0051039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2025B042" w14:textId="77777777" w:rsidR="00510396" w:rsidRDefault="0051039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60E7AA24"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7722F0" w14:textId="77777777" w:rsidR="00510396" w:rsidRDefault="00510396">
            <w:pPr>
              <w:jc w:val="right"/>
              <w:rPr>
                <w:b/>
                <w:bCs/>
                <w:color w:val="000000"/>
                <w:sz w:val="20"/>
                <w:szCs w:val="20"/>
              </w:rPr>
            </w:pPr>
            <w:r>
              <w:rPr>
                <w:b/>
                <w:bCs/>
                <w:color w:val="000000"/>
                <w:sz w:val="20"/>
                <w:szCs w:val="20"/>
              </w:rPr>
              <w:t>0.116</w:t>
            </w:r>
          </w:p>
        </w:tc>
        <w:tc>
          <w:tcPr>
            <w:tcW w:w="768" w:type="dxa"/>
            <w:tcBorders>
              <w:top w:val="nil"/>
              <w:left w:val="nil"/>
              <w:bottom w:val="nil"/>
              <w:right w:val="nil"/>
            </w:tcBorders>
            <w:shd w:val="clear" w:color="auto" w:fill="auto"/>
            <w:noWrap/>
            <w:vAlign w:val="bottom"/>
            <w:hideMark/>
          </w:tcPr>
          <w:p w14:paraId="1F840E55" w14:textId="77777777" w:rsidR="00510396" w:rsidRDefault="00510396">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28268EC0" w14:textId="77777777" w:rsidR="00510396" w:rsidRDefault="00510396">
            <w:pPr>
              <w:jc w:val="right"/>
              <w:rPr>
                <w:b/>
                <w:bCs/>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6A3F143E" w14:textId="77777777" w:rsidR="00510396" w:rsidRDefault="0051039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0F88D15" w14:textId="77777777" w:rsidR="00510396" w:rsidRDefault="00510396">
            <w:pPr>
              <w:jc w:val="right"/>
              <w:rPr>
                <w:color w:val="000000"/>
                <w:sz w:val="20"/>
                <w:szCs w:val="20"/>
              </w:rPr>
            </w:pPr>
            <w:r>
              <w:rPr>
                <w:color w:val="000000"/>
                <w:sz w:val="20"/>
                <w:szCs w:val="20"/>
              </w:rPr>
              <w:t>0.985</w:t>
            </w:r>
          </w:p>
        </w:tc>
        <w:tc>
          <w:tcPr>
            <w:tcW w:w="768" w:type="dxa"/>
            <w:tcBorders>
              <w:top w:val="nil"/>
              <w:left w:val="nil"/>
              <w:bottom w:val="nil"/>
              <w:right w:val="nil"/>
            </w:tcBorders>
            <w:shd w:val="clear" w:color="auto" w:fill="auto"/>
            <w:noWrap/>
            <w:vAlign w:val="bottom"/>
            <w:hideMark/>
          </w:tcPr>
          <w:p w14:paraId="2A490A17"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F14D551" w14:textId="77777777" w:rsidR="00510396" w:rsidRDefault="00510396">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6D4870C5" w14:textId="77777777" w:rsidR="00510396" w:rsidRDefault="00510396">
            <w:pPr>
              <w:jc w:val="right"/>
              <w:rPr>
                <w:color w:val="000000"/>
                <w:sz w:val="20"/>
                <w:szCs w:val="20"/>
              </w:rPr>
            </w:pPr>
            <w:r>
              <w:rPr>
                <w:color w:val="000000"/>
                <w:sz w:val="20"/>
                <w:szCs w:val="20"/>
              </w:rPr>
              <w:t>0.694</w:t>
            </w:r>
          </w:p>
        </w:tc>
        <w:tc>
          <w:tcPr>
            <w:tcW w:w="768" w:type="dxa"/>
            <w:tcBorders>
              <w:top w:val="nil"/>
              <w:left w:val="nil"/>
              <w:bottom w:val="nil"/>
              <w:right w:val="nil"/>
            </w:tcBorders>
            <w:shd w:val="clear" w:color="auto" w:fill="auto"/>
            <w:noWrap/>
            <w:vAlign w:val="bottom"/>
            <w:hideMark/>
          </w:tcPr>
          <w:p w14:paraId="0F1B286F" w14:textId="77777777" w:rsidR="00510396" w:rsidRDefault="00510396">
            <w:pPr>
              <w:jc w:val="right"/>
              <w:rPr>
                <w:color w:val="000000"/>
                <w:sz w:val="20"/>
                <w:szCs w:val="20"/>
              </w:rPr>
            </w:pPr>
            <w:r>
              <w:rPr>
                <w:color w:val="000000"/>
                <w:sz w:val="20"/>
                <w:szCs w:val="20"/>
              </w:rPr>
              <w:t>0.001</w:t>
            </w:r>
          </w:p>
        </w:tc>
      </w:tr>
      <w:tr w:rsidR="00510396" w14:paraId="7131CD32" w14:textId="77777777" w:rsidTr="00510396">
        <w:trPr>
          <w:trHeight w:val="320"/>
        </w:trPr>
        <w:tc>
          <w:tcPr>
            <w:tcW w:w="1176" w:type="dxa"/>
            <w:tcBorders>
              <w:top w:val="nil"/>
              <w:left w:val="nil"/>
              <w:bottom w:val="nil"/>
              <w:right w:val="nil"/>
            </w:tcBorders>
            <w:shd w:val="clear" w:color="auto" w:fill="auto"/>
            <w:noWrap/>
            <w:vAlign w:val="bottom"/>
            <w:hideMark/>
          </w:tcPr>
          <w:p w14:paraId="12EC74E3"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44CD640" w14:textId="77777777" w:rsidR="00510396" w:rsidRDefault="0051039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62C4080D" w14:textId="77777777" w:rsidR="00510396" w:rsidRDefault="0051039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1575BA69" w14:textId="77777777" w:rsidR="00510396" w:rsidRDefault="00510396">
            <w:pPr>
              <w:jc w:val="right"/>
              <w:rPr>
                <w:color w:val="000000"/>
                <w:sz w:val="20"/>
                <w:szCs w:val="20"/>
              </w:rPr>
            </w:pPr>
            <w:r>
              <w:rPr>
                <w:color w:val="000000"/>
                <w:sz w:val="20"/>
                <w:szCs w:val="20"/>
              </w:rPr>
              <w:t>0.970</w:t>
            </w:r>
          </w:p>
        </w:tc>
        <w:tc>
          <w:tcPr>
            <w:tcW w:w="768" w:type="dxa"/>
            <w:tcBorders>
              <w:top w:val="nil"/>
              <w:left w:val="nil"/>
              <w:bottom w:val="nil"/>
              <w:right w:val="nil"/>
            </w:tcBorders>
            <w:shd w:val="clear" w:color="auto" w:fill="auto"/>
            <w:noWrap/>
            <w:vAlign w:val="bottom"/>
            <w:hideMark/>
          </w:tcPr>
          <w:p w14:paraId="607CFFE5"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671E569" w14:textId="77777777" w:rsidR="00510396" w:rsidRDefault="0051039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4A7AB23A" w14:textId="77777777" w:rsidR="00510396" w:rsidRDefault="00510396">
            <w:pPr>
              <w:jc w:val="right"/>
              <w:rPr>
                <w:color w:val="000000"/>
                <w:sz w:val="20"/>
                <w:szCs w:val="20"/>
              </w:rPr>
            </w:pPr>
            <w:r>
              <w:rPr>
                <w:color w:val="000000"/>
                <w:sz w:val="20"/>
                <w:szCs w:val="20"/>
              </w:rPr>
              <w:t>0.935</w:t>
            </w:r>
          </w:p>
        </w:tc>
        <w:tc>
          <w:tcPr>
            <w:tcW w:w="768" w:type="dxa"/>
            <w:tcBorders>
              <w:top w:val="nil"/>
              <w:left w:val="nil"/>
              <w:bottom w:val="nil"/>
              <w:right w:val="nil"/>
            </w:tcBorders>
            <w:shd w:val="clear" w:color="auto" w:fill="auto"/>
            <w:noWrap/>
            <w:vAlign w:val="bottom"/>
            <w:hideMark/>
          </w:tcPr>
          <w:p w14:paraId="6014470A"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F64106" w14:textId="77777777" w:rsidR="00510396" w:rsidRDefault="0051039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629365A" w14:textId="77777777" w:rsidR="00510396" w:rsidRDefault="00510396">
            <w:pPr>
              <w:jc w:val="right"/>
              <w:rPr>
                <w:color w:val="000000"/>
                <w:sz w:val="20"/>
                <w:szCs w:val="20"/>
              </w:rPr>
            </w:pPr>
            <w:r>
              <w:rPr>
                <w:color w:val="000000"/>
                <w:sz w:val="20"/>
                <w:szCs w:val="20"/>
              </w:rPr>
              <w:t>0.792</w:t>
            </w:r>
          </w:p>
        </w:tc>
        <w:tc>
          <w:tcPr>
            <w:tcW w:w="768" w:type="dxa"/>
            <w:tcBorders>
              <w:top w:val="nil"/>
              <w:left w:val="nil"/>
              <w:bottom w:val="nil"/>
              <w:right w:val="nil"/>
            </w:tcBorders>
            <w:shd w:val="clear" w:color="auto" w:fill="auto"/>
            <w:noWrap/>
            <w:vAlign w:val="bottom"/>
            <w:hideMark/>
          </w:tcPr>
          <w:p w14:paraId="26171D39"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FC8D75E" w14:textId="77777777" w:rsidR="00510396" w:rsidRDefault="0051039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36FB0BD0" w14:textId="77777777" w:rsidR="00510396" w:rsidRDefault="00510396">
            <w:pPr>
              <w:jc w:val="right"/>
              <w:rPr>
                <w:color w:val="000000"/>
                <w:sz w:val="20"/>
                <w:szCs w:val="20"/>
              </w:rPr>
            </w:pPr>
            <w:r>
              <w:rPr>
                <w:color w:val="000000"/>
                <w:sz w:val="20"/>
                <w:szCs w:val="20"/>
              </w:rPr>
              <w:t>0.757</w:t>
            </w:r>
          </w:p>
        </w:tc>
        <w:tc>
          <w:tcPr>
            <w:tcW w:w="768" w:type="dxa"/>
            <w:tcBorders>
              <w:top w:val="nil"/>
              <w:left w:val="nil"/>
              <w:bottom w:val="nil"/>
              <w:right w:val="nil"/>
            </w:tcBorders>
            <w:shd w:val="clear" w:color="auto" w:fill="auto"/>
            <w:noWrap/>
            <w:vAlign w:val="bottom"/>
            <w:hideMark/>
          </w:tcPr>
          <w:p w14:paraId="5800FC29"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8D68351" w14:textId="77777777" w:rsidR="00510396" w:rsidRDefault="005103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18788CC6" w14:textId="77777777" w:rsidR="00510396" w:rsidRDefault="00510396">
            <w:pPr>
              <w:jc w:val="right"/>
              <w:rPr>
                <w:color w:val="000000"/>
                <w:sz w:val="20"/>
                <w:szCs w:val="20"/>
              </w:rPr>
            </w:pPr>
            <w:r>
              <w:rPr>
                <w:color w:val="000000"/>
                <w:sz w:val="20"/>
                <w:szCs w:val="20"/>
              </w:rPr>
              <w:t>0.923</w:t>
            </w:r>
          </w:p>
        </w:tc>
        <w:tc>
          <w:tcPr>
            <w:tcW w:w="768" w:type="dxa"/>
            <w:tcBorders>
              <w:top w:val="nil"/>
              <w:left w:val="nil"/>
              <w:bottom w:val="nil"/>
              <w:right w:val="nil"/>
            </w:tcBorders>
            <w:shd w:val="clear" w:color="auto" w:fill="auto"/>
            <w:noWrap/>
            <w:vAlign w:val="bottom"/>
            <w:hideMark/>
          </w:tcPr>
          <w:p w14:paraId="63BD534E" w14:textId="77777777" w:rsidR="00510396" w:rsidRDefault="00510396">
            <w:pPr>
              <w:jc w:val="right"/>
              <w:rPr>
                <w:color w:val="000000"/>
                <w:sz w:val="20"/>
                <w:szCs w:val="20"/>
              </w:rPr>
            </w:pPr>
            <w:r>
              <w:rPr>
                <w:color w:val="000000"/>
                <w:sz w:val="20"/>
                <w:szCs w:val="20"/>
              </w:rPr>
              <w:t>0.000</w:t>
            </w:r>
          </w:p>
        </w:tc>
      </w:tr>
      <w:tr w:rsidR="00510396" w14:paraId="16FC4590" w14:textId="77777777" w:rsidTr="00510396">
        <w:trPr>
          <w:trHeight w:val="320"/>
        </w:trPr>
        <w:tc>
          <w:tcPr>
            <w:tcW w:w="1176" w:type="dxa"/>
            <w:tcBorders>
              <w:top w:val="nil"/>
              <w:left w:val="nil"/>
              <w:bottom w:val="single" w:sz="4" w:space="0" w:color="auto"/>
              <w:right w:val="nil"/>
            </w:tcBorders>
            <w:shd w:val="clear" w:color="auto" w:fill="auto"/>
            <w:noWrap/>
            <w:vAlign w:val="bottom"/>
            <w:hideMark/>
          </w:tcPr>
          <w:p w14:paraId="1E99ECA7" w14:textId="77777777" w:rsidR="00510396" w:rsidRDefault="0051039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2189551" w14:textId="77777777" w:rsidR="00510396" w:rsidRDefault="0051039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4250550"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B49B371" w14:textId="77777777" w:rsidR="00510396" w:rsidRDefault="00510396">
            <w:pPr>
              <w:jc w:val="right"/>
              <w:rPr>
                <w:color w:val="000000"/>
                <w:sz w:val="20"/>
                <w:szCs w:val="20"/>
              </w:rPr>
            </w:pPr>
            <w:r>
              <w:rPr>
                <w:color w:val="000000"/>
                <w:sz w:val="20"/>
                <w:szCs w:val="20"/>
              </w:rPr>
              <w:t>0.970</w:t>
            </w:r>
          </w:p>
        </w:tc>
        <w:tc>
          <w:tcPr>
            <w:tcW w:w="768" w:type="dxa"/>
            <w:tcBorders>
              <w:top w:val="nil"/>
              <w:left w:val="nil"/>
              <w:bottom w:val="single" w:sz="4" w:space="0" w:color="auto"/>
              <w:right w:val="nil"/>
            </w:tcBorders>
            <w:shd w:val="clear" w:color="auto" w:fill="auto"/>
            <w:noWrap/>
            <w:vAlign w:val="bottom"/>
            <w:hideMark/>
          </w:tcPr>
          <w:p w14:paraId="4575C6AC"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2539F68" w14:textId="77777777" w:rsidR="00510396" w:rsidRDefault="00510396">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6D173A56" w14:textId="77777777" w:rsidR="00510396" w:rsidRDefault="00510396">
            <w:pPr>
              <w:jc w:val="right"/>
              <w:rPr>
                <w:color w:val="000000"/>
                <w:sz w:val="20"/>
                <w:szCs w:val="20"/>
              </w:rPr>
            </w:pPr>
            <w:r>
              <w:rPr>
                <w:color w:val="000000"/>
                <w:sz w:val="20"/>
                <w:szCs w:val="20"/>
              </w:rPr>
              <w:t>0.935</w:t>
            </w:r>
          </w:p>
        </w:tc>
        <w:tc>
          <w:tcPr>
            <w:tcW w:w="768" w:type="dxa"/>
            <w:tcBorders>
              <w:top w:val="nil"/>
              <w:left w:val="nil"/>
              <w:bottom w:val="single" w:sz="4" w:space="0" w:color="auto"/>
              <w:right w:val="nil"/>
            </w:tcBorders>
            <w:shd w:val="clear" w:color="auto" w:fill="auto"/>
            <w:noWrap/>
            <w:vAlign w:val="bottom"/>
            <w:hideMark/>
          </w:tcPr>
          <w:p w14:paraId="2F25E21D"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5B604987" w14:textId="77777777" w:rsidR="00510396" w:rsidRDefault="00510396">
            <w:pPr>
              <w:jc w:val="right"/>
              <w:rPr>
                <w:color w:val="000000"/>
                <w:sz w:val="20"/>
                <w:szCs w:val="20"/>
              </w:rPr>
            </w:pPr>
            <w:r>
              <w:rPr>
                <w:color w:val="000000"/>
                <w:sz w:val="20"/>
                <w:szCs w:val="20"/>
              </w:rPr>
              <w:t>-0.031</w:t>
            </w:r>
          </w:p>
        </w:tc>
        <w:tc>
          <w:tcPr>
            <w:tcW w:w="768" w:type="dxa"/>
            <w:tcBorders>
              <w:top w:val="nil"/>
              <w:left w:val="nil"/>
              <w:bottom w:val="single" w:sz="4" w:space="0" w:color="auto"/>
              <w:right w:val="nil"/>
            </w:tcBorders>
            <w:shd w:val="clear" w:color="auto" w:fill="auto"/>
            <w:noWrap/>
            <w:vAlign w:val="bottom"/>
            <w:hideMark/>
          </w:tcPr>
          <w:p w14:paraId="17F19577" w14:textId="77777777" w:rsidR="00510396" w:rsidRDefault="00510396">
            <w:pPr>
              <w:jc w:val="right"/>
              <w:rPr>
                <w:color w:val="000000"/>
                <w:sz w:val="20"/>
                <w:szCs w:val="20"/>
              </w:rPr>
            </w:pPr>
            <w:r>
              <w:rPr>
                <w:color w:val="000000"/>
                <w:sz w:val="20"/>
                <w:szCs w:val="20"/>
              </w:rPr>
              <w:t>0.792</w:t>
            </w:r>
          </w:p>
        </w:tc>
        <w:tc>
          <w:tcPr>
            <w:tcW w:w="768" w:type="dxa"/>
            <w:tcBorders>
              <w:top w:val="nil"/>
              <w:left w:val="nil"/>
              <w:bottom w:val="single" w:sz="4" w:space="0" w:color="auto"/>
              <w:right w:val="nil"/>
            </w:tcBorders>
            <w:shd w:val="clear" w:color="auto" w:fill="auto"/>
            <w:noWrap/>
            <w:vAlign w:val="bottom"/>
            <w:hideMark/>
          </w:tcPr>
          <w:p w14:paraId="29FFAC68"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5085D1C5" w14:textId="77777777" w:rsidR="00510396" w:rsidRDefault="00510396">
            <w:pPr>
              <w:jc w:val="right"/>
              <w:rPr>
                <w:color w:val="000000"/>
                <w:sz w:val="20"/>
                <w:szCs w:val="20"/>
              </w:rPr>
            </w:pPr>
            <w:r>
              <w:rPr>
                <w:color w:val="000000"/>
                <w:sz w:val="20"/>
                <w:szCs w:val="20"/>
              </w:rPr>
              <w:t>0.055</w:t>
            </w:r>
          </w:p>
        </w:tc>
        <w:tc>
          <w:tcPr>
            <w:tcW w:w="768" w:type="dxa"/>
            <w:tcBorders>
              <w:top w:val="nil"/>
              <w:left w:val="nil"/>
              <w:bottom w:val="single" w:sz="4" w:space="0" w:color="auto"/>
              <w:right w:val="nil"/>
            </w:tcBorders>
            <w:shd w:val="clear" w:color="auto" w:fill="auto"/>
            <w:noWrap/>
            <w:vAlign w:val="bottom"/>
            <w:hideMark/>
          </w:tcPr>
          <w:p w14:paraId="38CD510D" w14:textId="77777777" w:rsidR="00510396" w:rsidRDefault="00510396">
            <w:pPr>
              <w:jc w:val="right"/>
              <w:rPr>
                <w:color w:val="000000"/>
                <w:sz w:val="20"/>
                <w:szCs w:val="20"/>
              </w:rPr>
            </w:pPr>
            <w:r>
              <w:rPr>
                <w:color w:val="000000"/>
                <w:sz w:val="20"/>
                <w:szCs w:val="20"/>
              </w:rPr>
              <w:t>0.680</w:t>
            </w:r>
          </w:p>
        </w:tc>
        <w:tc>
          <w:tcPr>
            <w:tcW w:w="768" w:type="dxa"/>
            <w:tcBorders>
              <w:top w:val="nil"/>
              <w:left w:val="nil"/>
              <w:bottom w:val="single" w:sz="4" w:space="0" w:color="auto"/>
              <w:right w:val="nil"/>
            </w:tcBorders>
            <w:shd w:val="clear" w:color="auto" w:fill="auto"/>
            <w:noWrap/>
            <w:vAlign w:val="bottom"/>
            <w:hideMark/>
          </w:tcPr>
          <w:p w14:paraId="37AB3B70"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3F13F7C0" w14:textId="77777777" w:rsidR="00510396" w:rsidRDefault="00510396">
            <w:pPr>
              <w:jc w:val="right"/>
              <w:rPr>
                <w:color w:val="000000"/>
                <w:sz w:val="20"/>
                <w:szCs w:val="20"/>
              </w:rPr>
            </w:pPr>
            <w:r>
              <w:rPr>
                <w:color w:val="000000"/>
                <w:sz w:val="20"/>
                <w:szCs w:val="20"/>
              </w:rPr>
              <w:t>0.038</w:t>
            </w:r>
          </w:p>
        </w:tc>
        <w:tc>
          <w:tcPr>
            <w:tcW w:w="768" w:type="dxa"/>
            <w:tcBorders>
              <w:top w:val="nil"/>
              <w:left w:val="nil"/>
              <w:bottom w:val="single" w:sz="4" w:space="0" w:color="auto"/>
              <w:right w:val="nil"/>
            </w:tcBorders>
            <w:shd w:val="clear" w:color="auto" w:fill="auto"/>
            <w:noWrap/>
            <w:vAlign w:val="bottom"/>
            <w:hideMark/>
          </w:tcPr>
          <w:p w14:paraId="7C146633" w14:textId="77777777" w:rsidR="00510396" w:rsidRDefault="00510396">
            <w:pPr>
              <w:jc w:val="right"/>
              <w:rPr>
                <w:color w:val="000000"/>
                <w:sz w:val="20"/>
                <w:szCs w:val="20"/>
              </w:rPr>
            </w:pPr>
            <w:r>
              <w:rPr>
                <w:color w:val="000000"/>
                <w:sz w:val="20"/>
                <w:szCs w:val="20"/>
              </w:rPr>
              <w:t>0.694</w:t>
            </w:r>
          </w:p>
        </w:tc>
        <w:tc>
          <w:tcPr>
            <w:tcW w:w="768" w:type="dxa"/>
            <w:tcBorders>
              <w:top w:val="nil"/>
              <w:left w:val="nil"/>
              <w:bottom w:val="single" w:sz="4" w:space="0" w:color="auto"/>
              <w:right w:val="nil"/>
            </w:tcBorders>
            <w:shd w:val="clear" w:color="auto" w:fill="auto"/>
            <w:noWrap/>
            <w:vAlign w:val="bottom"/>
            <w:hideMark/>
          </w:tcPr>
          <w:p w14:paraId="35A1B07C" w14:textId="77777777" w:rsidR="00510396" w:rsidRDefault="00510396">
            <w:pPr>
              <w:jc w:val="right"/>
              <w:rPr>
                <w:color w:val="000000"/>
                <w:sz w:val="20"/>
                <w:szCs w:val="20"/>
              </w:rPr>
            </w:pPr>
            <w:r>
              <w:rPr>
                <w:color w:val="000000"/>
                <w:sz w:val="20"/>
                <w:szCs w:val="20"/>
              </w:rPr>
              <w:t>0.001</w:t>
            </w:r>
          </w:p>
        </w:tc>
      </w:tr>
      <w:tr w:rsidR="00510396" w14:paraId="6748C396" w14:textId="77777777" w:rsidTr="00510396">
        <w:trPr>
          <w:trHeight w:val="320"/>
        </w:trPr>
        <w:tc>
          <w:tcPr>
            <w:tcW w:w="1176" w:type="dxa"/>
            <w:tcBorders>
              <w:top w:val="nil"/>
              <w:left w:val="nil"/>
              <w:bottom w:val="nil"/>
              <w:right w:val="nil"/>
            </w:tcBorders>
            <w:shd w:val="clear" w:color="auto" w:fill="auto"/>
            <w:noWrap/>
            <w:vAlign w:val="bottom"/>
            <w:hideMark/>
          </w:tcPr>
          <w:p w14:paraId="670567D9" w14:textId="77777777" w:rsidR="00510396" w:rsidRDefault="00510396">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556DD50F" w14:textId="77777777" w:rsidR="00510396" w:rsidRDefault="0051039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7193897F" w14:textId="77777777" w:rsidR="00510396" w:rsidRDefault="005103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40EC04D" w14:textId="77777777" w:rsidR="00510396" w:rsidRDefault="00510396">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04F42ADC"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61CE814" w14:textId="77777777" w:rsidR="00510396" w:rsidRDefault="00510396">
            <w:pPr>
              <w:jc w:val="right"/>
              <w:rPr>
                <w:color w:val="000000"/>
                <w:sz w:val="20"/>
                <w:szCs w:val="20"/>
              </w:rPr>
            </w:pPr>
            <w:r>
              <w:rPr>
                <w:color w:val="000000"/>
                <w:sz w:val="20"/>
                <w:szCs w:val="20"/>
              </w:rPr>
              <w:t>0.053</w:t>
            </w:r>
          </w:p>
        </w:tc>
        <w:tc>
          <w:tcPr>
            <w:tcW w:w="768" w:type="dxa"/>
            <w:tcBorders>
              <w:top w:val="nil"/>
              <w:left w:val="nil"/>
              <w:bottom w:val="nil"/>
              <w:right w:val="nil"/>
            </w:tcBorders>
            <w:shd w:val="clear" w:color="auto" w:fill="auto"/>
            <w:noWrap/>
            <w:vAlign w:val="bottom"/>
            <w:hideMark/>
          </w:tcPr>
          <w:p w14:paraId="3E001CE9" w14:textId="77777777" w:rsidR="00510396" w:rsidRDefault="00510396">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2561E1BA"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71D5032" w14:textId="77777777" w:rsidR="00510396" w:rsidRDefault="005103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A9A6DC5" w14:textId="77777777" w:rsidR="00510396" w:rsidRDefault="00510396">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11721615"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0C5CC50" w14:textId="77777777" w:rsidR="00510396" w:rsidRDefault="0051039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1F3C0B1B" w14:textId="77777777" w:rsidR="00510396" w:rsidRDefault="00510396">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5D82CFD1"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E6B69ED" w14:textId="77777777" w:rsidR="00510396" w:rsidRDefault="00510396">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79CBA39A" w14:textId="77777777" w:rsidR="00510396" w:rsidRDefault="00510396">
            <w:pPr>
              <w:jc w:val="right"/>
              <w:rPr>
                <w:color w:val="000000"/>
                <w:sz w:val="20"/>
                <w:szCs w:val="20"/>
              </w:rPr>
            </w:pPr>
            <w:r>
              <w:rPr>
                <w:color w:val="000000"/>
                <w:sz w:val="20"/>
                <w:szCs w:val="20"/>
              </w:rPr>
              <w:t>0.076</w:t>
            </w:r>
          </w:p>
        </w:tc>
        <w:tc>
          <w:tcPr>
            <w:tcW w:w="768" w:type="dxa"/>
            <w:tcBorders>
              <w:top w:val="nil"/>
              <w:left w:val="nil"/>
              <w:bottom w:val="nil"/>
              <w:right w:val="nil"/>
            </w:tcBorders>
            <w:shd w:val="clear" w:color="auto" w:fill="auto"/>
            <w:noWrap/>
            <w:vAlign w:val="bottom"/>
            <w:hideMark/>
          </w:tcPr>
          <w:p w14:paraId="14504A8D" w14:textId="77777777" w:rsidR="00510396" w:rsidRDefault="00510396">
            <w:pPr>
              <w:jc w:val="right"/>
              <w:rPr>
                <w:color w:val="000000"/>
                <w:sz w:val="20"/>
                <w:szCs w:val="20"/>
              </w:rPr>
            </w:pPr>
            <w:r>
              <w:rPr>
                <w:color w:val="000000"/>
                <w:sz w:val="20"/>
                <w:szCs w:val="20"/>
              </w:rPr>
              <w:t>0.006</w:t>
            </w:r>
          </w:p>
        </w:tc>
      </w:tr>
      <w:tr w:rsidR="00510396" w14:paraId="586C8D46" w14:textId="77777777" w:rsidTr="00510396">
        <w:trPr>
          <w:trHeight w:val="320"/>
        </w:trPr>
        <w:tc>
          <w:tcPr>
            <w:tcW w:w="1176" w:type="dxa"/>
            <w:tcBorders>
              <w:top w:val="nil"/>
              <w:left w:val="nil"/>
              <w:bottom w:val="nil"/>
              <w:right w:val="nil"/>
            </w:tcBorders>
            <w:shd w:val="clear" w:color="auto" w:fill="auto"/>
            <w:noWrap/>
            <w:vAlign w:val="bottom"/>
            <w:hideMark/>
          </w:tcPr>
          <w:p w14:paraId="6D842C74"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2AA4B9D" w14:textId="77777777" w:rsidR="00510396" w:rsidRDefault="0051039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5A23880C" w14:textId="77777777" w:rsidR="00510396" w:rsidRDefault="0051039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20270F2D" w14:textId="77777777" w:rsidR="00510396" w:rsidRDefault="00510396">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157E0186"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0D32CB" w14:textId="77777777" w:rsidR="00510396" w:rsidRDefault="00510396">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7B6269AA" w14:textId="77777777" w:rsidR="00510396" w:rsidRDefault="00510396">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097C8962"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AF3A5D" w14:textId="77777777" w:rsidR="00510396" w:rsidRDefault="0051039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225EB962" w14:textId="77777777" w:rsidR="00510396" w:rsidRDefault="00510396">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26FAB5E7"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B211576" w14:textId="77777777" w:rsidR="00510396" w:rsidRDefault="0051039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3F415910" w14:textId="77777777" w:rsidR="00510396" w:rsidRDefault="00510396">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490284C4"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0AC37C3"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9E3DE2C" w14:textId="77777777" w:rsidR="00510396" w:rsidRDefault="00510396">
            <w:pPr>
              <w:jc w:val="right"/>
              <w:rPr>
                <w:color w:val="000000"/>
                <w:sz w:val="20"/>
                <w:szCs w:val="20"/>
              </w:rPr>
            </w:pPr>
            <w:r>
              <w:rPr>
                <w:color w:val="000000"/>
                <w:sz w:val="20"/>
                <w:szCs w:val="20"/>
              </w:rPr>
              <w:t>0.983</w:t>
            </w:r>
          </w:p>
        </w:tc>
        <w:tc>
          <w:tcPr>
            <w:tcW w:w="768" w:type="dxa"/>
            <w:tcBorders>
              <w:top w:val="nil"/>
              <w:left w:val="nil"/>
              <w:bottom w:val="nil"/>
              <w:right w:val="nil"/>
            </w:tcBorders>
            <w:shd w:val="clear" w:color="auto" w:fill="auto"/>
            <w:noWrap/>
            <w:vAlign w:val="bottom"/>
            <w:hideMark/>
          </w:tcPr>
          <w:p w14:paraId="65CF2FE0" w14:textId="77777777" w:rsidR="00510396" w:rsidRDefault="00510396">
            <w:pPr>
              <w:jc w:val="right"/>
              <w:rPr>
                <w:color w:val="000000"/>
                <w:sz w:val="20"/>
                <w:szCs w:val="20"/>
              </w:rPr>
            </w:pPr>
            <w:r>
              <w:rPr>
                <w:color w:val="000000"/>
                <w:sz w:val="20"/>
                <w:szCs w:val="20"/>
              </w:rPr>
              <w:t>0.000</w:t>
            </w:r>
          </w:p>
        </w:tc>
      </w:tr>
      <w:tr w:rsidR="00510396" w14:paraId="101E0563" w14:textId="77777777" w:rsidTr="00510396">
        <w:trPr>
          <w:trHeight w:val="320"/>
        </w:trPr>
        <w:tc>
          <w:tcPr>
            <w:tcW w:w="1176" w:type="dxa"/>
            <w:tcBorders>
              <w:top w:val="nil"/>
              <w:left w:val="nil"/>
              <w:bottom w:val="nil"/>
              <w:right w:val="nil"/>
            </w:tcBorders>
            <w:shd w:val="clear" w:color="auto" w:fill="auto"/>
            <w:noWrap/>
            <w:vAlign w:val="bottom"/>
            <w:hideMark/>
          </w:tcPr>
          <w:p w14:paraId="57749BA8"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F846515" w14:textId="77777777" w:rsidR="00510396" w:rsidRDefault="0051039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526A36F" w14:textId="77777777" w:rsidR="00510396" w:rsidRDefault="0051039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365893C5" w14:textId="77777777" w:rsidR="00510396" w:rsidRDefault="00510396">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7F29BA1D"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ED5EAA9" w14:textId="77777777" w:rsidR="00510396" w:rsidRDefault="0051039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6F98469C" w14:textId="77777777" w:rsidR="00510396" w:rsidRDefault="00510396">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3FD9BA32"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EC8DCD1" w14:textId="77777777" w:rsidR="00510396" w:rsidRDefault="005103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1ACC10CD" w14:textId="77777777" w:rsidR="00510396" w:rsidRDefault="00510396">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21AD37E8"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4671F0" w14:textId="77777777" w:rsidR="00510396" w:rsidRDefault="0051039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628DAF92" w14:textId="77777777" w:rsidR="00510396" w:rsidRDefault="00510396">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70955465"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BD39729" w14:textId="77777777" w:rsidR="00510396" w:rsidRDefault="005103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F5ACC18" w14:textId="77777777" w:rsidR="00510396" w:rsidRDefault="00510396">
            <w:pPr>
              <w:jc w:val="right"/>
              <w:rPr>
                <w:color w:val="000000"/>
                <w:sz w:val="20"/>
                <w:szCs w:val="20"/>
              </w:rPr>
            </w:pPr>
            <w:r>
              <w:rPr>
                <w:color w:val="000000"/>
                <w:sz w:val="20"/>
                <w:szCs w:val="20"/>
              </w:rPr>
              <w:t>0.918</w:t>
            </w:r>
          </w:p>
        </w:tc>
        <w:tc>
          <w:tcPr>
            <w:tcW w:w="768" w:type="dxa"/>
            <w:tcBorders>
              <w:top w:val="nil"/>
              <w:left w:val="nil"/>
              <w:bottom w:val="nil"/>
              <w:right w:val="nil"/>
            </w:tcBorders>
            <w:shd w:val="clear" w:color="auto" w:fill="auto"/>
            <w:noWrap/>
            <w:vAlign w:val="bottom"/>
            <w:hideMark/>
          </w:tcPr>
          <w:p w14:paraId="0954AA82" w14:textId="77777777" w:rsidR="00510396" w:rsidRDefault="00510396">
            <w:pPr>
              <w:jc w:val="right"/>
              <w:rPr>
                <w:color w:val="000000"/>
                <w:sz w:val="20"/>
                <w:szCs w:val="20"/>
              </w:rPr>
            </w:pPr>
            <w:r>
              <w:rPr>
                <w:color w:val="000000"/>
                <w:sz w:val="20"/>
                <w:szCs w:val="20"/>
              </w:rPr>
              <w:t>0.000</w:t>
            </w:r>
          </w:p>
        </w:tc>
      </w:tr>
      <w:tr w:rsidR="00510396" w14:paraId="11A47D2F" w14:textId="77777777" w:rsidTr="00510396">
        <w:trPr>
          <w:trHeight w:val="320"/>
        </w:trPr>
        <w:tc>
          <w:tcPr>
            <w:tcW w:w="1176" w:type="dxa"/>
            <w:tcBorders>
              <w:top w:val="nil"/>
              <w:left w:val="nil"/>
              <w:bottom w:val="nil"/>
              <w:right w:val="nil"/>
            </w:tcBorders>
            <w:shd w:val="clear" w:color="auto" w:fill="auto"/>
            <w:noWrap/>
            <w:vAlign w:val="bottom"/>
            <w:hideMark/>
          </w:tcPr>
          <w:p w14:paraId="6AC1575E"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6419807" w14:textId="77777777" w:rsidR="00510396" w:rsidRDefault="0051039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D720714" w14:textId="77777777" w:rsidR="00510396" w:rsidRDefault="0051039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4A866F7E" w14:textId="77777777" w:rsidR="00510396" w:rsidRDefault="00510396">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22701DE6"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37D453" w14:textId="77777777" w:rsidR="00510396" w:rsidRDefault="00510396">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72D950D6" w14:textId="77777777" w:rsidR="00510396" w:rsidRDefault="00510396">
            <w:pPr>
              <w:jc w:val="right"/>
              <w:rPr>
                <w:color w:val="000000"/>
                <w:sz w:val="20"/>
                <w:szCs w:val="20"/>
              </w:rPr>
            </w:pPr>
            <w:r>
              <w:rPr>
                <w:color w:val="000000"/>
                <w:sz w:val="20"/>
                <w:szCs w:val="20"/>
              </w:rPr>
              <w:t>0.573</w:t>
            </w:r>
          </w:p>
        </w:tc>
        <w:tc>
          <w:tcPr>
            <w:tcW w:w="768" w:type="dxa"/>
            <w:tcBorders>
              <w:top w:val="nil"/>
              <w:left w:val="nil"/>
              <w:bottom w:val="nil"/>
              <w:right w:val="nil"/>
            </w:tcBorders>
            <w:shd w:val="clear" w:color="auto" w:fill="auto"/>
            <w:noWrap/>
            <w:vAlign w:val="bottom"/>
            <w:hideMark/>
          </w:tcPr>
          <w:p w14:paraId="15FF1609"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75FD0725" w14:textId="77777777" w:rsidR="00510396" w:rsidRDefault="005103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7081945" w14:textId="77777777" w:rsidR="00510396" w:rsidRDefault="00510396">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5CBE253C"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A75F58" w14:textId="77777777" w:rsidR="00510396" w:rsidRDefault="00510396">
            <w:pPr>
              <w:jc w:val="right"/>
              <w:rPr>
                <w:color w:val="000000"/>
                <w:sz w:val="20"/>
                <w:szCs w:val="20"/>
              </w:rPr>
            </w:pPr>
            <w:r>
              <w:rPr>
                <w:color w:val="000000"/>
                <w:sz w:val="20"/>
                <w:szCs w:val="20"/>
              </w:rPr>
              <w:t>0.047</w:t>
            </w:r>
          </w:p>
        </w:tc>
        <w:tc>
          <w:tcPr>
            <w:tcW w:w="768" w:type="dxa"/>
            <w:tcBorders>
              <w:top w:val="nil"/>
              <w:left w:val="nil"/>
              <w:bottom w:val="nil"/>
              <w:right w:val="nil"/>
            </w:tcBorders>
            <w:shd w:val="clear" w:color="auto" w:fill="auto"/>
            <w:noWrap/>
            <w:vAlign w:val="bottom"/>
            <w:hideMark/>
          </w:tcPr>
          <w:p w14:paraId="01015FB5" w14:textId="77777777" w:rsidR="00510396" w:rsidRDefault="00510396">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2CC140BA"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CDCEC3A" w14:textId="77777777" w:rsidR="00510396" w:rsidRDefault="00510396">
            <w:pPr>
              <w:jc w:val="right"/>
              <w:rPr>
                <w:b/>
                <w:bCs/>
                <w:color w:val="000000"/>
                <w:sz w:val="20"/>
                <w:szCs w:val="20"/>
              </w:rPr>
            </w:pPr>
            <w:r>
              <w:rPr>
                <w:b/>
                <w:bCs/>
                <w:color w:val="000000"/>
                <w:sz w:val="20"/>
                <w:szCs w:val="20"/>
              </w:rPr>
              <w:t>-0.146</w:t>
            </w:r>
          </w:p>
        </w:tc>
        <w:tc>
          <w:tcPr>
            <w:tcW w:w="768" w:type="dxa"/>
            <w:tcBorders>
              <w:top w:val="nil"/>
              <w:left w:val="nil"/>
              <w:bottom w:val="nil"/>
              <w:right w:val="nil"/>
            </w:tcBorders>
            <w:shd w:val="clear" w:color="auto" w:fill="auto"/>
            <w:noWrap/>
            <w:vAlign w:val="bottom"/>
            <w:hideMark/>
          </w:tcPr>
          <w:p w14:paraId="125F2515" w14:textId="77777777" w:rsidR="00510396" w:rsidRDefault="00510396">
            <w:pPr>
              <w:jc w:val="right"/>
              <w:rPr>
                <w:b/>
                <w:bCs/>
                <w:color w:val="000000"/>
                <w:sz w:val="20"/>
                <w:szCs w:val="20"/>
              </w:rPr>
            </w:pPr>
            <w:r>
              <w:rPr>
                <w:b/>
                <w:bCs/>
                <w:color w:val="000000"/>
                <w:sz w:val="20"/>
                <w:szCs w:val="20"/>
              </w:rPr>
              <w:t>0.016</w:t>
            </w:r>
          </w:p>
        </w:tc>
        <w:tc>
          <w:tcPr>
            <w:tcW w:w="768" w:type="dxa"/>
            <w:tcBorders>
              <w:top w:val="nil"/>
              <w:left w:val="nil"/>
              <w:bottom w:val="nil"/>
              <w:right w:val="nil"/>
            </w:tcBorders>
            <w:shd w:val="clear" w:color="auto" w:fill="auto"/>
            <w:noWrap/>
            <w:vAlign w:val="bottom"/>
            <w:hideMark/>
          </w:tcPr>
          <w:p w14:paraId="671E54B4" w14:textId="77777777" w:rsidR="00510396" w:rsidRDefault="00510396">
            <w:pPr>
              <w:jc w:val="right"/>
              <w:rPr>
                <w:b/>
                <w:bCs/>
                <w:color w:val="000000"/>
                <w:sz w:val="20"/>
                <w:szCs w:val="20"/>
              </w:rPr>
            </w:pPr>
            <w:r>
              <w:rPr>
                <w:b/>
                <w:bCs/>
                <w:color w:val="000000"/>
                <w:sz w:val="20"/>
                <w:szCs w:val="20"/>
              </w:rPr>
              <w:t>0.021</w:t>
            </w:r>
          </w:p>
        </w:tc>
      </w:tr>
      <w:tr w:rsidR="00510396" w14:paraId="00DDE5C8" w14:textId="77777777" w:rsidTr="00510396">
        <w:trPr>
          <w:trHeight w:val="320"/>
        </w:trPr>
        <w:tc>
          <w:tcPr>
            <w:tcW w:w="1176" w:type="dxa"/>
            <w:tcBorders>
              <w:top w:val="nil"/>
              <w:left w:val="nil"/>
              <w:bottom w:val="nil"/>
              <w:right w:val="nil"/>
            </w:tcBorders>
            <w:shd w:val="clear" w:color="auto" w:fill="auto"/>
            <w:noWrap/>
            <w:vAlign w:val="bottom"/>
            <w:hideMark/>
          </w:tcPr>
          <w:p w14:paraId="6E633290" w14:textId="77777777" w:rsidR="00510396" w:rsidRDefault="00510396">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6E97AAE2" w14:textId="77777777" w:rsidR="00510396" w:rsidRDefault="0051039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B838195" w14:textId="77777777" w:rsidR="00510396" w:rsidRDefault="00510396">
            <w:pPr>
              <w:jc w:val="right"/>
              <w:rPr>
                <w:color w:val="000000"/>
                <w:sz w:val="20"/>
                <w:szCs w:val="20"/>
              </w:rPr>
            </w:pPr>
            <w:r>
              <w:rPr>
                <w:color w:val="000000"/>
                <w:sz w:val="20"/>
                <w:szCs w:val="20"/>
              </w:rPr>
              <w:t>-0.031</w:t>
            </w:r>
          </w:p>
        </w:tc>
        <w:tc>
          <w:tcPr>
            <w:tcW w:w="768" w:type="dxa"/>
            <w:tcBorders>
              <w:top w:val="nil"/>
              <w:left w:val="nil"/>
              <w:bottom w:val="nil"/>
              <w:right w:val="nil"/>
            </w:tcBorders>
            <w:shd w:val="clear" w:color="auto" w:fill="auto"/>
            <w:noWrap/>
            <w:vAlign w:val="bottom"/>
            <w:hideMark/>
          </w:tcPr>
          <w:p w14:paraId="0F0F171C" w14:textId="77777777" w:rsidR="00510396" w:rsidRDefault="00510396">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50F648D0"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35443E2" w14:textId="77777777" w:rsidR="00510396" w:rsidRDefault="0051039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22BCF34B" w14:textId="77777777" w:rsidR="00510396" w:rsidRDefault="00510396">
            <w:pPr>
              <w:jc w:val="right"/>
              <w:rPr>
                <w:color w:val="000000"/>
                <w:sz w:val="20"/>
                <w:szCs w:val="20"/>
              </w:rPr>
            </w:pPr>
            <w:r>
              <w:rPr>
                <w:color w:val="000000"/>
                <w:sz w:val="20"/>
                <w:szCs w:val="20"/>
              </w:rPr>
              <w:t>0.598</w:t>
            </w:r>
          </w:p>
        </w:tc>
        <w:tc>
          <w:tcPr>
            <w:tcW w:w="768" w:type="dxa"/>
            <w:tcBorders>
              <w:top w:val="nil"/>
              <w:left w:val="nil"/>
              <w:bottom w:val="nil"/>
              <w:right w:val="nil"/>
            </w:tcBorders>
            <w:shd w:val="clear" w:color="auto" w:fill="auto"/>
            <w:noWrap/>
            <w:vAlign w:val="bottom"/>
            <w:hideMark/>
          </w:tcPr>
          <w:p w14:paraId="45CE54F2"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79D9372" w14:textId="77777777" w:rsidR="00510396" w:rsidRDefault="0051039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32E337D" w14:textId="77777777" w:rsidR="00510396" w:rsidRDefault="00510396">
            <w:pPr>
              <w:jc w:val="right"/>
              <w:rPr>
                <w:color w:val="000000"/>
                <w:sz w:val="20"/>
                <w:szCs w:val="20"/>
              </w:rPr>
            </w:pPr>
            <w:r>
              <w:rPr>
                <w:color w:val="000000"/>
                <w:sz w:val="20"/>
                <w:szCs w:val="20"/>
              </w:rPr>
              <w:t>0.911</w:t>
            </w:r>
          </w:p>
        </w:tc>
        <w:tc>
          <w:tcPr>
            <w:tcW w:w="768" w:type="dxa"/>
            <w:tcBorders>
              <w:top w:val="nil"/>
              <w:left w:val="nil"/>
              <w:bottom w:val="nil"/>
              <w:right w:val="nil"/>
            </w:tcBorders>
            <w:shd w:val="clear" w:color="auto" w:fill="auto"/>
            <w:noWrap/>
            <w:vAlign w:val="bottom"/>
            <w:hideMark/>
          </w:tcPr>
          <w:p w14:paraId="6E7A094A"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AC355A4" w14:textId="77777777" w:rsidR="00510396" w:rsidRDefault="0051039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12B954DD" w14:textId="77777777" w:rsidR="00510396" w:rsidRDefault="00510396">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6AF9656B"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CB4B07B" w14:textId="77777777" w:rsidR="00510396" w:rsidRDefault="0051039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3AE34D34" w14:textId="77777777" w:rsidR="00510396" w:rsidRDefault="00510396">
            <w:pPr>
              <w:jc w:val="right"/>
              <w:rPr>
                <w:color w:val="000000"/>
                <w:sz w:val="20"/>
                <w:szCs w:val="20"/>
              </w:rPr>
            </w:pPr>
            <w:r>
              <w:rPr>
                <w:color w:val="000000"/>
                <w:sz w:val="20"/>
                <w:szCs w:val="20"/>
              </w:rPr>
              <w:t>0.821</w:t>
            </w:r>
          </w:p>
        </w:tc>
        <w:tc>
          <w:tcPr>
            <w:tcW w:w="768" w:type="dxa"/>
            <w:tcBorders>
              <w:top w:val="nil"/>
              <w:left w:val="nil"/>
              <w:bottom w:val="nil"/>
              <w:right w:val="nil"/>
            </w:tcBorders>
            <w:shd w:val="clear" w:color="auto" w:fill="auto"/>
            <w:noWrap/>
            <w:vAlign w:val="bottom"/>
            <w:hideMark/>
          </w:tcPr>
          <w:p w14:paraId="3D159ABC" w14:textId="77777777" w:rsidR="00510396" w:rsidRDefault="00510396">
            <w:pPr>
              <w:jc w:val="right"/>
              <w:rPr>
                <w:color w:val="000000"/>
                <w:sz w:val="20"/>
                <w:szCs w:val="20"/>
              </w:rPr>
            </w:pPr>
            <w:r>
              <w:rPr>
                <w:color w:val="000000"/>
                <w:sz w:val="20"/>
                <w:szCs w:val="20"/>
              </w:rPr>
              <w:t>0.001</w:t>
            </w:r>
          </w:p>
        </w:tc>
      </w:tr>
      <w:tr w:rsidR="00510396" w14:paraId="5953A462" w14:textId="77777777" w:rsidTr="00510396">
        <w:trPr>
          <w:trHeight w:val="320"/>
        </w:trPr>
        <w:tc>
          <w:tcPr>
            <w:tcW w:w="1176" w:type="dxa"/>
            <w:tcBorders>
              <w:top w:val="nil"/>
              <w:left w:val="nil"/>
              <w:bottom w:val="nil"/>
              <w:right w:val="nil"/>
            </w:tcBorders>
            <w:shd w:val="clear" w:color="auto" w:fill="auto"/>
            <w:noWrap/>
            <w:vAlign w:val="bottom"/>
            <w:hideMark/>
          </w:tcPr>
          <w:p w14:paraId="5BC4E812"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C07E025" w14:textId="77777777" w:rsidR="00510396" w:rsidRDefault="0051039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452EB612" w14:textId="77777777" w:rsidR="00510396" w:rsidRDefault="0051039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2C0BA715" w14:textId="77777777" w:rsidR="00510396" w:rsidRDefault="00510396">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5615A299"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0BBCD9" w14:textId="77777777" w:rsidR="00510396" w:rsidRDefault="005103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8588E93" w14:textId="77777777" w:rsidR="00510396" w:rsidRDefault="00510396">
            <w:pPr>
              <w:jc w:val="right"/>
              <w:rPr>
                <w:color w:val="000000"/>
                <w:sz w:val="20"/>
                <w:szCs w:val="20"/>
              </w:rPr>
            </w:pPr>
            <w:r>
              <w:rPr>
                <w:color w:val="000000"/>
                <w:sz w:val="20"/>
                <w:szCs w:val="20"/>
              </w:rPr>
              <w:t>0.853</w:t>
            </w:r>
          </w:p>
        </w:tc>
        <w:tc>
          <w:tcPr>
            <w:tcW w:w="768" w:type="dxa"/>
            <w:tcBorders>
              <w:top w:val="nil"/>
              <w:left w:val="nil"/>
              <w:bottom w:val="nil"/>
              <w:right w:val="nil"/>
            </w:tcBorders>
            <w:shd w:val="clear" w:color="auto" w:fill="auto"/>
            <w:noWrap/>
            <w:vAlign w:val="bottom"/>
            <w:hideMark/>
          </w:tcPr>
          <w:p w14:paraId="38626AA7"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2A26CEC" w14:textId="77777777" w:rsidR="00510396" w:rsidRDefault="00510396">
            <w:pPr>
              <w:jc w:val="right"/>
              <w:rPr>
                <w:b/>
                <w:bCs/>
                <w:color w:val="000000"/>
                <w:sz w:val="20"/>
                <w:szCs w:val="20"/>
              </w:rPr>
            </w:pPr>
            <w:r>
              <w:rPr>
                <w:b/>
                <w:bCs/>
                <w:color w:val="000000"/>
                <w:sz w:val="20"/>
                <w:szCs w:val="20"/>
              </w:rPr>
              <w:t>0.124</w:t>
            </w:r>
          </w:p>
        </w:tc>
        <w:tc>
          <w:tcPr>
            <w:tcW w:w="768" w:type="dxa"/>
            <w:tcBorders>
              <w:top w:val="nil"/>
              <w:left w:val="nil"/>
              <w:bottom w:val="nil"/>
              <w:right w:val="nil"/>
            </w:tcBorders>
            <w:shd w:val="clear" w:color="auto" w:fill="auto"/>
            <w:noWrap/>
            <w:vAlign w:val="bottom"/>
            <w:hideMark/>
          </w:tcPr>
          <w:p w14:paraId="1C3974ED" w14:textId="77777777" w:rsidR="00510396" w:rsidRDefault="00510396">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63475DBF" w14:textId="77777777" w:rsidR="00510396" w:rsidRDefault="00510396">
            <w:pPr>
              <w:jc w:val="right"/>
              <w:rPr>
                <w:b/>
                <w:bCs/>
                <w:color w:val="000000"/>
                <w:sz w:val="20"/>
                <w:szCs w:val="20"/>
              </w:rPr>
            </w:pPr>
            <w:r>
              <w:rPr>
                <w:b/>
                <w:bCs/>
                <w:color w:val="000000"/>
                <w:sz w:val="20"/>
                <w:szCs w:val="20"/>
              </w:rPr>
              <w:t>0.015</w:t>
            </w:r>
          </w:p>
        </w:tc>
        <w:tc>
          <w:tcPr>
            <w:tcW w:w="768" w:type="dxa"/>
            <w:tcBorders>
              <w:top w:val="nil"/>
              <w:left w:val="nil"/>
              <w:bottom w:val="nil"/>
              <w:right w:val="nil"/>
            </w:tcBorders>
            <w:shd w:val="clear" w:color="auto" w:fill="auto"/>
            <w:noWrap/>
            <w:vAlign w:val="bottom"/>
            <w:hideMark/>
          </w:tcPr>
          <w:p w14:paraId="43E44453" w14:textId="77777777" w:rsidR="00510396" w:rsidRDefault="0051039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71DF91F" w14:textId="77777777" w:rsidR="00510396" w:rsidRDefault="00510396">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43EAF35A"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7869C6A" w14:textId="77777777" w:rsidR="00510396" w:rsidRDefault="0051039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722B4461" w14:textId="77777777" w:rsidR="00510396" w:rsidRDefault="00510396">
            <w:pPr>
              <w:jc w:val="right"/>
              <w:rPr>
                <w:color w:val="000000"/>
                <w:sz w:val="20"/>
                <w:szCs w:val="20"/>
              </w:rPr>
            </w:pPr>
            <w:r>
              <w:rPr>
                <w:color w:val="000000"/>
                <w:sz w:val="20"/>
                <w:szCs w:val="20"/>
              </w:rPr>
              <w:t>0.918</w:t>
            </w:r>
          </w:p>
        </w:tc>
        <w:tc>
          <w:tcPr>
            <w:tcW w:w="768" w:type="dxa"/>
            <w:tcBorders>
              <w:top w:val="nil"/>
              <w:left w:val="nil"/>
              <w:bottom w:val="nil"/>
              <w:right w:val="nil"/>
            </w:tcBorders>
            <w:shd w:val="clear" w:color="auto" w:fill="auto"/>
            <w:noWrap/>
            <w:vAlign w:val="bottom"/>
            <w:hideMark/>
          </w:tcPr>
          <w:p w14:paraId="00EB2E16" w14:textId="77777777" w:rsidR="00510396" w:rsidRDefault="00510396">
            <w:pPr>
              <w:jc w:val="right"/>
              <w:rPr>
                <w:color w:val="000000"/>
                <w:sz w:val="20"/>
                <w:szCs w:val="20"/>
              </w:rPr>
            </w:pPr>
            <w:r>
              <w:rPr>
                <w:color w:val="000000"/>
                <w:sz w:val="20"/>
                <w:szCs w:val="20"/>
              </w:rPr>
              <w:t>0.000</w:t>
            </w:r>
          </w:p>
        </w:tc>
      </w:tr>
      <w:tr w:rsidR="00510396" w14:paraId="35B70AFB" w14:textId="77777777" w:rsidTr="00510396">
        <w:trPr>
          <w:trHeight w:val="320"/>
        </w:trPr>
        <w:tc>
          <w:tcPr>
            <w:tcW w:w="1176" w:type="dxa"/>
            <w:tcBorders>
              <w:top w:val="nil"/>
              <w:left w:val="nil"/>
              <w:bottom w:val="nil"/>
              <w:right w:val="nil"/>
            </w:tcBorders>
            <w:shd w:val="clear" w:color="auto" w:fill="auto"/>
            <w:noWrap/>
            <w:vAlign w:val="bottom"/>
            <w:hideMark/>
          </w:tcPr>
          <w:p w14:paraId="78D62BC0"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595C7C" w14:textId="77777777" w:rsidR="00510396" w:rsidRDefault="0051039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3E3DE514" w14:textId="77777777" w:rsidR="00510396" w:rsidRDefault="00510396">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789F68C" w14:textId="77777777" w:rsidR="00510396" w:rsidRDefault="00510396">
            <w:pPr>
              <w:jc w:val="right"/>
              <w:rPr>
                <w:color w:val="000000"/>
                <w:sz w:val="20"/>
                <w:szCs w:val="20"/>
              </w:rPr>
            </w:pPr>
            <w:r>
              <w:rPr>
                <w:color w:val="000000"/>
                <w:sz w:val="20"/>
                <w:szCs w:val="20"/>
              </w:rPr>
              <w:t>0.809</w:t>
            </w:r>
          </w:p>
        </w:tc>
        <w:tc>
          <w:tcPr>
            <w:tcW w:w="768" w:type="dxa"/>
            <w:tcBorders>
              <w:top w:val="nil"/>
              <w:left w:val="nil"/>
              <w:bottom w:val="nil"/>
              <w:right w:val="nil"/>
            </w:tcBorders>
            <w:shd w:val="clear" w:color="auto" w:fill="auto"/>
            <w:noWrap/>
            <w:vAlign w:val="bottom"/>
            <w:hideMark/>
          </w:tcPr>
          <w:p w14:paraId="32C4413C"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E07759D" w14:textId="77777777" w:rsidR="00510396" w:rsidRDefault="0051039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F37C134" w14:textId="77777777" w:rsidR="00510396" w:rsidRDefault="00510396">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48FBD86F"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0AAED93" w14:textId="77777777" w:rsidR="00510396" w:rsidRDefault="00510396">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3868CC50" w14:textId="77777777" w:rsidR="00510396" w:rsidRDefault="00510396">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2772DD7A" w14:textId="77777777" w:rsidR="00510396" w:rsidRDefault="005103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7CA74A0A" w14:textId="77777777" w:rsidR="00510396" w:rsidRDefault="0051039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8D04EBB" w14:textId="77777777" w:rsidR="00510396" w:rsidRDefault="00510396">
            <w:pPr>
              <w:jc w:val="right"/>
              <w:rPr>
                <w:color w:val="000000"/>
                <w:sz w:val="20"/>
                <w:szCs w:val="20"/>
              </w:rPr>
            </w:pPr>
            <w:r>
              <w:rPr>
                <w:color w:val="000000"/>
                <w:sz w:val="20"/>
                <w:szCs w:val="20"/>
              </w:rPr>
              <w:t>0.710</w:t>
            </w:r>
          </w:p>
        </w:tc>
        <w:tc>
          <w:tcPr>
            <w:tcW w:w="768" w:type="dxa"/>
            <w:tcBorders>
              <w:top w:val="nil"/>
              <w:left w:val="nil"/>
              <w:bottom w:val="nil"/>
              <w:right w:val="nil"/>
            </w:tcBorders>
            <w:shd w:val="clear" w:color="auto" w:fill="auto"/>
            <w:noWrap/>
            <w:vAlign w:val="bottom"/>
            <w:hideMark/>
          </w:tcPr>
          <w:p w14:paraId="2A692165"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E32E1C8" w14:textId="77777777" w:rsidR="00510396" w:rsidRDefault="0051039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210C7114" w14:textId="77777777" w:rsidR="00510396" w:rsidRDefault="00510396">
            <w:pPr>
              <w:jc w:val="right"/>
              <w:rPr>
                <w:color w:val="000000"/>
                <w:sz w:val="20"/>
                <w:szCs w:val="20"/>
              </w:rPr>
            </w:pPr>
            <w:r>
              <w:rPr>
                <w:color w:val="000000"/>
                <w:sz w:val="20"/>
                <w:szCs w:val="20"/>
              </w:rPr>
              <w:t>0.918</w:t>
            </w:r>
          </w:p>
        </w:tc>
        <w:tc>
          <w:tcPr>
            <w:tcW w:w="768" w:type="dxa"/>
            <w:tcBorders>
              <w:top w:val="nil"/>
              <w:left w:val="nil"/>
              <w:bottom w:val="nil"/>
              <w:right w:val="nil"/>
            </w:tcBorders>
            <w:shd w:val="clear" w:color="auto" w:fill="auto"/>
            <w:noWrap/>
            <w:vAlign w:val="bottom"/>
            <w:hideMark/>
          </w:tcPr>
          <w:p w14:paraId="755AC150" w14:textId="77777777" w:rsidR="00510396" w:rsidRDefault="00510396">
            <w:pPr>
              <w:jc w:val="right"/>
              <w:rPr>
                <w:color w:val="000000"/>
                <w:sz w:val="20"/>
                <w:szCs w:val="20"/>
              </w:rPr>
            </w:pPr>
            <w:r>
              <w:rPr>
                <w:color w:val="000000"/>
                <w:sz w:val="20"/>
                <w:szCs w:val="20"/>
              </w:rPr>
              <w:t>0.001</w:t>
            </w:r>
          </w:p>
        </w:tc>
      </w:tr>
      <w:tr w:rsidR="00510396" w14:paraId="40374DC5" w14:textId="77777777" w:rsidTr="00510396">
        <w:trPr>
          <w:trHeight w:val="320"/>
        </w:trPr>
        <w:tc>
          <w:tcPr>
            <w:tcW w:w="1176" w:type="dxa"/>
            <w:tcBorders>
              <w:top w:val="nil"/>
              <w:left w:val="nil"/>
              <w:bottom w:val="single" w:sz="4" w:space="0" w:color="auto"/>
              <w:right w:val="nil"/>
            </w:tcBorders>
            <w:shd w:val="clear" w:color="auto" w:fill="auto"/>
            <w:noWrap/>
            <w:vAlign w:val="bottom"/>
            <w:hideMark/>
          </w:tcPr>
          <w:p w14:paraId="4A2D0ED5" w14:textId="77777777" w:rsidR="00510396" w:rsidRDefault="0051039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D9EDE71" w14:textId="77777777" w:rsidR="00510396" w:rsidRDefault="0051039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12C85F75" w14:textId="77777777" w:rsidR="00510396" w:rsidRDefault="00510396">
            <w:pPr>
              <w:jc w:val="right"/>
              <w:rPr>
                <w:color w:val="000000"/>
                <w:sz w:val="20"/>
                <w:szCs w:val="20"/>
              </w:rPr>
            </w:pPr>
            <w:r>
              <w:rPr>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2C02CD25" w14:textId="77777777" w:rsidR="00510396" w:rsidRDefault="00510396">
            <w:pPr>
              <w:jc w:val="right"/>
              <w:rPr>
                <w:color w:val="000000"/>
                <w:sz w:val="20"/>
                <w:szCs w:val="20"/>
              </w:rPr>
            </w:pPr>
            <w:r>
              <w:rPr>
                <w:color w:val="000000"/>
                <w:sz w:val="20"/>
                <w:szCs w:val="20"/>
              </w:rPr>
              <w:t>0.809</w:t>
            </w:r>
          </w:p>
        </w:tc>
        <w:tc>
          <w:tcPr>
            <w:tcW w:w="768" w:type="dxa"/>
            <w:tcBorders>
              <w:top w:val="nil"/>
              <w:left w:val="nil"/>
              <w:bottom w:val="single" w:sz="4" w:space="0" w:color="auto"/>
              <w:right w:val="nil"/>
            </w:tcBorders>
            <w:shd w:val="clear" w:color="auto" w:fill="auto"/>
            <w:noWrap/>
            <w:vAlign w:val="bottom"/>
            <w:hideMark/>
          </w:tcPr>
          <w:p w14:paraId="0284BC6B"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93CFC49" w14:textId="77777777" w:rsidR="00510396" w:rsidRDefault="00510396">
            <w:pPr>
              <w:jc w:val="right"/>
              <w:rPr>
                <w:color w:val="000000"/>
                <w:sz w:val="20"/>
                <w:szCs w:val="20"/>
              </w:rPr>
            </w:pPr>
            <w:r>
              <w:rPr>
                <w:color w:val="000000"/>
                <w:sz w:val="20"/>
                <w:szCs w:val="20"/>
              </w:rPr>
              <w:t>-0.014</w:t>
            </w:r>
          </w:p>
        </w:tc>
        <w:tc>
          <w:tcPr>
            <w:tcW w:w="768" w:type="dxa"/>
            <w:tcBorders>
              <w:top w:val="nil"/>
              <w:left w:val="nil"/>
              <w:bottom w:val="single" w:sz="4" w:space="0" w:color="auto"/>
              <w:right w:val="nil"/>
            </w:tcBorders>
            <w:shd w:val="clear" w:color="auto" w:fill="auto"/>
            <w:noWrap/>
            <w:vAlign w:val="bottom"/>
            <w:hideMark/>
          </w:tcPr>
          <w:p w14:paraId="73A744D3" w14:textId="77777777" w:rsidR="00510396" w:rsidRDefault="00510396">
            <w:pPr>
              <w:jc w:val="right"/>
              <w:rPr>
                <w:color w:val="000000"/>
                <w:sz w:val="20"/>
                <w:szCs w:val="20"/>
              </w:rPr>
            </w:pPr>
            <w:r>
              <w:rPr>
                <w:color w:val="000000"/>
                <w:sz w:val="20"/>
                <w:szCs w:val="20"/>
              </w:rPr>
              <w:t>0.853</w:t>
            </w:r>
          </w:p>
        </w:tc>
        <w:tc>
          <w:tcPr>
            <w:tcW w:w="768" w:type="dxa"/>
            <w:tcBorders>
              <w:top w:val="nil"/>
              <w:left w:val="nil"/>
              <w:bottom w:val="single" w:sz="4" w:space="0" w:color="auto"/>
              <w:right w:val="nil"/>
            </w:tcBorders>
            <w:shd w:val="clear" w:color="auto" w:fill="auto"/>
            <w:noWrap/>
            <w:vAlign w:val="bottom"/>
            <w:hideMark/>
          </w:tcPr>
          <w:p w14:paraId="73084E5B"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20B2F511" w14:textId="77777777" w:rsidR="00510396" w:rsidRDefault="00510396">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0C705855" w14:textId="77777777" w:rsidR="00510396" w:rsidRDefault="00510396">
            <w:pPr>
              <w:jc w:val="right"/>
              <w:rPr>
                <w:color w:val="000000"/>
                <w:sz w:val="20"/>
                <w:szCs w:val="20"/>
              </w:rPr>
            </w:pPr>
            <w:r>
              <w:rPr>
                <w:color w:val="000000"/>
                <w:sz w:val="20"/>
                <w:szCs w:val="20"/>
              </w:rPr>
              <w:t>0.911</w:t>
            </w:r>
          </w:p>
        </w:tc>
        <w:tc>
          <w:tcPr>
            <w:tcW w:w="768" w:type="dxa"/>
            <w:tcBorders>
              <w:top w:val="nil"/>
              <w:left w:val="nil"/>
              <w:bottom w:val="single" w:sz="4" w:space="0" w:color="auto"/>
              <w:right w:val="nil"/>
            </w:tcBorders>
            <w:shd w:val="clear" w:color="auto" w:fill="auto"/>
            <w:noWrap/>
            <w:vAlign w:val="bottom"/>
            <w:hideMark/>
          </w:tcPr>
          <w:p w14:paraId="4CF96F79"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8365072" w14:textId="77777777" w:rsidR="00510396" w:rsidRDefault="00510396">
            <w:pPr>
              <w:jc w:val="right"/>
              <w:rPr>
                <w:color w:val="000000"/>
                <w:sz w:val="20"/>
                <w:szCs w:val="20"/>
              </w:rPr>
            </w:pPr>
            <w:r>
              <w:rPr>
                <w:color w:val="000000"/>
                <w:sz w:val="20"/>
                <w:szCs w:val="20"/>
              </w:rPr>
              <w:t>0.011</w:t>
            </w:r>
          </w:p>
        </w:tc>
        <w:tc>
          <w:tcPr>
            <w:tcW w:w="768" w:type="dxa"/>
            <w:tcBorders>
              <w:top w:val="nil"/>
              <w:left w:val="nil"/>
              <w:bottom w:val="single" w:sz="4" w:space="0" w:color="auto"/>
              <w:right w:val="nil"/>
            </w:tcBorders>
            <w:shd w:val="clear" w:color="auto" w:fill="auto"/>
            <w:noWrap/>
            <w:vAlign w:val="bottom"/>
            <w:hideMark/>
          </w:tcPr>
          <w:p w14:paraId="76B8F6EF" w14:textId="77777777" w:rsidR="00510396" w:rsidRDefault="00510396">
            <w:pPr>
              <w:jc w:val="right"/>
              <w:rPr>
                <w:color w:val="000000"/>
                <w:sz w:val="20"/>
                <w:szCs w:val="20"/>
              </w:rPr>
            </w:pPr>
            <w:r>
              <w:rPr>
                <w:color w:val="000000"/>
                <w:sz w:val="20"/>
                <w:szCs w:val="20"/>
              </w:rPr>
              <w:t>0.762</w:t>
            </w:r>
          </w:p>
        </w:tc>
        <w:tc>
          <w:tcPr>
            <w:tcW w:w="768" w:type="dxa"/>
            <w:tcBorders>
              <w:top w:val="nil"/>
              <w:left w:val="nil"/>
              <w:bottom w:val="single" w:sz="4" w:space="0" w:color="auto"/>
              <w:right w:val="nil"/>
            </w:tcBorders>
            <w:shd w:val="clear" w:color="auto" w:fill="auto"/>
            <w:noWrap/>
            <w:vAlign w:val="bottom"/>
            <w:hideMark/>
          </w:tcPr>
          <w:p w14:paraId="30E620A4"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77F0A20" w14:textId="77777777" w:rsidR="00510396" w:rsidRDefault="00510396">
            <w:pPr>
              <w:jc w:val="right"/>
              <w:rPr>
                <w:color w:val="000000"/>
                <w:sz w:val="20"/>
                <w:szCs w:val="20"/>
              </w:rPr>
            </w:pPr>
            <w:r>
              <w:rPr>
                <w:color w:val="000000"/>
                <w:sz w:val="20"/>
                <w:szCs w:val="20"/>
              </w:rPr>
              <w:t>0.021</w:t>
            </w:r>
          </w:p>
        </w:tc>
        <w:tc>
          <w:tcPr>
            <w:tcW w:w="768" w:type="dxa"/>
            <w:tcBorders>
              <w:top w:val="nil"/>
              <w:left w:val="nil"/>
              <w:bottom w:val="single" w:sz="4" w:space="0" w:color="auto"/>
              <w:right w:val="nil"/>
            </w:tcBorders>
            <w:shd w:val="clear" w:color="auto" w:fill="auto"/>
            <w:noWrap/>
            <w:vAlign w:val="bottom"/>
            <w:hideMark/>
          </w:tcPr>
          <w:p w14:paraId="2FB4193C" w14:textId="77777777" w:rsidR="00510396" w:rsidRDefault="00510396">
            <w:pPr>
              <w:jc w:val="right"/>
              <w:rPr>
                <w:color w:val="000000"/>
                <w:sz w:val="20"/>
                <w:szCs w:val="20"/>
              </w:rPr>
            </w:pPr>
            <w:r>
              <w:rPr>
                <w:color w:val="000000"/>
                <w:sz w:val="20"/>
                <w:szCs w:val="20"/>
              </w:rPr>
              <w:t>0.918</w:t>
            </w:r>
          </w:p>
        </w:tc>
        <w:tc>
          <w:tcPr>
            <w:tcW w:w="768" w:type="dxa"/>
            <w:tcBorders>
              <w:top w:val="nil"/>
              <w:left w:val="nil"/>
              <w:bottom w:val="single" w:sz="4" w:space="0" w:color="auto"/>
              <w:right w:val="nil"/>
            </w:tcBorders>
            <w:shd w:val="clear" w:color="auto" w:fill="auto"/>
            <w:noWrap/>
            <w:vAlign w:val="bottom"/>
            <w:hideMark/>
          </w:tcPr>
          <w:p w14:paraId="2B38E1B3" w14:textId="77777777" w:rsidR="00510396" w:rsidRDefault="00510396">
            <w:pPr>
              <w:jc w:val="right"/>
              <w:rPr>
                <w:color w:val="000000"/>
                <w:sz w:val="20"/>
                <w:szCs w:val="20"/>
              </w:rPr>
            </w:pPr>
            <w:r>
              <w:rPr>
                <w:color w:val="000000"/>
                <w:sz w:val="20"/>
                <w:szCs w:val="20"/>
              </w:rPr>
              <w:t>0.000</w:t>
            </w:r>
          </w:p>
        </w:tc>
      </w:tr>
      <w:tr w:rsidR="00510396" w14:paraId="790A53EE" w14:textId="77777777" w:rsidTr="00510396">
        <w:trPr>
          <w:trHeight w:val="320"/>
        </w:trPr>
        <w:tc>
          <w:tcPr>
            <w:tcW w:w="1176" w:type="dxa"/>
            <w:tcBorders>
              <w:top w:val="nil"/>
              <w:left w:val="nil"/>
              <w:bottom w:val="nil"/>
              <w:right w:val="nil"/>
            </w:tcBorders>
            <w:shd w:val="clear" w:color="auto" w:fill="auto"/>
            <w:noWrap/>
            <w:vAlign w:val="bottom"/>
            <w:hideMark/>
          </w:tcPr>
          <w:p w14:paraId="24AF4BD2" w14:textId="77777777" w:rsidR="00510396" w:rsidRDefault="00510396">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73FC752D" w14:textId="77777777" w:rsidR="00510396" w:rsidRDefault="0051039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372840E6" w14:textId="77777777" w:rsidR="00510396" w:rsidRDefault="00510396">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1E4E93A5" w14:textId="77777777" w:rsidR="00510396" w:rsidRDefault="00510396">
            <w:pPr>
              <w:jc w:val="right"/>
              <w:rPr>
                <w:color w:val="000000"/>
                <w:sz w:val="20"/>
                <w:szCs w:val="20"/>
              </w:rPr>
            </w:pPr>
            <w:r>
              <w:rPr>
                <w:color w:val="000000"/>
                <w:sz w:val="20"/>
                <w:szCs w:val="20"/>
              </w:rPr>
              <w:t>0.453</w:t>
            </w:r>
          </w:p>
        </w:tc>
        <w:tc>
          <w:tcPr>
            <w:tcW w:w="768" w:type="dxa"/>
            <w:tcBorders>
              <w:top w:val="nil"/>
              <w:left w:val="nil"/>
              <w:bottom w:val="nil"/>
              <w:right w:val="nil"/>
            </w:tcBorders>
            <w:shd w:val="clear" w:color="auto" w:fill="auto"/>
            <w:noWrap/>
            <w:vAlign w:val="bottom"/>
            <w:hideMark/>
          </w:tcPr>
          <w:p w14:paraId="4782DD7C"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277AEE6" w14:textId="77777777" w:rsidR="00510396" w:rsidRDefault="00510396">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447D60A8" w14:textId="77777777" w:rsidR="00510396" w:rsidRDefault="00510396">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18F1E23B"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280A9B5" w14:textId="77777777" w:rsidR="00510396" w:rsidRDefault="0051039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6CFB4809" w14:textId="77777777" w:rsidR="00510396" w:rsidRDefault="00510396">
            <w:pPr>
              <w:jc w:val="right"/>
              <w:rPr>
                <w:color w:val="000000"/>
                <w:sz w:val="20"/>
                <w:szCs w:val="20"/>
              </w:rPr>
            </w:pPr>
            <w:r>
              <w:rPr>
                <w:color w:val="000000"/>
                <w:sz w:val="20"/>
                <w:szCs w:val="20"/>
              </w:rPr>
              <w:t>0.462</w:t>
            </w:r>
          </w:p>
        </w:tc>
        <w:tc>
          <w:tcPr>
            <w:tcW w:w="768" w:type="dxa"/>
            <w:tcBorders>
              <w:top w:val="nil"/>
              <w:left w:val="nil"/>
              <w:bottom w:val="nil"/>
              <w:right w:val="nil"/>
            </w:tcBorders>
            <w:shd w:val="clear" w:color="auto" w:fill="auto"/>
            <w:noWrap/>
            <w:vAlign w:val="bottom"/>
            <w:hideMark/>
          </w:tcPr>
          <w:p w14:paraId="7F0785D0"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A58934" w14:textId="77777777" w:rsidR="00510396" w:rsidRDefault="00510396">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0F8D677C" w14:textId="77777777" w:rsidR="00510396" w:rsidRDefault="00510396">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3EC7C07C"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3036FB" w14:textId="77777777" w:rsidR="00510396" w:rsidRDefault="00510396">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24B9FE2C" w14:textId="77777777" w:rsidR="00510396" w:rsidRDefault="00510396">
            <w:pPr>
              <w:jc w:val="right"/>
              <w:rPr>
                <w:color w:val="000000"/>
                <w:sz w:val="20"/>
                <w:szCs w:val="20"/>
              </w:rPr>
            </w:pPr>
            <w:r>
              <w:rPr>
                <w:color w:val="000000"/>
                <w:sz w:val="20"/>
                <w:szCs w:val="20"/>
              </w:rPr>
              <w:t>0.306</w:t>
            </w:r>
          </w:p>
        </w:tc>
        <w:tc>
          <w:tcPr>
            <w:tcW w:w="768" w:type="dxa"/>
            <w:tcBorders>
              <w:top w:val="nil"/>
              <w:left w:val="nil"/>
              <w:bottom w:val="nil"/>
              <w:right w:val="nil"/>
            </w:tcBorders>
            <w:shd w:val="clear" w:color="auto" w:fill="auto"/>
            <w:noWrap/>
            <w:vAlign w:val="bottom"/>
            <w:hideMark/>
          </w:tcPr>
          <w:p w14:paraId="0E58A04D" w14:textId="77777777" w:rsidR="00510396" w:rsidRDefault="00510396">
            <w:pPr>
              <w:jc w:val="right"/>
              <w:rPr>
                <w:color w:val="000000"/>
                <w:sz w:val="20"/>
                <w:szCs w:val="20"/>
              </w:rPr>
            </w:pPr>
            <w:r>
              <w:rPr>
                <w:color w:val="000000"/>
                <w:sz w:val="20"/>
                <w:szCs w:val="20"/>
              </w:rPr>
              <w:t>0.003</w:t>
            </w:r>
          </w:p>
        </w:tc>
      </w:tr>
      <w:tr w:rsidR="00510396" w14:paraId="7D5F0FF2" w14:textId="77777777" w:rsidTr="00510396">
        <w:trPr>
          <w:trHeight w:val="320"/>
        </w:trPr>
        <w:tc>
          <w:tcPr>
            <w:tcW w:w="1176" w:type="dxa"/>
            <w:tcBorders>
              <w:top w:val="nil"/>
              <w:left w:val="nil"/>
              <w:bottom w:val="nil"/>
              <w:right w:val="nil"/>
            </w:tcBorders>
            <w:shd w:val="clear" w:color="auto" w:fill="auto"/>
            <w:noWrap/>
            <w:vAlign w:val="bottom"/>
            <w:hideMark/>
          </w:tcPr>
          <w:p w14:paraId="1C42C6E0"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8D44B21" w14:textId="77777777" w:rsidR="00510396" w:rsidRDefault="0051039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352FCF8" w14:textId="77777777" w:rsidR="00510396" w:rsidRDefault="0051039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71BF709C" w14:textId="77777777" w:rsidR="00510396" w:rsidRDefault="00510396">
            <w:pPr>
              <w:jc w:val="right"/>
              <w:rPr>
                <w:color w:val="000000"/>
                <w:sz w:val="20"/>
                <w:szCs w:val="20"/>
              </w:rPr>
            </w:pPr>
            <w:r>
              <w:rPr>
                <w:color w:val="000000"/>
                <w:sz w:val="20"/>
                <w:szCs w:val="20"/>
              </w:rPr>
              <w:t>0.453</w:t>
            </w:r>
          </w:p>
        </w:tc>
        <w:tc>
          <w:tcPr>
            <w:tcW w:w="768" w:type="dxa"/>
            <w:tcBorders>
              <w:top w:val="nil"/>
              <w:left w:val="nil"/>
              <w:bottom w:val="nil"/>
              <w:right w:val="nil"/>
            </w:tcBorders>
            <w:shd w:val="clear" w:color="auto" w:fill="auto"/>
            <w:noWrap/>
            <w:vAlign w:val="bottom"/>
            <w:hideMark/>
          </w:tcPr>
          <w:p w14:paraId="58500B8E"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1D81C3B"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ABFCE83" w14:textId="77777777" w:rsidR="00510396" w:rsidRDefault="00510396">
            <w:pPr>
              <w:jc w:val="right"/>
              <w:rPr>
                <w:color w:val="000000"/>
                <w:sz w:val="20"/>
                <w:szCs w:val="20"/>
              </w:rPr>
            </w:pPr>
            <w:r>
              <w:rPr>
                <w:color w:val="000000"/>
                <w:sz w:val="20"/>
                <w:szCs w:val="20"/>
              </w:rPr>
              <w:t>0.996</w:t>
            </w:r>
          </w:p>
        </w:tc>
        <w:tc>
          <w:tcPr>
            <w:tcW w:w="768" w:type="dxa"/>
            <w:tcBorders>
              <w:top w:val="nil"/>
              <w:left w:val="nil"/>
              <w:bottom w:val="nil"/>
              <w:right w:val="nil"/>
            </w:tcBorders>
            <w:shd w:val="clear" w:color="auto" w:fill="auto"/>
            <w:noWrap/>
            <w:vAlign w:val="bottom"/>
            <w:hideMark/>
          </w:tcPr>
          <w:p w14:paraId="1B625195"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5E07A60" w14:textId="77777777" w:rsidR="00510396" w:rsidRDefault="00510396">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FC38606" w14:textId="77777777" w:rsidR="00510396" w:rsidRDefault="00510396">
            <w:pPr>
              <w:jc w:val="right"/>
              <w:rPr>
                <w:color w:val="000000"/>
                <w:sz w:val="20"/>
                <w:szCs w:val="20"/>
              </w:rPr>
            </w:pPr>
            <w:r>
              <w:rPr>
                <w:color w:val="000000"/>
                <w:sz w:val="20"/>
                <w:szCs w:val="20"/>
              </w:rPr>
              <w:t>0.650</w:t>
            </w:r>
          </w:p>
        </w:tc>
        <w:tc>
          <w:tcPr>
            <w:tcW w:w="768" w:type="dxa"/>
            <w:tcBorders>
              <w:top w:val="nil"/>
              <w:left w:val="nil"/>
              <w:bottom w:val="nil"/>
              <w:right w:val="nil"/>
            </w:tcBorders>
            <w:shd w:val="clear" w:color="auto" w:fill="auto"/>
            <w:noWrap/>
            <w:vAlign w:val="bottom"/>
            <w:hideMark/>
          </w:tcPr>
          <w:p w14:paraId="7AF96327"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5DBA3D" w14:textId="77777777" w:rsidR="00510396" w:rsidRDefault="005103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42BEA5BB" w14:textId="77777777" w:rsidR="00510396" w:rsidRDefault="00510396">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26E8BC2B"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987912A"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D8E666" w14:textId="77777777" w:rsidR="00510396" w:rsidRDefault="00510396">
            <w:pPr>
              <w:jc w:val="right"/>
              <w:rPr>
                <w:color w:val="000000"/>
                <w:sz w:val="20"/>
                <w:szCs w:val="20"/>
              </w:rPr>
            </w:pPr>
            <w:r>
              <w:rPr>
                <w:color w:val="000000"/>
                <w:sz w:val="20"/>
                <w:szCs w:val="20"/>
              </w:rPr>
              <w:t>0.965</w:t>
            </w:r>
          </w:p>
        </w:tc>
        <w:tc>
          <w:tcPr>
            <w:tcW w:w="768" w:type="dxa"/>
            <w:tcBorders>
              <w:top w:val="nil"/>
              <w:left w:val="nil"/>
              <w:bottom w:val="nil"/>
              <w:right w:val="nil"/>
            </w:tcBorders>
            <w:shd w:val="clear" w:color="auto" w:fill="auto"/>
            <w:noWrap/>
            <w:vAlign w:val="bottom"/>
            <w:hideMark/>
          </w:tcPr>
          <w:p w14:paraId="4C0BD7B5" w14:textId="77777777" w:rsidR="00510396" w:rsidRDefault="00510396">
            <w:pPr>
              <w:jc w:val="right"/>
              <w:rPr>
                <w:color w:val="000000"/>
                <w:sz w:val="20"/>
                <w:szCs w:val="20"/>
              </w:rPr>
            </w:pPr>
            <w:r>
              <w:rPr>
                <w:color w:val="000000"/>
                <w:sz w:val="20"/>
                <w:szCs w:val="20"/>
              </w:rPr>
              <w:t>0.000</w:t>
            </w:r>
          </w:p>
        </w:tc>
      </w:tr>
      <w:tr w:rsidR="00510396" w14:paraId="2E7A7898" w14:textId="77777777" w:rsidTr="00510396">
        <w:trPr>
          <w:trHeight w:val="320"/>
        </w:trPr>
        <w:tc>
          <w:tcPr>
            <w:tcW w:w="1176" w:type="dxa"/>
            <w:tcBorders>
              <w:top w:val="nil"/>
              <w:left w:val="nil"/>
              <w:bottom w:val="nil"/>
              <w:right w:val="nil"/>
            </w:tcBorders>
            <w:shd w:val="clear" w:color="auto" w:fill="auto"/>
            <w:noWrap/>
            <w:vAlign w:val="bottom"/>
            <w:hideMark/>
          </w:tcPr>
          <w:p w14:paraId="42F3A4E9"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80A4B00" w14:textId="77777777" w:rsidR="00510396" w:rsidRDefault="0051039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5DEBF5FF" w14:textId="77777777" w:rsidR="00510396" w:rsidRDefault="0051039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40491DEA" w14:textId="77777777" w:rsidR="00510396" w:rsidRDefault="00510396">
            <w:pPr>
              <w:jc w:val="right"/>
              <w:rPr>
                <w:color w:val="000000"/>
                <w:sz w:val="20"/>
                <w:szCs w:val="20"/>
              </w:rPr>
            </w:pPr>
            <w:r>
              <w:rPr>
                <w:color w:val="000000"/>
                <w:sz w:val="20"/>
                <w:szCs w:val="20"/>
              </w:rPr>
              <w:t>0.453</w:t>
            </w:r>
          </w:p>
        </w:tc>
        <w:tc>
          <w:tcPr>
            <w:tcW w:w="768" w:type="dxa"/>
            <w:tcBorders>
              <w:top w:val="nil"/>
              <w:left w:val="nil"/>
              <w:bottom w:val="nil"/>
              <w:right w:val="nil"/>
            </w:tcBorders>
            <w:shd w:val="clear" w:color="auto" w:fill="auto"/>
            <w:noWrap/>
            <w:vAlign w:val="bottom"/>
            <w:hideMark/>
          </w:tcPr>
          <w:p w14:paraId="500D7186"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EC90184" w14:textId="77777777" w:rsidR="00510396" w:rsidRDefault="00510396">
            <w:pPr>
              <w:jc w:val="right"/>
              <w:rPr>
                <w:color w:val="000000"/>
                <w:sz w:val="20"/>
                <w:szCs w:val="20"/>
              </w:rPr>
            </w:pPr>
            <w:r>
              <w:rPr>
                <w:color w:val="000000"/>
                <w:sz w:val="20"/>
                <w:szCs w:val="20"/>
              </w:rPr>
              <w:t>0.067</w:t>
            </w:r>
          </w:p>
        </w:tc>
        <w:tc>
          <w:tcPr>
            <w:tcW w:w="768" w:type="dxa"/>
            <w:tcBorders>
              <w:top w:val="nil"/>
              <w:left w:val="nil"/>
              <w:bottom w:val="nil"/>
              <w:right w:val="nil"/>
            </w:tcBorders>
            <w:shd w:val="clear" w:color="auto" w:fill="auto"/>
            <w:noWrap/>
            <w:vAlign w:val="bottom"/>
            <w:hideMark/>
          </w:tcPr>
          <w:p w14:paraId="704BE4A4" w14:textId="77777777" w:rsidR="00510396" w:rsidRDefault="00510396">
            <w:pPr>
              <w:jc w:val="right"/>
              <w:rPr>
                <w:color w:val="000000"/>
                <w:sz w:val="20"/>
                <w:szCs w:val="20"/>
              </w:rPr>
            </w:pPr>
            <w:r>
              <w:rPr>
                <w:color w:val="000000"/>
                <w:sz w:val="20"/>
                <w:szCs w:val="20"/>
              </w:rPr>
              <w:t>0.256</w:t>
            </w:r>
          </w:p>
        </w:tc>
        <w:tc>
          <w:tcPr>
            <w:tcW w:w="768" w:type="dxa"/>
            <w:tcBorders>
              <w:top w:val="nil"/>
              <w:left w:val="nil"/>
              <w:bottom w:val="nil"/>
              <w:right w:val="nil"/>
            </w:tcBorders>
            <w:shd w:val="clear" w:color="auto" w:fill="auto"/>
            <w:noWrap/>
            <w:vAlign w:val="bottom"/>
            <w:hideMark/>
          </w:tcPr>
          <w:p w14:paraId="2A8F508E" w14:textId="77777777" w:rsidR="00510396" w:rsidRDefault="0051039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7121D7E" w14:textId="77777777" w:rsidR="00510396" w:rsidRDefault="005103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6D0256AB" w14:textId="77777777" w:rsidR="00510396" w:rsidRDefault="00510396">
            <w:pPr>
              <w:jc w:val="right"/>
              <w:rPr>
                <w:color w:val="000000"/>
                <w:sz w:val="20"/>
                <w:szCs w:val="20"/>
              </w:rPr>
            </w:pPr>
            <w:r>
              <w:rPr>
                <w:color w:val="000000"/>
                <w:sz w:val="20"/>
                <w:szCs w:val="20"/>
              </w:rPr>
              <w:t>0.746</w:t>
            </w:r>
          </w:p>
        </w:tc>
        <w:tc>
          <w:tcPr>
            <w:tcW w:w="768" w:type="dxa"/>
            <w:tcBorders>
              <w:top w:val="nil"/>
              <w:left w:val="nil"/>
              <w:bottom w:val="nil"/>
              <w:right w:val="nil"/>
            </w:tcBorders>
            <w:shd w:val="clear" w:color="auto" w:fill="auto"/>
            <w:noWrap/>
            <w:vAlign w:val="bottom"/>
            <w:hideMark/>
          </w:tcPr>
          <w:p w14:paraId="0DC3CD8B"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BB104DF" w14:textId="77777777" w:rsidR="00510396" w:rsidRDefault="0051039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41149B67" w14:textId="77777777" w:rsidR="00510396" w:rsidRDefault="00510396">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4E9AA7B1"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E201302" w14:textId="77777777" w:rsidR="00510396" w:rsidRDefault="00510396">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F86082C" w14:textId="77777777" w:rsidR="00510396" w:rsidRDefault="00510396">
            <w:pPr>
              <w:jc w:val="right"/>
              <w:rPr>
                <w:color w:val="000000"/>
                <w:sz w:val="20"/>
                <w:szCs w:val="20"/>
              </w:rPr>
            </w:pPr>
            <w:r>
              <w:rPr>
                <w:color w:val="000000"/>
                <w:sz w:val="20"/>
                <w:szCs w:val="20"/>
              </w:rPr>
              <w:t>0.839</w:t>
            </w:r>
          </w:p>
        </w:tc>
        <w:tc>
          <w:tcPr>
            <w:tcW w:w="768" w:type="dxa"/>
            <w:tcBorders>
              <w:top w:val="nil"/>
              <w:left w:val="nil"/>
              <w:bottom w:val="nil"/>
              <w:right w:val="nil"/>
            </w:tcBorders>
            <w:shd w:val="clear" w:color="auto" w:fill="auto"/>
            <w:noWrap/>
            <w:vAlign w:val="bottom"/>
            <w:hideMark/>
          </w:tcPr>
          <w:p w14:paraId="63F44EA8" w14:textId="77777777" w:rsidR="00510396" w:rsidRDefault="00510396">
            <w:pPr>
              <w:jc w:val="right"/>
              <w:rPr>
                <w:color w:val="000000"/>
                <w:sz w:val="20"/>
                <w:szCs w:val="20"/>
              </w:rPr>
            </w:pPr>
            <w:r>
              <w:rPr>
                <w:color w:val="000000"/>
                <w:sz w:val="20"/>
                <w:szCs w:val="20"/>
              </w:rPr>
              <w:t>0.000</w:t>
            </w:r>
          </w:p>
        </w:tc>
      </w:tr>
      <w:tr w:rsidR="00510396" w14:paraId="0EE98E0A" w14:textId="77777777" w:rsidTr="00510396">
        <w:trPr>
          <w:trHeight w:val="320"/>
        </w:trPr>
        <w:tc>
          <w:tcPr>
            <w:tcW w:w="1176" w:type="dxa"/>
            <w:tcBorders>
              <w:top w:val="nil"/>
              <w:left w:val="nil"/>
              <w:bottom w:val="nil"/>
              <w:right w:val="nil"/>
            </w:tcBorders>
            <w:shd w:val="clear" w:color="auto" w:fill="auto"/>
            <w:noWrap/>
            <w:vAlign w:val="bottom"/>
            <w:hideMark/>
          </w:tcPr>
          <w:p w14:paraId="2B7138D6"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19E2683" w14:textId="77777777" w:rsidR="00510396" w:rsidRDefault="0051039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1B382EFB"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56F2049" w14:textId="77777777" w:rsidR="00510396" w:rsidRDefault="00510396">
            <w:pPr>
              <w:jc w:val="right"/>
              <w:rPr>
                <w:color w:val="000000"/>
                <w:sz w:val="20"/>
                <w:szCs w:val="20"/>
              </w:rPr>
            </w:pPr>
            <w:r>
              <w:rPr>
                <w:color w:val="000000"/>
                <w:sz w:val="20"/>
                <w:szCs w:val="20"/>
              </w:rPr>
              <w:t>0.936</w:t>
            </w:r>
          </w:p>
        </w:tc>
        <w:tc>
          <w:tcPr>
            <w:tcW w:w="768" w:type="dxa"/>
            <w:tcBorders>
              <w:top w:val="nil"/>
              <w:left w:val="nil"/>
              <w:bottom w:val="nil"/>
              <w:right w:val="nil"/>
            </w:tcBorders>
            <w:shd w:val="clear" w:color="auto" w:fill="auto"/>
            <w:noWrap/>
            <w:vAlign w:val="bottom"/>
            <w:hideMark/>
          </w:tcPr>
          <w:p w14:paraId="233666D7"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914032B" w14:textId="77777777" w:rsidR="00510396" w:rsidRDefault="00510396">
            <w:pPr>
              <w:jc w:val="right"/>
              <w:rPr>
                <w:color w:val="000000"/>
                <w:sz w:val="20"/>
                <w:szCs w:val="20"/>
              </w:rPr>
            </w:pPr>
            <w:r>
              <w:rPr>
                <w:color w:val="000000"/>
                <w:sz w:val="20"/>
                <w:szCs w:val="20"/>
              </w:rPr>
              <w:t>0.075</w:t>
            </w:r>
          </w:p>
        </w:tc>
        <w:tc>
          <w:tcPr>
            <w:tcW w:w="768" w:type="dxa"/>
            <w:tcBorders>
              <w:top w:val="nil"/>
              <w:left w:val="nil"/>
              <w:bottom w:val="nil"/>
              <w:right w:val="nil"/>
            </w:tcBorders>
            <w:shd w:val="clear" w:color="auto" w:fill="auto"/>
            <w:noWrap/>
            <w:vAlign w:val="bottom"/>
            <w:hideMark/>
          </w:tcPr>
          <w:p w14:paraId="0FCA8A40" w14:textId="77777777" w:rsidR="00510396" w:rsidRDefault="00510396">
            <w:pPr>
              <w:jc w:val="right"/>
              <w:rPr>
                <w:color w:val="000000"/>
                <w:sz w:val="20"/>
                <w:szCs w:val="20"/>
              </w:rPr>
            </w:pPr>
            <w:r>
              <w:rPr>
                <w:color w:val="000000"/>
                <w:sz w:val="20"/>
                <w:szCs w:val="20"/>
              </w:rPr>
              <w:t>0.208</w:t>
            </w:r>
          </w:p>
        </w:tc>
        <w:tc>
          <w:tcPr>
            <w:tcW w:w="768" w:type="dxa"/>
            <w:tcBorders>
              <w:top w:val="nil"/>
              <w:left w:val="nil"/>
              <w:bottom w:val="nil"/>
              <w:right w:val="nil"/>
            </w:tcBorders>
            <w:shd w:val="clear" w:color="auto" w:fill="auto"/>
            <w:noWrap/>
            <w:vAlign w:val="bottom"/>
            <w:hideMark/>
          </w:tcPr>
          <w:p w14:paraId="68267604" w14:textId="77777777" w:rsidR="00510396" w:rsidRDefault="00510396">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68A5D35" w14:textId="77777777" w:rsidR="00510396" w:rsidRDefault="00510396">
            <w:pPr>
              <w:jc w:val="right"/>
              <w:rPr>
                <w:b/>
                <w:bCs/>
                <w:color w:val="000000"/>
                <w:sz w:val="20"/>
                <w:szCs w:val="20"/>
              </w:rPr>
            </w:pPr>
            <w:r>
              <w:rPr>
                <w:b/>
                <w:bCs/>
                <w:color w:val="000000"/>
                <w:sz w:val="20"/>
                <w:szCs w:val="20"/>
              </w:rPr>
              <w:t>0.089</w:t>
            </w:r>
          </w:p>
        </w:tc>
        <w:tc>
          <w:tcPr>
            <w:tcW w:w="768" w:type="dxa"/>
            <w:tcBorders>
              <w:top w:val="nil"/>
              <w:left w:val="nil"/>
              <w:bottom w:val="nil"/>
              <w:right w:val="nil"/>
            </w:tcBorders>
            <w:shd w:val="clear" w:color="auto" w:fill="auto"/>
            <w:noWrap/>
            <w:vAlign w:val="bottom"/>
            <w:hideMark/>
          </w:tcPr>
          <w:p w14:paraId="2526875B" w14:textId="77777777" w:rsidR="00510396" w:rsidRDefault="00510396">
            <w:pPr>
              <w:jc w:val="right"/>
              <w:rPr>
                <w:b/>
                <w:bCs/>
                <w:color w:val="000000"/>
                <w:sz w:val="20"/>
                <w:szCs w:val="20"/>
              </w:rPr>
            </w:pPr>
            <w:r>
              <w:rPr>
                <w:b/>
                <w:bCs/>
                <w:color w:val="000000"/>
                <w:sz w:val="20"/>
                <w:szCs w:val="20"/>
              </w:rPr>
              <w:t>0.028</w:t>
            </w:r>
          </w:p>
        </w:tc>
        <w:tc>
          <w:tcPr>
            <w:tcW w:w="768" w:type="dxa"/>
            <w:tcBorders>
              <w:top w:val="nil"/>
              <w:left w:val="nil"/>
              <w:bottom w:val="nil"/>
              <w:right w:val="nil"/>
            </w:tcBorders>
            <w:shd w:val="clear" w:color="auto" w:fill="auto"/>
            <w:noWrap/>
            <w:vAlign w:val="bottom"/>
            <w:hideMark/>
          </w:tcPr>
          <w:p w14:paraId="52238460" w14:textId="77777777" w:rsidR="00510396" w:rsidRDefault="00510396">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79A3A4E" w14:textId="77777777" w:rsidR="00510396" w:rsidRDefault="00510396">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32BB9D9A" w14:textId="77777777" w:rsidR="00510396" w:rsidRDefault="00510396">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6299D98F"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33C4121" w14:textId="77777777" w:rsidR="00510396" w:rsidRDefault="00510396">
            <w:pPr>
              <w:jc w:val="right"/>
              <w:rPr>
                <w:b/>
                <w:bCs/>
                <w:color w:val="000000"/>
                <w:sz w:val="20"/>
                <w:szCs w:val="20"/>
              </w:rPr>
            </w:pPr>
            <w:r>
              <w:rPr>
                <w:b/>
                <w:bCs/>
                <w:color w:val="000000"/>
                <w:sz w:val="20"/>
                <w:szCs w:val="20"/>
              </w:rPr>
              <w:t>-0.111</w:t>
            </w:r>
          </w:p>
        </w:tc>
        <w:tc>
          <w:tcPr>
            <w:tcW w:w="768" w:type="dxa"/>
            <w:tcBorders>
              <w:top w:val="nil"/>
              <w:left w:val="nil"/>
              <w:bottom w:val="nil"/>
              <w:right w:val="nil"/>
            </w:tcBorders>
            <w:shd w:val="clear" w:color="auto" w:fill="auto"/>
            <w:noWrap/>
            <w:vAlign w:val="bottom"/>
            <w:hideMark/>
          </w:tcPr>
          <w:p w14:paraId="799B6454" w14:textId="77777777" w:rsidR="00510396" w:rsidRDefault="00510396">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964E672" w14:textId="77777777" w:rsidR="00510396" w:rsidRDefault="00510396">
            <w:pPr>
              <w:jc w:val="right"/>
              <w:rPr>
                <w:b/>
                <w:bCs/>
                <w:color w:val="000000"/>
                <w:sz w:val="20"/>
                <w:szCs w:val="20"/>
              </w:rPr>
            </w:pPr>
            <w:r>
              <w:rPr>
                <w:b/>
                <w:bCs/>
                <w:color w:val="000000"/>
                <w:sz w:val="20"/>
                <w:szCs w:val="20"/>
              </w:rPr>
              <w:t>0.012</w:t>
            </w:r>
          </w:p>
        </w:tc>
      </w:tr>
      <w:tr w:rsidR="00510396" w14:paraId="213BA4C6" w14:textId="77777777" w:rsidTr="00510396">
        <w:trPr>
          <w:trHeight w:val="320"/>
        </w:trPr>
        <w:tc>
          <w:tcPr>
            <w:tcW w:w="1176" w:type="dxa"/>
            <w:tcBorders>
              <w:top w:val="nil"/>
              <w:left w:val="nil"/>
              <w:bottom w:val="nil"/>
              <w:right w:val="nil"/>
            </w:tcBorders>
            <w:shd w:val="clear" w:color="auto" w:fill="auto"/>
            <w:noWrap/>
            <w:vAlign w:val="bottom"/>
            <w:hideMark/>
          </w:tcPr>
          <w:p w14:paraId="30FADB51" w14:textId="77777777" w:rsidR="00510396" w:rsidRDefault="00510396">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22BC896B" w14:textId="77777777" w:rsidR="00510396" w:rsidRDefault="0051039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5F0A34A" w14:textId="77777777" w:rsidR="00510396" w:rsidRDefault="00510396">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6BB52A6B" w14:textId="77777777" w:rsidR="00510396" w:rsidRDefault="00510396">
            <w:pPr>
              <w:jc w:val="right"/>
              <w:rPr>
                <w:color w:val="000000"/>
                <w:sz w:val="20"/>
                <w:szCs w:val="20"/>
              </w:rPr>
            </w:pPr>
            <w:r>
              <w:rPr>
                <w:color w:val="000000"/>
                <w:sz w:val="20"/>
                <w:szCs w:val="20"/>
              </w:rPr>
              <w:t>0.453</w:t>
            </w:r>
          </w:p>
        </w:tc>
        <w:tc>
          <w:tcPr>
            <w:tcW w:w="768" w:type="dxa"/>
            <w:tcBorders>
              <w:top w:val="nil"/>
              <w:left w:val="nil"/>
              <w:bottom w:val="nil"/>
              <w:right w:val="nil"/>
            </w:tcBorders>
            <w:shd w:val="clear" w:color="auto" w:fill="auto"/>
            <w:noWrap/>
            <w:vAlign w:val="bottom"/>
            <w:hideMark/>
          </w:tcPr>
          <w:p w14:paraId="2029313A"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7523657" w14:textId="77777777" w:rsidR="00510396" w:rsidRDefault="00510396">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57FB9141" w14:textId="77777777" w:rsidR="00510396" w:rsidRDefault="00510396">
            <w:pPr>
              <w:jc w:val="right"/>
              <w:rPr>
                <w:color w:val="000000"/>
                <w:sz w:val="20"/>
                <w:szCs w:val="20"/>
              </w:rPr>
            </w:pPr>
            <w:r>
              <w:rPr>
                <w:color w:val="000000"/>
                <w:sz w:val="20"/>
                <w:szCs w:val="20"/>
              </w:rPr>
              <w:t>0.768</w:t>
            </w:r>
          </w:p>
        </w:tc>
        <w:tc>
          <w:tcPr>
            <w:tcW w:w="768" w:type="dxa"/>
            <w:tcBorders>
              <w:top w:val="nil"/>
              <w:left w:val="nil"/>
              <w:bottom w:val="nil"/>
              <w:right w:val="nil"/>
            </w:tcBorders>
            <w:shd w:val="clear" w:color="auto" w:fill="auto"/>
            <w:noWrap/>
            <w:vAlign w:val="bottom"/>
            <w:hideMark/>
          </w:tcPr>
          <w:p w14:paraId="690048CC"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AF5A050" w14:textId="77777777" w:rsidR="00510396" w:rsidRDefault="0051039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4C13ED9C" w14:textId="77777777" w:rsidR="00510396" w:rsidRDefault="00510396">
            <w:pPr>
              <w:jc w:val="right"/>
              <w:rPr>
                <w:color w:val="000000"/>
                <w:sz w:val="20"/>
                <w:szCs w:val="20"/>
              </w:rPr>
            </w:pPr>
            <w:r>
              <w:rPr>
                <w:color w:val="000000"/>
                <w:sz w:val="20"/>
                <w:szCs w:val="20"/>
              </w:rPr>
              <w:t>0.477</w:t>
            </w:r>
          </w:p>
        </w:tc>
        <w:tc>
          <w:tcPr>
            <w:tcW w:w="768" w:type="dxa"/>
            <w:tcBorders>
              <w:top w:val="nil"/>
              <w:left w:val="nil"/>
              <w:bottom w:val="nil"/>
              <w:right w:val="nil"/>
            </w:tcBorders>
            <w:shd w:val="clear" w:color="auto" w:fill="auto"/>
            <w:noWrap/>
            <w:vAlign w:val="bottom"/>
            <w:hideMark/>
          </w:tcPr>
          <w:p w14:paraId="338F5DA1"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E07A8CE" w14:textId="77777777" w:rsidR="00510396" w:rsidRDefault="00510396">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26E3ACF8" w14:textId="77777777" w:rsidR="00510396" w:rsidRDefault="00510396">
            <w:pPr>
              <w:jc w:val="right"/>
              <w:rPr>
                <w:color w:val="000000"/>
                <w:sz w:val="20"/>
                <w:szCs w:val="20"/>
              </w:rPr>
            </w:pPr>
            <w:r>
              <w:rPr>
                <w:color w:val="000000"/>
                <w:sz w:val="20"/>
                <w:szCs w:val="20"/>
              </w:rPr>
              <w:t>0.272</w:t>
            </w:r>
          </w:p>
        </w:tc>
        <w:tc>
          <w:tcPr>
            <w:tcW w:w="768" w:type="dxa"/>
            <w:tcBorders>
              <w:top w:val="nil"/>
              <w:left w:val="nil"/>
              <w:bottom w:val="nil"/>
              <w:right w:val="nil"/>
            </w:tcBorders>
            <w:shd w:val="clear" w:color="auto" w:fill="auto"/>
            <w:noWrap/>
            <w:vAlign w:val="bottom"/>
            <w:hideMark/>
          </w:tcPr>
          <w:p w14:paraId="076F8089"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5BA2C476" w14:textId="77777777" w:rsidR="00510396" w:rsidRDefault="00510396">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E57C1A8" w14:textId="77777777" w:rsidR="00510396" w:rsidRDefault="00510396">
            <w:pPr>
              <w:jc w:val="right"/>
              <w:rPr>
                <w:color w:val="000000"/>
                <w:sz w:val="20"/>
                <w:szCs w:val="20"/>
              </w:rPr>
            </w:pPr>
            <w:r>
              <w:rPr>
                <w:color w:val="000000"/>
                <w:sz w:val="20"/>
                <w:szCs w:val="20"/>
              </w:rPr>
              <w:t>0.735</w:t>
            </w:r>
          </w:p>
        </w:tc>
        <w:tc>
          <w:tcPr>
            <w:tcW w:w="768" w:type="dxa"/>
            <w:tcBorders>
              <w:top w:val="nil"/>
              <w:left w:val="nil"/>
              <w:bottom w:val="nil"/>
              <w:right w:val="nil"/>
            </w:tcBorders>
            <w:shd w:val="clear" w:color="auto" w:fill="auto"/>
            <w:noWrap/>
            <w:vAlign w:val="bottom"/>
            <w:hideMark/>
          </w:tcPr>
          <w:p w14:paraId="57ACF4E4" w14:textId="77777777" w:rsidR="00510396" w:rsidRDefault="00510396">
            <w:pPr>
              <w:jc w:val="right"/>
              <w:rPr>
                <w:color w:val="000000"/>
                <w:sz w:val="20"/>
                <w:szCs w:val="20"/>
              </w:rPr>
            </w:pPr>
            <w:r>
              <w:rPr>
                <w:color w:val="000000"/>
                <w:sz w:val="20"/>
                <w:szCs w:val="20"/>
              </w:rPr>
              <w:t>0.000</w:t>
            </w:r>
          </w:p>
        </w:tc>
      </w:tr>
      <w:tr w:rsidR="00510396" w14:paraId="4FE2E3E7" w14:textId="77777777" w:rsidTr="00510396">
        <w:trPr>
          <w:trHeight w:val="320"/>
        </w:trPr>
        <w:tc>
          <w:tcPr>
            <w:tcW w:w="1176" w:type="dxa"/>
            <w:tcBorders>
              <w:top w:val="nil"/>
              <w:left w:val="nil"/>
              <w:bottom w:val="nil"/>
              <w:right w:val="nil"/>
            </w:tcBorders>
            <w:shd w:val="clear" w:color="auto" w:fill="auto"/>
            <w:noWrap/>
            <w:vAlign w:val="bottom"/>
            <w:hideMark/>
          </w:tcPr>
          <w:p w14:paraId="082D0086"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179B7D2" w14:textId="77777777" w:rsidR="00510396" w:rsidRDefault="0051039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58DD465" w14:textId="77777777" w:rsidR="00510396" w:rsidRDefault="0051039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5D1A101D" w14:textId="77777777" w:rsidR="00510396" w:rsidRDefault="00510396">
            <w:pPr>
              <w:jc w:val="right"/>
              <w:rPr>
                <w:color w:val="000000"/>
                <w:sz w:val="20"/>
                <w:szCs w:val="20"/>
              </w:rPr>
            </w:pPr>
            <w:r>
              <w:rPr>
                <w:color w:val="000000"/>
                <w:sz w:val="20"/>
                <w:szCs w:val="20"/>
              </w:rPr>
              <w:t>0.453</w:t>
            </w:r>
          </w:p>
        </w:tc>
        <w:tc>
          <w:tcPr>
            <w:tcW w:w="768" w:type="dxa"/>
            <w:tcBorders>
              <w:top w:val="nil"/>
              <w:left w:val="nil"/>
              <w:bottom w:val="nil"/>
              <w:right w:val="nil"/>
            </w:tcBorders>
            <w:shd w:val="clear" w:color="auto" w:fill="auto"/>
            <w:noWrap/>
            <w:vAlign w:val="bottom"/>
            <w:hideMark/>
          </w:tcPr>
          <w:p w14:paraId="4BE91841"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485448C9" w14:textId="77777777" w:rsidR="00510396" w:rsidRDefault="00510396">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64791252" w14:textId="77777777" w:rsidR="00510396" w:rsidRDefault="00510396">
            <w:pPr>
              <w:jc w:val="right"/>
              <w:rPr>
                <w:color w:val="000000"/>
                <w:sz w:val="20"/>
                <w:szCs w:val="20"/>
              </w:rPr>
            </w:pPr>
            <w:r>
              <w:rPr>
                <w:color w:val="000000"/>
                <w:sz w:val="20"/>
                <w:szCs w:val="20"/>
              </w:rPr>
              <w:t>0.552</w:t>
            </w:r>
          </w:p>
        </w:tc>
        <w:tc>
          <w:tcPr>
            <w:tcW w:w="768" w:type="dxa"/>
            <w:tcBorders>
              <w:top w:val="nil"/>
              <w:left w:val="nil"/>
              <w:bottom w:val="nil"/>
              <w:right w:val="nil"/>
            </w:tcBorders>
            <w:shd w:val="clear" w:color="auto" w:fill="auto"/>
            <w:noWrap/>
            <w:vAlign w:val="bottom"/>
            <w:hideMark/>
          </w:tcPr>
          <w:p w14:paraId="13C0C2B0"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4F986D1" w14:textId="77777777" w:rsidR="00510396" w:rsidRDefault="00510396">
            <w:pPr>
              <w:jc w:val="right"/>
              <w:rPr>
                <w:b/>
                <w:bCs/>
                <w:color w:val="000000"/>
                <w:sz w:val="20"/>
                <w:szCs w:val="20"/>
              </w:rPr>
            </w:pPr>
            <w:r>
              <w:rPr>
                <w:b/>
                <w:bCs/>
                <w:color w:val="000000"/>
                <w:sz w:val="20"/>
                <w:szCs w:val="20"/>
              </w:rPr>
              <w:t>0.115</w:t>
            </w:r>
          </w:p>
        </w:tc>
        <w:tc>
          <w:tcPr>
            <w:tcW w:w="768" w:type="dxa"/>
            <w:tcBorders>
              <w:top w:val="nil"/>
              <w:left w:val="nil"/>
              <w:bottom w:val="nil"/>
              <w:right w:val="nil"/>
            </w:tcBorders>
            <w:shd w:val="clear" w:color="auto" w:fill="auto"/>
            <w:noWrap/>
            <w:vAlign w:val="bottom"/>
            <w:hideMark/>
          </w:tcPr>
          <w:p w14:paraId="53B5F88F" w14:textId="77777777" w:rsidR="00510396" w:rsidRDefault="00510396">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070D70BA" w14:textId="77777777" w:rsidR="00510396" w:rsidRDefault="00510396">
            <w:pPr>
              <w:jc w:val="right"/>
              <w:rPr>
                <w:b/>
                <w:bCs/>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29AA3CD4" w14:textId="77777777" w:rsidR="00510396" w:rsidRDefault="0051039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02EC5FC5" w14:textId="77777777" w:rsidR="00510396" w:rsidRDefault="00510396">
            <w:pPr>
              <w:jc w:val="right"/>
              <w:rPr>
                <w:color w:val="000000"/>
                <w:sz w:val="20"/>
                <w:szCs w:val="20"/>
              </w:rPr>
            </w:pPr>
            <w:r>
              <w:rPr>
                <w:color w:val="000000"/>
                <w:sz w:val="20"/>
                <w:szCs w:val="20"/>
              </w:rPr>
              <w:t>0.765</w:t>
            </w:r>
          </w:p>
        </w:tc>
        <w:tc>
          <w:tcPr>
            <w:tcW w:w="768" w:type="dxa"/>
            <w:tcBorders>
              <w:top w:val="nil"/>
              <w:left w:val="nil"/>
              <w:bottom w:val="nil"/>
              <w:right w:val="nil"/>
            </w:tcBorders>
            <w:shd w:val="clear" w:color="auto" w:fill="auto"/>
            <w:noWrap/>
            <w:vAlign w:val="bottom"/>
            <w:hideMark/>
          </w:tcPr>
          <w:p w14:paraId="4122B85F"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C07EA01" w14:textId="77777777" w:rsidR="00510396" w:rsidRDefault="00510396">
            <w:pPr>
              <w:jc w:val="right"/>
              <w:rPr>
                <w:color w:val="000000"/>
                <w:sz w:val="20"/>
                <w:szCs w:val="20"/>
              </w:rPr>
            </w:pPr>
            <w:r>
              <w:rPr>
                <w:color w:val="000000"/>
                <w:sz w:val="20"/>
                <w:szCs w:val="20"/>
              </w:rPr>
              <w:t>0.054</w:t>
            </w:r>
          </w:p>
        </w:tc>
        <w:tc>
          <w:tcPr>
            <w:tcW w:w="768" w:type="dxa"/>
            <w:tcBorders>
              <w:top w:val="nil"/>
              <w:left w:val="nil"/>
              <w:bottom w:val="nil"/>
              <w:right w:val="nil"/>
            </w:tcBorders>
            <w:shd w:val="clear" w:color="auto" w:fill="auto"/>
            <w:noWrap/>
            <w:vAlign w:val="bottom"/>
            <w:hideMark/>
          </w:tcPr>
          <w:p w14:paraId="06A922E0" w14:textId="77777777" w:rsidR="00510396" w:rsidRDefault="00510396">
            <w:pPr>
              <w:jc w:val="right"/>
              <w:rPr>
                <w:color w:val="000000"/>
                <w:sz w:val="20"/>
                <w:szCs w:val="20"/>
              </w:rPr>
            </w:pPr>
            <w:r>
              <w:rPr>
                <w:color w:val="000000"/>
                <w:sz w:val="20"/>
                <w:szCs w:val="20"/>
              </w:rPr>
              <w:t>0.306</w:t>
            </w:r>
          </w:p>
        </w:tc>
        <w:tc>
          <w:tcPr>
            <w:tcW w:w="768" w:type="dxa"/>
            <w:tcBorders>
              <w:top w:val="nil"/>
              <w:left w:val="nil"/>
              <w:bottom w:val="nil"/>
              <w:right w:val="nil"/>
            </w:tcBorders>
            <w:shd w:val="clear" w:color="auto" w:fill="auto"/>
            <w:noWrap/>
            <w:vAlign w:val="bottom"/>
            <w:hideMark/>
          </w:tcPr>
          <w:p w14:paraId="21AB9E41" w14:textId="77777777" w:rsidR="00510396" w:rsidRDefault="00510396">
            <w:pPr>
              <w:jc w:val="right"/>
              <w:rPr>
                <w:color w:val="000000"/>
                <w:sz w:val="20"/>
                <w:szCs w:val="20"/>
              </w:rPr>
            </w:pPr>
            <w:r>
              <w:rPr>
                <w:color w:val="000000"/>
                <w:sz w:val="20"/>
                <w:szCs w:val="20"/>
              </w:rPr>
              <w:t>0.003</w:t>
            </w:r>
          </w:p>
        </w:tc>
      </w:tr>
      <w:tr w:rsidR="00510396" w14:paraId="7376E2D7" w14:textId="77777777" w:rsidTr="00510396">
        <w:trPr>
          <w:trHeight w:val="320"/>
        </w:trPr>
        <w:tc>
          <w:tcPr>
            <w:tcW w:w="1176" w:type="dxa"/>
            <w:tcBorders>
              <w:top w:val="nil"/>
              <w:left w:val="nil"/>
              <w:bottom w:val="nil"/>
              <w:right w:val="nil"/>
            </w:tcBorders>
            <w:shd w:val="clear" w:color="auto" w:fill="auto"/>
            <w:noWrap/>
            <w:vAlign w:val="bottom"/>
            <w:hideMark/>
          </w:tcPr>
          <w:p w14:paraId="4E4DE8E9"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DED243D" w14:textId="77777777" w:rsidR="00510396" w:rsidRDefault="0051039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2D93F9B9" w14:textId="77777777" w:rsidR="00510396" w:rsidRDefault="0051039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20E00593" w14:textId="77777777" w:rsidR="00510396" w:rsidRDefault="00510396">
            <w:pPr>
              <w:jc w:val="right"/>
              <w:rPr>
                <w:color w:val="000000"/>
                <w:sz w:val="20"/>
                <w:szCs w:val="20"/>
              </w:rPr>
            </w:pPr>
            <w:r>
              <w:rPr>
                <w:color w:val="000000"/>
                <w:sz w:val="20"/>
                <w:szCs w:val="20"/>
              </w:rPr>
              <w:t>0.936</w:t>
            </w:r>
          </w:p>
        </w:tc>
        <w:tc>
          <w:tcPr>
            <w:tcW w:w="768" w:type="dxa"/>
            <w:tcBorders>
              <w:top w:val="nil"/>
              <w:left w:val="nil"/>
              <w:bottom w:val="nil"/>
              <w:right w:val="nil"/>
            </w:tcBorders>
            <w:shd w:val="clear" w:color="auto" w:fill="auto"/>
            <w:noWrap/>
            <w:vAlign w:val="bottom"/>
            <w:hideMark/>
          </w:tcPr>
          <w:p w14:paraId="4D42AA4C"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18C13E8" w14:textId="77777777" w:rsidR="00510396" w:rsidRDefault="0051039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45E46D25" w14:textId="77777777" w:rsidR="00510396" w:rsidRDefault="00510396">
            <w:pPr>
              <w:jc w:val="right"/>
              <w:rPr>
                <w:color w:val="000000"/>
                <w:sz w:val="20"/>
                <w:szCs w:val="20"/>
              </w:rPr>
            </w:pPr>
            <w:r>
              <w:rPr>
                <w:color w:val="000000"/>
                <w:sz w:val="20"/>
                <w:szCs w:val="20"/>
              </w:rPr>
              <w:t>0.773</w:t>
            </w:r>
          </w:p>
        </w:tc>
        <w:tc>
          <w:tcPr>
            <w:tcW w:w="768" w:type="dxa"/>
            <w:tcBorders>
              <w:top w:val="nil"/>
              <w:left w:val="nil"/>
              <w:bottom w:val="nil"/>
              <w:right w:val="nil"/>
            </w:tcBorders>
            <w:shd w:val="clear" w:color="auto" w:fill="auto"/>
            <w:noWrap/>
            <w:vAlign w:val="bottom"/>
            <w:hideMark/>
          </w:tcPr>
          <w:p w14:paraId="673BF151"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1A59835" w14:textId="77777777" w:rsidR="00510396" w:rsidRDefault="0051039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48CCCC52" w14:textId="77777777" w:rsidR="00510396" w:rsidRDefault="00510396">
            <w:pPr>
              <w:jc w:val="right"/>
              <w:rPr>
                <w:color w:val="000000"/>
                <w:sz w:val="20"/>
                <w:szCs w:val="20"/>
              </w:rPr>
            </w:pPr>
            <w:r>
              <w:rPr>
                <w:color w:val="000000"/>
                <w:sz w:val="20"/>
                <w:szCs w:val="20"/>
              </w:rPr>
              <w:t>0.477</w:t>
            </w:r>
          </w:p>
        </w:tc>
        <w:tc>
          <w:tcPr>
            <w:tcW w:w="768" w:type="dxa"/>
            <w:tcBorders>
              <w:top w:val="nil"/>
              <w:left w:val="nil"/>
              <w:bottom w:val="nil"/>
              <w:right w:val="nil"/>
            </w:tcBorders>
            <w:shd w:val="clear" w:color="auto" w:fill="auto"/>
            <w:noWrap/>
            <w:vAlign w:val="bottom"/>
            <w:hideMark/>
          </w:tcPr>
          <w:p w14:paraId="73C73FED"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DEC601B" w14:textId="77777777" w:rsidR="00510396" w:rsidRDefault="00510396">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302FD323" w14:textId="77777777" w:rsidR="00510396" w:rsidRDefault="00510396">
            <w:pPr>
              <w:jc w:val="right"/>
              <w:rPr>
                <w:color w:val="000000"/>
                <w:sz w:val="20"/>
                <w:szCs w:val="20"/>
              </w:rPr>
            </w:pPr>
            <w:r>
              <w:rPr>
                <w:color w:val="000000"/>
                <w:sz w:val="20"/>
                <w:szCs w:val="20"/>
              </w:rPr>
              <w:t>0.509</w:t>
            </w:r>
          </w:p>
        </w:tc>
        <w:tc>
          <w:tcPr>
            <w:tcW w:w="768" w:type="dxa"/>
            <w:tcBorders>
              <w:top w:val="nil"/>
              <w:left w:val="nil"/>
              <w:bottom w:val="nil"/>
              <w:right w:val="nil"/>
            </w:tcBorders>
            <w:shd w:val="clear" w:color="auto" w:fill="auto"/>
            <w:noWrap/>
            <w:vAlign w:val="bottom"/>
            <w:hideMark/>
          </w:tcPr>
          <w:p w14:paraId="35C3ABB3"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2E9EBE88" w14:textId="77777777" w:rsidR="00510396" w:rsidRDefault="00510396">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1B002C58" w14:textId="77777777" w:rsidR="00510396" w:rsidRDefault="00510396">
            <w:pPr>
              <w:jc w:val="right"/>
              <w:rPr>
                <w:color w:val="000000"/>
                <w:sz w:val="20"/>
                <w:szCs w:val="20"/>
              </w:rPr>
            </w:pPr>
            <w:r>
              <w:rPr>
                <w:color w:val="000000"/>
                <w:sz w:val="20"/>
                <w:szCs w:val="20"/>
              </w:rPr>
              <w:t>0.306</w:t>
            </w:r>
          </w:p>
        </w:tc>
        <w:tc>
          <w:tcPr>
            <w:tcW w:w="768" w:type="dxa"/>
            <w:tcBorders>
              <w:top w:val="nil"/>
              <w:left w:val="nil"/>
              <w:bottom w:val="nil"/>
              <w:right w:val="nil"/>
            </w:tcBorders>
            <w:shd w:val="clear" w:color="auto" w:fill="auto"/>
            <w:noWrap/>
            <w:vAlign w:val="bottom"/>
            <w:hideMark/>
          </w:tcPr>
          <w:p w14:paraId="70B1E3A3" w14:textId="77777777" w:rsidR="00510396" w:rsidRDefault="00510396">
            <w:pPr>
              <w:jc w:val="right"/>
              <w:rPr>
                <w:color w:val="000000"/>
                <w:sz w:val="20"/>
                <w:szCs w:val="20"/>
              </w:rPr>
            </w:pPr>
            <w:r>
              <w:rPr>
                <w:color w:val="000000"/>
                <w:sz w:val="20"/>
                <w:szCs w:val="20"/>
              </w:rPr>
              <w:t>0.002</w:t>
            </w:r>
          </w:p>
        </w:tc>
      </w:tr>
      <w:tr w:rsidR="00510396" w14:paraId="077C9742" w14:textId="77777777" w:rsidTr="00510396">
        <w:trPr>
          <w:trHeight w:val="320"/>
        </w:trPr>
        <w:tc>
          <w:tcPr>
            <w:tcW w:w="1176" w:type="dxa"/>
            <w:tcBorders>
              <w:top w:val="nil"/>
              <w:left w:val="nil"/>
              <w:bottom w:val="single" w:sz="4" w:space="0" w:color="auto"/>
              <w:right w:val="nil"/>
            </w:tcBorders>
            <w:shd w:val="clear" w:color="auto" w:fill="auto"/>
            <w:noWrap/>
            <w:vAlign w:val="bottom"/>
            <w:hideMark/>
          </w:tcPr>
          <w:p w14:paraId="32E95169" w14:textId="77777777" w:rsidR="00510396" w:rsidRDefault="00510396">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3BE4F400" w14:textId="77777777" w:rsidR="00510396" w:rsidRDefault="00510396">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9716915" w14:textId="77777777" w:rsidR="00510396" w:rsidRDefault="00510396">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6ED93699" w14:textId="77777777" w:rsidR="00510396" w:rsidRDefault="00510396">
            <w:pPr>
              <w:jc w:val="right"/>
              <w:rPr>
                <w:color w:val="000000"/>
                <w:sz w:val="20"/>
                <w:szCs w:val="20"/>
              </w:rPr>
            </w:pPr>
            <w:r>
              <w:rPr>
                <w:color w:val="000000"/>
                <w:sz w:val="20"/>
                <w:szCs w:val="20"/>
              </w:rPr>
              <w:t>0.844</w:t>
            </w:r>
          </w:p>
        </w:tc>
        <w:tc>
          <w:tcPr>
            <w:tcW w:w="768" w:type="dxa"/>
            <w:tcBorders>
              <w:top w:val="nil"/>
              <w:left w:val="nil"/>
              <w:bottom w:val="single" w:sz="4" w:space="0" w:color="auto"/>
              <w:right w:val="nil"/>
            </w:tcBorders>
            <w:shd w:val="clear" w:color="auto" w:fill="auto"/>
            <w:noWrap/>
            <w:vAlign w:val="bottom"/>
            <w:hideMark/>
          </w:tcPr>
          <w:p w14:paraId="1E1081F9"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A56E0A1" w14:textId="77777777" w:rsidR="00510396" w:rsidRDefault="00510396">
            <w:pPr>
              <w:jc w:val="right"/>
              <w:rPr>
                <w:color w:val="000000"/>
                <w:sz w:val="20"/>
                <w:szCs w:val="20"/>
              </w:rPr>
            </w:pPr>
            <w:r>
              <w:rPr>
                <w:color w:val="000000"/>
                <w:sz w:val="20"/>
                <w:szCs w:val="20"/>
              </w:rPr>
              <w:t>0.039</w:t>
            </w:r>
          </w:p>
        </w:tc>
        <w:tc>
          <w:tcPr>
            <w:tcW w:w="768" w:type="dxa"/>
            <w:tcBorders>
              <w:top w:val="nil"/>
              <w:left w:val="nil"/>
              <w:bottom w:val="single" w:sz="4" w:space="0" w:color="auto"/>
              <w:right w:val="nil"/>
            </w:tcBorders>
            <w:shd w:val="clear" w:color="auto" w:fill="auto"/>
            <w:noWrap/>
            <w:vAlign w:val="bottom"/>
            <w:hideMark/>
          </w:tcPr>
          <w:p w14:paraId="71F48303" w14:textId="77777777" w:rsidR="00510396" w:rsidRDefault="00510396">
            <w:pPr>
              <w:jc w:val="right"/>
              <w:rPr>
                <w:color w:val="000000"/>
                <w:sz w:val="20"/>
                <w:szCs w:val="20"/>
              </w:rPr>
            </w:pPr>
            <w:r>
              <w:rPr>
                <w:color w:val="000000"/>
                <w:sz w:val="20"/>
                <w:szCs w:val="20"/>
              </w:rPr>
              <w:t>0.528</w:t>
            </w:r>
          </w:p>
        </w:tc>
        <w:tc>
          <w:tcPr>
            <w:tcW w:w="768" w:type="dxa"/>
            <w:tcBorders>
              <w:top w:val="nil"/>
              <w:left w:val="nil"/>
              <w:bottom w:val="single" w:sz="4" w:space="0" w:color="auto"/>
              <w:right w:val="nil"/>
            </w:tcBorders>
            <w:shd w:val="clear" w:color="auto" w:fill="auto"/>
            <w:noWrap/>
            <w:vAlign w:val="bottom"/>
            <w:hideMark/>
          </w:tcPr>
          <w:p w14:paraId="4C52F41D"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56BD746" w14:textId="77777777" w:rsidR="00510396" w:rsidRDefault="00510396">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352E70FF" w14:textId="77777777" w:rsidR="00510396" w:rsidRDefault="00510396">
            <w:pPr>
              <w:jc w:val="right"/>
              <w:rPr>
                <w:color w:val="000000"/>
                <w:sz w:val="20"/>
                <w:szCs w:val="20"/>
              </w:rPr>
            </w:pPr>
            <w:r>
              <w:rPr>
                <w:color w:val="000000"/>
                <w:sz w:val="20"/>
                <w:szCs w:val="20"/>
              </w:rPr>
              <w:t>0.445</w:t>
            </w:r>
          </w:p>
        </w:tc>
        <w:tc>
          <w:tcPr>
            <w:tcW w:w="768" w:type="dxa"/>
            <w:tcBorders>
              <w:top w:val="nil"/>
              <w:left w:val="nil"/>
              <w:bottom w:val="single" w:sz="4" w:space="0" w:color="auto"/>
              <w:right w:val="nil"/>
            </w:tcBorders>
            <w:shd w:val="clear" w:color="auto" w:fill="auto"/>
            <w:noWrap/>
            <w:vAlign w:val="bottom"/>
            <w:hideMark/>
          </w:tcPr>
          <w:p w14:paraId="51B1B4F0"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29772DE9" w14:textId="77777777" w:rsidR="00510396" w:rsidRDefault="00510396">
            <w:pPr>
              <w:jc w:val="right"/>
              <w:rPr>
                <w:color w:val="000000"/>
                <w:sz w:val="20"/>
                <w:szCs w:val="20"/>
              </w:rPr>
            </w:pPr>
            <w:r>
              <w:rPr>
                <w:color w:val="000000"/>
                <w:sz w:val="20"/>
                <w:szCs w:val="20"/>
              </w:rPr>
              <w:t>-0.013</w:t>
            </w:r>
          </w:p>
        </w:tc>
        <w:tc>
          <w:tcPr>
            <w:tcW w:w="768" w:type="dxa"/>
            <w:tcBorders>
              <w:top w:val="nil"/>
              <w:left w:val="nil"/>
              <w:bottom w:val="single" w:sz="4" w:space="0" w:color="auto"/>
              <w:right w:val="nil"/>
            </w:tcBorders>
            <w:shd w:val="clear" w:color="auto" w:fill="auto"/>
            <w:noWrap/>
            <w:vAlign w:val="bottom"/>
            <w:hideMark/>
          </w:tcPr>
          <w:p w14:paraId="5C290B80" w14:textId="77777777" w:rsidR="00510396" w:rsidRDefault="00510396">
            <w:pPr>
              <w:jc w:val="right"/>
              <w:rPr>
                <w:color w:val="000000"/>
                <w:sz w:val="20"/>
                <w:szCs w:val="20"/>
              </w:rPr>
            </w:pPr>
            <w:r>
              <w:rPr>
                <w:color w:val="000000"/>
                <w:sz w:val="20"/>
                <w:szCs w:val="20"/>
              </w:rPr>
              <w:t>0.765</w:t>
            </w:r>
          </w:p>
        </w:tc>
        <w:tc>
          <w:tcPr>
            <w:tcW w:w="768" w:type="dxa"/>
            <w:tcBorders>
              <w:top w:val="nil"/>
              <w:left w:val="nil"/>
              <w:bottom w:val="single" w:sz="4" w:space="0" w:color="auto"/>
              <w:right w:val="nil"/>
            </w:tcBorders>
            <w:shd w:val="clear" w:color="auto" w:fill="auto"/>
            <w:noWrap/>
            <w:vAlign w:val="bottom"/>
            <w:hideMark/>
          </w:tcPr>
          <w:p w14:paraId="2DAB0EC2"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1661F97A" w14:textId="77777777" w:rsidR="00510396" w:rsidRDefault="00510396">
            <w:pPr>
              <w:jc w:val="right"/>
              <w:rPr>
                <w:color w:val="000000"/>
                <w:sz w:val="20"/>
                <w:szCs w:val="20"/>
              </w:rPr>
            </w:pPr>
            <w:r>
              <w:rPr>
                <w:color w:val="000000"/>
                <w:sz w:val="20"/>
                <w:szCs w:val="20"/>
              </w:rPr>
              <w:t>0.045</w:t>
            </w:r>
          </w:p>
        </w:tc>
        <w:tc>
          <w:tcPr>
            <w:tcW w:w="768" w:type="dxa"/>
            <w:tcBorders>
              <w:top w:val="nil"/>
              <w:left w:val="nil"/>
              <w:bottom w:val="single" w:sz="4" w:space="0" w:color="auto"/>
              <w:right w:val="nil"/>
            </w:tcBorders>
            <w:shd w:val="clear" w:color="auto" w:fill="auto"/>
            <w:noWrap/>
            <w:vAlign w:val="bottom"/>
            <w:hideMark/>
          </w:tcPr>
          <w:p w14:paraId="47AC7E5C" w14:textId="77777777" w:rsidR="00510396" w:rsidRDefault="00510396">
            <w:pPr>
              <w:jc w:val="right"/>
              <w:rPr>
                <w:color w:val="000000"/>
                <w:sz w:val="20"/>
                <w:szCs w:val="20"/>
              </w:rPr>
            </w:pPr>
            <w:r>
              <w:rPr>
                <w:color w:val="000000"/>
                <w:sz w:val="20"/>
                <w:szCs w:val="20"/>
              </w:rPr>
              <w:t>0.306</w:t>
            </w:r>
          </w:p>
        </w:tc>
        <w:tc>
          <w:tcPr>
            <w:tcW w:w="768" w:type="dxa"/>
            <w:tcBorders>
              <w:top w:val="nil"/>
              <w:left w:val="nil"/>
              <w:bottom w:val="single" w:sz="4" w:space="0" w:color="auto"/>
              <w:right w:val="nil"/>
            </w:tcBorders>
            <w:shd w:val="clear" w:color="auto" w:fill="auto"/>
            <w:noWrap/>
            <w:vAlign w:val="bottom"/>
            <w:hideMark/>
          </w:tcPr>
          <w:p w14:paraId="3F785C60" w14:textId="77777777" w:rsidR="00510396" w:rsidRDefault="00510396">
            <w:pPr>
              <w:jc w:val="right"/>
              <w:rPr>
                <w:color w:val="000000"/>
                <w:sz w:val="20"/>
                <w:szCs w:val="20"/>
              </w:rPr>
            </w:pPr>
            <w:r>
              <w:rPr>
                <w:color w:val="000000"/>
                <w:sz w:val="20"/>
                <w:szCs w:val="20"/>
              </w:rPr>
              <w:t>0.002</w:t>
            </w:r>
          </w:p>
        </w:tc>
      </w:tr>
      <w:tr w:rsidR="00510396" w14:paraId="04CF8952" w14:textId="77777777" w:rsidTr="00510396">
        <w:trPr>
          <w:trHeight w:val="320"/>
        </w:trPr>
        <w:tc>
          <w:tcPr>
            <w:tcW w:w="1176" w:type="dxa"/>
            <w:tcBorders>
              <w:top w:val="nil"/>
              <w:left w:val="nil"/>
              <w:bottom w:val="nil"/>
              <w:right w:val="nil"/>
            </w:tcBorders>
            <w:shd w:val="clear" w:color="auto" w:fill="auto"/>
            <w:noWrap/>
            <w:vAlign w:val="bottom"/>
            <w:hideMark/>
          </w:tcPr>
          <w:p w14:paraId="51C38449" w14:textId="77777777" w:rsidR="00510396" w:rsidRDefault="00510396">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54B6BF08" w14:textId="77777777" w:rsidR="00510396" w:rsidRDefault="00510396">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01CB7FEF" w14:textId="77777777" w:rsidR="00510396" w:rsidRDefault="0051039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76F7A81F" w14:textId="77777777" w:rsidR="00510396" w:rsidRDefault="00510396">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15F9A53A"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5446522" w14:textId="77777777" w:rsidR="00510396" w:rsidRDefault="00510396">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4BE892A2" w14:textId="77777777" w:rsidR="00510396" w:rsidRDefault="00510396">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344E1D0E"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3BD7183" w14:textId="77777777" w:rsidR="00510396" w:rsidRDefault="0051039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05B876C0" w14:textId="77777777" w:rsidR="00510396" w:rsidRDefault="00510396">
            <w:pPr>
              <w:jc w:val="right"/>
              <w:rPr>
                <w:color w:val="000000"/>
                <w:sz w:val="20"/>
                <w:szCs w:val="20"/>
              </w:rPr>
            </w:pPr>
            <w:r>
              <w:rPr>
                <w:color w:val="000000"/>
                <w:sz w:val="20"/>
                <w:szCs w:val="20"/>
              </w:rPr>
              <w:t>0.416</w:t>
            </w:r>
          </w:p>
        </w:tc>
        <w:tc>
          <w:tcPr>
            <w:tcW w:w="768" w:type="dxa"/>
            <w:tcBorders>
              <w:top w:val="nil"/>
              <w:left w:val="nil"/>
              <w:bottom w:val="nil"/>
              <w:right w:val="nil"/>
            </w:tcBorders>
            <w:shd w:val="clear" w:color="auto" w:fill="auto"/>
            <w:noWrap/>
            <w:vAlign w:val="bottom"/>
            <w:hideMark/>
          </w:tcPr>
          <w:p w14:paraId="10B05428"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799430B" w14:textId="77777777" w:rsidR="00510396" w:rsidRDefault="00510396">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DADE5E6" w14:textId="77777777" w:rsidR="00510396" w:rsidRDefault="00510396">
            <w:pPr>
              <w:jc w:val="right"/>
              <w:rPr>
                <w:color w:val="000000"/>
                <w:sz w:val="20"/>
                <w:szCs w:val="20"/>
              </w:rPr>
            </w:pPr>
            <w:r>
              <w:rPr>
                <w:color w:val="000000"/>
                <w:sz w:val="20"/>
                <w:szCs w:val="20"/>
              </w:rPr>
              <w:t>0.624</w:t>
            </w:r>
          </w:p>
        </w:tc>
        <w:tc>
          <w:tcPr>
            <w:tcW w:w="768" w:type="dxa"/>
            <w:tcBorders>
              <w:top w:val="nil"/>
              <w:left w:val="nil"/>
              <w:bottom w:val="nil"/>
              <w:right w:val="nil"/>
            </w:tcBorders>
            <w:shd w:val="clear" w:color="auto" w:fill="auto"/>
            <w:noWrap/>
            <w:vAlign w:val="bottom"/>
            <w:hideMark/>
          </w:tcPr>
          <w:p w14:paraId="0359676C"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E15CEC" w14:textId="77777777" w:rsidR="00510396" w:rsidRDefault="00510396">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3BB69689" w14:textId="77777777" w:rsidR="00510396" w:rsidRDefault="00510396">
            <w:pPr>
              <w:jc w:val="right"/>
              <w:rPr>
                <w:color w:val="000000"/>
                <w:sz w:val="20"/>
                <w:szCs w:val="20"/>
              </w:rPr>
            </w:pPr>
            <w:r>
              <w:rPr>
                <w:color w:val="000000"/>
                <w:sz w:val="20"/>
                <w:szCs w:val="20"/>
              </w:rPr>
              <w:t>0.457</w:t>
            </w:r>
          </w:p>
        </w:tc>
        <w:tc>
          <w:tcPr>
            <w:tcW w:w="768" w:type="dxa"/>
            <w:tcBorders>
              <w:top w:val="nil"/>
              <w:left w:val="nil"/>
              <w:bottom w:val="nil"/>
              <w:right w:val="nil"/>
            </w:tcBorders>
            <w:shd w:val="clear" w:color="auto" w:fill="auto"/>
            <w:noWrap/>
            <w:vAlign w:val="bottom"/>
            <w:hideMark/>
          </w:tcPr>
          <w:p w14:paraId="66B9E693" w14:textId="77777777" w:rsidR="00510396" w:rsidRDefault="00510396">
            <w:pPr>
              <w:jc w:val="right"/>
              <w:rPr>
                <w:color w:val="000000"/>
                <w:sz w:val="20"/>
                <w:szCs w:val="20"/>
              </w:rPr>
            </w:pPr>
            <w:r>
              <w:rPr>
                <w:color w:val="000000"/>
                <w:sz w:val="20"/>
                <w:szCs w:val="20"/>
              </w:rPr>
              <w:t>0.001</w:t>
            </w:r>
          </w:p>
        </w:tc>
      </w:tr>
      <w:tr w:rsidR="00510396" w14:paraId="313E3C03" w14:textId="77777777" w:rsidTr="00510396">
        <w:trPr>
          <w:trHeight w:val="320"/>
        </w:trPr>
        <w:tc>
          <w:tcPr>
            <w:tcW w:w="1176" w:type="dxa"/>
            <w:tcBorders>
              <w:top w:val="nil"/>
              <w:left w:val="nil"/>
              <w:bottom w:val="nil"/>
              <w:right w:val="nil"/>
            </w:tcBorders>
            <w:shd w:val="clear" w:color="auto" w:fill="auto"/>
            <w:noWrap/>
            <w:vAlign w:val="bottom"/>
            <w:hideMark/>
          </w:tcPr>
          <w:p w14:paraId="28D3C231"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ECD9C81" w14:textId="77777777" w:rsidR="00510396" w:rsidRDefault="00510396">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0F9DE61" w14:textId="77777777" w:rsidR="00510396" w:rsidRDefault="00510396">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CD4D6B9" w14:textId="77777777" w:rsidR="00510396" w:rsidRDefault="00510396">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6C3E6CD8"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1E27B0D" w14:textId="77777777" w:rsidR="00510396" w:rsidRDefault="00510396">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589780CE" w14:textId="77777777" w:rsidR="00510396" w:rsidRDefault="00510396">
            <w:pPr>
              <w:jc w:val="right"/>
              <w:rPr>
                <w:color w:val="000000"/>
                <w:sz w:val="20"/>
                <w:szCs w:val="20"/>
              </w:rPr>
            </w:pPr>
            <w:r>
              <w:rPr>
                <w:color w:val="000000"/>
                <w:sz w:val="20"/>
                <w:szCs w:val="20"/>
              </w:rPr>
              <w:t>0.761</w:t>
            </w:r>
          </w:p>
        </w:tc>
        <w:tc>
          <w:tcPr>
            <w:tcW w:w="768" w:type="dxa"/>
            <w:tcBorders>
              <w:top w:val="nil"/>
              <w:left w:val="nil"/>
              <w:bottom w:val="nil"/>
              <w:right w:val="nil"/>
            </w:tcBorders>
            <w:shd w:val="clear" w:color="auto" w:fill="auto"/>
            <w:noWrap/>
            <w:vAlign w:val="bottom"/>
            <w:hideMark/>
          </w:tcPr>
          <w:p w14:paraId="47354BEE"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2AED548" w14:textId="77777777" w:rsidR="00510396" w:rsidRDefault="00510396">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6839139B" w14:textId="77777777" w:rsidR="00510396" w:rsidRDefault="00510396">
            <w:pPr>
              <w:jc w:val="right"/>
              <w:rPr>
                <w:color w:val="000000"/>
                <w:sz w:val="20"/>
                <w:szCs w:val="20"/>
              </w:rPr>
            </w:pPr>
            <w:r>
              <w:rPr>
                <w:color w:val="000000"/>
                <w:sz w:val="20"/>
                <w:szCs w:val="20"/>
              </w:rPr>
              <w:t>0.588</w:t>
            </w:r>
          </w:p>
        </w:tc>
        <w:tc>
          <w:tcPr>
            <w:tcW w:w="768" w:type="dxa"/>
            <w:tcBorders>
              <w:top w:val="nil"/>
              <w:left w:val="nil"/>
              <w:bottom w:val="nil"/>
              <w:right w:val="nil"/>
            </w:tcBorders>
            <w:shd w:val="clear" w:color="auto" w:fill="auto"/>
            <w:noWrap/>
            <w:vAlign w:val="bottom"/>
            <w:hideMark/>
          </w:tcPr>
          <w:p w14:paraId="70B20316"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82D64C4" w14:textId="77777777" w:rsidR="00510396" w:rsidRDefault="00510396">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007FA420" w14:textId="77777777" w:rsidR="00510396" w:rsidRDefault="00510396">
            <w:pPr>
              <w:jc w:val="right"/>
              <w:rPr>
                <w:color w:val="000000"/>
                <w:sz w:val="20"/>
                <w:szCs w:val="20"/>
              </w:rPr>
            </w:pPr>
            <w:r>
              <w:rPr>
                <w:color w:val="000000"/>
                <w:sz w:val="20"/>
                <w:szCs w:val="20"/>
              </w:rPr>
              <w:t>0.408</w:t>
            </w:r>
          </w:p>
        </w:tc>
        <w:tc>
          <w:tcPr>
            <w:tcW w:w="768" w:type="dxa"/>
            <w:tcBorders>
              <w:top w:val="nil"/>
              <w:left w:val="nil"/>
              <w:bottom w:val="nil"/>
              <w:right w:val="nil"/>
            </w:tcBorders>
            <w:shd w:val="clear" w:color="auto" w:fill="auto"/>
            <w:noWrap/>
            <w:vAlign w:val="bottom"/>
            <w:hideMark/>
          </w:tcPr>
          <w:p w14:paraId="3BC808E9"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40AAFB6" w14:textId="77777777" w:rsidR="00510396" w:rsidRDefault="00510396">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290388A0" w14:textId="77777777" w:rsidR="00510396" w:rsidRDefault="00510396">
            <w:pPr>
              <w:jc w:val="right"/>
              <w:rPr>
                <w:color w:val="000000"/>
                <w:sz w:val="20"/>
                <w:szCs w:val="20"/>
              </w:rPr>
            </w:pPr>
            <w:r>
              <w:rPr>
                <w:color w:val="000000"/>
                <w:sz w:val="20"/>
                <w:szCs w:val="20"/>
              </w:rPr>
              <w:t>0.406</w:t>
            </w:r>
          </w:p>
        </w:tc>
        <w:tc>
          <w:tcPr>
            <w:tcW w:w="768" w:type="dxa"/>
            <w:tcBorders>
              <w:top w:val="nil"/>
              <w:left w:val="nil"/>
              <w:bottom w:val="nil"/>
              <w:right w:val="nil"/>
            </w:tcBorders>
            <w:shd w:val="clear" w:color="auto" w:fill="auto"/>
            <w:noWrap/>
            <w:vAlign w:val="bottom"/>
            <w:hideMark/>
          </w:tcPr>
          <w:p w14:paraId="079D1BC0" w14:textId="77777777" w:rsidR="00510396" w:rsidRDefault="00510396">
            <w:pPr>
              <w:jc w:val="right"/>
              <w:rPr>
                <w:color w:val="000000"/>
                <w:sz w:val="20"/>
                <w:szCs w:val="20"/>
              </w:rPr>
            </w:pPr>
            <w:r>
              <w:rPr>
                <w:color w:val="000000"/>
                <w:sz w:val="20"/>
                <w:szCs w:val="20"/>
              </w:rPr>
              <w:t>0.002</w:t>
            </w:r>
          </w:p>
        </w:tc>
      </w:tr>
      <w:tr w:rsidR="00510396" w14:paraId="697CDA0E" w14:textId="77777777" w:rsidTr="00510396">
        <w:trPr>
          <w:trHeight w:val="320"/>
        </w:trPr>
        <w:tc>
          <w:tcPr>
            <w:tcW w:w="1176" w:type="dxa"/>
            <w:tcBorders>
              <w:top w:val="nil"/>
              <w:left w:val="nil"/>
              <w:bottom w:val="nil"/>
              <w:right w:val="nil"/>
            </w:tcBorders>
            <w:shd w:val="clear" w:color="auto" w:fill="auto"/>
            <w:noWrap/>
            <w:vAlign w:val="bottom"/>
            <w:hideMark/>
          </w:tcPr>
          <w:p w14:paraId="3B911FD3"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97EA83C" w14:textId="77777777" w:rsidR="00510396" w:rsidRDefault="00510396">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B08E3AF" w14:textId="77777777" w:rsidR="00510396" w:rsidRDefault="00510396">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3F137AE7" w14:textId="77777777" w:rsidR="00510396" w:rsidRDefault="00510396">
            <w:pPr>
              <w:jc w:val="right"/>
              <w:rPr>
                <w:color w:val="000000"/>
                <w:sz w:val="20"/>
                <w:szCs w:val="20"/>
              </w:rPr>
            </w:pPr>
            <w:r>
              <w:rPr>
                <w:color w:val="000000"/>
                <w:sz w:val="20"/>
                <w:szCs w:val="20"/>
              </w:rPr>
              <w:t>0.708</w:t>
            </w:r>
          </w:p>
        </w:tc>
        <w:tc>
          <w:tcPr>
            <w:tcW w:w="768" w:type="dxa"/>
            <w:tcBorders>
              <w:top w:val="nil"/>
              <w:left w:val="nil"/>
              <w:bottom w:val="nil"/>
              <w:right w:val="nil"/>
            </w:tcBorders>
            <w:shd w:val="clear" w:color="auto" w:fill="auto"/>
            <w:noWrap/>
            <w:vAlign w:val="bottom"/>
            <w:hideMark/>
          </w:tcPr>
          <w:p w14:paraId="695ED0F3"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582DCBB" w14:textId="77777777" w:rsidR="00510396" w:rsidRDefault="00510396">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385AE5B3" w14:textId="77777777" w:rsidR="00510396" w:rsidRDefault="00510396">
            <w:pPr>
              <w:jc w:val="right"/>
              <w:rPr>
                <w:color w:val="000000"/>
                <w:sz w:val="20"/>
                <w:szCs w:val="20"/>
              </w:rPr>
            </w:pPr>
            <w:r>
              <w:rPr>
                <w:color w:val="000000"/>
                <w:sz w:val="20"/>
                <w:szCs w:val="20"/>
              </w:rPr>
              <w:t>0.168</w:t>
            </w:r>
          </w:p>
        </w:tc>
        <w:tc>
          <w:tcPr>
            <w:tcW w:w="768" w:type="dxa"/>
            <w:tcBorders>
              <w:top w:val="nil"/>
              <w:left w:val="nil"/>
              <w:bottom w:val="nil"/>
              <w:right w:val="nil"/>
            </w:tcBorders>
            <w:shd w:val="clear" w:color="auto" w:fill="auto"/>
            <w:noWrap/>
            <w:vAlign w:val="bottom"/>
            <w:hideMark/>
          </w:tcPr>
          <w:p w14:paraId="122ACFEF" w14:textId="77777777" w:rsidR="00510396" w:rsidRDefault="005103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F77B761" w14:textId="77777777" w:rsidR="00510396" w:rsidRDefault="00510396">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7EC2B683" w14:textId="77777777" w:rsidR="00510396" w:rsidRDefault="00510396">
            <w:pPr>
              <w:jc w:val="right"/>
              <w:rPr>
                <w:color w:val="000000"/>
                <w:sz w:val="20"/>
                <w:szCs w:val="20"/>
              </w:rPr>
            </w:pPr>
            <w:r>
              <w:rPr>
                <w:color w:val="000000"/>
                <w:sz w:val="20"/>
                <w:szCs w:val="20"/>
              </w:rPr>
              <w:t>0.421</w:t>
            </w:r>
          </w:p>
        </w:tc>
        <w:tc>
          <w:tcPr>
            <w:tcW w:w="768" w:type="dxa"/>
            <w:tcBorders>
              <w:top w:val="nil"/>
              <w:left w:val="nil"/>
              <w:bottom w:val="nil"/>
              <w:right w:val="nil"/>
            </w:tcBorders>
            <w:shd w:val="clear" w:color="auto" w:fill="auto"/>
            <w:noWrap/>
            <w:vAlign w:val="bottom"/>
            <w:hideMark/>
          </w:tcPr>
          <w:p w14:paraId="0EE0BB3A"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E7B4875" w14:textId="77777777" w:rsidR="00510396" w:rsidRDefault="00510396">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A9786AC" w14:textId="77777777" w:rsidR="00510396" w:rsidRDefault="00510396">
            <w:pPr>
              <w:jc w:val="right"/>
              <w:rPr>
                <w:color w:val="000000"/>
                <w:sz w:val="20"/>
                <w:szCs w:val="20"/>
              </w:rPr>
            </w:pPr>
            <w:r>
              <w:rPr>
                <w:color w:val="000000"/>
                <w:sz w:val="20"/>
                <w:szCs w:val="20"/>
              </w:rPr>
              <w:t>0.495</w:t>
            </w:r>
          </w:p>
        </w:tc>
        <w:tc>
          <w:tcPr>
            <w:tcW w:w="768" w:type="dxa"/>
            <w:tcBorders>
              <w:top w:val="nil"/>
              <w:left w:val="nil"/>
              <w:bottom w:val="nil"/>
              <w:right w:val="nil"/>
            </w:tcBorders>
            <w:shd w:val="clear" w:color="auto" w:fill="auto"/>
            <w:noWrap/>
            <w:vAlign w:val="bottom"/>
            <w:hideMark/>
          </w:tcPr>
          <w:p w14:paraId="621649FA"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C20DF54" w14:textId="77777777" w:rsidR="00510396" w:rsidRDefault="00510396">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64245562" w14:textId="77777777" w:rsidR="00510396" w:rsidRDefault="00510396">
            <w:pPr>
              <w:jc w:val="right"/>
              <w:rPr>
                <w:color w:val="000000"/>
                <w:sz w:val="20"/>
                <w:szCs w:val="20"/>
              </w:rPr>
            </w:pPr>
            <w:r>
              <w:rPr>
                <w:color w:val="000000"/>
                <w:sz w:val="20"/>
                <w:szCs w:val="20"/>
              </w:rPr>
              <w:t>0.280</w:t>
            </w:r>
          </w:p>
        </w:tc>
        <w:tc>
          <w:tcPr>
            <w:tcW w:w="768" w:type="dxa"/>
            <w:tcBorders>
              <w:top w:val="nil"/>
              <w:left w:val="nil"/>
              <w:bottom w:val="nil"/>
              <w:right w:val="nil"/>
            </w:tcBorders>
            <w:shd w:val="clear" w:color="auto" w:fill="auto"/>
            <w:noWrap/>
            <w:vAlign w:val="bottom"/>
            <w:hideMark/>
          </w:tcPr>
          <w:p w14:paraId="60EC6F76" w14:textId="77777777" w:rsidR="00510396" w:rsidRDefault="00510396">
            <w:pPr>
              <w:jc w:val="right"/>
              <w:rPr>
                <w:color w:val="000000"/>
                <w:sz w:val="20"/>
                <w:szCs w:val="20"/>
              </w:rPr>
            </w:pPr>
            <w:r>
              <w:rPr>
                <w:color w:val="000000"/>
                <w:sz w:val="20"/>
                <w:szCs w:val="20"/>
              </w:rPr>
              <w:t>0.003</w:t>
            </w:r>
          </w:p>
        </w:tc>
      </w:tr>
      <w:tr w:rsidR="00510396" w14:paraId="024EC350" w14:textId="77777777" w:rsidTr="00510396">
        <w:trPr>
          <w:trHeight w:val="320"/>
        </w:trPr>
        <w:tc>
          <w:tcPr>
            <w:tcW w:w="1176" w:type="dxa"/>
            <w:tcBorders>
              <w:top w:val="nil"/>
              <w:left w:val="nil"/>
              <w:bottom w:val="nil"/>
              <w:right w:val="nil"/>
            </w:tcBorders>
            <w:shd w:val="clear" w:color="auto" w:fill="auto"/>
            <w:noWrap/>
            <w:vAlign w:val="bottom"/>
            <w:hideMark/>
          </w:tcPr>
          <w:p w14:paraId="75C64345"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20F9564" w14:textId="77777777" w:rsidR="00510396" w:rsidRDefault="00510396">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3AE309C0" w14:textId="77777777" w:rsidR="00510396" w:rsidRDefault="00510396">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32F9DE39" w14:textId="77777777" w:rsidR="00510396" w:rsidRDefault="00510396">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36CEF185"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C1459BA" w14:textId="77777777" w:rsidR="00510396" w:rsidRDefault="00510396">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73C30950" w14:textId="77777777" w:rsidR="00510396" w:rsidRDefault="00510396">
            <w:pPr>
              <w:jc w:val="right"/>
              <w:rPr>
                <w:color w:val="000000"/>
                <w:sz w:val="20"/>
                <w:szCs w:val="20"/>
              </w:rPr>
            </w:pPr>
            <w:r>
              <w:rPr>
                <w:color w:val="000000"/>
                <w:sz w:val="20"/>
                <w:szCs w:val="20"/>
              </w:rPr>
              <w:t>0.270</w:t>
            </w:r>
          </w:p>
        </w:tc>
        <w:tc>
          <w:tcPr>
            <w:tcW w:w="768" w:type="dxa"/>
            <w:tcBorders>
              <w:top w:val="nil"/>
              <w:left w:val="nil"/>
              <w:bottom w:val="nil"/>
              <w:right w:val="nil"/>
            </w:tcBorders>
            <w:shd w:val="clear" w:color="auto" w:fill="auto"/>
            <w:noWrap/>
            <w:vAlign w:val="bottom"/>
            <w:hideMark/>
          </w:tcPr>
          <w:p w14:paraId="1C492C9D"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E4141E7" w14:textId="77777777" w:rsidR="00510396" w:rsidRDefault="00510396">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6889FD9A" w14:textId="77777777" w:rsidR="00510396" w:rsidRDefault="00510396">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10D2F01D" w14:textId="77777777" w:rsidR="00510396" w:rsidRDefault="005103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75242FC" w14:textId="77777777" w:rsidR="00510396" w:rsidRDefault="00510396">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79E064BB" w14:textId="77777777" w:rsidR="00510396" w:rsidRDefault="00510396">
            <w:pPr>
              <w:jc w:val="right"/>
              <w:rPr>
                <w:color w:val="000000"/>
                <w:sz w:val="20"/>
                <w:szCs w:val="20"/>
              </w:rPr>
            </w:pPr>
            <w:r>
              <w:rPr>
                <w:color w:val="000000"/>
                <w:sz w:val="20"/>
                <w:szCs w:val="20"/>
              </w:rPr>
              <w:t>0.495</w:t>
            </w:r>
          </w:p>
        </w:tc>
        <w:tc>
          <w:tcPr>
            <w:tcW w:w="768" w:type="dxa"/>
            <w:tcBorders>
              <w:top w:val="nil"/>
              <w:left w:val="nil"/>
              <w:bottom w:val="nil"/>
              <w:right w:val="nil"/>
            </w:tcBorders>
            <w:shd w:val="clear" w:color="auto" w:fill="auto"/>
            <w:noWrap/>
            <w:vAlign w:val="bottom"/>
            <w:hideMark/>
          </w:tcPr>
          <w:p w14:paraId="30855A10"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6DCE2AB" w14:textId="77777777" w:rsidR="00510396" w:rsidRDefault="00510396">
            <w:pPr>
              <w:jc w:val="right"/>
              <w:rPr>
                <w:b/>
                <w:bCs/>
                <w:color w:val="000000"/>
                <w:sz w:val="20"/>
                <w:szCs w:val="20"/>
              </w:rPr>
            </w:pPr>
            <w:r>
              <w:rPr>
                <w:b/>
                <w:bCs/>
                <w:color w:val="000000"/>
                <w:sz w:val="20"/>
                <w:szCs w:val="20"/>
              </w:rPr>
              <w:t>-0.094</w:t>
            </w:r>
          </w:p>
        </w:tc>
        <w:tc>
          <w:tcPr>
            <w:tcW w:w="768" w:type="dxa"/>
            <w:tcBorders>
              <w:top w:val="nil"/>
              <w:left w:val="nil"/>
              <w:bottom w:val="nil"/>
              <w:right w:val="nil"/>
            </w:tcBorders>
            <w:shd w:val="clear" w:color="auto" w:fill="auto"/>
            <w:noWrap/>
            <w:vAlign w:val="bottom"/>
            <w:hideMark/>
          </w:tcPr>
          <w:p w14:paraId="62F07F34" w14:textId="77777777" w:rsidR="00510396" w:rsidRDefault="00510396">
            <w:pPr>
              <w:jc w:val="right"/>
              <w:rPr>
                <w:b/>
                <w:bCs/>
                <w:color w:val="000000"/>
                <w:sz w:val="20"/>
                <w:szCs w:val="20"/>
              </w:rPr>
            </w:pPr>
            <w:r>
              <w:rPr>
                <w:b/>
                <w:bCs/>
                <w:color w:val="000000"/>
                <w:sz w:val="20"/>
                <w:szCs w:val="20"/>
              </w:rPr>
              <w:t>0.024</w:t>
            </w:r>
          </w:p>
        </w:tc>
        <w:tc>
          <w:tcPr>
            <w:tcW w:w="768" w:type="dxa"/>
            <w:tcBorders>
              <w:top w:val="nil"/>
              <w:left w:val="nil"/>
              <w:bottom w:val="nil"/>
              <w:right w:val="nil"/>
            </w:tcBorders>
            <w:shd w:val="clear" w:color="auto" w:fill="auto"/>
            <w:noWrap/>
            <w:vAlign w:val="bottom"/>
            <w:hideMark/>
          </w:tcPr>
          <w:p w14:paraId="3F4CD9DD" w14:textId="77777777" w:rsidR="00510396" w:rsidRDefault="00510396">
            <w:pPr>
              <w:jc w:val="right"/>
              <w:rPr>
                <w:b/>
                <w:bCs/>
                <w:color w:val="000000"/>
                <w:sz w:val="20"/>
                <w:szCs w:val="20"/>
              </w:rPr>
            </w:pPr>
            <w:r>
              <w:rPr>
                <w:b/>
                <w:bCs/>
                <w:color w:val="000000"/>
                <w:sz w:val="20"/>
                <w:szCs w:val="20"/>
              </w:rPr>
              <w:t>0.009</w:t>
            </w:r>
          </w:p>
        </w:tc>
      </w:tr>
      <w:tr w:rsidR="00510396" w14:paraId="1B06BDB8" w14:textId="77777777" w:rsidTr="00510396">
        <w:trPr>
          <w:trHeight w:val="320"/>
        </w:trPr>
        <w:tc>
          <w:tcPr>
            <w:tcW w:w="1176" w:type="dxa"/>
            <w:tcBorders>
              <w:top w:val="nil"/>
              <w:left w:val="nil"/>
              <w:bottom w:val="nil"/>
              <w:right w:val="nil"/>
            </w:tcBorders>
            <w:shd w:val="clear" w:color="auto" w:fill="auto"/>
            <w:noWrap/>
            <w:vAlign w:val="bottom"/>
            <w:hideMark/>
          </w:tcPr>
          <w:p w14:paraId="22A7873E" w14:textId="77777777" w:rsidR="00510396" w:rsidRDefault="00510396">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0FFC0B54" w14:textId="77777777" w:rsidR="00510396" w:rsidRDefault="00510396">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534B49AA" w14:textId="77777777" w:rsidR="00510396" w:rsidRDefault="00510396">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0A55E8C9" w14:textId="77777777" w:rsidR="00510396" w:rsidRDefault="00510396">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1CD01B52" w14:textId="77777777" w:rsidR="00510396" w:rsidRDefault="00510396">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76B4EA62" w14:textId="77777777" w:rsidR="00510396" w:rsidRDefault="00510396">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1590AA64" w14:textId="77777777" w:rsidR="00510396" w:rsidRDefault="00510396">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69E56A4F"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12C4A71" w14:textId="77777777" w:rsidR="00510396" w:rsidRDefault="0051039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B30A08D" w14:textId="77777777" w:rsidR="00510396" w:rsidRDefault="00510396">
            <w:pPr>
              <w:jc w:val="right"/>
              <w:rPr>
                <w:color w:val="000000"/>
                <w:sz w:val="20"/>
                <w:szCs w:val="20"/>
              </w:rPr>
            </w:pPr>
            <w:r>
              <w:rPr>
                <w:color w:val="000000"/>
                <w:sz w:val="20"/>
                <w:szCs w:val="20"/>
              </w:rPr>
              <w:t>0.773</w:t>
            </w:r>
          </w:p>
        </w:tc>
        <w:tc>
          <w:tcPr>
            <w:tcW w:w="768" w:type="dxa"/>
            <w:tcBorders>
              <w:top w:val="nil"/>
              <w:left w:val="nil"/>
              <w:bottom w:val="nil"/>
              <w:right w:val="nil"/>
            </w:tcBorders>
            <w:shd w:val="clear" w:color="auto" w:fill="auto"/>
            <w:noWrap/>
            <w:vAlign w:val="bottom"/>
            <w:hideMark/>
          </w:tcPr>
          <w:p w14:paraId="538C1059"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F5BF8FA" w14:textId="77777777" w:rsidR="00510396" w:rsidRDefault="00510396">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466B7612" w14:textId="77777777" w:rsidR="00510396" w:rsidRDefault="00510396">
            <w:pPr>
              <w:jc w:val="right"/>
              <w:rPr>
                <w:color w:val="000000"/>
                <w:sz w:val="20"/>
                <w:szCs w:val="20"/>
              </w:rPr>
            </w:pPr>
            <w:r>
              <w:rPr>
                <w:color w:val="000000"/>
                <w:sz w:val="20"/>
                <w:szCs w:val="20"/>
              </w:rPr>
              <w:t>0.495</w:t>
            </w:r>
          </w:p>
        </w:tc>
        <w:tc>
          <w:tcPr>
            <w:tcW w:w="768" w:type="dxa"/>
            <w:tcBorders>
              <w:top w:val="nil"/>
              <w:left w:val="nil"/>
              <w:bottom w:val="nil"/>
              <w:right w:val="nil"/>
            </w:tcBorders>
            <w:shd w:val="clear" w:color="auto" w:fill="auto"/>
            <w:noWrap/>
            <w:vAlign w:val="bottom"/>
            <w:hideMark/>
          </w:tcPr>
          <w:p w14:paraId="239D75EB"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AC188FE" w14:textId="77777777" w:rsidR="00510396" w:rsidRDefault="00510396">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1DB16333" w14:textId="77777777" w:rsidR="00510396" w:rsidRDefault="00510396">
            <w:pPr>
              <w:jc w:val="right"/>
              <w:rPr>
                <w:color w:val="000000"/>
                <w:sz w:val="20"/>
                <w:szCs w:val="20"/>
              </w:rPr>
            </w:pPr>
            <w:r>
              <w:rPr>
                <w:color w:val="000000"/>
                <w:sz w:val="20"/>
                <w:szCs w:val="20"/>
              </w:rPr>
              <w:t>0.457</w:t>
            </w:r>
          </w:p>
        </w:tc>
        <w:tc>
          <w:tcPr>
            <w:tcW w:w="768" w:type="dxa"/>
            <w:tcBorders>
              <w:top w:val="nil"/>
              <w:left w:val="nil"/>
              <w:bottom w:val="nil"/>
              <w:right w:val="nil"/>
            </w:tcBorders>
            <w:shd w:val="clear" w:color="auto" w:fill="auto"/>
            <w:noWrap/>
            <w:vAlign w:val="bottom"/>
            <w:hideMark/>
          </w:tcPr>
          <w:p w14:paraId="393756B9" w14:textId="77777777" w:rsidR="00510396" w:rsidRDefault="00510396">
            <w:pPr>
              <w:jc w:val="right"/>
              <w:rPr>
                <w:color w:val="000000"/>
                <w:sz w:val="20"/>
                <w:szCs w:val="20"/>
              </w:rPr>
            </w:pPr>
            <w:r>
              <w:rPr>
                <w:color w:val="000000"/>
                <w:sz w:val="20"/>
                <w:szCs w:val="20"/>
              </w:rPr>
              <w:t>0.001</w:t>
            </w:r>
          </w:p>
        </w:tc>
      </w:tr>
      <w:tr w:rsidR="00510396" w14:paraId="00A7B353" w14:textId="77777777" w:rsidTr="00510396">
        <w:trPr>
          <w:trHeight w:val="320"/>
        </w:trPr>
        <w:tc>
          <w:tcPr>
            <w:tcW w:w="1176" w:type="dxa"/>
            <w:tcBorders>
              <w:top w:val="nil"/>
              <w:left w:val="nil"/>
              <w:bottom w:val="nil"/>
              <w:right w:val="nil"/>
            </w:tcBorders>
            <w:shd w:val="clear" w:color="auto" w:fill="auto"/>
            <w:noWrap/>
            <w:vAlign w:val="bottom"/>
            <w:hideMark/>
          </w:tcPr>
          <w:p w14:paraId="6CA8EC65"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781D382" w14:textId="77777777" w:rsidR="00510396" w:rsidRDefault="00510396">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A9BDC99" w14:textId="77777777" w:rsidR="00510396" w:rsidRDefault="0051039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086AA02B" w14:textId="77777777" w:rsidR="00510396" w:rsidRDefault="00510396">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7D8F4924"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CF5DAC4" w14:textId="77777777" w:rsidR="00510396" w:rsidRDefault="0051039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7ED69898" w14:textId="77777777" w:rsidR="00510396" w:rsidRDefault="00510396">
            <w:pPr>
              <w:jc w:val="right"/>
              <w:rPr>
                <w:color w:val="000000"/>
                <w:sz w:val="20"/>
                <w:szCs w:val="20"/>
              </w:rPr>
            </w:pPr>
            <w:r>
              <w:rPr>
                <w:color w:val="000000"/>
                <w:sz w:val="20"/>
                <w:szCs w:val="20"/>
              </w:rPr>
              <w:t>0.668</w:t>
            </w:r>
          </w:p>
        </w:tc>
        <w:tc>
          <w:tcPr>
            <w:tcW w:w="768" w:type="dxa"/>
            <w:tcBorders>
              <w:top w:val="nil"/>
              <w:left w:val="nil"/>
              <w:bottom w:val="nil"/>
              <w:right w:val="nil"/>
            </w:tcBorders>
            <w:shd w:val="clear" w:color="auto" w:fill="auto"/>
            <w:noWrap/>
            <w:vAlign w:val="bottom"/>
            <w:hideMark/>
          </w:tcPr>
          <w:p w14:paraId="09A9081E"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4A914FB" w14:textId="77777777" w:rsidR="00510396" w:rsidRDefault="00510396">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5596AFDB" w14:textId="77777777" w:rsidR="00510396" w:rsidRDefault="00510396">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10E55A20" w14:textId="77777777" w:rsidR="00510396" w:rsidRDefault="00510396">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49BF30E0" w14:textId="77777777" w:rsidR="00510396" w:rsidRDefault="00510396">
            <w:pPr>
              <w:jc w:val="right"/>
              <w:rPr>
                <w:color w:val="000000"/>
                <w:sz w:val="20"/>
                <w:szCs w:val="20"/>
              </w:rPr>
            </w:pPr>
            <w:r>
              <w:rPr>
                <w:color w:val="000000"/>
                <w:sz w:val="20"/>
                <w:szCs w:val="20"/>
              </w:rPr>
              <w:t>-0.021</w:t>
            </w:r>
          </w:p>
        </w:tc>
        <w:tc>
          <w:tcPr>
            <w:tcW w:w="768" w:type="dxa"/>
            <w:tcBorders>
              <w:top w:val="nil"/>
              <w:left w:val="nil"/>
              <w:bottom w:val="nil"/>
              <w:right w:val="nil"/>
            </w:tcBorders>
            <w:shd w:val="clear" w:color="auto" w:fill="auto"/>
            <w:noWrap/>
            <w:vAlign w:val="bottom"/>
            <w:hideMark/>
          </w:tcPr>
          <w:p w14:paraId="46C2E481" w14:textId="77777777" w:rsidR="00510396" w:rsidRDefault="00510396">
            <w:pPr>
              <w:jc w:val="right"/>
              <w:rPr>
                <w:color w:val="000000"/>
                <w:sz w:val="20"/>
                <w:szCs w:val="20"/>
              </w:rPr>
            </w:pPr>
            <w:r>
              <w:rPr>
                <w:color w:val="000000"/>
                <w:sz w:val="20"/>
                <w:szCs w:val="20"/>
              </w:rPr>
              <w:t>0.563</w:t>
            </w:r>
          </w:p>
        </w:tc>
        <w:tc>
          <w:tcPr>
            <w:tcW w:w="768" w:type="dxa"/>
            <w:tcBorders>
              <w:top w:val="nil"/>
              <w:left w:val="nil"/>
              <w:bottom w:val="nil"/>
              <w:right w:val="nil"/>
            </w:tcBorders>
            <w:shd w:val="clear" w:color="auto" w:fill="auto"/>
            <w:noWrap/>
            <w:vAlign w:val="bottom"/>
            <w:hideMark/>
          </w:tcPr>
          <w:p w14:paraId="3DC50E9E"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BCE9080" w14:textId="77777777" w:rsidR="00510396" w:rsidRDefault="00510396">
            <w:pPr>
              <w:jc w:val="right"/>
              <w:rPr>
                <w:color w:val="000000"/>
                <w:sz w:val="20"/>
                <w:szCs w:val="20"/>
              </w:rPr>
            </w:pPr>
            <w:r>
              <w:rPr>
                <w:color w:val="000000"/>
                <w:sz w:val="20"/>
                <w:szCs w:val="20"/>
              </w:rPr>
              <w:t>0.040</w:t>
            </w:r>
          </w:p>
        </w:tc>
        <w:tc>
          <w:tcPr>
            <w:tcW w:w="768" w:type="dxa"/>
            <w:tcBorders>
              <w:top w:val="nil"/>
              <w:left w:val="nil"/>
              <w:bottom w:val="nil"/>
              <w:right w:val="nil"/>
            </w:tcBorders>
            <w:shd w:val="clear" w:color="auto" w:fill="auto"/>
            <w:noWrap/>
            <w:vAlign w:val="bottom"/>
            <w:hideMark/>
          </w:tcPr>
          <w:p w14:paraId="4E8A54D1" w14:textId="77777777" w:rsidR="00510396" w:rsidRDefault="00510396">
            <w:pPr>
              <w:jc w:val="right"/>
              <w:rPr>
                <w:color w:val="000000"/>
                <w:sz w:val="20"/>
                <w:szCs w:val="20"/>
              </w:rPr>
            </w:pPr>
            <w:r>
              <w:rPr>
                <w:color w:val="000000"/>
                <w:sz w:val="20"/>
                <w:szCs w:val="20"/>
              </w:rPr>
              <w:t>0.406</w:t>
            </w:r>
          </w:p>
        </w:tc>
        <w:tc>
          <w:tcPr>
            <w:tcW w:w="768" w:type="dxa"/>
            <w:tcBorders>
              <w:top w:val="nil"/>
              <w:left w:val="nil"/>
              <w:bottom w:val="nil"/>
              <w:right w:val="nil"/>
            </w:tcBorders>
            <w:shd w:val="clear" w:color="auto" w:fill="auto"/>
            <w:noWrap/>
            <w:vAlign w:val="bottom"/>
            <w:hideMark/>
          </w:tcPr>
          <w:p w14:paraId="2BE4B95B" w14:textId="77777777" w:rsidR="00510396" w:rsidRDefault="00510396">
            <w:pPr>
              <w:jc w:val="right"/>
              <w:rPr>
                <w:color w:val="000000"/>
                <w:sz w:val="20"/>
                <w:szCs w:val="20"/>
              </w:rPr>
            </w:pPr>
            <w:r>
              <w:rPr>
                <w:color w:val="000000"/>
                <w:sz w:val="20"/>
                <w:szCs w:val="20"/>
              </w:rPr>
              <w:t>0.002</w:t>
            </w:r>
          </w:p>
        </w:tc>
      </w:tr>
      <w:tr w:rsidR="00510396" w14:paraId="79AFB97B" w14:textId="77777777" w:rsidTr="00510396">
        <w:trPr>
          <w:trHeight w:val="320"/>
        </w:trPr>
        <w:tc>
          <w:tcPr>
            <w:tcW w:w="1176" w:type="dxa"/>
            <w:tcBorders>
              <w:top w:val="nil"/>
              <w:left w:val="nil"/>
              <w:bottom w:val="nil"/>
              <w:right w:val="nil"/>
            </w:tcBorders>
            <w:shd w:val="clear" w:color="auto" w:fill="auto"/>
            <w:noWrap/>
            <w:vAlign w:val="bottom"/>
            <w:hideMark/>
          </w:tcPr>
          <w:p w14:paraId="3C9733C5" w14:textId="77777777" w:rsidR="00510396" w:rsidRDefault="00510396">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FA9E463" w14:textId="77777777" w:rsidR="00510396" w:rsidRDefault="00510396">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3AB646A"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137DDB2" w14:textId="77777777" w:rsidR="00510396" w:rsidRDefault="00510396">
            <w:pPr>
              <w:jc w:val="right"/>
              <w:rPr>
                <w:color w:val="000000"/>
                <w:sz w:val="20"/>
                <w:szCs w:val="20"/>
              </w:rPr>
            </w:pPr>
            <w:r>
              <w:rPr>
                <w:color w:val="000000"/>
                <w:sz w:val="20"/>
                <w:szCs w:val="20"/>
              </w:rPr>
              <w:t>0.977</w:t>
            </w:r>
          </w:p>
        </w:tc>
        <w:tc>
          <w:tcPr>
            <w:tcW w:w="768" w:type="dxa"/>
            <w:tcBorders>
              <w:top w:val="nil"/>
              <w:left w:val="nil"/>
              <w:bottom w:val="nil"/>
              <w:right w:val="nil"/>
            </w:tcBorders>
            <w:shd w:val="clear" w:color="auto" w:fill="auto"/>
            <w:noWrap/>
            <w:vAlign w:val="bottom"/>
            <w:hideMark/>
          </w:tcPr>
          <w:p w14:paraId="3740CF6E"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C6279AA" w14:textId="77777777" w:rsidR="00510396" w:rsidRDefault="00510396">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78E24C44" w14:textId="77777777" w:rsidR="00510396" w:rsidRDefault="00510396">
            <w:pPr>
              <w:jc w:val="right"/>
              <w:rPr>
                <w:color w:val="000000"/>
                <w:sz w:val="20"/>
                <w:szCs w:val="20"/>
              </w:rPr>
            </w:pPr>
            <w:r>
              <w:rPr>
                <w:color w:val="000000"/>
                <w:sz w:val="20"/>
                <w:szCs w:val="20"/>
              </w:rPr>
              <w:t>0.240</w:t>
            </w:r>
          </w:p>
        </w:tc>
        <w:tc>
          <w:tcPr>
            <w:tcW w:w="768" w:type="dxa"/>
            <w:tcBorders>
              <w:top w:val="nil"/>
              <w:left w:val="nil"/>
              <w:bottom w:val="nil"/>
              <w:right w:val="nil"/>
            </w:tcBorders>
            <w:shd w:val="clear" w:color="auto" w:fill="auto"/>
            <w:noWrap/>
            <w:vAlign w:val="bottom"/>
            <w:hideMark/>
          </w:tcPr>
          <w:p w14:paraId="1C94C0EB" w14:textId="77777777" w:rsidR="00510396" w:rsidRDefault="00510396">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1B9C6B9" w14:textId="77777777" w:rsidR="00510396" w:rsidRDefault="00510396">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1F096866" w14:textId="77777777" w:rsidR="00510396" w:rsidRDefault="00510396">
            <w:pPr>
              <w:jc w:val="right"/>
              <w:rPr>
                <w:color w:val="000000"/>
                <w:sz w:val="20"/>
                <w:szCs w:val="20"/>
              </w:rPr>
            </w:pPr>
            <w:r>
              <w:rPr>
                <w:color w:val="000000"/>
                <w:sz w:val="20"/>
                <w:szCs w:val="20"/>
              </w:rPr>
              <w:t>0.387</w:t>
            </w:r>
          </w:p>
        </w:tc>
        <w:tc>
          <w:tcPr>
            <w:tcW w:w="768" w:type="dxa"/>
            <w:tcBorders>
              <w:top w:val="nil"/>
              <w:left w:val="nil"/>
              <w:bottom w:val="nil"/>
              <w:right w:val="nil"/>
            </w:tcBorders>
            <w:shd w:val="clear" w:color="auto" w:fill="auto"/>
            <w:noWrap/>
            <w:vAlign w:val="bottom"/>
            <w:hideMark/>
          </w:tcPr>
          <w:p w14:paraId="46F6C594" w14:textId="77777777" w:rsidR="00510396" w:rsidRDefault="00510396">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406A546" w14:textId="77777777" w:rsidR="00510396" w:rsidRDefault="00510396">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0DFF0E21" w14:textId="77777777" w:rsidR="00510396" w:rsidRDefault="00510396">
            <w:pPr>
              <w:jc w:val="right"/>
              <w:rPr>
                <w:color w:val="000000"/>
                <w:sz w:val="20"/>
                <w:szCs w:val="20"/>
              </w:rPr>
            </w:pPr>
            <w:r>
              <w:rPr>
                <w:color w:val="000000"/>
                <w:sz w:val="20"/>
                <w:szCs w:val="20"/>
              </w:rPr>
              <w:t>0.495</w:t>
            </w:r>
          </w:p>
        </w:tc>
        <w:tc>
          <w:tcPr>
            <w:tcW w:w="768" w:type="dxa"/>
            <w:tcBorders>
              <w:top w:val="nil"/>
              <w:left w:val="nil"/>
              <w:bottom w:val="nil"/>
              <w:right w:val="nil"/>
            </w:tcBorders>
            <w:shd w:val="clear" w:color="auto" w:fill="auto"/>
            <w:noWrap/>
            <w:vAlign w:val="bottom"/>
            <w:hideMark/>
          </w:tcPr>
          <w:p w14:paraId="0CCDB519"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AA940E5" w14:textId="77777777" w:rsidR="00510396" w:rsidRDefault="00510396">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5A2B6F9A" w14:textId="77777777" w:rsidR="00510396" w:rsidRDefault="00510396">
            <w:pPr>
              <w:jc w:val="right"/>
              <w:rPr>
                <w:color w:val="000000"/>
                <w:sz w:val="20"/>
                <w:szCs w:val="20"/>
              </w:rPr>
            </w:pPr>
            <w:r>
              <w:rPr>
                <w:color w:val="000000"/>
                <w:sz w:val="20"/>
                <w:szCs w:val="20"/>
              </w:rPr>
              <w:t>0.726</w:t>
            </w:r>
          </w:p>
        </w:tc>
        <w:tc>
          <w:tcPr>
            <w:tcW w:w="768" w:type="dxa"/>
            <w:tcBorders>
              <w:top w:val="nil"/>
              <w:left w:val="nil"/>
              <w:bottom w:val="nil"/>
              <w:right w:val="nil"/>
            </w:tcBorders>
            <w:shd w:val="clear" w:color="auto" w:fill="auto"/>
            <w:noWrap/>
            <w:vAlign w:val="bottom"/>
            <w:hideMark/>
          </w:tcPr>
          <w:p w14:paraId="4F653BB0" w14:textId="77777777" w:rsidR="00510396" w:rsidRDefault="00510396">
            <w:pPr>
              <w:jc w:val="right"/>
              <w:rPr>
                <w:color w:val="000000"/>
                <w:sz w:val="20"/>
                <w:szCs w:val="20"/>
              </w:rPr>
            </w:pPr>
            <w:r>
              <w:rPr>
                <w:color w:val="000000"/>
                <w:sz w:val="20"/>
                <w:szCs w:val="20"/>
              </w:rPr>
              <w:t>0.000</w:t>
            </w:r>
          </w:p>
        </w:tc>
      </w:tr>
      <w:tr w:rsidR="00510396" w14:paraId="25E74A7A"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656BAF20" w14:textId="77777777" w:rsidR="00510396" w:rsidRDefault="00510396">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6F2A39CF" w14:textId="77777777" w:rsidR="00510396" w:rsidRDefault="00510396">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41F8BC93"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7E672F56" w14:textId="77777777" w:rsidR="00510396" w:rsidRDefault="00510396">
            <w:pPr>
              <w:jc w:val="right"/>
              <w:rPr>
                <w:color w:val="000000"/>
                <w:sz w:val="20"/>
                <w:szCs w:val="20"/>
              </w:rPr>
            </w:pPr>
            <w:r>
              <w:rPr>
                <w:color w:val="000000"/>
                <w:sz w:val="20"/>
                <w:szCs w:val="20"/>
              </w:rPr>
              <w:t>0.977</w:t>
            </w:r>
          </w:p>
        </w:tc>
        <w:tc>
          <w:tcPr>
            <w:tcW w:w="768" w:type="dxa"/>
            <w:tcBorders>
              <w:top w:val="nil"/>
              <w:left w:val="nil"/>
              <w:bottom w:val="single" w:sz="12" w:space="0" w:color="auto"/>
              <w:right w:val="nil"/>
            </w:tcBorders>
            <w:shd w:val="clear" w:color="auto" w:fill="auto"/>
            <w:noWrap/>
            <w:vAlign w:val="bottom"/>
            <w:hideMark/>
          </w:tcPr>
          <w:p w14:paraId="578FF193"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48336DA4"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7802133A" w14:textId="77777777" w:rsidR="00510396" w:rsidRDefault="00510396">
            <w:pPr>
              <w:jc w:val="right"/>
              <w:rPr>
                <w:color w:val="000000"/>
                <w:sz w:val="20"/>
                <w:szCs w:val="20"/>
              </w:rPr>
            </w:pPr>
            <w:r>
              <w:rPr>
                <w:color w:val="000000"/>
                <w:sz w:val="20"/>
                <w:szCs w:val="20"/>
              </w:rPr>
              <w:t>0.996</w:t>
            </w:r>
          </w:p>
        </w:tc>
        <w:tc>
          <w:tcPr>
            <w:tcW w:w="768" w:type="dxa"/>
            <w:tcBorders>
              <w:top w:val="nil"/>
              <w:left w:val="nil"/>
              <w:bottom w:val="single" w:sz="12" w:space="0" w:color="auto"/>
              <w:right w:val="nil"/>
            </w:tcBorders>
            <w:shd w:val="clear" w:color="auto" w:fill="auto"/>
            <w:noWrap/>
            <w:vAlign w:val="bottom"/>
            <w:hideMark/>
          </w:tcPr>
          <w:p w14:paraId="02A8926F"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18065144" w14:textId="77777777" w:rsidR="00510396" w:rsidRDefault="00510396">
            <w:pPr>
              <w:jc w:val="right"/>
              <w:rPr>
                <w:color w:val="000000"/>
                <w:sz w:val="20"/>
                <w:szCs w:val="20"/>
              </w:rPr>
            </w:pPr>
            <w:r>
              <w:rPr>
                <w:color w:val="000000"/>
                <w:sz w:val="20"/>
                <w:szCs w:val="20"/>
              </w:rPr>
              <w:t>0.007</w:t>
            </w:r>
          </w:p>
        </w:tc>
        <w:tc>
          <w:tcPr>
            <w:tcW w:w="768" w:type="dxa"/>
            <w:tcBorders>
              <w:top w:val="nil"/>
              <w:left w:val="nil"/>
              <w:bottom w:val="single" w:sz="12" w:space="0" w:color="auto"/>
              <w:right w:val="nil"/>
            </w:tcBorders>
            <w:shd w:val="clear" w:color="auto" w:fill="auto"/>
            <w:noWrap/>
            <w:vAlign w:val="bottom"/>
            <w:hideMark/>
          </w:tcPr>
          <w:p w14:paraId="4568663C" w14:textId="77777777" w:rsidR="00510396" w:rsidRDefault="00510396">
            <w:pPr>
              <w:jc w:val="right"/>
              <w:rPr>
                <w:color w:val="000000"/>
                <w:sz w:val="20"/>
                <w:szCs w:val="20"/>
              </w:rPr>
            </w:pPr>
            <w:r>
              <w:rPr>
                <w:color w:val="000000"/>
                <w:sz w:val="20"/>
                <w:szCs w:val="20"/>
              </w:rPr>
              <w:t>0.825</w:t>
            </w:r>
          </w:p>
        </w:tc>
        <w:tc>
          <w:tcPr>
            <w:tcW w:w="768" w:type="dxa"/>
            <w:tcBorders>
              <w:top w:val="nil"/>
              <w:left w:val="nil"/>
              <w:bottom w:val="single" w:sz="12" w:space="0" w:color="auto"/>
              <w:right w:val="nil"/>
            </w:tcBorders>
            <w:shd w:val="clear" w:color="auto" w:fill="auto"/>
            <w:noWrap/>
            <w:vAlign w:val="bottom"/>
            <w:hideMark/>
          </w:tcPr>
          <w:p w14:paraId="5126F60B" w14:textId="77777777" w:rsidR="00510396" w:rsidRDefault="00510396">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5EB9F390" w14:textId="77777777" w:rsidR="00510396" w:rsidRDefault="00510396">
            <w:pPr>
              <w:jc w:val="right"/>
              <w:rPr>
                <w:color w:val="000000"/>
                <w:sz w:val="20"/>
                <w:szCs w:val="20"/>
              </w:rPr>
            </w:pPr>
            <w:r>
              <w:rPr>
                <w:color w:val="000000"/>
                <w:sz w:val="20"/>
                <w:szCs w:val="20"/>
              </w:rPr>
              <w:t>-0.032</w:t>
            </w:r>
          </w:p>
        </w:tc>
        <w:tc>
          <w:tcPr>
            <w:tcW w:w="768" w:type="dxa"/>
            <w:tcBorders>
              <w:top w:val="nil"/>
              <w:left w:val="nil"/>
              <w:bottom w:val="single" w:sz="12" w:space="0" w:color="auto"/>
              <w:right w:val="nil"/>
            </w:tcBorders>
            <w:shd w:val="clear" w:color="auto" w:fill="auto"/>
            <w:noWrap/>
            <w:vAlign w:val="bottom"/>
            <w:hideMark/>
          </w:tcPr>
          <w:p w14:paraId="1EC1C6E9" w14:textId="77777777" w:rsidR="00510396" w:rsidRDefault="00510396">
            <w:pPr>
              <w:jc w:val="right"/>
              <w:rPr>
                <w:color w:val="000000"/>
                <w:sz w:val="20"/>
                <w:szCs w:val="20"/>
              </w:rPr>
            </w:pPr>
            <w:r>
              <w:rPr>
                <w:color w:val="000000"/>
                <w:sz w:val="20"/>
                <w:szCs w:val="20"/>
              </w:rPr>
              <w:t>0.495</w:t>
            </w:r>
          </w:p>
        </w:tc>
        <w:tc>
          <w:tcPr>
            <w:tcW w:w="768" w:type="dxa"/>
            <w:tcBorders>
              <w:top w:val="nil"/>
              <w:left w:val="nil"/>
              <w:bottom w:val="single" w:sz="12" w:space="0" w:color="auto"/>
              <w:right w:val="nil"/>
            </w:tcBorders>
            <w:shd w:val="clear" w:color="auto" w:fill="auto"/>
            <w:noWrap/>
            <w:vAlign w:val="bottom"/>
            <w:hideMark/>
          </w:tcPr>
          <w:p w14:paraId="0AF8AC31" w14:textId="77777777" w:rsidR="00510396" w:rsidRDefault="00510396">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00F29B96" w14:textId="77777777" w:rsidR="00510396" w:rsidRDefault="00510396">
            <w:pPr>
              <w:jc w:val="right"/>
              <w:rPr>
                <w:color w:val="000000"/>
                <w:sz w:val="20"/>
                <w:szCs w:val="20"/>
              </w:rPr>
            </w:pPr>
            <w:r>
              <w:rPr>
                <w:color w:val="000000"/>
                <w:sz w:val="20"/>
                <w:szCs w:val="20"/>
              </w:rPr>
              <w:t>0.035</w:t>
            </w:r>
          </w:p>
        </w:tc>
        <w:tc>
          <w:tcPr>
            <w:tcW w:w="768" w:type="dxa"/>
            <w:tcBorders>
              <w:top w:val="nil"/>
              <w:left w:val="nil"/>
              <w:bottom w:val="single" w:sz="12" w:space="0" w:color="auto"/>
              <w:right w:val="nil"/>
            </w:tcBorders>
            <w:shd w:val="clear" w:color="auto" w:fill="auto"/>
            <w:noWrap/>
            <w:vAlign w:val="bottom"/>
            <w:hideMark/>
          </w:tcPr>
          <w:p w14:paraId="76477D6A" w14:textId="77777777" w:rsidR="00510396" w:rsidRDefault="00510396">
            <w:pPr>
              <w:jc w:val="right"/>
              <w:rPr>
                <w:color w:val="000000"/>
                <w:sz w:val="20"/>
                <w:szCs w:val="20"/>
              </w:rPr>
            </w:pPr>
            <w:r>
              <w:rPr>
                <w:color w:val="000000"/>
                <w:sz w:val="20"/>
                <w:szCs w:val="20"/>
              </w:rPr>
              <w:t>0.406</w:t>
            </w:r>
          </w:p>
        </w:tc>
        <w:tc>
          <w:tcPr>
            <w:tcW w:w="768" w:type="dxa"/>
            <w:tcBorders>
              <w:top w:val="nil"/>
              <w:left w:val="nil"/>
              <w:bottom w:val="single" w:sz="12" w:space="0" w:color="auto"/>
              <w:right w:val="nil"/>
            </w:tcBorders>
            <w:shd w:val="clear" w:color="auto" w:fill="auto"/>
            <w:noWrap/>
            <w:vAlign w:val="bottom"/>
            <w:hideMark/>
          </w:tcPr>
          <w:p w14:paraId="2FA346FE" w14:textId="77777777" w:rsidR="00510396" w:rsidRDefault="00510396">
            <w:pPr>
              <w:jc w:val="right"/>
              <w:rPr>
                <w:color w:val="000000"/>
                <w:sz w:val="20"/>
                <w:szCs w:val="20"/>
              </w:rPr>
            </w:pPr>
            <w:r>
              <w:rPr>
                <w:color w:val="000000"/>
                <w:sz w:val="20"/>
                <w:szCs w:val="20"/>
              </w:rPr>
              <w:t>0.001</w:t>
            </w:r>
          </w:p>
        </w:tc>
      </w:tr>
      <w:tr w:rsidR="00510396" w14:paraId="224DBAE8"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3520F9BF" w14:textId="77777777" w:rsidR="00510396" w:rsidRDefault="00510396">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4D19DC8B" w14:textId="77777777" w:rsidR="00510396" w:rsidRDefault="00510396">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742E9743"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A6DCC38"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14042F5"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95576D6"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EBCD4AC"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D3797A9"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8C20BAE"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746F184"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7AC56F3"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990AE2D"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2E76BE9A"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C7AF403"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3EFD74E"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323985E" w14:textId="77777777" w:rsidR="00510396" w:rsidRDefault="00510396">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798F722" w14:textId="77777777" w:rsidR="00510396" w:rsidRDefault="00510396">
            <w:pPr>
              <w:rPr>
                <w:sz w:val="20"/>
                <w:szCs w:val="20"/>
              </w:rPr>
            </w:pPr>
          </w:p>
        </w:tc>
      </w:tr>
    </w:tbl>
    <w:p w14:paraId="5BFD6E2C" w14:textId="77777777" w:rsidR="004F7215" w:rsidRDefault="004F7215">
      <w:pPr>
        <w:rPr>
          <w:rFonts w:eastAsiaTheme="majorEastAsia"/>
          <w:color w:val="000000" w:themeColor="text1"/>
        </w:rPr>
      </w:pPr>
      <w:r>
        <w:rPr>
          <w:color w:val="000000" w:themeColor="text1"/>
        </w:rPr>
        <w:br w:type="page"/>
      </w:r>
    </w:p>
    <w:p w14:paraId="6C923C2E" w14:textId="4A950CF9" w:rsidR="00B13307" w:rsidRDefault="00432B71" w:rsidP="003B7E29">
      <w:pPr>
        <w:pStyle w:val="Heading1"/>
        <w:rPr>
          <w:rFonts w:ascii="Times New Roman" w:hAnsi="Times New Roman" w:cs="Times New Roman"/>
          <w:color w:val="000000" w:themeColor="text1"/>
          <w:sz w:val="24"/>
          <w:szCs w:val="24"/>
        </w:rPr>
      </w:pPr>
      <w:bookmarkStart w:id="63" w:name="_Toc155817730"/>
      <w:r>
        <w:rPr>
          <w:rFonts w:ascii="Times New Roman" w:hAnsi="Times New Roman" w:cs="Times New Roman"/>
          <w:b/>
          <w:bCs/>
          <w:color w:val="000000" w:themeColor="text1"/>
          <w:sz w:val="24"/>
          <w:szCs w:val="24"/>
        </w:rPr>
        <w:lastRenderedPageBreak/>
        <w:t xml:space="preserve">Table </w:t>
      </w:r>
      <w:r w:rsidR="004F7215">
        <w:rPr>
          <w:rFonts w:ascii="Times New Roman" w:hAnsi="Times New Roman" w:cs="Times New Roman"/>
          <w:b/>
          <w:bCs/>
          <w:color w:val="000000" w:themeColor="text1"/>
          <w:sz w:val="24"/>
          <w:szCs w:val="24"/>
        </w:rPr>
        <w:t>2</w:t>
      </w:r>
      <w:r w:rsidR="003F050F">
        <w:rPr>
          <w:rFonts w:ascii="Times New Roman" w:hAnsi="Times New Roman" w:cs="Times New Roman"/>
          <w:b/>
          <w:bCs/>
          <w:color w:val="000000" w:themeColor="text1"/>
          <w:sz w:val="24"/>
          <w:szCs w:val="24"/>
        </w:rPr>
        <w:t>6</w:t>
      </w:r>
      <w:r w:rsidR="004F7215">
        <w:rPr>
          <w:rFonts w:ascii="Times New Roman" w:hAnsi="Times New Roman" w:cs="Times New Roman"/>
          <w:b/>
          <w:bCs/>
          <w:color w:val="000000" w:themeColor="text1"/>
          <w:sz w:val="24"/>
          <w:szCs w:val="24"/>
        </w:rPr>
        <w:t>b</w:t>
      </w:r>
      <w:r w:rsidR="004F7215" w:rsidRPr="009E2A20">
        <w:rPr>
          <w:rFonts w:ascii="Times New Roman" w:hAnsi="Times New Roman" w:cs="Times New Roman"/>
          <w:b/>
          <w:bCs/>
          <w:color w:val="000000" w:themeColor="text1"/>
          <w:sz w:val="24"/>
          <w:szCs w:val="24"/>
        </w:rPr>
        <w:t xml:space="preserve">. </w:t>
      </w:r>
      <w:r w:rsidR="004F7215" w:rsidRPr="009E2A20">
        <w:rPr>
          <w:rFonts w:ascii="Times New Roman" w:hAnsi="Times New Roman" w:cs="Times New Roman"/>
          <w:color w:val="000000" w:themeColor="text1"/>
          <w:sz w:val="24"/>
          <w:szCs w:val="24"/>
        </w:rPr>
        <w:t xml:space="preserve">Results examining the relationship between environmental stress factors obtained from </w:t>
      </w:r>
      <w:r w:rsidR="004F7215">
        <w:rPr>
          <w:rFonts w:ascii="Times New Roman" w:hAnsi="Times New Roman" w:cs="Times New Roman"/>
          <w:color w:val="000000" w:themeColor="text1"/>
          <w:sz w:val="24"/>
          <w:szCs w:val="24"/>
        </w:rPr>
        <w:t>higher-order</w:t>
      </w:r>
      <w:r w:rsidR="004F7215" w:rsidRPr="009E2A20">
        <w:rPr>
          <w:rFonts w:ascii="Times New Roman" w:hAnsi="Times New Roman" w:cs="Times New Roman"/>
          <w:color w:val="000000" w:themeColor="text1"/>
          <w:sz w:val="24"/>
          <w:szCs w:val="24"/>
        </w:rPr>
        <w:t xml:space="preserve"> modeling and Shen-268 network </w:t>
      </w:r>
      <w:r w:rsidR="004F7215">
        <w:rPr>
          <w:rFonts w:ascii="Times New Roman" w:hAnsi="Times New Roman" w:cs="Times New Roman"/>
          <w:color w:val="000000" w:themeColor="text1"/>
          <w:sz w:val="24"/>
          <w:szCs w:val="24"/>
        </w:rPr>
        <w:t xml:space="preserve">diameter </w:t>
      </w:r>
      <w:r w:rsidR="004F7215" w:rsidRPr="009E2A20">
        <w:rPr>
          <w:rFonts w:ascii="Times New Roman" w:hAnsi="Times New Roman" w:cs="Times New Roman"/>
          <w:color w:val="000000" w:themeColor="text1"/>
          <w:sz w:val="24"/>
          <w:szCs w:val="24"/>
        </w:rPr>
        <w:t xml:space="preserve">during </w:t>
      </w:r>
      <w:r w:rsidR="004F7215">
        <w:rPr>
          <w:rFonts w:ascii="Times New Roman" w:hAnsi="Times New Roman" w:cs="Times New Roman"/>
          <w:color w:val="000000" w:themeColor="text1"/>
          <w:sz w:val="24"/>
          <w:szCs w:val="24"/>
        </w:rPr>
        <w:t>stop signal task controlling for medication</w:t>
      </w:r>
      <w:bookmarkEnd w:id="63"/>
    </w:p>
    <w:tbl>
      <w:tblPr>
        <w:tblW w:w="14400" w:type="dxa"/>
        <w:tblLook w:val="04A0" w:firstRow="1" w:lastRow="0" w:firstColumn="1" w:lastColumn="0" w:noHBand="0" w:noVBand="1"/>
      </w:tblPr>
      <w:tblGrid>
        <w:gridCol w:w="1176"/>
        <w:gridCol w:w="1705"/>
        <w:gridCol w:w="767"/>
        <w:gridCol w:w="768"/>
        <w:gridCol w:w="768"/>
        <w:gridCol w:w="768"/>
        <w:gridCol w:w="768"/>
        <w:gridCol w:w="768"/>
        <w:gridCol w:w="768"/>
        <w:gridCol w:w="768"/>
        <w:gridCol w:w="768"/>
        <w:gridCol w:w="768"/>
        <w:gridCol w:w="768"/>
        <w:gridCol w:w="768"/>
        <w:gridCol w:w="768"/>
        <w:gridCol w:w="768"/>
        <w:gridCol w:w="768"/>
      </w:tblGrid>
      <w:tr w:rsidR="00417C53" w14:paraId="3BB1F8C5"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0B104834" w14:textId="77777777" w:rsidR="00417C53" w:rsidRDefault="00417C53">
            <w:pPr>
              <w:rPr>
                <w:color w:val="000000"/>
              </w:rPr>
            </w:pPr>
            <w:r>
              <w:rPr>
                <w:color w:val="000000"/>
              </w:rPr>
              <w:t> </w:t>
            </w:r>
          </w:p>
        </w:tc>
        <w:tc>
          <w:tcPr>
            <w:tcW w:w="1705" w:type="dxa"/>
            <w:tcBorders>
              <w:top w:val="nil"/>
              <w:left w:val="nil"/>
              <w:bottom w:val="single" w:sz="12" w:space="0" w:color="auto"/>
              <w:right w:val="nil"/>
            </w:tcBorders>
            <w:shd w:val="clear" w:color="auto" w:fill="auto"/>
            <w:noWrap/>
            <w:vAlign w:val="bottom"/>
            <w:hideMark/>
          </w:tcPr>
          <w:p w14:paraId="0AAEAD90" w14:textId="77777777" w:rsidR="00417C53" w:rsidRDefault="00417C53">
            <w:pPr>
              <w:rPr>
                <w:color w:val="000000"/>
              </w:rPr>
            </w:pPr>
            <w:r>
              <w:rPr>
                <w:color w:val="000000"/>
              </w:rPr>
              <w:t> </w:t>
            </w:r>
          </w:p>
        </w:tc>
        <w:tc>
          <w:tcPr>
            <w:tcW w:w="767" w:type="dxa"/>
            <w:tcBorders>
              <w:top w:val="nil"/>
              <w:left w:val="nil"/>
              <w:bottom w:val="single" w:sz="12" w:space="0" w:color="auto"/>
              <w:right w:val="nil"/>
            </w:tcBorders>
            <w:shd w:val="clear" w:color="auto" w:fill="auto"/>
            <w:noWrap/>
            <w:vAlign w:val="bottom"/>
            <w:hideMark/>
          </w:tcPr>
          <w:p w14:paraId="6A452967" w14:textId="77777777" w:rsidR="00417C53" w:rsidRDefault="00417C53">
            <w:pPr>
              <w:rPr>
                <w:color w:val="000000"/>
              </w:rPr>
            </w:pPr>
          </w:p>
        </w:tc>
        <w:tc>
          <w:tcPr>
            <w:tcW w:w="768" w:type="dxa"/>
            <w:tcBorders>
              <w:top w:val="nil"/>
              <w:left w:val="nil"/>
              <w:bottom w:val="single" w:sz="12" w:space="0" w:color="auto"/>
              <w:right w:val="nil"/>
            </w:tcBorders>
            <w:shd w:val="clear" w:color="auto" w:fill="auto"/>
            <w:noWrap/>
            <w:vAlign w:val="bottom"/>
            <w:hideMark/>
          </w:tcPr>
          <w:p w14:paraId="7A52482E"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1A7FEE7"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4EAB6DD"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B76190D"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CABB641"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27BADBD"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5DC4E222"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5240E37"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334238FC"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E90EFB2"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69483277"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11C4DEEB"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48A88F20" w14:textId="77777777" w:rsidR="00417C53" w:rsidRDefault="00417C53">
            <w:pPr>
              <w:rPr>
                <w:sz w:val="20"/>
                <w:szCs w:val="20"/>
              </w:rPr>
            </w:pPr>
          </w:p>
        </w:tc>
        <w:tc>
          <w:tcPr>
            <w:tcW w:w="768" w:type="dxa"/>
            <w:tcBorders>
              <w:top w:val="nil"/>
              <w:left w:val="nil"/>
              <w:bottom w:val="single" w:sz="12" w:space="0" w:color="auto"/>
              <w:right w:val="nil"/>
            </w:tcBorders>
            <w:shd w:val="clear" w:color="auto" w:fill="auto"/>
            <w:noWrap/>
            <w:vAlign w:val="bottom"/>
            <w:hideMark/>
          </w:tcPr>
          <w:p w14:paraId="0587897B" w14:textId="77777777" w:rsidR="00417C53" w:rsidRDefault="00417C53">
            <w:pPr>
              <w:rPr>
                <w:sz w:val="20"/>
                <w:szCs w:val="20"/>
              </w:rPr>
            </w:pPr>
          </w:p>
        </w:tc>
      </w:tr>
      <w:tr w:rsidR="00417C53" w14:paraId="4C18501B" w14:textId="77777777" w:rsidTr="00EE0A4C">
        <w:trPr>
          <w:trHeight w:val="340"/>
        </w:trPr>
        <w:tc>
          <w:tcPr>
            <w:tcW w:w="1176" w:type="dxa"/>
            <w:tcBorders>
              <w:top w:val="single" w:sz="12" w:space="0" w:color="auto"/>
              <w:left w:val="nil"/>
              <w:bottom w:val="nil"/>
              <w:right w:val="nil"/>
            </w:tcBorders>
            <w:shd w:val="clear" w:color="auto" w:fill="auto"/>
            <w:noWrap/>
            <w:vAlign w:val="bottom"/>
            <w:hideMark/>
          </w:tcPr>
          <w:p w14:paraId="35A1632D" w14:textId="77777777" w:rsidR="00417C53" w:rsidRDefault="00417C53">
            <w:pPr>
              <w:rPr>
                <w:sz w:val="20"/>
                <w:szCs w:val="20"/>
              </w:rPr>
            </w:pPr>
          </w:p>
        </w:tc>
        <w:tc>
          <w:tcPr>
            <w:tcW w:w="1705" w:type="dxa"/>
            <w:vMerge w:val="restart"/>
            <w:tcBorders>
              <w:top w:val="single" w:sz="12" w:space="0" w:color="auto"/>
              <w:left w:val="nil"/>
              <w:bottom w:val="single" w:sz="8" w:space="0" w:color="000000"/>
              <w:right w:val="nil"/>
            </w:tcBorders>
            <w:shd w:val="clear" w:color="auto" w:fill="auto"/>
            <w:noWrap/>
            <w:vAlign w:val="center"/>
            <w:hideMark/>
          </w:tcPr>
          <w:p w14:paraId="0B668560" w14:textId="77777777" w:rsidR="00417C53" w:rsidRDefault="00417C53">
            <w:pPr>
              <w:rPr>
                <w:color w:val="000000"/>
                <w:sz w:val="20"/>
                <w:szCs w:val="20"/>
              </w:rPr>
            </w:pPr>
            <w:r>
              <w:rPr>
                <w:color w:val="000000"/>
                <w:sz w:val="20"/>
                <w:szCs w:val="20"/>
              </w:rPr>
              <w:t>Brain network</w:t>
            </w:r>
          </w:p>
        </w:tc>
        <w:tc>
          <w:tcPr>
            <w:tcW w:w="2303" w:type="dxa"/>
            <w:gridSpan w:val="3"/>
            <w:tcBorders>
              <w:top w:val="single" w:sz="12" w:space="0" w:color="auto"/>
              <w:left w:val="nil"/>
              <w:bottom w:val="single" w:sz="12" w:space="0" w:color="auto"/>
              <w:right w:val="nil"/>
            </w:tcBorders>
            <w:shd w:val="clear" w:color="auto" w:fill="auto"/>
            <w:noWrap/>
            <w:vAlign w:val="center"/>
            <w:hideMark/>
          </w:tcPr>
          <w:p w14:paraId="7717670C" w14:textId="77777777" w:rsidR="00417C53" w:rsidRDefault="00417C53">
            <w:pPr>
              <w:jc w:val="center"/>
              <w:rPr>
                <w:color w:val="000000"/>
                <w:sz w:val="20"/>
                <w:szCs w:val="20"/>
              </w:rPr>
            </w:pPr>
            <w:r>
              <w:rPr>
                <w:color w:val="000000"/>
                <w:sz w:val="20"/>
                <w:szCs w:val="20"/>
              </w:rPr>
              <w:t>General</w:t>
            </w:r>
          </w:p>
        </w:tc>
        <w:tc>
          <w:tcPr>
            <w:tcW w:w="2304" w:type="dxa"/>
            <w:gridSpan w:val="3"/>
            <w:tcBorders>
              <w:top w:val="single" w:sz="12" w:space="0" w:color="auto"/>
              <w:left w:val="nil"/>
              <w:bottom w:val="single" w:sz="12" w:space="0" w:color="auto"/>
              <w:right w:val="nil"/>
            </w:tcBorders>
            <w:shd w:val="clear" w:color="auto" w:fill="auto"/>
            <w:vAlign w:val="center"/>
            <w:hideMark/>
          </w:tcPr>
          <w:p w14:paraId="57D939E2" w14:textId="77777777" w:rsidR="00417C53" w:rsidRDefault="00417C53">
            <w:pPr>
              <w:jc w:val="center"/>
              <w:rPr>
                <w:color w:val="000000"/>
                <w:sz w:val="20"/>
                <w:szCs w:val="20"/>
              </w:rPr>
            </w:pPr>
            <w:r>
              <w:rPr>
                <w:color w:val="000000"/>
                <w:sz w:val="20"/>
                <w:szCs w:val="20"/>
              </w:rPr>
              <w:t>Family Dynamics</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38E7D20" w14:textId="77777777" w:rsidR="00417C53" w:rsidRDefault="00417C53">
            <w:pPr>
              <w:jc w:val="center"/>
              <w:rPr>
                <w:color w:val="000000"/>
                <w:sz w:val="20"/>
                <w:szCs w:val="20"/>
              </w:rPr>
            </w:pPr>
            <w:r>
              <w:rPr>
                <w:color w:val="000000"/>
                <w:sz w:val="20"/>
                <w:szCs w:val="20"/>
              </w:rPr>
              <w:t>Interpersonal Support</w:t>
            </w:r>
          </w:p>
        </w:tc>
        <w:tc>
          <w:tcPr>
            <w:tcW w:w="2304" w:type="dxa"/>
            <w:gridSpan w:val="3"/>
            <w:tcBorders>
              <w:top w:val="single" w:sz="12" w:space="0" w:color="auto"/>
              <w:left w:val="nil"/>
              <w:bottom w:val="single" w:sz="12" w:space="0" w:color="auto"/>
              <w:right w:val="nil"/>
            </w:tcBorders>
            <w:shd w:val="clear" w:color="auto" w:fill="auto"/>
            <w:vAlign w:val="center"/>
            <w:hideMark/>
          </w:tcPr>
          <w:p w14:paraId="4C630F4A" w14:textId="77777777" w:rsidR="00417C53" w:rsidRDefault="00417C53">
            <w:pPr>
              <w:jc w:val="center"/>
              <w:rPr>
                <w:color w:val="000000"/>
                <w:sz w:val="20"/>
                <w:szCs w:val="20"/>
              </w:rPr>
            </w:pPr>
            <w:r>
              <w:rPr>
                <w:color w:val="000000"/>
                <w:sz w:val="20"/>
                <w:szCs w:val="20"/>
              </w:rPr>
              <w:t>Neighborhood SES Deprivation</w:t>
            </w:r>
          </w:p>
        </w:tc>
        <w:tc>
          <w:tcPr>
            <w:tcW w:w="2304" w:type="dxa"/>
            <w:gridSpan w:val="3"/>
            <w:tcBorders>
              <w:top w:val="single" w:sz="12" w:space="0" w:color="auto"/>
              <w:left w:val="nil"/>
              <w:bottom w:val="single" w:sz="12" w:space="0" w:color="auto"/>
              <w:right w:val="nil"/>
            </w:tcBorders>
            <w:shd w:val="clear" w:color="auto" w:fill="auto"/>
            <w:noWrap/>
            <w:vAlign w:val="center"/>
            <w:hideMark/>
          </w:tcPr>
          <w:p w14:paraId="0F4E5B7C" w14:textId="77777777" w:rsidR="00417C53" w:rsidRDefault="00417C53">
            <w:pPr>
              <w:jc w:val="center"/>
              <w:rPr>
                <w:color w:val="000000"/>
                <w:sz w:val="20"/>
                <w:szCs w:val="20"/>
              </w:rPr>
            </w:pPr>
            <w:r>
              <w:rPr>
                <w:color w:val="000000"/>
                <w:sz w:val="20"/>
                <w:szCs w:val="20"/>
              </w:rPr>
              <w:t>Urbanicity</w:t>
            </w:r>
          </w:p>
        </w:tc>
      </w:tr>
      <w:tr w:rsidR="00417C53" w14:paraId="1CE7ECB3" w14:textId="77777777" w:rsidTr="00EE0A4C">
        <w:trPr>
          <w:trHeight w:val="360"/>
        </w:trPr>
        <w:tc>
          <w:tcPr>
            <w:tcW w:w="1176" w:type="dxa"/>
            <w:tcBorders>
              <w:top w:val="nil"/>
              <w:left w:val="nil"/>
              <w:bottom w:val="single" w:sz="12" w:space="0" w:color="auto"/>
              <w:right w:val="nil"/>
            </w:tcBorders>
            <w:shd w:val="clear" w:color="auto" w:fill="auto"/>
            <w:noWrap/>
            <w:vAlign w:val="bottom"/>
            <w:hideMark/>
          </w:tcPr>
          <w:p w14:paraId="5BC5EE27" w14:textId="77777777" w:rsidR="00417C53" w:rsidRDefault="00417C53">
            <w:pPr>
              <w:rPr>
                <w:color w:val="000000"/>
                <w:sz w:val="20"/>
                <w:szCs w:val="20"/>
              </w:rPr>
            </w:pPr>
            <w:r>
              <w:rPr>
                <w:color w:val="000000"/>
                <w:sz w:val="20"/>
                <w:szCs w:val="20"/>
              </w:rPr>
              <w:t> </w:t>
            </w:r>
          </w:p>
        </w:tc>
        <w:tc>
          <w:tcPr>
            <w:tcW w:w="1705" w:type="dxa"/>
            <w:vMerge/>
            <w:tcBorders>
              <w:top w:val="nil"/>
              <w:left w:val="nil"/>
              <w:bottom w:val="single" w:sz="12" w:space="0" w:color="auto"/>
              <w:right w:val="nil"/>
            </w:tcBorders>
            <w:vAlign w:val="center"/>
            <w:hideMark/>
          </w:tcPr>
          <w:p w14:paraId="534E3FE9" w14:textId="77777777" w:rsidR="00417C53" w:rsidRDefault="00417C53">
            <w:pPr>
              <w:rPr>
                <w:color w:val="000000"/>
                <w:sz w:val="20"/>
                <w:szCs w:val="20"/>
              </w:rPr>
            </w:pPr>
          </w:p>
        </w:tc>
        <w:tc>
          <w:tcPr>
            <w:tcW w:w="767" w:type="dxa"/>
            <w:tcBorders>
              <w:top w:val="single" w:sz="12" w:space="0" w:color="auto"/>
              <w:left w:val="nil"/>
              <w:bottom w:val="single" w:sz="12" w:space="0" w:color="auto"/>
              <w:right w:val="nil"/>
            </w:tcBorders>
            <w:shd w:val="clear" w:color="auto" w:fill="auto"/>
            <w:noWrap/>
            <w:vAlign w:val="center"/>
            <w:hideMark/>
          </w:tcPr>
          <w:p w14:paraId="7BF69D24" w14:textId="77777777" w:rsidR="00417C53" w:rsidRDefault="00417C53">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3EF76391" w14:textId="77777777" w:rsidR="00417C53" w:rsidRDefault="00417C5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33B38453" w14:textId="77777777" w:rsidR="00417C53" w:rsidRDefault="00417C53">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08E8250B" w14:textId="77777777" w:rsidR="00417C53" w:rsidRDefault="00417C53">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CE1D603" w14:textId="77777777" w:rsidR="00417C53" w:rsidRDefault="00417C5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EDC01B7" w14:textId="77777777" w:rsidR="00417C53" w:rsidRDefault="00417C53">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293A8E0B" w14:textId="77777777" w:rsidR="00417C53" w:rsidRDefault="00417C53">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667F730" w14:textId="77777777" w:rsidR="00417C53" w:rsidRDefault="00417C5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D82D950" w14:textId="77777777" w:rsidR="00417C53" w:rsidRDefault="00417C53">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3FD7829E" w14:textId="77777777" w:rsidR="00417C53" w:rsidRDefault="00417C53">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49BAB5D9" w14:textId="77777777" w:rsidR="00417C53" w:rsidRDefault="00417C5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1ADF267E" w14:textId="77777777" w:rsidR="00417C53" w:rsidRDefault="00417C53">
            <w:pPr>
              <w:jc w:val="center"/>
              <w:rPr>
                <w:i/>
                <w:iCs/>
                <w:color w:val="000000"/>
                <w:sz w:val="20"/>
                <w:szCs w:val="20"/>
              </w:rPr>
            </w:pPr>
            <w:r>
              <w:rPr>
                <w:i/>
                <w:iCs/>
                <w:color w:val="000000"/>
                <w:sz w:val="20"/>
                <w:szCs w:val="20"/>
              </w:rPr>
              <w:t>R2</w:t>
            </w:r>
          </w:p>
        </w:tc>
        <w:tc>
          <w:tcPr>
            <w:tcW w:w="768" w:type="dxa"/>
            <w:tcBorders>
              <w:top w:val="single" w:sz="12" w:space="0" w:color="auto"/>
              <w:left w:val="nil"/>
              <w:bottom w:val="single" w:sz="12" w:space="0" w:color="auto"/>
              <w:right w:val="nil"/>
            </w:tcBorders>
            <w:shd w:val="clear" w:color="auto" w:fill="auto"/>
            <w:noWrap/>
            <w:vAlign w:val="center"/>
            <w:hideMark/>
          </w:tcPr>
          <w:p w14:paraId="7DD46F62" w14:textId="77777777" w:rsidR="00417C53" w:rsidRDefault="00417C53">
            <w:pPr>
              <w:jc w:val="center"/>
              <w:rPr>
                <w:i/>
                <w:iCs/>
                <w:color w:val="000000"/>
                <w:sz w:val="20"/>
                <w:szCs w:val="20"/>
              </w:rPr>
            </w:pPr>
            <w:r>
              <w:rPr>
                <w:i/>
                <w:iCs/>
                <w:color w:val="000000"/>
                <w:sz w:val="20"/>
                <w:szCs w:val="20"/>
              </w:rPr>
              <w:t>β</w:t>
            </w:r>
          </w:p>
        </w:tc>
        <w:tc>
          <w:tcPr>
            <w:tcW w:w="768" w:type="dxa"/>
            <w:tcBorders>
              <w:top w:val="single" w:sz="12" w:space="0" w:color="auto"/>
              <w:left w:val="nil"/>
              <w:bottom w:val="single" w:sz="12" w:space="0" w:color="auto"/>
              <w:right w:val="nil"/>
            </w:tcBorders>
            <w:shd w:val="clear" w:color="auto" w:fill="auto"/>
            <w:noWrap/>
            <w:vAlign w:val="center"/>
            <w:hideMark/>
          </w:tcPr>
          <w:p w14:paraId="59C20AF8" w14:textId="77777777" w:rsidR="00417C53" w:rsidRDefault="00417C5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768" w:type="dxa"/>
            <w:tcBorders>
              <w:top w:val="single" w:sz="12" w:space="0" w:color="auto"/>
              <w:left w:val="nil"/>
              <w:bottom w:val="single" w:sz="12" w:space="0" w:color="auto"/>
              <w:right w:val="nil"/>
            </w:tcBorders>
            <w:shd w:val="clear" w:color="auto" w:fill="auto"/>
            <w:noWrap/>
            <w:vAlign w:val="center"/>
            <w:hideMark/>
          </w:tcPr>
          <w:p w14:paraId="042BBC6A" w14:textId="77777777" w:rsidR="00417C53" w:rsidRDefault="00417C53">
            <w:pPr>
              <w:jc w:val="center"/>
              <w:rPr>
                <w:i/>
                <w:iCs/>
                <w:color w:val="000000"/>
                <w:sz w:val="20"/>
                <w:szCs w:val="20"/>
              </w:rPr>
            </w:pPr>
            <w:r>
              <w:rPr>
                <w:i/>
                <w:iCs/>
                <w:color w:val="000000"/>
                <w:sz w:val="20"/>
                <w:szCs w:val="20"/>
              </w:rPr>
              <w:t>R2</w:t>
            </w:r>
          </w:p>
        </w:tc>
      </w:tr>
      <w:tr w:rsidR="00417C53" w14:paraId="570467F5"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08705FBB" w14:textId="77777777" w:rsidR="00417C53" w:rsidRDefault="00417C53">
            <w:pPr>
              <w:rPr>
                <w:color w:val="000000"/>
                <w:sz w:val="20"/>
                <w:szCs w:val="20"/>
              </w:rPr>
            </w:pPr>
            <w:r>
              <w:rPr>
                <w:color w:val="000000"/>
                <w:sz w:val="20"/>
                <w:szCs w:val="20"/>
              </w:rPr>
              <w:t>Threshold 10%</w:t>
            </w:r>
          </w:p>
        </w:tc>
        <w:tc>
          <w:tcPr>
            <w:tcW w:w="1705" w:type="dxa"/>
            <w:tcBorders>
              <w:top w:val="single" w:sz="12" w:space="0" w:color="auto"/>
              <w:left w:val="nil"/>
              <w:bottom w:val="nil"/>
              <w:right w:val="nil"/>
            </w:tcBorders>
            <w:shd w:val="clear" w:color="auto" w:fill="auto"/>
            <w:noWrap/>
            <w:vAlign w:val="center"/>
            <w:hideMark/>
          </w:tcPr>
          <w:p w14:paraId="5A152E19" w14:textId="77777777" w:rsidR="00417C53" w:rsidRDefault="00417C53">
            <w:pPr>
              <w:rPr>
                <w:color w:val="000000"/>
                <w:sz w:val="20"/>
                <w:szCs w:val="20"/>
              </w:rPr>
            </w:pPr>
            <w:r>
              <w:rPr>
                <w:color w:val="000000"/>
                <w:sz w:val="20"/>
                <w:szCs w:val="20"/>
              </w:rPr>
              <w:t>Subcortical Cerebellar</w:t>
            </w:r>
          </w:p>
        </w:tc>
        <w:tc>
          <w:tcPr>
            <w:tcW w:w="767" w:type="dxa"/>
            <w:tcBorders>
              <w:top w:val="single" w:sz="12" w:space="0" w:color="auto"/>
              <w:left w:val="nil"/>
              <w:bottom w:val="nil"/>
              <w:right w:val="nil"/>
            </w:tcBorders>
            <w:shd w:val="clear" w:color="auto" w:fill="auto"/>
            <w:noWrap/>
            <w:vAlign w:val="bottom"/>
            <w:hideMark/>
          </w:tcPr>
          <w:p w14:paraId="79965284" w14:textId="77777777" w:rsidR="00417C53" w:rsidRDefault="00417C53">
            <w:pPr>
              <w:jc w:val="right"/>
              <w:rPr>
                <w:color w:val="000000"/>
                <w:sz w:val="20"/>
                <w:szCs w:val="20"/>
              </w:rPr>
            </w:pPr>
            <w:r>
              <w:rPr>
                <w:color w:val="000000"/>
                <w:sz w:val="20"/>
                <w:szCs w:val="20"/>
              </w:rPr>
              <w:t>0.037</w:t>
            </w:r>
          </w:p>
        </w:tc>
        <w:tc>
          <w:tcPr>
            <w:tcW w:w="768" w:type="dxa"/>
            <w:tcBorders>
              <w:top w:val="single" w:sz="12" w:space="0" w:color="auto"/>
              <w:left w:val="nil"/>
              <w:bottom w:val="nil"/>
              <w:right w:val="nil"/>
            </w:tcBorders>
            <w:shd w:val="clear" w:color="auto" w:fill="auto"/>
            <w:noWrap/>
            <w:vAlign w:val="bottom"/>
            <w:hideMark/>
          </w:tcPr>
          <w:p w14:paraId="16E87F34" w14:textId="77777777" w:rsidR="00417C53" w:rsidRDefault="00417C53">
            <w:pPr>
              <w:jc w:val="right"/>
              <w:rPr>
                <w:color w:val="000000"/>
                <w:sz w:val="20"/>
                <w:szCs w:val="20"/>
              </w:rPr>
            </w:pPr>
            <w:r>
              <w:rPr>
                <w:color w:val="000000"/>
                <w:sz w:val="20"/>
                <w:szCs w:val="20"/>
              </w:rPr>
              <w:t>0.656</w:t>
            </w:r>
          </w:p>
        </w:tc>
        <w:tc>
          <w:tcPr>
            <w:tcW w:w="768" w:type="dxa"/>
            <w:tcBorders>
              <w:top w:val="single" w:sz="12" w:space="0" w:color="auto"/>
              <w:left w:val="nil"/>
              <w:bottom w:val="nil"/>
              <w:right w:val="nil"/>
            </w:tcBorders>
            <w:shd w:val="clear" w:color="auto" w:fill="auto"/>
            <w:noWrap/>
            <w:vAlign w:val="bottom"/>
            <w:hideMark/>
          </w:tcPr>
          <w:p w14:paraId="70649B12" w14:textId="77777777" w:rsidR="00417C53" w:rsidRDefault="00417C53">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5E9DEFAF" w14:textId="77777777" w:rsidR="00417C53" w:rsidRDefault="00417C53">
            <w:pPr>
              <w:jc w:val="right"/>
              <w:rPr>
                <w:color w:val="000000"/>
                <w:sz w:val="20"/>
                <w:szCs w:val="20"/>
              </w:rPr>
            </w:pPr>
            <w:r>
              <w:rPr>
                <w:color w:val="000000"/>
                <w:sz w:val="20"/>
                <w:szCs w:val="20"/>
              </w:rPr>
              <w:t>0.006</w:t>
            </w:r>
          </w:p>
        </w:tc>
        <w:tc>
          <w:tcPr>
            <w:tcW w:w="768" w:type="dxa"/>
            <w:tcBorders>
              <w:top w:val="single" w:sz="12" w:space="0" w:color="auto"/>
              <w:left w:val="nil"/>
              <w:bottom w:val="nil"/>
              <w:right w:val="nil"/>
            </w:tcBorders>
            <w:shd w:val="clear" w:color="auto" w:fill="auto"/>
            <w:noWrap/>
            <w:vAlign w:val="bottom"/>
            <w:hideMark/>
          </w:tcPr>
          <w:p w14:paraId="6C00E703" w14:textId="77777777" w:rsidR="00417C53" w:rsidRDefault="00417C53">
            <w:pPr>
              <w:jc w:val="right"/>
              <w:rPr>
                <w:color w:val="000000"/>
                <w:sz w:val="20"/>
                <w:szCs w:val="20"/>
              </w:rPr>
            </w:pPr>
            <w:r>
              <w:rPr>
                <w:color w:val="000000"/>
                <w:sz w:val="20"/>
                <w:szCs w:val="20"/>
              </w:rPr>
              <w:t>0.955</w:t>
            </w:r>
          </w:p>
        </w:tc>
        <w:tc>
          <w:tcPr>
            <w:tcW w:w="768" w:type="dxa"/>
            <w:tcBorders>
              <w:top w:val="single" w:sz="12" w:space="0" w:color="auto"/>
              <w:left w:val="nil"/>
              <w:bottom w:val="nil"/>
              <w:right w:val="nil"/>
            </w:tcBorders>
            <w:shd w:val="clear" w:color="auto" w:fill="auto"/>
            <w:noWrap/>
            <w:vAlign w:val="bottom"/>
            <w:hideMark/>
          </w:tcPr>
          <w:p w14:paraId="79AB4124" w14:textId="77777777" w:rsidR="00417C53" w:rsidRDefault="00417C53">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39EF0760" w14:textId="77777777" w:rsidR="00417C53" w:rsidRDefault="00417C53">
            <w:pPr>
              <w:jc w:val="right"/>
              <w:rPr>
                <w:color w:val="000000"/>
                <w:sz w:val="20"/>
                <w:szCs w:val="20"/>
              </w:rPr>
            </w:pPr>
            <w:r>
              <w:rPr>
                <w:color w:val="000000"/>
                <w:sz w:val="20"/>
                <w:szCs w:val="20"/>
              </w:rPr>
              <w:t>0.004</w:t>
            </w:r>
          </w:p>
        </w:tc>
        <w:tc>
          <w:tcPr>
            <w:tcW w:w="768" w:type="dxa"/>
            <w:tcBorders>
              <w:top w:val="single" w:sz="12" w:space="0" w:color="auto"/>
              <w:left w:val="nil"/>
              <w:bottom w:val="nil"/>
              <w:right w:val="nil"/>
            </w:tcBorders>
            <w:shd w:val="clear" w:color="auto" w:fill="auto"/>
            <w:noWrap/>
            <w:vAlign w:val="bottom"/>
            <w:hideMark/>
          </w:tcPr>
          <w:p w14:paraId="21FACD1C" w14:textId="77777777" w:rsidR="00417C53" w:rsidRDefault="00417C53">
            <w:pPr>
              <w:jc w:val="right"/>
              <w:rPr>
                <w:color w:val="000000"/>
                <w:sz w:val="20"/>
                <w:szCs w:val="20"/>
              </w:rPr>
            </w:pPr>
            <w:r>
              <w:rPr>
                <w:color w:val="000000"/>
                <w:sz w:val="20"/>
                <w:szCs w:val="20"/>
              </w:rPr>
              <w:t>0.905</w:t>
            </w:r>
          </w:p>
        </w:tc>
        <w:tc>
          <w:tcPr>
            <w:tcW w:w="768" w:type="dxa"/>
            <w:tcBorders>
              <w:top w:val="single" w:sz="12" w:space="0" w:color="auto"/>
              <w:left w:val="nil"/>
              <w:bottom w:val="nil"/>
              <w:right w:val="nil"/>
            </w:tcBorders>
            <w:shd w:val="clear" w:color="auto" w:fill="auto"/>
            <w:noWrap/>
            <w:vAlign w:val="bottom"/>
            <w:hideMark/>
          </w:tcPr>
          <w:p w14:paraId="2D9B7FD8" w14:textId="77777777" w:rsidR="00417C53" w:rsidRDefault="00417C53">
            <w:pPr>
              <w:jc w:val="right"/>
              <w:rPr>
                <w:color w:val="000000"/>
                <w:sz w:val="20"/>
                <w:szCs w:val="20"/>
              </w:rPr>
            </w:pPr>
            <w:r>
              <w:rPr>
                <w:color w:val="000000"/>
                <w:sz w:val="20"/>
                <w:szCs w:val="20"/>
              </w:rPr>
              <w:t>0.000</w:t>
            </w:r>
          </w:p>
        </w:tc>
        <w:tc>
          <w:tcPr>
            <w:tcW w:w="768" w:type="dxa"/>
            <w:tcBorders>
              <w:top w:val="single" w:sz="12" w:space="0" w:color="auto"/>
              <w:left w:val="nil"/>
              <w:bottom w:val="nil"/>
              <w:right w:val="nil"/>
            </w:tcBorders>
            <w:shd w:val="clear" w:color="auto" w:fill="auto"/>
            <w:noWrap/>
            <w:vAlign w:val="bottom"/>
            <w:hideMark/>
          </w:tcPr>
          <w:p w14:paraId="41843EAF" w14:textId="77777777" w:rsidR="00417C53" w:rsidRDefault="00417C53">
            <w:pPr>
              <w:jc w:val="right"/>
              <w:rPr>
                <w:color w:val="000000"/>
                <w:sz w:val="20"/>
                <w:szCs w:val="20"/>
              </w:rPr>
            </w:pPr>
            <w:r>
              <w:rPr>
                <w:color w:val="000000"/>
                <w:sz w:val="20"/>
                <w:szCs w:val="20"/>
              </w:rPr>
              <w:t>0.024</w:t>
            </w:r>
          </w:p>
        </w:tc>
        <w:tc>
          <w:tcPr>
            <w:tcW w:w="768" w:type="dxa"/>
            <w:tcBorders>
              <w:top w:val="single" w:sz="12" w:space="0" w:color="auto"/>
              <w:left w:val="nil"/>
              <w:bottom w:val="nil"/>
              <w:right w:val="nil"/>
            </w:tcBorders>
            <w:shd w:val="clear" w:color="auto" w:fill="auto"/>
            <w:noWrap/>
            <w:vAlign w:val="bottom"/>
            <w:hideMark/>
          </w:tcPr>
          <w:p w14:paraId="0965A8C7" w14:textId="77777777" w:rsidR="00417C53" w:rsidRDefault="00417C53">
            <w:pPr>
              <w:jc w:val="right"/>
              <w:rPr>
                <w:color w:val="000000"/>
                <w:sz w:val="20"/>
                <w:szCs w:val="20"/>
              </w:rPr>
            </w:pPr>
            <w:r>
              <w:rPr>
                <w:color w:val="000000"/>
                <w:sz w:val="20"/>
                <w:szCs w:val="20"/>
              </w:rPr>
              <w:t>0.914</w:t>
            </w:r>
          </w:p>
        </w:tc>
        <w:tc>
          <w:tcPr>
            <w:tcW w:w="768" w:type="dxa"/>
            <w:tcBorders>
              <w:top w:val="single" w:sz="12" w:space="0" w:color="auto"/>
              <w:left w:val="nil"/>
              <w:bottom w:val="nil"/>
              <w:right w:val="nil"/>
            </w:tcBorders>
            <w:shd w:val="clear" w:color="auto" w:fill="auto"/>
            <w:noWrap/>
            <w:vAlign w:val="bottom"/>
            <w:hideMark/>
          </w:tcPr>
          <w:p w14:paraId="1C088EAC" w14:textId="77777777" w:rsidR="00417C53" w:rsidRDefault="00417C53">
            <w:pPr>
              <w:jc w:val="right"/>
              <w:rPr>
                <w:color w:val="000000"/>
                <w:sz w:val="20"/>
                <w:szCs w:val="20"/>
              </w:rPr>
            </w:pPr>
            <w:r>
              <w:rPr>
                <w:color w:val="000000"/>
                <w:sz w:val="20"/>
                <w:szCs w:val="20"/>
              </w:rPr>
              <w:t>0.001</w:t>
            </w:r>
          </w:p>
        </w:tc>
        <w:tc>
          <w:tcPr>
            <w:tcW w:w="768" w:type="dxa"/>
            <w:tcBorders>
              <w:top w:val="single" w:sz="12" w:space="0" w:color="auto"/>
              <w:left w:val="nil"/>
              <w:bottom w:val="nil"/>
              <w:right w:val="nil"/>
            </w:tcBorders>
            <w:shd w:val="clear" w:color="auto" w:fill="auto"/>
            <w:noWrap/>
            <w:vAlign w:val="bottom"/>
            <w:hideMark/>
          </w:tcPr>
          <w:p w14:paraId="0F560EB1" w14:textId="77777777" w:rsidR="00417C53" w:rsidRDefault="00417C53">
            <w:pPr>
              <w:jc w:val="right"/>
              <w:rPr>
                <w:color w:val="000000"/>
                <w:sz w:val="20"/>
                <w:szCs w:val="20"/>
              </w:rPr>
            </w:pPr>
            <w:r>
              <w:rPr>
                <w:color w:val="000000"/>
                <w:sz w:val="20"/>
                <w:szCs w:val="20"/>
              </w:rPr>
              <w:t>0.011</w:t>
            </w:r>
          </w:p>
        </w:tc>
        <w:tc>
          <w:tcPr>
            <w:tcW w:w="768" w:type="dxa"/>
            <w:tcBorders>
              <w:top w:val="single" w:sz="12" w:space="0" w:color="auto"/>
              <w:left w:val="nil"/>
              <w:bottom w:val="nil"/>
              <w:right w:val="nil"/>
            </w:tcBorders>
            <w:shd w:val="clear" w:color="auto" w:fill="auto"/>
            <w:noWrap/>
            <w:vAlign w:val="bottom"/>
            <w:hideMark/>
          </w:tcPr>
          <w:p w14:paraId="737E443C" w14:textId="77777777" w:rsidR="00417C53" w:rsidRDefault="00417C53">
            <w:pPr>
              <w:jc w:val="right"/>
              <w:rPr>
                <w:color w:val="000000"/>
                <w:sz w:val="20"/>
                <w:szCs w:val="20"/>
              </w:rPr>
            </w:pPr>
            <w:r>
              <w:rPr>
                <w:color w:val="000000"/>
                <w:sz w:val="20"/>
                <w:szCs w:val="20"/>
              </w:rPr>
              <w:t>0.967</w:t>
            </w:r>
          </w:p>
        </w:tc>
        <w:tc>
          <w:tcPr>
            <w:tcW w:w="768" w:type="dxa"/>
            <w:tcBorders>
              <w:top w:val="single" w:sz="12" w:space="0" w:color="auto"/>
              <w:left w:val="nil"/>
              <w:bottom w:val="nil"/>
              <w:right w:val="nil"/>
            </w:tcBorders>
            <w:shd w:val="clear" w:color="auto" w:fill="auto"/>
            <w:noWrap/>
            <w:vAlign w:val="bottom"/>
            <w:hideMark/>
          </w:tcPr>
          <w:p w14:paraId="4E0CAAE1" w14:textId="77777777" w:rsidR="00417C53" w:rsidRDefault="00417C53">
            <w:pPr>
              <w:jc w:val="right"/>
              <w:rPr>
                <w:color w:val="000000"/>
                <w:sz w:val="20"/>
                <w:szCs w:val="20"/>
              </w:rPr>
            </w:pPr>
            <w:r>
              <w:rPr>
                <w:color w:val="000000"/>
                <w:sz w:val="20"/>
                <w:szCs w:val="20"/>
              </w:rPr>
              <w:t>0.000</w:t>
            </w:r>
          </w:p>
        </w:tc>
      </w:tr>
      <w:tr w:rsidR="00417C53" w14:paraId="504CD79E" w14:textId="77777777" w:rsidTr="00417C53">
        <w:trPr>
          <w:trHeight w:val="340"/>
        </w:trPr>
        <w:tc>
          <w:tcPr>
            <w:tcW w:w="1176" w:type="dxa"/>
            <w:tcBorders>
              <w:top w:val="nil"/>
              <w:left w:val="nil"/>
              <w:bottom w:val="nil"/>
              <w:right w:val="nil"/>
            </w:tcBorders>
            <w:shd w:val="clear" w:color="auto" w:fill="auto"/>
            <w:noWrap/>
            <w:vAlign w:val="bottom"/>
            <w:hideMark/>
          </w:tcPr>
          <w:p w14:paraId="5F150342"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2AF256" w14:textId="77777777" w:rsidR="00417C53" w:rsidRDefault="00417C53">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3E9FB4A5" w14:textId="77777777" w:rsidR="00417C53" w:rsidRDefault="00417C53">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0FE1EAE5" w14:textId="77777777" w:rsidR="00417C53" w:rsidRDefault="00417C53">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68FD1B92"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1179BB6" w14:textId="77777777" w:rsidR="00417C53" w:rsidRDefault="00417C53">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11BD6FA2" w14:textId="77777777" w:rsidR="00417C53" w:rsidRDefault="00417C53">
            <w:pPr>
              <w:jc w:val="right"/>
              <w:rPr>
                <w:color w:val="000000"/>
                <w:sz w:val="20"/>
                <w:szCs w:val="20"/>
              </w:rPr>
            </w:pPr>
            <w:r>
              <w:rPr>
                <w:color w:val="000000"/>
                <w:sz w:val="20"/>
                <w:szCs w:val="20"/>
              </w:rPr>
              <w:t>0.653</w:t>
            </w:r>
          </w:p>
        </w:tc>
        <w:tc>
          <w:tcPr>
            <w:tcW w:w="768" w:type="dxa"/>
            <w:tcBorders>
              <w:top w:val="nil"/>
              <w:left w:val="nil"/>
              <w:bottom w:val="nil"/>
              <w:right w:val="nil"/>
            </w:tcBorders>
            <w:shd w:val="clear" w:color="auto" w:fill="auto"/>
            <w:noWrap/>
            <w:vAlign w:val="bottom"/>
            <w:hideMark/>
          </w:tcPr>
          <w:p w14:paraId="2B705D83" w14:textId="77777777" w:rsidR="00417C53" w:rsidRDefault="00417C5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0C04542" w14:textId="77777777" w:rsidR="00417C53" w:rsidRDefault="00417C53">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B2DA036" w14:textId="77777777" w:rsidR="00417C53" w:rsidRDefault="00417C53">
            <w:pPr>
              <w:jc w:val="right"/>
              <w:rPr>
                <w:color w:val="000000"/>
                <w:sz w:val="20"/>
                <w:szCs w:val="20"/>
              </w:rPr>
            </w:pPr>
            <w:r>
              <w:rPr>
                <w:color w:val="000000"/>
                <w:sz w:val="20"/>
                <w:szCs w:val="20"/>
              </w:rPr>
              <w:t>0.778</w:t>
            </w:r>
          </w:p>
        </w:tc>
        <w:tc>
          <w:tcPr>
            <w:tcW w:w="768" w:type="dxa"/>
            <w:tcBorders>
              <w:top w:val="nil"/>
              <w:left w:val="nil"/>
              <w:bottom w:val="nil"/>
              <w:right w:val="nil"/>
            </w:tcBorders>
            <w:shd w:val="clear" w:color="auto" w:fill="auto"/>
            <w:noWrap/>
            <w:vAlign w:val="bottom"/>
            <w:hideMark/>
          </w:tcPr>
          <w:p w14:paraId="60680A09"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55F3FB"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67DAF91" w14:textId="77777777" w:rsidR="00417C53" w:rsidRDefault="00417C53">
            <w:pPr>
              <w:jc w:val="right"/>
              <w:rPr>
                <w:color w:val="000000"/>
                <w:sz w:val="20"/>
                <w:szCs w:val="20"/>
              </w:rPr>
            </w:pPr>
            <w:r>
              <w:rPr>
                <w:color w:val="000000"/>
                <w:sz w:val="20"/>
                <w:szCs w:val="20"/>
              </w:rPr>
              <w:t>0.975</w:t>
            </w:r>
          </w:p>
        </w:tc>
        <w:tc>
          <w:tcPr>
            <w:tcW w:w="768" w:type="dxa"/>
            <w:tcBorders>
              <w:top w:val="nil"/>
              <w:left w:val="nil"/>
              <w:bottom w:val="nil"/>
              <w:right w:val="nil"/>
            </w:tcBorders>
            <w:shd w:val="clear" w:color="auto" w:fill="auto"/>
            <w:noWrap/>
            <w:vAlign w:val="bottom"/>
            <w:hideMark/>
          </w:tcPr>
          <w:p w14:paraId="1EC4F6D0"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53D58B1" w14:textId="77777777" w:rsidR="00417C53" w:rsidRDefault="00417C53">
            <w:pPr>
              <w:jc w:val="right"/>
              <w:rPr>
                <w:color w:val="000000"/>
                <w:sz w:val="20"/>
                <w:szCs w:val="20"/>
              </w:rPr>
            </w:pPr>
            <w:r>
              <w:rPr>
                <w:color w:val="000000"/>
                <w:sz w:val="20"/>
                <w:szCs w:val="20"/>
              </w:rPr>
              <w:t>0.072</w:t>
            </w:r>
          </w:p>
        </w:tc>
        <w:tc>
          <w:tcPr>
            <w:tcW w:w="768" w:type="dxa"/>
            <w:tcBorders>
              <w:top w:val="nil"/>
              <w:left w:val="nil"/>
              <w:bottom w:val="nil"/>
              <w:right w:val="nil"/>
            </w:tcBorders>
            <w:shd w:val="clear" w:color="auto" w:fill="auto"/>
            <w:noWrap/>
            <w:vAlign w:val="bottom"/>
            <w:hideMark/>
          </w:tcPr>
          <w:p w14:paraId="1D802A96" w14:textId="77777777" w:rsidR="00417C53" w:rsidRDefault="00417C53">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58EE7D61" w14:textId="77777777" w:rsidR="00417C53" w:rsidRDefault="00417C53">
            <w:pPr>
              <w:jc w:val="right"/>
              <w:rPr>
                <w:color w:val="000000"/>
                <w:sz w:val="20"/>
                <w:szCs w:val="20"/>
              </w:rPr>
            </w:pPr>
            <w:r>
              <w:rPr>
                <w:color w:val="000000"/>
                <w:sz w:val="20"/>
                <w:szCs w:val="20"/>
              </w:rPr>
              <w:t>0.005</w:t>
            </w:r>
          </w:p>
        </w:tc>
      </w:tr>
      <w:tr w:rsidR="00417C53" w14:paraId="17B14938" w14:textId="77777777" w:rsidTr="00417C53">
        <w:trPr>
          <w:trHeight w:val="320"/>
        </w:trPr>
        <w:tc>
          <w:tcPr>
            <w:tcW w:w="1176" w:type="dxa"/>
            <w:tcBorders>
              <w:top w:val="nil"/>
              <w:left w:val="nil"/>
              <w:bottom w:val="nil"/>
              <w:right w:val="nil"/>
            </w:tcBorders>
            <w:shd w:val="clear" w:color="auto" w:fill="auto"/>
            <w:noWrap/>
            <w:vAlign w:val="bottom"/>
            <w:hideMark/>
          </w:tcPr>
          <w:p w14:paraId="2EF89906"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2133FBE" w14:textId="77777777" w:rsidR="00417C53" w:rsidRDefault="00417C53">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7811738" w14:textId="77777777" w:rsidR="00417C53" w:rsidRDefault="00417C53">
            <w:pPr>
              <w:jc w:val="right"/>
              <w:rPr>
                <w:color w:val="000000"/>
                <w:sz w:val="20"/>
                <w:szCs w:val="20"/>
              </w:rPr>
            </w:pPr>
            <w:r>
              <w:rPr>
                <w:color w:val="000000"/>
                <w:sz w:val="20"/>
                <w:szCs w:val="20"/>
              </w:rPr>
              <w:t>0.090</w:t>
            </w:r>
          </w:p>
        </w:tc>
        <w:tc>
          <w:tcPr>
            <w:tcW w:w="768" w:type="dxa"/>
            <w:tcBorders>
              <w:top w:val="nil"/>
              <w:left w:val="nil"/>
              <w:bottom w:val="nil"/>
              <w:right w:val="nil"/>
            </w:tcBorders>
            <w:shd w:val="clear" w:color="auto" w:fill="auto"/>
            <w:noWrap/>
            <w:vAlign w:val="bottom"/>
            <w:hideMark/>
          </w:tcPr>
          <w:p w14:paraId="7E6485D9" w14:textId="77777777" w:rsidR="00417C53" w:rsidRDefault="00417C53">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716FD31C" w14:textId="77777777" w:rsidR="00417C53" w:rsidRDefault="00417C53">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A02CDFC" w14:textId="77777777" w:rsidR="00417C53" w:rsidRDefault="00417C5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8A51D48" w14:textId="77777777" w:rsidR="00417C53" w:rsidRDefault="00417C53">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416119BD"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525458C" w14:textId="77777777" w:rsidR="00417C53" w:rsidRDefault="00417C53">
            <w:pPr>
              <w:jc w:val="right"/>
              <w:rPr>
                <w:color w:val="000000"/>
                <w:sz w:val="20"/>
                <w:szCs w:val="20"/>
              </w:rPr>
            </w:pPr>
            <w:r>
              <w:rPr>
                <w:color w:val="000000"/>
                <w:sz w:val="20"/>
                <w:szCs w:val="20"/>
              </w:rPr>
              <w:t>0.123</w:t>
            </w:r>
          </w:p>
        </w:tc>
        <w:tc>
          <w:tcPr>
            <w:tcW w:w="768" w:type="dxa"/>
            <w:tcBorders>
              <w:top w:val="nil"/>
              <w:left w:val="nil"/>
              <w:bottom w:val="nil"/>
              <w:right w:val="nil"/>
            </w:tcBorders>
            <w:shd w:val="clear" w:color="auto" w:fill="auto"/>
            <w:noWrap/>
            <w:vAlign w:val="bottom"/>
            <w:hideMark/>
          </w:tcPr>
          <w:p w14:paraId="41E9D630" w14:textId="77777777" w:rsidR="00417C53" w:rsidRDefault="00417C53">
            <w:pPr>
              <w:jc w:val="right"/>
              <w:rPr>
                <w:color w:val="000000"/>
                <w:sz w:val="20"/>
                <w:szCs w:val="20"/>
              </w:rPr>
            </w:pPr>
            <w:r>
              <w:rPr>
                <w:color w:val="000000"/>
                <w:sz w:val="20"/>
                <w:szCs w:val="20"/>
              </w:rPr>
              <w:t>0.388</w:t>
            </w:r>
          </w:p>
        </w:tc>
        <w:tc>
          <w:tcPr>
            <w:tcW w:w="768" w:type="dxa"/>
            <w:tcBorders>
              <w:top w:val="nil"/>
              <w:left w:val="nil"/>
              <w:bottom w:val="nil"/>
              <w:right w:val="nil"/>
            </w:tcBorders>
            <w:shd w:val="clear" w:color="auto" w:fill="auto"/>
            <w:noWrap/>
            <w:vAlign w:val="bottom"/>
            <w:hideMark/>
          </w:tcPr>
          <w:p w14:paraId="42CAD078" w14:textId="77777777" w:rsidR="00417C53" w:rsidRDefault="00417C53">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79AC6E0C" w14:textId="77777777" w:rsidR="00417C53" w:rsidRDefault="00417C53">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706B61F" w14:textId="77777777" w:rsidR="00417C53" w:rsidRDefault="00417C53">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0785B588"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F91D5F5" w14:textId="77777777" w:rsidR="00417C53" w:rsidRDefault="00417C53">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08C9F0A6" w14:textId="77777777" w:rsidR="00417C53" w:rsidRDefault="00417C53">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4621BF36" w14:textId="77777777" w:rsidR="00417C53" w:rsidRDefault="00417C53">
            <w:pPr>
              <w:jc w:val="right"/>
              <w:rPr>
                <w:color w:val="000000"/>
                <w:sz w:val="20"/>
                <w:szCs w:val="20"/>
              </w:rPr>
            </w:pPr>
            <w:r>
              <w:rPr>
                <w:color w:val="000000"/>
                <w:sz w:val="20"/>
                <w:szCs w:val="20"/>
              </w:rPr>
              <w:t>0.002</w:t>
            </w:r>
          </w:p>
        </w:tc>
      </w:tr>
      <w:tr w:rsidR="00417C53" w14:paraId="1DB21A6C" w14:textId="77777777" w:rsidTr="00417C53">
        <w:trPr>
          <w:trHeight w:val="320"/>
        </w:trPr>
        <w:tc>
          <w:tcPr>
            <w:tcW w:w="1176" w:type="dxa"/>
            <w:tcBorders>
              <w:top w:val="nil"/>
              <w:left w:val="nil"/>
              <w:bottom w:val="nil"/>
              <w:right w:val="nil"/>
            </w:tcBorders>
            <w:shd w:val="clear" w:color="auto" w:fill="auto"/>
            <w:noWrap/>
            <w:vAlign w:val="bottom"/>
            <w:hideMark/>
          </w:tcPr>
          <w:p w14:paraId="0752B194"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A733224" w14:textId="77777777" w:rsidR="00417C53" w:rsidRDefault="00417C53">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0574B79" w14:textId="77777777" w:rsidR="00417C53" w:rsidRDefault="00417C53">
            <w:pPr>
              <w:jc w:val="right"/>
              <w:rPr>
                <w:color w:val="000000"/>
                <w:sz w:val="20"/>
                <w:szCs w:val="20"/>
              </w:rPr>
            </w:pPr>
            <w:r>
              <w:rPr>
                <w:color w:val="000000"/>
                <w:sz w:val="20"/>
                <w:szCs w:val="20"/>
              </w:rPr>
              <w:t>-0.099</w:t>
            </w:r>
          </w:p>
        </w:tc>
        <w:tc>
          <w:tcPr>
            <w:tcW w:w="768" w:type="dxa"/>
            <w:tcBorders>
              <w:top w:val="nil"/>
              <w:left w:val="nil"/>
              <w:bottom w:val="nil"/>
              <w:right w:val="nil"/>
            </w:tcBorders>
            <w:shd w:val="clear" w:color="auto" w:fill="auto"/>
            <w:noWrap/>
            <w:vAlign w:val="bottom"/>
            <w:hideMark/>
          </w:tcPr>
          <w:p w14:paraId="2FF723DF" w14:textId="77777777" w:rsidR="00417C53" w:rsidRDefault="00417C53">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3727DD5B" w14:textId="77777777" w:rsidR="00417C53" w:rsidRDefault="00417C53">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0F63CEE4" w14:textId="77777777" w:rsidR="00417C53" w:rsidRDefault="00417C53">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0304CAB6" w14:textId="77777777" w:rsidR="00417C53" w:rsidRDefault="00417C53">
            <w:pPr>
              <w:jc w:val="right"/>
              <w:rPr>
                <w:color w:val="000000"/>
                <w:sz w:val="20"/>
                <w:szCs w:val="20"/>
              </w:rPr>
            </w:pPr>
            <w:r>
              <w:rPr>
                <w:color w:val="000000"/>
                <w:sz w:val="20"/>
                <w:szCs w:val="20"/>
              </w:rPr>
              <w:t>0.653</w:t>
            </w:r>
          </w:p>
        </w:tc>
        <w:tc>
          <w:tcPr>
            <w:tcW w:w="768" w:type="dxa"/>
            <w:tcBorders>
              <w:top w:val="nil"/>
              <w:left w:val="nil"/>
              <w:bottom w:val="nil"/>
              <w:right w:val="nil"/>
            </w:tcBorders>
            <w:shd w:val="clear" w:color="auto" w:fill="auto"/>
            <w:noWrap/>
            <w:vAlign w:val="bottom"/>
            <w:hideMark/>
          </w:tcPr>
          <w:p w14:paraId="69E15F56" w14:textId="77777777" w:rsidR="00417C53" w:rsidRDefault="00417C53">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0613616E" w14:textId="77777777" w:rsidR="00417C53" w:rsidRDefault="00417C53">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308D74C1" w14:textId="77777777" w:rsidR="00417C53" w:rsidRDefault="00417C53">
            <w:pPr>
              <w:jc w:val="right"/>
              <w:rPr>
                <w:color w:val="000000"/>
                <w:sz w:val="20"/>
                <w:szCs w:val="20"/>
              </w:rPr>
            </w:pPr>
            <w:r>
              <w:rPr>
                <w:color w:val="000000"/>
                <w:sz w:val="20"/>
                <w:szCs w:val="20"/>
              </w:rPr>
              <w:t>0.778</w:t>
            </w:r>
          </w:p>
        </w:tc>
        <w:tc>
          <w:tcPr>
            <w:tcW w:w="768" w:type="dxa"/>
            <w:tcBorders>
              <w:top w:val="nil"/>
              <w:left w:val="nil"/>
              <w:bottom w:val="nil"/>
              <w:right w:val="nil"/>
            </w:tcBorders>
            <w:shd w:val="clear" w:color="auto" w:fill="auto"/>
            <w:noWrap/>
            <w:vAlign w:val="bottom"/>
            <w:hideMark/>
          </w:tcPr>
          <w:p w14:paraId="3DC4E801" w14:textId="77777777" w:rsidR="00417C53" w:rsidRDefault="00417C5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46054AAD" w14:textId="77777777" w:rsidR="00417C53" w:rsidRDefault="00417C53">
            <w:pPr>
              <w:jc w:val="right"/>
              <w:rPr>
                <w:color w:val="000000"/>
                <w:sz w:val="20"/>
                <w:szCs w:val="20"/>
              </w:rPr>
            </w:pPr>
            <w:r>
              <w:rPr>
                <w:color w:val="000000"/>
                <w:sz w:val="20"/>
                <w:szCs w:val="20"/>
              </w:rPr>
              <w:t>-0.118</w:t>
            </w:r>
          </w:p>
        </w:tc>
        <w:tc>
          <w:tcPr>
            <w:tcW w:w="768" w:type="dxa"/>
            <w:tcBorders>
              <w:top w:val="nil"/>
              <w:left w:val="nil"/>
              <w:bottom w:val="nil"/>
              <w:right w:val="nil"/>
            </w:tcBorders>
            <w:shd w:val="clear" w:color="auto" w:fill="auto"/>
            <w:noWrap/>
            <w:vAlign w:val="bottom"/>
            <w:hideMark/>
          </w:tcPr>
          <w:p w14:paraId="540EA04B" w14:textId="77777777" w:rsidR="00417C53" w:rsidRDefault="00417C53">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50284818" w14:textId="77777777" w:rsidR="00417C53" w:rsidRDefault="00417C53">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4629B4F" w14:textId="77777777" w:rsidR="00417C53" w:rsidRDefault="00417C53">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45ECF054" w14:textId="77777777" w:rsidR="00417C53" w:rsidRDefault="00417C53">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2DCC9D0F" w14:textId="77777777" w:rsidR="00417C53" w:rsidRDefault="00417C53">
            <w:pPr>
              <w:jc w:val="right"/>
              <w:rPr>
                <w:color w:val="000000"/>
                <w:sz w:val="20"/>
                <w:szCs w:val="20"/>
              </w:rPr>
            </w:pPr>
            <w:r>
              <w:rPr>
                <w:color w:val="000000"/>
                <w:sz w:val="20"/>
                <w:szCs w:val="20"/>
              </w:rPr>
              <w:t>0.001</w:t>
            </w:r>
          </w:p>
        </w:tc>
      </w:tr>
      <w:tr w:rsidR="00417C53" w14:paraId="37F9161A" w14:textId="77777777" w:rsidTr="00417C53">
        <w:trPr>
          <w:trHeight w:val="320"/>
        </w:trPr>
        <w:tc>
          <w:tcPr>
            <w:tcW w:w="1176" w:type="dxa"/>
            <w:tcBorders>
              <w:top w:val="nil"/>
              <w:left w:val="nil"/>
              <w:bottom w:val="nil"/>
              <w:right w:val="nil"/>
            </w:tcBorders>
            <w:shd w:val="clear" w:color="auto" w:fill="auto"/>
            <w:noWrap/>
            <w:vAlign w:val="bottom"/>
            <w:hideMark/>
          </w:tcPr>
          <w:p w14:paraId="54AC7022"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656AC74" w14:textId="77777777" w:rsidR="00417C53" w:rsidRDefault="00417C53">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7622D1C1" w14:textId="77777777" w:rsidR="00417C53" w:rsidRDefault="00417C53">
            <w:pPr>
              <w:jc w:val="right"/>
              <w:rPr>
                <w:color w:val="000000"/>
                <w:sz w:val="20"/>
                <w:szCs w:val="20"/>
              </w:rPr>
            </w:pPr>
            <w:r>
              <w:rPr>
                <w:color w:val="000000"/>
                <w:sz w:val="20"/>
                <w:szCs w:val="20"/>
              </w:rPr>
              <w:t>-0.048</w:t>
            </w:r>
          </w:p>
        </w:tc>
        <w:tc>
          <w:tcPr>
            <w:tcW w:w="768" w:type="dxa"/>
            <w:tcBorders>
              <w:top w:val="nil"/>
              <w:left w:val="nil"/>
              <w:bottom w:val="nil"/>
              <w:right w:val="nil"/>
            </w:tcBorders>
            <w:shd w:val="clear" w:color="auto" w:fill="auto"/>
            <w:noWrap/>
            <w:vAlign w:val="bottom"/>
            <w:hideMark/>
          </w:tcPr>
          <w:p w14:paraId="30D5BD72" w14:textId="77777777" w:rsidR="00417C53" w:rsidRDefault="00417C53">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12D17A49"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94CFB05" w14:textId="77777777" w:rsidR="00417C53" w:rsidRDefault="00417C53">
            <w:pPr>
              <w:jc w:val="right"/>
              <w:rPr>
                <w:color w:val="000000"/>
                <w:sz w:val="20"/>
                <w:szCs w:val="20"/>
              </w:rPr>
            </w:pPr>
            <w:r>
              <w:rPr>
                <w:color w:val="000000"/>
                <w:sz w:val="20"/>
                <w:szCs w:val="20"/>
              </w:rPr>
              <w:t>0.059</w:t>
            </w:r>
          </w:p>
        </w:tc>
        <w:tc>
          <w:tcPr>
            <w:tcW w:w="768" w:type="dxa"/>
            <w:tcBorders>
              <w:top w:val="nil"/>
              <w:left w:val="nil"/>
              <w:bottom w:val="nil"/>
              <w:right w:val="nil"/>
            </w:tcBorders>
            <w:shd w:val="clear" w:color="auto" w:fill="auto"/>
            <w:noWrap/>
            <w:vAlign w:val="bottom"/>
            <w:hideMark/>
          </w:tcPr>
          <w:p w14:paraId="6946A0A4" w14:textId="77777777" w:rsidR="00417C53" w:rsidRDefault="00417C53">
            <w:pPr>
              <w:jc w:val="right"/>
              <w:rPr>
                <w:color w:val="000000"/>
                <w:sz w:val="20"/>
                <w:szCs w:val="20"/>
              </w:rPr>
            </w:pPr>
            <w:r>
              <w:rPr>
                <w:color w:val="000000"/>
                <w:sz w:val="20"/>
                <w:szCs w:val="20"/>
              </w:rPr>
              <w:t>0.653</w:t>
            </w:r>
          </w:p>
        </w:tc>
        <w:tc>
          <w:tcPr>
            <w:tcW w:w="768" w:type="dxa"/>
            <w:tcBorders>
              <w:top w:val="nil"/>
              <w:left w:val="nil"/>
              <w:bottom w:val="nil"/>
              <w:right w:val="nil"/>
            </w:tcBorders>
            <w:shd w:val="clear" w:color="auto" w:fill="auto"/>
            <w:noWrap/>
            <w:vAlign w:val="bottom"/>
            <w:hideMark/>
          </w:tcPr>
          <w:p w14:paraId="558DABC3"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7033F2B" w14:textId="77777777" w:rsidR="00417C53" w:rsidRDefault="00417C53">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129B1A9B" w14:textId="77777777" w:rsidR="00417C53" w:rsidRDefault="00417C53">
            <w:pPr>
              <w:jc w:val="right"/>
              <w:rPr>
                <w:color w:val="000000"/>
                <w:sz w:val="20"/>
                <w:szCs w:val="20"/>
              </w:rPr>
            </w:pPr>
            <w:r>
              <w:rPr>
                <w:color w:val="000000"/>
                <w:sz w:val="20"/>
                <w:szCs w:val="20"/>
              </w:rPr>
              <w:t>0.507</w:t>
            </w:r>
          </w:p>
        </w:tc>
        <w:tc>
          <w:tcPr>
            <w:tcW w:w="768" w:type="dxa"/>
            <w:tcBorders>
              <w:top w:val="nil"/>
              <w:left w:val="nil"/>
              <w:bottom w:val="nil"/>
              <w:right w:val="nil"/>
            </w:tcBorders>
            <w:shd w:val="clear" w:color="auto" w:fill="auto"/>
            <w:noWrap/>
            <w:vAlign w:val="bottom"/>
            <w:hideMark/>
          </w:tcPr>
          <w:p w14:paraId="635878CF" w14:textId="77777777" w:rsidR="00417C53" w:rsidRDefault="00417C5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41F887F" w14:textId="77777777" w:rsidR="00417C53" w:rsidRDefault="00417C53">
            <w:pPr>
              <w:jc w:val="right"/>
              <w:rPr>
                <w:color w:val="000000"/>
                <w:sz w:val="20"/>
                <w:szCs w:val="20"/>
              </w:rPr>
            </w:pPr>
            <w:r>
              <w:rPr>
                <w:color w:val="000000"/>
                <w:sz w:val="20"/>
                <w:szCs w:val="20"/>
              </w:rPr>
              <w:t>-0.080</w:t>
            </w:r>
          </w:p>
        </w:tc>
        <w:tc>
          <w:tcPr>
            <w:tcW w:w="768" w:type="dxa"/>
            <w:tcBorders>
              <w:top w:val="nil"/>
              <w:left w:val="nil"/>
              <w:bottom w:val="nil"/>
              <w:right w:val="nil"/>
            </w:tcBorders>
            <w:shd w:val="clear" w:color="auto" w:fill="auto"/>
            <w:noWrap/>
            <w:vAlign w:val="bottom"/>
            <w:hideMark/>
          </w:tcPr>
          <w:p w14:paraId="58C44E2C" w14:textId="77777777" w:rsidR="00417C53" w:rsidRDefault="00417C53">
            <w:pPr>
              <w:jc w:val="right"/>
              <w:rPr>
                <w:color w:val="000000"/>
                <w:sz w:val="20"/>
                <w:szCs w:val="20"/>
              </w:rPr>
            </w:pPr>
            <w:r>
              <w:rPr>
                <w:color w:val="000000"/>
                <w:sz w:val="20"/>
                <w:szCs w:val="20"/>
              </w:rPr>
              <w:t>0.832</w:t>
            </w:r>
          </w:p>
        </w:tc>
        <w:tc>
          <w:tcPr>
            <w:tcW w:w="768" w:type="dxa"/>
            <w:tcBorders>
              <w:top w:val="nil"/>
              <w:left w:val="nil"/>
              <w:bottom w:val="nil"/>
              <w:right w:val="nil"/>
            </w:tcBorders>
            <w:shd w:val="clear" w:color="auto" w:fill="auto"/>
            <w:noWrap/>
            <w:vAlign w:val="bottom"/>
            <w:hideMark/>
          </w:tcPr>
          <w:p w14:paraId="7DF7C63F" w14:textId="77777777" w:rsidR="00417C53" w:rsidRDefault="00417C53">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257D5E0B" w14:textId="77777777" w:rsidR="00417C53" w:rsidRDefault="00417C53">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558D88E9" w14:textId="77777777" w:rsidR="00417C53" w:rsidRDefault="00417C53">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31CA4656" w14:textId="77777777" w:rsidR="00417C53" w:rsidRDefault="00417C53">
            <w:pPr>
              <w:jc w:val="right"/>
              <w:rPr>
                <w:color w:val="000000"/>
                <w:sz w:val="20"/>
                <w:szCs w:val="20"/>
              </w:rPr>
            </w:pPr>
            <w:r>
              <w:rPr>
                <w:color w:val="000000"/>
                <w:sz w:val="20"/>
                <w:szCs w:val="20"/>
              </w:rPr>
              <w:t>0.002</w:t>
            </w:r>
          </w:p>
        </w:tc>
      </w:tr>
      <w:tr w:rsidR="00417C53" w14:paraId="0063B560" w14:textId="77777777" w:rsidTr="00417C53">
        <w:trPr>
          <w:trHeight w:val="320"/>
        </w:trPr>
        <w:tc>
          <w:tcPr>
            <w:tcW w:w="1176" w:type="dxa"/>
            <w:tcBorders>
              <w:top w:val="nil"/>
              <w:left w:val="nil"/>
              <w:bottom w:val="nil"/>
              <w:right w:val="nil"/>
            </w:tcBorders>
            <w:shd w:val="clear" w:color="auto" w:fill="auto"/>
            <w:noWrap/>
            <w:vAlign w:val="bottom"/>
            <w:hideMark/>
          </w:tcPr>
          <w:p w14:paraId="69D1BA82"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2DED0FFA" w14:textId="77777777" w:rsidR="00417C53" w:rsidRDefault="00417C53">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7A8AC23C" w14:textId="77777777" w:rsidR="00417C53" w:rsidRDefault="00417C53">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384A5E86" w14:textId="77777777" w:rsidR="00417C53" w:rsidRDefault="00417C53">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181915B8"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56301EC" w14:textId="77777777" w:rsidR="00417C53" w:rsidRDefault="00417C53">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124D788E" w14:textId="77777777" w:rsidR="00417C53" w:rsidRDefault="00417C53">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41168D71"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93D0830" w14:textId="77777777" w:rsidR="00417C53" w:rsidRDefault="00417C53">
            <w:pPr>
              <w:jc w:val="right"/>
              <w:rPr>
                <w:b/>
                <w:bCs/>
                <w:color w:val="000000"/>
                <w:sz w:val="20"/>
                <w:szCs w:val="20"/>
              </w:rPr>
            </w:pPr>
            <w:r>
              <w:rPr>
                <w:b/>
                <w:bCs/>
                <w:color w:val="000000"/>
                <w:sz w:val="20"/>
                <w:szCs w:val="20"/>
              </w:rPr>
              <w:t>0.116</w:t>
            </w:r>
          </w:p>
        </w:tc>
        <w:tc>
          <w:tcPr>
            <w:tcW w:w="768" w:type="dxa"/>
            <w:tcBorders>
              <w:top w:val="nil"/>
              <w:left w:val="nil"/>
              <w:bottom w:val="nil"/>
              <w:right w:val="nil"/>
            </w:tcBorders>
            <w:shd w:val="clear" w:color="auto" w:fill="auto"/>
            <w:noWrap/>
            <w:vAlign w:val="bottom"/>
            <w:hideMark/>
          </w:tcPr>
          <w:p w14:paraId="556FCEA3" w14:textId="77777777" w:rsidR="00417C53" w:rsidRDefault="00417C53">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3D571BB5" w14:textId="77777777" w:rsidR="00417C53" w:rsidRDefault="00417C53">
            <w:pPr>
              <w:jc w:val="right"/>
              <w:rPr>
                <w:b/>
                <w:bCs/>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51CEB616" w14:textId="77777777" w:rsidR="00417C53" w:rsidRDefault="00417C53">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022C40D7" w14:textId="77777777" w:rsidR="00417C53" w:rsidRDefault="00417C53">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76C01939"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294847D" w14:textId="77777777" w:rsidR="00417C53" w:rsidRDefault="00417C5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56AB85A7" w14:textId="77777777" w:rsidR="00417C53" w:rsidRDefault="00417C53">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0D333422" w14:textId="77777777" w:rsidR="00417C53" w:rsidRDefault="00417C53">
            <w:pPr>
              <w:jc w:val="right"/>
              <w:rPr>
                <w:color w:val="000000"/>
                <w:sz w:val="20"/>
                <w:szCs w:val="20"/>
              </w:rPr>
            </w:pPr>
            <w:r>
              <w:rPr>
                <w:color w:val="000000"/>
                <w:sz w:val="20"/>
                <w:szCs w:val="20"/>
              </w:rPr>
              <w:t>0.000</w:t>
            </w:r>
          </w:p>
        </w:tc>
      </w:tr>
      <w:tr w:rsidR="00417C53" w14:paraId="5184F422" w14:textId="77777777" w:rsidTr="00417C53">
        <w:trPr>
          <w:trHeight w:val="320"/>
        </w:trPr>
        <w:tc>
          <w:tcPr>
            <w:tcW w:w="1176" w:type="dxa"/>
            <w:tcBorders>
              <w:top w:val="nil"/>
              <w:left w:val="nil"/>
              <w:bottom w:val="nil"/>
              <w:right w:val="nil"/>
            </w:tcBorders>
            <w:shd w:val="clear" w:color="auto" w:fill="auto"/>
            <w:noWrap/>
            <w:vAlign w:val="bottom"/>
            <w:hideMark/>
          </w:tcPr>
          <w:p w14:paraId="0C31E01F"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06FBA3C" w14:textId="77777777" w:rsidR="00417C53" w:rsidRDefault="00417C53">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9488820" w14:textId="77777777" w:rsidR="00417C53" w:rsidRDefault="00417C53">
            <w:pPr>
              <w:jc w:val="right"/>
              <w:rPr>
                <w:color w:val="000000"/>
                <w:sz w:val="20"/>
                <w:szCs w:val="20"/>
              </w:rPr>
            </w:pPr>
            <w:r>
              <w:rPr>
                <w:color w:val="000000"/>
                <w:sz w:val="20"/>
                <w:szCs w:val="20"/>
              </w:rPr>
              <w:t>0.026</w:t>
            </w:r>
          </w:p>
        </w:tc>
        <w:tc>
          <w:tcPr>
            <w:tcW w:w="768" w:type="dxa"/>
            <w:tcBorders>
              <w:top w:val="nil"/>
              <w:left w:val="nil"/>
              <w:bottom w:val="nil"/>
              <w:right w:val="nil"/>
            </w:tcBorders>
            <w:shd w:val="clear" w:color="auto" w:fill="auto"/>
            <w:noWrap/>
            <w:vAlign w:val="bottom"/>
            <w:hideMark/>
          </w:tcPr>
          <w:p w14:paraId="3E9AF364" w14:textId="77777777" w:rsidR="00417C53" w:rsidRDefault="00417C53">
            <w:pPr>
              <w:jc w:val="right"/>
              <w:rPr>
                <w:color w:val="000000"/>
                <w:sz w:val="20"/>
                <w:szCs w:val="20"/>
              </w:rPr>
            </w:pPr>
            <w:r>
              <w:rPr>
                <w:color w:val="000000"/>
                <w:sz w:val="20"/>
                <w:szCs w:val="20"/>
              </w:rPr>
              <w:t>0.656</w:t>
            </w:r>
          </w:p>
        </w:tc>
        <w:tc>
          <w:tcPr>
            <w:tcW w:w="768" w:type="dxa"/>
            <w:tcBorders>
              <w:top w:val="nil"/>
              <w:left w:val="nil"/>
              <w:bottom w:val="nil"/>
              <w:right w:val="nil"/>
            </w:tcBorders>
            <w:shd w:val="clear" w:color="auto" w:fill="auto"/>
            <w:noWrap/>
            <w:vAlign w:val="bottom"/>
            <w:hideMark/>
          </w:tcPr>
          <w:p w14:paraId="59780CE8"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D94085B" w14:textId="77777777" w:rsidR="00417C53" w:rsidRDefault="00417C53">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6311705C" w14:textId="77777777" w:rsidR="00417C53" w:rsidRDefault="00417C53">
            <w:pPr>
              <w:jc w:val="right"/>
              <w:rPr>
                <w:color w:val="000000"/>
                <w:sz w:val="20"/>
                <w:szCs w:val="20"/>
              </w:rPr>
            </w:pPr>
            <w:r>
              <w:rPr>
                <w:color w:val="000000"/>
                <w:sz w:val="20"/>
                <w:szCs w:val="20"/>
              </w:rPr>
              <w:t>0.955</w:t>
            </w:r>
          </w:p>
        </w:tc>
        <w:tc>
          <w:tcPr>
            <w:tcW w:w="768" w:type="dxa"/>
            <w:tcBorders>
              <w:top w:val="nil"/>
              <w:left w:val="nil"/>
              <w:bottom w:val="nil"/>
              <w:right w:val="nil"/>
            </w:tcBorders>
            <w:shd w:val="clear" w:color="auto" w:fill="auto"/>
            <w:noWrap/>
            <w:vAlign w:val="bottom"/>
            <w:hideMark/>
          </w:tcPr>
          <w:p w14:paraId="2F106971"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A9DCBC" w14:textId="77777777" w:rsidR="00417C53" w:rsidRDefault="00417C53">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4685D31E" w14:textId="77777777" w:rsidR="00417C53" w:rsidRDefault="00417C53">
            <w:pPr>
              <w:jc w:val="right"/>
              <w:rPr>
                <w:color w:val="000000"/>
                <w:sz w:val="20"/>
                <w:szCs w:val="20"/>
              </w:rPr>
            </w:pPr>
            <w:r>
              <w:rPr>
                <w:color w:val="000000"/>
                <w:sz w:val="20"/>
                <w:szCs w:val="20"/>
              </w:rPr>
              <w:t>0.778</w:t>
            </w:r>
          </w:p>
        </w:tc>
        <w:tc>
          <w:tcPr>
            <w:tcW w:w="768" w:type="dxa"/>
            <w:tcBorders>
              <w:top w:val="nil"/>
              <w:left w:val="nil"/>
              <w:bottom w:val="nil"/>
              <w:right w:val="nil"/>
            </w:tcBorders>
            <w:shd w:val="clear" w:color="auto" w:fill="auto"/>
            <w:noWrap/>
            <w:vAlign w:val="bottom"/>
            <w:hideMark/>
          </w:tcPr>
          <w:p w14:paraId="1700EFEE"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A01429F" w14:textId="77777777" w:rsidR="00417C53" w:rsidRDefault="00417C53">
            <w:pPr>
              <w:jc w:val="right"/>
              <w:rPr>
                <w:color w:val="000000"/>
                <w:sz w:val="20"/>
                <w:szCs w:val="20"/>
              </w:rPr>
            </w:pPr>
            <w:r>
              <w:rPr>
                <w:color w:val="000000"/>
                <w:sz w:val="20"/>
                <w:szCs w:val="20"/>
              </w:rPr>
              <w:t>0.014</w:t>
            </w:r>
          </w:p>
        </w:tc>
        <w:tc>
          <w:tcPr>
            <w:tcW w:w="768" w:type="dxa"/>
            <w:tcBorders>
              <w:top w:val="nil"/>
              <w:left w:val="nil"/>
              <w:bottom w:val="nil"/>
              <w:right w:val="nil"/>
            </w:tcBorders>
            <w:shd w:val="clear" w:color="auto" w:fill="auto"/>
            <w:noWrap/>
            <w:vAlign w:val="bottom"/>
            <w:hideMark/>
          </w:tcPr>
          <w:p w14:paraId="3D659A57" w14:textId="77777777" w:rsidR="00417C53" w:rsidRDefault="00417C53">
            <w:pPr>
              <w:jc w:val="right"/>
              <w:rPr>
                <w:color w:val="000000"/>
                <w:sz w:val="20"/>
                <w:szCs w:val="20"/>
              </w:rPr>
            </w:pPr>
            <w:r>
              <w:rPr>
                <w:color w:val="000000"/>
                <w:sz w:val="20"/>
                <w:szCs w:val="20"/>
              </w:rPr>
              <w:t>0.914</w:t>
            </w:r>
          </w:p>
        </w:tc>
        <w:tc>
          <w:tcPr>
            <w:tcW w:w="768" w:type="dxa"/>
            <w:tcBorders>
              <w:top w:val="nil"/>
              <w:left w:val="nil"/>
              <w:bottom w:val="nil"/>
              <w:right w:val="nil"/>
            </w:tcBorders>
            <w:shd w:val="clear" w:color="auto" w:fill="auto"/>
            <w:noWrap/>
            <w:vAlign w:val="bottom"/>
            <w:hideMark/>
          </w:tcPr>
          <w:p w14:paraId="7DDEC781"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698A023"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8445DB9" w14:textId="77777777" w:rsidR="00417C53" w:rsidRDefault="00417C53">
            <w:pPr>
              <w:jc w:val="right"/>
              <w:rPr>
                <w:color w:val="000000"/>
                <w:sz w:val="20"/>
                <w:szCs w:val="20"/>
              </w:rPr>
            </w:pPr>
            <w:r>
              <w:rPr>
                <w:color w:val="000000"/>
                <w:sz w:val="20"/>
                <w:szCs w:val="20"/>
              </w:rPr>
              <w:t>0.967</w:t>
            </w:r>
          </w:p>
        </w:tc>
        <w:tc>
          <w:tcPr>
            <w:tcW w:w="768" w:type="dxa"/>
            <w:tcBorders>
              <w:top w:val="nil"/>
              <w:left w:val="nil"/>
              <w:bottom w:val="nil"/>
              <w:right w:val="nil"/>
            </w:tcBorders>
            <w:shd w:val="clear" w:color="auto" w:fill="auto"/>
            <w:noWrap/>
            <w:vAlign w:val="bottom"/>
            <w:hideMark/>
          </w:tcPr>
          <w:p w14:paraId="41CC311D" w14:textId="77777777" w:rsidR="00417C53" w:rsidRDefault="00417C53">
            <w:pPr>
              <w:jc w:val="right"/>
              <w:rPr>
                <w:color w:val="000000"/>
                <w:sz w:val="20"/>
                <w:szCs w:val="20"/>
              </w:rPr>
            </w:pPr>
            <w:r>
              <w:rPr>
                <w:color w:val="000000"/>
                <w:sz w:val="20"/>
                <w:szCs w:val="20"/>
              </w:rPr>
              <w:t>0.000</w:t>
            </w:r>
          </w:p>
        </w:tc>
      </w:tr>
      <w:tr w:rsidR="00417C53" w14:paraId="508A4D65" w14:textId="77777777" w:rsidTr="00417C53">
        <w:trPr>
          <w:trHeight w:val="320"/>
        </w:trPr>
        <w:tc>
          <w:tcPr>
            <w:tcW w:w="1176" w:type="dxa"/>
            <w:tcBorders>
              <w:top w:val="nil"/>
              <w:left w:val="nil"/>
              <w:bottom w:val="single" w:sz="4" w:space="0" w:color="auto"/>
              <w:right w:val="nil"/>
            </w:tcBorders>
            <w:shd w:val="clear" w:color="auto" w:fill="auto"/>
            <w:noWrap/>
            <w:vAlign w:val="bottom"/>
            <w:hideMark/>
          </w:tcPr>
          <w:p w14:paraId="7496AAF1" w14:textId="77777777" w:rsidR="00417C53" w:rsidRDefault="00417C53">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5328E3A6" w14:textId="77777777" w:rsidR="00417C53" w:rsidRDefault="00417C53">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62B23A22" w14:textId="77777777" w:rsidR="00417C53" w:rsidRDefault="00417C53">
            <w:pPr>
              <w:jc w:val="right"/>
              <w:rPr>
                <w:color w:val="000000"/>
                <w:sz w:val="20"/>
                <w:szCs w:val="20"/>
              </w:rPr>
            </w:pPr>
            <w:r>
              <w:rPr>
                <w:color w:val="000000"/>
                <w:sz w:val="20"/>
                <w:szCs w:val="20"/>
              </w:rPr>
              <w:t>0.033</w:t>
            </w:r>
          </w:p>
        </w:tc>
        <w:tc>
          <w:tcPr>
            <w:tcW w:w="768" w:type="dxa"/>
            <w:tcBorders>
              <w:top w:val="nil"/>
              <w:left w:val="nil"/>
              <w:bottom w:val="single" w:sz="4" w:space="0" w:color="auto"/>
              <w:right w:val="nil"/>
            </w:tcBorders>
            <w:shd w:val="clear" w:color="auto" w:fill="auto"/>
            <w:noWrap/>
            <w:vAlign w:val="bottom"/>
            <w:hideMark/>
          </w:tcPr>
          <w:p w14:paraId="6A6D1A98" w14:textId="77777777" w:rsidR="00417C53" w:rsidRDefault="00417C53">
            <w:pPr>
              <w:jc w:val="right"/>
              <w:rPr>
                <w:color w:val="000000"/>
                <w:sz w:val="20"/>
                <w:szCs w:val="20"/>
              </w:rPr>
            </w:pPr>
            <w:r>
              <w:rPr>
                <w:color w:val="000000"/>
                <w:sz w:val="20"/>
                <w:szCs w:val="20"/>
              </w:rPr>
              <w:t>0.656</w:t>
            </w:r>
          </w:p>
        </w:tc>
        <w:tc>
          <w:tcPr>
            <w:tcW w:w="768" w:type="dxa"/>
            <w:tcBorders>
              <w:top w:val="nil"/>
              <w:left w:val="nil"/>
              <w:bottom w:val="single" w:sz="4" w:space="0" w:color="auto"/>
              <w:right w:val="nil"/>
            </w:tcBorders>
            <w:shd w:val="clear" w:color="auto" w:fill="auto"/>
            <w:noWrap/>
            <w:vAlign w:val="bottom"/>
            <w:hideMark/>
          </w:tcPr>
          <w:p w14:paraId="76A216CD"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351B1A8" w14:textId="77777777" w:rsidR="00417C53" w:rsidRDefault="00417C53">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30194530" w14:textId="77777777" w:rsidR="00417C53" w:rsidRDefault="00417C53">
            <w:pPr>
              <w:jc w:val="right"/>
              <w:rPr>
                <w:color w:val="000000"/>
                <w:sz w:val="20"/>
                <w:szCs w:val="20"/>
              </w:rPr>
            </w:pPr>
            <w:r>
              <w:rPr>
                <w:color w:val="000000"/>
                <w:sz w:val="20"/>
                <w:szCs w:val="20"/>
              </w:rPr>
              <w:t>0.955</w:t>
            </w:r>
          </w:p>
        </w:tc>
        <w:tc>
          <w:tcPr>
            <w:tcW w:w="768" w:type="dxa"/>
            <w:tcBorders>
              <w:top w:val="nil"/>
              <w:left w:val="nil"/>
              <w:bottom w:val="single" w:sz="4" w:space="0" w:color="auto"/>
              <w:right w:val="nil"/>
            </w:tcBorders>
            <w:shd w:val="clear" w:color="auto" w:fill="auto"/>
            <w:noWrap/>
            <w:vAlign w:val="bottom"/>
            <w:hideMark/>
          </w:tcPr>
          <w:p w14:paraId="547FFD08"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4D1AF765" w14:textId="77777777" w:rsidR="00417C53" w:rsidRDefault="00417C53">
            <w:pPr>
              <w:jc w:val="right"/>
              <w:rPr>
                <w:color w:val="000000"/>
                <w:sz w:val="20"/>
                <w:szCs w:val="20"/>
              </w:rPr>
            </w:pPr>
            <w:r>
              <w:rPr>
                <w:color w:val="000000"/>
                <w:sz w:val="20"/>
                <w:szCs w:val="20"/>
              </w:rPr>
              <w:t>-0.030</w:t>
            </w:r>
          </w:p>
        </w:tc>
        <w:tc>
          <w:tcPr>
            <w:tcW w:w="768" w:type="dxa"/>
            <w:tcBorders>
              <w:top w:val="nil"/>
              <w:left w:val="nil"/>
              <w:bottom w:val="single" w:sz="4" w:space="0" w:color="auto"/>
              <w:right w:val="nil"/>
            </w:tcBorders>
            <w:shd w:val="clear" w:color="auto" w:fill="auto"/>
            <w:noWrap/>
            <w:vAlign w:val="bottom"/>
            <w:hideMark/>
          </w:tcPr>
          <w:p w14:paraId="1E91AF37" w14:textId="77777777" w:rsidR="00417C53" w:rsidRDefault="00417C53">
            <w:pPr>
              <w:jc w:val="right"/>
              <w:rPr>
                <w:color w:val="000000"/>
                <w:sz w:val="20"/>
                <w:szCs w:val="20"/>
              </w:rPr>
            </w:pPr>
            <w:r>
              <w:rPr>
                <w:color w:val="000000"/>
                <w:sz w:val="20"/>
                <w:szCs w:val="20"/>
              </w:rPr>
              <w:t>0.778</w:t>
            </w:r>
          </w:p>
        </w:tc>
        <w:tc>
          <w:tcPr>
            <w:tcW w:w="768" w:type="dxa"/>
            <w:tcBorders>
              <w:top w:val="nil"/>
              <w:left w:val="nil"/>
              <w:bottom w:val="single" w:sz="4" w:space="0" w:color="auto"/>
              <w:right w:val="nil"/>
            </w:tcBorders>
            <w:shd w:val="clear" w:color="auto" w:fill="auto"/>
            <w:noWrap/>
            <w:vAlign w:val="bottom"/>
            <w:hideMark/>
          </w:tcPr>
          <w:p w14:paraId="55FB9C6F"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30AD24CB" w14:textId="77777777" w:rsidR="00417C53" w:rsidRDefault="00417C53">
            <w:pPr>
              <w:jc w:val="right"/>
              <w:rPr>
                <w:color w:val="000000"/>
                <w:sz w:val="20"/>
                <w:szCs w:val="20"/>
              </w:rPr>
            </w:pPr>
            <w:r>
              <w:rPr>
                <w:color w:val="000000"/>
                <w:sz w:val="20"/>
                <w:szCs w:val="20"/>
              </w:rPr>
              <w:t>0.015</w:t>
            </w:r>
          </w:p>
        </w:tc>
        <w:tc>
          <w:tcPr>
            <w:tcW w:w="768" w:type="dxa"/>
            <w:tcBorders>
              <w:top w:val="nil"/>
              <w:left w:val="nil"/>
              <w:bottom w:val="single" w:sz="4" w:space="0" w:color="auto"/>
              <w:right w:val="nil"/>
            </w:tcBorders>
            <w:shd w:val="clear" w:color="auto" w:fill="auto"/>
            <w:noWrap/>
            <w:vAlign w:val="bottom"/>
            <w:hideMark/>
          </w:tcPr>
          <w:p w14:paraId="7D694ABF" w14:textId="77777777" w:rsidR="00417C53" w:rsidRDefault="00417C53">
            <w:pPr>
              <w:jc w:val="right"/>
              <w:rPr>
                <w:color w:val="000000"/>
                <w:sz w:val="20"/>
                <w:szCs w:val="20"/>
              </w:rPr>
            </w:pPr>
            <w:r>
              <w:rPr>
                <w:color w:val="000000"/>
                <w:sz w:val="20"/>
                <w:szCs w:val="20"/>
              </w:rPr>
              <w:t>0.914</w:t>
            </w:r>
          </w:p>
        </w:tc>
        <w:tc>
          <w:tcPr>
            <w:tcW w:w="768" w:type="dxa"/>
            <w:tcBorders>
              <w:top w:val="nil"/>
              <w:left w:val="nil"/>
              <w:bottom w:val="single" w:sz="4" w:space="0" w:color="auto"/>
              <w:right w:val="nil"/>
            </w:tcBorders>
            <w:shd w:val="clear" w:color="auto" w:fill="auto"/>
            <w:noWrap/>
            <w:vAlign w:val="bottom"/>
            <w:hideMark/>
          </w:tcPr>
          <w:p w14:paraId="4B657AC5"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F23BB4D" w14:textId="77777777" w:rsidR="00417C53" w:rsidRDefault="00417C53">
            <w:pPr>
              <w:jc w:val="right"/>
              <w:rPr>
                <w:color w:val="000000"/>
                <w:sz w:val="20"/>
                <w:szCs w:val="20"/>
              </w:rPr>
            </w:pPr>
            <w:r>
              <w:rPr>
                <w:color w:val="000000"/>
                <w:sz w:val="20"/>
                <w:szCs w:val="20"/>
              </w:rPr>
              <w:t>0.038</w:t>
            </w:r>
          </w:p>
        </w:tc>
        <w:tc>
          <w:tcPr>
            <w:tcW w:w="768" w:type="dxa"/>
            <w:tcBorders>
              <w:top w:val="nil"/>
              <w:left w:val="nil"/>
              <w:bottom w:val="single" w:sz="4" w:space="0" w:color="auto"/>
              <w:right w:val="nil"/>
            </w:tcBorders>
            <w:shd w:val="clear" w:color="auto" w:fill="auto"/>
            <w:noWrap/>
            <w:vAlign w:val="bottom"/>
            <w:hideMark/>
          </w:tcPr>
          <w:p w14:paraId="68D52361" w14:textId="77777777" w:rsidR="00417C53" w:rsidRDefault="00417C53">
            <w:pPr>
              <w:jc w:val="right"/>
              <w:rPr>
                <w:color w:val="000000"/>
                <w:sz w:val="20"/>
                <w:szCs w:val="20"/>
              </w:rPr>
            </w:pPr>
            <w:r>
              <w:rPr>
                <w:color w:val="000000"/>
                <w:sz w:val="20"/>
                <w:szCs w:val="20"/>
              </w:rPr>
              <w:t>0.967</w:t>
            </w:r>
          </w:p>
        </w:tc>
        <w:tc>
          <w:tcPr>
            <w:tcW w:w="768" w:type="dxa"/>
            <w:tcBorders>
              <w:top w:val="nil"/>
              <w:left w:val="nil"/>
              <w:bottom w:val="single" w:sz="4" w:space="0" w:color="auto"/>
              <w:right w:val="nil"/>
            </w:tcBorders>
            <w:shd w:val="clear" w:color="auto" w:fill="auto"/>
            <w:noWrap/>
            <w:vAlign w:val="bottom"/>
            <w:hideMark/>
          </w:tcPr>
          <w:p w14:paraId="53BB3919" w14:textId="77777777" w:rsidR="00417C53" w:rsidRDefault="00417C53">
            <w:pPr>
              <w:jc w:val="right"/>
              <w:rPr>
                <w:color w:val="000000"/>
                <w:sz w:val="20"/>
                <w:szCs w:val="20"/>
              </w:rPr>
            </w:pPr>
            <w:r>
              <w:rPr>
                <w:color w:val="000000"/>
                <w:sz w:val="20"/>
                <w:szCs w:val="20"/>
              </w:rPr>
              <w:t>0.001</w:t>
            </w:r>
          </w:p>
        </w:tc>
      </w:tr>
      <w:tr w:rsidR="00417C53" w14:paraId="16F3FCFB" w14:textId="77777777" w:rsidTr="00417C53">
        <w:trPr>
          <w:trHeight w:val="320"/>
        </w:trPr>
        <w:tc>
          <w:tcPr>
            <w:tcW w:w="1176" w:type="dxa"/>
            <w:tcBorders>
              <w:top w:val="nil"/>
              <w:left w:val="nil"/>
              <w:bottom w:val="nil"/>
              <w:right w:val="nil"/>
            </w:tcBorders>
            <w:shd w:val="clear" w:color="auto" w:fill="auto"/>
            <w:noWrap/>
            <w:vAlign w:val="bottom"/>
            <w:hideMark/>
          </w:tcPr>
          <w:p w14:paraId="64C8094F" w14:textId="77777777" w:rsidR="00417C53" w:rsidRDefault="00417C53">
            <w:pPr>
              <w:rPr>
                <w:color w:val="000000"/>
                <w:sz w:val="20"/>
                <w:szCs w:val="20"/>
              </w:rPr>
            </w:pPr>
            <w:r>
              <w:rPr>
                <w:color w:val="000000"/>
                <w:sz w:val="20"/>
                <w:szCs w:val="20"/>
              </w:rPr>
              <w:t>Threshold 17%</w:t>
            </w:r>
          </w:p>
        </w:tc>
        <w:tc>
          <w:tcPr>
            <w:tcW w:w="1705" w:type="dxa"/>
            <w:tcBorders>
              <w:top w:val="nil"/>
              <w:left w:val="nil"/>
              <w:bottom w:val="nil"/>
              <w:right w:val="nil"/>
            </w:tcBorders>
            <w:shd w:val="clear" w:color="auto" w:fill="auto"/>
            <w:noWrap/>
            <w:vAlign w:val="center"/>
            <w:hideMark/>
          </w:tcPr>
          <w:p w14:paraId="691A11EF" w14:textId="77777777" w:rsidR="00417C53" w:rsidRDefault="00417C53">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282EEFCB" w14:textId="77777777" w:rsidR="00417C53" w:rsidRDefault="00417C53">
            <w:pPr>
              <w:jc w:val="right"/>
              <w:rPr>
                <w:color w:val="000000"/>
                <w:sz w:val="20"/>
                <w:szCs w:val="20"/>
              </w:rPr>
            </w:pPr>
            <w:r>
              <w:rPr>
                <w:color w:val="000000"/>
                <w:sz w:val="20"/>
                <w:szCs w:val="20"/>
              </w:rPr>
              <w:t>0.043</w:t>
            </w:r>
          </w:p>
        </w:tc>
        <w:tc>
          <w:tcPr>
            <w:tcW w:w="768" w:type="dxa"/>
            <w:tcBorders>
              <w:top w:val="nil"/>
              <w:left w:val="nil"/>
              <w:bottom w:val="nil"/>
              <w:right w:val="nil"/>
            </w:tcBorders>
            <w:shd w:val="clear" w:color="auto" w:fill="auto"/>
            <w:noWrap/>
            <w:vAlign w:val="bottom"/>
            <w:hideMark/>
          </w:tcPr>
          <w:p w14:paraId="2BB1FCCA" w14:textId="77777777" w:rsidR="00417C53" w:rsidRDefault="00417C53">
            <w:pPr>
              <w:jc w:val="right"/>
              <w:rPr>
                <w:color w:val="000000"/>
                <w:sz w:val="20"/>
                <w:szCs w:val="20"/>
              </w:rPr>
            </w:pPr>
            <w:r>
              <w:rPr>
                <w:color w:val="000000"/>
                <w:sz w:val="20"/>
                <w:szCs w:val="20"/>
              </w:rPr>
              <w:t>0.827</w:t>
            </w:r>
          </w:p>
        </w:tc>
        <w:tc>
          <w:tcPr>
            <w:tcW w:w="768" w:type="dxa"/>
            <w:tcBorders>
              <w:top w:val="nil"/>
              <w:left w:val="nil"/>
              <w:bottom w:val="nil"/>
              <w:right w:val="nil"/>
            </w:tcBorders>
            <w:shd w:val="clear" w:color="auto" w:fill="auto"/>
            <w:noWrap/>
            <w:vAlign w:val="bottom"/>
            <w:hideMark/>
          </w:tcPr>
          <w:p w14:paraId="663B9424"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6AF2337" w14:textId="77777777" w:rsidR="00417C53" w:rsidRDefault="00417C53">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7E6AB4D" w14:textId="77777777" w:rsidR="00417C53" w:rsidRDefault="00417C53">
            <w:pPr>
              <w:jc w:val="right"/>
              <w:rPr>
                <w:color w:val="000000"/>
                <w:sz w:val="20"/>
                <w:szCs w:val="20"/>
              </w:rPr>
            </w:pPr>
            <w:r>
              <w:rPr>
                <w:color w:val="000000"/>
                <w:sz w:val="20"/>
                <w:szCs w:val="20"/>
              </w:rPr>
              <w:t>0.658</w:t>
            </w:r>
          </w:p>
        </w:tc>
        <w:tc>
          <w:tcPr>
            <w:tcW w:w="768" w:type="dxa"/>
            <w:tcBorders>
              <w:top w:val="nil"/>
              <w:left w:val="nil"/>
              <w:bottom w:val="nil"/>
              <w:right w:val="nil"/>
            </w:tcBorders>
            <w:shd w:val="clear" w:color="auto" w:fill="auto"/>
            <w:noWrap/>
            <w:vAlign w:val="bottom"/>
            <w:hideMark/>
          </w:tcPr>
          <w:p w14:paraId="47469D43"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B0BE994" w14:textId="77777777" w:rsidR="00417C53" w:rsidRDefault="00417C53">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130CD598" w14:textId="77777777" w:rsidR="00417C53" w:rsidRDefault="00417C53">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6E6AE163"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5558383" w14:textId="77777777" w:rsidR="00417C53" w:rsidRDefault="00417C53">
            <w:pPr>
              <w:jc w:val="right"/>
              <w:rPr>
                <w:color w:val="000000"/>
                <w:sz w:val="20"/>
                <w:szCs w:val="20"/>
              </w:rPr>
            </w:pPr>
            <w:r>
              <w:rPr>
                <w:color w:val="000000"/>
                <w:sz w:val="20"/>
                <w:szCs w:val="20"/>
              </w:rPr>
              <w:t>-0.020</w:t>
            </w:r>
          </w:p>
        </w:tc>
        <w:tc>
          <w:tcPr>
            <w:tcW w:w="768" w:type="dxa"/>
            <w:tcBorders>
              <w:top w:val="nil"/>
              <w:left w:val="nil"/>
              <w:bottom w:val="nil"/>
              <w:right w:val="nil"/>
            </w:tcBorders>
            <w:shd w:val="clear" w:color="auto" w:fill="auto"/>
            <w:noWrap/>
            <w:vAlign w:val="bottom"/>
            <w:hideMark/>
          </w:tcPr>
          <w:p w14:paraId="0CA2E57A" w14:textId="77777777" w:rsidR="00417C53" w:rsidRDefault="00417C53">
            <w:pPr>
              <w:jc w:val="right"/>
              <w:rPr>
                <w:color w:val="000000"/>
                <w:sz w:val="20"/>
                <w:szCs w:val="20"/>
              </w:rPr>
            </w:pPr>
            <w:r>
              <w:rPr>
                <w:color w:val="000000"/>
                <w:sz w:val="20"/>
                <w:szCs w:val="20"/>
              </w:rPr>
              <w:t>0.795</w:t>
            </w:r>
          </w:p>
        </w:tc>
        <w:tc>
          <w:tcPr>
            <w:tcW w:w="768" w:type="dxa"/>
            <w:tcBorders>
              <w:top w:val="nil"/>
              <w:left w:val="nil"/>
              <w:bottom w:val="nil"/>
              <w:right w:val="nil"/>
            </w:tcBorders>
            <w:shd w:val="clear" w:color="auto" w:fill="auto"/>
            <w:noWrap/>
            <w:vAlign w:val="bottom"/>
            <w:hideMark/>
          </w:tcPr>
          <w:p w14:paraId="604A253A"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7830CD9" w14:textId="77777777" w:rsidR="00417C53" w:rsidRDefault="00417C53">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19908E17" w14:textId="77777777" w:rsidR="00417C53" w:rsidRDefault="00417C53">
            <w:pPr>
              <w:jc w:val="right"/>
              <w:rPr>
                <w:color w:val="000000"/>
                <w:sz w:val="20"/>
                <w:szCs w:val="20"/>
              </w:rPr>
            </w:pPr>
            <w:r>
              <w:rPr>
                <w:color w:val="000000"/>
                <w:sz w:val="20"/>
                <w:szCs w:val="20"/>
              </w:rPr>
              <w:t>0.244</w:t>
            </w:r>
          </w:p>
        </w:tc>
        <w:tc>
          <w:tcPr>
            <w:tcW w:w="768" w:type="dxa"/>
            <w:tcBorders>
              <w:top w:val="nil"/>
              <w:left w:val="nil"/>
              <w:bottom w:val="nil"/>
              <w:right w:val="nil"/>
            </w:tcBorders>
            <w:shd w:val="clear" w:color="auto" w:fill="auto"/>
            <w:noWrap/>
            <w:vAlign w:val="bottom"/>
            <w:hideMark/>
          </w:tcPr>
          <w:p w14:paraId="59A7D71B" w14:textId="77777777" w:rsidR="00417C53" w:rsidRDefault="00417C53">
            <w:pPr>
              <w:jc w:val="right"/>
              <w:rPr>
                <w:color w:val="000000"/>
                <w:sz w:val="20"/>
                <w:szCs w:val="20"/>
              </w:rPr>
            </w:pPr>
            <w:r>
              <w:rPr>
                <w:color w:val="000000"/>
                <w:sz w:val="20"/>
                <w:szCs w:val="20"/>
              </w:rPr>
              <w:t>0.006</w:t>
            </w:r>
          </w:p>
        </w:tc>
      </w:tr>
      <w:tr w:rsidR="00417C53" w14:paraId="4F953ECB" w14:textId="77777777" w:rsidTr="00417C53">
        <w:trPr>
          <w:trHeight w:val="320"/>
        </w:trPr>
        <w:tc>
          <w:tcPr>
            <w:tcW w:w="1176" w:type="dxa"/>
            <w:tcBorders>
              <w:top w:val="nil"/>
              <w:left w:val="nil"/>
              <w:bottom w:val="nil"/>
              <w:right w:val="nil"/>
            </w:tcBorders>
            <w:shd w:val="clear" w:color="auto" w:fill="auto"/>
            <w:noWrap/>
            <w:vAlign w:val="bottom"/>
            <w:hideMark/>
          </w:tcPr>
          <w:p w14:paraId="293CD851"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1E435892" w14:textId="77777777" w:rsidR="00417C53" w:rsidRDefault="00417C53">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8A994E9" w14:textId="77777777" w:rsidR="00417C53" w:rsidRDefault="00417C53">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CC26724" w14:textId="77777777" w:rsidR="00417C53" w:rsidRDefault="00417C53">
            <w:pPr>
              <w:jc w:val="right"/>
              <w:rPr>
                <w:color w:val="000000"/>
                <w:sz w:val="20"/>
                <w:szCs w:val="20"/>
              </w:rPr>
            </w:pPr>
            <w:r>
              <w:rPr>
                <w:color w:val="000000"/>
                <w:sz w:val="20"/>
                <w:szCs w:val="20"/>
              </w:rPr>
              <w:t>0.852</w:t>
            </w:r>
          </w:p>
        </w:tc>
        <w:tc>
          <w:tcPr>
            <w:tcW w:w="768" w:type="dxa"/>
            <w:tcBorders>
              <w:top w:val="nil"/>
              <w:left w:val="nil"/>
              <w:bottom w:val="nil"/>
              <w:right w:val="nil"/>
            </w:tcBorders>
            <w:shd w:val="clear" w:color="auto" w:fill="auto"/>
            <w:noWrap/>
            <w:vAlign w:val="bottom"/>
            <w:hideMark/>
          </w:tcPr>
          <w:p w14:paraId="08FBA846"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97330E4" w14:textId="77777777" w:rsidR="00417C53" w:rsidRDefault="00417C53">
            <w:pPr>
              <w:jc w:val="right"/>
              <w:rPr>
                <w:color w:val="000000"/>
                <w:sz w:val="20"/>
                <w:szCs w:val="20"/>
              </w:rPr>
            </w:pPr>
            <w:r>
              <w:rPr>
                <w:color w:val="000000"/>
                <w:sz w:val="20"/>
                <w:szCs w:val="20"/>
              </w:rPr>
              <w:t>0.035</w:t>
            </w:r>
          </w:p>
        </w:tc>
        <w:tc>
          <w:tcPr>
            <w:tcW w:w="768" w:type="dxa"/>
            <w:tcBorders>
              <w:top w:val="nil"/>
              <w:left w:val="nil"/>
              <w:bottom w:val="nil"/>
              <w:right w:val="nil"/>
            </w:tcBorders>
            <w:shd w:val="clear" w:color="auto" w:fill="auto"/>
            <w:noWrap/>
            <w:vAlign w:val="bottom"/>
            <w:hideMark/>
          </w:tcPr>
          <w:p w14:paraId="13275BCB" w14:textId="77777777" w:rsidR="00417C53" w:rsidRDefault="00417C53">
            <w:pPr>
              <w:jc w:val="right"/>
              <w:rPr>
                <w:color w:val="000000"/>
                <w:sz w:val="20"/>
                <w:szCs w:val="20"/>
              </w:rPr>
            </w:pPr>
            <w:r>
              <w:rPr>
                <w:color w:val="000000"/>
                <w:sz w:val="20"/>
                <w:szCs w:val="20"/>
              </w:rPr>
              <w:t>0.658</w:t>
            </w:r>
          </w:p>
        </w:tc>
        <w:tc>
          <w:tcPr>
            <w:tcW w:w="768" w:type="dxa"/>
            <w:tcBorders>
              <w:top w:val="nil"/>
              <w:left w:val="nil"/>
              <w:bottom w:val="nil"/>
              <w:right w:val="nil"/>
            </w:tcBorders>
            <w:shd w:val="clear" w:color="auto" w:fill="auto"/>
            <w:noWrap/>
            <w:vAlign w:val="bottom"/>
            <w:hideMark/>
          </w:tcPr>
          <w:p w14:paraId="67F940BA"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035126F" w14:textId="77777777" w:rsidR="00417C53" w:rsidRDefault="00417C53">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6F11179E" w14:textId="77777777" w:rsidR="00417C53" w:rsidRDefault="00417C53">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7DC40CCB"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52BC673" w14:textId="77777777" w:rsidR="00417C53" w:rsidRDefault="00417C53">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B69099C" w14:textId="77777777" w:rsidR="00417C53" w:rsidRDefault="00417C53">
            <w:pPr>
              <w:jc w:val="right"/>
              <w:rPr>
                <w:color w:val="000000"/>
                <w:sz w:val="20"/>
                <w:szCs w:val="20"/>
              </w:rPr>
            </w:pPr>
            <w:r>
              <w:rPr>
                <w:color w:val="000000"/>
                <w:sz w:val="20"/>
                <w:szCs w:val="20"/>
              </w:rPr>
              <w:t>0.958</w:t>
            </w:r>
          </w:p>
        </w:tc>
        <w:tc>
          <w:tcPr>
            <w:tcW w:w="768" w:type="dxa"/>
            <w:tcBorders>
              <w:top w:val="nil"/>
              <w:left w:val="nil"/>
              <w:bottom w:val="nil"/>
              <w:right w:val="nil"/>
            </w:tcBorders>
            <w:shd w:val="clear" w:color="auto" w:fill="auto"/>
            <w:noWrap/>
            <w:vAlign w:val="bottom"/>
            <w:hideMark/>
          </w:tcPr>
          <w:p w14:paraId="67A28BB9"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1D7212E" w14:textId="77777777" w:rsidR="00417C53" w:rsidRDefault="00417C53">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1520CDE9" w14:textId="77777777" w:rsidR="00417C53" w:rsidRDefault="00417C53">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26882236" w14:textId="77777777" w:rsidR="00417C53" w:rsidRDefault="00417C53">
            <w:pPr>
              <w:jc w:val="right"/>
              <w:rPr>
                <w:color w:val="000000"/>
                <w:sz w:val="20"/>
                <w:szCs w:val="20"/>
              </w:rPr>
            </w:pPr>
            <w:r>
              <w:rPr>
                <w:color w:val="000000"/>
                <w:sz w:val="20"/>
                <w:szCs w:val="20"/>
              </w:rPr>
              <w:t>0.000</w:t>
            </w:r>
          </w:p>
        </w:tc>
      </w:tr>
      <w:tr w:rsidR="00417C53" w14:paraId="4ACDBD66" w14:textId="77777777" w:rsidTr="00417C53">
        <w:trPr>
          <w:trHeight w:val="320"/>
        </w:trPr>
        <w:tc>
          <w:tcPr>
            <w:tcW w:w="1176" w:type="dxa"/>
            <w:tcBorders>
              <w:top w:val="nil"/>
              <w:left w:val="nil"/>
              <w:bottom w:val="nil"/>
              <w:right w:val="nil"/>
            </w:tcBorders>
            <w:shd w:val="clear" w:color="auto" w:fill="auto"/>
            <w:noWrap/>
            <w:vAlign w:val="bottom"/>
            <w:hideMark/>
          </w:tcPr>
          <w:p w14:paraId="2B96CF09"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3914537" w14:textId="77777777" w:rsidR="00417C53" w:rsidRDefault="00417C53">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07192A9F" w14:textId="77777777" w:rsidR="00417C53" w:rsidRDefault="00417C53">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6B84CEDB" w14:textId="77777777" w:rsidR="00417C53" w:rsidRDefault="00417C53">
            <w:pPr>
              <w:jc w:val="right"/>
              <w:rPr>
                <w:color w:val="000000"/>
                <w:sz w:val="20"/>
                <w:szCs w:val="20"/>
              </w:rPr>
            </w:pPr>
            <w:r>
              <w:rPr>
                <w:color w:val="000000"/>
                <w:sz w:val="20"/>
                <w:szCs w:val="20"/>
              </w:rPr>
              <w:t>0.827</w:t>
            </w:r>
          </w:p>
        </w:tc>
        <w:tc>
          <w:tcPr>
            <w:tcW w:w="768" w:type="dxa"/>
            <w:tcBorders>
              <w:top w:val="nil"/>
              <w:left w:val="nil"/>
              <w:bottom w:val="nil"/>
              <w:right w:val="nil"/>
            </w:tcBorders>
            <w:shd w:val="clear" w:color="auto" w:fill="auto"/>
            <w:noWrap/>
            <w:vAlign w:val="bottom"/>
            <w:hideMark/>
          </w:tcPr>
          <w:p w14:paraId="61009122" w14:textId="77777777" w:rsidR="00417C53" w:rsidRDefault="00417C5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6DCC9CA4" w14:textId="77777777" w:rsidR="00417C53" w:rsidRDefault="00417C53">
            <w:pPr>
              <w:jc w:val="right"/>
              <w:rPr>
                <w:color w:val="000000"/>
                <w:sz w:val="20"/>
                <w:szCs w:val="20"/>
              </w:rPr>
            </w:pPr>
            <w:r>
              <w:rPr>
                <w:color w:val="000000"/>
                <w:sz w:val="20"/>
                <w:szCs w:val="20"/>
              </w:rPr>
              <w:t>0.042</w:t>
            </w:r>
          </w:p>
        </w:tc>
        <w:tc>
          <w:tcPr>
            <w:tcW w:w="768" w:type="dxa"/>
            <w:tcBorders>
              <w:top w:val="nil"/>
              <w:left w:val="nil"/>
              <w:bottom w:val="nil"/>
              <w:right w:val="nil"/>
            </w:tcBorders>
            <w:shd w:val="clear" w:color="auto" w:fill="auto"/>
            <w:noWrap/>
            <w:vAlign w:val="bottom"/>
            <w:hideMark/>
          </w:tcPr>
          <w:p w14:paraId="5DA230DE" w14:textId="77777777" w:rsidR="00417C53" w:rsidRDefault="00417C53">
            <w:pPr>
              <w:jc w:val="right"/>
              <w:rPr>
                <w:color w:val="000000"/>
                <w:sz w:val="20"/>
                <w:szCs w:val="20"/>
              </w:rPr>
            </w:pPr>
            <w:r>
              <w:rPr>
                <w:color w:val="000000"/>
                <w:sz w:val="20"/>
                <w:szCs w:val="20"/>
              </w:rPr>
              <w:t>0.658</w:t>
            </w:r>
          </w:p>
        </w:tc>
        <w:tc>
          <w:tcPr>
            <w:tcW w:w="768" w:type="dxa"/>
            <w:tcBorders>
              <w:top w:val="nil"/>
              <w:left w:val="nil"/>
              <w:bottom w:val="nil"/>
              <w:right w:val="nil"/>
            </w:tcBorders>
            <w:shd w:val="clear" w:color="auto" w:fill="auto"/>
            <w:noWrap/>
            <w:vAlign w:val="bottom"/>
            <w:hideMark/>
          </w:tcPr>
          <w:p w14:paraId="3239A711"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8CAF8A9" w14:textId="77777777" w:rsidR="00417C53" w:rsidRDefault="00417C53">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DB26228" w14:textId="77777777" w:rsidR="00417C53" w:rsidRDefault="00417C53">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4F6C6E8C"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D9DEC8" w14:textId="77777777" w:rsidR="00417C53" w:rsidRDefault="00417C53">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7A446409" w14:textId="77777777" w:rsidR="00417C53" w:rsidRDefault="00417C53">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2CBEB51E"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B36FF84" w14:textId="77777777" w:rsidR="00417C53" w:rsidRDefault="00417C53">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77F52698" w14:textId="77777777" w:rsidR="00417C53" w:rsidRDefault="00417C53">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12D6858A" w14:textId="77777777" w:rsidR="00417C53" w:rsidRDefault="00417C53">
            <w:pPr>
              <w:jc w:val="right"/>
              <w:rPr>
                <w:color w:val="000000"/>
                <w:sz w:val="20"/>
                <w:szCs w:val="20"/>
              </w:rPr>
            </w:pPr>
            <w:r>
              <w:rPr>
                <w:color w:val="000000"/>
                <w:sz w:val="20"/>
                <w:szCs w:val="20"/>
              </w:rPr>
              <w:t>0.000</w:t>
            </w:r>
          </w:p>
        </w:tc>
      </w:tr>
      <w:tr w:rsidR="00417C53" w14:paraId="59ADBA9A" w14:textId="77777777" w:rsidTr="00417C53">
        <w:trPr>
          <w:trHeight w:val="320"/>
        </w:trPr>
        <w:tc>
          <w:tcPr>
            <w:tcW w:w="1176" w:type="dxa"/>
            <w:tcBorders>
              <w:top w:val="nil"/>
              <w:left w:val="nil"/>
              <w:bottom w:val="nil"/>
              <w:right w:val="nil"/>
            </w:tcBorders>
            <w:shd w:val="clear" w:color="auto" w:fill="auto"/>
            <w:noWrap/>
            <w:vAlign w:val="bottom"/>
            <w:hideMark/>
          </w:tcPr>
          <w:p w14:paraId="51E7C9B8"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432859D" w14:textId="77777777" w:rsidR="00417C53" w:rsidRDefault="00417C53">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613CB5D8" w14:textId="77777777" w:rsidR="00417C53" w:rsidRDefault="00417C53">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71190931" w14:textId="77777777" w:rsidR="00417C53" w:rsidRDefault="00417C53">
            <w:pPr>
              <w:jc w:val="right"/>
              <w:rPr>
                <w:color w:val="000000"/>
                <w:sz w:val="20"/>
                <w:szCs w:val="20"/>
              </w:rPr>
            </w:pPr>
            <w:r>
              <w:rPr>
                <w:color w:val="000000"/>
                <w:sz w:val="20"/>
                <w:szCs w:val="20"/>
              </w:rPr>
              <w:t>0.852</w:t>
            </w:r>
          </w:p>
        </w:tc>
        <w:tc>
          <w:tcPr>
            <w:tcW w:w="768" w:type="dxa"/>
            <w:tcBorders>
              <w:top w:val="nil"/>
              <w:left w:val="nil"/>
              <w:bottom w:val="nil"/>
              <w:right w:val="nil"/>
            </w:tcBorders>
            <w:shd w:val="clear" w:color="auto" w:fill="auto"/>
            <w:noWrap/>
            <w:vAlign w:val="bottom"/>
            <w:hideMark/>
          </w:tcPr>
          <w:p w14:paraId="688281F4"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C04FDE" w14:textId="77777777" w:rsidR="00417C53" w:rsidRDefault="00417C53">
            <w:pPr>
              <w:jc w:val="right"/>
              <w:rPr>
                <w:color w:val="000000"/>
                <w:sz w:val="20"/>
                <w:szCs w:val="20"/>
              </w:rPr>
            </w:pPr>
            <w:r>
              <w:rPr>
                <w:color w:val="000000"/>
                <w:sz w:val="20"/>
                <w:szCs w:val="20"/>
              </w:rPr>
              <w:t>0.065</w:t>
            </w:r>
          </w:p>
        </w:tc>
        <w:tc>
          <w:tcPr>
            <w:tcW w:w="768" w:type="dxa"/>
            <w:tcBorders>
              <w:top w:val="nil"/>
              <w:left w:val="nil"/>
              <w:bottom w:val="nil"/>
              <w:right w:val="nil"/>
            </w:tcBorders>
            <w:shd w:val="clear" w:color="auto" w:fill="auto"/>
            <w:noWrap/>
            <w:vAlign w:val="bottom"/>
            <w:hideMark/>
          </w:tcPr>
          <w:p w14:paraId="79C4FCDE" w14:textId="77777777" w:rsidR="00417C53" w:rsidRDefault="00417C53">
            <w:pPr>
              <w:jc w:val="right"/>
              <w:rPr>
                <w:color w:val="000000"/>
                <w:sz w:val="20"/>
                <w:szCs w:val="20"/>
              </w:rPr>
            </w:pPr>
            <w:r>
              <w:rPr>
                <w:color w:val="000000"/>
                <w:sz w:val="20"/>
                <w:szCs w:val="20"/>
              </w:rPr>
              <w:t>0.658</w:t>
            </w:r>
          </w:p>
        </w:tc>
        <w:tc>
          <w:tcPr>
            <w:tcW w:w="768" w:type="dxa"/>
            <w:tcBorders>
              <w:top w:val="nil"/>
              <w:left w:val="nil"/>
              <w:bottom w:val="nil"/>
              <w:right w:val="nil"/>
            </w:tcBorders>
            <w:shd w:val="clear" w:color="auto" w:fill="auto"/>
            <w:noWrap/>
            <w:vAlign w:val="bottom"/>
            <w:hideMark/>
          </w:tcPr>
          <w:p w14:paraId="1525CF5B" w14:textId="77777777" w:rsidR="00417C53" w:rsidRDefault="00417C5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66908F87" w14:textId="77777777" w:rsidR="00417C53" w:rsidRDefault="00417C53">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52DF1418" w14:textId="77777777" w:rsidR="00417C53" w:rsidRDefault="00417C53">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5312C5B1"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370380" w14:textId="77777777" w:rsidR="00417C53" w:rsidRDefault="00417C53">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638E0410" w14:textId="77777777" w:rsidR="00417C53" w:rsidRDefault="00417C53">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5A3ECD5A" w14:textId="77777777" w:rsidR="00417C53" w:rsidRDefault="00417C5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3658D2FB" w14:textId="77777777" w:rsidR="00417C53" w:rsidRDefault="00417C53">
            <w:pPr>
              <w:jc w:val="right"/>
              <w:rPr>
                <w:color w:val="000000"/>
                <w:sz w:val="20"/>
                <w:szCs w:val="20"/>
              </w:rPr>
            </w:pPr>
            <w:r>
              <w:rPr>
                <w:color w:val="000000"/>
                <w:sz w:val="20"/>
                <w:szCs w:val="20"/>
              </w:rPr>
              <w:t>-0.149</w:t>
            </w:r>
          </w:p>
        </w:tc>
        <w:tc>
          <w:tcPr>
            <w:tcW w:w="768" w:type="dxa"/>
            <w:tcBorders>
              <w:top w:val="nil"/>
              <w:left w:val="nil"/>
              <w:bottom w:val="nil"/>
              <w:right w:val="nil"/>
            </w:tcBorders>
            <w:shd w:val="clear" w:color="auto" w:fill="auto"/>
            <w:noWrap/>
            <w:vAlign w:val="bottom"/>
            <w:hideMark/>
          </w:tcPr>
          <w:p w14:paraId="08A2C67F" w14:textId="77777777" w:rsidR="00417C53" w:rsidRDefault="00417C53">
            <w:pPr>
              <w:jc w:val="right"/>
              <w:rPr>
                <w:color w:val="000000"/>
                <w:sz w:val="20"/>
                <w:szCs w:val="20"/>
              </w:rPr>
            </w:pPr>
            <w:r>
              <w:rPr>
                <w:color w:val="000000"/>
                <w:sz w:val="20"/>
                <w:szCs w:val="20"/>
              </w:rPr>
              <w:t>0.064</w:t>
            </w:r>
          </w:p>
        </w:tc>
        <w:tc>
          <w:tcPr>
            <w:tcW w:w="768" w:type="dxa"/>
            <w:tcBorders>
              <w:top w:val="nil"/>
              <w:left w:val="nil"/>
              <w:bottom w:val="nil"/>
              <w:right w:val="nil"/>
            </w:tcBorders>
            <w:shd w:val="clear" w:color="auto" w:fill="auto"/>
            <w:noWrap/>
            <w:vAlign w:val="bottom"/>
            <w:hideMark/>
          </w:tcPr>
          <w:p w14:paraId="67A5AB69" w14:textId="77777777" w:rsidR="00417C53" w:rsidRDefault="00417C53">
            <w:pPr>
              <w:jc w:val="right"/>
              <w:rPr>
                <w:color w:val="000000"/>
                <w:sz w:val="20"/>
                <w:szCs w:val="20"/>
              </w:rPr>
            </w:pPr>
            <w:r>
              <w:rPr>
                <w:color w:val="000000"/>
                <w:sz w:val="20"/>
                <w:szCs w:val="20"/>
              </w:rPr>
              <w:t>0.022</w:t>
            </w:r>
          </w:p>
        </w:tc>
      </w:tr>
      <w:tr w:rsidR="00417C53" w14:paraId="4E2E1BAF" w14:textId="77777777" w:rsidTr="00417C53">
        <w:trPr>
          <w:trHeight w:val="320"/>
        </w:trPr>
        <w:tc>
          <w:tcPr>
            <w:tcW w:w="1176" w:type="dxa"/>
            <w:tcBorders>
              <w:top w:val="nil"/>
              <w:left w:val="nil"/>
              <w:bottom w:val="nil"/>
              <w:right w:val="nil"/>
            </w:tcBorders>
            <w:shd w:val="clear" w:color="auto" w:fill="auto"/>
            <w:noWrap/>
            <w:vAlign w:val="bottom"/>
            <w:hideMark/>
          </w:tcPr>
          <w:p w14:paraId="78DC8F84"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07AB889" w14:textId="77777777" w:rsidR="00417C53" w:rsidRDefault="00417C53">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3F0623BB" w14:textId="77777777" w:rsidR="00417C53" w:rsidRDefault="00417C53">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69958D1B" w14:textId="77777777" w:rsidR="00417C53" w:rsidRDefault="00417C53">
            <w:pPr>
              <w:jc w:val="right"/>
              <w:rPr>
                <w:color w:val="000000"/>
                <w:sz w:val="20"/>
                <w:szCs w:val="20"/>
              </w:rPr>
            </w:pPr>
            <w:r>
              <w:rPr>
                <w:color w:val="000000"/>
                <w:sz w:val="20"/>
                <w:szCs w:val="20"/>
              </w:rPr>
              <w:t>0.852</w:t>
            </w:r>
          </w:p>
        </w:tc>
        <w:tc>
          <w:tcPr>
            <w:tcW w:w="768" w:type="dxa"/>
            <w:tcBorders>
              <w:top w:val="nil"/>
              <w:left w:val="nil"/>
              <w:bottom w:val="nil"/>
              <w:right w:val="nil"/>
            </w:tcBorders>
            <w:shd w:val="clear" w:color="auto" w:fill="auto"/>
            <w:noWrap/>
            <w:vAlign w:val="bottom"/>
            <w:hideMark/>
          </w:tcPr>
          <w:p w14:paraId="29532C49"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6D6C070" w14:textId="77777777" w:rsidR="00417C53" w:rsidRDefault="00417C53">
            <w:pPr>
              <w:jc w:val="right"/>
              <w:rPr>
                <w:color w:val="000000"/>
                <w:sz w:val="20"/>
                <w:szCs w:val="20"/>
              </w:rPr>
            </w:pPr>
            <w:r>
              <w:rPr>
                <w:color w:val="000000"/>
                <w:sz w:val="20"/>
                <w:szCs w:val="20"/>
              </w:rPr>
              <w:t>0.029</w:t>
            </w:r>
          </w:p>
        </w:tc>
        <w:tc>
          <w:tcPr>
            <w:tcW w:w="768" w:type="dxa"/>
            <w:tcBorders>
              <w:top w:val="nil"/>
              <w:left w:val="nil"/>
              <w:bottom w:val="nil"/>
              <w:right w:val="nil"/>
            </w:tcBorders>
            <w:shd w:val="clear" w:color="auto" w:fill="auto"/>
            <w:noWrap/>
            <w:vAlign w:val="bottom"/>
            <w:hideMark/>
          </w:tcPr>
          <w:p w14:paraId="27A17350" w14:textId="77777777" w:rsidR="00417C53" w:rsidRDefault="00417C53">
            <w:pPr>
              <w:jc w:val="right"/>
              <w:rPr>
                <w:color w:val="000000"/>
                <w:sz w:val="20"/>
                <w:szCs w:val="20"/>
              </w:rPr>
            </w:pPr>
            <w:r>
              <w:rPr>
                <w:color w:val="000000"/>
                <w:sz w:val="20"/>
                <w:szCs w:val="20"/>
              </w:rPr>
              <w:t>0.658</w:t>
            </w:r>
          </w:p>
        </w:tc>
        <w:tc>
          <w:tcPr>
            <w:tcW w:w="768" w:type="dxa"/>
            <w:tcBorders>
              <w:top w:val="nil"/>
              <w:left w:val="nil"/>
              <w:bottom w:val="nil"/>
              <w:right w:val="nil"/>
            </w:tcBorders>
            <w:shd w:val="clear" w:color="auto" w:fill="auto"/>
            <w:noWrap/>
            <w:vAlign w:val="bottom"/>
            <w:hideMark/>
          </w:tcPr>
          <w:p w14:paraId="77D189D1"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CA11B40"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B9F37B3" w14:textId="77777777" w:rsidR="00417C53" w:rsidRDefault="00417C53">
            <w:pPr>
              <w:jc w:val="right"/>
              <w:rPr>
                <w:color w:val="000000"/>
                <w:sz w:val="20"/>
                <w:szCs w:val="20"/>
              </w:rPr>
            </w:pPr>
            <w:r>
              <w:rPr>
                <w:color w:val="000000"/>
                <w:sz w:val="20"/>
                <w:szCs w:val="20"/>
              </w:rPr>
              <w:t>0.927</w:t>
            </w:r>
          </w:p>
        </w:tc>
        <w:tc>
          <w:tcPr>
            <w:tcW w:w="768" w:type="dxa"/>
            <w:tcBorders>
              <w:top w:val="nil"/>
              <w:left w:val="nil"/>
              <w:bottom w:val="nil"/>
              <w:right w:val="nil"/>
            </w:tcBorders>
            <w:shd w:val="clear" w:color="auto" w:fill="auto"/>
            <w:noWrap/>
            <w:vAlign w:val="bottom"/>
            <w:hideMark/>
          </w:tcPr>
          <w:p w14:paraId="76289282"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D89862E" w14:textId="77777777" w:rsidR="00417C53" w:rsidRDefault="00417C53">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6FED5D69" w14:textId="77777777" w:rsidR="00417C53" w:rsidRDefault="00417C53">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00258906"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0652AB" w14:textId="77777777" w:rsidR="00417C53" w:rsidRDefault="00417C53">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7C9E3965" w14:textId="77777777" w:rsidR="00417C53" w:rsidRDefault="00417C53">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5D0CC6A9" w14:textId="77777777" w:rsidR="00417C53" w:rsidRDefault="00417C53">
            <w:pPr>
              <w:jc w:val="right"/>
              <w:rPr>
                <w:color w:val="000000"/>
                <w:sz w:val="20"/>
                <w:szCs w:val="20"/>
              </w:rPr>
            </w:pPr>
            <w:r>
              <w:rPr>
                <w:color w:val="000000"/>
                <w:sz w:val="20"/>
                <w:szCs w:val="20"/>
              </w:rPr>
              <w:t>0.001</w:t>
            </w:r>
          </w:p>
        </w:tc>
      </w:tr>
      <w:tr w:rsidR="00417C53" w14:paraId="6FD7BEF4" w14:textId="77777777" w:rsidTr="00417C53">
        <w:trPr>
          <w:trHeight w:val="320"/>
        </w:trPr>
        <w:tc>
          <w:tcPr>
            <w:tcW w:w="1176" w:type="dxa"/>
            <w:tcBorders>
              <w:top w:val="nil"/>
              <w:left w:val="nil"/>
              <w:bottom w:val="nil"/>
              <w:right w:val="nil"/>
            </w:tcBorders>
            <w:shd w:val="clear" w:color="auto" w:fill="auto"/>
            <w:noWrap/>
            <w:vAlign w:val="bottom"/>
            <w:hideMark/>
          </w:tcPr>
          <w:p w14:paraId="59E8DDB1"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58DB654" w14:textId="77777777" w:rsidR="00417C53" w:rsidRDefault="00417C53">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389884FD" w14:textId="77777777" w:rsidR="00417C53" w:rsidRDefault="00417C53">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4E32BAE5" w14:textId="77777777" w:rsidR="00417C53" w:rsidRDefault="00417C53">
            <w:pPr>
              <w:jc w:val="right"/>
              <w:rPr>
                <w:color w:val="000000"/>
                <w:sz w:val="20"/>
                <w:szCs w:val="20"/>
              </w:rPr>
            </w:pPr>
            <w:r>
              <w:rPr>
                <w:color w:val="000000"/>
                <w:sz w:val="20"/>
                <w:szCs w:val="20"/>
              </w:rPr>
              <w:t>0.852</w:t>
            </w:r>
          </w:p>
        </w:tc>
        <w:tc>
          <w:tcPr>
            <w:tcW w:w="768" w:type="dxa"/>
            <w:tcBorders>
              <w:top w:val="nil"/>
              <w:left w:val="nil"/>
              <w:bottom w:val="nil"/>
              <w:right w:val="nil"/>
            </w:tcBorders>
            <w:shd w:val="clear" w:color="auto" w:fill="auto"/>
            <w:noWrap/>
            <w:vAlign w:val="bottom"/>
            <w:hideMark/>
          </w:tcPr>
          <w:p w14:paraId="0B38CCFE"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D1CF209" w14:textId="77777777" w:rsidR="00417C53" w:rsidRDefault="00417C53">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7A7DFADD" w14:textId="77777777" w:rsidR="00417C53" w:rsidRDefault="00417C53">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4E0DE7F2"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880BE7" w14:textId="77777777" w:rsidR="00417C53" w:rsidRDefault="00417C53">
            <w:pPr>
              <w:jc w:val="right"/>
              <w:rPr>
                <w:b/>
                <w:bCs/>
                <w:color w:val="000000"/>
                <w:sz w:val="20"/>
                <w:szCs w:val="20"/>
              </w:rPr>
            </w:pPr>
            <w:r>
              <w:rPr>
                <w:b/>
                <w:bCs/>
                <w:color w:val="000000"/>
                <w:sz w:val="20"/>
                <w:szCs w:val="20"/>
              </w:rPr>
              <w:t>0.124</w:t>
            </w:r>
          </w:p>
        </w:tc>
        <w:tc>
          <w:tcPr>
            <w:tcW w:w="768" w:type="dxa"/>
            <w:tcBorders>
              <w:top w:val="nil"/>
              <w:left w:val="nil"/>
              <w:bottom w:val="nil"/>
              <w:right w:val="nil"/>
            </w:tcBorders>
            <w:shd w:val="clear" w:color="auto" w:fill="auto"/>
            <w:noWrap/>
            <w:vAlign w:val="bottom"/>
            <w:hideMark/>
          </w:tcPr>
          <w:p w14:paraId="2C3D605B" w14:textId="77777777" w:rsidR="00417C53" w:rsidRDefault="00417C53">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9A648D1" w14:textId="77777777" w:rsidR="00417C53" w:rsidRDefault="00417C53">
            <w:pPr>
              <w:jc w:val="right"/>
              <w:rPr>
                <w:b/>
                <w:bCs/>
                <w:color w:val="000000"/>
                <w:sz w:val="20"/>
                <w:szCs w:val="20"/>
              </w:rPr>
            </w:pPr>
            <w:r>
              <w:rPr>
                <w:b/>
                <w:bCs/>
                <w:color w:val="000000"/>
                <w:sz w:val="20"/>
                <w:szCs w:val="20"/>
              </w:rPr>
              <w:t>0.015</w:t>
            </w:r>
          </w:p>
        </w:tc>
        <w:tc>
          <w:tcPr>
            <w:tcW w:w="768" w:type="dxa"/>
            <w:tcBorders>
              <w:top w:val="nil"/>
              <w:left w:val="nil"/>
              <w:bottom w:val="nil"/>
              <w:right w:val="nil"/>
            </w:tcBorders>
            <w:shd w:val="clear" w:color="auto" w:fill="auto"/>
            <w:noWrap/>
            <w:vAlign w:val="bottom"/>
            <w:hideMark/>
          </w:tcPr>
          <w:p w14:paraId="0B4457E4" w14:textId="77777777" w:rsidR="00417C53" w:rsidRDefault="00417C53">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57EC70C3" w14:textId="77777777" w:rsidR="00417C53" w:rsidRDefault="00417C53">
            <w:pPr>
              <w:jc w:val="right"/>
              <w:rPr>
                <w:color w:val="000000"/>
                <w:sz w:val="20"/>
                <w:szCs w:val="20"/>
              </w:rPr>
            </w:pPr>
            <w:r>
              <w:rPr>
                <w:color w:val="000000"/>
                <w:sz w:val="20"/>
                <w:szCs w:val="20"/>
              </w:rPr>
              <w:t>0.760</w:t>
            </w:r>
          </w:p>
        </w:tc>
        <w:tc>
          <w:tcPr>
            <w:tcW w:w="768" w:type="dxa"/>
            <w:tcBorders>
              <w:top w:val="nil"/>
              <w:left w:val="nil"/>
              <w:bottom w:val="nil"/>
              <w:right w:val="nil"/>
            </w:tcBorders>
            <w:shd w:val="clear" w:color="auto" w:fill="auto"/>
            <w:noWrap/>
            <w:vAlign w:val="bottom"/>
            <w:hideMark/>
          </w:tcPr>
          <w:p w14:paraId="24AEC5C1"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FE53994" w14:textId="77777777" w:rsidR="00417C53" w:rsidRDefault="00417C53">
            <w:pPr>
              <w:jc w:val="right"/>
              <w:rPr>
                <w:color w:val="000000"/>
                <w:sz w:val="20"/>
                <w:szCs w:val="20"/>
              </w:rPr>
            </w:pPr>
            <w:r>
              <w:rPr>
                <w:color w:val="000000"/>
                <w:sz w:val="20"/>
                <w:szCs w:val="20"/>
              </w:rPr>
              <w:t>-0.024</w:t>
            </w:r>
          </w:p>
        </w:tc>
        <w:tc>
          <w:tcPr>
            <w:tcW w:w="768" w:type="dxa"/>
            <w:tcBorders>
              <w:top w:val="nil"/>
              <w:left w:val="nil"/>
              <w:bottom w:val="nil"/>
              <w:right w:val="nil"/>
            </w:tcBorders>
            <w:shd w:val="clear" w:color="auto" w:fill="auto"/>
            <w:noWrap/>
            <w:vAlign w:val="bottom"/>
            <w:hideMark/>
          </w:tcPr>
          <w:p w14:paraId="77DED301" w14:textId="77777777" w:rsidR="00417C53" w:rsidRDefault="00417C53">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3A51D150" w14:textId="77777777" w:rsidR="00417C53" w:rsidRDefault="00417C53">
            <w:pPr>
              <w:jc w:val="right"/>
              <w:rPr>
                <w:color w:val="000000"/>
                <w:sz w:val="20"/>
                <w:szCs w:val="20"/>
              </w:rPr>
            </w:pPr>
            <w:r>
              <w:rPr>
                <w:color w:val="000000"/>
                <w:sz w:val="20"/>
                <w:szCs w:val="20"/>
              </w:rPr>
              <w:t>0.001</w:t>
            </w:r>
          </w:p>
        </w:tc>
      </w:tr>
      <w:tr w:rsidR="00417C53" w14:paraId="1AFAD969" w14:textId="77777777" w:rsidTr="00417C53">
        <w:trPr>
          <w:trHeight w:val="320"/>
        </w:trPr>
        <w:tc>
          <w:tcPr>
            <w:tcW w:w="1176" w:type="dxa"/>
            <w:tcBorders>
              <w:top w:val="nil"/>
              <w:left w:val="nil"/>
              <w:bottom w:val="nil"/>
              <w:right w:val="nil"/>
            </w:tcBorders>
            <w:shd w:val="clear" w:color="auto" w:fill="auto"/>
            <w:noWrap/>
            <w:vAlign w:val="bottom"/>
            <w:hideMark/>
          </w:tcPr>
          <w:p w14:paraId="42C58F20"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0109B76" w14:textId="77777777" w:rsidR="00417C53" w:rsidRDefault="00417C53">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0828D9BC" w14:textId="77777777" w:rsidR="00417C53" w:rsidRDefault="00417C53">
            <w:pPr>
              <w:jc w:val="right"/>
              <w:rPr>
                <w:color w:val="000000"/>
                <w:sz w:val="20"/>
                <w:szCs w:val="20"/>
              </w:rPr>
            </w:pPr>
            <w:r>
              <w:rPr>
                <w:color w:val="000000"/>
                <w:sz w:val="20"/>
                <w:szCs w:val="20"/>
              </w:rPr>
              <w:t>-0.019</w:t>
            </w:r>
          </w:p>
        </w:tc>
        <w:tc>
          <w:tcPr>
            <w:tcW w:w="768" w:type="dxa"/>
            <w:tcBorders>
              <w:top w:val="nil"/>
              <w:left w:val="nil"/>
              <w:bottom w:val="nil"/>
              <w:right w:val="nil"/>
            </w:tcBorders>
            <w:shd w:val="clear" w:color="auto" w:fill="auto"/>
            <w:noWrap/>
            <w:vAlign w:val="bottom"/>
            <w:hideMark/>
          </w:tcPr>
          <w:p w14:paraId="2235A8F0" w14:textId="77777777" w:rsidR="00417C53" w:rsidRDefault="00417C53">
            <w:pPr>
              <w:jc w:val="right"/>
              <w:rPr>
                <w:color w:val="000000"/>
                <w:sz w:val="20"/>
                <w:szCs w:val="20"/>
              </w:rPr>
            </w:pPr>
            <w:r>
              <w:rPr>
                <w:color w:val="000000"/>
                <w:sz w:val="20"/>
                <w:szCs w:val="20"/>
              </w:rPr>
              <w:t>0.852</w:t>
            </w:r>
          </w:p>
        </w:tc>
        <w:tc>
          <w:tcPr>
            <w:tcW w:w="768" w:type="dxa"/>
            <w:tcBorders>
              <w:top w:val="nil"/>
              <w:left w:val="nil"/>
              <w:bottom w:val="nil"/>
              <w:right w:val="nil"/>
            </w:tcBorders>
            <w:shd w:val="clear" w:color="auto" w:fill="auto"/>
            <w:noWrap/>
            <w:vAlign w:val="bottom"/>
            <w:hideMark/>
          </w:tcPr>
          <w:p w14:paraId="7F9EB608"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6BA4F9D" w14:textId="77777777" w:rsidR="00417C53" w:rsidRDefault="00417C53">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348CF382" w14:textId="77777777" w:rsidR="00417C53" w:rsidRDefault="00417C53">
            <w:pPr>
              <w:jc w:val="right"/>
              <w:rPr>
                <w:color w:val="000000"/>
                <w:sz w:val="20"/>
                <w:szCs w:val="20"/>
              </w:rPr>
            </w:pPr>
            <w:r>
              <w:rPr>
                <w:color w:val="000000"/>
                <w:sz w:val="20"/>
                <w:szCs w:val="20"/>
              </w:rPr>
              <w:t>0.846</w:t>
            </w:r>
          </w:p>
        </w:tc>
        <w:tc>
          <w:tcPr>
            <w:tcW w:w="768" w:type="dxa"/>
            <w:tcBorders>
              <w:top w:val="nil"/>
              <w:left w:val="nil"/>
              <w:bottom w:val="nil"/>
              <w:right w:val="nil"/>
            </w:tcBorders>
            <w:shd w:val="clear" w:color="auto" w:fill="auto"/>
            <w:noWrap/>
            <w:vAlign w:val="bottom"/>
            <w:hideMark/>
          </w:tcPr>
          <w:p w14:paraId="1E6681EB"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D92D6FB" w14:textId="77777777" w:rsidR="00417C53" w:rsidRDefault="00417C53">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654E4761" w14:textId="77777777" w:rsidR="00417C53" w:rsidRDefault="00417C53">
            <w:pPr>
              <w:jc w:val="right"/>
              <w:rPr>
                <w:color w:val="000000"/>
                <w:sz w:val="20"/>
                <w:szCs w:val="20"/>
              </w:rPr>
            </w:pPr>
            <w:r>
              <w:rPr>
                <w:color w:val="000000"/>
                <w:sz w:val="20"/>
                <w:szCs w:val="20"/>
              </w:rPr>
              <w:t>0.060</w:t>
            </w:r>
          </w:p>
        </w:tc>
        <w:tc>
          <w:tcPr>
            <w:tcW w:w="768" w:type="dxa"/>
            <w:tcBorders>
              <w:top w:val="nil"/>
              <w:left w:val="nil"/>
              <w:bottom w:val="nil"/>
              <w:right w:val="nil"/>
            </w:tcBorders>
            <w:shd w:val="clear" w:color="auto" w:fill="auto"/>
            <w:noWrap/>
            <w:vAlign w:val="bottom"/>
            <w:hideMark/>
          </w:tcPr>
          <w:p w14:paraId="0715392C" w14:textId="77777777" w:rsidR="00417C53" w:rsidRDefault="00417C53">
            <w:pPr>
              <w:jc w:val="right"/>
              <w:rPr>
                <w:color w:val="000000"/>
                <w:sz w:val="20"/>
                <w:szCs w:val="20"/>
              </w:rPr>
            </w:pPr>
            <w:r>
              <w:rPr>
                <w:color w:val="000000"/>
                <w:sz w:val="20"/>
                <w:szCs w:val="20"/>
              </w:rPr>
              <w:t>0.008</w:t>
            </w:r>
          </w:p>
        </w:tc>
        <w:tc>
          <w:tcPr>
            <w:tcW w:w="768" w:type="dxa"/>
            <w:tcBorders>
              <w:top w:val="nil"/>
              <w:left w:val="nil"/>
              <w:bottom w:val="nil"/>
              <w:right w:val="nil"/>
            </w:tcBorders>
            <w:shd w:val="clear" w:color="auto" w:fill="auto"/>
            <w:noWrap/>
            <w:vAlign w:val="bottom"/>
            <w:hideMark/>
          </w:tcPr>
          <w:p w14:paraId="543EF3CC"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0E1BB666" w14:textId="77777777" w:rsidR="00417C53" w:rsidRDefault="00417C53">
            <w:pPr>
              <w:jc w:val="right"/>
              <w:rPr>
                <w:color w:val="000000"/>
                <w:sz w:val="20"/>
                <w:szCs w:val="20"/>
              </w:rPr>
            </w:pPr>
            <w:r>
              <w:rPr>
                <w:color w:val="000000"/>
                <w:sz w:val="20"/>
                <w:szCs w:val="20"/>
              </w:rPr>
              <w:t>0.958</w:t>
            </w:r>
          </w:p>
        </w:tc>
        <w:tc>
          <w:tcPr>
            <w:tcW w:w="768" w:type="dxa"/>
            <w:tcBorders>
              <w:top w:val="nil"/>
              <w:left w:val="nil"/>
              <w:bottom w:val="nil"/>
              <w:right w:val="nil"/>
            </w:tcBorders>
            <w:shd w:val="clear" w:color="auto" w:fill="auto"/>
            <w:noWrap/>
            <w:vAlign w:val="bottom"/>
            <w:hideMark/>
          </w:tcPr>
          <w:p w14:paraId="58312000"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6FA57BA2" w14:textId="77777777" w:rsidR="00417C53" w:rsidRDefault="00417C53">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A84FBAD" w14:textId="77777777" w:rsidR="00417C53" w:rsidRDefault="00417C53">
            <w:pPr>
              <w:jc w:val="right"/>
              <w:rPr>
                <w:color w:val="000000"/>
                <w:sz w:val="20"/>
                <w:szCs w:val="20"/>
              </w:rPr>
            </w:pPr>
            <w:r>
              <w:rPr>
                <w:color w:val="000000"/>
                <w:sz w:val="20"/>
                <w:szCs w:val="20"/>
              </w:rPr>
              <w:t>0.672</w:t>
            </w:r>
          </w:p>
        </w:tc>
        <w:tc>
          <w:tcPr>
            <w:tcW w:w="768" w:type="dxa"/>
            <w:tcBorders>
              <w:top w:val="nil"/>
              <w:left w:val="nil"/>
              <w:bottom w:val="nil"/>
              <w:right w:val="nil"/>
            </w:tcBorders>
            <w:shd w:val="clear" w:color="auto" w:fill="auto"/>
            <w:noWrap/>
            <w:vAlign w:val="bottom"/>
            <w:hideMark/>
          </w:tcPr>
          <w:p w14:paraId="1AB7DF36" w14:textId="77777777" w:rsidR="00417C53" w:rsidRDefault="00417C53">
            <w:pPr>
              <w:jc w:val="right"/>
              <w:rPr>
                <w:color w:val="000000"/>
                <w:sz w:val="20"/>
                <w:szCs w:val="20"/>
              </w:rPr>
            </w:pPr>
            <w:r>
              <w:rPr>
                <w:color w:val="000000"/>
                <w:sz w:val="20"/>
                <w:szCs w:val="20"/>
              </w:rPr>
              <w:t>0.001</w:t>
            </w:r>
          </w:p>
        </w:tc>
      </w:tr>
      <w:tr w:rsidR="00417C53" w14:paraId="4568C71F" w14:textId="77777777" w:rsidTr="00417C53">
        <w:trPr>
          <w:trHeight w:val="320"/>
        </w:trPr>
        <w:tc>
          <w:tcPr>
            <w:tcW w:w="1176" w:type="dxa"/>
            <w:tcBorders>
              <w:top w:val="nil"/>
              <w:left w:val="nil"/>
              <w:bottom w:val="single" w:sz="4" w:space="0" w:color="auto"/>
              <w:right w:val="nil"/>
            </w:tcBorders>
            <w:shd w:val="clear" w:color="auto" w:fill="auto"/>
            <w:noWrap/>
            <w:vAlign w:val="bottom"/>
            <w:hideMark/>
          </w:tcPr>
          <w:p w14:paraId="24734CDD" w14:textId="77777777" w:rsidR="00417C53" w:rsidRDefault="00417C53">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76588B34" w14:textId="77777777" w:rsidR="00417C53" w:rsidRDefault="00417C53">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3DE150B0" w14:textId="77777777" w:rsidR="00417C53" w:rsidRDefault="00417C53">
            <w:pPr>
              <w:jc w:val="right"/>
              <w:rPr>
                <w:color w:val="000000"/>
                <w:sz w:val="20"/>
                <w:szCs w:val="20"/>
              </w:rPr>
            </w:pPr>
            <w:r>
              <w:rPr>
                <w:color w:val="000000"/>
                <w:sz w:val="20"/>
                <w:szCs w:val="20"/>
              </w:rPr>
              <w:t>0.046</w:t>
            </w:r>
          </w:p>
        </w:tc>
        <w:tc>
          <w:tcPr>
            <w:tcW w:w="768" w:type="dxa"/>
            <w:tcBorders>
              <w:top w:val="nil"/>
              <w:left w:val="nil"/>
              <w:bottom w:val="single" w:sz="4" w:space="0" w:color="auto"/>
              <w:right w:val="nil"/>
            </w:tcBorders>
            <w:shd w:val="clear" w:color="auto" w:fill="auto"/>
            <w:noWrap/>
            <w:vAlign w:val="bottom"/>
            <w:hideMark/>
          </w:tcPr>
          <w:p w14:paraId="07E14117" w14:textId="77777777" w:rsidR="00417C53" w:rsidRDefault="00417C53">
            <w:pPr>
              <w:jc w:val="right"/>
              <w:rPr>
                <w:color w:val="000000"/>
                <w:sz w:val="20"/>
                <w:szCs w:val="20"/>
              </w:rPr>
            </w:pPr>
            <w:r>
              <w:rPr>
                <w:color w:val="000000"/>
                <w:sz w:val="20"/>
                <w:szCs w:val="20"/>
              </w:rPr>
              <w:t>0.827</w:t>
            </w:r>
          </w:p>
        </w:tc>
        <w:tc>
          <w:tcPr>
            <w:tcW w:w="768" w:type="dxa"/>
            <w:tcBorders>
              <w:top w:val="nil"/>
              <w:left w:val="nil"/>
              <w:bottom w:val="single" w:sz="4" w:space="0" w:color="auto"/>
              <w:right w:val="nil"/>
            </w:tcBorders>
            <w:shd w:val="clear" w:color="auto" w:fill="auto"/>
            <w:noWrap/>
            <w:vAlign w:val="bottom"/>
            <w:hideMark/>
          </w:tcPr>
          <w:p w14:paraId="678AB7F7"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4FC069CD" w14:textId="77777777" w:rsidR="00417C53" w:rsidRDefault="00417C53">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23A7CCF8" w14:textId="77777777" w:rsidR="00417C53" w:rsidRDefault="00417C53">
            <w:pPr>
              <w:jc w:val="right"/>
              <w:rPr>
                <w:color w:val="000000"/>
                <w:sz w:val="20"/>
                <w:szCs w:val="20"/>
              </w:rPr>
            </w:pPr>
            <w:r>
              <w:rPr>
                <w:color w:val="000000"/>
                <w:sz w:val="20"/>
                <w:szCs w:val="20"/>
              </w:rPr>
              <w:t>0.846</w:t>
            </w:r>
          </w:p>
        </w:tc>
        <w:tc>
          <w:tcPr>
            <w:tcW w:w="768" w:type="dxa"/>
            <w:tcBorders>
              <w:top w:val="nil"/>
              <w:left w:val="nil"/>
              <w:bottom w:val="single" w:sz="4" w:space="0" w:color="auto"/>
              <w:right w:val="nil"/>
            </w:tcBorders>
            <w:shd w:val="clear" w:color="auto" w:fill="auto"/>
            <w:noWrap/>
            <w:vAlign w:val="bottom"/>
            <w:hideMark/>
          </w:tcPr>
          <w:p w14:paraId="776F045B"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9071516" w14:textId="77777777" w:rsidR="00417C53" w:rsidRDefault="00417C53">
            <w:pPr>
              <w:jc w:val="right"/>
              <w:rPr>
                <w:color w:val="000000"/>
                <w:sz w:val="20"/>
                <w:szCs w:val="20"/>
              </w:rPr>
            </w:pPr>
            <w:r>
              <w:rPr>
                <w:color w:val="000000"/>
                <w:sz w:val="20"/>
                <w:szCs w:val="20"/>
              </w:rPr>
              <w:t>-0.018</w:t>
            </w:r>
          </w:p>
        </w:tc>
        <w:tc>
          <w:tcPr>
            <w:tcW w:w="768" w:type="dxa"/>
            <w:tcBorders>
              <w:top w:val="nil"/>
              <w:left w:val="nil"/>
              <w:bottom w:val="single" w:sz="4" w:space="0" w:color="auto"/>
              <w:right w:val="nil"/>
            </w:tcBorders>
            <w:shd w:val="clear" w:color="auto" w:fill="auto"/>
            <w:noWrap/>
            <w:vAlign w:val="bottom"/>
            <w:hideMark/>
          </w:tcPr>
          <w:p w14:paraId="1FC0DAEA" w14:textId="77777777" w:rsidR="00417C53" w:rsidRDefault="00417C53">
            <w:pPr>
              <w:jc w:val="right"/>
              <w:rPr>
                <w:color w:val="000000"/>
                <w:sz w:val="20"/>
                <w:szCs w:val="20"/>
              </w:rPr>
            </w:pPr>
            <w:r>
              <w:rPr>
                <w:color w:val="000000"/>
                <w:sz w:val="20"/>
                <w:szCs w:val="20"/>
              </w:rPr>
              <w:t>0.927</w:t>
            </w:r>
          </w:p>
        </w:tc>
        <w:tc>
          <w:tcPr>
            <w:tcW w:w="768" w:type="dxa"/>
            <w:tcBorders>
              <w:top w:val="nil"/>
              <w:left w:val="nil"/>
              <w:bottom w:val="single" w:sz="4" w:space="0" w:color="auto"/>
              <w:right w:val="nil"/>
            </w:tcBorders>
            <w:shd w:val="clear" w:color="auto" w:fill="auto"/>
            <w:noWrap/>
            <w:vAlign w:val="bottom"/>
            <w:hideMark/>
          </w:tcPr>
          <w:p w14:paraId="449B0877"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0AA0A5AF" w14:textId="77777777" w:rsidR="00417C53" w:rsidRDefault="00417C53">
            <w:pPr>
              <w:jc w:val="right"/>
              <w:rPr>
                <w:color w:val="000000"/>
                <w:sz w:val="20"/>
                <w:szCs w:val="20"/>
              </w:rPr>
            </w:pPr>
            <w:r>
              <w:rPr>
                <w:color w:val="000000"/>
                <w:sz w:val="20"/>
                <w:szCs w:val="20"/>
              </w:rPr>
              <w:t>0.023</w:t>
            </w:r>
          </w:p>
        </w:tc>
        <w:tc>
          <w:tcPr>
            <w:tcW w:w="768" w:type="dxa"/>
            <w:tcBorders>
              <w:top w:val="nil"/>
              <w:left w:val="nil"/>
              <w:bottom w:val="single" w:sz="4" w:space="0" w:color="auto"/>
              <w:right w:val="nil"/>
            </w:tcBorders>
            <w:shd w:val="clear" w:color="auto" w:fill="auto"/>
            <w:noWrap/>
            <w:vAlign w:val="bottom"/>
            <w:hideMark/>
          </w:tcPr>
          <w:p w14:paraId="5000E5FE" w14:textId="77777777" w:rsidR="00417C53" w:rsidRDefault="00417C53">
            <w:pPr>
              <w:jc w:val="right"/>
              <w:rPr>
                <w:color w:val="000000"/>
                <w:sz w:val="20"/>
                <w:szCs w:val="20"/>
              </w:rPr>
            </w:pPr>
            <w:r>
              <w:rPr>
                <w:color w:val="000000"/>
                <w:sz w:val="20"/>
                <w:szCs w:val="20"/>
              </w:rPr>
              <w:t>0.795</w:t>
            </w:r>
          </w:p>
        </w:tc>
        <w:tc>
          <w:tcPr>
            <w:tcW w:w="768" w:type="dxa"/>
            <w:tcBorders>
              <w:top w:val="nil"/>
              <w:left w:val="nil"/>
              <w:bottom w:val="single" w:sz="4" w:space="0" w:color="auto"/>
              <w:right w:val="nil"/>
            </w:tcBorders>
            <w:shd w:val="clear" w:color="auto" w:fill="auto"/>
            <w:noWrap/>
            <w:vAlign w:val="bottom"/>
            <w:hideMark/>
          </w:tcPr>
          <w:p w14:paraId="4D841CAF"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single" w:sz="4" w:space="0" w:color="auto"/>
              <w:right w:val="nil"/>
            </w:tcBorders>
            <w:shd w:val="clear" w:color="auto" w:fill="auto"/>
            <w:noWrap/>
            <w:vAlign w:val="bottom"/>
            <w:hideMark/>
          </w:tcPr>
          <w:p w14:paraId="604D567D" w14:textId="77777777" w:rsidR="00417C53" w:rsidRDefault="00417C53">
            <w:pPr>
              <w:jc w:val="right"/>
              <w:rPr>
                <w:color w:val="000000"/>
                <w:sz w:val="20"/>
                <w:szCs w:val="20"/>
              </w:rPr>
            </w:pPr>
            <w:r>
              <w:rPr>
                <w:color w:val="000000"/>
                <w:sz w:val="20"/>
                <w:szCs w:val="20"/>
              </w:rPr>
              <w:t>0.036</w:t>
            </w:r>
          </w:p>
        </w:tc>
        <w:tc>
          <w:tcPr>
            <w:tcW w:w="768" w:type="dxa"/>
            <w:tcBorders>
              <w:top w:val="nil"/>
              <w:left w:val="nil"/>
              <w:bottom w:val="single" w:sz="4" w:space="0" w:color="auto"/>
              <w:right w:val="nil"/>
            </w:tcBorders>
            <w:shd w:val="clear" w:color="auto" w:fill="auto"/>
            <w:noWrap/>
            <w:vAlign w:val="bottom"/>
            <w:hideMark/>
          </w:tcPr>
          <w:p w14:paraId="11FBEF5A" w14:textId="77777777" w:rsidR="00417C53" w:rsidRDefault="00417C53">
            <w:pPr>
              <w:jc w:val="right"/>
              <w:rPr>
                <w:color w:val="000000"/>
                <w:sz w:val="20"/>
                <w:szCs w:val="20"/>
              </w:rPr>
            </w:pPr>
            <w:r>
              <w:rPr>
                <w:color w:val="000000"/>
                <w:sz w:val="20"/>
                <w:szCs w:val="20"/>
              </w:rPr>
              <w:t>0.672</w:t>
            </w:r>
          </w:p>
        </w:tc>
        <w:tc>
          <w:tcPr>
            <w:tcW w:w="768" w:type="dxa"/>
            <w:tcBorders>
              <w:top w:val="nil"/>
              <w:left w:val="nil"/>
              <w:bottom w:val="single" w:sz="4" w:space="0" w:color="auto"/>
              <w:right w:val="nil"/>
            </w:tcBorders>
            <w:shd w:val="clear" w:color="auto" w:fill="auto"/>
            <w:noWrap/>
            <w:vAlign w:val="bottom"/>
            <w:hideMark/>
          </w:tcPr>
          <w:p w14:paraId="0919FF6E" w14:textId="77777777" w:rsidR="00417C53" w:rsidRDefault="00417C53">
            <w:pPr>
              <w:jc w:val="right"/>
              <w:rPr>
                <w:color w:val="000000"/>
                <w:sz w:val="20"/>
                <w:szCs w:val="20"/>
              </w:rPr>
            </w:pPr>
            <w:r>
              <w:rPr>
                <w:color w:val="000000"/>
                <w:sz w:val="20"/>
                <w:szCs w:val="20"/>
              </w:rPr>
              <w:t>0.001</w:t>
            </w:r>
          </w:p>
        </w:tc>
      </w:tr>
      <w:tr w:rsidR="00417C53" w14:paraId="4482E2D9" w14:textId="77777777" w:rsidTr="00417C53">
        <w:trPr>
          <w:trHeight w:val="320"/>
        </w:trPr>
        <w:tc>
          <w:tcPr>
            <w:tcW w:w="1176" w:type="dxa"/>
            <w:tcBorders>
              <w:top w:val="nil"/>
              <w:left w:val="nil"/>
              <w:bottom w:val="nil"/>
              <w:right w:val="nil"/>
            </w:tcBorders>
            <w:shd w:val="clear" w:color="auto" w:fill="auto"/>
            <w:noWrap/>
            <w:vAlign w:val="bottom"/>
            <w:hideMark/>
          </w:tcPr>
          <w:p w14:paraId="5FABD7E3" w14:textId="77777777" w:rsidR="00417C53" w:rsidRDefault="00417C53">
            <w:pPr>
              <w:rPr>
                <w:color w:val="000000"/>
                <w:sz w:val="20"/>
                <w:szCs w:val="20"/>
              </w:rPr>
            </w:pPr>
            <w:r>
              <w:rPr>
                <w:color w:val="000000"/>
                <w:sz w:val="20"/>
                <w:szCs w:val="20"/>
              </w:rPr>
              <w:t>Threshold 23%</w:t>
            </w:r>
          </w:p>
        </w:tc>
        <w:tc>
          <w:tcPr>
            <w:tcW w:w="1705" w:type="dxa"/>
            <w:tcBorders>
              <w:top w:val="nil"/>
              <w:left w:val="nil"/>
              <w:bottom w:val="nil"/>
              <w:right w:val="nil"/>
            </w:tcBorders>
            <w:shd w:val="clear" w:color="auto" w:fill="auto"/>
            <w:noWrap/>
            <w:vAlign w:val="center"/>
            <w:hideMark/>
          </w:tcPr>
          <w:p w14:paraId="5E860152" w14:textId="77777777" w:rsidR="00417C53" w:rsidRDefault="00417C53">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5ED892B" w14:textId="77777777" w:rsidR="00417C53" w:rsidRDefault="00417C53">
            <w:pPr>
              <w:jc w:val="right"/>
              <w:rPr>
                <w:color w:val="000000"/>
                <w:sz w:val="20"/>
                <w:szCs w:val="20"/>
              </w:rPr>
            </w:pPr>
            <w:r>
              <w:rPr>
                <w:color w:val="000000"/>
                <w:sz w:val="20"/>
                <w:szCs w:val="20"/>
              </w:rPr>
              <w:t>0.051</w:t>
            </w:r>
          </w:p>
        </w:tc>
        <w:tc>
          <w:tcPr>
            <w:tcW w:w="768" w:type="dxa"/>
            <w:tcBorders>
              <w:top w:val="nil"/>
              <w:left w:val="nil"/>
              <w:bottom w:val="nil"/>
              <w:right w:val="nil"/>
            </w:tcBorders>
            <w:shd w:val="clear" w:color="auto" w:fill="auto"/>
            <w:noWrap/>
            <w:vAlign w:val="bottom"/>
            <w:hideMark/>
          </w:tcPr>
          <w:p w14:paraId="14B4236C" w14:textId="77777777" w:rsidR="00417C53" w:rsidRDefault="00417C53">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5DBF8FD1"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18FD3DDD" w14:textId="77777777" w:rsidR="00417C53" w:rsidRDefault="00417C53">
            <w:pPr>
              <w:jc w:val="right"/>
              <w:rPr>
                <w:color w:val="000000"/>
                <w:sz w:val="20"/>
                <w:szCs w:val="20"/>
              </w:rPr>
            </w:pPr>
            <w:r>
              <w:rPr>
                <w:color w:val="000000"/>
                <w:sz w:val="20"/>
                <w:szCs w:val="20"/>
              </w:rPr>
              <w:t>0.037</w:t>
            </w:r>
          </w:p>
        </w:tc>
        <w:tc>
          <w:tcPr>
            <w:tcW w:w="768" w:type="dxa"/>
            <w:tcBorders>
              <w:top w:val="nil"/>
              <w:left w:val="nil"/>
              <w:bottom w:val="nil"/>
              <w:right w:val="nil"/>
            </w:tcBorders>
            <w:shd w:val="clear" w:color="auto" w:fill="auto"/>
            <w:noWrap/>
            <w:vAlign w:val="bottom"/>
            <w:hideMark/>
          </w:tcPr>
          <w:p w14:paraId="463B0134" w14:textId="77777777" w:rsidR="00417C53" w:rsidRDefault="00417C53">
            <w:pPr>
              <w:jc w:val="right"/>
              <w:rPr>
                <w:color w:val="000000"/>
                <w:sz w:val="20"/>
                <w:szCs w:val="20"/>
              </w:rPr>
            </w:pPr>
            <w:r>
              <w:rPr>
                <w:color w:val="000000"/>
                <w:sz w:val="20"/>
                <w:szCs w:val="20"/>
              </w:rPr>
              <w:t>0.562</w:t>
            </w:r>
          </w:p>
        </w:tc>
        <w:tc>
          <w:tcPr>
            <w:tcW w:w="768" w:type="dxa"/>
            <w:tcBorders>
              <w:top w:val="nil"/>
              <w:left w:val="nil"/>
              <w:bottom w:val="nil"/>
              <w:right w:val="nil"/>
            </w:tcBorders>
            <w:shd w:val="clear" w:color="auto" w:fill="auto"/>
            <w:noWrap/>
            <w:vAlign w:val="bottom"/>
            <w:hideMark/>
          </w:tcPr>
          <w:p w14:paraId="60AA1163"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769F993" w14:textId="77777777" w:rsidR="00417C53" w:rsidRDefault="00417C53">
            <w:pPr>
              <w:jc w:val="right"/>
              <w:rPr>
                <w:color w:val="000000"/>
                <w:sz w:val="20"/>
                <w:szCs w:val="20"/>
              </w:rPr>
            </w:pPr>
            <w:r>
              <w:rPr>
                <w:color w:val="000000"/>
                <w:sz w:val="20"/>
                <w:szCs w:val="20"/>
              </w:rPr>
              <w:t>-0.033</w:t>
            </w:r>
          </w:p>
        </w:tc>
        <w:tc>
          <w:tcPr>
            <w:tcW w:w="768" w:type="dxa"/>
            <w:tcBorders>
              <w:top w:val="nil"/>
              <w:left w:val="nil"/>
              <w:bottom w:val="nil"/>
              <w:right w:val="nil"/>
            </w:tcBorders>
            <w:shd w:val="clear" w:color="auto" w:fill="auto"/>
            <w:noWrap/>
            <w:vAlign w:val="bottom"/>
            <w:hideMark/>
          </w:tcPr>
          <w:p w14:paraId="37986AD9" w14:textId="77777777" w:rsidR="00417C53" w:rsidRDefault="00417C53">
            <w:pPr>
              <w:jc w:val="right"/>
              <w:rPr>
                <w:color w:val="000000"/>
                <w:sz w:val="20"/>
                <w:szCs w:val="20"/>
              </w:rPr>
            </w:pPr>
            <w:r>
              <w:rPr>
                <w:color w:val="000000"/>
                <w:sz w:val="20"/>
                <w:szCs w:val="20"/>
              </w:rPr>
              <w:t>0.463</w:t>
            </w:r>
          </w:p>
        </w:tc>
        <w:tc>
          <w:tcPr>
            <w:tcW w:w="768" w:type="dxa"/>
            <w:tcBorders>
              <w:top w:val="nil"/>
              <w:left w:val="nil"/>
              <w:bottom w:val="nil"/>
              <w:right w:val="nil"/>
            </w:tcBorders>
            <w:shd w:val="clear" w:color="auto" w:fill="auto"/>
            <w:noWrap/>
            <w:vAlign w:val="bottom"/>
            <w:hideMark/>
          </w:tcPr>
          <w:p w14:paraId="6D47D6C7"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8078939" w14:textId="77777777" w:rsidR="00417C53" w:rsidRDefault="00417C5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4285681" w14:textId="77777777" w:rsidR="00417C53" w:rsidRDefault="00417C53">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2A8B6403"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40889611" w14:textId="77777777" w:rsidR="00417C53" w:rsidRDefault="00417C53">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52F1CEE2" w14:textId="77777777" w:rsidR="00417C53" w:rsidRDefault="00417C53">
            <w:pPr>
              <w:jc w:val="right"/>
              <w:rPr>
                <w:color w:val="000000"/>
                <w:sz w:val="20"/>
                <w:szCs w:val="20"/>
              </w:rPr>
            </w:pPr>
            <w:r>
              <w:rPr>
                <w:color w:val="000000"/>
                <w:sz w:val="20"/>
                <w:szCs w:val="20"/>
              </w:rPr>
              <w:t>0.328</w:t>
            </w:r>
          </w:p>
        </w:tc>
        <w:tc>
          <w:tcPr>
            <w:tcW w:w="768" w:type="dxa"/>
            <w:tcBorders>
              <w:top w:val="nil"/>
              <w:left w:val="nil"/>
              <w:bottom w:val="nil"/>
              <w:right w:val="nil"/>
            </w:tcBorders>
            <w:shd w:val="clear" w:color="auto" w:fill="auto"/>
            <w:noWrap/>
            <w:vAlign w:val="bottom"/>
            <w:hideMark/>
          </w:tcPr>
          <w:p w14:paraId="219AA399" w14:textId="77777777" w:rsidR="00417C53" w:rsidRDefault="00417C53">
            <w:pPr>
              <w:jc w:val="right"/>
              <w:rPr>
                <w:color w:val="000000"/>
                <w:sz w:val="20"/>
                <w:szCs w:val="20"/>
              </w:rPr>
            </w:pPr>
            <w:r>
              <w:rPr>
                <w:color w:val="000000"/>
                <w:sz w:val="20"/>
                <w:szCs w:val="20"/>
              </w:rPr>
              <w:t>0.004</w:t>
            </w:r>
          </w:p>
        </w:tc>
      </w:tr>
      <w:tr w:rsidR="00417C53" w14:paraId="4CC1B299" w14:textId="77777777" w:rsidTr="00417C53">
        <w:trPr>
          <w:trHeight w:val="320"/>
        </w:trPr>
        <w:tc>
          <w:tcPr>
            <w:tcW w:w="1176" w:type="dxa"/>
            <w:tcBorders>
              <w:top w:val="nil"/>
              <w:left w:val="nil"/>
              <w:bottom w:val="nil"/>
              <w:right w:val="nil"/>
            </w:tcBorders>
            <w:shd w:val="clear" w:color="auto" w:fill="auto"/>
            <w:noWrap/>
            <w:vAlign w:val="bottom"/>
            <w:hideMark/>
          </w:tcPr>
          <w:p w14:paraId="6C45767F"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FDFD3E8" w14:textId="77777777" w:rsidR="00417C53" w:rsidRDefault="00417C53">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08D1492C" w14:textId="77777777" w:rsidR="00417C53" w:rsidRDefault="00417C53">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5FF0C0F3" w14:textId="77777777" w:rsidR="00417C53" w:rsidRDefault="00417C53">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32270B50"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EE9B828"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74AA3F0" w14:textId="77777777" w:rsidR="00417C53" w:rsidRDefault="00417C53">
            <w:pPr>
              <w:jc w:val="right"/>
              <w:rPr>
                <w:color w:val="000000"/>
                <w:sz w:val="20"/>
                <w:szCs w:val="20"/>
              </w:rPr>
            </w:pPr>
            <w:r>
              <w:rPr>
                <w:color w:val="000000"/>
                <w:sz w:val="20"/>
                <w:szCs w:val="20"/>
              </w:rPr>
              <w:t>0.968</w:t>
            </w:r>
          </w:p>
        </w:tc>
        <w:tc>
          <w:tcPr>
            <w:tcW w:w="768" w:type="dxa"/>
            <w:tcBorders>
              <w:top w:val="nil"/>
              <w:left w:val="nil"/>
              <w:bottom w:val="nil"/>
              <w:right w:val="nil"/>
            </w:tcBorders>
            <w:shd w:val="clear" w:color="auto" w:fill="auto"/>
            <w:noWrap/>
            <w:vAlign w:val="bottom"/>
            <w:hideMark/>
          </w:tcPr>
          <w:p w14:paraId="557FD3A7"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3E7809E" w14:textId="77777777" w:rsidR="00417C53" w:rsidRDefault="00417C53">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033DE3CD" w14:textId="77777777" w:rsidR="00417C53" w:rsidRDefault="00417C53">
            <w:pPr>
              <w:jc w:val="right"/>
              <w:rPr>
                <w:color w:val="000000"/>
                <w:sz w:val="20"/>
                <w:szCs w:val="20"/>
              </w:rPr>
            </w:pPr>
            <w:r>
              <w:rPr>
                <w:color w:val="000000"/>
                <w:sz w:val="20"/>
                <w:szCs w:val="20"/>
              </w:rPr>
              <w:t>0.645</w:t>
            </w:r>
          </w:p>
        </w:tc>
        <w:tc>
          <w:tcPr>
            <w:tcW w:w="768" w:type="dxa"/>
            <w:tcBorders>
              <w:top w:val="nil"/>
              <w:left w:val="nil"/>
              <w:bottom w:val="nil"/>
              <w:right w:val="nil"/>
            </w:tcBorders>
            <w:shd w:val="clear" w:color="auto" w:fill="auto"/>
            <w:noWrap/>
            <w:vAlign w:val="bottom"/>
            <w:hideMark/>
          </w:tcPr>
          <w:p w14:paraId="7858DE00"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499E7E" w14:textId="77777777" w:rsidR="00417C53" w:rsidRDefault="00417C53">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1751EEF7" w14:textId="77777777" w:rsidR="00417C53" w:rsidRDefault="00417C53">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3D492D22"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B553C0E" w14:textId="77777777" w:rsidR="00417C53" w:rsidRDefault="00417C53">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4FEDC299" w14:textId="77777777" w:rsidR="00417C53" w:rsidRDefault="00417C53">
            <w:pPr>
              <w:jc w:val="right"/>
              <w:rPr>
                <w:color w:val="000000"/>
                <w:sz w:val="20"/>
                <w:szCs w:val="20"/>
              </w:rPr>
            </w:pPr>
            <w:r>
              <w:rPr>
                <w:color w:val="000000"/>
                <w:sz w:val="20"/>
                <w:szCs w:val="20"/>
              </w:rPr>
              <w:t>0.869</w:t>
            </w:r>
          </w:p>
        </w:tc>
        <w:tc>
          <w:tcPr>
            <w:tcW w:w="768" w:type="dxa"/>
            <w:tcBorders>
              <w:top w:val="nil"/>
              <w:left w:val="nil"/>
              <w:bottom w:val="nil"/>
              <w:right w:val="nil"/>
            </w:tcBorders>
            <w:shd w:val="clear" w:color="auto" w:fill="auto"/>
            <w:noWrap/>
            <w:vAlign w:val="bottom"/>
            <w:hideMark/>
          </w:tcPr>
          <w:p w14:paraId="6F4F356E" w14:textId="77777777" w:rsidR="00417C53" w:rsidRDefault="00417C53">
            <w:pPr>
              <w:jc w:val="right"/>
              <w:rPr>
                <w:color w:val="000000"/>
                <w:sz w:val="20"/>
                <w:szCs w:val="20"/>
              </w:rPr>
            </w:pPr>
            <w:r>
              <w:rPr>
                <w:color w:val="000000"/>
                <w:sz w:val="20"/>
                <w:szCs w:val="20"/>
              </w:rPr>
              <w:t>0.000</w:t>
            </w:r>
          </w:p>
        </w:tc>
      </w:tr>
      <w:tr w:rsidR="00417C53" w14:paraId="60319B1A" w14:textId="77777777" w:rsidTr="00417C53">
        <w:trPr>
          <w:trHeight w:val="320"/>
        </w:trPr>
        <w:tc>
          <w:tcPr>
            <w:tcW w:w="1176" w:type="dxa"/>
            <w:tcBorders>
              <w:top w:val="nil"/>
              <w:left w:val="nil"/>
              <w:bottom w:val="nil"/>
              <w:right w:val="nil"/>
            </w:tcBorders>
            <w:shd w:val="clear" w:color="auto" w:fill="auto"/>
            <w:noWrap/>
            <w:vAlign w:val="bottom"/>
            <w:hideMark/>
          </w:tcPr>
          <w:p w14:paraId="3DED7851"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A2D8202" w14:textId="77777777" w:rsidR="00417C53" w:rsidRDefault="00417C53">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EE1649D" w14:textId="77777777" w:rsidR="00417C53" w:rsidRDefault="00417C53">
            <w:pPr>
              <w:jc w:val="right"/>
              <w:rPr>
                <w:color w:val="000000"/>
                <w:sz w:val="20"/>
                <w:szCs w:val="20"/>
              </w:rPr>
            </w:pPr>
            <w:r>
              <w:rPr>
                <w:color w:val="000000"/>
                <w:sz w:val="20"/>
                <w:szCs w:val="20"/>
              </w:rPr>
              <w:t>0.063</w:t>
            </w:r>
          </w:p>
        </w:tc>
        <w:tc>
          <w:tcPr>
            <w:tcW w:w="768" w:type="dxa"/>
            <w:tcBorders>
              <w:top w:val="nil"/>
              <w:left w:val="nil"/>
              <w:bottom w:val="nil"/>
              <w:right w:val="nil"/>
            </w:tcBorders>
            <w:shd w:val="clear" w:color="auto" w:fill="auto"/>
            <w:noWrap/>
            <w:vAlign w:val="bottom"/>
            <w:hideMark/>
          </w:tcPr>
          <w:p w14:paraId="47DDA55D" w14:textId="77777777" w:rsidR="00417C53" w:rsidRDefault="00417C53">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1D1DC1D2" w14:textId="77777777" w:rsidR="00417C53" w:rsidRDefault="00417C5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19A15162" w14:textId="77777777" w:rsidR="00417C53" w:rsidRDefault="00417C53">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5CBBEA00" w14:textId="77777777" w:rsidR="00417C53" w:rsidRDefault="00417C53">
            <w:pPr>
              <w:jc w:val="right"/>
              <w:rPr>
                <w:color w:val="000000"/>
                <w:sz w:val="20"/>
                <w:szCs w:val="20"/>
              </w:rPr>
            </w:pPr>
            <w:r>
              <w:rPr>
                <w:color w:val="000000"/>
                <w:sz w:val="20"/>
                <w:szCs w:val="20"/>
              </w:rPr>
              <w:t>0.224</w:t>
            </w:r>
          </w:p>
        </w:tc>
        <w:tc>
          <w:tcPr>
            <w:tcW w:w="768" w:type="dxa"/>
            <w:tcBorders>
              <w:top w:val="nil"/>
              <w:left w:val="nil"/>
              <w:bottom w:val="nil"/>
              <w:right w:val="nil"/>
            </w:tcBorders>
            <w:shd w:val="clear" w:color="auto" w:fill="auto"/>
            <w:noWrap/>
            <w:vAlign w:val="bottom"/>
            <w:hideMark/>
          </w:tcPr>
          <w:p w14:paraId="300CF431" w14:textId="77777777" w:rsidR="00417C53" w:rsidRDefault="00417C5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C00CEBE" w14:textId="77777777" w:rsidR="00417C53" w:rsidRDefault="00417C53">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46085226" w14:textId="77777777" w:rsidR="00417C53" w:rsidRDefault="00417C53">
            <w:pPr>
              <w:jc w:val="right"/>
              <w:rPr>
                <w:color w:val="000000"/>
                <w:sz w:val="20"/>
                <w:szCs w:val="20"/>
              </w:rPr>
            </w:pPr>
            <w:r>
              <w:rPr>
                <w:color w:val="000000"/>
                <w:sz w:val="20"/>
                <w:szCs w:val="20"/>
              </w:rPr>
              <w:t>0.750</w:t>
            </w:r>
          </w:p>
        </w:tc>
        <w:tc>
          <w:tcPr>
            <w:tcW w:w="768" w:type="dxa"/>
            <w:tcBorders>
              <w:top w:val="nil"/>
              <w:left w:val="nil"/>
              <w:bottom w:val="nil"/>
              <w:right w:val="nil"/>
            </w:tcBorders>
            <w:shd w:val="clear" w:color="auto" w:fill="auto"/>
            <w:noWrap/>
            <w:vAlign w:val="bottom"/>
            <w:hideMark/>
          </w:tcPr>
          <w:p w14:paraId="484450D9"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FDE74E3" w14:textId="77777777" w:rsidR="00417C53" w:rsidRDefault="00417C53">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1437236D" w14:textId="77777777" w:rsidR="00417C53" w:rsidRDefault="00417C53">
            <w:pPr>
              <w:jc w:val="right"/>
              <w:rPr>
                <w:color w:val="000000"/>
                <w:sz w:val="20"/>
                <w:szCs w:val="20"/>
              </w:rPr>
            </w:pPr>
            <w:r>
              <w:rPr>
                <w:color w:val="000000"/>
                <w:sz w:val="20"/>
                <w:szCs w:val="20"/>
              </w:rPr>
              <w:t>0.677</w:t>
            </w:r>
          </w:p>
        </w:tc>
        <w:tc>
          <w:tcPr>
            <w:tcW w:w="768" w:type="dxa"/>
            <w:tcBorders>
              <w:top w:val="nil"/>
              <w:left w:val="nil"/>
              <w:bottom w:val="nil"/>
              <w:right w:val="nil"/>
            </w:tcBorders>
            <w:shd w:val="clear" w:color="auto" w:fill="auto"/>
            <w:noWrap/>
            <w:vAlign w:val="bottom"/>
            <w:hideMark/>
          </w:tcPr>
          <w:p w14:paraId="2256C2EC"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580A5A8" w14:textId="77777777" w:rsidR="00417C53" w:rsidRDefault="00417C53">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63601AA3" w14:textId="77777777" w:rsidR="00417C53" w:rsidRDefault="00417C53">
            <w:pPr>
              <w:jc w:val="right"/>
              <w:rPr>
                <w:color w:val="000000"/>
                <w:sz w:val="20"/>
                <w:szCs w:val="20"/>
              </w:rPr>
            </w:pPr>
            <w:r>
              <w:rPr>
                <w:color w:val="000000"/>
                <w:sz w:val="20"/>
                <w:szCs w:val="20"/>
              </w:rPr>
              <w:t>0.699</w:t>
            </w:r>
          </w:p>
        </w:tc>
        <w:tc>
          <w:tcPr>
            <w:tcW w:w="768" w:type="dxa"/>
            <w:tcBorders>
              <w:top w:val="nil"/>
              <w:left w:val="nil"/>
              <w:bottom w:val="nil"/>
              <w:right w:val="nil"/>
            </w:tcBorders>
            <w:shd w:val="clear" w:color="auto" w:fill="auto"/>
            <w:noWrap/>
            <w:vAlign w:val="bottom"/>
            <w:hideMark/>
          </w:tcPr>
          <w:p w14:paraId="78EABBC0" w14:textId="77777777" w:rsidR="00417C53" w:rsidRDefault="00417C53">
            <w:pPr>
              <w:jc w:val="right"/>
              <w:rPr>
                <w:color w:val="000000"/>
                <w:sz w:val="20"/>
                <w:szCs w:val="20"/>
              </w:rPr>
            </w:pPr>
            <w:r>
              <w:rPr>
                <w:color w:val="000000"/>
                <w:sz w:val="20"/>
                <w:szCs w:val="20"/>
              </w:rPr>
              <w:t>0.001</w:t>
            </w:r>
          </w:p>
        </w:tc>
      </w:tr>
      <w:tr w:rsidR="00417C53" w14:paraId="2F2C7E7F" w14:textId="77777777" w:rsidTr="00417C53">
        <w:trPr>
          <w:trHeight w:val="320"/>
        </w:trPr>
        <w:tc>
          <w:tcPr>
            <w:tcW w:w="1176" w:type="dxa"/>
            <w:tcBorders>
              <w:top w:val="nil"/>
              <w:left w:val="nil"/>
              <w:bottom w:val="nil"/>
              <w:right w:val="nil"/>
            </w:tcBorders>
            <w:shd w:val="clear" w:color="auto" w:fill="auto"/>
            <w:noWrap/>
            <w:vAlign w:val="bottom"/>
            <w:hideMark/>
          </w:tcPr>
          <w:p w14:paraId="6A181314"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8A0CFEA" w14:textId="77777777" w:rsidR="00417C53" w:rsidRDefault="00417C53">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C552232" w14:textId="77777777" w:rsidR="00417C53" w:rsidRDefault="00417C53">
            <w:pPr>
              <w:jc w:val="right"/>
              <w:rPr>
                <w:color w:val="000000"/>
                <w:sz w:val="20"/>
                <w:szCs w:val="20"/>
              </w:rPr>
            </w:pPr>
            <w:r>
              <w:rPr>
                <w:color w:val="000000"/>
                <w:sz w:val="20"/>
                <w:szCs w:val="20"/>
              </w:rPr>
              <w:t>0.009</w:t>
            </w:r>
          </w:p>
        </w:tc>
        <w:tc>
          <w:tcPr>
            <w:tcW w:w="768" w:type="dxa"/>
            <w:tcBorders>
              <w:top w:val="nil"/>
              <w:left w:val="nil"/>
              <w:bottom w:val="nil"/>
              <w:right w:val="nil"/>
            </w:tcBorders>
            <w:shd w:val="clear" w:color="auto" w:fill="auto"/>
            <w:noWrap/>
            <w:vAlign w:val="bottom"/>
            <w:hideMark/>
          </w:tcPr>
          <w:p w14:paraId="390D9801" w14:textId="77777777" w:rsidR="00417C53" w:rsidRDefault="00417C53">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598D2EE9"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84D849A" w14:textId="77777777" w:rsidR="00417C53" w:rsidRDefault="00417C53">
            <w:pPr>
              <w:jc w:val="right"/>
              <w:rPr>
                <w:color w:val="000000"/>
                <w:sz w:val="20"/>
                <w:szCs w:val="20"/>
              </w:rPr>
            </w:pPr>
            <w:r>
              <w:rPr>
                <w:color w:val="000000"/>
                <w:sz w:val="20"/>
                <w:szCs w:val="20"/>
              </w:rPr>
              <w:t>0.083</w:t>
            </w:r>
          </w:p>
        </w:tc>
        <w:tc>
          <w:tcPr>
            <w:tcW w:w="768" w:type="dxa"/>
            <w:tcBorders>
              <w:top w:val="nil"/>
              <w:left w:val="nil"/>
              <w:bottom w:val="nil"/>
              <w:right w:val="nil"/>
            </w:tcBorders>
            <w:shd w:val="clear" w:color="auto" w:fill="auto"/>
            <w:noWrap/>
            <w:vAlign w:val="bottom"/>
            <w:hideMark/>
          </w:tcPr>
          <w:p w14:paraId="70E4C742" w14:textId="77777777" w:rsidR="00417C53" w:rsidRDefault="00417C53">
            <w:pPr>
              <w:jc w:val="right"/>
              <w:rPr>
                <w:color w:val="000000"/>
                <w:sz w:val="20"/>
                <w:szCs w:val="20"/>
              </w:rPr>
            </w:pPr>
            <w:r>
              <w:rPr>
                <w:color w:val="000000"/>
                <w:sz w:val="20"/>
                <w:szCs w:val="20"/>
              </w:rPr>
              <w:t>0.120</w:t>
            </w:r>
          </w:p>
        </w:tc>
        <w:tc>
          <w:tcPr>
            <w:tcW w:w="768" w:type="dxa"/>
            <w:tcBorders>
              <w:top w:val="nil"/>
              <w:left w:val="nil"/>
              <w:bottom w:val="nil"/>
              <w:right w:val="nil"/>
            </w:tcBorders>
            <w:shd w:val="clear" w:color="auto" w:fill="auto"/>
            <w:noWrap/>
            <w:vAlign w:val="bottom"/>
            <w:hideMark/>
          </w:tcPr>
          <w:p w14:paraId="13BD1B7A" w14:textId="77777777" w:rsidR="00417C53" w:rsidRDefault="00417C53">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58D3CB65" w14:textId="77777777" w:rsidR="00417C53" w:rsidRDefault="00417C53">
            <w:pPr>
              <w:jc w:val="right"/>
              <w:rPr>
                <w:b/>
                <w:bCs/>
                <w:color w:val="000000"/>
                <w:sz w:val="20"/>
                <w:szCs w:val="20"/>
              </w:rPr>
            </w:pPr>
            <w:r>
              <w:rPr>
                <w:b/>
                <w:bCs/>
                <w:color w:val="000000"/>
                <w:sz w:val="20"/>
                <w:szCs w:val="20"/>
              </w:rPr>
              <w:t>0.089</w:t>
            </w:r>
          </w:p>
        </w:tc>
        <w:tc>
          <w:tcPr>
            <w:tcW w:w="768" w:type="dxa"/>
            <w:tcBorders>
              <w:top w:val="nil"/>
              <w:left w:val="nil"/>
              <w:bottom w:val="nil"/>
              <w:right w:val="nil"/>
            </w:tcBorders>
            <w:shd w:val="clear" w:color="auto" w:fill="auto"/>
            <w:noWrap/>
            <w:vAlign w:val="bottom"/>
            <w:hideMark/>
          </w:tcPr>
          <w:p w14:paraId="502EC4BF" w14:textId="77777777" w:rsidR="00417C53" w:rsidRDefault="00417C53">
            <w:pPr>
              <w:jc w:val="right"/>
              <w:rPr>
                <w:b/>
                <w:bCs/>
                <w:color w:val="000000"/>
                <w:sz w:val="20"/>
                <w:szCs w:val="20"/>
              </w:rPr>
            </w:pPr>
            <w:r>
              <w:rPr>
                <w:b/>
                <w:bCs/>
                <w:color w:val="000000"/>
                <w:sz w:val="20"/>
                <w:szCs w:val="20"/>
              </w:rPr>
              <w:t>0.028</w:t>
            </w:r>
          </w:p>
        </w:tc>
        <w:tc>
          <w:tcPr>
            <w:tcW w:w="768" w:type="dxa"/>
            <w:tcBorders>
              <w:top w:val="nil"/>
              <w:left w:val="nil"/>
              <w:bottom w:val="nil"/>
              <w:right w:val="nil"/>
            </w:tcBorders>
            <w:shd w:val="clear" w:color="auto" w:fill="auto"/>
            <w:noWrap/>
            <w:vAlign w:val="bottom"/>
            <w:hideMark/>
          </w:tcPr>
          <w:p w14:paraId="2D3EB22C" w14:textId="77777777" w:rsidR="00417C53" w:rsidRDefault="00417C53">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9461335" w14:textId="77777777" w:rsidR="00417C53" w:rsidRDefault="00417C53">
            <w:pPr>
              <w:jc w:val="right"/>
              <w:rPr>
                <w:color w:val="000000"/>
                <w:sz w:val="20"/>
                <w:szCs w:val="20"/>
              </w:rPr>
            </w:pPr>
            <w:r>
              <w:rPr>
                <w:color w:val="000000"/>
                <w:sz w:val="20"/>
                <w:szCs w:val="20"/>
              </w:rPr>
              <w:t>0.055</w:t>
            </w:r>
          </w:p>
        </w:tc>
        <w:tc>
          <w:tcPr>
            <w:tcW w:w="768" w:type="dxa"/>
            <w:tcBorders>
              <w:top w:val="nil"/>
              <w:left w:val="nil"/>
              <w:bottom w:val="nil"/>
              <w:right w:val="nil"/>
            </w:tcBorders>
            <w:shd w:val="clear" w:color="auto" w:fill="auto"/>
            <w:noWrap/>
            <w:vAlign w:val="bottom"/>
            <w:hideMark/>
          </w:tcPr>
          <w:p w14:paraId="705BAE32" w14:textId="77777777" w:rsidR="00417C53" w:rsidRDefault="00417C53">
            <w:pPr>
              <w:jc w:val="right"/>
              <w:rPr>
                <w:color w:val="000000"/>
                <w:sz w:val="20"/>
                <w:szCs w:val="20"/>
              </w:rPr>
            </w:pPr>
            <w:r>
              <w:rPr>
                <w:color w:val="000000"/>
                <w:sz w:val="20"/>
                <w:szCs w:val="20"/>
              </w:rPr>
              <w:t>0.604</w:t>
            </w:r>
          </w:p>
        </w:tc>
        <w:tc>
          <w:tcPr>
            <w:tcW w:w="768" w:type="dxa"/>
            <w:tcBorders>
              <w:top w:val="nil"/>
              <w:left w:val="nil"/>
              <w:bottom w:val="nil"/>
              <w:right w:val="nil"/>
            </w:tcBorders>
            <w:shd w:val="clear" w:color="auto" w:fill="auto"/>
            <w:noWrap/>
            <w:vAlign w:val="bottom"/>
            <w:hideMark/>
          </w:tcPr>
          <w:p w14:paraId="08369B1F"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31E9978E" w14:textId="77777777" w:rsidR="00417C53" w:rsidRDefault="00417C53">
            <w:pPr>
              <w:jc w:val="right"/>
              <w:rPr>
                <w:b/>
                <w:bCs/>
                <w:color w:val="000000"/>
                <w:sz w:val="20"/>
                <w:szCs w:val="20"/>
              </w:rPr>
            </w:pPr>
            <w:r>
              <w:rPr>
                <w:b/>
                <w:bCs/>
                <w:color w:val="000000"/>
                <w:sz w:val="20"/>
                <w:szCs w:val="20"/>
              </w:rPr>
              <w:t>-0.129</w:t>
            </w:r>
          </w:p>
        </w:tc>
        <w:tc>
          <w:tcPr>
            <w:tcW w:w="768" w:type="dxa"/>
            <w:tcBorders>
              <w:top w:val="nil"/>
              <w:left w:val="nil"/>
              <w:bottom w:val="nil"/>
              <w:right w:val="nil"/>
            </w:tcBorders>
            <w:shd w:val="clear" w:color="auto" w:fill="auto"/>
            <w:noWrap/>
            <w:vAlign w:val="bottom"/>
            <w:hideMark/>
          </w:tcPr>
          <w:p w14:paraId="6967EB44" w14:textId="77777777" w:rsidR="00417C53" w:rsidRDefault="00417C53">
            <w:pPr>
              <w:jc w:val="right"/>
              <w:rPr>
                <w:b/>
                <w:bCs/>
                <w:color w:val="000000"/>
                <w:sz w:val="20"/>
                <w:szCs w:val="20"/>
              </w:rPr>
            </w:pPr>
            <w:r>
              <w:rPr>
                <w:b/>
                <w:bCs/>
                <w:color w:val="000000"/>
                <w:sz w:val="20"/>
                <w:szCs w:val="20"/>
              </w:rPr>
              <w:t>0.008</w:t>
            </w:r>
          </w:p>
        </w:tc>
        <w:tc>
          <w:tcPr>
            <w:tcW w:w="768" w:type="dxa"/>
            <w:tcBorders>
              <w:top w:val="nil"/>
              <w:left w:val="nil"/>
              <w:bottom w:val="nil"/>
              <w:right w:val="nil"/>
            </w:tcBorders>
            <w:shd w:val="clear" w:color="auto" w:fill="auto"/>
            <w:noWrap/>
            <w:vAlign w:val="bottom"/>
            <w:hideMark/>
          </w:tcPr>
          <w:p w14:paraId="52B970E2" w14:textId="77777777" w:rsidR="00417C53" w:rsidRDefault="00417C53">
            <w:pPr>
              <w:jc w:val="right"/>
              <w:rPr>
                <w:b/>
                <w:bCs/>
                <w:color w:val="000000"/>
                <w:sz w:val="20"/>
                <w:szCs w:val="20"/>
              </w:rPr>
            </w:pPr>
            <w:r>
              <w:rPr>
                <w:b/>
                <w:bCs/>
                <w:color w:val="000000"/>
                <w:sz w:val="20"/>
                <w:szCs w:val="20"/>
              </w:rPr>
              <w:t>0.017</w:t>
            </w:r>
          </w:p>
        </w:tc>
      </w:tr>
      <w:tr w:rsidR="00417C53" w14:paraId="12C856D6" w14:textId="77777777" w:rsidTr="00417C53">
        <w:trPr>
          <w:trHeight w:val="320"/>
        </w:trPr>
        <w:tc>
          <w:tcPr>
            <w:tcW w:w="1176" w:type="dxa"/>
            <w:tcBorders>
              <w:top w:val="nil"/>
              <w:left w:val="nil"/>
              <w:bottom w:val="nil"/>
              <w:right w:val="nil"/>
            </w:tcBorders>
            <w:shd w:val="clear" w:color="auto" w:fill="auto"/>
            <w:noWrap/>
            <w:vAlign w:val="bottom"/>
            <w:hideMark/>
          </w:tcPr>
          <w:p w14:paraId="58FD934B" w14:textId="77777777" w:rsidR="00417C53" w:rsidRDefault="00417C53">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13089730" w14:textId="77777777" w:rsidR="00417C53" w:rsidRDefault="00417C53">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4B9CD857"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B245B85" w14:textId="77777777" w:rsidR="00417C53" w:rsidRDefault="00417C53">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1CD7D5F6"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F37ED46" w14:textId="77777777" w:rsidR="00417C53" w:rsidRDefault="00417C53">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3F966508" w14:textId="77777777" w:rsidR="00417C53" w:rsidRDefault="00417C53">
            <w:pPr>
              <w:jc w:val="right"/>
              <w:rPr>
                <w:color w:val="000000"/>
                <w:sz w:val="20"/>
                <w:szCs w:val="20"/>
              </w:rPr>
            </w:pPr>
            <w:r>
              <w:rPr>
                <w:color w:val="000000"/>
                <w:sz w:val="20"/>
                <w:szCs w:val="20"/>
              </w:rPr>
              <w:t>0.858</w:t>
            </w:r>
          </w:p>
        </w:tc>
        <w:tc>
          <w:tcPr>
            <w:tcW w:w="768" w:type="dxa"/>
            <w:tcBorders>
              <w:top w:val="nil"/>
              <w:left w:val="nil"/>
              <w:bottom w:val="nil"/>
              <w:right w:val="nil"/>
            </w:tcBorders>
            <w:shd w:val="clear" w:color="auto" w:fill="auto"/>
            <w:noWrap/>
            <w:vAlign w:val="bottom"/>
            <w:hideMark/>
          </w:tcPr>
          <w:p w14:paraId="07AEAC24"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30E9873" w14:textId="77777777" w:rsidR="00417C53" w:rsidRDefault="00417C53">
            <w:pPr>
              <w:jc w:val="right"/>
              <w:rPr>
                <w:color w:val="000000"/>
                <w:sz w:val="20"/>
                <w:szCs w:val="20"/>
              </w:rPr>
            </w:pPr>
            <w:r>
              <w:rPr>
                <w:color w:val="000000"/>
                <w:sz w:val="20"/>
                <w:szCs w:val="20"/>
              </w:rPr>
              <w:t>0.030</w:t>
            </w:r>
          </w:p>
        </w:tc>
        <w:tc>
          <w:tcPr>
            <w:tcW w:w="768" w:type="dxa"/>
            <w:tcBorders>
              <w:top w:val="nil"/>
              <w:left w:val="nil"/>
              <w:bottom w:val="nil"/>
              <w:right w:val="nil"/>
            </w:tcBorders>
            <w:shd w:val="clear" w:color="auto" w:fill="auto"/>
            <w:noWrap/>
            <w:vAlign w:val="bottom"/>
            <w:hideMark/>
          </w:tcPr>
          <w:p w14:paraId="71FB5688" w14:textId="77777777" w:rsidR="00417C53" w:rsidRDefault="00417C53">
            <w:pPr>
              <w:jc w:val="right"/>
              <w:rPr>
                <w:color w:val="000000"/>
                <w:sz w:val="20"/>
                <w:szCs w:val="20"/>
              </w:rPr>
            </w:pPr>
            <w:r>
              <w:rPr>
                <w:color w:val="000000"/>
                <w:sz w:val="20"/>
                <w:szCs w:val="20"/>
              </w:rPr>
              <w:t>0.463</w:t>
            </w:r>
          </w:p>
        </w:tc>
        <w:tc>
          <w:tcPr>
            <w:tcW w:w="768" w:type="dxa"/>
            <w:tcBorders>
              <w:top w:val="nil"/>
              <w:left w:val="nil"/>
              <w:bottom w:val="nil"/>
              <w:right w:val="nil"/>
            </w:tcBorders>
            <w:shd w:val="clear" w:color="auto" w:fill="auto"/>
            <w:noWrap/>
            <w:vAlign w:val="bottom"/>
            <w:hideMark/>
          </w:tcPr>
          <w:p w14:paraId="523388AE"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1E0F5CFF" w14:textId="77777777" w:rsidR="00417C53" w:rsidRDefault="00417C53">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4E6F57AF" w14:textId="77777777" w:rsidR="00417C53" w:rsidRDefault="00417C53">
            <w:pPr>
              <w:jc w:val="right"/>
              <w:rPr>
                <w:color w:val="000000"/>
                <w:sz w:val="20"/>
                <w:szCs w:val="20"/>
              </w:rPr>
            </w:pPr>
            <w:r>
              <w:rPr>
                <w:color w:val="000000"/>
                <w:sz w:val="20"/>
                <w:szCs w:val="20"/>
              </w:rPr>
              <w:t>0.878</w:t>
            </w:r>
          </w:p>
        </w:tc>
        <w:tc>
          <w:tcPr>
            <w:tcW w:w="768" w:type="dxa"/>
            <w:tcBorders>
              <w:top w:val="nil"/>
              <w:left w:val="nil"/>
              <w:bottom w:val="nil"/>
              <w:right w:val="nil"/>
            </w:tcBorders>
            <w:shd w:val="clear" w:color="auto" w:fill="auto"/>
            <w:noWrap/>
            <w:vAlign w:val="bottom"/>
            <w:hideMark/>
          </w:tcPr>
          <w:p w14:paraId="2083C57E"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3C4258" w14:textId="77777777" w:rsidR="00417C53" w:rsidRDefault="00417C53">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74CA266C" w14:textId="77777777" w:rsidR="00417C53" w:rsidRDefault="00417C53">
            <w:pPr>
              <w:jc w:val="right"/>
              <w:rPr>
                <w:color w:val="000000"/>
                <w:sz w:val="20"/>
                <w:szCs w:val="20"/>
              </w:rPr>
            </w:pPr>
            <w:r>
              <w:rPr>
                <w:color w:val="000000"/>
                <w:sz w:val="20"/>
                <w:szCs w:val="20"/>
              </w:rPr>
              <w:t>0.869</w:t>
            </w:r>
          </w:p>
        </w:tc>
        <w:tc>
          <w:tcPr>
            <w:tcW w:w="768" w:type="dxa"/>
            <w:tcBorders>
              <w:top w:val="nil"/>
              <w:left w:val="nil"/>
              <w:bottom w:val="nil"/>
              <w:right w:val="nil"/>
            </w:tcBorders>
            <w:shd w:val="clear" w:color="auto" w:fill="auto"/>
            <w:noWrap/>
            <w:vAlign w:val="bottom"/>
            <w:hideMark/>
          </w:tcPr>
          <w:p w14:paraId="0A30F233" w14:textId="77777777" w:rsidR="00417C53" w:rsidRDefault="00417C53">
            <w:pPr>
              <w:jc w:val="right"/>
              <w:rPr>
                <w:color w:val="000000"/>
                <w:sz w:val="20"/>
                <w:szCs w:val="20"/>
              </w:rPr>
            </w:pPr>
            <w:r>
              <w:rPr>
                <w:color w:val="000000"/>
                <w:sz w:val="20"/>
                <w:szCs w:val="20"/>
              </w:rPr>
              <w:t>0.000</w:t>
            </w:r>
          </w:p>
        </w:tc>
      </w:tr>
      <w:tr w:rsidR="00417C53" w14:paraId="5C7203A4" w14:textId="77777777" w:rsidTr="00417C53">
        <w:trPr>
          <w:trHeight w:val="320"/>
        </w:trPr>
        <w:tc>
          <w:tcPr>
            <w:tcW w:w="1176" w:type="dxa"/>
            <w:tcBorders>
              <w:top w:val="nil"/>
              <w:left w:val="nil"/>
              <w:bottom w:val="nil"/>
              <w:right w:val="nil"/>
            </w:tcBorders>
            <w:shd w:val="clear" w:color="auto" w:fill="auto"/>
            <w:noWrap/>
            <w:vAlign w:val="bottom"/>
            <w:hideMark/>
          </w:tcPr>
          <w:p w14:paraId="2AB80E16"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2011A43" w14:textId="77777777" w:rsidR="00417C53" w:rsidRDefault="00417C53">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2F5965FD" w14:textId="77777777" w:rsidR="00417C53" w:rsidRDefault="00417C53">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13AA793F" w14:textId="77777777" w:rsidR="00417C53" w:rsidRDefault="00417C53">
            <w:pPr>
              <w:jc w:val="right"/>
              <w:rPr>
                <w:color w:val="000000"/>
                <w:sz w:val="20"/>
                <w:szCs w:val="20"/>
              </w:rPr>
            </w:pPr>
            <w:r>
              <w:rPr>
                <w:color w:val="000000"/>
                <w:sz w:val="20"/>
                <w:szCs w:val="20"/>
              </w:rPr>
              <w:t>0.528</w:t>
            </w:r>
          </w:p>
        </w:tc>
        <w:tc>
          <w:tcPr>
            <w:tcW w:w="768" w:type="dxa"/>
            <w:tcBorders>
              <w:top w:val="nil"/>
              <w:left w:val="nil"/>
              <w:bottom w:val="nil"/>
              <w:right w:val="nil"/>
            </w:tcBorders>
            <w:shd w:val="clear" w:color="auto" w:fill="auto"/>
            <w:noWrap/>
            <w:vAlign w:val="bottom"/>
            <w:hideMark/>
          </w:tcPr>
          <w:p w14:paraId="0DFA33AA"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529CC910" w14:textId="77777777" w:rsidR="00417C53" w:rsidRDefault="00417C53">
            <w:pPr>
              <w:jc w:val="right"/>
              <w:rPr>
                <w:color w:val="000000"/>
                <w:sz w:val="20"/>
                <w:szCs w:val="20"/>
              </w:rPr>
            </w:pPr>
            <w:r>
              <w:rPr>
                <w:color w:val="000000"/>
                <w:sz w:val="20"/>
                <w:szCs w:val="20"/>
              </w:rPr>
              <w:t>-0.028</w:t>
            </w:r>
          </w:p>
        </w:tc>
        <w:tc>
          <w:tcPr>
            <w:tcW w:w="768" w:type="dxa"/>
            <w:tcBorders>
              <w:top w:val="nil"/>
              <w:left w:val="nil"/>
              <w:bottom w:val="nil"/>
              <w:right w:val="nil"/>
            </w:tcBorders>
            <w:shd w:val="clear" w:color="auto" w:fill="auto"/>
            <w:noWrap/>
            <w:vAlign w:val="bottom"/>
            <w:hideMark/>
          </w:tcPr>
          <w:p w14:paraId="63DA4F84" w14:textId="77777777" w:rsidR="00417C53" w:rsidRDefault="00417C53">
            <w:pPr>
              <w:jc w:val="right"/>
              <w:rPr>
                <w:color w:val="000000"/>
                <w:sz w:val="20"/>
                <w:szCs w:val="20"/>
              </w:rPr>
            </w:pPr>
            <w:r>
              <w:rPr>
                <w:color w:val="000000"/>
                <w:sz w:val="20"/>
                <w:szCs w:val="20"/>
              </w:rPr>
              <w:t>0.571</w:t>
            </w:r>
          </w:p>
        </w:tc>
        <w:tc>
          <w:tcPr>
            <w:tcW w:w="768" w:type="dxa"/>
            <w:tcBorders>
              <w:top w:val="nil"/>
              <w:left w:val="nil"/>
              <w:bottom w:val="nil"/>
              <w:right w:val="nil"/>
            </w:tcBorders>
            <w:shd w:val="clear" w:color="auto" w:fill="auto"/>
            <w:noWrap/>
            <w:vAlign w:val="bottom"/>
            <w:hideMark/>
          </w:tcPr>
          <w:p w14:paraId="49295996"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525EB924" w14:textId="77777777" w:rsidR="00417C53" w:rsidRDefault="00417C53">
            <w:pPr>
              <w:jc w:val="right"/>
              <w:rPr>
                <w:b/>
                <w:bCs/>
                <w:color w:val="000000"/>
                <w:sz w:val="20"/>
                <w:szCs w:val="20"/>
              </w:rPr>
            </w:pPr>
            <w:r>
              <w:rPr>
                <w:b/>
                <w:bCs/>
                <w:color w:val="000000"/>
                <w:sz w:val="20"/>
                <w:szCs w:val="20"/>
              </w:rPr>
              <w:t>0.115</w:t>
            </w:r>
          </w:p>
        </w:tc>
        <w:tc>
          <w:tcPr>
            <w:tcW w:w="768" w:type="dxa"/>
            <w:tcBorders>
              <w:top w:val="nil"/>
              <w:left w:val="nil"/>
              <w:bottom w:val="nil"/>
              <w:right w:val="nil"/>
            </w:tcBorders>
            <w:shd w:val="clear" w:color="auto" w:fill="auto"/>
            <w:noWrap/>
            <w:vAlign w:val="bottom"/>
            <w:hideMark/>
          </w:tcPr>
          <w:p w14:paraId="16F17844" w14:textId="77777777" w:rsidR="00417C53" w:rsidRDefault="00417C53">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489F888B" w14:textId="77777777" w:rsidR="00417C53" w:rsidRDefault="00417C53">
            <w:pPr>
              <w:jc w:val="right"/>
              <w:rPr>
                <w:b/>
                <w:bCs/>
                <w:color w:val="000000"/>
                <w:sz w:val="20"/>
                <w:szCs w:val="20"/>
              </w:rPr>
            </w:pPr>
            <w:r>
              <w:rPr>
                <w:b/>
                <w:bCs/>
                <w:color w:val="000000"/>
                <w:sz w:val="20"/>
                <w:szCs w:val="20"/>
              </w:rPr>
              <w:t>0.013</w:t>
            </w:r>
          </w:p>
        </w:tc>
        <w:tc>
          <w:tcPr>
            <w:tcW w:w="768" w:type="dxa"/>
            <w:tcBorders>
              <w:top w:val="nil"/>
              <w:left w:val="nil"/>
              <w:bottom w:val="nil"/>
              <w:right w:val="nil"/>
            </w:tcBorders>
            <w:shd w:val="clear" w:color="auto" w:fill="auto"/>
            <w:noWrap/>
            <w:vAlign w:val="bottom"/>
            <w:hideMark/>
          </w:tcPr>
          <w:p w14:paraId="2B460D0C" w14:textId="77777777" w:rsidR="00417C53" w:rsidRDefault="00417C53">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96F42F3" w14:textId="77777777" w:rsidR="00417C53" w:rsidRDefault="00417C53">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7C6849F4"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7EA0223" w14:textId="77777777" w:rsidR="00417C53" w:rsidRDefault="00417C53">
            <w:pPr>
              <w:jc w:val="right"/>
              <w:rPr>
                <w:color w:val="000000"/>
                <w:sz w:val="20"/>
                <w:szCs w:val="20"/>
              </w:rPr>
            </w:pPr>
            <w:r>
              <w:rPr>
                <w:color w:val="000000"/>
                <w:sz w:val="20"/>
                <w:szCs w:val="20"/>
              </w:rPr>
              <w:t>0.058</w:t>
            </w:r>
          </w:p>
        </w:tc>
        <w:tc>
          <w:tcPr>
            <w:tcW w:w="768" w:type="dxa"/>
            <w:tcBorders>
              <w:top w:val="nil"/>
              <w:left w:val="nil"/>
              <w:bottom w:val="nil"/>
              <w:right w:val="nil"/>
            </w:tcBorders>
            <w:shd w:val="clear" w:color="auto" w:fill="auto"/>
            <w:noWrap/>
            <w:vAlign w:val="bottom"/>
            <w:hideMark/>
          </w:tcPr>
          <w:p w14:paraId="7760D326" w14:textId="77777777" w:rsidR="00417C53" w:rsidRDefault="00417C53">
            <w:pPr>
              <w:jc w:val="right"/>
              <w:rPr>
                <w:color w:val="000000"/>
                <w:sz w:val="20"/>
                <w:szCs w:val="20"/>
              </w:rPr>
            </w:pPr>
            <w:r>
              <w:rPr>
                <w:color w:val="000000"/>
                <w:sz w:val="20"/>
                <w:szCs w:val="20"/>
              </w:rPr>
              <w:t>0.414</w:t>
            </w:r>
          </w:p>
        </w:tc>
        <w:tc>
          <w:tcPr>
            <w:tcW w:w="768" w:type="dxa"/>
            <w:tcBorders>
              <w:top w:val="nil"/>
              <w:left w:val="nil"/>
              <w:bottom w:val="nil"/>
              <w:right w:val="nil"/>
            </w:tcBorders>
            <w:shd w:val="clear" w:color="auto" w:fill="auto"/>
            <w:noWrap/>
            <w:vAlign w:val="bottom"/>
            <w:hideMark/>
          </w:tcPr>
          <w:p w14:paraId="58916239" w14:textId="77777777" w:rsidR="00417C53" w:rsidRDefault="00417C53">
            <w:pPr>
              <w:jc w:val="right"/>
              <w:rPr>
                <w:color w:val="000000"/>
                <w:sz w:val="20"/>
                <w:szCs w:val="20"/>
              </w:rPr>
            </w:pPr>
            <w:r>
              <w:rPr>
                <w:color w:val="000000"/>
                <w:sz w:val="20"/>
                <w:szCs w:val="20"/>
              </w:rPr>
              <w:t>0.003</w:t>
            </w:r>
          </w:p>
        </w:tc>
      </w:tr>
      <w:tr w:rsidR="00417C53" w14:paraId="4B521C73" w14:textId="77777777" w:rsidTr="00417C53">
        <w:trPr>
          <w:trHeight w:val="320"/>
        </w:trPr>
        <w:tc>
          <w:tcPr>
            <w:tcW w:w="1176" w:type="dxa"/>
            <w:tcBorders>
              <w:top w:val="nil"/>
              <w:left w:val="nil"/>
              <w:bottom w:val="nil"/>
              <w:right w:val="nil"/>
            </w:tcBorders>
            <w:shd w:val="clear" w:color="auto" w:fill="auto"/>
            <w:noWrap/>
            <w:vAlign w:val="bottom"/>
            <w:hideMark/>
          </w:tcPr>
          <w:p w14:paraId="1D0289BD"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056AE55D" w14:textId="77777777" w:rsidR="00417C53" w:rsidRDefault="00417C53">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70EDE21F" w14:textId="77777777" w:rsidR="00417C53" w:rsidRDefault="00417C53">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7108A815" w14:textId="77777777" w:rsidR="00417C53" w:rsidRDefault="00417C53">
            <w:pPr>
              <w:jc w:val="right"/>
              <w:rPr>
                <w:color w:val="000000"/>
                <w:sz w:val="20"/>
                <w:szCs w:val="20"/>
              </w:rPr>
            </w:pPr>
            <w:r>
              <w:rPr>
                <w:color w:val="000000"/>
                <w:sz w:val="20"/>
                <w:szCs w:val="20"/>
              </w:rPr>
              <w:t>0.951</w:t>
            </w:r>
          </w:p>
        </w:tc>
        <w:tc>
          <w:tcPr>
            <w:tcW w:w="768" w:type="dxa"/>
            <w:tcBorders>
              <w:top w:val="nil"/>
              <w:left w:val="nil"/>
              <w:bottom w:val="nil"/>
              <w:right w:val="nil"/>
            </w:tcBorders>
            <w:shd w:val="clear" w:color="auto" w:fill="auto"/>
            <w:noWrap/>
            <w:vAlign w:val="bottom"/>
            <w:hideMark/>
          </w:tcPr>
          <w:p w14:paraId="74253253"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088E5E" w14:textId="77777777" w:rsidR="00417C53" w:rsidRDefault="00417C53">
            <w:pPr>
              <w:jc w:val="right"/>
              <w:rPr>
                <w:color w:val="000000"/>
                <w:sz w:val="20"/>
                <w:szCs w:val="20"/>
              </w:rPr>
            </w:pPr>
            <w:r>
              <w:rPr>
                <w:color w:val="000000"/>
                <w:sz w:val="20"/>
                <w:szCs w:val="20"/>
              </w:rPr>
              <w:t>-0.015</w:t>
            </w:r>
          </w:p>
        </w:tc>
        <w:tc>
          <w:tcPr>
            <w:tcW w:w="768" w:type="dxa"/>
            <w:tcBorders>
              <w:top w:val="nil"/>
              <w:left w:val="nil"/>
              <w:bottom w:val="nil"/>
              <w:right w:val="nil"/>
            </w:tcBorders>
            <w:shd w:val="clear" w:color="auto" w:fill="auto"/>
            <w:noWrap/>
            <w:vAlign w:val="bottom"/>
            <w:hideMark/>
          </w:tcPr>
          <w:p w14:paraId="2D4A7B80" w14:textId="77777777" w:rsidR="00417C53" w:rsidRDefault="00417C53">
            <w:pPr>
              <w:jc w:val="right"/>
              <w:rPr>
                <w:color w:val="000000"/>
                <w:sz w:val="20"/>
                <w:szCs w:val="20"/>
              </w:rPr>
            </w:pPr>
            <w:r>
              <w:rPr>
                <w:color w:val="000000"/>
                <w:sz w:val="20"/>
                <w:szCs w:val="20"/>
              </w:rPr>
              <w:t>0.857</w:t>
            </w:r>
          </w:p>
        </w:tc>
        <w:tc>
          <w:tcPr>
            <w:tcW w:w="768" w:type="dxa"/>
            <w:tcBorders>
              <w:top w:val="nil"/>
              <w:left w:val="nil"/>
              <w:bottom w:val="nil"/>
              <w:right w:val="nil"/>
            </w:tcBorders>
            <w:shd w:val="clear" w:color="auto" w:fill="auto"/>
            <w:noWrap/>
            <w:vAlign w:val="bottom"/>
            <w:hideMark/>
          </w:tcPr>
          <w:p w14:paraId="1D709EB1"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484A0D4" w14:textId="77777777" w:rsidR="00417C53" w:rsidRDefault="00417C53">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6F1AA527" w14:textId="77777777" w:rsidR="00417C53" w:rsidRDefault="00417C53">
            <w:pPr>
              <w:jc w:val="right"/>
              <w:rPr>
                <w:color w:val="000000"/>
                <w:sz w:val="20"/>
                <w:szCs w:val="20"/>
              </w:rPr>
            </w:pPr>
            <w:r>
              <w:rPr>
                <w:color w:val="000000"/>
                <w:sz w:val="20"/>
                <w:szCs w:val="20"/>
              </w:rPr>
              <w:t>0.463</w:t>
            </w:r>
          </w:p>
        </w:tc>
        <w:tc>
          <w:tcPr>
            <w:tcW w:w="768" w:type="dxa"/>
            <w:tcBorders>
              <w:top w:val="nil"/>
              <w:left w:val="nil"/>
              <w:bottom w:val="nil"/>
              <w:right w:val="nil"/>
            </w:tcBorders>
            <w:shd w:val="clear" w:color="auto" w:fill="auto"/>
            <w:noWrap/>
            <w:vAlign w:val="bottom"/>
            <w:hideMark/>
          </w:tcPr>
          <w:p w14:paraId="6C3EB596"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3CC93567" w14:textId="77777777" w:rsidR="00417C53" w:rsidRDefault="00417C53">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E127847" w14:textId="77777777" w:rsidR="00417C53" w:rsidRDefault="00417C53">
            <w:pPr>
              <w:jc w:val="right"/>
              <w:rPr>
                <w:color w:val="000000"/>
                <w:sz w:val="20"/>
                <w:szCs w:val="20"/>
              </w:rPr>
            </w:pPr>
            <w:r>
              <w:rPr>
                <w:color w:val="000000"/>
                <w:sz w:val="20"/>
                <w:szCs w:val="20"/>
              </w:rPr>
              <w:t>0.715</w:t>
            </w:r>
          </w:p>
        </w:tc>
        <w:tc>
          <w:tcPr>
            <w:tcW w:w="768" w:type="dxa"/>
            <w:tcBorders>
              <w:top w:val="nil"/>
              <w:left w:val="nil"/>
              <w:bottom w:val="nil"/>
              <w:right w:val="nil"/>
            </w:tcBorders>
            <w:shd w:val="clear" w:color="auto" w:fill="auto"/>
            <w:noWrap/>
            <w:vAlign w:val="bottom"/>
            <w:hideMark/>
          </w:tcPr>
          <w:p w14:paraId="759CF6AF"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1B08EF0" w14:textId="77777777" w:rsidR="00417C53" w:rsidRDefault="00417C53">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0D684E4E" w14:textId="77777777" w:rsidR="00417C53" w:rsidRDefault="00417C53">
            <w:pPr>
              <w:jc w:val="right"/>
              <w:rPr>
                <w:color w:val="000000"/>
                <w:sz w:val="20"/>
                <w:szCs w:val="20"/>
              </w:rPr>
            </w:pPr>
            <w:r>
              <w:rPr>
                <w:color w:val="000000"/>
                <w:sz w:val="20"/>
                <w:szCs w:val="20"/>
              </w:rPr>
              <w:t>0.499</w:t>
            </w:r>
          </w:p>
        </w:tc>
        <w:tc>
          <w:tcPr>
            <w:tcW w:w="768" w:type="dxa"/>
            <w:tcBorders>
              <w:top w:val="nil"/>
              <w:left w:val="nil"/>
              <w:bottom w:val="nil"/>
              <w:right w:val="nil"/>
            </w:tcBorders>
            <w:shd w:val="clear" w:color="auto" w:fill="auto"/>
            <w:noWrap/>
            <w:vAlign w:val="bottom"/>
            <w:hideMark/>
          </w:tcPr>
          <w:p w14:paraId="7590B3E4" w14:textId="77777777" w:rsidR="00417C53" w:rsidRDefault="00417C53">
            <w:pPr>
              <w:jc w:val="right"/>
              <w:rPr>
                <w:color w:val="000000"/>
                <w:sz w:val="20"/>
                <w:szCs w:val="20"/>
              </w:rPr>
            </w:pPr>
            <w:r>
              <w:rPr>
                <w:color w:val="000000"/>
                <w:sz w:val="20"/>
                <w:szCs w:val="20"/>
              </w:rPr>
              <w:t>0.002</w:t>
            </w:r>
          </w:p>
        </w:tc>
      </w:tr>
      <w:tr w:rsidR="00417C53" w14:paraId="64AB25FA" w14:textId="77777777" w:rsidTr="00417C53">
        <w:trPr>
          <w:trHeight w:val="320"/>
        </w:trPr>
        <w:tc>
          <w:tcPr>
            <w:tcW w:w="1176" w:type="dxa"/>
            <w:tcBorders>
              <w:top w:val="nil"/>
              <w:left w:val="nil"/>
              <w:bottom w:val="single" w:sz="4" w:space="0" w:color="auto"/>
              <w:right w:val="nil"/>
            </w:tcBorders>
            <w:shd w:val="clear" w:color="auto" w:fill="auto"/>
            <w:noWrap/>
            <w:vAlign w:val="bottom"/>
            <w:hideMark/>
          </w:tcPr>
          <w:p w14:paraId="281A53E7" w14:textId="77777777" w:rsidR="00417C53" w:rsidRDefault="00417C53">
            <w:pPr>
              <w:rPr>
                <w:color w:val="000000"/>
                <w:sz w:val="20"/>
                <w:szCs w:val="20"/>
              </w:rPr>
            </w:pPr>
            <w:r>
              <w:rPr>
                <w:color w:val="000000"/>
                <w:sz w:val="20"/>
                <w:szCs w:val="20"/>
              </w:rPr>
              <w:t> </w:t>
            </w:r>
          </w:p>
        </w:tc>
        <w:tc>
          <w:tcPr>
            <w:tcW w:w="1705" w:type="dxa"/>
            <w:tcBorders>
              <w:top w:val="nil"/>
              <w:left w:val="nil"/>
              <w:bottom w:val="single" w:sz="4" w:space="0" w:color="auto"/>
              <w:right w:val="nil"/>
            </w:tcBorders>
            <w:shd w:val="clear" w:color="auto" w:fill="auto"/>
            <w:noWrap/>
            <w:vAlign w:val="center"/>
            <w:hideMark/>
          </w:tcPr>
          <w:p w14:paraId="15117C85" w14:textId="77777777" w:rsidR="00417C53" w:rsidRDefault="00417C53">
            <w:pPr>
              <w:rPr>
                <w:color w:val="000000"/>
                <w:sz w:val="20"/>
                <w:szCs w:val="20"/>
              </w:rPr>
            </w:pPr>
            <w:r>
              <w:rPr>
                <w:color w:val="000000"/>
                <w:sz w:val="20"/>
                <w:szCs w:val="20"/>
              </w:rPr>
              <w:t>Visual Association</w:t>
            </w:r>
          </w:p>
        </w:tc>
        <w:tc>
          <w:tcPr>
            <w:tcW w:w="767" w:type="dxa"/>
            <w:tcBorders>
              <w:top w:val="nil"/>
              <w:left w:val="nil"/>
              <w:bottom w:val="single" w:sz="4" w:space="0" w:color="auto"/>
              <w:right w:val="nil"/>
            </w:tcBorders>
            <w:shd w:val="clear" w:color="auto" w:fill="auto"/>
            <w:noWrap/>
            <w:vAlign w:val="bottom"/>
            <w:hideMark/>
          </w:tcPr>
          <w:p w14:paraId="5AE2A540" w14:textId="77777777" w:rsidR="00417C53" w:rsidRDefault="00417C53">
            <w:pPr>
              <w:jc w:val="right"/>
              <w:rPr>
                <w:color w:val="000000"/>
                <w:sz w:val="20"/>
                <w:szCs w:val="20"/>
              </w:rPr>
            </w:pPr>
            <w:r>
              <w:rPr>
                <w:color w:val="000000"/>
                <w:sz w:val="20"/>
                <w:szCs w:val="20"/>
              </w:rPr>
              <w:t>-0.016</w:t>
            </w:r>
          </w:p>
        </w:tc>
        <w:tc>
          <w:tcPr>
            <w:tcW w:w="768" w:type="dxa"/>
            <w:tcBorders>
              <w:top w:val="nil"/>
              <w:left w:val="nil"/>
              <w:bottom w:val="single" w:sz="4" w:space="0" w:color="auto"/>
              <w:right w:val="nil"/>
            </w:tcBorders>
            <w:shd w:val="clear" w:color="auto" w:fill="auto"/>
            <w:noWrap/>
            <w:vAlign w:val="bottom"/>
            <w:hideMark/>
          </w:tcPr>
          <w:p w14:paraId="43EA6529" w14:textId="77777777" w:rsidR="00417C53" w:rsidRDefault="00417C53">
            <w:pPr>
              <w:jc w:val="right"/>
              <w:rPr>
                <w:color w:val="000000"/>
                <w:sz w:val="20"/>
                <w:szCs w:val="20"/>
              </w:rPr>
            </w:pPr>
            <w:r>
              <w:rPr>
                <w:color w:val="000000"/>
                <w:sz w:val="20"/>
                <w:szCs w:val="20"/>
              </w:rPr>
              <w:t>0.951</w:t>
            </w:r>
          </w:p>
        </w:tc>
        <w:tc>
          <w:tcPr>
            <w:tcW w:w="768" w:type="dxa"/>
            <w:tcBorders>
              <w:top w:val="nil"/>
              <w:left w:val="nil"/>
              <w:bottom w:val="single" w:sz="4" w:space="0" w:color="auto"/>
              <w:right w:val="nil"/>
            </w:tcBorders>
            <w:shd w:val="clear" w:color="auto" w:fill="auto"/>
            <w:noWrap/>
            <w:vAlign w:val="bottom"/>
            <w:hideMark/>
          </w:tcPr>
          <w:p w14:paraId="1237B8BA"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single" w:sz="4" w:space="0" w:color="auto"/>
              <w:right w:val="nil"/>
            </w:tcBorders>
            <w:shd w:val="clear" w:color="auto" w:fill="auto"/>
            <w:noWrap/>
            <w:vAlign w:val="bottom"/>
            <w:hideMark/>
          </w:tcPr>
          <w:p w14:paraId="7EB68172" w14:textId="77777777" w:rsidR="00417C53" w:rsidRDefault="00417C53">
            <w:pPr>
              <w:jc w:val="right"/>
              <w:rPr>
                <w:color w:val="000000"/>
                <w:sz w:val="20"/>
                <w:szCs w:val="20"/>
              </w:rPr>
            </w:pPr>
            <w:r>
              <w:rPr>
                <w:color w:val="000000"/>
                <w:sz w:val="20"/>
                <w:szCs w:val="20"/>
              </w:rPr>
              <w:t>0.039</w:t>
            </w:r>
          </w:p>
        </w:tc>
        <w:tc>
          <w:tcPr>
            <w:tcW w:w="768" w:type="dxa"/>
            <w:tcBorders>
              <w:top w:val="nil"/>
              <w:left w:val="nil"/>
              <w:bottom w:val="single" w:sz="4" w:space="0" w:color="auto"/>
              <w:right w:val="nil"/>
            </w:tcBorders>
            <w:shd w:val="clear" w:color="auto" w:fill="auto"/>
            <w:noWrap/>
            <w:vAlign w:val="bottom"/>
            <w:hideMark/>
          </w:tcPr>
          <w:p w14:paraId="3A90F65D" w14:textId="77777777" w:rsidR="00417C53" w:rsidRDefault="00417C53">
            <w:pPr>
              <w:jc w:val="right"/>
              <w:rPr>
                <w:color w:val="000000"/>
                <w:sz w:val="20"/>
                <w:szCs w:val="20"/>
              </w:rPr>
            </w:pPr>
            <w:r>
              <w:rPr>
                <w:color w:val="000000"/>
                <w:sz w:val="20"/>
                <w:szCs w:val="20"/>
              </w:rPr>
              <w:t>0.562</w:t>
            </w:r>
          </w:p>
        </w:tc>
        <w:tc>
          <w:tcPr>
            <w:tcW w:w="768" w:type="dxa"/>
            <w:tcBorders>
              <w:top w:val="nil"/>
              <w:left w:val="nil"/>
              <w:bottom w:val="single" w:sz="4" w:space="0" w:color="auto"/>
              <w:right w:val="nil"/>
            </w:tcBorders>
            <w:shd w:val="clear" w:color="auto" w:fill="auto"/>
            <w:noWrap/>
            <w:vAlign w:val="bottom"/>
            <w:hideMark/>
          </w:tcPr>
          <w:p w14:paraId="664822AD"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78673F54" w14:textId="77777777" w:rsidR="00417C53" w:rsidRDefault="00417C53">
            <w:pPr>
              <w:jc w:val="right"/>
              <w:rPr>
                <w:color w:val="000000"/>
                <w:sz w:val="20"/>
                <w:szCs w:val="20"/>
              </w:rPr>
            </w:pPr>
            <w:r>
              <w:rPr>
                <w:color w:val="000000"/>
                <w:sz w:val="20"/>
                <w:szCs w:val="20"/>
              </w:rPr>
              <w:t>-0.041</w:t>
            </w:r>
          </w:p>
        </w:tc>
        <w:tc>
          <w:tcPr>
            <w:tcW w:w="768" w:type="dxa"/>
            <w:tcBorders>
              <w:top w:val="nil"/>
              <w:left w:val="nil"/>
              <w:bottom w:val="single" w:sz="4" w:space="0" w:color="auto"/>
              <w:right w:val="nil"/>
            </w:tcBorders>
            <w:shd w:val="clear" w:color="auto" w:fill="auto"/>
            <w:noWrap/>
            <w:vAlign w:val="bottom"/>
            <w:hideMark/>
          </w:tcPr>
          <w:p w14:paraId="2BF57CB7" w14:textId="77777777" w:rsidR="00417C53" w:rsidRDefault="00417C53">
            <w:pPr>
              <w:jc w:val="right"/>
              <w:rPr>
                <w:color w:val="000000"/>
                <w:sz w:val="20"/>
                <w:szCs w:val="20"/>
              </w:rPr>
            </w:pPr>
            <w:r>
              <w:rPr>
                <w:color w:val="000000"/>
                <w:sz w:val="20"/>
                <w:szCs w:val="20"/>
              </w:rPr>
              <w:t>0.451</w:t>
            </w:r>
          </w:p>
        </w:tc>
        <w:tc>
          <w:tcPr>
            <w:tcW w:w="768" w:type="dxa"/>
            <w:tcBorders>
              <w:top w:val="nil"/>
              <w:left w:val="nil"/>
              <w:bottom w:val="single" w:sz="4" w:space="0" w:color="auto"/>
              <w:right w:val="nil"/>
            </w:tcBorders>
            <w:shd w:val="clear" w:color="auto" w:fill="auto"/>
            <w:noWrap/>
            <w:vAlign w:val="bottom"/>
            <w:hideMark/>
          </w:tcPr>
          <w:p w14:paraId="03BE546C"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single" w:sz="4" w:space="0" w:color="auto"/>
              <w:right w:val="nil"/>
            </w:tcBorders>
            <w:shd w:val="clear" w:color="auto" w:fill="auto"/>
            <w:noWrap/>
            <w:vAlign w:val="bottom"/>
            <w:hideMark/>
          </w:tcPr>
          <w:p w14:paraId="37B961D7" w14:textId="77777777" w:rsidR="00417C53" w:rsidRDefault="00417C53">
            <w:pPr>
              <w:jc w:val="right"/>
              <w:rPr>
                <w:color w:val="000000"/>
                <w:sz w:val="20"/>
                <w:szCs w:val="20"/>
              </w:rPr>
            </w:pPr>
            <w:r>
              <w:rPr>
                <w:color w:val="000000"/>
                <w:sz w:val="20"/>
                <w:szCs w:val="20"/>
              </w:rPr>
              <w:t>-0.055</w:t>
            </w:r>
          </w:p>
        </w:tc>
        <w:tc>
          <w:tcPr>
            <w:tcW w:w="768" w:type="dxa"/>
            <w:tcBorders>
              <w:top w:val="nil"/>
              <w:left w:val="nil"/>
              <w:bottom w:val="single" w:sz="4" w:space="0" w:color="auto"/>
              <w:right w:val="nil"/>
            </w:tcBorders>
            <w:shd w:val="clear" w:color="auto" w:fill="auto"/>
            <w:noWrap/>
            <w:vAlign w:val="bottom"/>
            <w:hideMark/>
          </w:tcPr>
          <w:p w14:paraId="5DEB4E32" w14:textId="77777777" w:rsidR="00417C53" w:rsidRDefault="00417C53">
            <w:pPr>
              <w:jc w:val="right"/>
              <w:rPr>
                <w:color w:val="000000"/>
                <w:sz w:val="20"/>
                <w:szCs w:val="20"/>
              </w:rPr>
            </w:pPr>
            <w:r>
              <w:rPr>
                <w:color w:val="000000"/>
                <w:sz w:val="20"/>
                <w:szCs w:val="20"/>
              </w:rPr>
              <w:t>0.604</w:t>
            </w:r>
          </w:p>
        </w:tc>
        <w:tc>
          <w:tcPr>
            <w:tcW w:w="768" w:type="dxa"/>
            <w:tcBorders>
              <w:top w:val="nil"/>
              <w:left w:val="nil"/>
              <w:bottom w:val="single" w:sz="4" w:space="0" w:color="auto"/>
              <w:right w:val="nil"/>
            </w:tcBorders>
            <w:shd w:val="clear" w:color="auto" w:fill="auto"/>
            <w:noWrap/>
            <w:vAlign w:val="bottom"/>
            <w:hideMark/>
          </w:tcPr>
          <w:p w14:paraId="2723ACE2"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single" w:sz="4" w:space="0" w:color="auto"/>
              <w:right w:val="nil"/>
            </w:tcBorders>
            <w:shd w:val="clear" w:color="auto" w:fill="auto"/>
            <w:noWrap/>
            <w:vAlign w:val="bottom"/>
            <w:hideMark/>
          </w:tcPr>
          <w:p w14:paraId="1EAC0FFA" w14:textId="77777777" w:rsidR="00417C53" w:rsidRDefault="00417C53">
            <w:pPr>
              <w:jc w:val="right"/>
              <w:rPr>
                <w:color w:val="000000"/>
                <w:sz w:val="20"/>
                <w:szCs w:val="20"/>
              </w:rPr>
            </w:pPr>
            <w:r>
              <w:rPr>
                <w:color w:val="000000"/>
                <w:sz w:val="20"/>
                <w:szCs w:val="20"/>
              </w:rPr>
              <w:t>0.055</w:t>
            </w:r>
          </w:p>
        </w:tc>
        <w:tc>
          <w:tcPr>
            <w:tcW w:w="768" w:type="dxa"/>
            <w:tcBorders>
              <w:top w:val="nil"/>
              <w:left w:val="nil"/>
              <w:bottom w:val="single" w:sz="4" w:space="0" w:color="auto"/>
              <w:right w:val="nil"/>
            </w:tcBorders>
            <w:shd w:val="clear" w:color="auto" w:fill="auto"/>
            <w:noWrap/>
            <w:vAlign w:val="bottom"/>
            <w:hideMark/>
          </w:tcPr>
          <w:p w14:paraId="49EDB44C" w14:textId="77777777" w:rsidR="00417C53" w:rsidRDefault="00417C53">
            <w:pPr>
              <w:jc w:val="right"/>
              <w:rPr>
                <w:color w:val="000000"/>
                <w:sz w:val="20"/>
                <w:szCs w:val="20"/>
              </w:rPr>
            </w:pPr>
            <w:r>
              <w:rPr>
                <w:color w:val="000000"/>
                <w:sz w:val="20"/>
                <w:szCs w:val="20"/>
              </w:rPr>
              <w:t>0.414</w:t>
            </w:r>
          </w:p>
        </w:tc>
        <w:tc>
          <w:tcPr>
            <w:tcW w:w="768" w:type="dxa"/>
            <w:tcBorders>
              <w:top w:val="nil"/>
              <w:left w:val="nil"/>
              <w:bottom w:val="single" w:sz="4" w:space="0" w:color="auto"/>
              <w:right w:val="nil"/>
            </w:tcBorders>
            <w:shd w:val="clear" w:color="auto" w:fill="auto"/>
            <w:noWrap/>
            <w:vAlign w:val="bottom"/>
            <w:hideMark/>
          </w:tcPr>
          <w:p w14:paraId="3F2AB694" w14:textId="77777777" w:rsidR="00417C53" w:rsidRDefault="00417C53">
            <w:pPr>
              <w:jc w:val="right"/>
              <w:rPr>
                <w:color w:val="000000"/>
                <w:sz w:val="20"/>
                <w:szCs w:val="20"/>
              </w:rPr>
            </w:pPr>
            <w:r>
              <w:rPr>
                <w:color w:val="000000"/>
                <w:sz w:val="20"/>
                <w:szCs w:val="20"/>
              </w:rPr>
              <w:t>0.003</w:t>
            </w:r>
          </w:p>
        </w:tc>
      </w:tr>
      <w:tr w:rsidR="00417C53" w14:paraId="4A37207B" w14:textId="77777777" w:rsidTr="00417C53">
        <w:trPr>
          <w:trHeight w:val="320"/>
        </w:trPr>
        <w:tc>
          <w:tcPr>
            <w:tcW w:w="1176" w:type="dxa"/>
            <w:tcBorders>
              <w:top w:val="nil"/>
              <w:left w:val="nil"/>
              <w:bottom w:val="nil"/>
              <w:right w:val="nil"/>
            </w:tcBorders>
            <w:shd w:val="clear" w:color="auto" w:fill="auto"/>
            <w:noWrap/>
            <w:vAlign w:val="bottom"/>
            <w:hideMark/>
          </w:tcPr>
          <w:p w14:paraId="14DCDC56" w14:textId="77777777" w:rsidR="00417C53" w:rsidRDefault="00417C53">
            <w:pPr>
              <w:rPr>
                <w:color w:val="000000"/>
                <w:sz w:val="20"/>
                <w:szCs w:val="20"/>
              </w:rPr>
            </w:pPr>
            <w:r>
              <w:rPr>
                <w:color w:val="000000"/>
                <w:sz w:val="20"/>
                <w:szCs w:val="20"/>
              </w:rPr>
              <w:lastRenderedPageBreak/>
              <w:t>Threshold 30%</w:t>
            </w:r>
          </w:p>
        </w:tc>
        <w:tc>
          <w:tcPr>
            <w:tcW w:w="1705" w:type="dxa"/>
            <w:tcBorders>
              <w:top w:val="nil"/>
              <w:left w:val="nil"/>
              <w:bottom w:val="nil"/>
              <w:right w:val="nil"/>
            </w:tcBorders>
            <w:shd w:val="clear" w:color="auto" w:fill="auto"/>
            <w:noWrap/>
            <w:vAlign w:val="center"/>
            <w:hideMark/>
          </w:tcPr>
          <w:p w14:paraId="77FD9406" w14:textId="77777777" w:rsidR="00417C53" w:rsidRDefault="00417C53">
            <w:pPr>
              <w:rPr>
                <w:color w:val="000000"/>
                <w:sz w:val="20"/>
                <w:szCs w:val="20"/>
              </w:rPr>
            </w:pPr>
            <w:r>
              <w:rPr>
                <w:color w:val="000000"/>
                <w:sz w:val="20"/>
                <w:szCs w:val="20"/>
              </w:rPr>
              <w:t>Subcortical Cerebellar</w:t>
            </w:r>
          </w:p>
        </w:tc>
        <w:tc>
          <w:tcPr>
            <w:tcW w:w="767" w:type="dxa"/>
            <w:tcBorders>
              <w:top w:val="nil"/>
              <w:left w:val="nil"/>
              <w:bottom w:val="nil"/>
              <w:right w:val="nil"/>
            </w:tcBorders>
            <w:shd w:val="clear" w:color="auto" w:fill="auto"/>
            <w:noWrap/>
            <w:vAlign w:val="bottom"/>
            <w:hideMark/>
          </w:tcPr>
          <w:p w14:paraId="5624A0A4" w14:textId="77777777" w:rsidR="00417C53" w:rsidRDefault="00417C53">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56339429" w14:textId="77777777" w:rsidR="00417C53" w:rsidRDefault="00417C53">
            <w:pPr>
              <w:jc w:val="right"/>
              <w:rPr>
                <w:color w:val="000000"/>
                <w:sz w:val="20"/>
                <w:szCs w:val="20"/>
              </w:rPr>
            </w:pPr>
            <w:r>
              <w:rPr>
                <w:color w:val="000000"/>
                <w:sz w:val="20"/>
                <w:szCs w:val="20"/>
              </w:rPr>
              <w:t>0.893</w:t>
            </w:r>
          </w:p>
        </w:tc>
        <w:tc>
          <w:tcPr>
            <w:tcW w:w="768" w:type="dxa"/>
            <w:tcBorders>
              <w:top w:val="nil"/>
              <w:left w:val="nil"/>
              <w:bottom w:val="nil"/>
              <w:right w:val="nil"/>
            </w:tcBorders>
            <w:shd w:val="clear" w:color="auto" w:fill="auto"/>
            <w:noWrap/>
            <w:vAlign w:val="bottom"/>
            <w:hideMark/>
          </w:tcPr>
          <w:p w14:paraId="13C7C7E8"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24CCF0B" w14:textId="77777777" w:rsidR="00417C53" w:rsidRDefault="00417C53">
            <w:pPr>
              <w:jc w:val="right"/>
              <w:rPr>
                <w:color w:val="000000"/>
                <w:sz w:val="20"/>
                <w:szCs w:val="20"/>
              </w:rPr>
            </w:pPr>
            <w:r>
              <w:rPr>
                <w:color w:val="000000"/>
                <w:sz w:val="20"/>
                <w:szCs w:val="20"/>
              </w:rPr>
              <w:t>-0.025</w:t>
            </w:r>
          </w:p>
        </w:tc>
        <w:tc>
          <w:tcPr>
            <w:tcW w:w="768" w:type="dxa"/>
            <w:tcBorders>
              <w:top w:val="nil"/>
              <w:left w:val="nil"/>
              <w:bottom w:val="nil"/>
              <w:right w:val="nil"/>
            </w:tcBorders>
            <w:shd w:val="clear" w:color="auto" w:fill="auto"/>
            <w:noWrap/>
            <w:vAlign w:val="bottom"/>
            <w:hideMark/>
          </w:tcPr>
          <w:p w14:paraId="07AFC8F1" w14:textId="77777777" w:rsidR="00417C53" w:rsidRDefault="00417C53">
            <w:pPr>
              <w:jc w:val="right"/>
              <w:rPr>
                <w:color w:val="000000"/>
                <w:sz w:val="20"/>
                <w:szCs w:val="20"/>
              </w:rPr>
            </w:pPr>
            <w:r>
              <w:rPr>
                <w:color w:val="000000"/>
                <w:sz w:val="20"/>
                <w:szCs w:val="20"/>
              </w:rPr>
              <w:t>0.627</w:t>
            </w:r>
          </w:p>
        </w:tc>
        <w:tc>
          <w:tcPr>
            <w:tcW w:w="768" w:type="dxa"/>
            <w:tcBorders>
              <w:top w:val="nil"/>
              <w:left w:val="nil"/>
              <w:bottom w:val="nil"/>
              <w:right w:val="nil"/>
            </w:tcBorders>
            <w:shd w:val="clear" w:color="auto" w:fill="auto"/>
            <w:noWrap/>
            <w:vAlign w:val="bottom"/>
            <w:hideMark/>
          </w:tcPr>
          <w:p w14:paraId="7DBC8769"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44A3BA62" w14:textId="77777777" w:rsidR="00417C53" w:rsidRDefault="00417C53">
            <w:pPr>
              <w:jc w:val="right"/>
              <w:rPr>
                <w:color w:val="000000"/>
                <w:sz w:val="20"/>
                <w:szCs w:val="20"/>
              </w:rPr>
            </w:pPr>
            <w:r>
              <w:rPr>
                <w:color w:val="000000"/>
                <w:sz w:val="20"/>
                <w:szCs w:val="20"/>
              </w:rPr>
              <w:t>-0.039</w:t>
            </w:r>
          </w:p>
        </w:tc>
        <w:tc>
          <w:tcPr>
            <w:tcW w:w="768" w:type="dxa"/>
            <w:tcBorders>
              <w:top w:val="nil"/>
              <w:left w:val="nil"/>
              <w:bottom w:val="nil"/>
              <w:right w:val="nil"/>
            </w:tcBorders>
            <w:shd w:val="clear" w:color="auto" w:fill="auto"/>
            <w:noWrap/>
            <w:vAlign w:val="bottom"/>
            <w:hideMark/>
          </w:tcPr>
          <w:p w14:paraId="58322987" w14:textId="77777777" w:rsidR="00417C53" w:rsidRDefault="00417C53">
            <w:pPr>
              <w:jc w:val="right"/>
              <w:rPr>
                <w:color w:val="000000"/>
                <w:sz w:val="20"/>
                <w:szCs w:val="20"/>
              </w:rPr>
            </w:pPr>
            <w:r>
              <w:rPr>
                <w:color w:val="000000"/>
                <w:sz w:val="20"/>
                <w:szCs w:val="20"/>
              </w:rPr>
              <w:t>0.418</w:t>
            </w:r>
          </w:p>
        </w:tc>
        <w:tc>
          <w:tcPr>
            <w:tcW w:w="768" w:type="dxa"/>
            <w:tcBorders>
              <w:top w:val="nil"/>
              <w:left w:val="nil"/>
              <w:bottom w:val="nil"/>
              <w:right w:val="nil"/>
            </w:tcBorders>
            <w:shd w:val="clear" w:color="auto" w:fill="auto"/>
            <w:noWrap/>
            <w:vAlign w:val="bottom"/>
            <w:hideMark/>
          </w:tcPr>
          <w:p w14:paraId="176FF76A"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3D73490B" w14:textId="77777777" w:rsidR="00417C53" w:rsidRDefault="00417C53">
            <w:pPr>
              <w:jc w:val="right"/>
              <w:rPr>
                <w:color w:val="000000"/>
                <w:sz w:val="20"/>
                <w:szCs w:val="20"/>
              </w:rPr>
            </w:pPr>
            <w:r>
              <w:rPr>
                <w:color w:val="000000"/>
                <w:sz w:val="20"/>
                <w:szCs w:val="20"/>
              </w:rPr>
              <w:t>-0.004</w:t>
            </w:r>
          </w:p>
        </w:tc>
        <w:tc>
          <w:tcPr>
            <w:tcW w:w="768" w:type="dxa"/>
            <w:tcBorders>
              <w:top w:val="nil"/>
              <w:left w:val="nil"/>
              <w:bottom w:val="nil"/>
              <w:right w:val="nil"/>
            </w:tcBorders>
            <w:shd w:val="clear" w:color="auto" w:fill="auto"/>
            <w:noWrap/>
            <w:vAlign w:val="bottom"/>
            <w:hideMark/>
          </w:tcPr>
          <w:p w14:paraId="0AC5F2EE" w14:textId="77777777" w:rsidR="00417C53" w:rsidRDefault="00417C53">
            <w:pPr>
              <w:jc w:val="right"/>
              <w:rPr>
                <w:color w:val="000000"/>
                <w:sz w:val="20"/>
                <w:szCs w:val="20"/>
              </w:rPr>
            </w:pPr>
            <w:r>
              <w:rPr>
                <w:color w:val="000000"/>
                <w:sz w:val="20"/>
                <w:szCs w:val="20"/>
              </w:rPr>
              <w:t>0.915</w:t>
            </w:r>
          </w:p>
        </w:tc>
        <w:tc>
          <w:tcPr>
            <w:tcW w:w="768" w:type="dxa"/>
            <w:tcBorders>
              <w:top w:val="nil"/>
              <w:left w:val="nil"/>
              <w:bottom w:val="nil"/>
              <w:right w:val="nil"/>
            </w:tcBorders>
            <w:shd w:val="clear" w:color="auto" w:fill="auto"/>
            <w:noWrap/>
            <w:vAlign w:val="bottom"/>
            <w:hideMark/>
          </w:tcPr>
          <w:p w14:paraId="67055652"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2CD7B07" w14:textId="77777777" w:rsidR="00417C53" w:rsidRDefault="00417C53">
            <w:pPr>
              <w:jc w:val="right"/>
              <w:rPr>
                <w:color w:val="000000"/>
                <w:sz w:val="20"/>
                <w:szCs w:val="20"/>
              </w:rPr>
            </w:pPr>
            <w:r>
              <w:rPr>
                <w:color w:val="000000"/>
                <w:sz w:val="20"/>
                <w:szCs w:val="20"/>
              </w:rPr>
              <w:t>0.052</w:t>
            </w:r>
          </w:p>
        </w:tc>
        <w:tc>
          <w:tcPr>
            <w:tcW w:w="768" w:type="dxa"/>
            <w:tcBorders>
              <w:top w:val="nil"/>
              <w:left w:val="nil"/>
              <w:bottom w:val="nil"/>
              <w:right w:val="nil"/>
            </w:tcBorders>
            <w:shd w:val="clear" w:color="auto" w:fill="auto"/>
            <w:noWrap/>
            <w:vAlign w:val="bottom"/>
            <w:hideMark/>
          </w:tcPr>
          <w:p w14:paraId="2FF5A352" w14:textId="77777777" w:rsidR="00417C53" w:rsidRDefault="00417C53">
            <w:pPr>
              <w:jc w:val="right"/>
              <w:rPr>
                <w:color w:val="000000"/>
                <w:sz w:val="20"/>
                <w:szCs w:val="20"/>
              </w:rPr>
            </w:pPr>
            <w:r>
              <w:rPr>
                <w:color w:val="000000"/>
                <w:sz w:val="20"/>
                <w:szCs w:val="20"/>
              </w:rPr>
              <w:t>0.380</w:t>
            </w:r>
          </w:p>
        </w:tc>
        <w:tc>
          <w:tcPr>
            <w:tcW w:w="768" w:type="dxa"/>
            <w:tcBorders>
              <w:top w:val="nil"/>
              <w:left w:val="nil"/>
              <w:bottom w:val="nil"/>
              <w:right w:val="nil"/>
            </w:tcBorders>
            <w:shd w:val="clear" w:color="auto" w:fill="auto"/>
            <w:noWrap/>
            <w:vAlign w:val="bottom"/>
            <w:hideMark/>
          </w:tcPr>
          <w:p w14:paraId="7D874A37" w14:textId="77777777" w:rsidR="00417C53" w:rsidRDefault="00417C53">
            <w:pPr>
              <w:jc w:val="right"/>
              <w:rPr>
                <w:color w:val="000000"/>
                <w:sz w:val="20"/>
                <w:szCs w:val="20"/>
              </w:rPr>
            </w:pPr>
            <w:r>
              <w:rPr>
                <w:color w:val="000000"/>
                <w:sz w:val="20"/>
                <w:szCs w:val="20"/>
              </w:rPr>
              <w:t>0.003</w:t>
            </w:r>
          </w:p>
        </w:tc>
      </w:tr>
      <w:tr w:rsidR="00417C53" w14:paraId="54032343" w14:textId="77777777" w:rsidTr="00417C53">
        <w:trPr>
          <w:trHeight w:val="320"/>
        </w:trPr>
        <w:tc>
          <w:tcPr>
            <w:tcW w:w="1176" w:type="dxa"/>
            <w:tcBorders>
              <w:top w:val="nil"/>
              <w:left w:val="nil"/>
              <w:bottom w:val="nil"/>
              <w:right w:val="nil"/>
            </w:tcBorders>
            <w:shd w:val="clear" w:color="auto" w:fill="auto"/>
            <w:noWrap/>
            <w:vAlign w:val="bottom"/>
            <w:hideMark/>
          </w:tcPr>
          <w:p w14:paraId="3FE5FC4E"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750D0C35" w14:textId="77777777" w:rsidR="00417C53" w:rsidRDefault="00417C53">
            <w:pPr>
              <w:rPr>
                <w:color w:val="000000"/>
                <w:sz w:val="20"/>
                <w:szCs w:val="20"/>
              </w:rPr>
            </w:pPr>
            <w:r>
              <w:rPr>
                <w:color w:val="000000"/>
                <w:sz w:val="20"/>
                <w:szCs w:val="20"/>
              </w:rPr>
              <w:t xml:space="preserve">Motor </w:t>
            </w:r>
          </w:p>
        </w:tc>
        <w:tc>
          <w:tcPr>
            <w:tcW w:w="767" w:type="dxa"/>
            <w:tcBorders>
              <w:top w:val="nil"/>
              <w:left w:val="nil"/>
              <w:bottom w:val="nil"/>
              <w:right w:val="nil"/>
            </w:tcBorders>
            <w:shd w:val="clear" w:color="auto" w:fill="auto"/>
            <w:noWrap/>
            <w:vAlign w:val="bottom"/>
            <w:hideMark/>
          </w:tcPr>
          <w:p w14:paraId="109A3F39" w14:textId="77777777" w:rsidR="00417C53" w:rsidRDefault="00417C53">
            <w:pPr>
              <w:jc w:val="right"/>
              <w:rPr>
                <w:color w:val="000000"/>
                <w:sz w:val="20"/>
                <w:szCs w:val="20"/>
              </w:rPr>
            </w:pPr>
            <w:r>
              <w:rPr>
                <w:color w:val="000000"/>
                <w:sz w:val="20"/>
                <w:szCs w:val="20"/>
              </w:rPr>
              <w:t>-0.032</w:t>
            </w:r>
          </w:p>
        </w:tc>
        <w:tc>
          <w:tcPr>
            <w:tcW w:w="768" w:type="dxa"/>
            <w:tcBorders>
              <w:top w:val="nil"/>
              <w:left w:val="nil"/>
              <w:bottom w:val="nil"/>
              <w:right w:val="nil"/>
            </w:tcBorders>
            <w:shd w:val="clear" w:color="auto" w:fill="auto"/>
            <w:noWrap/>
            <w:vAlign w:val="bottom"/>
            <w:hideMark/>
          </w:tcPr>
          <w:p w14:paraId="08782BD4" w14:textId="77777777" w:rsidR="00417C53" w:rsidRDefault="00417C53">
            <w:pPr>
              <w:jc w:val="right"/>
              <w:rPr>
                <w:color w:val="000000"/>
                <w:sz w:val="20"/>
                <w:szCs w:val="20"/>
              </w:rPr>
            </w:pPr>
            <w:r>
              <w:rPr>
                <w:color w:val="000000"/>
                <w:sz w:val="20"/>
                <w:szCs w:val="20"/>
              </w:rPr>
              <w:t>0.893</w:t>
            </w:r>
          </w:p>
        </w:tc>
        <w:tc>
          <w:tcPr>
            <w:tcW w:w="768" w:type="dxa"/>
            <w:tcBorders>
              <w:top w:val="nil"/>
              <w:left w:val="nil"/>
              <w:bottom w:val="nil"/>
              <w:right w:val="nil"/>
            </w:tcBorders>
            <w:shd w:val="clear" w:color="auto" w:fill="auto"/>
            <w:noWrap/>
            <w:vAlign w:val="bottom"/>
            <w:hideMark/>
          </w:tcPr>
          <w:p w14:paraId="05360763"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04C60A41" w14:textId="77777777" w:rsidR="00417C53" w:rsidRDefault="00417C53">
            <w:pPr>
              <w:jc w:val="right"/>
              <w:rPr>
                <w:color w:val="000000"/>
                <w:sz w:val="20"/>
                <w:szCs w:val="20"/>
              </w:rPr>
            </w:pPr>
            <w:r>
              <w:rPr>
                <w:color w:val="000000"/>
                <w:sz w:val="20"/>
                <w:szCs w:val="20"/>
              </w:rPr>
              <w:t>-0.011</w:t>
            </w:r>
          </w:p>
        </w:tc>
        <w:tc>
          <w:tcPr>
            <w:tcW w:w="768" w:type="dxa"/>
            <w:tcBorders>
              <w:top w:val="nil"/>
              <w:left w:val="nil"/>
              <w:bottom w:val="nil"/>
              <w:right w:val="nil"/>
            </w:tcBorders>
            <w:shd w:val="clear" w:color="auto" w:fill="auto"/>
            <w:noWrap/>
            <w:vAlign w:val="bottom"/>
            <w:hideMark/>
          </w:tcPr>
          <w:p w14:paraId="3C841650" w14:textId="77777777" w:rsidR="00417C53" w:rsidRDefault="00417C53">
            <w:pPr>
              <w:jc w:val="right"/>
              <w:rPr>
                <w:color w:val="000000"/>
                <w:sz w:val="20"/>
                <w:szCs w:val="20"/>
              </w:rPr>
            </w:pPr>
            <w:r>
              <w:rPr>
                <w:color w:val="000000"/>
                <w:sz w:val="20"/>
                <w:szCs w:val="20"/>
              </w:rPr>
              <w:t>0.829</w:t>
            </w:r>
          </w:p>
        </w:tc>
        <w:tc>
          <w:tcPr>
            <w:tcW w:w="768" w:type="dxa"/>
            <w:tcBorders>
              <w:top w:val="nil"/>
              <w:left w:val="nil"/>
              <w:bottom w:val="nil"/>
              <w:right w:val="nil"/>
            </w:tcBorders>
            <w:shd w:val="clear" w:color="auto" w:fill="auto"/>
            <w:noWrap/>
            <w:vAlign w:val="bottom"/>
            <w:hideMark/>
          </w:tcPr>
          <w:p w14:paraId="3258C578"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29C4E3C" w14:textId="77777777" w:rsidR="00417C53" w:rsidRDefault="00417C53">
            <w:pPr>
              <w:jc w:val="right"/>
              <w:rPr>
                <w:color w:val="000000"/>
                <w:sz w:val="20"/>
                <w:szCs w:val="20"/>
              </w:rPr>
            </w:pPr>
            <w:r>
              <w:rPr>
                <w:color w:val="000000"/>
                <w:sz w:val="20"/>
                <w:szCs w:val="20"/>
              </w:rPr>
              <w:t>0.022</w:t>
            </w:r>
          </w:p>
        </w:tc>
        <w:tc>
          <w:tcPr>
            <w:tcW w:w="768" w:type="dxa"/>
            <w:tcBorders>
              <w:top w:val="nil"/>
              <w:left w:val="nil"/>
              <w:bottom w:val="nil"/>
              <w:right w:val="nil"/>
            </w:tcBorders>
            <w:shd w:val="clear" w:color="auto" w:fill="auto"/>
            <w:noWrap/>
            <w:vAlign w:val="bottom"/>
            <w:hideMark/>
          </w:tcPr>
          <w:p w14:paraId="11720BC5" w14:textId="77777777" w:rsidR="00417C53" w:rsidRDefault="00417C53">
            <w:pPr>
              <w:jc w:val="right"/>
              <w:rPr>
                <w:color w:val="000000"/>
                <w:sz w:val="20"/>
                <w:szCs w:val="20"/>
              </w:rPr>
            </w:pPr>
            <w:r>
              <w:rPr>
                <w:color w:val="000000"/>
                <w:sz w:val="20"/>
                <w:szCs w:val="20"/>
              </w:rPr>
              <w:t>0.589</w:t>
            </w:r>
          </w:p>
        </w:tc>
        <w:tc>
          <w:tcPr>
            <w:tcW w:w="768" w:type="dxa"/>
            <w:tcBorders>
              <w:top w:val="nil"/>
              <w:left w:val="nil"/>
              <w:bottom w:val="nil"/>
              <w:right w:val="nil"/>
            </w:tcBorders>
            <w:shd w:val="clear" w:color="auto" w:fill="auto"/>
            <w:noWrap/>
            <w:vAlign w:val="bottom"/>
            <w:hideMark/>
          </w:tcPr>
          <w:p w14:paraId="5F3A5257"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5B75C246" w14:textId="77777777" w:rsidR="00417C53" w:rsidRDefault="00417C53">
            <w:pPr>
              <w:jc w:val="right"/>
              <w:rPr>
                <w:color w:val="000000"/>
                <w:sz w:val="20"/>
                <w:szCs w:val="20"/>
              </w:rPr>
            </w:pPr>
            <w:r>
              <w:rPr>
                <w:color w:val="000000"/>
                <w:sz w:val="20"/>
                <w:szCs w:val="20"/>
              </w:rPr>
              <w:t>-0.036</w:t>
            </w:r>
          </w:p>
        </w:tc>
        <w:tc>
          <w:tcPr>
            <w:tcW w:w="768" w:type="dxa"/>
            <w:tcBorders>
              <w:top w:val="nil"/>
              <w:left w:val="nil"/>
              <w:bottom w:val="nil"/>
              <w:right w:val="nil"/>
            </w:tcBorders>
            <w:shd w:val="clear" w:color="auto" w:fill="auto"/>
            <w:noWrap/>
            <w:vAlign w:val="bottom"/>
            <w:hideMark/>
          </w:tcPr>
          <w:p w14:paraId="4FAADC22" w14:textId="77777777" w:rsidR="00417C53" w:rsidRDefault="00417C53">
            <w:pPr>
              <w:jc w:val="right"/>
              <w:rPr>
                <w:color w:val="000000"/>
                <w:sz w:val="20"/>
                <w:szCs w:val="20"/>
              </w:rPr>
            </w:pPr>
            <w:r>
              <w:rPr>
                <w:color w:val="000000"/>
                <w:sz w:val="20"/>
                <w:szCs w:val="20"/>
              </w:rPr>
              <w:t>0.622</w:t>
            </w:r>
          </w:p>
        </w:tc>
        <w:tc>
          <w:tcPr>
            <w:tcW w:w="768" w:type="dxa"/>
            <w:tcBorders>
              <w:top w:val="nil"/>
              <w:left w:val="nil"/>
              <w:bottom w:val="nil"/>
              <w:right w:val="nil"/>
            </w:tcBorders>
            <w:shd w:val="clear" w:color="auto" w:fill="auto"/>
            <w:noWrap/>
            <w:vAlign w:val="bottom"/>
            <w:hideMark/>
          </w:tcPr>
          <w:p w14:paraId="68CBE2FC"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70CFC731" w14:textId="77777777" w:rsidR="00417C53" w:rsidRDefault="00417C53">
            <w:pPr>
              <w:jc w:val="right"/>
              <w:rPr>
                <w:color w:val="000000"/>
                <w:sz w:val="20"/>
                <w:szCs w:val="20"/>
              </w:rPr>
            </w:pPr>
            <w:r>
              <w:rPr>
                <w:color w:val="000000"/>
                <w:sz w:val="20"/>
                <w:szCs w:val="20"/>
              </w:rPr>
              <w:t>0.027</w:t>
            </w:r>
          </w:p>
        </w:tc>
        <w:tc>
          <w:tcPr>
            <w:tcW w:w="768" w:type="dxa"/>
            <w:tcBorders>
              <w:top w:val="nil"/>
              <w:left w:val="nil"/>
              <w:bottom w:val="nil"/>
              <w:right w:val="nil"/>
            </w:tcBorders>
            <w:shd w:val="clear" w:color="auto" w:fill="auto"/>
            <w:noWrap/>
            <w:vAlign w:val="bottom"/>
            <w:hideMark/>
          </w:tcPr>
          <w:p w14:paraId="6E19A759" w14:textId="77777777" w:rsidR="00417C53" w:rsidRDefault="00417C53">
            <w:pPr>
              <w:jc w:val="right"/>
              <w:rPr>
                <w:color w:val="000000"/>
                <w:sz w:val="20"/>
                <w:szCs w:val="20"/>
              </w:rPr>
            </w:pPr>
            <w:r>
              <w:rPr>
                <w:color w:val="000000"/>
                <w:sz w:val="20"/>
                <w:szCs w:val="20"/>
              </w:rPr>
              <w:t>0.637</w:t>
            </w:r>
          </w:p>
        </w:tc>
        <w:tc>
          <w:tcPr>
            <w:tcW w:w="768" w:type="dxa"/>
            <w:tcBorders>
              <w:top w:val="nil"/>
              <w:left w:val="nil"/>
              <w:bottom w:val="nil"/>
              <w:right w:val="nil"/>
            </w:tcBorders>
            <w:shd w:val="clear" w:color="auto" w:fill="auto"/>
            <w:noWrap/>
            <w:vAlign w:val="bottom"/>
            <w:hideMark/>
          </w:tcPr>
          <w:p w14:paraId="6935E79B" w14:textId="77777777" w:rsidR="00417C53" w:rsidRDefault="00417C53">
            <w:pPr>
              <w:jc w:val="right"/>
              <w:rPr>
                <w:color w:val="000000"/>
                <w:sz w:val="20"/>
                <w:szCs w:val="20"/>
              </w:rPr>
            </w:pPr>
            <w:r>
              <w:rPr>
                <w:color w:val="000000"/>
                <w:sz w:val="20"/>
                <w:szCs w:val="20"/>
              </w:rPr>
              <w:t>0.001</w:t>
            </w:r>
          </w:p>
        </w:tc>
      </w:tr>
      <w:tr w:rsidR="00417C53" w14:paraId="29FDB63D" w14:textId="77777777" w:rsidTr="00417C53">
        <w:trPr>
          <w:trHeight w:val="320"/>
        </w:trPr>
        <w:tc>
          <w:tcPr>
            <w:tcW w:w="1176" w:type="dxa"/>
            <w:tcBorders>
              <w:top w:val="nil"/>
              <w:left w:val="nil"/>
              <w:bottom w:val="nil"/>
              <w:right w:val="nil"/>
            </w:tcBorders>
            <w:shd w:val="clear" w:color="auto" w:fill="auto"/>
            <w:noWrap/>
            <w:vAlign w:val="bottom"/>
            <w:hideMark/>
          </w:tcPr>
          <w:p w14:paraId="176CA825"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3E7B4F03" w14:textId="77777777" w:rsidR="00417C53" w:rsidRDefault="00417C53">
            <w:pPr>
              <w:rPr>
                <w:color w:val="000000"/>
                <w:sz w:val="20"/>
                <w:szCs w:val="20"/>
              </w:rPr>
            </w:pPr>
            <w:r>
              <w:rPr>
                <w:color w:val="000000"/>
                <w:sz w:val="20"/>
                <w:szCs w:val="20"/>
              </w:rPr>
              <w:t>Medial Frontal</w:t>
            </w:r>
          </w:p>
        </w:tc>
        <w:tc>
          <w:tcPr>
            <w:tcW w:w="767" w:type="dxa"/>
            <w:tcBorders>
              <w:top w:val="nil"/>
              <w:left w:val="nil"/>
              <w:bottom w:val="nil"/>
              <w:right w:val="nil"/>
            </w:tcBorders>
            <w:shd w:val="clear" w:color="auto" w:fill="auto"/>
            <w:noWrap/>
            <w:vAlign w:val="bottom"/>
            <w:hideMark/>
          </w:tcPr>
          <w:p w14:paraId="1B92E914" w14:textId="77777777" w:rsidR="00417C53" w:rsidRDefault="00417C53">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6E046693" w14:textId="77777777" w:rsidR="00417C53" w:rsidRDefault="00417C53">
            <w:pPr>
              <w:jc w:val="right"/>
              <w:rPr>
                <w:color w:val="000000"/>
                <w:sz w:val="20"/>
                <w:szCs w:val="20"/>
              </w:rPr>
            </w:pPr>
            <w:r>
              <w:rPr>
                <w:color w:val="000000"/>
                <w:sz w:val="20"/>
                <w:szCs w:val="20"/>
              </w:rPr>
              <w:t>0.724</w:t>
            </w:r>
          </w:p>
        </w:tc>
        <w:tc>
          <w:tcPr>
            <w:tcW w:w="768" w:type="dxa"/>
            <w:tcBorders>
              <w:top w:val="nil"/>
              <w:left w:val="nil"/>
              <w:bottom w:val="nil"/>
              <w:right w:val="nil"/>
            </w:tcBorders>
            <w:shd w:val="clear" w:color="auto" w:fill="auto"/>
            <w:noWrap/>
            <w:vAlign w:val="bottom"/>
            <w:hideMark/>
          </w:tcPr>
          <w:p w14:paraId="39E00C17"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633C9D67" w14:textId="77777777" w:rsidR="00417C53" w:rsidRDefault="00417C53">
            <w:pPr>
              <w:jc w:val="right"/>
              <w:rPr>
                <w:color w:val="000000"/>
                <w:sz w:val="20"/>
                <w:szCs w:val="20"/>
              </w:rPr>
            </w:pPr>
            <w:r>
              <w:rPr>
                <w:color w:val="000000"/>
                <w:sz w:val="20"/>
                <w:szCs w:val="20"/>
              </w:rPr>
              <w:t>0.078</w:t>
            </w:r>
          </w:p>
        </w:tc>
        <w:tc>
          <w:tcPr>
            <w:tcW w:w="768" w:type="dxa"/>
            <w:tcBorders>
              <w:top w:val="nil"/>
              <w:left w:val="nil"/>
              <w:bottom w:val="nil"/>
              <w:right w:val="nil"/>
            </w:tcBorders>
            <w:shd w:val="clear" w:color="auto" w:fill="auto"/>
            <w:noWrap/>
            <w:vAlign w:val="bottom"/>
            <w:hideMark/>
          </w:tcPr>
          <w:p w14:paraId="276F6A76" w14:textId="77777777" w:rsidR="00417C53" w:rsidRDefault="00417C53">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7853F5DF" w14:textId="77777777" w:rsidR="00417C53" w:rsidRDefault="00417C53">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480C7761" w14:textId="77777777" w:rsidR="00417C53" w:rsidRDefault="00417C53">
            <w:pPr>
              <w:jc w:val="right"/>
              <w:rPr>
                <w:color w:val="000000"/>
                <w:sz w:val="20"/>
                <w:szCs w:val="20"/>
              </w:rPr>
            </w:pPr>
            <w:r>
              <w:rPr>
                <w:color w:val="000000"/>
                <w:sz w:val="20"/>
                <w:szCs w:val="20"/>
              </w:rPr>
              <w:t>0.038</w:t>
            </w:r>
          </w:p>
        </w:tc>
        <w:tc>
          <w:tcPr>
            <w:tcW w:w="768" w:type="dxa"/>
            <w:tcBorders>
              <w:top w:val="nil"/>
              <w:left w:val="nil"/>
              <w:bottom w:val="nil"/>
              <w:right w:val="nil"/>
            </w:tcBorders>
            <w:shd w:val="clear" w:color="auto" w:fill="auto"/>
            <w:noWrap/>
            <w:vAlign w:val="bottom"/>
            <w:hideMark/>
          </w:tcPr>
          <w:p w14:paraId="214C9863" w14:textId="77777777" w:rsidR="00417C53" w:rsidRDefault="00417C53">
            <w:pPr>
              <w:jc w:val="right"/>
              <w:rPr>
                <w:color w:val="000000"/>
                <w:sz w:val="20"/>
                <w:szCs w:val="20"/>
              </w:rPr>
            </w:pPr>
            <w:r>
              <w:rPr>
                <w:color w:val="000000"/>
                <w:sz w:val="20"/>
                <w:szCs w:val="20"/>
              </w:rPr>
              <w:t>0.422</w:t>
            </w:r>
          </w:p>
        </w:tc>
        <w:tc>
          <w:tcPr>
            <w:tcW w:w="768" w:type="dxa"/>
            <w:tcBorders>
              <w:top w:val="nil"/>
              <w:left w:val="nil"/>
              <w:bottom w:val="nil"/>
              <w:right w:val="nil"/>
            </w:tcBorders>
            <w:shd w:val="clear" w:color="auto" w:fill="auto"/>
            <w:noWrap/>
            <w:vAlign w:val="bottom"/>
            <w:hideMark/>
          </w:tcPr>
          <w:p w14:paraId="127EC0C5"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23B5FEE3" w14:textId="77777777" w:rsidR="00417C53" w:rsidRDefault="00417C53">
            <w:pPr>
              <w:jc w:val="right"/>
              <w:rPr>
                <w:color w:val="000000"/>
                <w:sz w:val="20"/>
                <w:szCs w:val="20"/>
              </w:rPr>
            </w:pPr>
            <w:r>
              <w:rPr>
                <w:color w:val="000000"/>
                <w:sz w:val="20"/>
                <w:szCs w:val="20"/>
              </w:rPr>
              <w:t>0.071</w:t>
            </w:r>
          </w:p>
        </w:tc>
        <w:tc>
          <w:tcPr>
            <w:tcW w:w="768" w:type="dxa"/>
            <w:tcBorders>
              <w:top w:val="nil"/>
              <w:left w:val="nil"/>
              <w:bottom w:val="nil"/>
              <w:right w:val="nil"/>
            </w:tcBorders>
            <w:shd w:val="clear" w:color="auto" w:fill="auto"/>
            <w:noWrap/>
            <w:vAlign w:val="bottom"/>
            <w:hideMark/>
          </w:tcPr>
          <w:p w14:paraId="18002295" w14:textId="77777777" w:rsidR="00417C53" w:rsidRDefault="00417C53">
            <w:pPr>
              <w:jc w:val="right"/>
              <w:rPr>
                <w:color w:val="000000"/>
                <w:sz w:val="20"/>
                <w:szCs w:val="20"/>
              </w:rPr>
            </w:pPr>
            <w:r>
              <w:rPr>
                <w:color w:val="000000"/>
                <w:sz w:val="20"/>
                <w:szCs w:val="20"/>
              </w:rPr>
              <w:t>0.220</w:t>
            </w:r>
          </w:p>
        </w:tc>
        <w:tc>
          <w:tcPr>
            <w:tcW w:w="768" w:type="dxa"/>
            <w:tcBorders>
              <w:top w:val="nil"/>
              <w:left w:val="nil"/>
              <w:bottom w:val="nil"/>
              <w:right w:val="nil"/>
            </w:tcBorders>
            <w:shd w:val="clear" w:color="auto" w:fill="auto"/>
            <w:noWrap/>
            <w:vAlign w:val="bottom"/>
            <w:hideMark/>
          </w:tcPr>
          <w:p w14:paraId="583B78FB" w14:textId="77777777" w:rsidR="00417C53" w:rsidRDefault="00417C5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7C9D20A1" w14:textId="77777777" w:rsidR="00417C53" w:rsidRDefault="00417C53">
            <w:pPr>
              <w:jc w:val="right"/>
              <w:rPr>
                <w:color w:val="000000"/>
                <w:sz w:val="20"/>
                <w:szCs w:val="20"/>
              </w:rPr>
            </w:pPr>
            <w:r>
              <w:rPr>
                <w:color w:val="000000"/>
                <w:sz w:val="20"/>
                <w:szCs w:val="20"/>
              </w:rPr>
              <w:t>-0.088</w:t>
            </w:r>
          </w:p>
        </w:tc>
        <w:tc>
          <w:tcPr>
            <w:tcW w:w="768" w:type="dxa"/>
            <w:tcBorders>
              <w:top w:val="nil"/>
              <w:left w:val="nil"/>
              <w:bottom w:val="nil"/>
              <w:right w:val="nil"/>
            </w:tcBorders>
            <w:shd w:val="clear" w:color="auto" w:fill="auto"/>
            <w:noWrap/>
            <w:vAlign w:val="bottom"/>
            <w:hideMark/>
          </w:tcPr>
          <w:p w14:paraId="32F9AC76" w14:textId="77777777" w:rsidR="00417C53" w:rsidRDefault="00417C53">
            <w:pPr>
              <w:jc w:val="right"/>
              <w:rPr>
                <w:color w:val="000000"/>
                <w:sz w:val="20"/>
                <w:szCs w:val="20"/>
              </w:rPr>
            </w:pPr>
            <w:r>
              <w:rPr>
                <w:color w:val="000000"/>
                <w:sz w:val="20"/>
                <w:szCs w:val="20"/>
              </w:rPr>
              <w:t>0.132</w:t>
            </w:r>
          </w:p>
        </w:tc>
        <w:tc>
          <w:tcPr>
            <w:tcW w:w="768" w:type="dxa"/>
            <w:tcBorders>
              <w:top w:val="nil"/>
              <w:left w:val="nil"/>
              <w:bottom w:val="nil"/>
              <w:right w:val="nil"/>
            </w:tcBorders>
            <w:shd w:val="clear" w:color="auto" w:fill="auto"/>
            <w:noWrap/>
            <w:vAlign w:val="bottom"/>
            <w:hideMark/>
          </w:tcPr>
          <w:p w14:paraId="2F59FAF8" w14:textId="77777777" w:rsidR="00417C53" w:rsidRDefault="00417C53">
            <w:pPr>
              <w:jc w:val="right"/>
              <w:rPr>
                <w:color w:val="000000"/>
                <w:sz w:val="20"/>
                <w:szCs w:val="20"/>
              </w:rPr>
            </w:pPr>
            <w:r>
              <w:rPr>
                <w:color w:val="000000"/>
                <w:sz w:val="20"/>
                <w:szCs w:val="20"/>
              </w:rPr>
              <w:t>0.008</w:t>
            </w:r>
          </w:p>
        </w:tc>
      </w:tr>
      <w:tr w:rsidR="00417C53" w14:paraId="1F27FDFA" w14:textId="77777777" w:rsidTr="00417C53">
        <w:trPr>
          <w:trHeight w:val="320"/>
        </w:trPr>
        <w:tc>
          <w:tcPr>
            <w:tcW w:w="1176" w:type="dxa"/>
            <w:tcBorders>
              <w:top w:val="nil"/>
              <w:left w:val="nil"/>
              <w:bottom w:val="nil"/>
              <w:right w:val="nil"/>
            </w:tcBorders>
            <w:shd w:val="clear" w:color="auto" w:fill="auto"/>
            <w:noWrap/>
            <w:vAlign w:val="bottom"/>
            <w:hideMark/>
          </w:tcPr>
          <w:p w14:paraId="05451A34"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70B00C7" w14:textId="77777777" w:rsidR="00417C53" w:rsidRDefault="00417C53">
            <w:pPr>
              <w:rPr>
                <w:color w:val="000000"/>
                <w:sz w:val="20"/>
                <w:szCs w:val="20"/>
              </w:rPr>
            </w:pPr>
            <w:r>
              <w:rPr>
                <w:color w:val="000000"/>
                <w:sz w:val="20"/>
                <w:szCs w:val="20"/>
              </w:rPr>
              <w:t>Frontoparietal</w:t>
            </w:r>
          </w:p>
        </w:tc>
        <w:tc>
          <w:tcPr>
            <w:tcW w:w="767" w:type="dxa"/>
            <w:tcBorders>
              <w:top w:val="nil"/>
              <w:left w:val="nil"/>
              <w:bottom w:val="nil"/>
              <w:right w:val="nil"/>
            </w:tcBorders>
            <w:shd w:val="clear" w:color="auto" w:fill="auto"/>
            <w:noWrap/>
            <w:vAlign w:val="bottom"/>
            <w:hideMark/>
          </w:tcPr>
          <w:p w14:paraId="0C299B80" w14:textId="77777777" w:rsidR="00417C53" w:rsidRDefault="00417C53">
            <w:pPr>
              <w:jc w:val="right"/>
              <w:rPr>
                <w:color w:val="000000"/>
                <w:sz w:val="20"/>
                <w:szCs w:val="20"/>
              </w:rPr>
            </w:pPr>
            <w:r>
              <w:rPr>
                <w:color w:val="000000"/>
                <w:sz w:val="20"/>
                <w:szCs w:val="20"/>
              </w:rPr>
              <w:t>0.012</w:t>
            </w:r>
          </w:p>
        </w:tc>
        <w:tc>
          <w:tcPr>
            <w:tcW w:w="768" w:type="dxa"/>
            <w:tcBorders>
              <w:top w:val="nil"/>
              <w:left w:val="nil"/>
              <w:bottom w:val="nil"/>
              <w:right w:val="nil"/>
            </w:tcBorders>
            <w:shd w:val="clear" w:color="auto" w:fill="auto"/>
            <w:noWrap/>
            <w:vAlign w:val="bottom"/>
            <w:hideMark/>
          </w:tcPr>
          <w:p w14:paraId="333F42BC" w14:textId="77777777" w:rsidR="00417C53" w:rsidRDefault="00417C53">
            <w:pPr>
              <w:jc w:val="right"/>
              <w:rPr>
                <w:color w:val="000000"/>
                <w:sz w:val="20"/>
                <w:szCs w:val="20"/>
              </w:rPr>
            </w:pPr>
            <w:r>
              <w:rPr>
                <w:color w:val="000000"/>
                <w:sz w:val="20"/>
                <w:szCs w:val="20"/>
              </w:rPr>
              <w:t>0.893</w:t>
            </w:r>
          </w:p>
        </w:tc>
        <w:tc>
          <w:tcPr>
            <w:tcW w:w="768" w:type="dxa"/>
            <w:tcBorders>
              <w:top w:val="nil"/>
              <w:left w:val="nil"/>
              <w:bottom w:val="nil"/>
              <w:right w:val="nil"/>
            </w:tcBorders>
            <w:shd w:val="clear" w:color="auto" w:fill="auto"/>
            <w:noWrap/>
            <w:vAlign w:val="bottom"/>
            <w:hideMark/>
          </w:tcPr>
          <w:p w14:paraId="1CEFF9D8"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3D509B40" w14:textId="77777777" w:rsidR="00417C53" w:rsidRDefault="00417C53">
            <w:pPr>
              <w:jc w:val="right"/>
              <w:rPr>
                <w:color w:val="000000"/>
                <w:sz w:val="20"/>
                <w:szCs w:val="20"/>
              </w:rPr>
            </w:pPr>
            <w:r>
              <w:rPr>
                <w:color w:val="000000"/>
                <w:sz w:val="20"/>
                <w:szCs w:val="20"/>
              </w:rPr>
              <w:t>0.057</w:t>
            </w:r>
          </w:p>
        </w:tc>
        <w:tc>
          <w:tcPr>
            <w:tcW w:w="768" w:type="dxa"/>
            <w:tcBorders>
              <w:top w:val="nil"/>
              <w:left w:val="nil"/>
              <w:bottom w:val="nil"/>
              <w:right w:val="nil"/>
            </w:tcBorders>
            <w:shd w:val="clear" w:color="auto" w:fill="auto"/>
            <w:noWrap/>
            <w:vAlign w:val="bottom"/>
            <w:hideMark/>
          </w:tcPr>
          <w:p w14:paraId="5860C08A" w14:textId="77777777" w:rsidR="00417C53" w:rsidRDefault="00417C53">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12C74341"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016BD548" w14:textId="77777777" w:rsidR="00417C53" w:rsidRDefault="00417C53">
            <w:pPr>
              <w:jc w:val="right"/>
              <w:rPr>
                <w:color w:val="000000"/>
                <w:sz w:val="20"/>
                <w:szCs w:val="20"/>
              </w:rPr>
            </w:pPr>
            <w:r>
              <w:rPr>
                <w:color w:val="000000"/>
                <w:sz w:val="20"/>
                <w:szCs w:val="20"/>
              </w:rPr>
              <w:t>0.070</w:t>
            </w:r>
          </w:p>
        </w:tc>
        <w:tc>
          <w:tcPr>
            <w:tcW w:w="768" w:type="dxa"/>
            <w:tcBorders>
              <w:top w:val="nil"/>
              <w:left w:val="nil"/>
              <w:bottom w:val="nil"/>
              <w:right w:val="nil"/>
            </w:tcBorders>
            <w:shd w:val="clear" w:color="auto" w:fill="auto"/>
            <w:noWrap/>
            <w:vAlign w:val="bottom"/>
            <w:hideMark/>
          </w:tcPr>
          <w:p w14:paraId="20E1D545" w14:textId="77777777" w:rsidR="00417C53" w:rsidRDefault="00417C53">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12BF6EB2" w14:textId="77777777" w:rsidR="00417C53" w:rsidRDefault="00417C5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55064B3D" w14:textId="77777777" w:rsidR="00417C53" w:rsidRDefault="00417C53">
            <w:pPr>
              <w:jc w:val="right"/>
              <w:rPr>
                <w:color w:val="000000"/>
                <w:sz w:val="20"/>
                <w:szCs w:val="20"/>
              </w:rPr>
            </w:pPr>
            <w:r>
              <w:rPr>
                <w:color w:val="000000"/>
                <w:sz w:val="20"/>
                <w:szCs w:val="20"/>
              </w:rPr>
              <w:t>0.082</w:t>
            </w:r>
          </w:p>
        </w:tc>
        <w:tc>
          <w:tcPr>
            <w:tcW w:w="768" w:type="dxa"/>
            <w:tcBorders>
              <w:top w:val="nil"/>
              <w:left w:val="nil"/>
              <w:bottom w:val="nil"/>
              <w:right w:val="nil"/>
            </w:tcBorders>
            <w:shd w:val="clear" w:color="auto" w:fill="auto"/>
            <w:noWrap/>
            <w:vAlign w:val="bottom"/>
            <w:hideMark/>
          </w:tcPr>
          <w:p w14:paraId="6D813790" w14:textId="77777777" w:rsidR="00417C53" w:rsidRDefault="00417C53">
            <w:pPr>
              <w:jc w:val="right"/>
              <w:rPr>
                <w:color w:val="000000"/>
                <w:sz w:val="20"/>
                <w:szCs w:val="20"/>
              </w:rPr>
            </w:pPr>
            <w:r>
              <w:rPr>
                <w:color w:val="000000"/>
                <w:sz w:val="20"/>
                <w:szCs w:val="20"/>
              </w:rPr>
              <w:t>0.216</w:t>
            </w:r>
          </w:p>
        </w:tc>
        <w:tc>
          <w:tcPr>
            <w:tcW w:w="768" w:type="dxa"/>
            <w:tcBorders>
              <w:top w:val="nil"/>
              <w:left w:val="nil"/>
              <w:bottom w:val="nil"/>
              <w:right w:val="nil"/>
            </w:tcBorders>
            <w:shd w:val="clear" w:color="auto" w:fill="auto"/>
            <w:noWrap/>
            <w:vAlign w:val="bottom"/>
            <w:hideMark/>
          </w:tcPr>
          <w:p w14:paraId="113D9417" w14:textId="77777777" w:rsidR="00417C53" w:rsidRDefault="00417C53">
            <w:pPr>
              <w:jc w:val="right"/>
              <w:rPr>
                <w:color w:val="000000"/>
                <w:sz w:val="20"/>
                <w:szCs w:val="20"/>
              </w:rPr>
            </w:pPr>
            <w:r>
              <w:rPr>
                <w:color w:val="000000"/>
                <w:sz w:val="20"/>
                <w:szCs w:val="20"/>
              </w:rPr>
              <w:t>0.007</w:t>
            </w:r>
          </w:p>
        </w:tc>
        <w:tc>
          <w:tcPr>
            <w:tcW w:w="768" w:type="dxa"/>
            <w:tcBorders>
              <w:top w:val="nil"/>
              <w:left w:val="nil"/>
              <w:bottom w:val="nil"/>
              <w:right w:val="nil"/>
            </w:tcBorders>
            <w:shd w:val="clear" w:color="auto" w:fill="auto"/>
            <w:noWrap/>
            <w:vAlign w:val="bottom"/>
            <w:hideMark/>
          </w:tcPr>
          <w:p w14:paraId="0266E4BD" w14:textId="77777777" w:rsidR="00417C53" w:rsidRDefault="00417C53">
            <w:pPr>
              <w:jc w:val="right"/>
              <w:rPr>
                <w:b/>
                <w:bCs/>
                <w:color w:val="000000"/>
                <w:sz w:val="20"/>
                <w:szCs w:val="20"/>
              </w:rPr>
            </w:pPr>
            <w:r>
              <w:rPr>
                <w:b/>
                <w:bCs/>
                <w:color w:val="000000"/>
                <w:sz w:val="20"/>
                <w:szCs w:val="20"/>
              </w:rPr>
              <w:t>-0.157</w:t>
            </w:r>
          </w:p>
        </w:tc>
        <w:tc>
          <w:tcPr>
            <w:tcW w:w="768" w:type="dxa"/>
            <w:tcBorders>
              <w:top w:val="nil"/>
              <w:left w:val="nil"/>
              <w:bottom w:val="nil"/>
              <w:right w:val="nil"/>
            </w:tcBorders>
            <w:shd w:val="clear" w:color="auto" w:fill="auto"/>
            <w:noWrap/>
            <w:vAlign w:val="bottom"/>
            <w:hideMark/>
          </w:tcPr>
          <w:p w14:paraId="4061EAD8" w14:textId="77777777" w:rsidR="00417C53" w:rsidRDefault="00417C53">
            <w:pPr>
              <w:jc w:val="right"/>
              <w:rPr>
                <w:b/>
                <w:bCs/>
                <w:color w:val="000000"/>
                <w:sz w:val="20"/>
                <w:szCs w:val="20"/>
              </w:rPr>
            </w:pPr>
            <w:r>
              <w:rPr>
                <w:b/>
                <w:bCs/>
                <w:color w:val="000000"/>
                <w:sz w:val="20"/>
                <w:szCs w:val="20"/>
              </w:rPr>
              <w:t>0.000</w:t>
            </w:r>
          </w:p>
        </w:tc>
        <w:tc>
          <w:tcPr>
            <w:tcW w:w="768" w:type="dxa"/>
            <w:tcBorders>
              <w:top w:val="nil"/>
              <w:left w:val="nil"/>
              <w:bottom w:val="nil"/>
              <w:right w:val="nil"/>
            </w:tcBorders>
            <w:shd w:val="clear" w:color="auto" w:fill="auto"/>
            <w:noWrap/>
            <w:vAlign w:val="bottom"/>
            <w:hideMark/>
          </w:tcPr>
          <w:p w14:paraId="077B458E" w14:textId="77777777" w:rsidR="00417C53" w:rsidRDefault="00417C53">
            <w:pPr>
              <w:jc w:val="right"/>
              <w:rPr>
                <w:b/>
                <w:bCs/>
                <w:color w:val="000000"/>
                <w:sz w:val="20"/>
                <w:szCs w:val="20"/>
              </w:rPr>
            </w:pPr>
            <w:r>
              <w:rPr>
                <w:b/>
                <w:bCs/>
                <w:color w:val="000000"/>
                <w:sz w:val="20"/>
                <w:szCs w:val="20"/>
              </w:rPr>
              <w:t>0.025</w:t>
            </w:r>
          </w:p>
        </w:tc>
      </w:tr>
      <w:tr w:rsidR="00417C53" w14:paraId="4302A4E0" w14:textId="77777777" w:rsidTr="00417C53">
        <w:trPr>
          <w:trHeight w:val="320"/>
        </w:trPr>
        <w:tc>
          <w:tcPr>
            <w:tcW w:w="1176" w:type="dxa"/>
            <w:tcBorders>
              <w:top w:val="nil"/>
              <w:left w:val="nil"/>
              <w:bottom w:val="nil"/>
              <w:right w:val="nil"/>
            </w:tcBorders>
            <w:shd w:val="clear" w:color="auto" w:fill="auto"/>
            <w:noWrap/>
            <w:vAlign w:val="bottom"/>
            <w:hideMark/>
          </w:tcPr>
          <w:p w14:paraId="5C472BCC" w14:textId="77777777" w:rsidR="00417C53" w:rsidRDefault="00417C53">
            <w:pPr>
              <w:jc w:val="right"/>
              <w:rPr>
                <w:b/>
                <w:bCs/>
                <w:color w:val="000000"/>
                <w:sz w:val="20"/>
                <w:szCs w:val="20"/>
              </w:rPr>
            </w:pPr>
          </w:p>
        </w:tc>
        <w:tc>
          <w:tcPr>
            <w:tcW w:w="1705" w:type="dxa"/>
            <w:tcBorders>
              <w:top w:val="nil"/>
              <w:left w:val="nil"/>
              <w:bottom w:val="nil"/>
              <w:right w:val="nil"/>
            </w:tcBorders>
            <w:shd w:val="clear" w:color="auto" w:fill="auto"/>
            <w:noWrap/>
            <w:vAlign w:val="center"/>
            <w:hideMark/>
          </w:tcPr>
          <w:p w14:paraId="316811FE" w14:textId="77777777" w:rsidR="00417C53" w:rsidRDefault="00417C53">
            <w:pPr>
              <w:rPr>
                <w:color w:val="000000"/>
                <w:sz w:val="20"/>
                <w:szCs w:val="20"/>
              </w:rPr>
            </w:pPr>
            <w:r>
              <w:rPr>
                <w:color w:val="000000"/>
                <w:sz w:val="20"/>
                <w:szCs w:val="20"/>
              </w:rPr>
              <w:t>Default Mode</w:t>
            </w:r>
          </w:p>
        </w:tc>
        <w:tc>
          <w:tcPr>
            <w:tcW w:w="767" w:type="dxa"/>
            <w:tcBorders>
              <w:top w:val="nil"/>
              <w:left w:val="nil"/>
              <w:bottom w:val="nil"/>
              <w:right w:val="nil"/>
            </w:tcBorders>
            <w:shd w:val="clear" w:color="auto" w:fill="auto"/>
            <w:noWrap/>
            <w:vAlign w:val="bottom"/>
            <w:hideMark/>
          </w:tcPr>
          <w:p w14:paraId="008711CC" w14:textId="77777777" w:rsidR="00417C53" w:rsidRDefault="00417C53">
            <w:pPr>
              <w:jc w:val="right"/>
              <w:rPr>
                <w:color w:val="000000"/>
                <w:sz w:val="20"/>
                <w:szCs w:val="20"/>
              </w:rPr>
            </w:pPr>
            <w:r>
              <w:rPr>
                <w:color w:val="000000"/>
                <w:sz w:val="20"/>
                <w:szCs w:val="20"/>
              </w:rPr>
              <w:t>-0.045</w:t>
            </w:r>
          </w:p>
        </w:tc>
        <w:tc>
          <w:tcPr>
            <w:tcW w:w="768" w:type="dxa"/>
            <w:tcBorders>
              <w:top w:val="nil"/>
              <w:left w:val="nil"/>
              <w:bottom w:val="nil"/>
              <w:right w:val="nil"/>
            </w:tcBorders>
            <w:shd w:val="clear" w:color="auto" w:fill="auto"/>
            <w:noWrap/>
            <w:vAlign w:val="bottom"/>
            <w:hideMark/>
          </w:tcPr>
          <w:p w14:paraId="58C26E63" w14:textId="77777777" w:rsidR="00417C53" w:rsidRDefault="00417C53">
            <w:pPr>
              <w:jc w:val="right"/>
              <w:rPr>
                <w:color w:val="000000"/>
                <w:sz w:val="20"/>
                <w:szCs w:val="20"/>
              </w:rPr>
            </w:pPr>
            <w:r>
              <w:rPr>
                <w:color w:val="000000"/>
                <w:sz w:val="20"/>
                <w:szCs w:val="20"/>
              </w:rPr>
              <w:t>0.724</w:t>
            </w:r>
          </w:p>
        </w:tc>
        <w:tc>
          <w:tcPr>
            <w:tcW w:w="768" w:type="dxa"/>
            <w:tcBorders>
              <w:top w:val="nil"/>
              <w:left w:val="nil"/>
              <w:bottom w:val="nil"/>
              <w:right w:val="nil"/>
            </w:tcBorders>
            <w:shd w:val="clear" w:color="auto" w:fill="auto"/>
            <w:noWrap/>
            <w:vAlign w:val="bottom"/>
            <w:hideMark/>
          </w:tcPr>
          <w:p w14:paraId="3611BD69"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19C243C" w14:textId="77777777" w:rsidR="00417C53" w:rsidRDefault="00417C53">
            <w:pPr>
              <w:jc w:val="right"/>
              <w:rPr>
                <w:color w:val="000000"/>
                <w:sz w:val="20"/>
                <w:szCs w:val="20"/>
              </w:rPr>
            </w:pPr>
            <w:r>
              <w:rPr>
                <w:color w:val="000000"/>
                <w:sz w:val="20"/>
                <w:szCs w:val="20"/>
              </w:rPr>
              <w:t>0.049</w:t>
            </w:r>
          </w:p>
        </w:tc>
        <w:tc>
          <w:tcPr>
            <w:tcW w:w="768" w:type="dxa"/>
            <w:tcBorders>
              <w:top w:val="nil"/>
              <w:left w:val="nil"/>
              <w:bottom w:val="nil"/>
              <w:right w:val="nil"/>
            </w:tcBorders>
            <w:shd w:val="clear" w:color="auto" w:fill="auto"/>
            <w:noWrap/>
            <w:vAlign w:val="bottom"/>
            <w:hideMark/>
          </w:tcPr>
          <w:p w14:paraId="3E26E963" w14:textId="77777777" w:rsidR="00417C53" w:rsidRDefault="00417C53">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75D461C3"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6FB77E22" w14:textId="77777777" w:rsidR="00417C53" w:rsidRDefault="00417C53">
            <w:pPr>
              <w:jc w:val="right"/>
              <w:rPr>
                <w:color w:val="000000"/>
                <w:sz w:val="20"/>
                <w:szCs w:val="20"/>
              </w:rPr>
            </w:pPr>
            <w:r>
              <w:rPr>
                <w:color w:val="000000"/>
                <w:sz w:val="20"/>
                <w:szCs w:val="20"/>
              </w:rPr>
              <w:t>0.013</w:t>
            </w:r>
          </w:p>
        </w:tc>
        <w:tc>
          <w:tcPr>
            <w:tcW w:w="768" w:type="dxa"/>
            <w:tcBorders>
              <w:top w:val="nil"/>
              <w:left w:val="nil"/>
              <w:bottom w:val="nil"/>
              <w:right w:val="nil"/>
            </w:tcBorders>
            <w:shd w:val="clear" w:color="auto" w:fill="auto"/>
            <w:noWrap/>
            <w:vAlign w:val="bottom"/>
            <w:hideMark/>
          </w:tcPr>
          <w:p w14:paraId="6D6EC7C6" w14:textId="77777777" w:rsidR="00417C53" w:rsidRDefault="00417C53">
            <w:pPr>
              <w:jc w:val="right"/>
              <w:rPr>
                <w:color w:val="000000"/>
                <w:sz w:val="20"/>
                <w:szCs w:val="20"/>
              </w:rPr>
            </w:pPr>
            <w:r>
              <w:rPr>
                <w:color w:val="000000"/>
                <w:sz w:val="20"/>
                <w:szCs w:val="20"/>
              </w:rPr>
              <w:t>0.766</w:t>
            </w:r>
          </w:p>
        </w:tc>
        <w:tc>
          <w:tcPr>
            <w:tcW w:w="768" w:type="dxa"/>
            <w:tcBorders>
              <w:top w:val="nil"/>
              <w:left w:val="nil"/>
              <w:bottom w:val="nil"/>
              <w:right w:val="nil"/>
            </w:tcBorders>
            <w:shd w:val="clear" w:color="auto" w:fill="auto"/>
            <w:noWrap/>
            <w:vAlign w:val="bottom"/>
            <w:hideMark/>
          </w:tcPr>
          <w:p w14:paraId="4DF2E6A6"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A87418C" w14:textId="77777777" w:rsidR="00417C53" w:rsidRDefault="00417C53">
            <w:pPr>
              <w:jc w:val="right"/>
              <w:rPr>
                <w:color w:val="000000"/>
                <w:sz w:val="20"/>
                <w:szCs w:val="20"/>
              </w:rPr>
            </w:pPr>
            <w:r>
              <w:rPr>
                <w:color w:val="000000"/>
                <w:sz w:val="20"/>
                <w:szCs w:val="20"/>
              </w:rPr>
              <w:t>-0.041</w:t>
            </w:r>
          </w:p>
        </w:tc>
        <w:tc>
          <w:tcPr>
            <w:tcW w:w="768" w:type="dxa"/>
            <w:tcBorders>
              <w:top w:val="nil"/>
              <w:left w:val="nil"/>
              <w:bottom w:val="nil"/>
              <w:right w:val="nil"/>
            </w:tcBorders>
            <w:shd w:val="clear" w:color="auto" w:fill="auto"/>
            <w:noWrap/>
            <w:vAlign w:val="bottom"/>
            <w:hideMark/>
          </w:tcPr>
          <w:p w14:paraId="31EA907F" w14:textId="77777777" w:rsidR="00417C53" w:rsidRDefault="00417C53">
            <w:pPr>
              <w:jc w:val="right"/>
              <w:rPr>
                <w:color w:val="000000"/>
                <w:sz w:val="20"/>
                <w:szCs w:val="20"/>
              </w:rPr>
            </w:pPr>
            <w:r>
              <w:rPr>
                <w:color w:val="000000"/>
                <w:sz w:val="20"/>
                <w:szCs w:val="20"/>
              </w:rPr>
              <w:t>0.592</w:t>
            </w:r>
          </w:p>
        </w:tc>
        <w:tc>
          <w:tcPr>
            <w:tcW w:w="768" w:type="dxa"/>
            <w:tcBorders>
              <w:top w:val="nil"/>
              <w:left w:val="nil"/>
              <w:bottom w:val="nil"/>
              <w:right w:val="nil"/>
            </w:tcBorders>
            <w:shd w:val="clear" w:color="auto" w:fill="auto"/>
            <w:noWrap/>
            <w:vAlign w:val="bottom"/>
            <w:hideMark/>
          </w:tcPr>
          <w:p w14:paraId="0EB61CB3"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7B77BA38" w14:textId="77777777" w:rsidR="00417C53" w:rsidRDefault="00417C53">
            <w:pPr>
              <w:jc w:val="right"/>
              <w:rPr>
                <w:color w:val="000000"/>
                <w:sz w:val="20"/>
                <w:szCs w:val="20"/>
              </w:rPr>
            </w:pPr>
            <w:r>
              <w:rPr>
                <w:color w:val="000000"/>
                <w:sz w:val="20"/>
                <w:szCs w:val="20"/>
              </w:rPr>
              <w:t>-0.017</w:t>
            </w:r>
          </w:p>
        </w:tc>
        <w:tc>
          <w:tcPr>
            <w:tcW w:w="768" w:type="dxa"/>
            <w:tcBorders>
              <w:top w:val="nil"/>
              <w:left w:val="nil"/>
              <w:bottom w:val="nil"/>
              <w:right w:val="nil"/>
            </w:tcBorders>
            <w:shd w:val="clear" w:color="auto" w:fill="auto"/>
            <w:noWrap/>
            <w:vAlign w:val="bottom"/>
            <w:hideMark/>
          </w:tcPr>
          <w:p w14:paraId="3B2FE337" w14:textId="77777777" w:rsidR="00417C53" w:rsidRDefault="00417C53">
            <w:pPr>
              <w:jc w:val="right"/>
              <w:rPr>
                <w:color w:val="000000"/>
                <w:sz w:val="20"/>
                <w:szCs w:val="20"/>
              </w:rPr>
            </w:pPr>
            <w:r>
              <w:rPr>
                <w:color w:val="000000"/>
                <w:sz w:val="20"/>
                <w:szCs w:val="20"/>
              </w:rPr>
              <w:t>0.763</w:t>
            </w:r>
          </w:p>
        </w:tc>
        <w:tc>
          <w:tcPr>
            <w:tcW w:w="768" w:type="dxa"/>
            <w:tcBorders>
              <w:top w:val="nil"/>
              <w:left w:val="nil"/>
              <w:bottom w:val="nil"/>
              <w:right w:val="nil"/>
            </w:tcBorders>
            <w:shd w:val="clear" w:color="auto" w:fill="auto"/>
            <w:noWrap/>
            <w:vAlign w:val="bottom"/>
            <w:hideMark/>
          </w:tcPr>
          <w:p w14:paraId="372C8BF9" w14:textId="77777777" w:rsidR="00417C53" w:rsidRDefault="00417C53">
            <w:pPr>
              <w:jc w:val="right"/>
              <w:rPr>
                <w:color w:val="000000"/>
                <w:sz w:val="20"/>
                <w:szCs w:val="20"/>
              </w:rPr>
            </w:pPr>
            <w:r>
              <w:rPr>
                <w:color w:val="000000"/>
                <w:sz w:val="20"/>
                <w:szCs w:val="20"/>
              </w:rPr>
              <w:t>0.000</w:t>
            </w:r>
          </w:p>
        </w:tc>
      </w:tr>
      <w:tr w:rsidR="00417C53" w14:paraId="47BF687A" w14:textId="77777777" w:rsidTr="00417C53">
        <w:trPr>
          <w:trHeight w:val="320"/>
        </w:trPr>
        <w:tc>
          <w:tcPr>
            <w:tcW w:w="1176" w:type="dxa"/>
            <w:tcBorders>
              <w:top w:val="nil"/>
              <w:left w:val="nil"/>
              <w:bottom w:val="nil"/>
              <w:right w:val="nil"/>
            </w:tcBorders>
            <w:shd w:val="clear" w:color="auto" w:fill="auto"/>
            <w:noWrap/>
            <w:vAlign w:val="bottom"/>
            <w:hideMark/>
          </w:tcPr>
          <w:p w14:paraId="577C01E9"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4B622DFF" w14:textId="77777777" w:rsidR="00417C53" w:rsidRDefault="00417C53">
            <w:pPr>
              <w:rPr>
                <w:color w:val="000000"/>
                <w:sz w:val="20"/>
                <w:szCs w:val="20"/>
              </w:rPr>
            </w:pPr>
            <w:r>
              <w:rPr>
                <w:color w:val="000000"/>
                <w:sz w:val="20"/>
                <w:szCs w:val="20"/>
              </w:rPr>
              <w:t>Visual 2</w:t>
            </w:r>
          </w:p>
        </w:tc>
        <w:tc>
          <w:tcPr>
            <w:tcW w:w="767" w:type="dxa"/>
            <w:tcBorders>
              <w:top w:val="nil"/>
              <w:left w:val="nil"/>
              <w:bottom w:val="nil"/>
              <w:right w:val="nil"/>
            </w:tcBorders>
            <w:shd w:val="clear" w:color="auto" w:fill="auto"/>
            <w:noWrap/>
            <w:vAlign w:val="bottom"/>
            <w:hideMark/>
          </w:tcPr>
          <w:p w14:paraId="108B6E20" w14:textId="77777777" w:rsidR="00417C53" w:rsidRDefault="00417C53">
            <w:pPr>
              <w:jc w:val="right"/>
              <w:rPr>
                <w:color w:val="000000"/>
                <w:sz w:val="20"/>
                <w:szCs w:val="20"/>
              </w:rPr>
            </w:pPr>
            <w:r>
              <w:rPr>
                <w:color w:val="000000"/>
                <w:sz w:val="20"/>
                <w:szCs w:val="20"/>
              </w:rPr>
              <w:t>0.006</w:t>
            </w:r>
          </w:p>
        </w:tc>
        <w:tc>
          <w:tcPr>
            <w:tcW w:w="768" w:type="dxa"/>
            <w:tcBorders>
              <w:top w:val="nil"/>
              <w:left w:val="nil"/>
              <w:bottom w:val="nil"/>
              <w:right w:val="nil"/>
            </w:tcBorders>
            <w:shd w:val="clear" w:color="auto" w:fill="auto"/>
            <w:noWrap/>
            <w:vAlign w:val="bottom"/>
            <w:hideMark/>
          </w:tcPr>
          <w:p w14:paraId="500C76F9" w14:textId="77777777" w:rsidR="00417C53" w:rsidRDefault="00417C53">
            <w:pPr>
              <w:jc w:val="right"/>
              <w:rPr>
                <w:color w:val="000000"/>
                <w:sz w:val="20"/>
                <w:szCs w:val="20"/>
              </w:rPr>
            </w:pPr>
            <w:r>
              <w:rPr>
                <w:color w:val="000000"/>
                <w:sz w:val="20"/>
                <w:szCs w:val="20"/>
              </w:rPr>
              <w:t>0.893</w:t>
            </w:r>
          </w:p>
        </w:tc>
        <w:tc>
          <w:tcPr>
            <w:tcW w:w="768" w:type="dxa"/>
            <w:tcBorders>
              <w:top w:val="nil"/>
              <w:left w:val="nil"/>
              <w:bottom w:val="nil"/>
              <w:right w:val="nil"/>
            </w:tcBorders>
            <w:shd w:val="clear" w:color="auto" w:fill="auto"/>
            <w:noWrap/>
            <w:vAlign w:val="bottom"/>
            <w:hideMark/>
          </w:tcPr>
          <w:p w14:paraId="093D14E3"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0757078F" w14:textId="77777777" w:rsidR="00417C53" w:rsidRDefault="00417C53">
            <w:pPr>
              <w:jc w:val="right"/>
              <w:rPr>
                <w:color w:val="000000"/>
                <w:sz w:val="20"/>
                <w:szCs w:val="20"/>
              </w:rPr>
            </w:pPr>
            <w:r>
              <w:rPr>
                <w:color w:val="000000"/>
                <w:sz w:val="20"/>
                <w:szCs w:val="20"/>
              </w:rPr>
              <w:t>-0.023</w:t>
            </w:r>
          </w:p>
        </w:tc>
        <w:tc>
          <w:tcPr>
            <w:tcW w:w="768" w:type="dxa"/>
            <w:tcBorders>
              <w:top w:val="nil"/>
              <w:left w:val="nil"/>
              <w:bottom w:val="nil"/>
              <w:right w:val="nil"/>
            </w:tcBorders>
            <w:shd w:val="clear" w:color="auto" w:fill="auto"/>
            <w:noWrap/>
            <w:vAlign w:val="bottom"/>
            <w:hideMark/>
          </w:tcPr>
          <w:p w14:paraId="30C9AA2E" w14:textId="77777777" w:rsidR="00417C53" w:rsidRDefault="00417C53">
            <w:pPr>
              <w:jc w:val="right"/>
              <w:rPr>
                <w:color w:val="000000"/>
                <w:sz w:val="20"/>
                <w:szCs w:val="20"/>
              </w:rPr>
            </w:pPr>
            <w:r>
              <w:rPr>
                <w:color w:val="000000"/>
                <w:sz w:val="20"/>
                <w:szCs w:val="20"/>
              </w:rPr>
              <w:t>0.627</w:t>
            </w:r>
          </w:p>
        </w:tc>
        <w:tc>
          <w:tcPr>
            <w:tcW w:w="768" w:type="dxa"/>
            <w:tcBorders>
              <w:top w:val="nil"/>
              <w:left w:val="nil"/>
              <w:bottom w:val="nil"/>
              <w:right w:val="nil"/>
            </w:tcBorders>
            <w:shd w:val="clear" w:color="auto" w:fill="auto"/>
            <w:noWrap/>
            <w:vAlign w:val="bottom"/>
            <w:hideMark/>
          </w:tcPr>
          <w:p w14:paraId="43926726"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nil"/>
              <w:right w:val="nil"/>
            </w:tcBorders>
            <w:shd w:val="clear" w:color="auto" w:fill="auto"/>
            <w:noWrap/>
            <w:vAlign w:val="bottom"/>
            <w:hideMark/>
          </w:tcPr>
          <w:p w14:paraId="628BFEBC" w14:textId="77777777" w:rsidR="00417C53" w:rsidRDefault="00417C53">
            <w:pPr>
              <w:jc w:val="right"/>
              <w:rPr>
                <w:color w:val="000000"/>
                <w:sz w:val="20"/>
                <w:szCs w:val="20"/>
              </w:rPr>
            </w:pPr>
            <w:r>
              <w:rPr>
                <w:color w:val="000000"/>
                <w:sz w:val="20"/>
                <w:szCs w:val="20"/>
              </w:rPr>
              <w:t>0.069</w:t>
            </w:r>
          </w:p>
        </w:tc>
        <w:tc>
          <w:tcPr>
            <w:tcW w:w="768" w:type="dxa"/>
            <w:tcBorders>
              <w:top w:val="nil"/>
              <w:left w:val="nil"/>
              <w:bottom w:val="nil"/>
              <w:right w:val="nil"/>
            </w:tcBorders>
            <w:shd w:val="clear" w:color="auto" w:fill="auto"/>
            <w:noWrap/>
            <w:vAlign w:val="bottom"/>
            <w:hideMark/>
          </w:tcPr>
          <w:p w14:paraId="2FB85BA6" w14:textId="77777777" w:rsidR="00417C53" w:rsidRDefault="00417C53">
            <w:pPr>
              <w:jc w:val="right"/>
              <w:rPr>
                <w:color w:val="000000"/>
                <w:sz w:val="20"/>
                <w:szCs w:val="20"/>
              </w:rPr>
            </w:pPr>
            <w:r>
              <w:rPr>
                <w:color w:val="000000"/>
                <w:sz w:val="20"/>
                <w:szCs w:val="20"/>
              </w:rPr>
              <w:t>0.104</w:t>
            </w:r>
          </w:p>
        </w:tc>
        <w:tc>
          <w:tcPr>
            <w:tcW w:w="768" w:type="dxa"/>
            <w:tcBorders>
              <w:top w:val="nil"/>
              <w:left w:val="nil"/>
              <w:bottom w:val="nil"/>
              <w:right w:val="nil"/>
            </w:tcBorders>
            <w:shd w:val="clear" w:color="auto" w:fill="auto"/>
            <w:noWrap/>
            <w:vAlign w:val="bottom"/>
            <w:hideMark/>
          </w:tcPr>
          <w:p w14:paraId="4EA0B19E" w14:textId="77777777" w:rsidR="00417C53" w:rsidRDefault="00417C5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05CACABA" w14:textId="77777777" w:rsidR="00417C53" w:rsidRDefault="00417C53">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4FCFEA41" w14:textId="77777777" w:rsidR="00417C53" w:rsidRDefault="00417C53">
            <w:pPr>
              <w:jc w:val="right"/>
              <w:rPr>
                <w:color w:val="000000"/>
                <w:sz w:val="20"/>
                <w:szCs w:val="20"/>
              </w:rPr>
            </w:pPr>
            <w:r>
              <w:rPr>
                <w:color w:val="000000"/>
                <w:sz w:val="20"/>
                <w:szCs w:val="20"/>
              </w:rPr>
              <w:t>0.719</w:t>
            </w:r>
          </w:p>
        </w:tc>
        <w:tc>
          <w:tcPr>
            <w:tcW w:w="768" w:type="dxa"/>
            <w:tcBorders>
              <w:top w:val="nil"/>
              <w:left w:val="nil"/>
              <w:bottom w:val="nil"/>
              <w:right w:val="nil"/>
            </w:tcBorders>
            <w:shd w:val="clear" w:color="auto" w:fill="auto"/>
            <w:noWrap/>
            <w:vAlign w:val="bottom"/>
            <w:hideMark/>
          </w:tcPr>
          <w:p w14:paraId="765AB1A7"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105E3F0B" w14:textId="77777777" w:rsidR="00417C53" w:rsidRDefault="00417C53">
            <w:pPr>
              <w:jc w:val="right"/>
              <w:rPr>
                <w:color w:val="000000"/>
                <w:sz w:val="20"/>
                <w:szCs w:val="20"/>
              </w:rPr>
            </w:pPr>
            <w:r>
              <w:rPr>
                <w:color w:val="000000"/>
                <w:sz w:val="20"/>
                <w:szCs w:val="20"/>
              </w:rPr>
              <w:t>0.062</w:t>
            </w:r>
          </w:p>
        </w:tc>
        <w:tc>
          <w:tcPr>
            <w:tcW w:w="768" w:type="dxa"/>
            <w:tcBorders>
              <w:top w:val="nil"/>
              <w:left w:val="nil"/>
              <w:bottom w:val="nil"/>
              <w:right w:val="nil"/>
            </w:tcBorders>
            <w:shd w:val="clear" w:color="auto" w:fill="auto"/>
            <w:noWrap/>
            <w:vAlign w:val="bottom"/>
            <w:hideMark/>
          </w:tcPr>
          <w:p w14:paraId="0AA547B7" w14:textId="77777777" w:rsidR="00417C53" w:rsidRDefault="00417C53">
            <w:pPr>
              <w:jc w:val="right"/>
              <w:rPr>
                <w:color w:val="000000"/>
                <w:sz w:val="20"/>
                <w:szCs w:val="20"/>
              </w:rPr>
            </w:pPr>
            <w:r>
              <w:rPr>
                <w:color w:val="000000"/>
                <w:sz w:val="20"/>
                <w:szCs w:val="20"/>
              </w:rPr>
              <w:t>0.331</w:t>
            </w:r>
          </w:p>
        </w:tc>
        <w:tc>
          <w:tcPr>
            <w:tcW w:w="768" w:type="dxa"/>
            <w:tcBorders>
              <w:top w:val="nil"/>
              <w:left w:val="nil"/>
              <w:bottom w:val="nil"/>
              <w:right w:val="nil"/>
            </w:tcBorders>
            <w:shd w:val="clear" w:color="auto" w:fill="auto"/>
            <w:noWrap/>
            <w:vAlign w:val="bottom"/>
            <w:hideMark/>
          </w:tcPr>
          <w:p w14:paraId="01BCEC3C" w14:textId="77777777" w:rsidR="00417C53" w:rsidRDefault="00417C53">
            <w:pPr>
              <w:jc w:val="right"/>
              <w:rPr>
                <w:color w:val="000000"/>
                <w:sz w:val="20"/>
                <w:szCs w:val="20"/>
              </w:rPr>
            </w:pPr>
            <w:r>
              <w:rPr>
                <w:color w:val="000000"/>
                <w:sz w:val="20"/>
                <w:szCs w:val="20"/>
              </w:rPr>
              <w:t>0.004</w:t>
            </w:r>
          </w:p>
        </w:tc>
      </w:tr>
      <w:tr w:rsidR="00417C53" w14:paraId="66734F45" w14:textId="77777777" w:rsidTr="00417C53">
        <w:trPr>
          <w:trHeight w:val="320"/>
        </w:trPr>
        <w:tc>
          <w:tcPr>
            <w:tcW w:w="1176" w:type="dxa"/>
            <w:tcBorders>
              <w:top w:val="nil"/>
              <w:left w:val="nil"/>
              <w:bottom w:val="nil"/>
              <w:right w:val="nil"/>
            </w:tcBorders>
            <w:shd w:val="clear" w:color="auto" w:fill="auto"/>
            <w:noWrap/>
            <w:vAlign w:val="bottom"/>
            <w:hideMark/>
          </w:tcPr>
          <w:p w14:paraId="1517F062" w14:textId="77777777" w:rsidR="00417C53" w:rsidRDefault="00417C53">
            <w:pPr>
              <w:jc w:val="right"/>
              <w:rPr>
                <w:color w:val="000000"/>
                <w:sz w:val="20"/>
                <w:szCs w:val="20"/>
              </w:rPr>
            </w:pPr>
          </w:p>
        </w:tc>
        <w:tc>
          <w:tcPr>
            <w:tcW w:w="1705" w:type="dxa"/>
            <w:tcBorders>
              <w:top w:val="nil"/>
              <w:left w:val="nil"/>
              <w:bottom w:val="nil"/>
              <w:right w:val="nil"/>
            </w:tcBorders>
            <w:shd w:val="clear" w:color="auto" w:fill="auto"/>
            <w:noWrap/>
            <w:vAlign w:val="center"/>
            <w:hideMark/>
          </w:tcPr>
          <w:p w14:paraId="526DA4D6" w14:textId="77777777" w:rsidR="00417C53" w:rsidRDefault="00417C53">
            <w:pPr>
              <w:rPr>
                <w:color w:val="000000"/>
                <w:sz w:val="20"/>
                <w:szCs w:val="20"/>
              </w:rPr>
            </w:pPr>
            <w:r>
              <w:rPr>
                <w:color w:val="000000"/>
                <w:sz w:val="20"/>
                <w:szCs w:val="20"/>
              </w:rPr>
              <w:t>Visual 1</w:t>
            </w:r>
          </w:p>
        </w:tc>
        <w:tc>
          <w:tcPr>
            <w:tcW w:w="767" w:type="dxa"/>
            <w:tcBorders>
              <w:top w:val="nil"/>
              <w:left w:val="nil"/>
              <w:bottom w:val="nil"/>
              <w:right w:val="nil"/>
            </w:tcBorders>
            <w:shd w:val="clear" w:color="auto" w:fill="auto"/>
            <w:noWrap/>
            <w:vAlign w:val="bottom"/>
            <w:hideMark/>
          </w:tcPr>
          <w:p w14:paraId="53597949" w14:textId="77777777" w:rsidR="00417C53" w:rsidRDefault="00417C53">
            <w:pPr>
              <w:jc w:val="right"/>
              <w:rPr>
                <w:color w:val="000000"/>
                <w:sz w:val="20"/>
                <w:szCs w:val="20"/>
              </w:rPr>
            </w:pPr>
            <w:r>
              <w:rPr>
                <w:color w:val="000000"/>
                <w:sz w:val="20"/>
                <w:szCs w:val="20"/>
              </w:rPr>
              <w:t>0.005</w:t>
            </w:r>
          </w:p>
        </w:tc>
        <w:tc>
          <w:tcPr>
            <w:tcW w:w="768" w:type="dxa"/>
            <w:tcBorders>
              <w:top w:val="nil"/>
              <w:left w:val="nil"/>
              <w:bottom w:val="nil"/>
              <w:right w:val="nil"/>
            </w:tcBorders>
            <w:shd w:val="clear" w:color="auto" w:fill="auto"/>
            <w:noWrap/>
            <w:vAlign w:val="bottom"/>
            <w:hideMark/>
          </w:tcPr>
          <w:p w14:paraId="2A8ED3AA" w14:textId="77777777" w:rsidR="00417C53" w:rsidRDefault="00417C53">
            <w:pPr>
              <w:jc w:val="right"/>
              <w:rPr>
                <w:color w:val="000000"/>
                <w:sz w:val="20"/>
                <w:szCs w:val="20"/>
              </w:rPr>
            </w:pPr>
            <w:r>
              <w:rPr>
                <w:color w:val="000000"/>
                <w:sz w:val="20"/>
                <w:szCs w:val="20"/>
              </w:rPr>
              <w:t>0.893</w:t>
            </w:r>
          </w:p>
        </w:tc>
        <w:tc>
          <w:tcPr>
            <w:tcW w:w="768" w:type="dxa"/>
            <w:tcBorders>
              <w:top w:val="nil"/>
              <w:left w:val="nil"/>
              <w:bottom w:val="nil"/>
              <w:right w:val="nil"/>
            </w:tcBorders>
            <w:shd w:val="clear" w:color="auto" w:fill="auto"/>
            <w:noWrap/>
            <w:vAlign w:val="bottom"/>
            <w:hideMark/>
          </w:tcPr>
          <w:p w14:paraId="445AFB0C"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715DD07A" w14:textId="77777777" w:rsidR="00417C53" w:rsidRDefault="00417C53">
            <w:pPr>
              <w:jc w:val="right"/>
              <w:rPr>
                <w:color w:val="000000"/>
                <w:sz w:val="20"/>
                <w:szCs w:val="20"/>
              </w:rPr>
            </w:pPr>
            <w:r>
              <w:rPr>
                <w:color w:val="000000"/>
                <w:sz w:val="20"/>
                <w:szCs w:val="20"/>
              </w:rPr>
              <w:t>-0.056</w:t>
            </w:r>
          </w:p>
        </w:tc>
        <w:tc>
          <w:tcPr>
            <w:tcW w:w="768" w:type="dxa"/>
            <w:tcBorders>
              <w:top w:val="nil"/>
              <w:left w:val="nil"/>
              <w:bottom w:val="nil"/>
              <w:right w:val="nil"/>
            </w:tcBorders>
            <w:shd w:val="clear" w:color="auto" w:fill="auto"/>
            <w:noWrap/>
            <w:vAlign w:val="bottom"/>
            <w:hideMark/>
          </w:tcPr>
          <w:p w14:paraId="3713BF59" w14:textId="77777777" w:rsidR="00417C53" w:rsidRDefault="00417C53">
            <w:pPr>
              <w:jc w:val="right"/>
              <w:rPr>
                <w:color w:val="000000"/>
                <w:sz w:val="20"/>
                <w:szCs w:val="20"/>
              </w:rPr>
            </w:pPr>
            <w:r>
              <w:rPr>
                <w:color w:val="000000"/>
                <w:sz w:val="20"/>
                <w:szCs w:val="20"/>
              </w:rPr>
              <w:t>0.196</w:t>
            </w:r>
          </w:p>
        </w:tc>
        <w:tc>
          <w:tcPr>
            <w:tcW w:w="768" w:type="dxa"/>
            <w:tcBorders>
              <w:top w:val="nil"/>
              <w:left w:val="nil"/>
              <w:bottom w:val="nil"/>
              <w:right w:val="nil"/>
            </w:tcBorders>
            <w:shd w:val="clear" w:color="auto" w:fill="auto"/>
            <w:noWrap/>
            <w:vAlign w:val="bottom"/>
            <w:hideMark/>
          </w:tcPr>
          <w:p w14:paraId="0BA089E2" w14:textId="77777777" w:rsidR="00417C53" w:rsidRDefault="00417C53">
            <w:pPr>
              <w:jc w:val="right"/>
              <w:rPr>
                <w:color w:val="000000"/>
                <w:sz w:val="20"/>
                <w:szCs w:val="20"/>
              </w:rPr>
            </w:pPr>
            <w:r>
              <w:rPr>
                <w:color w:val="000000"/>
                <w:sz w:val="20"/>
                <w:szCs w:val="20"/>
              </w:rPr>
              <w:t>0.003</w:t>
            </w:r>
          </w:p>
        </w:tc>
        <w:tc>
          <w:tcPr>
            <w:tcW w:w="768" w:type="dxa"/>
            <w:tcBorders>
              <w:top w:val="nil"/>
              <w:left w:val="nil"/>
              <w:bottom w:val="nil"/>
              <w:right w:val="nil"/>
            </w:tcBorders>
            <w:shd w:val="clear" w:color="auto" w:fill="auto"/>
            <w:noWrap/>
            <w:vAlign w:val="bottom"/>
            <w:hideMark/>
          </w:tcPr>
          <w:p w14:paraId="28D660B2" w14:textId="77777777" w:rsidR="00417C53" w:rsidRDefault="00417C53">
            <w:pPr>
              <w:jc w:val="right"/>
              <w:rPr>
                <w:color w:val="000000"/>
                <w:sz w:val="20"/>
                <w:szCs w:val="20"/>
              </w:rPr>
            </w:pPr>
            <w:r>
              <w:rPr>
                <w:color w:val="000000"/>
                <w:sz w:val="20"/>
                <w:szCs w:val="20"/>
              </w:rPr>
              <w:t>0.046</w:t>
            </w:r>
          </w:p>
        </w:tc>
        <w:tc>
          <w:tcPr>
            <w:tcW w:w="768" w:type="dxa"/>
            <w:tcBorders>
              <w:top w:val="nil"/>
              <w:left w:val="nil"/>
              <w:bottom w:val="nil"/>
              <w:right w:val="nil"/>
            </w:tcBorders>
            <w:shd w:val="clear" w:color="auto" w:fill="auto"/>
            <w:noWrap/>
            <w:vAlign w:val="bottom"/>
            <w:hideMark/>
          </w:tcPr>
          <w:p w14:paraId="43484BFB" w14:textId="77777777" w:rsidR="00417C53" w:rsidRDefault="00417C53">
            <w:pPr>
              <w:jc w:val="right"/>
              <w:rPr>
                <w:color w:val="000000"/>
                <w:sz w:val="20"/>
                <w:szCs w:val="20"/>
              </w:rPr>
            </w:pPr>
            <w:r>
              <w:rPr>
                <w:color w:val="000000"/>
                <w:sz w:val="20"/>
                <w:szCs w:val="20"/>
              </w:rPr>
              <w:t>0.384</w:t>
            </w:r>
          </w:p>
        </w:tc>
        <w:tc>
          <w:tcPr>
            <w:tcW w:w="768" w:type="dxa"/>
            <w:tcBorders>
              <w:top w:val="nil"/>
              <w:left w:val="nil"/>
              <w:bottom w:val="nil"/>
              <w:right w:val="nil"/>
            </w:tcBorders>
            <w:shd w:val="clear" w:color="auto" w:fill="auto"/>
            <w:noWrap/>
            <w:vAlign w:val="bottom"/>
            <w:hideMark/>
          </w:tcPr>
          <w:p w14:paraId="4797A251" w14:textId="77777777" w:rsidR="00417C53" w:rsidRDefault="00417C53">
            <w:pPr>
              <w:jc w:val="right"/>
              <w:rPr>
                <w:color w:val="000000"/>
                <w:sz w:val="20"/>
                <w:szCs w:val="20"/>
              </w:rPr>
            </w:pPr>
            <w:r>
              <w:rPr>
                <w:color w:val="000000"/>
                <w:sz w:val="20"/>
                <w:szCs w:val="20"/>
              </w:rPr>
              <w:t>0.002</w:t>
            </w:r>
          </w:p>
        </w:tc>
        <w:tc>
          <w:tcPr>
            <w:tcW w:w="768" w:type="dxa"/>
            <w:tcBorders>
              <w:top w:val="nil"/>
              <w:left w:val="nil"/>
              <w:bottom w:val="nil"/>
              <w:right w:val="nil"/>
            </w:tcBorders>
            <w:shd w:val="clear" w:color="auto" w:fill="auto"/>
            <w:noWrap/>
            <w:vAlign w:val="bottom"/>
            <w:hideMark/>
          </w:tcPr>
          <w:p w14:paraId="1F3AD7DE" w14:textId="77777777" w:rsidR="00417C53" w:rsidRDefault="00417C53">
            <w:pPr>
              <w:jc w:val="right"/>
              <w:rPr>
                <w:color w:val="000000"/>
                <w:sz w:val="20"/>
                <w:szCs w:val="20"/>
              </w:rPr>
            </w:pPr>
            <w:r>
              <w:rPr>
                <w:color w:val="000000"/>
                <w:sz w:val="20"/>
                <w:szCs w:val="20"/>
              </w:rPr>
              <w:t>0.018</w:t>
            </w:r>
          </w:p>
        </w:tc>
        <w:tc>
          <w:tcPr>
            <w:tcW w:w="768" w:type="dxa"/>
            <w:tcBorders>
              <w:top w:val="nil"/>
              <w:left w:val="nil"/>
              <w:bottom w:val="nil"/>
              <w:right w:val="nil"/>
            </w:tcBorders>
            <w:shd w:val="clear" w:color="auto" w:fill="auto"/>
            <w:noWrap/>
            <w:vAlign w:val="bottom"/>
            <w:hideMark/>
          </w:tcPr>
          <w:p w14:paraId="2F781C57" w14:textId="77777777" w:rsidR="00417C53" w:rsidRDefault="00417C53">
            <w:pPr>
              <w:jc w:val="right"/>
              <w:rPr>
                <w:color w:val="000000"/>
                <w:sz w:val="20"/>
                <w:szCs w:val="20"/>
              </w:rPr>
            </w:pPr>
            <w:r>
              <w:rPr>
                <w:color w:val="000000"/>
                <w:sz w:val="20"/>
                <w:szCs w:val="20"/>
              </w:rPr>
              <w:t>0.719</w:t>
            </w:r>
          </w:p>
        </w:tc>
        <w:tc>
          <w:tcPr>
            <w:tcW w:w="768" w:type="dxa"/>
            <w:tcBorders>
              <w:top w:val="nil"/>
              <w:left w:val="nil"/>
              <w:bottom w:val="nil"/>
              <w:right w:val="nil"/>
            </w:tcBorders>
            <w:shd w:val="clear" w:color="auto" w:fill="auto"/>
            <w:noWrap/>
            <w:vAlign w:val="bottom"/>
            <w:hideMark/>
          </w:tcPr>
          <w:p w14:paraId="2DE41464"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nil"/>
              <w:right w:val="nil"/>
            </w:tcBorders>
            <w:shd w:val="clear" w:color="auto" w:fill="auto"/>
            <w:noWrap/>
            <w:vAlign w:val="bottom"/>
            <w:hideMark/>
          </w:tcPr>
          <w:p w14:paraId="21EF118D" w14:textId="77777777" w:rsidR="00417C53" w:rsidRDefault="00417C53">
            <w:pPr>
              <w:jc w:val="right"/>
              <w:rPr>
                <w:color w:val="000000"/>
                <w:sz w:val="20"/>
                <w:szCs w:val="20"/>
              </w:rPr>
            </w:pPr>
            <w:r>
              <w:rPr>
                <w:color w:val="000000"/>
                <w:sz w:val="20"/>
                <w:szCs w:val="20"/>
              </w:rPr>
              <w:t>0.010</w:t>
            </w:r>
          </w:p>
        </w:tc>
        <w:tc>
          <w:tcPr>
            <w:tcW w:w="768" w:type="dxa"/>
            <w:tcBorders>
              <w:top w:val="nil"/>
              <w:left w:val="nil"/>
              <w:bottom w:val="nil"/>
              <w:right w:val="nil"/>
            </w:tcBorders>
            <w:shd w:val="clear" w:color="auto" w:fill="auto"/>
            <w:noWrap/>
            <w:vAlign w:val="bottom"/>
            <w:hideMark/>
          </w:tcPr>
          <w:p w14:paraId="6B81242A" w14:textId="77777777" w:rsidR="00417C53" w:rsidRDefault="00417C53">
            <w:pPr>
              <w:jc w:val="right"/>
              <w:rPr>
                <w:color w:val="000000"/>
                <w:sz w:val="20"/>
                <w:szCs w:val="20"/>
              </w:rPr>
            </w:pPr>
            <w:r>
              <w:rPr>
                <w:color w:val="000000"/>
                <w:sz w:val="20"/>
                <w:szCs w:val="20"/>
              </w:rPr>
              <w:t>0.805</w:t>
            </w:r>
          </w:p>
        </w:tc>
        <w:tc>
          <w:tcPr>
            <w:tcW w:w="768" w:type="dxa"/>
            <w:tcBorders>
              <w:top w:val="nil"/>
              <w:left w:val="nil"/>
              <w:bottom w:val="nil"/>
              <w:right w:val="nil"/>
            </w:tcBorders>
            <w:shd w:val="clear" w:color="auto" w:fill="auto"/>
            <w:noWrap/>
            <w:vAlign w:val="bottom"/>
            <w:hideMark/>
          </w:tcPr>
          <w:p w14:paraId="54554635" w14:textId="77777777" w:rsidR="00417C53" w:rsidRDefault="00417C53">
            <w:pPr>
              <w:jc w:val="right"/>
              <w:rPr>
                <w:color w:val="000000"/>
                <w:sz w:val="20"/>
                <w:szCs w:val="20"/>
              </w:rPr>
            </w:pPr>
            <w:r>
              <w:rPr>
                <w:color w:val="000000"/>
                <w:sz w:val="20"/>
                <w:szCs w:val="20"/>
              </w:rPr>
              <w:t>0.000</w:t>
            </w:r>
          </w:p>
        </w:tc>
      </w:tr>
      <w:tr w:rsidR="00417C53" w14:paraId="049E20D0" w14:textId="77777777" w:rsidTr="00EE0A4C">
        <w:trPr>
          <w:trHeight w:val="340"/>
        </w:trPr>
        <w:tc>
          <w:tcPr>
            <w:tcW w:w="1176" w:type="dxa"/>
            <w:tcBorders>
              <w:top w:val="nil"/>
              <w:left w:val="nil"/>
              <w:bottom w:val="single" w:sz="12" w:space="0" w:color="auto"/>
              <w:right w:val="nil"/>
            </w:tcBorders>
            <w:shd w:val="clear" w:color="auto" w:fill="auto"/>
            <w:noWrap/>
            <w:vAlign w:val="bottom"/>
            <w:hideMark/>
          </w:tcPr>
          <w:p w14:paraId="70B4F91C" w14:textId="77777777" w:rsidR="00417C53" w:rsidRDefault="00417C53">
            <w:pPr>
              <w:rPr>
                <w:color w:val="000000"/>
                <w:sz w:val="20"/>
                <w:szCs w:val="20"/>
              </w:rPr>
            </w:pPr>
            <w:r>
              <w:rPr>
                <w:color w:val="000000"/>
                <w:sz w:val="20"/>
                <w:szCs w:val="20"/>
              </w:rPr>
              <w:t> </w:t>
            </w:r>
          </w:p>
        </w:tc>
        <w:tc>
          <w:tcPr>
            <w:tcW w:w="1705" w:type="dxa"/>
            <w:tcBorders>
              <w:top w:val="nil"/>
              <w:left w:val="nil"/>
              <w:bottom w:val="single" w:sz="12" w:space="0" w:color="auto"/>
              <w:right w:val="nil"/>
            </w:tcBorders>
            <w:shd w:val="clear" w:color="auto" w:fill="auto"/>
            <w:noWrap/>
            <w:vAlign w:val="center"/>
            <w:hideMark/>
          </w:tcPr>
          <w:p w14:paraId="69C5885A" w14:textId="77777777" w:rsidR="00417C53" w:rsidRDefault="00417C53">
            <w:pPr>
              <w:rPr>
                <w:color w:val="000000"/>
                <w:sz w:val="20"/>
                <w:szCs w:val="20"/>
              </w:rPr>
            </w:pPr>
            <w:r>
              <w:rPr>
                <w:color w:val="000000"/>
                <w:sz w:val="20"/>
                <w:szCs w:val="20"/>
              </w:rPr>
              <w:t>Visual Association</w:t>
            </w:r>
          </w:p>
        </w:tc>
        <w:tc>
          <w:tcPr>
            <w:tcW w:w="767" w:type="dxa"/>
            <w:tcBorders>
              <w:top w:val="nil"/>
              <w:left w:val="nil"/>
              <w:bottom w:val="single" w:sz="12" w:space="0" w:color="auto"/>
              <w:right w:val="nil"/>
            </w:tcBorders>
            <w:shd w:val="clear" w:color="auto" w:fill="auto"/>
            <w:noWrap/>
            <w:vAlign w:val="bottom"/>
            <w:hideMark/>
          </w:tcPr>
          <w:p w14:paraId="5A0CD529" w14:textId="77777777" w:rsidR="00417C53" w:rsidRDefault="00417C53">
            <w:pPr>
              <w:jc w:val="right"/>
              <w:rPr>
                <w:color w:val="000000"/>
                <w:sz w:val="20"/>
                <w:szCs w:val="20"/>
              </w:rPr>
            </w:pPr>
            <w:r>
              <w:rPr>
                <w:color w:val="000000"/>
                <w:sz w:val="20"/>
                <w:szCs w:val="20"/>
              </w:rPr>
              <w:t>-0.010</w:t>
            </w:r>
          </w:p>
        </w:tc>
        <w:tc>
          <w:tcPr>
            <w:tcW w:w="768" w:type="dxa"/>
            <w:tcBorders>
              <w:top w:val="nil"/>
              <w:left w:val="nil"/>
              <w:bottom w:val="single" w:sz="12" w:space="0" w:color="auto"/>
              <w:right w:val="nil"/>
            </w:tcBorders>
            <w:shd w:val="clear" w:color="auto" w:fill="auto"/>
            <w:noWrap/>
            <w:vAlign w:val="bottom"/>
            <w:hideMark/>
          </w:tcPr>
          <w:p w14:paraId="395A7863" w14:textId="77777777" w:rsidR="00417C53" w:rsidRDefault="00417C53">
            <w:pPr>
              <w:jc w:val="right"/>
              <w:rPr>
                <w:color w:val="000000"/>
                <w:sz w:val="20"/>
                <w:szCs w:val="20"/>
              </w:rPr>
            </w:pPr>
            <w:r>
              <w:rPr>
                <w:color w:val="000000"/>
                <w:sz w:val="20"/>
                <w:szCs w:val="20"/>
              </w:rPr>
              <w:t>0.893</w:t>
            </w:r>
          </w:p>
        </w:tc>
        <w:tc>
          <w:tcPr>
            <w:tcW w:w="768" w:type="dxa"/>
            <w:tcBorders>
              <w:top w:val="nil"/>
              <w:left w:val="nil"/>
              <w:bottom w:val="single" w:sz="12" w:space="0" w:color="auto"/>
              <w:right w:val="nil"/>
            </w:tcBorders>
            <w:shd w:val="clear" w:color="auto" w:fill="auto"/>
            <w:noWrap/>
            <w:vAlign w:val="bottom"/>
            <w:hideMark/>
          </w:tcPr>
          <w:p w14:paraId="5EC9366B"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68399982"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04C30CFC" w14:textId="77777777" w:rsidR="00417C53" w:rsidRDefault="00417C53">
            <w:pPr>
              <w:jc w:val="right"/>
              <w:rPr>
                <w:color w:val="000000"/>
                <w:sz w:val="20"/>
                <w:szCs w:val="20"/>
              </w:rPr>
            </w:pPr>
            <w:r>
              <w:rPr>
                <w:color w:val="000000"/>
                <w:sz w:val="20"/>
                <w:szCs w:val="20"/>
              </w:rPr>
              <w:t>0.998</w:t>
            </w:r>
          </w:p>
        </w:tc>
        <w:tc>
          <w:tcPr>
            <w:tcW w:w="768" w:type="dxa"/>
            <w:tcBorders>
              <w:top w:val="nil"/>
              <w:left w:val="nil"/>
              <w:bottom w:val="single" w:sz="12" w:space="0" w:color="auto"/>
              <w:right w:val="nil"/>
            </w:tcBorders>
            <w:shd w:val="clear" w:color="auto" w:fill="auto"/>
            <w:noWrap/>
            <w:vAlign w:val="bottom"/>
            <w:hideMark/>
          </w:tcPr>
          <w:p w14:paraId="49D5E395"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2D88A246" w14:textId="77777777" w:rsidR="00417C53" w:rsidRDefault="00417C53">
            <w:pPr>
              <w:jc w:val="right"/>
              <w:rPr>
                <w:color w:val="000000"/>
                <w:sz w:val="20"/>
                <w:szCs w:val="20"/>
              </w:rPr>
            </w:pPr>
            <w:r>
              <w:rPr>
                <w:color w:val="000000"/>
                <w:sz w:val="20"/>
                <w:szCs w:val="20"/>
              </w:rPr>
              <w:t>0.007</w:t>
            </w:r>
          </w:p>
        </w:tc>
        <w:tc>
          <w:tcPr>
            <w:tcW w:w="768" w:type="dxa"/>
            <w:tcBorders>
              <w:top w:val="nil"/>
              <w:left w:val="nil"/>
              <w:bottom w:val="single" w:sz="12" w:space="0" w:color="auto"/>
              <w:right w:val="nil"/>
            </w:tcBorders>
            <w:shd w:val="clear" w:color="auto" w:fill="auto"/>
            <w:noWrap/>
            <w:vAlign w:val="bottom"/>
            <w:hideMark/>
          </w:tcPr>
          <w:p w14:paraId="6DC6146B" w14:textId="77777777" w:rsidR="00417C53" w:rsidRDefault="00417C53">
            <w:pPr>
              <w:jc w:val="right"/>
              <w:rPr>
                <w:color w:val="000000"/>
                <w:sz w:val="20"/>
                <w:szCs w:val="20"/>
              </w:rPr>
            </w:pPr>
            <w:r>
              <w:rPr>
                <w:color w:val="000000"/>
                <w:sz w:val="20"/>
                <w:szCs w:val="20"/>
              </w:rPr>
              <w:t>0.828</w:t>
            </w:r>
          </w:p>
        </w:tc>
        <w:tc>
          <w:tcPr>
            <w:tcW w:w="768" w:type="dxa"/>
            <w:tcBorders>
              <w:top w:val="nil"/>
              <w:left w:val="nil"/>
              <w:bottom w:val="single" w:sz="12" w:space="0" w:color="auto"/>
              <w:right w:val="nil"/>
            </w:tcBorders>
            <w:shd w:val="clear" w:color="auto" w:fill="auto"/>
            <w:noWrap/>
            <w:vAlign w:val="bottom"/>
            <w:hideMark/>
          </w:tcPr>
          <w:p w14:paraId="630A4787" w14:textId="77777777" w:rsidR="00417C53" w:rsidRDefault="00417C53">
            <w:pPr>
              <w:jc w:val="right"/>
              <w:rPr>
                <w:color w:val="000000"/>
                <w:sz w:val="20"/>
                <w:szCs w:val="20"/>
              </w:rPr>
            </w:pPr>
            <w:r>
              <w:rPr>
                <w:color w:val="000000"/>
                <w:sz w:val="20"/>
                <w:szCs w:val="20"/>
              </w:rPr>
              <w:t>0.000</w:t>
            </w:r>
          </w:p>
        </w:tc>
        <w:tc>
          <w:tcPr>
            <w:tcW w:w="768" w:type="dxa"/>
            <w:tcBorders>
              <w:top w:val="nil"/>
              <w:left w:val="nil"/>
              <w:bottom w:val="single" w:sz="12" w:space="0" w:color="auto"/>
              <w:right w:val="nil"/>
            </w:tcBorders>
            <w:shd w:val="clear" w:color="auto" w:fill="auto"/>
            <w:noWrap/>
            <w:vAlign w:val="bottom"/>
            <w:hideMark/>
          </w:tcPr>
          <w:p w14:paraId="1C66ED39" w14:textId="77777777" w:rsidR="00417C53" w:rsidRDefault="00417C53">
            <w:pPr>
              <w:jc w:val="right"/>
              <w:rPr>
                <w:color w:val="000000"/>
                <w:sz w:val="20"/>
                <w:szCs w:val="20"/>
              </w:rPr>
            </w:pPr>
            <w:r>
              <w:rPr>
                <w:color w:val="000000"/>
                <w:sz w:val="20"/>
                <w:szCs w:val="20"/>
              </w:rPr>
              <w:t>-0.030</w:t>
            </w:r>
          </w:p>
        </w:tc>
        <w:tc>
          <w:tcPr>
            <w:tcW w:w="768" w:type="dxa"/>
            <w:tcBorders>
              <w:top w:val="nil"/>
              <w:left w:val="nil"/>
              <w:bottom w:val="single" w:sz="12" w:space="0" w:color="auto"/>
              <w:right w:val="nil"/>
            </w:tcBorders>
            <w:shd w:val="clear" w:color="auto" w:fill="auto"/>
            <w:noWrap/>
            <w:vAlign w:val="bottom"/>
            <w:hideMark/>
          </w:tcPr>
          <w:p w14:paraId="33A75BC1" w14:textId="77777777" w:rsidR="00417C53" w:rsidRDefault="00417C53">
            <w:pPr>
              <w:jc w:val="right"/>
              <w:rPr>
                <w:color w:val="000000"/>
                <w:sz w:val="20"/>
                <w:szCs w:val="20"/>
              </w:rPr>
            </w:pPr>
            <w:r>
              <w:rPr>
                <w:color w:val="000000"/>
                <w:sz w:val="20"/>
                <w:szCs w:val="20"/>
              </w:rPr>
              <w:t>0.622</w:t>
            </w:r>
          </w:p>
        </w:tc>
        <w:tc>
          <w:tcPr>
            <w:tcW w:w="768" w:type="dxa"/>
            <w:tcBorders>
              <w:top w:val="nil"/>
              <w:left w:val="nil"/>
              <w:bottom w:val="single" w:sz="12" w:space="0" w:color="auto"/>
              <w:right w:val="nil"/>
            </w:tcBorders>
            <w:shd w:val="clear" w:color="auto" w:fill="auto"/>
            <w:noWrap/>
            <w:vAlign w:val="bottom"/>
            <w:hideMark/>
          </w:tcPr>
          <w:p w14:paraId="3677CFDC" w14:textId="77777777" w:rsidR="00417C53" w:rsidRDefault="00417C53">
            <w:pPr>
              <w:jc w:val="right"/>
              <w:rPr>
                <w:color w:val="000000"/>
                <w:sz w:val="20"/>
                <w:szCs w:val="20"/>
              </w:rPr>
            </w:pPr>
            <w:r>
              <w:rPr>
                <w:color w:val="000000"/>
                <w:sz w:val="20"/>
                <w:szCs w:val="20"/>
              </w:rPr>
              <w:t>0.001</w:t>
            </w:r>
          </w:p>
        </w:tc>
        <w:tc>
          <w:tcPr>
            <w:tcW w:w="768" w:type="dxa"/>
            <w:tcBorders>
              <w:top w:val="nil"/>
              <w:left w:val="nil"/>
              <w:bottom w:val="single" w:sz="12" w:space="0" w:color="auto"/>
              <w:right w:val="nil"/>
            </w:tcBorders>
            <w:shd w:val="clear" w:color="auto" w:fill="auto"/>
            <w:noWrap/>
            <w:vAlign w:val="bottom"/>
            <w:hideMark/>
          </w:tcPr>
          <w:p w14:paraId="2D6DEF1C" w14:textId="77777777" w:rsidR="00417C53" w:rsidRDefault="00417C53">
            <w:pPr>
              <w:jc w:val="right"/>
              <w:rPr>
                <w:color w:val="000000"/>
                <w:sz w:val="20"/>
                <w:szCs w:val="20"/>
              </w:rPr>
            </w:pPr>
            <w:r>
              <w:rPr>
                <w:color w:val="000000"/>
                <w:sz w:val="20"/>
                <w:szCs w:val="20"/>
              </w:rPr>
              <w:t>0.042</w:t>
            </w:r>
          </w:p>
        </w:tc>
        <w:tc>
          <w:tcPr>
            <w:tcW w:w="768" w:type="dxa"/>
            <w:tcBorders>
              <w:top w:val="nil"/>
              <w:left w:val="nil"/>
              <w:bottom w:val="single" w:sz="12" w:space="0" w:color="auto"/>
              <w:right w:val="nil"/>
            </w:tcBorders>
            <w:shd w:val="clear" w:color="auto" w:fill="auto"/>
            <w:noWrap/>
            <w:vAlign w:val="bottom"/>
            <w:hideMark/>
          </w:tcPr>
          <w:p w14:paraId="6D7AC3E2" w14:textId="77777777" w:rsidR="00417C53" w:rsidRDefault="00417C53">
            <w:pPr>
              <w:jc w:val="right"/>
              <w:rPr>
                <w:color w:val="000000"/>
                <w:sz w:val="20"/>
                <w:szCs w:val="20"/>
              </w:rPr>
            </w:pPr>
            <w:r>
              <w:rPr>
                <w:color w:val="000000"/>
                <w:sz w:val="20"/>
                <w:szCs w:val="20"/>
              </w:rPr>
              <w:t>0.437</w:t>
            </w:r>
          </w:p>
        </w:tc>
        <w:tc>
          <w:tcPr>
            <w:tcW w:w="768" w:type="dxa"/>
            <w:tcBorders>
              <w:top w:val="nil"/>
              <w:left w:val="nil"/>
              <w:bottom w:val="single" w:sz="12" w:space="0" w:color="auto"/>
              <w:right w:val="nil"/>
            </w:tcBorders>
            <w:shd w:val="clear" w:color="auto" w:fill="auto"/>
            <w:noWrap/>
            <w:vAlign w:val="bottom"/>
            <w:hideMark/>
          </w:tcPr>
          <w:p w14:paraId="19B9B695" w14:textId="77777777" w:rsidR="00417C53" w:rsidRDefault="00417C53">
            <w:pPr>
              <w:jc w:val="right"/>
              <w:rPr>
                <w:color w:val="000000"/>
                <w:sz w:val="20"/>
                <w:szCs w:val="20"/>
              </w:rPr>
            </w:pPr>
            <w:r>
              <w:rPr>
                <w:color w:val="000000"/>
                <w:sz w:val="20"/>
                <w:szCs w:val="20"/>
              </w:rPr>
              <w:t>0.002</w:t>
            </w:r>
          </w:p>
        </w:tc>
      </w:tr>
      <w:tr w:rsidR="00417C53" w14:paraId="585FA27B" w14:textId="77777777" w:rsidTr="00EE0A4C">
        <w:trPr>
          <w:trHeight w:val="320"/>
        </w:trPr>
        <w:tc>
          <w:tcPr>
            <w:tcW w:w="1176" w:type="dxa"/>
            <w:tcBorders>
              <w:top w:val="single" w:sz="12" w:space="0" w:color="auto"/>
              <w:left w:val="nil"/>
              <w:bottom w:val="nil"/>
              <w:right w:val="nil"/>
            </w:tcBorders>
            <w:shd w:val="clear" w:color="auto" w:fill="auto"/>
            <w:noWrap/>
            <w:vAlign w:val="bottom"/>
            <w:hideMark/>
          </w:tcPr>
          <w:p w14:paraId="415D8542" w14:textId="77777777" w:rsidR="00417C53" w:rsidRDefault="00417C53">
            <w:pPr>
              <w:jc w:val="right"/>
              <w:rPr>
                <w:color w:val="000000"/>
                <w:sz w:val="20"/>
                <w:szCs w:val="20"/>
              </w:rPr>
            </w:pPr>
          </w:p>
        </w:tc>
        <w:tc>
          <w:tcPr>
            <w:tcW w:w="1705" w:type="dxa"/>
            <w:tcBorders>
              <w:top w:val="single" w:sz="12" w:space="0" w:color="auto"/>
              <w:left w:val="nil"/>
              <w:bottom w:val="nil"/>
              <w:right w:val="nil"/>
            </w:tcBorders>
            <w:shd w:val="clear" w:color="auto" w:fill="auto"/>
            <w:noWrap/>
            <w:vAlign w:val="bottom"/>
            <w:hideMark/>
          </w:tcPr>
          <w:p w14:paraId="3BCE0992" w14:textId="77777777" w:rsidR="00417C53" w:rsidRDefault="00417C53">
            <w:pPr>
              <w:rPr>
                <w:sz w:val="20"/>
                <w:szCs w:val="20"/>
              </w:rPr>
            </w:pPr>
          </w:p>
        </w:tc>
        <w:tc>
          <w:tcPr>
            <w:tcW w:w="767" w:type="dxa"/>
            <w:tcBorders>
              <w:top w:val="single" w:sz="12" w:space="0" w:color="auto"/>
              <w:left w:val="nil"/>
              <w:bottom w:val="nil"/>
              <w:right w:val="nil"/>
            </w:tcBorders>
            <w:shd w:val="clear" w:color="auto" w:fill="auto"/>
            <w:noWrap/>
            <w:vAlign w:val="bottom"/>
            <w:hideMark/>
          </w:tcPr>
          <w:p w14:paraId="6A5202A6"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73C879F"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182BDF7E"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6299A7F"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6518DD0A"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5E4BFD9"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3A09AEF"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3649805"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528BF73"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7456B20"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3D2BAE59"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4FCC72C2"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715B61ED"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59C8BF0D" w14:textId="77777777" w:rsidR="00417C53" w:rsidRDefault="00417C53">
            <w:pPr>
              <w:rPr>
                <w:sz w:val="20"/>
                <w:szCs w:val="20"/>
              </w:rPr>
            </w:pPr>
          </w:p>
        </w:tc>
        <w:tc>
          <w:tcPr>
            <w:tcW w:w="768" w:type="dxa"/>
            <w:tcBorders>
              <w:top w:val="single" w:sz="12" w:space="0" w:color="auto"/>
              <w:left w:val="nil"/>
              <w:bottom w:val="nil"/>
              <w:right w:val="nil"/>
            </w:tcBorders>
            <w:shd w:val="clear" w:color="auto" w:fill="auto"/>
            <w:noWrap/>
            <w:vAlign w:val="bottom"/>
            <w:hideMark/>
          </w:tcPr>
          <w:p w14:paraId="05563C9A" w14:textId="77777777" w:rsidR="00417C53" w:rsidRDefault="00417C53">
            <w:pPr>
              <w:rPr>
                <w:sz w:val="20"/>
                <w:szCs w:val="20"/>
              </w:rPr>
            </w:pPr>
          </w:p>
        </w:tc>
      </w:tr>
    </w:tbl>
    <w:p w14:paraId="3C1D14EF" w14:textId="77777777" w:rsidR="00B13307" w:rsidRDefault="00B13307">
      <w:pPr>
        <w:rPr>
          <w:rFonts w:eastAsiaTheme="majorEastAsia"/>
          <w:color w:val="000000" w:themeColor="text1"/>
        </w:rPr>
      </w:pPr>
      <w:r>
        <w:rPr>
          <w:color w:val="000000" w:themeColor="text1"/>
        </w:rPr>
        <w:br w:type="page"/>
      </w:r>
    </w:p>
    <w:p w14:paraId="1EAC5B83" w14:textId="0634F5AB" w:rsidR="001A18EF" w:rsidRPr="004C58D5" w:rsidRDefault="00C238B1" w:rsidP="004C58D5">
      <w:pPr>
        <w:pStyle w:val="Heading1"/>
        <w:rPr>
          <w:rFonts w:ascii="Times New Roman" w:hAnsi="Times New Roman" w:cs="Times New Roman"/>
          <w:color w:val="000000" w:themeColor="text1"/>
          <w:sz w:val="24"/>
          <w:szCs w:val="24"/>
        </w:rPr>
      </w:pPr>
      <w:bookmarkStart w:id="64" w:name="_Toc155817731"/>
      <w:r w:rsidRPr="0019423C">
        <w:rPr>
          <w:rFonts w:ascii="Times New Roman" w:hAnsi="Times New Roman" w:cs="Times New Roman"/>
          <w:b/>
          <w:bCs/>
          <w:color w:val="000000" w:themeColor="text1"/>
          <w:sz w:val="24"/>
          <w:szCs w:val="24"/>
        </w:rPr>
        <w:lastRenderedPageBreak/>
        <w:t>Table 2</w:t>
      </w:r>
      <w:r w:rsidR="0036523A" w:rsidRPr="0019423C">
        <w:rPr>
          <w:rFonts w:ascii="Times New Roman" w:hAnsi="Times New Roman" w:cs="Times New Roman"/>
          <w:b/>
          <w:bCs/>
          <w:color w:val="000000" w:themeColor="text1"/>
          <w:sz w:val="24"/>
          <w:szCs w:val="24"/>
        </w:rPr>
        <w:t>7</w:t>
      </w:r>
      <w:r w:rsidRPr="0019423C">
        <w:rPr>
          <w:rFonts w:ascii="Times New Roman" w:hAnsi="Times New Roman" w:cs="Times New Roman"/>
          <w:b/>
          <w:bCs/>
          <w:color w:val="000000" w:themeColor="text1"/>
          <w:sz w:val="24"/>
          <w:szCs w:val="24"/>
        </w:rPr>
        <w:t>a.</w:t>
      </w:r>
      <w:r>
        <w:rPr>
          <w:rFonts w:ascii="Times New Roman" w:hAnsi="Times New Roman" w:cs="Times New Roman"/>
          <w:color w:val="000000" w:themeColor="text1"/>
          <w:sz w:val="24"/>
          <w:szCs w:val="24"/>
        </w:rPr>
        <w:t xml:space="preserve"> </w:t>
      </w:r>
      <w:r w:rsidR="00D664B9">
        <w:rPr>
          <w:rFonts w:ascii="Times New Roman" w:hAnsi="Times New Roman" w:cs="Times New Roman"/>
          <w:color w:val="000000" w:themeColor="text1"/>
          <w:sz w:val="24"/>
          <w:szCs w:val="24"/>
        </w:rPr>
        <w:t xml:space="preserve">Results examining the relationship between </w:t>
      </w:r>
      <w:r w:rsidR="00B0324E">
        <w:rPr>
          <w:rFonts w:ascii="Times New Roman" w:hAnsi="Times New Roman" w:cs="Times New Roman"/>
          <w:color w:val="000000" w:themeColor="text1"/>
          <w:sz w:val="24"/>
          <w:szCs w:val="24"/>
        </w:rPr>
        <w:t xml:space="preserve">whole-brain </w:t>
      </w:r>
      <w:r w:rsidR="00057DDB">
        <w:rPr>
          <w:rFonts w:ascii="Times New Roman" w:hAnsi="Times New Roman" w:cs="Times New Roman"/>
          <w:color w:val="000000" w:themeColor="text1"/>
          <w:sz w:val="24"/>
          <w:szCs w:val="24"/>
        </w:rPr>
        <w:t>S</w:t>
      </w:r>
      <w:r w:rsidR="005349DB">
        <w:rPr>
          <w:rFonts w:ascii="Times New Roman" w:hAnsi="Times New Roman" w:cs="Times New Roman"/>
          <w:color w:val="000000" w:themeColor="text1"/>
          <w:sz w:val="24"/>
          <w:szCs w:val="24"/>
        </w:rPr>
        <w:t xml:space="preserve">hen </w:t>
      </w:r>
      <w:r w:rsidR="00B0324E">
        <w:rPr>
          <w:rFonts w:ascii="Times New Roman" w:hAnsi="Times New Roman" w:cs="Times New Roman"/>
          <w:color w:val="000000" w:themeColor="text1"/>
          <w:sz w:val="24"/>
          <w:szCs w:val="24"/>
        </w:rPr>
        <w:t>modularity and</w:t>
      </w:r>
      <w:r w:rsidR="002514FD">
        <w:rPr>
          <w:rFonts w:ascii="Times New Roman" w:hAnsi="Times New Roman" w:cs="Times New Roman"/>
          <w:color w:val="000000" w:themeColor="text1"/>
          <w:sz w:val="24"/>
          <w:szCs w:val="24"/>
        </w:rPr>
        <w:t xml:space="preserve"> </w:t>
      </w:r>
      <w:r w:rsidR="00D664B9">
        <w:rPr>
          <w:rFonts w:ascii="Times New Roman" w:hAnsi="Times New Roman" w:cs="Times New Roman"/>
          <w:color w:val="000000" w:themeColor="text1"/>
          <w:sz w:val="24"/>
          <w:szCs w:val="24"/>
        </w:rPr>
        <w:t xml:space="preserve">neighborhood SES deprivation </w:t>
      </w:r>
      <w:r w:rsidR="00D5414D">
        <w:rPr>
          <w:rFonts w:ascii="Times New Roman" w:hAnsi="Times New Roman" w:cs="Times New Roman"/>
          <w:color w:val="000000" w:themeColor="text1"/>
          <w:sz w:val="24"/>
          <w:szCs w:val="24"/>
        </w:rPr>
        <w:t xml:space="preserve">obtained from bifactor modeling </w:t>
      </w:r>
      <w:r w:rsidR="00D664B9">
        <w:rPr>
          <w:rFonts w:ascii="Times New Roman" w:hAnsi="Times New Roman" w:cs="Times New Roman"/>
          <w:color w:val="000000" w:themeColor="text1"/>
          <w:sz w:val="24"/>
          <w:szCs w:val="24"/>
        </w:rPr>
        <w:t xml:space="preserve">and </w:t>
      </w:r>
      <w:r w:rsidR="00BA5024">
        <w:rPr>
          <w:rFonts w:ascii="Times New Roman" w:hAnsi="Times New Roman" w:cs="Times New Roman"/>
          <w:color w:val="000000" w:themeColor="text1"/>
          <w:sz w:val="24"/>
          <w:szCs w:val="24"/>
        </w:rPr>
        <w:t>neighborhood median income</w:t>
      </w:r>
      <w:r w:rsidR="00BD59E5">
        <w:rPr>
          <w:rFonts w:ascii="Times New Roman" w:hAnsi="Times New Roman" w:cs="Times New Roman"/>
          <w:color w:val="000000" w:themeColor="text1"/>
          <w:sz w:val="24"/>
          <w:szCs w:val="24"/>
        </w:rPr>
        <w:t xml:space="preserve"> during rest</w:t>
      </w:r>
      <w:bookmarkEnd w:id="64"/>
    </w:p>
    <w:tbl>
      <w:tblPr>
        <w:tblW w:w="7357" w:type="dxa"/>
        <w:tblLook w:val="04A0" w:firstRow="1" w:lastRow="0" w:firstColumn="1" w:lastColumn="0" w:noHBand="0" w:noVBand="1"/>
      </w:tblPr>
      <w:tblGrid>
        <w:gridCol w:w="1152"/>
        <w:gridCol w:w="1027"/>
        <w:gridCol w:w="862"/>
        <w:gridCol w:w="862"/>
        <w:gridCol w:w="862"/>
        <w:gridCol w:w="864"/>
        <w:gridCol w:w="56"/>
        <w:gridCol w:w="808"/>
        <w:gridCol w:w="92"/>
        <w:gridCol w:w="772"/>
      </w:tblGrid>
      <w:tr w:rsidR="004C58D5" w14:paraId="41675F61" w14:textId="77777777" w:rsidTr="002D77C4">
        <w:trPr>
          <w:trHeight w:val="340"/>
        </w:trPr>
        <w:tc>
          <w:tcPr>
            <w:tcW w:w="1152" w:type="dxa"/>
            <w:tcBorders>
              <w:top w:val="nil"/>
              <w:left w:val="nil"/>
              <w:bottom w:val="single" w:sz="12" w:space="0" w:color="auto"/>
              <w:right w:val="nil"/>
            </w:tcBorders>
            <w:shd w:val="clear" w:color="auto" w:fill="auto"/>
            <w:noWrap/>
            <w:vAlign w:val="bottom"/>
            <w:hideMark/>
          </w:tcPr>
          <w:p w14:paraId="52B1ACEE" w14:textId="77777777" w:rsidR="004C58D5" w:rsidRDefault="004C58D5">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0543F7C3" w14:textId="77777777" w:rsidR="004C58D5" w:rsidRDefault="004C58D5">
            <w:pPr>
              <w:rPr>
                <w:color w:val="000000"/>
                <w:sz w:val="20"/>
                <w:szCs w:val="20"/>
              </w:rPr>
            </w:pPr>
            <w:r>
              <w:rPr>
                <w:color w:val="000000"/>
                <w:sz w:val="20"/>
                <w:szCs w:val="20"/>
              </w:rPr>
              <w:t> </w:t>
            </w:r>
          </w:p>
        </w:tc>
        <w:tc>
          <w:tcPr>
            <w:tcW w:w="862" w:type="dxa"/>
            <w:tcBorders>
              <w:top w:val="nil"/>
              <w:left w:val="nil"/>
              <w:bottom w:val="single" w:sz="12" w:space="0" w:color="auto"/>
              <w:right w:val="nil"/>
            </w:tcBorders>
            <w:shd w:val="clear" w:color="auto" w:fill="auto"/>
            <w:noWrap/>
            <w:vAlign w:val="bottom"/>
            <w:hideMark/>
          </w:tcPr>
          <w:p w14:paraId="1B84AA64" w14:textId="3FB62D71" w:rsidR="004C58D5" w:rsidRDefault="004C58D5">
            <w:pPr>
              <w:rPr>
                <w:color w:val="000000"/>
                <w:sz w:val="20"/>
                <w:szCs w:val="20"/>
              </w:rPr>
            </w:pPr>
          </w:p>
        </w:tc>
        <w:tc>
          <w:tcPr>
            <w:tcW w:w="862" w:type="dxa"/>
            <w:tcBorders>
              <w:top w:val="nil"/>
              <w:left w:val="nil"/>
              <w:bottom w:val="single" w:sz="12" w:space="0" w:color="auto"/>
              <w:right w:val="nil"/>
            </w:tcBorders>
            <w:shd w:val="clear" w:color="auto" w:fill="auto"/>
            <w:noWrap/>
            <w:vAlign w:val="bottom"/>
            <w:hideMark/>
          </w:tcPr>
          <w:p w14:paraId="4B897ACB" w14:textId="77777777" w:rsidR="004C58D5" w:rsidRDefault="004C58D5">
            <w:pPr>
              <w:rPr>
                <w:color w:val="000000"/>
                <w:sz w:val="20"/>
                <w:szCs w:val="20"/>
              </w:rPr>
            </w:pPr>
            <w:r>
              <w:rPr>
                <w:color w:val="000000"/>
                <w:sz w:val="20"/>
                <w:szCs w:val="20"/>
              </w:rPr>
              <w:t> </w:t>
            </w:r>
          </w:p>
        </w:tc>
        <w:tc>
          <w:tcPr>
            <w:tcW w:w="862" w:type="dxa"/>
            <w:tcBorders>
              <w:top w:val="nil"/>
              <w:left w:val="nil"/>
              <w:bottom w:val="single" w:sz="12" w:space="0" w:color="auto"/>
              <w:right w:val="nil"/>
            </w:tcBorders>
            <w:shd w:val="clear" w:color="auto" w:fill="auto"/>
            <w:noWrap/>
            <w:vAlign w:val="bottom"/>
            <w:hideMark/>
          </w:tcPr>
          <w:p w14:paraId="7438ADFC" w14:textId="77777777" w:rsidR="004C58D5" w:rsidRDefault="004C58D5">
            <w:pPr>
              <w:rPr>
                <w:color w:val="000000"/>
                <w:sz w:val="20"/>
                <w:szCs w:val="20"/>
              </w:rPr>
            </w:pPr>
            <w:r>
              <w:rPr>
                <w:color w:val="000000"/>
                <w:sz w:val="20"/>
                <w:szCs w:val="20"/>
              </w:rPr>
              <w:t> </w:t>
            </w:r>
          </w:p>
        </w:tc>
        <w:tc>
          <w:tcPr>
            <w:tcW w:w="920" w:type="dxa"/>
            <w:gridSpan w:val="2"/>
            <w:tcBorders>
              <w:top w:val="nil"/>
              <w:left w:val="nil"/>
              <w:bottom w:val="single" w:sz="12" w:space="0" w:color="auto"/>
              <w:right w:val="nil"/>
            </w:tcBorders>
            <w:shd w:val="clear" w:color="auto" w:fill="auto"/>
            <w:noWrap/>
            <w:vAlign w:val="bottom"/>
            <w:hideMark/>
          </w:tcPr>
          <w:p w14:paraId="3D77A07F" w14:textId="77777777" w:rsidR="004C58D5" w:rsidRDefault="004C58D5">
            <w:pPr>
              <w:rPr>
                <w:rFonts w:ascii="Calibri" w:hAnsi="Calibri" w:cs="Calibri"/>
                <w:color w:val="000000"/>
              </w:rPr>
            </w:pPr>
            <w:r>
              <w:rPr>
                <w:rFonts w:ascii="Calibri" w:hAnsi="Calibri" w:cs="Calibri"/>
                <w:color w:val="000000"/>
              </w:rPr>
              <w:t> </w:t>
            </w:r>
          </w:p>
        </w:tc>
        <w:tc>
          <w:tcPr>
            <w:tcW w:w="900" w:type="dxa"/>
            <w:gridSpan w:val="2"/>
            <w:tcBorders>
              <w:top w:val="nil"/>
              <w:left w:val="nil"/>
              <w:bottom w:val="single" w:sz="12" w:space="0" w:color="auto"/>
              <w:right w:val="nil"/>
            </w:tcBorders>
            <w:shd w:val="clear" w:color="auto" w:fill="auto"/>
            <w:noWrap/>
            <w:vAlign w:val="bottom"/>
            <w:hideMark/>
          </w:tcPr>
          <w:p w14:paraId="3154FD08" w14:textId="77777777" w:rsidR="004C58D5" w:rsidRDefault="004C58D5">
            <w:pPr>
              <w:rPr>
                <w:rFonts w:ascii="Calibri" w:hAnsi="Calibri" w:cs="Calibri"/>
                <w:color w:val="000000"/>
              </w:rPr>
            </w:pPr>
            <w:r>
              <w:rPr>
                <w:rFonts w:ascii="Calibri" w:hAnsi="Calibri" w:cs="Calibri"/>
                <w:color w:val="000000"/>
              </w:rPr>
              <w:t> </w:t>
            </w:r>
          </w:p>
        </w:tc>
        <w:tc>
          <w:tcPr>
            <w:tcW w:w="772" w:type="dxa"/>
            <w:tcBorders>
              <w:top w:val="nil"/>
              <w:left w:val="nil"/>
              <w:bottom w:val="single" w:sz="8" w:space="0" w:color="auto"/>
              <w:right w:val="nil"/>
            </w:tcBorders>
            <w:shd w:val="clear" w:color="auto" w:fill="auto"/>
            <w:noWrap/>
            <w:vAlign w:val="bottom"/>
            <w:hideMark/>
          </w:tcPr>
          <w:p w14:paraId="247BEE08" w14:textId="77777777" w:rsidR="004C58D5" w:rsidRDefault="004C58D5">
            <w:pPr>
              <w:rPr>
                <w:rFonts w:ascii="Calibri" w:hAnsi="Calibri" w:cs="Calibri"/>
                <w:color w:val="000000"/>
              </w:rPr>
            </w:pPr>
            <w:r>
              <w:rPr>
                <w:rFonts w:ascii="Calibri" w:hAnsi="Calibri" w:cs="Calibri"/>
                <w:color w:val="000000"/>
              </w:rPr>
              <w:t> </w:t>
            </w:r>
          </w:p>
        </w:tc>
      </w:tr>
      <w:tr w:rsidR="004C58D5" w14:paraId="4E7AE7FD" w14:textId="77777777" w:rsidTr="002D77C4">
        <w:trPr>
          <w:trHeight w:val="340"/>
        </w:trPr>
        <w:tc>
          <w:tcPr>
            <w:tcW w:w="1152" w:type="dxa"/>
            <w:tcBorders>
              <w:top w:val="single" w:sz="12" w:space="0" w:color="auto"/>
              <w:left w:val="nil"/>
              <w:bottom w:val="single" w:sz="12" w:space="0" w:color="auto"/>
              <w:right w:val="nil"/>
            </w:tcBorders>
            <w:shd w:val="clear" w:color="auto" w:fill="auto"/>
            <w:noWrap/>
            <w:vAlign w:val="center"/>
            <w:hideMark/>
          </w:tcPr>
          <w:p w14:paraId="35C2E81A" w14:textId="77777777" w:rsidR="004C58D5" w:rsidRDefault="004C58D5" w:rsidP="004C58D5">
            <w:pPr>
              <w:rPr>
                <w:color w:val="000000"/>
                <w:sz w:val="20"/>
                <w:szCs w:val="20"/>
              </w:rPr>
            </w:pPr>
            <w:r>
              <w:rPr>
                <w:color w:val="000000"/>
                <w:sz w:val="20"/>
                <w:szCs w:val="20"/>
              </w:rPr>
              <w:t>Task</w:t>
            </w:r>
          </w:p>
        </w:tc>
        <w:tc>
          <w:tcPr>
            <w:tcW w:w="1027" w:type="dxa"/>
            <w:tcBorders>
              <w:top w:val="single" w:sz="12" w:space="0" w:color="auto"/>
              <w:left w:val="nil"/>
              <w:bottom w:val="single" w:sz="12" w:space="0" w:color="auto"/>
              <w:right w:val="nil"/>
            </w:tcBorders>
            <w:shd w:val="clear" w:color="auto" w:fill="auto"/>
            <w:noWrap/>
            <w:vAlign w:val="center"/>
            <w:hideMark/>
          </w:tcPr>
          <w:p w14:paraId="114EFB73" w14:textId="77777777" w:rsidR="004C58D5" w:rsidRDefault="004C58D5" w:rsidP="004C58D5">
            <w:pPr>
              <w:rPr>
                <w:color w:val="000000"/>
                <w:sz w:val="20"/>
                <w:szCs w:val="20"/>
              </w:rPr>
            </w:pPr>
            <w:r>
              <w:rPr>
                <w:color w:val="000000"/>
                <w:sz w:val="20"/>
                <w:szCs w:val="20"/>
              </w:rPr>
              <w:t>Threshold</w:t>
            </w:r>
          </w:p>
        </w:tc>
        <w:tc>
          <w:tcPr>
            <w:tcW w:w="2586" w:type="dxa"/>
            <w:gridSpan w:val="3"/>
            <w:tcBorders>
              <w:top w:val="single" w:sz="12" w:space="0" w:color="auto"/>
              <w:left w:val="nil"/>
              <w:bottom w:val="single" w:sz="12" w:space="0" w:color="auto"/>
              <w:right w:val="nil"/>
            </w:tcBorders>
            <w:shd w:val="clear" w:color="auto" w:fill="auto"/>
            <w:noWrap/>
            <w:vAlign w:val="center"/>
            <w:hideMark/>
          </w:tcPr>
          <w:p w14:paraId="1E1121A1" w14:textId="77777777" w:rsidR="004C58D5" w:rsidRDefault="004C58D5" w:rsidP="004C58D5">
            <w:pPr>
              <w:jc w:val="center"/>
              <w:rPr>
                <w:color w:val="000000"/>
                <w:sz w:val="20"/>
                <w:szCs w:val="20"/>
              </w:rPr>
            </w:pPr>
            <w:r>
              <w:rPr>
                <w:color w:val="000000"/>
                <w:sz w:val="20"/>
                <w:szCs w:val="20"/>
              </w:rPr>
              <w:t>Neighborhood SES Deprivation</w:t>
            </w:r>
          </w:p>
        </w:tc>
        <w:tc>
          <w:tcPr>
            <w:tcW w:w="2592" w:type="dxa"/>
            <w:gridSpan w:val="5"/>
            <w:tcBorders>
              <w:top w:val="single" w:sz="12" w:space="0" w:color="auto"/>
              <w:left w:val="nil"/>
              <w:bottom w:val="single" w:sz="8" w:space="0" w:color="auto"/>
              <w:right w:val="nil"/>
            </w:tcBorders>
            <w:shd w:val="clear" w:color="auto" w:fill="auto"/>
            <w:noWrap/>
            <w:vAlign w:val="center"/>
            <w:hideMark/>
          </w:tcPr>
          <w:p w14:paraId="1243CF78" w14:textId="77777777" w:rsidR="004C58D5" w:rsidRDefault="004C58D5" w:rsidP="004C58D5">
            <w:pPr>
              <w:jc w:val="center"/>
              <w:rPr>
                <w:color w:val="000000"/>
                <w:sz w:val="20"/>
                <w:szCs w:val="20"/>
              </w:rPr>
            </w:pPr>
            <w:r>
              <w:rPr>
                <w:color w:val="000000"/>
                <w:sz w:val="20"/>
                <w:szCs w:val="20"/>
              </w:rPr>
              <w:t>Neighborhood Median Income</w:t>
            </w:r>
          </w:p>
        </w:tc>
      </w:tr>
      <w:tr w:rsidR="002D77C4" w14:paraId="4D7660E4" w14:textId="77777777" w:rsidTr="002D77C4">
        <w:trPr>
          <w:trHeight w:val="340"/>
        </w:trPr>
        <w:tc>
          <w:tcPr>
            <w:tcW w:w="1152" w:type="dxa"/>
            <w:tcBorders>
              <w:top w:val="single" w:sz="12" w:space="0" w:color="auto"/>
              <w:left w:val="nil"/>
              <w:bottom w:val="single" w:sz="12" w:space="0" w:color="auto"/>
              <w:right w:val="nil"/>
            </w:tcBorders>
            <w:shd w:val="clear" w:color="auto" w:fill="auto"/>
            <w:noWrap/>
            <w:vAlign w:val="bottom"/>
            <w:hideMark/>
          </w:tcPr>
          <w:p w14:paraId="5C22B3FE" w14:textId="77777777" w:rsidR="004C58D5" w:rsidRDefault="004C58D5">
            <w:pPr>
              <w:rPr>
                <w:color w:val="000000"/>
                <w:sz w:val="20"/>
                <w:szCs w:val="20"/>
              </w:rPr>
            </w:pPr>
            <w:r>
              <w:rPr>
                <w:color w:val="000000"/>
                <w:sz w:val="20"/>
                <w:szCs w:val="20"/>
              </w:rPr>
              <w:t> </w:t>
            </w:r>
          </w:p>
        </w:tc>
        <w:tc>
          <w:tcPr>
            <w:tcW w:w="1027" w:type="dxa"/>
            <w:tcBorders>
              <w:top w:val="single" w:sz="12" w:space="0" w:color="auto"/>
              <w:left w:val="nil"/>
              <w:bottom w:val="single" w:sz="12" w:space="0" w:color="auto"/>
              <w:right w:val="nil"/>
            </w:tcBorders>
            <w:shd w:val="clear" w:color="auto" w:fill="auto"/>
            <w:noWrap/>
            <w:vAlign w:val="bottom"/>
            <w:hideMark/>
          </w:tcPr>
          <w:p w14:paraId="3A60045F" w14:textId="77777777" w:rsidR="004C58D5" w:rsidRDefault="004C58D5">
            <w:pPr>
              <w:rPr>
                <w:color w:val="000000"/>
                <w:sz w:val="20"/>
                <w:szCs w:val="20"/>
              </w:rPr>
            </w:pPr>
            <w:r>
              <w:rPr>
                <w:color w:val="000000"/>
                <w:sz w:val="20"/>
                <w:szCs w:val="20"/>
              </w:rPr>
              <w:t> </w:t>
            </w:r>
          </w:p>
        </w:tc>
        <w:tc>
          <w:tcPr>
            <w:tcW w:w="862" w:type="dxa"/>
            <w:tcBorders>
              <w:top w:val="single" w:sz="12" w:space="0" w:color="auto"/>
              <w:left w:val="nil"/>
              <w:bottom w:val="single" w:sz="12" w:space="0" w:color="auto"/>
              <w:right w:val="nil"/>
            </w:tcBorders>
            <w:shd w:val="clear" w:color="auto" w:fill="auto"/>
            <w:noWrap/>
            <w:vAlign w:val="center"/>
            <w:hideMark/>
          </w:tcPr>
          <w:p w14:paraId="109475F9" w14:textId="77777777" w:rsidR="004C58D5" w:rsidRDefault="004C58D5" w:rsidP="004C58D5">
            <w:pPr>
              <w:jc w:val="center"/>
              <w:rPr>
                <w:color w:val="000000"/>
                <w:sz w:val="20"/>
                <w:szCs w:val="20"/>
              </w:rPr>
            </w:pPr>
            <w:r>
              <w:rPr>
                <w:color w:val="000000"/>
                <w:sz w:val="20"/>
                <w:szCs w:val="20"/>
              </w:rPr>
              <w:t>β</w:t>
            </w:r>
          </w:p>
        </w:tc>
        <w:tc>
          <w:tcPr>
            <w:tcW w:w="862" w:type="dxa"/>
            <w:tcBorders>
              <w:top w:val="single" w:sz="12" w:space="0" w:color="auto"/>
              <w:left w:val="nil"/>
              <w:bottom w:val="single" w:sz="12" w:space="0" w:color="auto"/>
              <w:right w:val="nil"/>
            </w:tcBorders>
            <w:shd w:val="clear" w:color="auto" w:fill="auto"/>
            <w:noWrap/>
            <w:vAlign w:val="center"/>
            <w:hideMark/>
          </w:tcPr>
          <w:p w14:paraId="2A7E938C" w14:textId="77777777" w:rsidR="004C58D5" w:rsidRDefault="004C58D5" w:rsidP="004C58D5">
            <w:pPr>
              <w:jc w:val="center"/>
              <w:rPr>
                <w:color w:val="000000"/>
                <w:sz w:val="20"/>
                <w:szCs w:val="20"/>
              </w:rPr>
            </w:pPr>
            <w:r>
              <w:rPr>
                <w:color w:val="000000"/>
                <w:sz w:val="20"/>
                <w:szCs w:val="20"/>
              </w:rPr>
              <w:t>pfdr</w:t>
            </w:r>
          </w:p>
        </w:tc>
        <w:tc>
          <w:tcPr>
            <w:tcW w:w="862" w:type="dxa"/>
            <w:tcBorders>
              <w:top w:val="single" w:sz="12" w:space="0" w:color="auto"/>
              <w:left w:val="nil"/>
              <w:bottom w:val="single" w:sz="12" w:space="0" w:color="auto"/>
              <w:right w:val="nil"/>
            </w:tcBorders>
            <w:shd w:val="clear" w:color="auto" w:fill="auto"/>
            <w:noWrap/>
            <w:vAlign w:val="center"/>
            <w:hideMark/>
          </w:tcPr>
          <w:p w14:paraId="54EF1D47" w14:textId="77777777" w:rsidR="004C58D5" w:rsidRDefault="004C58D5" w:rsidP="004C58D5">
            <w:pPr>
              <w:jc w:val="center"/>
              <w:rPr>
                <w:color w:val="000000"/>
                <w:sz w:val="20"/>
                <w:szCs w:val="20"/>
              </w:rPr>
            </w:pPr>
            <w:r>
              <w:rPr>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74430834" w14:textId="77777777" w:rsidR="004C58D5" w:rsidRDefault="004C58D5" w:rsidP="004C58D5">
            <w:pPr>
              <w:jc w:val="center"/>
              <w:rPr>
                <w:color w:val="000000"/>
                <w:sz w:val="20"/>
                <w:szCs w:val="20"/>
              </w:rPr>
            </w:pPr>
            <w:r>
              <w:rPr>
                <w:color w:val="000000"/>
                <w:sz w:val="20"/>
                <w:szCs w:val="20"/>
              </w:rPr>
              <w:t>β</w:t>
            </w:r>
          </w:p>
        </w:tc>
        <w:tc>
          <w:tcPr>
            <w:tcW w:w="864" w:type="dxa"/>
            <w:gridSpan w:val="2"/>
            <w:tcBorders>
              <w:top w:val="single" w:sz="12" w:space="0" w:color="auto"/>
              <w:left w:val="nil"/>
              <w:bottom w:val="single" w:sz="12" w:space="0" w:color="auto"/>
              <w:right w:val="nil"/>
            </w:tcBorders>
            <w:shd w:val="clear" w:color="auto" w:fill="auto"/>
            <w:noWrap/>
            <w:vAlign w:val="center"/>
            <w:hideMark/>
          </w:tcPr>
          <w:p w14:paraId="4A9EA3CF" w14:textId="77777777" w:rsidR="004C58D5" w:rsidRDefault="004C58D5" w:rsidP="004C58D5">
            <w:pPr>
              <w:jc w:val="center"/>
              <w:rPr>
                <w:color w:val="000000"/>
                <w:sz w:val="20"/>
                <w:szCs w:val="20"/>
              </w:rPr>
            </w:pPr>
            <w:r>
              <w:rPr>
                <w:color w:val="000000"/>
                <w:sz w:val="20"/>
                <w:szCs w:val="20"/>
              </w:rPr>
              <w:t>pfdr</w:t>
            </w:r>
          </w:p>
        </w:tc>
        <w:tc>
          <w:tcPr>
            <w:tcW w:w="864" w:type="dxa"/>
            <w:gridSpan w:val="2"/>
            <w:tcBorders>
              <w:top w:val="single" w:sz="12" w:space="0" w:color="auto"/>
              <w:left w:val="nil"/>
              <w:bottom w:val="single" w:sz="12" w:space="0" w:color="auto"/>
              <w:right w:val="nil"/>
            </w:tcBorders>
            <w:shd w:val="clear" w:color="auto" w:fill="auto"/>
            <w:noWrap/>
            <w:vAlign w:val="center"/>
            <w:hideMark/>
          </w:tcPr>
          <w:p w14:paraId="42FF0BD9" w14:textId="77777777" w:rsidR="004C58D5" w:rsidRDefault="004C58D5" w:rsidP="004C58D5">
            <w:pPr>
              <w:jc w:val="center"/>
              <w:rPr>
                <w:color w:val="000000"/>
                <w:sz w:val="20"/>
                <w:szCs w:val="20"/>
              </w:rPr>
            </w:pPr>
            <w:r>
              <w:rPr>
                <w:color w:val="000000"/>
                <w:sz w:val="20"/>
                <w:szCs w:val="20"/>
              </w:rPr>
              <w:t>R2</w:t>
            </w:r>
          </w:p>
        </w:tc>
      </w:tr>
      <w:tr w:rsidR="004C58D5" w14:paraId="638F5650" w14:textId="77777777" w:rsidTr="00EE0A4C">
        <w:trPr>
          <w:trHeight w:val="320"/>
        </w:trPr>
        <w:tc>
          <w:tcPr>
            <w:tcW w:w="1152" w:type="dxa"/>
            <w:tcBorders>
              <w:top w:val="single" w:sz="12" w:space="0" w:color="auto"/>
              <w:left w:val="nil"/>
              <w:bottom w:val="nil"/>
              <w:right w:val="nil"/>
            </w:tcBorders>
            <w:shd w:val="clear" w:color="auto" w:fill="auto"/>
            <w:noWrap/>
            <w:vAlign w:val="center"/>
            <w:hideMark/>
          </w:tcPr>
          <w:p w14:paraId="516FFB98" w14:textId="77777777" w:rsidR="004C58D5" w:rsidRDefault="004C58D5" w:rsidP="00EE0A4C">
            <w:pPr>
              <w:rPr>
                <w:color w:val="000000"/>
                <w:sz w:val="20"/>
                <w:szCs w:val="20"/>
              </w:rPr>
            </w:pPr>
            <w:r>
              <w:rPr>
                <w:color w:val="000000"/>
                <w:sz w:val="20"/>
                <w:szCs w:val="20"/>
              </w:rPr>
              <w:t>Rest</w:t>
            </w:r>
          </w:p>
        </w:tc>
        <w:tc>
          <w:tcPr>
            <w:tcW w:w="1027" w:type="dxa"/>
            <w:tcBorders>
              <w:top w:val="single" w:sz="12" w:space="0" w:color="auto"/>
              <w:left w:val="nil"/>
              <w:bottom w:val="nil"/>
              <w:right w:val="nil"/>
            </w:tcBorders>
            <w:shd w:val="clear" w:color="auto" w:fill="auto"/>
            <w:noWrap/>
            <w:vAlign w:val="center"/>
            <w:hideMark/>
          </w:tcPr>
          <w:p w14:paraId="5013DE38" w14:textId="77777777" w:rsidR="004C58D5" w:rsidRDefault="004C58D5" w:rsidP="00EE0A4C">
            <w:pPr>
              <w:rPr>
                <w:color w:val="000000"/>
                <w:sz w:val="20"/>
                <w:szCs w:val="20"/>
              </w:rPr>
            </w:pPr>
            <w:r>
              <w:rPr>
                <w:color w:val="000000"/>
                <w:sz w:val="20"/>
                <w:szCs w:val="20"/>
              </w:rPr>
              <w:t>10%</w:t>
            </w:r>
          </w:p>
        </w:tc>
        <w:tc>
          <w:tcPr>
            <w:tcW w:w="862" w:type="dxa"/>
            <w:tcBorders>
              <w:top w:val="single" w:sz="12" w:space="0" w:color="auto"/>
              <w:left w:val="nil"/>
              <w:bottom w:val="nil"/>
              <w:right w:val="nil"/>
            </w:tcBorders>
            <w:shd w:val="clear" w:color="auto" w:fill="auto"/>
            <w:noWrap/>
            <w:vAlign w:val="bottom"/>
            <w:hideMark/>
          </w:tcPr>
          <w:p w14:paraId="2540E8AE" w14:textId="77777777" w:rsidR="004C58D5" w:rsidRDefault="004C58D5">
            <w:pPr>
              <w:jc w:val="right"/>
              <w:rPr>
                <w:color w:val="000000"/>
                <w:sz w:val="20"/>
                <w:szCs w:val="20"/>
              </w:rPr>
            </w:pPr>
            <w:r>
              <w:rPr>
                <w:color w:val="000000"/>
                <w:sz w:val="20"/>
                <w:szCs w:val="20"/>
              </w:rPr>
              <w:t>0.022</w:t>
            </w:r>
          </w:p>
        </w:tc>
        <w:tc>
          <w:tcPr>
            <w:tcW w:w="862" w:type="dxa"/>
            <w:tcBorders>
              <w:top w:val="single" w:sz="12" w:space="0" w:color="auto"/>
              <w:left w:val="nil"/>
              <w:bottom w:val="nil"/>
              <w:right w:val="nil"/>
            </w:tcBorders>
            <w:shd w:val="clear" w:color="auto" w:fill="auto"/>
            <w:noWrap/>
            <w:vAlign w:val="bottom"/>
            <w:hideMark/>
          </w:tcPr>
          <w:p w14:paraId="462B28FD" w14:textId="77777777" w:rsidR="004C58D5" w:rsidRDefault="004C58D5">
            <w:pPr>
              <w:jc w:val="right"/>
              <w:rPr>
                <w:color w:val="000000"/>
                <w:sz w:val="20"/>
                <w:szCs w:val="20"/>
              </w:rPr>
            </w:pPr>
            <w:r>
              <w:rPr>
                <w:color w:val="000000"/>
                <w:sz w:val="20"/>
                <w:szCs w:val="20"/>
              </w:rPr>
              <w:t>0.290</w:t>
            </w:r>
          </w:p>
        </w:tc>
        <w:tc>
          <w:tcPr>
            <w:tcW w:w="862" w:type="dxa"/>
            <w:tcBorders>
              <w:top w:val="single" w:sz="12" w:space="0" w:color="auto"/>
              <w:left w:val="nil"/>
              <w:bottom w:val="nil"/>
              <w:right w:val="nil"/>
            </w:tcBorders>
            <w:shd w:val="clear" w:color="auto" w:fill="auto"/>
            <w:noWrap/>
            <w:vAlign w:val="bottom"/>
            <w:hideMark/>
          </w:tcPr>
          <w:p w14:paraId="00D03A38" w14:textId="77777777" w:rsidR="004C58D5" w:rsidRDefault="004C58D5">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4F5634AF" w14:textId="77777777" w:rsidR="004C58D5" w:rsidRDefault="004C58D5">
            <w:pPr>
              <w:jc w:val="right"/>
              <w:rPr>
                <w:color w:val="000000"/>
                <w:sz w:val="20"/>
                <w:szCs w:val="20"/>
              </w:rPr>
            </w:pPr>
            <w:r>
              <w:rPr>
                <w:color w:val="000000"/>
                <w:sz w:val="20"/>
                <w:szCs w:val="20"/>
              </w:rPr>
              <w:t>0.017</w:t>
            </w:r>
          </w:p>
        </w:tc>
        <w:tc>
          <w:tcPr>
            <w:tcW w:w="864" w:type="dxa"/>
            <w:gridSpan w:val="2"/>
            <w:tcBorders>
              <w:top w:val="single" w:sz="12" w:space="0" w:color="auto"/>
              <w:left w:val="nil"/>
              <w:bottom w:val="nil"/>
              <w:right w:val="nil"/>
            </w:tcBorders>
            <w:shd w:val="clear" w:color="auto" w:fill="auto"/>
            <w:noWrap/>
            <w:vAlign w:val="bottom"/>
            <w:hideMark/>
          </w:tcPr>
          <w:p w14:paraId="392FFC36" w14:textId="77777777" w:rsidR="004C58D5" w:rsidRDefault="004C58D5">
            <w:pPr>
              <w:jc w:val="right"/>
              <w:rPr>
                <w:color w:val="000000"/>
                <w:sz w:val="20"/>
                <w:szCs w:val="20"/>
              </w:rPr>
            </w:pPr>
            <w:r>
              <w:rPr>
                <w:color w:val="000000"/>
                <w:sz w:val="20"/>
                <w:szCs w:val="20"/>
              </w:rPr>
              <w:t>0.432</w:t>
            </w:r>
          </w:p>
        </w:tc>
        <w:tc>
          <w:tcPr>
            <w:tcW w:w="864" w:type="dxa"/>
            <w:gridSpan w:val="2"/>
            <w:tcBorders>
              <w:top w:val="single" w:sz="12" w:space="0" w:color="auto"/>
              <w:left w:val="nil"/>
              <w:bottom w:val="nil"/>
              <w:right w:val="nil"/>
            </w:tcBorders>
            <w:shd w:val="clear" w:color="auto" w:fill="auto"/>
            <w:noWrap/>
            <w:vAlign w:val="bottom"/>
            <w:hideMark/>
          </w:tcPr>
          <w:p w14:paraId="00EB725F" w14:textId="77777777" w:rsidR="004C58D5" w:rsidRDefault="004C58D5">
            <w:pPr>
              <w:jc w:val="right"/>
              <w:rPr>
                <w:color w:val="000000"/>
                <w:sz w:val="20"/>
                <w:szCs w:val="20"/>
              </w:rPr>
            </w:pPr>
            <w:r>
              <w:rPr>
                <w:color w:val="000000"/>
                <w:sz w:val="20"/>
                <w:szCs w:val="20"/>
              </w:rPr>
              <w:t>0.000</w:t>
            </w:r>
          </w:p>
        </w:tc>
      </w:tr>
      <w:tr w:rsidR="004C58D5" w14:paraId="1876B327" w14:textId="77777777" w:rsidTr="00EE0A4C">
        <w:trPr>
          <w:trHeight w:val="320"/>
        </w:trPr>
        <w:tc>
          <w:tcPr>
            <w:tcW w:w="1152" w:type="dxa"/>
            <w:tcBorders>
              <w:top w:val="nil"/>
              <w:left w:val="nil"/>
              <w:bottom w:val="nil"/>
              <w:right w:val="nil"/>
            </w:tcBorders>
            <w:shd w:val="clear" w:color="auto" w:fill="auto"/>
            <w:noWrap/>
            <w:vAlign w:val="center"/>
            <w:hideMark/>
          </w:tcPr>
          <w:p w14:paraId="0CEF36EC" w14:textId="77777777" w:rsidR="004C58D5" w:rsidRDefault="004C58D5" w:rsidP="00EE0A4C">
            <w:pPr>
              <w:rPr>
                <w:color w:val="000000"/>
                <w:sz w:val="20"/>
                <w:szCs w:val="20"/>
              </w:rPr>
            </w:pPr>
          </w:p>
        </w:tc>
        <w:tc>
          <w:tcPr>
            <w:tcW w:w="1027" w:type="dxa"/>
            <w:tcBorders>
              <w:top w:val="nil"/>
              <w:left w:val="nil"/>
              <w:bottom w:val="nil"/>
              <w:right w:val="nil"/>
            </w:tcBorders>
            <w:shd w:val="clear" w:color="auto" w:fill="auto"/>
            <w:noWrap/>
            <w:vAlign w:val="center"/>
            <w:hideMark/>
          </w:tcPr>
          <w:p w14:paraId="501AC457" w14:textId="77777777" w:rsidR="004C58D5" w:rsidRDefault="004C58D5" w:rsidP="00EE0A4C">
            <w:pPr>
              <w:rPr>
                <w:color w:val="000000"/>
                <w:sz w:val="20"/>
                <w:szCs w:val="20"/>
              </w:rPr>
            </w:pPr>
            <w:r>
              <w:rPr>
                <w:color w:val="000000"/>
                <w:sz w:val="20"/>
                <w:szCs w:val="20"/>
              </w:rPr>
              <w:t>17%</w:t>
            </w:r>
          </w:p>
        </w:tc>
        <w:tc>
          <w:tcPr>
            <w:tcW w:w="862" w:type="dxa"/>
            <w:tcBorders>
              <w:top w:val="nil"/>
              <w:left w:val="nil"/>
              <w:bottom w:val="nil"/>
              <w:right w:val="nil"/>
            </w:tcBorders>
            <w:shd w:val="clear" w:color="auto" w:fill="auto"/>
            <w:noWrap/>
            <w:vAlign w:val="bottom"/>
            <w:hideMark/>
          </w:tcPr>
          <w:p w14:paraId="2DEB17D2" w14:textId="77777777" w:rsidR="004C58D5" w:rsidRDefault="004C58D5">
            <w:pPr>
              <w:jc w:val="right"/>
              <w:rPr>
                <w:color w:val="000000"/>
                <w:sz w:val="20"/>
                <w:szCs w:val="20"/>
              </w:rPr>
            </w:pPr>
            <w:r>
              <w:rPr>
                <w:color w:val="000000"/>
                <w:sz w:val="20"/>
                <w:szCs w:val="20"/>
              </w:rPr>
              <w:t>0.021</w:t>
            </w:r>
          </w:p>
        </w:tc>
        <w:tc>
          <w:tcPr>
            <w:tcW w:w="862" w:type="dxa"/>
            <w:tcBorders>
              <w:top w:val="nil"/>
              <w:left w:val="nil"/>
              <w:bottom w:val="nil"/>
              <w:right w:val="nil"/>
            </w:tcBorders>
            <w:shd w:val="clear" w:color="auto" w:fill="auto"/>
            <w:noWrap/>
            <w:vAlign w:val="bottom"/>
            <w:hideMark/>
          </w:tcPr>
          <w:p w14:paraId="2EFDA171" w14:textId="77777777" w:rsidR="004C58D5" w:rsidRDefault="004C58D5">
            <w:pPr>
              <w:jc w:val="right"/>
              <w:rPr>
                <w:color w:val="000000"/>
                <w:sz w:val="20"/>
                <w:szCs w:val="20"/>
              </w:rPr>
            </w:pPr>
            <w:r>
              <w:rPr>
                <w:color w:val="000000"/>
                <w:sz w:val="20"/>
                <w:szCs w:val="20"/>
              </w:rPr>
              <w:t>0.290</w:t>
            </w:r>
          </w:p>
        </w:tc>
        <w:tc>
          <w:tcPr>
            <w:tcW w:w="862" w:type="dxa"/>
            <w:tcBorders>
              <w:top w:val="nil"/>
              <w:left w:val="nil"/>
              <w:bottom w:val="nil"/>
              <w:right w:val="nil"/>
            </w:tcBorders>
            <w:shd w:val="clear" w:color="auto" w:fill="auto"/>
            <w:noWrap/>
            <w:vAlign w:val="bottom"/>
            <w:hideMark/>
          </w:tcPr>
          <w:p w14:paraId="532730D6" w14:textId="77777777" w:rsidR="004C58D5" w:rsidRDefault="004C58D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18951D8" w14:textId="77777777" w:rsidR="004C58D5" w:rsidRDefault="004C58D5">
            <w:pPr>
              <w:jc w:val="right"/>
              <w:rPr>
                <w:color w:val="000000"/>
                <w:sz w:val="20"/>
                <w:szCs w:val="20"/>
              </w:rPr>
            </w:pPr>
            <w:r>
              <w:rPr>
                <w:color w:val="000000"/>
                <w:sz w:val="20"/>
                <w:szCs w:val="20"/>
              </w:rPr>
              <w:t>0.021</w:t>
            </w:r>
          </w:p>
        </w:tc>
        <w:tc>
          <w:tcPr>
            <w:tcW w:w="864" w:type="dxa"/>
            <w:gridSpan w:val="2"/>
            <w:tcBorders>
              <w:top w:val="nil"/>
              <w:left w:val="nil"/>
              <w:bottom w:val="nil"/>
              <w:right w:val="nil"/>
            </w:tcBorders>
            <w:shd w:val="clear" w:color="auto" w:fill="auto"/>
            <w:noWrap/>
            <w:vAlign w:val="bottom"/>
            <w:hideMark/>
          </w:tcPr>
          <w:p w14:paraId="2C15859D" w14:textId="77777777" w:rsidR="004C58D5" w:rsidRDefault="004C58D5">
            <w:pPr>
              <w:jc w:val="right"/>
              <w:rPr>
                <w:color w:val="000000"/>
                <w:sz w:val="20"/>
                <w:szCs w:val="20"/>
              </w:rPr>
            </w:pPr>
            <w:r>
              <w:rPr>
                <w:color w:val="000000"/>
                <w:sz w:val="20"/>
                <w:szCs w:val="20"/>
              </w:rPr>
              <w:t>0.432</w:t>
            </w:r>
          </w:p>
        </w:tc>
        <w:tc>
          <w:tcPr>
            <w:tcW w:w="864" w:type="dxa"/>
            <w:gridSpan w:val="2"/>
            <w:tcBorders>
              <w:top w:val="nil"/>
              <w:left w:val="nil"/>
              <w:bottom w:val="nil"/>
              <w:right w:val="nil"/>
            </w:tcBorders>
            <w:shd w:val="clear" w:color="auto" w:fill="auto"/>
            <w:noWrap/>
            <w:vAlign w:val="bottom"/>
            <w:hideMark/>
          </w:tcPr>
          <w:p w14:paraId="50B3B013" w14:textId="77777777" w:rsidR="004C58D5" w:rsidRDefault="004C58D5">
            <w:pPr>
              <w:jc w:val="right"/>
              <w:rPr>
                <w:color w:val="000000"/>
                <w:sz w:val="20"/>
                <w:szCs w:val="20"/>
              </w:rPr>
            </w:pPr>
            <w:r>
              <w:rPr>
                <w:color w:val="000000"/>
                <w:sz w:val="20"/>
                <w:szCs w:val="20"/>
              </w:rPr>
              <w:t>0.000</w:t>
            </w:r>
          </w:p>
        </w:tc>
      </w:tr>
      <w:tr w:rsidR="004C58D5" w14:paraId="185E87B7" w14:textId="77777777" w:rsidTr="00EE0A4C">
        <w:trPr>
          <w:trHeight w:val="320"/>
        </w:trPr>
        <w:tc>
          <w:tcPr>
            <w:tcW w:w="1152" w:type="dxa"/>
            <w:tcBorders>
              <w:top w:val="nil"/>
              <w:left w:val="nil"/>
              <w:bottom w:val="nil"/>
              <w:right w:val="nil"/>
            </w:tcBorders>
            <w:shd w:val="clear" w:color="auto" w:fill="auto"/>
            <w:noWrap/>
            <w:vAlign w:val="center"/>
            <w:hideMark/>
          </w:tcPr>
          <w:p w14:paraId="1CC3A860" w14:textId="77777777" w:rsidR="004C58D5" w:rsidRDefault="004C58D5" w:rsidP="00EE0A4C">
            <w:pPr>
              <w:rPr>
                <w:color w:val="000000"/>
                <w:sz w:val="20"/>
                <w:szCs w:val="20"/>
              </w:rPr>
            </w:pPr>
          </w:p>
        </w:tc>
        <w:tc>
          <w:tcPr>
            <w:tcW w:w="1027" w:type="dxa"/>
            <w:tcBorders>
              <w:top w:val="nil"/>
              <w:left w:val="nil"/>
              <w:bottom w:val="nil"/>
              <w:right w:val="nil"/>
            </w:tcBorders>
            <w:shd w:val="clear" w:color="auto" w:fill="auto"/>
            <w:noWrap/>
            <w:vAlign w:val="center"/>
            <w:hideMark/>
          </w:tcPr>
          <w:p w14:paraId="191F301D" w14:textId="77777777" w:rsidR="004C58D5" w:rsidRDefault="004C58D5" w:rsidP="00EE0A4C">
            <w:pPr>
              <w:rPr>
                <w:color w:val="000000"/>
                <w:sz w:val="20"/>
                <w:szCs w:val="20"/>
              </w:rPr>
            </w:pPr>
            <w:r>
              <w:rPr>
                <w:color w:val="000000"/>
                <w:sz w:val="20"/>
                <w:szCs w:val="20"/>
              </w:rPr>
              <w:t>23%</w:t>
            </w:r>
          </w:p>
        </w:tc>
        <w:tc>
          <w:tcPr>
            <w:tcW w:w="862" w:type="dxa"/>
            <w:tcBorders>
              <w:top w:val="nil"/>
              <w:left w:val="nil"/>
              <w:bottom w:val="nil"/>
              <w:right w:val="nil"/>
            </w:tcBorders>
            <w:shd w:val="clear" w:color="auto" w:fill="auto"/>
            <w:noWrap/>
            <w:vAlign w:val="bottom"/>
            <w:hideMark/>
          </w:tcPr>
          <w:p w14:paraId="5C8575B7" w14:textId="77777777" w:rsidR="004C58D5" w:rsidRDefault="004C58D5">
            <w:pPr>
              <w:jc w:val="right"/>
              <w:rPr>
                <w:color w:val="000000"/>
                <w:sz w:val="20"/>
                <w:szCs w:val="20"/>
              </w:rPr>
            </w:pPr>
            <w:r>
              <w:rPr>
                <w:color w:val="000000"/>
                <w:sz w:val="20"/>
                <w:szCs w:val="20"/>
              </w:rPr>
              <w:t>0.020</w:t>
            </w:r>
          </w:p>
        </w:tc>
        <w:tc>
          <w:tcPr>
            <w:tcW w:w="862" w:type="dxa"/>
            <w:tcBorders>
              <w:top w:val="nil"/>
              <w:left w:val="nil"/>
              <w:bottom w:val="nil"/>
              <w:right w:val="nil"/>
            </w:tcBorders>
            <w:shd w:val="clear" w:color="auto" w:fill="auto"/>
            <w:noWrap/>
            <w:vAlign w:val="bottom"/>
            <w:hideMark/>
          </w:tcPr>
          <w:p w14:paraId="0701DBA1" w14:textId="77777777" w:rsidR="004C58D5" w:rsidRDefault="004C58D5">
            <w:pPr>
              <w:jc w:val="right"/>
              <w:rPr>
                <w:color w:val="000000"/>
                <w:sz w:val="20"/>
                <w:szCs w:val="20"/>
              </w:rPr>
            </w:pPr>
            <w:r>
              <w:rPr>
                <w:color w:val="000000"/>
                <w:sz w:val="20"/>
                <w:szCs w:val="20"/>
              </w:rPr>
              <w:t>0.290</w:t>
            </w:r>
          </w:p>
        </w:tc>
        <w:tc>
          <w:tcPr>
            <w:tcW w:w="862" w:type="dxa"/>
            <w:tcBorders>
              <w:top w:val="nil"/>
              <w:left w:val="nil"/>
              <w:bottom w:val="nil"/>
              <w:right w:val="nil"/>
            </w:tcBorders>
            <w:shd w:val="clear" w:color="auto" w:fill="auto"/>
            <w:noWrap/>
            <w:vAlign w:val="bottom"/>
            <w:hideMark/>
          </w:tcPr>
          <w:p w14:paraId="6D536369" w14:textId="77777777" w:rsidR="004C58D5" w:rsidRDefault="004C58D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319AEA1" w14:textId="77777777" w:rsidR="004C58D5" w:rsidRDefault="004C58D5">
            <w:pPr>
              <w:jc w:val="right"/>
              <w:rPr>
                <w:color w:val="000000"/>
                <w:sz w:val="20"/>
                <w:szCs w:val="20"/>
              </w:rPr>
            </w:pPr>
            <w:r>
              <w:rPr>
                <w:color w:val="000000"/>
                <w:sz w:val="20"/>
                <w:szCs w:val="20"/>
              </w:rPr>
              <w:t>0.024</w:t>
            </w:r>
          </w:p>
        </w:tc>
        <w:tc>
          <w:tcPr>
            <w:tcW w:w="864" w:type="dxa"/>
            <w:gridSpan w:val="2"/>
            <w:tcBorders>
              <w:top w:val="nil"/>
              <w:left w:val="nil"/>
              <w:bottom w:val="nil"/>
              <w:right w:val="nil"/>
            </w:tcBorders>
            <w:shd w:val="clear" w:color="auto" w:fill="auto"/>
            <w:noWrap/>
            <w:vAlign w:val="bottom"/>
            <w:hideMark/>
          </w:tcPr>
          <w:p w14:paraId="7B4D1726" w14:textId="77777777" w:rsidR="004C58D5" w:rsidRDefault="004C58D5">
            <w:pPr>
              <w:jc w:val="right"/>
              <w:rPr>
                <w:color w:val="000000"/>
                <w:sz w:val="20"/>
                <w:szCs w:val="20"/>
              </w:rPr>
            </w:pPr>
            <w:r>
              <w:rPr>
                <w:color w:val="000000"/>
                <w:sz w:val="20"/>
                <w:szCs w:val="20"/>
              </w:rPr>
              <w:t>0.432</w:t>
            </w:r>
          </w:p>
        </w:tc>
        <w:tc>
          <w:tcPr>
            <w:tcW w:w="864" w:type="dxa"/>
            <w:gridSpan w:val="2"/>
            <w:tcBorders>
              <w:top w:val="nil"/>
              <w:left w:val="nil"/>
              <w:bottom w:val="nil"/>
              <w:right w:val="nil"/>
            </w:tcBorders>
            <w:shd w:val="clear" w:color="auto" w:fill="auto"/>
            <w:noWrap/>
            <w:vAlign w:val="bottom"/>
            <w:hideMark/>
          </w:tcPr>
          <w:p w14:paraId="577E03A4" w14:textId="77777777" w:rsidR="004C58D5" w:rsidRDefault="004C58D5">
            <w:pPr>
              <w:jc w:val="right"/>
              <w:rPr>
                <w:color w:val="000000"/>
                <w:sz w:val="20"/>
                <w:szCs w:val="20"/>
              </w:rPr>
            </w:pPr>
            <w:r>
              <w:rPr>
                <w:color w:val="000000"/>
                <w:sz w:val="20"/>
                <w:szCs w:val="20"/>
              </w:rPr>
              <w:t>0.001</w:t>
            </w:r>
          </w:p>
        </w:tc>
      </w:tr>
      <w:tr w:rsidR="004C58D5" w14:paraId="2EE5BA33" w14:textId="77777777" w:rsidTr="00EE0A4C">
        <w:trPr>
          <w:trHeight w:val="340"/>
        </w:trPr>
        <w:tc>
          <w:tcPr>
            <w:tcW w:w="1152" w:type="dxa"/>
            <w:tcBorders>
              <w:top w:val="nil"/>
              <w:left w:val="nil"/>
              <w:bottom w:val="single" w:sz="12" w:space="0" w:color="auto"/>
              <w:right w:val="nil"/>
            </w:tcBorders>
            <w:shd w:val="clear" w:color="auto" w:fill="auto"/>
            <w:noWrap/>
            <w:vAlign w:val="center"/>
            <w:hideMark/>
          </w:tcPr>
          <w:p w14:paraId="7D8948D9" w14:textId="77777777" w:rsidR="004C58D5" w:rsidRDefault="004C58D5" w:rsidP="00EE0A4C">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center"/>
            <w:hideMark/>
          </w:tcPr>
          <w:p w14:paraId="16BCB714" w14:textId="77777777" w:rsidR="004C58D5" w:rsidRDefault="004C58D5" w:rsidP="00EE0A4C">
            <w:pPr>
              <w:rPr>
                <w:color w:val="000000"/>
                <w:sz w:val="20"/>
                <w:szCs w:val="20"/>
              </w:rPr>
            </w:pPr>
            <w:r>
              <w:rPr>
                <w:color w:val="000000"/>
                <w:sz w:val="20"/>
                <w:szCs w:val="20"/>
              </w:rPr>
              <w:t>30%</w:t>
            </w:r>
          </w:p>
        </w:tc>
        <w:tc>
          <w:tcPr>
            <w:tcW w:w="862" w:type="dxa"/>
            <w:tcBorders>
              <w:top w:val="nil"/>
              <w:left w:val="nil"/>
              <w:bottom w:val="single" w:sz="12" w:space="0" w:color="auto"/>
              <w:right w:val="nil"/>
            </w:tcBorders>
            <w:shd w:val="clear" w:color="auto" w:fill="auto"/>
            <w:noWrap/>
            <w:vAlign w:val="bottom"/>
            <w:hideMark/>
          </w:tcPr>
          <w:p w14:paraId="60C832AF" w14:textId="77777777" w:rsidR="004C58D5" w:rsidRDefault="004C58D5">
            <w:pPr>
              <w:jc w:val="right"/>
              <w:rPr>
                <w:color w:val="000000"/>
                <w:sz w:val="20"/>
                <w:szCs w:val="20"/>
              </w:rPr>
            </w:pPr>
            <w:r>
              <w:rPr>
                <w:color w:val="000000"/>
                <w:sz w:val="20"/>
                <w:szCs w:val="20"/>
              </w:rPr>
              <w:t>0.021</w:t>
            </w:r>
          </w:p>
        </w:tc>
        <w:tc>
          <w:tcPr>
            <w:tcW w:w="862" w:type="dxa"/>
            <w:tcBorders>
              <w:top w:val="nil"/>
              <w:left w:val="nil"/>
              <w:bottom w:val="single" w:sz="12" w:space="0" w:color="auto"/>
              <w:right w:val="nil"/>
            </w:tcBorders>
            <w:shd w:val="clear" w:color="auto" w:fill="auto"/>
            <w:noWrap/>
            <w:vAlign w:val="bottom"/>
            <w:hideMark/>
          </w:tcPr>
          <w:p w14:paraId="7B4D5B28" w14:textId="77777777" w:rsidR="004C58D5" w:rsidRDefault="004C58D5">
            <w:pPr>
              <w:jc w:val="right"/>
              <w:rPr>
                <w:color w:val="000000"/>
                <w:sz w:val="20"/>
                <w:szCs w:val="20"/>
              </w:rPr>
            </w:pPr>
            <w:r>
              <w:rPr>
                <w:color w:val="000000"/>
                <w:sz w:val="20"/>
                <w:szCs w:val="20"/>
              </w:rPr>
              <w:t>0.290</w:t>
            </w:r>
          </w:p>
        </w:tc>
        <w:tc>
          <w:tcPr>
            <w:tcW w:w="862" w:type="dxa"/>
            <w:tcBorders>
              <w:top w:val="nil"/>
              <w:left w:val="nil"/>
              <w:bottom w:val="single" w:sz="12" w:space="0" w:color="auto"/>
              <w:right w:val="nil"/>
            </w:tcBorders>
            <w:shd w:val="clear" w:color="auto" w:fill="auto"/>
            <w:noWrap/>
            <w:vAlign w:val="bottom"/>
            <w:hideMark/>
          </w:tcPr>
          <w:p w14:paraId="61AF09D6" w14:textId="77777777" w:rsidR="004C58D5" w:rsidRDefault="004C58D5">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13193DC6" w14:textId="77777777" w:rsidR="004C58D5" w:rsidRDefault="004C58D5">
            <w:pPr>
              <w:jc w:val="right"/>
              <w:rPr>
                <w:color w:val="000000"/>
                <w:sz w:val="20"/>
                <w:szCs w:val="20"/>
              </w:rPr>
            </w:pPr>
            <w:r>
              <w:rPr>
                <w:color w:val="000000"/>
                <w:sz w:val="20"/>
                <w:szCs w:val="20"/>
              </w:rPr>
              <w:t>0.026</w:t>
            </w:r>
          </w:p>
        </w:tc>
        <w:tc>
          <w:tcPr>
            <w:tcW w:w="864" w:type="dxa"/>
            <w:gridSpan w:val="2"/>
            <w:tcBorders>
              <w:top w:val="nil"/>
              <w:left w:val="nil"/>
              <w:bottom w:val="single" w:sz="12" w:space="0" w:color="auto"/>
              <w:right w:val="nil"/>
            </w:tcBorders>
            <w:shd w:val="clear" w:color="auto" w:fill="auto"/>
            <w:noWrap/>
            <w:vAlign w:val="bottom"/>
            <w:hideMark/>
          </w:tcPr>
          <w:p w14:paraId="4A637F0A" w14:textId="77777777" w:rsidR="004C58D5" w:rsidRDefault="004C58D5">
            <w:pPr>
              <w:jc w:val="right"/>
              <w:rPr>
                <w:color w:val="000000"/>
                <w:sz w:val="20"/>
                <w:szCs w:val="20"/>
              </w:rPr>
            </w:pPr>
            <w:r>
              <w:rPr>
                <w:color w:val="000000"/>
                <w:sz w:val="20"/>
                <w:szCs w:val="20"/>
              </w:rPr>
              <w:t>0.432</w:t>
            </w:r>
          </w:p>
        </w:tc>
        <w:tc>
          <w:tcPr>
            <w:tcW w:w="864" w:type="dxa"/>
            <w:gridSpan w:val="2"/>
            <w:tcBorders>
              <w:top w:val="nil"/>
              <w:left w:val="nil"/>
              <w:bottom w:val="single" w:sz="12" w:space="0" w:color="auto"/>
              <w:right w:val="nil"/>
            </w:tcBorders>
            <w:shd w:val="clear" w:color="auto" w:fill="auto"/>
            <w:noWrap/>
            <w:vAlign w:val="bottom"/>
            <w:hideMark/>
          </w:tcPr>
          <w:p w14:paraId="660D7F9E" w14:textId="77777777" w:rsidR="004C58D5" w:rsidRDefault="004C58D5">
            <w:pPr>
              <w:jc w:val="right"/>
              <w:rPr>
                <w:color w:val="000000"/>
                <w:sz w:val="20"/>
                <w:szCs w:val="20"/>
              </w:rPr>
            </w:pPr>
            <w:r>
              <w:rPr>
                <w:color w:val="000000"/>
                <w:sz w:val="20"/>
                <w:szCs w:val="20"/>
              </w:rPr>
              <w:t>0.001</w:t>
            </w:r>
          </w:p>
        </w:tc>
      </w:tr>
      <w:tr w:rsidR="004C58D5" w14:paraId="5DE31DED" w14:textId="77777777" w:rsidTr="00EE0A4C">
        <w:trPr>
          <w:trHeight w:val="320"/>
        </w:trPr>
        <w:tc>
          <w:tcPr>
            <w:tcW w:w="1152" w:type="dxa"/>
            <w:tcBorders>
              <w:top w:val="single" w:sz="12" w:space="0" w:color="auto"/>
              <w:left w:val="nil"/>
              <w:bottom w:val="nil"/>
              <w:right w:val="nil"/>
            </w:tcBorders>
            <w:shd w:val="clear" w:color="auto" w:fill="auto"/>
            <w:noWrap/>
            <w:vAlign w:val="center"/>
            <w:hideMark/>
          </w:tcPr>
          <w:p w14:paraId="3E24FC49" w14:textId="77777777" w:rsidR="004C58D5" w:rsidRDefault="004C58D5" w:rsidP="00EE0A4C">
            <w:pPr>
              <w:rPr>
                <w:color w:val="000000"/>
                <w:sz w:val="20"/>
                <w:szCs w:val="20"/>
              </w:rPr>
            </w:pPr>
            <w:r>
              <w:rPr>
                <w:color w:val="000000"/>
                <w:sz w:val="20"/>
                <w:szCs w:val="20"/>
              </w:rPr>
              <w:t>En-back</w:t>
            </w:r>
          </w:p>
        </w:tc>
        <w:tc>
          <w:tcPr>
            <w:tcW w:w="1027" w:type="dxa"/>
            <w:tcBorders>
              <w:top w:val="single" w:sz="12" w:space="0" w:color="auto"/>
              <w:left w:val="nil"/>
              <w:bottom w:val="nil"/>
              <w:right w:val="nil"/>
            </w:tcBorders>
            <w:shd w:val="clear" w:color="auto" w:fill="auto"/>
            <w:noWrap/>
            <w:vAlign w:val="center"/>
            <w:hideMark/>
          </w:tcPr>
          <w:p w14:paraId="2BEF5A7B" w14:textId="77777777" w:rsidR="004C58D5" w:rsidRDefault="004C58D5" w:rsidP="00EE0A4C">
            <w:pPr>
              <w:rPr>
                <w:color w:val="000000"/>
                <w:sz w:val="20"/>
                <w:szCs w:val="20"/>
              </w:rPr>
            </w:pPr>
            <w:r>
              <w:rPr>
                <w:color w:val="000000"/>
                <w:sz w:val="20"/>
                <w:szCs w:val="20"/>
              </w:rPr>
              <w:t>10%</w:t>
            </w:r>
          </w:p>
        </w:tc>
        <w:tc>
          <w:tcPr>
            <w:tcW w:w="862" w:type="dxa"/>
            <w:tcBorders>
              <w:top w:val="single" w:sz="12" w:space="0" w:color="auto"/>
              <w:left w:val="nil"/>
              <w:bottom w:val="nil"/>
              <w:right w:val="nil"/>
            </w:tcBorders>
            <w:shd w:val="clear" w:color="auto" w:fill="auto"/>
            <w:noWrap/>
            <w:vAlign w:val="bottom"/>
            <w:hideMark/>
          </w:tcPr>
          <w:p w14:paraId="186EF1FC" w14:textId="77777777" w:rsidR="004C58D5" w:rsidRDefault="004C58D5">
            <w:pPr>
              <w:jc w:val="right"/>
              <w:rPr>
                <w:color w:val="000000"/>
                <w:sz w:val="20"/>
                <w:szCs w:val="20"/>
              </w:rPr>
            </w:pPr>
            <w:r>
              <w:rPr>
                <w:color w:val="000000"/>
                <w:sz w:val="20"/>
                <w:szCs w:val="20"/>
              </w:rPr>
              <w:t>-0.016</w:t>
            </w:r>
          </w:p>
        </w:tc>
        <w:tc>
          <w:tcPr>
            <w:tcW w:w="862" w:type="dxa"/>
            <w:tcBorders>
              <w:top w:val="single" w:sz="12" w:space="0" w:color="auto"/>
              <w:left w:val="nil"/>
              <w:bottom w:val="nil"/>
              <w:right w:val="nil"/>
            </w:tcBorders>
            <w:shd w:val="clear" w:color="auto" w:fill="auto"/>
            <w:noWrap/>
            <w:vAlign w:val="bottom"/>
            <w:hideMark/>
          </w:tcPr>
          <w:p w14:paraId="73460718" w14:textId="77777777" w:rsidR="004C58D5" w:rsidRDefault="004C58D5">
            <w:pPr>
              <w:jc w:val="right"/>
              <w:rPr>
                <w:color w:val="000000"/>
                <w:sz w:val="20"/>
                <w:szCs w:val="20"/>
              </w:rPr>
            </w:pPr>
            <w:r>
              <w:rPr>
                <w:color w:val="000000"/>
                <w:sz w:val="20"/>
                <w:szCs w:val="20"/>
              </w:rPr>
              <w:t>0.624</w:t>
            </w:r>
          </w:p>
        </w:tc>
        <w:tc>
          <w:tcPr>
            <w:tcW w:w="862" w:type="dxa"/>
            <w:tcBorders>
              <w:top w:val="single" w:sz="12" w:space="0" w:color="auto"/>
              <w:left w:val="nil"/>
              <w:bottom w:val="nil"/>
              <w:right w:val="nil"/>
            </w:tcBorders>
            <w:shd w:val="clear" w:color="auto" w:fill="auto"/>
            <w:noWrap/>
            <w:vAlign w:val="bottom"/>
            <w:hideMark/>
          </w:tcPr>
          <w:p w14:paraId="608B068C" w14:textId="77777777" w:rsidR="004C58D5" w:rsidRDefault="004C58D5">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5087192D" w14:textId="77777777" w:rsidR="004C58D5" w:rsidRDefault="004C58D5">
            <w:pPr>
              <w:jc w:val="right"/>
              <w:rPr>
                <w:color w:val="000000"/>
                <w:sz w:val="20"/>
                <w:szCs w:val="20"/>
              </w:rPr>
            </w:pPr>
            <w:r>
              <w:rPr>
                <w:color w:val="000000"/>
                <w:sz w:val="20"/>
                <w:szCs w:val="20"/>
              </w:rPr>
              <w:t>0.035</w:t>
            </w:r>
          </w:p>
        </w:tc>
        <w:tc>
          <w:tcPr>
            <w:tcW w:w="864" w:type="dxa"/>
            <w:gridSpan w:val="2"/>
            <w:tcBorders>
              <w:top w:val="single" w:sz="12" w:space="0" w:color="auto"/>
              <w:left w:val="nil"/>
              <w:bottom w:val="nil"/>
              <w:right w:val="nil"/>
            </w:tcBorders>
            <w:shd w:val="clear" w:color="auto" w:fill="auto"/>
            <w:noWrap/>
            <w:vAlign w:val="bottom"/>
            <w:hideMark/>
          </w:tcPr>
          <w:p w14:paraId="69DDB7E6" w14:textId="77777777" w:rsidR="004C58D5" w:rsidRDefault="004C58D5">
            <w:pPr>
              <w:jc w:val="right"/>
              <w:rPr>
                <w:color w:val="000000"/>
                <w:sz w:val="20"/>
                <w:szCs w:val="20"/>
              </w:rPr>
            </w:pPr>
            <w:r>
              <w:rPr>
                <w:color w:val="000000"/>
                <w:sz w:val="20"/>
                <w:szCs w:val="20"/>
              </w:rPr>
              <w:t>0.317</w:t>
            </w:r>
          </w:p>
        </w:tc>
        <w:tc>
          <w:tcPr>
            <w:tcW w:w="864" w:type="dxa"/>
            <w:gridSpan w:val="2"/>
            <w:tcBorders>
              <w:top w:val="single" w:sz="12" w:space="0" w:color="auto"/>
              <w:left w:val="nil"/>
              <w:bottom w:val="nil"/>
              <w:right w:val="nil"/>
            </w:tcBorders>
            <w:shd w:val="clear" w:color="auto" w:fill="auto"/>
            <w:noWrap/>
            <w:vAlign w:val="bottom"/>
            <w:hideMark/>
          </w:tcPr>
          <w:p w14:paraId="79E4E99D" w14:textId="77777777" w:rsidR="004C58D5" w:rsidRDefault="004C58D5">
            <w:pPr>
              <w:jc w:val="right"/>
              <w:rPr>
                <w:color w:val="000000"/>
                <w:sz w:val="20"/>
                <w:szCs w:val="20"/>
              </w:rPr>
            </w:pPr>
            <w:r>
              <w:rPr>
                <w:color w:val="000000"/>
                <w:sz w:val="20"/>
                <w:szCs w:val="20"/>
              </w:rPr>
              <w:t>0.001</w:t>
            </w:r>
          </w:p>
        </w:tc>
      </w:tr>
      <w:tr w:rsidR="004C58D5" w14:paraId="3B5E4637" w14:textId="77777777" w:rsidTr="00EE0A4C">
        <w:trPr>
          <w:trHeight w:val="320"/>
        </w:trPr>
        <w:tc>
          <w:tcPr>
            <w:tcW w:w="1152" w:type="dxa"/>
            <w:tcBorders>
              <w:top w:val="nil"/>
              <w:left w:val="nil"/>
              <w:bottom w:val="nil"/>
              <w:right w:val="nil"/>
            </w:tcBorders>
            <w:shd w:val="clear" w:color="auto" w:fill="auto"/>
            <w:noWrap/>
            <w:vAlign w:val="center"/>
            <w:hideMark/>
          </w:tcPr>
          <w:p w14:paraId="6CFFEA88" w14:textId="77777777" w:rsidR="004C58D5" w:rsidRDefault="004C58D5" w:rsidP="00EE0A4C">
            <w:pPr>
              <w:rPr>
                <w:color w:val="000000"/>
                <w:sz w:val="20"/>
                <w:szCs w:val="20"/>
              </w:rPr>
            </w:pPr>
          </w:p>
        </w:tc>
        <w:tc>
          <w:tcPr>
            <w:tcW w:w="1027" w:type="dxa"/>
            <w:tcBorders>
              <w:top w:val="nil"/>
              <w:left w:val="nil"/>
              <w:bottom w:val="nil"/>
              <w:right w:val="nil"/>
            </w:tcBorders>
            <w:shd w:val="clear" w:color="auto" w:fill="auto"/>
            <w:noWrap/>
            <w:vAlign w:val="center"/>
            <w:hideMark/>
          </w:tcPr>
          <w:p w14:paraId="30D550A7" w14:textId="77777777" w:rsidR="004C58D5" w:rsidRDefault="004C58D5" w:rsidP="00EE0A4C">
            <w:pPr>
              <w:rPr>
                <w:color w:val="000000"/>
                <w:sz w:val="20"/>
                <w:szCs w:val="20"/>
              </w:rPr>
            </w:pPr>
            <w:r>
              <w:rPr>
                <w:color w:val="000000"/>
                <w:sz w:val="20"/>
                <w:szCs w:val="20"/>
              </w:rPr>
              <w:t>17%</w:t>
            </w:r>
          </w:p>
        </w:tc>
        <w:tc>
          <w:tcPr>
            <w:tcW w:w="862" w:type="dxa"/>
            <w:tcBorders>
              <w:top w:val="nil"/>
              <w:left w:val="nil"/>
              <w:bottom w:val="nil"/>
              <w:right w:val="nil"/>
            </w:tcBorders>
            <w:shd w:val="clear" w:color="auto" w:fill="auto"/>
            <w:noWrap/>
            <w:vAlign w:val="bottom"/>
            <w:hideMark/>
          </w:tcPr>
          <w:p w14:paraId="0283EA38" w14:textId="77777777" w:rsidR="004C58D5" w:rsidRDefault="004C58D5">
            <w:pPr>
              <w:jc w:val="right"/>
              <w:rPr>
                <w:color w:val="000000"/>
                <w:sz w:val="20"/>
                <w:szCs w:val="20"/>
              </w:rPr>
            </w:pPr>
            <w:r>
              <w:rPr>
                <w:color w:val="000000"/>
                <w:sz w:val="20"/>
                <w:szCs w:val="20"/>
              </w:rPr>
              <w:t>-0.017</w:t>
            </w:r>
          </w:p>
        </w:tc>
        <w:tc>
          <w:tcPr>
            <w:tcW w:w="862" w:type="dxa"/>
            <w:tcBorders>
              <w:top w:val="nil"/>
              <w:left w:val="nil"/>
              <w:bottom w:val="nil"/>
              <w:right w:val="nil"/>
            </w:tcBorders>
            <w:shd w:val="clear" w:color="auto" w:fill="auto"/>
            <w:noWrap/>
            <w:vAlign w:val="bottom"/>
            <w:hideMark/>
          </w:tcPr>
          <w:p w14:paraId="19BD07C4" w14:textId="77777777" w:rsidR="004C58D5" w:rsidRDefault="004C58D5">
            <w:pPr>
              <w:jc w:val="right"/>
              <w:rPr>
                <w:color w:val="000000"/>
                <w:sz w:val="20"/>
                <w:szCs w:val="20"/>
              </w:rPr>
            </w:pPr>
            <w:r>
              <w:rPr>
                <w:color w:val="000000"/>
                <w:sz w:val="20"/>
                <w:szCs w:val="20"/>
              </w:rPr>
              <w:t>0.624</w:t>
            </w:r>
          </w:p>
        </w:tc>
        <w:tc>
          <w:tcPr>
            <w:tcW w:w="862" w:type="dxa"/>
            <w:tcBorders>
              <w:top w:val="nil"/>
              <w:left w:val="nil"/>
              <w:bottom w:val="nil"/>
              <w:right w:val="nil"/>
            </w:tcBorders>
            <w:shd w:val="clear" w:color="auto" w:fill="auto"/>
            <w:noWrap/>
            <w:vAlign w:val="bottom"/>
            <w:hideMark/>
          </w:tcPr>
          <w:p w14:paraId="03DF9E23" w14:textId="77777777" w:rsidR="004C58D5" w:rsidRDefault="004C58D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4C2441C" w14:textId="77777777" w:rsidR="004C58D5" w:rsidRDefault="004C58D5">
            <w:pPr>
              <w:jc w:val="right"/>
              <w:rPr>
                <w:color w:val="000000"/>
                <w:sz w:val="20"/>
                <w:szCs w:val="20"/>
              </w:rPr>
            </w:pPr>
            <w:r>
              <w:rPr>
                <w:color w:val="000000"/>
                <w:sz w:val="20"/>
                <w:szCs w:val="20"/>
              </w:rPr>
              <w:t>0.032</w:t>
            </w:r>
          </w:p>
        </w:tc>
        <w:tc>
          <w:tcPr>
            <w:tcW w:w="864" w:type="dxa"/>
            <w:gridSpan w:val="2"/>
            <w:tcBorders>
              <w:top w:val="nil"/>
              <w:left w:val="nil"/>
              <w:bottom w:val="nil"/>
              <w:right w:val="nil"/>
            </w:tcBorders>
            <w:shd w:val="clear" w:color="auto" w:fill="auto"/>
            <w:noWrap/>
            <w:vAlign w:val="bottom"/>
            <w:hideMark/>
          </w:tcPr>
          <w:p w14:paraId="1BBBC422" w14:textId="77777777" w:rsidR="004C58D5" w:rsidRDefault="004C58D5">
            <w:pPr>
              <w:jc w:val="right"/>
              <w:rPr>
                <w:color w:val="000000"/>
                <w:sz w:val="20"/>
                <w:szCs w:val="20"/>
              </w:rPr>
            </w:pPr>
            <w:r>
              <w:rPr>
                <w:color w:val="000000"/>
                <w:sz w:val="20"/>
                <w:szCs w:val="20"/>
              </w:rPr>
              <w:t>0.317</w:t>
            </w:r>
          </w:p>
        </w:tc>
        <w:tc>
          <w:tcPr>
            <w:tcW w:w="864" w:type="dxa"/>
            <w:gridSpan w:val="2"/>
            <w:tcBorders>
              <w:top w:val="nil"/>
              <w:left w:val="nil"/>
              <w:bottom w:val="nil"/>
              <w:right w:val="nil"/>
            </w:tcBorders>
            <w:shd w:val="clear" w:color="auto" w:fill="auto"/>
            <w:noWrap/>
            <w:vAlign w:val="bottom"/>
            <w:hideMark/>
          </w:tcPr>
          <w:p w14:paraId="0D601DA7" w14:textId="77777777" w:rsidR="004C58D5" w:rsidRDefault="004C58D5">
            <w:pPr>
              <w:jc w:val="right"/>
              <w:rPr>
                <w:color w:val="000000"/>
                <w:sz w:val="20"/>
                <w:szCs w:val="20"/>
              </w:rPr>
            </w:pPr>
            <w:r>
              <w:rPr>
                <w:color w:val="000000"/>
                <w:sz w:val="20"/>
                <w:szCs w:val="20"/>
              </w:rPr>
              <w:t>0.001</w:t>
            </w:r>
          </w:p>
        </w:tc>
      </w:tr>
      <w:tr w:rsidR="004C58D5" w14:paraId="5C8DD53C" w14:textId="77777777" w:rsidTr="00EE0A4C">
        <w:trPr>
          <w:trHeight w:val="320"/>
        </w:trPr>
        <w:tc>
          <w:tcPr>
            <w:tcW w:w="1152" w:type="dxa"/>
            <w:tcBorders>
              <w:top w:val="nil"/>
              <w:left w:val="nil"/>
              <w:bottom w:val="nil"/>
              <w:right w:val="nil"/>
            </w:tcBorders>
            <w:shd w:val="clear" w:color="auto" w:fill="auto"/>
            <w:noWrap/>
            <w:vAlign w:val="center"/>
            <w:hideMark/>
          </w:tcPr>
          <w:p w14:paraId="2AB88ED0" w14:textId="77777777" w:rsidR="004C58D5" w:rsidRDefault="004C58D5" w:rsidP="00EE0A4C">
            <w:pPr>
              <w:rPr>
                <w:color w:val="000000"/>
                <w:sz w:val="20"/>
                <w:szCs w:val="20"/>
              </w:rPr>
            </w:pPr>
          </w:p>
        </w:tc>
        <w:tc>
          <w:tcPr>
            <w:tcW w:w="1027" w:type="dxa"/>
            <w:tcBorders>
              <w:top w:val="nil"/>
              <w:left w:val="nil"/>
              <w:bottom w:val="nil"/>
              <w:right w:val="nil"/>
            </w:tcBorders>
            <w:shd w:val="clear" w:color="auto" w:fill="auto"/>
            <w:noWrap/>
            <w:vAlign w:val="center"/>
            <w:hideMark/>
          </w:tcPr>
          <w:p w14:paraId="054B8B72" w14:textId="77777777" w:rsidR="004C58D5" w:rsidRDefault="004C58D5" w:rsidP="00EE0A4C">
            <w:pPr>
              <w:rPr>
                <w:color w:val="000000"/>
                <w:sz w:val="20"/>
                <w:szCs w:val="20"/>
              </w:rPr>
            </w:pPr>
            <w:r>
              <w:rPr>
                <w:color w:val="000000"/>
                <w:sz w:val="20"/>
                <w:szCs w:val="20"/>
              </w:rPr>
              <w:t>23%</w:t>
            </w:r>
          </w:p>
        </w:tc>
        <w:tc>
          <w:tcPr>
            <w:tcW w:w="862" w:type="dxa"/>
            <w:tcBorders>
              <w:top w:val="nil"/>
              <w:left w:val="nil"/>
              <w:bottom w:val="nil"/>
              <w:right w:val="nil"/>
            </w:tcBorders>
            <w:shd w:val="clear" w:color="auto" w:fill="auto"/>
            <w:noWrap/>
            <w:vAlign w:val="bottom"/>
            <w:hideMark/>
          </w:tcPr>
          <w:p w14:paraId="3E314BA3" w14:textId="77777777" w:rsidR="004C58D5" w:rsidRDefault="004C58D5">
            <w:pPr>
              <w:jc w:val="right"/>
              <w:rPr>
                <w:color w:val="000000"/>
                <w:sz w:val="20"/>
                <w:szCs w:val="20"/>
              </w:rPr>
            </w:pPr>
            <w:r>
              <w:rPr>
                <w:color w:val="000000"/>
                <w:sz w:val="20"/>
                <w:szCs w:val="20"/>
              </w:rPr>
              <w:t>-0.015</w:t>
            </w:r>
          </w:p>
        </w:tc>
        <w:tc>
          <w:tcPr>
            <w:tcW w:w="862" w:type="dxa"/>
            <w:tcBorders>
              <w:top w:val="nil"/>
              <w:left w:val="nil"/>
              <w:bottom w:val="nil"/>
              <w:right w:val="nil"/>
            </w:tcBorders>
            <w:shd w:val="clear" w:color="auto" w:fill="auto"/>
            <w:noWrap/>
            <w:vAlign w:val="bottom"/>
            <w:hideMark/>
          </w:tcPr>
          <w:p w14:paraId="042F810A" w14:textId="77777777" w:rsidR="004C58D5" w:rsidRDefault="004C58D5">
            <w:pPr>
              <w:jc w:val="right"/>
              <w:rPr>
                <w:color w:val="000000"/>
                <w:sz w:val="20"/>
                <w:szCs w:val="20"/>
              </w:rPr>
            </w:pPr>
            <w:r>
              <w:rPr>
                <w:color w:val="000000"/>
                <w:sz w:val="20"/>
                <w:szCs w:val="20"/>
              </w:rPr>
              <w:t>0.624</w:t>
            </w:r>
          </w:p>
        </w:tc>
        <w:tc>
          <w:tcPr>
            <w:tcW w:w="862" w:type="dxa"/>
            <w:tcBorders>
              <w:top w:val="nil"/>
              <w:left w:val="nil"/>
              <w:bottom w:val="nil"/>
              <w:right w:val="nil"/>
            </w:tcBorders>
            <w:shd w:val="clear" w:color="auto" w:fill="auto"/>
            <w:noWrap/>
            <w:vAlign w:val="bottom"/>
            <w:hideMark/>
          </w:tcPr>
          <w:p w14:paraId="2D76016D" w14:textId="77777777" w:rsidR="004C58D5" w:rsidRDefault="004C58D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3216D32" w14:textId="77777777" w:rsidR="004C58D5" w:rsidRDefault="004C58D5">
            <w:pPr>
              <w:jc w:val="right"/>
              <w:rPr>
                <w:color w:val="000000"/>
                <w:sz w:val="20"/>
                <w:szCs w:val="20"/>
              </w:rPr>
            </w:pPr>
            <w:r>
              <w:rPr>
                <w:color w:val="000000"/>
                <w:sz w:val="20"/>
                <w:szCs w:val="20"/>
              </w:rPr>
              <w:t>0.031</w:t>
            </w:r>
          </w:p>
        </w:tc>
        <w:tc>
          <w:tcPr>
            <w:tcW w:w="864" w:type="dxa"/>
            <w:gridSpan w:val="2"/>
            <w:tcBorders>
              <w:top w:val="nil"/>
              <w:left w:val="nil"/>
              <w:bottom w:val="nil"/>
              <w:right w:val="nil"/>
            </w:tcBorders>
            <w:shd w:val="clear" w:color="auto" w:fill="auto"/>
            <w:noWrap/>
            <w:vAlign w:val="bottom"/>
            <w:hideMark/>
          </w:tcPr>
          <w:p w14:paraId="5466CC4A" w14:textId="77777777" w:rsidR="004C58D5" w:rsidRDefault="004C58D5">
            <w:pPr>
              <w:jc w:val="right"/>
              <w:rPr>
                <w:color w:val="000000"/>
                <w:sz w:val="20"/>
                <w:szCs w:val="20"/>
              </w:rPr>
            </w:pPr>
            <w:r>
              <w:rPr>
                <w:color w:val="000000"/>
                <w:sz w:val="20"/>
                <w:szCs w:val="20"/>
              </w:rPr>
              <w:t>0.317</w:t>
            </w:r>
          </w:p>
        </w:tc>
        <w:tc>
          <w:tcPr>
            <w:tcW w:w="864" w:type="dxa"/>
            <w:gridSpan w:val="2"/>
            <w:tcBorders>
              <w:top w:val="nil"/>
              <w:left w:val="nil"/>
              <w:bottom w:val="nil"/>
              <w:right w:val="nil"/>
            </w:tcBorders>
            <w:shd w:val="clear" w:color="auto" w:fill="auto"/>
            <w:noWrap/>
            <w:vAlign w:val="bottom"/>
            <w:hideMark/>
          </w:tcPr>
          <w:p w14:paraId="06B80469" w14:textId="77777777" w:rsidR="004C58D5" w:rsidRDefault="004C58D5">
            <w:pPr>
              <w:jc w:val="right"/>
              <w:rPr>
                <w:color w:val="000000"/>
                <w:sz w:val="20"/>
                <w:szCs w:val="20"/>
              </w:rPr>
            </w:pPr>
            <w:r>
              <w:rPr>
                <w:color w:val="000000"/>
                <w:sz w:val="20"/>
                <w:szCs w:val="20"/>
              </w:rPr>
              <w:t>0.001</w:t>
            </w:r>
          </w:p>
        </w:tc>
      </w:tr>
      <w:tr w:rsidR="004C58D5" w14:paraId="26612671" w14:textId="77777777" w:rsidTr="00EE0A4C">
        <w:trPr>
          <w:trHeight w:val="340"/>
        </w:trPr>
        <w:tc>
          <w:tcPr>
            <w:tcW w:w="1152" w:type="dxa"/>
            <w:tcBorders>
              <w:top w:val="nil"/>
              <w:left w:val="nil"/>
              <w:bottom w:val="single" w:sz="12" w:space="0" w:color="auto"/>
              <w:right w:val="nil"/>
            </w:tcBorders>
            <w:shd w:val="clear" w:color="auto" w:fill="auto"/>
            <w:noWrap/>
            <w:vAlign w:val="center"/>
            <w:hideMark/>
          </w:tcPr>
          <w:p w14:paraId="483A3544" w14:textId="77777777" w:rsidR="004C58D5" w:rsidRDefault="004C58D5" w:rsidP="00EE0A4C">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center"/>
            <w:hideMark/>
          </w:tcPr>
          <w:p w14:paraId="7C1A3CB4" w14:textId="77777777" w:rsidR="004C58D5" w:rsidRDefault="004C58D5" w:rsidP="00EE0A4C">
            <w:pPr>
              <w:rPr>
                <w:color w:val="000000"/>
                <w:sz w:val="20"/>
                <w:szCs w:val="20"/>
              </w:rPr>
            </w:pPr>
            <w:r>
              <w:rPr>
                <w:color w:val="000000"/>
                <w:sz w:val="20"/>
                <w:szCs w:val="20"/>
              </w:rPr>
              <w:t>30%</w:t>
            </w:r>
          </w:p>
        </w:tc>
        <w:tc>
          <w:tcPr>
            <w:tcW w:w="862" w:type="dxa"/>
            <w:tcBorders>
              <w:top w:val="nil"/>
              <w:left w:val="nil"/>
              <w:bottom w:val="single" w:sz="12" w:space="0" w:color="auto"/>
              <w:right w:val="nil"/>
            </w:tcBorders>
            <w:shd w:val="clear" w:color="auto" w:fill="auto"/>
            <w:noWrap/>
            <w:vAlign w:val="bottom"/>
            <w:hideMark/>
          </w:tcPr>
          <w:p w14:paraId="1597BEC7" w14:textId="77777777" w:rsidR="004C58D5" w:rsidRDefault="004C58D5">
            <w:pPr>
              <w:jc w:val="right"/>
              <w:rPr>
                <w:color w:val="000000"/>
                <w:sz w:val="20"/>
                <w:szCs w:val="20"/>
              </w:rPr>
            </w:pPr>
            <w:r>
              <w:rPr>
                <w:color w:val="000000"/>
                <w:sz w:val="20"/>
                <w:szCs w:val="20"/>
              </w:rPr>
              <w:t>-0.014</w:t>
            </w:r>
          </w:p>
        </w:tc>
        <w:tc>
          <w:tcPr>
            <w:tcW w:w="862" w:type="dxa"/>
            <w:tcBorders>
              <w:top w:val="nil"/>
              <w:left w:val="nil"/>
              <w:bottom w:val="single" w:sz="12" w:space="0" w:color="auto"/>
              <w:right w:val="nil"/>
            </w:tcBorders>
            <w:shd w:val="clear" w:color="auto" w:fill="auto"/>
            <w:noWrap/>
            <w:vAlign w:val="bottom"/>
            <w:hideMark/>
          </w:tcPr>
          <w:p w14:paraId="797E95A8" w14:textId="77777777" w:rsidR="004C58D5" w:rsidRDefault="004C58D5">
            <w:pPr>
              <w:jc w:val="right"/>
              <w:rPr>
                <w:color w:val="000000"/>
                <w:sz w:val="20"/>
                <w:szCs w:val="20"/>
              </w:rPr>
            </w:pPr>
            <w:r>
              <w:rPr>
                <w:color w:val="000000"/>
                <w:sz w:val="20"/>
                <w:szCs w:val="20"/>
              </w:rPr>
              <w:t>0.624</w:t>
            </w:r>
          </w:p>
        </w:tc>
        <w:tc>
          <w:tcPr>
            <w:tcW w:w="862" w:type="dxa"/>
            <w:tcBorders>
              <w:top w:val="nil"/>
              <w:left w:val="nil"/>
              <w:bottom w:val="single" w:sz="12" w:space="0" w:color="auto"/>
              <w:right w:val="nil"/>
            </w:tcBorders>
            <w:shd w:val="clear" w:color="auto" w:fill="auto"/>
            <w:noWrap/>
            <w:vAlign w:val="bottom"/>
            <w:hideMark/>
          </w:tcPr>
          <w:p w14:paraId="0840452C" w14:textId="77777777" w:rsidR="004C58D5" w:rsidRDefault="004C58D5">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24AA5545" w14:textId="77777777" w:rsidR="004C58D5" w:rsidRDefault="004C58D5">
            <w:pPr>
              <w:jc w:val="right"/>
              <w:rPr>
                <w:color w:val="000000"/>
                <w:sz w:val="20"/>
                <w:szCs w:val="20"/>
              </w:rPr>
            </w:pPr>
            <w:r>
              <w:rPr>
                <w:color w:val="000000"/>
                <w:sz w:val="20"/>
                <w:szCs w:val="20"/>
              </w:rPr>
              <w:t>0.031</w:t>
            </w:r>
          </w:p>
        </w:tc>
        <w:tc>
          <w:tcPr>
            <w:tcW w:w="864" w:type="dxa"/>
            <w:gridSpan w:val="2"/>
            <w:tcBorders>
              <w:top w:val="nil"/>
              <w:left w:val="nil"/>
              <w:bottom w:val="single" w:sz="12" w:space="0" w:color="auto"/>
              <w:right w:val="nil"/>
            </w:tcBorders>
            <w:shd w:val="clear" w:color="auto" w:fill="auto"/>
            <w:noWrap/>
            <w:vAlign w:val="bottom"/>
            <w:hideMark/>
          </w:tcPr>
          <w:p w14:paraId="3595F8F5" w14:textId="77777777" w:rsidR="004C58D5" w:rsidRDefault="004C58D5">
            <w:pPr>
              <w:jc w:val="right"/>
              <w:rPr>
                <w:color w:val="000000"/>
                <w:sz w:val="20"/>
                <w:szCs w:val="20"/>
              </w:rPr>
            </w:pPr>
            <w:r>
              <w:rPr>
                <w:color w:val="000000"/>
                <w:sz w:val="20"/>
                <w:szCs w:val="20"/>
              </w:rPr>
              <w:t>0.317</w:t>
            </w:r>
          </w:p>
        </w:tc>
        <w:tc>
          <w:tcPr>
            <w:tcW w:w="864" w:type="dxa"/>
            <w:gridSpan w:val="2"/>
            <w:tcBorders>
              <w:top w:val="nil"/>
              <w:left w:val="nil"/>
              <w:bottom w:val="single" w:sz="12" w:space="0" w:color="auto"/>
              <w:right w:val="nil"/>
            </w:tcBorders>
            <w:shd w:val="clear" w:color="auto" w:fill="auto"/>
            <w:noWrap/>
            <w:vAlign w:val="bottom"/>
            <w:hideMark/>
          </w:tcPr>
          <w:p w14:paraId="557C8E05" w14:textId="77777777" w:rsidR="004C58D5" w:rsidRDefault="004C58D5">
            <w:pPr>
              <w:jc w:val="right"/>
              <w:rPr>
                <w:color w:val="000000"/>
                <w:sz w:val="20"/>
                <w:szCs w:val="20"/>
              </w:rPr>
            </w:pPr>
            <w:r>
              <w:rPr>
                <w:color w:val="000000"/>
                <w:sz w:val="20"/>
                <w:szCs w:val="20"/>
              </w:rPr>
              <w:t>0.001</w:t>
            </w:r>
          </w:p>
        </w:tc>
      </w:tr>
      <w:tr w:rsidR="004C58D5" w14:paraId="0DA49B8B" w14:textId="77777777" w:rsidTr="00EE0A4C">
        <w:trPr>
          <w:trHeight w:val="320"/>
        </w:trPr>
        <w:tc>
          <w:tcPr>
            <w:tcW w:w="1152" w:type="dxa"/>
            <w:tcBorders>
              <w:top w:val="single" w:sz="12" w:space="0" w:color="auto"/>
              <w:left w:val="nil"/>
              <w:bottom w:val="nil"/>
              <w:right w:val="nil"/>
            </w:tcBorders>
            <w:shd w:val="clear" w:color="auto" w:fill="auto"/>
            <w:noWrap/>
            <w:vAlign w:val="center"/>
            <w:hideMark/>
          </w:tcPr>
          <w:p w14:paraId="780C819B" w14:textId="77777777" w:rsidR="004C58D5" w:rsidRDefault="004C58D5" w:rsidP="00EE0A4C">
            <w:pPr>
              <w:rPr>
                <w:color w:val="000000"/>
                <w:sz w:val="20"/>
                <w:szCs w:val="20"/>
              </w:rPr>
            </w:pPr>
            <w:r>
              <w:rPr>
                <w:color w:val="000000"/>
                <w:sz w:val="20"/>
                <w:szCs w:val="20"/>
              </w:rPr>
              <w:t>MID</w:t>
            </w:r>
          </w:p>
        </w:tc>
        <w:tc>
          <w:tcPr>
            <w:tcW w:w="1027" w:type="dxa"/>
            <w:tcBorders>
              <w:top w:val="single" w:sz="12" w:space="0" w:color="auto"/>
              <w:left w:val="nil"/>
              <w:bottom w:val="nil"/>
              <w:right w:val="nil"/>
            </w:tcBorders>
            <w:shd w:val="clear" w:color="auto" w:fill="auto"/>
            <w:noWrap/>
            <w:vAlign w:val="center"/>
            <w:hideMark/>
          </w:tcPr>
          <w:p w14:paraId="12D51F3B" w14:textId="77777777" w:rsidR="004C58D5" w:rsidRDefault="004C58D5" w:rsidP="00EE0A4C">
            <w:pPr>
              <w:rPr>
                <w:color w:val="000000"/>
                <w:sz w:val="20"/>
                <w:szCs w:val="20"/>
              </w:rPr>
            </w:pPr>
            <w:r>
              <w:rPr>
                <w:color w:val="000000"/>
                <w:sz w:val="20"/>
                <w:szCs w:val="20"/>
              </w:rPr>
              <w:t>10%</w:t>
            </w:r>
          </w:p>
        </w:tc>
        <w:tc>
          <w:tcPr>
            <w:tcW w:w="862" w:type="dxa"/>
            <w:tcBorders>
              <w:top w:val="single" w:sz="12" w:space="0" w:color="auto"/>
              <w:left w:val="nil"/>
              <w:bottom w:val="nil"/>
              <w:right w:val="nil"/>
            </w:tcBorders>
            <w:shd w:val="clear" w:color="auto" w:fill="auto"/>
            <w:noWrap/>
            <w:vAlign w:val="bottom"/>
            <w:hideMark/>
          </w:tcPr>
          <w:p w14:paraId="151BE118" w14:textId="77777777" w:rsidR="004C58D5" w:rsidRDefault="004C58D5">
            <w:pPr>
              <w:jc w:val="right"/>
              <w:rPr>
                <w:color w:val="000000"/>
                <w:sz w:val="20"/>
                <w:szCs w:val="20"/>
              </w:rPr>
            </w:pPr>
            <w:r>
              <w:rPr>
                <w:color w:val="000000"/>
                <w:sz w:val="20"/>
                <w:szCs w:val="20"/>
              </w:rPr>
              <w:t>-0.035</w:t>
            </w:r>
          </w:p>
        </w:tc>
        <w:tc>
          <w:tcPr>
            <w:tcW w:w="862" w:type="dxa"/>
            <w:tcBorders>
              <w:top w:val="single" w:sz="12" w:space="0" w:color="auto"/>
              <w:left w:val="nil"/>
              <w:bottom w:val="nil"/>
              <w:right w:val="nil"/>
            </w:tcBorders>
            <w:shd w:val="clear" w:color="auto" w:fill="auto"/>
            <w:noWrap/>
            <w:vAlign w:val="bottom"/>
            <w:hideMark/>
          </w:tcPr>
          <w:p w14:paraId="69971435" w14:textId="77777777" w:rsidR="004C58D5" w:rsidRDefault="004C58D5">
            <w:pPr>
              <w:jc w:val="right"/>
              <w:rPr>
                <w:color w:val="000000"/>
                <w:sz w:val="20"/>
                <w:szCs w:val="20"/>
              </w:rPr>
            </w:pPr>
            <w:r>
              <w:rPr>
                <w:color w:val="000000"/>
                <w:sz w:val="20"/>
                <w:szCs w:val="20"/>
              </w:rPr>
              <w:t>0.231</w:t>
            </w:r>
          </w:p>
        </w:tc>
        <w:tc>
          <w:tcPr>
            <w:tcW w:w="862" w:type="dxa"/>
            <w:tcBorders>
              <w:top w:val="single" w:sz="12" w:space="0" w:color="auto"/>
              <w:left w:val="nil"/>
              <w:bottom w:val="nil"/>
              <w:right w:val="nil"/>
            </w:tcBorders>
            <w:shd w:val="clear" w:color="auto" w:fill="auto"/>
            <w:noWrap/>
            <w:vAlign w:val="bottom"/>
            <w:hideMark/>
          </w:tcPr>
          <w:p w14:paraId="63EF21D3" w14:textId="77777777" w:rsidR="004C58D5" w:rsidRDefault="004C58D5">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67F17D0F" w14:textId="77777777" w:rsidR="004C58D5" w:rsidRDefault="004C58D5">
            <w:pPr>
              <w:jc w:val="right"/>
              <w:rPr>
                <w:color w:val="000000"/>
                <w:sz w:val="20"/>
                <w:szCs w:val="20"/>
              </w:rPr>
            </w:pPr>
            <w:r>
              <w:rPr>
                <w:color w:val="000000"/>
                <w:sz w:val="20"/>
                <w:szCs w:val="20"/>
              </w:rPr>
              <w:t>0.044</w:t>
            </w:r>
          </w:p>
        </w:tc>
        <w:tc>
          <w:tcPr>
            <w:tcW w:w="864" w:type="dxa"/>
            <w:gridSpan w:val="2"/>
            <w:tcBorders>
              <w:top w:val="single" w:sz="12" w:space="0" w:color="auto"/>
              <w:left w:val="nil"/>
              <w:bottom w:val="nil"/>
              <w:right w:val="nil"/>
            </w:tcBorders>
            <w:shd w:val="clear" w:color="auto" w:fill="auto"/>
            <w:noWrap/>
            <w:vAlign w:val="bottom"/>
            <w:hideMark/>
          </w:tcPr>
          <w:p w14:paraId="36578762" w14:textId="77777777" w:rsidR="004C58D5" w:rsidRDefault="004C58D5">
            <w:pPr>
              <w:jc w:val="right"/>
              <w:rPr>
                <w:color w:val="000000"/>
                <w:sz w:val="20"/>
                <w:szCs w:val="20"/>
              </w:rPr>
            </w:pPr>
            <w:r>
              <w:rPr>
                <w:color w:val="000000"/>
                <w:sz w:val="20"/>
                <w:szCs w:val="20"/>
              </w:rPr>
              <w:t>0.210</w:t>
            </w:r>
          </w:p>
        </w:tc>
        <w:tc>
          <w:tcPr>
            <w:tcW w:w="864" w:type="dxa"/>
            <w:gridSpan w:val="2"/>
            <w:tcBorders>
              <w:top w:val="single" w:sz="12" w:space="0" w:color="auto"/>
              <w:left w:val="nil"/>
              <w:bottom w:val="nil"/>
              <w:right w:val="nil"/>
            </w:tcBorders>
            <w:shd w:val="clear" w:color="auto" w:fill="auto"/>
            <w:noWrap/>
            <w:vAlign w:val="bottom"/>
            <w:hideMark/>
          </w:tcPr>
          <w:p w14:paraId="56F199C2" w14:textId="77777777" w:rsidR="004C58D5" w:rsidRDefault="004C58D5">
            <w:pPr>
              <w:jc w:val="right"/>
              <w:rPr>
                <w:color w:val="000000"/>
                <w:sz w:val="20"/>
                <w:szCs w:val="20"/>
              </w:rPr>
            </w:pPr>
            <w:r>
              <w:rPr>
                <w:color w:val="000000"/>
                <w:sz w:val="20"/>
                <w:szCs w:val="20"/>
              </w:rPr>
              <w:t>0.002</w:t>
            </w:r>
          </w:p>
        </w:tc>
      </w:tr>
      <w:tr w:rsidR="004C58D5" w14:paraId="1D572FFB" w14:textId="77777777" w:rsidTr="00EE0A4C">
        <w:trPr>
          <w:trHeight w:val="320"/>
        </w:trPr>
        <w:tc>
          <w:tcPr>
            <w:tcW w:w="1152" w:type="dxa"/>
            <w:tcBorders>
              <w:top w:val="nil"/>
              <w:left w:val="nil"/>
              <w:bottom w:val="nil"/>
              <w:right w:val="nil"/>
            </w:tcBorders>
            <w:shd w:val="clear" w:color="auto" w:fill="auto"/>
            <w:noWrap/>
            <w:vAlign w:val="center"/>
            <w:hideMark/>
          </w:tcPr>
          <w:p w14:paraId="7EEFE4D4" w14:textId="77777777" w:rsidR="004C58D5" w:rsidRDefault="004C58D5" w:rsidP="00EE0A4C">
            <w:pPr>
              <w:rPr>
                <w:color w:val="000000"/>
                <w:sz w:val="20"/>
                <w:szCs w:val="20"/>
              </w:rPr>
            </w:pPr>
          </w:p>
        </w:tc>
        <w:tc>
          <w:tcPr>
            <w:tcW w:w="1027" w:type="dxa"/>
            <w:tcBorders>
              <w:top w:val="nil"/>
              <w:left w:val="nil"/>
              <w:bottom w:val="nil"/>
              <w:right w:val="nil"/>
            </w:tcBorders>
            <w:shd w:val="clear" w:color="auto" w:fill="auto"/>
            <w:noWrap/>
            <w:vAlign w:val="center"/>
            <w:hideMark/>
          </w:tcPr>
          <w:p w14:paraId="542AA834" w14:textId="77777777" w:rsidR="004C58D5" w:rsidRDefault="004C58D5" w:rsidP="00EE0A4C">
            <w:pPr>
              <w:rPr>
                <w:color w:val="000000"/>
                <w:sz w:val="20"/>
                <w:szCs w:val="20"/>
              </w:rPr>
            </w:pPr>
            <w:r>
              <w:rPr>
                <w:color w:val="000000"/>
                <w:sz w:val="20"/>
                <w:szCs w:val="20"/>
              </w:rPr>
              <w:t>17%</w:t>
            </w:r>
          </w:p>
        </w:tc>
        <w:tc>
          <w:tcPr>
            <w:tcW w:w="862" w:type="dxa"/>
            <w:tcBorders>
              <w:top w:val="nil"/>
              <w:left w:val="nil"/>
              <w:bottom w:val="nil"/>
              <w:right w:val="nil"/>
            </w:tcBorders>
            <w:shd w:val="clear" w:color="auto" w:fill="auto"/>
            <w:noWrap/>
            <w:vAlign w:val="bottom"/>
            <w:hideMark/>
          </w:tcPr>
          <w:p w14:paraId="0383B13B" w14:textId="77777777" w:rsidR="004C58D5" w:rsidRDefault="004C58D5">
            <w:pPr>
              <w:jc w:val="right"/>
              <w:rPr>
                <w:color w:val="000000"/>
                <w:sz w:val="20"/>
                <w:szCs w:val="20"/>
              </w:rPr>
            </w:pPr>
            <w:r>
              <w:rPr>
                <w:color w:val="000000"/>
                <w:sz w:val="20"/>
                <w:szCs w:val="20"/>
              </w:rPr>
              <w:t>-0.033</w:t>
            </w:r>
          </w:p>
        </w:tc>
        <w:tc>
          <w:tcPr>
            <w:tcW w:w="862" w:type="dxa"/>
            <w:tcBorders>
              <w:top w:val="nil"/>
              <w:left w:val="nil"/>
              <w:bottom w:val="nil"/>
              <w:right w:val="nil"/>
            </w:tcBorders>
            <w:shd w:val="clear" w:color="auto" w:fill="auto"/>
            <w:noWrap/>
            <w:vAlign w:val="bottom"/>
            <w:hideMark/>
          </w:tcPr>
          <w:p w14:paraId="6E32CBD8" w14:textId="77777777" w:rsidR="004C58D5" w:rsidRDefault="004C58D5">
            <w:pPr>
              <w:jc w:val="right"/>
              <w:rPr>
                <w:color w:val="000000"/>
                <w:sz w:val="20"/>
                <w:szCs w:val="20"/>
              </w:rPr>
            </w:pPr>
            <w:r>
              <w:rPr>
                <w:color w:val="000000"/>
                <w:sz w:val="20"/>
                <w:szCs w:val="20"/>
              </w:rPr>
              <w:t>0.231</w:t>
            </w:r>
          </w:p>
        </w:tc>
        <w:tc>
          <w:tcPr>
            <w:tcW w:w="862" w:type="dxa"/>
            <w:tcBorders>
              <w:top w:val="nil"/>
              <w:left w:val="nil"/>
              <w:bottom w:val="nil"/>
              <w:right w:val="nil"/>
            </w:tcBorders>
            <w:shd w:val="clear" w:color="auto" w:fill="auto"/>
            <w:noWrap/>
            <w:vAlign w:val="bottom"/>
            <w:hideMark/>
          </w:tcPr>
          <w:p w14:paraId="2DC30C24" w14:textId="77777777" w:rsidR="004C58D5" w:rsidRDefault="004C58D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EB57F7F" w14:textId="77777777" w:rsidR="004C58D5" w:rsidRDefault="004C58D5">
            <w:pPr>
              <w:jc w:val="right"/>
              <w:rPr>
                <w:color w:val="000000"/>
                <w:sz w:val="20"/>
                <w:szCs w:val="20"/>
              </w:rPr>
            </w:pPr>
            <w:r>
              <w:rPr>
                <w:color w:val="000000"/>
                <w:sz w:val="20"/>
                <w:szCs w:val="20"/>
              </w:rPr>
              <w:t>0.040</w:t>
            </w:r>
          </w:p>
        </w:tc>
        <w:tc>
          <w:tcPr>
            <w:tcW w:w="864" w:type="dxa"/>
            <w:gridSpan w:val="2"/>
            <w:tcBorders>
              <w:top w:val="nil"/>
              <w:left w:val="nil"/>
              <w:bottom w:val="nil"/>
              <w:right w:val="nil"/>
            </w:tcBorders>
            <w:shd w:val="clear" w:color="auto" w:fill="auto"/>
            <w:noWrap/>
            <w:vAlign w:val="bottom"/>
            <w:hideMark/>
          </w:tcPr>
          <w:p w14:paraId="03E8EA61" w14:textId="77777777" w:rsidR="004C58D5" w:rsidRDefault="004C58D5">
            <w:pPr>
              <w:jc w:val="right"/>
              <w:rPr>
                <w:color w:val="000000"/>
                <w:sz w:val="20"/>
                <w:szCs w:val="20"/>
              </w:rPr>
            </w:pPr>
            <w:r>
              <w:rPr>
                <w:color w:val="000000"/>
                <w:sz w:val="20"/>
                <w:szCs w:val="20"/>
              </w:rPr>
              <w:t>0.210</w:t>
            </w:r>
          </w:p>
        </w:tc>
        <w:tc>
          <w:tcPr>
            <w:tcW w:w="864" w:type="dxa"/>
            <w:gridSpan w:val="2"/>
            <w:tcBorders>
              <w:top w:val="nil"/>
              <w:left w:val="nil"/>
              <w:bottom w:val="nil"/>
              <w:right w:val="nil"/>
            </w:tcBorders>
            <w:shd w:val="clear" w:color="auto" w:fill="auto"/>
            <w:noWrap/>
            <w:vAlign w:val="bottom"/>
            <w:hideMark/>
          </w:tcPr>
          <w:p w14:paraId="19744A68" w14:textId="77777777" w:rsidR="004C58D5" w:rsidRDefault="004C58D5">
            <w:pPr>
              <w:jc w:val="right"/>
              <w:rPr>
                <w:color w:val="000000"/>
                <w:sz w:val="20"/>
                <w:szCs w:val="20"/>
              </w:rPr>
            </w:pPr>
            <w:r>
              <w:rPr>
                <w:color w:val="000000"/>
                <w:sz w:val="20"/>
                <w:szCs w:val="20"/>
              </w:rPr>
              <w:t>0.002</w:t>
            </w:r>
          </w:p>
        </w:tc>
      </w:tr>
      <w:tr w:rsidR="004C58D5" w14:paraId="0ED9C3FB" w14:textId="77777777" w:rsidTr="00EE0A4C">
        <w:trPr>
          <w:trHeight w:val="320"/>
        </w:trPr>
        <w:tc>
          <w:tcPr>
            <w:tcW w:w="1152" w:type="dxa"/>
            <w:tcBorders>
              <w:top w:val="nil"/>
              <w:left w:val="nil"/>
              <w:bottom w:val="nil"/>
              <w:right w:val="nil"/>
            </w:tcBorders>
            <w:shd w:val="clear" w:color="auto" w:fill="auto"/>
            <w:noWrap/>
            <w:vAlign w:val="center"/>
            <w:hideMark/>
          </w:tcPr>
          <w:p w14:paraId="34D86C80" w14:textId="77777777" w:rsidR="004C58D5" w:rsidRDefault="004C58D5" w:rsidP="00EE0A4C">
            <w:pPr>
              <w:rPr>
                <w:color w:val="000000"/>
                <w:sz w:val="20"/>
                <w:szCs w:val="20"/>
              </w:rPr>
            </w:pPr>
          </w:p>
        </w:tc>
        <w:tc>
          <w:tcPr>
            <w:tcW w:w="1027" w:type="dxa"/>
            <w:tcBorders>
              <w:top w:val="nil"/>
              <w:left w:val="nil"/>
              <w:bottom w:val="nil"/>
              <w:right w:val="nil"/>
            </w:tcBorders>
            <w:shd w:val="clear" w:color="auto" w:fill="auto"/>
            <w:noWrap/>
            <w:vAlign w:val="center"/>
            <w:hideMark/>
          </w:tcPr>
          <w:p w14:paraId="6DC74CCE" w14:textId="77777777" w:rsidR="004C58D5" w:rsidRDefault="004C58D5" w:rsidP="00EE0A4C">
            <w:pPr>
              <w:rPr>
                <w:color w:val="000000"/>
                <w:sz w:val="20"/>
                <w:szCs w:val="20"/>
              </w:rPr>
            </w:pPr>
            <w:r>
              <w:rPr>
                <w:color w:val="000000"/>
                <w:sz w:val="20"/>
                <w:szCs w:val="20"/>
              </w:rPr>
              <w:t>23%</w:t>
            </w:r>
          </w:p>
        </w:tc>
        <w:tc>
          <w:tcPr>
            <w:tcW w:w="862" w:type="dxa"/>
            <w:tcBorders>
              <w:top w:val="nil"/>
              <w:left w:val="nil"/>
              <w:bottom w:val="nil"/>
              <w:right w:val="nil"/>
            </w:tcBorders>
            <w:shd w:val="clear" w:color="auto" w:fill="auto"/>
            <w:noWrap/>
            <w:vAlign w:val="bottom"/>
            <w:hideMark/>
          </w:tcPr>
          <w:p w14:paraId="11DA60AB" w14:textId="77777777" w:rsidR="004C58D5" w:rsidRDefault="004C58D5">
            <w:pPr>
              <w:jc w:val="right"/>
              <w:rPr>
                <w:color w:val="000000"/>
                <w:sz w:val="20"/>
                <w:szCs w:val="20"/>
              </w:rPr>
            </w:pPr>
            <w:r>
              <w:rPr>
                <w:color w:val="000000"/>
                <w:sz w:val="20"/>
                <w:szCs w:val="20"/>
              </w:rPr>
              <w:t>-0.032</w:t>
            </w:r>
          </w:p>
        </w:tc>
        <w:tc>
          <w:tcPr>
            <w:tcW w:w="862" w:type="dxa"/>
            <w:tcBorders>
              <w:top w:val="nil"/>
              <w:left w:val="nil"/>
              <w:bottom w:val="nil"/>
              <w:right w:val="nil"/>
            </w:tcBorders>
            <w:shd w:val="clear" w:color="auto" w:fill="auto"/>
            <w:noWrap/>
            <w:vAlign w:val="bottom"/>
            <w:hideMark/>
          </w:tcPr>
          <w:p w14:paraId="01BB2DE8" w14:textId="77777777" w:rsidR="004C58D5" w:rsidRDefault="004C58D5">
            <w:pPr>
              <w:jc w:val="right"/>
              <w:rPr>
                <w:color w:val="000000"/>
                <w:sz w:val="20"/>
                <w:szCs w:val="20"/>
              </w:rPr>
            </w:pPr>
            <w:r>
              <w:rPr>
                <w:color w:val="000000"/>
                <w:sz w:val="20"/>
                <w:szCs w:val="20"/>
              </w:rPr>
              <w:t>0.231</w:t>
            </w:r>
          </w:p>
        </w:tc>
        <w:tc>
          <w:tcPr>
            <w:tcW w:w="862" w:type="dxa"/>
            <w:tcBorders>
              <w:top w:val="nil"/>
              <w:left w:val="nil"/>
              <w:bottom w:val="nil"/>
              <w:right w:val="nil"/>
            </w:tcBorders>
            <w:shd w:val="clear" w:color="auto" w:fill="auto"/>
            <w:noWrap/>
            <w:vAlign w:val="bottom"/>
            <w:hideMark/>
          </w:tcPr>
          <w:p w14:paraId="04DCD016" w14:textId="77777777" w:rsidR="004C58D5" w:rsidRDefault="004C58D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6279551" w14:textId="77777777" w:rsidR="004C58D5" w:rsidRDefault="004C58D5">
            <w:pPr>
              <w:jc w:val="right"/>
              <w:rPr>
                <w:color w:val="000000"/>
                <w:sz w:val="20"/>
                <w:szCs w:val="20"/>
              </w:rPr>
            </w:pPr>
            <w:r>
              <w:rPr>
                <w:color w:val="000000"/>
                <w:sz w:val="20"/>
                <w:szCs w:val="20"/>
              </w:rPr>
              <w:t>0.039</w:t>
            </w:r>
          </w:p>
        </w:tc>
        <w:tc>
          <w:tcPr>
            <w:tcW w:w="864" w:type="dxa"/>
            <w:gridSpan w:val="2"/>
            <w:tcBorders>
              <w:top w:val="nil"/>
              <w:left w:val="nil"/>
              <w:bottom w:val="nil"/>
              <w:right w:val="nil"/>
            </w:tcBorders>
            <w:shd w:val="clear" w:color="auto" w:fill="auto"/>
            <w:noWrap/>
            <w:vAlign w:val="bottom"/>
            <w:hideMark/>
          </w:tcPr>
          <w:p w14:paraId="57980D2C" w14:textId="77777777" w:rsidR="004C58D5" w:rsidRDefault="004C58D5">
            <w:pPr>
              <w:jc w:val="right"/>
              <w:rPr>
                <w:color w:val="000000"/>
                <w:sz w:val="20"/>
                <w:szCs w:val="20"/>
              </w:rPr>
            </w:pPr>
            <w:r>
              <w:rPr>
                <w:color w:val="000000"/>
                <w:sz w:val="20"/>
                <w:szCs w:val="20"/>
              </w:rPr>
              <w:t>0.210</w:t>
            </w:r>
          </w:p>
        </w:tc>
        <w:tc>
          <w:tcPr>
            <w:tcW w:w="864" w:type="dxa"/>
            <w:gridSpan w:val="2"/>
            <w:tcBorders>
              <w:top w:val="nil"/>
              <w:left w:val="nil"/>
              <w:bottom w:val="nil"/>
              <w:right w:val="nil"/>
            </w:tcBorders>
            <w:shd w:val="clear" w:color="auto" w:fill="auto"/>
            <w:noWrap/>
            <w:vAlign w:val="bottom"/>
            <w:hideMark/>
          </w:tcPr>
          <w:p w14:paraId="7F3E29E2" w14:textId="77777777" w:rsidR="004C58D5" w:rsidRDefault="004C58D5">
            <w:pPr>
              <w:jc w:val="right"/>
              <w:rPr>
                <w:color w:val="000000"/>
                <w:sz w:val="20"/>
                <w:szCs w:val="20"/>
              </w:rPr>
            </w:pPr>
            <w:r>
              <w:rPr>
                <w:color w:val="000000"/>
                <w:sz w:val="20"/>
                <w:szCs w:val="20"/>
              </w:rPr>
              <w:t>0.002</w:t>
            </w:r>
          </w:p>
        </w:tc>
      </w:tr>
      <w:tr w:rsidR="004C58D5" w14:paraId="3D498DBF" w14:textId="77777777" w:rsidTr="00EE0A4C">
        <w:trPr>
          <w:trHeight w:val="340"/>
        </w:trPr>
        <w:tc>
          <w:tcPr>
            <w:tcW w:w="1152" w:type="dxa"/>
            <w:tcBorders>
              <w:top w:val="nil"/>
              <w:left w:val="nil"/>
              <w:bottom w:val="single" w:sz="12" w:space="0" w:color="auto"/>
              <w:right w:val="nil"/>
            </w:tcBorders>
            <w:shd w:val="clear" w:color="auto" w:fill="auto"/>
            <w:noWrap/>
            <w:vAlign w:val="center"/>
            <w:hideMark/>
          </w:tcPr>
          <w:p w14:paraId="534037D8" w14:textId="77777777" w:rsidR="004C58D5" w:rsidRDefault="004C58D5" w:rsidP="00EE0A4C">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center"/>
            <w:hideMark/>
          </w:tcPr>
          <w:p w14:paraId="61AB3421" w14:textId="77777777" w:rsidR="004C58D5" w:rsidRDefault="004C58D5" w:rsidP="00EE0A4C">
            <w:pPr>
              <w:rPr>
                <w:color w:val="000000"/>
                <w:sz w:val="20"/>
                <w:szCs w:val="20"/>
              </w:rPr>
            </w:pPr>
            <w:r>
              <w:rPr>
                <w:color w:val="000000"/>
                <w:sz w:val="20"/>
                <w:szCs w:val="20"/>
              </w:rPr>
              <w:t>30%</w:t>
            </w:r>
          </w:p>
        </w:tc>
        <w:tc>
          <w:tcPr>
            <w:tcW w:w="862" w:type="dxa"/>
            <w:tcBorders>
              <w:top w:val="nil"/>
              <w:left w:val="nil"/>
              <w:bottom w:val="single" w:sz="12" w:space="0" w:color="auto"/>
              <w:right w:val="nil"/>
            </w:tcBorders>
            <w:shd w:val="clear" w:color="auto" w:fill="auto"/>
            <w:noWrap/>
            <w:vAlign w:val="bottom"/>
            <w:hideMark/>
          </w:tcPr>
          <w:p w14:paraId="7FFBCDF2" w14:textId="77777777" w:rsidR="004C58D5" w:rsidRDefault="004C58D5">
            <w:pPr>
              <w:jc w:val="right"/>
              <w:rPr>
                <w:color w:val="000000"/>
                <w:sz w:val="20"/>
                <w:szCs w:val="20"/>
              </w:rPr>
            </w:pPr>
            <w:r>
              <w:rPr>
                <w:color w:val="000000"/>
                <w:sz w:val="20"/>
                <w:szCs w:val="20"/>
              </w:rPr>
              <w:t>-0.031</w:t>
            </w:r>
          </w:p>
        </w:tc>
        <w:tc>
          <w:tcPr>
            <w:tcW w:w="862" w:type="dxa"/>
            <w:tcBorders>
              <w:top w:val="nil"/>
              <w:left w:val="nil"/>
              <w:bottom w:val="single" w:sz="12" w:space="0" w:color="auto"/>
              <w:right w:val="nil"/>
            </w:tcBorders>
            <w:shd w:val="clear" w:color="auto" w:fill="auto"/>
            <w:noWrap/>
            <w:vAlign w:val="bottom"/>
            <w:hideMark/>
          </w:tcPr>
          <w:p w14:paraId="7A18B5B2" w14:textId="77777777" w:rsidR="004C58D5" w:rsidRDefault="004C58D5">
            <w:pPr>
              <w:jc w:val="right"/>
              <w:rPr>
                <w:color w:val="000000"/>
                <w:sz w:val="20"/>
                <w:szCs w:val="20"/>
              </w:rPr>
            </w:pPr>
            <w:r>
              <w:rPr>
                <w:color w:val="000000"/>
                <w:sz w:val="20"/>
                <w:szCs w:val="20"/>
              </w:rPr>
              <w:t>0.231</w:t>
            </w:r>
          </w:p>
        </w:tc>
        <w:tc>
          <w:tcPr>
            <w:tcW w:w="862" w:type="dxa"/>
            <w:tcBorders>
              <w:top w:val="nil"/>
              <w:left w:val="nil"/>
              <w:bottom w:val="single" w:sz="12" w:space="0" w:color="auto"/>
              <w:right w:val="nil"/>
            </w:tcBorders>
            <w:shd w:val="clear" w:color="auto" w:fill="auto"/>
            <w:noWrap/>
            <w:vAlign w:val="bottom"/>
            <w:hideMark/>
          </w:tcPr>
          <w:p w14:paraId="20FF6660" w14:textId="77777777" w:rsidR="004C58D5" w:rsidRDefault="004C58D5">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01073C55" w14:textId="77777777" w:rsidR="004C58D5" w:rsidRDefault="004C58D5">
            <w:pPr>
              <w:jc w:val="right"/>
              <w:rPr>
                <w:color w:val="000000"/>
                <w:sz w:val="20"/>
                <w:szCs w:val="20"/>
              </w:rPr>
            </w:pPr>
            <w:r>
              <w:rPr>
                <w:color w:val="000000"/>
                <w:sz w:val="20"/>
                <w:szCs w:val="20"/>
              </w:rPr>
              <w:t>0.037</w:t>
            </w:r>
          </w:p>
        </w:tc>
        <w:tc>
          <w:tcPr>
            <w:tcW w:w="864" w:type="dxa"/>
            <w:gridSpan w:val="2"/>
            <w:tcBorders>
              <w:top w:val="nil"/>
              <w:left w:val="nil"/>
              <w:bottom w:val="single" w:sz="12" w:space="0" w:color="auto"/>
              <w:right w:val="nil"/>
            </w:tcBorders>
            <w:shd w:val="clear" w:color="auto" w:fill="auto"/>
            <w:noWrap/>
            <w:vAlign w:val="bottom"/>
            <w:hideMark/>
          </w:tcPr>
          <w:p w14:paraId="0DA238FC" w14:textId="77777777" w:rsidR="004C58D5" w:rsidRDefault="004C58D5">
            <w:pPr>
              <w:jc w:val="right"/>
              <w:rPr>
                <w:color w:val="000000"/>
                <w:sz w:val="20"/>
                <w:szCs w:val="20"/>
              </w:rPr>
            </w:pPr>
            <w:r>
              <w:rPr>
                <w:color w:val="000000"/>
                <w:sz w:val="20"/>
                <w:szCs w:val="20"/>
              </w:rPr>
              <w:t>0.210</w:t>
            </w:r>
          </w:p>
        </w:tc>
        <w:tc>
          <w:tcPr>
            <w:tcW w:w="864" w:type="dxa"/>
            <w:gridSpan w:val="2"/>
            <w:tcBorders>
              <w:top w:val="nil"/>
              <w:left w:val="nil"/>
              <w:bottom w:val="single" w:sz="12" w:space="0" w:color="auto"/>
              <w:right w:val="nil"/>
            </w:tcBorders>
            <w:shd w:val="clear" w:color="auto" w:fill="auto"/>
            <w:noWrap/>
            <w:vAlign w:val="bottom"/>
            <w:hideMark/>
          </w:tcPr>
          <w:p w14:paraId="2370E68E" w14:textId="77777777" w:rsidR="004C58D5" w:rsidRDefault="004C58D5">
            <w:pPr>
              <w:jc w:val="right"/>
              <w:rPr>
                <w:color w:val="000000"/>
                <w:sz w:val="20"/>
                <w:szCs w:val="20"/>
              </w:rPr>
            </w:pPr>
            <w:r>
              <w:rPr>
                <w:color w:val="000000"/>
                <w:sz w:val="20"/>
                <w:szCs w:val="20"/>
              </w:rPr>
              <w:t>0.001</w:t>
            </w:r>
          </w:p>
        </w:tc>
      </w:tr>
      <w:tr w:rsidR="004C58D5" w14:paraId="6ACBE388" w14:textId="77777777" w:rsidTr="00EE0A4C">
        <w:trPr>
          <w:trHeight w:val="320"/>
        </w:trPr>
        <w:tc>
          <w:tcPr>
            <w:tcW w:w="1152" w:type="dxa"/>
            <w:tcBorders>
              <w:top w:val="single" w:sz="12" w:space="0" w:color="auto"/>
              <w:left w:val="nil"/>
              <w:bottom w:val="nil"/>
              <w:right w:val="nil"/>
            </w:tcBorders>
            <w:shd w:val="clear" w:color="auto" w:fill="auto"/>
            <w:noWrap/>
            <w:vAlign w:val="center"/>
            <w:hideMark/>
          </w:tcPr>
          <w:p w14:paraId="49CFA467" w14:textId="77777777" w:rsidR="004C58D5" w:rsidRDefault="004C58D5" w:rsidP="00EE0A4C">
            <w:pPr>
              <w:rPr>
                <w:color w:val="000000"/>
                <w:sz w:val="20"/>
                <w:szCs w:val="20"/>
              </w:rPr>
            </w:pPr>
            <w:r>
              <w:rPr>
                <w:color w:val="000000"/>
                <w:sz w:val="20"/>
                <w:szCs w:val="20"/>
              </w:rPr>
              <w:t>SST</w:t>
            </w:r>
          </w:p>
        </w:tc>
        <w:tc>
          <w:tcPr>
            <w:tcW w:w="1027" w:type="dxa"/>
            <w:tcBorders>
              <w:top w:val="single" w:sz="12" w:space="0" w:color="auto"/>
              <w:left w:val="nil"/>
              <w:bottom w:val="nil"/>
              <w:right w:val="nil"/>
            </w:tcBorders>
            <w:shd w:val="clear" w:color="auto" w:fill="auto"/>
            <w:noWrap/>
            <w:vAlign w:val="center"/>
            <w:hideMark/>
          </w:tcPr>
          <w:p w14:paraId="3DE2D4A4" w14:textId="77777777" w:rsidR="004C58D5" w:rsidRDefault="004C58D5" w:rsidP="00EE0A4C">
            <w:pPr>
              <w:rPr>
                <w:color w:val="000000"/>
                <w:sz w:val="20"/>
                <w:szCs w:val="20"/>
              </w:rPr>
            </w:pPr>
            <w:r>
              <w:rPr>
                <w:color w:val="000000"/>
                <w:sz w:val="20"/>
                <w:szCs w:val="20"/>
              </w:rPr>
              <w:t>10%</w:t>
            </w:r>
          </w:p>
        </w:tc>
        <w:tc>
          <w:tcPr>
            <w:tcW w:w="862" w:type="dxa"/>
            <w:tcBorders>
              <w:top w:val="single" w:sz="12" w:space="0" w:color="auto"/>
              <w:left w:val="nil"/>
              <w:bottom w:val="nil"/>
              <w:right w:val="nil"/>
            </w:tcBorders>
            <w:shd w:val="clear" w:color="auto" w:fill="auto"/>
            <w:noWrap/>
            <w:vAlign w:val="bottom"/>
            <w:hideMark/>
          </w:tcPr>
          <w:p w14:paraId="42046D85" w14:textId="77777777" w:rsidR="004C58D5" w:rsidRDefault="004C58D5">
            <w:pPr>
              <w:jc w:val="right"/>
              <w:rPr>
                <w:color w:val="000000"/>
                <w:sz w:val="20"/>
                <w:szCs w:val="20"/>
              </w:rPr>
            </w:pPr>
            <w:r>
              <w:rPr>
                <w:color w:val="000000"/>
                <w:sz w:val="20"/>
                <w:szCs w:val="20"/>
              </w:rPr>
              <w:t>0.046</w:t>
            </w:r>
          </w:p>
        </w:tc>
        <w:tc>
          <w:tcPr>
            <w:tcW w:w="862" w:type="dxa"/>
            <w:tcBorders>
              <w:top w:val="single" w:sz="12" w:space="0" w:color="auto"/>
              <w:left w:val="nil"/>
              <w:bottom w:val="nil"/>
              <w:right w:val="nil"/>
            </w:tcBorders>
            <w:shd w:val="clear" w:color="auto" w:fill="auto"/>
            <w:noWrap/>
            <w:vAlign w:val="bottom"/>
            <w:hideMark/>
          </w:tcPr>
          <w:p w14:paraId="3EEA6E45" w14:textId="77777777" w:rsidR="004C58D5" w:rsidRDefault="004C58D5">
            <w:pPr>
              <w:jc w:val="right"/>
              <w:rPr>
                <w:color w:val="000000"/>
                <w:sz w:val="20"/>
                <w:szCs w:val="20"/>
              </w:rPr>
            </w:pPr>
            <w:r>
              <w:rPr>
                <w:color w:val="000000"/>
                <w:sz w:val="20"/>
                <w:szCs w:val="20"/>
              </w:rPr>
              <w:t>0.105</w:t>
            </w:r>
          </w:p>
        </w:tc>
        <w:tc>
          <w:tcPr>
            <w:tcW w:w="862" w:type="dxa"/>
            <w:tcBorders>
              <w:top w:val="single" w:sz="12" w:space="0" w:color="auto"/>
              <w:left w:val="nil"/>
              <w:bottom w:val="nil"/>
              <w:right w:val="nil"/>
            </w:tcBorders>
            <w:shd w:val="clear" w:color="auto" w:fill="auto"/>
            <w:noWrap/>
            <w:vAlign w:val="bottom"/>
            <w:hideMark/>
          </w:tcPr>
          <w:p w14:paraId="42951692" w14:textId="77777777" w:rsidR="004C58D5" w:rsidRDefault="004C58D5">
            <w:pPr>
              <w:jc w:val="right"/>
              <w:rPr>
                <w:color w:val="000000"/>
                <w:sz w:val="20"/>
                <w:szCs w:val="20"/>
              </w:rPr>
            </w:pPr>
            <w:r>
              <w:rPr>
                <w:color w:val="000000"/>
                <w:sz w:val="20"/>
                <w:szCs w:val="20"/>
              </w:rPr>
              <w:t>0.002</w:t>
            </w:r>
          </w:p>
        </w:tc>
        <w:tc>
          <w:tcPr>
            <w:tcW w:w="864" w:type="dxa"/>
            <w:tcBorders>
              <w:top w:val="single" w:sz="12" w:space="0" w:color="auto"/>
              <w:left w:val="nil"/>
              <w:bottom w:val="nil"/>
              <w:right w:val="nil"/>
            </w:tcBorders>
            <w:shd w:val="clear" w:color="auto" w:fill="auto"/>
            <w:noWrap/>
            <w:vAlign w:val="bottom"/>
            <w:hideMark/>
          </w:tcPr>
          <w:p w14:paraId="6C8FC025" w14:textId="77777777" w:rsidR="004C58D5" w:rsidRDefault="004C58D5">
            <w:pPr>
              <w:jc w:val="right"/>
              <w:rPr>
                <w:color w:val="000000"/>
                <w:sz w:val="20"/>
                <w:szCs w:val="20"/>
              </w:rPr>
            </w:pPr>
            <w:r>
              <w:rPr>
                <w:color w:val="000000"/>
                <w:sz w:val="20"/>
                <w:szCs w:val="20"/>
              </w:rPr>
              <w:t>-0.039</w:t>
            </w:r>
          </w:p>
        </w:tc>
        <w:tc>
          <w:tcPr>
            <w:tcW w:w="864" w:type="dxa"/>
            <w:gridSpan w:val="2"/>
            <w:tcBorders>
              <w:top w:val="single" w:sz="12" w:space="0" w:color="auto"/>
              <w:left w:val="nil"/>
              <w:bottom w:val="nil"/>
              <w:right w:val="nil"/>
            </w:tcBorders>
            <w:shd w:val="clear" w:color="auto" w:fill="auto"/>
            <w:noWrap/>
            <w:vAlign w:val="bottom"/>
            <w:hideMark/>
          </w:tcPr>
          <w:p w14:paraId="61CB34DD" w14:textId="77777777" w:rsidR="004C58D5" w:rsidRDefault="004C58D5">
            <w:pPr>
              <w:jc w:val="right"/>
              <w:rPr>
                <w:color w:val="000000"/>
                <w:sz w:val="20"/>
                <w:szCs w:val="20"/>
              </w:rPr>
            </w:pPr>
            <w:r>
              <w:rPr>
                <w:color w:val="000000"/>
                <w:sz w:val="20"/>
                <w:szCs w:val="20"/>
              </w:rPr>
              <w:t>0.235</w:t>
            </w:r>
          </w:p>
        </w:tc>
        <w:tc>
          <w:tcPr>
            <w:tcW w:w="864" w:type="dxa"/>
            <w:gridSpan w:val="2"/>
            <w:tcBorders>
              <w:top w:val="single" w:sz="12" w:space="0" w:color="auto"/>
              <w:left w:val="nil"/>
              <w:bottom w:val="nil"/>
              <w:right w:val="nil"/>
            </w:tcBorders>
            <w:shd w:val="clear" w:color="auto" w:fill="auto"/>
            <w:noWrap/>
            <w:vAlign w:val="bottom"/>
            <w:hideMark/>
          </w:tcPr>
          <w:p w14:paraId="4BB7F201" w14:textId="77777777" w:rsidR="004C58D5" w:rsidRDefault="004C58D5">
            <w:pPr>
              <w:jc w:val="right"/>
              <w:rPr>
                <w:color w:val="000000"/>
                <w:sz w:val="20"/>
                <w:szCs w:val="20"/>
              </w:rPr>
            </w:pPr>
            <w:r>
              <w:rPr>
                <w:color w:val="000000"/>
                <w:sz w:val="20"/>
                <w:szCs w:val="20"/>
              </w:rPr>
              <w:t>0.002</w:t>
            </w:r>
          </w:p>
        </w:tc>
      </w:tr>
      <w:tr w:rsidR="004C58D5" w14:paraId="05A026AF" w14:textId="77777777" w:rsidTr="00EE0A4C">
        <w:trPr>
          <w:trHeight w:val="320"/>
        </w:trPr>
        <w:tc>
          <w:tcPr>
            <w:tcW w:w="1152" w:type="dxa"/>
            <w:tcBorders>
              <w:top w:val="nil"/>
              <w:left w:val="nil"/>
              <w:bottom w:val="nil"/>
              <w:right w:val="nil"/>
            </w:tcBorders>
            <w:shd w:val="clear" w:color="auto" w:fill="auto"/>
            <w:noWrap/>
            <w:vAlign w:val="center"/>
            <w:hideMark/>
          </w:tcPr>
          <w:p w14:paraId="2AE4CA13" w14:textId="77777777" w:rsidR="004C58D5" w:rsidRDefault="004C58D5" w:rsidP="00EE0A4C">
            <w:pPr>
              <w:rPr>
                <w:color w:val="000000"/>
                <w:sz w:val="20"/>
                <w:szCs w:val="20"/>
              </w:rPr>
            </w:pPr>
          </w:p>
        </w:tc>
        <w:tc>
          <w:tcPr>
            <w:tcW w:w="1027" w:type="dxa"/>
            <w:tcBorders>
              <w:top w:val="nil"/>
              <w:left w:val="nil"/>
              <w:bottom w:val="nil"/>
              <w:right w:val="nil"/>
            </w:tcBorders>
            <w:shd w:val="clear" w:color="auto" w:fill="auto"/>
            <w:noWrap/>
            <w:vAlign w:val="center"/>
            <w:hideMark/>
          </w:tcPr>
          <w:p w14:paraId="26290382" w14:textId="77777777" w:rsidR="004C58D5" w:rsidRDefault="004C58D5" w:rsidP="00EE0A4C">
            <w:pPr>
              <w:rPr>
                <w:color w:val="000000"/>
                <w:sz w:val="20"/>
                <w:szCs w:val="20"/>
              </w:rPr>
            </w:pPr>
            <w:r>
              <w:rPr>
                <w:color w:val="000000"/>
                <w:sz w:val="20"/>
                <w:szCs w:val="20"/>
              </w:rPr>
              <w:t>17%</w:t>
            </w:r>
          </w:p>
        </w:tc>
        <w:tc>
          <w:tcPr>
            <w:tcW w:w="862" w:type="dxa"/>
            <w:tcBorders>
              <w:top w:val="nil"/>
              <w:left w:val="nil"/>
              <w:bottom w:val="nil"/>
              <w:right w:val="nil"/>
            </w:tcBorders>
            <w:shd w:val="clear" w:color="auto" w:fill="auto"/>
            <w:noWrap/>
            <w:vAlign w:val="bottom"/>
            <w:hideMark/>
          </w:tcPr>
          <w:p w14:paraId="0E786C72" w14:textId="77777777" w:rsidR="004C58D5" w:rsidRDefault="004C58D5">
            <w:pPr>
              <w:jc w:val="right"/>
              <w:rPr>
                <w:color w:val="000000"/>
                <w:sz w:val="20"/>
                <w:szCs w:val="20"/>
              </w:rPr>
            </w:pPr>
            <w:r>
              <w:rPr>
                <w:color w:val="000000"/>
                <w:sz w:val="20"/>
                <w:szCs w:val="20"/>
              </w:rPr>
              <w:t>0.043</w:t>
            </w:r>
          </w:p>
        </w:tc>
        <w:tc>
          <w:tcPr>
            <w:tcW w:w="862" w:type="dxa"/>
            <w:tcBorders>
              <w:top w:val="nil"/>
              <w:left w:val="nil"/>
              <w:bottom w:val="nil"/>
              <w:right w:val="nil"/>
            </w:tcBorders>
            <w:shd w:val="clear" w:color="auto" w:fill="auto"/>
            <w:noWrap/>
            <w:vAlign w:val="bottom"/>
            <w:hideMark/>
          </w:tcPr>
          <w:p w14:paraId="3CE4F934" w14:textId="77777777" w:rsidR="004C58D5" w:rsidRDefault="004C58D5">
            <w:pPr>
              <w:jc w:val="right"/>
              <w:rPr>
                <w:color w:val="000000"/>
                <w:sz w:val="20"/>
                <w:szCs w:val="20"/>
              </w:rPr>
            </w:pPr>
            <w:r>
              <w:rPr>
                <w:color w:val="000000"/>
                <w:sz w:val="20"/>
                <w:szCs w:val="20"/>
              </w:rPr>
              <w:t>0.105</w:t>
            </w:r>
          </w:p>
        </w:tc>
        <w:tc>
          <w:tcPr>
            <w:tcW w:w="862" w:type="dxa"/>
            <w:tcBorders>
              <w:top w:val="nil"/>
              <w:left w:val="nil"/>
              <w:bottom w:val="nil"/>
              <w:right w:val="nil"/>
            </w:tcBorders>
            <w:shd w:val="clear" w:color="auto" w:fill="auto"/>
            <w:noWrap/>
            <w:vAlign w:val="bottom"/>
            <w:hideMark/>
          </w:tcPr>
          <w:p w14:paraId="373904AD" w14:textId="77777777" w:rsidR="004C58D5" w:rsidRDefault="004C58D5">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17530F3" w14:textId="77777777" w:rsidR="004C58D5" w:rsidRDefault="004C58D5">
            <w:pPr>
              <w:jc w:val="right"/>
              <w:rPr>
                <w:color w:val="000000"/>
                <w:sz w:val="20"/>
                <w:szCs w:val="20"/>
              </w:rPr>
            </w:pPr>
            <w:r>
              <w:rPr>
                <w:color w:val="000000"/>
                <w:sz w:val="20"/>
                <w:szCs w:val="20"/>
              </w:rPr>
              <w:t>-0.038</w:t>
            </w:r>
          </w:p>
        </w:tc>
        <w:tc>
          <w:tcPr>
            <w:tcW w:w="864" w:type="dxa"/>
            <w:gridSpan w:val="2"/>
            <w:tcBorders>
              <w:top w:val="nil"/>
              <w:left w:val="nil"/>
              <w:bottom w:val="nil"/>
              <w:right w:val="nil"/>
            </w:tcBorders>
            <w:shd w:val="clear" w:color="auto" w:fill="auto"/>
            <w:noWrap/>
            <w:vAlign w:val="bottom"/>
            <w:hideMark/>
          </w:tcPr>
          <w:p w14:paraId="27E3946C" w14:textId="77777777" w:rsidR="004C58D5" w:rsidRDefault="004C58D5">
            <w:pPr>
              <w:jc w:val="right"/>
              <w:rPr>
                <w:color w:val="000000"/>
                <w:sz w:val="20"/>
                <w:szCs w:val="20"/>
              </w:rPr>
            </w:pPr>
            <w:r>
              <w:rPr>
                <w:color w:val="000000"/>
                <w:sz w:val="20"/>
                <w:szCs w:val="20"/>
              </w:rPr>
              <w:t>0.235</w:t>
            </w:r>
          </w:p>
        </w:tc>
        <w:tc>
          <w:tcPr>
            <w:tcW w:w="864" w:type="dxa"/>
            <w:gridSpan w:val="2"/>
            <w:tcBorders>
              <w:top w:val="nil"/>
              <w:left w:val="nil"/>
              <w:bottom w:val="nil"/>
              <w:right w:val="nil"/>
            </w:tcBorders>
            <w:shd w:val="clear" w:color="auto" w:fill="auto"/>
            <w:noWrap/>
            <w:vAlign w:val="bottom"/>
            <w:hideMark/>
          </w:tcPr>
          <w:p w14:paraId="60C1CB46" w14:textId="77777777" w:rsidR="004C58D5" w:rsidRDefault="004C58D5">
            <w:pPr>
              <w:jc w:val="right"/>
              <w:rPr>
                <w:color w:val="000000"/>
                <w:sz w:val="20"/>
                <w:szCs w:val="20"/>
              </w:rPr>
            </w:pPr>
            <w:r>
              <w:rPr>
                <w:color w:val="000000"/>
                <w:sz w:val="20"/>
                <w:szCs w:val="20"/>
              </w:rPr>
              <w:t>0.001</w:t>
            </w:r>
          </w:p>
        </w:tc>
      </w:tr>
      <w:tr w:rsidR="004C58D5" w14:paraId="3A82C739" w14:textId="77777777" w:rsidTr="00EE0A4C">
        <w:trPr>
          <w:trHeight w:val="320"/>
        </w:trPr>
        <w:tc>
          <w:tcPr>
            <w:tcW w:w="1152" w:type="dxa"/>
            <w:tcBorders>
              <w:top w:val="nil"/>
              <w:left w:val="nil"/>
              <w:bottom w:val="nil"/>
              <w:right w:val="nil"/>
            </w:tcBorders>
            <w:shd w:val="clear" w:color="auto" w:fill="auto"/>
            <w:noWrap/>
            <w:vAlign w:val="center"/>
            <w:hideMark/>
          </w:tcPr>
          <w:p w14:paraId="6BF8AA6A" w14:textId="77777777" w:rsidR="004C58D5" w:rsidRDefault="004C58D5" w:rsidP="00EE0A4C">
            <w:pPr>
              <w:rPr>
                <w:color w:val="000000"/>
                <w:sz w:val="20"/>
                <w:szCs w:val="20"/>
              </w:rPr>
            </w:pPr>
          </w:p>
        </w:tc>
        <w:tc>
          <w:tcPr>
            <w:tcW w:w="1027" w:type="dxa"/>
            <w:tcBorders>
              <w:top w:val="nil"/>
              <w:left w:val="nil"/>
              <w:bottom w:val="nil"/>
              <w:right w:val="nil"/>
            </w:tcBorders>
            <w:shd w:val="clear" w:color="auto" w:fill="auto"/>
            <w:noWrap/>
            <w:vAlign w:val="center"/>
            <w:hideMark/>
          </w:tcPr>
          <w:p w14:paraId="3DAE901B" w14:textId="77777777" w:rsidR="004C58D5" w:rsidRDefault="004C58D5" w:rsidP="00EE0A4C">
            <w:pPr>
              <w:rPr>
                <w:color w:val="000000"/>
                <w:sz w:val="20"/>
                <w:szCs w:val="20"/>
              </w:rPr>
            </w:pPr>
            <w:r>
              <w:rPr>
                <w:color w:val="000000"/>
                <w:sz w:val="20"/>
                <w:szCs w:val="20"/>
              </w:rPr>
              <w:t>23%</w:t>
            </w:r>
          </w:p>
        </w:tc>
        <w:tc>
          <w:tcPr>
            <w:tcW w:w="862" w:type="dxa"/>
            <w:tcBorders>
              <w:top w:val="nil"/>
              <w:left w:val="nil"/>
              <w:bottom w:val="nil"/>
              <w:right w:val="nil"/>
            </w:tcBorders>
            <w:shd w:val="clear" w:color="auto" w:fill="auto"/>
            <w:noWrap/>
            <w:vAlign w:val="bottom"/>
            <w:hideMark/>
          </w:tcPr>
          <w:p w14:paraId="6CDB2F5A" w14:textId="77777777" w:rsidR="004C58D5" w:rsidRDefault="004C58D5">
            <w:pPr>
              <w:jc w:val="right"/>
              <w:rPr>
                <w:color w:val="000000"/>
                <w:sz w:val="20"/>
                <w:szCs w:val="20"/>
              </w:rPr>
            </w:pPr>
            <w:r>
              <w:rPr>
                <w:color w:val="000000"/>
                <w:sz w:val="20"/>
                <w:szCs w:val="20"/>
              </w:rPr>
              <w:t>0.043</w:t>
            </w:r>
          </w:p>
        </w:tc>
        <w:tc>
          <w:tcPr>
            <w:tcW w:w="862" w:type="dxa"/>
            <w:tcBorders>
              <w:top w:val="nil"/>
              <w:left w:val="nil"/>
              <w:bottom w:val="nil"/>
              <w:right w:val="nil"/>
            </w:tcBorders>
            <w:shd w:val="clear" w:color="auto" w:fill="auto"/>
            <w:noWrap/>
            <w:vAlign w:val="bottom"/>
            <w:hideMark/>
          </w:tcPr>
          <w:p w14:paraId="2FB47DD7" w14:textId="77777777" w:rsidR="004C58D5" w:rsidRDefault="004C58D5">
            <w:pPr>
              <w:jc w:val="right"/>
              <w:rPr>
                <w:color w:val="000000"/>
                <w:sz w:val="20"/>
                <w:szCs w:val="20"/>
              </w:rPr>
            </w:pPr>
            <w:r>
              <w:rPr>
                <w:color w:val="000000"/>
                <w:sz w:val="20"/>
                <w:szCs w:val="20"/>
              </w:rPr>
              <w:t>0.105</w:t>
            </w:r>
          </w:p>
        </w:tc>
        <w:tc>
          <w:tcPr>
            <w:tcW w:w="862" w:type="dxa"/>
            <w:tcBorders>
              <w:top w:val="nil"/>
              <w:left w:val="nil"/>
              <w:bottom w:val="nil"/>
              <w:right w:val="nil"/>
            </w:tcBorders>
            <w:shd w:val="clear" w:color="auto" w:fill="auto"/>
            <w:noWrap/>
            <w:vAlign w:val="bottom"/>
            <w:hideMark/>
          </w:tcPr>
          <w:p w14:paraId="3A4C7B8B" w14:textId="77777777" w:rsidR="004C58D5" w:rsidRDefault="004C58D5">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32C668E" w14:textId="77777777" w:rsidR="004C58D5" w:rsidRDefault="004C58D5">
            <w:pPr>
              <w:jc w:val="right"/>
              <w:rPr>
                <w:color w:val="000000"/>
                <w:sz w:val="20"/>
                <w:szCs w:val="20"/>
              </w:rPr>
            </w:pPr>
            <w:r>
              <w:rPr>
                <w:color w:val="000000"/>
                <w:sz w:val="20"/>
                <w:szCs w:val="20"/>
              </w:rPr>
              <w:t>-0.039</w:t>
            </w:r>
          </w:p>
        </w:tc>
        <w:tc>
          <w:tcPr>
            <w:tcW w:w="864" w:type="dxa"/>
            <w:gridSpan w:val="2"/>
            <w:tcBorders>
              <w:top w:val="nil"/>
              <w:left w:val="nil"/>
              <w:bottom w:val="nil"/>
              <w:right w:val="nil"/>
            </w:tcBorders>
            <w:shd w:val="clear" w:color="auto" w:fill="auto"/>
            <w:noWrap/>
            <w:vAlign w:val="bottom"/>
            <w:hideMark/>
          </w:tcPr>
          <w:p w14:paraId="79670E01" w14:textId="77777777" w:rsidR="004C58D5" w:rsidRDefault="004C58D5">
            <w:pPr>
              <w:jc w:val="right"/>
              <w:rPr>
                <w:color w:val="000000"/>
                <w:sz w:val="20"/>
                <w:szCs w:val="20"/>
              </w:rPr>
            </w:pPr>
            <w:r>
              <w:rPr>
                <w:color w:val="000000"/>
                <w:sz w:val="20"/>
                <w:szCs w:val="20"/>
              </w:rPr>
              <w:t>0.235</w:t>
            </w:r>
          </w:p>
        </w:tc>
        <w:tc>
          <w:tcPr>
            <w:tcW w:w="864" w:type="dxa"/>
            <w:gridSpan w:val="2"/>
            <w:tcBorders>
              <w:top w:val="nil"/>
              <w:left w:val="nil"/>
              <w:bottom w:val="nil"/>
              <w:right w:val="nil"/>
            </w:tcBorders>
            <w:shd w:val="clear" w:color="auto" w:fill="auto"/>
            <w:noWrap/>
            <w:vAlign w:val="bottom"/>
            <w:hideMark/>
          </w:tcPr>
          <w:p w14:paraId="019133F4" w14:textId="77777777" w:rsidR="004C58D5" w:rsidRDefault="004C58D5">
            <w:pPr>
              <w:jc w:val="right"/>
              <w:rPr>
                <w:color w:val="000000"/>
                <w:sz w:val="20"/>
                <w:szCs w:val="20"/>
              </w:rPr>
            </w:pPr>
            <w:r>
              <w:rPr>
                <w:color w:val="000000"/>
                <w:sz w:val="20"/>
                <w:szCs w:val="20"/>
              </w:rPr>
              <w:t>0.002</w:t>
            </w:r>
          </w:p>
        </w:tc>
      </w:tr>
      <w:tr w:rsidR="004C58D5" w14:paraId="3B1822D7" w14:textId="77777777" w:rsidTr="00EE0A4C">
        <w:trPr>
          <w:trHeight w:val="340"/>
        </w:trPr>
        <w:tc>
          <w:tcPr>
            <w:tcW w:w="1152" w:type="dxa"/>
            <w:tcBorders>
              <w:top w:val="nil"/>
              <w:left w:val="nil"/>
              <w:bottom w:val="single" w:sz="12" w:space="0" w:color="auto"/>
              <w:right w:val="nil"/>
            </w:tcBorders>
            <w:shd w:val="clear" w:color="auto" w:fill="auto"/>
            <w:noWrap/>
            <w:vAlign w:val="center"/>
            <w:hideMark/>
          </w:tcPr>
          <w:p w14:paraId="4621964C" w14:textId="77777777" w:rsidR="004C58D5" w:rsidRDefault="004C58D5" w:rsidP="00EE0A4C">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center"/>
            <w:hideMark/>
          </w:tcPr>
          <w:p w14:paraId="118FB695" w14:textId="77777777" w:rsidR="004C58D5" w:rsidRDefault="004C58D5" w:rsidP="00EE0A4C">
            <w:pPr>
              <w:rPr>
                <w:color w:val="000000"/>
                <w:sz w:val="20"/>
                <w:szCs w:val="20"/>
              </w:rPr>
            </w:pPr>
            <w:r>
              <w:rPr>
                <w:color w:val="000000"/>
                <w:sz w:val="20"/>
                <w:szCs w:val="20"/>
              </w:rPr>
              <w:t>30%</w:t>
            </w:r>
          </w:p>
        </w:tc>
        <w:tc>
          <w:tcPr>
            <w:tcW w:w="862" w:type="dxa"/>
            <w:tcBorders>
              <w:top w:val="nil"/>
              <w:left w:val="nil"/>
              <w:bottom w:val="single" w:sz="12" w:space="0" w:color="auto"/>
              <w:right w:val="nil"/>
            </w:tcBorders>
            <w:shd w:val="clear" w:color="auto" w:fill="auto"/>
            <w:noWrap/>
            <w:vAlign w:val="bottom"/>
            <w:hideMark/>
          </w:tcPr>
          <w:p w14:paraId="515C24DB" w14:textId="77777777" w:rsidR="004C58D5" w:rsidRDefault="004C58D5">
            <w:pPr>
              <w:jc w:val="right"/>
              <w:rPr>
                <w:color w:val="000000"/>
                <w:sz w:val="20"/>
                <w:szCs w:val="20"/>
              </w:rPr>
            </w:pPr>
            <w:r>
              <w:rPr>
                <w:color w:val="000000"/>
                <w:sz w:val="20"/>
                <w:szCs w:val="20"/>
              </w:rPr>
              <w:t>0.043</w:t>
            </w:r>
          </w:p>
        </w:tc>
        <w:tc>
          <w:tcPr>
            <w:tcW w:w="862" w:type="dxa"/>
            <w:tcBorders>
              <w:top w:val="nil"/>
              <w:left w:val="nil"/>
              <w:bottom w:val="single" w:sz="12" w:space="0" w:color="auto"/>
              <w:right w:val="nil"/>
            </w:tcBorders>
            <w:shd w:val="clear" w:color="auto" w:fill="auto"/>
            <w:noWrap/>
            <w:vAlign w:val="bottom"/>
            <w:hideMark/>
          </w:tcPr>
          <w:p w14:paraId="56FEBE46" w14:textId="77777777" w:rsidR="004C58D5" w:rsidRDefault="004C58D5">
            <w:pPr>
              <w:jc w:val="right"/>
              <w:rPr>
                <w:color w:val="000000"/>
                <w:sz w:val="20"/>
                <w:szCs w:val="20"/>
              </w:rPr>
            </w:pPr>
            <w:r>
              <w:rPr>
                <w:color w:val="000000"/>
                <w:sz w:val="20"/>
                <w:szCs w:val="20"/>
              </w:rPr>
              <w:t>0.105</w:t>
            </w:r>
          </w:p>
        </w:tc>
        <w:tc>
          <w:tcPr>
            <w:tcW w:w="862" w:type="dxa"/>
            <w:tcBorders>
              <w:top w:val="nil"/>
              <w:left w:val="nil"/>
              <w:bottom w:val="single" w:sz="12" w:space="0" w:color="auto"/>
              <w:right w:val="nil"/>
            </w:tcBorders>
            <w:shd w:val="clear" w:color="auto" w:fill="auto"/>
            <w:noWrap/>
            <w:vAlign w:val="bottom"/>
            <w:hideMark/>
          </w:tcPr>
          <w:p w14:paraId="05D65FAC" w14:textId="77777777" w:rsidR="004C58D5" w:rsidRDefault="004C58D5">
            <w:pPr>
              <w:jc w:val="right"/>
              <w:rPr>
                <w:color w:val="000000"/>
                <w:sz w:val="20"/>
                <w:szCs w:val="20"/>
              </w:rPr>
            </w:pPr>
            <w:r>
              <w:rPr>
                <w:color w:val="000000"/>
                <w:sz w:val="20"/>
                <w:szCs w:val="20"/>
              </w:rPr>
              <w:t>0.002</w:t>
            </w:r>
          </w:p>
        </w:tc>
        <w:tc>
          <w:tcPr>
            <w:tcW w:w="864" w:type="dxa"/>
            <w:tcBorders>
              <w:top w:val="nil"/>
              <w:left w:val="nil"/>
              <w:bottom w:val="single" w:sz="12" w:space="0" w:color="auto"/>
              <w:right w:val="nil"/>
            </w:tcBorders>
            <w:shd w:val="clear" w:color="auto" w:fill="auto"/>
            <w:noWrap/>
            <w:vAlign w:val="bottom"/>
            <w:hideMark/>
          </w:tcPr>
          <w:p w14:paraId="0C20ED9A" w14:textId="77777777" w:rsidR="004C58D5" w:rsidRDefault="004C58D5">
            <w:pPr>
              <w:jc w:val="right"/>
              <w:rPr>
                <w:color w:val="000000"/>
                <w:sz w:val="20"/>
                <w:szCs w:val="20"/>
              </w:rPr>
            </w:pPr>
            <w:r>
              <w:rPr>
                <w:color w:val="000000"/>
                <w:sz w:val="20"/>
                <w:szCs w:val="20"/>
              </w:rPr>
              <w:t>-0.039</w:t>
            </w:r>
          </w:p>
        </w:tc>
        <w:tc>
          <w:tcPr>
            <w:tcW w:w="864" w:type="dxa"/>
            <w:gridSpan w:val="2"/>
            <w:tcBorders>
              <w:top w:val="nil"/>
              <w:left w:val="nil"/>
              <w:bottom w:val="single" w:sz="12" w:space="0" w:color="auto"/>
              <w:right w:val="nil"/>
            </w:tcBorders>
            <w:shd w:val="clear" w:color="auto" w:fill="auto"/>
            <w:noWrap/>
            <w:vAlign w:val="bottom"/>
            <w:hideMark/>
          </w:tcPr>
          <w:p w14:paraId="6647F58C" w14:textId="77777777" w:rsidR="004C58D5" w:rsidRDefault="004C58D5">
            <w:pPr>
              <w:jc w:val="right"/>
              <w:rPr>
                <w:color w:val="000000"/>
                <w:sz w:val="20"/>
                <w:szCs w:val="20"/>
              </w:rPr>
            </w:pPr>
            <w:r>
              <w:rPr>
                <w:color w:val="000000"/>
                <w:sz w:val="20"/>
                <w:szCs w:val="20"/>
              </w:rPr>
              <w:t>0.235</w:t>
            </w:r>
          </w:p>
        </w:tc>
        <w:tc>
          <w:tcPr>
            <w:tcW w:w="864" w:type="dxa"/>
            <w:gridSpan w:val="2"/>
            <w:tcBorders>
              <w:top w:val="nil"/>
              <w:left w:val="nil"/>
              <w:bottom w:val="single" w:sz="12" w:space="0" w:color="auto"/>
              <w:right w:val="nil"/>
            </w:tcBorders>
            <w:shd w:val="clear" w:color="auto" w:fill="auto"/>
            <w:noWrap/>
            <w:vAlign w:val="bottom"/>
            <w:hideMark/>
          </w:tcPr>
          <w:p w14:paraId="71A3FC6F" w14:textId="77777777" w:rsidR="004C58D5" w:rsidRDefault="004C58D5">
            <w:pPr>
              <w:jc w:val="right"/>
              <w:rPr>
                <w:color w:val="000000"/>
                <w:sz w:val="20"/>
                <w:szCs w:val="20"/>
              </w:rPr>
            </w:pPr>
            <w:r>
              <w:rPr>
                <w:color w:val="000000"/>
                <w:sz w:val="20"/>
                <w:szCs w:val="20"/>
              </w:rPr>
              <w:t>0.002</w:t>
            </w:r>
          </w:p>
        </w:tc>
      </w:tr>
      <w:tr w:rsidR="004C58D5" w14:paraId="1706803B" w14:textId="77777777" w:rsidTr="002D77C4">
        <w:trPr>
          <w:trHeight w:val="320"/>
        </w:trPr>
        <w:tc>
          <w:tcPr>
            <w:tcW w:w="1152" w:type="dxa"/>
            <w:tcBorders>
              <w:top w:val="single" w:sz="12" w:space="0" w:color="auto"/>
              <w:left w:val="nil"/>
              <w:bottom w:val="nil"/>
              <w:right w:val="nil"/>
            </w:tcBorders>
            <w:shd w:val="clear" w:color="auto" w:fill="auto"/>
            <w:noWrap/>
            <w:vAlign w:val="bottom"/>
            <w:hideMark/>
          </w:tcPr>
          <w:p w14:paraId="27FD56F7" w14:textId="77777777" w:rsidR="004C58D5" w:rsidRDefault="004C58D5">
            <w:pPr>
              <w:jc w:val="right"/>
              <w:rPr>
                <w:color w:val="000000"/>
                <w:sz w:val="20"/>
                <w:szCs w:val="20"/>
              </w:rPr>
            </w:pPr>
          </w:p>
        </w:tc>
        <w:tc>
          <w:tcPr>
            <w:tcW w:w="1027" w:type="dxa"/>
            <w:tcBorders>
              <w:top w:val="single" w:sz="12" w:space="0" w:color="auto"/>
              <w:left w:val="nil"/>
              <w:bottom w:val="nil"/>
              <w:right w:val="nil"/>
            </w:tcBorders>
            <w:shd w:val="clear" w:color="auto" w:fill="auto"/>
            <w:noWrap/>
            <w:vAlign w:val="bottom"/>
            <w:hideMark/>
          </w:tcPr>
          <w:p w14:paraId="3CFE18CC" w14:textId="77777777" w:rsidR="004C58D5" w:rsidRDefault="004C58D5">
            <w:pPr>
              <w:rPr>
                <w:sz w:val="20"/>
                <w:szCs w:val="20"/>
              </w:rPr>
            </w:pPr>
          </w:p>
        </w:tc>
        <w:tc>
          <w:tcPr>
            <w:tcW w:w="862" w:type="dxa"/>
            <w:tcBorders>
              <w:top w:val="single" w:sz="12" w:space="0" w:color="auto"/>
              <w:left w:val="nil"/>
              <w:bottom w:val="nil"/>
              <w:right w:val="nil"/>
            </w:tcBorders>
            <w:shd w:val="clear" w:color="auto" w:fill="auto"/>
            <w:noWrap/>
            <w:vAlign w:val="bottom"/>
            <w:hideMark/>
          </w:tcPr>
          <w:p w14:paraId="7B0A267E" w14:textId="77777777" w:rsidR="004C58D5" w:rsidRDefault="004C58D5">
            <w:pPr>
              <w:rPr>
                <w:sz w:val="20"/>
                <w:szCs w:val="20"/>
              </w:rPr>
            </w:pPr>
          </w:p>
        </w:tc>
        <w:tc>
          <w:tcPr>
            <w:tcW w:w="862" w:type="dxa"/>
            <w:tcBorders>
              <w:top w:val="single" w:sz="12" w:space="0" w:color="auto"/>
              <w:left w:val="nil"/>
              <w:bottom w:val="nil"/>
              <w:right w:val="nil"/>
            </w:tcBorders>
            <w:shd w:val="clear" w:color="auto" w:fill="auto"/>
            <w:noWrap/>
            <w:vAlign w:val="bottom"/>
            <w:hideMark/>
          </w:tcPr>
          <w:p w14:paraId="4F73AE8D" w14:textId="77777777" w:rsidR="004C58D5" w:rsidRDefault="004C58D5">
            <w:pPr>
              <w:rPr>
                <w:sz w:val="20"/>
                <w:szCs w:val="20"/>
              </w:rPr>
            </w:pPr>
          </w:p>
        </w:tc>
        <w:tc>
          <w:tcPr>
            <w:tcW w:w="862" w:type="dxa"/>
            <w:tcBorders>
              <w:top w:val="single" w:sz="12" w:space="0" w:color="auto"/>
              <w:left w:val="nil"/>
              <w:bottom w:val="nil"/>
              <w:right w:val="nil"/>
            </w:tcBorders>
            <w:shd w:val="clear" w:color="auto" w:fill="auto"/>
            <w:noWrap/>
            <w:vAlign w:val="bottom"/>
            <w:hideMark/>
          </w:tcPr>
          <w:p w14:paraId="23FC3DF4" w14:textId="77777777" w:rsidR="004C58D5" w:rsidRDefault="004C58D5">
            <w:pPr>
              <w:rPr>
                <w:sz w:val="20"/>
                <w:szCs w:val="20"/>
              </w:rPr>
            </w:pPr>
          </w:p>
        </w:tc>
        <w:tc>
          <w:tcPr>
            <w:tcW w:w="920" w:type="dxa"/>
            <w:gridSpan w:val="2"/>
            <w:tcBorders>
              <w:top w:val="single" w:sz="12" w:space="0" w:color="auto"/>
              <w:left w:val="nil"/>
              <w:bottom w:val="nil"/>
              <w:right w:val="nil"/>
            </w:tcBorders>
            <w:shd w:val="clear" w:color="auto" w:fill="auto"/>
            <w:noWrap/>
            <w:vAlign w:val="bottom"/>
            <w:hideMark/>
          </w:tcPr>
          <w:p w14:paraId="1EE16E3E" w14:textId="77777777" w:rsidR="004C58D5" w:rsidRDefault="004C58D5">
            <w:pPr>
              <w:rPr>
                <w:sz w:val="20"/>
                <w:szCs w:val="20"/>
              </w:rPr>
            </w:pPr>
          </w:p>
        </w:tc>
        <w:tc>
          <w:tcPr>
            <w:tcW w:w="900" w:type="dxa"/>
            <w:gridSpan w:val="2"/>
            <w:tcBorders>
              <w:top w:val="single" w:sz="12" w:space="0" w:color="auto"/>
              <w:left w:val="nil"/>
              <w:bottom w:val="nil"/>
              <w:right w:val="nil"/>
            </w:tcBorders>
            <w:shd w:val="clear" w:color="auto" w:fill="auto"/>
            <w:noWrap/>
            <w:vAlign w:val="bottom"/>
            <w:hideMark/>
          </w:tcPr>
          <w:p w14:paraId="494F07A1" w14:textId="77777777" w:rsidR="004C58D5" w:rsidRDefault="004C58D5">
            <w:pPr>
              <w:rPr>
                <w:sz w:val="20"/>
                <w:szCs w:val="20"/>
              </w:rPr>
            </w:pPr>
          </w:p>
        </w:tc>
        <w:tc>
          <w:tcPr>
            <w:tcW w:w="772" w:type="dxa"/>
            <w:tcBorders>
              <w:top w:val="single" w:sz="12" w:space="0" w:color="auto"/>
              <w:left w:val="nil"/>
              <w:bottom w:val="nil"/>
              <w:right w:val="nil"/>
            </w:tcBorders>
            <w:shd w:val="clear" w:color="auto" w:fill="auto"/>
            <w:noWrap/>
            <w:vAlign w:val="bottom"/>
            <w:hideMark/>
          </w:tcPr>
          <w:p w14:paraId="77E493C9" w14:textId="77777777" w:rsidR="004C58D5" w:rsidRDefault="004C58D5">
            <w:pPr>
              <w:rPr>
                <w:sz w:val="20"/>
                <w:szCs w:val="20"/>
              </w:rPr>
            </w:pPr>
          </w:p>
        </w:tc>
      </w:tr>
    </w:tbl>
    <w:p w14:paraId="237C3F1A" w14:textId="77777777" w:rsidR="00EE0A4C" w:rsidRDefault="00EE0A4C" w:rsidP="00EE0A4C">
      <w:pPr>
        <w:rPr>
          <w:color w:val="000000"/>
        </w:rPr>
      </w:pPr>
      <w:r w:rsidRPr="00235E0F">
        <w:rPr>
          <w:bCs/>
          <w:i/>
          <w:iCs/>
          <w:color w:val="000000" w:themeColor="text1"/>
        </w:rPr>
        <w:t>Note</w:t>
      </w:r>
      <w:r w:rsidRPr="00235E0F">
        <w:rPr>
          <w:bCs/>
          <w:color w:val="000000" w:themeColor="text1"/>
        </w:rPr>
        <w:t xml:space="preserve">. </w:t>
      </w:r>
      <w:r>
        <w:rPr>
          <w:bCs/>
          <w:color w:val="000000" w:themeColor="text1"/>
        </w:rPr>
        <w:t>En-Back = emotional n-back task; MID = monetary incentive delay task; SST = stop signal task</w:t>
      </w:r>
      <w:r>
        <w:rPr>
          <w:color w:val="000000"/>
        </w:rPr>
        <w:t xml:space="preserve"> </w:t>
      </w:r>
      <w:r>
        <w:rPr>
          <w:color w:val="000000"/>
        </w:rPr>
        <w:br w:type="page"/>
      </w:r>
    </w:p>
    <w:p w14:paraId="13C7501D" w14:textId="403777FB" w:rsidR="00026862" w:rsidRPr="0019423C" w:rsidRDefault="004C58D5" w:rsidP="0019423C">
      <w:pPr>
        <w:pStyle w:val="Heading1"/>
        <w:rPr>
          <w:rFonts w:ascii="Times New Roman" w:hAnsi="Times New Roman" w:cs="Times New Roman"/>
          <w:color w:val="000000" w:themeColor="text1"/>
          <w:sz w:val="24"/>
          <w:szCs w:val="24"/>
        </w:rPr>
      </w:pPr>
      <w:bookmarkStart w:id="65" w:name="_Toc155817732"/>
      <w:r w:rsidRPr="0019423C">
        <w:rPr>
          <w:rFonts w:ascii="Times New Roman" w:hAnsi="Times New Roman" w:cs="Times New Roman"/>
          <w:b/>
          <w:bCs/>
          <w:color w:val="000000" w:themeColor="text1"/>
          <w:sz w:val="24"/>
          <w:szCs w:val="24"/>
        </w:rPr>
        <w:lastRenderedPageBreak/>
        <w:t>Table 2</w:t>
      </w:r>
      <w:r w:rsidR="0036523A" w:rsidRPr="0019423C">
        <w:rPr>
          <w:rFonts w:ascii="Times New Roman" w:hAnsi="Times New Roman" w:cs="Times New Roman"/>
          <w:b/>
          <w:bCs/>
          <w:color w:val="000000" w:themeColor="text1"/>
          <w:sz w:val="24"/>
          <w:szCs w:val="24"/>
        </w:rPr>
        <w:t>7</w:t>
      </w:r>
      <w:r w:rsidRPr="0019423C">
        <w:rPr>
          <w:rFonts w:ascii="Times New Roman" w:hAnsi="Times New Roman" w:cs="Times New Roman"/>
          <w:b/>
          <w:bCs/>
          <w:color w:val="000000" w:themeColor="text1"/>
          <w:sz w:val="24"/>
          <w:szCs w:val="24"/>
        </w:rPr>
        <w:t>b.</w:t>
      </w:r>
      <w:r>
        <w:rPr>
          <w:rFonts w:ascii="Times New Roman" w:hAnsi="Times New Roman" w:cs="Times New Roman"/>
          <w:color w:val="000000" w:themeColor="text1"/>
          <w:sz w:val="24"/>
          <w:szCs w:val="24"/>
        </w:rPr>
        <w:t xml:space="preserve"> Results examining the relationship between Shen-268 network average shortest path and neighborhood SES deprivation obtained from bifactor modeling and neighborhood median income</w:t>
      </w:r>
      <w:r w:rsidR="00B40204">
        <w:rPr>
          <w:rFonts w:ascii="Times New Roman" w:hAnsi="Times New Roman" w:cs="Times New Roman"/>
          <w:color w:val="000000" w:themeColor="text1"/>
          <w:sz w:val="24"/>
          <w:szCs w:val="24"/>
        </w:rPr>
        <w:t xml:space="preserve"> during rest</w:t>
      </w:r>
      <w:bookmarkEnd w:id="65"/>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8D0F73" w14:paraId="35C79F1F"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36A1DBFE" w14:textId="77777777" w:rsidR="008D0F73" w:rsidRDefault="008D0F73">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bottom"/>
            <w:hideMark/>
          </w:tcPr>
          <w:p w14:paraId="7A81646E" w14:textId="77777777" w:rsidR="008D0F73" w:rsidRDefault="008D0F73">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50F6C2E6" w14:textId="77777777" w:rsidR="008D0F73" w:rsidRDefault="008D0F73">
            <w:pPr>
              <w:rPr>
                <w:color w:val="000000"/>
                <w:sz w:val="20"/>
                <w:szCs w:val="20"/>
              </w:rPr>
            </w:pPr>
          </w:p>
        </w:tc>
        <w:tc>
          <w:tcPr>
            <w:tcW w:w="864" w:type="dxa"/>
            <w:tcBorders>
              <w:top w:val="nil"/>
              <w:left w:val="nil"/>
              <w:bottom w:val="single" w:sz="12" w:space="0" w:color="auto"/>
              <w:right w:val="nil"/>
            </w:tcBorders>
            <w:shd w:val="clear" w:color="auto" w:fill="auto"/>
            <w:noWrap/>
            <w:vAlign w:val="bottom"/>
            <w:hideMark/>
          </w:tcPr>
          <w:p w14:paraId="259FE3F9" w14:textId="77777777" w:rsidR="008D0F73" w:rsidRDefault="008D0F73">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1F988F3" w14:textId="77777777" w:rsidR="008D0F73" w:rsidRDefault="008D0F73">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D077C50" w14:textId="77777777" w:rsidR="008D0F73" w:rsidRDefault="008D0F73">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0338DF16" w14:textId="77777777" w:rsidR="008D0F73" w:rsidRDefault="008D0F73">
            <w:pPr>
              <w:rPr>
                <w:color w:val="000000"/>
                <w:sz w:val="20"/>
                <w:szCs w:val="20"/>
              </w:rPr>
            </w:pPr>
            <w:r>
              <w:rPr>
                <w:color w:val="000000"/>
                <w:sz w:val="20"/>
                <w:szCs w:val="20"/>
              </w:rPr>
              <w:t> </w:t>
            </w:r>
          </w:p>
        </w:tc>
        <w:tc>
          <w:tcPr>
            <w:tcW w:w="864" w:type="dxa"/>
            <w:tcBorders>
              <w:top w:val="nil"/>
              <w:left w:val="nil"/>
              <w:bottom w:val="single" w:sz="8" w:space="0" w:color="auto"/>
              <w:right w:val="nil"/>
            </w:tcBorders>
            <w:shd w:val="clear" w:color="auto" w:fill="auto"/>
            <w:noWrap/>
            <w:vAlign w:val="bottom"/>
            <w:hideMark/>
          </w:tcPr>
          <w:p w14:paraId="37D30730" w14:textId="77777777" w:rsidR="008D0F73" w:rsidRDefault="008D0F73">
            <w:pPr>
              <w:rPr>
                <w:color w:val="000000"/>
                <w:sz w:val="20"/>
                <w:szCs w:val="20"/>
              </w:rPr>
            </w:pPr>
            <w:r>
              <w:rPr>
                <w:color w:val="000000"/>
                <w:sz w:val="20"/>
                <w:szCs w:val="20"/>
              </w:rPr>
              <w:t> </w:t>
            </w:r>
          </w:p>
        </w:tc>
      </w:tr>
      <w:tr w:rsidR="008D0F73" w14:paraId="36C555FA"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46303B35" w14:textId="77777777" w:rsidR="008D0F73" w:rsidRDefault="008D0F73">
            <w:pPr>
              <w:rPr>
                <w:color w:val="000000"/>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435C3D04" w14:textId="77777777" w:rsidR="008D0F73" w:rsidRDefault="008D0F73">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449D9759" w14:textId="77777777" w:rsidR="008D0F73" w:rsidRDefault="008D0F73">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6CC40373" w14:textId="77777777" w:rsidR="008D0F73" w:rsidRDefault="008D0F73">
            <w:pPr>
              <w:jc w:val="center"/>
              <w:rPr>
                <w:color w:val="000000"/>
                <w:sz w:val="20"/>
                <w:szCs w:val="20"/>
              </w:rPr>
            </w:pPr>
            <w:r>
              <w:rPr>
                <w:color w:val="000000"/>
                <w:sz w:val="20"/>
                <w:szCs w:val="20"/>
              </w:rPr>
              <w:t>Neighborhood Median Income</w:t>
            </w:r>
          </w:p>
        </w:tc>
      </w:tr>
      <w:tr w:rsidR="008D0F73" w14:paraId="550A6DB3"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4B8033C2" w14:textId="77777777" w:rsidR="008D0F73" w:rsidRDefault="008D0F73">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104E6E73" w14:textId="77777777" w:rsidR="008D0F73" w:rsidRDefault="008D0F73">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2BEFE481" w14:textId="77777777" w:rsidR="008D0F73" w:rsidRDefault="008D0F73">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2D1E0194" w14:textId="77777777" w:rsidR="008D0F73" w:rsidRDefault="008D0F7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732F6700" w14:textId="77777777" w:rsidR="008D0F73" w:rsidRDefault="008D0F73">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7C8F5BD7" w14:textId="77777777" w:rsidR="008D0F73" w:rsidRDefault="008D0F73">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22C3363A" w14:textId="77777777" w:rsidR="008D0F73" w:rsidRDefault="008D0F7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bottom"/>
            <w:hideMark/>
          </w:tcPr>
          <w:p w14:paraId="360410EF" w14:textId="77777777" w:rsidR="008D0F73" w:rsidRDefault="008D0F73">
            <w:pPr>
              <w:jc w:val="center"/>
              <w:rPr>
                <w:i/>
                <w:iCs/>
                <w:color w:val="000000"/>
                <w:sz w:val="20"/>
                <w:szCs w:val="20"/>
              </w:rPr>
            </w:pPr>
            <w:r>
              <w:rPr>
                <w:i/>
                <w:iCs/>
                <w:color w:val="000000"/>
                <w:sz w:val="20"/>
                <w:szCs w:val="20"/>
              </w:rPr>
              <w:t>R2</w:t>
            </w:r>
          </w:p>
        </w:tc>
      </w:tr>
      <w:tr w:rsidR="008D0F73" w14:paraId="50561271"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C1F53CE" w14:textId="77777777" w:rsidR="008D0F73" w:rsidRDefault="008D0F73">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28DECF44" w14:textId="77777777" w:rsidR="008D0F73" w:rsidRDefault="008D0F73">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06C23DD8" w14:textId="77777777" w:rsidR="008D0F73" w:rsidRDefault="008D0F73">
            <w:pPr>
              <w:jc w:val="right"/>
              <w:rPr>
                <w:color w:val="000000"/>
                <w:sz w:val="20"/>
                <w:szCs w:val="20"/>
              </w:rPr>
            </w:pPr>
            <w:r>
              <w:rPr>
                <w:color w:val="000000"/>
                <w:sz w:val="20"/>
                <w:szCs w:val="20"/>
              </w:rPr>
              <w:t>0.010</w:t>
            </w:r>
          </w:p>
        </w:tc>
        <w:tc>
          <w:tcPr>
            <w:tcW w:w="864" w:type="dxa"/>
            <w:tcBorders>
              <w:top w:val="single" w:sz="12" w:space="0" w:color="auto"/>
              <w:left w:val="nil"/>
              <w:bottom w:val="nil"/>
              <w:right w:val="nil"/>
            </w:tcBorders>
            <w:shd w:val="clear" w:color="auto" w:fill="auto"/>
            <w:noWrap/>
            <w:vAlign w:val="bottom"/>
            <w:hideMark/>
          </w:tcPr>
          <w:p w14:paraId="64CB4EA6" w14:textId="77777777" w:rsidR="008D0F73" w:rsidRDefault="008D0F73">
            <w:pPr>
              <w:jc w:val="right"/>
              <w:rPr>
                <w:color w:val="000000"/>
                <w:sz w:val="20"/>
                <w:szCs w:val="20"/>
              </w:rPr>
            </w:pPr>
            <w:r>
              <w:rPr>
                <w:color w:val="000000"/>
                <w:sz w:val="20"/>
                <w:szCs w:val="20"/>
              </w:rPr>
              <w:t>0.933</w:t>
            </w:r>
          </w:p>
        </w:tc>
        <w:tc>
          <w:tcPr>
            <w:tcW w:w="864" w:type="dxa"/>
            <w:tcBorders>
              <w:top w:val="single" w:sz="12" w:space="0" w:color="auto"/>
              <w:left w:val="nil"/>
              <w:bottom w:val="nil"/>
              <w:right w:val="nil"/>
            </w:tcBorders>
            <w:shd w:val="clear" w:color="auto" w:fill="auto"/>
            <w:noWrap/>
            <w:vAlign w:val="bottom"/>
            <w:hideMark/>
          </w:tcPr>
          <w:p w14:paraId="66952592" w14:textId="77777777" w:rsidR="008D0F73" w:rsidRDefault="008D0F73">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02CF4821" w14:textId="77777777" w:rsidR="008D0F73" w:rsidRDefault="008D0F73">
            <w:pPr>
              <w:jc w:val="right"/>
              <w:rPr>
                <w:color w:val="000000"/>
                <w:sz w:val="20"/>
                <w:szCs w:val="20"/>
              </w:rPr>
            </w:pPr>
            <w:r>
              <w:rPr>
                <w:color w:val="000000"/>
                <w:sz w:val="20"/>
                <w:szCs w:val="20"/>
              </w:rPr>
              <w:t>-0.056</w:t>
            </w:r>
          </w:p>
        </w:tc>
        <w:tc>
          <w:tcPr>
            <w:tcW w:w="864" w:type="dxa"/>
            <w:tcBorders>
              <w:top w:val="single" w:sz="12" w:space="0" w:color="auto"/>
              <w:left w:val="nil"/>
              <w:bottom w:val="nil"/>
              <w:right w:val="nil"/>
            </w:tcBorders>
            <w:shd w:val="clear" w:color="auto" w:fill="auto"/>
            <w:noWrap/>
            <w:vAlign w:val="bottom"/>
            <w:hideMark/>
          </w:tcPr>
          <w:p w14:paraId="650ED7A7" w14:textId="77777777" w:rsidR="008D0F73" w:rsidRDefault="008D0F73">
            <w:pPr>
              <w:jc w:val="right"/>
              <w:rPr>
                <w:color w:val="000000"/>
                <w:sz w:val="20"/>
                <w:szCs w:val="20"/>
              </w:rPr>
            </w:pPr>
            <w:r>
              <w:rPr>
                <w:color w:val="000000"/>
                <w:sz w:val="20"/>
                <w:szCs w:val="20"/>
              </w:rPr>
              <w:t>0.204</w:t>
            </w:r>
          </w:p>
        </w:tc>
        <w:tc>
          <w:tcPr>
            <w:tcW w:w="864" w:type="dxa"/>
            <w:tcBorders>
              <w:top w:val="single" w:sz="12" w:space="0" w:color="auto"/>
              <w:left w:val="nil"/>
              <w:bottom w:val="nil"/>
              <w:right w:val="nil"/>
            </w:tcBorders>
            <w:shd w:val="clear" w:color="auto" w:fill="auto"/>
            <w:noWrap/>
            <w:vAlign w:val="bottom"/>
            <w:hideMark/>
          </w:tcPr>
          <w:p w14:paraId="05740E52" w14:textId="77777777" w:rsidR="008D0F73" w:rsidRDefault="008D0F73">
            <w:pPr>
              <w:jc w:val="right"/>
              <w:rPr>
                <w:color w:val="000000"/>
                <w:sz w:val="20"/>
                <w:szCs w:val="20"/>
              </w:rPr>
            </w:pPr>
            <w:r>
              <w:rPr>
                <w:color w:val="000000"/>
                <w:sz w:val="20"/>
                <w:szCs w:val="20"/>
              </w:rPr>
              <w:t>0.003</w:t>
            </w:r>
          </w:p>
        </w:tc>
      </w:tr>
      <w:tr w:rsidR="008D0F73" w14:paraId="2C76968F" w14:textId="77777777" w:rsidTr="008D0F73">
        <w:trPr>
          <w:trHeight w:val="340"/>
        </w:trPr>
        <w:tc>
          <w:tcPr>
            <w:tcW w:w="1152" w:type="dxa"/>
            <w:tcBorders>
              <w:top w:val="nil"/>
              <w:left w:val="nil"/>
              <w:bottom w:val="nil"/>
              <w:right w:val="nil"/>
            </w:tcBorders>
            <w:shd w:val="clear" w:color="auto" w:fill="auto"/>
            <w:noWrap/>
            <w:vAlign w:val="bottom"/>
            <w:hideMark/>
          </w:tcPr>
          <w:p w14:paraId="110E4ACD"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585477" w14:textId="77777777" w:rsidR="008D0F73" w:rsidRDefault="008D0F7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3AD49B3" w14:textId="77777777" w:rsidR="008D0F73" w:rsidRDefault="008D0F73">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79F1243A" w14:textId="77777777" w:rsidR="008D0F73" w:rsidRDefault="008D0F73">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3307BADC"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A985214" w14:textId="77777777" w:rsidR="008D0F73" w:rsidRDefault="008D0F7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091A008" w14:textId="77777777" w:rsidR="008D0F73" w:rsidRDefault="008D0F73">
            <w:pPr>
              <w:jc w:val="right"/>
              <w:rPr>
                <w:color w:val="000000"/>
                <w:sz w:val="20"/>
                <w:szCs w:val="20"/>
              </w:rPr>
            </w:pPr>
            <w:r>
              <w:rPr>
                <w:color w:val="000000"/>
                <w:sz w:val="20"/>
                <w:szCs w:val="20"/>
              </w:rPr>
              <w:t>0.922</w:t>
            </w:r>
          </w:p>
        </w:tc>
        <w:tc>
          <w:tcPr>
            <w:tcW w:w="864" w:type="dxa"/>
            <w:tcBorders>
              <w:top w:val="nil"/>
              <w:left w:val="nil"/>
              <w:bottom w:val="nil"/>
              <w:right w:val="nil"/>
            </w:tcBorders>
            <w:shd w:val="clear" w:color="auto" w:fill="auto"/>
            <w:noWrap/>
            <w:vAlign w:val="bottom"/>
            <w:hideMark/>
          </w:tcPr>
          <w:p w14:paraId="7DB539C8" w14:textId="77777777" w:rsidR="008D0F73" w:rsidRDefault="008D0F73">
            <w:pPr>
              <w:jc w:val="right"/>
              <w:rPr>
                <w:color w:val="000000"/>
                <w:sz w:val="20"/>
                <w:szCs w:val="20"/>
              </w:rPr>
            </w:pPr>
            <w:r>
              <w:rPr>
                <w:color w:val="000000"/>
                <w:sz w:val="20"/>
                <w:szCs w:val="20"/>
              </w:rPr>
              <w:t>0.000</w:t>
            </w:r>
          </w:p>
        </w:tc>
      </w:tr>
      <w:tr w:rsidR="008D0F73" w14:paraId="24BA713F" w14:textId="77777777" w:rsidTr="008D0F73">
        <w:trPr>
          <w:trHeight w:val="320"/>
        </w:trPr>
        <w:tc>
          <w:tcPr>
            <w:tcW w:w="1152" w:type="dxa"/>
            <w:tcBorders>
              <w:top w:val="nil"/>
              <w:left w:val="nil"/>
              <w:bottom w:val="nil"/>
              <w:right w:val="nil"/>
            </w:tcBorders>
            <w:shd w:val="clear" w:color="auto" w:fill="auto"/>
            <w:noWrap/>
            <w:vAlign w:val="bottom"/>
            <w:hideMark/>
          </w:tcPr>
          <w:p w14:paraId="5C7AAAD0"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8F7D69C" w14:textId="77777777" w:rsidR="008D0F73" w:rsidRDefault="008D0F7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6F111D7" w14:textId="77777777" w:rsidR="008D0F73" w:rsidRDefault="008D0F73">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69461F8C" w14:textId="77777777" w:rsidR="008D0F73" w:rsidRDefault="008D0F73">
            <w:pPr>
              <w:jc w:val="right"/>
              <w:rPr>
                <w:color w:val="000000"/>
                <w:sz w:val="20"/>
                <w:szCs w:val="20"/>
              </w:rPr>
            </w:pPr>
            <w:r>
              <w:rPr>
                <w:color w:val="000000"/>
                <w:sz w:val="20"/>
                <w:szCs w:val="20"/>
              </w:rPr>
              <w:t>0.943</w:t>
            </w:r>
          </w:p>
        </w:tc>
        <w:tc>
          <w:tcPr>
            <w:tcW w:w="864" w:type="dxa"/>
            <w:tcBorders>
              <w:top w:val="nil"/>
              <w:left w:val="nil"/>
              <w:bottom w:val="nil"/>
              <w:right w:val="nil"/>
            </w:tcBorders>
            <w:shd w:val="clear" w:color="auto" w:fill="auto"/>
            <w:noWrap/>
            <w:vAlign w:val="bottom"/>
            <w:hideMark/>
          </w:tcPr>
          <w:p w14:paraId="423531C6"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DC352B2" w14:textId="77777777" w:rsidR="008D0F73" w:rsidRDefault="008D0F73">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1948415F" w14:textId="77777777" w:rsidR="008D0F73" w:rsidRDefault="008D0F73">
            <w:pPr>
              <w:jc w:val="right"/>
              <w:rPr>
                <w:color w:val="000000"/>
                <w:sz w:val="20"/>
                <w:szCs w:val="20"/>
              </w:rPr>
            </w:pPr>
            <w:r>
              <w:rPr>
                <w:color w:val="000000"/>
                <w:sz w:val="20"/>
                <w:szCs w:val="20"/>
              </w:rPr>
              <w:t>0.922</w:t>
            </w:r>
          </w:p>
        </w:tc>
        <w:tc>
          <w:tcPr>
            <w:tcW w:w="864" w:type="dxa"/>
            <w:tcBorders>
              <w:top w:val="nil"/>
              <w:left w:val="nil"/>
              <w:bottom w:val="nil"/>
              <w:right w:val="nil"/>
            </w:tcBorders>
            <w:shd w:val="clear" w:color="auto" w:fill="auto"/>
            <w:noWrap/>
            <w:vAlign w:val="bottom"/>
            <w:hideMark/>
          </w:tcPr>
          <w:p w14:paraId="040090AA" w14:textId="77777777" w:rsidR="008D0F73" w:rsidRDefault="008D0F73">
            <w:pPr>
              <w:jc w:val="right"/>
              <w:rPr>
                <w:color w:val="000000"/>
                <w:sz w:val="20"/>
                <w:szCs w:val="20"/>
              </w:rPr>
            </w:pPr>
            <w:r>
              <w:rPr>
                <w:color w:val="000000"/>
                <w:sz w:val="20"/>
                <w:szCs w:val="20"/>
              </w:rPr>
              <w:t>0.000</w:t>
            </w:r>
          </w:p>
        </w:tc>
      </w:tr>
      <w:tr w:rsidR="008D0F73" w14:paraId="0703B8CD" w14:textId="77777777" w:rsidTr="008D0F73">
        <w:trPr>
          <w:trHeight w:val="320"/>
        </w:trPr>
        <w:tc>
          <w:tcPr>
            <w:tcW w:w="1152" w:type="dxa"/>
            <w:tcBorders>
              <w:top w:val="nil"/>
              <w:left w:val="nil"/>
              <w:bottom w:val="nil"/>
              <w:right w:val="nil"/>
            </w:tcBorders>
            <w:shd w:val="clear" w:color="auto" w:fill="auto"/>
            <w:noWrap/>
            <w:vAlign w:val="bottom"/>
            <w:hideMark/>
          </w:tcPr>
          <w:p w14:paraId="1F974D2A"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A77FE7B" w14:textId="77777777" w:rsidR="008D0F73" w:rsidRDefault="008D0F7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86A6D55" w14:textId="77777777" w:rsidR="008D0F73" w:rsidRDefault="008D0F73">
            <w:pPr>
              <w:jc w:val="right"/>
              <w:rPr>
                <w:color w:val="000000"/>
                <w:sz w:val="20"/>
                <w:szCs w:val="20"/>
              </w:rPr>
            </w:pPr>
            <w:r>
              <w:rPr>
                <w:color w:val="000000"/>
                <w:sz w:val="20"/>
                <w:szCs w:val="20"/>
              </w:rPr>
              <w:t>-0.081</w:t>
            </w:r>
          </w:p>
        </w:tc>
        <w:tc>
          <w:tcPr>
            <w:tcW w:w="864" w:type="dxa"/>
            <w:tcBorders>
              <w:top w:val="nil"/>
              <w:left w:val="nil"/>
              <w:bottom w:val="nil"/>
              <w:right w:val="nil"/>
            </w:tcBorders>
            <w:shd w:val="clear" w:color="auto" w:fill="auto"/>
            <w:noWrap/>
            <w:vAlign w:val="bottom"/>
            <w:hideMark/>
          </w:tcPr>
          <w:p w14:paraId="65F115A4" w14:textId="77777777" w:rsidR="008D0F73" w:rsidRDefault="008D0F73">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6CD82485" w14:textId="77777777" w:rsidR="008D0F73" w:rsidRDefault="008D0F73">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3AFDEA64" w14:textId="77777777" w:rsidR="008D0F73" w:rsidRDefault="008D0F73">
            <w:pPr>
              <w:jc w:val="right"/>
              <w:rPr>
                <w:color w:val="000000"/>
                <w:sz w:val="20"/>
                <w:szCs w:val="20"/>
              </w:rPr>
            </w:pPr>
            <w:r>
              <w:rPr>
                <w:color w:val="000000"/>
                <w:sz w:val="20"/>
                <w:szCs w:val="20"/>
              </w:rPr>
              <w:t>0.051</w:t>
            </w:r>
          </w:p>
        </w:tc>
        <w:tc>
          <w:tcPr>
            <w:tcW w:w="864" w:type="dxa"/>
            <w:tcBorders>
              <w:top w:val="nil"/>
              <w:left w:val="nil"/>
              <w:bottom w:val="nil"/>
              <w:right w:val="nil"/>
            </w:tcBorders>
            <w:shd w:val="clear" w:color="auto" w:fill="auto"/>
            <w:noWrap/>
            <w:vAlign w:val="bottom"/>
            <w:hideMark/>
          </w:tcPr>
          <w:p w14:paraId="3A15E3B5" w14:textId="77777777" w:rsidR="008D0F73" w:rsidRDefault="008D0F73">
            <w:pPr>
              <w:jc w:val="right"/>
              <w:rPr>
                <w:color w:val="000000"/>
                <w:sz w:val="20"/>
                <w:szCs w:val="20"/>
              </w:rPr>
            </w:pPr>
            <w:r>
              <w:rPr>
                <w:color w:val="000000"/>
                <w:sz w:val="20"/>
                <w:szCs w:val="20"/>
              </w:rPr>
              <w:t>0.850</w:t>
            </w:r>
          </w:p>
        </w:tc>
        <w:tc>
          <w:tcPr>
            <w:tcW w:w="864" w:type="dxa"/>
            <w:tcBorders>
              <w:top w:val="nil"/>
              <w:left w:val="nil"/>
              <w:bottom w:val="nil"/>
              <w:right w:val="nil"/>
            </w:tcBorders>
            <w:shd w:val="clear" w:color="auto" w:fill="auto"/>
            <w:noWrap/>
            <w:vAlign w:val="bottom"/>
            <w:hideMark/>
          </w:tcPr>
          <w:p w14:paraId="74CD6760" w14:textId="77777777" w:rsidR="008D0F73" w:rsidRDefault="008D0F73">
            <w:pPr>
              <w:jc w:val="right"/>
              <w:rPr>
                <w:color w:val="000000"/>
                <w:sz w:val="20"/>
                <w:szCs w:val="20"/>
              </w:rPr>
            </w:pPr>
            <w:r>
              <w:rPr>
                <w:color w:val="000000"/>
                <w:sz w:val="20"/>
                <w:szCs w:val="20"/>
              </w:rPr>
              <w:t>0.003</w:t>
            </w:r>
          </w:p>
        </w:tc>
      </w:tr>
      <w:tr w:rsidR="008D0F73" w14:paraId="4C14CCAD" w14:textId="77777777" w:rsidTr="008D0F73">
        <w:trPr>
          <w:trHeight w:val="320"/>
        </w:trPr>
        <w:tc>
          <w:tcPr>
            <w:tcW w:w="1152" w:type="dxa"/>
            <w:tcBorders>
              <w:top w:val="nil"/>
              <w:left w:val="nil"/>
              <w:bottom w:val="nil"/>
              <w:right w:val="nil"/>
            </w:tcBorders>
            <w:shd w:val="clear" w:color="auto" w:fill="auto"/>
            <w:noWrap/>
            <w:vAlign w:val="bottom"/>
            <w:hideMark/>
          </w:tcPr>
          <w:p w14:paraId="34D54BBE"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5C7857F" w14:textId="77777777" w:rsidR="008D0F73" w:rsidRDefault="008D0F7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259524D" w14:textId="77777777" w:rsidR="008D0F73" w:rsidRDefault="008D0F73">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37B6FC82" w14:textId="77777777" w:rsidR="008D0F73" w:rsidRDefault="008D0F73">
            <w:pPr>
              <w:jc w:val="right"/>
              <w:rPr>
                <w:color w:val="000000"/>
                <w:sz w:val="20"/>
                <w:szCs w:val="20"/>
              </w:rPr>
            </w:pPr>
            <w:r>
              <w:rPr>
                <w:color w:val="000000"/>
                <w:sz w:val="20"/>
                <w:szCs w:val="20"/>
              </w:rPr>
              <w:t>0.933</w:t>
            </w:r>
          </w:p>
        </w:tc>
        <w:tc>
          <w:tcPr>
            <w:tcW w:w="864" w:type="dxa"/>
            <w:tcBorders>
              <w:top w:val="nil"/>
              <w:left w:val="nil"/>
              <w:bottom w:val="nil"/>
              <w:right w:val="nil"/>
            </w:tcBorders>
            <w:shd w:val="clear" w:color="auto" w:fill="auto"/>
            <w:noWrap/>
            <w:vAlign w:val="bottom"/>
            <w:hideMark/>
          </w:tcPr>
          <w:p w14:paraId="0201EB56"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EAE0023" w14:textId="77777777" w:rsidR="008D0F73" w:rsidRDefault="008D0F73">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1447F38B" w14:textId="77777777" w:rsidR="008D0F73" w:rsidRDefault="008D0F73">
            <w:pPr>
              <w:jc w:val="right"/>
              <w:rPr>
                <w:color w:val="000000"/>
                <w:sz w:val="20"/>
                <w:szCs w:val="20"/>
              </w:rPr>
            </w:pPr>
            <w:r>
              <w:rPr>
                <w:color w:val="000000"/>
                <w:sz w:val="20"/>
                <w:szCs w:val="20"/>
              </w:rPr>
              <w:t>0.755</w:t>
            </w:r>
          </w:p>
        </w:tc>
        <w:tc>
          <w:tcPr>
            <w:tcW w:w="864" w:type="dxa"/>
            <w:tcBorders>
              <w:top w:val="nil"/>
              <w:left w:val="nil"/>
              <w:bottom w:val="nil"/>
              <w:right w:val="nil"/>
            </w:tcBorders>
            <w:shd w:val="clear" w:color="auto" w:fill="auto"/>
            <w:noWrap/>
            <w:vAlign w:val="bottom"/>
            <w:hideMark/>
          </w:tcPr>
          <w:p w14:paraId="2756E826" w14:textId="77777777" w:rsidR="008D0F73" w:rsidRDefault="008D0F73">
            <w:pPr>
              <w:jc w:val="right"/>
              <w:rPr>
                <w:color w:val="000000"/>
                <w:sz w:val="20"/>
                <w:szCs w:val="20"/>
              </w:rPr>
            </w:pPr>
            <w:r>
              <w:rPr>
                <w:color w:val="000000"/>
                <w:sz w:val="20"/>
                <w:szCs w:val="20"/>
              </w:rPr>
              <w:t>0.002</w:t>
            </w:r>
          </w:p>
        </w:tc>
      </w:tr>
      <w:tr w:rsidR="008D0F73" w14:paraId="3F3DAC4F" w14:textId="77777777" w:rsidTr="008D0F73">
        <w:trPr>
          <w:trHeight w:val="320"/>
        </w:trPr>
        <w:tc>
          <w:tcPr>
            <w:tcW w:w="1152" w:type="dxa"/>
            <w:tcBorders>
              <w:top w:val="nil"/>
              <w:left w:val="nil"/>
              <w:bottom w:val="nil"/>
              <w:right w:val="nil"/>
            </w:tcBorders>
            <w:shd w:val="clear" w:color="auto" w:fill="auto"/>
            <w:noWrap/>
            <w:vAlign w:val="bottom"/>
            <w:hideMark/>
          </w:tcPr>
          <w:p w14:paraId="54FCDEA4"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3F61299" w14:textId="77777777" w:rsidR="008D0F73" w:rsidRDefault="008D0F7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23422F8" w14:textId="77777777" w:rsidR="008D0F73" w:rsidRDefault="008D0F73">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752E3E16" w14:textId="77777777" w:rsidR="008D0F73" w:rsidRDefault="008D0F73">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0A10C277"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000F512" w14:textId="77777777" w:rsidR="008D0F73" w:rsidRDefault="008D0F73">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7FC682F6" w14:textId="77777777" w:rsidR="008D0F73" w:rsidRDefault="008D0F73">
            <w:pPr>
              <w:jc w:val="right"/>
              <w:rPr>
                <w:color w:val="000000"/>
                <w:sz w:val="20"/>
                <w:szCs w:val="20"/>
              </w:rPr>
            </w:pPr>
            <w:r>
              <w:rPr>
                <w:color w:val="000000"/>
                <w:sz w:val="20"/>
                <w:szCs w:val="20"/>
              </w:rPr>
              <w:t>0.204</w:t>
            </w:r>
          </w:p>
        </w:tc>
        <w:tc>
          <w:tcPr>
            <w:tcW w:w="864" w:type="dxa"/>
            <w:tcBorders>
              <w:top w:val="nil"/>
              <w:left w:val="nil"/>
              <w:bottom w:val="nil"/>
              <w:right w:val="nil"/>
            </w:tcBorders>
            <w:shd w:val="clear" w:color="auto" w:fill="auto"/>
            <w:noWrap/>
            <w:vAlign w:val="bottom"/>
            <w:hideMark/>
          </w:tcPr>
          <w:p w14:paraId="7D9B05E2" w14:textId="77777777" w:rsidR="008D0F73" w:rsidRDefault="008D0F73">
            <w:pPr>
              <w:jc w:val="right"/>
              <w:rPr>
                <w:color w:val="000000"/>
                <w:sz w:val="20"/>
                <w:szCs w:val="20"/>
              </w:rPr>
            </w:pPr>
            <w:r>
              <w:rPr>
                <w:color w:val="000000"/>
                <w:sz w:val="20"/>
                <w:szCs w:val="20"/>
              </w:rPr>
              <w:t>0.004</w:t>
            </w:r>
          </w:p>
        </w:tc>
      </w:tr>
      <w:tr w:rsidR="008D0F73" w14:paraId="117E80D3" w14:textId="77777777" w:rsidTr="008D0F73">
        <w:trPr>
          <w:trHeight w:val="320"/>
        </w:trPr>
        <w:tc>
          <w:tcPr>
            <w:tcW w:w="1152" w:type="dxa"/>
            <w:tcBorders>
              <w:top w:val="nil"/>
              <w:left w:val="nil"/>
              <w:bottom w:val="nil"/>
              <w:right w:val="nil"/>
            </w:tcBorders>
            <w:shd w:val="clear" w:color="auto" w:fill="auto"/>
            <w:noWrap/>
            <w:vAlign w:val="bottom"/>
            <w:hideMark/>
          </w:tcPr>
          <w:p w14:paraId="3C081A42"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DE41B5D" w14:textId="77777777" w:rsidR="008D0F73" w:rsidRDefault="008D0F7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2FA79E7" w14:textId="77777777" w:rsidR="008D0F73" w:rsidRDefault="008D0F73">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6E2378D1" w14:textId="77777777" w:rsidR="008D0F73" w:rsidRDefault="008D0F73">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61DEEB53"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FF6C3AB" w14:textId="77777777" w:rsidR="008D0F73" w:rsidRDefault="008D0F73">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8BD3BE7" w14:textId="77777777" w:rsidR="008D0F73" w:rsidRDefault="008D0F73">
            <w:pPr>
              <w:jc w:val="right"/>
              <w:rPr>
                <w:color w:val="000000"/>
                <w:sz w:val="20"/>
                <w:szCs w:val="20"/>
              </w:rPr>
            </w:pPr>
            <w:r>
              <w:rPr>
                <w:color w:val="000000"/>
                <w:sz w:val="20"/>
                <w:szCs w:val="20"/>
              </w:rPr>
              <w:t>0.922</w:t>
            </w:r>
          </w:p>
        </w:tc>
        <w:tc>
          <w:tcPr>
            <w:tcW w:w="864" w:type="dxa"/>
            <w:tcBorders>
              <w:top w:val="nil"/>
              <w:left w:val="nil"/>
              <w:bottom w:val="nil"/>
              <w:right w:val="nil"/>
            </w:tcBorders>
            <w:shd w:val="clear" w:color="auto" w:fill="auto"/>
            <w:noWrap/>
            <w:vAlign w:val="bottom"/>
            <w:hideMark/>
          </w:tcPr>
          <w:p w14:paraId="0EB00362" w14:textId="77777777" w:rsidR="008D0F73" w:rsidRDefault="008D0F73">
            <w:pPr>
              <w:jc w:val="right"/>
              <w:rPr>
                <w:color w:val="000000"/>
                <w:sz w:val="20"/>
                <w:szCs w:val="20"/>
              </w:rPr>
            </w:pPr>
            <w:r>
              <w:rPr>
                <w:color w:val="000000"/>
                <w:sz w:val="20"/>
                <w:szCs w:val="20"/>
              </w:rPr>
              <w:t>0.000</w:t>
            </w:r>
          </w:p>
        </w:tc>
      </w:tr>
      <w:tr w:rsidR="008D0F73" w14:paraId="1CC41D45" w14:textId="77777777" w:rsidTr="008D0F73">
        <w:trPr>
          <w:trHeight w:val="320"/>
        </w:trPr>
        <w:tc>
          <w:tcPr>
            <w:tcW w:w="1152" w:type="dxa"/>
            <w:tcBorders>
              <w:top w:val="nil"/>
              <w:left w:val="nil"/>
              <w:bottom w:val="single" w:sz="4" w:space="0" w:color="auto"/>
              <w:right w:val="nil"/>
            </w:tcBorders>
            <w:shd w:val="clear" w:color="auto" w:fill="auto"/>
            <w:noWrap/>
            <w:vAlign w:val="bottom"/>
            <w:hideMark/>
          </w:tcPr>
          <w:p w14:paraId="3D20D74C" w14:textId="77777777" w:rsidR="008D0F73" w:rsidRDefault="008D0F73">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FF064BD" w14:textId="77777777" w:rsidR="008D0F73" w:rsidRDefault="008D0F73">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455703E" w14:textId="77777777" w:rsidR="008D0F73" w:rsidRDefault="008D0F73">
            <w:pPr>
              <w:jc w:val="right"/>
              <w:rPr>
                <w:color w:val="000000"/>
                <w:sz w:val="20"/>
                <w:szCs w:val="20"/>
              </w:rPr>
            </w:pPr>
            <w:r>
              <w:rPr>
                <w:color w:val="000000"/>
                <w:sz w:val="20"/>
                <w:szCs w:val="20"/>
              </w:rPr>
              <w:t>0.008</w:t>
            </w:r>
          </w:p>
        </w:tc>
        <w:tc>
          <w:tcPr>
            <w:tcW w:w="864" w:type="dxa"/>
            <w:tcBorders>
              <w:top w:val="nil"/>
              <w:left w:val="nil"/>
              <w:bottom w:val="single" w:sz="4" w:space="0" w:color="auto"/>
              <w:right w:val="nil"/>
            </w:tcBorders>
            <w:shd w:val="clear" w:color="auto" w:fill="auto"/>
            <w:noWrap/>
            <w:vAlign w:val="bottom"/>
            <w:hideMark/>
          </w:tcPr>
          <w:p w14:paraId="4CBFBC3C" w14:textId="77777777" w:rsidR="008D0F73" w:rsidRDefault="008D0F73">
            <w:pPr>
              <w:jc w:val="right"/>
              <w:rPr>
                <w:color w:val="000000"/>
                <w:sz w:val="20"/>
                <w:szCs w:val="20"/>
              </w:rPr>
            </w:pPr>
            <w:r>
              <w:rPr>
                <w:color w:val="000000"/>
                <w:sz w:val="20"/>
                <w:szCs w:val="20"/>
              </w:rPr>
              <w:t>0.933</w:t>
            </w:r>
          </w:p>
        </w:tc>
        <w:tc>
          <w:tcPr>
            <w:tcW w:w="864" w:type="dxa"/>
            <w:tcBorders>
              <w:top w:val="nil"/>
              <w:left w:val="nil"/>
              <w:bottom w:val="single" w:sz="4" w:space="0" w:color="auto"/>
              <w:right w:val="nil"/>
            </w:tcBorders>
            <w:shd w:val="clear" w:color="auto" w:fill="auto"/>
            <w:noWrap/>
            <w:vAlign w:val="bottom"/>
            <w:hideMark/>
          </w:tcPr>
          <w:p w14:paraId="72A52F19"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460CC21A" w14:textId="77777777" w:rsidR="008D0F73" w:rsidRDefault="008D0F73">
            <w:pPr>
              <w:jc w:val="right"/>
              <w:rPr>
                <w:color w:val="000000"/>
                <w:sz w:val="20"/>
                <w:szCs w:val="20"/>
              </w:rPr>
            </w:pPr>
            <w:r>
              <w:rPr>
                <w:color w:val="000000"/>
                <w:sz w:val="20"/>
                <w:szCs w:val="20"/>
              </w:rPr>
              <w:t>-0.025</w:t>
            </w:r>
          </w:p>
        </w:tc>
        <w:tc>
          <w:tcPr>
            <w:tcW w:w="864" w:type="dxa"/>
            <w:tcBorders>
              <w:top w:val="nil"/>
              <w:left w:val="nil"/>
              <w:bottom w:val="single" w:sz="4" w:space="0" w:color="auto"/>
              <w:right w:val="nil"/>
            </w:tcBorders>
            <w:shd w:val="clear" w:color="auto" w:fill="auto"/>
            <w:noWrap/>
            <w:vAlign w:val="bottom"/>
            <w:hideMark/>
          </w:tcPr>
          <w:p w14:paraId="727F2833" w14:textId="77777777" w:rsidR="008D0F73" w:rsidRDefault="008D0F73">
            <w:pPr>
              <w:jc w:val="right"/>
              <w:rPr>
                <w:color w:val="000000"/>
                <w:sz w:val="20"/>
                <w:szCs w:val="20"/>
              </w:rPr>
            </w:pPr>
            <w:r>
              <w:rPr>
                <w:color w:val="000000"/>
                <w:sz w:val="20"/>
                <w:szCs w:val="20"/>
              </w:rPr>
              <w:t>0.850</w:t>
            </w:r>
          </w:p>
        </w:tc>
        <w:tc>
          <w:tcPr>
            <w:tcW w:w="864" w:type="dxa"/>
            <w:tcBorders>
              <w:top w:val="nil"/>
              <w:left w:val="nil"/>
              <w:bottom w:val="single" w:sz="4" w:space="0" w:color="auto"/>
              <w:right w:val="nil"/>
            </w:tcBorders>
            <w:shd w:val="clear" w:color="auto" w:fill="auto"/>
            <w:noWrap/>
            <w:vAlign w:val="bottom"/>
            <w:hideMark/>
          </w:tcPr>
          <w:p w14:paraId="133614AE" w14:textId="77777777" w:rsidR="008D0F73" w:rsidRDefault="008D0F73">
            <w:pPr>
              <w:jc w:val="right"/>
              <w:rPr>
                <w:color w:val="000000"/>
                <w:sz w:val="20"/>
                <w:szCs w:val="20"/>
              </w:rPr>
            </w:pPr>
            <w:r>
              <w:rPr>
                <w:color w:val="000000"/>
                <w:sz w:val="20"/>
                <w:szCs w:val="20"/>
              </w:rPr>
              <w:t>0.001</w:t>
            </w:r>
          </w:p>
        </w:tc>
      </w:tr>
      <w:tr w:rsidR="008D0F73" w14:paraId="06AE2298" w14:textId="77777777" w:rsidTr="008D0F73">
        <w:trPr>
          <w:trHeight w:val="320"/>
        </w:trPr>
        <w:tc>
          <w:tcPr>
            <w:tcW w:w="1152" w:type="dxa"/>
            <w:tcBorders>
              <w:top w:val="nil"/>
              <w:left w:val="nil"/>
              <w:bottom w:val="nil"/>
              <w:right w:val="nil"/>
            </w:tcBorders>
            <w:shd w:val="clear" w:color="auto" w:fill="auto"/>
            <w:noWrap/>
            <w:vAlign w:val="bottom"/>
            <w:hideMark/>
          </w:tcPr>
          <w:p w14:paraId="2AA3B38A" w14:textId="77777777" w:rsidR="008D0F73" w:rsidRDefault="008D0F73">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652B75F2" w14:textId="77777777" w:rsidR="008D0F73" w:rsidRDefault="008D0F73">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F58A353" w14:textId="77777777" w:rsidR="008D0F73" w:rsidRDefault="008D0F73">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67E7BE6" w14:textId="77777777" w:rsidR="008D0F73" w:rsidRDefault="008D0F73">
            <w:pPr>
              <w:jc w:val="right"/>
              <w:rPr>
                <w:color w:val="000000"/>
                <w:sz w:val="20"/>
                <w:szCs w:val="20"/>
              </w:rPr>
            </w:pPr>
            <w:r>
              <w:rPr>
                <w:color w:val="000000"/>
                <w:sz w:val="20"/>
                <w:szCs w:val="20"/>
              </w:rPr>
              <w:t>0.857</w:t>
            </w:r>
          </w:p>
        </w:tc>
        <w:tc>
          <w:tcPr>
            <w:tcW w:w="864" w:type="dxa"/>
            <w:tcBorders>
              <w:top w:val="nil"/>
              <w:left w:val="nil"/>
              <w:bottom w:val="nil"/>
              <w:right w:val="nil"/>
            </w:tcBorders>
            <w:shd w:val="clear" w:color="auto" w:fill="auto"/>
            <w:noWrap/>
            <w:vAlign w:val="bottom"/>
            <w:hideMark/>
          </w:tcPr>
          <w:p w14:paraId="0D63EABE"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D3139BD" w14:textId="77777777" w:rsidR="008D0F73" w:rsidRDefault="008D0F73">
            <w:pPr>
              <w:jc w:val="right"/>
              <w:rPr>
                <w:b/>
                <w:bCs/>
                <w:color w:val="000000"/>
                <w:sz w:val="20"/>
                <w:szCs w:val="20"/>
              </w:rPr>
            </w:pPr>
            <w:r>
              <w:rPr>
                <w:b/>
                <w:bCs/>
                <w:color w:val="000000"/>
                <w:sz w:val="20"/>
                <w:szCs w:val="20"/>
              </w:rPr>
              <w:t>-0.079</w:t>
            </w:r>
          </w:p>
        </w:tc>
        <w:tc>
          <w:tcPr>
            <w:tcW w:w="864" w:type="dxa"/>
            <w:tcBorders>
              <w:top w:val="nil"/>
              <w:left w:val="nil"/>
              <w:bottom w:val="nil"/>
              <w:right w:val="nil"/>
            </w:tcBorders>
            <w:shd w:val="clear" w:color="auto" w:fill="auto"/>
            <w:noWrap/>
            <w:vAlign w:val="bottom"/>
            <w:hideMark/>
          </w:tcPr>
          <w:p w14:paraId="7480E2C5" w14:textId="77777777" w:rsidR="008D0F73" w:rsidRDefault="008D0F73">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0F889AFA" w14:textId="77777777" w:rsidR="008D0F73" w:rsidRDefault="008D0F73">
            <w:pPr>
              <w:jc w:val="right"/>
              <w:rPr>
                <w:b/>
                <w:bCs/>
                <w:color w:val="000000"/>
                <w:sz w:val="20"/>
                <w:szCs w:val="20"/>
              </w:rPr>
            </w:pPr>
            <w:r>
              <w:rPr>
                <w:b/>
                <w:bCs/>
                <w:color w:val="000000"/>
                <w:sz w:val="20"/>
                <w:szCs w:val="20"/>
              </w:rPr>
              <w:t>0.006</w:t>
            </w:r>
          </w:p>
        </w:tc>
      </w:tr>
      <w:tr w:rsidR="008D0F73" w14:paraId="78F614F5" w14:textId="77777777" w:rsidTr="008D0F73">
        <w:trPr>
          <w:trHeight w:val="320"/>
        </w:trPr>
        <w:tc>
          <w:tcPr>
            <w:tcW w:w="1152" w:type="dxa"/>
            <w:tcBorders>
              <w:top w:val="nil"/>
              <w:left w:val="nil"/>
              <w:bottom w:val="nil"/>
              <w:right w:val="nil"/>
            </w:tcBorders>
            <w:shd w:val="clear" w:color="auto" w:fill="auto"/>
            <w:noWrap/>
            <w:vAlign w:val="bottom"/>
            <w:hideMark/>
          </w:tcPr>
          <w:p w14:paraId="6171D66B" w14:textId="77777777" w:rsidR="008D0F73" w:rsidRDefault="008D0F73">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673B9F5C" w14:textId="77777777" w:rsidR="008D0F73" w:rsidRDefault="008D0F7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55D7A1D" w14:textId="77777777" w:rsidR="008D0F73" w:rsidRDefault="008D0F73">
            <w:pPr>
              <w:jc w:val="right"/>
              <w:rPr>
                <w:b/>
                <w:bCs/>
                <w:color w:val="000000"/>
                <w:sz w:val="20"/>
                <w:szCs w:val="20"/>
              </w:rPr>
            </w:pPr>
            <w:r>
              <w:rPr>
                <w:b/>
                <w:bCs/>
                <w:color w:val="000000"/>
                <w:sz w:val="20"/>
                <w:szCs w:val="20"/>
              </w:rPr>
              <w:t>-0.060</w:t>
            </w:r>
          </w:p>
        </w:tc>
        <w:tc>
          <w:tcPr>
            <w:tcW w:w="864" w:type="dxa"/>
            <w:tcBorders>
              <w:top w:val="nil"/>
              <w:left w:val="nil"/>
              <w:bottom w:val="nil"/>
              <w:right w:val="nil"/>
            </w:tcBorders>
            <w:shd w:val="clear" w:color="auto" w:fill="auto"/>
            <w:noWrap/>
            <w:vAlign w:val="bottom"/>
            <w:hideMark/>
          </w:tcPr>
          <w:p w14:paraId="1E22A7BE" w14:textId="77777777" w:rsidR="008D0F73" w:rsidRDefault="008D0F73">
            <w:pPr>
              <w:jc w:val="right"/>
              <w:rPr>
                <w:b/>
                <w:bCs/>
                <w:color w:val="000000"/>
                <w:sz w:val="20"/>
                <w:szCs w:val="20"/>
              </w:rPr>
            </w:pPr>
            <w:r>
              <w:rPr>
                <w:b/>
                <w:bCs/>
                <w:color w:val="000000"/>
                <w:sz w:val="20"/>
                <w:szCs w:val="20"/>
              </w:rPr>
              <w:t>0.048</w:t>
            </w:r>
          </w:p>
        </w:tc>
        <w:tc>
          <w:tcPr>
            <w:tcW w:w="864" w:type="dxa"/>
            <w:tcBorders>
              <w:top w:val="nil"/>
              <w:left w:val="nil"/>
              <w:bottom w:val="nil"/>
              <w:right w:val="nil"/>
            </w:tcBorders>
            <w:shd w:val="clear" w:color="auto" w:fill="auto"/>
            <w:noWrap/>
            <w:vAlign w:val="bottom"/>
            <w:hideMark/>
          </w:tcPr>
          <w:p w14:paraId="3289EB95" w14:textId="77777777" w:rsidR="008D0F73" w:rsidRDefault="008D0F73">
            <w:pPr>
              <w:jc w:val="right"/>
              <w:rPr>
                <w:b/>
                <w:bCs/>
                <w:color w:val="000000"/>
                <w:sz w:val="20"/>
                <w:szCs w:val="20"/>
              </w:rPr>
            </w:pPr>
            <w:r>
              <w:rPr>
                <w:b/>
                <w:bCs/>
                <w:color w:val="000000"/>
                <w:sz w:val="20"/>
                <w:szCs w:val="20"/>
              </w:rPr>
              <w:t>0.004</w:t>
            </w:r>
          </w:p>
        </w:tc>
        <w:tc>
          <w:tcPr>
            <w:tcW w:w="864" w:type="dxa"/>
            <w:tcBorders>
              <w:top w:val="nil"/>
              <w:left w:val="nil"/>
              <w:bottom w:val="nil"/>
              <w:right w:val="nil"/>
            </w:tcBorders>
            <w:shd w:val="clear" w:color="auto" w:fill="auto"/>
            <w:noWrap/>
            <w:vAlign w:val="bottom"/>
            <w:hideMark/>
          </w:tcPr>
          <w:p w14:paraId="701F7883" w14:textId="77777777" w:rsidR="008D0F73" w:rsidRDefault="008D0F73">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025F1B13" w14:textId="77777777" w:rsidR="008D0F73" w:rsidRDefault="008D0F73">
            <w:pPr>
              <w:jc w:val="right"/>
              <w:rPr>
                <w:color w:val="000000"/>
                <w:sz w:val="20"/>
                <w:szCs w:val="20"/>
              </w:rPr>
            </w:pPr>
            <w:r>
              <w:rPr>
                <w:color w:val="000000"/>
                <w:sz w:val="20"/>
                <w:szCs w:val="20"/>
              </w:rPr>
              <w:t>0.512</w:t>
            </w:r>
          </w:p>
        </w:tc>
        <w:tc>
          <w:tcPr>
            <w:tcW w:w="864" w:type="dxa"/>
            <w:tcBorders>
              <w:top w:val="nil"/>
              <w:left w:val="nil"/>
              <w:bottom w:val="nil"/>
              <w:right w:val="nil"/>
            </w:tcBorders>
            <w:shd w:val="clear" w:color="auto" w:fill="auto"/>
            <w:noWrap/>
            <w:vAlign w:val="bottom"/>
            <w:hideMark/>
          </w:tcPr>
          <w:p w14:paraId="159E6785" w14:textId="77777777" w:rsidR="008D0F73" w:rsidRDefault="008D0F73">
            <w:pPr>
              <w:jc w:val="right"/>
              <w:rPr>
                <w:color w:val="000000"/>
                <w:sz w:val="20"/>
                <w:szCs w:val="20"/>
              </w:rPr>
            </w:pPr>
            <w:r>
              <w:rPr>
                <w:color w:val="000000"/>
                <w:sz w:val="20"/>
                <w:szCs w:val="20"/>
              </w:rPr>
              <w:t>0.001</w:t>
            </w:r>
          </w:p>
        </w:tc>
      </w:tr>
      <w:tr w:rsidR="008D0F73" w14:paraId="50BD9F35" w14:textId="77777777" w:rsidTr="008D0F73">
        <w:trPr>
          <w:trHeight w:val="320"/>
        </w:trPr>
        <w:tc>
          <w:tcPr>
            <w:tcW w:w="1152" w:type="dxa"/>
            <w:tcBorders>
              <w:top w:val="nil"/>
              <w:left w:val="nil"/>
              <w:bottom w:val="nil"/>
              <w:right w:val="nil"/>
            </w:tcBorders>
            <w:shd w:val="clear" w:color="auto" w:fill="auto"/>
            <w:noWrap/>
            <w:vAlign w:val="bottom"/>
            <w:hideMark/>
          </w:tcPr>
          <w:p w14:paraId="138F0254"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05905C9" w14:textId="77777777" w:rsidR="008D0F73" w:rsidRDefault="008D0F7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23FF5D8" w14:textId="77777777" w:rsidR="008D0F73" w:rsidRDefault="008D0F73">
            <w:pPr>
              <w:jc w:val="right"/>
              <w:rPr>
                <w:color w:val="000000"/>
                <w:sz w:val="20"/>
                <w:szCs w:val="20"/>
              </w:rPr>
            </w:pPr>
            <w:r>
              <w:rPr>
                <w:color w:val="000000"/>
                <w:sz w:val="20"/>
                <w:szCs w:val="20"/>
              </w:rPr>
              <w:t>-0.047</w:t>
            </w:r>
          </w:p>
        </w:tc>
        <w:tc>
          <w:tcPr>
            <w:tcW w:w="864" w:type="dxa"/>
            <w:tcBorders>
              <w:top w:val="nil"/>
              <w:left w:val="nil"/>
              <w:bottom w:val="nil"/>
              <w:right w:val="nil"/>
            </w:tcBorders>
            <w:shd w:val="clear" w:color="auto" w:fill="auto"/>
            <w:noWrap/>
            <w:vAlign w:val="bottom"/>
            <w:hideMark/>
          </w:tcPr>
          <w:p w14:paraId="0AC722D5" w14:textId="77777777" w:rsidR="008D0F73" w:rsidRDefault="008D0F73">
            <w:pPr>
              <w:jc w:val="right"/>
              <w:rPr>
                <w:color w:val="000000"/>
                <w:sz w:val="20"/>
                <w:szCs w:val="20"/>
              </w:rPr>
            </w:pPr>
            <w:r>
              <w:rPr>
                <w:color w:val="000000"/>
                <w:sz w:val="20"/>
                <w:szCs w:val="20"/>
              </w:rPr>
              <w:t>0.245</w:t>
            </w:r>
          </w:p>
        </w:tc>
        <w:tc>
          <w:tcPr>
            <w:tcW w:w="864" w:type="dxa"/>
            <w:tcBorders>
              <w:top w:val="nil"/>
              <w:left w:val="nil"/>
              <w:bottom w:val="nil"/>
              <w:right w:val="nil"/>
            </w:tcBorders>
            <w:shd w:val="clear" w:color="auto" w:fill="auto"/>
            <w:noWrap/>
            <w:vAlign w:val="bottom"/>
            <w:hideMark/>
          </w:tcPr>
          <w:p w14:paraId="1490042C" w14:textId="77777777" w:rsidR="008D0F73" w:rsidRDefault="008D0F7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3FCC7B3" w14:textId="77777777" w:rsidR="008D0F73" w:rsidRDefault="008D0F73">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43861550" w14:textId="77777777" w:rsidR="008D0F73" w:rsidRDefault="008D0F73">
            <w:pPr>
              <w:jc w:val="right"/>
              <w:rPr>
                <w:color w:val="000000"/>
                <w:sz w:val="20"/>
                <w:szCs w:val="20"/>
              </w:rPr>
            </w:pPr>
            <w:r>
              <w:rPr>
                <w:color w:val="000000"/>
                <w:sz w:val="20"/>
                <w:szCs w:val="20"/>
              </w:rPr>
              <w:t>0.728</w:t>
            </w:r>
          </w:p>
        </w:tc>
        <w:tc>
          <w:tcPr>
            <w:tcW w:w="864" w:type="dxa"/>
            <w:tcBorders>
              <w:top w:val="nil"/>
              <w:left w:val="nil"/>
              <w:bottom w:val="nil"/>
              <w:right w:val="nil"/>
            </w:tcBorders>
            <w:shd w:val="clear" w:color="auto" w:fill="auto"/>
            <w:noWrap/>
            <w:vAlign w:val="bottom"/>
            <w:hideMark/>
          </w:tcPr>
          <w:p w14:paraId="09EC7E80" w14:textId="77777777" w:rsidR="008D0F73" w:rsidRDefault="008D0F73">
            <w:pPr>
              <w:jc w:val="right"/>
              <w:rPr>
                <w:color w:val="000000"/>
                <w:sz w:val="20"/>
                <w:szCs w:val="20"/>
              </w:rPr>
            </w:pPr>
            <w:r>
              <w:rPr>
                <w:color w:val="000000"/>
                <w:sz w:val="20"/>
                <w:szCs w:val="20"/>
              </w:rPr>
              <w:t>0.000</w:t>
            </w:r>
          </w:p>
        </w:tc>
      </w:tr>
      <w:tr w:rsidR="008D0F73" w14:paraId="303F5620" w14:textId="77777777" w:rsidTr="008D0F73">
        <w:trPr>
          <w:trHeight w:val="320"/>
        </w:trPr>
        <w:tc>
          <w:tcPr>
            <w:tcW w:w="1152" w:type="dxa"/>
            <w:tcBorders>
              <w:top w:val="nil"/>
              <w:left w:val="nil"/>
              <w:bottom w:val="nil"/>
              <w:right w:val="nil"/>
            </w:tcBorders>
            <w:shd w:val="clear" w:color="auto" w:fill="auto"/>
            <w:noWrap/>
            <w:vAlign w:val="bottom"/>
            <w:hideMark/>
          </w:tcPr>
          <w:p w14:paraId="1591A2A0"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F189CF5" w14:textId="77777777" w:rsidR="008D0F73" w:rsidRDefault="008D0F7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E4A2BC2" w14:textId="77777777" w:rsidR="008D0F73" w:rsidRDefault="008D0F73">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3E7D99A1" w14:textId="77777777" w:rsidR="008D0F73" w:rsidRDefault="008D0F73">
            <w:pPr>
              <w:jc w:val="right"/>
              <w:rPr>
                <w:color w:val="000000"/>
                <w:sz w:val="20"/>
                <w:szCs w:val="20"/>
              </w:rPr>
            </w:pPr>
            <w:r>
              <w:rPr>
                <w:color w:val="000000"/>
                <w:sz w:val="20"/>
                <w:szCs w:val="20"/>
              </w:rPr>
              <w:t>0.419</w:t>
            </w:r>
          </w:p>
        </w:tc>
        <w:tc>
          <w:tcPr>
            <w:tcW w:w="864" w:type="dxa"/>
            <w:tcBorders>
              <w:top w:val="nil"/>
              <w:left w:val="nil"/>
              <w:bottom w:val="nil"/>
              <w:right w:val="nil"/>
            </w:tcBorders>
            <w:shd w:val="clear" w:color="auto" w:fill="auto"/>
            <w:noWrap/>
            <w:vAlign w:val="bottom"/>
            <w:hideMark/>
          </w:tcPr>
          <w:p w14:paraId="737B7B65"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339BD96" w14:textId="77777777" w:rsidR="008D0F73" w:rsidRDefault="008D0F7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392B12E9" w14:textId="77777777" w:rsidR="008D0F73" w:rsidRDefault="008D0F73">
            <w:pPr>
              <w:jc w:val="right"/>
              <w:rPr>
                <w:color w:val="000000"/>
                <w:sz w:val="20"/>
                <w:szCs w:val="20"/>
              </w:rPr>
            </w:pPr>
            <w:r>
              <w:rPr>
                <w:color w:val="000000"/>
                <w:sz w:val="20"/>
                <w:szCs w:val="20"/>
              </w:rPr>
              <w:t>0.919</w:t>
            </w:r>
          </w:p>
        </w:tc>
        <w:tc>
          <w:tcPr>
            <w:tcW w:w="864" w:type="dxa"/>
            <w:tcBorders>
              <w:top w:val="nil"/>
              <w:left w:val="nil"/>
              <w:bottom w:val="nil"/>
              <w:right w:val="nil"/>
            </w:tcBorders>
            <w:shd w:val="clear" w:color="auto" w:fill="auto"/>
            <w:noWrap/>
            <w:vAlign w:val="bottom"/>
            <w:hideMark/>
          </w:tcPr>
          <w:p w14:paraId="4481524E" w14:textId="77777777" w:rsidR="008D0F73" w:rsidRDefault="008D0F73">
            <w:pPr>
              <w:jc w:val="right"/>
              <w:rPr>
                <w:color w:val="000000"/>
                <w:sz w:val="20"/>
                <w:szCs w:val="20"/>
              </w:rPr>
            </w:pPr>
            <w:r>
              <w:rPr>
                <w:color w:val="000000"/>
                <w:sz w:val="20"/>
                <w:szCs w:val="20"/>
              </w:rPr>
              <w:t>0.000</w:t>
            </w:r>
          </w:p>
        </w:tc>
      </w:tr>
      <w:tr w:rsidR="008D0F73" w14:paraId="400CAAC0" w14:textId="77777777" w:rsidTr="008D0F73">
        <w:trPr>
          <w:trHeight w:val="320"/>
        </w:trPr>
        <w:tc>
          <w:tcPr>
            <w:tcW w:w="1152" w:type="dxa"/>
            <w:tcBorders>
              <w:top w:val="nil"/>
              <w:left w:val="nil"/>
              <w:bottom w:val="nil"/>
              <w:right w:val="nil"/>
            </w:tcBorders>
            <w:shd w:val="clear" w:color="auto" w:fill="auto"/>
            <w:noWrap/>
            <w:vAlign w:val="bottom"/>
            <w:hideMark/>
          </w:tcPr>
          <w:p w14:paraId="08D7D0A9"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A6C9E5D" w14:textId="77777777" w:rsidR="008D0F73" w:rsidRDefault="008D0F7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4042DC1" w14:textId="77777777" w:rsidR="008D0F73" w:rsidRDefault="008D0F73">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7F5C0207" w14:textId="77777777" w:rsidR="008D0F73" w:rsidRDefault="008D0F73">
            <w:pPr>
              <w:jc w:val="right"/>
              <w:rPr>
                <w:color w:val="000000"/>
                <w:sz w:val="20"/>
                <w:szCs w:val="20"/>
              </w:rPr>
            </w:pPr>
            <w:r>
              <w:rPr>
                <w:color w:val="000000"/>
                <w:sz w:val="20"/>
                <w:szCs w:val="20"/>
              </w:rPr>
              <w:t>0.464</w:t>
            </w:r>
          </w:p>
        </w:tc>
        <w:tc>
          <w:tcPr>
            <w:tcW w:w="864" w:type="dxa"/>
            <w:tcBorders>
              <w:top w:val="nil"/>
              <w:left w:val="nil"/>
              <w:bottom w:val="nil"/>
              <w:right w:val="nil"/>
            </w:tcBorders>
            <w:shd w:val="clear" w:color="auto" w:fill="auto"/>
            <w:noWrap/>
            <w:vAlign w:val="bottom"/>
            <w:hideMark/>
          </w:tcPr>
          <w:p w14:paraId="07C6BA3C"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DE354A7" w14:textId="77777777" w:rsidR="008D0F73" w:rsidRDefault="008D0F73">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45338819" w14:textId="77777777" w:rsidR="008D0F73" w:rsidRDefault="008D0F73">
            <w:pPr>
              <w:jc w:val="right"/>
              <w:rPr>
                <w:color w:val="000000"/>
                <w:sz w:val="20"/>
                <w:szCs w:val="20"/>
              </w:rPr>
            </w:pPr>
            <w:r>
              <w:rPr>
                <w:color w:val="000000"/>
                <w:sz w:val="20"/>
                <w:szCs w:val="20"/>
              </w:rPr>
              <w:t>0.272</w:t>
            </w:r>
          </w:p>
        </w:tc>
        <w:tc>
          <w:tcPr>
            <w:tcW w:w="864" w:type="dxa"/>
            <w:tcBorders>
              <w:top w:val="nil"/>
              <w:left w:val="nil"/>
              <w:bottom w:val="nil"/>
              <w:right w:val="nil"/>
            </w:tcBorders>
            <w:shd w:val="clear" w:color="auto" w:fill="auto"/>
            <w:noWrap/>
            <w:vAlign w:val="bottom"/>
            <w:hideMark/>
          </w:tcPr>
          <w:p w14:paraId="64F9039E" w14:textId="77777777" w:rsidR="008D0F73" w:rsidRDefault="008D0F73">
            <w:pPr>
              <w:jc w:val="right"/>
              <w:rPr>
                <w:color w:val="000000"/>
                <w:sz w:val="20"/>
                <w:szCs w:val="20"/>
              </w:rPr>
            </w:pPr>
            <w:r>
              <w:rPr>
                <w:color w:val="000000"/>
                <w:sz w:val="20"/>
                <w:szCs w:val="20"/>
              </w:rPr>
              <w:t>0.002</w:t>
            </w:r>
          </w:p>
        </w:tc>
      </w:tr>
      <w:tr w:rsidR="008D0F73" w14:paraId="6949840E" w14:textId="77777777" w:rsidTr="008D0F73">
        <w:trPr>
          <w:trHeight w:val="320"/>
        </w:trPr>
        <w:tc>
          <w:tcPr>
            <w:tcW w:w="1152" w:type="dxa"/>
            <w:tcBorders>
              <w:top w:val="nil"/>
              <w:left w:val="nil"/>
              <w:bottom w:val="nil"/>
              <w:right w:val="nil"/>
            </w:tcBorders>
            <w:shd w:val="clear" w:color="auto" w:fill="auto"/>
            <w:noWrap/>
            <w:vAlign w:val="bottom"/>
            <w:hideMark/>
          </w:tcPr>
          <w:p w14:paraId="40FF663C"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101E783" w14:textId="77777777" w:rsidR="008D0F73" w:rsidRDefault="008D0F7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11B4CA7" w14:textId="77777777" w:rsidR="008D0F73" w:rsidRDefault="008D0F73">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6F58881E" w14:textId="77777777" w:rsidR="008D0F73" w:rsidRDefault="008D0F73">
            <w:pPr>
              <w:jc w:val="right"/>
              <w:rPr>
                <w:color w:val="000000"/>
                <w:sz w:val="20"/>
                <w:szCs w:val="20"/>
              </w:rPr>
            </w:pPr>
            <w:r>
              <w:rPr>
                <w:color w:val="000000"/>
                <w:sz w:val="20"/>
                <w:szCs w:val="20"/>
              </w:rPr>
              <w:t>0.785</w:t>
            </w:r>
          </w:p>
        </w:tc>
        <w:tc>
          <w:tcPr>
            <w:tcW w:w="864" w:type="dxa"/>
            <w:tcBorders>
              <w:top w:val="nil"/>
              <w:left w:val="nil"/>
              <w:bottom w:val="nil"/>
              <w:right w:val="nil"/>
            </w:tcBorders>
            <w:shd w:val="clear" w:color="auto" w:fill="auto"/>
            <w:noWrap/>
            <w:vAlign w:val="bottom"/>
            <w:hideMark/>
          </w:tcPr>
          <w:p w14:paraId="326AE4DB"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9DA6612" w14:textId="77777777" w:rsidR="008D0F73" w:rsidRDefault="008D0F73">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5A8AA970" w14:textId="77777777" w:rsidR="008D0F73" w:rsidRDefault="008D0F73">
            <w:pPr>
              <w:jc w:val="right"/>
              <w:rPr>
                <w:color w:val="000000"/>
                <w:sz w:val="20"/>
                <w:szCs w:val="20"/>
              </w:rPr>
            </w:pPr>
            <w:r>
              <w:rPr>
                <w:color w:val="000000"/>
                <w:sz w:val="20"/>
                <w:szCs w:val="20"/>
              </w:rPr>
              <w:t>0.309</w:t>
            </w:r>
          </w:p>
        </w:tc>
        <w:tc>
          <w:tcPr>
            <w:tcW w:w="864" w:type="dxa"/>
            <w:tcBorders>
              <w:top w:val="nil"/>
              <w:left w:val="nil"/>
              <w:bottom w:val="nil"/>
              <w:right w:val="nil"/>
            </w:tcBorders>
            <w:shd w:val="clear" w:color="auto" w:fill="auto"/>
            <w:noWrap/>
            <w:vAlign w:val="bottom"/>
            <w:hideMark/>
          </w:tcPr>
          <w:p w14:paraId="149312EB" w14:textId="77777777" w:rsidR="008D0F73" w:rsidRDefault="008D0F73">
            <w:pPr>
              <w:jc w:val="right"/>
              <w:rPr>
                <w:color w:val="000000"/>
                <w:sz w:val="20"/>
                <w:szCs w:val="20"/>
              </w:rPr>
            </w:pPr>
            <w:r>
              <w:rPr>
                <w:color w:val="000000"/>
                <w:sz w:val="20"/>
                <w:szCs w:val="20"/>
              </w:rPr>
              <w:t>0.002</w:t>
            </w:r>
          </w:p>
        </w:tc>
      </w:tr>
      <w:tr w:rsidR="008D0F73" w14:paraId="1CBB5F25" w14:textId="77777777" w:rsidTr="008D0F73">
        <w:trPr>
          <w:trHeight w:val="320"/>
        </w:trPr>
        <w:tc>
          <w:tcPr>
            <w:tcW w:w="1152" w:type="dxa"/>
            <w:tcBorders>
              <w:top w:val="nil"/>
              <w:left w:val="nil"/>
              <w:bottom w:val="nil"/>
              <w:right w:val="nil"/>
            </w:tcBorders>
            <w:shd w:val="clear" w:color="auto" w:fill="auto"/>
            <w:noWrap/>
            <w:vAlign w:val="bottom"/>
            <w:hideMark/>
          </w:tcPr>
          <w:p w14:paraId="445C0040"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882780F" w14:textId="77777777" w:rsidR="008D0F73" w:rsidRDefault="008D0F7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044A500" w14:textId="77777777" w:rsidR="008D0F73" w:rsidRDefault="008D0F73">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447ACAC4" w14:textId="77777777" w:rsidR="008D0F73" w:rsidRDefault="008D0F73">
            <w:pPr>
              <w:jc w:val="right"/>
              <w:rPr>
                <w:color w:val="000000"/>
                <w:sz w:val="20"/>
                <w:szCs w:val="20"/>
              </w:rPr>
            </w:pPr>
            <w:r>
              <w:rPr>
                <w:color w:val="000000"/>
                <w:sz w:val="20"/>
                <w:szCs w:val="20"/>
              </w:rPr>
              <w:t>0.245</w:t>
            </w:r>
          </w:p>
        </w:tc>
        <w:tc>
          <w:tcPr>
            <w:tcW w:w="864" w:type="dxa"/>
            <w:tcBorders>
              <w:top w:val="nil"/>
              <w:left w:val="nil"/>
              <w:bottom w:val="nil"/>
              <w:right w:val="nil"/>
            </w:tcBorders>
            <w:shd w:val="clear" w:color="auto" w:fill="auto"/>
            <w:noWrap/>
            <w:vAlign w:val="bottom"/>
            <w:hideMark/>
          </w:tcPr>
          <w:p w14:paraId="35C18BE8"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D2120CA" w14:textId="77777777" w:rsidR="008D0F73" w:rsidRDefault="008D0F73">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5AF3D998" w14:textId="77777777" w:rsidR="008D0F73" w:rsidRDefault="008D0F73">
            <w:pPr>
              <w:jc w:val="right"/>
              <w:rPr>
                <w:color w:val="000000"/>
                <w:sz w:val="20"/>
                <w:szCs w:val="20"/>
              </w:rPr>
            </w:pPr>
            <w:r>
              <w:rPr>
                <w:color w:val="000000"/>
                <w:sz w:val="20"/>
                <w:szCs w:val="20"/>
              </w:rPr>
              <w:t>0.650</w:t>
            </w:r>
          </w:p>
        </w:tc>
        <w:tc>
          <w:tcPr>
            <w:tcW w:w="864" w:type="dxa"/>
            <w:tcBorders>
              <w:top w:val="nil"/>
              <w:left w:val="nil"/>
              <w:bottom w:val="nil"/>
              <w:right w:val="nil"/>
            </w:tcBorders>
            <w:shd w:val="clear" w:color="auto" w:fill="auto"/>
            <w:noWrap/>
            <w:vAlign w:val="bottom"/>
            <w:hideMark/>
          </w:tcPr>
          <w:p w14:paraId="57EF91DB" w14:textId="77777777" w:rsidR="008D0F73" w:rsidRDefault="008D0F73">
            <w:pPr>
              <w:jc w:val="right"/>
              <w:rPr>
                <w:color w:val="000000"/>
                <w:sz w:val="20"/>
                <w:szCs w:val="20"/>
              </w:rPr>
            </w:pPr>
            <w:r>
              <w:rPr>
                <w:color w:val="000000"/>
                <w:sz w:val="20"/>
                <w:szCs w:val="20"/>
              </w:rPr>
              <w:t>0.000</w:t>
            </w:r>
          </w:p>
        </w:tc>
      </w:tr>
      <w:tr w:rsidR="008D0F73" w14:paraId="5B4FE0F8" w14:textId="77777777" w:rsidTr="008D0F73">
        <w:trPr>
          <w:trHeight w:val="320"/>
        </w:trPr>
        <w:tc>
          <w:tcPr>
            <w:tcW w:w="1152" w:type="dxa"/>
            <w:tcBorders>
              <w:top w:val="nil"/>
              <w:left w:val="nil"/>
              <w:bottom w:val="single" w:sz="4" w:space="0" w:color="auto"/>
              <w:right w:val="nil"/>
            </w:tcBorders>
            <w:shd w:val="clear" w:color="auto" w:fill="auto"/>
            <w:noWrap/>
            <w:vAlign w:val="bottom"/>
            <w:hideMark/>
          </w:tcPr>
          <w:p w14:paraId="5B3DC716" w14:textId="77777777" w:rsidR="008D0F73" w:rsidRDefault="008D0F73">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C0B7D1E" w14:textId="77777777" w:rsidR="008D0F73" w:rsidRDefault="008D0F73">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FCBD7D8" w14:textId="77777777" w:rsidR="008D0F73" w:rsidRDefault="008D0F73">
            <w:pPr>
              <w:jc w:val="right"/>
              <w:rPr>
                <w:color w:val="000000"/>
                <w:sz w:val="20"/>
                <w:szCs w:val="20"/>
              </w:rPr>
            </w:pPr>
            <w:r>
              <w:rPr>
                <w:color w:val="000000"/>
                <w:sz w:val="20"/>
                <w:szCs w:val="20"/>
              </w:rPr>
              <w:t>-0.029</w:t>
            </w:r>
          </w:p>
        </w:tc>
        <w:tc>
          <w:tcPr>
            <w:tcW w:w="864" w:type="dxa"/>
            <w:tcBorders>
              <w:top w:val="nil"/>
              <w:left w:val="nil"/>
              <w:bottom w:val="single" w:sz="4" w:space="0" w:color="auto"/>
              <w:right w:val="nil"/>
            </w:tcBorders>
            <w:shd w:val="clear" w:color="auto" w:fill="auto"/>
            <w:noWrap/>
            <w:vAlign w:val="bottom"/>
            <w:hideMark/>
          </w:tcPr>
          <w:p w14:paraId="1A243B55" w14:textId="77777777" w:rsidR="008D0F73" w:rsidRDefault="008D0F73">
            <w:pPr>
              <w:jc w:val="right"/>
              <w:rPr>
                <w:color w:val="000000"/>
                <w:sz w:val="20"/>
                <w:szCs w:val="20"/>
              </w:rPr>
            </w:pPr>
            <w:r>
              <w:rPr>
                <w:color w:val="000000"/>
                <w:sz w:val="20"/>
                <w:szCs w:val="20"/>
              </w:rPr>
              <w:t>0.419</w:t>
            </w:r>
          </w:p>
        </w:tc>
        <w:tc>
          <w:tcPr>
            <w:tcW w:w="864" w:type="dxa"/>
            <w:tcBorders>
              <w:top w:val="nil"/>
              <w:left w:val="nil"/>
              <w:bottom w:val="single" w:sz="4" w:space="0" w:color="auto"/>
              <w:right w:val="nil"/>
            </w:tcBorders>
            <w:shd w:val="clear" w:color="auto" w:fill="auto"/>
            <w:noWrap/>
            <w:vAlign w:val="bottom"/>
            <w:hideMark/>
          </w:tcPr>
          <w:p w14:paraId="7B04F8C1"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08C7EBE5" w14:textId="77777777" w:rsidR="008D0F73" w:rsidRDefault="008D0F73">
            <w:pPr>
              <w:jc w:val="right"/>
              <w:rPr>
                <w:color w:val="000000"/>
                <w:sz w:val="20"/>
                <w:szCs w:val="20"/>
              </w:rPr>
            </w:pPr>
            <w:r>
              <w:rPr>
                <w:color w:val="000000"/>
                <w:sz w:val="20"/>
                <w:szCs w:val="20"/>
              </w:rPr>
              <w:t>-0.017</w:t>
            </w:r>
          </w:p>
        </w:tc>
        <w:tc>
          <w:tcPr>
            <w:tcW w:w="864" w:type="dxa"/>
            <w:tcBorders>
              <w:top w:val="nil"/>
              <w:left w:val="nil"/>
              <w:bottom w:val="single" w:sz="4" w:space="0" w:color="auto"/>
              <w:right w:val="nil"/>
            </w:tcBorders>
            <w:shd w:val="clear" w:color="auto" w:fill="auto"/>
            <w:noWrap/>
            <w:vAlign w:val="bottom"/>
            <w:hideMark/>
          </w:tcPr>
          <w:p w14:paraId="78B15354" w14:textId="77777777" w:rsidR="008D0F73" w:rsidRDefault="008D0F73">
            <w:pPr>
              <w:jc w:val="right"/>
              <w:rPr>
                <w:color w:val="000000"/>
                <w:sz w:val="20"/>
                <w:szCs w:val="20"/>
              </w:rPr>
            </w:pPr>
            <w:r>
              <w:rPr>
                <w:color w:val="000000"/>
                <w:sz w:val="20"/>
                <w:szCs w:val="20"/>
              </w:rPr>
              <w:t>0.661</w:t>
            </w:r>
          </w:p>
        </w:tc>
        <w:tc>
          <w:tcPr>
            <w:tcW w:w="864" w:type="dxa"/>
            <w:tcBorders>
              <w:top w:val="nil"/>
              <w:left w:val="nil"/>
              <w:bottom w:val="single" w:sz="4" w:space="0" w:color="auto"/>
              <w:right w:val="nil"/>
            </w:tcBorders>
            <w:shd w:val="clear" w:color="auto" w:fill="auto"/>
            <w:noWrap/>
            <w:vAlign w:val="bottom"/>
            <w:hideMark/>
          </w:tcPr>
          <w:p w14:paraId="45D6C4FC" w14:textId="77777777" w:rsidR="008D0F73" w:rsidRDefault="008D0F73">
            <w:pPr>
              <w:jc w:val="right"/>
              <w:rPr>
                <w:color w:val="000000"/>
                <w:sz w:val="20"/>
                <w:szCs w:val="20"/>
              </w:rPr>
            </w:pPr>
            <w:r>
              <w:rPr>
                <w:color w:val="000000"/>
                <w:sz w:val="20"/>
                <w:szCs w:val="20"/>
              </w:rPr>
              <w:t>0.000</w:t>
            </w:r>
          </w:p>
        </w:tc>
      </w:tr>
      <w:tr w:rsidR="008D0F73" w14:paraId="5F817CE7" w14:textId="77777777" w:rsidTr="008D0F73">
        <w:trPr>
          <w:trHeight w:val="320"/>
        </w:trPr>
        <w:tc>
          <w:tcPr>
            <w:tcW w:w="1152" w:type="dxa"/>
            <w:tcBorders>
              <w:top w:val="nil"/>
              <w:left w:val="nil"/>
              <w:bottom w:val="nil"/>
              <w:right w:val="nil"/>
            </w:tcBorders>
            <w:shd w:val="clear" w:color="auto" w:fill="auto"/>
            <w:noWrap/>
            <w:vAlign w:val="bottom"/>
            <w:hideMark/>
          </w:tcPr>
          <w:p w14:paraId="227679BD" w14:textId="77777777" w:rsidR="008D0F73" w:rsidRDefault="008D0F73">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362913DD" w14:textId="77777777" w:rsidR="008D0F73" w:rsidRDefault="008D0F73">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60EBD4B5" w14:textId="77777777" w:rsidR="008D0F73" w:rsidRDefault="008D0F73">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524C1246" w14:textId="77777777" w:rsidR="008D0F73" w:rsidRDefault="008D0F73">
            <w:pPr>
              <w:jc w:val="right"/>
              <w:rPr>
                <w:color w:val="000000"/>
                <w:sz w:val="20"/>
                <w:szCs w:val="20"/>
              </w:rPr>
            </w:pPr>
            <w:r>
              <w:rPr>
                <w:color w:val="000000"/>
                <w:sz w:val="20"/>
                <w:szCs w:val="20"/>
              </w:rPr>
              <w:t>0.939</w:t>
            </w:r>
          </w:p>
        </w:tc>
        <w:tc>
          <w:tcPr>
            <w:tcW w:w="864" w:type="dxa"/>
            <w:tcBorders>
              <w:top w:val="nil"/>
              <w:left w:val="nil"/>
              <w:bottom w:val="nil"/>
              <w:right w:val="nil"/>
            </w:tcBorders>
            <w:shd w:val="clear" w:color="auto" w:fill="auto"/>
            <w:noWrap/>
            <w:vAlign w:val="bottom"/>
            <w:hideMark/>
          </w:tcPr>
          <w:p w14:paraId="4B65DE32"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E0A0B0B" w14:textId="77777777" w:rsidR="008D0F73" w:rsidRDefault="008D0F73">
            <w:pPr>
              <w:jc w:val="right"/>
              <w:rPr>
                <w:b/>
                <w:bCs/>
                <w:color w:val="000000"/>
                <w:sz w:val="20"/>
                <w:szCs w:val="20"/>
              </w:rPr>
            </w:pPr>
            <w:r>
              <w:rPr>
                <w:b/>
                <w:bCs/>
                <w:color w:val="000000"/>
                <w:sz w:val="20"/>
                <w:szCs w:val="20"/>
              </w:rPr>
              <w:t>-0.077</w:t>
            </w:r>
          </w:p>
        </w:tc>
        <w:tc>
          <w:tcPr>
            <w:tcW w:w="864" w:type="dxa"/>
            <w:tcBorders>
              <w:top w:val="nil"/>
              <w:left w:val="nil"/>
              <w:bottom w:val="nil"/>
              <w:right w:val="nil"/>
            </w:tcBorders>
            <w:shd w:val="clear" w:color="auto" w:fill="auto"/>
            <w:noWrap/>
            <w:vAlign w:val="bottom"/>
            <w:hideMark/>
          </w:tcPr>
          <w:p w14:paraId="02566789" w14:textId="77777777" w:rsidR="008D0F73" w:rsidRDefault="008D0F73">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47CEB1A2" w14:textId="77777777" w:rsidR="008D0F73" w:rsidRDefault="008D0F73">
            <w:pPr>
              <w:jc w:val="right"/>
              <w:rPr>
                <w:b/>
                <w:bCs/>
                <w:color w:val="000000"/>
                <w:sz w:val="20"/>
                <w:szCs w:val="20"/>
              </w:rPr>
            </w:pPr>
            <w:r>
              <w:rPr>
                <w:b/>
                <w:bCs/>
                <w:color w:val="000000"/>
                <w:sz w:val="20"/>
                <w:szCs w:val="20"/>
              </w:rPr>
              <w:t>0.006</w:t>
            </w:r>
          </w:p>
        </w:tc>
      </w:tr>
      <w:tr w:rsidR="008D0F73" w14:paraId="347FB49F" w14:textId="77777777" w:rsidTr="008D0F73">
        <w:trPr>
          <w:trHeight w:val="320"/>
        </w:trPr>
        <w:tc>
          <w:tcPr>
            <w:tcW w:w="1152" w:type="dxa"/>
            <w:tcBorders>
              <w:top w:val="nil"/>
              <w:left w:val="nil"/>
              <w:bottom w:val="nil"/>
              <w:right w:val="nil"/>
            </w:tcBorders>
            <w:shd w:val="clear" w:color="auto" w:fill="auto"/>
            <w:noWrap/>
            <w:vAlign w:val="bottom"/>
            <w:hideMark/>
          </w:tcPr>
          <w:p w14:paraId="05A18DBA" w14:textId="77777777" w:rsidR="008D0F73" w:rsidRDefault="008D0F73">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21C6C9F3" w14:textId="77777777" w:rsidR="008D0F73" w:rsidRDefault="008D0F7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23E3DA7" w14:textId="77777777" w:rsidR="008D0F73" w:rsidRDefault="008D0F73">
            <w:pPr>
              <w:jc w:val="right"/>
              <w:rPr>
                <w:b/>
                <w:bCs/>
                <w:color w:val="000000"/>
                <w:sz w:val="20"/>
                <w:szCs w:val="20"/>
              </w:rPr>
            </w:pPr>
            <w:r>
              <w:rPr>
                <w:b/>
                <w:bCs/>
                <w:color w:val="000000"/>
                <w:sz w:val="20"/>
                <w:szCs w:val="20"/>
              </w:rPr>
              <w:t>-0.080</w:t>
            </w:r>
          </w:p>
        </w:tc>
        <w:tc>
          <w:tcPr>
            <w:tcW w:w="864" w:type="dxa"/>
            <w:tcBorders>
              <w:top w:val="nil"/>
              <w:left w:val="nil"/>
              <w:bottom w:val="nil"/>
              <w:right w:val="nil"/>
            </w:tcBorders>
            <w:shd w:val="clear" w:color="auto" w:fill="auto"/>
            <w:noWrap/>
            <w:vAlign w:val="bottom"/>
            <w:hideMark/>
          </w:tcPr>
          <w:p w14:paraId="08D0095C" w14:textId="77777777" w:rsidR="008D0F73" w:rsidRDefault="008D0F73">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3003D229" w14:textId="77777777" w:rsidR="008D0F73" w:rsidRDefault="008D0F73">
            <w:pPr>
              <w:jc w:val="right"/>
              <w:rPr>
                <w:b/>
                <w:bCs/>
                <w:color w:val="000000"/>
                <w:sz w:val="20"/>
                <w:szCs w:val="20"/>
              </w:rPr>
            </w:pPr>
            <w:r>
              <w:rPr>
                <w:b/>
                <w:bCs/>
                <w:color w:val="000000"/>
                <w:sz w:val="20"/>
                <w:szCs w:val="20"/>
              </w:rPr>
              <w:t>0.006</w:t>
            </w:r>
          </w:p>
        </w:tc>
        <w:tc>
          <w:tcPr>
            <w:tcW w:w="864" w:type="dxa"/>
            <w:tcBorders>
              <w:top w:val="nil"/>
              <w:left w:val="nil"/>
              <w:bottom w:val="nil"/>
              <w:right w:val="nil"/>
            </w:tcBorders>
            <w:shd w:val="clear" w:color="auto" w:fill="auto"/>
            <w:noWrap/>
            <w:vAlign w:val="bottom"/>
            <w:hideMark/>
          </w:tcPr>
          <w:p w14:paraId="1DA22A2A" w14:textId="77777777" w:rsidR="008D0F73" w:rsidRDefault="008D0F73">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71385ABB" w14:textId="77777777" w:rsidR="008D0F73" w:rsidRDefault="008D0F73">
            <w:pPr>
              <w:jc w:val="right"/>
              <w:rPr>
                <w:color w:val="000000"/>
                <w:sz w:val="20"/>
                <w:szCs w:val="20"/>
              </w:rPr>
            </w:pPr>
            <w:r>
              <w:rPr>
                <w:color w:val="000000"/>
                <w:sz w:val="20"/>
                <w:szCs w:val="20"/>
              </w:rPr>
              <w:t>0.789</w:t>
            </w:r>
          </w:p>
        </w:tc>
        <w:tc>
          <w:tcPr>
            <w:tcW w:w="864" w:type="dxa"/>
            <w:tcBorders>
              <w:top w:val="nil"/>
              <w:left w:val="nil"/>
              <w:bottom w:val="nil"/>
              <w:right w:val="nil"/>
            </w:tcBorders>
            <w:shd w:val="clear" w:color="auto" w:fill="auto"/>
            <w:noWrap/>
            <w:vAlign w:val="bottom"/>
            <w:hideMark/>
          </w:tcPr>
          <w:p w14:paraId="19FDB118" w14:textId="77777777" w:rsidR="008D0F73" w:rsidRDefault="008D0F73">
            <w:pPr>
              <w:jc w:val="right"/>
              <w:rPr>
                <w:color w:val="000000"/>
                <w:sz w:val="20"/>
                <w:szCs w:val="20"/>
              </w:rPr>
            </w:pPr>
            <w:r>
              <w:rPr>
                <w:color w:val="000000"/>
                <w:sz w:val="20"/>
                <w:szCs w:val="20"/>
              </w:rPr>
              <w:t>0.000</w:t>
            </w:r>
          </w:p>
        </w:tc>
      </w:tr>
      <w:tr w:rsidR="008D0F73" w14:paraId="766E0F55" w14:textId="77777777" w:rsidTr="008D0F73">
        <w:trPr>
          <w:trHeight w:val="320"/>
        </w:trPr>
        <w:tc>
          <w:tcPr>
            <w:tcW w:w="1152" w:type="dxa"/>
            <w:tcBorders>
              <w:top w:val="nil"/>
              <w:left w:val="nil"/>
              <w:bottom w:val="nil"/>
              <w:right w:val="nil"/>
            </w:tcBorders>
            <w:shd w:val="clear" w:color="auto" w:fill="auto"/>
            <w:noWrap/>
            <w:vAlign w:val="bottom"/>
            <w:hideMark/>
          </w:tcPr>
          <w:p w14:paraId="2240F581"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117231E" w14:textId="77777777" w:rsidR="008D0F73" w:rsidRDefault="008D0F7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FAAF3CA" w14:textId="77777777" w:rsidR="008D0F73" w:rsidRDefault="008D0F73">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3C576792" w14:textId="77777777" w:rsidR="008D0F73" w:rsidRDefault="008D0F73">
            <w:pPr>
              <w:jc w:val="right"/>
              <w:rPr>
                <w:color w:val="000000"/>
                <w:sz w:val="20"/>
                <w:szCs w:val="20"/>
              </w:rPr>
            </w:pPr>
            <w:r>
              <w:rPr>
                <w:color w:val="000000"/>
                <w:sz w:val="20"/>
                <w:szCs w:val="20"/>
              </w:rPr>
              <w:t>0.467</w:t>
            </w:r>
          </w:p>
        </w:tc>
        <w:tc>
          <w:tcPr>
            <w:tcW w:w="864" w:type="dxa"/>
            <w:tcBorders>
              <w:top w:val="nil"/>
              <w:left w:val="nil"/>
              <w:bottom w:val="nil"/>
              <w:right w:val="nil"/>
            </w:tcBorders>
            <w:shd w:val="clear" w:color="auto" w:fill="auto"/>
            <w:noWrap/>
            <w:vAlign w:val="bottom"/>
            <w:hideMark/>
          </w:tcPr>
          <w:p w14:paraId="002D280E"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F6656A8" w14:textId="77777777" w:rsidR="008D0F73" w:rsidRDefault="008D0F73">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7417665D" w14:textId="77777777" w:rsidR="008D0F73" w:rsidRDefault="008D0F73">
            <w:pPr>
              <w:jc w:val="right"/>
              <w:rPr>
                <w:color w:val="000000"/>
                <w:sz w:val="20"/>
                <w:szCs w:val="20"/>
              </w:rPr>
            </w:pPr>
            <w:r>
              <w:rPr>
                <w:color w:val="000000"/>
                <w:sz w:val="20"/>
                <w:szCs w:val="20"/>
              </w:rPr>
              <w:t>0.789</w:t>
            </w:r>
          </w:p>
        </w:tc>
        <w:tc>
          <w:tcPr>
            <w:tcW w:w="864" w:type="dxa"/>
            <w:tcBorders>
              <w:top w:val="nil"/>
              <w:left w:val="nil"/>
              <w:bottom w:val="nil"/>
              <w:right w:val="nil"/>
            </w:tcBorders>
            <w:shd w:val="clear" w:color="auto" w:fill="auto"/>
            <w:noWrap/>
            <w:vAlign w:val="bottom"/>
            <w:hideMark/>
          </w:tcPr>
          <w:p w14:paraId="40BEE543" w14:textId="77777777" w:rsidR="008D0F73" w:rsidRDefault="008D0F73">
            <w:pPr>
              <w:jc w:val="right"/>
              <w:rPr>
                <w:color w:val="000000"/>
                <w:sz w:val="20"/>
                <w:szCs w:val="20"/>
              </w:rPr>
            </w:pPr>
            <w:r>
              <w:rPr>
                <w:color w:val="000000"/>
                <w:sz w:val="20"/>
                <w:szCs w:val="20"/>
              </w:rPr>
              <w:t>0.000</w:t>
            </w:r>
          </w:p>
        </w:tc>
      </w:tr>
      <w:tr w:rsidR="008D0F73" w14:paraId="76086F35" w14:textId="77777777" w:rsidTr="008D0F73">
        <w:trPr>
          <w:trHeight w:val="320"/>
        </w:trPr>
        <w:tc>
          <w:tcPr>
            <w:tcW w:w="1152" w:type="dxa"/>
            <w:tcBorders>
              <w:top w:val="nil"/>
              <w:left w:val="nil"/>
              <w:bottom w:val="nil"/>
              <w:right w:val="nil"/>
            </w:tcBorders>
            <w:shd w:val="clear" w:color="auto" w:fill="auto"/>
            <w:noWrap/>
            <w:vAlign w:val="bottom"/>
            <w:hideMark/>
          </w:tcPr>
          <w:p w14:paraId="774F2178"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1C3E085" w14:textId="77777777" w:rsidR="008D0F73" w:rsidRDefault="008D0F7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28925C2" w14:textId="77777777" w:rsidR="008D0F73" w:rsidRDefault="008D0F73">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227A5C58" w14:textId="77777777" w:rsidR="008D0F73" w:rsidRDefault="008D0F73">
            <w:pPr>
              <w:jc w:val="right"/>
              <w:rPr>
                <w:color w:val="000000"/>
                <w:sz w:val="20"/>
                <w:szCs w:val="20"/>
              </w:rPr>
            </w:pPr>
            <w:r>
              <w:rPr>
                <w:color w:val="000000"/>
                <w:sz w:val="20"/>
                <w:szCs w:val="20"/>
              </w:rPr>
              <w:t>0.467</w:t>
            </w:r>
          </w:p>
        </w:tc>
        <w:tc>
          <w:tcPr>
            <w:tcW w:w="864" w:type="dxa"/>
            <w:tcBorders>
              <w:top w:val="nil"/>
              <w:left w:val="nil"/>
              <w:bottom w:val="nil"/>
              <w:right w:val="nil"/>
            </w:tcBorders>
            <w:shd w:val="clear" w:color="auto" w:fill="auto"/>
            <w:noWrap/>
            <w:vAlign w:val="bottom"/>
            <w:hideMark/>
          </w:tcPr>
          <w:p w14:paraId="4B355FC7"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9A83DE4" w14:textId="77777777" w:rsidR="008D0F73" w:rsidRDefault="008D0F73">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65B438C" w14:textId="77777777" w:rsidR="008D0F73" w:rsidRDefault="008D0F73">
            <w:pPr>
              <w:jc w:val="right"/>
              <w:rPr>
                <w:color w:val="000000"/>
                <w:sz w:val="20"/>
                <w:szCs w:val="20"/>
              </w:rPr>
            </w:pPr>
            <w:r>
              <w:rPr>
                <w:color w:val="000000"/>
                <w:sz w:val="20"/>
                <w:szCs w:val="20"/>
              </w:rPr>
              <w:t>0.794</w:t>
            </w:r>
          </w:p>
        </w:tc>
        <w:tc>
          <w:tcPr>
            <w:tcW w:w="864" w:type="dxa"/>
            <w:tcBorders>
              <w:top w:val="nil"/>
              <w:left w:val="nil"/>
              <w:bottom w:val="nil"/>
              <w:right w:val="nil"/>
            </w:tcBorders>
            <w:shd w:val="clear" w:color="auto" w:fill="auto"/>
            <w:noWrap/>
            <w:vAlign w:val="bottom"/>
            <w:hideMark/>
          </w:tcPr>
          <w:p w14:paraId="163B2508" w14:textId="77777777" w:rsidR="008D0F73" w:rsidRDefault="008D0F73">
            <w:pPr>
              <w:jc w:val="right"/>
              <w:rPr>
                <w:color w:val="000000"/>
                <w:sz w:val="20"/>
                <w:szCs w:val="20"/>
              </w:rPr>
            </w:pPr>
            <w:r>
              <w:rPr>
                <w:color w:val="000000"/>
                <w:sz w:val="20"/>
                <w:szCs w:val="20"/>
              </w:rPr>
              <w:t>0.000</w:t>
            </w:r>
          </w:p>
        </w:tc>
      </w:tr>
      <w:tr w:rsidR="008D0F73" w14:paraId="5A179899" w14:textId="77777777" w:rsidTr="008D0F73">
        <w:trPr>
          <w:trHeight w:val="320"/>
        </w:trPr>
        <w:tc>
          <w:tcPr>
            <w:tcW w:w="1152" w:type="dxa"/>
            <w:tcBorders>
              <w:top w:val="nil"/>
              <w:left w:val="nil"/>
              <w:bottom w:val="nil"/>
              <w:right w:val="nil"/>
            </w:tcBorders>
            <w:shd w:val="clear" w:color="auto" w:fill="auto"/>
            <w:noWrap/>
            <w:vAlign w:val="bottom"/>
            <w:hideMark/>
          </w:tcPr>
          <w:p w14:paraId="3C9F3326"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27A0C0D" w14:textId="77777777" w:rsidR="008D0F73" w:rsidRDefault="008D0F7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F2D20FE" w14:textId="77777777" w:rsidR="008D0F73" w:rsidRDefault="008D0F7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1579B0B" w14:textId="77777777" w:rsidR="008D0F73" w:rsidRDefault="008D0F73">
            <w:pPr>
              <w:jc w:val="right"/>
              <w:rPr>
                <w:color w:val="000000"/>
                <w:sz w:val="20"/>
                <w:szCs w:val="20"/>
              </w:rPr>
            </w:pPr>
            <w:r>
              <w:rPr>
                <w:color w:val="000000"/>
                <w:sz w:val="20"/>
                <w:szCs w:val="20"/>
              </w:rPr>
              <w:t>0.939</w:t>
            </w:r>
          </w:p>
        </w:tc>
        <w:tc>
          <w:tcPr>
            <w:tcW w:w="864" w:type="dxa"/>
            <w:tcBorders>
              <w:top w:val="nil"/>
              <w:left w:val="nil"/>
              <w:bottom w:val="nil"/>
              <w:right w:val="nil"/>
            </w:tcBorders>
            <w:shd w:val="clear" w:color="auto" w:fill="auto"/>
            <w:noWrap/>
            <w:vAlign w:val="bottom"/>
            <w:hideMark/>
          </w:tcPr>
          <w:p w14:paraId="78E3EEFA"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B53E1EF" w14:textId="77777777" w:rsidR="008D0F73" w:rsidRDefault="008D0F73">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3C0F6411" w14:textId="77777777" w:rsidR="008D0F73" w:rsidRDefault="008D0F73">
            <w:pPr>
              <w:jc w:val="right"/>
              <w:rPr>
                <w:color w:val="000000"/>
                <w:sz w:val="20"/>
                <w:szCs w:val="20"/>
              </w:rPr>
            </w:pPr>
            <w:r>
              <w:rPr>
                <w:color w:val="000000"/>
                <w:sz w:val="20"/>
                <w:szCs w:val="20"/>
              </w:rPr>
              <w:t>0.296</w:t>
            </w:r>
          </w:p>
        </w:tc>
        <w:tc>
          <w:tcPr>
            <w:tcW w:w="864" w:type="dxa"/>
            <w:tcBorders>
              <w:top w:val="nil"/>
              <w:left w:val="nil"/>
              <w:bottom w:val="nil"/>
              <w:right w:val="nil"/>
            </w:tcBorders>
            <w:shd w:val="clear" w:color="auto" w:fill="auto"/>
            <w:noWrap/>
            <w:vAlign w:val="bottom"/>
            <w:hideMark/>
          </w:tcPr>
          <w:p w14:paraId="357EBCA3" w14:textId="77777777" w:rsidR="008D0F73" w:rsidRDefault="008D0F73">
            <w:pPr>
              <w:jc w:val="right"/>
              <w:rPr>
                <w:color w:val="000000"/>
                <w:sz w:val="20"/>
                <w:szCs w:val="20"/>
              </w:rPr>
            </w:pPr>
            <w:r>
              <w:rPr>
                <w:color w:val="000000"/>
                <w:sz w:val="20"/>
                <w:szCs w:val="20"/>
              </w:rPr>
              <w:t>0.001</w:t>
            </w:r>
          </w:p>
        </w:tc>
      </w:tr>
      <w:tr w:rsidR="008D0F73" w14:paraId="42948DC4" w14:textId="77777777" w:rsidTr="008D0F73">
        <w:trPr>
          <w:trHeight w:val="320"/>
        </w:trPr>
        <w:tc>
          <w:tcPr>
            <w:tcW w:w="1152" w:type="dxa"/>
            <w:tcBorders>
              <w:top w:val="nil"/>
              <w:left w:val="nil"/>
              <w:bottom w:val="nil"/>
              <w:right w:val="nil"/>
            </w:tcBorders>
            <w:shd w:val="clear" w:color="auto" w:fill="auto"/>
            <w:noWrap/>
            <w:vAlign w:val="bottom"/>
            <w:hideMark/>
          </w:tcPr>
          <w:p w14:paraId="56460830"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7B4F4C6" w14:textId="77777777" w:rsidR="008D0F73" w:rsidRDefault="008D0F7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41F39E1" w14:textId="77777777" w:rsidR="008D0F73" w:rsidRDefault="008D0F7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4CFC406F" w14:textId="77777777" w:rsidR="008D0F73" w:rsidRDefault="008D0F73">
            <w:pPr>
              <w:jc w:val="right"/>
              <w:rPr>
                <w:color w:val="000000"/>
                <w:sz w:val="20"/>
                <w:szCs w:val="20"/>
              </w:rPr>
            </w:pPr>
            <w:r>
              <w:rPr>
                <w:color w:val="000000"/>
                <w:sz w:val="20"/>
                <w:szCs w:val="20"/>
              </w:rPr>
              <w:t>0.939</w:t>
            </w:r>
          </w:p>
        </w:tc>
        <w:tc>
          <w:tcPr>
            <w:tcW w:w="864" w:type="dxa"/>
            <w:tcBorders>
              <w:top w:val="nil"/>
              <w:left w:val="nil"/>
              <w:bottom w:val="nil"/>
              <w:right w:val="nil"/>
            </w:tcBorders>
            <w:shd w:val="clear" w:color="auto" w:fill="auto"/>
            <w:noWrap/>
            <w:vAlign w:val="bottom"/>
            <w:hideMark/>
          </w:tcPr>
          <w:p w14:paraId="0440B80C"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1E1500B" w14:textId="77777777" w:rsidR="008D0F73" w:rsidRDefault="008D0F73">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7BC88BDC" w14:textId="77777777" w:rsidR="008D0F73" w:rsidRDefault="008D0F73">
            <w:pPr>
              <w:jc w:val="right"/>
              <w:rPr>
                <w:color w:val="000000"/>
                <w:sz w:val="20"/>
                <w:szCs w:val="20"/>
              </w:rPr>
            </w:pPr>
            <w:r>
              <w:rPr>
                <w:color w:val="000000"/>
                <w:sz w:val="20"/>
                <w:szCs w:val="20"/>
              </w:rPr>
              <w:t>0.317</w:t>
            </w:r>
          </w:p>
        </w:tc>
        <w:tc>
          <w:tcPr>
            <w:tcW w:w="864" w:type="dxa"/>
            <w:tcBorders>
              <w:top w:val="nil"/>
              <w:left w:val="nil"/>
              <w:bottom w:val="nil"/>
              <w:right w:val="nil"/>
            </w:tcBorders>
            <w:shd w:val="clear" w:color="auto" w:fill="auto"/>
            <w:noWrap/>
            <w:vAlign w:val="bottom"/>
            <w:hideMark/>
          </w:tcPr>
          <w:p w14:paraId="57AA7D44" w14:textId="77777777" w:rsidR="008D0F73" w:rsidRDefault="008D0F73">
            <w:pPr>
              <w:jc w:val="right"/>
              <w:rPr>
                <w:color w:val="000000"/>
                <w:sz w:val="20"/>
                <w:szCs w:val="20"/>
              </w:rPr>
            </w:pPr>
            <w:r>
              <w:rPr>
                <w:color w:val="000000"/>
                <w:sz w:val="20"/>
                <w:szCs w:val="20"/>
              </w:rPr>
              <w:t>0.001</w:t>
            </w:r>
          </w:p>
        </w:tc>
      </w:tr>
      <w:tr w:rsidR="008D0F73" w14:paraId="6DEFD5F0" w14:textId="77777777" w:rsidTr="008D0F73">
        <w:trPr>
          <w:trHeight w:val="320"/>
        </w:trPr>
        <w:tc>
          <w:tcPr>
            <w:tcW w:w="1152" w:type="dxa"/>
            <w:tcBorders>
              <w:top w:val="nil"/>
              <w:left w:val="nil"/>
              <w:bottom w:val="nil"/>
              <w:right w:val="nil"/>
            </w:tcBorders>
            <w:shd w:val="clear" w:color="auto" w:fill="auto"/>
            <w:noWrap/>
            <w:vAlign w:val="bottom"/>
            <w:hideMark/>
          </w:tcPr>
          <w:p w14:paraId="580F7FE7"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5AAA9BE" w14:textId="77777777" w:rsidR="008D0F73" w:rsidRDefault="008D0F7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F3EBC48" w14:textId="77777777" w:rsidR="008D0F73" w:rsidRDefault="008D0F73">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04CA0355" w14:textId="77777777" w:rsidR="008D0F73" w:rsidRDefault="008D0F73">
            <w:pPr>
              <w:jc w:val="right"/>
              <w:rPr>
                <w:color w:val="000000"/>
                <w:sz w:val="20"/>
                <w:szCs w:val="20"/>
              </w:rPr>
            </w:pPr>
            <w:r>
              <w:rPr>
                <w:color w:val="000000"/>
                <w:sz w:val="20"/>
                <w:szCs w:val="20"/>
              </w:rPr>
              <w:t>0.412</w:t>
            </w:r>
          </w:p>
        </w:tc>
        <w:tc>
          <w:tcPr>
            <w:tcW w:w="864" w:type="dxa"/>
            <w:tcBorders>
              <w:top w:val="nil"/>
              <w:left w:val="nil"/>
              <w:bottom w:val="nil"/>
              <w:right w:val="nil"/>
            </w:tcBorders>
            <w:shd w:val="clear" w:color="auto" w:fill="auto"/>
            <w:noWrap/>
            <w:vAlign w:val="bottom"/>
            <w:hideMark/>
          </w:tcPr>
          <w:p w14:paraId="54EE79F1"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BC8F6E1" w14:textId="77777777" w:rsidR="008D0F73" w:rsidRDefault="008D0F73">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47B3F7E5" w14:textId="77777777" w:rsidR="008D0F73" w:rsidRDefault="008D0F73">
            <w:pPr>
              <w:jc w:val="right"/>
              <w:rPr>
                <w:color w:val="000000"/>
                <w:sz w:val="20"/>
                <w:szCs w:val="20"/>
              </w:rPr>
            </w:pPr>
            <w:r>
              <w:rPr>
                <w:color w:val="000000"/>
                <w:sz w:val="20"/>
                <w:szCs w:val="20"/>
              </w:rPr>
              <w:t>0.794</w:t>
            </w:r>
          </w:p>
        </w:tc>
        <w:tc>
          <w:tcPr>
            <w:tcW w:w="864" w:type="dxa"/>
            <w:tcBorders>
              <w:top w:val="nil"/>
              <w:left w:val="nil"/>
              <w:bottom w:val="nil"/>
              <w:right w:val="nil"/>
            </w:tcBorders>
            <w:shd w:val="clear" w:color="auto" w:fill="auto"/>
            <w:noWrap/>
            <w:vAlign w:val="bottom"/>
            <w:hideMark/>
          </w:tcPr>
          <w:p w14:paraId="5E39E415" w14:textId="77777777" w:rsidR="008D0F73" w:rsidRDefault="008D0F73">
            <w:pPr>
              <w:jc w:val="right"/>
              <w:rPr>
                <w:color w:val="000000"/>
                <w:sz w:val="20"/>
                <w:szCs w:val="20"/>
              </w:rPr>
            </w:pPr>
            <w:r>
              <w:rPr>
                <w:color w:val="000000"/>
                <w:sz w:val="20"/>
                <w:szCs w:val="20"/>
              </w:rPr>
              <w:t>0.000</w:t>
            </w:r>
          </w:p>
        </w:tc>
      </w:tr>
      <w:tr w:rsidR="008D0F73" w14:paraId="1454DEE2" w14:textId="77777777" w:rsidTr="008D0F73">
        <w:trPr>
          <w:trHeight w:val="320"/>
        </w:trPr>
        <w:tc>
          <w:tcPr>
            <w:tcW w:w="1152" w:type="dxa"/>
            <w:tcBorders>
              <w:top w:val="nil"/>
              <w:left w:val="nil"/>
              <w:bottom w:val="single" w:sz="4" w:space="0" w:color="auto"/>
              <w:right w:val="nil"/>
            </w:tcBorders>
            <w:shd w:val="clear" w:color="auto" w:fill="auto"/>
            <w:noWrap/>
            <w:vAlign w:val="bottom"/>
            <w:hideMark/>
          </w:tcPr>
          <w:p w14:paraId="24EF5000" w14:textId="77777777" w:rsidR="008D0F73" w:rsidRDefault="008D0F73">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BDCD490" w14:textId="77777777" w:rsidR="008D0F73" w:rsidRDefault="008D0F73">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1D35382" w14:textId="77777777" w:rsidR="008D0F73" w:rsidRDefault="008D0F73">
            <w:pPr>
              <w:jc w:val="right"/>
              <w:rPr>
                <w:color w:val="000000"/>
                <w:sz w:val="20"/>
                <w:szCs w:val="20"/>
              </w:rPr>
            </w:pPr>
            <w:r>
              <w:rPr>
                <w:color w:val="000000"/>
                <w:sz w:val="20"/>
                <w:szCs w:val="20"/>
              </w:rPr>
              <w:t>-0.026</w:t>
            </w:r>
          </w:p>
        </w:tc>
        <w:tc>
          <w:tcPr>
            <w:tcW w:w="864" w:type="dxa"/>
            <w:tcBorders>
              <w:top w:val="nil"/>
              <w:left w:val="nil"/>
              <w:bottom w:val="single" w:sz="4" w:space="0" w:color="auto"/>
              <w:right w:val="nil"/>
            </w:tcBorders>
            <w:shd w:val="clear" w:color="auto" w:fill="auto"/>
            <w:noWrap/>
            <w:vAlign w:val="bottom"/>
            <w:hideMark/>
          </w:tcPr>
          <w:p w14:paraId="133768BD" w14:textId="77777777" w:rsidR="008D0F73" w:rsidRDefault="008D0F73">
            <w:pPr>
              <w:jc w:val="right"/>
              <w:rPr>
                <w:color w:val="000000"/>
                <w:sz w:val="20"/>
                <w:szCs w:val="20"/>
              </w:rPr>
            </w:pPr>
            <w:r>
              <w:rPr>
                <w:color w:val="000000"/>
                <w:sz w:val="20"/>
                <w:szCs w:val="20"/>
              </w:rPr>
              <w:t>0.467</w:t>
            </w:r>
          </w:p>
        </w:tc>
        <w:tc>
          <w:tcPr>
            <w:tcW w:w="864" w:type="dxa"/>
            <w:tcBorders>
              <w:top w:val="nil"/>
              <w:left w:val="nil"/>
              <w:bottom w:val="single" w:sz="4" w:space="0" w:color="auto"/>
              <w:right w:val="nil"/>
            </w:tcBorders>
            <w:shd w:val="clear" w:color="auto" w:fill="auto"/>
            <w:noWrap/>
            <w:vAlign w:val="bottom"/>
            <w:hideMark/>
          </w:tcPr>
          <w:p w14:paraId="4FB9CB37"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25B5CB6F" w14:textId="77777777" w:rsidR="008D0F73" w:rsidRDefault="008D0F73">
            <w:pPr>
              <w:jc w:val="right"/>
              <w:rPr>
                <w:color w:val="000000"/>
                <w:sz w:val="20"/>
                <w:szCs w:val="20"/>
              </w:rPr>
            </w:pPr>
            <w:r>
              <w:rPr>
                <w:color w:val="000000"/>
                <w:sz w:val="20"/>
                <w:szCs w:val="20"/>
              </w:rPr>
              <w:t>0.010</w:t>
            </w:r>
          </w:p>
        </w:tc>
        <w:tc>
          <w:tcPr>
            <w:tcW w:w="864" w:type="dxa"/>
            <w:tcBorders>
              <w:top w:val="nil"/>
              <w:left w:val="nil"/>
              <w:bottom w:val="single" w:sz="4" w:space="0" w:color="auto"/>
              <w:right w:val="nil"/>
            </w:tcBorders>
            <w:shd w:val="clear" w:color="auto" w:fill="auto"/>
            <w:noWrap/>
            <w:vAlign w:val="bottom"/>
            <w:hideMark/>
          </w:tcPr>
          <w:p w14:paraId="4A4A1B9E" w14:textId="77777777" w:rsidR="008D0F73" w:rsidRDefault="008D0F73">
            <w:pPr>
              <w:jc w:val="right"/>
              <w:rPr>
                <w:color w:val="000000"/>
                <w:sz w:val="20"/>
                <w:szCs w:val="20"/>
              </w:rPr>
            </w:pPr>
            <w:r>
              <w:rPr>
                <w:color w:val="000000"/>
                <w:sz w:val="20"/>
                <w:szCs w:val="20"/>
              </w:rPr>
              <w:t>0.794</w:t>
            </w:r>
          </w:p>
        </w:tc>
        <w:tc>
          <w:tcPr>
            <w:tcW w:w="864" w:type="dxa"/>
            <w:tcBorders>
              <w:top w:val="nil"/>
              <w:left w:val="nil"/>
              <w:bottom w:val="single" w:sz="4" w:space="0" w:color="auto"/>
              <w:right w:val="nil"/>
            </w:tcBorders>
            <w:shd w:val="clear" w:color="auto" w:fill="auto"/>
            <w:noWrap/>
            <w:vAlign w:val="bottom"/>
            <w:hideMark/>
          </w:tcPr>
          <w:p w14:paraId="18126261" w14:textId="77777777" w:rsidR="008D0F73" w:rsidRDefault="008D0F73">
            <w:pPr>
              <w:jc w:val="right"/>
              <w:rPr>
                <w:color w:val="000000"/>
                <w:sz w:val="20"/>
                <w:szCs w:val="20"/>
              </w:rPr>
            </w:pPr>
            <w:r>
              <w:rPr>
                <w:color w:val="000000"/>
                <w:sz w:val="20"/>
                <w:szCs w:val="20"/>
              </w:rPr>
              <w:t>0.000</w:t>
            </w:r>
          </w:p>
        </w:tc>
      </w:tr>
      <w:tr w:rsidR="008D0F73" w14:paraId="41BAE3DA" w14:textId="77777777" w:rsidTr="008D0F73">
        <w:trPr>
          <w:trHeight w:val="320"/>
        </w:trPr>
        <w:tc>
          <w:tcPr>
            <w:tcW w:w="1152" w:type="dxa"/>
            <w:tcBorders>
              <w:top w:val="nil"/>
              <w:left w:val="nil"/>
              <w:bottom w:val="nil"/>
              <w:right w:val="nil"/>
            </w:tcBorders>
            <w:shd w:val="clear" w:color="auto" w:fill="auto"/>
            <w:noWrap/>
            <w:vAlign w:val="bottom"/>
            <w:hideMark/>
          </w:tcPr>
          <w:p w14:paraId="16F74E0F" w14:textId="77777777" w:rsidR="008D0F73" w:rsidRDefault="008D0F73">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287A53A4" w14:textId="77777777" w:rsidR="008D0F73" w:rsidRDefault="008D0F73">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7E78B46"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8D6EE53" w14:textId="77777777" w:rsidR="008D0F73" w:rsidRDefault="008D0F73">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38819D3A"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F7980F3" w14:textId="77777777" w:rsidR="008D0F73" w:rsidRDefault="008D0F73">
            <w:pPr>
              <w:jc w:val="right"/>
              <w:rPr>
                <w:b/>
                <w:bCs/>
                <w:color w:val="000000"/>
                <w:sz w:val="20"/>
                <w:szCs w:val="20"/>
              </w:rPr>
            </w:pPr>
            <w:r>
              <w:rPr>
                <w:b/>
                <w:bCs/>
                <w:color w:val="000000"/>
                <w:sz w:val="20"/>
                <w:szCs w:val="20"/>
              </w:rPr>
              <w:t>-0.071</w:t>
            </w:r>
          </w:p>
        </w:tc>
        <w:tc>
          <w:tcPr>
            <w:tcW w:w="864" w:type="dxa"/>
            <w:tcBorders>
              <w:top w:val="nil"/>
              <w:left w:val="nil"/>
              <w:bottom w:val="nil"/>
              <w:right w:val="nil"/>
            </w:tcBorders>
            <w:shd w:val="clear" w:color="auto" w:fill="auto"/>
            <w:noWrap/>
            <w:vAlign w:val="bottom"/>
            <w:hideMark/>
          </w:tcPr>
          <w:p w14:paraId="5354E409" w14:textId="77777777" w:rsidR="008D0F73" w:rsidRDefault="008D0F73">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7ABD0D79" w14:textId="77777777" w:rsidR="008D0F73" w:rsidRDefault="008D0F73">
            <w:pPr>
              <w:jc w:val="right"/>
              <w:rPr>
                <w:b/>
                <w:bCs/>
                <w:color w:val="000000"/>
                <w:sz w:val="20"/>
                <w:szCs w:val="20"/>
              </w:rPr>
            </w:pPr>
            <w:r>
              <w:rPr>
                <w:b/>
                <w:bCs/>
                <w:color w:val="000000"/>
                <w:sz w:val="20"/>
                <w:szCs w:val="20"/>
              </w:rPr>
              <w:t>0.005</w:t>
            </w:r>
          </w:p>
        </w:tc>
      </w:tr>
      <w:tr w:rsidR="008D0F73" w14:paraId="7AF71C82" w14:textId="77777777" w:rsidTr="008D0F73">
        <w:trPr>
          <w:trHeight w:val="320"/>
        </w:trPr>
        <w:tc>
          <w:tcPr>
            <w:tcW w:w="1152" w:type="dxa"/>
            <w:tcBorders>
              <w:top w:val="nil"/>
              <w:left w:val="nil"/>
              <w:bottom w:val="nil"/>
              <w:right w:val="nil"/>
            </w:tcBorders>
            <w:shd w:val="clear" w:color="auto" w:fill="auto"/>
            <w:noWrap/>
            <w:vAlign w:val="bottom"/>
            <w:hideMark/>
          </w:tcPr>
          <w:p w14:paraId="39C3F6A4" w14:textId="77777777" w:rsidR="008D0F73" w:rsidRDefault="008D0F73">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2DD9C041" w14:textId="77777777" w:rsidR="008D0F73" w:rsidRDefault="008D0F7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5B14CD1" w14:textId="77777777" w:rsidR="008D0F73" w:rsidRDefault="008D0F73">
            <w:pPr>
              <w:jc w:val="right"/>
              <w:rPr>
                <w:b/>
                <w:bCs/>
                <w:color w:val="000000"/>
                <w:sz w:val="20"/>
                <w:szCs w:val="20"/>
              </w:rPr>
            </w:pPr>
            <w:r>
              <w:rPr>
                <w:b/>
                <w:bCs/>
                <w:color w:val="000000"/>
                <w:sz w:val="20"/>
                <w:szCs w:val="20"/>
              </w:rPr>
              <w:t>-0.075</w:t>
            </w:r>
          </w:p>
        </w:tc>
        <w:tc>
          <w:tcPr>
            <w:tcW w:w="864" w:type="dxa"/>
            <w:tcBorders>
              <w:top w:val="nil"/>
              <w:left w:val="nil"/>
              <w:bottom w:val="nil"/>
              <w:right w:val="nil"/>
            </w:tcBorders>
            <w:shd w:val="clear" w:color="auto" w:fill="auto"/>
            <w:noWrap/>
            <w:vAlign w:val="bottom"/>
            <w:hideMark/>
          </w:tcPr>
          <w:p w14:paraId="4DDCA12D" w14:textId="77777777" w:rsidR="008D0F73" w:rsidRDefault="008D0F73">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24201E7B" w14:textId="77777777" w:rsidR="008D0F73" w:rsidRDefault="008D0F73">
            <w:pPr>
              <w:jc w:val="right"/>
              <w:rPr>
                <w:b/>
                <w:bCs/>
                <w:color w:val="000000"/>
                <w:sz w:val="20"/>
                <w:szCs w:val="20"/>
              </w:rPr>
            </w:pPr>
            <w:r>
              <w:rPr>
                <w:b/>
                <w:bCs/>
                <w:color w:val="000000"/>
                <w:sz w:val="20"/>
                <w:szCs w:val="20"/>
              </w:rPr>
              <w:t>0.006</w:t>
            </w:r>
          </w:p>
        </w:tc>
        <w:tc>
          <w:tcPr>
            <w:tcW w:w="864" w:type="dxa"/>
            <w:tcBorders>
              <w:top w:val="nil"/>
              <w:left w:val="nil"/>
              <w:bottom w:val="nil"/>
              <w:right w:val="nil"/>
            </w:tcBorders>
            <w:shd w:val="clear" w:color="auto" w:fill="auto"/>
            <w:noWrap/>
            <w:vAlign w:val="bottom"/>
            <w:hideMark/>
          </w:tcPr>
          <w:p w14:paraId="7F3E1412" w14:textId="77777777" w:rsidR="008D0F73" w:rsidRDefault="008D0F73">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0B94EA02" w14:textId="77777777" w:rsidR="008D0F73" w:rsidRDefault="008D0F73">
            <w:pPr>
              <w:jc w:val="right"/>
              <w:rPr>
                <w:color w:val="000000"/>
                <w:sz w:val="20"/>
                <w:szCs w:val="20"/>
              </w:rPr>
            </w:pPr>
            <w:r>
              <w:rPr>
                <w:color w:val="000000"/>
                <w:sz w:val="20"/>
                <w:szCs w:val="20"/>
              </w:rPr>
              <w:t>0.851</w:t>
            </w:r>
          </w:p>
        </w:tc>
        <w:tc>
          <w:tcPr>
            <w:tcW w:w="864" w:type="dxa"/>
            <w:tcBorders>
              <w:top w:val="nil"/>
              <w:left w:val="nil"/>
              <w:bottom w:val="nil"/>
              <w:right w:val="nil"/>
            </w:tcBorders>
            <w:shd w:val="clear" w:color="auto" w:fill="auto"/>
            <w:noWrap/>
            <w:vAlign w:val="bottom"/>
            <w:hideMark/>
          </w:tcPr>
          <w:p w14:paraId="6AE1FEC1" w14:textId="77777777" w:rsidR="008D0F73" w:rsidRDefault="008D0F73">
            <w:pPr>
              <w:jc w:val="right"/>
              <w:rPr>
                <w:color w:val="000000"/>
                <w:sz w:val="20"/>
                <w:szCs w:val="20"/>
              </w:rPr>
            </w:pPr>
            <w:r>
              <w:rPr>
                <w:color w:val="000000"/>
                <w:sz w:val="20"/>
                <w:szCs w:val="20"/>
              </w:rPr>
              <w:t>0.000</w:t>
            </w:r>
          </w:p>
        </w:tc>
      </w:tr>
      <w:tr w:rsidR="008D0F73" w14:paraId="7137FCF5" w14:textId="77777777" w:rsidTr="008D0F73">
        <w:trPr>
          <w:trHeight w:val="320"/>
        </w:trPr>
        <w:tc>
          <w:tcPr>
            <w:tcW w:w="1152" w:type="dxa"/>
            <w:tcBorders>
              <w:top w:val="nil"/>
              <w:left w:val="nil"/>
              <w:bottom w:val="nil"/>
              <w:right w:val="nil"/>
            </w:tcBorders>
            <w:shd w:val="clear" w:color="auto" w:fill="auto"/>
            <w:noWrap/>
            <w:vAlign w:val="bottom"/>
            <w:hideMark/>
          </w:tcPr>
          <w:p w14:paraId="750DA4BB"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7757D5E" w14:textId="77777777" w:rsidR="008D0F73" w:rsidRDefault="008D0F7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157341F" w14:textId="77777777" w:rsidR="008D0F73" w:rsidRDefault="008D0F73">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69777335" w14:textId="77777777" w:rsidR="008D0F73" w:rsidRDefault="008D0F73">
            <w:pPr>
              <w:jc w:val="right"/>
              <w:rPr>
                <w:color w:val="000000"/>
                <w:sz w:val="20"/>
                <w:szCs w:val="20"/>
              </w:rPr>
            </w:pPr>
            <w:r>
              <w:rPr>
                <w:color w:val="000000"/>
                <w:sz w:val="20"/>
                <w:szCs w:val="20"/>
              </w:rPr>
              <w:t>0.454</w:t>
            </w:r>
          </w:p>
        </w:tc>
        <w:tc>
          <w:tcPr>
            <w:tcW w:w="864" w:type="dxa"/>
            <w:tcBorders>
              <w:top w:val="nil"/>
              <w:left w:val="nil"/>
              <w:bottom w:val="nil"/>
              <w:right w:val="nil"/>
            </w:tcBorders>
            <w:shd w:val="clear" w:color="auto" w:fill="auto"/>
            <w:noWrap/>
            <w:vAlign w:val="bottom"/>
            <w:hideMark/>
          </w:tcPr>
          <w:p w14:paraId="268BB250"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8447CC8" w14:textId="77777777" w:rsidR="008D0F73" w:rsidRDefault="008D0F73">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5673D6B4" w14:textId="77777777" w:rsidR="008D0F73" w:rsidRDefault="008D0F73">
            <w:pPr>
              <w:jc w:val="right"/>
              <w:rPr>
                <w:color w:val="000000"/>
                <w:sz w:val="20"/>
                <w:szCs w:val="20"/>
              </w:rPr>
            </w:pPr>
            <w:r>
              <w:rPr>
                <w:color w:val="000000"/>
                <w:sz w:val="20"/>
                <w:szCs w:val="20"/>
              </w:rPr>
              <w:t>0.851</w:t>
            </w:r>
          </w:p>
        </w:tc>
        <w:tc>
          <w:tcPr>
            <w:tcW w:w="864" w:type="dxa"/>
            <w:tcBorders>
              <w:top w:val="nil"/>
              <w:left w:val="nil"/>
              <w:bottom w:val="nil"/>
              <w:right w:val="nil"/>
            </w:tcBorders>
            <w:shd w:val="clear" w:color="auto" w:fill="auto"/>
            <w:noWrap/>
            <w:vAlign w:val="bottom"/>
            <w:hideMark/>
          </w:tcPr>
          <w:p w14:paraId="35008D42" w14:textId="77777777" w:rsidR="008D0F73" w:rsidRDefault="008D0F73">
            <w:pPr>
              <w:jc w:val="right"/>
              <w:rPr>
                <w:color w:val="000000"/>
                <w:sz w:val="20"/>
                <w:szCs w:val="20"/>
              </w:rPr>
            </w:pPr>
            <w:r>
              <w:rPr>
                <w:color w:val="000000"/>
                <w:sz w:val="20"/>
                <w:szCs w:val="20"/>
              </w:rPr>
              <w:t>0.000</w:t>
            </w:r>
          </w:p>
        </w:tc>
      </w:tr>
      <w:tr w:rsidR="008D0F73" w14:paraId="6E206FB5" w14:textId="77777777" w:rsidTr="008D0F73">
        <w:trPr>
          <w:trHeight w:val="320"/>
        </w:trPr>
        <w:tc>
          <w:tcPr>
            <w:tcW w:w="1152" w:type="dxa"/>
            <w:tcBorders>
              <w:top w:val="nil"/>
              <w:left w:val="nil"/>
              <w:bottom w:val="nil"/>
              <w:right w:val="nil"/>
            </w:tcBorders>
            <w:shd w:val="clear" w:color="auto" w:fill="auto"/>
            <w:noWrap/>
            <w:vAlign w:val="bottom"/>
            <w:hideMark/>
          </w:tcPr>
          <w:p w14:paraId="0BF036FF"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97A8F02" w14:textId="77777777" w:rsidR="008D0F73" w:rsidRDefault="008D0F7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DCD0650" w14:textId="77777777" w:rsidR="008D0F73" w:rsidRDefault="008D0F73">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0D77E296" w14:textId="77777777" w:rsidR="008D0F73" w:rsidRDefault="008D0F73">
            <w:pPr>
              <w:jc w:val="right"/>
              <w:rPr>
                <w:color w:val="000000"/>
                <w:sz w:val="20"/>
                <w:szCs w:val="20"/>
              </w:rPr>
            </w:pPr>
            <w:r>
              <w:rPr>
                <w:color w:val="000000"/>
                <w:sz w:val="20"/>
                <w:szCs w:val="20"/>
              </w:rPr>
              <w:t>0.454</w:t>
            </w:r>
          </w:p>
        </w:tc>
        <w:tc>
          <w:tcPr>
            <w:tcW w:w="864" w:type="dxa"/>
            <w:tcBorders>
              <w:top w:val="nil"/>
              <w:left w:val="nil"/>
              <w:bottom w:val="nil"/>
              <w:right w:val="nil"/>
            </w:tcBorders>
            <w:shd w:val="clear" w:color="auto" w:fill="auto"/>
            <w:noWrap/>
            <w:vAlign w:val="bottom"/>
            <w:hideMark/>
          </w:tcPr>
          <w:p w14:paraId="4B3C5ED2"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60E7F52" w14:textId="77777777" w:rsidR="008D0F73" w:rsidRDefault="008D0F7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5374F3E" w14:textId="77777777" w:rsidR="008D0F73" w:rsidRDefault="008D0F73">
            <w:pPr>
              <w:jc w:val="right"/>
              <w:rPr>
                <w:color w:val="000000"/>
                <w:sz w:val="20"/>
                <w:szCs w:val="20"/>
              </w:rPr>
            </w:pPr>
            <w:r>
              <w:rPr>
                <w:color w:val="000000"/>
                <w:sz w:val="20"/>
                <w:szCs w:val="20"/>
              </w:rPr>
              <w:t>0.945</w:t>
            </w:r>
          </w:p>
        </w:tc>
        <w:tc>
          <w:tcPr>
            <w:tcW w:w="864" w:type="dxa"/>
            <w:tcBorders>
              <w:top w:val="nil"/>
              <w:left w:val="nil"/>
              <w:bottom w:val="nil"/>
              <w:right w:val="nil"/>
            </w:tcBorders>
            <w:shd w:val="clear" w:color="auto" w:fill="auto"/>
            <w:noWrap/>
            <w:vAlign w:val="bottom"/>
            <w:hideMark/>
          </w:tcPr>
          <w:p w14:paraId="45E7F14A" w14:textId="77777777" w:rsidR="008D0F73" w:rsidRDefault="008D0F73">
            <w:pPr>
              <w:jc w:val="right"/>
              <w:rPr>
                <w:color w:val="000000"/>
                <w:sz w:val="20"/>
                <w:szCs w:val="20"/>
              </w:rPr>
            </w:pPr>
            <w:r>
              <w:rPr>
                <w:color w:val="000000"/>
                <w:sz w:val="20"/>
                <w:szCs w:val="20"/>
              </w:rPr>
              <w:t>0.000</w:t>
            </w:r>
          </w:p>
        </w:tc>
      </w:tr>
      <w:tr w:rsidR="008D0F73" w14:paraId="35EAA02F" w14:textId="77777777" w:rsidTr="008D0F73">
        <w:trPr>
          <w:trHeight w:val="320"/>
        </w:trPr>
        <w:tc>
          <w:tcPr>
            <w:tcW w:w="1152" w:type="dxa"/>
            <w:tcBorders>
              <w:top w:val="nil"/>
              <w:left w:val="nil"/>
              <w:bottom w:val="nil"/>
              <w:right w:val="nil"/>
            </w:tcBorders>
            <w:shd w:val="clear" w:color="auto" w:fill="auto"/>
            <w:noWrap/>
            <w:vAlign w:val="bottom"/>
            <w:hideMark/>
          </w:tcPr>
          <w:p w14:paraId="6D6A6C0F"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6C07EA7" w14:textId="77777777" w:rsidR="008D0F73" w:rsidRDefault="008D0F7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1C7823E" w14:textId="77777777" w:rsidR="008D0F73" w:rsidRDefault="008D0F7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DDC597F" w14:textId="77777777" w:rsidR="008D0F73" w:rsidRDefault="008D0F73">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29620FDD"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2076A00" w14:textId="77777777" w:rsidR="008D0F73" w:rsidRDefault="008D0F73">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617A5E3C" w14:textId="77777777" w:rsidR="008D0F73" w:rsidRDefault="008D0F73">
            <w:pPr>
              <w:jc w:val="right"/>
              <w:rPr>
                <w:color w:val="000000"/>
                <w:sz w:val="20"/>
                <w:szCs w:val="20"/>
              </w:rPr>
            </w:pPr>
            <w:r>
              <w:rPr>
                <w:color w:val="000000"/>
                <w:sz w:val="20"/>
                <w:szCs w:val="20"/>
              </w:rPr>
              <w:t>0.221</w:t>
            </w:r>
          </w:p>
        </w:tc>
        <w:tc>
          <w:tcPr>
            <w:tcW w:w="864" w:type="dxa"/>
            <w:tcBorders>
              <w:top w:val="nil"/>
              <w:left w:val="nil"/>
              <w:bottom w:val="nil"/>
              <w:right w:val="nil"/>
            </w:tcBorders>
            <w:shd w:val="clear" w:color="auto" w:fill="auto"/>
            <w:noWrap/>
            <w:vAlign w:val="bottom"/>
            <w:hideMark/>
          </w:tcPr>
          <w:p w14:paraId="2E7E14A4" w14:textId="77777777" w:rsidR="008D0F73" w:rsidRDefault="008D0F73">
            <w:pPr>
              <w:jc w:val="right"/>
              <w:rPr>
                <w:color w:val="000000"/>
                <w:sz w:val="20"/>
                <w:szCs w:val="20"/>
              </w:rPr>
            </w:pPr>
            <w:r>
              <w:rPr>
                <w:color w:val="000000"/>
                <w:sz w:val="20"/>
                <w:szCs w:val="20"/>
              </w:rPr>
              <w:t>0.001</w:t>
            </w:r>
          </w:p>
        </w:tc>
      </w:tr>
      <w:tr w:rsidR="008D0F73" w14:paraId="26738852" w14:textId="77777777" w:rsidTr="008D0F73">
        <w:trPr>
          <w:trHeight w:val="320"/>
        </w:trPr>
        <w:tc>
          <w:tcPr>
            <w:tcW w:w="1152" w:type="dxa"/>
            <w:tcBorders>
              <w:top w:val="nil"/>
              <w:left w:val="nil"/>
              <w:bottom w:val="nil"/>
              <w:right w:val="nil"/>
            </w:tcBorders>
            <w:shd w:val="clear" w:color="auto" w:fill="auto"/>
            <w:noWrap/>
            <w:vAlign w:val="bottom"/>
            <w:hideMark/>
          </w:tcPr>
          <w:p w14:paraId="0510054B"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A7B608" w14:textId="77777777" w:rsidR="008D0F73" w:rsidRDefault="008D0F7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6FF3C0F" w14:textId="77777777" w:rsidR="008D0F73" w:rsidRDefault="008D0F7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8AFB530" w14:textId="77777777" w:rsidR="008D0F73" w:rsidRDefault="008D0F73">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57C6AC95"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BD7A82B" w14:textId="77777777" w:rsidR="008D0F73" w:rsidRDefault="008D0F73">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1B5B63DF" w14:textId="77777777" w:rsidR="008D0F73" w:rsidRDefault="008D0F73">
            <w:pPr>
              <w:jc w:val="right"/>
              <w:rPr>
                <w:color w:val="000000"/>
                <w:sz w:val="20"/>
                <w:szCs w:val="20"/>
              </w:rPr>
            </w:pPr>
            <w:r>
              <w:rPr>
                <w:color w:val="000000"/>
                <w:sz w:val="20"/>
                <w:szCs w:val="20"/>
              </w:rPr>
              <w:t>0.221</w:t>
            </w:r>
          </w:p>
        </w:tc>
        <w:tc>
          <w:tcPr>
            <w:tcW w:w="864" w:type="dxa"/>
            <w:tcBorders>
              <w:top w:val="nil"/>
              <w:left w:val="nil"/>
              <w:bottom w:val="nil"/>
              <w:right w:val="nil"/>
            </w:tcBorders>
            <w:shd w:val="clear" w:color="auto" w:fill="auto"/>
            <w:noWrap/>
            <w:vAlign w:val="bottom"/>
            <w:hideMark/>
          </w:tcPr>
          <w:p w14:paraId="1C132B5E" w14:textId="77777777" w:rsidR="008D0F73" w:rsidRDefault="008D0F73">
            <w:pPr>
              <w:jc w:val="right"/>
              <w:rPr>
                <w:color w:val="000000"/>
                <w:sz w:val="20"/>
                <w:szCs w:val="20"/>
              </w:rPr>
            </w:pPr>
            <w:r>
              <w:rPr>
                <w:color w:val="000000"/>
                <w:sz w:val="20"/>
                <w:szCs w:val="20"/>
              </w:rPr>
              <w:t>0.002</w:t>
            </w:r>
          </w:p>
        </w:tc>
      </w:tr>
      <w:tr w:rsidR="008D0F73" w14:paraId="5EEAD695" w14:textId="77777777" w:rsidTr="008D0F73">
        <w:trPr>
          <w:trHeight w:val="320"/>
        </w:trPr>
        <w:tc>
          <w:tcPr>
            <w:tcW w:w="1152" w:type="dxa"/>
            <w:tcBorders>
              <w:top w:val="nil"/>
              <w:left w:val="nil"/>
              <w:bottom w:val="nil"/>
              <w:right w:val="nil"/>
            </w:tcBorders>
            <w:shd w:val="clear" w:color="auto" w:fill="auto"/>
            <w:noWrap/>
            <w:vAlign w:val="bottom"/>
            <w:hideMark/>
          </w:tcPr>
          <w:p w14:paraId="39417D18" w14:textId="77777777" w:rsidR="008D0F73" w:rsidRDefault="008D0F7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68CA40" w14:textId="77777777" w:rsidR="008D0F73" w:rsidRDefault="008D0F7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F23CC7E" w14:textId="77777777" w:rsidR="008D0F73" w:rsidRDefault="008D0F73">
            <w:pPr>
              <w:jc w:val="right"/>
              <w:rPr>
                <w:b/>
                <w:bCs/>
                <w:color w:val="000000"/>
                <w:sz w:val="20"/>
                <w:szCs w:val="20"/>
              </w:rPr>
            </w:pPr>
            <w:r>
              <w:rPr>
                <w:b/>
                <w:bCs/>
                <w:color w:val="000000"/>
                <w:sz w:val="20"/>
                <w:szCs w:val="20"/>
              </w:rPr>
              <w:t>0.050</w:t>
            </w:r>
          </w:p>
        </w:tc>
        <w:tc>
          <w:tcPr>
            <w:tcW w:w="864" w:type="dxa"/>
            <w:tcBorders>
              <w:top w:val="nil"/>
              <w:left w:val="nil"/>
              <w:bottom w:val="nil"/>
              <w:right w:val="nil"/>
            </w:tcBorders>
            <w:shd w:val="clear" w:color="auto" w:fill="auto"/>
            <w:noWrap/>
            <w:vAlign w:val="bottom"/>
            <w:hideMark/>
          </w:tcPr>
          <w:p w14:paraId="4B68F668" w14:textId="77777777" w:rsidR="008D0F73" w:rsidRDefault="008D0F73">
            <w:pPr>
              <w:jc w:val="right"/>
              <w:rPr>
                <w:b/>
                <w:bCs/>
                <w:color w:val="000000"/>
                <w:sz w:val="20"/>
                <w:szCs w:val="20"/>
              </w:rPr>
            </w:pPr>
            <w:r>
              <w:rPr>
                <w:b/>
                <w:bCs/>
                <w:color w:val="000000"/>
                <w:sz w:val="20"/>
                <w:szCs w:val="20"/>
              </w:rPr>
              <w:t>0.044</w:t>
            </w:r>
          </w:p>
        </w:tc>
        <w:tc>
          <w:tcPr>
            <w:tcW w:w="864" w:type="dxa"/>
            <w:tcBorders>
              <w:top w:val="nil"/>
              <w:left w:val="nil"/>
              <w:bottom w:val="nil"/>
              <w:right w:val="nil"/>
            </w:tcBorders>
            <w:shd w:val="clear" w:color="auto" w:fill="auto"/>
            <w:noWrap/>
            <w:vAlign w:val="bottom"/>
            <w:hideMark/>
          </w:tcPr>
          <w:p w14:paraId="14C1DEB5" w14:textId="77777777" w:rsidR="008D0F73" w:rsidRDefault="008D0F73">
            <w:pPr>
              <w:jc w:val="right"/>
              <w:rPr>
                <w:b/>
                <w:bCs/>
                <w:color w:val="000000"/>
                <w:sz w:val="20"/>
                <w:szCs w:val="20"/>
              </w:rPr>
            </w:pPr>
            <w:r>
              <w:rPr>
                <w:b/>
                <w:bCs/>
                <w:color w:val="000000"/>
                <w:sz w:val="20"/>
                <w:szCs w:val="20"/>
              </w:rPr>
              <w:t>0.003</w:t>
            </w:r>
          </w:p>
        </w:tc>
        <w:tc>
          <w:tcPr>
            <w:tcW w:w="864" w:type="dxa"/>
            <w:tcBorders>
              <w:top w:val="nil"/>
              <w:left w:val="nil"/>
              <w:bottom w:val="nil"/>
              <w:right w:val="nil"/>
            </w:tcBorders>
            <w:shd w:val="clear" w:color="auto" w:fill="auto"/>
            <w:noWrap/>
            <w:vAlign w:val="bottom"/>
            <w:hideMark/>
          </w:tcPr>
          <w:p w14:paraId="6C8980F2" w14:textId="77777777" w:rsidR="008D0F73" w:rsidRDefault="008D0F73">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7224B0C8" w14:textId="77777777" w:rsidR="008D0F73" w:rsidRDefault="008D0F73">
            <w:pPr>
              <w:jc w:val="right"/>
              <w:rPr>
                <w:color w:val="000000"/>
                <w:sz w:val="20"/>
                <w:szCs w:val="20"/>
              </w:rPr>
            </w:pPr>
            <w:r>
              <w:rPr>
                <w:color w:val="000000"/>
                <w:sz w:val="20"/>
                <w:szCs w:val="20"/>
              </w:rPr>
              <w:t>0.851</w:t>
            </w:r>
          </w:p>
        </w:tc>
        <w:tc>
          <w:tcPr>
            <w:tcW w:w="864" w:type="dxa"/>
            <w:tcBorders>
              <w:top w:val="nil"/>
              <w:left w:val="nil"/>
              <w:bottom w:val="nil"/>
              <w:right w:val="nil"/>
            </w:tcBorders>
            <w:shd w:val="clear" w:color="auto" w:fill="auto"/>
            <w:noWrap/>
            <w:vAlign w:val="bottom"/>
            <w:hideMark/>
          </w:tcPr>
          <w:p w14:paraId="049EE604" w14:textId="77777777" w:rsidR="008D0F73" w:rsidRDefault="008D0F73">
            <w:pPr>
              <w:jc w:val="right"/>
              <w:rPr>
                <w:color w:val="000000"/>
                <w:sz w:val="20"/>
                <w:szCs w:val="20"/>
              </w:rPr>
            </w:pPr>
            <w:r>
              <w:rPr>
                <w:color w:val="000000"/>
                <w:sz w:val="20"/>
                <w:szCs w:val="20"/>
              </w:rPr>
              <w:t>0.000</w:t>
            </w:r>
          </w:p>
        </w:tc>
      </w:tr>
      <w:tr w:rsidR="008D0F73" w14:paraId="6CCAF777"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236F5A2" w14:textId="77777777" w:rsidR="008D0F73" w:rsidRDefault="008D0F73">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417A2A15" w14:textId="77777777" w:rsidR="008D0F73" w:rsidRDefault="008D0F73">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06AD4691" w14:textId="77777777" w:rsidR="008D0F73" w:rsidRDefault="008D0F73">
            <w:pPr>
              <w:jc w:val="right"/>
              <w:rPr>
                <w:color w:val="000000"/>
                <w:sz w:val="20"/>
                <w:szCs w:val="20"/>
              </w:rPr>
            </w:pPr>
            <w:r>
              <w:rPr>
                <w:color w:val="000000"/>
                <w:sz w:val="20"/>
                <w:szCs w:val="20"/>
              </w:rPr>
              <w:t>-0.014</w:t>
            </w:r>
          </w:p>
        </w:tc>
        <w:tc>
          <w:tcPr>
            <w:tcW w:w="864" w:type="dxa"/>
            <w:tcBorders>
              <w:top w:val="nil"/>
              <w:left w:val="nil"/>
              <w:bottom w:val="single" w:sz="12" w:space="0" w:color="auto"/>
              <w:right w:val="nil"/>
            </w:tcBorders>
            <w:shd w:val="clear" w:color="auto" w:fill="auto"/>
            <w:noWrap/>
            <w:vAlign w:val="bottom"/>
            <w:hideMark/>
          </w:tcPr>
          <w:p w14:paraId="4078E179" w14:textId="77777777" w:rsidR="008D0F73" w:rsidRDefault="008D0F73">
            <w:pPr>
              <w:jc w:val="right"/>
              <w:rPr>
                <w:color w:val="000000"/>
                <w:sz w:val="20"/>
                <w:szCs w:val="20"/>
              </w:rPr>
            </w:pPr>
            <w:r>
              <w:rPr>
                <w:color w:val="000000"/>
                <w:sz w:val="20"/>
                <w:szCs w:val="20"/>
              </w:rPr>
              <w:t>0.781</w:t>
            </w:r>
          </w:p>
        </w:tc>
        <w:tc>
          <w:tcPr>
            <w:tcW w:w="864" w:type="dxa"/>
            <w:tcBorders>
              <w:top w:val="nil"/>
              <w:left w:val="nil"/>
              <w:bottom w:val="single" w:sz="12" w:space="0" w:color="auto"/>
              <w:right w:val="nil"/>
            </w:tcBorders>
            <w:shd w:val="clear" w:color="auto" w:fill="auto"/>
            <w:noWrap/>
            <w:vAlign w:val="bottom"/>
            <w:hideMark/>
          </w:tcPr>
          <w:p w14:paraId="786EACA8" w14:textId="77777777" w:rsidR="008D0F73" w:rsidRDefault="008D0F73">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48E290BB" w14:textId="77777777" w:rsidR="008D0F73" w:rsidRDefault="008D0F73">
            <w:pPr>
              <w:jc w:val="right"/>
              <w:rPr>
                <w:color w:val="000000"/>
                <w:sz w:val="20"/>
                <w:szCs w:val="20"/>
              </w:rPr>
            </w:pPr>
            <w:r>
              <w:rPr>
                <w:color w:val="000000"/>
                <w:sz w:val="20"/>
                <w:szCs w:val="20"/>
              </w:rPr>
              <w:t>0.003</w:t>
            </w:r>
          </w:p>
        </w:tc>
        <w:tc>
          <w:tcPr>
            <w:tcW w:w="864" w:type="dxa"/>
            <w:tcBorders>
              <w:top w:val="nil"/>
              <w:left w:val="nil"/>
              <w:bottom w:val="single" w:sz="12" w:space="0" w:color="auto"/>
              <w:right w:val="nil"/>
            </w:tcBorders>
            <w:shd w:val="clear" w:color="auto" w:fill="auto"/>
            <w:noWrap/>
            <w:vAlign w:val="bottom"/>
            <w:hideMark/>
          </w:tcPr>
          <w:p w14:paraId="36D73EC2" w14:textId="77777777" w:rsidR="008D0F73" w:rsidRDefault="008D0F73">
            <w:pPr>
              <w:jc w:val="right"/>
              <w:rPr>
                <w:color w:val="000000"/>
                <w:sz w:val="20"/>
                <w:szCs w:val="20"/>
              </w:rPr>
            </w:pPr>
            <w:r>
              <w:rPr>
                <w:color w:val="000000"/>
                <w:sz w:val="20"/>
                <w:szCs w:val="20"/>
              </w:rPr>
              <w:t>0.945</w:t>
            </w:r>
          </w:p>
        </w:tc>
        <w:tc>
          <w:tcPr>
            <w:tcW w:w="864" w:type="dxa"/>
            <w:tcBorders>
              <w:top w:val="nil"/>
              <w:left w:val="nil"/>
              <w:bottom w:val="single" w:sz="12" w:space="0" w:color="auto"/>
              <w:right w:val="nil"/>
            </w:tcBorders>
            <w:shd w:val="clear" w:color="auto" w:fill="auto"/>
            <w:noWrap/>
            <w:vAlign w:val="bottom"/>
            <w:hideMark/>
          </w:tcPr>
          <w:p w14:paraId="7A8F76BC" w14:textId="77777777" w:rsidR="008D0F73" w:rsidRDefault="008D0F73">
            <w:pPr>
              <w:jc w:val="right"/>
              <w:rPr>
                <w:color w:val="000000"/>
                <w:sz w:val="20"/>
                <w:szCs w:val="20"/>
              </w:rPr>
            </w:pPr>
            <w:r>
              <w:rPr>
                <w:color w:val="000000"/>
                <w:sz w:val="20"/>
                <w:szCs w:val="20"/>
              </w:rPr>
              <w:t>0.000</w:t>
            </w:r>
          </w:p>
        </w:tc>
      </w:tr>
      <w:tr w:rsidR="008D0F73" w14:paraId="7E562737"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41848319" w14:textId="77777777" w:rsidR="008D0F73" w:rsidRDefault="008D0F73">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13A61B18" w14:textId="77777777" w:rsidR="008D0F73" w:rsidRDefault="008D0F7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66A265B" w14:textId="77777777" w:rsidR="008D0F73" w:rsidRDefault="008D0F7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14E6B92" w14:textId="77777777" w:rsidR="008D0F73" w:rsidRDefault="008D0F7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88172D8" w14:textId="77777777" w:rsidR="008D0F73" w:rsidRDefault="008D0F7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91F81C9" w14:textId="77777777" w:rsidR="008D0F73" w:rsidRDefault="008D0F7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8C2FA7F" w14:textId="77777777" w:rsidR="008D0F73" w:rsidRDefault="008D0F7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B10CB5A" w14:textId="77777777" w:rsidR="008D0F73" w:rsidRDefault="008D0F73">
            <w:pPr>
              <w:rPr>
                <w:sz w:val="20"/>
                <w:szCs w:val="20"/>
              </w:rPr>
            </w:pPr>
          </w:p>
        </w:tc>
      </w:tr>
    </w:tbl>
    <w:p w14:paraId="7C86D8E6" w14:textId="1369ADF4" w:rsidR="002D77C4" w:rsidRDefault="002D77C4" w:rsidP="00BC5AB7">
      <w:pPr>
        <w:rPr>
          <w:rFonts w:ascii="Batang" w:eastAsia="Batang" w:hAnsi="Batang" w:cs="Batang"/>
          <w:color w:val="000000"/>
        </w:rPr>
      </w:pPr>
    </w:p>
    <w:p w14:paraId="0132DB02" w14:textId="4EA3ADB5" w:rsidR="0019423C" w:rsidRPr="004C58D5" w:rsidRDefault="002D77C4" w:rsidP="0019423C">
      <w:pPr>
        <w:pStyle w:val="Heading1"/>
        <w:rPr>
          <w:rFonts w:ascii="Times New Roman" w:hAnsi="Times New Roman" w:cs="Times New Roman"/>
          <w:color w:val="000000" w:themeColor="text1"/>
          <w:sz w:val="24"/>
          <w:szCs w:val="24"/>
        </w:rPr>
      </w:pPr>
      <w:r>
        <w:rPr>
          <w:rFonts w:ascii="Batang" w:eastAsia="Batang" w:hAnsi="Batang" w:cs="Batang"/>
          <w:color w:val="000000"/>
        </w:rPr>
        <w:br w:type="page"/>
      </w:r>
      <w:bookmarkStart w:id="66" w:name="_Toc155817733"/>
      <w:r w:rsidR="0019423C" w:rsidRPr="0019423C">
        <w:rPr>
          <w:rFonts w:ascii="Times New Roman" w:hAnsi="Times New Roman" w:cs="Times New Roman"/>
          <w:b/>
          <w:bCs/>
          <w:color w:val="000000" w:themeColor="text1"/>
          <w:sz w:val="24"/>
          <w:szCs w:val="24"/>
        </w:rPr>
        <w:lastRenderedPageBreak/>
        <w:t>Table 27c.</w:t>
      </w:r>
      <w:r w:rsidR="0019423C">
        <w:rPr>
          <w:rFonts w:ascii="Times New Roman" w:hAnsi="Times New Roman" w:cs="Times New Roman"/>
          <w:color w:val="000000" w:themeColor="text1"/>
          <w:sz w:val="24"/>
          <w:szCs w:val="24"/>
        </w:rPr>
        <w:t xml:space="preserve"> Results examining the relationship between Shen-268 network small world omega and neighborhood SES deprivation obtained from bifactor modeling and neighborhood median income during rest</w:t>
      </w:r>
      <w:bookmarkEnd w:id="66"/>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19423C" w14:paraId="4618E698"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17088564" w14:textId="77777777" w:rsidR="0019423C" w:rsidRDefault="0019423C" w:rsidP="005A3B4D">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3CF20081" w14:textId="77777777" w:rsidR="0019423C" w:rsidRDefault="0019423C" w:rsidP="005A3B4D">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2B0A3C87" w14:textId="77777777" w:rsidR="0019423C" w:rsidRDefault="0019423C" w:rsidP="005A3B4D">
            <w:pPr>
              <w:rPr>
                <w:color w:val="000000"/>
              </w:rPr>
            </w:pPr>
          </w:p>
        </w:tc>
        <w:tc>
          <w:tcPr>
            <w:tcW w:w="864" w:type="dxa"/>
            <w:tcBorders>
              <w:top w:val="nil"/>
              <w:left w:val="nil"/>
              <w:bottom w:val="single" w:sz="12" w:space="0" w:color="auto"/>
              <w:right w:val="nil"/>
            </w:tcBorders>
            <w:shd w:val="clear" w:color="auto" w:fill="auto"/>
            <w:noWrap/>
            <w:vAlign w:val="bottom"/>
            <w:hideMark/>
          </w:tcPr>
          <w:p w14:paraId="42C0D92A" w14:textId="77777777" w:rsidR="0019423C" w:rsidRDefault="0019423C"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B57FD17" w14:textId="77777777" w:rsidR="0019423C" w:rsidRDefault="0019423C"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9955D94" w14:textId="77777777" w:rsidR="0019423C" w:rsidRDefault="0019423C"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233EB47" w14:textId="77777777" w:rsidR="0019423C" w:rsidRDefault="0019423C"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CD5EE04" w14:textId="77777777" w:rsidR="0019423C" w:rsidRDefault="0019423C" w:rsidP="005A3B4D">
            <w:pPr>
              <w:rPr>
                <w:sz w:val="20"/>
                <w:szCs w:val="20"/>
              </w:rPr>
            </w:pPr>
          </w:p>
        </w:tc>
      </w:tr>
      <w:tr w:rsidR="0019423C" w14:paraId="7B579ACE" w14:textId="77777777" w:rsidTr="005A3B4D">
        <w:trPr>
          <w:trHeight w:val="340"/>
        </w:trPr>
        <w:tc>
          <w:tcPr>
            <w:tcW w:w="1152" w:type="dxa"/>
            <w:tcBorders>
              <w:top w:val="single" w:sz="12" w:space="0" w:color="auto"/>
              <w:left w:val="nil"/>
              <w:bottom w:val="nil"/>
              <w:right w:val="nil"/>
            </w:tcBorders>
            <w:shd w:val="clear" w:color="auto" w:fill="auto"/>
            <w:noWrap/>
            <w:vAlign w:val="bottom"/>
            <w:hideMark/>
          </w:tcPr>
          <w:p w14:paraId="44533893" w14:textId="77777777" w:rsidR="0019423C" w:rsidRDefault="0019423C" w:rsidP="005A3B4D">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47AE33B2" w14:textId="77777777" w:rsidR="0019423C" w:rsidRDefault="0019423C" w:rsidP="005A3B4D">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01021AC5" w14:textId="77777777" w:rsidR="0019423C" w:rsidRDefault="0019423C" w:rsidP="005A3B4D">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48C9A8A5" w14:textId="77777777" w:rsidR="0019423C" w:rsidRDefault="0019423C" w:rsidP="005A3B4D">
            <w:pPr>
              <w:jc w:val="center"/>
              <w:rPr>
                <w:color w:val="000000"/>
                <w:sz w:val="20"/>
                <w:szCs w:val="20"/>
              </w:rPr>
            </w:pPr>
            <w:r>
              <w:rPr>
                <w:color w:val="000000"/>
                <w:sz w:val="20"/>
                <w:szCs w:val="20"/>
              </w:rPr>
              <w:t>Neighborhood Median Income</w:t>
            </w:r>
          </w:p>
        </w:tc>
      </w:tr>
      <w:tr w:rsidR="0019423C" w14:paraId="4A8C3438" w14:textId="77777777" w:rsidTr="005A3B4D">
        <w:trPr>
          <w:trHeight w:val="360"/>
        </w:trPr>
        <w:tc>
          <w:tcPr>
            <w:tcW w:w="1152" w:type="dxa"/>
            <w:tcBorders>
              <w:top w:val="nil"/>
              <w:left w:val="nil"/>
              <w:bottom w:val="single" w:sz="12" w:space="0" w:color="auto"/>
              <w:right w:val="nil"/>
            </w:tcBorders>
            <w:shd w:val="clear" w:color="auto" w:fill="auto"/>
            <w:noWrap/>
            <w:vAlign w:val="bottom"/>
            <w:hideMark/>
          </w:tcPr>
          <w:p w14:paraId="6ADAC679" w14:textId="77777777" w:rsidR="0019423C" w:rsidRDefault="0019423C" w:rsidP="005A3B4D">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65FCF0B0" w14:textId="77777777" w:rsidR="0019423C" w:rsidRDefault="0019423C" w:rsidP="005A3B4D">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33AA7CF6" w14:textId="77777777" w:rsidR="0019423C" w:rsidRDefault="0019423C"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2E88A7DC" w14:textId="77777777" w:rsidR="0019423C" w:rsidRDefault="0019423C"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4B9C6921" w14:textId="77777777" w:rsidR="0019423C" w:rsidRDefault="0019423C" w:rsidP="005A3B4D">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4A79F865" w14:textId="77777777" w:rsidR="0019423C" w:rsidRDefault="0019423C"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443B19A0" w14:textId="77777777" w:rsidR="0019423C" w:rsidRDefault="0019423C"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2A52EE49" w14:textId="77777777" w:rsidR="0019423C" w:rsidRDefault="0019423C" w:rsidP="005A3B4D">
            <w:pPr>
              <w:jc w:val="center"/>
              <w:rPr>
                <w:i/>
                <w:iCs/>
                <w:color w:val="000000"/>
                <w:sz w:val="20"/>
                <w:szCs w:val="20"/>
              </w:rPr>
            </w:pPr>
            <w:r>
              <w:rPr>
                <w:i/>
                <w:iCs/>
                <w:color w:val="000000"/>
                <w:sz w:val="20"/>
                <w:szCs w:val="20"/>
              </w:rPr>
              <w:t>R2</w:t>
            </w:r>
          </w:p>
        </w:tc>
      </w:tr>
      <w:tr w:rsidR="0019423C" w14:paraId="7227FFA4"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7FBC300A" w14:textId="77777777" w:rsidR="0019423C" w:rsidRDefault="0019423C" w:rsidP="005A3B4D">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718BFED1" w14:textId="77777777" w:rsidR="0019423C" w:rsidRDefault="0019423C" w:rsidP="005A3B4D">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22BB9CA0" w14:textId="77777777" w:rsidR="0019423C" w:rsidRDefault="0019423C" w:rsidP="005A3B4D">
            <w:pPr>
              <w:jc w:val="right"/>
              <w:rPr>
                <w:color w:val="000000"/>
                <w:sz w:val="20"/>
                <w:szCs w:val="20"/>
              </w:rPr>
            </w:pPr>
            <w:r>
              <w:rPr>
                <w:color w:val="000000"/>
                <w:sz w:val="20"/>
                <w:szCs w:val="20"/>
              </w:rPr>
              <w:t>-0.011</w:t>
            </w:r>
          </w:p>
        </w:tc>
        <w:tc>
          <w:tcPr>
            <w:tcW w:w="864" w:type="dxa"/>
            <w:tcBorders>
              <w:top w:val="single" w:sz="12" w:space="0" w:color="auto"/>
              <w:left w:val="nil"/>
              <w:bottom w:val="nil"/>
              <w:right w:val="nil"/>
            </w:tcBorders>
            <w:shd w:val="clear" w:color="auto" w:fill="auto"/>
            <w:noWrap/>
            <w:vAlign w:val="bottom"/>
            <w:hideMark/>
          </w:tcPr>
          <w:p w14:paraId="127473FB" w14:textId="77777777" w:rsidR="0019423C" w:rsidRDefault="0019423C" w:rsidP="005A3B4D">
            <w:pPr>
              <w:jc w:val="right"/>
              <w:rPr>
                <w:color w:val="000000"/>
                <w:sz w:val="20"/>
                <w:szCs w:val="20"/>
              </w:rPr>
            </w:pPr>
            <w:r>
              <w:rPr>
                <w:color w:val="000000"/>
                <w:sz w:val="20"/>
                <w:szCs w:val="20"/>
              </w:rPr>
              <w:t>0.901</w:t>
            </w:r>
          </w:p>
        </w:tc>
        <w:tc>
          <w:tcPr>
            <w:tcW w:w="864" w:type="dxa"/>
            <w:tcBorders>
              <w:top w:val="single" w:sz="12" w:space="0" w:color="auto"/>
              <w:left w:val="nil"/>
              <w:bottom w:val="nil"/>
              <w:right w:val="nil"/>
            </w:tcBorders>
            <w:shd w:val="clear" w:color="auto" w:fill="auto"/>
            <w:noWrap/>
            <w:vAlign w:val="bottom"/>
            <w:hideMark/>
          </w:tcPr>
          <w:p w14:paraId="18920D19" w14:textId="77777777" w:rsidR="0019423C" w:rsidRDefault="0019423C" w:rsidP="005A3B4D">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360D324D" w14:textId="77777777" w:rsidR="0019423C" w:rsidRDefault="0019423C" w:rsidP="005A3B4D">
            <w:pPr>
              <w:jc w:val="right"/>
              <w:rPr>
                <w:color w:val="000000"/>
                <w:sz w:val="20"/>
                <w:szCs w:val="20"/>
              </w:rPr>
            </w:pPr>
            <w:r>
              <w:rPr>
                <w:color w:val="000000"/>
                <w:sz w:val="20"/>
                <w:szCs w:val="20"/>
              </w:rPr>
              <w:t>0.014</w:t>
            </w:r>
          </w:p>
        </w:tc>
        <w:tc>
          <w:tcPr>
            <w:tcW w:w="864" w:type="dxa"/>
            <w:tcBorders>
              <w:top w:val="single" w:sz="12" w:space="0" w:color="auto"/>
              <w:left w:val="nil"/>
              <w:bottom w:val="nil"/>
              <w:right w:val="nil"/>
            </w:tcBorders>
            <w:shd w:val="clear" w:color="auto" w:fill="auto"/>
            <w:noWrap/>
            <w:vAlign w:val="bottom"/>
            <w:hideMark/>
          </w:tcPr>
          <w:p w14:paraId="334F92FC" w14:textId="77777777" w:rsidR="0019423C" w:rsidRDefault="0019423C" w:rsidP="005A3B4D">
            <w:pPr>
              <w:jc w:val="right"/>
              <w:rPr>
                <w:color w:val="000000"/>
                <w:sz w:val="20"/>
                <w:szCs w:val="20"/>
              </w:rPr>
            </w:pPr>
            <w:r>
              <w:rPr>
                <w:color w:val="000000"/>
                <w:sz w:val="20"/>
                <w:szCs w:val="20"/>
              </w:rPr>
              <w:t>0.775</w:t>
            </w:r>
          </w:p>
        </w:tc>
        <w:tc>
          <w:tcPr>
            <w:tcW w:w="864" w:type="dxa"/>
            <w:tcBorders>
              <w:top w:val="single" w:sz="12" w:space="0" w:color="auto"/>
              <w:left w:val="nil"/>
              <w:bottom w:val="nil"/>
              <w:right w:val="nil"/>
            </w:tcBorders>
            <w:shd w:val="clear" w:color="auto" w:fill="auto"/>
            <w:noWrap/>
            <w:vAlign w:val="bottom"/>
            <w:hideMark/>
          </w:tcPr>
          <w:p w14:paraId="0EC68D50" w14:textId="77777777" w:rsidR="0019423C" w:rsidRDefault="0019423C" w:rsidP="005A3B4D">
            <w:pPr>
              <w:jc w:val="right"/>
              <w:rPr>
                <w:color w:val="000000"/>
                <w:sz w:val="20"/>
                <w:szCs w:val="20"/>
              </w:rPr>
            </w:pPr>
            <w:r>
              <w:rPr>
                <w:color w:val="000000"/>
                <w:sz w:val="20"/>
                <w:szCs w:val="20"/>
              </w:rPr>
              <w:t>0.000</w:t>
            </w:r>
          </w:p>
        </w:tc>
      </w:tr>
      <w:tr w:rsidR="0019423C" w14:paraId="1EA78941" w14:textId="77777777" w:rsidTr="005A3B4D">
        <w:trPr>
          <w:trHeight w:val="340"/>
        </w:trPr>
        <w:tc>
          <w:tcPr>
            <w:tcW w:w="1152" w:type="dxa"/>
            <w:tcBorders>
              <w:top w:val="nil"/>
              <w:left w:val="nil"/>
              <w:bottom w:val="nil"/>
              <w:right w:val="nil"/>
            </w:tcBorders>
            <w:shd w:val="clear" w:color="auto" w:fill="auto"/>
            <w:noWrap/>
            <w:vAlign w:val="bottom"/>
            <w:hideMark/>
          </w:tcPr>
          <w:p w14:paraId="03871EA8"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1AFD20B" w14:textId="77777777" w:rsidR="0019423C" w:rsidRDefault="0019423C"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119E6FD" w14:textId="77777777" w:rsidR="0019423C" w:rsidRDefault="0019423C"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9BF161B" w14:textId="77777777" w:rsidR="0019423C" w:rsidRDefault="0019423C" w:rsidP="005A3B4D">
            <w:pPr>
              <w:jc w:val="right"/>
              <w:rPr>
                <w:color w:val="000000"/>
                <w:sz w:val="20"/>
                <w:szCs w:val="20"/>
              </w:rPr>
            </w:pPr>
            <w:r>
              <w:rPr>
                <w:color w:val="000000"/>
                <w:sz w:val="20"/>
                <w:szCs w:val="20"/>
              </w:rPr>
              <w:t>0.961</w:t>
            </w:r>
          </w:p>
        </w:tc>
        <w:tc>
          <w:tcPr>
            <w:tcW w:w="864" w:type="dxa"/>
            <w:tcBorders>
              <w:top w:val="nil"/>
              <w:left w:val="nil"/>
              <w:bottom w:val="nil"/>
              <w:right w:val="nil"/>
            </w:tcBorders>
            <w:shd w:val="clear" w:color="auto" w:fill="auto"/>
            <w:noWrap/>
            <w:vAlign w:val="bottom"/>
            <w:hideMark/>
          </w:tcPr>
          <w:p w14:paraId="12BFEB5F"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7B5471E" w14:textId="77777777" w:rsidR="0019423C" w:rsidRDefault="0019423C"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30763F2A" w14:textId="77777777" w:rsidR="0019423C" w:rsidRDefault="0019423C" w:rsidP="005A3B4D">
            <w:pPr>
              <w:jc w:val="right"/>
              <w:rPr>
                <w:color w:val="000000"/>
                <w:sz w:val="20"/>
                <w:szCs w:val="20"/>
              </w:rPr>
            </w:pPr>
            <w:r>
              <w:rPr>
                <w:color w:val="000000"/>
                <w:sz w:val="20"/>
                <w:szCs w:val="20"/>
              </w:rPr>
              <w:t>0.931</w:t>
            </w:r>
          </w:p>
        </w:tc>
        <w:tc>
          <w:tcPr>
            <w:tcW w:w="864" w:type="dxa"/>
            <w:tcBorders>
              <w:top w:val="nil"/>
              <w:left w:val="nil"/>
              <w:bottom w:val="nil"/>
              <w:right w:val="nil"/>
            </w:tcBorders>
            <w:shd w:val="clear" w:color="auto" w:fill="auto"/>
            <w:noWrap/>
            <w:vAlign w:val="bottom"/>
            <w:hideMark/>
          </w:tcPr>
          <w:p w14:paraId="4361EC00" w14:textId="77777777" w:rsidR="0019423C" w:rsidRDefault="0019423C" w:rsidP="005A3B4D">
            <w:pPr>
              <w:jc w:val="right"/>
              <w:rPr>
                <w:color w:val="000000"/>
                <w:sz w:val="20"/>
                <w:szCs w:val="20"/>
              </w:rPr>
            </w:pPr>
            <w:r>
              <w:rPr>
                <w:color w:val="000000"/>
                <w:sz w:val="20"/>
                <w:szCs w:val="20"/>
              </w:rPr>
              <w:t>0.000</w:t>
            </w:r>
          </w:p>
        </w:tc>
      </w:tr>
      <w:tr w:rsidR="0019423C" w14:paraId="4F28F6C9" w14:textId="77777777" w:rsidTr="005A3B4D">
        <w:trPr>
          <w:trHeight w:val="320"/>
        </w:trPr>
        <w:tc>
          <w:tcPr>
            <w:tcW w:w="1152" w:type="dxa"/>
            <w:tcBorders>
              <w:top w:val="nil"/>
              <w:left w:val="nil"/>
              <w:bottom w:val="nil"/>
              <w:right w:val="nil"/>
            </w:tcBorders>
            <w:shd w:val="clear" w:color="auto" w:fill="auto"/>
            <w:noWrap/>
            <w:vAlign w:val="bottom"/>
            <w:hideMark/>
          </w:tcPr>
          <w:p w14:paraId="1C494082"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13C700D" w14:textId="77777777" w:rsidR="0019423C" w:rsidRDefault="0019423C"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6A37EBC" w14:textId="77777777" w:rsidR="0019423C" w:rsidRDefault="0019423C" w:rsidP="005A3B4D">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0941CE3D" w14:textId="77777777" w:rsidR="0019423C" w:rsidRDefault="0019423C" w:rsidP="005A3B4D">
            <w:pPr>
              <w:jc w:val="right"/>
              <w:rPr>
                <w:color w:val="000000"/>
                <w:sz w:val="20"/>
                <w:szCs w:val="20"/>
              </w:rPr>
            </w:pPr>
            <w:r>
              <w:rPr>
                <w:color w:val="000000"/>
                <w:sz w:val="20"/>
                <w:szCs w:val="20"/>
              </w:rPr>
              <w:t>0.136</w:t>
            </w:r>
          </w:p>
        </w:tc>
        <w:tc>
          <w:tcPr>
            <w:tcW w:w="864" w:type="dxa"/>
            <w:tcBorders>
              <w:top w:val="nil"/>
              <w:left w:val="nil"/>
              <w:bottom w:val="nil"/>
              <w:right w:val="nil"/>
            </w:tcBorders>
            <w:shd w:val="clear" w:color="auto" w:fill="auto"/>
            <w:noWrap/>
            <w:vAlign w:val="bottom"/>
            <w:hideMark/>
          </w:tcPr>
          <w:p w14:paraId="3C91A8C4" w14:textId="77777777" w:rsidR="0019423C" w:rsidRDefault="0019423C"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3B04404B" w14:textId="77777777" w:rsidR="0019423C" w:rsidRDefault="0019423C" w:rsidP="005A3B4D">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2D2355F6" w14:textId="77777777" w:rsidR="0019423C" w:rsidRDefault="0019423C" w:rsidP="005A3B4D">
            <w:pPr>
              <w:jc w:val="right"/>
              <w:rPr>
                <w:color w:val="000000"/>
                <w:sz w:val="20"/>
                <w:szCs w:val="20"/>
              </w:rPr>
            </w:pPr>
            <w:r>
              <w:rPr>
                <w:color w:val="000000"/>
                <w:sz w:val="20"/>
                <w:szCs w:val="20"/>
              </w:rPr>
              <w:t>0.707</w:t>
            </w:r>
          </w:p>
        </w:tc>
        <w:tc>
          <w:tcPr>
            <w:tcW w:w="864" w:type="dxa"/>
            <w:tcBorders>
              <w:top w:val="nil"/>
              <w:left w:val="nil"/>
              <w:bottom w:val="nil"/>
              <w:right w:val="nil"/>
            </w:tcBorders>
            <w:shd w:val="clear" w:color="auto" w:fill="auto"/>
            <w:noWrap/>
            <w:vAlign w:val="bottom"/>
            <w:hideMark/>
          </w:tcPr>
          <w:p w14:paraId="3FA59A9B" w14:textId="77777777" w:rsidR="0019423C" w:rsidRDefault="0019423C" w:rsidP="005A3B4D">
            <w:pPr>
              <w:jc w:val="right"/>
              <w:rPr>
                <w:color w:val="000000"/>
                <w:sz w:val="20"/>
                <w:szCs w:val="20"/>
              </w:rPr>
            </w:pPr>
            <w:r>
              <w:rPr>
                <w:color w:val="000000"/>
                <w:sz w:val="20"/>
                <w:szCs w:val="20"/>
              </w:rPr>
              <w:t>0.001</w:t>
            </w:r>
          </w:p>
        </w:tc>
      </w:tr>
      <w:tr w:rsidR="0019423C" w14:paraId="4FEC27C5" w14:textId="77777777" w:rsidTr="005A3B4D">
        <w:trPr>
          <w:trHeight w:val="320"/>
        </w:trPr>
        <w:tc>
          <w:tcPr>
            <w:tcW w:w="1152" w:type="dxa"/>
            <w:tcBorders>
              <w:top w:val="nil"/>
              <w:left w:val="nil"/>
              <w:bottom w:val="nil"/>
              <w:right w:val="nil"/>
            </w:tcBorders>
            <w:shd w:val="clear" w:color="auto" w:fill="auto"/>
            <w:noWrap/>
            <w:vAlign w:val="bottom"/>
            <w:hideMark/>
          </w:tcPr>
          <w:p w14:paraId="71906BFC"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C8BA320" w14:textId="77777777" w:rsidR="0019423C" w:rsidRDefault="0019423C"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3FDD0C7" w14:textId="77777777" w:rsidR="0019423C" w:rsidRDefault="0019423C" w:rsidP="005A3B4D">
            <w:pPr>
              <w:jc w:val="right"/>
              <w:rPr>
                <w:color w:val="000000"/>
                <w:sz w:val="20"/>
                <w:szCs w:val="20"/>
              </w:rPr>
            </w:pPr>
            <w:r>
              <w:rPr>
                <w:color w:val="000000"/>
                <w:sz w:val="20"/>
                <w:szCs w:val="20"/>
              </w:rPr>
              <w:t>0.230</w:t>
            </w:r>
          </w:p>
        </w:tc>
        <w:tc>
          <w:tcPr>
            <w:tcW w:w="864" w:type="dxa"/>
            <w:tcBorders>
              <w:top w:val="nil"/>
              <w:left w:val="nil"/>
              <w:bottom w:val="nil"/>
              <w:right w:val="nil"/>
            </w:tcBorders>
            <w:shd w:val="clear" w:color="auto" w:fill="auto"/>
            <w:noWrap/>
            <w:vAlign w:val="bottom"/>
            <w:hideMark/>
          </w:tcPr>
          <w:p w14:paraId="5B3F2713" w14:textId="77777777" w:rsidR="0019423C" w:rsidRDefault="0019423C" w:rsidP="005A3B4D">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20CAFA5E" w14:textId="77777777" w:rsidR="0019423C" w:rsidRDefault="0019423C" w:rsidP="005A3B4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25F3A24B" w14:textId="77777777" w:rsidR="0019423C" w:rsidRDefault="0019423C" w:rsidP="005A3B4D">
            <w:pPr>
              <w:jc w:val="right"/>
              <w:rPr>
                <w:color w:val="000000"/>
                <w:sz w:val="20"/>
                <w:szCs w:val="20"/>
              </w:rPr>
            </w:pPr>
            <w:r>
              <w:rPr>
                <w:color w:val="000000"/>
                <w:sz w:val="20"/>
                <w:szCs w:val="20"/>
              </w:rPr>
              <w:t>-0.149</w:t>
            </w:r>
          </w:p>
        </w:tc>
        <w:tc>
          <w:tcPr>
            <w:tcW w:w="864" w:type="dxa"/>
            <w:tcBorders>
              <w:top w:val="nil"/>
              <w:left w:val="nil"/>
              <w:bottom w:val="nil"/>
              <w:right w:val="nil"/>
            </w:tcBorders>
            <w:shd w:val="clear" w:color="auto" w:fill="auto"/>
            <w:noWrap/>
            <w:vAlign w:val="bottom"/>
            <w:hideMark/>
          </w:tcPr>
          <w:p w14:paraId="0EA5EF4A" w14:textId="77777777" w:rsidR="0019423C" w:rsidRDefault="0019423C" w:rsidP="005A3B4D">
            <w:pPr>
              <w:jc w:val="right"/>
              <w:rPr>
                <w:color w:val="000000"/>
                <w:sz w:val="20"/>
                <w:szCs w:val="20"/>
              </w:rPr>
            </w:pPr>
            <w:r>
              <w:rPr>
                <w:color w:val="000000"/>
                <w:sz w:val="20"/>
                <w:szCs w:val="20"/>
              </w:rPr>
              <w:t>0.165</w:t>
            </w:r>
          </w:p>
        </w:tc>
        <w:tc>
          <w:tcPr>
            <w:tcW w:w="864" w:type="dxa"/>
            <w:tcBorders>
              <w:top w:val="nil"/>
              <w:left w:val="nil"/>
              <w:bottom w:val="nil"/>
              <w:right w:val="nil"/>
            </w:tcBorders>
            <w:shd w:val="clear" w:color="auto" w:fill="auto"/>
            <w:noWrap/>
            <w:vAlign w:val="bottom"/>
            <w:hideMark/>
          </w:tcPr>
          <w:p w14:paraId="0ED9ADC5" w14:textId="77777777" w:rsidR="0019423C" w:rsidRDefault="0019423C" w:rsidP="005A3B4D">
            <w:pPr>
              <w:jc w:val="right"/>
              <w:rPr>
                <w:color w:val="000000"/>
                <w:sz w:val="20"/>
                <w:szCs w:val="20"/>
              </w:rPr>
            </w:pPr>
            <w:r>
              <w:rPr>
                <w:color w:val="000000"/>
                <w:sz w:val="20"/>
                <w:szCs w:val="20"/>
              </w:rPr>
              <w:t>0.022</w:t>
            </w:r>
          </w:p>
        </w:tc>
      </w:tr>
      <w:tr w:rsidR="0019423C" w14:paraId="573DAB19" w14:textId="77777777" w:rsidTr="005A3B4D">
        <w:trPr>
          <w:trHeight w:val="320"/>
        </w:trPr>
        <w:tc>
          <w:tcPr>
            <w:tcW w:w="1152" w:type="dxa"/>
            <w:tcBorders>
              <w:top w:val="nil"/>
              <w:left w:val="nil"/>
              <w:bottom w:val="nil"/>
              <w:right w:val="nil"/>
            </w:tcBorders>
            <w:shd w:val="clear" w:color="auto" w:fill="auto"/>
            <w:noWrap/>
            <w:vAlign w:val="bottom"/>
            <w:hideMark/>
          </w:tcPr>
          <w:p w14:paraId="31BE9C2A"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879CACD" w14:textId="77777777" w:rsidR="0019423C" w:rsidRDefault="0019423C"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366089D" w14:textId="77777777" w:rsidR="0019423C" w:rsidRDefault="0019423C"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C656FD7" w14:textId="77777777" w:rsidR="0019423C" w:rsidRDefault="0019423C" w:rsidP="005A3B4D">
            <w:pPr>
              <w:jc w:val="right"/>
              <w:rPr>
                <w:color w:val="000000"/>
                <w:sz w:val="20"/>
                <w:szCs w:val="20"/>
              </w:rPr>
            </w:pPr>
            <w:r>
              <w:rPr>
                <w:color w:val="000000"/>
                <w:sz w:val="20"/>
                <w:szCs w:val="20"/>
              </w:rPr>
              <w:t>0.961</w:t>
            </w:r>
          </w:p>
        </w:tc>
        <w:tc>
          <w:tcPr>
            <w:tcW w:w="864" w:type="dxa"/>
            <w:tcBorders>
              <w:top w:val="nil"/>
              <w:left w:val="nil"/>
              <w:bottom w:val="nil"/>
              <w:right w:val="nil"/>
            </w:tcBorders>
            <w:shd w:val="clear" w:color="auto" w:fill="auto"/>
            <w:noWrap/>
            <w:vAlign w:val="bottom"/>
            <w:hideMark/>
          </w:tcPr>
          <w:p w14:paraId="4A8047DF"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6521BC4" w14:textId="77777777" w:rsidR="0019423C" w:rsidRDefault="0019423C" w:rsidP="005A3B4D">
            <w:pPr>
              <w:jc w:val="right"/>
              <w:rPr>
                <w:color w:val="000000"/>
                <w:sz w:val="20"/>
                <w:szCs w:val="20"/>
              </w:rPr>
            </w:pPr>
            <w:r>
              <w:rPr>
                <w:color w:val="000000"/>
                <w:sz w:val="20"/>
                <w:szCs w:val="20"/>
              </w:rPr>
              <w:t>-0.081</w:t>
            </w:r>
          </w:p>
        </w:tc>
        <w:tc>
          <w:tcPr>
            <w:tcW w:w="864" w:type="dxa"/>
            <w:tcBorders>
              <w:top w:val="nil"/>
              <w:left w:val="nil"/>
              <w:bottom w:val="nil"/>
              <w:right w:val="nil"/>
            </w:tcBorders>
            <w:shd w:val="clear" w:color="auto" w:fill="auto"/>
            <w:noWrap/>
            <w:vAlign w:val="bottom"/>
            <w:hideMark/>
          </w:tcPr>
          <w:p w14:paraId="06FFFB4F" w14:textId="77777777" w:rsidR="0019423C" w:rsidRDefault="0019423C" w:rsidP="005A3B4D">
            <w:pPr>
              <w:jc w:val="right"/>
              <w:rPr>
                <w:color w:val="000000"/>
                <w:sz w:val="20"/>
                <w:szCs w:val="20"/>
              </w:rPr>
            </w:pPr>
            <w:r>
              <w:rPr>
                <w:color w:val="000000"/>
                <w:sz w:val="20"/>
                <w:szCs w:val="20"/>
              </w:rPr>
              <w:t>0.152</w:t>
            </w:r>
          </w:p>
        </w:tc>
        <w:tc>
          <w:tcPr>
            <w:tcW w:w="864" w:type="dxa"/>
            <w:tcBorders>
              <w:top w:val="nil"/>
              <w:left w:val="nil"/>
              <w:bottom w:val="nil"/>
              <w:right w:val="nil"/>
            </w:tcBorders>
            <w:shd w:val="clear" w:color="auto" w:fill="auto"/>
            <w:noWrap/>
            <w:vAlign w:val="bottom"/>
            <w:hideMark/>
          </w:tcPr>
          <w:p w14:paraId="2558B5A8" w14:textId="77777777" w:rsidR="0019423C" w:rsidRDefault="0019423C" w:rsidP="005A3B4D">
            <w:pPr>
              <w:jc w:val="right"/>
              <w:rPr>
                <w:color w:val="000000"/>
                <w:sz w:val="20"/>
                <w:szCs w:val="20"/>
              </w:rPr>
            </w:pPr>
            <w:r>
              <w:rPr>
                <w:color w:val="000000"/>
                <w:sz w:val="20"/>
                <w:szCs w:val="20"/>
              </w:rPr>
              <w:t>0.007</w:t>
            </w:r>
          </w:p>
        </w:tc>
      </w:tr>
      <w:tr w:rsidR="0019423C" w14:paraId="7780DE99" w14:textId="77777777" w:rsidTr="005A3B4D">
        <w:trPr>
          <w:trHeight w:val="320"/>
        </w:trPr>
        <w:tc>
          <w:tcPr>
            <w:tcW w:w="1152" w:type="dxa"/>
            <w:tcBorders>
              <w:top w:val="nil"/>
              <w:left w:val="nil"/>
              <w:bottom w:val="nil"/>
              <w:right w:val="nil"/>
            </w:tcBorders>
            <w:shd w:val="clear" w:color="auto" w:fill="auto"/>
            <w:noWrap/>
            <w:vAlign w:val="bottom"/>
            <w:hideMark/>
          </w:tcPr>
          <w:p w14:paraId="73D9B958"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2A847F4" w14:textId="77777777" w:rsidR="0019423C" w:rsidRDefault="0019423C"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CDD0D2C" w14:textId="77777777" w:rsidR="0019423C" w:rsidRDefault="0019423C"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174F06F0" w14:textId="77777777" w:rsidR="0019423C" w:rsidRDefault="0019423C" w:rsidP="005A3B4D">
            <w:pPr>
              <w:jc w:val="right"/>
              <w:rPr>
                <w:color w:val="000000"/>
                <w:sz w:val="20"/>
                <w:szCs w:val="20"/>
              </w:rPr>
            </w:pPr>
            <w:r>
              <w:rPr>
                <w:color w:val="000000"/>
                <w:sz w:val="20"/>
                <w:szCs w:val="20"/>
              </w:rPr>
              <w:t>0.901</w:t>
            </w:r>
          </w:p>
        </w:tc>
        <w:tc>
          <w:tcPr>
            <w:tcW w:w="864" w:type="dxa"/>
            <w:tcBorders>
              <w:top w:val="nil"/>
              <w:left w:val="nil"/>
              <w:bottom w:val="nil"/>
              <w:right w:val="nil"/>
            </w:tcBorders>
            <w:shd w:val="clear" w:color="auto" w:fill="auto"/>
            <w:noWrap/>
            <w:vAlign w:val="bottom"/>
            <w:hideMark/>
          </w:tcPr>
          <w:p w14:paraId="4DC9E744"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5B9EE3C" w14:textId="77777777" w:rsidR="0019423C" w:rsidRDefault="0019423C" w:rsidP="005A3B4D">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58F563BD" w14:textId="77777777" w:rsidR="0019423C" w:rsidRDefault="0019423C" w:rsidP="005A3B4D">
            <w:pPr>
              <w:jc w:val="right"/>
              <w:rPr>
                <w:color w:val="000000"/>
                <w:sz w:val="20"/>
                <w:szCs w:val="20"/>
              </w:rPr>
            </w:pPr>
            <w:r>
              <w:rPr>
                <w:color w:val="000000"/>
                <w:sz w:val="20"/>
                <w:szCs w:val="20"/>
              </w:rPr>
              <w:t>0.632</w:t>
            </w:r>
          </w:p>
        </w:tc>
        <w:tc>
          <w:tcPr>
            <w:tcW w:w="864" w:type="dxa"/>
            <w:tcBorders>
              <w:top w:val="nil"/>
              <w:left w:val="nil"/>
              <w:bottom w:val="nil"/>
              <w:right w:val="nil"/>
            </w:tcBorders>
            <w:shd w:val="clear" w:color="auto" w:fill="auto"/>
            <w:noWrap/>
            <w:vAlign w:val="bottom"/>
            <w:hideMark/>
          </w:tcPr>
          <w:p w14:paraId="590031BC" w14:textId="77777777" w:rsidR="0019423C" w:rsidRDefault="0019423C" w:rsidP="005A3B4D">
            <w:pPr>
              <w:jc w:val="right"/>
              <w:rPr>
                <w:color w:val="000000"/>
                <w:sz w:val="20"/>
                <w:szCs w:val="20"/>
              </w:rPr>
            </w:pPr>
            <w:r>
              <w:rPr>
                <w:color w:val="000000"/>
                <w:sz w:val="20"/>
                <w:szCs w:val="20"/>
              </w:rPr>
              <w:t>0.001</w:t>
            </w:r>
          </w:p>
        </w:tc>
      </w:tr>
      <w:tr w:rsidR="0019423C" w14:paraId="7D30EDCB" w14:textId="77777777" w:rsidTr="005A3B4D">
        <w:trPr>
          <w:trHeight w:val="320"/>
        </w:trPr>
        <w:tc>
          <w:tcPr>
            <w:tcW w:w="1152" w:type="dxa"/>
            <w:tcBorders>
              <w:top w:val="nil"/>
              <w:left w:val="nil"/>
              <w:bottom w:val="nil"/>
              <w:right w:val="nil"/>
            </w:tcBorders>
            <w:shd w:val="clear" w:color="auto" w:fill="auto"/>
            <w:noWrap/>
            <w:vAlign w:val="bottom"/>
            <w:hideMark/>
          </w:tcPr>
          <w:p w14:paraId="25E8839A"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40D73B3" w14:textId="77777777" w:rsidR="0019423C" w:rsidRDefault="0019423C"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31C822D" w14:textId="77777777" w:rsidR="0019423C" w:rsidRDefault="0019423C"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27BAE49F" w14:textId="77777777" w:rsidR="0019423C" w:rsidRDefault="0019423C" w:rsidP="005A3B4D">
            <w:pPr>
              <w:jc w:val="right"/>
              <w:rPr>
                <w:color w:val="000000"/>
                <w:sz w:val="20"/>
                <w:szCs w:val="20"/>
              </w:rPr>
            </w:pPr>
            <w:r>
              <w:rPr>
                <w:color w:val="000000"/>
                <w:sz w:val="20"/>
                <w:szCs w:val="20"/>
              </w:rPr>
              <w:t>0.961</w:t>
            </w:r>
          </w:p>
        </w:tc>
        <w:tc>
          <w:tcPr>
            <w:tcW w:w="864" w:type="dxa"/>
            <w:tcBorders>
              <w:top w:val="nil"/>
              <w:left w:val="nil"/>
              <w:bottom w:val="nil"/>
              <w:right w:val="nil"/>
            </w:tcBorders>
            <w:shd w:val="clear" w:color="auto" w:fill="auto"/>
            <w:noWrap/>
            <w:vAlign w:val="bottom"/>
            <w:hideMark/>
          </w:tcPr>
          <w:p w14:paraId="47E16D5F"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E2DA589" w14:textId="77777777" w:rsidR="0019423C" w:rsidRDefault="0019423C" w:rsidP="005A3B4D">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28345250" w14:textId="77777777" w:rsidR="0019423C" w:rsidRDefault="0019423C" w:rsidP="005A3B4D">
            <w:pPr>
              <w:jc w:val="right"/>
              <w:rPr>
                <w:color w:val="000000"/>
                <w:sz w:val="20"/>
                <w:szCs w:val="20"/>
              </w:rPr>
            </w:pPr>
            <w:r>
              <w:rPr>
                <w:color w:val="000000"/>
                <w:sz w:val="20"/>
                <w:szCs w:val="20"/>
              </w:rPr>
              <w:t>0.707</w:t>
            </w:r>
          </w:p>
        </w:tc>
        <w:tc>
          <w:tcPr>
            <w:tcW w:w="864" w:type="dxa"/>
            <w:tcBorders>
              <w:top w:val="nil"/>
              <w:left w:val="nil"/>
              <w:bottom w:val="nil"/>
              <w:right w:val="nil"/>
            </w:tcBorders>
            <w:shd w:val="clear" w:color="auto" w:fill="auto"/>
            <w:noWrap/>
            <w:vAlign w:val="bottom"/>
            <w:hideMark/>
          </w:tcPr>
          <w:p w14:paraId="7A467CDC" w14:textId="77777777" w:rsidR="0019423C" w:rsidRDefault="0019423C" w:rsidP="005A3B4D">
            <w:pPr>
              <w:jc w:val="right"/>
              <w:rPr>
                <w:color w:val="000000"/>
                <w:sz w:val="20"/>
                <w:szCs w:val="20"/>
              </w:rPr>
            </w:pPr>
            <w:r>
              <w:rPr>
                <w:color w:val="000000"/>
                <w:sz w:val="20"/>
                <w:szCs w:val="20"/>
              </w:rPr>
              <w:t>0.000</w:t>
            </w:r>
          </w:p>
        </w:tc>
      </w:tr>
      <w:tr w:rsidR="0019423C" w14:paraId="62B74F3D"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591F77E9" w14:textId="77777777" w:rsidR="0019423C" w:rsidRDefault="0019423C"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7480687" w14:textId="77777777" w:rsidR="0019423C" w:rsidRDefault="0019423C"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112F3D91" w14:textId="77777777" w:rsidR="0019423C" w:rsidRDefault="0019423C" w:rsidP="005A3B4D">
            <w:pPr>
              <w:jc w:val="right"/>
              <w:rPr>
                <w:color w:val="000000"/>
                <w:sz w:val="20"/>
                <w:szCs w:val="20"/>
              </w:rPr>
            </w:pPr>
            <w:r>
              <w:rPr>
                <w:color w:val="000000"/>
                <w:sz w:val="20"/>
                <w:szCs w:val="20"/>
              </w:rPr>
              <w:t>-0.050</w:t>
            </w:r>
          </w:p>
        </w:tc>
        <w:tc>
          <w:tcPr>
            <w:tcW w:w="864" w:type="dxa"/>
            <w:tcBorders>
              <w:top w:val="nil"/>
              <w:left w:val="nil"/>
              <w:bottom w:val="single" w:sz="4" w:space="0" w:color="auto"/>
              <w:right w:val="nil"/>
            </w:tcBorders>
            <w:shd w:val="clear" w:color="auto" w:fill="auto"/>
            <w:noWrap/>
            <w:vAlign w:val="bottom"/>
            <w:hideMark/>
          </w:tcPr>
          <w:p w14:paraId="5C5992F4" w14:textId="77777777" w:rsidR="0019423C" w:rsidRDefault="0019423C" w:rsidP="005A3B4D">
            <w:pPr>
              <w:jc w:val="right"/>
              <w:rPr>
                <w:color w:val="000000"/>
                <w:sz w:val="20"/>
                <w:szCs w:val="20"/>
              </w:rPr>
            </w:pPr>
            <w:r>
              <w:rPr>
                <w:color w:val="000000"/>
                <w:sz w:val="20"/>
                <w:szCs w:val="20"/>
              </w:rPr>
              <w:t>0.416</w:t>
            </w:r>
          </w:p>
        </w:tc>
        <w:tc>
          <w:tcPr>
            <w:tcW w:w="864" w:type="dxa"/>
            <w:tcBorders>
              <w:top w:val="nil"/>
              <w:left w:val="nil"/>
              <w:bottom w:val="single" w:sz="4" w:space="0" w:color="auto"/>
              <w:right w:val="nil"/>
            </w:tcBorders>
            <w:shd w:val="clear" w:color="auto" w:fill="auto"/>
            <w:noWrap/>
            <w:vAlign w:val="bottom"/>
            <w:hideMark/>
          </w:tcPr>
          <w:p w14:paraId="73678C14" w14:textId="77777777" w:rsidR="0019423C" w:rsidRDefault="0019423C" w:rsidP="005A3B4D">
            <w:pPr>
              <w:jc w:val="right"/>
              <w:rPr>
                <w:color w:val="000000"/>
                <w:sz w:val="20"/>
                <w:szCs w:val="20"/>
              </w:rPr>
            </w:pPr>
            <w:r>
              <w:rPr>
                <w:color w:val="000000"/>
                <w:sz w:val="20"/>
                <w:szCs w:val="20"/>
              </w:rPr>
              <w:t>0.003</w:t>
            </w:r>
          </w:p>
        </w:tc>
        <w:tc>
          <w:tcPr>
            <w:tcW w:w="864" w:type="dxa"/>
            <w:tcBorders>
              <w:top w:val="nil"/>
              <w:left w:val="nil"/>
              <w:bottom w:val="single" w:sz="4" w:space="0" w:color="auto"/>
              <w:right w:val="nil"/>
            </w:tcBorders>
            <w:shd w:val="clear" w:color="auto" w:fill="auto"/>
            <w:noWrap/>
            <w:vAlign w:val="bottom"/>
            <w:hideMark/>
          </w:tcPr>
          <w:p w14:paraId="6675DB9E" w14:textId="77777777" w:rsidR="0019423C" w:rsidRDefault="0019423C" w:rsidP="005A3B4D">
            <w:pPr>
              <w:jc w:val="right"/>
              <w:rPr>
                <w:color w:val="000000"/>
                <w:sz w:val="20"/>
                <w:szCs w:val="20"/>
              </w:rPr>
            </w:pPr>
            <w:r>
              <w:rPr>
                <w:color w:val="000000"/>
                <w:sz w:val="20"/>
                <w:szCs w:val="20"/>
              </w:rPr>
              <w:t>0.071</w:t>
            </w:r>
          </w:p>
        </w:tc>
        <w:tc>
          <w:tcPr>
            <w:tcW w:w="864" w:type="dxa"/>
            <w:tcBorders>
              <w:top w:val="nil"/>
              <w:left w:val="nil"/>
              <w:bottom w:val="single" w:sz="4" w:space="0" w:color="auto"/>
              <w:right w:val="nil"/>
            </w:tcBorders>
            <w:shd w:val="clear" w:color="auto" w:fill="auto"/>
            <w:noWrap/>
            <w:vAlign w:val="bottom"/>
            <w:hideMark/>
          </w:tcPr>
          <w:p w14:paraId="52771C15" w14:textId="77777777" w:rsidR="0019423C" w:rsidRDefault="0019423C" w:rsidP="005A3B4D">
            <w:pPr>
              <w:jc w:val="right"/>
              <w:rPr>
                <w:color w:val="000000"/>
                <w:sz w:val="20"/>
                <w:szCs w:val="20"/>
              </w:rPr>
            </w:pPr>
            <w:r>
              <w:rPr>
                <w:color w:val="000000"/>
                <w:sz w:val="20"/>
                <w:szCs w:val="20"/>
              </w:rPr>
              <w:t>0.152</w:t>
            </w:r>
          </w:p>
        </w:tc>
        <w:tc>
          <w:tcPr>
            <w:tcW w:w="864" w:type="dxa"/>
            <w:tcBorders>
              <w:top w:val="nil"/>
              <w:left w:val="nil"/>
              <w:bottom w:val="single" w:sz="4" w:space="0" w:color="auto"/>
              <w:right w:val="nil"/>
            </w:tcBorders>
            <w:shd w:val="clear" w:color="auto" w:fill="auto"/>
            <w:noWrap/>
            <w:vAlign w:val="bottom"/>
            <w:hideMark/>
          </w:tcPr>
          <w:p w14:paraId="3E7D29BF" w14:textId="77777777" w:rsidR="0019423C" w:rsidRDefault="0019423C" w:rsidP="005A3B4D">
            <w:pPr>
              <w:jc w:val="right"/>
              <w:rPr>
                <w:color w:val="000000"/>
                <w:sz w:val="20"/>
                <w:szCs w:val="20"/>
              </w:rPr>
            </w:pPr>
            <w:r>
              <w:rPr>
                <w:color w:val="000000"/>
                <w:sz w:val="20"/>
                <w:szCs w:val="20"/>
              </w:rPr>
              <w:t>0.005</w:t>
            </w:r>
          </w:p>
        </w:tc>
      </w:tr>
      <w:tr w:rsidR="0019423C" w14:paraId="5600BF5F" w14:textId="77777777" w:rsidTr="005A3B4D">
        <w:trPr>
          <w:trHeight w:val="320"/>
        </w:trPr>
        <w:tc>
          <w:tcPr>
            <w:tcW w:w="1152" w:type="dxa"/>
            <w:tcBorders>
              <w:top w:val="nil"/>
              <w:left w:val="nil"/>
              <w:bottom w:val="nil"/>
              <w:right w:val="nil"/>
            </w:tcBorders>
            <w:shd w:val="clear" w:color="auto" w:fill="auto"/>
            <w:noWrap/>
            <w:vAlign w:val="bottom"/>
            <w:hideMark/>
          </w:tcPr>
          <w:p w14:paraId="2D67C29C" w14:textId="77777777" w:rsidR="0019423C" w:rsidRDefault="0019423C" w:rsidP="005A3B4D">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00A1A049" w14:textId="77777777" w:rsidR="0019423C" w:rsidRDefault="0019423C"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538EBA2E" w14:textId="77777777" w:rsidR="0019423C" w:rsidRDefault="0019423C"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5895041" w14:textId="77777777" w:rsidR="0019423C" w:rsidRDefault="0019423C" w:rsidP="005A3B4D">
            <w:pPr>
              <w:jc w:val="right"/>
              <w:rPr>
                <w:color w:val="000000"/>
                <w:sz w:val="20"/>
                <w:szCs w:val="20"/>
              </w:rPr>
            </w:pPr>
            <w:r>
              <w:rPr>
                <w:color w:val="000000"/>
                <w:sz w:val="20"/>
                <w:szCs w:val="20"/>
              </w:rPr>
              <w:t>0.886</w:t>
            </w:r>
          </w:p>
        </w:tc>
        <w:tc>
          <w:tcPr>
            <w:tcW w:w="864" w:type="dxa"/>
            <w:tcBorders>
              <w:top w:val="nil"/>
              <w:left w:val="nil"/>
              <w:bottom w:val="nil"/>
              <w:right w:val="nil"/>
            </w:tcBorders>
            <w:shd w:val="clear" w:color="auto" w:fill="auto"/>
            <w:noWrap/>
            <w:vAlign w:val="bottom"/>
            <w:hideMark/>
          </w:tcPr>
          <w:p w14:paraId="1FD88EE1"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1EE093B" w14:textId="77777777" w:rsidR="0019423C" w:rsidRDefault="0019423C" w:rsidP="005A3B4D">
            <w:pPr>
              <w:jc w:val="right"/>
              <w:rPr>
                <w:b/>
                <w:bCs/>
                <w:color w:val="000000"/>
                <w:sz w:val="20"/>
                <w:szCs w:val="20"/>
              </w:rPr>
            </w:pPr>
            <w:r>
              <w:rPr>
                <w:b/>
                <w:bCs/>
                <w:color w:val="000000"/>
                <w:sz w:val="20"/>
                <w:szCs w:val="20"/>
              </w:rPr>
              <w:t>0.086</w:t>
            </w:r>
          </w:p>
        </w:tc>
        <w:tc>
          <w:tcPr>
            <w:tcW w:w="864" w:type="dxa"/>
            <w:tcBorders>
              <w:top w:val="nil"/>
              <w:left w:val="nil"/>
              <w:bottom w:val="nil"/>
              <w:right w:val="nil"/>
            </w:tcBorders>
            <w:shd w:val="clear" w:color="auto" w:fill="auto"/>
            <w:noWrap/>
            <w:vAlign w:val="bottom"/>
            <w:hideMark/>
          </w:tcPr>
          <w:p w14:paraId="33E4FED1" w14:textId="77777777" w:rsidR="0019423C" w:rsidRDefault="0019423C" w:rsidP="005A3B4D">
            <w:pPr>
              <w:jc w:val="right"/>
              <w:rPr>
                <w:b/>
                <w:bCs/>
                <w:color w:val="000000"/>
                <w:sz w:val="20"/>
                <w:szCs w:val="20"/>
              </w:rPr>
            </w:pPr>
            <w:r>
              <w:rPr>
                <w:b/>
                <w:bCs/>
                <w:color w:val="000000"/>
                <w:sz w:val="20"/>
                <w:szCs w:val="20"/>
              </w:rPr>
              <w:t>0.032</w:t>
            </w:r>
          </w:p>
        </w:tc>
        <w:tc>
          <w:tcPr>
            <w:tcW w:w="864" w:type="dxa"/>
            <w:tcBorders>
              <w:top w:val="nil"/>
              <w:left w:val="nil"/>
              <w:bottom w:val="nil"/>
              <w:right w:val="nil"/>
            </w:tcBorders>
            <w:shd w:val="clear" w:color="auto" w:fill="auto"/>
            <w:noWrap/>
            <w:vAlign w:val="bottom"/>
            <w:hideMark/>
          </w:tcPr>
          <w:p w14:paraId="73105E5B" w14:textId="77777777" w:rsidR="0019423C" w:rsidRDefault="0019423C" w:rsidP="005A3B4D">
            <w:pPr>
              <w:jc w:val="right"/>
              <w:rPr>
                <w:b/>
                <w:bCs/>
                <w:color w:val="000000"/>
                <w:sz w:val="20"/>
                <w:szCs w:val="20"/>
              </w:rPr>
            </w:pPr>
            <w:r>
              <w:rPr>
                <w:b/>
                <w:bCs/>
                <w:color w:val="000000"/>
                <w:sz w:val="20"/>
                <w:szCs w:val="20"/>
              </w:rPr>
              <w:t>0.007</w:t>
            </w:r>
          </w:p>
        </w:tc>
      </w:tr>
      <w:tr w:rsidR="0019423C" w14:paraId="38526535" w14:textId="77777777" w:rsidTr="005A3B4D">
        <w:trPr>
          <w:trHeight w:val="320"/>
        </w:trPr>
        <w:tc>
          <w:tcPr>
            <w:tcW w:w="1152" w:type="dxa"/>
            <w:tcBorders>
              <w:top w:val="nil"/>
              <w:left w:val="nil"/>
              <w:bottom w:val="nil"/>
              <w:right w:val="nil"/>
            </w:tcBorders>
            <w:shd w:val="clear" w:color="auto" w:fill="auto"/>
            <w:noWrap/>
            <w:vAlign w:val="bottom"/>
            <w:hideMark/>
          </w:tcPr>
          <w:p w14:paraId="75BA7228" w14:textId="77777777" w:rsidR="0019423C" w:rsidRDefault="0019423C" w:rsidP="005A3B4D">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0CBA4FC9" w14:textId="77777777" w:rsidR="0019423C" w:rsidRDefault="0019423C"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293912F" w14:textId="77777777" w:rsidR="0019423C" w:rsidRDefault="0019423C" w:rsidP="005A3B4D">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523596A2" w14:textId="77777777" w:rsidR="0019423C" w:rsidRDefault="0019423C" w:rsidP="005A3B4D">
            <w:pPr>
              <w:jc w:val="right"/>
              <w:rPr>
                <w:color w:val="000000"/>
                <w:sz w:val="20"/>
                <w:szCs w:val="20"/>
              </w:rPr>
            </w:pPr>
            <w:r>
              <w:rPr>
                <w:color w:val="000000"/>
                <w:sz w:val="20"/>
                <w:szCs w:val="20"/>
              </w:rPr>
              <w:t>0.184</w:t>
            </w:r>
          </w:p>
        </w:tc>
        <w:tc>
          <w:tcPr>
            <w:tcW w:w="864" w:type="dxa"/>
            <w:tcBorders>
              <w:top w:val="nil"/>
              <w:left w:val="nil"/>
              <w:bottom w:val="nil"/>
              <w:right w:val="nil"/>
            </w:tcBorders>
            <w:shd w:val="clear" w:color="auto" w:fill="auto"/>
            <w:noWrap/>
            <w:vAlign w:val="bottom"/>
            <w:hideMark/>
          </w:tcPr>
          <w:p w14:paraId="6CE0A788" w14:textId="77777777" w:rsidR="0019423C" w:rsidRDefault="0019423C"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187EEB7" w14:textId="77777777" w:rsidR="0019423C" w:rsidRDefault="0019423C"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56DDA1F2" w14:textId="77777777" w:rsidR="0019423C" w:rsidRDefault="0019423C" w:rsidP="005A3B4D">
            <w:pPr>
              <w:jc w:val="right"/>
              <w:rPr>
                <w:color w:val="000000"/>
                <w:sz w:val="20"/>
                <w:szCs w:val="20"/>
              </w:rPr>
            </w:pPr>
            <w:r>
              <w:rPr>
                <w:color w:val="000000"/>
                <w:sz w:val="20"/>
                <w:szCs w:val="20"/>
              </w:rPr>
              <w:t>0.748</w:t>
            </w:r>
          </w:p>
        </w:tc>
        <w:tc>
          <w:tcPr>
            <w:tcW w:w="864" w:type="dxa"/>
            <w:tcBorders>
              <w:top w:val="nil"/>
              <w:left w:val="nil"/>
              <w:bottom w:val="nil"/>
              <w:right w:val="nil"/>
            </w:tcBorders>
            <w:shd w:val="clear" w:color="auto" w:fill="auto"/>
            <w:noWrap/>
            <w:vAlign w:val="bottom"/>
            <w:hideMark/>
          </w:tcPr>
          <w:p w14:paraId="0F9A94FD" w14:textId="77777777" w:rsidR="0019423C" w:rsidRDefault="0019423C" w:rsidP="005A3B4D">
            <w:pPr>
              <w:jc w:val="right"/>
              <w:rPr>
                <w:color w:val="000000"/>
                <w:sz w:val="20"/>
                <w:szCs w:val="20"/>
              </w:rPr>
            </w:pPr>
            <w:r>
              <w:rPr>
                <w:color w:val="000000"/>
                <w:sz w:val="20"/>
                <w:szCs w:val="20"/>
              </w:rPr>
              <w:t>0.000</w:t>
            </w:r>
          </w:p>
        </w:tc>
      </w:tr>
      <w:tr w:rsidR="0019423C" w14:paraId="49DBA92B" w14:textId="77777777" w:rsidTr="005A3B4D">
        <w:trPr>
          <w:trHeight w:val="320"/>
        </w:trPr>
        <w:tc>
          <w:tcPr>
            <w:tcW w:w="1152" w:type="dxa"/>
            <w:tcBorders>
              <w:top w:val="nil"/>
              <w:left w:val="nil"/>
              <w:bottom w:val="nil"/>
              <w:right w:val="nil"/>
            </w:tcBorders>
            <w:shd w:val="clear" w:color="auto" w:fill="auto"/>
            <w:noWrap/>
            <w:vAlign w:val="bottom"/>
            <w:hideMark/>
          </w:tcPr>
          <w:p w14:paraId="4C017E0A"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04D3307" w14:textId="77777777" w:rsidR="0019423C" w:rsidRDefault="0019423C"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CAB74E0" w14:textId="77777777" w:rsidR="0019423C" w:rsidRDefault="0019423C" w:rsidP="005A3B4D">
            <w:pPr>
              <w:jc w:val="right"/>
              <w:rPr>
                <w:color w:val="000000"/>
                <w:sz w:val="20"/>
                <w:szCs w:val="20"/>
              </w:rPr>
            </w:pPr>
            <w:r>
              <w:rPr>
                <w:color w:val="000000"/>
                <w:sz w:val="20"/>
                <w:szCs w:val="20"/>
              </w:rPr>
              <w:t>0.055</w:t>
            </w:r>
          </w:p>
        </w:tc>
        <w:tc>
          <w:tcPr>
            <w:tcW w:w="864" w:type="dxa"/>
            <w:tcBorders>
              <w:top w:val="nil"/>
              <w:left w:val="nil"/>
              <w:bottom w:val="nil"/>
              <w:right w:val="nil"/>
            </w:tcBorders>
            <w:shd w:val="clear" w:color="auto" w:fill="auto"/>
            <w:noWrap/>
            <w:vAlign w:val="bottom"/>
            <w:hideMark/>
          </w:tcPr>
          <w:p w14:paraId="38AF8D6B" w14:textId="77777777" w:rsidR="0019423C" w:rsidRDefault="0019423C" w:rsidP="005A3B4D">
            <w:pPr>
              <w:jc w:val="right"/>
              <w:rPr>
                <w:color w:val="000000"/>
                <w:sz w:val="20"/>
                <w:szCs w:val="20"/>
              </w:rPr>
            </w:pPr>
            <w:r>
              <w:rPr>
                <w:color w:val="000000"/>
                <w:sz w:val="20"/>
                <w:szCs w:val="20"/>
              </w:rPr>
              <w:t>0.184</w:t>
            </w:r>
          </w:p>
        </w:tc>
        <w:tc>
          <w:tcPr>
            <w:tcW w:w="864" w:type="dxa"/>
            <w:tcBorders>
              <w:top w:val="nil"/>
              <w:left w:val="nil"/>
              <w:bottom w:val="nil"/>
              <w:right w:val="nil"/>
            </w:tcBorders>
            <w:shd w:val="clear" w:color="auto" w:fill="auto"/>
            <w:noWrap/>
            <w:vAlign w:val="bottom"/>
            <w:hideMark/>
          </w:tcPr>
          <w:p w14:paraId="41D105C2" w14:textId="77777777" w:rsidR="0019423C" w:rsidRDefault="0019423C"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AD6ACAF" w14:textId="77777777" w:rsidR="0019423C" w:rsidRDefault="0019423C"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68AB7ACE" w14:textId="77777777" w:rsidR="0019423C" w:rsidRDefault="0019423C" w:rsidP="005A3B4D">
            <w:pPr>
              <w:jc w:val="right"/>
              <w:rPr>
                <w:color w:val="000000"/>
                <w:sz w:val="20"/>
                <w:szCs w:val="20"/>
              </w:rPr>
            </w:pPr>
            <w:r>
              <w:rPr>
                <w:color w:val="000000"/>
                <w:sz w:val="20"/>
                <w:szCs w:val="20"/>
              </w:rPr>
              <w:t>0.748</w:t>
            </w:r>
          </w:p>
        </w:tc>
        <w:tc>
          <w:tcPr>
            <w:tcW w:w="864" w:type="dxa"/>
            <w:tcBorders>
              <w:top w:val="nil"/>
              <w:left w:val="nil"/>
              <w:bottom w:val="nil"/>
              <w:right w:val="nil"/>
            </w:tcBorders>
            <w:shd w:val="clear" w:color="auto" w:fill="auto"/>
            <w:noWrap/>
            <w:vAlign w:val="bottom"/>
            <w:hideMark/>
          </w:tcPr>
          <w:p w14:paraId="15932ABF" w14:textId="77777777" w:rsidR="0019423C" w:rsidRDefault="0019423C" w:rsidP="005A3B4D">
            <w:pPr>
              <w:jc w:val="right"/>
              <w:rPr>
                <w:color w:val="000000"/>
                <w:sz w:val="20"/>
                <w:szCs w:val="20"/>
              </w:rPr>
            </w:pPr>
            <w:r>
              <w:rPr>
                <w:color w:val="000000"/>
                <w:sz w:val="20"/>
                <w:szCs w:val="20"/>
              </w:rPr>
              <w:t>0.000</w:t>
            </w:r>
          </w:p>
        </w:tc>
      </w:tr>
      <w:tr w:rsidR="0019423C" w14:paraId="54A5B192" w14:textId="77777777" w:rsidTr="005A3B4D">
        <w:trPr>
          <w:trHeight w:val="320"/>
        </w:trPr>
        <w:tc>
          <w:tcPr>
            <w:tcW w:w="1152" w:type="dxa"/>
            <w:tcBorders>
              <w:top w:val="nil"/>
              <w:left w:val="nil"/>
              <w:bottom w:val="nil"/>
              <w:right w:val="nil"/>
            </w:tcBorders>
            <w:shd w:val="clear" w:color="auto" w:fill="auto"/>
            <w:noWrap/>
            <w:vAlign w:val="bottom"/>
            <w:hideMark/>
          </w:tcPr>
          <w:p w14:paraId="0AF5B0EA"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E90AFC4" w14:textId="77777777" w:rsidR="0019423C" w:rsidRDefault="0019423C"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FB3B2DD" w14:textId="77777777" w:rsidR="0019423C" w:rsidRDefault="0019423C" w:rsidP="005A3B4D">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0BE1BF20" w14:textId="77777777" w:rsidR="0019423C" w:rsidRDefault="0019423C" w:rsidP="005A3B4D">
            <w:pPr>
              <w:jc w:val="right"/>
              <w:rPr>
                <w:color w:val="000000"/>
                <w:sz w:val="20"/>
                <w:szCs w:val="20"/>
              </w:rPr>
            </w:pPr>
            <w:r>
              <w:rPr>
                <w:color w:val="000000"/>
                <w:sz w:val="20"/>
                <w:szCs w:val="20"/>
              </w:rPr>
              <w:t>0.344</w:t>
            </w:r>
          </w:p>
        </w:tc>
        <w:tc>
          <w:tcPr>
            <w:tcW w:w="864" w:type="dxa"/>
            <w:tcBorders>
              <w:top w:val="nil"/>
              <w:left w:val="nil"/>
              <w:bottom w:val="nil"/>
              <w:right w:val="nil"/>
            </w:tcBorders>
            <w:shd w:val="clear" w:color="auto" w:fill="auto"/>
            <w:noWrap/>
            <w:vAlign w:val="bottom"/>
            <w:hideMark/>
          </w:tcPr>
          <w:p w14:paraId="6E6DE53F" w14:textId="77777777" w:rsidR="0019423C" w:rsidRDefault="0019423C"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9008BB0" w14:textId="77777777" w:rsidR="0019423C" w:rsidRDefault="0019423C" w:rsidP="005A3B4D">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74FBA4B1" w14:textId="77777777" w:rsidR="0019423C" w:rsidRDefault="0019423C" w:rsidP="005A3B4D">
            <w:pPr>
              <w:jc w:val="right"/>
              <w:rPr>
                <w:color w:val="000000"/>
                <w:sz w:val="20"/>
                <w:szCs w:val="20"/>
              </w:rPr>
            </w:pPr>
            <w:r>
              <w:rPr>
                <w:color w:val="000000"/>
                <w:sz w:val="20"/>
                <w:szCs w:val="20"/>
              </w:rPr>
              <w:t>0.732</w:t>
            </w:r>
          </w:p>
        </w:tc>
        <w:tc>
          <w:tcPr>
            <w:tcW w:w="864" w:type="dxa"/>
            <w:tcBorders>
              <w:top w:val="nil"/>
              <w:left w:val="nil"/>
              <w:bottom w:val="nil"/>
              <w:right w:val="nil"/>
            </w:tcBorders>
            <w:shd w:val="clear" w:color="auto" w:fill="auto"/>
            <w:noWrap/>
            <w:vAlign w:val="bottom"/>
            <w:hideMark/>
          </w:tcPr>
          <w:p w14:paraId="74EA1E9F" w14:textId="77777777" w:rsidR="0019423C" w:rsidRDefault="0019423C" w:rsidP="005A3B4D">
            <w:pPr>
              <w:jc w:val="right"/>
              <w:rPr>
                <w:color w:val="000000"/>
                <w:sz w:val="20"/>
                <w:szCs w:val="20"/>
              </w:rPr>
            </w:pPr>
            <w:r>
              <w:rPr>
                <w:color w:val="000000"/>
                <w:sz w:val="20"/>
                <w:szCs w:val="20"/>
              </w:rPr>
              <w:t>0.001</w:t>
            </w:r>
          </w:p>
        </w:tc>
      </w:tr>
      <w:tr w:rsidR="0019423C" w14:paraId="0614FE0D" w14:textId="77777777" w:rsidTr="005A3B4D">
        <w:trPr>
          <w:trHeight w:val="320"/>
        </w:trPr>
        <w:tc>
          <w:tcPr>
            <w:tcW w:w="1152" w:type="dxa"/>
            <w:tcBorders>
              <w:top w:val="nil"/>
              <w:left w:val="nil"/>
              <w:bottom w:val="nil"/>
              <w:right w:val="nil"/>
            </w:tcBorders>
            <w:shd w:val="clear" w:color="auto" w:fill="auto"/>
            <w:noWrap/>
            <w:vAlign w:val="bottom"/>
            <w:hideMark/>
          </w:tcPr>
          <w:p w14:paraId="739A18F5"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9BC76EC" w14:textId="77777777" w:rsidR="0019423C" w:rsidRDefault="0019423C"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E2B28C1" w14:textId="77777777" w:rsidR="0019423C" w:rsidRDefault="0019423C" w:rsidP="005A3B4D">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68C7590A" w14:textId="77777777" w:rsidR="0019423C" w:rsidRDefault="0019423C" w:rsidP="005A3B4D">
            <w:pPr>
              <w:jc w:val="right"/>
              <w:rPr>
                <w:color w:val="000000"/>
                <w:sz w:val="20"/>
                <w:szCs w:val="20"/>
              </w:rPr>
            </w:pPr>
            <w:r>
              <w:rPr>
                <w:color w:val="000000"/>
                <w:sz w:val="20"/>
                <w:szCs w:val="20"/>
              </w:rPr>
              <w:t>0.717</w:t>
            </w:r>
          </w:p>
        </w:tc>
        <w:tc>
          <w:tcPr>
            <w:tcW w:w="864" w:type="dxa"/>
            <w:tcBorders>
              <w:top w:val="nil"/>
              <w:left w:val="nil"/>
              <w:bottom w:val="nil"/>
              <w:right w:val="nil"/>
            </w:tcBorders>
            <w:shd w:val="clear" w:color="auto" w:fill="auto"/>
            <w:noWrap/>
            <w:vAlign w:val="bottom"/>
            <w:hideMark/>
          </w:tcPr>
          <w:p w14:paraId="42AFC82C"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C9F1D45" w14:textId="77777777" w:rsidR="0019423C" w:rsidRDefault="0019423C" w:rsidP="005A3B4D">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2F32BF60" w14:textId="77777777" w:rsidR="0019423C" w:rsidRDefault="0019423C" w:rsidP="005A3B4D">
            <w:pPr>
              <w:jc w:val="right"/>
              <w:rPr>
                <w:color w:val="000000"/>
                <w:sz w:val="20"/>
                <w:szCs w:val="20"/>
              </w:rPr>
            </w:pPr>
            <w:r>
              <w:rPr>
                <w:color w:val="000000"/>
                <w:sz w:val="20"/>
                <w:szCs w:val="20"/>
              </w:rPr>
              <w:t>0.212</w:t>
            </w:r>
          </w:p>
        </w:tc>
        <w:tc>
          <w:tcPr>
            <w:tcW w:w="864" w:type="dxa"/>
            <w:tcBorders>
              <w:top w:val="nil"/>
              <w:left w:val="nil"/>
              <w:bottom w:val="nil"/>
              <w:right w:val="nil"/>
            </w:tcBorders>
            <w:shd w:val="clear" w:color="auto" w:fill="auto"/>
            <w:noWrap/>
            <w:vAlign w:val="bottom"/>
            <w:hideMark/>
          </w:tcPr>
          <w:p w14:paraId="48E4A183" w14:textId="77777777" w:rsidR="0019423C" w:rsidRDefault="0019423C" w:rsidP="005A3B4D">
            <w:pPr>
              <w:jc w:val="right"/>
              <w:rPr>
                <w:color w:val="000000"/>
                <w:sz w:val="20"/>
                <w:szCs w:val="20"/>
              </w:rPr>
            </w:pPr>
            <w:r>
              <w:rPr>
                <w:color w:val="000000"/>
                <w:sz w:val="20"/>
                <w:szCs w:val="20"/>
              </w:rPr>
              <w:t>0.002</w:t>
            </w:r>
          </w:p>
        </w:tc>
      </w:tr>
      <w:tr w:rsidR="0019423C" w14:paraId="187BDA0C" w14:textId="77777777" w:rsidTr="005A3B4D">
        <w:trPr>
          <w:trHeight w:val="320"/>
        </w:trPr>
        <w:tc>
          <w:tcPr>
            <w:tcW w:w="1152" w:type="dxa"/>
            <w:tcBorders>
              <w:top w:val="nil"/>
              <w:left w:val="nil"/>
              <w:bottom w:val="nil"/>
              <w:right w:val="nil"/>
            </w:tcBorders>
            <w:shd w:val="clear" w:color="auto" w:fill="auto"/>
            <w:noWrap/>
            <w:vAlign w:val="bottom"/>
            <w:hideMark/>
          </w:tcPr>
          <w:p w14:paraId="6E62FBEE"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667D70A" w14:textId="77777777" w:rsidR="0019423C" w:rsidRDefault="0019423C"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8B184F5"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D467B2E" w14:textId="77777777" w:rsidR="0019423C" w:rsidRDefault="0019423C" w:rsidP="005A3B4D">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63F054D2"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5F2F693" w14:textId="77777777" w:rsidR="0019423C" w:rsidRDefault="0019423C" w:rsidP="005A3B4D">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24EA29AA" w14:textId="77777777" w:rsidR="0019423C" w:rsidRDefault="0019423C" w:rsidP="005A3B4D">
            <w:pPr>
              <w:jc w:val="right"/>
              <w:rPr>
                <w:color w:val="000000"/>
                <w:sz w:val="20"/>
                <w:szCs w:val="20"/>
              </w:rPr>
            </w:pPr>
            <w:r>
              <w:rPr>
                <w:color w:val="000000"/>
                <w:sz w:val="20"/>
                <w:szCs w:val="20"/>
              </w:rPr>
              <w:t>0.732</w:t>
            </w:r>
          </w:p>
        </w:tc>
        <w:tc>
          <w:tcPr>
            <w:tcW w:w="864" w:type="dxa"/>
            <w:tcBorders>
              <w:top w:val="nil"/>
              <w:left w:val="nil"/>
              <w:bottom w:val="nil"/>
              <w:right w:val="nil"/>
            </w:tcBorders>
            <w:shd w:val="clear" w:color="auto" w:fill="auto"/>
            <w:noWrap/>
            <w:vAlign w:val="bottom"/>
            <w:hideMark/>
          </w:tcPr>
          <w:p w14:paraId="464D2471" w14:textId="77777777" w:rsidR="0019423C" w:rsidRDefault="0019423C" w:rsidP="005A3B4D">
            <w:pPr>
              <w:jc w:val="right"/>
              <w:rPr>
                <w:color w:val="000000"/>
                <w:sz w:val="20"/>
                <w:szCs w:val="20"/>
              </w:rPr>
            </w:pPr>
            <w:r>
              <w:rPr>
                <w:color w:val="000000"/>
                <w:sz w:val="20"/>
                <w:szCs w:val="20"/>
              </w:rPr>
              <w:t>0.000</w:t>
            </w:r>
          </w:p>
        </w:tc>
      </w:tr>
      <w:tr w:rsidR="0019423C" w14:paraId="47EC35F0" w14:textId="77777777" w:rsidTr="005A3B4D">
        <w:trPr>
          <w:trHeight w:val="320"/>
        </w:trPr>
        <w:tc>
          <w:tcPr>
            <w:tcW w:w="1152" w:type="dxa"/>
            <w:tcBorders>
              <w:top w:val="nil"/>
              <w:left w:val="nil"/>
              <w:bottom w:val="nil"/>
              <w:right w:val="nil"/>
            </w:tcBorders>
            <w:shd w:val="clear" w:color="auto" w:fill="auto"/>
            <w:noWrap/>
            <w:vAlign w:val="bottom"/>
            <w:hideMark/>
          </w:tcPr>
          <w:p w14:paraId="6268AD6A"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4D1980B" w14:textId="77777777" w:rsidR="0019423C" w:rsidRDefault="0019423C"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7C2C459" w14:textId="77777777" w:rsidR="0019423C" w:rsidRDefault="0019423C" w:rsidP="005A3B4D">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65F368D1" w14:textId="77777777" w:rsidR="0019423C" w:rsidRDefault="0019423C" w:rsidP="005A3B4D">
            <w:pPr>
              <w:jc w:val="right"/>
              <w:rPr>
                <w:color w:val="000000"/>
                <w:sz w:val="20"/>
                <w:szCs w:val="20"/>
              </w:rPr>
            </w:pPr>
            <w:r>
              <w:rPr>
                <w:color w:val="000000"/>
                <w:sz w:val="20"/>
                <w:szCs w:val="20"/>
              </w:rPr>
              <w:t>0.104</w:t>
            </w:r>
          </w:p>
        </w:tc>
        <w:tc>
          <w:tcPr>
            <w:tcW w:w="864" w:type="dxa"/>
            <w:tcBorders>
              <w:top w:val="nil"/>
              <w:left w:val="nil"/>
              <w:bottom w:val="nil"/>
              <w:right w:val="nil"/>
            </w:tcBorders>
            <w:shd w:val="clear" w:color="auto" w:fill="auto"/>
            <w:noWrap/>
            <w:vAlign w:val="bottom"/>
            <w:hideMark/>
          </w:tcPr>
          <w:p w14:paraId="4608F5A3" w14:textId="77777777" w:rsidR="0019423C" w:rsidRDefault="0019423C"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0C454A4" w14:textId="77777777" w:rsidR="0019423C" w:rsidRDefault="0019423C" w:rsidP="005A3B4D">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66EFFD07" w14:textId="77777777" w:rsidR="0019423C" w:rsidRDefault="0019423C" w:rsidP="005A3B4D">
            <w:pPr>
              <w:jc w:val="right"/>
              <w:rPr>
                <w:color w:val="000000"/>
                <w:sz w:val="20"/>
                <w:szCs w:val="20"/>
              </w:rPr>
            </w:pPr>
            <w:r>
              <w:rPr>
                <w:color w:val="000000"/>
                <w:sz w:val="20"/>
                <w:szCs w:val="20"/>
              </w:rPr>
              <w:t>0.732</w:t>
            </w:r>
          </w:p>
        </w:tc>
        <w:tc>
          <w:tcPr>
            <w:tcW w:w="864" w:type="dxa"/>
            <w:tcBorders>
              <w:top w:val="nil"/>
              <w:left w:val="nil"/>
              <w:bottom w:val="nil"/>
              <w:right w:val="nil"/>
            </w:tcBorders>
            <w:shd w:val="clear" w:color="auto" w:fill="auto"/>
            <w:noWrap/>
            <w:vAlign w:val="bottom"/>
            <w:hideMark/>
          </w:tcPr>
          <w:p w14:paraId="1FCAF380" w14:textId="77777777" w:rsidR="0019423C" w:rsidRDefault="0019423C" w:rsidP="005A3B4D">
            <w:pPr>
              <w:jc w:val="right"/>
              <w:rPr>
                <w:color w:val="000000"/>
                <w:sz w:val="20"/>
                <w:szCs w:val="20"/>
              </w:rPr>
            </w:pPr>
            <w:r>
              <w:rPr>
                <w:color w:val="000000"/>
                <w:sz w:val="20"/>
                <w:szCs w:val="20"/>
              </w:rPr>
              <w:t>0.000</w:t>
            </w:r>
          </w:p>
        </w:tc>
      </w:tr>
      <w:tr w:rsidR="0019423C" w14:paraId="6889F4FD"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4BDE1A1E" w14:textId="77777777" w:rsidR="0019423C" w:rsidRDefault="0019423C"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29CDA40" w14:textId="77777777" w:rsidR="0019423C" w:rsidRDefault="0019423C"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66D8B8F" w14:textId="77777777" w:rsidR="0019423C" w:rsidRDefault="0019423C" w:rsidP="005A3B4D">
            <w:pPr>
              <w:jc w:val="right"/>
              <w:rPr>
                <w:color w:val="000000"/>
                <w:sz w:val="20"/>
                <w:szCs w:val="20"/>
              </w:rPr>
            </w:pPr>
            <w:r>
              <w:rPr>
                <w:color w:val="000000"/>
                <w:sz w:val="20"/>
                <w:szCs w:val="20"/>
              </w:rPr>
              <w:t>0.014</w:t>
            </w:r>
          </w:p>
        </w:tc>
        <w:tc>
          <w:tcPr>
            <w:tcW w:w="864" w:type="dxa"/>
            <w:tcBorders>
              <w:top w:val="nil"/>
              <w:left w:val="nil"/>
              <w:bottom w:val="single" w:sz="4" w:space="0" w:color="auto"/>
              <w:right w:val="nil"/>
            </w:tcBorders>
            <w:shd w:val="clear" w:color="auto" w:fill="auto"/>
            <w:noWrap/>
            <w:vAlign w:val="bottom"/>
            <w:hideMark/>
          </w:tcPr>
          <w:p w14:paraId="638FE3A2" w14:textId="77777777" w:rsidR="0019423C" w:rsidRDefault="0019423C" w:rsidP="005A3B4D">
            <w:pPr>
              <w:jc w:val="right"/>
              <w:rPr>
                <w:color w:val="000000"/>
                <w:sz w:val="20"/>
                <w:szCs w:val="20"/>
              </w:rPr>
            </w:pPr>
            <w:r>
              <w:rPr>
                <w:color w:val="000000"/>
                <w:sz w:val="20"/>
                <w:szCs w:val="20"/>
              </w:rPr>
              <w:t>0.717</w:t>
            </w:r>
          </w:p>
        </w:tc>
        <w:tc>
          <w:tcPr>
            <w:tcW w:w="864" w:type="dxa"/>
            <w:tcBorders>
              <w:top w:val="nil"/>
              <w:left w:val="nil"/>
              <w:bottom w:val="single" w:sz="4" w:space="0" w:color="auto"/>
              <w:right w:val="nil"/>
            </w:tcBorders>
            <w:shd w:val="clear" w:color="auto" w:fill="auto"/>
            <w:noWrap/>
            <w:vAlign w:val="bottom"/>
            <w:hideMark/>
          </w:tcPr>
          <w:p w14:paraId="221CB344"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42160362" w14:textId="77777777" w:rsidR="0019423C" w:rsidRDefault="0019423C" w:rsidP="005A3B4D">
            <w:pPr>
              <w:jc w:val="right"/>
              <w:rPr>
                <w:color w:val="000000"/>
                <w:sz w:val="20"/>
                <w:szCs w:val="20"/>
              </w:rPr>
            </w:pPr>
            <w:r>
              <w:rPr>
                <w:color w:val="000000"/>
                <w:sz w:val="20"/>
                <w:szCs w:val="20"/>
              </w:rPr>
              <w:t>0.033</w:t>
            </w:r>
          </w:p>
        </w:tc>
        <w:tc>
          <w:tcPr>
            <w:tcW w:w="864" w:type="dxa"/>
            <w:tcBorders>
              <w:top w:val="nil"/>
              <w:left w:val="nil"/>
              <w:bottom w:val="single" w:sz="4" w:space="0" w:color="auto"/>
              <w:right w:val="nil"/>
            </w:tcBorders>
            <w:shd w:val="clear" w:color="auto" w:fill="auto"/>
            <w:noWrap/>
            <w:vAlign w:val="bottom"/>
            <w:hideMark/>
          </w:tcPr>
          <w:p w14:paraId="618C8B9C" w14:textId="77777777" w:rsidR="0019423C" w:rsidRDefault="0019423C" w:rsidP="005A3B4D">
            <w:pPr>
              <w:jc w:val="right"/>
              <w:rPr>
                <w:color w:val="000000"/>
                <w:sz w:val="20"/>
                <w:szCs w:val="20"/>
              </w:rPr>
            </w:pPr>
            <w:r>
              <w:rPr>
                <w:color w:val="000000"/>
                <w:sz w:val="20"/>
                <w:szCs w:val="20"/>
              </w:rPr>
              <w:t>0.584</w:t>
            </w:r>
          </w:p>
        </w:tc>
        <w:tc>
          <w:tcPr>
            <w:tcW w:w="864" w:type="dxa"/>
            <w:tcBorders>
              <w:top w:val="nil"/>
              <w:left w:val="nil"/>
              <w:bottom w:val="single" w:sz="4" w:space="0" w:color="auto"/>
              <w:right w:val="nil"/>
            </w:tcBorders>
            <w:shd w:val="clear" w:color="auto" w:fill="auto"/>
            <w:noWrap/>
            <w:vAlign w:val="bottom"/>
            <w:hideMark/>
          </w:tcPr>
          <w:p w14:paraId="67D4C4AC" w14:textId="77777777" w:rsidR="0019423C" w:rsidRDefault="0019423C" w:rsidP="005A3B4D">
            <w:pPr>
              <w:jc w:val="right"/>
              <w:rPr>
                <w:color w:val="000000"/>
                <w:sz w:val="20"/>
                <w:szCs w:val="20"/>
              </w:rPr>
            </w:pPr>
            <w:r>
              <w:rPr>
                <w:color w:val="000000"/>
                <w:sz w:val="20"/>
                <w:szCs w:val="20"/>
              </w:rPr>
              <w:t>0.001</w:t>
            </w:r>
          </w:p>
        </w:tc>
      </w:tr>
      <w:tr w:rsidR="0019423C" w14:paraId="7AA5887B" w14:textId="77777777" w:rsidTr="005A3B4D">
        <w:trPr>
          <w:trHeight w:val="320"/>
        </w:trPr>
        <w:tc>
          <w:tcPr>
            <w:tcW w:w="1152" w:type="dxa"/>
            <w:tcBorders>
              <w:top w:val="nil"/>
              <w:left w:val="nil"/>
              <w:bottom w:val="nil"/>
              <w:right w:val="nil"/>
            </w:tcBorders>
            <w:shd w:val="clear" w:color="auto" w:fill="auto"/>
            <w:noWrap/>
            <w:vAlign w:val="bottom"/>
            <w:hideMark/>
          </w:tcPr>
          <w:p w14:paraId="0F888D71" w14:textId="77777777" w:rsidR="0019423C" w:rsidRDefault="0019423C" w:rsidP="005A3B4D">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04A6E160" w14:textId="77777777" w:rsidR="0019423C" w:rsidRDefault="0019423C"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120D1A1" w14:textId="77777777" w:rsidR="0019423C" w:rsidRDefault="0019423C"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3316D858" w14:textId="77777777" w:rsidR="0019423C" w:rsidRDefault="0019423C" w:rsidP="005A3B4D">
            <w:pPr>
              <w:jc w:val="right"/>
              <w:rPr>
                <w:color w:val="000000"/>
                <w:sz w:val="20"/>
                <w:szCs w:val="20"/>
              </w:rPr>
            </w:pPr>
            <w:r>
              <w:rPr>
                <w:color w:val="000000"/>
                <w:sz w:val="20"/>
                <w:szCs w:val="20"/>
              </w:rPr>
              <w:t>0.614</w:t>
            </w:r>
          </w:p>
        </w:tc>
        <w:tc>
          <w:tcPr>
            <w:tcW w:w="864" w:type="dxa"/>
            <w:tcBorders>
              <w:top w:val="nil"/>
              <w:left w:val="nil"/>
              <w:bottom w:val="nil"/>
              <w:right w:val="nil"/>
            </w:tcBorders>
            <w:shd w:val="clear" w:color="auto" w:fill="auto"/>
            <w:noWrap/>
            <w:vAlign w:val="bottom"/>
            <w:hideMark/>
          </w:tcPr>
          <w:p w14:paraId="0E766D0E"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04277B1" w14:textId="77777777" w:rsidR="0019423C" w:rsidRDefault="0019423C" w:rsidP="005A3B4D">
            <w:pPr>
              <w:jc w:val="right"/>
              <w:rPr>
                <w:b/>
                <w:bCs/>
                <w:color w:val="000000"/>
                <w:sz w:val="20"/>
                <w:szCs w:val="20"/>
              </w:rPr>
            </w:pPr>
            <w:r>
              <w:rPr>
                <w:b/>
                <w:bCs/>
                <w:color w:val="000000"/>
                <w:sz w:val="20"/>
                <w:szCs w:val="20"/>
              </w:rPr>
              <w:t>0.065</w:t>
            </w:r>
          </w:p>
        </w:tc>
        <w:tc>
          <w:tcPr>
            <w:tcW w:w="864" w:type="dxa"/>
            <w:tcBorders>
              <w:top w:val="nil"/>
              <w:left w:val="nil"/>
              <w:bottom w:val="nil"/>
              <w:right w:val="nil"/>
            </w:tcBorders>
            <w:shd w:val="clear" w:color="auto" w:fill="auto"/>
            <w:noWrap/>
            <w:vAlign w:val="bottom"/>
            <w:hideMark/>
          </w:tcPr>
          <w:p w14:paraId="40F6B7B0" w14:textId="77777777" w:rsidR="0019423C" w:rsidRDefault="0019423C" w:rsidP="005A3B4D">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53F1B47A" w14:textId="77777777" w:rsidR="0019423C" w:rsidRDefault="0019423C" w:rsidP="005A3B4D">
            <w:pPr>
              <w:jc w:val="right"/>
              <w:rPr>
                <w:b/>
                <w:bCs/>
                <w:color w:val="000000"/>
                <w:sz w:val="20"/>
                <w:szCs w:val="20"/>
              </w:rPr>
            </w:pPr>
            <w:r>
              <w:rPr>
                <w:b/>
                <w:bCs/>
                <w:color w:val="000000"/>
                <w:sz w:val="20"/>
                <w:szCs w:val="20"/>
              </w:rPr>
              <w:t>0.004</w:t>
            </w:r>
          </w:p>
        </w:tc>
      </w:tr>
      <w:tr w:rsidR="0019423C" w14:paraId="056D55AD" w14:textId="77777777" w:rsidTr="005A3B4D">
        <w:trPr>
          <w:trHeight w:val="320"/>
        </w:trPr>
        <w:tc>
          <w:tcPr>
            <w:tcW w:w="1152" w:type="dxa"/>
            <w:tcBorders>
              <w:top w:val="nil"/>
              <w:left w:val="nil"/>
              <w:bottom w:val="nil"/>
              <w:right w:val="nil"/>
            </w:tcBorders>
            <w:shd w:val="clear" w:color="auto" w:fill="auto"/>
            <w:noWrap/>
            <w:vAlign w:val="bottom"/>
            <w:hideMark/>
          </w:tcPr>
          <w:p w14:paraId="3B71C08F" w14:textId="77777777" w:rsidR="0019423C" w:rsidRDefault="0019423C" w:rsidP="005A3B4D">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15F4FAC1" w14:textId="77777777" w:rsidR="0019423C" w:rsidRDefault="0019423C"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244788E" w14:textId="77777777" w:rsidR="0019423C" w:rsidRDefault="0019423C" w:rsidP="005A3B4D">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47D1D380" w14:textId="77777777" w:rsidR="0019423C" w:rsidRDefault="0019423C" w:rsidP="005A3B4D">
            <w:pPr>
              <w:jc w:val="right"/>
              <w:rPr>
                <w:color w:val="000000"/>
                <w:sz w:val="20"/>
                <w:szCs w:val="20"/>
              </w:rPr>
            </w:pPr>
            <w:r>
              <w:rPr>
                <w:color w:val="000000"/>
                <w:sz w:val="20"/>
                <w:szCs w:val="20"/>
              </w:rPr>
              <w:t>0.176</w:t>
            </w:r>
          </w:p>
        </w:tc>
        <w:tc>
          <w:tcPr>
            <w:tcW w:w="864" w:type="dxa"/>
            <w:tcBorders>
              <w:top w:val="nil"/>
              <w:left w:val="nil"/>
              <w:bottom w:val="nil"/>
              <w:right w:val="nil"/>
            </w:tcBorders>
            <w:shd w:val="clear" w:color="auto" w:fill="auto"/>
            <w:noWrap/>
            <w:vAlign w:val="bottom"/>
            <w:hideMark/>
          </w:tcPr>
          <w:p w14:paraId="57ABAF57" w14:textId="77777777" w:rsidR="0019423C" w:rsidRDefault="0019423C"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0726E46" w14:textId="77777777" w:rsidR="0019423C" w:rsidRDefault="0019423C" w:rsidP="005A3B4D">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70FD732E" w14:textId="77777777" w:rsidR="0019423C" w:rsidRDefault="0019423C" w:rsidP="005A3B4D">
            <w:pPr>
              <w:jc w:val="right"/>
              <w:rPr>
                <w:color w:val="000000"/>
                <w:sz w:val="20"/>
                <w:szCs w:val="20"/>
              </w:rPr>
            </w:pPr>
            <w:r>
              <w:rPr>
                <w:color w:val="000000"/>
                <w:sz w:val="20"/>
                <w:szCs w:val="20"/>
              </w:rPr>
              <w:t>0.403</w:t>
            </w:r>
          </w:p>
        </w:tc>
        <w:tc>
          <w:tcPr>
            <w:tcW w:w="864" w:type="dxa"/>
            <w:tcBorders>
              <w:top w:val="nil"/>
              <w:left w:val="nil"/>
              <w:bottom w:val="nil"/>
              <w:right w:val="nil"/>
            </w:tcBorders>
            <w:shd w:val="clear" w:color="auto" w:fill="auto"/>
            <w:noWrap/>
            <w:vAlign w:val="bottom"/>
            <w:hideMark/>
          </w:tcPr>
          <w:p w14:paraId="4638A060" w14:textId="77777777" w:rsidR="0019423C" w:rsidRDefault="0019423C" w:rsidP="005A3B4D">
            <w:pPr>
              <w:jc w:val="right"/>
              <w:rPr>
                <w:color w:val="000000"/>
                <w:sz w:val="20"/>
                <w:szCs w:val="20"/>
              </w:rPr>
            </w:pPr>
            <w:r>
              <w:rPr>
                <w:color w:val="000000"/>
                <w:sz w:val="20"/>
                <w:szCs w:val="20"/>
              </w:rPr>
              <w:t>0.001</w:t>
            </w:r>
          </w:p>
        </w:tc>
      </w:tr>
      <w:tr w:rsidR="0019423C" w14:paraId="5CF92D57" w14:textId="77777777" w:rsidTr="005A3B4D">
        <w:trPr>
          <w:trHeight w:val="320"/>
        </w:trPr>
        <w:tc>
          <w:tcPr>
            <w:tcW w:w="1152" w:type="dxa"/>
            <w:tcBorders>
              <w:top w:val="nil"/>
              <w:left w:val="nil"/>
              <w:bottom w:val="nil"/>
              <w:right w:val="nil"/>
            </w:tcBorders>
            <w:shd w:val="clear" w:color="auto" w:fill="auto"/>
            <w:noWrap/>
            <w:vAlign w:val="bottom"/>
            <w:hideMark/>
          </w:tcPr>
          <w:p w14:paraId="4E7C764F"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7D391D6" w14:textId="77777777" w:rsidR="0019423C" w:rsidRDefault="0019423C"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A8E901E" w14:textId="77777777" w:rsidR="0019423C" w:rsidRDefault="0019423C" w:rsidP="005A3B4D">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3A3B8C6A" w14:textId="77777777" w:rsidR="0019423C" w:rsidRDefault="0019423C" w:rsidP="005A3B4D">
            <w:pPr>
              <w:jc w:val="right"/>
              <w:rPr>
                <w:color w:val="000000"/>
                <w:sz w:val="20"/>
                <w:szCs w:val="20"/>
              </w:rPr>
            </w:pPr>
            <w:r>
              <w:rPr>
                <w:color w:val="000000"/>
                <w:sz w:val="20"/>
                <w:szCs w:val="20"/>
              </w:rPr>
              <w:t>0.614</w:t>
            </w:r>
          </w:p>
        </w:tc>
        <w:tc>
          <w:tcPr>
            <w:tcW w:w="864" w:type="dxa"/>
            <w:tcBorders>
              <w:top w:val="nil"/>
              <w:left w:val="nil"/>
              <w:bottom w:val="nil"/>
              <w:right w:val="nil"/>
            </w:tcBorders>
            <w:shd w:val="clear" w:color="auto" w:fill="auto"/>
            <w:noWrap/>
            <w:vAlign w:val="bottom"/>
            <w:hideMark/>
          </w:tcPr>
          <w:p w14:paraId="19869D38"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C4A3799" w14:textId="77777777" w:rsidR="0019423C" w:rsidRDefault="0019423C" w:rsidP="005A3B4D">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2643C2A6" w14:textId="77777777" w:rsidR="0019423C" w:rsidRDefault="0019423C" w:rsidP="005A3B4D">
            <w:pPr>
              <w:jc w:val="right"/>
              <w:rPr>
                <w:color w:val="000000"/>
                <w:sz w:val="20"/>
                <w:szCs w:val="20"/>
              </w:rPr>
            </w:pPr>
            <w:r>
              <w:rPr>
                <w:color w:val="000000"/>
                <w:sz w:val="20"/>
                <w:szCs w:val="20"/>
              </w:rPr>
              <w:t>0.403</w:t>
            </w:r>
          </w:p>
        </w:tc>
        <w:tc>
          <w:tcPr>
            <w:tcW w:w="864" w:type="dxa"/>
            <w:tcBorders>
              <w:top w:val="nil"/>
              <w:left w:val="nil"/>
              <w:bottom w:val="nil"/>
              <w:right w:val="nil"/>
            </w:tcBorders>
            <w:shd w:val="clear" w:color="auto" w:fill="auto"/>
            <w:noWrap/>
            <w:vAlign w:val="bottom"/>
            <w:hideMark/>
          </w:tcPr>
          <w:p w14:paraId="108F1A85" w14:textId="77777777" w:rsidR="0019423C" w:rsidRDefault="0019423C" w:rsidP="005A3B4D">
            <w:pPr>
              <w:jc w:val="right"/>
              <w:rPr>
                <w:color w:val="000000"/>
                <w:sz w:val="20"/>
                <w:szCs w:val="20"/>
              </w:rPr>
            </w:pPr>
            <w:r>
              <w:rPr>
                <w:color w:val="000000"/>
                <w:sz w:val="20"/>
                <w:szCs w:val="20"/>
              </w:rPr>
              <w:t>0.001</w:t>
            </w:r>
          </w:p>
        </w:tc>
      </w:tr>
      <w:tr w:rsidR="0019423C" w14:paraId="238A351E" w14:textId="77777777" w:rsidTr="005A3B4D">
        <w:trPr>
          <w:trHeight w:val="320"/>
        </w:trPr>
        <w:tc>
          <w:tcPr>
            <w:tcW w:w="1152" w:type="dxa"/>
            <w:tcBorders>
              <w:top w:val="nil"/>
              <w:left w:val="nil"/>
              <w:bottom w:val="nil"/>
              <w:right w:val="nil"/>
            </w:tcBorders>
            <w:shd w:val="clear" w:color="auto" w:fill="auto"/>
            <w:noWrap/>
            <w:vAlign w:val="bottom"/>
            <w:hideMark/>
          </w:tcPr>
          <w:p w14:paraId="5E4D5851"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84202FA" w14:textId="77777777" w:rsidR="0019423C" w:rsidRDefault="0019423C"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77790BB5" w14:textId="77777777" w:rsidR="0019423C" w:rsidRDefault="0019423C" w:rsidP="005A3B4D">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79C30541" w14:textId="77777777" w:rsidR="0019423C" w:rsidRDefault="0019423C" w:rsidP="005A3B4D">
            <w:pPr>
              <w:jc w:val="right"/>
              <w:rPr>
                <w:color w:val="000000"/>
                <w:sz w:val="20"/>
                <w:szCs w:val="20"/>
              </w:rPr>
            </w:pPr>
            <w:r>
              <w:rPr>
                <w:color w:val="000000"/>
                <w:sz w:val="20"/>
                <w:szCs w:val="20"/>
              </w:rPr>
              <w:t>0.743</w:t>
            </w:r>
          </w:p>
        </w:tc>
        <w:tc>
          <w:tcPr>
            <w:tcW w:w="864" w:type="dxa"/>
            <w:tcBorders>
              <w:top w:val="nil"/>
              <w:left w:val="nil"/>
              <w:bottom w:val="nil"/>
              <w:right w:val="nil"/>
            </w:tcBorders>
            <w:shd w:val="clear" w:color="auto" w:fill="auto"/>
            <w:noWrap/>
            <w:vAlign w:val="bottom"/>
            <w:hideMark/>
          </w:tcPr>
          <w:p w14:paraId="49AD7B09"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F55DBD1" w14:textId="77777777" w:rsidR="0019423C" w:rsidRDefault="0019423C" w:rsidP="005A3B4D">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3BDEA8B5" w14:textId="77777777" w:rsidR="0019423C" w:rsidRDefault="0019423C" w:rsidP="005A3B4D">
            <w:pPr>
              <w:jc w:val="right"/>
              <w:rPr>
                <w:color w:val="000000"/>
                <w:sz w:val="20"/>
                <w:szCs w:val="20"/>
              </w:rPr>
            </w:pPr>
            <w:r>
              <w:rPr>
                <w:color w:val="000000"/>
                <w:sz w:val="20"/>
                <w:szCs w:val="20"/>
              </w:rPr>
              <w:t>0.403</w:t>
            </w:r>
          </w:p>
        </w:tc>
        <w:tc>
          <w:tcPr>
            <w:tcW w:w="864" w:type="dxa"/>
            <w:tcBorders>
              <w:top w:val="nil"/>
              <w:left w:val="nil"/>
              <w:bottom w:val="nil"/>
              <w:right w:val="nil"/>
            </w:tcBorders>
            <w:shd w:val="clear" w:color="auto" w:fill="auto"/>
            <w:noWrap/>
            <w:vAlign w:val="bottom"/>
            <w:hideMark/>
          </w:tcPr>
          <w:p w14:paraId="67FB020A" w14:textId="77777777" w:rsidR="0019423C" w:rsidRDefault="0019423C" w:rsidP="005A3B4D">
            <w:pPr>
              <w:jc w:val="right"/>
              <w:rPr>
                <w:color w:val="000000"/>
                <w:sz w:val="20"/>
                <w:szCs w:val="20"/>
              </w:rPr>
            </w:pPr>
            <w:r>
              <w:rPr>
                <w:color w:val="000000"/>
                <w:sz w:val="20"/>
                <w:szCs w:val="20"/>
              </w:rPr>
              <w:t>0.001</w:t>
            </w:r>
          </w:p>
        </w:tc>
      </w:tr>
      <w:tr w:rsidR="0019423C" w14:paraId="12F49320" w14:textId="77777777" w:rsidTr="005A3B4D">
        <w:trPr>
          <w:trHeight w:val="320"/>
        </w:trPr>
        <w:tc>
          <w:tcPr>
            <w:tcW w:w="1152" w:type="dxa"/>
            <w:tcBorders>
              <w:top w:val="nil"/>
              <w:left w:val="nil"/>
              <w:bottom w:val="nil"/>
              <w:right w:val="nil"/>
            </w:tcBorders>
            <w:shd w:val="clear" w:color="auto" w:fill="auto"/>
            <w:noWrap/>
            <w:vAlign w:val="bottom"/>
            <w:hideMark/>
          </w:tcPr>
          <w:p w14:paraId="08248091"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B64E4C8" w14:textId="77777777" w:rsidR="0019423C" w:rsidRDefault="0019423C"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8A9D001" w14:textId="77777777" w:rsidR="0019423C" w:rsidRDefault="0019423C"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559DA03C" w14:textId="77777777" w:rsidR="0019423C" w:rsidRDefault="0019423C" w:rsidP="005A3B4D">
            <w:pPr>
              <w:jc w:val="right"/>
              <w:rPr>
                <w:color w:val="000000"/>
                <w:sz w:val="20"/>
                <w:szCs w:val="20"/>
              </w:rPr>
            </w:pPr>
            <w:r>
              <w:rPr>
                <w:color w:val="000000"/>
                <w:sz w:val="20"/>
                <w:szCs w:val="20"/>
              </w:rPr>
              <w:t>0.743</w:t>
            </w:r>
          </w:p>
        </w:tc>
        <w:tc>
          <w:tcPr>
            <w:tcW w:w="864" w:type="dxa"/>
            <w:tcBorders>
              <w:top w:val="nil"/>
              <w:left w:val="nil"/>
              <w:bottom w:val="nil"/>
              <w:right w:val="nil"/>
            </w:tcBorders>
            <w:shd w:val="clear" w:color="auto" w:fill="auto"/>
            <w:noWrap/>
            <w:vAlign w:val="bottom"/>
            <w:hideMark/>
          </w:tcPr>
          <w:p w14:paraId="1B1910E4"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BA9AE4E" w14:textId="77777777" w:rsidR="0019423C" w:rsidRDefault="0019423C" w:rsidP="005A3B4D">
            <w:pPr>
              <w:jc w:val="right"/>
              <w:rPr>
                <w:b/>
                <w:bCs/>
                <w:color w:val="000000"/>
                <w:sz w:val="20"/>
                <w:szCs w:val="20"/>
              </w:rPr>
            </w:pPr>
            <w:r>
              <w:rPr>
                <w:b/>
                <w:bCs/>
                <w:color w:val="000000"/>
                <w:sz w:val="20"/>
                <w:szCs w:val="20"/>
              </w:rPr>
              <w:t>-0.057</w:t>
            </w:r>
          </w:p>
        </w:tc>
        <w:tc>
          <w:tcPr>
            <w:tcW w:w="864" w:type="dxa"/>
            <w:tcBorders>
              <w:top w:val="nil"/>
              <w:left w:val="nil"/>
              <w:bottom w:val="nil"/>
              <w:right w:val="nil"/>
            </w:tcBorders>
            <w:shd w:val="clear" w:color="auto" w:fill="auto"/>
            <w:noWrap/>
            <w:vAlign w:val="bottom"/>
            <w:hideMark/>
          </w:tcPr>
          <w:p w14:paraId="2790B802" w14:textId="77777777" w:rsidR="0019423C" w:rsidRDefault="0019423C" w:rsidP="005A3B4D">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75EFFE1D" w14:textId="77777777" w:rsidR="0019423C" w:rsidRDefault="0019423C" w:rsidP="005A3B4D">
            <w:pPr>
              <w:jc w:val="right"/>
              <w:rPr>
                <w:b/>
                <w:bCs/>
                <w:color w:val="000000"/>
                <w:sz w:val="20"/>
                <w:szCs w:val="20"/>
              </w:rPr>
            </w:pPr>
            <w:r>
              <w:rPr>
                <w:b/>
                <w:bCs/>
                <w:color w:val="000000"/>
                <w:sz w:val="20"/>
                <w:szCs w:val="20"/>
              </w:rPr>
              <w:t>0.003</w:t>
            </w:r>
          </w:p>
        </w:tc>
      </w:tr>
      <w:tr w:rsidR="0019423C" w14:paraId="6FE69179" w14:textId="77777777" w:rsidTr="005A3B4D">
        <w:trPr>
          <w:trHeight w:val="320"/>
        </w:trPr>
        <w:tc>
          <w:tcPr>
            <w:tcW w:w="1152" w:type="dxa"/>
            <w:tcBorders>
              <w:top w:val="nil"/>
              <w:left w:val="nil"/>
              <w:bottom w:val="nil"/>
              <w:right w:val="nil"/>
            </w:tcBorders>
            <w:shd w:val="clear" w:color="auto" w:fill="auto"/>
            <w:noWrap/>
            <w:vAlign w:val="bottom"/>
            <w:hideMark/>
          </w:tcPr>
          <w:p w14:paraId="4BBCFE61" w14:textId="77777777" w:rsidR="0019423C" w:rsidRDefault="0019423C" w:rsidP="005A3B4D">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2C779B38" w14:textId="77777777" w:rsidR="0019423C" w:rsidRDefault="0019423C"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38A6DDE" w14:textId="77777777" w:rsidR="0019423C" w:rsidRDefault="0019423C"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70A58BCD" w14:textId="77777777" w:rsidR="0019423C" w:rsidRDefault="0019423C" w:rsidP="005A3B4D">
            <w:pPr>
              <w:jc w:val="right"/>
              <w:rPr>
                <w:color w:val="000000"/>
                <w:sz w:val="20"/>
                <w:szCs w:val="20"/>
              </w:rPr>
            </w:pPr>
            <w:r>
              <w:rPr>
                <w:color w:val="000000"/>
                <w:sz w:val="20"/>
                <w:szCs w:val="20"/>
              </w:rPr>
              <w:t>0.743</w:t>
            </w:r>
          </w:p>
        </w:tc>
        <w:tc>
          <w:tcPr>
            <w:tcW w:w="864" w:type="dxa"/>
            <w:tcBorders>
              <w:top w:val="nil"/>
              <w:left w:val="nil"/>
              <w:bottom w:val="nil"/>
              <w:right w:val="nil"/>
            </w:tcBorders>
            <w:shd w:val="clear" w:color="auto" w:fill="auto"/>
            <w:noWrap/>
            <w:vAlign w:val="bottom"/>
            <w:hideMark/>
          </w:tcPr>
          <w:p w14:paraId="19F1337B"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550C0D6" w14:textId="77777777" w:rsidR="0019423C" w:rsidRDefault="0019423C" w:rsidP="005A3B4D">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1602B2B4" w14:textId="77777777" w:rsidR="0019423C" w:rsidRDefault="0019423C" w:rsidP="005A3B4D">
            <w:pPr>
              <w:jc w:val="right"/>
              <w:rPr>
                <w:color w:val="000000"/>
                <w:sz w:val="20"/>
                <w:szCs w:val="20"/>
              </w:rPr>
            </w:pPr>
            <w:r>
              <w:rPr>
                <w:color w:val="000000"/>
                <w:sz w:val="20"/>
                <w:szCs w:val="20"/>
              </w:rPr>
              <w:t>0.673</w:t>
            </w:r>
          </w:p>
        </w:tc>
        <w:tc>
          <w:tcPr>
            <w:tcW w:w="864" w:type="dxa"/>
            <w:tcBorders>
              <w:top w:val="nil"/>
              <w:left w:val="nil"/>
              <w:bottom w:val="nil"/>
              <w:right w:val="nil"/>
            </w:tcBorders>
            <w:shd w:val="clear" w:color="auto" w:fill="auto"/>
            <w:noWrap/>
            <w:vAlign w:val="bottom"/>
            <w:hideMark/>
          </w:tcPr>
          <w:p w14:paraId="008E5885" w14:textId="77777777" w:rsidR="0019423C" w:rsidRDefault="0019423C" w:rsidP="005A3B4D">
            <w:pPr>
              <w:jc w:val="right"/>
              <w:rPr>
                <w:color w:val="000000"/>
                <w:sz w:val="20"/>
                <w:szCs w:val="20"/>
              </w:rPr>
            </w:pPr>
            <w:r>
              <w:rPr>
                <w:color w:val="000000"/>
                <w:sz w:val="20"/>
                <w:szCs w:val="20"/>
              </w:rPr>
              <w:t>0.000</w:t>
            </w:r>
          </w:p>
        </w:tc>
      </w:tr>
      <w:tr w:rsidR="0019423C" w14:paraId="21D2930C" w14:textId="77777777" w:rsidTr="005A3B4D">
        <w:trPr>
          <w:trHeight w:val="320"/>
        </w:trPr>
        <w:tc>
          <w:tcPr>
            <w:tcW w:w="1152" w:type="dxa"/>
            <w:tcBorders>
              <w:top w:val="nil"/>
              <w:left w:val="nil"/>
              <w:bottom w:val="nil"/>
              <w:right w:val="nil"/>
            </w:tcBorders>
            <w:shd w:val="clear" w:color="auto" w:fill="auto"/>
            <w:noWrap/>
            <w:vAlign w:val="bottom"/>
            <w:hideMark/>
          </w:tcPr>
          <w:p w14:paraId="7B67C0C5"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65B4E03" w14:textId="77777777" w:rsidR="0019423C" w:rsidRDefault="0019423C"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7CC9A17" w14:textId="77777777" w:rsidR="0019423C" w:rsidRDefault="0019423C" w:rsidP="005A3B4D">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4F402565" w14:textId="77777777" w:rsidR="0019423C" w:rsidRDefault="0019423C" w:rsidP="005A3B4D">
            <w:pPr>
              <w:jc w:val="right"/>
              <w:rPr>
                <w:color w:val="000000"/>
                <w:sz w:val="20"/>
                <w:szCs w:val="20"/>
              </w:rPr>
            </w:pPr>
            <w:r>
              <w:rPr>
                <w:color w:val="000000"/>
                <w:sz w:val="20"/>
                <w:szCs w:val="20"/>
              </w:rPr>
              <w:t>0.176</w:t>
            </w:r>
          </w:p>
        </w:tc>
        <w:tc>
          <w:tcPr>
            <w:tcW w:w="864" w:type="dxa"/>
            <w:tcBorders>
              <w:top w:val="nil"/>
              <w:left w:val="nil"/>
              <w:bottom w:val="nil"/>
              <w:right w:val="nil"/>
            </w:tcBorders>
            <w:shd w:val="clear" w:color="auto" w:fill="auto"/>
            <w:noWrap/>
            <w:vAlign w:val="bottom"/>
            <w:hideMark/>
          </w:tcPr>
          <w:p w14:paraId="6AE760A4" w14:textId="77777777" w:rsidR="0019423C" w:rsidRDefault="0019423C"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9736252"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A8FCF9C" w14:textId="77777777" w:rsidR="0019423C" w:rsidRDefault="0019423C" w:rsidP="005A3B4D">
            <w:pPr>
              <w:jc w:val="right"/>
              <w:rPr>
                <w:color w:val="000000"/>
                <w:sz w:val="20"/>
                <w:szCs w:val="20"/>
              </w:rPr>
            </w:pPr>
            <w:r>
              <w:rPr>
                <w:color w:val="000000"/>
                <w:sz w:val="20"/>
                <w:szCs w:val="20"/>
              </w:rPr>
              <w:t>1.000</w:t>
            </w:r>
          </w:p>
        </w:tc>
        <w:tc>
          <w:tcPr>
            <w:tcW w:w="864" w:type="dxa"/>
            <w:tcBorders>
              <w:top w:val="nil"/>
              <w:left w:val="nil"/>
              <w:bottom w:val="nil"/>
              <w:right w:val="nil"/>
            </w:tcBorders>
            <w:shd w:val="clear" w:color="auto" w:fill="auto"/>
            <w:noWrap/>
            <w:vAlign w:val="bottom"/>
            <w:hideMark/>
          </w:tcPr>
          <w:p w14:paraId="2A1C7C20" w14:textId="77777777" w:rsidR="0019423C" w:rsidRDefault="0019423C" w:rsidP="005A3B4D">
            <w:pPr>
              <w:jc w:val="right"/>
              <w:rPr>
                <w:color w:val="000000"/>
                <w:sz w:val="20"/>
                <w:szCs w:val="20"/>
              </w:rPr>
            </w:pPr>
            <w:r>
              <w:rPr>
                <w:color w:val="000000"/>
                <w:sz w:val="20"/>
                <w:szCs w:val="20"/>
              </w:rPr>
              <w:t>0.000</w:t>
            </w:r>
          </w:p>
        </w:tc>
      </w:tr>
      <w:tr w:rsidR="0019423C" w14:paraId="136DA487"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265FE869" w14:textId="77777777" w:rsidR="0019423C" w:rsidRDefault="0019423C"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863CEB3" w14:textId="77777777" w:rsidR="0019423C" w:rsidRDefault="0019423C"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7FD789A" w14:textId="77777777" w:rsidR="0019423C" w:rsidRDefault="0019423C" w:rsidP="005A3B4D">
            <w:pPr>
              <w:jc w:val="right"/>
              <w:rPr>
                <w:color w:val="000000"/>
                <w:sz w:val="20"/>
                <w:szCs w:val="20"/>
              </w:rPr>
            </w:pPr>
            <w:r>
              <w:rPr>
                <w:color w:val="000000"/>
                <w:sz w:val="20"/>
                <w:szCs w:val="20"/>
              </w:rPr>
              <w:t>0.019</w:t>
            </w:r>
          </w:p>
        </w:tc>
        <w:tc>
          <w:tcPr>
            <w:tcW w:w="864" w:type="dxa"/>
            <w:tcBorders>
              <w:top w:val="nil"/>
              <w:left w:val="nil"/>
              <w:bottom w:val="single" w:sz="4" w:space="0" w:color="auto"/>
              <w:right w:val="nil"/>
            </w:tcBorders>
            <w:shd w:val="clear" w:color="auto" w:fill="auto"/>
            <w:noWrap/>
            <w:vAlign w:val="bottom"/>
            <w:hideMark/>
          </w:tcPr>
          <w:p w14:paraId="1208820B" w14:textId="77777777" w:rsidR="0019423C" w:rsidRDefault="0019423C" w:rsidP="005A3B4D">
            <w:pPr>
              <w:jc w:val="right"/>
              <w:rPr>
                <w:color w:val="000000"/>
                <w:sz w:val="20"/>
                <w:szCs w:val="20"/>
              </w:rPr>
            </w:pPr>
            <w:r>
              <w:rPr>
                <w:color w:val="000000"/>
                <w:sz w:val="20"/>
                <w:szCs w:val="20"/>
              </w:rPr>
              <w:t>0.614</w:t>
            </w:r>
          </w:p>
        </w:tc>
        <w:tc>
          <w:tcPr>
            <w:tcW w:w="864" w:type="dxa"/>
            <w:tcBorders>
              <w:top w:val="nil"/>
              <w:left w:val="nil"/>
              <w:bottom w:val="single" w:sz="4" w:space="0" w:color="auto"/>
              <w:right w:val="nil"/>
            </w:tcBorders>
            <w:shd w:val="clear" w:color="auto" w:fill="auto"/>
            <w:noWrap/>
            <w:vAlign w:val="bottom"/>
            <w:hideMark/>
          </w:tcPr>
          <w:p w14:paraId="6B718828"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7D814E27" w14:textId="77777777" w:rsidR="0019423C" w:rsidRDefault="0019423C" w:rsidP="005A3B4D">
            <w:pPr>
              <w:jc w:val="right"/>
              <w:rPr>
                <w:color w:val="000000"/>
                <w:sz w:val="20"/>
                <w:szCs w:val="20"/>
              </w:rPr>
            </w:pPr>
            <w:r>
              <w:rPr>
                <w:color w:val="000000"/>
                <w:sz w:val="20"/>
                <w:szCs w:val="20"/>
              </w:rPr>
              <w:t>-0.012</w:t>
            </w:r>
          </w:p>
        </w:tc>
        <w:tc>
          <w:tcPr>
            <w:tcW w:w="864" w:type="dxa"/>
            <w:tcBorders>
              <w:top w:val="nil"/>
              <w:left w:val="nil"/>
              <w:bottom w:val="single" w:sz="4" w:space="0" w:color="auto"/>
              <w:right w:val="nil"/>
            </w:tcBorders>
            <w:shd w:val="clear" w:color="auto" w:fill="auto"/>
            <w:noWrap/>
            <w:vAlign w:val="bottom"/>
            <w:hideMark/>
          </w:tcPr>
          <w:p w14:paraId="64A03676" w14:textId="77777777" w:rsidR="0019423C" w:rsidRDefault="0019423C" w:rsidP="005A3B4D">
            <w:pPr>
              <w:jc w:val="right"/>
              <w:rPr>
                <w:color w:val="000000"/>
                <w:sz w:val="20"/>
                <w:szCs w:val="20"/>
              </w:rPr>
            </w:pPr>
            <w:r>
              <w:rPr>
                <w:color w:val="000000"/>
                <w:sz w:val="20"/>
                <w:szCs w:val="20"/>
              </w:rPr>
              <w:t>0.673</w:t>
            </w:r>
          </w:p>
        </w:tc>
        <w:tc>
          <w:tcPr>
            <w:tcW w:w="864" w:type="dxa"/>
            <w:tcBorders>
              <w:top w:val="nil"/>
              <w:left w:val="nil"/>
              <w:bottom w:val="single" w:sz="4" w:space="0" w:color="auto"/>
              <w:right w:val="nil"/>
            </w:tcBorders>
            <w:shd w:val="clear" w:color="auto" w:fill="auto"/>
            <w:noWrap/>
            <w:vAlign w:val="bottom"/>
            <w:hideMark/>
          </w:tcPr>
          <w:p w14:paraId="7156364A" w14:textId="77777777" w:rsidR="0019423C" w:rsidRDefault="0019423C" w:rsidP="005A3B4D">
            <w:pPr>
              <w:jc w:val="right"/>
              <w:rPr>
                <w:color w:val="000000"/>
                <w:sz w:val="20"/>
                <w:szCs w:val="20"/>
              </w:rPr>
            </w:pPr>
            <w:r>
              <w:rPr>
                <w:color w:val="000000"/>
                <w:sz w:val="20"/>
                <w:szCs w:val="20"/>
              </w:rPr>
              <w:t>0.000</w:t>
            </w:r>
          </w:p>
        </w:tc>
      </w:tr>
      <w:tr w:rsidR="0019423C" w14:paraId="3577440E" w14:textId="77777777" w:rsidTr="005A3B4D">
        <w:trPr>
          <w:trHeight w:val="320"/>
        </w:trPr>
        <w:tc>
          <w:tcPr>
            <w:tcW w:w="1152" w:type="dxa"/>
            <w:tcBorders>
              <w:top w:val="nil"/>
              <w:left w:val="nil"/>
              <w:bottom w:val="nil"/>
              <w:right w:val="nil"/>
            </w:tcBorders>
            <w:shd w:val="clear" w:color="auto" w:fill="auto"/>
            <w:noWrap/>
            <w:vAlign w:val="bottom"/>
            <w:hideMark/>
          </w:tcPr>
          <w:p w14:paraId="704D9B64" w14:textId="77777777" w:rsidR="0019423C" w:rsidRDefault="0019423C" w:rsidP="005A3B4D">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6C4F4F0D" w14:textId="77777777" w:rsidR="0019423C" w:rsidRDefault="0019423C"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9988C26" w14:textId="77777777" w:rsidR="0019423C" w:rsidRDefault="0019423C" w:rsidP="005A3B4D">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2C457356" w14:textId="77777777" w:rsidR="0019423C" w:rsidRDefault="0019423C" w:rsidP="005A3B4D">
            <w:pPr>
              <w:jc w:val="right"/>
              <w:rPr>
                <w:color w:val="000000"/>
                <w:sz w:val="20"/>
                <w:szCs w:val="20"/>
              </w:rPr>
            </w:pPr>
            <w:r>
              <w:rPr>
                <w:color w:val="000000"/>
                <w:sz w:val="20"/>
                <w:szCs w:val="20"/>
              </w:rPr>
              <w:t>0.601</w:t>
            </w:r>
          </w:p>
        </w:tc>
        <w:tc>
          <w:tcPr>
            <w:tcW w:w="864" w:type="dxa"/>
            <w:tcBorders>
              <w:top w:val="nil"/>
              <w:left w:val="nil"/>
              <w:bottom w:val="nil"/>
              <w:right w:val="nil"/>
            </w:tcBorders>
            <w:shd w:val="clear" w:color="auto" w:fill="auto"/>
            <w:noWrap/>
            <w:vAlign w:val="bottom"/>
            <w:hideMark/>
          </w:tcPr>
          <w:p w14:paraId="7F66626F"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5DB455F" w14:textId="77777777" w:rsidR="0019423C" w:rsidRDefault="0019423C" w:rsidP="005A3B4D">
            <w:pPr>
              <w:jc w:val="right"/>
              <w:rPr>
                <w:b/>
                <w:bCs/>
                <w:color w:val="000000"/>
                <w:sz w:val="20"/>
                <w:szCs w:val="20"/>
              </w:rPr>
            </w:pPr>
            <w:r>
              <w:rPr>
                <w:b/>
                <w:bCs/>
                <w:color w:val="000000"/>
                <w:sz w:val="20"/>
                <w:szCs w:val="20"/>
              </w:rPr>
              <w:t>0.071</w:t>
            </w:r>
          </w:p>
        </w:tc>
        <w:tc>
          <w:tcPr>
            <w:tcW w:w="864" w:type="dxa"/>
            <w:tcBorders>
              <w:top w:val="nil"/>
              <w:left w:val="nil"/>
              <w:bottom w:val="nil"/>
              <w:right w:val="nil"/>
            </w:tcBorders>
            <w:shd w:val="clear" w:color="auto" w:fill="auto"/>
            <w:noWrap/>
            <w:vAlign w:val="bottom"/>
            <w:hideMark/>
          </w:tcPr>
          <w:p w14:paraId="18010988" w14:textId="77777777" w:rsidR="0019423C" w:rsidRDefault="0019423C" w:rsidP="005A3B4D">
            <w:pPr>
              <w:jc w:val="right"/>
              <w:rPr>
                <w:b/>
                <w:bCs/>
                <w:color w:val="000000"/>
                <w:sz w:val="20"/>
                <w:szCs w:val="20"/>
              </w:rPr>
            </w:pPr>
            <w:r>
              <w:rPr>
                <w:b/>
                <w:bCs/>
                <w:color w:val="000000"/>
                <w:sz w:val="20"/>
                <w:szCs w:val="20"/>
              </w:rPr>
              <w:t>0.016</w:t>
            </w:r>
          </w:p>
        </w:tc>
        <w:tc>
          <w:tcPr>
            <w:tcW w:w="864" w:type="dxa"/>
            <w:tcBorders>
              <w:top w:val="nil"/>
              <w:left w:val="nil"/>
              <w:bottom w:val="nil"/>
              <w:right w:val="nil"/>
            </w:tcBorders>
            <w:shd w:val="clear" w:color="auto" w:fill="auto"/>
            <w:noWrap/>
            <w:vAlign w:val="bottom"/>
            <w:hideMark/>
          </w:tcPr>
          <w:p w14:paraId="7AD76CD6" w14:textId="77777777" w:rsidR="0019423C" w:rsidRDefault="0019423C" w:rsidP="005A3B4D">
            <w:pPr>
              <w:jc w:val="right"/>
              <w:rPr>
                <w:b/>
                <w:bCs/>
                <w:color w:val="000000"/>
                <w:sz w:val="20"/>
                <w:szCs w:val="20"/>
              </w:rPr>
            </w:pPr>
            <w:r>
              <w:rPr>
                <w:b/>
                <w:bCs/>
                <w:color w:val="000000"/>
                <w:sz w:val="20"/>
                <w:szCs w:val="20"/>
              </w:rPr>
              <w:t>0.005</w:t>
            </w:r>
          </w:p>
        </w:tc>
      </w:tr>
      <w:tr w:rsidR="0019423C" w14:paraId="6B976AC0" w14:textId="77777777" w:rsidTr="005A3B4D">
        <w:trPr>
          <w:trHeight w:val="320"/>
        </w:trPr>
        <w:tc>
          <w:tcPr>
            <w:tcW w:w="1152" w:type="dxa"/>
            <w:tcBorders>
              <w:top w:val="nil"/>
              <w:left w:val="nil"/>
              <w:bottom w:val="nil"/>
              <w:right w:val="nil"/>
            </w:tcBorders>
            <w:shd w:val="clear" w:color="auto" w:fill="auto"/>
            <w:noWrap/>
            <w:vAlign w:val="bottom"/>
            <w:hideMark/>
          </w:tcPr>
          <w:p w14:paraId="3B7A9FBC" w14:textId="77777777" w:rsidR="0019423C" w:rsidRDefault="0019423C" w:rsidP="005A3B4D">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6A4EB02F" w14:textId="77777777" w:rsidR="0019423C" w:rsidRDefault="0019423C"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7C9E073" w14:textId="77777777" w:rsidR="0019423C" w:rsidRDefault="0019423C" w:rsidP="005A3B4D">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46B492C3" w14:textId="77777777" w:rsidR="0019423C" w:rsidRDefault="0019423C" w:rsidP="005A3B4D">
            <w:pPr>
              <w:jc w:val="right"/>
              <w:rPr>
                <w:color w:val="000000"/>
                <w:sz w:val="20"/>
                <w:szCs w:val="20"/>
              </w:rPr>
            </w:pPr>
            <w:r>
              <w:rPr>
                <w:color w:val="000000"/>
                <w:sz w:val="20"/>
                <w:szCs w:val="20"/>
              </w:rPr>
              <w:t>0.480</w:t>
            </w:r>
          </w:p>
        </w:tc>
        <w:tc>
          <w:tcPr>
            <w:tcW w:w="864" w:type="dxa"/>
            <w:tcBorders>
              <w:top w:val="nil"/>
              <w:left w:val="nil"/>
              <w:bottom w:val="nil"/>
              <w:right w:val="nil"/>
            </w:tcBorders>
            <w:shd w:val="clear" w:color="auto" w:fill="auto"/>
            <w:noWrap/>
            <w:vAlign w:val="bottom"/>
            <w:hideMark/>
          </w:tcPr>
          <w:p w14:paraId="186F2DC4" w14:textId="77777777" w:rsidR="0019423C" w:rsidRDefault="0019423C"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C3B7365" w14:textId="77777777" w:rsidR="0019423C" w:rsidRDefault="0019423C" w:rsidP="005A3B4D">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0FC6D691" w14:textId="77777777" w:rsidR="0019423C" w:rsidRDefault="0019423C" w:rsidP="005A3B4D">
            <w:pPr>
              <w:jc w:val="right"/>
              <w:rPr>
                <w:color w:val="000000"/>
                <w:sz w:val="20"/>
                <w:szCs w:val="20"/>
              </w:rPr>
            </w:pPr>
            <w:r>
              <w:rPr>
                <w:color w:val="000000"/>
                <w:sz w:val="20"/>
                <w:szCs w:val="20"/>
              </w:rPr>
              <w:t>0.389</w:t>
            </w:r>
          </w:p>
        </w:tc>
        <w:tc>
          <w:tcPr>
            <w:tcW w:w="864" w:type="dxa"/>
            <w:tcBorders>
              <w:top w:val="nil"/>
              <w:left w:val="nil"/>
              <w:bottom w:val="nil"/>
              <w:right w:val="nil"/>
            </w:tcBorders>
            <w:shd w:val="clear" w:color="auto" w:fill="auto"/>
            <w:noWrap/>
            <w:vAlign w:val="bottom"/>
            <w:hideMark/>
          </w:tcPr>
          <w:p w14:paraId="5A22294E" w14:textId="77777777" w:rsidR="0019423C" w:rsidRDefault="0019423C" w:rsidP="005A3B4D">
            <w:pPr>
              <w:jc w:val="right"/>
              <w:rPr>
                <w:color w:val="000000"/>
                <w:sz w:val="20"/>
                <w:szCs w:val="20"/>
              </w:rPr>
            </w:pPr>
            <w:r>
              <w:rPr>
                <w:color w:val="000000"/>
                <w:sz w:val="20"/>
                <w:szCs w:val="20"/>
              </w:rPr>
              <w:t>0.001</w:t>
            </w:r>
          </w:p>
        </w:tc>
      </w:tr>
      <w:tr w:rsidR="0019423C" w14:paraId="070E482B" w14:textId="77777777" w:rsidTr="005A3B4D">
        <w:trPr>
          <w:trHeight w:val="320"/>
        </w:trPr>
        <w:tc>
          <w:tcPr>
            <w:tcW w:w="1152" w:type="dxa"/>
            <w:tcBorders>
              <w:top w:val="nil"/>
              <w:left w:val="nil"/>
              <w:bottom w:val="nil"/>
              <w:right w:val="nil"/>
            </w:tcBorders>
            <w:shd w:val="clear" w:color="auto" w:fill="auto"/>
            <w:noWrap/>
            <w:vAlign w:val="bottom"/>
            <w:hideMark/>
          </w:tcPr>
          <w:p w14:paraId="2AE74AA7"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627A8BC" w14:textId="77777777" w:rsidR="0019423C" w:rsidRDefault="0019423C"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A80F363" w14:textId="77777777" w:rsidR="0019423C" w:rsidRDefault="0019423C"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0005F48F" w14:textId="77777777" w:rsidR="0019423C" w:rsidRDefault="0019423C" w:rsidP="005A3B4D">
            <w:pPr>
              <w:jc w:val="right"/>
              <w:rPr>
                <w:color w:val="000000"/>
                <w:sz w:val="20"/>
                <w:szCs w:val="20"/>
              </w:rPr>
            </w:pPr>
            <w:r>
              <w:rPr>
                <w:color w:val="000000"/>
                <w:sz w:val="20"/>
                <w:szCs w:val="20"/>
              </w:rPr>
              <w:t>0.699</w:t>
            </w:r>
          </w:p>
        </w:tc>
        <w:tc>
          <w:tcPr>
            <w:tcW w:w="864" w:type="dxa"/>
            <w:tcBorders>
              <w:top w:val="nil"/>
              <w:left w:val="nil"/>
              <w:bottom w:val="nil"/>
              <w:right w:val="nil"/>
            </w:tcBorders>
            <w:shd w:val="clear" w:color="auto" w:fill="auto"/>
            <w:noWrap/>
            <w:vAlign w:val="bottom"/>
            <w:hideMark/>
          </w:tcPr>
          <w:p w14:paraId="7F83D262"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F2B01E5" w14:textId="77777777" w:rsidR="0019423C" w:rsidRDefault="0019423C" w:rsidP="005A3B4D">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2FF4A567" w14:textId="77777777" w:rsidR="0019423C" w:rsidRDefault="0019423C" w:rsidP="005A3B4D">
            <w:pPr>
              <w:jc w:val="right"/>
              <w:rPr>
                <w:color w:val="000000"/>
                <w:sz w:val="20"/>
                <w:szCs w:val="20"/>
              </w:rPr>
            </w:pPr>
            <w:r>
              <w:rPr>
                <w:color w:val="000000"/>
                <w:sz w:val="20"/>
                <w:szCs w:val="20"/>
              </w:rPr>
              <w:t>0.389</w:t>
            </w:r>
          </w:p>
        </w:tc>
        <w:tc>
          <w:tcPr>
            <w:tcW w:w="864" w:type="dxa"/>
            <w:tcBorders>
              <w:top w:val="nil"/>
              <w:left w:val="nil"/>
              <w:bottom w:val="nil"/>
              <w:right w:val="nil"/>
            </w:tcBorders>
            <w:shd w:val="clear" w:color="auto" w:fill="auto"/>
            <w:noWrap/>
            <w:vAlign w:val="bottom"/>
            <w:hideMark/>
          </w:tcPr>
          <w:p w14:paraId="577A39F5" w14:textId="77777777" w:rsidR="0019423C" w:rsidRDefault="0019423C" w:rsidP="005A3B4D">
            <w:pPr>
              <w:jc w:val="right"/>
              <w:rPr>
                <w:color w:val="000000"/>
                <w:sz w:val="20"/>
                <w:szCs w:val="20"/>
              </w:rPr>
            </w:pPr>
            <w:r>
              <w:rPr>
                <w:color w:val="000000"/>
                <w:sz w:val="20"/>
                <w:szCs w:val="20"/>
              </w:rPr>
              <w:t>0.001</w:t>
            </w:r>
          </w:p>
        </w:tc>
      </w:tr>
      <w:tr w:rsidR="0019423C" w14:paraId="6B747208" w14:textId="77777777" w:rsidTr="005A3B4D">
        <w:trPr>
          <w:trHeight w:val="320"/>
        </w:trPr>
        <w:tc>
          <w:tcPr>
            <w:tcW w:w="1152" w:type="dxa"/>
            <w:tcBorders>
              <w:top w:val="nil"/>
              <w:left w:val="nil"/>
              <w:bottom w:val="nil"/>
              <w:right w:val="nil"/>
            </w:tcBorders>
            <w:shd w:val="clear" w:color="auto" w:fill="auto"/>
            <w:noWrap/>
            <w:vAlign w:val="bottom"/>
            <w:hideMark/>
          </w:tcPr>
          <w:p w14:paraId="49F35D22"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848AE15" w14:textId="77777777" w:rsidR="0019423C" w:rsidRDefault="0019423C"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74B0F1B" w14:textId="77777777" w:rsidR="0019423C" w:rsidRDefault="0019423C"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558F507B" w14:textId="77777777" w:rsidR="0019423C" w:rsidRDefault="0019423C" w:rsidP="005A3B4D">
            <w:pPr>
              <w:jc w:val="right"/>
              <w:rPr>
                <w:color w:val="000000"/>
                <w:sz w:val="20"/>
                <w:szCs w:val="20"/>
              </w:rPr>
            </w:pPr>
            <w:r>
              <w:rPr>
                <w:color w:val="000000"/>
                <w:sz w:val="20"/>
                <w:szCs w:val="20"/>
              </w:rPr>
              <w:t>0.699</w:t>
            </w:r>
          </w:p>
        </w:tc>
        <w:tc>
          <w:tcPr>
            <w:tcW w:w="864" w:type="dxa"/>
            <w:tcBorders>
              <w:top w:val="nil"/>
              <w:left w:val="nil"/>
              <w:bottom w:val="nil"/>
              <w:right w:val="nil"/>
            </w:tcBorders>
            <w:shd w:val="clear" w:color="auto" w:fill="auto"/>
            <w:noWrap/>
            <w:vAlign w:val="bottom"/>
            <w:hideMark/>
          </w:tcPr>
          <w:p w14:paraId="760F5812"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5B29F21" w14:textId="77777777" w:rsidR="0019423C" w:rsidRDefault="0019423C"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708F80BD" w14:textId="77777777" w:rsidR="0019423C" w:rsidRDefault="0019423C" w:rsidP="005A3B4D">
            <w:pPr>
              <w:jc w:val="right"/>
              <w:rPr>
                <w:color w:val="000000"/>
                <w:sz w:val="20"/>
                <w:szCs w:val="20"/>
              </w:rPr>
            </w:pPr>
            <w:r>
              <w:rPr>
                <w:color w:val="000000"/>
                <w:sz w:val="20"/>
                <w:szCs w:val="20"/>
              </w:rPr>
              <w:t>0.798</w:t>
            </w:r>
          </w:p>
        </w:tc>
        <w:tc>
          <w:tcPr>
            <w:tcW w:w="864" w:type="dxa"/>
            <w:tcBorders>
              <w:top w:val="nil"/>
              <w:left w:val="nil"/>
              <w:bottom w:val="nil"/>
              <w:right w:val="nil"/>
            </w:tcBorders>
            <w:shd w:val="clear" w:color="auto" w:fill="auto"/>
            <w:noWrap/>
            <w:vAlign w:val="bottom"/>
            <w:hideMark/>
          </w:tcPr>
          <w:p w14:paraId="4C4AC500" w14:textId="77777777" w:rsidR="0019423C" w:rsidRDefault="0019423C" w:rsidP="005A3B4D">
            <w:pPr>
              <w:jc w:val="right"/>
              <w:rPr>
                <w:color w:val="000000"/>
                <w:sz w:val="20"/>
                <w:szCs w:val="20"/>
              </w:rPr>
            </w:pPr>
            <w:r>
              <w:rPr>
                <w:color w:val="000000"/>
                <w:sz w:val="20"/>
                <w:szCs w:val="20"/>
              </w:rPr>
              <w:t>0.000</w:t>
            </w:r>
          </w:p>
        </w:tc>
      </w:tr>
      <w:tr w:rsidR="0019423C" w14:paraId="2F82D29C" w14:textId="77777777" w:rsidTr="005A3B4D">
        <w:trPr>
          <w:trHeight w:val="320"/>
        </w:trPr>
        <w:tc>
          <w:tcPr>
            <w:tcW w:w="1152" w:type="dxa"/>
            <w:tcBorders>
              <w:top w:val="nil"/>
              <w:left w:val="nil"/>
              <w:bottom w:val="nil"/>
              <w:right w:val="nil"/>
            </w:tcBorders>
            <w:shd w:val="clear" w:color="auto" w:fill="auto"/>
            <w:noWrap/>
            <w:vAlign w:val="bottom"/>
            <w:hideMark/>
          </w:tcPr>
          <w:p w14:paraId="6D477F5C"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AEDE055" w14:textId="77777777" w:rsidR="0019423C" w:rsidRDefault="0019423C"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2C41D15" w14:textId="77777777" w:rsidR="0019423C" w:rsidRDefault="0019423C" w:rsidP="005A3B4D">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789C805F" w14:textId="77777777" w:rsidR="0019423C" w:rsidRDefault="0019423C" w:rsidP="005A3B4D">
            <w:pPr>
              <w:jc w:val="right"/>
              <w:rPr>
                <w:color w:val="000000"/>
                <w:sz w:val="20"/>
                <w:szCs w:val="20"/>
              </w:rPr>
            </w:pPr>
            <w:r>
              <w:rPr>
                <w:color w:val="000000"/>
                <w:sz w:val="20"/>
                <w:szCs w:val="20"/>
              </w:rPr>
              <w:t>0.517</w:t>
            </w:r>
          </w:p>
        </w:tc>
        <w:tc>
          <w:tcPr>
            <w:tcW w:w="864" w:type="dxa"/>
            <w:tcBorders>
              <w:top w:val="nil"/>
              <w:left w:val="nil"/>
              <w:bottom w:val="nil"/>
              <w:right w:val="nil"/>
            </w:tcBorders>
            <w:shd w:val="clear" w:color="auto" w:fill="auto"/>
            <w:noWrap/>
            <w:vAlign w:val="bottom"/>
            <w:hideMark/>
          </w:tcPr>
          <w:p w14:paraId="26F5C33C"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D4F9F0D" w14:textId="77777777" w:rsidR="0019423C" w:rsidRDefault="0019423C" w:rsidP="005A3B4D">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32958FCA" w14:textId="77777777" w:rsidR="0019423C" w:rsidRDefault="0019423C" w:rsidP="005A3B4D">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2EB9F899" w14:textId="77777777" w:rsidR="0019423C" w:rsidRDefault="0019423C" w:rsidP="005A3B4D">
            <w:pPr>
              <w:jc w:val="right"/>
              <w:rPr>
                <w:color w:val="000000"/>
                <w:sz w:val="20"/>
                <w:szCs w:val="20"/>
              </w:rPr>
            </w:pPr>
            <w:r>
              <w:rPr>
                <w:color w:val="000000"/>
                <w:sz w:val="20"/>
                <w:szCs w:val="20"/>
              </w:rPr>
              <w:t>0.003</w:t>
            </w:r>
          </w:p>
        </w:tc>
      </w:tr>
      <w:tr w:rsidR="0019423C" w14:paraId="587FF71D" w14:textId="77777777" w:rsidTr="005A3B4D">
        <w:trPr>
          <w:trHeight w:val="320"/>
        </w:trPr>
        <w:tc>
          <w:tcPr>
            <w:tcW w:w="1152" w:type="dxa"/>
            <w:tcBorders>
              <w:top w:val="nil"/>
              <w:left w:val="nil"/>
              <w:bottom w:val="nil"/>
              <w:right w:val="nil"/>
            </w:tcBorders>
            <w:shd w:val="clear" w:color="auto" w:fill="auto"/>
            <w:noWrap/>
            <w:vAlign w:val="bottom"/>
            <w:hideMark/>
          </w:tcPr>
          <w:p w14:paraId="48D67A05"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713F95E" w14:textId="77777777" w:rsidR="0019423C" w:rsidRDefault="0019423C"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452660A" w14:textId="77777777" w:rsidR="0019423C" w:rsidRDefault="0019423C" w:rsidP="005A3B4D">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68214DC5" w14:textId="77777777" w:rsidR="0019423C" w:rsidRDefault="0019423C" w:rsidP="005A3B4D">
            <w:pPr>
              <w:jc w:val="right"/>
              <w:rPr>
                <w:color w:val="000000"/>
                <w:sz w:val="20"/>
                <w:szCs w:val="20"/>
              </w:rPr>
            </w:pPr>
            <w:r>
              <w:rPr>
                <w:color w:val="000000"/>
                <w:sz w:val="20"/>
                <w:szCs w:val="20"/>
              </w:rPr>
              <w:t>0.517</w:t>
            </w:r>
          </w:p>
        </w:tc>
        <w:tc>
          <w:tcPr>
            <w:tcW w:w="864" w:type="dxa"/>
            <w:tcBorders>
              <w:top w:val="nil"/>
              <w:left w:val="nil"/>
              <w:bottom w:val="nil"/>
              <w:right w:val="nil"/>
            </w:tcBorders>
            <w:shd w:val="clear" w:color="auto" w:fill="auto"/>
            <w:noWrap/>
            <w:vAlign w:val="bottom"/>
            <w:hideMark/>
          </w:tcPr>
          <w:p w14:paraId="60B16AFC" w14:textId="77777777" w:rsidR="0019423C" w:rsidRDefault="0019423C"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1623F62" w14:textId="77777777" w:rsidR="0019423C" w:rsidRDefault="0019423C" w:rsidP="005A3B4D">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0126536B" w14:textId="77777777" w:rsidR="0019423C" w:rsidRDefault="0019423C" w:rsidP="005A3B4D">
            <w:pPr>
              <w:jc w:val="right"/>
              <w:rPr>
                <w:color w:val="000000"/>
                <w:sz w:val="20"/>
                <w:szCs w:val="20"/>
              </w:rPr>
            </w:pPr>
            <w:r>
              <w:rPr>
                <w:color w:val="000000"/>
                <w:sz w:val="20"/>
                <w:szCs w:val="20"/>
              </w:rPr>
              <w:t>0.389</w:t>
            </w:r>
          </w:p>
        </w:tc>
        <w:tc>
          <w:tcPr>
            <w:tcW w:w="864" w:type="dxa"/>
            <w:tcBorders>
              <w:top w:val="nil"/>
              <w:left w:val="nil"/>
              <w:bottom w:val="nil"/>
              <w:right w:val="nil"/>
            </w:tcBorders>
            <w:shd w:val="clear" w:color="auto" w:fill="auto"/>
            <w:noWrap/>
            <w:vAlign w:val="bottom"/>
            <w:hideMark/>
          </w:tcPr>
          <w:p w14:paraId="365AE7EB" w14:textId="77777777" w:rsidR="0019423C" w:rsidRDefault="0019423C" w:rsidP="005A3B4D">
            <w:pPr>
              <w:jc w:val="right"/>
              <w:rPr>
                <w:color w:val="000000"/>
                <w:sz w:val="20"/>
                <w:szCs w:val="20"/>
              </w:rPr>
            </w:pPr>
            <w:r>
              <w:rPr>
                <w:color w:val="000000"/>
                <w:sz w:val="20"/>
                <w:szCs w:val="20"/>
              </w:rPr>
              <w:t>0.001</w:t>
            </w:r>
          </w:p>
        </w:tc>
      </w:tr>
      <w:tr w:rsidR="0019423C" w14:paraId="705471BA" w14:textId="77777777" w:rsidTr="005A3B4D">
        <w:trPr>
          <w:trHeight w:val="320"/>
        </w:trPr>
        <w:tc>
          <w:tcPr>
            <w:tcW w:w="1152" w:type="dxa"/>
            <w:tcBorders>
              <w:top w:val="nil"/>
              <w:left w:val="nil"/>
              <w:bottom w:val="nil"/>
              <w:right w:val="nil"/>
            </w:tcBorders>
            <w:shd w:val="clear" w:color="auto" w:fill="auto"/>
            <w:noWrap/>
            <w:vAlign w:val="bottom"/>
            <w:hideMark/>
          </w:tcPr>
          <w:p w14:paraId="4038098C" w14:textId="77777777" w:rsidR="0019423C" w:rsidRDefault="0019423C"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0D31CEC" w14:textId="77777777" w:rsidR="0019423C" w:rsidRDefault="0019423C"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E095422" w14:textId="77777777" w:rsidR="0019423C" w:rsidRDefault="0019423C" w:rsidP="005A3B4D">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46EDAAB7" w14:textId="77777777" w:rsidR="0019423C" w:rsidRDefault="0019423C" w:rsidP="005A3B4D">
            <w:pPr>
              <w:jc w:val="right"/>
              <w:rPr>
                <w:color w:val="000000"/>
                <w:sz w:val="20"/>
                <w:szCs w:val="20"/>
              </w:rPr>
            </w:pPr>
            <w:r>
              <w:rPr>
                <w:color w:val="000000"/>
                <w:sz w:val="20"/>
                <w:szCs w:val="20"/>
              </w:rPr>
              <w:t>0.200</w:t>
            </w:r>
          </w:p>
        </w:tc>
        <w:tc>
          <w:tcPr>
            <w:tcW w:w="864" w:type="dxa"/>
            <w:tcBorders>
              <w:top w:val="nil"/>
              <w:left w:val="nil"/>
              <w:bottom w:val="nil"/>
              <w:right w:val="nil"/>
            </w:tcBorders>
            <w:shd w:val="clear" w:color="auto" w:fill="auto"/>
            <w:noWrap/>
            <w:vAlign w:val="bottom"/>
            <w:hideMark/>
          </w:tcPr>
          <w:p w14:paraId="26BB0CD1" w14:textId="77777777" w:rsidR="0019423C" w:rsidRDefault="0019423C"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0E77BB3" w14:textId="77777777" w:rsidR="0019423C" w:rsidRDefault="0019423C" w:rsidP="005A3B4D">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7B8170B1" w14:textId="77777777" w:rsidR="0019423C" w:rsidRDefault="0019423C" w:rsidP="005A3B4D">
            <w:pPr>
              <w:jc w:val="right"/>
              <w:rPr>
                <w:color w:val="000000"/>
                <w:sz w:val="20"/>
                <w:szCs w:val="20"/>
              </w:rPr>
            </w:pPr>
            <w:r>
              <w:rPr>
                <w:color w:val="000000"/>
                <w:sz w:val="20"/>
                <w:szCs w:val="20"/>
              </w:rPr>
              <w:t>0.389</w:t>
            </w:r>
          </w:p>
        </w:tc>
        <w:tc>
          <w:tcPr>
            <w:tcW w:w="864" w:type="dxa"/>
            <w:tcBorders>
              <w:top w:val="nil"/>
              <w:left w:val="nil"/>
              <w:bottom w:val="nil"/>
              <w:right w:val="nil"/>
            </w:tcBorders>
            <w:shd w:val="clear" w:color="auto" w:fill="auto"/>
            <w:noWrap/>
            <w:vAlign w:val="bottom"/>
            <w:hideMark/>
          </w:tcPr>
          <w:p w14:paraId="2FCD4172" w14:textId="77777777" w:rsidR="0019423C" w:rsidRDefault="0019423C" w:rsidP="005A3B4D">
            <w:pPr>
              <w:jc w:val="right"/>
              <w:rPr>
                <w:color w:val="000000"/>
                <w:sz w:val="20"/>
                <w:szCs w:val="20"/>
              </w:rPr>
            </w:pPr>
            <w:r>
              <w:rPr>
                <w:color w:val="000000"/>
                <w:sz w:val="20"/>
                <w:szCs w:val="20"/>
              </w:rPr>
              <w:t>0.000</w:t>
            </w:r>
          </w:p>
        </w:tc>
      </w:tr>
      <w:tr w:rsidR="0019423C" w14:paraId="53A8B88D"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729BD910" w14:textId="77777777" w:rsidR="0019423C" w:rsidRDefault="0019423C" w:rsidP="005A3B4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5FE33B9D" w14:textId="77777777" w:rsidR="0019423C" w:rsidRDefault="0019423C" w:rsidP="005A3B4D">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2B72D92B" w14:textId="77777777" w:rsidR="0019423C" w:rsidRDefault="0019423C" w:rsidP="005A3B4D">
            <w:pPr>
              <w:jc w:val="right"/>
              <w:rPr>
                <w:color w:val="000000"/>
                <w:sz w:val="20"/>
                <w:szCs w:val="20"/>
              </w:rPr>
            </w:pPr>
            <w:r>
              <w:rPr>
                <w:color w:val="000000"/>
                <w:sz w:val="20"/>
                <w:szCs w:val="20"/>
              </w:rPr>
              <w:t>0.024</w:t>
            </w:r>
          </w:p>
        </w:tc>
        <w:tc>
          <w:tcPr>
            <w:tcW w:w="864" w:type="dxa"/>
            <w:tcBorders>
              <w:top w:val="nil"/>
              <w:left w:val="nil"/>
              <w:bottom w:val="single" w:sz="12" w:space="0" w:color="auto"/>
              <w:right w:val="nil"/>
            </w:tcBorders>
            <w:shd w:val="clear" w:color="auto" w:fill="auto"/>
            <w:noWrap/>
            <w:vAlign w:val="bottom"/>
            <w:hideMark/>
          </w:tcPr>
          <w:p w14:paraId="70020602" w14:textId="77777777" w:rsidR="0019423C" w:rsidRDefault="0019423C" w:rsidP="005A3B4D">
            <w:pPr>
              <w:jc w:val="right"/>
              <w:rPr>
                <w:color w:val="000000"/>
                <w:sz w:val="20"/>
                <w:szCs w:val="20"/>
              </w:rPr>
            </w:pPr>
            <w:r>
              <w:rPr>
                <w:color w:val="000000"/>
                <w:sz w:val="20"/>
                <w:szCs w:val="20"/>
              </w:rPr>
              <w:t>0.517</w:t>
            </w:r>
          </w:p>
        </w:tc>
        <w:tc>
          <w:tcPr>
            <w:tcW w:w="864" w:type="dxa"/>
            <w:tcBorders>
              <w:top w:val="nil"/>
              <w:left w:val="nil"/>
              <w:bottom w:val="single" w:sz="12" w:space="0" w:color="auto"/>
              <w:right w:val="nil"/>
            </w:tcBorders>
            <w:shd w:val="clear" w:color="auto" w:fill="auto"/>
            <w:noWrap/>
            <w:vAlign w:val="bottom"/>
            <w:hideMark/>
          </w:tcPr>
          <w:p w14:paraId="18AD6E32" w14:textId="77777777" w:rsidR="0019423C" w:rsidRDefault="0019423C" w:rsidP="005A3B4D">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50692431" w14:textId="77777777" w:rsidR="0019423C" w:rsidRDefault="0019423C" w:rsidP="005A3B4D">
            <w:pPr>
              <w:jc w:val="right"/>
              <w:rPr>
                <w:color w:val="000000"/>
                <w:sz w:val="20"/>
                <w:szCs w:val="20"/>
              </w:rPr>
            </w:pPr>
            <w:r>
              <w:rPr>
                <w:color w:val="000000"/>
                <w:sz w:val="20"/>
                <w:szCs w:val="20"/>
              </w:rPr>
              <w:t>-0.023</w:t>
            </w:r>
          </w:p>
        </w:tc>
        <w:tc>
          <w:tcPr>
            <w:tcW w:w="864" w:type="dxa"/>
            <w:tcBorders>
              <w:top w:val="nil"/>
              <w:left w:val="nil"/>
              <w:bottom w:val="single" w:sz="12" w:space="0" w:color="auto"/>
              <w:right w:val="nil"/>
            </w:tcBorders>
            <w:shd w:val="clear" w:color="auto" w:fill="auto"/>
            <w:noWrap/>
            <w:vAlign w:val="bottom"/>
            <w:hideMark/>
          </w:tcPr>
          <w:p w14:paraId="6C9E5632" w14:textId="77777777" w:rsidR="0019423C" w:rsidRDefault="0019423C" w:rsidP="005A3B4D">
            <w:pPr>
              <w:jc w:val="right"/>
              <w:rPr>
                <w:color w:val="000000"/>
                <w:sz w:val="20"/>
                <w:szCs w:val="20"/>
              </w:rPr>
            </w:pPr>
            <w:r>
              <w:rPr>
                <w:color w:val="000000"/>
                <w:sz w:val="20"/>
                <w:szCs w:val="20"/>
              </w:rPr>
              <w:t>0.389</w:t>
            </w:r>
          </w:p>
        </w:tc>
        <w:tc>
          <w:tcPr>
            <w:tcW w:w="864" w:type="dxa"/>
            <w:tcBorders>
              <w:top w:val="nil"/>
              <w:left w:val="nil"/>
              <w:bottom w:val="single" w:sz="12" w:space="0" w:color="auto"/>
              <w:right w:val="nil"/>
            </w:tcBorders>
            <w:shd w:val="clear" w:color="auto" w:fill="auto"/>
            <w:noWrap/>
            <w:vAlign w:val="bottom"/>
            <w:hideMark/>
          </w:tcPr>
          <w:p w14:paraId="115DB9AC" w14:textId="77777777" w:rsidR="0019423C" w:rsidRDefault="0019423C" w:rsidP="005A3B4D">
            <w:pPr>
              <w:jc w:val="right"/>
              <w:rPr>
                <w:color w:val="000000"/>
                <w:sz w:val="20"/>
                <w:szCs w:val="20"/>
              </w:rPr>
            </w:pPr>
            <w:r>
              <w:rPr>
                <w:color w:val="000000"/>
                <w:sz w:val="20"/>
                <w:szCs w:val="20"/>
              </w:rPr>
              <w:t>0.001</w:t>
            </w:r>
          </w:p>
        </w:tc>
      </w:tr>
      <w:tr w:rsidR="0019423C" w14:paraId="20560FA6"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0ABCD47D" w14:textId="77777777" w:rsidR="0019423C" w:rsidRDefault="0019423C" w:rsidP="005A3B4D">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09307C08" w14:textId="77777777" w:rsidR="0019423C" w:rsidRDefault="0019423C"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412F05C" w14:textId="77777777" w:rsidR="0019423C" w:rsidRDefault="0019423C"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59BCEC5" w14:textId="77777777" w:rsidR="0019423C" w:rsidRDefault="0019423C"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5580AC5" w14:textId="77777777" w:rsidR="0019423C" w:rsidRDefault="0019423C"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DA2120A" w14:textId="77777777" w:rsidR="0019423C" w:rsidRDefault="0019423C"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D9AE7BF" w14:textId="77777777" w:rsidR="0019423C" w:rsidRDefault="0019423C"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AB94342" w14:textId="77777777" w:rsidR="0019423C" w:rsidRDefault="0019423C" w:rsidP="005A3B4D">
            <w:pPr>
              <w:rPr>
                <w:sz w:val="20"/>
                <w:szCs w:val="20"/>
              </w:rPr>
            </w:pPr>
          </w:p>
        </w:tc>
      </w:tr>
    </w:tbl>
    <w:p w14:paraId="20A31086" w14:textId="77777777" w:rsidR="0019423C" w:rsidRDefault="0019423C" w:rsidP="0019423C">
      <w:pPr>
        <w:rPr>
          <w:rFonts w:ascii="Batang" w:eastAsia="Batang" w:hAnsi="Batang" w:cs="Batang"/>
          <w:color w:val="000000"/>
        </w:rPr>
      </w:pPr>
    </w:p>
    <w:p w14:paraId="221CD56F" w14:textId="41C61F01" w:rsidR="002D77C4" w:rsidRPr="00BD59E5" w:rsidRDefault="0019423C" w:rsidP="00BD59E5">
      <w:pPr>
        <w:pStyle w:val="Heading1"/>
        <w:rPr>
          <w:rFonts w:ascii="Times New Roman" w:eastAsia="Batang" w:hAnsi="Times New Roman" w:cs="Times New Roman"/>
          <w:color w:val="000000"/>
          <w:sz w:val="24"/>
          <w:szCs w:val="24"/>
        </w:rPr>
      </w:pPr>
      <w:r>
        <w:rPr>
          <w:rFonts w:ascii="Batang" w:eastAsia="Batang" w:hAnsi="Batang" w:cs="Batang"/>
          <w:color w:val="000000"/>
        </w:rPr>
        <w:br w:type="page"/>
      </w:r>
      <w:bookmarkStart w:id="67" w:name="_Toc155817734"/>
      <w:r w:rsidR="002D77C4" w:rsidRPr="00BD59E5">
        <w:rPr>
          <w:rFonts w:ascii="Times New Roman" w:hAnsi="Times New Roman" w:cs="Times New Roman"/>
          <w:b/>
          <w:bCs/>
          <w:color w:val="auto"/>
          <w:sz w:val="24"/>
          <w:szCs w:val="24"/>
        </w:rPr>
        <w:lastRenderedPageBreak/>
        <w:t>Table 2</w:t>
      </w:r>
      <w:r w:rsidR="0036523A" w:rsidRPr="00BD59E5">
        <w:rPr>
          <w:rFonts w:ascii="Times New Roman" w:hAnsi="Times New Roman" w:cs="Times New Roman"/>
          <w:b/>
          <w:bCs/>
          <w:color w:val="auto"/>
          <w:sz w:val="24"/>
          <w:szCs w:val="24"/>
        </w:rPr>
        <w:t>7</w:t>
      </w:r>
      <w:r w:rsidRPr="00BD59E5">
        <w:rPr>
          <w:rFonts w:ascii="Times New Roman" w:hAnsi="Times New Roman" w:cs="Times New Roman"/>
          <w:b/>
          <w:bCs/>
          <w:color w:val="auto"/>
          <w:sz w:val="24"/>
          <w:szCs w:val="24"/>
        </w:rPr>
        <w:t>d</w:t>
      </w:r>
      <w:r w:rsidR="002D77C4" w:rsidRPr="00BD59E5">
        <w:rPr>
          <w:rFonts w:ascii="Times New Roman" w:hAnsi="Times New Roman" w:cs="Times New Roman"/>
          <w:b/>
          <w:bCs/>
          <w:color w:val="auto"/>
          <w:sz w:val="24"/>
          <w:szCs w:val="24"/>
        </w:rPr>
        <w:t>.</w:t>
      </w:r>
      <w:r w:rsidR="002D77C4" w:rsidRPr="00BD59E5">
        <w:rPr>
          <w:rFonts w:ascii="Times New Roman" w:hAnsi="Times New Roman" w:cs="Times New Roman"/>
          <w:color w:val="auto"/>
          <w:sz w:val="24"/>
          <w:szCs w:val="24"/>
        </w:rPr>
        <w:t xml:space="preserve"> Results examining the relationship between Shen-268 network diameter and neighborhood SES deprivation obtained from bifactor modeling and neighborhood median income</w:t>
      </w:r>
      <w:r w:rsidR="00B40204" w:rsidRPr="00BD59E5">
        <w:rPr>
          <w:rFonts w:ascii="Times New Roman" w:hAnsi="Times New Roman" w:cs="Times New Roman"/>
          <w:color w:val="auto"/>
          <w:sz w:val="24"/>
          <w:szCs w:val="24"/>
        </w:rPr>
        <w:t xml:space="preserve"> during rest</w:t>
      </w:r>
      <w:bookmarkEnd w:id="67"/>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B354C1" w14:paraId="5311B456"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8E59BD6" w14:textId="77777777" w:rsidR="00B354C1" w:rsidRDefault="00B354C1">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1B9867D7" w14:textId="77777777" w:rsidR="00B354C1" w:rsidRDefault="00B354C1">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40D469C3" w14:textId="77777777" w:rsidR="00B354C1" w:rsidRDefault="00B354C1">
            <w:pPr>
              <w:rPr>
                <w:color w:val="000000"/>
              </w:rPr>
            </w:pPr>
          </w:p>
        </w:tc>
        <w:tc>
          <w:tcPr>
            <w:tcW w:w="864" w:type="dxa"/>
            <w:tcBorders>
              <w:top w:val="nil"/>
              <w:left w:val="nil"/>
              <w:bottom w:val="single" w:sz="12" w:space="0" w:color="auto"/>
              <w:right w:val="nil"/>
            </w:tcBorders>
            <w:shd w:val="clear" w:color="auto" w:fill="auto"/>
            <w:noWrap/>
            <w:vAlign w:val="bottom"/>
            <w:hideMark/>
          </w:tcPr>
          <w:p w14:paraId="2FEA42B2" w14:textId="77777777" w:rsidR="00B354C1" w:rsidRDefault="00B354C1">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90D6CDF" w14:textId="77777777" w:rsidR="00B354C1" w:rsidRDefault="00B354C1">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316886C" w14:textId="77777777" w:rsidR="00B354C1" w:rsidRDefault="00B354C1">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327C4FCE" w14:textId="77777777" w:rsidR="00B354C1" w:rsidRDefault="00B354C1">
            <w:pPr>
              <w:rPr>
                <w:sz w:val="20"/>
                <w:szCs w:val="20"/>
              </w:rPr>
            </w:pPr>
          </w:p>
        </w:tc>
        <w:tc>
          <w:tcPr>
            <w:tcW w:w="864" w:type="dxa"/>
            <w:tcBorders>
              <w:top w:val="nil"/>
              <w:left w:val="nil"/>
              <w:bottom w:val="nil"/>
              <w:right w:val="nil"/>
            </w:tcBorders>
            <w:shd w:val="clear" w:color="auto" w:fill="auto"/>
            <w:noWrap/>
            <w:vAlign w:val="bottom"/>
            <w:hideMark/>
          </w:tcPr>
          <w:p w14:paraId="660E70FE" w14:textId="77777777" w:rsidR="00B354C1" w:rsidRDefault="00B354C1">
            <w:pPr>
              <w:rPr>
                <w:sz w:val="20"/>
                <w:szCs w:val="20"/>
              </w:rPr>
            </w:pPr>
          </w:p>
        </w:tc>
      </w:tr>
      <w:tr w:rsidR="00B354C1" w14:paraId="4A5A671B"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69402EF1" w14:textId="77777777" w:rsidR="00B354C1" w:rsidRDefault="00B354C1">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5E55BC60" w14:textId="77777777" w:rsidR="00B354C1" w:rsidRDefault="00B354C1">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1A288D23" w14:textId="77777777" w:rsidR="00B354C1" w:rsidRDefault="00B354C1">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20BB3E86" w14:textId="77777777" w:rsidR="00B354C1" w:rsidRDefault="00B354C1">
            <w:pPr>
              <w:jc w:val="center"/>
              <w:rPr>
                <w:color w:val="000000"/>
                <w:sz w:val="20"/>
                <w:szCs w:val="20"/>
              </w:rPr>
            </w:pPr>
            <w:r>
              <w:rPr>
                <w:color w:val="000000"/>
                <w:sz w:val="20"/>
                <w:szCs w:val="20"/>
              </w:rPr>
              <w:t>Neighborhood Median Income</w:t>
            </w:r>
          </w:p>
        </w:tc>
      </w:tr>
      <w:tr w:rsidR="00B354C1" w14:paraId="704652CB"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09325B24" w14:textId="77777777" w:rsidR="00B354C1" w:rsidRDefault="00B354C1">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6BDF2FDE" w14:textId="77777777" w:rsidR="00B354C1" w:rsidRDefault="00B354C1">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6C3C55E6" w14:textId="77777777" w:rsidR="00B354C1" w:rsidRDefault="00B354C1">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61B85B4E" w14:textId="77777777" w:rsidR="00B354C1" w:rsidRDefault="00B354C1">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789397D3" w14:textId="77777777" w:rsidR="00B354C1" w:rsidRDefault="00B354C1">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51346759" w14:textId="77777777" w:rsidR="00B354C1" w:rsidRDefault="00B354C1">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626D982C" w14:textId="77777777" w:rsidR="00B354C1" w:rsidRDefault="00B354C1">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2173BDD5" w14:textId="77777777" w:rsidR="00B354C1" w:rsidRDefault="00B354C1">
            <w:pPr>
              <w:jc w:val="center"/>
              <w:rPr>
                <w:i/>
                <w:iCs/>
                <w:color w:val="000000"/>
                <w:sz w:val="20"/>
                <w:szCs w:val="20"/>
              </w:rPr>
            </w:pPr>
            <w:r>
              <w:rPr>
                <w:i/>
                <w:iCs/>
                <w:color w:val="000000"/>
                <w:sz w:val="20"/>
                <w:szCs w:val="20"/>
              </w:rPr>
              <w:t>R2</w:t>
            </w:r>
          </w:p>
        </w:tc>
      </w:tr>
      <w:tr w:rsidR="00B354C1" w14:paraId="6C1D1004"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54E31B59" w14:textId="77777777" w:rsidR="00B354C1" w:rsidRDefault="00B354C1">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279D0ADD" w14:textId="77777777" w:rsidR="00B354C1" w:rsidRDefault="00B354C1">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4EB6787B" w14:textId="77777777" w:rsidR="00B354C1" w:rsidRDefault="00B354C1">
            <w:pPr>
              <w:jc w:val="right"/>
              <w:rPr>
                <w:color w:val="000000"/>
                <w:sz w:val="20"/>
                <w:szCs w:val="20"/>
              </w:rPr>
            </w:pPr>
            <w:r>
              <w:rPr>
                <w:color w:val="000000"/>
                <w:sz w:val="20"/>
                <w:szCs w:val="20"/>
              </w:rPr>
              <w:t>-0.012</w:t>
            </w:r>
          </w:p>
        </w:tc>
        <w:tc>
          <w:tcPr>
            <w:tcW w:w="864" w:type="dxa"/>
            <w:tcBorders>
              <w:top w:val="single" w:sz="12" w:space="0" w:color="auto"/>
              <w:left w:val="nil"/>
              <w:bottom w:val="nil"/>
              <w:right w:val="nil"/>
            </w:tcBorders>
            <w:shd w:val="clear" w:color="auto" w:fill="auto"/>
            <w:noWrap/>
            <w:vAlign w:val="bottom"/>
            <w:hideMark/>
          </w:tcPr>
          <w:p w14:paraId="4938E95D" w14:textId="77777777" w:rsidR="00B354C1" w:rsidRDefault="00B354C1">
            <w:pPr>
              <w:jc w:val="right"/>
              <w:rPr>
                <w:color w:val="000000"/>
                <w:sz w:val="20"/>
                <w:szCs w:val="20"/>
              </w:rPr>
            </w:pPr>
            <w:r>
              <w:rPr>
                <w:color w:val="000000"/>
                <w:sz w:val="20"/>
                <w:szCs w:val="20"/>
              </w:rPr>
              <w:t>0.839</w:t>
            </w:r>
          </w:p>
        </w:tc>
        <w:tc>
          <w:tcPr>
            <w:tcW w:w="864" w:type="dxa"/>
            <w:tcBorders>
              <w:top w:val="single" w:sz="12" w:space="0" w:color="auto"/>
              <w:left w:val="nil"/>
              <w:bottom w:val="nil"/>
              <w:right w:val="nil"/>
            </w:tcBorders>
            <w:shd w:val="clear" w:color="auto" w:fill="auto"/>
            <w:noWrap/>
            <w:vAlign w:val="bottom"/>
            <w:hideMark/>
          </w:tcPr>
          <w:p w14:paraId="275D7718" w14:textId="77777777" w:rsidR="00B354C1" w:rsidRDefault="00B354C1">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47AE932F" w14:textId="77777777" w:rsidR="00B354C1" w:rsidRDefault="00B354C1">
            <w:pPr>
              <w:jc w:val="right"/>
              <w:rPr>
                <w:color w:val="000000"/>
                <w:sz w:val="20"/>
                <w:szCs w:val="20"/>
              </w:rPr>
            </w:pPr>
            <w:r>
              <w:rPr>
                <w:color w:val="000000"/>
                <w:sz w:val="20"/>
                <w:szCs w:val="20"/>
              </w:rPr>
              <w:t>-0.037</w:t>
            </w:r>
          </w:p>
        </w:tc>
        <w:tc>
          <w:tcPr>
            <w:tcW w:w="864" w:type="dxa"/>
            <w:tcBorders>
              <w:top w:val="single" w:sz="12" w:space="0" w:color="auto"/>
              <w:left w:val="nil"/>
              <w:bottom w:val="nil"/>
              <w:right w:val="nil"/>
            </w:tcBorders>
            <w:shd w:val="clear" w:color="auto" w:fill="auto"/>
            <w:noWrap/>
            <w:vAlign w:val="bottom"/>
            <w:hideMark/>
          </w:tcPr>
          <w:p w14:paraId="0F514626" w14:textId="77777777" w:rsidR="00B354C1" w:rsidRDefault="00B354C1">
            <w:pPr>
              <w:jc w:val="right"/>
              <w:rPr>
                <w:color w:val="000000"/>
                <w:sz w:val="20"/>
                <w:szCs w:val="20"/>
              </w:rPr>
            </w:pPr>
            <w:r>
              <w:rPr>
                <w:color w:val="000000"/>
                <w:sz w:val="20"/>
                <w:szCs w:val="20"/>
              </w:rPr>
              <w:t>0.835</w:t>
            </w:r>
          </w:p>
        </w:tc>
        <w:tc>
          <w:tcPr>
            <w:tcW w:w="864" w:type="dxa"/>
            <w:tcBorders>
              <w:top w:val="single" w:sz="12" w:space="0" w:color="auto"/>
              <w:left w:val="nil"/>
              <w:bottom w:val="nil"/>
              <w:right w:val="nil"/>
            </w:tcBorders>
            <w:shd w:val="clear" w:color="auto" w:fill="auto"/>
            <w:noWrap/>
            <w:vAlign w:val="bottom"/>
            <w:hideMark/>
          </w:tcPr>
          <w:p w14:paraId="3BFCCBA3" w14:textId="77777777" w:rsidR="00B354C1" w:rsidRDefault="00B354C1">
            <w:pPr>
              <w:jc w:val="right"/>
              <w:rPr>
                <w:color w:val="000000"/>
                <w:sz w:val="20"/>
                <w:szCs w:val="20"/>
              </w:rPr>
            </w:pPr>
            <w:r>
              <w:rPr>
                <w:color w:val="000000"/>
                <w:sz w:val="20"/>
                <w:szCs w:val="20"/>
              </w:rPr>
              <w:t>0.001</w:t>
            </w:r>
          </w:p>
        </w:tc>
      </w:tr>
      <w:tr w:rsidR="00B354C1" w14:paraId="11DE5909" w14:textId="77777777" w:rsidTr="00B354C1">
        <w:trPr>
          <w:trHeight w:val="340"/>
        </w:trPr>
        <w:tc>
          <w:tcPr>
            <w:tcW w:w="1152" w:type="dxa"/>
            <w:tcBorders>
              <w:top w:val="nil"/>
              <w:left w:val="nil"/>
              <w:bottom w:val="nil"/>
              <w:right w:val="nil"/>
            </w:tcBorders>
            <w:shd w:val="clear" w:color="auto" w:fill="auto"/>
            <w:noWrap/>
            <w:vAlign w:val="bottom"/>
            <w:hideMark/>
          </w:tcPr>
          <w:p w14:paraId="31FC678F"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B1DA766" w14:textId="77777777" w:rsidR="00B354C1" w:rsidRDefault="00B354C1">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BABD4B5" w14:textId="77777777" w:rsidR="00B354C1" w:rsidRDefault="00B354C1">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0A0C3019" w14:textId="77777777" w:rsidR="00B354C1" w:rsidRDefault="00B354C1">
            <w:pPr>
              <w:jc w:val="right"/>
              <w:rPr>
                <w:color w:val="000000"/>
                <w:sz w:val="20"/>
                <w:szCs w:val="20"/>
              </w:rPr>
            </w:pPr>
            <w:r>
              <w:rPr>
                <w:color w:val="000000"/>
                <w:sz w:val="20"/>
                <w:szCs w:val="20"/>
              </w:rPr>
              <w:t>0.839</w:t>
            </w:r>
          </w:p>
        </w:tc>
        <w:tc>
          <w:tcPr>
            <w:tcW w:w="864" w:type="dxa"/>
            <w:tcBorders>
              <w:top w:val="nil"/>
              <w:left w:val="nil"/>
              <w:bottom w:val="nil"/>
              <w:right w:val="nil"/>
            </w:tcBorders>
            <w:shd w:val="clear" w:color="auto" w:fill="auto"/>
            <w:noWrap/>
            <w:vAlign w:val="bottom"/>
            <w:hideMark/>
          </w:tcPr>
          <w:p w14:paraId="109DEACE"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5458B66" w14:textId="77777777" w:rsidR="00B354C1" w:rsidRDefault="00B354C1">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8018220" w14:textId="77777777" w:rsidR="00B354C1" w:rsidRDefault="00B354C1">
            <w:pPr>
              <w:jc w:val="right"/>
              <w:rPr>
                <w:color w:val="000000"/>
                <w:sz w:val="20"/>
                <w:szCs w:val="20"/>
              </w:rPr>
            </w:pPr>
            <w:r>
              <w:rPr>
                <w:color w:val="000000"/>
                <w:sz w:val="20"/>
                <w:szCs w:val="20"/>
              </w:rPr>
              <w:t>0.952</w:t>
            </w:r>
          </w:p>
        </w:tc>
        <w:tc>
          <w:tcPr>
            <w:tcW w:w="864" w:type="dxa"/>
            <w:tcBorders>
              <w:top w:val="nil"/>
              <w:left w:val="nil"/>
              <w:bottom w:val="nil"/>
              <w:right w:val="nil"/>
            </w:tcBorders>
            <w:shd w:val="clear" w:color="auto" w:fill="auto"/>
            <w:noWrap/>
            <w:vAlign w:val="bottom"/>
            <w:hideMark/>
          </w:tcPr>
          <w:p w14:paraId="5CE9D6B2" w14:textId="77777777" w:rsidR="00B354C1" w:rsidRDefault="00B354C1">
            <w:pPr>
              <w:jc w:val="right"/>
              <w:rPr>
                <w:color w:val="000000"/>
                <w:sz w:val="20"/>
                <w:szCs w:val="20"/>
              </w:rPr>
            </w:pPr>
            <w:r>
              <w:rPr>
                <w:color w:val="000000"/>
                <w:sz w:val="20"/>
                <w:szCs w:val="20"/>
              </w:rPr>
              <w:t>0.000</w:t>
            </w:r>
          </w:p>
        </w:tc>
      </w:tr>
      <w:tr w:rsidR="00B354C1" w14:paraId="3B24A3D1" w14:textId="77777777" w:rsidTr="00B354C1">
        <w:trPr>
          <w:trHeight w:val="320"/>
        </w:trPr>
        <w:tc>
          <w:tcPr>
            <w:tcW w:w="1152" w:type="dxa"/>
            <w:tcBorders>
              <w:top w:val="nil"/>
              <w:left w:val="nil"/>
              <w:bottom w:val="nil"/>
              <w:right w:val="nil"/>
            </w:tcBorders>
            <w:shd w:val="clear" w:color="auto" w:fill="auto"/>
            <w:noWrap/>
            <w:vAlign w:val="bottom"/>
            <w:hideMark/>
          </w:tcPr>
          <w:p w14:paraId="1A0A771A"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E87E934" w14:textId="77777777" w:rsidR="00B354C1" w:rsidRDefault="00B354C1">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F0A31AD" w14:textId="77777777" w:rsidR="00B354C1" w:rsidRDefault="00B354C1">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2520A61F" w14:textId="77777777" w:rsidR="00B354C1" w:rsidRDefault="00B354C1">
            <w:pPr>
              <w:jc w:val="right"/>
              <w:rPr>
                <w:color w:val="000000"/>
                <w:sz w:val="20"/>
                <w:szCs w:val="20"/>
              </w:rPr>
            </w:pPr>
            <w:r>
              <w:rPr>
                <w:color w:val="000000"/>
                <w:sz w:val="20"/>
                <w:szCs w:val="20"/>
              </w:rPr>
              <w:t>0.839</w:t>
            </w:r>
          </w:p>
        </w:tc>
        <w:tc>
          <w:tcPr>
            <w:tcW w:w="864" w:type="dxa"/>
            <w:tcBorders>
              <w:top w:val="nil"/>
              <w:left w:val="nil"/>
              <w:bottom w:val="nil"/>
              <w:right w:val="nil"/>
            </w:tcBorders>
            <w:shd w:val="clear" w:color="auto" w:fill="auto"/>
            <w:noWrap/>
            <w:vAlign w:val="bottom"/>
            <w:hideMark/>
          </w:tcPr>
          <w:p w14:paraId="7091B8CB" w14:textId="77777777" w:rsidR="00B354C1" w:rsidRDefault="00B354C1">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16B332B" w14:textId="77777777" w:rsidR="00B354C1" w:rsidRDefault="00B354C1">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2896AFFF" w14:textId="77777777" w:rsidR="00B354C1" w:rsidRDefault="00B354C1">
            <w:pPr>
              <w:jc w:val="right"/>
              <w:rPr>
                <w:color w:val="000000"/>
                <w:sz w:val="20"/>
                <w:szCs w:val="20"/>
              </w:rPr>
            </w:pPr>
            <w:r>
              <w:rPr>
                <w:color w:val="000000"/>
                <w:sz w:val="20"/>
                <w:szCs w:val="20"/>
              </w:rPr>
              <w:t>0.835</w:t>
            </w:r>
          </w:p>
        </w:tc>
        <w:tc>
          <w:tcPr>
            <w:tcW w:w="864" w:type="dxa"/>
            <w:tcBorders>
              <w:top w:val="nil"/>
              <w:left w:val="nil"/>
              <w:bottom w:val="nil"/>
              <w:right w:val="nil"/>
            </w:tcBorders>
            <w:shd w:val="clear" w:color="auto" w:fill="auto"/>
            <w:noWrap/>
            <w:vAlign w:val="bottom"/>
            <w:hideMark/>
          </w:tcPr>
          <w:p w14:paraId="37EA8608" w14:textId="77777777" w:rsidR="00B354C1" w:rsidRDefault="00B354C1">
            <w:pPr>
              <w:jc w:val="right"/>
              <w:rPr>
                <w:color w:val="000000"/>
                <w:sz w:val="20"/>
                <w:szCs w:val="20"/>
              </w:rPr>
            </w:pPr>
            <w:r>
              <w:rPr>
                <w:color w:val="000000"/>
                <w:sz w:val="20"/>
                <w:szCs w:val="20"/>
              </w:rPr>
              <w:t>0.002</w:t>
            </w:r>
          </w:p>
        </w:tc>
      </w:tr>
      <w:tr w:rsidR="00B354C1" w14:paraId="0BEFEC5B" w14:textId="77777777" w:rsidTr="00B354C1">
        <w:trPr>
          <w:trHeight w:val="320"/>
        </w:trPr>
        <w:tc>
          <w:tcPr>
            <w:tcW w:w="1152" w:type="dxa"/>
            <w:tcBorders>
              <w:top w:val="nil"/>
              <w:left w:val="nil"/>
              <w:bottom w:val="nil"/>
              <w:right w:val="nil"/>
            </w:tcBorders>
            <w:shd w:val="clear" w:color="auto" w:fill="auto"/>
            <w:noWrap/>
            <w:vAlign w:val="bottom"/>
            <w:hideMark/>
          </w:tcPr>
          <w:p w14:paraId="07AD6AA3"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2E09D4C" w14:textId="77777777" w:rsidR="00B354C1" w:rsidRDefault="00B354C1">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DFF3B49" w14:textId="77777777" w:rsidR="00B354C1" w:rsidRDefault="00B354C1">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63922EB8" w14:textId="77777777" w:rsidR="00B354C1" w:rsidRDefault="00B354C1">
            <w:pPr>
              <w:jc w:val="right"/>
              <w:rPr>
                <w:color w:val="000000"/>
                <w:sz w:val="20"/>
                <w:szCs w:val="20"/>
              </w:rPr>
            </w:pPr>
            <w:r>
              <w:rPr>
                <w:color w:val="000000"/>
                <w:sz w:val="20"/>
                <w:szCs w:val="20"/>
              </w:rPr>
              <w:t>0.839</w:t>
            </w:r>
          </w:p>
        </w:tc>
        <w:tc>
          <w:tcPr>
            <w:tcW w:w="864" w:type="dxa"/>
            <w:tcBorders>
              <w:top w:val="nil"/>
              <w:left w:val="nil"/>
              <w:bottom w:val="nil"/>
              <w:right w:val="nil"/>
            </w:tcBorders>
            <w:shd w:val="clear" w:color="auto" w:fill="auto"/>
            <w:noWrap/>
            <w:vAlign w:val="bottom"/>
            <w:hideMark/>
          </w:tcPr>
          <w:p w14:paraId="7A172274"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491C5A2" w14:textId="77777777" w:rsidR="00B354C1" w:rsidRDefault="00B354C1">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4757BDAE" w14:textId="77777777" w:rsidR="00B354C1" w:rsidRDefault="00B354C1">
            <w:pPr>
              <w:jc w:val="right"/>
              <w:rPr>
                <w:color w:val="000000"/>
                <w:sz w:val="20"/>
                <w:szCs w:val="20"/>
              </w:rPr>
            </w:pPr>
            <w:r>
              <w:rPr>
                <w:color w:val="000000"/>
                <w:sz w:val="20"/>
                <w:szCs w:val="20"/>
              </w:rPr>
              <w:t>0.952</w:t>
            </w:r>
          </w:p>
        </w:tc>
        <w:tc>
          <w:tcPr>
            <w:tcW w:w="864" w:type="dxa"/>
            <w:tcBorders>
              <w:top w:val="nil"/>
              <w:left w:val="nil"/>
              <w:bottom w:val="nil"/>
              <w:right w:val="nil"/>
            </w:tcBorders>
            <w:shd w:val="clear" w:color="auto" w:fill="auto"/>
            <w:noWrap/>
            <w:vAlign w:val="bottom"/>
            <w:hideMark/>
          </w:tcPr>
          <w:p w14:paraId="0C149049" w14:textId="77777777" w:rsidR="00B354C1" w:rsidRDefault="00B354C1">
            <w:pPr>
              <w:jc w:val="right"/>
              <w:rPr>
                <w:color w:val="000000"/>
                <w:sz w:val="20"/>
                <w:szCs w:val="20"/>
              </w:rPr>
            </w:pPr>
            <w:r>
              <w:rPr>
                <w:color w:val="000000"/>
                <w:sz w:val="20"/>
                <w:szCs w:val="20"/>
              </w:rPr>
              <w:t>0.000</w:t>
            </w:r>
          </w:p>
        </w:tc>
      </w:tr>
      <w:tr w:rsidR="00B354C1" w14:paraId="0495ED83" w14:textId="77777777" w:rsidTr="00B354C1">
        <w:trPr>
          <w:trHeight w:val="320"/>
        </w:trPr>
        <w:tc>
          <w:tcPr>
            <w:tcW w:w="1152" w:type="dxa"/>
            <w:tcBorders>
              <w:top w:val="nil"/>
              <w:left w:val="nil"/>
              <w:bottom w:val="nil"/>
              <w:right w:val="nil"/>
            </w:tcBorders>
            <w:shd w:val="clear" w:color="auto" w:fill="auto"/>
            <w:noWrap/>
            <w:vAlign w:val="bottom"/>
            <w:hideMark/>
          </w:tcPr>
          <w:p w14:paraId="0E4B1C81"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291323D" w14:textId="77777777" w:rsidR="00B354C1" w:rsidRDefault="00B354C1">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74142E6" w14:textId="77777777" w:rsidR="00B354C1" w:rsidRDefault="00B354C1">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2DB04B65" w14:textId="77777777" w:rsidR="00B354C1" w:rsidRDefault="00B354C1">
            <w:pPr>
              <w:jc w:val="right"/>
              <w:rPr>
                <w:color w:val="000000"/>
                <w:sz w:val="20"/>
                <w:szCs w:val="20"/>
              </w:rPr>
            </w:pPr>
            <w:r>
              <w:rPr>
                <w:color w:val="000000"/>
                <w:sz w:val="20"/>
                <w:szCs w:val="20"/>
              </w:rPr>
              <w:t>0.839</w:t>
            </w:r>
          </w:p>
        </w:tc>
        <w:tc>
          <w:tcPr>
            <w:tcW w:w="864" w:type="dxa"/>
            <w:tcBorders>
              <w:top w:val="nil"/>
              <w:left w:val="nil"/>
              <w:bottom w:val="nil"/>
              <w:right w:val="nil"/>
            </w:tcBorders>
            <w:shd w:val="clear" w:color="auto" w:fill="auto"/>
            <w:noWrap/>
            <w:vAlign w:val="bottom"/>
            <w:hideMark/>
          </w:tcPr>
          <w:p w14:paraId="5F49335D"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644502D" w14:textId="77777777" w:rsidR="00B354C1" w:rsidRDefault="00B354C1">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55C49C92" w14:textId="77777777" w:rsidR="00B354C1" w:rsidRDefault="00B354C1">
            <w:pPr>
              <w:jc w:val="right"/>
              <w:rPr>
                <w:color w:val="000000"/>
                <w:sz w:val="20"/>
                <w:szCs w:val="20"/>
              </w:rPr>
            </w:pPr>
            <w:r>
              <w:rPr>
                <w:color w:val="000000"/>
                <w:sz w:val="20"/>
                <w:szCs w:val="20"/>
              </w:rPr>
              <w:t>0.952</w:t>
            </w:r>
          </w:p>
        </w:tc>
        <w:tc>
          <w:tcPr>
            <w:tcW w:w="864" w:type="dxa"/>
            <w:tcBorders>
              <w:top w:val="nil"/>
              <w:left w:val="nil"/>
              <w:bottom w:val="nil"/>
              <w:right w:val="nil"/>
            </w:tcBorders>
            <w:shd w:val="clear" w:color="auto" w:fill="auto"/>
            <w:noWrap/>
            <w:vAlign w:val="bottom"/>
            <w:hideMark/>
          </w:tcPr>
          <w:p w14:paraId="72B77F27" w14:textId="77777777" w:rsidR="00B354C1" w:rsidRDefault="00B354C1">
            <w:pPr>
              <w:jc w:val="right"/>
              <w:rPr>
                <w:color w:val="000000"/>
                <w:sz w:val="20"/>
                <w:szCs w:val="20"/>
              </w:rPr>
            </w:pPr>
            <w:r>
              <w:rPr>
                <w:color w:val="000000"/>
                <w:sz w:val="20"/>
                <w:szCs w:val="20"/>
              </w:rPr>
              <w:t>0.001</w:t>
            </w:r>
          </w:p>
        </w:tc>
      </w:tr>
      <w:tr w:rsidR="00B354C1" w14:paraId="2C653BCD" w14:textId="77777777" w:rsidTr="00B354C1">
        <w:trPr>
          <w:trHeight w:val="320"/>
        </w:trPr>
        <w:tc>
          <w:tcPr>
            <w:tcW w:w="1152" w:type="dxa"/>
            <w:tcBorders>
              <w:top w:val="nil"/>
              <w:left w:val="nil"/>
              <w:bottom w:val="nil"/>
              <w:right w:val="nil"/>
            </w:tcBorders>
            <w:shd w:val="clear" w:color="auto" w:fill="auto"/>
            <w:noWrap/>
            <w:vAlign w:val="bottom"/>
            <w:hideMark/>
          </w:tcPr>
          <w:p w14:paraId="06C57543"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030476E" w14:textId="77777777" w:rsidR="00B354C1" w:rsidRDefault="00B354C1">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7313ABA" w14:textId="77777777" w:rsidR="00B354C1" w:rsidRDefault="00B354C1">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76A6BD65" w14:textId="77777777" w:rsidR="00B354C1" w:rsidRDefault="00B354C1">
            <w:pPr>
              <w:jc w:val="right"/>
              <w:rPr>
                <w:color w:val="000000"/>
                <w:sz w:val="20"/>
                <w:szCs w:val="20"/>
              </w:rPr>
            </w:pPr>
            <w:r>
              <w:rPr>
                <w:color w:val="000000"/>
                <w:sz w:val="20"/>
                <w:szCs w:val="20"/>
              </w:rPr>
              <w:t>0.839</w:t>
            </w:r>
          </w:p>
        </w:tc>
        <w:tc>
          <w:tcPr>
            <w:tcW w:w="864" w:type="dxa"/>
            <w:tcBorders>
              <w:top w:val="nil"/>
              <w:left w:val="nil"/>
              <w:bottom w:val="nil"/>
              <w:right w:val="nil"/>
            </w:tcBorders>
            <w:shd w:val="clear" w:color="auto" w:fill="auto"/>
            <w:noWrap/>
            <w:vAlign w:val="bottom"/>
            <w:hideMark/>
          </w:tcPr>
          <w:p w14:paraId="75BCC4FF"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5DE6DD6" w14:textId="77777777" w:rsidR="00B354C1" w:rsidRDefault="00B354C1">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212886AE" w14:textId="77777777" w:rsidR="00B354C1" w:rsidRDefault="00B354C1">
            <w:pPr>
              <w:jc w:val="right"/>
              <w:rPr>
                <w:color w:val="000000"/>
                <w:sz w:val="20"/>
                <w:szCs w:val="20"/>
              </w:rPr>
            </w:pPr>
            <w:r>
              <w:rPr>
                <w:color w:val="000000"/>
                <w:sz w:val="20"/>
                <w:szCs w:val="20"/>
              </w:rPr>
              <w:t>0.835</w:t>
            </w:r>
          </w:p>
        </w:tc>
        <w:tc>
          <w:tcPr>
            <w:tcW w:w="864" w:type="dxa"/>
            <w:tcBorders>
              <w:top w:val="nil"/>
              <w:left w:val="nil"/>
              <w:bottom w:val="nil"/>
              <w:right w:val="nil"/>
            </w:tcBorders>
            <w:shd w:val="clear" w:color="auto" w:fill="auto"/>
            <w:noWrap/>
            <w:vAlign w:val="bottom"/>
            <w:hideMark/>
          </w:tcPr>
          <w:p w14:paraId="2AC3962E" w14:textId="77777777" w:rsidR="00B354C1" w:rsidRDefault="00B354C1">
            <w:pPr>
              <w:jc w:val="right"/>
              <w:rPr>
                <w:color w:val="000000"/>
                <w:sz w:val="20"/>
                <w:szCs w:val="20"/>
              </w:rPr>
            </w:pPr>
            <w:r>
              <w:rPr>
                <w:color w:val="000000"/>
                <w:sz w:val="20"/>
                <w:szCs w:val="20"/>
              </w:rPr>
              <w:t>0.001</w:t>
            </w:r>
          </w:p>
        </w:tc>
      </w:tr>
      <w:tr w:rsidR="00B354C1" w14:paraId="68000AA8" w14:textId="77777777" w:rsidTr="00B354C1">
        <w:trPr>
          <w:trHeight w:val="320"/>
        </w:trPr>
        <w:tc>
          <w:tcPr>
            <w:tcW w:w="1152" w:type="dxa"/>
            <w:tcBorders>
              <w:top w:val="nil"/>
              <w:left w:val="nil"/>
              <w:bottom w:val="nil"/>
              <w:right w:val="nil"/>
            </w:tcBorders>
            <w:shd w:val="clear" w:color="auto" w:fill="auto"/>
            <w:noWrap/>
            <w:vAlign w:val="bottom"/>
            <w:hideMark/>
          </w:tcPr>
          <w:p w14:paraId="42B40030"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E780DAD" w14:textId="77777777" w:rsidR="00B354C1" w:rsidRDefault="00B354C1">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EB17054" w14:textId="77777777" w:rsidR="00B354C1" w:rsidRDefault="00B354C1">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682F0F1E" w14:textId="77777777" w:rsidR="00B354C1" w:rsidRDefault="00B354C1">
            <w:pPr>
              <w:jc w:val="right"/>
              <w:rPr>
                <w:color w:val="000000"/>
                <w:sz w:val="20"/>
                <w:szCs w:val="20"/>
              </w:rPr>
            </w:pPr>
            <w:r>
              <w:rPr>
                <w:color w:val="000000"/>
                <w:sz w:val="20"/>
                <w:szCs w:val="20"/>
              </w:rPr>
              <w:t>0.839</w:t>
            </w:r>
          </w:p>
        </w:tc>
        <w:tc>
          <w:tcPr>
            <w:tcW w:w="864" w:type="dxa"/>
            <w:tcBorders>
              <w:top w:val="nil"/>
              <w:left w:val="nil"/>
              <w:bottom w:val="nil"/>
              <w:right w:val="nil"/>
            </w:tcBorders>
            <w:shd w:val="clear" w:color="auto" w:fill="auto"/>
            <w:noWrap/>
            <w:vAlign w:val="bottom"/>
            <w:hideMark/>
          </w:tcPr>
          <w:p w14:paraId="7063F279"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55A0078" w14:textId="77777777" w:rsidR="00B354C1" w:rsidRDefault="00B354C1">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28D0E6D1" w14:textId="77777777" w:rsidR="00B354C1" w:rsidRDefault="00B354C1">
            <w:pPr>
              <w:jc w:val="right"/>
              <w:rPr>
                <w:color w:val="000000"/>
                <w:sz w:val="20"/>
                <w:szCs w:val="20"/>
              </w:rPr>
            </w:pPr>
            <w:r>
              <w:rPr>
                <w:color w:val="000000"/>
                <w:sz w:val="20"/>
                <w:szCs w:val="20"/>
              </w:rPr>
              <w:t>0.952</w:t>
            </w:r>
          </w:p>
        </w:tc>
        <w:tc>
          <w:tcPr>
            <w:tcW w:w="864" w:type="dxa"/>
            <w:tcBorders>
              <w:top w:val="nil"/>
              <w:left w:val="nil"/>
              <w:bottom w:val="nil"/>
              <w:right w:val="nil"/>
            </w:tcBorders>
            <w:shd w:val="clear" w:color="auto" w:fill="auto"/>
            <w:noWrap/>
            <w:vAlign w:val="bottom"/>
            <w:hideMark/>
          </w:tcPr>
          <w:p w14:paraId="7133B6FD" w14:textId="77777777" w:rsidR="00B354C1" w:rsidRDefault="00B354C1">
            <w:pPr>
              <w:jc w:val="right"/>
              <w:rPr>
                <w:color w:val="000000"/>
                <w:sz w:val="20"/>
                <w:szCs w:val="20"/>
              </w:rPr>
            </w:pPr>
            <w:r>
              <w:rPr>
                <w:color w:val="000000"/>
                <w:sz w:val="20"/>
                <w:szCs w:val="20"/>
              </w:rPr>
              <w:t>0.000</w:t>
            </w:r>
          </w:p>
        </w:tc>
      </w:tr>
      <w:tr w:rsidR="00B354C1" w14:paraId="3A8090CC" w14:textId="77777777" w:rsidTr="00B354C1">
        <w:trPr>
          <w:trHeight w:val="320"/>
        </w:trPr>
        <w:tc>
          <w:tcPr>
            <w:tcW w:w="1152" w:type="dxa"/>
            <w:tcBorders>
              <w:top w:val="nil"/>
              <w:left w:val="nil"/>
              <w:bottom w:val="single" w:sz="4" w:space="0" w:color="auto"/>
              <w:right w:val="nil"/>
            </w:tcBorders>
            <w:shd w:val="clear" w:color="auto" w:fill="auto"/>
            <w:noWrap/>
            <w:vAlign w:val="bottom"/>
            <w:hideMark/>
          </w:tcPr>
          <w:p w14:paraId="64A5CDE2" w14:textId="77777777" w:rsidR="00B354C1" w:rsidRDefault="00B354C1">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7D844CC" w14:textId="77777777" w:rsidR="00B354C1" w:rsidRDefault="00B354C1">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ED41CF3" w14:textId="77777777" w:rsidR="00B354C1" w:rsidRDefault="00B354C1">
            <w:pPr>
              <w:jc w:val="right"/>
              <w:rPr>
                <w:color w:val="000000"/>
                <w:sz w:val="20"/>
                <w:szCs w:val="20"/>
              </w:rPr>
            </w:pPr>
            <w:r>
              <w:rPr>
                <w:color w:val="000000"/>
                <w:sz w:val="20"/>
                <w:szCs w:val="20"/>
              </w:rPr>
              <w:t>-0.019</w:t>
            </w:r>
          </w:p>
        </w:tc>
        <w:tc>
          <w:tcPr>
            <w:tcW w:w="864" w:type="dxa"/>
            <w:tcBorders>
              <w:top w:val="nil"/>
              <w:left w:val="nil"/>
              <w:bottom w:val="single" w:sz="4" w:space="0" w:color="auto"/>
              <w:right w:val="nil"/>
            </w:tcBorders>
            <w:shd w:val="clear" w:color="auto" w:fill="auto"/>
            <w:noWrap/>
            <w:vAlign w:val="bottom"/>
            <w:hideMark/>
          </w:tcPr>
          <w:p w14:paraId="3A67841F" w14:textId="77777777" w:rsidR="00B354C1" w:rsidRDefault="00B354C1">
            <w:pPr>
              <w:jc w:val="right"/>
              <w:rPr>
                <w:color w:val="000000"/>
                <w:sz w:val="20"/>
                <w:szCs w:val="20"/>
              </w:rPr>
            </w:pPr>
            <w:r>
              <w:rPr>
                <w:color w:val="000000"/>
                <w:sz w:val="20"/>
                <w:szCs w:val="20"/>
              </w:rPr>
              <w:t>0.839</w:t>
            </w:r>
          </w:p>
        </w:tc>
        <w:tc>
          <w:tcPr>
            <w:tcW w:w="864" w:type="dxa"/>
            <w:tcBorders>
              <w:top w:val="nil"/>
              <w:left w:val="nil"/>
              <w:bottom w:val="single" w:sz="4" w:space="0" w:color="auto"/>
              <w:right w:val="nil"/>
            </w:tcBorders>
            <w:shd w:val="clear" w:color="auto" w:fill="auto"/>
            <w:noWrap/>
            <w:vAlign w:val="bottom"/>
            <w:hideMark/>
          </w:tcPr>
          <w:p w14:paraId="30447E0B"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4EA42B3C" w14:textId="77777777" w:rsidR="00B354C1" w:rsidRDefault="00B354C1">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0B1B8254" w14:textId="77777777" w:rsidR="00B354C1" w:rsidRDefault="00B354C1">
            <w:pPr>
              <w:jc w:val="right"/>
              <w:rPr>
                <w:color w:val="000000"/>
                <w:sz w:val="20"/>
                <w:szCs w:val="20"/>
              </w:rPr>
            </w:pPr>
            <w:r>
              <w:rPr>
                <w:color w:val="000000"/>
                <w:sz w:val="20"/>
                <w:szCs w:val="20"/>
              </w:rPr>
              <w:t>0.952</w:t>
            </w:r>
          </w:p>
        </w:tc>
        <w:tc>
          <w:tcPr>
            <w:tcW w:w="864" w:type="dxa"/>
            <w:tcBorders>
              <w:top w:val="nil"/>
              <w:left w:val="nil"/>
              <w:bottom w:val="single" w:sz="4" w:space="0" w:color="auto"/>
              <w:right w:val="nil"/>
            </w:tcBorders>
            <w:shd w:val="clear" w:color="auto" w:fill="auto"/>
            <w:noWrap/>
            <w:vAlign w:val="bottom"/>
            <w:hideMark/>
          </w:tcPr>
          <w:p w14:paraId="396388B6" w14:textId="77777777" w:rsidR="00B354C1" w:rsidRDefault="00B354C1">
            <w:pPr>
              <w:jc w:val="right"/>
              <w:rPr>
                <w:color w:val="000000"/>
                <w:sz w:val="20"/>
                <w:szCs w:val="20"/>
              </w:rPr>
            </w:pPr>
            <w:r>
              <w:rPr>
                <w:color w:val="000000"/>
                <w:sz w:val="20"/>
                <w:szCs w:val="20"/>
              </w:rPr>
              <w:t>0.000</w:t>
            </w:r>
          </w:p>
        </w:tc>
      </w:tr>
      <w:tr w:rsidR="00B354C1" w14:paraId="7B8ABE2A" w14:textId="77777777" w:rsidTr="00B354C1">
        <w:trPr>
          <w:trHeight w:val="320"/>
        </w:trPr>
        <w:tc>
          <w:tcPr>
            <w:tcW w:w="1152" w:type="dxa"/>
            <w:tcBorders>
              <w:top w:val="nil"/>
              <w:left w:val="nil"/>
              <w:bottom w:val="nil"/>
              <w:right w:val="nil"/>
            </w:tcBorders>
            <w:shd w:val="clear" w:color="auto" w:fill="auto"/>
            <w:noWrap/>
            <w:vAlign w:val="bottom"/>
            <w:hideMark/>
          </w:tcPr>
          <w:p w14:paraId="713FC46A" w14:textId="77777777" w:rsidR="00B354C1" w:rsidRDefault="00B354C1">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365EFC56" w14:textId="77777777" w:rsidR="00B354C1" w:rsidRDefault="00B354C1">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5034362" w14:textId="77777777" w:rsidR="00B354C1" w:rsidRDefault="00B354C1">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193D0622" w14:textId="77777777" w:rsidR="00B354C1" w:rsidRDefault="00B354C1">
            <w:pPr>
              <w:jc w:val="right"/>
              <w:rPr>
                <w:color w:val="000000"/>
                <w:sz w:val="20"/>
                <w:szCs w:val="20"/>
              </w:rPr>
            </w:pPr>
            <w:r>
              <w:rPr>
                <w:color w:val="000000"/>
                <w:sz w:val="20"/>
                <w:szCs w:val="20"/>
              </w:rPr>
              <w:t>0.582</w:t>
            </w:r>
          </w:p>
        </w:tc>
        <w:tc>
          <w:tcPr>
            <w:tcW w:w="864" w:type="dxa"/>
            <w:tcBorders>
              <w:top w:val="nil"/>
              <w:left w:val="nil"/>
              <w:bottom w:val="nil"/>
              <w:right w:val="nil"/>
            </w:tcBorders>
            <w:shd w:val="clear" w:color="auto" w:fill="auto"/>
            <w:noWrap/>
            <w:vAlign w:val="bottom"/>
            <w:hideMark/>
          </w:tcPr>
          <w:p w14:paraId="5520FFD2"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E030157" w14:textId="77777777" w:rsidR="00B354C1" w:rsidRDefault="00B354C1">
            <w:pPr>
              <w:jc w:val="right"/>
              <w:rPr>
                <w:b/>
                <w:bCs/>
                <w:color w:val="000000"/>
                <w:sz w:val="20"/>
                <w:szCs w:val="20"/>
              </w:rPr>
            </w:pPr>
            <w:r>
              <w:rPr>
                <w:b/>
                <w:bCs/>
                <w:color w:val="000000"/>
                <w:sz w:val="20"/>
                <w:szCs w:val="20"/>
              </w:rPr>
              <w:t>-0.093</w:t>
            </w:r>
          </w:p>
        </w:tc>
        <w:tc>
          <w:tcPr>
            <w:tcW w:w="864" w:type="dxa"/>
            <w:tcBorders>
              <w:top w:val="nil"/>
              <w:left w:val="nil"/>
              <w:bottom w:val="nil"/>
              <w:right w:val="nil"/>
            </w:tcBorders>
            <w:shd w:val="clear" w:color="auto" w:fill="auto"/>
            <w:noWrap/>
            <w:vAlign w:val="bottom"/>
            <w:hideMark/>
          </w:tcPr>
          <w:p w14:paraId="04574F95" w14:textId="77777777" w:rsidR="00B354C1" w:rsidRDefault="00B354C1">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2494CD0A" w14:textId="77777777" w:rsidR="00B354C1" w:rsidRDefault="00B354C1">
            <w:pPr>
              <w:jc w:val="right"/>
              <w:rPr>
                <w:b/>
                <w:bCs/>
                <w:color w:val="000000"/>
                <w:sz w:val="20"/>
                <w:szCs w:val="20"/>
              </w:rPr>
            </w:pPr>
            <w:r>
              <w:rPr>
                <w:b/>
                <w:bCs/>
                <w:color w:val="000000"/>
                <w:sz w:val="20"/>
                <w:szCs w:val="20"/>
              </w:rPr>
              <w:t>0.009</w:t>
            </w:r>
          </w:p>
        </w:tc>
      </w:tr>
      <w:tr w:rsidR="00B354C1" w14:paraId="2B00AFA9" w14:textId="77777777" w:rsidTr="00B354C1">
        <w:trPr>
          <w:trHeight w:val="320"/>
        </w:trPr>
        <w:tc>
          <w:tcPr>
            <w:tcW w:w="1152" w:type="dxa"/>
            <w:tcBorders>
              <w:top w:val="nil"/>
              <w:left w:val="nil"/>
              <w:bottom w:val="nil"/>
              <w:right w:val="nil"/>
            </w:tcBorders>
            <w:shd w:val="clear" w:color="auto" w:fill="auto"/>
            <w:noWrap/>
            <w:vAlign w:val="bottom"/>
            <w:hideMark/>
          </w:tcPr>
          <w:p w14:paraId="14AE40AE" w14:textId="77777777" w:rsidR="00B354C1" w:rsidRDefault="00B354C1">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7BF40A94" w14:textId="77777777" w:rsidR="00B354C1" w:rsidRDefault="00B354C1">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C46D8E2" w14:textId="77777777" w:rsidR="00B354C1" w:rsidRDefault="00B354C1">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24FB3F87" w14:textId="77777777" w:rsidR="00B354C1" w:rsidRDefault="00B354C1">
            <w:pPr>
              <w:jc w:val="right"/>
              <w:rPr>
                <w:color w:val="000000"/>
                <w:sz w:val="20"/>
                <w:szCs w:val="20"/>
              </w:rPr>
            </w:pPr>
            <w:r>
              <w:rPr>
                <w:color w:val="000000"/>
                <w:sz w:val="20"/>
                <w:szCs w:val="20"/>
              </w:rPr>
              <w:t>0.384</w:t>
            </w:r>
          </w:p>
        </w:tc>
        <w:tc>
          <w:tcPr>
            <w:tcW w:w="864" w:type="dxa"/>
            <w:tcBorders>
              <w:top w:val="nil"/>
              <w:left w:val="nil"/>
              <w:bottom w:val="nil"/>
              <w:right w:val="nil"/>
            </w:tcBorders>
            <w:shd w:val="clear" w:color="auto" w:fill="auto"/>
            <w:noWrap/>
            <w:vAlign w:val="bottom"/>
            <w:hideMark/>
          </w:tcPr>
          <w:p w14:paraId="55C0E752"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477275A" w14:textId="77777777" w:rsidR="00B354C1" w:rsidRDefault="00B354C1">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4A2D9D7B" w14:textId="77777777" w:rsidR="00B354C1" w:rsidRDefault="00B354C1">
            <w:pPr>
              <w:jc w:val="right"/>
              <w:rPr>
                <w:color w:val="000000"/>
                <w:sz w:val="20"/>
                <w:szCs w:val="20"/>
              </w:rPr>
            </w:pPr>
            <w:r>
              <w:rPr>
                <w:color w:val="000000"/>
                <w:sz w:val="20"/>
                <w:szCs w:val="20"/>
              </w:rPr>
              <w:t>0.559</w:t>
            </w:r>
          </w:p>
        </w:tc>
        <w:tc>
          <w:tcPr>
            <w:tcW w:w="864" w:type="dxa"/>
            <w:tcBorders>
              <w:top w:val="nil"/>
              <w:left w:val="nil"/>
              <w:bottom w:val="nil"/>
              <w:right w:val="nil"/>
            </w:tcBorders>
            <w:shd w:val="clear" w:color="auto" w:fill="auto"/>
            <w:noWrap/>
            <w:vAlign w:val="bottom"/>
            <w:hideMark/>
          </w:tcPr>
          <w:p w14:paraId="52FF6634" w14:textId="77777777" w:rsidR="00B354C1" w:rsidRDefault="00B354C1">
            <w:pPr>
              <w:jc w:val="right"/>
              <w:rPr>
                <w:color w:val="000000"/>
                <w:sz w:val="20"/>
                <w:szCs w:val="20"/>
              </w:rPr>
            </w:pPr>
            <w:r>
              <w:rPr>
                <w:color w:val="000000"/>
                <w:sz w:val="20"/>
                <w:szCs w:val="20"/>
              </w:rPr>
              <w:t>0.001</w:t>
            </w:r>
          </w:p>
        </w:tc>
      </w:tr>
      <w:tr w:rsidR="00B354C1" w14:paraId="7F102565" w14:textId="77777777" w:rsidTr="00B354C1">
        <w:trPr>
          <w:trHeight w:val="320"/>
        </w:trPr>
        <w:tc>
          <w:tcPr>
            <w:tcW w:w="1152" w:type="dxa"/>
            <w:tcBorders>
              <w:top w:val="nil"/>
              <w:left w:val="nil"/>
              <w:bottom w:val="nil"/>
              <w:right w:val="nil"/>
            </w:tcBorders>
            <w:shd w:val="clear" w:color="auto" w:fill="auto"/>
            <w:noWrap/>
            <w:vAlign w:val="bottom"/>
            <w:hideMark/>
          </w:tcPr>
          <w:p w14:paraId="545FA6E8"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492FB2E" w14:textId="77777777" w:rsidR="00B354C1" w:rsidRDefault="00B354C1">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5BAF8F0" w14:textId="77777777" w:rsidR="00B354C1" w:rsidRDefault="00B354C1">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30ECF850" w14:textId="77777777" w:rsidR="00B354C1" w:rsidRDefault="00B354C1">
            <w:pPr>
              <w:jc w:val="right"/>
              <w:rPr>
                <w:color w:val="000000"/>
                <w:sz w:val="20"/>
                <w:szCs w:val="20"/>
              </w:rPr>
            </w:pPr>
            <w:r>
              <w:rPr>
                <w:color w:val="000000"/>
                <w:sz w:val="20"/>
                <w:szCs w:val="20"/>
              </w:rPr>
              <w:t>0.993</w:t>
            </w:r>
          </w:p>
        </w:tc>
        <w:tc>
          <w:tcPr>
            <w:tcW w:w="864" w:type="dxa"/>
            <w:tcBorders>
              <w:top w:val="nil"/>
              <w:left w:val="nil"/>
              <w:bottom w:val="nil"/>
              <w:right w:val="nil"/>
            </w:tcBorders>
            <w:shd w:val="clear" w:color="auto" w:fill="auto"/>
            <w:noWrap/>
            <w:vAlign w:val="bottom"/>
            <w:hideMark/>
          </w:tcPr>
          <w:p w14:paraId="0DFEE8D6"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7371012" w14:textId="77777777" w:rsidR="00B354C1" w:rsidRDefault="00B354C1">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66702A19" w14:textId="77777777" w:rsidR="00B354C1" w:rsidRDefault="00B354C1">
            <w:pPr>
              <w:jc w:val="right"/>
              <w:rPr>
                <w:color w:val="000000"/>
                <w:sz w:val="20"/>
                <w:szCs w:val="20"/>
              </w:rPr>
            </w:pPr>
            <w:r>
              <w:rPr>
                <w:color w:val="000000"/>
                <w:sz w:val="20"/>
                <w:szCs w:val="20"/>
              </w:rPr>
              <w:t>0.559</w:t>
            </w:r>
          </w:p>
        </w:tc>
        <w:tc>
          <w:tcPr>
            <w:tcW w:w="864" w:type="dxa"/>
            <w:tcBorders>
              <w:top w:val="nil"/>
              <w:left w:val="nil"/>
              <w:bottom w:val="nil"/>
              <w:right w:val="nil"/>
            </w:tcBorders>
            <w:shd w:val="clear" w:color="auto" w:fill="auto"/>
            <w:noWrap/>
            <w:vAlign w:val="bottom"/>
            <w:hideMark/>
          </w:tcPr>
          <w:p w14:paraId="780BFDAF" w14:textId="77777777" w:rsidR="00B354C1" w:rsidRDefault="00B354C1">
            <w:pPr>
              <w:jc w:val="right"/>
              <w:rPr>
                <w:color w:val="000000"/>
                <w:sz w:val="20"/>
                <w:szCs w:val="20"/>
              </w:rPr>
            </w:pPr>
            <w:r>
              <w:rPr>
                <w:color w:val="000000"/>
                <w:sz w:val="20"/>
                <w:szCs w:val="20"/>
              </w:rPr>
              <w:t>0.001</w:t>
            </w:r>
          </w:p>
        </w:tc>
      </w:tr>
      <w:tr w:rsidR="00B354C1" w14:paraId="125BD4B5" w14:textId="77777777" w:rsidTr="00B354C1">
        <w:trPr>
          <w:trHeight w:val="320"/>
        </w:trPr>
        <w:tc>
          <w:tcPr>
            <w:tcW w:w="1152" w:type="dxa"/>
            <w:tcBorders>
              <w:top w:val="nil"/>
              <w:left w:val="nil"/>
              <w:bottom w:val="nil"/>
              <w:right w:val="nil"/>
            </w:tcBorders>
            <w:shd w:val="clear" w:color="auto" w:fill="auto"/>
            <w:noWrap/>
            <w:vAlign w:val="bottom"/>
            <w:hideMark/>
          </w:tcPr>
          <w:p w14:paraId="29779997"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4C001B" w14:textId="77777777" w:rsidR="00B354C1" w:rsidRDefault="00B354C1">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AAD0C3D" w14:textId="77777777" w:rsidR="00B354C1" w:rsidRDefault="00B354C1">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1BBB4087" w14:textId="77777777" w:rsidR="00B354C1" w:rsidRDefault="00B354C1">
            <w:pPr>
              <w:jc w:val="right"/>
              <w:rPr>
                <w:color w:val="000000"/>
                <w:sz w:val="20"/>
                <w:szCs w:val="20"/>
              </w:rPr>
            </w:pPr>
            <w:r>
              <w:rPr>
                <w:color w:val="000000"/>
                <w:sz w:val="20"/>
                <w:szCs w:val="20"/>
              </w:rPr>
              <w:t>0.400</w:t>
            </w:r>
          </w:p>
        </w:tc>
        <w:tc>
          <w:tcPr>
            <w:tcW w:w="864" w:type="dxa"/>
            <w:tcBorders>
              <w:top w:val="nil"/>
              <w:left w:val="nil"/>
              <w:bottom w:val="nil"/>
              <w:right w:val="nil"/>
            </w:tcBorders>
            <w:shd w:val="clear" w:color="auto" w:fill="auto"/>
            <w:noWrap/>
            <w:vAlign w:val="bottom"/>
            <w:hideMark/>
          </w:tcPr>
          <w:p w14:paraId="79A72FA4" w14:textId="77777777" w:rsidR="00B354C1" w:rsidRDefault="00B354C1">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1DDB940D" w14:textId="77777777" w:rsidR="00B354C1" w:rsidRDefault="00B354C1">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0BCB78BD" w14:textId="77777777" w:rsidR="00B354C1" w:rsidRDefault="00B354C1">
            <w:pPr>
              <w:jc w:val="right"/>
              <w:rPr>
                <w:color w:val="000000"/>
                <w:sz w:val="20"/>
                <w:szCs w:val="20"/>
              </w:rPr>
            </w:pPr>
            <w:r>
              <w:rPr>
                <w:color w:val="000000"/>
                <w:sz w:val="20"/>
                <w:szCs w:val="20"/>
              </w:rPr>
              <w:t>0.559</w:t>
            </w:r>
          </w:p>
        </w:tc>
        <w:tc>
          <w:tcPr>
            <w:tcW w:w="864" w:type="dxa"/>
            <w:tcBorders>
              <w:top w:val="nil"/>
              <w:left w:val="nil"/>
              <w:bottom w:val="nil"/>
              <w:right w:val="nil"/>
            </w:tcBorders>
            <w:shd w:val="clear" w:color="auto" w:fill="auto"/>
            <w:noWrap/>
            <w:vAlign w:val="bottom"/>
            <w:hideMark/>
          </w:tcPr>
          <w:p w14:paraId="17E39F1D" w14:textId="77777777" w:rsidR="00B354C1" w:rsidRDefault="00B354C1">
            <w:pPr>
              <w:jc w:val="right"/>
              <w:rPr>
                <w:color w:val="000000"/>
                <w:sz w:val="20"/>
                <w:szCs w:val="20"/>
              </w:rPr>
            </w:pPr>
            <w:r>
              <w:rPr>
                <w:color w:val="000000"/>
                <w:sz w:val="20"/>
                <w:szCs w:val="20"/>
              </w:rPr>
              <w:t>0.001</w:t>
            </w:r>
          </w:p>
        </w:tc>
      </w:tr>
      <w:tr w:rsidR="00B354C1" w14:paraId="1F7DE559" w14:textId="77777777" w:rsidTr="00B354C1">
        <w:trPr>
          <w:trHeight w:val="320"/>
        </w:trPr>
        <w:tc>
          <w:tcPr>
            <w:tcW w:w="1152" w:type="dxa"/>
            <w:tcBorders>
              <w:top w:val="nil"/>
              <w:left w:val="nil"/>
              <w:bottom w:val="nil"/>
              <w:right w:val="nil"/>
            </w:tcBorders>
            <w:shd w:val="clear" w:color="auto" w:fill="auto"/>
            <w:noWrap/>
            <w:vAlign w:val="bottom"/>
            <w:hideMark/>
          </w:tcPr>
          <w:p w14:paraId="67FBEDEE"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6E3BCEB" w14:textId="77777777" w:rsidR="00B354C1" w:rsidRDefault="00B354C1">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9D36E12" w14:textId="77777777" w:rsidR="00B354C1" w:rsidRDefault="00B354C1">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2F327531" w14:textId="77777777" w:rsidR="00B354C1" w:rsidRDefault="00B354C1">
            <w:pPr>
              <w:jc w:val="right"/>
              <w:rPr>
                <w:color w:val="000000"/>
                <w:sz w:val="20"/>
                <w:szCs w:val="20"/>
              </w:rPr>
            </w:pPr>
            <w:r>
              <w:rPr>
                <w:color w:val="000000"/>
                <w:sz w:val="20"/>
                <w:szCs w:val="20"/>
              </w:rPr>
              <w:t>0.344</w:t>
            </w:r>
          </w:p>
        </w:tc>
        <w:tc>
          <w:tcPr>
            <w:tcW w:w="864" w:type="dxa"/>
            <w:tcBorders>
              <w:top w:val="nil"/>
              <w:left w:val="nil"/>
              <w:bottom w:val="nil"/>
              <w:right w:val="nil"/>
            </w:tcBorders>
            <w:shd w:val="clear" w:color="auto" w:fill="auto"/>
            <w:noWrap/>
            <w:vAlign w:val="bottom"/>
            <w:hideMark/>
          </w:tcPr>
          <w:p w14:paraId="3DC6ABAC" w14:textId="77777777" w:rsidR="00B354C1" w:rsidRDefault="00B354C1">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9B4BB48" w14:textId="77777777" w:rsidR="00B354C1" w:rsidRDefault="00B354C1">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75816BCE" w14:textId="77777777" w:rsidR="00B354C1" w:rsidRDefault="00B354C1">
            <w:pPr>
              <w:jc w:val="right"/>
              <w:rPr>
                <w:color w:val="000000"/>
                <w:sz w:val="20"/>
                <w:szCs w:val="20"/>
              </w:rPr>
            </w:pPr>
            <w:r>
              <w:rPr>
                <w:color w:val="000000"/>
                <w:sz w:val="20"/>
                <w:szCs w:val="20"/>
              </w:rPr>
              <w:t>0.854</w:t>
            </w:r>
          </w:p>
        </w:tc>
        <w:tc>
          <w:tcPr>
            <w:tcW w:w="864" w:type="dxa"/>
            <w:tcBorders>
              <w:top w:val="nil"/>
              <w:left w:val="nil"/>
              <w:bottom w:val="nil"/>
              <w:right w:val="nil"/>
            </w:tcBorders>
            <w:shd w:val="clear" w:color="auto" w:fill="auto"/>
            <w:noWrap/>
            <w:vAlign w:val="bottom"/>
            <w:hideMark/>
          </w:tcPr>
          <w:p w14:paraId="0111B5F3" w14:textId="77777777" w:rsidR="00B354C1" w:rsidRDefault="00B354C1">
            <w:pPr>
              <w:jc w:val="right"/>
              <w:rPr>
                <w:color w:val="000000"/>
                <w:sz w:val="20"/>
                <w:szCs w:val="20"/>
              </w:rPr>
            </w:pPr>
            <w:r>
              <w:rPr>
                <w:color w:val="000000"/>
                <w:sz w:val="20"/>
                <w:szCs w:val="20"/>
              </w:rPr>
              <w:t>0.000</w:t>
            </w:r>
          </w:p>
        </w:tc>
      </w:tr>
      <w:tr w:rsidR="00B354C1" w14:paraId="39E08A86" w14:textId="77777777" w:rsidTr="00B354C1">
        <w:trPr>
          <w:trHeight w:val="320"/>
        </w:trPr>
        <w:tc>
          <w:tcPr>
            <w:tcW w:w="1152" w:type="dxa"/>
            <w:tcBorders>
              <w:top w:val="nil"/>
              <w:left w:val="nil"/>
              <w:bottom w:val="nil"/>
              <w:right w:val="nil"/>
            </w:tcBorders>
            <w:shd w:val="clear" w:color="auto" w:fill="auto"/>
            <w:noWrap/>
            <w:vAlign w:val="bottom"/>
            <w:hideMark/>
          </w:tcPr>
          <w:p w14:paraId="3BD45868"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C50614A" w14:textId="77777777" w:rsidR="00B354C1" w:rsidRDefault="00B354C1">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2B12B67" w14:textId="77777777" w:rsidR="00B354C1" w:rsidRDefault="00B354C1">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31DAC7E4" w14:textId="77777777" w:rsidR="00B354C1" w:rsidRDefault="00B354C1">
            <w:pPr>
              <w:jc w:val="right"/>
              <w:rPr>
                <w:color w:val="000000"/>
                <w:sz w:val="20"/>
                <w:szCs w:val="20"/>
              </w:rPr>
            </w:pPr>
            <w:r>
              <w:rPr>
                <w:color w:val="000000"/>
                <w:sz w:val="20"/>
                <w:szCs w:val="20"/>
              </w:rPr>
              <w:t>0.659</w:t>
            </w:r>
          </w:p>
        </w:tc>
        <w:tc>
          <w:tcPr>
            <w:tcW w:w="864" w:type="dxa"/>
            <w:tcBorders>
              <w:top w:val="nil"/>
              <w:left w:val="nil"/>
              <w:bottom w:val="nil"/>
              <w:right w:val="nil"/>
            </w:tcBorders>
            <w:shd w:val="clear" w:color="auto" w:fill="auto"/>
            <w:noWrap/>
            <w:vAlign w:val="bottom"/>
            <w:hideMark/>
          </w:tcPr>
          <w:p w14:paraId="31333585"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498F1EE" w14:textId="77777777" w:rsidR="00B354C1" w:rsidRDefault="00B354C1">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4A85FD4B" w14:textId="77777777" w:rsidR="00B354C1" w:rsidRDefault="00B354C1">
            <w:pPr>
              <w:jc w:val="right"/>
              <w:rPr>
                <w:color w:val="000000"/>
                <w:sz w:val="20"/>
                <w:szCs w:val="20"/>
              </w:rPr>
            </w:pPr>
            <w:r>
              <w:rPr>
                <w:color w:val="000000"/>
                <w:sz w:val="20"/>
                <w:szCs w:val="20"/>
              </w:rPr>
              <w:t>0.908</w:t>
            </w:r>
          </w:p>
        </w:tc>
        <w:tc>
          <w:tcPr>
            <w:tcW w:w="864" w:type="dxa"/>
            <w:tcBorders>
              <w:top w:val="nil"/>
              <w:left w:val="nil"/>
              <w:bottom w:val="nil"/>
              <w:right w:val="nil"/>
            </w:tcBorders>
            <w:shd w:val="clear" w:color="auto" w:fill="auto"/>
            <w:noWrap/>
            <w:vAlign w:val="bottom"/>
            <w:hideMark/>
          </w:tcPr>
          <w:p w14:paraId="11530B2D" w14:textId="77777777" w:rsidR="00B354C1" w:rsidRDefault="00B354C1">
            <w:pPr>
              <w:jc w:val="right"/>
              <w:rPr>
                <w:color w:val="000000"/>
                <w:sz w:val="20"/>
                <w:szCs w:val="20"/>
              </w:rPr>
            </w:pPr>
            <w:r>
              <w:rPr>
                <w:color w:val="000000"/>
                <w:sz w:val="20"/>
                <w:szCs w:val="20"/>
              </w:rPr>
              <w:t>0.000</w:t>
            </w:r>
          </w:p>
        </w:tc>
      </w:tr>
      <w:tr w:rsidR="00B354C1" w14:paraId="3182AAC5" w14:textId="77777777" w:rsidTr="00B354C1">
        <w:trPr>
          <w:trHeight w:val="320"/>
        </w:trPr>
        <w:tc>
          <w:tcPr>
            <w:tcW w:w="1152" w:type="dxa"/>
            <w:tcBorders>
              <w:top w:val="nil"/>
              <w:left w:val="nil"/>
              <w:bottom w:val="nil"/>
              <w:right w:val="nil"/>
            </w:tcBorders>
            <w:shd w:val="clear" w:color="auto" w:fill="auto"/>
            <w:noWrap/>
            <w:vAlign w:val="bottom"/>
            <w:hideMark/>
          </w:tcPr>
          <w:p w14:paraId="762F13F6"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1DCA0B" w14:textId="77777777" w:rsidR="00B354C1" w:rsidRDefault="00B354C1">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CDCBD46" w14:textId="77777777" w:rsidR="00B354C1" w:rsidRDefault="00B354C1">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5B55DF86" w14:textId="77777777" w:rsidR="00B354C1" w:rsidRDefault="00B354C1">
            <w:pPr>
              <w:jc w:val="right"/>
              <w:rPr>
                <w:color w:val="000000"/>
                <w:sz w:val="20"/>
                <w:szCs w:val="20"/>
              </w:rPr>
            </w:pPr>
            <w:r>
              <w:rPr>
                <w:color w:val="000000"/>
                <w:sz w:val="20"/>
                <w:szCs w:val="20"/>
              </w:rPr>
              <w:t>0.400</w:t>
            </w:r>
          </w:p>
        </w:tc>
        <w:tc>
          <w:tcPr>
            <w:tcW w:w="864" w:type="dxa"/>
            <w:tcBorders>
              <w:top w:val="nil"/>
              <w:left w:val="nil"/>
              <w:bottom w:val="nil"/>
              <w:right w:val="nil"/>
            </w:tcBorders>
            <w:shd w:val="clear" w:color="auto" w:fill="auto"/>
            <w:noWrap/>
            <w:vAlign w:val="bottom"/>
            <w:hideMark/>
          </w:tcPr>
          <w:p w14:paraId="086D0142"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8D5F1D4" w14:textId="77777777" w:rsidR="00B354C1" w:rsidRDefault="00B354C1">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22AB3C57" w14:textId="77777777" w:rsidR="00B354C1" w:rsidRDefault="00B354C1">
            <w:pPr>
              <w:jc w:val="right"/>
              <w:rPr>
                <w:color w:val="000000"/>
                <w:sz w:val="20"/>
                <w:szCs w:val="20"/>
              </w:rPr>
            </w:pPr>
            <w:r>
              <w:rPr>
                <w:color w:val="000000"/>
                <w:sz w:val="20"/>
                <w:szCs w:val="20"/>
              </w:rPr>
              <w:t>0.559</w:t>
            </w:r>
          </w:p>
        </w:tc>
        <w:tc>
          <w:tcPr>
            <w:tcW w:w="864" w:type="dxa"/>
            <w:tcBorders>
              <w:top w:val="nil"/>
              <w:left w:val="nil"/>
              <w:bottom w:val="nil"/>
              <w:right w:val="nil"/>
            </w:tcBorders>
            <w:shd w:val="clear" w:color="auto" w:fill="auto"/>
            <w:noWrap/>
            <w:vAlign w:val="bottom"/>
            <w:hideMark/>
          </w:tcPr>
          <w:p w14:paraId="1E36A5C8" w14:textId="77777777" w:rsidR="00B354C1" w:rsidRDefault="00B354C1">
            <w:pPr>
              <w:jc w:val="right"/>
              <w:rPr>
                <w:color w:val="000000"/>
                <w:sz w:val="20"/>
                <w:szCs w:val="20"/>
              </w:rPr>
            </w:pPr>
            <w:r>
              <w:rPr>
                <w:color w:val="000000"/>
                <w:sz w:val="20"/>
                <w:szCs w:val="20"/>
              </w:rPr>
              <w:t>0.001</w:t>
            </w:r>
          </w:p>
        </w:tc>
      </w:tr>
      <w:tr w:rsidR="00B354C1" w14:paraId="442C09C1" w14:textId="77777777" w:rsidTr="00B354C1">
        <w:trPr>
          <w:trHeight w:val="320"/>
        </w:trPr>
        <w:tc>
          <w:tcPr>
            <w:tcW w:w="1152" w:type="dxa"/>
            <w:tcBorders>
              <w:top w:val="nil"/>
              <w:left w:val="nil"/>
              <w:bottom w:val="single" w:sz="4" w:space="0" w:color="auto"/>
              <w:right w:val="nil"/>
            </w:tcBorders>
            <w:shd w:val="clear" w:color="auto" w:fill="auto"/>
            <w:noWrap/>
            <w:vAlign w:val="bottom"/>
            <w:hideMark/>
          </w:tcPr>
          <w:p w14:paraId="7CDE1B7C" w14:textId="77777777" w:rsidR="00B354C1" w:rsidRDefault="00B354C1">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FD14EAB" w14:textId="77777777" w:rsidR="00B354C1" w:rsidRDefault="00B354C1">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BC3E23E"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34CB428F" w14:textId="77777777" w:rsidR="00B354C1" w:rsidRDefault="00B354C1">
            <w:pPr>
              <w:jc w:val="right"/>
              <w:rPr>
                <w:color w:val="000000"/>
                <w:sz w:val="20"/>
                <w:szCs w:val="20"/>
              </w:rPr>
            </w:pPr>
            <w:r>
              <w:rPr>
                <w:color w:val="000000"/>
                <w:sz w:val="20"/>
                <w:szCs w:val="20"/>
              </w:rPr>
              <w:t>0.993</w:t>
            </w:r>
          </w:p>
        </w:tc>
        <w:tc>
          <w:tcPr>
            <w:tcW w:w="864" w:type="dxa"/>
            <w:tcBorders>
              <w:top w:val="nil"/>
              <w:left w:val="nil"/>
              <w:bottom w:val="single" w:sz="4" w:space="0" w:color="auto"/>
              <w:right w:val="nil"/>
            </w:tcBorders>
            <w:shd w:val="clear" w:color="auto" w:fill="auto"/>
            <w:noWrap/>
            <w:vAlign w:val="bottom"/>
            <w:hideMark/>
          </w:tcPr>
          <w:p w14:paraId="74C54036"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4E3D56C5" w14:textId="77777777" w:rsidR="00B354C1" w:rsidRDefault="00B354C1">
            <w:pPr>
              <w:jc w:val="right"/>
              <w:rPr>
                <w:color w:val="000000"/>
                <w:sz w:val="20"/>
                <w:szCs w:val="20"/>
              </w:rPr>
            </w:pPr>
            <w:r>
              <w:rPr>
                <w:color w:val="000000"/>
                <w:sz w:val="20"/>
                <w:szCs w:val="20"/>
              </w:rPr>
              <w:t>-0.027</w:t>
            </w:r>
          </w:p>
        </w:tc>
        <w:tc>
          <w:tcPr>
            <w:tcW w:w="864" w:type="dxa"/>
            <w:tcBorders>
              <w:top w:val="nil"/>
              <w:left w:val="nil"/>
              <w:bottom w:val="single" w:sz="4" w:space="0" w:color="auto"/>
              <w:right w:val="nil"/>
            </w:tcBorders>
            <w:shd w:val="clear" w:color="auto" w:fill="auto"/>
            <w:noWrap/>
            <w:vAlign w:val="bottom"/>
            <w:hideMark/>
          </w:tcPr>
          <w:p w14:paraId="2236A6D9" w14:textId="77777777" w:rsidR="00B354C1" w:rsidRDefault="00B354C1">
            <w:pPr>
              <w:jc w:val="right"/>
              <w:rPr>
                <w:color w:val="000000"/>
                <w:sz w:val="20"/>
                <w:szCs w:val="20"/>
              </w:rPr>
            </w:pPr>
            <w:r>
              <w:rPr>
                <w:color w:val="000000"/>
                <w:sz w:val="20"/>
                <w:szCs w:val="20"/>
              </w:rPr>
              <w:t>0.559</w:t>
            </w:r>
          </w:p>
        </w:tc>
        <w:tc>
          <w:tcPr>
            <w:tcW w:w="864" w:type="dxa"/>
            <w:tcBorders>
              <w:top w:val="nil"/>
              <w:left w:val="nil"/>
              <w:bottom w:val="single" w:sz="4" w:space="0" w:color="auto"/>
              <w:right w:val="nil"/>
            </w:tcBorders>
            <w:shd w:val="clear" w:color="auto" w:fill="auto"/>
            <w:noWrap/>
            <w:vAlign w:val="bottom"/>
            <w:hideMark/>
          </w:tcPr>
          <w:p w14:paraId="25ABA029" w14:textId="77777777" w:rsidR="00B354C1" w:rsidRDefault="00B354C1">
            <w:pPr>
              <w:jc w:val="right"/>
              <w:rPr>
                <w:color w:val="000000"/>
                <w:sz w:val="20"/>
                <w:szCs w:val="20"/>
              </w:rPr>
            </w:pPr>
            <w:r>
              <w:rPr>
                <w:color w:val="000000"/>
                <w:sz w:val="20"/>
                <w:szCs w:val="20"/>
              </w:rPr>
              <w:t>0.001</w:t>
            </w:r>
          </w:p>
        </w:tc>
      </w:tr>
      <w:tr w:rsidR="00B354C1" w14:paraId="2C95516F" w14:textId="77777777" w:rsidTr="00B354C1">
        <w:trPr>
          <w:trHeight w:val="320"/>
        </w:trPr>
        <w:tc>
          <w:tcPr>
            <w:tcW w:w="1152" w:type="dxa"/>
            <w:tcBorders>
              <w:top w:val="nil"/>
              <w:left w:val="nil"/>
              <w:bottom w:val="nil"/>
              <w:right w:val="nil"/>
            </w:tcBorders>
            <w:shd w:val="clear" w:color="auto" w:fill="auto"/>
            <w:noWrap/>
            <w:vAlign w:val="bottom"/>
            <w:hideMark/>
          </w:tcPr>
          <w:p w14:paraId="687F082E" w14:textId="77777777" w:rsidR="00B354C1" w:rsidRDefault="00B354C1">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6C69A918" w14:textId="77777777" w:rsidR="00B354C1" w:rsidRDefault="00B354C1">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2C88FC80" w14:textId="77777777" w:rsidR="00B354C1" w:rsidRDefault="00B354C1">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1E4B7ADE" w14:textId="77777777" w:rsidR="00B354C1" w:rsidRDefault="00B354C1">
            <w:pPr>
              <w:jc w:val="right"/>
              <w:rPr>
                <w:color w:val="000000"/>
                <w:sz w:val="20"/>
                <w:szCs w:val="20"/>
              </w:rPr>
            </w:pPr>
            <w:r>
              <w:rPr>
                <w:color w:val="000000"/>
                <w:sz w:val="20"/>
                <w:szCs w:val="20"/>
              </w:rPr>
              <w:t>0.463</w:t>
            </w:r>
          </w:p>
        </w:tc>
        <w:tc>
          <w:tcPr>
            <w:tcW w:w="864" w:type="dxa"/>
            <w:tcBorders>
              <w:top w:val="nil"/>
              <w:left w:val="nil"/>
              <w:bottom w:val="nil"/>
              <w:right w:val="nil"/>
            </w:tcBorders>
            <w:shd w:val="clear" w:color="auto" w:fill="auto"/>
            <w:noWrap/>
            <w:vAlign w:val="bottom"/>
            <w:hideMark/>
          </w:tcPr>
          <w:p w14:paraId="50B54B3F"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6149D5B" w14:textId="77777777" w:rsidR="00B354C1" w:rsidRDefault="00B354C1">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6FE5945B" w14:textId="77777777" w:rsidR="00B354C1" w:rsidRDefault="00B354C1">
            <w:pPr>
              <w:jc w:val="right"/>
              <w:rPr>
                <w:color w:val="000000"/>
                <w:sz w:val="20"/>
                <w:szCs w:val="20"/>
              </w:rPr>
            </w:pPr>
            <w:r>
              <w:rPr>
                <w:color w:val="000000"/>
                <w:sz w:val="20"/>
                <w:szCs w:val="20"/>
              </w:rPr>
              <w:t>0.592</w:t>
            </w:r>
          </w:p>
        </w:tc>
        <w:tc>
          <w:tcPr>
            <w:tcW w:w="864" w:type="dxa"/>
            <w:tcBorders>
              <w:top w:val="nil"/>
              <w:left w:val="nil"/>
              <w:bottom w:val="nil"/>
              <w:right w:val="nil"/>
            </w:tcBorders>
            <w:shd w:val="clear" w:color="auto" w:fill="auto"/>
            <w:noWrap/>
            <w:vAlign w:val="bottom"/>
            <w:hideMark/>
          </w:tcPr>
          <w:p w14:paraId="55796144" w14:textId="77777777" w:rsidR="00B354C1" w:rsidRDefault="00B354C1">
            <w:pPr>
              <w:jc w:val="right"/>
              <w:rPr>
                <w:color w:val="000000"/>
                <w:sz w:val="20"/>
                <w:szCs w:val="20"/>
              </w:rPr>
            </w:pPr>
            <w:r>
              <w:rPr>
                <w:color w:val="000000"/>
                <w:sz w:val="20"/>
                <w:szCs w:val="20"/>
              </w:rPr>
              <w:t>0.001</w:t>
            </w:r>
          </w:p>
        </w:tc>
      </w:tr>
      <w:tr w:rsidR="00B354C1" w14:paraId="0E2EE95A" w14:textId="77777777" w:rsidTr="00B354C1">
        <w:trPr>
          <w:trHeight w:val="320"/>
        </w:trPr>
        <w:tc>
          <w:tcPr>
            <w:tcW w:w="1152" w:type="dxa"/>
            <w:tcBorders>
              <w:top w:val="nil"/>
              <w:left w:val="nil"/>
              <w:bottom w:val="nil"/>
              <w:right w:val="nil"/>
            </w:tcBorders>
            <w:shd w:val="clear" w:color="auto" w:fill="auto"/>
            <w:noWrap/>
            <w:vAlign w:val="bottom"/>
            <w:hideMark/>
          </w:tcPr>
          <w:p w14:paraId="7761E018"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0DEF195" w14:textId="77777777" w:rsidR="00B354C1" w:rsidRDefault="00B354C1">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3E69429" w14:textId="77777777" w:rsidR="00B354C1" w:rsidRDefault="00B354C1">
            <w:pPr>
              <w:jc w:val="right"/>
              <w:rPr>
                <w:color w:val="000000"/>
                <w:sz w:val="20"/>
                <w:szCs w:val="20"/>
              </w:rPr>
            </w:pPr>
            <w:r>
              <w:rPr>
                <w:color w:val="000000"/>
                <w:sz w:val="20"/>
                <w:szCs w:val="20"/>
              </w:rPr>
              <w:t>-0.051</w:t>
            </w:r>
          </w:p>
        </w:tc>
        <w:tc>
          <w:tcPr>
            <w:tcW w:w="864" w:type="dxa"/>
            <w:tcBorders>
              <w:top w:val="nil"/>
              <w:left w:val="nil"/>
              <w:bottom w:val="nil"/>
              <w:right w:val="nil"/>
            </w:tcBorders>
            <w:shd w:val="clear" w:color="auto" w:fill="auto"/>
            <w:noWrap/>
            <w:vAlign w:val="bottom"/>
            <w:hideMark/>
          </w:tcPr>
          <w:p w14:paraId="3FCE90C2" w14:textId="77777777" w:rsidR="00B354C1" w:rsidRDefault="00B354C1">
            <w:pPr>
              <w:jc w:val="right"/>
              <w:rPr>
                <w:color w:val="000000"/>
                <w:sz w:val="20"/>
                <w:szCs w:val="20"/>
              </w:rPr>
            </w:pPr>
            <w:r>
              <w:rPr>
                <w:color w:val="000000"/>
                <w:sz w:val="20"/>
                <w:szCs w:val="20"/>
              </w:rPr>
              <w:t>0.128</w:t>
            </w:r>
          </w:p>
        </w:tc>
        <w:tc>
          <w:tcPr>
            <w:tcW w:w="864" w:type="dxa"/>
            <w:tcBorders>
              <w:top w:val="nil"/>
              <w:left w:val="nil"/>
              <w:bottom w:val="nil"/>
              <w:right w:val="nil"/>
            </w:tcBorders>
            <w:shd w:val="clear" w:color="auto" w:fill="auto"/>
            <w:noWrap/>
            <w:vAlign w:val="bottom"/>
            <w:hideMark/>
          </w:tcPr>
          <w:p w14:paraId="729439B9" w14:textId="77777777" w:rsidR="00B354C1" w:rsidRDefault="00B354C1">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3B776797" w14:textId="77777777" w:rsidR="00B354C1" w:rsidRDefault="00B354C1">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6ECDEF95" w14:textId="77777777" w:rsidR="00B354C1" w:rsidRDefault="00B354C1">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6D6D1E43" w14:textId="77777777" w:rsidR="00B354C1" w:rsidRDefault="00B354C1">
            <w:pPr>
              <w:jc w:val="right"/>
              <w:rPr>
                <w:color w:val="000000"/>
                <w:sz w:val="20"/>
                <w:szCs w:val="20"/>
              </w:rPr>
            </w:pPr>
            <w:r>
              <w:rPr>
                <w:color w:val="000000"/>
                <w:sz w:val="20"/>
                <w:szCs w:val="20"/>
              </w:rPr>
              <w:t>0.000</w:t>
            </w:r>
          </w:p>
        </w:tc>
      </w:tr>
      <w:tr w:rsidR="00B354C1" w14:paraId="19718B5B" w14:textId="77777777" w:rsidTr="00B354C1">
        <w:trPr>
          <w:trHeight w:val="320"/>
        </w:trPr>
        <w:tc>
          <w:tcPr>
            <w:tcW w:w="1152" w:type="dxa"/>
            <w:tcBorders>
              <w:top w:val="nil"/>
              <w:left w:val="nil"/>
              <w:bottom w:val="nil"/>
              <w:right w:val="nil"/>
            </w:tcBorders>
            <w:shd w:val="clear" w:color="auto" w:fill="auto"/>
            <w:noWrap/>
            <w:vAlign w:val="bottom"/>
            <w:hideMark/>
          </w:tcPr>
          <w:p w14:paraId="38BAE2A9"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4963360" w14:textId="77777777" w:rsidR="00B354C1" w:rsidRDefault="00B354C1">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13DDCBE" w14:textId="77777777" w:rsidR="00B354C1" w:rsidRDefault="00B354C1">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7D4A2A07" w14:textId="77777777" w:rsidR="00B354C1" w:rsidRDefault="00B354C1">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213B59E9" w14:textId="77777777" w:rsidR="00B354C1" w:rsidRDefault="00B354C1">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CF513C9" w14:textId="77777777" w:rsidR="00B354C1" w:rsidRDefault="00B354C1">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6105058C" w14:textId="77777777" w:rsidR="00B354C1" w:rsidRDefault="00B354C1">
            <w:pPr>
              <w:jc w:val="right"/>
              <w:rPr>
                <w:color w:val="000000"/>
                <w:sz w:val="20"/>
                <w:szCs w:val="20"/>
              </w:rPr>
            </w:pPr>
            <w:r>
              <w:rPr>
                <w:color w:val="000000"/>
                <w:sz w:val="20"/>
                <w:szCs w:val="20"/>
              </w:rPr>
              <w:t>0.592</w:t>
            </w:r>
          </w:p>
        </w:tc>
        <w:tc>
          <w:tcPr>
            <w:tcW w:w="864" w:type="dxa"/>
            <w:tcBorders>
              <w:top w:val="nil"/>
              <w:left w:val="nil"/>
              <w:bottom w:val="nil"/>
              <w:right w:val="nil"/>
            </w:tcBorders>
            <w:shd w:val="clear" w:color="auto" w:fill="auto"/>
            <w:noWrap/>
            <w:vAlign w:val="bottom"/>
            <w:hideMark/>
          </w:tcPr>
          <w:p w14:paraId="18B2ABB2" w14:textId="77777777" w:rsidR="00B354C1" w:rsidRDefault="00B354C1">
            <w:pPr>
              <w:jc w:val="right"/>
              <w:rPr>
                <w:color w:val="000000"/>
                <w:sz w:val="20"/>
                <w:szCs w:val="20"/>
              </w:rPr>
            </w:pPr>
            <w:r>
              <w:rPr>
                <w:color w:val="000000"/>
                <w:sz w:val="20"/>
                <w:szCs w:val="20"/>
              </w:rPr>
              <w:t>0.002</w:t>
            </w:r>
          </w:p>
        </w:tc>
      </w:tr>
      <w:tr w:rsidR="00B354C1" w14:paraId="2888DA9E" w14:textId="77777777" w:rsidTr="00B354C1">
        <w:trPr>
          <w:trHeight w:val="320"/>
        </w:trPr>
        <w:tc>
          <w:tcPr>
            <w:tcW w:w="1152" w:type="dxa"/>
            <w:tcBorders>
              <w:top w:val="nil"/>
              <w:left w:val="nil"/>
              <w:bottom w:val="nil"/>
              <w:right w:val="nil"/>
            </w:tcBorders>
            <w:shd w:val="clear" w:color="auto" w:fill="auto"/>
            <w:noWrap/>
            <w:vAlign w:val="bottom"/>
            <w:hideMark/>
          </w:tcPr>
          <w:p w14:paraId="33FBE4AC"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1806051" w14:textId="77777777" w:rsidR="00B354C1" w:rsidRDefault="00B354C1">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4FBE85B" w14:textId="77777777" w:rsidR="00B354C1" w:rsidRDefault="00B354C1">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1F0DB83D" w14:textId="77777777" w:rsidR="00B354C1" w:rsidRDefault="00B354C1">
            <w:pPr>
              <w:jc w:val="right"/>
              <w:rPr>
                <w:color w:val="000000"/>
                <w:sz w:val="20"/>
                <w:szCs w:val="20"/>
              </w:rPr>
            </w:pPr>
            <w:r>
              <w:rPr>
                <w:color w:val="000000"/>
                <w:sz w:val="20"/>
                <w:szCs w:val="20"/>
              </w:rPr>
              <w:t>0.278</w:t>
            </w:r>
          </w:p>
        </w:tc>
        <w:tc>
          <w:tcPr>
            <w:tcW w:w="864" w:type="dxa"/>
            <w:tcBorders>
              <w:top w:val="nil"/>
              <w:left w:val="nil"/>
              <w:bottom w:val="nil"/>
              <w:right w:val="nil"/>
            </w:tcBorders>
            <w:shd w:val="clear" w:color="auto" w:fill="auto"/>
            <w:noWrap/>
            <w:vAlign w:val="bottom"/>
            <w:hideMark/>
          </w:tcPr>
          <w:p w14:paraId="6C61B315"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B200BEF" w14:textId="77777777" w:rsidR="00B354C1" w:rsidRDefault="00B354C1">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1776D1D4" w14:textId="77777777" w:rsidR="00B354C1" w:rsidRDefault="00B354C1">
            <w:pPr>
              <w:jc w:val="right"/>
              <w:rPr>
                <w:color w:val="000000"/>
                <w:sz w:val="20"/>
                <w:szCs w:val="20"/>
              </w:rPr>
            </w:pPr>
            <w:r>
              <w:rPr>
                <w:color w:val="000000"/>
                <w:sz w:val="20"/>
                <w:szCs w:val="20"/>
              </w:rPr>
              <w:t>0.996</w:t>
            </w:r>
          </w:p>
        </w:tc>
        <w:tc>
          <w:tcPr>
            <w:tcW w:w="864" w:type="dxa"/>
            <w:tcBorders>
              <w:top w:val="nil"/>
              <w:left w:val="nil"/>
              <w:bottom w:val="nil"/>
              <w:right w:val="nil"/>
            </w:tcBorders>
            <w:shd w:val="clear" w:color="auto" w:fill="auto"/>
            <w:noWrap/>
            <w:vAlign w:val="bottom"/>
            <w:hideMark/>
          </w:tcPr>
          <w:p w14:paraId="445C6B30" w14:textId="77777777" w:rsidR="00B354C1" w:rsidRDefault="00B354C1">
            <w:pPr>
              <w:jc w:val="right"/>
              <w:rPr>
                <w:color w:val="000000"/>
                <w:sz w:val="20"/>
                <w:szCs w:val="20"/>
              </w:rPr>
            </w:pPr>
            <w:r>
              <w:rPr>
                <w:color w:val="000000"/>
                <w:sz w:val="20"/>
                <w:szCs w:val="20"/>
              </w:rPr>
              <w:t>0.000</w:t>
            </w:r>
          </w:p>
        </w:tc>
      </w:tr>
      <w:tr w:rsidR="00B354C1" w14:paraId="163A4230" w14:textId="77777777" w:rsidTr="00B354C1">
        <w:trPr>
          <w:trHeight w:val="320"/>
        </w:trPr>
        <w:tc>
          <w:tcPr>
            <w:tcW w:w="1152" w:type="dxa"/>
            <w:tcBorders>
              <w:top w:val="nil"/>
              <w:left w:val="nil"/>
              <w:bottom w:val="nil"/>
              <w:right w:val="nil"/>
            </w:tcBorders>
            <w:shd w:val="clear" w:color="auto" w:fill="auto"/>
            <w:noWrap/>
            <w:vAlign w:val="bottom"/>
            <w:hideMark/>
          </w:tcPr>
          <w:p w14:paraId="2537B27F"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4C77678" w14:textId="77777777" w:rsidR="00B354C1" w:rsidRDefault="00B354C1">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318CC9C"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96E4F8A" w14:textId="77777777" w:rsidR="00B354C1" w:rsidRDefault="00B354C1">
            <w:pPr>
              <w:jc w:val="right"/>
              <w:rPr>
                <w:color w:val="000000"/>
                <w:sz w:val="20"/>
                <w:szCs w:val="20"/>
              </w:rPr>
            </w:pPr>
            <w:r>
              <w:rPr>
                <w:color w:val="000000"/>
                <w:sz w:val="20"/>
                <w:szCs w:val="20"/>
              </w:rPr>
              <w:t>0.975</w:t>
            </w:r>
          </w:p>
        </w:tc>
        <w:tc>
          <w:tcPr>
            <w:tcW w:w="864" w:type="dxa"/>
            <w:tcBorders>
              <w:top w:val="nil"/>
              <w:left w:val="nil"/>
              <w:bottom w:val="nil"/>
              <w:right w:val="nil"/>
            </w:tcBorders>
            <w:shd w:val="clear" w:color="auto" w:fill="auto"/>
            <w:noWrap/>
            <w:vAlign w:val="bottom"/>
            <w:hideMark/>
          </w:tcPr>
          <w:p w14:paraId="17EE5D4B"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E7DB8F9" w14:textId="77777777" w:rsidR="00B354C1" w:rsidRDefault="00B354C1">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282E012D" w14:textId="77777777" w:rsidR="00B354C1" w:rsidRDefault="00B354C1">
            <w:pPr>
              <w:jc w:val="right"/>
              <w:rPr>
                <w:color w:val="000000"/>
                <w:sz w:val="20"/>
                <w:szCs w:val="20"/>
              </w:rPr>
            </w:pPr>
            <w:r>
              <w:rPr>
                <w:color w:val="000000"/>
                <w:sz w:val="20"/>
                <w:szCs w:val="20"/>
              </w:rPr>
              <w:t>0.653</w:t>
            </w:r>
          </w:p>
        </w:tc>
        <w:tc>
          <w:tcPr>
            <w:tcW w:w="864" w:type="dxa"/>
            <w:tcBorders>
              <w:top w:val="nil"/>
              <w:left w:val="nil"/>
              <w:bottom w:val="nil"/>
              <w:right w:val="nil"/>
            </w:tcBorders>
            <w:shd w:val="clear" w:color="auto" w:fill="auto"/>
            <w:noWrap/>
            <w:vAlign w:val="bottom"/>
            <w:hideMark/>
          </w:tcPr>
          <w:p w14:paraId="07EFD13A" w14:textId="77777777" w:rsidR="00B354C1" w:rsidRDefault="00B354C1">
            <w:pPr>
              <w:jc w:val="right"/>
              <w:rPr>
                <w:color w:val="000000"/>
                <w:sz w:val="20"/>
                <w:szCs w:val="20"/>
              </w:rPr>
            </w:pPr>
            <w:r>
              <w:rPr>
                <w:color w:val="000000"/>
                <w:sz w:val="20"/>
                <w:szCs w:val="20"/>
              </w:rPr>
              <w:t>0.001</w:t>
            </w:r>
          </w:p>
        </w:tc>
      </w:tr>
      <w:tr w:rsidR="00B354C1" w14:paraId="55463750" w14:textId="77777777" w:rsidTr="00B354C1">
        <w:trPr>
          <w:trHeight w:val="320"/>
        </w:trPr>
        <w:tc>
          <w:tcPr>
            <w:tcW w:w="1152" w:type="dxa"/>
            <w:tcBorders>
              <w:top w:val="nil"/>
              <w:left w:val="nil"/>
              <w:bottom w:val="nil"/>
              <w:right w:val="nil"/>
            </w:tcBorders>
            <w:shd w:val="clear" w:color="auto" w:fill="auto"/>
            <w:noWrap/>
            <w:vAlign w:val="bottom"/>
            <w:hideMark/>
          </w:tcPr>
          <w:p w14:paraId="5409F40B"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CE42436" w14:textId="77777777" w:rsidR="00B354C1" w:rsidRDefault="00B354C1">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74DF9C4" w14:textId="77777777" w:rsidR="00B354C1" w:rsidRDefault="00B354C1">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0573BF5B" w14:textId="77777777" w:rsidR="00B354C1" w:rsidRDefault="00B354C1">
            <w:pPr>
              <w:jc w:val="right"/>
              <w:rPr>
                <w:color w:val="000000"/>
                <w:sz w:val="20"/>
                <w:szCs w:val="20"/>
              </w:rPr>
            </w:pPr>
            <w:r>
              <w:rPr>
                <w:color w:val="000000"/>
                <w:sz w:val="20"/>
                <w:szCs w:val="20"/>
              </w:rPr>
              <w:t>0.408</w:t>
            </w:r>
          </w:p>
        </w:tc>
        <w:tc>
          <w:tcPr>
            <w:tcW w:w="864" w:type="dxa"/>
            <w:tcBorders>
              <w:top w:val="nil"/>
              <w:left w:val="nil"/>
              <w:bottom w:val="nil"/>
              <w:right w:val="nil"/>
            </w:tcBorders>
            <w:shd w:val="clear" w:color="auto" w:fill="auto"/>
            <w:noWrap/>
            <w:vAlign w:val="bottom"/>
            <w:hideMark/>
          </w:tcPr>
          <w:p w14:paraId="4480AFF2"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7EA9EFF" w14:textId="77777777" w:rsidR="00B354C1" w:rsidRDefault="00B354C1">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1EE26C70" w14:textId="77777777" w:rsidR="00B354C1" w:rsidRDefault="00B354C1">
            <w:pPr>
              <w:jc w:val="right"/>
              <w:rPr>
                <w:color w:val="000000"/>
                <w:sz w:val="20"/>
                <w:szCs w:val="20"/>
              </w:rPr>
            </w:pPr>
            <w:r>
              <w:rPr>
                <w:color w:val="000000"/>
                <w:sz w:val="20"/>
                <w:szCs w:val="20"/>
              </w:rPr>
              <w:t>0.864</w:t>
            </w:r>
          </w:p>
        </w:tc>
        <w:tc>
          <w:tcPr>
            <w:tcW w:w="864" w:type="dxa"/>
            <w:tcBorders>
              <w:top w:val="nil"/>
              <w:left w:val="nil"/>
              <w:bottom w:val="nil"/>
              <w:right w:val="nil"/>
            </w:tcBorders>
            <w:shd w:val="clear" w:color="auto" w:fill="auto"/>
            <w:noWrap/>
            <w:vAlign w:val="bottom"/>
            <w:hideMark/>
          </w:tcPr>
          <w:p w14:paraId="6F66C952" w14:textId="77777777" w:rsidR="00B354C1" w:rsidRDefault="00B354C1">
            <w:pPr>
              <w:jc w:val="right"/>
              <w:rPr>
                <w:color w:val="000000"/>
                <w:sz w:val="20"/>
                <w:szCs w:val="20"/>
              </w:rPr>
            </w:pPr>
            <w:r>
              <w:rPr>
                <w:color w:val="000000"/>
                <w:sz w:val="20"/>
                <w:szCs w:val="20"/>
              </w:rPr>
              <w:t>0.000</w:t>
            </w:r>
          </w:p>
        </w:tc>
      </w:tr>
      <w:tr w:rsidR="00B354C1" w14:paraId="6972728B" w14:textId="77777777" w:rsidTr="00B354C1">
        <w:trPr>
          <w:trHeight w:val="320"/>
        </w:trPr>
        <w:tc>
          <w:tcPr>
            <w:tcW w:w="1152" w:type="dxa"/>
            <w:tcBorders>
              <w:top w:val="nil"/>
              <w:left w:val="nil"/>
              <w:bottom w:val="nil"/>
              <w:right w:val="nil"/>
            </w:tcBorders>
            <w:shd w:val="clear" w:color="auto" w:fill="auto"/>
            <w:noWrap/>
            <w:vAlign w:val="bottom"/>
            <w:hideMark/>
          </w:tcPr>
          <w:p w14:paraId="01C4E0E4"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8F442B9" w14:textId="77777777" w:rsidR="00B354C1" w:rsidRDefault="00B354C1">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DB0A061" w14:textId="77777777" w:rsidR="00B354C1" w:rsidRDefault="00B354C1">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0C058CAC" w14:textId="77777777" w:rsidR="00B354C1" w:rsidRDefault="00B354C1">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4BF25762"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B0F2D95"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05484F3" w14:textId="77777777" w:rsidR="00B354C1" w:rsidRDefault="00B354C1">
            <w:pPr>
              <w:jc w:val="right"/>
              <w:rPr>
                <w:color w:val="000000"/>
                <w:sz w:val="20"/>
                <w:szCs w:val="20"/>
              </w:rPr>
            </w:pPr>
            <w:r>
              <w:rPr>
                <w:color w:val="000000"/>
                <w:sz w:val="20"/>
                <w:szCs w:val="20"/>
              </w:rPr>
              <w:t>0.996</w:t>
            </w:r>
          </w:p>
        </w:tc>
        <w:tc>
          <w:tcPr>
            <w:tcW w:w="864" w:type="dxa"/>
            <w:tcBorders>
              <w:top w:val="nil"/>
              <w:left w:val="nil"/>
              <w:bottom w:val="nil"/>
              <w:right w:val="nil"/>
            </w:tcBorders>
            <w:shd w:val="clear" w:color="auto" w:fill="auto"/>
            <w:noWrap/>
            <w:vAlign w:val="bottom"/>
            <w:hideMark/>
          </w:tcPr>
          <w:p w14:paraId="457D0D42" w14:textId="77777777" w:rsidR="00B354C1" w:rsidRDefault="00B354C1">
            <w:pPr>
              <w:jc w:val="right"/>
              <w:rPr>
                <w:color w:val="000000"/>
                <w:sz w:val="20"/>
                <w:szCs w:val="20"/>
              </w:rPr>
            </w:pPr>
            <w:r>
              <w:rPr>
                <w:color w:val="000000"/>
                <w:sz w:val="20"/>
                <w:szCs w:val="20"/>
              </w:rPr>
              <w:t>0.000</w:t>
            </w:r>
          </w:p>
        </w:tc>
      </w:tr>
      <w:tr w:rsidR="00B354C1" w14:paraId="2C0542D0" w14:textId="77777777" w:rsidTr="00B354C1">
        <w:trPr>
          <w:trHeight w:val="320"/>
        </w:trPr>
        <w:tc>
          <w:tcPr>
            <w:tcW w:w="1152" w:type="dxa"/>
            <w:tcBorders>
              <w:top w:val="nil"/>
              <w:left w:val="nil"/>
              <w:bottom w:val="single" w:sz="4" w:space="0" w:color="auto"/>
              <w:right w:val="nil"/>
            </w:tcBorders>
            <w:shd w:val="clear" w:color="auto" w:fill="auto"/>
            <w:noWrap/>
            <w:vAlign w:val="bottom"/>
            <w:hideMark/>
          </w:tcPr>
          <w:p w14:paraId="66A1375A" w14:textId="77777777" w:rsidR="00B354C1" w:rsidRDefault="00B354C1">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51D5775F" w14:textId="77777777" w:rsidR="00B354C1" w:rsidRDefault="00B354C1">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5516523" w14:textId="77777777" w:rsidR="00B354C1" w:rsidRDefault="00B354C1">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1EA1993A" w14:textId="77777777" w:rsidR="00B354C1" w:rsidRDefault="00B354C1">
            <w:pPr>
              <w:jc w:val="right"/>
              <w:rPr>
                <w:color w:val="000000"/>
                <w:sz w:val="20"/>
                <w:szCs w:val="20"/>
              </w:rPr>
            </w:pPr>
            <w:r>
              <w:rPr>
                <w:color w:val="000000"/>
                <w:sz w:val="20"/>
                <w:szCs w:val="20"/>
              </w:rPr>
              <w:t>0.408</w:t>
            </w:r>
          </w:p>
        </w:tc>
        <w:tc>
          <w:tcPr>
            <w:tcW w:w="864" w:type="dxa"/>
            <w:tcBorders>
              <w:top w:val="nil"/>
              <w:left w:val="nil"/>
              <w:bottom w:val="single" w:sz="4" w:space="0" w:color="auto"/>
              <w:right w:val="nil"/>
            </w:tcBorders>
            <w:shd w:val="clear" w:color="auto" w:fill="auto"/>
            <w:noWrap/>
            <w:vAlign w:val="bottom"/>
            <w:hideMark/>
          </w:tcPr>
          <w:p w14:paraId="388011AC"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2432D7E4"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4D910897" w14:textId="77777777" w:rsidR="00B354C1" w:rsidRDefault="00B354C1">
            <w:pPr>
              <w:jc w:val="right"/>
              <w:rPr>
                <w:color w:val="000000"/>
                <w:sz w:val="20"/>
                <w:szCs w:val="20"/>
              </w:rPr>
            </w:pPr>
            <w:r>
              <w:rPr>
                <w:color w:val="000000"/>
                <w:sz w:val="20"/>
                <w:szCs w:val="20"/>
              </w:rPr>
              <w:t>0.996</w:t>
            </w:r>
          </w:p>
        </w:tc>
        <w:tc>
          <w:tcPr>
            <w:tcW w:w="864" w:type="dxa"/>
            <w:tcBorders>
              <w:top w:val="nil"/>
              <w:left w:val="nil"/>
              <w:bottom w:val="single" w:sz="4" w:space="0" w:color="auto"/>
              <w:right w:val="nil"/>
            </w:tcBorders>
            <w:shd w:val="clear" w:color="auto" w:fill="auto"/>
            <w:noWrap/>
            <w:vAlign w:val="bottom"/>
            <w:hideMark/>
          </w:tcPr>
          <w:p w14:paraId="50035CA0" w14:textId="77777777" w:rsidR="00B354C1" w:rsidRDefault="00B354C1">
            <w:pPr>
              <w:jc w:val="right"/>
              <w:rPr>
                <w:color w:val="000000"/>
                <w:sz w:val="20"/>
                <w:szCs w:val="20"/>
              </w:rPr>
            </w:pPr>
            <w:r>
              <w:rPr>
                <w:color w:val="000000"/>
                <w:sz w:val="20"/>
                <w:szCs w:val="20"/>
              </w:rPr>
              <w:t>0.000</w:t>
            </w:r>
          </w:p>
        </w:tc>
      </w:tr>
      <w:tr w:rsidR="00B354C1" w14:paraId="55269259" w14:textId="77777777" w:rsidTr="00B354C1">
        <w:trPr>
          <w:trHeight w:val="320"/>
        </w:trPr>
        <w:tc>
          <w:tcPr>
            <w:tcW w:w="1152" w:type="dxa"/>
            <w:tcBorders>
              <w:top w:val="nil"/>
              <w:left w:val="nil"/>
              <w:bottom w:val="nil"/>
              <w:right w:val="nil"/>
            </w:tcBorders>
            <w:shd w:val="clear" w:color="auto" w:fill="auto"/>
            <w:noWrap/>
            <w:vAlign w:val="bottom"/>
            <w:hideMark/>
          </w:tcPr>
          <w:p w14:paraId="60E0F37C" w14:textId="77777777" w:rsidR="00B354C1" w:rsidRDefault="00B354C1">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30E9D8A7" w14:textId="77777777" w:rsidR="00B354C1" w:rsidRDefault="00B354C1">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6295B22" w14:textId="77777777" w:rsidR="00B354C1" w:rsidRDefault="00B354C1">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4B99E05F" w14:textId="77777777" w:rsidR="00B354C1" w:rsidRDefault="00B354C1">
            <w:pPr>
              <w:jc w:val="right"/>
              <w:rPr>
                <w:color w:val="000000"/>
                <w:sz w:val="20"/>
                <w:szCs w:val="20"/>
              </w:rPr>
            </w:pPr>
            <w:r>
              <w:rPr>
                <w:color w:val="000000"/>
                <w:sz w:val="20"/>
                <w:szCs w:val="20"/>
              </w:rPr>
              <w:t>0.290</w:t>
            </w:r>
          </w:p>
        </w:tc>
        <w:tc>
          <w:tcPr>
            <w:tcW w:w="864" w:type="dxa"/>
            <w:tcBorders>
              <w:top w:val="nil"/>
              <w:left w:val="nil"/>
              <w:bottom w:val="nil"/>
              <w:right w:val="nil"/>
            </w:tcBorders>
            <w:shd w:val="clear" w:color="auto" w:fill="auto"/>
            <w:noWrap/>
            <w:vAlign w:val="bottom"/>
            <w:hideMark/>
          </w:tcPr>
          <w:p w14:paraId="69417F1D"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0B67D3D" w14:textId="77777777" w:rsidR="00B354C1" w:rsidRDefault="00B354C1">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43EF50BF" w14:textId="77777777" w:rsidR="00B354C1" w:rsidRDefault="00B354C1">
            <w:pPr>
              <w:jc w:val="right"/>
              <w:rPr>
                <w:color w:val="000000"/>
                <w:sz w:val="20"/>
                <w:szCs w:val="20"/>
              </w:rPr>
            </w:pPr>
            <w:r>
              <w:rPr>
                <w:color w:val="000000"/>
                <w:sz w:val="20"/>
                <w:szCs w:val="20"/>
              </w:rPr>
              <w:t>0.934</w:t>
            </w:r>
          </w:p>
        </w:tc>
        <w:tc>
          <w:tcPr>
            <w:tcW w:w="864" w:type="dxa"/>
            <w:tcBorders>
              <w:top w:val="nil"/>
              <w:left w:val="nil"/>
              <w:bottom w:val="nil"/>
              <w:right w:val="nil"/>
            </w:tcBorders>
            <w:shd w:val="clear" w:color="auto" w:fill="auto"/>
            <w:noWrap/>
            <w:vAlign w:val="bottom"/>
            <w:hideMark/>
          </w:tcPr>
          <w:p w14:paraId="4EF98315" w14:textId="77777777" w:rsidR="00B354C1" w:rsidRDefault="00B354C1">
            <w:pPr>
              <w:jc w:val="right"/>
              <w:rPr>
                <w:color w:val="000000"/>
                <w:sz w:val="20"/>
                <w:szCs w:val="20"/>
              </w:rPr>
            </w:pPr>
            <w:r>
              <w:rPr>
                <w:color w:val="000000"/>
                <w:sz w:val="20"/>
                <w:szCs w:val="20"/>
              </w:rPr>
              <w:t>0.000</w:t>
            </w:r>
          </w:p>
        </w:tc>
      </w:tr>
      <w:tr w:rsidR="00B354C1" w14:paraId="003C1F20" w14:textId="77777777" w:rsidTr="00B354C1">
        <w:trPr>
          <w:trHeight w:val="320"/>
        </w:trPr>
        <w:tc>
          <w:tcPr>
            <w:tcW w:w="1152" w:type="dxa"/>
            <w:tcBorders>
              <w:top w:val="nil"/>
              <w:left w:val="nil"/>
              <w:bottom w:val="nil"/>
              <w:right w:val="nil"/>
            </w:tcBorders>
            <w:shd w:val="clear" w:color="auto" w:fill="auto"/>
            <w:noWrap/>
            <w:vAlign w:val="bottom"/>
            <w:hideMark/>
          </w:tcPr>
          <w:p w14:paraId="43C93261"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89E891C" w14:textId="77777777" w:rsidR="00B354C1" w:rsidRDefault="00B354C1">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4FEB0CB" w14:textId="77777777" w:rsidR="00B354C1" w:rsidRDefault="00B354C1">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09D12960" w14:textId="77777777" w:rsidR="00B354C1" w:rsidRDefault="00B354C1">
            <w:pPr>
              <w:jc w:val="right"/>
              <w:rPr>
                <w:color w:val="000000"/>
                <w:sz w:val="20"/>
                <w:szCs w:val="20"/>
              </w:rPr>
            </w:pPr>
            <w:r>
              <w:rPr>
                <w:color w:val="000000"/>
                <w:sz w:val="20"/>
                <w:szCs w:val="20"/>
              </w:rPr>
              <w:t>0.290</w:t>
            </w:r>
          </w:p>
        </w:tc>
        <w:tc>
          <w:tcPr>
            <w:tcW w:w="864" w:type="dxa"/>
            <w:tcBorders>
              <w:top w:val="nil"/>
              <w:left w:val="nil"/>
              <w:bottom w:val="nil"/>
              <w:right w:val="nil"/>
            </w:tcBorders>
            <w:shd w:val="clear" w:color="auto" w:fill="auto"/>
            <w:noWrap/>
            <w:vAlign w:val="bottom"/>
            <w:hideMark/>
          </w:tcPr>
          <w:p w14:paraId="382D023F"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1BBF178" w14:textId="77777777" w:rsidR="00B354C1" w:rsidRDefault="00B354C1">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122B667B" w14:textId="77777777" w:rsidR="00B354C1" w:rsidRDefault="00B354C1">
            <w:pPr>
              <w:jc w:val="right"/>
              <w:rPr>
                <w:color w:val="000000"/>
                <w:sz w:val="20"/>
                <w:szCs w:val="20"/>
              </w:rPr>
            </w:pPr>
            <w:r>
              <w:rPr>
                <w:color w:val="000000"/>
                <w:sz w:val="20"/>
                <w:szCs w:val="20"/>
              </w:rPr>
              <w:t>0.934</w:t>
            </w:r>
          </w:p>
        </w:tc>
        <w:tc>
          <w:tcPr>
            <w:tcW w:w="864" w:type="dxa"/>
            <w:tcBorders>
              <w:top w:val="nil"/>
              <w:left w:val="nil"/>
              <w:bottom w:val="nil"/>
              <w:right w:val="nil"/>
            </w:tcBorders>
            <w:shd w:val="clear" w:color="auto" w:fill="auto"/>
            <w:noWrap/>
            <w:vAlign w:val="bottom"/>
            <w:hideMark/>
          </w:tcPr>
          <w:p w14:paraId="26074704" w14:textId="77777777" w:rsidR="00B354C1" w:rsidRDefault="00B354C1">
            <w:pPr>
              <w:jc w:val="right"/>
              <w:rPr>
                <w:color w:val="000000"/>
                <w:sz w:val="20"/>
                <w:szCs w:val="20"/>
              </w:rPr>
            </w:pPr>
            <w:r>
              <w:rPr>
                <w:color w:val="000000"/>
                <w:sz w:val="20"/>
                <w:szCs w:val="20"/>
              </w:rPr>
              <w:t>0.000</w:t>
            </w:r>
          </w:p>
        </w:tc>
      </w:tr>
      <w:tr w:rsidR="00B354C1" w14:paraId="33621F2F" w14:textId="77777777" w:rsidTr="00B354C1">
        <w:trPr>
          <w:trHeight w:val="320"/>
        </w:trPr>
        <w:tc>
          <w:tcPr>
            <w:tcW w:w="1152" w:type="dxa"/>
            <w:tcBorders>
              <w:top w:val="nil"/>
              <w:left w:val="nil"/>
              <w:bottom w:val="nil"/>
              <w:right w:val="nil"/>
            </w:tcBorders>
            <w:shd w:val="clear" w:color="auto" w:fill="auto"/>
            <w:noWrap/>
            <w:vAlign w:val="bottom"/>
            <w:hideMark/>
          </w:tcPr>
          <w:p w14:paraId="1D82CAB8"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DA7C23F" w14:textId="77777777" w:rsidR="00B354C1" w:rsidRDefault="00B354C1">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7D3C519" w14:textId="77777777" w:rsidR="00B354C1" w:rsidRDefault="00B354C1">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23D4499" w14:textId="77777777" w:rsidR="00B354C1" w:rsidRDefault="00B354C1">
            <w:pPr>
              <w:jc w:val="right"/>
              <w:rPr>
                <w:color w:val="000000"/>
                <w:sz w:val="20"/>
                <w:szCs w:val="20"/>
              </w:rPr>
            </w:pPr>
            <w:r>
              <w:rPr>
                <w:color w:val="000000"/>
                <w:sz w:val="20"/>
                <w:szCs w:val="20"/>
              </w:rPr>
              <w:t>0.940</w:t>
            </w:r>
          </w:p>
        </w:tc>
        <w:tc>
          <w:tcPr>
            <w:tcW w:w="864" w:type="dxa"/>
            <w:tcBorders>
              <w:top w:val="nil"/>
              <w:left w:val="nil"/>
              <w:bottom w:val="nil"/>
              <w:right w:val="nil"/>
            </w:tcBorders>
            <w:shd w:val="clear" w:color="auto" w:fill="auto"/>
            <w:noWrap/>
            <w:vAlign w:val="bottom"/>
            <w:hideMark/>
          </w:tcPr>
          <w:p w14:paraId="437D665E"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CCCF43F" w14:textId="77777777" w:rsidR="00B354C1" w:rsidRDefault="00B354C1">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1DC2F566" w14:textId="77777777" w:rsidR="00B354C1" w:rsidRDefault="00B354C1">
            <w:pPr>
              <w:jc w:val="right"/>
              <w:rPr>
                <w:color w:val="000000"/>
                <w:sz w:val="20"/>
                <w:szCs w:val="20"/>
              </w:rPr>
            </w:pPr>
            <w:r>
              <w:rPr>
                <w:color w:val="000000"/>
                <w:sz w:val="20"/>
                <w:szCs w:val="20"/>
              </w:rPr>
              <w:t>0.934</w:t>
            </w:r>
          </w:p>
        </w:tc>
        <w:tc>
          <w:tcPr>
            <w:tcW w:w="864" w:type="dxa"/>
            <w:tcBorders>
              <w:top w:val="nil"/>
              <w:left w:val="nil"/>
              <w:bottom w:val="nil"/>
              <w:right w:val="nil"/>
            </w:tcBorders>
            <w:shd w:val="clear" w:color="auto" w:fill="auto"/>
            <w:noWrap/>
            <w:vAlign w:val="bottom"/>
            <w:hideMark/>
          </w:tcPr>
          <w:p w14:paraId="5B4CFBBB" w14:textId="77777777" w:rsidR="00B354C1" w:rsidRDefault="00B354C1">
            <w:pPr>
              <w:jc w:val="right"/>
              <w:rPr>
                <w:color w:val="000000"/>
                <w:sz w:val="20"/>
                <w:szCs w:val="20"/>
              </w:rPr>
            </w:pPr>
            <w:r>
              <w:rPr>
                <w:color w:val="000000"/>
                <w:sz w:val="20"/>
                <w:szCs w:val="20"/>
              </w:rPr>
              <w:t>0.000</w:t>
            </w:r>
          </w:p>
        </w:tc>
      </w:tr>
      <w:tr w:rsidR="00B354C1" w14:paraId="7B1B57AB" w14:textId="77777777" w:rsidTr="00B354C1">
        <w:trPr>
          <w:trHeight w:val="320"/>
        </w:trPr>
        <w:tc>
          <w:tcPr>
            <w:tcW w:w="1152" w:type="dxa"/>
            <w:tcBorders>
              <w:top w:val="nil"/>
              <w:left w:val="nil"/>
              <w:bottom w:val="nil"/>
              <w:right w:val="nil"/>
            </w:tcBorders>
            <w:shd w:val="clear" w:color="auto" w:fill="auto"/>
            <w:noWrap/>
            <w:vAlign w:val="bottom"/>
            <w:hideMark/>
          </w:tcPr>
          <w:p w14:paraId="56531747"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CB0EA64" w14:textId="77777777" w:rsidR="00B354C1" w:rsidRDefault="00B354C1">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A1CD1E0" w14:textId="77777777" w:rsidR="00B354C1" w:rsidRDefault="00B354C1">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7EAC4627" w14:textId="77777777" w:rsidR="00B354C1" w:rsidRDefault="00B354C1">
            <w:pPr>
              <w:jc w:val="right"/>
              <w:rPr>
                <w:color w:val="000000"/>
                <w:sz w:val="20"/>
                <w:szCs w:val="20"/>
              </w:rPr>
            </w:pPr>
            <w:r>
              <w:rPr>
                <w:color w:val="000000"/>
                <w:sz w:val="20"/>
                <w:szCs w:val="20"/>
              </w:rPr>
              <w:t>0.290</w:t>
            </w:r>
          </w:p>
        </w:tc>
        <w:tc>
          <w:tcPr>
            <w:tcW w:w="864" w:type="dxa"/>
            <w:tcBorders>
              <w:top w:val="nil"/>
              <w:left w:val="nil"/>
              <w:bottom w:val="nil"/>
              <w:right w:val="nil"/>
            </w:tcBorders>
            <w:shd w:val="clear" w:color="auto" w:fill="auto"/>
            <w:noWrap/>
            <w:vAlign w:val="bottom"/>
            <w:hideMark/>
          </w:tcPr>
          <w:p w14:paraId="320C46D2"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C05BB7C" w14:textId="77777777" w:rsidR="00B354C1" w:rsidRDefault="00B354C1">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2F64BAE" w14:textId="77777777" w:rsidR="00B354C1" w:rsidRDefault="00B354C1">
            <w:pPr>
              <w:jc w:val="right"/>
              <w:rPr>
                <w:color w:val="000000"/>
                <w:sz w:val="20"/>
                <w:szCs w:val="20"/>
              </w:rPr>
            </w:pPr>
            <w:r>
              <w:rPr>
                <w:color w:val="000000"/>
                <w:sz w:val="20"/>
                <w:szCs w:val="20"/>
              </w:rPr>
              <w:t>0.934</w:t>
            </w:r>
          </w:p>
        </w:tc>
        <w:tc>
          <w:tcPr>
            <w:tcW w:w="864" w:type="dxa"/>
            <w:tcBorders>
              <w:top w:val="nil"/>
              <w:left w:val="nil"/>
              <w:bottom w:val="nil"/>
              <w:right w:val="nil"/>
            </w:tcBorders>
            <w:shd w:val="clear" w:color="auto" w:fill="auto"/>
            <w:noWrap/>
            <w:vAlign w:val="bottom"/>
            <w:hideMark/>
          </w:tcPr>
          <w:p w14:paraId="5DC21E90" w14:textId="77777777" w:rsidR="00B354C1" w:rsidRDefault="00B354C1">
            <w:pPr>
              <w:jc w:val="right"/>
              <w:rPr>
                <w:color w:val="000000"/>
                <w:sz w:val="20"/>
                <w:szCs w:val="20"/>
              </w:rPr>
            </w:pPr>
            <w:r>
              <w:rPr>
                <w:color w:val="000000"/>
                <w:sz w:val="20"/>
                <w:szCs w:val="20"/>
              </w:rPr>
              <w:t>0.000</w:t>
            </w:r>
          </w:p>
        </w:tc>
      </w:tr>
      <w:tr w:rsidR="00B354C1" w14:paraId="4EC4CAFC" w14:textId="77777777" w:rsidTr="00B354C1">
        <w:trPr>
          <w:trHeight w:val="320"/>
        </w:trPr>
        <w:tc>
          <w:tcPr>
            <w:tcW w:w="1152" w:type="dxa"/>
            <w:tcBorders>
              <w:top w:val="nil"/>
              <w:left w:val="nil"/>
              <w:bottom w:val="nil"/>
              <w:right w:val="nil"/>
            </w:tcBorders>
            <w:shd w:val="clear" w:color="auto" w:fill="auto"/>
            <w:noWrap/>
            <w:vAlign w:val="bottom"/>
            <w:hideMark/>
          </w:tcPr>
          <w:p w14:paraId="62FF47C2"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670DB6E" w14:textId="77777777" w:rsidR="00B354C1" w:rsidRDefault="00B354C1">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29EF1C3" w14:textId="77777777" w:rsidR="00B354C1" w:rsidRDefault="00B354C1">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06ADA7C6" w14:textId="77777777" w:rsidR="00B354C1" w:rsidRDefault="00B354C1">
            <w:pPr>
              <w:jc w:val="right"/>
              <w:rPr>
                <w:color w:val="000000"/>
                <w:sz w:val="20"/>
                <w:szCs w:val="20"/>
              </w:rPr>
            </w:pPr>
            <w:r>
              <w:rPr>
                <w:color w:val="000000"/>
                <w:sz w:val="20"/>
                <w:szCs w:val="20"/>
              </w:rPr>
              <w:t>0.940</w:t>
            </w:r>
          </w:p>
        </w:tc>
        <w:tc>
          <w:tcPr>
            <w:tcW w:w="864" w:type="dxa"/>
            <w:tcBorders>
              <w:top w:val="nil"/>
              <w:left w:val="nil"/>
              <w:bottom w:val="nil"/>
              <w:right w:val="nil"/>
            </w:tcBorders>
            <w:shd w:val="clear" w:color="auto" w:fill="auto"/>
            <w:noWrap/>
            <w:vAlign w:val="bottom"/>
            <w:hideMark/>
          </w:tcPr>
          <w:p w14:paraId="4F0A19EA"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1910EAF" w14:textId="77777777" w:rsidR="00B354C1" w:rsidRDefault="00B354C1">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44ED1FE6" w14:textId="77777777" w:rsidR="00B354C1" w:rsidRDefault="00B354C1">
            <w:pPr>
              <w:jc w:val="right"/>
              <w:rPr>
                <w:color w:val="000000"/>
                <w:sz w:val="20"/>
                <w:szCs w:val="20"/>
              </w:rPr>
            </w:pPr>
            <w:r>
              <w:rPr>
                <w:color w:val="000000"/>
                <w:sz w:val="20"/>
                <w:szCs w:val="20"/>
              </w:rPr>
              <w:t>0.934</w:t>
            </w:r>
          </w:p>
        </w:tc>
        <w:tc>
          <w:tcPr>
            <w:tcW w:w="864" w:type="dxa"/>
            <w:tcBorders>
              <w:top w:val="nil"/>
              <w:left w:val="nil"/>
              <w:bottom w:val="nil"/>
              <w:right w:val="nil"/>
            </w:tcBorders>
            <w:shd w:val="clear" w:color="auto" w:fill="auto"/>
            <w:noWrap/>
            <w:vAlign w:val="bottom"/>
            <w:hideMark/>
          </w:tcPr>
          <w:p w14:paraId="57ED899A" w14:textId="77777777" w:rsidR="00B354C1" w:rsidRDefault="00B354C1">
            <w:pPr>
              <w:jc w:val="right"/>
              <w:rPr>
                <w:color w:val="000000"/>
                <w:sz w:val="20"/>
                <w:szCs w:val="20"/>
              </w:rPr>
            </w:pPr>
            <w:r>
              <w:rPr>
                <w:color w:val="000000"/>
                <w:sz w:val="20"/>
                <w:szCs w:val="20"/>
              </w:rPr>
              <w:t>0.000</w:t>
            </w:r>
          </w:p>
        </w:tc>
      </w:tr>
      <w:tr w:rsidR="00B354C1" w14:paraId="4048A51E" w14:textId="77777777" w:rsidTr="00B354C1">
        <w:trPr>
          <w:trHeight w:val="320"/>
        </w:trPr>
        <w:tc>
          <w:tcPr>
            <w:tcW w:w="1152" w:type="dxa"/>
            <w:tcBorders>
              <w:top w:val="nil"/>
              <w:left w:val="nil"/>
              <w:bottom w:val="nil"/>
              <w:right w:val="nil"/>
            </w:tcBorders>
            <w:shd w:val="clear" w:color="auto" w:fill="auto"/>
            <w:noWrap/>
            <w:vAlign w:val="bottom"/>
            <w:hideMark/>
          </w:tcPr>
          <w:p w14:paraId="6EAC10EB"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A11EC60" w14:textId="77777777" w:rsidR="00B354C1" w:rsidRDefault="00B354C1">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CA5F304" w14:textId="77777777" w:rsidR="00B354C1" w:rsidRDefault="00B354C1">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568DFFC" w14:textId="77777777" w:rsidR="00B354C1" w:rsidRDefault="00B354C1">
            <w:pPr>
              <w:jc w:val="right"/>
              <w:rPr>
                <w:color w:val="000000"/>
                <w:sz w:val="20"/>
                <w:szCs w:val="20"/>
              </w:rPr>
            </w:pPr>
            <w:r>
              <w:rPr>
                <w:color w:val="000000"/>
                <w:sz w:val="20"/>
                <w:szCs w:val="20"/>
              </w:rPr>
              <w:t>0.940</w:t>
            </w:r>
          </w:p>
        </w:tc>
        <w:tc>
          <w:tcPr>
            <w:tcW w:w="864" w:type="dxa"/>
            <w:tcBorders>
              <w:top w:val="nil"/>
              <w:left w:val="nil"/>
              <w:bottom w:val="nil"/>
              <w:right w:val="nil"/>
            </w:tcBorders>
            <w:shd w:val="clear" w:color="auto" w:fill="auto"/>
            <w:noWrap/>
            <w:vAlign w:val="bottom"/>
            <w:hideMark/>
          </w:tcPr>
          <w:p w14:paraId="23658005" w14:textId="77777777" w:rsidR="00B354C1" w:rsidRDefault="00B354C1">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7ECFF82" w14:textId="77777777" w:rsidR="00B354C1" w:rsidRDefault="00B354C1">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A12E0D7" w14:textId="77777777" w:rsidR="00B354C1" w:rsidRDefault="00B354C1">
            <w:pPr>
              <w:jc w:val="right"/>
              <w:rPr>
                <w:color w:val="000000"/>
                <w:sz w:val="20"/>
                <w:szCs w:val="20"/>
              </w:rPr>
            </w:pPr>
            <w:r>
              <w:rPr>
                <w:color w:val="000000"/>
                <w:sz w:val="20"/>
                <w:szCs w:val="20"/>
              </w:rPr>
              <w:t>0.934</w:t>
            </w:r>
          </w:p>
        </w:tc>
        <w:tc>
          <w:tcPr>
            <w:tcW w:w="864" w:type="dxa"/>
            <w:tcBorders>
              <w:top w:val="nil"/>
              <w:left w:val="nil"/>
              <w:bottom w:val="nil"/>
              <w:right w:val="nil"/>
            </w:tcBorders>
            <w:shd w:val="clear" w:color="auto" w:fill="auto"/>
            <w:noWrap/>
            <w:vAlign w:val="bottom"/>
            <w:hideMark/>
          </w:tcPr>
          <w:p w14:paraId="31485DF1" w14:textId="77777777" w:rsidR="00B354C1" w:rsidRDefault="00B354C1">
            <w:pPr>
              <w:jc w:val="right"/>
              <w:rPr>
                <w:color w:val="000000"/>
                <w:sz w:val="20"/>
                <w:szCs w:val="20"/>
              </w:rPr>
            </w:pPr>
            <w:r>
              <w:rPr>
                <w:color w:val="000000"/>
                <w:sz w:val="20"/>
                <w:szCs w:val="20"/>
              </w:rPr>
              <w:t>0.000</w:t>
            </w:r>
          </w:p>
        </w:tc>
      </w:tr>
      <w:tr w:rsidR="00B354C1" w14:paraId="2145BFD3" w14:textId="77777777" w:rsidTr="00B354C1">
        <w:trPr>
          <w:trHeight w:val="320"/>
        </w:trPr>
        <w:tc>
          <w:tcPr>
            <w:tcW w:w="1152" w:type="dxa"/>
            <w:tcBorders>
              <w:top w:val="nil"/>
              <w:left w:val="nil"/>
              <w:bottom w:val="nil"/>
              <w:right w:val="nil"/>
            </w:tcBorders>
            <w:shd w:val="clear" w:color="auto" w:fill="auto"/>
            <w:noWrap/>
            <w:vAlign w:val="bottom"/>
            <w:hideMark/>
          </w:tcPr>
          <w:p w14:paraId="3DF33D13" w14:textId="77777777" w:rsidR="00B354C1" w:rsidRDefault="00B354C1">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77ADF30" w14:textId="77777777" w:rsidR="00B354C1" w:rsidRDefault="00B354C1">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FD113BE" w14:textId="77777777" w:rsidR="00B354C1" w:rsidRDefault="00B354C1">
            <w:pPr>
              <w:jc w:val="right"/>
              <w:rPr>
                <w:b/>
                <w:bCs/>
                <w:color w:val="000000"/>
                <w:sz w:val="20"/>
                <w:szCs w:val="20"/>
              </w:rPr>
            </w:pPr>
            <w:r>
              <w:rPr>
                <w:b/>
                <w:bCs/>
                <w:color w:val="000000"/>
                <w:sz w:val="20"/>
                <w:szCs w:val="20"/>
              </w:rPr>
              <w:t>0.058</w:t>
            </w:r>
          </w:p>
        </w:tc>
        <w:tc>
          <w:tcPr>
            <w:tcW w:w="864" w:type="dxa"/>
            <w:tcBorders>
              <w:top w:val="nil"/>
              <w:left w:val="nil"/>
              <w:bottom w:val="nil"/>
              <w:right w:val="nil"/>
            </w:tcBorders>
            <w:shd w:val="clear" w:color="auto" w:fill="auto"/>
            <w:noWrap/>
            <w:vAlign w:val="bottom"/>
            <w:hideMark/>
          </w:tcPr>
          <w:p w14:paraId="12EF6207" w14:textId="77777777" w:rsidR="00B354C1" w:rsidRDefault="00B354C1">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04905FB8" w14:textId="77777777" w:rsidR="00B354C1" w:rsidRDefault="00B354C1">
            <w:pPr>
              <w:jc w:val="right"/>
              <w:rPr>
                <w:b/>
                <w:bCs/>
                <w:color w:val="000000"/>
                <w:sz w:val="20"/>
                <w:szCs w:val="20"/>
              </w:rPr>
            </w:pPr>
            <w:r>
              <w:rPr>
                <w:b/>
                <w:bCs/>
                <w:color w:val="000000"/>
                <w:sz w:val="20"/>
                <w:szCs w:val="20"/>
              </w:rPr>
              <w:t>0.003</w:t>
            </w:r>
          </w:p>
        </w:tc>
        <w:tc>
          <w:tcPr>
            <w:tcW w:w="864" w:type="dxa"/>
            <w:tcBorders>
              <w:top w:val="nil"/>
              <w:left w:val="nil"/>
              <w:bottom w:val="nil"/>
              <w:right w:val="nil"/>
            </w:tcBorders>
            <w:shd w:val="clear" w:color="auto" w:fill="auto"/>
            <w:noWrap/>
            <w:vAlign w:val="bottom"/>
            <w:hideMark/>
          </w:tcPr>
          <w:p w14:paraId="31B4B9A9" w14:textId="77777777" w:rsidR="00B354C1" w:rsidRDefault="00B354C1">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7D435B7D" w14:textId="77777777" w:rsidR="00B354C1" w:rsidRDefault="00B354C1">
            <w:pPr>
              <w:jc w:val="right"/>
              <w:rPr>
                <w:color w:val="000000"/>
                <w:sz w:val="20"/>
                <w:szCs w:val="20"/>
              </w:rPr>
            </w:pPr>
            <w:r>
              <w:rPr>
                <w:color w:val="000000"/>
                <w:sz w:val="20"/>
                <w:szCs w:val="20"/>
              </w:rPr>
              <w:t>0.934</w:t>
            </w:r>
          </w:p>
        </w:tc>
        <w:tc>
          <w:tcPr>
            <w:tcW w:w="864" w:type="dxa"/>
            <w:tcBorders>
              <w:top w:val="nil"/>
              <w:left w:val="nil"/>
              <w:bottom w:val="nil"/>
              <w:right w:val="nil"/>
            </w:tcBorders>
            <w:shd w:val="clear" w:color="auto" w:fill="auto"/>
            <w:noWrap/>
            <w:vAlign w:val="bottom"/>
            <w:hideMark/>
          </w:tcPr>
          <w:p w14:paraId="1C19B51C" w14:textId="77777777" w:rsidR="00B354C1" w:rsidRDefault="00B354C1">
            <w:pPr>
              <w:jc w:val="right"/>
              <w:rPr>
                <w:color w:val="000000"/>
                <w:sz w:val="20"/>
                <w:szCs w:val="20"/>
              </w:rPr>
            </w:pPr>
            <w:r>
              <w:rPr>
                <w:color w:val="000000"/>
                <w:sz w:val="20"/>
                <w:szCs w:val="20"/>
              </w:rPr>
              <w:t>0.000</w:t>
            </w:r>
          </w:p>
        </w:tc>
      </w:tr>
      <w:tr w:rsidR="00B354C1" w14:paraId="7431A377"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0BDCD487" w14:textId="77777777" w:rsidR="00B354C1" w:rsidRDefault="00B354C1">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31D1EE79" w14:textId="77777777" w:rsidR="00B354C1" w:rsidRDefault="00B354C1">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5DB670F8" w14:textId="77777777" w:rsidR="00B354C1" w:rsidRDefault="00B354C1">
            <w:pPr>
              <w:jc w:val="right"/>
              <w:rPr>
                <w:color w:val="000000"/>
                <w:sz w:val="20"/>
                <w:szCs w:val="20"/>
              </w:rPr>
            </w:pPr>
            <w:r>
              <w:rPr>
                <w:color w:val="000000"/>
                <w:sz w:val="20"/>
                <w:szCs w:val="20"/>
              </w:rPr>
              <w:t>-0.028</w:t>
            </w:r>
          </w:p>
        </w:tc>
        <w:tc>
          <w:tcPr>
            <w:tcW w:w="864" w:type="dxa"/>
            <w:tcBorders>
              <w:top w:val="nil"/>
              <w:left w:val="nil"/>
              <w:bottom w:val="single" w:sz="12" w:space="0" w:color="auto"/>
              <w:right w:val="nil"/>
            </w:tcBorders>
            <w:shd w:val="clear" w:color="auto" w:fill="auto"/>
            <w:noWrap/>
            <w:vAlign w:val="bottom"/>
            <w:hideMark/>
          </w:tcPr>
          <w:p w14:paraId="3B18D234" w14:textId="77777777" w:rsidR="00B354C1" w:rsidRDefault="00B354C1">
            <w:pPr>
              <w:jc w:val="right"/>
              <w:rPr>
                <w:color w:val="000000"/>
                <w:sz w:val="20"/>
                <w:szCs w:val="20"/>
              </w:rPr>
            </w:pPr>
            <w:r>
              <w:rPr>
                <w:color w:val="000000"/>
                <w:sz w:val="20"/>
                <w:szCs w:val="20"/>
              </w:rPr>
              <w:t>0.290</w:t>
            </w:r>
          </w:p>
        </w:tc>
        <w:tc>
          <w:tcPr>
            <w:tcW w:w="864" w:type="dxa"/>
            <w:tcBorders>
              <w:top w:val="nil"/>
              <w:left w:val="nil"/>
              <w:bottom w:val="single" w:sz="12" w:space="0" w:color="auto"/>
              <w:right w:val="nil"/>
            </w:tcBorders>
            <w:shd w:val="clear" w:color="auto" w:fill="auto"/>
            <w:noWrap/>
            <w:vAlign w:val="bottom"/>
            <w:hideMark/>
          </w:tcPr>
          <w:p w14:paraId="4244F540" w14:textId="77777777" w:rsidR="00B354C1" w:rsidRDefault="00B354C1">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6A81625A" w14:textId="77777777" w:rsidR="00B354C1" w:rsidRDefault="00B354C1">
            <w:pPr>
              <w:jc w:val="right"/>
              <w:rPr>
                <w:color w:val="000000"/>
                <w:sz w:val="20"/>
                <w:szCs w:val="20"/>
              </w:rPr>
            </w:pPr>
            <w:r>
              <w:rPr>
                <w:color w:val="000000"/>
                <w:sz w:val="20"/>
                <w:szCs w:val="20"/>
              </w:rPr>
              <w:t>-0.004</w:t>
            </w:r>
          </w:p>
        </w:tc>
        <w:tc>
          <w:tcPr>
            <w:tcW w:w="864" w:type="dxa"/>
            <w:tcBorders>
              <w:top w:val="nil"/>
              <w:left w:val="nil"/>
              <w:bottom w:val="single" w:sz="12" w:space="0" w:color="auto"/>
              <w:right w:val="nil"/>
            </w:tcBorders>
            <w:shd w:val="clear" w:color="auto" w:fill="auto"/>
            <w:noWrap/>
            <w:vAlign w:val="bottom"/>
            <w:hideMark/>
          </w:tcPr>
          <w:p w14:paraId="00A70931" w14:textId="77777777" w:rsidR="00B354C1" w:rsidRDefault="00B354C1">
            <w:pPr>
              <w:jc w:val="right"/>
              <w:rPr>
                <w:color w:val="000000"/>
                <w:sz w:val="20"/>
                <w:szCs w:val="20"/>
              </w:rPr>
            </w:pPr>
            <w:r>
              <w:rPr>
                <w:color w:val="000000"/>
                <w:sz w:val="20"/>
                <w:szCs w:val="20"/>
              </w:rPr>
              <w:t>0.934</w:t>
            </w:r>
          </w:p>
        </w:tc>
        <w:tc>
          <w:tcPr>
            <w:tcW w:w="864" w:type="dxa"/>
            <w:tcBorders>
              <w:top w:val="nil"/>
              <w:left w:val="nil"/>
              <w:bottom w:val="single" w:sz="12" w:space="0" w:color="auto"/>
              <w:right w:val="nil"/>
            </w:tcBorders>
            <w:shd w:val="clear" w:color="auto" w:fill="auto"/>
            <w:noWrap/>
            <w:vAlign w:val="bottom"/>
            <w:hideMark/>
          </w:tcPr>
          <w:p w14:paraId="23183EE5" w14:textId="77777777" w:rsidR="00B354C1" w:rsidRDefault="00B354C1">
            <w:pPr>
              <w:jc w:val="right"/>
              <w:rPr>
                <w:color w:val="000000"/>
                <w:sz w:val="20"/>
                <w:szCs w:val="20"/>
              </w:rPr>
            </w:pPr>
            <w:r>
              <w:rPr>
                <w:color w:val="000000"/>
                <w:sz w:val="20"/>
                <w:szCs w:val="20"/>
              </w:rPr>
              <w:t>0.000</w:t>
            </w:r>
          </w:p>
        </w:tc>
      </w:tr>
      <w:tr w:rsidR="00B354C1" w14:paraId="781F8CF3"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2F59147D" w14:textId="77777777" w:rsidR="00B354C1" w:rsidRDefault="00B354C1">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0773D236" w14:textId="77777777" w:rsidR="00B354C1" w:rsidRDefault="00B354C1">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1540A15" w14:textId="77777777" w:rsidR="00B354C1" w:rsidRDefault="00B354C1">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0137E68" w14:textId="77777777" w:rsidR="00B354C1" w:rsidRDefault="00B354C1">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6E506CA" w14:textId="77777777" w:rsidR="00B354C1" w:rsidRDefault="00B354C1">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B4262C4" w14:textId="77777777" w:rsidR="00B354C1" w:rsidRDefault="00B354C1">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CD3C03D" w14:textId="77777777" w:rsidR="00B354C1" w:rsidRDefault="00B354C1">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2829F21" w14:textId="77777777" w:rsidR="00B354C1" w:rsidRDefault="00B354C1">
            <w:pPr>
              <w:rPr>
                <w:sz w:val="20"/>
                <w:szCs w:val="20"/>
              </w:rPr>
            </w:pPr>
          </w:p>
        </w:tc>
      </w:tr>
    </w:tbl>
    <w:p w14:paraId="6C83B2A7" w14:textId="6A233D53" w:rsidR="000A6848" w:rsidRDefault="000A6848" w:rsidP="00BC5AB7">
      <w:pPr>
        <w:rPr>
          <w:rFonts w:ascii="Batang" w:eastAsia="Batang" w:hAnsi="Batang" w:cs="Batang"/>
          <w:color w:val="000000"/>
        </w:rPr>
      </w:pPr>
    </w:p>
    <w:p w14:paraId="64F4966E" w14:textId="77777777" w:rsidR="000A6848" w:rsidRDefault="000A6848">
      <w:pPr>
        <w:rPr>
          <w:rFonts w:ascii="Batang" w:eastAsia="Batang" w:hAnsi="Batang" w:cs="Batang"/>
          <w:color w:val="000000"/>
        </w:rPr>
      </w:pPr>
      <w:r>
        <w:rPr>
          <w:rFonts w:ascii="Batang" w:eastAsia="Batang" w:hAnsi="Batang" w:cs="Batang"/>
          <w:color w:val="000000"/>
        </w:rPr>
        <w:br w:type="page"/>
      </w:r>
    </w:p>
    <w:p w14:paraId="163BEEC7" w14:textId="3E1BBE1D" w:rsidR="000A6848" w:rsidRPr="004C58D5" w:rsidRDefault="000A6848" w:rsidP="000A6848">
      <w:pPr>
        <w:pStyle w:val="Heading1"/>
        <w:rPr>
          <w:rFonts w:ascii="Times New Roman" w:hAnsi="Times New Roman" w:cs="Times New Roman"/>
          <w:color w:val="000000" w:themeColor="text1"/>
          <w:sz w:val="24"/>
          <w:szCs w:val="24"/>
        </w:rPr>
      </w:pPr>
      <w:bookmarkStart w:id="68" w:name="_Toc155817735"/>
      <w:r w:rsidRPr="00926183">
        <w:rPr>
          <w:rFonts w:ascii="Times New Roman" w:hAnsi="Times New Roman" w:cs="Times New Roman"/>
          <w:b/>
          <w:bCs/>
          <w:color w:val="000000" w:themeColor="text1"/>
          <w:sz w:val="24"/>
          <w:szCs w:val="24"/>
        </w:rPr>
        <w:lastRenderedPageBreak/>
        <w:t>Table 2</w:t>
      </w:r>
      <w:r w:rsidR="0036523A" w:rsidRPr="00926183">
        <w:rPr>
          <w:rFonts w:ascii="Times New Roman" w:hAnsi="Times New Roman" w:cs="Times New Roman"/>
          <w:b/>
          <w:bCs/>
          <w:color w:val="000000" w:themeColor="text1"/>
          <w:sz w:val="24"/>
          <w:szCs w:val="24"/>
        </w:rPr>
        <w:t>7</w:t>
      </w:r>
      <w:r w:rsidR="00926183" w:rsidRPr="00926183">
        <w:rPr>
          <w:rFonts w:ascii="Times New Roman" w:hAnsi="Times New Roman" w:cs="Times New Roman"/>
          <w:b/>
          <w:bCs/>
          <w:color w:val="000000" w:themeColor="text1"/>
          <w:sz w:val="24"/>
          <w:szCs w:val="24"/>
        </w:rPr>
        <w:t>e</w:t>
      </w:r>
      <w:r w:rsidRPr="00926183">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w:t>
      </w:r>
      <w:r w:rsidR="00446231">
        <w:rPr>
          <w:rFonts w:ascii="Times New Roman" w:hAnsi="Times New Roman" w:cs="Times New Roman"/>
          <w:color w:val="000000" w:themeColor="text1"/>
          <w:sz w:val="24"/>
          <w:szCs w:val="24"/>
        </w:rPr>
        <w:t>local efficiency</w:t>
      </w:r>
      <w:r>
        <w:rPr>
          <w:rFonts w:ascii="Times New Roman" w:hAnsi="Times New Roman" w:cs="Times New Roman"/>
          <w:color w:val="000000" w:themeColor="text1"/>
          <w:sz w:val="24"/>
          <w:szCs w:val="24"/>
        </w:rPr>
        <w:t xml:space="preserve"> and neighborhood SES deprivation obtained from bifactor modeling and neighborhood median income</w:t>
      </w:r>
      <w:r w:rsidR="00B40204">
        <w:rPr>
          <w:rFonts w:ascii="Times New Roman" w:hAnsi="Times New Roman" w:cs="Times New Roman"/>
          <w:color w:val="000000" w:themeColor="text1"/>
          <w:sz w:val="24"/>
          <w:szCs w:val="24"/>
        </w:rPr>
        <w:t xml:space="preserve"> during rest</w:t>
      </w:r>
      <w:bookmarkEnd w:id="68"/>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993685" w14:paraId="28C8115F"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5BBC8001" w14:textId="77777777" w:rsidR="00993685" w:rsidRDefault="00993685">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698793FB" w14:textId="77777777" w:rsidR="00993685" w:rsidRDefault="00993685">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1144FA6C" w14:textId="77777777" w:rsidR="00993685" w:rsidRDefault="00993685">
            <w:pPr>
              <w:rPr>
                <w:color w:val="000000"/>
              </w:rPr>
            </w:pPr>
          </w:p>
        </w:tc>
        <w:tc>
          <w:tcPr>
            <w:tcW w:w="864" w:type="dxa"/>
            <w:tcBorders>
              <w:top w:val="nil"/>
              <w:left w:val="nil"/>
              <w:bottom w:val="single" w:sz="12" w:space="0" w:color="auto"/>
              <w:right w:val="nil"/>
            </w:tcBorders>
            <w:shd w:val="clear" w:color="auto" w:fill="auto"/>
            <w:noWrap/>
            <w:vAlign w:val="bottom"/>
            <w:hideMark/>
          </w:tcPr>
          <w:p w14:paraId="1E47CCD7" w14:textId="77777777" w:rsidR="00993685" w:rsidRDefault="00993685">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38A1225" w14:textId="77777777" w:rsidR="00993685" w:rsidRDefault="00993685">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2E6FE91" w14:textId="77777777" w:rsidR="00993685" w:rsidRDefault="00993685">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2C0D473" w14:textId="77777777" w:rsidR="00993685" w:rsidRDefault="00993685">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AA2F61B" w14:textId="77777777" w:rsidR="00993685" w:rsidRDefault="00993685">
            <w:pPr>
              <w:rPr>
                <w:sz w:val="20"/>
                <w:szCs w:val="20"/>
              </w:rPr>
            </w:pPr>
          </w:p>
        </w:tc>
      </w:tr>
      <w:tr w:rsidR="00993685" w14:paraId="0D3B1F77"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1E4F3FC2" w14:textId="77777777" w:rsidR="00993685" w:rsidRDefault="00993685">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614DAB93" w14:textId="77777777" w:rsidR="00993685" w:rsidRDefault="00993685">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7BBC05C8" w14:textId="77777777" w:rsidR="00993685" w:rsidRDefault="00993685">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7736D29F" w14:textId="77777777" w:rsidR="00993685" w:rsidRDefault="00993685">
            <w:pPr>
              <w:jc w:val="center"/>
              <w:rPr>
                <w:color w:val="000000"/>
                <w:sz w:val="20"/>
                <w:szCs w:val="20"/>
              </w:rPr>
            </w:pPr>
            <w:r>
              <w:rPr>
                <w:color w:val="000000"/>
                <w:sz w:val="20"/>
                <w:szCs w:val="20"/>
              </w:rPr>
              <w:t>Neighborhood Median Income</w:t>
            </w:r>
          </w:p>
        </w:tc>
      </w:tr>
      <w:tr w:rsidR="00993685" w14:paraId="652C7D96"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3032DBE4" w14:textId="77777777" w:rsidR="00993685" w:rsidRDefault="00993685">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2A2A947E" w14:textId="77777777" w:rsidR="00993685" w:rsidRDefault="00993685">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3E8F775F" w14:textId="77777777" w:rsidR="00993685" w:rsidRDefault="00993685">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20E349EF" w14:textId="77777777" w:rsidR="00993685" w:rsidRDefault="00993685">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4A98282C" w14:textId="77777777" w:rsidR="00993685" w:rsidRDefault="00993685">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4A49EB5D" w14:textId="77777777" w:rsidR="00993685" w:rsidRDefault="00993685">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10D71E4A" w14:textId="77777777" w:rsidR="00993685" w:rsidRDefault="00993685">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27B1A5A5" w14:textId="77777777" w:rsidR="00993685" w:rsidRDefault="00993685">
            <w:pPr>
              <w:jc w:val="center"/>
              <w:rPr>
                <w:i/>
                <w:iCs/>
                <w:color w:val="000000"/>
                <w:sz w:val="20"/>
                <w:szCs w:val="20"/>
              </w:rPr>
            </w:pPr>
            <w:r>
              <w:rPr>
                <w:i/>
                <w:iCs/>
                <w:color w:val="000000"/>
                <w:sz w:val="20"/>
                <w:szCs w:val="20"/>
              </w:rPr>
              <w:t>R2</w:t>
            </w:r>
          </w:p>
        </w:tc>
      </w:tr>
      <w:tr w:rsidR="00993685" w14:paraId="5EF4DCB7"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76DACABE" w14:textId="77777777" w:rsidR="00993685" w:rsidRDefault="00993685">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42A0C067" w14:textId="77777777" w:rsidR="00993685" w:rsidRDefault="00993685">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2C02001E" w14:textId="77777777" w:rsidR="00993685" w:rsidRDefault="00993685">
            <w:pPr>
              <w:jc w:val="right"/>
              <w:rPr>
                <w:color w:val="000000"/>
                <w:sz w:val="20"/>
                <w:szCs w:val="20"/>
              </w:rPr>
            </w:pPr>
            <w:r>
              <w:rPr>
                <w:color w:val="000000"/>
                <w:sz w:val="20"/>
                <w:szCs w:val="20"/>
              </w:rPr>
              <w:t>-0.023</w:t>
            </w:r>
          </w:p>
        </w:tc>
        <w:tc>
          <w:tcPr>
            <w:tcW w:w="864" w:type="dxa"/>
            <w:tcBorders>
              <w:top w:val="single" w:sz="12" w:space="0" w:color="auto"/>
              <w:left w:val="nil"/>
              <w:bottom w:val="nil"/>
              <w:right w:val="nil"/>
            </w:tcBorders>
            <w:shd w:val="clear" w:color="auto" w:fill="auto"/>
            <w:noWrap/>
            <w:vAlign w:val="bottom"/>
            <w:hideMark/>
          </w:tcPr>
          <w:p w14:paraId="63CB4A6D" w14:textId="77777777" w:rsidR="00993685" w:rsidRDefault="00993685">
            <w:pPr>
              <w:jc w:val="right"/>
              <w:rPr>
                <w:color w:val="000000"/>
                <w:sz w:val="20"/>
                <w:szCs w:val="20"/>
              </w:rPr>
            </w:pPr>
            <w:r>
              <w:rPr>
                <w:color w:val="000000"/>
                <w:sz w:val="20"/>
                <w:szCs w:val="20"/>
              </w:rPr>
              <w:t>0.656</w:t>
            </w:r>
          </w:p>
        </w:tc>
        <w:tc>
          <w:tcPr>
            <w:tcW w:w="864" w:type="dxa"/>
            <w:tcBorders>
              <w:top w:val="single" w:sz="12" w:space="0" w:color="auto"/>
              <w:left w:val="nil"/>
              <w:bottom w:val="nil"/>
              <w:right w:val="nil"/>
            </w:tcBorders>
            <w:shd w:val="clear" w:color="auto" w:fill="auto"/>
            <w:noWrap/>
            <w:vAlign w:val="bottom"/>
            <w:hideMark/>
          </w:tcPr>
          <w:p w14:paraId="08F31509" w14:textId="77777777" w:rsidR="00993685" w:rsidRDefault="00993685">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707AC126" w14:textId="77777777" w:rsidR="00993685" w:rsidRDefault="00993685">
            <w:pPr>
              <w:jc w:val="right"/>
              <w:rPr>
                <w:color w:val="000000"/>
                <w:sz w:val="20"/>
                <w:szCs w:val="20"/>
              </w:rPr>
            </w:pPr>
            <w:r>
              <w:rPr>
                <w:color w:val="000000"/>
                <w:sz w:val="20"/>
                <w:szCs w:val="20"/>
              </w:rPr>
              <w:t>0.020</w:t>
            </w:r>
          </w:p>
        </w:tc>
        <w:tc>
          <w:tcPr>
            <w:tcW w:w="864" w:type="dxa"/>
            <w:tcBorders>
              <w:top w:val="single" w:sz="12" w:space="0" w:color="auto"/>
              <w:left w:val="nil"/>
              <w:bottom w:val="nil"/>
              <w:right w:val="nil"/>
            </w:tcBorders>
            <w:shd w:val="clear" w:color="auto" w:fill="auto"/>
            <w:noWrap/>
            <w:vAlign w:val="bottom"/>
            <w:hideMark/>
          </w:tcPr>
          <w:p w14:paraId="3050C890" w14:textId="77777777" w:rsidR="00993685" w:rsidRDefault="00993685">
            <w:pPr>
              <w:jc w:val="right"/>
              <w:rPr>
                <w:color w:val="000000"/>
                <w:sz w:val="20"/>
                <w:szCs w:val="20"/>
              </w:rPr>
            </w:pPr>
            <w:r>
              <w:rPr>
                <w:color w:val="000000"/>
                <w:sz w:val="20"/>
                <w:szCs w:val="20"/>
              </w:rPr>
              <w:t>0.813</w:t>
            </w:r>
          </w:p>
        </w:tc>
        <w:tc>
          <w:tcPr>
            <w:tcW w:w="864" w:type="dxa"/>
            <w:tcBorders>
              <w:top w:val="single" w:sz="12" w:space="0" w:color="auto"/>
              <w:left w:val="nil"/>
              <w:bottom w:val="nil"/>
              <w:right w:val="nil"/>
            </w:tcBorders>
            <w:shd w:val="clear" w:color="auto" w:fill="auto"/>
            <w:noWrap/>
            <w:vAlign w:val="bottom"/>
            <w:hideMark/>
          </w:tcPr>
          <w:p w14:paraId="262B1C99" w14:textId="77777777" w:rsidR="00993685" w:rsidRDefault="00993685">
            <w:pPr>
              <w:jc w:val="right"/>
              <w:rPr>
                <w:color w:val="000000"/>
                <w:sz w:val="20"/>
                <w:szCs w:val="20"/>
              </w:rPr>
            </w:pPr>
            <w:r>
              <w:rPr>
                <w:color w:val="000000"/>
                <w:sz w:val="20"/>
                <w:szCs w:val="20"/>
              </w:rPr>
              <w:t>0.000</w:t>
            </w:r>
          </w:p>
        </w:tc>
      </w:tr>
      <w:tr w:rsidR="00993685" w14:paraId="5C4E0FA6" w14:textId="77777777" w:rsidTr="00993685">
        <w:trPr>
          <w:trHeight w:val="340"/>
        </w:trPr>
        <w:tc>
          <w:tcPr>
            <w:tcW w:w="1152" w:type="dxa"/>
            <w:tcBorders>
              <w:top w:val="nil"/>
              <w:left w:val="nil"/>
              <w:bottom w:val="nil"/>
              <w:right w:val="nil"/>
            </w:tcBorders>
            <w:shd w:val="clear" w:color="auto" w:fill="auto"/>
            <w:noWrap/>
            <w:vAlign w:val="bottom"/>
            <w:hideMark/>
          </w:tcPr>
          <w:p w14:paraId="72C44F17"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01B13CC" w14:textId="77777777" w:rsidR="00993685" w:rsidRDefault="00993685">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9D36F6B" w14:textId="77777777" w:rsidR="00993685" w:rsidRDefault="00993685">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1F6654E2" w14:textId="77777777" w:rsidR="00993685" w:rsidRDefault="00993685">
            <w:pPr>
              <w:jc w:val="right"/>
              <w:rPr>
                <w:color w:val="000000"/>
                <w:sz w:val="20"/>
                <w:szCs w:val="20"/>
              </w:rPr>
            </w:pPr>
            <w:r>
              <w:rPr>
                <w:color w:val="000000"/>
                <w:sz w:val="20"/>
                <w:szCs w:val="20"/>
              </w:rPr>
              <w:t>0.656</w:t>
            </w:r>
          </w:p>
        </w:tc>
        <w:tc>
          <w:tcPr>
            <w:tcW w:w="864" w:type="dxa"/>
            <w:tcBorders>
              <w:top w:val="nil"/>
              <w:left w:val="nil"/>
              <w:bottom w:val="nil"/>
              <w:right w:val="nil"/>
            </w:tcBorders>
            <w:shd w:val="clear" w:color="auto" w:fill="auto"/>
            <w:noWrap/>
            <w:vAlign w:val="bottom"/>
            <w:hideMark/>
          </w:tcPr>
          <w:p w14:paraId="33D322FE"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5F2294A" w14:textId="77777777" w:rsidR="00993685" w:rsidRDefault="00993685">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7626CC81" w14:textId="77777777" w:rsidR="00993685" w:rsidRDefault="00993685">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49805BC9" w14:textId="77777777" w:rsidR="00993685" w:rsidRDefault="00993685">
            <w:pPr>
              <w:jc w:val="right"/>
              <w:rPr>
                <w:color w:val="000000"/>
                <w:sz w:val="20"/>
                <w:szCs w:val="20"/>
              </w:rPr>
            </w:pPr>
            <w:r>
              <w:rPr>
                <w:color w:val="000000"/>
                <w:sz w:val="20"/>
                <w:szCs w:val="20"/>
              </w:rPr>
              <w:t>0.000</w:t>
            </w:r>
          </w:p>
        </w:tc>
      </w:tr>
      <w:tr w:rsidR="00993685" w14:paraId="5DA1DC8A" w14:textId="77777777" w:rsidTr="00993685">
        <w:trPr>
          <w:trHeight w:val="320"/>
        </w:trPr>
        <w:tc>
          <w:tcPr>
            <w:tcW w:w="1152" w:type="dxa"/>
            <w:tcBorders>
              <w:top w:val="nil"/>
              <w:left w:val="nil"/>
              <w:bottom w:val="nil"/>
              <w:right w:val="nil"/>
            </w:tcBorders>
            <w:shd w:val="clear" w:color="auto" w:fill="auto"/>
            <w:noWrap/>
            <w:vAlign w:val="bottom"/>
            <w:hideMark/>
          </w:tcPr>
          <w:p w14:paraId="39BB4725"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0A5293C" w14:textId="77777777" w:rsidR="00993685" w:rsidRDefault="00993685">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B2BD7FC" w14:textId="77777777" w:rsidR="00993685" w:rsidRDefault="00993685">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1C09BBAF" w14:textId="77777777" w:rsidR="00993685" w:rsidRDefault="00993685">
            <w:pPr>
              <w:jc w:val="right"/>
              <w:rPr>
                <w:color w:val="000000"/>
                <w:sz w:val="20"/>
                <w:szCs w:val="20"/>
              </w:rPr>
            </w:pPr>
            <w:r>
              <w:rPr>
                <w:color w:val="000000"/>
                <w:sz w:val="20"/>
                <w:szCs w:val="20"/>
              </w:rPr>
              <w:t>0.718</w:t>
            </w:r>
          </w:p>
        </w:tc>
        <w:tc>
          <w:tcPr>
            <w:tcW w:w="864" w:type="dxa"/>
            <w:tcBorders>
              <w:top w:val="nil"/>
              <w:left w:val="nil"/>
              <w:bottom w:val="nil"/>
              <w:right w:val="nil"/>
            </w:tcBorders>
            <w:shd w:val="clear" w:color="auto" w:fill="auto"/>
            <w:noWrap/>
            <w:vAlign w:val="bottom"/>
            <w:hideMark/>
          </w:tcPr>
          <w:p w14:paraId="3C71F9F2"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B8E9CCA" w14:textId="77777777" w:rsidR="00993685" w:rsidRDefault="00993685">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2921F675" w14:textId="77777777" w:rsidR="00993685" w:rsidRDefault="00993685">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16F8B0C3" w14:textId="77777777" w:rsidR="00993685" w:rsidRDefault="00993685">
            <w:pPr>
              <w:jc w:val="right"/>
              <w:rPr>
                <w:color w:val="000000"/>
                <w:sz w:val="20"/>
                <w:szCs w:val="20"/>
              </w:rPr>
            </w:pPr>
            <w:r>
              <w:rPr>
                <w:color w:val="000000"/>
                <w:sz w:val="20"/>
                <w:szCs w:val="20"/>
              </w:rPr>
              <w:t>0.000</w:t>
            </w:r>
          </w:p>
        </w:tc>
      </w:tr>
      <w:tr w:rsidR="00993685" w14:paraId="29C565CE" w14:textId="77777777" w:rsidTr="00993685">
        <w:trPr>
          <w:trHeight w:val="320"/>
        </w:trPr>
        <w:tc>
          <w:tcPr>
            <w:tcW w:w="1152" w:type="dxa"/>
            <w:tcBorders>
              <w:top w:val="nil"/>
              <w:left w:val="nil"/>
              <w:bottom w:val="nil"/>
              <w:right w:val="nil"/>
            </w:tcBorders>
            <w:shd w:val="clear" w:color="auto" w:fill="auto"/>
            <w:noWrap/>
            <w:vAlign w:val="bottom"/>
            <w:hideMark/>
          </w:tcPr>
          <w:p w14:paraId="259680B6"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9D49325" w14:textId="77777777" w:rsidR="00993685" w:rsidRDefault="00993685">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B1DC1CB" w14:textId="77777777" w:rsidR="00993685" w:rsidRDefault="00993685">
            <w:pPr>
              <w:jc w:val="right"/>
              <w:rPr>
                <w:color w:val="000000"/>
                <w:sz w:val="20"/>
                <w:szCs w:val="20"/>
              </w:rPr>
            </w:pPr>
            <w:r>
              <w:rPr>
                <w:color w:val="000000"/>
                <w:sz w:val="20"/>
                <w:szCs w:val="20"/>
              </w:rPr>
              <w:t>0.236</w:t>
            </w:r>
          </w:p>
        </w:tc>
        <w:tc>
          <w:tcPr>
            <w:tcW w:w="864" w:type="dxa"/>
            <w:tcBorders>
              <w:top w:val="nil"/>
              <w:left w:val="nil"/>
              <w:bottom w:val="nil"/>
              <w:right w:val="nil"/>
            </w:tcBorders>
            <w:shd w:val="clear" w:color="auto" w:fill="auto"/>
            <w:noWrap/>
            <w:vAlign w:val="bottom"/>
            <w:hideMark/>
          </w:tcPr>
          <w:p w14:paraId="0FA049F0" w14:textId="77777777" w:rsidR="00993685" w:rsidRDefault="00993685">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134130B7" w14:textId="77777777" w:rsidR="00993685" w:rsidRDefault="00993685">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46F69C9E" w14:textId="77777777" w:rsidR="00993685" w:rsidRDefault="00993685">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7DE345D1" w14:textId="77777777" w:rsidR="00993685" w:rsidRDefault="00993685">
            <w:pPr>
              <w:jc w:val="right"/>
              <w:rPr>
                <w:color w:val="000000"/>
                <w:sz w:val="20"/>
                <w:szCs w:val="20"/>
              </w:rPr>
            </w:pPr>
            <w:r>
              <w:rPr>
                <w:color w:val="000000"/>
                <w:sz w:val="20"/>
                <w:szCs w:val="20"/>
              </w:rPr>
              <w:t>0.813</w:t>
            </w:r>
          </w:p>
        </w:tc>
        <w:tc>
          <w:tcPr>
            <w:tcW w:w="864" w:type="dxa"/>
            <w:tcBorders>
              <w:top w:val="nil"/>
              <w:left w:val="nil"/>
              <w:bottom w:val="nil"/>
              <w:right w:val="nil"/>
            </w:tcBorders>
            <w:shd w:val="clear" w:color="auto" w:fill="auto"/>
            <w:noWrap/>
            <w:vAlign w:val="bottom"/>
            <w:hideMark/>
          </w:tcPr>
          <w:p w14:paraId="12FA5CC3" w14:textId="77777777" w:rsidR="00993685" w:rsidRDefault="00993685">
            <w:pPr>
              <w:jc w:val="right"/>
              <w:rPr>
                <w:color w:val="000000"/>
                <w:sz w:val="20"/>
                <w:szCs w:val="20"/>
              </w:rPr>
            </w:pPr>
            <w:r>
              <w:rPr>
                <w:color w:val="000000"/>
                <w:sz w:val="20"/>
                <w:szCs w:val="20"/>
              </w:rPr>
              <w:t>0.002</w:t>
            </w:r>
          </w:p>
        </w:tc>
      </w:tr>
      <w:tr w:rsidR="00993685" w14:paraId="75F7BBB0" w14:textId="77777777" w:rsidTr="00993685">
        <w:trPr>
          <w:trHeight w:val="320"/>
        </w:trPr>
        <w:tc>
          <w:tcPr>
            <w:tcW w:w="1152" w:type="dxa"/>
            <w:tcBorders>
              <w:top w:val="nil"/>
              <w:left w:val="nil"/>
              <w:bottom w:val="nil"/>
              <w:right w:val="nil"/>
            </w:tcBorders>
            <w:shd w:val="clear" w:color="auto" w:fill="auto"/>
            <w:noWrap/>
            <w:vAlign w:val="bottom"/>
            <w:hideMark/>
          </w:tcPr>
          <w:p w14:paraId="14DF55D2"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6EC25CA" w14:textId="77777777" w:rsidR="00993685" w:rsidRDefault="00993685">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C72A1AE" w14:textId="77777777" w:rsidR="00993685" w:rsidRDefault="00993685">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14B16E40" w14:textId="77777777" w:rsidR="00993685" w:rsidRDefault="00993685">
            <w:pPr>
              <w:jc w:val="right"/>
              <w:rPr>
                <w:color w:val="000000"/>
                <w:sz w:val="20"/>
                <w:szCs w:val="20"/>
              </w:rPr>
            </w:pPr>
            <w:r>
              <w:rPr>
                <w:color w:val="000000"/>
                <w:sz w:val="20"/>
                <w:szCs w:val="20"/>
              </w:rPr>
              <w:t>0.718</w:t>
            </w:r>
          </w:p>
        </w:tc>
        <w:tc>
          <w:tcPr>
            <w:tcW w:w="864" w:type="dxa"/>
            <w:tcBorders>
              <w:top w:val="nil"/>
              <w:left w:val="nil"/>
              <w:bottom w:val="nil"/>
              <w:right w:val="nil"/>
            </w:tcBorders>
            <w:shd w:val="clear" w:color="auto" w:fill="auto"/>
            <w:noWrap/>
            <w:vAlign w:val="bottom"/>
            <w:hideMark/>
          </w:tcPr>
          <w:p w14:paraId="75DF3F26"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08693F6" w14:textId="77777777" w:rsidR="00993685" w:rsidRDefault="00993685">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15E70149" w14:textId="77777777" w:rsidR="00993685" w:rsidRDefault="00993685">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5A291AD8" w14:textId="77777777" w:rsidR="00993685" w:rsidRDefault="00993685">
            <w:pPr>
              <w:jc w:val="right"/>
              <w:rPr>
                <w:color w:val="000000"/>
                <w:sz w:val="20"/>
                <w:szCs w:val="20"/>
              </w:rPr>
            </w:pPr>
            <w:r>
              <w:rPr>
                <w:color w:val="000000"/>
                <w:sz w:val="20"/>
                <w:szCs w:val="20"/>
              </w:rPr>
              <w:t>0.000</w:t>
            </w:r>
          </w:p>
        </w:tc>
      </w:tr>
      <w:tr w:rsidR="00993685" w14:paraId="0E26CD23" w14:textId="77777777" w:rsidTr="00993685">
        <w:trPr>
          <w:trHeight w:val="320"/>
        </w:trPr>
        <w:tc>
          <w:tcPr>
            <w:tcW w:w="1152" w:type="dxa"/>
            <w:tcBorders>
              <w:top w:val="nil"/>
              <w:left w:val="nil"/>
              <w:bottom w:val="nil"/>
              <w:right w:val="nil"/>
            </w:tcBorders>
            <w:shd w:val="clear" w:color="auto" w:fill="auto"/>
            <w:noWrap/>
            <w:vAlign w:val="bottom"/>
            <w:hideMark/>
          </w:tcPr>
          <w:p w14:paraId="3BE84C5E"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C68EAF" w14:textId="77777777" w:rsidR="00993685" w:rsidRDefault="00993685">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15CB5ED" w14:textId="77777777" w:rsidR="00993685" w:rsidRDefault="00993685">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4CBC2395" w14:textId="77777777" w:rsidR="00993685" w:rsidRDefault="00993685">
            <w:pPr>
              <w:jc w:val="right"/>
              <w:rPr>
                <w:color w:val="000000"/>
                <w:sz w:val="20"/>
                <w:szCs w:val="20"/>
              </w:rPr>
            </w:pPr>
            <w:r>
              <w:rPr>
                <w:color w:val="000000"/>
                <w:sz w:val="20"/>
                <w:szCs w:val="20"/>
              </w:rPr>
              <w:t>0.656</w:t>
            </w:r>
          </w:p>
        </w:tc>
        <w:tc>
          <w:tcPr>
            <w:tcW w:w="864" w:type="dxa"/>
            <w:tcBorders>
              <w:top w:val="nil"/>
              <w:left w:val="nil"/>
              <w:bottom w:val="nil"/>
              <w:right w:val="nil"/>
            </w:tcBorders>
            <w:shd w:val="clear" w:color="auto" w:fill="auto"/>
            <w:noWrap/>
            <w:vAlign w:val="bottom"/>
            <w:hideMark/>
          </w:tcPr>
          <w:p w14:paraId="68ADE6D7"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27DAC88" w14:textId="77777777" w:rsidR="00993685" w:rsidRDefault="00993685">
            <w:pPr>
              <w:jc w:val="right"/>
              <w:rPr>
                <w:color w:val="000000"/>
                <w:sz w:val="20"/>
                <w:szCs w:val="20"/>
              </w:rPr>
            </w:pPr>
            <w:r>
              <w:rPr>
                <w:color w:val="000000"/>
                <w:sz w:val="20"/>
                <w:szCs w:val="20"/>
              </w:rPr>
              <w:t>0.054</w:t>
            </w:r>
          </w:p>
        </w:tc>
        <w:tc>
          <w:tcPr>
            <w:tcW w:w="864" w:type="dxa"/>
            <w:tcBorders>
              <w:top w:val="nil"/>
              <w:left w:val="nil"/>
              <w:bottom w:val="nil"/>
              <w:right w:val="nil"/>
            </w:tcBorders>
            <w:shd w:val="clear" w:color="auto" w:fill="auto"/>
            <w:noWrap/>
            <w:vAlign w:val="bottom"/>
            <w:hideMark/>
          </w:tcPr>
          <w:p w14:paraId="5A50C2DC" w14:textId="77777777" w:rsidR="00993685" w:rsidRDefault="00993685">
            <w:pPr>
              <w:jc w:val="right"/>
              <w:rPr>
                <w:color w:val="000000"/>
                <w:sz w:val="20"/>
                <w:szCs w:val="20"/>
              </w:rPr>
            </w:pPr>
            <w:r>
              <w:rPr>
                <w:color w:val="000000"/>
                <w:sz w:val="20"/>
                <w:szCs w:val="20"/>
              </w:rPr>
              <w:t>0.552</w:t>
            </w:r>
          </w:p>
        </w:tc>
        <w:tc>
          <w:tcPr>
            <w:tcW w:w="864" w:type="dxa"/>
            <w:tcBorders>
              <w:top w:val="nil"/>
              <w:left w:val="nil"/>
              <w:bottom w:val="nil"/>
              <w:right w:val="nil"/>
            </w:tcBorders>
            <w:shd w:val="clear" w:color="auto" w:fill="auto"/>
            <w:noWrap/>
            <w:vAlign w:val="bottom"/>
            <w:hideMark/>
          </w:tcPr>
          <w:p w14:paraId="675049A9" w14:textId="77777777" w:rsidR="00993685" w:rsidRDefault="00993685">
            <w:pPr>
              <w:jc w:val="right"/>
              <w:rPr>
                <w:color w:val="000000"/>
                <w:sz w:val="20"/>
                <w:szCs w:val="20"/>
              </w:rPr>
            </w:pPr>
            <w:r>
              <w:rPr>
                <w:color w:val="000000"/>
                <w:sz w:val="20"/>
                <w:szCs w:val="20"/>
              </w:rPr>
              <w:t>0.003</w:t>
            </w:r>
          </w:p>
        </w:tc>
      </w:tr>
      <w:tr w:rsidR="00993685" w14:paraId="50C4B754" w14:textId="77777777" w:rsidTr="00993685">
        <w:trPr>
          <w:trHeight w:val="320"/>
        </w:trPr>
        <w:tc>
          <w:tcPr>
            <w:tcW w:w="1152" w:type="dxa"/>
            <w:tcBorders>
              <w:top w:val="nil"/>
              <w:left w:val="nil"/>
              <w:bottom w:val="nil"/>
              <w:right w:val="nil"/>
            </w:tcBorders>
            <w:shd w:val="clear" w:color="auto" w:fill="auto"/>
            <w:noWrap/>
            <w:vAlign w:val="bottom"/>
            <w:hideMark/>
          </w:tcPr>
          <w:p w14:paraId="01986B0B"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F4F48BB" w14:textId="77777777" w:rsidR="00993685" w:rsidRDefault="00993685">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FA60F91" w14:textId="77777777" w:rsidR="00993685" w:rsidRDefault="00993685">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10B0069E" w14:textId="77777777" w:rsidR="00993685" w:rsidRDefault="00993685">
            <w:pPr>
              <w:jc w:val="right"/>
              <w:rPr>
                <w:color w:val="000000"/>
                <w:sz w:val="20"/>
                <w:szCs w:val="20"/>
              </w:rPr>
            </w:pPr>
            <w:r>
              <w:rPr>
                <w:color w:val="000000"/>
                <w:sz w:val="20"/>
                <w:szCs w:val="20"/>
              </w:rPr>
              <w:t>0.718</w:t>
            </w:r>
          </w:p>
        </w:tc>
        <w:tc>
          <w:tcPr>
            <w:tcW w:w="864" w:type="dxa"/>
            <w:tcBorders>
              <w:top w:val="nil"/>
              <w:left w:val="nil"/>
              <w:bottom w:val="nil"/>
              <w:right w:val="nil"/>
            </w:tcBorders>
            <w:shd w:val="clear" w:color="auto" w:fill="auto"/>
            <w:noWrap/>
            <w:vAlign w:val="bottom"/>
            <w:hideMark/>
          </w:tcPr>
          <w:p w14:paraId="4BFAA62D"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9C5F0D3" w14:textId="77777777" w:rsidR="00993685" w:rsidRDefault="00993685">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69B4BEBE" w14:textId="77777777" w:rsidR="00993685" w:rsidRDefault="00993685">
            <w:pPr>
              <w:jc w:val="right"/>
              <w:rPr>
                <w:color w:val="000000"/>
                <w:sz w:val="20"/>
                <w:szCs w:val="20"/>
              </w:rPr>
            </w:pPr>
            <w:r>
              <w:rPr>
                <w:color w:val="000000"/>
                <w:sz w:val="20"/>
                <w:szCs w:val="20"/>
              </w:rPr>
              <w:t>0.813</w:t>
            </w:r>
          </w:p>
        </w:tc>
        <w:tc>
          <w:tcPr>
            <w:tcW w:w="864" w:type="dxa"/>
            <w:tcBorders>
              <w:top w:val="nil"/>
              <w:left w:val="nil"/>
              <w:bottom w:val="nil"/>
              <w:right w:val="nil"/>
            </w:tcBorders>
            <w:shd w:val="clear" w:color="auto" w:fill="auto"/>
            <w:noWrap/>
            <w:vAlign w:val="bottom"/>
            <w:hideMark/>
          </w:tcPr>
          <w:p w14:paraId="56067509" w14:textId="77777777" w:rsidR="00993685" w:rsidRDefault="00993685">
            <w:pPr>
              <w:jc w:val="right"/>
              <w:rPr>
                <w:color w:val="000000"/>
                <w:sz w:val="20"/>
                <w:szCs w:val="20"/>
              </w:rPr>
            </w:pPr>
            <w:r>
              <w:rPr>
                <w:color w:val="000000"/>
                <w:sz w:val="20"/>
                <w:szCs w:val="20"/>
              </w:rPr>
              <w:t>0.001</w:t>
            </w:r>
          </w:p>
        </w:tc>
      </w:tr>
      <w:tr w:rsidR="00993685" w14:paraId="45A081B2" w14:textId="77777777" w:rsidTr="00993685">
        <w:trPr>
          <w:trHeight w:val="320"/>
        </w:trPr>
        <w:tc>
          <w:tcPr>
            <w:tcW w:w="1152" w:type="dxa"/>
            <w:tcBorders>
              <w:top w:val="nil"/>
              <w:left w:val="nil"/>
              <w:bottom w:val="single" w:sz="4" w:space="0" w:color="auto"/>
              <w:right w:val="nil"/>
            </w:tcBorders>
            <w:shd w:val="clear" w:color="auto" w:fill="auto"/>
            <w:noWrap/>
            <w:vAlign w:val="bottom"/>
            <w:hideMark/>
          </w:tcPr>
          <w:p w14:paraId="25BA0249" w14:textId="77777777" w:rsidR="00993685" w:rsidRDefault="00993685">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BF66C28" w14:textId="77777777" w:rsidR="00993685" w:rsidRDefault="00993685">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7A018DD" w14:textId="77777777" w:rsidR="00993685" w:rsidRDefault="00993685">
            <w:pPr>
              <w:jc w:val="right"/>
              <w:rPr>
                <w:color w:val="000000"/>
                <w:sz w:val="20"/>
                <w:szCs w:val="20"/>
              </w:rPr>
            </w:pPr>
            <w:r>
              <w:rPr>
                <w:color w:val="000000"/>
                <w:sz w:val="20"/>
                <w:szCs w:val="20"/>
              </w:rPr>
              <w:t>0.009</w:t>
            </w:r>
          </w:p>
        </w:tc>
        <w:tc>
          <w:tcPr>
            <w:tcW w:w="864" w:type="dxa"/>
            <w:tcBorders>
              <w:top w:val="nil"/>
              <w:left w:val="nil"/>
              <w:bottom w:val="single" w:sz="4" w:space="0" w:color="auto"/>
              <w:right w:val="nil"/>
            </w:tcBorders>
            <w:shd w:val="clear" w:color="auto" w:fill="auto"/>
            <w:noWrap/>
            <w:vAlign w:val="bottom"/>
            <w:hideMark/>
          </w:tcPr>
          <w:p w14:paraId="03E6CA81" w14:textId="77777777" w:rsidR="00993685" w:rsidRDefault="00993685">
            <w:pPr>
              <w:jc w:val="right"/>
              <w:rPr>
                <w:color w:val="000000"/>
                <w:sz w:val="20"/>
                <w:szCs w:val="20"/>
              </w:rPr>
            </w:pPr>
            <w:r>
              <w:rPr>
                <w:color w:val="000000"/>
                <w:sz w:val="20"/>
                <w:szCs w:val="20"/>
              </w:rPr>
              <w:t>0.815</w:t>
            </w:r>
          </w:p>
        </w:tc>
        <w:tc>
          <w:tcPr>
            <w:tcW w:w="864" w:type="dxa"/>
            <w:tcBorders>
              <w:top w:val="nil"/>
              <w:left w:val="nil"/>
              <w:bottom w:val="single" w:sz="4" w:space="0" w:color="auto"/>
              <w:right w:val="nil"/>
            </w:tcBorders>
            <w:shd w:val="clear" w:color="auto" w:fill="auto"/>
            <w:noWrap/>
            <w:vAlign w:val="bottom"/>
            <w:hideMark/>
          </w:tcPr>
          <w:p w14:paraId="47F35FC6"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EAE0F83" w14:textId="77777777" w:rsidR="00993685" w:rsidRDefault="00993685">
            <w:pPr>
              <w:jc w:val="right"/>
              <w:rPr>
                <w:color w:val="000000"/>
                <w:sz w:val="20"/>
                <w:szCs w:val="20"/>
              </w:rPr>
            </w:pPr>
            <w:r>
              <w:rPr>
                <w:color w:val="000000"/>
                <w:sz w:val="20"/>
                <w:szCs w:val="20"/>
              </w:rPr>
              <w:t>0.047</w:t>
            </w:r>
          </w:p>
        </w:tc>
        <w:tc>
          <w:tcPr>
            <w:tcW w:w="864" w:type="dxa"/>
            <w:tcBorders>
              <w:top w:val="nil"/>
              <w:left w:val="nil"/>
              <w:bottom w:val="single" w:sz="4" w:space="0" w:color="auto"/>
              <w:right w:val="nil"/>
            </w:tcBorders>
            <w:shd w:val="clear" w:color="auto" w:fill="auto"/>
            <w:noWrap/>
            <w:vAlign w:val="bottom"/>
            <w:hideMark/>
          </w:tcPr>
          <w:p w14:paraId="5695F399" w14:textId="77777777" w:rsidR="00993685" w:rsidRDefault="00993685">
            <w:pPr>
              <w:jc w:val="right"/>
              <w:rPr>
                <w:color w:val="000000"/>
                <w:sz w:val="20"/>
                <w:szCs w:val="20"/>
              </w:rPr>
            </w:pPr>
            <w:r>
              <w:rPr>
                <w:color w:val="000000"/>
                <w:sz w:val="20"/>
                <w:szCs w:val="20"/>
              </w:rPr>
              <w:t>0.692</w:t>
            </w:r>
          </w:p>
        </w:tc>
        <w:tc>
          <w:tcPr>
            <w:tcW w:w="864" w:type="dxa"/>
            <w:tcBorders>
              <w:top w:val="nil"/>
              <w:left w:val="nil"/>
              <w:bottom w:val="single" w:sz="4" w:space="0" w:color="auto"/>
              <w:right w:val="nil"/>
            </w:tcBorders>
            <w:shd w:val="clear" w:color="auto" w:fill="auto"/>
            <w:noWrap/>
            <w:vAlign w:val="bottom"/>
            <w:hideMark/>
          </w:tcPr>
          <w:p w14:paraId="51AF1AB5" w14:textId="77777777" w:rsidR="00993685" w:rsidRDefault="00993685">
            <w:pPr>
              <w:jc w:val="right"/>
              <w:rPr>
                <w:color w:val="000000"/>
                <w:sz w:val="20"/>
                <w:szCs w:val="20"/>
              </w:rPr>
            </w:pPr>
            <w:r>
              <w:rPr>
                <w:color w:val="000000"/>
                <w:sz w:val="20"/>
                <w:szCs w:val="20"/>
              </w:rPr>
              <w:t>0.002</w:t>
            </w:r>
          </w:p>
        </w:tc>
      </w:tr>
      <w:tr w:rsidR="00993685" w14:paraId="6925BE23" w14:textId="77777777" w:rsidTr="00993685">
        <w:trPr>
          <w:trHeight w:val="320"/>
        </w:trPr>
        <w:tc>
          <w:tcPr>
            <w:tcW w:w="1152" w:type="dxa"/>
            <w:tcBorders>
              <w:top w:val="nil"/>
              <w:left w:val="nil"/>
              <w:bottom w:val="nil"/>
              <w:right w:val="nil"/>
            </w:tcBorders>
            <w:shd w:val="clear" w:color="auto" w:fill="auto"/>
            <w:noWrap/>
            <w:vAlign w:val="bottom"/>
            <w:hideMark/>
          </w:tcPr>
          <w:p w14:paraId="399C71BD" w14:textId="77777777" w:rsidR="00993685" w:rsidRDefault="00993685">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41C444F7" w14:textId="77777777" w:rsidR="00993685" w:rsidRDefault="00993685">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21968163" w14:textId="77777777" w:rsidR="00993685" w:rsidRDefault="00993685">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5EE7BA6" w14:textId="77777777" w:rsidR="00993685" w:rsidRDefault="00993685">
            <w:pPr>
              <w:jc w:val="right"/>
              <w:rPr>
                <w:color w:val="000000"/>
                <w:sz w:val="20"/>
                <w:szCs w:val="20"/>
              </w:rPr>
            </w:pPr>
            <w:r>
              <w:rPr>
                <w:color w:val="000000"/>
                <w:sz w:val="20"/>
                <w:szCs w:val="20"/>
              </w:rPr>
              <w:t>0.888</w:t>
            </w:r>
          </w:p>
        </w:tc>
        <w:tc>
          <w:tcPr>
            <w:tcW w:w="864" w:type="dxa"/>
            <w:tcBorders>
              <w:top w:val="nil"/>
              <w:left w:val="nil"/>
              <w:bottom w:val="nil"/>
              <w:right w:val="nil"/>
            </w:tcBorders>
            <w:shd w:val="clear" w:color="auto" w:fill="auto"/>
            <w:noWrap/>
            <w:vAlign w:val="bottom"/>
            <w:hideMark/>
          </w:tcPr>
          <w:p w14:paraId="490A4A20"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ACA77A8" w14:textId="77777777" w:rsidR="00993685" w:rsidRDefault="00993685">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345D2D31" w14:textId="77777777" w:rsidR="00993685" w:rsidRDefault="00993685">
            <w:pPr>
              <w:jc w:val="right"/>
              <w:rPr>
                <w:color w:val="000000"/>
                <w:sz w:val="20"/>
                <w:szCs w:val="20"/>
              </w:rPr>
            </w:pPr>
            <w:r>
              <w:rPr>
                <w:color w:val="000000"/>
                <w:sz w:val="20"/>
                <w:szCs w:val="20"/>
              </w:rPr>
              <w:t>0.138</w:t>
            </w:r>
          </w:p>
        </w:tc>
        <w:tc>
          <w:tcPr>
            <w:tcW w:w="864" w:type="dxa"/>
            <w:tcBorders>
              <w:top w:val="nil"/>
              <w:left w:val="nil"/>
              <w:bottom w:val="nil"/>
              <w:right w:val="nil"/>
            </w:tcBorders>
            <w:shd w:val="clear" w:color="auto" w:fill="auto"/>
            <w:noWrap/>
            <w:vAlign w:val="bottom"/>
            <w:hideMark/>
          </w:tcPr>
          <w:p w14:paraId="759B7D60" w14:textId="77777777" w:rsidR="00993685" w:rsidRDefault="00993685">
            <w:pPr>
              <w:jc w:val="right"/>
              <w:rPr>
                <w:color w:val="000000"/>
                <w:sz w:val="20"/>
                <w:szCs w:val="20"/>
              </w:rPr>
            </w:pPr>
            <w:r>
              <w:rPr>
                <w:color w:val="000000"/>
                <w:sz w:val="20"/>
                <w:szCs w:val="20"/>
              </w:rPr>
              <w:t>0.002</w:t>
            </w:r>
          </w:p>
        </w:tc>
      </w:tr>
      <w:tr w:rsidR="00993685" w14:paraId="49480FAF" w14:textId="77777777" w:rsidTr="00993685">
        <w:trPr>
          <w:trHeight w:val="320"/>
        </w:trPr>
        <w:tc>
          <w:tcPr>
            <w:tcW w:w="1152" w:type="dxa"/>
            <w:tcBorders>
              <w:top w:val="nil"/>
              <w:left w:val="nil"/>
              <w:bottom w:val="nil"/>
              <w:right w:val="nil"/>
            </w:tcBorders>
            <w:shd w:val="clear" w:color="auto" w:fill="auto"/>
            <w:noWrap/>
            <w:vAlign w:val="bottom"/>
            <w:hideMark/>
          </w:tcPr>
          <w:p w14:paraId="67FC4511"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3F27CC9" w14:textId="77777777" w:rsidR="00993685" w:rsidRDefault="00993685">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8A9FC2B" w14:textId="77777777" w:rsidR="00993685" w:rsidRDefault="00993685">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4C3BCC98" w14:textId="77777777" w:rsidR="00993685" w:rsidRDefault="00993685">
            <w:pPr>
              <w:jc w:val="right"/>
              <w:rPr>
                <w:color w:val="000000"/>
                <w:sz w:val="20"/>
                <w:szCs w:val="20"/>
              </w:rPr>
            </w:pPr>
            <w:r>
              <w:rPr>
                <w:color w:val="000000"/>
                <w:sz w:val="20"/>
                <w:szCs w:val="20"/>
              </w:rPr>
              <w:t>0.240</w:t>
            </w:r>
          </w:p>
        </w:tc>
        <w:tc>
          <w:tcPr>
            <w:tcW w:w="864" w:type="dxa"/>
            <w:tcBorders>
              <w:top w:val="nil"/>
              <w:left w:val="nil"/>
              <w:bottom w:val="nil"/>
              <w:right w:val="nil"/>
            </w:tcBorders>
            <w:shd w:val="clear" w:color="auto" w:fill="auto"/>
            <w:noWrap/>
            <w:vAlign w:val="bottom"/>
            <w:hideMark/>
          </w:tcPr>
          <w:p w14:paraId="2D24CE4B" w14:textId="77777777" w:rsidR="00993685" w:rsidRDefault="00993685">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80ADC5F" w14:textId="77777777" w:rsidR="00993685" w:rsidRDefault="00993685">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53B53381" w14:textId="77777777" w:rsidR="00993685" w:rsidRDefault="00993685">
            <w:pPr>
              <w:jc w:val="right"/>
              <w:rPr>
                <w:color w:val="000000"/>
                <w:sz w:val="20"/>
                <w:szCs w:val="20"/>
              </w:rPr>
            </w:pPr>
            <w:r>
              <w:rPr>
                <w:color w:val="000000"/>
                <w:sz w:val="20"/>
                <w:szCs w:val="20"/>
              </w:rPr>
              <w:t>0.448</w:t>
            </w:r>
          </w:p>
        </w:tc>
        <w:tc>
          <w:tcPr>
            <w:tcW w:w="864" w:type="dxa"/>
            <w:tcBorders>
              <w:top w:val="nil"/>
              <w:left w:val="nil"/>
              <w:bottom w:val="nil"/>
              <w:right w:val="nil"/>
            </w:tcBorders>
            <w:shd w:val="clear" w:color="auto" w:fill="auto"/>
            <w:noWrap/>
            <w:vAlign w:val="bottom"/>
            <w:hideMark/>
          </w:tcPr>
          <w:p w14:paraId="6985B39A" w14:textId="77777777" w:rsidR="00993685" w:rsidRDefault="00993685">
            <w:pPr>
              <w:jc w:val="right"/>
              <w:rPr>
                <w:color w:val="000000"/>
                <w:sz w:val="20"/>
                <w:szCs w:val="20"/>
              </w:rPr>
            </w:pPr>
            <w:r>
              <w:rPr>
                <w:color w:val="000000"/>
                <w:sz w:val="20"/>
                <w:szCs w:val="20"/>
              </w:rPr>
              <w:t>0.000</w:t>
            </w:r>
          </w:p>
        </w:tc>
      </w:tr>
      <w:tr w:rsidR="00993685" w14:paraId="5536F17E" w14:textId="77777777" w:rsidTr="00993685">
        <w:trPr>
          <w:trHeight w:val="320"/>
        </w:trPr>
        <w:tc>
          <w:tcPr>
            <w:tcW w:w="1152" w:type="dxa"/>
            <w:tcBorders>
              <w:top w:val="nil"/>
              <w:left w:val="nil"/>
              <w:bottom w:val="nil"/>
              <w:right w:val="nil"/>
            </w:tcBorders>
            <w:shd w:val="clear" w:color="auto" w:fill="auto"/>
            <w:noWrap/>
            <w:vAlign w:val="bottom"/>
            <w:hideMark/>
          </w:tcPr>
          <w:p w14:paraId="6C8E8643"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2C1A270" w14:textId="77777777" w:rsidR="00993685" w:rsidRDefault="00993685">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9818452" w14:textId="77777777" w:rsidR="00993685" w:rsidRDefault="00993685">
            <w:pPr>
              <w:jc w:val="right"/>
              <w:rPr>
                <w:color w:val="000000"/>
                <w:sz w:val="20"/>
                <w:szCs w:val="20"/>
              </w:rPr>
            </w:pPr>
            <w:r>
              <w:rPr>
                <w:color w:val="000000"/>
                <w:sz w:val="20"/>
                <w:szCs w:val="20"/>
              </w:rPr>
              <w:t>0.069</w:t>
            </w:r>
          </w:p>
        </w:tc>
        <w:tc>
          <w:tcPr>
            <w:tcW w:w="864" w:type="dxa"/>
            <w:tcBorders>
              <w:top w:val="nil"/>
              <w:left w:val="nil"/>
              <w:bottom w:val="nil"/>
              <w:right w:val="nil"/>
            </w:tcBorders>
            <w:shd w:val="clear" w:color="auto" w:fill="auto"/>
            <w:noWrap/>
            <w:vAlign w:val="bottom"/>
            <w:hideMark/>
          </w:tcPr>
          <w:p w14:paraId="08BE0B45" w14:textId="77777777" w:rsidR="00993685" w:rsidRDefault="00993685">
            <w:pPr>
              <w:jc w:val="right"/>
              <w:rPr>
                <w:color w:val="000000"/>
                <w:sz w:val="20"/>
                <w:szCs w:val="20"/>
              </w:rPr>
            </w:pPr>
            <w:r>
              <w:rPr>
                <w:color w:val="000000"/>
                <w:sz w:val="20"/>
                <w:szCs w:val="20"/>
              </w:rPr>
              <w:t>0.088</w:t>
            </w:r>
          </w:p>
        </w:tc>
        <w:tc>
          <w:tcPr>
            <w:tcW w:w="864" w:type="dxa"/>
            <w:tcBorders>
              <w:top w:val="nil"/>
              <w:left w:val="nil"/>
              <w:bottom w:val="nil"/>
              <w:right w:val="nil"/>
            </w:tcBorders>
            <w:shd w:val="clear" w:color="auto" w:fill="auto"/>
            <w:noWrap/>
            <w:vAlign w:val="bottom"/>
            <w:hideMark/>
          </w:tcPr>
          <w:p w14:paraId="7DC3027F" w14:textId="77777777" w:rsidR="00993685" w:rsidRDefault="00993685">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3D43B753" w14:textId="77777777" w:rsidR="00993685" w:rsidRDefault="00993685">
            <w:pPr>
              <w:jc w:val="right"/>
              <w:rPr>
                <w:color w:val="000000"/>
                <w:sz w:val="20"/>
                <w:szCs w:val="20"/>
              </w:rPr>
            </w:pPr>
            <w:r>
              <w:rPr>
                <w:color w:val="000000"/>
                <w:sz w:val="20"/>
                <w:szCs w:val="20"/>
              </w:rPr>
              <w:t>-0.066</w:t>
            </w:r>
          </w:p>
        </w:tc>
        <w:tc>
          <w:tcPr>
            <w:tcW w:w="864" w:type="dxa"/>
            <w:tcBorders>
              <w:top w:val="nil"/>
              <w:left w:val="nil"/>
              <w:bottom w:val="nil"/>
              <w:right w:val="nil"/>
            </w:tcBorders>
            <w:shd w:val="clear" w:color="auto" w:fill="auto"/>
            <w:noWrap/>
            <w:vAlign w:val="bottom"/>
            <w:hideMark/>
          </w:tcPr>
          <w:p w14:paraId="69DCC849" w14:textId="77777777" w:rsidR="00993685" w:rsidRDefault="00993685">
            <w:pPr>
              <w:jc w:val="right"/>
              <w:rPr>
                <w:color w:val="000000"/>
                <w:sz w:val="20"/>
                <w:szCs w:val="20"/>
              </w:rPr>
            </w:pPr>
            <w:r>
              <w:rPr>
                <w:color w:val="000000"/>
                <w:sz w:val="20"/>
                <w:szCs w:val="20"/>
              </w:rPr>
              <w:t>0.138</w:t>
            </w:r>
          </w:p>
        </w:tc>
        <w:tc>
          <w:tcPr>
            <w:tcW w:w="864" w:type="dxa"/>
            <w:tcBorders>
              <w:top w:val="nil"/>
              <w:left w:val="nil"/>
              <w:bottom w:val="nil"/>
              <w:right w:val="nil"/>
            </w:tcBorders>
            <w:shd w:val="clear" w:color="auto" w:fill="auto"/>
            <w:noWrap/>
            <w:vAlign w:val="bottom"/>
            <w:hideMark/>
          </w:tcPr>
          <w:p w14:paraId="55FC9041" w14:textId="77777777" w:rsidR="00993685" w:rsidRDefault="00993685">
            <w:pPr>
              <w:jc w:val="right"/>
              <w:rPr>
                <w:color w:val="000000"/>
                <w:sz w:val="20"/>
                <w:szCs w:val="20"/>
              </w:rPr>
            </w:pPr>
            <w:r>
              <w:rPr>
                <w:color w:val="000000"/>
                <w:sz w:val="20"/>
                <w:szCs w:val="20"/>
              </w:rPr>
              <w:t>0.004</w:t>
            </w:r>
          </w:p>
        </w:tc>
      </w:tr>
      <w:tr w:rsidR="00993685" w14:paraId="162FC5D6" w14:textId="77777777" w:rsidTr="00993685">
        <w:trPr>
          <w:trHeight w:val="320"/>
        </w:trPr>
        <w:tc>
          <w:tcPr>
            <w:tcW w:w="1152" w:type="dxa"/>
            <w:tcBorders>
              <w:top w:val="nil"/>
              <w:left w:val="nil"/>
              <w:bottom w:val="nil"/>
              <w:right w:val="nil"/>
            </w:tcBorders>
            <w:shd w:val="clear" w:color="auto" w:fill="auto"/>
            <w:noWrap/>
            <w:vAlign w:val="bottom"/>
            <w:hideMark/>
          </w:tcPr>
          <w:p w14:paraId="37DB4D7C"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338584C" w14:textId="77777777" w:rsidR="00993685" w:rsidRDefault="00993685">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3A05C09" w14:textId="77777777" w:rsidR="00993685" w:rsidRDefault="00993685">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49F7ABFF" w14:textId="77777777" w:rsidR="00993685" w:rsidRDefault="00993685">
            <w:pPr>
              <w:jc w:val="right"/>
              <w:rPr>
                <w:color w:val="000000"/>
                <w:sz w:val="20"/>
                <w:szCs w:val="20"/>
              </w:rPr>
            </w:pPr>
            <w:r>
              <w:rPr>
                <w:color w:val="000000"/>
                <w:sz w:val="20"/>
                <w:szCs w:val="20"/>
              </w:rPr>
              <w:t>0.739</w:t>
            </w:r>
          </w:p>
        </w:tc>
        <w:tc>
          <w:tcPr>
            <w:tcW w:w="864" w:type="dxa"/>
            <w:tcBorders>
              <w:top w:val="nil"/>
              <w:left w:val="nil"/>
              <w:bottom w:val="nil"/>
              <w:right w:val="nil"/>
            </w:tcBorders>
            <w:shd w:val="clear" w:color="auto" w:fill="auto"/>
            <w:noWrap/>
            <w:vAlign w:val="bottom"/>
            <w:hideMark/>
          </w:tcPr>
          <w:p w14:paraId="3D8E309A"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2EB4B0E" w14:textId="77777777" w:rsidR="00993685" w:rsidRDefault="00993685">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67AB1A05" w14:textId="77777777" w:rsidR="00993685" w:rsidRDefault="00993685">
            <w:pPr>
              <w:jc w:val="right"/>
              <w:rPr>
                <w:color w:val="000000"/>
                <w:sz w:val="20"/>
                <w:szCs w:val="20"/>
              </w:rPr>
            </w:pPr>
            <w:r>
              <w:rPr>
                <w:color w:val="000000"/>
                <w:sz w:val="20"/>
                <w:szCs w:val="20"/>
              </w:rPr>
              <w:t>0.448</w:t>
            </w:r>
          </w:p>
        </w:tc>
        <w:tc>
          <w:tcPr>
            <w:tcW w:w="864" w:type="dxa"/>
            <w:tcBorders>
              <w:top w:val="nil"/>
              <w:left w:val="nil"/>
              <w:bottom w:val="nil"/>
              <w:right w:val="nil"/>
            </w:tcBorders>
            <w:shd w:val="clear" w:color="auto" w:fill="auto"/>
            <w:noWrap/>
            <w:vAlign w:val="bottom"/>
            <w:hideMark/>
          </w:tcPr>
          <w:p w14:paraId="2A122C07" w14:textId="77777777" w:rsidR="00993685" w:rsidRDefault="00993685">
            <w:pPr>
              <w:jc w:val="right"/>
              <w:rPr>
                <w:color w:val="000000"/>
                <w:sz w:val="20"/>
                <w:szCs w:val="20"/>
              </w:rPr>
            </w:pPr>
            <w:r>
              <w:rPr>
                <w:color w:val="000000"/>
                <w:sz w:val="20"/>
                <w:szCs w:val="20"/>
              </w:rPr>
              <w:t>0.001</w:t>
            </w:r>
          </w:p>
        </w:tc>
      </w:tr>
      <w:tr w:rsidR="00993685" w14:paraId="76C26C22" w14:textId="77777777" w:rsidTr="00993685">
        <w:trPr>
          <w:trHeight w:val="320"/>
        </w:trPr>
        <w:tc>
          <w:tcPr>
            <w:tcW w:w="1152" w:type="dxa"/>
            <w:tcBorders>
              <w:top w:val="nil"/>
              <w:left w:val="nil"/>
              <w:bottom w:val="nil"/>
              <w:right w:val="nil"/>
            </w:tcBorders>
            <w:shd w:val="clear" w:color="auto" w:fill="auto"/>
            <w:noWrap/>
            <w:vAlign w:val="bottom"/>
            <w:hideMark/>
          </w:tcPr>
          <w:p w14:paraId="41C56C8C"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DE20D7A" w14:textId="77777777" w:rsidR="00993685" w:rsidRDefault="00993685">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42BDA42" w14:textId="77777777" w:rsidR="00993685" w:rsidRDefault="00993685">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5161071E" w14:textId="77777777" w:rsidR="00993685" w:rsidRDefault="00993685">
            <w:pPr>
              <w:jc w:val="right"/>
              <w:rPr>
                <w:color w:val="000000"/>
                <w:sz w:val="20"/>
                <w:szCs w:val="20"/>
              </w:rPr>
            </w:pPr>
            <w:r>
              <w:rPr>
                <w:color w:val="000000"/>
                <w:sz w:val="20"/>
                <w:szCs w:val="20"/>
              </w:rPr>
              <w:t>0.803</w:t>
            </w:r>
          </w:p>
        </w:tc>
        <w:tc>
          <w:tcPr>
            <w:tcW w:w="864" w:type="dxa"/>
            <w:tcBorders>
              <w:top w:val="nil"/>
              <w:left w:val="nil"/>
              <w:bottom w:val="nil"/>
              <w:right w:val="nil"/>
            </w:tcBorders>
            <w:shd w:val="clear" w:color="auto" w:fill="auto"/>
            <w:noWrap/>
            <w:vAlign w:val="bottom"/>
            <w:hideMark/>
          </w:tcPr>
          <w:p w14:paraId="125AEE88"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57D88B6" w14:textId="77777777" w:rsidR="00993685" w:rsidRDefault="00993685">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7BF27585" w14:textId="77777777" w:rsidR="00993685" w:rsidRDefault="00993685">
            <w:pPr>
              <w:jc w:val="right"/>
              <w:rPr>
                <w:color w:val="000000"/>
                <w:sz w:val="20"/>
                <w:szCs w:val="20"/>
              </w:rPr>
            </w:pPr>
            <w:r>
              <w:rPr>
                <w:color w:val="000000"/>
                <w:sz w:val="20"/>
                <w:szCs w:val="20"/>
              </w:rPr>
              <w:t>0.448</w:t>
            </w:r>
          </w:p>
        </w:tc>
        <w:tc>
          <w:tcPr>
            <w:tcW w:w="864" w:type="dxa"/>
            <w:tcBorders>
              <w:top w:val="nil"/>
              <w:left w:val="nil"/>
              <w:bottom w:val="nil"/>
              <w:right w:val="nil"/>
            </w:tcBorders>
            <w:shd w:val="clear" w:color="auto" w:fill="auto"/>
            <w:noWrap/>
            <w:vAlign w:val="bottom"/>
            <w:hideMark/>
          </w:tcPr>
          <w:p w14:paraId="1F93737E" w14:textId="77777777" w:rsidR="00993685" w:rsidRDefault="00993685">
            <w:pPr>
              <w:jc w:val="right"/>
              <w:rPr>
                <w:color w:val="000000"/>
                <w:sz w:val="20"/>
                <w:szCs w:val="20"/>
              </w:rPr>
            </w:pPr>
            <w:r>
              <w:rPr>
                <w:color w:val="000000"/>
                <w:sz w:val="20"/>
                <w:szCs w:val="20"/>
              </w:rPr>
              <w:t>0.000</w:t>
            </w:r>
          </w:p>
        </w:tc>
      </w:tr>
      <w:tr w:rsidR="00993685" w14:paraId="3FC5DE22" w14:textId="77777777" w:rsidTr="00993685">
        <w:trPr>
          <w:trHeight w:val="320"/>
        </w:trPr>
        <w:tc>
          <w:tcPr>
            <w:tcW w:w="1152" w:type="dxa"/>
            <w:tcBorders>
              <w:top w:val="nil"/>
              <w:left w:val="nil"/>
              <w:bottom w:val="nil"/>
              <w:right w:val="nil"/>
            </w:tcBorders>
            <w:shd w:val="clear" w:color="auto" w:fill="auto"/>
            <w:noWrap/>
            <w:vAlign w:val="bottom"/>
            <w:hideMark/>
          </w:tcPr>
          <w:p w14:paraId="1BBB3982"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899EC17" w14:textId="77777777" w:rsidR="00993685" w:rsidRDefault="00993685">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4033394" w14:textId="77777777" w:rsidR="00993685" w:rsidRDefault="00993685">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49DE8D1B" w14:textId="77777777" w:rsidR="00993685" w:rsidRDefault="00993685">
            <w:pPr>
              <w:jc w:val="right"/>
              <w:rPr>
                <w:color w:val="000000"/>
                <w:sz w:val="20"/>
                <w:szCs w:val="20"/>
              </w:rPr>
            </w:pPr>
            <w:r>
              <w:rPr>
                <w:color w:val="000000"/>
                <w:sz w:val="20"/>
                <w:szCs w:val="20"/>
              </w:rPr>
              <w:t>0.739</w:t>
            </w:r>
          </w:p>
        </w:tc>
        <w:tc>
          <w:tcPr>
            <w:tcW w:w="864" w:type="dxa"/>
            <w:tcBorders>
              <w:top w:val="nil"/>
              <w:left w:val="nil"/>
              <w:bottom w:val="nil"/>
              <w:right w:val="nil"/>
            </w:tcBorders>
            <w:shd w:val="clear" w:color="auto" w:fill="auto"/>
            <w:noWrap/>
            <w:vAlign w:val="bottom"/>
            <w:hideMark/>
          </w:tcPr>
          <w:p w14:paraId="79D82490"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3FFADC2" w14:textId="77777777" w:rsidR="00993685" w:rsidRDefault="00993685">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32B9D8A6" w14:textId="77777777" w:rsidR="00993685" w:rsidRDefault="00993685">
            <w:pPr>
              <w:jc w:val="right"/>
              <w:rPr>
                <w:color w:val="000000"/>
                <w:sz w:val="20"/>
                <w:szCs w:val="20"/>
              </w:rPr>
            </w:pPr>
            <w:r>
              <w:rPr>
                <w:color w:val="000000"/>
                <w:sz w:val="20"/>
                <w:szCs w:val="20"/>
              </w:rPr>
              <w:t>0.339</w:t>
            </w:r>
          </w:p>
        </w:tc>
        <w:tc>
          <w:tcPr>
            <w:tcW w:w="864" w:type="dxa"/>
            <w:tcBorders>
              <w:top w:val="nil"/>
              <w:left w:val="nil"/>
              <w:bottom w:val="nil"/>
              <w:right w:val="nil"/>
            </w:tcBorders>
            <w:shd w:val="clear" w:color="auto" w:fill="auto"/>
            <w:noWrap/>
            <w:vAlign w:val="bottom"/>
            <w:hideMark/>
          </w:tcPr>
          <w:p w14:paraId="1EB924CF" w14:textId="77777777" w:rsidR="00993685" w:rsidRDefault="00993685">
            <w:pPr>
              <w:jc w:val="right"/>
              <w:rPr>
                <w:color w:val="000000"/>
                <w:sz w:val="20"/>
                <w:szCs w:val="20"/>
              </w:rPr>
            </w:pPr>
            <w:r>
              <w:rPr>
                <w:color w:val="000000"/>
                <w:sz w:val="20"/>
                <w:szCs w:val="20"/>
              </w:rPr>
              <w:t>0.001</w:t>
            </w:r>
          </w:p>
        </w:tc>
      </w:tr>
      <w:tr w:rsidR="00993685" w14:paraId="3BC26833" w14:textId="77777777" w:rsidTr="00993685">
        <w:trPr>
          <w:trHeight w:val="320"/>
        </w:trPr>
        <w:tc>
          <w:tcPr>
            <w:tcW w:w="1152" w:type="dxa"/>
            <w:tcBorders>
              <w:top w:val="nil"/>
              <w:left w:val="nil"/>
              <w:bottom w:val="nil"/>
              <w:right w:val="nil"/>
            </w:tcBorders>
            <w:shd w:val="clear" w:color="auto" w:fill="auto"/>
            <w:noWrap/>
            <w:vAlign w:val="bottom"/>
            <w:hideMark/>
          </w:tcPr>
          <w:p w14:paraId="24E79C63"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4675A3A" w14:textId="77777777" w:rsidR="00993685" w:rsidRDefault="00993685">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BFD6239" w14:textId="77777777" w:rsidR="00993685" w:rsidRDefault="00993685">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72AE07E9" w14:textId="77777777" w:rsidR="00993685" w:rsidRDefault="00993685">
            <w:pPr>
              <w:jc w:val="right"/>
              <w:rPr>
                <w:color w:val="000000"/>
                <w:sz w:val="20"/>
                <w:szCs w:val="20"/>
              </w:rPr>
            </w:pPr>
            <w:r>
              <w:rPr>
                <w:color w:val="000000"/>
                <w:sz w:val="20"/>
                <w:szCs w:val="20"/>
              </w:rPr>
              <w:t>0.740</w:t>
            </w:r>
          </w:p>
        </w:tc>
        <w:tc>
          <w:tcPr>
            <w:tcW w:w="864" w:type="dxa"/>
            <w:tcBorders>
              <w:top w:val="nil"/>
              <w:left w:val="nil"/>
              <w:bottom w:val="nil"/>
              <w:right w:val="nil"/>
            </w:tcBorders>
            <w:shd w:val="clear" w:color="auto" w:fill="auto"/>
            <w:noWrap/>
            <w:vAlign w:val="bottom"/>
            <w:hideMark/>
          </w:tcPr>
          <w:p w14:paraId="1972625E"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4347934" w14:textId="77777777" w:rsidR="00993685" w:rsidRDefault="00993685">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7C1A9D8C" w14:textId="77777777" w:rsidR="00993685" w:rsidRDefault="00993685">
            <w:pPr>
              <w:jc w:val="right"/>
              <w:rPr>
                <w:color w:val="000000"/>
                <w:sz w:val="20"/>
                <w:szCs w:val="20"/>
              </w:rPr>
            </w:pPr>
            <w:r>
              <w:rPr>
                <w:color w:val="000000"/>
                <w:sz w:val="20"/>
                <w:szCs w:val="20"/>
              </w:rPr>
              <w:t>0.138</w:t>
            </w:r>
          </w:p>
        </w:tc>
        <w:tc>
          <w:tcPr>
            <w:tcW w:w="864" w:type="dxa"/>
            <w:tcBorders>
              <w:top w:val="nil"/>
              <w:left w:val="nil"/>
              <w:bottom w:val="nil"/>
              <w:right w:val="nil"/>
            </w:tcBorders>
            <w:shd w:val="clear" w:color="auto" w:fill="auto"/>
            <w:noWrap/>
            <w:vAlign w:val="bottom"/>
            <w:hideMark/>
          </w:tcPr>
          <w:p w14:paraId="241B0603" w14:textId="77777777" w:rsidR="00993685" w:rsidRDefault="00993685">
            <w:pPr>
              <w:jc w:val="right"/>
              <w:rPr>
                <w:color w:val="000000"/>
                <w:sz w:val="20"/>
                <w:szCs w:val="20"/>
              </w:rPr>
            </w:pPr>
            <w:r>
              <w:rPr>
                <w:color w:val="000000"/>
                <w:sz w:val="20"/>
                <w:szCs w:val="20"/>
              </w:rPr>
              <w:t>0.002</w:t>
            </w:r>
          </w:p>
        </w:tc>
      </w:tr>
      <w:tr w:rsidR="00993685" w14:paraId="3C084251" w14:textId="77777777" w:rsidTr="00993685">
        <w:trPr>
          <w:trHeight w:val="320"/>
        </w:trPr>
        <w:tc>
          <w:tcPr>
            <w:tcW w:w="1152" w:type="dxa"/>
            <w:tcBorders>
              <w:top w:val="nil"/>
              <w:left w:val="nil"/>
              <w:bottom w:val="single" w:sz="4" w:space="0" w:color="auto"/>
              <w:right w:val="nil"/>
            </w:tcBorders>
            <w:shd w:val="clear" w:color="auto" w:fill="auto"/>
            <w:noWrap/>
            <w:vAlign w:val="bottom"/>
            <w:hideMark/>
          </w:tcPr>
          <w:p w14:paraId="2C242E77" w14:textId="77777777" w:rsidR="00993685" w:rsidRDefault="00993685">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3175F14" w14:textId="77777777" w:rsidR="00993685" w:rsidRDefault="00993685">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2A73F8F" w14:textId="77777777" w:rsidR="00993685" w:rsidRDefault="00993685">
            <w:pPr>
              <w:jc w:val="right"/>
              <w:rPr>
                <w:color w:val="000000"/>
                <w:sz w:val="20"/>
                <w:szCs w:val="20"/>
              </w:rPr>
            </w:pPr>
            <w:r>
              <w:rPr>
                <w:color w:val="000000"/>
                <w:sz w:val="20"/>
                <w:szCs w:val="20"/>
              </w:rPr>
              <w:t>0.020</w:t>
            </w:r>
          </w:p>
        </w:tc>
        <w:tc>
          <w:tcPr>
            <w:tcW w:w="864" w:type="dxa"/>
            <w:tcBorders>
              <w:top w:val="nil"/>
              <w:left w:val="nil"/>
              <w:bottom w:val="single" w:sz="4" w:space="0" w:color="auto"/>
              <w:right w:val="nil"/>
            </w:tcBorders>
            <w:shd w:val="clear" w:color="auto" w:fill="auto"/>
            <w:noWrap/>
            <w:vAlign w:val="bottom"/>
            <w:hideMark/>
          </w:tcPr>
          <w:p w14:paraId="553E1AC1" w14:textId="77777777" w:rsidR="00993685" w:rsidRDefault="00993685">
            <w:pPr>
              <w:jc w:val="right"/>
              <w:rPr>
                <w:color w:val="000000"/>
                <w:sz w:val="20"/>
                <w:szCs w:val="20"/>
              </w:rPr>
            </w:pPr>
            <w:r>
              <w:rPr>
                <w:color w:val="000000"/>
                <w:sz w:val="20"/>
                <w:szCs w:val="20"/>
              </w:rPr>
              <w:t>0.739</w:t>
            </w:r>
          </w:p>
        </w:tc>
        <w:tc>
          <w:tcPr>
            <w:tcW w:w="864" w:type="dxa"/>
            <w:tcBorders>
              <w:top w:val="nil"/>
              <w:left w:val="nil"/>
              <w:bottom w:val="single" w:sz="4" w:space="0" w:color="auto"/>
              <w:right w:val="nil"/>
            </w:tcBorders>
            <w:shd w:val="clear" w:color="auto" w:fill="auto"/>
            <w:noWrap/>
            <w:vAlign w:val="bottom"/>
            <w:hideMark/>
          </w:tcPr>
          <w:p w14:paraId="4A954BBC"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C873B2B" w14:textId="77777777" w:rsidR="00993685" w:rsidRDefault="00993685">
            <w:pPr>
              <w:jc w:val="right"/>
              <w:rPr>
                <w:color w:val="000000"/>
                <w:sz w:val="20"/>
                <w:szCs w:val="20"/>
              </w:rPr>
            </w:pPr>
            <w:r>
              <w:rPr>
                <w:color w:val="000000"/>
                <w:sz w:val="20"/>
                <w:szCs w:val="20"/>
              </w:rPr>
              <w:t>0.045</w:t>
            </w:r>
          </w:p>
        </w:tc>
        <w:tc>
          <w:tcPr>
            <w:tcW w:w="864" w:type="dxa"/>
            <w:tcBorders>
              <w:top w:val="nil"/>
              <w:left w:val="nil"/>
              <w:bottom w:val="single" w:sz="4" w:space="0" w:color="auto"/>
              <w:right w:val="nil"/>
            </w:tcBorders>
            <w:shd w:val="clear" w:color="auto" w:fill="auto"/>
            <w:noWrap/>
            <w:vAlign w:val="bottom"/>
            <w:hideMark/>
          </w:tcPr>
          <w:p w14:paraId="4AF5D296" w14:textId="77777777" w:rsidR="00993685" w:rsidRDefault="00993685">
            <w:pPr>
              <w:jc w:val="right"/>
              <w:rPr>
                <w:color w:val="000000"/>
                <w:sz w:val="20"/>
                <w:szCs w:val="20"/>
              </w:rPr>
            </w:pPr>
            <w:r>
              <w:rPr>
                <w:color w:val="000000"/>
                <w:sz w:val="20"/>
                <w:szCs w:val="20"/>
              </w:rPr>
              <w:t>0.138</w:t>
            </w:r>
          </w:p>
        </w:tc>
        <w:tc>
          <w:tcPr>
            <w:tcW w:w="864" w:type="dxa"/>
            <w:tcBorders>
              <w:top w:val="nil"/>
              <w:left w:val="nil"/>
              <w:bottom w:val="single" w:sz="4" w:space="0" w:color="auto"/>
              <w:right w:val="nil"/>
            </w:tcBorders>
            <w:shd w:val="clear" w:color="auto" w:fill="auto"/>
            <w:noWrap/>
            <w:vAlign w:val="bottom"/>
            <w:hideMark/>
          </w:tcPr>
          <w:p w14:paraId="539CA8E5" w14:textId="77777777" w:rsidR="00993685" w:rsidRDefault="00993685">
            <w:pPr>
              <w:jc w:val="right"/>
              <w:rPr>
                <w:color w:val="000000"/>
                <w:sz w:val="20"/>
                <w:szCs w:val="20"/>
              </w:rPr>
            </w:pPr>
            <w:r>
              <w:rPr>
                <w:color w:val="000000"/>
                <w:sz w:val="20"/>
                <w:szCs w:val="20"/>
              </w:rPr>
              <w:t>0.002</w:t>
            </w:r>
          </w:p>
        </w:tc>
      </w:tr>
      <w:tr w:rsidR="00993685" w14:paraId="358BC7F0" w14:textId="77777777" w:rsidTr="00993685">
        <w:trPr>
          <w:trHeight w:val="320"/>
        </w:trPr>
        <w:tc>
          <w:tcPr>
            <w:tcW w:w="1152" w:type="dxa"/>
            <w:tcBorders>
              <w:top w:val="nil"/>
              <w:left w:val="nil"/>
              <w:bottom w:val="nil"/>
              <w:right w:val="nil"/>
            </w:tcBorders>
            <w:shd w:val="clear" w:color="auto" w:fill="auto"/>
            <w:noWrap/>
            <w:vAlign w:val="bottom"/>
            <w:hideMark/>
          </w:tcPr>
          <w:p w14:paraId="23E4F133" w14:textId="77777777" w:rsidR="00993685" w:rsidRDefault="00993685">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2105E7DA" w14:textId="77777777" w:rsidR="00993685" w:rsidRDefault="00993685">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A9C641E"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CB9CF81" w14:textId="77777777" w:rsidR="00993685" w:rsidRDefault="00993685">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5F5A6466"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9CA8369" w14:textId="77777777" w:rsidR="00993685" w:rsidRDefault="00993685">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59200B44" w14:textId="77777777" w:rsidR="00993685" w:rsidRDefault="00993685">
            <w:pPr>
              <w:jc w:val="right"/>
              <w:rPr>
                <w:color w:val="000000"/>
                <w:sz w:val="20"/>
                <w:szCs w:val="20"/>
              </w:rPr>
            </w:pPr>
            <w:r>
              <w:rPr>
                <w:color w:val="000000"/>
                <w:sz w:val="20"/>
                <w:szCs w:val="20"/>
              </w:rPr>
              <w:t>0.344</w:t>
            </w:r>
          </w:p>
        </w:tc>
        <w:tc>
          <w:tcPr>
            <w:tcW w:w="864" w:type="dxa"/>
            <w:tcBorders>
              <w:top w:val="nil"/>
              <w:left w:val="nil"/>
              <w:bottom w:val="nil"/>
              <w:right w:val="nil"/>
            </w:tcBorders>
            <w:shd w:val="clear" w:color="auto" w:fill="auto"/>
            <w:noWrap/>
            <w:vAlign w:val="bottom"/>
            <w:hideMark/>
          </w:tcPr>
          <w:p w14:paraId="3D5D0B6A" w14:textId="77777777" w:rsidR="00993685" w:rsidRDefault="00993685">
            <w:pPr>
              <w:jc w:val="right"/>
              <w:rPr>
                <w:color w:val="000000"/>
                <w:sz w:val="20"/>
                <w:szCs w:val="20"/>
              </w:rPr>
            </w:pPr>
            <w:r>
              <w:rPr>
                <w:color w:val="000000"/>
                <w:sz w:val="20"/>
                <w:szCs w:val="20"/>
              </w:rPr>
              <w:t>0.002</w:t>
            </w:r>
          </w:p>
        </w:tc>
      </w:tr>
      <w:tr w:rsidR="00993685" w14:paraId="21B020C4" w14:textId="77777777" w:rsidTr="00993685">
        <w:trPr>
          <w:trHeight w:val="320"/>
        </w:trPr>
        <w:tc>
          <w:tcPr>
            <w:tcW w:w="1152" w:type="dxa"/>
            <w:tcBorders>
              <w:top w:val="nil"/>
              <w:left w:val="nil"/>
              <w:bottom w:val="nil"/>
              <w:right w:val="nil"/>
            </w:tcBorders>
            <w:shd w:val="clear" w:color="auto" w:fill="auto"/>
            <w:noWrap/>
            <w:vAlign w:val="bottom"/>
            <w:hideMark/>
          </w:tcPr>
          <w:p w14:paraId="4E820147"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77D862" w14:textId="77777777" w:rsidR="00993685" w:rsidRDefault="00993685">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CB50E67" w14:textId="77777777" w:rsidR="00993685" w:rsidRDefault="00993685">
            <w:pPr>
              <w:jc w:val="right"/>
              <w:rPr>
                <w:b/>
                <w:bCs/>
                <w:color w:val="000000"/>
                <w:sz w:val="20"/>
                <w:szCs w:val="20"/>
              </w:rPr>
            </w:pPr>
            <w:r>
              <w:rPr>
                <w:b/>
                <w:bCs/>
                <w:color w:val="000000"/>
                <w:sz w:val="20"/>
                <w:szCs w:val="20"/>
              </w:rPr>
              <w:t>0.069</w:t>
            </w:r>
          </w:p>
        </w:tc>
        <w:tc>
          <w:tcPr>
            <w:tcW w:w="864" w:type="dxa"/>
            <w:tcBorders>
              <w:top w:val="nil"/>
              <w:left w:val="nil"/>
              <w:bottom w:val="nil"/>
              <w:right w:val="nil"/>
            </w:tcBorders>
            <w:shd w:val="clear" w:color="auto" w:fill="auto"/>
            <w:noWrap/>
            <w:vAlign w:val="bottom"/>
            <w:hideMark/>
          </w:tcPr>
          <w:p w14:paraId="58F66759" w14:textId="77777777" w:rsidR="00993685" w:rsidRDefault="00993685">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7FE7AAAD" w14:textId="77777777" w:rsidR="00993685" w:rsidRDefault="00993685">
            <w:pPr>
              <w:jc w:val="right"/>
              <w:rPr>
                <w:b/>
                <w:bCs/>
                <w:color w:val="000000"/>
                <w:sz w:val="20"/>
                <w:szCs w:val="20"/>
              </w:rPr>
            </w:pPr>
            <w:r>
              <w:rPr>
                <w:b/>
                <w:bCs/>
                <w:color w:val="000000"/>
                <w:sz w:val="20"/>
                <w:szCs w:val="20"/>
              </w:rPr>
              <w:t>0.005</w:t>
            </w:r>
          </w:p>
        </w:tc>
        <w:tc>
          <w:tcPr>
            <w:tcW w:w="864" w:type="dxa"/>
            <w:tcBorders>
              <w:top w:val="nil"/>
              <w:left w:val="nil"/>
              <w:bottom w:val="nil"/>
              <w:right w:val="nil"/>
            </w:tcBorders>
            <w:shd w:val="clear" w:color="auto" w:fill="auto"/>
            <w:noWrap/>
            <w:vAlign w:val="bottom"/>
            <w:hideMark/>
          </w:tcPr>
          <w:p w14:paraId="758BBDE2" w14:textId="77777777" w:rsidR="00993685" w:rsidRDefault="00993685">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0D007DDE" w14:textId="77777777" w:rsidR="00993685" w:rsidRDefault="00993685">
            <w:pPr>
              <w:jc w:val="right"/>
              <w:rPr>
                <w:color w:val="000000"/>
                <w:sz w:val="20"/>
                <w:szCs w:val="20"/>
              </w:rPr>
            </w:pPr>
            <w:r>
              <w:rPr>
                <w:color w:val="000000"/>
                <w:sz w:val="20"/>
                <w:szCs w:val="20"/>
              </w:rPr>
              <w:t>0.344</w:t>
            </w:r>
          </w:p>
        </w:tc>
        <w:tc>
          <w:tcPr>
            <w:tcW w:w="864" w:type="dxa"/>
            <w:tcBorders>
              <w:top w:val="nil"/>
              <w:left w:val="nil"/>
              <w:bottom w:val="nil"/>
              <w:right w:val="nil"/>
            </w:tcBorders>
            <w:shd w:val="clear" w:color="auto" w:fill="auto"/>
            <w:noWrap/>
            <w:vAlign w:val="bottom"/>
            <w:hideMark/>
          </w:tcPr>
          <w:p w14:paraId="66E95D60" w14:textId="77777777" w:rsidR="00993685" w:rsidRDefault="00993685">
            <w:pPr>
              <w:jc w:val="right"/>
              <w:rPr>
                <w:color w:val="000000"/>
                <w:sz w:val="20"/>
                <w:szCs w:val="20"/>
              </w:rPr>
            </w:pPr>
            <w:r>
              <w:rPr>
                <w:color w:val="000000"/>
                <w:sz w:val="20"/>
                <w:szCs w:val="20"/>
              </w:rPr>
              <w:t>0.001</w:t>
            </w:r>
          </w:p>
        </w:tc>
      </w:tr>
      <w:tr w:rsidR="00993685" w14:paraId="7FF14DB3" w14:textId="77777777" w:rsidTr="00993685">
        <w:trPr>
          <w:trHeight w:val="320"/>
        </w:trPr>
        <w:tc>
          <w:tcPr>
            <w:tcW w:w="1152" w:type="dxa"/>
            <w:tcBorders>
              <w:top w:val="nil"/>
              <w:left w:val="nil"/>
              <w:bottom w:val="nil"/>
              <w:right w:val="nil"/>
            </w:tcBorders>
            <w:shd w:val="clear" w:color="auto" w:fill="auto"/>
            <w:noWrap/>
            <w:vAlign w:val="bottom"/>
            <w:hideMark/>
          </w:tcPr>
          <w:p w14:paraId="7CE5C076"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5157717" w14:textId="77777777" w:rsidR="00993685" w:rsidRDefault="00993685">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3866985" w14:textId="77777777" w:rsidR="00993685" w:rsidRDefault="00993685">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068B0E0E" w14:textId="77777777" w:rsidR="00993685" w:rsidRDefault="00993685">
            <w:pPr>
              <w:jc w:val="right"/>
              <w:rPr>
                <w:color w:val="000000"/>
                <w:sz w:val="20"/>
                <w:szCs w:val="20"/>
              </w:rPr>
            </w:pPr>
            <w:r>
              <w:rPr>
                <w:color w:val="000000"/>
                <w:sz w:val="20"/>
                <w:szCs w:val="20"/>
              </w:rPr>
              <w:t>0.264</w:t>
            </w:r>
          </w:p>
        </w:tc>
        <w:tc>
          <w:tcPr>
            <w:tcW w:w="864" w:type="dxa"/>
            <w:tcBorders>
              <w:top w:val="nil"/>
              <w:left w:val="nil"/>
              <w:bottom w:val="nil"/>
              <w:right w:val="nil"/>
            </w:tcBorders>
            <w:shd w:val="clear" w:color="auto" w:fill="auto"/>
            <w:noWrap/>
            <w:vAlign w:val="bottom"/>
            <w:hideMark/>
          </w:tcPr>
          <w:p w14:paraId="1FA6D095" w14:textId="77777777" w:rsidR="00993685" w:rsidRDefault="00993685">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D9C9F05" w14:textId="77777777" w:rsidR="00993685" w:rsidRDefault="00993685">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5C8D7A2D" w14:textId="77777777" w:rsidR="00993685" w:rsidRDefault="00993685">
            <w:pPr>
              <w:jc w:val="right"/>
              <w:rPr>
                <w:color w:val="000000"/>
                <w:sz w:val="20"/>
                <w:szCs w:val="20"/>
              </w:rPr>
            </w:pPr>
            <w:r>
              <w:rPr>
                <w:color w:val="000000"/>
                <w:sz w:val="20"/>
                <w:szCs w:val="20"/>
              </w:rPr>
              <w:t>0.679</w:t>
            </w:r>
          </w:p>
        </w:tc>
        <w:tc>
          <w:tcPr>
            <w:tcW w:w="864" w:type="dxa"/>
            <w:tcBorders>
              <w:top w:val="nil"/>
              <w:left w:val="nil"/>
              <w:bottom w:val="nil"/>
              <w:right w:val="nil"/>
            </w:tcBorders>
            <w:shd w:val="clear" w:color="auto" w:fill="auto"/>
            <w:noWrap/>
            <w:vAlign w:val="bottom"/>
            <w:hideMark/>
          </w:tcPr>
          <w:p w14:paraId="3A94F7C0" w14:textId="77777777" w:rsidR="00993685" w:rsidRDefault="00993685">
            <w:pPr>
              <w:jc w:val="right"/>
              <w:rPr>
                <w:color w:val="000000"/>
                <w:sz w:val="20"/>
                <w:szCs w:val="20"/>
              </w:rPr>
            </w:pPr>
            <w:r>
              <w:rPr>
                <w:color w:val="000000"/>
                <w:sz w:val="20"/>
                <w:szCs w:val="20"/>
              </w:rPr>
              <w:t>0.000</w:t>
            </w:r>
          </w:p>
        </w:tc>
      </w:tr>
      <w:tr w:rsidR="00993685" w14:paraId="7F5D8DA9" w14:textId="77777777" w:rsidTr="00993685">
        <w:trPr>
          <w:trHeight w:val="320"/>
        </w:trPr>
        <w:tc>
          <w:tcPr>
            <w:tcW w:w="1152" w:type="dxa"/>
            <w:tcBorders>
              <w:top w:val="nil"/>
              <w:left w:val="nil"/>
              <w:bottom w:val="nil"/>
              <w:right w:val="nil"/>
            </w:tcBorders>
            <w:shd w:val="clear" w:color="auto" w:fill="auto"/>
            <w:noWrap/>
            <w:vAlign w:val="bottom"/>
            <w:hideMark/>
          </w:tcPr>
          <w:p w14:paraId="673EBAC5"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900363" w14:textId="77777777" w:rsidR="00993685" w:rsidRDefault="00993685">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BDED56A" w14:textId="77777777" w:rsidR="00993685" w:rsidRDefault="00993685">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5EAE2570" w14:textId="77777777" w:rsidR="00993685" w:rsidRDefault="00993685">
            <w:pPr>
              <w:jc w:val="right"/>
              <w:rPr>
                <w:color w:val="000000"/>
                <w:sz w:val="20"/>
                <w:szCs w:val="20"/>
              </w:rPr>
            </w:pPr>
            <w:r>
              <w:rPr>
                <w:color w:val="000000"/>
                <w:sz w:val="20"/>
                <w:szCs w:val="20"/>
              </w:rPr>
              <w:t>0.395</w:t>
            </w:r>
          </w:p>
        </w:tc>
        <w:tc>
          <w:tcPr>
            <w:tcW w:w="864" w:type="dxa"/>
            <w:tcBorders>
              <w:top w:val="nil"/>
              <w:left w:val="nil"/>
              <w:bottom w:val="nil"/>
              <w:right w:val="nil"/>
            </w:tcBorders>
            <w:shd w:val="clear" w:color="auto" w:fill="auto"/>
            <w:noWrap/>
            <w:vAlign w:val="bottom"/>
            <w:hideMark/>
          </w:tcPr>
          <w:p w14:paraId="59DF231C"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052D8D0" w14:textId="77777777" w:rsidR="00993685" w:rsidRDefault="00993685">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65549620" w14:textId="77777777" w:rsidR="00993685" w:rsidRDefault="00993685">
            <w:pPr>
              <w:jc w:val="right"/>
              <w:rPr>
                <w:color w:val="000000"/>
                <w:sz w:val="20"/>
                <w:szCs w:val="20"/>
              </w:rPr>
            </w:pPr>
            <w:r>
              <w:rPr>
                <w:color w:val="000000"/>
                <w:sz w:val="20"/>
                <w:szCs w:val="20"/>
              </w:rPr>
              <w:t>0.344</w:t>
            </w:r>
          </w:p>
        </w:tc>
        <w:tc>
          <w:tcPr>
            <w:tcW w:w="864" w:type="dxa"/>
            <w:tcBorders>
              <w:top w:val="nil"/>
              <w:left w:val="nil"/>
              <w:bottom w:val="nil"/>
              <w:right w:val="nil"/>
            </w:tcBorders>
            <w:shd w:val="clear" w:color="auto" w:fill="auto"/>
            <w:noWrap/>
            <w:vAlign w:val="bottom"/>
            <w:hideMark/>
          </w:tcPr>
          <w:p w14:paraId="79103F69" w14:textId="77777777" w:rsidR="00993685" w:rsidRDefault="00993685">
            <w:pPr>
              <w:jc w:val="right"/>
              <w:rPr>
                <w:color w:val="000000"/>
                <w:sz w:val="20"/>
                <w:szCs w:val="20"/>
              </w:rPr>
            </w:pPr>
            <w:r>
              <w:rPr>
                <w:color w:val="000000"/>
                <w:sz w:val="20"/>
                <w:szCs w:val="20"/>
              </w:rPr>
              <w:t>0.001</w:t>
            </w:r>
          </w:p>
        </w:tc>
      </w:tr>
      <w:tr w:rsidR="00993685" w14:paraId="079D9379" w14:textId="77777777" w:rsidTr="00993685">
        <w:trPr>
          <w:trHeight w:val="320"/>
        </w:trPr>
        <w:tc>
          <w:tcPr>
            <w:tcW w:w="1152" w:type="dxa"/>
            <w:tcBorders>
              <w:top w:val="nil"/>
              <w:left w:val="nil"/>
              <w:bottom w:val="nil"/>
              <w:right w:val="nil"/>
            </w:tcBorders>
            <w:shd w:val="clear" w:color="auto" w:fill="auto"/>
            <w:noWrap/>
            <w:vAlign w:val="bottom"/>
            <w:hideMark/>
          </w:tcPr>
          <w:p w14:paraId="4310899A"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7BA080" w14:textId="77777777" w:rsidR="00993685" w:rsidRDefault="00993685">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DC93A3F" w14:textId="77777777" w:rsidR="00993685" w:rsidRDefault="00993685">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0BCC6486" w14:textId="77777777" w:rsidR="00993685" w:rsidRDefault="00993685">
            <w:pPr>
              <w:jc w:val="right"/>
              <w:rPr>
                <w:color w:val="000000"/>
                <w:sz w:val="20"/>
                <w:szCs w:val="20"/>
              </w:rPr>
            </w:pPr>
            <w:r>
              <w:rPr>
                <w:color w:val="000000"/>
                <w:sz w:val="20"/>
                <w:szCs w:val="20"/>
              </w:rPr>
              <w:t>0.886</w:t>
            </w:r>
          </w:p>
        </w:tc>
        <w:tc>
          <w:tcPr>
            <w:tcW w:w="864" w:type="dxa"/>
            <w:tcBorders>
              <w:top w:val="nil"/>
              <w:left w:val="nil"/>
              <w:bottom w:val="nil"/>
              <w:right w:val="nil"/>
            </w:tcBorders>
            <w:shd w:val="clear" w:color="auto" w:fill="auto"/>
            <w:noWrap/>
            <w:vAlign w:val="bottom"/>
            <w:hideMark/>
          </w:tcPr>
          <w:p w14:paraId="3B390FCB"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71FB18B" w14:textId="77777777" w:rsidR="00993685" w:rsidRDefault="00993685">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35EAF052" w14:textId="77777777" w:rsidR="00993685" w:rsidRDefault="00993685">
            <w:pPr>
              <w:jc w:val="right"/>
              <w:rPr>
                <w:color w:val="000000"/>
                <w:sz w:val="20"/>
                <w:szCs w:val="20"/>
              </w:rPr>
            </w:pPr>
            <w:r>
              <w:rPr>
                <w:color w:val="000000"/>
                <w:sz w:val="20"/>
                <w:szCs w:val="20"/>
              </w:rPr>
              <w:t>0.679</w:t>
            </w:r>
          </w:p>
        </w:tc>
        <w:tc>
          <w:tcPr>
            <w:tcW w:w="864" w:type="dxa"/>
            <w:tcBorders>
              <w:top w:val="nil"/>
              <w:left w:val="nil"/>
              <w:bottom w:val="nil"/>
              <w:right w:val="nil"/>
            </w:tcBorders>
            <w:shd w:val="clear" w:color="auto" w:fill="auto"/>
            <w:noWrap/>
            <w:vAlign w:val="bottom"/>
            <w:hideMark/>
          </w:tcPr>
          <w:p w14:paraId="111256EE" w14:textId="77777777" w:rsidR="00993685" w:rsidRDefault="00993685">
            <w:pPr>
              <w:jc w:val="right"/>
              <w:rPr>
                <w:color w:val="000000"/>
                <w:sz w:val="20"/>
                <w:szCs w:val="20"/>
              </w:rPr>
            </w:pPr>
            <w:r>
              <w:rPr>
                <w:color w:val="000000"/>
                <w:sz w:val="20"/>
                <w:szCs w:val="20"/>
              </w:rPr>
              <w:t>0.000</w:t>
            </w:r>
          </w:p>
        </w:tc>
      </w:tr>
      <w:tr w:rsidR="00993685" w14:paraId="4B3665E1" w14:textId="77777777" w:rsidTr="00993685">
        <w:trPr>
          <w:trHeight w:val="320"/>
        </w:trPr>
        <w:tc>
          <w:tcPr>
            <w:tcW w:w="1152" w:type="dxa"/>
            <w:tcBorders>
              <w:top w:val="nil"/>
              <w:left w:val="nil"/>
              <w:bottom w:val="nil"/>
              <w:right w:val="nil"/>
            </w:tcBorders>
            <w:shd w:val="clear" w:color="auto" w:fill="auto"/>
            <w:noWrap/>
            <w:vAlign w:val="bottom"/>
            <w:hideMark/>
          </w:tcPr>
          <w:p w14:paraId="432F4679"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AF6EAC" w14:textId="77777777" w:rsidR="00993685" w:rsidRDefault="00993685">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035605F" w14:textId="77777777" w:rsidR="00993685" w:rsidRDefault="00993685">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4ABF1CF0" w14:textId="77777777" w:rsidR="00993685" w:rsidRDefault="00993685">
            <w:pPr>
              <w:jc w:val="right"/>
              <w:rPr>
                <w:color w:val="000000"/>
                <w:sz w:val="20"/>
                <w:szCs w:val="20"/>
              </w:rPr>
            </w:pPr>
            <w:r>
              <w:rPr>
                <w:color w:val="000000"/>
                <w:sz w:val="20"/>
                <w:szCs w:val="20"/>
              </w:rPr>
              <w:t>0.886</w:t>
            </w:r>
          </w:p>
        </w:tc>
        <w:tc>
          <w:tcPr>
            <w:tcW w:w="864" w:type="dxa"/>
            <w:tcBorders>
              <w:top w:val="nil"/>
              <w:left w:val="nil"/>
              <w:bottom w:val="nil"/>
              <w:right w:val="nil"/>
            </w:tcBorders>
            <w:shd w:val="clear" w:color="auto" w:fill="auto"/>
            <w:noWrap/>
            <w:vAlign w:val="bottom"/>
            <w:hideMark/>
          </w:tcPr>
          <w:p w14:paraId="20C609EB"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87730F8" w14:textId="77777777" w:rsidR="00993685" w:rsidRDefault="00993685">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3F9E8790" w14:textId="77777777" w:rsidR="00993685" w:rsidRDefault="00993685">
            <w:pPr>
              <w:jc w:val="right"/>
              <w:rPr>
                <w:color w:val="000000"/>
                <w:sz w:val="20"/>
                <w:szCs w:val="20"/>
              </w:rPr>
            </w:pPr>
            <w:r>
              <w:rPr>
                <w:color w:val="000000"/>
                <w:sz w:val="20"/>
                <w:szCs w:val="20"/>
              </w:rPr>
              <w:t>0.344</w:t>
            </w:r>
          </w:p>
        </w:tc>
        <w:tc>
          <w:tcPr>
            <w:tcW w:w="864" w:type="dxa"/>
            <w:tcBorders>
              <w:top w:val="nil"/>
              <w:left w:val="nil"/>
              <w:bottom w:val="nil"/>
              <w:right w:val="nil"/>
            </w:tcBorders>
            <w:shd w:val="clear" w:color="auto" w:fill="auto"/>
            <w:noWrap/>
            <w:vAlign w:val="bottom"/>
            <w:hideMark/>
          </w:tcPr>
          <w:p w14:paraId="3FC3879D" w14:textId="77777777" w:rsidR="00993685" w:rsidRDefault="00993685">
            <w:pPr>
              <w:jc w:val="right"/>
              <w:rPr>
                <w:color w:val="000000"/>
                <w:sz w:val="20"/>
                <w:szCs w:val="20"/>
              </w:rPr>
            </w:pPr>
            <w:r>
              <w:rPr>
                <w:color w:val="000000"/>
                <w:sz w:val="20"/>
                <w:szCs w:val="20"/>
              </w:rPr>
              <w:t>0.001</w:t>
            </w:r>
          </w:p>
        </w:tc>
      </w:tr>
      <w:tr w:rsidR="00993685" w14:paraId="7B325A9B" w14:textId="77777777" w:rsidTr="00993685">
        <w:trPr>
          <w:trHeight w:val="320"/>
        </w:trPr>
        <w:tc>
          <w:tcPr>
            <w:tcW w:w="1152" w:type="dxa"/>
            <w:tcBorders>
              <w:top w:val="nil"/>
              <w:left w:val="nil"/>
              <w:bottom w:val="nil"/>
              <w:right w:val="nil"/>
            </w:tcBorders>
            <w:shd w:val="clear" w:color="auto" w:fill="auto"/>
            <w:noWrap/>
            <w:vAlign w:val="bottom"/>
            <w:hideMark/>
          </w:tcPr>
          <w:p w14:paraId="00EF4C66"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752887E" w14:textId="77777777" w:rsidR="00993685" w:rsidRDefault="00993685">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44B46C2" w14:textId="77777777" w:rsidR="00993685" w:rsidRDefault="00993685">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46E63E98" w14:textId="77777777" w:rsidR="00993685" w:rsidRDefault="00993685">
            <w:pPr>
              <w:jc w:val="right"/>
              <w:rPr>
                <w:color w:val="000000"/>
                <w:sz w:val="20"/>
                <w:szCs w:val="20"/>
              </w:rPr>
            </w:pPr>
            <w:r>
              <w:rPr>
                <w:color w:val="000000"/>
                <w:sz w:val="20"/>
                <w:szCs w:val="20"/>
              </w:rPr>
              <w:t>0.886</w:t>
            </w:r>
          </w:p>
        </w:tc>
        <w:tc>
          <w:tcPr>
            <w:tcW w:w="864" w:type="dxa"/>
            <w:tcBorders>
              <w:top w:val="nil"/>
              <w:left w:val="nil"/>
              <w:bottom w:val="nil"/>
              <w:right w:val="nil"/>
            </w:tcBorders>
            <w:shd w:val="clear" w:color="auto" w:fill="auto"/>
            <w:noWrap/>
            <w:vAlign w:val="bottom"/>
            <w:hideMark/>
          </w:tcPr>
          <w:p w14:paraId="09FC16F4"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70937EE" w14:textId="77777777" w:rsidR="00993685" w:rsidRDefault="00993685">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27B35C29" w14:textId="77777777" w:rsidR="00993685" w:rsidRDefault="00993685">
            <w:pPr>
              <w:jc w:val="right"/>
              <w:rPr>
                <w:color w:val="000000"/>
                <w:sz w:val="20"/>
                <w:szCs w:val="20"/>
              </w:rPr>
            </w:pPr>
            <w:r>
              <w:rPr>
                <w:color w:val="000000"/>
                <w:sz w:val="20"/>
                <w:szCs w:val="20"/>
              </w:rPr>
              <w:t>0.371</w:t>
            </w:r>
          </w:p>
        </w:tc>
        <w:tc>
          <w:tcPr>
            <w:tcW w:w="864" w:type="dxa"/>
            <w:tcBorders>
              <w:top w:val="nil"/>
              <w:left w:val="nil"/>
              <w:bottom w:val="nil"/>
              <w:right w:val="nil"/>
            </w:tcBorders>
            <w:shd w:val="clear" w:color="auto" w:fill="auto"/>
            <w:noWrap/>
            <w:vAlign w:val="bottom"/>
            <w:hideMark/>
          </w:tcPr>
          <w:p w14:paraId="26E35B4D" w14:textId="77777777" w:rsidR="00993685" w:rsidRDefault="00993685">
            <w:pPr>
              <w:jc w:val="right"/>
              <w:rPr>
                <w:color w:val="000000"/>
                <w:sz w:val="20"/>
                <w:szCs w:val="20"/>
              </w:rPr>
            </w:pPr>
            <w:r>
              <w:rPr>
                <w:color w:val="000000"/>
                <w:sz w:val="20"/>
                <w:szCs w:val="20"/>
              </w:rPr>
              <w:t>0.001</w:t>
            </w:r>
          </w:p>
        </w:tc>
      </w:tr>
      <w:tr w:rsidR="00993685" w14:paraId="1FDEFD7F" w14:textId="77777777" w:rsidTr="00993685">
        <w:trPr>
          <w:trHeight w:val="320"/>
        </w:trPr>
        <w:tc>
          <w:tcPr>
            <w:tcW w:w="1152" w:type="dxa"/>
            <w:tcBorders>
              <w:top w:val="nil"/>
              <w:left w:val="nil"/>
              <w:bottom w:val="single" w:sz="4" w:space="0" w:color="auto"/>
              <w:right w:val="nil"/>
            </w:tcBorders>
            <w:shd w:val="clear" w:color="auto" w:fill="auto"/>
            <w:noWrap/>
            <w:vAlign w:val="bottom"/>
            <w:hideMark/>
          </w:tcPr>
          <w:p w14:paraId="55CAF101" w14:textId="77777777" w:rsidR="00993685" w:rsidRDefault="00993685">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58CA793" w14:textId="77777777" w:rsidR="00993685" w:rsidRDefault="00993685">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005A80A" w14:textId="77777777" w:rsidR="00993685" w:rsidRDefault="00993685">
            <w:pPr>
              <w:jc w:val="right"/>
              <w:rPr>
                <w:color w:val="000000"/>
                <w:sz w:val="20"/>
                <w:szCs w:val="20"/>
              </w:rPr>
            </w:pPr>
            <w:r>
              <w:rPr>
                <w:color w:val="000000"/>
                <w:sz w:val="20"/>
                <w:szCs w:val="20"/>
              </w:rPr>
              <w:t>0.017</w:t>
            </w:r>
          </w:p>
        </w:tc>
        <w:tc>
          <w:tcPr>
            <w:tcW w:w="864" w:type="dxa"/>
            <w:tcBorders>
              <w:top w:val="nil"/>
              <w:left w:val="nil"/>
              <w:bottom w:val="single" w:sz="4" w:space="0" w:color="auto"/>
              <w:right w:val="nil"/>
            </w:tcBorders>
            <w:shd w:val="clear" w:color="auto" w:fill="auto"/>
            <w:noWrap/>
            <w:vAlign w:val="bottom"/>
            <w:hideMark/>
          </w:tcPr>
          <w:p w14:paraId="540C6837" w14:textId="77777777" w:rsidR="00993685" w:rsidRDefault="00993685">
            <w:pPr>
              <w:jc w:val="right"/>
              <w:rPr>
                <w:color w:val="000000"/>
                <w:sz w:val="20"/>
                <w:szCs w:val="20"/>
              </w:rPr>
            </w:pPr>
            <w:r>
              <w:rPr>
                <w:color w:val="000000"/>
                <w:sz w:val="20"/>
                <w:szCs w:val="20"/>
              </w:rPr>
              <w:t>0.810</w:t>
            </w:r>
          </w:p>
        </w:tc>
        <w:tc>
          <w:tcPr>
            <w:tcW w:w="864" w:type="dxa"/>
            <w:tcBorders>
              <w:top w:val="nil"/>
              <w:left w:val="nil"/>
              <w:bottom w:val="single" w:sz="4" w:space="0" w:color="auto"/>
              <w:right w:val="nil"/>
            </w:tcBorders>
            <w:shd w:val="clear" w:color="auto" w:fill="auto"/>
            <w:noWrap/>
            <w:vAlign w:val="bottom"/>
            <w:hideMark/>
          </w:tcPr>
          <w:p w14:paraId="7B06E4FC"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28BA409" w14:textId="77777777" w:rsidR="00993685" w:rsidRDefault="00993685">
            <w:pPr>
              <w:jc w:val="right"/>
              <w:rPr>
                <w:color w:val="000000"/>
                <w:sz w:val="20"/>
                <w:szCs w:val="20"/>
              </w:rPr>
            </w:pPr>
            <w:r>
              <w:rPr>
                <w:color w:val="000000"/>
                <w:sz w:val="20"/>
                <w:szCs w:val="20"/>
              </w:rPr>
              <w:t>0.019</w:t>
            </w:r>
          </w:p>
        </w:tc>
        <w:tc>
          <w:tcPr>
            <w:tcW w:w="864" w:type="dxa"/>
            <w:tcBorders>
              <w:top w:val="nil"/>
              <w:left w:val="nil"/>
              <w:bottom w:val="single" w:sz="4" w:space="0" w:color="auto"/>
              <w:right w:val="nil"/>
            </w:tcBorders>
            <w:shd w:val="clear" w:color="auto" w:fill="auto"/>
            <w:noWrap/>
            <w:vAlign w:val="bottom"/>
            <w:hideMark/>
          </w:tcPr>
          <w:p w14:paraId="5220DD49" w14:textId="77777777" w:rsidR="00993685" w:rsidRDefault="00993685">
            <w:pPr>
              <w:jc w:val="right"/>
              <w:rPr>
                <w:color w:val="000000"/>
                <w:sz w:val="20"/>
                <w:szCs w:val="20"/>
              </w:rPr>
            </w:pPr>
            <w:r>
              <w:rPr>
                <w:color w:val="000000"/>
                <w:sz w:val="20"/>
                <w:szCs w:val="20"/>
              </w:rPr>
              <w:t>0.583</w:t>
            </w:r>
          </w:p>
        </w:tc>
        <w:tc>
          <w:tcPr>
            <w:tcW w:w="864" w:type="dxa"/>
            <w:tcBorders>
              <w:top w:val="nil"/>
              <w:left w:val="nil"/>
              <w:bottom w:val="single" w:sz="4" w:space="0" w:color="auto"/>
              <w:right w:val="nil"/>
            </w:tcBorders>
            <w:shd w:val="clear" w:color="auto" w:fill="auto"/>
            <w:noWrap/>
            <w:vAlign w:val="bottom"/>
            <w:hideMark/>
          </w:tcPr>
          <w:p w14:paraId="51D62890" w14:textId="77777777" w:rsidR="00993685" w:rsidRDefault="00993685">
            <w:pPr>
              <w:jc w:val="right"/>
              <w:rPr>
                <w:color w:val="000000"/>
                <w:sz w:val="20"/>
                <w:szCs w:val="20"/>
              </w:rPr>
            </w:pPr>
            <w:r>
              <w:rPr>
                <w:color w:val="000000"/>
                <w:sz w:val="20"/>
                <w:szCs w:val="20"/>
              </w:rPr>
              <w:t>0.000</w:t>
            </w:r>
          </w:p>
        </w:tc>
      </w:tr>
      <w:tr w:rsidR="00993685" w14:paraId="3A34F44F" w14:textId="77777777" w:rsidTr="00993685">
        <w:trPr>
          <w:trHeight w:val="320"/>
        </w:trPr>
        <w:tc>
          <w:tcPr>
            <w:tcW w:w="1152" w:type="dxa"/>
            <w:tcBorders>
              <w:top w:val="nil"/>
              <w:left w:val="nil"/>
              <w:bottom w:val="nil"/>
              <w:right w:val="nil"/>
            </w:tcBorders>
            <w:shd w:val="clear" w:color="auto" w:fill="auto"/>
            <w:noWrap/>
            <w:vAlign w:val="bottom"/>
            <w:hideMark/>
          </w:tcPr>
          <w:p w14:paraId="48AFBB2A" w14:textId="77777777" w:rsidR="00993685" w:rsidRDefault="00993685">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18AC25C8" w14:textId="77777777" w:rsidR="00993685" w:rsidRDefault="00993685">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F32363C"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45767B3" w14:textId="77777777" w:rsidR="00993685" w:rsidRDefault="00993685">
            <w:pPr>
              <w:jc w:val="right"/>
              <w:rPr>
                <w:color w:val="000000"/>
                <w:sz w:val="20"/>
                <w:szCs w:val="20"/>
              </w:rPr>
            </w:pPr>
            <w:r>
              <w:rPr>
                <w:color w:val="000000"/>
                <w:sz w:val="20"/>
                <w:szCs w:val="20"/>
              </w:rPr>
              <w:t>0.977</w:t>
            </w:r>
          </w:p>
        </w:tc>
        <w:tc>
          <w:tcPr>
            <w:tcW w:w="864" w:type="dxa"/>
            <w:tcBorders>
              <w:top w:val="nil"/>
              <w:left w:val="nil"/>
              <w:bottom w:val="nil"/>
              <w:right w:val="nil"/>
            </w:tcBorders>
            <w:shd w:val="clear" w:color="auto" w:fill="auto"/>
            <w:noWrap/>
            <w:vAlign w:val="bottom"/>
            <w:hideMark/>
          </w:tcPr>
          <w:p w14:paraId="083217F2"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4CD5132" w14:textId="77777777" w:rsidR="00993685" w:rsidRDefault="00993685">
            <w:pPr>
              <w:jc w:val="right"/>
              <w:rPr>
                <w:color w:val="000000"/>
                <w:sz w:val="20"/>
                <w:szCs w:val="20"/>
              </w:rPr>
            </w:pPr>
            <w:r>
              <w:rPr>
                <w:color w:val="000000"/>
                <w:sz w:val="20"/>
                <w:szCs w:val="20"/>
              </w:rPr>
              <w:t>0.059</w:t>
            </w:r>
          </w:p>
        </w:tc>
        <w:tc>
          <w:tcPr>
            <w:tcW w:w="864" w:type="dxa"/>
            <w:tcBorders>
              <w:top w:val="nil"/>
              <w:left w:val="nil"/>
              <w:bottom w:val="nil"/>
              <w:right w:val="nil"/>
            </w:tcBorders>
            <w:shd w:val="clear" w:color="auto" w:fill="auto"/>
            <w:noWrap/>
            <w:vAlign w:val="bottom"/>
            <w:hideMark/>
          </w:tcPr>
          <w:p w14:paraId="53B09A11" w14:textId="77777777" w:rsidR="00993685" w:rsidRDefault="00993685">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39137324" w14:textId="77777777" w:rsidR="00993685" w:rsidRDefault="00993685">
            <w:pPr>
              <w:jc w:val="right"/>
              <w:rPr>
                <w:color w:val="000000"/>
                <w:sz w:val="20"/>
                <w:szCs w:val="20"/>
              </w:rPr>
            </w:pPr>
            <w:r>
              <w:rPr>
                <w:color w:val="000000"/>
                <w:sz w:val="20"/>
                <w:szCs w:val="20"/>
              </w:rPr>
              <w:t>0.003</w:t>
            </w:r>
          </w:p>
        </w:tc>
      </w:tr>
      <w:tr w:rsidR="00993685" w14:paraId="65C6B97F" w14:textId="77777777" w:rsidTr="00993685">
        <w:trPr>
          <w:trHeight w:val="320"/>
        </w:trPr>
        <w:tc>
          <w:tcPr>
            <w:tcW w:w="1152" w:type="dxa"/>
            <w:tcBorders>
              <w:top w:val="nil"/>
              <w:left w:val="nil"/>
              <w:bottom w:val="nil"/>
              <w:right w:val="nil"/>
            </w:tcBorders>
            <w:shd w:val="clear" w:color="auto" w:fill="auto"/>
            <w:noWrap/>
            <w:vAlign w:val="bottom"/>
            <w:hideMark/>
          </w:tcPr>
          <w:p w14:paraId="1C8D5870"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5867D14" w14:textId="77777777" w:rsidR="00993685" w:rsidRDefault="00993685">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379518A" w14:textId="77777777" w:rsidR="00993685" w:rsidRDefault="00993685">
            <w:pPr>
              <w:jc w:val="right"/>
              <w:rPr>
                <w:b/>
                <w:bCs/>
                <w:color w:val="000000"/>
                <w:sz w:val="20"/>
                <w:szCs w:val="20"/>
              </w:rPr>
            </w:pPr>
            <w:r>
              <w:rPr>
                <w:b/>
                <w:bCs/>
                <w:color w:val="000000"/>
                <w:sz w:val="20"/>
                <w:szCs w:val="20"/>
              </w:rPr>
              <w:t>0.059</w:t>
            </w:r>
          </w:p>
        </w:tc>
        <w:tc>
          <w:tcPr>
            <w:tcW w:w="864" w:type="dxa"/>
            <w:tcBorders>
              <w:top w:val="nil"/>
              <w:left w:val="nil"/>
              <w:bottom w:val="nil"/>
              <w:right w:val="nil"/>
            </w:tcBorders>
            <w:shd w:val="clear" w:color="auto" w:fill="auto"/>
            <w:noWrap/>
            <w:vAlign w:val="bottom"/>
            <w:hideMark/>
          </w:tcPr>
          <w:p w14:paraId="2039FCEB" w14:textId="77777777" w:rsidR="00993685" w:rsidRDefault="00993685">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6BA8786B" w14:textId="77777777" w:rsidR="00993685" w:rsidRDefault="00993685">
            <w:pPr>
              <w:jc w:val="right"/>
              <w:rPr>
                <w:b/>
                <w:bCs/>
                <w:color w:val="000000"/>
                <w:sz w:val="20"/>
                <w:szCs w:val="20"/>
              </w:rPr>
            </w:pPr>
            <w:r>
              <w:rPr>
                <w:b/>
                <w:bCs/>
                <w:color w:val="000000"/>
                <w:sz w:val="20"/>
                <w:szCs w:val="20"/>
              </w:rPr>
              <w:t>0.003</w:t>
            </w:r>
          </w:p>
        </w:tc>
        <w:tc>
          <w:tcPr>
            <w:tcW w:w="864" w:type="dxa"/>
            <w:tcBorders>
              <w:top w:val="nil"/>
              <w:left w:val="nil"/>
              <w:bottom w:val="nil"/>
              <w:right w:val="nil"/>
            </w:tcBorders>
            <w:shd w:val="clear" w:color="auto" w:fill="auto"/>
            <w:noWrap/>
            <w:vAlign w:val="bottom"/>
            <w:hideMark/>
          </w:tcPr>
          <w:p w14:paraId="392091CA" w14:textId="77777777" w:rsidR="00993685" w:rsidRDefault="00993685">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3185C208" w14:textId="77777777" w:rsidR="00993685" w:rsidRDefault="00993685">
            <w:pPr>
              <w:jc w:val="right"/>
              <w:rPr>
                <w:color w:val="000000"/>
                <w:sz w:val="20"/>
                <w:szCs w:val="20"/>
              </w:rPr>
            </w:pPr>
            <w:r>
              <w:rPr>
                <w:color w:val="000000"/>
                <w:sz w:val="20"/>
                <w:szCs w:val="20"/>
              </w:rPr>
              <w:t>0.421</w:t>
            </w:r>
          </w:p>
        </w:tc>
        <w:tc>
          <w:tcPr>
            <w:tcW w:w="864" w:type="dxa"/>
            <w:tcBorders>
              <w:top w:val="nil"/>
              <w:left w:val="nil"/>
              <w:bottom w:val="nil"/>
              <w:right w:val="nil"/>
            </w:tcBorders>
            <w:shd w:val="clear" w:color="auto" w:fill="auto"/>
            <w:noWrap/>
            <w:vAlign w:val="bottom"/>
            <w:hideMark/>
          </w:tcPr>
          <w:p w14:paraId="737189F7" w14:textId="77777777" w:rsidR="00993685" w:rsidRDefault="00993685">
            <w:pPr>
              <w:jc w:val="right"/>
              <w:rPr>
                <w:color w:val="000000"/>
                <w:sz w:val="20"/>
                <w:szCs w:val="20"/>
              </w:rPr>
            </w:pPr>
            <w:r>
              <w:rPr>
                <w:color w:val="000000"/>
                <w:sz w:val="20"/>
                <w:szCs w:val="20"/>
              </w:rPr>
              <w:t>0.001</w:t>
            </w:r>
          </w:p>
        </w:tc>
      </w:tr>
      <w:tr w:rsidR="00993685" w14:paraId="317FB53D" w14:textId="77777777" w:rsidTr="00993685">
        <w:trPr>
          <w:trHeight w:val="320"/>
        </w:trPr>
        <w:tc>
          <w:tcPr>
            <w:tcW w:w="1152" w:type="dxa"/>
            <w:tcBorders>
              <w:top w:val="nil"/>
              <w:left w:val="nil"/>
              <w:bottom w:val="nil"/>
              <w:right w:val="nil"/>
            </w:tcBorders>
            <w:shd w:val="clear" w:color="auto" w:fill="auto"/>
            <w:noWrap/>
            <w:vAlign w:val="bottom"/>
            <w:hideMark/>
          </w:tcPr>
          <w:p w14:paraId="13C72537"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EB6DEB" w14:textId="77777777" w:rsidR="00993685" w:rsidRDefault="00993685">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7E4C064" w14:textId="77777777" w:rsidR="00993685" w:rsidRDefault="00993685">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5DB58502" w14:textId="77777777" w:rsidR="00993685" w:rsidRDefault="00993685">
            <w:pPr>
              <w:jc w:val="right"/>
              <w:rPr>
                <w:color w:val="000000"/>
                <w:sz w:val="20"/>
                <w:szCs w:val="20"/>
              </w:rPr>
            </w:pPr>
            <w:r>
              <w:rPr>
                <w:color w:val="000000"/>
                <w:sz w:val="20"/>
                <w:szCs w:val="20"/>
              </w:rPr>
              <w:t>0.416</w:t>
            </w:r>
          </w:p>
        </w:tc>
        <w:tc>
          <w:tcPr>
            <w:tcW w:w="864" w:type="dxa"/>
            <w:tcBorders>
              <w:top w:val="nil"/>
              <w:left w:val="nil"/>
              <w:bottom w:val="nil"/>
              <w:right w:val="nil"/>
            </w:tcBorders>
            <w:shd w:val="clear" w:color="auto" w:fill="auto"/>
            <w:noWrap/>
            <w:vAlign w:val="bottom"/>
            <w:hideMark/>
          </w:tcPr>
          <w:p w14:paraId="17BC7EE9"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55D7AAD" w14:textId="77777777" w:rsidR="00993685" w:rsidRDefault="00993685">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5E380401" w14:textId="77777777" w:rsidR="00993685" w:rsidRDefault="00993685">
            <w:pPr>
              <w:jc w:val="right"/>
              <w:rPr>
                <w:color w:val="000000"/>
                <w:sz w:val="20"/>
                <w:szCs w:val="20"/>
              </w:rPr>
            </w:pPr>
            <w:r>
              <w:rPr>
                <w:color w:val="000000"/>
                <w:sz w:val="20"/>
                <w:szCs w:val="20"/>
              </w:rPr>
              <w:t>0.696</w:t>
            </w:r>
          </w:p>
        </w:tc>
        <w:tc>
          <w:tcPr>
            <w:tcW w:w="864" w:type="dxa"/>
            <w:tcBorders>
              <w:top w:val="nil"/>
              <w:left w:val="nil"/>
              <w:bottom w:val="nil"/>
              <w:right w:val="nil"/>
            </w:tcBorders>
            <w:shd w:val="clear" w:color="auto" w:fill="auto"/>
            <w:noWrap/>
            <w:vAlign w:val="bottom"/>
            <w:hideMark/>
          </w:tcPr>
          <w:p w14:paraId="25FE8D4E" w14:textId="77777777" w:rsidR="00993685" w:rsidRDefault="00993685">
            <w:pPr>
              <w:jc w:val="right"/>
              <w:rPr>
                <w:color w:val="000000"/>
                <w:sz w:val="20"/>
                <w:szCs w:val="20"/>
              </w:rPr>
            </w:pPr>
            <w:r>
              <w:rPr>
                <w:color w:val="000000"/>
                <w:sz w:val="20"/>
                <w:szCs w:val="20"/>
              </w:rPr>
              <w:t>0.000</w:t>
            </w:r>
          </w:p>
        </w:tc>
      </w:tr>
      <w:tr w:rsidR="00993685" w14:paraId="5FA6331C" w14:textId="77777777" w:rsidTr="00993685">
        <w:trPr>
          <w:trHeight w:val="320"/>
        </w:trPr>
        <w:tc>
          <w:tcPr>
            <w:tcW w:w="1152" w:type="dxa"/>
            <w:tcBorders>
              <w:top w:val="nil"/>
              <w:left w:val="nil"/>
              <w:bottom w:val="nil"/>
              <w:right w:val="nil"/>
            </w:tcBorders>
            <w:shd w:val="clear" w:color="auto" w:fill="auto"/>
            <w:noWrap/>
            <w:vAlign w:val="bottom"/>
            <w:hideMark/>
          </w:tcPr>
          <w:p w14:paraId="0B58BF14"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6A7148A" w14:textId="77777777" w:rsidR="00993685" w:rsidRDefault="00993685">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2CBEDC4" w14:textId="77777777" w:rsidR="00993685" w:rsidRDefault="00993685">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546D46CD" w14:textId="77777777" w:rsidR="00993685" w:rsidRDefault="00993685">
            <w:pPr>
              <w:jc w:val="right"/>
              <w:rPr>
                <w:color w:val="000000"/>
                <w:sz w:val="20"/>
                <w:szCs w:val="20"/>
              </w:rPr>
            </w:pPr>
            <w:r>
              <w:rPr>
                <w:color w:val="000000"/>
                <w:sz w:val="20"/>
                <w:szCs w:val="20"/>
              </w:rPr>
              <w:t>0.398</w:t>
            </w:r>
          </w:p>
        </w:tc>
        <w:tc>
          <w:tcPr>
            <w:tcW w:w="864" w:type="dxa"/>
            <w:tcBorders>
              <w:top w:val="nil"/>
              <w:left w:val="nil"/>
              <w:bottom w:val="nil"/>
              <w:right w:val="nil"/>
            </w:tcBorders>
            <w:shd w:val="clear" w:color="auto" w:fill="auto"/>
            <w:noWrap/>
            <w:vAlign w:val="bottom"/>
            <w:hideMark/>
          </w:tcPr>
          <w:p w14:paraId="7F421510"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52F0AEA" w14:textId="77777777" w:rsidR="00993685" w:rsidRDefault="00993685">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18C26F7A" w14:textId="77777777" w:rsidR="00993685" w:rsidRDefault="00993685">
            <w:pPr>
              <w:jc w:val="right"/>
              <w:rPr>
                <w:color w:val="000000"/>
                <w:sz w:val="20"/>
                <w:szCs w:val="20"/>
              </w:rPr>
            </w:pPr>
            <w:r>
              <w:rPr>
                <w:color w:val="000000"/>
                <w:sz w:val="20"/>
                <w:szCs w:val="20"/>
              </w:rPr>
              <w:t>0.696</w:t>
            </w:r>
          </w:p>
        </w:tc>
        <w:tc>
          <w:tcPr>
            <w:tcW w:w="864" w:type="dxa"/>
            <w:tcBorders>
              <w:top w:val="nil"/>
              <w:left w:val="nil"/>
              <w:bottom w:val="nil"/>
              <w:right w:val="nil"/>
            </w:tcBorders>
            <w:shd w:val="clear" w:color="auto" w:fill="auto"/>
            <w:noWrap/>
            <w:vAlign w:val="bottom"/>
            <w:hideMark/>
          </w:tcPr>
          <w:p w14:paraId="763B6532" w14:textId="77777777" w:rsidR="00993685" w:rsidRDefault="00993685">
            <w:pPr>
              <w:jc w:val="right"/>
              <w:rPr>
                <w:color w:val="000000"/>
                <w:sz w:val="20"/>
                <w:szCs w:val="20"/>
              </w:rPr>
            </w:pPr>
            <w:r>
              <w:rPr>
                <w:color w:val="000000"/>
                <w:sz w:val="20"/>
                <w:szCs w:val="20"/>
              </w:rPr>
              <w:t>0.000</w:t>
            </w:r>
          </w:p>
        </w:tc>
      </w:tr>
      <w:tr w:rsidR="00993685" w14:paraId="25381B25" w14:textId="77777777" w:rsidTr="00993685">
        <w:trPr>
          <w:trHeight w:val="320"/>
        </w:trPr>
        <w:tc>
          <w:tcPr>
            <w:tcW w:w="1152" w:type="dxa"/>
            <w:tcBorders>
              <w:top w:val="nil"/>
              <w:left w:val="nil"/>
              <w:bottom w:val="nil"/>
              <w:right w:val="nil"/>
            </w:tcBorders>
            <w:shd w:val="clear" w:color="auto" w:fill="auto"/>
            <w:noWrap/>
            <w:vAlign w:val="bottom"/>
            <w:hideMark/>
          </w:tcPr>
          <w:p w14:paraId="0603B46F"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72DB215" w14:textId="77777777" w:rsidR="00993685" w:rsidRDefault="00993685">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F15AC78" w14:textId="77777777" w:rsidR="00993685" w:rsidRDefault="00993685">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4D862D18" w14:textId="77777777" w:rsidR="00993685" w:rsidRDefault="00993685">
            <w:pPr>
              <w:jc w:val="right"/>
              <w:rPr>
                <w:color w:val="000000"/>
                <w:sz w:val="20"/>
                <w:szCs w:val="20"/>
              </w:rPr>
            </w:pPr>
            <w:r>
              <w:rPr>
                <w:color w:val="000000"/>
                <w:sz w:val="20"/>
                <w:szCs w:val="20"/>
              </w:rPr>
              <w:t>0.398</w:t>
            </w:r>
          </w:p>
        </w:tc>
        <w:tc>
          <w:tcPr>
            <w:tcW w:w="864" w:type="dxa"/>
            <w:tcBorders>
              <w:top w:val="nil"/>
              <w:left w:val="nil"/>
              <w:bottom w:val="nil"/>
              <w:right w:val="nil"/>
            </w:tcBorders>
            <w:shd w:val="clear" w:color="auto" w:fill="auto"/>
            <w:noWrap/>
            <w:vAlign w:val="bottom"/>
            <w:hideMark/>
          </w:tcPr>
          <w:p w14:paraId="2F7CBFB8"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FD3D30E" w14:textId="77777777" w:rsidR="00993685" w:rsidRDefault="00993685">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5C54986D" w14:textId="77777777" w:rsidR="00993685" w:rsidRDefault="00993685">
            <w:pPr>
              <w:jc w:val="right"/>
              <w:rPr>
                <w:color w:val="000000"/>
                <w:sz w:val="20"/>
                <w:szCs w:val="20"/>
              </w:rPr>
            </w:pPr>
            <w:r>
              <w:rPr>
                <w:color w:val="000000"/>
                <w:sz w:val="20"/>
                <w:szCs w:val="20"/>
              </w:rPr>
              <w:t>0.696</w:t>
            </w:r>
          </w:p>
        </w:tc>
        <w:tc>
          <w:tcPr>
            <w:tcW w:w="864" w:type="dxa"/>
            <w:tcBorders>
              <w:top w:val="nil"/>
              <w:left w:val="nil"/>
              <w:bottom w:val="nil"/>
              <w:right w:val="nil"/>
            </w:tcBorders>
            <w:shd w:val="clear" w:color="auto" w:fill="auto"/>
            <w:noWrap/>
            <w:vAlign w:val="bottom"/>
            <w:hideMark/>
          </w:tcPr>
          <w:p w14:paraId="34686D5B" w14:textId="77777777" w:rsidR="00993685" w:rsidRDefault="00993685">
            <w:pPr>
              <w:jc w:val="right"/>
              <w:rPr>
                <w:color w:val="000000"/>
                <w:sz w:val="20"/>
                <w:szCs w:val="20"/>
              </w:rPr>
            </w:pPr>
            <w:r>
              <w:rPr>
                <w:color w:val="000000"/>
                <w:sz w:val="20"/>
                <w:szCs w:val="20"/>
              </w:rPr>
              <w:t>0.000</w:t>
            </w:r>
          </w:p>
        </w:tc>
      </w:tr>
      <w:tr w:rsidR="00993685" w14:paraId="4C788252" w14:textId="77777777" w:rsidTr="00993685">
        <w:trPr>
          <w:trHeight w:val="320"/>
        </w:trPr>
        <w:tc>
          <w:tcPr>
            <w:tcW w:w="1152" w:type="dxa"/>
            <w:tcBorders>
              <w:top w:val="nil"/>
              <w:left w:val="nil"/>
              <w:bottom w:val="nil"/>
              <w:right w:val="nil"/>
            </w:tcBorders>
            <w:shd w:val="clear" w:color="auto" w:fill="auto"/>
            <w:noWrap/>
            <w:vAlign w:val="bottom"/>
            <w:hideMark/>
          </w:tcPr>
          <w:p w14:paraId="7476212C"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2E380CE" w14:textId="77777777" w:rsidR="00993685" w:rsidRDefault="00993685">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CD1475D"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3AB7D40" w14:textId="77777777" w:rsidR="00993685" w:rsidRDefault="00993685">
            <w:pPr>
              <w:jc w:val="right"/>
              <w:rPr>
                <w:color w:val="000000"/>
                <w:sz w:val="20"/>
                <w:szCs w:val="20"/>
              </w:rPr>
            </w:pPr>
            <w:r>
              <w:rPr>
                <w:color w:val="000000"/>
                <w:sz w:val="20"/>
                <w:szCs w:val="20"/>
              </w:rPr>
              <w:t>0.977</w:t>
            </w:r>
          </w:p>
        </w:tc>
        <w:tc>
          <w:tcPr>
            <w:tcW w:w="864" w:type="dxa"/>
            <w:tcBorders>
              <w:top w:val="nil"/>
              <w:left w:val="nil"/>
              <w:bottom w:val="nil"/>
              <w:right w:val="nil"/>
            </w:tcBorders>
            <w:shd w:val="clear" w:color="auto" w:fill="auto"/>
            <w:noWrap/>
            <w:vAlign w:val="bottom"/>
            <w:hideMark/>
          </w:tcPr>
          <w:p w14:paraId="04F0B827"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1D5509D" w14:textId="77777777" w:rsidR="00993685" w:rsidRDefault="00993685">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0F826377" w14:textId="77777777" w:rsidR="00993685" w:rsidRDefault="00993685">
            <w:pPr>
              <w:jc w:val="right"/>
              <w:rPr>
                <w:color w:val="000000"/>
                <w:sz w:val="20"/>
                <w:szCs w:val="20"/>
              </w:rPr>
            </w:pPr>
            <w:r>
              <w:rPr>
                <w:color w:val="000000"/>
                <w:sz w:val="20"/>
                <w:szCs w:val="20"/>
              </w:rPr>
              <w:t>0.164</w:t>
            </w:r>
          </w:p>
        </w:tc>
        <w:tc>
          <w:tcPr>
            <w:tcW w:w="864" w:type="dxa"/>
            <w:tcBorders>
              <w:top w:val="nil"/>
              <w:left w:val="nil"/>
              <w:bottom w:val="nil"/>
              <w:right w:val="nil"/>
            </w:tcBorders>
            <w:shd w:val="clear" w:color="auto" w:fill="auto"/>
            <w:noWrap/>
            <w:vAlign w:val="bottom"/>
            <w:hideMark/>
          </w:tcPr>
          <w:p w14:paraId="182E8A33" w14:textId="77777777" w:rsidR="00993685" w:rsidRDefault="00993685">
            <w:pPr>
              <w:jc w:val="right"/>
              <w:rPr>
                <w:color w:val="000000"/>
                <w:sz w:val="20"/>
                <w:szCs w:val="20"/>
              </w:rPr>
            </w:pPr>
            <w:r>
              <w:rPr>
                <w:color w:val="000000"/>
                <w:sz w:val="20"/>
                <w:szCs w:val="20"/>
              </w:rPr>
              <w:t>0.002</w:t>
            </w:r>
          </w:p>
        </w:tc>
      </w:tr>
      <w:tr w:rsidR="00993685" w14:paraId="1EBCD6AD" w14:textId="77777777" w:rsidTr="00993685">
        <w:trPr>
          <w:trHeight w:val="320"/>
        </w:trPr>
        <w:tc>
          <w:tcPr>
            <w:tcW w:w="1152" w:type="dxa"/>
            <w:tcBorders>
              <w:top w:val="nil"/>
              <w:left w:val="nil"/>
              <w:bottom w:val="nil"/>
              <w:right w:val="nil"/>
            </w:tcBorders>
            <w:shd w:val="clear" w:color="auto" w:fill="auto"/>
            <w:noWrap/>
            <w:vAlign w:val="bottom"/>
            <w:hideMark/>
          </w:tcPr>
          <w:p w14:paraId="462C5BAE" w14:textId="77777777" w:rsidR="00993685" w:rsidRDefault="0099368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EC5FE86" w14:textId="77777777" w:rsidR="00993685" w:rsidRDefault="00993685">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CC22C20" w14:textId="77777777" w:rsidR="00993685" w:rsidRDefault="00993685">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4023B279" w14:textId="77777777" w:rsidR="00993685" w:rsidRDefault="00993685">
            <w:pPr>
              <w:jc w:val="right"/>
              <w:rPr>
                <w:color w:val="000000"/>
                <w:sz w:val="20"/>
                <w:szCs w:val="20"/>
              </w:rPr>
            </w:pPr>
            <w:r>
              <w:rPr>
                <w:color w:val="000000"/>
                <w:sz w:val="20"/>
                <w:szCs w:val="20"/>
              </w:rPr>
              <w:t>0.376</w:t>
            </w:r>
          </w:p>
        </w:tc>
        <w:tc>
          <w:tcPr>
            <w:tcW w:w="864" w:type="dxa"/>
            <w:tcBorders>
              <w:top w:val="nil"/>
              <w:left w:val="nil"/>
              <w:bottom w:val="nil"/>
              <w:right w:val="nil"/>
            </w:tcBorders>
            <w:shd w:val="clear" w:color="auto" w:fill="auto"/>
            <w:noWrap/>
            <w:vAlign w:val="bottom"/>
            <w:hideMark/>
          </w:tcPr>
          <w:p w14:paraId="3482A6B2" w14:textId="77777777" w:rsidR="00993685" w:rsidRDefault="0099368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341D33B" w14:textId="77777777" w:rsidR="00993685" w:rsidRDefault="00993685">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5F514CBB" w14:textId="77777777" w:rsidR="00993685" w:rsidRDefault="00993685">
            <w:pPr>
              <w:jc w:val="right"/>
              <w:rPr>
                <w:color w:val="000000"/>
                <w:sz w:val="20"/>
                <w:szCs w:val="20"/>
              </w:rPr>
            </w:pPr>
            <w:r>
              <w:rPr>
                <w:color w:val="000000"/>
                <w:sz w:val="20"/>
                <w:szCs w:val="20"/>
              </w:rPr>
              <w:t>0.881</w:t>
            </w:r>
          </w:p>
        </w:tc>
        <w:tc>
          <w:tcPr>
            <w:tcW w:w="864" w:type="dxa"/>
            <w:tcBorders>
              <w:top w:val="nil"/>
              <w:left w:val="nil"/>
              <w:bottom w:val="nil"/>
              <w:right w:val="nil"/>
            </w:tcBorders>
            <w:shd w:val="clear" w:color="auto" w:fill="auto"/>
            <w:noWrap/>
            <w:vAlign w:val="bottom"/>
            <w:hideMark/>
          </w:tcPr>
          <w:p w14:paraId="4CF99B04" w14:textId="77777777" w:rsidR="00993685" w:rsidRDefault="00993685">
            <w:pPr>
              <w:jc w:val="right"/>
              <w:rPr>
                <w:color w:val="000000"/>
                <w:sz w:val="20"/>
                <w:szCs w:val="20"/>
              </w:rPr>
            </w:pPr>
            <w:r>
              <w:rPr>
                <w:color w:val="000000"/>
                <w:sz w:val="20"/>
                <w:szCs w:val="20"/>
              </w:rPr>
              <w:t>0.000</w:t>
            </w:r>
          </w:p>
        </w:tc>
      </w:tr>
      <w:tr w:rsidR="00993685" w14:paraId="0FEE6681"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4D8465BE" w14:textId="77777777" w:rsidR="00993685" w:rsidRDefault="00993685">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6B3FFB05" w14:textId="77777777" w:rsidR="00993685" w:rsidRDefault="00993685">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108DD638" w14:textId="77777777" w:rsidR="00993685" w:rsidRDefault="00993685">
            <w:pPr>
              <w:jc w:val="right"/>
              <w:rPr>
                <w:color w:val="000000"/>
                <w:sz w:val="20"/>
                <w:szCs w:val="20"/>
              </w:rPr>
            </w:pPr>
            <w:r>
              <w:rPr>
                <w:color w:val="000000"/>
                <w:sz w:val="20"/>
                <w:szCs w:val="20"/>
              </w:rPr>
              <w:t>0.015</w:t>
            </w:r>
          </w:p>
        </w:tc>
        <w:tc>
          <w:tcPr>
            <w:tcW w:w="864" w:type="dxa"/>
            <w:tcBorders>
              <w:top w:val="nil"/>
              <w:left w:val="nil"/>
              <w:bottom w:val="single" w:sz="12" w:space="0" w:color="auto"/>
              <w:right w:val="nil"/>
            </w:tcBorders>
            <w:shd w:val="clear" w:color="auto" w:fill="auto"/>
            <w:noWrap/>
            <w:vAlign w:val="bottom"/>
            <w:hideMark/>
          </w:tcPr>
          <w:p w14:paraId="2C5FEF4C" w14:textId="77777777" w:rsidR="00993685" w:rsidRDefault="00993685">
            <w:pPr>
              <w:jc w:val="right"/>
              <w:rPr>
                <w:color w:val="000000"/>
                <w:sz w:val="20"/>
                <w:szCs w:val="20"/>
              </w:rPr>
            </w:pPr>
            <w:r>
              <w:rPr>
                <w:color w:val="000000"/>
                <w:sz w:val="20"/>
                <w:szCs w:val="20"/>
              </w:rPr>
              <w:t>0.599</w:t>
            </w:r>
          </w:p>
        </w:tc>
        <w:tc>
          <w:tcPr>
            <w:tcW w:w="864" w:type="dxa"/>
            <w:tcBorders>
              <w:top w:val="nil"/>
              <w:left w:val="nil"/>
              <w:bottom w:val="single" w:sz="12" w:space="0" w:color="auto"/>
              <w:right w:val="nil"/>
            </w:tcBorders>
            <w:shd w:val="clear" w:color="auto" w:fill="auto"/>
            <w:noWrap/>
            <w:vAlign w:val="bottom"/>
            <w:hideMark/>
          </w:tcPr>
          <w:p w14:paraId="776BFEFD" w14:textId="77777777" w:rsidR="00993685" w:rsidRDefault="00993685">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05221B96" w14:textId="77777777" w:rsidR="00993685" w:rsidRDefault="00993685">
            <w:pPr>
              <w:jc w:val="right"/>
              <w:rPr>
                <w:color w:val="000000"/>
                <w:sz w:val="20"/>
                <w:szCs w:val="20"/>
              </w:rPr>
            </w:pPr>
            <w:r>
              <w:rPr>
                <w:color w:val="000000"/>
                <w:sz w:val="20"/>
                <w:szCs w:val="20"/>
              </w:rPr>
              <w:t>0.003</w:t>
            </w:r>
          </w:p>
        </w:tc>
        <w:tc>
          <w:tcPr>
            <w:tcW w:w="864" w:type="dxa"/>
            <w:tcBorders>
              <w:top w:val="nil"/>
              <w:left w:val="nil"/>
              <w:bottom w:val="single" w:sz="12" w:space="0" w:color="auto"/>
              <w:right w:val="nil"/>
            </w:tcBorders>
            <w:shd w:val="clear" w:color="auto" w:fill="auto"/>
            <w:noWrap/>
            <w:vAlign w:val="bottom"/>
            <w:hideMark/>
          </w:tcPr>
          <w:p w14:paraId="0888FDB9" w14:textId="77777777" w:rsidR="00993685" w:rsidRDefault="00993685">
            <w:pPr>
              <w:jc w:val="right"/>
              <w:rPr>
                <w:color w:val="000000"/>
                <w:sz w:val="20"/>
                <w:szCs w:val="20"/>
              </w:rPr>
            </w:pPr>
            <w:r>
              <w:rPr>
                <w:color w:val="000000"/>
                <w:sz w:val="20"/>
                <w:szCs w:val="20"/>
              </w:rPr>
              <w:t>0.881</w:t>
            </w:r>
          </w:p>
        </w:tc>
        <w:tc>
          <w:tcPr>
            <w:tcW w:w="864" w:type="dxa"/>
            <w:tcBorders>
              <w:top w:val="nil"/>
              <w:left w:val="nil"/>
              <w:bottom w:val="single" w:sz="12" w:space="0" w:color="auto"/>
              <w:right w:val="nil"/>
            </w:tcBorders>
            <w:shd w:val="clear" w:color="auto" w:fill="auto"/>
            <w:noWrap/>
            <w:vAlign w:val="bottom"/>
            <w:hideMark/>
          </w:tcPr>
          <w:p w14:paraId="0A7A467A" w14:textId="77777777" w:rsidR="00993685" w:rsidRDefault="00993685">
            <w:pPr>
              <w:jc w:val="right"/>
              <w:rPr>
                <w:color w:val="000000"/>
                <w:sz w:val="20"/>
                <w:szCs w:val="20"/>
              </w:rPr>
            </w:pPr>
            <w:r>
              <w:rPr>
                <w:color w:val="000000"/>
                <w:sz w:val="20"/>
                <w:szCs w:val="20"/>
              </w:rPr>
              <w:t>0.000</w:t>
            </w:r>
          </w:p>
        </w:tc>
      </w:tr>
      <w:tr w:rsidR="00993685" w14:paraId="199C6243"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47DF0E79" w14:textId="77777777" w:rsidR="00993685" w:rsidRDefault="00993685">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533B06DB" w14:textId="77777777" w:rsidR="00993685" w:rsidRDefault="0099368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A82E3AA" w14:textId="77777777" w:rsidR="00993685" w:rsidRDefault="0099368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A64BE03" w14:textId="77777777" w:rsidR="00993685" w:rsidRDefault="0099368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5DA36FA" w14:textId="77777777" w:rsidR="00993685" w:rsidRDefault="0099368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F7C165F" w14:textId="77777777" w:rsidR="00993685" w:rsidRDefault="0099368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6731699" w14:textId="77777777" w:rsidR="00993685" w:rsidRDefault="0099368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836CE7C" w14:textId="77777777" w:rsidR="00993685" w:rsidRDefault="00993685">
            <w:pPr>
              <w:rPr>
                <w:sz w:val="20"/>
                <w:szCs w:val="20"/>
              </w:rPr>
            </w:pPr>
          </w:p>
        </w:tc>
      </w:tr>
    </w:tbl>
    <w:p w14:paraId="19A500FA" w14:textId="6B3BBC47" w:rsidR="009C2134" w:rsidRDefault="009C2134" w:rsidP="00BC5AB7">
      <w:pPr>
        <w:rPr>
          <w:rFonts w:ascii="Batang" w:eastAsia="Batang" w:hAnsi="Batang" w:cs="Batang"/>
          <w:color w:val="000000"/>
        </w:rPr>
      </w:pPr>
    </w:p>
    <w:p w14:paraId="6DB2E9A0" w14:textId="77777777" w:rsidR="009C2134" w:rsidRDefault="009C2134">
      <w:pPr>
        <w:rPr>
          <w:rFonts w:ascii="Batang" w:eastAsia="Batang" w:hAnsi="Batang" w:cs="Batang"/>
          <w:color w:val="000000"/>
        </w:rPr>
      </w:pPr>
      <w:r>
        <w:rPr>
          <w:rFonts w:ascii="Batang" w:eastAsia="Batang" w:hAnsi="Batang" w:cs="Batang"/>
          <w:color w:val="000000"/>
        </w:rPr>
        <w:br w:type="page"/>
      </w:r>
    </w:p>
    <w:p w14:paraId="0DC52083" w14:textId="69751865" w:rsidR="006A0E4D" w:rsidRPr="004C58D5" w:rsidRDefault="006A0E4D" w:rsidP="006A0E4D">
      <w:pPr>
        <w:pStyle w:val="Heading1"/>
        <w:rPr>
          <w:rFonts w:ascii="Times New Roman" w:hAnsi="Times New Roman" w:cs="Times New Roman"/>
          <w:color w:val="000000" w:themeColor="text1"/>
          <w:sz w:val="24"/>
          <w:szCs w:val="24"/>
        </w:rPr>
      </w:pPr>
      <w:bookmarkStart w:id="69" w:name="_Toc155817736"/>
      <w:r w:rsidRPr="00926183">
        <w:rPr>
          <w:rFonts w:ascii="Times New Roman" w:hAnsi="Times New Roman" w:cs="Times New Roman"/>
          <w:b/>
          <w:bCs/>
          <w:color w:val="000000" w:themeColor="text1"/>
          <w:sz w:val="24"/>
          <w:szCs w:val="24"/>
        </w:rPr>
        <w:lastRenderedPageBreak/>
        <w:t>Table 2</w:t>
      </w:r>
      <w:r w:rsidR="0036523A" w:rsidRPr="00926183">
        <w:rPr>
          <w:rFonts w:ascii="Times New Roman" w:hAnsi="Times New Roman" w:cs="Times New Roman"/>
          <w:b/>
          <w:bCs/>
          <w:color w:val="000000" w:themeColor="text1"/>
          <w:sz w:val="24"/>
          <w:szCs w:val="24"/>
        </w:rPr>
        <w:t>7</w:t>
      </w:r>
      <w:r w:rsidRPr="00926183">
        <w:rPr>
          <w:rFonts w:ascii="Times New Roman" w:hAnsi="Times New Roman" w:cs="Times New Roman"/>
          <w:b/>
          <w:bCs/>
          <w:color w:val="000000" w:themeColor="text1"/>
          <w:sz w:val="24"/>
          <w:szCs w:val="24"/>
        </w:rPr>
        <w:t>f.</w:t>
      </w:r>
      <w:r>
        <w:rPr>
          <w:rFonts w:ascii="Times New Roman" w:hAnsi="Times New Roman" w:cs="Times New Roman"/>
          <w:color w:val="000000" w:themeColor="text1"/>
          <w:sz w:val="24"/>
          <w:szCs w:val="24"/>
        </w:rPr>
        <w:t xml:space="preserve"> Results examining the relationship between Shen-268 network average shortest path and neighborhood SES deprivation obtained from bifactor modeling and neighborhood median income during emotional n-back task</w:t>
      </w:r>
      <w:bookmarkEnd w:id="69"/>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DD1B5C" w14:paraId="62C8A614"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456FC9E6" w14:textId="77777777" w:rsidR="00DD1B5C" w:rsidRDefault="00DD1B5C">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6CA160BB" w14:textId="77777777" w:rsidR="00DD1B5C" w:rsidRDefault="00DD1B5C">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0608E085" w14:textId="77777777" w:rsidR="00DD1B5C" w:rsidRDefault="00DD1B5C">
            <w:pPr>
              <w:rPr>
                <w:color w:val="000000"/>
              </w:rPr>
            </w:pPr>
          </w:p>
        </w:tc>
        <w:tc>
          <w:tcPr>
            <w:tcW w:w="864" w:type="dxa"/>
            <w:tcBorders>
              <w:top w:val="nil"/>
              <w:left w:val="nil"/>
              <w:bottom w:val="single" w:sz="12" w:space="0" w:color="auto"/>
              <w:right w:val="nil"/>
            </w:tcBorders>
            <w:shd w:val="clear" w:color="auto" w:fill="auto"/>
            <w:noWrap/>
            <w:vAlign w:val="bottom"/>
            <w:hideMark/>
          </w:tcPr>
          <w:p w14:paraId="1D9A0817" w14:textId="77777777" w:rsidR="00DD1B5C" w:rsidRDefault="00DD1B5C">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39350F8E" w14:textId="77777777" w:rsidR="00DD1B5C" w:rsidRDefault="00DD1B5C">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3A29314" w14:textId="77777777" w:rsidR="00DD1B5C" w:rsidRDefault="00DD1B5C">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EF12D99" w14:textId="77777777" w:rsidR="00DD1B5C" w:rsidRDefault="00DD1B5C">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56F1D6D" w14:textId="77777777" w:rsidR="00DD1B5C" w:rsidRDefault="00DD1B5C">
            <w:pPr>
              <w:rPr>
                <w:sz w:val="20"/>
                <w:szCs w:val="20"/>
              </w:rPr>
            </w:pPr>
          </w:p>
        </w:tc>
      </w:tr>
      <w:tr w:rsidR="00DD1B5C" w14:paraId="3AE2EC9D"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4698320B" w14:textId="77777777" w:rsidR="00DD1B5C" w:rsidRDefault="00DD1B5C">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57C4B599" w14:textId="77777777" w:rsidR="00DD1B5C" w:rsidRDefault="00DD1B5C">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3077941C" w14:textId="77777777" w:rsidR="00DD1B5C" w:rsidRDefault="00DD1B5C">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8" w:space="0" w:color="auto"/>
              <w:right w:val="nil"/>
            </w:tcBorders>
            <w:shd w:val="clear" w:color="auto" w:fill="auto"/>
            <w:noWrap/>
            <w:vAlign w:val="center"/>
            <w:hideMark/>
          </w:tcPr>
          <w:p w14:paraId="7679D4BA" w14:textId="77777777" w:rsidR="00DD1B5C" w:rsidRDefault="00DD1B5C">
            <w:pPr>
              <w:jc w:val="center"/>
              <w:rPr>
                <w:color w:val="000000"/>
                <w:sz w:val="20"/>
                <w:szCs w:val="20"/>
              </w:rPr>
            </w:pPr>
            <w:r>
              <w:rPr>
                <w:color w:val="000000"/>
                <w:sz w:val="20"/>
                <w:szCs w:val="20"/>
              </w:rPr>
              <w:t>Neighborhood Median Income</w:t>
            </w:r>
          </w:p>
        </w:tc>
      </w:tr>
      <w:tr w:rsidR="00DD1B5C" w14:paraId="6B66FC58"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2E9C256B" w14:textId="77777777" w:rsidR="00DD1B5C" w:rsidRDefault="00DD1B5C">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3754404E" w14:textId="77777777" w:rsidR="00DD1B5C" w:rsidRDefault="00DD1B5C">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3633C049" w14:textId="77777777" w:rsidR="00DD1B5C" w:rsidRDefault="00DD1B5C">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A648316" w14:textId="77777777" w:rsidR="00DD1B5C" w:rsidRDefault="00DD1B5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7D05E9A3" w14:textId="77777777" w:rsidR="00DD1B5C" w:rsidRDefault="00DD1B5C">
            <w:pPr>
              <w:jc w:val="center"/>
              <w:rPr>
                <w:i/>
                <w:iCs/>
                <w:color w:val="000000"/>
                <w:sz w:val="20"/>
                <w:szCs w:val="20"/>
              </w:rPr>
            </w:pPr>
            <w:r>
              <w:rPr>
                <w:i/>
                <w:iCs/>
                <w:color w:val="000000"/>
                <w:sz w:val="20"/>
                <w:szCs w:val="20"/>
              </w:rPr>
              <w:t>R2</w:t>
            </w:r>
          </w:p>
        </w:tc>
        <w:tc>
          <w:tcPr>
            <w:tcW w:w="864" w:type="dxa"/>
            <w:tcBorders>
              <w:top w:val="nil"/>
              <w:left w:val="nil"/>
              <w:bottom w:val="single" w:sz="12" w:space="0" w:color="auto"/>
              <w:right w:val="nil"/>
            </w:tcBorders>
            <w:shd w:val="clear" w:color="auto" w:fill="auto"/>
            <w:noWrap/>
            <w:vAlign w:val="center"/>
            <w:hideMark/>
          </w:tcPr>
          <w:p w14:paraId="66E0FBC9" w14:textId="77777777" w:rsidR="00DD1B5C" w:rsidRDefault="00DD1B5C">
            <w:pPr>
              <w:jc w:val="center"/>
              <w:rPr>
                <w:i/>
                <w:iCs/>
                <w:color w:val="000000"/>
                <w:sz w:val="20"/>
                <w:szCs w:val="20"/>
              </w:rPr>
            </w:pPr>
            <w:r>
              <w:rPr>
                <w:i/>
                <w:iCs/>
                <w:color w:val="000000"/>
                <w:sz w:val="20"/>
                <w:szCs w:val="20"/>
              </w:rPr>
              <w:t>β</w:t>
            </w:r>
          </w:p>
        </w:tc>
        <w:tc>
          <w:tcPr>
            <w:tcW w:w="864" w:type="dxa"/>
            <w:tcBorders>
              <w:top w:val="nil"/>
              <w:left w:val="nil"/>
              <w:bottom w:val="single" w:sz="12" w:space="0" w:color="auto"/>
              <w:right w:val="nil"/>
            </w:tcBorders>
            <w:shd w:val="clear" w:color="auto" w:fill="auto"/>
            <w:noWrap/>
            <w:vAlign w:val="center"/>
            <w:hideMark/>
          </w:tcPr>
          <w:p w14:paraId="60284BAC" w14:textId="77777777" w:rsidR="00DD1B5C" w:rsidRDefault="00DD1B5C">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04EBF6C8" w14:textId="77777777" w:rsidR="00DD1B5C" w:rsidRDefault="00DD1B5C">
            <w:pPr>
              <w:jc w:val="center"/>
              <w:rPr>
                <w:i/>
                <w:iCs/>
                <w:color w:val="000000"/>
                <w:sz w:val="20"/>
                <w:szCs w:val="20"/>
              </w:rPr>
            </w:pPr>
            <w:r>
              <w:rPr>
                <w:i/>
                <w:iCs/>
                <w:color w:val="000000"/>
                <w:sz w:val="20"/>
                <w:szCs w:val="20"/>
              </w:rPr>
              <w:t>R2</w:t>
            </w:r>
          </w:p>
        </w:tc>
      </w:tr>
      <w:tr w:rsidR="00DD1B5C" w14:paraId="099DDBAF"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68EBA3D1" w14:textId="77777777" w:rsidR="00DD1B5C" w:rsidRDefault="00DD1B5C">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32F87FD7" w14:textId="77777777" w:rsidR="00DD1B5C" w:rsidRDefault="00DD1B5C">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024D18B3" w14:textId="77777777" w:rsidR="00DD1B5C" w:rsidRDefault="00DD1B5C">
            <w:pPr>
              <w:jc w:val="right"/>
              <w:rPr>
                <w:color w:val="000000"/>
                <w:sz w:val="20"/>
                <w:szCs w:val="20"/>
              </w:rPr>
            </w:pPr>
            <w:r>
              <w:rPr>
                <w:color w:val="000000"/>
                <w:sz w:val="20"/>
                <w:szCs w:val="20"/>
              </w:rPr>
              <w:t>-0.027</w:t>
            </w:r>
          </w:p>
        </w:tc>
        <w:tc>
          <w:tcPr>
            <w:tcW w:w="864" w:type="dxa"/>
            <w:tcBorders>
              <w:top w:val="single" w:sz="12" w:space="0" w:color="auto"/>
              <w:left w:val="nil"/>
              <w:bottom w:val="nil"/>
              <w:right w:val="nil"/>
            </w:tcBorders>
            <w:shd w:val="clear" w:color="auto" w:fill="auto"/>
            <w:noWrap/>
            <w:vAlign w:val="bottom"/>
            <w:hideMark/>
          </w:tcPr>
          <w:p w14:paraId="62B94A57" w14:textId="77777777" w:rsidR="00DD1B5C" w:rsidRDefault="00DD1B5C">
            <w:pPr>
              <w:jc w:val="right"/>
              <w:rPr>
                <w:color w:val="000000"/>
                <w:sz w:val="20"/>
                <w:szCs w:val="20"/>
              </w:rPr>
            </w:pPr>
            <w:r>
              <w:rPr>
                <w:color w:val="000000"/>
                <w:sz w:val="20"/>
                <w:szCs w:val="20"/>
              </w:rPr>
              <w:t>0.965</w:t>
            </w:r>
          </w:p>
        </w:tc>
        <w:tc>
          <w:tcPr>
            <w:tcW w:w="864" w:type="dxa"/>
            <w:tcBorders>
              <w:top w:val="single" w:sz="12" w:space="0" w:color="auto"/>
              <w:left w:val="nil"/>
              <w:bottom w:val="nil"/>
              <w:right w:val="nil"/>
            </w:tcBorders>
            <w:shd w:val="clear" w:color="auto" w:fill="auto"/>
            <w:noWrap/>
            <w:vAlign w:val="bottom"/>
            <w:hideMark/>
          </w:tcPr>
          <w:p w14:paraId="7965D81A" w14:textId="77777777" w:rsidR="00DD1B5C" w:rsidRDefault="00DD1B5C">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53204EE3" w14:textId="77777777" w:rsidR="00DD1B5C" w:rsidRDefault="00DD1B5C">
            <w:pPr>
              <w:jc w:val="right"/>
              <w:rPr>
                <w:color w:val="000000"/>
                <w:sz w:val="20"/>
                <w:szCs w:val="20"/>
              </w:rPr>
            </w:pPr>
            <w:r>
              <w:rPr>
                <w:color w:val="000000"/>
                <w:sz w:val="20"/>
                <w:szCs w:val="20"/>
              </w:rPr>
              <w:t>-0.024</w:t>
            </w:r>
          </w:p>
        </w:tc>
        <w:tc>
          <w:tcPr>
            <w:tcW w:w="864" w:type="dxa"/>
            <w:tcBorders>
              <w:top w:val="single" w:sz="12" w:space="0" w:color="auto"/>
              <w:left w:val="nil"/>
              <w:bottom w:val="nil"/>
              <w:right w:val="nil"/>
            </w:tcBorders>
            <w:shd w:val="clear" w:color="auto" w:fill="auto"/>
            <w:noWrap/>
            <w:vAlign w:val="bottom"/>
            <w:hideMark/>
          </w:tcPr>
          <w:p w14:paraId="197F349B" w14:textId="77777777" w:rsidR="00DD1B5C" w:rsidRDefault="00DD1B5C">
            <w:pPr>
              <w:jc w:val="right"/>
              <w:rPr>
                <w:color w:val="000000"/>
                <w:sz w:val="20"/>
                <w:szCs w:val="20"/>
              </w:rPr>
            </w:pPr>
            <w:r>
              <w:rPr>
                <w:color w:val="000000"/>
                <w:sz w:val="20"/>
                <w:szCs w:val="20"/>
              </w:rPr>
              <w:t>0.758</w:t>
            </w:r>
          </w:p>
        </w:tc>
        <w:tc>
          <w:tcPr>
            <w:tcW w:w="864" w:type="dxa"/>
            <w:tcBorders>
              <w:top w:val="single" w:sz="12" w:space="0" w:color="auto"/>
              <w:left w:val="nil"/>
              <w:bottom w:val="nil"/>
              <w:right w:val="nil"/>
            </w:tcBorders>
            <w:shd w:val="clear" w:color="auto" w:fill="auto"/>
            <w:noWrap/>
            <w:vAlign w:val="bottom"/>
            <w:hideMark/>
          </w:tcPr>
          <w:p w14:paraId="4011E57E" w14:textId="77777777" w:rsidR="00DD1B5C" w:rsidRDefault="00DD1B5C">
            <w:pPr>
              <w:jc w:val="right"/>
              <w:rPr>
                <w:color w:val="000000"/>
                <w:sz w:val="20"/>
                <w:szCs w:val="20"/>
              </w:rPr>
            </w:pPr>
            <w:r>
              <w:rPr>
                <w:color w:val="000000"/>
                <w:sz w:val="20"/>
                <w:szCs w:val="20"/>
              </w:rPr>
              <w:t>0.001</w:t>
            </w:r>
          </w:p>
        </w:tc>
      </w:tr>
      <w:tr w:rsidR="00DD1B5C" w14:paraId="122C91E5" w14:textId="77777777" w:rsidTr="00DD1B5C">
        <w:trPr>
          <w:trHeight w:val="340"/>
        </w:trPr>
        <w:tc>
          <w:tcPr>
            <w:tcW w:w="1152" w:type="dxa"/>
            <w:tcBorders>
              <w:top w:val="nil"/>
              <w:left w:val="nil"/>
              <w:bottom w:val="nil"/>
              <w:right w:val="nil"/>
            </w:tcBorders>
            <w:shd w:val="clear" w:color="auto" w:fill="auto"/>
            <w:noWrap/>
            <w:vAlign w:val="bottom"/>
            <w:hideMark/>
          </w:tcPr>
          <w:p w14:paraId="080171F0"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A7CC1DB" w14:textId="77777777" w:rsidR="00DD1B5C" w:rsidRDefault="00DD1B5C">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F25B4D7" w14:textId="77777777" w:rsidR="00DD1B5C" w:rsidRDefault="00DD1B5C">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497847B" w14:textId="77777777" w:rsidR="00DD1B5C" w:rsidRDefault="00DD1B5C">
            <w:pPr>
              <w:jc w:val="right"/>
              <w:rPr>
                <w:color w:val="000000"/>
                <w:sz w:val="20"/>
                <w:szCs w:val="20"/>
              </w:rPr>
            </w:pPr>
            <w:r>
              <w:rPr>
                <w:color w:val="000000"/>
                <w:sz w:val="20"/>
                <w:szCs w:val="20"/>
              </w:rPr>
              <w:t>0.977</w:t>
            </w:r>
          </w:p>
        </w:tc>
        <w:tc>
          <w:tcPr>
            <w:tcW w:w="864" w:type="dxa"/>
            <w:tcBorders>
              <w:top w:val="nil"/>
              <w:left w:val="nil"/>
              <w:bottom w:val="nil"/>
              <w:right w:val="nil"/>
            </w:tcBorders>
            <w:shd w:val="clear" w:color="auto" w:fill="auto"/>
            <w:noWrap/>
            <w:vAlign w:val="bottom"/>
            <w:hideMark/>
          </w:tcPr>
          <w:p w14:paraId="03C23D80"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DBE10AB" w14:textId="77777777" w:rsidR="00DD1B5C" w:rsidRDefault="00DD1B5C">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0F9260AB" w14:textId="77777777" w:rsidR="00DD1B5C" w:rsidRDefault="00DD1B5C">
            <w:pPr>
              <w:jc w:val="right"/>
              <w:rPr>
                <w:color w:val="000000"/>
                <w:sz w:val="20"/>
                <w:szCs w:val="20"/>
              </w:rPr>
            </w:pPr>
            <w:r>
              <w:rPr>
                <w:color w:val="000000"/>
                <w:sz w:val="20"/>
                <w:szCs w:val="20"/>
              </w:rPr>
              <w:t>0.758</w:t>
            </w:r>
          </w:p>
        </w:tc>
        <w:tc>
          <w:tcPr>
            <w:tcW w:w="864" w:type="dxa"/>
            <w:tcBorders>
              <w:top w:val="nil"/>
              <w:left w:val="nil"/>
              <w:bottom w:val="nil"/>
              <w:right w:val="nil"/>
            </w:tcBorders>
            <w:shd w:val="clear" w:color="auto" w:fill="auto"/>
            <w:noWrap/>
            <w:vAlign w:val="bottom"/>
            <w:hideMark/>
          </w:tcPr>
          <w:p w14:paraId="7D932CDA" w14:textId="77777777" w:rsidR="00DD1B5C" w:rsidRDefault="00DD1B5C">
            <w:pPr>
              <w:jc w:val="right"/>
              <w:rPr>
                <w:color w:val="000000"/>
                <w:sz w:val="20"/>
                <w:szCs w:val="20"/>
              </w:rPr>
            </w:pPr>
            <w:r>
              <w:rPr>
                <w:color w:val="000000"/>
                <w:sz w:val="20"/>
                <w:szCs w:val="20"/>
              </w:rPr>
              <w:t>0.001</w:t>
            </w:r>
          </w:p>
        </w:tc>
      </w:tr>
      <w:tr w:rsidR="00DD1B5C" w14:paraId="2E5818B2" w14:textId="77777777" w:rsidTr="00DD1B5C">
        <w:trPr>
          <w:trHeight w:val="320"/>
        </w:trPr>
        <w:tc>
          <w:tcPr>
            <w:tcW w:w="1152" w:type="dxa"/>
            <w:tcBorders>
              <w:top w:val="nil"/>
              <w:left w:val="nil"/>
              <w:bottom w:val="nil"/>
              <w:right w:val="nil"/>
            </w:tcBorders>
            <w:shd w:val="clear" w:color="auto" w:fill="auto"/>
            <w:noWrap/>
            <w:vAlign w:val="bottom"/>
            <w:hideMark/>
          </w:tcPr>
          <w:p w14:paraId="52E5CAD8"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4A39357" w14:textId="77777777" w:rsidR="00DD1B5C" w:rsidRDefault="00DD1B5C">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2584667" w14:textId="77777777" w:rsidR="00DD1B5C" w:rsidRDefault="00DD1B5C">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2F919012" w14:textId="77777777" w:rsidR="00DD1B5C" w:rsidRDefault="00DD1B5C">
            <w:pPr>
              <w:jc w:val="right"/>
              <w:rPr>
                <w:color w:val="000000"/>
                <w:sz w:val="20"/>
                <w:szCs w:val="20"/>
              </w:rPr>
            </w:pPr>
            <w:r>
              <w:rPr>
                <w:color w:val="000000"/>
                <w:sz w:val="20"/>
                <w:szCs w:val="20"/>
              </w:rPr>
              <w:t>0.965</w:t>
            </w:r>
          </w:p>
        </w:tc>
        <w:tc>
          <w:tcPr>
            <w:tcW w:w="864" w:type="dxa"/>
            <w:tcBorders>
              <w:top w:val="nil"/>
              <w:left w:val="nil"/>
              <w:bottom w:val="nil"/>
              <w:right w:val="nil"/>
            </w:tcBorders>
            <w:shd w:val="clear" w:color="auto" w:fill="auto"/>
            <w:noWrap/>
            <w:vAlign w:val="bottom"/>
            <w:hideMark/>
          </w:tcPr>
          <w:p w14:paraId="7E50D448"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DECD4E0" w14:textId="77777777" w:rsidR="00DD1B5C" w:rsidRDefault="00DD1B5C">
            <w:pPr>
              <w:jc w:val="right"/>
              <w:rPr>
                <w:b/>
                <w:bCs/>
                <w:color w:val="000000"/>
                <w:sz w:val="20"/>
                <w:szCs w:val="20"/>
              </w:rPr>
            </w:pPr>
            <w:r>
              <w:rPr>
                <w:b/>
                <w:bCs/>
                <w:color w:val="000000"/>
                <w:sz w:val="20"/>
                <w:szCs w:val="20"/>
              </w:rPr>
              <w:t>-0.258</w:t>
            </w:r>
          </w:p>
        </w:tc>
        <w:tc>
          <w:tcPr>
            <w:tcW w:w="864" w:type="dxa"/>
            <w:tcBorders>
              <w:top w:val="nil"/>
              <w:left w:val="nil"/>
              <w:bottom w:val="nil"/>
              <w:right w:val="nil"/>
            </w:tcBorders>
            <w:shd w:val="clear" w:color="auto" w:fill="auto"/>
            <w:noWrap/>
            <w:vAlign w:val="bottom"/>
            <w:hideMark/>
          </w:tcPr>
          <w:p w14:paraId="01AF85FF" w14:textId="77777777" w:rsidR="00DD1B5C" w:rsidRDefault="00DD1B5C">
            <w:pPr>
              <w:jc w:val="right"/>
              <w:rPr>
                <w:b/>
                <w:bCs/>
                <w:color w:val="000000"/>
                <w:sz w:val="20"/>
                <w:szCs w:val="20"/>
              </w:rPr>
            </w:pPr>
            <w:r>
              <w:rPr>
                <w:b/>
                <w:bCs/>
                <w:color w:val="000000"/>
                <w:sz w:val="20"/>
                <w:szCs w:val="20"/>
              </w:rPr>
              <w:t>0.035</w:t>
            </w:r>
          </w:p>
        </w:tc>
        <w:tc>
          <w:tcPr>
            <w:tcW w:w="864" w:type="dxa"/>
            <w:tcBorders>
              <w:top w:val="nil"/>
              <w:left w:val="nil"/>
              <w:bottom w:val="nil"/>
              <w:right w:val="nil"/>
            </w:tcBorders>
            <w:shd w:val="clear" w:color="auto" w:fill="auto"/>
            <w:noWrap/>
            <w:vAlign w:val="bottom"/>
            <w:hideMark/>
          </w:tcPr>
          <w:p w14:paraId="45B43B6A" w14:textId="77777777" w:rsidR="00DD1B5C" w:rsidRDefault="00DD1B5C">
            <w:pPr>
              <w:jc w:val="right"/>
              <w:rPr>
                <w:b/>
                <w:bCs/>
                <w:color w:val="000000"/>
                <w:sz w:val="20"/>
                <w:szCs w:val="20"/>
              </w:rPr>
            </w:pPr>
            <w:r>
              <w:rPr>
                <w:b/>
                <w:bCs/>
                <w:color w:val="000000"/>
                <w:sz w:val="20"/>
                <w:szCs w:val="20"/>
              </w:rPr>
              <w:t>0.067</w:t>
            </w:r>
          </w:p>
        </w:tc>
      </w:tr>
      <w:tr w:rsidR="00DD1B5C" w14:paraId="301908B1" w14:textId="77777777" w:rsidTr="00DD1B5C">
        <w:trPr>
          <w:trHeight w:val="320"/>
        </w:trPr>
        <w:tc>
          <w:tcPr>
            <w:tcW w:w="1152" w:type="dxa"/>
            <w:tcBorders>
              <w:top w:val="nil"/>
              <w:left w:val="nil"/>
              <w:bottom w:val="nil"/>
              <w:right w:val="nil"/>
            </w:tcBorders>
            <w:shd w:val="clear" w:color="auto" w:fill="auto"/>
            <w:noWrap/>
            <w:vAlign w:val="bottom"/>
            <w:hideMark/>
          </w:tcPr>
          <w:p w14:paraId="04B81E37" w14:textId="77777777" w:rsidR="00DD1B5C" w:rsidRDefault="00DD1B5C">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266BC447" w14:textId="77777777" w:rsidR="00DD1B5C" w:rsidRDefault="00DD1B5C">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F559649" w14:textId="77777777" w:rsidR="00DD1B5C" w:rsidRDefault="00DD1B5C">
            <w:pPr>
              <w:jc w:val="right"/>
              <w:rPr>
                <w:color w:val="000000"/>
                <w:sz w:val="20"/>
                <w:szCs w:val="20"/>
              </w:rPr>
            </w:pPr>
            <w:r>
              <w:rPr>
                <w:color w:val="000000"/>
                <w:sz w:val="20"/>
                <w:szCs w:val="20"/>
              </w:rPr>
              <w:t>0.205</w:t>
            </w:r>
          </w:p>
        </w:tc>
        <w:tc>
          <w:tcPr>
            <w:tcW w:w="864" w:type="dxa"/>
            <w:tcBorders>
              <w:top w:val="nil"/>
              <w:left w:val="nil"/>
              <w:bottom w:val="nil"/>
              <w:right w:val="nil"/>
            </w:tcBorders>
            <w:shd w:val="clear" w:color="auto" w:fill="auto"/>
            <w:noWrap/>
            <w:vAlign w:val="bottom"/>
            <w:hideMark/>
          </w:tcPr>
          <w:p w14:paraId="617334BA" w14:textId="77777777" w:rsidR="00DD1B5C" w:rsidRDefault="00DD1B5C">
            <w:pPr>
              <w:jc w:val="right"/>
              <w:rPr>
                <w:color w:val="000000"/>
                <w:sz w:val="20"/>
                <w:szCs w:val="20"/>
              </w:rPr>
            </w:pPr>
            <w:r>
              <w:rPr>
                <w:color w:val="000000"/>
                <w:sz w:val="20"/>
                <w:szCs w:val="20"/>
              </w:rPr>
              <w:t>0.228</w:t>
            </w:r>
          </w:p>
        </w:tc>
        <w:tc>
          <w:tcPr>
            <w:tcW w:w="864" w:type="dxa"/>
            <w:tcBorders>
              <w:top w:val="nil"/>
              <w:left w:val="nil"/>
              <w:bottom w:val="nil"/>
              <w:right w:val="nil"/>
            </w:tcBorders>
            <w:shd w:val="clear" w:color="auto" w:fill="auto"/>
            <w:noWrap/>
            <w:vAlign w:val="bottom"/>
            <w:hideMark/>
          </w:tcPr>
          <w:p w14:paraId="1BBAA4FB" w14:textId="77777777" w:rsidR="00DD1B5C" w:rsidRDefault="00DD1B5C">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6257E9C1" w14:textId="77777777" w:rsidR="00DD1B5C" w:rsidRDefault="00DD1B5C">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61AF7045" w14:textId="77777777" w:rsidR="00DD1B5C" w:rsidRDefault="00DD1B5C">
            <w:pPr>
              <w:jc w:val="right"/>
              <w:rPr>
                <w:color w:val="000000"/>
                <w:sz w:val="20"/>
                <w:szCs w:val="20"/>
              </w:rPr>
            </w:pPr>
            <w:r>
              <w:rPr>
                <w:color w:val="000000"/>
                <w:sz w:val="20"/>
                <w:szCs w:val="20"/>
              </w:rPr>
              <w:t>0.842</w:t>
            </w:r>
          </w:p>
        </w:tc>
        <w:tc>
          <w:tcPr>
            <w:tcW w:w="864" w:type="dxa"/>
            <w:tcBorders>
              <w:top w:val="nil"/>
              <w:left w:val="nil"/>
              <w:bottom w:val="nil"/>
              <w:right w:val="nil"/>
            </w:tcBorders>
            <w:shd w:val="clear" w:color="auto" w:fill="auto"/>
            <w:noWrap/>
            <w:vAlign w:val="bottom"/>
            <w:hideMark/>
          </w:tcPr>
          <w:p w14:paraId="2272FB22" w14:textId="77777777" w:rsidR="00DD1B5C" w:rsidRDefault="00DD1B5C">
            <w:pPr>
              <w:jc w:val="right"/>
              <w:rPr>
                <w:color w:val="000000"/>
                <w:sz w:val="20"/>
                <w:szCs w:val="20"/>
              </w:rPr>
            </w:pPr>
            <w:r>
              <w:rPr>
                <w:color w:val="000000"/>
                <w:sz w:val="20"/>
                <w:szCs w:val="20"/>
              </w:rPr>
              <w:t>0.001</w:t>
            </w:r>
          </w:p>
        </w:tc>
      </w:tr>
      <w:tr w:rsidR="00DD1B5C" w14:paraId="03317225" w14:textId="77777777" w:rsidTr="00DD1B5C">
        <w:trPr>
          <w:trHeight w:val="320"/>
        </w:trPr>
        <w:tc>
          <w:tcPr>
            <w:tcW w:w="1152" w:type="dxa"/>
            <w:tcBorders>
              <w:top w:val="nil"/>
              <w:left w:val="nil"/>
              <w:bottom w:val="nil"/>
              <w:right w:val="nil"/>
            </w:tcBorders>
            <w:shd w:val="clear" w:color="auto" w:fill="auto"/>
            <w:noWrap/>
            <w:vAlign w:val="bottom"/>
            <w:hideMark/>
          </w:tcPr>
          <w:p w14:paraId="4B6F30C3"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3AE871B" w14:textId="77777777" w:rsidR="00DD1B5C" w:rsidRDefault="00DD1B5C">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981B740" w14:textId="77777777" w:rsidR="00DD1B5C" w:rsidRDefault="00DD1B5C">
            <w:pPr>
              <w:jc w:val="right"/>
              <w:rPr>
                <w:color w:val="000000"/>
                <w:sz w:val="20"/>
                <w:szCs w:val="20"/>
              </w:rPr>
            </w:pPr>
            <w:r>
              <w:rPr>
                <w:color w:val="000000"/>
                <w:sz w:val="20"/>
                <w:szCs w:val="20"/>
              </w:rPr>
              <w:t>0.093</w:t>
            </w:r>
          </w:p>
        </w:tc>
        <w:tc>
          <w:tcPr>
            <w:tcW w:w="864" w:type="dxa"/>
            <w:tcBorders>
              <w:top w:val="nil"/>
              <w:left w:val="nil"/>
              <w:bottom w:val="nil"/>
              <w:right w:val="nil"/>
            </w:tcBorders>
            <w:shd w:val="clear" w:color="auto" w:fill="auto"/>
            <w:noWrap/>
            <w:vAlign w:val="bottom"/>
            <w:hideMark/>
          </w:tcPr>
          <w:p w14:paraId="6060050A" w14:textId="77777777" w:rsidR="00DD1B5C" w:rsidRDefault="00DD1B5C">
            <w:pPr>
              <w:jc w:val="right"/>
              <w:rPr>
                <w:color w:val="000000"/>
                <w:sz w:val="20"/>
                <w:szCs w:val="20"/>
              </w:rPr>
            </w:pPr>
            <w:r>
              <w:rPr>
                <w:color w:val="000000"/>
                <w:sz w:val="20"/>
                <w:szCs w:val="20"/>
              </w:rPr>
              <w:t>0.228</w:t>
            </w:r>
          </w:p>
        </w:tc>
        <w:tc>
          <w:tcPr>
            <w:tcW w:w="864" w:type="dxa"/>
            <w:tcBorders>
              <w:top w:val="nil"/>
              <w:left w:val="nil"/>
              <w:bottom w:val="nil"/>
              <w:right w:val="nil"/>
            </w:tcBorders>
            <w:shd w:val="clear" w:color="auto" w:fill="auto"/>
            <w:noWrap/>
            <w:vAlign w:val="bottom"/>
            <w:hideMark/>
          </w:tcPr>
          <w:p w14:paraId="5EAE34F6" w14:textId="77777777" w:rsidR="00DD1B5C" w:rsidRDefault="00DD1B5C">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5C32A386" w14:textId="77777777" w:rsidR="00DD1B5C" w:rsidRPr="00492983" w:rsidRDefault="00DD1B5C">
            <w:pPr>
              <w:jc w:val="right"/>
              <w:rPr>
                <w:b/>
                <w:bCs/>
                <w:color w:val="000000"/>
                <w:sz w:val="20"/>
                <w:szCs w:val="20"/>
              </w:rPr>
            </w:pPr>
            <w:r w:rsidRPr="00492983">
              <w:rPr>
                <w:b/>
                <w:bCs/>
                <w:color w:val="000000"/>
                <w:sz w:val="20"/>
                <w:szCs w:val="20"/>
              </w:rPr>
              <w:t>-0.129</w:t>
            </w:r>
          </w:p>
        </w:tc>
        <w:tc>
          <w:tcPr>
            <w:tcW w:w="864" w:type="dxa"/>
            <w:tcBorders>
              <w:top w:val="nil"/>
              <w:left w:val="nil"/>
              <w:bottom w:val="nil"/>
              <w:right w:val="nil"/>
            </w:tcBorders>
            <w:shd w:val="clear" w:color="auto" w:fill="auto"/>
            <w:noWrap/>
            <w:vAlign w:val="bottom"/>
            <w:hideMark/>
          </w:tcPr>
          <w:p w14:paraId="1DB82393" w14:textId="77777777" w:rsidR="00DD1B5C" w:rsidRPr="00492983" w:rsidRDefault="00DD1B5C">
            <w:pPr>
              <w:jc w:val="right"/>
              <w:rPr>
                <w:b/>
                <w:bCs/>
                <w:color w:val="000000"/>
                <w:sz w:val="20"/>
                <w:szCs w:val="20"/>
              </w:rPr>
            </w:pPr>
            <w:r w:rsidRPr="00492983">
              <w:rPr>
                <w:b/>
                <w:bCs/>
                <w:color w:val="000000"/>
                <w:sz w:val="20"/>
                <w:szCs w:val="20"/>
              </w:rPr>
              <w:t>0.035</w:t>
            </w:r>
          </w:p>
        </w:tc>
        <w:tc>
          <w:tcPr>
            <w:tcW w:w="864" w:type="dxa"/>
            <w:tcBorders>
              <w:top w:val="nil"/>
              <w:left w:val="nil"/>
              <w:bottom w:val="nil"/>
              <w:right w:val="nil"/>
            </w:tcBorders>
            <w:shd w:val="clear" w:color="auto" w:fill="auto"/>
            <w:noWrap/>
            <w:vAlign w:val="bottom"/>
            <w:hideMark/>
          </w:tcPr>
          <w:p w14:paraId="3C39745A" w14:textId="77777777" w:rsidR="00DD1B5C" w:rsidRPr="00492983" w:rsidRDefault="00DD1B5C">
            <w:pPr>
              <w:jc w:val="right"/>
              <w:rPr>
                <w:b/>
                <w:bCs/>
                <w:color w:val="000000"/>
                <w:sz w:val="20"/>
                <w:szCs w:val="20"/>
              </w:rPr>
            </w:pPr>
            <w:r w:rsidRPr="00492983">
              <w:rPr>
                <w:b/>
                <w:bCs/>
                <w:color w:val="000000"/>
                <w:sz w:val="20"/>
                <w:szCs w:val="20"/>
              </w:rPr>
              <w:t>0.017</w:t>
            </w:r>
          </w:p>
        </w:tc>
      </w:tr>
      <w:tr w:rsidR="00DD1B5C" w14:paraId="33647BBE" w14:textId="77777777" w:rsidTr="00DD1B5C">
        <w:trPr>
          <w:trHeight w:val="320"/>
        </w:trPr>
        <w:tc>
          <w:tcPr>
            <w:tcW w:w="1152" w:type="dxa"/>
            <w:tcBorders>
              <w:top w:val="nil"/>
              <w:left w:val="nil"/>
              <w:bottom w:val="nil"/>
              <w:right w:val="nil"/>
            </w:tcBorders>
            <w:shd w:val="clear" w:color="auto" w:fill="auto"/>
            <w:noWrap/>
            <w:vAlign w:val="bottom"/>
            <w:hideMark/>
          </w:tcPr>
          <w:p w14:paraId="1AF4B9EE"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98D93B0" w14:textId="77777777" w:rsidR="00DD1B5C" w:rsidRDefault="00DD1B5C">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767A893" w14:textId="77777777" w:rsidR="00DD1B5C" w:rsidRDefault="00DD1B5C">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2EBAB684" w14:textId="77777777" w:rsidR="00DD1B5C" w:rsidRDefault="00DD1B5C">
            <w:pPr>
              <w:jc w:val="right"/>
              <w:rPr>
                <w:color w:val="000000"/>
                <w:sz w:val="20"/>
                <w:szCs w:val="20"/>
              </w:rPr>
            </w:pPr>
            <w:r>
              <w:rPr>
                <w:color w:val="000000"/>
                <w:sz w:val="20"/>
                <w:szCs w:val="20"/>
              </w:rPr>
              <w:t>0.965</w:t>
            </w:r>
          </w:p>
        </w:tc>
        <w:tc>
          <w:tcPr>
            <w:tcW w:w="864" w:type="dxa"/>
            <w:tcBorders>
              <w:top w:val="nil"/>
              <w:left w:val="nil"/>
              <w:bottom w:val="nil"/>
              <w:right w:val="nil"/>
            </w:tcBorders>
            <w:shd w:val="clear" w:color="auto" w:fill="auto"/>
            <w:noWrap/>
            <w:vAlign w:val="bottom"/>
            <w:hideMark/>
          </w:tcPr>
          <w:p w14:paraId="4BF8B8C0" w14:textId="77777777" w:rsidR="00DD1B5C" w:rsidRDefault="00DD1B5C">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FD46C94" w14:textId="77777777" w:rsidR="00DD1B5C" w:rsidRPr="00492983" w:rsidRDefault="00DD1B5C">
            <w:pPr>
              <w:jc w:val="right"/>
              <w:rPr>
                <w:b/>
                <w:bCs/>
                <w:color w:val="000000"/>
                <w:sz w:val="20"/>
                <w:szCs w:val="20"/>
              </w:rPr>
            </w:pPr>
            <w:r w:rsidRPr="00492983">
              <w:rPr>
                <w:b/>
                <w:bCs/>
                <w:color w:val="000000"/>
                <w:sz w:val="20"/>
                <w:szCs w:val="20"/>
              </w:rPr>
              <w:t>-0.092</w:t>
            </w:r>
          </w:p>
        </w:tc>
        <w:tc>
          <w:tcPr>
            <w:tcW w:w="864" w:type="dxa"/>
            <w:tcBorders>
              <w:top w:val="nil"/>
              <w:left w:val="nil"/>
              <w:bottom w:val="nil"/>
              <w:right w:val="nil"/>
            </w:tcBorders>
            <w:shd w:val="clear" w:color="auto" w:fill="auto"/>
            <w:noWrap/>
            <w:vAlign w:val="bottom"/>
            <w:hideMark/>
          </w:tcPr>
          <w:p w14:paraId="3356208A" w14:textId="77777777" w:rsidR="00DD1B5C" w:rsidRPr="00492983" w:rsidRDefault="00DD1B5C">
            <w:pPr>
              <w:jc w:val="right"/>
              <w:rPr>
                <w:b/>
                <w:bCs/>
                <w:color w:val="000000"/>
                <w:sz w:val="20"/>
                <w:szCs w:val="20"/>
              </w:rPr>
            </w:pPr>
            <w:r w:rsidRPr="00492983">
              <w:rPr>
                <w:b/>
                <w:bCs/>
                <w:color w:val="000000"/>
                <w:sz w:val="20"/>
                <w:szCs w:val="20"/>
              </w:rPr>
              <w:t>0.035</w:t>
            </w:r>
          </w:p>
        </w:tc>
        <w:tc>
          <w:tcPr>
            <w:tcW w:w="864" w:type="dxa"/>
            <w:tcBorders>
              <w:top w:val="nil"/>
              <w:left w:val="nil"/>
              <w:bottom w:val="nil"/>
              <w:right w:val="nil"/>
            </w:tcBorders>
            <w:shd w:val="clear" w:color="auto" w:fill="auto"/>
            <w:noWrap/>
            <w:vAlign w:val="bottom"/>
            <w:hideMark/>
          </w:tcPr>
          <w:p w14:paraId="0A2B1F82" w14:textId="77777777" w:rsidR="00DD1B5C" w:rsidRPr="00492983" w:rsidRDefault="00DD1B5C">
            <w:pPr>
              <w:jc w:val="right"/>
              <w:rPr>
                <w:b/>
                <w:bCs/>
                <w:color w:val="000000"/>
                <w:sz w:val="20"/>
                <w:szCs w:val="20"/>
              </w:rPr>
            </w:pPr>
            <w:r w:rsidRPr="00492983">
              <w:rPr>
                <w:b/>
                <w:bCs/>
                <w:color w:val="000000"/>
                <w:sz w:val="20"/>
                <w:szCs w:val="20"/>
              </w:rPr>
              <w:t>0.008</w:t>
            </w:r>
          </w:p>
        </w:tc>
      </w:tr>
      <w:tr w:rsidR="00DD1B5C" w14:paraId="6C75C145" w14:textId="77777777" w:rsidTr="00DD1B5C">
        <w:trPr>
          <w:trHeight w:val="320"/>
        </w:trPr>
        <w:tc>
          <w:tcPr>
            <w:tcW w:w="1152" w:type="dxa"/>
            <w:tcBorders>
              <w:top w:val="nil"/>
              <w:left w:val="nil"/>
              <w:bottom w:val="nil"/>
              <w:right w:val="nil"/>
            </w:tcBorders>
            <w:shd w:val="clear" w:color="auto" w:fill="auto"/>
            <w:noWrap/>
            <w:vAlign w:val="bottom"/>
            <w:hideMark/>
          </w:tcPr>
          <w:p w14:paraId="30EC06BC"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9CB248C" w14:textId="77777777" w:rsidR="00DD1B5C" w:rsidRDefault="00DD1B5C">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1460F4A" w14:textId="77777777" w:rsidR="00DD1B5C" w:rsidRDefault="00DD1B5C">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67C54A18" w14:textId="77777777" w:rsidR="00DD1B5C" w:rsidRDefault="00DD1B5C">
            <w:pPr>
              <w:jc w:val="right"/>
              <w:rPr>
                <w:color w:val="000000"/>
                <w:sz w:val="20"/>
                <w:szCs w:val="20"/>
              </w:rPr>
            </w:pPr>
            <w:r>
              <w:rPr>
                <w:color w:val="000000"/>
                <w:sz w:val="20"/>
                <w:szCs w:val="20"/>
              </w:rPr>
              <w:t>0.965</w:t>
            </w:r>
          </w:p>
        </w:tc>
        <w:tc>
          <w:tcPr>
            <w:tcW w:w="864" w:type="dxa"/>
            <w:tcBorders>
              <w:top w:val="nil"/>
              <w:left w:val="nil"/>
              <w:bottom w:val="nil"/>
              <w:right w:val="nil"/>
            </w:tcBorders>
            <w:shd w:val="clear" w:color="auto" w:fill="auto"/>
            <w:noWrap/>
            <w:vAlign w:val="bottom"/>
            <w:hideMark/>
          </w:tcPr>
          <w:p w14:paraId="16B86E1C"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C64F785" w14:textId="77777777" w:rsidR="00DD1B5C" w:rsidRDefault="00DD1B5C">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087890DF" w14:textId="77777777" w:rsidR="00DD1B5C" w:rsidRDefault="00DD1B5C">
            <w:pPr>
              <w:jc w:val="right"/>
              <w:rPr>
                <w:color w:val="000000"/>
                <w:sz w:val="20"/>
                <w:szCs w:val="20"/>
              </w:rPr>
            </w:pPr>
            <w:r>
              <w:rPr>
                <w:color w:val="000000"/>
                <w:sz w:val="20"/>
                <w:szCs w:val="20"/>
              </w:rPr>
              <w:t>0.758</w:t>
            </w:r>
          </w:p>
        </w:tc>
        <w:tc>
          <w:tcPr>
            <w:tcW w:w="864" w:type="dxa"/>
            <w:tcBorders>
              <w:top w:val="nil"/>
              <w:left w:val="nil"/>
              <w:bottom w:val="nil"/>
              <w:right w:val="nil"/>
            </w:tcBorders>
            <w:shd w:val="clear" w:color="auto" w:fill="auto"/>
            <w:noWrap/>
            <w:vAlign w:val="bottom"/>
            <w:hideMark/>
          </w:tcPr>
          <w:p w14:paraId="145A6F8A" w14:textId="77777777" w:rsidR="00DD1B5C" w:rsidRDefault="00DD1B5C">
            <w:pPr>
              <w:jc w:val="right"/>
              <w:rPr>
                <w:color w:val="000000"/>
                <w:sz w:val="20"/>
                <w:szCs w:val="20"/>
              </w:rPr>
            </w:pPr>
            <w:r>
              <w:rPr>
                <w:color w:val="000000"/>
                <w:sz w:val="20"/>
                <w:szCs w:val="20"/>
              </w:rPr>
              <w:t>0.000</w:t>
            </w:r>
          </w:p>
        </w:tc>
      </w:tr>
      <w:tr w:rsidR="00DD1B5C" w14:paraId="352CD12D" w14:textId="77777777" w:rsidTr="00DD1B5C">
        <w:trPr>
          <w:trHeight w:val="320"/>
        </w:trPr>
        <w:tc>
          <w:tcPr>
            <w:tcW w:w="1152" w:type="dxa"/>
            <w:tcBorders>
              <w:top w:val="nil"/>
              <w:left w:val="nil"/>
              <w:bottom w:val="single" w:sz="4" w:space="0" w:color="auto"/>
              <w:right w:val="nil"/>
            </w:tcBorders>
            <w:shd w:val="clear" w:color="auto" w:fill="auto"/>
            <w:noWrap/>
            <w:vAlign w:val="bottom"/>
            <w:hideMark/>
          </w:tcPr>
          <w:p w14:paraId="7C84607C" w14:textId="77777777" w:rsidR="00DD1B5C" w:rsidRDefault="00DD1B5C">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D766EF4" w14:textId="77777777" w:rsidR="00DD1B5C" w:rsidRDefault="00DD1B5C">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38B74DC" w14:textId="77777777" w:rsidR="00DD1B5C" w:rsidRDefault="00DD1B5C">
            <w:pPr>
              <w:jc w:val="right"/>
              <w:rPr>
                <w:color w:val="000000"/>
                <w:sz w:val="20"/>
                <w:szCs w:val="20"/>
              </w:rPr>
            </w:pPr>
            <w:r>
              <w:rPr>
                <w:color w:val="000000"/>
                <w:sz w:val="20"/>
                <w:szCs w:val="20"/>
              </w:rPr>
              <w:t>-0.019</w:t>
            </w:r>
          </w:p>
        </w:tc>
        <w:tc>
          <w:tcPr>
            <w:tcW w:w="864" w:type="dxa"/>
            <w:tcBorders>
              <w:top w:val="nil"/>
              <w:left w:val="nil"/>
              <w:bottom w:val="single" w:sz="4" w:space="0" w:color="auto"/>
              <w:right w:val="nil"/>
            </w:tcBorders>
            <w:shd w:val="clear" w:color="auto" w:fill="auto"/>
            <w:noWrap/>
            <w:vAlign w:val="bottom"/>
            <w:hideMark/>
          </w:tcPr>
          <w:p w14:paraId="580EFD41" w14:textId="77777777" w:rsidR="00DD1B5C" w:rsidRDefault="00DD1B5C">
            <w:pPr>
              <w:jc w:val="right"/>
              <w:rPr>
                <w:color w:val="000000"/>
                <w:sz w:val="20"/>
                <w:szCs w:val="20"/>
              </w:rPr>
            </w:pPr>
            <w:r>
              <w:rPr>
                <w:color w:val="000000"/>
                <w:sz w:val="20"/>
                <w:szCs w:val="20"/>
              </w:rPr>
              <w:t>0.965</w:t>
            </w:r>
          </w:p>
        </w:tc>
        <w:tc>
          <w:tcPr>
            <w:tcW w:w="864" w:type="dxa"/>
            <w:tcBorders>
              <w:top w:val="nil"/>
              <w:left w:val="nil"/>
              <w:bottom w:val="single" w:sz="4" w:space="0" w:color="auto"/>
              <w:right w:val="nil"/>
            </w:tcBorders>
            <w:shd w:val="clear" w:color="auto" w:fill="auto"/>
            <w:noWrap/>
            <w:vAlign w:val="bottom"/>
            <w:hideMark/>
          </w:tcPr>
          <w:p w14:paraId="52167E94"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4402D70C" w14:textId="77777777" w:rsidR="00DD1B5C" w:rsidRDefault="00DD1B5C">
            <w:pPr>
              <w:jc w:val="right"/>
              <w:rPr>
                <w:color w:val="000000"/>
                <w:sz w:val="20"/>
                <w:szCs w:val="20"/>
              </w:rPr>
            </w:pPr>
            <w:r>
              <w:rPr>
                <w:color w:val="000000"/>
                <w:sz w:val="20"/>
                <w:szCs w:val="20"/>
              </w:rPr>
              <w:t>-0.035</w:t>
            </w:r>
          </w:p>
        </w:tc>
        <w:tc>
          <w:tcPr>
            <w:tcW w:w="864" w:type="dxa"/>
            <w:tcBorders>
              <w:top w:val="nil"/>
              <w:left w:val="nil"/>
              <w:bottom w:val="single" w:sz="4" w:space="0" w:color="auto"/>
              <w:right w:val="nil"/>
            </w:tcBorders>
            <w:shd w:val="clear" w:color="auto" w:fill="auto"/>
            <w:noWrap/>
            <w:vAlign w:val="bottom"/>
            <w:hideMark/>
          </w:tcPr>
          <w:p w14:paraId="3C00B4B0" w14:textId="77777777" w:rsidR="00DD1B5C" w:rsidRDefault="00DD1B5C">
            <w:pPr>
              <w:jc w:val="right"/>
              <w:rPr>
                <w:color w:val="000000"/>
                <w:sz w:val="20"/>
                <w:szCs w:val="20"/>
              </w:rPr>
            </w:pPr>
            <w:r>
              <w:rPr>
                <w:color w:val="000000"/>
                <w:sz w:val="20"/>
                <w:szCs w:val="20"/>
              </w:rPr>
              <w:t>0.758</w:t>
            </w:r>
          </w:p>
        </w:tc>
        <w:tc>
          <w:tcPr>
            <w:tcW w:w="864" w:type="dxa"/>
            <w:tcBorders>
              <w:top w:val="nil"/>
              <w:left w:val="nil"/>
              <w:bottom w:val="single" w:sz="4" w:space="0" w:color="auto"/>
              <w:right w:val="nil"/>
            </w:tcBorders>
            <w:shd w:val="clear" w:color="auto" w:fill="auto"/>
            <w:noWrap/>
            <w:vAlign w:val="bottom"/>
            <w:hideMark/>
          </w:tcPr>
          <w:p w14:paraId="022088CD" w14:textId="77777777" w:rsidR="00DD1B5C" w:rsidRDefault="00DD1B5C">
            <w:pPr>
              <w:jc w:val="right"/>
              <w:rPr>
                <w:color w:val="000000"/>
                <w:sz w:val="20"/>
                <w:szCs w:val="20"/>
              </w:rPr>
            </w:pPr>
            <w:r>
              <w:rPr>
                <w:color w:val="000000"/>
                <w:sz w:val="20"/>
                <w:szCs w:val="20"/>
              </w:rPr>
              <w:t>0.001</w:t>
            </w:r>
          </w:p>
        </w:tc>
      </w:tr>
      <w:tr w:rsidR="00DD1B5C" w14:paraId="4492EC21" w14:textId="77777777" w:rsidTr="00DD1B5C">
        <w:trPr>
          <w:trHeight w:val="320"/>
        </w:trPr>
        <w:tc>
          <w:tcPr>
            <w:tcW w:w="1152" w:type="dxa"/>
            <w:tcBorders>
              <w:top w:val="nil"/>
              <w:left w:val="nil"/>
              <w:bottom w:val="nil"/>
              <w:right w:val="nil"/>
            </w:tcBorders>
            <w:shd w:val="clear" w:color="auto" w:fill="auto"/>
            <w:noWrap/>
            <w:vAlign w:val="bottom"/>
            <w:hideMark/>
          </w:tcPr>
          <w:p w14:paraId="136187BD" w14:textId="77777777" w:rsidR="00DD1B5C" w:rsidRDefault="00DD1B5C">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1FA126B8" w14:textId="77777777" w:rsidR="00DD1B5C" w:rsidRDefault="00DD1B5C">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4571825" w14:textId="77777777" w:rsidR="00DD1B5C" w:rsidRDefault="00DD1B5C">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1C45F8DE" w14:textId="77777777" w:rsidR="00DD1B5C" w:rsidRDefault="00DD1B5C">
            <w:pPr>
              <w:jc w:val="right"/>
              <w:rPr>
                <w:color w:val="000000"/>
                <w:sz w:val="20"/>
                <w:szCs w:val="20"/>
              </w:rPr>
            </w:pPr>
            <w:r>
              <w:rPr>
                <w:color w:val="000000"/>
                <w:sz w:val="20"/>
                <w:szCs w:val="20"/>
              </w:rPr>
              <w:t>0.872</w:t>
            </w:r>
          </w:p>
        </w:tc>
        <w:tc>
          <w:tcPr>
            <w:tcW w:w="864" w:type="dxa"/>
            <w:tcBorders>
              <w:top w:val="nil"/>
              <w:left w:val="nil"/>
              <w:bottom w:val="nil"/>
              <w:right w:val="nil"/>
            </w:tcBorders>
            <w:shd w:val="clear" w:color="auto" w:fill="auto"/>
            <w:noWrap/>
            <w:vAlign w:val="bottom"/>
            <w:hideMark/>
          </w:tcPr>
          <w:p w14:paraId="436923AE"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38AAB8B" w14:textId="77777777" w:rsidR="00DD1B5C" w:rsidRDefault="00DD1B5C">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69E3CB76" w14:textId="77777777" w:rsidR="00DD1B5C" w:rsidRDefault="00DD1B5C">
            <w:pPr>
              <w:jc w:val="right"/>
              <w:rPr>
                <w:color w:val="000000"/>
                <w:sz w:val="20"/>
                <w:szCs w:val="20"/>
              </w:rPr>
            </w:pPr>
            <w:r>
              <w:rPr>
                <w:color w:val="000000"/>
                <w:sz w:val="20"/>
                <w:szCs w:val="20"/>
              </w:rPr>
              <w:t>0.332</w:t>
            </w:r>
          </w:p>
        </w:tc>
        <w:tc>
          <w:tcPr>
            <w:tcW w:w="864" w:type="dxa"/>
            <w:tcBorders>
              <w:top w:val="nil"/>
              <w:left w:val="nil"/>
              <w:bottom w:val="nil"/>
              <w:right w:val="nil"/>
            </w:tcBorders>
            <w:shd w:val="clear" w:color="auto" w:fill="auto"/>
            <w:noWrap/>
            <w:vAlign w:val="bottom"/>
            <w:hideMark/>
          </w:tcPr>
          <w:p w14:paraId="63015125" w14:textId="77777777" w:rsidR="00DD1B5C" w:rsidRDefault="00DD1B5C">
            <w:pPr>
              <w:jc w:val="right"/>
              <w:rPr>
                <w:color w:val="000000"/>
                <w:sz w:val="20"/>
                <w:szCs w:val="20"/>
              </w:rPr>
            </w:pPr>
            <w:r>
              <w:rPr>
                <w:color w:val="000000"/>
                <w:sz w:val="20"/>
                <w:szCs w:val="20"/>
              </w:rPr>
              <w:t>0.002</w:t>
            </w:r>
          </w:p>
        </w:tc>
      </w:tr>
      <w:tr w:rsidR="00DD1B5C" w14:paraId="27A4FEA6" w14:textId="77777777" w:rsidTr="00DD1B5C">
        <w:trPr>
          <w:trHeight w:val="320"/>
        </w:trPr>
        <w:tc>
          <w:tcPr>
            <w:tcW w:w="1152" w:type="dxa"/>
            <w:tcBorders>
              <w:top w:val="nil"/>
              <w:left w:val="nil"/>
              <w:bottom w:val="nil"/>
              <w:right w:val="nil"/>
            </w:tcBorders>
            <w:shd w:val="clear" w:color="auto" w:fill="auto"/>
            <w:noWrap/>
            <w:vAlign w:val="bottom"/>
            <w:hideMark/>
          </w:tcPr>
          <w:p w14:paraId="53799936"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AF783AE" w14:textId="77777777" w:rsidR="00DD1B5C" w:rsidRDefault="00DD1B5C">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483ACF7" w14:textId="77777777" w:rsidR="00DD1B5C" w:rsidRDefault="00DD1B5C">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4A8F31DB" w14:textId="77777777" w:rsidR="00DD1B5C" w:rsidRDefault="00DD1B5C">
            <w:pPr>
              <w:jc w:val="right"/>
              <w:rPr>
                <w:color w:val="000000"/>
                <w:sz w:val="20"/>
                <w:szCs w:val="20"/>
              </w:rPr>
            </w:pPr>
            <w:r>
              <w:rPr>
                <w:color w:val="000000"/>
                <w:sz w:val="20"/>
                <w:szCs w:val="20"/>
              </w:rPr>
              <w:t>0.446</w:t>
            </w:r>
          </w:p>
        </w:tc>
        <w:tc>
          <w:tcPr>
            <w:tcW w:w="864" w:type="dxa"/>
            <w:tcBorders>
              <w:top w:val="nil"/>
              <w:left w:val="nil"/>
              <w:bottom w:val="nil"/>
              <w:right w:val="nil"/>
            </w:tcBorders>
            <w:shd w:val="clear" w:color="auto" w:fill="auto"/>
            <w:noWrap/>
            <w:vAlign w:val="bottom"/>
            <w:hideMark/>
          </w:tcPr>
          <w:p w14:paraId="72788C40" w14:textId="77777777" w:rsidR="00DD1B5C" w:rsidRDefault="00DD1B5C">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15A97075" w14:textId="77777777" w:rsidR="00DD1B5C" w:rsidRDefault="00DD1B5C">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204C0010" w14:textId="77777777" w:rsidR="00DD1B5C" w:rsidRDefault="00DD1B5C">
            <w:pPr>
              <w:jc w:val="right"/>
              <w:rPr>
                <w:color w:val="000000"/>
                <w:sz w:val="20"/>
                <w:szCs w:val="20"/>
              </w:rPr>
            </w:pPr>
            <w:r>
              <w:rPr>
                <w:color w:val="000000"/>
                <w:sz w:val="20"/>
                <w:szCs w:val="20"/>
              </w:rPr>
              <w:t>0.332</w:t>
            </w:r>
          </w:p>
        </w:tc>
        <w:tc>
          <w:tcPr>
            <w:tcW w:w="864" w:type="dxa"/>
            <w:tcBorders>
              <w:top w:val="nil"/>
              <w:left w:val="nil"/>
              <w:bottom w:val="nil"/>
              <w:right w:val="nil"/>
            </w:tcBorders>
            <w:shd w:val="clear" w:color="auto" w:fill="auto"/>
            <w:noWrap/>
            <w:vAlign w:val="bottom"/>
            <w:hideMark/>
          </w:tcPr>
          <w:p w14:paraId="1EAB2B33" w14:textId="77777777" w:rsidR="00DD1B5C" w:rsidRDefault="00DD1B5C">
            <w:pPr>
              <w:jc w:val="right"/>
              <w:rPr>
                <w:color w:val="000000"/>
                <w:sz w:val="20"/>
                <w:szCs w:val="20"/>
              </w:rPr>
            </w:pPr>
            <w:r>
              <w:rPr>
                <w:color w:val="000000"/>
                <w:sz w:val="20"/>
                <w:szCs w:val="20"/>
              </w:rPr>
              <w:t>0.002</w:t>
            </w:r>
          </w:p>
        </w:tc>
      </w:tr>
      <w:tr w:rsidR="00DD1B5C" w14:paraId="2A1A2B4A" w14:textId="77777777" w:rsidTr="00DD1B5C">
        <w:trPr>
          <w:trHeight w:val="320"/>
        </w:trPr>
        <w:tc>
          <w:tcPr>
            <w:tcW w:w="1152" w:type="dxa"/>
            <w:tcBorders>
              <w:top w:val="nil"/>
              <w:left w:val="nil"/>
              <w:bottom w:val="nil"/>
              <w:right w:val="nil"/>
            </w:tcBorders>
            <w:shd w:val="clear" w:color="auto" w:fill="auto"/>
            <w:noWrap/>
            <w:vAlign w:val="bottom"/>
            <w:hideMark/>
          </w:tcPr>
          <w:p w14:paraId="7FC9E5D7"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F836A81" w14:textId="77777777" w:rsidR="00DD1B5C" w:rsidRDefault="00DD1B5C">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F99CB60" w14:textId="77777777" w:rsidR="00DD1B5C" w:rsidRDefault="00DD1B5C">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A1C0D18" w14:textId="77777777" w:rsidR="00DD1B5C" w:rsidRDefault="00DD1B5C">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212F4F3A"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EFF2123" w14:textId="77777777" w:rsidR="00DD1B5C" w:rsidRDefault="00DD1B5C">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CA716FB" w14:textId="77777777" w:rsidR="00DD1B5C" w:rsidRDefault="00DD1B5C">
            <w:pPr>
              <w:jc w:val="right"/>
              <w:rPr>
                <w:color w:val="000000"/>
                <w:sz w:val="20"/>
                <w:szCs w:val="20"/>
              </w:rPr>
            </w:pPr>
            <w:r>
              <w:rPr>
                <w:color w:val="000000"/>
                <w:sz w:val="20"/>
                <w:szCs w:val="20"/>
              </w:rPr>
              <w:t>0.990</w:t>
            </w:r>
          </w:p>
        </w:tc>
        <w:tc>
          <w:tcPr>
            <w:tcW w:w="864" w:type="dxa"/>
            <w:tcBorders>
              <w:top w:val="nil"/>
              <w:left w:val="nil"/>
              <w:bottom w:val="nil"/>
              <w:right w:val="nil"/>
            </w:tcBorders>
            <w:shd w:val="clear" w:color="auto" w:fill="auto"/>
            <w:noWrap/>
            <w:vAlign w:val="bottom"/>
            <w:hideMark/>
          </w:tcPr>
          <w:p w14:paraId="012957CE" w14:textId="77777777" w:rsidR="00DD1B5C" w:rsidRDefault="00DD1B5C">
            <w:pPr>
              <w:jc w:val="right"/>
              <w:rPr>
                <w:color w:val="000000"/>
                <w:sz w:val="20"/>
                <w:szCs w:val="20"/>
              </w:rPr>
            </w:pPr>
            <w:r>
              <w:rPr>
                <w:color w:val="000000"/>
                <w:sz w:val="20"/>
                <w:szCs w:val="20"/>
              </w:rPr>
              <w:t>0.000</w:t>
            </w:r>
          </w:p>
        </w:tc>
      </w:tr>
      <w:tr w:rsidR="00DD1B5C" w14:paraId="426B3386" w14:textId="77777777" w:rsidTr="00DD1B5C">
        <w:trPr>
          <w:trHeight w:val="320"/>
        </w:trPr>
        <w:tc>
          <w:tcPr>
            <w:tcW w:w="1152" w:type="dxa"/>
            <w:tcBorders>
              <w:top w:val="nil"/>
              <w:left w:val="nil"/>
              <w:bottom w:val="nil"/>
              <w:right w:val="nil"/>
            </w:tcBorders>
            <w:shd w:val="clear" w:color="auto" w:fill="auto"/>
            <w:noWrap/>
            <w:vAlign w:val="bottom"/>
            <w:hideMark/>
          </w:tcPr>
          <w:p w14:paraId="48FB8B3A"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5191123" w14:textId="77777777" w:rsidR="00DD1B5C" w:rsidRDefault="00DD1B5C">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DB364CC" w14:textId="77777777" w:rsidR="00DD1B5C" w:rsidRDefault="00DD1B5C">
            <w:pPr>
              <w:jc w:val="right"/>
              <w:rPr>
                <w:color w:val="000000"/>
                <w:sz w:val="20"/>
                <w:szCs w:val="20"/>
              </w:rPr>
            </w:pPr>
            <w:r>
              <w:rPr>
                <w:color w:val="000000"/>
                <w:sz w:val="20"/>
                <w:szCs w:val="20"/>
              </w:rPr>
              <w:t>0.085</w:t>
            </w:r>
          </w:p>
        </w:tc>
        <w:tc>
          <w:tcPr>
            <w:tcW w:w="864" w:type="dxa"/>
            <w:tcBorders>
              <w:top w:val="nil"/>
              <w:left w:val="nil"/>
              <w:bottom w:val="nil"/>
              <w:right w:val="nil"/>
            </w:tcBorders>
            <w:shd w:val="clear" w:color="auto" w:fill="auto"/>
            <w:noWrap/>
            <w:vAlign w:val="bottom"/>
            <w:hideMark/>
          </w:tcPr>
          <w:p w14:paraId="462ED454" w14:textId="77777777" w:rsidR="00DD1B5C" w:rsidRDefault="00DD1B5C">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0D947BC7" w14:textId="77777777" w:rsidR="00DD1B5C" w:rsidRDefault="00DD1B5C">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145D2BEE" w14:textId="77777777" w:rsidR="00DD1B5C" w:rsidRDefault="00DD1B5C">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556B0A7F" w14:textId="77777777" w:rsidR="00DD1B5C" w:rsidRDefault="00DD1B5C">
            <w:pPr>
              <w:jc w:val="right"/>
              <w:rPr>
                <w:color w:val="000000"/>
                <w:sz w:val="20"/>
                <w:szCs w:val="20"/>
              </w:rPr>
            </w:pPr>
            <w:r>
              <w:rPr>
                <w:color w:val="000000"/>
                <w:sz w:val="20"/>
                <w:szCs w:val="20"/>
              </w:rPr>
              <w:t>0.499</w:t>
            </w:r>
          </w:p>
        </w:tc>
        <w:tc>
          <w:tcPr>
            <w:tcW w:w="864" w:type="dxa"/>
            <w:tcBorders>
              <w:top w:val="nil"/>
              <w:left w:val="nil"/>
              <w:bottom w:val="nil"/>
              <w:right w:val="nil"/>
            </w:tcBorders>
            <w:shd w:val="clear" w:color="auto" w:fill="auto"/>
            <w:noWrap/>
            <w:vAlign w:val="bottom"/>
            <w:hideMark/>
          </w:tcPr>
          <w:p w14:paraId="067E9D75" w14:textId="77777777" w:rsidR="00DD1B5C" w:rsidRDefault="00DD1B5C">
            <w:pPr>
              <w:jc w:val="right"/>
              <w:rPr>
                <w:color w:val="000000"/>
                <w:sz w:val="20"/>
                <w:szCs w:val="20"/>
              </w:rPr>
            </w:pPr>
            <w:r>
              <w:rPr>
                <w:color w:val="000000"/>
                <w:sz w:val="20"/>
                <w:szCs w:val="20"/>
              </w:rPr>
              <w:t>0.002</w:t>
            </w:r>
          </w:p>
        </w:tc>
      </w:tr>
      <w:tr w:rsidR="00DD1B5C" w14:paraId="406FF077" w14:textId="77777777" w:rsidTr="00DD1B5C">
        <w:trPr>
          <w:trHeight w:val="320"/>
        </w:trPr>
        <w:tc>
          <w:tcPr>
            <w:tcW w:w="1152" w:type="dxa"/>
            <w:tcBorders>
              <w:top w:val="nil"/>
              <w:left w:val="nil"/>
              <w:bottom w:val="nil"/>
              <w:right w:val="nil"/>
            </w:tcBorders>
            <w:shd w:val="clear" w:color="auto" w:fill="auto"/>
            <w:noWrap/>
            <w:vAlign w:val="bottom"/>
            <w:hideMark/>
          </w:tcPr>
          <w:p w14:paraId="25A460FE"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E29A46D" w14:textId="77777777" w:rsidR="00DD1B5C" w:rsidRDefault="00DD1B5C">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E95AD43" w14:textId="77777777" w:rsidR="00DD1B5C" w:rsidRDefault="00DD1B5C">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1F2497A4" w14:textId="77777777" w:rsidR="00DD1B5C" w:rsidRDefault="00DD1B5C">
            <w:pPr>
              <w:jc w:val="right"/>
              <w:rPr>
                <w:color w:val="000000"/>
                <w:sz w:val="20"/>
                <w:szCs w:val="20"/>
              </w:rPr>
            </w:pPr>
            <w:r>
              <w:rPr>
                <w:color w:val="000000"/>
                <w:sz w:val="20"/>
                <w:szCs w:val="20"/>
              </w:rPr>
              <w:t>0.694</w:t>
            </w:r>
          </w:p>
        </w:tc>
        <w:tc>
          <w:tcPr>
            <w:tcW w:w="864" w:type="dxa"/>
            <w:tcBorders>
              <w:top w:val="nil"/>
              <w:left w:val="nil"/>
              <w:bottom w:val="nil"/>
              <w:right w:val="nil"/>
            </w:tcBorders>
            <w:shd w:val="clear" w:color="auto" w:fill="auto"/>
            <w:noWrap/>
            <w:vAlign w:val="bottom"/>
            <w:hideMark/>
          </w:tcPr>
          <w:p w14:paraId="59DA402C" w14:textId="77777777" w:rsidR="00DD1B5C" w:rsidRDefault="00DD1B5C">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4DCD0C5" w14:textId="77777777" w:rsidR="00DD1B5C" w:rsidRDefault="00DD1B5C">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4641E7EA" w14:textId="77777777" w:rsidR="00DD1B5C" w:rsidRDefault="00DD1B5C">
            <w:pPr>
              <w:jc w:val="right"/>
              <w:rPr>
                <w:color w:val="000000"/>
                <w:sz w:val="20"/>
                <w:szCs w:val="20"/>
              </w:rPr>
            </w:pPr>
            <w:r>
              <w:rPr>
                <w:color w:val="000000"/>
                <w:sz w:val="20"/>
                <w:szCs w:val="20"/>
              </w:rPr>
              <w:t>0.576</w:t>
            </w:r>
          </w:p>
        </w:tc>
        <w:tc>
          <w:tcPr>
            <w:tcW w:w="864" w:type="dxa"/>
            <w:tcBorders>
              <w:top w:val="nil"/>
              <w:left w:val="nil"/>
              <w:bottom w:val="nil"/>
              <w:right w:val="nil"/>
            </w:tcBorders>
            <w:shd w:val="clear" w:color="auto" w:fill="auto"/>
            <w:noWrap/>
            <w:vAlign w:val="bottom"/>
            <w:hideMark/>
          </w:tcPr>
          <w:p w14:paraId="696AC762" w14:textId="77777777" w:rsidR="00DD1B5C" w:rsidRDefault="00DD1B5C">
            <w:pPr>
              <w:jc w:val="right"/>
              <w:rPr>
                <w:color w:val="000000"/>
                <w:sz w:val="20"/>
                <w:szCs w:val="20"/>
              </w:rPr>
            </w:pPr>
            <w:r>
              <w:rPr>
                <w:color w:val="000000"/>
                <w:sz w:val="20"/>
                <w:szCs w:val="20"/>
              </w:rPr>
              <w:t>0.001</w:t>
            </w:r>
          </w:p>
        </w:tc>
      </w:tr>
      <w:tr w:rsidR="00DD1B5C" w14:paraId="0EBB10E1" w14:textId="77777777" w:rsidTr="00DD1B5C">
        <w:trPr>
          <w:trHeight w:val="320"/>
        </w:trPr>
        <w:tc>
          <w:tcPr>
            <w:tcW w:w="1152" w:type="dxa"/>
            <w:tcBorders>
              <w:top w:val="nil"/>
              <w:left w:val="nil"/>
              <w:bottom w:val="nil"/>
              <w:right w:val="nil"/>
            </w:tcBorders>
            <w:shd w:val="clear" w:color="auto" w:fill="auto"/>
            <w:noWrap/>
            <w:vAlign w:val="bottom"/>
            <w:hideMark/>
          </w:tcPr>
          <w:p w14:paraId="2168D45B"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DA779B4" w14:textId="77777777" w:rsidR="00DD1B5C" w:rsidRDefault="00DD1B5C">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CF4D5A5" w14:textId="77777777" w:rsidR="00DD1B5C" w:rsidRDefault="00DD1B5C">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7B4D9F5" w14:textId="77777777" w:rsidR="00DD1B5C" w:rsidRDefault="00DD1B5C">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001A5CA2"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E60510D" w14:textId="77777777" w:rsidR="00DD1B5C" w:rsidRDefault="00DD1B5C">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20121AEB" w14:textId="77777777" w:rsidR="00DD1B5C" w:rsidRDefault="00DD1B5C">
            <w:pPr>
              <w:jc w:val="right"/>
              <w:rPr>
                <w:color w:val="000000"/>
                <w:sz w:val="20"/>
                <w:szCs w:val="20"/>
              </w:rPr>
            </w:pPr>
            <w:r>
              <w:rPr>
                <w:color w:val="000000"/>
                <w:sz w:val="20"/>
                <w:szCs w:val="20"/>
              </w:rPr>
              <w:t>0.332</w:t>
            </w:r>
          </w:p>
        </w:tc>
        <w:tc>
          <w:tcPr>
            <w:tcW w:w="864" w:type="dxa"/>
            <w:tcBorders>
              <w:top w:val="nil"/>
              <w:left w:val="nil"/>
              <w:bottom w:val="nil"/>
              <w:right w:val="nil"/>
            </w:tcBorders>
            <w:shd w:val="clear" w:color="auto" w:fill="auto"/>
            <w:noWrap/>
            <w:vAlign w:val="bottom"/>
            <w:hideMark/>
          </w:tcPr>
          <w:p w14:paraId="719F7E3E" w14:textId="77777777" w:rsidR="00DD1B5C" w:rsidRDefault="00DD1B5C">
            <w:pPr>
              <w:jc w:val="right"/>
              <w:rPr>
                <w:color w:val="000000"/>
                <w:sz w:val="20"/>
                <w:szCs w:val="20"/>
              </w:rPr>
            </w:pPr>
            <w:r>
              <w:rPr>
                <w:color w:val="000000"/>
                <w:sz w:val="20"/>
                <w:szCs w:val="20"/>
              </w:rPr>
              <w:t>0.003</w:t>
            </w:r>
          </w:p>
        </w:tc>
      </w:tr>
      <w:tr w:rsidR="00DD1B5C" w14:paraId="475CB127" w14:textId="77777777" w:rsidTr="00DD1B5C">
        <w:trPr>
          <w:trHeight w:val="320"/>
        </w:trPr>
        <w:tc>
          <w:tcPr>
            <w:tcW w:w="1152" w:type="dxa"/>
            <w:tcBorders>
              <w:top w:val="nil"/>
              <w:left w:val="nil"/>
              <w:bottom w:val="nil"/>
              <w:right w:val="nil"/>
            </w:tcBorders>
            <w:shd w:val="clear" w:color="auto" w:fill="auto"/>
            <w:noWrap/>
            <w:vAlign w:val="bottom"/>
            <w:hideMark/>
          </w:tcPr>
          <w:p w14:paraId="3983410F"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B63B490" w14:textId="77777777" w:rsidR="00DD1B5C" w:rsidRDefault="00DD1B5C">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B12E988" w14:textId="77777777" w:rsidR="00DD1B5C" w:rsidRDefault="00DD1B5C">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5F95CB90" w14:textId="77777777" w:rsidR="00DD1B5C" w:rsidRDefault="00DD1B5C">
            <w:pPr>
              <w:jc w:val="right"/>
              <w:rPr>
                <w:color w:val="000000"/>
                <w:sz w:val="20"/>
                <w:szCs w:val="20"/>
              </w:rPr>
            </w:pPr>
            <w:r>
              <w:rPr>
                <w:color w:val="000000"/>
                <w:sz w:val="20"/>
                <w:szCs w:val="20"/>
              </w:rPr>
              <w:t>0.446</w:t>
            </w:r>
          </w:p>
        </w:tc>
        <w:tc>
          <w:tcPr>
            <w:tcW w:w="864" w:type="dxa"/>
            <w:tcBorders>
              <w:top w:val="nil"/>
              <w:left w:val="nil"/>
              <w:bottom w:val="nil"/>
              <w:right w:val="nil"/>
            </w:tcBorders>
            <w:shd w:val="clear" w:color="auto" w:fill="auto"/>
            <w:noWrap/>
            <w:vAlign w:val="bottom"/>
            <w:hideMark/>
          </w:tcPr>
          <w:p w14:paraId="10AF4641" w14:textId="77777777" w:rsidR="00DD1B5C" w:rsidRDefault="00DD1B5C">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F26F784" w14:textId="77777777" w:rsidR="00DD1B5C" w:rsidRDefault="00DD1B5C">
            <w:pPr>
              <w:jc w:val="right"/>
              <w:rPr>
                <w:color w:val="000000"/>
                <w:sz w:val="20"/>
                <w:szCs w:val="20"/>
              </w:rPr>
            </w:pPr>
            <w:r>
              <w:rPr>
                <w:color w:val="000000"/>
                <w:sz w:val="20"/>
                <w:szCs w:val="20"/>
              </w:rPr>
              <w:t>-0.082</w:t>
            </w:r>
          </w:p>
        </w:tc>
        <w:tc>
          <w:tcPr>
            <w:tcW w:w="864" w:type="dxa"/>
            <w:tcBorders>
              <w:top w:val="nil"/>
              <w:left w:val="nil"/>
              <w:bottom w:val="nil"/>
              <w:right w:val="nil"/>
            </w:tcBorders>
            <w:shd w:val="clear" w:color="auto" w:fill="auto"/>
            <w:noWrap/>
            <w:vAlign w:val="bottom"/>
            <w:hideMark/>
          </w:tcPr>
          <w:p w14:paraId="04F25CDF" w14:textId="77777777" w:rsidR="00DD1B5C" w:rsidRDefault="00DD1B5C">
            <w:pPr>
              <w:jc w:val="right"/>
              <w:rPr>
                <w:color w:val="000000"/>
                <w:sz w:val="20"/>
                <w:szCs w:val="20"/>
              </w:rPr>
            </w:pPr>
            <w:r>
              <w:rPr>
                <w:color w:val="000000"/>
                <w:sz w:val="20"/>
                <w:szCs w:val="20"/>
              </w:rPr>
              <w:t>0.200</w:t>
            </w:r>
          </w:p>
        </w:tc>
        <w:tc>
          <w:tcPr>
            <w:tcW w:w="864" w:type="dxa"/>
            <w:tcBorders>
              <w:top w:val="nil"/>
              <w:left w:val="nil"/>
              <w:bottom w:val="nil"/>
              <w:right w:val="nil"/>
            </w:tcBorders>
            <w:shd w:val="clear" w:color="auto" w:fill="auto"/>
            <w:noWrap/>
            <w:vAlign w:val="bottom"/>
            <w:hideMark/>
          </w:tcPr>
          <w:p w14:paraId="60E18949" w14:textId="77777777" w:rsidR="00DD1B5C" w:rsidRDefault="00DD1B5C">
            <w:pPr>
              <w:jc w:val="right"/>
              <w:rPr>
                <w:color w:val="000000"/>
                <w:sz w:val="20"/>
                <w:szCs w:val="20"/>
              </w:rPr>
            </w:pPr>
            <w:r>
              <w:rPr>
                <w:color w:val="000000"/>
                <w:sz w:val="20"/>
                <w:szCs w:val="20"/>
              </w:rPr>
              <w:t>0.007</w:t>
            </w:r>
          </w:p>
        </w:tc>
      </w:tr>
      <w:tr w:rsidR="00DD1B5C" w14:paraId="519F0EF4" w14:textId="77777777" w:rsidTr="00DD1B5C">
        <w:trPr>
          <w:trHeight w:val="320"/>
        </w:trPr>
        <w:tc>
          <w:tcPr>
            <w:tcW w:w="1152" w:type="dxa"/>
            <w:tcBorders>
              <w:top w:val="nil"/>
              <w:left w:val="nil"/>
              <w:bottom w:val="single" w:sz="4" w:space="0" w:color="auto"/>
              <w:right w:val="nil"/>
            </w:tcBorders>
            <w:shd w:val="clear" w:color="auto" w:fill="auto"/>
            <w:noWrap/>
            <w:vAlign w:val="bottom"/>
            <w:hideMark/>
          </w:tcPr>
          <w:p w14:paraId="4A04F3C4" w14:textId="77777777" w:rsidR="00DD1B5C" w:rsidRDefault="00DD1B5C">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B0894CC" w14:textId="77777777" w:rsidR="00DD1B5C" w:rsidRDefault="00DD1B5C">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534133D8" w14:textId="77777777" w:rsidR="00DD1B5C" w:rsidRDefault="00DD1B5C">
            <w:pPr>
              <w:jc w:val="right"/>
              <w:rPr>
                <w:color w:val="000000"/>
                <w:sz w:val="20"/>
                <w:szCs w:val="20"/>
              </w:rPr>
            </w:pPr>
            <w:r>
              <w:rPr>
                <w:color w:val="000000"/>
                <w:sz w:val="20"/>
                <w:szCs w:val="20"/>
              </w:rPr>
              <w:t>-0.054</w:t>
            </w:r>
          </w:p>
        </w:tc>
        <w:tc>
          <w:tcPr>
            <w:tcW w:w="864" w:type="dxa"/>
            <w:tcBorders>
              <w:top w:val="nil"/>
              <w:left w:val="nil"/>
              <w:bottom w:val="single" w:sz="4" w:space="0" w:color="auto"/>
              <w:right w:val="nil"/>
            </w:tcBorders>
            <w:shd w:val="clear" w:color="auto" w:fill="auto"/>
            <w:noWrap/>
            <w:vAlign w:val="bottom"/>
            <w:hideMark/>
          </w:tcPr>
          <w:p w14:paraId="076EC83A" w14:textId="77777777" w:rsidR="00DD1B5C" w:rsidRDefault="00DD1B5C">
            <w:pPr>
              <w:jc w:val="right"/>
              <w:rPr>
                <w:color w:val="000000"/>
                <w:sz w:val="20"/>
                <w:szCs w:val="20"/>
              </w:rPr>
            </w:pPr>
            <w:r>
              <w:rPr>
                <w:color w:val="000000"/>
                <w:sz w:val="20"/>
                <w:szCs w:val="20"/>
              </w:rPr>
              <w:t>0.446</w:t>
            </w:r>
          </w:p>
        </w:tc>
        <w:tc>
          <w:tcPr>
            <w:tcW w:w="864" w:type="dxa"/>
            <w:tcBorders>
              <w:top w:val="nil"/>
              <w:left w:val="nil"/>
              <w:bottom w:val="single" w:sz="4" w:space="0" w:color="auto"/>
              <w:right w:val="nil"/>
            </w:tcBorders>
            <w:shd w:val="clear" w:color="auto" w:fill="auto"/>
            <w:noWrap/>
            <w:vAlign w:val="bottom"/>
            <w:hideMark/>
          </w:tcPr>
          <w:p w14:paraId="40041BFB" w14:textId="77777777" w:rsidR="00DD1B5C" w:rsidRDefault="00DD1B5C">
            <w:pPr>
              <w:jc w:val="right"/>
              <w:rPr>
                <w:color w:val="000000"/>
                <w:sz w:val="20"/>
                <w:szCs w:val="20"/>
              </w:rPr>
            </w:pPr>
            <w:r>
              <w:rPr>
                <w:color w:val="000000"/>
                <w:sz w:val="20"/>
                <w:szCs w:val="20"/>
              </w:rPr>
              <w:t>0.003</w:t>
            </w:r>
          </w:p>
        </w:tc>
        <w:tc>
          <w:tcPr>
            <w:tcW w:w="864" w:type="dxa"/>
            <w:tcBorders>
              <w:top w:val="nil"/>
              <w:left w:val="nil"/>
              <w:bottom w:val="single" w:sz="4" w:space="0" w:color="auto"/>
              <w:right w:val="nil"/>
            </w:tcBorders>
            <w:shd w:val="clear" w:color="auto" w:fill="auto"/>
            <w:noWrap/>
            <w:vAlign w:val="bottom"/>
            <w:hideMark/>
          </w:tcPr>
          <w:p w14:paraId="78B24DE3" w14:textId="77777777" w:rsidR="00DD1B5C" w:rsidRDefault="00DD1B5C">
            <w:pPr>
              <w:jc w:val="right"/>
              <w:rPr>
                <w:color w:val="000000"/>
                <w:sz w:val="20"/>
                <w:szCs w:val="20"/>
              </w:rPr>
            </w:pPr>
            <w:r>
              <w:rPr>
                <w:color w:val="000000"/>
                <w:sz w:val="20"/>
                <w:szCs w:val="20"/>
              </w:rPr>
              <w:t>-0.010</w:t>
            </w:r>
          </w:p>
        </w:tc>
        <w:tc>
          <w:tcPr>
            <w:tcW w:w="864" w:type="dxa"/>
            <w:tcBorders>
              <w:top w:val="nil"/>
              <w:left w:val="nil"/>
              <w:bottom w:val="single" w:sz="4" w:space="0" w:color="auto"/>
              <w:right w:val="nil"/>
            </w:tcBorders>
            <w:shd w:val="clear" w:color="auto" w:fill="auto"/>
            <w:noWrap/>
            <w:vAlign w:val="bottom"/>
            <w:hideMark/>
          </w:tcPr>
          <w:p w14:paraId="6B62F845" w14:textId="77777777" w:rsidR="00DD1B5C" w:rsidRDefault="00DD1B5C">
            <w:pPr>
              <w:jc w:val="right"/>
              <w:rPr>
                <w:color w:val="000000"/>
                <w:sz w:val="20"/>
                <w:szCs w:val="20"/>
              </w:rPr>
            </w:pPr>
            <w:r>
              <w:rPr>
                <w:color w:val="000000"/>
                <w:sz w:val="20"/>
                <w:szCs w:val="20"/>
              </w:rPr>
              <w:t>0.933</w:t>
            </w:r>
          </w:p>
        </w:tc>
        <w:tc>
          <w:tcPr>
            <w:tcW w:w="864" w:type="dxa"/>
            <w:tcBorders>
              <w:top w:val="nil"/>
              <w:left w:val="nil"/>
              <w:bottom w:val="single" w:sz="4" w:space="0" w:color="auto"/>
              <w:right w:val="nil"/>
            </w:tcBorders>
            <w:shd w:val="clear" w:color="auto" w:fill="auto"/>
            <w:noWrap/>
            <w:vAlign w:val="bottom"/>
            <w:hideMark/>
          </w:tcPr>
          <w:p w14:paraId="4EDB642E" w14:textId="77777777" w:rsidR="00DD1B5C" w:rsidRDefault="00DD1B5C">
            <w:pPr>
              <w:jc w:val="right"/>
              <w:rPr>
                <w:color w:val="000000"/>
                <w:sz w:val="20"/>
                <w:szCs w:val="20"/>
              </w:rPr>
            </w:pPr>
            <w:r>
              <w:rPr>
                <w:color w:val="000000"/>
                <w:sz w:val="20"/>
                <w:szCs w:val="20"/>
              </w:rPr>
              <w:t>0.000</w:t>
            </w:r>
          </w:p>
        </w:tc>
      </w:tr>
      <w:tr w:rsidR="00DD1B5C" w14:paraId="64079C12" w14:textId="77777777" w:rsidTr="00DD1B5C">
        <w:trPr>
          <w:trHeight w:val="320"/>
        </w:trPr>
        <w:tc>
          <w:tcPr>
            <w:tcW w:w="1152" w:type="dxa"/>
            <w:tcBorders>
              <w:top w:val="nil"/>
              <w:left w:val="nil"/>
              <w:bottom w:val="nil"/>
              <w:right w:val="nil"/>
            </w:tcBorders>
            <w:shd w:val="clear" w:color="auto" w:fill="auto"/>
            <w:noWrap/>
            <w:vAlign w:val="bottom"/>
            <w:hideMark/>
          </w:tcPr>
          <w:p w14:paraId="5E0D831A" w14:textId="77777777" w:rsidR="00DD1B5C" w:rsidRDefault="00DD1B5C">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476B5BD4" w14:textId="77777777" w:rsidR="00DD1B5C" w:rsidRDefault="00DD1B5C">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CAEB69E" w14:textId="77777777" w:rsidR="00DD1B5C" w:rsidRDefault="00DD1B5C">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55A0CD19" w14:textId="77777777" w:rsidR="00DD1B5C" w:rsidRDefault="00DD1B5C">
            <w:pPr>
              <w:jc w:val="right"/>
              <w:rPr>
                <w:color w:val="000000"/>
                <w:sz w:val="20"/>
                <w:szCs w:val="20"/>
              </w:rPr>
            </w:pPr>
            <w:r>
              <w:rPr>
                <w:color w:val="000000"/>
                <w:sz w:val="20"/>
                <w:szCs w:val="20"/>
              </w:rPr>
              <w:t>0.230</w:t>
            </w:r>
          </w:p>
        </w:tc>
        <w:tc>
          <w:tcPr>
            <w:tcW w:w="864" w:type="dxa"/>
            <w:tcBorders>
              <w:top w:val="nil"/>
              <w:left w:val="nil"/>
              <w:bottom w:val="nil"/>
              <w:right w:val="nil"/>
            </w:tcBorders>
            <w:shd w:val="clear" w:color="auto" w:fill="auto"/>
            <w:noWrap/>
            <w:vAlign w:val="bottom"/>
            <w:hideMark/>
          </w:tcPr>
          <w:p w14:paraId="14E9221C" w14:textId="77777777" w:rsidR="00DD1B5C" w:rsidRDefault="00DD1B5C">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ECE4079" w14:textId="77777777" w:rsidR="00DD1B5C" w:rsidRDefault="00DD1B5C">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598C338D" w14:textId="77777777" w:rsidR="00DD1B5C" w:rsidRDefault="00DD1B5C">
            <w:pPr>
              <w:jc w:val="right"/>
              <w:rPr>
                <w:color w:val="000000"/>
                <w:sz w:val="20"/>
                <w:szCs w:val="20"/>
              </w:rPr>
            </w:pPr>
            <w:r>
              <w:rPr>
                <w:color w:val="000000"/>
                <w:sz w:val="20"/>
                <w:szCs w:val="20"/>
              </w:rPr>
              <w:t>0.424</w:t>
            </w:r>
          </w:p>
        </w:tc>
        <w:tc>
          <w:tcPr>
            <w:tcW w:w="864" w:type="dxa"/>
            <w:tcBorders>
              <w:top w:val="nil"/>
              <w:left w:val="nil"/>
              <w:bottom w:val="nil"/>
              <w:right w:val="nil"/>
            </w:tcBorders>
            <w:shd w:val="clear" w:color="auto" w:fill="auto"/>
            <w:noWrap/>
            <w:vAlign w:val="bottom"/>
            <w:hideMark/>
          </w:tcPr>
          <w:p w14:paraId="72A2A101" w14:textId="77777777" w:rsidR="00DD1B5C" w:rsidRDefault="00DD1B5C">
            <w:pPr>
              <w:jc w:val="right"/>
              <w:rPr>
                <w:color w:val="000000"/>
                <w:sz w:val="20"/>
                <w:szCs w:val="20"/>
              </w:rPr>
            </w:pPr>
            <w:r>
              <w:rPr>
                <w:color w:val="000000"/>
                <w:sz w:val="20"/>
                <w:szCs w:val="20"/>
              </w:rPr>
              <w:t>0.001</w:t>
            </w:r>
          </w:p>
        </w:tc>
      </w:tr>
      <w:tr w:rsidR="00DD1B5C" w14:paraId="16F77EFC" w14:textId="77777777" w:rsidTr="00DD1B5C">
        <w:trPr>
          <w:trHeight w:val="320"/>
        </w:trPr>
        <w:tc>
          <w:tcPr>
            <w:tcW w:w="1152" w:type="dxa"/>
            <w:tcBorders>
              <w:top w:val="nil"/>
              <w:left w:val="nil"/>
              <w:bottom w:val="nil"/>
              <w:right w:val="nil"/>
            </w:tcBorders>
            <w:shd w:val="clear" w:color="auto" w:fill="auto"/>
            <w:noWrap/>
            <w:vAlign w:val="bottom"/>
            <w:hideMark/>
          </w:tcPr>
          <w:p w14:paraId="12FB505C"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E468986" w14:textId="77777777" w:rsidR="00DD1B5C" w:rsidRDefault="00DD1B5C">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316CB0D" w14:textId="77777777" w:rsidR="00DD1B5C" w:rsidRDefault="00DD1B5C">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1C785E62" w14:textId="77777777" w:rsidR="00DD1B5C" w:rsidRDefault="00DD1B5C">
            <w:pPr>
              <w:jc w:val="right"/>
              <w:rPr>
                <w:color w:val="000000"/>
                <w:sz w:val="20"/>
                <w:szCs w:val="20"/>
              </w:rPr>
            </w:pPr>
            <w:r>
              <w:rPr>
                <w:color w:val="000000"/>
                <w:sz w:val="20"/>
                <w:szCs w:val="20"/>
              </w:rPr>
              <w:t>0.230</w:t>
            </w:r>
          </w:p>
        </w:tc>
        <w:tc>
          <w:tcPr>
            <w:tcW w:w="864" w:type="dxa"/>
            <w:tcBorders>
              <w:top w:val="nil"/>
              <w:left w:val="nil"/>
              <w:bottom w:val="nil"/>
              <w:right w:val="nil"/>
            </w:tcBorders>
            <w:shd w:val="clear" w:color="auto" w:fill="auto"/>
            <w:noWrap/>
            <w:vAlign w:val="bottom"/>
            <w:hideMark/>
          </w:tcPr>
          <w:p w14:paraId="50C992F8" w14:textId="77777777" w:rsidR="00DD1B5C" w:rsidRDefault="00DD1B5C">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0181BDE" w14:textId="77777777" w:rsidR="00DD1B5C" w:rsidRDefault="00DD1B5C">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17F20372" w14:textId="77777777" w:rsidR="00DD1B5C" w:rsidRDefault="00DD1B5C">
            <w:pPr>
              <w:jc w:val="right"/>
              <w:rPr>
                <w:color w:val="000000"/>
                <w:sz w:val="20"/>
                <w:szCs w:val="20"/>
              </w:rPr>
            </w:pPr>
            <w:r>
              <w:rPr>
                <w:color w:val="000000"/>
                <w:sz w:val="20"/>
                <w:szCs w:val="20"/>
              </w:rPr>
              <w:t>0.251</w:t>
            </w:r>
          </w:p>
        </w:tc>
        <w:tc>
          <w:tcPr>
            <w:tcW w:w="864" w:type="dxa"/>
            <w:tcBorders>
              <w:top w:val="nil"/>
              <w:left w:val="nil"/>
              <w:bottom w:val="nil"/>
              <w:right w:val="nil"/>
            </w:tcBorders>
            <w:shd w:val="clear" w:color="auto" w:fill="auto"/>
            <w:noWrap/>
            <w:vAlign w:val="bottom"/>
            <w:hideMark/>
          </w:tcPr>
          <w:p w14:paraId="3A7AE031" w14:textId="77777777" w:rsidR="00DD1B5C" w:rsidRDefault="00DD1B5C">
            <w:pPr>
              <w:jc w:val="right"/>
              <w:rPr>
                <w:color w:val="000000"/>
                <w:sz w:val="20"/>
                <w:szCs w:val="20"/>
              </w:rPr>
            </w:pPr>
            <w:r>
              <w:rPr>
                <w:color w:val="000000"/>
                <w:sz w:val="20"/>
                <w:szCs w:val="20"/>
              </w:rPr>
              <w:t>0.003</w:t>
            </w:r>
          </w:p>
        </w:tc>
      </w:tr>
      <w:tr w:rsidR="00DD1B5C" w14:paraId="07083F95" w14:textId="77777777" w:rsidTr="00DD1B5C">
        <w:trPr>
          <w:trHeight w:val="320"/>
        </w:trPr>
        <w:tc>
          <w:tcPr>
            <w:tcW w:w="1152" w:type="dxa"/>
            <w:tcBorders>
              <w:top w:val="nil"/>
              <w:left w:val="nil"/>
              <w:bottom w:val="nil"/>
              <w:right w:val="nil"/>
            </w:tcBorders>
            <w:shd w:val="clear" w:color="auto" w:fill="auto"/>
            <w:noWrap/>
            <w:vAlign w:val="bottom"/>
            <w:hideMark/>
          </w:tcPr>
          <w:p w14:paraId="2FCF5274"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F9AFBDD" w14:textId="77777777" w:rsidR="00DD1B5C" w:rsidRDefault="00DD1B5C">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7BD3151" w14:textId="77777777" w:rsidR="00DD1B5C" w:rsidRDefault="00DD1B5C">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7019B6B5" w14:textId="77777777" w:rsidR="00DD1B5C" w:rsidRDefault="00DD1B5C">
            <w:pPr>
              <w:jc w:val="right"/>
              <w:rPr>
                <w:color w:val="000000"/>
                <w:sz w:val="20"/>
                <w:szCs w:val="20"/>
              </w:rPr>
            </w:pPr>
            <w:r>
              <w:rPr>
                <w:color w:val="000000"/>
                <w:sz w:val="20"/>
                <w:szCs w:val="20"/>
              </w:rPr>
              <w:t>0.230</w:t>
            </w:r>
          </w:p>
        </w:tc>
        <w:tc>
          <w:tcPr>
            <w:tcW w:w="864" w:type="dxa"/>
            <w:tcBorders>
              <w:top w:val="nil"/>
              <w:left w:val="nil"/>
              <w:bottom w:val="nil"/>
              <w:right w:val="nil"/>
            </w:tcBorders>
            <w:shd w:val="clear" w:color="auto" w:fill="auto"/>
            <w:noWrap/>
            <w:vAlign w:val="bottom"/>
            <w:hideMark/>
          </w:tcPr>
          <w:p w14:paraId="25832622" w14:textId="77777777" w:rsidR="00DD1B5C" w:rsidRDefault="00DD1B5C">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335A9AE1" w14:textId="77777777" w:rsidR="00DD1B5C" w:rsidRDefault="00DD1B5C">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35F469E1" w14:textId="77777777" w:rsidR="00DD1B5C" w:rsidRDefault="00DD1B5C">
            <w:pPr>
              <w:jc w:val="right"/>
              <w:rPr>
                <w:color w:val="000000"/>
                <w:sz w:val="20"/>
                <w:szCs w:val="20"/>
              </w:rPr>
            </w:pPr>
            <w:r>
              <w:rPr>
                <w:color w:val="000000"/>
                <w:sz w:val="20"/>
                <w:szCs w:val="20"/>
              </w:rPr>
              <w:t>0.585</w:t>
            </w:r>
          </w:p>
        </w:tc>
        <w:tc>
          <w:tcPr>
            <w:tcW w:w="864" w:type="dxa"/>
            <w:tcBorders>
              <w:top w:val="nil"/>
              <w:left w:val="nil"/>
              <w:bottom w:val="nil"/>
              <w:right w:val="nil"/>
            </w:tcBorders>
            <w:shd w:val="clear" w:color="auto" w:fill="auto"/>
            <w:noWrap/>
            <w:vAlign w:val="bottom"/>
            <w:hideMark/>
          </w:tcPr>
          <w:p w14:paraId="7C8EA2CB" w14:textId="77777777" w:rsidR="00DD1B5C" w:rsidRDefault="00DD1B5C">
            <w:pPr>
              <w:jc w:val="right"/>
              <w:rPr>
                <w:color w:val="000000"/>
                <w:sz w:val="20"/>
                <w:szCs w:val="20"/>
              </w:rPr>
            </w:pPr>
            <w:r>
              <w:rPr>
                <w:color w:val="000000"/>
                <w:sz w:val="20"/>
                <w:szCs w:val="20"/>
              </w:rPr>
              <w:t>0.001</w:t>
            </w:r>
          </w:p>
        </w:tc>
      </w:tr>
      <w:tr w:rsidR="00DD1B5C" w14:paraId="6220AB83" w14:textId="77777777" w:rsidTr="00DD1B5C">
        <w:trPr>
          <w:trHeight w:val="320"/>
        </w:trPr>
        <w:tc>
          <w:tcPr>
            <w:tcW w:w="1152" w:type="dxa"/>
            <w:tcBorders>
              <w:top w:val="nil"/>
              <w:left w:val="nil"/>
              <w:bottom w:val="nil"/>
              <w:right w:val="nil"/>
            </w:tcBorders>
            <w:shd w:val="clear" w:color="auto" w:fill="auto"/>
            <w:noWrap/>
            <w:vAlign w:val="bottom"/>
            <w:hideMark/>
          </w:tcPr>
          <w:p w14:paraId="627BF817"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8E976B4" w14:textId="77777777" w:rsidR="00DD1B5C" w:rsidRDefault="00DD1B5C">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F7BA3E5" w14:textId="77777777" w:rsidR="00DD1B5C" w:rsidRDefault="00DD1B5C">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054B4D21" w14:textId="77777777" w:rsidR="00DD1B5C" w:rsidRDefault="00DD1B5C">
            <w:pPr>
              <w:jc w:val="right"/>
              <w:rPr>
                <w:color w:val="000000"/>
                <w:sz w:val="20"/>
                <w:szCs w:val="20"/>
              </w:rPr>
            </w:pPr>
            <w:r>
              <w:rPr>
                <w:color w:val="000000"/>
                <w:sz w:val="20"/>
                <w:szCs w:val="20"/>
              </w:rPr>
              <w:t>0.230</w:t>
            </w:r>
          </w:p>
        </w:tc>
        <w:tc>
          <w:tcPr>
            <w:tcW w:w="864" w:type="dxa"/>
            <w:tcBorders>
              <w:top w:val="nil"/>
              <w:left w:val="nil"/>
              <w:bottom w:val="nil"/>
              <w:right w:val="nil"/>
            </w:tcBorders>
            <w:shd w:val="clear" w:color="auto" w:fill="auto"/>
            <w:noWrap/>
            <w:vAlign w:val="bottom"/>
            <w:hideMark/>
          </w:tcPr>
          <w:p w14:paraId="34DAA2A9" w14:textId="77777777" w:rsidR="00DD1B5C" w:rsidRDefault="00DD1B5C">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429F05A9" w14:textId="77777777" w:rsidR="00DD1B5C" w:rsidRDefault="00DD1B5C">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69A8FD2F" w14:textId="77777777" w:rsidR="00DD1B5C" w:rsidRDefault="00DD1B5C">
            <w:pPr>
              <w:jc w:val="right"/>
              <w:rPr>
                <w:color w:val="000000"/>
                <w:sz w:val="20"/>
                <w:szCs w:val="20"/>
              </w:rPr>
            </w:pPr>
            <w:r>
              <w:rPr>
                <w:color w:val="000000"/>
                <w:sz w:val="20"/>
                <w:szCs w:val="20"/>
              </w:rPr>
              <w:t>0.596</w:t>
            </w:r>
          </w:p>
        </w:tc>
        <w:tc>
          <w:tcPr>
            <w:tcW w:w="864" w:type="dxa"/>
            <w:tcBorders>
              <w:top w:val="nil"/>
              <w:left w:val="nil"/>
              <w:bottom w:val="nil"/>
              <w:right w:val="nil"/>
            </w:tcBorders>
            <w:shd w:val="clear" w:color="auto" w:fill="auto"/>
            <w:noWrap/>
            <w:vAlign w:val="bottom"/>
            <w:hideMark/>
          </w:tcPr>
          <w:p w14:paraId="1305D748" w14:textId="77777777" w:rsidR="00DD1B5C" w:rsidRDefault="00DD1B5C">
            <w:pPr>
              <w:jc w:val="right"/>
              <w:rPr>
                <w:color w:val="000000"/>
                <w:sz w:val="20"/>
                <w:szCs w:val="20"/>
              </w:rPr>
            </w:pPr>
            <w:r>
              <w:rPr>
                <w:color w:val="000000"/>
                <w:sz w:val="20"/>
                <w:szCs w:val="20"/>
              </w:rPr>
              <w:t>0.000</w:t>
            </w:r>
          </w:p>
        </w:tc>
      </w:tr>
      <w:tr w:rsidR="00DD1B5C" w14:paraId="6014F3FC" w14:textId="77777777" w:rsidTr="00DD1B5C">
        <w:trPr>
          <w:trHeight w:val="320"/>
        </w:trPr>
        <w:tc>
          <w:tcPr>
            <w:tcW w:w="1152" w:type="dxa"/>
            <w:tcBorders>
              <w:top w:val="nil"/>
              <w:left w:val="nil"/>
              <w:bottom w:val="nil"/>
              <w:right w:val="nil"/>
            </w:tcBorders>
            <w:shd w:val="clear" w:color="auto" w:fill="auto"/>
            <w:noWrap/>
            <w:vAlign w:val="bottom"/>
            <w:hideMark/>
          </w:tcPr>
          <w:p w14:paraId="1A60AFF0"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A4A3A85" w14:textId="77777777" w:rsidR="00DD1B5C" w:rsidRDefault="00DD1B5C">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CB3B9DC" w14:textId="77777777" w:rsidR="00DD1B5C" w:rsidRDefault="00DD1B5C">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5EE19F1" w14:textId="77777777" w:rsidR="00DD1B5C" w:rsidRDefault="00DD1B5C">
            <w:pPr>
              <w:jc w:val="right"/>
              <w:rPr>
                <w:color w:val="000000"/>
                <w:sz w:val="20"/>
                <w:szCs w:val="20"/>
              </w:rPr>
            </w:pPr>
            <w:r>
              <w:rPr>
                <w:color w:val="000000"/>
                <w:sz w:val="20"/>
                <w:szCs w:val="20"/>
              </w:rPr>
              <w:t>0.888</w:t>
            </w:r>
          </w:p>
        </w:tc>
        <w:tc>
          <w:tcPr>
            <w:tcW w:w="864" w:type="dxa"/>
            <w:tcBorders>
              <w:top w:val="nil"/>
              <w:left w:val="nil"/>
              <w:bottom w:val="nil"/>
              <w:right w:val="nil"/>
            </w:tcBorders>
            <w:shd w:val="clear" w:color="auto" w:fill="auto"/>
            <w:noWrap/>
            <w:vAlign w:val="bottom"/>
            <w:hideMark/>
          </w:tcPr>
          <w:p w14:paraId="4A661767"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99CB723" w14:textId="77777777" w:rsidR="00DD1B5C" w:rsidRDefault="00DD1B5C">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1C2AA910" w14:textId="77777777" w:rsidR="00DD1B5C" w:rsidRDefault="00DD1B5C">
            <w:pPr>
              <w:jc w:val="right"/>
              <w:rPr>
                <w:color w:val="000000"/>
                <w:sz w:val="20"/>
                <w:szCs w:val="20"/>
              </w:rPr>
            </w:pPr>
            <w:r>
              <w:rPr>
                <w:color w:val="000000"/>
                <w:sz w:val="20"/>
                <w:szCs w:val="20"/>
              </w:rPr>
              <w:t>0.585</w:t>
            </w:r>
          </w:p>
        </w:tc>
        <w:tc>
          <w:tcPr>
            <w:tcW w:w="864" w:type="dxa"/>
            <w:tcBorders>
              <w:top w:val="nil"/>
              <w:left w:val="nil"/>
              <w:bottom w:val="nil"/>
              <w:right w:val="nil"/>
            </w:tcBorders>
            <w:shd w:val="clear" w:color="auto" w:fill="auto"/>
            <w:noWrap/>
            <w:vAlign w:val="bottom"/>
            <w:hideMark/>
          </w:tcPr>
          <w:p w14:paraId="2BA47B25" w14:textId="77777777" w:rsidR="00DD1B5C" w:rsidRDefault="00DD1B5C">
            <w:pPr>
              <w:jc w:val="right"/>
              <w:rPr>
                <w:color w:val="000000"/>
                <w:sz w:val="20"/>
                <w:szCs w:val="20"/>
              </w:rPr>
            </w:pPr>
            <w:r>
              <w:rPr>
                <w:color w:val="000000"/>
                <w:sz w:val="20"/>
                <w:szCs w:val="20"/>
              </w:rPr>
              <w:t>0.000</w:t>
            </w:r>
          </w:p>
        </w:tc>
      </w:tr>
      <w:tr w:rsidR="00DD1B5C" w14:paraId="370B8EB6" w14:textId="77777777" w:rsidTr="00DD1B5C">
        <w:trPr>
          <w:trHeight w:val="320"/>
        </w:trPr>
        <w:tc>
          <w:tcPr>
            <w:tcW w:w="1152" w:type="dxa"/>
            <w:tcBorders>
              <w:top w:val="nil"/>
              <w:left w:val="nil"/>
              <w:bottom w:val="nil"/>
              <w:right w:val="nil"/>
            </w:tcBorders>
            <w:shd w:val="clear" w:color="auto" w:fill="auto"/>
            <w:noWrap/>
            <w:vAlign w:val="bottom"/>
            <w:hideMark/>
          </w:tcPr>
          <w:p w14:paraId="1EE0F792"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7865A88" w14:textId="77777777" w:rsidR="00DD1B5C" w:rsidRDefault="00DD1B5C">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84BD99D" w14:textId="77777777" w:rsidR="00DD1B5C" w:rsidRDefault="00DD1B5C">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50E83D71" w14:textId="77777777" w:rsidR="00DD1B5C" w:rsidRDefault="00DD1B5C">
            <w:pPr>
              <w:jc w:val="right"/>
              <w:rPr>
                <w:color w:val="000000"/>
                <w:sz w:val="20"/>
                <w:szCs w:val="20"/>
              </w:rPr>
            </w:pPr>
            <w:r>
              <w:rPr>
                <w:color w:val="000000"/>
                <w:sz w:val="20"/>
                <w:szCs w:val="20"/>
              </w:rPr>
              <w:t>0.659</w:t>
            </w:r>
          </w:p>
        </w:tc>
        <w:tc>
          <w:tcPr>
            <w:tcW w:w="864" w:type="dxa"/>
            <w:tcBorders>
              <w:top w:val="nil"/>
              <w:left w:val="nil"/>
              <w:bottom w:val="nil"/>
              <w:right w:val="nil"/>
            </w:tcBorders>
            <w:shd w:val="clear" w:color="auto" w:fill="auto"/>
            <w:noWrap/>
            <w:vAlign w:val="bottom"/>
            <w:hideMark/>
          </w:tcPr>
          <w:p w14:paraId="7889F6FB"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FD500B4" w14:textId="77777777" w:rsidR="00DD1B5C" w:rsidRDefault="00DD1B5C">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0988ED9C" w14:textId="77777777" w:rsidR="00DD1B5C" w:rsidRDefault="00DD1B5C">
            <w:pPr>
              <w:jc w:val="right"/>
              <w:rPr>
                <w:color w:val="000000"/>
                <w:sz w:val="20"/>
                <w:szCs w:val="20"/>
              </w:rPr>
            </w:pPr>
            <w:r>
              <w:rPr>
                <w:color w:val="000000"/>
                <w:sz w:val="20"/>
                <w:szCs w:val="20"/>
              </w:rPr>
              <w:t>0.571</w:t>
            </w:r>
          </w:p>
        </w:tc>
        <w:tc>
          <w:tcPr>
            <w:tcW w:w="864" w:type="dxa"/>
            <w:tcBorders>
              <w:top w:val="nil"/>
              <w:left w:val="nil"/>
              <w:bottom w:val="nil"/>
              <w:right w:val="nil"/>
            </w:tcBorders>
            <w:shd w:val="clear" w:color="auto" w:fill="auto"/>
            <w:noWrap/>
            <w:vAlign w:val="bottom"/>
            <w:hideMark/>
          </w:tcPr>
          <w:p w14:paraId="65102295" w14:textId="77777777" w:rsidR="00DD1B5C" w:rsidRDefault="00DD1B5C">
            <w:pPr>
              <w:jc w:val="right"/>
              <w:rPr>
                <w:color w:val="000000"/>
                <w:sz w:val="20"/>
                <w:szCs w:val="20"/>
              </w:rPr>
            </w:pPr>
            <w:r>
              <w:rPr>
                <w:color w:val="000000"/>
                <w:sz w:val="20"/>
                <w:szCs w:val="20"/>
              </w:rPr>
              <w:t>0.001</w:t>
            </w:r>
          </w:p>
        </w:tc>
      </w:tr>
      <w:tr w:rsidR="00DD1B5C" w14:paraId="0C6E9B4D" w14:textId="77777777" w:rsidTr="00DD1B5C">
        <w:trPr>
          <w:trHeight w:val="320"/>
        </w:trPr>
        <w:tc>
          <w:tcPr>
            <w:tcW w:w="1152" w:type="dxa"/>
            <w:tcBorders>
              <w:top w:val="nil"/>
              <w:left w:val="nil"/>
              <w:bottom w:val="nil"/>
              <w:right w:val="nil"/>
            </w:tcBorders>
            <w:shd w:val="clear" w:color="auto" w:fill="auto"/>
            <w:noWrap/>
            <w:vAlign w:val="bottom"/>
            <w:hideMark/>
          </w:tcPr>
          <w:p w14:paraId="516EBB20"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0DA0C1" w14:textId="77777777" w:rsidR="00DD1B5C" w:rsidRDefault="00DD1B5C">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5DCD5B1" w14:textId="77777777" w:rsidR="00DD1B5C" w:rsidRDefault="00DD1B5C">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43FECF60" w14:textId="77777777" w:rsidR="00DD1B5C" w:rsidRDefault="00DD1B5C">
            <w:pPr>
              <w:jc w:val="right"/>
              <w:rPr>
                <w:color w:val="000000"/>
                <w:sz w:val="20"/>
                <w:szCs w:val="20"/>
              </w:rPr>
            </w:pPr>
            <w:r>
              <w:rPr>
                <w:color w:val="000000"/>
                <w:sz w:val="20"/>
                <w:szCs w:val="20"/>
              </w:rPr>
              <w:t>0.659</w:t>
            </w:r>
          </w:p>
        </w:tc>
        <w:tc>
          <w:tcPr>
            <w:tcW w:w="864" w:type="dxa"/>
            <w:tcBorders>
              <w:top w:val="nil"/>
              <w:left w:val="nil"/>
              <w:bottom w:val="nil"/>
              <w:right w:val="nil"/>
            </w:tcBorders>
            <w:shd w:val="clear" w:color="auto" w:fill="auto"/>
            <w:noWrap/>
            <w:vAlign w:val="bottom"/>
            <w:hideMark/>
          </w:tcPr>
          <w:p w14:paraId="21667B2E"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3905D5D" w14:textId="77777777" w:rsidR="00DD1B5C" w:rsidRDefault="00DD1B5C">
            <w:pPr>
              <w:jc w:val="right"/>
              <w:rPr>
                <w:color w:val="000000"/>
                <w:sz w:val="20"/>
                <w:szCs w:val="20"/>
              </w:rPr>
            </w:pPr>
            <w:r>
              <w:rPr>
                <w:color w:val="000000"/>
                <w:sz w:val="20"/>
                <w:szCs w:val="20"/>
              </w:rPr>
              <w:t>-0.062</w:t>
            </w:r>
          </w:p>
        </w:tc>
        <w:tc>
          <w:tcPr>
            <w:tcW w:w="864" w:type="dxa"/>
            <w:tcBorders>
              <w:top w:val="nil"/>
              <w:left w:val="nil"/>
              <w:bottom w:val="nil"/>
              <w:right w:val="nil"/>
            </w:tcBorders>
            <w:shd w:val="clear" w:color="auto" w:fill="auto"/>
            <w:noWrap/>
            <w:vAlign w:val="bottom"/>
            <w:hideMark/>
          </w:tcPr>
          <w:p w14:paraId="045AA7D5" w14:textId="77777777" w:rsidR="00DD1B5C" w:rsidRDefault="00DD1B5C">
            <w:pPr>
              <w:jc w:val="right"/>
              <w:rPr>
                <w:color w:val="000000"/>
                <w:sz w:val="20"/>
                <w:szCs w:val="20"/>
              </w:rPr>
            </w:pPr>
            <w:r>
              <w:rPr>
                <w:color w:val="000000"/>
                <w:sz w:val="20"/>
                <w:szCs w:val="20"/>
              </w:rPr>
              <w:t>0.251</w:t>
            </w:r>
          </w:p>
        </w:tc>
        <w:tc>
          <w:tcPr>
            <w:tcW w:w="864" w:type="dxa"/>
            <w:tcBorders>
              <w:top w:val="nil"/>
              <w:left w:val="nil"/>
              <w:bottom w:val="nil"/>
              <w:right w:val="nil"/>
            </w:tcBorders>
            <w:shd w:val="clear" w:color="auto" w:fill="auto"/>
            <w:noWrap/>
            <w:vAlign w:val="bottom"/>
            <w:hideMark/>
          </w:tcPr>
          <w:p w14:paraId="24E55159" w14:textId="77777777" w:rsidR="00DD1B5C" w:rsidRDefault="00DD1B5C">
            <w:pPr>
              <w:jc w:val="right"/>
              <w:rPr>
                <w:color w:val="000000"/>
                <w:sz w:val="20"/>
                <w:szCs w:val="20"/>
              </w:rPr>
            </w:pPr>
            <w:r>
              <w:rPr>
                <w:color w:val="000000"/>
                <w:sz w:val="20"/>
                <w:szCs w:val="20"/>
              </w:rPr>
              <w:t>0.004</w:t>
            </w:r>
          </w:p>
        </w:tc>
      </w:tr>
      <w:tr w:rsidR="00DD1B5C" w14:paraId="5E2C8B7A" w14:textId="77777777" w:rsidTr="00DD1B5C">
        <w:trPr>
          <w:trHeight w:val="320"/>
        </w:trPr>
        <w:tc>
          <w:tcPr>
            <w:tcW w:w="1152" w:type="dxa"/>
            <w:tcBorders>
              <w:top w:val="nil"/>
              <w:left w:val="nil"/>
              <w:bottom w:val="single" w:sz="4" w:space="0" w:color="auto"/>
              <w:right w:val="nil"/>
            </w:tcBorders>
            <w:shd w:val="clear" w:color="auto" w:fill="auto"/>
            <w:noWrap/>
            <w:vAlign w:val="bottom"/>
            <w:hideMark/>
          </w:tcPr>
          <w:p w14:paraId="0A4895E5" w14:textId="77777777" w:rsidR="00DD1B5C" w:rsidRDefault="00DD1B5C">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1DAB1928" w14:textId="77777777" w:rsidR="00DD1B5C" w:rsidRDefault="00DD1B5C">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7F0D864" w14:textId="77777777" w:rsidR="00DD1B5C" w:rsidRDefault="00DD1B5C">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7DAA4B64" w14:textId="77777777" w:rsidR="00DD1B5C" w:rsidRDefault="00DD1B5C">
            <w:pPr>
              <w:jc w:val="right"/>
              <w:rPr>
                <w:color w:val="000000"/>
                <w:sz w:val="20"/>
                <w:szCs w:val="20"/>
              </w:rPr>
            </w:pPr>
            <w:r>
              <w:rPr>
                <w:color w:val="000000"/>
                <w:sz w:val="20"/>
                <w:szCs w:val="20"/>
              </w:rPr>
              <w:t>0.659</w:t>
            </w:r>
          </w:p>
        </w:tc>
        <w:tc>
          <w:tcPr>
            <w:tcW w:w="864" w:type="dxa"/>
            <w:tcBorders>
              <w:top w:val="nil"/>
              <w:left w:val="nil"/>
              <w:bottom w:val="single" w:sz="4" w:space="0" w:color="auto"/>
              <w:right w:val="nil"/>
            </w:tcBorders>
            <w:shd w:val="clear" w:color="auto" w:fill="auto"/>
            <w:noWrap/>
            <w:vAlign w:val="bottom"/>
            <w:hideMark/>
          </w:tcPr>
          <w:p w14:paraId="091B3E15"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75295DC1" w14:textId="77777777" w:rsidR="00DD1B5C" w:rsidRDefault="00DD1B5C">
            <w:pPr>
              <w:jc w:val="right"/>
              <w:rPr>
                <w:color w:val="000000"/>
                <w:sz w:val="20"/>
                <w:szCs w:val="20"/>
              </w:rPr>
            </w:pPr>
            <w:r>
              <w:rPr>
                <w:color w:val="000000"/>
                <w:sz w:val="20"/>
                <w:szCs w:val="20"/>
              </w:rPr>
              <w:t>-0.060</w:t>
            </w:r>
          </w:p>
        </w:tc>
        <w:tc>
          <w:tcPr>
            <w:tcW w:w="864" w:type="dxa"/>
            <w:tcBorders>
              <w:top w:val="nil"/>
              <w:left w:val="nil"/>
              <w:bottom w:val="single" w:sz="4" w:space="0" w:color="auto"/>
              <w:right w:val="nil"/>
            </w:tcBorders>
            <w:shd w:val="clear" w:color="auto" w:fill="auto"/>
            <w:noWrap/>
            <w:vAlign w:val="bottom"/>
            <w:hideMark/>
          </w:tcPr>
          <w:p w14:paraId="4EFEA2CF" w14:textId="77777777" w:rsidR="00DD1B5C" w:rsidRDefault="00DD1B5C">
            <w:pPr>
              <w:jc w:val="right"/>
              <w:rPr>
                <w:color w:val="000000"/>
                <w:sz w:val="20"/>
                <w:szCs w:val="20"/>
              </w:rPr>
            </w:pPr>
            <w:r>
              <w:rPr>
                <w:color w:val="000000"/>
                <w:sz w:val="20"/>
                <w:szCs w:val="20"/>
              </w:rPr>
              <w:t>0.251</w:t>
            </w:r>
          </w:p>
        </w:tc>
        <w:tc>
          <w:tcPr>
            <w:tcW w:w="864" w:type="dxa"/>
            <w:tcBorders>
              <w:top w:val="nil"/>
              <w:left w:val="nil"/>
              <w:bottom w:val="single" w:sz="4" w:space="0" w:color="auto"/>
              <w:right w:val="nil"/>
            </w:tcBorders>
            <w:shd w:val="clear" w:color="auto" w:fill="auto"/>
            <w:noWrap/>
            <w:vAlign w:val="bottom"/>
            <w:hideMark/>
          </w:tcPr>
          <w:p w14:paraId="19B8B60B" w14:textId="77777777" w:rsidR="00DD1B5C" w:rsidRDefault="00DD1B5C">
            <w:pPr>
              <w:jc w:val="right"/>
              <w:rPr>
                <w:color w:val="000000"/>
                <w:sz w:val="20"/>
                <w:szCs w:val="20"/>
              </w:rPr>
            </w:pPr>
            <w:r>
              <w:rPr>
                <w:color w:val="000000"/>
                <w:sz w:val="20"/>
                <w:szCs w:val="20"/>
              </w:rPr>
              <w:t>0.004</w:t>
            </w:r>
          </w:p>
        </w:tc>
      </w:tr>
      <w:tr w:rsidR="00DD1B5C" w14:paraId="3237746E" w14:textId="77777777" w:rsidTr="00DD1B5C">
        <w:trPr>
          <w:trHeight w:val="320"/>
        </w:trPr>
        <w:tc>
          <w:tcPr>
            <w:tcW w:w="1152" w:type="dxa"/>
            <w:tcBorders>
              <w:top w:val="nil"/>
              <w:left w:val="nil"/>
              <w:bottom w:val="nil"/>
              <w:right w:val="nil"/>
            </w:tcBorders>
            <w:shd w:val="clear" w:color="auto" w:fill="auto"/>
            <w:noWrap/>
            <w:vAlign w:val="bottom"/>
            <w:hideMark/>
          </w:tcPr>
          <w:p w14:paraId="6DEFAC19" w14:textId="77777777" w:rsidR="00DD1B5C" w:rsidRDefault="00DD1B5C">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1EAA20B0" w14:textId="77777777" w:rsidR="00DD1B5C" w:rsidRDefault="00DD1B5C">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FB4BF19" w14:textId="77777777" w:rsidR="00DD1B5C" w:rsidRDefault="00DD1B5C">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54142701" w14:textId="77777777" w:rsidR="00DD1B5C" w:rsidRDefault="00DD1B5C">
            <w:pPr>
              <w:jc w:val="right"/>
              <w:rPr>
                <w:color w:val="000000"/>
                <w:sz w:val="20"/>
                <w:szCs w:val="20"/>
              </w:rPr>
            </w:pPr>
            <w:r>
              <w:rPr>
                <w:color w:val="000000"/>
                <w:sz w:val="20"/>
                <w:szCs w:val="20"/>
              </w:rPr>
              <w:t>0.349</w:t>
            </w:r>
          </w:p>
        </w:tc>
        <w:tc>
          <w:tcPr>
            <w:tcW w:w="864" w:type="dxa"/>
            <w:tcBorders>
              <w:top w:val="nil"/>
              <w:left w:val="nil"/>
              <w:bottom w:val="nil"/>
              <w:right w:val="nil"/>
            </w:tcBorders>
            <w:shd w:val="clear" w:color="auto" w:fill="auto"/>
            <w:noWrap/>
            <w:vAlign w:val="bottom"/>
            <w:hideMark/>
          </w:tcPr>
          <w:p w14:paraId="24293432" w14:textId="77777777" w:rsidR="00DD1B5C" w:rsidRDefault="00DD1B5C">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BC42C0B" w14:textId="77777777" w:rsidR="00DD1B5C" w:rsidRDefault="00DD1B5C">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0FDA7F96" w14:textId="77777777" w:rsidR="00DD1B5C" w:rsidRDefault="00DD1B5C">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4C5D4BF3" w14:textId="77777777" w:rsidR="00DD1B5C" w:rsidRDefault="00DD1B5C">
            <w:pPr>
              <w:jc w:val="right"/>
              <w:rPr>
                <w:color w:val="000000"/>
                <w:sz w:val="20"/>
                <w:szCs w:val="20"/>
              </w:rPr>
            </w:pPr>
            <w:r>
              <w:rPr>
                <w:color w:val="000000"/>
                <w:sz w:val="20"/>
                <w:szCs w:val="20"/>
              </w:rPr>
              <w:t>0.002</w:t>
            </w:r>
          </w:p>
        </w:tc>
      </w:tr>
      <w:tr w:rsidR="00DD1B5C" w14:paraId="49DDE6FB" w14:textId="77777777" w:rsidTr="00DD1B5C">
        <w:trPr>
          <w:trHeight w:val="320"/>
        </w:trPr>
        <w:tc>
          <w:tcPr>
            <w:tcW w:w="1152" w:type="dxa"/>
            <w:tcBorders>
              <w:top w:val="nil"/>
              <w:left w:val="nil"/>
              <w:bottom w:val="nil"/>
              <w:right w:val="nil"/>
            </w:tcBorders>
            <w:shd w:val="clear" w:color="auto" w:fill="auto"/>
            <w:noWrap/>
            <w:vAlign w:val="bottom"/>
            <w:hideMark/>
          </w:tcPr>
          <w:p w14:paraId="147A80EC"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AB092DC" w14:textId="77777777" w:rsidR="00DD1B5C" w:rsidRDefault="00DD1B5C">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2FED372" w14:textId="77777777" w:rsidR="00DD1B5C" w:rsidRDefault="00DD1B5C">
            <w:pPr>
              <w:jc w:val="right"/>
              <w:rPr>
                <w:color w:val="000000"/>
                <w:sz w:val="20"/>
                <w:szCs w:val="20"/>
              </w:rPr>
            </w:pPr>
            <w:r>
              <w:rPr>
                <w:color w:val="000000"/>
                <w:sz w:val="20"/>
                <w:szCs w:val="20"/>
              </w:rPr>
              <w:t>-0.062</w:t>
            </w:r>
          </w:p>
        </w:tc>
        <w:tc>
          <w:tcPr>
            <w:tcW w:w="864" w:type="dxa"/>
            <w:tcBorders>
              <w:top w:val="nil"/>
              <w:left w:val="nil"/>
              <w:bottom w:val="nil"/>
              <w:right w:val="nil"/>
            </w:tcBorders>
            <w:shd w:val="clear" w:color="auto" w:fill="auto"/>
            <w:noWrap/>
            <w:vAlign w:val="bottom"/>
            <w:hideMark/>
          </w:tcPr>
          <w:p w14:paraId="250287DE" w14:textId="77777777" w:rsidR="00DD1B5C" w:rsidRDefault="00DD1B5C">
            <w:pPr>
              <w:jc w:val="right"/>
              <w:rPr>
                <w:color w:val="000000"/>
                <w:sz w:val="20"/>
                <w:szCs w:val="20"/>
              </w:rPr>
            </w:pPr>
            <w:r>
              <w:rPr>
                <w:color w:val="000000"/>
                <w:sz w:val="20"/>
                <w:szCs w:val="20"/>
              </w:rPr>
              <w:t>0.144</w:t>
            </w:r>
          </w:p>
        </w:tc>
        <w:tc>
          <w:tcPr>
            <w:tcW w:w="864" w:type="dxa"/>
            <w:tcBorders>
              <w:top w:val="nil"/>
              <w:left w:val="nil"/>
              <w:bottom w:val="nil"/>
              <w:right w:val="nil"/>
            </w:tcBorders>
            <w:shd w:val="clear" w:color="auto" w:fill="auto"/>
            <w:noWrap/>
            <w:vAlign w:val="bottom"/>
            <w:hideMark/>
          </w:tcPr>
          <w:p w14:paraId="6D23261D" w14:textId="77777777" w:rsidR="00DD1B5C" w:rsidRDefault="00DD1B5C">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87A17E6" w14:textId="77777777" w:rsidR="00DD1B5C" w:rsidRDefault="00DD1B5C">
            <w:pPr>
              <w:jc w:val="right"/>
              <w:rPr>
                <w:color w:val="000000"/>
                <w:sz w:val="20"/>
                <w:szCs w:val="20"/>
              </w:rPr>
            </w:pPr>
            <w:r>
              <w:rPr>
                <w:color w:val="000000"/>
                <w:sz w:val="20"/>
                <w:szCs w:val="20"/>
              </w:rPr>
              <w:t>0.071</w:t>
            </w:r>
          </w:p>
        </w:tc>
        <w:tc>
          <w:tcPr>
            <w:tcW w:w="864" w:type="dxa"/>
            <w:tcBorders>
              <w:top w:val="nil"/>
              <w:left w:val="nil"/>
              <w:bottom w:val="nil"/>
              <w:right w:val="nil"/>
            </w:tcBorders>
            <w:shd w:val="clear" w:color="auto" w:fill="auto"/>
            <w:noWrap/>
            <w:vAlign w:val="bottom"/>
            <w:hideMark/>
          </w:tcPr>
          <w:p w14:paraId="7EF3CC03" w14:textId="77777777" w:rsidR="00DD1B5C" w:rsidRDefault="00DD1B5C">
            <w:pPr>
              <w:jc w:val="right"/>
              <w:rPr>
                <w:color w:val="000000"/>
                <w:sz w:val="20"/>
                <w:szCs w:val="20"/>
              </w:rPr>
            </w:pPr>
            <w:r>
              <w:rPr>
                <w:color w:val="000000"/>
                <w:sz w:val="20"/>
                <w:szCs w:val="20"/>
              </w:rPr>
              <w:t>0.208</w:t>
            </w:r>
          </w:p>
        </w:tc>
        <w:tc>
          <w:tcPr>
            <w:tcW w:w="864" w:type="dxa"/>
            <w:tcBorders>
              <w:top w:val="nil"/>
              <w:left w:val="nil"/>
              <w:bottom w:val="nil"/>
              <w:right w:val="nil"/>
            </w:tcBorders>
            <w:shd w:val="clear" w:color="auto" w:fill="auto"/>
            <w:noWrap/>
            <w:vAlign w:val="bottom"/>
            <w:hideMark/>
          </w:tcPr>
          <w:p w14:paraId="69E679DC" w14:textId="77777777" w:rsidR="00DD1B5C" w:rsidRDefault="00DD1B5C">
            <w:pPr>
              <w:jc w:val="right"/>
              <w:rPr>
                <w:color w:val="000000"/>
                <w:sz w:val="20"/>
                <w:szCs w:val="20"/>
              </w:rPr>
            </w:pPr>
            <w:r>
              <w:rPr>
                <w:color w:val="000000"/>
                <w:sz w:val="20"/>
                <w:szCs w:val="20"/>
              </w:rPr>
              <w:t>0.005</w:t>
            </w:r>
          </w:p>
        </w:tc>
      </w:tr>
      <w:tr w:rsidR="00DD1B5C" w14:paraId="30445E0F" w14:textId="77777777" w:rsidTr="00DD1B5C">
        <w:trPr>
          <w:trHeight w:val="320"/>
        </w:trPr>
        <w:tc>
          <w:tcPr>
            <w:tcW w:w="1152" w:type="dxa"/>
            <w:tcBorders>
              <w:top w:val="nil"/>
              <w:left w:val="nil"/>
              <w:bottom w:val="nil"/>
              <w:right w:val="nil"/>
            </w:tcBorders>
            <w:shd w:val="clear" w:color="auto" w:fill="auto"/>
            <w:noWrap/>
            <w:vAlign w:val="bottom"/>
            <w:hideMark/>
          </w:tcPr>
          <w:p w14:paraId="60F300E6"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5766FF6" w14:textId="77777777" w:rsidR="00DD1B5C" w:rsidRDefault="00DD1B5C">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BB22C9A" w14:textId="77777777" w:rsidR="00DD1B5C" w:rsidRDefault="00DD1B5C">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4D65C991" w14:textId="77777777" w:rsidR="00DD1B5C" w:rsidRDefault="00DD1B5C">
            <w:pPr>
              <w:jc w:val="right"/>
              <w:rPr>
                <w:color w:val="000000"/>
                <w:sz w:val="20"/>
                <w:szCs w:val="20"/>
              </w:rPr>
            </w:pPr>
            <w:r>
              <w:rPr>
                <w:color w:val="000000"/>
                <w:sz w:val="20"/>
                <w:szCs w:val="20"/>
              </w:rPr>
              <w:t>0.349</w:t>
            </w:r>
          </w:p>
        </w:tc>
        <w:tc>
          <w:tcPr>
            <w:tcW w:w="864" w:type="dxa"/>
            <w:tcBorders>
              <w:top w:val="nil"/>
              <w:left w:val="nil"/>
              <w:bottom w:val="nil"/>
              <w:right w:val="nil"/>
            </w:tcBorders>
            <w:shd w:val="clear" w:color="auto" w:fill="auto"/>
            <w:noWrap/>
            <w:vAlign w:val="bottom"/>
            <w:hideMark/>
          </w:tcPr>
          <w:p w14:paraId="54F28D4D" w14:textId="77777777" w:rsidR="00DD1B5C" w:rsidRDefault="00DD1B5C">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823A3B4" w14:textId="77777777" w:rsidR="00DD1B5C" w:rsidRDefault="00DD1B5C">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0A4C1D57" w14:textId="77777777" w:rsidR="00DD1B5C" w:rsidRDefault="00DD1B5C">
            <w:pPr>
              <w:jc w:val="right"/>
              <w:rPr>
                <w:color w:val="000000"/>
                <w:sz w:val="20"/>
                <w:szCs w:val="20"/>
              </w:rPr>
            </w:pPr>
            <w:r>
              <w:rPr>
                <w:color w:val="000000"/>
                <w:sz w:val="20"/>
                <w:szCs w:val="20"/>
              </w:rPr>
              <w:t>0.488</w:t>
            </w:r>
          </w:p>
        </w:tc>
        <w:tc>
          <w:tcPr>
            <w:tcW w:w="864" w:type="dxa"/>
            <w:tcBorders>
              <w:top w:val="nil"/>
              <w:left w:val="nil"/>
              <w:bottom w:val="nil"/>
              <w:right w:val="nil"/>
            </w:tcBorders>
            <w:shd w:val="clear" w:color="auto" w:fill="auto"/>
            <w:noWrap/>
            <w:vAlign w:val="bottom"/>
            <w:hideMark/>
          </w:tcPr>
          <w:p w14:paraId="250E4A47" w14:textId="77777777" w:rsidR="00DD1B5C" w:rsidRDefault="00DD1B5C">
            <w:pPr>
              <w:jc w:val="right"/>
              <w:rPr>
                <w:color w:val="000000"/>
                <w:sz w:val="20"/>
                <w:szCs w:val="20"/>
              </w:rPr>
            </w:pPr>
            <w:r>
              <w:rPr>
                <w:color w:val="000000"/>
                <w:sz w:val="20"/>
                <w:szCs w:val="20"/>
              </w:rPr>
              <w:t>0.001</w:t>
            </w:r>
          </w:p>
        </w:tc>
      </w:tr>
      <w:tr w:rsidR="00DD1B5C" w14:paraId="404A2AE3" w14:textId="77777777" w:rsidTr="00DD1B5C">
        <w:trPr>
          <w:trHeight w:val="320"/>
        </w:trPr>
        <w:tc>
          <w:tcPr>
            <w:tcW w:w="1152" w:type="dxa"/>
            <w:tcBorders>
              <w:top w:val="nil"/>
              <w:left w:val="nil"/>
              <w:bottom w:val="nil"/>
              <w:right w:val="nil"/>
            </w:tcBorders>
            <w:shd w:val="clear" w:color="auto" w:fill="auto"/>
            <w:noWrap/>
            <w:vAlign w:val="bottom"/>
            <w:hideMark/>
          </w:tcPr>
          <w:p w14:paraId="49D93E3D"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E358D5E" w14:textId="77777777" w:rsidR="00DD1B5C" w:rsidRDefault="00DD1B5C">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77D1581" w14:textId="77777777" w:rsidR="00DD1B5C" w:rsidRDefault="00DD1B5C">
            <w:pPr>
              <w:jc w:val="right"/>
              <w:rPr>
                <w:color w:val="000000"/>
                <w:sz w:val="20"/>
                <w:szCs w:val="20"/>
              </w:rPr>
            </w:pPr>
            <w:r>
              <w:rPr>
                <w:color w:val="000000"/>
                <w:sz w:val="20"/>
                <w:szCs w:val="20"/>
              </w:rPr>
              <w:t>0.066</w:t>
            </w:r>
          </w:p>
        </w:tc>
        <w:tc>
          <w:tcPr>
            <w:tcW w:w="864" w:type="dxa"/>
            <w:tcBorders>
              <w:top w:val="nil"/>
              <w:left w:val="nil"/>
              <w:bottom w:val="nil"/>
              <w:right w:val="nil"/>
            </w:tcBorders>
            <w:shd w:val="clear" w:color="auto" w:fill="auto"/>
            <w:noWrap/>
            <w:vAlign w:val="bottom"/>
            <w:hideMark/>
          </w:tcPr>
          <w:p w14:paraId="74AEE534" w14:textId="77777777" w:rsidR="00DD1B5C" w:rsidRDefault="00DD1B5C">
            <w:pPr>
              <w:jc w:val="right"/>
              <w:rPr>
                <w:color w:val="000000"/>
                <w:sz w:val="20"/>
                <w:szCs w:val="20"/>
              </w:rPr>
            </w:pPr>
            <w:r>
              <w:rPr>
                <w:color w:val="000000"/>
                <w:sz w:val="20"/>
                <w:szCs w:val="20"/>
              </w:rPr>
              <w:t>0.144</w:t>
            </w:r>
          </w:p>
        </w:tc>
        <w:tc>
          <w:tcPr>
            <w:tcW w:w="864" w:type="dxa"/>
            <w:tcBorders>
              <w:top w:val="nil"/>
              <w:left w:val="nil"/>
              <w:bottom w:val="nil"/>
              <w:right w:val="nil"/>
            </w:tcBorders>
            <w:shd w:val="clear" w:color="auto" w:fill="auto"/>
            <w:noWrap/>
            <w:vAlign w:val="bottom"/>
            <w:hideMark/>
          </w:tcPr>
          <w:p w14:paraId="749BF8F1" w14:textId="77777777" w:rsidR="00DD1B5C" w:rsidRDefault="00DD1B5C">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EAA3BE6" w14:textId="77777777" w:rsidR="00DD1B5C" w:rsidRDefault="00DD1B5C">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03C8B442" w14:textId="77777777" w:rsidR="00DD1B5C" w:rsidRDefault="00DD1B5C">
            <w:pPr>
              <w:jc w:val="right"/>
              <w:rPr>
                <w:color w:val="000000"/>
                <w:sz w:val="20"/>
                <w:szCs w:val="20"/>
              </w:rPr>
            </w:pPr>
            <w:r>
              <w:rPr>
                <w:color w:val="000000"/>
                <w:sz w:val="20"/>
                <w:szCs w:val="20"/>
              </w:rPr>
              <w:t>0.488</w:t>
            </w:r>
          </w:p>
        </w:tc>
        <w:tc>
          <w:tcPr>
            <w:tcW w:w="864" w:type="dxa"/>
            <w:tcBorders>
              <w:top w:val="nil"/>
              <w:left w:val="nil"/>
              <w:bottom w:val="nil"/>
              <w:right w:val="nil"/>
            </w:tcBorders>
            <w:shd w:val="clear" w:color="auto" w:fill="auto"/>
            <w:noWrap/>
            <w:vAlign w:val="bottom"/>
            <w:hideMark/>
          </w:tcPr>
          <w:p w14:paraId="45B80950" w14:textId="77777777" w:rsidR="00DD1B5C" w:rsidRDefault="00DD1B5C">
            <w:pPr>
              <w:jc w:val="right"/>
              <w:rPr>
                <w:color w:val="000000"/>
                <w:sz w:val="20"/>
                <w:szCs w:val="20"/>
              </w:rPr>
            </w:pPr>
            <w:r>
              <w:rPr>
                <w:color w:val="000000"/>
                <w:sz w:val="20"/>
                <w:szCs w:val="20"/>
              </w:rPr>
              <w:t>0.001</w:t>
            </w:r>
          </w:p>
        </w:tc>
      </w:tr>
      <w:tr w:rsidR="00DD1B5C" w14:paraId="13BAE1FD" w14:textId="77777777" w:rsidTr="00DD1B5C">
        <w:trPr>
          <w:trHeight w:val="320"/>
        </w:trPr>
        <w:tc>
          <w:tcPr>
            <w:tcW w:w="1152" w:type="dxa"/>
            <w:tcBorders>
              <w:top w:val="nil"/>
              <w:left w:val="nil"/>
              <w:bottom w:val="nil"/>
              <w:right w:val="nil"/>
            </w:tcBorders>
            <w:shd w:val="clear" w:color="auto" w:fill="auto"/>
            <w:noWrap/>
            <w:vAlign w:val="bottom"/>
            <w:hideMark/>
          </w:tcPr>
          <w:p w14:paraId="785C24B9"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1F9BA62" w14:textId="77777777" w:rsidR="00DD1B5C" w:rsidRDefault="00DD1B5C">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46FE7BD" w14:textId="77777777" w:rsidR="00DD1B5C" w:rsidRDefault="00DD1B5C">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341A28F6" w14:textId="77777777" w:rsidR="00DD1B5C" w:rsidRDefault="00DD1B5C">
            <w:pPr>
              <w:jc w:val="right"/>
              <w:rPr>
                <w:color w:val="000000"/>
                <w:sz w:val="20"/>
                <w:szCs w:val="20"/>
              </w:rPr>
            </w:pPr>
            <w:r>
              <w:rPr>
                <w:color w:val="000000"/>
                <w:sz w:val="20"/>
                <w:szCs w:val="20"/>
              </w:rPr>
              <w:t>0.799</w:t>
            </w:r>
          </w:p>
        </w:tc>
        <w:tc>
          <w:tcPr>
            <w:tcW w:w="864" w:type="dxa"/>
            <w:tcBorders>
              <w:top w:val="nil"/>
              <w:left w:val="nil"/>
              <w:bottom w:val="nil"/>
              <w:right w:val="nil"/>
            </w:tcBorders>
            <w:shd w:val="clear" w:color="auto" w:fill="auto"/>
            <w:noWrap/>
            <w:vAlign w:val="bottom"/>
            <w:hideMark/>
          </w:tcPr>
          <w:p w14:paraId="6AA2340A"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BB35931" w14:textId="77777777" w:rsidR="00DD1B5C" w:rsidRDefault="00DD1B5C">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5A71ACC7" w14:textId="77777777" w:rsidR="00DD1B5C" w:rsidRDefault="00DD1B5C">
            <w:pPr>
              <w:jc w:val="right"/>
              <w:rPr>
                <w:color w:val="000000"/>
                <w:sz w:val="20"/>
                <w:szCs w:val="20"/>
              </w:rPr>
            </w:pPr>
            <w:r>
              <w:rPr>
                <w:color w:val="000000"/>
                <w:sz w:val="20"/>
                <w:szCs w:val="20"/>
              </w:rPr>
              <w:t>0.799</w:t>
            </w:r>
          </w:p>
        </w:tc>
        <w:tc>
          <w:tcPr>
            <w:tcW w:w="864" w:type="dxa"/>
            <w:tcBorders>
              <w:top w:val="nil"/>
              <w:left w:val="nil"/>
              <w:bottom w:val="nil"/>
              <w:right w:val="nil"/>
            </w:tcBorders>
            <w:shd w:val="clear" w:color="auto" w:fill="auto"/>
            <w:noWrap/>
            <w:vAlign w:val="bottom"/>
            <w:hideMark/>
          </w:tcPr>
          <w:p w14:paraId="55FE316C" w14:textId="77777777" w:rsidR="00DD1B5C" w:rsidRDefault="00DD1B5C">
            <w:pPr>
              <w:jc w:val="right"/>
              <w:rPr>
                <w:color w:val="000000"/>
                <w:sz w:val="20"/>
                <w:szCs w:val="20"/>
              </w:rPr>
            </w:pPr>
            <w:r>
              <w:rPr>
                <w:color w:val="000000"/>
                <w:sz w:val="20"/>
                <w:szCs w:val="20"/>
              </w:rPr>
              <w:t>0.000</w:t>
            </w:r>
          </w:p>
        </w:tc>
      </w:tr>
      <w:tr w:rsidR="00DD1B5C" w14:paraId="0109238C" w14:textId="77777777" w:rsidTr="00DD1B5C">
        <w:trPr>
          <w:trHeight w:val="320"/>
        </w:trPr>
        <w:tc>
          <w:tcPr>
            <w:tcW w:w="1152" w:type="dxa"/>
            <w:tcBorders>
              <w:top w:val="nil"/>
              <w:left w:val="nil"/>
              <w:bottom w:val="nil"/>
              <w:right w:val="nil"/>
            </w:tcBorders>
            <w:shd w:val="clear" w:color="auto" w:fill="auto"/>
            <w:noWrap/>
            <w:vAlign w:val="bottom"/>
            <w:hideMark/>
          </w:tcPr>
          <w:p w14:paraId="037C7404"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87B6D68" w14:textId="77777777" w:rsidR="00DD1B5C" w:rsidRDefault="00DD1B5C">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2211237"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9C47CE2" w14:textId="77777777" w:rsidR="00DD1B5C" w:rsidRDefault="00DD1B5C">
            <w:pPr>
              <w:jc w:val="right"/>
              <w:rPr>
                <w:color w:val="000000"/>
                <w:sz w:val="20"/>
                <w:szCs w:val="20"/>
              </w:rPr>
            </w:pPr>
            <w:r>
              <w:rPr>
                <w:color w:val="000000"/>
                <w:sz w:val="20"/>
                <w:szCs w:val="20"/>
              </w:rPr>
              <w:t>1.000</w:t>
            </w:r>
          </w:p>
        </w:tc>
        <w:tc>
          <w:tcPr>
            <w:tcW w:w="864" w:type="dxa"/>
            <w:tcBorders>
              <w:top w:val="nil"/>
              <w:left w:val="nil"/>
              <w:bottom w:val="nil"/>
              <w:right w:val="nil"/>
            </w:tcBorders>
            <w:shd w:val="clear" w:color="auto" w:fill="auto"/>
            <w:noWrap/>
            <w:vAlign w:val="bottom"/>
            <w:hideMark/>
          </w:tcPr>
          <w:p w14:paraId="21F7A6B9"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4C3B8A9" w14:textId="77777777" w:rsidR="00DD1B5C" w:rsidRDefault="00DD1B5C">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539000BD" w14:textId="77777777" w:rsidR="00DD1B5C" w:rsidRDefault="00DD1B5C">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5679283A" w14:textId="77777777" w:rsidR="00DD1B5C" w:rsidRDefault="00DD1B5C">
            <w:pPr>
              <w:jc w:val="right"/>
              <w:rPr>
                <w:color w:val="000000"/>
                <w:sz w:val="20"/>
                <w:szCs w:val="20"/>
              </w:rPr>
            </w:pPr>
            <w:r>
              <w:rPr>
                <w:color w:val="000000"/>
                <w:sz w:val="20"/>
                <w:szCs w:val="20"/>
              </w:rPr>
              <w:t>0.003</w:t>
            </w:r>
          </w:p>
        </w:tc>
      </w:tr>
      <w:tr w:rsidR="00DD1B5C" w14:paraId="1A8C119F" w14:textId="77777777" w:rsidTr="00DD1B5C">
        <w:trPr>
          <w:trHeight w:val="320"/>
        </w:trPr>
        <w:tc>
          <w:tcPr>
            <w:tcW w:w="1152" w:type="dxa"/>
            <w:tcBorders>
              <w:top w:val="nil"/>
              <w:left w:val="nil"/>
              <w:bottom w:val="nil"/>
              <w:right w:val="nil"/>
            </w:tcBorders>
            <w:shd w:val="clear" w:color="auto" w:fill="auto"/>
            <w:noWrap/>
            <w:vAlign w:val="bottom"/>
            <w:hideMark/>
          </w:tcPr>
          <w:p w14:paraId="56A5699B" w14:textId="77777777" w:rsidR="00DD1B5C" w:rsidRDefault="00DD1B5C">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2D13E8C" w14:textId="77777777" w:rsidR="00DD1B5C" w:rsidRDefault="00DD1B5C">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0593AA1" w14:textId="77777777" w:rsidR="00DD1B5C" w:rsidRDefault="00DD1B5C">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0A2B0E0E" w14:textId="77777777" w:rsidR="00DD1B5C" w:rsidRDefault="00DD1B5C">
            <w:pPr>
              <w:jc w:val="right"/>
              <w:rPr>
                <w:color w:val="000000"/>
                <w:sz w:val="20"/>
                <w:szCs w:val="20"/>
              </w:rPr>
            </w:pPr>
            <w:r>
              <w:rPr>
                <w:color w:val="000000"/>
                <w:sz w:val="20"/>
                <w:szCs w:val="20"/>
              </w:rPr>
              <w:t>0.349</w:t>
            </w:r>
          </w:p>
        </w:tc>
        <w:tc>
          <w:tcPr>
            <w:tcW w:w="864" w:type="dxa"/>
            <w:tcBorders>
              <w:top w:val="nil"/>
              <w:left w:val="nil"/>
              <w:bottom w:val="nil"/>
              <w:right w:val="nil"/>
            </w:tcBorders>
            <w:shd w:val="clear" w:color="auto" w:fill="auto"/>
            <w:noWrap/>
            <w:vAlign w:val="bottom"/>
            <w:hideMark/>
          </w:tcPr>
          <w:p w14:paraId="30C6E137" w14:textId="77777777" w:rsidR="00DD1B5C" w:rsidRDefault="00DD1B5C">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8BAC250" w14:textId="77777777" w:rsidR="00DD1B5C" w:rsidRDefault="00DD1B5C">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0FBD4DE8" w14:textId="77777777" w:rsidR="00DD1B5C" w:rsidRDefault="00DD1B5C">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6C6284C3" w14:textId="77777777" w:rsidR="00DD1B5C" w:rsidRDefault="00DD1B5C">
            <w:pPr>
              <w:jc w:val="right"/>
              <w:rPr>
                <w:color w:val="000000"/>
                <w:sz w:val="20"/>
                <w:szCs w:val="20"/>
              </w:rPr>
            </w:pPr>
            <w:r>
              <w:rPr>
                <w:color w:val="000000"/>
                <w:sz w:val="20"/>
                <w:szCs w:val="20"/>
              </w:rPr>
              <w:t>0.004</w:t>
            </w:r>
          </w:p>
        </w:tc>
      </w:tr>
      <w:tr w:rsidR="00DD1B5C" w14:paraId="6172BB0C"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0A8CC014" w14:textId="77777777" w:rsidR="00DD1B5C" w:rsidRDefault="00DD1B5C">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54B18566" w14:textId="77777777" w:rsidR="00DD1B5C" w:rsidRDefault="00DD1B5C">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3957747E" w14:textId="77777777" w:rsidR="00DD1B5C" w:rsidRDefault="00DD1B5C">
            <w:pPr>
              <w:jc w:val="right"/>
              <w:rPr>
                <w:color w:val="000000"/>
                <w:sz w:val="20"/>
                <w:szCs w:val="20"/>
              </w:rPr>
            </w:pPr>
            <w:r>
              <w:rPr>
                <w:color w:val="000000"/>
                <w:sz w:val="20"/>
                <w:szCs w:val="20"/>
              </w:rPr>
              <w:t>0.010</w:t>
            </w:r>
          </w:p>
        </w:tc>
        <w:tc>
          <w:tcPr>
            <w:tcW w:w="864" w:type="dxa"/>
            <w:tcBorders>
              <w:top w:val="nil"/>
              <w:left w:val="nil"/>
              <w:bottom w:val="single" w:sz="12" w:space="0" w:color="auto"/>
              <w:right w:val="nil"/>
            </w:tcBorders>
            <w:shd w:val="clear" w:color="auto" w:fill="auto"/>
            <w:noWrap/>
            <w:vAlign w:val="bottom"/>
            <w:hideMark/>
          </w:tcPr>
          <w:p w14:paraId="6B1CE8D4" w14:textId="77777777" w:rsidR="00DD1B5C" w:rsidRDefault="00DD1B5C">
            <w:pPr>
              <w:jc w:val="right"/>
              <w:rPr>
                <w:color w:val="000000"/>
                <w:sz w:val="20"/>
                <w:szCs w:val="20"/>
              </w:rPr>
            </w:pPr>
            <w:r>
              <w:rPr>
                <w:color w:val="000000"/>
                <w:sz w:val="20"/>
                <w:szCs w:val="20"/>
              </w:rPr>
              <w:t>0.873</w:t>
            </w:r>
          </w:p>
        </w:tc>
        <w:tc>
          <w:tcPr>
            <w:tcW w:w="864" w:type="dxa"/>
            <w:tcBorders>
              <w:top w:val="nil"/>
              <w:left w:val="nil"/>
              <w:bottom w:val="single" w:sz="12" w:space="0" w:color="auto"/>
              <w:right w:val="nil"/>
            </w:tcBorders>
            <w:shd w:val="clear" w:color="auto" w:fill="auto"/>
            <w:noWrap/>
            <w:vAlign w:val="bottom"/>
            <w:hideMark/>
          </w:tcPr>
          <w:p w14:paraId="4F1CEBCD" w14:textId="77777777" w:rsidR="00DD1B5C" w:rsidRDefault="00DD1B5C">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238EE8C6" w14:textId="77777777" w:rsidR="00DD1B5C" w:rsidRDefault="00DD1B5C">
            <w:pPr>
              <w:jc w:val="right"/>
              <w:rPr>
                <w:color w:val="000000"/>
                <w:sz w:val="20"/>
                <w:szCs w:val="20"/>
              </w:rPr>
            </w:pPr>
            <w:r>
              <w:rPr>
                <w:color w:val="000000"/>
                <w:sz w:val="20"/>
                <w:szCs w:val="20"/>
              </w:rPr>
              <w:t>-0.053</w:t>
            </w:r>
          </w:p>
        </w:tc>
        <w:tc>
          <w:tcPr>
            <w:tcW w:w="864" w:type="dxa"/>
            <w:tcBorders>
              <w:top w:val="nil"/>
              <w:left w:val="nil"/>
              <w:bottom w:val="single" w:sz="12" w:space="0" w:color="auto"/>
              <w:right w:val="nil"/>
            </w:tcBorders>
            <w:shd w:val="clear" w:color="auto" w:fill="auto"/>
            <w:noWrap/>
            <w:vAlign w:val="bottom"/>
            <w:hideMark/>
          </w:tcPr>
          <w:p w14:paraId="3C84AA7A" w14:textId="77777777" w:rsidR="00DD1B5C" w:rsidRDefault="00DD1B5C">
            <w:pPr>
              <w:jc w:val="right"/>
              <w:rPr>
                <w:color w:val="000000"/>
                <w:sz w:val="20"/>
                <w:szCs w:val="20"/>
              </w:rPr>
            </w:pPr>
            <w:r>
              <w:rPr>
                <w:color w:val="000000"/>
                <w:sz w:val="20"/>
                <w:szCs w:val="20"/>
              </w:rPr>
              <w:t>0.224</w:t>
            </w:r>
          </w:p>
        </w:tc>
        <w:tc>
          <w:tcPr>
            <w:tcW w:w="864" w:type="dxa"/>
            <w:tcBorders>
              <w:top w:val="nil"/>
              <w:left w:val="nil"/>
              <w:bottom w:val="single" w:sz="12" w:space="0" w:color="auto"/>
              <w:right w:val="nil"/>
            </w:tcBorders>
            <w:shd w:val="clear" w:color="auto" w:fill="auto"/>
            <w:noWrap/>
            <w:vAlign w:val="bottom"/>
            <w:hideMark/>
          </w:tcPr>
          <w:p w14:paraId="488CED27" w14:textId="77777777" w:rsidR="00DD1B5C" w:rsidRDefault="00DD1B5C">
            <w:pPr>
              <w:jc w:val="right"/>
              <w:rPr>
                <w:color w:val="000000"/>
                <w:sz w:val="20"/>
                <w:szCs w:val="20"/>
              </w:rPr>
            </w:pPr>
            <w:r>
              <w:rPr>
                <w:color w:val="000000"/>
                <w:sz w:val="20"/>
                <w:szCs w:val="20"/>
              </w:rPr>
              <w:t>0.003</w:t>
            </w:r>
          </w:p>
        </w:tc>
      </w:tr>
      <w:tr w:rsidR="00DD1B5C" w14:paraId="05B5D399"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97E98F3" w14:textId="77777777" w:rsidR="00DD1B5C" w:rsidRDefault="00DD1B5C">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58BE50BB" w14:textId="77777777" w:rsidR="00DD1B5C" w:rsidRDefault="00DD1B5C">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82C0774" w14:textId="77777777" w:rsidR="00DD1B5C" w:rsidRDefault="00DD1B5C">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C26A7BB" w14:textId="77777777" w:rsidR="00DD1B5C" w:rsidRDefault="00DD1B5C">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1FDB2C9" w14:textId="77777777" w:rsidR="00DD1B5C" w:rsidRDefault="00DD1B5C">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CC09A9E" w14:textId="77777777" w:rsidR="00DD1B5C" w:rsidRDefault="00DD1B5C">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3F871D2" w14:textId="77777777" w:rsidR="00DD1B5C" w:rsidRDefault="00DD1B5C">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D3357A4" w14:textId="77777777" w:rsidR="00DD1B5C" w:rsidRDefault="00DD1B5C">
            <w:pPr>
              <w:rPr>
                <w:sz w:val="20"/>
                <w:szCs w:val="20"/>
              </w:rPr>
            </w:pPr>
          </w:p>
        </w:tc>
      </w:tr>
    </w:tbl>
    <w:p w14:paraId="2F339608" w14:textId="638D4E25" w:rsidR="004A061B" w:rsidRDefault="004A061B" w:rsidP="00BC5AB7">
      <w:pPr>
        <w:rPr>
          <w:rFonts w:ascii="Batang" w:eastAsia="Batang" w:hAnsi="Batang" w:cs="Batang"/>
          <w:color w:val="000000"/>
        </w:rPr>
      </w:pPr>
    </w:p>
    <w:p w14:paraId="0CAF1990" w14:textId="40657C7F" w:rsidR="00926183" w:rsidRDefault="004A061B" w:rsidP="00926183">
      <w:pPr>
        <w:pStyle w:val="Heading1"/>
        <w:rPr>
          <w:rFonts w:ascii="Times New Roman" w:hAnsi="Times New Roman" w:cs="Times New Roman"/>
          <w:color w:val="000000" w:themeColor="text1"/>
          <w:sz w:val="24"/>
          <w:szCs w:val="24"/>
        </w:rPr>
      </w:pPr>
      <w:r>
        <w:rPr>
          <w:rFonts w:ascii="Batang" w:eastAsia="Batang" w:hAnsi="Batang" w:cs="Batang"/>
          <w:color w:val="000000"/>
        </w:rPr>
        <w:br w:type="page"/>
      </w:r>
      <w:bookmarkStart w:id="70" w:name="_Toc155817737"/>
      <w:r w:rsidR="00926183" w:rsidRPr="00926183">
        <w:rPr>
          <w:rFonts w:ascii="Times New Roman" w:hAnsi="Times New Roman" w:cs="Times New Roman"/>
          <w:b/>
          <w:bCs/>
          <w:color w:val="000000" w:themeColor="text1"/>
          <w:sz w:val="24"/>
          <w:szCs w:val="24"/>
        </w:rPr>
        <w:lastRenderedPageBreak/>
        <w:t>Table 27g.</w:t>
      </w:r>
      <w:r w:rsidR="00926183">
        <w:rPr>
          <w:rFonts w:ascii="Times New Roman" w:hAnsi="Times New Roman" w:cs="Times New Roman"/>
          <w:color w:val="000000" w:themeColor="text1"/>
          <w:sz w:val="24"/>
          <w:szCs w:val="24"/>
        </w:rPr>
        <w:t xml:space="preserve"> Results examining the relationship between Shen-268 network small world omega and neighborhood SES deprivation obtained from bifactor modeling and neighborhood median income during emotional n-back task</w:t>
      </w:r>
      <w:bookmarkEnd w:id="70"/>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926183" w14:paraId="6C1D5391"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34746DCC" w14:textId="77777777" w:rsidR="00926183" w:rsidRDefault="00926183" w:rsidP="005A3B4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bottom"/>
            <w:hideMark/>
          </w:tcPr>
          <w:p w14:paraId="71A505B2" w14:textId="77777777" w:rsidR="00926183" w:rsidRDefault="00926183" w:rsidP="005A3B4D">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62D86EA7" w14:textId="77777777" w:rsidR="00926183" w:rsidRDefault="00926183" w:rsidP="005A3B4D">
            <w:pPr>
              <w:rPr>
                <w:color w:val="000000"/>
                <w:sz w:val="20"/>
                <w:szCs w:val="20"/>
              </w:rPr>
            </w:pPr>
          </w:p>
        </w:tc>
        <w:tc>
          <w:tcPr>
            <w:tcW w:w="864" w:type="dxa"/>
            <w:tcBorders>
              <w:top w:val="nil"/>
              <w:left w:val="nil"/>
              <w:bottom w:val="single" w:sz="12" w:space="0" w:color="auto"/>
              <w:right w:val="nil"/>
            </w:tcBorders>
            <w:shd w:val="clear" w:color="auto" w:fill="auto"/>
            <w:noWrap/>
            <w:vAlign w:val="bottom"/>
            <w:hideMark/>
          </w:tcPr>
          <w:p w14:paraId="2419F993" w14:textId="77777777" w:rsidR="00926183" w:rsidRDefault="00926183"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3884E60" w14:textId="77777777" w:rsidR="00926183" w:rsidRDefault="00926183"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F3387C6" w14:textId="77777777" w:rsidR="00926183" w:rsidRDefault="00926183"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6EC9B09" w14:textId="77777777" w:rsidR="00926183" w:rsidRDefault="00926183" w:rsidP="005A3B4D">
            <w:pPr>
              <w:rPr>
                <w:sz w:val="20"/>
                <w:szCs w:val="20"/>
              </w:rPr>
            </w:pPr>
          </w:p>
        </w:tc>
        <w:tc>
          <w:tcPr>
            <w:tcW w:w="864" w:type="dxa"/>
            <w:tcBorders>
              <w:top w:val="nil"/>
              <w:left w:val="nil"/>
              <w:bottom w:val="nil"/>
              <w:right w:val="nil"/>
            </w:tcBorders>
            <w:shd w:val="clear" w:color="auto" w:fill="auto"/>
            <w:noWrap/>
            <w:vAlign w:val="bottom"/>
            <w:hideMark/>
          </w:tcPr>
          <w:p w14:paraId="5E047585" w14:textId="77777777" w:rsidR="00926183" w:rsidRDefault="00926183" w:rsidP="005A3B4D">
            <w:pPr>
              <w:rPr>
                <w:sz w:val="20"/>
                <w:szCs w:val="20"/>
              </w:rPr>
            </w:pPr>
          </w:p>
        </w:tc>
      </w:tr>
      <w:tr w:rsidR="00926183" w14:paraId="2A34B33C" w14:textId="77777777" w:rsidTr="005A3B4D">
        <w:trPr>
          <w:trHeight w:val="340"/>
        </w:trPr>
        <w:tc>
          <w:tcPr>
            <w:tcW w:w="1152" w:type="dxa"/>
            <w:tcBorders>
              <w:top w:val="single" w:sz="12" w:space="0" w:color="auto"/>
              <w:left w:val="nil"/>
              <w:bottom w:val="nil"/>
              <w:right w:val="nil"/>
            </w:tcBorders>
            <w:shd w:val="clear" w:color="auto" w:fill="auto"/>
            <w:noWrap/>
            <w:vAlign w:val="bottom"/>
            <w:hideMark/>
          </w:tcPr>
          <w:p w14:paraId="3C1BE33A" w14:textId="77777777" w:rsidR="00926183" w:rsidRDefault="00926183" w:rsidP="005A3B4D">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14E90429" w14:textId="77777777" w:rsidR="00926183" w:rsidRDefault="00926183" w:rsidP="005A3B4D">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4A515570" w14:textId="77777777" w:rsidR="00926183" w:rsidRDefault="00926183" w:rsidP="005A3B4D">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2D477A89" w14:textId="77777777" w:rsidR="00926183" w:rsidRDefault="00926183" w:rsidP="005A3B4D">
            <w:pPr>
              <w:jc w:val="center"/>
              <w:rPr>
                <w:color w:val="000000"/>
                <w:sz w:val="20"/>
                <w:szCs w:val="20"/>
              </w:rPr>
            </w:pPr>
            <w:r>
              <w:rPr>
                <w:color w:val="000000"/>
                <w:sz w:val="20"/>
                <w:szCs w:val="20"/>
              </w:rPr>
              <w:t>Neighborhood Median Income</w:t>
            </w:r>
          </w:p>
        </w:tc>
      </w:tr>
      <w:tr w:rsidR="00926183" w14:paraId="09E7A979" w14:textId="77777777" w:rsidTr="005A3B4D">
        <w:trPr>
          <w:trHeight w:val="360"/>
        </w:trPr>
        <w:tc>
          <w:tcPr>
            <w:tcW w:w="1152" w:type="dxa"/>
            <w:tcBorders>
              <w:top w:val="nil"/>
              <w:left w:val="nil"/>
              <w:bottom w:val="single" w:sz="12" w:space="0" w:color="auto"/>
              <w:right w:val="nil"/>
            </w:tcBorders>
            <w:shd w:val="clear" w:color="auto" w:fill="auto"/>
            <w:noWrap/>
            <w:vAlign w:val="bottom"/>
            <w:hideMark/>
          </w:tcPr>
          <w:p w14:paraId="42CCD9FE" w14:textId="77777777" w:rsidR="00926183" w:rsidRDefault="00926183" w:rsidP="005A3B4D">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47D3ACE8" w14:textId="77777777" w:rsidR="00926183" w:rsidRDefault="00926183" w:rsidP="005A3B4D">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1E9D0CA3" w14:textId="77777777" w:rsidR="00926183" w:rsidRDefault="00926183"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09FA8037" w14:textId="77777777" w:rsidR="00926183" w:rsidRDefault="00926183"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6A157DE4" w14:textId="77777777" w:rsidR="00926183" w:rsidRDefault="00926183" w:rsidP="005A3B4D">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558B91B5" w14:textId="77777777" w:rsidR="00926183" w:rsidRDefault="00926183"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6661AC96" w14:textId="77777777" w:rsidR="00926183" w:rsidRDefault="00926183"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4C26DC8B" w14:textId="77777777" w:rsidR="00926183" w:rsidRDefault="00926183" w:rsidP="005A3B4D">
            <w:pPr>
              <w:jc w:val="center"/>
              <w:rPr>
                <w:i/>
                <w:iCs/>
                <w:color w:val="000000"/>
                <w:sz w:val="20"/>
                <w:szCs w:val="20"/>
              </w:rPr>
            </w:pPr>
            <w:r>
              <w:rPr>
                <w:i/>
                <w:iCs/>
                <w:color w:val="000000"/>
                <w:sz w:val="20"/>
                <w:szCs w:val="20"/>
              </w:rPr>
              <w:t>R2</w:t>
            </w:r>
          </w:p>
        </w:tc>
      </w:tr>
      <w:tr w:rsidR="00926183" w14:paraId="5A8C1F68"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175D4CCB" w14:textId="77777777" w:rsidR="00926183" w:rsidRDefault="00926183" w:rsidP="005A3B4D">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7157C64F" w14:textId="77777777" w:rsidR="00926183" w:rsidRDefault="00926183" w:rsidP="005A3B4D">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4F5FB83D" w14:textId="77777777" w:rsidR="00926183" w:rsidRDefault="00926183" w:rsidP="005A3B4D">
            <w:pPr>
              <w:jc w:val="right"/>
              <w:rPr>
                <w:color w:val="000000"/>
                <w:sz w:val="20"/>
                <w:szCs w:val="20"/>
              </w:rPr>
            </w:pPr>
            <w:r>
              <w:rPr>
                <w:color w:val="000000"/>
                <w:sz w:val="20"/>
                <w:szCs w:val="20"/>
              </w:rPr>
              <w:t>0.028</w:t>
            </w:r>
          </w:p>
        </w:tc>
        <w:tc>
          <w:tcPr>
            <w:tcW w:w="864" w:type="dxa"/>
            <w:tcBorders>
              <w:top w:val="single" w:sz="12" w:space="0" w:color="auto"/>
              <w:left w:val="nil"/>
              <w:bottom w:val="nil"/>
              <w:right w:val="nil"/>
            </w:tcBorders>
            <w:shd w:val="clear" w:color="auto" w:fill="auto"/>
            <w:noWrap/>
            <w:vAlign w:val="bottom"/>
            <w:hideMark/>
          </w:tcPr>
          <w:p w14:paraId="262BD999" w14:textId="77777777" w:rsidR="00926183" w:rsidRDefault="00926183" w:rsidP="005A3B4D">
            <w:pPr>
              <w:jc w:val="right"/>
              <w:rPr>
                <w:color w:val="000000"/>
                <w:sz w:val="20"/>
                <w:szCs w:val="20"/>
              </w:rPr>
            </w:pPr>
            <w:r>
              <w:rPr>
                <w:color w:val="000000"/>
                <w:sz w:val="20"/>
                <w:szCs w:val="20"/>
              </w:rPr>
              <w:t>0.725</w:t>
            </w:r>
          </w:p>
        </w:tc>
        <w:tc>
          <w:tcPr>
            <w:tcW w:w="864" w:type="dxa"/>
            <w:tcBorders>
              <w:top w:val="single" w:sz="12" w:space="0" w:color="auto"/>
              <w:left w:val="nil"/>
              <w:bottom w:val="nil"/>
              <w:right w:val="nil"/>
            </w:tcBorders>
            <w:shd w:val="clear" w:color="auto" w:fill="auto"/>
            <w:noWrap/>
            <w:vAlign w:val="bottom"/>
            <w:hideMark/>
          </w:tcPr>
          <w:p w14:paraId="7B478976" w14:textId="77777777" w:rsidR="00926183" w:rsidRDefault="00926183" w:rsidP="005A3B4D">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02716DA1" w14:textId="77777777" w:rsidR="00926183" w:rsidRDefault="00926183" w:rsidP="005A3B4D">
            <w:pPr>
              <w:jc w:val="right"/>
              <w:rPr>
                <w:color w:val="000000"/>
                <w:sz w:val="20"/>
                <w:szCs w:val="20"/>
              </w:rPr>
            </w:pPr>
            <w:r>
              <w:rPr>
                <w:color w:val="000000"/>
                <w:sz w:val="20"/>
                <w:szCs w:val="20"/>
              </w:rPr>
              <w:t>0.009</w:t>
            </w:r>
          </w:p>
        </w:tc>
        <w:tc>
          <w:tcPr>
            <w:tcW w:w="864" w:type="dxa"/>
            <w:tcBorders>
              <w:top w:val="single" w:sz="12" w:space="0" w:color="auto"/>
              <w:left w:val="nil"/>
              <w:bottom w:val="nil"/>
              <w:right w:val="nil"/>
            </w:tcBorders>
            <w:shd w:val="clear" w:color="auto" w:fill="auto"/>
            <w:noWrap/>
            <w:vAlign w:val="bottom"/>
            <w:hideMark/>
          </w:tcPr>
          <w:p w14:paraId="54877368" w14:textId="77777777" w:rsidR="00926183" w:rsidRDefault="00926183" w:rsidP="005A3B4D">
            <w:pPr>
              <w:jc w:val="right"/>
              <w:rPr>
                <w:color w:val="000000"/>
                <w:sz w:val="20"/>
                <w:szCs w:val="20"/>
              </w:rPr>
            </w:pPr>
            <w:r>
              <w:rPr>
                <w:color w:val="000000"/>
                <w:sz w:val="20"/>
                <w:szCs w:val="20"/>
              </w:rPr>
              <w:t>0.878</w:t>
            </w:r>
          </w:p>
        </w:tc>
        <w:tc>
          <w:tcPr>
            <w:tcW w:w="864" w:type="dxa"/>
            <w:tcBorders>
              <w:top w:val="single" w:sz="12" w:space="0" w:color="auto"/>
              <w:left w:val="nil"/>
              <w:bottom w:val="nil"/>
              <w:right w:val="nil"/>
            </w:tcBorders>
            <w:shd w:val="clear" w:color="auto" w:fill="auto"/>
            <w:noWrap/>
            <w:vAlign w:val="bottom"/>
            <w:hideMark/>
          </w:tcPr>
          <w:p w14:paraId="6B634648" w14:textId="77777777" w:rsidR="00926183" w:rsidRDefault="00926183" w:rsidP="005A3B4D">
            <w:pPr>
              <w:jc w:val="right"/>
              <w:rPr>
                <w:color w:val="000000"/>
                <w:sz w:val="20"/>
                <w:szCs w:val="20"/>
              </w:rPr>
            </w:pPr>
            <w:r>
              <w:rPr>
                <w:color w:val="000000"/>
                <w:sz w:val="20"/>
                <w:szCs w:val="20"/>
              </w:rPr>
              <w:t>0.000</w:t>
            </w:r>
          </w:p>
        </w:tc>
      </w:tr>
      <w:tr w:rsidR="00926183" w14:paraId="5ED42AC0" w14:textId="77777777" w:rsidTr="005A3B4D">
        <w:trPr>
          <w:trHeight w:val="340"/>
        </w:trPr>
        <w:tc>
          <w:tcPr>
            <w:tcW w:w="1152" w:type="dxa"/>
            <w:tcBorders>
              <w:top w:val="nil"/>
              <w:left w:val="nil"/>
              <w:bottom w:val="nil"/>
              <w:right w:val="nil"/>
            </w:tcBorders>
            <w:shd w:val="clear" w:color="auto" w:fill="auto"/>
            <w:noWrap/>
            <w:vAlign w:val="bottom"/>
            <w:hideMark/>
          </w:tcPr>
          <w:p w14:paraId="4C9DBE4F"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A9ABB42" w14:textId="77777777" w:rsidR="00926183" w:rsidRDefault="0092618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D0EB5A7" w14:textId="77777777" w:rsidR="00926183" w:rsidRDefault="00926183" w:rsidP="005A3B4D">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385BD057" w14:textId="77777777" w:rsidR="00926183" w:rsidRDefault="00926183" w:rsidP="005A3B4D">
            <w:pPr>
              <w:jc w:val="right"/>
              <w:rPr>
                <w:color w:val="000000"/>
                <w:sz w:val="20"/>
                <w:szCs w:val="20"/>
              </w:rPr>
            </w:pPr>
            <w:r>
              <w:rPr>
                <w:color w:val="000000"/>
                <w:sz w:val="20"/>
                <w:szCs w:val="20"/>
              </w:rPr>
              <w:t>0.725</w:t>
            </w:r>
          </w:p>
        </w:tc>
        <w:tc>
          <w:tcPr>
            <w:tcW w:w="864" w:type="dxa"/>
            <w:tcBorders>
              <w:top w:val="nil"/>
              <w:left w:val="nil"/>
              <w:bottom w:val="nil"/>
              <w:right w:val="nil"/>
            </w:tcBorders>
            <w:shd w:val="clear" w:color="auto" w:fill="auto"/>
            <w:noWrap/>
            <w:vAlign w:val="bottom"/>
            <w:hideMark/>
          </w:tcPr>
          <w:p w14:paraId="35545912" w14:textId="77777777" w:rsidR="00926183" w:rsidRDefault="00926183"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FE9DB9B" w14:textId="77777777" w:rsidR="00926183" w:rsidRDefault="00926183" w:rsidP="005A3B4D">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499AC1DE" w14:textId="77777777" w:rsidR="00926183" w:rsidRDefault="00926183" w:rsidP="005A3B4D">
            <w:pPr>
              <w:jc w:val="right"/>
              <w:rPr>
                <w:color w:val="000000"/>
                <w:sz w:val="20"/>
                <w:szCs w:val="20"/>
              </w:rPr>
            </w:pPr>
            <w:r>
              <w:rPr>
                <w:color w:val="000000"/>
                <w:sz w:val="20"/>
                <w:szCs w:val="20"/>
              </w:rPr>
              <w:t>0.878</w:t>
            </w:r>
          </w:p>
        </w:tc>
        <w:tc>
          <w:tcPr>
            <w:tcW w:w="864" w:type="dxa"/>
            <w:tcBorders>
              <w:top w:val="nil"/>
              <w:left w:val="nil"/>
              <w:bottom w:val="nil"/>
              <w:right w:val="nil"/>
            </w:tcBorders>
            <w:shd w:val="clear" w:color="auto" w:fill="auto"/>
            <w:noWrap/>
            <w:vAlign w:val="bottom"/>
            <w:hideMark/>
          </w:tcPr>
          <w:p w14:paraId="510C4587" w14:textId="77777777" w:rsidR="00926183" w:rsidRDefault="00926183" w:rsidP="005A3B4D">
            <w:pPr>
              <w:jc w:val="right"/>
              <w:rPr>
                <w:color w:val="000000"/>
                <w:sz w:val="20"/>
                <w:szCs w:val="20"/>
              </w:rPr>
            </w:pPr>
            <w:r>
              <w:rPr>
                <w:color w:val="000000"/>
                <w:sz w:val="20"/>
                <w:szCs w:val="20"/>
              </w:rPr>
              <w:t>0.001</w:t>
            </w:r>
          </w:p>
        </w:tc>
      </w:tr>
      <w:tr w:rsidR="00926183" w14:paraId="5ACAA905" w14:textId="77777777" w:rsidTr="005A3B4D">
        <w:trPr>
          <w:trHeight w:val="320"/>
        </w:trPr>
        <w:tc>
          <w:tcPr>
            <w:tcW w:w="1152" w:type="dxa"/>
            <w:tcBorders>
              <w:top w:val="nil"/>
              <w:left w:val="nil"/>
              <w:bottom w:val="nil"/>
              <w:right w:val="nil"/>
            </w:tcBorders>
            <w:shd w:val="clear" w:color="auto" w:fill="auto"/>
            <w:noWrap/>
            <w:vAlign w:val="bottom"/>
            <w:hideMark/>
          </w:tcPr>
          <w:p w14:paraId="0C78F85F"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7DD0837" w14:textId="77777777" w:rsidR="00926183" w:rsidRDefault="0092618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590E632" w14:textId="77777777" w:rsidR="00926183" w:rsidRDefault="00926183" w:rsidP="005A3B4D">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72DBD930" w14:textId="77777777" w:rsidR="00926183" w:rsidRDefault="00926183" w:rsidP="005A3B4D">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7727FC26"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401256E" w14:textId="77777777" w:rsidR="00926183" w:rsidRDefault="00926183" w:rsidP="005A3B4D">
            <w:pPr>
              <w:jc w:val="right"/>
              <w:rPr>
                <w:color w:val="000000"/>
                <w:sz w:val="20"/>
                <w:szCs w:val="20"/>
              </w:rPr>
            </w:pPr>
            <w:r>
              <w:rPr>
                <w:color w:val="000000"/>
                <w:sz w:val="20"/>
                <w:szCs w:val="20"/>
              </w:rPr>
              <w:t>0.290</w:t>
            </w:r>
          </w:p>
        </w:tc>
        <w:tc>
          <w:tcPr>
            <w:tcW w:w="864" w:type="dxa"/>
            <w:tcBorders>
              <w:top w:val="nil"/>
              <w:left w:val="nil"/>
              <w:bottom w:val="nil"/>
              <w:right w:val="nil"/>
            </w:tcBorders>
            <w:shd w:val="clear" w:color="auto" w:fill="auto"/>
            <w:noWrap/>
            <w:vAlign w:val="bottom"/>
            <w:hideMark/>
          </w:tcPr>
          <w:p w14:paraId="4B05CEE4" w14:textId="77777777" w:rsidR="00926183" w:rsidRDefault="00926183" w:rsidP="005A3B4D">
            <w:pPr>
              <w:jc w:val="right"/>
              <w:rPr>
                <w:color w:val="000000"/>
                <w:sz w:val="20"/>
                <w:szCs w:val="20"/>
              </w:rPr>
            </w:pPr>
            <w:r>
              <w:rPr>
                <w:color w:val="000000"/>
                <w:sz w:val="20"/>
                <w:szCs w:val="20"/>
              </w:rPr>
              <w:t>0.076</w:t>
            </w:r>
          </w:p>
        </w:tc>
        <w:tc>
          <w:tcPr>
            <w:tcW w:w="864" w:type="dxa"/>
            <w:tcBorders>
              <w:top w:val="nil"/>
              <w:left w:val="nil"/>
              <w:bottom w:val="nil"/>
              <w:right w:val="nil"/>
            </w:tcBorders>
            <w:shd w:val="clear" w:color="auto" w:fill="auto"/>
            <w:noWrap/>
            <w:vAlign w:val="bottom"/>
            <w:hideMark/>
          </w:tcPr>
          <w:p w14:paraId="38DEEA2E" w14:textId="77777777" w:rsidR="00926183" w:rsidRDefault="00926183" w:rsidP="005A3B4D">
            <w:pPr>
              <w:jc w:val="right"/>
              <w:rPr>
                <w:color w:val="000000"/>
                <w:sz w:val="20"/>
                <w:szCs w:val="20"/>
              </w:rPr>
            </w:pPr>
            <w:r>
              <w:rPr>
                <w:color w:val="000000"/>
                <w:sz w:val="20"/>
                <w:szCs w:val="20"/>
              </w:rPr>
              <w:t>0.084</w:t>
            </w:r>
          </w:p>
        </w:tc>
      </w:tr>
      <w:tr w:rsidR="00926183" w14:paraId="0F74CA10" w14:textId="77777777" w:rsidTr="005A3B4D">
        <w:trPr>
          <w:trHeight w:val="320"/>
        </w:trPr>
        <w:tc>
          <w:tcPr>
            <w:tcW w:w="1152" w:type="dxa"/>
            <w:tcBorders>
              <w:top w:val="nil"/>
              <w:left w:val="nil"/>
              <w:bottom w:val="nil"/>
              <w:right w:val="nil"/>
            </w:tcBorders>
            <w:shd w:val="clear" w:color="auto" w:fill="auto"/>
            <w:noWrap/>
            <w:vAlign w:val="bottom"/>
            <w:hideMark/>
          </w:tcPr>
          <w:p w14:paraId="2BC31B81"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702F2E9" w14:textId="77777777" w:rsidR="00926183" w:rsidRDefault="0092618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72DC6AF" w14:textId="77777777" w:rsidR="00926183" w:rsidRDefault="00926183" w:rsidP="005A3B4D">
            <w:pPr>
              <w:jc w:val="right"/>
              <w:rPr>
                <w:b/>
                <w:bCs/>
                <w:color w:val="000000"/>
                <w:sz w:val="20"/>
                <w:szCs w:val="20"/>
              </w:rPr>
            </w:pPr>
            <w:r>
              <w:rPr>
                <w:b/>
                <w:bCs/>
                <w:color w:val="000000"/>
                <w:sz w:val="20"/>
                <w:szCs w:val="20"/>
              </w:rPr>
              <w:t>-0.215</w:t>
            </w:r>
          </w:p>
        </w:tc>
        <w:tc>
          <w:tcPr>
            <w:tcW w:w="864" w:type="dxa"/>
            <w:tcBorders>
              <w:top w:val="nil"/>
              <w:left w:val="nil"/>
              <w:bottom w:val="nil"/>
              <w:right w:val="nil"/>
            </w:tcBorders>
            <w:shd w:val="clear" w:color="auto" w:fill="auto"/>
            <w:noWrap/>
            <w:vAlign w:val="bottom"/>
            <w:hideMark/>
          </w:tcPr>
          <w:p w14:paraId="422C1319" w14:textId="77777777" w:rsidR="00926183" w:rsidRDefault="00926183" w:rsidP="005A3B4D">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2FE572A9" w14:textId="77777777" w:rsidR="00926183" w:rsidRDefault="00926183" w:rsidP="005A3B4D">
            <w:pPr>
              <w:jc w:val="right"/>
              <w:rPr>
                <w:b/>
                <w:bCs/>
                <w:color w:val="000000"/>
                <w:sz w:val="20"/>
                <w:szCs w:val="20"/>
              </w:rPr>
            </w:pPr>
            <w:r>
              <w:rPr>
                <w:b/>
                <w:bCs/>
                <w:color w:val="000000"/>
                <w:sz w:val="20"/>
                <w:szCs w:val="20"/>
              </w:rPr>
              <w:t>0.046</w:t>
            </w:r>
          </w:p>
        </w:tc>
        <w:tc>
          <w:tcPr>
            <w:tcW w:w="864" w:type="dxa"/>
            <w:tcBorders>
              <w:top w:val="nil"/>
              <w:left w:val="nil"/>
              <w:bottom w:val="nil"/>
              <w:right w:val="nil"/>
            </w:tcBorders>
            <w:shd w:val="clear" w:color="auto" w:fill="auto"/>
            <w:noWrap/>
            <w:vAlign w:val="bottom"/>
            <w:hideMark/>
          </w:tcPr>
          <w:p w14:paraId="106C894D" w14:textId="77777777" w:rsidR="00926183" w:rsidRDefault="00926183" w:rsidP="005A3B4D">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2EDC0286" w14:textId="77777777" w:rsidR="00926183" w:rsidRDefault="00926183" w:rsidP="005A3B4D">
            <w:pPr>
              <w:jc w:val="right"/>
              <w:rPr>
                <w:color w:val="000000"/>
                <w:sz w:val="20"/>
                <w:szCs w:val="20"/>
              </w:rPr>
            </w:pPr>
            <w:r>
              <w:rPr>
                <w:color w:val="000000"/>
                <w:sz w:val="20"/>
                <w:szCs w:val="20"/>
              </w:rPr>
              <w:t>0.878</w:t>
            </w:r>
          </w:p>
        </w:tc>
        <w:tc>
          <w:tcPr>
            <w:tcW w:w="864" w:type="dxa"/>
            <w:tcBorders>
              <w:top w:val="nil"/>
              <w:left w:val="nil"/>
              <w:bottom w:val="nil"/>
              <w:right w:val="nil"/>
            </w:tcBorders>
            <w:shd w:val="clear" w:color="auto" w:fill="auto"/>
            <w:noWrap/>
            <w:vAlign w:val="bottom"/>
            <w:hideMark/>
          </w:tcPr>
          <w:p w14:paraId="4959A752" w14:textId="77777777" w:rsidR="00926183" w:rsidRDefault="00926183" w:rsidP="005A3B4D">
            <w:pPr>
              <w:jc w:val="right"/>
              <w:rPr>
                <w:color w:val="000000"/>
                <w:sz w:val="20"/>
                <w:szCs w:val="20"/>
              </w:rPr>
            </w:pPr>
            <w:r>
              <w:rPr>
                <w:color w:val="000000"/>
                <w:sz w:val="20"/>
                <w:szCs w:val="20"/>
              </w:rPr>
              <w:t>0.001</w:t>
            </w:r>
          </w:p>
        </w:tc>
      </w:tr>
      <w:tr w:rsidR="00926183" w14:paraId="4963C707" w14:textId="77777777" w:rsidTr="005A3B4D">
        <w:trPr>
          <w:trHeight w:val="320"/>
        </w:trPr>
        <w:tc>
          <w:tcPr>
            <w:tcW w:w="1152" w:type="dxa"/>
            <w:tcBorders>
              <w:top w:val="nil"/>
              <w:left w:val="nil"/>
              <w:bottom w:val="nil"/>
              <w:right w:val="nil"/>
            </w:tcBorders>
            <w:shd w:val="clear" w:color="auto" w:fill="auto"/>
            <w:noWrap/>
            <w:vAlign w:val="bottom"/>
            <w:hideMark/>
          </w:tcPr>
          <w:p w14:paraId="0E78700D"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D6F6AF4" w14:textId="77777777" w:rsidR="00926183" w:rsidRDefault="0092618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666F05F" w14:textId="77777777" w:rsidR="00926183" w:rsidRDefault="00926183" w:rsidP="005A3B4D">
            <w:pPr>
              <w:jc w:val="right"/>
              <w:rPr>
                <w:color w:val="000000"/>
                <w:sz w:val="20"/>
                <w:szCs w:val="20"/>
              </w:rPr>
            </w:pPr>
            <w:r>
              <w:rPr>
                <w:color w:val="000000"/>
                <w:sz w:val="20"/>
                <w:szCs w:val="20"/>
              </w:rPr>
              <w:t>-0.078</w:t>
            </w:r>
          </w:p>
        </w:tc>
        <w:tc>
          <w:tcPr>
            <w:tcW w:w="864" w:type="dxa"/>
            <w:tcBorders>
              <w:top w:val="nil"/>
              <w:left w:val="nil"/>
              <w:bottom w:val="nil"/>
              <w:right w:val="nil"/>
            </w:tcBorders>
            <w:shd w:val="clear" w:color="auto" w:fill="auto"/>
            <w:noWrap/>
            <w:vAlign w:val="bottom"/>
            <w:hideMark/>
          </w:tcPr>
          <w:p w14:paraId="662075A1" w14:textId="77777777" w:rsidR="00926183" w:rsidRDefault="00926183" w:rsidP="005A3B4D">
            <w:pPr>
              <w:jc w:val="right"/>
              <w:rPr>
                <w:color w:val="000000"/>
                <w:sz w:val="20"/>
                <w:szCs w:val="20"/>
              </w:rPr>
            </w:pPr>
            <w:r>
              <w:rPr>
                <w:color w:val="000000"/>
                <w:sz w:val="20"/>
                <w:szCs w:val="20"/>
              </w:rPr>
              <w:t>0.276</w:t>
            </w:r>
          </w:p>
        </w:tc>
        <w:tc>
          <w:tcPr>
            <w:tcW w:w="864" w:type="dxa"/>
            <w:tcBorders>
              <w:top w:val="nil"/>
              <w:left w:val="nil"/>
              <w:bottom w:val="nil"/>
              <w:right w:val="nil"/>
            </w:tcBorders>
            <w:shd w:val="clear" w:color="auto" w:fill="auto"/>
            <w:noWrap/>
            <w:vAlign w:val="bottom"/>
            <w:hideMark/>
          </w:tcPr>
          <w:p w14:paraId="064D8AEB" w14:textId="77777777" w:rsidR="00926183" w:rsidRDefault="00926183"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67D6FC49" w14:textId="77777777" w:rsidR="00926183" w:rsidRDefault="00926183" w:rsidP="005A3B4D">
            <w:pPr>
              <w:jc w:val="right"/>
              <w:rPr>
                <w:color w:val="000000"/>
                <w:sz w:val="20"/>
                <w:szCs w:val="20"/>
              </w:rPr>
            </w:pPr>
            <w:r>
              <w:rPr>
                <w:color w:val="000000"/>
                <w:sz w:val="20"/>
                <w:szCs w:val="20"/>
              </w:rPr>
              <w:t>0.054</w:t>
            </w:r>
          </w:p>
        </w:tc>
        <w:tc>
          <w:tcPr>
            <w:tcW w:w="864" w:type="dxa"/>
            <w:tcBorders>
              <w:top w:val="nil"/>
              <w:left w:val="nil"/>
              <w:bottom w:val="nil"/>
              <w:right w:val="nil"/>
            </w:tcBorders>
            <w:shd w:val="clear" w:color="auto" w:fill="auto"/>
            <w:noWrap/>
            <w:vAlign w:val="bottom"/>
            <w:hideMark/>
          </w:tcPr>
          <w:p w14:paraId="3D996F16" w14:textId="77777777" w:rsidR="00926183" w:rsidRDefault="00926183" w:rsidP="005A3B4D">
            <w:pPr>
              <w:jc w:val="right"/>
              <w:rPr>
                <w:color w:val="000000"/>
                <w:sz w:val="20"/>
                <w:szCs w:val="20"/>
              </w:rPr>
            </w:pPr>
            <w:r>
              <w:rPr>
                <w:color w:val="000000"/>
                <w:sz w:val="20"/>
                <w:szCs w:val="20"/>
              </w:rPr>
              <w:t>0.816</w:t>
            </w:r>
          </w:p>
        </w:tc>
        <w:tc>
          <w:tcPr>
            <w:tcW w:w="864" w:type="dxa"/>
            <w:tcBorders>
              <w:top w:val="nil"/>
              <w:left w:val="nil"/>
              <w:bottom w:val="nil"/>
              <w:right w:val="nil"/>
            </w:tcBorders>
            <w:shd w:val="clear" w:color="auto" w:fill="auto"/>
            <w:noWrap/>
            <w:vAlign w:val="bottom"/>
            <w:hideMark/>
          </w:tcPr>
          <w:p w14:paraId="42476E6B" w14:textId="77777777" w:rsidR="00926183" w:rsidRDefault="00926183" w:rsidP="005A3B4D">
            <w:pPr>
              <w:jc w:val="right"/>
              <w:rPr>
                <w:color w:val="000000"/>
                <w:sz w:val="20"/>
                <w:szCs w:val="20"/>
              </w:rPr>
            </w:pPr>
            <w:r>
              <w:rPr>
                <w:color w:val="000000"/>
                <w:sz w:val="20"/>
                <w:szCs w:val="20"/>
              </w:rPr>
              <w:t>0.003</w:t>
            </w:r>
          </w:p>
        </w:tc>
      </w:tr>
      <w:tr w:rsidR="00926183" w14:paraId="1C3CB56C" w14:textId="77777777" w:rsidTr="005A3B4D">
        <w:trPr>
          <w:trHeight w:val="320"/>
        </w:trPr>
        <w:tc>
          <w:tcPr>
            <w:tcW w:w="1152" w:type="dxa"/>
            <w:tcBorders>
              <w:top w:val="nil"/>
              <w:left w:val="nil"/>
              <w:bottom w:val="nil"/>
              <w:right w:val="nil"/>
            </w:tcBorders>
            <w:shd w:val="clear" w:color="auto" w:fill="auto"/>
            <w:noWrap/>
            <w:vAlign w:val="bottom"/>
            <w:hideMark/>
          </w:tcPr>
          <w:p w14:paraId="13D72E50"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1187393" w14:textId="77777777" w:rsidR="00926183" w:rsidRDefault="0092618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216B74D" w14:textId="77777777" w:rsidR="00926183" w:rsidRDefault="00926183" w:rsidP="005A3B4D">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1C82EA34" w14:textId="77777777" w:rsidR="00926183" w:rsidRDefault="00926183" w:rsidP="005A3B4D">
            <w:pPr>
              <w:jc w:val="right"/>
              <w:rPr>
                <w:color w:val="000000"/>
                <w:sz w:val="20"/>
                <w:szCs w:val="20"/>
              </w:rPr>
            </w:pPr>
            <w:r>
              <w:rPr>
                <w:color w:val="000000"/>
                <w:sz w:val="20"/>
                <w:szCs w:val="20"/>
              </w:rPr>
              <w:t>0.725</w:t>
            </w:r>
          </w:p>
        </w:tc>
        <w:tc>
          <w:tcPr>
            <w:tcW w:w="864" w:type="dxa"/>
            <w:tcBorders>
              <w:top w:val="nil"/>
              <w:left w:val="nil"/>
              <w:bottom w:val="nil"/>
              <w:right w:val="nil"/>
            </w:tcBorders>
            <w:shd w:val="clear" w:color="auto" w:fill="auto"/>
            <w:noWrap/>
            <w:vAlign w:val="bottom"/>
            <w:hideMark/>
          </w:tcPr>
          <w:p w14:paraId="655F8F93" w14:textId="77777777" w:rsidR="00926183" w:rsidRDefault="0092618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E13ED92" w14:textId="77777777" w:rsidR="00926183" w:rsidRDefault="00926183" w:rsidP="005A3B4D">
            <w:pPr>
              <w:jc w:val="right"/>
              <w:rPr>
                <w:color w:val="000000"/>
                <w:sz w:val="20"/>
                <w:szCs w:val="20"/>
              </w:rPr>
            </w:pPr>
            <w:r>
              <w:rPr>
                <w:color w:val="000000"/>
                <w:sz w:val="20"/>
                <w:szCs w:val="20"/>
              </w:rPr>
              <w:t>0.088</w:t>
            </w:r>
          </w:p>
        </w:tc>
        <w:tc>
          <w:tcPr>
            <w:tcW w:w="864" w:type="dxa"/>
            <w:tcBorders>
              <w:top w:val="nil"/>
              <w:left w:val="nil"/>
              <w:bottom w:val="nil"/>
              <w:right w:val="nil"/>
            </w:tcBorders>
            <w:shd w:val="clear" w:color="auto" w:fill="auto"/>
            <w:noWrap/>
            <w:vAlign w:val="bottom"/>
            <w:hideMark/>
          </w:tcPr>
          <w:p w14:paraId="7D8DB47B" w14:textId="77777777" w:rsidR="00926183" w:rsidRDefault="00926183" w:rsidP="005A3B4D">
            <w:pPr>
              <w:jc w:val="right"/>
              <w:rPr>
                <w:color w:val="000000"/>
                <w:sz w:val="20"/>
                <w:szCs w:val="20"/>
              </w:rPr>
            </w:pPr>
            <w:r>
              <w:rPr>
                <w:color w:val="000000"/>
                <w:sz w:val="20"/>
                <w:szCs w:val="20"/>
              </w:rPr>
              <w:t>0.076</w:t>
            </w:r>
          </w:p>
        </w:tc>
        <w:tc>
          <w:tcPr>
            <w:tcW w:w="864" w:type="dxa"/>
            <w:tcBorders>
              <w:top w:val="nil"/>
              <w:left w:val="nil"/>
              <w:bottom w:val="nil"/>
              <w:right w:val="nil"/>
            </w:tcBorders>
            <w:shd w:val="clear" w:color="auto" w:fill="auto"/>
            <w:noWrap/>
            <w:vAlign w:val="bottom"/>
            <w:hideMark/>
          </w:tcPr>
          <w:p w14:paraId="4051C699" w14:textId="77777777" w:rsidR="00926183" w:rsidRDefault="00926183" w:rsidP="005A3B4D">
            <w:pPr>
              <w:jc w:val="right"/>
              <w:rPr>
                <w:color w:val="000000"/>
                <w:sz w:val="20"/>
                <w:szCs w:val="20"/>
              </w:rPr>
            </w:pPr>
            <w:r>
              <w:rPr>
                <w:color w:val="000000"/>
                <w:sz w:val="20"/>
                <w:szCs w:val="20"/>
              </w:rPr>
              <w:t>0.008</w:t>
            </w:r>
          </w:p>
        </w:tc>
      </w:tr>
      <w:tr w:rsidR="00926183" w14:paraId="6C1F0A68" w14:textId="77777777" w:rsidTr="005A3B4D">
        <w:trPr>
          <w:trHeight w:val="320"/>
        </w:trPr>
        <w:tc>
          <w:tcPr>
            <w:tcW w:w="1152" w:type="dxa"/>
            <w:tcBorders>
              <w:top w:val="nil"/>
              <w:left w:val="nil"/>
              <w:bottom w:val="nil"/>
              <w:right w:val="nil"/>
            </w:tcBorders>
            <w:shd w:val="clear" w:color="auto" w:fill="auto"/>
            <w:noWrap/>
            <w:vAlign w:val="bottom"/>
            <w:hideMark/>
          </w:tcPr>
          <w:p w14:paraId="6008C1E8"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B03BAAC" w14:textId="77777777" w:rsidR="00926183" w:rsidRDefault="0092618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91D26B5" w14:textId="77777777" w:rsidR="00926183" w:rsidRDefault="00926183"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E62DFDF" w14:textId="77777777" w:rsidR="00926183" w:rsidRDefault="00926183" w:rsidP="005A3B4D">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523339FD"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2447FCC" w14:textId="77777777" w:rsidR="00926183" w:rsidRDefault="00926183" w:rsidP="005A3B4D">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68E76343" w14:textId="77777777" w:rsidR="00926183" w:rsidRDefault="00926183" w:rsidP="005A3B4D">
            <w:pPr>
              <w:jc w:val="right"/>
              <w:rPr>
                <w:color w:val="000000"/>
                <w:sz w:val="20"/>
                <w:szCs w:val="20"/>
              </w:rPr>
            </w:pPr>
            <w:r>
              <w:rPr>
                <w:color w:val="000000"/>
                <w:sz w:val="20"/>
                <w:szCs w:val="20"/>
              </w:rPr>
              <w:t>0.878</w:t>
            </w:r>
          </w:p>
        </w:tc>
        <w:tc>
          <w:tcPr>
            <w:tcW w:w="864" w:type="dxa"/>
            <w:tcBorders>
              <w:top w:val="nil"/>
              <w:left w:val="nil"/>
              <w:bottom w:val="nil"/>
              <w:right w:val="nil"/>
            </w:tcBorders>
            <w:shd w:val="clear" w:color="auto" w:fill="auto"/>
            <w:noWrap/>
            <w:vAlign w:val="bottom"/>
            <w:hideMark/>
          </w:tcPr>
          <w:p w14:paraId="0FD7FD59" w14:textId="77777777" w:rsidR="00926183" w:rsidRDefault="00926183" w:rsidP="005A3B4D">
            <w:pPr>
              <w:jc w:val="right"/>
              <w:rPr>
                <w:color w:val="000000"/>
                <w:sz w:val="20"/>
                <w:szCs w:val="20"/>
              </w:rPr>
            </w:pPr>
            <w:r>
              <w:rPr>
                <w:color w:val="000000"/>
                <w:sz w:val="20"/>
                <w:szCs w:val="20"/>
              </w:rPr>
              <w:t>0.000</w:t>
            </w:r>
          </w:p>
        </w:tc>
      </w:tr>
      <w:tr w:rsidR="00926183" w14:paraId="288A157E"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7DDF3821" w14:textId="77777777" w:rsidR="00926183" w:rsidRDefault="00926183"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7795008" w14:textId="77777777" w:rsidR="00926183" w:rsidRDefault="00926183"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4004177" w14:textId="77777777" w:rsidR="00926183" w:rsidRDefault="00926183" w:rsidP="005A3B4D">
            <w:pPr>
              <w:jc w:val="right"/>
              <w:rPr>
                <w:color w:val="000000"/>
                <w:sz w:val="20"/>
                <w:szCs w:val="20"/>
              </w:rPr>
            </w:pPr>
            <w:r>
              <w:rPr>
                <w:color w:val="000000"/>
                <w:sz w:val="20"/>
                <w:szCs w:val="20"/>
              </w:rPr>
              <w:t>0.032</w:t>
            </w:r>
          </w:p>
        </w:tc>
        <w:tc>
          <w:tcPr>
            <w:tcW w:w="864" w:type="dxa"/>
            <w:tcBorders>
              <w:top w:val="nil"/>
              <w:left w:val="nil"/>
              <w:bottom w:val="single" w:sz="4" w:space="0" w:color="auto"/>
              <w:right w:val="nil"/>
            </w:tcBorders>
            <w:shd w:val="clear" w:color="auto" w:fill="auto"/>
            <w:noWrap/>
            <w:vAlign w:val="bottom"/>
            <w:hideMark/>
          </w:tcPr>
          <w:p w14:paraId="18DC1DC4" w14:textId="77777777" w:rsidR="00926183" w:rsidRDefault="00926183" w:rsidP="005A3B4D">
            <w:pPr>
              <w:jc w:val="right"/>
              <w:rPr>
                <w:color w:val="000000"/>
                <w:sz w:val="20"/>
                <w:szCs w:val="20"/>
              </w:rPr>
            </w:pPr>
            <w:r>
              <w:rPr>
                <w:color w:val="000000"/>
                <w:sz w:val="20"/>
                <w:szCs w:val="20"/>
              </w:rPr>
              <w:t>0.725</w:t>
            </w:r>
          </w:p>
        </w:tc>
        <w:tc>
          <w:tcPr>
            <w:tcW w:w="864" w:type="dxa"/>
            <w:tcBorders>
              <w:top w:val="nil"/>
              <w:left w:val="nil"/>
              <w:bottom w:val="single" w:sz="4" w:space="0" w:color="auto"/>
              <w:right w:val="nil"/>
            </w:tcBorders>
            <w:shd w:val="clear" w:color="auto" w:fill="auto"/>
            <w:noWrap/>
            <w:vAlign w:val="bottom"/>
            <w:hideMark/>
          </w:tcPr>
          <w:p w14:paraId="4F6EB022" w14:textId="77777777" w:rsidR="00926183" w:rsidRDefault="00926183" w:rsidP="005A3B4D">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6467F093" w14:textId="77777777" w:rsidR="00926183" w:rsidRDefault="00926183" w:rsidP="005A3B4D">
            <w:pPr>
              <w:jc w:val="right"/>
              <w:rPr>
                <w:color w:val="000000"/>
                <w:sz w:val="20"/>
                <w:szCs w:val="20"/>
              </w:rPr>
            </w:pPr>
            <w:r>
              <w:rPr>
                <w:color w:val="000000"/>
                <w:sz w:val="20"/>
                <w:szCs w:val="20"/>
              </w:rPr>
              <w:t>0.038</w:t>
            </w:r>
          </w:p>
        </w:tc>
        <w:tc>
          <w:tcPr>
            <w:tcW w:w="864" w:type="dxa"/>
            <w:tcBorders>
              <w:top w:val="nil"/>
              <w:left w:val="nil"/>
              <w:bottom w:val="single" w:sz="4" w:space="0" w:color="auto"/>
              <w:right w:val="nil"/>
            </w:tcBorders>
            <w:shd w:val="clear" w:color="auto" w:fill="auto"/>
            <w:noWrap/>
            <w:vAlign w:val="bottom"/>
            <w:hideMark/>
          </w:tcPr>
          <w:p w14:paraId="02852AA5" w14:textId="77777777" w:rsidR="00926183" w:rsidRDefault="00926183" w:rsidP="005A3B4D">
            <w:pPr>
              <w:jc w:val="right"/>
              <w:rPr>
                <w:color w:val="000000"/>
                <w:sz w:val="20"/>
                <w:szCs w:val="20"/>
              </w:rPr>
            </w:pPr>
            <w:r>
              <w:rPr>
                <w:color w:val="000000"/>
                <w:sz w:val="20"/>
                <w:szCs w:val="20"/>
              </w:rPr>
              <w:t>0.878</w:t>
            </w:r>
          </w:p>
        </w:tc>
        <w:tc>
          <w:tcPr>
            <w:tcW w:w="864" w:type="dxa"/>
            <w:tcBorders>
              <w:top w:val="nil"/>
              <w:left w:val="nil"/>
              <w:bottom w:val="single" w:sz="4" w:space="0" w:color="auto"/>
              <w:right w:val="nil"/>
            </w:tcBorders>
            <w:shd w:val="clear" w:color="auto" w:fill="auto"/>
            <w:noWrap/>
            <w:vAlign w:val="bottom"/>
            <w:hideMark/>
          </w:tcPr>
          <w:p w14:paraId="49C1BD5B" w14:textId="77777777" w:rsidR="00926183" w:rsidRDefault="00926183" w:rsidP="005A3B4D">
            <w:pPr>
              <w:jc w:val="right"/>
              <w:rPr>
                <w:color w:val="000000"/>
                <w:sz w:val="20"/>
                <w:szCs w:val="20"/>
              </w:rPr>
            </w:pPr>
            <w:r>
              <w:rPr>
                <w:color w:val="000000"/>
                <w:sz w:val="20"/>
                <w:szCs w:val="20"/>
              </w:rPr>
              <w:t>0.001</w:t>
            </w:r>
          </w:p>
        </w:tc>
      </w:tr>
      <w:tr w:rsidR="00926183" w14:paraId="5475E52B" w14:textId="77777777" w:rsidTr="005A3B4D">
        <w:trPr>
          <w:trHeight w:val="320"/>
        </w:trPr>
        <w:tc>
          <w:tcPr>
            <w:tcW w:w="1152" w:type="dxa"/>
            <w:tcBorders>
              <w:top w:val="nil"/>
              <w:left w:val="nil"/>
              <w:bottom w:val="nil"/>
              <w:right w:val="nil"/>
            </w:tcBorders>
            <w:shd w:val="clear" w:color="auto" w:fill="auto"/>
            <w:noWrap/>
            <w:vAlign w:val="bottom"/>
            <w:hideMark/>
          </w:tcPr>
          <w:p w14:paraId="54674D8D" w14:textId="77777777" w:rsidR="00926183" w:rsidRDefault="00926183" w:rsidP="005A3B4D">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1A16FEB4" w14:textId="77777777" w:rsidR="00926183" w:rsidRDefault="00926183"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F36091E" w14:textId="77777777" w:rsidR="00926183" w:rsidRDefault="00926183" w:rsidP="005A3B4D">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5708B9E9" w14:textId="77777777" w:rsidR="00926183" w:rsidRDefault="00926183" w:rsidP="005A3B4D">
            <w:pPr>
              <w:jc w:val="right"/>
              <w:rPr>
                <w:color w:val="000000"/>
                <w:sz w:val="20"/>
                <w:szCs w:val="20"/>
              </w:rPr>
            </w:pPr>
            <w:r>
              <w:rPr>
                <w:color w:val="000000"/>
                <w:sz w:val="20"/>
                <w:szCs w:val="20"/>
              </w:rPr>
              <w:t>0.802</w:t>
            </w:r>
          </w:p>
        </w:tc>
        <w:tc>
          <w:tcPr>
            <w:tcW w:w="864" w:type="dxa"/>
            <w:tcBorders>
              <w:top w:val="nil"/>
              <w:left w:val="nil"/>
              <w:bottom w:val="nil"/>
              <w:right w:val="nil"/>
            </w:tcBorders>
            <w:shd w:val="clear" w:color="auto" w:fill="auto"/>
            <w:noWrap/>
            <w:vAlign w:val="bottom"/>
            <w:hideMark/>
          </w:tcPr>
          <w:p w14:paraId="04D0FCC9" w14:textId="77777777" w:rsidR="00926183" w:rsidRDefault="00926183"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07E5607" w14:textId="77777777" w:rsidR="00926183" w:rsidRDefault="00926183" w:rsidP="005A3B4D">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69B72E6C" w14:textId="77777777" w:rsidR="00926183" w:rsidRDefault="00926183" w:rsidP="005A3B4D">
            <w:pPr>
              <w:jc w:val="right"/>
              <w:rPr>
                <w:color w:val="000000"/>
                <w:sz w:val="20"/>
                <w:szCs w:val="20"/>
              </w:rPr>
            </w:pPr>
            <w:r>
              <w:rPr>
                <w:color w:val="000000"/>
                <w:sz w:val="20"/>
                <w:szCs w:val="20"/>
              </w:rPr>
              <w:t>0.693</w:t>
            </w:r>
          </w:p>
        </w:tc>
        <w:tc>
          <w:tcPr>
            <w:tcW w:w="864" w:type="dxa"/>
            <w:tcBorders>
              <w:top w:val="nil"/>
              <w:left w:val="nil"/>
              <w:bottom w:val="nil"/>
              <w:right w:val="nil"/>
            </w:tcBorders>
            <w:shd w:val="clear" w:color="auto" w:fill="auto"/>
            <w:noWrap/>
            <w:vAlign w:val="bottom"/>
            <w:hideMark/>
          </w:tcPr>
          <w:p w14:paraId="337CC3F2" w14:textId="77777777" w:rsidR="00926183" w:rsidRDefault="00926183" w:rsidP="005A3B4D">
            <w:pPr>
              <w:jc w:val="right"/>
              <w:rPr>
                <w:color w:val="000000"/>
                <w:sz w:val="20"/>
                <w:szCs w:val="20"/>
              </w:rPr>
            </w:pPr>
            <w:r>
              <w:rPr>
                <w:color w:val="000000"/>
                <w:sz w:val="20"/>
                <w:szCs w:val="20"/>
              </w:rPr>
              <w:t>0.001</w:t>
            </w:r>
          </w:p>
        </w:tc>
      </w:tr>
      <w:tr w:rsidR="00926183" w14:paraId="607E4C1A" w14:textId="77777777" w:rsidTr="005A3B4D">
        <w:trPr>
          <w:trHeight w:val="320"/>
        </w:trPr>
        <w:tc>
          <w:tcPr>
            <w:tcW w:w="1152" w:type="dxa"/>
            <w:tcBorders>
              <w:top w:val="nil"/>
              <w:left w:val="nil"/>
              <w:bottom w:val="nil"/>
              <w:right w:val="nil"/>
            </w:tcBorders>
            <w:shd w:val="clear" w:color="auto" w:fill="auto"/>
            <w:noWrap/>
            <w:vAlign w:val="bottom"/>
            <w:hideMark/>
          </w:tcPr>
          <w:p w14:paraId="49E57CAF"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3ED2C28" w14:textId="77777777" w:rsidR="00926183" w:rsidRDefault="0092618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CC3A132" w14:textId="77777777" w:rsidR="00926183" w:rsidRDefault="00926183" w:rsidP="005A3B4D">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380BCA84" w14:textId="77777777" w:rsidR="00926183" w:rsidRDefault="00926183" w:rsidP="005A3B4D">
            <w:pPr>
              <w:jc w:val="right"/>
              <w:rPr>
                <w:color w:val="000000"/>
                <w:sz w:val="20"/>
                <w:szCs w:val="20"/>
              </w:rPr>
            </w:pPr>
            <w:r>
              <w:rPr>
                <w:color w:val="000000"/>
                <w:sz w:val="20"/>
                <w:szCs w:val="20"/>
              </w:rPr>
              <w:t>0.802</w:t>
            </w:r>
          </w:p>
        </w:tc>
        <w:tc>
          <w:tcPr>
            <w:tcW w:w="864" w:type="dxa"/>
            <w:tcBorders>
              <w:top w:val="nil"/>
              <w:left w:val="nil"/>
              <w:bottom w:val="nil"/>
              <w:right w:val="nil"/>
            </w:tcBorders>
            <w:shd w:val="clear" w:color="auto" w:fill="auto"/>
            <w:noWrap/>
            <w:vAlign w:val="bottom"/>
            <w:hideMark/>
          </w:tcPr>
          <w:p w14:paraId="3764EB24"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59D9EF8" w14:textId="77777777" w:rsidR="00926183" w:rsidRDefault="00926183" w:rsidP="005A3B4D">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7AE8503B" w14:textId="77777777" w:rsidR="00926183" w:rsidRDefault="00926183" w:rsidP="005A3B4D">
            <w:pPr>
              <w:jc w:val="right"/>
              <w:rPr>
                <w:color w:val="000000"/>
                <w:sz w:val="20"/>
                <w:szCs w:val="20"/>
              </w:rPr>
            </w:pPr>
            <w:r>
              <w:rPr>
                <w:color w:val="000000"/>
                <w:sz w:val="20"/>
                <w:szCs w:val="20"/>
              </w:rPr>
              <w:t>0.876</w:t>
            </w:r>
          </w:p>
        </w:tc>
        <w:tc>
          <w:tcPr>
            <w:tcW w:w="864" w:type="dxa"/>
            <w:tcBorders>
              <w:top w:val="nil"/>
              <w:left w:val="nil"/>
              <w:bottom w:val="nil"/>
              <w:right w:val="nil"/>
            </w:tcBorders>
            <w:shd w:val="clear" w:color="auto" w:fill="auto"/>
            <w:noWrap/>
            <w:vAlign w:val="bottom"/>
            <w:hideMark/>
          </w:tcPr>
          <w:p w14:paraId="3D5AD3DB" w14:textId="77777777" w:rsidR="00926183" w:rsidRDefault="00926183" w:rsidP="005A3B4D">
            <w:pPr>
              <w:jc w:val="right"/>
              <w:rPr>
                <w:color w:val="000000"/>
                <w:sz w:val="20"/>
                <w:szCs w:val="20"/>
              </w:rPr>
            </w:pPr>
            <w:r>
              <w:rPr>
                <w:color w:val="000000"/>
                <w:sz w:val="20"/>
                <w:szCs w:val="20"/>
              </w:rPr>
              <w:t>0.000</w:t>
            </w:r>
          </w:p>
        </w:tc>
      </w:tr>
      <w:tr w:rsidR="00926183" w14:paraId="157C088D" w14:textId="77777777" w:rsidTr="005A3B4D">
        <w:trPr>
          <w:trHeight w:val="320"/>
        </w:trPr>
        <w:tc>
          <w:tcPr>
            <w:tcW w:w="1152" w:type="dxa"/>
            <w:tcBorders>
              <w:top w:val="nil"/>
              <w:left w:val="nil"/>
              <w:bottom w:val="nil"/>
              <w:right w:val="nil"/>
            </w:tcBorders>
            <w:shd w:val="clear" w:color="auto" w:fill="auto"/>
            <w:noWrap/>
            <w:vAlign w:val="bottom"/>
            <w:hideMark/>
          </w:tcPr>
          <w:p w14:paraId="683A6F96"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4D7CE25" w14:textId="77777777" w:rsidR="00926183" w:rsidRDefault="0092618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60C3690" w14:textId="77777777" w:rsidR="00926183" w:rsidRDefault="00926183" w:rsidP="005A3B4D">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1D95F2FA" w14:textId="77777777" w:rsidR="00926183" w:rsidRDefault="00926183" w:rsidP="005A3B4D">
            <w:pPr>
              <w:jc w:val="right"/>
              <w:rPr>
                <w:color w:val="000000"/>
                <w:sz w:val="20"/>
                <w:szCs w:val="20"/>
              </w:rPr>
            </w:pPr>
            <w:r>
              <w:rPr>
                <w:color w:val="000000"/>
                <w:sz w:val="20"/>
                <w:szCs w:val="20"/>
              </w:rPr>
              <w:t>0.802</w:t>
            </w:r>
          </w:p>
        </w:tc>
        <w:tc>
          <w:tcPr>
            <w:tcW w:w="864" w:type="dxa"/>
            <w:tcBorders>
              <w:top w:val="nil"/>
              <w:left w:val="nil"/>
              <w:bottom w:val="nil"/>
              <w:right w:val="nil"/>
            </w:tcBorders>
            <w:shd w:val="clear" w:color="auto" w:fill="auto"/>
            <w:noWrap/>
            <w:vAlign w:val="bottom"/>
            <w:hideMark/>
          </w:tcPr>
          <w:p w14:paraId="1C97314C" w14:textId="77777777" w:rsidR="00926183" w:rsidRDefault="00926183"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F4AE73B" w14:textId="77777777" w:rsidR="00926183" w:rsidRDefault="00926183"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2795AC3C" w14:textId="77777777" w:rsidR="00926183" w:rsidRDefault="00926183" w:rsidP="005A3B4D">
            <w:pPr>
              <w:jc w:val="right"/>
              <w:rPr>
                <w:color w:val="000000"/>
                <w:sz w:val="20"/>
                <w:szCs w:val="20"/>
              </w:rPr>
            </w:pPr>
            <w:r>
              <w:rPr>
                <w:color w:val="000000"/>
                <w:sz w:val="20"/>
                <w:szCs w:val="20"/>
              </w:rPr>
              <w:t>0.876</w:t>
            </w:r>
          </w:p>
        </w:tc>
        <w:tc>
          <w:tcPr>
            <w:tcW w:w="864" w:type="dxa"/>
            <w:tcBorders>
              <w:top w:val="nil"/>
              <w:left w:val="nil"/>
              <w:bottom w:val="nil"/>
              <w:right w:val="nil"/>
            </w:tcBorders>
            <w:shd w:val="clear" w:color="auto" w:fill="auto"/>
            <w:noWrap/>
            <w:vAlign w:val="bottom"/>
            <w:hideMark/>
          </w:tcPr>
          <w:p w14:paraId="33FD3F8E" w14:textId="77777777" w:rsidR="00926183" w:rsidRDefault="00926183" w:rsidP="005A3B4D">
            <w:pPr>
              <w:jc w:val="right"/>
              <w:rPr>
                <w:color w:val="000000"/>
                <w:sz w:val="20"/>
                <w:szCs w:val="20"/>
              </w:rPr>
            </w:pPr>
            <w:r>
              <w:rPr>
                <w:color w:val="000000"/>
                <w:sz w:val="20"/>
                <w:szCs w:val="20"/>
              </w:rPr>
              <w:t>0.000</w:t>
            </w:r>
          </w:p>
        </w:tc>
      </w:tr>
      <w:tr w:rsidR="00926183" w14:paraId="4D417440" w14:textId="77777777" w:rsidTr="005A3B4D">
        <w:trPr>
          <w:trHeight w:val="320"/>
        </w:trPr>
        <w:tc>
          <w:tcPr>
            <w:tcW w:w="1152" w:type="dxa"/>
            <w:tcBorders>
              <w:top w:val="nil"/>
              <w:left w:val="nil"/>
              <w:bottom w:val="nil"/>
              <w:right w:val="nil"/>
            </w:tcBorders>
            <w:shd w:val="clear" w:color="auto" w:fill="auto"/>
            <w:noWrap/>
            <w:vAlign w:val="bottom"/>
            <w:hideMark/>
          </w:tcPr>
          <w:p w14:paraId="5260B428"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2EC3F71" w14:textId="77777777" w:rsidR="00926183" w:rsidRDefault="0092618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C4AB4E2" w14:textId="77777777" w:rsidR="00926183" w:rsidRDefault="00926183"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790A0BFA" w14:textId="77777777" w:rsidR="00926183" w:rsidRDefault="00926183" w:rsidP="005A3B4D">
            <w:pPr>
              <w:jc w:val="right"/>
              <w:rPr>
                <w:color w:val="000000"/>
                <w:sz w:val="20"/>
                <w:szCs w:val="20"/>
              </w:rPr>
            </w:pPr>
            <w:r>
              <w:rPr>
                <w:color w:val="000000"/>
                <w:sz w:val="20"/>
                <w:szCs w:val="20"/>
              </w:rPr>
              <w:t>0.808</w:t>
            </w:r>
          </w:p>
        </w:tc>
        <w:tc>
          <w:tcPr>
            <w:tcW w:w="864" w:type="dxa"/>
            <w:tcBorders>
              <w:top w:val="nil"/>
              <w:left w:val="nil"/>
              <w:bottom w:val="nil"/>
              <w:right w:val="nil"/>
            </w:tcBorders>
            <w:shd w:val="clear" w:color="auto" w:fill="auto"/>
            <w:noWrap/>
            <w:vAlign w:val="bottom"/>
            <w:hideMark/>
          </w:tcPr>
          <w:p w14:paraId="117A79C6"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29E4F76" w14:textId="77777777" w:rsidR="00926183" w:rsidRDefault="00926183"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E5B33FD" w14:textId="77777777" w:rsidR="00926183" w:rsidRDefault="00926183" w:rsidP="005A3B4D">
            <w:pPr>
              <w:jc w:val="right"/>
              <w:rPr>
                <w:color w:val="000000"/>
                <w:sz w:val="20"/>
                <w:szCs w:val="20"/>
              </w:rPr>
            </w:pPr>
            <w:r>
              <w:rPr>
                <w:color w:val="000000"/>
                <w:sz w:val="20"/>
                <w:szCs w:val="20"/>
              </w:rPr>
              <w:t>0.876</w:t>
            </w:r>
          </w:p>
        </w:tc>
        <w:tc>
          <w:tcPr>
            <w:tcW w:w="864" w:type="dxa"/>
            <w:tcBorders>
              <w:top w:val="nil"/>
              <w:left w:val="nil"/>
              <w:bottom w:val="nil"/>
              <w:right w:val="nil"/>
            </w:tcBorders>
            <w:shd w:val="clear" w:color="auto" w:fill="auto"/>
            <w:noWrap/>
            <w:vAlign w:val="bottom"/>
            <w:hideMark/>
          </w:tcPr>
          <w:p w14:paraId="7BE64DBE" w14:textId="77777777" w:rsidR="00926183" w:rsidRDefault="00926183" w:rsidP="005A3B4D">
            <w:pPr>
              <w:jc w:val="right"/>
              <w:rPr>
                <w:color w:val="000000"/>
                <w:sz w:val="20"/>
                <w:szCs w:val="20"/>
              </w:rPr>
            </w:pPr>
            <w:r>
              <w:rPr>
                <w:color w:val="000000"/>
                <w:sz w:val="20"/>
                <w:szCs w:val="20"/>
              </w:rPr>
              <w:t>0.000</w:t>
            </w:r>
          </w:p>
        </w:tc>
      </w:tr>
      <w:tr w:rsidR="00926183" w14:paraId="3BF355DA" w14:textId="77777777" w:rsidTr="005A3B4D">
        <w:trPr>
          <w:trHeight w:val="320"/>
        </w:trPr>
        <w:tc>
          <w:tcPr>
            <w:tcW w:w="1152" w:type="dxa"/>
            <w:tcBorders>
              <w:top w:val="nil"/>
              <w:left w:val="nil"/>
              <w:bottom w:val="nil"/>
              <w:right w:val="nil"/>
            </w:tcBorders>
            <w:shd w:val="clear" w:color="auto" w:fill="auto"/>
            <w:noWrap/>
            <w:vAlign w:val="bottom"/>
            <w:hideMark/>
          </w:tcPr>
          <w:p w14:paraId="63158966"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C44F934" w14:textId="77777777" w:rsidR="00926183" w:rsidRDefault="0092618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D190FFE" w14:textId="77777777" w:rsidR="00926183" w:rsidRDefault="00926183" w:rsidP="005A3B4D">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15873D6C" w14:textId="77777777" w:rsidR="00926183" w:rsidRDefault="00926183" w:rsidP="005A3B4D">
            <w:pPr>
              <w:jc w:val="right"/>
              <w:rPr>
                <w:color w:val="000000"/>
                <w:sz w:val="20"/>
                <w:szCs w:val="20"/>
              </w:rPr>
            </w:pPr>
            <w:r>
              <w:rPr>
                <w:color w:val="000000"/>
                <w:sz w:val="20"/>
                <w:szCs w:val="20"/>
              </w:rPr>
              <w:t>0.808</w:t>
            </w:r>
          </w:p>
        </w:tc>
        <w:tc>
          <w:tcPr>
            <w:tcW w:w="864" w:type="dxa"/>
            <w:tcBorders>
              <w:top w:val="nil"/>
              <w:left w:val="nil"/>
              <w:bottom w:val="nil"/>
              <w:right w:val="nil"/>
            </w:tcBorders>
            <w:shd w:val="clear" w:color="auto" w:fill="auto"/>
            <w:noWrap/>
            <w:vAlign w:val="bottom"/>
            <w:hideMark/>
          </w:tcPr>
          <w:p w14:paraId="004C09EB"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02519E6" w14:textId="77777777" w:rsidR="00926183" w:rsidRDefault="00926183" w:rsidP="005A3B4D">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2A5F2F66" w14:textId="77777777" w:rsidR="00926183" w:rsidRDefault="00926183" w:rsidP="005A3B4D">
            <w:pPr>
              <w:jc w:val="right"/>
              <w:rPr>
                <w:color w:val="000000"/>
                <w:sz w:val="20"/>
                <w:szCs w:val="20"/>
              </w:rPr>
            </w:pPr>
            <w:r>
              <w:rPr>
                <w:color w:val="000000"/>
                <w:sz w:val="20"/>
                <w:szCs w:val="20"/>
              </w:rPr>
              <w:t>0.824</w:t>
            </w:r>
          </w:p>
        </w:tc>
        <w:tc>
          <w:tcPr>
            <w:tcW w:w="864" w:type="dxa"/>
            <w:tcBorders>
              <w:top w:val="nil"/>
              <w:left w:val="nil"/>
              <w:bottom w:val="nil"/>
              <w:right w:val="nil"/>
            </w:tcBorders>
            <w:shd w:val="clear" w:color="auto" w:fill="auto"/>
            <w:noWrap/>
            <w:vAlign w:val="bottom"/>
            <w:hideMark/>
          </w:tcPr>
          <w:p w14:paraId="20AA2FAA" w14:textId="77777777" w:rsidR="00926183" w:rsidRDefault="00926183" w:rsidP="005A3B4D">
            <w:pPr>
              <w:jc w:val="right"/>
              <w:rPr>
                <w:color w:val="000000"/>
                <w:sz w:val="20"/>
                <w:szCs w:val="20"/>
              </w:rPr>
            </w:pPr>
            <w:r>
              <w:rPr>
                <w:color w:val="000000"/>
                <w:sz w:val="20"/>
                <w:szCs w:val="20"/>
              </w:rPr>
              <w:t>0.001</w:t>
            </w:r>
          </w:p>
        </w:tc>
      </w:tr>
      <w:tr w:rsidR="00926183" w14:paraId="017BD405" w14:textId="77777777" w:rsidTr="005A3B4D">
        <w:trPr>
          <w:trHeight w:val="320"/>
        </w:trPr>
        <w:tc>
          <w:tcPr>
            <w:tcW w:w="1152" w:type="dxa"/>
            <w:tcBorders>
              <w:top w:val="nil"/>
              <w:left w:val="nil"/>
              <w:bottom w:val="nil"/>
              <w:right w:val="nil"/>
            </w:tcBorders>
            <w:shd w:val="clear" w:color="auto" w:fill="auto"/>
            <w:noWrap/>
            <w:vAlign w:val="bottom"/>
            <w:hideMark/>
          </w:tcPr>
          <w:p w14:paraId="01315A2A"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D5C9D7A" w14:textId="77777777" w:rsidR="00926183" w:rsidRDefault="0092618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5122F35" w14:textId="77777777" w:rsidR="00926183" w:rsidRDefault="00926183"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65A9DA0B" w14:textId="77777777" w:rsidR="00926183" w:rsidRDefault="00926183" w:rsidP="005A3B4D">
            <w:pPr>
              <w:jc w:val="right"/>
              <w:rPr>
                <w:color w:val="000000"/>
                <w:sz w:val="20"/>
                <w:szCs w:val="20"/>
              </w:rPr>
            </w:pPr>
            <w:r>
              <w:rPr>
                <w:color w:val="000000"/>
                <w:sz w:val="20"/>
                <w:szCs w:val="20"/>
              </w:rPr>
              <w:t>0.808</w:t>
            </w:r>
          </w:p>
        </w:tc>
        <w:tc>
          <w:tcPr>
            <w:tcW w:w="864" w:type="dxa"/>
            <w:tcBorders>
              <w:top w:val="nil"/>
              <w:left w:val="nil"/>
              <w:bottom w:val="nil"/>
              <w:right w:val="nil"/>
            </w:tcBorders>
            <w:shd w:val="clear" w:color="auto" w:fill="auto"/>
            <w:noWrap/>
            <w:vAlign w:val="bottom"/>
            <w:hideMark/>
          </w:tcPr>
          <w:p w14:paraId="401ED760"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A394F9E" w14:textId="77777777" w:rsidR="00926183" w:rsidRDefault="00926183" w:rsidP="005A3B4D">
            <w:pPr>
              <w:jc w:val="right"/>
              <w:rPr>
                <w:color w:val="000000"/>
                <w:sz w:val="20"/>
                <w:szCs w:val="20"/>
              </w:rPr>
            </w:pPr>
            <w:r>
              <w:rPr>
                <w:color w:val="000000"/>
                <w:sz w:val="20"/>
                <w:szCs w:val="20"/>
              </w:rPr>
              <w:t>0.091</w:t>
            </w:r>
          </w:p>
        </w:tc>
        <w:tc>
          <w:tcPr>
            <w:tcW w:w="864" w:type="dxa"/>
            <w:tcBorders>
              <w:top w:val="nil"/>
              <w:left w:val="nil"/>
              <w:bottom w:val="nil"/>
              <w:right w:val="nil"/>
            </w:tcBorders>
            <w:shd w:val="clear" w:color="auto" w:fill="auto"/>
            <w:noWrap/>
            <w:vAlign w:val="bottom"/>
            <w:hideMark/>
          </w:tcPr>
          <w:p w14:paraId="03B06720" w14:textId="77777777" w:rsidR="00926183" w:rsidRDefault="00926183" w:rsidP="005A3B4D">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2170DA85" w14:textId="77777777" w:rsidR="00926183" w:rsidRDefault="00926183" w:rsidP="005A3B4D">
            <w:pPr>
              <w:jc w:val="right"/>
              <w:rPr>
                <w:color w:val="000000"/>
                <w:sz w:val="20"/>
                <w:szCs w:val="20"/>
              </w:rPr>
            </w:pPr>
            <w:r>
              <w:rPr>
                <w:color w:val="000000"/>
                <w:sz w:val="20"/>
                <w:szCs w:val="20"/>
              </w:rPr>
              <w:t>0.008</w:t>
            </w:r>
          </w:p>
        </w:tc>
      </w:tr>
      <w:tr w:rsidR="00926183" w14:paraId="223DFFB2" w14:textId="77777777" w:rsidTr="005A3B4D">
        <w:trPr>
          <w:trHeight w:val="320"/>
        </w:trPr>
        <w:tc>
          <w:tcPr>
            <w:tcW w:w="1152" w:type="dxa"/>
            <w:tcBorders>
              <w:top w:val="nil"/>
              <w:left w:val="nil"/>
              <w:bottom w:val="nil"/>
              <w:right w:val="nil"/>
            </w:tcBorders>
            <w:shd w:val="clear" w:color="auto" w:fill="auto"/>
            <w:noWrap/>
            <w:vAlign w:val="bottom"/>
            <w:hideMark/>
          </w:tcPr>
          <w:p w14:paraId="06818409"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1B2F3EF" w14:textId="77777777" w:rsidR="00926183" w:rsidRDefault="0092618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944F2AC" w14:textId="77777777" w:rsidR="00926183" w:rsidRDefault="00926183" w:rsidP="005A3B4D">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251E78AE" w14:textId="77777777" w:rsidR="00926183" w:rsidRDefault="00926183" w:rsidP="005A3B4D">
            <w:pPr>
              <w:jc w:val="right"/>
              <w:rPr>
                <w:color w:val="000000"/>
                <w:sz w:val="20"/>
                <w:szCs w:val="20"/>
              </w:rPr>
            </w:pPr>
            <w:r>
              <w:rPr>
                <w:color w:val="000000"/>
                <w:sz w:val="20"/>
                <w:szCs w:val="20"/>
              </w:rPr>
              <w:t>0.802</w:t>
            </w:r>
          </w:p>
        </w:tc>
        <w:tc>
          <w:tcPr>
            <w:tcW w:w="864" w:type="dxa"/>
            <w:tcBorders>
              <w:top w:val="nil"/>
              <w:left w:val="nil"/>
              <w:bottom w:val="nil"/>
              <w:right w:val="nil"/>
            </w:tcBorders>
            <w:shd w:val="clear" w:color="auto" w:fill="auto"/>
            <w:noWrap/>
            <w:vAlign w:val="bottom"/>
            <w:hideMark/>
          </w:tcPr>
          <w:p w14:paraId="1D08723F"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81395DA" w14:textId="77777777" w:rsidR="00926183" w:rsidRDefault="00926183" w:rsidP="005A3B4D">
            <w:pPr>
              <w:jc w:val="right"/>
              <w:rPr>
                <w:color w:val="000000"/>
                <w:sz w:val="20"/>
                <w:szCs w:val="20"/>
              </w:rPr>
            </w:pPr>
            <w:r>
              <w:rPr>
                <w:color w:val="000000"/>
                <w:sz w:val="20"/>
                <w:szCs w:val="20"/>
              </w:rPr>
              <w:t>0.067</w:t>
            </w:r>
          </w:p>
        </w:tc>
        <w:tc>
          <w:tcPr>
            <w:tcW w:w="864" w:type="dxa"/>
            <w:tcBorders>
              <w:top w:val="nil"/>
              <w:left w:val="nil"/>
              <w:bottom w:val="nil"/>
              <w:right w:val="nil"/>
            </w:tcBorders>
            <w:shd w:val="clear" w:color="auto" w:fill="auto"/>
            <w:noWrap/>
            <w:vAlign w:val="bottom"/>
            <w:hideMark/>
          </w:tcPr>
          <w:p w14:paraId="5268CA86" w14:textId="77777777" w:rsidR="00926183" w:rsidRDefault="00926183" w:rsidP="005A3B4D">
            <w:pPr>
              <w:jc w:val="right"/>
              <w:rPr>
                <w:color w:val="000000"/>
                <w:sz w:val="20"/>
                <w:szCs w:val="20"/>
              </w:rPr>
            </w:pPr>
            <w:r>
              <w:rPr>
                <w:color w:val="000000"/>
                <w:sz w:val="20"/>
                <w:szCs w:val="20"/>
              </w:rPr>
              <w:t>0.256</w:t>
            </w:r>
          </w:p>
        </w:tc>
        <w:tc>
          <w:tcPr>
            <w:tcW w:w="864" w:type="dxa"/>
            <w:tcBorders>
              <w:top w:val="nil"/>
              <w:left w:val="nil"/>
              <w:bottom w:val="nil"/>
              <w:right w:val="nil"/>
            </w:tcBorders>
            <w:shd w:val="clear" w:color="auto" w:fill="auto"/>
            <w:noWrap/>
            <w:vAlign w:val="bottom"/>
            <w:hideMark/>
          </w:tcPr>
          <w:p w14:paraId="192E59F6" w14:textId="77777777" w:rsidR="00926183" w:rsidRDefault="00926183" w:rsidP="005A3B4D">
            <w:pPr>
              <w:jc w:val="right"/>
              <w:rPr>
                <w:color w:val="000000"/>
                <w:sz w:val="20"/>
                <w:szCs w:val="20"/>
              </w:rPr>
            </w:pPr>
            <w:r>
              <w:rPr>
                <w:color w:val="000000"/>
                <w:sz w:val="20"/>
                <w:szCs w:val="20"/>
              </w:rPr>
              <w:t>0.004</w:t>
            </w:r>
          </w:p>
        </w:tc>
      </w:tr>
      <w:tr w:rsidR="00926183" w14:paraId="544E5F29"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3F871486" w14:textId="77777777" w:rsidR="00926183" w:rsidRDefault="00926183"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C2B2FBF" w14:textId="77777777" w:rsidR="00926183" w:rsidRDefault="00926183"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5FD38EC6" w14:textId="77777777" w:rsidR="00926183" w:rsidRDefault="00926183" w:rsidP="005A3B4D">
            <w:pPr>
              <w:jc w:val="right"/>
              <w:rPr>
                <w:color w:val="000000"/>
                <w:sz w:val="20"/>
                <w:szCs w:val="20"/>
              </w:rPr>
            </w:pPr>
            <w:r>
              <w:rPr>
                <w:color w:val="000000"/>
                <w:sz w:val="20"/>
                <w:szCs w:val="20"/>
              </w:rPr>
              <w:t>0.034</w:t>
            </w:r>
          </w:p>
        </w:tc>
        <w:tc>
          <w:tcPr>
            <w:tcW w:w="864" w:type="dxa"/>
            <w:tcBorders>
              <w:top w:val="nil"/>
              <w:left w:val="nil"/>
              <w:bottom w:val="single" w:sz="4" w:space="0" w:color="auto"/>
              <w:right w:val="nil"/>
            </w:tcBorders>
            <w:shd w:val="clear" w:color="auto" w:fill="auto"/>
            <w:noWrap/>
            <w:vAlign w:val="bottom"/>
            <w:hideMark/>
          </w:tcPr>
          <w:p w14:paraId="52191A58" w14:textId="77777777" w:rsidR="00926183" w:rsidRDefault="00926183" w:rsidP="005A3B4D">
            <w:pPr>
              <w:jc w:val="right"/>
              <w:rPr>
                <w:color w:val="000000"/>
                <w:sz w:val="20"/>
                <w:szCs w:val="20"/>
              </w:rPr>
            </w:pPr>
            <w:r>
              <w:rPr>
                <w:color w:val="000000"/>
                <w:sz w:val="20"/>
                <w:szCs w:val="20"/>
              </w:rPr>
              <w:t>0.802</w:t>
            </w:r>
          </w:p>
        </w:tc>
        <w:tc>
          <w:tcPr>
            <w:tcW w:w="864" w:type="dxa"/>
            <w:tcBorders>
              <w:top w:val="nil"/>
              <w:left w:val="nil"/>
              <w:bottom w:val="single" w:sz="4" w:space="0" w:color="auto"/>
              <w:right w:val="nil"/>
            </w:tcBorders>
            <w:shd w:val="clear" w:color="auto" w:fill="auto"/>
            <w:noWrap/>
            <w:vAlign w:val="bottom"/>
            <w:hideMark/>
          </w:tcPr>
          <w:p w14:paraId="281488B2" w14:textId="77777777" w:rsidR="00926183" w:rsidRDefault="00926183" w:rsidP="005A3B4D">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36CCEFA1" w14:textId="77777777" w:rsidR="00926183" w:rsidRDefault="00926183" w:rsidP="005A3B4D">
            <w:pPr>
              <w:jc w:val="right"/>
              <w:rPr>
                <w:color w:val="000000"/>
                <w:sz w:val="20"/>
                <w:szCs w:val="20"/>
              </w:rPr>
            </w:pPr>
            <w:r>
              <w:rPr>
                <w:color w:val="000000"/>
                <w:sz w:val="20"/>
                <w:szCs w:val="20"/>
              </w:rPr>
              <w:t>-0.024</w:t>
            </w:r>
          </w:p>
        </w:tc>
        <w:tc>
          <w:tcPr>
            <w:tcW w:w="864" w:type="dxa"/>
            <w:tcBorders>
              <w:top w:val="nil"/>
              <w:left w:val="nil"/>
              <w:bottom w:val="single" w:sz="4" w:space="0" w:color="auto"/>
              <w:right w:val="nil"/>
            </w:tcBorders>
            <w:shd w:val="clear" w:color="auto" w:fill="auto"/>
            <w:noWrap/>
            <w:vAlign w:val="bottom"/>
            <w:hideMark/>
          </w:tcPr>
          <w:p w14:paraId="6F11BA98" w14:textId="77777777" w:rsidR="00926183" w:rsidRDefault="00926183" w:rsidP="005A3B4D">
            <w:pPr>
              <w:jc w:val="right"/>
              <w:rPr>
                <w:color w:val="000000"/>
                <w:sz w:val="20"/>
                <w:szCs w:val="20"/>
              </w:rPr>
            </w:pPr>
            <w:r>
              <w:rPr>
                <w:color w:val="000000"/>
                <w:sz w:val="20"/>
                <w:szCs w:val="20"/>
              </w:rPr>
              <w:t>0.824</w:t>
            </w:r>
          </w:p>
        </w:tc>
        <w:tc>
          <w:tcPr>
            <w:tcW w:w="864" w:type="dxa"/>
            <w:tcBorders>
              <w:top w:val="nil"/>
              <w:left w:val="nil"/>
              <w:bottom w:val="single" w:sz="4" w:space="0" w:color="auto"/>
              <w:right w:val="nil"/>
            </w:tcBorders>
            <w:shd w:val="clear" w:color="auto" w:fill="auto"/>
            <w:noWrap/>
            <w:vAlign w:val="bottom"/>
            <w:hideMark/>
          </w:tcPr>
          <w:p w14:paraId="16304186" w14:textId="77777777" w:rsidR="00926183" w:rsidRDefault="00926183" w:rsidP="005A3B4D">
            <w:pPr>
              <w:jc w:val="right"/>
              <w:rPr>
                <w:color w:val="000000"/>
                <w:sz w:val="20"/>
                <w:szCs w:val="20"/>
              </w:rPr>
            </w:pPr>
            <w:r>
              <w:rPr>
                <w:color w:val="000000"/>
                <w:sz w:val="20"/>
                <w:szCs w:val="20"/>
              </w:rPr>
              <w:t>0.001</w:t>
            </w:r>
          </w:p>
        </w:tc>
      </w:tr>
      <w:tr w:rsidR="00926183" w14:paraId="551E6A8B" w14:textId="77777777" w:rsidTr="005A3B4D">
        <w:trPr>
          <w:trHeight w:val="320"/>
        </w:trPr>
        <w:tc>
          <w:tcPr>
            <w:tcW w:w="1152" w:type="dxa"/>
            <w:tcBorders>
              <w:top w:val="nil"/>
              <w:left w:val="nil"/>
              <w:bottom w:val="nil"/>
              <w:right w:val="nil"/>
            </w:tcBorders>
            <w:shd w:val="clear" w:color="auto" w:fill="auto"/>
            <w:noWrap/>
            <w:vAlign w:val="bottom"/>
            <w:hideMark/>
          </w:tcPr>
          <w:p w14:paraId="5DA58B8C" w14:textId="77777777" w:rsidR="00926183" w:rsidRDefault="00926183" w:rsidP="005A3B4D">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32E76A07" w14:textId="77777777" w:rsidR="00926183" w:rsidRDefault="00926183"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2DB6528" w14:textId="77777777" w:rsidR="00926183" w:rsidRDefault="00926183" w:rsidP="005A3B4D">
            <w:pPr>
              <w:jc w:val="right"/>
              <w:rPr>
                <w:color w:val="000000"/>
                <w:sz w:val="20"/>
                <w:szCs w:val="20"/>
              </w:rPr>
            </w:pPr>
            <w:r>
              <w:rPr>
                <w:color w:val="000000"/>
                <w:sz w:val="20"/>
                <w:szCs w:val="20"/>
              </w:rPr>
              <w:t>0.069</w:t>
            </w:r>
          </w:p>
        </w:tc>
        <w:tc>
          <w:tcPr>
            <w:tcW w:w="864" w:type="dxa"/>
            <w:tcBorders>
              <w:top w:val="nil"/>
              <w:left w:val="nil"/>
              <w:bottom w:val="nil"/>
              <w:right w:val="nil"/>
            </w:tcBorders>
            <w:shd w:val="clear" w:color="auto" w:fill="auto"/>
            <w:noWrap/>
            <w:vAlign w:val="bottom"/>
            <w:hideMark/>
          </w:tcPr>
          <w:p w14:paraId="65C4AED5" w14:textId="77777777" w:rsidR="00926183" w:rsidRDefault="00926183" w:rsidP="005A3B4D">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45741298" w14:textId="77777777" w:rsidR="00926183" w:rsidRDefault="00926183"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10FA3CAB" w14:textId="77777777" w:rsidR="00926183" w:rsidRDefault="00926183"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6AF631BA" w14:textId="77777777" w:rsidR="00926183" w:rsidRDefault="00926183" w:rsidP="005A3B4D">
            <w:pPr>
              <w:jc w:val="right"/>
              <w:rPr>
                <w:color w:val="000000"/>
                <w:sz w:val="20"/>
                <w:szCs w:val="20"/>
              </w:rPr>
            </w:pPr>
            <w:r>
              <w:rPr>
                <w:color w:val="000000"/>
                <w:sz w:val="20"/>
                <w:szCs w:val="20"/>
              </w:rPr>
              <w:t>0.880</w:t>
            </w:r>
          </w:p>
        </w:tc>
        <w:tc>
          <w:tcPr>
            <w:tcW w:w="864" w:type="dxa"/>
            <w:tcBorders>
              <w:top w:val="nil"/>
              <w:left w:val="nil"/>
              <w:bottom w:val="nil"/>
              <w:right w:val="nil"/>
            </w:tcBorders>
            <w:shd w:val="clear" w:color="auto" w:fill="auto"/>
            <w:noWrap/>
            <w:vAlign w:val="bottom"/>
            <w:hideMark/>
          </w:tcPr>
          <w:p w14:paraId="01DEA2F6" w14:textId="77777777" w:rsidR="00926183" w:rsidRDefault="00926183" w:rsidP="005A3B4D">
            <w:pPr>
              <w:jc w:val="right"/>
              <w:rPr>
                <w:color w:val="000000"/>
                <w:sz w:val="20"/>
                <w:szCs w:val="20"/>
              </w:rPr>
            </w:pPr>
            <w:r>
              <w:rPr>
                <w:color w:val="000000"/>
                <w:sz w:val="20"/>
                <w:szCs w:val="20"/>
              </w:rPr>
              <w:t>0.000</w:t>
            </w:r>
          </w:p>
        </w:tc>
      </w:tr>
      <w:tr w:rsidR="00926183" w14:paraId="130DEDA4" w14:textId="77777777" w:rsidTr="005A3B4D">
        <w:trPr>
          <w:trHeight w:val="320"/>
        </w:trPr>
        <w:tc>
          <w:tcPr>
            <w:tcW w:w="1152" w:type="dxa"/>
            <w:tcBorders>
              <w:top w:val="nil"/>
              <w:left w:val="nil"/>
              <w:bottom w:val="nil"/>
              <w:right w:val="nil"/>
            </w:tcBorders>
            <w:shd w:val="clear" w:color="auto" w:fill="auto"/>
            <w:noWrap/>
            <w:vAlign w:val="bottom"/>
            <w:hideMark/>
          </w:tcPr>
          <w:p w14:paraId="0AEA32AA"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5A657E8" w14:textId="77777777" w:rsidR="00926183" w:rsidRDefault="0092618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987494D" w14:textId="77777777" w:rsidR="00926183" w:rsidRDefault="00926183" w:rsidP="005A3B4D">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06141001" w14:textId="77777777" w:rsidR="00926183" w:rsidRDefault="00926183" w:rsidP="005A3B4D">
            <w:pPr>
              <w:jc w:val="right"/>
              <w:rPr>
                <w:color w:val="000000"/>
                <w:sz w:val="20"/>
                <w:szCs w:val="20"/>
              </w:rPr>
            </w:pPr>
            <w:r>
              <w:rPr>
                <w:color w:val="000000"/>
                <w:sz w:val="20"/>
                <w:szCs w:val="20"/>
              </w:rPr>
              <w:t>0.651</w:t>
            </w:r>
          </w:p>
        </w:tc>
        <w:tc>
          <w:tcPr>
            <w:tcW w:w="864" w:type="dxa"/>
            <w:tcBorders>
              <w:top w:val="nil"/>
              <w:left w:val="nil"/>
              <w:bottom w:val="nil"/>
              <w:right w:val="nil"/>
            </w:tcBorders>
            <w:shd w:val="clear" w:color="auto" w:fill="auto"/>
            <w:noWrap/>
            <w:vAlign w:val="bottom"/>
            <w:hideMark/>
          </w:tcPr>
          <w:p w14:paraId="4AB6A199" w14:textId="77777777" w:rsidR="00926183" w:rsidRDefault="0092618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B623D00" w14:textId="77777777" w:rsidR="00926183" w:rsidRDefault="00926183" w:rsidP="005A3B4D">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62CB21B5" w14:textId="77777777" w:rsidR="00926183" w:rsidRDefault="00926183" w:rsidP="005A3B4D">
            <w:pPr>
              <w:jc w:val="right"/>
              <w:rPr>
                <w:color w:val="000000"/>
                <w:sz w:val="20"/>
                <w:szCs w:val="20"/>
              </w:rPr>
            </w:pPr>
            <w:r>
              <w:rPr>
                <w:color w:val="000000"/>
                <w:sz w:val="20"/>
                <w:szCs w:val="20"/>
              </w:rPr>
              <w:t>0.724</w:t>
            </w:r>
          </w:p>
        </w:tc>
        <w:tc>
          <w:tcPr>
            <w:tcW w:w="864" w:type="dxa"/>
            <w:tcBorders>
              <w:top w:val="nil"/>
              <w:left w:val="nil"/>
              <w:bottom w:val="nil"/>
              <w:right w:val="nil"/>
            </w:tcBorders>
            <w:shd w:val="clear" w:color="auto" w:fill="auto"/>
            <w:noWrap/>
            <w:vAlign w:val="bottom"/>
            <w:hideMark/>
          </w:tcPr>
          <w:p w14:paraId="25D90E7F" w14:textId="77777777" w:rsidR="00926183" w:rsidRDefault="00926183" w:rsidP="005A3B4D">
            <w:pPr>
              <w:jc w:val="right"/>
              <w:rPr>
                <w:color w:val="000000"/>
                <w:sz w:val="20"/>
                <w:szCs w:val="20"/>
              </w:rPr>
            </w:pPr>
            <w:r>
              <w:rPr>
                <w:color w:val="000000"/>
                <w:sz w:val="20"/>
                <w:szCs w:val="20"/>
              </w:rPr>
              <w:t>0.002</w:t>
            </w:r>
          </w:p>
        </w:tc>
      </w:tr>
      <w:tr w:rsidR="00926183" w14:paraId="468F7782" w14:textId="77777777" w:rsidTr="005A3B4D">
        <w:trPr>
          <w:trHeight w:val="320"/>
        </w:trPr>
        <w:tc>
          <w:tcPr>
            <w:tcW w:w="1152" w:type="dxa"/>
            <w:tcBorders>
              <w:top w:val="nil"/>
              <w:left w:val="nil"/>
              <w:bottom w:val="nil"/>
              <w:right w:val="nil"/>
            </w:tcBorders>
            <w:shd w:val="clear" w:color="auto" w:fill="auto"/>
            <w:noWrap/>
            <w:vAlign w:val="bottom"/>
            <w:hideMark/>
          </w:tcPr>
          <w:p w14:paraId="18625558"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F70BD41" w14:textId="77777777" w:rsidR="00926183" w:rsidRDefault="0092618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3192780" w14:textId="77777777" w:rsidR="00926183" w:rsidRDefault="00926183" w:rsidP="005A3B4D">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270D3EE1" w14:textId="77777777" w:rsidR="00926183" w:rsidRDefault="00926183" w:rsidP="005A3B4D">
            <w:pPr>
              <w:jc w:val="right"/>
              <w:rPr>
                <w:color w:val="000000"/>
                <w:sz w:val="20"/>
                <w:szCs w:val="20"/>
              </w:rPr>
            </w:pPr>
            <w:r>
              <w:rPr>
                <w:color w:val="000000"/>
                <w:sz w:val="20"/>
                <w:szCs w:val="20"/>
              </w:rPr>
              <w:t>0.400</w:t>
            </w:r>
          </w:p>
        </w:tc>
        <w:tc>
          <w:tcPr>
            <w:tcW w:w="864" w:type="dxa"/>
            <w:tcBorders>
              <w:top w:val="nil"/>
              <w:left w:val="nil"/>
              <w:bottom w:val="nil"/>
              <w:right w:val="nil"/>
            </w:tcBorders>
            <w:shd w:val="clear" w:color="auto" w:fill="auto"/>
            <w:noWrap/>
            <w:vAlign w:val="bottom"/>
            <w:hideMark/>
          </w:tcPr>
          <w:p w14:paraId="42320E70" w14:textId="77777777" w:rsidR="00926183" w:rsidRDefault="00926183"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560AA38" w14:textId="77777777" w:rsidR="00926183" w:rsidRDefault="00926183" w:rsidP="005A3B4D">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386EDD6B" w14:textId="77777777" w:rsidR="00926183" w:rsidRDefault="00926183" w:rsidP="005A3B4D">
            <w:pPr>
              <w:jc w:val="right"/>
              <w:rPr>
                <w:color w:val="000000"/>
                <w:sz w:val="20"/>
                <w:szCs w:val="20"/>
              </w:rPr>
            </w:pPr>
            <w:r>
              <w:rPr>
                <w:color w:val="000000"/>
                <w:sz w:val="20"/>
                <w:szCs w:val="20"/>
              </w:rPr>
              <w:t>0.724</w:t>
            </w:r>
          </w:p>
        </w:tc>
        <w:tc>
          <w:tcPr>
            <w:tcW w:w="864" w:type="dxa"/>
            <w:tcBorders>
              <w:top w:val="nil"/>
              <w:left w:val="nil"/>
              <w:bottom w:val="nil"/>
              <w:right w:val="nil"/>
            </w:tcBorders>
            <w:shd w:val="clear" w:color="auto" w:fill="auto"/>
            <w:noWrap/>
            <w:vAlign w:val="bottom"/>
            <w:hideMark/>
          </w:tcPr>
          <w:p w14:paraId="103118C2" w14:textId="77777777" w:rsidR="00926183" w:rsidRDefault="00926183" w:rsidP="005A3B4D">
            <w:pPr>
              <w:jc w:val="right"/>
              <w:rPr>
                <w:color w:val="000000"/>
                <w:sz w:val="20"/>
                <w:szCs w:val="20"/>
              </w:rPr>
            </w:pPr>
            <w:r>
              <w:rPr>
                <w:color w:val="000000"/>
                <w:sz w:val="20"/>
                <w:szCs w:val="20"/>
              </w:rPr>
              <w:t>0.001</w:t>
            </w:r>
          </w:p>
        </w:tc>
      </w:tr>
      <w:tr w:rsidR="00926183" w14:paraId="043DDB4E" w14:textId="77777777" w:rsidTr="005A3B4D">
        <w:trPr>
          <w:trHeight w:val="320"/>
        </w:trPr>
        <w:tc>
          <w:tcPr>
            <w:tcW w:w="1152" w:type="dxa"/>
            <w:tcBorders>
              <w:top w:val="nil"/>
              <w:left w:val="nil"/>
              <w:bottom w:val="nil"/>
              <w:right w:val="nil"/>
            </w:tcBorders>
            <w:shd w:val="clear" w:color="auto" w:fill="auto"/>
            <w:noWrap/>
            <w:vAlign w:val="bottom"/>
            <w:hideMark/>
          </w:tcPr>
          <w:p w14:paraId="08E89670"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DE002DA" w14:textId="77777777" w:rsidR="00926183" w:rsidRDefault="0092618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75DA5FED" w14:textId="77777777" w:rsidR="00926183" w:rsidRDefault="00926183" w:rsidP="005A3B4D">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559EF52B" w14:textId="77777777" w:rsidR="00926183" w:rsidRDefault="00926183" w:rsidP="005A3B4D">
            <w:pPr>
              <w:jc w:val="right"/>
              <w:rPr>
                <w:color w:val="000000"/>
                <w:sz w:val="20"/>
                <w:szCs w:val="20"/>
              </w:rPr>
            </w:pPr>
            <w:r>
              <w:rPr>
                <w:color w:val="000000"/>
                <w:sz w:val="20"/>
                <w:szCs w:val="20"/>
              </w:rPr>
              <w:t>0.757</w:t>
            </w:r>
          </w:p>
        </w:tc>
        <w:tc>
          <w:tcPr>
            <w:tcW w:w="864" w:type="dxa"/>
            <w:tcBorders>
              <w:top w:val="nil"/>
              <w:left w:val="nil"/>
              <w:bottom w:val="nil"/>
              <w:right w:val="nil"/>
            </w:tcBorders>
            <w:shd w:val="clear" w:color="auto" w:fill="auto"/>
            <w:noWrap/>
            <w:vAlign w:val="bottom"/>
            <w:hideMark/>
          </w:tcPr>
          <w:p w14:paraId="4E304604" w14:textId="77777777" w:rsidR="00926183" w:rsidRDefault="0092618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CFAE7AA" w14:textId="77777777" w:rsidR="00926183" w:rsidRDefault="00926183"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309620ED" w14:textId="77777777" w:rsidR="00926183" w:rsidRDefault="00926183" w:rsidP="005A3B4D">
            <w:pPr>
              <w:jc w:val="right"/>
              <w:rPr>
                <w:color w:val="000000"/>
                <w:sz w:val="20"/>
                <w:szCs w:val="20"/>
              </w:rPr>
            </w:pPr>
            <w:r>
              <w:rPr>
                <w:color w:val="000000"/>
                <w:sz w:val="20"/>
                <w:szCs w:val="20"/>
              </w:rPr>
              <w:t>0.880</w:t>
            </w:r>
          </w:p>
        </w:tc>
        <w:tc>
          <w:tcPr>
            <w:tcW w:w="864" w:type="dxa"/>
            <w:tcBorders>
              <w:top w:val="nil"/>
              <w:left w:val="nil"/>
              <w:bottom w:val="nil"/>
              <w:right w:val="nil"/>
            </w:tcBorders>
            <w:shd w:val="clear" w:color="auto" w:fill="auto"/>
            <w:noWrap/>
            <w:vAlign w:val="bottom"/>
            <w:hideMark/>
          </w:tcPr>
          <w:p w14:paraId="0A79F878" w14:textId="77777777" w:rsidR="00926183" w:rsidRDefault="00926183" w:rsidP="005A3B4D">
            <w:pPr>
              <w:jc w:val="right"/>
              <w:rPr>
                <w:color w:val="000000"/>
                <w:sz w:val="20"/>
                <w:szCs w:val="20"/>
              </w:rPr>
            </w:pPr>
            <w:r>
              <w:rPr>
                <w:color w:val="000000"/>
                <w:sz w:val="20"/>
                <w:szCs w:val="20"/>
              </w:rPr>
              <w:t>0.000</w:t>
            </w:r>
          </w:p>
        </w:tc>
      </w:tr>
      <w:tr w:rsidR="00926183" w14:paraId="2E5F66A4" w14:textId="77777777" w:rsidTr="005A3B4D">
        <w:trPr>
          <w:trHeight w:val="320"/>
        </w:trPr>
        <w:tc>
          <w:tcPr>
            <w:tcW w:w="1152" w:type="dxa"/>
            <w:tcBorders>
              <w:top w:val="nil"/>
              <w:left w:val="nil"/>
              <w:bottom w:val="nil"/>
              <w:right w:val="nil"/>
            </w:tcBorders>
            <w:shd w:val="clear" w:color="auto" w:fill="auto"/>
            <w:noWrap/>
            <w:vAlign w:val="bottom"/>
            <w:hideMark/>
          </w:tcPr>
          <w:p w14:paraId="5412EC4B"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4FFD27C" w14:textId="77777777" w:rsidR="00926183" w:rsidRDefault="0092618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53AC5B4" w14:textId="77777777" w:rsidR="00926183" w:rsidRDefault="00926183" w:rsidP="005A3B4D">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0ABF382D" w14:textId="77777777" w:rsidR="00926183" w:rsidRDefault="00926183" w:rsidP="005A3B4D">
            <w:pPr>
              <w:jc w:val="right"/>
              <w:rPr>
                <w:color w:val="000000"/>
                <w:sz w:val="20"/>
                <w:szCs w:val="20"/>
              </w:rPr>
            </w:pPr>
            <w:r>
              <w:rPr>
                <w:color w:val="000000"/>
                <w:sz w:val="20"/>
                <w:szCs w:val="20"/>
              </w:rPr>
              <w:t>0.757</w:t>
            </w:r>
          </w:p>
        </w:tc>
        <w:tc>
          <w:tcPr>
            <w:tcW w:w="864" w:type="dxa"/>
            <w:tcBorders>
              <w:top w:val="nil"/>
              <w:left w:val="nil"/>
              <w:bottom w:val="nil"/>
              <w:right w:val="nil"/>
            </w:tcBorders>
            <w:shd w:val="clear" w:color="auto" w:fill="auto"/>
            <w:noWrap/>
            <w:vAlign w:val="bottom"/>
            <w:hideMark/>
          </w:tcPr>
          <w:p w14:paraId="64DAC926"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863967D" w14:textId="77777777" w:rsidR="00926183" w:rsidRDefault="00926183"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5F911186" w14:textId="77777777" w:rsidR="00926183" w:rsidRDefault="00926183" w:rsidP="005A3B4D">
            <w:pPr>
              <w:jc w:val="right"/>
              <w:rPr>
                <w:color w:val="000000"/>
                <w:sz w:val="20"/>
                <w:szCs w:val="20"/>
              </w:rPr>
            </w:pPr>
            <w:r>
              <w:rPr>
                <w:color w:val="000000"/>
                <w:sz w:val="20"/>
                <w:szCs w:val="20"/>
              </w:rPr>
              <w:t>0.880</w:t>
            </w:r>
          </w:p>
        </w:tc>
        <w:tc>
          <w:tcPr>
            <w:tcW w:w="864" w:type="dxa"/>
            <w:tcBorders>
              <w:top w:val="nil"/>
              <w:left w:val="nil"/>
              <w:bottom w:val="nil"/>
              <w:right w:val="nil"/>
            </w:tcBorders>
            <w:shd w:val="clear" w:color="auto" w:fill="auto"/>
            <w:noWrap/>
            <w:vAlign w:val="bottom"/>
            <w:hideMark/>
          </w:tcPr>
          <w:p w14:paraId="5B5A32E5" w14:textId="77777777" w:rsidR="00926183" w:rsidRDefault="00926183" w:rsidP="005A3B4D">
            <w:pPr>
              <w:jc w:val="right"/>
              <w:rPr>
                <w:color w:val="000000"/>
                <w:sz w:val="20"/>
                <w:szCs w:val="20"/>
              </w:rPr>
            </w:pPr>
            <w:r>
              <w:rPr>
                <w:color w:val="000000"/>
                <w:sz w:val="20"/>
                <w:szCs w:val="20"/>
              </w:rPr>
              <w:t>0.000</w:t>
            </w:r>
          </w:p>
        </w:tc>
      </w:tr>
      <w:tr w:rsidR="00926183" w14:paraId="55AA9035" w14:textId="77777777" w:rsidTr="005A3B4D">
        <w:trPr>
          <w:trHeight w:val="320"/>
        </w:trPr>
        <w:tc>
          <w:tcPr>
            <w:tcW w:w="1152" w:type="dxa"/>
            <w:tcBorders>
              <w:top w:val="nil"/>
              <w:left w:val="nil"/>
              <w:bottom w:val="nil"/>
              <w:right w:val="nil"/>
            </w:tcBorders>
            <w:shd w:val="clear" w:color="auto" w:fill="auto"/>
            <w:noWrap/>
            <w:vAlign w:val="bottom"/>
            <w:hideMark/>
          </w:tcPr>
          <w:p w14:paraId="1CF16730"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4106C75" w14:textId="77777777" w:rsidR="00926183" w:rsidRDefault="0092618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51DC468" w14:textId="77777777" w:rsidR="00926183" w:rsidRDefault="00926183"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5204A604" w14:textId="77777777" w:rsidR="00926183" w:rsidRDefault="00926183" w:rsidP="005A3B4D">
            <w:pPr>
              <w:jc w:val="right"/>
              <w:rPr>
                <w:color w:val="000000"/>
                <w:sz w:val="20"/>
                <w:szCs w:val="20"/>
              </w:rPr>
            </w:pPr>
            <w:r>
              <w:rPr>
                <w:color w:val="000000"/>
                <w:sz w:val="20"/>
                <w:szCs w:val="20"/>
              </w:rPr>
              <w:t>0.868</w:t>
            </w:r>
          </w:p>
        </w:tc>
        <w:tc>
          <w:tcPr>
            <w:tcW w:w="864" w:type="dxa"/>
            <w:tcBorders>
              <w:top w:val="nil"/>
              <w:left w:val="nil"/>
              <w:bottom w:val="nil"/>
              <w:right w:val="nil"/>
            </w:tcBorders>
            <w:shd w:val="clear" w:color="auto" w:fill="auto"/>
            <w:noWrap/>
            <w:vAlign w:val="bottom"/>
            <w:hideMark/>
          </w:tcPr>
          <w:p w14:paraId="1761D84C"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FB3A438" w14:textId="77777777" w:rsidR="00926183" w:rsidRDefault="00926183" w:rsidP="005A3B4D">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49AFAC32" w14:textId="77777777" w:rsidR="00926183" w:rsidRDefault="00926183" w:rsidP="005A3B4D">
            <w:pPr>
              <w:jc w:val="right"/>
              <w:rPr>
                <w:color w:val="000000"/>
                <w:sz w:val="20"/>
                <w:szCs w:val="20"/>
              </w:rPr>
            </w:pPr>
            <w:r>
              <w:rPr>
                <w:color w:val="000000"/>
                <w:sz w:val="20"/>
                <w:szCs w:val="20"/>
              </w:rPr>
              <w:t>0.724</w:t>
            </w:r>
          </w:p>
        </w:tc>
        <w:tc>
          <w:tcPr>
            <w:tcW w:w="864" w:type="dxa"/>
            <w:tcBorders>
              <w:top w:val="nil"/>
              <w:left w:val="nil"/>
              <w:bottom w:val="nil"/>
              <w:right w:val="nil"/>
            </w:tcBorders>
            <w:shd w:val="clear" w:color="auto" w:fill="auto"/>
            <w:noWrap/>
            <w:vAlign w:val="bottom"/>
            <w:hideMark/>
          </w:tcPr>
          <w:p w14:paraId="736DC850" w14:textId="77777777" w:rsidR="00926183" w:rsidRDefault="00926183" w:rsidP="005A3B4D">
            <w:pPr>
              <w:jc w:val="right"/>
              <w:rPr>
                <w:color w:val="000000"/>
                <w:sz w:val="20"/>
                <w:szCs w:val="20"/>
              </w:rPr>
            </w:pPr>
            <w:r>
              <w:rPr>
                <w:color w:val="000000"/>
                <w:sz w:val="20"/>
                <w:szCs w:val="20"/>
              </w:rPr>
              <w:t>0.001</w:t>
            </w:r>
          </w:p>
        </w:tc>
      </w:tr>
      <w:tr w:rsidR="00926183" w14:paraId="59F3C0E2" w14:textId="77777777" w:rsidTr="005A3B4D">
        <w:trPr>
          <w:trHeight w:val="320"/>
        </w:trPr>
        <w:tc>
          <w:tcPr>
            <w:tcW w:w="1152" w:type="dxa"/>
            <w:tcBorders>
              <w:top w:val="nil"/>
              <w:left w:val="nil"/>
              <w:bottom w:val="nil"/>
              <w:right w:val="nil"/>
            </w:tcBorders>
            <w:shd w:val="clear" w:color="auto" w:fill="auto"/>
            <w:noWrap/>
            <w:vAlign w:val="bottom"/>
            <w:hideMark/>
          </w:tcPr>
          <w:p w14:paraId="0B6B37DE"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B4B07BB" w14:textId="77777777" w:rsidR="00926183" w:rsidRDefault="0092618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87460BB" w14:textId="77777777" w:rsidR="00926183" w:rsidRDefault="00926183"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23AFD0EF" w14:textId="77777777" w:rsidR="00926183" w:rsidRDefault="00926183" w:rsidP="005A3B4D">
            <w:pPr>
              <w:jc w:val="right"/>
              <w:rPr>
                <w:color w:val="000000"/>
                <w:sz w:val="20"/>
                <w:szCs w:val="20"/>
              </w:rPr>
            </w:pPr>
            <w:r>
              <w:rPr>
                <w:color w:val="000000"/>
                <w:sz w:val="20"/>
                <w:szCs w:val="20"/>
              </w:rPr>
              <w:t>0.757</w:t>
            </w:r>
          </w:p>
        </w:tc>
        <w:tc>
          <w:tcPr>
            <w:tcW w:w="864" w:type="dxa"/>
            <w:tcBorders>
              <w:top w:val="nil"/>
              <w:left w:val="nil"/>
              <w:bottom w:val="nil"/>
              <w:right w:val="nil"/>
            </w:tcBorders>
            <w:shd w:val="clear" w:color="auto" w:fill="auto"/>
            <w:noWrap/>
            <w:vAlign w:val="bottom"/>
            <w:hideMark/>
          </w:tcPr>
          <w:p w14:paraId="2AEF22FD"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31E064C" w14:textId="77777777" w:rsidR="00926183" w:rsidRDefault="00926183" w:rsidP="005A3B4D">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21E468E7" w14:textId="77777777" w:rsidR="00926183" w:rsidRDefault="00926183" w:rsidP="005A3B4D">
            <w:pPr>
              <w:jc w:val="right"/>
              <w:rPr>
                <w:color w:val="000000"/>
                <w:sz w:val="20"/>
                <w:szCs w:val="20"/>
              </w:rPr>
            </w:pPr>
            <w:r>
              <w:rPr>
                <w:color w:val="000000"/>
                <w:sz w:val="20"/>
                <w:szCs w:val="20"/>
              </w:rPr>
              <w:t>0.632</w:t>
            </w:r>
          </w:p>
        </w:tc>
        <w:tc>
          <w:tcPr>
            <w:tcW w:w="864" w:type="dxa"/>
            <w:tcBorders>
              <w:top w:val="nil"/>
              <w:left w:val="nil"/>
              <w:bottom w:val="nil"/>
              <w:right w:val="nil"/>
            </w:tcBorders>
            <w:shd w:val="clear" w:color="auto" w:fill="auto"/>
            <w:noWrap/>
            <w:vAlign w:val="bottom"/>
            <w:hideMark/>
          </w:tcPr>
          <w:p w14:paraId="529930D8" w14:textId="77777777" w:rsidR="00926183" w:rsidRDefault="00926183" w:rsidP="005A3B4D">
            <w:pPr>
              <w:jc w:val="right"/>
              <w:rPr>
                <w:color w:val="000000"/>
                <w:sz w:val="20"/>
                <w:szCs w:val="20"/>
              </w:rPr>
            </w:pPr>
            <w:r>
              <w:rPr>
                <w:color w:val="000000"/>
                <w:sz w:val="20"/>
                <w:szCs w:val="20"/>
              </w:rPr>
              <w:t>0.003</w:t>
            </w:r>
          </w:p>
        </w:tc>
      </w:tr>
      <w:tr w:rsidR="00926183" w14:paraId="405E2757"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773B85F3" w14:textId="77777777" w:rsidR="00926183" w:rsidRDefault="00926183"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18EB20A" w14:textId="77777777" w:rsidR="00926183" w:rsidRDefault="00926183"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1A50FFBA" w14:textId="77777777" w:rsidR="00926183" w:rsidRDefault="00926183" w:rsidP="005A3B4D">
            <w:pPr>
              <w:jc w:val="right"/>
              <w:rPr>
                <w:color w:val="000000"/>
                <w:sz w:val="20"/>
                <w:szCs w:val="20"/>
              </w:rPr>
            </w:pPr>
            <w:r>
              <w:rPr>
                <w:color w:val="000000"/>
                <w:sz w:val="20"/>
                <w:szCs w:val="20"/>
              </w:rPr>
              <w:t>0.006</w:t>
            </w:r>
          </w:p>
        </w:tc>
        <w:tc>
          <w:tcPr>
            <w:tcW w:w="864" w:type="dxa"/>
            <w:tcBorders>
              <w:top w:val="nil"/>
              <w:left w:val="nil"/>
              <w:bottom w:val="single" w:sz="4" w:space="0" w:color="auto"/>
              <w:right w:val="nil"/>
            </w:tcBorders>
            <w:shd w:val="clear" w:color="auto" w:fill="auto"/>
            <w:noWrap/>
            <w:vAlign w:val="bottom"/>
            <w:hideMark/>
          </w:tcPr>
          <w:p w14:paraId="306F5119" w14:textId="77777777" w:rsidR="00926183" w:rsidRDefault="00926183" w:rsidP="005A3B4D">
            <w:pPr>
              <w:jc w:val="right"/>
              <w:rPr>
                <w:color w:val="000000"/>
                <w:sz w:val="20"/>
                <w:szCs w:val="20"/>
              </w:rPr>
            </w:pPr>
            <w:r>
              <w:rPr>
                <w:color w:val="000000"/>
                <w:sz w:val="20"/>
                <w:szCs w:val="20"/>
              </w:rPr>
              <w:t>0.868</w:t>
            </w:r>
          </w:p>
        </w:tc>
        <w:tc>
          <w:tcPr>
            <w:tcW w:w="864" w:type="dxa"/>
            <w:tcBorders>
              <w:top w:val="nil"/>
              <w:left w:val="nil"/>
              <w:bottom w:val="single" w:sz="4" w:space="0" w:color="auto"/>
              <w:right w:val="nil"/>
            </w:tcBorders>
            <w:shd w:val="clear" w:color="auto" w:fill="auto"/>
            <w:noWrap/>
            <w:vAlign w:val="bottom"/>
            <w:hideMark/>
          </w:tcPr>
          <w:p w14:paraId="3986ED58"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84C2AD4" w14:textId="77777777" w:rsidR="00926183" w:rsidRDefault="00926183" w:rsidP="005A3B4D">
            <w:pPr>
              <w:jc w:val="right"/>
              <w:rPr>
                <w:color w:val="000000"/>
                <w:sz w:val="20"/>
                <w:szCs w:val="20"/>
              </w:rPr>
            </w:pPr>
            <w:r>
              <w:rPr>
                <w:color w:val="000000"/>
                <w:sz w:val="20"/>
                <w:szCs w:val="20"/>
              </w:rPr>
              <w:t>0.015</w:t>
            </w:r>
          </w:p>
        </w:tc>
        <w:tc>
          <w:tcPr>
            <w:tcW w:w="864" w:type="dxa"/>
            <w:tcBorders>
              <w:top w:val="nil"/>
              <w:left w:val="nil"/>
              <w:bottom w:val="single" w:sz="4" w:space="0" w:color="auto"/>
              <w:right w:val="nil"/>
            </w:tcBorders>
            <w:shd w:val="clear" w:color="auto" w:fill="auto"/>
            <w:noWrap/>
            <w:vAlign w:val="bottom"/>
            <w:hideMark/>
          </w:tcPr>
          <w:p w14:paraId="6D13C308" w14:textId="77777777" w:rsidR="00926183" w:rsidRDefault="00926183" w:rsidP="005A3B4D">
            <w:pPr>
              <w:jc w:val="right"/>
              <w:rPr>
                <w:color w:val="000000"/>
                <w:sz w:val="20"/>
                <w:szCs w:val="20"/>
              </w:rPr>
            </w:pPr>
            <w:r>
              <w:rPr>
                <w:color w:val="000000"/>
                <w:sz w:val="20"/>
                <w:szCs w:val="20"/>
              </w:rPr>
              <w:t>0.880</w:t>
            </w:r>
          </w:p>
        </w:tc>
        <w:tc>
          <w:tcPr>
            <w:tcW w:w="864" w:type="dxa"/>
            <w:tcBorders>
              <w:top w:val="nil"/>
              <w:left w:val="nil"/>
              <w:bottom w:val="single" w:sz="4" w:space="0" w:color="auto"/>
              <w:right w:val="nil"/>
            </w:tcBorders>
            <w:shd w:val="clear" w:color="auto" w:fill="auto"/>
            <w:noWrap/>
            <w:vAlign w:val="bottom"/>
            <w:hideMark/>
          </w:tcPr>
          <w:p w14:paraId="2A2DF6B4" w14:textId="77777777" w:rsidR="00926183" w:rsidRDefault="00926183" w:rsidP="005A3B4D">
            <w:pPr>
              <w:jc w:val="right"/>
              <w:rPr>
                <w:color w:val="000000"/>
                <w:sz w:val="20"/>
                <w:szCs w:val="20"/>
              </w:rPr>
            </w:pPr>
            <w:r>
              <w:rPr>
                <w:color w:val="000000"/>
                <w:sz w:val="20"/>
                <w:szCs w:val="20"/>
              </w:rPr>
              <w:t>0.000</w:t>
            </w:r>
          </w:p>
        </w:tc>
      </w:tr>
      <w:tr w:rsidR="00926183" w14:paraId="7C45FACA" w14:textId="77777777" w:rsidTr="005A3B4D">
        <w:trPr>
          <w:trHeight w:val="320"/>
        </w:trPr>
        <w:tc>
          <w:tcPr>
            <w:tcW w:w="1152" w:type="dxa"/>
            <w:tcBorders>
              <w:top w:val="nil"/>
              <w:left w:val="nil"/>
              <w:bottom w:val="nil"/>
              <w:right w:val="nil"/>
            </w:tcBorders>
            <w:shd w:val="clear" w:color="auto" w:fill="auto"/>
            <w:noWrap/>
            <w:vAlign w:val="bottom"/>
            <w:hideMark/>
          </w:tcPr>
          <w:p w14:paraId="7718072C" w14:textId="77777777" w:rsidR="00926183" w:rsidRDefault="00926183" w:rsidP="005A3B4D">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6FD829A1" w14:textId="77777777" w:rsidR="00926183" w:rsidRDefault="00926183"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52C1EF10" w14:textId="77777777" w:rsidR="00926183" w:rsidRDefault="00926183" w:rsidP="005A3B4D">
            <w:pPr>
              <w:jc w:val="right"/>
              <w:rPr>
                <w:color w:val="000000"/>
                <w:sz w:val="20"/>
                <w:szCs w:val="20"/>
              </w:rPr>
            </w:pPr>
            <w:r>
              <w:rPr>
                <w:color w:val="000000"/>
                <w:sz w:val="20"/>
                <w:szCs w:val="20"/>
              </w:rPr>
              <w:t>0.062</w:t>
            </w:r>
          </w:p>
        </w:tc>
        <w:tc>
          <w:tcPr>
            <w:tcW w:w="864" w:type="dxa"/>
            <w:tcBorders>
              <w:top w:val="nil"/>
              <w:left w:val="nil"/>
              <w:bottom w:val="nil"/>
              <w:right w:val="nil"/>
            </w:tcBorders>
            <w:shd w:val="clear" w:color="auto" w:fill="auto"/>
            <w:noWrap/>
            <w:vAlign w:val="bottom"/>
            <w:hideMark/>
          </w:tcPr>
          <w:p w14:paraId="74FD101A" w14:textId="77777777" w:rsidR="00926183" w:rsidRDefault="00926183" w:rsidP="005A3B4D">
            <w:pPr>
              <w:jc w:val="right"/>
              <w:rPr>
                <w:color w:val="000000"/>
                <w:sz w:val="20"/>
                <w:szCs w:val="20"/>
              </w:rPr>
            </w:pPr>
            <w:r>
              <w:rPr>
                <w:color w:val="000000"/>
                <w:sz w:val="20"/>
                <w:szCs w:val="20"/>
              </w:rPr>
              <w:t>0.208</w:t>
            </w:r>
          </w:p>
        </w:tc>
        <w:tc>
          <w:tcPr>
            <w:tcW w:w="864" w:type="dxa"/>
            <w:tcBorders>
              <w:top w:val="nil"/>
              <w:left w:val="nil"/>
              <w:bottom w:val="nil"/>
              <w:right w:val="nil"/>
            </w:tcBorders>
            <w:shd w:val="clear" w:color="auto" w:fill="auto"/>
            <w:noWrap/>
            <w:vAlign w:val="bottom"/>
            <w:hideMark/>
          </w:tcPr>
          <w:p w14:paraId="2B5FA6BD" w14:textId="77777777" w:rsidR="00926183" w:rsidRDefault="00926183"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0F8C6CB7" w14:textId="77777777" w:rsidR="00926183" w:rsidRDefault="00926183" w:rsidP="005A3B4D">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193369F8" w14:textId="77777777" w:rsidR="00926183" w:rsidRDefault="00926183" w:rsidP="005A3B4D">
            <w:pPr>
              <w:jc w:val="right"/>
              <w:rPr>
                <w:color w:val="000000"/>
                <w:sz w:val="20"/>
                <w:szCs w:val="20"/>
              </w:rPr>
            </w:pPr>
            <w:r>
              <w:rPr>
                <w:color w:val="000000"/>
                <w:sz w:val="20"/>
                <w:szCs w:val="20"/>
              </w:rPr>
              <w:t>0.748</w:t>
            </w:r>
          </w:p>
        </w:tc>
        <w:tc>
          <w:tcPr>
            <w:tcW w:w="864" w:type="dxa"/>
            <w:tcBorders>
              <w:top w:val="nil"/>
              <w:left w:val="nil"/>
              <w:bottom w:val="nil"/>
              <w:right w:val="nil"/>
            </w:tcBorders>
            <w:shd w:val="clear" w:color="auto" w:fill="auto"/>
            <w:noWrap/>
            <w:vAlign w:val="bottom"/>
            <w:hideMark/>
          </w:tcPr>
          <w:p w14:paraId="64751F7D" w14:textId="77777777" w:rsidR="00926183" w:rsidRDefault="00926183" w:rsidP="005A3B4D">
            <w:pPr>
              <w:jc w:val="right"/>
              <w:rPr>
                <w:color w:val="000000"/>
                <w:sz w:val="20"/>
                <w:szCs w:val="20"/>
              </w:rPr>
            </w:pPr>
            <w:r>
              <w:rPr>
                <w:color w:val="000000"/>
                <w:sz w:val="20"/>
                <w:szCs w:val="20"/>
              </w:rPr>
              <w:t>0.000</w:t>
            </w:r>
          </w:p>
        </w:tc>
      </w:tr>
      <w:tr w:rsidR="00926183" w14:paraId="61C1FE43" w14:textId="77777777" w:rsidTr="005A3B4D">
        <w:trPr>
          <w:trHeight w:val="320"/>
        </w:trPr>
        <w:tc>
          <w:tcPr>
            <w:tcW w:w="1152" w:type="dxa"/>
            <w:tcBorders>
              <w:top w:val="nil"/>
              <w:left w:val="nil"/>
              <w:bottom w:val="nil"/>
              <w:right w:val="nil"/>
            </w:tcBorders>
            <w:shd w:val="clear" w:color="auto" w:fill="auto"/>
            <w:noWrap/>
            <w:vAlign w:val="bottom"/>
            <w:hideMark/>
          </w:tcPr>
          <w:p w14:paraId="23B3054E"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5DF46CC" w14:textId="77777777" w:rsidR="00926183" w:rsidRDefault="0092618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1ABC233" w14:textId="77777777" w:rsidR="00926183" w:rsidRDefault="00926183" w:rsidP="005A3B4D">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3545D9F2" w14:textId="77777777" w:rsidR="00926183" w:rsidRDefault="00926183" w:rsidP="005A3B4D">
            <w:pPr>
              <w:jc w:val="right"/>
              <w:rPr>
                <w:color w:val="000000"/>
                <w:sz w:val="20"/>
                <w:szCs w:val="20"/>
              </w:rPr>
            </w:pPr>
            <w:r>
              <w:rPr>
                <w:color w:val="000000"/>
                <w:sz w:val="20"/>
                <w:szCs w:val="20"/>
              </w:rPr>
              <w:t>0.604</w:t>
            </w:r>
          </w:p>
        </w:tc>
        <w:tc>
          <w:tcPr>
            <w:tcW w:w="864" w:type="dxa"/>
            <w:tcBorders>
              <w:top w:val="nil"/>
              <w:left w:val="nil"/>
              <w:bottom w:val="nil"/>
              <w:right w:val="nil"/>
            </w:tcBorders>
            <w:shd w:val="clear" w:color="auto" w:fill="auto"/>
            <w:noWrap/>
            <w:vAlign w:val="bottom"/>
            <w:hideMark/>
          </w:tcPr>
          <w:p w14:paraId="53C6F454" w14:textId="77777777" w:rsidR="00926183" w:rsidRDefault="0092618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2981C13" w14:textId="77777777" w:rsidR="00926183" w:rsidRDefault="00926183" w:rsidP="005A3B4D">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7079CB68" w14:textId="77777777" w:rsidR="00926183" w:rsidRDefault="00926183" w:rsidP="005A3B4D">
            <w:pPr>
              <w:jc w:val="right"/>
              <w:rPr>
                <w:color w:val="000000"/>
                <w:sz w:val="20"/>
                <w:szCs w:val="20"/>
              </w:rPr>
            </w:pPr>
            <w:r>
              <w:rPr>
                <w:color w:val="000000"/>
                <w:sz w:val="20"/>
                <w:szCs w:val="20"/>
              </w:rPr>
              <w:t>0.654</w:t>
            </w:r>
          </w:p>
        </w:tc>
        <w:tc>
          <w:tcPr>
            <w:tcW w:w="864" w:type="dxa"/>
            <w:tcBorders>
              <w:top w:val="nil"/>
              <w:left w:val="nil"/>
              <w:bottom w:val="nil"/>
              <w:right w:val="nil"/>
            </w:tcBorders>
            <w:shd w:val="clear" w:color="auto" w:fill="auto"/>
            <w:noWrap/>
            <w:vAlign w:val="bottom"/>
            <w:hideMark/>
          </w:tcPr>
          <w:p w14:paraId="0B7D5211" w14:textId="77777777" w:rsidR="00926183" w:rsidRDefault="00926183" w:rsidP="005A3B4D">
            <w:pPr>
              <w:jc w:val="right"/>
              <w:rPr>
                <w:color w:val="000000"/>
                <w:sz w:val="20"/>
                <w:szCs w:val="20"/>
              </w:rPr>
            </w:pPr>
            <w:r>
              <w:rPr>
                <w:color w:val="000000"/>
                <w:sz w:val="20"/>
                <w:szCs w:val="20"/>
              </w:rPr>
              <w:t>0.002</w:t>
            </w:r>
          </w:p>
        </w:tc>
      </w:tr>
      <w:tr w:rsidR="00926183" w14:paraId="2B83CAF5" w14:textId="77777777" w:rsidTr="005A3B4D">
        <w:trPr>
          <w:trHeight w:val="320"/>
        </w:trPr>
        <w:tc>
          <w:tcPr>
            <w:tcW w:w="1152" w:type="dxa"/>
            <w:tcBorders>
              <w:top w:val="nil"/>
              <w:left w:val="nil"/>
              <w:bottom w:val="nil"/>
              <w:right w:val="nil"/>
            </w:tcBorders>
            <w:shd w:val="clear" w:color="auto" w:fill="auto"/>
            <w:noWrap/>
            <w:vAlign w:val="bottom"/>
            <w:hideMark/>
          </w:tcPr>
          <w:p w14:paraId="6A4430FF"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5188C9D" w14:textId="77777777" w:rsidR="00926183" w:rsidRDefault="0092618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9D7450B" w14:textId="77777777" w:rsidR="00926183" w:rsidRDefault="00926183" w:rsidP="005A3B4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428080F3" w14:textId="77777777" w:rsidR="00926183" w:rsidRDefault="00926183" w:rsidP="005A3B4D">
            <w:pPr>
              <w:jc w:val="right"/>
              <w:rPr>
                <w:color w:val="000000"/>
                <w:sz w:val="20"/>
                <w:szCs w:val="20"/>
              </w:rPr>
            </w:pPr>
            <w:r>
              <w:rPr>
                <w:color w:val="000000"/>
                <w:sz w:val="20"/>
                <w:szCs w:val="20"/>
              </w:rPr>
              <w:t>0.516</w:t>
            </w:r>
          </w:p>
        </w:tc>
        <w:tc>
          <w:tcPr>
            <w:tcW w:w="864" w:type="dxa"/>
            <w:tcBorders>
              <w:top w:val="nil"/>
              <w:left w:val="nil"/>
              <w:bottom w:val="nil"/>
              <w:right w:val="nil"/>
            </w:tcBorders>
            <w:shd w:val="clear" w:color="auto" w:fill="auto"/>
            <w:noWrap/>
            <w:vAlign w:val="bottom"/>
            <w:hideMark/>
          </w:tcPr>
          <w:p w14:paraId="56DFCED4" w14:textId="77777777" w:rsidR="00926183" w:rsidRDefault="00926183"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30E9213" w14:textId="77777777" w:rsidR="00926183" w:rsidRDefault="00926183" w:rsidP="005A3B4D">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4106D4CB" w14:textId="77777777" w:rsidR="00926183" w:rsidRDefault="00926183" w:rsidP="005A3B4D">
            <w:pPr>
              <w:jc w:val="right"/>
              <w:rPr>
                <w:color w:val="000000"/>
                <w:sz w:val="20"/>
                <w:szCs w:val="20"/>
              </w:rPr>
            </w:pPr>
            <w:r>
              <w:rPr>
                <w:color w:val="000000"/>
                <w:sz w:val="20"/>
                <w:szCs w:val="20"/>
              </w:rPr>
              <w:t>0.654</w:t>
            </w:r>
          </w:p>
        </w:tc>
        <w:tc>
          <w:tcPr>
            <w:tcW w:w="864" w:type="dxa"/>
            <w:tcBorders>
              <w:top w:val="nil"/>
              <w:left w:val="nil"/>
              <w:bottom w:val="nil"/>
              <w:right w:val="nil"/>
            </w:tcBorders>
            <w:shd w:val="clear" w:color="auto" w:fill="auto"/>
            <w:noWrap/>
            <w:vAlign w:val="bottom"/>
            <w:hideMark/>
          </w:tcPr>
          <w:p w14:paraId="3E1E4D2F" w14:textId="77777777" w:rsidR="00926183" w:rsidRDefault="00926183" w:rsidP="005A3B4D">
            <w:pPr>
              <w:jc w:val="right"/>
              <w:rPr>
                <w:color w:val="000000"/>
                <w:sz w:val="20"/>
                <w:szCs w:val="20"/>
              </w:rPr>
            </w:pPr>
            <w:r>
              <w:rPr>
                <w:color w:val="000000"/>
                <w:sz w:val="20"/>
                <w:szCs w:val="20"/>
              </w:rPr>
              <w:t>0.001</w:t>
            </w:r>
          </w:p>
        </w:tc>
      </w:tr>
      <w:tr w:rsidR="00926183" w14:paraId="4E7BD1F0" w14:textId="77777777" w:rsidTr="005A3B4D">
        <w:trPr>
          <w:trHeight w:val="320"/>
        </w:trPr>
        <w:tc>
          <w:tcPr>
            <w:tcW w:w="1152" w:type="dxa"/>
            <w:tcBorders>
              <w:top w:val="nil"/>
              <w:left w:val="nil"/>
              <w:bottom w:val="nil"/>
              <w:right w:val="nil"/>
            </w:tcBorders>
            <w:shd w:val="clear" w:color="auto" w:fill="auto"/>
            <w:noWrap/>
            <w:vAlign w:val="bottom"/>
            <w:hideMark/>
          </w:tcPr>
          <w:p w14:paraId="7A0DEC65"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332E544" w14:textId="77777777" w:rsidR="00926183" w:rsidRDefault="0092618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2921DDF" w14:textId="77777777" w:rsidR="00926183" w:rsidRDefault="00926183" w:rsidP="005A3B4D">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4A90C862" w14:textId="77777777" w:rsidR="00926183" w:rsidRDefault="00926183" w:rsidP="005A3B4D">
            <w:pPr>
              <w:jc w:val="right"/>
              <w:rPr>
                <w:color w:val="000000"/>
                <w:sz w:val="20"/>
                <w:szCs w:val="20"/>
              </w:rPr>
            </w:pPr>
            <w:r>
              <w:rPr>
                <w:color w:val="000000"/>
                <w:sz w:val="20"/>
                <w:szCs w:val="20"/>
              </w:rPr>
              <w:t>0.809</w:t>
            </w:r>
          </w:p>
        </w:tc>
        <w:tc>
          <w:tcPr>
            <w:tcW w:w="864" w:type="dxa"/>
            <w:tcBorders>
              <w:top w:val="nil"/>
              <w:left w:val="nil"/>
              <w:bottom w:val="nil"/>
              <w:right w:val="nil"/>
            </w:tcBorders>
            <w:shd w:val="clear" w:color="auto" w:fill="auto"/>
            <w:noWrap/>
            <w:vAlign w:val="bottom"/>
            <w:hideMark/>
          </w:tcPr>
          <w:p w14:paraId="2F643650"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2846551" w14:textId="77777777" w:rsidR="00926183" w:rsidRDefault="00926183" w:rsidP="005A3B4D">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1C2FAE7E" w14:textId="77777777" w:rsidR="00926183" w:rsidRDefault="00926183" w:rsidP="005A3B4D">
            <w:pPr>
              <w:jc w:val="right"/>
              <w:rPr>
                <w:color w:val="000000"/>
                <w:sz w:val="20"/>
                <w:szCs w:val="20"/>
              </w:rPr>
            </w:pPr>
            <w:r>
              <w:rPr>
                <w:color w:val="000000"/>
                <w:sz w:val="20"/>
                <w:szCs w:val="20"/>
              </w:rPr>
              <w:t>0.674</w:t>
            </w:r>
          </w:p>
        </w:tc>
        <w:tc>
          <w:tcPr>
            <w:tcW w:w="864" w:type="dxa"/>
            <w:tcBorders>
              <w:top w:val="nil"/>
              <w:left w:val="nil"/>
              <w:bottom w:val="nil"/>
              <w:right w:val="nil"/>
            </w:tcBorders>
            <w:shd w:val="clear" w:color="auto" w:fill="auto"/>
            <w:noWrap/>
            <w:vAlign w:val="bottom"/>
            <w:hideMark/>
          </w:tcPr>
          <w:p w14:paraId="6C45D7FC" w14:textId="77777777" w:rsidR="00926183" w:rsidRDefault="00926183" w:rsidP="005A3B4D">
            <w:pPr>
              <w:jc w:val="right"/>
              <w:rPr>
                <w:color w:val="000000"/>
                <w:sz w:val="20"/>
                <w:szCs w:val="20"/>
              </w:rPr>
            </w:pPr>
            <w:r>
              <w:rPr>
                <w:color w:val="000000"/>
                <w:sz w:val="20"/>
                <w:szCs w:val="20"/>
              </w:rPr>
              <w:t>0.001</w:t>
            </w:r>
          </w:p>
        </w:tc>
      </w:tr>
      <w:tr w:rsidR="00926183" w14:paraId="71740370" w14:textId="77777777" w:rsidTr="005A3B4D">
        <w:trPr>
          <w:trHeight w:val="320"/>
        </w:trPr>
        <w:tc>
          <w:tcPr>
            <w:tcW w:w="1152" w:type="dxa"/>
            <w:tcBorders>
              <w:top w:val="nil"/>
              <w:left w:val="nil"/>
              <w:bottom w:val="nil"/>
              <w:right w:val="nil"/>
            </w:tcBorders>
            <w:shd w:val="clear" w:color="auto" w:fill="auto"/>
            <w:noWrap/>
            <w:vAlign w:val="bottom"/>
            <w:hideMark/>
          </w:tcPr>
          <w:p w14:paraId="7F31B388"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0C17652" w14:textId="77777777" w:rsidR="00926183" w:rsidRDefault="0092618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8E502D5" w14:textId="77777777" w:rsidR="00926183" w:rsidRDefault="00926183" w:rsidP="005A3B4D">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54AA4D17" w14:textId="77777777" w:rsidR="00926183" w:rsidRDefault="00926183" w:rsidP="005A3B4D">
            <w:pPr>
              <w:jc w:val="right"/>
              <w:rPr>
                <w:color w:val="000000"/>
                <w:sz w:val="20"/>
                <w:szCs w:val="20"/>
              </w:rPr>
            </w:pPr>
            <w:r>
              <w:rPr>
                <w:color w:val="000000"/>
                <w:sz w:val="20"/>
                <w:szCs w:val="20"/>
              </w:rPr>
              <w:t>0.604</w:t>
            </w:r>
          </w:p>
        </w:tc>
        <w:tc>
          <w:tcPr>
            <w:tcW w:w="864" w:type="dxa"/>
            <w:tcBorders>
              <w:top w:val="nil"/>
              <w:left w:val="nil"/>
              <w:bottom w:val="nil"/>
              <w:right w:val="nil"/>
            </w:tcBorders>
            <w:shd w:val="clear" w:color="auto" w:fill="auto"/>
            <w:noWrap/>
            <w:vAlign w:val="bottom"/>
            <w:hideMark/>
          </w:tcPr>
          <w:p w14:paraId="245C4F89" w14:textId="77777777" w:rsidR="00926183" w:rsidRDefault="0092618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4640EFE" w14:textId="77777777" w:rsidR="00926183" w:rsidRDefault="0092618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D9FE00C" w14:textId="77777777" w:rsidR="00926183" w:rsidRDefault="00926183" w:rsidP="005A3B4D">
            <w:pPr>
              <w:jc w:val="right"/>
              <w:rPr>
                <w:color w:val="000000"/>
                <w:sz w:val="20"/>
                <w:szCs w:val="20"/>
              </w:rPr>
            </w:pPr>
            <w:r>
              <w:rPr>
                <w:color w:val="000000"/>
                <w:sz w:val="20"/>
                <w:szCs w:val="20"/>
              </w:rPr>
              <w:t>0.966</w:t>
            </w:r>
          </w:p>
        </w:tc>
        <w:tc>
          <w:tcPr>
            <w:tcW w:w="864" w:type="dxa"/>
            <w:tcBorders>
              <w:top w:val="nil"/>
              <w:left w:val="nil"/>
              <w:bottom w:val="nil"/>
              <w:right w:val="nil"/>
            </w:tcBorders>
            <w:shd w:val="clear" w:color="auto" w:fill="auto"/>
            <w:noWrap/>
            <w:vAlign w:val="bottom"/>
            <w:hideMark/>
          </w:tcPr>
          <w:p w14:paraId="4962E18F" w14:textId="77777777" w:rsidR="00926183" w:rsidRDefault="00926183" w:rsidP="005A3B4D">
            <w:pPr>
              <w:jc w:val="right"/>
              <w:rPr>
                <w:color w:val="000000"/>
                <w:sz w:val="20"/>
                <w:szCs w:val="20"/>
              </w:rPr>
            </w:pPr>
            <w:r>
              <w:rPr>
                <w:color w:val="000000"/>
                <w:sz w:val="20"/>
                <w:szCs w:val="20"/>
              </w:rPr>
              <w:t>0.000</w:t>
            </w:r>
          </w:p>
        </w:tc>
      </w:tr>
      <w:tr w:rsidR="00926183" w14:paraId="37563AD4" w14:textId="77777777" w:rsidTr="005A3B4D">
        <w:trPr>
          <w:trHeight w:val="320"/>
        </w:trPr>
        <w:tc>
          <w:tcPr>
            <w:tcW w:w="1152" w:type="dxa"/>
            <w:tcBorders>
              <w:top w:val="nil"/>
              <w:left w:val="nil"/>
              <w:bottom w:val="nil"/>
              <w:right w:val="nil"/>
            </w:tcBorders>
            <w:shd w:val="clear" w:color="auto" w:fill="auto"/>
            <w:noWrap/>
            <w:vAlign w:val="bottom"/>
            <w:hideMark/>
          </w:tcPr>
          <w:p w14:paraId="0AB4CD63"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537FF71" w14:textId="77777777" w:rsidR="00926183" w:rsidRDefault="0092618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04F7FE5" w14:textId="77777777" w:rsidR="00926183" w:rsidRDefault="00926183"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64EA58F8" w14:textId="77777777" w:rsidR="00926183" w:rsidRDefault="00926183" w:rsidP="005A3B4D">
            <w:pPr>
              <w:jc w:val="right"/>
              <w:rPr>
                <w:color w:val="000000"/>
                <w:sz w:val="20"/>
                <w:szCs w:val="20"/>
              </w:rPr>
            </w:pPr>
            <w:r>
              <w:rPr>
                <w:color w:val="000000"/>
                <w:sz w:val="20"/>
                <w:szCs w:val="20"/>
              </w:rPr>
              <w:t>0.809</w:t>
            </w:r>
          </w:p>
        </w:tc>
        <w:tc>
          <w:tcPr>
            <w:tcW w:w="864" w:type="dxa"/>
            <w:tcBorders>
              <w:top w:val="nil"/>
              <w:left w:val="nil"/>
              <w:bottom w:val="nil"/>
              <w:right w:val="nil"/>
            </w:tcBorders>
            <w:shd w:val="clear" w:color="auto" w:fill="auto"/>
            <w:noWrap/>
            <w:vAlign w:val="bottom"/>
            <w:hideMark/>
          </w:tcPr>
          <w:p w14:paraId="0D6407B3"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1881D31" w14:textId="77777777" w:rsidR="00926183" w:rsidRDefault="00926183" w:rsidP="005A3B4D">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6DD4BF5C" w14:textId="77777777" w:rsidR="00926183" w:rsidRDefault="00926183" w:rsidP="005A3B4D">
            <w:pPr>
              <w:jc w:val="right"/>
              <w:rPr>
                <w:color w:val="000000"/>
                <w:sz w:val="20"/>
                <w:szCs w:val="20"/>
              </w:rPr>
            </w:pPr>
            <w:r>
              <w:rPr>
                <w:color w:val="000000"/>
                <w:sz w:val="20"/>
                <w:szCs w:val="20"/>
              </w:rPr>
              <w:t>0.654</w:t>
            </w:r>
          </w:p>
        </w:tc>
        <w:tc>
          <w:tcPr>
            <w:tcW w:w="864" w:type="dxa"/>
            <w:tcBorders>
              <w:top w:val="nil"/>
              <w:left w:val="nil"/>
              <w:bottom w:val="nil"/>
              <w:right w:val="nil"/>
            </w:tcBorders>
            <w:shd w:val="clear" w:color="auto" w:fill="auto"/>
            <w:noWrap/>
            <w:vAlign w:val="bottom"/>
            <w:hideMark/>
          </w:tcPr>
          <w:p w14:paraId="15BE0F1B" w14:textId="77777777" w:rsidR="00926183" w:rsidRDefault="00926183" w:rsidP="005A3B4D">
            <w:pPr>
              <w:jc w:val="right"/>
              <w:rPr>
                <w:color w:val="000000"/>
                <w:sz w:val="20"/>
                <w:szCs w:val="20"/>
              </w:rPr>
            </w:pPr>
            <w:r>
              <w:rPr>
                <w:color w:val="000000"/>
                <w:sz w:val="20"/>
                <w:szCs w:val="20"/>
              </w:rPr>
              <w:t>0.001</w:t>
            </w:r>
          </w:p>
        </w:tc>
      </w:tr>
      <w:tr w:rsidR="00926183" w14:paraId="14DCC7B4" w14:textId="77777777" w:rsidTr="005A3B4D">
        <w:trPr>
          <w:trHeight w:val="320"/>
        </w:trPr>
        <w:tc>
          <w:tcPr>
            <w:tcW w:w="1152" w:type="dxa"/>
            <w:tcBorders>
              <w:top w:val="nil"/>
              <w:left w:val="nil"/>
              <w:bottom w:val="nil"/>
              <w:right w:val="nil"/>
            </w:tcBorders>
            <w:shd w:val="clear" w:color="auto" w:fill="auto"/>
            <w:noWrap/>
            <w:vAlign w:val="bottom"/>
            <w:hideMark/>
          </w:tcPr>
          <w:p w14:paraId="021B9D74" w14:textId="77777777" w:rsidR="00926183" w:rsidRDefault="0092618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87414B9" w14:textId="77777777" w:rsidR="00926183" w:rsidRDefault="0092618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84BF625" w14:textId="77777777" w:rsidR="00926183" w:rsidRDefault="00926183" w:rsidP="005A3B4D">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352EBA71" w14:textId="77777777" w:rsidR="00926183" w:rsidRDefault="00926183" w:rsidP="005A3B4D">
            <w:pPr>
              <w:jc w:val="right"/>
              <w:rPr>
                <w:color w:val="000000"/>
                <w:sz w:val="20"/>
                <w:szCs w:val="20"/>
              </w:rPr>
            </w:pPr>
            <w:r>
              <w:rPr>
                <w:color w:val="000000"/>
                <w:sz w:val="20"/>
                <w:szCs w:val="20"/>
              </w:rPr>
              <w:t>0.809</w:t>
            </w:r>
          </w:p>
        </w:tc>
        <w:tc>
          <w:tcPr>
            <w:tcW w:w="864" w:type="dxa"/>
            <w:tcBorders>
              <w:top w:val="nil"/>
              <w:left w:val="nil"/>
              <w:bottom w:val="nil"/>
              <w:right w:val="nil"/>
            </w:tcBorders>
            <w:shd w:val="clear" w:color="auto" w:fill="auto"/>
            <w:noWrap/>
            <w:vAlign w:val="bottom"/>
            <w:hideMark/>
          </w:tcPr>
          <w:p w14:paraId="5CB34216"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3FB394E" w14:textId="77777777" w:rsidR="00926183" w:rsidRDefault="00926183" w:rsidP="005A3B4D">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37D25415" w14:textId="77777777" w:rsidR="00926183" w:rsidRDefault="00926183" w:rsidP="005A3B4D">
            <w:pPr>
              <w:jc w:val="right"/>
              <w:rPr>
                <w:color w:val="000000"/>
                <w:sz w:val="20"/>
                <w:szCs w:val="20"/>
              </w:rPr>
            </w:pPr>
            <w:r>
              <w:rPr>
                <w:color w:val="000000"/>
                <w:sz w:val="20"/>
                <w:szCs w:val="20"/>
              </w:rPr>
              <w:t>0.654</w:t>
            </w:r>
          </w:p>
        </w:tc>
        <w:tc>
          <w:tcPr>
            <w:tcW w:w="864" w:type="dxa"/>
            <w:tcBorders>
              <w:top w:val="nil"/>
              <w:left w:val="nil"/>
              <w:bottom w:val="nil"/>
              <w:right w:val="nil"/>
            </w:tcBorders>
            <w:shd w:val="clear" w:color="auto" w:fill="auto"/>
            <w:noWrap/>
            <w:vAlign w:val="bottom"/>
            <w:hideMark/>
          </w:tcPr>
          <w:p w14:paraId="1AF06EF1" w14:textId="77777777" w:rsidR="00926183" w:rsidRDefault="00926183" w:rsidP="005A3B4D">
            <w:pPr>
              <w:jc w:val="right"/>
              <w:rPr>
                <w:color w:val="000000"/>
                <w:sz w:val="20"/>
                <w:szCs w:val="20"/>
              </w:rPr>
            </w:pPr>
            <w:r>
              <w:rPr>
                <w:color w:val="000000"/>
                <w:sz w:val="20"/>
                <w:szCs w:val="20"/>
              </w:rPr>
              <w:t>0.001</w:t>
            </w:r>
          </w:p>
        </w:tc>
      </w:tr>
      <w:tr w:rsidR="00926183" w14:paraId="0E8B3B8E"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74E6080C" w14:textId="77777777" w:rsidR="00926183" w:rsidRDefault="00926183" w:rsidP="005A3B4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37CFB563" w14:textId="77777777" w:rsidR="00926183" w:rsidRDefault="00926183" w:rsidP="005A3B4D">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366E68B6" w14:textId="77777777" w:rsidR="00926183" w:rsidRDefault="00926183" w:rsidP="005A3B4D">
            <w:pPr>
              <w:jc w:val="right"/>
              <w:rPr>
                <w:color w:val="000000"/>
                <w:sz w:val="20"/>
                <w:szCs w:val="20"/>
              </w:rPr>
            </w:pPr>
            <w:r>
              <w:rPr>
                <w:color w:val="000000"/>
                <w:sz w:val="20"/>
                <w:szCs w:val="20"/>
              </w:rPr>
              <w:t>0.003</w:t>
            </w:r>
          </w:p>
        </w:tc>
        <w:tc>
          <w:tcPr>
            <w:tcW w:w="864" w:type="dxa"/>
            <w:tcBorders>
              <w:top w:val="nil"/>
              <w:left w:val="nil"/>
              <w:bottom w:val="single" w:sz="12" w:space="0" w:color="auto"/>
              <w:right w:val="nil"/>
            </w:tcBorders>
            <w:shd w:val="clear" w:color="auto" w:fill="auto"/>
            <w:noWrap/>
            <w:vAlign w:val="bottom"/>
            <w:hideMark/>
          </w:tcPr>
          <w:p w14:paraId="44B3EE7A" w14:textId="77777777" w:rsidR="00926183" w:rsidRDefault="00926183" w:rsidP="005A3B4D">
            <w:pPr>
              <w:jc w:val="right"/>
              <w:rPr>
                <w:color w:val="000000"/>
                <w:sz w:val="20"/>
                <w:szCs w:val="20"/>
              </w:rPr>
            </w:pPr>
            <w:r>
              <w:rPr>
                <w:color w:val="000000"/>
                <w:sz w:val="20"/>
                <w:szCs w:val="20"/>
              </w:rPr>
              <w:t>0.925</w:t>
            </w:r>
          </w:p>
        </w:tc>
        <w:tc>
          <w:tcPr>
            <w:tcW w:w="864" w:type="dxa"/>
            <w:tcBorders>
              <w:top w:val="nil"/>
              <w:left w:val="nil"/>
              <w:bottom w:val="single" w:sz="12" w:space="0" w:color="auto"/>
              <w:right w:val="nil"/>
            </w:tcBorders>
            <w:shd w:val="clear" w:color="auto" w:fill="auto"/>
            <w:noWrap/>
            <w:vAlign w:val="bottom"/>
            <w:hideMark/>
          </w:tcPr>
          <w:p w14:paraId="45D0886D" w14:textId="77777777" w:rsidR="00926183" w:rsidRDefault="00926183" w:rsidP="005A3B4D">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6C0E89B9" w14:textId="77777777" w:rsidR="00926183" w:rsidRDefault="00926183" w:rsidP="005A3B4D">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04C66D08" w14:textId="77777777" w:rsidR="00926183" w:rsidRDefault="00926183" w:rsidP="005A3B4D">
            <w:pPr>
              <w:jc w:val="right"/>
              <w:rPr>
                <w:color w:val="000000"/>
                <w:sz w:val="20"/>
                <w:szCs w:val="20"/>
              </w:rPr>
            </w:pPr>
            <w:r>
              <w:rPr>
                <w:color w:val="000000"/>
                <w:sz w:val="20"/>
                <w:szCs w:val="20"/>
              </w:rPr>
              <w:t>0.966</w:t>
            </w:r>
          </w:p>
        </w:tc>
        <w:tc>
          <w:tcPr>
            <w:tcW w:w="864" w:type="dxa"/>
            <w:tcBorders>
              <w:top w:val="nil"/>
              <w:left w:val="nil"/>
              <w:bottom w:val="single" w:sz="12" w:space="0" w:color="auto"/>
              <w:right w:val="nil"/>
            </w:tcBorders>
            <w:shd w:val="clear" w:color="auto" w:fill="auto"/>
            <w:noWrap/>
            <w:vAlign w:val="bottom"/>
            <w:hideMark/>
          </w:tcPr>
          <w:p w14:paraId="4B5171E5" w14:textId="77777777" w:rsidR="00926183" w:rsidRDefault="00926183" w:rsidP="005A3B4D">
            <w:pPr>
              <w:jc w:val="right"/>
              <w:rPr>
                <w:color w:val="000000"/>
                <w:sz w:val="20"/>
                <w:szCs w:val="20"/>
              </w:rPr>
            </w:pPr>
            <w:r>
              <w:rPr>
                <w:color w:val="000000"/>
                <w:sz w:val="20"/>
                <w:szCs w:val="20"/>
              </w:rPr>
              <w:t>0.000</w:t>
            </w:r>
          </w:p>
        </w:tc>
      </w:tr>
      <w:tr w:rsidR="00926183" w14:paraId="7FAC16CE"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0E787681" w14:textId="77777777" w:rsidR="00926183" w:rsidRDefault="00926183" w:rsidP="005A3B4D">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3E66E404" w14:textId="77777777" w:rsidR="00926183" w:rsidRDefault="0092618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C464D4A" w14:textId="77777777" w:rsidR="00926183" w:rsidRDefault="0092618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00FCF93" w14:textId="77777777" w:rsidR="00926183" w:rsidRDefault="0092618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99AFD03" w14:textId="77777777" w:rsidR="00926183" w:rsidRDefault="0092618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9E9484A" w14:textId="77777777" w:rsidR="00926183" w:rsidRDefault="0092618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5870B3D" w14:textId="77777777" w:rsidR="00926183" w:rsidRDefault="0092618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8C6DA28" w14:textId="77777777" w:rsidR="00926183" w:rsidRDefault="00926183" w:rsidP="005A3B4D">
            <w:pPr>
              <w:rPr>
                <w:sz w:val="20"/>
                <w:szCs w:val="20"/>
              </w:rPr>
            </w:pPr>
          </w:p>
        </w:tc>
      </w:tr>
    </w:tbl>
    <w:p w14:paraId="07F3DACB" w14:textId="77777777" w:rsidR="00926183" w:rsidRDefault="00926183" w:rsidP="00926183">
      <w:pPr>
        <w:rPr>
          <w:rFonts w:ascii="Batang" w:eastAsia="Batang" w:hAnsi="Batang" w:cs="Batang"/>
          <w:color w:val="000000"/>
        </w:rPr>
      </w:pPr>
    </w:p>
    <w:p w14:paraId="3EFBD08F" w14:textId="5DE14CA3" w:rsidR="00B751D3" w:rsidRDefault="00B751D3">
      <w:pPr>
        <w:rPr>
          <w:rFonts w:ascii="Batang" w:eastAsia="Batang" w:hAnsi="Batang" w:cs="Batang"/>
          <w:color w:val="000000"/>
        </w:rPr>
      </w:pPr>
      <w:r>
        <w:rPr>
          <w:rFonts w:ascii="Batang" w:eastAsia="Batang" w:hAnsi="Batang" w:cs="Batang"/>
          <w:color w:val="000000"/>
        </w:rPr>
        <w:br w:type="page"/>
      </w:r>
    </w:p>
    <w:p w14:paraId="5D7CE619" w14:textId="2F8FF6B4" w:rsidR="004A061B" w:rsidRDefault="004A061B" w:rsidP="004A061B">
      <w:pPr>
        <w:pStyle w:val="Heading1"/>
        <w:rPr>
          <w:rFonts w:ascii="Times New Roman" w:hAnsi="Times New Roman" w:cs="Times New Roman"/>
          <w:color w:val="000000" w:themeColor="text1"/>
          <w:sz w:val="24"/>
          <w:szCs w:val="24"/>
        </w:rPr>
      </w:pPr>
      <w:bookmarkStart w:id="71" w:name="_Toc155817738"/>
      <w:r w:rsidRPr="00926183">
        <w:rPr>
          <w:rFonts w:ascii="Times New Roman" w:hAnsi="Times New Roman" w:cs="Times New Roman"/>
          <w:b/>
          <w:bCs/>
          <w:color w:val="000000" w:themeColor="text1"/>
          <w:sz w:val="24"/>
          <w:szCs w:val="24"/>
        </w:rPr>
        <w:lastRenderedPageBreak/>
        <w:t>Table 2</w:t>
      </w:r>
      <w:r w:rsidR="0036523A" w:rsidRPr="00926183">
        <w:rPr>
          <w:rFonts w:ascii="Times New Roman" w:hAnsi="Times New Roman" w:cs="Times New Roman"/>
          <w:b/>
          <w:bCs/>
          <w:color w:val="000000" w:themeColor="text1"/>
          <w:sz w:val="24"/>
          <w:szCs w:val="24"/>
        </w:rPr>
        <w:t>7</w:t>
      </w:r>
      <w:r w:rsidR="00926183">
        <w:rPr>
          <w:rFonts w:ascii="Times New Roman" w:hAnsi="Times New Roman" w:cs="Times New Roman"/>
          <w:b/>
          <w:bCs/>
          <w:color w:val="000000" w:themeColor="text1"/>
          <w:sz w:val="24"/>
          <w:szCs w:val="24"/>
        </w:rPr>
        <w:t>h</w:t>
      </w:r>
      <w:r w:rsidRPr="00926183">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diameter and neighborhood SES deprivation obtained from bifactor modeling and neighborhood median income during emotional n-back task</w:t>
      </w:r>
      <w:bookmarkEnd w:id="71"/>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F132FA" w14:paraId="767C64C9"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3AC6C488" w14:textId="77777777" w:rsidR="007F5C75" w:rsidRDefault="007F5C75">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766E5FA8" w14:textId="77777777" w:rsidR="007F5C75" w:rsidRDefault="007F5C75">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0358B076" w14:textId="77777777" w:rsidR="007F5C75" w:rsidRDefault="007F5C75">
            <w:pPr>
              <w:rPr>
                <w:color w:val="000000"/>
              </w:rPr>
            </w:pPr>
          </w:p>
        </w:tc>
        <w:tc>
          <w:tcPr>
            <w:tcW w:w="864" w:type="dxa"/>
            <w:tcBorders>
              <w:top w:val="nil"/>
              <w:left w:val="nil"/>
              <w:bottom w:val="single" w:sz="12" w:space="0" w:color="auto"/>
              <w:right w:val="nil"/>
            </w:tcBorders>
            <w:shd w:val="clear" w:color="auto" w:fill="auto"/>
            <w:noWrap/>
            <w:vAlign w:val="bottom"/>
            <w:hideMark/>
          </w:tcPr>
          <w:p w14:paraId="7C765F3A" w14:textId="77777777" w:rsidR="007F5C75" w:rsidRDefault="007F5C75">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4303565" w14:textId="77777777" w:rsidR="007F5C75" w:rsidRDefault="007F5C75">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87D5150" w14:textId="77777777" w:rsidR="007F5C75" w:rsidRDefault="007F5C75">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AA539EF" w14:textId="77777777" w:rsidR="007F5C75" w:rsidRDefault="007F5C75">
            <w:pPr>
              <w:rPr>
                <w:sz w:val="20"/>
                <w:szCs w:val="20"/>
              </w:rPr>
            </w:pPr>
          </w:p>
        </w:tc>
        <w:tc>
          <w:tcPr>
            <w:tcW w:w="864" w:type="dxa"/>
            <w:tcBorders>
              <w:top w:val="nil"/>
              <w:left w:val="nil"/>
              <w:bottom w:val="nil"/>
              <w:right w:val="nil"/>
            </w:tcBorders>
            <w:shd w:val="clear" w:color="auto" w:fill="auto"/>
            <w:noWrap/>
            <w:vAlign w:val="bottom"/>
            <w:hideMark/>
          </w:tcPr>
          <w:p w14:paraId="5FAC77CA" w14:textId="77777777" w:rsidR="007F5C75" w:rsidRDefault="007F5C75">
            <w:pPr>
              <w:rPr>
                <w:sz w:val="20"/>
                <w:szCs w:val="20"/>
              </w:rPr>
            </w:pPr>
          </w:p>
        </w:tc>
      </w:tr>
      <w:tr w:rsidR="007F5C75" w14:paraId="101A81CA"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1D335C25" w14:textId="77777777" w:rsidR="007F5C75" w:rsidRDefault="007F5C75">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5662CB49" w14:textId="77777777" w:rsidR="007F5C75" w:rsidRDefault="007F5C75">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271D932D" w14:textId="77777777" w:rsidR="007F5C75" w:rsidRDefault="007F5C75">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34A3EF27" w14:textId="77777777" w:rsidR="007F5C75" w:rsidRDefault="007F5C75">
            <w:pPr>
              <w:jc w:val="center"/>
              <w:rPr>
                <w:color w:val="000000"/>
                <w:sz w:val="20"/>
                <w:szCs w:val="20"/>
              </w:rPr>
            </w:pPr>
            <w:r>
              <w:rPr>
                <w:color w:val="000000"/>
                <w:sz w:val="20"/>
                <w:szCs w:val="20"/>
              </w:rPr>
              <w:t>Neighborhood Median Income</w:t>
            </w:r>
          </w:p>
        </w:tc>
      </w:tr>
      <w:tr w:rsidR="007F5C75" w14:paraId="0B41F1FF"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63F1D4F5" w14:textId="77777777" w:rsidR="007F5C75" w:rsidRDefault="007F5C75">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4F83AC25" w14:textId="77777777" w:rsidR="007F5C75" w:rsidRDefault="007F5C75">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096FEBED" w14:textId="77777777" w:rsidR="007F5C75" w:rsidRDefault="007F5C75" w:rsidP="007F5C75">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25BA8677" w14:textId="77777777" w:rsidR="007F5C75" w:rsidRDefault="007F5C75" w:rsidP="007F5C75">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7FC552E0" w14:textId="77777777" w:rsidR="007F5C75" w:rsidRDefault="007F5C75" w:rsidP="007F5C75">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50095ECC" w14:textId="77777777" w:rsidR="007F5C75" w:rsidRDefault="007F5C75" w:rsidP="007F5C75">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1286A908" w14:textId="77777777" w:rsidR="007F5C75" w:rsidRDefault="007F5C75" w:rsidP="007F5C75">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530F411E" w14:textId="77777777" w:rsidR="007F5C75" w:rsidRDefault="007F5C75" w:rsidP="007F5C75">
            <w:pPr>
              <w:jc w:val="center"/>
              <w:rPr>
                <w:i/>
                <w:iCs/>
                <w:color w:val="000000"/>
                <w:sz w:val="20"/>
                <w:szCs w:val="20"/>
              </w:rPr>
            </w:pPr>
            <w:r>
              <w:rPr>
                <w:i/>
                <w:iCs/>
                <w:color w:val="000000"/>
                <w:sz w:val="20"/>
                <w:szCs w:val="20"/>
              </w:rPr>
              <w:t>R2</w:t>
            </w:r>
          </w:p>
        </w:tc>
      </w:tr>
      <w:tr w:rsidR="007F5C75" w14:paraId="43415A58"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7BED6BCC" w14:textId="77777777" w:rsidR="007F5C75" w:rsidRDefault="007F5C75">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5E4D58BC" w14:textId="77777777" w:rsidR="007F5C75" w:rsidRDefault="007F5C75">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5852063A" w14:textId="77777777" w:rsidR="007F5C75" w:rsidRDefault="007F5C75">
            <w:pPr>
              <w:jc w:val="right"/>
              <w:rPr>
                <w:color w:val="000000"/>
                <w:sz w:val="20"/>
                <w:szCs w:val="20"/>
              </w:rPr>
            </w:pPr>
            <w:r>
              <w:rPr>
                <w:color w:val="000000"/>
                <w:sz w:val="20"/>
                <w:szCs w:val="20"/>
              </w:rPr>
              <w:t>0.003</w:t>
            </w:r>
          </w:p>
        </w:tc>
        <w:tc>
          <w:tcPr>
            <w:tcW w:w="864" w:type="dxa"/>
            <w:tcBorders>
              <w:top w:val="single" w:sz="12" w:space="0" w:color="auto"/>
              <w:left w:val="nil"/>
              <w:bottom w:val="nil"/>
              <w:right w:val="nil"/>
            </w:tcBorders>
            <w:shd w:val="clear" w:color="auto" w:fill="auto"/>
            <w:noWrap/>
            <w:vAlign w:val="bottom"/>
            <w:hideMark/>
          </w:tcPr>
          <w:p w14:paraId="5DC5C86B" w14:textId="77777777" w:rsidR="007F5C75" w:rsidRDefault="007F5C75">
            <w:pPr>
              <w:jc w:val="right"/>
              <w:rPr>
                <w:color w:val="000000"/>
                <w:sz w:val="20"/>
                <w:szCs w:val="20"/>
              </w:rPr>
            </w:pPr>
            <w:r>
              <w:rPr>
                <w:color w:val="000000"/>
                <w:sz w:val="20"/>
                <w:szCs w:val="20"/>
              </w:rPr>
              <w:t>0.945</w:t>
            </w:r>
          </w:p>
        </w:tc>
        <w:tc>
          <w:tcPr>
            <w:tcW w:w="864" w:type="dxa"/>
            <w:tcBorders>
              <w:top w:val="single" w:sz="12" w:space="0" w:color="auto"/>
              <w:left w:val="nil"/>
              <w:bottom w:val="nil"/>
              <w:right w:val="nil"/>
            </w:tcBorders>
            <w:shd w:val="clear" w:color="auto" w:fill="auto"/>
            <w:noWrap/>
            <w:vAlign w:val="bottom"/>
            <w:hideMark/>
          </w:tcPr>
          <w:p w14:paraId="07A6998D" w14:textId="77777777" w:rsidR="007F5C75" w:rsidRDefault="007F5C75">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1D5D602F" w14:textId="77777777" w:rsidR="007F5C75" w:rsidRDefault="007F5C75">
            <w:pPr>
              <w:jc w:val="right"/>
              <w:rPr>
                <w:color w:val="000000"/>
                <w:sz w:val="20"/>
                <w:szCs w:val="20"/>
              </w:rPr>
            </w:pPr>
            <w:r>
              <w:rPr>
                <w:color w:val="000000"/>
                <w:sz w:val="20"/>
                <w:szCs w:val="20"/>
              </w:rPr>
              <w:t>0.010</w:t>
            </w:r>
          </w:p>
        </w:tc>
        <w:tc>
          <w:tcPr>
            <w:tcW w:w="864" w:type="dxa"/>
            <w:tcBorders>
              <w:top w:val="single" w:sz="12" w:space="0" w:color="auto"/>
              <w:left w:val="nil"/>
              <w:bottom w:val="nil"/>
              <w:right w:val="nil"/>
            </w:tcBorders>
            <w:shd w:val="clear" w:color="auto" w:fill="auto"/>
            <w:noWrap/>
            <w:vAlign w:val="bottom"/>
            <w:hideMark/>
          </w:tcPr>
          <w:p w14:paraId="223FBA20" w14:textId="77777777" w:rsidR="007F5C75" w:rsidRDefault="007F5C75">
            <w:pPr>
              <w:jc w:val="right"/>
              <w:rPr>
                <w:color w:val="000000"/>
                <w:sz w:val="20"/>
                <w:szCs w:val="20"/>
              </w:rPr>
            </w:pPr>
            <w:r>
              <w:rPr>
                <w:color w:val="000000"/>
                <w:sz w:val="20"/>
                <w:szCs w:val="20"/>
              </w:rPr>
              <w:t>0.939</w:t>
            </w:r>
          </w:p>
        </w:tc>
        <w:tc>
          <w:tcPr>
            <w:tcW w:w="864" w:type="dxa"/>
            <w:tcBorders>
              <w:top w:val="single" w:sz="12" w:space="0" w:color="auto"/>
              <w:left w:val="nil"/>
              <w:bottom w:val="nil"/>
              <w:right w:val="nil"/>
            </w:tcBorders>
            <w:shd w:val="clear" w:color="auto" w:fill="auto"/>
            <w:noWrap/>
            <w:vAlign w:val="bottom"/>
            <w:hideMark/>
          </w:tcPr>
          <w:p w14:paraId="01D4294F" w14:textId="77777777" w:rsidR="007F5C75" w:rsidRDefault="007F5C75">
            <w:pPr>
              <w:jc w:val="right"/>
              <w:rPr>
                <w:color w:val="000000"/>
                <w:sz w:val="20"/>
                <w:szCs w:val="20"/>
              </w:rPr>
            </w:pPr>
            <w:r>
              <w:rPr>
                <w:color w:val="000000"/>
                <w:sz w:val="20"/>
                <w:szCs w:val="20"/>
              </w:rPr>
              <w:t>0.000</w:t>
            </w:r>
          </w:p>
        </w:tc>
      </w:tr>
      <w:tr w:rsidR="007F5C75" w14:paraId="21977518" w14:textId="77777777" w:rsidTr="007F5C75">
        <w:trPr>
          <w:trHeight w:val="340"/>
        </w:trPr>
        <w:tc>
          <w:tcPr>
            <w:tcW w:w="1152" w:type="dxa"/>
            <w:tcBorders>
              <w:top w:val="nil"/>
              <w:left w:val="nil"/>
              <w:bottom w:val="nil"/>
              <w:right w:val="nil"/>
            </w:tcBorders>
            <w:shd w:val="clear" w:color="auto" w:fill="auto"/>
            <w:noWrap/>
            <w:vAlign w:val="bottom"/>
            <w:hideMark/>
          </w:tcPr>
          <w:p w14:paraId="3D33C6FA"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665299C" w14:textId="77777777" w:rsidR="007F5C75" w:rsidRDefault="007F5C75">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1F9EF67" w14:textId="77777777" w:rsidR="007F5C75" w:rsidRDefault="007F5C75">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1C62494B" w14:textId="77777777" w:rsidR="007F5C75" w:rsidRDefault="007F5C75">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01A273ED"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0460EFB" w14:textId="77777777" w:rsidR="007F5C75" w:rsidRDefault="007F5C75">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AB9A2C1" w14:textId="77777777" w:rsidR="007F5C75" w:rsidRDefault="007F5C75">
            <w:pPr>
              <w:jc w:val="right"/>
              <w:rPr>
                <w:color w:val="000000"/>
                <w:sz w:val="20"/>
                <w:szCs w:val="20"/>
              </w:rPr>
            </w:pPr>
            <w:r>
              <w:rPr>
                <w:color w:val="000000"/>
                <w:sz w:val="20"/>
                <w:szCs w:val="20"/>
              </w:rPr>
              <w:t>0.939</w:t>
            </w:r>
          </w:p>
        </w:tc>
        <w:tc>
          <w:tcPr>
            <w:tcW w:w="864" w:type="dxa"/>
            <w:tcBorders>
              <w:top w:val="nil"/>
              <w:left w:val="nil"/>
              <w:bottom w:val="nil"/>
              <w:right w:val="nil"/>
            </w:tcBorders>
            <w:shd w:val="clear" w:color="auto" w:fill="auto"/>
            <w:noWrap/>
            <w:vAlign w:val="bottom"/>
            <w:hideMark/>
          </w:tcPr>
          <w:p w14:paraId="2EA596D0" w14:textId="77777777" w:rsidR="007F5C75" w:rsidRDefault="007F5C75">
            <w:pPr>
              <w:jc w:val="right"/>
              <w:rPr>
                <w:color w:val="000000"/>
                <w:sz w:val="20"/>
                <w:szCs w:val="20"/>
              </w:rPr>
            </w:pPr>
            <w:r>
              <w:rPr>
                <w:color w:val="000000"/>
                <w:sz w:val="20"/>
                <w:szCs w:val="20"/>
              </w:rPr>
              <w:t>0.000</w:t>
            </w:r>
          </w:p>
        </w:tc>
      </w:tr>
      <w:tr w:rsidR="007F5C75" w14:paraId="6BCE172A" w14:textId="77777777" w:rsidTr="007F5C75">
        <w:trPr>
          <w:trHeight w:val="320"/>
        </w:trPr>
        <w:tc>
          <w:tcPr>
            <w:tcW w:w="1152" w:type="dxa"/>
            <w:tcBorders>
              <w:top w:val="nil"/>
              <w:left w:val="nil"/>
              <w:bottom w:val="nil"/>
              <w:right w:val="nil"/>
            </w:tcBorders>
            <w:shd w:val="clear" w:color="auto" w:fill="auto"/>
            <w:noWrap/>
            <w:vAlign w:val="bottom"/>
            <w:hideMark/>
          </w:tcPr>
          <w:p w14:paraId="4A73D0CA"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81DC2A1" w14:textId="77777777" w:rsidR="007F5C75" w:rsidRDefault="007F5C75">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8C06DE3" w14:textId="77777777" w:rsidR="007F5C75" w:rsidRDefault="007F5C75">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5944574F" w14:textId="77777777" w:rsidR="007F5C75" w:rsidRDefault="007F5C75">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2DD6543B"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26A2FCE" w14:textId="77777777" w:rsidR="007F5C75" w:rsidRDefault="007F5C75">
            <w:pPr>
              <w:jc w:val="right"/>
              <w:rPr>
                <w:color w:val="000000"/>
                <w:sz w:val="20"/>
                <w:szCs w:val="20"/>
              </w:rPr>
            </w:pPr>
            <w:r>
              <w:rPr>
                <w:color w:val="000000"/>
                <w:sz w:val="20"/>
                <w:szCs w:val="20"/>
              </w:rPr>
              <w:t>-0.138</w:t>
            </w:r>
          </w:p>
        </w:tc>
        <w:tc>
          <w:tcPr>
            <w:tcW w:w="864" w:type="dxa"/>
            <w:tcBorders>
              <w:top w:val="nil"/>
              <w:left w:val="nil"/>
              <w:bottom w:val="nil"/>
              <w:right w:val="nil"/>
            </w:tcBorders>
            <w:shd w:val="clear" w:color="auto" w:fill="auto"/>
            <w:noWrap/>
            <w:vAlign w:val="bottom"/>
            <w:hideMark/>
          </w:tcPr>
          <w:p w14:paraId="0EB8B98C" w14:textId="77777777" w:rsidR="007F5C75" w:rsidRDefault="007F5C75">
            <w:pPr>
              <w:jc w:val="right"/>
              <w:rPr>
                <w:color w:val="000000"/>
                <w:sz w:val="20"/>
                <w:szCs w:val="20"/>
              </w:rPr>
            </w:pPr>
            <w:r>
              <w:rPr>
                <w:color w:val="000000"/>
                <w:sz w:val="20"/>
                <w:szCs w:val="20"/>
              </w:rPr>
              <w:t>0.523</w:t>
            </w:r>
          </w:p>
        </w:tc>
        <w:tc>
          <w:tcPr>
            <w:tcW w:w="864" w:type="dxa"/>
            <w:tcBorders>
              <w:top w:val="nil"/>
              <w:left w:val="nil"/>
              <w:bottom w:val="nil"/>
              <w:right w:val="nil"/>
            </w:tcBorders>
            <w:shd w:val="clear" w:color="auto" w:fill="auto"/>
            <w:noWrap/>
            <w:vAlign w:val="bottom"/>
            <w:hideMark/>
          </w:tcPr>
          <w:p w14:paraId="5FB2DCD1" w14:textId="77777777" w:rsidR="007F5C75" w:rsidRDefault="007F5C75">
            <w:pPr>
              <w:jc w:val="right"/>
              <w:rPr>
                <w:color w:val="000000"/>
                <w:sz w:val="20"/>
                <w:szCs w:val="20"/>
              </w:rPr>
            </w:pPr>
            <w:r>
              <w:rPr>
                <w:color w:val="000000"/>
                <w:sz w:val="20"/>
                <w:szCs w:val="20"/>
              </w:rPr>
              <w:t>0.019</w:t>
            </w:r>
          </w:p>
        </w:tc>
      </w:tr>
      <w:tr w:rsidR="007F5C75" w14:paraId="2389456D" w14:textId="77777777" w:rsidTr="007F5C75">
        <w:trPr>
          <w:trHeight w:val="320"/>
        </w:trPr>
        <w:tc>
          <w:tcPr>
            <w:tcW w:w="1152" w:type="dxa"/>
            <w:tcBorders>
              <w:top w:val="nil"/>
              <w:left w:val="nil"/>
              <w:bottom w:val="nil"/>
              <w:right w:val="nil"/>
            </w:tcBorders>
            <w:shd w:val="clear" w:color="auto" w:fill="auto"/>
            <w:noWrap/>
            <w:vAlign w:val="bottom"/>
            <w:hideMark/>
          </w:tcPr>
          <w:p w14:paraId="5C5B8CE8"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F399ACA" w14:textId="77777777" w:rsidR="007F5C75" w:rsidRDefault="007F5C75">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FF4108D" w14:textId="77777777" w:rsidR="007F5C75" w:rsidRDefault="007F5C75">
            <w:pPr>
              <w:jc w:val="right"/>
              <w:rPr>
                <w:color w:val="000000"/>
                <w:sz w:val="20"/>
                <w:szCs w:val="20"/>
              </w:rPr>
            </w:pPr>
            <w:r>
              <w:rPr>
                <w:color w:val="000000"/>
                <w:sz w:val="20"/>
                <w:szCs w:val="20"/>
              </w:rPr>
              <w:t>0.130</w:t>
            </w:r>
          </w:p>
        </w:tc>
        <w:tc>
          <w:tcPr>
            <w:tcW w:w="864" w:type="dxa"/>
            <w:tcBorders>
              <w:top w:val="nil"/>
              <w:left w:val="nil"/>
              <w:bottom w:val="nil"/>
              <w:right w:val="nil"/>
            </w:tcBorders>
            <w:shd w:val="clear" w:color="auto" w:fill="auto"/>
            <w:noWrap/>
            <w:vAlign w:val="bottom"/>
            <w:hideMark/>
          </w:tcPr>
          <w:p w14:paraId="712BAA8A" w14:textId="77777777" w:rsidR="007F5C75" w:rsidRDefault="007F5C75">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333A6E9D" w14:textId="77777777" w:rsidR="007F5C75" w:rsidRDefault="007F5C75">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63B247E3" w14:textId="77777777" w:rsidR="007F5C75" w:rsidRDefault="007F5C75">
            <w:pPr>
              <w:jc w:val="right"/>
              <w:rPr>
                <w:color w:val="000000"/>
                <w:sz w:val="20"/>
                <w:szCs w:val="20"/>
              </w:rPr>
            </w:pPr>
            <w:r>
              <w:rPr>
                <w:color w:val="000000"/>
                <w:sz w:val="20"/>
                <w:szCs w:val="20"/>
              </w:rPr>
              <w:t>-0.084</w:t>
            </w:r>
          </w:p>
        </w:tc>
        <w:tc>
          <w:tcPr>
            <w:tcW w:w="864" w:type="dxa"/>
            <w:tcBorders>
              <w:top w:val="nil"/>
              <w:left w:val="nil"/>
              <w:bottom w:val="nil"/>
              <w:right w:val="nil"/>
            </w:tcBorders>
            <w:shd w:val="clear" w:color="auto" w:fill="auto"/>
            <w:noWrap/>
            <w:vAlign w:val="bottom"/>
            <w:hideMark/>
          </w:tcPr>
          <w:p w14:paraId="497CBAE9" w14:textId="77777777" w:rsidR="007F5C75" w:rsidRDefault="007F5C75">
            <w:pPr>
              <w:jc w:val="right"/>
              <w:rPr>
                <w:color w:val="000000"/>
                <w:sz w:val="20"/>
                <w:szCs w:val="20"/>
              </w:rPr>
            </w:pPr>
            <w:r>
              <w:rPr>
                <w:color w:val="000000"/>
                <w:sz w:val="20"/>
                <w:szCs w:val="20"/>
              </w:rPr>
              <w:t>0.621</w:t>
            </w:r>
          </w:p>
        </w:tc>
        <w:tc>
          <w:tcPr>
            <w:tcW w:w="864" w:type="dxa"/>
            <w:tcBorders>
              <w:top w:val="nil"/>
              <w:left w:val="nil"/>
              <w:bottom w:val="nil"/>
              <w:right w:val="nil"/>
            </w:tcBorders>
            <w:shd w:val="clear" w:color="auto" w:fill="auto"/>
            <w:noWrap/>
            <w:vAlign w:val="bottom"/>
            <w:hideMark/>
          </w:tcPr>
          <w:p w14:paraId="511B689E" w14:textId="77777777" w:rsidR="007F5C75" w:rsidRDefault="007F5C75">
            <w:pPr>
              <w:jc w:val="right"/>
              <w:rPr>
                <w:color w:val="000000"/>
                <w:sz w:val="20"/>
                <w:szCs w:val="20"/>
              </w:rPr>
            </w:pPr>
            <w:r>
              <w:rPr>
                <w:color w:val="000000"/>
                <w:sz w:val="20"/>
                <w:szCs w:val="20"/>
              </w:rPr>
              <w:t>0.007</w:t>
            </w:r>
          </w:p>
        </w:tc>
      </w:tr>
      <w:tr w:rsidR="007F5C75" w14:paraId="68879DD4" w14:textId="77777777" w:rsidTr="007F5C75">
        <w:trPr>
          <w:trHeight w:val="320"/>
        </w:trPr>
        <w:tc>
          <w:tcPr>
            <w:tcW w:w="1152" w:type="dxa"/>
            <w:tcBorders>
              <w:top w:val="nil"/>
              <w:left w:val="nil"/>
              <w:bottom w:val="nil"/>
              <w:right w:val="nil"/>
            </w:tcBorders>
            <w:shd w:val="clear" w:color="auto" w:fill="auto"/>
            <w:noWrap/>
            <w:vAlign w:val="bottom"/>
            <w:hideMark/>
          </w:tcPr>
          <w:p w14:paraId="643919C6"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D9E9D17" w14:textId="77777777" w:rsidR="007F5C75" w:rsidRDefault="007F5C75">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8FD653B" w14:textId="77777777" w:rsidR="007F5C75" w:rsidRDefault="007F5C75">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3C21553C" w14:textId="77777777" w:rsidR="007F5C75" w:rsidRDefault="007F5C75">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65CFBF9A"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DF66ADB" w14:textId="77777777" w:rsidR="007F5C75" w:rsidRDefault="007F5C75">
            <w:pPr>
              <w:jc w:val="right"/>
              <w:rPr>
                <w:color w:val="000000"/>
                <w:sz w:val="20"/>
                <w:szCs w:val="20"/>
              </w:rPr>
            </w:pPr>
            <w:r>
              <w:rPr>
                <w:color w:val="000000"/>
                <w:sz w:val="20"/>
                <w:szCs w:val="20"/>
              </w:rPr>
              <w:t>-0.093</w:t>
            </w:r>
          </w:p>
        </w:tc>
        <w:tc>
          <w:tcPr>
            <w:tcW w:w="864" w:type="dxa"/>
            <w:tcBorders>
              <w:top w:val="nil"/>
              <w:left w:val="nil"/>
              <w:bottom w:val="nil"/>
              <w:right w:val="nil"/>
            </w:tcBorders>
            <w:shd w:val="clear" w:color="auto" w:fill="auto"/>
            <w:noWrap/>
            <w:vAlign w:val="bottom"/>
            <w:hideMark/>
          </w:tcPr>
          <w:p w14:paraId="216E53B0" w14:textId="77777777" w:rsidR="007F5C75" w:rsidRDefault="007F5C75">
            <w:pPr>
              <w:jc w:val="right"/>
              <w:rPr>
                <w:color w:val="000000"/>
                <w:sz w:val="20"/>
                <w:szCs w:val="20"/>
              </w:rPr>
            </w:pPr>
            <w:r>
              <w:rPr>
                <w:color w:val="000000"/>
                <w:sz w:val="20"/>
                <w:szCs w:val="20"/>
              </w:rPr>
              <w:t>0.420</w:t>
            </w:r>
          </w:p>
        </w:tc>
        <w:tc>
          <w:tcPr>
            <w:tcW w:w="864" w:type="dxa"/>
            <w:tcBorders>
              <w:top w:val="nil"/>
              <w:left w:val="nil"/>
              <w:bottom w:val="nil"/>
              <w:right w:val="nil"/>
            </w:tcBorders>
            <w:shd w:val="clear" w:color="auto" w:fill="auto"/>
            <w:noWrap/>
            <w:vAlign w:val="bottom"/>
            <w:hideMark/>
          </w:tcPr>
          <w:p w14:paraId="208D51CB" w14:textId="77777777" w:rsidR="007F5C75" w:rsidRDefault="007F5C75">
            <w:pPr>
              <w:jc w:val="right"/>
              <w:rPr>
                <w:color w:val="000000"/>
                <w:sz w:val="20"/>
                <w:szCs w:val="20"/>
              </w:rPr>
            </w:pPr>
            <w:r>
              <w:rPr>
                <w:color w:val="000000"/>
                <w:sz w:val="20"/>
                <w:szCs w:val="20"/>
              </w:rPr>
              <w:t>0.009</w:t>
            </w:r>
          </w:p>
        </w:tc>
      </w:tr>
      <w:tr w:rsidR="007F5C75" w14:paraId="37340507" w14:textId="77777777" w:rsidTr="007F5C75">
        <w:trPr>
          <w:trHeight w:val="320"/>
        </w:trPr>
        <w:tc>
          <w:tcPr>
            <w:tcW w:w="1152" w:type="dxa"/>
            <w:tcBorders>
              <w:top w:val="nil"/>
              <w:left w:val="nil"/>
              <w:bottom w:val="nil"/>
              <w:right w:val="nil"/>
            </w:tcBorders>
            <w:shd w:val="clear" w:color="auto" w:fill="auto"/>
            <w:noWrap/>
            <w:vAlign w:val="bottom"/>
            <w:hideMark/>
          </w:tcPr>
          <w:p w14:paraId="35BEB9FD"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0F1EEEE" w14:textId="77777777" w:rsidR="007F5C75" w:rsidRDefault="007F5C75">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C68205E" w14:textId="77777777" w:rsidR="007F5C75" w:rsidRDefault="007F5C75">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11AE6C06" w14:textId="77777777" w:rsidR="007F5C75" w:rsidRDefault="007F5C75">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6B72ECA8"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2EDD800" w14:textId="77777777" w:rsidR="007F5C75" w:rsidRDefault="007F5C75">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69845249" w14:textId="77777777" w:rsidR="007F5C75" w:rsidRDefault="007F5C75">
            <w:pPr>
              <w:jc w:val="right"/>
              <w:rPr>
                <w:color w:val="000000"/>
                <w:sz w:val="20"/>
                <w:szCs w:val="20"/>
              </w:rPr>
            </w:pPr>
            <w:r>
              <w:rPr>
                <w:color w:val="000000"/>
                <w:sz w:val="20"/>
                <w:szCs w:val="20"/>
              </w:rPr>
              <w:t>0.420</w:t>
            </w:r>
          </w:p>
        </w:tc>
        <w:tc>
          <w:tcPr>
            <w:tcW w:w="864" w:type="dxa"/>
            <w:tcBorders>
              <w:top w:val="nil"/>
              <w:left w:val="nil"/>
              <w:bottom w:val="nil"/>
              <w:right w:val="nil"/>
            </w:tcBorders>
            <w:shd w:val="clear" w:color="auto" w:fill="auto"/>
            <w:noWrap/>
            <w:vAlign w:val="bottom"/>
            <w:hideMark/>
          </w:tcPr>
          <w:p w14:paraId="1455B601" w14:textId="77777777" w:rsidR="007F5C75" w:rsidRDefault="007F5C75">
            <w:pPr>
              <w:jc w:val="right"/>
              <w:rPr>
                <w:color w:val="000000"/>
                <w:sz w:val="20"/>
                <w:szCs w:val="20"/>
              </w:rPr>
            </w:pPr>
            <w:r>
              <w:rPr>
                <w:color w:val="000000"/>
                <w:sz w:val="20"/>
                <w:szCs w:val="20"/>
              </w:rPr>
              <w:t>0.003</w:t>
            </w:r>
          </w:p>
        </w:tc>
      </w:tr>
      <w:tr w:rsidR="007F5C75" w14:paraId="7988DE16" w14:textId="77777777" w:rsidTr="007F5C75">
        <w:trPr>
          <w:trHeight w:val="320"/>
        </w:trPr>
        <w:tc>
          <w:tcPr>
            <w:tcW w:w="1152" w:type="dxa"/>
            <w:tcBorders>
              <w:top w:val="nil"/>
              <w:left w:val="nil"/>
              <w:bottom w:val="nil"/>
              <w:right w:val="nil"/>
            </w:tcBorders>
            <w:shd w:val="clear" w:color="auto" w:fill="auto"/>
            <w:noWrap/>
            <w:vAlign w:val="bottom"/>
            <w:hideMark/>
          </w:tcPr>
          <w:p w14:paraId="61B1AE04"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86DAC70" w14:textId="77777777" w:rsidR="007F5C75" w:rsidRDefault="007F5C75">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27D2E7D" w14:textId="77777777" w:rsidR="007F5C75" w:rsidRDefault="007F5C75">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376D372B" w14:textId="77777777" w:rsidR="007F5C75" w:rsidRDefault="007F5C75">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73EA4A94"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E3C076C" w14:textId="77777777" w:rsidR="007F5C75" w:rsidRDefault="007F5C75">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5FF5BD95" w14:textId="77777777" w:rsidR="007F5C75" w:rsidRDefault="007F5C75">
            <w:pPr>
              <w:jc w:val="right"/>
              <w:rPr>
                <w:color w:val="000000"/>
                <w:sz w:val="20"/>
                <w:szCs w:val="20"/>
              </w:rPr>
            </w:pPr>
            <w:r>
              <w:rPr>
                <w:color w:val="000000"/>
                <w:sz w:val="20"/>
                <w:szCs w:val="20"/>
              </w:rPr>
              <w:t>0.621</w:t>
            </w:r>
          </w:p>
        </w:tc>
        <w:tc>
          <w:tcPr>
            <w:tcW w:w="864" w:type="dxa"/>
            <w:tcBorders>
              <w:top w:val="nil"/>
              <w:left w:val="nil"/>
              <w:bottom w:val="nil"/>
              <w:right w:val="nil"/>
            </w:tcBorders>
            <w:shd w:val="clear" w:color="auto" w:fill="auto"/>
            <w:noWrap/>
            <w:vAlign w:val="bottom"/>
            <w:hideMark/>
          </w:tcPr>
          <w:p w14:paraId="7176E700" w14:textId="77777777" w:rsidR="007F5C75" w:rsidRDefault="007F5C75">
            <w:pPr>
              <w:jc w:val="right"/>
              <w:rPr>
                <w:color w:val="000000"/>
                <w:sz w:val="20"/>
                <w:szCs w:val="20"/>
              </w:rPr>
            </w:pPr>
            <w:r>
              <w:rPr>
                <w:color w:val="000000"/>
                <w:sz w:val="20"/>
                <w:szCs w:val="20"/>
              </w:rPr>
              <w:t>0.002</w:t>
            </w:r>
          </w:p>
        </w:tc>
      </w:tr>
      <w:tr w:rsidR="007F5C75" w14:paraId="4077789B" w14:textId="77777777" w:rsidTr="007F5C75">
        <w:trPr>
          <w:trHeight w:val="320"/>
        </w:trPr>
        <w:tc>
          <w:tcPr>
            <w:tcW w:w="1152" w:type="dxa"/>
            <w:tcBorders>
              <w:top w:val="nil"/>
              <w:left w:val="nil"/>
              <w:bottom w:val="single" w:sz="4" w:space="0" w:color="auto"/>
              <w:right w:val="nil"/>
            </w:tcBorders>
            <w:shd w:val="clear" w:color="auto" w:fill="auto"/>
            <w:noWrap/>
            <w:vAlign w:val="bottom"/>
            <w:hideMark/>
          </w:tcPr>
          <w:p w14:paraId="12BCF233" w14:textId="77777777" w:rsidR="007F5C75" w:rsidRDefault="007F5C75">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5A439E8" w14:textId="77777777" w:rsidR="007F5C75" w:rsidRDefault="007F5C75">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84E8001" w14:textId="77777777" w:rsidR="007F5C75" w:rsidRDefault="007F5C75">
            <w:pPr>
              <w:jc w:val="right"/>
              <w:rPr>
                <w:color w:val="000000"/>
                <w:sz w:val="20"/>
                <w:szCs w:val="20"/>
              </w:rPr>
            </w:pPr>
            <w:r>
              <w:rPr>
                <w:color w:val="000000"/>
                <w:sz w:val="20"/>
                <w:szCs w:val="20"/>
              </w:rPr>
              <w:t>-0.022</w:t>
            </w:r>
          </w:p>
        </w:tc>
        <w:tc>
          <w:tcPr>
            <w:tcW w:w="864" w:type="dxa"/>
            <w:tcBorders>
              <w:top w:val="nil"/>
              <w:left w:val="nil"/>
              <w:bottom w:val="single" w:sz="4" w:space="0" w:color="auto"/>
              <w:right w:val="nil"/>
            </w:tcBorders>
            <w:shd w:val="clear" w:color="auto" w:fill="auto"/>
            <w:noWrap/>
            <w:vAlign w:val="bottom"/>
            <w:hideMark/>
          </w:tcPr>
          <w:p w14:paraId="3691709E" w14:textId="77777777" w:rsidR="007F5C75" w:rsidRDefault="007F5C75">
            <w:pPr>
              <w:jc w:val="right"/>
              <w:rPr>
                <w:color w:val="000000"/>
                <w:sz w:val="20"/>
                <w:szCs w:val="20"/>
              </w:rPr>
            </w:pPr>
            <w:r>
              <w:rPr>
                <w:color w:val="000000"/>
                <w:sz w:val="20"/>
                <w:szCs w:val="20"/>
              </w:rPr>
              <w:t>0.875</w:t>
            </w:r>
          </w:p>
        </w:tc>
        <w:tc>
          <w:tcPr>
            <w:tcW w:w="864" w:type="dxa"/>
            <w:tcBorders>
              <w:top w:val="nil"/>
              <w:left w:val="nil"/>
              <w:bottom w:val="single" w:sz="4" w:space="0" w:color="auto"/>
              <w:right w:val="nil"/>
            </w:tcBorders>
            <w:shd w:val="clear" w:color="auto" w:fill="auto"/>
            <w:noWrap/>
            <w:vAlign w:val="bottom"/>
            <w:hideMark/>
          </w:tcPr>
          <w:p w14:paraId="049A3777"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2B4E9072" w14:textId="77777777" w:rsidR="007F5C75" w:rsidRDefault="007F5C75">
            <w:pPr>
              <w:jc w:val="right"/>
              <w:rPr>
                <w:color w:val="000000"/>
                <w:sz w:val="20"/>
                <w:szCs w:val="20"/>
              </w:rPr>
            </w:pPr>
            <w:r>
              <w:rPr>
                <w:color w:val="000000"/>
                <w:sz w:val="20"/>
                <w:szCs w:val="20"/>
              </w:rPr>
              <w:t>-0.011</w:t>
            </w:r>
          </w:p>
        </w:tc>
        <w:tc>
          <w:tcPr>
            <w:tcW w:w="864" w:type="dxa"/>
            <w:tcBorders>
              <w:top w:val="nil"/>
              <w:left w:val="nil"/>
              <w:bottom w:val="single" w:sz="4" w:space="0" w:color="auto"/>
              <w:right w:val="nil"/>
            </w:tcBorders>
            <w:shd w:val="clear" w:color="auto" w:fill="auto"/>
            <w:noWrap/>
            <w:vAlign w:val="bottom"/>
            <w:hideMark/>
          </w:tcPr>
          <w:p w14:paraId="00083272" w14:textId="77777777" w:rsidR="007F5C75" w:rsidRDefault="007F5C75">
            <w:pPr>
              <w:jc w:val="right"/>
              <w:rPr>
                <w:color w:val="000000"/>
                <w:sz w:val="20"/>
                <w:szCs w:val="20"/>
              </w:rPr>
            </w:pPr>
            <w:r>
              <w:rPr>
                <w:color w:val="000000"/>
                <w:sz w:val="20"/>
                <w:szCs w:val="20"/>
              </w:rPr>
              <w:t>0.939</w:t>
            </w:r>
          </w:p>
        </w:tc>
        <w:tc>
          <w:tcPr>
            <w:tcW w:w="864" w:type="dxa"/>
            <w:tcBorders>
              <w:top w:val="nil"/>
              <w:left w:val="nil"/>
              <w:bottom w:val="single" w:sz="4" w:space="0" w:color="auto"/>
              <w:right w:val="nil"/>
            </w:tcBorders>
            <w:shd w:val="clear" w:color="auto" w:fill="auto"/>
            <w:noWrap/>
            <w:vAlign w:val="bottom"/>
            <w:hideMark/>
          </w:tcPr>
          <w:p w14:paraId="5583E866" w14:textId="77777777" w:rsidR="007F5C75" w:rsidRDefault="007F5C75">
            <w:pPr>
              <w:jc w:val="right"/>
              <w:rPr>
                <w:color w:val="000000"/>
                <w:sz w:val="20"/>
                <w:szCs w:val="20"/>
              </w:rPr>
            </w:pPr>
            <w:r>
              <w:rPr>
                <w:color w:val="000000"/>
                <w:sz w:val="20"/>
                <w:szCs w:val="20"/>
              </w:rPr>
              <w:t>0.000</w:t>
            </w:r>
          </w:p>
        </w:tc>
      </w:tr>
      <w:tr w:rsidR="007F5C75" w14:paraId="481980FE" w14:textId="77777777" w:rsidTr="007F5C75">
        <w:trPr>
          <w:trHeight w:val="320"/>
        </w:trPr>
        <w:tc>
          <w:tcPr>
            <w:tcW w:w="1152" w:type="dxa"/>
            <w:tcBorders>
              <w:top w:val="nil"/>
              <w:left w:val="nil"/>
              <w:bottom w:val="nil"/>
              <w:right w:val="nil"/>
            </w:tcBorders>
            <w:shd w:val="clear" w:color="auto" w:fill="auto"/>
            <w:noWrap/>
            <w:vAlign w:val="bottom"/>
            <w:hideMark/>
          </w:tcPr>
          <w:p w14:paraId="425ABAD5" w14:textId="77777777" w:rsidR="007F5C75" w:rsidRDefault="007F5C75">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2DBE6621" w14:textId="77777777" w:rsidR="007F5C75" w:rsidRDefault="007F5C75">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C60D747" w14:textId="77777777" w:rsidR="007F5C75" w:rsidRDefault="007F5C75">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2A2FB016" w14:textId="77777777" w:rsidR="007F5C75" w:rsidRDefault="007F5C75">
            <w:pPr>
              <w:jc w:val="right"/>
              <w:rPr>
                <w:color w:val="000000"/>
                <w:sz w:val="20"/>
                <w:szCs w:val="20"/>
              </w:rPr>
            </w:pPr>
            <w:r>
              <w:rPr>
                <w:color w:val="000000"/>
                <w:sz w:val="20"/>
                <w:szCs w:val="20"/>
              </w:rPr>
              <w:t>0.332</w:t>
            </w:r>
          </w:p>
        </w:tc>
        <w:tc>
          <w:tcPr>
            <w:tcW w:w="864" w:type="dxa"/>
            <w:tcBorders>
              <w:top w:val="nil"/>
              <w:left w:val="nil"/>
              <w:bottom w:val="nil"/>
              <w:right w:val="nil"/>
            </w:tcBorders>
            <w:shd w:val="clear" w:color="auto" w:fill="auto"/>
            <w:noWrap/>
            <w:vAlign w:val="bottom"/>
            <w:hideMark/>
          </w:tcPr>
          <w:p w14:paraId="0283080C" w14:textId="77777777" w:rsidR="007F5C75" w:rsidRDefault="007F5C75">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7D875D8" w14:textId="77777777" w:rsidR="007F5C75" w:rsidRDefault="007F5C75">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462DD63B" w14:textId="77777777" w:rsidR="007F5C75" w:rsidRDefault="007F5C75">
            <w:pPr>
              <w:jc w:val="right"/>
              <w:rPr>
                <w:color w:val="000000"/>
                <w:sz w:val="20"/>
                <w:szCs w:val="20"/>
              </w:rPr>
            </w:pPr>
            <w:r>
              <w:rPr>
                <w:color w:val="000000"/>
                <w:sz w:val="20"/>
                <w:szCs w:val="20"/>
              </w:rPr>
              <w:t>0.812</w:t>
            </w:r>
          </w:p>
        </w:tc>
        <w:tc>
          <w:tcPr>
            <w:tcW w:w="864" w:type="dxa"/>
            <w:tcBorders>
              <w:top w:val="nil"/>
              <w:left w:val="nil"/>
              <w:bottom w:val="nil"/>
              <w:right w:val="nil"/>
            </w:tcBorders>
            <w:shd w:val="clear" w:color="auto" w:fill="auto"/>
            <w:noWrap/>
            <w:vAlign w:val="bottom"/>
            <w:hideMark/>
          </w:tcPr>
          <w:p w14:paraId="67808274" w14:textId="77777777" w:rsidR="007F5C75" w:rsidRDefault="007F5C75">
            <w:pPr>
              <w:jc w:val="right"/>
              <w:rPr>
                <w:color w:val="000000"/>
                <w:sz w:val="20"/>
                <w:szCs w:val="20"/>
              </w:rPr>
            </w:pPr>
            <w:r>
              <w:rPr>
                <w:color w:val="000000"/>
                <w:sz w:val="20"/>
                <w:szCs w:val="20"/>
              </w:rPr>
              <w:t>0.001</w:t>
            </w:r>
          </w:p>
        </w:tc>
      </w:tr>
      <w:tr w:rsidR="007F5C75" w14:paraId="513FA51A" w14:textId="77777777" w:rsidTr="007F5C75">
        <w:trPr>
          <w:trHeight w:val="320"/>
        </w:trPr>
        <w:tc>
          <w:tcPr>
            <w:tcW w:w="1152" w:type="dxa"/>
            <w:tcBorders>
              <w:top w:val="nil"/>
              <w:left w:val="nil"/>
              <w:bottom w:val="nil"/>
              <w:right w:val="nil"/>
            </w:tcBorders>
            <w:shd w:val="clear" w:color="auto" w:fill="auto"/>
            <w:noWrap/>
            <w:vAlign w:val="bottom"/>
            <w:hideMark/>
          </w:tcPr>
          <w:p w14:paraId="15767CD9"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DA04BDF" w14:textId="77777777" w:rsidR="007F5C75" w:rsidRDefault="007F5C75">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98BAF50"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ED148EF" w14:textId="77777777" w:rsidR="007F5C75" w:rsidRDefault="007F5C75">
            <w:pPr>
              <w:jc w:val="right"/>
              <w:rPr>
                <w:color w:val="000000"/>
                <w:sz w:val="20"/>
                <w:szCs w:val="20"/>
              </w:rPr>
            </w:pPr>
            <w:r>
              <w:rPr>
                <w:color w:val="000000"/>
                <w:sz w:val="20"/>
                <w:szCs w:val="20"/>
              </w:rPr>
              <w:t>0.980</w:t>
            </w:r>
          </w:p>
        </w:tc>
        <w:tc>
          <w:tcPr>
            <w:tcW w:w="864" w:type="dxa"/>
            <w:tcBorders>
              <w:top w:val="nil"/>
              <w:left w:val="nil"/>
              <w:bottom w:val="nil"/>
              <w:right w:val="nil"/>
            </w:tcBorders>
            <w:shd w:val="clear" w:color="auto" w:fill="auto"/>
            <w:noWrap/>
            <w:vAlign w:val="bottom"/>
            <w:hideMark/>
          </w:tcPr>
          <w:p w14:paraId="4DE7CD7E"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0C33E5A" w14:textId="77777777" w:rsidR="007F5C75" w:rsidRDefault="007F5C75">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6D3BEBE4" w14:textId="77777777" w:rsidR="007F5C75" w:rsidRDefault="007F5C75">
            <w:pPr>
              <w:jc w:val="right"/>
              <w:rPr>
                <w:color w:val="000000"/>
                <w:sz w:val="20"/>
                <w:szCs w:val="20"/>
              </w:rPr>
            </w:pPr>
            <w:r>
              <w:rPr>
                <w:color w:val="000000"/>
                <w:sz w:val="20"/>
                <w:szCs w:val="20"/>
              </w:rPr>
              <w:t>0.812</w:t>
            </w:r>
          </w:p>
        </w:tc>
        <w:tc>
          <w:tcPr>
            <w:tcW w:w="864" w:type="dxa"/>
            <w:tcBorders>
              <w:top w:val="nil"/>
              <w:left w:val="nil"/>
              <w:bottom w:val="nil"/>
              <w:right w:val="nil"/>
            </w:tcBorders>
            <w:shd w:val="clear" w:color="auto" w:fill="auto"/>
            <w:noWrap/>
            <w:vAlign w:val="bottom"/>
            <w:hideMark/>
          </w:tcPr>
          <w:p w14:paraId="2ED58AEE" w14:textId="77777777" w:rsidR="007F5C75" w:rsidRDefault="007F5C75">
            <w:pPr>
              <w:jc w:val="right"/>
              <w:rPr>
                <w:color w:val="000000"/>
                <w:sz w:val="20"/>
                <w:szCs w:val="20"/>
              </w:rPr>
            </w:pPr>
            <w:r>
              <w:rPr>
                <w:color w:val="000000"/>
                <w:sz w:val="20"/>
                <w:szCs w:val="20"/>
              </w:rPr>
              <w:t>0.000</w:t>
            </w:r>
          </w:p>
        </w:tc>
      </w:tr>
      <w:tr w:rsidR="007F5C75" w14:paraId="6B4278BD" w14:textId="77777777" w:rsidTr="007F5C75">
        <w:trPr>
          <w:trHeight w:val="320"/>
        </w:trPr>
        <w:tc>
          <w:tcPr>
            <w:tcW w:w="1152" w:type="dxa"/>
            <w:tcBorders>
              <w:top w:val="nil"/>
              <w:left w:val="nil"/>
              <w:bottom w:val="nil"/>
              <w:right w:val="nil"/>
            </w:tcBorders>
            <w:shd w:val="clear" w:color="auto" w:fill="auto"/>
            <w:noWrap/>
            <w:vAlign w:val="bottom"/>
            <w:hideMark/>
          </w:tcPr>
          <w:p w14:paraId="11ADABB8"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EA15A14" w14:textId="77777777" w:rsidR="007F5C75" w:rsidRDefault="007F5C75">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F099FDD" w14:textId="77777777" w:rsidR="007F5C75" w:rsidRDefault="007F5C75">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4F4698A8" w14:textId="77777777" w:rsidR="007F5C75" w:rsidRDefault="007F5C75">
            <w:pPr>
              <w:jc w:val="right"/>
              <w:rPr>
                <w:color w:val="000000"/>
                <w:sz w:val="20"/>
                <w:szCs w:val="20"/>
              </w:rPr>
            </w:pPr>
            <w:r>
              <w:rPr>
                <w:color w:val="000000"/>
                <w:sz w:val="20"/>
                <w:szCs w:val="20"/>
              </w:rPr>
              <w:t>0.641</w:t>
            </w:r>
          </w:p>
        </w:tc>
        <w:tc>
          <w:tcPr>
            <w:tcW w:w="864" w:type="dxa"/>
            <w:tcBorders>
              <w:top w:val="nil"/>
              <w:left w:val="nil"/>
              <w:bottom w:val="nil"/>
              <w:right w:val="nil"/>
            </w:tcBorders>
            <w:shd w:val="clear" w:color="auto" w:fill="auto"/>
            <w:noWrap/>
            <w:vAlign w:val="bottom"/>
            <w:hideMark/>
          </w:tcPr>
          <w:p w14:paraId="625B47C9"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2DDD34B" w14:textId="77777777" w:rsidR="007F5C75" w:rsidRDefault="007F5C75">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72FFC5F3" w14:textId="77777777" w:rsidR="007F5C75" w:rsidRDefault="007F5C75">
            <w:pPr>
              <w:jc w:val="right"/>
              <w:rPr>
                <w:color w:val="000000"/>
                <w:sz w:val="20"/>
                <w:szCs w:val="20"/>
              </w:rPr>
            </w:pPr>
            <w:r>
              <w:rPr>
                <w:color w:val="000000"/>
                <w:sz w:val="20"/>
                <w:szCs w:val="20"/>
              </w:rPr>
              <w:t>0.928</w:t>
            </w:r>
          </w:p>
        </w:tc>
        <w:tc>
          <w:tcPr>
            <w:tcW w:w="864" w:type="dxa"/>
            <w:tcBorders>
              <w:top w:val="nil"/>
              <w:left w:val="nil"/>
              <w:bottom w:val="nil"/>
              <w:right w:val="nil"/>
            </w:tcBorders>
            <w:shd w:val="clear" w:color="auto" w:fill="auto"/>
            <w:noWrap/>
            <w:vAlign w:val="bottom"/>
            <w:hideMark/>
          </w:tcPr>
          <w:p w14:paraId="5959F615" w14:textId="77777777" w:rsidR="007F5C75" w:rsidRDefault="007F5C75">
            <w:pPr>
              <w:jc w:val="right"/>
              <w:rPr>
                <w:color w:val="000000"/>
                <w:sz w:val="20"/>
                <w:szCs w:val="20"/>
              </w:rPr>
            </w:pPr>
            <w:r>
              <w:rPr>
                <w:color w:val="000000"/>
                <w:sz w:val="20"/>
                <w:szCs w:val="20"/>
              </w:rPr>
              <w:t>0.000</w:t>
            </w:r>
          </w:p>
        </w:tc>
      </w:tr>
      <w:tr w:rsidR="007F5C75" w14:paraId="214E523A" w14:textId="77777777" w:rsidTr="007F5C75">
        <w:trPr>
          <w:trHeight w:val="320"/>
        </w:trPr>
        <w:tc>
          <w:tcPr>
            <w:tcW w:w="1152" w:type="dxa"/>
            <w:tcBorders>
              <w:top w:val="nil"/>
              <w:left w:val="nil"/>
              <w:bottom w:val="nil"/>
              <w:right w:val="nil"/>
            </w:tcBorders>
            <w:shd w:val="clear" w:color="auto" w:fill="auto"/>
            <w:noWrap/>
            <w:vAlign w:val="bottom"/>
            <w:hideMark/>
          </w:tcPr>
          <w:p w14:paraId="701EE730"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981871" w14:textId="77777777" w:rsidR="007F5C75" w:rsidRDefault="007F5C75">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1EE9892" w14:textId="77777777" w:rsidR="007F5C75" w:rsidRDefault="007F5C75">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595FD3B5" w14:textId="77777777" w:rsidR="007F5C75" w:rsidRDefault="007F5C75">
            <w:pPr>
              <w:jc w:val="right"/>
              <w:rPr>
                <w:color w:val="000000"/>
                <w:sz w:val="20"/>
                <w:szCs w:val="20"/>
              </w:rPr>
            </w:pPr>
            <w:r>
              <w:rPr>
                <w:color w:val="000000"/>
                <w:sz w:val="20"/>
                <w:szCs w:val="20"/>
              </w:rPr>
              <w:t>0.332</w:t>
            </w:r>
          </w:p>
        </w:tc>
        <w:tc>
          <w:tcPr>
            <w:tcW w:w="864" w:type="dxa"/>
            <w:tcBorders>
              <w:top w:val="nil"/>
              <w:left w:val="nil"/>
              <w:bottom w:val="nil"/>
              <w:right w:val="nil"/>
            </w:tcBorders>
            <w:shd w:val="clear" w:color="auto" w:fill="auto"/>
            <w:noWrap/>
            <w:vAlign w:val="bottom"/>
            <w:hideMark/>
          </w:tcPr>
          <w:p w14:paraId="4C49A936" w14:textId="77777777" w:rsidR="007F5C75" w:rsidRDefault="007F5C75">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40ED4A05" w14:textId="77777777" w:rsidR="007F5C75" w:rsidRDefault="007F5C75">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6A3D6DA4" w14:textId="77777777" w:rsidR="007F5C75" w:rsidRDefault="007F5C75">
            <w:pPr>
              <w:jc w:val="right"/>
              <w:rPr>
                <w:color w:val="000000"/>
                <w:sz w:val="20"/>
                <w:szCs w:val="20"/>
              </w:rPr>
            </w:pPr>
            <w:r>
              <w:rPr>
                <w:color w:val="000000"/>
                <w:sz w:val="20"/>
                <w:szCs w:val="20"/>
              </w:rPr>
              <w:t>0.812</w:t>
            </w:r>
          </w:p>
        </w:tc>
        <w:tc>
          <w:tcPr>
            <w:tcW w:w="864" w:type="dxa"/>
            <w:tcBorders>
              <w:top w:val="nil"/>
              <w:left w:val="nil"/>
              <w:bottom w:val="nil"/>
              <w:right w:val="nil"/>
            </w:tcBorders>
            <w:shd w:val="clear" w:color="auto" w:fill="auto"/>
            <w:noWrap/>
            <w:vAlign w:val="bottom"/>
            <w:hideMark/>
          </w:tcPr>
          <w:p w14:paraId="51A425E3" w14:textId="77777777" w:rsidR="007F5C75" w:rsidRDefault="007F5C75">
            <w:pPr>
              <w:jc w:val="right"/>
              <w:rPr>
                <w:color w:val="000000"/>
                <w:sz w:val="20"/>
                <w:szCs w:val="20"/>
              </w:rPr>
            </w:pPr>
            <w:r>
              <w:rPr>
                <w:color w:val="000000"/>
                <w:sz w:val="20"/>
                <w:szCs w:val="20"/>
              </w:rPr>
              <w:t>0.002</w:t>
            </w:r>
          </w:p>
        </w:tc>
      </w:tr>
      <w:tr w:rsidR="007F5C75" w14:paraId="27C7844E" w14:textId="77777777" w:rsidTr="007F5C75">
        <w:trPr>
          <w:trHeight w:val="320"/>
        </w:trPr>
        <w:tc>
          <w:tcPr>
            <w:tcW w:w="1152" w:type="dxa"/>
            <w:tcBorders>
              <w:top w:val="nil"/>
              <w:left w:val="nil"/>
              <w:bottom w:val="nil"/>
              <w:right w:val="nil"/>
            </w:tcBorders>
            <w:shd w:val="clear" w:color="auto" w:fill="auto"/>
            <w:noWrap/>
            <w:vAlign w:val="bottom"/>
            <w:hideMark/>
          </w:tcPr>
          <w:p w14:paraId="54B54FF7"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AC988DA" w14:textId="77777777" w:rsidR="007F5C75" w:rsidRDefault="007F5C75">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093F008" w14:textId="77777777" w:rsidR="007F5C75" w:rsidRDefault="007F5C75">
            <w:pPr>
              <w:jc w:val="right"/>
              <w:rPr>
                <w:color w:val="000000"/>
                <w:sz w:val="20"/>
                <w:szCs w:val="20"/>
              </w:rPr>
            </w:pPr>
            <w:r>
              <w:rPr>
                <w:color w:val="000000"/>
                <w:sz w:val="20"/>
                <w:szCs w:val="20"/>
              </w:rPr>
              <w:t>0.059</w:t>
            </w:r>
          </w:p>
        </w:tc>
        <w:tc>
          <w:tcPr>
            <w:tcW w:w="864" w:type="dxa"/>
            <w:tcBorders>
              <w:top w:val="nil"/>
              <w:left w:val="nil"/>
              <w:bottom w:val="nil"/>
              <w:right w:val="nil"/>
            </w:tcBorders>
            <w:shd w:val="clear" w:color="auto" w:fill="auto"/>
            <w:noWrap/>
            <w:vAlign w:val="bottom"/>
            <w:hideMark/>
          </w:tcPr>
          <w:p w14:paraId="366C3EC5" w14:textId="77777777" w:rsidR="007F5C75" w:rsidRDefault="007F5C75">
            <w:pPr>
              <w:jc w:val="right"/>
              <w:rPr>
                <w:color w:val="000000"/>
                <w:sz w:val="20"/>
                <w:szCs w:val="20"/>
              </w:rPr>
            </w:pPr>
            <w:r>
              <w:rPr>
                <w:color w:val="000000"/>
                <w:sz w:val="20"/>
                <w:szCs w:val="20"/>
              </w:rPr>
              <w:t>0.332</w:t>
            </w:r>
          </w:p>
        </w:tc>
        <w:tc>
          <w:tcPr>
            <w:tcW w:w="864" w:type="dxa"/>
            <w:tcBorders>
              <w:top w:val="nil"/>
              <w:left w:val="nil"/>
              <w:bottom w:val="nil"/>
              <w:right w:val="nil"/>
            </w:tcBorders>
            <w:shd w:val="clear" w:color="auto" w:fill="auto"/>
            <w:noWrap/>
            <w:vAlign w:val="bottom"/>
            <w:hideMark/>
          </w:tcPr>
          <w:p w14:paraId="71B0D990" w14:textId="77777777" w:rsidR="007F5C75" w:rsidRDefault="007F5C75">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8976CE3" w14:textId="77777777" w:rsidR="007F5C75" w:rsidRDefault="007F5C75">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543918CE" w14:textId="77777777" w:rsidR="007F5C75" w:rsidRDefault="007F5C75">
            <w:pPr>
              <w:jc w:val="right"/>
              <w:rPr>
                <w:color w:val="000000"/>
                <w:sz w:val="20"/>
                <w:szCs w:val="20"/>
              </w:rPr>
            </w:pPr>
            <w:r>
              <w:rPr>
                <w:color w:val="000000"/>
                <w:sz w:val="20"/>
                <w:szCs w:val="20"/>
              </w:rPr>
              <w:t>0.368</w:t>
            </w:r>
          </w:p>
        </w:tc>
        <w:tc>
          <w:tcPr>
            <w:tcW w:w="864" w:type="dxa"/>
            <w:tcBorders>
              <w:top w:val="nil"/>
              <w:left w:val="nil"/>
              <w:bottom w:val="nil"/>
              <w:right w:val="nil"/>
            </w:tcBorders>
            <w:shd w:val="clear" w:color="auto" w:fill="auto"/>
            <w:noWrap/>
            <w:vAlign w:val="bottom"/>
            <w:hideMark/>
          </w:tcPr>
          <w:p w14:paraId="2D797699" w14:textId="77777777" w:rsidR="007F5C75" w:rsidRDefault="007F5C75">
            <w:pPr>
              <w:jc w:val="right"/>
              <w:rPr>
                <w:color w:val="000000"/>
                <w:sz w:val="20"/>
                <w:szCs w:val="20"/>
              </w:rPr>
            </w:pPr>
            <w:r>
              <w:rPr>
                <w:color w:val="000000"/>
                <w:sz w:val="20"/>
                <w:szCs w:val="20"/>
              </w:rPr>
              <w:t>0.003</w:t>
            </w:r>
          </w:p>
        </w:tc>
      </w:tr>
      <w:tr w:rsidR="007F5C75" w14:paraId="73F73047" w14:textId="77777777" w:rsidTr="007F5C75">
        <w:trPr>
          <w:trHeight w:val="320"/>
        </w:trPr>
        <w:tc>
          <w:tcPr>
            <w:tcW w:w="1152" w:type="dxa"/>
            <w:tcBorders>
              <w:top w:val="nil"/>
              <w:left w:val="nil"/>
              <w:bottom w:val="nil"/>
              <w:right w:val="nil"/>
            </w:tcBorders>
            <w:shd w:val="clear" w:color="auto" w:fill="auto"/>
            <w:noWrap/>
            <w:vAlign w:val="bottom"/>
            <w:hideMark/>
          </w:tcPr>
          <w:p w14:paraId="2C2B6B12"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8B75700" w14:textId="77777777" w:rsidR="007F5C75" w:rsidRDefault="007F5C75">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C915D16" w14:textId="77777777" w:rsidR="007F5C75" w:rsidRDefault="007F5C75">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7FACF6C5" w14:textId="77777777" w:rsidR="007F5C75" w:rsidRDefault="007F5C75">
            <w:pPr>
              <w:jc w:val="right"/>
              <w:rPr>
                <w:color w:val="000000"/>
                <w:sz w:val="20"/>
                <w:szCs w:val="20"/>
              </w:rPr>
            </w:pPr>
            <w:r>
              <w:rPr>
                <w:color w:val="000000"/>
                <w:sz w:val="20"/>
                <w:szCs w:val="20"/>
              </w:rPr>
              <w:t>0.641</w:t>
            </w:r>
          </w:p>
        </w:tc>
        <w:tc>
          <w:tcPr>
            <w:tcW w:w="864" w:type="dxa"/>
            <w:tcBorders>
              <w:top w:val="nil"/>
              <w:left w:val="nil"/>
              <w:bottom w:val="nil"/>
              <w:right w:val="nil"/>
            </w:tcBorders>
            <w:shd w:val="clear" w:color="auto" w:fill="auto"/>
            <w:noWrap/>
            <w:vAlign w:val="bottom"/>
            <w:hideMark/>
          </w:tcPr>
          <w:p w14:paraId="2983E558"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4022B86"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24C8341" w14:textId="77777777" w:rsidR="007F5C75" w:rsidRDefault="007F5C75">
            <w:pPr>
              <w:jc w:val="right"/>
              <w:rPr>
                <w:color w:val="000000"/>
                <w:sz w:val="20"/>
                <w:szCs w:val="20"/>
              </w:rPr>
            </w:pPr>
            <w:r>
              <w:rPr>
                <w:color w:val="000000"/>
                <w:sz w:val="20"/>
                <w:szCs w:val="20"/>
              </w:rPr>
              <w:t>0.986</w:t>
            </w:r>
          </w:p>
        </w:tc>
        <w:tc>
          <w:tcPr>
            <w:tcW w:w="864" w:type="dxa"/>
            <w:tcBorders>
              <w:top w:val="nil"/>
              <w:left w:val="nil"/>
              <w:bottom w:val="nil"/>
              <w:right w:val="nil"/>
            </w:tcBorders>
            <w:shd w:val="clear" w:color="auto" w:fill="auto"/>
            <w:noWrap/>
            <w:vAlign w:val="bottom"/>
            <w:hideMark/>
          </w:tcPr>
          <w:p w14:paraId="6C542AB4" w14:textId="77777777" w:rsidR="007F5C75" w:rsidRDefault="007F5C75">
            <w:pPr>
              <w:jc w:val="right"/>
              <w:rPr>
                <w:color w:val="000000"/>
                <w:sz w:val="20"/>
                <w:szCs w:val="20"/>
              </w:rPr>
            </w:pPr>
            <w:r>
              <w:rPr>
                <w:color w:val="000000"/>
                <w:sz w:val="20"/>
                <w:szCs w:val="20"/>
              </w:rPr>
              <w:t>0.000</w:t>
            </w:r>
          </w:p>
        </w:tc>
      </w:tr>
      <w:tr w:rsidR="007F5C75" w14:paraId="523F7F2F" w14:textId="77777777" w:rsidTr="007F5C75">
        <w:trPr>
          <w:trHeight w:val="320"/>
        </w:trPr>
        <w:tc>
          <w:tcPr>
            <w:tcW w:w="1152" w:type="dxa"/>
            <w:tcBorders>
              <w:top w:val="nil"/>
              <w:left w:val="nil"/>
              <w:bottom w:val="nil"/>
              <w:right w:val="nil"/>
            </w:tcBorders>
            <w:shd w:val="clear" w:color="auto" w:fill="auto"/>
            <w:noWrap/>
            <w:vAlign w:val="bottom"/>
            <w:hideMark/>
          </w:tcPr>
          <w:p w14:paraId="6D03FB6B"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CD119CD" w14:textId="77777777" w:rsidR="007F5C75" w:rsidRDefault="007F5C75">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CD7B6E6" w14:textId="77777777" w:rsidR="007F5C75" w:rsidRDefault="007F5C75">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4A905ED6" w14:textId="77777777" w:rsidR="007F5C75" w:rsidRDefault="007F5C75">
            <w:pPr>
              <w:jc w:val="right"/>
              <w:rPr>
                <w:color w:val="000000"/>
                <w:sz w:val="20"/>
                <w:szCs w:val="20"/>
              </w:rPr>
            </w:pPr>
            <w:r>
              <w:rPr>
                <w:color w:val="000000"/>
                <w:sz w:val="20"/>
                <w:szCs w:val="20"/>
              </w:rPr>
              <w:t>0.332</w:t>
            </w:r>
          </w:p>
        </w:tc>
        <w:tc>
          <w:tcPr>
            <w:tcW w:w="864" w:type="dxa"/>
            <w:tcBorders>
              <w:top w:val="nil"/>
              <w:left w:val="nil"/>
              <w:bottom w:val="nil"/>
              <w:right w:val="nil"/>
            </w:tcBorders>
            <w:shd w:val="clear" w:color="auto" w:fill="auto"/>
            <w:noWrap/>
            <w:vAlign w:val="bottom"/>
            <w:hideMark/>
          </w:tcPr>
          <w:p w14:paraId="1F9303F2" w14:textId="77777777" w:rsidR="007F5C75" w:rsidRDefault="007F5C75">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60B2A56" w14:textId="77777777" w:rsidR="007F5C75" w:rsidRDefault="007F5C75">
            <w:pPr>
              <w:jc w:val="right"/>
              <w:rPr>
                <w:color w:val="000000"/>
                <w:sz w:val="20"/>
                <w:szCs w:val="20"/>
              </w:rPr>
            </w:pPr>
            <w:r>
              <w:rPr>
                <w:color w:val="000000"/>
                <w:sz w:val="20"/>
                <w:szCs w:val="20"/>
              </w:rPr>
              <w:t>-0.069</w:t>
            </w:r>
          </w:p>
        </w:tc>
        <w:tc>
          <w:tcPr>
            <w:tcW w:w="864" w:type="dxa"/>
            <w:tcBorders>
              <w:top w:val="nil"/>
              <w:left w:val="nil"/>
              <w:bottom w:val="nil"/>
              <w:right w:val="nil"/>
            </w:tcBorders>
            <w:shd w:val="clear" w:color="auto" w:fill="auto"/>
            <w:noWrap/>
            <w:vAlign w:val="bottom"/>
            <w:hideMark/>
          </w:tcPr>
          <w:p w14:paraId="556413C3" w14:textId="77777777" w:rsidR="007F5C75" w:rsidRDefault="007F5C75">
            <w:pPr>
              <w:jc w:val="right"/>
              <w:rPr>
                <w:color w:val="000000"/>
                <w:sz w:val="20"/>
                <w:szCs w:val="20"/>
              </w:rPr>
            </w:pPr>
            <w:r>
              <w:rPr>
                <w:color w:val="000000"/>
                <w:sz w:val="20"/>
                <w:szCs w:val="20"/>
              </w:rPr>
              <w:t>0.368</w:t>
            </w:r>
          </w:p>
        </w:tc>
        <w:tc>
          <w:tcPr>
            <w:tcW w:w="864" w:type="dxa"/>
            <w:tcBorders>
              <w:top w:val="nil"/>
              <w:left w:val="nil"/>
              <w:bottom w:val="nil"/>
              <w:right w:val="nil"/>
            </w:tcBorders>
            <w:shd w:val="clear" w:color="auto" w:fill="auto"/>
            <w:noWrap/>
            <w:vAlign w:val="bottom"/>
            <w:hideMark/>
          </w:tcPr>
          <w:p w14:paraId="7B56F69A" w14:textId="77777777" w:rsidR="007F5C75" w:rsidRDefault="007F5C75">
            <w:pPr>
              <w:jc w:val="right"/>
              <w:rPr>
                <w:color w:val="000000"/>
                <w:sz w:val="20"/>
                <w:szCs w:val="20"/>
              </w:rPr>
            </w:pPr>
            <w:r>
              <w:rPr>
                <w:color w:val="000000"/>
                <w:sz w:val="20"/>
                <w:szCs w:val="20"/>
              </w:rPr>
              <w:t>0.005</w:t>
            </w:r>
          </w:p>
        </w:tc>
      </w:tr>
      <w:tr w:rsidR="007F5C75" w14:paraId="74C381BF" w14:textId="77777777" w:rsidTr="007F5C75">
        <w:trPr>
          <w:trHeight w:val="320"/>
        </w:trPr>
        <w:tc>
          <w:tcPr>
            <w:tcW w:w="1152" w:type="dxa"/>
            <w:tcBorders>
              <w:top w:val="nil"/>
              <w:left w:val="nil"/>
              <w:bottom w:val="single" w:sz="4" w:space="0" w:color="auto"/>
              <w:right w:val="nil"/>
            </w:tcBorders>
            <w:shd w:val="clear" w:color="auto" w:fill="auto"/>
            <w:noWrap/>
            <w:vAlign w:val="bottom"/>
            <w:hideMark/>
          </w:tcPr>
          <w:p w14:paraId="68FF170C" w14:textId="77777777" w:rsidR="007F5C75" w:rsidRDefault="007F5C75">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1D24138F" w14:textId="77777777" w:rsidR="007F5C75" w:rsidRDefault="007F5C75">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C0F1385" w14:textId="77777777" w:rsidR="007F5C75" w:rsidRDefault="007F5C75">
            <w:pPr>
              <w:jc w:val="right"/>
              <w:rPr>
                <w:color w:val="000000"/>
                <w:sz w:val="20"/>
                <w:szCs w:val="20"/>
              </w:rPr>
            </w:pPr>
            <w:r>
              <w:rPr>
                <w:color w:val="000000"/>
                <w:sz w:val="20"/>
                <w:szCs w:val="20"/>
              </w:rPr>
              <w:t>-0.030</w:t>
            </w:r>
          </w:p>
        </w:tc>
        <w:tc>
          <w:tcPr>
            <w:tcW w:w="864" w:type="dxa"/>
            <w:tcBorders>
              <w:top w:val="nil"/>
              <w:left w:val="nil"/>
              <w:bottom w:val="single" w:sz="4" w:space="0" w:color="auto"/>
              <w:right w:val="nil"/>
            </w:tcBorders>
            <w:shd w:val="clear" w:color="auto" w:fill="auto"/>
            <w:noWrap/>
            <w:vAlign w:val="bottom"/>
            <w:hideMark/>
          </w:tcPr>
          <w:p w14:paraId="396C7C21" w14:textId="77777777" w:rsidR="007F5C75" w:rsidRDefault="007F5C75">
            <w:pPr>
              <w:jc w:val="right"/>
              <w:rPr>
                <w:color w:val="000000"/>
                <w:sz w:val="20"/>
                <w:szCs w:val="20"/>
              </w:rPr>
            </w:pPr>
            <w:r>
              <w:rPr>
                <w:color w:val="000000"/>
                <w:sz w:val="20"/>
                <w:szCs w:val="20"/>
              </w:rPr>
              <w:t>0.641</w:t>
            </w:r>
          </w:p>
        </w:tc>
        <w:tc>
          <w:tcPr>
            <w:tcW w:w="864" w:type="dxa"/>
            <w:tcBorders>
              <w:top w:val="nil"/>
              <w:left w:val="nil"/>
              <w:bottom w:val="single" w:sz="4" w:space="0" w:color="auto"/>
              <w:right w:val="nil"/>
            </w:tcBorders>
            <w:shd w:val="clear" w:color="auto" w:fill="auto"/>
            <w:noWrap/>
            <w:vAlign w:val="bottom"/>
            <w:hideMark/>
          </w:tcPr>
          <w:p w14:paraId="11E2DB47"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4702EBBD" w14:textId="77777777" w:rsidR="007F5C75" w:rsidRDefault="007F5C75">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561A8D4C" w14:textId="77777777" w:rsidR="007F5C75" w:rsidRDefault="007F5C75">
            <w:pPr>
              <w:jc w:val="right"/>
              <w:rPr>
                <w:color w:val="000000"/>
                <w:sz w:val="20"/>
                <w:szCs w:val="20"/>
              </w:rPr>
            </w:pPr>
            <w:r>
              <w:rPr>
                <w:color w:val="000000"/>
                <w:sz w:val="20"/>
                <w:szCs w:val="20"/>
              </w:rPr>
              <w:t>0.812</w:t>
            </w:r>
          </w:p>
        </w:tc>
        <w:tc>
          <w:tcPr>
            <w:tcW w:w="864" w:type="dxa"/>
            <w:tcBorders>
              <w:top w:val="nil"/>
              <w:left w:val="nil"/>
              <w:bottom w:val="single" w:sz="4" w:space="0" w:color="auto"/>
              <w:right w:val="nil"/>
            </w:tcBorders>
            <w:shd w:val="clear" w:color="auto" w:fill="auto"/>
            <w:noWrap/>
            <w:vAlign w:val="bottom"/>
            <w:hideMark/>
          </w:tcPr>
          <w:p w14:paraId="53AB7C11" w14:textId="77777777" w:rsidR="007F5C75" w:rsidRDefault="007F5C75">
            <w:pPr>
              <w:jc w:val="right"/>
              <w:rPr>
                <w:color w:val="000000"/>
                <w:sz w:val="20"/>
                <w:szCs w:val="20"/>
              </w:rPr>
            </w:pPr>
            <w:r>
              <w:rPr>
                <w:color w:val="000000"/>
                <w:sz w:val="20"/>
                <w:szCs w:val="20"/>
              </w:rPr>
              <w:t>0.000</w:t>
            </w:r>
          </w:p>
        </w:tc>
      </w:tr>
      <w:tr w:rsidR="007F5C75" w14:paraId="74B91C8A" w14:textId="77777777" w:rsidTr="007F5C75">
        <w:trPr>
          <w:trHeight w:val="320"/>
        </w:trPr>
        <w:tc>
          <w:tcPr>
            <w:tcW w:w="1152" w:type="dxa"/>
            <w:tcBorders>
              <w:top w:val="nil"/>
              <w:left w:val="nil"/>
              <w:bottom w:val="nil"/>
              <w:right w:val="nil"/>
            </w:tcBorders>
            <w:shd w:val="clear" w:color="auto" w:fill="auto"/>
            <w:noWrap/>
            <w:vAlign w:val="bottom"/>
            <w:hideMark/>
          </w:tcPr>
          <w:p w14:paraId="0B5579F8" w14:textId="77777777" w:rsidR="007F5C75" w:rsidRDefault="007F5C75">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6934E30D" w14:textId="77777777" w:rsidR="007F5C75" w:rsidRDefault="007F5C75">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2CF76043" w14:textId="77777777" w:rsidR="007F5C75" w:rsidRDefault="007F5C75">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2934AB74" w14:textId="77777777" w:rsidR="007F5C75" w:rsidRDefault="007F5C75">
            <w:pPr>
              <w:jc w:val="right"/>
              <w:rPr>
                <w:color w:val="000000"/>
                <w:sz w:val="20"/>
                <w:szCs w:val="20"/>
              </w:rPr>
            </w:pPr>
            <w:r>
              <w:rPr>
                <w:color w:val="000000"/>
                <w:sz w:val="20"/>
                <w:szCs w:val="20"/>
              </w:rPr>
              <w:t>0.459</w:t>
            </w:r>
          </w:p>
        </w:tc>
        <w:tc>
          <w:tcPr>
            <w:tcW w:w="864" w:type="dxa"/>
            <w:tcBorders>
              <w:top w:val="nil"/>
              <w:left w:val="nil"/>
              <w:bottom w:val="nil"/>
              <w:right w:val="nil"/>
            </w:tcBorders>
            <w:shd w:val="clear" w:color="auto" w:fill="auto"/>
            <w:noWrap/>
            <w:vAlign w:val="bottom"/>
            <w:hideMark/>
          </w:tcPr>
          <w:p w14:paraId="64A2550F"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2A60B13" w14:textId="77777777" w:rsidR="007F5C75" w:rsidRDefault="007F5C75">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77039D95" w14:textId="77777777" w:rsidR="007F5C75" w:rsidRDefault="007F5C75">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60C15A7B" w14:textId="77777777" w:rsidR="007F5C75" w:rsidRDefault="007F5C75">
            <w:pPr>
              <w:jc w:val="right"/>
              <w:rPr>
                <w:color w:val="000000"/>
                <w:sz w:val="20"/>
                <w:szCs w:val="20"/>
              </w:rPr>
            </w:pPr>
            <w:r>
              <w:rPr>
                <w:color w:val="000000"/>
                <w:sz w:val="20"/>
                <w:szCs w:val="20"/>
              </w:rPr>
              <w:t>0.000</w:t>
            </w:r>
          </w:p>
        </w:tc>
      </w:tr>
      <w:tr w:rsidR="007F5C75" w14:paraId="12539819" w14:textId="77777777" w:rsidTr="007F5C75">
        <w:trPr>
          <w:trHeight w:val="320"/>
        </w:trPr>
        <w:tc>
          <w:tcPr>
            <w:tcW w:w="1152" w:type="dxa"/>
            <w:tcBorders>
              <w:top w:val="nil"/>
              <w:left w:val="nil"/>
              <w:bottom w:val="nil"/>
              <w:right w:val="nil"/>
            </w:tcBorders>
            <w:shd w:val="clear" w:color="auto" w:fill="auto"/>
            <w:noWrap/>
            <w:vAlign w:val="bottom"/>
            <w:hideMark/>
          </w:tcPr>
          <w:p w14:paraId="7C88BDA2"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4DFF873" w14:textId="77777777" w:rsidR="007F5C75" w:rsidRDefault="007F5C75">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F4B0C59" w14:textId="77777777" w:rsidR="007F5C75" w:rsidRDefault="007F5C75">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3D25917E" w14:textId="77777777" w:rsidR="007F5C75" w:rsidRDefault="007F5C75">
            <w:pPr>
              <w:jc w:val="right"/>
              <w:rPr>
                <w:color w:val="000000"/>
                <w:sz w:val="20"/>
                <w:szCs w:val="20"/>
              </w:rPr>
            </w:pPr>
            <w:r>
              <w:rPr>
                <w:color w:val="000000"/>
                <w:sz w:val="20"/>
                <w:szCs w:val="20"/>
              </w:rPr>
              <w:t>0.459</w:t>
            </w:r>
          </w:p>
        </w:tc>
        <w:tc>
          <w:tcPr>
            <w:tcW w:w="864" w:type="dxa"/>
            <w:tcBorders>
              <w:top w:val="nil"/>
              <w:left w:val="nil"/>
              <w:bottom w:val="nil"/>
              <w:right w:val="nil"/>
            </w:tcBorders>
            <w:shd w:val="clear" w:color="auto" w:fill="auto"/>
            <w:noWrap/>
            <w:vAlign w:val="bottom"/>
            <w:hideMark/>
          </w:tcPr>
          <w:p w14:paraId="654B5C79"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72775A9"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FD996DB" w14:textId="77777777" w:rsidR="007F5C75" w:rsidRDefault="007F5C75">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397D2DD2" w14:textId="77777777" w:rsidR="007F5C75" w:rsidRDefault="007F5C75">
            <w:pPr>
              <w:jc w:val="right"/>
              <w:rPr>
                <w:color w:val="000000"/>
                <w:sz w:val="20"/>
                <w:szCs w:val="20"/>
              </w:rPr>
            </w:pPr>
            <w:r>
              <w:rPr>
                <w:color w:val="000000"/>
                <w:sz w:val="20"/>
                <w:szCs w:val="20"/>
              </w:rPr>
              <w:t>0.000</w:t>
            </w:r>
          </w:p>
        </w:tc>
      </w:tr>
      <w:tr w:rsidR="007F5C75" w14:paraId="46AA9B09" w14:textId="77777777" w:rsidTr="007F5C75">
        <w:trPr>
          <w:trHeight w:val="320"/>
        </w:trPr>
        <w:tc>
          <w:tcPr>
            <w:tcW w:w="1152" w:type="dxa"/>
            <w:tcBorders>
              <w:top w:val="nil"/>
              <w:left w:val="nil"/>
              <w:bottom w:val="nil"/>
              <w:right w:val="nil"/>
            </w:tcBorders>
            <w:shd w:val="clear" w:color="auto" w:fill="auto"/>
            <w:noWrap/>
            <w:vAlign w:val="bottom"/>
            <w:hideMark/>
          </w:tcPr>
          <w:p w14:paraId="2BFEC383"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79F368E" w14:textId="77777777" w:rsidR="007F5C75" w:rsidRDefault="007F5C75">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1FCC7BE" w14:textId="77777777" w:rsidR="007F5C75" w:rsidRDefault="007F5C75">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39879BEA" w14:textId="77777777" w:rsidR="007F5C75" w:rsidRDefault="007F5C75">
            <w:pPr>
              <w:jc w:val="right"/>
              <w:rPr>
                <w:color w:val="000000"/>
                <w:sz w:val="20"/>
                <w:szCs w:val="20"/>
              </w:rPr>
            </w:pPr>
            <w:r>
              <w:rPr>
                <w:color w:val="000000"/>
                <w:sz w:val="20"/>
                <w:szCs w:val="20"/>
              </w:rPr>
              <w:t>0.584</w:t>
            </w:r>
          </w:p>
        </w:tc>
        <w:tc>
          <w:tcPr>
            <w:tcW w:w="864" w:type="dxa"/>
            <w:tcBorders>
              <w:top w:val="nil"/>
              <w:left w:val="nil"/>
              <w:bottom w:val="nil"/>
              <w:right w:val="nil"/>
            </w:tcBorders>
            <w:shd w:val="clear" w:color="auto" w:fill="auto"/>
            <w:noWrap/>
            <w:vAlign w:val="bottom"/>
            <w:hideMark/>
          </w:tcPr>
          <w:p w14:paraId="22753C52"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697E73D" w14:textId="77777777" w:rsidR="007F5C75" w:rsidRDefault="007F5C75">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0C8ED3A6" w14:textId="77777777" w:rsidR="007F5C75" w:rsidRDefault="007F5C75">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5E5A3B87" w14:textId="77777777" w:rsidR="007F5C75" w:rsidRDefault="007F5C75">
            <w:pPr>
              <w:jc w:val="right"/>
              <w:rPr>
                <w:color w:val="000000"/>
                <w:sz w:val="20"/>
                <w:szCs w:val="20"/>
              </w:rPr>
            </w:pPr>
            <w:r>
              <w:rPr>
                <w:color w:val="000000"/>
                <w:sz w:val="20"/>
                <w:szCs w:val="20"/>
              </w:rPr>
              <w:t>0.000</w:t>
            </w:r>
          </w:p>
        </w:tc>
      </w:tr>
      <w:tr w:rsidR="007F5C75" w14:paraId="78BF8CB5" w14:textId="77777777" w:rsidTr="007F5C75">
        <w:trPr>
          <w:trHeight w:val="320"/>
        </w:trPr>
        <w:tc>
          <w:tcPr>
            <w:tcW w:w="1152" w:type="dxa"/>
            <w:tcBorders>
              <w:top w:val="nil"/>
              <w:left w:val="nil"/>
              <w:bottom w:val="nil"/>
              <w:right w:val="nil"/>
            </w:tcBorders>
            <w:shd w:val="clear" w:color="auto" w:fill="auto"/>
            <w:noWrap/>
            <w:vAlign w:val="bottom"/>
            <w:hideMark/>
          </w:tcPr>
          <w:p w14:paraId="1A0A7ED0"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FAFC389" w14:textId="77777777" w:rsidR="007F5C75" w:rsidRDefault="007F5C75">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4ED2DAC" w14:textId="77777777" w:rsidR="007F5C75" w:rsidRDefault="007F5C75">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09FDDD3B" w14:textId="77777777" w:rsidR="007F5C75" w:rsidRDefault="007F5C75">
            <w:pPr>
              <w:jc w:val="right"/>
              <w:rPr>
                <w:color w:val="000000"/>
                <w:sz w:val="20"/>
                <w:szCs w:val="20"/>
              </w:rPr>
            </w:pPr>
            <w:r>
              <w:rPr>
                <w:color w:val="000000"/>
                <w:sz w:val="20"/>
                <w:szCs w:val="20"/>
              </w:rPr>
              <w:t>0.459</w:t>
            </w:r>
          </w:p>
        </w:tc>
        <w:tc>
          <w:tcPr>
            <w:tcW w:w="864" w:type="dxa"/>
            <w:tcBorders>
              <w:top w:val="nil"/>
              <w:left w:val="nil"/>
              <w:bottom w:val="nil"/>
              <w:right w:val="nil"/>
            </w:tcBorders>
            <w:shd w:val="clear" w:color="auto" w:fill="auto"/>
            <w:noWrap/>
            <w:vAlign w:val="bottom"/>
            <w:hideMark/>
          </w:tcPr>
          <w:p w14:paraId="6B1CC752"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A17790B" w14:textId="77777777" w:rsidR="007F5C75" w:rsidRDefault="007F5C75">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18B7656" w14:textId="77777777" w:rsidR="007F5C75" w:rsidRDefault="007F5C75">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5E4784D3" w14:textId="77777777" w:rsidR="007F5C75" w:rsidRDefault="007F5C75">
            <w:pPr>
              <w:jc w:val="right"/>
              <w:rPr>
                <w:color w:val="000000"/>
                <w:sz w:val="20"/>
                <w:szCs w:val="20"/>
              </w:rPr>
            </w:pPr>
            <w:r>
              <w:rPr>
                <w:color w:val="000000"/>
                <w:sz w:val="20"/>
                <w:szCs w:val="20"/>
              </w:rPr>
              <w:t>0.000</w:t>
            </w:r>
          </w:p>
        </w:tc>
      </w:tr>
      <w:tr w:rsidR="007F5C75" w14:paraId="77B1969D" w14:textId="77777777" w:rsidTr="007F5C75">
        <w:trPr>
          <w:trHeight w:val="320"/>
        </w:trPr>
        <w:tc>
          <w:tcPr>
            <w:tcW w:w="1152" w:type="dxa"/>
            <w:tcBorders>
              <w:top w:val="nil"/>
              <w:left w:val="nil"/>
              <w:bottom w:val="nil"/>
              <w:right w:val="nil"/>
            </w:tcBorders>
            <w:shd w:val="clear" w:color="auto" w:fill="auto"/>
            <w:noWrap/>
            <w:vAlign w:val="bottom"/>
            <w:hideMark/>
          </w:tcPr>
          <w:p w14:paraId="6786034C"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B396B14" w14:textId="77777777" w:rsidR="007F5C75" w:rsidRDefault="007F5C75">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4CDAA66" w14:textId="77777777" w:rsidR="007F5C75" w:rsidRDefault="007F5C75">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610EAD25" w14:textId="77777777" w:rsidR="007F5C75" w:rsidRDefault="007F5C75">
            <w:pPr>
              <w:jc w:val="right"/>
              <w:rPr>
                <w:color w:val="000000"/>
                <w:sz w:val="20"/>
                <w:szCs w:val="20"/>
              </w:rPr>
            </w:pPr>
            <w:r>
              <w:rPr>
                <w:color w:val="000000"/>
                <w:sz w:val="20"/>
                <w:szCs w:val="20"/>
              </w:rPr>
              <w:t>0.459</w:t>
            </w:r>
          </w:p>
        </w:tc>
        <w:tc>
          <w:tcPr>
            <w:tcW w:w="864" w:type="dxa"/>
            <w:tcBorders>
              <w:top w:val="nil"/>
              <w:left w:val="nil"/>
              <w:bottom w:val="nil"/>
              <w:right w:val="nil"/>
            </w:tcBorders>
            <w:shd w:val="clear" w:color="auto" w:fill="auto"/>
            <w:noWrap/>
            <w:vAlign w:val="bottom"/>
            <w:hideMark/>
          </w:tcPr>
          <w:p w14:paraId="0B155716" w14:textId="77777777" w:rsidR="007F5C75" w:rsidRDefault="007F5C75">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CBA9705" w14:textId="77777777" w:rsidR="007F5C75" w:rsidRDefault="007F5C75">
            <w:pPr>
              <w:jc w:val="right"/>
              <w:rPr>
                <w:color w:val="000000"/>
                <w:sz w:val="20"/>
                <w:szCs w:val="20"/>
              </w:rPr>
            </w:pPr>
            <w:r>
              <w:rPr>
                <w:color w:val="000000"/>
                <w:sz w:val="20"/>
                <w:szCs w:val="20"/>
              </w:rPr>
              <w:t>-0.080</w:t>
            </w:r>
          </w:p>
        </w:tc>
        <w:tc>
          <w:tcPr>
            <w:tcW w:w="864" w:type="dxa"/>
            <w:tcBorders>
              <w:top w:val="nil"/>
              <w:left w:val="nil"/>
              <w:bottom w:val="nil"/>
              <w:right w:val="nil"/>
            </w:tcBorders>
            <w:shd w:val="clear" w:color="auto" w:fill="auto"/>
            <w:noWrap/>
            <w:vAlign w:val="bottom"/>
            <w:hideMark/>
          </w:tcPr>
          <w:p w14:paraId="2D408537" w14:textId="77777777" w:rsidR="007F5C75" w:rsidRDefault="007F5C75">
            <w:pPr>
              <w:jc w:val="right"/>
              <w:rPr>
                <w:color w:val="000000"/>
                <w:sz w:val="20"/>
                <w:szCs w:val="20"/>
              </w:rPr>
            </w:pPr>
            <w:r>
              <w:rPr>
                <w:color w:val="000000"/>
                <w:sz w:val="20"/>
                <w:szCs w:val="20"/>
              </w:rPr>
              <w:t>0.080</w:t>
            </w:r>
          </w:p>
        </w:tc>
        <w:tc>
          <w:tcPr>
            <w:tcW w:w="864" w:type="dxa"/>
            <w:tcBorders>
              <w:top w:val="nil"/>
              <w:left w:val="nil"/>
              <w:bottom w:val="nil"/>
              <w:right w:val="nil"/>
            </w:tcBorders>
            <w:shd w:val="clear" w:color="auto" w:fill="auto"/>
            <w:noWrap/>
            <w:vAlign w:val="bottom"/>
            <w:hideMark/>
          </w:tcPr>
          <w:p w14:paraId="1F436620" w14:textId="77777777" w:rsidR="007F5C75" w:rsidRDefault="007F5C75">
            <w:pPr>
              <w:jc w:val="right"/>
              <w:rPr>
                <w:color w:val="000000"/>
                <w:sz w:val="20"/>
                <w:szCs w:val="20"/>
              </w:rPr>
            </w:pPr>
            <w:r>
              <w:rPr>
                <w:color w:val="000000"/>
                <w:sz w:val="20"/>
                <w:szCs w:val="20"/>
              </w:rPr>
              <w:t>0.006</w:t>
            </w:r>
          </w:p>
        </w:tc>
      </w:tr>
      <w:tr w:rsidR="007F5C75" w14:paraId="25F15B9C" w14:textId="77777777" w:rsidTr="007F5C75">
        <w:trPr>
          <w:trHeight w:val="320"/>
        </w:trPr>
        <w:tc>
          <w:tcPr>
            <w:tcW w:w="1152" w:type="dxa"/>
            <w:tcBorders>
              <w:top w:val="nil"/>
              <w:left w:val="nil"/>
              <w:bottom w:val="nil"/>
              <w:right w:val="nil"/>
            </w:tcBorders>
            <w:shd w:val="clear" w:color="auto" w:fill="auto"/>
            <w:noWrap/>
            <w:vAlign w:val="bottom"/>
            <w:hideMark/>
          </w:tcPr>
          <w:p w14:paraId="72EBFFB1"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2BD107A" w14:textId="77777777" w:rsidR="007F5C75" w:rsidRDefault="007F5C75">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A2DF6CF" w14:textId="77777777" w:rsidR="007F5C75" w:rsidRDefault="007F5C75">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2062188D" w14:textId="77777777" w:rsidR="007F5C75" w:rsidRDefault="007F5C75">
            <w:pPr>
              <w:jc w:val="right"/>
              <w:rPr>
                <w:color w:val="000000"/>
                <w:sz w:val="20"/>
                <w:szCs w:val="20"/>
              </w:rPr>
            </w:pPr>
            <w:r>
              <w:rPr>
                <w:color w:val="000000"/>
                <w:sz w:val="20"/>
                <w:szCs w:val="20"/>
              </w:rPr>
              <w:t>0.631</w:t>
            </w:r>
          </w:p>
        </w:tc>
        <w:tc>
          <w:tcPr>
            <w:tcW w:w="864" w:type="dxa"/>
            <w:tcBorders>
              <w:top w:val="nil"/>
              <w:left w:val="nil"/>
              <w:bottom w:val="nil"/>
              <w:right w:val="nil"/>
            </w:tcBorders>
            <w:shd w:val="clear" w:color="auto" w:fill="auto"/>
            <w:noWrap/>
            <w:vAlign w:val="bottom"/>
            <w:hideMark/>
          </w:tcPr>
          <w:p w14:paraId="6E549949"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E896AF9" w14:textId="77777777" w:rsidR="007F5C75" w:rsidRDefault="007F5C75">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38D9AA33" w14:textId="77777777" w:rsidR="007F5C75" w:rsidRDefault="007F5C75">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116334E8" w14:textId="77777777" w:rsidR="007F5C75" w:rsidRDefault="007F5C75">
            <w:pPr>
              <w:jc w:val="right"/>
              <w:rPr>
                <w:color w:val="000000"/>
                <w:sz w:val="20"/>
                <w:szCs w:val="20"/>
              </w:rPr>
            </w:pPr>
            <w:r>
              <w:rPr>
                <w:color w:val="000000"/>
                <w:sz w:val="20"/>
                <w:szCs w:val="20"/>
              </w:rPr>
              <w:t>0.000</w:t>
            </w:r>
          </w:p>
        </w:tc>
      </w:tr>
      <w:tr w:rsidR="007F5C75" w14:paraId="3091B974" w14:textId="77777777" w:rsidTr="007F5C75">
        <w:trPr>
          <w:trHeight w:val="320"/>
        </w:trPr>
        <w:tc>
          <w:tcPr>
            <w:tcW w:w="1152" w:type="dxa"/>
            <w:tcBorders>
              <w:top w:val="nil"/>
              <w:left w:val="nil"/>
              <w:bottom w:val="nil"/>
              <w:right w:val="nil"/>
            </w:tcBorders>
            <w:shd w:val="clear" w:color="auto" w:fill="auto"/>
            <w:noWrap/>
            <w:vAlign w:val="bottom"/>
            <w:hideMark/>
          </w:tcPr>
          <w:p w14:paraId="37543368"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444FE6A" w14:textId="77777777" w:rsidR="007F5C75" w:rsidRDefault="007F5C75">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5E0F5FC" w14:textId="77777777" w:rsidR="007F5C75" w:rsidRDefault="007F5C75">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32499758" w14:textId="77777777" w:rsidR="007F5C75" w:rsidRDefault="007F5C75">
            <w:pPr>
              <w:jc w:val="right"/>
              <w:rPr>
                <w:color w:val="000000"/>
                <w:sz w:val="20"/>
                <w:szCs w:val="20"/>
              </w:rPr>
            </w:pPr>
            <w:r>
              <w:rPr>
                <w:color w:val="000000"/>
                <w:sz w:val="20"/>
                <w:szCs w:val="20"/>
              </w:rPr>
              <w:t>0.459</w:t>
            </w:r>
          </w:p>
        </w:tc>
        <w:tc>
          <w:tcPr>
            <w:tcW w:w="864" w:type="dxa"/>
            <w:tcBorders>
              <w:top w:val="nil"/>
              <w:left w:val="nil"/>
              <w:bottom w:val="nil"/>
              <w:right w:val="nil"/>
            </w:tcBorders>
            <w:shd w:val="clear" w:color="auto" w:fill="auto"/>
            <w:noWrap/>
            <w:vAlign w:val="bottom"/>
            <w:hideMark/>
          </w:tcPr>
          <w:p w14:paraId="4C3FD9CB" w14:textId="77777777" w:rsidR="007F5C75" w:rsidRDefault="007F5C75">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8931DE2" w14:textId="77777777" w:rsidR="007F5C75" w:rsidRDefault="007F5C75">
            <w:pPr>
              <w:jc w:val="right"/>
              <w:rPr>
                <w:color w:val="000000"/>
                <w:sz w:val="20"/>
                <w:szCs w:val="20"/>
              </w:rPr>
            </w:pPr>
            <w:r>
              <w:rPr>
                <w:color w:val="000000"/>
                <w:sz w:val="20"/>
                <w:szCs w:val="20"/>
              </w:rPr>
              <w:t>-0.068</w:t>
            </w:r>
          </w:p>
        </w:tc>
        <w:tc>
          <w:tcPr>
            <w:tcW w:w="864" w:type="dxa"/>
            <w:tcBorders>
              <w:top w:val="nil"/>
              <w:left w:val="nil"/>
              <w:bottom w:val="nil"/>
              <w:right w:val="nil"/>
            </w:tcBorders>
            <w:shd w:val="clear" w:color="auto" w:fill="auto"/>
            <w:noWrap/>
            <w:vAlign w:val="bottom"/>
            <w:hideMark/>
          </w:tcPr>
          <w:p w14:paraId="4EEE3879" w14:textId="77777777" w:rsidR="007F5C75" w:rsidRDefault="007F5C75">
            <w:pPr>
              <w:jc w:val="right"/>
              <w:rPr>
                <w:color w:val="000000"/>
                <w:sz w:val="20"/>
                <w:szCs w:val="20"/>
              </w:rPr>
            </w:pPr>
            <w:r>
              <w:rPr>
                <w:color w:val="000000"/>
                <w:sz w:val="20"/>
                <w:szCs w:val="20"/>
              </w:rPr>
              <w:t>0.104</w:t>
            </w:r>
          </w:p>
        </w:tc>
        <w:tc>
          <w:tcPr>
            <w:tcW w:w="864" w:type="dxa"/>
            <w:tcBorders>
              <w:top w:val="nil"/>
              <w:left w:val="nil"/>
              <w:bottom w:val="nil"/>
              <w:right w:val="nil"/>
            </w:tcBorders>
            <w:shd w:val="clear" w:color="auto" w:fill="auto"/>
            <w:noWrap/>
            <w:vAlign w:val="bottom"/>
            <w:hideMark/>
          </w:tcPr>
          <w:p w14:paraId="23F95DD7" w14:textId="77777777" w:rsidR="007F5C75" w:rsidRDefault="007F5C75">
            <w:pPr>
              <w:jc w:val="right"/>
              <w:rPr>
                <w:color w:val="000000"/>
                <w:sz w:val="20"/>
                <w:szCs w:val="20"/>
              </w:rPr>
            </w:pPr>
            <w:r>
              <w:rPr>
                <w:color w:val="000000"/>
                <w:sz w:val="20"/>
                <w:szCs w:val="20"/>
              </w:rPr>
              <w:t>0.005</w:t>
            </w:r>
          </w:p>
        </w:tc>
      </w:tr>
      <w:tr w:rsidR="007F5C75" w14:paraId="65BE3489" w14:textId="77777777" w:rsidTr="007F5C75">
        <w:trPr>
          <w:trHeight w:val="320"/>
        </w:trPr>
        <w:tc>
          <w:tcPr>
            <w:tcW w:w="1152" w:type="dxa"/>
            <w:tcBorders>
              <w:top w:val="nil"/>
              <w:left w:val="nil"/>
              <w:bottom w:val="single" w:sz="4" w:space="0" w:color="auto"/>
              <w:right w:val="nil"/>
            </w:tcBorders>
            <w:shd w:val="clear" w:color="auto" w:fill="auto"/>
            <w:noWrap/>
            <w:vAlign w:val="bottom"/>
            <w:hideMark/>
          </w:tcPr>
          <w:p w14:paraId="61846165" w14:textId="77777777" w:rsidR="007F5C75" w:rsidRDefault="007F5C75">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E9939C2" w14:textId="77777777" w:rsidR="007F5C75" w:rsidRDefault="007F5C75">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74987B1" w14:textId="77777777" w:rsidR="007F5C75" w:rsidRDefault="007F5C75">
            <w:pPr>
              <w:jc w:val="right"/>
              <w:rPr>
                <w:color w:val="000000"/>
                <w:sz w:val="20"/>
                <w:szCs w:val="20"/>
              </w:rPr>
            </w:pPr>
            <w:r>
              <w:rPr>
                <w:color w:val="000000"/>
                <w:sz w:val="20"/>
                <w:szCs w:val="20"/>
              </w:rPr>
              <w:t>0.040</w:t>
            </w:r>
          </w:p>
        </w:tc>
        <w:tc>
          <w:tcPr>
            <w:tcW w:w="864" w:type="dxa"/>
            <w:tcBorders>
              <w:top w:val="nil"/>
              <w:left w:val="nil"/>
              <w:bottom w:val="single" w:sz="4" w:space="0" w:color="auto"/>
              <w:right w:val="nil"/>
            </w:tcBorders>
            <w:shd w:val="clear" w:color="auto" w:fill="auto"/>
            <w:noWrap/>
            <w:vAlign w:val="bottom"/>
            <w:hideMark/>
          </w:tcPr>
          <w:p w14:paraId="6AE75E53" w14:textId="77777777" w:rsidR="007F5C75" w:rsidRDefault="007F5C75">
            <w:pPr>
              <w:jc w:val="right"/>
              <w:rPr>
                <w:color w:val="000000"/>
                <w:sz w:val="20"/>
                <w:szCs w:val="20"/>
              </w:rPr>
            </w:pPr>
            <w:r>
              <w:rPr>
                <w:color w:val="000000"/>
                <w:sz w:val="20"/>
                <w:szCs w:val="20"/>
              </w:rPr>
              <w:t>0.459</w:t>
            </w:r>
          </w:p>
        </w:tc>
        <w:tc>
          <w:tcPr>
            <w:tcW w:w="864" w:type="dxa"/>
            <w:tcBorders>
              <w:top w:val="nil"/>
              <w:left w:val="nil"/>
              <w:bottom w:val="single" w:sz="4" w:space="0" w:color="auto"/>
              <w:right w:val="nil"/>
            </w:tcBorders>
            <w:shd w:val="clear" w:color="auto" w:fill="auto"/>
            <w:noWrap/>
            <w:vAlign w:val="bottom"/>
            <w:hideMark/>
          </w:tcPr>
          <w:p w14:paraId="491A8BDD" w14:textId="77777777" w:rsidR="007F5C75" w:rsidRDefault="007F5C75">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1A7484EA" w14:textId="77777777" w:rsidR="007F5C75" w:rsidRDefault="007F5C75">
            <w:pPr>
              <w:jc w:val="right"/>
              <w:rPr>
                <w:color w:val="000000"/>
                <w:sz w:val="20"/>
                <w:szCs w:val="20"/>
              </w:rPr>
            </w:pPr>
            <w:r>
              <w:rPr>
                <w:color w:val="000000"/>
                <w:sz w:val="20"/>
                <w:szCs w:val="20"/>
              </w:rPr>
              <w:t>-0.088</w:t>
            </w:r>
          </w:p>
        </w:tc>
        <w:tc>
          <w:tcPr>
            <w:tcW w:w="864" w:type="dxa"/>
            <w:tcBorders>
              <w:top w:val="nil"/>
              <w:left w:val="nil"/>
              <w:bottom w:val="single" w:sz="4" w:space="0" w:color="auto"/>
              <w:right w:val="nil"/>
            </w:tcBorders>
            <w:shd w:val="clear" w:color="auto" w:fill="auto"/>
            <w:noWrap/>
            <w:vAlign w:val="bottom"/>
            <w:hideMark/>
          </w:tcPr>
          <w:p w14:paraId="031BC081" w14:textId="77777777" w:rsidR="007F5C75" w:rsidRDefault="007F5C75">
            <w:pPr>
              <w:jc w:val="right"/>
              <w:rPr>
                <w:color w:val="000000"/>
                <w:sz w:val="20"/>
                <w:szCs w:val="20"/>
              </w:rPr>
            </w:pPr>
            <w:r>
              <w:rPr>
                <w:color w:val="000000"/>
                <w:sz w:val="20"/>
                <w:szCs w:val="20"/>
              </w:rPr>
              <w:t>0.092</w:t>
            </w:r>
          </w:p>
        </w:tc>
        <w:tc>
          <w:tcPr>
            <w:tcW w:w="864" w:type="dxa"/>
            <w:tcBorders>
              <w:top w:val="nil"/>
              <w:left w:val="nil"/>
              <w:bottom w:val="single" w:sz="4" w:space="0" w:color="auto"/>
              <w:right w:val="nil"/>
            </w:tcBorders>
            <w:shd w:val="clear" w:color="auto" w:fill="auto"/>
            <w:noWrap/>
            <w:vAlign w:val="bottom"/>
            <w:hideMark/>
          </w:tcPr>
          <w:p w14:paraId="5AB4D0E1" w14:textId="77777777" w:rsidR="007F5C75" w:rsidRDefault="007F5C75">
            <w:pPr>
              <w:jc w:val="right"/>
              <w:rPr>
                <w:color w:val="000000"/>
                <w:sz w:val="20"/>
                <w:szCs w:val="20"/>
              </w:rPr>
            </w:pPr>
            <w:r>
              <w:rPr>
                <w:color w:val="000000"/>
                <w:sz w:val="20"/>
                <w:szCs w:val="20"/>
              </w:rPr>
              <w:t>0.008</w:t>
            </w:r>
          </w:p>
        </w:tc>
      </w:tr>
      <w:tr w:rsidR="007F5C75" w14:paraId="0284F966" w14:textId="77777777" w:rsidTr="007F5C75">
        <w:trPr>
          <w:trHeight w:val="320"/>
        </w:trPr>
        <w:tc>
          <w:tcPr>
            <w:tcW w:w="1152" w:type="dxa"/>
            <w:tcBorders>
              <w:top w:val="nil"/>
              <w:left w:val="nil"/>
              <w:bottom w:val="nil"/>
              <w:right w:val="nil"/>
            </w:tcBorders>
            <w:shd w:val="clear" w:color="auto" w:fill="auto"/>
            <w:noWrap/>
            <w:vAlign w:val="bottom"/>
            <w:hideMark/>
          </w:tcPr>
          <w:p w14:paraId="4CF252B8" w14:textId="77777777" w:rsidR="007F5C75" w:rsidRDefault="007F5C75">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075C4CB7" w14:textId="77777777" w:rsidR="007F5C75" w:rsidRDefault="007F5C75">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AF7C339"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E094B22" w14:textId="77777777" w:rsidR="007F5C75" w:rsidRDefault="007F5C75">
            <w:pPr>
              <w:jc w:val="right"/>
              <w:rPr>
                <w:color w:val="000000"/>
                <w:sz w:val="20"/>
                <w:szCs w:val="20"/>
              </w:rPr>
            </w:pPr>
            <w:r>
              <w:rPr>
                <w:color w:val="000000"/>
                <w:sz w:val="20"/>
                <w:szCs w:val="20"/>
              </w:rPr>
              <w:t>0.991</w:t>
            </w:r>
          </w:p>
        </w:tc>
        <w:tc>
          <w:tcPr>
            <w:tcW w:w="864" w:type="dxa"/>
            <w:tcBorders>
              <w:top w:val="nil"/>
              <w:left w:val="nil"/>
              <w:bottom w:val="nil"/>
              <w:right w:val="nil"/>
            </w:tcBorders>
            <w:shd w:val="clear" w:color="auto" w:fill="auto"/>
            <w:noWrap/>
            <w:vAlign w:val="bottom"/>
            <w:hideMark/>
          </w:tcPr>
          <w:p w14:paraId="159420B6"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EB792EC" w14:textId="77777777" w:rsidR="007F5C75" w:rsidRDefault="007F5C75">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138C5967" w14:textId="77777777" w:rsidR="007F5C75" w:rsidRDefault="007F5C75">
            <w:pPr>
              <w:jc w:val="right"/>
              <w:rPr>
                <w:color w:val="000000"/>
                <w:sz w:val="20"/>
                <w:szCs w:val="20"/>
              </w:rPr>
            </w:pPr>
            <w:r>
              <w:rPr>
                <w:color w:val="000000"/>
                <w:sz w:val="20"/>
                <w:szCs w:val="20"/>
              </w:rPr>
              <w:t>0.601</w:t>
            </w:r>
          </w:p>
        </w:tc>
        <w:tc>
          <w:tcPr>
            <w:tcW w:w="864" w:type="dxa"/>
            <w:tcBorders>
              <w:top w:val="nil"/>
              <w:left w:val="nil"/>
              <w:bottom w:val="nil"/>
              <w:right w:val="nil"/>
            </w:tcBorders>
            <w:shd w:val="clear" w:color="auto" w:fill="auto"/>
            <w:noWrap/>
            <w:vAlign w:val="bottom"/>
            <w:hideMark/>
          </w:tcPr>
          <w:p w14:paraId="0A4E8D07" w14:textId="77777777" w:rsidR="007F5C75" w:rsidRDefault="007F5C75">
            <w:pPr>
              <w:jc w:val="right"/>
              <w:rPr>
                <w:color w:val="000000"/>
                <w:sz w:val="20"/>
                <w:szCs w:val="20"/>
              </w:rPr>
            </w:pPr>
            <w:r>
              <w:rPr>
                <w:color w:val="000000"/>
                <w:sz w:val="20"/>
                <w:szCs w:val="20"/>
              </w:rPr>
              <w:t>0.001</w:t>
            </w:r>
          </w:p>
        </w:tc>
      </w:tr>
      <w:tr w:rsidR="007F5C75" w14:paraId="44A3F251" w14:textId="77777777" w:rsidTr="007F5C75">
        <w:trPr>
          <w:trHeight w:val="320"/>
        </w:trPr>
        <w:tc>
          <w:tcPr>
            <w:tcW w:w="1152" w:type="dxa"/>
            <w:tcBorders>
              <w:top w:val="nil"/>
              <w:left w:val="nil"/>
              <w:bottom w:val="nil"/>
              <w:right w:val="nil"/>
            </w:tcBorders>
            <w:shd w:val="clear" w:color="auto" w:fill="auto"/>
            <w:noWrap/>
            <w:vAlign w:val="bottom"/>
            <w:hideMark/>
          </w:tcPr>
          <w:p w14:paraId="426065D8"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2FD442" w14:textId="77777777" w:rsidR="007F5C75" w:rsidRDefault="007F5C75">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0EEA8B7" w14:textId="77777777" w:rsidR="007F5C75" w:rsidRDefault="007F5C75">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6ECB4BEB" w14:textId="77777777" w:rsidR="007F5C75" w:rsidRDefault="007F5C75">
            <w:pPr>
              <w:jc w:val="right"/>
              <w:rPr>
                <w:color w:val="000000"/>
                <w:sz w:val="20"/>
                <w:szCs w:val="20"/>
              </w:rPr>
            </w:pPr>
            <w:r>
              <w:rPr>
                <w:color w:val="000000"/>
                <w:sz w:val="20"/>
                <w:szCs w:val="20"/>
              </w:rPr>
              <w:t>0.757</w:t>
            </w:r>
          </w:p>
        </w:tc>
        <w:tc>
          <w:tcPr>
            <w:tcW w:w="864" w:type="dxa"/>
            <w:tcBorders>
              <w:top w:val="nil"/>
              <w:left w:val="nil"/>
              <w:bottom w:val="nil"/>
              <w:right w:val="nil"/>
            </w:tcBorders>
            <w:shd w:val="clear" w:color="auto" w:fill="auto"/>
            <w:noWrap/>
            <w:vAlign w:val="bottom"/>
            <w:hideMark/>
          </w:tcPr>
          <w:p w14:paraId="082C759A"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CA858E8" w14:textId="77777777" w:rsidR="007F5C75" w:rsidRDefault="007F5C75">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51678C74" w14:textId="77777777" w:rsidR="007F5C75" w:rsidRDefault="007F5C75">
            <w:pPr>
              <w:jc w:val="right"/>
              <w:rPr>
                <w:color w:val="000000"/>
                <w:sz w:val="20"/>
                <w:szCs w:val="20"/>
              </w:rPr>
            </w:pPr>
            <w:r>
              <w:rPr>
                <w:color w:val="000000"/>
                <w:sz w:val="20"/>
                <w:szCs w:val="20"/>
              </w:rPr>
              <w:t>0.601</w:t>
            </w:r>
          </w:p>
        </w:tc>
        <w:tc>
          <w:tcPr>
            <w:tcW w:w="864" w:type="dxa"/>
            <w:tcBorders>
              <w:top w:val="nil"/>
              <w:left w:val="nil"/>
              <w:bottom w:val="nil"/>
              <w:right w:val="nil"/>
            </w:tcBorders>
            <w:shd w:val="clear" w:color="auto" w:fill="auto"/>
            <w:noWrap/>
            <w:vAlign w:val="bottom"/>
            <w:hideMark/>
          </w:tcPr>
          <w:p w14:paraId="0C84259F" w14:textId="77777777" w:rsidR="007F5C75" w:rsidRDefault="007F5C75">
            <w:pPr>
              <w:jc w:val="right"/>
              <w:rPr>
                <w:color w:val="000000"/>
                <w:sz w:val="20"/>
                <w:szCs w:val="20"/>
              </w:rPr>
            </w:pPr>
            <w:r>
              <w:rPr>
                <w:color w:val="000000"/>
                <w:sz w:val="20"/>
                <w:szCs w:val="20"/>
              </w:rPr>
              <w:t>0.001</w:t>
            </w:r>
          </w:p>
        </w:tc>
      </w:tr>
      <w:tr w:rsidR="007F5C75" w14:paraId="6D69F91B" w14:textId="77777777" w:rsidTr="007F5C75">
        <w:trPr>
          <w:trHeight w:val="320"/>
        </w:trPr>
        <w:tc>
          <w:tcPr>
            <w:tcW w:w="1152" w:type="dxa"/>
            <w:tcBorders>
              <w:top w:val="nil"/>
              <w:left w:val="nil"/>
              <w:bottom w:val="nil"/>
              <w:right w:val="nil"/>
            </w:tcBorders>
            <w:shd w:val="clear" w:color="auto" w:fill="auto"/>
            <w:noWrap/>
            <w:vAlign w:val="bottom"/>
            <w:hideMark/>
          </w:tcPr>
          <w:p w14:paraId="6093F80C"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79FD068" w14:textId="77777777" w:rsidR="007F5C75" w:rsidRDefault="007F5C75">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90AFCC6" w14:textId="77777777" w:rsidR="007F5C75" w:rsidRDefault="007F5C75">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75900D58" w14:textId="77777777" w:rsidR="007F5C75" w:rsidRDefault="007F5C75">
            <w:pPr>
              <w:jc w:val="right"/>
              <w:rPr>
                <w:color w:val="000000"/>
                <w:sz w:val="20"/>
                <w:szCs w:val="20"/>
              </w:rPr>
            </w:pPr>
            <w:r>
              <w:rPr>
                <w:color w:val="000000"/>
                <w:sz w:val="20"/>
                <w:szCs w:val="20"/>
              </w:rPr>
              <w:t>0.757</w:t>
            </w:r>
          </w:p>
        </w:tc>
        <w:tc>
          <w:tcPr>
            <w:tcW w:w="864" w:type="dxa"/>
            <w:tcBorders>
              <w:top w:val="nil"/>
              <w:left w:val="nil"/>
              <w:bottom w:val="nil"/>
              <w:right w:val="nil"/>
            </w:tcBorders>
            <w:shd w:val="clear" w:color="auto" w:fill="auto"/>
            <w:noWrap/>
            <w:vAlign w:val="bottom"/>
            <w:hideMark/>
          </w:tcPr>
          <w:p w14:paraId="325CEBDF"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1D18A14" w14:textId="77777777" w:rsidR="007F5C75" w:rsidRDefault="007F5C75">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4EAAE05B" w14:textId="77777777" w:rsidR="007F5C75" w:rsidRDefault="007F5C75">
            <w:pPr>
              <w:jc w:val="right"/>
              <w:rPr>
                <w:color w:val="000000"/>
                <w:sz w:val="20"/>
                <w:szCs w:val="20"/>
              </w:rPr>
            </w:pPr>
            <w:r>
              <w:rPr>
                <w:color w:val="000000"/>
                <w:sz w:val="20"/>
                <w:szCs w:val="20"/>
              </w:rPr>
              <w:t>0.601</w:t>
            </w:r>
          </w:p>
        </w:tc>
        <w:tc>
          <w:tcPr>
            <w:tcW w:w="864" w:type="dxa"/>
            <w:tcBorders>
              <w:top w:val="nil"/>
              <w:left w:val="nil"/>
              <w:bottom w:val="nil"/>
              <w:right w:val="nil"/>
            </w:tcBorders>
            <w:shd w:val="clear" w:color="auto" w:fill="auto"/>
            <w:noWrap/>
            <w:vAlign w:val="bottom"/>
            <w:hideMark/>
          </w:tcPr>
          <w:p w14:paraId="0C6DDAA7" w14:textId="77777777" w:rsidR="007F5C75" w:rsidRDefault="007F5C75">
            <w:pPr>
              <w:jc w:val="right"/>
              <w:rPr>
                <w:color w:val="000000"/>
                <w:sz w:val="20"/>
                <w:szCs w:val="20"/>
              </w:rPr>
            </w:pPr>
            <w:r>
              <w:rPr>
                <w:color w:val="000000"/>
                <w:sz w:val="20"/>
                <w:szCs w:val="20"/>
              </w:rPr>
              <w:t>0.000</w:t>
            </w:r>
          </w:p>
        </w:tc>
      </w:tr>
      <w:tr w:rsidR="007F5C75" w14:paraId="03FC75EA" w14:textId="77777777" w:rsidTr="007F5C75">
        <w:trPr>
          <w:trHeight w:val="320"/>
        </w:trPr>
        <w:tc>
          <w:tcPr>
            <w:tcW w:w="1152" w:type="dxa"/>
            <w:tcBorders>
              <w:top w:val="nil"/>
              <w:left w:val="nil"/>
              <w:bottom w:val="nil"/>
              <w:right w:val="nil"/>
            </w:tcBorders>
            <w:shd w:val="clear" w:color="auto" w:fill="auto"/>
            <w:noWrap/>
            <w:vAlign w:val="bottom"/>
            <w:hideMark/>
          </w:tcPr>
          <w:p w14:paraId="158662BE"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F86D615" w14:textId="77777777" w:rsidR="007F5C75" w:rsidRDefault="007F5C75">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2CFD345" w14:textId="77777777" w:rsidR="007F5C75" w:rsidRDefault="007F5C75">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09E8F0A3" w14:textId="77777777" w:rsidR="007F5C75" w:rsidRDefault="007F5C75">
            <w:pPr>
              <w:jc w:val="right"/>
              <w:rPr>
                <w:color w:val="000000"/>
                <w:sz w:val="20"/>
                <w:szCs w:val="20"/>
              </w:rPr>
            </w:pPr>
            <w:r>
              <w:rPr>
                <w:color w:val="000000"/>
                <w:sz w:val="20"/>
                <w:szCs w:val="20"/>
              </w:rPr>
              <w:t>0.112</w:t>
            </w:r>
          </w:p>
        </w:tc>
        <w:tc>
          <w:tcPr>
            <w:tcW w:w="864" w:type="dxa"/>
            <w:tcBorders>
              <w:top w:val="nil"/>
              <w:left w:val="nil"/>
              <w:bottom w:val="nil"/>
              <w:right w:val="nil"/>
            </w:tcBorders>
            <w:shd w:val="clear" w:color="auto" w:fill="auto"/>
            <w:noWrap/>
            <w:vAlign w:val="bottom"/>
            <w:hideMark/>
          </w:tcPr>
          <w:p w14:paraId="48644646" w14:textId="77777777" w:rsidR="007F5C75" w:rsidRDefault="007F5C75">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49E8D9F3" w14:textId="77777777" w:rsidR="007F5C75" w:rsidRDefault="007F5C75">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04FE160C" w14:textId="77777777" w:rsidR="007F5C75" w:rsidRDefault="007F5C75">
            <w:pPr>
              <w:jc w:val="right"/>
              <w:rPr>
                <w:color w:val="000000"/>
                <w:sz w:val="20"/>
                <w:szCs w:val="20"/>
              </w:rPr>
            </w:pPr>
            <w:r>
              <w:rPr>
                <w:color w:val="000000"/>
                <w:sz w:val="20"/>
                <w:szCs w:val="20"/>
              </w:rPr>
              <w:t>0.601</w:t>
            </w:r>
          </w:p>
        </w:tc>
        <w:tc>
          <w:tcPr>
            <w:tcW w:w="864" w:type="dxa"/>
            <w:tcBorders>
              <w:top w:val="nil"/>
              <w:left w:val="nil"/>
              <w:bottom w:val="nil"/>
              <w:right w:val="nil"/>
            </w:tcBorders>
            <w:shd w:val="clear" w:color="auto" w:fill="auto"/>
            <w:noWrap/>
            <w:vAlign w:val="bottom"/>
            <w:hideMark/>
          </w:tcPr>
          <w:p w14:paraId="22A08AE0" w14:textId="77777777" w:rsidR="007F5C75" w:rsidRDefault="007F5C75">
            <w:pPr>
              <w:jc w:val="right"/>
              <w:rPr>
                <w:color w:val="000000"/>
                <w:sz w:val="20"/>
                <w:szCs w:val="20"/>
              </w:rPr>
            </w:pPr>
            <w:r>
              <w:rPr>
                <w:color w:val="000000"/>
                <w:sz w:val="20"/>
                <w:szCs w:val="20"/>
              </w:rPr>
              <w:t>0.001</w:t>
            </w:r>
          </w:p>
        </w:tc>
      </w:tr>
      <w:tr w:rsidR="007F5C75" w14:paraId="3DE2688D" w14:textId="77777777" w:rsidTr="007F5C75">
        <w:trPr>
          <w:trHeight w:val="320"/>
        </w:trPr>
        <w:tc>
          <w:tcPr>
            <w:tcW w:w="1152" w:type="dxa"/>
            <w:tcBorders>
              <w:top w:val="nil"/>
              <w:left w:val="nil"/>
              <w:bottom w:val="nil"/>
              <w:right w:val="nil"/>
            </w:tcBorders>
            <w:shd w:val="clear" w:color="auto" w:fill="auto"/>
            <w:noWrap/>
            <w:vAlign w:val="bottom"/>
            <w:hideMark/>
          </w:tcPr>
          <w:p w14:paraId="074450E0"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2DF640F" w14:textId="77777777" w:rsidR="007F5C75" w:rsidRDefault="007F5C75">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F0E869E" w14:textId="77777777" w:rsidR="007F5C75" w:rsidRDefault="007F5C75">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B4F15D7" w14:textId="77777777" w:rsidR="007F5C75" w:rsidRDefault="007F5C75">
            <w:pPr>
              <w:jc w:val="right"/>
              <w:rPr>
                <w:color w:val="000000"/>
                <w:sz w:val="20"/>
                <w:szCs w:val="20"/>
              </w:rPr>
            </w:pPr>
            <w:r>
              <w:rPr>
                <w:color w:val="000000"/>
                <w:sz w:val="20"/>
                <w:szCs w:val="20"/>
              </w:rPr>
              <w:t>0.991</w:t>
            </w:r>
          </w:p>
        </w:tc>
        <w:tc>
          <w:tcPr>
            <w:tcW w:w="864" w:type="dxa"/>
            <w:tcBorders>
              <w:top w:val="nil"/>
              <w:left w:val="nil"/>
              <w:bottom w:val="nil"/>
              <w:right w:val="nil"/>
            </w:tcBorders>
            <w:shd w:val="clear" w:color="auto" w:fill="auto"/>
            <w:noWrap/>
            <w:vAlign w:val="bottom"/>
            <w:hideMark/>
          </w:tcPr>
          <w:p w14:paraId="0405CD06"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D971294" w14:textId="77777777" w:rsidR="007F5C75" w:rsidRDefault="007F5C75">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57B0A8D5" w14:textId="77777777" w:rsidR="007F5C75" w:rsidRDefault="007F5C75">
            <w:pPr>
              <w:jc w:val="right"/>
              <w:rPr>
                <w:color w:val="000000"/>
                <w:sz w:val="20"/>
                <w:szCs w:val="20"/>
              </w:rPr>
            </w:pPr>
            <w:r>
              <w:rPr>
                <w:color w:val="000000"/>
                <w:sz w:val="20"/>
                <w:szCs w:val="20"/>
              </w:rPr>
              <w:t>0.601</w:t>
            </w:r>
          </w:p>
        </w:tc>
        <w:tc>
          <w:tcPr>
            <w:tcW w:w="864" w:type="dxa"/>
            <w:tcBorders>
              <w:top w:val="nil"/>
              <w:left w:val="nil"/>
              <w:bottom w:val="nil"/>
              <w:right w:val="nil"/>
            </w:tcBorders>
            <w:shd w:val="clear" w:color="auto" w:fill="auto"/>
            <w:noWrap/>
            <w:vAlign w:val="bottom"/>
            <w:hideMark/>
          </w:tcPr>
          <w:p w14:paraId="2F49D0F7" w14:textId="77777777" w:rsidR="007F5C75" w:rsidRDefault="007F5C75">
            <w:pPr>
              <w:jc w:val="right"/>
              <w:rPr>
                <w:color w:val="000000"/>
                <w:sz w:val="20"/>
                <w:szCs w:val="20"/>
              </w:rPr>
            </w:pPr>
            <w:r>
              <w:rPr>
                <w:color w:val="000000"/>
                <w:sz w:val="20"/>
                <w:szCs w:val="20"/>
              </w:rPr>
              <w:t>0.000</w:t>
            </w:r>
          </w:p>
        </w:tc>
      </w:tr>
      <w:tr w:rsidR="007F5C75" w14:paraId="58FC011C" w14:textId="77777777" w:rsidTr="007F5C75">
        <w:trPr>
          <w:trHeight w:val="320"/>
        </w:trPr>
        <w:tc>
          <w:tcPr>
            <w:tcW w:w="1152" w:type="dxa"/>
            <w:tcBorders>
              <w:top w:val="nil"/>
              <w:left w:val="nil"/>
              <w:bottom w:val="nil"/>
              <w:right w:val="nil"/>
            </w:tcBorders>
            <w:shd w:val="clear" w:color="auto" w:fill="auto"/>
            <w:noWrap/>
            <w:vAlign w:val="bottom"/>
            <w:hideMark/>
          </w:tcPr>
          <w:p w14:paraId="31D1B460"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501A7D5" w14:textId="77777777" w:rsidR="007F5C75" w:rsidRDefault="007F5C75">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B9071DE" w14:textId="77777777" w:rsidR="007F5C75" w:rsidRDefault="007F5C75">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F6D232C" w14:textId="77777777" w:rsidR="007F5C75" w:rsidRDefault="007F5C75">
            <w:pPr>
              <w:jc w:val="right"/>
              <w:rPr>
                <w:color w:val="000000"/>
                <w:sz w:val="20"/>
                <w:szCs w:val="20"/>
              </w:rPr>
            </w:pPr>
            <w:r>
              <w:rPr>
                <w:color w:val="000000"/>
                <w:sz w:val="20"/>
                <w:szCs w:val="20"/>
              </w:rPr>
              <w:t>0.991</w:t>
            </w:r>
          </w:p>
        </w:tc>
        <w:tc>
          <w:tcPr>
            <w:tcW w:w="864" w:type="dxa"/>
            <w:tcBorders>
              <w:top w:val="nil"/>
              <w:left w:val="nil"/>
              <w:bottom w:val="nil"/>
              <w:right w:val="nil"/>
            </w:tcBorders>
            <w:shd w:val="clear" w:color="auto" w:fill="auto"/>
            <w:noWrap/>
            <w:vAlign w:val="bottom"/>
            <w:hideMark/>
          </w:tcPr>
          <w:p w14:paraId="08EB1A71" w14:textId="77777777" w:rsidR="007F5C75" w:rsidRDefault="007F5C75">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E621128" w14:textId="77777777" w:rsidR="007F5C75" w:rsidRDefault="007F5C75">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5338F689" w14:textId="77777777" w:rsidR="007F5C75" w:rsidRDefault="007F5C75">
            <w:pPr>
              <w:jc w:val="right"/>
              <w:rPr>
                <w:color w:val="000000"/>
                <w:sz w:val="20"/>
                <w:szCs w:val="20"/>
              </w:rPr>
            </w:pPr>
            <w:r>
              <w:rPr>
                <w:color w:val="000000"/>
                <w:sz w:val="20"/>
                <w:szCs w:val="20"/>
              </w:rPr>
              <w:t>0.601</w:t>
            </w:r>
          </w:p>
        </w:tc>
        <w:tc>
          <w:tcPr>
            <w:tcW w:w="864" w:type="dxa"/>
            <w:tcBorders>
              <w:top w:val="nil"/>
              <w:left w:val="nil"/>
              <w:bottom w:val="nil"/>
              <w:right w:val="nil"/>
            </w:tcBorders>
            <w:shd w:val="clear" w:color="auto" w:fill="auto"/>
            <w:noWrap/>
            <w:vAlign w:val="bottom"/>
            <w:hideMark/>
          </w:tcPr>
          <w:p w14:paraId="4B56B8CA" w14:textId="77777777" w:rsidR="007F5C75" w:rsidRDefault="007F5C75">
            <w:pPr>
              <w:jc w:val="right"/>
              <w:rPr>
                <w:color w:val="000000"/>
                <w:sz w:val="20"/>
                <w:szCs w:val="20"/>
              </w:rPr>
            </w:pPr>
            <w:r>
              <w:rPr>
                <w:color w:val="000000"/>
                <w:sz w:val="20"/>
                <w:szCs w:val="20"/>
              </w:rPr>
              <w:t>0.000</w:t>
            </w:r>
          </w:p>
        </w:tc>
      </w:tr>
      <w:tr w:rsidR="007F5C75" w14:paraId="7B10F2AA" w14:textId="77777777" w:rsidTr="007F5C75">
        <w:trPr>
          <w:trHeight w:val="320"/>
        </w:trPr>
        <w:tc>
          <w:tcPr>
            <w:tcW w:w="1152" w:type="dxa"/>
            <w:tcBorders>
              <w:top w:val="nil"/>
              <w:left w:val="nil"/>
              <w:bottom w:val="nil"/>
              <w:right w:val="nil"/>
            </w:tcBorders>
            <w:shd w:val="clear" w:color="auto" w:fill="auto"/>
            <w:noWrap/>
            <w:vAlign w:val="bottom"/>
            <w:hideMark/>
          </w:tcPr>
          <w:p w14:paraId="56C3864F" w14:textId="77777777" w:rsidR="007F5C75" w:rsidRDefault="007F5C75">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6045732" w14:textId="77777777" w:rsidR="007F5C75" w:rsidRDefault="007F5C75">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F91F27B" w14:textId="77777777" w:rsidR="007F5C75" w:rsidRDefault="007F5C75">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6D101FF0" w14:textId="77777777" w:rsidR="007F5C75" w:rsidRDefault="007F5C75">
            <w:pPr>
              <w:jc w:val="right"/>
              <w:rPr>
                <w:color w:val="000000"/>
                <w:sz w:val="20"/>
                <w:szCs w:val="20"/>
              </w:rPr>
            </w:pPr>
            <w:r>
              <w:rPr>
                <w:color w:val="000000"/>
                <w:sz w:val="20"/>
                <w:szCs w:val="20"/>
              </w:rPr>
              <w:t>0.176</w:t>
            </w:r>
          </w:p>
        </w:tc>
        <w:tc>
          <w:tcPr>
            <w:tcW w:w="864" w:type="dxa"/>
            <w:tcBorders>
              <w:top w:val="nil"/>
              <w:left w:val="nil"/>
              <w:bottom w:val="nil"/>
              <w:right w:val="nil"/>
            </w:tcBorders>
            <w:shd w:val="clear" w:color="auto" w:fill="auto"/>
            <w:noWrap/>
            <w:vAlign w:val="bottom"/>
            <w:hideMark/>
          </w:tcPr>
          <w:p w14:paraId="1EA6306D" w14:textId="77777777" w:rsidR="007F5C75" w:rsidRDefault="007F5C75">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689C9159" w14:textId="77777777" w:rsidR="007F5C75" w:rsidRDefault="007F5C75">
            <w:pPr>
              <w:jc w:val="right"/>
              <w:rPr>
                <w:color w:val="000000"/>
                <w:sz w:val="20"/>
                <w:szCs w:val="20"/>
              </w:rPr>
            </w:pPr>
            <w:r>
              <w:rPr>
                <w:color w:val="000000"/>
                <w:sz w:val="20"/>
                <w:szCs w:val="20"/>
              </w:rPr>
              <w:t>-0.069</w:t>
            </w:r>
          </w:p>
        </w:tc>
        <w:tc>
          <w:tcPr>
            <w:tcW w:w="864" w:type="dxa"/>
            <w:tcBorders>
              <w:top w:val="nil"/>
              <w:left w:val="nil"/>
              <w:bottom w:val="nil"/>
              <w:right w:val="nil"/>
            </w:tcBorders>
            <w:shd w:val="clear" w:color="auto" w:fill="auto"/>
            <w:noWrap/>
            <w:vAlign w:val="bottom"/>
            <w:hideMark/>
          </w:tcPr>
          <w:p w14:paraId="5980F5AC" w14:textId="77777777" w:rsidR="007F5C75" w:rsidRDefault="007F5C75">
            <w:pPr>
              <w:jc w:val="right"/>
              <w:rPr>
                <w:color w:val="000000"/>
                <w:sz w:val="20"/>
                <w:szCs w:val="20"/>
              </w:rPr>
            </w:pPr>
            <w:r>
              <w:rPr>
                <w:color w:val="000000"/>
                <w:sz w:val="20"/>
                <w:szCs w:val="20"/>
              </w:rPr>
              <w:t>0.144</w:t>
            </w:r>
          </w:p>
        </w:tc>
        <w:tc>
          <w:tcPr>
            <w:tcW w:w="864" w:type="dxa"/>
            <w:tcBorders>
              <w:top w:val="nil"/>
              <w:left w:val="nil"/>
              <w:bottom w:val="nil"/>
              <w:right w:val="nil"/>
            </w:tcBorders>
            <w:shd w:val="clear" w:color="auto" w:fill="auto"/>
            <w:noWrap/>
            <w:vAlign w:val="bottom"/>
            <w:hideMark/>
          </w:tcPr>
          <w:p w14:paraId="435DA85E" w14:textId="77777777" w:rsidR="007F5C75" w:rsidRDefault="007F5C75">
            <w:pPr>
              <w:jc w:val="right"/>
              <w:rPr>
                <w:color w:val="000000"/>
                <w:sz w:val="20"/>
                <w:szCs w:val="20"/>
              </w:rPr>
            </w:pPr>
            <w:r>
              <w:rPr>
                <w:color w:val="000000"/>
                <w:sz w:val="20"/>
                <w:szCs w:val="20"/>
              </w:rPr>
              <w:t>0.005</w:t>
            </w:r>
          </w:p>
        </w:tc>
      </w:tr>
      <w:tr w:rsidR="007F5C75" w14:paraId="1AA50446"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543A5FC3" w14:textId="77777777" w:rsidR="007F5C75" w:rsidRDefault="007F5C75">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5E78AD5B" w14:textId="77777777" w:rsidR="007F5C75" w:rsidRDefault="007F5C75">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569F5D04" w14:textId="77777777" w:rsidR="007F5C75" w:rsidRDefault="007F5C75">
            <w:pPr>
              <w:jc w:val="right"/>
              <w:rPr>
                <w:color w:val="000000"/>
                <w:sz w:val="20"/>
                <w:szCs w:val="20"/>
              </w:rPr>
            </w:pPr>
            <w:r>
              <w:rPr>
                <w:color w:val="000000"/>
                <w:sz w:val="20"/>
                <w:szCs w:val="20"/>
              </w:rPr>
              <w:t>0.025</w:t>
            </w:r>
          </w:p>
        </w:tc>
        <w:tc>
          <w:tcPr>
            <w:tcW w:w="864" w:type="dxa"/>
            <w:tcBorders>
              <w:top w:val="nil"/>
              <w:left w:val="nil"/>
              <w:bottom w:val="single" w:sz="12" w:space="0" w:color="auto"/>
              <w:right w:val="nil"/>
            </w:tcBorders>
            <w:shd w:val="clear" w:color="auto" w:fill="auto"/>
            <w:noWrap/>
            <w:vAlign w:val="bottom"/>
            <w:hideMark/>
          </w:tcPr>
          <w:p w14:paraId="3AC03DF1" w14:textId="77777777" w:rsidR="007F5C75" w:rsidRDefault="007F5C75">
            <w:pPr>
              <w:jc w:val="right"/>
              <w:rPr>
                <w:color w:val="000000"/>
                <w:sz w:val="20"/>
                <w:szCs w:val="20"/>
              </w:rPr>
            </w:pPr>
            <w:r>
              <w:rPr>
                <w:color w:val="000000"/>
                <w:sz w:val="20"/>
                <w:szCs w:val="20"/>
              </w:rPr>
              <w:t>0.757</w:t>
            </w:r>
          </w:p>
        </w:tc>
        <w:tc>
          <w:tcPr>
            <w:tcW w:w="864" w:type="dxa"/>
            <w:tcBorders>
              <w:top w:val="nil"/>
              <w:left w:val="nil"/>
              <w:bottom w:val="single" w:sz="12" w:space="0" w:color="auto"/>
              <w:right w:val="nil"/>
            </w:tcBorders>
            <w:shd w:val="clear" w:color="auto" w:fill="auto"/>
            <w:noWrap/>
            <w:vAlign w:val="bottom"/>
            <w:hideMark/>
          </w:tcPr>
          <w:p w14:paraId="7C151812" w14:textId="77777777" w:rsidR="007F5C75" w:rsidRDefault="007F5C75">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50495C5B" w14:textId="77777777" w:rsidR="007F5C75" w:rsidRDefault="007F5C75">
            <w:pPr>
              <w:jc w:val="right"/>
              <w:rPr>
                <w:color w:val="000000"/>
                <w:sz w:val="20"/>
                <w:szCs w:val="20"/>
              </w:rPr>
            </w:pPr>
            <w:r>
              <w:rPr>
                <w:color w:val="000000"/>
                <w:sz w:val="20"/>
                <w:szCs w:val="20"/>
              </w:rPr>
              <w:t>-0.089</w:t>
            </w:r>
          </w:p>
        </w:tc>
        <w:tc>
          <w:tcPr>
            <w:tcW w:w="864" w:type="dxa"/>
            <w:tcBorders>
              <w:top w:val="nil"/>
              <w:left w:val="nil"/>
              <w:bottom w:val="single" w:sz="12" w:space="0" w:color="auto"/>
              <w:right w:val="nil"/>
            </w:tcBorders>
            <w:shd w:val="clear" w:color="auto" w:fill="auto"/>
            <w:noWrap/>
            <w:vAlign w:val="bottom"/>
            <w:hideMark/>
          </w:tcPr>
          <w:p w14:paraId="2968E59A" w14:textId="77777777" w:rsidR="007F5C75" w:rsidRDefault="007F5C75">
            <w:pPr>
              <w:jc w:val="right"/>
              <w:rPr>
                <w:color w:val="000000"/>
                <w:sz w:val="20"/>
                <w:szCs w:val="20"/>
              </w:rPr>
            </w:pPr>
            <w:r>
              <w:rPr>
                <w:color w:val="000000"/>
                <w:sz w:val="20"/>
                <w:szCs w:val="20"/>
              </w:rPr>
              <w:t>0.056</w:t>
            </w:r>
          </w:p>
        </w:tc>
        <w:tc>
          <w:tcPr>
            <w:tcW w:w="864" w:type="dxa"/>
            <w:tcBorders>
              <w:top w:val="nil"/>
              <w:left w:val="nil"/>
              <w:bottom w:val="single" w:sz="12" w:space="0" w:color="auto"/>
              <w:right w:val="nil"/>
            </w:tcBorders>
            <w:shd w:val="clear" w:color="auto" w:fill="auto"/>
            <w:noWrap/>
            <w:vAlign w:val="bottom"/>
            <w:hideMark/>
          </w:tcPr>
          <w:p w14:paraId="383D16EB" w14:textId="77777777" w:rsidR="007F5C75" w:rsidRDefault="007F5C75">
            <w:pPr>
              <w:jc w:val="right"/>
              <w:rPr>
                <w:color w:val="000000"/>
                <w:sz w:val="20"/>
                <w:szCs w:val="20"/>
              </w:rPr>
            </w:pPr>
            <w:r>
              <w:rPr>
                <w:color w:val="000000"/>
                <w:sz w:val="20"/>
                <w:szCs w:val="20"/>
              </w:rPr>
              <w:t>0.008</w:t>
            </w:r>
          </w:p>
        </w:tc>
      </w:tr>
      <w:tr w:rsidR="007F5C75" w14:paraId="5E49844C"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47A1AF2C" w14:textId="77777777" w:rsidR="007F5C75" w:rsidRDefault="007F5C75">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20C9F83D" w14:textId="77777777" w:rsidR="007F5C75" w:rsidRDefault="007F5C7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F44FA0C" w14:textId="77777777" w:rsidR="007F5C75" w:rsidRDefault="007F5C7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4399FEA" w14:textId="77777777" w:rsidR="007F5C75" w:rsidRDefault="007F5C7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1B889BC" w14:textId="77777777" w:rsidR="007F5C75" w:rsidRDefault="007F5C7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F88ADD7" w14:textId="77777777" w:rsidR="007F5C75" w:rsidRDefault="007F5C7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981E1F4" w14:textId="77777777" w:rsidR="007F5C75" w:rsidRDefault="007F5C75">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6C63E1B" w14:textId="77777777" w:rsidR="007F5C75" w:rsidRDefault="007F5C75">
            <w:pPr>
              <w:rPr>
                <w:sz w:val="20"/>
                <w:szCs w:val="20"/>
              </w:rPr>
            </w:pPr>
          </w:p>
        </w:tc>
      </w:tr>
    </w:tbl>
    <w:p w14:paraId="428B0F3A" w14:textId="77777777" w:rsidR="007F5C75" w:rsidRPr="007F5C75" w:rsidRDefault="007F5C75" w:rsidP="007F5C75"/>
    <w:p w14:paraId="45478385" w14:textId="1D443EA9" w:rsidR="00CF3F1A" w:rsidRDefault="00CF3F1A">
      <w:pPr>
        <w:rPr>
          <w:rFonts w:ascii="Batang" w:eastAsia="Batang" w:hAnsi="Batang" w:cs="Batang"/>
          <w:color w:val="000000"/>
        </w:rPr>
      </w:pPr>
      <w:r>
        <w:rPr>
          <w:rFonts w:ascii="Batang" w:eastAsia="Batang" w:hAnsi="Batang" w:cs="Batang"/>
          <w:color w:val="000000"/>
        </w:rPr>
        <w:br w:type="page"/>
      </w:r>
    </w:p>
    <w:p w14:paraId="3E0BB85A" w14:textId="6BB5255A" w:rsidR="00CF3F1A" w:rsidRDefault="00CF3F1A" w:rsidP="00CF3F1A">
      <w:pPr>
        <w:pStyle w:val="Heading1"/>
        <w:rPr>
          <w:rFonts w:ascii="Times New Roman" w:hAnsi="Times New Roman" w:cs="Times New Roman"/>
          <w:color w:val="000000" w:themeColor="text1"/>
          <w:sz w:val="24"/>
          <w:szCs w:val="24"/>
        </w:rPr>
      </w:pPr>
      <w:bookmarkStart w:id="72" w:name="_Toc155817739"/>
      <w:r w:rsidRPr="00926183">
        <w:rPr>
          <w:rFonts w:ascii="Times New Roman" w:hAnsi="Times New Roman" w:cs="Times New Roman"/>
          <w:b/>
          <w:bCs/>
          <w:color w:val="000000" w:themeColor="text1"/>
          <w:sz w:val="24"/>
          <w:szCs w:val="24"/>
        </w:rPr>
        <w:lastRenderedPageBreak/>
        <w:t>Table 2</w:t>
      </w:r>
      <w:r w:rsidR="0036523A" w:rsidRPr="00926183">
        <w:rPr>
          <w:rFonts w:ascii="Times New Roman" w:hAnsi="Times New Roman" w:cs="Times New Roman"/>
          <w:b/>
          <w:bCs/>
          <w:color w:val="000000" w:themeColor="text1"/>
          <w:sz w:val="24"/>
          <w:szCs w:val="24"/>
        </w:rPr>
        <w:t>7</w:t>
      </w:r>
      <w:r w:rsidR="00B751D3">
        <w:rPr>
          <w:rFonts w:ascii="Times New Roman" w:hAnsi="Times New Roman" w:cs="Times New Roman"/>
          <w:b/>
          <w:bCs/>
          <w:color w:val="000000" w:themeColor="text1"/>
          <w:sz w:val="24"/>
          <w:szCs w:val="24"/>
        </w:rPr>
        <w:t>i</w:t>
      </w:r>
      <w:r w:rsidRPr="00926183">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w:t>
      </w:r>
      <w:r w:rsidR="007F5B99">
        <w:rPr>
          <w:rFonts w:ascii="Times New Roman" w:hAnsi="Times New Roman" w:cs="Times New Roman"/>
          <w:color w:val="000000" w:themeColor="text1"/>
          <w:sz w:val="24"/>
          <w:szCs w:val="24"/>
        </w:rPr>
        <w:t>local efficiency</w:t>
      </w:r>
      <w:r>
        <w:rPr>
          <w:rFonts w:ascii="Times New Roman" w:hAnsi="Times New Roman" w:cs="Times New Roman"/>
          <w:color w:val="000000" w:themeColor="text1"/>
          <w:sz w:val="24"/>
          <w:szCs w:val="24"/>
        </w:rPr>
        <w:t xml:space="preserve"> and neighborhood SES deprivation obtained from bifactor modeling and neighborhood median income during emotional n-back task</w:t>
      </w:r>
      <w:bookmarkEnd w:id="72"/>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0147A0" w14:paraId="3F2F53B0" w14:textId="77777777" w:rsidTr="00F132FA">
        <w:trPr>
          <w:trHeight w:val="280"/>
        </w:trPr>
        <w:tc>
          <w:tcPr>
            <w:tcW w:w="1152" w:type="dxa"/>
            <w:tcBorders>
              <w:top w:val="nil"/>
              <w:left w:val="nil"/>
              <w:bottom w:val="single" w:sz="12" w:space="0" w:color="auto"/>
              <w:right w:val="nil"/>
            </w:tcBorders>
            <w:shd w:val="clear" w:color="auto" w:fill="auto"/>
            <w:noWrap/>
            <w:vAlign w:val="bottom"/>
            <w:hideMark/>
          </w:tcPr>
          <w:p w14:paraId="558BD898" w14:textId="77777777" w:rsidR="000147A0" w:rsidRDefault="000147A0">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bottom"/>
            <w:hideMark/>
          </w:tcPr>
          <w:p w14:paraId="71012F3C" w14:textId="77777777" w:rsidR="000147A0" w:rsidRDefault="000147A0">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557DFFD7" w14:textId="77777777" w:rsidR="000147A0" w:rsidRDefault="000147A0">
            <w:pPr>
              <w:rPr>
                <w:color w:val="000000"/>
                <w:sz w:val="20"/>
                <w:szCs w:val="20"/>
              </w:rPr>
            </w:pPr>
          </w:p>
        </w:tc>
        <w:tc>
          <w:tcPr>
            <w:tcW w:w="864" w:type="dxa"/>
            <w:tcBorders>
              <w:top w:val="nil"/>
              <w:left w:val="nil"/>
              <w:bottom w:val="single" w:sz="12" w:space="0" w:color="auto"/>
              <w:right w:val="nil"/>
            </w:tcBorders>
            <w:shd w:val="clear" w:color="auto" w:fill="auto"/>
            <w:noWrap/>
            <w:vAlign w:val="bottom"/>
            <w:hideMark/>
          </w:tcPr>
          <w:p w14:paraId="5DCCBC70" w14:textId="77777777" w:rsidR="000147A0" w:rsidRDefault="000147A0">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265ECA8" w14:textId="77777777" w:rsidR="000147A0" w:rsidRDefault="000147A0">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B34A5F2" w14:textId="77777777" w:rsidR="000147A0" w:rsidRDefault="000147A0">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DCF289A" w14:textId="77777777" w:rsidR="000147A0" w:rsidRDefault="000147A0">
            <w:pPr>
              <w:rPr>
                <w:sz w:val="20"/>
                <w:szCs w:val="20"/>
              </w:rPr>
            </w:pPr>
          </w:p>
        </w:tc>
        <w:tc>
          <w:tcPr>
            <w:tcW w:w="864" w:type="dxa"/>
            <w:tcBorders>
              <w:top w:val="nil"/>
              <w:left w:val="nil"/>
              <w:bottom w:val="nil"/>
              <w:right w:val="nil"/>
            </w:tcBorders>
            <w:shd w:val="clear" w:color="auto" w:fill="auto"/>
            <w:noWrap/>
            <w:vAlign w:val="bottom"/>
            <w:hideMark/>
          </w:tcPr>
          <w:p w14:paraId="6F55872A" w14:textId="77777777" w:rsidR="000147A0" w:rsidRDefault="000147A0">
            <w:pPr>
              <w:rPr>
                <w:sz w:val="20"/>
                <w:szCs w:val="20"/>
              </w:rPr>
            </w:pPr>
          </w:p>
        </w:tc>
      </w:tr>
      <w:tr w:rsidR="000147A0" w14:paraId="705BAB72"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15AA637A" w14:textId="77777777" w:rsidR="000147A0" w:rsidRDefault="000147A0">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44B6FF4F" w14:textId="77777777" w:rsidR="000147A0" w:rsidRDefault="000147A0">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3B6D582F" w14:textId="77777777" w:rsidR="000147A0" w:rsidRDefault="000147A0">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6CDCDEC9" w14:textId="77777777" w:rsidR="000147A0" w:rsidRDefault="000147A0">
            <w:pPr>
              <w:jc w:val="center"/>
              <w:rPr>
                <w:color w:val="000000"/>
                <w:sz w:val="20"/>
                <w:szCs w:val="20"/>
              </w:rPr>
            </w:pPr>
            <w:r>
              <w:rPr>
                <w:color w:val="000000"/>
                <w:sz w:val="20"/>
                <w:szCs w:val="20"/>
              </w:rPr>
              <w:t>Neighborhood Median Income</w:t>
            </w:r>
          </w:p>
        </w:tc>
      </w:tr>
      <w:tr w:rsidR="000147A0" w14:paraId="5B398743"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07CD19F2" w14:textId="77777777" w:rsidR="000147A0" w:rsidRDefault="000147A0">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6269112F" w14:textId="77777777" w:rsidR="000147A0" w:rsidRDefault="000147A0">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73C521B8" w14:textId="77777777" w:rsidR="000147A0" w:rsidRDefault="000147A0">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6CAB9464" w14:textId="77777777" w:rsidR="000147A0" w:rsidRDefault="000147A0">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0D68A69C" w14:textId="77777777" w:rsidR="000147A0" w:rsidRDefault="000147A0">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02CC5FE7" w14:textId="77777777" w:rsidR="000147A0" w:rsidRDefault="000147A0">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587E15A" w14:textId="77777777" w:rsidR="000147A0" w:rsidRDefault="000147A0">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78DD41FD" w14:textId="77777777" w:rsidR="000147A0" w:rsidRDefault="000147A0">
            <w:pPr>
              <w:jc w:val="center"/>
              <w:rPr>
                <w:i/>
                <w:iCs/>
                <w:color w:val="000000"/>
                <w:sz w:val="20"/>
                <w:szCs w:val="20"/>
              </w:rPr>
            </w:pPr>
            <w:r>
              <w:rPr>
                <w:i/>
                <w:iCs/>
                <w:color w:val="000000"/>
                <w:sz w:val="20"/>
                <w:szCs w:val="20"/>
              </w:rPr>
              <w:t>R2</w:t>
            </w:r>
          </w:p>
        </w:tc>
      </w:tr>
      <w:tr w:rsidR="000147A0" w14:paraId="5DCE54C9" w14:textId="77777777" w:rsidTr="00F132FA">
        <w:trPr>
          <w:trHeight w:val="260"/>
        </w:trPr>
        <w:tc>
          <w:tcPr>
            <w:tcW w:w="1152" w:type="dxa"/>
            <w:tcBorders>
              <w:top w:val="single" w:sz="12" w:space="0" w:color="auto"/>
              <w:left w:val="nil"/>
              <w:bottom w:val="nil"/>
              <w:right w:val="nil"/>
            </w:tcBorders>
            <w:shd w:val="clear" w:color="auto" w:fill="auto"/>
            <w:noWrap/>
            <w:vAlign w:val="bottom"/>
            <w:hideMark/>
          </w:tcPr>
          <w:p w14:paraId="4906F506" w14:textId="77777777" w:rsidR="000147A0" w:rsidRDefault="000147A0">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2AF2BF4C" w14:textId="77777777" w:rsidR="000147A0" w:rsidRDefault="000147A0">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3DA19177" w14:textId="77777777" w:rsidR="000147A0" w:rsidRDefault="000147A0">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7A564750" w14:textId="77777777" w:rsidR="000147A0" w:rsidRDefault="000147A0">
            <w:pPr>
              <w:jc w:val="right"/>
              <w:rPr>
                <w:color w:val="000000"/>
                <w:sz w:val="20"/>
                <w:szCs w:val="20"/>
              </w:rPr>
            </w:pPr>
            <w:r>
              <w:rPr>
                <w:color w:val="000000"/>
                <w:sz w:val="20"/>
                <w:szCs w:val="20"/>
              </w:rPr>
              <w:t>0.974</w:t>
            </w:r>
          </w:p>
        </w:tc>
        <w:tc>
          <w:tcPr>
            <w:tcW w:w="864" w:type="dxa"/>
            <w:tcBorders>
              <w:top w:val="single" w:sz="12" w:space="0" w:color="auto"/>
              <w:left w:val="nil"/>
              <w:bottom w:val="nil"/>
              <w:right w:val="nil"/>
            </w:tcBorders>
            <w:shd w:val="clear" w:color="auto" w:fill="auto"/>
            <w:noWrap/>
            <w:vAlign w:val="bottom"/>
            <w:hideMark/>
          </w:tcPr>
          <w:p w14:paraId="5AFAB408" w14:textId="77777777" w:rsidR="000147A0" w:rsidRDefault="000147A0">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5ED98D5E" w14:textId="77777777" w:rsidR="000147A0" w:rsidRDefault="000147A0">
            <w:pPr>
              <w:jc w:val="right"/>
              <w:rPr>
                <w:color w:val="000000"/>
                <w:sz w:val="20"/>
                <w:szCs w:val="20"/>
              </w:rPr>
            </w:pPr>
            <w:r>
              <w:rPr>
                <w:color w:val="000000"/>
                <w:sz w:val="20"/>
                <w:szCs w:val="20"/>
              </w:rPr>
              <w:t>0.009</w:t>
            </w:r>
          </w:p>
        </w:tc>
        <w:tc>
          <w:tcPr>
            <w:tcW w:w="864" w:type="dxa"/>
            <w:tcBorders>
              <w:top w:val="single" w:sz="12" w:space="0" w:color="auto"/>
              <w:left w:val="nil"/>
              <w:bottom w:val="nil"/>
              <w:right w:val="nil"/>
            </w:tcBorders>
            <w:shd w:val="clear" w:color="auto" w:fill="auto"/>
            <w:noWrap/>
            <w:vAlign w:val="bottom"/>
            <w:hideMark/>
          </w:tcPr>
          <w:p w14:paraId="5B112FA8" w14:textId="77777777" w:rsidR="000147A0" w:rsidRDefault="000147A0">
            <w:pPr>
              <w:jc w:val="right"/>
              <w:rPr>
                <w:color w:val="000000"/>
                <w:sz w:val="20"/>
                <w:szCs w:val="20"/>
              </w:rPr>
            </w:pPr>
            <w:r>
              <w:rPr>
                <w:color w:val="000000"/>
                <w:sz w:val="20"/>
                <w:szCs w:val="20"/>
              </w:rPr>
              <w:t>0.819</w:t>
            </w:r>
          </w:p>
        </w:tc>
        <w:tc>
          <w:tcPr>
            <w:tcW w:w="864" w:type="dxa"/>
            <w:tcBorders>
              <w:top w:val="single" w:sz="12" w:space="0" w:color="auto"/>
              <w:left w:val="nil"/>
              <w:bottom w:val="nil"/>
              <w:right w:val="nil"/>
            </w:tcBorders>
            <w:shd w:val="clear" w:color="auto" w:fill="auto"/>
            <w:noWrap/>
            <w:vAlign w:val="bottom"/>
            <w:hideMark/>
          </w:tcPr>
          <w:p w14:paraId="3D5E1813" w14:textId="77777777" w:rsidR="000147A0" w:rsidRDefault="000147A0">
            <w:pPr>
              <w:jc w:val="right"/>
              <w:rPr>
                <w:color w:val="000000"/>
                <w:sz w:val="20"/>
                <w:szCs w:val="20"/>
              </w:rPr>
            </w:pPr>
            <w:r>
              <w:rPr>
                <w:color w:val="000000"/>
                <w:sz w:val="20"/>
                <w:szCs w:val="20"/>
              </w:rPr>
              <w:t>0.000</w:t>
            </w:r>
          </w:p>
        </w:tc>
      </w:tr>
      <w:tr w:rsidR="000147A0" w14:paraId="73623C27" w14:textId="77777777" w:rsidTr="000147A0">
        <w:trPr>
          <w:trHeight w:val="340"/>
        </w:trPr>
        <w:tc>
          <w:tcPr>
            <w:tcW w:w="1152" w:type="dxa"/>
            <w:tcBorders>
              <w:top w:val="nil"/>
              <w:left w:val="nil"/>
              <w:bottom w:val="nil"/>
              <w:right w:val="nil"/>
            </w:tcBorders>
            <w:shd w:val="clear" w:color="auto" w:fill="auto"/>
            <w:noWrap/>
            <w:vAlign w:val="bottom"/>
            <w:hideMark/>
          </w:tcPr>
          <w:p w14:paraId="4F979296"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4DF7018" w14:textId="77777777" w:rsidR="000147A0" w:rsidRDefault="000147A0">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ADBF5E7" w14:textId="77777777" w:rsidR="000147A0" w:rsidRDefault="000147A0">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337566B3" w14:textId="77777777" w:rsidR="000147A0" w:rsidRDefault="000147A0">
            <w:pPr>
              <w:jc w:val="right"/>
              <w:rPr>
                <w:color w:val="000000"/>
                <w:sz w:val="20"/>
                <w:szCs w:val="20"/>
              </w:rPr>
            </w:pPr>
            <w:r>
              <w:rPr>
                <w:color w:val="000000"/>
                <w:sz w:val="20"/>
                <w:szCs w:val="20"/>
              </w:rPr>
              <w:t>0.836</w:t>
            </w:r>
          </w:p>
        </w:tc>
        <w:tc>
          <w:tcPr>
            <w:tcW w:w="864" w:type="dxa"/>
            <w:tcBorders>
              <w:top w:val="nil"/>
              <w:left w:val="nil"/>
              <w:bottom w:val="nil"/>
              <w:right w:val="nil"/>
            </w:tcBorders>
            <w:shd w:val="clear" w:color="auto" w:fill="auto"/>
            <w:noWrap/>
            <w:vAlign w:val="bottom"/>
            <w:hideMark/>
          </w:tcPr>
          <w:p w14:paraId="39F1BB51"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9ABE78C" w14:textId="77777777" w:rsidR="000147A0" w:rsidRDefault="000147A0">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22DEA686" w14:textId="77777777" w:rsidR="000147A0" w:rsidRDefault="000147A0">
            <w:pPr>
              <w:jc w:val="right"/>
              <w:rPr>
                <w:color w:val="000000"/>
                <w:sz w:val="20"/>
                <w:szCs w:val="20"/>
              </w:rPr>
            </w:pPr>
            <w:r>
              <w:rPr>
                <w:color w:val="000000"/>
                <w:sz w:val="20"/>
                <w:szCs w:val="20"/>
              </w:rPr>
              <w:t>0.800</w:t>
            </w:r>
          </w:p>
        </w:tc>
        <w:tc>
          <w:tcPr>
            <w:tcW w:w="864" w:type="dxa"/>
            <w:tcBorders>
              <w:top w:val="nil"/>
              <w:left w:val="nil"/>
              <w:bottom w:val="nil"/>
              <w:right w:val="nil"/>
            </w:tcBorders>
            <w:shd w:val="clear" w:color="auto" w:fill="auto"/>
            <w:noWrap/>
            <w:vAlign w:val="bottom"/>
            <w:hideMark/>
          </w:tcPr>
          <w:p w14:paraId="52A73327" w14:textId="77777777" w:rsidR="000147A0" w:rsidRDefault="000147A0">
            <w:pPr>
              <w:jc w:val="right"/>
              <w:rPr>
                <w:color w:val="000000"/>
                <w:sz w:val="20"/>
                <w:szCs w:val="20"/>
              </w:rPr>
            </w:pPr>
            <w:r>
              <w:rPr>
                <w:color w:val="000000"/>
                <w:sz w:val="20"/>
                <w:szCs w:val="20"/>
              </w:rPr>
              <w:t>0.001</w:t>
            </w:r>
          </w:p>
        </w:tc>
      </w:tr>
      <w:tr w:rsidR="000147A0" w14:paraId="6633BDFD" w14:textId="77777777" w:rsidTr="000147A0">
        <w:trPr>
          <w:trHeight w:val="260"/>
        </w:trPr>
        <w:tc>
          <w:tcPr>
            <w:tcW w:w="1152" w:type="dxa"/>
            <w:tcBorders>
              <w:top w:val="nil"/>
              <w:left w:val="nil"/>
              <w:bottom w:val="nil"/>
              <w:right w:val="nil"/>
            </w:tcBorders>
            <w:shd w:val="clear" w:color="auto" w:fill="auto"/>
            <w:noWrap/>
            <w:vAlign w:val="bottom"/>
            <w:hideMark/>
          </w:tcPr>
          <w:p w14:paraId="1AAA8DF8"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C1528DB" w14:textId="77777777" w:rsidR="000147A0" w:rsidRDefault="000147A0">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2CD1127" w14:textId="77777777" w:rsidR="000147A0" w:rsidRDefault="000147A0">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4017FCD4" w14:textId="77777777" w:rsidR="000147A0" w:rsidRDefault="000147A0">
            <w:pPr>
              <w:jc w:val="right"/>
              <w:rPr>
                <w:color w:val="000000"/>
                <w:sz w:val="20"/>
                <w:szCs w:val="20"/>
              </w:rPr>
            </w:pPr>
            <w:r>
              <w:rPr>
                <w:color w:val="000000"/>
                <w:sz w:val="20"/>
                <w:szCs w:val="20"/>
              </w:rPr>
              <w:t>0.836</w:t>
            </w:r>
          </w:p>
        </w:tc>
        <w:tc>
          <w:tcPr>
            <w:tcW w:w="864" w:type="dxa"/>
            <w:tcBorders>
              <w:top w:val="nil"/>
              <w:left w:val="nil"/>
              <w:bottom w:val="nil"/>
              <w:right w:val="nil"/>
            </w:tcBorders>
            <w:shd w:val="clear" w:color="auto" w:fill="auto"/>
            <w:noWrap/>
            <w:vAlign w:val="bottom"/>
            <w:hideMark/>
          </w:tcPr>
          <w:p w14:paraId="734B2E00" w14:textId="77777777" w:rsidR="000147A0" w:rsidRDefault="000147A0">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6309FCD" w14:textId="77777777" w:rsidR="000147A0" w:rsidRDefault="000147A0">
            <w:pPr>
              <w:jc w:val="right"/>
              <w:rPr>
                <w:color w:val="000000"/>
                <w:sz w:val="20"/>
                <w:szCs w:val="20"/>
              </w:rPr>
            </w:pPr>
            <w:r>
              <w:rPr>
                <w:color w:val="000000"/>
                <w:sz w:val="20"/>
                <w:szCs w:val="20"/>
              </w:rPr>
              <w:t>0.088</w:t>
            </w:r>
          </w:p>
        </w:tc>
        <w:tc>
          <w:tcPr>
            <w:tcW w:w="864" w:type="dxa"/>
            <w:tcBorders>
              <w:top w:val="nil"/>
              <w:left w:val="nil"/>
              <w:bottom w:val="nil"/>
              <w:right w:val="nil"/>
            </w:tcBorders>
            <w:shd w:val="clear" w:color="auto" w:fill="auto"/>
            <w:noWrap/>
            <w:vAlign w:val="bottom"/>
            <w:hideMark/>
          </w:tcPr>
          <w:p w14:paraId="326F413B" w14:textId="77777777" w:rsidR="000147A0" w:rsidRDefault="000147A0">
            <w:pPr>
              <w:jc w:val="right"/>
              <w:rPr>
                <w:color w:val="000000"/>
                <w:sz w:val="20"/>
                <w:szCs w:val="20"/>
              </w:rPr>
            </w:pPr>
            <w:r>
              <w:rPr>
                <w:color w:val="000000"/>
                <w:sz w:val="20"/>
                <w:szCs w:val="20"/>
              </w:rPr>
              <w:t>0.800</w:t>
            </w:r>
          </w:p>
        </w:tc>
        <w:tc>
          <w:tcPr>
            <w:tcW w:w="864" w:type="dxa"/>
            <w:tcBorders>
              <w:top w:val="nil"/>
              <w:left w:val="nil"/>
              <w:bottom w:val="nil"/>
              <w:right w:val="nil"/>
            </w:tcBorders>
            <w:shd w:val="clear" w:color="auto" w:fill="auto"/>
            <w:noWrap/>
            <w:vAlign w:val="bottom"/>
            <w:hideMark/>
          </w:tcPr>
          <w:p w14:paraId="71265264" w14:textId="77777777" w:rsidR="000147A0" w:rsidRDefault="000147A0">
            <w:pPr>
              <w:jc w:val="right"/>
              <w:rPr>
                <w:color w:val="000000"/>
                <w:sz w:val="20"/>
                <w:szCs w:val="20"/>
              </w:rPr>
            </w:pPr>
            <w:r>
              <w:rPr>
                <w:color w:val="000000"/>
                <w:sz w:val="20"/>
                <w:szCs w:val="20"/>
              </w:rPr>
              <w:t>0.008</w:t>
            </w:r>
          </w:p>
        </w:tc>
      </w:tr>
      <w:tr w:rsidR="000147A0" w14:paraId="72011F96" w14:textId="77777777" w:rsidTr="000147A0">
        <w:trPr>
          <w:trHeight w:val="260"/>
        </w:trPr>
        <w:tc>
          <w:tcPr>
            <w:tcW w:w="1152" w:type="dxa"/>
            <w:tcBorders>
              <w:top w:val="nil"/>
              <w:left w:val="nil"/>
              <w:bottom w:val="nil"/>
              <w:right w:val="nil"/>
            </w:tcBorders>
            <w:shd w:val="clear" w:color="auto" w:fill="auto"/>
            <w:noWrap/>
            <w:vAlign w:val="bottom"/>
            <w:hideMark/>
          </w:tcPr>
          <w:p w14:paraId="6A0C6FE5"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A2D8DFD" w14:textId="77777777" w:rsidR="000147A0" w:rsidRDefault="000147A0">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0AD0F08" w14:textId="77777777" w:rsidR="000147A0" w:rsidRDefault="000147A0">
            <w:pPr>
              <w:jc w:val="right"/>
              <w:rPr>
                <w:b/>
                <w:bCs/>
                <w:color w:val="000000"/>
                <w:sz w:val="20"/>
                <w:szCs w:val="20"/>
              </w:rPr>
            </w:pPr>
            <w:r>
              <w:rPr>
                <w:b/>
                <w:bCs/>
                <w:color w:val="000000"/>
                <w:sz w:val="20"/>
                <w:szCs w:val="20"/>
              </w:rPr>
              <w:t>-0.255</w:t>
            </w:r>
          </w:p>
        </w:tc>
        <w:tc>
          <w:tcPr>
            <w:tcW w:w="864" w:type="dxa"/>
            <w:tcBorders>
              <w:top w:val="nil"/>
              <w:left w:val="nil"/>
              <w:bottom w:val="nil"/>
              <w:right w:val="nil"/>
            </w:tcBorders>
            <w:shd w:val="clear" w:color="auto" w:fill="auto"/>
            <w:noWrap/>
            <w:vAlign w:val="bottom"/>
            <w:hideMark/>
          </w:tcPr>
          <w:p w14:paraId="4A2683F1" w14:textId="77777777" w:rsidR="000147A0" w:rsidRDefault="000147A0">
            <w:pPr>
              <w:jc w:val="right"/>
              <w:rPr>
                <w:b/>
                <w:bCs/>
                <w:color w:val="000000"/>
                <w:sz w:val="20"/>
                <w:szCs w:val="20"/>
              </w:rPr>
            </w:pPr>
            <w:r>
              <w:rPr>
                <w:b/>
                <w:bCs/>
                <w:color w:val="000000"/>
                <w:sz w:val="20"/>
                <w:szCs w:val="20"/>
              </w:rPr>
              <w:t>0.040</w:t>
            </w:r>
          </w:p>
        </w:tc>
        <w:tc>
          <w:tcPr>
            <w:tcW w:w="864" w:type="dxa"/>
            <w:tcBorders>
              <w:top w:val="nil"/>
              <w:left w:val="nil"/>
              <w:bottom w:val="nil"/>
              <w:right w:val="nil"/>
            </w:tcBorders>
            <w:shd w:val="clear" w:color="auto" w:fill="auto"/>
            <w:noWrap/>
            <w:vAlign w:val="bottom"/>
            <w:hideMark/>
          </w:tcPr>
          <w:p w14:paraId="42A08CD1" w14:textId="77777777" w:rsidR="000147A0" w:rsidRDefault="000147A0">
            <w:pPr>
              <w:jc w:val="right"/>
              <w:rPr>
                <w:b/>
                <w:bCs/>
                <w:color w:val="000000"/>
                <w:sz w:val="20"/>
                <w:szCs w:val="20"/>
              </w:rPr>
            </w:pPr>
            <w:r>
              <w:rPr>
                <w:b/>
                <w:bCs/>
                <w:color w:val="000000"/>
                <w:sz w:val="20"/>
                <w:szCs w:val="20"/>
              </w:rPr>
              <w:t>0.065</w:t>
            </w:r>
          </w:p>
        </w:tc>
        <w:tc>
          <w:tcPr>
            <w:tcW w:w="864" w:type="dxa"/>
            <w:tcBorders>
              <w:top w:val="nil"/>
              <w:left w:val="nil"/>
              <w:bottom w:val="nil"/>
              <w:right w:val="nil"/>
            </w:tcBorders>
            <w:shd w:val="clear" w:color="auto" w:fill="auto"/>
            <w:noWrap/>
            <w:vAlign w:val="bottom"/>
            <w:hideMark/>
          </w:tcPr>
          <w:p w14:paraId="244706B8" w14:textId="77777777" w:rsidR="000147A0" w:rsidRDefault="000147A0">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53D97DAF" w14:textId="77777777" w:rsidR="000147A0" w:rsidRDefault="000147A0">
            <w:pPr>
              <w:jc w:val="right"/>
              <w:rPr>
                <w:color w:val="000000"/>
                <w:sz w:val="20"/>
                <w:szCs w:val="20"/>
              </w:rPr>
            </w:pPr>
            <w:r>
              <w:rPr>
                <w:color w:val="000000"/>
                <w:sz w:val="20"/>
                <w:szCs w:val="20"/>
              </w:rPr>
              <w:t>0.810</w:t>
            </w:r>
          </w:p>
        </w:tc>
        <w:tc>
          <w:tcPr>
            <w:tcW w:w="864" w:type="dxa"/>
            <w:tcBorders>
              <w:top w:val="nil"/>
              <w:left w:val="nil"/>
              <w:bottom w:val="nil"/>
              <w:right w:val="nil"/>
            </w:tcBorders>
            <w:shd w:val="clear" w:color="auto" w:fill="auto"/>
            <w:noWrap/>
            <w:vAlign w:val="bottom"/>
            <w:hideMark/>
          </w:tcPr>
          <w:p w14:paraId="59B78F4B" w14:textId="77777777" w:rsidR="000147A0" w:rsidRDefault="000147A0">
            <w:pPr>
              <w:jc w:val="right"/>
              <w:rPr>
                <w:color w:val="000000"/>
                <w:sz w:val="20"/>
                <w:szCs w:val="20"/>
              </w:rPr>
            </w:pPr>
            <w:r>
              <w:rPr>
                <w:color w:val="000000"/>
                <w:sz w:val="20"/>
                <w:szCs w:val="20"/>
              </w:rPr>
              <w:t>0.002</w:t>
            </w:r>
          </w:p>
        </w:tc>
      </w:tr>
      <w:tr w:rsidR="000147A0" w14:paraId="612CF219" w14:textId="77777777" w:rsidTr="000147A0">
        <w:trPr>
          <w:trHeight w:val="260"/>
        </w:trPr>
        <w:tc>
          <w:tcPr>
            <w:tcW w:w="1152" w:type="dxa"/>
            <w:tcBorders>
              <w:top w:val="nil"/>
              <w:left w:val="nil"/>
              <w:bottom w:val="nil"/>
              <w:right w:val="nil"/>
            </w:tcBorders>
            <w:shd w:val="clear" w:color="auto" w:fill="auto"/>
            <w:noWrap/>
            <w:vAlign w:val="bottom"/>
            <w:hideMark/>
          </w:tcPr>
          <w:p w14:paraId="3025BA8C"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2726CD8" w14:textId="77777777" w:rsidR="000147A0" w:rsidRDefault="000147A0">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AC66818" w14:textId="77777777" w:rsidR="000147A0" w:rsidRDefault="000147A0">
            <w:pPr>
              <w:jc w:val="right"/>
              <w:rPr>
                <w:color w:val="000000"/>
                <w:sz w:val="20"/>
                <w:szCs w:val="20"/>
              </w:rPr>
            </w:pPr>
            <w:r>
              <w:rPr>
                <w:color w:val="000000"/>
                <w:sz w:val="20"/>
                <w:szCs w:val="20"/>
              </w:rPr>
              <w:t>-0.073</w:t>
            </w:r>
          </w:p>
        </w:tc>
        <w:tc>
          <w:tcPr>
            <w:tcW w:w="864" w:type="dxa"/>
            <w:tcBorders>
              <w:top w:val="nil"/>
              <w:left w:val="nil"/>
              <w:bottom w:val="nil"/>
              <w:right w:val="nil"/>
            </w:tcBorders>
            <w:shd w:val="clear" w:color="auto" w:fill="auto"/>
            <w:noWrap/>
            <w:vAlign w:val="bottom"/>
            <w:hideMark/>
          </w:tcPr>
          <w:p w14:paraId="58944173" w14:textId="77777777" w:rsidR="000147A0" w:rsidRDefault="000147A0">
            <w:pPr>
              <w:jc w:val="right"/>
              <w:rPr>
                <w:color w:val="000000"/>
                <w:sz w:val="20"/>
                <w:szCs w:val="20"/>
              </w:rPr>
            </w:pPr>
            <w:r>
              <w:rPr>
                <w:color w:val="000000"/>
                <w:sz w:val="20"/>
                <w:szCs w:val="20"/>
              </w:rPr>
              <w:t>0.448</w:t>
            </w:r>
          </w:p>
        </w:tc>
        <w:tc>
          <w:tcPr>
            <w:tcW w:w="864" w:type="dxa"/>
            <w:tcBorders>
              <w:top w:val="nil"/>
              <w:left w:val="nil"/>
              <w:bottom w:val="nil"/>
              <w:right w:val="nil"/>
            </w:tcBorders>
            <w:shd w:val="clear" w:color="auto" w:fill="auto"/>
            <w:noWrap/>
            <w:vAlign w:val="bottom"/>
            <w:hideMark/>
          </w:tcPr>
          <w:p w14:paraId="4A9FC5CC" w14:textId="77777777" w:rsidR="000147A0" w:rsidRDefault="000147A0">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6E7407F6" w14:textId="77777777" w:rsidR="000147A0" w:rsidRDefault="000147A0">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746254EF" w14:textId="77777777" w:rsidR="000147A0" w:rsidRDefault="000147A0">
            <w:pPr>
              <w:jc w:val="right"/>
              <w:rPr>
                <w:color w:val="000000"/>
                <w:sz w:val="20"/>
                <w:szCs w:val="20"/>
              </w:rPr>
            </w:pPr>
            <w:r>
              <w:rPr>
                <w:color w:val="000000"/>
                <w:sz w:val="20"/>
                <w:szCs w:val="20"/>
              </w:rPr>
              <w:t>0.800</w:t>
            </w:r>
          </w:p>
        </w:tc>
        <w:tc>
          <w:tcPr>
            <w:tcW w:w="864" w:type="dxa"/>
            <w:tcBorders>
              <w:top w:val="nil"/>
              <w:left w:val="nil"/>
              <w:bottom w:val="nil"/>
              <w:right w:val="nil"/>
            </w:tcBorders>
            <w:shd w:val="clear" w:color="auto" w:fill="auto"/>
            <w:noWrap/>
            <w:vAlign w:val="bottom"/>
            <w:hideMark/>
          </w:tcPr>
          <w:p w14:paraId="7B615CAA" w14:textId="77777777" w:rsidR="000147A0" w:rsidRDefault="000147A0">
            <w:pPr>
              <w:jc w:val="right"/>
              <w:rPr>
                <w:color w:val="000000"/>
                <w:sz w:val="20"/>
                <w:szCs w:val="20"/>
              </w:rPr>
            </w:pPr>
            <w:r>
              <w:rPr>
                <w:color w:val="000000"/>
                <w:sz w:val="20"/>
                <w:szCs w:val="20"/>
              </w:rPr>
              <w:t>0.003</w:t>
            </w:r>
          </w:p>
        </w:tc>
      </w:tr>
      <w:tr w:rsidR="000147A0" w14:paraId="7B813B83" w14:textId="77777777" w:rsidTr="000147A0">
        <w:trPr>
          <w:trHeight w:val="260"/>
        </w:trPr>
        <w:tc>
          <w:tcPr>
            <w:tcW w:w="1152" w:type="dxa"/>
            <w:tcBorders>
              <w:top w:val="nil"/>
              <w:left w:val="nil"/>
              <w:bottom w:val="nil"/>
              <w:right w:val="nil"/>
            </w:tcBorders>
            <w:shd w:val="clear" w:color="auto" w:fill="auto"/>
            <w:noWrap/>
            <w:vAlign w:val="bottom"/>
            <w:hideMark/>
          </w:tcPr>
          <w:p w14:paraId="14508B2B"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0F79B2D" w14:textId="77777777" w:rsidR="000147A0" w:rsidRDefault="000147A0">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6091424" w14:textId="77777777" w:rsidR="000147A0" w:rsidRDefault="000147A0">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0556A098" w14:textId="77777777" w:rsidR="000147A0" w:rsidRDefault="000147A0">
            <w:pPr>
              <w:jc w:val="right"/>
              <w:rPr>
                <w:color w:val="000000"/>
                <w:sz w:val="20"/>
                <w:szCs w:val="20"/>
              </w:rPr>
            </w:pPr>
            <w:r>
              <w:rPr>
                <w:color w:val="000000"/>
                <w:sz w:val="20"/>
                <w:szCs w:val="20"/>
              </w:rPr>
              <w:t>0.836</w:t>
            </w:r>
          </w:p>
        </w:tc>
        <w:tc>
          <w:tcPr>
            <w:tcW w:w="864" w:type="dxa"/>
            <w:tcBorders>
              <w:top w:val="nil"/>
              <w:left w:val="nil"/>
              <w:bottom w:val="nil"/>
              <w:right w:val="nil"/>
            </w:tcBorders>
            <w:shd w:val="clear" w:color="auto" w:fill="auto"/>
            <w:noWrap/>
            <w:vAlign w:val="bottom"/>
            <w:hideMark/>
          </w:tcPr>
          <w:p w14:paraId="675B8FD4" w14:textId="77777777" w:rsidR="000147A0" w:rsidRDefault="000147A0">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EA9A317" w14:textId="77777777" w:rsidR="000147A0" w:rsidRDefault="000147A0">
            <w:pPr>
              <w:jc w:val="right"/>
              <w:rPr>
                <w:color w:val="000000"/>
                <w:sz w:val="20"/>
                <w:szCs w:val="20"/>
              </w:rPr>
            </w:pPr>
            <w:r>
              <w:rPr>
                <w:color w:val="000000"/>
                <w:sz w:val="20"/>
                <w:szCs w:val="20"/>
              </w:rPr>
              <w:t>0.081</w:t>
            </w:r>
          </w:p>
        </w:tc>
        <w:tc>
          <w:tcPr>
            <w:tcW w:w="864" w:type="dxa"/>
            <w:tcBorders>
              <w:top w:val="nil"/>
              <w:left w:val="nil"/>
              <w:bottom w:val="nil"/>
              <w:right w:val="nil"/>
            </w:tcBorders>
            <w:shd w:val="clear" w:color="auto" w:fill="auto"/>
            <w:noWrap/>
            <w:vAlign w:val="bottom"/>
            <w:hideMark/>
          </w:tcPr>
          <w:p w14:paraId="0CE2727D" w14:textId="77777777" w:rsidR="000147A0" w:rsidRDefault="000147A0">
            <w:pPr>
              <w:jc w:val="right"/>
              <w:rPr>
                <w:color w:val="000000"/>
                <w:sz w:val="20"/>
                <w:szCs w:val="20"/>
              </w:rPr>
            </w:pPr>
            <w:r>
              <w:rPr>
                <w:color w:val="000000"/>
                <w:sz w:val="20"/>
                <w:szCs w:val="20"/>
              </w:rPr>
              <w:t>0.232</w:t>
            </w:r>
          </w:p>
        </w:tc>
        <w:tc>
          <w:tcPr>
            <w:tcW w:w="864" w:type="dxa"/>
            <w:tcBorders>
              <w:top w:val="nil"/>
              <w:left w:val="nil"/>
              <w:bottom w:val="nil"/>
              <w:right w:val="nil"/>
            </w:tcBorders>
            <w:shd w:val="clear" w:color="auto" w:fill="auto"/>
            <w:noWrap/>
            <w:vAlign w:val="bottom"/>
            <w:hideMark/>
          </w:tcPr>
          <w:p w14:paraId="664EE3AC" w14:textId="77777777" w:rsidR="000147A0" w:rsidRDefault="000147A0">
            <w:pPr>
              <w:jc w:val="right"/>
              <w:rPr>
                <w:color w:val="000000"/>
                <w:sz w:val="20"/>
                <w:szCs w:val="20"/>
              </w:rPr>
            </w:pPr>
            <w:r>
              <w:rPr>
                <w:color w:val="000000"/>
                <w:sz w:val="20"/>
                <w:szCs w:val="20"/>
              </w:rPr>
              <w:t>0.007</w:t>
            </w:r>
          </w:p>
        </w:tc>
      </w:tr>
      <w:tr w:rsidR="000147A0" w14:paraId="15344E1F" w14:textId="77777777" w:rsidTr="000147A0">
        <w:trPr>
          <w:trHeight w:val="260"/>
        </w:trPr>
        <w:tc>
          <w:tcPr>
            <w:tcW w:w="1152" w:type="dxa"/>
            <w:tcBorders>
              <w:top w:val="nil"/>
              <w:left w:val="nil"/>
              <w:bottom w:val="nil"/>
              <w:right w:val="nil"/>
            </w:tcBorders>
            <w:shd w:val="clear" w:color="auto" w:fill="auto"/>
            <w:noWrap/>
            <w:vAlign w:val="bottom"/>
            <w:hideMark/>
          </w:tcPr>
          <w:p w14:paraId="27D4FE5D"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12EED4F" w14:textId="77777777" w:rsidR="000147A0" w:rsidRDefault="000147A0">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052BA07" w14:textId="77777777" w:rsidR="000147A0" w:rsidRDefault="000147A0">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30B77F94" w14:textId="77777777" w:rsidR="000147A0" w:rsidRDefault="000147A0">
            <w:pPr>
              <w:jc w:val="right"/>
              <w:rPr>
                <w:color w:val="000000"/>
                <w:sz w:val="20"/>
                <w:szCs w:val="20"/>
              </w:rPr>
            </w:pPr>
            <w:r>
              <w:rPr>
                <w:color w:val="000000"/>
                <w:sz w:val="20"/>
                <w:szCs w:val="20"/>
              </w:rPr>
              <w:t>0.836</w:t>
            </w:r>
          </w:p>
        </w:tc>
        <w:tc>
          <w:tcPr>
            <w:tcW w:w="864" w:type="dxa"/>
            <w:tcBorders>
              <w:top w:val="nil"/>
              <w:left w:val="nil"/>
              <w:bottom w:val="nil"/>
              <w:right w:val="nil"/>
            </w:tcBorders>
            <w:shd w:val="clear" w:color="auto" w:fill="auto"/>
            <w:noWrap/>
            <w:vAlign w:val="bottom"/>
            <w:hideMark/>
          </w:tcPr>
          <w:p w14:paraId="0AA60CF0" w14:textId="77777777" w:rsidR="000147A0" w:rsidRDefault="000147A0">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F4B0132" w14:textId="77777777" w:rsidR="000147A0" w:rsidRDefault="000147A0">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1B79A2DF" w14:textId="77777777" w:rsidR="000147A0" w:rsidRDefault="000147A0">
            <w:pPr>
              <w:jc w:val="right"/>
              <w:rPr>
                <w:color w:val="000000"/>
                <w:sz w:val="20"/>
                <w:szCs w:val="20"/>
              </w:rPr>
            </w:pPr>
            <w:r>
              <w:rPr>
                <w:color w:val="000000"/>
                <w:sz w:val="20"/>
                <w:szCs w:val="20"/>
              </w:rPr>
              <w:t>0.810</w:t>
            </w:r>
          </w:p>
        </w:tc>
        <w:tc>
          <w:tcPr>
            <w:tcW w:w="864" w:type="dxa"/>
            <w:tcBorders>
              <w:top w:val="nil"/>
              <w:left w:val="nil"/>
              <w:bottom w:val="nil"/>
              <w:right w:val="nil"/>
            </w:tcBorders>
            <w:shd w:val="clear" w:color="auto" w:fill="auto"/>
            <w:noWrap/>
            <w:vAlign w:val="bottom"/>
            <w:hideMark/>
          </w:tcPr>
          <w:p w14:paraId="246A1856" w14:textId="77777777" w:rsidR="000147A0" w:rsidRDefault="000147A0">
            <w:pPr>
              <w:jc w:val="right"/>
              <w:rPr>
                <w:color w:val="000000"/>
                <w:sz w:val="20"/>
                <w:szCs w:val="20"/>
              </w:rPr>
            </w:pPr>
            <w:r>
              <w:rPr>
                <w:color w:val="000000"/>
                <w:sz w:val="20"/>
                <w:szCs w:val="20"/>
              </w:rPr>
              <w:t>0.000</w:t>
            </w:r>
          </w:p>
        </w:tc>
      </w:tr>
      <w:tr w:rsidR="000147A0" w14:paraId="5C6FA0B7" w14:textId="77777777" w:rsidTr="000147A0">
        <w:trPr>
          <w:trHeight w:val="260"/>
        </w:trPr>
        <w:tc>
          <w:tcPr>
            <w:tcW w:w="1152" w:type="dxa"/>
            <w:tcBorders>
              <w:top w:val="nil"/>
              <w:left w:val="nil"/>
              <w:bottom w:val="single" w:sz="4" w:space="0" w:color="auto"/>
              <w:right w:val="nil"/>
            </w:tcBorders>
            <w:shd w:val="clear" w:color="auto" w:fill="auto"/>
            <w:noWrap/>
            <w:vAlign w:val="bottom"/>
            <w:hideMark/>
          </w:tcPr>
          <w:p w14:paraId="12A5BB8E" w14:textId="77777777" w:rsidR="000147A0" w:rsidRDefault="000147A0">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B18E437" w14:textId="77777777" w:rsidR="000147A0" w:rsidRDefault="000147A0">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4F80393" w14:textId="77777777" w:rsidR="000147A0" w:rsidRDefault="000147A0">
            <w:pPr>
              <w:jc w:val="right"/>
              <w:rPr>
                <w:color w:val="000000"/>
                <w:sz w:val="20"/>
                <w:szCs w:val="20"/>
              </w:rPr>
            </w:pPr>
            <w:r>
              <w:rPr>
                <w:color w:val="000000"/>
                <w:sz w:val="20"/>
                <w:szCs w:val="20"/>
              </w:rPr>
              <w:t>-0.010</w:t>
            </w:r>
          </w:p>
        </w:tc>
        <w:tc>
          <w:tcPr>
            <w:tcW w:w="864" w:type="dxa"/>
            <w:tcBorders>
              <w:top w:val="nil"/>
              <w:left w:val="nil"/>
              <w:bottom w:val="single" w:sz="4" w:space="0" w:color="auto"/>
              <w:right w:val="nil"/>
            </w:tcBorders>
            <w:shd w:val="clear" w:color="auto" w:fill="auto"/>
            <w:noWrap/>
            <w:vAlign w:val="bottom"/>
            <w:hideMark/>
          </w:tcPr>
          <w:p w14:paraId="39ADDFF7" w14:textId="77777777" w:rsidR="000147A0" w:rsidRDefault="000147A0">
            <w:pPr>
              <w:jc w:val="right"/>
              <w:rPr>
                <w:color w:val="000000"/>
                <w:sz w:val="20"/>
                <w:szCs w:val="20"/>
              </w:rPr>
            </w:pPr>
            <w:r>
              <w:rPr>
                <w:color w:val="000000"/>
                <w:sz w:val="20"/>
                <w:szCs w:val="20"/>
              </w:rPr>
              <w:t>0.974</w:t>
            </w:r>
          </w:p>
        </w:tc>
        <w:tc>
          <w:tcPr>
            <w:tcW w:w="864" w:type="dxa"/>
            <w:tcBorders>
              <w:top w:val="nil"/>
              <w:left w:val="nil"/>
              <w:bottom w:val="single" w:sz="4" w:space="0" w:color="auto"/>
              <w:right w:val="nil"/>
            </w:tcBorders>
            <w:shd w:val="clear" w:color="auto" w:fill="auto"/>
            <w:noWrap/>
            <w:vAlign w:val="bottom"/>
            <w:hideMark/>
          </w:tcPr>
          <w:p w14:paraId="5E75DE18"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6AD636FA" w14:textId="77777777" w:rsidR="000147A0" w:rsidRDefault="000147A0">
            <w:pPr>
              <w:jc w:val="right"/>
              <w:rPr>
                <w:color w:val="000000"/>
                <w:sz w:val="20"/>
                <w:szCs w:val="20"/>
              </w:rPr>
            </w:pPr>
            <w:r>
              <w:rPr>
                <w:color w:val="000000"/>
                <w:sz w:val="20"/>
                <w:szCs w:val="20"/>
              </w:rPr>
              <w:t>-0.040</w:t>
            </w:r>
          </w:p>
        </w:tc>
        <w:tc>
          <w:tcPr>
            <w:tcW w:w="864" w:type="dxa"/>
            <w:tcBorders>
              <w:top w:val="nil"/>
              <w:left w:val="nil"/>
              <w:bottom w:val="single" w:sz="4" w:space="0" w:color="auto"/>
              <w:right w:val="nil"/>
            </w:tcBorders>
            <w:shd w:val="clear" w:color="auto" w:fill="auto"/>
            <w:noWrap/>
            <w:vAlign w:val="bottom"/>
            <w:hideMark/>
          </w:tcPr>
          <w:p w14:paraId="3708031E" w14:textId="77777777" w:rsidR="000147A0" w:rsidRDefault="000147A0">
            <w:pPr>
              <w:jc w:val="right"/>
              <w:rPr>
                <w:color w:val="000000"/>
                <w:sz w:val="20"/>
                <w:szCs w:val="20"/>
              </w:rPr>
            </w:pPr>
            <w:r>
              <w:rPr>
                <w:color w:val="000000"/>
                <w:sz w:val="20"/>
                <w:szCs w:val="20"/>
              </w:rPr>
              <w:t>0.800</w:t>
            </w:r>
          </w:p>
        </w:tc>
        <w:tc>
          <w:tcPr>
            <w:tcW w:w="864" w:type="dxa"/>
            <w:tcBorders>
              <w:top w:val="nil"/>
              <w:left w:val="nil"/>
              <w:bottom w:val="single" w:sz="4" w:space="0" w:color="auto"/>
              <w:right w:val="nil"/>
            </w:tcBorders>
            <w:shd w:val="clear" w:color="auto" w:fill="auto"/>
            <w:noWrap/>
            <w:vAlign w:val="bottom"/>
            <w:hideMark/>
          </w:tcPr>
          <w:p w14:paraId="496C57C3" w14:textId="77777777" w:rsidR="000147A0" w:rsidRDefault="000147A0">
            <w:pPr>
              <w:jc w:val="right"/>
              <w:rPr>
                <w:color w:val="000000"/>
                <w:sz w:val="20"/>
                <w:szCs w:val="20"/>
              </w:rPr>
            </w:pPr>
            <w:r>
              <w:rPr>
                <w:color w:val="000000"/>
                <w:sz w:val="20"/>
                <w:szCs w:val="20"/>
              </w:rPr>
              <w:t>0.002</w:t>
            </w:r>
          </w:p>
        </w:tc>
      </w:tr>
      <w:tr w:rsidR="000147A0" w14:paraId="6877F320" w14:textId="77777777" w:rsidTr="000147A0">
        <w:trPr>
          <w:trHeight w:val="260"/>
        </w:trPr>
        <w:tc>
          <w:tcPr>
            <w:tcW w:w="1152" w:type="dxa"/>
            <w:tcBorders>
              <w:top w:val="nil"/>
              <w:left w:val="nil"/>
              <w:bottom w:val="nil"/>
              <w:right w:val="nil"/>
            </w:tcBorders>
            <w:shd w:val="clear" w:color="auto" w:fill="auto"/>
            <w:noWrap/>
            <w:vAlign w:val="bottom"/>
            <w:hideMark/>
          </w:tcPr>
          <w:p w14:paraId="41757442" w14:textId="77777777" w:rsidR="000147A0" w:rsidRDefault="000147A0">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51F9D168" w14:textId="77777777" w:rsidR="000147A0" w:rsidRDefault="000147A0">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7E35CEB" w14:textId="77777777" w:rsidR="000147A0" w:rsidRDefault="000147A0">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87090EA" w14:textId="77777777" w:rsidR="000147A0" w:rsidRDefault="000147A0">
            <w:pPr>
              <w:jc w:val="right"/>
              <w:rPr>
                <w:color w:val="000000"/>
                <w:sz w:val="20"/>
                <w:szCs w:val="20"/>
              </w:rPr>
            </w:pPr>
            <w:r>
              <w:rPr>
                <w:color w:val="000000"/>
                <w:sz w:val="20"/>
                <w:szCs w:val="20"/>
              </w:rPr>
              <w:t>0.970</w:t>
            </w:r>
          </w:p>
        </w:tc>
        <w:tc>
          <w:tcPr>
            <w:tcW w:w="864" w:type="dxa"/>
            <w:tcBorders>
              <w:top w:val="nil"/>
              <w:left w:val="nil"/>
              <w:bottom w:val="nil"/>
              <w:right w:val="nil"/>
            </w:tcBorders>
            <w:shd w:val="clear" w:color="auto" w:fill="auto"/>
            <w:noWrap/>
            <w:vAlign w:val="bottom"/>
            <w:hideMark/>
          </w:tcPr>
          <w:p w14:paraId="4174506D"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63E4343" w14:textId="77777777" w:rsidR="000147A0" w:rsidRDefault="000147A0">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3DA716C4" w14:textId="77777777" w:rsidR="000147A0" w:rsidRDefault="000147A0">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4E21243C" w14:textId="77777777" w:rsidR="000147A0" w:rsidRDefault="000147A0">
            <w:pPr>
              <w:jc w:val="right"/>
              <w:rPr>
                <w:color w:val="000000"/>
                <w:sz w:val="20"/>
                <w:szCs w:val="20"/>
              </w:rPr>
            </w:pPr>
            <w:r>
              <w:rPr>
                <w:color w:val="000000"/>
                <w:sz w:val="20"/>
                <w:szCs w:val="20"/>
              </w:rPr>
              <w:t>0.001</w:t>
            </w:r>
          </w:p>
        </w:tc>
      </w:tr>
      <w:tr w:rsidR="000147A0" w14:paraId="79F874B2" w14:textId="77777777" w:rsidTr="000147A0">
        <w:trPr>
          <w:trHeight w:val="260"/>
        </w:trPr>
        <w:tc>
          <w:tcPr>
            <w:tcW w:w="1152" w:type="dxa"/>
            <w:tcBorders>
              <w:top w:val="nil"/>
              <w:left w:val="nil"/>
              <w:bottom w:val="nil"/>
              <w:right w:val="nil"/>
            </w:tcBorders>
            <w:shd w:val="clear" w:color="auto" w:fill="auto"/>
            <w:noWrap/>
            <w:vAlign w:val="bottom"/>
            <w:hideMark/>
          </w:tcPr>
          <w:p w14:paraId="5CB710F4"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61243EB" w14:textId="77777777" w:rsidR="000147A0" w:rsidRDefault="000147A0">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5C48210" w14:textId="77777777" w:rsidR="000147A0" w:rsidRDefault="000147A0">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4EBE64AC" w14:textId="77777777" w:rsidR="000147A0" w:rsidRDefault="000147A0">
            <w:pPr>
              <w:jc w:val="right"/>
              <w:rPr>
                <w:color w:val="000000"/>
                <w:sz w:val="20"/>
                <w:szCs w:val="20"/>
              </w:rPr>
            </w:pPr>
            <w:r>
              <w:rPr>
                <w:color w:val="000000"/>
                <w:sz w:val="20"/>
                <w:szCs w:val="20"/>
              </w:rPr>
              <w:t>0.728</w:t>
            </w:r>
          </w:p>
        </w:tc>
        <w:tc>
          <w:tcPr>
            <w:tcW w:w="864" w:type="dxa"/>
            <w:tcBorders>
              <w:top w:val="nil"/>
              <w:left w:val="nil"/>
              <w:bottom w:val="nil"/>
              <w:right w:val="nil"/>
            </w:tcBorders>
            <w:shd w:val="clear" w:color="auto" w:fill="auto"/>
            <w:noWrap/>
            <w:vAlign w:val="bottom"/>
            <w:hideMark/>
          </w:tcPr>
          <w:p w14:paraId="7928F18C" w14:textId="77777777" w:rsidR="000147A0" w:rsidRDefault="000147A0">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2C78A9C" w14:textId="77777777" w:rsidR="000147A0" w:rsidRDefault="000147A0">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2C1D5B2A" w14:textId="77777777" w:rsidR="000147A0" w:rsidRDefault="000147A0">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7D3F2196" w14:textId="77777777" w:rsidR="000147A0" w:rsidRDefault="000147A0">
            <w:pPr>
              <w:jc w:val="right"/>
              <w:rPr>
                <w:color w:val="000000"/>
                <w:sz w:val="20"/>
                <w:szCs w:val="20"/>
              </w:rPr>
            </w:pPr>
            <w:r>
              <w:rPr>
                <w:color w:val="000000"/>
                <w:sz w:val="20"/>
                <w:szCs w:val="20"/>
              </w:rPr>
              <w:t>0.001</w:t>
            </w:r>
          </w:p>
        </w:tc>
      </w:tr>
      <w:tr w:rsidR="000147A0" w14:paraId="18BD165F" w14:textId="77777777" w:rsidTr="000147A0">
        <w:trPr>
          <w:trHeight w:val="260"/>
        </w:trPr>
        <w:tc>
          <w:tcPr>
            <w:tcW w:w="1152" w:type="dxa"/>
            <w:tcBorders>
              <w:top w:val="nil"/>
              <w:left w:val="nil"/>
              <w:bottom w:val="nil"/>
              <w:right w:val="nil"/>
            </w:tcBorders>
            <w:shd w:val="clear" w:color="auto" w:fill="auto"/>
            <w:noWrap/>
            <w:vAlign w:val="bottom"/>
            <w:hideMark/>
          </w:tcPr>
          <w:p w14:paraId="4BA1BE95"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71945F4" w14:textId="77777777" w:rsidR="000147A0" w:rsidRDefault="000147A0">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F9D63BA" w14:textId="77777777" w:rsidR="000147A0" w:rsidRDefault="000147A0">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1407B85B" w14:textId="77777777" w:rsidR="000147A0" w:rsidRDefault="000147A0">
            <w:pPr>
              <w:jc w:val="right"/>
              <w:rPr>
                <w:color w:val="000000"/>
                <w:sz w:val="20"/>
                <w:szCs w:val="20"/>
              </w:rPr>
            </w:pPr>
            <w:r>
              <w:rPr>
                <w:color w:val="000000"/>
                <w:sz w:val="20"/>
                <w:szCs w:val="20"/>
              </w:rPr>
              <w:t>0.812</w:t>
            </w:r>
          </w:p>
        </w:tc>
        <w:tc>
          <w:tcPr>
            <w:tcW w:w="864" w:type="dxa"/>
            <w:tcBorders>
              <w:top w:val="nil"/>
              <w:left w:val="nil"/>
              <w:bottom w:val="nil"/>
              <w:right w:val="nil"/>
            </w:tcBorders>
            <w:shd w:val="clear" w:color="auto" w:fill="auto"/>
            <w:noWrap/>
            <w:vAlign w:val="bottom"/>
            <w:hideMark/>
          </w:tcPr>
          <w:p w14:paraId="0738301D" w14:textId="77777777" w:rsidR="000147A0" w:rsidRDefault="000147A0">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119A6CBB" w14:textId="77777777" w:rsidR="000147A0" w:rsidRDefault="000147A0">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6C49EB24" w14:textId="77777777" w:rsidR="000147A0" w:rsidRDefault="000147A0">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6ACEC088" w14:textId="77777777" w:rsidR="000147A0" w:rsidRDefault="000147A0">
            <w:pPr>
              <w:jc w:val="right"/>
              <w:rPr>
                <w:color w:val="000000"/>
                <w:sz w:val="20"/>
                <w:szCs w:val="20"/>
              </w:rPr>
            </w:pPr>
            <w:r>
              <w:rPr>
                <w:color w:val="000000"/>
                <w:sz w:val="20"/>
                <w:szCs w:val="20"/>
              </w:rPr>
              <w:t>0.002</w:t>
            </w:r>
          </w:p>
        </w:tc>
      </w:tr>
      <w:tr w:rsidR="000147A0" w14:paraId="06B37456" w14:textId="77777777" w:rsidTr="000147A0">
        <w:trPr>
          <w:trHeight w:val="260"/>
        </w:trPr>
        <w:tc>
          <w:tcPr>
            <w:tcW w:w="1152" w:type="dxa"/>
            <w:tcBorders>
              <w:top w:val="nil"/>
              <w:left w:val="nil"/>
              <w:bottom w:val="nil"/>
              <w:right w:val="nil"/>
            </w:tcBorders>
            <w:shd w:val="clear" w:color="auto" w:fill="auto"/>
            <w:noWrap/>
            <w:vAlign w:val="bottom"/>
            <w:hideMark/>
          </w:tcPr>
          <w:p w14:paraId="291002D2"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648F0A1" w14:textId="77777777" w:rsidR="000147A0" w:rsidRDefault="000147A0">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7442F20" w14:textId="77777777" w:rsidR="000147A0" w:rsidRDefault="000147A0">
            <w:pPr>
              <w:jc w:val="right"/>
              <w:rPr>
                <w:b/>
                <w:bCs/>
                <w:color w:val="000000"/>
                <w:sz w:val="20"/>
                <w:szCs w:val="20"/>
              </w:rPr>
            </w:pPr>
            <w:r>
              <w:rPr>
                <w:b/>
                <w:bCs/>
                <w:color w:val="000000"/>
                <w:sz w:val="20"/>
                <w:szCs w:val="20"/>
              </w:rPr>
              <w:t>-0.114</w:t>
            </w:r>
          </w:p>
        </w:tc>
        <w:tc>
          <w:tcPr>
            <w:tcW w:w="864" w:type="dxa"/>
            <w:tcBorders>
              <w:top w:val="nil"/>
              <w:left w:val="nil"/>
              <w:bottom w:val="nil"/>
              <w:right w:val="nil"/>
            </w:tcBorders>
            <w:shd w:val="clear" w:color="auto" w:fill="auto"/>
            <w:noWrap/>
            <w:vAlign w:val="bottom"/>
            <w:hideMark/>
          </w:tcPr>
          <w:p w14:paraId="2DD0A1E9" w14:textId="77777777" w:rsidR="000147A0" w:rsidRDefault="000147A0">
            <w:pPr>
              <w:jc w:val="right"/>
              <w:rPr>
                <w:b/>
                <w:bCs/>
                <w:color w:val="000000"/>
                <w:sz w:val="20"/>
                <w:szCs w:val="20"/>
              </w:rPr>
            </w:pPr>
            <w:r>
              <w:rPr>
                <w:b/>
                <w:bCs/>
                <w:color w:val="000000"/>
                <w:sz w:val="20"/>
                <w:szCs w:val="20"/>
              </w:rPr>
              <w:t>0.048</w:t>
            </w:r>
          </w:p>
        </w:tc>
        <w:tc>
          <w:tcPr>
            <w:tcW w:w="864" w:type="dxa"/>
            <w:tcBorders>
              <w:top w:val="nil"/>
              <w:left w:val="nil"/>
              <w:bottom w:val="nil"/>
              <w:right w:val="nil"/>
            </w:tcBorders>
            <w:shd w:val="clear" w:color="auto" w:fill="auto"/>
            <w:noWrap/>
            <w:vAlign w:val="bottom"/>
            <w:hideMark/>
          </w:tcPr>
          <w:p w14:paraId="37E045D5" w14:textId="77777777" w:rsidR="000147A0" w:rsidRDefault="000147A0">
            <w:pPr>
              <w:jc w:val="right"/>
              <w:rPr>
                <w:b/>
                <w:bCs/>
                <w:color w:val="000000"/>
                <w:sz w:val="20"/>
                <w:szCs w:val="20"/>
              </w:rPr>
            </w:pPr>
            <w:r>
              <w:rPr>
                <w:b/>
                <w:bCs/>
                <w:color w:val="000000"/>
                <w:sz w:val="20"/>
                <w:szCs w:val="20"/>
              </w:rPr>
              <w:t>0.013</w:t>
            </w:r>
          </w:p>
        </w:tc>
        <w:tc>
          <w:tcPr>
            <w:tcW w:w="864" w:type="dxa"/>
            <w:tcBorders>
              <w:top w:val="nil"/>
              <w:left w:val="nil"/>
              <w:bottom w:val="nil"/>
              <w:right w:val="nil"/>
            </w:tcBorders>
            <w:shd w:val="clear" w:color="auto" w:fill="auto"/>
            <w:noWrap/>
            <w:vAlign w:val="bottom"/>
            <w:hideMark/>
          </w:tcPr>
          <w:p w14:paraId="31E3BC38" w14:textId="77777777" w:rsidR="000147A0" w:rsidRDefault="000147A0">
            <w:pPr>
              <w:jc w:val="right"/>
              <w:rPr>
                <w:color w:val="000000"/>
                <w:sz w:val="20"/>
                <w:szCs w:val="20"/>
              </w:rPr>
            </w:pPr>
            <w:r>
              <w:rPr>
                <w:color w:val="000000"/>
                <w:sz w:val="20"/>
                <w:szCs w:val="20"/>
              </w:rPr>
              <w:t>0.073</w:t>
            </w:r>
          </w:p>
        </w:tc>
        <w:tc>
          <w:tcPr>
            <w:tcW w:w="864" w:type="dxa"/>
            <w:tcBorders>
              <w:top w:val="nil"/>
              <w:left w:val="nil"/>
              <w:bottom w:val="nil"/>
              <w:right w:val="nil"/>
            </w:tcBorders>
            <w:shd w:val="clear" w:color="auto" w:fill="auto"/>
            <w:noWrap/>
            <w:vAlign w:val="bottom"/>
            <w:hideMark/>
          </w:tcPr>
          <w:p w14:paraId="08B880E5" w14:textId="77777777" w:rsidR="000147A0" w:rsidRDefault="000147A0">
            <w:pPr>
              <w:jc w:val="right"/>
              <w:rPr>
                <w:color w:val="000000"/>
                <w:sz w:val="20"/>
                <w:szCs w:val="20"/>
              </w:rPr>
            </w:pPr>
            <w:r>
              <w:rPr>
                <w:color w:val="000000"/>
                <w:sz w:val="20"/>
                <w:szCs w:val="20"/>
              </w:rPr>
              <w:t>0.608</w:t>
            </w:r>
          </w:p>
        </w:tc>
        <w:tc>
          <w:tcPr>
            <w:tcW w:w="864" w:type="dxa"/>
            <w:tcBorders>
              <w:top w:val="nil"/>
              <w:left w:val="nil"/>
              <w:bottom w:val="nil"/>
              <w:right w:val="nil"/>
            </w:tcBorders>
            <w:shd w:val="clear" w:color="auto" w:fill="auto"/>
            <w:noWrap/>
            <w:vAlign w:val="bottom"/>
            <w:hideMark/>
          </w:tcPr>
          <w:p w14:paraId="29358EC9" w14:textId="77777777" w:rsidR="000147A0" w:rsidRDefault="000147A0">
            <w:pPr>
              <w:jc w:val="right"/>
              <w:rPr>
                <w:color w:val="000000"/>
                <w:sz w:val="20"/>
                <w:szCs w:val="20"/>
              </w:rPr>
            </w:pPr>
            <w:r>
              <w:rPr>
                <w:color w:val="000000"/>
                <w:sz w:val="20"/>
                <w:szCs w:val="20"/>
              </w:rPr>
              <w:t>0.005</w:t>
            </w:r>
          </w:p>
        </w:tc>
      </w:tr>
      <w:tr w:rsidR="000147A0" w14:paraId="3F20F5CE" w14:textId="77777777" w:rsidTr="000147A0">
        <w:trPr>
          <w:trHeight w:val="260"/>
        </w:trPr>
        <w:tc>
          <w:tcPr>
            <w:tcW w:w="1152" w:type="dxa"/>
            <w:tcBorders>
              <w:top w:val="nil"/>
              <w:left w:val="nil"/>
              <w:bottom w:val="nil"/>
              <w:right w:val="nil"/>
            </w:tcBorders>
            <w:shd w:val="clear" w:color="auto" w:fill="auto"/>
            <w:noWrap/>
            <w:vAlign w:val="bottom"/>
            <w:hideMark/>
          </w:tcPr>
          <w:p w14:paraId="2D82CD60"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E0DB651" w14:textId="77777777" w:rsidR="000147A0" w:rsidRDefault="000147A0">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F17FE1E" w14:textId="77777777" w:rsidR="000147A0" w:rsidRDefault="000147A0">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167CA3B0" w14:textId="77777777" w:rsidR="000147A0" w:rsidRDefault="000147A0">
            <w:pPr>
              <w:jc w:val="right"/>
              <w:rPr>
                <w:color w:val="000000"/>
                <w:sz w:val="20"/>
                <w:szCs w:val="20"/>
              </w:rPr>
            </w:pPr>
            <w:r>
              <w:rPr>
                <w:color w:val="000000"/>
                <w:sz w:val="20"/>
                <w:szCs w:val="20"/>
              </w:rPr>
              <w:t>0.970</w:t>
            </w:r>
          </w:p>
        </w:tc>
        <w:tc>
          <w:tcPr>
            <w:tcW w:w="864" w:type="dxa"/>
            <w:tcBorders>
              <w:top w:val="nil"/>
              <w:left w:val="nil"/>
              <w:bottom w:val="nil"/>
              <w:right w:val="nil"/>
            </w:tcBorders>
            <w:shd w:val="clear" w:color="auto" w:fill="auto"/>
            <w:noWrap/>
            <w:vAlign w:val="bottom"/>
            <w:hideMark/>
          </w:tcPr>
          <w:p w14:paraId="46A041CC"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D09050E" w14:textId="77777777" w:rsidR="000147A0" w:rsidRDefault="000147A0">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E13AAAD" w14:textId="77777777" w:rsidR="000147A0" w:rsidRDefault="000147A0">
            <w:pPr>
              <w:jc w:val="right"/>
              <w:rPr>
                <w:color w:val="000000"/>
                <w:sz w:val="20"/>
                <w:szCs w:val="20"/>
              </w:rPr>
            </w:pPr>
            <w:r>
              <w:rPr>
                <w:color w:val="000000"/>
                <w:sz w:val="20"/>
                <w:szCs w:val="20"/>
              </w:rPr>
              <w:t>0.931</w:t>
            </w:r>
          </w:p>
        </w:tc>
        <w:tc>
          <w:tcPr>
            <w:tcW w:w="864" w:type="dxa"/>
            <w:tcBorders>
              <w:top w:val="nil"/>
              <w:left w:val="nil"/>
              <w:bottom w:val="nil"/>
              <w:right w:val="nil"/>
            </w:tcBorders>
            <w:shd w:val="clear" w:color="auto" w:fill="auto"/>
            <w:noWrap/>
            <w:vAlign w:val="bottom"/>
            <w:hideMark/>
          </w:tcPr>
          <w:p w14:paraId="4387785A" w14:textId="77777777" w:rsidR="000147A0" w:rsidRDefault="000147A0">
            <w:pPr>
              <w:jc w:val="right"/>
              <w:rPr>
                <w:color w:val="000000"/>
                <w:sz w:val="20"/>
                <w:szCs w:val="20"/>
              </w:rPr>
            </w:pPr>
            <w:r>
              <w:rPr>
                <w:color w:val="000000"/>
                <w:sz w:val="20"/>
                <w:szCs w:val="20"/>
              </w:rPr>
              <w:t>0.000</w:t>
            </w:r>
          </w:p>
        </w:tc>
      </w:tr>
      <w:tr w:rsidR="000147A0" w14:paraId="42E91FFF" w14:textId="77777777" w:rsidTr="000147A0">
        <w:trPr>
          <w:trHeight w:val="260"/>
        </w:trPr>
        <w:tc>
          <w:tcPr>
            <w:tcW w:w="1152" w:type="dxa"/>
            <w:tcBorders>
              <w:top w:val="nil"/>
              <w:left w:val="nil"/>
              <w:bottom w:val="nil"/>
              <w:right w:val="nil"/>
            </w:tcBorders>
            <w:shd w:val="clear" w:color="auto" w:fill="auto"/>
            <w:noWrap/>
            <w:vAlign w:val="bottom"/>
            <w:hideMark/>
          </w:tcPr>
          <w:p w14:paraId="6E82A2E5"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4B01AD6" w14:textId="77777777" w:rsidR="000147A0" w:rsidRDefault="000147A0">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3025019" w14:textId="77777777" w:rsidR="000147A0" w:rsidRDefault="000147A0">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5AC78614" w14:textId="77777777" w:rsidR="000147A0" w:rsidRDefault="000147A0">
            <w:pPr>
              <w:jc w:val="right"/>
              <w:rPr>
                <w:color w:val="000000"/>
                <w:sz w:val="20"/>
                <w:szCs w:val="20"/>
              </w:rPr>
            </w:pPr>
            <w:r>
              <w:rPr>
                <w:color w:val="000000"/>
                <w:sz w:val="20"/>
                <w:szCs w:val="20"/>
              </w:rPr>
              <w:t>0.970</w:t>
            </w:r>
          </w:p>
        </w:tc>
        <w:tc>
          <w:tcPr>
            <w:tcW w:w="864" w:type="dxa"/>
            <w:tcBorders>
              <w:top w:val="nil"/>
              <w:left w:val="nil"/>
              <w:bottom w:val="nil"/>
              <w:right w:val="nil"/>
            </w:tcBorders>
            <w:shd w:val="clear" w:color="auto" w:fill="auto"/>
            <w:noWrap/>
            <w:vAlign w:val="bottom"/>
            <w:hideMark/>
          </w:tcPr>
          <w:p w14:paraId="336F938B"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A7C1303" w14:textId="77777777" w:rsidR="000147A0" w:rsidRDefault="000147A0">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64F239EC" w14:textId="77777777" w:rsidR="000147A0" w:rsidRDefault="000147A0">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3BA4F8CA" w14:textId="77777777" w:rsidR="000147A0" w:rsidRDefault="000147A0">
            <w:pPr>
              <w:jc w:val="right"/>
              <w:rPr>
                <w:color w:val="000000"/>
                <w:sz w:val="20"/>
                <w:szCs w:val="20"/>
              </w:rPr>
            </w:pPr>
            <w:r>
              <w:rPr>
                <w:color w:val="000000"/>
                <w:sz w:val="20"/>
                <w:szCs w:val="20"/>
              </w:rPr>
              <w:t>0.001</w:t>
            </w:r>
          </w:p>
        </w:tc>
      </w:tr>
      <w:tr w:rsidR="000147A0" w14:paraId="61D18821" w14:textId="77777777" w:rsidTr="000147A0">
        <w:trPr>
          <w:trHeight w:val="260"/>
        </w:trPr>
        <w:tc>
          <w:tcPr>
            <w:tcW w:w="1152" w:type="dxa"/>
            <w:tcBorders>
              <w:top w:val="nil"/>
              <w:left w:val="nil"/>
              <w:bottom w:val="nil"/>
              <w:right w:val="nil"/>
            </w:tcBorders>
            <w:shd w:val="clear" w:color="auto" w:fill="auto"/>
            <w:noWrap/>
            <w:vAlign w:val="bottom"/>
            <w:hideMark/>
          </w:tcPr>
          <w:p w14:paraId="047D3F79"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3F8C385" w14:textId="77777777" w:rsidR="000147A0" w:rsidRDefault="000147A0">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971B8DC" w14:textId="77777777" w:rsidR="000147A0" w:rsidRDefault="000147A0">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6ACD86D8" w14:textId="77777777" w:rsidR="000147A0" w:rsidRDefault="000147A0">
            <w:pPr>
              <w:jc w:val="right"/>
              <w:rPr>
                <w:color w:val="000000"/>
                <w:sz w:val="20"/>
                <w:szCs w:val="20"/>
              </w:rPr>
            </w:pPr>
            <w:r>
              <w:rPr>
                <w:color w:val="000000"/>
                <w:sz w:val="20"/>
                <w:szCs w:val="20"/>
              </w:rPr>
              <w:t>0.970</w:t>
            </w:r>
          </w:p>
        </w:tc>
        <w:tc>
          <w:tcPr>
            <w:tcW w:w="864" w:type="dxa"/>
            <w:tcBorders>
              <w:top w:val="nil"/>
              <w:left w:val="nil"/>
              <w:bottom w:val="nil"/>
              <w:right w:val="nil"/>
            </w:tcBorders>
            <w:shd w:val="clear" w:color="auto" w:fill="auto"/>
            <w:noWrap/>
            <w:vAlign w:val="bottom"/>
            <w:hideMark/>
          </w:tcPr>
          <w:p w14:paraId="69BAEBC6"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2F40CEE" w14:textId="77777777" w:rsidR="000147A0" w:rsidRDefault="000147A0">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7A0E5EC" w14:textId="77777777" w:rsidR="000147A0" w:rsidRDefault="000147A0">
            <w:pPr>
              <w:jc w:val="right"/>
              <w:rPr>
                <w:color w:val="000000"/>
                <w:sz w:val="20"/>
                <w:szCs w:val="20"/>
              </w:rPr>
            </w:pPr>
            <w:r>
              <w:rPr>
                <w:color w:val="000000"/>
                <w:sz w:val="20"/>
                <w:szCs w:val="20"/>
              </w:rPr>
              <w:t>0.931</w:t>
            </w:r>
          </w:p>
        </w:tc>
        <w:tc>
          <w:tcPr>
            <w:tcW w:w="864" w:type="dxa"/>
            <w:tcBorders>
              <w:top w:val="nil"/>
              <w:left w:val="nil"/>
              <w:bottom w:val="nil"/>
              <w:right w:val="nil"/>
            </w:tcBorders>
            <w:shd w:val="clear" w:color="auto" w:fill="auto"/>
            <w:noWrap/>
            <w:vAlign w:val="bottom"/>
            <w:hideMark/>
          </w:tcPr>
          <w:p w14:paraId="62A151F1" w14:textId="77777777" w:rsidR="000147A0" w:rsidRDefault="000147A0">
            <w:pPr>
              <w:jc w:val="right"/>
              <w:rPr>
                <w:color w:val="000000"/>
                <w:sz w:val="20"/>
                <w:szCs w:val="20"/>
              </w:rPr>
            </w:pPr>
            <w:r>
              <w:rPr>
                <w:color w:val="000000"/>
                <w:sz w:val="20"/>
                <w:szCs w:val="20"/>
              </w:rPr>
              <w:t>0.000</w:t>
            </w:r>
          </w:p>
        </w:tc>
      </w:tr>
      <w:tr w:rsidR="000147A0" w14:paraId="74CFB846" w14:textId="77777777" w:rsidTr="000147A0">
        <w:trPr>
          <w:trHeight w:val="260"/>
        </w:trPr>
        <w:tc>
          <w:tcPr>
            <w:tcW w:w="1152" w:type="dxa"/>
            <w:tcBorders>
              <w:top w:val="nil"/>
              <w:left w:val="nil"/>
              <w:bottom w:val="single" w:sz="4" w:space="0" w:color="auto"/>
              <w:right w:val="nil"/>
            </w:tcBorders>
            <w:shd w:val="clear" w:color="auto" w:fill="auto"/>
            <w:noWrap/>
            <w:vAlign w:val="bottom"/>
            <w:hideMark/>
          </w:tcPr>
          <w:p w14:paraId="3E604450" w14:textId="77777777" w:rsidR="000147A0" w:rsidRDefault="000147A0">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E29813D" w14:textId="77777777" w:rsidR="000147A0" w:rsidRDefault="000147A0">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94FC245" w14:textId="77777777" w:rsidR="000147A0" w:rsidRDefault="000147A0">
            <w:pPr>
              <w:jc w:val="right"/>
              <w:rPr>
                <w:color w:val="000000"/>
                <w:sz w:val="20"/>
                <w:szCs w:val="20"/>
              </w:rPr>
            </w:pPr>
            <w:r>
              <w:rPr>
                <w:color w:val="000000"/>
                <w:sz w:val="20"/>
                <w:szCs w:val="20"/>
              </w:rPr>
              <w:t>0.033</w:t>
            </w:r>
          </w:p>
        </w:tc>
        <w:tc>
          <w:tcPr>
            <w:tcW w:w="864" w:type="dxa"/>
            <w:tcBorders>
              <w:top w:val="nil"/>
              <w:left w:val="nil"/>
              <w:bottom w:val="single" w:sz="4" w:space="0" w:color="auto"/>
              <w:right w:val="nil"/>
            </w:tcBorders>
            <w:shd w:val="clear" w:color="auto" w:fill="auto"/>
            <w:noWrap/>
            <w:vAlign w:val="bottom"/>
            <w:hideMark/>
          </w:tcPr>
          <w:p w14:paraId="33DCCB5A" w14:textId="77777777" w:rsidR="000147A0" w:rsidRDefault="000147A0">
            <w:pPr>
              <w:jc w:val="right"/>
              <w:rPr>
                <w:color w:val="000000"/>
                <w:sz w:val="20"/>
                <w:szCs w:val="20"/>
              </w:rPr>
            </w:pPr>
            <w:r>
              <w:rPr>
                <w:color w:val="000000"/>
                <w:sz w:val="20"/>
                <w:szCs w:val="20"/>
              </w:rPr>
              <w:t>0.812</w:t>
            </w:r>
          </w:p>
        </w:tc>
        <w:tc>
          <w:tcPr>
            <w:tcW w:w="864" w:type="dxa"/>
            <w:tcBorders>
              <w:top w:val="nil"/>
              <w:left w:val="nil"/>
              <w:bottom w:val="single" w:sz="4" w:space="0" w:color="auto"/>
              <w:right w:val="nil"/>
            </w:tcBorders>
            <w:shd w:val="clear" w:color="auto" w:fill="auto"/>
            <w:noWrap/>
            <w:vAlign w:val="bottom"/>
            <w:hideMark/>
          </w:tcPr>
          <w:p w14:paraId="3871FFF5" w14:textId="77777777" w:rsidR="000147A0" w:rsidRDefault="000147A0">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08751FB1" w14:textId="77777777" w:rsidR="000147A0" w:rsidRDefault="000147A0">
            <w:pPr>
              <w:jc w:val="right"/>
              <w:rPr>
                <w:color w:val="000000"/>
                <w:sz w:val="20"/>
                <w:szCs w:val="20"/>
              </w:rPr>
            </w:pPr>
            <w:r>
              <w:rPr>
                <w:color w:val="000000"/>
                <w:sz w:val="20"/>
                <w:szCs w:val="20"/>
              </w:rPr>
              <w:t>-0.005</w:t>
            </w:r>
          </w:p>
        </w:tc>
        <w:tc>
          <w:tcPr>
            <w:tcW w:w="864" w:type="dxa"/>
            <w:tcBorders>
              <w:top w:val="nil"/>
              <w:left w:val="nil"/>
              <w:bottom w:val="single" w:sz="4" w:space="0" w:color="auto"/>
              <w:right w:val="nil"/>
            </w:tcBorders>
            <w:shd w:val="clear" w:color="auto" w:fill="auto"/>
            <w:noWrap/>
            <w:vAlign w:val="bottom"/>
            <w:hideMark/>
          </w:tcPr>
          <w:p w14:paraId="104D79EF" w14:textId="77777777" w:rsidR="000147A0" w:rsidRDefault="000147A0">
            <w:pPr>
              <w:jc w:val="right"/>
              <w:rPr>
                <w:color w:val="000000"/>
                <w:sz w:val="20"/>
                <w:szCs w:val="20"/>
              </w:rPr>
            </w:pPr>
            <w:r>
              <w:rPr>
                <w:color w:val="000000"/>
                <w:sz w:val="20"/>
                <w:szCs w:val="20"/>
              </w:rPr>
              <w:t>0.931</w:t>
            </w:r>
          </w:p>
        </w:tc>
        <w:tc>
          <w:tcPr>
            <w:tcW w:w="864" w:type="dxa"/>
            <w:tcBorders>
              <w:top w:val="nil"/>
              <w:left w:val="nil"/>
              <w:bottom w:val="single" w:sz="4" w:space="0" w:color="auto"/>
              <w:right w:val="nil"/>
            </w:tcBorders>
            <w:shd w:val="clear" w:color="auto" w:fill="auto"/>
            <w:noWrap/>
            <w:vAlign w:val="bottom"/>
            <w:hideMark/>
          </w:tcPr>
          <w:p w14:paraId="074B74E2" w14:textId="77777777" w:rsidR="000147A0" w:rsidRDefault="000147A0">
            <w:pPr>
              <w:jc w:val="right"/>
              <w:rPr>
                <w:color w:val="000000"/>
                <w:sz w:val="20"/>
                <w:szCs w:val="20"/>
              </w:rPr>
            </w:pPr>
            <w:r>
              <w:rPr>
                <w:color w:val="000000"/>
                <w:sz w:val="20"/>
                <w:szCs w:val="20"/>
              </w:rPr>
              <w:t>0.000</w:t>
            </w:r>
          </w:p>
        </w:tc>
      </w:tr>
      <w:tr w:rsidR="000147A0" w14:paraId="2361B025" w14:textId="77777777" w:rsidTr="000147A0">
        <w:trPr>
          <w:trHeight w:val="260"/>
        </w:trPr>
        <w:tc>
          <w:tcPr>
            <w:tcW w:w="1152" w:type="dxa"/>
            <w:tcBorders>
              <w:top w:val="nil"/>
              <w:left w:val="nil"/>
              <w:bottom w:val="nil"/>
              <w:right w:val="nil"/>
            </w:tcBorders>
            <w:shd w:val="clear" w:color="auto" w:fill="auto"/>
            <w:noWrap/>
            <w:vAlign w:val="bottom"/>
            <w:hideMark/>
          </w:tcPr>
          <w:p w14:paraId="5FDD3BC8" w14:textId="77777777" w:rsidR="000147A0" w:rsidRDefault="000147A0">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454B464A" w14:textId="77777777" w:rsidR="000147A0" w:rsidRDefault="000147A0">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3D46E87" w14:textId="77777777" w:rsidR="000147A0" w:rsidRDefault="000147A0">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37A13598" w14:textId="77777777" w:rsidR="000147A0" w:rsidRDefault="000147A0">
            <w:pPr>
              <w:jc w:val="right"/>
              <w:rPr>
                <w:color w:val="000000"/>
                <w:sz w:val="20"/>
                <w:szCs w:val="20"/>
              </w:rPr>
            </w:pPr>
            <w:r>
              <w:rPr>
                <w:color w:val="000000"/>
                <w:sz w:val="20"/>
                <w:szCs w:val="20"/>
              </w:rPr>
              <w:t>0.641</w:t>
            </w:r>
          </w:p>
        </w:tc>
        <w:tc>
          <w:tcPr>
            <w:tcW w:w="864" w:type="dxa"/>
            <w:tcBorders>
              <w:top w:val="nil"/>
              <w:left w:val="nil"/>
              <w:bottom w:val="nil"/>
              <w:right w:val="nil"/>
            </w:tcBorders>
            <w:shd w:val="clear" w:color="auto" w:fill="auto"/>
            <w:noWrap/>
            <w:vAlign w:val="bottom"/>
            <w:hideMark/>
          </w:tcPr>
          <w:p w14:paraId="3E91C822" w14:textId="77777777" w:rsidR="000147A0" w:rsidRDefault="000147A0">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9B797DD" w14:textId="77777777" w:rsidR="000147A0" w:rsidRDefault="000147A0">
            <w:pPr>
              <w:jc w:val="right"/>
              <w:rPr>
                <w:color w:val="000000"/>
                <w:sz w:val="20"/>
                <w:szCs w:val="20"/>
              </w:rPr>
            </w:pPr>
            <w:r>
              <w:rPr>
                <w:color w:val="000000"/>
                <w:sz w:val="20"/>
                <w:szCs w:val="20"/>
              </w:rPr>
              <w:t>0.055</w:t>
            </w:r>
          </w:p>
        </w:tc>
        <w:tc>
          <w:tcPr>
            <w:tcW w:w="864" w:type="dxa"/>
            <w:tcBorders>
              <w:top w:val="nil"/>
              <w:left w:val="nil"/>
              <w:bottom w:val="nil"/>
              <w:right w:val="nil"/>
            </w:tcBorders>
            <w:shd w:val="clear" w:color="auto" w:fill="auto"/>
            <w:noWrap/>
            <w:vAlign w:val="bottom"/>
            <w:hideMark/>
          </w:tcPr>
          <w:p w14:paraId="1349FF7C" w14:textId="77777777" w:rsidR="000147A0" w:rsidRDefault="000147A0">
            <w:pPr>
              <w:jc w:val="right"/>
              <w:rPr>
                <w:color w:val="000000"/>
                <w:sz w:val="20"/>
                <w:szCs w:val="20"/>
              </w:rPr>
            </w:pPr>
            <w:r>
              <w:rPr>
                <w:color w:val="000000"/>
                <w:sz w:val="20"/>
                <w:szCs w:val="20"/>
              </w:rPr>
              <w:t>0.244</w:t>
            </w:r>
          </w:p>
        </w:tc>
        <w:tc>
          <w:tcPr>
            <w:tcW w:w="864" w:type="dxa"/>
            <w:tcBorders>
              <w:top w:val="nil"/>
              <w:left w:val="nil"/>
              <w:bottom w:val="nil"/>
              <w:right w:val="nil"/>
            </w:tcBorders>
            <w:shd w:val="clear" w:color="auto" w:fill="auto"/>
            <w:noWrap/>
            <w:vAlign w:val="bottom"/>
            <w:hideMark/>
          </w:tcPr>
          <w:p w14:paraId="18DAF7D0" w14:textId="77777777" w:rsidR="000147A0" w:rsidRDefault="000147A0">
            <w:pPr>
              <w:jc w:val="right"/>
              <w:rPr>
                <w:color w:val="000000"/>
                <w:sz w:val="20"/>
                <w:szCs w:val="20"/>
              </w:rPr>
            </w:pPr>
            <w:r>
              <w:rPr>
                <w:color w:val="000000"/>
                <w:sz w:val="20"/>
                <w:szCs w:val="20"/>
              </w:rPr>
              <w:t>0.003</w:t>
            </w:r>
          </w:p>
        </w:tc>
      </w:tr>
      <w:tr w:rsidR="000147A0" w14:paraId="7D3DB3F1" w14:textId="77777777" w:rsidTr="000147A0">
        <w:trPr>
          <w:trHeight w:val="260"/>
        </w:trPr>
        <w:tc>
          <w:tcPr>
            <w:tcW w:w="1152" w:type="dxa"/>
            <w:tcBorders>
              <w:top w:val="nil"/>
              <w:left w:val="nil"/>
              <w:bottom w:val="nil"/>
              <w:right w:val="nil"/>
            </w:tcBorders>
            <w:shd w:val="clear" w:color="auto" w:fill="auto"/>
            <w:noWrap/>
            <w:vAlign w:val="bottom"/>
            <w:hideMark/>
          </w:tcPr>
          <w:p w14:paraId="75AF3D27"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EC9E678" w14:textId="77777777" w:rsidR="000147A0" w:rsidRDefault="000147A0">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29B799E" w14:textId="77777777" w:rsidR="000147A0" w:rsidRDefault="000147A0">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219544B8" w14:textId="77777777" w:rsidR="000147A0" w:rsidRDefault="000147A0">
            <w:pPr>
              <w:jc w:val="right"/>
              <w:rPr>
                <w:color w:val="000000"/>
                <w:sz w:val="20"/>
                <w:szCs w:val="20"/>
              </w:rPr>
            </w:pPr>
            <w:r>
              <w:rPr>
                <w:color w:val="000000"/>
                <w:sz w:val="20"/>
                <w:szCs w:val="20"/>
              </w:rPr>
              <w:t>0.528</w:t>
            </w:r>
          </w:p>
        </w:tc>
        <w:tc>
          <w:tcPr>
            <w:tcW w:w="864" w:type="dxa"/>
            <w:tcBorders>
              <w:top w:val="nil"/>
              <w:left w:val="nil"/>
              <w:bottom w:val="nil"/>
              <w:right w:val="nil"/>
            </w:tcBorders>
            <w:shd w:val="clear" w:color="auto" w:fill="auto"/>
            <w:noWrap/>
            <w:vAlign w:val="bottom"/>
            <w:hideMark/>
          </w:tcPr>
          <w:p w14:paraId="767A01A9" w14:textId="77777777" w:rsidR="000147A0" w:rsidRDefault="000147A0">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19EB7CA" w14:textId="77777777" w:rsidR="000147A0" w:rsidRDefault="000147A0">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00FDA2EB" w14:textId="77777777" w:rsidR="000147A0" w:rsidRDefault="000147A0">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1D5FBF61" w14:textId="77777777" w:rsidR="000147A0" w:rsidRDefault="000147A0">
            <w:pPr>
              <w:jc w:val="right"/>
              <w:rPr>
                <w:color w:val="000000"/>
                <w:sz w:val="20"/>
                <w:szCs w:val="20"/>
              </w:rPr>
            </w:pPr>
            <w:r>
              <w:rPr>
                <w:color w:val="000000"/>
                <w:sz w:val="20"/>
                <w:szCs w:val="20"/>
              </w:rPr>
              <w:t>0.005</w:t>
            </w:r>
          </w:p>
        </w:tc>
      </w:tr>
      <w:tr w:rsidR="000147A0" w14:paraId="243458D3" w14:textId="77777777" w:rsidTr="000147A0">
        <w:trPr>
          <w:trHeight w:val="260"/>
        </w:trPr>
        <w:tc>
          <w:tcPr>
            <w:tcW w:w="1152" w:type="dxa"/>
            <w:tcBorders>
              <w:top w:val="nil"/>
              <w:left w:val="nil"/>
              <w:bottom w:val="nil"/>
              <w:right w:val="nil"/>
            </w:tcBorders>
            <w:shd w:val="clear" w:color="auto" w:fill="auto"/>
            <w:noWrap/>
            <w:vAlign w:val="bottom"/>
            <w:hideMark/>
          </w:tcPr>
          <w:p w14:paraId="432D29BC"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A6F939" w14:textId="77777777" w:rsidR="000147A0" w:rsidRDefault="000147A0">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EB3D713" w14:textId="77777777" w:rsidR="000147A0" w:rsidRDefault="000147A0">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144EC5CD" w14:textId="77777777" w:rsidR="000147A0" w:rsidRDefault="000147A0">
            <w:pPr>
              <w:jc w:val="right"/>
              <w:rPr>
                <w:color w:val="000000"/>
                <w:sz w:val="20"/>
                <w:szCs w:val="20"/>
              </w:rPr>
            </w:pPr>
            <w:r>
              <w:rPr>
                <w:color w:val="000000"/>
                <w:sz w:val="20"/>
                <w:szCs w:val="20"/>
              </w:rPr>
              <w:t>0.641</w:t>
            </w:r>
          </w:p>
        </w:tc>
        <w:tc>
          <w:tcPr>
            <w:tcW w:w="864" w:type="dxa"/>
            <w:tcBorders>
              <w:top w:val="nil"/>
              <w:left w:val="nil"/>
              <w:bottom w:val="nil"/>
              <w:right w:val="nil"/>
            </w:tcBorders>
            <w:shd w:val="clear" w:color="auto" w:fill="auto"/>
            <w:noWrap/>
            <w:vAlign w:val="bottom"/>
            <w:hideMark/>
          </w:tcPr>
          <w:p w14:paraId="2D071168" w14:textId="77777777" w:rsidR="000147A0" w:rsidRDefault="000147A0">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33384A6" w14:textId="77777777" w:rsidR="000147A0" w:rsidRDefault="000147A0">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6A747AD1" w14:textId="77777777" w:rsidR="000147A0" w:rsidRDefault="000147A0">
            <w:pPr>
              <w:jc w:val="right"/>
              <w:rPr>
                <w:color w:val="000000"/>
                <w:sz w:val="20"/>
                <w:szCs w:val="20"/>
              </w:rPr>
            </w:pPr>
            <w:r>
              <w:rPr>
                <w:color w:val="000000"/>
                <w:sz w:val="20"/>
                <w:szCs w:val="20"/>
              </w:rPr>
              <w:t>0.677</w:t>
            </w:r>
          </w:p>
        </w:tc>
        <w:tc>
          <w:tcPr>
            <w:tcW w:w="864" w:type="dxa"/>
            <w:tcBorders>
              <w:top w:val="nil"/>
              <w:left w:val="nil"/>
              <w:bottom w:val="nil"/>
              <w:right w:val="nil"/>
            </w:tcBorders>
            <w:shd w:val="clear" w:color="auto" w:fill="auto"/>
            <w:noWrap/>
            <w:vAlign w:val="bottom"/>
            <w:hideMark/>
          </w:tcPr>
          <w:p w14:paraId="11988BB5" w14:textId="77777777" w:rsidR="000147A0" w:rsidRDefault="000147A0">
            <w:pPr>
              <w:jc w:val="right"/>
              <w:rPr>
                <w:color w:val="000000"/>
                <w:sz w:val="20"/>
                <w:szCs w:val="20"/>
              </w:rPr>
            </w:pPr>
            <w:r>
              <w:rPr>
                <w:color w:val="000000"/>
                <w:sz w:val="20"/>
                <w:szCs w:val="20"/>
              </w:rPr>
              <w:t>0.001</w:t>
            </w:r>
          </w:p>
        </w:tc>
      </w:tr>
      <w:tr w:rsidR="000147A0" w14:paraId="1E6D6DBA" w14:textId="77777777" w:rsidTr="000147A0">
        <w:trPr>
          <w:trHeight w:val="260"/>
        </w:trPr>
        <w:tc>
          <w:tcPr>
            <w:tcW w:w="1152" w:type="dxa"/>
            <w:tcBorders>
              <w:top w:val="nil"/>
              <w:left w:val="nil"/>
              <w:bottom w:val="nil"/>
              <w:right w:val="nil"/>
            </w:tcBorders>
            <w:shd w:val="clear" w:color="auto" w:fill="auto"/>
            <w:noWrap/>
            <w:vAlign w:val="bottom"/>
            <w:hideMark/>
          </w:tcPr>
          <w:p w14:paraId="074067BB"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CD81293" w14:textId="77777777" w:rsidR="000147A0" w:rsidRDefault="000147A0">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84D8099" w14:textId="77777777" w:rsidR="000147A0" w:rsidRDefault="000147A0">
            <w:pPr>
              <w:jc w:val="right"/>
              <w:rPr>
                <w:b/>
                <w:bCs/>
                <w:color w:val="000000"/>
                <w:sz w:val="20"/>
                <w:szCs w:val="20"/>
              </w:rPr>
            </w:pPr>
            <w:r>
              <w:rPr>
                <w:b/>
                <w:bCs/>
                <w:color w:val="000000"/>
                <w:sz w:val="20"/>
                <w:szCs w:val="20"/>
              </w:rPr>
              <w:t>-0.093</w:t>
            </w:r>
          </w:p>
        </w:tc>
        <w:tc>
          <w:tcPr>
            <w:tcW w:w="864" w:type="dxa"/>
            <w:tcBorders>
              <w:top w:val="nil"/>
              <w:left w:val="nil"/>
              <w:bottom w:val="nil"/>
              <w:right w:val="nil"/>
            </w:tcBorders>
            <w:shd w:val="clear" w:color="auto" w:fill="auto"/>
            <w:noWrap/>
            <w:vAlign w:val="bottom"/>
            <w:hideMark/>
          </w:tcPr>
          <w:p w14:paraId="704B3656" w14:textId="77777777" w:rsidR="000147A0" w:rsidRDefault="000147A0">
            <w:pPr>
              <w:jc w:val="right"/>
              <w:rPr>
                <w:b/>
                <w:bCs/>
                <w:color w:val="000000"/>
                <w:sz w:val="20"/>
                <w:szCs w:val="20"/>
              </w:rPr>
            </w:pPr>
            <w:r>
              <w:rPr>
                <w:b/>
                <w:bCs/>
                <w:color w:val="000000"/>
                <w:sz w:val="20"/>
                <w:szCs w:val="20"/>
              </w:rPr>
              <w:t>0.040</w:t>
            </w:r>
          </w:p>
        </w:tc>
        <w:tc>
          <w:tcPr>
            <w:tcW w:w="864" w:type="dxa"/>
            <w:tcBorders>
              <w:top w:val="nil"/>
              <w:left w:val="nil"/>
              <w:bottom w:val="nil"/>
              <w:right w:val="nil"/>
            </w:tcBorders>
            <w:shd w:val="clear" w:color="auto" w:fill="auto"/>
            <w:noWrap/>
            <w:vAlign w:val="bottom"/>
            <w:hideMark/>
          </w:tcPr>
          <w:p w14:paraId="10706965" w14:textId="77777777" w:rsidR="000147A0" w:rsidRDefault="000147A0">
            <w:pPr>
              <w:jc w:val="right"/>
              <w:rPr>
                <w:b/>
                <w:bCs/>
                <w:color w:val="000000"/>
                <w:sz w:val="20"/>
                <w:szCs w:val="20"/>
              </w:rPr>
            </w:pPr>
            <w:r>
              <w:rPr>
                <w:b/>
                <w:bCs/>
                <w:color w:val="000000"/>
                <w:sz w:val="20"/>
                <w:szCs w:val="20"/>
              </w:rPr>
              <w:t>0.009</w:t>
            </w:r>
          </w:p>
        </w:tc>
        <w:tc>
          <w:tcPr>
            <w:tcW w:w="864" w:type="dxa"/>
            <w:tcBorders>
              <w:top w:val="nil"/>
              <w:left w:val="nil"/>
              <w:bottom w:val="nil"/>
              <w:right w:val="nil"/>
            </w:tcBorders>
            <w:shd w:val="clear" w:color="auto" w:fill="auto"/>
            <w:noWrap/>
            <w:vAlign w:val="bottom"/>
            <w:hideMark/>
          </w:tcPr>
          <w:p w14:paraId="43880DC0" w14:textId="77777777" w:rsidR="000147A0" w:rsidRDefault="000147A0">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55845238" w14:textId="77777777" w:rsidR="000147A0" w:rsidRDefault="000147A0">
            <w:pPr>
              <w:jc w:val="right"/>
              <w:rPr>
                <w:color w:val="000000"/>
                <w:sz w:val="20"/>
                <w:szCs w:val="20"/>
              </w:rPr>
            </w:pPr>
            <w:r>
              <w:rPr>
                <w:color w:val="000000"/>
                <w:sz w:val="20"/>
                <w:szCs w:val="20"/>
              </w:rPr>
              <w:t>0.677</w:t>
            </w:r>
          </w:p>
        </w:tc>
        <w:tc>
          <w:tcPr>
            <w:tcW w:w="864" w:type="dxa"/>
            <w:tcBorders>
              <w:top w:val="nil"/>
              <w:left w:val="nil"/>
              <w:bottom w:val="nil"/>
              <w:right w:val="nil"/>
            </w:tcBorders>
            <w:shd w:val="clear" w:color="auto" w:fill="auto"/>
            <w:noWrap/>
            <w:vAlign w:val="bottom"/>
            <w:hideMark/>
          </w:tcPr>
          <w:p w14:paraId="50531585" w14:textId="77777777" w:rsidR="000147A0" w:rsidRDefault="000147A0">
            <w:pPr>
              <w:jc w:val="right"/>
              <w:rPr>
                <w:color w:val="000000"/>
                <w:sz w:val="20"/>
                <w:szCs w:val="20"/>
              </w:rPr>
            </w:pPr>
            <w:r>
              <w:rPr>
                <w:color w:val="000000"/>
                <w:sz w:val="20"/>
                <w:szCs w:val="20"/>
              </w:rPr>
              <w:t>0.000</w:t>
            </w:r>
          </w:p>
        </w:tc>
      </w:tr>
      <w:tr w:rsidR="000147A0" w14:paraId="56122635" w14:textId="77777777" w:rsidTr="000147A0">
        <w:trPr>
          <w:trHeight w:val="260"/>
        </w:trPr>
        <w:tc>
          <w:tcPr>
            <w:tcW w:w="1152" w:type="dxa"/>
            <w:tcBorders>
              <w:top w:val="nil"/>
              <w:left w:val="nil"/>
              <w:bottom w:val="nil"/>
              <w:right w:val="nil"/>
            </w:tcBorders>
            <w:shd w:val="clear" w:color="auto" w:fill="auto"/>
            <w:noWrap/>
            <w:vAlign w:val="bottom"/>
            <w:hideMark/>
          </w:tcPr>
          <w:p w14:paraId="67174D50"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3FDE09D" w14:textId="77777777" w:rsidR="000147A0" w:rsidRDefault="000147A0">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D9EA5C0" w14:textId="77777777" w:rsidR="000147A0" w:rsidRDefault="000147A0">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0A4991DE" w14:textId="77777777" w:rsidR="000147A0" w:rsidRDefault="000147A0">
            <w:pPr>
              <w:jc w:val="right"/>
              <w:rPr>
                <w:color w:val="000000"/>
                <w:sz w:val="20"/>
                <w:szCs w:val="20"/>
              </w:rPr>
            </w:pPr>
            <w:r>
              <w:rPr>
                <w:color w:val="000000"/>
                <w:sz w:val="20"/>
                <w:szCs w:val="20"/>
              </w:rPr>
              <w:t>0.851</w:t>
            </w:r>
          </w:p>
        </w:tc>
        <w:tc>
          <w:tcPr>
            <w:tcW w:w="864" w:type="dxa"/>
            <w:tcBorders>
              <w:top w:val="nil"/>
              <w:left w:val="nil"/>
              <w:bottom w:val="nil"/>
              <w:right w:val="nil"/>
            </w:tcBorders>
            <w:shd w:val="clear" w:color="auto" w:fill="auto"/>
            <w:noWrap/>
            <w:vAlign w:val="bottom"/>
            <w:hideMark/>
          </w:tcPr>
          <w:p w14:paraId="436DA054"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FAC9692" w14:textId="77777777" w:rsidR="000147A0" w:rsidRDefault="000147A0">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7B1959FE" w14:textId="77777777" w:rsidR="000147A0" w:rsidRDefault="000147A0">
            <w:pPr>
              <w:jc w:val="right"/>
              <w:rPr>
                <w:color w:val="000000"/>
                <w:sz w:val="20"/>
                <w:szCs w:val="20"/>
              </w:rPr>
            </w:pPr>
            <w:r>
              <w:rPr>
                <w:color w:val="000000"/>
                <w:sz w:val="20"/>
                <w:szCs w:val="20"/>
              </w:rPr>
              <w:t>0.930</w:t>
            </w:r>
          </w:p>
        </w:tc>
        <w:tc>
          <w:tcPr>
            <w:tcW w:w="864" w:type="dxa"/>
            <w:tcBorders>
              <w:top w:val="nil"/>
              <w:left w:val="nil"/>
              <w:bottom w:val="nil"/>
              <w:right w:val="nil"/>
            </w:tcBorders>
            <w:shd w:val="clear" w:color="auto" w:fill="auto"/>
            <w:noWrap/>
            <w:vAlign w:val="bottom"/>
            <w:hideMark/>
          </w:tcPr>
          <w:p w14:paraId="169E6840" w14:textId="77777777" w:rsidR="000147A0" w:rsidRDefault="000147A0">
            <w:pPr>
              <w:jc w:val="right"/>
              <w:rPr>
                <w:color w:val="000000"/>
                <w:sz w:val="20"/>
                <w:szCs w:val="20"/>
              </w:rPr>
            </w:pPr>
            <w:r>
              <w:rPr>
                <w:color w:val="000000"/>
                <w:sz w:val="20"/>
                <w:szCs w:val="20"/>
              </w:rPr>
              <w:t>0.000</w:t>
            </w:r>
          </w:p>
        </w:tc>
      </w:tr>
      <w:tr w:rsidR="000147A0" w14:paraId="1EC9951B" w14:textId="77777777" w:rsidTr="000147A0">
        <w:trPr>
          <w:trHeight w:val="260"/>
        </w:trPr>
        <w:tc>
          <w:tcPr>
            <w:tcW w:w="1152" w:type="dxa"/>
            <w:tcBorders>
              <w:top w:val="nil"/>
              <w:left w:val="nil"/>
              <w:bottom w:val="nil"/>
              <w:right w:val="nil"/>
            </w:tcBorders>
            <w:shd w:val="clear" w:color="auto" w:fill="auto"/>
            <w:noWrap/>
            <w:vAlign w:val="bottom"/>
            <w:hideMark/>
          </w:tcPr>
          <w:p w14:paraId="1150999F"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C221E7C" w14:textId="77777777" w:rsidR="000147A0" w:rsidRDefault="000147A0">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3F85DF4" w14:textId="77777777" w:rsidR="000147A0" w:rsidRDefault="000147A0">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0A392A7E" w14:textId="77777777" w:rsidR="000147A0" w:rsidRDefault="000147A0">
            <w:pPr>
              <w:jc w:val="right"/>
              <w:rPr>
                <w:color w:val="000000"/>
                <w:sz w:val="20"/>
                <w:szCs w:val="20"/>
              </w:rPr>
            </w:pPr>
            <w:r>
              <w:rPr>
                <w:color w:val="000000"/>
                <w:sz w:val="20"/>
                <w:szCs w:val="20"/>
              </w:rPr>
              <w:t>0.851</w:t>
            </w:r>
          </w:p>
        </w:tc>
        <w:tc>
          <w:tcPr>
            <w:tcW w:w="864" w:type="dxa"/>
            <w:tcBorders>
              <w:top w:val="nil"/>
              <w:left w:val="nil"/>
              <w:bottom w:val="nil"/>
              <w:right w:val="nil"/>
            </w:tcBorders>
            <w:shd w:val="clear" w:color="auto" w:fill="auto"/>
            <w:noWrap/>
            <w:vAlign w:val="bottom"/>
            <w:hideMark/>
          </w:tcPr>
          <w:p w14:paraId="4E1FD6E0"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6832492" w14:textId="77777777" w:rsidR="000147A0" w:rsidRDefault="000147A0">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601EBCAB" w14:textId="77777777" w:rsidR="000147A0" w:rsidRDefault="000147A0">
            <w:pPr>
              <w:jc w:val="right"/>
              <w:rPr>
                <w:color w:val="000000"/>
                <w:sz w:val="20"/>
                <w:szCs w:val="20"/>
              </w:rPr>
            </w:pPr>
            <w:r>
              <w:rPr>
                <w:color w:val="000000"/>
                <w:sz w:val="20"/>
                <w:szCs w:val="20"/>
              </w:rPr>
              <w:t>0.547</w:t>
            </w:r>
          </w:p>
        </w:tc>
        <w:tc>
          <w:tcPr>
            <w:tcW w:w="864" w:type="dxa"/>
            <w:tcBorders>
              <w:top w:val="nil"/>
              <w:left w:val="nil"/>
              <w:bottom w:val="nil"/>
              <w:right w:val="nil"/>
            </w:tcBorders>
            <w:shd w:val="clear" w:color="auto" w:fill="auto"/>
            <w:noWrap/>
            <w:vAlign w:val="bottom"/>
            <w:hideMark/>
          </w:tcPr>
          <w:p w14:paraId="1638DED7" w14:textId="77777777" w:rsidR="000147A0" w:rsidRDefault="000147A0">
            <w:pPr>
              <w:jc w:val="right"/>
              <w:rPr>
                <w:color w:val="000000"/>
                <w:sz w:val="20"/>
                <w:szCs w:val="20"/>
              </w:rPr>
            </w:pPr>
            <w:r>
              <w:rPr>
                <w:color w:val="000000"/>
                <w:sz w:val="20"/>
                <w:szCs w:val="20"/>
              </w:rPr>
              <w:t>0.002</w:t>
            </w:r>
          </w:p>
        </w:tc>
      </w:tr>
      <w:tr w:rsidR="000147A0" w14:paraId="024DCF2B" w14:textId="77777777" w:rsidTr="000147A0">
        <w:trPr>
          <w:trHeight w:val="260"/>
        </w:trPr>
        <w:tc>
          <w:tcPr>
            <w:tcW w:w="1152" w:type="dxa"/>
            <w:tcBorders>
              <w:top w:val="nil"/>
              <w:left w:val="nil"/>
              <w:bottom w:val="nil"/>
              <w:right w:val="nil"/>
            </w:tcBorders>
            <w:shd w:val="clear" w:color="auto" w:fill="auto"/>
            <w:noWrap/>
            <w:vAlign w:val="bottom"/>
            <w:hideMark/>
          </w:tcPr>
          <w:p w14:paraId="3669ECB9"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8AB4CBA" w14:textId="77777777" w:rsidR="000147A0" w:rsidRDefault="000147A0">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EAB3509" w14:textId="77777777" w:rsidR="000147A0" w:rsidRDefault="000147A0">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091EA6B0" w14:textId="77777777" w:rsidR="000147A0" w:rsidRDefault="000147A0">
            <w:pPr>
              <w:jc w:val="right"/>
              <w:rPr>
                <w:color w:val="000000"/>
                <w:sz w:val="20"/>
                <w:szCs w:val="20"/>
              </w:rPr>
            </w:pPr>
            <w:r>
              <w:rPr>
                <w:color w:val="000000"/>
                <w:sz w:val="20"/>
                <w:szCs w:val="20"/>
              </w:rPr>
              <w:t>0.641</w:t>
            </w:r>
          </w:p>
        </w:tc>
        <w:tc>
          <w:tcPr>
            <w:tcW w:w="864" w:type="dxa"/>
            <w:tcBorders>
              <w:top w:val="nil"/>
              <w:left w:val="nil"/>
              <w:bottom w:val="nil"/>
              <w:right w:val="nil"/>
            </w:tcBorders>
            <w:shd w:val="clear" w:color="auto" w:fill="auto"/>
            <w:noWrap/>
            <w:vAlign w:val="bottom"/>
            <w:hideMark/>
          </w:tcPr>
          <w:p w14:paraId="77ED70B2"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B0956CB" w14:textId="77777777" w:rsidR="000147A0" w:rsidRDefault="000147A0">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6053ACF2" w14:textId="77777777" w:rsidR="000147A0" w:rsidRDefault="000147A0">
            <w:pPr>
              <w:jc w:val="right"/>
              <w:rPr>
                <w:color w:val="000000"/>
                <w:sz w:val="20"/>
                <w:szCs w:val="20"/>
              </w:rPr>
            </w:pPr>
            <w:r>
              <w:rPr>
                <w:color w:val="000000"/>
                <w:sz w:val="20"/>
                <w:szCs w:val="20"/>
              </w:rPr>
              <w:t>0.677</w:t>
            </w:r>
          </w:p>
        </w:tc>
        <w:tc>
          <w:tcPr>
            <w:tcW w:w="864" w:type="dxa"/>
            <w:tcBorders>
              <w:top w:val="nil"/>
              <w:left w:val="nil"/>
              <w:bottom w:val="nil"/>
              <w:right w:val="nil"/>
            </w:tcBorders>
            <w:shd w:val="clear" w:color="auto" w:fill="auto"/>
            <w:noWrap/>
            <w:vAlign w:val="bottom"/>
            <w:hideMark/>
          </w:tcPr>
          <w:p w14:paraId="051E9BDB" w14:textId="77777777" w:rsidR="000147A0" w:rsidRDefault="000147A0">
            <w:pPr>
              <w:jc w:val="right"/>
              <w:rPr>
                <w:color w:val="000000"/>
                <w:sz w:val="20"/>
                <w:szCs w:val="20"/>
              </w:rPr>
            </w:pPr>
            <w:r>
              <w:rPr>
                <w:color w:val="000000"/>
                <w:sz w:val="20"/>
                <w:szCs w:val="20"/>
              </w:rPr>
              <w:t>0.000</w:t>
            </w:r>
          </w:p>
        </w:tc>
      </w:tr>
      <w:tr w:rsidR="000147A0" w14:paraId="6AB5BCB8" w14:textId="77777777" w:rsidTr="000147A0">
        <w:trPr>
          <w:trHeight w:val="260"/>
        </w:trPr>
        <w:tc>
          <w:tcPr>
            <w:tcW w:w="1152" w:type="dxa"/>
            <w:tcBorders>
              <w:top w:val="nil"/>
              <w:left w:val="nil"/>
              <w:bottom w:val="single" w:sz="4" w:space="0" w:color="auto"/>
              <w:right w:val="nil"/>
            </w:tcBorders>
            <w:shd w:val="clear" w:color="auto" w:fill="auto"/>
            <w:noWrap/>
            <w:vAlign w:val="bottom"/>
            <w:hideMark/>
          </w:tcPr>
          <w:p w14:paraId="7E115758" w14:textId="77777777" w:rsidR="000147A0" w:rsidRDefault="000147A0">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A50CA0C" w14:textId="77777777" w:rsidR="000147A0" w:rsidRDefault="000147A0">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86421AE" w14:textId="77777777" w:rsidR="000147A0" w:rsidRDefault="000147A0">
            <w:pPr>
              <w:jc w:val="right"/>
              <w:rPr>
                <w:color w:val="000000"/>
                <w:sz w:val="20"/>
                <w:szCs w:val="20"/>
              </w:rPr>
            </w:pPr>
            <w:r>
              <w:rPr>
                <w:color w:val="000000"/>
                <w:sz w:val="20"/>
                <w:szCs w:val="20"/>
              </w:rPr>
              <w:t>-0.042</w:t>
            </w:r>
          </w:p>
        </w:tc>
        <w:tc>
          <w:tcPr>
            <w:tcW w:w="864" w:type="dxa"/>
            <w:tcBorders>
              <w:top w:val="nil"/>
              <w:left w:val="nil"/>
              <w:bottom w:val="single" w:sz="4" w:space="0" w:color="auto"/>
              <w:right w:val="nil"/>
            </w:tcBorders>
            <w:shd w:val="clear" w:color="auto" w:fill="auto"/>
            <w:noWrap/>
            <w:vAlign w:val="bottom"/>
            <w:hideMark/>
          </w:tcPr>
          <w:p w14:paraId="046CB24F" w14:textId="77777777" w:rsidR="000147A0" w:rsidRDefault="000147A0">
            <w:pPr>
              <w:jc w:val="right"/>
              <w:rPr>
                <w:color w:val="000000"/>
                <w:sz w:val="20"/>
                <w:szCs w:val="20"/>
              </w:rPr>
            </w:pPr>
            <w:r>
              <w:rPr>
                <w:color w:val="000000"/>
                <w:sz w:val="20"/>
                <w:szCs w:val="20"/>
              </w:rPr>
              <w:t>0.552</w:t>
            </w:r>
          </w:p>
        </w:tc>
        <w:tc>
          <w:tcPr>
            <w:tcW w:w="864" w:type="dxa"/>
            <w:tcBorders>
              <w:top w:val="nil"/>
              <w:left w:val="nil"/>
              <w:bottom w:val="single" w:sz="4" w:space="0" w:color="auto"/>
              <w:right w:val="nil"/>
            </w:tcBorders>
            <w:shd w:val="clear" w:color="auto" w:fill="auto"/>
            <w:noWrap/>
            <w:vAlign w:val="bottom"/>
            <w:hideMark/>
          </w:tcPr>
          <w:p w14:paraId="5901269D" w14:textId="77777777" w:rsidR="000147A0" w:rsidRDefault="000147A0">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1C332B6E" w14:textId="77777777" w:rsidR="000147A0" w:rsidRDefault="000147A0">
            <w:pPr>
              <w:jc w:val="right"/>
              <w:rPr>
                <w:color w:val="000000"/>
                <w:sz w:val="20"/>
                <w:szCs w:val="20"/>
              </w:rPr>
            </w:pPr>
            <w:r>
              <w:rPr>
                <w:color w:val="000000"/>
                <w:sz w:val="20"/>
                <w:szCs w:val="20"/>
              </w:rPr>
              <w:t>0.032</w:t>
            </w:r>
          </w:p>
        </w:tc>
        <w:tc>
          <w:tcPr>
            <w:tcW w:w="864" w:type="dxa"/>
            <w:tcBorders>
              <w:top w:val="nil"/>
              <w:left w:val="nil"/>
              <w:bottom w:val="single" w:sz="4" w:space="0" w:color="auto"/>
              <w:right w:val="nil"/>
            </w:tcBorders>
            <w:shd w:val="clear" w:color="auto" w:fill="auto"/>
            <w:noWrap/>
            <w:vAlign w:val="bottom"/>
            <w:hideMark/>
          </w:tcPr>
          <w:p w14:paraId="7215DEFE" w14:textId="77777777" w:rsidR="000147A0" w:rsidRDefault="000147A0">
            <w:pPr>
              <w:jc w:val="right"/>
              <w:rPr>
                <w:color w:val="000000"/>
                <w:sz w:val="20"/>
                <w:szCs w:val="20"/>
              </w:rPr>
            </w:pPr>
            <w:r>
              <w:rPr>
                <w:color w:val="000000"/>
                <w:sz w:val="20"/>
                <w:szCs w:val="20"/>
              </w:rPr>
              <w:t>0.677</w:t>
            </w:r>
          </w:p>
        </w:tc>
        <w:tc>
          <w:tcPr>
            <w:tcW w:w="864" w:type="dxa"/>
            <w:tcBorders>
              <w:top w:val="nil"/>
              <w:left w:val="nil"/>
              <w:bottom w:val="single" w:sz="4" w:space="0" w:color="auto"/>
              <w:right w:val="nil"/>
            </w:tcBorders>
            <w:shd w:val="clear" w:color="auto" w:fill="auto"/>
            <w:noWrap/>
            <w:vAlign w:val="bottom"/>
            <w:hideMark/>
          </w:tcPr>
          <w:p w14:paraId="4C18B3C7" w14:textId="77777777" w:rsidR="000147A0" w:rsidRDefault="000147A0">
            <w:pPr>
              <w:jc w:val="right"/>
              <w:rPr>
                <w:color w:val="000000"/>
                <w:sz w:val="20"/>
                <w:szCs w:val="20"/>
              </w:rPr>
            </w:pPr>
            <w:r>
              <w:rPr>
                <w:color w:val="000000"/>
                <w:sz w:val="20"/>
                <w:szCs w:val="20"/>
              </w:rPr>
              <w:t>0.001</w:t>
            </w:r>
          </w:p>
        </w:tc>
      </w:tr>
      <w:tr w:rsidR="000147A0" w14:paraId="370F3921" w14:textId="77777777" w:rsidTr="000147A0">
        <w:trPr>
          <w:trHeight w:val="260"/>
        </w:trPr>
        <w:tc>
          <w:tcPr>
            <w:tcW w:w="1152" w:type="dxa"/>
            <w:tcBorders>
              <w:top w:val="nil"/>
              <w:left w:val="nil"/>
              <w:bottom w:val="nil"/>
              <w:right w:val="nil"/>
            </w:tcBorders>
            <w:shd w:val="clear" w:color="auto" w:fill="auto"/>
            <w:noWrap/>
            <w:vAlign w:val="bottom"/>
            <w:hideMark/>
          </w:tcPr>
          <w:p w14:paraId="5915E078" w14:textId="77777777" w:rsidR="000147A0" w:rsidRDefault="000147A0">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37513E93" w14:textId="77777777" w:rsidR="000147A0" w:rsidRDefault="000147A0">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2DA6538" w14:textId="77777777" w:rsidR="000147A0" w:rsidRDefault="000147A0">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4F69EAB0" w14:textId="77777777" w:rsidR="000147A0" w:rsidRDefault="000147A0">
            <w:pPr>
              <w:jc w:val="right"/>
              <w:rPr>
                <w:color w:val="000000"/>
                <w:sz w:val="20"/>
                <w:szCs w:val="20"/>
              </w:rPr>
            </w:pPr>
            <w:r>
              <w:rPr>
                <w:color w:val="000000"/>
                <w:sz w:val="20"/>
                <w:szCs w:val="20"/>
              </w:rPr>
              <w:t>0.632</w:t>
            </w:r>
          </w:p>
        </w:tc>
        <w:tc>
          <w:tcPr>
            <w:tcW w:w="864" w:type="dxa"/>
            <w:tcBorders>
              <w:top w:val="nil"/>
              <w:left w:val="nil"/>
              <w:bottom w:val="nil"/>
              <w:right w:val="nil"/>
            </w:tcBorders>
            <w:shd w:val="clear" w:color="auto" w:fill="auto"/>
            <w:noWrap/>
            <w:vAlign w:val="bottom"/>
            <w:hideMark/>
          </w:tcPr>
          <w:p w14:paraId="2D5D3782" w14:textId="77777777" w:rsidR="000147A0" w:rsidRDefault="000147A0">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C273A56" w14:textId="77777777" w:rsidR="000147A0" w:rsidRDefault="000147A0">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37F5D35A" w14:textId="77777777" w:rsidR="000147A0" w:rsidRDefault="000147A0">
            <w:pPr>
              <w:jc w:val="right"/>
              <w:rPr>
                <w:color w:val="000000"/>
                <w:sz w:val="20"/>
                <w:szCs w:val="20"/>
              </w:rPr>
            </w:pPr>
            <w:r>
              <w:rPr>
                <w:color w:val="000000"/>
                <w:sz w:val="20"/>
                <w:szCs w:val="20"/>
              </w:rPr>
              <w:t>0.066</w:t>
            </w:r>
          </w:p>
        </w:tc>
        <w:tc>
          <w:tcPr>
            <w:tcW w:w="864" w:type="dxa"/>
            <w:tcBorders>
              <w:top w:val="nil"/>
              <w:left w:val="nil"/>
              <w:bottom w:val="nil"/>
              <w:right w:val="nil"/>
            </w:tcBorders>
            <w:shd w:val="clear" w:color="auto" w:fill="auto"/>
            <w:noWrap/>
            <w:vAlign w:val="bottom"/>
            <w:hideMark/>
          </w:tcPr>
          <w:p w14:paraId="6CBA02ED" w14:textId="77777777" w:rsidR="000147A0" w:rsidRDefault="000147A0">
            <w:pPr>
              <w:jc w:val="right"/>
              <w:rPr>
                <w:color w:val="000000"/>
                <w:sz w:val="20"/>
                <w:szCs w:val="20"/>
              </w:rPr>
            </w:pPr>
            <w:r>
              <w:rPr>
                <w:color w:val="000000"/>
                <w:sz w:val="20"/>
                <w:szCs w:val="20"/>
              </w:rPr>
              <w:t>0.005</w:t>
            </w:r>
          </w:p>
        </w:tc>
      </w:tr>
      <w:tr w:rsidR="000147A0" w14:paraId="0CA4FADA" w14:textId="77777777" w:rsidTr="000147A0">
        <w:trPr>
          <w:trHeight w:val="260"/>
        </w:trPr>
        <w:tc>
          <w:tcPr>
            <w:tcW w:w="1152" w:type="dxa"/>
            <w:tcBorders>
              <w:top w:val="nil"/>
              <w:left w:val="nil"/>
              <w:bottom w:val="nil"/>
              <w:right w:val="nil"/>
            </w:tcBorders>
            <w:shd w:val="clear" w:color="auto" w:fill="auto"/>
            <w:noWrap/>
            <w:vAlign w:val="bottom"/>
            <w:hideMark/>
          </w:tcPr>
          <w:p w14:paraId="5E0F8AB7"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549859F" w14:textId="77777777" w:rsidR="000147A0" w:rsidRDefault="000147A0">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097D0E5" w14:textId="77777777" w:rsidR="000147A0" w:rsidRDefault="000147A0">
            <w:pPr>
              <w:jc w:val="right"/>
              <w:rPr>
                <w:color w:val="000000"/>
                <w:sz w:val="20"/>
                <w:szCs w:val="20"/>
              </w:rPr>
            </w:pPr>
            <w:r>
              <w:rPr>
                <w:color w:val="000000"/>
                <w:sz w:val="20"/>
                <w:szCs w:val="20"/>
              </w:rPr>
              <w:t>0.054</w:t>
            </w:r>
          </w:p>
        </w:tc>
        <w:tc>
          <w:tcPr>
            <w:tcW w:w="864" w:type="dxa"/>
            <w:tcBorders>
              <w:top w:val="nil"/>
              <w:left w:val="nil"/>
              <w:bottom w:val="nil"/>
              <w:right w:val="nil"/>
            </w:tcBorders>
            <w:shd w:val="clear" w:color="auto" w:fill="auto"/>
            <w:noWrap/>
            <w:vAlign w:val="bottom"/>
            <w:hideMark/>
          </w:tcPr>
          <w:p w14:paraId="1B35BA82" w14:textId="77777777" w:rsidR="000147A0" w:rsidRDefault="000147A0">
            <w:pPr>
              <w:jc w:val="right"/>
              <w:rPr>
                <w:color w:val="000000"/>
                <w:sz w:val="20"/>
                <w:szCs w:val="20"/>
              </w:rPr>
            </w:pPr>
            <w:r>
              <w:rPr>
                <w:color w:val="000000"/>
                <w:sz w:val="20"/>
                <w:szCs w:val="20"/>
              </w:rPr>
              <w:t>0.264</w:t>
            </w:r>
          </w:p>
        </w:tc>
        <w:tc>
          <w:tcPr>
            <w:tcW w:w="864" w:type="dxa"/>
            <w:tcBorders>
              <w:top w:val="nil"/>
              <w:left w:val="nil"/>
              <w:bottom w:val="nil"/>
              <w:right w:val="nil"/>
            </w:tcBorders>
            <w:shd w:val="clear" w:color="auto" w:fill="auto"/>
            <w:noWrap/>
            <w:vAlign w:val="bottom"/>
            <w:hideMark/>
          </w:tcPr>
          <w:p w14:paraId="7740D47B" w14:textId="77777777" w:rsidR="000147A0" w:rsidRDefault="000147A0">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D2468ED" w14:textId="77777777" w:rsidR="000147A0" w:rsidRDefault="000147A0">
            <w:pPr>
              <w:jc w:val="right"/>
              <w:rPr>
                <w:color w:val="000000"/>
                <w:sz w:val="20"/>
                <w:szCs w:val="20"/>
              </w:rPr>
            </w:pPr>
            <w:r>
              <w:rPr>
                <w:color w:val="000000"/>
                <w:sz w:val="20"/>
                <w:szCs w:val="20"/>
              </w:rPr>
              <w:t>-0.080</w:t>
            </w:r>
          </w:p>
        </w:tc>
        <w:tc>
          <w:tcPr>
            <w:tcW w:w="864" w:type="dxa"/>
            <w:tcBorders>
              <w:top w:val="nil"/>
              <w:left w:val="nil"/>
              <w:bottom w:val="nil"/>
              <w:right w:val="nil"/>
            </w:tcBorders>
            <w:shd w:val="clear" w:color="auto" w:fill="auto"/>
            <w:noWrap/>
            <w:vAlign w:val="bottom"/>
            <w:hideMark/>
          </w:tcPr>
          <w:p w14:paraId="48D9F17D" w14:textId="77777777" w:rsidR="000147A0" w:rsidRDefault="000147A0">
            <w:pPr>
              <w:jc w:val="right"/>
              <w:rPr>
                <w:color w:val="000000"/>
                <w:sz w:val="20"/>
                <w:szCs w:val="20"/>
              </w:rPr>
            </w:pPr>
            <w:r>
              <w:rPr>
                <w:color w:val="000000"/>
                <w:sz w:val="20"/>
                <w:szCs w:val="20"/>
              </w:rPr>
              <w:t>0.066</w:t>
            </w:r>
          </w:p>
        </w:tc>
        <w:tc>
          <w:tcPr>
            <w:tcW w:w="864" w:type="dxa"/>
            <w:tcBorders>
              <w:top w:val="nil"/>
              <w:left w:val="nil"/>
              <w:bottom w:val="nil"/>
              <w:right w:val="nil"/>
            </w:tcBorders>
            <w:shd w:val="clear" w:color="auto" w:fill="auto"/>
            <w:noWrap/>
            <w:vAlign w:val="bottom"/>
            <w:hideMark/>
          </w:tcPr>
          <w:p w14:paraId="6C121463" w14:textId="77777777" w:rsidR="000147A0" w:rsidRDefault="000147A0">
            <w:pPr>
              <w:jc w:val="right"/>
              <w:rPr>
                <w:color w:val="000000"/>
                <w:sz w:val="20"/>
                <w:szCs w:val="20"/>
              </w:rPr>
            </w:pPr>
            <w:r>
              <w:rPr>
                <w:color w:val="000000"/>
                <w:sz w:val="20"/>
                <w:szCs w:val="20"/>
              </w:rPr>
              <w:t>0.006</w:t>
            </w:r>
          </w:p>
        </w:tc>
      </w:tr>
      <w:tr w:rsidR="000147A0" w14:paraId="0FD68E10" w14:textId="77777777" w:rsidTr="000147A0">
        <w:trPr>
          <w:trHeight w:val="260"/>
        </w:trPr>
        <w:tc>
          <w:tcPr>
            <w:tcW w:w="1152" w:type="dxa"/>
            <w:tcBorders>
              <w:top w:val="nil"/>
              <w:left w:val="nil"/>
              <w:bottom w:val="nil"/>
              <w:right w:val="nil"/>
            </w:tcBorders>
            <w:shd w:val="clear" w:color="auto" w:fill="auto"/>
            <w:noWrap/>
            <w:vAlign w:val="bottom"/>
            <w:hideMark/>
          </w:tcPr>
          <w:p w14:paraId="30382B6D"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5E6D135" w14:textId="77777777" w:rsidR="000147A0" w:rsidRDefault="000147A0">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2F4CB93" w14:textId="77777777" w:rsidR="000147A0" w:rsidRDefault="000147A0">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7432A0D7" w14:textId="77777777" w:rsidR="000147A0" w:rsidRDefault="000147A0">
            <w:pPr>
              <w:jc w:val="right"/>
              <w:rPr>
                <w:color w:val="000000"/>
                <w:sz w:val="20"/>
                <w:szCs w:val="20"/>
              </w:rPr>
            </w:pPr>
            <w:r>
              <w:rPr>
                <w:color w:val="000000"/>
                <w:sz w:val="20"/>
                <w:szCs w:val="20"/>
              </w:rPr>
              <w:t>0.809</w:t>
            </w:r>
          </w:p>
        </w:tc>
        <w:tc>
          <w:tcPr>
            <w:tcW w:w="864" w:type="dxa"/>
            <w:tcBorders>
              <w:top w:val="nil"/>
              <w:left w:val="nil"/>
              <w:bottom w:val="nil"/>
              <w:right w:val="nil"/>
            </w:tcBorders>
            <w:shd w:val="clear" w:color="auto" w:fill="auto"/>
            <w:noWrap/>
            <w:vAlign w:val="bottom"/>
            <w:hideMark/>
          </w:tcPr>
          <w:p w14:paraId="55513B29"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85772D5" w14:textId="77777777" w:rsidR="000147A0" w:rsidRDefault="000147A0">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3DDD0E2D" w14:textId="77777777" w:rsidR="000147A0" w:rsidRDefault="000147A0">
            <w:pPr>
              <w:jc w:val="right"/>
              <w:rPr>
                <w:color w:val="000000"/>
                <w:sz w:val="20"/>
                <w:szCs w:val="20"/>
              </w:rPr>
            </w:pPr>
            <w:r>
              <w:rPr>
                <w:color w:val="000000"/>
                <w:sz w:val="20"/>
                <w:szCs w:val="20"/>
              </w:rPr>
              <w:t>0.818</w:t>
            </w:r>
          </w:p>
        </w:tc>
        <w:tc>
          <w:tcPr>
            <w:tcW w:w="864" w:type="dxa"/>
            <w:tcBorders>
              <w:top w:val="nil"/>
              <w:left w:val="nil"/>
              <w:bottom w:val="nil"/>
              <w:right w:val="nil"/>
            </w:tcBorders>
            <w:shd w:val="clear" w:color="auto" w:fill="auto"/>
            <w:noWrap/>
            <w:vAlign w:val="bottom"/>
            <w:hideMark/>
          </w:tcPr>
          <w:p w14:paraId="6475A20C" w14:textId="77777777" w:rsidR="000147A0" w:rsidRDefault="000147A0">
            <w:pPr>
              <w:jc w:val="right"/>
              <w:rPr>
                <w:color w:val="000000"/>
                <w:sz w:val="20"/>
                <w:szCs w:val="20"/>
              </w:rPr>
            </w:pPr>
            <w:r>
              <w:rPr>
                <w:color w:val="000000"/>
                <w:sz w:val="20"/>
                <w:szCs w:val="20"/>
              </w:rPr>
              <w:t>0.000</w:t>
            </w:r>
          </w:p>
        </w:tc>
      </w:tr>
      <w:tr w:rsidR="000147A0" w14:paraId="69EDA653" w14:textId="77777777" w:rsidTr="000147A0">
        <w:trPr>
          <w:trHeight w:val="260"/>
        </w:trPr>
        <w:tc>
          <w:tcPr>
            <w:tcW w:w="1152" w:type="dxa"/>
            <w:tcBorders>
              <w:top w:val="nil"/>
              <w:left w:val="nil"/>
              <w:bottom w:val="nil"/>
              <w:right w:val="nil"/>
            </w:tcBorders>
            <w:shd w:val="clear" w:color="auto" w:fill="auto"/>
            <w:noWrap/>
            <w:vAlign w:val="bottom"/>
            <w:hideMark/>
          </w:tcPr>
          <w:p w14:paraId="3514BE46"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7D461B0" w14:textId="77777777" w:rsidR="000147A0" w:rsidRDefault="000147A0">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9B48A1C" w14:textId="77777777" w:rsidR="000147A0" w:rsidRDefault="000147A0">
            <w:pPr>
              <w:jc w:val="right"/>
              <w:rPr>
                <w:color w:val="000000"/>
                <w:sz w:val="20"/>
                <w:szCs w:val="20"/>
              </w:rPr>
            </w:pPr>
            <w:r>
              <w:rPr>
                <w:color w:val="000000"/>
                <w:sz w:val="20"/>
                <w:szCs w:val="20"/>
              </w:rPr>
              <w:t>-0.083</w:t>
            </w:r>
          </w:p>
        </w:tc>
        <w:tc>
          <w:tcPr>
            <w:tcW w:w="864" w:type="dxa"/>
            <w:tcBorders>
              <w:top w:val="nil"/>
              <w:left w:val="nil"/>
              <w:bottom w:val="nil"/>
              <w:right w:val="nil"/>
            </w:tcBorders>
            <w:shd w:val="clear" w:color="auto" w:fill="auto"/>
            <w:noWrap/>
            <w:vAlign w:val="bottom"/>
            <w:hideMark/>
          </w:tcPr>
          <w:p w14:paraId="0E2320AD" w14:textId="77777777" w:rsidR="000147A0" w:rsidRDefault="000147A0">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74A951C7" w14:textId="77777777" w:rsidR="000147A0" w:rsidRDefault="000147A0">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1EB343B2" w14:textId="77777777" w:rsidR="000147A0" w:rsidRDefault="000147A0">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5E38B5A4" w14:textId="77777777" w:rsidR="000147A0" w:rsidRDefault="000147A0">
            <w:pPr>
              <w:jc w:val="right"/>
              <w:rPr>
                <w:color w:val="000000"/>
                <w:sz w:val="20"/>
                <w:szCs w:val="20"/>
              </w:rPr>
            </w:pPr>
            <w:r>
              <w:rPr>
                <w:color w:val="000000"/>
                <w:sz w:val="20"/>
                <w:szCs w:val="20"/>
              </w:rPr>
              <w:t>0.818</w:t>
            </w:r>
          </w:p>
        </w:tc>
        <w:tc>
          <w:tcPr>
            <w:tcW w:w="864" w:type="dxa"/>
            <w:tcBorders>
              <w:top w:val="nil"/>
              <w:left w:val="nil"/>
              <w:bottom w:val="nil"/>
              <w:right w:val="nil"/>
            </w:tcBorders>
            <w:shd w:val="clear" w:color="auto" w:fill="auto"/>
            <w:noWrap/>
            <w:vAlign w:val="bottom"/>
            <w:hideMark/>
          </w:tcPr>
          <w:p w14:paraId="409D3456" w14:textId="77777777" w:rsidR="000147A0" w:rsidRDefault="000147A0">
            <w:pPr>
              <w:jc w:val="right"/>
              <w:rPr>
                <w:color w:val="000000"/>
                <w:sz w:val="20"/>
                <w:szCs w:val="20"/>
              </w:rPr>
            </w:pPr>
            <w:r>
              <w:rPr>
                <w:color w:val="000000"/>
                <w:sz w:val="20"/>
                <w:szCs w:val="20"/>
              </w:rPr>
              <w:t>0.000</w:t>
            </w:r>
          </w:p>
        </w:tc>
      </w:tr>
      <w:tr w:rsidR="000147A0" w14:paraId="358B5D36" w14:textId="77777777" w:rsidTr="000147A0">
        <w:trPr>
          <w:trHeight w:val="260"/>
        </w:trPr>
        <w:tc>
          <w:tcPr>
            <w:tcW w:w="1152" w:type="dxa"/>
            <w:tcBorders>
              <w:top w:val="nil"/>
              <w:left w:val="nil"/>
              <w:bottom w:val="nil"/>
              <w:right w:val="nil"/>
            </w:tcBorders>
            <w:shd w:val="clear" w:color="auto" w:fill="auto"/>
            <w:noWrap/>
            <w:vAlign w:val="bottom"/>
            <w:hideMark/>
          </w:tcPr>
          <w:p w14:paraId="5D12AB3F"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0407BB6" w14:textId="77777777" w:rsidR="000147A0" w:rsidRDefault="000147A0">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4D6B734" w14:textId="77777777" w:rsidR="000147A0" w:rsidRDefault="000147A0">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2C3F27AC" w14:textId="77777777" w:rsidR="000147A0" w:rsidRDefault="000147A0">
            <w:pPr>
              <w:jc w:val="right"/>
              <w:rPr>
                <w:color w:val="000000"/>
                <w:sz w:val="20"/>
                <w:szCs w:val="20"/>
              </w:rPr>
            </w:pPr>
            <w:r>
              <w:rPr>
                <w:color w:val="000000"/>
                <w:sz w:val="20"/>
                <w:szCs w:val="20"/>
              </w:rPr>
              <w:t>0.809</w:t>
            </w:r>
          </w:p>
        </w:tc>
        <w:tc>
          <w:tcPr>
            <w:tcW w:w="864" w:type="dxa"/>
            <w:tcBorders>
              <w:top w:val="nil"/>
              <w:left w:val="nil"/>
              <w:bottom w:val="nil"/>
              <w:right w:val="nil"/>
            </w:tcBorders>
            <w:shd w:val="clear" w:color="auto" w:fill="auto"/>
            <w:noWrap/>
            <w:vAlign w:val="bottom"/>
            <w:hideMark/>
          </w:tcPr>
          <w:p w14:paraId="0DE1CCE6"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A7E5E1C" w14:textId="77777777" w:rsidR="000147A0" w:rsidRDefault="000147A0">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4CED27BF" w14:textId="77777777" w:rsidR="000147A0" w:rsidRDefault="000147A0">
            <w:pPr>
              <w:jc w:val="right"/>
              <w:rPr>
                <w:color w:val="000000"/>
                <w:sz w:val="20"/>
                <w:szCs w:val="20"/>
              </w:rPr>
            </w:pPr>
            <w:r>
              <w:rPr>
                <w:color w:val="000000"/>
                <w:sz w:val="20"/>
                <w:szCs w:val="20"/>
              </w:rPr>
              <w:t>0.814</w:t>
            </w:r>
          </w:p>
        </w:tc>
        <w:tc>
          <w:tcPr>
            <w:tcW w:w="864" w:type="dxa"/>
            <w:tcBorders>
              <w:top w:val="nil"/>
              <w:left w:val="nil"/>
              <w:bottom w:val="nil"/>
              <w:right w:val="nil"/>
            </w:tcBorders>
            <w:shd w:val="clear" w:color="auto" w:fill="auto"/>
            <w:noWrap/>
            <w:vAlign w:val="bottom"/>
            <w:hideMark/>
          </w:tcPr>
          <w:p w14:paraId="411AA07B" w14:textId="77777777" w:rsidR="000147A0" w:rsidRDefault="000147A0">
            <w:pPr>
              <w:jc w:val="right"/>
              <w:rPr>
                <w:color w:val="000000"/>
                <w:sz w:val="20"/>
                <w:szCs w:val="20"/>
              </w:rPr>
            </w:pPr>
            <w:r>
              <w:rPr>
                <w:color w:val="000000"/>
                <w:sz w:val="20"/>
                <w:szCs w:val="20"/>
              </w:rPr>
              <w:t>0.000</w:t>
            </w:r>
          </w:p>
        </w:tc>
      </w:tr>
      <w:tr w:rsidR="000147A0" w14:paraId="2ADC5252" w14:textId="77777777" w:rsidTr="000147A0">
        <w:trPr>
          <w:trHeight w:val="260"/>
        </w:trPr>
        <w:tc>
          <w:tcPr>
            <w:tcW w:w="1152" w:type="dxa"/>
            <w:tcBorders>
              <w:top w:val="nil"/>
              <w:left w:val="nil"/>
              <w:bottom w:val="nil"/>
              <w:right w:val="nil"/>
            </w:tcBorders>
            <w:shd w:val="clear" w:color="auto" w:fill="auto"/>
            <w:noWrap/>
            <w:vAlign w:val="bottom"/>
            <w:hideMark/>
          </w:tcPr>
          <w:p w14:paraId="3E83A1E1"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AE61698" w14:textId="77777777" w:rsidR="000147A0" w:rsidRDefault="000147A0">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7FDA799" w14:textId="77777777" w:rsidR="000147A0" w:rsidRDefault="000147A0">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69138560" w14:textId="77777777" w:rsidR="000147A0" w:rsidRDefault="000147A0">
            <w:pPr>
              <w:jc w:val="right"/>
              <w:rPr>
                <w:color w:val="000000"/>
                <w:sz w:val="20"/>
                <w:szCs w:val="20"/>
              </w:rPr>
            </w:pPr>
            <w:r>
              <w:rPr>
                <w:color w:val="000000"/>
                <w:sz w:val="20"/>
                <w:szCs w:val="20"/>
              </w:rPr>
              <w:t>0.809</w:t>
            </w:r>
          </w:p>
        </w:tc>
        <w:tc>
          <w:tcPr>
            <w:tcW w:w="864" w:type="dxa"/>
            <w:tcBorders>
              <w:top w:val="nil"/>
              <w:left w:val="nil"/>
              <w:bottom w:val="nil"/>
              <w:right w:val="nil"/>
            </w:tcBorders>
            <w:shd w:val="clear" w:color="auto" w:fill="auto"/>
            <w:noWrap/>
            <w:vAlign w:val="bottom"/>
            <w:hideMark/>
          </w:tcPr>
          <w:p w14:paraId="2CF0AA30"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7BDC603" w14:textId="77777777" w:rsidR="000147A0" w:rsidRDefault="000147A0">
            <w:pPr>
              <w:jc w:val="right"/>
              <w:rPr>
                <w:color w:val="000000"/>
                <w:sz w:val="20"/>
                <w:szCs w:val="20"/>
              </w:rPr>
            </w:pPr>
            <w:r>
              <w:rPr>
                <w:color w:val="000000"/>
                <w:sz w:val="20"/>
                <w:szCs w:val="20"/>
              </w:rPr>
              <w:t>0.073</w:t>
            </w:r>
          </w:p>
        </w:tc>
        <w:tc>
          <w:tcPr>
            <w:tcW w:w="864" w:type="dxa"/>
            <w:tcBorders>
              <w:top w:val="nil"/>
              <w:left w:val="nil"/>
              <w:bottom w:val="nil"/>
              <w:right w:val="nil"/>
            </w:tcBorders>
            <w:shd w:val="clear" w:color="auto" w:fill="auto"/>
            <w:noWrap/>
            <w:vAlign w:val="bottom"/>
            <w:hideMark/>
          </w:tcPr>
          <w:p w14:paraId="36621B03" w14:textId="77777777" w:rsidR="000147A0" w:rsidRDefault="000147A0">
            <w:pPr>
              <w:jc w:val="right"/>
              <w:rPr>
                <w:color w:val="000000"/>
                <w:sz w:val="20"/>
                <w:szCs w:val="20"/>
              </w:rPr>
            </w:pPr>
            <w:r>
              <w:rPr>
                <w:color w:val="000000"/>
                <w:sz w:val="20"/>
                <w:szCs w:val="20"/>
              </w:rPr>
              <w:t>0.066</w:t>
            </w:r>
          </w:p>
        </w:tc>
        <w:tc>
          <w:tcPr>
            <w:tcW w:w="864" w:type="dxa"/>
            <w:tcBorders>
              <w:top w:val="nil"/>
              <w:left w:val="nil"/>
              <w:bottom w:val="nil"/>
              <w:right w:val="nil"/>
            </w:tcBorders>
            <w:shd w:val="clear" w:color="auto" w:fill="auto"/>
            <w:noWrap/>
            <w:vAlign w:val="bottom"/>
            <w:hideMark/>
          </w:tcPr>
          <w:p w14:paraId="6CB30539" w14:textId="77777777" w:rsidR="000147A0" w:rsidRDefault="000147A0">
            <w:pPr>
              <w:jc w:val="right"/>
              <w:rPr>
                <w:color w:val="000000"/>
                <w:sz w:val="20"/>
                <w:szCs w:val="20"/>
              </w:rPr>
            </w:pPr>
            <w:r>
              <w:rPr>
                <w:color w:val="000000"/>
                <w:sz w:val="20"/>
                <w:szCs w:val="20"/>
              </w:rPr>
              <w:t>0.005</w:t>
            </w:r>
          </w:p>
        </w:tc>
      </w:tr>
      <w:tr w:rsidR="000147A0" w14:paraId="5F833664" w14:textId="77777777" w:rsidTr="000147A0">
        <w:trPr>
          <w:trHeight w:val="260"/>
        </w:trPr>
        <w:tc>
          <w:tcPr>
            <w:tcW w:w="1152" w:type="dxa"/>
            <w:tcBorders>
              <w:top w:val="nil"/>
              <w:left w:val="nil"/>
              <w:bottom w:val="nil"/>
              <w:right w:val="nil"/>
            </w:tcBorders>
            <w:shd w:val="clear" w:color="auto" w:fill="auto"/>
            <w:noWrap/>
            <w:vAlign w:val="bottom"/>
            <w:hideMark/>
          </w:tcPr>
          <w:p w14:paraId="614EDBF1" w14:textId="77777777" w:rsidR="000147A0" w:rsidRDefault="000147A0">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958A9AF" w14:textId="77777777" w:rsidR="000147A0" w:rsidRDefault="000147A0">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9725F16" w14:textId="77777777" w:rsidR="000147A0" w:rsidRDefault="000147A0">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43B6B7E4" w14:textId="77777777" w:rsidR="000147A0" w:rsidRDefault="000147A0">
            <w:pPr>
              <w:jc w:val="right"/>
              <w:rPr>
                <w:color w:val="000000"/>
                <w:sz w:val="20"/>
                <w:szCs w:val="20"/>
              </w:rPr>
            </w:pPr>
            <w:r>
              <w:rPr>
                <w:color w:val="000000"/>
                <w:sz w:val="20"/>
                <w:szCs w:val="20"/>
              </w:rPr>
              <w:t>0.809</w:t>
            </w:r>
          </w:p>
        </w:tc>
        <w:tc>
          <w:tcPr>
            <w:tcW w:w="864" w:type="dxa"/>
            <w:tcBorders>
              <w:top w:val="nil"/>
              <w:left w:val="nil"/>
              <w:bottom w:val="nil"/>
              <w:right w:val="nil"/>
            </w:tcBorders>
            <w:shd w:val="clear" w:color="auto" w:fill="auto"/>
            <w:noWrap/>
            <w:vAlign w:val="bottom"/>
            <w:hideMark/>
          </w:tcPr>
          <w:p w14:paraId="53B98B0E" w14:textId="77777777" w:rsidR="000147A0" w:rsidRDefault="000147A0">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0188123" w14:textId="77777777" w:rsidR="000147A0" w:rsidRDefault="000147A0">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171EE885" w14:textId="77777777" w:rsidR="000147A0" w:rsidRDefault="000147A0">
            <w:pPr>
              <w:jc w:val="right"/>
              <w:rPr>
                <w:color w:val="000000"/>
                <w:sz w:val="20"/>
                <w:szCs w:val="20"/>
              </w:rPr>
            </w:pPr>
            <w:r>
              <w:rPr>
                <w:color w:val="000000"/>
                <w:sz w:val="20"/>
                <w:szCs w:val="20"/>
              </w:rPr>
              <w:t>0.818</w:t>
            </w:r>
          </w:p>
        </w:tc>
        <w:tc>
          <w:tcPr>
            <w:tcW w:w="864" w:type="dxa"/>
            <w:tcBorders>
              <w:top w:val="nil"/>
              <w:left w:val="nil"/>
              <w:bottom w:val="nil"/>
              <w:right w:val="nil"/>
            </w:tcBorders>
            <w:shd w:val="clear" w:color="auto" w:fill="auto"/>
            <w:noWrap/>
            <w:vAlign w:val="bottom"/>
            <w:hideMark/>
          </w:tcPr>
          <w:p w14:paraId="17CAF0C3" w14:textId="77777777" w:rsidR="000147A0" w:rsidRDefault="000147A0">
            <w:pPr>
              <w:jc w:val="right"/>
              <w:rPr>
                <w:color w:val="000000"/>
                <w:sz w:val="20"/>
                <w:szCs w:val="20"/>
              </w:rPr>
            </w:pPr>
            <w:r>
              <w:rPr>
                <w:color w:val="000000"/>
                <w:sz w:val="20"/>
                <w:szCs w:val="20"/>
              </w:rPr>
              <w:t>0.000</w:t>
            </w:r>
          </w:p>
        </w:tc>
      </w:tr>
      <w:tr w:rsidR="000147A0" w14:paraId="65F835AB" w14:textId="77777777" w:rsidTr="00F132FA">
        <w:trPr>
          <w:trHeight w:val="280"/>
        </w:trPr>
        <w:tc>
          <w:tcPr>
            <w:tcW w:w="1152" w:type="dxa"/>
            <w:tcBorders>
              <w:top w:val="nil"/>
              <w:left w:val="nil"/>
              <w:bottom w:val="single" w:sz="12" w:space="0" w:color="auto"/>
              <w:right w:val="nil"/>
            </w:tcBorders>
            <w:shd w:val="clear" w:color="auto" w:fill="auto"/>
            <w:noWrap/>
            <w:vAlign w:val="bottom"/>
            <w:hideMark/>
          </w:tcPr>
          <w:p w14:paraId="47CA7418" w14:textId="77777777" w:rsidR="000147A0" w:rsidRDefault="000147A0">
            <w:pPr>
              <w:rPr>
                <w:color w:val="000000"/>
                <w:sz w:val="20"/>
                <w:szCs w:val="20"/>
              </w:rPr>
            </w:pPr>
            <w:r>
              <w:rPr>
                <w:color w:val="000000"/>
                <w:sz w:val="20"/>
                <w:szCs w:val="20"/>
              </w:rPr>
              <w:lastRenderedPageBreak/>
              <w:t> </w:t>
            </w:r>
          </w:p>
        </w:tc>
        <w:tc>
          <w:tcPr>
            <w:tcW w:w="2160" w:type="dxa"/>
            <w:tcBorders>
              <w:top w:val="nil"/>
              <w:left w:val="nil"/>
              <w:bottom w:val="single" w:sz="12" w:space="0" w:color="auto"/>
              <w:right w:val="nil"/>
            </w:tcBorders>
            <w:shd w:val="clear" w:color="auto" w:fill="auto"/>
            <w:noWrap/>
            <w:vAlign w:val="center"/>
            <w:hideMark/>
          </w:tcPr>
          <w:p w14:paraId="3CD4876C" w14:textId="77777777" w:rsidR="000147A0" w:rsidRDefault="000147A0">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405C17BF" w14:textId="77777777" w:rsidR="000147A0" w:rsidRDefault="000147A0">
            <w:pPr>
              <w:jc w:val="right"/>
              <w:rPr>
                <w:color w:val="000000"/>
                <w:sz w:val="20"/>
                <w:szCs w:val="20"/>
              </w:rPr>
            </w:pPr>
            <w:r>
              <w:rPr>
                <w:color w:val="000000"/>
                <w:sz w:val="20"/>
                <w:szCs w:val="20"/>
              </w:rPr>
              <w:t>-0.025</w:t>
            </w:r>
          </w:p>
        </w:tc>
        <w:tc>
          <w:tcPr>
            <w:tcW w:w="864" w:type="dxa"/>
            <w:tcBorders>
              <w:top w:val="nil"/>
              <w:left w:val="nil"/>
              <w:bottom w:val="single" w:sz="12" w:space="0" w:color="auto"/>
              <w:right w:val="nil"/>
            </w:tcBorders>
            <w:shd w:val="clear" w:color="auto" w:fill="auto"/>
            <w:noWrap/>
            <w:vAlign w:val="bottom"/>
            <w:hideMark/>
          </w:tcPr>
          <w:p w14:paraId="2807C83D" w14:textId="77777777" w:rsidR="000147A0" w:rsidRDefault="000147A0">
            <w:pPr>
              <w:jc w:val="right"/>
              <w:rPr>
                <w:color w:val="000000"/>
                <w:sz w:val="20"/>
                <w:szCs w:val="20"/>
              </w:rPr>
            </w:pPr>
            <w:r>
              <w:rPr>
                <w:color w:val="000000"/>
                <w:sz w:val="20"/>
                <w:szCs w:val="20"/>
              </w:rPr>
              <w:t>0.809</w:t>
            </w:r>
          </w:p>
        </w:tc>
        <w:tc>
          <w:tcPr>
            <w:tcW w:w="864" w:type="dxa"/>
            <w:tcBorders>
              <w:top w:val="nil"/>
              <w:left w:val="nil"/>
              <w:bottom w:val="single" w:sz="12" w:space="0" w:color="auto"/>
              <w:right w:val="nil"/>
            </w:tcBorders>
            <w:shd w:val="clear" w:color="auto" w:fill="auto"/>
            <w:noWrap/>
            <w:vAlign w:val="bottom"/>
            <w:hideMark/>
          </w:tcPr>
          <w:p w14:paraId="4D999B6F" w14:textId="77777777" w:rsidR="000147A0" w:rsidRDefault="000147A0">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18ECD1E9" w14:textId="77777777" w:rsidR="000147A0" w:rsidRDefault="000147A0">
            <w:pPr>
              <w:jc w:val="right"/>
              <w:rPr>
                <w:color w:val="000000"/>
                <w:sz w:val="20"/>
                <w:szCs w:val="20"/>
              </w:rPr>
            </w:pPr>
            <w:r>
              <w:rPr>
                <w:color w:val="000000"/>
                <w:sz w:val="20"/>
                <w:szCs w:val="20"/>
              </w:rPr>
              <w:t>0.068</w:t>
            </w:r>
          </w:p>
        </w:tc>
        <w:tc>
          <w:tcPr>
            <w:tcW w:w="864" w:type="dxa"/>
            <w:tcBorders>
              <w:top w:val="nil"/>
              <w:left w:val="nil"/>
              <w:bottom w:val="single" w:sz="12" w:space="0" w:color="auto"/>
              <w:right w:val="nil"/>
            </w:tcBorders>
            <w:shd w:val="clear" w:color="auto" w:fill="auto"/>
            <w:noWrap/>
            <w:vAlign w:val="bottom"/>
            <w:hideMark/>
          </w:tcPr>
          <w:p w14:paraId="503D904A" w14:textId="77777777" w:rsidR="000147A0" w:rsidRDefault="000147A0">
            <w:pPr>
              <w:jc w:val="right"/>
              <w:rPr>
                <w:color w:val="000000"/>
                <w:sz w:val="20"/>
                <w:szCs w:val="20"/>
              </w:rPr>
            </w:pPr>
            <w:r>
              <w:rPr>
                <w:color w:val="000000"/>
                <w:sz w:val="20"/>
                <w:szCs w:val="20"/>
              </w:rPr>
              <w:t>0.066</w:t>
            </w:r>
          </w:p>
        </w:tc>
        <w:tc>
          <w:tcPr>
            <w:tcW w:w="864" w:type="dxa"/>
            <w:tcBorders>
              <w:top w:val="nil"/>
              <w:left w:val="nil"/>
              <w:bottom w:val="single" w:sz="12" w:space="0" w:color="auto"/>
              <w:right w:val="nil"/>
            </w:tcBorders>
            <w:shd w:val="clear" w:color="auto" w:fill="auto"/>
            <w:noWrap/>
            <w:vAlign w:val="bottom"/>
            <w:hideMark/>
          </w:tcPr>
          <w:p w14:paraId="64D54D02" w14:textId="77777777" w:rsidR="000147A0" w:rsidRDefault="000147A0">
            <w:pPr>
              <w:jc w:val="right"/>
              <w:rPr>
                <w:color w:val="000000"/>
                <w:sz w:val="20"/>
                <w:szCs w:val="20"/>
              </w:rPr>
            </w:pPr>
            <w:r>
              <w:rPr>
                <w:color w:val="000000"/>
                <w:sz w:val="20"/>
                <w:szCs w:val="20"/>
              </w:rPr>
              <w:t>0.005</w:t>
            </w:r>
          </w:p>
        </w:tc>
      </w:tr>
      <w:tr w:rsidR="000147A0" w14:paraId="6E478DB9" w14:textId="77777777" w:rsidTr="00F132FA">
        <w:trPr>
          <w:trHeight w:val="260"/>
        </w:trPr>
        <w:tc>
          <w:tcPr>
            <w:tcW w:w="1152" w:type="dxa"/>
            <w:tcBorders>
              <w:top w:val="single" w:sz="12" w:space="0" w:color="auto"/>
              <w:left w:val="nil"/>
              <w:bottom w:val="nil"/>
              <w:right w:val="nil"/>
            </w:tcBorders>
            <w:shd w:val="clear" w:color="auto" w:fill="auto"/>
            <w:noWrap/>
            <w:vAlign w:val="bottom"/>
            <w:hideMark/>
          </w:tcPr>
          <w:p w14:paraId="7E2FC931" w14:textId="77777777" w:rsidR="000147A0" w:rsidRDefault="000147A0">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0A466879" w14:textId="77777777" w:rsidR="000147A0" w:rsidRDefault="000147A0">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A228D3F" w14:textId="77777777" w:rsidR="000147A0" w:rsidRDefault="000147A0">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A9198EF" w14:textId="77777777" w:rsidR="000147A0" w:rsidRDefault="000147A0">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EA4C3A5" w14:textId="77777777" w:rsidR="000147A0" w:rsidRDefault="000147A0">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1F25AFA" w14:textId="77777777" w:rsidR="000147A0" w:rsidRDefault="000147A0">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998C79E" w14:textId="77777777" w:rsidR="000147A0" w:rsidRDefault="000147A0">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52EC4FB" w14:textId="77777777" w:rsidR="000147A0" w:rsidRDefault="000147A0">
            <w:pPr>
              <w:rPr>
                <w:sz w:val="20"/>
                <w:szCs w:val="20"/>
              </w:rPr>
            </w:pPr>
          </w:p>
        </w:tc>
      </w:tr>
    </w:tbl>
    <w:p w14:paraId="5E249F9A" w14:textId="066A2140" w:rsidR="00C03329" w:rsidRDefault="00C03329" w:rsidP="00BC5AB7">
      <w:pPr>
        <w:rPr>
          <w:rFonts w:ascii="Batang" w:eastAsia="Batang" w:hAnsi="Batang" w:cs="Batang"/>
          <w:color w:val="000000"/>
        </w:rPr>
      </w:pPr>
    </w:p>
    <w:p w14:paraId="308A427B" w14:textId="77777777" w:rsidR="00C03329" w:rsidRDefault="00C03329">
      <w:pPr>
        <w:rPr>
          <w:rFonts w:ascii="Batang" w:eastAsia="Batang" w:hAnsi="Batang" w:cs="Batang"/>
          <w:color w:val="000000"/>
        </w:rPr>
      </w:pPr>
      <w:r>
        <w:rPr>
          <w:rFonts w:ascii="Batang" w:eastAsia="Batang" w:hAnsi="Batang" w:cs="Batang"/>
          <w:color w:val="000000"/>
        </w:rPr>
        <w:br w:type="page"/>
      </w:r>
    </w:p>
    <w:p w14:paraId="333C7387" w14:textId="30652563" w:rsidR="00FC7A79" w:rsidRPr="00474DA8" w:rsidRDefault="00AB48B3" w:rsidP="00474DA8">
      <w:pPr>
        <w:pStyle w:val="Heading1"/>
        <w:rPr>
          <w:rFonts w:ascii="Times New Roman" w:hAnsi="Times New Roman" w:cs="Times New Roman"/>
          <w:color w:val="000000" w:themeColor="text1"/>
          <w:sz w:val="24"/>
          <w:szCs w:val="24"/>
        </w:rPr>
      </w:pPr>
      <w:bookmarkStart w:id="73" w:name="_Toc155817740"/>
      <w:r w:rsidRPr="00B751D3">
        <w:rPr>
          <w:rFonts w:ascii="Times New Roman" w:hAnsi="Times New Roman" w:cs="Times New Roman"/>
          <w:b/>
          <w:bCs/>
          <w:color w:val="000000" w:themeColor="text1"/>
          <w:sz w:val="24"/>
          <w:szCs w:val="24"/>
        </w:rPr>
        <w:lastRenderedPageBreak/>
        <w:t>Table 2</w:t>
      </w:r>
      <w:r w:rsidR="0036523A" w:rsidRPr="00B751D3">
        <w:rPr>
          <w:rFonts w:ascii="Times New Roman" w:hAnsi="Times New Roman" w:cs="Times New Roman"/>
          <w:b/>
          <w:bCs/>
          <w:color w:val="000000" w:themeColor="text1"/>
          <w:sz w:val="24"/>
          <w:szCs w:val="24"/>
        </w:rPr>
        <w:t>7</w:t>
      </w:r>
      <w:r w:rsidRPr="00B751D3">
        <w:rPr>
          <w:rFonts w:ascii="Times New Roman" w:hAnsi="Times New Roman" w:cs="Times New Roman"/>
          <w:b/>
          <w:bCs/>
          <w:color w:val="000000" w:themeColor="text1"/>
          <w:sz w:val="24"/>
          <w:szCs w:val="24"/>
        </w:rPr>
        <w:t>j.</w:t>
      </w:r>
      <w:r>
        <w:rPr>
          <w:rFonts w:ascii="Times New Roman" w:hAnsi="Times New Roman" w:cs="Times New Roman"/>
          <w:color w:val="000000" w:themeColor="text1"/>
          <w:sz w:val="24"/>
          <w:szCs w:val="24"/>
        </w:rPr>
        <w:t xml:space="preserve"> Results examining the relationship between Shen-268 network average shortest path and neighborhood SES deprivation obtained from bifactor modeling and neighborhood median income during </w:t>
      </w:r>
      <w:r w:rsidR="00FC7A79">
        <w:rPr>
          <w:rFonts w:ascii="Times New Roman" w:hAnsi="Times New Roman" w:cs="Times New Roman"/>
          <w:color w:val="000000" w:themeColor="text1"/>
          <w:sz w:val="24"/>
          <w:szCs w:val="24"/>
        </w:rPr>
        <w:t>monetary incentive delay task</w:t>
      </w:r>
      <w:bookmarkEnd w:id="73"/>
    </w:p>
    <w:tbl>
      <w:tblPr>
        <w:tblW w:w="8269" w:type="dxa"/>
        <w:tblLook w:val="04A0" w:firstRow="1" w:lastRow="0" w:firstColumn="1" w:lastColumn="0" w:noHBand="0" w:noVBand="1"/>
      </w:tblPr>
      <w:tblGrid>
        <w:gridCol w:w="1152"/>
        <w:gridCol w:w="2160"/>
        <w:gridCol w:w="820"/>
        <w:gridCol w:w="820"/>
        <w:gridCol w:w="820"/>
        <w:gridCol w:w="833"/>
        <w:gridCol w:w="832"/>
        <w:gridCol w:w="832"/>
      </w:tblGrid>
      <w:tr w:rsidR="00474DA8" w14:paraId="6EE17F2E"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900C267" w14:textId="77777777" w:rsidR="00474DA8" w:rsidRDefault="00474DA8">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2D2EDEE8" w14:textId="77777777" w:rsidR="00474DA8" w:rsidRDefault="00474DA8">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7A2A3CED" w14:textId="77777777" w:rsidR="00474DA8" w:rsidRDefault="00474DA8">
            <w:pPr>
              <w:rPr>
                <w:color w:val="000000"/>
              </w:rPr>
            </w:pPr>
          </w:p>
        </w:tc>
        <w:tc>
          <w:tcPr>
            <w:tcW w:w="820" w:type="dxa"/>
            <w:tcBorders>
              <w:top w:val="nil"/>
              <w:left w:val="nil"/>
              <w:bottom w:val="single" w:sz="12" w:space="0" w:color="auto"/>
              <w:right w:val="nil"/>
            </w:tcBorders>
            <w:shd w:val="clear" w:color="auto" w:fill="auto"/>
            <w:noWrap/>
            <w:vAlign w:val="bottom"/>
            <w:hideMark/>
          </w:tcPr>
          <w:p w14:paraId="41703759" w14:textId="77777777" w:rsidR="00474DA8" w:rsidRDefault="00474DA8">
            <w:pPr>
              <w:rPr>
                <w:sz w:val="20"/>
                <w:szCs w:val="20"/>
              </w:rPr>
            </w:pPr>
          </w:p>
        </w:tc>
        <w:tc>
          <w:tcPr>
            <w:tcW w:w="820" w:type="dxa"/>
            <w:tcBorders>
              <w:top w:val="nil"/>
              <w:left w:val="nil"/>
              <w:bottom w:val="single" w:sz="12" w:space="0" w:color="auto"/>
              <w:right w:val="nil"/>
            </w:tcBorders>
            <w:shd w:val="clear" w:color="auto" w:fill="auto"/>
            <w:noWrap/>
            <w:vAlign w:val="bottom"/>
            <w:hideMark/>
          </w:tcPr>
          <w:p w14:paraId="090836DD" w14:textId="77777777" w:rsidR="00474DA8" w:rsidRDefault="00474DA8">
            <w:pPr>
              <w:rPr>
                <w:sz w:val="20"/>
                <w:szCs w:val="20"/>
              </w:rPr>
            </w:pPr>
          </w:p>
        </w:tc>
        <w:tc>
          <w:tcPr>
            <w:tcW w:w="833" w:type="dxa"/>
            <w:tcBorders>
              <w:top w:val="nil"/>
              <w:left w:val="nil"/>
              <w:bottom w:val="single" w:sz="12" w:space="0" w:color="auto"/>
              <w:right w:val="nil"/>
            </w:tcBorders>
            <w:shd w:val="clear" w:color="auto" w:fill="auto"/>
            <w:noWrap/>
            <w:vAlign w:val="bottom"/>
            <w:hideMark/>
          </w:tcPr>
          <w:p w14:paraId="1B2D747C" w14:textId="77777777" w:rsidR="00474DA8" w:rsidRDefault="00474DA8">
            <w:pPr>
              <w:rPr>
                <w:sz w:val="20"/>
                <w:szCs w:val="20"/>
              </w:rPr>
            </w:pPr>
          </w:p>
        </w:tc>
        <w:tc>
          <w:tcPr>
            <w:tcW w:w="832" w:type="dxa"/>
            <w:tcBorders>
              <w:top w:val="nil"/>
              <w:left w:val="nil"/>
              <w:bottom w:val="single" w:sz="12" w:space="0" w:color="auto"/>
              <w:right w:val="nil"/>
            </w:tcBorders>
            <w:shd w:val="clear" w:color="auto" w:fill="auto"/>
            <w:noWrap/>
            <w:vAlign w:val="bottom"/>
            <w:hideMark/>
          </w:tcPr>
          <w:p w14:paraId="39DA755D" w14:textId="77777777" w:rsidR="00474DA8" w:rsidRDefault="00474DA8">
            <w:pPr>
              <w:rPr>
                <w:sz w:val="20"/>
                <w:szCs w:val="20"/>
              </w:rPr>
            </w:pPr>
          </w:p>
        </w:tc>
        <w:tc>
          <w:tcPr>
            <w:tcW w:w="832" w:type="dxa"/>
            <w:tcBorders>
              <w:top w:val="nil"/>
              <w:left w:val="nil"/>
              <w:bottom w:val="single" w:sz="12" w:space="0" w:color="auto"/>
              <w:right w:val="nil"/>
            </w:tcBorders>
            <w:shd w:val="clear" w:color="auto" w:fill="auto"/>
            <w:noWrap/>
            <w:vAlign w:val="bottom"/>
            <w:hideMark/>
          </w:tcPr>
          <w:p w14:paraId="0CD55318" w14:textId="77777777" w:rsidR="00474DA8" w:rsidRDefault="00474DA8">
            <w:pPr>
              <w:rPr>
                <w:sz w:val="20"/>
                <w:szCs w:val="20"/>
              </w:rPr>
            </w:pPr>
          </w:p>
        </w:tc>
      </w:tr>
      <w:tr w:rsidR="00474DA8" w14:paraId="592AC3CE"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5BD90224" w14:textId="77777777" w:rsidR="00474DA8" w:rsidRDefault="00474DA8">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2F3417CA" w14:textId="77777777" w:rsidR="00474DA8" w:rsidRDefault="00474DA8">
            <w:pPr>
              <w:rPr>
                <w:color w:val="000000"/>
                <w:sz w:val="20"/>
                <w:szCs w:val="20"/>
              </w:rPr>
            </w:pPr>
            <w:r>
              <w:rPr>
                <w:color w:val="000000"/>
                <w:sz w:val="20"/>
                <w:szCs w:val="20"/>
              </w:rPr>
              <w:t>Brain network</w:t>
            </w:r>
          </w:p>
        </w:tc>
        <w:tc>
          <w:tcPr>
            <w:tcW w:w="2460" w:type="dxa"/>
            <w:gridSpan w:val="3"/>
            <w:tcBorders>
              <w:top w:val="single" w:sz="12" w:space="0" w:color="auto"/>
              <w:left w:val="nil"/>
              <w:bottom w:val="single" w:sz="12" w:space="0" w:color="auto"/>
              <w:right w:val="nil"/>
            </w:tcBorders>
            <w:shd w:val="clear" w:color="auto" w:fill="auto"/>
            <w:vAlign w:val="center"/>
            <w:hideMark/>
          </w:tcPr>
          <w:p w14:paraId="7C816BC2" w14:textId="77777777" w:rsidR="00474DA8" w:rsidRDefault="00474DA8">
            <w:pPr>
              <w:jc w:val="center"/>
              <w:rPr>
                <w:color w:val="000000"/>
                <w:sz w:val="20"/>
                <w:szCs w:val="20"/>
              </w:rPr>
            </w:pPr>
            <w:r>
              <w:rPr>
                <w:color w:val="000000"/>
                <w:sz w:val="20"/>
                <w:szCs w:val="20"/>
              </w:rPr>
              <w:t>Neighborhood SES Deprivation</w:t>
            </w:r>
          </w:p>
        </w:tc>
        <w:tc>
          <w:tcPr>
            <w:tcW w:w="2497" w:type="dxa"/>
            <w:gridSpan w:val="3"/>
            <w:tcBorders>
              <w:top w:val="single" w:sz="12" w:space="0" w:color="auto"/>
              <w:left w:val="nil"/>
              <w:bottom w:val="single" w:sz="12" w:space="0" w:color="auto"/>
              <w:right w:val="nil"/>
            </w:tcBorders>
            <w:shd w:val="clear" w:color="auto" w:fill="auto"/>
            <w:noWrap/>
            <w:vAlign w:val="center"/>
            <w:hideMark/>
          </w:tcPr>
          <w:p w14:paraId="0C0FE758" w14:textId="77777777" w:rsidR="00474DA8" w:rsidRDefault="00474DA8">
            <w:pPr>
              <w:jc w:val="center"/>
              <w:rPr>
                <w:color w:val="000000"/>
                <w:sz w:val="20"/>
                <w:szCs w:val="20"/>
              </w:rPr>
            </w:pPr>
            <w:r>
              <w:rPr>
                <w:color w:val="000000"/>
                <w:sz w:val="20"/>
                <w:szCs w:val="20"/>
              </w:rPr>
              <w:t>Neighborhood Median Income</w:t>
            </w:r>
          </w:p>
        </w:tc>
      </w:tr>
      <w:tr w:rsidR="00474DA8" w14:paraId="435CB098"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58A68F73" w14:textId="77777777" w:rsidR="00474DA8" w:rsidRDefault="00474DA8">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08DA11E9" w14:textId="77777777" w:rsidR="00474DA8" w:rsidRDefault="00474DA8">
            <w:pPr>
              <w:rPr>
                <w:color w:val="000000"/>
                <w:sz w:val="20"/>
                <w:szCs w:val="20"/>
              </w:rPr>
            </w:pPr>
          </w:p>
        </w:tc>
        <w:tc>
          <w:tcPr>
            <w:tcW w:w="820" w:type="dxa"/>
            <w:tcBorders>
              <w:top w:val="single" w:sz="12" w:space="0" w:color="auto"/>
              <w:left w:val="nil"/>
              <w:bottom w:val="single" w:sz="12" w:space="0" w:color="auto"/>
              <w:right w:val="nil"/>
            </w:tcBorders>
            <w:shd w:val="clear" w:color="auto" w:fill="auto"/>
            <w:noWrap/>
            <w:vAlign w:val="center"/>
            <w:hideMark/>
          </w:tcPr>
          <w:p w14:paraId="30EDD709" w14:textId="77777777" w:rsidR="00474DA8" w:rsidRDefault="00474DA8">
            <w:pPr>
              <w:jc w:val="center"/>
              <w:rPr>
                <w:i/>
                <w:iCs/>
                <w:color w:val="000000"/>
                <w:sz w:val="20"/>
                <w:szCs w:val="20"/>
              </w:rPr>
            </w:pPr>
            <w:r>
              <w:rPr>
                <w:i/>
                <w:iCs/>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2F5F415F" w14:textId="77777777" w:rsidR="00474DA8" w:rsidRDefault="00474DA8">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20" w:type="dxa"/>
            <w:tcBorders>
              <w:top w:val="single" w:sz="12" w:space="0" w:color="auto"/>
              <w:left w:val="nil"/>
              <w:bottom w:val="single" w:sz="12" w:space="0" w:color="auto"/>
              <w:right w:val="nil"/>
            </w:tcBorders>
            <w:shd w:val="clear" w:color="auto" w:fill="auto"/>
            <w:noWrap/>
            <w:vAlign w:val="center"/>
            <w:hideMark/>
          </w:tcPr>
          <w:p w14:paraId="745BAFD4" w14:textId="77777777" w:rsidR="00474DA8" w:rsidRDefault="00474DA8">
            <w:pPr>
              <w:jc w:val="center"/>
              <w:rPr>
                <w:i/>
                <w:iCs/>
                <w:color w:val="000000"/>
                <w:sz w:val="20"/>
                <w:szCs w:val="20"/>
              </w:rPr>
            </w:pPr>
            <w:r>
              <w:rPr>
                <w:i/>
                <w:iCs/>
                <w:color w:val="000000"/>
                <w:sz w:val="20"/>
                <w:szCs w:val="20"/>
              </w:rPr>
              <w:t>R2</w:t>
            </w:r>
          </w:p>
        </w:tc>
        <w:tc>
          <w:tcPr>
            <w:tcW w:w="833" w:type="dxa"/>
            <w:tcBorders>
              <w:top w:val="single" w:sz="12" w:space="0" w:color="auto"/>
              <w:left w:val="nil"/>
              <w:bottom w:val="single" w:sz="12" w:space="0" w:color="auto"/>
              <w:right w:val="nil"/>
            </w:tcBorders>
            <w:shd w:val="clear" w:color="auto" w:fill="auto"/>
            <w:noWrap/>
            <w:vAlign w:val="center"/>
            <w:hideMark/>
          </w:tcPr>
          <w:p w14:paraId="7C753B71" w14:textId="77777777" w:rsidR="00474DA8" w:rsidRDefault="00474DA8">
            <w:pPr>
              <w:jc w:val="center"/>
              <w:rPr>
                <w:i/>
                <w:iCs/>
                <w:color w:val="000000"/>
                <w:sz w:val="20"/>
                <w:szCs w:val="20"/>
              </w:rPr>
            </w:pPr>
            <w:r>
              <w:rPr>
                <w:i/>
                <w:iCs/>
                <w:color w:val="000000"/>
                <w:sz w:val="20"/>
                <w:szCs w:val="20"/>
              </w:rPr>
              <w:t>β</w:t>
            </w:r>
          </w:p>
        </w:tc>
        <w:tc>
          <w:tcPr>
            <w:tcW w:w="832" w:type="dxa"/>
            <w:tcBorders>
              <w:top w:val="single" w:sz="12" w:space="0" w:color="auto"/>
              <w:left w:val="nil"/>
              <w:bottom w:val="single" w:sz="12" w:space="0" w:color="auto"/>
              <w:right w:val="nil"/>
            </w:tcBorders>
            <w:shd w:val="clear" w:color="auto" w:fill="auto"/>
            <w:noWrap/>
            <w:vAlign w:val="center"/>
            <w:hideMark/>
          </w:tcPr>
          <w:p w14:paraId="38765FC1" w14:textId="77777777" w:rsidR="00474DA8" w:rsidRDefault="00474DA8">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32" w:type="dxa"/>
            <w:tcBorders>
              <w:top w:val="single" w:sz="12" w:space="0" w:color="auto"/>
              <w:left w:val="nil"/>
              <w:bottom w:val="single" w:sz="12" w:space="0" w:color="auto"/>
              <w:right w:val="nil"/>
            </w:tcBorders>
            <w:shd w:val="clear" w:color="auto" w:fill="auto"/>
            <w:noWrap/>
            <w:vAlign w:val="center"/>
            <w:hideMark/>
          </w:tcPr>
          <w:p w14:paraId="304432C6" w14:textId="77777777" w:rsidR="00474DA8" w:rsidRDefault="00474DA8">
            <w:pPr>
              <w:jc w:val="center"/>
              <w:rPr>
                <w:i/>
                <w:iCs/>
                <w:color w:val="000000"/>
                <w:sz w:val="20"/>
                <w:szCs w:val="20"/>
              </w:rPr>
            </w:pPr>
            <w:r>
              <w:rPr>
                <w:i/>
                <w:iCs/>
                <w:color w:val="000000"/>
                <w:sz w:val="20"/>
                <w:szCs w:val="20"/>
              </w:rPr>
              <w:t>R2</w:t>
            </w:r>
          </w:p>
        </w:tc>
      </w:tr>
      <w:tr w:rsidR="00474DA8" w14:paraId="6365E918"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55EF88D1" w14:textId="77777777" w:rsidR="00474DA8" w:rsidRDefault="00474DA8">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61608C58" w14:textId="77777777" w:rsidR="00474DA8" w:rsidRDefault="00474DA8">
            <w:pPr>
              <w:rPr>
                <w:color w:val="000000"/>
                <w:sz w:val="20"/>
                <w:szCs w:val="20"/>
              </w:rPr>
            </w:pPr>
            <w:r>
              <w:rPr>
                <w:color w:val="000000"/>
                <w:sz w:val="20"/>
                <w:szCs w:val="20"/>
              </w:rPr>
              <w:t>Subcortical Cerebellar</w:t>
            </w:r>
          </w:p>
        </w:tc>
        <w:tc>
          <w:tcPr>
            <w:tcW w:w="820" w:type="dxa"/>
            <w:tcBorders>
              <w:top w:val="single" w:sz="12" w:space="0" w:color="auto"/>
              <w:left w:val="nil"/>
              <w:bottom w:val="nil"/>
              <w:right w:val="nil"/>
            </w:tcBorders>
            <w:shd w:val="clear" w:color="auto" w:fill="auto"/>
            <w:noWrap/>
            <w:vAlign w:val="bottom"/>
            <w:hideMark/>
          </w:tcPr>
          <w:p w14:paraId="4FF504AD" w14:textId="77777777" w:rsidR="00474DA8" w:rsidRDefault="00474DA8">
            <w:pPr>
              <w:jc w:val="right"/>
              <w:rPr>
                <w:color w:val="000000"/>
                <w:sz w:val="20"/>
                <w:szCs w:val="20"/>
              </w:rPr>
            </w:pPr>
            <w:r>
              <w:rPr>
                <w:color w:val="000000"/>
                <w:sz w:val="20"/>
                <w:szCs w:val="20"/>
              </w:rPr>
              <w:t>-0.038</w:t>
            </w:r>
          </w:p>
        </w:tc>
        <w:tc>
          <w:tcPr>
            <w:tcW w:w="820" w:type="dxa"/>
            <w:tcBorders>
              <w:top w:val="single" w:sz="12" w:space="0" w:color="auto"/>
              <w:left w:val="nil"/>
              <w:bottom w:val="nil"/>
              <w:right w:val="nil"/>
            </w:tcBorders>
            <w:shd w:val="clear" w:color="auto" w:fill="auto"/>
            <w:noWrap/>
            <w:vAlign w:val="bottom"/>
            <w:hideMark/>
          </w:tcPr>
          <w:p w14:paraId="05C15298" w14:textId="77777777" w:rsidR="00474DA8" w:rsidRDefault="00474DA8">
            <w:pPr>
              <w:jc w:val="right"/>
              <w:rPr>
                <w:color w:val="000000"/>
                <w:sz w:val="20"/>
                <w:szCs w:val="20"/>
              </w:rPr>
            </w:pPr>
            <w:r>
              <w:rPr>
                <w:color w:val="000000"/>
                <w:sz w:val="20"/>
                <w:szCs w:val="20"/>
              </w:rPr>
              <w:t>0.667</w:t>
            </w:r>
          </w:p>
        </w:tc>
        <w:tc>
          <w:tcPr>
            <w:tcW w:w="820" w:type="dxa"/>
            <w:tcBorders>
              <w:top w:val="single" w:sz="12" w:space="0" w:color="auto"/>
              <w:left w:val="nil"/>
              <w:bottom w:val="nil"/>
              <w:right w:val="nil"/>
            </w:tcBorders>
            <w:shd w:val="clear" w:color="auto" w:fill="auto"/>
            <w:noWrap/>
            <w:vAlign w:val="bottom"/>
            <w:hideMark/>
          </w:tcPr>
          <w:p w14:paraId="648A3A5A" w14:textId="77777777" w:rsidR="00474DA8" w:rsidRDefault="00474DA8">
            <w:pPr>
              <w:jc w:val="right"/>
              <w:rPr>
                <w:color w:val="000000"/>
                <w:sz w:val="20"/>
                <w:szCs w:val="20"/>
              </w:rPr>
            </w:pPr>
            <w:r>
              <w:rPr>
                <w:color w:val="000000"/>
                <w:sz w:val="20"/>
                <w:szCs w:val="20"/>
              </w:rPr>
              <w:t>0.001</w:t>
            </w:r>
          </w:p>
        </w:tc>
        <w:tc>
          <w:tcPr>
            <w:tcW w:w="833" w:type="dxa"/>
            <w:tcBorders>
              <w:top w:val="single" w:sz="12" w:space="0" w:color="auto"/>
              <w:left w:val="nil"/>
              <w:bottom w:val="nil"/>
              <w:right w:val="nil"/>
            </w:tcBorders>
            <w:shd w:val="clear" w:color="auto" w:fill="auto"/>
            <w:noWrap/>
            <w:vAlign w:val="bottom"/>
            <w:hideMark/>
          </w:tcPr>
          <w:p w14:paraId="25ED842F" w14:textId="77777777" w:rsidR="00474DA8" w:rsidRDefault="00474DA8">
            <w:pPr>
              <w:jc w:val="right"/>
              <w:rPr>
                <w:color w:val="000000"/>
                <w:sz w:val="20"/>
                <w:szCs w:val="20"/>
              </w:rPr>
            </w:pPr>
            <w:r>
              <w:rPr>
                <w:color w:val="000000"/>
                <w:sz w:val="20"/>
                <w:szCs w:val="20"/>
              </w:rPr>
              <w:t>0.013</w:t>
            </w:r>
          </w:p>
        </w:tc>
        <w:tc>
          <w:tcPr>
            <w:tcW w:w="832" w:type="dxa"/>
            <w:tcBorders>
              <w:top w:val="single" w:sz="12" w:space="0" w:color="auto"/>
              <w:left w:val="nil"/>
              <w:bottom w:val="nil"/>
              <w:right w:val="nil"/>
            </w:tcBorders>
            <w:shd w:val="clear" w:color="auto" w:fill="auto"/>
            <w:noWrap/>
            <w:vAlign w:val="bottom"/>
            <w:hideMark/>
          </w:tcPr>
          <w:p w14:paraId="23F4D1B9" w14:textId="77777777" w:rsidR="00474DA8" w:rsidRDefault="00474DA8">
            <w:pPr>
              <w:jc w:val="right"/>
              <w:rPr>
                <w:color w:val="000000"/>
                <w:sz w:val="20"/>
                <w:szCs w:val="20"/>
              </w:rPr>
            </w:pPr>
            <w:r>
              <w:rPr>
                <w:color w:val="000000"/>
                <w:sz w:val="20"/>
                <w:szCs w:val="20"/>
              </w:rPr>
              <w:t>0.705</w:t>
            </w:r>
          </w:p>
        </w:tc>
        <w:tc>
          <w:tcPr>
            <w:tcW w:w="832" w:type="dxa"/>
            <w:tcBorders>
              <w:top w:val="single" w:sz="12" w:space="0" w:color="auto"/>
              <w:left w:val="nil"/>
              <w:bottom w:val="nil"/>
              <w:right w:val="nil"/>
            </w:tcBorders>
            <w:shd w:val="clear" w:color="auto" w:fill="auto"/>
            <w:noWrap/>
            <w:vAlign w:val="bottom"/>
            <w:hideMark/>
          </w:tcPr>
          <w:p w14:paraId="021E6719" w14:textId="77777777" w:rsidR="00474DA8" w:rsidRDefault="00474DA8">
            <w:pPr>
              <w:jc w:val="right"/>
              <w:rPr>
                <w:color w:val="000000"/>
                <w:sz w:val="20"/>
                <w:szCs w:val="20"/>
              </w:rPr>
            </w:pPr>
            <w:r>
              <w:rPr>
                <w:color w:val="000000"/>
                <w:sz w:val="20"/>
                <w:szCs w:val="20"/>
              </w:rPr>
              <w:t>0.000</w:t>
            </w:r>
          </w:p>
        </w:tc>
      </w:tr>
      <w:tr w:rsidR="00474DA8" w14:paraId="4FD2CC1B" w14:textId="77777777" w:rsidTr="00474DA8">
        <w:trPr>
          <w:trHeight w:val="340"/>
        </w:trPr>
        <w:tc>
          <w:tcPr>
            <w:tcW w:w="1152" w:type="dxa"/>
            <w:tcBorders>
              <w:top w:val="nil"/>
              <w:left w:val="nil"/>
              <w:bottom w:val="nil"/>
              <w:right w:val="nil"/>
            </w:tcBorders>
            <w:shd w:val="clear" w:color="auto" w:fill="auto"/>
            <w:noWrap/>
            <w:vAlign w:val="bottom"/>
            <w:hideMark/>
          </w:tcPr>
          <w:p w14:paraId="57AC34B5"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46EDF52" w14:textId="77777777" w:rsidR="00474DA8" w:rsidRDefault="00474DA8">
            <w:pPr>
              <w:rPr>
                <w:color w:val="000000"/>
                <w:sz w:val="20"/>
                <w:szCs w:val="20"/>
              </w:rPr>
            </w:pPr>
            <w:r>
              <w:rPr>
                <w:color w:val="000000"/>
                <w:sz w:val="20"/>
                <w:szCs w:val="20"/>
              </w:rPr>
              <w:t xml:space="preserve">Motor </w:t>
            </w:r>
          </w:p>
        </w:tc>
        <w:tc>
          <w:tcPr>
            <w:tcW w:w="820" w:type="dxa"/>
            <w:tcBorders>
              <w:top w:val="nil"/>
              <w:left w:val="nil"/>
              <w:bottom w:val="nil"/>
              <w:right w:val="nil"/>
            </w:tcBorders>
            <w:shd w:val="clear" w:color="auto" w:fill="auto"/>
            <w:noWrap/>
            <w:vAlign w:val="bottom"/>
            <w:hideMark/>
          </w:tcPr>
          <w:p w14:paraId="2C79FEEB" w14:textId="77777777" w:rsidR="00474DA8" w:rsidRDefault="00474DA8">
            <w:pPr>
              <w:jc w:val="right"/>
              <w:rPr>
                <w:color w:val="000000"/>
                <w:sz w:val="20"/>
                <w:szCs w:val="20"/>
              </w:rPr>
            </w:pPr>
            <w:r>
              <w:rPr>
                <w:color w:val="000000"/>
                <w:sz w:val="20"/>
                <w:szCs w:val="20"/>
              </w:rPr>
              <w:t>0.012</w:t>
            </w:r>
          </w:p>
        </w:tc>
        <w:tc>
          <w:tcPr>
            <w:tcW w:w="820" w:type="dxa"/>
            <w:tcBorders>
              <w:top w:val="nil"/>
              <w:left w:val="nil"/>
              <w:bottom w:val="nil"/>
              <w:right w:val="nil"/>
            </w:tcBorders>
            <w:shd w:val="clear" w:color="auto" w:fill="auto"/>
            <w:noWrap/>
            <w:vAlign w:val="bottom"/>
            <w:hideMark/>
          </w:tcPr>
          <w:p w14:paraId="5F3544B4" w14:textId="77777777" w:rsidR="00474DA8" w:rsidRDefault="00474DA8">
            <w:pPr>
              <w:jc w:val="right"/>
              <w:rPr>
                <w:color w:val="000000"/>
                <w:sz w:val="20"/>
                <w:szCs w:val="20"/>
              </w:rPr>
            </w:pPr>
            <w:r>
              <w:rPr>
                <w:color w:val="000000"/>
                <w:sz w:val="20"/>
                <w:szCs w:val="20"/>
              </w:rPr>
              <w:t>0.828</w:t>
            </w:r>
          </w:p>
        </w:tc>
        <w:tc>
          <w:tcPr>
            <w:tcW w:w="820" w:type="dxa"/>
            <w:tcBorders>
              <w:top w:val="nil"/>
              <w:left w:val="nil"/>
              <w:bottom w:val="nil"/>
              <w:right w:val="nil"/>
            </w:tcBorders>
            <w:shd w:val="clear" w:color="auto" w:fill="auto"/>
            <w:noWrap/>
            <w:vAlign w:val="bottom"/>
            <w:hideMark/>
          </w:tcPr>
          <w:p w14:paraId="1999843C"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3172B948" w14:textId="77777777" w:rsidR="00474DA8" w:rsidRDefault="00474DA8">
            <w:pPr>
              <w:jc w:val="right"/>
              <w:rPr>
                <w:color w:val="000000"/>
                <w:sz w:val="20"/>
                <w:szCs w:val="20"/>
              </w:rPr>
            </w:pPr>
            <w:r>
              <w:rPr>
                <w:color w:val="000000"/>
                <w:sz w:val="20"/>
                <w:szCs w:val="20"/>
              </w:rPr>
              <w:t>0.043</w:t>
            </w:r>
          </w:p>
        </w:tc>
        <w:tc>
          <w:tcPr>
            <w:tcW w:w="832" w:type="dxa"/>
            <w:tcBorders>
              <w:top w:val="nil"/>
              <w:left w:val="nil"/>
              <w:bottom w:val="nil"/>
              <w:right w:val="nil"/>
            </w:tcBorders>
            <w:shd w:val="clear" w:color="auto" w:fill="auto"/>
            <w:noWrap/>
            <w:vAlign w:val="bottom"/>
            <w:hideMark/>
          </w:tcPr>
          <w:p w14:paraId="193ABD93" w14:textId="77777777" w:rsidR="00474DA8" w:rsidRDefault="00474DA8">
            <w:pPr>
              <w:jc w:val="right"/>
              <w:rPr>
                <w:color w:val="000000"/>
                <w:sz w:val="20"/>
                <w:szCs w:val="20"/>
              </w:rPr>
            </w:pPr>
            <w:r>
              <w:rPr>
                <w:color w:val="000000"/>
                <w:sz w:val="20"/>
                <w:szCs w:val="20"/>
              </w:rPr>
              <w:t>0.462</w:t>
            </w:r>
          </w:p>
        </w:tc>
        <w:tc>
          <w:tcPr>
            <w:tcW w:w="832" w:type="dxa"/>
            <w:tcBorders>
              <w:top w:val="nil"/>
              <w:left w:val="nil"/>
              <w:bottom w:val="nil"/>
              <w:right w:val="nil"/>
            </w:tcBorders>
            <w:shd w:val="clear" w:color="auto" w:fill="auto"/>
            <w:noWrap/>
            <w:vAlign w:val="bottom"/>
            <w:hideMark/>
          </w:tcPr>
          <w:p w14:paraId="7D876FA3" w14:textId="77777777" w:rsidR="00474DA8" w:rsidRDefault="00474DA8">
            <w:pPr>
              <w:jc w:val="right"/>
              <w:rPr>
                <w:color w:val="000000"/>
                <w:sz w:val="20"/>
                <w:szCs w:val="20"/>
              </w:rPr>
            </w:pPr>
            <w:r>
              <w:rPr>
                <w:color w:val="000000"/>
                <w:sz w:val="20"/>
                <w:szCs w:val="20"/>
              </w:rPr>
              <w:t>0.002</w:t>
            </w:r>
          </w:p>
        </w:tc>
      </w:tr>
      <w:tr w:rsidR="00474DA8" w14:paraId="6CD293CA" w14:textId="77777777" w:rsidTr="00474DA8">
        <w:trPr>
          <w:trHeight w:val="320"/>
        </w:trPr>
        <w:tc>
          <w:tcPr>
            <w:tcW w:w="1152" w:type="dxa"/>
            <w:tcBorders>
              <w:top w:val="nil"/>
              <w:left w:val="nil"/>
              <w:bottom w:val="nil"/>
              <w:right w:val="nil"/>
            </w:tcBorders>
            <w:shd w:val="clear" w:color="auto" w:fill="auto"/>
            <w:noWrap/>
            <w:vAlign w:val="bottom"/>
            <w:hideMark/>
          </w:tcPr>
          <w:p w14:paraId="64ED0671"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41D06B2" w14:textId="77777777" w:rsidR="00474DA8" w:rsidRDefault="00474DA8">
            <w:pPr>
              <w:rPr>
                <w:color w:val="000000"/>
                <w:sz w:val="20"/>
                <w:szCs w:val="20"/>
              </w:rPr>
            </w:pPr>
            <w:r>
              <w:rPr>
                <w:color w:val="000000"/>
                <w:sz w:val="20"/>
                <w:szCs w:val="20"/>
              </w:rPr>
              <w:t>Medial Frontal</w:t>
            </w:r>
          </w:p>
        </w:tc>
        <w:tc>
          <w:tcPr>
            <w:tcW w:w="820" w:type="dxa"/>
            <w:tcBorders>
              <w:top w:val="nil"/>
              <w:left w:val="nil"/>
              <w:bottom w:val="nil"/>
              <w:right w:val="nil"/>
            </w:tcBorders>
            <w:shd w:val="clear" w:color="auto" w:fill="auto"/>
            <w:noWrap/>
            <w:vAlign w:val="bottom"/>
            <w:hideMark/>
          </w:tcPr>
          <w:p w14:paraId="1896DF37" w14:textId="77777777" w:rsidR="00474DA8" w:rsidRDefault="00474DA8">
            <w:pPr>
              <w:jc w:val="right"/>
              <w:rPr>
                <w:color w:val="000000"/>
                <w:sz w:val="20"/>
                <w:szCs w:val="20"/>
              </w:rPr>
            </w:pPr>
            <w:r>
              <w:rPr>
                <w:color w:val="000000"/>
                <w:sz w:val="20"/>
                <w:szCs w:val="20"/>
              </w:rPr>
              <w:t>-0.091</w:t>
            </w:r>
          </w:p>
        </w:tc>
        <w:tc>
          <w:tcPr>
            <w:tcW w:w="820" w:type="dxa"/>
            <w:tcBorders>
              <w:top w:val="nil"/>
              <w:left w:val="nil"/>
              <w:bottom w:val="nil"/>
              <w:right w:val="nil"/>
            </w:tcBorders>
            <w:shd w:val="clear" w:color="auto" w:fill="auto"/>
            <w:noWrap/>
            <w:vAlign w:val="bottom"/>
            <w:hideMark/>
          </w:tcPr>
          <w:p w14:paraId="6EFE00E4" w14:textId="77777777" w:rsidR="00474DA8" w:rsidRDefault="00474DA8">
            <w:pPr>
              <w:jc w:val="right"/>
              <w:rPr>
                <w:color w:val="000000"/>
                <w:sz w:val="20"/>
                <w:szCs w:val="20"/>
              </w:rPr>
            </w:pPr>
            <w:r>
              <w:rPr>
                <w:color w:val="000000"/>
                <w:sz w:val="20"/>
                <w:szCs w:val="20"/>
              </w:rPr>
              <w:t>0.667</w:t>
            </w:r>
          </w:p>
        </w:tc>
        <w:tc>
          <w:tcPr>
            <w:tcW w:w="820" w:type="dxa"/>
            <w:tcBorders>
              <w:top w:val="nil"/>
              <w:left w:val="nil"/>
              <w:bottom w:val="nil"/>
              <w:right w:val="nil"/>
            </w:tcBorders>
            <w:shd w:val="clear" w:color="auto" w:fill="auto"/>
            <w:noWrap/>
            <w:vAlign w:val="bottom"/>
            <w:hideMark/>
          </w:tcPr>
          <w:p w14:paraId="217528B6" w14:textId="77777777" w:rsidR="00474DA8" w:rsidRDefault="00474DA8">
            <w:pPr>
              <w:jc w:val="right"/>
              <w:rPr>
                <w:color w:val="000000"/>
                <w:sz w:val="20"/>
                <w:szCs w:val="20"/>
              </w:rPr>
            </w:pPr>
            <w:r>
              <w:rPr>
                <w:color w:val="000000"/>
                <w:sz w:val="20"/>
                <w:szCs w:val="20"/>
              </w:rPr>
              <w:t>0.008</w:t>
            </w:r>
          </w:p>
        </w:tc>
        <w:tc>
          <w:tcPr>
            <w:tcW w:w="833" w:type="dxa"/>
            <w:tcBorders>
              <w:top w:val="nil"/>
              <w:left w:val="nil"/>
              <w:bottom w:val="nil"/>
              <w:right w:val="nil"/>
            </w:tcBorders>
            <w:shd w:val="clear" w:color="auto" w:fill="auto"/>
            <w:noWrap/>
            <w:vAlign w:val="bottom"/>
            <w:hideMark/>
          </w:tcPr>
          <w:p w14:paraId="26A78797" w14:textId="77777777" w:rsidR="00474DA8" w:rsidRDefault="00474DA8">
            <w:pPr>
              <w:jc w:val="right"/>
              <w:rPr>
                <w:color w:val="000000"/>
                <w:sz w:val="20"/>
                <w:szCs w:val="20"/>
              </w:rPr>
            </w:pPr>
            <w:r>
              <w:rPr>
                <w:color w:val="000000"/>
                <w:sz w:val="20"/>
                <w:szCs w:val="20"/>
              </w:rPr>
              <w:t>0.151</w:t>
            </w:r>
          </w:p>
        </w:tc>
        <w:tc>
          <w:tcPr>
            <w:tcW w:w="832" w:type="dxa"/>
            <w:tcBorders>
              <w:top w:val="nil"/>
              <w:left w:val="nil"/>
              <w:bottom w:val="nil"/>
              <w:right w:val="nil"/>
            </w:tcBorders>
            <w:shd w:val="clear" w:color="auto" w:fill="auto"/>
            <w:noWrap/>
            <w:vAlign w:val="bottom"/>
            <w:hideMark/>
          </w:tcPr>
          <w:p w14:paraId="04096B8C" w14:textId="77777777" w:rsidR="00474DA8" w:rsidRDefault="00474DA8">
            <w:pPr>
              <w:jc w:val="right"/>
              <w:rPr>
                <w:color w:val="000000"/>
                <w:sz w:val="20"/>
                <w:szCs w:val="20"/>
              </w:rPr>
            </w:pPr>
            <w:r>
              <w:rPr>
                <w:color w:val="000000"/>
                <w:sz w:val="20"/>
                <w:szCs w:val="20"/>
              </w:rPr>
              <w:t>0.312</w:t>
            </w:r>
          </w:p>
        </w:tc>
        <w:tc>
          <w:tcPr>
            <w:tcW w:w="832" w:type="dxa"/>
            <w:tcBorders>
              <w:top w:val="nil"/>
              <w:left w:val="nil"/>
              <w:bottom w:val="nil"/>
              <w:right w:val="nil"/>
            </w:tcBorders>
            <w:shd w:val="clear" w:color="auto" w:fill="auto"/>
            <w:noWrap/>
            <w:vAlign w:val="bottom"/>
            <w:hideMark/>
          </w:tcPr>
          <w:p w14:paraId="786F9C78" w14:textId="77777777" w:rsidR="00474DA8" w:rsidRDefault="00474DA8">
            <w:pPr>
              <w:jc w:val="right"/>
              <w:rPr>
                <w:color w:val="000000"/>
                <w:sz w:val="20"/>
                <w:szCs w:val="20"/>
              </w:rPr>
            </w:pPr>
            <w:r>
              <w:rPr>
                <w:color w:val="000000"/>
                <w:sz w:val="20"/>
                <w:szCs w:val="20"/>
              </w:rPr>
              <w:t>0.023</w:t>
            </w:r>
          </w:p>
        </w:tc>
      </w:tr>
      <w:tr w:rsidR="00474DA8" w14:paraId="5B9E2A74" w14:textId="77777777" w:rsidTr="00474DA8">
        <w:trPr>
          <w:trHeight w:val="320"/>
        </w:trPr>
        <w:tc>
          <w:tcPr>
            <w:tcW w:w="1152" w:type="dxa"/>
            <w:tcBorders>
              <w:top w:val="nil"/>
              <w:left w:val="nil"/>
              <w:bottom w:val="nil"/>
              <w:right w:val="nil"/>
            </w:tcBorders>
            <w:shd w:val="clear" w:color="auto" w:fill="auto"/>
            <w:noWrap/>
            <w:vAlign w:val="bottom"/>
            <w:hideMark/>
          </w:tcPr>
          <w:p w14:paraId="657C914F"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6DF7750" w14:textId="77777777" w:rsidR="00474DA8" w:rsidRDefault="00474DA8">
            <w:pPr>
              <w:rPr>
                <w:color w:val="000000"/>
                <w:sz w:val="20"/>
                <w:szCs w:val="20"/>
              </w:rPr>
            </w:pPr>
            <w:r>
              <w:rPr>
                <w:color w:val="000000"/>
                <w:sz w:val="20"/>
                <w:szCs w:val="20"/>
              </w:rPr>
              <w:t>Frontoparietal</w:t>
            </w:r>
          </w:p>
        </w:tc>
        <w:tc>
          <w:tcPr>
            <w:tcW w:w="820" w:type="dxa"/>
            <w:tcBorders>
              <w:top w:val="nil"/>
              <w:left w:val="nil"/>
              <w:bottom w:val="nil"/>
              <w:right w:val="nil"/>
            </w:tcBorders>
            <w:shd w:val="clear" w:color="auto" w:fill="auto"/>
            <w:noWrap/>
            <w:vAlign w:val="bottom"/>
            <w:hideMark/>
          </w:tcPr>
          <w:p w14:paraId="75F11C50" w14:textId="77777777" w:rsidR="00474DA8" w:rsidRDefault="00474DA8">
            <w:pPr>
              <w:jc w:val="right"/>
              <w:rPr>
                <w:color w:val="000000"/>
                <w:sz w:val="20"/>
                <w:szCs w:val="20"/>
              </w:rPr>
            </w:pPr>
            <w:r>
              <w:rPr>
                <w:color w:val="000000"/>
                <w:sz w:val="20"/>
                <w:szCs w:val="20"/>
              </w:rPr>
              <w:t>0.042</w:t>
            </w:r>
          </w:p>
        </w:tc>
        <w:tc>
          <w:tcPr>
            <w:tcW w:w="820" w:type="dxa"/>
            <w:tcBorders>
              <w:top w:val="nil"/>
              <w:left w:val="nil"/>
              <w:bottom w:val="nil"/>
              <w:right w:val="nil"/>
            </w:tcBorders>
            <w:shd w:val="clear" w:color="auto" w:fill="auto"/>
            <w:noWrap/>
            <w:vAlign w:val="bottom"/>
            <w:hideMark/>
          </w:tcPr>
          <w:p w14:paraId="3DD82AC4" w14:textId="77777777" w:rsidR="00474DA8" w:rsidRDefault="00474DA8">
            <w:pPr>
              <w:jc w:val="right"/>
              <w:rPr>
                <w:color w:val="000000"/>
                <w:sz w:val="20"/>
                <w:szCs w:val="20"/>
              </w:rPr>
            </w:pPr>
            <w:r>
              <w:rPr>
                <w:color w:val="000000"/>
                <w:sz w:val="20"/>
                <w:szCs w:val="20"/>
              </w:rPr>
              <w:t>0.782</w:t>
            </w:r>
          </w:p>
        </w:tc>
        <w:tc>
          <w:tcPr>
            <w:tcW w:w="820" w:type="dxa"/>
            <w:tcBorders>
              <w:top w:val="nil"/>
              <w:left w:val="nil"/>
              <w:bottom w:val="nil"/>
              <w:right w:val="nil"/>
            </w:tcBorders>
            <w:shd w:val="clear" w:color="auto" w:fill="auto"/>
            <w:noWrap/>
            <w:vAlign w:val="bottom"/>
            <w:hideMark/>
          </w:tcPr>
          <w:p w14:paraId="28ED64DD" w14:textId="77777777" w:rsidR="00474DA8" w:rsidRDefault="00474DA8">
            <w:pPr>
              <w:jc w:val="right"/>
              <w:rPr>
                <w:color w:val="000000"/>
                <w:sz w:val="20"/>
                <w:szCs w:val="20"/>
              </w:rPr>
            </w:pPr>
            <w:r>
              <w:rPr>
                <w:color w:val="000000"/>
                <w:sz w:val="20"/>
                <w:szCs w:val="20"/>
              </w:rPr>
              <w:t>0.002</w:t>
            </w:r>
          </w:p>
        </w:tc>
        <w:tc>
          <w:tcPr>
            <w:tcW w:w="833" w:type="dxa"/>
            <w:tcBorders>
              <w:top w:val="nil"/>
              <w:left w:val="nil"/>
              <w:bottom w:val="nil"/>
              <w:right w:val="nil"/>
            </w:tcBorders>
            <w:shd w:val="clear" w:color="auto" w:fill="auto"/>
            <w:noWrap/>
            <w:vAlign w:val="bottom"/>
            <w:hideMark/>
          </w:tcPr>
          <w:p w14:paraId="36434CF3" w14:textId="77777777" w:rsidR="00474DA8" w:rsidRDefault="00474DA8">
            <w:pPr>
              <w:jc w:val="right"/>
              <w:rPr>
                <w:color w:val="000000"/>
                <w:sz w:val="20"/>
                <w:szCs w:val="20"/>
              </w:rPr>
            </w:pPr>
            <w:r>
              <w:rPr>
                <w:color w:val="000000"/>
                <w:sz w:val="20"/>
                <w:szCs w:val="20"/>
              </w:rPr>
              <w:t>-0.174</w:t>
            </w:r>
          </w:p>
        </w:tc>
        <w:tc>
          <w:tcPr>
            <w:tcW w:w="832" w:type="dxa"/>
            <w:tcBorders>
              <w:top w:val="nil"/>
              <w:left w:val="nil"/>
              <w:bottom w:val="nil"/>
              <w:right w:val="nil"/>
            </w:tcBorders>
            <w:shd w:val="clear" w:color="auto" w:fill="auto"/>
            <w:noWrap/>
            <w:vAlign w:val="bottom"/>
            <w:hideMark/>
          </w:tcPr>
          <w:p w14:paraId="4EEBD7E0" w14:textId="77777777" w:rsidR="00474DA8" w:rsidRDefault="00474DA8">
            <w:pPr>
              <w:jc w:val="right"/>
              <w:rPr>
                <w:color w:val="000000"/>
                <w:sz w:val="20"/>
                <w:szCs w:val="20"/>
              </w:rPr>
            </w:pPr>
            <w:r>
              <w:rPr>
                <w:color w:val="000000"/>
                <w:sz w:val="20"/>
                <w:szCs w:val="20"/>
              </w:rPr>
              <w:t>0.312</w:t>
            </w:r>
          </w:p>
        </w:tc>
        <w:tc>
          <w:tcPr>
            <w:tcW w:w="832" w:type="dxa"/>
            <w:tcBorders>
              <w:top w:val="nil"/>
              <w:left w:val="nil"/>
              <w:bottom w:val="nil"/>
              <w:right w:val="nil"/>
            </w:tcBorders>
            <w:shd w:val="clear" w:color="auto" w:fill="auto"/>
            <w:noWrap/>
            <w:vAlign w:val="bottom"/>
            <w:hideMark/>
          </w:tcPr>
          <w:p w14:paraId="48C57ECC" w14:textId="77777777" w:rsidR="00474DA8" w:rsidRDefault="00474DA8">
            <w:pPr>
              <w:jc w:val="right"/>
              <w:rPr>
                <w:color w:val="000000"/>
                <w:sz w:val="20"/>
                <w:szCs w:val="20"/>
              </w:rPr>
            </w:pPr>
            <w:r>
              <w:rPr>
                <w:color w:val="000000"/>
                <w:sz w:val="20"/>
                <w:szCs w:val="20"/>
              </w:rPr>
              <w:t>0.030</w:t>
            </w:r>
          </w:p>
        </w:tc>
      </w:tr>
      <w:tr w:rsidR="00474DA8" w14:paraId="16C7485D" w14:textId="77777777" w:rsidTr="00474DA8">
        <w:trPr>
          <w:trHeight w:val="320"/>
        </w:trPr>
        <w:tc>
          <w:tcPr>
            <w:tcW w:w="1152" w:type="dxa"/>
            <w:tcBorders>
              <w:top w:val="nil"/>
              <w:left w:val="nil"/>
              <w:bottom w:val="nil"/>
              <w:right w:val="nil"/>
            </w:tcBorders>
            <w:shd w:val="clear" w:color="auto" w:fill="auto"/>
            <w:noWrap/>
            <w:vAlign w:val="bottom"/>
            <w:hideMark/>
          </w:tcPr>
          <w:p w14:paraId="5DCF95E1"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FB5CE99" w14:textId="77777777" w:rsidR="00474DA8" w:rsidRDefault="00474DA8">
            <w:pPr>
              <w:rPr>
                <w:color w:val="000000"/>
                <w:sz w:val="20"/>
                <w:szCs w:val="20"/>
              </w:rPr>
            </w:pPr>
            <w:r>
              <w:rPr>
                <w:color w:val="000000"/>
                <w:sz w:val="20"/>
                <w:szCs w:val="20"/>
              </w:rPr>
              <w:t>Default Mode</w:t>
            </w:r>
          </w:p>
        </w:tc>
        <w:tc>
          <w:tcPr>
            <w:tcW w:w="820" w:type="dxa"/>
            <w:tcBorders>
              <w:top w:val="nil"/>
              <w:left w:val="nil"/>
              <w:bottom w:val="nil"/>
              <w:right w:val="nil"/>
            </w:tcBorders>
            <w:shd w:val="clear" w:color="auto" w:fill="auto"/>
            <w:noWrap/>
            <w:vAlign w:val="bottom"/>
            <w:hideMark/>
          </w:tcPr>
          <w:p w14:paraId="7CC3B911" w14:textId="77777777" w:rsidR="00474DA8" w:rsidRDefault="00474DA8">
            <w:pPr>
              <w:jc w:val="right"/>
              <w:rPr>
                <w:color w:val="000000"/>
                <w:sz w:val="20"/>
                <w:szCs w:val="20"/>
              </w:rPr>
            </w:pPr>
            <w:r>
              <w:rPr>
                <w:color w:val="000000"/>
                <w:sz w:val="20"/>
                <w:szCs w:val="20"/>
              </w:rPr>
              <w:t>-0.035</w:t>
            </w:r>
          </w:p>
        </w:tc>
        <w:tc>
          <w:tcPr>
            <w:tcW w:w="820" w:type="dxa"/>
            <w:tcBorders>
              <w:top w:val="nil"/>
              <w:left w:val="nil"/>
              <w:bottom w:val="nil"/>
              <w:right w:val="nil"/>
            </w:tcBorders>
            <w:shd w:val="clear" w:color="auto" w:fill="auto"/>
            <w:noWrap/>
            <w:vAlign w:val="bottom"/>
            <w:hideMark/>
          </w:tcPr>
          <w:p w14:paraId="7B9FBA2F" w14:textId="77777777" w:rsidR="00474DA8" w:rsidRDefault="00474DA8">
            <w:pPr>
              <w:jc w:val="right"/>
              <w:rPr>
                <w:color w:val="000000"/>
                <w:sz w:val="20"/>
                <w:szCs w:val="20"/>
              </w:rPr>
            </w:pPr>
            <w:r>
              <w:rPr>
                <w:color w:val="000000"/>
                <w:sz w:val="20"/>
                <w:szCs w:val="20"/>
              </w:rPr>
              <w:t>0.782</w:t>
            </w:r>
          </w:p>
        </w:tc>
        <w:tc>
          <w:tcPr>
            <w:tcW w:w="820" w:type="dxa"/>
            <w:tcBorders>
              <w:top w:val="nil"/>
              <w:left w:val="nil"/>
              <w:bottom w:val="nil"/>
              <w:right w:val="nil"/>
            </w:tcBorders>
            <w:shd w:val="clear" w:color="auto" w:fill="auto"/>
            <w:noWrap/>
            <w:vAlign w:val="bottom"/>
            <w:hideMark/>
          </w:tcPr>
          <w:p w14:paraId="39B68467" w14:textId="77777777" w:rsidR="00474DA8" w:rsidRDefault="00474DA8">
            <w:pPr>
              <w:jc w:val="right"/>
              <w:rPr>
                <w:color w:val="000000"/>
                <w:sz w:val="20"/>
                <w:szCs w:val="20"/>
              </w:rPr>
            </w:pPr>
            <w:r>
              <w:rPr>
                <w:color w:val="000000"/>
                <w:sz w:val="20"/>
                <w:szCs w:val="20"/>
              </w:rPr>
              <w:t>0.001</w:t>
            </w:r>
          </w:p>
        </w:tc>
        <w:tc>
          <w:tcPr>
            <w:tcW w:w="833" w:type="dxa"/>
            <w:tcBorders>
              <w:top w:val="nil"/>
              <w:left w:val="nil"/>
              <w:bottom w:val="nil"/>
              <w:right w:val="nil"/>
            </w:tcBorders>
            <w:shd w:val="clear" w:color="auto" w:fill="auto"/>
            <w:noWrap/>
            <w:vAlign w:val="bottom"/>
            <w:hideMark/>
          </w:tcPr>
          <w:p w14:paraId="2A02297A" w14:textId="77777777" w:rsidR="00474DA8" w:rsidRDefault="00474DA8">
            <w:pPr>
              <w:jc w:val="right"/>
              <w:rPr>
                <w:color w:val="000000"/>
                <w:sz w:val="20"/>
                <w:szCs w:val="20"/>
              </w:rPr>
            </w:pPr>
            <w:r>
              <w:rPr>
                <w:color w:val="000000"/>
                <w:sz w:val="20"/>
                <w:szCs w:val="20"/>
              </w:rPr>
              <w:t>0.042</w:t>
            </w:r>
          </w:p>
        </w:tc>
        <w:tc>
          <w:tcPr>
            <w:tcW w:w="832" w:type="dxa"/>
            <w:tcBorders>
              <w:top w:val="nil"/>
              <w:left w:val="nil"/>
              <w:bottom w:val="nil"/>
              <w:right w:val="nil"/>
            </w:tcBorders>
            <w:shd w:val="clear" w:color="auto" w:fill="auto"/>
            <w:noWrap/>
            <w:vAlign w:val="bottom"/>
            <w:hideMark/>
          </w:tcPr>
          <w:p w14:paraId="2FFE00CB" w14:textId="77777777" w:rsidR="00474DA8" w:rsidRDefault="00474DA8">
            <w:pPr>
              <w:jc w:val="right"/>
              <w:rPr>
                <w:color w:val="000000"/>
                <w:sz w:val="20"/>
                <w:szCs w:val="20"/>
              </w:rPr>
            </w:pPr>
            <w:r>
              <w:rPr>
                <w:color w:val="000000"/>
                <w:sz w:val="20"/>
                <w:szCs w:val="20"/>
              </w:rPr>
              <w:t>0.462</w:t>
            </w:r>
          </w:p>
        </w:tc>
        <w:tc>
          <w:tcPr>
            <w:tcW w:w="832" w:type="dxa"/>
            <w:tcBorders>
              <w:top w:val="nil"/>
              <w:left w:val="nil"/>
              <w:bottom w:val="nil"/>
              <w:right w:val="nil"/>
            </w:tcBorders>
            <w:shd w:val="clear" w:color="auto" w:fill="auto"/>
            <w:noWrap/>
            <w:vAlign w:val="bottom"/>
            <w:hideMark/>
          </w:tcPr>
          <w:p w14:paraId="3E712C8F" w14:textId="77777777" w:rsidR="00474DA8" w:rsidRDefault="00474DA8">
            <w:pPr>
              <w:jc w:val="right"/>
              <w:rPr>
                <w:color w:val="000000"/>
                <w:sz w:val="20"/>
                <w:szCs w:val="20"/>
              </w:rPr>
            </w:pPr>
            <w:r>
              <w:rPr>
                <w:color w:val="000000"/>
                <w:sz w:val="20"/>
                <w:szCs w:val="20"/>
              </w:rPr>
              <w:t>0.002</w:t>
            </w:r>
          </w:p>
        </w:tc>
      </w:tr>
      <w:tr w:rsidR="00474DA8" w14:paraId="5A61979E" w14:textId="77777777" w:rsidTr="00474DA8">
        <w:trPr>
          <w:trHeight w:val="320"/>
        </w:trPr>
        <w:tc>
          <w:tcPr>
            <w:tcW w:w="1152" w:type="dxa"/>
            <w:tcBorders>
              <w:top w:val="nil"/>
              <w:left w:val="nil"/>
              <w:bottom w:val="nil"/>
              <w:right w:val="nil"/>
            </w:tcBorders>
            <w:shd w:val="clear" w:color="auto" w:fill="auto"/>
            <w:noWrap/>
            <w:vAlign w:val="bottom"/>
            <w:hideMark/>
          </w:tcPr>
          <w:p w14:paraId="762FC62A"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1D223CF" w14:textId="77777777" w:rsidR="00474DA8" w:rsidRDefault="00474DA8">
            <w:pPr>
              <w:rPr>
                <w:color w:val="000000"/>
                <w:sz w:val="20"/>
                <w:szCs w:val="20"/>
              </w:rPr>
            </w:pPr>
            <w:r>
              <w:rPr>
                <w:color w:val="000000"/>
                <w:sz w:val="20"/>
                <w:szCs w:val="20"/>
              </w:rPr>
              <w:t>Visual 2</w:t>
            </w:r>
          </w:p>
        </w:tc>
        <w:tc>
          <w:tcPr>
            <w:tcW w:w="820" w:type="dxa"/>
            <w:tcBorders>
              <w:top w:val="nil"/>
              <w:left w:val="nil"/>
              <w:bottom w:val="nil"/>
              <w:right w:val="nil"/>
            </w:tcBorders>
            <w:shd w:val="clear" w:color="auto" w:fill="auto"/>
            <w:noWrap/>
            <w:vAlign w:val="bottom"/>
            <w:hideMark/>
          </w:tcPr>
          <w:p w14:paraId="15B47B11" w14:textId="77777777" w:rsidR="00474DA8" w:rsidRDefault="00474DA8">
            <w:pPr>
              <w:jc w:val="right"/>
              <w:rPr>
                <w:color w:val="000000"/>
                <w:sz w:val="20"/>
                <w:szCs w:val="20"/>
              </w:rPr>
            </w:pPr>
            <w:r>
              <w:rPr>
                <w:color w:val="000000"/>
                <w:sz w:val="20"/>
                <w:szCs w:val="20"/>
              </w:rPr>
              <w:t>-0.011</w:t>
            </w:r>
          </w:p>
        </w:tc>
        <w:tc>
          <w:tcPr>
            <w:tcW w:w="820" w:type="dxa"/>
            <w:tcBorders>
              <w:top w:val="nil"/>
              <w:left w:val="nil"/>
              <w:bottom w:val="nil"/>
              <w:right w:val="nil"/>
            </w:tcBorders>
            <w:shd w:val="clear" w:color="auto" w:fill="auto"/>
            <w:noWrap/>
            <w:vAlign w:val="bottom"/>
            <w:hideMark/>
          </w:tcPr>
          <w:p w14:paraId="47E1FDDD" w14:textId="77777777" w:rsidR="00474DA8" w:rsidRDefault="00474DA8">
            <w:pPr>
              <w:jc w:val="right"/>
              <w:rPr>
                <w:color w:val="000000"/>
                <w:sz w:val="20"/>
                <w:szCs w:val="20"/>
              </w:rPr>
            </w:pPr>
            <w:r>
              <w:rPr>
                <w:color w:val="000000"/>
                <w:sz w:val="20"/>
                <w:szCs w:val="20"/>
              </w:rPr>
              <w:t>0.828</w:t>
            </w:r>
          </w:p>
        </w:tc>
        <w:tc>
          <w:tcPr>
            <w:tcW w:w="820" w:type="dxa"/>
            <w:tcBorders>
              <w:top w:val="nil"/>
              <w:left w:val="nil"/>
              <w:bottom w:val="nil"/>
              <w:right w:val="nil"/>
            </w:tcBorders>
            <w:shd w:val="clear" w:color="auto" w:fill="auto"/>
            <w:noWrap/>
            <w:vAlign w:val="bottom"/>
            <w:hideMark/>
          </w:tcPr>
          <w:p w14:paraId="43D4D416"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56D930CC" w14:textId="77777777" w:rsidR="00474DA8" w:rsidRDefault="00474DA8">
            <w:pPr>
              <w:jc w:val="right"/>
              <w:rPr>
                <w:color w:val="000000"/>
                <w:sz w:val="20"/>
                <w:szCs w:val="20"/>
              </w:rPr>
            </w:pPr>
            <w:r>
              <w:rPr>
                <w:color w:val="000000"/>
                <w:sz w:val="20"/>
                <w:szCs w:val="20"/>
              </w:rPr>
              <w:t>-0.057</w:t>
            </w:r>
          </w:p>
        </w:tc>
        <w:tc>
          <w:tcPr>
            <w:tcW w:w="832" w:type="dxa"/>
            <w:tcBorders>
              <w:top w:val="nil"/>
              <w:left w:val="nil"/>
              <w:bottom w:val="nil"/>
              <w:right w:val="nil"/>
            </w:tcBorders>
            <w:shd w:val="clear" w:color="auto" w:fill="auto"/>
            <w:noWrap/>
            <w:vAlign w:val="bottom"/>
            <w:hideMark/>
          </w:tcPr>
          <w:p w14:paraId="6531F606" w14:textId="77777777" w:rsidR="00474DA8" w:rsidRDefault="00474DA8">
            <w:pPr>
              <w:jc w:val="right"/>
              <w:rPr>
                <w:color w:val="000000"/>
                <w:sz w:val="20"/>
                <w:szCs w:val="20"/>
              </w:rPr>
            </w:pPr>
            <w:r>
              <w:rPr>
                <w:color w:val="000000"/>
                <w:sz w:val="20"/>
                <w:szCs w:val="20"/>
              </w:rPr>
              <w:t>0.352</w:t>
            </w:r>
          </w:p>
        </w:tc>
        <w:tc>
          <w:tcPr>
            <w:tcW w:w="832" w:type="dxa"/>
            <w:tcBorders>
              <w:top w:val="nil"/>
              <w:left w:val="nil"/>
              <w:bottom w:val="nil"/>
              <w:right w:val="nil"/>
            </w:tcBorders>
            <w:shd w:val="clear" w:color="auto" w:fill="auto"/>
            <w:noWrap/>
            <w:vAlign w:val="bottom"/>
            <w:hideMark/>
          </w:tcPr>
          <w:p w14:paraId="48B81DF2" w14:textId="77777777" w:rsidR="00474DA8" w:rsidRDefault="00474DA8">
            <w:pPr>
              <w:jc w:val="right"/>
              <w:rPr>
                <w:color w:val="000000"/>
                <w:sz w:val="20"/>
                <w:szCs w:val="20"/>
              </w:rPr>
            </w:pPr>
            <w:r>
              <w:rPr>
                <w:color w:val="000000"/>
                <w:sz w:val="20"/>
                <w:szCs w:val="20"/>
              </w:rPr>
              <w:t>0.003</w:t>
            </w:r>
          </w:p>
        </w:tc>
      </w:tr>
      <w:tr w:rsidR="00474DA8" w14:paraId="2E7FC130" w14:textId="77777777" w:rsidTr="00474DA8">
        <w:trPr>
          <w:trHeight w:val="320"/>
        </w:trPr>
        <w:tc>
          <w:tcPr>
            <w:tcW w:w="1152" w:type="dxa"/>
            <w:tcBorders>
              <w:top w:val="nil"/>
              <w:left w:val="nil"/>
              <w:bottom w:val="nil"/>
              <w:right w:val="nil"/>
            </w:tcBorders>
            <w:shd w:val="clear" w:color="auto" w:fill="auto"/>
            <w:noWrap/>
            <w:vAlign w:val="bottom"/>
            <w:hideMark/>
          </w:tcPr>
          <w:p w14:paraId="6D0265E8"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00C6980" w14:textId="77777777" w:rsidR="00474DA8" w:rsidRDefault="00474DA8">
            <w:pPr>
              <w:rPr>
                <w:color w:val="000000"/>
                <w:sz w:val="20"/>
                <w:szCs w:val="20"/>
              </w:rPr>
            </w:pPr>
            <w:r>
              <w:rPr>
                <w:color w:val="000000"/>
                <w:sz w:val="20"/>
                <w:szCs w:val="20"/>
              </w:rPr>
              <w:t>Visual 1</w:t>
            </w:r>
          </w:p>
        </w:tc>
        <w:tc>
          <w:tcPr>
            <w:tcW w:w="820" w:type="dxa"/>
            <w:tcBorders>
              <w:top w:val="nil"/>
              <w:left w:val="nil"/>
              <w:bottom w:val="nil"/>
              <w:right w:val="nil"/>
            </w:tcBorders>
            <w:shd w:val="clear" w:color="auto" w:fill="auto"/>
            <w:noWrap/>
            <w:vAlign w:val="bottom"/>
            <w:hideMark/>
          </w:tcPr>
          <w:p w14:paraId="4737FC7C" w14:textId="77777777" w:rsidR="00474DA8" w:rsidRDefault="00474DA8">
            <w:pPr>
              <w:jc w:val="right"/>
              <w:rPr>
                <w:color w:val="000000"/>
                <w:sz w:val="20"/>
                <w:szCs w:val="20"/>
              </w:rPr>
            </w:pPr>
            <w:r>
              <w:rPr>
                <w:color w:val="000000"/>
                <w:sz w:val="20"/>
                <w:szCs w:val="20"/>
              </w:rPr>
              <w:t>0.045</w:t>
            </w:r>
          </w:p>
        </w:tc>
        <w:tc>
          <w:tcPr>
            <w:tcW w:w="820" w:type="dxa"/>
            <w:tcBorders>
              <w:top w:val="nil"/>
              <w:left w:val="nil"/>
              <w:bottom w:val="nil"/>
              <w:right w:val="nil"/>
            </w:tcBorders>
            <w:shd w:val="clear" w:color="auto" w:fill="auto"/>
            <w:noWrap/>
            <w:vAlign w:val="bottom"/>
            <w:hideMark/>
          </w:tcPr>
          <w:p w14:paraId="49DE0899" w14:textId="77777777" w:rsidR="00474DA8" w:rsidRDefault="00474DA8">
            <w:pPr>
              <w:jc w:val="right"/>
              <w:rPr>
                <w:color w:val="000000"/>
                <w:sz w:val="20"/>
                <w:szCs w:val="20"/>
              </w:rPr>
            </w:pPr>
            <w:r>
              <w:rPr>
                <w:color w:val="000000"/>
                <w:sz w:val="20"/>
                <w:szCs w:val="20"/>
              </w:rPr>
              <w:t>0.667</w:t>
            </w:r>
          </w:p>
        </w:tc>
        <w:tc>
          <w:tcPr>
            <w:tcW w:w="820" w:type="dxa"/>
            <w:tcBorders>
              <w:top w:val="nil"/>
              <w:left w:val="nil"/>
              <w:bottom w:val="nil"/>
              <w:right w:val="nil"/>
            </w:tcBorders>
            <w:shd w:val="clear" w:color="auto" w:fill="auto"/>
            <w:noWrap/>
            <w:vAlign w:val="bottom"/>
            <w:hideMark/>
          </w:tcPr>
          <w:p w14:paraId="65FCB078" w14:textId="77777777" w:rsidR="00474DA8" w:rsidRDefault="00474DA8">
            <w:pPr>
              <w:jc w:val="right"/>
              <w:rPr>
                <w:color w:val="000000"/>
                <w:sz w:val="20"/>
                <w:szCs w:val="20"/>
              </w:rPr>
            </w:pPr>
            <w:r>
              <w:rPr>
                <w:color w:val="000000"/>
                <w:sz w:val="20"/>
                <w:szCs w:val="20"/>
              </w:rPr>
              <w:t>0.002</w:t>
            </w:r>
          </w:p>
        </w:tc>
        <w:tc>
          <w:tcPr>
            <w:tcW w:w="833" w:type="dxa"/>
            <w:tcBorders>
              <w:top w:val="nil"/>
              <w:left w:val="nil"/>
              <w:bottom w:val="nil"/>
              <w:right w:val="nil"/>
            </w:tcBorders>
            <w:shd w:val="clear" w:color="auto" w:fill="auto"/>
            <w:noWrap/>
            <w:vAlign w:val="bottom"/>
            <w:hideMark/>
          </w:tcPr>
          <w:p w14:paraId="2A0AD219" w14:textId="77777777" w:rsidR="00474DA8" w:rsidRDefault="00474DA8">
            <w:pPr>
              <w:jc w:val="right"/>
              <w:rPr>
                <w:color w:val="000000"/>
                <w:sz w:val="20"/>
                <w:szCs w:val="20"/>
              </w:rPr>
            </w:pPr>
            <w:r>
              <w:rPr>
                <w:color w:val="000000"/>
                <w:sz w:val="20"/>
                <w:szCs w:val="20"/>
              </w:rPr>
              <w:t>-0.037</w:t>
            </w:r>
          </w:p>
        </w:tc>
        <w:tc>
          <w:tcPr>
            <w:tcW w:w="832" w:type="dxa"/>
            <w:tcBorders>
              <w:top w:val="nil"/>
              <w:left w:val="nil"/>
              <w:bottom w:val="nil"/>
              <w:right w:val="nil"/>
            </w:tcBorders>
            <w:shd w:val="clear" w:color="auto" w:fill="auto"/>
            <w:noWrap/>
            <w:vAlign w:val="bottom"/>
            <w:hideMark/>
          </w:tcPr>
          <w:p w14:paraId="7C2ACF23" w14:textId="77777777" w:rsidR="00474DA8" w:rsidRDefault="00474DA8">
            <w:pPr>
              <w:jc w:val="right"/>
              <w:rPr>
                <w:color w:val="000000"/>
                <w:sz w:val="20"/>
                <w:szCs w:val="20"/>
              </w:rPr>
            </w:pPr>
            <w:r>
              <w:rPr>
                <w:color w:val="000000"/>
                <w:sz w:val="20"/>
                <w:szCs w:val="20"/>
              </w:rPr>
              <w:t>0.462</w:t>
            </w:r>
          </w:p>
        </w:tc>
        <w:tc>
          <w:tcPr>
            <w:tcW w:w="832" w:type="dxa"/>
            <w:tcBorders>
              <w:top w:val="nil"/>
              <w:left w:val="nil"/>
              <w:bottom w:val="nil"/>
              <w:right w:val="nil"/>
            </w:tcBorders>
            <w:shd w:val="clear" w:color="auto" w:fill="auto"/>
            <w:noWrap/>
            <w:vAlign w:val="bottom"/>
            <w:hideMark/>
          </w:tcPr>
          <w:p w14:paraId="11596B8D" w14:textId="77777777" w:rsidR="00474DA8" w:rsidRDefault="00474DA8">
            <w:pPr>
              <w:jc w:val="right"/>
              <w:rPr>
                <w:color w:val="000000"/>
                <w:sz w:val="20"/>
                <w:szCs w:val="20"/>
              </w:rPr>
            </w:pPr>
            <w:r>
              <w:rPr>
                <w:color w:val="000000"/>
                <w:sz w:val="20"/>
                <w:szCs w:val="20"/>
              </w:rPr>
              <w:t>0.001</w:t>
            </w:r>
          </w:p>
        </w:tc>
      </w:tr>
      <w:tr w:rsidR="00474DA8" w14:paraId="40BCE0CF" w14:textId="77777777" w:rsidTr="00474DA8">
        <w:trPr>
          <w:trHeight w:val="320"/>
        </w:trPr>
        <w:tc>
          <w:tcPr>
            <w:tcW w:w="1152" w:type="dxa"/>
            <w:tcBorders>
              <w:top w:val="nil"/>
              <w:left w:val="nil"/>
              <w:bottom w:val="single" w:sz="4" w:space="0" w:color="auto"/>
              <w:right w:val="nil"/>
            </w:tcBorders>
            <w:shd w:val="clear" w:color="auto" w:fill="auto"/>
            <w:noWrap/>
            <w:vAlign w:val="bottom"/>
            <w:hideMark/>
          </w:tcPr>
          <w:p w14:paraId="7623146B" w14:textId="77777777" w:rsidR="00474DA8" w:rsidRDefault="00474DA8">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AD33FBD" w14:textId="77777777" w:rsidR="00474DA8" w:rsidRDefault="00474DA8">
            <w:pPr>
              <w:rPr>
                <w:color w:val="000000"/>
                <w:sz w:val="20"/>
                <w:szCs w:val="20"/>
              </w:rPr>
            </w:pPr>
            <w:r>
              <w:rPr>
                <w:color w:val="000000"/>
                <w:sz w:val="20"/>
                <w:szCs w:val="20"/>
              </w:rPr>
              <w:t>Visual Association</w:t>
            </w:r>
          </w:p>
        </w:tc>
        <w:tc>
          <w:tcPr>
            <w:tcW w:w="820" w:type="dxa"/>
            <w:tcBorders>
              <w:top w:val="nil"/>
              <w:left w:val="nil"/>
              <w:bottom w:val="single" w:sz="4" w:space="0" w:color="auto"/>
              <w:right w:val="nil"/>
            </w:tcBorders>
            <w:shd w:val="clear" w:color="auto" w:fill="auto"/>
            <w:noWrap/>
            <w:vAlign w:val="bottom"/>
            <w:hideMark/>
          </w:tcPr>
          <w:p w14:paraId="5540FAAB" w14:textId="77777777" w:rsidR="00474DA8" w:rsidRDefault="00474DA8">
            <w:pPr>
              <w:jc w:val="right"/>
              <w:rPr>
                <w:color w:val="000000"/>
                <w:sz w:val="20"/>
                <w:szCs w:val="20"/>
              </w:rPr>
            </w:pPr>
            <w:r>
              <w:rPr>
                <w:color w:val="000000"/>
                <w:sz w:val="20"/>
                <w:szCs w:val="20"/>
              </w:rPr>
              <w:t>-0.012</w:t>
            </w:r>
          </w:p>
        </w:tc>
        <w:tc>
          <w:tcPr>
            <w:tcW w:w="820" w:type="dxa"/>
            <w:tcBorders>
              <w:top w:val="nil"/>
              <w:left w:val="nil"/>
              <w:bottom w:val="single" w:sz="4" w:space="0" w:color="auto"/>
              <w:right w:val="nil"/>
            </w:tcBorders>
            <w:shd w:val="clear" w:color="auto" w:fill="auto"/>
            <w:noWrap/>
            <w:vAlign w:val="bottom"/>
            <w:hideMark/>
          </w:tcPr>
          <w:p w14:paraId="38DD5720" w14:textId="77777777" w:rsidR="00474DA8" w:rsidRDefault="00474DA8">
            <w:pPr>
              <w:jc w:val="right"/>
              <w:rPr>
                <w:color w:val="000000"/>
                <w:sz w:val="20"/>
                <w:szCs w:val="20"/>
              </w:rPr>
            </w:pPr>
            <w:r>
              <w:rPr>
                <w:color w:val="000000"/>
                <w:sz w:val="20"/>
                <w:szCs w:val="20"/>
              </w:rPr>
              <w:t>0.828</w:t>
            </w:r>
          </w:p>
        </w:tc>
        <w:tc>
          <w:tcPr>
            <w:tcW w:w="820" w:type="dxa"/>
            <w:tcBorders>
              <w:top w:val="nil"/>
              <w:left w:val="nil"/>
              <w:bottom w:val="single" w:sz="4" w:space="0" w:color="auto"/>
              <w:right w:val="nil"/>
            </w:tcBorders>
            <w:shd w:val="clear" w:color="auto" w:fill="auto"/>
            <w:noWrap/>
            <w:vAlign w:val="bottom"/>
            <w:hideMark/>
          </w:tcPr>
          <w:p w14:paraId="1E643AC6"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single" w:sz="4" w:space="0" w:color="auto"/>
              <w:right w:val="nil"/>
            </w:tcBorders>
            <w:shd w:val="clear" w:color="auto" w:fill="auto"/>
            <w:noWrap/>
            <w:vAlign w:val="bottom"/>
            <w:hideMark/>
          </w:tcPr>
          <w:p w14:paraId="062F70BC" w14:textId="77777777" w:rsidR="00474DA8" w:rsidRDefault="00474DA8">
            <w:pPr>
              <w:jc w:val="right"/>
              <w:rPr>
                <w:color w:val="000000"/>
                <w:sz w:val="20"/>
                <w:szCs w:val="20"/>
              </w:rPr>
            </w:pPr>
            <w:r>
              <w:rPr>
                <w:color w:val="000000"/>
                <w:sz w:val="20"/>
                <w:szCs w:val="20"/>
              </w:rPr>
              <w:t>0.053</w:t>
            </w:r>
          </w:p>
        </w:tc>
        <w:tc>
          <w:tcPr>
            <w:tcW w:w="832" w:type="dxa"/>
            <w:tcBorders>
              <w:top w:val="nil"/>
              <w:left w:val="nil"/>
              <w:bottom w:val="single" w:sz="4" w:space="0" w:color="auto"/>
              <w:right w:val="nil"/>
            </w:tcBorders>
            <w:shd w:val="clear" w:color="auto" w:fill="auto"/>
            <w:noWrap/>
            <w:vAlign w:val="bottom"/>
            <w:hideMark/>
          </w:tcPr>
          <w:p w14:paraId="6504959D" w14:textId="77777777" w:rsidR="00474DA8" w:rsidRDefault="00474DA8">
            <w:pPr>
              <w:jc w:val="right"/>
              <w:rPr>
                <w:color w:val="000000"/>
                <w:sz w:val="20"/>
                <w:szCs w:val="20"/>
              </w:rPr>
            </w:pPr>
            <w:r>
              <w:rPr>
                <w:color w:val="000000"/>
                <w:sz w:val="20"/>
                <w:szCs w:val="20"/>
              </w:rPr>
              <w:t>0.462</w:t>
            </w:r>
          </w:p>
        </w:tc>
        <w:tc>
          <w:tcPr>
            <w:tcW w:w="832" w:type="dxa"/>
            <w:tcBorders>
              <w:top w:val="nil"/>
              <w:left w:val="nil"/>
              <w:bottom w:val="single" w:sz="4" w:space="0" w:color="auto"/>
              <w:right w:val="nil"/>
            </w:tcBorders>
            <w:shd w:val="clear" w:color="auto" w:fill="auto"/>
            <w:noWrap/>
            <w:vAlign w:val="bottom"/>
            <w:hideMark/>
          </w:tcPr>
          <w:p w14:paraId="7BECA683" w14:textId="77777777" w:rsidR="00474DA8" w:rsidRDefault="00474DA8">
            <w:pPr>
              <w:jc w:val="right"/>
              <w:rPr>
                <w:color w:val="000000"/>
                <w:sz w:val="20"/>
                <w:szCs w:val="20"/>
              </w:rPr>
            </w:pPr>
            <w:r>
              <w:rPr>
                <w:color w:val="000000"/>
                <w:sz w:val="20"/>
                <w:szCs w:val="20"/>
              </w:rPr>
              <w:t>0.003</w:t>
            </w:r>
          </w:p>
        </w:tc>
      </w:tr>
      <w:tr w:rsidR="00474DA8" w14:paraId="6660F962" w14:textId="77777777" w:rsidTr="00474DA8">
        <w:trPr>
          <w:trHeight w:val="320"/>
        </w:trPr>
        <w:tc>
          <w:tcPr>
            <w:tcW w:w="1152" w:type="dxa"/>
            <w:tcBorders>
              <w:top w:val="nil"/>
              <w:left w:val="nil"/>
              <w:bottom w:val="nil"/>
              <w:right w:val="nil"/>
            </w:tcBorders>
            <w:shd w:val="clear" w:color="auto" w:fill="auto"/>
            <w:noWrap/>
            <w:vAlign w:val="bottom"/>
            <w:hideMark/>
          </w:tcPr>
          <w:p w14:paraId="29092A5C" w14:textId="77777777" w:rsidR="00474DA8" w:rsidRDefault="00474DA8">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5FAAD7FF" w14:textId="77777777" w:rsidR="00474DA8" w:rsidRDefault="00474DA8">
            <w:pPr>
              <w:rPr>
                <w:color w:val="000000"/>
                <w:sz w:val="20"/>
                <w:szCs w:val="20"/>
              </w:rPr>
            </w:pPr>
            <w:r>
              <w:rPr>
                <w:color w:val="000000"/>
                <w:sz w:val="20"/>
                <w:szCs w:val="20"/>
              </w:rPr>
              <w:t>Subcortical Cerebellar</w:t>
            </w:r>
          </w:p>
        </w:tc>
        <w:tc>
          <w:tcPr>
            <w:tcW w:w="820" w:type="dxa"/>
            <w:tcBorders>
              <w:top w:val="nil"/>
              <w:left w:val="nil"/>
              <w:bottom w:val="nil"/>
              <w:right w:val="nil"/>
            </w:tcBorders>
            <w:shd w:val="clear" w:color="auto" w:fill="auto"/>
            <w:noWrap/>
            <w:vAlign w:val="bottom"/>
            <w:hideMark/>
          </w:tcPr>
          <w:p w14:paraId="382D43E7" w14:textId="77777777" w:rsidR="00474DA8" w:rsidRDefault="00474DA8">
            <w:pPr>
              <w:jc w:val="right"/>
              <w:rPr>
                <w:color w:val="000000"/>
                <w:sz w:val="20"/>
                <w:szCs w:val="20"/>
              </w:rPr>
            </w:pPr>
            <w:r>
              <w:rPr>
                <w:color w:val="000000"/>
                <w:sz w:val="20"/>
                <w:szCs w:val="20"/>
              </w:rPr>
              <w:t>-0.026</w:t>
            </w:r>
          </w:p>
        </w:tc>
        <w:tc>
          <w:tcPr>
            <w:tcW w:w="820" w:type="dxa"/>
            <w:tcBorders>
              <w:top w:val="nil"/>
              <w:left w:val="nil"/>
              <w:bottom w:val="nil"/>
              <w:right w:val="nil"/>
            </w:tcBorders>
            <w:shd w:val="clear" w:color="auto" w:fill="auto"/>
            <w:noWrap/>
            <w:vAlign w:val="bottom"/>
            <w:hideMark/>
          </w:tcPr>
          <w:p w14:paraId="3B92CED5" w14:textId="77777777" w:rsidR="00474DA8" w:rsidRDefault="00474DA8">
            <w:pPr>
              <w:jc w:val="right"/>
              <w:rPr>
                <w:color w:val="000000"/>
                <w:sz w:val="20"/>
                <w:szCs w:val="20"/>
              </w:rPr>
            </w:pPr>
            <w:r>
              <w:rPr>
                <w:color w:val="000000"/>
                <w:sz w:val="20"/>
                <w:szCs w:val="20"/>
              </w:rPr>
              <w:t>0.576</w:t>
            </w:r>
          </w:p>
        </w:tc>
        <w:tc>
          <w:tcPr>
            <w:tcW w:w="820" w:type="dxa"/>
            <w:tcBorders>
              <w:top w:val="nil"/>
              <w:left w:val="nil"/>
              <w:bottom w:val="nil"/>
              <w:right w:val="nil"/>
            </w:tcBorders>
            <w:shd w:val="clear" w:color="auto" w:fill="auto"/>
            <w:noWrap/>
            <w:vAlign w:val="bottom"/>
            <w:hideMark/>
          </w:tcPr>
          <w:p w14:paraId="0A159A06" w14:textId="77777777" w:rsidR="00474DA8" w:rsidRDefault="00474DA8">
            <w:pPr>
              <w:jc w:val="right"/>
              <w:rPr>
                <w:color w:val="000000"/>
                <w:sz w:val="20"/>
                <w:szCs w:val="20"/>
              </w:rPr>
            </w:pPr>
            <w:r>
              <w:rPr>
                <w:color w:val="000000"/>
                <w:sz w:val="20"/>
                <w:szCs w:val="20"/>
              </w:rPr>
              <w:t>0.001</w:t>
            </w:r>
          </w:p>
        </w:tc>
        <w:tc>
          <w:tcPr>
            <w:tcW w:w="833" w:type="dxa"/>
            <w:tcBorders>
              <w:top w:val="nil"/>
              <w:left w:val="nil"/>
              <w:bottom w:val="nil"/>
              <w:right w:val="nil"/>
            </w:tcBorders>
            <w:shd w:val="clear" w:color="auto" w:fill="auto"/>
            <w:noWrap/>
            <w:vAlign w:val="bottom"/>
            <w:hideMark/>
          </w:tcPr>
          <w:p w14:paraId="79C28715" w14:textId="77777777" w:rsidR="00474DA8" w:rsidRDefault="00474DA8">
            <w:pPr>
              <w:jc w:val="right"/>
              <w:rPr>
                <w:color w:val="000000"/>
                <w:sz w:val="20"/>
                <w:szCs w:val="20"/>
              </w:rPr>
            </w:pPr>
            <w:r>
              <w:rPr>
                <w:color w:val="000000"/>
                <w:sz w:val="20"/>
                <w:szCs w:val="20"/>
              </w:rPr>
              <w:t>0.018</w:t>
            </w:r>
          </w:p>
        </w:tc>
        <w:tc>
          <w:tcPr>
            <w:tcW w:w="832" w:type="dxa"/>
            <w:tcBorders>
              <w:top w:val="nil"/>
              <w:left w:val="nil"/>
              <w:bottom w:val="nil"/>
              <w:right w:val="nil"/>
            </w:tcBorders>
            <w:shd w:val="clear" w:color="auto" w:fill="auto"/>
            <w:noWrap/>
            <w:vAlign w:val="bottom"/>
            <w:hideMark/>
          </w:tcPr>
          <w:p w14:paraId="36C52598" w14:textId="77777777" w:rsidR="00474DA8" w:rsidRDefault="00474DA8">
            <w:pPr>
              <w:jc w:val="right"/>
              <w:rPr>
                <w:color w:val="000000"/>
                <w:sz w:val="20"/>
                <w:szCs w:val="20"/>
              </w:rPr>
            </w:pPr>
            <w:r>
              <w:rPr>
                <w:color w:val="000000"/>
                <w:sz w:val="20"/>
                <w:szCs w:val="20"/>
              </w:rPr>
              <w:t>0.657</w:t>
            </w:r>
          </w:p>
        </w:tc>
        <w:tc>
          <w:tcPr>
            <w:tcW w:w="832" w:type="dxa"/>
            <w:tcBorders>
              <w:top w:val="nil"/>
              <w:left w:val="nil"/>
              <w:bottom w:val="nil"/>
              <w:right w:val="nil"/>
            </w:tcBorders>
            <w:shd w:val="clear" w:color="auto" w:fill="auto"/>
            <w:noWrap/>
            <w:vAlign w:val="bottom"/>
            <w:hideMark/>
          </w:tcPr>
          <w:p w14:paraId="44400086" w14:textId="77777777" w:rsidR="00474DA8" w:rsidRDefault="00474DA8">
            <w:pPr>
              <w:jc w:val="right"/>
              <w:rPr>
                <w:color w:val="000000"/>
                <w:sz w:val="20"/>
                <w:szCs w:val="20"/>
              </w:rPr>
            </w:pPr>
            <w:r>
              <w:rPr>
                <w:color w:val="000000"/>
                <w:sz w:val="20"/>
                <w:szCs w:val="20"/>
              </w:rPr>
              <w:t>0.000</w:t>
            </w:r>
          </w:p>
        </w:tc>
      </w:tr>
      <w:tr w:rsidR="00474DA8" w14:paraId="311CDDD3" w14:textId="77777777" w:rsidTr="00474DA8">
        <w:trPr>
          <w:trHeight w:val="320"/>
        </w:trPr>
        <w:tc>
          <w:tcPr>
            <w:tcW w:w="1152" w:type="dxa"/>
            <w:tcBorders>
              <w:top w:val="nil"/>
              <w:left w:val="nil"/>
              <w:bottom w:val="nil"/>
              <w:right w:val="nil"/>
            </w:tcBorders>
            <w:shd w:val="clear" w:color="auto" w:fill="auto"/>
            <w:noWrap/>
            <w:vAlign w:val="bottom"/>
            <w:hideMark/>
          </w:tcPr>
          <w:p w14:paraId="314C033D"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C24FE72" w14:textId="77777777" w:rsidR="00474DA8" w:rsidRDefault="00474DA8">
            <w:pPr>
              <w:rPr>
                <w:color w:val="000000"/>
                <w:sz w:val="20"/>
                <w:szCs w:val="20"/>
              </w:rPr>
            </w:pPr>
            <w:r>
              <w:rPr>
                <w:color w:val="000000"/>
                <w:sz w:val="20"/>
                <w:szCs w:val="20"/>
              </w:rPr>
              <w:t xml:space="preserve">Motor </w:t>
            </w:r>
          </w:p>
        </w:tc>
        <w:tc>
          <w:tcPr>
            <w:tcW w:w="820" w:type="dxa"/>
            <w:tcBorders>
              <w:top w:val="nil"/>
              <w:left w:val="nil"/>
              <w:bottom w:val="nil"/>
              <w:right w:val="nil"/>
            </w:tcBorders>
            <w:shd w:val="clear" w:color="auto" w:fill="auto"/>
            <w:noWrap/>
            <w:vAlign w:val="bottom"/>
            <w:hideMark/>
          </w:tcPr>
          <w:p w14:paraId="42423999" w14:textId="77777777" w:rsidR="00474DA8" w:rsidRDefault="00474DA8">
            <w:pPr>
              <w:jc w:val="right"/>
              <w:rPr>
                <w:color w:val="000000"/>
                <w:sz w:val="20"/>
                <w:szCs w:val="20"/>
              </w:rPr>
            </w:pPr>
            <w:r>
              <w:rPr>
                <w:color w:val="000000"/>
                <w:sz w:val="20"/>
                <w:szCs w:val="20"/>
              </w:rPr>
              <w:t>0.020</w:t>
            </w:r>
          </w:p>
        </w:tc>
        <w:tc>
          <w:tcPr>
            <w:tcW w:w="820" w:type="dxa"/>
            <w:tcBorders>
              <w:top w:val="nil"/>
              <w:left w:val="nil"/>
              <w:bottom w:val="nil"/>
              <w:right w:val="nil"/>
            </w:tcBorders>
            <w:shd w:val="clear" w:color="auto" w:fill="auto"/>
            <w:noWrap/>
            <w:vAlign w:val="bottom"/>
            <w:hideMark/>
          </w:tcPr>
          <w:p w14:paraId="01A888CA" w14:textId="77777777" w:rsidR="00474DA8" w:rsidRDefault="00474DA8">
            <w:pPr>
              <w:jc w:val="right"/>
              <w:rPr>
                <w:color w:val="000000"/>
                <w:sz w:val="20"/>
                <w:szCs w:val="20"/>
              </w:rPr>
            </w:pPr>
            <w:r>
              <w:rPr>
                <w:color w:val="000000"/>
                <w:sz w:val="20"/>
                <w:szCs w:val="20"/>
              </w:rPr>
              <w:t>0.654</w:t>
            </w:r>
          </w:p>
        </w:tc>
        <w:tc>
          <w:tcPr>
            <w:tcW w:w="820" w:type="dxa"/>
            <w:tcBorders>
              <w:top w:val="nil"/>
              <w:left w:val="nil"/>
              <w:bottom w:val="nil"/>
              <w:right w:val="nil"/>
            </w:tcBorders>
            <w:shd w:val="clear" w:color="auto" w:fill="auto"/>
            <w:noWrap/>
            <w:vAlign w:val="bottom"/>
            <w:hideMark/>
          </w:tcPr>
          <w:p w14:paraId="39945791"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0AF039A3" w14:textId="77777777" w:rsidR="00474DA8" w:rsidRDefault="00474DA8">
            <w:pPr>
              <w:jc w:val="right"/>
              <w:rPr>
                <w:color w:val="000000"/>
                <w:sz w:val="20"/>
                <w:szCs w:val="20"/>
              </w:rPr>
            </w:pPr>
            <w:r>
              <w:rPr>
                <w:color w:val="000000"/>
                <w:sz w:val="20"/>
                <w:szCs w:val="20"/>
              </w:rPr>
              <w:t>0.020</w:t>
            </w:r>
          </w:p>
        </w:tc>
        <w:tc>
          <w:tcPr>
            <w:tcW w:w="832" w:type="dxa"/>
            <w:tcBorders>
              <w:top w:val="nil"/>
              <w:left w:val="nil"/>
              <w:bottom w:val="nil"/>
              <w:right w:val="nil"/>
            </w:tcBorders>
            <w:shd w:val="clear" w:color="auto" w:fill="auto"/>
            <w:noWrap/>
            <w:vAlign w:val="bottom"/>
            <w:hideMark/>
          </w:tcPr>
          <w:p w14:paraId="3CDFC6A1" w14:textId="77777777" w:rsidR="00474DA8" w:rsidRDefault="00474DA8">
            <w:pPr>
              <w:jc w:val="right"/>
              <w:rPr>
                <w:color w:val="000000"/>
                <w:sz w:val="20"/>
                <w:szCs w:val="20"/>
              </w:rPr>
            </w:pPr>
            <w:r>
              <w:rPr>
                <w:color w:val="000000"/>
                <w:sz w:val="20"/>
                <w:szCs w:val="20"/>
              </w:rPr>
              <w:t>0.657</w:t>
            </w:r>
          </w:p>
        </w:tc>
        <w:tc>
          <w:tcPr>
            <w:tcW w:w="832" w:type="dxa"/>
            <w:tcBorders>
              <w:top w:val="nil"/>
              <w:left w:val="nil"/>
              <w:bottom w:val="nil"/>
              <w:right w:val="nil"/>
            </w:tcBorders>
            <w:shd w:val="clear" w:color="auto" w:fill="auto"/>
            <w:noWrap/>
            <w:vAlign w:val="bottom"/>
            <w:hideMark/>
          </w:tcPr>
          <w:p w14:paraId="6FD3F2F7" w14:textId="77777777" w:rsidR="00474DA8" w:rsidRDefault="00474DA8">
            <w:pPr>
              <w:jc w:val="right"/>
              <w:rPr>
                <w:color w:val="000000"/>
                <w:sz w:val="20"/>
                <w:szCs w:val="20"/>
              </w:rPr>
            </w:pPr>
            <w:r>
              <w:rPr>
                <w:color w:val="000000"/>
                <w:sz w:val="20"/>
                <w:szCs w:val="20"/>
              </w:rPr>
              <w:t>0.000</w:t>
            </w:r>
          </w:p>
        </w:tc>
      </w:tr>
      <w:tr w:rsidR="00474DA8" w14:paraId="1C70B02B" w14:textId="77777777" w:rsidTr="00474DA8">
        <w:trPr>
          <w:trHeight w:val="320"/>
        </w:trPr>
        <w:tc>
          <w:tcPr>
            <w:tcW w:w="1152" w:type="dxa"/>
            <w:tcBorders>
              <w:top w:val="nil"/>
              <w:left w:val="nil"/>
              <w:bottom w:val="nil"/>
              <w:right w:val="nil"/>
            </w:tcBorders>
            <w:shd w:val="clear" w:color="auto" w:fill="auto"/>
            <w:noWrap/>
            <w:vAlign w:val="bottom"/>
            <w:hideMark/>
          </w:tcPr>
          <w:p w14:paraId="3B76B74D"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462E208" w14:textId="77777777" w:rsidR="00474DA8" w:rsidRDefault="00474DA8">
            <w:pPr>
              <w:rPr>
                <w:color w:val="000000"/>
                <w:sz w:val="20"/>
                <w:szCs w:val="20"/>
              </w:rPr>
            </w:pPr>
            <w:r>
              <w:rPr>
                <w:color w:val="000000"/>
                <w:sz w:val="20"/>
                <w:szCs w:val="20"/>
              </w:rPr>
              <w:t>Medial Frontal</w:t>
            </w:r>
          </w:p>
        </w:tc>
        <w:tc>
          <w:tcPr>
            <w:tcW w:w="820" w:type="dxa"/>
            <w:tcBorders>
              <w:top w:val="nil"/>
              <w:left w:val="nil"/>
              <w:bottom w:val="nil"/>
              <w:right w:val="nil"/>
            </w:tcBorders>
            <w:shd w:val="clear" w:color="auto" w:fill="auto"/>
            <w:noWrap/>
            <w:vAlign w:val="bottom"/>
            <w:hideMark/>
          </w:tcPr>
          <w:p w14:paraId="70863DAC" w14:textId="77777777" w:rsidR="00474DA8" w:rsidRDefault="00474DA8">
            <w:pPr>
              <w:jc w:val="right"/>
              <w:rPr>
                <w:color w:val="000000"/>
                <w:sz w:val="20"/>
                <w:szCs w:val="20"/>
              </w:rPr>
            </w:pPr>
            <w:r>
              <w:rPr>
                <w:color w:val="000000"/>
                <w:sz w:val="20"/>
                <w:szCs w:val="20"/>
              </w:rPr>
              <w:t>-0.097</w:t>
            </w:r>
          </w:p>
        </w:tc>
        <w:tc>
          <w:tcPr>
            <w:tcW w:w="820" w:type="dxa"/>
            <w:tcBorders>
              <w:top w:val="nil"/>
              <w:left w:val="nil"/>
              <w:bottom w:val="nil"/>
              <w:right w:val="nil"/>
            </w:tcBorders>
            <w:shd w:val="clear" w:color="auto" w:fill="auto"/>
            <w:noWrap/>
            <w:vAlign w:val="bottom"/>
            <w:hideMark/>
          </w:tcPr>
          <w:p w14:paraId="68F8D77C" w14:textId="77777777" w:rsidR="00474DA8" w:rsidRDefault="00474DA8">
            <w:pPr>
              <w:jc w:val="right"/>
              <w:rPr>
                <w:color w:val="000000"/>
                <w:sz w:val="20"/>
                <w:szCs w:val="20"/>
              </w:rPr>
            </w:pPr>
            <w:r>
              <w:rPr>
                <w:color w:val="000000"/>
                <w:sz w:val="20"/>
                <w:szCs w:val="20"/>
              </w:rPr>
              <w:t>0.176</w:t>
            </w:r>
          </w:p>
        </w:tc>
        <w:tc>
          <w:tcPr>
            <w:tcW w:w="820" w:type="dxa"/>
            <w:tcBorders>
              <w:top w:val="nil"/>
              <w:left w:val="nil"/>
              <w:bottom w:val="nil"/>
              <w:right w:val="nil"/>
            </w:tcBorders>
            <w:shd w:val="clear" w:color="auto" w:fill="auto"/>
            <w:noWrap/>
            <w:vAlign w:val="bottom"/>
            <w:hideMark/>
          </w:tcPr>
          <w:p w14:paraId="2D6F8E62" w14:textId="77777777" w:rsidR="00474DA8" w:rsidRDefault="00474DA8">
            <w:pPr>
              <w:jc w:val="right"/>
              <w:rPr>
                <w:color w:val="000000"/>
                <w:sz w:val="20"/>
                <w:szCs w:val="20"/>
              </w:rPr>
            </w:pPr>
            <w:r>
              <w:rPr>
                <w:color w:val="000000"/>
                <w:sz w:val="20"/>
                <w:szCs w:val="20"/>
              </w:rPr>
              <w:t>0.009</w:t>
            </w:r>
          </w:p>
        </w:tc>
        <w:tc>
          <w:tcPr>
            <w:tcW w:w="833" w:type="dxa"/>
            <w:tcBorders>
              <w:top w:val="nil"/>
              <w:left w:val="nil"/>
              <w:bottom w:val="nil"/>
              <w:right w:val="nil"/>
            </w:tcBorders>
            <w:shd w:val="clear" w:color="auto" w:fill="auto"/>
            <w:noWrap/>
            <w:vAlign w:val="bottom"/>
            <w:hideMark/>
          </w:tcPr>
          <w:p w14:paraId="2BB61361" w14:textId="77777777" w:rsidR="00474DA8" w:rsidRDefault="00474DA8">
            <w:pPr>
              <w:jc w:val="right"/>
              <w:rPr>
                <w:color w:val="000000"/>
                <w:sz w:val="20"/>
                <w:szCs w:val="20"/>
              </w:rPr>
            </w:pPr>
            <w:r>
              <w:rPr>
                <w:color w:val="000000"/>
                <w:sz w:val="20"/>
                <w:szCs w:val="20"/>
              </w:rPr>
              <w:t>0.083</w:t>
            </w:r>
          </w:p>
        </w:tc>
        <w:tc>
          <w:tcPr>
            <w:tcW w:w="832" w:type="dxa"/>
            <w:tcBorders>
              <w:top w:val="nil"/>
              <w:left w:val="nil"/>
              <w:bottom w:val="nil"/>
              <w:right w:val="nil"/>
            </w:tcBorders>
            <w:shd w:val="clear" w:color="auto" w:fill="auto"/>
            <w:noWrap/>
            <w:vAlign w:val="bottom"/>
            <w:hideMark/>
          </w:tcPr>
          <w:p w14:paraId="0312388C" w14:textId="77777777" w:rsidR="00474DA8" w:rsidRDefault="00474DA8">
            <w:pPr>
              <w:jc w:val="right"/>
              <w:rPr>
                <w:color w:val="000000"/>
                <w:sz w:val="20"/>
                <w:szCs w:val="20"/>
              </w:rPr>
            </w:pPr>
            <w:r>
              <w:rPr>
                <w:color w:val="000000"/>
                <w:sz w:val="20"/>
                <w:szCs w:val="20"/>
              </w:rPr>
              <w:t>0.576</w:t>
            </w:r>
          </w:p>
        </w:tc>
        <w:tc>
          <w:tcPr>
            <w:tcW w:w="832" w:type="dxa"/>
            <w:tcBorders>
              <w:top w:val="nil"/>
              <w:left w:val="nil"/>
              <w:bottom w:val="nil"/>
              <w:right w:val="nil"/>
            </w:tcBorders>
            <w:shd w:val="clear" w:color="auto" w:fill="auto"/>
            <w:noWrap/>
            <w:vAlign w:val="bottom"/>
            <w:hideMark/>
          </w:tcPr>
          <w:p w14:paraId="6D101133" w14:textId="77777777" w:rsidR="00474DA8" w:rsidRDefault="00474DA8">
            <w:pPr>
              <w:jc w:val="right"/>
              <w:rPr>
                <w:color w:val="000000"/>
                <w:sz w:val="20"/>
                <w:szCs w:val="20"/>
              </w:rPr>
            </w:pPr>
            <w:r>
              <w:rPr>
                <w:color w:val="000000"/>
                <w:sz w:val="20"/>
                <w:szCs w:val="20"/>
              </w:rPr>
              <w:t>0.007</w:t>
            </w:r>
          </w:p>
        </w:tc>
      </w:tr>
      <w:tr w:rsidR="00474DA8" w14:paraId="76C683EE" w14:textId="77777777" w:rsidTr="00474DA8">
        <w:trPr>
          <w:trHeight w:val="320"/>
        </w:trPr>
        <w:tc>
          <w:tcPr>
            <w:tcW w:w="1152" w:type="dxa"/>
            <w:tcBorders>
              <w:top w:val="nil"/>
              <w:left w:val="nil"/>
              <w:bottom w:val="nil"/>
              <w:right w:val="nil"/>
            </w:tcBorders>
            <w:shd w:val="clear" w:color="auto" w:fill="auto"/>
            <w:noWrap/>
            <w:vAlign w:val="bottom"/>
            <w:hideMark/>
          </w:tcPr>
          <w:p w14:paraId="2A23158C"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EFE70FB" w14:textId="77777777" w:rsidR="00474DA8" w:rsidRDefault="00474DA8">
            <w:pPr>
              <w:rPr>
                <w:color w:val="000000"/>
                <w:sz w:val="20"/>
                <w:szCs w:val="20"/>
              </w:rPr>
            </w:pPr>
            <w:r>
              <w:rPr>
                <w:color w:val="000000"/>
                <w:sz w:val="20"/>
                <w:szCs w:val="20"/>
              </w:rPr>
              <w:t>Frontoparietal</w:t>
            </w:r>
          </w:p>
        </w:tc>
        <w:tc>
          <w:tcPr>
            <w:tcW w:w="820" w:type="dxa"/>
            <w:tcBorders>
              <w:top w:val="nil"/>
              <w:left w:val="nil"/>
              <w:bottom w:val="nil"/>
              <w:right w:val="nil"/>
            </w:tcBorders>
            <w:shd w:val="clear" w:color="auto" w:fill="auto"/>
            <w:noWrap/>
            <w:vAlign w:val="bottom"/>
            <w:hideMark/>
          </w:tcPr>
          <w:p w14:paraId="22410DD9" w14:textId="77777777" w:rsidR="00474DA8" w:rsidRDefault="00474DA8">
            <w:pPr>
              <w:jc w:val="right"/>
              <w:rPr>
                <w:color w:val="000000"/>
                <w:sz w:val="20"/>
                <w:szCs w:val="20"/>
              </w:rPr>
            </w:pPr>
            <w:r>
              <w:rPr>
                <w:color w:val="000000"/>
                <w:sz w:val="20"/>
                <w:szCs w:val="20"/>
              </w:rPr>
              <w:t>-0.058</w:t>
            </w:r>
          </w:p>
        </w:tc>
        <w:tc>
          <w:tcPr>
            <w:tcW w:w="820" w:type="dxa"/>
            <w:tcBorders>
              <w:top w:val="nil"/>
              <w:left w:val="nil"/>
              <w:bottom w:val="nil"/>
              <w:right w:val="nil"/>
            </w:tcBorders>
            <w:shd w:val="clear" w:color="auto" w:fill="auto"/>
            <w:noWrap/>
            <w:vAlign w:val="bottom"/>
            <w:hideMark/>
          </w:tcPr>
          <w:p w14:paraId="34BD0E4E" w14:textId="77777777" w:rsidR="00474DA8" w:rsidRDefault="00474DA8">
            <w:pPr>
              <w:jc w:val="right"/>
              <w:rPr>
                <w:color w:val="000000"/>
                <w:sz w:val="20"/>
                <w:szCs w:val="20"/>
              </w:rPr>
            </w:pPr>
            <w:r>
              <w:rPr>
                <w:color w:val="000000"/>
                <w:sz w:val="20"/>
                <w:szCs w:val="20"/>
              </w:rPr>
              <w:t>0.320</w:t>
            </w:r>
          </w:p>
        </w:tc>
        <w:tc>
          <w:tcPr>
            <w:tcW w:w="820" w:type="dxa"/>
            <w:tcBorders>
              <w:top w:val="nil"/>
              <w:left w:val="nil"/>
              <w:bottom w:val="nil"/>
              <w:right w:val="nil"/>
            </w:tcBorders>
            <w:shd w:val="clear" w:color="auto" w:fill="auto"/>
            <w:noWrap/>
            <w:vAlign w:val="bottom"/>
            <w:hideMark/>
          </w:tcPr>
          <w:p w14:paraId="53DAA352" w14:textId="77777777" w:rsidR="00474DA8" w:rsidRDefault="00474DA8">
            <w:pPr>
              <w:jc w:val="right"/>
              <w:rPr>
                <w:color w:val="000000"/>
                <w:sz w:val="20"/>
                <w:szCs w:val="20"/>
              </w:rPr>
            </w:pPr>
            <w:r>
              <w:rPr>
                <w:color w:val="000000"/>
                <w:sz w:val="20"/>
                <w:szCs w:val="20"/>
              </w:rPr>
              <w:t>0.003</w:t>
            </w:r>
          </w:p>
        </w:tc>
        <w:tc>
          <w:tcPr>
            <w:tcW w:w="833" w:type="dxa"/>
            <w:tcBorders>
              <w:top w:val="nil"/>
              <w:left w:val="nil"/>
              <w:bottom w:val="nil"/>
              <w:right w:val="nil"/>
            </w:tcBorders>
            <w:shd w:val="clear" w:color="auto" w:fill="auto"/>
            <w:noWrap/>
            <w:vAlign w:val="bottom"/>
            <w:hideMark/>
          </w:tcPr>
          <w:p w14:paraId="05B86A97" w14:textId="77777777" w:rsidR="00474DA8" w:rsidRDefault="00474DA8">
            <w:pPr>
              <w:jc w:val="right"/>
              <w:rPr>
                <w:color w:val="000000"/>
                <w:sz w:val="20"/>
                <w:szCs w:val="20"/>
              </w:rPr>
            </w:pPr>
            <w:r>
              <w:rPr>
                <w:color w:val="000000"/>
                <w:sz w:val="20"/>
                <w:szCs w:val="20"/>
              </w:rPr>
              <w:t>-0.008</w:t>
            </w:r>
          </w:p>
        </w:tc>
        <w:tc>
          <w:tcPr>
            <w:tcW w:w="832" w:type="dxa"/>
            <w:tcBorders>
              <w:top w:val="nil"/>
              <w:left w:val="nil"/>
              <w:bottom w:val="nil"/>
              <w:right w:val="nil"/>
            </w:tcBorders>
            <w:shd w:val="clear" w:color="auto" w:fill="auto"/>
            <w:noWrap/>
            <w:vAlign w:val="bottom"/>
            <w:hideMark/>
          </w:tcPr>
          <w:p w14:paraId="0EDDE89E" w14:textId="77777777" w:rsidR="00474DA8" w:rsidRDefault="00474DA8">
            <w:pPr>
              <w:jc w:val="right"/>
              <w:rPr>
                <w:color w:val="000000"/>
                <w:sz w:val="20"/>
                <w:szCs w:val="20"/>
              </w:rPr>
            </w:pPr>
            <w:r>
              <w:rPr>
                <w:color w:val="000000"/>
                <w:sz w:val="20"/>
                <w:szCs w:val="20"/>
              </w:rPr>
              <w:t>0.842</w:t>
            </w:r>
          </w:p>
        </w:tc>
        <w:tc>
          <w:tcPr>
            <w:tcW w:w="832" w:type="dxa"/>
            <w:tcBorders>
              <w:top w:val="nil"/>
              <w:left w:val="nil"/>
              <w:bottom w:val="nil"/>
              <w:right w:val="nil"/>
            </w:tcBorders>
            <w:shd w:val="clear" w:color="auto" w:fill="auto"/>
            <w:noWrap/>
            <w:vAlign w:val="bottom"/>
            <w:hideMark/>
          </w:tcPr>
          <w:p w14:paraId="7231ACFE" w14:textId="77777777" w:rsidR="00474DA8" w:rsidRDefault="00474DA8">
            <w:pPr>
              <w:jc w:val="right"/>
              <w:rPr>
                <w:color w:val="000000"/>
                <w:sz w:val="20"/>
                <w:szCs w:val="20"/>
              </w:rPr>
            </w:pPr>
            <w:r>
              <w:rPr>
                <w:color w:val="000000"/>
                <w:sz w:val="20"/>
                <w:szCs w:val="20"/>
              </w:rPr>
              <w:t>0.000</w:t>
            </w:r>
          </w:p>
        </w:tc>
      </w:tr>
      <w:tr w:rsidR="00474DA8" w14:paraId="0AC2E0D9" w14:textId="77777777" w:rsidTr="00474DA8">
        <w:trPr>
          <w:trHeight w:val="320"/>
        </w:trPr>
        <w:tc>
          <w:tcPr>
            <w:tcW w:w="1152" w:type="dxa"/>
            <w:tcBorders>
              <w:top w:val="nil"/>
              <w:left w:val="nil"/>
              <w:bottom w:val="nil"/>
              <w:right w:val="nil"/>
            </w:tcBorders>
            <w:shd w:val="clear" w:color="auto" w:fill="auto"/>
            <w:noWrap/>
            <w:vAlign w:val="bottom"/>
            <w:hideMark/>
          </w:tcPr>
          <w:p w14:paraId="38C044D0"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31CA313" w14:textId="77777777" w:rsidR="00474DA8" w:rsidRDefault="00474DA8">
            <w:pPr>
              <w:rPr>
                <w:color w:val="000000"/>
                <w:sz w:val="20"/>
                <w:szCs w:val="20"/>
              </w:rPr>
            </w:pPr>
            <w:r>
              <w:rPr>
                <w:color w:val="000000"/>
                <w:sz w:val="20"/>
                <w:szCs w:val="20"/>
              </w:rPr>
              <w:t>Default Mode</w:t>
            </w:r>
          </w:p>
        </w:tc>
        <w:tc>
          <w:tcPr>
            <w:tcW w:w="820" w:type="dxa"/>
            <w:tcBorders>
              <w:top w:val="nil"/>
              <w:left w:val="nil"/>
              <w:bottom w:val="nil"/>
              <w:right w:val="nil"/>
            </w:tcBorders>
            <w:shd w:val="clear" w:color="auto" w:fill="auto"/>
            <w:noWrap/>
            <w:vAlign w:val="bottom"/>
            <w:hideMark/>
          </w:tcPr>
          <w:p w14:paraId="3CA8DCA1" w14:textId="77777777" w:rsidR="00474DA8" w:rsidRDefault="00474DA8">
            <w:pPr>
              <w:jc w:val="right"/>
              <w:rPr>
                <w:color w:val="000000"/>
                <w:sz w:val="20"/>
                <w:szCs w:val="20"/>
              </w:rPr>
            </w:pPr>
            <w:r>
              <w:rPr>
                <w:color w:val="000000"/>
                <w:sz w:val="20"/>
                <w:szCs w:val="20"/>
              </w:rPr>
              <w:t>0.019</w:t>
            </w:r>
          </w:p>
        </w:tc>
        <w:tc>
          <w:tcPr>
            <w:tcW w:w="820" w:type="dxa"/>
            <w:tcBorders>
              <w:top w:val="nil"/>
              <w:left w:val="nil"/>
              <w:bottom w:val="nil"/>
              <w:right w:val="nil"/>
            </w:tcBorders>
            <w:shd w:val="clear" w:color="auto" w:fill="auto"/>
            <w:noWrap/>
            <w:vAlign w:val="bottom"/>
            <w:hideMark/>
          </w:tcPr>
          <w:p w14:paraId="3524E654" w14:textId="77777777" w:rsidR="00474DA8" w:rsidRDefault="00474DA8">
            <w:pPr>
              <w:jc w:val="right"/>
              <w:rPr>
                <w:color w:val="000000"/>
                <w:sz w:val="20"/>
                <w:szCs w:val="20"/>
              </w:rPr>
            </w:pPr>
            <w:r>
              <w:rPr>
                <w:color w:val="000000"/>
                <w:sz w:val="20"/>
                <w:szCs w:val="20"/>
              </w:rPr>
              <w:t>0.654</w:t>
            </w:r>
          </w:p>
        </w:tc>
        <w:tc>
          <w:tcPr>
            <w:tcW w:w="820" w:type="dxa"/>
            <w:tcBorders>
              <w:top w:val="nil"/>
              <w:left w:val="nil"/>
              <w:bottom w:val="nil"/>
              <w:right w:val="nil"/>
            </w:tcBorders>
            <w:shd w:val="clear" w:color="auto" w:fill="auto"/>
            <w:noWrap/>
            <w:vAlign w:val="bottom"/>
            <w:hideMark/>
          </w:tcPr>
          <w:p w14:paraId="63A4F630"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4A8568D4" w14:textId="77777777" w:rsidR="00474DA8" w:rsidRDefault="00474DA8">
            <w:pPr>
              <w:jc w:val="right"/>
              <w:rPr>
                <w:color w:val="000000"/>
                <w:sz w:val="20"/>
                <w:szCs w:val="20"/>
              </w:rPr>
            </w:pPr>
            <w:r>
              <w:rPr>
                <w:color w:val="000000"/>
                <w:sz w:val="20"/>
                <w:szCs w:val="20"/>
              </w:rPr>
              <w:t>-0.023</w:t>
            </w:r>
          </w:p>
        </w:tc>
        <w:tc>
          <w:tcPr>
            <w:tcW w:w="832" w:type="dxa"/>
            <w:tcBorders>
              <w:top w:val="nil"/>
              <w:left w:val="nil"/>
              <w:bottom w:val="nil"/>
              <w:right w:val="nil"/>
            </w:tcBorders>
            <w:shd w:val="clear" w:color="auto" w:fill="auto"/>
            <w:noWrap/>
            <w:vAlign w:val="bottom"/>
            <w:hideMark/>
          </w:tcPr>
          <w:p w14:paraId="7B135B3D" w14:textId="77777777" w:rsidR="00474DA8" w:rsidRDefault="00474DA8">
            <w:pPr>
              <w:jc w:val="right"/>
              <w:rPr>
                <w:color w:val="000000"/>
                <w:sz w:val="20"/>
                <w:szCs w:val="20"/>
              </w:rPr>
            </w:pPr>
            <w:r>
              <w:rPr>
                <w:color w:val="000000"/>
                <w:sz w:val="20"/>
                <w:szCs w:val="20"/>
              </w:rPr>
              <w:t>0.657</w:t>
            </w:r>
          </w:p>
        </w:tc>
        <w:tc>
          <w:tcPr>
            <w:tcW w:w="832" w:type="dxa"/>
            <w:tcBorders>
              <w:top w:val="nil"/>
              <w:left w:val="nil"/>
              <w:bottom w:val="nil"/>
              <w:right w:val="nil"/>
            </w:tcBorders>
            <w:shd w:val="clear" w:color="auto" w:fill="auto"/>
            <w:noWrap/>
            <w:vAlign w:val="bottom"/>
            <w:hideMark/>
          </w:tcPr>
          <w:p w14:paraId="30A02547" w14:textId="77777777" w:rsidR="00474DA8" w:rsidRDefault="00474DA8">
            <w:pPr>
              <w:jc w:val="right"/>
              <w:rPr>
                <w:color w:val="000000"/>
                <w:sz w:val="20"/>
                <w:szCs w:val="20"/>
              </w:rPr>
            </w:pPr>
            <w:r>
              <w:rPr>
                <w:color w:val="000000"/>
                <w:sz w:val="20"/>
                <w:szCs w:val="20"/>
              </w:rPr>
              <w:t>0.001</w:t>
            </w:r>
          </w:p>
        </w:tc>
      </w:tr>
      <w:tr w:rsidR="00474DA8" w14:paraId="2E8CD275" w14:textId="77777777" w:rsidTr="00474DA8">
        <w:trPr>
          <w:trHeight w:val="320"/>
        </w:trPr>
        <w:tc>
          <w:tcPr>
            <w:tcW w:w="1152" w:type="dxa"/>
            <w:tcBorders>
              <w:top w:val="nil"/>
              <w:left w:val="nil"/>
              <w:bottom w:val="nil"/>
              <w:right w:val="nil"/>
            </w:tcBorders>
            <w:shd w:val="clear" w:color="auto" w:fill="auto"/>
            <w:noWrap/>
            <w:vAlign w:val="bottom"/>
            <w:hideMark/>
          </w:tcPr>
          <w:p w14:paraId="7138A651"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5516830" w14:textId="77777777" w:rsidR="00474DA8" w:rsidRDefault="00474DA8">
            <w:pPr>
              <w:rPr>
                <w:color w:val="000000"/>
                <w:sz w:val="20"/>
                <w:szCs w:val="20"/>
              </w:rPr>
            </w:pPr>
            <w:r>
              <w:rPr>
                <w:color w:val="000000"/>
                <w:sz w:val="20"/>
                <w:szCs w:val="20"/>
              </w:rPr>
              <w:t>Visual 2</w:t>
            </w:r>
          </w:p>
        </w:tc>
        <w:tc>
          <w:tcPr>
            <w:tcW w:w="820" w:type="dxa"/>
            <w:tcBorders>
              <w:top w:val="nil"/>
              <w:left w:val="nil"/>
              <w:bottom w:val="nil"/>
              <w:right w:val="nil"/>
            </w:tcBorders>
            <w:shd w:val="clear" w:color="auto" w:fill="auto"/>
            <w:noWrap/>
            <w:vAlign w:val="bottom"/>
            <w:hideMark/>
          </w:tcPr>
          <w:p w14:paraId="3F16CF88" w14:textId="77777777" w:rsidR="00474DA8" w:rsidRDefault="00474DA8">
            <w:pPr>
              <w:jc w:val="right"/>
              <w:rPr>
                <w:color w:val="000000"/>
                <w:sz w:val="20"/>
                <w:szCs w:val="20"/>
              </w:rPr>
            </w:pPr>
            <w:r>
              <w:rPr>
                <w:color w:val="000000"/>
                <w:sz w:val="20"/>
                <w:szCs w:val="20"/>
              </w:rPr>
              <w:t>-0.050</w:t>
            </w:r>
          </w:p>
        </w:tc>
        <w:tc>
          <w:tcPr>
            <w:tcW w:w="820" w:type="dxa"/>
            <w:tcBorders>
              <w:top w:val="nil"/>
              <w:left w:val="nil"/>
              <w:bottom w:val="nil"/>
              <w:right w:val="nil"/>
            </w:tcBorders>
            <w:shd w:val="clear" w:color="auto" w:fill="auto"/>
            <w:noWrap/>
            <w:vAlign w:val="bottom"/>
            <w:hideMark/>
          </w:tcPr>
          <w:p w14:paraId="692462EE" w14:textId="77777777" w:rsidR="00474DA8" w:rsidRDefault="00474DA8">
            <w:pPr>
              <w:jc w:val="right"/>
              <w:rPr>
                <w:color w:val="000000"/>
                <w:sz w:val="20"/>
                <w:szCs w:val="20"/>
              </w:rPr>
            </w:pPr>
            <w:r>
              <w:rPr>
                <w:color w:val="000000"/>
                <w:sz w:val="20"/>
                <w:szCs w:val="20"/>
              </w:rPr>
              <w:t>0.320</w:t>
            </w:r>
          </w:p>
        </w:tc>
        <w:tc>
          <w:tcPr>
            <w:tcW w:w="820" w:type="dxa"/>
            <w:tcBorders>
              <w:top w:val="nil"/>
              <w:left w:val="nil"/>
              <w:bottom w:val="nil"/>
              <w:right w:val="nil"/>
            </w:tcBorders>
            <w:shd w:val="clear" w:color="auto" w:fill="auto"/>
            <w:noWrap/>
            <w:vAlign w:val="bottom"/>
            <w:hideMark/>
          </w:tcPr>
          <w:p w14:paraId="33F42C16" w14:textId="77777777" w:rsidR="00474DA8" w:rsidRDefault="00474DA8">
            <w:pPr>
              <w:jc w:val="right"/>
              <w:rPr>
                <w:color w:val="000000"/>
                <w:sz w:val="20"/>
                <w:szCs w:val="20"/>
              </w:rPr>
            </w:pPr>
            <w:r>
              <w:rPr>
                <w:color w:val="000000"/>
                <w:sz w:val="20"/>
                <w:szCs w:val="20"/>
              </w:rPr>
              <w:t>0.003</w:t>
            </w:r>
          </w:p>
        </w:tc>
        <w:tc>
          <w:tcPr>
            <w:tcW w:w="833" w:type="dxa"/>
            <w:tcBorders>
              <w:top w:val="nil"/>
              <w:left w:val="nil"/>
              <w:bottom w:val="nil"/>
              <w:right w:val="nil"/>
            </w:tcBorders>
            <w:shd w:val="clear" w:color="auto" w:fill="auto"/>
            <w:noWrap/>
            <w:vAlign w:val="bottom"/>
            <w:hideMark/>
          </w:tcPr>
          <w:p w14:paraId="394C29D9" w14:textId="77777777" w:rsidR="00474DA8" w:rsidRDefault="00474DA8">
            <w:pPr>
              <w:jc w:val="right"/>
              <w:rPr>
                <w:color w:val="000000"/>
                <w:sz w:val="20"/>
                <w:szCs w:val="20"/>
              </w:rPr>
            </w:pPr>
            <w:r>
              <w:rPr>
                <w:color w:val="000000"/>
                <w:sz w:val="20"/>
                <w:szCs w:val="20"/>
              </w:rPr>
              <w:t>-0.030</w:t>
            </w:r>
          </w:p>
        </w:tc>
        <w:tc>
          <w:tcPr>
            <w:tcW w:w="832" w:type="dxa"/>
            <w:tcBorders>
              <w:top w:val="nil"/>
              <w:left w:val="nil"/>
              <w:bottom w:val="nil"/>
              <w:right w:val="nil"/>
            </w:tcBorders>
            <w:shd w:val="clear" w:color="auto" w:fill="auto"/>
            <w:noWrap/>
            <w:vAlign w:val="bottom"/>
            <w:hideMark/>
          </w:tcPr>
          <w:p w14:paraId="39EE4C37" w14:textId="77777777" w:rsidR="00474DA8" w:rsidRDefault="00474DA8">
            <w:pPr>
              <w:jc w:val="right"/>
              <w:rPr>
                <w:color w:val="000000"/>
                <w:sz w:val="20"/>
                <w:szCs w:val="20"/>
              </w:rPr>
            </w:pPr>
            <w:r>
              <w:rPr>
                <w:color w:val="000000"/>
                <w:sz w:val="20"/>
                <w:szCs w:val="20"/>
              </w:rPr>
              <w:t>0.657</w:t>
            </w:r>
          </w:p>
        </w:tc>
        <w:tc>
          <w:tcPr>
            <w:tcW w:w="832" w:type="dxa"/>
            <w:tcBorders>
              <w:top w:val="nil"/>
              <w:left w:val="nil"/>
              <w:bottom w:val="nil"/>
              <w:right w:val="nil"/>
            </w:tcBorders>
            <w:shd w:val="clear" w:color="auto" w:fill="auto"/>
            <w:noWrap/>
            <w:vAlign w:val="bottom"/>
            <w:hideMark/>
          </w:tcPr>
          <w:p w14:paraId="05EEA06B" w14:textId="77777777" w:rsidR="00474DA8" w:rsidRDefault="00474DA8">
            <w:pPr>
              <w:jc w:val="right"/>
              <w:rPr>
                <w:color w:val="000000"/>
                <w:sz w:val="20"/>
                <w:szCs w:val="20"/>
              </w:rPr>
            </w:pPr>
            <w:r>
              <w:rPr>
                <w:color w:val="000000"/>
                <w:sz w:val="20"/>
                <w:szCs w:val="20"/>
              </w:rPr>
              <w:t>0.001</w:t>
            </w:r>
          </w:p>
        </w:tc>
      </w:tr>
      <w:tr w:rsidR="00474DA8" w14:paraId="185965BD" w14:textId="77777777" w:rsidTr="00474DA8">
        <w:trPr>
          <w:trHeight w:val="320"/>
        </w:trPr>
        <w:tc>
          <w:tcPr>
            <w:tcW w:w="1152" w:type="dxa"/>
            <w:tcBorders>
              <w:top w:val="nil"/>
              <w:left w:val="nil"/>
              <w:bottom w:val="nil"/>
              <w:right w:val="nil"/>
            </w:tcBorders>
            <w:shd w:val="clear" w:color="auto" w:fill="auto"/>
            <w:noWrap/>
            <w:vAlign w:val="bottom"/>
            <w:hideMark/>
          </w:tcPr>
          <w:p w14:paraId="6B72A513"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833AA30" w14:textId="77777777" w:rsidR="00474DA8" w:rsidRDefault="00474DA8">
            <w:pPr>
              <w:rPr>
                <w:color w:val="000000"/>
                <w:sz w:val="20"/>
                <w:szCs w:val="20"/>
              </w:rPr>
            </w:pPr>
            <w:r>
              <w:rPr>
                <w:color w:val="000000"/>
                <w:sz w:val="20"/>
                <w:szCs w:val="20"/>
              </w:rPr>
              <w:t>Visual 1</w:t>
            </w:r>
          </w:p>
        </w:tc>
        <w:tc>
          <w:tcPr>
            <w:tcW w:w="820" w:type="dxa"/>
            <w:tcBorders>
              <w:top w:val="nil"/>
              <w:left w:val="nil"/>
              <w:bottom w:val="nil"/>
              <w:right w:val="nil"/>
            </w:tcBorders>
            <w:shd w:val="clear" w:color="auto" w:fill="auto"/>
            <w:noWrap/>
            <w:vAlign w:val="bottom"/>
            <w:hideMark/>
          </w:tcPr>
          <w:p w14:paraId="6114B6A6" w14:textId="77777777" w:rsidR="00474DA8" w:rsidRDefault="00474DA8">
            <w:pPr>
              <w:jc w:val="right"/>
              <w:rPr>
                <w:color w:val="000000"/>
                <w:sz w:val="20"/>
                <w:szCs w:val="20"/>
              </w:rPr>
            </w:pPr>
            <w:r>
              <w:rPr>
                <w:color w:val="000000"/>
                <w:sz w:val="20"/>
                <w:szCs w:val="20"/>
              </w:rPr>
              <w:t>0.034</w:t>
            </w:r>
          </w:p>
        </w:tc>
        <w:tc>
          <w:tcPr>
            <w:tcW w:w="820" w:type="dxa"/>
            <w:tcBorders>
              <w:top w:val="nil"/>
              <w:left w:val="nil"/>
              <w:bottom w:val="nil"/>
              <w:right w:val="nil"/>
            </w:tcBorders>
            <w:shd w:val="clear" w:color="auto" w:fill="auto"/>
            <w:noWrap/>
            <w:vAlign w:val="bottom"/>
            <w:hideMark/>
          </w:tcPr>
          <w:p w14:paraId="72AFD585" w14:textId="77777777" w:rsidR="00474DA8" w:rsidRDefault="00474DA8">
            <w:pPr>
              <w:jc w:val="right"/>
              <w:rPr>
                <w:color w:val="000000"/>
                <w:sz w:val="20"/>
                <w:szCs w:val="20"/>
              </w:rPr>
            </w:pPr>
            <w:r>
              <w:rPr>
                <w:color w:val="000000"/>
                <w:sz w:val="20"/>
                <w:szCs w:val="20"/>
              </w:rPr>
              <w:t>0.576</w:t>
            </w:r>
          </w:p>
        </w:tc>
        <w:tc>
          <w:tcPr>
            <w:tcW w:w="820" w:type="dxa"/>
            <w:tcBorders>
              <w:top w:val="nil"/>
              <w:left w:val="nil"/>
              <w:bottom w:val="nil"/>
              <w:right w:val="nil"/>
            </w:tcBorders>
            <w:shd w:val="clear" w:color="auto" w:fill="auto"/>
            <w:noWrap/>
            <w:vAlign w:val="bottom"/>
            <w:hideMark/>
          </w:tcPr>
          <w:p w14:paraId="5E9F39A3" w14:textId="77777777" w:rsidR="00474DA8" w:rsidRDefault="00474DA8">
            <w:pPr>
              <w:jc w:val="right"/>
              <w:rPr>
                <w:color w:val="000000"/>
                <w:sz w:val="20"/>
                <w:szCs w:val="20"/>
              </w:rPr>
            </w:pPr>
            <w:r>
              <w:rPr>
                <w:color w:val="000000"/>
                <w:sz w:val="20"/>
                <w:szCs w:val="20"/>
              </w:rPr>
              <w:t>0.001</w:t>
            </w:r>
          </w:p>
        </w:tc>
        <w:tc>
          <w:tcPr>
            <w:tcW w:w="833" w:type="dxa"/>
            <w:tcBorders>
              <w:top w:val="nil"/>
              <w:left w:val="nil"/>
              <w:bottom w:val="nil"/>
              <w:right w:val="nil"/>
            </w:tcBorders>
            <w:shd w:val="clear" w:color="auto" w:fill="auto"/>
            <w:noWrap/>
            <w:vAlign w:val="bottom"/>
            <w:hideMark/>
          </w:tcPr>
          <w:p w14:paraId="1D7318D4" w14:textId="77777777" w:rsidR="00474DA8" w:rsidRDefault="00474DA8">
            <w:pPr>
              <w:jc w:val="right"/>
              <w:rPr>
                <w:color w:val="000000"/>
                <w:sz w:val="20"/>
                <w:szCs w:val="20"/>
              </w:rPr>
            </w:pPr>
            <w:r>
              <w:rPr>
                <w:color w:val="000000"/>
                <w:sz w:val="20"/>
                <w:szCs w:val="20"/>
              </w:rPr>
              <w:t>-0.031</w:t>
            </w:r>
          </w:p>
        </w:tc>
        <w:tc>
          <w:tcPr>
            <w:tcW w:w="832" w:type="dxa"/>
            <w:tcBorders>
              <w:top w:val="nil"/>
              <w:left w:val="nil"/>
              <w:bottom w:val="nil"/>
              <w:right w:val="nil"/>
            </w:tcBorders>
            <w:shd w:val="clear" w:color="auto" w:fill="auto"/>
            <w:noWrap/>
            <w:vAlign w:val="bottom"/>
            <w:hideMark/>
          </w:tcPr>
          <w:p w14:paraId="638C4518" w14:textId="77777777" w:rsidR="00474DA8" w:rsidRDefault="00474DA8">
            <w:pPr>
              <w:jc w:val="right"/>
              <w:rPr>
                <w:color w:val="000000"/>
                <w:sz w:val="20"/>
                <w:szCs w:val="20"/>
              </w:rPr>
            </w:pPr>
            <w:r>
              <w:rPr>
                <w:color w:val="000000"/>
                <w:sz w:val="20"/>
                <w:szCs w:val="20"/>
              </w:rPr>
              <w:t>0.657</w:t>
            </w:r>
          </w:p>
        </w:tc>
        <w:tc>
          <w:tcPr>
            <w:tcW w:w="832" w:type="dxa"/>
            <w:tcBorders>
              <w:top w:val="nil"/>
              <w:left w:val="nil"/>
              <w:bottom w:val="nil"/>
              <w:right w:val="nil"/>
            </w:tcBorders>
            <w:shd w:val="clear" w:color="auto" w:fill="auto"/>
            <w:noWrap/>
            <w:vAlign w:val="bottom"/>
            <w:hideMark/>
          </w:tcPr>
          <w:p w14:paraId="17439FE2" w14:textId="77777777" w:rsidR="00474DA8" w:rsidRDefault="00474DA8">
            <w:pPr>
              <w:jc w:val="right"/>
              <w:rPr>
                <w:color w:val="000000"/>
                <w:sz w:val="20"/>
                <w:szCs w:val="20"/>
              </w:rPr>
            </w:pPr>
            <w:r>
              <w:rPr>
                <w:color w:val="000000"/>
                <w:sz w:val="20"/>
                <w:szCs w:val="20"/>
              </w:rPr>
              <w:t>0.001</w:t>
            </w:r>
          </w:p>
        </w:tc>
      </w:tr>
      <w:tr w:rsidR="00474DA8" w14:paraId="34EE69D0" w14:textId="77777777" w:rsidTr="00474DA8">
        <w:trPr>
          <w:trHeight w:val="320"/>
        </w:trPr>
        <w:tc>
          <w:tcPr>
            <w:tcW w:w="1152" w:type="dxa"/>
            <w:tcBorders>
              <w:top w:val="nil"/>
              <w:left w:val="nil"/>
              <w:bottom w:val="single" w:sz="4" w:space="0" w:color="auto"/>
              <w:right w:val="nil"/>
            </w:tcBorders>
            <w:shd w:val="clear" w:color="auto" w:fill="auto"/>
            <w:noWrap/>
            <w:vAlign w:val="bottom"/>
            <w:hideMark/>
          </w:tcPr>
          <w:p w14:paraId="38A0C5D3" w14:textId="77777777" w:rsidR="00474DA8" w:rsidRDefault="00474DA8">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AD1F20B" w14:textId="77777777" w:rsidR="00474DA8" w:rsidRDefault="00474DA8">
            <w:pPr>
              <w:rPr>
                <w:color w:val="000000"/>
                <w:sz w:val="20"/>
                <w:szCs w:val="20"/>
              </w:rPr>
            </w:pPr>
            <w:r>
              <w:rPr>
                <w:color w:val="000000"/>
                <w:sz w:val="20"/>
                <w:szCs w:val="20"/>
              </w:rPr>
              <w:t>Visual Association</w:t>
            </w:r>
          </w:p>
        </w:tc>
        <w:tc>
          <w:tcPr>
            <w:tcW w:w="820" w:type="dxa"/>
            <w:tcBorders>
              <w:top w:val="nil"/>
              <w:left w:val="nil"/>
              <w:bottom w:val="single" w:sz="4" w:space="0" w:color="auto"/>
              <w:right w:val="nil"/>
            </w:tcBorders>
            <w:shd w:val="clear" w:color="auto" w:fill="auto"/>
            <w:noWrap/>
            <w:vAlign w:val="bottom"/>
            <w:hideMark/>
          </w:tcPr>
          <w:p w14:paraId="333F40ED" w14:textId="77777777" w:rsidR="00474DA8" w:rsidRDefault="00474DA8">
            <w:pPr>
              <w:jc w:val="right"/>
              <w:rPr>
                <w:color w:val="000000"/>
                <w:sz w:val="20"/>
                <w:szCs w:val="20"/>
              </w:rPr>
            </w:pPr>
            <w:r>
              <w:rPr>
                <w:color w:val="000000"/>
                <w:sz w:val="20"/>
                <w:szCs w:val="20"/>
              </w:rPr>
              <w:t>-0.014</w:t>
            </w:r>
          </w:p>
        </w:tc>
        <w:tc>
          <w:tcPr>
            <w:tcW w:w="820" w:type="dxa"/>
            <w:tcBorders>
              <w:top w:val="nil"/>
              <w:left w:val="nil"/>
              <w:bottom w:val="single" w:sz="4" w:space="0" w:color="auto"/>
              <w:right w:val="nil"/>
            </w:tcBorders>
            <w:shd w:val="clear" w:color="auto" w:fill="auto"/>
            <w:noWrap/>
            <w:vAlign w:val="bottom"/>
            <w:hideMark/>
          </w:tcPr>
          <w:p w14:paraId="1CAA8F07" w14:textId="77777777" w:rsidR="00474DA8" w:rsidRDefault="00474DA8">
            <w:pPr>
              <w:jc w:val="right"/>
              <w:rPr>
                <w:color w:val="000000"/>
                <w:sz w:val="20"/>
                <w:szCs w:val="20"/>
              </w:rPr>
            </w:pPr>
            <w:r>
              <w:rPr>
                <w:color w:val="000000"/>
                <w:sz w:val="20"/>
                <w:szCs w:val="20"/>
              </w:rPr>
              <w:t>0.722</w:t>
            </w:r>
          </w:p>
        </w:tc>
        <w:tc>
          <w:tcPr>
            <w:tcW w:w="820" w:type="dxa"/>
            <w:tcBorders>
              <w:top w:val="nil"/>
              <w:left w:val="nil"/>
              <w:bottom w:val="single" w:sz="4" w:space="0" w:color="auto"/>
              <w:right w:val="nil"/>
            </w:tcBorders>
            <w:shd w:val="clear" w:color="auto" w:fill="auto"/>
            <w:noWrap/>
            <w:vAlign w:val="bottom"/>
            <w:hideMark/>
          </w:tcPr>
          <w:p w14:paraId="563DCB98"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single" w:sz="4" w:space="0" w:color="auto"/>
              <w:right w:val="nil"/>
            </w:tcBorders>
            <w:shd w:val="clear" w:color="auto" w:fill="auto"/>
            <w:noWrap/>
            <w:vAlign w:val="bottom"/>
            <w:hideMark/>
          </w:tcPr>
          <w:p w14:paraId="1BB86E12" w14:textId="77777777" w:rsidR="00474DA8" w:rsidRDefault="00474DA8">
            <w:pPr>
              <w:jc w:val="right"/>
              <w:rPr>
                <w:color w:val="000000"/>
                <w:sz w:val="20"/>
                <w:szCs w:val="20"/>
              </w:rPr>
            </w:pPr>
            <w:r>
              <w:rPr>
                <w:color w:val="000000"/>
                <w:sz w:val="20"/>
                <w:szCs w:val="20"/>
              </w:rPr>
              <w:t>0.041</w:t>
            </w:r>
          </w:p>
        </w:tc>
        <w:tc>
          <w:tcPr>
            <w:tcW w:w="832" w:type="dxa"/>
            <w:tcBorders>
              <w:top w:val="nil"/>
              <w:left w:val="nil"/>
              <w:bottom w:val="single" w:sz="4" w:space="0" w:color="auto"/>
              <w:right w:val="nil"/>
            </w:tcBorders>
            <w:shd w:val="clear" w:color="auto" w:fill="auto"/>
            <w:noWrap/>
            <w:vAlign w:val="bottom"/>
            <w:hideMark/>
          </w:tcPr>
          <w:p w14:paraId="0D6378F1" w14:textId="77777777" w:rsidR="00474DA8" w:rsidRDefault="00474DA8">
            <w:pPr>
              <w:jc w:val="right"/>
              <w:rPr>
                <w:color w:val="000000"/>
                <w:sz w:val="20"/>
                <w:szCs w:val="20"/>
              </w:rPr>
            </w:pPr>
            <w:r>
              <w:rPr>
                <w:color w:val="000000"/>
                <w:sz w:val="20"/>
                <w:szCs w:val="20"/>
              </w:rPr>
              <w:t>0.657</w:t>
            </w:r>
          </w:p>
        </w:tc>
        <w:tc>
          <w:tcPr>
            <w:tcW w:w="832" w:type="dxa"/>
            <w:tcBorders>
              <w:top w:val="nil"/>
              <w:left w:val="nil"/>
              <w:bottom w:val="single" w:sz="4" w:space="0" w:color="auto"/>
              <w:right w:val="nil"/>
            </w:tcBorders>
            <w:shd w:val="clear" w:color="auto" w:fill="auto"/>
            <w:noWrap/>
            <w:vAlign w:val="bottom"/>
            <w:hideMark/>
          </w:tcPr>
          <w:p w14:paraId="3C236535" w14:textId="77777777" w:rsidR="00474DA8" w:rsidRDefault="00474DA8">
            <w:pPr>
              <w:jc w:val="right"/>
              <w:rPr>
                <w:color w:val="000000"/>
                <w:sz w:val="20"/>
                <w:szCs w:val="20"/>
              </w:rPr>
            </w:pPr>
            <w:r>
              <w:rPr>
                <w:color w:val="000000"/>
                <w:sz w:val="20"/>
                <w:szCs w:val="20"/>
              </w:rPr>
              <w:t>0.002</w:t>
            </w:r>
          </w:p>
        </w:tc>
      </w:tr>
      <w:tr w:rsidR="00474DA8" w14:paraId="14F5F38C" w14:textId="77777777" w:rsidTr="00474DA8">
        <w:trPr>
          <w:trHeight w:val="320"/>
        </w:trPr>
        <w:tc>
          <w:tcPr>
            <w:tcW w:w="1152" w:type="dxa"/>
            <w:tcBorders>
              <w:top w:val="nil"/>
              <w:left w:val="nil"/>
              <w:bottom w:val="nil"/>
              <w:right w:val="nil"/>
            </w:tcBorders>
            <w:shd w:val="clear" w:color="auto" w:fill="auto"/>
            <w:noWrap/>
            <w:vAlign w:val="bottom"/>
            <w:hideMark/>
          </w:tcPr>
          <w:p w14:paraId="395E15F2" w14:textId="77777777" w:rsidR="00474DA8" w:rsidRDefault="00474DA8">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697CC665" w14:textId="77777777" w:rsidR="00474DA8" w:rsidRDefault="00474DA8">
            <w:pPr>
              <w:rPr>
                <w:color w:val="000000"/>
                <w:sz w:val="20"/>
                <w:szCs w:val="20"/>
              </w:rPr>
            </w:pPr>
            <w:r>
              <w:rPr>
                <w:color w:val="000000"/>
                <w:sz w:val="20"/>
                <w:szCs w:val="20"/>
              </w:rPr>
              <w:t>Subcortical Cerebellar</w:t>
            </w:r>
          </w:p>
        </w:tc>
        <w:tc>
          <w:tcPr>
            <w:tcW w:w="820" w:type="dxa"/>
            <w:tcBorders>
              <w:top w:val="nil"/>
              <w:left w:val="nil"/>
              <w:bottom w:val="nil"/>
              <w:right w:val="nil"/>
            </w:tcBorders>
            <w:shd w:val="clear" w:color="auto" w:fill="auto"/>
            <w:noWrap/>
            <w:vAlign w:val="bottom"/>
            <w:hideMark/>
          </w:tcPr>
          <w:p w14:paraId="72D3F697" w14:textId="77777777" w:rsidR="00474DA8" w:rsidRDefault="00474DA8">
            <w:pPr>
              <w:jc w:val="right"/>
              <w:rPr>
                <w:color w:val="000000"/>
                <w:sz w:val="20"/>
                <w:szCs w:val="20"/>
              </w:rPr>
            </w:pPr>
            <w:r>
              <w:rPr>
                <w:color w:val="000000"/>
                <w:sz w:val="20"/>
                <w:szCs w:val="20"/>
              </w:rPr>
              <w:t>0.006</w:t>
            </w:r>
          </w:p>
        </w:tc>
        <w:tc>
          <w:tcPr>
            <w:tcW w:w="820" w:type="dxa"/>
            <w:tcBorders>
              <w:top w:val="nil"/>
              <w:left w:val="nil"/>
              <w:bottom w:val="nil"/>
              <w:right w:val="nil"/>
            </w:tcBorders>
            <w:shd w:val="clear" w:color="auto" w:fill="auto"/>
            <w:noWrap/>
            <w:vAlign w:val="bottom"/>
            <w:hideMark/>
          </w:tcPr>
          <w:p w14:paraId="48A80042" w14:textId="77777777" w:rsidR="00474DA8" w:rsidRDefault="00474DA8">
            <w:pPr>
              <w:jc w:val="right"/>
              <w:rPr>
                <w:color w:val="000000"/>
                <w:sz w:val="20"/>
                <w:szCs w:val="20"/>
              </w:rPr>
            </w:pPr>
            <w:r>
              <w:rPr>
                <w:color w:val="000000"/>
                <w:sz w:val="20"/>
                <w:szCs w:val="20"/>
              </w:rPr>
              <w:t>0.934</w:t>
            </w:r>
          </w:p>
        </w:tc>
        <w:tc>
          <w:tcPr>
            <w:tcW w:w="820" w:type="dxa"/>
            <w:tcBorders>
              <w:top w:val="nil"/>
              <w:left w:val="nil"/>
              <w:bottom w:val="nil"/>
              <w:right w:val="nil"/>
            </w:tcBorders>
            <w:shd w:val="clear" w:color="auto" w:fill="auto"/>
            <w:noWrap/>
            <w:vAlign w:val="bottom"/>
            <w:hideMark/>
          </w:tcPr>
          <w:p w14:paraId="701EB220"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64A460C5" w14:textId="77777777" w:rsidR="00474DA8" w:rsidRDefault="00474DA8">
            <w:pPr>
              <w:jc w:val="right"/>
              <w:rPr>
                <w:color w:val="000000"/>
                <w:sz w:val="20"/>
                <w:szCs w:val="20"/>
              </w:rPr>
            </w:pPr>
            <w:r>
              <w:rPr>
                <w:color w:val="000000"/>
                <w:sz w:val="20"/>
                <w:szCs w:val="20"/>
              </w:rPr>
              <w:t>0.008</w:t>
            </w:r>
          </w:p>
        </w:tc>
        <w:tc>
          <w:tcPr>
            <w:tcW w:w="832" w:type="dxa"/>
            <w:tcBorders>
              <w:top w:val="nil"/>
              <w:left w:val="nil"/>
              <w:bottom w:val="nil"/>
              <w:right w:val="nil"/>
            </w:tcBorders>
            <w:shd w:val="clear" w:color="auto" w:fill="auto"/>
            <w:noWrap/>
            <w:vAlign w:val="bottom"/>
            <w:hideMark/>
          </w:tcPr>
          <w:p w14:paraId="11215C2E" w14:textId="77777777" w:rsidR="00474DA8" w:rsidRDefault="00474DA8">
            <w:pPr>
              <w:jc w:val="right"/>
              <w:rPr>
                <w:color w:val="000000"/>
                <w:sz w:val="20"/>
                <w:szCs w:val="20"/>
              </w:rPr>
            </w:pPr>
            <w:r>
              <w:rPr>
                <w:color w:val="000000"/>
                <w:sz w:val="20"/>
                <w:szCs w:val="20"/>
              </w:rPr>
              <w:t>0.807</w:t>
            </w:r>
          </w:p>
        </w:tc>
        <w:tc>
          <w:tcPr>
            <w:tcW w:w="832" w:type="dxa"/>
            <w:tcBorders>
              <w:top w:val="nil"/>
              <w:left w:val="nil"/>
              <w:bottom w:val="nil"/>
              <w:right w:val="nil"/>
            </w:tcBorders>
            <w:shd w:val="clear" w:color="auto" w:fill="auto"/>
            <w:noWrap/>
            <w:vAlign w:val="bottom"/>
            <w:hideMark/>
          </w:tcPr>
          <w:p w14:paraId="47DA18CB" w14:textId="77777777" w:rsidR="00474DA8" w:rsidRDefault="00474DA8">
            <w:pPr>
              <w:jc w:val="right"/>
              <w:rPr>
                <w:color w:val="000000"/>
                <w:sz w:val="20"/>
                <w:szCs w:val="20"/>
              </w:rPr>
            </w:pPr>
            <w:r>
              <w:rPr>
                <w:color w:val="000000"/>
                <w:sz w:val="20"/>
                <w:szCs w:val="20"/>
              </w:rPr>
              <w:t>0.000</w:t>
            </w:r>
          </w:p>
        </w:tc>
      </w:tr>
      <w:tr w:rsidR="00474DA8" w14:paraId="1DFA78FB" w14:textId="77777777" w:rsidTr="00474DA8">
        <w:trPr>
          <w:trHeight w:val="320"/>
        </w:trPr>
        <w:tc>
          <w:tcPr>
            <w:tcW w:w="1152" w:type="dxa"/>
            <w:tcBorders>
              <w:top w:val="nil"/>
              <w:left w:val="nil"/>
              <w:bottom w:val="nil"/>
              <w:right w:val="nil"/>
            </w:tcBorders>
            <w:shd w:val="clear" w:color="auto" w:fill="auto"/>
            <w:noWrap/>
            <w:vAlign w:val="bottom"/>
            <w:hideMark/>
          </w:tcPr>
          <w:p w14:paraId="3A8D067F"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F3EF84C" w14:textId="77777777" w:rsidR="00474DA8" w:rsidRDefault="00474DA8">
            <w:pPr>
              <w:rPr>
                <w:color w:val="000000"/>
                <w:sz w:val="20"/>
                <w:szCs w:val="20"/>
              </w:rPr>
            </w:pPr>
            <w:r>
              <w:rPr>
                <w:color w:val="000000"/>
                <w:sz w:val="20"/>
                <w:szCs w:val="20"/>
              </w:rPr>
              <w:t xml:space="preserve">Motor </w:t>
            </w:r>
          </w:p>
        </w:tc>
        <w:tc>
          <w:tcPr>
            <w:tcW w:w="820" w:type="dxa"/>
            <w:tcBorders>
              <w:top w:val="nil"/>
              <w:left w:val="nil"/>
              <w:bottom w:val="nil"/>
              <w:right w:val="nil"/>
            </w:tcBorders>
            <w:shd w:val="clear" w:color="auto" w:fill="auto"/>
            <w:noWrap/>
            <w:vAlign w:val="bottom"/>
            <w:hideMark/>
          </w:tcPr>
          <w:p w14:paraId="3DC8645C" w14:textId="77777777" w:rsidR="00474DA8" w:rsidRDefault="00474DA8">
            <w:pPr>
              <w:jc w:val="right"/>
              <w:rPr>
                <w:color w:val="000000"/>
                <w:sz w:val="20"/>
                <w:szCs w:val="20"/>
              </w:rPr>
            </w:pPr>
            <w:r>
              <w:rPr>
                <w:color w:val="000000"/>
                <w:sz w:val="20"/>
                <w:szCs w:val="20"/>
              </w:rPr>
              <w:t>0.007</w:t>
            </w:r>
          </w:p>
        </w:tc>
        <w:tc>
          <w:tcPr>
            <w:tcW w:w="820" w:type="dxa"/>
            <w:tcBorders>
              <w:top w:val="nil"/>
              <w:left w:val="nil"/>
              <w:bottom w:val="nil"/>
              <w:right w:val="nil"/>
            </w:tcBorders>
            <w:shd w:val="clear" w:color="auto" w:fill="auto"/>
            <w:noWrap/>
            <w:vAlign w:val="bottom"/>
            <w:hideMark/>
          </w:tcPr>
          <w:p w14:paraId="4BBEF4B7" w14:textId="77777777" w:rsidR="00474DA8" w:rsidRDefault="00474DA8">
            <w:pPr>
              <w:jc w:val="right"/>
              <w:rPr>
                <w:color w:val="000000"/>
                <w:sz w:val="20"/>
                <w:szCs w:val="20"/>
              </w:rPr>
            </w:pPr>
            <w:r>
              <w:rPr>
                <w:color w:val="000000"/>
                <w:sz w:val="20"/>
                <w:szCs w:val="20"/>
              </w:rPr>
              <w:t>0.934</w:t>
            </w:r>
          </w:p>
        </w:tc>
        <w:tc>
          <w:tcPr>
            <w:tcW w:w="820" w:type="dxa"/>
            <w:tcBorders>
              <w:top w:val="nil"/>
              <w:left w:val="nil"/>
              <w:bottom w:val="nil"/>
              <w:right w:val="nil"/>
            </w:tcBorders>
            <w:shd w:val="clear" w:color="auto" w:fill="auto"/>
            <w:noWrap/>
            <w:vAlign w:val="bottom"/>
            <w:hideMark/>
          </w:tcPr>
          <w:p w14:paraId="77BEDB68"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6FF41732" w14:textId="77777777" w:rsidR="00474DA8" w:rsidRDefault="00474DA8">
            <w:pPr>
              <w:jc w:val="right"/>
              <w:rPr>
                <w:color w:val="000000"/>
                <w:sz w:val="20"/>
                <w:szCs w:val="20"/>
              </w:rPr>
            </w:pPr>
            <w:r>
              <w:rPr>
                <w:color w:val="000000"/>
                <w:sz w:val="20"/>
                <w:szCs w:val="20"/>
              </w:rPr>
              <w:t>0.014</w:t>
            </w:r>
          </w:p>
        </w:tc>
        <w:tc>
          <w:tcPr>
            <w:tcW w:w="832" w:type="dxa"/>
            <w:tcBorders>
              <w:top w:val="nil"/>
              <w:left w:val="nil"/>
              <w:bottom w:val="nil"/>
              <w:right w:val="nil"/>
            </w:tcBorders>
            <w:shd w:val="clear" w:color="auto" w:fill="auto"/>
            <w:noWrap/>
            <w:vAlign w:val="bottom"/>
            <w:hideMark/>
          </w:tcPr>
          <w:p w14:paraId="022AC118" w14:textId="77777777" w:rsidR="00474DA8" w:rsidRDefault="00474DA8">
            <w:pPr>
              <w:jc w:val="right"/>
              <w:rPr>
                <w:color w:val="000000"/>
                <w:sz w:val="20"/>
                <w:szCs w:val="20"/>
              </w:rPr>
            </w:pPr>
            <w:r>
              <w:rPr>
                <w:color w:val="000000"/>
                <w:sz w:val="20"/>
                <w:szCs w:val="20"/>
              </w:rPr>
              <w:t>0.794</w:t>
            </w:r>
          </w:p>
        </w:tc>
        <w:tc>
          <w:tcPr>
            <w:tcW w:w="832" w:type="dxa"/>
            <w:tcBorders>
              <w:top w:val="nil"/>
              <w:left w:val="nil"/>
              <w:bottom w:val="nil"/>
              <w:right w:val="nil"/>
            </w:tcBorders>
            <w:shd w:val="clear" w:color="auto" w:fill="auto"/>
            <w:noWrap/>
            <w:vAlign w:val="bottom"/>
            <w:hideMark/>
          </w:tcPr>
          <w:p w14:paraId="3D3E66CC" w14:textId="77777777" w:rsidR="00474DA8" w:rsidRDefault="00474DA8">
            <w:pPr>
              <w:jc w:val="right"/>
              <w:rPr>
                <w:color w:val="000000"/>
                <w:sz w:val="20"/>
                <w:szCs w:val="20"/>
              </w:rPr>
            </w:pPr>
            <w:r>
              <w:rPr>
                <w:color w:val="000000"/>
                <w:sz w:val="20"/>
                <w:szCs w:val="20"/>
              </w:rPr>
              <w:t>0.000</w:t>
            </w:r>
          </w:p>
        </w:tc>
      </w:tr>
      <w:tr w:rsidR="00474DA8" w14:paraId="436EEA31" w14:textId="77777777" w:rsidTr="00474DA8">
        <w:trPr>
          <w:trHeight w:val="320"/>
        </w:trPr>
        <w:tc>
          <w:tcPr>
            <w:tcW w:w="1152" w:type="dxa"/>
            <w:tcBorders>
              <w:top w:val="nil"/>
              <w:left w:val="nil"/>
              <w:bottom w:val="nil"/>
              <w:right w:val="nil"/>
            </w:tcBorders>
            <w:shd w:val="clear" w:color="auto" w:fill="auto"/>
            <w:noWrap/>
            <w:vAlign w:val="bottom"/>
            <w:hideMark/>
          </w:tcPr>
          <w:p w14:paraId="2CFFE9A3"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0B2CB62" w14:textId="77777777" w:rsidR="00474DA8" w:rsidRDefault="00474DA8">
            <w:pPr>
              <w:rPr>
                <w:color w:val="000000"/>
                <w:sz w:val="20"/>
                <w:szCs w:val="20"/>
              </w:rPr>
            </w:pPr>
            <w:r>
              <w:rPr>
                <w:color w:val="000000"/>
                <w:sz w:val="20"/>
                <w:szCs w:val="20"/>
              </w:rPr>
              <w:t>Medial Frontal</w:t>
            </w:r>
          </w:p>
        </w:tc>
        <w:tc>
          <w:tcPr>
            <w:tcW w:w="820" w:type="dxa"/>
            <w:tcBorders>
              <w:top w:val="nil"/>
              <w:left w:val="nil"/>
              <w:bottom w:val="nil"/>
              <w:right w:val="nil"/>
            </w:tcBorders>
            <w:shd w:val="clear" w:color="auto" w:fill="auto"/>
            <w:noWrap/>
            <w:vAlign w:val="bottom"/>
            <w:hideMark/>
          </w:tcPr>
          <w:p w14:paraId="16315F26" w14:textId="77777777" w:rsidR="00474DA8" w:rsidRDefault="00474DA8">
            <w:pPr>
              <w:jc w:val="right"/>
              <w:rPr>
                <w:color w:val="000000"/>
                <w:sz w:val="20"/>
                <w:szCs w:val="20"/>
              </w:rPr>
            </w:pPr>
            <w:r>
              <w:rPr>
                <w:color w:val="000000"/>
                <w:sz w:val="20"/>
                <w:szCs w:val="20"/>
              </w:rPr>
              <w:t>-0.034</w:t>
            </w:r>
          </w:p>
        </w:tc>
        <w:tc>
          <w:tcPr>
            <w:tcW w:w="820" w:type="dxa"/>
            <w:tcBorders>
              <w:top w:val="nil"/>
              <w:left w:val="nil"/>
              <w:bottom w:val="nil"/>
              <w:right w:val="nil"/>
            </w:tcBorders>
            <w:shd w:val="clear" w:color="auto" w:fill="auto"/>
            <w:noWrap/>
            <w:vAlign w:val="bottom"/>
            <w:hideMark/>
          </w:tcPr>
          <w:p w14:paraId="7F1BE1AF" w14:textId="77777777" w:rsidR="00474DA8" w:rsidRDefault="00474DA8">
            <w:pPr>
              <w:jc w:val="right"/>
              <w:rPr>
                <w:color w:val="000000"/>
                <w:sz w:val="20"/>
                <w:szCs w:val="20"/>
              </w:rPr>
            </w:pPr>
            <w:r>
              <w:rPr>
                <w:color w:val="000000"/>
                <w:sz w:val="20"/>
                <w:szCs w:val="20"/>
              </w:rPr>
              <w:t>0.814</w:t>
            </w:r>
          </w:p>
        </w:tc>
        <w:tc>
          <w:tcPr>
            <w:tcW w:w="820" w:type="dxa"/>
            <w:tcBorders>
              <w:top w:val="nil"/>
              <w:left w:val="nil"/>
              <w:bottom w:val="nil"/>
              <w:right w:val="nil"/>
            </w:tcBorders>
            <w:shd w:val="clear" w:color="auto" w:fill="auto"/>
            <w:noWrap/>
            <w:vAlign w:val="bottom"/>
            <w:hideMark/>
          </w:tcPr>
          <w:p w14:paraId="6BADEF35" w14:textId="77777777" w:rsidR="00474DA8" w:rsidRDefault="00474DA8">
            <w:pPr>
              <w:jc w:val="right"/>
              <w:rPr>
                <w:color w:val="000000"/>
                <w:sz w:val="20"/>
                <w:szCs w:val="20"/>
              </w:rPr>
            </w:pPr>
            <w:r>
              <w:rPr>
                <w:color w:val="000000"/>
                <w:sz w:val="20"/>
                <w:szCs w:val="20"/>
              </w:rPr>
              <w:t>0.001</w:t>
            </w:r>
          </w:p>
        </w:tc>
        <w:tc>
          <w:tcPr>
            <w:tcW w:w="833" w:type="dxa"/>
            <w:tcBorders>
              <w:top w:val="nil"/>
              <w:left w:val="nil"/>
              <w:bottom w:val="nil"/>
              <w:right w:val="nil"/>
            </w:tcBorders>
            <w:shd w:val="clear" w:color="auto" w:fill="auto"/>
            <w:noWrap/>
            <w:vAlign w:val="bottom"/>
            <w:hideMark/>
          </w:tcPr>
          <w:p w14:paraId="0ABEAF2E" w14:textId="77777777" w:rsidR="00474DA8" w:rsidRDefault="00474DA8">
            <w:pPr>
              <w:jc w:val="right"/>
              <w:rPr>
                <w:color w:val="000000"/>
                <w:sz w:val="20"/>
                <w:szCs w:val="20"/>
              </w:rPr>
            </w:pPr>
            <w:r>
              <w:rPr>
                <w:color w:val="000000"/>
                <w:sz w:val="20"/>
                <w:szCs w:val="20"/>
              </w:rPr>
              <w:t>0.014</w:t>
            </w:r>
          </w:p>
        </w:tc>
        <w:tc>
          <w:tcPr>
            <w:tcW w:w="832" w:type="dxa"/>
            <w:tcBorders>
              <w:top w:val="nil"/>
              <w:left w:val="nil"/>
              <w:bottom w:val="nil"/>
              <w:right w:val="nil"/>
            </w:tcBorders>
            <w:shd w:val="clear" w:color="auto" w:fill="auto"/>
            <w:noWrap/>
            <w:vAlign w:val="bottom"/>
            <w:hideMark/>
          </w:tcPr>
          <w:p w14:paraId="505332FB" w14:textId="77777777" w:rsidR="00474DA8" w:rsidRDefault="00474DA8">
            <w:pPr>
              <w:jc w:val="right"/>
              <w:rPr>
                <w:color w:val="000000"/>
                <w:sz w:val="20"/>
                <w:szCs w:val="20"/>
              </w:rPr>
            </w:pPr>
            <w:r>
              <w:rPr>
                <w:color w:val="000000"/>
                <w:sz w:val="20"/>
                <w:szCs w:val="20"/>
              </w:rPr>
              <w:t>0.794</w:t>
            </w:r>
          </w:p>
        </w:tc>
        <w:tc>
          <w:tcPr>
            <w:tcW w:w="832" w:type="dxa"/>
            <w:tcBorders>
              <w:top w:val="nil"/>
              <w:left w:val="nil"/>
              <w:bottom w:val="nil"/>
              <w:right w:val="nil"/>
            </w:tcBorders>
            <w:shd w:val="clear" w:color="auto" w:fill="auto"/>
            <w:noWrap/>
            <w:vAlign w:val="bottom"/>
            <w:hideMark/>
          </w:tcPr>
          <w:p w14:paraId="22D794A9" w14:textId="77777777" w:rsidR="00474DA8" w:rsidRDefault="00474DA8">
            <w:pPr>
              <w:jc w:val="right"/>
              <w:rPr>
                <w:color w:val="000000"/>
                <w:sz w:val="20"/>
                <w:szCs w:val="20"/>
              </w:rPr>
            </w:pPr>
            <w:r>
              <w:rPr>
                <w:color w:val="000000"/>
                <w:sz w:val="20"/>
                <w:szCs w:val="20"/>
              </w:rPr>
              <w:t>0.000</w:t>
            </w:r>
          </w:p>
        </w:tc>
      </w:tr>
      <w:tr w:rsidR="00474DA8" w14:paraId="7664AA48" w14:textId="77777777" w:rsidTr="00474DA8">
        <w:trPr>
          <w:trHeight w:val="320"/>
        </w:trPr>
        <w:tc>
          <w:tcPr>
            <w:tcW w:w="1152" w:type="dxa"/>
            <w:tcBorders>
              <w:top w:val="nil"/>
              <w:left w:val="nil"/>
              <w:bottom w:val="nil"/>
              <w:right w:val="nil"/>
            </w:tcBorders>
            <w:shd w:val="clear" w:color="auto" w:fill="auto"/>
            <w:noWrap/>
            <w:vAlign w:val="bottom"/>
            <w:hideMark/>
          </w:tcPr>
          <w:p w14:paraId="111B28A1"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F25F42" w14:textId="77777777" w:rsidR="00474DA8" w:rsidRDefault="00474DA8">
            <w:pPr>
              <w:rPr>
                <w:color w:val="000000"/>
                <w:sz w:val="20"/>
                <w:szCs w:val="20"/>
              </w:rPr>
            </w:pPr>
            <w:r>
              <w:rPr>
                <w:color w:val="000000"/>
                <w:sz w:val="20"/>
                <w:szCs w:val="20"/>
              </w:rPr>
              <w:t>Frontoparietal</w:t>
            </w:r>
          </w:p>
        </w:tc>
        <w:tc>
          <w:tcPr>
            <w:tcW w:w="820" w:type="dxa"/>
            <w:tcBorders>
              <w:top w:val="nil"/>
              <w:left w:val="nil"/>
              <w:bottom w:val="nil"/>
              <w:right w:val="nil"/>
            </w:tcBorders>
            <w:shd w:val="clear" w:color="auto" w:fill="auto"/>
            <w:noWrap/>
            <w:vAlign w:val="bottom"/>
            <w:hideMark/>
          </w:tcPr>
          <w:p w14:paraId="423D5EB6" w14:textId="77777777" w:rsidR="00474DA8" w:rsidRDefault="00474DA8">
            <w:pPr>
              <w:jc w:val="right"/>
              <w:rPr>
                <w:color w:val="000000"/>
                <w:sz w:val="20"/>
                <w:szCs w:val="20"/>
              </w:rPr>
            </w:pPr>
            <w:r>
              <w:rPr>
                <w:color w:val="000000"/>
                <w:sz w:val="20"/>
                <w:szCs w:val="20"/>
              </w:rPr>
              <w:t>0.013</w:t>
            </w:r>
          </w:p>
        </w:tc>
        <w:tc>
          <w:tcPr>
            <w:tcW w:w="820" w:type="dxa"/>
            <w:tcBorders>
              <w:top w:val="nil"/>
              <w:left w:val="nil"/>
              <w:bottom w:val="nil"/>
              <w:right w:val="nil"/>
            </w:tcBorders>
            <w:shd w:val="clear" w:color="auto" w:fill="auto"/>
            <w:noWrap/>
            <w:vAlign w:val="bottom"/>
            <w:hideMark/>
          </w:tcPr>
          <w:p w14:paraId="47674FFF" w14:textId="77777777" w:rsidR="00474DA8" w:rsidRDefault="00474DA8">
            <w:pPr>
              <w:jc w:val="right"/>
              <w:rPr>
                <w:color w:val="000000"/>
                <w:sz w:val="20"/>
                <w:szCs w:val="20"/>
              </w:rPr>
            </w:pPr>
            <w:r>
              <w:rPr>
                <w:color w:val="000000"/>
                <w:sz w:val="20"/>
                <w:szCs w:val="20"/>
              </w:rPr>
              <w:t>0.934</w:t>
            </w:r>
          </w:p>
        </w:tc>
        <w:tc>
          <w:tcPr>
            <w:tcW w:w="820" w:type="dxa"/>
            <w:tcBorders>
              <w:top w:val="nil"/>
              <w:left w:val="nil"/>
              <w:bottom w:val="nil"/>
              <w:right w:val="nil"/>
            </w:tcBorders>
            <w:shd w:val="clear" w:color="auto" w:fill="auto"/>
            <w:noWrap/>
            <w:vAlign w:val="bottom"/>
            <w:hideMark/>
          </w:tcPr>
          <w:p w14:paraId="6174C858"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5836C896" w14:textId="77777777" w:rsidR="00474DA8" w:rsidRDefault="00474DA8">
            <w:pPr>
              <w:jc w:val="right"/>
              <w:rPr>
                <w:color w:val="000000"/>
                <w:sz w:val="20"/>
                <w:szCs w:val="20"/>
              </w:rPr>
            </w:pPr>
            <w:r>
              <w:rPr>
                <w:color w:val="000000"/>
                <w:sz w:val="20"/>
                <w:szCs w:val="20"/>
              </w:rPr>
              <w:t>-0.030</w:t>
            </w:r>
          </w:p>
        </w:tc>
        <w:tc>
          <w:tcPr>
            <w:tcW w:w="832" w:type="dxa"/>
            <w:tcBorders>
              <w:top w:val="nil"/>
              <w:left w:val="nil"/>
              <w:bottom w:val="nil"/>
              <w:right w:val="nil"/>
            </w:tcBorders>
            <w:shd w:val="clear" w:color="auto" w:fill="auto"/>
            <w:noWrap/>
            <w:vAlign w:val="bottom"/>
            <w:hideMark/>
          </w:tcPr>
          <w:p w14:paraId="48B9FC8E" w14:textId="77777777" w:rsidR="00474DA8" w:rsidRDefault="00474DA8">
            <w:pPr>
              <w:jc w:val="right"/>
              <w:rPr>
                <w:color w:val="000000"/>
                <w:sz w:val="20"/>
                <w:szCs w:val="20"/>
              </w:rPr>
            </w:pPr>
            <w:r>
              <w:rPr>
                <w:color w:val="000000"/>
                <w:sz w:val="20"/>
                <w:szCs w:val="20"/>
              </w:rPr>
              <w:t>0.688</w:t>
            </w:r>
          </w:p>
        </w:tc>
        <w:tc>
          <w:tcPr>
            <w:tcW w:w="832" w:type="dxa"/>
            <w:tcBorders>
              <w:top w:val="nil"/>
              <w:left w:val="nil"/>
              <w:bottom w:val="nil"/>
              <w:right w:val="nil"/>
            </w:tcBorders>
            <w:shd w:val="clear" w:color="auto" w:fill="auto"/>
            <w:noWrap/>
            <w:vAlign w:val="bottom"/>
            <w:hideMark/>
          </w:tcPr>
          <w:p w14:paraId="221ABA2A" w14:textId="77777777" w:rsidR="00474DA8" w:rsidRDefault="00474DA8">
            <w:pPr>
              <w:jc w:val="right"/>
              <w:rPr>
                <w:color w:val="000000"/>
                <w:sz w:val="20"/>
                <w:szCs w:val="20"/>
              </w:rPr>
            </w:pPr>
            <w:r>
              <w:rPr>
                <w:color w:val="000000"/>
                <w:sz w:val="20"/>
                <w:szCs w:val="20"/>
              </w:rPr>
              <w:t>0.001</w:t>
            </w:r>
          </w:p>
        </w:tc>
      </w:tr>
      <w:tr w:rsidR="00474DA8" w14:paraId="63196B40" w14:textId="77777777" w:rsidTr="00474DA8">
        <w:trPr>
          <w:trHeight w:val="320"/>
        </w:trPr>
        <w:tc>
          <w:tcPr>
            <w:tcW w:w="1152" w:type="dxa"/>
            <w:tcBorders>
              <w:top w:val="nil"/>
              <w:left w:val="nil"/>
              <w:bottom w:val="nil"/>
              <w:right w:val="nil"/>
            </w:tcBorders>
            <w:shd w:val="clear" w:color="auto" w:fill="auto"/>
            <w:noWrap/>
            <w:vAlign w:val="bottom"/>
            <w:hideMark/>
          </w:tcPr>
          <w:p w14:paraId="0EE581DF"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5B40947" w14:textId="77777777" w:rsidR="00474DA8" w:rsidRDefault="00474DA8">
            <w:pPr>
              <w:rPr>
                <w:color w:val="000000"/>
                <w:sz w:val="20"/>
                <w:szCs w:val="20"/>
              </w:rPr>
            </w:pPr>
            <w:r>
              <w:rPr>
                <w:color w:val="000000"/>
                <w:sz w:val="20"/>
                <w:szCs w:val="20"/>
              </w:rPr>
              <w:t>Default Mode</w:t>
            </w:r>
          </w:p>
        </w:tc>
        <w:tc>
          <w:tcPr>
            <w:tcW w:w="820" w:type="dxa"/>
            <w:tcBorders>
              <w:top w:val="nil"/>
              <w:left w:val="nil"/>
              <w:bottom w:val="nil"/>
              <w:right w:val="nil"/>
            </w:tcBorders>
            <w:shd w:val="clear" w:color="auto" w:fill="auto"/>
            <w:noWrap/>
            <w:vAlign w:val="bottom"/>
            <w:hideMark/>
          </w:tcPr>
          <w:p w14:paraId="36D4A449" w14:textId="77777777" w:rsidR="00474DA8" w:rsidRDefault="00474DA8">
            <w:pPr>
              <w:jc w:val="right"/>
              <w:rPr>
                <w:color w:val="000000"/>
                <w:sz w:val="20"/>
                <w:szCs w:val="20"/>
              </w:rPr>
            </w:pPr>
            <w:r>
              <w:rPr>
                <w:color w:val="000000"/>
                <w:sz w:val="20"/>
                <w:szCs w:val="20"/>
              </w:rPr>
              <w:t>0.037</w:t>
            </w:r>
          </w:p>
        </w:tc>
        <w:tc>
          <w:tcPr>
            <w:tcW w:w="820" w:type="dxa"/>
            <w:tcBorders>
              <w:top w:val="nil"/>
              <w:left w:val="nil"/>
              <w:bottom w:val="nil"/>
              <w:right w:val="nil"/>
            </w:tcBorders>
            <w:shd w:val="clear" w:color="auto" w:fill="auto"/>
            <w:noWrap/>
            <w:vAlign w:val="bottom"/>
            <w:hideMark/>
          </w:tcPr>
          <w:p w14:paraId="16AF66E7" w14:textId="77777777" w:rsidR="00474DA8" w:rsidRDefault="00474DA8">
            <w:pPr>
              <w:jc w:val="right"/>
              <w:rPr>
                <w:color w:val="000000"/>
                <w:sz w:val="20"/>
                <w:szCs w:val="20"/>
              </w:rPr>
            </w:pPr>
            <w:r>
              <w:rPr>
                <w:color w:val="000000"/>
                <w:sz w:val="20"/>
                <w:szCs w:val="20"/>
              </w:rPr>
              <w:t>0.814</w:t>
            </w:r>
          </w:p>
        </w:tc>
        <w:tc>
          <w:tcPr>
            <w:tcW w:w="820" w:type="dxa"/>
            <w:tcBorders>
              <w:top w:val="nil"/>
              <w:left w:val="nil"/>
              <w:bottom w:val="nil"/>
              <w:right w:val="nil"/>
            </w:tcBorders>
            <w:shd w:val="clear" w:color="auto" w:fill="auto"/>
            <w:noWrap/>
            <w:vAlign w:val="bottom"/>
            <w:hideMark/>
          </w:tcPr>
          <w:p w14:paraId="620B7259" w14:textId="77777777" w:rsidR="00474DA8" w:rsidRDefault="00474DA8">
            <w:pPr>
              <w:jc w:val="right"/>
              <w:rPr>
                <w:color w:val="000000"/>
                <w:sz w:val="20"/>
                <w:szCs w:val="20"/>
              </w:rPr>
            </w:pPr>
            <w:r>
              <w:rPr>
                <w:color w:val="000000"/>
                <w:sz w:val="20"/>
                <w:szCs w:val="20"/>
              </w:rPr>
              <w:t>0.001</w:t>
            </w:r>
          </w:p>
        </w:tc>
        <w:tc>
          <w:tcPr>
            <w:tcW w:w="833" w:type="dxa"/>
            <w:tcBorders>
              <w:top w:val="nil"/>
              <w:left w:val="nil"/>
              <w:bottom w:val="nil"/>
              <w:right w:val="nil"/>
            </w:tcBorders>
            <w:shd w:val="clear" w:color="auto" w:fill="auto"/>
            <w:noWrap/>
            <w:vAlign w:val="bottom"/>
            <w:hideMark/>
          </w:tcPr>
          <w:p w14:paraId="6C2EB6A4" w14:textId="77777777" w:rsidR="00474DA8" w:rsidRDefault="00474DA8">
            <w:pPr>
              <w:jc w:val="right"/>
              <w:rPr>
                <w:color w:val="000000"/>
                <w:sz w:val="20"/>
                <w:szCs w:val="20"/>
              </w:rPr>
            </w:pPr>
            <w:r>
              <w:rPr>
                <w:color w:val="000000"/>
                <w:sz w:val="20"/>
                <w:szCs w:val="20"/>
              </w:rPr>
              <w:t>-0.054</w:t>
            </w:r>
          </w:p>
        </w:tc>
        <w:tc>
          <w:tcPr>
            <w:tcW w:w="832" w:type="dxa"/>
            <w:tcBorders>
              <w:top w:val="nil"/>
              <w:left w:val="nil"/>
              <w:bottom w:val="nil"/>
              <w:right w:val="nil"/>
            </w:tcBorders>
            <w:shd w:val="clear" w:color="auto" w:fill="auto"/>
            <w:noWrap/>
            <w:vAlign w:val="bottom"/>
            <w:hideMark/>
          </w:tcPr>
          <w:p w14:paraId="5721AA83" w14:textId="77777777" w:rsidR="00474DA8" w:rsidRDefault="00474DA8">
            <w:pPr>
              <w:jc w:val="right"/>
              <w:rPr>
                <w:color w:val="000000"/>
                <w:sz w:val="20"/>
                <w:szCs w:val="20"/>
              </w:rPr>
            </w:pPr>
            <w:r>
              <w:rPr>
                <w:color w:val="000000"/>
                <w:sz w:val="20"/>
                <w:szCs w:val="20"/>
              </w:rPr>
              <w:t>0.576</w:t>
            </w:r>
          </w:p>
        </w:tc>
        <w:tc>
          <w:tcPr>
            <w:tcW w:w="832" w:type="dxa"/>
            <w:tcBorders>
              <w:top w:val="nil"/>
              <w:left w:val="nil"/>
              <w:bottom w:val="nil"/>
              <w:right w:val="nil"/>
            </w:tcBorders>
            <w:shd w:val="clear" w:color="auto" w:fill="auto"/>
            <w:noWrap/>
            <w:vAlign w:val="bottom"/>
            <w:hideMark/>
          </w:tcPr>
          <w:p w14:paraId="41974406" w14:textId="77777777" w:rsidR="00474DA8" w:rsidRDefault="00474DA8">
            <w:pPr>
              <w:jc w:val="right"/>
              <w:rPr>
                <w:color w:val="000000"/>
                <w:sz w:val="20"/>
                <w:szCs w:val="20"/>
              </w:rPr>
            </w:pPr>
            <w:r>
              <w:rPr>
                <w:color w:val="000000"/>
                <w:sz w:val="20"/>
                <w:szCs w:val="20"/>
              </w:rPr>
              <w:t>0.003</w:t>
            </w:r>
          </w:p>
        </w:tc>
      </w:tr>
      <w:tr w:rsidR="00474DA8" w14:paraId="5C75ADBE" w14:textId="77777777" w:rsidTr="00474DA8">
        <w:trPr>
          <w:trHeight w:val="320"/>
        </w:trPr>
        <w:tc>
          <w:tcPr>
            <w:tcW w:w="1152" w:type="dxa"/>
            <w:tcBorders>
              <w:top w:val="nil"/>
              <w:left w:val="nil"/>
              <w:bottom w:val="nil"/>
              <w:right w:val="nil"/>
            </w:tcBorders>
            <w:shd w:val="clear" w:color="auto" w:fill="auto"/>
            <w:noWrap/>
            <w:vAlign w:val="bottom"/>
            <w:hideMark/>
          </w:tcPr>
          <w:p w14:paraId="6134649E"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204F098" w14:textId="77777777" w:rsidR="00474DA8" w:rsidRDefault="00474DA8">
            <w:pPr>
              <w:rPr>
                <w:color w:val="000000"/>
                <w:sz w:val="20"/>
                <w:szCs w:val="20"/>
              </w:rPr>
            </w:pPr>
            <w:r>
              <w:rPr>
                <w:color w:val="000000"/>
                <w:sz w:val="20"/>
                <w:szCs w:val="20"/>
              </w:rPr>
              <w:t>Visual 2</w:t>
            </w:r>
          </w:p>
        </w:tc>
        <w:tc>
          <w:tcPr>
            <w:tcW w:w="820" w:type="dxa"/>
            <w:tcBorders>
              <w:top w:val="nil"/>
              <w:left w:val="nil"/>
              <w:bottom w:val="nil"/>
              <w:right w:val="nil"/>
            </w:tcBorders>
            <w:shd w:val="clear" w:color="auto" w:fill="auto"/>
            <w:noWrap/>
            <w:vAlign w:val="bottom"/>
            <w:hideMark/>
          </w:tcPr>
          <w:p w14:paraId="028EBFFA" w14:textId="77777777" w:rsidR="00474DA8" w:rsidRDefault="00474DA8">
            <w:pPr>
              <w:jc w:val="right"/>
              <w:rPr>
                <w:color w:val="000000"/>
                <w:sz w:val="20"/>
                <w:szCs w:val="20"/>
              </w:rPr>
            </w:pPr>
            <w:r>
              <w:rPr>
                <w:color w:val="000000"/>
                <w:sz w:val="20"/>
                <w:szCs w:val="20"/>
              </w:rPr>
              <w:t>-0.025</w:t>
            </w:r>
          </w:p>
        </w:tc>
        <w:tc>
          <w:tcPr>
            <w:tcW w:w="820" w:type="dxa"/>
            <w:tcBorders>
              <w:top w:val="nil"/>
              <w:left w:val="nil"/>
              <w:bottom w:val="nil"/>
              <w:right w:val="nil"/>
            </w:tcBorders>
            <w:shd w:val="clear" w:color="auto" w:fill="auto"/>
            <w:noWrap/>
            <w:vAlign w:val="bottom"/>
            <w:hideMark/>
          </w:tcPr>
          <w:p w14:paraId="39679B9C" w14:textId="77777777" w:rsidR="00474DA8" w:rsidRDefault="00474DA8">
            <w:pPr>
              <w:jc w:val="right"/>
              <w:rPr>
                <w:color w:val="000000"/>
                <w:sz w:val="20"/>
                <w:szCs w:val="20"/>
              </w:rPr>
            </w:pPr>
            <w:r>
              <w:rPr>
                <w:color w:val="000000"/>
                <w:sz w:val="20"/>
                <w:szCs w:val="20"/>
              </w:rPr>
              <w:t>0.814</w:t>
            </w:r>
          </w:p>
        </w:tc>
        <w:tc>
          <w:tcPr>
            <w:tcW w:w="820" w:type="dxa"/>
            <w:tcBorders>
              <w:top w:val="nil"/>
              <w:left w:val="nil"/>
              <w:bottom w:val="nil"/>
              <w:right w:val="nil"/>
            </w:tcBorders>
            <w:shd w:val="clear" w:color="auto" w:fill="auto"/>
            <w:noWrap/>
            <w:vAlign w:val="bottom"/>
            <w:hideMark/>
          </w:tcPr>
          <w:p w14:paraId="56C97595" w14:textId="77777777" w:rsidR="00474DA8" w:rsidRDefault="00474DA8">
            <w:pPr>
              <w:jc w:val="right"/>
              <w:rPr>
                <w:color w:val="000000"/>
                <w:sz w:val="20"/>
                <w:szCs w:val="20"/>
              </w:rPr>
            </w:pPr>
            <w:r>
              <w:rPr>
                <w:color w:val="000000"/>
                <w:sz w:val="20"/>
                <w:szCs w:val="20"/>
              </w:rPr>
              <w:t>0.001</w:t>
            </w:r>
          </w:p>
        </w:tc>
        <w:tc>
          <w:tcPr>
            <w:tcW w:w="833" w:type="dxa"/>
            <w:tcBorders>
              <w:top w:val="nil"/>
              <w:left w:val="nil"/>
              <w:bottom w:val="nil"/>
              <w:right w:val="nil"/>
            </w:tcBorders>
            <w:shd w:val="clear" w:color="auto" w:fill="auto"/>
            <w:noWrap/>
            <w:vAlign w:val="bottom"/>
            <w:hideMark/>
          </w:tcPr>
          <w:p w14:paraId="09B0B1AB" w14:textId="77777777" w:rsidR="00474DA8" w:rsidRDefault="00474DA8">
            <w:pPr>
              <w:jc w:val="right"/>
              <w:rPr>
                <w:color w:val="000000"/>
                <w:sz w:val="20"/>
                <w:szCs w:val="20"/>
              </w:rPr>
            </w:pPr>
            <w:r>
              <w:rPr>
                <w:color w:val="000000"/>
                <w:sz w:val="20"/>
                <w:szCs w:val="20"/>
              </w:rPr>
              <w:t>-0.040</w:t>
            </w:r>
          </w:p>
        </w:tc>
        <w:tc>
          <w:tcPr>
            <w:tcW w:w="832" w:type="dxa"/>
            <w:tcBorders>
              <w:top w:val="nil"/>
              <w:left w:val="nil"/>
              <w:bottom w:val="nil"/>
              <w:right w:val="nil"/>
            </w:tcBorders>
            <w:shd w:val="clear" w:color="auto" w:fill="auto"/>
            <w:noWrap/>
            <w:vAlign w:val="bottom"/>
            <w:hideMark/>
          </w:tcPr>
          <w:p w14:paraId="5A9CAD1C" w14:textId="77777777" w:rsidR="00474DA8" w:rsidRDefault="00474DA8">
            <w:pPr>
              <w:jc w:val="right"/>
              <w:rPr>
                <w:color w:val="000000"/>
                <w:sz w:val="20"/>
                <w:szCs w:val="20"/>
              </w:rPr>
            </w:pPr>
            <w:r>
              <w:rPr>
                <w:color w:val="000000"/>
                <w:sz w:val="20"/>
                <w:szCs w:val="20"/>
              </w:rPr>
              <w:t>0.688</w:t>
            </w:r>
          </w:p>
        </w:tc>
        <w:tc>
          <w:tcPr>
            <w:tcW w:w="832" w:type="dxa"/>
            <w:tcBorders>
              <w:top w:val="nil"/>
              <w:left w:val="nil"/>
              <w:bottom w:val="nil"/>
              <w:right w:val="nil"/>
            </w:tcBorders>
            <w:shd w:val="clear" w:color="auto" w:fill="auto"/>
            <w:noWrap/>
            <w:vAlign w:val="bottom"/>
            <w:hideMark/>
          </w:tcPr>
          <w:p w14:paraId="47A9E9A8" w14:textId="77777777" w:rsidR="00474DA8" w:rsidRDefault="00474DA8">
            <w:pPr>
              <w:jc w:val="right"/>
              <w:rPr>
                <w:color w:val="000000"/>
                <w:sz w:val="20"/>
                <w:szCs w:val="20"/>
              </w:rPr>
            </w:pPr>
            <w:r>
              <w:rPr>
                <w:color w:val="000000"/>
                <w:sz w:val="20"/>
                <w:szCs w:val="20"/>
              </w:rPr>
              <w:t>0.002</w:t>
            </w:r>
          </w:p>
        </w:tc>
      </w:tr>
      <w:tr w:rsidR="00474DA8" w14:paraId="176FCEB3" w14:textId="77777777" w:rsidTr="00474DA8">
        <w:trPr>
          <w:trHeight w:val="320"/>
        </w:trPr>
        <w:tc>
          <w:tcPr>
            <w:tcW w:w="1152" w:type="dxa"/>
            <w:tcBorders>
              <w:top w:val="nil"/>
              <w:left w:val="nil"/>
              <w:bottom w:val="nil"/>
              <w:right w:val="nil"/>
            </w:tcBorders>
            <w:shd w:val="clear" w:color="auto" w:fill="auto"/>
            <w:noWrap/>
            <w:vAlign w:val="bottom"/>
            <w:hideMark/>
          </w:tcPr>
          <w:p w14:paraId="29973874"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95D793B" w14:textId="77777777" w:rsidR="00474DA8" w:rsidRDefault="00474DA8">
            <w:pPr>
              <w:rPr>
                <w:color w:val="000000"/>
                <w:sz w:val="20"/>
                <w:szCs w:val="20"/>
              </w:rPr>
            </w:pPr>
            <w:r>
              <w:rPr>
                <w:color w:val="000000"/>
                <w:sz w:val="20"/>
                <w:szCs w:val="20"/>
              </w:rPr>
              <w:t>Visual 1</w:t>
            </w:r>
          </w:p>
        </w:tc>
        <w:tc>
          <w:tcPr>
            <w:tcW w:w="820" w:type="dxa"/>
            <w:tcBorders>
              <w:top w:val="nil"/>
              <w:left w:val="nil"/>
              <w:bottom w:val="nil"/>
              <w:right w:val="nil"/>
            </w:tcBorders>
            <w:shd w:val="clear" w:color="auto" w:fill="auto"/>
            <w:noWrap/>
            <w:vAlign w:val="bottom"/>
            <w:hideMark/>
          </w:tcPr>
          <w:p w14:paraId="0200A407" w14:textId="77777777" w:rsidR="00474DA8" w:rsidRDefault="00474DA8">
            <w:pPr>
              <w:jc w:val="right"/>
              <w:rPr>
                <w:color w:val="000000"/>
                <w:sz w:val="20"/>
                <w:szCs w:val="20"/>
              </w:rPr>
            </w:pPr>
            <w:r>
              <w:rPr>
                <w:color w:val="000000"/>
                <w:sz w:val="20"/>
                <w:szCs w:val="20"/>
              </w:rPr>
              <w:t>0.032</w:t>
            </w:r>
          </w:p>
        </w:tc>
        <w:tc>
          <w:tcPr>
            <w:tcW w:w="820" w:type="dxa"/>
            <w:tcBorders>
              <w:top w:val="nil"/>
              <w:left w:val="nil"/>
              <w:bottom w:val="nil"/>
              <w:right w:val="nil"/>
            </w:tcBorders>
            <w:shd w:val="clear" w:color="auto" w:fill="auto"/>
            <w:noWrap/>
            <w:vAlign w:val="bottom"/>
            <w:hideMark/>
          </w:tcPr>
          <w:p w14:paraId="6DA160FB" w14:textId="77777777" w:rsidR="00474DA8" w:rsidRDefault="00474DA8">
            <w:pPr>
              <w:jc w:val="right"/>
              <w:rPr>
                <w:color w:val="000000"/>
                <w:sz w:val="20"/>
                <w:szCs w:val="20"/>
              </w:rPr>
            </w:pPr>
            <w:r>
              <w:rPr>
                <w:color w:val="000000"/>
                <w:sz w:val="20"/>
                <w:szCs w:val="20"/>
              </w:rPr>
              <w:t>0.814</w:t>
            </w:r>
          </w:p>
        </w:tc>
        <w:tc>
          <w:tcPr>
            <w:tcW w:w="820" w:type="dxa"/>
            <w:tcBorders>
              <w:top w:val="nil"/>
              <w:left w:val="nil"/>
              <w:bottom w:val="nil"/>
              <w:right w:val="nil"/>
            </w:tcBorders>
            <w:shd w:val="clear" w:color="auto" w:fill="auto"/>
            <w:noWrap/>
            <w:vAlign w:val="bottom"/>
            <w:hideMark/>
          </w:tcPr>
          <w:p w14:paraId="63125F1E" w14:textId="77777777" w:rsidR="00474DA8" w:rsidRDefault="00474DA8">
            <w:pPr>
              <w:jc w:val="right"/>
              <w:rPr>
                <w:color w:val="000000"/>
                <w:sz w:val="20"/>
                <w:szCs w:val="20"/>
              </w:rPr>
            </w:pPr>
            <w:r>
              <w:rPr>
                <w:color w:val="000000"/>
                <w:sz w:val="20"/>
                <w:szCs w:val="20"/>
              </w:rPr>
              <w:t>0.001</w:t>
            </w:r>
          </w:p>
        </w:tc>
        <w:tc>
          <w:tcPr>
            <w:tcW w:w="833" w:type="dxa"/>
            <w:tcBorders>
              <w:top w:val="nil"/>
              <w:left w:val="nil"/>
              <w:bottom w:val="nil"/>
              <w:right w:val="nil"/>
            </w:tcBorders>
            <w:shd w:val="clear" w:color="auto" w:fill="auto"/>
            <w:noWrap/>
            <w:vAlign w:val="bottom"/>
            <w:hideMark/>
          </w:tcPr>
          <w:p w14:paraId="52D7DBE3" w14:textId="77777777" w:rsidR="00474DA8" w:rsidRDefault="00474DA8">
            <w:pPr>
              <w:jc w:val="right"/>
              <w:rPr>
                <w:color w:val="000000"/>
                <w:sz w:val="20"/>
                <w:szCs w:val="20"/>
              </w:rPr>
            </w:pPr>
            <w:r>
              <w:rPr>
                <w:color w:val="000000"/>
                <w:sz w:val="20"/>
                <w:szCs w:val="20"/>
              </w:rPr>
              <w:t>-0.033</w:t>
            </w:r>
          </w:p>
        </w:tc>
        <w:tc>
          <w:tcPr>
            <w:tcW w:w="832" w:type="dxa"/>
            <w:tcBorders>
              <w:top w:val="nil"/>
              <w:left w:val="nil"/>
              <w:bottom w:val="nil"/>
              <w:right w:val="nil"/>
            </w:tcBorders>
            <w:shd w:val="clear" w:color="auto" w:fill="auto"/>
            <w:noWrap/>
            <w:vAlign w:val="bottom"/>
            <w:hideMark/>
          </w:tcPr>
          <w:p w14:paraId="3E1B7313" w14:textId="77777777" w:rsidR="00474DA8" w:rsidRDefault="00474DA8">
            <w:pPr>
              <w:jc w:val="right"/>
              <w:rPr>
                <w:color w:val="000000"/>
                <w:sz w:val="20"/>
                <w:szCs w:val="20"/>
              </w:rPr>
            </w:pPr>
            <w:r>
              <w:rPr>
                <w:color w:val="000000"/>
                <w:sz w:val="20"/>
                <w:szCs w:val="20"/>
              </w:rPr>
              <w:t>0.688</w:t>
            </w:r>
          </w:p>
        </w:tc>
        <w:tc>
          <w:tcPr>
            <w:tcW w:w="832" w:type="dxa"/>
            <w:tcBorders>
              <w:top w:val="nil"/>
              <w:left w:val="nil"/>
              <w:bottom w:val="nil"/>
              <w:right w:val="nil"/>
            </w:tcBorders>
            <w:shd w:val="clear" w:color="auto" w:fill="auto"/>
            <w:noWrap/>
            <w:vAlign w:val="bottom"/>
            <w:hideMark/>
          </w:tcPr>
          <w:p w14:paraId="3E1A710D" w14:textId="77777777" w:rsidR="00474DA8" w:rsidRDefault="00474DA8">
            <w:pPr>
              <w:jc w:val="right"/>
              <w:rPr>
                <w:color w:val="000000"/>
                <w:sz w:val="20"/>
                <w:szCs w:val="20"/>
              </w:rPr>
            </w:pPr>
            <w:r>
              <w:rPr>
                <w:color w:val="000000"/>
                <w:sz w:val="20"/>
                <w:szCs w:val="20"/>
              </w:rPr>
              <w:t>0.001</w:t>
            </w:r>
          </w:p>
        </w:tc>
      </w:tr>
      <w:tr w:rsidR="00474DA8" w14:paraId="1D99225E" w14:textId="77777777" w:rsidTr="00474DA8">
        <w:trPr>
          <w:trHeight w:val="320"/>
        </w:trPr>
        <w:tc>
          <w:tcPr>
            <w:tcW w:w="1152" w:type="dxa"/>
            <w:tcBorders>
              <w:top w:val="nil"/>
              <w:left w:val="nil"/>
              <w:bottom w:val="single" w:sz="4" w:space="0" w:color="auto"/>
              <w:right w:val="nil"/>
            </w:tcBorders>
            <w:shd w:val="clear" w:color="auto" w:fill="auto"/>
            <w:noWrap/>
            <w:vAlign w:val="bottom"/>
            <w:hideMark/>
          </w:tcPr>
          <w:p w14:paraId="37596DBD" w14:textId="77777777" w:rsidR="00474DA8" w:rsidRDefault="00474DA8">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CD3B4C9" w14:textId="77777777" w:rsidR="00474DA8" w:rsidRDefault="00474DA8">
            <w:pPr>
              <w:rPr>
                <w:color w:val="000000"/>
                <w:sz w:val="20"/>
                <w:szCs w:val="20"/>
              </w:rPr>
            </w:pPr>
            <w:r>
              <w:rPr>
                <w:color w:val="000000"/>
                <w:sz w:val="20"/>
                <w:szCs w:val="20"/>
              </w:rPr>
              <w:t>Visual Association</w:t>
            </w:r>
          </w:p>
        </w:tc>
        <w:tc>
          <w:tcPr>
            <w:tcW w:w="820" w:type="dxa"/>
            <w:tcBorders>
              <w:top w:val="nil"/>
              <w:left w:val="nil"/>
              <w:bottom w:val="single" w:sz="4" w:space="0" w:color="auto"/>
              <w:right w:val="nil"/>
            </w:tcBorders>
            <w:shd w:val="clear" w:color="auto" w:fill="auto"/>
            <w:noWrap/>
            <w:vAlign w:val="bottom"/>
            <w:hideMark/>
          </w:tcPr>
          <w:p w14:paraId="60CB8E03" w14:textId="77777777" w:rsidR="00474DA8" w:rsidRDefault="00474DA8">
            <w:pPr>
              <w:jc w:val="right"/>
              <w:rPr>
                <w:color w:val="000000"/>
                <w:sz w:val="20"/>
                <w:szCs w:val="20"/>
              </w:rPr>
            </w:pPr>
            <w:r>
              <w:rPr>
                <w:color w:val="000000"/>
                <w:sz w:val="20"/>
                <w:szCs w:val="20"/>
              </w:rPr>
              <w:t>0.001</w:t>
            </w:r>
          </w:p>
        </w:tc>
        <w:tc>
          <w:tcPr>
            <w:tcW w:w="820" w:type="dxa"/>
            <w:tcBorders>
              <w:top w:val="nil"/>
              <w:left w:val="nil"/>
              <w:bottom w:val="single" w:sz="4" w:space="0" w:color="auto"/>
              <w:right w:val="nil"/>
            </w:tcBorders>
            <w:shd w:val="clear" w:color="auto" w:fill="auto"/>
            <w:noWrap/>
            <w:vAlign w:val="bottom"/>
            <w:hideMark/>
          </w:tcPr>
          <w:p w14:paraId="7C13E0D4" w14:textId="77777777" w:rsidR="00474DA8" w:rsidRDefault="00474DA8">
            <w:pPr>
              <w:jc w:val="right"/>
              <w:rPr>
                <w:color w:val="000000"/>
                <w:sz w:val="20"/>
                <w:szCs w:val="20"/>
              </w:rPr>
            </w:pPr>
            <w:r>
              <w:rPr>
                <w:color w:val="000000"/>
                <w:sz w:val="20"/>
                <w:szCs w:val="20"/>
              </w:rPr>
              <w:t>0.979</w:t>
            </w:r>
          </w:p>
        </w:tc>
        <w:tc>
          <w:tcPr>
            <w:tcW w:w="820" w:type="dxa"/>
            <w:tcBorders>
              <w:top w:val="nil"/>
              <w:left w:val="nil"/>
              <w:bottom w:val="single" w:sz="4" w:space="0" w:color="auto"/>
              <w:right w:val="nil"/>
            </w:tcBorders>
            <w:shd w:val="clear" w:color="auto" w:fill="auto"/>
            <w:noWrap/>
            <w:vAlign w:val="bottom"/>
            <w:hideMark/>
          </w:tcPr>
          <w:p w14:paraId="21A519C2"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single" w:sz="4" w:space="0" w:color="auto"/>
              <w:right w:val="nil"/>
            </w:tcBorders>
            <w:shd w:val="clear" w:color="auto" w:fill="auto"/>
            <w:noWrap/>
            <w:vAlign w:val="bottom"/>
            <w:hideMark/>
          </w:tcPr>
          <w:p w14:paraId="55D9DAF4" w14:textId="77777777" w:rsidR="00474DA8" w:rsidRDefault="00474DA8">
            <w:pPr>
              <w:jc w:val="right"/>
              <w:rPr>
                <w:color w:val="000000"/>
                <w:sz w:val="20"/>
                <w:szCs w:val="20"/>
              </w:rPr>
            </w:pPr>
            <w:r>
              <w:rPr>
                <w:color w:val="000000"/>
                <w:sz w:val="20"/>
                <w:szCs w:val="20"/>
              </w:rPr>
              <w:t>0.017</w:t>
            </w:r>
          </w:p>
        </w:tc>
        <w:tc>
          <w:tcPr>
            <w:tcW w:w="832" w:type="dxa"/>
            <w:tcBorders>
              <w:top w:val="nil"/>
              <w:left w:val="nil"/>
              <w:bottom w:val="single" w:sz="4" w:space="0" w:color="auto"/>
              <w:right w:val="nil"/>
            </w:tcBorders>
            <w:shd w:val="clear" w:color="auto" w:fill="auto"/>
            <w:noWrap/>
            <w:vAlign w:val="bottom"/>
            <w:hideMark/>
          </w:tcPr>
          <w:p w14:paraId="21B19451" w14:textId="77777777" w:rsidR="00474DA8" w:rsidRDefault="00474DA8">
            <w:pPr>
              <w:jc w:val="right"/>
              <w:rPr>
                <w:color w:val="000000"/>
                <w:sz w:val="20"/>
                <w:szCs w:val="20"/>
              </w:rPr>
            </w:pPr>
            <w:r>
              <w:rPr>
                <w:color w:val="000000"/>
                <w:sz w:val="20"/>
                <w:szCs w:val="20"/>
              </w:rPr>
              <w:t>0.794</w:t>
            </w:r>
          </w:p>
        </w:tc>
        <w:tc>
          <w:tcPr>
            <w:tcW w:w="832" w:type="dxa"/>
            <w:tcBorders>
              <w:top w:val="nil"/>
              <w:left w:val="nil"/>
              <w:bottom w:val="single" w:sz="4" w:space="0" w:color="auto"/>
              <w:right w:val="nil"/>
            </w:tcBorders>
            <w:shd w:val="clear" w:color="auto" w:fill="auto"/>
            <w:noWrap/>
            <w:vAlign w:val="bottom"/>
            <w:hideMark/>
          </w:tcPr>
          <w:p w14:paraId="34939A74" w14:textId="77777777" w:rsidR="00474DA8" w:rsidRDefault="00474DA8">
            <w:pPr>
              <w:jc w:val="right"/>
              <w:rPr>
                <w:color w:val="000000"/>
                <w:sz w:val="20"/>
                <w:szCs w:val="20"/>
              </w:rPr>
            </w:pPr>
            <w:r>
              <w:rPr>
                <w:color w:val="000000"/>
                <w:sz w:val="20"/>
                <w:szCs w:val="20"/>
              </w:rPr>
              <w:t>0.000</w:t>
            </w:r>
          </w:p>
        </w:tc>
      </w:tr>
      <w:tr w:rsidR="00474DA8" w14:paraId="382B028C" w14:textId="77777777" w:rsidTr="00474DA8">
        <w:trPr>
          <w:trHeight w:val="320"/>
        </w:trPr>
        <w:tc>
          <w:tcPr>
            <w:tcW w:w="1152" w:type="dxa"/>
            <w:tcBorders>
              <w:top w:val="nil"/>
              <w:left w:val="nil"/>
              <w:bottom w:val="nil"/>
              <w:right w:val="nil"/>
            </w:tcBorders>
            <w:shd w:val="clear" w:color="auto" w:fill="auto"/>
            <w:noWrap/>
            <w:vAlign w:val="bottom"/>
            <w:hideMark/>
          </w:tcPr>
          <w:p w14:paraId="16C83BE7" w14:textId="77777777" w:rsidR="00474DA8" w:rsidRDefault="00474DA8">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1AAED8E6" w14:textId="77777777" w:rsidR="00474DA8" w:rsidRDefault="00474DA8">
            <w:pPr>
              <w:rPr>
                <w:color w:val="000000"/>
                <w:sz w:val="20"/>
                <w:szCs w:val="20"/>
              </w:rPr>
            </w:pPr>
            <w:r>
              <w:rPr>
                <w:color w:val="000000"/>
                <w:sz w:val="20"/>
                <w:szCs w:val="20"/>
              </w:rPr>
              <w:t>Subcortical Cerebellar</w:t>
            </w:r>
          </w:p>
        </w:tc>
        <w:tc>
          <w:tcPr>
            <w:tcW w:w="820" w:type="dxa"/>
            <w:tcBorders>
              <w:top w:val="nil"/>
              <w:left w:val="nil"/>
              <w:bottom w:val="nil"/>
              <w:right w:val="nil"/>
            </w:tcBorders>
            <w:shd w:val="clear" w:color="auto" w:fill="auto"/>
            <w:noWrap/>
            <w:vAlign w:val="bottom"/>
            <w:hideMark/>
          </w:tcPr>
          <w:p w14:paraId="40C3AA13" w14:textId="77777777" w:rsidR="00474DA8" w:rsidRDefault="00474DA8">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2D606F6C" w14:textId="77777777" w:rsidR="00474DA8" w:rsidRDefault="00474DA8">
            <w:pPr>
              <w:jc w:val="right"/>
              <w:rPr>
                <w:color w:val="000000"/>
                <w:sz w:val="20"/>
                <w:szCs w:val="20"/>
              </w:rPr>
            </w:pPr>
            <w:r>
              <w:rPr>
                <w:color w:val="000000"/>
                <w:sz w:val="20"/>
                <w:szCs w:val="20"/>
              </w:rPr>
              <w:t>0.967</w:t>
            </w:r>
          </w:p>
        </w:tc>
        <w:tc>
          <w:tcPr>
            <w:tcW w:w="820" w:type="dxa"/>
            <w:tcBorders>
              <w:top w:val="nil"/>
              <w:left w:val="nil"/>
              <w:bottom w:val="nil"/>
              <w:right w:val="nil"/>
            </w:tcBorders>
            <w:shd w:val="clear" w:color="auto" w:fill="auto"/>
            <w:noWrap/>
            <w:vAlign w:val="bottom"/>
            <w:hideMark/>
          </w:tcPr>
          <w:p w14:paraId="679F57E0"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66FB1DD0" w14:textId="77777777" w:rsidR="00474DA8" w:rsidRDefault="00474DA8">
            <w:pPr>
              <w:jc w:val="right"/>
              <w:rPr>
                <w:color w:val="000000"/>
                <w:sz w:val="20"/>
                <w:szCs w:val="20"/>
              </w:rPr>
            </w:pPr>
            <w:r>
              <w:rPr>
                <w:color w:val="000000"/>
                <w:sz w:val="20"/>
                <w:szCs w:val="20"/>
              </w:rPr>
              <w:t>0.007</w:t>
            </w:r>
          </w:p>
        </w:tc>
        <w:tc>
          <w:tcPr>
            <w:tcW w:w="832" w:type="dxa"/>
            <w:tcBorders>
              <w:top w:val="nil"/>
              <w:left w:val="nil"/>
              <w:bottom w:val="nil"/>
              <w:right w:val="nil"/>
            </w:tcBorders>
            <w:shd w:val="clear" w:color="auto" w:fill="auto"/>
            <w:noWrap/>
            <w:vAlign w:val="bottom"/>
            <w:hideMark/>
          </w:tcPr>
          <w:p w14:paraId="4AB3B4EA" w14:textId="77777777" w:rsidR="00474DA8" w:rsidRDefault="00474DA8">
            <w:pPr>
              <w:jc w:val="right"/>
              <w:rPr>
                <w:color w:val="000000"/>
                <w:sz w:val="20"/>
                <w:szCs w:val="20"/>
              </w:rPr>
            </w:pPr>
            <w:r>
              <w:rPr>
                <w:color w:val="000000"/>
                <w:sz w:val="20"/>
                <w:szCs w:val="20"/>
              </w:rPr>
              <w:t>0.818</w:t>
            </w:r>
          </w:p>
        </w:tc>
        <w:tc>
          <w:tcPr>
            <w:tcW w:w="832" w:type="dxa"/>
            <w:tcBorders>
              <w:top w:val="nil"/>
              <w:left w:val="nil"/>
              <w:bottom w:val="nil"/>
              <w:right w:val="nil"/>
            </w:tcBorders>
            <w:shd w:val="clear" w:color="auto" w:fill="auto"/>
            <w:noWrap/>
            <w:vAlign w:val="bottom"/>
            <w:hideMark/>
          </w:tcPr>
          <w:p w14:paraId="6B30549D" w14:textId="77777777" w:rsidR="00474DA8" w:rsidRDefault="00474DA8">
            <w:pPr>
              <w:jc w:val="right"/>
              <w:rPr>
                <w:color w:val="000000"/>
                <w:sz w:val="20"/>
                <w:szCs w:val="20"/>
              </w:rPr>
            </w:pPr>
            <w:r>
              <w:rPr>
                <w:color w:val="000000"/>
                <w:sz w:val="20"/>
                <w:szCs w:val="20"/>
              </w:rPr>
              <w:t>0.000</w:t>
            </w:r>
          </w:p>
        </w:tc>
      </w:tr>
      <w:tr w:rsidR="00474DA8" w14:paraId="00F2481E" w14:textId="77777777" w:rsidTr="00474DA8">
        <w:trPr>
          <w:trHeight w:val="320"/>
        </w:trPr>
        <w:tc>
          <w:tcPr>
            <w:tcW w:w="1152" w:type="dxa"/>
            <w:tcBorders>
              <w:top w:val="nil"/>
              <w:left w:val="nil"/>
              <w:bottom w:val="nil"/>
              <w:right w:val="nil"/>
            </w:tcBorders>
            <w:shd w:val="clear" w:color="auto" w:fill="auto"/>
            <w:noWrap/>
            <w:vAlign w:val="bottom"/>
            <w:hideMark/>
          </w:tcPr>
          <w:p w14:paraId="650D83E8"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8A4D52" w14:textId="77777777" w:rsidR="00474DA8" w:rsidRDefault="00474DA8">
            <w:pPr>
              <w:rPr>
                <w:color w:val="000000"/>
                <w:sz w:val="20"/>
                <w:szCs w:val="20"/>
              </w:rPr>
            </w:pPr>
            <w:r>
              <w:rPr>
                <w:color w:val="000000"/>
                <w:sz w:val="20"/>
                <w:szCs w:val="20"/>
              </w:rPr>
              <w:t xml:space="preserve">Motor </w:t>
            </w:r>
          </w:p>
        </w:tc>
        <w:tc>
          <w:tcPr>
            <w:tcW w:w="820" w:type="dxa"/>
            <w:tcBorders>
              <w:top w:val="nil"/>
              <w:left w:val="nil"/>
              <w:bottom w:val="nil"/>
              <w:right w:val="nil"/>
            </w:tcBorders>
            <w:shd w:val="clear" w:color="auto" w:fill="auto"/>
            <w:noWrap/>
            <w:vAlign w:val="bottom"/>
            <w:hideMark/>
          </w:tcPr>
          <w:p w14:paraId="1EC52E2A" w14:textId="77777777" w:rsidR="00474DA8" w:rsidRDefault="00474DA8">
            <w:pPr>
              <w:jc w:val="right"/>
              <w:rPr>
                <w:color w:val="000000"/>
                <w:sz w:val="20"/>
                <w:szCs w:val="20"/>
              </w:rPr>
            </w:pPr>
            <w:r>
              <w:rPr>
                <w:color w:val="000000"/>
                <w:sz w:val="20"/>
                <w:szCs w:val="20"/>
              </w:rPr>
              <w:t>-0.003</w:t>
            </w:r>
          </w:p>
        </w:tc>
        <w:tc>
          <w:tcPr>
            <w:tcW w:w="820" w:type="dxa"/>
            <w:tcBorders>
              <w:top w:val="nil"/>
              <w:left w:val="nil"/>
              <w:bottom w:val="nil"/>
              <w:right w:val="nil"/>
            </w:tcBorders>
            <w:shd w:val="clear" w:color="auto" w:fill="auto"/>
            <w:noWrap/>
            <w:vAlign w:val="bottom"/>
            <w:hideMark/>
          </w:tcPr>
          <w:p w14:paraId="0D88BFE7" w14:textId="77777777" w:rsidR="00474DA8" w:rsidRDefault="00474DA8">
            <w:pPr>
              <w:jc w:val="right"/>
              <w:rPr>
                <w:color w:val="000000"/>
                <w:sz w:val="20"/>
                <w:szCs w:val="20"/>
              </w:rPr>
            </w:pPr>
            <w:r>
              <w:rPr>
                <w:color w:val="000000"/>
                <w:sz w:val="20"/>
                <w:szCs w:val="20"/>
              </w:rPr>
              <w:t>0.967</w:t>
            </w:r>
          </w:p>
        </w:tc>
        <w:tc>
          <w:tcPr>
            <w:tcW w:w="820" w:type="dxa"/>
            <w:tcBorders>
              <w:top w:val="nil"/>
              <w:left w:val="nil"/>
              <w:bottom w:val="nil"/>
              <w:right w:val="nil"/>
            </w:tcBorders>
            <w:shd w:val="clear" w:color="auto" w:fill="auto"/>
            <w:noWrap/>
            <w:vAlign w:val="bottom"/>
            <w:hideMark/>
          </w:tcPr>
          <w:p w14:paraId="5236AEB3"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16D8E232" w14:textId="77777777" w:rsidR="00474DA8" w:rsidRDefault="00474DA8">
            <w:pPr>
              <w:jc w:val="right"/>
              <w:rPr>
                <w:color w:val="000000"/>
                <w:sz w:val="20"/>
                <w:szCs w:val="20"/>
              </w:rPr>
            </w:pPr>
            <w:r>
              <w:rPr>
                <w:color w:val="000000"/>
                <w:sz w:val="20"/>
                <w:szCs w:val="20"/>
              </w:rPr>
              <w:t>0.014</w:t>
            </w:r>
          </w:p>
        </w:tc>
        <w:tc>
          <w:tcPr>
            <w:tcW w:w="832" w:type="dxa"/>
            <w:tcBorders>
              <w:top w:val="nil"/>
              <w:left w:val="nil"/>
              <w:bottom w:val="nil"/>
              <w:right w:val="nil"/>
            </w:tcBorders>
            <w:shd w:val="clear" w:color="auto" w:fill="auto"/>
            <w:noWrap/>
            <w:vAlign w:val="bottom"/>
            <w:hideMark/>
          </w:tcPr>
          <w:p w14:paraId="196A517D" w14:textId="77777777" w:rsidR="00474DA8" w:rsidRDefault="00474DA8">
            <w:pPr>
              <w:jc w:val="right"/>
              <w:rPr>
                <w:color w:val="000000"/>
                <w:sz w:val="20"/>
                <w:szCs w:val="20"/>
              </w:rPr>
            </w:pPr>
            <w:r>
              <w:rPr>
                <w:color w:val="000000"/>
                <w:sz w:val="20"/>
                <w:szCs w:val="20"/>
              </w:rPr>
              <w:t>0.720</w:t>
            </w:r>
          </w:p>
        </w:tc>
        <w:tc>
          <w:tcPr>
            <w:tcW w:w="832" w:type="dxa"/>
            <w:tcBorders>
              <w:top w:val="nil"/>
              <w:left w:val="nil"/>
              <w:bottom w:val="nil"/>
              <w:right w:val="nil"/>
            </w:tcBorders>
            <w:shd w:val="clear" w:color="auto" w:fill="auto"/>
            <w:noWrap/>
            <w:vAlign w:val="bottom"/>
            <w:hideMark/>
          </w:tcPr>
          <w:p w14:paraId="1EC4DA2A" w14:textId="77777777" w:rsidR="00474DA8" w:rsidRDefault="00474DA8">
            <w:pPr>
              <w:jc w:val="right"/>
              <w:rPr>
                <w:color w:val="000000"/>
                <w:sz w:val="20"/>
                <w:szCs w:val="20"/>
              </w:rPr>
            </w:pPr>
            <w:r>
              <w:rPr>
                <w:color w:val="000000"/>
                <w:sz w:val="20"/>
                <w:szCs w:val="20"/>
              </w:rPr>
              <w:t>0.000</w:t>
            </w:r>
          </w:p>
        </w:tc>
      </w:tr>
      <w:tr w:rsidR="00474DA8" w14:paraId="741CC8DD" w14:textId="77777777" w:rsidTr="00474DA8">
        <w:trPr>
          <w:trHeight w:val="320"/>
        </w:trPr>
        <w:tc>
          <w:tcPr>
            <w:tcW w:w="1152" w:type="dxa"/>
            <w:tcBorders>
              <w:top w:val="nil"/>
              <w:left w:val="nil"/>
              <w:bottom w:val="nil"/>
              <w:right w:val="nil"/>
            </w:tcBorders>
            <w:shd w:val="clear" w:color="auto" w:fill="auto"/>
            <w:noWrap/>
            <w:vAlign w:val="bottom"/>
            <w:hideMark/>
          </w:tcPr>
          <w:p w14:paraId="69C5459E"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00CAA5F" w14:textId="77777777" w:rsidR="00474DA8" w:rsidRDefault="00474DA8">
            <w:pPr>
              <w:rPr>
                <w:color w:val="000000"/>
                <w:sz w:val="20"/>
                <w:szCs w:val="20"/>
              </w:rPr>
            </w:pPr>
            <w:r>
              <w:rPr>
                <w:color w:val="000000"/>
                <w:sz w:val="20"/>
                <w:szCs w:val="20"/>
              </w:rPr>
              <w:t>Medial Frontal</w:t>
            </w:r>
          </w:p>
        </w:tc>
        <w:tc>
          <w:tcPr>
            <w:tcW w:w="820" w:type="dxa"/>
            <w:tcBorders>
              <w:top w:val="nil"/>
              <w:left w:val="nil"/>
              <w:bottom w:val="nil"/>
              <w:right w:val="nil"/>
            </w:tcBorders>
            <w:shd w:val="clear" w:color="auto" w:fill="auto"/>
            <w:noWrap/>
            <w:vAlign w:val="bottom"/>
            <w:hideMark/>
          </w:tcPr>
          <w:p w14:paraId="10F0DA01" w14:textId="77777777" w:rsidR="00474DA8" w:rsidRDefault="00474DA8">
            <w:pPr>
              <w:jc w:val="right"/>
              <w:rPr>
                <w:color w:val="000000"/>
                <w:sz w:val="20"/>
                <w:szCs w:val="20"/>
              </w:rPr>
            </w:pPr>
            <w:r>
              <w:rPr>
                <w:color w:val="000000"/>
                <w:sz w:val="20"/>
                <w:szCs w:val="20"/>
              </w:rPr>
              <w:t>-0.047</w:t>
            </w:r>
          </w:p>
        </w:tc>
        <w:tc>
          <w:tcPr>
            <w:tcW w:w="820" w:type="dxa"/>
            <w:tcBorders>
              <w:top w:val="nil"/>
              <w:left w:val="nil"/>
              <w:bottom w:val="nil"/>
              <w:right w:val="nil"/>
            </w:tcBorders>
            <w:shd w:val="clear" w:color="auto" w:fill="auto"/>
            <w:noWrap/>
            <w:vAlign w:val="bottom"/>
            <w:hideMark/>
          </w:tcPr>
          <w:p w14:paraId="02E80387" w14:textId="77777777" w:rsidR="00474DA8" w:rsidRDefault="00474DA8">
            <w:pPr>
              <w:jc w:val="right"/>
              <w:rPr>
                <w:color w:val="000000"/>
                <w:sz w:val="20"/>
                <w:szCs w:val="20"/>
              </w:rPr>
            </w:pPr>
            <w:r>
              <w:rPr>
                <w:color w:val="000000"/>
                <w:sz w:val="20"/>
                <w:szCs w:val="20"/>
              </w:rPr>
              <w:t>0.628</w:t>
            </w:r>
          </w:p>
        </w:tc>
        <w:tc>
          <w:tcPr>
            <w:tcW w:w="820" w:type="dxa"/>
            <w:tcBorders>
              <w:top w:val="nil"/>
              <w:left w:val="nil"/>
              <w:bottom w:val="nil"/>
              <w:right w:val="nil"/>
            </w:tcBorders>
            <w:shd w:val="clear" w:color="auto" w:fill="auto"/>
            <w:noWrap/>
            <w:vAlign w:val="bottom"/>
            <w:hideMark/>
          </w:tcPr>
          <w:p w14:paraId="19DBF723" w14:textId="77777777" w:rsidR="00474DA8" w:rsidRDefault="00474DA8">
            <w:pPr>
              <w:jc w:val="right"/>
              <w:rPr>
                <w:color w:val="000000"/>
                <w:sz w:val="20"/>
                <w:szCs w:val="20"/>
              </w:rPr>
            </w:pPr>
            <w:r>
              <w:rPr>
                <w:color w:val="000000"/>
                <w:sz w:val="20"/>
                <w:szCs w:val="20"/>
              </w:rPr>
              <w:t>0.002</w:t>
            </w:r>
          </w:p>
        </w:tc>
        <w:tc>
          <w:tcPr>
            <w:tcW w:w="833" w:type="dxa"/>
            <w:tcBorders>
              <w:top w:val="nil"/>
              <w:left w:val="nil"/>
              <w:bottom w:val="nil"/>
              <w:right w:val="nil"/>
            </w:tcBorders>
            <w:shd w:val="clear" w:color="auto" w:fill="auto"/>
            <w:noWrap/>
            <w:vAlign w:val="bottom"/>
            <w:hideMark/>
          </w:tcPr>
          <w:p w14:paraId="26A4A9D3" w14:textId="77777777" w:rsidR="00474DA8" w:rsidRDefault="00474DA8">
            <w:pPr>
              <w:jc w:val="right"/>
              <w:rPr>
                <w:color w:val="000000"/>
                <w:sz w:val="20"/>
                <w:szCs w:val="20"/>
              </w:rPr>
            </w:pPr>
            <w:r>
              <w:rPr>
                <w:color w:val="000000"/>
                <w:sz w:val="20"/>
                <w:szCs w:val="20"/>
              </w:rPr>
              <w:t>0.021</w:t>
            </w:r>
          </w:p>
        </w:tc>
        <w:tc>
          <w:tcPr>
            <w:tcW w:w="832" w:type="dxa"/>
            <w:tcBorders>
              <w:top w:val="nil"/>
              <w:left w:val="nil"/>
              <w:bottom w:val="nil"/>
              <w:right w:val="nil"/>
            </w:tcBorders>
            <w:shd w:val="clear" w:color="auto" w:fill="auto"/>
            <w:noWrap/>
            <w:vAlign w:val="bottom"/>
            <w:hideMark/>
          </w:tcPr>
          <w:p w14:paraId="1613BF4C" w14:textId="77777777" w:rsidR="00474DA8" w:rsidRDefault="00474DA8">
            <w:pPr>
              <w:jc w:val="right"/>
              <w:rPr>
                <w:color w:val="000000"/>
                <w:sz w:val="20"/>
                <w:szCs w:val="20"/>
              </w:rPr>
            </w:pPr>
            <w:r>
              <w:rPr>
                <w:color w:val="000000"/>
                <w:sz w:val="20"/>
                <w:szCs w:val="20"/>
              </w:rPr>
              <w:t>0.699</w:t>
            </w:r>
          </w:p>
        </w:tc>
        <w:tc>
          <w:tcPr>
            <w:tcW w:w="832" w:type="dxa"/>
            <w:tcBorders>
              <w:top w:val="nil"/>
              <w:left w:val="nil"/>
              <w:bottom w:val="nil"/>
              <w:right w:val="nil"/>
            </w:tcBorders>
            <w:shd w:val="clear" w:color="auto" w:fill="auto"/>
            <w:noWrap/>
            <w:vAlign w:val="bottom"/>
            <w:hideMark/>
          </w:tcPr>
          <w:p w14:paraId="0E9E9091" w14:textId="77777777" w:rsidR="00474DA8" w:rsidRDefault="00474DA8">
            <w:pPr>
              <w:jc w:val="right"/>
              <w:rPr>
                <w:color w:val="000000"/>
                <w:sz w:val="20"/>
                <w:szCs w:val="20"/>
              </w:rPr>
            </w:pPr>
            <w:r>
              <w:rPr>
                <w:color w:val="000000"/>
                <w:sz w:val="20"/>
                <w:szCs w:val="20"/>
              </w:rPr>
              <w:t>0.000</w:t>
            </w:r>
          </w:p>
        </w:tc>
      </w:tr>
      <w:tr w:rsidR="00474DA8" w14:paraId="427328FF" w14:textId="77777777" w:rsidTr="00474DA8">
        <w:trPr>
          <w:trHeight w:val="320"/>
        </w:trPr>
        <w:tc>
          <w:tcPr>
            <w:tcW w:w="1152" w:type="dxa"/>
            <w:tcBorders>
              <w:top w:val="nil"/>
              <w:left w:val="nil"/>
              <w:bottom w:val="nil"/>
              <w:right w:val="nil"/>
            </w:tcBorders>
            <w:shd w:val="clear" w:color="auto" w:fill="auto"/>
            <w:noWrap/>
            <w:vAlign w:val="bottom"/>
            <w:hideMark/>
          </w:tcPr>
          <w:p w14:paraId="0F52BD59"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436CAEF" w14:textId="77777777" w:rsidR="00474DA8" w:rsidRDefault="00474DA8">
            <w:pPr>
              <w:rPr>
                <w:color w:val="000000"/>
                <w:sz w:val="20"/>
                <w:szCs w:val="20"/>
              </w:rPr>
            </w:pPr>
            <w:r>
              <w:rPr>
                <w:color w:val="000000"/>
                <w:sz w:val="20"/>
                <w:szCs w:val="20"/>
              </w:rPr>
              <w:t>Frontoparietal</w:t>
            </w:r>
          </w:p>
        </w:tc>
        <w:tc>
          <w:tcPr>
            <w:tcW w:w="820" w:type="dxa"/>
            <w:tcBorders>
              <w:top w:val="nil"/>
              <w:left w:val="nil"/>
              <w:bottom w:val="nil"/>
              <w:right w:val="nil"/>
            </w:tcBorders>
            <w:shd w:val="clear" w:color="auto" w:fill="auto"/>
            <w:noWrap/>
            <w:vAlign w:val="bottom"/>
            <w:hideMark/>
          </w:tcPr>
          <w:p w14:paraId="7514173A" w14:textId="77777777" w:rsidR="00474DA8" w:rsidRDefault="00474DA8">
            <w:pPr>
              <w:jc w:val="right"/>
              <w:rPr>
                <w:color w:val="000000"/>
                <w:sz w:val="20"/>
                <w:szCs w:val="20"/>
              </w:rPr>
            </w:pPr>
            <w:r>
              <w:rPr>
                <w:color w:val="000000"/>
                <w:sz w:val="20"/>
                <w:szCs w:val="20"/>
              </w:rPr>
              <w:t>0.007</w:t>
            </w:r>
          </w:p>
        </w:tc>
        <w:tc>
          <w:tcPr>
            <w:tcW w:w="820" w:type="dxa"/>
            <w:tcBorders>
              <w:top w:val="nil"/>
              <w:left w:val="nil"/>
              <w:bottom w:val="nil"/>
              <w:right w:val="nil"/>
            </w:tcBorders>
            <w:shd w:val="clear" w:color="auto" w:fill="auto"/>
            <w:noWrap/>
            <w:vAlign w:val="bottom"/>
            <w:hideMark/>
          </w:tcPr>
          <w:p w14:paraId="1ECBF532" w14:textId="77777777" w:rsidR="00474DA8" w:rsidRDefault="00474DA8">
            <w:pPr>
              <w:jc w:val="right"/>
              <w:rPr>
                <w:color w:val="000000"/>
                <w:sz w:val="20"/>
                <w:szCs w:val="20"/>
              </w:rPr>
            </w:pPr>
            <w:r>
              <w:rPr>
                <w:color w:val="000000"/>
                <w:sz w:val="20"/>
                <w:szCs w:val="20"/>
              </w:rPr>
              <w:t>0.967</w:t>
            </w:r>
          </w:p>
        </w:tc>
        <w:tc>
          <w:tcPr>
            <w:tcW w:w="820" w:type="dxa"/>
            <w:tcBorders>
              <w:top w:val="nil"/>
              <w:left w:val="nil"/>
              <w:bottom w:val="nil"/>
              <w:right w:val="nil"/>
            </w:tcBorders>
            <w:shd w:val="clear" w:color="auto" w:fill="auto"/>
            <w:noWrap/>
            <w:vAlign w:val="bottom"/>
            <w:hideMark/>
          </w:tcPr>
          <w:p w14:paraId="118A5303"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nil"/>
              <w:right w:val="nil"/>
            </w:tcBorders>
            <w:shd w:val="clear" w:color="auto" w:fill="auto"/>
            <w:noWrap/>
            <w:vAlign w:val="bottom"/>
            <w:hideMark/>
          </w:tcPr>
          <w:p w14:paraId="029F5763" w14:textId="77777777" w:rsidR="00474DA8" w:rsidRDefault="00474DA8">
            <w:pPr>
              <w:jc w:val="right"/>
              <w:rPr>
                <w:color w:val="000000"/>
                <w:sz w:val="20"/>
                <w:szCs w:val="20"/>
              </w:rPr>
            </w:pPr>
            <w:r>
              <w:rPr>
                <w:color w:val="000000"/>
                <w:sz w:val="20"/>
                <w:szCs w:val="20"/>
              </w:rPr>
              <w:t>-0.045</w:t>
            </w:r>
          </w:p>
        </w:tc>
        <w:tc>
          <w:tcPr>
            <w:tcW w:w="832" w:type="dxa"/>
            <w:tcBorders>
              <w:top w:val="nil"/>
              <w:left w:val="nil"/>
              <w:bottom w:val="nil"/>
              <w:right w:val="nil"/>
            </w:tcBorders>
            <w:shd w:val="clear" w:color="auto" w:fill="auto"/>
            <w:noWrap/>
            <w:vAlign w:val="bottom"/>
            <w:hideMark/>
          </w:tcPr>
          <w:p w14:paraId="35E81468" w14:textId="77777777" w:rsidR="00474DA8" w:rsidRDefault="00474DA8">
            <w:pPr>
              <w:jc w:val="right"/>
              <w:rPr>
                <w:color w:val="000000"/>
                <w:sz w:val="20"/>
                <w:szCs w:val="20"/>
              </w:rPr>
            </w:pPr>
            <w:r>
              <w:rPr>
                <w:color w:val="000000"/>
                <w:sz w:val="20"/>
                <w:szCs w:val="20"/>
              </w:rPr>
              <w:t>0.699</w:t>
            </w:r>
          </w:p>
        </w:tc>
        <w:tc>
          <w:tcPr>
            <w:tcW w:w="832" w:type="dxa"/>
            <w:tcBorders>
              <w:top w:val="nil"/>
              <w:left w:val="nil"/>
              <w:bottom w:val="nil"/>
              <w:right w:val="nil"/>
            </w:tcBorders>
            <w:shd w:val="clear" w:color="auto" w:fill="auto"/>
            <w:noWrap/>
            <w:vAlign w:val="bottom"/>
            <w:hideMark/>
          </w:tcPr>
          <w:p w14:paraId="2363B067" w14:textId="77777777" w:rsidR="00474DA8" w:rsidRDefault="00474DA8">
            <w:pPr>
              <w:jc w:val="right"/>
              <w:rPr>
                <w:color w:val="000000"/>
                <w:sz w:val="20"/>
                <w:szCs w:val="20"/>
              </w:rPr>
            </w:pPr>
            <w:r>
              <w:rPr>
                <w:color w:val="000000"/>
                <w:sz w:val="20"/>
                <w:szCs w:val="20"/>
              </w:rPr>
              <w:t>0.002</w:t>
            </w:r>
          </w:p>
        </w:tc>
      </w:tr>
      <w:tr w:rsidR="00474DA8" w14:paraId="3E6626E3" w14:textId="77777777" w:rsidTr="00474DA8">
        <w:trPr>
          <w:trHeight w:val="320"/>
        </w:trPr>
        <w:tc>
          <w:tcPr>
            <w:tcW w:w="1152" w:type="dxa"/>
            <w:tcBorders>
              <w:top w:val="nil"/>
              <w:left w:val="nil"/>
              <w:bottom w:val="nil"/>
              <w:right w:val="nil"/>
            </w:tcBorders>
            <w:shd w:val="clear" w:color="auto" w:fill="auto"/>
            <w:noWrap/>
            <w:vAlign w:val="bottom"/>
            <w:hideMark/>
          </w:tcPr>
          <w:p w14:paraId="56F8A6B6"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C20796C" w14:textId="77777777" w:rsidR="00474DA8" w:rsidRDefault="00474DA8">
            <w:pPr>
              <w:rPr>
                <w:color w:val="000000"/>
                <w:sz w:val="20"/>
                <w:szCs w:val="20"/>
              </w:rPr>
            </w:pPr>
            <w:r>
              <w:rPr>
                <w:color w:val="000000"/>
                <w:sz w:val="20"/>
                <w:szCs w:val="20"/>
              </w:rPr>
              <w:t>Default Mode</w:t>
            </w:r>
          </w:p>
        </w:tc>
        <w:tc>
          <w:tcPr>
            <w:tcW w:w="820" w:type="dxa"/>
            <w:tcBorders>
              <w:top w:val="nil"/>
              <w:left w:val="nil"/>
              <w:bottom w:val="nil"/>
              <w:right w:val="nil"/>
            </w:tcBorders>
            <w:shd w:val="clear" w:color="auto" w:fill="auto"/>
            <w:noWrap/>
            <w:vAlign w:val="bottom"/>
            <w:hideMark/>
          </w:tcPr>
          <w:p w14:paraId="24DEEDE4" w14:textId="77777777" w:rsidR="00474DA8" w:rsidRDefault="00474DA8">
            <w:pPr>
              <w:jc w:val="right"/>
              <w:rPr>
                <w:color w:val="000000"/>
                <w:sz w:val="20"/>
                <w:szCs w:val="20"/>
              </w:rPr>
            </w:pPr>
            <w:r>
              <w:rPr>
                <w:color w:val="000000"/>
                <w:sz w:val="20"/>
                <w:szCs w:val="20"/>
              </w:rPr>
              <w:t>0.026</w:t>
            </w:r>
          </w:p>
        </w:tc>
        <w:tc>
          <w:tcPr>
            <w:tcW w:w="820" w:type="dxa"/>
            <w:tcBorders>
              <w:top w:val="nil"/>
              <w:left w:val="nil"/>
              <w:bottom w:val="nil"/>
              <w:right w:val="nil"/>
            </w:tcBorders>
            <w:shd w:val="clear" w:color="auto" w:fill="auto"/>
            <w:noWrap/>
            <w:vAlign w:val="bottom"/>
            <w:hideMark/>
          </w:tcPr>
          <w:p w14:paraId="17590C83" w14:textId="77777777" w:rsidR="00474DA8" w:rsidRDefault="00474DA8">
            <w:pPr>
              <w:jc w:val="right"/>
              <w:rPr>
                <w:color w:val="000000"/>
                <w:sz w:val="20"/>
                <w:szCs w:val="20"/>
              </w:rPr>
            </w:pPr>
            <w:r>
              <w:rPr>
                <w:color w:val="000000"/>
                <w:sz w:val="20"/>
                <w:szCs w:val="20"/>
              </w:rPr>
              <w:t>0.744</w:t>
            </w:r>
          </w:p>
        </w:tc>
        <w:tc>
          <w:tcPr>
            <w:tcW w:w="820" w:type="dxa"/>
            <w:tcBorders>
              <w:top w:val="nil"/>
              <w:left w:val="nil"/>
              <w:bottom w:val="nil"/>
              <w:right w:val="nil"/>
            </w:tcBorders>
            <w:shd w:val="clear" w:color="auto" w:fill="auto"/>
            <w:noWrap/>
            <w:vAlign w:val="bottom"/>
            <w:hideMark/>
          </w:tcPr>
          <w:p w14:paraId="4E41B868" w14:textId="77777777" w:rsidR="00474DA8" w:rsidRDefault="00474DA8">
            <w:pPr>
              <w:jc w:val="right"/>
              <w:rPr>
                <w:color w:val="000000"/>
                <w:sz w:val="20"/>
                <w:szCs w:val="20"/>
              </w:rPr>
            </w:pPr>
            <w:r>
              <w:rPr>
                <w:color w:val="000000"/>
                <w:sz w:val="20"/>
                <w:szCs w:val="20"/>
              </w:rPr>
              <w:t>0.001</w:t>
            </w:r>
          </w:p>
        </w:tc>
        <w:tc>
          <w:tcPr>
            <w:tcW w:w="833" w:type="dxa"/>
            <w:tcBorders>
              <w:top w:val="nil"/>
              <w:left w:val="nil"/>
              <w:bottom w:val="nil"/>
              <w:right w:val="nil"/>
            </w:tcBorders>
            <w:shd w:val="clear" w:color="auto" w:fill="auto"/>
            <w:noWrap/>
            <w:vAlign w:val="bottom"/>
            <w:hideMark/>
          </w:tcPr>
          <w:p w14:paraId="4A4C5E2C" w14:textId="77777777" w:rsidR="00474DA8" w:rsidRDefault="00474DA8">
            <w:pPr>
              <w:jc w:val="right"/>
              <w:rPr>
                <w:color w:val="000000"/>
                <w:sz w:val="20"/>
                <w:szCs w:val="20"/>
              </w:rPr>
            </w:pPr>
            <w:r>
              <w:rPr>
                <w:color w:val="000000"/>
                <w:sz w:val="20"/>
                <w:szCs w:val="20"/>
              </w:rPr>
              <w:t>-0.023</w:t>
            </w:r>
          </w:p>
        </w:tc>
        <w:tc>
          <w:tcPr>
            <w:tcW w:w="832" w:type="dxa"/>
            <w:tcBorders>
              <w:top w:val="nil"/>
              <w:left w:val="nil"/>
              <w:bottom w:val="nil"/>
              <w:right w:val="nil"/>
            </w:tcBorders>
            <w:shd w:val="clear" w:color="auto" w:fill="auto"/>
            <w:noWrap/>
            <w:vAlign w:val="bottom"/>
            <w:hideMark/>
          </w:tcPr>
          <w:p w14:paraId="6EC5A981" w14:textId="77777777" w:rsidR="00474DA8" w:rsidRDefault="00474DA8">
            <w:pPr>
              <w:jc w:val="right"/>
              <w:rPr>
                <w:color w:val="000000"/>
                <w:sz w:val="20"/>
                <w:szCs w:val="20"/>
              </w:rPr>
            </w:pPr>
            <w:r>
              <w:rPr>
                <w:color w:val="000000"/>
                <w:sz w:val="20"/>
                <w:szCs w:val="20"/>
              </w:rPr>
              <w:t>0.699</w:t>
            </w:r>
          </w:p>
        </w:tc>
        <w:tc>
          <w:tcPr>
            <w:tcW w:w="832" w:type="dxa"/>
            <w:tcBorders>
              <w:top w:val="nil"/>
              <w:left w:val="nil"/>
              <w:bottom w:val="nil"/>
              <w:right w:val="nil"/>
            </w:tcBorders>
            <w:shd w:val="clear" w:color="auto" w:fill="auto"/>
            <w:noWrap/>
            <w:vAlign w:val="bottom"/>
            <w:hideMark/>
          </w:tcPr>
          <w:p w14:paraId="3004ACCE" w14:textId="77777777" w:rsidR="00474DA8" w:rsidRDefault="00474DA8">
            <w:pPr>
              <w:jc w:val="right"/>
              <w:rPr>
                <w:color w:val="000000"/>
                <w:sz w:val="20"/>
                <w:szCs w:val="20"/>
              </w:rPr>
            </w:pPr>
            <w:r>
              <w:rPr>
                <w:color w:val="000000"/>
                <w:sz w:val="20"/>
                <w:szCs w:val="20"/>
              </w:rPr>
              <w:t>0.001</w:t>
            </w:r>
          </w:p>
        </w:tc>
      </w:tr>
      <w:tr w:rsidR="00474DA8" w14:paraId="54958DD4" w14:textId="77777777" w:rsidTr="00474DA8">
        <w:trPr>
          <w:trHeight w:val="320"/>
        </w:trPr>
        <w:tc>
          <w:tcPr>
            <w:tcW w:w="1152" w:type="dxa"/>
            <w:tcBorders>
              <w:top w:val="nil"/>
              <w:left w:val="nil"/>
              <w:bottom w:val="nil"/>
              <w:right w:val="nil"/>
            </w:tcBorders>
            <w:shd w:val="clear" w:color="auto" w:fill="auto"/>
            <w:noWrap/>
            <w:vAlign w:val="bottom"/>
            <w:hideMark/>
          </w:tcPr>
          <w:p w14:paraId="6FEEBA50"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46E85D3" w14:textId="77777777" w:rsidR="00474DA8" w:rsidRDefault="00474DA8">
            <w:pPr>
              <w:rPr>
                <w:color w:val="000000"/>
                <w:sz w:val="20"/>
                <w:szCs w:val="20"/>
              </w:rPr>
            </w:pPr>
            <w:r>
              <w:rPr>
                <w:color w:val="000000"/>
                <w:sz w:val="20"/>
                <w:szCs w:val="20"/>
              </w:rPr>
              <w:t>Visual 2</w:t>
            </w:r>
          </w:p>
        </w:tc>
        <w:tc>
          <w:tcPr>
            <w:tcW w:w="820" w:type="dxa"/>
            <w:tcBorders>
              <w:top w:val="nil"/>
              <w:left w:val="nil"/>
              <w:bottom w:val="nil"/>
              <w:right w:val="nil"/>
            </w:tcBorders>
            <w:shd w:val="clear" w:color="auto" w:fill="auto"/>
            <w:noWrap/>
            <w:vAlign w:val="bottom"/>
            <w:hideMark/>
          </w:tcPr>
          <w:p w14:paraId="0F10C5C0" w14:textId="77777777" w:rsidR="00474DA8" w:rsidRDefault="00474DA8">
            <w:pPr>
              <w:jc w:val="right"/>
              <w:rPr>
                <w:color w:val="000000"/>
                <w:sz w:val="20"/>
                <w:szCs w:val="20"/>
              </w:rPr>
            </w:pPr>
            <w:r>
              <w:rPr>
                <w:color w:val="000000"/>
                <w:sz w:val="20"/>
                <w:szCs w:val="20"/>
              </w:rPr>
              <w:t>-0.026</w:t>
            </w:r>
          </w:p>
        </w:tc>
        <w:tc>
          <w:tcPr>
            <w:tcW w:w="820" w:type="dxa"/>
            <w:tcBorders>
              <w:top w:val="nil"/>
              <w:left w:val="nil"/>
              <w:bottom w:val="nil"/>
              <w:right w:val="nil"/>
            </w:tcBorders>
            <w:shd w:val="clear" w:color="auto" w:fill="auto"/>
            <w:noWrap/>
            <w:vAlign w:val="bottom"/>
            <w:hideMark/>
          </w:tcPr>
          <w:p w14:paraId="117EFEEA" w14:textId="77777777" w:rsidR="00474DA8" w:rsidRDefault="00474DA8">
            <w:pPr>
              <w:jc w:val="right"/>
              <w:rPr>
                <w:color w:val="000000"/>
                <w:sz w:val="20"/>
                <w:szCs w:val="20"/>
              </w:rPr>
            </w:pPr>
            <w:r>
              <w:rPr>
                <w:color w:val="000000"/>
                <w:sz w:val="20"/>
                <w:szCs w:val="20"/>
              </w:rPr>
              <w:t>0.744</w:t>
            </w:r>
          </w:p>
        </w:tc>
        <w:tc>
          <w:tcPr>
            <w:tcW w:w="820" w:type="dxa"/>
            <w:tcBorders>
              <w:top w:val="nil"/>
              <w:left w:val="nil"/>
              <w:bottom w:val="nil"/>
              <w:right w:val="nil"/>
            </w:tcBorders>
            <w:shd w:val="clear" w:color="auto" w:fill="auto"/>
            <w:noWrap/>
            <w:vAlign w:val="bottom"/>
            <w:hideMark/>
          </w:tcPr>
          <w:p w14:paraId="50061845" w14:textId="77777777" w:rsidR="00474DA8" w:rsidRDefault="00474DA8">
            <w:pPr>
              <w:jc w:val="right"/>
              <w:rPr>
                <w:color w:val="000000"/>
                <w:sz w:val="20"/>
                <w:szCs w:val="20"/>
              </w:rPr>
            </w:pPr>
            <w:r>
              <w:rPr>
                <w:color w:val="000000"/>
                <w:sz w:val="20"/>
                <w:szCs w:val="20"/>
              </w:rPr>
              <w:t>0.001</w:t>
            </w:r>
          </w:p>
        </w:tc>
        <w:tc>
          <w:tcPr>
            <w:tcW w:w="833" w:type="dxa"/>
            <w:tcBorders>
              <w:top w:val="nil"/>
              <w:left w:val="nil"/>
              <w:bottom w:val="nil"/>
              <w:right w:val="nil"/>
            </w:tcBorders>
            <w:shd w:val="clear" w:color="auto" w:fill="auto"/>
            <w:noWrap/>
            <w:vAlign w:val="bottom"/>
            <w:hideMark/>
          </w:tcPr>
          <w:p w14:paraId="14DDF0ED" w14:textId="77777777" w:rsidR="00474DA8" w:rsidRDefault="00474DA8">
            <w:pPr>
              <w:jc w:val="right"/>
              <w:rPr>
                <w:color w:val="000000"/>
                <w:sz w:val="20"/>
                <w:szCs w:val="20"/>
              </w:rPr>
            </w:pPr>
            <w:r>
              <w:rPr>
                <w:color w:val="000000"/>
                <w:sz w:val="20"/>
                <w:szCs w:val="20"/>
              </w:rPr>
              <w:t>-0.026</w:t>
            </w:r>
          </w:p>
        </w:tc>
        <w:tc>
          <w:tcPr>
            <w:tcW w:w="832" w:type="dxa"/>
            <w:tcBorders>
              <w:top w:val="nil"/>
              <w:left w:val="nil"/>
              <w:bottom w:val="nil"/>
              <w:right w:val="nil"/>
            </w:tcBorders>
            <w:shd w:val="clear" w:color="auto" w:fill="auto"/>
            <w:noWrap/>
            <w:vAlign w:val="bottom"/>
            <w:hideMark/>
          </w:tcPr>
          <w:p w14:paraId="2170701E" w14:textId="77777777" w:rsidR="00474DA8" w:rsidRDefault="00474DA8">
            <w:pPr>
              <w:jc w:val="right"/>
              <w:rPr>
                <w:color w:val="000000"/>
                <w:sz w:val="20"/>
                <w:szCs w:val="20"/>
              </w:rPr>
            </w:pPr>
            <w:r>
              <w:rPr>
                <w:color w:val="000000"/>
                <w:sz w:val="20"/>
                <w:szCs w:val="20"/>
              </w:rPr>
              <w:t>0.699</w:t>
            </w:r>
          </w:p>
        </w:tc>
        <w:tc>
          <w:tcPr>
            <w:tcW w:w="832" w:type="dxa"/>
            <w:tcBorders>
              <w:top w:val="nil"/>
              <w:left w:val="nil"/>
              <w:bottom w:val="nil"/>
              <w:right w:val="nil"/>
            </w:tcBorders>
            <w:shd w:val="clear" w:color="auto" w:fill="auto"/>
            <w:noWrap/>
            <w:vAlign w:val="bottom"/>
            <w:hideMark/>
          </w:tcPr>
          <w:p w14:paraId="7189F554" w14:textId="77777777" w:rsidR="00474DA8" w:rsidRDefault="00474DA8">
            <w:pPr>
              <w:jc w:val="right"/>
              <w:rPr>
                <w:color w:val="000000"/>
                <w:sz w:val="20"/>
                <w:szCs w:val="20"/>
              </w:rPr>
            </w:pPr>
            <w:r>
              <w:rPr>
                <w:color w:val="000000"/>
                <w:sz w:val="20"/>
                <w:szCs w:val="20"/>
              </w:rPr>
              <w:t>0.001</w:t>
            </w:r>
          </w:p>
        </w:tc>
      </w:tr>
      <w:tr w:rsidR="00474DA8" w14:paraId="2F2E2091" w14:textId="77777777" w:rsidTr="00474DA8">
        <w:trPr>
          <w:trHeight w:val="320"/>
        </w:trPr>
        <w:tc>
          <w:tcPr>
            <w:tcW w:w="1152" w:type="dxa"/>
            <w:tcBorders>
              <w:top w:val="nil"/>
              <w:left w:val="nil"/>
              <w:bottom w:val="nil"/>
              <w:right w:val="nil"/>
            </w:tcBorders>
            <w:shd w:val="clear" w:color="auto" w:fill="auto"/>
            <w:noWrap/>
            <w:vAlign w:val="bottom"/>
            <w:hideMark/>
          </w:tcPr>
          <w:p w14:paraId="086ED0AA" w14:textId="77777777" w:rsidR="00474DA8" w:rsidRDefault="00474DA8">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E47CAA6" w14:textId="77777777" w:rsidR="00474DA8" w:rsidRDefault="00474DA8">
            <w:pPr>
              <w:rPr>
                <w:color w:val="000000"/>
                <w:sz w:val="20"/>
                <w:szCs w:val="20"/>
              </w:rPr>
            </w:pPr>
            <w:r>
              <w:rPr>
                <w:color w:val="000000"/>
                <w:sz w:val="20"/>
                <w:szCs w:val="20"/>
              </w:rPr>
              <w:t>Visual 1</w:t>
            </w:r>
          </w:p>
        </w:tc>
        <w:tc>
          <w:tcPr>
            <w:tcW w:w="820" w:type="dxa"/>
            <w:tcBorders>
              <w:top w:val="nil"/>
              <w:left w:val="nil"/>
              <w:bottom w:val="nil"/>
              <w:right w:val="nil"/>
            </w:tcBorders>
            <w:shd w:val="clear" w:color="auto" w:fill="auto"/>
            <w:noWrap/>
            <w:vAlign w:val="bottom"/>
            <w:hideMark/>
          </w:tcPr>
          <w:p w14:paraId="43360152" w14:textId="77777777" w:rsidR="00474DA8" w:rsidRDefault="00474DA8">
            <w:pPr>
              <w:jc w:val="right"/>
              <w:rPr>
                <w:color w:val="000000"/>
                <w:sz w:val="20"/>
                <w:szCs w:val="20"/>
              </w:rPr>
            </w:pPr>
            <w:r>
              <w:rPr>
                <w:color w:val="000000"/>
                <w:sz w:val="20"/>
                <w:szCs w:val="20"/>
              </w:rPr>
              <w:t>0.041</w:t>
            </w:r>
          </w:p>
        </w:tc>
        <w:tc>
          <w:tcPr>
            <w:tcW w:w="820" w:type="dxa"/>
            <w:tcBorders>
              <w:top w:val="nil"/>
              <w:left w:val="nil"/>
              <w:bottom w:val="nil"/>
              <w:right w:val="nil"/>
            </w:tcBorders>
            <w:shd w:val="clear" w:color="auto" w:fill="auto"/>
            <w:noWrap/>
            <w:vAlign w:val="bottom"/>
            <w:hideMark/>
          </w:tcPr>
          <w:p w14:paraId="09DD776A" w14:textId="77777777" w:rsidR="00474DA8" w:rsidRDefault="00474DA8">
            <w:pPr>
              <w:jc w:val="right"/>
              <w:rPr>
                <w:color w:val="000000"/>
                <w:sz w:val="20"/>
                <w:szCs w:val="20"/>
              </w:rPr>
            </w:pPr>
            <w:r>
              <w:rPr>
                <w:color w:val="000000"/>
                <w:sz w:val="20"/>
                <w:szCs w:val="20"/>
              </w:rPr>
              <w:t>0.628</w:t>
            </w:r>
          </w:p>
        </w:tc>
        <w:tc>
          <w:tcPr>
            <w:tcW w:w="820" w:type="dxa"/>
            <w:tcBorders>
              <w:top w:val="nil"/>
              <w:left w:val="nil"/>
              <w:bottom w:val="nil"/>
              <w:right w:val="nil"/>
            </w:tcBorders>
            <w:shd w:val="clear" w:color="auto" w:fill="auto"/>
            <w:noWrap/>
            <w:vAlign w:val="bottom"/>
            <w:hideMark/>
          </w:tcPr>
          <w:p w14:paraId="103AE212" w14:textId="77777777" w:rsidR="00474DA8" w:rsidRDefault="00474DA8">
            <w:pPr>
              <w:jc w:val="right"/>
              <w:rPr>
                <w:color w:val="000000"/>
                <w:sz w:val="20"/>
                <w:szCs w:val="20"/>
              </w:rPr>
            </w:pPr>
            <w:r>
              <w:rPr>
                <w:color w:val="000000"/>
                <w:sz w:val="20"/>
                <w:szCs w:val="20"/>
              </w:rPr>
              <w:t>0.002</w:t>
            </w:r>
          </w:p>
        </w:tc>
        <w:tc>
          <w:tcPr>
            <w:tcW w:w="833" w:type="dxa"/>
            <w:tcBorders>
              <w:top w:val="nil"/>
              <w:left w:val="nil"/>
              <w:bottom w:val="nil"/>
              <w:right w:val="nil"/>
            </w:tcBorders>
            <w:shd w:val="clear" w:color="auto" w:fill="auto"/>
            <w:noWrap/>
            <w:vAlign w:val="bottom"/>
            <w:hideMark/>
          </w:tcPr>
          <w:p w14:paraId="3DFF87BC" w14:textId="77777777" w:rsidR="00474DA8" w:rsidRDefault="00474DA8">
            <w:pPr>
              <w:jc w:val="right"/>
              <w:rPr>
                <w:color w:val="000000"/>
                <w:sz w:val="20"/>
                <w:szCs w:val="20"/>
              </w:rPr>
            </w:pPr>
            <w:r>
              <w:rPr>
                <w:color w:val="000000"/>
                <w:sz w:val="20"/>
                <w:szCs w:val="20"/>
              </w:rPr>
              <w:t>-0.025</w:t>
            </w:r>
          </w:p>
        </w:tc>
        <w:tc>
          <w:tcPr>
            <w:tcW w:w="832" w:type="dxa"/>
            <w:tcBorders>
              <w:top w:val="nil"/>
              <w:left w:val="nil"/>
              <w:bottom w:val="nil"/>
              <w:right w:val="nil"/>
            </w:tcBorders>
            <w:shd w:val="clear" w:color="auto" w:fill="auto"/>
            <w:noWrap/>
            <w:vAlign w:val="bottom"/>
            <w:hideMark/>
          </w:tcPr>
          <w:p w14:paraId="0F06FDCF" w14:textId="77777777" w:rsidR="00474DA8" w:rsidRDefault="00474DA8">
            <w:pPr>
              <w:jc w:val="right"/>
              <w:rPr>
                <w:color w:val="000000"/>
                <w:sz w:val="20"/>
                <w:szCs w:val="20"/>
              </w:rPr>
            </w:pPr>
            <w:r>
              <w:rPr>
                <w:color w:val="000000"/>
                <w:sz w:val="20"/>
                <w:szCs w:val="20"/>
              </w:rPr>
              <w:t>0.699</w:t>
            </w:r>
          </w:p>
        </w:tc>
        <w:tc>
          <w:tcPr>
            <w:tcW w:w="832" w:type="dxa"/>
            <w:tcBorders>
              <w:top w:val="nil"/>
              <w:left w:val="nil"/>
              <w:bottom w:val="nil"/>
              <w:right w:val="nil"/>
            </w:tcBorders>
            <w:shd w:val="clear" w:color="auto" w:fill="auto"/>
            <w:noWrap/>
            <w:vAlign w:val="bottom"/>
            <w:hideMark/>
          </w:tcPr>
          <w:p w14:paraId="1A439EC1" w14:textId="77777777" w:rsidR="00474DA8" w:rsidRDefault="00474DA8">
            <w:pPr>
              <w:jc w:val="right"/>
              <w:rPr>
                <w:color w:val="000000"/>
                <w:sz w:val="20"/>
                <w:szCs w:val="20"/>
              </w:rPr>
            </w:pPr>
            <w:r>
              <w:rPr>
                <w:color w:val="000000"/>
                <w:sz w:val="20"/>
                <w:szCs w:val="20"/>
              </w:rPr>
              <w:t>0.001</w:t>
            </w:r>
          </w:p>
        </w:tc>
      </w:tr>
      <w:tr w:rsidR="00474DA8" w14:paraId="05BD42A2"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17A414F9" w14:textId="77777777" w:rsidR="00474DA8" w:rsidRDefault="00474DA8">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0CC55413" w14:textId="77777777" w:rsidR="00474DA8" w:rsidRDefault="00474DA8">
            <w:pPr>
              <w:rPr>
                <w:color w:val="000000"/>
                <w:sz w:val="20"/>
                <w:szCs w:val="20"/>
              </w:rPr>
            </w:pPr>
            <w:r>
              <w:rPr>
                <w:color w:val="000000"/>
                <w:sz w:val="20"/>
                <w:szCs w:val="20"/>
              </w:rPr>
              <w:t>Visual Association</w:t>
            </w:r>
          </w:p>
        </w:tc>
        <w:tc>
          <w:tcPr>
            <w:tcW w:w="820" w:type="dxa"/>
            <w:tcBorders>
              <w:top w:val="nil"/>
              <w:left w:val="nil"/>
              <w:bottom w:val="single" w:sz="12" w:space="0" w:color="auto"/>
              <w:right w:val="nil"/>
            </w:tcBorders>
            <w:shd w:val="clear" w:color="auto" w:fill="auto"/>
            <w:noWrap/>
            <w:vAlign w:val="bottom"/>
            <w:hideMark/>
          </w:tcPr>
          <w:p w14:paraId="0937188D" w14:textId="77777777" w:rsidR="00474DA8" w:rsidRDefault="00474DA8">
            <w:pPr>
              <w:jc w:val="right"/>
              <w:rPr>
                <w:color w:val="000000"/>
                <w:sz w:val="20"/>
                <w:szCs w:val="20"/>
              </w:rPr>
            </w:pPr>
            <w:r>
              <w:rPr>
                <w:color w:val="000000"/>
                <w:sz w:val="20"/>
                <w:szCs w:val="20"/>
              </w:rPr>
              <w:t>0.013</w:t>
            </w:r>
          </w:p>
        </w:tc>
        <w:tc>
          <w:tcPr>
            <w:tcW w:w="820" w:type="dxa"/>
            <w:tcBorders>
              <w:top w:val="nil"/>
              <w:left w:val="nil"/>
              <w:bottom w:val="single" w:sz="12" w:space="0" w:color="auto"/>
              <w:right w:val="nil"/>
            </w:tcBorders>
            <w:shd w:val="clear" w:color="auto" w:fill="auto"/>
            <w:noWrap/>
            <w:vAlign w:val="bottom"/>
            <w:hideMark/>
          </w:tcPr>
          <w:p w14:paraId="21B57CD1" w14:textId="77777777" w:rsidR="00474DA8" w:rsidRDefault="00474DA8">
            <w:pPr>
              <w:jc w:val="right"/>
              <w:rPr>
                <w:color w:val="000000"/>
                <w:sz w:val="20"/>
                <w:szCs w:val="20"/>
              </w:rPr>
            </w:pPr>
            <w:r>
              <w:rPr>
                <w:color w:val="000000"/>
                <w:sz w:val="20"/>
                <w:szCs w:val="20"/>
              </w:rPr>
              <w:t>0.967</w:t>
            </w:r>
          </w:p>
        </w:tc>
        <w:tc>
          <w:tcPr>
            <w:tcW w:w="820" w:type="dxa"/>
            <w:tcBorders>
              <w:top w:val="nil"/>
              <w:left w:val="nil"/>
              <w:bottom w:val="single" w:sz="12" w:space="0" w:color="auto"/>
              <w:right w:val="nil"/>
            </w:tcBorders>
            <w:shd w:val="clear" w:color="auto" w:fill="auto"/>
            <w:noWrap/>
            <w:vAlign w:val="bottom"/>
            <w:hideMark/>
          </w:tcPr>
          <w:p w14:paraId="4A821C1E" w14:textId="77777777" w:rsidR="00474DA8" w:rsidRDefault="00474DA8">
            <w:pPr>
              <w:jc w:val="right"/>
              <w:rPr>
                <w:color w:val="000000"/>
                <w:sz w:val="20"/>
                <w:szCs w:val="20"/>
              </w:rPr>
            </w:pPr>
            <w:r>
              <w:rPr>
                <w:color w:val="000000"/>
                <w:sz w:val="20"/>
                <w:szCs w:val="20"/>
              </w:rPr>
              <w:t>0.000</w:t>
            </w:r>
          </w:p>
        </w:tc>
        <w:tc>
          <w:tcPr>
            <w:tcW w:w="833" w:type="dxa"/>
            <w:tcBorders>
              <w:top w:val="nil"/>
              <w:left w:val="nil"/>
              <w:bottom w:val="single" w:sz="12" w:space="0" w:color="auto"/>
              <w:right w:val="nil"/>
            </w:tcBorders>
            <w:shd w:val="clear" w:color="auto" w:fill="auto"/>
            <w:noWrap/>
            <w:vAlign w:val="bottom"/>
            <w:hideMark/>
          </w:tcPr>
          <w:p w14:paraId="7C7D7B98" w14:textId="77777777" w:rsidR="00474DA8" w:rsidRDefault="00474DA8">
            <w:pPr>
              <w:jc w:val="right"/>
              <w:rPr>
                <w:color w:val="000000"/>
                <w:sz w:val="20"/>
                <w:szCs w:val="20"/>
              </w:rPr>
            </w:pPr>
            <w:r>
              <w:rPr>
                <w:color w:val="000000"/>
                <w:sz w:val="20"/>
                <w:szCs w:val="20"/>
              </w:rPr>
              <w:t>0.028</w:t>
            </w:r>
          </w:p>
        </w:tc>
        <w:tc>
          <w:tcPr>
            <w:tcW w:w="832" w:type="dxa"/>
            <w:tcBorders>
              <w:top w:val="nil"/>
              <w:left w:val="nil"/>
              <w:bottom w:val="single" w:sz="12" w:space="0" w:color="auto"/>
              <w:right w:val="nil"/>
            </w:tcBorders>
            <w:shd w:val="clear" w:color="auto" w:fill="auto"/>
            <w:noWrap/>
            <w:vAlign w:val="bottom"/>
            <w:hideMark/>
          </w:tcPr>
          <w:p w14:paraId="74FB681B" w14:textId="77777777" w:rsidR="00474DA8" w:rsidRDefault="00474DA8">
            <w:pPr>
              <w:jc w:val="right"/>
              <w:rPr>
                <w:color w:val="000000"/>
                <w:sz w:val="20"/>
                <w:szCs w:val="20"/>
              </w:rPr>
            </w:pPr>
            <w:r>
              <w:rPr>
                <w:color w:val="000000"/>
                <w:sz w:val="20"/>
                <w:szCs w:val="20"/>
              </w:rPr>
              <w:t>0.699</w:t>
            </w:r>
          </w:p>
        </w:tc>
        <w:tc>
          <w:tcPr>
            <w:tcW w:w="832" w:type="dxa"/>
            <w:tcBorders>
              <w:top w:val="nil"/>
              <w:left w:val="nil"/>
              <w:bottom w:val="single" w:sz="12" w:space="0" w:color="auto"/>
              <w:right w:val="nil"/>
            </w:tcBorders>
            <w:shd w:val="clear" w:color="auto" w:fill="auto"/>
            <w:noWrap/>
            <w:vAlign w:val="bottom"/>
            <w:hideMark/>
          </w:tcPr>
          <w:p w14:paraId="6BD5D79B" w14:textId="77777777" w:rsidR="00474DA8" w:rsidRDefault="00474DA8">
            <w:pPr>
              <w:jc w:val="right"/>
              <w:rPr>
                <w:color w:val="000000"/>
                <w:sz w:val="20"/>
                <w:szCs w:val="20"/>
              </w:rPr>
            </w:pPr>
            <w:r>
              <w:rPr>
                <w:color w:val="000000"/>
                <w:sz w:val="20"/>
                <w:szCs w:val="20"/>
              </w:rPr>
              <w:t>0.001</w:t>
            </w:r>
          </w:p>
        </w:tc>
      </w:tr>
      <w:tr w:rsidR="00474DA8" w14:paraId="74A37E48"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48B1F4ED" w14:textId="77777777" w:rsidR="00474DA8" w:rsidRDefault="00474DA8">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6E0E0B26" w14:textId="77777777" w:rsidR="00474DA8" w:rsidRDefault="00474DA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BCEB5F4" w14:textId="77777777" w:rsidR="00474DA8" w:rsidRDefault="00474DA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342722F0" w14:textId="77777777" w:rsidR="00474DA8" w:rsidRDefault="00474DA8">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5C742E19" w14:textId="77777777" w:rsidR="00474DA8" w:rsidRDefault="00474DA8">
            <w:pPr>
              <w:rPr>
                <w:sz w:val="20"/>
                <w:szCs w:val="20"/>
              </w:rPr>
            </w:pPr>
          </w:p>
        </w:tc>
        <w:tc>
          <w:tcPr>
            <w:tcW w:w="833" w:type="dxa"/>
            <w:tcBorders>
              <w:top w:val="single" w:sz="12" w:space="0" w:color="auto"/>
              <w:left w:val="nil"/>
              <w:bottom w:val="nil"/>
              <w:right w:val="nil"/>
            </w:tcBorders>
            <w:shd w:val="clear" w:color="auto" w:fill="auto"/>
            <w:noWrap/>
            <w:vAlign w:val="bottom"/>
            <w:hideMark/>
          </w:tcPr>
          <w:p w14:paraId="701957E9" w14:textId="77777777" w:rsidR="00474DA8" w:rsidRDefault="00474DA8">
            <w:pPr>
              <w:rPr>
                <w:sz w:val="20"/>
                <w:szCs w:val="20"/>
              </w:rPr>
            </w:pPr>
          </w:p>
        </w:tc>
        <w:tc>
          <w:tcPr>
            <w:tcW w:w="832" w:type="dxa"/>
            <w:tcBorders>
              <w:top w:val="single" w:sz="12" w:space="0" w:color="auto"/>
              <w:left w:val="nil"/>
              <w:bottom w:val="nil"/>
              <w:right w:val="nil"/>
            </w:tcBorders>
            <w:shd w:val="clear" w:color="auto" w:fill="auto"/>
            <w:noWrap/>
            <w:vAlign w:val="bottom"/>
            <w:hideMark/>
          </w:tcPr>
          <w:p w14:paraId="174E75E4" w14:textId="77777777" w:rsidR="00474DA8" w:rsidRDefault="00474DA8">
            <w:pPr>
              <w:rPr>
                <w:sz w:val="20"/>
                <w:szCs w:val="20"/>
              </w:rPr>
            </w:pPr>
          </w:p>
        </w:tc>
        <w:tc>
          <w:tcPr>
            <w:tcW w:w="832" w:type="dxa"/>
            <w:tcBorders>
              <w:top w:val="single" w:sz="12" w:space="0" w:color="auto"/>
              <w:left w:val="nil"/>
              <w:bottom w:val="nil"/>
              <w:right w:val="nil"/>
            </w:tcBorders>
            <w:shd w:val="clear" w:color="auto" w:fill="auto"/>
            <w:noWrap/>
            <w:vAlign w:val="bottom"/>
            <w:hideMark/>
          </w:tcPr>
          <w:p w14:paraId="380D6333" w14:textId="77777777" w:rsidR="00474DA8" w:rsidRDefault="00474DA8">
            <w:pPr>
              <w:rPr>
                <w:sz w:val="20"/>
                <w:szCs w:val="20"/>
              </w:rPr>
            </w:pPr>
          </w:p>
        </w:tc>
      </w:tr>
    </w:tbl>
    <w:p w14:paraId="632FCD76" w14:textId="730CFC77" w:rsidR="00E60A27" w:rsidRDefault="00E60A27" w:rsidP="00BC5AB7">
      <w:pPr>
        <w:rPr>
          <w:rFonts w:ascii="Batang" w:eastAsia="Batang" w:hAnsi="Batang" w:cs="Batang"/>
          <w:color w:val="000000"/>
        </w:rPr>
      </w:pPr>
    </w:p>
    <w:p w14:paraId="047B02FF" w14:textId="2DB6F5A3" w:rsidR="00B751D3" w:rsidRPr="00474DA8" w:rsidRDefault="00E60A27" w:rsidP="00B751D3">
      <w:pPr>
        <w:pStyle w:val="Heading1"/>
        <w:rPr>
          <w:rFonts w:ascii="Times New Roman" w:hAnsi="Times New Roman" w:cs="Times New Roman"/>
          <w:color w:val="000000" w:themeColor="text1"/>
          <w:sz w:val="24"/>
          <w:szCs w:val="24"/>
        </w:rPr>
      </w:pPr>
      <w:r>
        <w:rPr>
          <w:rFonts w:ascii="Batang" w:eastAsia="Batang" w:hAnsi="Batang" w:cs="Batang"/>
          <w:color w:val="000000"/>
        </w:rPr>
        <w:br w:type="page"/>
      </w:r>
      <w:bookmarkStart w:id="74" w:name="_Toc155817741"/>
      <w:r w:rsidR="00B751D3" w:rsidRPr="00B751D3">
        <w:rPr>
          <w:rFonts w:ascii="Times New Roman" w:hAnsi="Times New Roman" w:cs="Times New Roman"/>
          <w:b/>
          <w:bCs/>
          <w:color w:val="000000" w:themeColor="text1"/>
          <w:sz w:val="24"/>
          <w:szCs w:val="24"/>
        </w:rPr>
        <w:lastRenderedPageBreak/>
        <w:t>Table 27k.</w:t>
      </w:r>
      <w:r w:rsidR="00B751D3">
        <w:rPr>
          <w:rFonts w:ascii="Times New Roman" w:hAnsi="Times New Roman" w:cs="Times New Roman"/>
          <w:color w:val="000000" w:themeColor="text1"/>
          <w:sz w:val="24"/>
          <w:szCs w:val="24"/>
        </w:rPr>
        <w:t xml:space="preserve"> Results examining the relationship between Shen-268 network small world omega and neighborhood SES deprivation obtained from bifactor modeling and neighborhood median income during monetary incentive delay task</w:t>
      </w:r>
      <w:bookmarkEnd w:id="74"/>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B751D3" w14:paraId="7103A1F8"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7E2EAC93" w14:textId="77777777" w:rsidR="00B751D3" w:rsidRDefault="00B751D3" w:rsidP="005A3B4D">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5F9F8F97" w14:textId="77777777" w:rsidR="00B751D3" w:rsidRDefault="00B751D3" w:rsidP="005A3B4D">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07548E5E" w14:textId="77777777" w:rsidR="00B751D3" w:rsidRDefault="00B751D3" w:rsidP="005A3B4D">
            <w:pPr>
              <w:rPr>
                <w:color w:val="000000"/>
              </w:rPr>
            </w:pPr>
          </w:p>
        </w:tc>
        <w:tc>
          <w:tcPr>
            <w:tcW w:w="864" w:type="dxa"/>
            <w:tcBorders>
              <w:top w:val="nil"/>
              <w:left w:val="nil"/>
              <w:bottom w:val="single" w:sz="12" w:space="0" w:color="auto"/>
              <w:right w:val="nil"/>
            </w:tcBorders>
            <w:shd w:val="clear" w:color="auto" w:fill="auto"/>
            <w:noWrap/>
            <w:vAlign w:val="bottom"/>
            <w:hideMark/>
          </w:tcPr>
          <w:p w14:paraId="51E65EF3" w14:textId="77777777" w:rsidR="00B751D3" w:rsidRDefault="00B751D3"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DD56FF7" w14:textId="77777777" w:rsidR="00B751D3" w:rsidRDefault="00B751D3"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035087B" w14:textId="77777777" w:rsidR="00B751D3" w:rsidRDefault="00B751D3"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D9347E7" w14:textId="77777777" w:rsidR="00B751D3" w:rsidRDefault="00B751D3" w:rsidP="005A3B4D">
            <w:pPr>
              <w:rPr>
                <w:sz w:val="20"/>
                <w:szCs w:val="20"/>
              </w:rPr>
            </w:pPr>
          </w:p>
        </w:tc>
        <w:tc>
          <w:tcPr>
            <w:tcW w:w="864" w:type="dxa"/>
            <w:tcBorders>
              <w:top w:val="nil"/>
              <w:left w:val="nil"/>
              <w:bottom w:val="nil"/>
              <w:right w:val="nil"/>
            </w:tcBorders>
            <w:shd w:val="clear" w:color="auto" w:fill="auto"/>
            <w:noWrap/>
            <w:vAlign w:val="bottom"/>
            <w:hideMark/>
          </w:tcPr>
          <w:p w14:paraId="363A2E01" w14:textId="77777777" w:rsidR="00B751D3" w:rsidRDefault="00B751D3" w:rsidP="005A3B4D">
            <w:pPr>
              <w:rPr>
                <w:sz w:val="20"/>
                <w:szCs w:val="20"/>
              </w:rPr>
            </w:pPr>
          </w:p>
        </w:tc>
      </w:tr>
      <w:tr w:rsidR="00B751D3" w14:paraId="671D0225" w14:textId="77777777" w:rsidTr="005A3B4D">
        <w:trPr>
          <w:trHeight w:val="340"/>
        </w:trPr>
        <w:tc>
          <w:tcPr>
            <w:tcW w:w="1152" w:type="dxa"/>
            <w:tcBorders>
              <w:top w:val="single" w:sz="12" w:space="0" w:color="auto"/>
              <w:left w:val="nil"/>
              <w:bottom w:val="nil"/>
              <w:right w:val="nil"/>
            </w:tcBorders>
            <w:shd w:val="clear" w:color="auto" w:fill="auto"/>
            <w:noWrap/>
            <w:vAlign w:val="bottom"/>
            <w:hideMark/>
          </w:tcPr>
          <w:p w14:paraId="33699D7B" w14:textId="77777777" w:rsidR="00B751D3" w:rsidRDefault="00B751D3" w:rsidP="005A3B4D">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75CB5138" w14:textId="77777777" w:rsidR="00B751D3" w:rsidRDefault="00B751D3" w:rsidP="005A3B4D">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13F7D3DF" w14:textId="77777777" w:rsidR="00B751D3" w:rsidRDefault="00B751D3" w:rsidP="005A3B4D">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2587D5AD" w14:textId="77777777" w:rsidR="00B751D3" w:rsidRDefault="00B751D3" w:rsidP="005A3B4D">
            <w:pPr>
              <w:jc w:val="center"/>
              <w:rPr>
                <w:color w:val="000000"/>
                <w:sz w:val="20"/>
                <w:szCs w:val="20"/>
              </w:rPr>
            </w:pPr>
            <w:r>
              <w:rPr>
                <w:color w:val="000000"/>
                <w:sz w:val="20"/>
                <w:szCs w:val="20"/>
              </w:rPr>
              <w:t>Neighborhood Median Income</w:t>
            </w:r>
          </w:p>
        </w:tc>
      </w:tr>
      <w:tr w:rsidR="00B751D3" w14:paraId="5256EB61" w14:textId="77777777" w:rsidTr="005A3B4D">
        <w:trPr>
          <w:trHeight w:val="360"/>
        </w:trPr>
        <w:tc>
          <w:tcPr>
            <w:tcW w:w="1152" w:type="dxa"/>
            <w:tcBorders>
              <w:top w:val="nil"/>
              <w:left w:val="nil"/>
              <w:bottom w:val="single" w:sz="12" w:space="0" w:color="auto"/>
              <w:right w:val="nil"/>
            </w:tcBorders>
            <w:shd w:val="clear" w:color="auto" w:fill="auto"/>
            <w:noWrap/>
            <w:vAlign w:val="bottom"/>
            <w:hideMark/>
          </w:tcPr>
          <w:p w14:paraId="5EE83D66" w14:textId="77777777" w:rsidR="00B751D3" w:rsidRDefault="00B751D3" w:rsidP="005A3B4D">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0E886AD8" w14:textId="77777777" w:rsidR="00B751D3" w:rsidRDefault="00B751D3" w:rsidP="005A3B4D">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22778C74" w14:textId="77777777" w:rsidR="00B751D3" w:rsidRDefault="00B751D3"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5F540984" w14:textId="77777777" w:rsidR="00B751D3" w:rsidRDefault="00B751D3"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35FE02D1" w14:textId="77777777" w:rsidR="00B751D3" w:rsidRDefault="00B751D3" w:rsidP="005A3B4D">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6CBEDB0C" w14:textId="77777777" w:rsidR="00B751D3" w:rsidRDefault="00B751D3"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0E6545E" w14:textId="77777777" w:rsidR="00B751D3" w:rsidRDefault="00B751D3"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4F3F8179" w14:textId="77777777" w:rsidR="00B751D3" w:rsidRDefault="00B751D3" w:rsidP="005A3B4D">
            <w:pPr>
              <w:jc w:val="center"/>
              <w:rPr>
                <w:i/>
                <w:iCs/>
                <w:color w:val="000000"/>
                <w:sz w:val="20"/>
                <w:szCs w:val="20"/>
              </w:rPr>
            </w:pPr>
            <w:r>
              <w:rPr>
                <w:i/>
                <w:iCs/>
                <w:color w:val="000000"/>
                <w:sz w:val="20"/>
                <w:szCs w:val="20"/>
              </w:rPr>
              <w:t>R2</w:t>
            </w:r>
          </w:p>
        </w:tc>
      </w:tr>
      <w:tr w:rsidR="00B751D3" w14:paraId="01062658"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6B90BBB5" w14:textId="77777777" w:rsidR="00B751D3" w:rsidRDefault="00B751D3" w:rsidP="005A3B4D">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2A7DF5EF" w14:textId="77777777" w:rsidR="00B751D3" w:rsidRDefault="00B751D3" w:rsidP="005A3B4D">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3D5089F2" w14:textId="77777777" w:rsidR="00B751D3" w:rsidRDefault="00B751D3" w:rsidP="005A3B4D">
            <w:pPr>
              <w:jc w:val="right"/>
              <w:rPr>
                <w:color w:val="000000"/>
                <w:sz w:val="20"/>
                <w:szCs w:val="20"/>
              </w:rPr>
            </w:pPr>
            <w:r>
              <w:rPr>
                <w:color w:val="000000"/>
                <w:sz w:val="20"/>
                <w:szCs w:val="20"/>
              </w:rPr>
              <w:t>0.026</w:t>
            </w:r>
          </w:p>
        </w:tc>
        <w:tc>
          <w:tcPr>
            <w:tcW w:w="864" w:type="dxa"/>
            <w:tcBorders>
              <w:top w:val="single" w:sz="12" w:space="0" w:color="auto"/>
              <w:left w:val="nil"/>
              <w:bottom w:val="nil"/>
              <w:right w:val="nil"/>
            </w:tcBorders>
            <w:shd w:val="clear" w:color="auto" w:fill="auto"/>
            <w:noWrap/>
            <w:vAlign w:val="bottom"/>
            <w:hideMark/>
          </w:tcPr>
          <w:p w14:paraId="55C8E4A0" w14:textId="77777777" w:rsidR="00B751D3" w:rsidRDefault="00B751D3" w:rsidP="005A3B4D">
            <w:pPr>
              <w:jc w:val="right"/>
              <w:rPr>
                <w:color w:val="000000"/>
                <w:sz w:val="20"/>
                <w:szCs w:val="20"/>
              </w:rPr>
            </w:pPr>
            <w:r>
              <w:rPr>
                <w:color w:val="000000"/>
                <w:sz w:val="20"/>
                <w:szCs w:val="20"/>
              </w:rPr>
              <w:t>0.768</w:t>
            </w:r>
          </w:p>
        </w:tc>
        <w:tc>
          <w:tcPr>
            <w:tcW w:w="864" w:type="dxa"/>
            <w:tcBorders>
              <w:top w:val="single" w:sz="12" w:space="0" w:color="auto"/>
              <w:left w:val="nil"/>
              <w:bottom w:val="nil"/>
              <w:right w:val="nil"/>
            </w:tcBorders>
            <w:shd w:val="clear" w:color="auto" w:fill="auto"/>
            <w:noWrap/>
            <w:vAlign w:val="bottom"/>
            <w:hideMark/>
          </w:tcPr>
          <w:p w14:paraId="16F7B48E" w14:textId="77777777" w:rsidR="00B751D3" w:rsidRDefault="00B751D3" w:rsidP="005A3B4D">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37D66AAD" w14:textId="77777777" w:rsidR="00B751D3" w:rsidRDefault="00B751D3" w:rsidP="005A3B4D">
            <w:pPr>
              <w:jc w:val="right"/>
              <w:rPr>
                <w:color w:val="000000"/>
                <w:sz w:val="20"/>
                <w:szCs w:val="20"/>
              </w:rPr>
            </w:pPr>
            <w:r>
              <w:rPr>
                <w:color w:val="000000"/>
                <w:sz w:val="20"/>
                <w:szCs w:val="20"/>
              </w:rPr>
              <w:t>0.005</w:t>
            </w:r>
          </w:p>
        </w:tc>
        <w:tc>
          <w:tcPr>
            <w:tcW w:w="864" w:type="dxa"/>
            <w:tcBorders>
              <w:top w:val="single" w:sz="12" w:space="0" w:color="auto"/>
              <w:left w:val="nil"/>
              <w:bottom w:val="nil"/>
              <w:right w:val="nil"/>
            </w:tcBorders>
            <w:shd w:val="clear" w:color="auto" w:fill="auto"/>
            <w:noWrap/>
            <w:vAlign w:val="bottom"/>
            <w:hideMark/>
          </w:tcPr>
          <w:p w14:paraId="37C74671" w14:textId="77777777" w:rsidR="00B751D3" w:rsidRDefault="00B751D3" w:rsidP="005A3B4D">
            <w:pPr>
              <w:jc w:val="right"/>
              <w:rPr>
                <w:color w:val="000000"/>
                <w:sz w:val="20"/>
                <w:szCs w:val="20"/>
              </w:rPr>
            </w:pPr>
            <w:r>
              <w:rPr>
                <w:color w:val="000000"/>
                <w:sz w:val="20"/>
                <w:szCs w:val="20"/>
              </w:rPr>
              <w:t>0.880</w:t>
            </w:r>
          </w:p>
        </w:tc>
        <w:tc>
          <w:tcPr>
            <w:tcW w:w="864" w:type="dxa"/>
            <w:tcBorders>
              <w:top w:val="single" w:sz="12" w:space="0" w:color="auto"/>
              <w:left w:val="nil"/>
              <w:bottom w:val="nil"/>
              <w:right w:val="nil"/>
            </w:tcBorders>
            <w:shd w:val="clear" w:color="auto" w:fill="auto"/>
            <w:noWrap/>
            <w:vAlign w:val="bottom"/>
            <w:hideMark/>
          </w:tcPr>
          <w:p w14:paraId="72E61D7D" w14:textId="77777777" w:rsidR="00B751D3" w:rsidRDefault="00B751D3" w:rsidP="005A3B4D">
            <w:pPr>
              <w:jc w:val="right"/>
              <w:rPr>
                <w:color w:val="000000"/>
                <w:sz w:val="20"/>
                <w:szCs w:val="20"/>
              </w:rPr>
            </w:pPr>
            <w:r>
              <w:rPr>
                <w:color w:val="000000"/>
                <w:sz w:val="20"/>
                <w:szCs w:val="20"/>
              </w:rPr>
              <w:t>0.000</w:t>
            </w:r>
          </w:p>
        </w:tc>
      </w:tr>
      <w:tr w:rsidR="00B751D3" w14:paraId="661BA083" w14:textId="77777777" w:rsidTr="005A3B4D">
        <w:trPr>
          <w:trHeight w:val="340"/>
        </w:trPr>
        <w:tc>
          <w:tcPr>
            <w:tcW w:w="1152" w:type="dxa"/>
            <w:tcBorders>
              <w:top w:val="nil"/>
              <w:left w:val="nil"/>
              <w:bottom w:val="nil"/>
              <w:right w:val="nil"/>
            </w:tcBorders>
            <w:shd w:val="clear" w:color="auto" w:fill="auto"/>
            <w:noWrap/>
            <w:vAlign w:val="bottom"/>
            <w:hideMark/>
          </w:tcPr>
          <w:p w14:paraId="63F9C107"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F6F192F" w14:textId="77777777" w:rsidR="00B751D3" w:rsidRDefault="00B751D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4261E1A" w14:textId="77777777" w:rsidR="00B751D3" w:rsidRDefault="00B751D3" w:rsidP="005A3B4D">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255DB95E" w14:textId="77777777" w:rsidR="00B751D3" w:rsidRDefault="00B751D3" w:rsidP="005A3B4D">
            <w:pPr>
              <w:jc w:val="right"/>
              <w:rPr>
                <w:color w:val="000000"/>
                <w:sz w:val="20"/>
                <w:szCs w:val="20"/>
              </w:rPr>
            </w:pPr>
            <w:r>
              <w:rPr>
                <w:color w:val="000000"/>
                <w:sz w:val="20"/>
                <w:szCs w:val="20"/>
              </w:rPr>
              <w:t>0.768</w:t>
            </w:r>
          </w:p>
        </w:tc>
        <w:tc>
          <w:tcPr>
            <w:tcW w:w="864" w:type="dxa"/>
            <w:tcBorders>
              <w:top w:val="nil"/>
              <w:left w:val="nil"/>
              <w:bottom w:val="nil"/>
              <w:right w:val="nil"/>
            </w:tcBorders>
            <w:shd w:val="clear" w:color="auto" w:fill="auto"/>
            <w:noWrap/>
            <w:vAlign w:val="bottom"/>
            <w:hideMark/>
          </w:tcPr>
          <w:p w14:paraId="179D1089"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F9012E2" w14:textId="77777777" w:rsidR="00B751D3" w:rsidRDefault="00B751D3" w:rsidP="005A3B4D">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5531745E" w14:textId="77777777" w:rsidR="00B751D3" w:rsidRDefault="00B751D3" w:rsidP="005A3B4D">
            <w:pPr>
              <w:jc w:val="right"/>
              <w:rPr>
                <w:color w:val="000000"/>
                <w:sz w:val="20"/>
                <w:szCs w:val="20"/>
              </w:rPr>
            </w:pPr>
            <w:r>
              <w:rPr>
                <w:color w:val="000000"/>
                <w:sz w:val="20"/>
                <w:szCs w:val="20"/>
              </w:rPr>
              <w:t>0.720</w:t>
            </w:r>
          </w:p>
        </w:tc>
        <w:tc>
          <w:tcPr>
            <w:tcW w:w="864" w:type="dxa"/>
            <w:tcBorders>
              <w:top w:val="nil"/>
              <w:left w:val="nil"/>
              <w:bottom w:val="nil"/>
              <w:right w:val="nil"/>
            </w:tcBorders>
            <w:shd w:val="clear" w:color="auto" w:fill="auto"/>
            <w:noWrap/>
            <w:vAlign w:val="bottom"/>
            <w:hideMark/>
          </w:tcPr>
          <w:p w14:paraId="654A152F" w14:textId="77777777" w:rsidR="00B751D3" w:rsidRDefault="00B751D3" w:rsidP="005A3B4D">
            <w:pPr>
              <w:jc w:val="right"/>
              <w:rPr>
                <w:color w:val="000000"/>
                <w:sz w:val="20"/>
                <w:szCs w:val="20"/>
              </w:rPr>
            </w:pPr>
            <w:r>
              <w:rPr>
                <w:color w:val="000000"/>
                <w:sz w:val="20"/>
                <w:szCs w:val="20"/>
              </w:rPr>
              <w:t>0.000</w:t>
            </w:r>
          </w:p>
        </w:tc>
      </w:tr>
      <w:tr w:rsidR="00B751D3" w14:paraId="656C34B4" w14:textId="77777777" w:rsidTr="005A3B4D">
        <w:trPr>
          <w:trHeight w:val="320"/>
        </w:trPr>
        <w:tc>
          <w:tcPr>
            <w:tcW w:w="1152" w:type="dxa"/>
            <w:tcBorders>
              <w:top w:val="nil"/>
              <w:left w:val="nil"/>
              <w:bottom w:val="nil"/>
              <w:right w:val="nil"/>
            </w:tcBorders>
            <w:shd w:val="clear" w:color="auto" w:fill="auto"/>
            <w:noWrap/>
            <w:vAlign w:val="bottom"/>
            <w:hideMark/>
          </w:tcPr>
          <w:p w14:paraId="4CE9A5C5"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A894AC9" w14:textId="77777777" w:rsidR="00B751D3" w:rsidRDefault="00B751D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006E127" w14:textId="77777777" w:rsidR="00B751D3" w:rsidRDefault="00B751D3" w:rsidP="005A3B4D">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62F870BB" w14:textId="77777777" w:rsidR="00B751D3" w:rsidRDefault="00B751D3" w:rsidP="005A3B4D">
            <w:pPr>
              <w:jc w:val="right"/>
              <w:rPr>
                <w:color w:val="000000"/>
                <w:sz w:val="20"/>
                <w:szCs w:val="20"/>
              </w:rPr>
            </w:pPr>
            <w:r>
              <w:rPr>
                <w:color w:val="000000"/>
                <w:sz w:val="20"/>
                <w:szCs w:val="20"/>
              </w:rPr>
              <w:t>0.769</w:t>
            </w:r>
          </w:p>
        </w:tc>
        <w:tc>
          <w:tcPr>
            <w:tcW w:w="864" w:type="dxa"/>
            <w:tcBorders>
              <w:top w:val="nil"/>
              <w:left w:val="nil"/>
              <w:bottom w:val="nil"/>
              <w:right w:val="nil"/>
            </w:tcBorders>
            <w:shd w:val="clear" w:color="auto" w:fill="auto"/>
            <w:noWrap/>
            <w:vAlign w:val="bottom"/>
            <w:hideMark/>
          </w:tcPr>
          <w:p w14:paraId="70098E6C"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9A9B2EE" w14:textId="77777777" w:rsidR="00B751D3" w:rsidRDefault="00B751D3" w:rsidP="005A3B4D">
            <w:pPr>
              <w:jc w:val="right"/>
              <w:rPr>
                <w:color w:val="000000"/>
                <w:sz w:val="20"/>
                <w:szCs w:val="20"/>
              </w:rPr>
            </w:pPr>
            <w:r>
              <w:rPr>
                <w:color w:val="000000"/>
                <w:sz w:val="20"/>
                <w:szCs w:val="20"/>
              </w:rPr>
              <w:t>-0.047</w:t>
            </w:r>
          </w:p>
        </w:tc>
        <w:tc>
          <w:tcPr>
            <w:tcW w:w="864" w:type="dxa"/>
            <w:tcBorders>
              <w:top w:val="nil"/>
              <w:left w:val="nil"/>
              <w:bottom w:val="nil"/>
              <w:right w:val="nil"/>
            </w:tcBorders>
            <w:shd w:val="clear" w:color="auto" w:fill="auto"/>
            <w:noWrap/>
            <w:vAlign w:val="bottom"/>
            <w:hideMark/>
          </w:tcPr>
          <w:p w14:paraId="3E422B4E" w14:textId="77777777" w:rsidR="00B751D3" w:rsidRDefault="00B751D3" w:rsidP="005A3B4D">
            <w:pPr>
              <w:jc w:val="right"/>
              <w:rPr>
                <w:color w:val="000000"/>
                <w:sz w:val="20"/>
                <w:szCs w:val="20"/>
              </w:rPr>
            </w:pPr>
            <w:r>
              <w:rPr>
                <w:color w:val="000000"/>
                <w:sz w:val="20"/>
                <w:szCs w:val="20"/>
              </w:rPr>
              <w:t>0.720</w:t>
            </w:r>
          </w:p>
        </w:tc>
        <w:tc>
          <w:tcPr>
            <w:tcW w:w="864" w:type="dxa"/>
            <w:tcBorders>
              <w:top w:val="nil"/>
              <w:left w:val="nil"/>
              <w:bottom w:val="nil"/>
              <w:right w:val="nil"/>
            </w:tcBorders>
            <w:shd w:val="clear" w:color="auto" w:fill="auto"/>
            <w:noWrap/>
            <w:vAlign w:val="bottom"/>
            <w:hideMark/>
          </w:tcPr>
          <w:p w14:paraId="0B8416D2" w14:textId="77777777" w:rsidR="00B751D3" w:rsidRDefault="00B751D3" w:rsidP="005A3B4D">
            <w:pPr>
              <w:jc w:val="right"/>
              <w:rPr>
                <w:color w:val="000000"/>
                <w:sz w:val="20"/>
                <w:szCs w:val="20"/>
              </w:rPr>
            </w:pPr>
            <w:r>
              <w:rPr>
                <w:color w:val="000000"/>
                <w:sz w:val="20"/>
                <w:szCs w:val="20"/>
              </w:rPr>
              <w:t>0.002</w:t>
            </w:r>
          </w:p>
        </w:tc>
      </w:tr>
      <w:tr w:rsidR="00B751D3" w14:paraId="7523F310" w14:textId="77777777" w:rsidTr="005A3B4D">
        <w:trPr>
          <w:trHeight w:val="320"/>
        </w:trPr>
        <w:tc>
          <w:tcPr>
            <w:tcW w:w="1152" w:type="dxa"/>
            <w:tcBorders>
              <w:top w:val="nil"/>
              <w:left w:val="nil"/>
              <w:bottom w:val="nil"/>
              <w:right w:val="nil"/>
            </w:tcBorders>
            <w:shd w:val="clear" w:color="auto" w:fill="auto"/>
            <w:noWrap/>
            <w:vAlign w:val="bottom"/>
            <w:hideMark/>
          </w:tcPr>
          <w:p w14:paraId="032EC2FF"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3FB6FCD" w14:textId="77777777" w:rsidR="00B751D3" w:rsidRDefault="00B751D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FFCEA09" w14:textId="77777777" w:rsidR="00B751D3" w:rsidRDefault="00B751D3"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34AB2E97" w14:textId="77777777" w:rsidR="00B751D3" w:rsidRDefault="00B751D3" w:rsidP="005A3B4D">
            <w:pPr>
              <w:jc w:val="right"/>
              <w:rPr>
                <w:color w:val="000000"/>
                <w:sz w:val="20"/>
                <w:szCs w:val="20"/>
              </w:rPr>
            </w:pPr>
            <w:r>
              <w:rPr>
                <w:color w:val="000000"/>
                <w:sz w:val="20"/>
                <w:szCs w:val="20"/>
              </w:rPr>
              <w:t>0.769</w:t>
            </w:r>
          </w:p>
        </w:tc>
        <w:tc>
          <w:tcPr>
            <w:tcW w:w="864" w:type="dxa"/>
            <w:tcBorders>
              <w:top w:val="nil"/>
              <w:left w:val="nil"/>
              <w:bottom w:val="nil"/>
              <w:right w:val="nil"/>
            </w:tcBorders>
            <w:shd w:val="clear" w:color="auto" w:fill="auto"/>
            <w:noWrap/>
            <w:vAlign w:val="bottom"/>
            <w:hideMark/>
          </w:tcPr>
          <w:p w14:paraId="26273019"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86CEF5F" w14:textId="77777777" w:rsidR="00B751D3" w:rsidRDefault="00B751D3" w:rsidP="005A3B4D">
            <w:pPr>
              <w:jc w:val="right"/>
              <w:rPr>
                <w:color w:val="000000"/>
                <w:sz w:val="20"/>
                <w:szCs w:val="20"/>
              </w:rPr>
            </w:pPr>
            <w:r>
              <w:rPr>
                <w:color w:val="000000"/>
                <w:sz w:val="20"/>
                <w:szCs w:val="20"/>
              </w:rPr>
              <w:t>0.103</w:t>
            </w:r>
          </w:p>
        </w:tc>
        <w:tc>
          <w:tcPr>
            <w:tcW w:w="864" w:type="dxa"/>
            <w:tcBorders>
              <w:top w:val="nil"/>
              <w:left w:val="nil"/>
              <w:bottom w:val="nil"/>
              <w:right w:val="nil"/>
            </w:tcBorders>
            <w:shd w:val="clear" w:color="auto" w:fill="auto"/>
            <w:noWrap/>
            <w:vAlign w:val="bottom"/>
            <w:hideMark/>
          </w:tcPr>
          <w:p w14:paraId="1627E382" w14:textId="77777777" w:rsidR="00B751D3" w:rsidRDefault="00B751D3" w:rsidP="005A3B4D">
            <w:pPr>
              <w:jc w:val="right"/>
              <w:rPr>
                <w:color w:val="000000"/>
                <w:sz w:val="20"/>
                <w:szCs w:val="20"/>
              </w:rPr>
            </w:pPr>
            <w:r>
              <w:rPr>
                <w:color w:val="000000"/>
                <w:sz w:val="20"/>
                <w:szCs w:val="20"/>
              </w:rPr>
              <w:t>0.640</w:t>
            </w:r>
          </w:p>
        </w:tc>
        <w:tc>
          <w:tcPr>
            <w:tcW w:w="864" w:type="dxa"/>
            <w:tcBorders>
              <w:top w:val="nil"/>
              <w:left w:val="nil"/>
              <w:bottom w:val="nil"/>
              <w:right w:val="nil"/>
            </w:tcBorders>
            <w:shd w:val="clear" w:color="auto" w:fill="auto"/>
            <w:noWrap/>
            <w:vAlign w:val="bottom"/>
            <w:hideMark/>
          </w:tcPr>
          <w:p w14:paraId="134FBD75" w14:textId="77777777" w:rsidR="00B751D3" w:rsidRDefault="00B751D3" w:rsidP="005A3B4D">
            <w:pPr>
              <w:jc w:val="right"/>
              <w:rPr>
                <w:color w:val="000000"/>
                <w:sz w:val="20"/>
                <w:szCs w:val="20"/>
              </w:rPr>
            </w:pPr>
            <w:r>
              <w:rPr>
                <w:color w:val="000000"/>
                <w:sz w:val="20"/>
                <w:szCs w:val="20"/>
              </w:rPr>
              <w:t>0.011</w:t>
            </w:r>
          </w:p>
        </w:tc>
      </w:tr>
      <w:tr w:rsidR="00B751D3" w14:paraId="0D416EC4" w14:textId="77777777" w:rsidTr="005A3B4D">
        <w:trPr>
          <w:trHeight w:val="320"/>
        </w:trPr>
        <w:tc>
          <w:tcPr>
            <w:tcW w:w="1152" w:type="dxa"/>
            <w:tcBorders>
              <w:top w:val="nil"/>
              <w:left w:val="nil"/>
              <w:bottom w:val="nil"/>
              <w:right w:val="nil"/>
            </w:tcBorders>
            <w:shd w:val="clear" w:color="auto" w:fill="auto"/>
            <w:noWrap/>
            <w:vAlign w:val="bottom"/>
            <w:hideMark/>
          </w:tcPr>
          <w:p w14:paraId="7F30AA8A"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90B688C" w14:textId="77777777" w:rsidR="00B751D3" w:rsidRDefault="00B751D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5B67271" w14:textId="77777777" w:rsidR="00B751D3" w:rsidRDefault="00B751D3" w:rsidP="005A3B4D">
            <w:pPr>
              <w:jc w:val="right"/>
              <w:rPr>
                <w:color w:val="000000"/>
                <w:sz w:val="20"/>
                <w:szCs w:val="20"/>
              </w:rPr>
            </w:pPr>
            <w:r>
              <w:rPr>
                <w:color w:val="000000"/>
                <w:sz w:val="20"/>
                <w:szCs w:val="20"/>
              </w:rPr>
              <w:t>0.072</w:t>
            </w:r>
          </w:p>
        </w:tc>
        <w:tc>
          <w:tcPr>
            <w:tcW w:w="864" w:type="dxa"/>
            <w:tcBorders>
              <w:top w:val="nil"/>
              <w:left w:val="nil"/>
              <w:bottom w:val="nil"/>
              <w:right w:val="nil"/>
            </w:tcBorders>
            <w:shd w:val="clear" w:color="auto" w:fill="auto"/>
            <w:noWrap/>
            <w:vAlign w:val="bottom"/>
            <w:hideMark/>
          </w:tcPr>
          <w:p w14:paraId="135119A4" w14:textId="77777777" w:rsidR="00B751D3" w:rsidRDefault="00B751D3" w:rsidP="005A3B4D">
            <w:pPr>
              <w:jc w:val="right"/>
              <w:rPr>
                <w:color w:val="000000"/>
                <w:sz w:val="20"/>
                <w:szCs w:val="20"/>
              </w:rPr>
            </w:pPr>
            <w:r>
              <w:rPr>
                <w:color w:val="000000"/>
                <w:sz w:val="20"/>
                <w:szCs w:val="20"/>
              </w:rPr>
              <w:t>0.764</w:t>
            </w:r>
          </w:p>
        </w:tc>
        <w:tc>
          <w:tcPr>
            <w:tcW w:w="864" w:type="dxa"/>
            <w:tcBorders>
              <w:top w:val="nil"/>
              <w:left w:val="nil"/>
              <w:bottom w:val="nil"/>
              <w:right w:val="nil"/>
            </w:tcBorders>
            <w:shd w:val="clear" w:color="auto" w:fill="auto"/>
            <w:noWrap/>
            <w:vAlign w:val="bottom"/>
            <w:hideMark/>
          </w:tcPr>
          <w:p w14:paraId="29517216" w14:textId="77777777" w:rsidR="00B751D3" w:rsidRDefault="00B751D3"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349270BD" w14:textId="77777777" w:rsidR="00B751D3" w:rsidRDefault="00B751D3" w:rsidP="005A3B4D">
            <w:pPr>
              <w:jc w:val="right"/>
              <w:rPr>
                <w:color w:val="000000"/>
                <w:sz w:val="20"/>
                <w:szCs w:val="20"/>
              </w:rPr>
            </w:pPr>
            <w:r>
              <w:rPr>
                <w:color w:val="000000"/>
                <w:sz w:val="20"/>
                <w:szCs w:val="20"/>
              </w:rPr>
              <w:t>-0.076</w:t>
            </w:r>
          </w:p>
        </w:tc>
        <w:tc>
          <w:tcPr>
            <w:tcW w:w="864" w:type="dxa"/>
            <w:tcBorders>
              <w:top w:val="nil"/>
              <w:left w:val="nil"/>
              <w:bottom w:val="nil"/>
              <w:right w:val="nil"/>
            </w:tcBorders>
            <w:shd w:val="clear" w:color="auto" w:fill="auto"/>
            <w:noWrap/>
            <w:vAlign w:val="bottom"/>
            <w:hideMark/>
          </w:tcPr>
          <w:p w14:paraId="70FBC5B8" w14:textId="77777777" w:rsidR="00B751D3" w:rsidRDefault="00B751D3" w:rsidP="005A3B4D">
            <w:pPr>
              <w:jc w:val="right"/>
              <w:rPr>
                <w:color w:val="000000"/>
                <w:sz w:val="20"/>
                <w:szCs w:val="20"/>
              </w:rPr>
            </w:pPr>
            <w:r>
              <w:rPr>
                <w:color w:val="000000"/>
                <w:sz w:val="20"/>
                <w:szCs w:val="20"/>
              </w:rPr>
              <w:t>0.596</w:t>
            </w:r>
          </w:p>
        </w:tc>
        <w:tc>
          <w:tcPr>
            <w:tcW w:w="864" w:type="dxa"/>
            <w:tcBorders>
              <w:top w:val="nil"/>
              <w:left w:val="nil"/>
              <w:bottom w:val="nil"/>
              <w:right w:val="nil"/>
            </w:tcBorders>
            <w:shd w:val="clear" w:color="auto" w:fill="auto"/>
            <w:noWrap/>
            <w:vAlign w:val="bottom"/>
            <w:hideMark/>
          </w:tcPr>
          <w:p w14:paraId="05DD137E" w14:textId="77777777" w:rsidR="00B751D3" w:rsidRDefault="00B751D3" w:rsidP="005A3B4D">
            <w:pPr>
              <w:jc w:val="right"/>
              <w:rPr>
                <w:color w:val="000000"/>
                <w:sz w:val="20"/>
                <w:szCs w:val="20"/>
              </w:rPr>
            </w:pPr>
            <w:r>
              <w:rPr>
                <w:color w:val="000000"/>
                <w:sz w:val="20"/>
                <w:szCs w:val="20"/>
              </w:rPr>
              <w:t>0.006</w:t>
            </w:r>
          </w:p>
        </w:tc>
      </w:tr>
      <w:tr w:rsidR="00B751D3" w14:paraId="0F32F1D0" w14:textId="77777777" w:rsidTr="005A3B4D">
        <w:trPr>
          <w:trHeight w:val="320"/>
        </w:trPr>
        <w:tc>
          <w:tcPr>
            <w:tcW w:w="1152" w:type="dxa"/>
            <w:tcBorders>
              <w:top w:val="nil"/>
              <w:left w:val="nil"/>
              <w:bottom w:val="nil"/>
              <w:right w:val="nil"/>
            </w:tcBorders>
            <w:shd w:val="clear" w:color="auto" w:fill="auto"/>
            <w:noWrap/>
            <w:vAlign w:val="bottom"/>
            <w:hideMark/>
          </w:tcPr>
          <w:p w14:paraId="22430C34"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137E6CF" w14:textId="77777777" w:rsidR="00B751D3" w:rsidRDefault="00B751D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89E445A" w14:textId="77777777" w:rsidR="00B751D3" w:rsidRDefault="00B751D3"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4AB11088" w14:textId="77777777" w:rsidR="00B751D3" w:rsidRDefault="00B751D3" w:rsidP="005A3B4D">
            <w:pPr>
              <w:jc w:val="right"/>
              <w:rPr>
                <w:color w:val="000000"/>
                <w:sz w:val="20"/>
                <w:szCs w:val="20"/>
              </w:rPr>
            </w:pPr>
            <w:r>
              <w:rPr>
                <w:color w:val="000000"/>
                <w:sz w:val="20"/>
                <w:szCs w:val="20"/>
              </w:rPr>
              <w:t>0.810</w:t>
            </w:r>
          </w:p>
        </w:tc>
        <w:tc>
          <w:tcPr>
            <w:tcW w:w="864" w:type="dxa"/>
            <w:tcBorders>
              <w:top w:val="nil"/>
              <w:left w:val="nil"/>
              <w:bottom w:val="nil"/>
              <w:right w:val="nil"/>
            </w:tcBorders>
            <w:shd w:val="clear" w:color="auto" w:fill="auto"/>
            <w:noWrap/>
            <w:vAlign w:val="bottom"/>
            <w:hideMark/>
          </w:tcPr>
          <w:p w14:paraId="05D3FC90"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08CDAE8" w14:textId="77777777" w:rsidR="00B751D3" w:rsidRDefault="00B751D3" w:rsidP="005A3B4D">
            <w:pPr>
              <w:jc w:val="right"/>
              <w:rPr>
                <w:color w:val="000000"/>
                <w:sz w:val="20"/>
                <w:szCs w:val="20"/>
              </w:rPr>
            </w:pPr>
            <w:r>
              <w:rPr>
                <w:color w:val="000000"/>
                <w:sz w:val="20"/>
                <w:szCs w:val="20"/>
              </w:rPr>
              <w:t>0.050</w:t>
            </w:r>
          </w:p>
        </w:tc>
        <w:tc>
          <w:tcPr>
            <w:tcW w:w="864" w:type="dxa"/>
            <w:tcBorders>
              <w:top w:val="nil"/>
              <w:left w:val="nil"/>
              <w:bottom w:val="nil"/>
              <w:right w:val="nil"/>
            </w:tcBorders>
            <w:shd w:val="clear" w:color="auto" w:fill="auto"/>
            <w:noWrap/>
            <w:vAlign w:val="bottom"/>
            <w:hideMark/>
          </w:tcPr>
          <w:p w14:paraId="26B6D1C5" w14:textId="77777777" w:rsidR="00B751D3" w:rsidRDefault="00B751D3" w:rsidP="005A3B4D">
            <w:pPr>
              <w:jc w:val="right"/>
              <w:rPr>
                <w:color w:val="000000"/>
                <w:sz w:val="20"/>
                <w:szCs w:val="20"/>
              </w:rPr>
            </w:pPr>
            <w:r>
              <w:rPr>
                <w:color w:val="000000"/>
                <w:sz w:val="20"/>
                <w:szCs w:val="20"/>
              </w:rPr>
              <w:t>0.596</w:t>
            </w:r>
          </w:p>
        </w:tc>
        <w:tc>
          <w:tcPr>
            <w:tcW w:w="864" w:type="dxa"/>
            <w:tcBorders>
              <w:top w:val="nil"/>
              <w:left w:val="nil"/>
              <w:bottom w:val="nil"/>
              <w:right w:val="nil"/>
            </w:tcBorders>
            <w:shd w:val="clear" w:color="auto" w:fill="auto"/>
            <w:noWrap/>
            <w:vAlign w:val="bottom"/>
            <w:hideMark/>
          </w:tcPr>
          <w:p w14:paraId="4E9A4416" w14:textId="77777777" w:rsidR="00B751D3" w:rsidRDefault="00B751D3" w:rsidP="005A3B4D">
            <w:pPr>
              <w:jc w:val="right"/>
              <w:rPr>
                <w:color w:val="000000"/>
                <w:sz w:val="20"/>
                <w:szCs w:val="20"/>
              </w:rPr>
            </w:pPr>
            <w:r>
              <w:rPr>
                <w:color w:val="000000"/>
                <w:sz w:val="20"/>
                <w:szCs w:val="20"/>
              </w:rPr>
              <w:t>0.003</w:t>
            </w:r>
          </w:p>
        </w:tc>
      </w:tr>
      <w:tr w:rsidR="00B751D3" w14:paraId="3B73F010" w14:textId="77777777" w:rsidTr="005A3B4D">
        <w:trPr>
          <w:trHeight w:val="320"/>
        </w:trPr>
        <w:tc>
          <w:tcPr>
            <w:tcW w:w="1152" w:type="dxa"/>
            <w:tcBorders>
              <w:top w:val="nil"/>
              <w:left w:val="nil"/>
              <w:bottom w:val="nil"/>
              <w:right w:val="nil"/>
            </w:tcBorders>
            <w:shd w:val="clear" w:color="auto" w:fill="auto"/>
            <w:noWrap/>
            <w:vAlign w:val="bottom"/>
            <w:hideMark/>
          </w:tcPr>
          <w:p w14:paraId="307368AB"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6833320" w14:textId="77777777" w:rsidR="00B751D3" w:rsidRDefault="00B751D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24D25A6" w14:textId="77777777" w:rsidR="00B751D3" w:rsidRDefault="00B751D3" w:rsidP="005A3B4D">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64AA0EAB" w14:textId="77777777" w:rsidR="00B751D3" w:rsidRDefault="00B751D3" w:rsidP="005A3B4D">
            <w:pPr>
              <w:jc w:val="right"/>
              <w:rPr>
                <w:color w:val="000000"/>
                <w:sz w:val="20"/>
                <w:szCs w:val="20"/>
              </w:rPr>
            </w:pPr>
            <w:r>
              <w:rPr>
                <w:color w:val="000000"/>
                <w:sz w:val="20"/>
                <w:szCs w:val="20"/>
              </w:rPr>
              <w:t>0.764</w:t>
            </w:r>
          </w:p>
        </w:tc>
        <w:tc>
          <w:tcPr>
            <w:tcW w:w="864" w:type="dxa"/>
            <w:tcBorders>
              <w:top w:val="nil"/>
              <w:left w:val="nil"/>
              <w:bottom w:val="nil"/>
              <w:right w:val="nil"/>
            </w:tcBorders>
            <w:shd w:val="clear" w:color="auto" w:fill="auto"/>
            <w:noWrap/>
            <w:vAlign w:val="bottom"/>
            <w:hideMark/>
          </w:tcPr>
          <w:p w14:paraId="6B01AD42"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A60A67A" w14:textId="77777777" w:rsidR="00B751D3" w:rsidRDefault="00B751D3" w:rsidP="005A3B4D">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28DF6692" w14:textId="77777777" w:rsidR="00B751D3" w:rsidRDefault="00B751D3" w:rsidP="005A3B4D">
            <w:pPr>
              <w:jc w:val="right"/>
              <w:rPr>
                <w:color w:val="000000"/>
                <w:sz w:val="20"/>
                <w:szCs w:val="20"/>
              </w:rPr>
            </w:pPr>
            <w:r>
              <w:rPr>
                <w:color w:val="000000"/>
                <w:sz w:val="20"/>
                <w:szCs w:val="20"/>
              </w:rPr>
              <w:t>0.720</w:t>
            </w:r>
          </w:p>
        </w:tc>
        <w:tc>
          <w:tcPr>
            <w:tcW w:w="864" w:type="dxa"/>
            <w:tcBorders>
              <w:top w:val="nil"/>
              <w:left w:val="nil"/>
              <w:bottom w:val="nil"/>
              <w:right w:val="nil"/>
            </w:tcBorders>
            <w:shd w:val="clear" w:color="auto" w:fill="auto"/>
            <w:noWrap/>
            <w:vAlign w:val="bottom"/>
            <w:hideMark/>
          </w:tcPr>
          <w:p w14:paraId="1D6EB71F" w14:textId="77777777" w:rsidR="00B751D3" w:rsidRDefault="00B751D3" w:rsidP="005A3B4D">
            <w:pPr>
              <w:jc w:val="right"/>
              <w:rPr>
                <w:color w:val="000000"/>
                <w:sz w:val="20"/>
                <w:szCs w:val="20"/>
              </w:rPr>
            </w:pPr>
            <w:r>
              <w:rPr>
                <w:color w:val="000000"/>
                <w:sz w:val="20"/>
                <w:szCs w:val="20"/>
              </w:rPr>
              <w:t>0.001</w:t>
            </w:r>
          </w:p>
        </w:tc>
      </w:tr>
      <w:tr w:rsidR="00B751D3" w14:paraId="69D59B7B"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69CD5A72" w14:textId="77777777" w:rsidR="00B751D3" w:rsidRDefault="00B751D3"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613AFF1" w14:textId="77777777" w:rsidR="00B751D3" w:rsidRDefault="00B751D3"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C5172F0" w14:textId="77777777" w:rsidR="00B751D3" w:rsidRDefault="00B751D3" w:rsidP="005A3B4D">
            <w:pPr>
              <w:jc w:val="right"/>
              <w:rPr>
                <w:color w:val="000000"/>
                <w:sz w:val="20"/>
                <w:szCs w:val="20"/>
              </w:rPr>
            </w:pPr>
            <w:r>
              <w:rPr>
                <w:color w:val="000000"/>
                <w:sz w:val="20"/>
                <w:szCs w:val="20"/>
              </w:rPr>
              <w:t>0.046</w:t>
            </w:r>
          </w:p>
        </w:tc>
        <w:tc>
          <w:tcPr>
            <w:tcW w:w="864" w:type="dxa"/>
            <w:tcBorders>
              <w:top w:val="nil"/>
              <w:left w:val="nil"/>
              <w:bottom w:val="single" w:sz="4" w:space="0" w:color="auto"/>
              <w:right w:val="nil"/>
            </w:tcBorders>
            <w:shd w:val="clear" w:color="auto" w:fill="auto"/>
            <w:noWrap/>
            <w:vAlign w:val="bottom"/>
            <w:hideMark/>
          </w:tcPr>
          <w:p w14:paraId="1BB3387B" w14:textId="77777777" w:rsidR="00B751D3" w:rsidRDefault="00B751D3" w:rsidP="005A3B4D">
            <w:pPr>
              <w:jc w:val="right"/>
              <w:rPr>
                <w:color w:val="000000"/>
                <w:sz w:val="20"/>
                <w:szCs w:val="20"/>
              </w:rPr>
            </w:pPr>
            <w:r>
              <w:rPr>
                <w:color w:val="000000"/>
                <w:sz w:val="20"/>
                <w:szCs w:val="20"/>
              </w:rPr>
              <w:t>0.768</w:t>
            </w:r>
          </w:p>
        </w:tc>
        <w:tc>
          <w:tcPr>
            <w:tcW w:w="864" w:type="dxa"/>
            <w:tcBorders>
              <w:top w:val="nil"/>
              <w:left w:val="nil"/>
              <w:bottom w:val="single" w:sz="4" w:space="0" w:color="auto"/>
              <w:right w:val="nil"/>
            </w:tcBorders>
            <w:shd w:val="clear" w:color="auto" w:fill="auto"/>
            <w:noWrap/>
            <w:vAlign w:val="bottom"/>
            <w:hideMark/>
          </w:tcPr>
          <w:p w14:paraId="458A919D" w14:textId="77777777" w:rsidR="00B751D3" w:rsidRDefault="00B751D3" w:rsidP="005A3B4D">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70010016" w14:textId="77777777" w:rsidR="00B751D3" w:rsidRDefault="00B751D3" w:rsidP="005A3B4D">
            <w:pPr>
              <w:jc w:val="right"/>
              <w:rPr>
                <w:color w:val="000000"/>
                <w:sz w:val="20"/>
                <w:szCs w:val="20"/>
              </w:rPr>
            </w:pPr>
            <w:r>
              <w:rPr>
                <w:color w:val="000000"/>
                <w:sz w:val="20"/>
                <w:szCs w:val="20"/>
              </w:rPr>
              <w:t>0.026</w:t>
            </w:r>
          </w:p>
        </w:tc>
        <w:tc>
          <w:tcPr>
            <w:tcW w:w="864" w:type="dxa"/>
            <w:tcBorders>
              <w:top w:val="nil"/>
              <w:left w:val="nil"/>
              <w:bottom w:val="single" w:sz="4" w:space="0" w:color="auto"/>
              <w:right w:val="nil"/>
            </w:tcBorders>
            <w:shd w:val="clear" w:color="auto" w:fill="auto"/>
            <w:noWrap/>
            <w:vAlign w:val="bottom"/>
            <w:hideMark/>
          </w:tcPr>
          <w:p w14:paraId="716D33D7" w14:textId="77777777" w:rsidR="00B751D3" w:rsidRDefault="00B751D3" w:rsidP="005A3B4D">
            <w:pPr>
              <w:jc w:val="right"/>
              <w:rPr>
                <w:color w:val="000000"/>
                <w:sz w:val="20"/>
                <w:szCs w:val="20"/>
              </w:rPr>
            </w:pPr>
            <w:r>
              <w:rPr>
                <w:color w:val="000000"/>
                <w:sz w:val="20"/>
                <w:szCs w:val="20"/>
              </w:rPr>
              <w:t>0.720</w:t>
            </w:r>
          </w:p>
        </w:tc>
        <w:tc>
          <w:tcPr>
            <w:tcW w:w="864" w:type="dxa"/>
            <w:tcBorders>
              <w:top w:val="nil"/>
              <w:left w:val="nil"/>
              <w:bottom w:val="single" w:sz="4" w:space="0" w:color="auto"/>
              <w:right w:val="nil"/>
            </w:tcBorders>
            <w:shd w:val="clear" w:color="auto" w:fill="auto"/>
            <w:noWrap/>
            <w:vAlign w:val="bottom"/>
            <w:hideMark/>
          </w:tcPr>
          <w:p w14:paraId="056AB605" w14:textId="77777777" w:rsidR="00B751D3" w:rsidRDefault="00B751D3" w:rsidP="005A3B4D">
            <w:pPr>
              <w:jc w:val="right"/>
              <w:rPr>
                <w:color w:val="000000"/>
                <w:sz w:val="20"/>
                <w:szCs w:val="20"/>
              </w:rPr>
            </w:pPr>
            <w:r>
              <w:rPr>
                <w:color w:val="000000"/>
                <w:sz w:val="20"/>
                <w:szCs w:val="20"/>
              </w:rPr>
              <w:t>0.001</w:t>
            </w:r>
          </w:p>
        </w:tc>
      </w:tr>
      <w:tr w:rsidR="00B751D3" w14:paraId="0E2ED8D9" w14:textId="77777777" w:rsidTr="005A3B4D">
        <w:trPr>
          <w:trHeight w:val="320"/>
        </w:trPr>
        <w:tc>
          <w:tcPr>
            <w:tcW w:w="1152" w:type="dxa"/>
            <w:tcBorders>
              <w:top w:val="nil"/>
              <w:left w:val="nil"/>
              <w:bottom w:val="nil"/>
              <w:right w:val="nil"/>
            </w:tcBorders>
            <w:shd w:val="clear" w:color="auto" w:fill="auto"/>
            <w:noWrap/>
            <w:vAlign w:val="bottom"/>
            <w:hideMark/>
          </w:tcPr>
          <w:p w14:paraId="42BAAA54" w14:textId="77777777" w:rsidR="00B751D3" w:rsidRDefault="00B751D3" w:rsidP="005A3B4D">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0E2540E5" w14:textId="77777777" w:rsidR="00B751D3" w:rsidRDefault="00B751D3"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63745A4" w14:textId="77777777" w:rsidR="00B751D3" w:rsidRDefault="00B751D3"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5177841C" w14:textId="77777777" w:rsidR="00B751D3" w:rsidRDefault="00B751D3" w:rsidP="005A3B4D">
            <w:pPr>
              <w:jc w:val="right"/>
              <w:rPr>
                <w:color w:val="000000"/>
                <w:sz w:val="20"/>
                <w:szCs w:val="20"/>
              </w:rPr>
            </w:pPr>
            <w:r>
              <w:rPr>
                <w:color w:val="000000"/>
                <w:sz w:val="20"/>
                <w:szCs w:val="20"/>
              </w:rPr>
              <w:t>0.694</w:t>
            </w:r>
          </w:p>
        </w:tc>
        <w:tc>
          <w:tcPr>
            <w:tcW w:w="864" w:type="dxa"/>
            <w:tcBorders>
              <w:top w:val="nil"/>
              <w:left w:val="nil"/>
              <w:bottom w:val="nil"/>
              <w:right w:val="nil"/>
            </w:tcBorders>
            <w:shd w:val="clear" w:color="auto" w:fill="auto"/>
            <w:noWrap/>
            <w:vAlign w:val="bottom"/>
            <w:hideMark/>
          </w:tcPr>
          <w:p w14:paraId="711416B6"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AB83D94" w14:textId="77777777" w:rsidR="00B751D3" w:rsidRDefault="00B751D3"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791F1B2C" w14:textId="77777777" w:rsidR="00B751D3" w:rsidRDefault="00B751D3" w:rsidP="005A3B4D">
            <w:pPr>
              <w:jc w:val="right"/>
              <w:rPr>
                <w:color w:val="000000"/>
                <w:sz w:val="20"/>
                <w:szCs w:val="20"/>
              </w:rPr>
            </w:pPr>
            <w:r>
              <w:rPr>
                <w:color w:val="000000"/>
                <w:sz w:val="20"/>
                <w:szCs w:val="20"/>
              </w:rPr>
              <w:t>0.990</w:t>
            </w:r>
          </w:p>
        </w:tc>
        <w:tc>
          <w:tcPr>
            <w:tcW w:w="864" w:type="dxa"/>
            <w:tcBorders>
              <w:top w:val="nil"/>
              <w:left w:val="nil"/>
              <w:bottom w:val="nil"/>
              <w:right w:val="nil"/>
            </w:tcBorders>
            <w:shd w:val="clear" w:color="auto" w:fill="auto"/>
            <w:noWrap/>
            <w:vAlign w:val="bottom"/>
            <w:hideMark/>
          </w:tcPr>
          <w:p w14:paraId="396260F8" w14:textId="77777777" w:rsidR="00B751D3" w:rsidRDefault="00B751D3" w:rsidP="005A3B4D">
            <w:pPr>
              <w:jc w:val="right"/>
              <w:rPr>
                <w:color w:val="000000"/>
                <w:sz w:val="20"/>
                <w:szCs w:val="20"/>
              </w:rPr>
            </w:pPr>
            <w:r>
              <w:rPr>
                <w:color w:val="000000"/>
                <w:sz w:val="20"/>
                <w:szCs w:val="20"/>
              </w:rPr>
              <w:t>0.000</w:t>
            </w:r>
          </w:p>
        </w:tc>
      </w:tr>
      <w:tr w:rsidR="00B751D3" w14:paraId="2CCC5204" w14:textId="77777777" w:rsidTr="005A3B4D">
        <w:trPr>
          <w:trHeight w:val="320"/>
        </w:trPr>
        <w:tc>
          <w:tcPr>
            <w:tcW w:w="1152" w:type="dxa"/>
            <w:tcBorders>
              <w:top w:val="nil"/>
              <w:left w:val="nil"/>
              <w:bottom w:val="nil"/>
              <w:right w:val="nil"/>
            </w:tcBorders>
            <w:shd w:val="clear" w:color="auto" w:fill="auto"/>
            <w:noWrap/>
            <w:vAlign w:val="bottom"/>
            <w:hideMark/>
          </w:tcPr>
          <w:p w14:paraId="3641ACA3"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088BEB6" w14:textId="77777777" w:rsidR="00B751D3" w:rsidRDefault="00B751D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9090942" w14:textId="77777777" w:rsidR="00B751D3" w:rsidRDefault="00B751D3" w:rsidP="005A3B4D">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1AB50B36" w14:textId="77777777" w:rsidR="00B751D3" w:rsidRDefault="00B751D3" w:rsidP="005A3B4D">
            <w:pPr>
              <w:jc w:val="right"/>
              <w:rPr>
                <w:color w:val="000000"/>
                <w:sz w:val="20"/>
                <w:szCs w:val="20"/>
              </w:rPr>
            </w:pPr>
            <w:r>
              <w:rPr>
                <w:color w:val="000000"/>
                <w:sz w:val="20"/>
                <w:szCs w:val="20"/>
              </w:rPr>
              <w:t>0.376</w:t>
            </w:r>
          </w:p>
        </w:tc>
        <w:tc>
          <w:tcPr>
            <w:tcW w:w="864" w:type="dxa"/>
            <w:tcBorders>
              <w:top w:val="nil"/>
              <w:left w:val="nil"/>
              <w:bottom w:val="nil"/>
              <w:right w:val="nil"/>
            </w:tcBorders>
            <w:shd w:val="clear" w:color="auto" w:fill="auto"/>
            <w:noWrap/>
            <w:vAlign w:val="bottom"/>
            <w:hideMark/>
          </w:tcPr>
          <w:p w14:paraId="2E7BCF1D"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EC563B9"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58FA864" w14:textId="77777777" w:rsidR="00B751D3" w:rsidRDefault="00B751D3" w:rsidP="005A3B4D">
            <w:pPr>
              <w:jc w:val="right"/>
              <w:rPr>
                <w:color w:val="000000"/>
                <w:sz w:val="20"/>
                <w:szCs w:val="20"/>
              </w:rPr>
            </w:pPr>
            <w:r>
              <w:rPr>
                <w:color w:val="000000"/>
                <w:sz w:val="20"/>
                <w:szCs w:val="20"/>
              </w:rPr>
              <w:t>0.990</w:t>
            </w:r>
          </w:p>
        </w:tc>
        <w:tc>
          <w:tcPr>
            <w:tcW w:w="864" w:type="dxa"/>
            <w:tcBorders>
              <w:top w:val="nil"/>
              <w:left w:val="nil"/>
              <w:bottom w:val="nil"/>
              <w:right w:val="nil"/>
            </w:tcBorders>
            <w:shd w:val="clear" w:color="auto" w:fill="auto"/>
            <w:noWrap/>
            <w:vAlign w:val="bottom"/>
            <w:hideMark/>
          </w:tcPr>
          <w:p w14:paraId="033BEBA9" w14:textId="77777777" w:rsidR="00B751D3" w:rsidRDefault="00B751D3" w:rsidP="005A3B4D">
            <w:pPr>
              <w:jc w:val="right"/>
              <w:rPr>
                <w:color w:val="000000"/>
                <w:sz w:val="20"/>
                <w:szCs w:val="20"/>
              </w:rPr>
            </w:pPr>
            <w:r>
              <w:rPr>
                <w:color w:val="000000"/>
                <w:sz w:val="20"/>
                <w:szCs w:val="20"/>
              </w:rPr>
              <w:t>0.000</w:t>
            </w:r>
          </w:p>
        </w:tc>
      </w:tr>
      <w:tr w:rsidR="00B751D3" w14:paraId="3E832FF9" w14:textId="77777777" w:rsidTr="005A3B4D">
        <w:trPr>
          <w:trHeight w:val="320"/>
        </w:trPr>
        <w:tc>
          <w:tcPr>
            <w:tcW w:w="1152" w:type="dxa"/>
            <w:tcBorders>
              <w:top w:val="nil"/>
              <w:left w:val="nil"/>
              <w:bottom w:val="nil"/>
              <w:right w:val="nil"/>
            </w:tcBorders>
            <w:shd w:val="clear" w:color="auto" w:fill="auto"/>
            <w:noWrap/>
            <w:vAlign w:val="bottom"/>
            <w:hideMark/>
          </w:tcPr>
          <w:p w14:paraId="35732FF5"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F03A5F1" w14:textId="77777777" w:rsidR="00B751D3" w:rsidRDefault="00B751D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A01E384" w14:textId="77777777" w:rsidR="00B751D3" w:rsidRDefault="00B751D3" w:rsidP="005A3B4D">
            <w:pPr>
              <w:jc w:val="right"/>
              <w:rPr>
                <w:color w:val="000000"/>
                <w:sz w:val="20"/>
                <w:szCs w:val="20"/>
              </w:rPr>
            </w:pPr>
            <w:r>
              <w:rPr>
                <w:color w:val="000000"/>
                <w:sz w:val="20"/>
                <w:szCs w:val="20"/>
              </w:rPr>
              <w:t>0.089</w:t>
            </w:r>
          </w:p>
        </w:tc>
        <w:tc>
          <w:tcPr>
            <w:tcW w:w="864" w:type="dxa"/>
            <w:tcBorders>
              <w:top w:val="nil"/>
              <w:left w:val="nil"/>
              <w:bottom w:val="nil"/>
              <w:right w:val="nil"/>
            </w:tcBorders>
            <w:shd w:val="clear" w:color="auto" w:fill="auto"/>
            <w:noWrap/>
            <w:vAlign w:val="bottom"/>
            <w:hideMark/>
          </w:tcPr>
          <w:p w14:paraId="65823E67" w14:textId="77777777" w:rsidR="00B751D3" w:rsidRDefault="00B751D3" w:rsidP="005A3B4D">
            <w:pPr>
              <w:jc w:val="right"/>
              <w:rPr>
                <w:color w:val="000000"/>
                <w:sz w:val="20"/>
                <w:szCs w:val="20"/>
              </w:rPr>
            </w:pPr>
            <w:r>
              <w:rPr>
                <w:color w:val="000000"/>
                <w:sz w:val="20"/>
                <w:szCs w:val="20"/>
              </w:rPr>
              <w:t>0.136</w:t>
            </w:r>
          </w:p>
        </w:tc>
        <w:tc>
          <w:tcPr>
            <w:tcW w:w="864" w:type="dxa"/>
            <w:tcBorders>
              <w:top w:val="nil"/>
              <w:left w:val="nil"/>
              <w:bottom w:val="nil"/>
              <w:right w:val="nil"/>
            </w:tcBorders>
            <w:shd w:val="clear" w:color="auto" w:fill="auto"/>
            <w:noWrap/>
            <w:vAlign w:val="bottom"/>
            <w:hideMark/>
          </w:tcPr>
          <w:p w14:paraId="50A0F47F" w14:textId="77777777" w:rsidR="00B751D3" w:rsidRDefault="00B751D3"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49D08860" w14:textId="77777777" w:rsidR="00B751D3" w:rsidRDefault="00B751D3" w:rsidP="005A3B4D">
            <w:pPr>
              <w:jc w:val="right"/>
              <w:rPr>
                <w:color w:val="000000"/>
                <w:sz w:val="20"/>
                <w:szCs w:val="20"/>
              </w:rPr>
            </w:pPr>
            <w:r>
              <w:rPr>
                <w:color w:val="000000"/>
                <w:sz w:val="20"/>
                <w:szCs w:val="20"/>
              </w:rPr>
              <w:t>-0.081</w:t>
            </w:r>
          </w:p>
        </w:tc>
        <w:tc>
          <w:tcPr>
            <w:tcW w:w="864" w:type="dxa"/>
            <w:tcBorders>
              <w:top w:val="nil"/>
              <w:left w:val="nil"/>
              <w:bottom w:val="nil"/>
              <w:right w:val="nil"/>
            </w:tcBorders>
            <w:shd w:val="clear" w:color="auto" w:fill="auto"/>
            <w:noWrap/>
            <w:vAlign w:val="bottom"/>
            <w:hideMark/>
          </w:tcPr>
          <w:p w14:paraId="600C955A" w14:textId="77777777" w:rsidR="00B751D3" w:rsidRDefault="00B751D3" w:rsidP="005A3B4D">
            <w:pPr>
              <w:jc w:val="right"/>
              <w:rPr>
                <w:color w:val="000000"/>
                <w:sz w:val="20"/>
                <w:szCs w:val="20"/>
              </w:rPr>
            </w:pPr>
            <w:r>
              <w:rPr>
                <w:color w:val="000000"/>
                <w:sz w:val="20"/>
                <w:szCs w:val="20"/>
              </w:rPr>
              <w:t>0.480</w:t>
            </w:r>
          </w:p>
        </w:tc>
        <w:tc>
          <w:tcPr>
            <w:tcW w:w="864" w:type="dxa"/>
            <w:tcBorders>
              <w:top w:val="nil"/>
              <w:left w:val="nil"/>
              <w:bottom w:val="nil"/>
              <w:right w:val="nil"/>
            </w:tcBorders>
            <w:shd w:val="clear" w:color="auto" w:fill="auto"/>
            <w:noWrap/>
            <w:vAlign w:val="bottom"/>
            <w:hideMark/>
          </w:tcPr>
          <w:p w14:paraId="5DCA8CAA" w14:textId="77777777" w:rsidR="00B751D3" w:rsidRDefault="00B751D3" w:rsidP="005A3B4D">
            <w:pPr>
              <w:jc w:val="right"/>
              <w:rPr>
                <w:color w:val="000000"/>
                <w:sz w:val="20"/>
                <w:szCs w:val="20"/>
              </w:rPr>
            </w:pPr>
            <w:r>
              <w:rPr>
                <w:color w:val="000000"/>
                <w:sz w:val="20"/>
                <w:szCs w:val="20"/>
              </w:rPr>
              <w:t>0.007</w:t>
            </w:r>
          </w:p>
        </w:tc>
      </w:tr>
      <w:tr w:rsidR="00B751D3" w14:paraId="6373ABAA" w14:textId="77777777" w:rsidTr="005A3B4D">
        <w:trPr>
          <w:trHeight w:val="320"/>
        </w:trPr>
        <w:tc>
          <w:tcPr>
            <w:tcW w:w="1152" w:type="dxa"/>
            <w:tcBorders>
              <w:top w:val="nil"/>
              <w:left w:val="nil"/>
              <w:bottom w:val="nil"/>
              <w:right w:val="nil"/>
            </w:tcBorders>
            <w:shd w:val="clear" w:color="auto" w:fill="auto"/>
            <w:noWrap/>
            <w:vAlign w:val="bottom"/>
            <w:hideMark/>
          </w:tcPr>
          <w:p w14:paraId="49D4319B"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7FF274" w14:textId="77777777" w:rsidR="00B751D3" w:rsidRDefault="00B751D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385429B" w14:textId="77777777" w:rsidR="00B751D3" w:rsidRDefault="00B751D3" w:rsidP="005A3B4D">
            <w:pPr>
              <w:jc w:val="right"/>
              <w:rPr>
                <w:color w:val="000000"/>
                <w:sz w:val="20"/>
                <w:szCs w:val="20"/>
              </w:rPr>
            </w:pPr>
            <w:r>
              <w:rPr>
                <w:color w:val="000000"/>
                <w:sz w:val="20"/>
                <w:szCs w:val="20"/>
              </w:rPr>
              <w:t>0.087</w:t>
            </w:r>
          </w:p>
        </w:tc>
        <w:tc>
          <w:tcPr>
            <w:tcW w:w="864" w:type="dxa"/>
            <w:tcBorders>
              <w:top w:val="nil"/>
              <w:left w:val="nil"/>
              <w:bottom w:val="nil"/>
              <w:right w:val="nil"/>
            </w:tcBorders>
            <w:shd w:val="clear" w:color="auto" w:fill="auto"/>
            <w:noWrap/>
            <w:vAlign w:val="bottom"/>
            <w:hideMark/>
          </w:tcPr>
          <w:p w14:paraId="2A58EE88" w14:textId="77777777" w:rsidR="00B751D3" w:rsidRDefault="00B751D3" w:rsidP="005A3B4D">
            <w:pPr>
              <w:jc w:val="right"/>
              <w:rPr>
                <w:color w:val="000000"/>
                <w:sz w:val="20"/>
                <w:szCs w:val="20"/>
              </w:rPr>
            </w:pPr>
            <w:r>
              <w:rPr>
                <w:color w:val="000000"/>
                <w:sz w:val="20"/>
                <w:szCs w:val="20"/>
              </w:rPr>
              <w:t>0.112</w:t>
            </w:r>
          </w:p>
        </w:tc>
        <w:tc>
          <w:tcPr>
            <w:tcW w:w="864" w:type="dxa"/>
            <w:tcBorders>
              <w:top w:val="nil"/>
              <w:left w:val="nil"/>
              <w:bottom w:val="nil"/>
              <w:right w:val="nil"/>
            </w:tcBorders>
            <w:shd w:val="clear" w:color="auto" w:fill="auto"/>
            <w:noWrap/>
            <w:vAlign w:val="bottom"/>
            <w:hideMark/>
          </w:tcPr>
          <w:p w14:paraId="30C3900E" w14:textId="77777777" w:rsidR="00B751D3" w:rsidRDefault="00B751D3"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597A28D9" w14:textId="77777777" w:rsidR="00B751D3" w:rsidRDefault="00B751D3"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3E7DFCC6" w14:textId="77777777" w:rsidR="00B751D3" w:rsidRDefault="00B751D3" w:rsidP="005A3B4D">
            <w:pPr>
              <w:jc w:val="right"/>
              <w:rPr>
                <w:color w:val="000000"/>
                <w:sz w:val="20"/>
                <w:szCs w:val="20"/>
              </w:rPr>
            </w:pPr>
            <w:r>
              <w:rPr>
                <w:color w:val="000000"/>
                <w:sz w:val="20"/>
                <w:szCs w:val="20"/>
              </w:rPr>
              <w:t>0.990</w:t>
            </w:r>
          </w:p>
        </w:tc>
        <w:tc>
          <w:tcPr>
            <w:tcW w:w="864" w:type="dxa"/>
            <w:tcBorders>
              <w:top w:val="nil"/>
              <w:left w:val="nil"/>
              <w:bottom w:val="nil"/>
              <w:right w:val="nil"/>
            </w:tcBorders>
            <w:shd w:val="clear" w:color="auto" w:fill="auto"/>
            <w:noWrap/>
            <w:vAlign w:val="bottom"/>
            <w:hideMark/>
          </w:tcPr>
          <w:p w14:paraId="02572002" w14:textId="77777777" w:rsidR="00B751D3" w:rsidRDefault="00B751D3" w:rsidP="005A3B4D">
            <w:pPr>
              <w:jc w:val="right"/>
              <w:rPr>
                <w:color w:val="000000"/>
                <w:sz w:val="20"/>
                <w:szCs w:val="20"/>
              </w:rPr>
            </w:pPr>
            <w:r>
              <w:rPr>
                <w:color w:val="000000"/>
                <w:sz w:val="20"/>
                <w:szCs w:val="20"/>
              </w:rPr>
              <w:t>0.000</w:t>
            </w:r>
          </w:p>
        </w:tc>
      </w:tr>
      <w:tr w:rsidR="00B751D3" w14:paraId="74180DA8" w14:textId="77777777" w:rsidTr="005A3B4D">
        <w:trPr>
          <w:trHeight w:val="320"/>
        </w:trPr>
        <w:tc>
          <w:tcPr>
            <w:tcW w:w="1152" w:type="dxa"/>
            <w:tcBorders>
              <w:top w:val="nil"/>
              <w:left w:val="nil"/>
              <w:bottom w:val="nil"/>
              <w:right w:val="nil"/>
            </w:tcBorders>
            <w:shd w:val="clear" w:color="auto" w:fill="auto"/>
            <w:noWrap/>
            <w:vAlign w:val="bottom"/>
            <w:hideMark/>
          </w:tcPr>
          <w:p w14:paraId="678D88C7"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BC519FA" w14:textId="77777777" w:rsidR="00B751D3" w:rsidRDefault="00B751D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38263F0" w14:textId="77777777" w:rsidR="00B751D3" w:rsidRDefault="00B751D3" w:rsidP="005A3B4D">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0C40B90B" w14:textId="77777777" w:rsidR="00B751D3" w:rsidRDefault="00B751D3" w:rsidP="005A3B4D">
            <w:pPr>
              <w:jc w:val="right"/>
              <w:rPr>
                <w:color w:val="000000"/>
                <w:sz w:val="20"/>
                <w:szCs w:val="20"/>
              </w:rPr>
            </w:pPr>
            <w:r>
              <w:rPr>
                <w:color w:val="000000"/>
                <w:sz w:val="20"/>
                <w:szCs w:val="20"/>
              </w:rPr>
              <w:t>0.376</w:t>
            </w:r>
          </w:p>
        </w:tc>
        <w:tc>
          <w:tcPr>
            <w:tcW w:w="864" w:type="dxa"/>
            <w:tcBorders>
              <w:top w:val="nil"/>
              <w:left w:val="nil"/>
              <w:bottom w:val="nil"/>
              <w:right w:val="nil"/>
            </w:tcBorders>
            <w:shd w:val="clear" w:color="auto" w:fill="auto"/>
            <w:noWrap/>
            <w:vAlign w:val="bottom"/>
            <w:hideMark/>
          </w:tcPr>
          <w:p w14:paraId="2A07A015" w14:textId="77777777" w:rsidR="00B751D3" w:rsidRDefault="00B751D3"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1950B3E" w14:textId="77777777" w:rsidR="00B751D3" w:rsidRDefault="00B751D3" w:rsidP="005A3B4D">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4DDCF32F" w14:textId="77777777" w:rsidR="00B751D3" w:rsidRDefault="00B751D3" w:rsidP="005A3B4D">
            <w:pPr>
              <w:jc w:val="right"/>
              <w:rPr>
                <w:color w:val="000000"/>
                <w:sz w:val="20"/>
                <w:szCs w:val="20"/>
              </w:rPr>
            </w:pPr>
            <w:r>
              <w:rPr>
                <w:color w:val="000000"/>
                <w:sz w:val="20"/>
                <w:szCs w:val="20"/>
              </w:rPr>
              <w:t>0.990</w:t>
            </w:r>
          </w:p>
        </w:tc>
        <w:tc>
          <w:tcPr>
            <w:tcW w:w="864" w:type="dxa"/>
            <w:tcBorders>
              <w:top w:val="nil"/>
              <w:left w:val="nil"/>
              <w:bottom w:val="nil"/>
              <w:right w:val="nil"/>
            </w:tcBorders>
            <w:shd w:val="clear" w:color="auto" w:fill="auto"/>
            <w:noWrap/>
            <w:vAlign w:val="bottom"/>
            <w:hideMark/>
          </w:tcPr>
          <w:p w14:paraId="306A2B9E" w14:textId="77777777" w:rsidR="00B751D3" w:rsidRDefault="00B751D3" w:rsidP="005A3B4D">
            <w:pPr>
              <w:jc w:val="right"/>
              <w:rPr>
                <w:color w:val="000000"/>
                <w:sz w:val="20"/>
                <w:szCs w:val="20"/>
              </w:rPr>
            </w:pPr>
            <w:r>
              <w:rPr>
                <w:color w:val="000000"/>
                <w:sz w:val="20"/>
                <w:szCs w:val="20"/>
              </w:rPr>
              <w:t>0.001</w:t>
            </w:r>
          </w:p>
        </w:tc>
      </w:tr>
      <w:tr w:rsidR="00B751D3" w14:paraId="4083561D" w14:textId="77777777" w:rsidTr="005A3B4D">
        <w:trPr>
          <w:trHeight w:val="320"/>
        </w:trPr>
        <w:tc>
          <w:tcPr>
            <w:tcW w:w="1152" w:type="dxa"/>
            <w:tcBorders>
              <w:top w:val="nil"/>
              <w:left w:val="nil"/>
              <w:bottom w:val="nil"/>
              <w:right w:val="nil"/>
            </w:tcBorders>
            <w:shd w:val="clear" w:color="auto" w:fill="auto"/>
            <w:noWrap/>
            <w:vAlign w:val="bottom"/>
            <w:hideMark/>
          </w:tcPr>
          <w:p w14:paraId="59D0EE40"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F50EFC8" w14:textId="77777777" w:rsidR="00B751D3" w:rsidRDefault="00B751D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F0BA007" w14:textId="77777777" w:rsidR="00B751D3" w:rsidRDefault="00B751D3" w:rsidP="005A3B4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1C06F440" w14:textId="77777777" w:rsidR="00B751D3" w:rsidRDefault="00B751D3" w:rsidP="005A3B4D">
            <w:pPr>
              <w:jc w:val="right"/>
              <w:rPr>
                <w:color w:val="000000"/>
                <w:sz w:val="20"/>
                <w:szCs w:val="20"/>
              </w:rPr>
            </w:pPr>
            <w:r>
              <w:rPr>
                <w:color w:val="000000"/>
                <w:sz w:val="20"/>
                <w:szCs w:val="20"/>
              </w:rPr>
              <w:t>0.171</w:t>
            </w:r>
          </w:p>
        </w:tc>
        <w:tc>
          <w:tcPr>
            <w:tcW w:w="864" w:type="dxa"/>
            <w:tcBorders>
              <w:top w:val="nil"/>
              <w:left w:val="nil"/>
              <w:bottom w:val="nil"/>
              <w:right w:val="nil"/>
            </w:tcBorders>
            <w:shd w:val="clear" w:color="auto" w:fill="auto"/>
            <w:noWrap/>
            <w:vAlign w:val="bottom"/>
            <w:hideMark/>
          </w:tcPr>
          <w:p w14:paraId="51D50E92" w14:textId="77777777" w:rsidR="00B751D3" w:rsidRDefault="00B751D3"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759CD047" w14:textId="77777777" w:rsidR="00B751D3" w:rsidRDefault="00B751D3"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1BEF1A73" w14:textId="77777777" w:rsidR="00B751D3" w:rsidRDefault="00B751D3" w:rsidP="005A3B4D">
            <w:pPr>
              <w:jc w:val="right"/>
              <w:rPr>
                <w:color w:val="000000"/>
                <w:sz w:val="20"/>
                <w:szCs w:val="20"/>
              </w:rPr>
            </w:pPr>
            <w:r>
              <w:rPr>
                <w:color w:val="000000"/>
                <w:sz w:val="20"/>
                <w:szCs w:val="20"/>
              </w:rPr>
              <w:t>0.990</w:t>
            </w:r>
          </w:p>
        </w:tc>
        <w:tc>
          <w:tcPr>
            <w:tcW w:w="864" w:type="dxa"/>
            <w:tcBorders>
              <w:top w:val="nil"/>
              <w:left w:val="nil"/>
              <w:bottom w:val="nil"/>
              <w:right w:val="nil"/>
            </w:tcBorders>
            <w:shd w:val="clear" w:color="auto" w:fill="auto"/>
            <w:noWrap/>
            <w:vAlign w:val="bottom"/>
            <w:hideMark/>
          </w:tcPr>
          <w:p w14:paraId="3ED65B8F" w14:textId="77777777" w:rsidR="00B751D3" w:rsidRDefault="00B751D3" w:rsidP="005A3B4D">
            <w:pPr>
              <w:jc w:val="right"/>
              <w:rPr>
                <w:color w:val="000000"/>
                <w:sz w:val="20"/>
                <w:szCs w:val="20"/>
              </w:rPr>
            </w:pPr>
            <w:r>
              <w:rPr>
                <w:color w:val="000000"/>
                <w:sz w:val="20"/>
                <w:szCs w:val="20"/>
              </w:rPr>
              <w:t>0.000</w:t>
            </w:r>
          </w:p>
        </w:tc>
      </w:tr>
      <w:tr w:rsidR="00B751D3" w14:paraId="333B7508" w14:textId="77777777" w:rsidTr="005A3B4D">
        <w:trPr>
          <w:trHeight w:val="320"/>
        </w:trPr>
        <w:tc>
          <w:tcPr>
            <w:tcW w:w="1152" w:type="dxa"/>
            <w:tcBorders>
              <w:top w:val="nil"/>
              <w:left w:val="nil"/>
              <w:bottom w:val="nil"/>
              <w:right w:val="nil"/>
            </w:tcBorders>
            <w:shd w:val="clear" w:color="auto" w:fill="auto"/>
            <w:noWrap/>
            <w:vAlign w:val="bottom"/>
            <w:hideMark/>
          </w:tcPr>
          <w:p w14:paraId="098B7639"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6431A76" w14:textId="77777777" w:rsidR="00B751D3" w:rsidRDefault="00B751D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75AEBB9" w14:textId="77777777" w:rsidR="00B751D3" w:rsidRDefault="00B751D3" w:rsidP="005A3B4D">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1611DD4B" w14:textId="77777777" w:rsidR="00B751D3" w:rsidRDefault="00B751D3" w:rsidP="005A3B4D">
            <w:pPr>
              <w:jc w:val="right"/>
              <w:rPr>
                <w:color w:val="000000"/>
                <w:sz w:val="20"/>
                <w:szCs w:val="20"/>
              </w:rPr>
            </w:pPr>
            <w:r>
              <w:rPr>
                <w:color w:val="000000"/>
                <w:sz w:val="20"/>
                <w:szCs w:val="20"/>
              </w:rPr>
              <w:t>0.408</w:t>
            </w:r>
          </w:p>
        </w:tc>
        <w:tc>
          <w:tcPr>
            <w:tcW w:w="864" w:type="dxa"/>
            <w:tcBorders>
              <w:top w:val="nil"/>
              <w:left w:val="nil"/>
              <w:bottom w:val="nil"/>
              <w:right w:val="nil"/>
            </w:tcBorders>
            <w:shd w:val="clear" w:color="auto" w:fill="auto"/>
            <w:noWrap/>
            <w:vAlign w:val="bottom"/>
            <w:hideMark/>
          </w:tcPr>
          <w:p w14:paraId="46634BDB"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A61E094"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7F18DAB" w14:textId="77777777" w:rsidR="00B751D3" w:rsidRDefault="00B751D3" w:rsidP="005A3B4D">
            <w:pPr>
              <w:jc w:val="right"/>
              <w:rPr>
                <w:color w:val="000000"/>
                <w:sz w:val="20"/>
                <w:szCs w:val="20"/>
              </w:rPr>
            </w:pPr>
            <w:r>
              <w:rPr>
                <w:color w:val="000000"/>
                <w:sz w:val="20"/>
                <w:szCs w:val="20"/>
              </w:rPr>
              <w:t>0.990</w:t>
            </w:r>
          </w:p>
        </w:tc>
        <w:tc>
          <w:tcPr>
            <w:tcW w:w="864" w:type="dxa"/>
            <w:tcBorders>
              <w:top w:val="nil"/>
              <w:left w:val="nil"/>
              <w:bottom w:val="nil"/>
              <w:right w:val="nil"/>
            </w:tcBorders>
            <w:shd w:val="clear" w:color="auto" w:fill="auto"/>
            <w:noWrap/>
            <w:vAlign w:val="bottom"/>
            <w:hideMark/>
          </w:tcPr>
          <w:p w14:paraId="18D4B549" w14:textId="77777777" w:rsidR="00B751D3" w:rsidRDefault="00B751D3" w:rsidP="005A3B4D">
            <w:pPr>
              <w:jc w:val="right"/>
              <w:rPr>
                <w:color w:val="000000"/>
                <w:sz w:val="20"/>
                <w:szCs w:val="20"/>
              </w:rPr>
            </w:pPr>
            <w:r>
              <w:rPr>
                <w:color w:val="000000"/>
                <w:sz w:val="20"/>
                <w:szCs w:val="20"/>
              </w:rPr>
              <w:t>0.000</w:t>
            </w:r>
          </w:p>
        </w:tc>
      </w:tr>
      <w:tr w:rsidR="00B751D3" w14:paraId="646D2138"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0B0580A3" w14:textId="77777777" w:rsidR="00B751D3" w:rsidRDefault="00B751D3"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D24A0B0" w14:textId="77777777" w:rsidR="00B751D3" w:rsidRDefault="00B751D3"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13577F9" w14:textId="77777777" w:rsidR="00B751D3" w:rsidRDefault="00B751D3" w:rsidP="005A3B4D">
            <w:pPr>
              <w:jc w:val="right"/>
              <w:rPr>
                <w:color w:val="000000"/>
                <w:sz w:val="20"/>
                <w:szCs w:val="20"/>
              </w:rPr>
            </w:pPr>
            <w:r>
              <w:rPr>
                <w:color w:val="000000"/>
                <w:sz w:val="20"/>
                <w:szCs w:val="20"/>
              </w:rPr>
              <w:t>0.027</w:t>
            </w:r>
          </w:p>
        </w:tc>
        <w:tc>
          <w:tcPr>
            <w:tcW w:w="864" w:type="dxa"/>
            <w:tcBorders>
              <w:top w:val="nil"/>
              <w:left w:val="nil"/>
              <w:bottom w:val="single" w:sz="4" w:space="0" w:color="auto"/>
              <w:right w:val="nil"/>
            </w:tcBorders>
            <w:shd w:val="clear" w:color="auto" w:fill="auto"/>
            <w:noWrap/>
            <w:vAlign w:val="bottom"/>
            <w:hideMark/>
          </w:tcPr>
          <w:p w14:paraId="6B4864FE" w14:textId="77777777" w:rsidR="00B751D3" w:rsidRDefault="00B751D3" w:rsidP="005A3B4D">
            <w:pPr>
              <w:jc w:val="right"/>
              <w:rPr>
                <w:color w:val="000000"/>
                <w:sz w:val="20"/>
                <w:szCs w:val="20"/>
              </w:rPr>
            </w:pPr>
            <w:r>
              <w:rPr>
                <w:color w:val="000000"/>
                <w:sz w:val="20"/>
                <w:szCs w:val="20"/>
              </w:rPr>
              <w:t>0.576</w:t>
            </w:r>
          </w:p>
        </w:tc>
        <w:tc>
          <w:tcPr>
            <w:tcW w:w="864" w:type="dxa"/>
            <w:tcBorders>
              <w:top w:val="nil"/>
              <w:left w:val="nil"/>
              <w:bottom w:val="single" w:sz="4" w:space="0" w:color="auto"/>
              <w:right w:val="nil"/>
            </w:tcBorders>
            <w:shd w:val="clear" w:color="auto" w:fill="auto"/>
            <w:noWrap/>
            <w:vAlign w:val="bottom"/>
            <w:hideMark/>
          </w:tcPr>
          <w:p w14:paraId="535766CC"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5B0F8A22" w14:textId="77777777" w:rsidR="00B751D3" w:rsidRDefault="00B751D3" w:rsidP="005A3B4D">
            <w:pPr>
              <w:jc w:val="right"/>
              <w:rPr>
                <w:color w:val="000000"/>
                <w:sz w:val="20"/>
                <w:szCs w:val="20"/>
              </w:rPr>
            </w:pPr>
            <w:r>
              <w:rPr>
                <w:color w:val="000000"/>
                <w:sz w:val="20"/>
                <w:szCs w:val="20"/>
              </w:rPr>
              <w:t>-0.003</w:t>
            </w:r>
          </w:p>
        </w:tc>
        <w:tc>
          <w:tcPr>
            <w:tcW w:w="864" w:type="dxa"/>
            <w:tcBorders>
              <w:top w:val="nil"/>
              <w:left w:val="nil"/>
              <w:bottom w:val="single" w:sz="4" w:space="0" w:color="auto"/>
              <w:right w:val="nil"/>
            </w:tcBorders>
            <w:shd w:val="clear" w:color="auto" w:fill="auto"/>
            <w:noWrap/>
            <w:vAlign w:val="bottom"/>
            <w:hideMark/>
          </w:tcPr>
          <w:p w14:paraId="7E331503" w14:textId="77777777" w:rsidR="00B751D3" w:rsidRDefault="00B751D3" w:rsidP="005A3B4D">
            <w:pPr>
              <w:jc w:val="right"/>
              <w:rPr>
                <w:color w:val="000000"/>
                <w:sz w:val="20"/>
                <w:szCs w:val="20"/>
              </w:rPr>
            </w:pPr>
            <w:r>
              <w:rPr>
                <w:color w:val="000000"/>
                <w:sz w:val="20"/>
                <w:szCs w:val="20"/>
              </w:rPr>
              <w:t>0.990</w:t>
            </w:r>
          </w:p>
        </w:tc>
        <w:tc>
          <w:tcPr>
            <w:tcW w:w="864" w:type="dxa"/>
            <w:tcBorders>
              <w:top w:val="nil"/>
              <w:left w:val="nil"/>
              <w:bottom w:val="single" w:sz="4" w:space="0" w:color="auto"/>
              <w:right w:val="nil"/>
            </w:tcBorders>
            <w:shd w:val="clear" w:color="auto" w:fill="auto"/>
            <w:noWrap/>
            <w:vAlign w:val="bottom"/>
            <w:hideMark/>
          </w:tcPr>
          <w:p w14:paraId="08BA0C0E" w14:textId="77777777" w:rsidR="00B751D3" w:rsidRDefault="00B751D3" w:rsidP="005A3B4D">
            <w:pPr>
              <w:jc w:val="right"/>
              <w:rPr>
                <w:color w:val="000000"/>
                <w:sz w:val="20"/>
                <w:szCs w:val="20"/>
              </w:rPr>
            </w:pPr>
            <w:r>
              <w:rPr>
                <w:color w:val="000000"/>
                <w:sz w:val="20"/>
                <w:szCs w:val="20"/>
              </w:rPr>
              <w:t>0.000</w:t>
            </w:r>
          </w:p>
        </w:tc>
      </w:tr>
      <w:tr w:rsidR="00B751D3" w14:paraId="0E2D33C5" w14:textId="77777777" w:rsidTr="005A3B4D">
        <w:trPr>
          <w:trHeight w:val="320"/>
        </w:trPr>
        <w:tc>
          <w:tcPr>
            <w:tcW w:w="1152" w:type="dxa"/>
            <w:tcBorders>
              <w:top w:val="nil"/>
              <w:left w:val="nil"/>
              <w:bottom w:val="nil"/>
              <w:right w:val="nil"/>
            </w:tcBorders>
            <w:shd w:val="clear" w:color="auto" w:fill="auto"/>
            <w:noWrap/>
            <w:vAlign w:val="bottom"/>
            <w:hideMark/>
          </w:tcPr>
          <w:p w14:paraId="49A03AA8" w14:textId="77777777" w:rsidR="00B751D3" w:rsidRDefault="00B751D3" w:rsidP="005A3B4D">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22F72CA7" w14:textId="77777777" w:rsidR="00B751D3" w:rsidRDefault="00B751D3"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F78D28A" w14:textId="77777777" w:rsidR="00B751D3" w:rsidRDefault="00B751D3"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931EA19" w14:textId="77777777" w:rsidR="00B751D3" w:rsidRDefault="00B751D3"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6AEEA58F"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0524F0A" w14:textId="77777777" w:rsidR="00B751D3" w:rsidRDefault="00B751D3"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50AF28A5" w14:textId="77777777" w:rsidR="00B751D3" w:rsidRDefault="00B751D3" w:rsidP="005A3B4D">
            <w:pPr>
              <w:jc w:val="right"/>
              <w:rPr>
                <w:color w:val="000000"/>
                <w:sz w:val="20"/>
                <w:szCs w:val="20"/>
              </w:rPr>
            </w:pPr>
            <w:r>
              <w:rPr>
                <w:color w:val="000000"/>
                <w:sz w:val="20"/>
                <w:szCs w:val="20"/>
              </w:rPr>
              <w:t>0.968</w:t>
            </w:r>
          </w:p>
        </w:tc>
        <w:tc>
          <w:tcPr>
            <w:tcW w:w="864" w:type="dxa"/>
            <w:tcBorders>
              <w:top w:val="nil"/>
              <w:left w:val="nil"/>
              <w:bottom w:val="nil"/>
              <w:right w:val="nil"/>
            </w:tcBorders>
            <w:shd w:val="clear" w:color="auto" w:fill="auto"/>
            <w:noWrap/>
            <w:vAlign w:val="bottom"/>
            <w:hideMark/>
          </w:tcPr>
          <w:p w14:paraId="6AB71F00" w14:textId="77777777" w:rsidR="00B751D3" w:rsidRDefault="00B751D3" w:rsidP="005A3B4D">
            <w:pPr>
              <w:jc w:val="right"/>
              <w:rPr>
                <w:color w:val="000000"/>
                <w:sz w:val="20"/>
                <w:szCs w:val="20"/>
              </w:rPr>
            </w:pPr>
            <w:r>
              <w:rPr>
                <w:color w:val="000000"/>
                <w:sz w:val="20"/>
                <w:szCs w:val="20"/>
              </w:rPr>
              <w:t>0.000</w:t>
            </w:r>
          </w:p>
        </w:tc>
      </w:tr>
      <w:tr w:rsidR="00B751D3" w14:paraId="7BDD8B7C" w14:textId="77777777" w:rsidTr="005A3B4D">
        <w:trPr>
          <w:trHeight w:val="320"/>
        </w:trPr>
        <w:tc>
          <w:tcPr>
            <w:tcW w:w="1152" w:type="dxa"/>
            <w:tcBorders>
              <w:top w:val="nil"/>
              <w:left w:val="nil"/>
              <w:bottom w:val="nil"/>
              <w:right w:val="nil"/>
            </w:tcBorders>
            <w:shd w:val="clear" w:color="auto" w:fill="auto"/>
            <w:noWrap/>
            <w:vAlign w:val="bottom"/>
            <w:hideMark/>
          </w:tcPr>
          <w:p w14:paraId="7727CE33"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D1E7F3A" w14:textId="77777777" w:rsidR="00B751D3" w:rsidRDefault="00B751D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603A1EC" w14:textId="77777777" w:rsidR="00B751D3" w:rsidRDefault="00B751D3" w:rsidP="005A3B4D">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7467AA01" w14:textId="77777777" w:rsidR="00B751D3" w:rsidRDefault="00B751D3"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47F1EF4F"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77688C9" w14:textId="77777777" w:rsidR="00B751D3" w:rsidRDefault="00B751D3"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096A4DC1" w14:textId="77777777" w:rsidR="00B751D3" w:rsidRDefault="00B751D3" w:rsidP="005A3B4D">
            <w:pPr>
              <w:jc w:val="right"/>
              <w:rPr>
                <w:color w:val="000000"/>
                <w:sz w:val="20"/>
                <w:szCs w:val="20"/>
              </w:rPr>
            </w:pPr>
            <w:r>
              <w:rPr>
                <w:color w:val="000000"/>
                <w:sz w:val="20"/>
                <w:szCs w:val="20"/>
              </w:rPr>
              <w:t>0.968</w:t>
            </w:r>
          </w:p>
        </w:tc>
        <w:tc>
          <w:tcPr>
            <w:tcW w:w="864" w:type="dxa"/>
            <w:tcBorders>
              <w:top w:val="nil"/>
              <w:left w:val="nil"/>
              <w:bottom w:val="nil"/>
              <w:right w:val="nil"/>
            </w:tcBorders>
            <w:shd w:val="clear" w:color="auto" w:fill="auto"/>
            <w:noWrap/>
            <w:vAlign w:val="bottom"/>
            <w:hideMark/>
          </w:tcPr>
          <w:p w14:paraId="4E35AA92" w14:textId="77777777" w:rsidR="00B751D3" w:rsidRDefault="00B751D3" w:rsidP="005A3B4D">
            <w:pPr>
              <w:jc w:val="right"/>
              <w:rPr>
                <w:color w:val="000000"/>
                <w:sz w:val="20"/>
                <w:szCs w:val="20"/>
              </w:rPr>
            </w:pPr>
            <w:r>
              <w:rPr>
                <w:color w:val="000000"/>
                <w:sz w:val="20"/>
                <w:szCs w:val="20"/>
              </w:rPr>
              <w:t>0.000</w:t>
            </w:r>
          </w:p>
        </w:tc>
      </w:tr>
      <w:tr w:rsidR="00B751D3" w14:paraId="64B26486" w14:textId="77777777" w:rsidTr="005A3B4D">
        <w:trPr>
          <w:trHeight w:val="320"/>
        </w:trPr>
        <w:tc>
          <w:tcPr>
            <w:tcW w:w="1152" w:type="dxa"/>
            <w:tcBorders>
              <w:top w:val="nil"/>
              <w:left w:val="nil"/>
              <w:bottom w:val="nil"/>
              <w:right w:val="nil"/>
            </w:tcBorders>
            <w:shd w:val="clear" w:color="auto" w:fill="auto"/>
            <w:noWrap/>
            <w:vAlign w:val="bottom"/>
            <w:hideMark/>
          </w:tcPr>
          <w:p w14:paraId="7D3D1C30"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C6F5F4A" w14:textId="77777777" w:rsidR="00B751D3" w:rsidRDefault="00B751D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7A76B7B" w14:textId="77777777" w:rsidR="00B751D3" w:rsidRDefault="00B751D3" w:rsidP="005A3B4D">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7CD3201A" w14:textId="77777777" w:rsidR="00B751D3" w:rsidRDefault="00B751D3"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4A837E28"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18B8FFC" w14:textId="77777777" w:rsidR="00B751D3" w:rsidRDefault="00B751D3" w:rsidP="005A3B4D">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521F8D03" w14:textId="77777777" w:rsidR="00B751D3" w:rsidRDefault="00B751D3" w:rsidP="005A3B4D">
            <w:pPr>
              <w:jc w:val="right"/>
              <w:rPr>
                <w:color w:val="000000"/>
                <w:sz w:val="20"/>
                <w:szCs w:val="20"/>
              </w:rPr>
            </w:pPr>
            <w:r>
              <w:rPr>
                <w:color w:val="000000"/>
                <w:sz w:val="20"/>
                <w:szCs w:val="20"/>
              </w:rPr>
              <w:t>0.968</w:t>
            </w:r>
          </w:p>
        </w:tc>
        <w:tc>
          <w:tcPr>
            <w:tcW w:w="864" w:type="dxa"/>
            <w:tcBorders>
              <w:top w:val="nil"/>
              <w:left w:val="nil"/>
              <w:bottom w:val="nil"/>
              <w:right w:val="nil"/>
            </w:tcBorders>
            <w:shd w:val="clear" w:color="auto" w:fill="auto"/>
            <w:noWrap/>
            <w:vAlign w:val="bottom"/>
            <w:hideMark/>
          </w:tcPr>
          <w:p w14:paraId="1F719D75" w14:textId="77777777" w:rsidR="00B751D3" w:rsidRDefault="00B751D3" w:rsidP="005A3B4D">
            <w:pPr>
              <w:jc w:val="right"/>
              <w:rPr>
                <w:color w:val="000000"/>
                <w:sz w:val="20"/>
                <w:szCs w:val="20"/>
              </w:rPr>
            </w:pPr>
            <w:r>
              <w:rPr>
                <w:color w:val="000000"/>
                <w:sz w:val="20"/>
                <w:szCs w:val="20"/>
              </w:rPr>
              <w:t>0.000</w:t>
            </w:r>
          </w:p>
        </w:tc>
      </w:tr>
      <w:tr w:rsidR="00B751D3" w14:paraId="409F4F62" w14:textId="77777777" w:rsidTr="005A3B4D">
        <w:trPr>
          <w:trHeight w:val="320"/>
        </w:trPr>
        <w:tc>
          <w:tcPr>
            <w:tcW w:w="1152" w:type="dxa"/>
            <w:tcBorders>
              <w:top w:val="nil"/>
              <w:left w:val="nil"/>
              <w:bottom w:val="nil"/>
              <w:right w:val="nil"/>
            </w:tcBorders>
            <w:shd w:val="clear" w:color="auto" w:fill="auto"/>
            <w:noWrap/>
            <w:vAlign w:val="bottom"/>
            <w:hideMark/>
          </w:tcPr>
          <w:p w14:paraId="2AC74C69"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ACB28EB" w14:textId="77777777" w:rsidR="00B751D3" w:rsidRDefault="00B751D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EED91DF" w14:textId="77777777" w:rsidR="00B751D3" w:rsidRDefault="00B751D3" w:rsidP="005A3B4D">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1B01CAF7" w14:textId="77777777" w:rsidR="00B751D3" w:rsidRDefault="00B751D3"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2ED42CFD"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CCEB5C9" w14:textId="77777777" w:rsidR="00B751D3" w:rsidRDefault="00B751D3" w:rsidP="005A3B4D">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4120AB9F" w14:textId="77777777" w:rsidR="00B751D3" w:rsidRDefault="00B751D3" w:rsidP="005A3B4D">
            <w:pPr>
              <w:jc w:val="right"/>
              <w:rPr>
                <w:color w:val="000000"/>
                <w:sz w:val="20"/>
                <w:szCs w:val="20"/>
              </w:rPr>
            </w:pPr>
            <w:r>
              <w:rPr>
                <w:color w:val="000000"/>
                <w:sz w:val="20"/>
                <w:szCs w:val="20"/>
              </w:rPr>
              <w:t>0.968</w:t>
            </w:r>
          </w:p>
        </w:tc>
        <w:tc>
          <w:tcPr>
            <w:tcW w:w="864" w:type="dxa"/>
            <w:tcBorders>
              <w:top w:val="nil"/>
              <w:left w:val="nil"/>
              <w:bottom w:val="nil"/>
              <w:right w:val="nil"/>
            </w:tcBorders>
            <w:shd w:val="clear" w:color="auto" w:fill="auto"/>
            <w:noWrap/>
            <w:vAlign w:val="bottom"/>
            <w:hideMark/>
          </w:tcPr>
          <w:p w14:paraId="1D64D72B" w14:textId="77777777" w:rsidR="00B751D3" w:rsidRDefault="00B751D3" w:rsidP="005A3B4D">
            <w:pPr>
              <w:jc w:val="right"/>
              <w:rPr>
                <w:color w:val="000000"/>
                <w:sz w:val="20"/>
                <w:szCs w:val="20"/>
              </w:rPr>
            </w:pPr>
            <w:r>
              <w:rPr>
                <w:color w:val="000000"/>
                <w:sz w:val="20"/>
                <w:szCs w:val="20"/>
              </w:rPr>
              <w:t>0.000</w:t>
            </w:r>
          </w:p>
        </w:tc>
      </w:tr>
      <w:tr w:rsidR="00B751D3" w14:paraId="41E969DE" w14:textId="77777777" w:rsidTr="005A3B4D">
        <w:trPr>
          <w:trHeight w:val="320"/>
        </w:trPr>
        <w:tc>
          <w:tcPr>
            <w:tcW w:w="1152" w:type="dxa"/>
            <w:tcBorders>
              <w:top w:val="nil"/>
              <w:left w:val="nil"/>
              <w:bottom w:val="nil"/>
              <w:right w:val="nil"/>
            </w:tcBorders>
            <w:shd w:val="clear" w:color="auto" w:fill="auto"/>
            <w:noWrap/>
            <w:vAlign w:val="bottom"/>
            <w:hideMark/>
          </w:tcPr>
          <w:p w14:paraId="3AB5365F"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4F3B732" w14:textId="77777777" w:rsidR="00B751D3" w:rsidRDefault="00B751D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4C7ED74" w14:textId="77777777" w:rsidR="00B751D3" w:rsidRDefault="00B751D3"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4ED5163" w14:textId="77777777" w:rsidR="00B751D3" w:rsidRDefault="00B751D3"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3F57F910"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CFABA33" w14:textId="77777777" w:rsidR="00B751D3" w:rsidRDefault="00B751D3"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9C5F2C5" w14:textId="77777777" w:rsidR="00B751D3" w:rsidRDefault="00B751D3" w:rsidP="005A3B4D">
            <w:pPr>
              <w:jc w:val="right"/>
              <w:rPr>
                <w:color w:val="000000"/>
                <w:sz w:val="20"/>
                <w:szCs w:val="20"/>
              </w:rPr>
            </w:pPr>
            <w:r>
              <w:rPr>
                <w:color w:val="000000"/>
                <w:sz w:val="20"/>
                <w:szCs w:val="20"/>
              </w:rPr>
              <w:t>0.968</w:t>
            </w:r>
          </w:p>
        </w:tc>
        <w:tc>
          <w:tcPr>
            <w:tcW w:w="864" w:type="dxa"/>
            <w:tcBorders>
              <w:top w:val="nil"/>
              <w:left w:val="nil"/>
              <w:bottom w:val="nil"/>
              <w:right w:val="nil"/>
            </w:tcBorders>
            <w:shd w:val="clear" w:color="auto" w:fill="auto"/>
            <w:noWrap/>
            <w:vAlign w:val="bottom"/>
            <w:hideMark/>
          </w:tcPr>
          <w:p w14:paraId="29FF4AE8" w14:textId="77777777" w:rsidR="00B751D3" w:rsidRDefault="00B751D3" w:rsidP="005A3B4D">
            <w:pPr>
              <w:jc w:val="right"/>
              <w:rPr>
                <w:color w:val="000000"/>
                <w:sz w:val="20"/>
                <w:szCs w:val="20"/>
              </w:rPr>
            </w:pPr>
            <w:r>
              <w:rPr>
                <w:color w:val="000000"/>
                <w:sz w:val="20"/>
                <w:szCs w:val="20"/>
              </w:rPr>
              <w:t>0.000</w:t>
            </w:r>
          </w:p>
        </w:tc>
      </w:tr>
      <w:tr w:rsidR="00B751D3" w14:paraId="66C9129D" w14:textId="77777777" w:rsidTr="005A3B4D">
        <w:trPr>
          <w:trHeight w:val="320"/>
        </w:trPr>
        <w:tc>
          <w:tcPr>
            <w:tcW w:w="1152" w:type="dxa"/>
            <w:tcBorders>
              <w:top w:val="nil"/>
              <w:left w:val="nil"/>
              <w:bottom w:val="nil"/>
              <w:right w:val="nil"/>
            </w:tcBorders>
            <w:shd w:val="clear" w:color="auto" w:fill="auto"/>
            <w:noWrap/>
            <w:vAlign w:val="bottom"/>
            <w:hideMark/>
          </w:tcPr>
          <w:p w14:paraId="328F3D58"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C312EB0" w14:textId="77777777" w:rsidR="00B751D3" w:rsidRDefault="00B751D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5D8E7FC" w14:textId="77777777" w:rsidR="00B751D3" w:rsidRDefault="00B751D3" w:rsidP="005A3B4D">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2D48846B" w14:textId="77777777" w:rsidR="00B751D3" w:rsidRDefault="00B751D3"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520CB67D"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CC1CD66" w14:textId="77777777" w:rsidR="00B751D3" w:rsidRDefault="00B751D3"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41F1A2CA" w14:textId="77777777" w:rsidR="00B751D3" w:rsidRDefault="00B751D3" w:rsidP="005A3B4D">
            <w:pPr>
              <w:jc w:val="right"/>
              <w:rPr>
                <w:color w:val="000000"/>
                <w:sz w:val="20"/>
                <w:szCs w:val="20"/>
              </w:rPr>
            </w:pPr>
            <w:r>
              <w:rPr>
                <w:color w:val="000000"/>
                <w:sz w:val="20"/>
                <w:szCs w:val="20"/>
              </w:rPr>
              <w:t>0.968</w:t>
            </w:r>
          </w:p>
        </w:tc>
        <w:tc>
          <w:tcPr>
            <w:tcW w:w="864" w:type="dxa"/>
            <w:tcBorders>
              <w:top w:val="nil"/>
              <w:left w:val="nil"/>
              <w:bottom w:val="nil"/>
              <w:right w:val="nil"/>
            </w:tcBorders>
            <w:shd w:val="clear" w:color="auto" w:fill="auto"/>
            <w:noWrap/>
            <w:vAlign w:val="bottom"/>
            <w:hideMark/>
          </w:tcPr>
          <w:p w14:paraId="6DFEE5F6" w14:textId="77777777" w:rsidR="00B751D3" w:rsidRDefault="00B751D3" w:rsidP="005A3B4D">
            <w:pPr>
              <w:jc w:val="right"/>
              <w:rPr>
                <w:color w:val="000000"/>
                <w:sz w:val="20"/>
                <w:szCs w:val="20"/>
              </w:rPr>
            </w:pPr>
            <w:r>
              <w:rPr>
                <w:color w:val="000000"/>
                <w:sz w:val="20"/>
                <w:szCs w:val="20"/>
              </w:rPr>
              <w:t>0.000</w:t>
            </w:r>
          </w:p>
        </w:tc>
      </w:tr>
      <w:tr w:rsidR="00B751D3" w14:paraId="2E1DD63C" w14:textId="77777777" w:rsidTr="005A3B4D">
        <w:trPr>
          <w:trHeight w:val="320"/>
        </w:trPr>
        <w:tc>
          <w:tcPr>
            <w:tcW w:w="1152" w:type="dxa"/>
            <w:tcBorders>
              <w:top w:val="nil"/>
              <w:left w:val="nil"/>
              <w:bottom w:val="nil"/>
              <w:right w:val="nil"/>
            </w:tcBorders>
            <w:shd w:val="clear" w:color="auto" w:fill="auto"/>
            <w:noWrap/>
            <w:vAlign w:val="bottom"/>
            <w:hideMark/>
          </w:tcPr>
          <w:p w14:paraId="4ADC01CD"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53DFD78" w14:textId="77777777" w:rsidR="00B751D3" w:rsidRDefault="00B751D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631E94A" w14:textId="77777777" w:rsidR="00B751D3" w:rsidRDefault="00B751D3" w:rsidP="005A3B4D">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23CFB019" w14:textId="77777777" w:rsidR="00B751D3" w:rsidRDefault="00B751D3"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71A37E5A"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83349A5" w14:textId="77777777" w:rsidR="00B751D3" w:rsidRDefault="00B751D3" w:rsidP="005A3B4D">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529CF7A9" w14:textId="77777777" w:rsidR="00B751D3" w:rsidRDefault="00B751D3" w:rsidP="005A3B4D">
            <w:pPr>
              <w:jc w:val="right"/>
              <w:rPr>
                <w:color w:val="000000"/>
                <w:sz w:val="20"/>
                <w:szCs w:val="20"/>
              </w:rPr>
            </w:pPr>
            <w:r>
              <w:rPr>
                <w:color w:val="000000"/>
                <w:sz w:val="20"/>
                <w:szCs w:val="20"/>
              </w:rPr>
              <w:t>0.968</w:t>
            </w:r>
          </w:p>
        </w:tc>
        <w:tc>
          <w:tcPr>
            <w:tcW w:w="864" w:type="dxa"/>
            <w:tcBorders>
              <w:top w:val="nil"/>
              <w:left w:val="nil"/>
              <w:bottom w:val="nil"/>
              <w:right w:val="nil"/>
            </w:tcBorders>
            <w:shd w:val="clear" w:color="auto" w:fill="auto"/>
            <w:noWrap/>
            <w:vAlign w:val="bottom"/>
            <w:hideMark/>
          </w:tcPr>
          <w:p w14:paraId="6AD5FB7D" w14:textId="77777777" w:rsidR="00B751D3" w:rsidRDefault="00B751D3" w:rsidP="005A3B4D">
            <w:pPr>
              <w:jc w:val="right"/>
              <w:rPr>
                <w:color w:val="000000"/>
                <w:sz w:val="20"/>
                <w:szCs w:val="20"/>
              </w:rPr>
            </w:pPr>
            <w:r>
              <w:rPr>
                <w:color w:val="000000"/>
                <w:sz w:val="20"/>
                <w:szCs w:val="20"/>
              </w:rPr>
              <w:t>0.002</w:t>
            </w:r>
          </w:p>
        </w:tc>
      </w:tr>
      <w:tr w:rsidR="00B751D3" w14:paraId="50E97379"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49B07DF5" w14:textId="77777777" w:rsidR="00B751D3" w:rsidRDefault="00B751D3"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12DD08C2" w14:textId="77777777" w:rsidR="00B751D3" w:rsidRDefault="00B751D3"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4A5AB68" w14:textId="77777777" w:rsidR="00B751D3" w:rsidRDefault="00B751D3" w:rsidP="005A3B4D">
            <w:pPr>
              <w:jc w:val="right"/>
              <w:rPr>
                <w:color w:val="000000"/>
                <w:sz w:val="20"/>
                <w:szCs w:val="20"/>
              </w:rPr>
            </w:pPr>
            <w:r>
              <w:rPr>
                <w:color w:val="000000"/>
                <w:sz w:val="20"/>
                <w:szCs w:val="20"/>
              </w:rPr>
              <w:t>0.007</w:t>
            </w:r>
          </w:p>
        </w:tc>
        <w:tc>
          <w:tcPr>
            <w:tcW w:w="864" w:type="dxa"/>
            <w:tcBorders>
              <w:top w:val="nil"/>
              <w:left w:val="nil"/>
              <w:bottom w:val="single" w:sz="4" w:space="0" w:color="auto"/>
              <w:right w:val="nil"/>
            </w:tcBorders>
            <w:shd w:val="clear" w:color="auto" w:fill="auto"/>
            <w:noWrap/>
            <w:vAlign w:val="bottom"/>
            <w:hideMark/>
          </w:tcPr>
          <w:p w14:paraId="22AD7FB6" w14:textId="77777777" w:rsidR="00B751D3" w:rsidRDefault="00B751D3" w:rsidP="005A3B4D">
            <w:pPr>
              <w:jc w:val="right"/>
              <w:rPr>
                <w:color w:val="000000"/>
                <w:sz w:val="20"/>
                <w:szCs w:val="20"/>
              </w:rPr>
            </w:pPr>
            <w:r>
              <w:rPr>
                <w:color w:val="000000"/>
                <w:sz w:val="20"/>
                <w:szCs w:val="20"/>
              </w:rPr>
              <w:t>0.950</w:t>
            </w:r>
          </w:p>
        </w:tc>
        <w:tc>
          <w:tcPr>
            <w:tcW w:w="864" w:type="dxa"/>
            <w:tcBorders>
              <w:top w:val="nil"/>
              <w:left w:val="nil"/>
              <w:bottom w:val="single" w:sz="4" w:space="0" w:color="auto"/>
              <w:right w:val="nil"/>
            </w:tcBorders>
            <w:shd w:val="clear" w:color="auto" w:fill="auto"/>
            <w:noWrap/>
            <w:vAlign w:val="bottom"/>
            <w:hideMark/>
          </w:tcPr>
          <w:p w14:paraId="7509352B"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7D499A78"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0BB7E482" w14:textId="77777777" w:rsidR="00B751D3" w:rsidRDefault="00B751D3" w:rsidP="005A3B4D">
            <w:pPr>
              <w:jc w:val="right"/>
              <w:rPr>
                <w:color w:val="000000"/>
                <w:sz w:val="20"/>
                <w:szCs w:val="20"/>
              </w:rPr>
            </w:pPr>
            <w:r>
              <w:rPr>
                <w:color w:val="000000"/>
                <w:sz w:val="20"/>
                <w:szCs w:val="20"/>
              </w:rPr>
              <w:t>0.968</w:t>
            </w:r>
          </w:p>
        </w:tc>
        <w:tc>
          <w:tcPr>
            <w:tcW w:w="864" w:type="dxa"/>
            <w:tcBorders>
              <w:top w:val="nil"/>
              <w:left w:val="nil"/>
              <w:bottom w:val="single" w:sz="4" w:space="0" w:color="auto"/>
              <w:right w:val="nil"/>
            </w:tcBorders>
            <w:shd w:val="clear" w:color="auto" w:fill="auto"/>
            <w:noWrap/>
            <w:vAlign w:val="bottom"/>
            <w:hideMark/>
          </w:tcPr>
          <w:p w14:paraId="28C60CE5" w14:textId="77777777" w:rsidR="00B751D3" w:rsidRDefault="00B751D3" w:rsidP="005A3B4D">
            <w:pPr>
              <w:jc w:val="right"/>
              <w:rPr>
                <w:color w:val="000000"/>
                <w:sz w:val="20"/>
                <w:szCs w:val="20"/>
              </w:rPr>
            </w:pPr>
            <w:r>
              <w:rPr>
                <w:color w:val="000000"/>
                <w:sz w:val="20"/>
                <w:szCs w:val="20"/>
              </w:rPr>
              <w:t>0.000</w:t>
            </w:r>
          </w:p>
        </w:tc>
      </w:tr>
      <w:tr w:rsidR="00B751D3" w14:paraId="24928B80" w14:textId="77777777" w:rsidTr="005A3B4D">
        <w:trPr>
          <w:trHeight w:val="320"/>
        </w:trPr>
        <w:tc>
          <w:tcPr>
            <w:tcW w:w="1152" w:type="dxa"/>
            <w:tcBorders>
              <w:top w:val="nil"/>
              <w:left w:val="nil"/>
              <w:bottom w:val="nil"/>
              <w:right w:val="nil"/>
            </w:tcBorders>
            <w:shd w:val="clear" w:color="auto" w:fill="auto"/>
            <w:noWrap/>
            <w:vAlign w:val="bottom"/>
            <w:hideMark/>
          </w:tcPr>
          <w:p w14:paraId="26FFD156" w14:textId="77777777" w:rsidR="00B751D3" w:rsidRDefault="00B751D3" w:rsidP="005A3B4D">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3F0E84B1" w14:textId="77777777" w:rsidR="00B751D3" w:rsidRDefault="00B751D3"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2B0559D6"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75430ED" w14:textId="77777777" w:rsidR="00B751D3" w:rsidRDefault="00B751D3" w:rsidP="005A3B4D">
            <w:pPr>
              <w:jc w:val="right"/>
              <w:rPr>
                <w:color w:val="000000"/>
                <w:sz w:val="20"/>
                <w:szCs w:val="20"/>
              </w:rPr>
            </w:pPr>
            <w:r>
              <w:rPr>
                <w:color w:val="000000"/>
                <w:sz w:val="20"/>
                <w:szCs w:val="20"/>
              </w:rPr>
              <w:t>0.979</w:t>
            </w:r>
          </w:p>
        </w:tc>
        <w:tc>
          <w:tcPr>
            <w:tcW w:w="864" w:type="dxa"/>
            <w:tcBorders>
              <w:top w:val="nil"/>
              <w:left w:val="nil"/>
              <w:bottom w:val="nil"/>
              <w:right w:val="nil"/>
            </w:tcBorders>
            <w:shd w:val="clear" w:color="auto" w:fill="auto"/>
            <w:noWrap/>
            <w:vAlign w:val="bottom"/>
            <w:hideMark/>
          </w:tcPr>
          <w:p w14:paraId="43E5A0D4"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B57CFB6" w14:textId="77777777" w:rsidR="00B751D3" w:rsidRDefault="00B751D3"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52C86C22" w14:textId="77777777" w:rsidR="00B751D3" w:rsidRDefault="00B751D3" w:rsidP="005A3B4D">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6DE92738" w14:textId="77777777" w:rsidR="00B751D3" w:rsidRDefault="00B751D3" w:rsidP="005A3B4D">
            <w:pPr>
              <w:jc w:val="right"/>
              <w:rPr>
                <w:color w:val="000000"/>
                <w:sz w:val="20"/>
                <w:szCs w:val="20"/>
              </w:rPr>
            </w:pPr>
            <w:r>
              <w:rPr>
                <w:color w:val="000000"/>
                <w:sz w:val="20"/>
                <w:szCs w:val="20"/>
              </w:rPr>
              <w:t>0.000</w:t>
            </w:r>
          </w:p>
        </w:tc>
      </w:tr>
      <w:tr w:rsidR="00B751D3" w14:paraId="16ED5050" w14:textId="77777777" w:rsidTr="005A3B4D">
        <w:trPr>
          <w:trHeight w:val="320"/>
        </w:trPr>
        <w:tc>
          <w:tcPr>
            <w:tcW w:w="1152" w:type="dxa"/>
            <w:tcBorders>
              <w:top w:val="nil"/>
              <w:left w:val="nil"/>
              <w:bottom w:val="nil"/>
              <w:right w:val="nil"/>
            </w:tcBorders>
            <w:shd w:val="clear" w:color="auto" w:fill="auto"/>
            <w:noWrap/>
            <w:vAlign w:val="bottom"/>
            <w:hideMark/>
          </w:tcPr>
          <w:p w14:paraId="24FE8697"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37E2792" w14:textId="77777777" w:rsidR="00B751D3" w:rsidRDefault="00B751D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9C0E847"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89BB645" w14:textId="77777777" w:rsidR="00B751D3" w:rsidRDefault="00B751D3" w:rsidP="005A3B4D">
            <w:pPr>
              <w:jc w:val="right"/>
              <w:rPr>
                <w:color w:val="000000"/>
                <w:sz w:val="20"/>
                <w:szCs w:val="20"/>
              </w:rPr>
            </w:pPr>
            <w:r>
              <w:rPr>
                <w:color w:val="000000"/>
                <w:sz w:val="20"/>
                <w:szCs w:val="20"/>
              </w:rPr>
              <w:t>0.979</w:t>
            </w:r>
          </w:p>
        </w:tc>
        <w:tc>
          <w:tcPr>
            <w:tcW w:w="864" w:type="dxa"/>
            <w:tcBorders>
              <w:top w:val="nil"/>
              <w:left w:val="nil"/>
              <w:bottom w:val="nil"/>
              <w:right w:val="nil"/>
            </w:tcBorders>
            <w:shd w:val="clear" w:color="auto" w:fill="auto"/>
            <w:noWrap/>
            <w:vAlign w:val="bottom"/>
            <w:hideMark/>
          </w:tcPr>
          <w:p w14:paraId="38AC6409"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886877C" w14:textId="77777777" w:rsidR="00B751D3" w:rsidRDefault="00B751D3" w:rsidP="005A3B4D">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6C086E32" w14:textId="77777777" w:rsidR="00B751D3" w:rsidRDefault="00B751D3" w:rsidP="005A3B4D">
            <w:pPr>
              <w:jc w:val="right"/>
              <w:rPr>
                <w:color w:val="000000"/>
                <w:sz w:val="20"/>
                <w:szCs w:val="20"/>
              </w:rPr>
            </w:pPr>
            <w:r>
              <w:rPr>
                <w:color w:val="000000"/>
                <w:sz w:val="20"/>
                <w:szCs w:val="20"/>
              </w:rPr>
              <w:t>0.885</w:t>
            </w:r>
          </w:p>
        </w:tc>
        <w:tc>
          <w:tcPr>
            <w:tcW w:w="864" w:type="dxa"/>
            <w:tcBorders>
              <w:top w:val="nil"/>
              <w:left w:val="nil"/>
              <w:bottom w:val="nil"/>
              <w:right w:val="nil"/>
            </w:tcBorders>
            <w:shd w:val="clear" w:color="auto" w:fill="auto"/>
            <w:noWrap/>
            <w:vAlign w:val="bottom"/>
            <w:hideMark/>
          </w:tcPr>
          <w:p w14:paraId="1A785F50" w14:textId="77777777" w:rsidR="00B751D3" w:rsidRDefault="00B751D3" w:rsidP="005A3B4D">
            <w:pPr>
              <w:jc w:val="right"/>
              <w:rPr>
                <w:color w:val="000000"/>
                <w:sz w:val="20"/>
                <w:szCs w:val="20"/>
              </w:rPr>
            </w:pPr>
            <w:r>
              <w:rPr>
                <w:color w:val="000000"/>
                <w:sz w:val="20"/>
                <w:szCs w:val="20"/>
              </w:rPr>
              <w:t>0.000</w:t>
            </w:r>
          </w:p>
        </w:tc>
      </w:tr>
      <w:tr w:rsidR="00B751D3" w14:paraId="7BD8DC3A" w14:textId="77777777" w:rsidTr="005A3B4D">
        <w:trPr>
          <w:trHeight w:val="320"/>
        </w:trPr>
        <w:tc>
          <w:tcPr>
            <w:tcW w:w="1152" w:type="dxa"/>
            <w:tcBorders>
              <w:top w:val="nil"/>
              <w:left w:val="nil"/>
              <w:bottom w:val="nil"/>
              <w:right w:val="nil"/>
            </w:tcBorders>
            <w:shd w:val="clear" w:color="auto" w:fill="auto"/>
            <w:noWrap/>
            <w:vAlign w:val="bottom"/>
            <w:hideMark/>
          </w:tcPr>
          <w:p w14:paraId="292ED525"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4B3BC3E" w14:textId="77777777" w:rsidR="00B751D3" w:rsidRDefault="00B751D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E495B27" w14:textId="77777777" w:rsidR="00B751D3" w:rsidRDefault="00B751D3" w:rsidP="005A3B4D">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5F3AF60E" w14:textId="77777777" w:rsidR="00B751D3" w:rsidRDefault="00B751D3" w:rsidP="005A3B4D">
            <w:pPr>
              <w:jc w:val="right"/>
              <w:rPr>
                <w:color w:val="000000"/>
                <w:sz w:val="20"/>
                <w:szCs w:val="20"/>
              </w:rPr>
            </w:pPr>
            <w:r>
              <w:rPr>
                <w:color w:val="000000"/>
                <w:sz w:val="20"/>
                <w:szCs w:val="20"/>
              </w:rPr>
              <w:t>0.979</w:t>
            </w:r>
          </w:p>
        </w:tc>
        <w:tc>
          <w:tcPr>
            <w:tcW w:w="864" w:type="dxa"/>
            <w:tcBorders>
              <w:top w:val="nil"/>
              <w:left w:val="nil"/>
              <w:bottom w:val="nil"/>
              <w:right w:val="nil"/>
            </w:tcBorders>
            <w:shd w:val="clear" w:color="auto" w:fill="auto"/>
            <w:noWrap/>
            <w:vAlign w:val="bottom"/>
            <w:hideMark/>
          </w:tcPr>
          <w:p w14:paraId="73FE5FE8"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0B24BE9" w14:textId="77777777" w:rsidR="00B751D3" w:rsidRDefault="00B751D3"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316CA3D" w14:textId="77777777" w:rsidR="00B751D3" w:rsidRDefault="00B751D3" w:rsidP="005A3B4D">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2C596087" w14:textId="77777777" w:rsidR="00B751D3" w:rsidRDefault="00B751D3" w:rsidP="005A3B4D">
            <w:pPr>
              <w:jc w:val="right"/>
              <w:rPr>
                <w:color w:val="000000"/>
                <w:sz w:val="20"/>
                <w:szCs w:val="20"/>
              </w:rPr>
            </w:pPr>
            <w:r>
              <w:rPr>
                <w:color w:val="000000"/>
                <w:sz w:val="20"/>
                <w:szCs w:val="20"/>
              </w:rPr>
              <w:t>0.000</w:t>
            </w:r>
          </w:p>
        </w:tc>
      </w:tr>
      <w:tr w:rsidR="00B751D3" w14:paraId="35E0D2E9" w14:textId="77777777" w:rsidTr="005A3B4D">
        <w:trPr>
          <w:trHeight w:val="320"/>
        </w:trPr>
        <w:tc>
          <w:tcPr>
            <w:tcW w:w="1152" w:type="dxa"/>
            <w:tcBorders>
              <w:top w:val="nil"/>
              <w:left w:val="nil"/>
              <w:bottom w:val="nil"/>
              <w:right w:val="nil"/>
            </w:tcBorders>
            <w:shd w:val="clear" w:color="auto" w:fill="auto"/>
            <w:noWrap/>
            <w:vAlign w:val="bottom"/>
            <w:hideMark/>
          </w:tcPr>
          <w:p w14:paraId="49859E52"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617965E" w14:textId="77777777" w:rsidR="00B751D3" w:rsidRDefault="00B751D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71F0612C"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DCCCAB3" w14:textId="77777777" w:rsidR="00B751D3" w:rsidRDefault="00B751D3" w:rsidP="005A3B4D">
            <w:pPr>
              <w:jc w:val="right"/>
              <w:rPr>
                <w:color w:val="000000"/>
                <w:sz w:val="20"/>
                <w:szCs w:val="20"/>
              </w:rPr>
            </w:pPr>
            <w:r>
              <w:rPr>
                <w:color w:val="000000"/>
                <w:sz w:val="20"/>
                <w:szCs w:val="20"/>
              </w:rPr>
              <w:t>0.979</w:t>
            </w:r>
          </w:p>
        </w:tc>
        <w:tc>
          <w:tcPr>
            <w:tcW w:w="864" w:type="dxa"/>
            <w:tcBorders>
              <w:top w:val="nil"/>
              <w:left w:val="nil"/>
              <w:bottom w:val="nil"/>
              <w:right w:val="nil"/>
            </w:tcBorders>
            <w:shd w:val="clear" w:color="auto" w:fill="auto"/>
            <w:noWrap/>
            <w:vAlign w:val="bottom"/>
            <w:hideMark/>
          </w:tcPr>
          <w:p w14:paraId="2488F64B"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55D56BD" w14:textId="77777777" w:rsidR="00B751D3" w:rsidRDefault="00B751D3" w:rsidP="005A3B4D">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58D5730A" w14:textId="77777777" w:rsidR="00B751D3" w:rsidRDefault="00B751D3" w:rsidP="005A3B4D">
            <w:pPr>
              <w:jc w:val="right"/>
              <w:rPr>
                <w:color w:val="000000"/>
                <w:sz w:val="20"/>
                <w:szCs w:val="20"/>
              </w:rPr>
            </w:pPr>
            <w:r>
              <w:rPr>
                <w:color w:val="000000"/>
                <w:sz w:val="20"/>
                <w:szCs w:val="20"/>
              </w:rPr>
              <w:t>0.885</w:t>
            </w:r>
          </w:p>
        </w:tc>
        <w:tc>
          <w:tcPr>
            <w:tcW w:w="864" w:type="dxa"/>
            <w:tcBorders>
              <w:top w:val="nil"/>
              <w:left w:val="nil"/>
              <w:bottom w:val="nil"/>
              <w:right w:val="nil"/>
            </w:tcBorders>
            <w:shd w:val="clear" w:color="auto" w:fill="auto"/>
            <w:noWrap/>
            <w:vAlign w:val="bottom"/>
            <w:hideMark/>
          </w:tcPr>
          <w:p w14:paraId="0FAB336F" w14:textId="77777777" w:rsidR="00B751D3" w:rsidRDefault="00B751D3" w:rsidP="005A3B4D">
            <w:pPr>
              <w:jc w:val="right"/>
              <w:rPr>
                <w:color w:val="000000"/>
                <w:sz w:val="20"/>
                <w:szCs w:val="20"/>
              </w:rPr>
            </w:pPr>
            <w:r>
              <w:rPr>
                <w:color w:val="000000"/>
                <w:sz w:val="20"/>
                <w:szCs w:val="20"/>
              </w:rPr>
              <w:t>0.001</w:t>
            </w:r>
          </w:p>
        </w:tc>
      </w:tr>
      <w:tr w:rsidR="00B751D3" w14:paraId="44DE4563" w14:textId="77777777" w:rsidTr="005A3B4D">
        <w:trPr>
          <w:trHeight w:val="320"/>
        </w:trPr>
        <w:tc>
          <w:tcPr>
            <w:tcW w:w="1152" w:type="dxa"/>
            <w:tcBorders>
              <w:top w:val="nil"/>
              <w:left w:val="nil"/>
              <w:bottom w:val="nil"/>
              <w:right w:val="nil"/>
            </w:tcBorders>
            <w:shd w:val="clear" w:color="auto" w:fill="auto"/>
            <w:noWrap/>
            <w:vAlign w:val="bottom"/>
            <w:hideMark/>
          </w:tcPr>
          <w:p w14:paraId="0D080738"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809A944" w14:textId="77777777" w:rsidR="00B751D3" w:rsidRDefault="00B751D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5AF58D6" w14:textId="77777777" w:rsidR="00B751D3" w:rsidRDefault="00B751D3" w:rsidP="005A3B4D">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62F0005A" w14:textId="77777777" w:rsidR="00B751D3" w:rsidRDefault="00B751D3" w:rsidP="005A3B4D">
            <w:pPr>
              <w:jc w:val="right"/>
              <w:rPr>
                <w:color w:val="000000"/>
                <w:sz w:val="20"/>
                <w:szCs w:val="20"/>
              </w:rPr>
            </w:pPr>
            <w:r>
              <w:rPr>
                <w:color w:val="000000"/>
                <w:sz w:val="20"/>
                <w:szCs w:val="20"/>
              </w:rPr>
              <w:t>0.979</w:t>
            </w:r>
          </w:p>
        </w:tc>
        <w:tc>
          <w:tcPr>
            <w:tcW w:w="864" w:type="dxa"/>
            <w:tcBorders>
              <w:top w:val="nil"/>
              <w:left w:val="nil"/>
              <w:bottom w:val="nil"/>
              <w:right w:val="nil"/>
            </w:tcBorders>
            <w:shd w:val="clear" w:color="auto" w:fill="auto"/>
            <w:noWrap/>
            <w:vAlign w:val="bottom"/>
            <w:hideMark/>
          </w:tcPr>
          <w:p w14:paraId="2C4A6B37"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DFFF3BF" w14:textId="77777777" w:rsidR="00B751D3" w:rsidRDefault="00B751D3" w:rsidP="005A3B4D">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1F36CD44" w14:textId="77777777" w:rsidR="00B751D3" w:rsidRDefault="00B751D3" w:rsidP="005A3B4D">
            <w:pPr>
              <w:jc w:val="right"/>
              <w:rPr>
                <w:color w:val="000000"/>
                <w:sz w:val="20"/>
                <w:szCs w:val="20"/>
              </w:rPr>
            </w:pPr>
            <w:r>
              <w:rPr>
                <w:color w:val="000000"/>
                <w:sz w:val="20"/>
                <w:szCs w:val="20"/>
              </w:rPr>
              <w:t>0.885</w:t>
            </w:r>
          </w:p>
        </w:tc>
        <w:tc>
          <w:tcPr>
            <w:tcW w:w="864" w:type="dxa"/>
            <w:tcBorders>
              <w:top w:val="nil"/>
              <w:left w:val="nil"/>
              <w:bottom w:val="nil"/>
              <w:right w:val="nil"/>
            </w:tcBorders>
            <w:shd w:val="clear" w:color="auto" w:fill="auto"/>
            <w:noWrap/>
            <w:vAlign w:val="bottom"/>
            <w:hideMark/>
          </w:tcPr>
          <w:p w14:paraId="146D6C3E" w14:textId="77777777" w:rsidR="00B751D3" w:rsidRDefault="00B751D3" w:rsidP="005A3B4D">
            <w:pPr>
              <w:jc w:val="right"/>
              <w:rPr>
                <w:color w:val="000000"/>
                <w:sz w:val="20"/>
                <w:szCs w:val="20"/>
              </w:rPr>
            </w:pPr>
            <w:r>
              <w:rPr>
                <w:color w:val="000000"/>
                <w:sz w:val="20"/>
                <w:szCs w:val="20"/>
              </w:rPr>
              <w:t>0.000</w:t>
            </w:r>
          </w:p>
        </w:tc>
      </w:tr>
      <w:tr w:rsidR="00B751D3" w14:paraId="102AAF59" w14:textId="77777777" w:rsidTr="005A3B4D">
        <w:trPr>
          <w:trHeight w:val="320"/>
        </w:trPr>
        <w:tc>
          <w:tcPr>
            <w:tcW w:w="1152" w:type="dxa"/>
            <w:tcBorders>
              <w:top w:val="nil"/>
              <w:left w:val="nil"/>
              <w:bottom w:val="nil"/>
              <w:right w:val="nil"/>
            </w:tcBorders>
            <w:shd w:val="clear" w:color="auto" w:fill="auto"/>
            <w:noWrap/>
            <w:vAlign w:val="bottom"/>
            <w:hideMark/>
          </w:tcPr>
          <w:p w14:paraId="1E18D004"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8F0F641" w14:textId="77777777" w:rsidR="00B751D3" w:rsidRDefault="00B751D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F23FC6D" w14:textId="77777777" w:rsidR="00B751D3" w:rsidRDefault="00B751D3" w:rsidP="005A3B4D">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729788C8" w14:textId="77777777" w:rsidR="00B751D3" w:rsidRDefault="00B751D3" w:rsidP="005A3B4D">
            <w:pPr>
              <w:jc w:val="right"/>
              <w:rPr>
                <w:color w:val="000000"/>
                <w:sz w:val="20"/>
                <w:szCs w:val="20"/>
              </w:rPr>
            </w:pPr>
            <w:r>
              <w:rPr>
                <w:color w:val="000000"/>
                <w:sz w:val="20"/>
                <w:szCs w:val="20"/>
              </w:rPr>
              <w:t>0.979</w:t>
            </w:r>
          </w:p>
        </w:tc>
        <w:tc>
          <w:tcPr>
            <w:tcW w:w="864" w:type="dxa"/>
            <w:tcBorders>
              <w:top w:val="nil"/>
              <w:left w:val="nil"/>
              <w:bottom w:val="nil"/>
              <w:right w:val="nil"/>
            </w:tcBorders>
            <w:shd w:val="clear" w:color="auto" w:fill="auto"/>
            <w:noWrap/>
            <w:vAlign w:val="bottom"/>
            <w:hideMark/>
          </w:tcPr>
          <w:p w14:paraId="3A6760C9"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AF8C9E0"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5655B76" w14:textId="77777777" w:rsidR="00B751D3" w:rsidRDefault="00B751D3" w:rsidP="005A3B4D">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3C72837A" w14:textId="77777777" w:rsidR="00B751D3" w:rsidRDefault="00B751D3" w:rsidP="005A3B4D">
            <w:pPr>
              <w:jc w:val="right"/>
              <w:rPr>
                <w:color w:val="000000"/>
                <w:sz w:val="20"/>
                <w:szCs w:val="20"/>
              </w:rPr>
            </w:pPr>
            <w:r>
              <w:rPr>
                <w:color w:val="000000"/>
                <w:sz w:val="20"/>
                <w:szCs w:val="20"/>
              </w:rPr>
              <w:t>0.000</w:t>
            </w:r>
          </w:p>
        </w:tc>
      </w:tr>
      <w:tr w:rsidR="00B751D3" w14:paraId="68814732" w14:textId="77777777" w:rsidTr="005A3B4D">
        <w:trPr>
          <w:trHeight w:val="320"/>
        </w:trPr>
        <w:tc>
          <w:tcPr>
            <w:tcW w:w="1152" w:type="dxa"/>
            <w:tcBorders>
              <w:top w:val="nil"/>
              <w:left w:val="nil"/>
              <w:bottom w:val="nil"/>
              <w:right w:val="nil"/>
            </w:tcBorders>
            <w:shd w:val="clear" w:color="auto" w:fill="auto"/>
            <w:noWrap/>
            <w:vAlign w:val="bottom"/>
            <w:hideMark/>
          </w:tcPr>
          <w:p w14:paraId="50959C82"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6A20364" w14:textId="77777777" w:rsidR="00B751D3" w:rsidRDefault="00B751D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068D6D6"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106C2D5" w14:textId="77777777" w:rsidR="00B751D3" w:rsidRDefault="00B751D3" w:rsidP="005A3B4D">
            <w:pPr>
              <w:jc w:val="right"/>
              <w:rPr>
                <w:color w:val="000000"/>
                <w:sz w:val="20"/>
                <w:szCs w:val="20"/>
              </w:rPr>
            </w:pPr>
            <w:r>
              <w:rPr>
                <w:color w:val="000000"/>
                <w:sz w:val="20"/>
                <w:szCs w:val="20"/>
              </w:rPr>
              <w:t>0.979</w:t>
            </w:r>
          </w:p>
        </w:tc>
        <w:tc>
          <w:tcPr>
            <w:tcW w:w="864" w:type="dxa"/>
            <w:tcBorders>
              <w:top w:val="nil"/>
              <w:left w:val="nil"/>
              <w:bottom w:val="nil"/>
              <w:right w:val="nil"/>
            </w:tcBorders>
            <w:shd w:val="clear" w:color="auto" w:fill="auto"/>
            <w:noWrap/>
            <w:vAlign w:val="bottom"/>
            <w:hideMark/>
          </w:tcPr>
          <w:p w14:paraId="6B6D3F37"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91F1904" w14:textId="77777777" w:rsidR="00B751D3" w:rsidRDefault="00B751D3"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190F87FF" w14:textId="77777777" w:rsidR="00B751D3" w:rsidRDefault="00B751D3" w:rsidP="005A3B4D">
            <w:pPr>
              <w:jc w:val="right"/>
              <w:rPr>
                <w:color w:val="000000"/>
                <w:sz w:val="20"/>
                <w:szCs w:val="20"/>
              </w:rPr>
            </w:pPr>
            <w:r>
              <w:rPr>
                <w:color w:val="000000"/>
                <w:sz w:val="20"/>
                <w:szCs w:val="20"/>
              </w:rPr>
              <w:t>0.885</w:t>
            </w:r>
          </w:p>
        </w:tc>
        <w:tc>
          <w:tcPr>
            <w:tcW w:w="864" w:type="dxa"/>
            <w:tcBorders>
              <w:top w:val="nil"/>
              <w:left w:val="nil"/>
              <w:bottom w:val="nil"/>
              <w:right w:val="nil"/>
            </w:tcBorders>
            <w:shd w:val="clear" w:color="auto" w:fill="auto"/>
            <w:noWrap/>
            <w:vAlign w:val="bottom"/>
            <w:hideMark/>
          </w:tcPr>
          <w:p w14:paraId="03E0F770" w14:textId="77777777" w:rsidR="00B751D3" w:rsidRDefault="00B751D3" w:rsidP="005A3B4D">
            <w:pPr>
              <w:jc w:val="right"/>
              <w:rPr>
                <w:color w:val="000000"/>
                <w:sz w:val="20"/>
                <w:szCs w:val="20"/>
              </w:rPr>
            </w:pPr>
            <w:r>
              <w:rPr>
                <w:color w:val="000000"/>
                <w:sz w:val="20"/>
                <w:szCs w:val="20"/>
              </w:rPr>
              <w:t>0.000</w:t>
            </w:r>
          </w:p>
        </w:tc>
      </w:tr>
      <w:tr w:rsidR="00B751D3" w14:paraId="10CEA7BD"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42953C41" w14:textId="77777777" w:rsidR="00B751D3" w:rsidRDefault="00B751D3" w:rsidP="005A3B4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72356373" w14:textId="77777777" w:rsidR="00B751D3" w:rsidRDefault="00B751D3" w:rsidP="005A3B4D">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05352AD1" w14:textId="77777777" w:rsidR="00B751D3" w:rsidRDefault="00B751D3" w:rsidP="005A3B4D">
            <w:pPr>
              <w:jc w:val="right"/>
              <w:rPr>
                <w:color w:val="000000"/>
                <w:sz w:val="20"/>
                <w:szCs w:val="20"/>
              </w:rPr>
            </w:pPr>
            <w:r>
              <w:rPr>
                <w:color w:val="000000"/>
                <w:sz w:val="20"/>
                <w:szCs w:val="20"/>
              </w:rPr>
              <w:t>0.019</w:t>
            </w:r>
          </w:p>
        </w:tc>
        <w:tc>
          <w:tcPr>
            <w:tcW w:w="864" w:type="dxa"/>
            <w:tcBorders>
              <w:top w:val="nil"/>
              <w:left w:val="nil"/>
              <w:bottom w:val="single" w:sz="12" w:space="0" w:color="auto"/>
              <w:right w:val="nil"/>
            </w:tcBorders>
            <w:shd w:val="clear" w:color="auto" w:fill="auto"/>
            <w:noWrap/>
            <w:vAlign w:val="bottom"/>
            <w:hideMark/>
          </w:tcPr>
          <w:p w14:paraId="63B8471A" w14:textId="77777777" w:rsidR="00B751D3" w:rsidRDefault="00B751D3" w:rsidP="005A3B4D">
            <w:pPr>
              <w:jc w:val="right"/>
              <w:rPr>
                <w:color w:val="000000"/>
                <w:sz w:val="20"/>
                <w:szCs w:val="20"/>
              </w:rPr>
            </w:pPr>
            <w:r>
              <w:rPr>
                <w:color w:val="000000"/>
                <w:sz w:val="20"/>
                <w:szCs w:val="20"/>
              </w:rPr>
              <w:t>0.979</w:t>
            </w:r>
          </w:p>
        </w:tc>
        <w:tc>
          <w:tcPr>
            <w:tcW w:w="864" w:type="dxa"/>
            <w:tcBorders>
              <w:top w:val="nil"/>
              <w:left w:val="nil"/>
              <w:bottom w:val="single" w:sz="12" w:space="0" w:color="auto"/>
              <w:right w:val="nil"/>
            </w:tcBorders>
            <w:shd w:val="clear" w:color="auto" w:fill="auto"/>
            <w:noWrap/>
            <w:vAlign w:val="bottom"/>
            <w:hideMark/>
          </w:tcPr>
          <w:p w14:paraId="2F8C8C9C"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3DFB002F" w14:textId="77777777" w:rsidR="00B751D3" w:rsidRDefault="00B751D3" w:rsidP="005A3B4D">
            <w:pPr>
              <w:jc w:val="right"/>
              <w:rPr>
                <w:color w:val="000000"/>
                <w:sz w:val="20"/>
                <w:szCs w:val="20"/>
              </w:rPr>
            </w:pPr>
            <w:r>
              <w:rPr>
                <w:color w:val="000000"/>
                <w:sz w:val="20"/>
                <w:szCs w:val="20"/>
              </w:rPr>
              <w:t>-0.032</w:t>
            </w:r>
          </w:p>
        </w:tc>
        <w:tc>
          <w:tcPr>
            <w:tcW w:w="864" w:type="dxa"/>
            <w:tcBorders>
              <w:top w:val="nil"/>
              <w:left w:val="nil"/>
              <w:bottom w:val="single" w:sz="12" w:space="0" w:color="auto"/>
              <w:right w:val="nil"/>
            </w:tcBorders>
            <w:shd w:val="clear" w:color="auto" w:fill="auto"/>
            <w:noWrap/>
            <w:vAlign w:val="bottom"/>
            <w:hideMark/>
          </w:tcPr>
          <w:p w14:paraId="6142D7CD" w14:textId="77777777" w:rsidR="00B751D3" w:rsidRDefault="00B751D3" w:rsidP="005A3B4D">
            <w:pPr>
              <w:jc w:val="right"/>
              <w:rPr>
                <w:color w:val="000000"/>
                <w:sz w:val="20"/>
                <w:szCs w:val="20"/>
              </w:rPr>
            </w:pPr>
            <w:r>
              <w:rPr>
                <w:color w:val="000000"/>
                <w:sz w:val="20"/>
                <w:szCs w:val="20"/>
              </w:rPr>
              <w:t>0.885</w:t>
            </w:r>
          </w:p>
        </w:tc>
        <w:tc>
          <w:tcPr>
            <w:tcW w:w="864" w:type="dxa"/>
            <w:tcBorders>
              <w:top w:val="nil"/>
              <w:left w:val="nil"/>
              <w:bottom w:val="single" w:sz="12" w:space="0" w:color="auto"/>
              <w:right w:val="nil"/>
            </w:tcBorders>
            <w:shd w:val="clear" w:color="auto" w:fill="auto"/>
            <w:noWrap/>
            <w:vAlign w:val="bottom"/>
            <w:hideMark/>
          </w:tcPr>
          <w:p w14:paraId="5C5DAD4F" w14:textId="77777777" w:rsidR="00B751D3" w:rsidRDefault="00B751D3" w:rsidP="005A3B4D">
            <w:pPr>
              <w:jc w:val="right"/>
              <w:rPr>
                <w:color w:val="000000"/>
                <w:sz w:val="20"/>
                <w:szCs w:val="20"/>
              </w:rPr>
            </w:pPr>
            <w:r>
              <w:rPr>
                <w:color w:val="000000"/>
                <w:sz w:val="20"/>
                <w:szCs w:val="20"/>
              </w:rPr>
              <w:t>0.001</w:t>
            </w:r>
          </w:p>
        </w:tc>
      </w:tr>
      <w:tr w:rsidR="00B751D3" w14:paraId="0A789390"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6305B0AF" w14:textId="77777777" w:rsidR="00B751D3" w:rsidRDefault="00B751D3" w:rsidP="005A3B4D">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6C581E29"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B89FD04"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7BC2824"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85CD4EE"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C617EDC"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34C93F2"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BD44C1C" w14:textId="77777777" w:rsidR="00B751D3" w:rsidRDefault="00B751D3" w:rsidP="005A3B4D">
            <w:pPr>
              <w:rPr>
                <w:sz w:val="20"/>
                <w:szCs w:val="20"/>
              </w:rPr>
            </w:pPr>
          </w:p>
        </w:tc>
      </w:tr>
    </w:tbl>
    <w:p w14:paraId="4EC1A712" w14:textId="77777777" w:rsidR="00B751D3" w:rsidRDefault="00B751D3" w:rsidP="00B751D3">
      <w:pPr>
        <w:rPr>
          <w:rFonts w:ascii="Batang" w:eastAsia="Batang" w:hAnsi="Batang" w:cs="Batang"/>
          <w:color w:val="000000"/>
        </w:rPr>
      </w:pPr>
    </w:p>
    <w:p w14:paraId="76333A5F" w14:textId="77777777" w:rsidR="00B751D3" w:rsidRDefault="00B751D3" w:rsidP="00B751D3">
      <w:pPr>
        <w:rPr>
          <w:rFonts w:ascii="Batang" w:eastAsia="Batang" w:hAnsi="Batang" w:cs="Batang"/>
          <w:color w:val="000000"/>
        </w:rPr>
      </w:pPr>
      <w:r>
        <w:rPr>
          <w:rFonts w:ascii="Batang" w:eastAsia="Batang" w:hAnsi="Batang" w:cs="Batang"/>
          <w:color w:val="000000"/>
        </w:rPr>
        <w:br w:type="page"/>
      </w:r>
    </w:p>
    <w:p w14:paraId="7632C7D4" w14:textId="3F60EFA7" w:rsidR="00E60A27" w:rsidRPr="00474DA8" w:rsidRDefault="00E60A27" w:rsidP="00E60A27">
      <w:pPr>
        <w:pStyle w:val="Heading1"/>
        <w:rPr>
          <w:rFonts w:ascii="Times New Roman" w:hAnsi="Times New Roman" w:cs="Times New Roman"/>
          <w:color w:val="000000" w:themeColor="text1"/>
          <w:sz w:val="24"/>
          <w:szCs w:val="24"/>
        </w:rPr>
      </w:pPr>
      <w:bookmarkStart w:id="75" w:name="_Toc155817742"/>
      <w:r w:rsidRPr="00B751D3">
        <w:rPr>
          <w:rFonts w:ascii="Times New Roman" w:hAnsi="Times New Roman" w:cs="Times New Roman"/>
          <w:b/>
          <w:bCs/>
          <w:color w:val="000000" w:themeColor="text1"/>
          <w:sz w:val="24"/>
          <w:szCs w:val="24"/>
        </w:rPr>
        <w:lastRenderedPageBreak/>
        <w:t>Table 2</w:t>
      </w:r>
      <w:r w:rsidR="0036523A" w:rsidRPr="00B751D3">
        <w:rPr>
          <w:rFonts w:ascii="Times New Roman" w:hAnsi="Times New Roman" w:cs="Times New Roman"/>
          <w:b/>
          <w:bCs/>
          <w:color w:val="000000" w:themeColor="text1"/>
          <w:sz w:val="24"/>
          <w:szCs w:val="24"/>
        </w:rPr>
        <w:t>7</w:t>
      </w:r>
      <w:r w:rsidR="00B751D3" w:rsidRPr="00B751D3">
        <w:rPr>
          <w:rFonts w:ascii="Times New Roman" w:hAnsi="Times New Roman" w:cs="Times New Roman"/>
          <w:b/>
          <w:bCs/>
          <w:color w:val="000000" w:themeColor="text1"/>
          <w:sz w:val="24"/>
          <w:szCs w:val="24"/>
        </w:rPr>
        <w:t>l</w:t>
      </w:r>
      <w:r w:rsidRPr="00B751D3">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Results examining the relationship between Shen-268 network </w:t>
      </w:r>
      <w:r w:rsidR="008E27DC">
        <w:rPr>
          <w:rFonts w:ascii="Times New Roman" w:hAnsi="Times New Roman" w:cs="Times New Roman"/>
          <w:color w:val="000000" w:themeColor="text1"/>
          <w:sz w:val="24"/>
          <w:szCs w:val="24"/>
        </w:rPr>
        <w:t xml:space="preserve">diameter </w:t>
      </w:r>
      <w:r>
        <w:rPr>
          <w:rFonts w:ascii="Times New Roman" w:hAnsi="Times New Roman" w:cs="Times New Roman"/>
          <w:color w:val="000000" w:themeColor="text1"/>
          <w:sz w:val="24"/>
          <w:szCs w:val="24"/>
        </w:rPr>
        <w:t>and neighborhood SES deprivation obtained from bifactor modeling and neighborhood median income during monetary incentive delay task</w:t>
      </w:r>
      <w:bookmarkEnd w:id="75"/>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565393" w14:paraId="636B644E"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4BFBB274" w14:textId="77777777" w:rsidR="00565393" w:rsidRDefault="00565393">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11F9F066" w14:textId="77777777" w:rsidR="00565393" w:rsidRDefault="00565393">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3C882DE1" w14:textId="77777777" w:rsidR="00565393" w:rsidRDefault="00565393">
            <w:pPr>
              <w:rPr>
                <w:color w:val="000000"/>
              </w:rPr>
            </w:pPr>
          </w:p>
        </w:tc>
        <w:tc>
          <w:tcPr>
            <w:tcW w:w="864" w:type="dxa"/>
            <w:tcBorders>
              <w:top w:val="nil"/>
              <w:left w:val="nil"/>
              <w:bottom w:val="single" w:sz="12" w:space="0" w:color="auto"/>
              <w:right w:val="nil"/>
            </w:tcBorders>
            <w:shd w:val="clear" w:color="auto" w:fill="auto"/>
            <w:noWrap/>
            <w:vAlign w:val="bottom"/>
            <w:hideMark/>
          </w:tcPr>
          <w:p w14:paraId="4F54ECC0" w14:textId="77777777" w:rsidR="00565393" w:rsidRDefault="00565393">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80B5DB1" w14:textId="77777777" w:rsidR="00565393" w:rsidRDefault="00565393">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3715FDE8" w14:textId="77777777" w:rsidR="00565393" w:rsidRDefault="00565393">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1BA865F" w14:textId="77777777" w:rsidR="00565393" w:rsidRDefault="00565393">
            <w:pPr>
              <w:rPr>
                <w:sz w:val="20"/>
                <w:szCs w:val="20"/>
              </w:rPr>
            </w:pPr>
          </w:p>
        </w:tc>
        <w:tc>
          <w:tcPr>
            <w:tcW w:w="864" w:type="dxa"/>
            <w:tcBorders>
              <w:top w:val="nil"/>
              <w:left w:val="nil"/>
              <w:bottom w:val="nil"/>
              <w:right w:val="nil"/>
            </w:tcBorders>
            <w:shd w:val="clear" w:color="auto" w:fill="auto"/>
            <w:noWrap/>
            <w:vAlign w:val="bottom"/>
            <w:hideMark/>
          </w:tcPr>
          <w:p w14:paraId="4BC1C33A" w14:textId="77777777" w:rsidR="00565393" w:rsidRDefault="00565393">
            <w:pPr>
              <w:rPr>
                <w:sz w:val="20"/>
                <w:szCs w:val="20"/>
              </w:rPr>
            </w:pPr>
          </w:p>
        </w:tc>
      </w:tr>
      <w:tr w:rsidR="00565393" w14:paraId="05D312B9"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29F3F52E" w14:textId="77777777" w:rsidR="00565393" w:rsidRDefault="00565393">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0F11AE52" w14:textId="77777777" w:rsidR="00565393" w:rsidRDefault="00565393">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345933A4" w14:textId="77777777" w:rsidR="00565393" w:rsidRDefault="00565393">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5D1EE8BA" w14:textId="77777777" w:rsidR="00565393" w:rsidRDefault="00565393">
            <w:pPr>
              <w:jc w:val="center"/>
              <w:rPr>
                <w:color w:val="000000"/>
                <w:sz w:val="20"/>
                <w:szCs w:val="20"/>
              </w:rPr>
            </w:pPr>
            <w:r>
              <w:rPr>
                <w:color w:val="000000"/>
                <w:sz w:val="20"/>
                <w:szCs w:val="20"/>
              </w:rPr>
              <w:t>Neighborhood Median Income</w:t>
            </w:r>
          </w:p>
        </w:tc>
      </w:tr>
      <w:tr w:rsidR="00565393" w14:paraId="2CE12EF8"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0D81ECF2" w14:textId="77777777" w:rsidR="00565393" w:rsidRDefault="00565393">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4C6BBA0F" w14:textId="77777777" w:rsidR="00565393" w:rsidRDefault="00565393">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5BCDA97D" w14:textId="77777777" w:rsidR="00565393" w:rsidRDefault="00565393">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BEC0AA8" w14:textId="77777777" w:rsidR="00565393" w:rsidRDefault="0056539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2961BE9A" w14:textId="77777777" w:rsidR="00565393" w:rsidRDefault="00565393">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25D9DF42" w14:textId="77777777" w:rsidR="00565393" w:rsidRDefault="00565393">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32569B21" w14:textId="77777777" w:rsidR="00565393" w:rsidRDefault="0056539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3F8A04A6" w14:textId="77777777" w:rsidR="00565393" w:rsidRDefault="00565393">
            <w:pPr>
              <w:jc w:val="center"/>
              <w:rPr>
                <w:i/>
                <w:iCs/>
                <w:color w:val="000000"/>
                <w:sz w:val="20"/>
                <w:szCs w:val="20"/>
              </w:rPr>
            </w:pPr>
            <w:r>
              <w:rPr>
                <w:i/>
                <w:iCs/>
                <w:color w:val="000000"/>
                <w:sz w:val="20"/>
                <w:szCs w:val="20"/>
              </w:rPr>
              <w:t>R2</w:t>
            </w:r>
          </w:p>
        </w:tc>
      </w:tr>
      <w:tr w:rsidR="00565393" w14:paraId="2D8CEE2D"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55D3B1B1" w14:textId="77777777" w:rsidR="00565393" w:rsidRDefault="00565393">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3554A5B9" w14:textId="77777777" w:rsidR="00565393" w:rsidRDefault="00565393">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0B667C8F" w14:textId="77777777" w:rsidR="00565393" w:rsidRDefault="00565393">
            <w:pPr>
              <w:jc w:val="right"/>
              <w:rPr>
                <w:color w:val="000000"/>
                <w:sz w:val="20"/>
                <w:szCs w:val="20"/>
              </w:rPr>
            </w:pPr>
            <w:r>
              <w:rPr>
                <w:color w:val="000000"/>
                <w:sz w:val="20"/>
                <w:szCs w:val="20"/>
              </w:rPr>
              <w:t>-0.077</w:t>
            </w:r>
          </w:p>
        </w:tc>
        <w:tc>
          <w:tcPr>
            <w:tcW w:w="864" w:type="dxa"/>
            <w:tcBorders>
              <w:top w:val="single" w:sz="12" w:space="0" w:color="auto"/>
              <w:left w:val="nil"/>
              <w:bottom w:val="nil"/>
              <w:right w:val="nil"/>
            </w:tcBorders>
            <w:shd w:val="clear" w:color="auto" w:fill="auto"/>
            <w:noWrap/>
            <w:vAlign w:val="bottom"/>
            <w:hideMark/>
          </w:tcPr>
          <w:p w14:paraId="75C51EF6" w14:textId="77777777" w:rsidR="00565393" w:rsidRDefault="00565393">
            <w:pPr>
              <w:jc w:val="right"/>
              <w:rPr>
                <w:color w:val="000000"/>
                <w:sz w:val="20"/>
                <w:szCs w:val="20"/>
              </w:rPr>
            </w:pPr>
            <w:r>
              <w:rPr>
                <w:color w:val="000000"/>
                <w:sz w:val="20"/>
                <w:szCs w:val="20"/>
              </w:rPr>
              <w:t>0.224</w:t>
            </w:r>
          </w:p>
        </w:tc>
        <w:tc>
          <w:tcPr>
            <w:tcW w:w="864" w:type="dxa"/>
            <w:tcBorders>
              <w:top w:val="single" w:sz="12" w:space="0" w:color="auto"/>
              <w:left w:val="nil"/>
              <w:bottom w:val="nil"/>
              <w:right w:val="nil"/>
            </w:tcBorders>
            <w:shd w:val="clear" w:color="auto" w:fill="auto"/>
            <w:noWrap/>
            <w:vAlign w:val="bottom"/>
            <w:hideMark/>
          </w:tcPr>
          <w:p w14:paraId="2641B93B" w14:textId="77777777" w:rsidR="00565393" w:rsidRDefault="00565393">
            <w:pPr>
              <w:jc w:val="right"/>
              <w:rPr>
                <w:color w:val="000000"/>
                <w:sz w:val="20"/>
                <w:szCs w:val="20"/>
              </w:rPr>
            </w:pPr>
            <w:r>
              <w:rPr>
                <w:color w:val="000000"/>
                <w:sz w:val="20"/>
                <w:szCs w:val="20"/>
              </w:rPr>
              <w:t>0.006</w:t>
            </w:r>
          </w:p>
        </w:tc>
        <w:tc>
          <w:tcPr>
            <w:tcW w:w="864" w:type="dxa"/>
            <w:tcBorders>
              <w:top w:val="single" w:sz="12" w:space="0" w:color="auto"/>
              <w:left w:val="nil"/>
              <w:bottom w:val="nil"/>
              <w:right w:val="nil"/>
            </w:tcBorders>
            <w:shd w:val="clear" w:color="auto" w:fill="auto"/>
            <w:noWrap/>
            <w:vAlign w:val="bottom"/>
            <w:hideMark/>
          </w:tcPr>
          <w:p w14:paraId="426BDBA2" w14:textId="77777777" w:rsidR="00565393" w:rsidRDefault="00565393">
            <w:pPr>
              <w:jc w:val="right"/>
              <w:rPr>
                <w:color w:val="000000"/>
                <w:sz w:val="20"/>
                <w:szCs w:val="20"/>
              </w:rPr>
            </w:pPr>
            <w:r>
              <w:rPr>
                <w:color w:val="000000"/>
                <w:sz w:val="20"/>
                <w:szCs w:val="20"/>
              </w:rPr>
              <w:t>0.028</w:t>
            </w:r>
          </w:p>
        </w:tc>
        <w:tc>
          <w:tcPr>
            <w:tcW w:w="864" w:type="dxa"/>
            <w:tcBorders>
              <w:top w:val="single" w:sz="12" w:space="0" w:color="auto"/>
              <w:left w:val="nil"/>
              <w:bottom w:val="nil"/>
              <w:right w:val="nil"/>
            </w:tcBorders>
            <w:shd w:val="clear" w:color="auto" w:fill="auto"/>
            <w:noWrap/>
            <w:vAlign w:val="bottom"/>
            <w:hideMark/>
          </w:tcPr>
          <w:p w14:paraId="3ED5AF77" w14:textId="77777777" w:rsidR="00565393" w:rsidRDefault="00565393">
            <w:pPr>
              <w:jc w:val="right"/>
              <w:rPr>
                <w:color w:val="000000"/>
                <w:sz w:val="20"/>
                <w:szCs w:val="20"/>
              </w:rPr>
            </w:pPr>
            <w:r>
              <w:rPr>
                <w:color w:val="000000"/>
                <w:sz w:val="20"/>
                <w:szCs w:val="20"/>
              </w:rPr>
              <w:t>0.553</w:t>
            </w:r>
          </w:p>
        </w:tc>
        <w:tc>
          <w:tcPr>
            <w:tcW w:w="864" w:type="dxa"/>
            <w:tcBorders>
              <w:top w:val="single" w:sz="12" w:space="0" w:color="auto"/>
              <w:left w:val="nil"/>
              <w:bottom w:val="nil"/>
              <w:right w:val="nil"/>
            </w:tcBorders>
            <w:shd w:val="clear" w:color="auto" w:fill="auto"/>
            <w:noWrap/>
            <w:vAlign w:val="bottom"/>
            <w:hideMark/>
          </w:tcPr>
          <w:p w14:paraId="26B94B5D" w14:textId="77777777" w:rsidR="00565393" w:rsidRDefault="00565393">
            <w:pPr>
              <w:jc w:val="right"/>
              <w:rPr>
                <w:color w:val="000000"/>
                <w:sz w:val="20"/>
                <w:szCs w:val="20"/>
              </w:rPr>
            </w:pPr>
            <w:r>
              <w:rPr>
                <w:color w:val="000000"/>
                <w:sz w:val="20"/>
                <w:szCs w:val="20"/>
              </w:rPr>
              <w:t>0.001</w:t>
            </w:r>
          </w:p>
        </w:tc>
      </w:tr>
      <w:tr w:rsidR="00565393" w14:paraId="3B2A2597" w14:textId="77777777" w:rsidTr="00B5084D">
        <w:trPr>
          <w:trHeight w:val="340"/>
        </w:trPr>
        <w:tc>
          <w:tcPr>
            <w:tcW w:w="1152" w:type="dxa"/>
            <w:tcBorders>
              <w:top w:val="nil"/>
              <w:left w:val="nil"/>
              <w:bottom w:val="nil"/>
              <w:right w:val="nil"/>
            </w:tcBorders>
            <w:shd w:val="clear" w:color="auto" w:fill="auto"/>
            <w:noWrap/>
            <w:vAlign w:val="bottom"/>
            <w:hideMark/>
          </w:tcPr>
          <w:p w14:paraId="129A0174"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9366F18" w14:textId="77777777" w:rsidR="00565393" w:rsidRDefault="0056539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850CF25" w14:textId="77777777" w:rsidR="00565393" w:rsidRDefault="00565393">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4F27C011" w14:textId="77777777" w:rsidR="00565393" w:rsidRDefault="00565393">
            <w:pPr>
              <w:jc w:val="right"/>
              <w:rPr>
                <w:color w:val="000000"/>
                <w:sz w:val="20"/>
                <w:szCs w:val="20"/>
              </w:rPr>
            </w:pPr>
            <w:r>
              <w:rPr>
                <w:color w:val="000000"/>
                <w:sz w:val="20"/>
                <w:szCs w:val="20"/>
              </w:rPr>
              <w:t>0.924</w:t>
            </w:r>
          </w:p>
        </w:tc>
        <w:tc>
          <w:tcPr>
            <w:tcW w:w="864" w:type="dxa"/>
            <w:tcBorders>
              <w:top w:val="nil"/>
              <w:left w:val="nil"/>
              <w:bottom w:val="nil"/>
              <w:right w:val="nil"/>
            </w:tcBorders>
            <w:shd w:val="clear" w:color="auto" w:fill="auto"/>
            <w:noWrap/>
            <w:vAlign w:val="bottom"/>
            <w:hideMark/>
          </w:tcPr>
          <w:p w14:paraId="43002F4E"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923A916" w14:textId="77777777" w:rsidR="00565393" w:rsidRDefault="00565393">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681AA474" w14:textId="77777777" w:rsidR="00565393" w:rsidRDefault="00565393">
            <w:pPr>
              <w:jc w:val="right"/>
              <w:rPr>
                <w:color w:val="000000"/>
                <w:sz w:val="20"/>
                <w:szCs w:val="20"/>
              </w:rPr>
            </w:pPr>
            <w:r>
              <w:rPr>
                <w:color w:val="000000"/>
                <w:sz w:val="20"/>
                <w:szCs w:val="20"/>
              </w:rPr>
              <w:t>0.553</w:t>
            </w:r>
          </w:p>
        </w:tc>
        <w:tc>
          <w:tcPr>
            <w:tcW w:w="864" w:type="dxa"/>
            <w:tcBorders>
              <w:top w:val="nil"/>
              <w:left w:val="nil"/>
              <w:bottom w:val="nil"/>
              <w:right w:val="nil"/>
            </w:tcBorders>
            <w:shd w:val="clear" w:color="auto" w:fill="auto"/>
            <w:noWrap/>
            <w:vAlign w:val="bottom"/>
            <w:hideMark/>
          </w:tcPr>
          <w:p w14:paraId="6123F2E5" w14:textId="77777777" w:rsidR="00565393" w:rsidRDefault="00565393">
            <w:pPr>
              <w:jc w:val="right"/>
              <w:rPr>
                <w:color w:val="000000"/>
                <w:sz w:val="20"/>
                <w:szCs w:val="20"/>
              </w:rPr>
            </w:pPr>
            <w:r>
              <w:rPr>
                <w:color w:val="000000"/>
                <w:sz w:val="20"/>
                <w:szCs w:val="20"/>
              </w:rPr>
              <w:t>0.002</w:t>
            </w:r>
          </w:p>
        </w:tc>
      </w:tr>
      <w:tr w:rsidR="00565393" w14:paraId="7B8B2ED9" w14:textId="77777777" w:rsidTr="00B5084D">
        <w:trPr>
          <w:trHeight w:val="320"/>
        </w:trPr>
        <w:tc>
          <w:tcPr>
            <w:tcW w:w="1152" w:type="dxa"/>
            <w:tcBorders>
              <w:top w:val="nil"/>
              <w:left w:val="nil"/>
              <w:bottom w:val="nil"/>
              <w:right w:val="nil"/>
            </w:tcBorders>
            <w:shd w:val="clear" w:color="auto" w:fill="auto"/>
            <w:noWrap/>
            <w:vAlign w:val="bottom"/>
            <w:hideMark/>
          </w:tcPr>
          <w:p w14:paraId="5AF0E8FF"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72761FD" w14:textId="77777777" w:rsidR="00565393" w:rsidRDefault="0056539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CE72191" w14:textId="77777777" w:rsidR="00565393" w:rsidRDefault="00565393">
            <w:pPr>
              <w:jc w:val="right"/>
              <w:rPr>
                <w:color w:val="000000"/>
                <w:sz w:val="20"/>
                <w:szCs w:val="20"/>
              </w:rPr>
            </w:pPr>
            <w:r>
              <w:rPr>
                <w:color w:val="000000"/>
                <w:sz w:val="20"/>
                <w:szCs w:val="20"/>
              </w:rPr>
              <w:t>-0.118</w:t>
            </w:r>
          </w:p>
        </w:tc>
        <w:tc>
          <w:tcPr>
            <w:tcW w:w="864" w:type="dxa"/>
            <w:tcBorders>
              <w:top w:val="nil"/>
              <w:left w:val="nil"/>
              <w:bottom w:val="nil"/>
              <w:right w:val="nil"/>
            </w:tcBorders>
            <w:shd w:val="clear" w:color="auto" w:fill="auto"/>
            <w:noWrap/>
            <w:vAlign w:val="bottom"/>
            <w:hideMark/>
          </w:tcPr>
          <w:p w14:paraId="79FF9EC6" w14:textId="77777777" w:rsidR="00565393" w:rsidRDefault="00565393">
            <w:pPr>
              <w:jc w:val="right"/>
              <w:rPr>
                <w:color w:val="000000"/>
                <w:sz w:val="20"/>
                <w:szCs w:val="20"/>
              </w:rPr>
            </w:pPr>
            <w:r>
              <w:rPr>
                <w:color w:val="000000"/>
                <w:sz w:val="20"/>
                <w:szCs w:val="20"/>
              </w:rPr>
              <w:t>0.256</w:t>
            </w:r>
          </w:p>
        </w:tc>
        <w:tc>
          <w:tcPr>
            <w:tcW w:w="864" w:type="dxa"/>
            <w:tcBorders>
              <w:top w:val="nil"/>
              <w:left w:val="nil"/>
              <w:bottom w:val="nil"/>
              <w:right w:val="nil"/>
            </w:tcBorders>
            <w:shd w:val="clear" w:color="auto" w:fill="auto"/>
            <w:noWrap/>
            <w:vAlign w:val="bottom"/>
            <w:hideMark/>
          </w:tcPr>
          <w:p w14:paraId="5E7B0FBC" w14:textId="77777777" w:rsidR="00565393" w:rsidRDefault="00565393">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3217783D" w14:textId="77777777" w:rsidR="00565393" w:rsidRDefault="00565393">
            <w:pPr>
              <w:jc w:val="right"/>
              <w:rPr>
                <w:color w:val="000000"/>
                <w:sz w:val="20"/>
                <w:szCs w:val="20"/>
              </w:rPr>
            </w:pPr>
            <w:r>
              <w:rPr>
                <w:color w:val="000000"/>
                <w:sz w:val="20"/>
                <w:szCs w:val="20"/>
              </w:rPr>
              <w:t>0.113</w:t>
            </w:r>
          </w:p>
        </w:tc>
        <w:tc>
          <w:tcPr>
            <w:tcW w:w="864" w:type="dxa"/>
            <w:tcBorders>
              <w:top w:val="nil"/>
              <w:left w:val="nil"/>
              <w:bottom w:val="nil"/>
              <w:right w:val="nil"/>
            </w:tcBorders>
            <w:shd w:val="clear" w:color="auto" w:fill="auto"/>
            <w:noWrap/>
            <w:vAlign w:val="bottom"/>
            <w:hideMark/>
          </w:tcPr>
          <w:p w14:paraId="496C86F0" w14:textId="77777777" w:rsidR="00565393" w:rsidRDefault="00565393">
            <w:pPr>
              <w:jc w:val="right"/>
              <w:rPr>
                <w:color w:val="000000"/>
                <w:sz w:val="20"/>
                <w:szCs w:val="20"/>
              </w:rPr>
            </w:pPr>
            <w:r>
              <w:rPr>
                <w:color w:val="000000"/>
                <w:sz w:val="20"/>
                <w:szCs w:val="20"/>
              </w:rPr>
              <w:t>0.525</w:t>
            </w:r>
          </w:p>
        </w:tc>
        <w:tc>
          <w:tcPr>
            <w:tcW w:w="864" w:type="dxa"/>
            <w:tcBorders>
              <w:top w:val="nil"/>
              <w:left w:val="nil"/>
              <w:bottom w:val="nil"/>
              <w:right w:val="nil"/>
            </w:tcBorders>
            <w:shd w:val="clear" w:color="auto" w:fill="auto"/>
            <w:noWrap/>
            <w:vAlign w:val="bottom"/>
            <w:hideMark/>
          </w:tcPr>
          <w:p w14:paraId="638189AA" w14:textId="77777777" w:rsidR="00565393" w:rsidRDefault="00565393">
            <w:pPr>
              <w:jc w:val="right"/>
              <w:rPr>
                <w:color w:val="000000"/>
                <w:sz w:val="20"/>
                <w:szCs w:val="20"/>
              </w:rPr>
            </w:pPr>
            <w:r>
              <w:rPr>
                <w:color w:val="000000"/>
                <w:sz w:val="20"/>
                <w:szCs w:val="20"/>
              </w:rPr>
              <w:t>0.013</w:t>
            </w:r>
          </w:p>
        </w:tc>
      </w:tr>
      <w:tr w:rsidR="00565393" w14:paraId="7D4D7F64" w14:textId="77777777" w:rsidTr="00B5084D">
        <w:trPr>
          <w:trHeight w:val="320"/>
        </w:trPr>
        <w:tc>
          <w:tcPr>
            <w:tcW w:w="1152" w:type="dxa"/>
            <w:tcBorders>
              <w:top w:val="nil"/>
              <w:left w:val="nil"/>
              <w:bottom w:val="nil"/>
              <w:right w:val="nil"/>
            </w:tcBorders>
            <w:shd w:val="clear" w:color="auto" w:fill="auto"/>
            <w:noWrap/>
            <w:vAlign w:val="bottom"/>
            <w:hideMark/>
          </w:tcPr>
          <w:p w14:paraId="259130D9"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E0BAB9B" w14:textId="77777777" w:rsidR="00565393" w:rsidRDefault="0056539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0C32AAF" w14:textId="77777777" w:rsidR="00565393" w:rsidRDefault="00565393">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4A493917" w14:textId="77777777" w:rsidR="00565393" w:rsidRDefault="00565393">
            <w:pPr>
              <w:jc w:val="right"/>
              <w:rPr>
                <w:color w:val="000000"/>
                <w:sz w:val="20"/>
                <w:szCs w:val="20"/>
              </w:rPr>
            </w:pPr>
            <w:r>
              <w:rPr>
                <w:color w:val="000000"/>
                <w:sz w:val="20"/>
                <w:szCs w:val="20"/>
              </w:rPr>
              <w:t>0.924</w:t>
            </w:r>
          </w:p>
        </w:tc>
        <w:tc>
          <w:tcPr>
            <w:tcW w:w="864" w:type="dxa"/>
            <w:tcBorders>
              <w:top w:val="nil"/>
              <w:left w:val="nil"/>
              <w:bottom w:val="nil"/>
              <w:right w:val="nil"/>
            </w:tcBorders>
            <w:shd w:val="clear" w:color="auto" w:fill="auto"/>
            <w:noWrap/>
            <w:vAlign w:val="bottom"/>
            <w:hideMark/>
          </w:tcPr>
          <w:p w14:paraId="76200610" w14:textId="77777777" w:rsidR="00565393" w:rsidRDefault="0056539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595846E" w14:textId="77777777" w:rsidR="00565393" w:rsidRDefault="00565393">
            <w:pPr>
              <w:jc w:val="right"/>
              <w:rPr>
                <w:color w:val="000000"/>
                <w:sz w:val="20"/>
                <w:szCs w:val="20"/>
              </w:rPr>
            </w:pPr>
            <w:r>
              <w:rPr>
                <w:color w:val="000000"/>
                <w:sz w:val="20"/>
                <w:szCs w:val="20"/>
              </w:rPr>
              <w:t>-0.183</w:t>
            </w:r>
          </w:p>
        </w:tc>
        <w:tc>
          <w:tcPr>
            <w:tcW w:w="864" w:type="dxa"/>
            <w:tcBorders>
              <w:top w:val="nil"/>
              <w:left w:val="nil"/>
              <w:bottom w:val="nil"/>
              <w:right w:val="nil"/>
            </w:tcBorders>
            <w:shd w:val="clear" w:color="auto" w:fill="auto"/>
            <w:noWrap/>
            <w:vAlign w:val="bottom"/>
            <w:hideMark/>
          </w:tcPr>
          <w:p w14:paraId="14064A1A" w14:textId="77777777" w:rsidR="00565393" w:rsidRDefault="00565393">
            <w:pPr>
              <w:jc w:val="right"/>
              <w:rPr>
                <w:color w:val="000000"/>
                <w:sz w:val="20"/>
                <w:szCs w:val="20"/>
              </w:rPr>
            </w:pPr>
            <w:r>
              <w:rPr>
                <w:color w:val="000000"/>
                <w:sz w:val="20"/>
                <w:szCs w:val="20"/>
              </w:rPr>
              <w:t>0.328</w:t>
            </w:r>
          </w:p>
        </w:tc>
        <w:tc>
          <w:tcPr>
            <w:tcW w:w="864" w:type="dxa"/>
            <w:tcBorders>
              <w:top w:val="nil"/>
              <w:left w:val="nil"/>
              <w:bottom w:val="nil"/>
              <w:right w:val="nil"/>
            </w:tcBorders>
            <w:shd w:val="clear" w:color="auto" w:fill="auto"/>
            <w:noWrap/>
            <w:vAlign w:val="bottom"/>
            <w:hideMark/>
          </w:tcPr>
          <w:p w14:paraId="50558EA0" w14:textId="77777777" w:rsidR="00565393" w:rsidRDefault="00565393">
            <w:pPr>
              <w:jc w:val="right"/>
              <w:rPr>
                <w:color w:val="000000"/>
                <w:sz w:val="20"/>
                <w:szCs w:val="20"/>
              </w:rPr>
            </w:pPr>
            <w:r>
              <w:rPr>
                <w:color w:val="000000"/>
                <w:sz w:val="20"/>
                <w:szCs w:val="20"/>
              </w:rPr>
              <w:t>0.033</w:t>
            </w:r>
          </w:p>
        </w:tc>
      </w:tr>
      <w:tr w:rsidR="00565393" w14:paraId="7A0DB022" w14:textId="77777777" w:rsidTr="00B5084D">
        <w:trPr>
          <w:trHeight w:val="320"/>
        </w:trPr>
        <w:tc>
          <w:tcPr>
            <w:tcW w:w="1152" w:type="dxa"/>
            <w:tcBorders>
              <w:top w:val="nil"/>
              <w:left w:val="nil"/>
              <w:bottom w:val="nil"/>
              <w:right w:val="nil"/>
            </w:tcBorders>
            <w:shd w:val="clear" w:color="auto" w:fill="auto"/>
            <w:noWrap/>
            <w:vAlign w:val="bottom"/>
            <w:hideMark/>
          </w:tcPr>
          <w:p w14:paraId="211D156B"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3CB6789" w14:textId="77777777" w:rsidR="00565393" w:rsidRDefault="0056539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D4FDF6A" w14:textId="77777777" w:rsidR="00565393" w:rsidRDefault="0056539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C3ACE08" w14:textId="77777777" w:rsidR="00565393" w:rsidRDefault="00565393">
            <w:pPr>
              <w:jc w:val="right"/>
              <w:rPr>
                <w:color w:val="000000"/>
                <w:sz w:val="20"/>
                <w:szCs w:val="20"/>
              </w:rPr>
            </w:pPr>
            <w:r>
              <w:rPr>
                <w:color w:val="000000"/>
                <w:sz w:val="20"/>
                <w:szCs w:val="20"/>
              </w:rPr>
              <w:t>0.964</w:t>
            </w:r>
          </w:p>
        </w:tc>
        <w:tc>
          <w:tcPr>
            <w:tcW w:w="864" w:type="dxa"/>
            <w:tcBorders>
              <w:top w:val="nil"/>
              <w:left w:val="nil"/>
              <w:bottom w:val="nil"/>
              <w:right w:val="nil"/>
            </w:tcBorders>
            <w:shd w:val="clear" w:color="auto" w:fill="auto"/>
            <w:noWrap/>
            <w:vAlign w:val="bottom"/>
            <w:hideMark/>
          </w:tcPr>
          <w:p w14:paraId="56FEF1A8"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D899153" w14:textId="77777777" w:rsidR="00565393" w:rsidRDefault="00565393">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7198E814" w14:textId="77777777" w:rsidR="00565393" w:rsidRDefault="00565393">
            <w:pPr>
              <w:jc w:val="right"/>
              <w:rPr>
                <w:color w:val="000000"/>
                <w:sz w:val="20"/>
                <w:szCs w:val="20"/>
              </w:rPr>
            </w:pPr>
            <w:r>
              <w:rPr>
                <w:color w:val="000000"/>
                <w:sz w:val="20"/>
                <w:szCs w:val="20"/>
              </w:rPr>
              <w:t>0.608</w:t>
            </w:r>
          </w:p>
        </w:tc>
        <w:tc>
          <w:tcPr>
            <w:tcW w:w="864" w:type="dxa"/>
            <w:tcBorders>
              <w:top w:val="nil"/>
              <w:left w:val="nil"/>
              <w:bottom w:val="nil"/>
              <w:right w:val="nil"/>
            </w:tcBorders>
            <w:shd w:val="clear" w:color="auto" w:fill="auto"/>
            <w:noWrap/>
            <w:vAlign w:val="bottom"/>
            <w:hideMark/>
          </w:tcPr>
          <w:p w14:paraId="120C39AF" w14:textId="77777777" w:rsidR="00565393" w:rsidRDefault="00565393">
            <w:pPr>
              <w:jc w:val="right"/>
              <w:rPr>
                <w:color w:val="000000"/>
                <w:sz w:val="20"/>
                <w:szCs w:val="20"/>
              </w:rPr>
            </w:pPr>
            <w:r>
              <w:rPr>
                <w:color w:val="000000"/>
                <w:sz w:val="20"/>
                <w:szCs w:val="20"/>
              </w:rPr>
              <w:t>0.001</w:t>
            </w:r>
          </w:p>
        </w:tc>
      </w:tr>
      <w:tr w:rsidR="00565393" w14:paraId="29BFD93C" w14:textId="77777777" w:rsidTr="00B5084D">
        <w:trPr>
          <w:trHeight w:val="320"/>
        </w:trPr>
        <w:tc>
          <w:tcPr>
            <w:tcW w:w="1152" w:type="dxa"/>
            <w:tcBorders>
              <w:top w:val="nil"/>
              <w:left w:val="nil"/>
              <w:bottom w:val="nil"/>
              <w:right w:val="nil"/>
            </w:tcBorders>
            <w:shd w:val="clear" w:color="auto" w:fill="auto"/>
            <w:noWrap/>
            <w:vAlign w:val="bottom"/>
            <w:hideMark/>
          </w:tcPr>
          <w:p w14:paraId="7A2B0614"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F9525AC" w14:textId="77777777" w:rsidR="00565393" w:rsidRDefault="0056539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7D333CA" w14:textId="77777777" w:rsidR="00565393" w:rsidRDefault="00565393">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C76B355" w14:textId="77777777" w:rsidR="00565393" w:rsidRDefault="00565393">
            <w:pPr>
              <w:jc w:val="right"/>
              <w:rPr>
                <w:color w:val="000000"/>
                <w:sz w:val="20"/>
                <w:szCs w:val="20"/>
              </w:rPr>
            </w:pPr>
            <w:r>
              <w:rPr>
                <w:color w:val="000000"/>
                <w:sz w:val="20"/>
                <w:szCs w:val="20"/>
              </w:rPr>
              <w:t>0.964</w:t>
            </w:r>
          </w:p>
        </w:tc>
        <w:tc>
          <w:tcPr>
            <w:tcW w:w="864" w:type="dxa"/>
            <w:tcBorders>
              <w:top w:val="nil"/>
              <w:left w:val="nil"/>
              <w:bottom w:val="nil"/>
              <w:right w:val="nil"/>
            </w:tcBorders>
            <w:shd w:val="clear" w:color="auto" w:fill="auto"/>
            <w:noWrap/>
            <w:vAlign w:val="bottom"/>
            <w:hideMark/>
          </w:tcPr>
          <w:p w14:paraId="70CAB3E5"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B644750" w14:textId="77777777" w:rsidR="00565393" w:rsidRDefault="00565393">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411089ED" w14:textId="77777777" w:rsidR="00565393" w:rsidRDefault="00565393">
            <w:pPr>
              <w:jc w:val="right"/>
              <w:rPr>
                <w:color w:val="000000"/>
                <w:sz w:val="20"/>
                <w:szCs w:val="20"/>
              </w:rPr>
            </w:pPr>
            <w:r>
              <w:rPr>
                <w:color w:val="000000"/>
                <w:sz w:val="20"/>
                <w:szCs w:val="20"/>
              </w:rPr>
              <w:t>0.412</w:t>
            </w:r>
          </w:p>
        </w:tc>
        <w:tc>
          <w:tcPr>
            <w:tcW w:w="864" w:type="dxa"/>
            <w:tcBorders>
              <w:top w:val="nil"/>
              <w:left w:val="nil"/>
              <w:bottom w:val="nil"/>
              <w:right w:val="nil"/>
            </w:tcBorders>
            <w:shd w:val="clear" w:color="auto" w:fill="auto"/>
            <w:noWrap/>
            <w:vAlign w:val="bottom"/>
            <w:hideMark/>
          </w:tcPr>
          <w:p w14:paraId="328815FA" w14:textId="77777777" w:rsidR="00565393" w:rsidRDefault="00565393">
            <w:pPr>
              <w:jc w:val="right"/>
              <w:rPr>
                <w:color w:val="000000"/>
                <w:sz w:val="20"/>
                <w:szCs w:val="20"/>
              </w:rPr>
            </w:pPr>
            <w:r>
              <w:rPr>
                <w:color w:val="000000"/>
                <w:sz w:val="20"/>
                <w:szCs w:val="20"/>
              </w:rPr>
              <w:t>0.004</w:t>
            </w:r>
          </w:p>
        </w:tc>
      </w:tr>
      <w:tr w:rsidR="00565393" w14:paraId="25C0FD47" w14:textId="77777777" w:rsidTr="00B5084D">
        <w:trPr>
          <w:trHeight w:val="320"/>
        </w:trPr>
        <w:tc>
          <w:tcPr>
            <w:tcW w:w="1152" w:type="dxa"/>
            <w:tcBorders>
              <w:top w:val="nil"/>
              <w:left w:val="nil"/>
              <w:bottom w:val="nil"/>
              <w:right w:val="nil"/>
            </w:tcBorders>
            <w:shd w:val="clear" w:color="auto" w:fill="auto"/>
            <w:noWrap/>
            <w:vAlign w:val="bottom"/>
            <w:hideMark/>
          </w:tcPr>
          <w:p w14:paraId="3FFD9C3A"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F5F3735" w14:textId="77777777" w:rsidR="00565393" w:rsidRDefault="0056539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2D5D9CE" w14:textId="77777777" w:rsidR="00565393" w:rsidRDefault="00565393">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61115687" w14:textId="77777777" w:rsidR="00565393" w:rsidRDefault="00565393">
            <w:pPr>
              <w:jc w:val="right"/>
              <w:rPr>
                <w:color w:val="000000"/>
                <w:sz w:val="20"/>
                <w:szCs w:val="20"/>
              </w:rPr>
            </w:pPr>
            <w:r>
              <w:rPr>
                <w:color w:val="000000"/>
                <w:sz w:val="20"/>
                <w:szCs w:val="20"/>
              </w:rPr>
              <w:t>0.698</w:t>
            </w:r>
          </w:p>
        </w:tc>
        <w:tc>
          <w:tcPr>
            <w:tcW w:w="864" w:type="dxa"/>
            <w:tcBorders>
              <w:top w:val="nil"/>
              <w:left w:val="nil"/>
              <w:bottom w:val="nil"/>
              <w:right w:val="nil"/>
            </w:tcBorders>
            <w:shd w:val="clear" w:color="auto" w:fill="auto"/>
            <w:noWrap/>
            <w:vAlign w:val="bottom"/>
            <w:hideMark/>
          </w:tcPr>
          <w:p w14:paraId="713156B4" w14:textId="77777777" w:rsidR="00565393" w:rsidRDefault="0056539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CD82A2F" w14:textId="77777777" w:rsidR="00565393" w:rsidRDefault="00565393">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5BD70B0A" w14:textId="77777777" w:rsidR="00565393" w:rsidRDefault="00565393">
            <w:pPr>
              <w:jc w:val="right"/>
              <w:rPr>
                <w:color w:val="000000"/>
                <w:sz w:val="20"/>
                <w:szCs w:val="20"/>
              </w:rPr>
            </w:pPr>
            <w:r>
              <w:rPr>
                <w:color w:val="000000"/>
                <w:sz w:val="20"/>
                <w:szCs w:val="20"/>
              </w:rPr>
              <w:t>0.542</w:t>
            </w:r>
          </w:p>
        </w:tc>
        <w:tc>
          <w:tcPr>
            <w:tcW w:w="864" w:type="dxa"/>
            <w:tcBorders>
              <w:top w:val="nil"/>
              <w:left w:val="nil"/>
              <w:bottom w:val="nil"/>
              <w:right w:val="nil"/>
            </w:tcBorders>
            <w:shd w:val="clear" w:color="auto" w:fill="auto"/>
            <w:noWrap/>
            <w:vAlign w:val="bottom"/>
            <w:hideMark/>
          </w:tcPr>
          <w:p w14:paraId="63CF60C9" w14:textId="77777777" w:rsidR="00565393" w:rsidRDefault="00565393">
            <w:pPr>
              <w:jc w:val="right"/>
              <w:rPr>
                <w:color w:val="000000"/>
                <w:sz w:val="20"/>
                <w:szCs w:val="20"/>
              </w:rPr>
            </w:pPr>
            <w:r>
              <w:rPr>
                <w:color w:val="000000"/>
                <w:sz w:val="20"/>
                <w:szCs w:val="20"/>
              </w:rPr>
              <w:t>0.002</w:t>
            </w:r>
          </w:p>
        </w:tc>
      </w:tr>
      <w:tr w:rsidR="00565393" w14:paraId="1ED9C74E" w14:textId="77777777" w:rsidTr="00B5084D">
        <w:trPr>
          <w:trHeight w:val="320"/>
        </w:trPr>
        <w:tc>
          <w:tcPr>
            <w:tcW w:w="1152" w:type="dxa"/>
            <w:tcBorders>
              <w:top w:val="nil"/>
              <w:left w:val="nil"/>
              <w:bottom w:val="single" w:sz="4" w:space="0" w:color="auto"/>
              <w:right w:val="nil"/>
            </w:tcBorders>
            <w:shd w:val="clear" w:color="auto" w:fill="auto"/>
            <w:noWrap/>
            <w:vAlign w:val="bottom"/>
            <w:hideMark/>
          </w:tcPr>
          <w:p w14:paraId="77C142BD" w14:textId="77777777" w:rsidR="00565393" w:rsidRDefault="00565393">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C2A4478" w14:textId="77777777" w:rsidR="00565393" w:rsidRDefault="00565393">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C919A85" w14:textId="77777777" w:rsidR="00565393" w:rsidRDefault="00565393">
            <w:pPr>
              <w:jc w:val="right"/>
              <w:rPr>
                <w:color w:val="000000"/>
                <w:sz w:val="20"/>
                <w:szCs w:val="20"/>
              </w:rPr>
            </w:pPr>
            <w:r>
              <w:rPr>
                <w:color w:val="000000"/>
                <w:sz w:val="20"/>
                <w:szCs w:val="20"/>
              </w:rPr>
              <w:t>-0.059</w:t>
            </w:r>
          </w:p>
        </w:tc>
        <w:tc>
          <w:tcPr>
            <w:tcW w:w="864" w:type="dxa"/>
            <w:tcBorders>
              <w:top w:val="nil"/>
              <w:left w:val="nil"/>
              <w:bottom w:val="single" w:sz="4" w:space="0" w:color="auto"/>
              <w:right w:val="nil"/>
            </w:tcBorders>
            <w:shd w:val="clear" w:color="auto" w:fill="auto"/>
            <w:noWrap/>
            <w:vAlign w:val="bottom"/>
            <w:hideMark/>
          </w:tcPr>
          <w:p w14:paraId="48E19B82" w14:textId="77777777" w:rsidR="00565393" w:rsidRDefault="00565393">
            <w:pPr>
              <w:jc w:val="right"/>
              <w:rPr>
                <w:color w:val="000000"/>
                <w:sz w:val="20"/>
                <w:szCs w:val="20"/>
              </w:rPr>
            </w:pPr>
            <w:r>
              <w:rPr>
                <w:color w:val="000000"/>
                <w:sz w:val="20"/>
                <w:szCs w:val="20"/>
              </w:rPr>
              <w:t>0.698</w:t>
            </w:r>
          </w:p>
        </w:tc>
        <w:tc>
          <w:tcPr>
            <w:tcW w:w="864" w:type="dxa"/>
            <w:tcBorders>
              <w:top w:val="nil"/>
              <w:left w:val="nil"/>
              <w:bottom w:val="single" w:sz="4" w:space="0" w:color="auto"/>
              <w:right w:val="nil"/>
            </w:tcBorders>
            <w:shd w:val="clear" w:color="auto" w:fill="auto"/>
            <w:noWrap/>
            <w:vAlign w:val="bottom"/>
            <w:hideMark/>
          </w:tcPr>
          <w:p w14:paraId="1217B71A" w14:textId="77777777" w:rsidR="00565393" w:rsidRDefault="00565393">
            <w:pPr>
              <w:jc w:val="right"/>
              <w:rPr>
                <w:color w:val="000000"/>
                <w:sz w:val="20"/>
                <w:szCs w:val="20"/>
              </w:rPr>
            </w:pPr>
            <w:r>
              <w:rPr>
                <w:color w:val="000000"/>
                <w:sz w:val="20"/>
                <w:szCs w:val="20"/>
              </w:rPr>
              <w:t>0.003</w:t>
            </w:r>
          </w:p>
        </w:tc>
        <w:tc>
          <w:tcPr>
            <w:tcW w:w="864" w:type="dxa"/>
            <w:tcBorders>
              <w:top w:val="nil"/>
              <w:left w:val="nil"/>
              <w:bottom w:val="single" w:sz="4" w:space="0" w:color="auto"/>
              <w:right w:val="nil"/>
            </w:tcBorders>
            <w:shd w:val="clear" w:color="auto" w:fill="auto"/>
            <w:noWrap/>
            <w:vAlign w:val="bottom"/>
            <w:hideMark/>
          </w:tcPr>
          <w:p w14:paraId="32D81100" w14:textId="77777777" w:rsidR="00565393" w:rsidRDefault="00565393">
            <w:pPr>
              <w:jc w:val="right"/>
              <w:rPr>
                <w:color w:val="000000"/>
                <w:sz w:val="20"/>
                <w:szCs w:val="20"/>
              </w:rPr>
            </w:pPr>
            <w:r>
              <w:rPr>
                <w:color w:val="000000"/>
                <w:sz w:val="20"/>
                <w:szCs w:val="20"/>
              </w:rPr>
              <w:t>0.044</w:t>
            </w:r>
          </w:p>
        </w:tc>
        <w:tc>
          <w:tcPr>
            <w:tcW w:w="864" w:type="dxa"/>
            <w:tcBorders>
              <w:top w:val="nil"/>
              <w:left w:val="nil"/>
              <w:bottom w:val="single" w:sz="4" w:space="0" w:color="auto"/>
              <w:right w:val="nil"/>
            </w:tcBorders>
            <w:shd w:val="clear" w:color="auto" w:fill="auto"/>
            <w:noWrap/>
            <w:vAlign w:val="bottom"/>
            <w:hideMark/>
          </w:tcPr>
          <w:p w14:paraId="2610FB74" w14:textId="77777777" w:rsidR="00565393" w:rsidRDefault="00565393">
            <w:pPr>
              <w:jc w:val="right"/>
              <w:rPr>
                <w:color w:val="000000"/>
                <w:sz w:val="20"/>
                <w:szCs w:val="20"/>
              </w:rPr>
            </w:pPr>
            <w:r>
              <w:rPr>
                <w:color w:val="000000"/>
                <w:sz w:val="20"/>
                <w:szCs w:val="20"/>
              </w:rPr>
              <w:t>0.553</w:t>
            </w:r>
          </w:p>
        </w:tc>
        <w:tc>
          <w:tcPr>
            <w:tcW w:w="864" w:type="dxa"/>
            <w:tcBorders>
              <w:top w:val="nil"/>
              <w:left w:val="nil"/>
              <w:bottom w:val="single" w:sz="4" w:space="0" w:color="auto"/>
              <w:right w:val="nil"/>
            </w:tcBorders>
            <w:shd w:val="clear" w:color="auto" w:fill="auto"/>
            <w:noWrap/>
            <w:vAlign w:val="bottom"/>
            <w:hideMark/>
          </w:tcPr>
          <w:p w14:paraId="748B4B6F" w14:textId="77777777" w:rsidR="00565393" w:rsidRDefault="00565393">
            <w:pPr>
              <w:jc w:val="right"/>
              <w:rPr>
                <w:color w:val="000000"/>
                <w:sz w:val="20"/>
                <w:szCs w:val="20"/>
              </w:rPr>
            </w:pPr>
            <w:r>
              <w:rPr>
                <w:color w:val="000000"/>
                <w:sz w:val="20"/>
                <w:szCs w:val="20"/>
              </w:rPr>
              <w:t>0.002</w:t>
            </w:r>
          </w:p>
        </w:tc>
      </w:tr>
      <w:tr w:rsidR="00565393" w14:paraId="1354D2DF" w14:textId="77777777" w:rsidTr="00B5084D">
        <w:trPr>
          <w:trHeight w:val="320"/>
        </w:trPr>
        <w:tc>
          <w:tcPr>
            <w:tcW w:w="1152" w:type="dxa"/>
            <w:tcBorders>
              <w:top w:val="nil"/>
              <w:left w:val="nil"/>
              <w:bottom w:val="nil"/>
              <w:right w:val="nil"/>
            </w:tcBorders>
            <w:shd w:val="clear" w:color="auto" w:fill="auto"/>
            <w:noWrap/>
            <w:vAlign w:val="bottom"/>
            <w:hideMark/>
          </w:tcPr>
          <w:p w14:paraId="23BFB70E" w14:textId="77777777" w:rsidR="00565393" w:rsidRDefault="00565393">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0CDE6503" w14:textId="77777777" w:rsidR="00565393" w:rsidRDefault="00565393">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AD5DE29" w14:textId="77777777" w:rsidR="00565393" w:rsidRDefault="00565393">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09B89BF8" w14:textId="77777777" w:rsidR="00565393" w:rsidRDefault="00565393">
            <w:pPr>
              <w:jc w:val="right"/>
              <w:rPr>
                <w:color w:val="000000"/>
                <w:sz w:val="20"/>
                <w:szCs w:val="20"/>
              </w:rPr>
            </w:pPr>
            <w:r>
              <w:rPr>
                <w:color w:val="000000"/>
                <w:sz w:val="20"/>
                <w:szCs w:val="20"/>
              </w:rPr>
              <w:t>0.935</w:t>
            </w:r>
          </w:p>
        </w:tc>
        <w:tc>
          <w:tcPr>
            <w:tcW w:w="864" w:type="dxa"/>
            <w:tcBorders>
              <w:top w:val="nil"/>
              <w:left w:val="nil"/>
              <w:bottom w:val="nil"/>
              <w:right w:val="nil"/>
            </w:tcBorders>
            <w:shd w:val="clear" w:color="auto" w:fill="auto"/>
            <w:noWrap/>
            <w:vAlign w:val="bottom"/>
            <w:hideMark/>
          </w:tcPr>
          <w:p w14:paraId="0A44411A"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7824B46" w14:textId="77777777" w:rsidR="00565393" w:rsidRDefault="00565393">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5C8EAB8C" w14:textId="77777777" w:rsidR="00565393" w:rsidRDefault="00565393">
            <w:pPr>
              <w:jc w:val="right"/>
              <w:rPr>
                <w:color w:val="000000"/>
                <w:sz w:val="20"/>
                <w:szCs w:val="20"/>
              </w:rPr>
            </w:pPr>
            <w:r>
              <w:rPr>
                <w:color w:val="000000"/>
                <w:sz w:val="20"/>
                <w:szCs w:val="20"/>
              </w:rPr>
              <w:t>0.428</w:t>
            </w:r>
          </w:p>
        </w:tc>
        <w:tc>
          <w:tcPr>
            <w:tcW w:w="864" w:type="dxa"/>
            <w:tcBorders>
              <w:top w:val="nil"/>
              <w:left w:val="nil"/>
              <w:bottom w:val="nil"/>
              <w:right w:val="nil"/>
            </w:tcBorders>
            <w:shd w:val="clear" w:color="auto" w:fill="auto"/>
            <w:noWrap/>
            <w:vAlign w:val="bottom"/>
            <w:hideMark/>
          </w:tcPr>
          <w:p w14:paraId="68580215" w14:textId="77777777" w:rsidR="00565393" w:rsidRDefault="00565393">
            <w:pPr>
              <w:jc w:val="right"/>
              <w:rPr>
                <w:color w:val="000000"/>
                <w:sz w:val="20"/>
                <w:szCs w:val="20"/>
              </w:rPr>
            </w:pPr>
            <w:r>
              <w:rPr>
                <w:color w:val="000000"/>
                <w:sz w:val="20"/>
                <w:szCs w:val="20"/>
              </w:rPr>
              <w:t>0.001</w:t>
            </w:r>
          </w:p>
        </w:tc>
      </w:tr>
      <w:tr w:rsidR="00565393" w14:paraId="362039B6" w14:textId="77777777" w:rsidTr="00B5084D">
        <w:trPr>
          <w:trHeight w:val="320"/>
        </w:trPr>
        <w:tc>
          <w:tcPr>
            <w:tcW w:w="1152" w:type="dxa"/>
            <w:tcBorders>
              <w:top w:val="nil"/>
              <w:left w:val="nil"/>
              <w:bottom w:val="nil"/>
              <w:right w:val="nil"/>
            </w:tcBorders>
            <w:shd w:val="clear" w:color="auto" w:fill="auto"/>
            <w:noWrap/>
            <w:vAlign w:val="bottom"/>
            <w:hideMark/>
          </w:tcPr>
          <w:p w14:paraId="382A766D"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00DFD07" w14:textId="77777777" w:rsidR="00565393" w:rsidRDefault="0056539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3B0CFAF" w14:textId="77777777" w:rsidR="00565393" w:rsidRDefault="00565393">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711C33C1" w14:textId="77777777" w:rsidR="00565393" w:rsidRDefault="00565393">
            <w:pPr>
              <w:jc w:val="right"/>
              <w:rPr>
                <w:color w:val="000000"/>
                <w:sz w:val="20"/>
                <w:szCs w:val="20"/>
              </w:rPr>
            </w:pPr>
            <w:r>
              <w:rPr>
                <w:color w:val="000000"/>
                <w:sz w:val="20"/>
                <w:szCs w:val="20"/>
              </w:rPr>
              <w:t>0.935</w:t>
            </w:r>
          </w:p>
        </w:tc>
        <w:tc>
          <w:tcPr>
            <w:tcW w:w="864" w:type="dxa"/>
            <w:tcBorders>
              <w:top w:val="nil"/>
              <w:left w:val="nil"/>
              <w:bottom w:val="nil"/>
              <w:right w:val="nil"/>
            </w:tcBorders>
            <w:shd w:val="clear" w:color="auto" w:fill="auto"/>
            <w:noWrap/>
            <w:vAlign w:val="bottom"/>
            <w:hideMark/>
          </w:tcPr>
          <w:p w14:paraId="61FA6261"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D9D1966" w14:textId="77777777" w:rsidR="00565393" w:rsidRDefault="00565393">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6EE4490D" w14:textId="77777777" w:rsidR="00565393" w:rsidRDefault="00565393">
            <w:pPr>
              <w:jc w:val="right"/>
              <w:rPr>
                <w:color w:val="000000"/>
                <w:sz w:val="20"/>
                <w:szCs w:val="20"/>
              </w:rPr>
            </w:pPr>
            <w:r>
              <w:rPr>
                <w:color w:val="000000"/>
                <w:sz w:val="20"/>
                <w:szCs w:val="20"/>
              </w:rPr>
              <w:t>0.428</w:t>
            </w:r>
          </w:p>
        </w:tc>
        <w:tc>
          <w:tcPr>
            <w:tcW w:w="864" w:type="dxa"/>
            <w:tcBorders>
              <w:top w:val="nil"/>
              <w:left w:val="nil"/>
              <w:bottom w:val="nil"/>
              <w:right w:val="nil"/>
            </w:tcBorders>
            <w:shd w:val="clear" w:color="auto" w:fill="auto"/>
            <w:noWrap/>
            <w:vAlign w:val="bottom"/>
            <w:hideMark/>
          </w:tcPr>
          <w:p w14:paraId="46D3603F" w14:textId="77777777" w:rsidR="00565393" w:rsidRDefault="00565393">
            <w:pPr>
              <w:jc w:val="right"/>
              <w:rPr>
                <w:color w:val="000000"/>
                <w:sz w:val="20"/>
                <w:szCs w:val="20"/>
              </w:rPr>
            </w:pPr>
            <w:r>
              <w:rPr>
                <w:color w:val="000000"/>
                <w:sz w:val="20"/>
                <w:szCs w:val="20"/>
              </w:rPr>
              <w:t>0.001</w:t>
            </w:r>
          </w:p>
        </w:tc>
      </w:tr>
      <w:tr w:rsidR="00565393" w14:paraId="72ADCA78" w14:textId="77777777" w:rsidTr="00B5084D">
        <w:trPr>
          <w:trHeight w:val="320"/>
        </w:trPr>
        <w:tc>
          <w:tcPr>
            <w:tcW w:w="1152" w:type="dxa"/>
            <w:tcBorders>
              <w:top w:val="nil"/>
              <w:left w:val="nil"/>
              <w:bottom w:val="nil"/>
              <w:right w:val="nil"/>
            </w:tcBorders>
            <w:shd w:val="clear" w:color="auto" w:fill="auto"/>
            <w:noWrap/>
            <w:vAlign w:val="bottom"/>
            <w:hideMark/>
          </w:tcPr>
          <w:p w14:paraId="0D52D961"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E6A250C" w14:textId="77777777" w:rsidR="00565393" w:rsidRDefault="0056539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91C09CA" w14:textId="77777777" w:rsidR="00565393" w:rsidRDefault="00565393">
            <w:pPr>
              <w:jc w:val="right"/>
              <w:rPr>
                <w:color w:val="000000"/>
                <w:sz w:val="20"/>
                <w:szCs w:val="20"/>
              </w:rPr>
            </w:pPr>
            <w:r>
              <w:rPr>
                <w:color w:val="000000"/>
                <w:sz w:val="20"/>
                <w:szCs w:val="20"/>
              </w:rPr>
              <w:t>-0.081</w:t>
            </w:r>
          </w:p>
        </w:tc>
        <w:tc>
          <w:tcPr>
            <w:tcW w:w="864" w:type="dxa"/>
            <w:tcBorders>
              <w:top w:val="nil"/>
              <w:left w:val="nil"/>
              <w:bottom w:val="nil"/>
              <w:right w:val="nil"/>
            </w:tcBorders>
            <w:shd w:val="clear" w:color="auto" w:fill="auto"/>
            <w:noWrap/>
            <w:vAlign w:val="bottom"/>
            <w:hideMark/>
          </w:tcPr>
          <w:p w14:paraId="13B0485A" w14:textId="77777777" w:rsidR="00565393" w:rsidRDefault="00565393">
            <w:pPr>
              <w:jc w:val="right"/>
              <w:rPr>
                <w:color w:val="000000"/>
                <w:sz w:val="20"/>
                <w:szCs w:val="20"/>
              </w:rPr>
            </w:pPr>
            <w:r>
              <w:rPr>
                <w:color w:val="000000"/>
                <w:sz w:val="20"/>
                <w:szCs w:val="20"/>
              </w:rPr>
              <w:t>0.376</w:t>
            </w:r>
          </w:p>
        </w:tc>
        <w:tc>
          <w:tcPr>
            <w:tcW w:w="864" w:type="dxa"/>
            <w:tcBorders>
              <w:top w:val="nil"/>
              <w:left w:val="nil"/>
              <w:bottom w:val="nil"/>
              <w:right w:val="nil"/>
            </w:tcBorders>
            <w:shd w:val="clear" w:color="auto" w:fill="auto"/>
            <w:noWrap/>
            <w:vAlign w:val="bottom"/>
            <w:hideMark/>
          </w:tcPr>
          <w:p w14:paraId="6CD4607C" w14:textId="77777777" w:rsidR="00565393" w:rsidRDefault="00565393">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2A86734D" w14:textId="77777777" w:rsidR="00565393" w:rsidRDefault="00565393">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03022D5D" w14:textId="77777777" w:rsidR="00565393" w:rsidRDefault="00565393">
            <w:pPr>
              <w:jc w:val="right"/>
              <w:rPr>
                <w:color w:val="000000"/>
                <w:sz w:val="20"/>
                <w:szCs w:val="20"/>
              </w:rPr>
            </w:pPr>
            <w:r>
              <w:rPr>
                <w:color w:val="000000"/>
                <w:sz w:val="20"/>
                <w:szCs w:val="20"/>
              </w:rPr>
              <w:t>0.428</w:t>
            </w:r>
          </w:p>
        </w:tc>
        <w:tc>
          <w:tcPr>
            <w:tcW w:w="864" w:type="dxa"/>
            <w:tcBorders>
              <w:top w:val="nil"/>
              <w:left w:val="nil"/>
              <w:bottom w:val="nil"/>
              <w:right w:val="nil"/>
            </w:tcBorders>
            <w:shd w:val="clear" w:color="auto" w:fill="auto"/>
            <w:noWrap/>
            <w:vAlign w:val="bottom"/>
            <w:hideMark/>
          </w:tcPr>
          <w:p w14:paraId="0592FAD7" w14:textId="77777777" w:rsidR="00565393" w:rsidRDefault="00565393">
            <w:pPr>
              <w:jc w:val="right"/>
              <w:rPr>
                <w:color w:val="000000"/>
                <w:sz w:val="20"/>
                <w:szCs w:val="20"/>
              </w:rPr>
            </w:pPr>
            <w:r>
              <w:rPr>
                <w:color w:val="000000"/>
                <w:sz w:val="20"/>
                <w:szCs w:val="20"/>
              </w:rPr>
              <w:t>0.003</w:t>
            </w:r>
          </w:p>
        </w:tc>
      </w:tr>
      <w:tr w:rsidR="00565393" w14:paraId="6C8BC20F" w14:textId="77777777" w:rsidTr="00B5084D">
        <w:trPr>
          <w:trHeight w:val="320"/>
        </w:trPr>
        <w:tc>
          <w:tcPr>
            <w:tcW w:w="1152" w:type="dxa"/>
            <w:tcBorders>
              <w:top w:val="nil"/>
              <w:left w:val="nil"/>
              <w:bottom w:val="nil"/>
              <w:right w:val="nil"/>
            </w:tcBorders>
            <w:shd w:val="clear" w:color="auto" w:fill="auto"/>
            <w:noWrap/>
            <w:vAlign w:val="bottom"/>
            <w:hideMark/>
          </w:tcPr>
          <w:p w14:paraId="103D4F8E"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B21A96B" w14:textId="77777777" w:rsidR="00565393" w:rsidRDefault="0056539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756D3580" w14:textId="77777777" w:rsidR="00565393" w:rsidRDefault="00565393">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79AA6236" w14:textId="77777777" w:rsidR="00565393" w:rsidRDefault="00565393">
            <w:pPr>
              <w:jc w:val="right"/>
              <w:rPr>
                <w:color w:val="000000"/>
                <w:sz w:val="20"/>
                <w:szCs w:val="20"/>
              </w:rPr>
            </w:pPr>
            <w:r>
              <w:rPr>
                <w:color w:val="000000"/>
                <w:sz w:val="20"/>
                <w:szCs w:val="20"/>
              </w:rPr>
              <w:t>0.935</w:t>
            </w:r>
          </w:p>
        </w:tc>
        <w:tc>
          <w:tcPr>
            <w:tcW w:w="864" w:type="dxa"/>
            <w:tcBorders>
              <w:top w:val="nil"/>
              <w:left w:val="nil"/>
              <w:bottom w:val="nil"/>
              <w:right w:val="nil"/>
            </w:tcBorders>
            <w:shd w:val="clear" w:color="auto" w:fill="auto"/>
            <w:noWrap/>
            <w:vAlign w:val="bottom"/>
            <w:hideMark/>
          </w:tcPr>
          <w:p w14:paraId="1886B56B" w14:textId="77777777" w:rsidR="00565393" w:rsidRDefault="0056539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2EA90D5" w14:textId="77777777" w:rsidR="00565393" w:rsidRDefault="00565393">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7BC2EF60" w14:textId="77777777" w:rsidR="00565393" w:rsidRDefault="00565393">
            <w:pPr>
              <w:jc w:val="right"/>
              <w:rPr>
                <w:color w:val="000000"/>
                <w:sz w:val="20"/>
                <w:szCs w:val="20"/>
              </w:rPr>
            </w:pPr>
            <w:r>
              <w:rPr>
                <w:color w:val="000000"/>
                <w:sz w:val="20"/>
                <w:szCs w:val="20"/>
              </w:rPr>
              <w:t>0.428</w:t>
            </w:r>
          </w:p>
        </w:tc>
        <w:tc>
          <w:tcPr>
            <w:tcW w:w="864" w:type="dxa"/>
            <w:tcBorders>
              <w:top w:val="nil"/>
              <w:left w:val="nil"/>
              <w:bottom w:val="nil"/>
              <w:right w:val="nil"/>
            </w:tcBorders>
            <w:shd w:val="clear" w:color="auto" w:fill="auto"/>
            <w:noWrap/>
            <w:vAlign w:val="bottom"/>
            <w:hideMark/>
          </w:tcPr>
          <w:p w14:paraId="00663855" w14:textId="77777777" w:rsidR="00565393" w:rsidRDefault="00565393">
            <w:pPr>
              <w:jc w:val="right"/>
              <w:rPr>
                <w:color w:val="000000"/>
                <w:sz w:val="20"/>
                <w:szCs w:val="20"/>
              </w:rPr>
            </w:pPr>
            <w:r>
              <w:rPr>
                <w:color w:val="000000"/>
                <w:sz w:val="20"/>
                <w:szCs w:val="20"/>
              </w:rPr>
              <w:t>0.001</w:t>
            </w:r>
          </w:p>
        </w:tc>
      </w:tr>
      <w:tr w:rsidR="00565393" w14:paraId="6233BE10" w14:textId="77777777" w:rsidTr="00B5084D">
        <w:trPr>
          <w:trHeight w:val="320"/>
        </w:trPr>
        <w:tc>
          <w:tcPr>
            <w:tcW w:w="1152" w:type="dxa"/>
            <w:tcBorders>
              <w:top w:val="nil"/>
              <w:left w:val="nil"/>
              <w:bottom w:val="nil"/>
              <w:right w:val="nil"/>
            </w:tcBorders>
            <w:shd w:val="clear" w:color="auto" w:fill="auto"/>
            <w:noWrap/>
            <w:vAlign w:val="bottom"/>
            <w:hideMark/>
          </w:tcPr>
          <w:p w14:paraId="48A0A798"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64A5AE4" w14:textId="77777777" w:rsidR="00565393" w:rsidRDefault="0056539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D8DD383" w14:textId="77777777" w:rsidR="00565393" w:rsidRDefault="00565393">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44F83E01" w14:textId="77777777" w:rsidR="00565393" w:rsidRDefault="00565393">
            <w:pPr>
              <w:jc w:val="right"/>
              <w:rPr>
                <w:color w:val="000000"/>
                <w:sz w:val="20"/>
                <w:szCs w:val="20"/>
              </w:rPr>
            </w:pPr>
            <w:r>
              <w:rPr>
                <w:color w:val="000000"/>
                <w:sz w:val="20"/>
                <w:szCs w:val="20"/>
              </w:rPr>
              <w:t>0.960</w:t>
            </w:r>
          </w:p>
        </w:tc>
        <w:tc>
          <w:tcPr>
            <w:tcW w:w="864" w:type="dxa"/>
            <w:tcBorders>
              <w:top w:val="nil"/>
              <w:left w:val="nil"/>
              <w:bottom w:val="nil"/>
              <w:right w:val="nil"/>
            </w:tcBorders>
            <w:shd w:val="clear" w:color="auto" w:fill="auto"/>
            <w:noWrap/>
            <w:vAlign w:val="bottom"/>
            <w:hideMark/>
          </w:tcPr>
          <w:p w14:paraId="026F781F"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95FE2E1" w14:textId="77777777" w:rsidR="00565393" w:rsidRDefault="00565393">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3E8F8C43" w14:textId="77777777" w:rsidR="00565393" w:rsidRDefault="00565393">
            <w:pPr>
              <w:jc w:val="right"/>
              <w:rPr>
                <w:color w:val="000000"/>
                <w:sz w:val="20"/>
                <w:szCs w:val="20"/>
              </w:rPr>
            </w:pPr>
            <w:r>
              <w:rPr>
                <w:color w:val="000000"/>
                <w:sz w:val="20"/>
                <w:szCs w:val="20"/>
              </w:rPr>
              <w:t>0.428</w:t>
            </w:r>
          </w:p>
        </w:tc>
        <w:tc>
          <w:tcPr>
            <w:tcW w:w="864" w:type="dxa"/>
            <w:tcBorders>
              <w:top w:val="nil"/>
              <w:left w:val="nil"/>
              <w:bottom w:val="nil"/>
              <w:right w:val="nil"/>
            </w:tcBorders>
            <w:shd w:val="clear" w:color="auto" w:fill="auto"/>
            <w:noWrap/>
            <w:vAlign w:val="bottom"/>
            <w:hideMark/>
          </w:tcPr>
          <w:p w14:paraId="2404AB7E" w14:textId="77777777" w:rsidR="00565393" w:rsidRDefault="00565393">
            <w:pPr>
              <w:jc w:val="right"/>
              <w:rPr>
                <w:color w:val="000000"/>
                <w:sz w:val="20"/>
                <w:szCs w:val="20"/>
              </w:rPr>
            </w:pPr>
            <w:r>
              <w:rPr>
                <w:color w:val="000000"/>
                <w:sz w:val="20"/>
                <w:szCs w:val="20"/>
              </w:rPr>
              <w:t>0.002</w:t>
            </w:r>
          </w:p>
        </w:tc>
      </w:tr>
      <w:tr w:rsidR="00565393" w14:paraId="5C9CFA34" w14:textId="77777777" w:rsidTr="00B5084D">
        <w:trPr>
          <w:trHeight w:val="320"/>
        </w:trPr>
        <w:tc>
          <w:tcPr>
            <w:tcW w:w="1152" w:type="dxa"/>
            <w:tcBorders>
              <w:top w:val="nil"/>
              <w:left w:val="nil"/>
              <w:bottom w:val="nil"/>
              <w:right w:val="nil"/>
            </w:tcBorders>
            <w:shd w:val="clear" w:color="auto" w:fill="auto"/>
            <w:noWrap/>
            <w:vAlign w:val="bottom"/>
            <w:hideMark/>
          </w:tcPr>
          <w:p w14:paraId="760F5BFA"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64882CD" w14:textId="77777777" w:rsidR="00565393" w:rsidRDefault="0056539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6CECB69" w14:textId="77777777" w:rsidR="00565393" w:rsidRDefault="00565393">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265E6C4A" w14:textId="77777777" w:rsidR="00565393" w:rsidRDefault="00565393">
            <w:pPr>
              <w:jc w:val="right"/>
              <w:rPr>
                <w:color w:val="000000"/>
                <w:sz w:val="20"/>
                <w:szCs w:val="20"/>
              </w:rPr>
            </w:pPr>
            <w:r>
              <w:rPr>
                <w:color w:val="000000"/>
                <w:sz w:val="20"/>
                <w:szCs w:val="20"/>
              </w:rPr>
              <w:t>0.935</w:t>
            </w:r>
          </w:p>
        </w:tc>
        <w:tc>
          <w:tcPr>
            <w:tcW w:w="864" w:type="dxa"/>
            <w:tcBorders>
              <w:top w:val="nil"/>
              <w:left w:val="nil"/>
              <w:bottom w:val="nil"/>
              <w:right w:val="nil"/>
            </w:tcBorders>
            <w:shd w:val="clear" w:color="auto" w:fill="auto"/>
            <w:noWrap/>
            <w:vAlign w:val="bottom"/>
            <w:hideMark/>
          </w:tcPr>
          <w:p w14:paraId="0F6D1100"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631F6BA" w14:textId="77777777" w:rsidR="00565393" w:rsidRDefault="00565393">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25D33396" w14:textId="77777777" w:rsidR="00565393" w:rsidRDefault="00565393">
            <w:pPr>
              <w:jc w:val="right"/>
              <w:rPr>
                <w:color w:val="000000"/>
                <w:sz w:val="20"/>
                <w:szCs w:val="20"/>
              </w:rPr>
            </w:pPr>
            <w:r>
              <w:rPr>
                <w:color w:val="000000"/>
                <w:sz w:val="20"/>
                <w:szCs w:val="20"/>
              </w:rPr>
              <w:t>0.428</w:t>
            </w:r>
          </w:p>
        </w:tc>
        <w:tc>
          <w:tcPr>
            <w:tcW w:w="864" w:type="dxa"/>
            <w:tcBorders>
              <w:top w:val="nil"/>
              <w:left w:val="nil"/>
              <w:bottom w:val="nil"/>
              <w:right w:val="nil"/>
            </w:tcBorders>
            <w:shd w:val="clear" w:color="auto" w:fill="auto"/>
            <w:noWrap/>
            <w:vAlign w:val="bottom"/>
            <w:hideMark/>
          </w:tcPr>
          <w:p w14:paraId="326EB831" w14:textId="77777777" w:rsidR="00565393" w:rsidRDefault="00565393">
            <w:pPr>
              <w:jc w:val="right"/>
              <w:rPr>
                <w:color w:val="000000"/>
                <w:sz w:val="20"/>
                <w:szCs w:val="20"/>
              </w:rPr>
            </w:pPr>
            <w:r>
              <w:rPr>
                <w:color w:val="000000"/>
                <w:sz w:val="20"/>
                <w:szCs w:val="20"/>
              </w:rPr>
              <w:t>0.001</w:t>
            </w:r>
          </w:p>
        </w:tc>
      </w:tr>
      <w:tr w:rsidR="00565393" w14:paraId="72B89F8F" w14:textId="77777777" w:rsidTr="00B5084D">
        <w:trPr>
          <w:trHeight w:val="320"/>
        </w:trPr>
        <w:tc>
          <w:tcPr>
            <w:tcW w:w="1152" w:type="dxa"/>
            <w:tcBorders>
              <w:top w:val="nil"/>
              <w:left w:val="nil"/>
              <w:bottom w:val="nil"/>
              <w:right w:val="nil"/>
            </w:tcBorders>
            <w:shd w:val="clear" w:color="auto" w:fill="auto"/>
            <w:noWrap/>
            <w:vAlign w:val="bottom"/>
            <w:hideMark/>
          </w:tcPr>
          <w:p w14:paraId="0D3784E5"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5F1FD2A" w14:textId="77777777" w:rsidR="00565393" w:rsidRDefault="0056539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F8A0208" w14:textId="77777777" w:rsidR="00565393" w:rsidRDefault="0056539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C7CDB92" w14:textId="77777777" w:rsidR="00565393" w:rsidRDefault="00565393">
            <w:pPr>
              <w:jc w:val="right"/>
              <w:rPr>
                <w:color w:val="000000"/>
                <w:sz w:val="20"/>
                <w:szCs w:val="20"/>
              </w:rPr>
            </w:pPr>
            <w:r>
              <w:rPr>
                <w:color w:val="000000"/>
                <w:sz w:val="20"/>
                <w:szCs w:val="20"/>
              </w:rPr>
              <w:t>0.960</w:t>
            </w:r>
          </w:p>
        </w:tc>
        <w:tc>
          <w:tcPr>
            <w:tcW w:w="864" w:type="dxa"/>
            <w:tcBorders>
              <w:top w:val="nil"/>
              <w:left w:val="nil"/>
              <w:bottom w:val="nil"/>
              <w:right w:val="nil"/>
            </w:tcBorders>
            <w:shd w:val="clear" w:color="auto" w:fill="auto"/>
            <w:noWrap/>
            <w:vAlign w:val="bottom"/>
            <w:hideMark/>
          </w:tcPr>
          <w:p w14:paraId="5D007B1B"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67F9971" w14:textId="77777777" w:rsidR="00565393" w:rsidRDefault="00565393">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182E6DB4" w14:textId="77777777" w:rsidR="00565393" w:rsidRDefault="00565393">
            <w:pPr>
              <w:jc w:val="right"/>
              <w:rPr>
                <w:color w:val="000000"/>
                <w:sz w:val="20"/>
                <w:szCs w:val="20"/>
              </w:rPr>
            </w:pPr>
            <w:r>
              <w:rPr>
                <w:color w:val="000000"/>
                <w:sz w:val="20"/>
                <w:szCs w:val="20"/>
              </w:rPr>
              <w:t>0.428</w:t>
            </w:r>
          </w:p>
        </w:tc>
        <w:tc>
          <w:tcPr>
            <w:tcW w:w="864" w:type="dxa"/>
            <w:tcBorders>
              <w:top w:val="nil"/>
              <w:left w:val="nil"/>
              <w:bottom w:val="nil"/>
              <w:right w:val="nil"/>
            </w:tcBorders>
            <w:shd w:val="clear" w:color="auto" w:fill="auto"/>
            <w:noWrap/>
            <w:vAlign w:val="bottom"/>
            <w:hideMark/>
          </w:tcPr>
          <w:p w14:paraId="48334A5D" w14:textId="77777777" w:rsidR="00565393" w:rsidRDefault="00565393">
            <w:pPr>
              <w:jc w:val="right"/>
              <w:rPr>
                <w:color w:val="000000"/>
                <w:sz w:val="20"/>
                <w:szCs w:val="20"/>
              </w:rPr>
            </w:pPr>
            <w:r>
              <w:rPr>
                <w:color w:val="000000"/>
                <w:sz w:val="20"/>
                <w:szCs w:val="20"/>
              </w:rPr>
              <w:t>0.001</w:t>
            </w:r>
          </w:p>
        </w:tc>
      </w:tr>
      <w:tr w:rsidR="00565393" w14:paraId="3C2BA013" w14:textId="77777777" w:rsidTr="00B5084D">
        <w:trPr>
          <w:trHeight w:val="320"/>
        </w:trPr>
        <w:tc>
          <w:tcPr>
            <w:tcW w:w="1152" w:type="dxa"/>
            <w:tcBorders>
              <w:top w:val="nil"/>
              <w:left w:val="nil"/>
              <w:bottom w:val="single" w:sz="4" w:space="0" w:color="auto"/>
              <w:right w:val="nil"/>
            </w:tcBorders>
            <w:shd w:val="clear" w:color="auto" w:fill="auto"/>
            <w:noWrap/>
            <w:vAlign w:val="bottom"/>
            <w:hideMark/>
          </w:tcPr>
          <w:p w14:paraId="2FCE1F9F" w14:textId="77777777" w:rsidR="00565393" w:rsidRDefault="00565393">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119FD52E" w14:textId="77777777" w:rsidR="00565393" w:rsidRDefault="00565393">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BC204F3" w14:textId="77777777" w:rsidR="00565393" w:rsidRDefault="00565393">
            <w:pPr>
              <w:jc w:val="right"/>
              <w:rPr>
                <w:color w:val="000000"/>
                <w:sz w:val="20"/>
                <w:szCs w:val="20"/>
              </w:rPr>
            </w:pPr>
            <w:r>
              <w:rPr>
                <w:color w:val="000000"/>
                <w:sz w:val="20"/>
                <w:szCs w:val="20"/>
              </w:rPr>
              <w:t>-0.028</w:t>
            </w:r>
          </w:p>
        </w:tc>
        <w:tc>
          <w:tcPr>
            <w:tcW w:w="864" w:type="dxa"/>
            <w:tcBorders>
              <w:top w:val="nil"/>
              <w:left w:val="nil"/>
              <w:bottom w:val="single" w:sz="4" w:space="0" w:color="auto"/>
              <w:right w:val="nil"/>
            </w:tcBorders>
            <w:shd w:val="clear" w:color="auto" w:fill="auto"/>
            <w:noWrap/>
            <w:vAlign w:val="bottom"/>
            <w:hideMark/>
          </w:tcPr>
          <w:p w14:paraId="1D44C3CF" w14:textId="77777777" w:rsidR="00565393" w:rsidRDefault="00565393">
            <w:pPr>
              <w:jc w:val="right"/>
              <w:rPr>
                <w:color w:val="000000"/>
                <w:sz w:val="20"/>
                <w:szCs w:val="20"/>
              </w:rPr>
            </w:pPr>
            <w:r>
              <w:rPr>
                <w:color w:val="000000"/>
                <w:sz w:val="20"/>
                <w:szCs w:val="20"/>
              </w:rPr>
              <w:t>0.935</w:t>
            </w:r>
          </w:p>
        </w:tc>
        <w:tc>
          <w:tcPr>
            <w:tcW w:w="864" w:type="dxa"/>
            <w:tcBorders>
              <w:top w:val="nil"/>
              <w:left w:val="nil"/>
              <w:bottom w:val="single" w:sz="4" w:space="0" w:color="auto"/>
              <w:right w:val="nil"/>
            </w:tcBorders>
            <w:shd w:val="clear" w:color="auto" w:fill="auto"/>
            <w:noWrap/>
            <w:vAlign w:val="bottom"/>
            <w:hideMark/>
          </w:tcPr>
          <w:p w14:paraId="72189465" w14:textId="77777777" w:rsidR="00565393" w:rsidRDefault="00565393">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3401C95F" w14:textId="77777777" w:rsidR="00565393" w:rsidRDefault="00565393">
            <w:pPr>
              <w:jc w:val="right"/>
              <w:rPr>
                <w:color w:val="000000"/>
                <w:sz w:val="20"/>
                <w:szCs w:val="20"/>
              </w:rPr>
            </w:pPr>
            <w:r>
              <w:rPr>
                <w:color w:val="000000"/>
                <w:sz w:val="20"/>
                <w:szCs w:val="20"/>
              </w:rPr>
              <w:t>0.063</w:t>
            </w:r>
          </w:p>
        </w:tc>
        <w:tc>
          <w:tcPr>
            <w:tcW w:w="864" w:type="dxa"/>
            <w:tcBorders>
              <w:top w:val="nil"/>
              <w:left w:val="nil"/>
              <w:bottom w:val="single" w:sz="4" w:space="0" w:color="auto"/>
              <w:right w:val="nil"/>
            </w:tcBorders>
            <w:shd w:val="clear" w:color="auto" w:fill="auto"/>
            <w:noWrap/>
            <w:vAlign w:val="bottom"/>
            <w:hideMark/>
          </w:tcPr>
          <w:p w14:paraId="439723E5" w14:textId="77777777" w:rsidR="00565393" w:rsidRDefault="00565393">
            <w:pPr>
              <w:jc w:val="right"/>
              <w:rPr>
                <w:color w:val="000000"/>
                <w:sz w:val="20"/>
                <w:szCs w:val="20"/>
              </w:rPr>
            </w:pPr>
            <w:r>
              <w:rPr>
                <w:color w:val="000000"/>
                <w:sz w:val="20"/>
                <w:szCs w:val="20"/>
              </w:rPr>
              <w:t>0.428</w:t>
            </w:r>
          </w:p>
        </w:tc>
        <w:tc>
          <w:tcPr>
            <w:tcW w:w="864" w:type="dxa"/>
            <w:tcBorders>
              <w:top w:val="nil"/>
              <w:left w:val="nil"/>
              <w:bottom w:val="single" w:sz="4" w:space="0" w:color="auto"/>
              <w:right w:val="nil"/>
            </w:tcBorders>
            <w:shd w:val="clear" w:color="auto" w:fill="auto"/>
            <w:noWrap/>
            <w:vAlign w:val="bottom"/>
            <w:hideMark/>
          </w:tcPr>
          <w:p w14:paraId="1848CEA0" w14:textId="77777777" w:rsidR="00565393" w:rsidRDefault="00565393">
            <w:pPr>
              <w:jc w:val="right"/>
              <w:rPr>
                <w:color w:val="000000"/>
                <w:sz w:val="20"/>
                <w:szCs w:val="20"/>
              </w:rPr>
            </w:pPr>
            <w:r>
              <w:rPr>
                <w:color w:val="000000"/>
                <w:sz w:val="20"/>
                <w:szCs w:val="20"/>
              </w:rPr>
              <w:t>0.004</w:t>
            </w:r>
          </w:p>
        </w:tc>
      </w:tr>
      <w:tr w:rsidR="00565393" w14:paraId="1C841F77" w14:textId="77777777" w:rsidTr="00B5084D">
        <w:trPr>
          <w:trHeight w:val="320"/>
        </w:trPr>
        <w:tc>
          <w:tcPr>
            <w:tcW w:w="1152" w:type="dxa"/>
            <w:tcBorders>
              <w:top w:val="nil"/>
              <w:left w:val="nil"/>
              <w:bottom w:val="nil"/>
              <w:right w:val="nil"/>
            </w:tcBorders>
            <w:shd w:val="clear" w:color="auto" w:fill="auto"/>
            <w:noWrap/>
            <w:vAlign w:val="bottom"/>
            <w:hideMark/>
          </w:tcPr>
          <w:p w14:paraId="70A8CB78" w14:textId="77777777" w:rsidR="00565393" w:rsidRDefault="00565393">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1692C13E" w14:textId="77777777" w:rsidR="00565393" w:rsidRDefault="00565393">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70C2ABD" w14:textId="77777777" w:rsidR="00565393" w:rsidRDefault="00565393">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48D04583" w14:textId="77777777" w:rsidR="00565393" w:rsidRDefault="00565393">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79079CE9" w14:textId="77777777" w:rsidR="00565393" w:rsidRDefault="0056539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41B8D2F" w14:textId="77777777" w:rsidR="00565393" w:rsidRDefault="00565393">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20040557" w14:textId="77777777" w:rsidR="00565393" w:rsidRDefault="00565393">
            <w:pPr>
              <w:jc w:val="right"/>
              <w:rPr>
                <w:color w:val="000000"/>
                <w:sz w:val="20"/>
                <w:szCs w:val="20"/>
              </w:rPr>
            </w:pPr>
            <w:r>
              <w:rPr>
                <w:color w:val="000000"/>
                <w:sz w:val="20"/>
                <w:szCs w:val="20"/>
              </w:rPr>
              <w:t>0.787</w:t>
            </w:r>
          </w:p>
        </w:tc>
        <w:tc>
          <w:tcPr>
            <w:tcW w:w="864" w:type="dxa"/>
            <w:tcBorders>
              <w:top w:val="nil"/>
              <w:left w:val="nil"/>
              <w:bottom w:val="nil"/>
              <w:right w:val="nil"/>
            </w:tcBorders>
            <w:shd w:val="clear" w:color="auto" w:fill="auto"/>
            <w:noWrap/>
            <w:vAlign w:val="bottom"/>
            <w:hideMark/>
          </w:tcPr>
          <w:p w14:paraId="554D9619" w14:textId="77777777" w:rsidR="00565393" w:rsidRDefault="00565393">
            <w:pPr>
              <w:jc w:val="right"/>
              <w:rPr>
                <w:color w:val="000000"/>
                <w:sz w:val="20"/>
                <w:szCs w:val="20"/>
              </w:rPr>
            </w:pPr>
            <w:r>
              <w:rPr>
                <w:color w:val="000000"/>
                <w:sz w:val="20"/>
                <w:szCs w:val="20"/>
              </w:rPr>
              <w:t>0.000</w:t>
            </w:r>
          </w:p>
        </w:tc>
      </w:tr>
      <w:tr w:rsidR="00565393" w14:paraId="3481AADB" w14:textId="77777777" w:rsidTr="00B5084D">
        <w:trPr>
          <w:trHeight w:val="320"/>
        </w:trPr>
        <w:tc>
          <w:tcPr>
            <w:tcW w:w="1152" w:type="dxa"/>
            <w:tcBorders>
              <w:top w:val="nil"/>
              <w:left w:val="nil"/>
              <w:bottom w:val="nil"/>
              <w:right w:val="nil"/>
            </w:tcBorders>
            <w:shd w:val="clear" w:color="auto" w:fill="auto"/>
            <w:noWrap/>
            <w:vAlign w:val="bottom"/>
            <w:hideMark/>
          </w:tcPr>
          <w:p w14:paraId="13B7DEAB"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FE5EFB6" w14:textId="77777777" w:rsidR="00565393" w:rsidRDefault="0056539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329C554" w14:textId="77777777" w:rsidR="00565393" w:rsidRDefault="00565393">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7483E16F" w14:textId="77777777" w:rsidR="00565393" w:rsidRDefault="00565393">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026C48D4"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F32ADFB" w14:textId="77777777" w:rsidR="00565393" w:rsidRDefault="00565393">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26493C2C" w14:textId="77777777" w:rsidR="00565393" w:rsidRDefault="00565393">
            <w:pPr>
              <w:jc w:val="right"/>
              <w:rPr>
                <w:color w:val="000000"/>
                <w:sz w:val="20"/>
                <w:szCs w:val="20"/>
              </w:rPr>
            </w:pPr>
            <w:r>
              <w:rPr>
                <w:color w:val="000000"/>
                <w:sz w:val="20"/>
                <w:szCs w:val="20"/>
              </w:rPr>
              <w:t>0.787</w:t>
            </w:r>
          </w:p>
        </w:tc>
        <w:tc>
          <w:tcPr>
            <w:tcW w:w="864" w:type="dxa"/>
            <w:tcBorders>
              <w:top w:val="nil"/>
              <w:left w:val="nil"/>
              <w:bottom w:val="nil"/>
              <w:right w:val="nil"/>
            </w:tcBorders>
            <w:shd w:val="clear" w:color="auto" w:fill="auto"/>
            <w:noWrap/>
            <w:vAlign w:val="bottom"/>
            <w:hideMark/>
          </w:tcPr>
          <w:p w14:paraId="62962120" w14:textId="77777777" w:rsidR="00565393" w:rsidRDefault="00565393">
            <w:pPr>
              <w:jc w:val="right"/>
              <w:rPr>
                <w:color w:val="000000"/>
                <w:sz w:val="20"/>
                <w:szCs w:val="20"/>
              </w:rPr>
            </w:pPr>
            <w:r>
              <w:rPr>
                <w:color w:val="000000"/>
                <w:sz w:val="20"/>
                <w:szCs w:val="20"/>
              </w:rPr>
              <w:t>0.000</w:t>
            </w:r>
          </w:p>
        </w:tc>
      </w:tr>
      <w:tr w:rsidR="00565393" w14:paraId="250959F7" w14:textId="77777777" w:rsidTr="00B5084D">
        <w:trPr>
          <w:trHeight w:val="320"/>
        </w:trPr>
        <w:tc>
          <w:tcPr>
            <w:tcW w:w="1152" w:type="dxa"/>
            <w:tcBorders>
              <w:top w:val="nil"/>
              <w:left w:val="nil"/>
              <w:bottom w:val="nil"/>
              <w:right w:val="nil"/>
            </w:tcBorders>
            <w:shd w:val="clear" w:color="auto" w:fill="auto"/>
            <w:noWrap/>
            <w:vAlign w:val="bottom"/>
            <w:hideMark/>
          </w:tcPr>
          <w:p w14:paraId="6D84726A"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D264B11" w14:textId="77777777" w:rsidR="00565393" w:rsidRDefault="0056539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11A76B6" w14:textId="77777777" w:rsidR="00565393" w:rsidRDefault="00565393">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3F48EC0C" w14:textId="77777777" w:rsidR="00565393" w:rsidRDefault="00565393">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6B947095"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8AFF75F" w14:textId="77777777" w:rsidR="00565393" w:rsidRDefault="00565393">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51B1B913" w14:textId="77777777" w:rsidR="00565393" w:rsidRDefault="00565393">
            <w:pPr>
              <w:jc w:val="right"/>
              <w:rPr>
                <w:color w:val="000000"/>
                <w:sz w:val="20"/>
                <w:szCs w:val="20"/>
              </w:rPr>
            </w:pPr>
            <w:r>
              <w:rPr>
                <w:color w:val="000000"/>
                <w:sz w:val="20"/>
                <w:szCs w:val="20"/>
              </w:rPr>
              <w:t>0.347</w:t>
            </w:r>
          </w:p>
        </w:tc>
        <w:tc>
          <w:tcPr>
            <w:tcW w:w="864" w:type="dxa"/>
            <w:tcBorders>
              <w:top w:val="nil"/>
              <w:left w:val="nil"/>
              <w:bottom w:val="nil"/>
              <w:right w:val="nil"/>
            </w:tcBorders>
            <w:shd w:val="clear" w:color="auto" w:fill="auto"/>
            <w:noWrap/>
            <w:vAlign w:val="bottom"/>
            <w:hideMark/>
          </w:tcPr>
          <w:p w14:paraId="2A15E545" w14:textId="77777777" w:rsidR="00565393" w:rsidRDefault="00565393">
            <w:pPr>
              <w:jc w:val="right"/>
              <w:rPr>
                <w:color w:val="000000"/>
                <w:sz w:val="20"/>
                <w:szCs w:val="20"/>
              </w:rPr>
            </w:pPr>
            <w:r>
              <w:rPr>
                <w:color w:val="000000"/>
                <w:sz w:val="20"/>
                <w:szCs w:val="20"/>
              </w:rPr>
              <w:t>0.002</w:t>
            </w:r>
          </w:p>
        </w:tc>
      </w:tr>
      <w:tr w:rsidR="00565393" w14:paraId="42DEF8B8" w14:textId="77777777" w:rsidTr="00B5084D">
        <w:trPr>
          <w:trHeight w:val="320"/>
        </w:trPr>
        <w:tc>
          <w:tcPr>
            <w:tcW w:w="1152" w:type="dxa"/>
            <w:tcBorders>
              <w:top w:val="nil"/>
              <w:left w:val="nil"/>
              <w:bottom w:val="nil"/>
              <w:right w:val="nil"/>
            </w:tcBorders>
            <w:shd w:val="clear" w:color="auto" w:fill="auto"/>
            <w:noWrap/>
            <w:vAlign w:val="bottom"/>
            <w:hideMark/>
          </w:tcPr>
          <w:p w14:paraId="72CD20A9"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26ADB9F" w14:textId="77777777" w:rsidR="00565393" w:rsidRDefault="0056539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8782FB7" w14:textId="77777777" w:rsidR="00565393" w:rsidRDefault="00565393">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55CB47DC" w14:textId="77777777" w:rsidR="00565393" w:rsidRDefault="00565393">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7290AE97"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386D7BC" w14:textId="77777777" w:rsidR="00565393" w:rsidRDefault="00565393">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570F0AF5" w14:textId="77777777" w:rsidR="00565393" w:rsidRDefault="00565393">
            <w:pPr>
              <w:jc w:val="right"/>
              <w:rPr>
                <w:color w:val="000000"/>
                <w:sz w:val="20"/>
                <w:szCs w:val="20"/>
              </w:rPr>
            </w:pPr>
            <w:r>
              <w:rPr>
                <w:color w:val="000000"/>
                <w:sz w:val="20"/>
                <w:szCs w:val="20"/>
              </w:rPr>
              <w:t>0.347</w:t>
            </w:r>
          </w:p>
        </w:tc>
        <w:tc>
          <w:tcPr>
            <w:tcW w:w="864" w:type="dxa"/>
            <w:tcBorders>
              <w:top w:val="nil"/>
              <w:left w:val="nil"/>
              <w:bottom w:val="nil"/>
              <w:right w:val="nil"/>
            </w:tcBorders>
            <w:shd w:val="clear" w:color="auto" w:fill="auto"/>
            <w:noWrap/>
            <w:vAlign w:val="bottom"/>
            <w:hideMark/>
          </w:tcPr>
          <w:p w14:paraId="772433AA" w14:textId="77777777" w:rsidR="00565393" w:rsidRDefault="00565393">
            <w:pPr>
              <w:jc w:val="right"/>
              <w:rPr>
                <w:color w:val="000000"/>
                <w:sz w:val="20"/>
                <w:szCs w:val="20"/>
              </w:rPr>
            </w:pPr>
            <w:r>
              <w:rPr>
                <w:color w:val="000000"/>
                <w:sz w:val="20"/>
                <w:szCs w:val="20"/>
              </w:rPr>
              <w:t>0.003</w:t>
            </w:r>
          </w:p>
        </w:tc>
      </w:tr>
      <w:tr w:rsidR="00565393" w14:paraId="7690E64B" w14:textId="77777777" w:rsidTr="00B5084D">
        <w:trPr>
          <w:trHeight w:val="320"/>
        </w:trPr>
        <w:tc>
          <w:tcPr>
            <w:tcW w:w="1152" w:type="dxa"/>
            <w:tcBorders>
              <w:top w:val="nil"/>
              <w:left w:val="nil"/>
              <w:bottom w:val="nil"/>
              <w:right w:val="nil"/>
            </w:tcBorders>
            <w:shd w:val="clear" w:color="auto" w:fill="auto"/>
            <w:noWrap/>
            <w:vAlign w:val="bottom"/>
            <w:hideMark/>
          </w:tcPr>
          <w:p w14:paraId="7EF87D56"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DED4BEC" w14:textId="77777777" w:rsidR="00565393" w:rsidRDefault="0056539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38663FE" w14:textId="77777777" w:rsidR="00565393" w:rsidRDefault="00565393">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45B6D726" w14:textId="77777777" w:rsidR="00565393" w:rsidRDefault="00565393">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12689869"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1ABB22F" w14:textId="77777777" w:rsidR="00565393" w:rsidRDefault="00565393">
            <w:pPr>
              <w:jc w:val="right"/>
              <w:rPr>
                <w:color w:val="000000"/>
                <w:sz w:val="20"/>
                <w:szCs w:val="20"/>
              </w:rPr>
            </w:pPr>
            <w:r>
              <w:rPr>
                <w:color w:val="000000"/>
                <w:sz w:val="20"/>
                <w:szCs w:val="20"/>
              </w:rPr>
              <w:t>-0.074</w:t>
            </w:r>
          </w:p>
        </w:tc>
        <w:tc>
          <w:tcPr>
            <w:tcW w:w="864" w:type="dxa"/>
            <w:tcBorders>
              <w:top w:val="nil"/>
              <w:left w:val="nil"/>
              <w:bottom w:val="nil"/>
              <w:right w:val="nil"/>
            </w:tcBorders>
            <w:shd w:val="clear" w:color="auto" w:fill="auto"/>
            <w:noWrap/>
            <w:vAlign w:val="bottom"/>
            <w:hideMark/>
          </w:tcPr>
          <w:p w14:paraId="42DF9E33" w14:textId="77777777" w:rsidR="00565393" w:rsidRDefault="00565393">
            <w:pPr>
              <w:jc w:val="right"/>
              <w:rPr>
                <w:color w:val="000000"/>
                <w:sz w:val="20"/>
                <w:szCs w:val="20"/>
              </w:rPr>
            </w:pPr>
            <w:r>
              <w:rPr>
                <w:color w:val="000000"/>
                <w:sz w:val="20"/>
                <w:szCs w:val="20"/>
              </w:rPr>
              <w:t>0.136</w:t>
            </w:r>
          </w:p>
        </w:tc>
        <w:tc>
          <w:tcPr>
            <w:tcW w:w="864" w:type="dxa"/>
            <w:tcBorders>
              <w:top w:val="nil"/>
              <w:left w:val="nil"/>
              <w:bottom w:val="nil"/>
              <w:right w:val="nil"/>
            </w:tcBorders>
            <w:shd w:val="clear" w:color="auto" w:fill="auto"/>
            <w:noWrap/>
            <w:vAlign w:val="bottom"/>
            <w:hideMark/>
          </w:tcPr>
          <w:p w14:paraId="17C4DE4D" w14:textId="77777777" w:rsidR="00565393" w:rsidRDefault="00565393">
            <w:pPr>
              <w:jc w:val="right"/>
              <w:rPr>
                <w:color w:val="000000"/>
                <w:sz w:val="20"/>
                <w:szCs w:val="20"/>
              </w:rPr>
            </w:pPr>
            <w:r>
              <w:rPr>
                <w:color w:val="000000"/>
                <w:sz w:val="20"/>
                <w:szCs w:val="20"/>
              </w:rPr>
              <w:t>0.005</w:t>
            </w:r>
          </w:p>
        </w:tc>
      </w:tr>
      <w:tr w:rsidR="00565393" w14:paraId="63BB05E4" w14:textId="77777777" w:rsidTr="00B5084D">
        <w:trPr>
          <w:trHeight w:val="320"/>
        </w:trPr>
        <w:tc>
          <w:tcPr>
            <w:tcW w:w="1152" w:type="dxa"/>
            <w:tcBorders>
              <w:top w:val="nil"/>
              <w:left w:val="nil"/>
              <w:bottom w:val="nil"/>
              <w:right w:val="nil"/>
            </w:tcBorders>
            <w:shd w:val="clear" w:color="auto" w:fill="auto"/>
            <w:noWrap/>
            <w:vAlign w:val="bottom"/>
            <w:hideMark/>
          </w:tcPr>
          <w:p w14:paraId="2FDFBF89"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5C3C103" w14:textId="77777777" w:rsidR="00565393" w:rsidRDefault="0056539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1D06C8D" w14:textId="77777777" w:rsidR="00565393" w:rsidRDefault="00565393">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23E13C9C" w14:textId="77777777" w:rsidR="00565393" w:rsidRDefault="00565393">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12DEE8EB"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C9A3459" w14:textId="77777777" w:rsidR="00565393" w:rsidRDefault="00565393">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12D6FDEC" w14:textId="77777777" w:rsidR="00565393" w:rsidRDefault="00565393">
            <w:pPr>
              <w:jc w:val="right"/>
              <w:rPr>
                <w:color w:val="000000"/>
                <w:sz w:val="20"/>
                <w:szCs w:val="20"/>
              </w:rPr>
            </w:pPr>
            <w:r>
              <w:rPr>
                <w:color w:val="000000"/>
                <w:sz w:val="20"/>
                <w:szCs w:val="20"/>
              </w:rPr>
              <w:t>0.347</w:t>
            </w:r>
          </w:p>
        </w:tc>
        <w:tc>
          <w:tcPr>
            <w:tcW w:w="864" w:type="dxa"/>
            <w:tcBorders>
              <w:top w:val="nil"/>
              <w:left w:val="nil"/>
              <w:bottom w:val="nil"/>
              <w:right w:val="nil"/>
            </w:tcBorders>
            <w:shd w:val="clear" w:color="auto" w:fill="auto"/>
            <w:noWrap/>
            <w:vAlign w:val="bottom"/>
            <w:hideMark/>
          </w:tcPr>
          <w:p w14:paraId="5CD7F411" w14:textId="77777777" w:rsidR="00565393" w:rsidRDefault="00565393">
            <w:pPr>
              <w:jc w:val="right"/>
              <w:rPr>
                <w:color w:val="000000"/>
                <w:sz w:val="20"/>
                <w:szCs w:val="20"/>
              </w:rPr>
            </w:pPr>
            <w:r>
              <w:rPr>
                <w:color w:val="000000"/>
                <w:sz w:val="20"/>
                <w:szCs w:val="20"/>
              </w:rPr>
              <w:t>0.002</w:t>
            </w:r>
          </w:p>
        </w:tc>
      </w:tr>
      <w:tr w:rsidR="00565393" w14:paraId="4DC8A6EA" w14:textId="77777777" w:rsidTr="00B5084D">
        <w:trPr>
          <w:trHeight w:val="320"/>
        </w:trPr>
        <w:tc>
          <w:tcPr>
            <w:tcW w:w="1152" w:type="dxa"/>
            <w:tcBorders>
              <w:top w:val="nil"/>
              <w:left w:val="nil"/>
              <w:bottom w:val="nil"/>
              <w:right w:val="nil"/>
            </w:tcBorders>
            <w:shd w:val="clear" w:color="auto" w:fill="auto"/>
            <w:noWrap/>
            <w:vAlign w:val="bottom"/>
            <w:hideMark/>
          </w:tcPr>
          <w:p w14:paraId="18DDF43E"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5EF9E08" w14:textId="77777777" w:rsidR="00565393" w:rsidRDefault="0056539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48E5287" w14:textId="77777777" w:rsidR="00565393" w:rsidRDefault="00565393">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0300D2AC" w14:textId="77777777" w:rsidR="00565393" w:rsidRDefault="00565393">
            <w:pPr>
              <w:jc w:val="right"/>
              <w:rPr>
                <w:color w:val="000000"/>
                <w:sz w:val="20"/>
                <w:szCs w:val="20"/>
              </w:rPr>
            </w:pPr>
            <w:r>
              <w:rPr>
                <w:color w:val="000000"/>
                <w:sz w:val="20"/>
                <w:szCs w:val="20"/>
              </w:rPr>
              <w:t>0.843</w:t>
            </w:r>
          </w:p>
        </w:tc>
        <w:tc>
          <w:tcPr>
            <w:tcW w:w="864" w:type="dxa"/>
            <w:tcBorders>
              <w:top w:val="nil"/>
              <w:left w:val="nil"/>
              <w:bottom w:val="nil"/>
              <w:right w:val="nil"/>
            </w:tcBorders>
            <w:shd w:val="clear" w:color="auto" w:fill="auto"/>
            <w:noWrap/>
            <w:vAlign w:val="bottom"/>
            <w:hideMark/>
          </w:tcPr>
          <w:p w14:paraId="519ECADA"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3D8FA24" w14:textId="77777777" w:rsidR="00565393" w:rsidRDefault="00565393">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46012BF7" w14:textId="77777777" w:rsidR="00565393" w:rsidRDefault="00565393">
            <w:pPr>
              <w:jc w:val="right"/>
              <w:rPr>
                <w:color w:val="000000"/>
                <w:sz w:val="20"/>
                <w:szCs w:val="20"/>
              </w:rPr>
            </w:pPr>
            <w:r>
              <w:rPr>
                <w:color w:val="000000"/>
                <w:sz w:val="20"/>
                <w:szCs w:val="20"/>
              </w:rPr>
              <w:t>0.603</w:t>
            </w:r>
          </w:p>
        </w:tc>
        <w:tc>
          <w:tcPr>
            <w:tcW w:w="864" w:type="dxa"/>
            <w:tcBorders>
              <w:top w:val="nil"/>
              <w:left w:val="nil"/>
              <w:bottom w:val="nil"/>
              <w:right w:val="nil"/>
            </w:tcBorders>
            <w:shd w:val="clear" w:color="auto" w:fill="auto"/>
            <w:noWrap/>
            <w:vAlign w:val="bottom"/>
            <w:hideMark/>
          </w:tcPr>
          <w:p w14:paraId="36008A5B" w14:textId="77777777" w:rsidR="00565393" w:rsidRDefault="00565393">
            <w:pPr>
              <w:jc w:val="right"/>
              <w:rPr>
                <w:color w:val="000000"/>
                <w:sz w:val="20"/>
                <w:szCs w:val="20"/>
              </w:rPr>
            </w:pPr>
            <w:r>
              <w:rPr>
                <w:color w:val="000000"/>
                <w:sz w:val="20"/>
                <w:szCs w:val="20"/>
              </w:rPr>
              <w:t>0.001</w:t>
            </w:r>
          </w:p>
        </w:tc>
      </w:tr>
      <w:tr w:rsidR="00565393" w14:paraId="7DF9420C" w14:textId="77777777" w:rsidTr="00B5084D">
        <w:trPr>
          <w:trHeight w:val="320"/>
        </w:trPr>
        <w:tc>
          <w:tcPr>
            <w:tcW w:w="1152" w:type="dxa"/>
            <w:tcBorders>
              <w:top w:val="nil"/>
              <w:left w:val="nil"/>
              <w:bottom w:val="single" w:sz="4" w:space="0" w:color="auto"/>
              <w:right w:val="nil"/>
            </w:tcBorders>
            <w:shd w:val="clear" w:color="auto" w:fill="auto"/>
            <w:noWrap/>
            <w:vAlign w:val="bottom"/>
            <w:hideMark/>
          </w:tcPr>
          <w:p w14:paraId="25B84164" w14:textId="77777777" w:rsidR="00565393" w:rsidRDefault="00565393">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8B15FC3" w14:textId="77777777" w:rsidR="00565393" w:rsidRDefault="00565393">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7B38BCA" w14:textId="77777777" w:rsidR="00565393" w:rsidRDefault="00565393">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7E0696F3" w14:textId="77777777" w:rsidR="00565393" w:rsidRDefault="00565393">
            <w:pPr>
              <w:jc w:val="right"/>
              <w:rPr>
                <w:color w:val="000000"/>
                <w:sz w:val="20"/>
                <w:szCs w:val="20"/>
              </w:rPr>
            </w:pPr>
            <w:r>
              <w:rPr>
                <w:color w:val="000000"/>
                <w:sz w:val="20"/>
                <w:szCs w:val="20"/>
              </w:rPr>
              <w:t>0.843</w:t>
            </w:r>
          </w:p>
        </w:tc>
        <w:tc>
          <w:tcPr>
            <w:tcW w:w="864" w:type="dxa"/>
            <w:tcBorders>
              <w:top w:val="nil"/>
              <w:left w:val="nil"/>
              <w:bottom w:val="single" w:sz="4" w:space="0" w:color="auto"/>
              <w:right w:val="nil"/>
            </w:tcBorders>
            <w:shd w:val="clear" w:color="auto" w:fill="auto"/>
            <w:noWrap/>
            <w:vAlign w:val="bottom"/>
            <w:hideMark/>
          </w:tcPr>
          <w:p w14:paraId="5DD9EEEC"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CAFBD50" w14:textId="77777777" w:rsidR="00565393" w:rsidRDefault="00565393">
            <w:pPr>
              <w:jc w:val="right"/>
              <w:rPr>
                <w:color w:val="000000"/>
                <w:sz w:val="20"/>
                <w:szCs w:val="20"/>
              </w:rPr>
            </w:pPr>
            <w:r>
              <w:rPr>
                <w:color w:val="000000"/>
                <w:sz w:val="20"/>
                <w:szCs w:val="20"/>
              </w:rPr>
              <w:t>0.042</w:t>
            </w:r>
          </w:p>
        </w:tc>
        <w:tc>
          <w:tcPr>
            <w:tcW w:w="864" w:type="dxa"/>
            <w:tcBorders>
              <w:top w:val="nil"/>
              <w:left w:val="nil"/>
              <w:bottom w:val="single" w:sz="4" w:space="0" w:color="auto"/>
              <w:right w:val="nil"/>
            </w:tcBorders>
            <w:shd w:val="clear" w:color="auto" w:fill="auto"/>
            <w:noWrap/>
            <w:vAlign w:val="bottom"/>
            <w:hideMark/>
          </w:tcPr>
          <w:p w14:paraId="4CFE56EA" w14:textId="77777777" w:rsidR="00565393" w:rsidRDefault="00565393">
            <w:pPr>
              <w:jc w:val="right"/>
              <w:rPr>
                <w:color w:val="000000"/>
                <w:sz w:val="20"/>
                <w:szCs w:val="20"/>
              </w:rPr>
            </w:pPr>
            <w:r>
              <w:rPr>
                <w:color w:val="000000"/>
                <w:sz w:val="20"/>
                <w:szCs w:val="20"/>
              </w:rPr>
              <w:t>0.347</w:t>
            </w:r>
          </w:p>
        </w:tc>
        <w:tc>
          <w:tcPr>
            <w:tcW w:w="864" w:type="dxa"/>
            <w:tcBorders>
              <w:top w:val="nil"/>
              <w:left w:val="nil"/>
              <w:bottom w:val="single" w:sz="4" w:space="0" w:color="auto"/>
              <w:right w:val="nil"/>
            </w:tcBorders>
            <w:shd w:val="clear" w:color="auto" w:fill="auto"/>
            <w:noWrap/>
            <w:vAlign w:val="bottom"/>
            <w:hideMark/>
          </w:tcPr>
          <w:p w14:paraId="54593955" w14:textId="77777777" w:rsidR="00565393" w:rsidRDefault="00565393">
            <w:pPr>
              <w:jc w:val="right"/>
              <w:rPr>
                <w:color w:val="000000"/>
                <w:sz w:val="20"/>
                <w:szCs w:val="20"/>
              </w:rPr>
            </w:pPr>
            <w:r>
              <w:rPr>
                <w:color w:val="000000"/>
                <w:sz w:val="20"/>
                <w:szCs w:val="20"/>
              </w:rPr>
              <w:t>0.002</w:t>
            </w:r>
          </w:p>
        </w:tc>
      </w:tr>
      <w:tr w:rsidR="00565393" w14:paraId="7BF6186D" w14:textId="77777777" w:rsidTr="00B5084D">
        <w:trPr>
          <w:trHeight w:val="320"/>
        </w:trPr>
        <w:tc>
          <w:tcPr>
            <w:tcW w:w="1152" w:type="dxa"/>
            <w:tcBorders>
              <w:top w:val="nil"/>
              <w:left w:val="nil"/>
              <w:bottom w:val="nil"/>
              <w:right w:val="nil"/>
            </w:tcBorders>
            <w:shd w:val="clear" w:color="auto" w:fill="auto"/>
            <w:noWrap/>
            <w:vAlign w:val="bottom"/>
            <w:hideMark/>
          </w:tcPr>
          <w:p w14:paraId="5E67D432" w14:textId="77777777" w:rsidR="00565393" w:rsidRDefault="00565393">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50447C85" w14:textId="77777777" w:rsidR="00565393" w:rsidRDefault="00565393">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6E69EBE8" w14:textId="77777777" w:rsidR="00565393" w:rsidRDefault="00565393">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708C0B34" w14:textId="77777777" w:rsidR="00565393" w:rsidRDefault="00565393">
            <w:pPr>
              <w:jc w:val="right"/>
              <w:rPr>
                <w:color w:val="000000"/>
                <w:sz w:val="20"/>
                <w:szCs w:val="20"/>
              </w:rPr>
            </w:pPr>
            <w:r>
              <w:rPr>
                <w:color w:val="000000"/>
                <w:sz w:val="20"/>
                <w:szCs w:val="20"/>
              </w:rPr>
              <w:t>0.768</w:t>
            </w:r>
          </w:p>
        </w:tc>
        <w:tc>
          <w:tcPr>
            <w:tcW w:w="864" w:type="dxa"/>
            <w:tcBorders>
              <w:top w:val="nil"/>
              <w:left w:val="nil"/>
              <w:bottom w:val="nil"/>
              <w:right w:val="nil"/>
            </w:tcBorders>
            <w:shd w:val="clear" w:color="auto" w:fill="auto"/>
            <w:noWrap/>
            <w:vAlign w:val="bottom"/>
            <w:hideMark/>
          </w:tcPr>
          <w:p w14:paraId="4796C7B2"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E77D09A" w14:textId="77777777" w:rsidR="00565393" w:rsidRDefault="00565393">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558A9516" w14:textId="77777777" w:rsidR="00565393" w:rsidRDefault="00565393">
            <w:pPr>
              <w:jc w:val="right"/>
              <w:rPr>
                <w:color w:val="000000"/>
                <w:sz w:val="20"/>
                <w:szCs w:val="20"/>
              </w:rPr>
            </w:pPr>
            <w:r>
              <w:rPr>
                <w:color w:val="000000"/>
                <w:sz w:val="20"/>
                <w:szCs w:val="20"/>
              </w:rPr>
              <w:t>0.906</w:t>
            </w:r>
          </w:p>
        </w:tc>
        <w:tc>
          <w:tcPr>
            <w:tcW w:w="864" w:type="dxa"/>
            <w:tcBorders>
              <w:top w:val="nil"/>
              <w:left w:val="nil"/>
              <w:bottom w:val="nil"/>
              <w:right w:val="nil"/>
            </w:tcBorders>
            <w:shd w:val="clear" w:color="auto" w:fill="auto"/>
            <w:noWrap/>
            <w:vAlign w:val="bottom"/>
            <w:hideMark/>
          </w:tcPr>
          <w:p w14:paraId="4086519F" w14:textId="77777777" w:rsidR="00565393" w:rsidRDefault="00565393">
            <w:pPr>
              <w:jc w:val="right"/>
              <w:rPr>
                <w:color w:val="000000"/>
                <w:sz w:val="20"/>
                <w:szCs w:val="20"/>
              </w:rPr>
            </w:pPr>
            <w:r>
              <w:rPr>
                <w:color w:val="000000"/>
                <w:sz w:val="20"/>
                <w:szCs w:val="20"/>
              </w:rPr>
              <w:t>0.001</w:t>
            </w:r>
          </w:p>
        </w:tc>
      </w:tr>
      <w:tr w:rsidR="00565393" w14:paraId="725C4501" w14:textId="77777777" w:rsidTr="00B5084D">
        <w:trPr>
          <w:trHeight w:val="320"/>
        </w:trPr>
        <w:tc>
          <w:tcPr>
            <w:tcW w:w="1152" w:type="dxa"/>
            <w:tcBorders>
              <w:top w:val="nil"/>
              <w:left w:val="nil"/>
              <w:bottom w:val="nil"/>
              <w:right w:val="nil"/>
            </w:tcBorders>
            <w:shd w:val="clear" w:color="auto" w:fill="auto"/>
            <w:noWrap/>
            <w:vAlign w:val="bottom"/>
            <w:hideMark/>
          </w:tcPr>
          <w:p w14:paraId="2B13FB5F"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89F2309" w14:textId="77777777" w:rsidR="00565393" w:rsidRDefault="0056539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C0FDA99" w14:textId="77777777" w:rsidR="00565393" w:rsidRDefault="00565393">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1742009E" w14:textId="77777777" w:rsidR="00565393" w:rsidRDefault="00565393">
            <w:pPr>
              <w:jc w:val="right"/>
              <w:rPr>
                <w:color w:val="000000"/>
                <w:sz w:val="20"/>
                <w:szCs w:val="20"/>
              </w:rPr>
            </w:pPr>
            <w:r>
              <w:rPr>
                <w:color w:val="000000"/>
                <w:sz w:val="20"/>
                <w:szCs w:val="20"/>
              </w:rPr>
              <w:t>0.768</w:t>
            </w:r>
          </w:p>
        </w:tc>
        <w:tc>
          <w:tcPr>
            <w:tcW w:w="864" w:type="dxa"/>
            <w:tcBorders>
              <w:top w:val="nil"/>
              <w:left w:val="nil"/>
              <w:bottom w:val="nil"/>
              <w:right w:val="nil"/>
            </w:tcBorders>
            <w:shd w:val="clear" w:color="auto" w:fill="auto"/>
            <w:noWrap/>
            <w:vAlign w:val="bottom"/>
            <w:hideMark/>
          </w:tcPr>
          <w:p w14:paraId="5A1E697D" w14:textId="77777777" w:rsidR="00565393" w:rsidRDefault="0056539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BC1D42C" w14:textId="77777777" w:rsidR="00565393" w:rsidRDefault="0056539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5F58E2D" w14:textId="77777777" w:rsidR="00565393" w:rsidRDefault="00565393">
            <w:pPr>
              <w:jc w:val="right"/>
              <w:rPr>
                <w:color w:val="000000"/>
                <w:sz w:val="20"/>
                <w:szCs w:val="20"/>
              </w:rPr>
            </w:pPr>
            <w:r>
              <w:rPr>
                <w:color w:val="000000"/>
                <w:sz w:val="20"/>
                <w:szCs w:val="20"/>
              </w:rPr>
              <w:t>0.973</w:t>
            </w:r>
          </w:p>
        </w:tc>
        <w:tc>
          <w:tcPr>
            <w:tcW w:w="864" w:type="dxa"/>
            <w:tcBorders>
              <w:top w:val="nil"/>
              <w:left w:val="nil"/>
              <w:bottom w:val="nil"/>
              <w:right w:val="nil"/>
            </w:tcBorders>
            <w:shd w:val="clear" w:color="auto" w:fill="auto"/>
            <w:noWrap/>
            <w:vAlign w:val="bottom"/>
            <w:hideMark/>
          </w:tcPr>
          <w:p w14:paraId="285C274C" w14:textId="77777777" w:rsidR="00565393" w:rsidRDefault="00565393">
            <w:pPr>
              <w:jc w:val="right"/>
              <w:rPr>
                <w:color w:val="000000"/>
                <w:sz w:val="20"/>
                <w:szCs w:val="20"/>
              </w:rPr>
            </w:pPr>
            <w:r>
              <w:rPr>
                <w:color w:val="000000"/>
                <w:sz w:val="20"/>
                <w:szCs w:val="20"/>
              </w:rPr>
              <w:t>0.000</w:t>
            </w:r>
          </w:p>
        </w:tc>
      </w:tr>
      <w:tr w:rsidR="00565393" w14:paraId="5B657CF5" w14:textId="77777777" w:rsidTr="00B5084D">
        <w:trPr>
          <w:trHeight w:val="320"/>
        </w:trPr>
        <w:tc>
          <w:tcPr>
            <w:tcW w:w="1152" w:type="dxa"/>
            <w:tcBorders>
              <w:top w:val="nil"/>
              <w:left w:val="nil"/>
              <w:bottom w:val="nil"/>
              <w:right w:val="nil"/>
            </w:tcBorders>
            <w:shd w:val="clear" w:color="auto" w:fill="auto"/>
            <w:noWrap/>
            <w:vAlign w:val="bottom"/>
            <w:hideMark/>
          </w:tcPr>
          <w:p w14:paraId="58D0329E"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632CFF5" w14:textId="77777777" w:rsidR="00565393" w:rsidRDefault="0056539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660CDCF" w14:textId="77777777" w:rsidR="00565393" w:rsidRDefault="00565393">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6AC455F0" w14:textId="77777777" w:rsidR="00565393" w:rsidRDefault="00565393">
            <w:pPr>
              <w:jc w:val="right"/>
              <w:rPr>
                <w:color w:val="000000"/>
                <w:sz w:val="20"/>
                <w:szCs w:val="20"/>
              </w:rPr>
            </w:pPr>
            <w:r>
              <w:rPr>
                <w:color w:val="000000"/>
                <w:sz w:val="20"/>
                <w:szCs w:val="20"/>
              </w:rPr>
              <w:t>0.768</w:t>
            </w:r>
          </w:p>
        </w:tc>
        <w:tc>
          <w:tcPr>
            <w:tcW w:w="864" w:type="dxa"/>
            <w:tcBorders>
              <w:top w:val="nil"/>
              <w:left w:val="nil"/>
              <w:bottom w:val="nil"/>
              <w:right w:val="nil"/>
            </w:tcBorders>
            <w:shd w:val="clear" w:color="auto" w:fill="auto"/>
            <w:noWrap/>
            <w:vAlign w:val="bottom"/>
            <w:hideMark/>
          </w:tcPr>
          <w:p w14:paraId="0921CCEE"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0BF79C9" w14:textId="77777777" w:rsidR="00565393" w:rsidRDefault="0056539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CAFFE1D" w14:textId="77777777" w:rsidR="00565393" w:rsidRDefault="00565393">
            <w:pPr>
              <w:jc w:val="right"/>
              <w:rPr>
                <w:color w:val="000000"/>
                <w:sz w:val="20"/>
                <w:szCs w:val="20"/>
              </w:rPr>
            </w:pPr>
            <w:r>
              <w:rPr>
                <w:color w:val="000000"/>
                <w:sz w:val="20"/>
                <w:szCs w:val="20"/>
              </w:rPr>
              <w:t>0.973</w:t>
            </w:r>
          </w:p>
        </w:tc>
        <w:tc>
          <w:tcPr>
            <w:tcW w:w="864" w:type="dxa"/>
            <w:tcBorders>
              <w:top w:val="nil"/>
              <w:left w:val="nil"/>
              <w:bottom w:val="nil"/>
              <w:right w:val="nil"/>
            </w:tcBorders>
            <w:shd w:val="clear" w:color="auto" w:fill="auto"/>
            <w:noWrap/>
            <w:vAlign w:val="bottom"/>
            <w:hideMark/>
          </w:tcPr>
          <w:p w14:paraId="06B4A689" w14:textId="77777777" w:rsidR="00565393" w:rsidRDefault="00565393">
            <w:pPr>
              <w:jc w:val="right"/>
              <w:rPr>
                <w:color w:val="000000"/>
                <w:sz w:val="20"/>
                <w:szCs w:val="20"/>
              </w:rPr>
            </w:pPr>
            <w:r>
              <w:rPr>
                <w:color w:val="000000"/>
                <w:sz w:val="20"/>
                <w:szCs w:val="20"/>
              </w:rPr>
              <w:t>0.000</w:t>
            </w:r>
          </w:p>
        </w:tc>
      </w:tr>
      <w:tr w:rsidR="00565393" w14:paraId="699C2C5C" w14:textId="77777777" w:rsidTr="00B5084D">
        <w:trPr>
          <w:trHeight w:val="320"/>
        </w:trPr>
        <w:tc>
          <w:tcPr>
            <w:tcW w:w="1152" w:type="dxa"/>
            <w:tcBorders>
              <w:top w:val="nil"/>
              <w:left w:val="nil"/>
              <w:bottom w:val="nil"/>
              <w:right w:val="nil"/>
            </w:tcBorders>
            <w:shd w:val="clear" w:color="auto" w:fill="auto"/>
            <w:noWrap/>
            <w:vAlign w:val="bottom"/>
            <w:hideMark/>
          </w:tcPr>
          <w:p w14:paraId="5F779CC4"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AC5FC46" w14:textId="77777777" w:rsidR="00565393" w:rsidRDefault="0056539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86BC093" w14:textId="77777777" w:rsidR="00565393" w:rsidRDefault="00565393">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08C7BB9F" w14:textId="77777777" w:rsidR="00565393" w:rsidRDefault="00565393">
            <w:pPr>
              <w:jc w:val="right"/>
              <w:rPr>
                <w:color w:val="000000"/>
                <w:sz w:val="20"/>
                <w:szCs w:val="20"/>
              </w:rPr>
            </w:pPr>
            <w:r>
              <w:rPr>
                <w:color w:val="000000"/>
                <w:sz w:val="20"/>
                <w:szCs w:val="20"/>
              </w:rPr>
              <w:t>0.768</w:t>
            </w:r>
          </w:p>
        </w:tc>
        <w:tc>
          <w:tcPr>
            <w:tcW w:w="864" w:type="dxa"/>
            <w:tcBorders>
              <w:top w:val="nil"/>
              <w:left w:val="nil"/>
              <w:bottom w:val="nil"/>
              <w:right w:val="nil"/>
            </w:tcBorders>
            <w:shd w:val="clear" w:color="auto" w:fill="auto"/>
            <w:noWrap/>
            <w:vAlign w:val="bottom"/>
            <w:hideMark/>
          </w:tcPr>
          <w:p w14:paraId="71756BAB"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0B08611" w14:textId="77777777" w:rsidR="00565393" w:rsidRDefault="00565393">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4F141942" w14:textId="77777777" w:rsidR="00565393" w:rsidRDefault="00565393">
            <w:pPr>
              <w:jc w:val="right"/>
              <w:rPr>
                <w:color w:val="000000"/>
                <w:sz w:val="20"/>
                <w:szCs w:val="20"/>
              </w:rPr>
            </w:pPr>
            <w:r>
              <w:rPr>
                <w:color w:val="000000"/>
                <w:sz w:val="20"/>
                <w:szCs w:val="20"/>
              </w:rPr>
              <w:t>0.906</w:t>
            </w:r>
          </w:p>
        </w:tc>
        <w:tc>
          <w:tcPr>
            <w:tcW w:w="864" w:type="dxa"/>
            <w:tcBorders>
              <w:top w:val="nil"/>
              <w:left w:val="nil"/>
              <w:bottom w:val="nil"/>
              <w:right w:val="nil"/>
            </w:tcBorders>
            <w:shd w:val="clear" w:color="auto" w:fill="auto"/>
            <w:noWrap/>
            <w:vAlign w:val="bottom"/>
            <w:hideMark/>
          </w:tcPr>
          <w:p w14:paraId="5119E612" w14:textId="77777777" w:rsidR="00565393" w:rsidRDefault="00565393">
            <w:pPr>
              <w:jc w:val="right"/>
              <w:rPr>
                <w:color w:val="000000"/>
                <w:sz w:val="20"/>
                <w:szCs w:val="20"/>
              </w:rPr>
            </w:pPr>
            <w:r>
              <w:rPr>
                <w:color w:val="000000"/>
                <w:sz w:val="20"/>
                <w:szCs w:val="20"/>
              </w:rPr>
              <w:t>0.001</w:t>
            </w:r>
          </w:p>
        </w:tc>
      </w:tr>
      <w:tr w:rsidR="00565393" w14:paraId="1794208C" w14:textId="77777777" w:rsidTr="00B5084D">
        <w:trPr>
          <w:trHeight w:val="320"/>
        </w:trPr>
        <w:tc>
          <w:tcPr>
            <w:tcW w:w="1152" w:type="dxa"/>
            <w:tcBorders>
              <w:top w:val="nil"/>
              <w:left w:val="nil"/>
              <w:bottom w:val="nil"/>
              <w:right w:val="nil"/>
            </w:tcBorders>
            <w:shd w:val="clear" w:color="auto" w:fill="auto"/>
            <w:noWrap/>
            <w:vAlign w:val="bottom"/>
            <w:hideMark/>
          </w:tcPr>
          <w:p w14:paraId="275EADE0"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64125CA" w14:textId="77777777" w:rsidR="00565393" w:rsidRDefault="0056539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C53B829" w14:textId="77777777" w:rsidR="00565393" w:rsidRDefault="0056539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2CCC772" w14:textId="77777777" w:rsidR="00565393" w:rsidRDefault="00565393">
            <w:pPr>
              <w:jc w:val="right"/>
              <w:rPr>
                <w:color w:val="000000"/>
                <w:sz w:val="20"/>
                <w:szCs w:val="20"/>
              </w:rPr>
            </w:pPr>
            <w:r>
              <w:rPr>
                <w:color w:val="000000"/>
                <w:sz w:val="20"/>
                <w:szCs w:val="20"/>
              </w:rPr>
              <w:t>0.925</w:t>
            </w:r>
          </w:p>
        </w:tc>
        <w:tc>
          <w:tcPr>
            <w:tcW w:w="864" w:type="dxa"/>
            <w:tcBorders>
              <w:top w:val="nil"/>
              <w:left w:val="nil"/>
              <w:bottom w:val="nil"/>
              <w:right w:val="nil"/>
            </w:tcBorders>
            <w:shd w:val="clear" w:color="auto" w:fill="auto"/>
            <w:noWrap/>
            <w:vAlign w:val="bottom"/>
            <w:hideMark/>
          </w:tcPr>
          <w:p w14:paraId="350C565A"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55990F0" w14:textId="77777777" w:rsidR="00565393" w:rsidRDefault="00565393">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481A23A6" w14:textId="77777777" w:rsidR="00565393" w:rsidRDefault="00565393">
            <w:pPr>
              <w:jc w:val="right"/>
              <w:rPr>
                <w:color w:val="000000"/>
                <w:sz w:val="20"/>
                <w:szCs w:val="20"/>
              </w:rPr>
            </w:pPr>
            <w:r>
              <w:rPr>
                <w:color w:val="000000"/>
                <w:sz w:val="20"/>
                <w:szCs w:val="20"/>
              </w:rPr>
              <w:t>0.973</w:t>
            </w:r>
          </w:p>
        </w:tc>
        <w:tc>
          <w:tcPr>
            <w:tcW w:w="864" w:type="dxa"/>
            <w:tcBorders>
              <w:top w:val="nil"/>
              <w:left w:val="nil"/>
              <w:bottom w:val="nil"/>
              <w:right w:val="nil"/>
            </w:tcBorders>
            <w:shd w:val="clear" w:color="auto" w:fill="auto"/>
            <w:noWrap/>
            <w:vAlign w:val="bottom"/>
            <w:hideMark/>
          </w:tcPr>
          <w:p w14:paraId="2DD676B1" w14:textId="77777777" w:rsidR="00565393" w:rsidRDefault="00565393">
            <w:pPr>
              <w:jc w:val="right"/>
              <w:rPr>
                <w:color w:val="000000"/>
                <w:sz w:val="20"/>
                <w:szCs w:val="20"/>
              </w:rPr>
            </w:pPr>
            <w:r>
              <w:rPr>
                <w:color w:val="000000"/>
                <w:sz w:val="20"/>
                <w:szCs w:val="20"/>
              </w:rPr>
              <w:t>0.000</w:t>
            </w:r>
          </w:p>
        </w:tc>
      </w:tr>
      <w:tr w:rsidR="00565393" w14:paraId="6B3E88E6" w14:textId="77777777" w:rsidTr="00B5084D">
        <w:trPr>
          <w:trHeight w:val="320"/>
        </w:trPr>
        <w:tc>
          <w:tcPr>
            <w:tcW w:w="1152" w:type="dxa"/>
            <w:tcBorders>
              <w:top w:val="nil"/>
              <w:left w:val="nil"/>
              <w:bottom w:val="nil"/>
              <w:right w:val="nil"/>
            </w:tcBorders>
            <w:shd w:val="clear" w:color="auto" w:fill="auto"/>
            <w:noWrap/>
            <w:vAlign w:val="bottom"/>
            <w:hideMark/>
          </w:tcPr>
          <w:p w14:paraId="28B14FD6"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5508854" w14:textId="77777777" w:rsidR="00565393" w:rsidRDefault="0056539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D8AD235" w14:textId="77777777" w:rsidR="00565393" w:rsidRDefault="00565393">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01AF3757" w14:textId="77777777" w:rsidR="00565393" w:rsidRDefault="00565393">
            <w:pPr>
              <w:jc w:val="right"/>
              <w:rPr>
                <w:color w:val="000000"/>
                <w:sz w:val="20"/>
                <w:szCs w:val="20"/>
              </w:rPr>
            </w:pPr>
            <w:r>
              <w:rPr>
                <w:color w:val="000000"/>
                <w:sz w:val="20"/>
                <w:szCs w:val="20"/>
              </w:rPr>
              <w:t>0.768</w:t>
            </w:r>
          </w:p>
        </w:tc>
        <w:tc>
          <w:tcPr>
            <w:tcW w:w="864" w:type="dxa"/>
            <w:tcBorders>
              <w:top w:val="nil"/>
              <w:left w:val="nil"/>
              <w:bottom w:val="nil"/>
              <w:right w:val="nil"/>
            </w:tcBorders>
            <w:shd w:val="clear" w:color="auto" w:fill="auto"/>
            <w:noWrap/>
            <w:vAlign w:val="bottom"/>
            <w:hideMark/>
          </w:tcPr>
          <w:p w14:paraId="39EAB04A"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B79DCC0" w14:textId="77777777" w:rsidR="00565393" w:rsidRDefault="00565393">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0D16A8BD" w14:textId="77777777" w:rsidR="00565393" w:rsidRDefault="00565393">
            <w:pPr>
              <w:jc w:val="right"/>
              <w:rPr>
                <w:color w:val="000000"/>
                <w:sz w:val="20"/>
                <w:szCs w:val="20"/>
              </w:rPr>
            </w:pPr>
            <w:r>
              <w:rPr>
                <w:color w:val="000000"/>
                <w:sz w:val="20"/>
                <w:szCs w:val="20"/>
              </w:rPr>
              <w:t>0.906</w:t>
            </w:r>
          </w:p>
        </w:tc>
        <w:tc>
          <w:tcPr>
            <w:tcW w:w="864" w:type="dxa"/>
            <w:tcBorders>
              <w:top w:val="nil"/>
              <w:left w:val="nil"/>
              <w:bottom w:val="nil"/>
              <w:right w:val="nil"/>
            </w:tcBorders>
            <w:shd w:val="clear" w:color="auto" w:fill="auto"/>
            <w:noWrap/>
            <w:vAlign w:val="bottom"/>
            <w:hideMark/>
          </w:tcPr>
          <w:p w14:paraId="39541F38" w14:textId="77777777" w:rsidR="00565393" w:rsidRDefault="00565393">
            <w:pPr>
              <w:jc w:val="right"/>
              <w:rPr>
                <w:color w:val="000000"/>
                <w:sz w:val="20"/>
                <w:szCs w:val="20"/>
              </w:rPr>
            </w:pPr>
            <w:r>
              <w:rPr>
                <w:color w:val="000000"/>
                <w:sz w:val="20"/>
                <w:szCs w:val="20"/>
              </w:rPr>
              <w:t>0.001</w:t>
            </w:r>
          </w:p>
        </w:tc>
      </w:tr>
      <w:tr w:rsidR="00565393" w14:paraId="3661AC68" w14:textId="77777777" w:rsidTr="00B5084D">
        <w:trPr>
          <w:trHeight w:val="320"/>
        </w:trPr>
        <w:tc>
          <w:tcPr>
            <w:tcW w:w="1152" w:type="dxa"/>
            <w:tcBorders>
              <w:top w:val="nil"/>
              <w:left w:val="nil"/>
              <w:bottom w:val="nil"/>
              <w:right w:val="nil"/>
            </w:tcBorders>
            <w:shd w:val="clear" w:color="auto" w:fill="auto"/>
            <w:noWrap/>
            <w:vAlign w:val="bottom"/>
            <w:hideMark/>
          </w:tcPr>
          <w:p w14:paraId="5916CC6D" w14:textId="77777777" w:rsidR="00565393" w:rsidRDefault="0056539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AAD4897" w14:textId="77777777" w:rsidR="00565393" w:rsidRDefault="0056539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4C69E46" w14:textId="77777777" w:rsidR="00565393" w:rsidRDefault="00565393">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12B2BFF8" w14:textId="77777777" w:rsidR="00565393" w:rsidRDefault="00565393">
            <w:pPr>
              <w:jc w:val="right"/>
              <w:rPr>
                <w:color w:val="000000"/>
                <w:sz w:val="20"/>
                <w:szCs w:val="20"/>
              </w:rPr>
            </w:pPr>
            <w:r>
              <w:rPr>
                <w:color w:val="000000"/>
                <w:sz w:val="20"/>
                <w:szCs w:val="20"/>
              </w:rPr>
              <w:t>0.768</w:t>
            </w:r>
          </w:p>
        </w:tc>
        <w:tc>
          <w:tcPr>
            <w:tcW w:w="864" w:type="dxa"/>
            <w:tcBorders>
              <w:top w:val="nil"/>
              <w:left w:val="nil"/>
              <w:bottom w:val="nil"/>
              <w:right w:val="nil"/>
            </w:tcBorders>
            <w:shd w:val="clear" w:color="auto" w:fill="auto"/>
            <w:noWrap/>
            <w:vAlign w:val="bottom"/>
            <w:hideMark/>
          </w:tcPr>
          <w:p w14:paraId="6E7B4D14" w14:textId="77777777" w:rsidR="00565393" w:rsidRDefault="0056539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B48FD1E" w14:textId="77777777" w:rsidR="00565393" w:rsidRDefault="0056539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A231D53" w14:textId="77777777" w:rsidR="00565393" w:rsidRDefault="00565393">
            <w:pPr>
              <w:jc w:val="right"/>
              <w:rPr>
                <w:color w:val="000000"/>
                <w:sz w:val="20"/>
                <w:szCs w:val="20"/>
              </w:rPr>
            </w:pPr>
            <w:r>
              <w:rPr>
                <w:color w:val="000000"/>
                <w:sz w:val="20"/>
                <w:szCs w:val="20"/>
              </w:rPr>
              <w:t>0.973</w:t>
            </w:r>
          </w:p>
        </w:tc>
        <w:tc>
          <w:tcPr>
            <w:tcW w:w="864" w:type="dxa"/>
            <w:tcBorders>
              <w:top w:val="nil"/>
              <w:left w:val="nil"/>
              <w:bottom w:val="nil"/>
              <w:right w:val="nil"/>
            </w:tcBorders>
            <w:shd w:val="clear" w:color="auto" w:fill="auto"/>
            <w:noWrap/>
            <w:vAlign w:val="bottom"/>
            <w:hideMark/>
          </w:tcPr>
          <w:p w14:paraId="0028C030" w14:textId="77777777" w:rsidR="00565393" w:rsidRDefault="00565393">
            <w:pPr>
              <w:jc w:val="right"/>
              <w:rPr>
                <w:color w:val="000000"/>
                <w:sz w:val="20"/>
                <w:szCs w:val="20"/>
              </w:rPr>
            </w:pPr>
            <w:r>
              <w:rPr>
                <w:color w:val="000000"/>
                <w:sz w:val="20"/>
                <w:szCs w:val="20"/>
              </w:rPr>
              <w:t>0.000</w:t>
            </w:r>
          </w:p>
        </w:tc>
      </w:tr>
      <w:tr w:rsidR="00565393" w14:paraId="62E25BC9"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5C1FE9BF" w14:textId="77777777" w:rsidR="00565393" w:rsidRDefault="00565393">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4F57360D" w14:textId="77777777" w:rsidR="00565393" w:rsidRDefault="00565393">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5FC17F9D" w14:textId="77777777" w:rsidR="00565393" w:rsidRDefault="00565393">
            <w:pPr>
              <w:jc w:val="right"/>
              <w:rPr>
                <w:color w:val="000000"/>
                <w:sz w:val="20"/>
                <w:szCs w:val="20"/>
              </w:rPr>
            </w:pPr>
            <w:r>
              <w:rPr>
                <w:color w:val="000000"/>
                <w:sz w:val="20"/>
                <w:szCs w:val="20"/>
              </w:rPr>
              <w:t>-0.043</w:t>
            </w:r>
          </w:p>
        </w:tc>
        <w:tc>
          <w:tcPr>
            <w:tcW w:w="864" w:type="dxa"/>
            <w:tcBorders>
              <w:top w:val="nil"/>
              <w:left w:val="nil"/>
              <w:bottom w:val="single" w:sz="12" w:space="0" w:color="auto"/>
              <w:right w:val="nil"/>
            </w:tcBorders>
            <w:shd w:val="clear" w:color="auto" w:fill="auto"/>
            <w:noWrap/>
            <w:vAlign w:val="bottom"/>
            <w:hideMark/>
          </w:tcPr>
          <w:p w14:paraId="1D49A3A5" w14:textId="77777777" w:rsidR="00565393" w:rsidRDefault="00565393">
            <w:pPr>
              <w:jc w:val="right"/>
              <w:rPr>
                <w:color w:val="000000"/>
                <w:sz w:val="20"/>
                <w:szCs w:val="20"/>
              </w:rPr>
            </w:pPr>
            <w:r>
              <w:rPr>
                <w:color w:val="000000"/>
                <w:sz w:val="20"/>
                <w:szCs w:val="20"/>
              </w:rPr>
              <w:t>0.768</w:t>
            </w:r>
          </w:p>
        </w:tc>
        <w:tc>
          <w:tcPr>
            <w:tcW w:w="864" w:type="dxa"/>
            <w:tcBorders>
              <w:top w:val="nil"/>
              <w:left w:val="nil"/>
              <w:bottom w:val="single" w:sz="12" w:space="0" w:color="auto"/>
              <w:right w:val="nil"/>
            </w:tcBorders>
            <w:shd w:val="clear" w:color="auto" w:fill="auto"/>
            <w:noWrap/>
            <w:vAlign w:val="bottom"/>
            <w:hideMark/>
          </w:tcPr>
          <w:p w14:paraId="2D17C337" w14:textId="77777777" w:rsidR="00565393" w:rsidRDefault="00565393">
            <w:pPr>
              <w:jc w:val="right"/>
              <w:rPr>
                <w:color w:val="000000"/>
                <w:sz w:val="20"/>
                <w:szCs w:val="20"/>
              </w:rPr>
            </w:pPr>
            <w:r>
              <w:rPr>
                <w:color w:val="000000"/>
                <w:sz w:val="20"/>
                <w:szCs w:val="20"/>
              </w:rPr>
              <w:t>0.002</w:t>
            </w:r>
          </w:p>
        </w:tc>
        <w:tc>
          <w:tcPr>
            <w:tcW w:w="864" w:type="dxa"/>
            <w:tcBorders>
              <w:top w:val="nil"/>
              <w:left w:val="nil"/>
              <w:bottom w:val="single" w:sz="12" w:space="0" w:color="auto"/>
              <w:right w:val="nil"/>
            </w:tcBorders>
            <w:shd w:val="clear" w:color="auto" w:fill="auto"/>
            <w:noWrap/>
            <w:vAlign w:val="bottom"/>
            <w:hideMark/>
          </w:tcPr>
          <w:p w14:paraId="03A8D965" w14:textId="77777777" w:rsidR="00565393" w:rsidRDefault="00565393">
            <w:pPr>
              <w:jc w:val="right"/>
              <w:rPr>
                <w:color w:val="000000"/>
                <w:sz w:val="20"/>
                <w:szCs w:val="20"/>
              </w:rPr>
            </w:pPr>
            <w:r>
              <w:rPr>
                <w:color w:val="000000"/>
                <w:sz w:val="20"/>
                <w:szCs w:val="20"/>
              </w:rPr>
              <w:t>0.044</w:t>
            </w:r>
          </w:p>
        </w:tc>
        <w:tc>
          <w:tcPr>
            <w:tcW w:w="864" w:type="dxa"/>
            <w:tcBorders>
              <w:top w:val="nil"/>
              <w:left w:val="nil"/>
              <w:bottom w:val="single" w:sz="12" w:space="0" w:color="auto"/>
              <w:right w:val="nil"/>
            </w:tcBorders>
            <w:shd w:val="clear" w:color="auto" w:fill="auto"/>
            <w:noWrap/>
            <w:vAlign w:val="bottom"/>
            <w:hideMark/>
          </w:tcPr>
          <w:p w14:paraId="7FA8A4F2" w14:textId="77777777" w:rsidR="00565393" w:rsidRDefault="00565393">
            <w:pPr>
              <w:jc w:val="right"/>
              <w:rPr>
                <w:color w:val="000000"/>
                <w:sz w:val="20"/>
                <w:szCs w:val="20"/>
              </w:rPr>
            </w:pPr>
            <w:r>
              <w:rPr>
                <w:color w:val="000000"/>
                <w:sz w:val="20"/>
                <w:szCs w:val="20"/>
              </w:rPr>
              <w:t>0.906</w:t>
            </w:r>
          </w:p>
        </w:tc>
        <w:tc>
          <w:tcPr>
            <w:tcW w:w="864" w:type="dxa"/>
            <w:tcBorders>
              <w:top w:val="nil"/>
              <w:left w:val="nil"/>
              <w:bottom w:val="single" w:sz="12" w:space="0" w:color="auto"/>
              <w:right w:val="nil"/>
            </w:tcBorders>
            <w:shd w:val="clear" w:color="auto" w:fill="auto"/>
            <w:noWrap/>
            <w:vAlign w:val="bottom"/>
            <w:hideMark/>
          </w:tcPr>
          <w:p w14:paraId="03CCCD08" w14:textId="77777777" w:rsidR="00565393" w:rsidRDefault="00565393">
            <w:pPr>
              <w:jc w:val="right"/>
              <w:rPr>
                <w:color w:val="000000"/>
                <w:sz w:val="20"/>
                <w:szCs w:val="20"/>
              </w:rPr>
            </w:pPr>
            <w:r>
              <w:rPr>
                <w:color w:val="000000"/>
                <w:sz w:val="20"/>
                <w:szCs w:val="20"/>
              </w:rPr>
              <w:t>0.002</w:t>
            </w:r>
          </w:p>
        </w:tc>
      </w:tr>
      <w:tr w:rsidR="00565393" w14:paraId="1435C85F"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20E80A7C" w14:textId="77777777" w:rsidR="00565393" w:rsidRDefault="00565393">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00E6F012" w14:textId="77777777" w:rsidR="00565393" w:rsidRDefault="0056539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6949EC8" w14:textId="77777777" w:rsidR="00565393" w:rsidRDefault="0056539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E9C39FE" w14:textId="77777777" w:rsidR="00565393" w:rsidRDefault="0056539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A69BAB0" w14:textId="77777777" w:rsidR="00565393" w:rsidRDefault="0056539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52BBDB0" w14:textId="77777777" w:rsidR="00565393" w:rsidRDefault="0056539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A18FB48" w14:textId="77777777" w:rsidR="00565393" w:rsidRDefault="0056539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B6CB3AC" w14:textId="77777777" w:rsidR="00565393" w:rsidRDefault="00565393">
            <w:pPr>
              <w:rPr>
                <w:sz w:val="20"/>
                <w:szCs w:val="20"/>
              </w:rPr>
            </w:pPr>
          </w:p>
        </w:tc>
      </w:tr>
    </w:tbl>
    <w:p w14:paraId="7E3930AB" w14:textId="58628C2D" w:rsidR="00A7539C" w:rsidRDefault="00A7539C" w:rsidP="00BC5AB7">
      <w:pPr>
        <w:rPr>
          <w:rFonts w:ascii="Batang" w:eastAsia="Batang" w:hAnsi="Batang" w:cs="Batang"/>
          <w:color w:val="000000"/>
        </w:rPr>
      </w:pPr>
    </w:p>
    <w:p w14:paraId="57A8789B" w14:textId="77777777" w:rsidR="00A7539C" w:rsidRDefault="00A7539C">
      <w:pPr>
        <w:rPr>
          <w:rFonts w:ascii="Batang" w:eastAsia="Batang" w:hAnsi="Batang" w:cs="Batang"/>
          <w:color w:val="000000"/>
        </w:rPr>
      </w:pPr>
      <w:r>
        <w:rPr>
          <w:rFonts w:ascii="Batang" w:eastAsia="Batang" w:hAnsi="Batang" w:cs="Batang"/>
          <w:color w:val="000000"/>
        </w:rPr>
        <w:br w:type="page"/>
      </w:r>
    </w:p>
    <w:p w14:paraId="7527BF7A" w14:textId="3556A4A9" w:rsidR="00A7539C" w:rsidRPr="00474DA8" w:rsidRDefault="00A7539C" w:rsidP="00A7539C">
      <w:pPr>
        <w:pStyle w:val="Heading1"/>
        <w:rPr>
          <w:rFonts w:ascii="Times New Roman" w:hAnsi="Times New Roman" w:cs="Times New Roman"/>
          <w:color w:val="000000" w:themeColor="text1"/>
          <w:sz w:val="24"/>
          <w:szCs w:val="24"/>
        </w:rPr>
      </w:pPr>
      <w:bookmarkStart w:id="76" w:name="_Toc155817743"/>
      <w:r w:rsidRPr="00B751D3">
        <w:rPr>
          <w:rFonts w:ascii="Times New Roman" w:hAnsi="Times New Roman" w:cs="Times New Roman"/>
          <w:b/>
          <w:bCs/>
          <w:color w:val="000000" w:themeColor="text1"/>
          <w:sz w:val="24"/>
          <w:szCs w:val="24"/>
        </w:rPr>
        <w:lastRenderedPageBreak/>
        <w:t>Table 2</w:t>
      </w:r>
      <w:r w:rsidR="0036523A" w:rsidRPr="00B751D3">
        <w:rPr>
          <w:rFonts w:ascii="Times New Roman" w:hAnsi="Times New Roman" w:cs="Times New Roman"/>
          <w:b/>
          <w:bCs/>
          <w:color w:val="000000" w:themeColor="text1"/>
          <w:sz w:val="24"/>
          <w:szCs w:val="24"/>
        </w:rPr>
        <w:t>7</w:t>
      </w:r>
      <w:r w:rsidR="00B751D3" w:rsidRPr="00B751D3">
        <w:rPr>
          <w:rFonts w:ascii="Times New Roman" w:hAnsi="Times New Roman" w:cs="Times New Roman"/>
          <w:b/>
          <w:bCs/>
          <w:color w:val="000000" w:themeColor="text1"/>
          <w:sz w:val="24"/>
          <w:szCs w:val="24"/>
        </w:rPr>
        <w:t>m.</w:t>
      </w:r>
      <w:r>
        <w:rPr>
          <w:rFonts w:ascii="Times New Roman" w:hAnsi="Times New Roman" w:cs="Times New Roman"/>
          <w:color w:val="000000" w:themeColor="text1"/>
          <w:sz w:val="24"/>
          <w:szCs w:val="24"/>
        </w:rPr>
        <w:t xml:space="preserve"> Results examining the relationship between Shen-268 network local efficiency and neighborhood SES deprivation obtained from bifactor modeling and neighborhood median income during monetary incentive delay task</w:t>
      </w:r>
      <w:bookmarkEnd w:id="76"/>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BB4E36" w14:paraId="0C7C5199"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60D9E8B3" w14:textId="77777777" w:rsidR="00BB4E36" w:rsidRDefault="00BB4E36">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22C10368" w14:textId="77777777" w:rsidR="00BB4E36" w:rsidRDefault="00BB4E36">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61AC613B" w14:textId="77777777" w:rsidR="00BB4E36" w:rsidRDefault="00BB4E36">
            <w:pPr>
              <w:rPr>
                <w:color w:val="000000"/>
              </w:rPr>
            </w:pPr>
          </w:p>
        </w:tc>
        <w:tc>
          <w:tcPr>
            <w:tcW w:w="864" w:type="dxa"/>
            <w:tcBorders>
              <w:top w:val="nil"/>
              <w:left w:val="nil"/>
              <w:bottom w:val="single" w:sz="12" w:space="0" w:color="auto"/>
              <w:right w:val="nil"/>
            </w:tcBorders>
            <w:shd w:val="clear" w:color="auto" w:fill="auto"/>
            <w:noWrap/>
            <w:vAlign w:val="bottom"/>
            <w:hideMark/>
          </w:tcPr>
          <w:p w14:paraId="2D1AF3F8" w14:textId="77777777" w:rsidR="00BB4E36" w:rsidRDefault="00BB4E3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E0E3B45" w14:textId="77777777" w:rsidR="00BB4E36" w:rsidRDefault="00BB4E3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304BF87" w14:textId="77777777" w:rsidR="00BB4E36" w:rsidRDefault="00BB4E3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8346273" w14:textId="77777777" w:rsidR="00BB4E36" w:rsidRDefault="00BB4E3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3CB1CFC3" w14:textId="77777777" w:rsidR="00BB4E36" w:rsidRDefault="00BB4E36">
            <w:pPr>
              <w:rPr>
                <w:sz w:val="20"/>
                <w:szCs w:val="20"/>
              </w:rPr>
            </w:pPr>
          </w:p>
        </w:tc>
      </w:tr>
      <w:tr w:rsidR="00BB4E36" w14:paraId="315BCD37"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18530153" w14:textId="77777777" w:rsidR="00BB4E36" w:rsidRDefault="00BB4E36">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43667D1B" w14:textId="77777777" w:rsidR="00BB4E36" w:rsidRDefault="00BB4E36">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4DDA583D" w14:textId="77777777" w:rsidR="00BB4E36" w:rsidRDefault="00BB4E36">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4C77F76C" w14:textId="77777777" w:rsidR="00BB4E36" w:rsidRDefault="00BB4E36">
            <w:pPr>
              <w:jc w:val="center"/>
              <w:rPr>
                <w:color w:val="000000"/>
                <w:sz w:val="20"/>
                <w:szCs w:val="20"/>
              </w:rPr>
            </w:pPr>
            <w:r>
              <w:rPr>
                <w:color w:val="000000"/>
                <w:sz w:val="20"/>
                <w:szCs w:val="20"/>
              </w:rPr>
              <w:t>Neighborhood Median Income</w:t>
            </w:r>
          </w:p>
        </w:tc>
      </w:tr>
      <w:tr w:rsidR="00BB4E36" w14:paraId="1128CBF5"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29DC8ECC" w14:textId="77777777" w:rsidR="00BB4E36" w:rsidRDefault="00BB4E36">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0D5EFD75" w14:textId="77777777" w:rsidR="00BB4E36" w:rsidRDefault="00BB4E36">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102E20B6" w14:textId="77777777" w:rsidR="00BB4E36" w:rsidRDefault="00BB4E36">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54A9AA3A" w14:textId="77777777" w:rsidR="00BB4E36" w:rsidRDefault="00BB4E3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0BF4512F" w14:textId="77777777" w:rsidR="00BB4E36" w:rsidRDefault="00BB4E36">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36DB30F2" w14:textId="77777777" w:rsidR="00BB4E36" w:rsidRDefault="00BB4E36">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11F18896" w14:textId="77777777" w:rsidR="00BB4E36" w:rsidRDefault="00BB4E3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7A119FB5" w14:textId="77777777" w:rsidR="00BB4E36" w:rsidRDefault="00BB4E36">
            <w:pPr>
              <w:jc w:val="center"/>
              <w:rPr>
                <w:i/>
                <w:iCs/>
                <w:color w:val="000000"/>
                <w:sz w:val="20"/>
                <w:szCs w:val="20"/>
              </w:rPr>
            </w:pPr>
            <w:r>
              <w:rPr>
                <w:i/>
                <w:iCs/>
                <w:color w:val="000000"/>
                <w:sz w:val="20"/>
                <w:szCs w:val="20"/>
              </w:rPr>
              <w:t>R2</w:t>
            </w:r>
          </w:p>
        </w:tc>
      </w:tr>
      <w:tr w:rsidR="00BB4E36" w14:paraId="4C1A2272"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65252A60" w14:textId="77777777" w:rsidR="00BB4E36" w:rsidRDefault="00BB4E36">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5DD7A3CD" w14:textId="77777777" w:rsidR="00BB4E36" w:rsidRDefault="00BB4E36">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34B3E423" w14:textId="77777777" w:rsidR="00BB4E36" w:rsidRDefault="00BB4E36">
            <w:pPr>
              <w:jc w:val="right"/>
              <w:rPr>
                <w:color w:val="000000"/>
                <w:sz w:val="20"/>
                <w:szCs w:val="20"/>
              </w:rPr>
            </w:pPr>
            <w:r>
              <w:rPr>
                <w:color w:val="000000"/>
                <w:sz w:val="20"/>
                <w:szCs w:val="20"/>
              </w:rPr>
              <w:t>-0.006</w:t>
            </w:r>
          </w:p>
        </w:tc>
        <w:tc>
          <w:tcPr>
            <w:tcW w:w="864" w:type="dxa"/>
            <w:tcBorders>
              <w:top w:val="single" w:sz="12" w:space="0" w:color="auto"/>
              <w:left w:val="nil"/>
              <w:bottom w:val="nil"/>
              <w:right w:val="nil"/>
            </w:tcBorders>
            <w:shd w:val="clear" w:color="auto" w:fill="auto"/>
            <w:noWrap/>
            <w:vAlign w:val="bottom"/>
            <w:hideMark/>
          </w:tcPr>
          <w:p w14:paraId="7443E56F" w14:textId="77777777" w:rsidR="00BB4E36" w:rsidRDefault="00BB4E36">
            <w:pPr>
              <w:jc w:val="right"/>
              <w:rPr>
                <w:color w:val="000000"/>
                <w:sz w:val="20"/>
                <w:szCs w:val="20"/>
              </w:rPr>
            </w:pPr>
            <w:r>
              <w:rPr>
                <w:color w:val="000000"/>
                <w:sz w:val="20"/>
                <w:szCs w:val="20"/>
              </w:rPr>
              <w:t>0.856</w:t>
            </w:r>
          </w:p>
        </w:tc>
        <w:tc>
          <w:tcPr>
            <w:tcW w:w="864" w:type="dxa"/>
            <w:tcBorders>
              <w:top w:val="single" w:sz="12" w:space="0" w:color="auto"/>
              <w:left w:val="nil"/>
              <w:bottom w:val="nil"/>
              <w:right w:val="nil"/>
            </w:tcBorders>
            <w:shd w:val="clear" w:color="auto" w:fill="auto"/>
            <w:noWrap/>
            <w:vAlign w:val="bottom"/>
            <w:hideMark/>
          </w:tcPr>
          <w:p w14:paraId="6BC5C18B" w14:textId="77777777" w:rsidR="00BB4E36" w:rsidRDefault="00BB4E36">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1C9ED2D5" w14:textId="77777777" w:rsidR="00BB4E36" w:rsidRDefault="00BB4E36">
            <w:pPr>
              <w:jc w:val="right"/>
              <w:rPr>
                <w:color w:val="000000"/>
                <w:sz w:val="20"/>
                <w:szCs w:val="20"/>
              </w:rPr>
            </w:pPr>
            <w:r>
              <w:rPr>
                <w:color w:val="000000"/>
                <w:sz w:val="20"/>
                <w:szCs w:val="20"/>
              </w:rPr>
              <w:t>-0.009</w:t>
            </w:r>
          </w:p>
        </w:tc>
        <w:tc>
          <w:tcPr>
            <w:tcW w:w="864" w:type="dxa"/>
            <w:tcBorders>
              <w:top w:val="single" w:sz="12" w:space="0" w:color="auto"/>
              <w:left w:val="nil"/>
              <w:bottom w:val="nil"/>
              <w:right w:val="nil"/>
            </w:tcBorders>
            <w:shd w:val="clear" w:color="auto" w:fill="auto"/>
            <w:noWrap/>
            <w:vAlign w:val="bottom"/>
            <w:hideMark/>
          </w:tcPr>
          <w:p w14:paraId="140AE70F" w14:textId="77777777" w:rsidR="00BB4E36" w:rsidRDefault="00BB4E36">
            <w:pPr>
              <w:jc w:val="right"/>
              <w:rPr>
                <w:color w:val="000000"/>
                <w:sz w:val="20"/>
                <w:szCs w:val="20"/>
              </w:rPr>
            </w:pPr>
            <w:r>
              <w:rPr>
                <w:color w:val="000000"/>
                <w:sz w:val="20"/>
                <w:szCs w:val="20"/>
              </w:rPr>
              <w:t>0.903</w:t>
            </w:r>
          </w:p>
        </w:tc>
        <w:tc>
          <w:tcPr>
            <w:tcW w:w="864" w:type="dxa"/>
            <w:tcBorders>
              <w:top w:val="single" w:sz="12" w:space="0" w:color="auto"/>
              <w:left w:val="nil"/>
              <w:bottom w:val="nil"/>
              <w:right w:val="nil"/>
            </w:tcBorders>
            <w:shd w:val="clear" w:color="auto" w:fill="auto"/>
            <w:noWrap/>
            <w:vAlign w:val="bottom"/>
            <w:hideMark/>
          </w:tcPr>
          <w:p w14:paraId="014EEE57" w14:textId="77777777" w:rsidR="00BB4E36" w:rsidRDefault="00BB4E36">
            <w:pPr>
              <w:jc w:val="right"/>
              <w:rPr>
                <w:color w:val="000000"/>
                <w:sz w:val="20"/>
                <w:szCs w:val="20"/>
              </w:rPr>
            </w:pPr>
            <w:r>
              <w:rPr>
                <w:color w:val="000000"/>
                <w:sz w:val="20"/>
                <w:szCs w:val="20"/>
              </w:rPr>
              <w:t>0.000</w:t>
            </w:r>
          </w:p>
        </w:tc>
      </w:tr>
      <w:tr w:rsidR="00BB4E36" w14:paraId="57A7C59F" w14:textId="77777777" w:rsidTr="00BB4E36">
        <w:trPr>
          <w:trHeight w:val="340"/>
        </w:trPr>
        <w:tc>
          <w:tcPr>
            <w:tcW w:w="1152" w:type="dxa"/>
            <w:tcBorders>
              <w:top w:val="nil"/>
              <w:left w:val="nil"/>
              <w:bottom w:val="nil"/>
              <w:right w:val="nil"/>
            </w:tcBorders>
            <w:shd w:val="clear" w:color="auto" w:fill="auto"/>
            <w:noWrap/>
            <w:vAlign w:val="bottom"/>
            <w:hideMark/>
          </w:tcPr>
          <w:p w14:paraId="21A85B04"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B86119" w14:textId="77777777" w:rsidR="00BB4E36" w:rsidRDefault="00BB4E3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671E237" w14:textId="77777777" w:rsidR="00BB4E36" w:rsidRDefault="00BB4E36">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59FFFB32" w14:textId="77777777" w:rsidR="00BB4E36" w:rsidRDefault="00BB4E36">
            <w:pPr>
              <w:jc w:val="right"/>
              <w:rPr>
                <w:color w:val="000000"/>
                <w:sz w:val="20"/>
                <w:szCs w:val="20"/>
              </w:rPr>
            </w:pPr>
            <w:r>
              <w:rPr>
                <w:color w:val="000000"/>
                <w:sz w:val="20"/>
                <w:szCs w:val="20"/>
              </w:rPr>
              <w:t>0.582</w:t>
            </w:r>
          </w:p>
        </w:tc>
        <w:tc>
          <w:tcPr>
            <w:tcW w:w="864" w:type="dxa"/>
            <w:tcBorders>
              <w:top w:val="nil"/>
              <w:left w:val="nil"/>
              <w:bottom w:val="nil"/>
              <w:right w:val="nil"/>
            </w:tcBorders>
            <w:shd w:val="clear" w:color="auto" w:fill="auto"/>
            <w:noWrap/>
            <w:vAlign w:val="bottom"/>
            <w:hideMark/>
          </w:tcPr>
          <w:p w14:paraId="4C54953D" w14:textId="77777777" w:rsidR="00BB4E36" w:rsidRDefault="00BB4E3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3EE2A76" w14:textId="77777777" w:rsidR="00BB4E36" w:rsidRDefault="00BB4E36">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42DFE0E3" w14:textId="77777777" w:rsidR="00BB4E36" w:rsidRDefault="00BB4E36">
            <w:pPr>
              <w:jc w:val="right"/>
              <w:rPr>
                <w:color w:val="000000"/>
                <w:sz w:val="20"/>
                <w:szCs w:val="20"/>
              </w:rPr>
            </w:pPr>
            <w:r>
              <w:rPr>
                <w:color w:val="000000"/>
                <w:sz w:val="20"/>
                <w:szCs w:val="20"/>
              </w:rPr>
              <w:t>0.903</w:t>
            </w:r>
          </w:p>
        </w:tc>
        <w:tc>
          <w:tcPr>
            <w:tcW w:w="864" w:type="dxa"/>
            <w:tcBorders>
              <w:top w:val="nil"/>
              <w:left w:val="nil"/>
              <w:bottom w:val="nil"/>
              <w:right w:val="nil"/>
            </w:tcBorders>
            <w:shd w:val="clear" w:color="auto" w:fill="auto"/>
            <w:noWrap/>
            <w:vAlign w:val="bottom"/>
            <w:hideMark/>
          </w:tcPr>
          <w:p w14:paraId="21C32D26" w14:textId="77777777" w:rsidR="00BB4E36" w:rsidRDefault="00BB4E36">
            <w:pPr>
              <w:jc w:val="right"/>
              <w:rPr>
                <w:color w:val="000000"/>
                <w:sz w:val="20"/>
                <w:szCs w:val="20"/>
              </w:rPr>
            </w:pPr>
            <w:r>
              <w:rPr>
                <w:color w:val="000000"/>
                <w:sz w:val="20"/>
                <w:szCs w:val="20"/>
              </w:rPr>
              <w:t>0.000</w:t>
            </w:r>
          </w:p>
        </w:tc>
      </w:tr>
      <w:tr w:rsidR="00BB4E36" w14:paraId="393D446C" w14:textId="77777777" w:rsidTr="00BB4E36">
        <w:trPr>
          <w:trHeight w:val="320"/>
        </w:trPr>
        <w:tc>
          <w:tcPr>
            <w:tcW w:w="1152" w:type="dxa"/>
            <w:tcBorders>
              <w:top w:val="nil"/>
              <w:left w:val="nil"/>
              <w:bottom w:val="nil"/>
              <w:right w:val="nil"/>
            </w:tcBorders>
            <w:shd w:val="clear" w:color="auto" w:fill="auto"/>
            <w:noWrap/>
            <w:vAlign w:val="bottom"/>
            <w:hideMark/>
          </w:tcPr>
          <w:p w14:paraId="5A555527"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6B0A4B1" w14:textId="77777777" w:rsidR="00BB4E36" w:rsidRDefault="00BB4E3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1AAE6E1" w14:textId="77777777" w:rsidR="00BB4E36" w:rsidRDefault="00BB4E36">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646811A4" w14:textId="77777777" w:rsidR="00BB4E36" w:rsidRDefault="00BB4E36">
            <w:pPr>
              <w:jc w:val="right"/>
              <w:rPr>
                <w:color w:val="000000"/>
                <w:sz w:val="20"/>
                <w:szCs w:val="20"/>
              </w:rPr>
            </w:pPr>
            <w:r>
              <w:rPr>
                <w:color w:val="000000"/>
                <w:sz w:val="20"/>
                <w:szCs w:val="20"/>
              </w:rPr>
              <w:t>0.582</w:t>
            </w:r>
          </w:p>
        </w:tc>
        <w:tc>
          <w:tcPr>
            <w:tcW w:w="864" w:type="dxa"/>
            <w:tcBorders>
              <w:top w:val="nil"/>
              <w:left w:val="nil"/>
              <w:bottom w:val="nil"/>
              <w:right w:val="nil"/>
            </w:tcBorders>
            <w:shd w:val="clear" w:color="auto" w:fill="auto"/>
            <w:noWrap/>
            <w:vAlign w:val="bottom"/>
            <w:hideMark/>
          </w:tcPr>
          <w:p w14:paraId="07799A7F" w14:textId="77777777" w:rsidR="00BB4E36" w:rsidRDefault="00BB4E3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5F28AC69" w14:textId="77777777" w:rsidR="00BB4E36" w:rsidRDefault="00BB4E36">
            <w:pPr>
              <w:jc w:val="right"/>
              <w:rPr>
                <w:color w:val="000000"/>
                <w:sz w:val="20"/>
                <w:szCs w:val="20"/>
              </w:rPr>
            </w:pPr>
            <w:r>
              <w:rPr>
                <w:color w:val="000000"/>
                <w:sz w:val="20"/>
                <w:szCs w:val="20"/>
              </w:rPr>
              <w:t>-0.095</w:t>
            </w:r>
          </w:p>
        </w:tc>
        <w:tc>
          <w:tcPr>
            <w:tcW w:w="864" w:type="dxa"/>
            <w:tcBorders>
              <w:top w:val="nil"/>
              <w:left w:val="nil"/>
              <w:bottom w:val="nil"/>
              <w:right w:val="nil"/>
            </w:tcBorders>
            <w:shd w:val="clear" w:color="auto" w:fill="auto"/>
            <w:noWrap/>
            <w:vAlign w:val="bottom"/>
            <w:hideMark/>
          </w:tcPr>
          <w:p w14:paraId="366B33C7" w14:textId="77777777" w:rsidR="00BB4E36" w:rsidRDefault="00BB4E36">
            <w:pPr>
              <w:jc w:val="right"/>
              <w:rPr>
                <w:color w:val="000000"/>
                <w:sz w:val="20"/>
                <w:szCs w:val="20"/>
              </w:rPr>
            </w:pPr>
            <w:r>
              <w:rPr>
                <w:color w:val="000000"/>
                <w:sz w:val="20"/>
                <w:szCs w:val="20"/>
              </w:rPr>
              <w:t>0.592</w:t>
            </w:r>
          </w:p>
        </w:tc>
        <w:tc>
          <w:tcPr>
            <w:tcW w:w="864" w:type="dxa"/>
            <w:tcBorders>
              <w:top w:val="nil"/>
              <w:left w:val="nil"/>
              <w:bottom w:val="nil"/>
              <w:right w:val="nil"/>
            </w:tcBorders>
            <w:shd w:val="clear" w:color="auto" w:fill="auto"/>
            <w:noWrap/>
            <w:vAlign w:val="bottom"/>
            <w:hideMark/>
          </w:tcPr>
          <w:p w14:paraId="49AE27E4" w14:textId="77777777" w:rsidR="00BB4E36" w:rsidRDefault="00BB4E36">
            <w:pPr>
              <w:jc w:val="right"/>
              <w:rPr>
                <w:color w:val="000000"/>
                <w:sz w:val="20"/>
                <w:szCs w:val="20"/>
              </w:rPr>
            </w:pPr>
            <w:r>
              <w:rPr>
                <w:color w:val="000000"/>
                <w:sz w:val="20"/>
                <w:szCs w:val="20"/>
              </w:rPr>
              <w:t>0.009</w:t>
            </w:r>
          </w:p>
        </w:tc>
      </w:tr>
      <w:tr w:rsidR="00BB4E36" w14:paraId="1B2F3373" w14:textId="77777777" w:rsidTr="00BB4E36">
        <w:trPr>
          <w:trHeight w:val="320"/>
        </w:trPr>
        <w:tc>
          <w:tcPr>
            <w:tcW w:w="1152" w:type="dxa"/>
            <w:tcBorders>
              <w:top w:val="nil"/>
              <w:left w:val="nil"/>
              <w:bottom w:val="nil"/>
              <w:right w:val="nil"/>
            </w:tcBorders>
            <w:shd w:val="clear" w:color="auto" w:fill="auto"/>
            <w:noWrap/>
            <w:vAlign w:val="bottom"/>
            <w:hideMark/>
          </w:tcPr>
          <w:p w14:paraId="7E76C0F7"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CD5CCDA" w14:textId="77777777" w:rsidR="00BB4E36" w:rsidRDefault="00BB4E3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1208A42" w14:textId="77777777" w:rsidR="00BB4E36" w:rsidRDefault="00BB4E36">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7864CF41" w14:textId="77777777" w:rsidR="00BB4E36" w:rsidRDefault="00BB4E36">
            <w:pPr>
              <w:jc w:val="right"/>
              <w:rPr>
                <w:color w:val="000000"/>
                <w:sz w:val="20"/>
                <w:szCs w:val="20"/>
              </w:rPr>
            </w:pPr>
            <w:r>
              <w:rPr>
                <w:color w:val="000000"/>
                <w:sz w:val="20"/>
                <w:szCs w:val="20"/>
              </w:rPr>
              <w:t>0.582</w:t>
            </w:r>
          </w:p>
        </w:tc>
        <w:tc>
          <w:tcPr>
            <w:tcW w:w="864" w:type="dxa"/>
            <w:tcBorders>
              <w:top w:val="nil"/>
              <w:left w:val="nil"/>
              <w:bottom w:val="nil"/>
              <w:right w:val="nil"/>
            </w:tcBorders>
            <w:shd w:val="clear" w:color="auto" w:fill="auto"/>
            <w:noWrap/>
            <w:vAlign w:val="bottom"/>
            <w:hideMark/>
          </w:tcPr>
          <w:p w14:paraId="4E6FE32E" w14:textId="77777777" w:rsidR="00BB4E36" w:rsidRDefault="00BB4E3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356B2B36" w14:textId="77777777" w:rsidR="00BB4E36" w:rsidRDefault="00BB4E36">
            <w:pPr>
              <w:jc w:val="right"/>
              <w:rPr>
                <w:color w:val="000000"/>
                <w:sz w:val="20"/>
                <w:szCs w:val="20"/>
              </w:rPr>
            </w:pPr>
            <w:r>
              <w:rPr>
                <w:color w:val="000000"/>
                <w:sz w:val="20"/>
                <w:szCs w:val="20"/>
              </w:rPr>
              <w:t>0.113</w:t>
            </w:r>
          </w:p>
        </w:tc>
        <w:tc>
          <w:tcPr>
            <w:tcW w:w="864" w:type="dxa"/>
            <w:tcBorders>
              <w:top w:val="nil"/>
              <w:left w:val="nil"/>
              <w:bottom w:val="nil"/>
              <w:right w:val="nil"/>
            </w:tcBorders>
            <w:shd w:val="clear" w:color="auto" w:fill="auto"/>
            <w:noWrap/>
            <w:vAlign w:val="bottom"/>
            <w:hideMark/>
          </w:tcPr>
          <w:p w14:paraId="6B6585BD" w14:textId="77777777" w:rsidR="00BB4E36" w:rsidRDefault="00BB4E36">
            <w:pPr>
              <w:jc w:val="right"/>
              <w:rPr>
                <w:color w:val="000000"/>
                <w:sz w:val="20"/>
                <w:szCs w:val="20"/>
              </w:rPr>
            </w:pPr>
            <w:r>
              <w:rPr>
                <w:color w:val="000000"/>
                <w:sz w:val="20"/>
                <w:szCs w:val="20"/>
              </w:rPr>
              <w:t>0.592</w:t>
            </w:r>
          </w:p>
        </w:tc>
        <w:tc>
          <w:tcPr>
            <w:tcW w:w="864" w:type="dxa"/>
            <w:tcBorders>
              <w:top w:val="nil"/>
              <w:left w:val="nil"/>
              <w:bottom w:val="nil"/>
              <w:right w:val="nil"/>
            </w:tcBorders>
            <w:shd w:val="clear" w:color="auto" w:fill="auto"/>
            <w:noWrap/>
            <w:vAlign w:val="bottom"/>
            <w:hideMark/>
          </w:tcPr>
          <w:p w14:paraId="30C89CAC" w14:textId="77777777" w:rsidR="00BB4E36" w:rsidRDefault="00BB4E36">
            <w:pPr>
              <w:jc w:val="right"/>
              <w:rPr>
                <w:color w:val="000000"/>
                <w:sz w:val="20"/>
                <w:szCs w:val="20"/>
              </w:rPr>
            </w:pPr>
            <w:r>
              <w:rPr>
                <w:color w:val="000000"/>
                <w:sz w:val="20"/>
                <w:szCs w:val="20"/>
              </w:rPr>
              <w:t>0.013</w:t>
            </w:r>
          </w:p>
        </w:tc>
      </w:tr>
      <w:tr w:rsidR="00BB4E36" w14:paraId="04635365" w14:textId="77777777" w:rsidTr="00BB4E36">
        <w:trPr>
          <w:trHeight w:val="320"/>
        </w:trPr>
        <w:tc>
          <w:tcPr>
            <w:tcW w:w="1152" w:type="dxa"/>
            <w:tcBorders>
              <w:top w:val="nil"/>
              <w:left w:val="nil"/>
              <w:bottom w:val="nil"/>
              <w:right w:val="nil"/>
            </w:tcBorders>
            <w:shd w:val="clear" w:color="auto" w:fill="auto"/>
            <w:noWrap/>
            <w:vAlign w:val="bottom"/>
            <w:hideMark/>
          </w:tcPr>
          <w:p w14:paraId="7CD588C2"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6EC6D58" w14:textId="77777777" w:rsidR="00BB4E36" w:rsidRDefault="00BB4E3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72B8DFA" w14:textId="77777777" w:rsidR="00BB4E36" w:rsidRDefault="00BB4E36">
            <w:pPr>
              <w:jc w:val="right"/>
              <w:rPr>
                <w:color w:val="000000"/>
                <w:sz w:val="20"/>
                <w:szCs w:val="20"/>
              </w:rPr>
            </w:pPr>
            <w:r>
              <w:rPr>
                <w:color w:val="000000"/>
                <w:sz w:val="20"/>
                <w:szCs w:val="20"/>
              </w:rPr>
              <w:t>-0.065</w:t>
            </w:r>
          </w:p>
        </w:tc>
        <w:tc>
          <w:tcPr>
            <w:tcW w:w="864" w:type="dxa"/>
            <w:tcBorders>
              <w:top w:val="nil"/>
              <w:left w:val="nil"/>
              <w:bottom w:val="nil"/>
              <w:right w:val="nil"/>
            </w:tcBorders>
            <w:shd w:val="clear" w:color="auto" w:fill="auto"/>
            <w:noWrap/>
            <w:vAlign w:val="bottom"/>
            <w:hideMark/>
          </w:tcPr>
          <w:p w14:paraId="3CF294D3" w14:textId="77777777" w:rsidR="00BB4E36" w:rsidRDefault="00BB4E36">
            <w:pPr>
              <w:jc w:val="right"/>
              <w:rPr>
                <w:color w:val="000000"/>
                <w:sz w:val="20"/>
                <w:szCs w:val="20"/>
              </w:rPr>
            </w:pPr>
            <w:r>
              <w:rPr>
                <w:color w:val="000000"/>
                <w:sz w:val="20"/>
                <w:szCs w:val="20"/>
              </w:rPr>
              <w:t>0.582</w:t>
            </w:r>
          </w:p>
        </w:tc>
        <w:tc>
          <w:tcPr>
            <w:tcW w:w="864" w:type="dxa"/>
            <w:tcBorders>
              <w:top w:val="nil"/>
              <w:left w:val="nil"/>
              <w:bottom w:val="nil"/>
              <w:right w:val="nil"/>
            </w:tcBorders>
            <w:shd w:val="clear" w:color="auto" w:fill="auto"/>
            <w:noWrap/>
            <w:vAlign w:val="bottom"/>
            <w:hideMark/>
          </w:tcPr>
          <w:p w14:paraId="414436CC" w14:textId="77777777" w:rsidR="00BB4E36" w:rsidRDefault="00BB4E3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0F70945" w14:textId="77777777" w:rsidR="00BB4E36" w:rsidRDefault="00BB4E36">
            <w:pPr>
              <w:jc w:val="right"/>
              <w:rPr>
                <w:color w:val="000000"/>
                <w:sz w:val="20"/>
                <w:szCs w:val="20"/>
              </w:rPr>
            </w:pPr>
            <w:r>
              <w:rPr>
                <w:color w:val="000000"/>
                <w:sz w:val="20"/>
                <w:szCs w:val="20"/>
              </w:rPr>
              <w:t>0.074</w:t>
            </w:r>
          </w:p>
        </w:tc>
        <w:tc>
          <w:tcPr>
            <w:tcW w:w="864" w:type="dxa"/>
            <w:tcBorders>
              <w:top w:val="nil"/>
              <w:left w:val="nil"/>
              <w:bottom w:val="nil"/>
              <w:right w:val="nil"/>
            </w:tcBorders>
            <w:shd w:val="clear" w:color="auto" w:fill="auto"/>
            <w:noWrap/>
            <w:vAlign w:val="bottom"/>
            <w:hideMark/>
          </w:tcPr>
          <w:p w14:paraId="502BA21D" w14:textId="77777777" w:rsidR="00BB4E36" w:rsidRDefault="00BB4E36">
            <w:pPr>
              <w:jc w:val="right"/>
              <w:rPr>
                <w:color w:val="000000"/>
                <w:sz w:val="20"/>
                <w:szCs w:val="20"/>
              </w:rPr>
            </w:pPr>
            <w:r>
              <w:rPr>
                <w:color w:val="000000"/>
                <w:sz w:val="20"/>
                <w:szCs w:val="20"/>
              </w:rPr>
              <w:t>0.592</w:t>
            </w:r>
          </w:p>
        </w:tc>
        <w:tc>
          <w:tcPr>
            <w:tcW w:w="864" w:type="dxa"/>
            <w:tcBorders>
              <w:top w:val="nil"/>
              <w:left w:val="nil"/>
              <w:bottom w:val="nil"/>
              <w:right w:val="nil"/>
            </w:tcBorders>
            <w:shd w:val="clear" w:color="auto" w:fill="auto"/>
            <w:noWrap/>
            <w:vAlign w:val="bottom"/>
            <w:hideMark/>
          </w:tcPr>
          <w:p w14:paraId="34F70ABA" w14:textId="77777777" w:rsidR="00BB4E36" w:rsidRDefault="00BB4E36">
            <w:pPr>
              <w:jc w:val="right"/>
              <w:rPr>
                <w:color w:val="000000"/>
                <w:sz w:val="20"/>
                <w:szCs w:val="20"/>
              </w:rPr>
            </w:pPr>
            <w:r>
              <w:rPr>
                <w:color w:val="000000"/>
                <w:sz w:val="20"/>
                <w:szCs w:val="20"/>
              </w:rPr>
              <w:t>0.005</w:t>
            </w:r>
          </w:p>
        </w:tc>
      </w:tr>
      <w:tr w:rsidR="00BB4E36" w14:paraId="34B80720" w14:textId="77777777" w:rsidTr="00BB4E36">
        <w:trPr>
          <w:trHeight w:val="320"/>
        </w:trPr>
        <w:tc>
          <w:tcPr>
            <w:tcW w:w="1152" w:type="dxa"/>
            <w:tcBorders>
              <w:top w:val="nil"/>
              <w:left w:val="nil"/>
              <w:bottom w:val="nil"/>
              <w:right w:val="nil"/>
            </w:tcBorders>
            <w:shd w:val="clear" w:color="auto" w:fill="auto"/>
            <w:noWrap/>
            <w:vAlign w:val="bottom"/>
            <w:hideMark/>
          </w:tcPr>
          <w:p w14:paraId="71830AA7"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B3C9504" w14:textId="77777777" w:rsidR="00BB4E36" w:rsidRDefault="00BB4E3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E2D871A" w14:textId="77777777" w:rsidR="00BB4E36" w:rsidRDefault="00BB4E3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63A4E9AD" w14:textId="77777777" w:rsidR="00BB4E36" w:rsidRDefault="00BB4E36">
            <w:pPr>
              <w:jc w:val="right"/>
              <w:rPr>
                <w:color w:val="000000"/>
                <w:sz w:val="20"/>
                <w:szCs w:val="20"/>
              </w:rPr>
            </w:pPr>
            <w:r>
              <w:rPr>
                <w:color w:val="000000"/>
                <w:sz w:val="20"/>
                <w:szCs w:val="20"/>
              </w:rPr>
              <w:t>0.856</w:t>
            </w:r>
          </w:p>
        </w:tc>
        <w:tc>
          <w:tcPr>
            <w:tcW w:w="864" w:type="dxa"/>
            <w:tcBorders>
              <w:top w:val="nil"/>
              <w:left w:val="nil"/>
              <w:bottom w:val="nil"/>
              <w:right w:val="nil"/>
            </w:tcBorders>
            <w:shd w:val="clear" w:color="auto" w:fill="auto"/>
            <w:noWrap/>
            <w:vAlign w:val="bottom"/>
            <w:hideMark/>
          </w:tcPr>
          <w:p w14:paraId="48A58E27"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24B551F" w14:textId="77777777" w:rsidR="00BB4E36" w:rsidRDefault="00BB4E36">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6F0D4FC4" w14:textId="77777777" w:rsidR="00BB4E36" w:rsidRDefault="00BB4E36">
            <w:pPr>
              <w:jc w:val="right"/>
              <w:rPr>
                <w:color w:val="000000"/>
                <w:sz w:val="20"/>
                <w:szCs w:val="20"/>
              </w:rPr>
            </w:pPr>
            <w:r>
              <w:rPr>
                <w:color w:val="000000"/>
                <w:sz w:val="20"/>
                <w:szCs w:val="20"/>
              </w:rPr>
              <w:t>0.592</w:t>
            </w:r>
          </w:p>
        </w:tc>
        <w:tc>
          <w:tcPr>
            <w:tcW w:w="864" w:type="dxa"/>
            <w:tcBorders>
              <w:top w:val="nil"/>
              <w:left w:val="nil"/>
              <w:bottom w:val="nil"/>
              <w:right w:val="nil"/>
            </w:tcBorders>
            <w:shd w:val="clear" w:color="auto" w:fill="auto"/>
            <w:noWrap/>
            <w:vAlign w:val="bottom"/>
            <w:hideMark/>
          </w:tcPr>
          <w:p w14:paraId="6CB9F34F" w14:textId="77777777" w:rsidR="00BB4E36" w:rsidRDefault="00BB4E36">
            <w:pPr>
              <w:jc w:val="right"/>
              <w:rPr>
                <w:color w:val="000000"/>
                <w:sz w:val="20"/>
                <w:szCs w:val="20"/>
              </w:rPr>
            </w:pPr>
            <w:r>
              <w:rPr>
                <w:color w:val="000000"/>
                <w:sz w:val="20"/>
                <w:szCs w:val="20"/>
              </w:rPr>
              <w:t>0.002</w:t>
            </w:r>
          </w:p>
        </w:tc>
      </w:tr>
      <w:tr w:rsidR="00BB4E36" w14:paraId="664D2BBD" w14:textId="77777777" w:rsidTr="00BB4E36">
        <w:trPr>
          <w:trHeight w:val="320"/>
        </w:trPr>
        <w:tc>
          <w:tcPr>
            <w:tcW w:w="1152" w:type="dxa"/>
            <w:tcBorders>
              <w:top w:val="nil"/>
              <w:left w:val="nil"/>
              <w:bottom w:val="nil"/>
              <w:right w:val="nil"/>
            </w:tcBorders>
            <w:shd w:val="clear" w:color="auto" w:fill="auto"/>
            <w:noWrap/>
            <w:vAlign w:val="bottom"/>
            <w:hideMark/>
          </w:tcPr>
          <w:p w14:paraId="12F61FFC"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35B35C" w14:textId="77777777" w:rsidR="00BB4E36" w:rsidRDefault="00BB4E3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22E755D" w14:textId="77777777" w:rsidR="00BB4E36" w:rsidRDefault="00BB4E36">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3B593951" w14:textId="77777777" w:rsidR="00BB4E36" w:rsidRDefault="00BB4E36">
            <w:pPr>
              <w:jc w:val="right"/>
              <w:rPr>
                <w:color w:val="000000"/>
                <w:sz w:val="20"/>
                <w:szCs w:val="20"/>
              </w:rPr>
            </w:pPr>
            <w:r>
              <w:rPr>
                <w:color w:val="000000"/>
                <w:sz w:val="20"/>
                <w:szCs w:val="20"/>
              </w:rPr>
              <w:t>0.582</w:t>
            </w:r>
          </w:p>
        </w:tc>
        <w:tc>
          <w:tcPr>
            <w:tcW w:w="864" w:type="dxa"/>
            <w:tcBorders>
              <w:top w:val="nil"/>
              <w:left w:val="nil"/>
              <w:bottom w:val="nil"/>
              <w:right w:val="nil"/>
            </w:tcBorders>
            <w:shd w:val="clear" w:color="auto" w:fill="auto"/>
            <w:noWrap/>
            <w:vAlign w:val="bottom"/>
            <w:hideMark/>
          </w:tcPr>
          <w:p w14:paraId="68F8ABAB" w14:textId="77777777" w:rsidR="00BB4E36" w:rsidRDefault="00BB4E3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6DEB7C2" w14:textId="77777777" w:rsidR="00BB4E36" w:rsidRDefault="00BB4E3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93C51E3" w14:textId="77777777" w:rsidR="00BB4E36" w:rsidRDefault="00BB4E36">
            <w:pPr>
              <w:jc w:val="right"/>
              <w:rPr>
                <w:color w:val="000000"/>
                <w:sz w:val="20"/>
                <w:szCs w:val="20"/>
              </w:rPr>
            </w:pPr>
            <w:r>
              <w:rPr>
                <w:color w:val="000000"/>
                <w:sz w:val="20"/>
                <w:szCs w:val="20"/>
              </w:rPr>
              <w:t>0.964</w:t>
            </w:r>
          </w:p>
        </w:tc>
        <w:tc>
          <w:tcPr>
            <w:tcW w:w="864" w:type="dxa"/>
            <w:tcBorders>
              <w:top w:val="nil"/>
              <w:left w:val="nil"/>
              <w:bottom w:val="nil"/>
              <w:right w:val="nil"/>
            </w:tcBorders>
            <w:shd w:val="clear" w:color="auto" w:fill="auto"/>
            <w:noWrap/>
            <w:vAlign w:val="bottom"/>
            <w:hideMark/>
          </w:tcPr>
          <w:p w14:paraId="2A1E4516" w14:textId="77777777" w:rsidR="00BB4E36" w:rsidRDefault="00BB4E36">
            <w:pPr>
              <w:jc w:val="right"/>
              <w:rPr>
                <w:color w:val="000000"/>
                <w:sz w:val="20"/>
                <w:szCs w:val="20"/>
              </w:rPr>
            </w:pPr>
            <w:r>
              <w:rPr>
                <w:color w:val="000000"/>
                <w:sz w:val="20"/>
                <w:szCs w:val="20"/>
              </w:rPr>
              <w:t>0.000</w:t>
            </w:r>
          </w:p>
        </w:tc>
      </w:tr>
      <w:tr w:rsidR="00BB4E36" w14:paraId="2DD9138F" w14:textId="77777777" w:rsidTr="00BB4E36">
        <w:trPr>
          <w:trHeight w:val="320"/>
        </w:trPr>
        <w:tc>
          <w:tcPr>
            <w:tcW w:w="1152" w:type="dxa"/>
            <w:tcBorders>
              <w:top w:val="nil"/>
              <w:left w:val="nil"/>
              <w:bottom w:val="single" w:sz="4" w:space="0" w:color="auto"/>
              <w:right w:val="nil"/>
            </w:tcBorders>
            <w:shd w:val="clear" w:color="auto" w:fill="auto"/>
            <w:noWrap/>
            <w:vAlign w:val="bottom"/>
            <w:hideMark/>
          </w:tcPr>
          <w:p w14:paraId="3993EE31" w14:textId="77777777" w:rsidR="00BB4E36" w:rsidRDefault="00BB4E3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B25A34A" w14:textId="77777777" w:rsidR="00BB4E36" w:rsidRDefault="00BB4E3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DF657C0" w14:textId="77777777" w:rsidR="00BB4E36" w:rsidRDefault="00BB4E36">
            <w:pPr>
              <w:jc w:val="right"/>
              <w:rPr>
                <w:color w:val="000000"/>
                <w:sz w:val="20"/>
                <w:szCs w:val="20"/>
              </w:rPr>
            </w:pPr>
            <w:r>
              <w:rPr>
                <w:color w:val="000000"/>
                <w:sz w:val="20"/>
                <w:szCs w:val="20"/>
              </w:rPr>
              <w:t>-0.029</w:t>
            </w:r>
          </w:p>
        </w:tc>
        <w:tc>
          <w:tcPr>
            <w:tcW w:w="864" w:type="dxa"/>
            <w:tcBorders>
              <w:top w:val="nil"/>
              <w:left w:val="nil"/>
              <w:bottom w:val="single" w:sz="4" w:space="0" w:color="auto"/>
              <w:right w:val="nil"/>
            </w:tcBorders>
            <w:shd w:val="clear" w:color="auto" w:fill="auto"/>
            <w:noWrap/>
            <w:vAlign w:val="bottom"/>
            <w:hideMark/>
          </w:tcPr>
          <w:p w14:paraId="1E9142FC" w14:textId="77777777" w:rsidR="00BB4E36" w:rsidRDefault="00BB4E36">
            <w:pPr>
              <w:jc w:val="right"/>
              <w:rPr>
                <w:color w:val="000000"/>
                <w:sz w:val="20"/>
                <w:szCs w:val="20"/>
              </w:rPr>
            </w:pPr>
            <w:r>
              <w:rPr>
                <w:color w:val="000000"/>
                <w:sz w:val="20"/>
                <w:szCs w:val="20"/>
              </w:rPr>
              <w:t>0.847</w:t>
            </w:r>
          </w:p>
        </w:tc>
        <w:tc>
          <w:tcPr>
            <w:tcW w:w="864" w:type="dxa"/>
            <w:tcBorders>
              <w:top w:val="nil"/>
              <w:left w:val="nil"/>
              <w:bottom w:val="single" w:sz="4" w:space="0" w:color="auto"/>
              <w:right w:val="nil"/>
            </w:tcBorders>
            <w:shd w:val="clear" w:color="auto" w:fill="auto"/>
            <w:noWrap/>
            <w:vAlign w:val="bottom"/>
            <w:hideMark/>
          </w:tcPr>
          <w:p w14:paraId="45C3761E" w14:textId="77777777" w:rsidR="00BB4E36" w:rsidRDefault="00BB4E36">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76973C0E" w14:textId="77777777" w:rsidR="00BB4E36" w:rsidRDefault="00BB4E36">
            <w:pPr>
              <w:jc w:val="right"/>
              <w:rPr>
                <w:color w:val="000000"/>
                <w:sz w:val="20"/>
                <w:szCs w:val="20"/>
              </w:rPr>
            </w:pPr>
            <w:r>
              <w:rPr>
                <w:color w:val="000000"/>
                <w:sz w:val="20"/>
                <w:szCs w:val="20"/>
              </w:rPr>
              <w:t>-0.024</w:t>
            </w:r>
          </w:p>
        </w:tc>
        <w:tc>
          <w:tcPr>
            <w:tcW w:w="864" w:type="dxa"/>
            <w:tcBorders>
              <w:top w:val="nil"/>
              <w:left w:val="nil"/>
              <w:bottom w:val="single" w:sz="4" w:space="0" w:color="auto"/>
              <w:right w:val="nil"/>
            </w:tcBorders>
            <w:shd w:val="clear" w:color="auto" w:fill="auto"/>
            <w:noWrap/>
            <w:vAlign w:val="bottom"/>
            <w:hideMark/>
          </w:tcPr>
          <w:p w14:paraId="22E7D927" w14:textId="77777777" w:rsidR="00BB4E36" w:rsidRDefault="00BB4E36">
            <w:pPr>
              <w:jc w:val="right"/>
              <w:rPr>
                <w:color w:val="000000"/>
                <w:sz w:val="20"/>
                <w:szCs w:val="20"/>
              </w:rPr>
            </w:pPr>
            <w:r>
              <w:rPr>
                <w:color w:val="000000"/>
                <w:sz w:val="20"/>
                <w:szCs w:val="20"/>
              </w:rPr>
              <w:t>0.903</w:t>
            </w:r>
          </w:p>
        </w:tc>
        <w:tc>
          <w:tcPr>
            <w:tcW w:w="864" w:type="dxa"/>
            <w:tcBorders>
              <w:top w:val="nil"/>
              <w:left w:val="nil"/>
              <w:bottom w:val="single" w:sz="4" w:space="0" w:color="auto"/>
              <w:right w:val="nil"/>
            </w:tcBorders>
            <w:shd w:val="clear" w:color="auto" w:fill="auto"/>
            <w:noWrap/>
            <w:vAlign w:val="bottom"/>
            <w:hideMark/>
          </w:tcPr>
          <w:p w14:paraId="33826E95" w14:textId="77777777" w:rsidR="00BB4E36" w:rsidRDefault="00BB4E36">
            <w:pPr>
              <w:jc w:val="right"/>
              <w:rPr>
                <w:color w:val="000000"/>
                <w:sz w:val="20"/>
                <w:szCs w:val="20"/>
              </w:rPr>
            </w:pPr>
            <w:r>
              <w:rPr>
                <w:color w:val="000000"/>
                <w:sz w:val="20"/>
                <w:szCs w:val="20"/>
              </w:rPr>
              <w:t>0.001</w:t>
            </w:r>
          </w:p>
        </w:tc>
      </w:tr>
      <w:tr w:rsidR="00BB4E36" w14:paraId="54489C46" w14:textId="77777777" w:rsidTr="00BB4E36">
        <w:trPr>
          <w:trHeight w:val="320"/>
        </w:trPr>
        <w:tc>
          <w:tcPr>
            <w:tcW w:w="1152" w:type="dxa"/>
            <w:tcBorders>
              <w:top w:val="nil"/>
              <w:left w:val="nil"/>
              <w:bottom w:val="nil"/>
              <w:right w:val="nil"/>
            </w:tcBorders>
            <w:shd w:val="clear" w:color="auto" w:fill="auto"/>
            <w:noWrap/>
            <w:vAlign w:val="bottom"/>
            <w:hideMark/>
          </w:tcPr>
          <w:p w14:paraId="7BD02F16" w14:textId="77777777" w:rsidR="00BB4E36" w:rsidRDefault="00BB4E36">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7CAB4C89" w14:textId="77777777" w:rsidR="00BB4E36" w:rsidRDefault="00BB4E3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52A41330" w14:textId="77777777" w:rsidR="00BB4E36" w:rsidRDefault="00BB4E36">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B80F62B" w14:textId="77777777" w:rsidR="00BB4E36" w:rsidRDefault="00BB4E36">
            <w:pPr>
              <w:jc w:val="right"/>
              <w:rPr>
                <w:color w:val="000000"/>
                <w:sz w:val="20"/>
                <w:szCs w:val="20"/>
              </w:rPr>
            </w:pPr>
            <w:r>
              <w:rPr>
                <w:color w:val="000000"/>
                <w:sz w:val="20"/>
                <w:szCs w:val="20"/>
              </w:rPr>
              <w:t>0.845</w:t>
            </w:r>
          </w:p>
        </w:tc>
        <w:tc>
          <w:tcPr>
            <w:tcW w:w="864" w:type="dxa"/>
            <w:tcBorders>
              <w:top w:val="nil"/>
              <w:left w:val="nil"/>
              <w:bottom w:val="nil"/>
              <w:right w:val="nil"/>
            </w:tcBorders>
            <w:shd w:val="clear" w:color="auto" w:fill="auto"/>
            <w:noWrap/>
            <w:vAlign w:val="bottom"/>
            <w:hideMark/>
          </w:tcPr>
          <w:p w14:paraId="1D70D8BE"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D37B416" w14:textId="77777777" w:rsidR="00BB4E36" w:rsidRDefault="00BB4E36">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2D047946" w14:textId="77777777" w:rsidR="00BB4E36" w:rsidRDefault="00BB4E36">
            <w:pPr>
              <w:jc w:val="right"/>
              <w:rPr>
                <w:color w:val="000000"/>
                <w:sz w:val="20"/>
                <w:szCs w:val="20"/>
              </w:rPr>
            </w:pPr>
            <w:r>
              <w:rPr>
                <w:color w:val="000000"/>
                <w:sz w:val="20"/>
                <w:szCs w:val="20"/>
              </w:rPr>
              <w:t>0.882</w:t>
            </w:r>
          </w:p>
        </w:tc>
        <w:tc>
          <w:tcPr>
            <w:tcW w:w="864" w:type="dxa"/>
            <w:tcBorders>
              <w:top w:val="nil"/>
              <w:left w:val="nil"/>
              <w:bottom w:val="nil"/>
              <w:right w:val="nil"/>
            </w:tcBorders>
            <w:shd w:val="clear" w:color="auto" w:fill="auto"/>
            <w:noWrap/>
            <w:vAlign w:val="bottom"/>
            <w:hideMark/>
          </w:tcPr>
          <w:p w14:paraId="1FAD3EA2" w14:textId="77777777" w:rsidR="00BB4E36" w:rsidRDefault="00BB4E36">
            <w:pPr>
              <w:jc w:val="right"/>
              <w:rPr>
                <w:color w:val="000000"/>
                <w:sz w:val="20"/>
                <w:szCs w:val="20"/>
              </w:rPr>
            </w:pPr>
            <w:r>
              <w:rPr>
                <w:color w:val="000000"/>
                <w:sz w:val="20"/>
                <w:szCs w:val="20"/>
              </w:rPr>
              <w:t>0.000</w:t>
            </w:r>
          </w:p>
        </w:tc>
      </w:tr>
      <w:tr w:rsidR="00BB4E36" w14:paraId="428B1142" w14:textId="77777777" w:rsidTr="00BB4E36">
        <w:trPr>
          <w:trHeight w:val="320"/>
        </w:trPr>
        <w:tc>
          <w:tcPr>
            <w:tcW w:w="1152" w:type="dxa"/>
            <w:tcBorders>
              <w:top w:val="nil"/>
              <w:left w:val="nil"/>
              <w:bottom w:val="nil"/>
              <w:right w:val="nil"/>
            </w:tcBorders>
            <w:shd w:val="clear" w:color="auto" w:fill="auto"/>
            <w:noWrap/>
            <w:vAlign w:val="bottom"/>
            <w:hideMark/>
          </w:tcPr>
          <w:p w14:paraId="00A017F4"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8C39C0C" w14:textId="77777777" w:rsidR="00BB4E36" w:rsidRDefault="00BB4E3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34638E0" w14:textId="77777777" w:rsidR="00BB4E36" w:rsidRDefault="00BB4E36">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5800B769" w14:textId="77777777" w:rsidR="00BB4E36" w:rsidRDefault="00BB4E36">
            <w:pPr>
              <w:jc w:val="right"/>
              <w:rPr>
                <w:color w:val="000000"/>
                <w:sz w:val="20"/>
                <w:szCs w:val="20"/>
              </w:rPr>
            </w:pPr>
            <w:r>
              <w:rPr>
                <w:color w:val="000000"/>
                <w:sz w:val="20"/>
                <w:szCs w:val="20"/>
              </w:rPr>
              <w:t>0.587</w:t>
            </w:r>
          </w:p>
        </w:tc>
        <w:tc>
          <w:tcPr>
            <w:tcW w:w="864" w:type="dxa"/>
            <w:tcBorders>
              <w:top w:val="nil"/>
              <w:left w:val="nil"/>
              <w:bottom w:val="nil"/>
              <w:right w:val="nil"/>
            </w:tcBorders>
            <w:shd w:val="clear" w:color="auto" w:fill="auto"/>
            <w:noWrap/>
            <w:vAlign w:val="bottom"/>
            <w:hideMark/>
          </w:tcPr>
          <w:p w14:paraId="2E892B06" w14:textId="77777777" w:rsidR="00BB4E36" w:rsidRDefault="00BB4E3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F444850" w14:textId="77777777" w:rsidR="00BB4E36" w:rsidRDefault="00BB4E3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59971BAC" w14:textId="77777777" w:rsidR="00BB4E36" w:rsidRDefault="00BB4E36">
            <w:pPr>
              <w:jc w:val="right"/>
              <w:rPr>
                <w:color w:val="000000"/>
                <w:sz w:val="20"/>
                <w:szCs w:val="20"/>
              </w:rPr>
            </w:pPr>
            <w:r>
              <w:rPr>
                <w:color w:val="000000"/>
                <w:sz w:val="20"/>
                <w:szCs w:val="20"/>
              </w:rPr>
              <w:t>0.898</w:t>
            </w:r>
          </w:p>
        </w:tc>
        <w:tc>
          <w:tcPr>
            <w:tcW w:w="864" w:type="dxa"/>
            <w:tcBorders>
              <w:top w:val="nil"/>
              <w:left w:val="nil"/>
              <w:bottom w:val="nil"/>
              <w:right w:val="nil"/>
            </w:tcBorders>
            <w:shd w:val="clear" w:color="auto" w:fill="auto"/>
            <w:noWrap/>
            <w:vAlign w:val="bottom"/>
            <w:hideMark/>
          </w:tcPr>
          <w:p w14:paraId="150D83EE" w14:textId="77777777" w:rsidR="00BB4E36" w:rsidRDefault="00BB4E36">
            <w:pPr>
              <w:jc w:val="right"/>
              <w:rPr>
                <w:color w:val="000000"/>
                <w:sz w:val="20"/>
                <w:szCs w:val="20"/>
              </w:rPr>
            </w:pPr>
            <w:r>
              <w:rPr>
                <w:color w:val="000000"/>
                <w:sz w:val="20"/>
                <w:szCs w:val="20"/>
              </w:rPr>
              <w:t>0.000</w:t>
            </w:r>
          </w:p>
        </w:tc>
      </w:tr>
      <w:tr w:rsidR="00BB4E36" w14:paraId="0DBD5CB5" w14:textId="77777777" w:rsidTr="00BB4E36">
        <w:trPr>
          <w:trHeight w:val="320"/>
        </w:trPr>
        <w:tc>
          <w:tcPr>
            <w:tcW w:w="1152" w:type="dxa"/>
            <w:tcBorders>
              <w:top w:val="nil"/>
              <w:left w:val="nil"/>
              <w:bottom w:val="nil"/>
              <w:right w:val="nil"/>
            </w:tcBorders>
            <w:shd w:val="clear" w:color="auto" w:fill="auto"/>
            <w:noWrap/>
            <w:vAlign w:val="bottom"/>
            <w:hideMark/>
          </w:tcPr>
          <w:p w14:paraId="6C21FBF9"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ECC67FB" w14:textId="77777777" w:rsidR="00BB4E36" w:rsidRDefault="00BB4E3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2BDF102" w14:textId="77777777" w:rsidR="00BB4E36" w:rsidRDefault="00BB4E36">
            <w:pPr>
              <w:jc w:val="right"/>
              <w:rPr>
                <w:color w:val="000000"/>
                <w:sz w:val="20"/>
                <w:szCs w:val="20"/>
              </w:rPr>
            </w:pPr>
            <w:r>
              <w:rPr>
                <w:color w:val="000000"/>
                <w:sz w:val="20"/>
                <w:szCs w:val="20"/>
              </w:rPr>
              <w:t>0.078</w:t>
            </w:r>
          </w:p>
        </w:tc>
        <w:tc>
          <w:tcPr>
            <w:tcW w:w="864" w:type="dxa"/>
            <w:tcBorders>
              <w:top w:val="nil"/>
              <w:left w:val="nil"/>
              <w:bottom w:val="nil"/>
              <w:right w:val="nil"/>
            </w:tcBorders>
            <w:shd w:val="clear" w:color="auto" w:fill="auto"/>
            <w:noWrap/>
            <w:vAlign w:val="bottom"/>
            <w:hideMark/>
          </w:tcPr>
          <w:p w14:paraId="3BD3B810" w14:textId="77777777" w:rsidR="00BB4E36" w:rsidRDefault="00BB4E36">
            <w:pPr>
              <w:jc w:val="right"/>
              <w:rPr>
                <w:color w:val="000000"/>
                <w:sz w:val="20"/>
                <w:szCs w:val="20"/>
              </w:rPr>
            </w:pPr>
            <w:r>
              <w:rPr>
                <w:color w:val="000000"/>
                <w:sz w:val="20"/>
                <w:szCs w:val="20"/>
              </w:rPr>
              <w:t>0.448</w:t>
            </w:r>
          </w:p>
        </w:tc>
        <w:tc>
          <w:tcPr>
            <w:tcW w:w="864" w:type="dxa"/>
            <w:tcBorders>
              <w:top w:val="nil"/>
              <w:left w:val="nil"/>
              <w:bottom w:val="nil"/>
              <w:right w:val="nil"/>
            </w:tcBorders>
            <w:shd w:val="clear" w:color="auto" w:fill="auto"/>
            <w:noWrap/>
            <w:vAlign w:val="bottom"/>
            <w:hideMark/>
          </w:tcPr>
          <w:p w14:paraId="44490B97" w14:textId="77777777" w:rsidR="00BB4E36" w:rsidRDefault="00BB4E3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414E6829" w14:textId="77777777" w:rsidR="00BB4E36" w:rsidRDefault="00BB4E36">
            <w:pPr>
              <w:jc w:val="right"/>
              <w:rPr>
                <w:color w:val="000000"/>
                <w:sz w:val="20"/>
                <w:szCs w:val="20"/>
              </w:rPr>
            </w:pPr>
            <w:r>
              <w:rPr>
                <w:color w:val="000000"/>
                <w:sz w:val="20"/>
                <w:szCs w:val="20"/>
              </w:rPr>
              <w:t>-0.119</w:t>
            </w:r>
          </w:p>
        </w:tc>
        <w:tc>
          <w:tcPr>
            <w:tcW w:w="864" w:type="dxa"/>
            <w:tcBorders>
              <w:top w:val="nil"/>
              <w:left w:val="nil"/>
              <w:bottom w:val="nil"/>
              <w:right w:val="nil"/>
            </w:tcBorders>
            <w:shd w:val="clear" w:color="auto" w:fill="auto"/>
            <w:noWrap/>
            <w:vAlign w:val="bottom"/>
            <w:hideMark/>
          </w:tcPr>
          <w:p w14:paraId="77FED198" w14:textId="77777777" w:rsidR="00BB4E36" w:rsidRDefault="00BB4E36">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05BBB938" w14:textId="77777777" w:rsidR="00BB4E36" w:rsidRDefault="00BB4E36">
            <w:pPr>
              <w:jc w:val="right"/>
              <w:rPr>
                <w:color w:val="000000"/>
                <w:sz w:val="20"/>
                <w:szCs w:val="20"/>
              </w:rPr>
            </w:pPr>
            <w:r>
              <w:rPr>
                <w:color w:val="000000"/>
                <w:sz w:val="20"/>
                <w:szCs w:val="20"/>
              </w:rPr>
              <w:t>0.014</w:t>
            </w:r>
          </w:p>
        </w:tc>
      </w:tr>
      <w:tr w:rsidR="00BB4E36" w14:paraId="27B4E9D4" w14:textId="77777777" w:rsidTr="00BB4E36">
        <w:trPr>
          <w:trHeight w:val="320"/>
        </w:trPr>
        <w:tc>
          <w:tcPr>
            <w:tcW w:w="1152" w:type="dxa"/>
            <w:tcBorders>
              <w:top w:val="nil"/>
              <w:left w:val="nil"/>
              <w:bottom w:val="nil"/>
              <w:right w:val="nil"/>
            </w:tcBorders>
            <w:shd w:val="clear" w:color="auto" w:fill="auto"/>
            <w:noWrap/>
            <w:vAlign w:val="bottom"/>
            <w:hideMark/>
          </w:tcPr>
          <w:p w14:paraId="349A4A8B"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E2A9894" w14:textId="77777777" w:rsidR="00BB4E36" w:rsidRDefault="00BB4E3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32C36B0" w14:textId="77777777" w:rsidR="00BB4E36" w:rsidRDefault="00BB4E36">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323ADE5F" w14:textId="77777777" w:rsidR="00BB4E36" w:rsidRDefault="00BB4E36">
            <w:pPr>
              <w:jc w:val="right"/>
              <w:rPr>
                <w:color w:val="000000"/>
                <w:sz w:val="20"/>
                <w:szCs w:val="20"/>
              </w:rPr>
            </w:pPr>
            <w:r>
              <w:rPr>
                <w:color w:val="000000"/>
                <w:sz w:val="20"/>
                <w:szCs w:val="20"/>
              </w:rPr>
              <w:t>0.587</w:t>
            </w:r>
          </w:p>
        </w:tc>
        <w:tc>
          <w:tcPr>
            <w:tcW w:w="864" w:type="dxa"/>
            <w:tcBorders>
              <w:top w:val="nil"/>
              <w:left w:val="nil"/>
              <w:bottom w:val="nil"/>
              <w:right w:val="nil"/>
            </w:tcBorders>
            <w:shd w:val="clear" w:color="auto" w:fill="auto"/>
            <w:noWrap/>
            <w:vAlign w:val="bottom"/>
            <w:hideMark/>
          </w:tcPr>
          <w:p w14:paraId="1771B396" w14:textId="77777777" w:rsidR="00BB4E36" w:rsidRDefault="00BB4E3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0034981" w14:textId="77777777" w:rsidR="00BB4E36" w:rsidRDefault="00BB4E36">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19277C55" w14:textId="77777777" w:rsidR="00BB4E36" w:rsidRDefault="00BB4E36">
            <w:pPr>
              <w:jc w:val="right"/>
              <w:rPr>
                <w:color w:val="000000"/>
                <w:sz w:val="20"/>
                <w:szCs w:val="20"/>
              </w:rPr>
            </w:pPr>
            <w:r>
              <w:rPr>
                <w:color w:val="000000"/>
                <w:sz w:val="20"/>
                <w:szCs w:val="20"/>
              </w:rPr>
              <w:t>0.882</w:t>
            </w:r>
          </w:p>
        </w:tc>
        <w:tc>
          <w:tcPr>
            <w:tcW w:w="864" w:type="dxa"/>
            <w:tcBorders>
              <w:top w:val="nil"/>
              <w:left w:val="nil"/>
              <w:bottom w:val="nil"/>
              <w:right w:val="nil"/>
            </w:tcBorders>
            <w:shd w:val="clear" w:color="auto" w:fill="auto"/>
            <w:noWrap/>
            <w:vAlign w:val="bottom"/>
            <w:hideMark/>
          </w:tcPr>
          <w:p w14:paraId="1AD991A3" w14:textId="77777777" w:rsidR="00BB4E36" w:rsidRDefault="00BB4E36">
            <w:pPr>
              <w:jc w:val="right"/>
              <w:rPr>
                <w:color w:val="000000"/>
                <w:sz w:val="20"/>
                <w:szCs w:val="20"/>
              </w:rPr>
            </w:pPr>
            <w:r>
              <w:rPr>
                <w:color w:val="000000"/>
                <w:sz w:val="20"/>
                <w:szCs w:val="20"/>
              </w:rPr>
              <w:t>0.000</w:t>
            </w:r>
          </w:p>
        </w:tc>
      </w:tr>
      <w:tr w:rsidR="00BB4E36" w14:paraId="0653A8C6" w14:textId="77777777" w:rsidTr="00BB4E36">
        <w:trPr>
          <w:trHeight w:val="320"/>
        </w:trPr>
        <w:tc>
          <w:tcPr>
            <w:tcW w:w="1152" w:type="dxa"/>
            <w:tcBorders>
              <w:top w:val="nil"/>
              <w:left w:val="nil"/>
              <w:bottom w:val="nil"/>
              <w:right w:val="nil"/>
            </w:tcBorders>
            <w:shd w:val="clear" w:color="auto" w:fill="auto"/>
            <w:noWrap/>
            <w:vAlign w:val="bottom"/>
            <w:hideMark/>
          </w:tcPr>
          <w:p w14:paraId="627B3069"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AFD0BCB" w14:textId="77777777" w:rsidR="00BB4E36" w:rsidRDefault="00BB4E3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8BA2C3C" w14:textId="77777777" w:rsidR="00BB4E36" w:rsidRDefault="00BB4E3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93FCA32" w14:textId="77777777" w:rsidR="00BB4E36" w:rsidRDefault="00BB4E36">
            <w:pPr>
              <w:jc w:val="right"/>
              <w:rPr>
                <w:color w:val="000000"/>
                <w:sz w:val="20"/>
                <w:szCs w:val="20"/>
              </w:rPr>
            </w:pPr>
            <w:r>
              <w:rPr>
                <w:color w:val="000000"/>
                <w:sz w:val="20"/>
                <w:szCs w:val="20"/>
              </w:rPr>
              <w:t>0.845</w:t>
            </w:r>
          </w:p>
        </w:tc>
        <w:tc>
          <w:tcPr>
            <w:tcW w:w="864" w:type="dxa"/>
            <w:tcBorders>
              <w:top w:val="nil"/>
              <w:left w:val="nil"/>
              <w:bottom w:val="nil"/>
              <w:right w:val="nil"/>
            </w:tcBorders>
            <w:shd w:val="clear" w:color="auto" w:fill="auto"/>
            <w:noWrap/>
            <w:vAlign w:val="bottom"/>
            <w:hideMark/>
          </w:tcPr>
          <w:p w14:paraId="0F3CB62F"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725F0A2" w14:textId="77777777" w:rsidR="00BB4E36" w:rsidRDefault="00BB4E36">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758D3C3B" w14:textId="77777777" w:rsidR="00BB4E36" w:rsidRDefault="00BB4E36">
            <w:pPr>
              <w:jc w:val="right"/>
              <w:rPr>
                <w:color w:val="000000"/>
                <w:sz w:val="20"/>
                <w:szCs w:val="20"/>
              </w:rPr>
            </w:pPr>
            <w:r>
              <w:rPr>
                <w:color w:val="000000"/>
                <w:sz w:val="20"/>
                <w:szCs w:val="20"/>
              </w:rPr>
              <w:t>0.296</w:t>
            </w:r>
          </w:p>
        </w:tc>
        <w:tc>
          <w:tcPr>
            <w:tcW w:w="864" w:type="dxa"/>
            <w:tcBorders>
              <w:top w:val="nil"/>
              <w:left w:val="nil"/>
              <w:bottom w:val="nil"/>
              <w:right w:val="nil"/>
            </w:tcBorders>
            <w:shd w:val="clear" w:color="auto" w:fill="auto"/>
            <w:noWrap/>
            <w:vAlign w:val="bottom"/>
            <w:hideMark/>
          </w:tcPr>
          <w:p w14:paraId="464CAB47" w14:textId="77777777" w:rsidR="00BB4E36" w:rsidRDefault="00BB4E36">
            <w:pPr>
              <w:jc w:val="right"/>
              <w:rPr>
                <w:color w:val="000000"/>
                <w:sz w:val="20"/>
                <w:szCs w:val="20"/>
              </w:rPr>
            </w:pPr>
            <w:r>
              <w:rPr>
                <w:color w:val="000000"/>
                <w:sz w:val="20"/>
                <w:szCs w:val="20"/>
              </w:rPr>
              <w:t>0.004</w:t>
            </w:r>
          </w:p>
        </w:tc>
      </w:tr>
      <w:tr w:rsidR="00BB4E36" w14:paraId="617F64DE" w14:textId="77777777" w:rsidTr="00BB4E36">
        <w:trPr>
          <w:trHeight w:val="320"/>
        </w:trPr>
        <w:tc>
          <w:tcPr>
            <w:tcW w:w="1152" w:type="dxa"/>
            <w:tcBorders>
              <w:top w:val="nil"/>
              <w:left w:val="nil"/>
              <w:bottom w:val="nil"/>
              <w:right w:val="nil"/>
            </w:tcBorders>
            <w:shd w:val="clear" w:color="auto" w:fill="auto"/>
            <w:noWrap/>
            <w:vAlign w:val="bottom"/>
            <w:hideMark/>
          </w:tcPr>
          <w:p w14:paraId="527E6F92"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78B245B" w14:textId="77777777" w:rsidR="00BB4E36" w:rsidRDefault="00BB4E3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FFE9B9E" w14:textId="77777777" w:rsidR="00BB4E36" w:rsidRDefault="00BB4E36">
            <w:pPr>
              <w:jc w:val="right"/>
              <w:rPr>
                <w:color w:val="000000"/>
                <w:sz w:val="20"/>
                <w:szCs w:val="20"/>
              </w:rPr>
            </w:pPr>
            <w:r>
              <w:rPr>
                <w:color w:val="000000"/>
                <w:sz w:val="20"/>
                <w:szCs w:val="20"/>
              </w:rPr>
              <w:t>0.050</w:t>
            </w:r>
          </w:p>
        </w:tc>
        <w:tc>
          <w:tcPr>
            <w:tcW w:w="864" w:type="dxa"/>
            <w:tcBorders>
              <w:top w:val="nil"/>
              <w:left w:val="nil"/>
              <w:bottom w:val="nil"/>
              <w:right w:val="nil"/>
            </w:tcBorders>
            <w:shd w:val="clear" w:color="auto" w:fill="auto"/>
            <w:noWrap/>
            <w:vAlign w:val="bottom"/>
            <w:hideMark/>
          </w:tcPr>
          <w:p w14:paraId="35A4A6BC" w14:textId="77777777" w:rsidR="00BB4E36" w:rsidRDefault="00BB4E36">
            <w:pPr>
              <w:jc w:val="right"/>
              <w:rPr>
                <w:color w:val="000000"/>
                <w:sz w:val="20"/>
                <w:szCs w:val="20"/>
              </w:rPr>
            </w:pPr>
            <w:r>
              <w:rPr>
                <w:color w:val="000000"/>
                <w:sz w:val="20"/>
                <w:szCs w:val="20"/>
              </w:rPr>
              <w:t>0.448</w:t>
            </w:r>
          </w:p>
        </w:tc>
        <w:tc>
          <w:tcPr>
            <w:tcW w:w="864" w:type="dxa"/>
            <w:tcBorders>
              <w:top w:val="nil"/>
              <w:left w:val="nil"/>
              <w:bottom w:val="nil"/>
              <w:right w:val="nil"/>
            </w:tcBorders>
            <w:shd w:val="clear" w:color="auto" w:fill="auto"/>
            <w:noWrap/>
            <w:vAlign w:val="bottom"/>
            <w:hideMark/>
          </w:tcPr>
          <w:p w14:paraId="089D45D4" w14:textId="77777777" w:rsidR="00BB4E36" w:rsidRDefault="00BB4E3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48C8D17" w14:textId="77777777" w:rsidR="00BB4E36" w:rsidRDefault="00BB4E36">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6F0D723C" w14:textId="77777777" w:rsidR="00BB4E36" w:rsidRDefault="00BB4E36">
            <w:pPr>
              <w:jc w:val="right"/>
              <w:rPr>
                <w:color w:val="000000"/>
                <w:sz w:val="20"/>
                <w:szCs w:val="20"/>
              </w:rPr>
            </w:pPr>
            <w:r>
              <w:rPr>
                <w:color w:val="000000"/>
                <w:sz w:val="20"/>
                <w:szCs w:val="20"/>
              </w:rPr>
              <w:t>0.571</w:t>
            </w:r>
          </w:p>
        </w:tc>
        <w:tc>
          <w:tcPr>
            <w:tcW w:w="864" w:type="dxa"/>
            <w:tcBorders>
              <w:top w:val="nil"/>
              <w:left w:val="nil"/>
              <w:bottom w:val="nil"/>
              <w:right w:val="nil"/>
            </w:tcBorders>
            <w:shd w:val="clear" w:color="auto" w:fill="auto"/>
            <w:noWrap/>
            <w:vAlign w:val="bottom"/>
            <w:hideMark/>
          </w:tcPr>
          <w:p w14:paraId="71E4618D" w14:textId="77777777" w:rsidR="00BB4E36" w:rsidRDefault="00BB4E36">
            <w:pPr>
              <w:jc w:val="right"/>
              <w:rPr>
                <w:color w:val="000000"/>
                <w:sz w:val="20"/>
                <w:szCs w:val="20"/>
              </w:rPr>
            </w:pPr>
            <w:r>
              <w:rPr>
                <w:color w:val="000000"/>
                <w:sz w:val="20"/>
                <w:szCs w:val="20"/>
              </w:rPr>
              <w:t>0.001</w:t>
            </w:r>
          </w:p>
        </w:tc>
      </w:tr>
      <w:tr w:rsidR="00BB4E36" w14:paraId="364F0EC9" w14:textId="77777777" w:rsidTr="00BB4E36">
        <w:trPr>
          <w:trHeight w:val="320"/>
        </w:trPr>
        <w:tc>
          <w:tcPr>
            <w:tcW w:w="1152" w:type="dxa"/>
            <w:tcBorders>
              <w:top w:val="nil"/>
              <w:left w:val="nil"/>
              <w:bottom w:val="nil"/>
              <w:right w:val="nil"/>
            </w:tcBorders>
            <w:shd w:val="clear" w:color="auto" w:fill="auto"/>
            <w:noWrap/>
            <w:vAlign w:val="bottom"/>
            <w:hideMark/>
          </w:tcPr>
          <w:p w14:paraId="6F4D8238"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B899BED" w14:textId="77777777" w:rsidR="00BB4E36" w:rsidRDefault="00BB4E3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92F970F" w14:textId="77777777" w:rsidR="00BB4E36" w:rsidRDefault="00BB4E36">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71C2EA9F" w14:textId="77777777" w:rsidR="00BB4E36" w:rsidRDefault="00BB4E36">
            <w:pPr>
              <w:jc w:val="right"/>
              <w:rPr>
                <w:color w:val="000000"/>
                <w:sz w:val="20"/>
                <w:szCs w:val="20"/>
              </w:rPr>
            </w:pPr>
            <w:r>
              <w:rPr>
                <w:color w:val="000000"/>
                <w:sz w:val="20"/>
                <w:szCs w:val="20"/>
              </w:rPr>
              <w:t>0.587</w:t>
            </w:r>
          </w:p>
        </w:tc>
        <w:tc>
          <w:tcPr>
            <w:tcW w:w="864" w:type="dxa"/>
            <w:tcBorders>
              <w:top w:val="nil"/>
              <w:left w:val="nil"/>
              <w:bottom w:val="nil"/>
              <w:right w:val="nil"/>
            </w:tcBorders>
            <w:shd w:val="clear" w:color="auto" w:fill="auto"/>
            <w:noWrap/>
            <w:vAlign w:val="bottom"/>
            <w:hideMark/>
          </w:tcPr>
          <w:p w14:paraId="5DAFBD3C" w14:textId="77777777" w:rsidR="00BB4E36" w:rsidRDefault="00BB4E3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9FBA128" w14:textId="77777777" w:rsidR="00BB4E36" w:rsidRDefault="00BB4E36">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056246C3" w14:textId="77777777" w:rsidR="00BB4E36" w:rsidRDefault="00BB4E36">
            <w:pPr>
              <w:jc w:val="right"/>
              <w:rPr>
                <w:color w:val="000000"/>
                <w:sz w:val="20"/>
                <w:szCs w:val="20"/>
              </w:rPr>
            </w:pPr>
            <w:r>
              <w:rPr>
                <w:color w:val="000000"/>
                <w:sz w:val="20"/>
                <w:szCs w:val="20"/>
              </w:rPr>
              <w:t>0.571</w:t>
            </w:r>
          </w:p>
        </w:tc>
        <w:tc>
          <w:tcPr>
            <w:tcW w:w="864" w:type="dxa"/>
            <w:tcBorders>
              <w:top w:val="nil"/>
              <w:left w:val="nil"/>
              <w:bottom w:val="nil"/>
              <w:right w:val="nil"/>
            </w:tcBorders>
            <w:shd w:val="clear" w:color="auto" w:fill="auto"/>
            <w:noWrap/>
            <w:vAlign w:val="bottom"/>
            <w:hideMark/>
          </w:tcPr>
          <w:p w14:paraId="26416867" w14:textId="77777777" w:rsidR="00BB4E36" w:rsidRDefault="00BB4E36">
            <w:pPr>
              <w:jc w:val="right"/>
              <w:rPr>
                <w:color w:val="000000"/>
                <w:sz w:val="20"/>
                <w:szCs w:val="20"/>
              </w:rPr>
            </w:pPr>
            <w:r>
              <w:rPr>
                <w:color w:val="000000"/>
                <w:sz w:val="20"/>
                <w:szCs w:val="20"/>
              </w:rPr>
              <w:t>0.001</w:t>
            </w:r>
          </w:p>
        </w:tc>
      </w:tr>
      <w:tr w:rsidR="00BB4E36" w14:paraId="66F99636" w14:textId="77777777" w:rsidTr="00BB4E36">
        <w:trPr>
          <w:trHeight w:val="320"/>
        </w:trPr>
        <w:tc>
          <w:tcPr>
            <w:tcW w:w="1152" w:type="dxa"/>
            <w:tcBorders>
              <w:top w:val="nil"/>
              <w:left w:val="nil"/>
              <w:bottom w:val="single" w:sz="4" w:space="0" w:color="auto"/>
              <w:right w:val="nil"/>
            </w:tcBorders>
            <w:shd w:val="clear" w:color="auto" w:fill="auto"/>
            <w:noWrap/>
            <w:vAlign w:val="bottom"/>
            <w:hideMark/>
          </w:tcPr>
          <w:p w14:paraId="11F706EB" w14:textId="77777777" w:rsidR="00BB4E36" w:rsidRDefault="00BB4E3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CD12D4D" w14:textId="77777777" w:rsidR="00BB4E36" w:rsidRDefault="00BB4E3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FC3CB34" w14:textId="77777777" w:rsidR="00BB4E36" w:rsidRDefault="00BB4E36">
            <w:pPr>
              <w:jc w:val="right"/>
              <w:rPr>
                <w:color w:val="000000"/>
                <w:sz w:val="20"/>
                <w:szCs w:val="20"/>
              </w:rPr>
            </w:pPr>
            <w:r>
              <w:rPr>
                <w:color w:val="000000"/>
                <w:sz w:val="20"/>
                <w:szCs w:val="20"/>
              </w:rPr>
              <w:t>-0.017</w:t>
            </w:r>
          </w:p>
        </w:tc>
        <w:tc>
          <w:tcPr>
            <w:tcW w:w="864" w:type="dxa"/>
            <w:tcBorders>
              <w:top w:val="nil"/>
              <w:left w:val="nil"/>
              <w:bottom w:val="single" w:sz="4" w:space="0" w:color="auto"/>
              <w:right w:val="nil"/>
            </w:tcBorders>
            <w:shd w:val="clear" w:color="auto" w:fill="auto"/>
            <w:noWrap/>
            <w:vAlign w:val="bottom"/>
            <w:hideMark/>
          </w:tcPr>
          <w:p w14:paraId="65573067" w14:textId="77777777" w:rsidR="00BB4E36" w:rsidRDefault="00BB4E36">
            <w:pPr>
              <w:jc w:val="right"/>
              <w:rPr>
                <w:color w:val="000000"/>
                <w:sz w:val="20"/>
                <w:szCs w:val="20"/>
              </w:rPr>
            </w:pPr>
            <w:r>
              <w:rPr>
                <w:color w:val="000000"/>
                <w:sz w:val="20"/>
                <w:szCs w:val="20"/>
              </w:rPr>
              <w:t>0.845</w:t>
            </w:r>
          </w:p>
        </w:tc>
        <w:tc>
          <w:tcPr>
            <w:tcW w:w="864" w:type="dxa"/>
            <w:tcBorders>
              <w:top w:val="nil"/>
              <w:left w:val="nil"/>
              <w:bottom w:val="single" w:sz="4" w:space="0" w:color="auto"/>
              <w:right w:val="nil"/>
            </w:tcBorders>
            <w:shd w:val="clear" w:color="auto" w:fill="auto"/>
            <w:noWrap/>
            <w:vAlign w:val="bottom"/>
            <w:hideMark/>
          </w:tcPr>
          <w:p w14:paraId="5CE8C731"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692E9297" w14:textId="77777777" w:rsidR="00BB4E36" w:rsidRDefault="00BB4E36">
            <w:pPr>
              <w:jc w:val="right"/>
              <w:rPr>
                <w:color w:val="000000"/>
                <w:sz w:val="20"/>
                <w:szCs w:val="20"/>
              </w:rPr>
            </w:pPr>
            <w:r>
              <w:rPr>
                <w:color w:val="000000"/>
                <w:sz w:val="20"/>
                <w:szCs w:val="20"/>
              </w:rPr>
              <w:t>-0.035</w:t>
            </w:r>
          </w:p>
        </w:tc>
        <w:tc>
          <w:tcPr>
            <w:tcW w:w="864" w:type="dxa"/>
            <w:tcBorders>
              <w:top w:val="nil"/>
              <w:left w:val="nil"/>
              <w:bottom w:val="single" w:sz="4" w:space="0" w:color="auto"/>
              <w:right w:val="nil"/>
            </w:tcBorders>
            <w:shd w:val="clear" w:color="auto" w:fill="auto"/>
            <w:noWrap/>
            <w:vAlign w:val="bottom"/>
            <w:hideMark/>
          </w:tcPr>
          <w:p w14:paraId="3ABAAB5C" w14:textId="77777777" w:rsidR="00BB4E36" w:rsidRDefault="00BB4E36">
            <w:pPr>
              <w:jc w:val="right"/>
              <w:rPr>
                <w:color w:val="000000"/>
                <w:sz w:val="20"/>
                <w:szCs w:val="20"/>
              </w:rPr>
            </w:pPr>
            <w:r>
              <w:rPr>
                <w:color w:val="000000"/>
                <w:sz w:val="20"/>
                <w:szCs w:val="20"/>
              </w:rPr>
              <w:t>0.571</w:t>
            </w:r>
          </w:p>
        </w:tc>
        <w:tc>
          <w:tcPr>
            <w:tcW w:w="864" w:type="dxa"/>
            <w:tcBorders>
              <w:top w:val="nil"/>
              <w:left w:val="nil"/>
              <w:bottom w:val="single" w:sz="4" w:space="0" w:color="auto"/>
              <w:right w:val="nil"/>
            </w:tcBorders>
            <w:shd w:val="clear" w:color="auto" w:fill="auto"/>
            <w:noWrap/>
            <w:vAlign w:val="bottom"/>
            <w:hideMark/>
          </w:tcPr>
          <w:p w14:paraId="264CAF9B" w14:textId="77777777" w:rsidR="00BB4E36" w:rsidRDefault="00BB4E36">
            <w:pPr>
              <w:jc w:val="right"/>
              <w:rPr>
                <w:color w:val="000000"/>
                <w:sz w:val="20"/>
                <w:szCs w:val="20"/>
              </w:rPr>
            </w:pPr>
            <w:r>
              <w:rPr>
                <w:color w:val="000000"/>
                <w:sz w:val="20"/>
                <w:szCs w:val="20"/>
              </w:rPr>
              <w:t>0.001</w:t>
            </w:r>
          </w:p>
        </w:tc>
      </w:tr>
      <w:tr w:rsidR="00BB4E36" w14:paraId="0A5AFECB" w14:textId="77777777" w:rsidTr="00BB4E36">
        <w:trPr>
          <w:trHeight w:val="320"/>
        </w:trPr>
        <w:tc>
          <w:tcPr>
            <w:tcW w:w="1152" w:type="dxa"/>
            <w:tcBorders>
              <w:top w:val="nil"/>
              <w:left w:val="nil"/>
              <w:bottom w:val="nil"/>
              <w:right w:val="nil"/>
            </w:tcBorders>
            <w:shd w:val="clear" w:color="auto" w:fill="auto"/>
            <w:noWrap/>
            <w:vAlign w:val="bottom"/>
            <w:hideMark/>
          </w:tcPr>
          <w:p w14:paraId="10048BB5" w14:textId="77777777" w:rsidR="00BB4E36" w:rsidRDefault="00BB4E36">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19705C6C" w14:textId="77777777" w:rsidR="00BB4E36" w:rsidRDefault="00BB4E3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6966185" w14:textId="77777777" w:rsidR="00BB4E36" w:rsidRDefault="00BB4E36">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5227ED54" w14:textId="77777777" w:rsidR="00BB4E36" w:rsidRDefault="00BB4E36">
            <w:pPr>
              <w:jc w:val="right"/>
              <w:rPr>
                <w:color w:val="000000"/>
                <w:sz w:val="20"/>
                <w:szCs w:val="20"/>
              </w:rPr>
            </w:pPr>
            <w:r>
              <w:rPr>
                <w:color w:val="000000"/>
                <w:sz w:val="20"/>
                <w:szCs w:val="20"/>
              </w:rPr>
              <w:t>0.774</w:t>
            </w:r>
          </w:p>
        </w:tc>
        <w:tc>
          <w:tcPr>
            <w:tcW w:w="864" w:type="dxa"/>
            <w:tcBorders>
              <w:top w:val="nil"/>
              <w:left w:val="nil"/>
              <w:bottom w:val="nil"/>
              <w:right w:val="nil"/>
            </w:tcBorders>
            <w:shd w:val="clear" w:color="auto" w:fill="auto"/>
            <w:noWrap/>
            <w:vAlign w:val="bottom"/>
            <w:hideMark/>
          </w:tcPr>
          <w:p w14:paraId="60C88A54"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86F980E" w14:textId="77777777" w:rsidR="00BB4E36" w:rsidRDefault="00BB4E36">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3C28F4E7" w14:textId="77777777" w:rsidR="00BB4E36" w:rsidRDefault="00BB4E36">
            <w:pPr>
              <w:jc w:val="right"/>
              <w:rPr>
                <w:color w:val="000000"/>
                <w:sz w:val="20"/>
                <w:szCs w:val="20"/>
              </w:rPr>
            </w:pPr>
            <w:r>
              <w:rPr>
                <w:color w:val="000000"/>
                <w:sz w:val="20"/>
                <w:szCs w:val="20"/>
              </w:rPr>
              <w:t>0.685</w:t>
            </w:r>
          </w:p>
        </w:tc>
        <w:tc>
          <w:tcPr>
            <w:tcW w:w="864" w:type="dxa"/>
            <w:tcBorders>
              <w:top w:val="nil"/>
              <w:left w:val="nil"/>
              <w:bottom w:val="nil"/>
              <w:right w:val="nil"/>
            </w:tcBorders>
            <w:shd w:val="clear" w:color="auto" w:fill="auto"/>
            <w:noWrap/>
            <w:vAlign w:val="bottom"/>
            <w:hideMark/>
          </w:tcPr>
          <w:p w14:paraId="0A481504" w14:textId="77777777" w:rsidR="00BB4E36" w:rsidRDefault="00BB4E36">
            <w:pPr>
              <w:jc w:val="right"/>
              <w:rPr>
                <w:color w:val="000000"/>
                <w:sz w:val="20"/>
                <w:szCs w:val="20"/>
              </w:rPr>
            </w:pPr>
            <w:r>
              <w:rPr>
                <w:color w:val="000000"/>
                <w:sz w:val="20"/>
                <w:szCs w:val="20"/>
              </w:rPr>
              <w:t>0.000</w:t>
            </w:r>
          </w:p>
        </w:tc>
      </w:tr>
      <w:tr w:rsidR="00BB4E36" w14:paraId="1F3F35A4" w14:textId="77777777" w:rsidTr="00BB4E36">
        <w:trPr>
          <w:trHeight w:val="320"/>
        </w:trPr>
        <w:tc>
          <w:tcPr>
            <w:tcW w:w="1152" w:type="dxa"/>
            <w:tcBorders>
              <w:top w:val="nil"/>
              <w:left w:val="nil"/>
              <w:bottom w:val="nil"/>
              <w:right w:val="nil"/>
            </w:tcBorders>
            <w:shd w:val="clear" w:color="auto" w:fill="auto"/>
            <w:noWrap/>
            <w:vAlign w:val="bottom"/>
            <w:hideMark/>
          </w:tcPr>
          <w:p w14:paraId="5FED5808"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F572424" w14:textId="77777777" w:rsidR="00BB4E36" w:rsidRDefault="00BB4E3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D124EDF" w14:textId="77777777" w:rsidR="00BB4E36" w:rsidRDefault="00BB4E36">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02689A08" w14:textId="77777777" w:rsidR="00BB4E36" w:rsidRDefault="00BB4E36">
            <w:pPr>
              <w:jc w:val="right"/>
              <w:rPr>
                <w:color w:val="000000"/>
                <w:sz w:val="20"/>
                <w:szCs w:val="20"/>
              </w:rPr>
            </w:pPr>
            <w:r>
              <w:rPr>
                <w:color w:val="000000"/>
                <w:sz w:val="20"/>
                <w:szCs w:val="20"/>
              </w:rPr>
              <w:t>0.555</w:t>
            </w:r>
          </w:p>
        </w:tc>
        <w:tc>
          <w:tcPr>
            <w:tcW w:w="864" w:type="dxa"/>
            <w:tcBorders>
              <w:top w:val="nil"/>
              <w:left w:val="nil"/>
              <w:bottom w:val="nil"/>
              <w:right w:val="nil"/>
            </w:tcBorders>
            <w:shd w:val="clear" w:color="auto" w:fill="auto"/>
            <w:noWrap/>
            <w:vAlign w:val="bottom"/>
            <w:hideMark/>
          </w:tcPr>
          <w:p w14:paraId="01E9D04B" w14:textId="77777777" w:rsidR="00BB4E36" w:rsidRDefault="00BB4E3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1E8873F" w14:textId="77777777" w:rsidR="00BB4E36" w:rsidRDefault="00BB4E36">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509936A0" w14:textId="77777777" w:rsidR="00BB4E36" w:rsidRDefault="00BB4E36">
            <w:pPr>
              <w:jc w:val="right"/>
              <w:rPr>
                <w:color w:val="000000"/>
                <w:sz w:val="20"/>
                <w:szCs w:val="20"/>
              </w:rPr>
            </w:pPr>
            <w:r>
              <w:rPr>
                <w:color w:val="000000"/>
                <w:sz w:val="20"/>
                <w:szCs w:val="20"/>
              </w:rPr>
              <w:t>0.713</w:t>
            </w:r>
          </w:p>
        </w:tc>
        <w:tc>
          <w:tcPr>
            <w:tcW w:w="864" w:type="dxa"/>
            <w:tcBorders>
              <w:top w:val="nil"/>
              <w:left w:val="nil"/>
              <w:bottom w:val="nil"/>
              <w:right w:val="nil"/>
            </w:tcBorders>
            <w:shd w:val="clear" w:color="auto" w:fill="auto"/>
            <w:noWrap/>
            <w:vAlign w:val="bottom"/>
            <w:hideMark/>
          </w:tcPr>
          <w:p w14:paraId="20D179ED" w14:textId="77777777" w:rsidR="00BB4E36" w:rsidRDefault="00BB4E36">
            <w:pPr>
              <w:jc w:val="right"/>
              <w:rPr>
                <w:color w:val="000000"/>
                <w:sz w:val="20"/>
                <w:szCs w:val="20"/>
              </w:rPr>
            </w:pPr>
            <w:r>
              <w:rPr>
                <w:color w:val="000000"/>
                <w:sz w:val="20"/>
                <w:szCs w:val="20"/>
              </w:rPr>
              <w:t>0.000</w:t>
            </w:r>
          </w:p>
        </w:tc>
      </w:tr>
      <w:tr w:rsidR="00BB4E36" w14:paraId="78E305FA" w14:textId="77777777" w:rsidTr="00BB4E36">
        <w:trPr>
          <w:trHeight w:val="320"/>
        </w:trPr>
        <w:tc>
          <w:tcPr>
            <w:tcW w:w="1152" w:type="dxa"/>
            <w:tcBorders>
              <w:top w:val="nil"/>
              <w:left w:val="nil"/>
              <w:bottom w:val="nil"/>
              <w:right w:val="nil"/>
            </w:tcBorders>
            <w:shd w:val="clear" w:color="auto" w:fill="auto"/>
            <w:noWrap/>
            <w:vAlign w:val="bottom"/>
            <w:hideMark/>
          </w:tcPr>
          <w:p w14:paraId="56F9A56D"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24C2010" w14:textId="77777777" w:rsidR="00BB4E36" w:rsidRDefault="00BB4E3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D76DB01" w14:textId="77777777" w:rsidR="00BB4E36" w:rsidRDefault="00BB4E36">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53BCA35B" w14:textId="77777777" w:rsidR="00BB4E36" w:rsidRDefault="00BB4E36">
            <w:pPr>
              <w:jc w:val="right"/>
              <w:rPr>
                <w:color w:val="000000"/>
                <w:sz w:val="20"/>
                <w:szCs w:val="20"/>
              </w:rPr>
            </w:pPr>
            <w:r>
              <w:rPr>
                <w:color w:val="000000"/>
                <w:sz w:val="20"/>
                <w:szCs w:val="20"/>
              </w:rPr>
              <w:t>0.774</w:t>
            </w:r>
          </w:p>
        </w:tc>
        <w:tc>
          <w:tcPr>
            <w:tcW w:w="864" w:type="dxa"/>
            <w:tcBorders>
              <w:top w:val="nil"/>
              <w:left w:val="nil"/>
              <w:bottom w:val="nil"/>
              <w:right w:val="nil"/>
            </w:tcBorders>
            <w:shd w:val="clear" w:color="auto" w:fill="auto"/>
            <w:noWrap/>
            <w:vAlign w:val="bottom"/>
            <w:hideMark/>
          </w:tcPr>
          <w:p w14:paraId="06D3CCC7"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663A54B" w14:textId="77777777" w:rsidR="00BB4E36" w:rsidRDefault="00BB4E36">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37C8EE29" w14:textId="77777777" w:rsidR="00BB4E36" w:rsidRDefault="00BB4E36">
            <w:pPr>
              <w:jc w:val="right"/>
              <w:rPr>
                <w:color w:val="000000"/>
                <w:sz w:val="20"/>
                <w:szCs w:val="20"/>
              </w:rPr>
            </w:pPr>
            <w:r>
              <w:rPr>
                <w:color w:val="000000"/>
                <w:sz w:val="20"/>
                <w:szCs w:val="20"/>
              </w:rPr>
              <w:t>0.685</w:t>
            </w:r>
          </w:p>
        </w:tc>
        <w:tc>
          <w:tcPr>
            <w:tcW w:w="864" w:type="dxa"/>
            <w:tcBorders>
              <w:top w:val="nil"/>
              <w:left w:val="nil"/>
              <w:bottom w:val="nil"/>
              <w:right w:val="nil"/>
            </w:tcBorders>
            <w:shd w:val="clear" w:color="auto" w:fill="auto"/>
            <w:noWrap/>
            <w:vAlign w:val="bottom"/>
            <w:hideMark/>
          </w:tcPr>
          <w:p w14:paraId="32657269" w14:textId="77777777" w:rsidR="00BB4E36" w:rsidRDefault="00BB4E36">
            <w:pPr>
              <w:jc w:val="right"/>
              <w:rPr>
                <w:color w:val="000000"/>
                <w:sz w:val="20"/>
                <w:szCs w:val="20"/>
              </w:rPr>
            </w:pPr>
            <w:r>
              <w:rPr>
                <w:color w:val="000000"/>
                <w:sz w:val="20"/>
                <w:szCs w:val="20"/>
              </w:rPr>
              <w:t>0.001</w:t>
            </w:r>
          </w:p>
        </w:tc>
      </w:tr>
      <w:tr w:rsidR="00BB4E36" w14:paraId="6096329A" w14:textId="77777777" w:rsidTr="00BB4E36">
        <w:trPr>
          <w:trHeight w:val="320"/>
        </w:trPr>
        <w:tc>
          <w:tcPr>
            <w:tcW w:w="1152" w:type="dxa"/>
            <w:tcBorders>
              <w:top w:val="nil"/>
              <w:left w:val="nil"/>
              <w:bottom w:val="nil"/>
              <w:right w:val="nil"/>
            </w:tcBorders>
            <w:shd w:val="clear" w:color="auto" w:fill="auto"/>
            <w:noWrap/>
            <w:vAlign w:val="bottom"/>
            <w:hideMark/>
          </w:tcPr>
          <w:p w14:paraId="38692DE0"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11AD23" w14:textId="77777777" w:rsidR="00BB4E36" w:rsidRDefault="00BB4E3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F2BEB7C" w14:textId="77777777" w:rsidR="00BB4E36" w:rsidRDefault="00BB4E36">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32F5D0BC" w14:textId="77777777" w:rsidR="00BB4E36" w:rsidRDefault="00BB4E36">
            <w:pPr>
              <w:jc w:val="right"/>
              <w:rPr>
                <w:color w:val="000000"/>
                <w:sz w:val="20"/>
                <w:szCs w:val="20"/>
              </w:rPr>
            </w:pPr>
            <w:r>
              <w:rPr>
                <w:color w:val="000000"/>
                <w:sz w:val="20"/>
                <w:szCs w:val="20"/>
              </w:rPr>
              <w:t>0.774</w:t>
            </w:r>
          </w:p>
        </w:tc>
        <w:tc>
          <w:tcPr>
            <w:tcW w:w="864" w:type="dxa"/>
            <w:tcBorders>
              <w:top w:val="nil"/>
              <w:left w:val="nil"/>
              <w:bottom w:val="nil"/>
              <w:right w:val="nil"/>
            </w:tcBorders>
            <w:shd w:val="clear" w:color="auto" w:fill="auto"/>
            <w:noWrap/>
            <w:vAlign w:val="bottom"/>
            <w:hideMark/>
          </w:tcPr>
          <w:p w14:paraId="1B558A3A"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BA482F3" w14:textId="77777777" w:rsidR="00BB4E36" w:rsidRDefault="00BB4E36">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314080BD" w14:textId="77777777" w:rsidR="00BB4E36" w:rsidRDefault="00BB4E36">
            <w:pPr>
              <w:jc w:val="right"/>
              <w:rPr>
                <w:color w:val="000000"/>
                <w:sz w:val="20"/>
                <w:szCs w:val="20"/>
              </w:rPr>
            </w:pPr>
            <w:r>
              <w:rPr>
                <w:color w:val="000000"/>
                <w:sz w:val="20"/>
                <w:szCs w:val="20"/>
              </w:rPr>
              <w:t>0.685</w:t>
            </w:r>
          </w:p>
        </w:tc>
        <w:tc>
          <w:tcPr>
            <w:tcW w:w="864" w:type="dxa"/>
            <w:tcBorders>
              <w:top w:val="nil"/>
              <w:left w:val="nil"/>
              <w:bottom w:val="nil"/>
              <w:right w:val="nil"/>
            </w:tcBorders>
            <w:shd w:val="clear" w:color="auto" w:fill="auto"/>
            <w:noWrap/>
            <w:vAlign w:val="bottom"/>
            <w:hideMark/>
          </w:tcPr>
          <w:p w14:paraId="1297B20C" w14:textId="77777777" w:rsidR="00BB4E36" w:rsidRDefault="00BB4E36">
            <w:pPr>
              <w:jc w:val="right"/>
              <w:rPr>
                <w:color w:val="000000"/>
                <w:sz w:val="20"/>
                <w:szCs w:val="20"/>
              </w:rPr>
            </w:pPr>
            <w:r>
              <w:rPr>
                <w:color w:val="000000"/>
                <w:sz w:val="20"/>
                <w:szCs w:val="20"/>
              </w:rPr>
              <w:t>0.000</w:t>
            </w:r>
          </w:p>
        </w:tc>
      </w:tr>
      <w:tr w:rsidR="00BB4E36" w14:paraId="2C97C61A" w14:textId="77777777" w:rsidTr="00BB4E36">
        <w:trPr>
          <w:trHeight w:val="320"/>
        </w:trPr>
        <w:tc>
          <w:tcPr>
            <w:tcW w:w="1152" w:type="dxa"/>
            <w:tcBorders>
              <w:top w:val="nil"/>
              <w:left w:val="nil"/>
              <w:bottom w:val="nil"/>
              <w:right w:val="nil"/>
            </w:tcBorders>
            <w:shd w:val="clear" w:color="auto" w:fill="auto"/>
            <w:noWrap/>
            <w:vAlign w:val="bottom"/>
            <w:hideMark/>
          </w:tcPr>
          <w:p w14:paraId="7D201948"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376C91B" w14:textId="77777777" w:rsidR="00BB4E36" w:rsidRDefault="00BB4E3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F0DE4A8" w14:textId="77777777" w:rsidR="00BB4E36" w:rsidRDefault="00BB4E36">
            <w:pPr>
              <w:jc w:val="right"/>
              <w:rPr>
                <w:color w:val="000000"/>
                <w:sz w:val="20"/>
                <w:szCs w:val="20"/>
              </w:rPr>
            </w:pPr>
            <w:r>
              <w:rPr>
                <w:color w:val="000000"/>
                <w:sz w:val="20"/>
                <w:szCs w:val="20"/>
              </w:rPr>
              <w:t>-0.050</w:t>
            </w:r>
          </w:p>
        </w:tc>
        <w:tc>
          <w:tcPr>
            <w:tcW w:w="864" w:type="dxa"/>
            <w:tcBorders>
              <w:top w:val="nil"/>
              <w:left w:val="nil"/>
              <w:bottom w:val="nil"/>
              <w:right w:val="nil"/>
            </w:tcBorders>
            <w:shd w:val="clear" w:color="auto" w:fill="auto"/>
            <w:noWrap/>
            <w:vAlign w:val="bottom"/>
            <w:hideMark/>
          </w:tcPr>
          <w:p w14:paraId="2309BE53" w14:textId="77777777" w:rsidR="00BB4E36" w:rsidRDefault="00BB4E36">
            <w:pPr>
              <w:jc w:val="right"/>
              <w:rPr>
                <w:color w:val="000000"/>
                <w:sz w:val="20"/>
                <w:szCs w:val="20"/>
              </w:rPr>
            </w:pPr>
            <w:r>
              <w:rPr>
                <w:color w:val="000000"/>
                <w:sz w:val="20"/>
                <w:szCs w:val="20"/>
              </w:rPr>
              <w:t>0.528</w:t>
            </w:r>
          </w:p>
        </w:tc>
        <w:tc>
          <w:tcPr>
            <w:tcW w:w="864" w:type="dxa"/>
            <w:tcBorders>
              <w:top w:val="nil"/>
              <w:left w:val="nil"/>
              <w:bottom w:val="nil"/>
              <w:right w:val="nil"/>
            </w:tcBorders>
            <w:shd w:val="clear" w:color="auto" w:fill="auto"/>
            <w:noWrap/>
            <w:vAlign w:val="bottom"/>
            <w:hideMark/>
          </w:tcPr>
          <w:p w14:paraId="47D73FF5" w14:textId="77777777" w:rsidR="00BB4E36" w:rsidRDefault="00BB4E3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7BD709F" w14:textId="77777777" w:rsidR="00BB4E36" w:rsidRDefault="00BB4E36">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29965CB4" w14:textId="77777777" w:rsidR="00BB4E36" w:rsidRDefault="00BB4E36">
            <w:pPr>
              <w:jc w:val="right"/>
              <w:rPr>
                <w:color w:val="000000"/>
                <w:sz w:val="20"/>
                <w:szCs w:val="20"/>
              </w:rPr>
            </w:pPr>
            <w:r>
              <w:rPr>
                <w:color w:val="000000"/>
                <w:sz w:val="20"/>
                <w:szCs w:val="20"/>
              </w:rPr>
              <w:t>0.540</w:t>
            </w:r>
          </w:p>
        </w:tc>
        <w:tc>
          <w:tcPr>
            <w:tcW w:w="864" w:type="dxa"/>
            <w:tcBorders>
              <w:top w:val="nil"/>
              <w:left w:val="nil"/>
              <w:bottom w:val="nil"/>
              <w:right w:val="nil"/>
            </w:tcBorders>
            <w:shd w:val="clear" w:color="auto" w:fill="auto"/>
            <w:noWrap/>
            <w:vAlign w:val="bottom"/>
            <w:hideMark/>
          </w:tcPr>
          <w:p w14:paraId="086F302C" w14:textId="77777777" w:rsidR="00BB4E36" w:rsidRDefault="00BB4E36">
            <w:pPr>
              <w:jc w:val="right"/>
              <w:rPr>
                <w:color w:val="000000"/>
                <w:sz w:val="20"/>
                <w:szCs w:val="20"/>
              </w:rPr>
            </w:pPr>
            <w:r>
              <w:rPr>
                <w:color w:val="000000"/>
                <w:sz w:val="20"/>
                <w:szCs w:val="20"/>
              </w:rPr>
              <w:t>0.001</w:t>
            </w:r>
          </w:p>
        </w:tc>
      </w:tr>
      <w:tr w:rsidR="00BB4E36" w14:paraId="5C00644D" w14:textId="77777777" w:rsidTr="00BB4E36">
        <w:trPr>
          <w:trHeight w:val="320"/>
        </w:trPr>
        <w:tc>
          <w:tcPr>
            <w:tcW w:w="1152" w:type="dxa"/>
            <w:tcBorders>
              <w:top w:val="nil"/>
              <w:left w:val="nil"/>
              <w:bottom w:val="nil"/>
              <w:right w:val="nil"/>
            </w:tcBorders>
            <w:shd w:val="clear" w:color="auto" w:fill="auto"/>
            <w:noWrap/>
            <w:vAlign w:val="bottom"/>
            <w:hideMark/>
          </w:tcPr>
          <w:p w14:paraId="55979D2C"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47596FF" w14:textId="77777777" w:rsidR="00BB4E36" w:rsidRDefault="00BB4E3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E2E91B3" w14:textId="77777777" w:rsidR="00BB4E36" w:rsidRDefault="00BB4E36">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7B984A6E" w14:textId="77777777" w:rsidR="00BB4E36" w:rsidRDefault="00BB4E36">
            <w:pPr>
              <w:jc w:val="right"/>
              <w:rPr>
                <w:color w:val="000000"/>
                <w:sz w:val="20"/>
                <w:szCs w:val="20"/>
              </w:rPr>
            </w:pPr>
            <w:r>
              <w:rPr>
                <w:color w:val="000000"/>
                <w:sz w:val="20"/>
                <w:szCs w:val="20"/>
              </w:rPr>
              <w:t>0.774</w:t>
            </w:r>
          </w:p>
        </w:tc>
        <w:tc>
          <w:tcPr>
            <w:tcW w:w="864" w:type="dxa"/>
            <w:tcBorders>
              <w:top w:val="nil"/>
              <w:left w:val="nil"/>
              <w:bottom w:val="nil"/>
              <w:right w:val="nil"/>
            </w:tcBorders>
            <w:shd w:val="clear" w:color="auto" w:fill="auto"/>
            <w:noWrap/>
            <w:vAlign w:val="bottom"/>
            <w:hideMark/>
          </w:tcPr>
          <w:p w14:paraId="1C6C45F7"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0C4CCB5" w14:textId="77777777" w:rsidR="00BB4E36" w:rsidRDefault="00BB4E36">
            <w:pPr>
              <w:jc w:val="right"/>
              <w:rPr>
                <w:color w:val="000000"/>
                <w:sz w:val="20"/>
                <w:szCs w:val="20"/>
              </w:rPr>
            </w:pPr>
            <w:r>
              <w:rPr>
                <w:color w:val="000000"/>
                <w:sz w:val="20"/>
                <w:szCs w:val="20"/>
              </w:rPr>
              <w:t>0.060</w:t>
            </w:r>
          </w:p>
        </w:tc>
        <w:tc>
          <w:tcPr>
            <w:tcW w:w="864" w:type="dxa"/>
            <w:tcBorders>
              <w:top w:val="nil"/>
              <w:left w:val="nil"/>
              <w:bottom w:val="nil"/>
              <w:right w:val="nil"/>
            </w:tcBorders>
            <w:shd w:val="clear" w:color="auto" w:fill="auto"/>
            <w:noWrap/>
            <w:vAlign w:val="bottom"/>
            <w:hideMark/>
          </w:tcPr>
          <w:p w14:paraId="18EDE32B" w14:textId="77777777" w:rsidR="00BB4E36" w:rsidRDefault="00BB4E36">
            <w:pPr>
              <w:jc w:val="right"/>
              <w:rPr>
                <w:color w:val="000000"/>
                <w:sz w:val="20"/>
                <w:szCs w:val="20"/>
              </w:rPr>
            </w:pPr>
            <w:r>
              <w:rPr>
                <w:color w:val="000000"/>
                <w:sz w:val="20"/>
                <w:szCs w:val="20"/>
              </w:rPr>
              <w:t>0.464</w:t>
            </w:r>
          </w:p>
        </w:tc>
        <w:tc>
          <w:tcPr>
            <w:tcW w:w="864" w:type="dxa"/>
            <w:tcBorders>
              <w:top w:val="nil"/>
              <w:left w:val="nil"/>
              <w:bottom w:val="nil"/>
              <w:right w:val="nil"/>
            </w:tcBorders>
            <w:shd w:val="clear" w:color="auto" w:fill="auto"/>
            <w:noWrap/>
            <w:vAlign w:val="bottom"/>
            <w:hideMark/>
          </w:tcPr>
          <w:p w14:paraId="7930B0ED" w14:textId="77777777" w:rsidR="00BB4E36" w:rsidRDefault="00BB4E36">
            <w:pPr>
              <w:jc w:val="right"/>
              <w:rPr>
                <w:color w:val="000000"/>
                <w:sz w:val="20"/>
                <w:szCs w:val="20"/>
              </w:rPr>
            </w:pPr>
            <w:r>
              <w:rPr>
                <w:color w:val="000000"/>
                <w:sz w:val="20"/>
                <w:szCs w:val="20"/>
              </w:rPr>
              <w:t>0.004</w:t>
            </w:r>
          </w:p>
        </w:tc>
      </w:tr>
      <w:tr w:rsidR="00BB4E36" w14:paraId="21D341AD" w14:textId="77777777" w:rsidTr="00BB4E36">
        <w:trPr>
          <w:trHeight w:val="320"/>
        </w:trPr>
        <w:tc>
          <w:tcPr>
            <w:tcW w:w="1152" w:type="dxa"/>
            <w:tcBorders>
              <w:top w:val="nil"/>
              <w:left w:val="nil"/>
              <w:bottom w:val="nil"/>
              <w:right w:val="nil"/>
            </w:tcBorders>
            <w:shd w:val="clear" w:color="auto" w:fill="auto"/>
            <w:noWrap/>
            <w:vAlign w:val="bottom"/>
            <w:hideMark/>
          </w:tcPr>
          <w:p w14:paraId="1614CB4C"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C7D69C" w14:textId="77777777" w:rsidR="00BB4E36" w:rsidRDefault="00BB4E3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B80FAC3" w14:textId="77777777" w:rsidR="00BB4E36" w:rsidRDefault="00BB4E36">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0E20C763" w14:textId="77777777" w:rsidR="00BB4E36" w:rsidRDefault="00BB4E36">
            <w:pPr>
              <w:jc w:val="right"/>
              <w:rPr>
                <w:color w:val="000000"/>
                <w:sz w:val="20"/>
                <w:szCs w:val="20"/>
              </w:rPr>
            </w:pPr>
            <w:r>
              <w:rPr>
                <w:color w:val="000000"/>
                <w:sz w:val="20"/>
                <w:szCs w:val="20"/>
              </w:rPr>
              <w:t>0.774</w:t>
            </w:r>
          </w:p>
        </w:tc>
        <w:tc>
          <w:tcPr>
            <w:tcW w:w="864" w:type="dxa"/>
            <w:tcBorders>
              <w:top w:val="nil"/>
              <w:left w:val="nil"/>
              <w:bottom w:val="nil"/>
              <w:right w:val="nil"/>
            </w:tcBorders>
            <w:shd w:val="clear" w:color="auto" w:fill="auto"/>
            <w:noWrap/>
            <w:vAlign w:val="bottom"/>
            <w:hideMark/>
          </w:tcPr>
          <w:p w14:paraId="1A8DCB74"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CC2D43E" w14:textId="77777777" w:rsidR="00BB4E36" w:rsidRDefault="00BB4E36">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695523B7" w14:textId="77777777" w:rsidR="00BB4E36" w:rsidRDefault="00BB4E36">
            <w:pPr>
              <w:jc w:val="right"/>
              <w:rPr>
                <w:color w:val="000000"/>
                <w:sz w:val="20"/>
                <w:szCs w:val="20"/>
              </w:rPr>
            </w:pPr>
            <w:r>
              <w:rPr>
                <w:color w:val="000000"/>
                <w:sz w:val="20"/>
                <w:szCs w:val="20"/>
              </w:rPr>
              <w:t>0.540</w:t>
            </w:r>
          </w:p>
        </w:tc>
        <w:tc>
          <w:tcPr>
            <w:tcW w:w="864" w:type="dxa"/>
            <w:tcBorders>
              <w:top w:val="nil"/>
              <w:left w:val="nil"/>
              <w:bottom w:val="nil"/>
              <w:right w:val="nil"/>
            </w:tcBorders>
            <w:shd w:val="clear" w:color="auto" w:fill="auto"/>
            <w:noWrap/>
            <w:vAlign w:val="bottom"/>
            <w:hideMark/>
          </w:tcPr>
          <w:p w14:paraId="0248117B" w14:textId="77777777" w:rsidR="00BB4E36" w:rsidRDefault="00BB4E36">
            <w:pPr>
              <w:jc w:val="right"/>
              <w:rPr>
                <w:color w:val="000000"/>
                <w:sz w:val="20"/>
                <w:szCs w:val="20"/>
              </w:rPr>
            </w:pPr>
            <w:r>
              <w:rPr>
                <w:color w:val="000000"/>
                <w:sz w:val="20"/>
                <w:szCs w:val="20"/>
              </w:rPr>
              <w:t>0.002</w:t>
            </w:r>
          </w:p>
        </w:tc>
      </w:tr>
      <w:tr w:rsidR="00BB4E36" w14:paraId="6A519C40" w14:textId="77777777" w:rsidTr="00BB4E36">
        <w:trPr>
          <w:trHeight w:val="320"/>
        </w:trPr>
        <w:tc>
          <w:tcPr>
            <w:tcW w:w="1152" w:type="dxa"/>
            <w:tcBorders>
              <w:top w:val="nil"/>
              <w:left w:val="nil"/>
              <w:bottom w:val="single" w:sz="4" w:space="0" w:color="auto"/>
              <w:right w:val="nil"/>
            </w:tcBorders>
            <w:shd w:val="clear" w:color="auto" w:fill="auto"/>
            <w:noWrap/>
            <w:vAlign w:val="bottom"/>
            <w:hideMark/>
          </w:tcPr>
          <w:p w14:paraId="408B40D9" w14:textId="77777777" w:rsidR="00BB4E36" w:rsidRDefault="00BB4E3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9439BC0" w14:textId="77777777" w:rsidR="00BB4E36" w:rsidRDefault="00BB4E3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1BAE332" w14:textId="77777777" w:rsidR="00BB4E36" w:rsidRDefault="00BB4E36">
            <w:pPr>
              <w:jc w:val="right"/>
              <w:rPr>
                <w:color w:val="000000"/>
                <w:sz w:val="20"/>
                <w:szCs w:val="20"/>
              </w:rPr>
            </w:pPr>
            <w:r>
              <w:rPr>
                <w:color w:val="000000"/>
                <w:sz w:val="20"/>
                <w:szCs w:val="20"/>
              </w:rPr>
              <w:t>-0.050</w:t>
            </w:r>
          </w:p>
        </w:tc>
        <w:tc>
          <w:tcPr>
            <w:tcW w:w="864" w:type="dxa"/>
            <w:tcBorders>
              <w:top w:val="nil"/>
              <w:left w:val="nil"/>
              <w:bottom w:val="single" w:sz="4" w:space="0" w:color="auto"/>
              <w:right w:val="nil"/>
            </w:tcBorders>
            <w:shd w:val="clear" w:color="auto" w:fill="auto"/>
            <w:noWrap/>
            <w:vAlign w:val="bottom"/>
            <w:hideMark/>
          </w:tcPr>
          <w:p w14:paraId="29AAFC30" w14:textId="77777777" w:rsidR="00BB4E36" w:rsidRDefault="00BB4E36">
            <w:pPr>
              <w:jc w:val="right"/>
              <w:rPr>
                <w:color w:val="000000"/>
                <w:sz w:val="20"/>
                <w:szCs w:val="20"/>
              </w:rPr>
            </w:pPr>
            <w:r>
              <w:rPr>
                <w:color w:val="000000"/>
                <w:sz w:val="20"/>
                <w:szCs w:val="20"/>
              </w:rPr>
              <w:t>0.528</w:t>
            </w:r>
          </w:p>
        </w:tc>
        <w:tc>
          <w:tcPr>
            <w:tcW w:w="864" w:type="dxa"/>
            <w:tcBorders>
              <w:top w:val="nil"/>
              <w:left w:val="nil"/>
              <w:bottom w:val="single" w:sz="4" w:space="0" w:color="auto"/>
              <w:right w:val="nil"/>
            </w:tcBorders>
            <w:shd w:val="clear" w:color="auto" w:fill="auto"/>
            <w:noWrap/>
            <w:vAlign w:val="bottom"/>
            <w:hideMark/>
          </w:tcPr>
          <w:p w14:paraId="1F997D34" w14:textId="77777777" w:rsidR="00BB4E36" w:rsidRDefault="00BB4E36">
            <w:pPr>
              <w:jc w:val="right"/>
              <w:rPr>
                <w:color w:val="000000"/>
                <w:sz w:val="20"/>
                <w:szCs w:val="20"/>
              </w:rPr>
            </w:pPr>
            <w:r>
              <w:rPr>
                <w:color w:val="000000"/>
                <w:sz w:val="20"/>
                <w:szCs w:val="20"/>
              </w:rPr>
              <w:t>0.003</w:t>
            </w:r>
          </w:p>
        </w:tc>
        <w:tc>
          <w:tcPr>
            <w:tcW w:w="864" w:type="dxa"/>
            <w:tcBorders>
              <w:top w:val="nil"/>
              <w:left w:val="nil"/>
              <w:bottom w:val="single" w:sz="4" w:space="0" w:color="auto"/>
              <w:right w:val="nil"/>
            </w:tcBorders>
            <w:shd w:val="clear" w:color="auto" w:fill="auto"/>
            <w:noWrap/>
            <w:vAlign w:val="bottom"/>
            <w:hideMark/>
          </w:tcPr>
          <w:p w14:paraId="5E64FD78" w14:textId="77777777" w:rsidR="00BB4E36" w:rsidRDefault="00BB4E36">
            <w:pPr>
              <w:jc w:val="right"/>
              <w:rPr>
                <w:color w:val="000000"/>
                <w:sz w:val="20"/>
                <w:szCs w:val="20"/>
              </w:rPr>
            </w:pPr>
            <w:r>
              <w:rPr>
                <w:color w:val="000000"/>
                <w:sz w:val="20"/>
                <w:szCs w:val="20"/>
              </w:rPr>
              <w:t>-0.039</w:t>
            </w:r>
          </w:p>
        </w:tc>
        <w:tc>
          <w:tcPr>
            <w:tcW w:w="864" w:type="dxa"/>
            <w:tcBorders>
              <w:top w:val="nil"/>
              <w:left w:val="nil"/>
              <w:bottom w:val="single" w:sz="4" w:space="0" w:color="auto"/>
              <w:right w:val="nil"/>
            </w:tcBorders>
            <w:shd w:val="clear" w:color="auto" w:fill="auto"/>
            <w:noWrap/>
            <w:vAlign w:val="bottom"/>
            <w:hideMark/>
          </w:tcPr>
          <w:p w14:paraId="635CCCAB" w14:textId="77777777" w:rsidR="00BB4E36" w:rsidRDefault="00BB4E36">
            <w:pPr>
              <w:jc w:val="right"/>
              <w:rPr>
                <w:color w:val="000000"/>
                <w:sz w:val="20"/>
                <w:szCs w:val="20"/>
              </w:rPr>
            </w:pPr>
            <w:r>
              <w:rPr>
                <w:color w:val="000000"/>
                <w:sz w:val="20"/>
                <w:szCs w:val="20"/>
              </w:rPr>
              <w:t>0.540</w:t>
            </w:r>
          </w:p>
        </w:tc>
        <w:tc>
          <w:tcPr>
            <w:tcW w:w="864" w:type="dxa"/>
            <w:tcBorders>
              <w:top w:val="nil"/>
              <w:left w:val="nil"/>
              <w:bottom w:val="single" w:sz="4" w:space="0" w:color="auto"/>
              <w:right w:val="nil"/>
            </w:tcBorders>
            <w:shd w:val="clear" w:color="auto" w:fill="auto"/>
            <w:noWrap/>
            <w:vAlign w:val="bottom"/>
            <w:hideMark/>
          </w:tcPr>
          <w:p w14:paraId="7A24A16C" w14:textId="77777777" w:rsidR="00BB4E36" w:rsidRDefault="00BB4E36">
            <w:pPr>
              <w:jc w:val="right"/>
              <w:rPr>
                <w:color w:val="000000"/>
                <w:sz w:val="20"/>
                <w:szCs w:val="20"/>
              </w:rPr>
            </w:pPr>
            <w:r>
              <w:rPr>
                <w:color w:val="000000"/>
                <w:sz w:val="20"/>
                <w:szCs w:val="20"/>
              </w:rPr>
              <w:t>0.002</w:t>
            </w:r>
          </w:p>
        </w:tc>
      </w:tr>
      <w:tr w:rsidR="00BB4E36" w14:paraId="1D66B6AD" w14:textId="77777777" w:rsidTr="00BB4E36">
        <w:trPr>
          <w:trHeight w:val="320"/>
        </w:trPr>
        <w:tc>
          <w:tcPr>
            <w:tcW w:w="1152" w:type="dxa"/>
            <w:tcBorders>
              <w:top w:val="nil"/>
              <w:left w:val="nil"/>
              <w:bottom w:val="nil"/>
              <w:right w:val="nil"/>
            </w:tcBorders>
            <w:shd w:val="clear" w:color="auto" w:fill="auto"/>
            <w:noWrap/>
            <w:vAlign w:val="bottom"/>
            <w:hideMark/>
          </w:tcPr>
          <w:p w14:paraId="57E4325E" w14:textId="77777777" w:rsidR="00BB4E36" w:rsidRDefault="00BB4E36">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686D284C" w14:textId="77777777" w:rsidR="00BB4E36" w:rsidRDefault="00BB4E3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EAFD7E2" w14:textId="77777777" w:rsidR="00BB4E36" w:rsidRDefault="00BB4E36">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7AF9BEA2" w14:textId="77777777" w:rsidR="00BB4E36" w:rsidRDefault="00BB4E36">
            <w:pPr>
              <w:jc w:val="right"/>
              <w:rPr>
                <w:color w:val="000000"/>
                <w:sz w:val="20"/>
                <w:szCs w:val="20"/>
              </w:rPr>
            </w:pPr>
            <w:r>
              <w:rPr>
                <w:color w:val="000000"/>
                <w:sz w:val="20"/>
                <w:szCs w:val="20"/>
              </w:rPr>
              <w:t>0.752</w:t>
            </w:r>
          </w:p>
        </w:tc>
        <w:tc>
          <w:tcPr>
            <w:tcW w:w="864" w:type="dxa"/>
            <w:tcBorders>
              <w:top w:val="nil"/>
              <w:left w:val="nil"/>
              <w:bottom w:val="nil"/>
              <w:right w:val="nil"/>
            </w:tcBorders>
            <w:shd w:val="clear" w:color="auto" w:fill="auto"/>
            <w:noWrap/>
            <w:vAlign w:val="bottom"/>
            <w:hideMark/>
          </w:tcPr>
          <w:p w14:paraId="5A133C45"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EFC00CE" w14:textId="77777777" w:rsidR="00BB4E36" w:rsidRDefault="00BB4E3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4B79B3B" w14:textId="77777777" w:rsidR="00BB4E36" w:rsidRDefault="00BB4E36">
            <w:pPr>
              <w:jc w:val="right"/>
              <w:rPr>
                <w:color w:val="000000"/>
                <w:sz w:val="20"/>
                <w:szCs w:val="20"/>
              </w:rPr>
            </w:pPr>
            <w:r>
              <w:rPr>
                <w:color w:val="000000"/>
                <w:sz w:val="20"/>
                <w:szCs w:val="20"/>
              </w:rPr>
              <w:t>0.933</w:t>
            </w:r>
          </w:p>
        </w:tc>
        <w:tc>
          <w:tcPr>
            <w:tcW w:w="864" w:type="dxa"/>
            <w:tcBorders>
              <w:top w:val="nil"/>
              <w:left w:val="nil"/>
              <w:bottom w:val="nil"/>
              <w:right w:val="nil"/>
            </w:tcBorders>
            <w:shd w:val="clear" w:color="auto" w:fill="auto"/>
            <w:noWrap/>
            <w:vAlign w:val="bottom"/>
            <w:hideMark/>
          </w:tcPr>
          <w:p w14:paraId="62CAE958" w14:textId="77777777" w:rsidR="00BB4E36" w:rsidRDefault="00BB4E36">
            <w:pPr>
              <w:jc w:val="right"/>
              <w:rPr>
                <w:color w:val="000000"/>
                <w:sz w:val="20"/>
                <w:szCs w:val="20"/>
              </w:rPr>
            </w:pPr>
            <w:r>
              <w:rPr>
                <w:color w:val="000000"/>
                <w:sz w:val="20"/>
                <w:szCs w:val="20"/>
              </w:rPr>
              <w:t>0.000</w:t>
            </w:r>
          </w:p>
        </w:tc>
      </w:tr>
      <w:tr w:rsidR="00BB4E36" w14:paraId="33BEB893" w14:textId="77777777" w:rsidTr="00BB4E36">
        <w:trPr>
          <w:trHeight w:val="320"/>
        </w:trPr>
        <w:tc>
          <w:tcPr>
            <w:tcW w:w="1152" w:type="dxa"/>
            <w:tcBorders>
              <w:top w:val="nil"/>
              <w:left w:val="nil"/>
              <w:bottom w:val="nil"/>
              <w:right w:val="nil"/>
            </w:tcBorders>
            <w:shd w:val="clear" w:color="auto" w:fill="auto"/>
            <w:noWrap/>
            <w:vAlign w:val="bottom"/>
            <w:hideMark/>
          </w:tcPr>
          <w:p w14:paraId="087ADF4C"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D50EEB" w14:textId="77777777" w:rsidR="00BB4E36" w:rsidRDefault="00BB4E3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4AA42EF" w14:textId="77777777" w:rsidR="00BB4E36" w:rsidRDefault="00BB4E36">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52D6A483" w14:textId="77777777" w:rsidR="00BB4E36" w:rsidRDefault="00BB4E36">
            <w:pPr>
              <w:jc w:val="right"/>
              <w:rPr>
                <w:color w:val="000000"/>
                <w:sz w:val="20"/>
                <w:szCs w:val="20"/>
              </w:rPr>
            </w:pPr>
            <w:r>
              <w:rPr>
                <w:color w:val="000000"/>
                <w:sz w:val="20"/>
                <w:szCs w:val="20"/>
              </w:rPr>
              <w:t>0.606</w:t>
            </w:r>
          </w:p>
        </w:tc>
        <w:tc>
          <w:tcPr>
            <w:tcW w:w="864" w:type="dxa"/>
            <w:tcBorders>
              <w:top w:val="nil"/>
              <w:left w:val="nil"/>
              <w:bottom w:val="nil"/>
              <w:right w:val="nil"/>
            </w:tcBorders>
            <w:shd w:val="clear" w:color="auto" w:fill="auto"/>
            <w:noWrap/>
            <w:vAlign w:val="bottom"/>
            <w:hideMark/>
          </w:tcPr>
          <w:p w14:paraId="0F721FB1" w14:textId="77777777" w:rsidR="00BB4E36" w:rsidRDefault="00BB4E3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8368492" w14:textId="77777777" w:rsidR="00BB4E36" w:rsidRDefault="00BB4E36">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4E88A284" w14:textId="77777777" w:rsidR="00BB4E36" w:rsidRDefault="00BB4E36">
            <w:pPr>
              <w:jc w:val="right"/>
              <w:rPr>
                <w:color w:val="000000"/>
                <w:sz w:val="20"/>
                <w:szCs w:val="20"/>
              </w:rPr>
            </w:pPr>
            <w:r>
              <w:rPr>
                <w:color w:val="000000"/>
                <w:sz w:val="20"/>
                <w:szCs w:val="20"/>
              </w:rPr>
              <w:t>0.877</w:t>
            </w:r>
          </w:p>
        </w:tc>
        <w:tc>
          <w:tcPr>
            <w:tcW w:w="864" w:type="dxa"/>
            <w:tcBorders>
              <w:top w:val="nil"/>
              <w:left w:val="nil"/>
              <w:bottom w:val="nil"/>
              <w:right w:val="nil"/>
            </w:tcBorders>
            <w:shd w:val="clear" w:color="auto" w:fill="auto"/>
            <w:noWrap/>
            <w:vAlign w:val="bottom"/>
            <w:hideMark/>
          </w:tcPr>
          <w:p w14:paraId="6ACF74BF" w14:textId="77777777" w:rsidR="00BB4E36" w:rsidRDefault="00BB4E36">
            <w:pPr>
              <w:jc w:val="right"/>
              <w:rPr>
                <w:color w:val="000000"/>
                <w:sz w:val="20"/>
                <w:szCs w:val="20"/>
              </w:rPr>
            </w:pPr>
            <w:r>
              <w:rPr>
                <w:color w:val="000000"/>
                <w:sz w:val="20"/>
                <w:szCs w:val="20"/>
              </w:rPr>
              <w:t>0.000</w:t>
            </w:r>
          </w:p>
        </w:tc>
      </w:tr>
      <w:tr w:rsidR="00BB4E36" w14:paraId="56EEF364" w14:textId="77777777" w:rsidTr="00BB4E36">
        <w:trPr>
          <w:trHeight w:val="320"/>
        </w:trPr>
        <w:tc>
          <w:tcPr>
            <w:tcW w:w="1152" w:type="dxa"/>
            <w:tcBorders>
              <w:top w:val="nil"/>
              <w:left w:val="nil"/>
              <w:bottom w:val="nil"/>
              <w:right w:val="nil"/>
            </w:tcBorders>
            <w:shd w:val="clear" w:color="auto" w:fill="auto"/>
            <w:noWrap/>
            <w:vAlign w:val="bottom"/>
            <w:hideMark/>
          </w:tcPr>
          <w:p w14:paraId="36BBBC8A"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B3CCB81" w14:textId="77777777" w:rsidR="00BB4E36" w:rsidRDefault="00BB4E3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657F7BE" w14:textId="77777777" w:rsidR="00BB4E36" w:rsidRDefault="00BB4E36">
            <w:pPr>
              <w:jc w:val="right"/>
              <w:rPr>
                <w:color w:val="000000"/>
                <w:sz w:val="20"/>
                <w:szCs w:val="20"/>
              </w:rPr>
            </w:pPr>
            <w:r>
              <w:rPr>
                <w:color w:val="000000"/>
                <w:sz w:val="20"/>
                <w:szCs w:val="20"/>
              </w:rPr>
              <w:t>0.060</w:t>
            </w:r>
          </w:p>
        </w:tc>
        <w:tc>
          <w:tcPr>
            <w:tcW w:w="864" w:type="dxa"/>
            <w:tcBorders>
              <w:top w:val="nil"/>
              <w:left w:val="nil"/>
              <w:bottom w:val="nil"/>
              <w:right w:val="nil"/>
            </w:tcBorders>
            <w:shd w:val="clear" w:color="auto" w:fill="auto"/>
            <w:noWrap/>
            <w:vAlign w:val="bottom"/>
            <w:hideMark/>
          </w:tcPr>
          <w:p w14:paraId="37C812BC" w14:textId="77777777" w:rsidR="00BB4E36" w:rsidRDefault="00BB4E36">
            <w:pPr>
              <w:jc w:val="right"/>
              <w:rPr>
                <w:color w:val="000000"/>
                <w:sz w:val="20"/>
                <w:szCs w:val="20"/>
              </w:rPr>
            </w:pPr>
            <w:r>
              <w:rPr>
                <w:color w:val="000000"/>
                <w:sz w:val="20"/>
                <w:szCs w:val="20"/>
              </w:rPr>
              <w:t>0.244</w:t>
            </w:r>
          </w:p>
        </w:tc>
        <w:tc>
          <w:tcPr>
            <w:tcW w:w="864" w:type="dxa"/>
            <w:tcBorders>
              <w:top w:val="nil"/>
              <w:left w:val="nil"/>
              <w:bottom w:val="nil"/>
              <w:right w:val="nil"/>
            </w:tcBorders>
            <w:shd w:val="clear" w:color="auto" w:fill="auto"/>
            <w:noWrap/>
            <w:vAlign w:val="bottom"/>
            <w:hideMark/>
          </w:tcPr>
          <w:p w14:paraId="1183808E" w14:textId="77777777" w:rsidR="00BB4E36" w:rsidRDefault="00BB4E3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CE77B48" w14:textId="77777777" w:rsidR="00BB4E36" w:rsidRDefault="00BB4E36">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57718618" w14:textId="77777777" w:rsidR="00BB4E36" w:rsidRDefault="00BB4E36">
            <w:pPr>
              <w:jc w:val="right"/>
              <w:rPr>
                <w:color w:val="000000"/>
                <w:sz w:val="20"/>
                <w:szCs w:val="20"/>
              </w:rPr>
            </w:pPr>
            <w:r>
              <w:rPr>
                <w:color w:val="000000"/>
                <w:sz w:val="20"/>
                <w:szCs w:val="20"/>
              </w:rPr>
              <w:t>0.877</w:t>
            </w:r>
          </w:p>
        </w:tc>
        <w:tc>
          <w:tcPr>
            <w:tcW w:w="864" w:type="dxa"/>
            <w:tcBorders>
              <w:top w:val="nil"/>
              <w:left w:val="nil"/>
              <w:bottom w:val="nil"/>
              <w:right w:val="nil"/>
            </w:tcBorders>
            <w:shd w:val="clear" w:color="auto" w:fill="auto"/>
            <w:noWrap/>
            <w:vAlign w:val="bottom"/>
            <w:hideMark/>
          </w:tcPr>
          <w:p w14:paraId="39323A2F" w14:textId="77777777" w:rsidR="00BB4E36" w:rsidRDefault="00BB4E36">
            <w:pPr>
              <w:jc w:val="right"/>
              <w:rPr>
                <w:color w:val="000000"/>
                <w:sz w:val="20"/>
                <w:szCs w:val="20"/>
              </w:rPr>
            </w:pPr>
            <w:r>
              <w:rPr>
                <w:color w:val="000000"/>
                <w:sz w:val="20"/>
                <w:szCs w:val="20"/>
              </w:rPr>
              <w:t>0.000</w:t>
            </w:r>
          </w:p>
        </w:tc>
      </w:tr>
      <w:tr w:rsidR="00BB4E36" w14:paraId="539E2A76" w14:textId="77777777" w:rsidTr="00BB4E36">
        <w:trPr>
          <w:trHeight w:val="320"/>
        </w:trPr>
        <w:tc>
          <w:tcPr>
            <w:tcW w:w="1152" w:type="dxa"/>
            <w:tcBorders>
              <w:top w:val="nil"/>
              <w:left w:val="nil"/>
              <w:bottom w:val="nil"/>
              <w:right w:val="nil"/>
            </w:tcBorders>
            <w:shd w:val="clear" w:color="auto" w:fill="auto"/>
            <w:noWrap/>
            <w:vAlign w:val="bottom"/>
            <w:hideMark/>
          </w:tcPr>
          <w:p w14:paraId="27FC26C2"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F67BBBE" w14:textId="77777777" w:rsidR="00BB4E36" w:rsidRDefault="00BB4E3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99A24A5" w14:textId="77777777" w:rsidR="00BB4E36" w:rsidRDefault="00BB4E36">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497C7F65" w14:textId="77777777" w:rsidR="00BB4E36" w:rsidRDefault="00BB4E36">
            <w:pPr>
              <w:jc w:val="right"/>
              <w:rPr>
                <w:color w:val="000000"/>
                <w:sz w:val="20"/>
                <w:szCs w:val="20"/>
              </w:rPr>
            </w:pPr>
            <w:r>
              <w:rPr>
                <w:color w:val="000000"/>
                <w:sz w:val="20"/>
                <w:szCs w:val="20"/>
              </w:rPr>
              <w:t>0.777</w:t>
            </w:r>
          </w:p>
        </w:tc>
        <w:tc>
          <w:tcPr>
            <w:tcW w:w="864" w:type="dxa"/>
            <w:tcBorders>
              <w:top w:val="nil"/>
              <w:left w:val="nil"/>
              <w:bottom w:val="nil"/>
              <w:right w:val="nil"/>
            </w:tcBorders>
            <w:shd w:val="clear" w:color="auto" w:fill="auto"/>
            <w:noWrap/>
            <w:vAlign w:val="bottom"/>
            <w:hideMark/>
          </w:tcPr>
          <w:p w14:paraId="48301B09"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889FDD6" w14:textId="77777777" w:rsidR="00BB4E36" w:rsidRDefault="00BB4E36">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60DBE537" w14:textId="77777777" w:rsidR="00BB4E36" w:rsidRDefault="00BB4E36">
            <w:pPr>
              <w:jc w:val="right"/>
              <w:rPr>
                <w:color w:val="000000"/>
                <w:sz w:val="20"/>
                <w:szCs w:val="20"/>
              </w:rPr>
            </w:pPr>
            <w:r>
              <w:rPr>
                <w:color w:val="000000"/>
                <w:sz w:val="20"/>
                <w:szCs w:val="20"/>
              </w:rPr>
              <w:t>0.877</w:t>
            </w:r>
          </w:p>
        </w:tc>
        <w:tc>
          <w:tcPr>
            <w:tcW w:w="864" w:type="dxa"/>
            <w:tcBorders>
              <w:top w:val="nil"/>
              <w:left w:val="nil"/>
              <w:bottom w:val="nil"/>
              <w:right w:val="nil"/>
            </w:tcBorders>
            <w:shd w:val="clear" w:color="auto" w:fill="auto"/>
            <w:noWrap/>
            <w:vAlign w:val="bottom"/>
            <w:hideMark/>
          </w:tcPr>
          <w:p w14:paraId="6EF54D2A" w14:textId="77777777" w:rsidR="00BB4E36" w:rsidRDefault="00BB4E36">
            <w:pPr>
              <w:jc w:val="right"/>
              <w:rPr>
                <w:color w:val="000000"/>
                <w:sz w:val="20"/>
                <w:szCs w:val="20"/>
              </w:rPr>
            </w:pPr>
            <w:r>
              <w:rPr>
                <w:color w:val="000000"/>
                <w:sz w:val="20"/>
                <w:szCs w:val="20"/>
              </w:rPr>
              <w:t>0.000</w:t>
            </w:r>
          </w:p>
        </w:tc>
      </w:tr>
      <w:tr w:rsidR="00BB4E36" w14:paraId="692579E9" w14:textId="77777777" w:rsidTr="00BB4E36">
        <w:trPr>
          <w:trHeight w:val="320"/>
        </w:trPr>
        <w:tc>
          <w:tcPr>
            <w:tcW w:w="1152" w:type="dxa"/>
            <w:tcBorders>
              <w:top w:val="nil"/>
              <w:left w:val="nil"/>
              <w:bottom w:val="nil"/>
              <w:right w:val="nil"/>
            </w:tcBorders>
            <w:shd w:val="clear" w:color="auto" w:fill="auto"/>
            <w:noWrap/>
            <w:vAlign w:val="bottom"/>
            <w:hideMark/>
          </w:tcPr>
          <w:p w14:paraId="75CFC16A"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E3BE376" w14:textId="77777777" w:rsidR="00BB4E36" w:rsidRDefault="00BB4E3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A920BB3" w14:textId="77777777" w:rsidR="00BB4E36" w:rsidRDefault="00BB4E36">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6FD77FBB" w14:textId="77777777" w:rsidR="00BB4E36" w:rsidRDefault="00BB4E36">
            <w:pPr>
              <w:jc w:val="right"/>
              <w:rPr>
                <w:color w:val="000000"/>
                <w:sz w:val="20"/>
                <w:szCs w:val="20"/>
              </w:rPr>
            </w:pPr>
            <w:r>
              <w:rPr>
                <w:color w:val="000000"/>
                <w:sz w:val="20"/>
                <w:szCs w:val="20"/>
              </w:rPr>
              <w:t>0.309</w:t>
            </w:r>
          </w:p>
        </w:tc>
        <w:tc>
          <w:tcPr>
            <w:tcW w:w="864" w:type="dxa"/>
            <w:tcBorders>
              <w:top w:val="nil"/>
              <w:left w:val="nil"/>
              <w:bottom w:val="nil"/>
              <w:right w:val="nil"/>
            </w:tcBorders>
            <w:shd w:val="clear" w:color="auto" w:fill="auto"/>
            <w:noWrap/>
            <w:vAlign w:val="bottom"/>
            <w:hideMark/>
          </w:tcPr>
          <w:p w14:paraId="394C217E" w14:textId="77777777" w:rsidR="00BB4E36" w:rsidRDefault="00BB4E3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8ADC2A7" w14:textId="77777777" w:rsidR="00BB4E36" w:rsidRDefault="00BB4E3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7D115F60" w14:textId="77777777" w:rsidR="00BB4E36" w:rsidRDefault="00BB4E36">
            <w:pPr>
              <w:jc w:val="right"/>
              <w:rPr>
                <w:color w:val="000000"/>
                <w:sz w:val="20"/>
                <w:szCs w:val="20"/>
              </w:rPr>
            </w:pPr>
            <w:r>
              <w:rPr>
                <w:color w:val="000000"/>
                <w:sz w:val="20"/>
                <w:szCs w:val="20"/>
              </w:rPr>
              <w:t>0.933</w:t>
            </w:r>
          </w:p>
        </w:tc>
        <w:tc>
          <w:tcPr>
            <w:tcW w:w="864" w:type="dxa"/>
            <w:tcBorders>
              <w:top w:val="nil"/>
              <w:left w:val="nil"/>
              <w:bottom w:val="nil"/>
              <w:right w:val="nil"/>
            </w:tcBorders>
            <w:shd w:val="clear" w:color="auto" w:fill="auto"/>
            <w:noWrap/>
            <w:vAlign w:val="bottom"/>
            <w:hideMark/>
          </w:tcPr>
          <w:p w14:paraId="1E84D67F" w14:textId="77777777" w:rsidR="00BB4E36" w:rsidRDefault="00BB4E36">
            <w:pPr>
              <w:jc w:val="right"/>
              <w:rPr>
                <w:color w:val="000000"/>
                <w:sz w:val="20"/>
                <w:szCs w:val="20"/>
              </w:rPr>
            </w:pPr>
            <w:r>
              <w:rPr>
                <w:color w:val="000000"/>
                <w:sz w:val="20"/>
                <w:szCs w:val="20"/>
              </w:rPr>
              <w:t>0.000</w:t>
            </w:r>
          </w:p>
        </w:tc>
      </w:tr>
      <w:tr w:rsidR="00BB4E36" w14:paraId="398E203D" w14:textId="77777777" w:rsidTr="00BB4E36">
        <w:trPr>
          <w:trHeight w:val="320"/>
        </w:trPr>
        <w:tc>
          <w:tcPr>
            <w:tcW w:w="1152" w:type="dxa"/>
            <w:tcBorders>
              <w:top w:val="nil"/>
              <w:left w:val="nil"/>
              <w:bottom w:val="nil"/>
              <w:right w:val="nil"/>
            </w:tcBorders>
            <w:shd w:val="clear" w:color="auto" w:fill="auto"/>
            <w:noWrap/>
            <w:vAlign w:val="bottom"/>
            <w:hideMark/>
          </w:tcPr>
          <w:p w14:paraId="5DC2CD30"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54699B5" w14:textId="77777777" w:rsidR="00BB4E36" w:rsidRDefault="00BB4E3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083847A" w14:textId="77777777" w:rsidR="00BB4E36" w:rsidRDefault="00BB4E36">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607E2059" w14:textId="77777777" w:rsidR="00BB4E36" w:rsidRDefault="00BB4E36">
            <w:pPr>
              <w:jc w:val="right"/>
              <w:rPr>
                <w:color w:val="000000"/>
                <w:sz w:val="20"/>
                <w:szCs w:val="20"/>
              </w:rPr>
            </w:pPr>
            <w:r>
              <w:rPr>
                <w:color w:val="000000"/>
                <w:sz w:val="20"/>
                <w:szCs w:val="20"/>
              </w:rPr>
              <w:t>0.606</w:t>
            </w:r>
          </w:p>
        </w:tc>
        <w:tc>
          <w:tcPr>
            <w:tcW w:w="864" w:type="dxa"/>
            <w:tcBorders>
              <w:top w:val="nil"/>
              <w:left w:val="nil"/>
              <w:bottom w:val="nil"/>
              <w:right w:val="nil"/>
            </w:tcBorders>
            <w:shd w:val="clear" w:color="auto" w:fill="auto"/>
            <w:noWrap/>
            <w:vAlign w:val="bottom"/>
            <w:hideMark/>
          </w:tcPr>
          <w:p w14:paraId="61ABE2FA" w14:textId="77777777" w:rsidR="00BB4E36" w:rsidRDefault="00BB4E3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A2F7933" w14:textId="77777777" w:rsidR="00BB4E36" w:rsidRDefault="00BB4E36">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2A494DFB" w14:textId="77777777" w:rsidR="00BB4E36" w:rsidRDefault="00BB4E36">
            <w:pPr>
              <w:jc w:val="right"/>
              <w:rPr>
                <w:color w:val="000000"/>
                <w:sz w:val="20"/>
                <w:szCs w:val="20"/>
              </w:rPr>
            </w:pPr>
            <w:r>
              <w:rPr>
                <w:color w:val="000000"/>
                <w:sz w:val="20"/>
                <w:szCs w:val="20"/>
              </w:rPr>
              <w:t>0.648</w:t>
            </w:r>
          </w:p>
        </w:tc>
        <w:tc>
          <w:tcPr>
            <w:tcW w:w="864" w:type="dxa"/>
            <w:tcBorders>
              <w:top w:val="nil"/>
              <w:left w:val="nil"/>
              <w:bottom w:val="nil"/>
              <w:right w:val="nil"/>
            </w:tcBorders>
            <w:shd w:val="clear" w:color="auto" w:fill="auto"/>
            <w:noWrap/>
            <w:vAlign w:val="bottom"/>
            <w:hideMark/>
          </w:tcPr>
          <w:p w14:paraId="59414F5A" w14:textId="77777777" w:rsidR="00BB4E36" w:rsidRDefault="00BB4E36">
            <w:pPr>
              <w:jc w:val="right"/>
              <w:rPr>
                <w:color w:val="000000"/>
                <w:sz w:val="20"/>
                <w:szCs w:val="20"/>
              </w:rPr>
            </w:pPr>
            <w:r>
              <w:rPr>
                <w:color w:val="000000"/>
                <w:sz w:val="20"/>
                <w:szCs w:val="20"/>
              </w:rPr>
              <w:t>0.001</w:t>
            </w:r>
          </w:p>
        </w:tc>
      </w:tr>
      <w:tr w:rsidR="00BB4E36" w14:paraId="1FEC6702" w14:textId="77777777" w:rsidTr="00BB4E36">
        <w:trPr>
          <w:trHeight w:val="320"/>
        </w:trPr>
        <w:tc>
          <w:tcPr>
            <w:tcW w:w="1152" w:type="dxa"/>
            <w:tcBorders>
              <w:top w:val="nil"/>
              <w:left w:val="nil"/>
              <w:bottom w:val="nil"/>
              <w:right w:val="nil"/>
            </w:tcBorders>
            <w:shd w:val="clear" w:color="auto" w:fill="auto"/>
            <w:noWrap/>
            <w:vAlign w:val="bottom"/>
            <w:hideMark/>
          </w:tcPr>
          <w:p w14:paraId="1C779742" w14:textId="77777777" w:rsidR="00BB4E36" w:rsidRDefault="00BB4E3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2F28350" w14:textId="77777777" w:rsidR="00BB4E36" w:rsidRDefault="00BB4E3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CA460B7" w14:textId="77777777" w:rsidR="00BB4E36" w:rsidRDefault="00BB4E36">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691F1F59" w14:textId="77777777" w:rsidR="00BB4E36" w:rsidRDefault="00BB4E36">
            <w:pPr>
              <w:jc w:val="right"/>
              <w:rPr>
                <w:color w:val="000000"/>
                <w:sz w:val="20"/>
                <w:szCs w:val="20"/>
              </w:rPr>
            </w:pPr>
            <w:r>
              <w:rPr>
                <w:color w:val="000000"/>
                <w:sz w:val="20"/>
                <w:szCs w:val="20"/>
              </w:rPr>
              <w:t>0.112</w:t>
            </w:r>
          </w:p>
        </w:tc>
        <w:tc>
          <w:tcPr>
            <w:tcW w:w="864" w:type="dxa"/>
            <w:tcBorders>
              <w:top w:val="nil"/>
              <w:left w:val="nil"/>
              <w:bottom w:val="nil"/>
              <w:right w:val="nil"/>
            </w:tcBorders>
            <w:shd w:val="clear" w:color="auto" w:fill="auto"/>
            <w:noWrap/>
            <w:vAlign w:val="bottom"/>
            <w:hideMark/>
          </w:tcPr>
          <w:p w14:paraId="6A02957C" w14:textId="77777777" w:rsidR="00BB4E36" w:rsidRDefault="00BB4E36">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002DB56E" w14:textId="77777777" w:rsidR="00BB4E36" w:rsidRDefault="00BB4E36">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7495E857" w14:textId="77777777" w:rsidR="00BB4E36" w:rsidRDefault="00BB4E36">
            <w:pPr>
              <w:jc w:val="right"/>
              <w:rPr>
                <w:color w:val="000000"/>
                <w:sz w:val="20"/>
                <w:szCs w:val="20"/>
              </w:rPr>
            </w:pPr>
            <w:r>
              <w:rPr>
                <w:color w:val="000000"/>
                <w:sz w:val="20"/>
                <w:szCs w:val="20"/>
              </w:rPr>
              <w:t>0.440</w:t>
            </w:r>
          </w:p>
        </w:tc>
        <w:tc>
          <w:tcPr>
            <w:tcW w:w="864" w:type="dxa"/>
            <w:tcBorders>
              <w:top w:val="nil"/>
              <w:left w:val="nil"/>
              <w:bottom w:val="nil"/>
              <w:right w:val="nil"/>
            </w:tcBorders>
            <w:shd w:val="clear" w:color="auto" w:fill="auto"/>
            <w:noWrap/>
            <w:vAlign w:val="bottom"/>
            <w:hideMark/>
          </w:tcPr>
          <w:p w14:paraId="35FF5854" w14:textId="77777777" w:rsidR="00BB4E36" w:rsidRDefault="00BB4E36">
            <w:pPr>
              <w:jc w:val="right"/>
              <w:rPr>
                <w:color w:val="000000"/>
                <w:sz w:val="20"/>
                <w:szCs w:val="20"/>
              </w:rPr>
            </w:pPr>
            <w:r>
              <w:rPr>
                <w:color w:val="000000"/>
                <w:sz w:val="20"/>
                <w:szCs w:val="20"/>
              </w:rPr>
              <w:t>0.003</w:t>
            </w:r>
          </w:p>
        </w:tc>
      </w:tr>
      <w:tr w:rsidR="00BB4E36" w14:paraId="0E813A51"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4B387F0F" w14:textId="77777777" w:rsidR="00BB4E36" w:rsidRDefault="00BB4E36">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516F394A" w14:textId="77777777" w:rsidR="00BB4E36" w:rsidRDefault="00BB4E36">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32F5B9BB" w14:textId="77777777" w:rsidR="00BB4E36" w:rsidRDefault="00BB4E36">
            <w:pPr>
              <w:jc w:val="right"/>
              <w:rPr>
                <w:color w:val="000000"/>
                <w:sz w:val="20"/>
                <w:szCs w:val="20"/>
              </w:rPr>
            </w:pPr>
            <w:r>
              <w:rPr>
                <w:color w:val="000000"/>
                <w:sz w:val="20"/>
                <w:szCs w:val="20"/>
              </w:rPr>
              <w:t>-0.003</w:t>
            </w:r>
          </w:p>
        </w:tc>
        <w:tc>
          <w:tcPr>
            <w:tcW w:w="864" w:type="dxa"/>
            <w:tcBorders>
              <w:top w:val="nil"/>
              <w:left w:val="nil"/>
              <w:bottom w:val="single" w:sz="12" w:space="0" w:color="auto"/>
              <w:right w:val="nil"/>
            </w:tcBorders>
            <w:shd w:val="clear" w:color="auto" w:fill="auto"/>
            <w:noWrap/>
            <w:vAlign w:val="bottom"/>
            <w:hideMark/>
          </w:tcPr>
          <w:p w14:paraId="17E2F95A" w14:textId="77777777" w:rsidR="00BB4E36" w:rsidRDefault="00BB4E36">
            <w:pPr>
              <w:jc w:val="right"/>
              <w:rPr>
                <w:color w:val="000000"/>
                <w:sz w:val="20"/>
                <w:szCs w:val="20"/>
              </w:rPr>
            </w:pPr>
            <w:r>
              <w:rPr>
                <w:color w:val="000000"/>
                <w:sz w:val="20"/>
                <w:szCs w:val="20"/>
              </w:rPr>
              <w:t>0.920</w:t>
            </w:r>
          </w:p>
        </w:tc>
        <w:tc>
          <w:tcPr>
            <w:tcW w:w="864" w:type="dxa"/>
            <w:tcBorders>
              <w:top w:val="nil"/>
              <w:left w:val="nil"/>
              <w:bottom w:val="single" w:sz="12" w:space="0" w:color="auto"/>
              <w:right w:val="nil"/>
            </w:tcBorders>
            <w:shd w:val="clear" w:color="auto" w:fill="auto"/>
            <w:noWrap/>
            <w:vAlign w:val="bottom"/>
            <w:hideMark/>
          </w:tcPr>
          <w:p w14:paraId="7984B0EE" w14:textId="77777777" w:rsidR="00BB4E36" w:rsidRDefault="00BB4E36">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7284A659" w14:textId="77777777" w:rsidR="00BB4E36" w:rsidRDefault="00BB4E36">
            <w:pPr>
              <w:jc w:val="right"/>
              <w:rPr>
                <w:color w:val="000000"/>
                <w:sz w:val="20"/>
                <w:szCs w:val="20"/>
              </w:rPr>
            </w:pPr>
            <w:r>
              <w:rPr>
                <w:color w:val="000000"/>
                <w:sz w:val="20"/>
                <w:szCs w:val="20"/>
              </w:rPr>
              <w:t>-0.049</w:t>
            </w:r>
          </w:p>
        </w:tc>
        <w:tc>
          <w:tcPr>
            <w:tcW w:w="864" w:type="dxa"/>
            <w:tcBorders>
              <w:top w:val="nil"/>
              <w:left w:val="nil"/>
              <w:bottom w:val="single" w:sz="12" w:space="0" w:color="auto"/>
              <w:right w:val="nil"/>
            </w:tcBorders>
            <w:shd w:val="clear" w:color="auto" w:fill="auto"/>
            <w:noWrap/>
            <w:vAlign w:val="bottom"/>
            <w:hideMark/>
          </w:tcPr>
          <w:p w14:paraId="65EEA954" w14:textId="77777777" w:rsidR="00BB4E36" w:rsidRDefault="00BB4E36">
            <w:pPr>
              <w:jc w:val="right"/>
              <w:rPr>
                <w:color w:val="000000"/>
                <w:sz w:val="20"/>
                <w:szCs w:val="20"/>
              </w:rPr>
            </w:pPr>
            <w:r>
              <w:rPr>
                <w:color w:val="000000"/>
                <w:sz w:val="20"/>
                <w:szCs w:val="20"/>
              </w:rPr>
              <w:t>0.440</w:t>
            </w:r>
          </w:p>
        </w:tc>
        <w:tc>
          <w:tcPr>
            <w:tcW w:w="864" w:type="dxa"/>
            <w:tcBorders>
              <w:top w:val="nil"/>
              <w:left w:val="nil"/>
              <w:bottom w:val="single" w:sz="12" w:space="0" w:color="auto"/>
              <w:right w:val="nil"/>
            </w:tcBorders>
            <w:shd w:val="clear" w:color="auto" w:fill="auto"/>
            <w:noWrap/>
            <w:vAlign w:val="bottom"/>
            <w:hideMark/>
          </w:tcPr>
          <w:p w14:paraId="0FE2E53E" w14:textId="77777777" w:rsidR="00BB4E36" w:rsidRDefault="00BB4E36">
            <w:pPr>
              <w:jc w:val="right"/>
              <w:rPr>
                <w:color w:val="000000"/>
                <w:sz w:val="20"/>
                <w:szCs w:val="20"/>
              </w:rPr>
            </w:pPr>
            <w:r>
              <w:rPr>
                <w:color w:val="000000"/>
                <w:sz w:val="20"/>
                <w:szCs w:val="20"/>
              </w:rPr>
              <w:t>0.002</w:t>
            </w:r>
          </w:p>
        </w:tc>
      </w:tr>
      <w:tr w:rsidR="00BB4E36" w14:paraId="62BFE376"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EA6F126" w14:textId="77777777" w:rsidR="00BB4E36" w:rsidRDefault="00BB4E36">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357DE95D" w14:textId="77777777" w:rsidR="00BB4E36" w:rsidRDefault="00BB4E3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A6E7538" w14:textId="77777777" w:rsidR="00BB4E36" w:rsidRDefault="00BB4E3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A93B66B" w14:textId="77777777" w:rsidR="00BB4E36" w:rsidRDefault="00BB4E3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FC9EEE0" w14:textId="77777777" w:rsidR="00BB4E36" w:rsidRDefault="00BB4E3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0DDF692" w14:textId="77777777" w:rsidR="00BB4E36" w:rsidRDefault="00BB4E3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E4907CC" w14:textId="77777777" w:rsidR="00BB4E36" w:rsidRDefault="00BB4E3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2BCDEE6" w14:textId="77777777" w:rsidR="00BB4E36" w:rsidRDefault="00BB4E36">
            <w:pPr>
              <w:rPr>
                <w:sz w:val="20"/>
                <w:szCs w:val="20"/>
              </w:rPr>
            </w:pPr>
          </w:p>
        </w:tc>
      </w:tr>
    </w:tbl>
    <w:p w14:paraId="61140722" w14:textId="07689886" w:rsidR="007C5295" w:rsidRDefault="007C5295" w:rsidP="00BC5AB7">
      <w:pPr>
        <w:rPr>
          <w:rFonts w:ascii="Batang" w:eastAsia="Batang" w:hAnsi="Batang" w:cs="Batang"/>
          <w:color w:val="000000"/>
        </w:rPr>
      </w:pPr>
    </w:p>
    <w:p w14:paraId="52AFF883" w14:textId="77777777" w:rsidR="007C5295" w:rsidRDefault="007C5295">
      <w:pPr>
        <w:rPr>
          <w:rFonts w:ascii="Batang" w:eastAsia="Batang" w:hAnsi="Batang" w:cs="Batang"/>
          <w:color w:val="000000"/>
        </w:rPr>
      </w:pPr>
      <w:r>
        <w:rPr>
          <w:rFonts w:ascii="Batang" w:eastAsia="Batang" w:hAnsi="Batang" w:cs="Batang"/>
          <w:color w:val="000000"/>
        </w:rPr>
        <w:br w:type="page"/>
      </w:r>
    </w:p>
    <w:p w14:paraId="6BE7D87E" w14:textId="3A4F6F25" w:rsidR="006E7F0A" w:rsidRPr="00474DA8" w:rsidRDefault="006E7F0A" w:rsidP="006E7F0A">
      <w:pPr>
        <w:pStyle w:val="Heading1"/>
        <w:rPr>
          <w:rFonts w:ascii="Times New Roman" w:hAnsi="Times New Roman" w:cs="Times New Roman"/>
          <w:color w:val="000000" w:themeColor="text1"/>
          <w:sz w:val="24"/>
          <w:szCs w:val="24"/>
        </w:rPr>
      </w:pPr>
      <w:bookmarkStart w:id="77" w:name="_Toc155817744"/>
      <w:r w:rsidRPr="00B751D3">
        <w:rPr>
          <w:rFonts w:ascii="Times New Roman" w:hAnsi="Times New Roman" w:cs="Times New Roman"/>
          <w:b/>
          <w:bCs/>
          <w:color w:val="000000" w:themeColor="text1"/>
          <w:sz w:val="24"/>
          <w:szCs w:val="24"/>
        </w:rPr>
        <w:lastRenderedPageBreak/>
        <w:t>Table 2</w:t>
      </w:r>
      <w:r w:rsidR="0036523A" w:rsidRPr="00B751D3">
        <w:rPr>
          <w:rFonts w:ascii="Times New Roman" w:hAnsi="Times New Roman" w:cs="Times New Roman"/>
          <w:b/>
          <w:bCs/>
          <w:color w:val="000000" w:themeColor="text1"/>
          <w:sz w:val="24"/>
          <w:szCs w:val="24"/>
        </w:rPr>
        <w:t>7</w:t>
      </w:r>
      <w:r w:rsidRPr="00B751D3">
        <w:rPr>
          <w:rFonts w:ascii="Times New Roman" w:hAnsi="Times New Roman" w:cs="Times New Roman"/>
          <w:b/>
          <w:bCs/>
          <w:color w:val="000000" w:themeColor="text1"/>
          <w:sz w:val="24"/>
          <w:szCs w:val="24"/>
        </w:rPr>
        <w:t>n.</w:t>
      </w:r>
      <w:r>
        <w:rPr>
          <w:rFonts w:ascii="Times New Roman" w:hAnsi="Times New Roman" w:cs="Times New Roman"/>
          <w:color w:val="000000" w:themeColor="text1"/>
          <w:sz w:val="24"/>
          <w:szCs w:val="24"/>
        </w:rPr>
        <w:t xml:space="preserve"> Results examining the relationship between Shen-268 network average shortest path and neighborhood SES deprivation obtained from bifactor modeling and neighborhood median income during stop signal task</w:t>
      </w:r>
      <w:bookmarkEnd w:id="77"/>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6E7F0A" w14:paraId="60394FF6"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42F7C322" w14:textId="77777777" w:rsidR="006E7F0A" w:rsidRDefault="006E7F0A">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3605CAB1" w14:textId="77777777" w:rsidR="006E7F0A" w:rsidRDefault="006E7F0A">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173DABE4" w14:textId="77777777" w:rsidR="006E7F0A" w:rsidRDefault="006E7F0A">
            <w:pPr>
              <w:rPr>
                <w:color w:val="000000"/>
              </w:rPr>
            </w:pPr>
          </w:p>
        </w:tc>
        <w:tc>
          <w:tcPr>
            <w:tcW w:w="864" w:type="dxa"/>
            <w:tcBorders>
              <w:top w:val="nil"/>
              <w:left w:val="nil"/>
              <w:bottom w:val="single" w:sz="12" w:space="0" w:color="auto"/>
              <w:right w:val="nil"/>
            </w:tcBorders>
            <w:shd w:val="clear" w:color="auto" w:fill="auto"/>
            <w:noWrap/>
            <w:vAlign w:val="bottom"/>
            <w:hideMark/>
          </w:tcPr>
          <w:p w14:paraId="33F7F729" w14:textId="77777777" w:rsidR="006E7F0A" w:rsidRDefault="006E7F0A">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AD1B59D" w14:textId="77777777" w:rsidR="006E7F0A" w:rsidRDefault="006E7F0A">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A311A14" w14:textId="77777777" w:rsidR="006E7F0A" w:rsidRDefault="006E7F0A">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8C26D7E" w14:textId="77777777" w:rsidR="006E7F0A" w:rsidRDefault="006E7F0A">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5EF811E" w14:textId="77777777" w:rsidR="006E7F0A" w:rsidRDefault="006E7F0A">
            <w:pPr>
              <w:rPr>
                <w:sz w:val="20"/>
                <w:szCs w:val="20"/>
              </w:rPr>
            </w:pPr>
          </w:p>
        </w:tc>
      </w:tr>
      <w:tr w:rsidR="006E7F0A" w14:paraId="750EFA3B"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11BD7812" w14:textId="77777777" w:rsidR="006E7F0A" w:rsidRDefault="006E7F0A">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2CB40D01" w14:textId="77777777" w:rsidR="006E7F0A" w:rsidRDefault="006E7F0A">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12639743" w14:textId="77777777" w:rsidR="006E7F0A" w:rsidRDefault="006E7F0A">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vAlign w:val="center"/>
            <w:hideMark/>
          </w:tcPr>
          <w:p w14:paraId="11AEAC26" w14:textId="77777777" w:rsidR="006E7F0A" w:rsidRDefault="006E7F0A">
            <w:pPr>
              <w:jc w:val="center"/>
              <w:rPr>
                <w:color w:val="000000"/>
                <w:sz w:val="20"/>
                <w:szCs w:val="20"/>
              </w:rPr>
            </w:pPr>
            <w:r>
              <w:rPr>
                <w:color w:val="000000"/>
                <w:sz w:val="20"/>
                <w:szCs w:val="20"/>
              </w:rPr>
              <w:t>Neighborhood Median Income</w:t>
            </w:r>
          </w:p>
        </w:tc>
      </w:tr>
      <w:tr w:rsidR="006E7F0A" w14:paraId="4835BC11"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5AA28DC3" w14:textId="77777777" w:rsidR="006E7F0A" w:rsidRDefault="006E7F0A">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29255413" w14:textId="77777777" w:rsidR="006E7F0A" w:rsidRDefault="006E7F0A">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18171567" w14:textId="77777777" w:rsidR="006E7F0A" w:rsidRDefault="006E7F0A">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489CC23F" w14:textId="77777777" w:rsidR="006E7F0A" w:rsidRDefault="006E7F0A">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40D4BCB5" w14:textId="77777777" w:rsidR="006E7F0A" w:rsidRDefault="006E7F0A">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3C585315" w14:textId="77777777" w:rsidR="006E7F0A" w:rsidRDefault="006E7F0A">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2378129D" w14:textId="77777777" w:rsidR="006E7F0A" w:rsidRDefault="006E7F0A">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506EDD89" w14:textId="77777777" w:rsidR="006E7F0A" w:rsidRDefault="006E7F0A">
            <w:pPr>
              <w:jc w:val="center"/>
              <w:rPr>
                <w:i/>
                <w:iCs/>
                <w:color w:val="000000"/>
                <w:sz w:val="20"/>
                <w:szCs w:val="20"/>
              </w:rPr>
            </w:pPr>
            <w:r>
              <w:rPr>
                <w:i/>
                <w:iCs/>
                <w:color w:val="000000"/>
                <w:sz w:val="20"/>
                <w:szCs w:val="20"/>
              </w:rPr>
              <w:t>R2</w:t>
            </w:r>
          </w:p>
        </w:tc>
      </w:tr>
      <w:tr w:rsidR="006E7F0A" w14:paraId="79ACADE5"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507CB636" w14:textId="77777777" w:rsidR="006E7F0A" w:rsidRDefault="006E7F0A">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5B670DE2" w14:textId="77777777" w:rsidR="006E7F0A" w:rsidRDefault="006E7F0A">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1B8C6FE5" w14:textId="77777777" w:rsidR="006E7F0A" w:rsidRDefault="006E7F0A">
            <w:pPr>
              <w:jc w:val="right"/>
              <w:rPr>
                <w:color w:val="000000"/>
                <w:sz w:val="20"/>
                <w:szCs w:val="20"/>
              </w:rPr>
            </w:pPr>
            <w:r>
              <w:rPr>
                <w:color w:val="000000"/>
                <w:sz w:val="20"/>
                <w:szCs w:val="20"/>
              </w:rPr>
              <w:t>0.080</w:t>
            </w:r>
          </w:p>
        </w:tc>
        <w:tc>
          <w:tcPr>
            <w:tcW w:w="864" w:type="dxa"/>
            <w:tcBorders>
              <w:top w:val="single" w:sz="12" w:space="0" w:color="auto"/>
              <w:left w:val="nil"/>
              <w:bottom w:val="nil"/>
              <w:right w:val="nil"/>
            </w:tcBorders>
            <w:shd w:val="clear" w:color="auto" w:fill="auto"/>
            <w:noWrap/>
            <w:vAlign w:val="bottom"/>
            <w:hideMark/>
          </w:tcPr>
          <w:p w14:paraId="75AD6108" w14:textId="77777777" w:rsidR="006E7F0A" w:rsidRDefault="006E7F0A">
            <w:pPr>
              <w:jc w:val="right"/>
              <w:rPr>
                <w:color w:val="000000"/>
                <w:sz w:val="20"/>
                <w:szCs w:val="20"/>
              </w:rPr>
            </w:pPr>
            <w:r>
              <w:rPr>
                <w:color w:val="000000"/>
                <w:sz w:val="20"/>
                <w:szCs w:val="20"/>
              </w:rPr>
              <w:t>0.160</w:t>
            </w:r>
          </w:p>
        </w:tc>
        <w:tc>
          <w:tcPr>
            <w:tcW w:w="864" w:type="dxa"/>
            <w:tcBorders>
              <w:top w:val="single" w:sz="12" w:space="0" w:color="auto"/>
              <w:left w:val="nil"/>
              <w:bottom w:val="nil"/>
              <w:right w:val="nil"/>
            </w:tcBorders>
            <w:shd w:val="clear" w:color="auto" w:fill="auto"/>
            <w:noWrap/>
            <w:vAlign w:val="bottom"/>
            <w:hideMark/>
          </w:tcPr>
          <w:p w14:paraId="17705CA1" w14:textId="77777777" w:rsidR="006E7F0A" w:rsidRDefault="006E7F0A">
            <w:pPr>
              <w:jc w:val="right"/>
              <w:rPr>
                <w:color w:val="000000"/>
                <w:sz w:val="20"/>
                <w:szCs w:val="20"/>
              </w:rPr>
            </w:pPr>
            <w:r>
              <w:rPr>
                <w:color w:val="000000"/>
                <w:sz w:val="20"/>
                <w:szCs w:val="20"/>
              </w:rPr>
              <w:t>0.006</w:t>
            </w:r>
          </w:p>
        </w:tc>
        <w:tc>
          <w:tcPr>
            <w:tcW w:w="864" w:type="dxa"/>
            <w:tcBorders>
              <w:top w:val="single" w:sz="12" w:space="0" w:color="auto"/>
              <w:left w:val="nil"/>
              <w:bottom w:val="nil"/>
              <w:right w:val="nil"/>
            </w:tcBorders>
            <w:shd w:val="clear" w:color="auto" w:fill="auto"/>
            <w:noWrap/>
            <w:vAlign w:val="bottom"/>
            <w:hideMark/>
          </w:tcPr>
          <w:p w14:paraId="4C9E558B" w14:textId="77777777" w:rsidR="006E7F0A" w:rsidRDefault="006E7F0A">
            <w:pPr>
              <w:jc w:val="right"/>
              <w:rPr>
                <w:color w:val="000000"/>
                <w:sz w:val="20"/>
                <w:szCs w:val="20"/>
              </w:rPr>
            </w:pPr>
            <w:r>
              <w:rPr>
                <w:color w:val="000000"/>
                <w:sz w:val="20"/>
                <w:szCs w:val="20"/>
              </w:rPr>
              <w:t>-0.030</w:t>
            </w:r>
          </w:p>
        </w:tc>
        <w:tc>
          <w:tcPr>
            <w:tcW w:w="864" w:type="dxa"/>
            <w:tcBorders>
              <w:top w:val="single" w:sz="12" w:space="0" w:color="auto"/>
              <w:left w:val="nil"/>
              <w:bottom w:val="nil"/>
              <w:right w:val="nil"/>
            </w:tcBorders>
            <w:shd w:val="clear" w:color="auto" w:fill="auto"/>
            <w:noWrap/>
            <w:vAlign w:val="bottom"/>
            <w:hideMark/>
          </w:tcPr>
          <w:p w14:paraId="71449327" w14:textId="77777777" w:rsidR="006E7F0A" w:rsidRDefault="006E7F0A">
            <w:pPr>
              <w:jc w:val="right"/>
              <w:rPr>
                <w:color w:val="000000"/>
                <w:sz w:val="20"/>
                <w:szCs w:val="20"/>
              </w:rPr>
            </w:pPr>
            <w:r>
              <w:rPr>
                <w:color w:val="000000"/>
                <w:sz w:val="20"/>
                <w:szCs w:val="20"/>
              </w:rPr>
              <w:t>0.623</w:t>
            </w:r>
          </w:p>
        </w:tc>
        <w:tc>
          <w:tcPr>
            <w:tcW w:w="864" w:type="dxa"/>
            <w:tcBorders>
              <w:top w:val="single" w:sz="12" w:space="0" w:color="auto"/>
              <w:left w:val="nil"/>
              <w:bottom w:val="nil"/>
              <w:right w:val="nil"/>
            </w:tcBorders>
            <w:shd w:val="clear" w:color="auto" w:fill="auto"/>
            <w:noWrap/>
            <w:vAlign w:val="bottom"/>
            <w:hideMark/>
          </w:tcPr>
          <w:p w14:paraId="6ECE4151" w14:textId="77777777" w:rsidR="006E7F0A" w:rsidRDefault="006E7F0A">
            <w:pPr>
              <w:jc w:val="right"/>
              <w:rPr>
                <w:color w:val="000000"/>
                <w:sz w:val="20"/>
                <w:szCs w:val="20"/>
              </w:rPr>
            </w:pPr>
            <w:r>
              <w:rPr>
                <w:color w:val="000000"/>
                <w:sz w:val="20"/>
                <w:szCs w:val="20"/>
              </w:rPr>
              <w:t>0.001</w:t>
            </w:r>
          </w:p>
        </w:tc>
      </w:tr>
      <w:tr w:rsidR="006E7F0A" w14:paraId="0DF15969" w14:textId="77777777" w:rsidTr="006E7F0A">
        <w:trPr>
          <w:trHeight w:val="340"/>
        </w:trPr>
        <w:tc>
          <w:tcPr>
            <w:tcW w:w="1152" w:type="dxa"/>
            <w:tcBorders>
              <w:top w:val="nil"/>
              <w:left w:val="nil"/>
              <w:bottom w:val="nil"/>
              <w:right w:val="nil"/>
            </w:tcBorders>
            <w:shd w:val="clear" w:color="auto" w:fill="auto"/>
            <w:noWrap/>
            <w:vAlign w:val="bottom"/>
            <w:hideMark/>
          </w:tcPr>
          <w:p w14:paraId="70981290"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50D1F91" w14:textId="77777777" w:rsidR="006E7F0A" w:rsidRDefault="006E7F0A">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380BDE4" w14:textId="77777777" w:rsidR="006E7F0A" w:rsidRDefault="006E7F0A">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6D01A0DA" w14:textId="77777777" w:rsidR="006E7F0A" w:rsidRDefault="006E7F0A">
            <w:pPr>
              <w:jc w:val="right"/>
              <w:rPr>
                <w:color w:val="000000"/>
                <w:sz w:val="20"/>
                <w:szCs w:val="20"/>
              </w:rPr>
            </w:pPr>
            <w:r>
              <w:rPr>
                <w:color w:val="000000"/>
                <w:sz w:val="20"/>
                <w:szCs w:val="20"/>
              </w:rPr>
              <w:t>0.932</w:t>
            </w:r>
          </w:p>
        </w:tc>
        <w:tc>
          <w:tcPr>
            <w:tcW w:w="864" w:type="dxa"/>
            <w:tcBorders>
              <w:top w:val="nil"/>
              <w:left w:val="nil"/>
              <w:bottom w:val="nil"/>
              <w:right w:val="nil"/>
            </w:tcBorders>
            <w:shd w:val="clear" w:color="auto" w:fill="auto"/>
            <w:noWrap/>
            <w:vAlign w:val="bottom"/>
            <w:hideMark/>
          </w:tcPr>
          <w:p w14:paraId="7284C0E8"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9E96BE8" w14:textId="77777777" w:rsidR="006E7F0A" w:rsidRDefault="006E7F0A">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3ADD8537" w14:textId="77777777" w:rsidR="006E7F0A" w:rsidRDefault="006E7F0A">
            <w:pPr>
              <w:jc w:val="right"/>
              <w:rPr>
                <w:color w:val="000000"/>
                <w:sz w:val="20"/>
                <w:szCs w:val="20"/>
              </w:rPr>
            </w:pPr>
            <w:r>
              <w:rPr>
                <w:color w:val="000000"/>
                <w:sz w:val="20"/>
                <w:szCs w:val="20"/>
              </w:rPr>
              <w:t>0.839</w:t>
            </w:r>
          </w:p>
        </w:tc>
        <w:tc>
          <w:tcPr>
            <w:tcW w:w="864" w:type="dxa"/>
            <w:tcBorders>
              <w:top w:val="nil"/>
              <w:left w:val="nil"/>
              <w:bottom w:val="nil"/>
              <w:right w:val="nil"/>
            </w:tcBorders>
            <w:shd w:val="clear" w:color="auto" w:fill="auto"/>
            <w:noWrap/>
            <w:vAlign w:val="bottom"/>
            <w:hideMark/>
          </w:tcPr>
          <w:p w14:paraId="5F4C51F7" w14:textId="77777777" w:rsidR="006E7F0A" w:rsidRDefault="006E7F0A">
            <w:pPr>
              <w:jc w:val="right"/>
              <w:rPr>
                <w:color w:val="000000"/>
                <w:sz w:val="20"/>
                <w:szCs w:val="20"/>
              </w:rPr>
            </w:pPr>
            <w:r>
              <w:rPr>
                <w:color w:val="000000"/>
                <w:sz w:val="20"/>
                <w:szCs w:val="20"/>
              </w:rPr>
              <w:t>0.000</w:t>
            </w:r>
          </w:p>
        </w:tc>
      </w:tr>
      <w:tr w:rsidR="006E7F0A" w14:paraId="67C3FF6C" w14:textId="77777777" w:rsidTr="006E7F0A">
        <w:trPr>
          <w:trHeight w:val="320"/>
        </w:trPr>
        <w:tc>
          <w:tcPr>
            <w:tcW w:w="1152" w:type="dxa"/>
            <w:tcBorders>
              <w:top w:val="nil"/>
              <w:left w:val="nil"/>
              <w:bottom w:val="nil"/>
              <w:right w:val="nil"/>
            </w:tcBorders>
            <w:shd w:val="clear" w:color="auto" w:fill="auto"/>
            <w:noWrap/>
            <w:vAlign w:val="bottom"/>
            <w:hideMark/>
          </w:tcPr>
          <w:p w14:paraId="7EFFBB1A"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3B9C9DC" w14:textId="77777777" w:rsidR="006E7F0A" w:rsidRDefault="006E7F0A">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981C8AC" w14:textId="77777777" w:rsidR="006E7F0A" w:rsidRDefault="006E7F0A">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02FC60D4" w14:textId="77777777" w:rsidR="006E7F0A" w:rsidRDefault="006E7F0A">
            <w:pPr>
              <w:jc w:val="right"/>
              <w:rPr>
                <w:color w:val="000000"/>
                <w:sz w:val="20"/>
                <w:szCs w:val="20"/>
              </w:rPr>
            </w:pPr>
            <w:r>
              <w:rPr>
                <w:color w:val="000000"/>
                <w:sz w:val="20"/>
                <w:szCs w:val="20"/>
              </w:rPr>
              <w:t>0.932</w:t>
            </w:r>
          </w:p>
        </w:tc>
        <w:tc>
          <w:tcPr>
            <w:tcW w:w="864" w:type="dxa"/>
            <w:tcBorders>
              <w:top w:val="nil"/>
              <w:left w:val="nil"/>
              <w:bottom w:val="nil"/>
              <w:right w:val="nil"/>
            </w:tcBorders>
            <w:shd w:val="clear" w:color="auto" w:fill="auto"/>
            <w:noWrap/>
            <w:vAlign w:val="bottom"/>
            <w:hideMark/>
          </w:tcPr>
          <w:p w14:paraId="271B5FB0"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0329F08" w14:textId="77777777" w:rsidR="006E7F0A" w:rsidRDefault="006E7F0A">
            <w:pPr>
              <w:jc w:val="right"/>
              <w:rPr>
                <w:color w:val="000000"/>
                <w:sz w:val="20"/>
                <w:szCs w:val="20"/>
              </w:rPr>
            </w:pPr>
            <w:r>
              <w:rPr>
                <w:color w:val="000000"/>
                <w:sz w:val="20"/>
                <w:szCs w:val="20"/>
              </w:rPr>
              <w:t>-0.103</w:t>
            </w:r>
          </w:p>
        </w:tc>
        <w:tc>
          <w:tcPr>
            <w:tcW w:w="864" w:type="dxa"/>
            <w:tcBorders>
              <w:top w:val="nil"/>
              <w:left w:val="nil"/>
              <w:bottom w:val="nil"/>
              <w:right w:val="nil"/>
            </w:tcBorders>
            <w:shd w:val="clear" w:color="auto" w:fill="auto"/>
            <w:noWrap/>
            <w:vAlign w:val="bottom"/>
            <w:hideMark/>
          </w:tcPr>
          <w:p w14:paraId="110BDA50" w14:textId="77777777" w:rsidR="006E7F0A" w:rsidRDefault="006E7F0A">
            <w:pPr>
              <w:jc w:val="right"/>
              <w:rPr>
                <w:color w:val="000000"/>
                <w:sz w:val="20"/>
                <w:szCs w:val="20"/>
              </w:rPr>
            </w:pPr>
            <w:r>
              <w:rPr>
                <w:color w:val="000000"/>
                <w:sz w:val="20"/>
                <w:szCs w:val="20"/>
              </w:rPr>
              <w:t>0.435</w:t>
            </w:r>
          </w:p>
        </w:tc>
        <w:tc>
          <w:tcPr>
            <w:tcW w:w="864" w:type="dxa"/>
            <w:tcBorders>
              <w:top w:val="nil"/>
              <w:left w:val="nil"/>
              <w:bottom w:val="nil"/>
              <w:right w:val="nil"/>
            </w:tcBorders>
            <w:shd w:val="clear" w:color="auto" w:fill="auto"/>
            <w:noWrap/>
            <w:vAlign w:val="bottom"/>
            <w:hideMark/>
          </w:tcPr>
          <w:p w14:paraId="0EC2F1D4" w14:textId="77777777" w:rsidR="006E7F0A" w:rsidRDefault="006E7F0A">
            <w:pPr>
              <w:jc w:val="right"/>
              <w:rPr>
                <w:color w:val="000000"/>
                <w:sz w:val="20"/>
                <w:szCs w:val="20"/>
              </w:rPr>
            </w:pPr>
            <w:r>
              <w:rPr>
                <w:color w:val="000000"/>
                <w:sz w:val="20"/>
                <w:szCs w:val="20"/>
              </w:rPr>
              <w:t>0.011</w:t>
            </w:r>
          </w:p>
        </w:tc>
      </w:tr>
      <w:tr w:rsidR="006E7F0A" w14:paraId="4C7620B1" w14:textId="77777777" w:rsidTr="006E7F0A">
        <w:trPr>
          <w:trHeight w:val="320"/>
        </w:trPr>
        <w:tc>
          <w:tcPr>
            <w:tcW w:w="1152" w:type="dxa"/>
            <w:tcBorders>
              <w:top w:val="nil"/>
              <w:left w:val="nil"/>
              <w:bottom w:val="nil"/>
              <w:right w:val="nil"/>
            </w:tcBorders>
            <w:shd w:val="clear" w:color="auto" w:fill="auto"/>
            <w:noWrap/>
            <w:vAlign w:val="bottom"/>
            <w:hideMark/>
          </w:tcPr>
          <w:p w14:paraId="652AAEEB"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18561A9" w14:textId="77777777" w:rsidR="006E7F0A" w:rsidRDefault="006E7F0A">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50066A3" w14:textId="77777777" w:rsidR="006E7F0A" w:rsidRDefault="006E7F0A">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5B6E57AD" w14:textId="77777777" w:rsidR="006E7F0A" w:rsidRDefault="006E7F0A">
            <w:pPr>
              <w:jc w:val="right"/>
              <w:rPr>
                <w:color w:val="000000"/>
                <w:sz w:val="20"/>
                <w:szCs w:val="20"/>
              </w:rPr>
            </w:pPr>
            <w:r>
              <w:rPr>
                <w:color w:val="000000"/>
                <w:sz w:val="20"/>
                <w:szCs w:val="20"/>
              </w:rPr>
              <w:t>0.932</w:t>
            </w:r>
          </w:p>
        </w:tc>
        <w:tc>
          <w:tcPr>
            <w:tcW w:w="864" w:type="dxa"/>
            <w:tcBorders>
              <w:top w:val="nil"/>
              <w:left w:val="nil"/>
              <w:bottom w:val="nil"/>
              <w:right w:val="nil"/>
            </w:tcBorders>
            <w:shd w:val="clear" w:color="auto" w:fill="auto"/>
            <w:noWrap/>
            <w:vAlign w:val="bottom"/>
            <w:hideMark/>
          </w:tcPr>
          <w:p w14:paraId="3326673C"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353250A" w14:textId="77777777" w:rsidR="006E7F0A" w:rsidRDefault="006E7F0A">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07C0CBF9" w14:textId="77777777" w:rsidR="006E7F0A" w:rsidRDefault="006E7F0A">
            <w:pPr>
              <w:jc w:val="right"/>
              <w:rPr>
                <w:color w:val="000000"/>
                <w:sz w:val="20"/>
                <w:szCs w:val="20"/>
              </w:rPr>
            </w:pPr>
            <w:r>
              <w:rPr>
                <w:color w:val="000000"/>
                <w:sz w:val="20"/>
                <w:szCs w:val="20"/>
              </w:rPr>
              <w:t>0.839</w:t>
            </w:r>
          </w:p>
        </w:tc>
        <w:tc>
          <w:tcPr>
            <w:tcW w:w="864" w:type="dxa"/>
            <w:tcBorders>
              <w:top w:val="nil"/>
              <w:left w:val="nil"/>
              <w:bottom w:val="nil"/>
              <w:right w:val="nil"/>
            </w:tcBorders>
            <w:shd w:val="clear" w:color="auto" w:fill="auto"/>
            <w:noWrap/>
            <w:vAlign w:val="bottom"/>
            <w:hideMark/>
          </w:tcPr>
          <w:p w14:paraId="0A5DD30C" w14:textId="77777777" w:rsidR="006E7F0A" w:rsidRDefault="006E7F0A">
            <w:pPr>
              <w:jc w:val="right"/>
              <w:rPr>
                <w:color w:val="000000"/>
                <w:sz w:val="20"/>
                <w:szCs w:val="20"/>
              </w:rPr>
            </w:pPr>
            <w:r>
              <w:rPr>
                <w:color w:val="000000"/>
                <w:sz w:val="20"/>
                <w:szCs w:val="20"/>
              </w:rPr>
              <w:t>0.000</w:t>
            </w:r>
          </w:p>
        </w:tc>
      </w:tr>
      <w:tr w:rsidR="006E7F0A" w14:paraId="63A3DF3E" w14:textId="77777777" w:rsidTr="006E7F0A">
        <w:trPr>
          <w:trHeight w:val="320"/>
        </w:trPr>
        <w:tc>
          <w:tcPr>
            <w:tcW w:w="1152" w:type="dxa"/>
            <w:tcBorders>
              <w:top w:val="nil"/>
              <w:left w:val="nil"/>
              <w:bottom w:val="nil"/>
              <w:right w:val="nil"/>
            </w:tcBorders>
            <w:shd w:val="clear" w:color="auto" w:fill="auto"/>
            <w:noWrap/>
            <w:vAlign w:val="bottom"/>
            <w:hideMark/>
          </w:tcPr>
          <w:p w14:paraId="6AD0FC04"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E611DDC" w14:textId="77777777" w:rsidR="006E7F0A" w:rsidRDefault="006E7F0A">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EC37D3B" w14:textId="77777777" w:rsidR="006E7F0A" w:rsidRDefault="006E7F0A">
            <w:pPr>
              <w:jc w:val="right"/>
              <w:rPr>
                <w:color w:val="000000"/>
                <w:sz w:val="20"/>
                <w:szCs w:val="20"/>
              </w:rPr>
            </w:pPr>
            <w:r>
              <w:rPr>
                <w:color w:val="000000"/>
                <w:sz w:val="20"/>
                <w:szCs w:val="20"/>
              </w:rPr>
              <w:t>-0.085</w:t>
            </w:r>
          </w:p>
        </w:tc>
        <w:tc>
          <w:tcPr>
            <w:tcW w:w="864" w:type="dxa"/>
            <w:tcBorders>
              <w:top w:val="nil"/>
              <w:left w:val="nil"/>
              <w:bottom w:val="nil"/>
              <w:right w:val="nil"/>
            </w:tcBorders>
            <w:shd w:val="clear" w:color="auto" w:fill="auto"/>
            <w:noWrap/>
            <w:vAlign w:val="bottom"/>
            <w:hideMark/>
          </w:tcPr>
          <w:p w14:paraId="4CA80119" w14:textId="77777777" w:rsidR="006E7F0A" w:rsidRDefault="006E7F0A">
            <w:pPr>
              <w:jc w:val="right"/>
              <w:rPr>
                <w:color w:val="000000"/>
                <w:sz w:val="20"/>
                <w:szCs w:val="20"/>
              </w:rPr>
            </w:pPr>
            <w:r>
              <w:rPr>
                <w:color w:val="000000"/>
                <w:sz w:val="20"/>
                <w:szCs w:val="20"/>
              </w:rPr>
              <w:t>0.504</w:t>
            </w:r>
          </w:p>
        </w:tc>
        <w:tc>
          <w:tcPr>
            <w:tcW w:w="864" w:type="dxa"/>
            <w:tcBorders>
              <w:top w:val="nil"/>
              <w:left w:val="nil"/>
              <w:bottom w:val="nil"/>
              <w:right w:val="nil"/>
            </w:tcBorders>
            <w:shd w:val="clear" w:color="auto" w:fill="auto"/>
            <w:noWrap/>
            <w:vAlign w:val="bottom"/>
            <w:hideMark/>
          </w:tcPr>
          <w:p w14:paraId="643EEC8E" w14:textId="77777777" w:rsidR="006E7F0A" w:rsidRDefault="006E7F0A">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5D05E092" w14:textId="77777777" w:rsidR="006E7F0A" w:rsidRDefault="006E7F0A">
            <w:pPr>
              <w:jc w:val="right"/>
              <w:rPr>
                <w:color w:val="000000"/>
                <w:sz w:val="20"/>
                <w:szCs w:val="20"/>
              </w:rPr>
            </w:pPr>
            <w:r>
              <w:rPr>
                <w:color w:val="000000"/>
                <w:sz w:val="20"/>
                <w:szCs w:val="20"/>
              </w:rPr>
              <w:t>0.113</w:t>
            </w:r>
          </w:p>
        </w:tc>
        <w:tc>
          <w:tcPr>
            <w:tcW w:w="864" w:type="dxa"/>
            <w:tcBorders>
              <w:top w:val="nil"/>
              <w:left w:val="nil"/>
              <w:bottom w:val="nil"/>
              <w:right w:val="nil"/>
            </w:tcBorders>
            <w:shd w:val="clear" w:color="auto" w:fill="auto"/>
            <w:noWrap/>
            <w:vAlign w:val="bottom"/>
            <w:hideMark/>
          </w:tcPr>
          <w:p w14:paraId="45852AD6" w14:textId="77777777" w:rsidR="006E7F0A" w:rsidRDefault="006E7F0A">
            <w:pPr>
              <w:jc w:val="right"/>
              <w:rPr>
                <w:color w:val="000000"/>
                <w:sz w:val="20"/>
                <w:szCs w:val="20"/>
              </w:rPr>
            </w:pPr>
            <w:r>
              <w:rPr>
                <w:color w:val="000000"/>
                <w:sz w:val="20"/>
                <w:szCs w:val="20"/>
              </w:rPr>
              <w:t>0.352</w:t>
            </w:r>
          </w:p>
        </w:tc>
        <w:tc>
          <w:tcPr>
            <w:tcW w:w="864" w:type="dxa"/>
            <w:tcBorders>
              <w:top w:val="nil"/>
              <w:left w:val="nil"/>
              <w:bottom w:val="nil"/>
              <w:right w:val="nil"/>
            </w:tcBorders>
            <w:shd w:val="clear" w:color="auto" w:fill="auto"/>
            <w:noWrap/>
            <w:vAlign w:val="bottom"/>
            <w:hideMark/>
          </w:tcPr>
          <w:p w14:paraId="20C93FDE" w14:textId="77777777" w:rsidR="006E7F0A" w:rsidRDefault="006E7F0A">
            <w:pPr>
              <w:jc w:val="right"/>
              <w:rPr>
                <w:color w:val="000000"/>
                <w:sz w:val="20"/>
                <w:szCs w:val="20"/>
              </w:rPr>
            </w:pPr>
            <w:r>
              <w:rPr>
                <w:color w:val="000000"/>
                <w:sz w:val="20"/>
                <w:szCs w:val="20"/>
              </w:rPr>
              <w:t>0.013</w:t>
            </w:r>
          </w:p>
        </w:tc>
      </w:tr>
      <w:tr w:rsidR="006E7F0A" w14:paraId="35D44173" w14:textId="77777777" w:rsidTr="006E7F0A">
        <w:trPr>
          <w:trHeight w:val="320"/>
        </w:trPr>
        <w:tc>
          <w:tcPr>
            <w:tcW w:w="1152" w:type="dxa"/>
            <w:tcBorders>
              <w:top w:val="nil"/>
              <w:left w:val="nil"/>
              <w:bottom w:val="nil"/>
              <w:right w:val="nil"/>
            </w:tcBorders>
            <w:shd w:val="clear" w:color="auto" w:fill="auto"/>
            <w:noWrap/>
            <w:vAlign w:val="bottom"/>
            <w:hideMark/>
          </w:tcPr>
          <w:p w14:paraId="20B84530"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842F8FC" w14:textId="77777777" w:rsidR="006E7F0A" w:rsidRDefault="006E7F0A">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C56BE61" w14:textId="77777777" w:rsidR="006E7F0A" w:rsidRDefault="006E7F0A">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46D2591E" w14:textId="77777777" w:rsidR="006E7F0A" w:rsidRDefault="006E7F0A">
            <w:pPr>
              <w:jc w:val="right"/>
              <w:rPr>
                <w:color w:val="000000"/>
                <w:sz w:val="20"/>
                <w:szCs w:val="20"/>
              </w:rPr>
            </w:pPr>
            <w:r>
              <w:rPr>
                <w:color w:val="000000"/>
                <w:sz w:val="20"/>
                <w:szCs w:val="20"/>
              </w:rPr>
              <w:t>0.932</w:t>
            </w:r>
          </w:p>
        </w:tc>
        <w:tc>
          <w:tcPr>
            <w:tcW w:w="864" w:type="dxa"/>
            <w:tcBorders>
              <w:top w:val="nil"/>
              <w:left w:val="nil"/>
              <w:bottom w:val="nil"/>
              <w:right w:val="nil"/>
            </w:tcBorders>
            <w:shd w:val="clear" w:color="auto" w:fill="auto"/>
            <w:noWrap/>
            <w:vAlign w:val="bottom"/>
            <w:hideMark/>
          </w:tcPr>
          <w:p w14:paraId="0EB1B17D"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1F2B6DD" w14:textId="77777777" w:rsidR="006E7F0A" w:rsidRDefault="006E7F0A">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675E2DCD" w14:textId="77777777" w:rsidR="006E7F0A" w:rsidRDefault="006E7F0A">
            <w:pPr>
              <w:jc w:val="right"/>
              <w:rPr>
                <w:color w:val="000000"/>
                <w:sz w:val="20"/>
                <w:szCs w:val="20"/>
              </w:rPr>
            </w:pPr>
            <w:r>
              <w:rPr>
                <w:color w:val="000000"/>
                <w:sz w:val="20"/>
                <w:szCs w:val="20"/>
              </w:rPr>
              <w:t>0.623</w:t>
            </w:r>
          </w:p>
        </w:tc>
        <w:tc>
          <w:tcPr>
            <w:tcW w:w="864" w:type="dxa"/>
            <w:tcBorders>
              <w:top w:val="nil"/>
              <w:left w:val="nil"/>
              <w:bottom w:val="nil"/>
              <w:right w:val="nil"/>
            </w:tcBorders>
            <w:shd w:val="clear" w:color="auto" w:fill="auto"/>
            <w:noWrap/>
            <w:vAlign w:val="bottom"/>
            <w:hideMark/>
          </w:tcPr>
          <w:p w14:paraId="230FF26F" w14:textId="77777777" w:rsidR="006E7F0A" w:rsidRDefault="006E7F0A">
            <w:pPr>
              <w:jc w:val="right"/>
              <w:rPr>
                <w:color w:val="000000"/>
                <w:sz w:val="20"/>
                <w:szCs w:val="20"/>
              </w:rPr>
            </w:pPr>
            <w:r>
              <w:rPr>
                <w:color w:val="000000"/>
                <w:sz w:val="20"/>
                <w:szCs w:val="20"/>
              </w:rPr>
              <w:t>0.001</w:t>
            </w:r>
          </w:p>
        </w:tc>
      </w:tr>
      <w:tr w:rsidR="006E7F0A" w14:paraId="4E1B860C" w14:textId="77777777" w:rsidTr="006E7F0A">
        <w:trPr>
          <w:trHeight w:val="320"/>
        </w:trPr>
        <w:tc>
          <w:tcPr>
            <w:tcW w:w="1152" w:type="dxa"/>
            <w:tcBorders>
              <w:top w:val="nil"/>
              <w:left w:val="nil"/>
              <w:bottom w:val="nil"/>
              <w:right w:val="nil"/>
            </w:tcBorders>
            <w:shd w:val="clear" w:color="auto" w:fill="auto"/>
            <w:noWrap/>
            <w:vAlign w:val="bottom"/>
            <w:hideMark/>
          </w:tcPr>
          <w:p w14:paraId="2ADFAA4D"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195176C" w14:textId="77777777" w:rsidR="006E7F0A" w:rsidRDefault="006E7F0A">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FB08711" w14:textId="77777777" w:rsidR="006E7F0A" w:rsidRDefault="006E7F0A">
            <w:pPr>
              <w:jc w:val="right"/>
              <w:rPr>
                <w:color w:val="000000"/>
                <w:sz w:val="20"/>
                <w:szCs w:val="20"/>
              </w:rPr>
            </w:pPr>
            <w:r>
              <w:rPr>
                <w:color w:val="000000"/>
                <w:sz w:val="20"/>
                <w:szCs w:val="20"/>
              </w:rPr>
              <w:t>0.062</w:t>
            </w:r>
          </w:p>
        </w:tc>
        <w:tc>
          <w:tcPr>
            <w:tcW w:w="864" w:type="dxa"/>
            <w:tcBorders>
              <w:top w:val="nil"/>
              <w:left w:val="nil"/>
              <w:bottom w:val="nil"/>
              <w:right w:val="nil"/>
            </w:tcBorders>
            <w:shd w:val="clear" w:color="auto" w:fill="auto"/>
            <w:noWrap/>
            <w:vAlign w:val="bottom"/>
            <w:hideMark/>
          </w:tcPr>
          <w:p w14:paraId="223A622E" w14:textId="77777777" w:rsidR="006E7F0A" w:rsidRDefault="006E7F0A">
            <w:pPr>
              <w:jc w:val="right"/>
              <w:rPr>
                <w:color w:val="000000"/>
                <w:sz w:val="20"/>
                <w:szCs w:val="20"/>
              </w:rPr>
            </w:pPr>
            <w:r>
              <w:rPr>
                <w:color w:val="000000"/>
                <w:sz w:val="20"/>
                <w:szCs w:val="20"/>
              </w:rPr>
              <w:t>0.504</w:t>
            </w:r>
          </w:p>
        </w:tc>
        <w:tc>
          <w:tcPr>
            <w:tcW w:w="864" w:type="dxa"/>
            <w:tcBorders>
              <w:top w:val="nil"/>
              <w:left w:val="nil"/>
              <w:bottom w:val="nil"/>
              <w:right w:val="nil"/>
            </w:tcBorders>
            <w:shd w:val="clear" w:color="auto" w:fill="auto"/>
            <w:noWrap/>
            <w:vAlign w:val="bottom"/>
            <w:hideMark/>
          </w:tcPr>
          <w:p w14:paraId="34D551BC" w14:textId="77777777" w:rsidR="006E7F0A" w:rsidRDefault="006E7F0A">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6AD56A9" w14:textId="77777777" w:rsidR="006E7F0A" w:rsidRDefault="006E7F0A">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72E28887" w14:textId="77777777" w:rsidR="006E7F0A" w:rsidRDefault="006E7F0A">
            <w:pPr>
              <w:jc w:val="right"/>
              <w:rPr>
                <w:color w:val="000000"/>
                <w:sz w:val="20"/>
                <w:szCs w:val="20"/>
              </w:rPr>
            </w:pPr>
            <w:r>
              <w:rPr>
                <w:color w:val="000000"/>
                <w:sz w:val="20"/>
                <w:szCs w:val="20"/>
              </w:rPr>
              <w:t>0.540</w:t>
            </w:r>
          </w:p>
        </w:tc>
        <w:tc>
          <w:tcPr>
            <w:tcW w:w="864" w:type="dxa"/>
            <w:tcBorders>
              <w:top w:val="nil"/>
              <w:left w:val="nil"/>
              <w:bottom w:val="nil"/>
              <w:right w:val="nil"/>
            </w:tcBorders>
            <w:shd w:val="clear" w:color="auto" w:fill="auto"/>
            <w:noWrap/>
            <w:vAlign w:val="bottom"/>
            <w:hideMark/>
          </w:tcPr>
          <w:p w14:paraId="779C9C0D" w14:textId="77777777" w:rsidR="006E7F0A" w:rsidRDefault="006E7F0A">
            <w:pPr>
              <w:jc w:val="right"/>
              <w:rPr>
                <w:color w:val="000000"/>
                <w:sz w:val="20"/>
                <w:szCs w:val="20"/>
              </w:rPr>
            </w:pPr>
            <w:r>
              <w:rPr>
                <w:color w:val="000000"/>
                <w:sz w:val="20"/>
                <w:szCs w:val="20"/>
              </w:rPr>
              <w:t>0.003</w:t>
            </w:r>
          </w:p>
        </w:tc>
      </w:tr>
      <w:tr w:rsidR="006E7F0A" w14:paraId="1D82AE91" w14:textId="77777777" w:rsidTr="006E7F0A">
        <w:trPr>
          <w:trHeight w:val="320"/>
        </w:trPr>
        <w:tc>
          <w:tcPr>
            <w:tcW w:w="1152" w:type="dxa"/>
            <w:tcBorders>
              <w:top w:val="nil"/>
              <w:left w:val="nil"/>
              <w:bottom w:val="single" w:sz="4" w:space="0" w:color="auto"/>
              <w:right w:val="nil"/>
            </w:tcBorders>
            <w:shd w:val="clear" w:color="auto" w:fill="auto"/>
            <w:noWrap/>
            <w:vAlign w:val="bottom"/>
            <w:hideMark/>
          </w:tcPr>
          <w:p w14:paraId="10F266C9" w14:textId="77777777" w:rsidR="006E7F0A" w:rsidRDefault="006E7F0A">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E5DDA20" w14:textId="77777777" w:rsidR="006E7F0A" w:rsidRDefault="006E7F0A">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185E4CD" w14:textId="77777777" w:rsidR="006E7F0A" w:rsidRDefault="006E7F0A">
            <w:pPr>
              <w:jc w:val="right"/>
              <w:rPr>
                <w:color w:val="000000"/>
                <w:sz w:val="20"/>
                <w:szCs w:val="20"/>
              </w:rPr>
            </w:pPr>
            <w:r>
              <w:rPr>
                <w:color w:val="000000"/>
                <w:sz w:val="20"/>
                <w:szCs w:val="20"/>
              </w:rPr>
              <w:t>0.023</w:t>
            </w:r>
          </w:p>
        </w:tc>
        <w:tc>
          <w:tcPr>
            <w:tcW w:w="864" w:type="dxa"/>
            <w:tcBorders>
              <w:top w:val="nil"/>
              <w:left w:val="nil"/>
              <w:bottom w:val="single" w:sz="4" w:space="0" w:color="auto"/>
              <w:right w:val="nil"/>
            </w:tcBorders>
            <w:shd w:val="clear" w:color="auto" w:fill="auto"/>
            <w:noWrap/>
            <w:vAlign w:val="bottom"/>
            <w:hideMark/>
          </w:tcPr>
          <w:p w14:paraId="78A76AE1" w14:textId="77777777" w:rsidR="006E7F0A" w:rsidRDefault="006E7F0A">
            <w:pPr>
              <w:jc w:val="right"/>
              <w:rPr>
                <w:color w:val="000000"/>
                <w:sz w:val="20"/>
                <w:szCs w:val="20"/>
              </w:rPr>
            </w:pPr>
            <w:r>
              <w:rPr>
                <w:color w:val="000000"/>
                <w:sz w:val="20"/>
                <w:szCs w:val="20"/>
              </w:rPr>
              <w:t>0.932</w:t>
            </w:r>
          </w:p>
        </w:tc>
        <w:tc>
          <w:tcPr>
            <w:tcW w:w="864" w:type="dxa"/>
            <w:tcBorders>
              <w:top w:val="nil"/>
              <w:left w:val="nil"/>
              <w:bottom w:val="single" w:sz="4" w:space="0" w:color="auto"/>
              <w:right w:val="nil"/>
            </w:tcBorders>
            <w:shd w:val="clear" w:color="auto" w:fill="auto"/>
            <w:noWrap/>
            <w:vAlign w:val="bottom"/>
            <w:hideMark/>
          </w:tcPr>
          <w:p w14:paraId="49BC34D8"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54442D17" w14:textId="77777777" w:rsidR="006E7F0A" w:rsidRDefault="006E7F0A">
            <w:pPr>
              <w:jc w:val="right"/>
              <w:rPr>
                <w:color w:val="000000"/>
                <w:sz w:val="20"/>
                <w:szCs w:val="20"/>
              </w:rPr>
            </w:pPr>
            <w:r>
              <w:rPr>
                <w:color w:val="000000"/>
                <w:sz w:val="20"/>
                <w:szCs w:val="20"/>
              </w:rPr>
              <w:t>0.072</w:t>
            </w:r>
          </w:p>
        </w:tc>
        <w:tc>
          <w:tcPr>
            <w:tcW w:w="864" w:type="dxa"/>
            <w:tcBorders>
              <w:top w:val="nil"/>
              <w:left w:val="nil"/>
              <w:bottom w:val="single" w:sz="4" w:space="0" w:color="auto"/>
              <w:right w:val="nil"/>
            </w:tcBorders>
            <w:shd w:val="clear" w:color="auto" w:fill="auto"/>
            <w:noWrap/>
            <w:vAlign w:val="bottom"/>
            <w:hideMark/>
          </w:tcPr>
          <w:p w14:paraId="5682B767" w14:textId="77777777" w:rsidR="006E7F0A" w:rsidRDefault="006E7F0A">
            <w:pPr>
              <w:jc w:val="right"/>
              <w:rPr>
                <w:color w:val="000000"/>
                <w:sz w:val="20"/>
                <w:szCs w:val="20"/>
              </w:rPr>
            </w:pPr>
            <w:r>
              <w:rPr>
                <w:color w:val="000000"/>
                <w:sz w:val="20"/>
                <w:szCs w:val="20"/>
              </w:rPr>
              <w:t>0.435</w:t>
            </w:r>
          </w:p>
        </w:tc>
        <w:tc>
          <w:tcPr>
            <w:tcW w:w="864" w:type="dxa"/>
            <w:tcBorders>
              <w:top w:val="nil"/>
              <w:left w:val="nil"/>
              <w:bottom w:val="single" w:sz="4" w:space="0" w:color="auto"/>
              <w:right w:val="nil"/>
            </w:tcBorders>
            <w:shd w:val="clear" w:color="auto" w:fill="auto"/>
            <w:noWrap/>
            <w:vAlign w:val="bottom"/>
            <w:hideMark/>
          </w:tcPr>
          <w:p w14:paraId="6FC2C168" w14:textId="77777777" w:rsidR="006E7F0A" w:rsidRDefault="006E7F0A">
            <w:pPr>
              <w:jc w:val="right"/>
              <w:rPr>
                <w:color w:val="000000"/>
                <w:sz w:val="20"/>
                <w:szCs w:val="20"/>
              </w:rPr>
            </w:pPr>
            <w:r>
              <w:rPr>
                <w:color w:val="000000"/>
                <w:sz w:val="20"/>
                <w:szCs w:val="20"/>
              </w:rPr>
              <w:t>0.005</w:t>
            </w:r>
          </w:p>
        </w:tc>
      </w:tr>
      <w:tr w:rsidR="006E7F0A" w14:paraId="776139AC" w14:textId="77777777" w:rsidTr="006E7F0A">
        <w:trPr>
          <w:trHeight w:val="320"/>
        </w:trPr>
        <w:tc>
          <w:tcPr>
            <w:tcW w:w="1152" w:type="dxa"/>
            <w:tcBorders>
              <w:top w:val="nil"/>
              <w:left w:val="nil"/>
              <w:bottom w:val="nil"/>
              <w:right w:val="nil"/>
            </w:tcBorders>
            <w:shd w:val="clear" w:color="auto" w:fill="auto"/>
            <w:noWrap/>
            <w:vAlign w:val="bottom"/>
            <w:hideMark/>
          </w:tcPr>
          <w:p w14:paraId="396FA6DA" w14:textId="77777777" w:rsidR="006E7F0A" w:rsidRDefault="006E7F0A">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0B60B930" w14:textId="77777777" w:rsidR="006E7F0A" w:rsidRDefault="006E7F0A">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8AD1E90" w14:textId="77777777" w:rsidR="006E7F0A" w:rsidRPr="00471C1A" w:rsidRDefault="006E7F0A">
            <w:pPr>
              <w:jc w:val="right"/>
              <w:rPr>
                <w:b/>
                <w:bCs/>
                <w:color w:val="000000"/>
                <w:sz w:val="20"/>
                <w:szCs w:val="20"/>
              </w:rPr>
            </w:pPr>
            <w:r w:rsidRPr="00471C1A">
              <w:rPr>
                <w:b/>
                <w:bCs/>
                <w:color w:val="000000"/>
                <w:sz w:val="20"/>
                <w:szCs w:val="20"/>
              </w:rPr>
              <w:t>0.090</w:t>
            </w:r>
          </w:p>
        </w:tc>
        <w:tc>
          <w:tcPr>
            <w:tcW w:w="864" w:type="dxa"/>
            <w:tcBorders>
              <w:top w:val="nil"/>
              <w:left w:val="nil"/>
              <w:bottom w:val="nil"/>
              <w:right w:val="nil"/>
            </w:tcBorders>
            <w:shd w:val="clear" w:color="auto" w:fill="auto"/>
            <w:noWrap/>
            <w:vAlign w:val="bottom"/>
            <w:hideMark/>
          </w:tcPr>
          <w:p w14:paraId="447A2FA9" w14:textId="77777777" w:rsidR="006E7F0A" w:rsidRPr="00471C1A" w:rsidRDefault="006E7F0A">
            <w:pPr>
              <w:jc w:val="right"/>
              <w:rPr>
                <w:b/>
                <w:bCs/>
                <w:color w:val="000000"/>
                <w:sz w:val="20"/>
                <w:szCs w:val="20"/>
              </w:rPr>
            </w:pPr>
            <w:r w:rsidRPr="00471C1A">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1E834CD3" w14:textId="77777777" w:rsidR="006E7F0A" w:rsidRPr="00471C1A" w:rsidRDefault="006E7F0A">
            <w:pPr>
              <w:jc w:val="right"/>
              <w:rPr>
                <w:b/>
                <w:bCs/>
                <w:color w:val="000000"/>
                <w:sz w:val="20"/>
                <w:szCs w:val="20"/>
              </w:rPr>
            </w:pPr>
            <w:r w:rsidRPr="00471C1A">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2E26F9BE" w14:textId="77777777" w:rsidR="006E7F0A" w:rsidRDefault="006E7F0A">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2847C59E" w14:textId="77777777" w:rsidR="006E7F0A" w:rsidRDefault="006E7F0A">
            <w:pPr>
              <w:jc w:val="right"/>
              <w:rPr>
                <w:color w:val="000000"/>
                <w:sz w:val="20"/>
                <w:szCs w:val="20"/>
              </w:rPr>
            </w:pPr>
            <w:r>
              <w:rPr>
                <w:color w:val="000000"/>
                <w:sz w:val="20"/>
                <w:szCs w:val="20"/>
              </w:rPr>
              <w:t>0.330</w:t>
            </w:r>
          </w:p>
        </w:tc>
        <w:tc>
          <w:tcPr>
            <w:tcW w:w="864" w:type="dxa"/>
            <w:tcBorders>
              <w:top w:val="nil"/>
              <w:left w:val="nil"/>
              <w:bottom w:val="nil"/>
              <w:right w:val="nil"/>
            </w:tcBorders>
            <w:shd w:val="clear" w:color="auto" w:fill="auto"/>
            <w:noWrap/>
            <w:vAlign w:val="bottom"/>
            <w:hideMark/>
          </w:tcPr>
          <w:p w14:paraId="6474FED6" w14:textId="77777777" w:rsidR="006E7F0A" w:rsidRDefault="006E7F0A">
            <w:pPr>
              <w:jc w:val="right"/>
              <w:rPr>
                <w:color w:val="000000"/>
                <w:sz w:val="20"/>
                <w:szCs w:val="20"/>
              </w:rPr>
            </w:pPr>
            <w:r>
              <w:rPr>
                <w:color w:val="000000"/>
                <w:sz w:val="20"/>
                <w:szCs w:val="20"/>
              </w:rPr>
              <w:t>0.002</w:t>
            </w:r>
          </w:p>
        </w:tc>
      </w:tr>
      <w:tr w:rsidR="006E7F0A" w14:paraId="63049F9E" w14:textId="77777777" w:rsidTr="006E7F0A">
        <w:trPr>
          <w:trHeight w:val="320"/>
        </w:trPr>
        <w:tc>
          <w:tcPr>
            <w:tcW w:w="1152" w:type="dxa"/>
            <w:tcBorders>
              <w:top w:val="nil"/>
              <w:left w:val="nil"/>
              <w:bottom w:val="nil"/>
              <w:right w:val="nil"/>
            </w:tcBorders>
            <w:shd w:val="clear" w:color="auto" w:fill="auto"/>
            <w:noWrap/>
            <w:vAlign w:val="bottom"/>
            <w:hideMark/>
          </w:tcPr>
          <w:p w14:paraId="67EE64D5"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F9F2834" w14:textId="77777777" w:rsidR="006E7F0A" w:rsidRDefault="006E7F0A">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7D63126" w14:textId="77777777" w:rsidR="006E7F0A" w:rsidRDefault="006E7F0A">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4F286BF9" w14:textId="77777777" w:rsidR="006E7F0A" w:rsidRDefault="006E7F0A">
            <w:pPr>
              <w:jc w:val="right"/>
              <w:rPr>
                <w:color w:val="000000"/>
                <w:sz w:val="20"/>
                <w:szCs w:val="20"/>
              </w:rPr>
            </w:pPr>
            <w:r>
              <w:rPr>
                <w:color w:val="000000"/>
                <w:sz w:val="20"/>
                <w:szCs w:val="20"/>
              </w:rPr>
              <w:t>0.872</w:t>
            </w:r>
          </w:p>
        </w:tc>
        <w:tc>
          <w:tcPr>
            <w:tcW w:w="864" w:type="dxa"/>
            <w:tcBorders>
              <w:top w:val="nil"/>
              <w:left w:val="nil"/>
              <w:bottom w:val="nil"/>
              <w:right w:val="nil"/>
            </w:tcBorders>
            <w:shd w:val="clear" w:color="auto" w:fill="auto"/>
            <w:noWrap/>
            <w:vAlign w:val="bottom"/>
            <w:hideMark/>
          </w:tcPr>
          <w:p w14:paraId="5CC3223F"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505AF37" w14:textId="77777777" w:rsidR="006E7F0A" w:rsidRDefault="006E7F0A">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061FB324" w14:textId="77777777" w:rsidR="006E7F0A" w:rsidRDefault="006E7F0A">
            <w:pPr>
              <w:jc w:val="right"/>
              <w:rPr>
                <w:color w:val="000000"/>
                <w:sz w:val="20"/>
                <w:szCs w:val="20"/>
              </w:rPr>
            </w:pPr>
            <w:r>
              <w:rPr>
                <w:color w:val="000000"/>
                <w:sz w:val="20"/>
                <w:szCs w:val="20"/>
              </w:rPr>
              <w:t>0.330</w:t>
            </w:r>
          </w:p>
        </w:tc>
        <w:tc>
          <w:tcPr>
            <w:tcW w:w="864" w:type="dxa"/>
            <w:tcBorders>
              <w:top w:val="nil"/>
              <w:left w:val="nil"/>
              <w:bottom w:val="nil"/>
              <w:right w:val="nil"/>
            </w:tcBorders>
            <w:shd w:val="clear" w:color="auto" w:fill="auto"/>
            <w:noWrap/>
            <w:vAlign w:val="bottom"/>
            <w:hideMark/>
          </w:tcPr>
          <w:p w14:paraId="09281D9C" w14:textId="77777777" w:rsidR="006E7F0A" w:rsidRDefault="006E7F0A">
            <w:pPr>
              <w:jc w:val="right"/>
              <w:rPr>
                <w:color w:val="000000"/>
                <w:sz w:val="20"/>
                <w:szCs w:val="20"/>
              </w:rPr>
            </w:pPr>
            <w:r>
              <w:rPr>
                <w:color w:val="000000"/>
                <w:sz w:val="20"/>
                <w:szCs w:val="20"/>
              </w:rPr>
              <w:t>0.003</w:t>
            </w:r>
          </w:p>
        </w:tc>
      </w:tr>
      <w:tr w:rsidR="006E7F0A" w14:paraId="7A714C1E" w14:textId="77777777" w:rsidTr="006E7F0A">
        <w:trPr>
          <w:trHeight w:val="320"/>
        </w:trPr>
        <w:tc>
          <w:tcPr>
            <w:tcW w:w="1152" w:type="dxa"/>
            <w:tcBorders>
              <w:top w:val="nil"/>
              <w:left w:val="nil"/>
              <w:bottom w:val="nil"/>
              <w:right w:val="nil"/>
            </w:tcBorders>
            <w:shd w:val="clear" w:color="auto" w:fill="auto"/>
            <w:noWrap/>
            <w:vAlign w:val="bottom"/>
            <w:hideMark/>
          </w:tcPr>
          <w:p w14:paraId="436C6835"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0E6A41A" w14:textId="77777777" w:rsidR="006E7F0A" w:rsidRDefault="006E7F0A">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B325409" w14:textId="77777777" w:rsidR="006E7F0A" w:rsidRDefault="006E7F0A">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74CEA7E5" w14:textId="77777777" w:rsidR="006E7F0A" w:rsidRDefault="006E7F0A">
            <w:pPr>
              <w:jc w:val="right"/>
              <w:rPr>
                <w:color w:val="000000"/>
                <w:sz w:val="20"/>
                <w:szCs w:val="20"/>
              </w:rPr>
            </w:pPr>
            <w:r>
              <w:rPr>
                <w:color w:val="000000"/>
                <w:sz w:val="20"/>
                <w:szCs w:val="20"/>
              </w:rPr>
              <w:t>0.872</w:t>
            </w:r>
          </w:p>
        </w:tc>
        <w:tc>
          <w:tcPr>
            <w:tcW w:w="864" w:type="dxa"/>
            <w:tcBorders>
              <w:top w:val="nil"/>
              <w:left w:val="nil"/>
              <w:bottom w:val="nil"/>
              <w:right w:val="nil"/>
            </w:tcBorders>
            <w:shd w:val="clear" w:color="auto" w:fill="auto"/>
            <w:noWrap/>
            <w:vAlign w:val="bottom"/>
            <w:hideMark/>
          </w:tcPr>
          <w:p w14:paraId="370BF919"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1600620" w14:textId="77777777" w:rsidR="006E7F0A" w:rsidRDefault="006E7F0A">
            <w:pPr>
              <w:jc w:val="right"/>
              <w:rPr>
                <w:color w:val="000000"/>
                <w:sz w:val="20"/>
                <w:szCs w:val="20"/>
              </w:rPr>
            </w:pPr>
            <w:r>
              <w:rPr>
                <w:color w:val="000000"/>
                <w:sz w:val="20"/>
                <w:szCs w:val="20"/>
              </w:rPr>
              <w:t>-0.065</w:t>
            </w:r>
          </w:p>
        </w:tc>
        <w:tc>
          <w:tcPr>
            <w:tcW w:w="864" w:type="dxa"/>
            <w:tcBorders>
              <w:top w:val="nil"/>
              <w:left w:val="nil"/>
              <w:bottom w:val="nil"/>
              <w:right w:val="nil"/>
            </w:tcBorders>
            <w:shd w:val="clear" w:color="auto" w:fill="auto"/>
            <w:noWrap/>
            <w:vAlign w:val="bottom"/>
            <w:hideMark/>
          </w:tcPr>
          <w:p w14:paraId="3BD7F5DB" w14:textId="77777777" w:rsidR="006E7F0A" w:rsidRDefault="006E7F0A">
            <w:pPr>
              <w:jc w:val="right"/>
              <w:rPr>
                <w:color w:val="000000"/>
                <w:sz w:val="20"/>
                <w:szCs w:val="20"/>
              </w:rPr>
            </w:pPr>
            <w:r>
              <w:rPr>
                <w:color w:val="000000"/>
                <w:sz w:val="20"/>
                <w:szCs w:val="20"/>
              </w:rPr>
              <w:t>0.330</w:t>
            </w:r>
          </w:p>
        </w:tc>
        <w:tc>
          <w:tcPr>
            <w:tcW w:w="864" w:type="dxa"/>
            <w:tcBorders>
              <w:top w:val="nil"/>
              <w:left w:val="nil"/>
              <w:bottom w:val="nil"/>
              <w:right w:val="nil"/>
            </w:tcBorders>
            <w:shd w:val="clear" w:color="auto" w:fill="auto"/>
            <w:noWrap/>
            <w:vAlign w:val="bottom"/>
            <w:hideMark/>
          </w:tcPr>
          <w:p w14:paraId="66FFB28A" w14:textId="77777777" w:rsidR="006E7F0A" w:rsidRDefault="006E7F0A">
            <w:pPr>
              <w:jc w:val="right"/>
              <w:rPr>
                <w:color w:val="000000"/>
                <w:sz w:val="20"/>
                <w:szCs w:val="20"/>
              </w:rPr>
            </w:pPr>
            <w:r>
              <w:rPr>
                <w:color w:val="000000"/>
                <w:sz w:val="20"/>
                <w:szCs w:val="20"/>
              </w:rPr>
              <w:t>0.004</w:t>
            </w:r>
          </w:p>
        </w:tc>
      </w:tr>
      <w:tr w:rsidR="006E7F0A" w14:paraId="6C380219" w14:textId="77777777" w:rsidTr="006E7F0A">
        <w:trPr>
          <w:trHeight w:val="320"/>
        </w:trPr>
        <w:tc>
          <w:tcPr>
            <w:tcW w:w="1152" w:type="dxa"/>
            <w:tcBorders>
              <w:top w:val="nil"/>
              <w:left w:val="nil"/>
              <w:bottom w:val="nil"/>
              <w:right w:val="nil"/>
            </w:tcBorders>
            <w:shd w:val="clear" w:color="auto" w:fill="auto"/>
            <w:noWrap/>
            <w:vAlign w:val="bottom"/>
            <w:hideMark/>
          </w:tcPr>
          <w:p w14:paraId="678221FE"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65EFA4C" w14:textId="77777777" w:rsidR="006E7F0A" w:rsidRDefault="006E7F0A">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4B4F41B" w14:textId="77777777" w:rsidR="006E7F0A" w:rsidRDefault="006E7F0A">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2D054FA8" w14:textId="77777777" w:rsidR="006E7F0A" w:rsidRDefault="006E7F0A">
            <w:pPr>
              <w:jc w:val="right"/>
              <w:rPr>
                <w:color w:val="000000"/>
                <w:sz w:val="20"/>
                <w:szCs w:val="20"/>
              </w:rPr>
            </w:pPr>
            <w:r>
              <w:rPr>
                <w:color w:val="000000"/>
                <w:sz w:val="20"/>
                <w:szCs w:val="20"/>
              </w:rPr>
              <w:t>0.872</w:t>
            </w:r>
          </w:p>
        </w:tc>
        <w:tc>
          <w:tcPr>
            <w:tcW w:w="864" w:type="dxa"/>
            <w:tcBorders>
              <w:top w:val="nil"/>
              <w:left w:val="nil"/>
              <w:bottom w:val="nil"/>
              <w:right w:val="nil"/>
            </w:tcBorders>
            <w:shd w:val="clear" w:color="auto" w:fill="auto"/>
            <w:noWrap/>
            <w:vAlign w:val="bottom"/>
            <w:hideMark/>
          </w:tcPr>
          <w:p w14:paraId="3FCD9B13" w14:textId="77777777" w:rsidR="006E7F0A" w:rsidRDefault="006E7F0A">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DC306D6" w14:textId="77777777" w:rsidR="006E7F0A" w:rsidRDefault="006E7F0A">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4DEA1EE7" w14:textId="77777777" w:rsidR="006E7F0A" w:rsidRDefault="006E7F0A">
            <w:pPr>
              <w:jc w:val="right"/>
              <w:rPr>
                <w:color w:val="000000"/>
                <w:sz w:val="20"/>
                <w:szCs w:val="20"/>
              </w:rPr>
            </w:pPr>
            <w:r>
              <w:rPr>
                <w:color w:val="000000"/>
                <w:sz w:val="20"/>
                <w:szCs w:val="20"/>
              </w:rPr>
              <w:t>0.510</w:t>
            </w:r>
          </w:p>
        </w:tc>
        <w:tc>
          <w:tcPr>
            <w:tcW w:w="864" w:type="dxa"/>
            <w:tcBorders>
              <w:top w:val="nil"/>
              <w:left w:val="nil"/>
              <w:bottom w:val="nil"/>
              <w:right w:val="nil"/>
            </w:tcBorders>
            <w:shd w:val="clear" w:color="auto" w:fill="auto"/>
            <w:noWrap/>
            <w:vAlign w:val="bottom"/>
            <w:hideMark/>
          </w:tcPr>
          <w:p w14:paraId="29B0519F" w14:textId="77777777" w:rsidR="006E7F0A" w:rsidRDefault="006E7F0A">
            <w:pPr>
              <w:jc w:val="right"/>
              <w:rPr>
                <w:color w:val="000000"/>
                <w:sz w:val="20"/>
                <w:szCs w:val="20"/>
              </w:rPr>
            </w:pPr>
            <w:r>
              <w:rPr>
                <w:color w:val="000000"/>
                <w:sz w:val="20"/>
                <w:szCs w:val="20"/>
              </w:rPr>
              <w:t>0.001</w:t>
            </w:r>
          </w:p>
        </w:tc>
      </w:tr>
      <w:tr w:rsidR="006E7F0A" w14:paraId="2300A93A" w14:textId="77777777" w:rsidTr="006E7F0A">
        <w:trPr>
          <w:trHeight w:val="320"/>
        </w:trPr>
        <w:tc>
          <w:tcPr>
            <w:tcW w:w="1152" w:type="dxa"/>
            <w:tcBorders>
              <w:top w:val="nil"/>
              <w:left w:val="nil"/>
              <w:bottom w:val="nil"/>
              <w:right w:val="nil"/>
            </w:tcBorders>
            <w:shd w:val="clear" w:color="auto" w:fill="auto"/>
            <w:noWrap/>
            <w:vAlign w:val="bottom"/>
            <w:hideMark/>
          </w:tcPr>
          <w:p w14:paraId="3BB561E8"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879DF9E" w14:textId="77777777" w:rsidR="006E7F0A" w:rsidRDefault="006E7F0A">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6847E2D" w14:textId="77777777" w:rsidR="006E7F0A" w:rsidRDefault="006E7F0A">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13E94CA8" w14:textId="77777777" w:rsidR="006E7F0A" w:rsidRDefault="006E7F0A">
            <w:pPr>
              <w:jc w:val="right"/>
              <w:rPr>
                <w:color w:val="000000"/>
                <w:sz w:val="20"/>
                <w:szCs w:val="20"/>
              </w:rPr>
            </w:pPr>
            <w:r>
              <w:rPr>
                <w:color w:val="000000"/>
                <w:sz w:val="20"/>
                <w:szCs w:val="20"/>
              </w:rPr>
              <w:t>0.872</w:t>
            </w:r>
          </w:p>
        </w:tc>
        <w:tc>
          <w:tcPr>
            <w:tcW w:w="864" w:type="dxa"/>
            <w:tcBorders>
              <w:top w:val="nil"/>
              <w:left w:val="nil"/>
              <w:bottom w:val="nil"/>
              <w:right w:val="nil"/>
            </w:tcBorders>
            <w:shd w:val="clear" w:color="auto" w:fill="auto"/>
            <w:noWrap/>
            <w:vAlign w:val="bottom"/>
            <w:hideMark/>
          </w:tcPr>
          <w:p w14:paraId="782E875E"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C0C2626" w14:textId="77777777" w:rsidR="006E7F0A" w:rsidRDefault="006E7F0A">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6920432A" w14:textId="77777777" w:rsidR="006E7F0A" w:rsidRDefault="006E7F0A">
            <w:pPr>
              <w:jc w:val="right"/>
              <w:rPr>
                <w:color w:val="000000"/>
                <w:sz w:val="20"/>
                <w:szCs w:val="20"/>
              </w:rPr>
            </w:pPr>
            <w:r>
              <w:rPr>
                <w:color w:val="000000"/>
                <w:sz w:val="20"/>
                <w:szCs w:val="20"/>
              </w:rPr>
              <w:t>0.330</w:t>
            </w:r>
          </w:p>
        </w:tc>
        <w:tc>
          <w:tcPr>
            <w:tcW w:w="864" w:type="dxa"/>
            <w:tcBorders>
              <w:top w:val="nil"/>
              <w:left w:val="nil"/>
              <w:bottom w:val="nil"/>
              <w:right w:val="nil"/>
            </w:tcBorders>
            <w:shd w:val="clear" w:color="auto" w:fill="auto"/>
            <w:noWrap/>
            <w:vAlign w:val="bottom"/>
            <w:hideMark/>
          </w:tcPr>
          <w:p w14:paraId="15BD876A" w14:textId="77777777" w:rsidR="006E7F0A" w:rsidRDefault="006E7F0A">
            <w:pPr>
              <w:jc w:val="right"/>
              <w:rPr>
                <w:color w:val="000000"/>
                <w:sz w:val="20"/>
                <w:szCs w:val="20"/>
              </w:rPr>
            </w:pPr>
            <w:r>
              <w:rPr>
                <w:color w:val="000000"/>
                <w:sz w:val="20"/>
                <w:szCs w:val="20"/>
              </w:rPr>
              <w:t>0.003</w:t>
            </w:r>
          </w:p>
        </w:tc>
      </w:tr>
      <w:tr w:rsidR="006E7F0A" w14:paraId="59A1BAC8" w14:textId="77777777" w:rsidTr="006E7F0A">
        <w:trPr>
          <w:trHeight w:val="320"/>
        </w:trPr>
        <w:tc>
          <w:tcPr>
            <w:tcW w:w="1152" w:type="dxa"/>
            <w:tcBorders>
              <w:top w:val="nil"/>
              <w:left w:val="nil"/>
              <w:bottom w:val="nil"/>
              <w:right w:val="nil"/>
            </w:tcBorders>
            <w:shd w:val="clear" w:color="auto" w:fill="auto"/>
            <w:noWrap/>
            <w:vAlign w:val="bottom"/>
            <w:hideMark/>
          </w:tcPr>
          <w:p w14:paraId="6B68E6FE"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2727EB5" w14:textId="77777777" w:rsidR="006E7F0A" w:rsidRDefault="006E7F0A">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D73B6E6" w14:textId="77777777" w:rsidR="006E7F0A" w:rsidRDefault="006E7F0A">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B3C8AE5" w14:textId="77777777" w:rsidR="006E7F0A" w:rsidRDefault="006E7F0A">
            <w:pPr>
              <w:jc w:val="right"/>
              <w:rPr>
                <w:color w:val="000000"/>
                <w:sz w:val="20"/>
                <w:szCs w:val="20"/>
              </w:rPr>
            </w:pPr>
            <w:r>
              <w:rPr>
                <w:color w:val="000000"/>
                <w:sz w:val="20"/>
                <w:szCs w:val="20"/>
              </w:rPr>
              <w:t>0.957</w:t>
            </w:r>
          </w:p>
        </w:tc>
        <w:tc>
          <w:tcPr>
            <w:tcW w:w="864" w:type="dxa"/>
            <w:tcBorders>
              <w:top w:val="nil"/>
              <w:left w:val="nil"/>
              <w:bottom w:val="nil"/>
              <w:right w:val="nil"/>
            </w:tcBorders>
            <w:shd w:val="clear" w:color="auto" w:fill="auto"/>
            <w:noWrap/>
            <w:vAlign w:val="bottom"/>
            <w:hideMark/>
          </w:tcPr>
          <w:p w14:paraId="2CA9380D"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2D821C9" w14:textId="77777777" w:rsidR="006E7F0A" w:rsidRDefault="006E7F0A">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68951EC4" w14:textId="77777777" w:rsidR="006E7F0A" w:rsidRDefault="006E7F0A">
            <w:pPr>
              <w:jc w:val="right"/>
              <w:rPr>
                <w:color w:val="000000"/>
                <w:sz w:val="20"/>
                <w:szCs w:val="20"/>
              </w:rPr>
            </w:pPr>
            <w:r>
              <w:rPr>
                <w:color w:val="000000"/>
                <w:sz w:val="20"/>
                <w:szCs w:val="20"/>
              </w:rPr>
              <w:t>0.510</w:t>
            </w:r>
          </w:p>
        </w:tc>
        <w:tc>
          <w:tcPr>
            <w:tcW w:w="864" w:type="dxa"/>
            <w:tcBorders>
              <w:top w:val="nil"/>
              <w:left w:val="nil"/>
              <w:bottom w:val="nil"/>
              <w:right w:val="nil"/>
            </w:tcBorders>
            <w:shd w:val="clear" w:color="auto" w:fill="auto"/>
            <w:noWrap/>
            <w:vAlign w:val="bottom"/>
            <w:hideMark/>
          </w:tcPr>
          <w:p w14:paraId="3BCA440F" w14:textId="77777777" w:rsidR="006E7F0A" w:rsidRDefault="006E7F0A">
            <w:pPr>
              <w:jc w:val="right"/>
              <w:rPr>
                <w:color w:val="000000"/>
                <w:sz w:val="20"/>
                <w:szCs w:val="20"/>
              </w:rPr>
            </w:pPr>
            <w:r>
              <w:rPr>
                <w:color w:val="000000"/>
                <w:sz w:val="20"/>
                <w:szCs w:val="20"/>
              </w:rPr>
              <w:t>0.001</w:t>
            </w:r>
          </w:p>
        </w:tc>
      </w:tr>
      <w:tr w:rsidR="006E7F0A" w14:paraId="2E9F3862" w14:textId="77777777" w:rsidTr="006E7F0A">
        <w:trPr>
          <w:trHeight w:val="320"/>
        </w:trPr>
        <w:tc>
          <w:tcPr>
            <w:tcW w:w="1152" w:type="dxa"/>
            <w:tcBorders>
              <w:top w:val="nil"/>
              <w:left w:val="nil"/>
              <w:bottom w:val="nil"/>
              <w:right w:val="nil"/>
            </w:tcBorders>
            <w:shd w:val="clear" w:color="auto" w:fill="auto"/>
            <w:noWrap/>
            <w:vAlign w:val="bottom"/>
            <w:hideMark/>
          </w:tcPr>
          <w:p w14:paraId="2C876180"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0B432FB" w14:textId="77777777" w:rsidR="006E7F0A" w:rsidRDefault="006E7F0A">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C14ABF5" w14:textId="77777777" w:rsidR="006E7F0A" w:rsidRDefault="006E7F0A">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4015E1F8" w14:textId="77777777" w:rsidR="006E7F0A" w:rsidRDefault="006E7F0A">
            <w:pPr>
              <w:jc w:val="right"/>
              <w:rPr>
                <w:color w:val="000000"/>
                <w:sz w:val="20"/>
                <w:szCs w:val="20"/>
              </w:rPr>
            </w:pPr>
            <w:r>
              <w:rPr>
                <w:color w:val="000000"/>
                <w:sz w:val="20"/>
                <w:szCs w:val="20"/>
              </w:rPr>
              <w:t>0.872</w:t>
            </w:r>
          </w:p>
        </w:tc>
        <w:tc>
          <w:tcPr>
            <w:tcW w:w="864" w:type="dxa"/>
            <w:tcBorders>
              <w:top w:val="nil"/>
              <w:left w:val="nil"/>
              <w:bottom w:val="nil"/>
              <w:right w:val="nil"/>
            </w:tcBorders>
            <w:shd w:val="clear" w:color="auto" w:fill="auto"/>
            <w:noWrap/>
            <w:vAlign w:val="bottom"/>
            <w:hideMark/>
          </w:tcPr>
          <w:p w14:paraId="228ACCA0"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1D8CE52" w14:textId="77777777" w:rsidR="006E7F0A" w:rsidRDefault="006E7F0A">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35700278" w14:textId="77777777" w:rsidR="006E7F0A" w:rsidRDefault="006E7F0A">
            <w:pPr>
              <w:jc w:val="right"/>
              <w:rPr>
                <w:color w:val="000000"/>
                <w:sz w:val="20"/>
                <w:szCs w:val="20"/>
              </w:rPr>
            </w:pPr>
            <w:r>
              <w:rPr>
                <w:color w:val="000000"/>
                <w:sz w:val="20"/>
                <w:szCs w:val="20"/>
              </w:rPr>
              <w:t>0.510</w:t>
            </w:r>
          </w:p>
        </w:tc>
        <w:tc>
          <w:tcPr>
            <w:tcW w:w="864" w:type="dxa"/>
            <w:tcBorders>
              <w:top w:val="nil"/>
              <w:left w:val="nil"/>
              <w:bottom w:val="nil"/>
              <w:right w:val="nil"/>
            </w:tcBorders>
            <w:shd w:val="clear" w:color="auto" w:fill="auto"/>
            <w:noWrap/>
            <w:vAlign w:val="bottom"/>
            <w:hideMark/>
          </w:tcPr>
          <w:p w14:paraId="251B97E7" w14:textId="77777777" w:rsidR="006E7F0A" w:rsidRDefault="006E7F0A">
            <w:pPr>
              <w:jc w:val="right"/>
              <w:rPr>
                <w:color w:val="000000"/>
                <w:sz w:val="20"/>
                <w:szCs w:val="20"/>
              </w:rPr>
            </w:pPr>
            <w:r>
              <w:rPr>
                <w:color w:val="000000"/>
                <w:sz w:val="20"/>
                <w:szCs w:val="20"/>
              </w:rPr>
              <w:t>0.001</w:t>
            </w:r>
          </w:p>
        </w:tc>
      </w:tr>
      <w:tr w:rsidR="006E7F0A" w14:paraId="71D77135" w14:textId="77777777" w:rsidTr="006E7F0A">
        <w:trPr>
          <w:trHeight w:val="320"/>
        </w:trPr>
        <w:tc>
          <w:tcPr>
            <w:tcW w:w="1152" w:type="dxa"/>
            <w:tcBorders>
              <w:top w:val="nil"/>
              <w:left w:val="nil"/>
              <w:bottom w:val="single" w:sz="4" w:space="0" w:color="auto"/>
              <w:right w:val="nil"/>
            </w:tcBorders>
            <w:shd w:val="clear" w:color="auto" w:fill="auto"/>
            <w:noWrap/>
            <w:vAlign w:val="bottom"/>
            <w:hideMark/>
          </w:tcPr>
          <w:p w14:paraId="2D42DBAC" w14:textId="77777777" w:rsidR="006E7F0A" w:rsidRDefault="006E7F0A">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8F227AD" w14:textId="77777777" w:rsidR="006E7F0A" w:rsidRDefault="006E7F0A">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CE92203" w14:textId="77777777" w:rsidR="006E7F0A" w:rsidRDefault="006E7F0A">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16CACB32" w14:textId="77777777" w:rsidR="006E7F0A" w:rsidRDefault="006E7F0A">
            <w:pPr>
              <w:jc w:val="right"/>
              <w:rPr>
                <w:color w:val="000000"/>
                <w:sz w:val="20"/>
                <w:szCs w:val="20"/>
              </w:rPr>
            </w:pPr>
            <w:r>
              <w:rPr>
                <w:color w:val="000000"/>
                <w:sz w:val="20"/>
                <w:szCs w:val="20"/>
              </w:rPr>
              <w:t>0.872</w:t>
            </w:r>
          </w:p>
        </w:tc>
        <w:tc>
          <w:tcPr>
            <w:tcW w:w="864" w:type="dxa"/>
            <w:tcBorders>
              <w:top w:val="nil"/>
              <w:left w:val="nil"/>
              <w:bottom w:val="single" w:sz="4" w:space="0" w:color="auto"/>
              <w:right w:val="nil"/>
            </w:tcBorders>
            <w:shd w:val="clear" w:color="auto" w:fill="auto"/>
            <w:noWrap/>
            <w:vAlign w:val="bottom"/>
            <w:hideMark/>
          </w:tcPr>
          <w:p w14:paraId="7CE20B9C"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6E466B2" w14:textId="77777777" w:rsidR="006E7F0A" w:rsidRDefault="006E7F0A">
            <w:pPr>
              <w:jc w:val="right"/>
              <w:rPr>
                <w:color w:val="000000"/>
                <w:sz w:val="20"/>
                <w:szCs w:val="20"/>
              </w:rPr>
            </w:pPr>
            <w:r>
              <w:rPr>
                <w:color w:val="000000"/>
                <w:sz w:val="20"/>
                <w:szCs w:val="20"/>
              </w:rPr>
              <w:t>0.029</w:t>
            </w:r>
          </w:p>
        </w:tc>
        <w:tc>
          <w:tcPr>
            <w:tcW w:w="864" w:type="dxa"/>
            <w:tcBorders>
              <w:top w:val="nil"/>
              <w:left w:val="nil"/>
              <w:bottom w:val="single" w:sz="4" w:space="0" w:color="auto"/>
              <w:right w:val="nil"/>
            </w:tcBorders>
            <w:shd w:val="clear" w:color="auto" w:fill="auto"/>
            <w:noWrap/>
            <w:vAlign w:val="bottom"/>
            <w:hideMark/>
          </w:tcPr>
          <w:p w14:paraId="03447A6F" w14:textId="77777777" w:rsidR="006E7F0A" w:rsidRDefault="006E7F0A">
            <w:pPr>
              <w:jc w:val="right"/>
              <w:rPr>
                <w:color w:val="000000"/>
                <w:sz w:val="20"/>
                <w:szCs w:val="20"/>
              </w:rPr>
            </w:pPr>
            <w:r>
              <w:rPr>
                <w:color w:val="000000"/>
                <w:sz w:val="20"/>
                <w:szCs w:val="20"/>
              </w:rPr>
              <w:t>0.510</w:t>
            </w:r>
          </w:p>
        </w:tc>
        <w:tc>
          <w:tcPr>
            <w:tcW w:w="864" w:type="dxa"/>
            <w:tcBorders>
              <w:top w:val="nil"/>
              <w:left w:val="nil"/>
              <w:bottom w:val="single" w:sz="4" w:space="0" w:color="auto"/>
              <w:right w:val="nil"/>
            </w:tcBorders>
            <w:shd w:val="clear" w:color="auto" w:fill="auto"/>
            <w:noWrap/>
            <w:vAlign w:val="bottom"/>
            <w:hideMark/>
          </w:tcPr>
          <w:p w14:paraId="7519978A" w14:textId="77777777" w:rsidR="006E7F0A" w:rsidRDefault="006E7F0A">
            <w:pPr>
              <w:jc w:val="right"/>
              <w:rPr>
                <w:color w:val="000000"/>
                <w:sz w:val="20"/>
                <w:szCs w:val="20"/>
              </w:rPr>
            </w:pPr>
            <w:r>
              <w:rPr>
                <w:color w:val="000000"/>
                <w:sz w:val="20"/>
                <w:szCs w:val="20"/>
              </w:rPr>
              <w:t>0.001</w:t>
            </w:r>
          </w:p>
        </w:tc>
      </w:tr>
      <w:tr w:rsidR="006E7F0A" w14:paraId="2E2E4399" w14:textId="77777777" w:rsidTr="006E7F0A">
        <w:trPr>
          <w:trHeight w:val="320"/>
        </w:trPr>
        <w:tc>
          <w:tcPr>
            <w:tcW w:w="1152" w:type="dxa"/>
            <w:tcBorders>
              <w:top w:val="nil"/>
              <w:left w:val="nil"/>
              <w:bottom w:val="nil"/>
              <w:right w:val="nil"/>
            </w:tcBorders>
            <w:shd w:val="clear" w:color="auto" w:fill="auto"/>
            <w:noWrap/>
            <w:vAlign w:val="bottom"/>
            <w:hideMark/>
          </w:tcPr>
          <w:p w14:paraId="711EFA8F" w14:textId="77777777" w:rsidR="006E7F0A" w:rsidRDefault="006E7F0A">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4C7F26FA" w14:textId="77777777" w:rsidR="006E7F0A" w:rsidRDefault="006E7F0A">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507155E" w14:textId="77777777" w:rsidR="006E7F0A" w:rsidRDefault="006E7F0A">
            <w:pPr>
              <w:jc w:val="right"/>
              <w:rPr>
                <w:b/>
                <w:bCs/>
                <w:color w:val="000000"/>
                <w:sz w:val="20"/>
                <w:szCs w:val="20"/>
              </w:rPr>
            </w:pPr>
            <w:r>
              <w:rPr>
                <w:b/>
                <w:bCs/>
                <w:color w:val="000000"/>
                <w:sz w:val="20"/>
                <w:szCs w:val="20"/>
              </w:rPr>
              <w:t>0.069</w:t>
            </w:r>
          </w:p>
        </w:tc>
        <w:tc>
          <w:tcPr>
            <w:tcW w:w="864" w:type="dxa"/>
            <w:tcBorders>
              <w:top w:val="nil"/>
              <w:left w:val="nil"/>
              <w:bottom w:val="nil"/>
              <w:right w:val="nil"/>
            </w:tcBorders>
            <w:shd w:val="clear" w:color="auto" w:fill="auto"/>
            <w:noWrap/>
            <w:vAlign w:val="bottom"/>
            <w:hideMark/>
          </w:tcPr>
          <w:p w14:paraId="3BCB9B1A" w14:textId="77777777" w:rsidR="006E7F0A" w:rsidRDefault="006E7F0A">
            <w:pPr>
              <w:jc w:val="right"/>
              <w:rPr>
                <w:b/>
                <w:bCs/>
                <w:color w:val="000000"/>
                <w:sz w:val="20"/>
                <w:szCs w:val="20"/>
              </w:rPr>
            </w:pPr>
            <w:r>
              <w:rPr>
                <w:b/>
                <w:bCs/>
                <w:color w:val="000000"/>
                <w:sz w:val="20"/>
                <w:szCs w:val="20"/>
              </w:rPr>
              <w:t>0.040</w:t>
            </w:r>
          </w:p>
        </w:tc>
        <w:tc>
          <w:tcPr>
            <w:tcW w:w="864" w:type="dxa"/>
            <w:tcBorders>
              <w:top w:val="nil"/>
              <w:left w:val="nil"/>
              <w:bottom w:val="nil"/>
              <w:right w:val="nil"/>
            </w:tcBorders>
            <w:shd w:val="clear" w:color="auto" w:fill="auto"/>
            <w:noWrap/>
            <w:vAlign w:val="bottom"/>
            <w:hideMark/>
          </w:tcPr>
          <w:p w14:paraId="0D0A1A20" w14:textId="77777777" w:rsidR="006E7F0A" w:rsidRDefault="006E7F0A">
            <w:pPr>
              <w:jc w:val="right"/>
              <w:rPr>
                <w:b/>
                <w:bCs/>
                <w:color w:val="000000"/>
                <w:sz w:val="20"/>
                <w:szCs w:val="20"/>
              </w:rPr>
            </w:pPr>
            <w:r>
              <w:rPr>
                <w:b/>
                <w:bCs/>
                <w:color w:val="000000"/>
                <w:sz w:val="20"/>
                <w:szCs w:val="20"/>
              </w:rPr>
              <w:t>0.005</w:t>
            </w:r>
          </w:p>
        </w:tc>
        <w:tc>
          <w:tcPr>
            <w:tcW w:w="864" w:type="dxa"/>
            <w:tcBorders>
              <w:top w:val="nil"/>
              <w:left w:val="nil"/>
              <w:bottom w:val="nil"/>
              <w:right w:val="nil"/>
            </w:tcBorders>
            <w:shd w:val="clear" w:color="auto" w:fill="auto"/>
            <w:noWrap/>
            <w:vAlign w:val="bottom"/>
            <w:hideMark/>
          </w:tcPr>
          <w:p w14:paraId="579903C2" w14:textId="77777777" w:rsidR="006E7F0A" w:rsidRDefault="006E7F0A">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243203EB" w14:textId="77777777" w:rsidR="006E7F0A" w:rsidRDefault="006E7F0A">
            <w:pPr>
              <w:jc w:val="right"/>
              <w:rPr>
                <w:color w:val="000000"/>
                <w:sz w:val="20"/>
                <w:szCs w:val="20"/>
              </w:rPr>
            </w:pPr>
            <w:r>
              <w:rPr>
                <w:color w:val="000000"/>
                <w:sz w:val="20"/>
                <w:szCs w:val="20"/>
              </w:rPr>
              <w:t>0.464</w:t>
            </w:r>
          </w:p>
        </w:tc>
        <w:tc>
          <w:tcPr>
            <w:tcW w:w="864" w:type="dxa"/>
            <w:tcBorders>
              <w:top w:val="nil"/>
              <w:left w:val="nil"/>
              <w:bottom w:val="nil"/>
              <w:right w:val="nil"/>
            </w:tcBorders>
            <w:shd w:val="clear" w:color="auto" w:fill="auto"/>
            <w:noWrap/>
            <w:vAlign w:val="bottom"/>
            <w:hideMark/>
          </w:tcPr>
          <w:p w14:paraId="2DCD0B10" w14:textId="77777777" w:rsidR="006E7F0A" w:rsidRDefault="006E7F0A">
            <w:pPr>
              <w:jc w:val="right"/>
              <w:rPr>
                <w:color w:val="000000"/>
                <w:sz w:val="20"/>
                <w:szCs w:val="20"/>
              </w:rPr>
            </w:pPr>
            <w:r>
              <w:rPr>
                <w:color w:val="000000"/>
                <w:sz w:val="20"/>
                <w:szCs w:val="20"/>
              </w:rPr>
              <w:t>0.002</w:t>
            </w:r>
          </w:p>
        </w:tc>
      </w:tr>
      <w:tr w:rsidR="006E7F0A" w14:paraId="4BFDCB98" w14:textId="77777777" w:rsidTr="006E7F0A">
        <w:trPr>
          <w:trHeight w:val="320"/>
        </w:trPr>
        <w:tc>
          <w:tcPr>
            <w:tcW w:w="1152" w:type="dxa"/>
            <w:tcBorders>
              <w:top w:val="nil"/>
              <w:left w:val="nil"/>
              <w:bottom w:val="nil"/>
              <w:right w:val="nil"/>
            </w:tcBorders>
            <w:shd w:val="clear" w:color="auto" w:fill="auto"/>
            <w:noWrap/>
            <w:vAlign w:val="bottom"/>
            <w:hideMark/>
          </w:tcPr>
          <w:p w14:paraId="3FE415CE"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C2555C8" w14:textId="77777777" w:rsidR="006E7F0A" w:rsidRDefault="006E7F0A">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F589A3F" w14:textId="77777777" w:rsidR="006E7F0A" w:rsidRDefault="006E7F0A">
            <w:pPr>
              <w:jc w:val="right"/>
              <w:rPr>
                <w:b/>
                <w:bCs/>
                <w:color w:val="000000"/>
                <w:sz w:val="20"/>
                <w:szCs w:val="20"/>
              </w:rPr>
            </w:pPr>
            <w:r>
              <w:rPr>
                <w:b/>
                <w:bCs/>
                <w:color w:val="000000"/>
                <w:sz w:val="20"/>
                <w:szCs w:val="20"/>
              </w:rPr>
              <w:t>-0.068</w:t>
            </w:r>
          </w:p>
        </w:tc>
        <w:tc>
          <w:tcPr>
            <w:tcW w:w="864" w:type="dxa"/>
            <w:tcBorders>
              <w:top w:val="nil"/>
              <w:left w:val="nil"/>
              <w:bottom w:val="nil"/>
              <w:right w:val="nil"/>
            </w:tcBorders>
            <w:shd w:val="clear" w:color="auto" w:fill="auto"/>
            <w:noWrap/>
            <w:vAlign w:val="bottom"/>
            <w:hideMark/>
          </w:tcPr>
          <w:p w14:paraId="75222C63" w14:textId="77777777" w:rsidR="006E7F0A" w:rsidRDefault="006E7F0A">
            <w:pPr>
              <w:jc w:val="right"/>
              <w:rPr>
                <w:b/>
                <w:bCs/>
                <w:color w:val="000000"/>
                <w:sz w:val="20"/>
                <w:szCs w:val="20"/>
              </w:rPr>
            </w:pPr>
            <w:r>
              <w:rPr>
                <w:b/>
                <w:bCs/>
                <w:color w:val="000000"/>
                <w:sz w:val="20"/>
                <w:szCs w:val="20"/>
              </w:rPr>
              <w:t>0.040</w:t>
            </w:r>
          </w:p>
        </w:tc>
        <w:tc>
          <w:tcPr>
            <w:tcW w:w="864" w:type="dxa"/>
            <w:tcBorders>
              <w:top w:val="nil"/>
              <w:left w:val="nil"/>
              <w:bottom w:val="nil"/>
              <w:right w:val="nil"/>
            </w:tcBorders>
            <w:shd w:val="clear" w:color="auto" w:fill="auto"/>
            <w:noWrap/>
            <w:vAlign w:val="bottom"/>
            <w:hideMark/>
          </w:tcPr>
          <w:p w14:paraId="3B0DD970" w14:textId="77777777" w:rsidR="006E7F0A" w:rsidRDefault="006E7F0A">
            <w:pPr>
              <w:jc w:val="right"/>
              <w:rPr>
                <w:b/>
                <w:bCs/>
                <w:color w:val="000000"/>
                <w:sz w:val="20"/>
                <w:szCs w:val="20"/>
              </w:rPr>
            </w:pPr>
            <w:r>
              <w:rPr>
                <w:b/>
                <w:bCs/>
                <w:color w:val="000000"/>
                <w:sz w:val="20"/>
                <w:szCs w:val="20"/>
              </w:rPr>
              <w:t>0.005</w:t>
            </w:r>
          </w:p>
        </w:tc>
        <w:tc>
          <w:tcPr>
            <w:tcW w:w="864" w:type="dxa"/>
            <w:tcBorders>
              <w:top w:val="nil"/>
              <w:left w:val="nil"/>
              <w:bottom w:val="nil"/>
              <w:right w:val="nil"/>
            </w:tcBorders>
            <w:shd w:val="clear" w:color="auto" w:fill="auto"/>
            <w:noWrap/>
            <w:vAlign w:val="bottom"/>
            <w:hideMark/>
          </w:tcPr>
          <w:p w14:paraId="1D5B60C0" w14:textId="77777777" w:rsidR="006E7F0A" w:rsidRDefault="006E7F0A">
            <w:pPr>
              <w:jc w:val="right"/>
              <w:rPr>
                <w:color w:val="000000"/>
                <w:sz w:val="20"/>
                <w:szCs w:val="20"/>
              </w:rPr>
            </w:pPr>
            <w:r>
              <w:rPr>
                <w:color w:val="000000"/>
                <w:sz w:val="20"/>
                <w:szCs w:val="20"/>
              </w:rPr>
              <w:t>0.072</w:t>
            </w:r>
          </w:p>
        </w:tc>
        <w:tc>
          <w:tcPr>
            <w:tcW w:w="864" w:type="dxa"/>
            <w:tcBorders>
              <w:top w:val="nil"/>
              <w:left w:val="nil"/>
              <w:bottom w:val="nil"/>
              <w:right w:val="nil"/>
            </w:tcBorders>
            <w:shd w:val="clear" w:color="auto" w:fill="auto"/>
            <w:noWrap/>
            <w:vAlign w:val="bottom"/>
            <w:hideMark/>
          </w:tcPr>
          <w:p w14:paraId="559B6F07" w14:textId="77777777" w:rsidR="006E7F0A" w:rsidRDefault="006E7F0A">
            <w:pPr>
              <w:jc w:val="right"/>
              <w:rPr>
                <w:color w:val="000000"/>
                <w:sz w:val="20"/>
                <w:szCs w:val="20"/>
              </w:rPr>
            </w:pPr>
            <w:r>
              <w:rPr>
                <w:color w:val="000000"/>
                <w:sz w:val="20"/>
                <w:szCs w:val="20"/>
              </w:rPr>
              <w:t>0.176</w:t>
            </w:r>
          </w:p>
        </w:tc>
        <w:tc>
          <w:tcPr>
            <w:tcW w:w="864" w:type="dxa"/>
            <w:tcBorders>
              <w:top w:val="nil"/>
              <w:left w:val="nil"/>
              <w:bottom w:val="nil"/>
              <w:right w:val="nil"/>
            </w:tcBorders>
            <w:shd w:val="clear" w:color="auto" w:fill="auto"/>
            <w:noWrap/>
            <w:vAlign w:val="bottom"/>
            <w:hideMark/>
          </w:tcPr>
          <w:p w14:paraId="46FF521C" w14:textId="77777777" w:rsidR="006E7F0A" w:rsidRDefault="006E7F0A">
            <w:pPr>
              <w:jc w:val="right"/>
              <w:rPr>
                <w:color w:val="000000"/>
                <w:sz w:val="20"/>
                <w:szCs w:val="20"/>
              </w:rPr>
            </w:pPr>
            <w:r>
              <w:rPr>
                <w:color w:val="000000"/>
                <w:sz w:val="20"/>
                <w:szCs w:val="20"/>
              </w:rPr>
              <w:t>0.005</w:t>
            </w:r>
          </w:p>
        </w:tc>
      </w:tr>
      <w:tr w:rsidR="006E7F0A" w14:paraId="672A960E" w14:textId="77777777" w:rsidTr="006E7F0A">
        <w:trPr>
          <w:trHeight w:val="320"/>
        </w:trPr>
        <w:tc>
          <w:tcPr>
            <w:tcW w:w="1152" w:type="dxa"/>
            <w:tcBorders>
              <w:top w:val="nil"/>
              <w:left w:val="nil"/>
              <w:bottom w:val="nil"/>
              <w:right w:val="nil"/>
            </w:tcBorders>
            <w:shd w:val="clear" w:color="auto" w:fill="auto"/>
            <w:noWrap/>
            <w:vAlign w:val="bottom"/>
            <w:hideMark/>
          </w:tcPr>
          <w:p w14:paraId="627874BC"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2234D6D" w14:textId="77777777" w:rsidR="006E7F0A" w:rsidRDefault="006E7F0A">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F5E3579" w14:textId="77777777" w:rsidR="006E7F0A" w:rsidRDefault="006E7F0A">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3C364BDB" w14:textId="77777777" w:rsidR="006E7F0A" w:rsidRDefault="006E7F0A">
            <w:pPr>
              <w:jc w:val="right"/>
              <w:rPr>
                <w:color w:val="000000"/>
                <w:sz w:val="20"/>
                <w:szCs w:val="20"/>
              </w:rPr>
            </w:pPr>
            <w:r>
              <w:rPr>
                <w:color w:val="000000"/>
                <w:sz w:val="20"/>
                <w:szCs w:val="20"/>
              </w:rPr>
              <w:t>0.757</w:t>
            </w:r>
          </w:p>
        </w:tc>
        <w:tc>
          <w:tcPr>
            <w:tcW w:w="864" w:type="dxa"/>
            <w:tcBorders>
              <w:top w:val="nil"/>
              <w:left w:val="nil"/>
              <w:bottom w:val="nil"/>
              <w:right w:val="nil"/>
            </w:tcBorders>
            <w:shd w:val="clear" w:color="auto" w:fill="auto"/>
            <w:noWrap/>
            <w:vAlign w:val="bottom"/>
            <w:hideMark/>
          </w:tcPr>
          <w:p w14:paraId="0A08F5CA"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4CA0912" w14:textId="77777777" w:rsidR="006E7F0A" w:rsidRDefault="006E7F0A">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25CAC458" w14:textId="77777777" w:rsidR="006E7F0A" w:rsidRDefault="006E7F0A">
            <w:pPr>
              <w:jc w:val="right"/>
              <w:rPr>
                <w:color w:val="000000"/>
                <w:sz w:val="20"/>
                <w:szCs w:val="20"/>
              </w:rPr>
            </w:pPr>
            <w:r>
              <w:rPr>
                <w:color w:val="000000"/>
                <w:sz w:val="20"/>
                <w:szCs w:val="20"/>
              </w:rPr>
              <w:t>0.793</w:t>
            </w:r>
          </w:p>
        </w:tc>
        <w:tc>
          <w:tcPr>
            <w:tcW w:w="864" w:type="dxa"/>
            <w:tcBorders>
              <w:top w:val="nil"/>
              <w:left w:val="nil"/>
              <w:bottom w:val="nil"/>
              <w:right w:val="nil"/>
            </w:tcBorders>
            <w:shd w:val="clear" w:color="auto" w:fill="auto"/>
            <w:noWrap/>
            <w:vAlign w:val="bottom"/>
            <w:hideMark/>
          </w:tcPr>
          <w:p w14:paraId="6EDB1E69" w14:textId="77777777" w:rsidR="006E7F0A" w:rsidRDefault="006E7F0A">
            <w:pPr>
              <w:jc w:val="right"/>
              <w:rPr>
                <w:color w:val="000000"/>
                <w:sz w:val="20"/>
                <w:szCs w:val="20"/>
              </w:rPr>
            </w:pPr>
            <w:r>
              <w:rPr>
                <w:color w:val="000000"/>
                <w:sz w:val="20"/>
                <w:szCs w:val="20"/>
              </w:rPr>
              <w:t>0.000</w:t>
            </w:r>
          </w:p>
        </w:tc>
      </w:tr>
      <w:tr w:rsidR="006E7F0A" w14:paraId="0B7559F8" w14:textId="77777777" w:rsidTr="006E7F0A">
        <w:trPr>
          <w:trHeight w:val="320"/>
        </w:trPr>
        <w:tc>
          <w:tcPr>
            <w:tcW w:w="1152" w:type="dxa"/>
            <w:tcBorders>
              <w:top w:val="nil"/>
              <w:left w:val="nil"/>
              <w:bottom w:val="nil"/>
              <w:right w:val="nil"/>
            </w:tcBorders>
            <w:shd w:val="clear" w:color="auto" w:fill="auto"/>
            <w:noWrap/>
            <w:vAlign w:val="bottom"/>
            <w:hideMark/>
          </w:tcPr>
          <w:p w14:paraId="67CB9749"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877C38F" w14:textId="77777777" w:rsidR="006E7F0A" w:rsidRDefault="006E7F0A">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7595F7F9" w14:textId="77777777" w:rsidR="006E7F0A" w:rsidRDefault="006E7F0A">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1557000C" w14:textId="77777777" w:rsidR="006E7F0A" w:rsidRDefault="006E7F0A">
            <w:pPr>
              <w:jc w:val="right"/>
              <w:rPr>
                <w:color w:val="000000"/>
                <w:sz w:val="20"/>
                <w:szCs w:val="20"/>
              </w:rPr>
            </w:pPr>
            <w:r>
              <w:rPr>
                <w:color w:val="000000"/>
                <w:sz w:val="20"/>
                <w:szCs w:val="20"/>
              </w:rPr>
              <w:t>0.512</w:t>
            </w:r>
          </w:p>
        </w:tc>
        <w:tc>
          <w:tcPr>
            <w:tcW w:w="864" w:type="dxa"/>
            <w:tcBorders>
              <w:top w:val="nil"/>
              <w:left w:val="nil"/>
              <w:bottom w:val="nil"/>
              <w:right w:val="nil"/>
            </w:tcBorders>
            <w:shd w:val="clear" w:color="auto" w:fill="auto"/>
            <w:noWrap/>
            <w:vAlign w:val="bottom"/>
            <w:hideMark/>
          </w:tcPr>
          <w:p w14:paraId="45A9981D"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63D5C84" w14:textId="77777777" w:rsidR="006E7F0A" w:rsidRDefault="006E7F0A">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4B12EE79" w14:textId="77777777" w:rsidR="006E7F0A" w:rsidRDefault="006E7F0A">
            <w:pPr>
              <w:jc w:val="right"/>
              <w:rPr>
                <w:color w:val="000000"/>
                <w:sz w:val="20"/>
                <w:szCs w:val="20"/>
              </w:rPr>
            </w:pPr>
            <w:r>
              <w:rPr>
                <w:color w:val="000000"/>
                <w:sz w:val="20"/>
                <w:szCs w:val="20"/>
              </w:rPr>
              <w:t>0.464</w:t>
            </w:r>
          </w:p>
        </w:tc>
        <w:tc>
          <w:tcPr>
            <w:tcW w:w="864" w:type="dxa"/>
            <w:tcBorders>
              <w:top w:val="nil"/>
              <w:left w:val="nil"/>
              <w:bottom w:val="nil"/>
              <w:right w:val="nil"/>
            </w:tcBorders>
            <w:shd w:val="clear" w:color="auto" w:fill="auto"/>
            <w:noWrap/>
            <w:vAlign w:val="bottom"/>
            <w:hideMark/>
          </w:tcPr>
          <w:p w14:paraId="30536C7A" w14:textId="77777777" w:rsidR="006E7F0A" w:rsidRDefault="006E7F0A">
            <w:pPr>
              <w:jc w:val="right"/>
              <w:rPr>
                <w:color w:val="000000"/>
                <w:sz w:val="20"/>
                <w:szCs w:val="20"/>
              </w:rPr>
            </w:pPr>
            <w:r>
              <w:rPr>
                <w:color w:val="000000"/>
                <w:sz w:val="20"/>
                <w:szCs w:val="20"/>
              </w:rPr>
              <w:t>0.001</w:t>
            </w:r>
          </w:p>
        </w:tc>
      </w:tr>
      <w:tr w:rsidR="006E7F0A" w14:paraId="705C8C7A" w14:textId="77777777" w:rsidTr="006E7F0A">
        <w:trPr>
          <w:trHeight w:val="320"/>
        </w:trPr>
        <w:tc>
          <w:tcPr>
            <w:tcW w:w="1152" w:type="dxa"/>
            <w:tcBorders>
              <w:top w:val="nil"/>
              <w:left w:val="nil"/>
              <w:bottom w:val="nil"/>
              <w:right w:val="nil"/>
            </w:tcBorders>
            <w:shd w:val="clear" w:color="auto" w:fill="auto"/>
            <w:noWrap/>
            <w:vAlign w:val="bottom"/>
            <w:hideMark/>
          </w:tcPr>
          <w:p w14:paraId="300923CF"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9AF9630" w14:textId="77777777" w:rsidR="006E7F0A" w:rsidRDefault="006E7F0A">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0218F0D" w14:textId="77777777" w:rsidR="006E7F0A" w:rsidRDefault="006E7F0A">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2799081" w14:textId="77777777" w:rsidR="006E7F0A" w:rsidRDefault="006E7F0A">
            <w:pPr>
              <w:jc w:val="right"/>
              <w:rPr>
                <w:color w:val="000000"/>
                <w:sz w:val="20"/>
                <w:szCs w:val="20"/>
              </w:rPr>
            </w:pPr>
            <w:r>
              <w:rPr>
                <w:color w:val="000000"/>
                <w:sz w:val="20"/>
                <w:szCs w:val="20"/>
              </w:rPr>
              <w:t>0.791</w:t>
            </w:r>
          </w:p>
        </w:tc>
        <w:tc>
          <w:tcPr>
            <w:tcW w:w="864" w:type="dxa"/>
            <w:tcBorders>
              <w:top w:val="nil"/>
              <w:left w:val="nil"/>
              <w:bottom w:val="nil"/>
              <w:right w:val="nil"/>
            </w:tcBorders>
            <w:shd w:val="clear" w:color="auto" w:fill="auto"/>
            <w:noWrap/>
            <w:vAlign w:val="bottom"/>
            <w:hideMark/>
          </w:tcPr>
          <w:p w14:paraId="3CA99A34"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18D81C0" w14:textId="77777777" w:rsidR="006E7F0A" w:rsidRDefault="006E7F0A">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3CB779D1" w14:textId="77777777" w:rsidR="006E7F0A" w:rsidRDefault="006E7F0A">
            <w:pPr>
              <w:jc w:val="right"/>
              <w:rPr>
                <w:color w:val="000000"/>
                <w:sz w:val="20"/>
                <w:szCs w:val="20"/>
              </w:rPr>
            </w:pPr>
            <w:r>
              <w:rPr>
                <w:color w:val="000000"/>
                <w:sz w:val="20"/>
                <w:szCs w:val="20"/>
              </w:rPr>
              <w:t>0.464</w:t>
            </w:r>
          </w:p>
        </w:tc>
        <w:tc>
          <w:tcPr>
            <w:tcW w:w="864" w:type="dxa"/>
            <w:tcBorders>
              <w:top w:val="nil"/>
              <w:left w:val="nil"/>
              <w:bottom w:val="nil"/>
              <w:right w:val="nil"/>
            </w:tcBorders>
            <w:shd w:val="clear" w:color="auto" w:fill="auto"/>
            <w:noWrap/>
            <w:vAlign w:val="bottom"/>
            <w:hideMark/>
          </w:tcPr>
          <w:p w14:paraId="65C9234F" w14:textId="77777777" w:rsidR="006E7F0A" w:rsidRDefault="006E7F0A">
            <w:pPr>
              <w:jc w:val="right"/>
              <w:rPr>
                <w:color w:val="000000"/>
                <w:sz w:val="20"/>
                <w:szCs w:val="20"/>
              </w:rPr>
            </w:pPr>
            <w:r>
              <w:rPr>
                <w:color w:val="000000"/>
                <w:sz w:val="20"/>
                <w:szCs w:val="20"/>
              </w:rPr>
              <w:t>0.001</w:t>
            </w:r>
          </w:p>
        </w:tc>
      </w:tr>
      <w:tr w:rsidR="006E7F0A" w14:paraId="167D465D" w14:textId="77777777" w:rsidTr="006E7F0A">
        <w:trPr>
          <w:trHeight w:val="320"/>
        </w:trPr>
        <w:tc>
          <w:tcPr>
            <w:tcW w:w="1152" w:type="dxa"/>
            <w:tcBorders>
              <w:top w:val="nil"/>
              <w:left w:val="nil"/>
              <w:bottom w:val="nil"/>
              <w:right w:val="nil"/>
            </w:tcBorders>
            <w:shd w:val="clear" w:color="auto" w:fill="auto"/>
            <w:noWrap/>
            <w:vAlign w:val="bottom"/>
            <w:hideMark/>
          </w:tcPr>
          <w:p w14:paraId="29860B0C"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662A666" w14:textId="77777777" w:rsidR="006E7F0A" w:rsidRDefault="006E7F0A">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1966521" w14:textId="77777777" w:rsidR="006E7F0A" w:rsidRDefault="006E7F0A">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61B2872A" w14:textId="77777777" w:rsidR="006E7F0A" w:rsidRDefault="006E7F0A">
            <w:pPr>
              <w:jc w:val="right"/>
              <w:rPr>
                <w:color w:val="000000"/>
                <w:sz w:val="20"/>
                <w:szCs w:val="20"/>
              </w:rPr>
            </w:pPr>
            <w:r>
              <w:rPr>
                <w:color w:val="000000"/>
                <w:sz w:val="20"/>
                <w:szCs w:val="20"/>
              </w:rPr>
              <w:t>0.512</w:t>
            </w:r>
          </w:p>
        </w:tc>
        <w:tc>
          <w:tcPr>
            <w:tcW w:w="864" w:type="dxa"/>
            <w:tcBorders>
              <w:top w:val="nil"/>
              <w:left w:val="nil"/>
              <w:bottom w:val="nil"/>
              <w:right w:val="nil"/>
            </w:tcBorders>
            <w:shd w:val="clear" w:color="auto" w:fill="auto"/>
            <w:noWrap/>
            <w:vAlign w:val="bottom"/>
            <w:hideMark/>
          </w:tcPr>
          <w:p w14:paraId="18F850D8"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942283E" w14:textId="77777777" w:rsidR="006E7F0A" w:rsidRDefault="006E7F0A">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4A0E87B9" w14:textId="77777777" w:rsidR="006E7F0A" w:rsidRDefault="006E7F0A">
            <w:pPr>
              <w:jc w:val="right"/>
              <w:rPr>
                <w:color w:val="000000"/>
                <w:sz w:val="20"/>
                <w:szCs w:val="20"/>
              </w:rPr>
            </w:pPr>
            <w:r>
              <w:rPr>
                <w:color w:val="000000"/>
                <w:sz w:val="20"/>
                <w:szCs w:val="20"/>
              </w:rPr>
              <w:t>0.464</w:t>
            </w:r>
          </w:p>
        </w:tc>
        <w:tc>
          <w:tcPr>
            <w:tcW w:w="864" w:type="dxa"/>
            <w:tcBorders>
              <w:top w:val="nil"/>
              <w:left w:val="nil"/>
              <w:bottom w:val="nil"/>
              <w:right w:val="nil"/>
            </w:tcBorders>
            <w:shd w:val="clear" w:color="auto" w:fill="auto"/>
            <w:noWrap/>
            <w:vAlign w:val="bottom"/>
            <w:hideMark/>
          </w:tcPr>
          <w:p w14:paraId="2A799CB3" w14:textId="77777777" w:rsidR="006E7F0A" w:rsidRDefault="006E7F0A">
            <w:pPr>
              <w:jc w:val="right"/>
              <w:rPr>
                <w:color w:val="000000"/>
                <w:sz w:val="20"/>
                <w:szCs w:val="20"/>
              </w:rPr>
            </w:pPr>
            <w:r>
              <w:rPr>
                <w:color w:val="000000"/>
                <w:sz w:val="20"/>
                <w:szCs w:val="20"/>
              </w:rPr>
              <w:t>0.001</w:t>
            </w:r>
          </w:p>
        </w:tc>
      </w:tr>
      <w:tr w:rsidR="006E7F0A" w14:paraId="630E3FA5" w14:textId="77777777" w:rsidTr="006E7F0A">
        <w:trPr>
          <w:trHeight w:val="320"/>
        </w:trPr>
        <w:tc>
          <w:tcPr>
            <w:tcW w:w="1152" w:type="dxa"/>
            <w:tcBorders>
              <w:top w:val="nil"/>
              <w:left w:val="nil"/>
              <w:bottom w:val="nil"/>
              <w:right w:val="nil"/>
            </w:tcBorders>
            <w:shd w:val="clear" w:color="auto" w:fill="auto"/>
            <w:noWrap/>
            <w:vAlign w:val="bottom"/>
            <w:hideMark/>
          </w:tcPr>
          <w:p w14:paraId="5F010E43"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68D0E2F" w14:textId="77777777" w:rsidR="006E7F0A" w:rsidRDefault="006E7F0A">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C6605DB" w14:textId="77777777" w:rsidR="006E7F0A" w:rsidRDefault="006E7F0A">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60FB61CC" w14:textId="77777777" w:rsidR="006E7F0A" w:rsidRDefault="006E7F0A">
            <w:pPr>
              <w:jc w:val="right"/>
              <w:rPr>
                <w:color w:val="000000"/>
                <w:sz w:val="20"/>
                <w:szCs w:val="20"/>
              </w:rPr>
            </w:pPr>
            <w:r>
              <w:rPr>
                <w:color w:val="000000"/>
                <w:sz w:val="20"/>
                <w:szCs w:val="20"/>
              </w:rPr>
              <w:t>0.512</w:t>
            </w:r>
          </w:p>
        </w:tc>
        <w:tc>
          <w:tcPr>
            <w:tcW w:w="864" w:type="dxa"/>
            <w:tcBorders>
              <w:top w:val="nil"/>
              <w:left w:val="nil"/>
              <w:bottom w:val="nil"/>
              <w:right w:val="nil"/>
            </w:tcBorders>
            <w:shd w:val="clear" w:color="auto" w:fill="auto"/>
            <w:noWrap/>
            <w:vAlign w:val="bottom"/>
            <w:hideMark/>
          </w:tcPr>
          <w:p w14:paraId="26E3B4A4"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895AFC7" w14:textId="77777777" w:rsidR="006E7F0A" w:rsidRDefault="006E7F0A">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7185219C" w14:textId="77777777" w:rsidR="006E7F0A" w:rsidRDefault="006E7F0A">
            <w:pPr>
              <w:jc w:val="right"/>
              <w:rPr>
                <w:color w:val="000000"/>
                <w:sz w:val="20"/>
                <w:szCs w:val="20"/>
              </w:rPr>
            </w:pPr>
            <w:r>
              <w:rPr>
                <w:color w:val="000000"/>
                <w:sz w:val="20"/>
                <w:szCs w:val="20"/>
              </w:rPr>
              <w:t>0.464</w:t>
            </w:r>
          </w:p>
        </w:tc>
        <w:tc>
          <w:tcPr>
            <w:tcW w:w="864" w:type="dxa"/>
            <w:tcBorders>
              <w:top w:val="nil"/>
              <w:left w:val="nil"/>
              <w:bottom w:val="nil"/>
              <w:right w:val="nil"/>
            </w:tcBorders>
            <w:shd w:val="clear" w:color="auto" w:fill="auto"/>
            <w:noWrap/>
            <w:vAlign w:val="bottom"/>
            <w:hideMark/>
          </w:tcPr>
          <w:p w14:paraId="1B673FFB" w14:textId="77777777" w:rsidR="006E7F0A" w:rsidRDefault="006E7F0A">
            <w:pPr>
              <w:jc w:val="right"/>
              <w:rPr>
                <w:color w:val="000000"/>
                <w:sz w:val="20"/>
                <w:szCs w:val="20"/>
              </w:rPr>
            </w:pPr>
            <w:r>
              <w:rPr>
                <w:color w:val="000000"/>
                <w:sz w:val="20"/>
                <w:szCs w:val="20"/>
              </w:rPr>
              <w:t>0.001</w:t>
            </w:r>
          </w:p>
        </w:tc>
      </w:tr>
      <w:tr w:rsidR="006E7F0A" w14:paraId="0609D9D6" w14:textId="77777777" w:rsidTr="006E7F0A">
        <w:trPr>
          <w:trHeight w:val="320"/>
        </w:trPr>
        <w:tc>
          <w:tcPr>
            <w:tcW w:w="1152" w:type="dxa"/>
            <w:tcBorders>
              <w:top w:val="nil"/>
              <w:left w:val="nil"/>
              <w:bottom w:val="single" w:sz="4" w:space="0" w:color="auto"/>
              <w:right w:val="nil"/>
            </w:tcBorders>
            <w:shd w:val="clear" w:color="auto" w:fill="auto"/>
            <w:noWrap/>
            <w:vAlign w:val="bottom"/>
            <w:hideMark/>
          </w:tcPr>
          <w:p w14:paraId="34AC9760" w14:textId="77777777" w:rsidR="006E7F0A" w:rsidRDefault="006E7F0A">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5C381012" w14:textId="77777777" w:rsidR="006E7F0A" w:rsidRDefault="006E7F0A">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DCD6657" w14:textId="77777777" w:rsidR="006E7F0A" w:rsidRDefault="006E7F0A">
            <w:pPr>
              <w:jc w:val="right"/>
              <w:rPr>
                <w:color w:val="000000"/>
                <w:sz w:val="20"/>
                <w:szCs w:val="20"/>
              </w:rPr>
            </w:pPr>
            <w:r>
              <w:rPr>
                <w:color w:val="000000"/>
                <w:sz w:val="20"/>
                <w:szCs w:val="20"/>
              </w:rPr>
              <w:t>0.018</w:t>
            </w:r>
          </w:p>
        </w:tc>
        <w:tc>
          <w:tcPr>
            <w:tcW w:w="864" w:type="dxa"/>
            <w:tcBorders>
              <w:top w:val="nil"/>
              <w:left w:val="nil"/>
              <w:bottom w:val="single" w:sz="4" w:space="0" w:color="auto"/>
              <w:right w:val="nil"/>
            </w:tcBorders>
            <w:shd w:val="clear" w:color="auto" w:fill="auto"/>
            <w:noWrap/>
            <w:vAlign w:val="bottom"/>
            <w:hideMark/>
          </w:tcPr>
          <w:p w14:paraId="7BDC15B5" w14:textId="77777777" w:rsidR="006E7F0A" w:rsidRDefault="006E7F0A">
            <w:pPr>
              <w:jc w:val="right"/>
              <w:rPr>
                <w:color w:val="000000"/>
                <w:sz w:val="20"/>
                <w:szCs w:val="20"/>
              </w:rPr>
            </w:pPr>
            <w:r>
              <w:rPr>
                <w:color w:val="000000"/>
                <w:sz w:val="20"/>
                <w:szCs w:val="20"/>
              </w:rPr>
              <w:t>0.739</w:t>
            </w:r>
          </w:p>
        </w:tc>
        <w:tc>
          <w:tcPr>
            <w:tcW w:w="864" w:type="dxa"/>
            <w:tcBorders>
              <w:top w:val="nil"/>
              <w:left w:val="nil"/>
              <w:bottom w:val="single" w:sz="4" w:space="0" w:color="auto"/>
              <w:right w:val="nil"/>
            </w:tcBorders>
            <w:shd w:val="clear" w:color="auto" w:fill="auto"/>
            <w:noWrap/>
            <w:vAlign w:val="bottom"/>
            <w:hideMark/>
          </w:tcPr>
          <w:p w14:paraId="4539B591"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1F75C68" w14:textId="77777777" w:rsidR="006E7F0A" w:rsidRDefault="006E7F0A">
            <w:pPr>
              <w:jc w:val="right"/>
              <w:rPr>
                <w:color w:val="000000"/>
                <w:sz w:val="20"/>
                <w:szCs w:val="20"/>
              </w:rPr>
            </w:pPr>
            <w:r>
              <w:rPr>
                <w:color w:val="000000"/>
                <w:sz w:val="20"/>
                <w:szCs w:val="20"/>
              </w:rPr>
              <w:t>0.034</w:t>
            </w:r>
          </w:p>
        </w:tc>
        <w:tc>
          <w:tcPr>
            <w:tcW w:w="864" w:type="dxa"/>
            <w:tcBorders>
              <w:top w:val="nil"/>
              <w:left w:val="nil"/>
              <w:bottom w:val="single" w:sz="4" w:space="0" w:color="auto"/>
              <w:right w:val="nil"/>
            </w:tcBorders>
            <w:shd w:val="clear" w:color="auto" w:fill="auto"/>
            <w:noWrap/>
            <w:vAlign w:val="bottom"/>
            <w:hideMark/>
          </w:tcPr>
          <w:p w14:paraId="19A0EEBB" w14:textId="77777777" w:rsidR="006E7F0A" w:rsidRDefault="006E7F0A">
            <w:pPr>
              <w:jc w:val="right"/>
              <w:rPr>
                <w:color w:val="000000"/>
                <w:sz w:val="20"/>
                <w:szCs w:val="20"/>
              </w:rPr>
            </w:pPr>
            <w:r>
              <w:rPr>
                <w:color w:val="000000"/>
                <w:sz w:val="20"/>
                <w:szCs w:val="20"/>
              </w:rPr>
              <w:t>0.464</w:t>
            </w:r>
          </w:p>
        </w:tc>
        <w:tc>
          <w:tcPr>
            <w:tcW w:w="864" w:type="dxa"/>
            <w:tcBorders>
              <w:top w:val="nil"/>
              <w:left w:val="nil"/>
              <w:bottom w:val="single" w:sz="4" w:space="0" w:color="auto"/>
              <w:right w:val="nil"/>
            </w:tcBorders>
            <w:shd w:val="clear" w:color="auto" w:fill="auto"/>
            <w:noWrap/>
            <w:vAlign w:val="bottom"/>
            <w:hideMark/>
          </w:tcPr>
          <w:p w14:paraId="4DF33374" w14:textId="77777777" w:rsidR="006E7F0A" w:rsidRDefault="006E7F0A">
            <w:pPr>
              <w:jc w:val="right"/>
              <w:rPr>
                <w:color w:val="000000"/>
                <w:sz w:val="20"/>
                <w:szCs w:val="20"/>
              </w:rPr>
            </w:pPr>
            <w:r>
              <w:rPr>
                <w:color w:val="000000"/>
                <w:sz w:val="20"/>
                <w:szCs w:val="20"/>
              </w:rPr>
              <w:t>0.001</w:t>
            </w:r>
          </w:p>
        </w:tc>
      </w:tr>
      <w:tr w:rsidR="006E7F0A" w14:paraId="258F2E3D" w14:textId="77777777" w:rsidTr="006E7F0A">
        <w:trPr>
          <w:trHeight w:val="320"/>
        </w:trPr>
        <w:tc>
          <w:tcPr>
            <w:tcW w:w="1152" w:type="dxa"/>
            <w:tcBorders>
              <w:top w:val="nil"/>
              <w:left w:val="nil"/>
              <w:bottom w:val="nil"/>
              <w:right w:val="nil"/>
            </w:tcBorders>
            <w:shd w:val="clear" w:color="auto" w:fill="auto"/>
            <w:noWrap/>
            <w:vAlign w:val="bottom"/>
            <w:hideMark/>
          </w:tcPr>
          <w:p w14:paraId="42F6A169" w14:textId="77777777" w:rsidR="006E7F0A" w:rsidRDefault="006E7F0A">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0A9B1B9B" w14:textId="77777777" w:rsidR="006E7F0A" w:rsidRDefault="006E7F0A">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B7EB058" w14:textId="77777777" w:rsidR="006E7F0A" w:rsidRDefault="006E7F0A">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46401229" w14:textId="77777777" w:rsidR="006E7F0A" w:rsidRDefault="006E7F0A">
            <w:pPr>
              <w:jc w:val="right"/>
              <w:rPr>
                <w:color w:val="000000"/>
                <w:sz w:val="20"/>
                <w:szCs w:val="20"/>
              </w:rPr>
            </w:pPr>
            <w:r>
              <w:rPr>
                <w:color w:val="000000"/>
                <w:sz w:val="20"/>
                <w:szCs w:val="20"/>
              </w:rPr>
              <w:t>0.096</w:t>
            </w:r>
          </w:p>
        </w:tc>
        <w:tc>
          <w:tcPr>
            <w:tcW w:w="864" w:type="dxa"/>
            <w:tcBorders>
              <w:top w:val="nil"/>
              <w:left w:val="nil"/>
              <w:bottom w:val="nil"/>
              <w:right w:val="nil"/>
            </w:tcBorders>
            <w:shd w:val="clear" w:color="auto" w:fill="auto"/>
            <w:noWrap/>
            <w:vAlign w:val="bottom"/>
            <w:hideMark/>
          </w:tcPr>
          <w:p w14:paraId="230581D8" w14:textId="77777777" w:rsidR="006E7F0A" w:rsidRDefault="006E7F0A">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552F1DE" w14:textId="77777777" w:rsidR="006E7F0A" w:rsidRDefault="006E7F0A">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7A15A68A" w14:textId="77777777" w:rsidR="006E7F0A" w:rsidRDefault="006E7F0A">
            <w:pPr>
              <w:jc w:val="right"/>
              <w:rPr>
                <w:color w:val="000000"/>
                <w:sz w:val="20"/>
                <w:szCs w:val="20"/>
              </w:rPr>
            </w:pPr>
            <w:r>
              <w:rPr>
                <w:color w:val="000000"/>
                <w:sz w:val="20"/>
                <w:szCs w:val="20"/>
              </w:rPr>
              <w:t>0.413</w:t>
            </w:r>
          </w:p>
        </w:tc>
        <w:tc>
          <w:tcPr>
            <w:tcW w:w="864" w:type="dxa"/>
            <w:tcBorders>
              <w:top w:val="nil"/>
              <w:left w:val="nil"/>
              <w:bottom w:val="nil"/>
              <w:right w:val="nil"/>
            </w:tcBorders>
            <w:shd w:val="clear" w:color="auto" w:fill="auto"/>
            <w:noWrap/>
            <w:vAlign w:val="bottom"/>
            <w:hideMark/>
          </w:tcPr>
          <w:p w14:paraId="2BA2F49E" w14:textId="77777777" w:rsidR="006E7F0A" w:rsidRDefault="006E7F0A">
            <w:pPr>
              <w:jc w:val="right"/>
              <w:rPr>
                <w:color w:val="000000"/>
                <w:sz w:val="20"/>
                <w:szCs w:val="20"/>
              </w:rPr>
            </w:pPr>
            <w:r>
              <w:rPr>
                <w:color w:val="000000"/>
                <w:sz w:val="20"/>
                <w:szCs w:val="20"/>
              </w:rPr>
              <w:t>0.002</w:t>
            </w:r>
          </w:p>
        </w:tc>
      </w:tr>
      <w:tr w:rsidR="006E7F0A" w14:paraId="4F38D173" w14:textId="77777777" w:rsidTr="006E7F0A">
        <w:trPr>
          <w:trHeight w:val="320"/>
        </w:trPr>
        <w:tc>
          <w:tcPr>
            <w:tcW w:w="1152" w:type="dxa"/>
            <w:tcBorders>
              <w:top w:val="nil"/>
              <w:left w:val="nil"/>
              <w:bottom w:val="nil"/>
              <w:right w:val="nil"/>
            </w:tcBorders>
            <w:shd w:val="clear" w:color="auto" w:fill="auto"/>
            <w:noWrap/>
            <w:vAlign w:val="bottom"/>
            <w:hideMark/>
          </w:tcPr>
          <w:p w14:paraId="00ED8FAA"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4AD1465" w14:textId="77777777" w:rsidR="006E7F0A" w:rsidRDefault="006E7F0A">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EF443E7" w14:textId="77777777" w:rsidR="006E7F0A" w:rsidRDefault="006E7F0A">
            <w:pPr>
              <w:jc w:val="right"/>
              <w:rPr>
                <w:b/>
                <w:bCs/>
                <w:color w:val="000000"/>
                <w:sz w:val="20"/>
                <w:szCs w:val="20"/>
              </w:rPr>
            </w:pPr>
            <w:r>
              <w:rPr>
                <w:b/>
                <w:bCs/>
                <w:color w:val="000000"/>
                <w:sz w:val="20"/>
                <w:szCs w:val="20"/>
              </w:rPr>
              <w:t>-0.092</w:t>
            </w:r>
          </w:p>
        </w:tc>
        <w:tc>
          <w:tcPr>
            <w:tcW w:w="864" w:type="dxa"/>
            <w:tcBorders>
              <w:top w:val="nil"/>
              <w:left w:val="nil"/>
              <w:bottom w:val="nil"/>
              <w:right w:val="nil"/>
            </w:tcBorders>
            <w:shd w:val="clear" w:color="auto" w:fill="auto"/>
            <w:noWrap/>
            <w:vAlign w:val="bottom"/>
            <w:hideMark/>
          </w:tcPr>
          <w:p w14:paraId="2BDDD8C3" w14:textId="77777777" w:rsidR="006E7F0A" w:rsidRDefault="006E7F0A">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78D178FE" w14:textId="77777777" w:rsidR="006E7F0A" w:rsidRDefault="006E7F0A">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171BA568" w14:textId="77777777" w:rsidR="006E7F0A" w:rsidRDefault="006E7F0A">
            <w:pPr>
              <w:jc w:val="right"/>
              <w:rPr>
                <w:color w:val="000000"/>
                <w:sz w:val="20"/>
                <w:szCs w:val="20"/>
              </w:rPr>
            </w:pPr>
            <w:r>
              <w:rPr>
                <w:color w:val="000000"/>
                <w:sz w:val="20"/>
                <w:szCs w:val="20"/>
              </w:rPr>
              <w:t>0.073</w:t>
            </w:r>
          </w:p>
        </w:tc>
        <w:tc>
          <w:tcPr>
            <w:tcW w:w="864" w:type="dxa"/>
            <w:tcBorders>
              <w:top w:val="nil"/>
              <w:left w:val="nil"/>
              <w:bottom w:val="nil"/>
              <w:right w:val="nil"/>
            </w:tcBorders>
            <w:shd w:val="clear" w:color="auto" w:fill="auto"/>
            <w:noWrap/>
            <w:vAlign w:val="bottom"/>
            <w:hideMark/>
          </w:tcPr>
          <w:p w14:paraId="1AA54772" w14:textId="77777777" w:rsidR="006E7F0A" w:rsidRDefault="006E7F0A">
            <w:pPr>
              <w:jc w:val="right"/>
              <w:rPr>
                <w:color w:val="000000"/>
                <w:sz w:val="20"/>
                <w:szCs w:val="20"/>
              </w:rPr>
            </w:pPr>
            <w:r>
              <w:rPr>
                <w:color w:val="000000"/>
                <w:sz w:val="20"/>
                <w:szCs w:val="20"/>
              </w:rPr>
              <w:t>0.176</w:t>
            </w:r>
          </w:p>
        </w:tc>
        <w:tc>
          <w:tcPr>
            <w:tcW w:w="864" w:type="dxa"/>
            <w:tcBorders>
              <w:top w:val="nil"/>
              <w:left w:val="nil"/>
              <w:bottom w:val="nil"/>
              <w:right w:val="nil"/>
            </w:tcBorders>
            <w:shd w:val="clear" w:color="auto" w:fill="auto"/>
            <w:noWrap/>
            <w:vAlign w:val="bottom"/>
            <w:hideMark/>
          </w:tcPr>
          <w:p w14:paraId="51B2B0E3" w14:textId="77777777" w:rsidR="006E7F0A" w:rsidRDefault="006E7F0A">
            <w:pPr>
              <w:jc w:val="right"/>
              <w:rPr>
                <w:color w:val="000000"/>
                <w:sz w:val="20"/>
                <w:szCs w:val="20"/>
              </w:rPr>
            </w:pPr>
            <w:r>
              <w:rPr>
                <w:color w:val="000000"/>
                <w:sz w:val="20"/>
                <w:szCs w:val="20"/>
              </w:rPr>
              <w:t>0.005</w:t>
            </w:r>
          </w:p>
        </w:tc>
      </w:tr>
      <w:tr w:rsidR="006E7F0A" w14:paraId="687F13A8" w14:textId="77777777" w:rsidTr="006E7F0A">
        <w:trPr>
          <w:trHeight w:val="320"/>
        </w:trPr>
        <w:tc>
          <w:tcPr>
            <w:tcW w:w="1152" w:type="dxa"/>
            <w:tcBorders>
              <w:top w:val="nil"/>
              <w:left w:val="nil"/>
              <w:bottom w:val="nil"/>
              <w:right w:val="nil"/>
            </w:tcBorders>
            <w:shd w:val="clear" w:color="auto" w:fill="auto"/>
            <w:noWrap/>
            <w:vAlign w:val="bottom"/>
            <w:hideMark/>
          </w:tcPr>
          <w:p w14:paraId="51C81293"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37D7D87" w14:textId="77777777" w:rsidR="006E7F0A" w:rsidRDefault="006E7F0A">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0455BA5" w14:textId="77777777" w:rsidR="006E7F0A" w:rsidRDefault="006E7F0A">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7FD973DF" w14:textId="77777777" w:rsidR="006E7F0A" w:rsidRDefault="006E7F0A">
            <w:pPr>
              <w:jc w:val="right"/>
              <w:rPr>
                <w:color w:val="000000"/>
                <w:sz w:val="20"/>
                <w:szCs w:val="20"/>
              </w:rPr>
            </w:pPr>
            <w:r>
              <w:rPr>
                <w:color w:val="000000"/>
                <w:sz w:val="20"/>
                <w:szCs w:val="20"/>
              </w:rPr>
              <w:t>0.537</w:t>
            </w:r>
          </w:p>
        </w:tc>
        <w:tc>
          <w:tcPr>
            <w:tcW w:w="864" w:type="dxa"/>
            <w:tcBorders>
              <w:top w:val="nil"/>
              <w:left w:val="nil"/>
              <w:bottom w:val="nil"/>
              <w:right w:val="nil"/>
            </w:tcBorders>
            <w:shd w:val="clear" w:color="auto" w:fill="auto"/>
            <w:noWrap/>
            <w:vAlign w:val="bottom"/>
            <w:hideMark/>
          </w:tcPr>
          <w:p w14:paraId="543F3549"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7EC22BD" w14:textId="77777777" w:rsidR="006E7F0A" w:rsidRDefault="006E7F0A">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58FD71BE" w14:textId="77777777" w:rsidR="006E7F0A" w:rsidRDefault="006E7F0A">
            <w:pPr>
              <w:jc w:val="right"/>
              <w:rPr>
                <w:color w:val="000000"/>
                <w:sz w:val="20"/>
                <w:szCs w:val="20"/>
              </w:rPr>
            </w:pPr>
            <w:r>
              <w:rPr>
                <w:color w:val="000000"/>
                <w:sz w:val="20"/>
                <w:szCs w:val="20"/>
              </w:rPr>
              <w:t>0.595</w:t>
            </w:r>
          </w:p>
        </w:tc>
        <w:tc>
          <w:tcPr>
            <w:tcW w:w="864" w:type="dxa"/>
            <w:tcBorders>
              <w:top w:val="nil"/>
              <w:left w:val="nil"/>
              <w:bottom w:val="nil"/>
              <w:right w:val="nil"/>
            </w:tcBorders>
            <w:shd w:val="clear" w:color="auto" w:fill="auto"/>
            <w:noWrap/>
            <w:vAlign w:val="bottom"/>
            <w:hideMark/>
          </w:tcPr>
          <w:p w14:paraId="0E017200" w14:textId="77777777" w:rsidR="006E7F0A" w:rsidRDefault="006E7F0A">
            <w:pPr>
              <w:jc w:val="right"/>
              <w:rPr>
                <w:color w:val="000000"/>
                <w:sz w:val="20"/>
                <w:szCs w:val="20"/>
              </w:rPr>
            </w:pPr>
            <w:r>
              <w:rPr>
                <w:color w:val="000000"/>
                <w:sz w:val="20"/>
                <w:szCs w:val="20"/>
              </w:rPr>
              <w:t>0.000</w:t>
            </w:r>
          </w:p>
        </w:tc>
      </w:tr>
      <w:tr w:rsidR="006E7F0A" w14:paraId="4EDE43CA" w14:textId="77777777" w:rsidTr="006E7F0A">
        <w:trPr>
          <w:trHeight w:val="320"/>
        </w:trPr>
        <w:tc>
          <w:tcPr>
            <w:tcW w:w="1152" w:type="dxa"/>
            <w:tcBorders>
              <w:top w:val="nil"/>
              <w:left w:val="nil"/>
              <w:bottom w:val="nil"/>
              <w:right w:val="nil"/>
            </w:tcBorders>
            <w:shd w:val="clear" w:color="auto" w:fill="auto"/>
            <w:noWrap/>
            <w:vAlign w:val="bottom"/>
            <w:hideMark/>
          </w:tcPr>
          <w:p w14:paraId="6E2213EE"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C6393FD" w14:textId="77777777" w:rsidR="006E7F0A" w:rsidRDefault="006E7F0A">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3311493" w14:textId="77777777" w:rsidR="006E7F0A" w:rsidRDefault="006E7F0A">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0CEEFFB5" w14:textId="77777777" w:rsidR="006E7F0A" w:rsidRDefault="006E7F0A">
            <w:pPr>
              <w:jc w:val="right"/>
              <w:rPr>
                <w:color w:val="000000"/>
                <w:sz w:val="20"/>
                <w:szCs w:val="20"/>
              </w:rPr>
            </w:pPr>
            <w:r>
              <w:rPr>
                <w:color w:val="000000"/>
                <w:sz w:val="20"/>
                <w:szCs w:val="20"/>
              </w:rPr>
              <w:t>0.420</w:t>
            </w:r>
          </w:p>
        </w:tc>
        <w:tc>
          <w:tcPr>
            <w:tcW w:w="864" w:type="dxa"/>
            <w:tcBorders>
              <w:top w:val="nil"/>
              <w:left w:val="nil"/>
              <w:bottom w:val="nil"/>
              <w:right w:val="nil"/>
            </w:tcBorders>
            <w:shd w:val="clear" w:color="auto" w:fill="auto"/>
            <w:noWrap/>
            <w:vAlign w:val="bottom"/>
            <w:hideMark/>
          </w:tcPr>
          <w:p w14:paraId="47D46DFD"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B8C6C53" w14:textId="77777777" w:rsidR="006E7F0A" w:rsidRDefault="006E7F0A">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15248C83" w14:textId="77777777" w:rsidR="006E7F0A" w:rsidRDefault="006E7F0A">
            <w:pPr>
              <w:jc w:val="right"/>
              <w:rPr>
                <w:color w:val="000000"/>
                <w:sz w:val="20"/>
                <w:szCs w:val="20"/>
              </w:rPr>
            </w:pPr>
            <w:r>
              <w:rPr>
                <w:color w:val="000000"/>
                <w:sz w:val="20"/>
                <w:szCs w:val="20"/>
              </w:rPr>
              <w:t>0.595</w:t>
            </w:r>
          </w:p>
        </w:tc>
        <w:tc>
          <w:tcPr>
            <w:tcW w:w="864" w:type="dxa"/>
            <w:tcBorders>
              <w:top w:val="nil"/>
              <w:left w:val="nil"/>
              <w:bottom w:val="nil"/>
              <w:right w:val="nil"/>
            </w:tcBorders>
            <w:shd w:val="clear" w:color="auto" w:fill="auto"/>
            <w:noWrap/>
            <w:vAlign w:val="bottom"/>
            <w:hideMark/>
          </w:tcPr>
          <w:p w14:paraId="362F47B2" w14:textId="77777777" w:rsidR="006E7F0A" w:rsidRDefault="006E7F0A">
            <w:pPr>
              <w:jc w:val="right"/>
              <w:rPr>
                <w:color w:val="000000"/>
                <w:sz w:val="20"/>
                <w:szCs w:val="20"/>
              </w:rPr>
            </w:pPr>
            <w:r>
              <w:rPr>
                <w:color w:val="000000"/>
                <w:sz w:val="20"/>
                <w:szCs w:val="20"/>
              </w:rPr>
              <w:t>0.000</w:t>
            </w:r>
          </w:p>
        </w:tc>
      </w:tr>
      <w:tr w:rsidR="006E7F0A" w14:paraId="693C8DA9" w14:textId="77777777" w:rsidTr="006E7F0A">
        <w:trPr>
          <w:trHeight w:val="320"/>
        </w:trPr>
        <w:tc>
          <w:tcPr>
            <w:tcW w:w="1152" w:type="dxa"/>
            <w:tcBorders>
              <w:top w:val="nil"/>
              <w:left w:val="nil"/>
              <w:bottom w:val="nil"/>
              <w:right w:val="nil"/>
            </w:tcBorders>
            <w:shd w:val="clear" w:color="auto" w:fill="auto"/>
            <w:noWrap/>
            <w:vAlign w:val="bottom"/>
            <w:hideMark/>
          </w:tcPr>
          <w:p w14:paraId="3FDB8B34"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478162A" w14:textId="77777777" w:rsidR="006E7F0A" w:rsidRDefault="006E7F0A">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DF74603" w14:textId="77777777" w:rsidR="006E7F0A" w:rsidRDefault="006E7F0A">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4245CB7D" w14:textId="77777777" w:rsidR="006E7F0A" w:rsidRDefault="006E7F0A">
            <w:pPr>
              <w:jc w:val="right"/>
              <w:rPr>
                <w:color w:val="000000"/>
                <w:sz w:val="20"/>
                <w:szCs w:val="20"/>
              </w:rPr>
            </w:pPr>
            <w:r>
              <w:rPr>
                <w:color w:val="000000"/>
                <w:sz w:val="20"/>
                <w:szCs w:val="20"/>
              </w:rPr>
              <w:t>0.646</w:t>
            </w:r>
          </w:p>
        </w:tc>
        <w:tc>
          <w:tcPr>
            <w:tcW w:w="864" w:type="dxa"/>
            <w:tcBorders>
              <w:top w:val="nil"/>
              <w:left w:val="nil"/>
              <w:bottom w:val="nil"/>
              <w:right w:val="nil"/>
            </w:tcBorders>
            <w:shd w:val="clear" w:color="auto" w:fill="auto"/>
            <w:noWrap/>
            <w:vAlign w:val="bottom"/>
            <w:hideMark/>
          </w:tcPr>
          <w:p w14:paraId="0A9C518E"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9F17194" w14:textId="77777777" w:rsidR="006E7F0A" w:rsidRDefault="006E7F0A">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2E9F0F10" w14:textId="77777777" w:rsidR="006E7F0A" w:rsidRDefault="006E7F0A">
            <w:pPr>
              <w:jc w:val="right"/>
              <w:rPr>
                <w:color w:val="000000"/>
                <w:sz w:val="20"/>
                <w:szCs w:val="20"/>
              </w:rPr>
            </w:pPr>
            <w:r>
              <w:rPr>
                <w:color w:val="000000"/>
                <w:sz w:val="20"/>
                <w:szCs w:val="20"/>
              </w:rPr>
              <w:t>0.413</w:t>
            </w:r>
          </w:p>
        </w:tc>
        <w:tc>
          <w:tcPr>
            <w:tcW w:w="864" w:type="dxa"/>
            <w:tcBorders>
              <w:top w:val="nil"/>
              <w:left w:val="nil"/>
              <w:bottom w:val="nil"/>
              <w:right w:val="nil"/>
            </w:tcBorders>
            <w:shd w:val="clear" w:color="auto" w:fill="auto"/>
            <w:noWrap/>
            <w:vAlign w:val="bottom"/>
            <w:hideMark/>
          </w:tcPr>
          <w:p w14:paraId="2711998D" w14:textId="77777777" w:rsidR="006E7F0A" w:rsidRDefault="006E7F0A">
            <w:pPr>
              <w:jc w:val="right"/>
              <w:rPr>
                <w:color w:val="000000"/>
                <w:sz w:val="20"/>
                <w:szCs w:val="20"/>
              </w:rPr>
            </w:pPr>
            <w:r>
              <w:rPr>
                <w:color w:val="000000"/>
                <w:sz w:val="20"/>
                <w:szCs w:val="20"/>
              </w:rPr>
              <w:t>0.002</w:t>
            </w:r>
          </w:p>
        </w:tc>
      </w:tr>
      <w:tr w:rsidR="006E7F0A" w14:paraId="57709D46" w14:textId="77777777" w:rsidTr="006E7F0A">
        <w:trPr>
          <w:trHeight w:val="320"/>
        </w:trPr>
        <w:tc>
          <w:tcPr>
            <w:tcW w:w="1152" w:type="dxa"/>
            <w:tcBorders>
              <w:top w:val="nil"/>
              <w:left w:val="nil"/>
              <w:bottom w:val="nil"/>
              <w:right w:val="nil"/>
            </w:tcBorders>
            <w:shd w:val="clear" w:color="auto" w:fill="auto"/>
            <w:noWrap/>
            <w:vAlign w:val="bottom"/>
            <w:hideMark/>
          </w:tcPr>
          <w:p w14:paraId="53138B9F"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FE03CF0" w14:textId="77777777" w:rsidR="006E7F0A" w:rsidRDefault="006E7F0A">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88E856D" w14:textId="77777777" w:rsidR="006E7F0A" w:rsidRDefault="006E7F0A">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1EA16FF4" w14:textId="77777777" w:rsidR="006E7F0A" w:rsidRDefault="006E7F0A">
            <w:pPr>
              <w:jc w:val="right"/>
              <w:rPr>
                <w:color w:val="000000"/>
                <w:sz w:val="20"/>
                <w:szCs w:val="20"/>
              </w:rPr>
            </w:pPr>
            <w:r>
              <w:rPr>
                <w:color w:val="000000"/>
                <w:sz w:val="20"/>
                <w:szCs w:val="20"/>
              </w:rPr>
              <w:t>0.467</w:t>
            </w:r>
          </w:p>
        </w:tc>
        <w:tc>
          <w:tcPr>
            <w:tcW w:w="864" w:type="dxa"/>
            <w:tcBorders>
              <w:top w:val="nil"/>
              <w:left w:val="nil"/>
              <w:bottom w:val="nil"/>
              <w:right w:val="nil"/>
            </w:tcBorders>
            <w:shd w:val="clear" w:color="auto" w:fill="auto"/>
            <w:noWrap/>
            <w:vAlign w:val="bottom"/>
            <w:hideMark/>
          </w:tcPr>
          <w:p w14:paraId="3250B6D0" w14:textId="77777777" w:rsidR="006E7F0A" w:rsidRDefault="006E7F0A">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D8214DD" w14:textId="77777777" w:rsidR="006E7F0A" w:rsidRDefault="006E7F0A">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6267512D" w14:textId="77777777" w:rsidR="006E7F0A" w:rsidRDefault="006E7F0A">
            <w:pPr>
              <w:jc w:val="right"/>
              <w:rPr>
                <w:color w:val="000000"/>
                <w:sz w:val="20"/>
                <w:szCs w:val="20"/>
              </w:rPr>
            </w:pPr>
            <w:r>
              <w:rPr>
                <w:color w:val="000000"/>
                <w:sz w:val="20"/>
                <w:szCs w:val="20"/>
              </w:rPr>
              <w:t>0.531</w:t>
            </w:r>
          </w:p>
        </w:tc>
        <w:tc>
          <w:tcPr>
            <w:tcW w:w="864" w:type="dxa"/>
            <w:tcBorders>
              <w:top w:val="nil"/>
              <w:left w:val="nil"/>
              <w:bottom w:val="nil"/>
              <w:right w:val="nil"/>
            </w:tcBorders>
            <w:shd w:val="clear" w:color="auto" w:fill="auto"/>
            <w:noWrap/>
            <w:vAlign w:val="bottom"/>
            <w:hideMark/>
          </w:tcPr>
          <w:p w14:paraId="30A224F5" w14:textId="77777777" w:rsidR="006E7F0A" w:rsidRDefault="006E7F0A">
            <w:pPr>
              <w:jc w:val="right"/>
              <w:rPr>
                <w:color w:val="000000"/>
                <w:sz w:val="20"/>
                <w:szCs w:val="20"/>
              </w:rPr>
            </w:pPr>
            <w:r>
              <w:rPr>
                <w:color w:val="000000"/>
                <w:sz w:val="20"/>
                <w:szCs w:val="20"/>
              </w:rPr>
              <w:t>0.001</w:t>
            </w:r>
          </w:p>
        </w:tc>
      </w:tr>
      <w:tr w:rsidR="006E7F0A" w14:paraId="6EDBB654" w14:textId="77777777" w:rsidTr="006E7F0A">
        <w:trPr>
          <w:trHeight w:val="320"/>
        </w:trPr>
        <w:tc>
          <w:tcPr>
            <w:tcW w:w="1152" w:type="dxa"/>
            <w:tcBorders>
              <w:top w:val="nil"/>
              <w:left w:val="nil"/>
              <w:bottom w:val="nil"/>
              <w:right w:val="nil"/>
            </w:tcBorders>
            <w:shd w:val="clear" w:color="auto" w:fill="auto"/>
            <w:noWrap/>
            <w:vAlign w:val="bottom"/>
            <w:hideMark/>
          </w:tcPr>
          <w:p w14:paraId="164E7135" w14:textId="77777777" w:rsidR="006E7F0A" w:rsidRDefault="006E7F0A">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A59AB82" w14:textId="77777777" w:rsidR="006E7F0A" w:rsidRDefault="006E7F0A">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D158F57" w14:textId="77777777" w:rsidR="006E7F0A" w:rsidRDefault="006E7F0A">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7F28D2C5" w14:textId="77777777" w:rsidR="006E7F0A" w:rsidRDefault="006E7F0A">
            <w:pPr>
              <w:jc w:val="right"/>
              <w:rPr>
                <w:color w:val="000000"/>
                <w:sz w:val="20"/>
                <w:szCs w:val="20"/>
              </w:rPr>
            </w:pPr>
            <w:r>
              <w:rPr>
                <w:color w:val="000000"/>
                <w:sz w:val="20"/>
                <w:szCs w:val="20"/>
              </w:rPr>
              <w:t>0.253</w:t>
            </w:r>
          </w:p>
        </w:tc>
        <w:tc>
          <w:tcPr>
            <w:tcW w:w="864" w:type="dxa"/>
            <w:tcBorders>
              <w:top w:val="nil"/>
              <w:left w:val="nil"/>
              <w:bottom w:val="nil"/>
              <w:right w:val="nil"/>
            </w:tcBorders>
            <w:shd w:val="clear" w:color="auto" w:fill="auto"/>
            <w:noWrap/>
            <w:vAlign w:val="bottom"/>
            <w:hideMark/>
          </w:tcPr>
          <w:p w14:paraId="5C2ACB6C" w14:textId="77777777" w:rsidR="006E7F0A" w:rsidRDefault="006E7F0A">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70CAD1D0" w14:textId="77777777" w:rsidR="006E7F0A" w:rsidRDefault="006E7F0A">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2FE001C3" w14:textId="77777777" w:rsidR="006E7F0A" w:rsidRDefault="006E7F0A">
            <w:pPr>
              <w:jc w:val="right"/>
              <w:rPr>
                <w:color w:val="000000"/>
                <w:sz w:val="20"/>
                <w:szCs w:val="20"/>
              </w:rPr>
            </w:pPr>
            <w:r>
              <w:rPr>
                <w:color w:val="000000"/>
                <w:sz w:val="20"/>
                <w:szCs w:val="20"/>
              </w:rPr>
              <w:t>0.531</w:t>
            </w:r>
          </w:p>
        </w:tc>
        <w:tc>
          <w:tcPr>
            <w:tcW w:w="864" w:type="dxa"/>
            <w:tcBorders>
              <w:top w:val="nil"/>
              <w:left w:val="nil"/>
              <w:bottom w:val="nil"/>
              <w:right w:val="nil"/>
            </w:tcBorders>
            <w:shd w:val="clear" w:color="auto" w:fill="auto"/>
            <w:noWrap/>
            <w:vAlign w:val="bottom"/>
            <w:hideMark/>
          </w:tcPr>
          <w:p w14:paraId="3FB07094" w14:textId="77777777" w:rsidR="006E7F0A" w:rsidRDefault="006E7F0A">
            <w:pPr>
              <w:jc w:val="right"/>
              <w:rPr>
                <w:color w:val="000000"/>
                <w:sz w:val="20"/>
                <w:szCs w:val="20"/>
              </w:rPr>
            </w:pPr>
            <w:r>
              <w:rPr>
                <w:color w:val="000000"/>
                <w:sz w:val="20"/>
                <w:szCs w:val="20"/>
              </w:rPr>
              <w:t>0.001</w:t>
            </w:r>
          </w:p>
        </w:tc>
      </w:tr>
      <w:tr w:rsidR="006E7F0A" w14:paraId="43DFDC5B"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DEEA92D" w14:textId="77777777" w:rsidR="006E7F0A" w:rsidRDefault="006E7F0A">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47DD1C82" w14:textId="77777777" w:rsidR="006E7F0A" w:rsidRDefault="006E7F0A">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089B7621" w14:textId="77777777" w:rsidR="006E7F0A" w:rsidRDefault="006E7F0A">
            <w:pPr>
              <w:jc w:val="right"/>
              <w:rPr>
                <w:color w:val="000000"/>
                <w:sz w:val="20"/>
                <w:szCs w:val="20"/>
              </w:rPr>
            </w:pPr>
            <w:r>
              <w:rPr>
                <w:color w:val="000000"/>
                <w:sz w:val="20"/>
                <w:szCs w:val="20"/>
              </w:rPr>
              <w:t>-0.004</w:t>
            </w:r>
          </w:p>
        </w:tc>
        <w:tc>
          <w:tcPr>
            <w:tcW w:w="864" w:type="dxa"/>
            <w:tcBorders>
              <w:top w:val="nil"/>
              <w:left w:val="nil"/>
              <w:bottom w:val="single" w:sz="12" w:space="0" w:color="auto"/>
              <w:right w:val="nil"/>
            </w:tcBorders>
            <w:shd w:val="clear" w:color="auto" w:fill="auto"/>
            <w:noWrap/>
            <w:vAlign w:val="bottom"/>
            <w:hideMark/>
          </w:tcPr>
          <w:p w14:paraId="4F0F8DBB" w14:textId="77777777" w:rsidR="006E7F0A" w:rsidRDefault="006E7F0A">
            <w:pPr>
              <w:jc w:val="right"/>
              <w:rPr>
                <w:color w:val="000000"/>
                <w:sz w:val="20"/>
                <w:szCs w:val="20"/>
              </w:rPr>
            </w:pPr>
            <w:r>
              <w:rPr>
                <w:color w:val="000000"/>
                <w:sz w:val="20"/>
                <w:szCs w:val="20"/>
              </w:rPr>
              <w:t>0.894</w:t>
            </w:r>
          </w:p>
        </w:tc>
        <w:tc>
          <w:tcPr>
            <w:tcW w:w="864" w:type="dxa"/>
            <w:tcBorders>
              <w:top w:val="nil"/>
              <w:left w:val="nil"/>
              <w:bottom w:val="single" w:sz="12" w:space="0" w:color="auto"/>
              <w:right w:val="nil"/>
            </w:tcBorders>
            <w:shd w:val="clear" w:color="auto" w:fill="auto"/>
            <w:noWrap/>
            <w:vAlign w:val="bottom"/>
            <w:hideMark/>
          </w:tcPr>
          <w:p w14:paraId="22BD0C30" w14:textId="77777777" w:rsidR="006E7F0A" w:rsidRDefault="006E7F0A">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49894B54" w14:textId="77777777" w:rsidR="006E7F0A" w:rsidRDefault="006E7F0A">
            <w:pPr>
              <w:jc w:val="right"/>
              <w:rPr>
                <w:color w:val="000000"/>
                <w:sz w:val="20"/>
                <w:szCs w:val="20"/>
              </w:rPr>
            </w:pPr>
            <w:r>
              <w:rPr>
                <w:color w:val="000000"/>
                <w:sz w:val="20"/>
                <w:szCs w:val="20"/>
              </w:rPr>
              <w:t>0.031</w:t>
            </w:r>
          </w:p>
        </w:tc>
        <w:tc>
          <w:tcPr>
            <w:tcW w:w="864" w:type="dxa"/>
            <w:tcBorders>
              <w:top w:val="nil"/>
              <w:left w:val="nil"/>
              <w:bottom w:val="single" w:sz="12" w:space="0" w:color="auto"/>
              <w:right w:val="nil"/>
            </w:tcBorders>
            <w:shd w:val="clear" w:color="auto" w:fill="auto"/>
            <w:noWrap/>
            <w:vAlign w:val="bottom"/>
            <w:hideMark/>
          </w:tcPr>
          <w:p w14:paraId="331BB0B4" w14:textId="77777777" w:rsidR="006E7F0A" w:rsidRDefault="006E7F0A">
            <w:pPr>
              <w:jc w:val="right"/>
              <w:rPr>
                <w:color w:val="000000"/>
                <w:sz w:val="20"/>
                <w:szCs w:val="20"/>
              </w:rPr>
            </w:pPr>
            <w:r>
              <w:rPr>
                <w:color w:val="000000"/>
                <w:sz w:val="20"/>
                <w:szCs w:val="20"/>
              </w:rPr>
              <w:t>0.531</w:t>
            </w:r>
          </w:p>
        </w:tc>
        <w:tc>
          <w:tcPr>
            <w:tcW w:w="864" w:type="dxa"/>
            <w:tcBorders>
              <w:top w:val="nil"/>
              <w:left w:val="nil"/>
              <w:bottom w:val="single" w:sz="12" w:space="0" w:color="auto"/>
              <w:right w:val="nil"/>
            </w:tcBorders>
            <w:shd w:val="clear" w:color="auto" w:fill="auto"/>
            <w:noWrap/>
            <w:vAlign w:val="bottom"/>
            <w:hideMark/>
          </w:tcPr>
          <w:p w14:paraId="4856C567" w14:textId="77777777" w:rsidR="006E7F0A" w:rsidRDefault="006E7F0A">
            <w:pPr>
              <w:jc w:val="right"/>
              <w:rPr>
                <w:color w:val="000000"/>
                <w:sz w:val="20"/>
                <w:szCs w:val="20"/>
              </w:rPr>
            </w:pPr>
            <w:r>
              <w:rPr>
                <w:color w:val="000000"/>
                <w:sz w:val="20"/>
                <w:szCs w:val="20"/>
              </w:rPr>
              <w:t>0.001</w:t>
            </w:r>
          </w:p>
        </w:tc>
      </w:tr>
      <w:tr w:rsidR="006E7F0A" w14:paraId="6AC484A5"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7E156406" w14:textId="77777777" w:rsidR="006E7F0A" w:rsidRDefault="006E7F0A">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15AB39A3" w14:textId="77777777" w:rsidR="006E7F0A" w:rsidRDefault="006E7F0A">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4CED4A4" w14:textId="77777777" w:rsidR="006E7F0A" w:rsidRDefault="006E7F0A">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DC07AC8" w14:textId="77777777" w:rsidR="006E7F0A" w:rsidRDefault="006E7F0A">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C333761" w14:textId="77777777" w:rsidR="006E7F0A" w:rsidRDefault="006E7F0A">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3E04D4C" w14:textId="77777777" w:rsidR="006E7F0A" w:rsidRDefault="006E7F0A">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F0213E7" w14:textId="77777777" w:rsidR="006E7F0A" w:rsidRDefault="006E7F0A">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DC28712" w14:textId="77777777" w:rsidR="006E7F0A" w:rsidRDefault="006E7F0A">
            <w:pPr>
              <w:rPr>
                <w:sz w:val="20"/>
                <w:szCs w:val="20"/>
              </w:rPr>
            </w:pPr>
          </w:p>
        </w:tc>
      </w:tr>
    </w:tbl>
    <w:p w14:paraId="0BE3C859" w14:textId="3E795B48" w:rsidR="001F52C7" w:rsidRDefault="001F52C7" w:rsidP="00BC5AB7">
      <w:pPr>
        <w:rPr>
          <w:rFonts w:ascii="Batang" w:eastAsia="Batang" w:hAnsi="Batang" w:cs="Batang"/>
          <w:color w:val="000000"/>
        </w:rPr>
      </w:pPr>
    </w:p>
    <w:p w14:paraId="301393F1" w14:textId="09A3C82F" w:rsidR="00B751D3" w:rsidRPr="00474DA8" w:rsidRDefault="001F52C7" w:rsidP="00B751D3">
      <w:pPr>
        <w:pStyle w:val="Heading1"/>
        <w:rPr>
          <w:rFonts w:ascii="Times New Roman" w:hAnsi="Times New Roman" w:cs="Times New Roman"/>
          <w:color w:val="000000" w:themeColor="text1"/>
          <w:sz w:val="24"/>
          <w:szCs w:val="24"/>
        </w:rPr>
      </w:pPr>
      <w:r>
        <w:rPr>
          <w:rFonts w:ascii="Batang" w:eastAsia="Batang" w:hAnsi="Batang" w:cs="Batang"/>
          <w:color w:val="000000"/>
        </w:rPr>
        <w:br w:type="page"/>
      </w:r>
      <w:bookmarkStart w:id="78" w:name="_Toc155817745"/>
      <w:r w:rsidR="00B751D3" w:rsidRPr="00B751D3">
        <w:rPr>
          <w:rFonts w:ascii="Times New Roman" w:hAnsi="Times New Roman" w:cs="Times New Roman"/>
          <w:b/>
          <w:bCs/>
          <w:color w:val="000000" w:themeColor="text1"/>
          <w:sz w:val="24"/>
          <w:szCs w:val="24"/>
        </w:rPr>
        <w:lastRenderedPageBreak/>
        <w:t xml:space="preserve">Table 27o. </w:t>
      </w:r>
      <w:r w:rsidR="00B751D3">
        <w:rPr>
          <w:rFonts w:ascii="Times New Roman" w:hAnsi="Times New Roman" w:cs="Times New Roman"/>
          <w:color w:val="000000" w:themeColor="text1"/>
          <w:sz w:val="24"/>
          <w:szCs w:val="24"/>
        </w:rPr>
        <w:t>Results examining the relationship between Shen-268 network small world omega and neighborhood SES deprivation obtained from bifactor modeling and neighborhood median income during stop signal task</w:t>
      </w:r>
      <w:bookmarkEnd w:id="78"/>
    </w:p>
    <w:tbl>
      <w:tblPr>
        <w:tblW w:w="8496" w:type="dxa"/>
        <w:tblLook w:val="04A0" w:firstRow="1" w:lastRow="0" w:firstColumn="1" w:lastColumn="0" w:noHBand="0" w:noVBand="1"/>
      </w:tblPr>
      <w:tblGrid>
        <w:gridCol w:w="1152"/>
        <w:gridCol w:w="2160"/>
        <w:gridCol w:w="864"/>
        <w:gridCol w:w="864"/>
        <w:gridCol w:w="864"/>
        <w:gridCol w:w="864"/>
        <w:gridCol w:w="792"/>
        <w:gridCol w:w="72"/>
        <w:gridCol w:w="864"/>
      </w:tblGrid>
      <w:tr w:rsidR="00B751D3" w14:paraId="75C6E907"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7A1F6235" w14:textId="77777777" w:rsidR="00B751D3" w:rsidRDefault="00B751D3" w:rsidP="005A3B4D">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21078D68" w14:textId="77777777" w:rsidR="00B751D3" w:rsidRDefault="00B751D3" w:rsidP="005A3B4D">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39C895E4" w14:textId="77777777" w:rsidR="00B751D3" w:rsidRDefault="00B751D3" w:rsidP="005A3B4D">
            <w:pPr>
              <w:rPr>
                <w:color w:val="000000"/>
              </w:rPr>
            </w:pPr>
          </w:p>
        </w:tc>
        <w:tc>
          <w:tcPr>
            <w:tcW w:w="864" w:type="dxa"/>
            <w:tcBorders>
              <w:top w:val="nil"/>
              <w:left w:val="nil"/>
              <w:bottom w:val="single" w:sz="12" w:space="0" w:color="auto"/>
              <w:right w:val="nil"/>
            </w:tcBorders>
            <w:shd w:val="clear" w:color="auto" w:fill="auto"/>
            <w:noWrap/>
            <w:vAlign w:val="bottom"/>
            <w:hideMark/>
          </w:tcPr>
          <w:p w14:paraId="5F2B0DC3" w14:textId="77777777" w:rsidR="00B751D3" w:rsidRDefault="00B751D3"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1BBEC0D" w14:textId="77777777" w:rsidR="00B751D3" w:rsidRDefault="00B751D3"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15B6C03" w14:textId="77777777" w:rsidR="00B751D3" w:rsidRDefault="00B751D3" w:rsidP="005A3B4D">
            <w:pPr>
              <w:rPr>
                <w:sz w:val="20"/>
                <w:szCs w:val="20"/>
              </w:rPr>
            </w:pPr>
          </w:p>
        </w:tc>
        <w:tc>
          <w:tcPr>
            <w:tcW w:w="792" w:type="dxa"/>
            <w:tcBorders>
              <w:top w:val="nil"/>
              <w:left w:val="nil"/>
              <w:bottom w:val="single" w:sz="12" w:space="0" w:color="auto"/>
              <w:right w:val="nil"/>
            </w:tcBorders>
            <w:shd w:val="clear" w:color="auto" w:fill="auto"/>
            <w:noWrap/>
            <w:vAlign w:val="bottom"/>
            <w:hideMark/>
          </w:tcPr>
          <w:p w14:paraId="5B4B9F42" w14:textId="77777777" w:rsidR="00B751D3" w:rsidRDefault="00B751D3" w:rsidP="005A3B4D">
            <w:pPr>
              <w:rPr>
                <w:sz w:val="20"/>
                <w:szCs w:val="20"/>
              </w:rPr>
            </w:pPr>
          </w:p>
        </w:tc>
        <w:tc>
          <w:tcPr>
            <w:tcW w:w="936" w:type="dxa"/>
            <w:gridSpan w:val="2"/>
            <w:tcBorders>
              <w:top w:val="nil"/>
              <w:left w:val="nil"/>
              <w:bottom w:val="single" w:sz="12" w:space="0" w:color="auto"/>
              <w:right w:val="nil"/>
            </w:tcBorders>
            <w:shd w:val="clear" w:color="auto" w:fill="auto"/>
            <w:noWrap/>
            <w:vAlign w:val="bottom"/>
            <w:hideMark/>
          </w:tcPr>
          <w:p w14:paraId="7F297DAA" w14:textId="77777777" w:rsidR="00B751D3" w:rsidRDefault="00B751D3" w:rsidP="005A3B4D">
            <w:pPr>
              <w:rPr>
                <w:sz w:val="20"/>
                <w:szCs w:val="20"/>
              </w:rPr>
            </w:pPr>
          </w:p>
        </w:tc>
      </w:tr>
      <w:tr w:rsidR="00B751D3" w14:paraId="084AA044" w14:textId="77777777" w:rsidTr="005A3B4D">
        <w:trPr>
          <w:trHeight w:val="340"/>
        </w:trPr>
        <w:tc>
          <w:tcPr>
            <w:tcW w:w="1152" w:type="dxa"/>
            <w:tcBorders>
              <w:top w:val="single" w:sz="12" w:space="0" w:color="auto"/>
              <w:left w:val="nil"/>
              <w:bottom w:val="nil"/>
              <w:right w:val="nil"/>
            </w:tcBorders>
            <w:shd w:val="clear" w:color="auto" w:fill="auto"/>
            <w:noWrap/>
            <w:vAlign w:val="bottom"/>
            <w:hideMark/>
          </w:tcPr>
          <w:p w14:paraId="6AE69E90" w14:textId="77777777" w:rsidR="00B751D3" w:rsidRDefault="00B751D3" w:rsidP="005A3B4D">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2C5DDF3E" w14:textId="77777777" w:rsidR="00B751D3" w:rsidRDefault="00B751D3" w:rsidP="005A3B4D">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284A1AC7" w14:textId="77777777" w:rsidR="00B751D3" w:rsidRDefault="00B751D3" w:rsidP="005A3B4D">
            <w:pPr>
              <w:jc w:val="center"/>
              <w:rPr>
                <w:color w:val="000000"/>
                <w:sz w:val="20"/>
                <w:szCs w:val="20"/>
              </w:rPr>
            </w:pPr>
            <w:r>
              <w:rPr>
                <w:color w:val="000000"/>
                <w:sz w:val="20"/>
                <w:szCs w:val="20"/>
              </w:rPr>
              <w:t>Neighborhood SES Deprivation</w:t>
            </w:r>
          </w:p>
        </w:tc>
        <w:tc>
          <w:tcPr>
            <w:tcW w:w="2592" w:type="dxa"/>
            <w:gridSpan w:val="4"/>
            <w:tcBorders>
              <w:top w:val="single" w:sz="12" w:space="0" w:color="auto"/>
              <w:left w:val="nil"/>
              <w:bottom w:val="single" w:sz="12" w:space="0" w:color="auto"/>
              <w:right w:val="nil"/>
            </w:tcBorders>
            <w:shd w:val="clear" w:color="auto" w:fill="auto"/>
            <w:noWrap/>
            <w:vAlign w:val="center"/>
            <w:hideMark/>
          </w:tcPr>
          <w:p w14:paraId="3DF2022F" w14:textId="77777777" w:rsidR="00B751D3" w:rsidRDefault="00B751D3" w:rsidP="005A3B4D">
            <w:pPr>
              <w:jc w:val="center"/>
              <w:rPr>
                <w:color w:val="000000"/>
                <w:sz w:val="20"/>
                <w:szCs w:val="20"/>
              </w:rPr>
            </w:pPr>
            <w:r>
              <w:rPr>
                <w:color w:val="000000"/>
                <w:sz w:val="20"/>
                <w:szCs w:val="20"/>
              </w:rPr>
              <w:t>Neighborhood Median Income</w:t>
            </w:r>
          </w:p>
        </w:tc>
      </w:tr>
      <w:tr w:rsidR="00B751D3" w14:paraId="328C14DC" w14:textId="77777777" w:rsidTr="005A3B4D">
        <w:trPr>
          <w:trHeight w:val="360"/>
        </w:trPr>
        <w:tc>
          <w:tcPr>
            <w:tcW w:w="1152" w:type="dxa"/>
            <w:tcBorders>
              <w:top w:val="nil"/>
              <w:left w:val="nil"/>
              <w:bottom w:val="single" w:sz="12" w:space="0" w:color="auto"/>
              <w:right w:val="nil"/>
            </w:tcBorders>
            <w:shd w:val="clear" w:color="auto" w:fill="auto"/>
            <w:noWrap/>
            <w:vAlign w:val="bottom"/>
            <w:hideMark/>
          </w:tcPr>
          <w:p w14:paraId="31F3065A" w14:textId="77777777" w:rsidR="00B751D3" w:rsidRDefault="00B751D3" w:rsidP="005A3B4D">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534786A2" w14:textId="77777777" w:rsidR="00B751D3" w:rsidRDefault="00B751D3" w:rsidP="005A3B4D">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7A04C9D1" w14:textId="77777777" w:rsidR="00B751D3" w:rsidRDefault="00B751D3"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24BF5661" w14:textId="77777777" w:rsidR="00B751D3" w:rsidRDefault="00B751D3"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5B61A007" w14:textId="77777777" w:rsidR="00B751D3" w:rsidRDefault="00B751D3" w:rsidP="005A3B4D">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4B450FBF" w14:textId="77777777" w:rsidR="00B751D3" w:rsidRDefault="00B751D3" w:rsidP="005A3B4D">
            <w:pPr>
              <w:jc w:val="center"/>
              <w:rPr>
                <w:i/>
                <w:iCs/>
                <w:color w:val="000000"/>
                <w:sz w:val="20"/>
                <w:szCs w:val="20"/>
              </w:rPr>
            </w:pPr>
            <w:r>
              <w:rPr>
                <w:i/>
                <w:iCs/>
                <w:color w:val="000000"/>
                <w:sz w:val="20"/>
                <w:szCs w:val="20"/>
              </w:rPr>
              <w:t>β</w:t>
            </w:r>
          </w:p>
        </w:tc>
        <w:tc>
          <w:tcPr>
            <w:tcW w:w="864" w:type="dxa"/>
            <w:gridSpan w:val="2"/>
            <w:tcBorders>
              <w:top w:val="single" w:sz="12" w:space="0" w:color="auto"/>
              <w:left w:val="nil"/>
              <w:bottom w:val="single" w:sz="12" w:space="0" w:color="auto"/>
              <w:right w:val="nil"/>
            </w:tcBorders>
            <w:shd w:val="clear" w:color="auto" w:fill="auto"/>
            <w:noWrap/>
            <w:vAlign w:val="center"/>
            <w:hideMark/>
          </w:tcPr>
          <w:p w14:paraId="3379FF1C" w14:textId="77777777" w:rsidR="00B751D3" w:rsidRDefault="00B751D3"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6A3C9E26" w14:textId="77777777" w:rsidR="00B751D3" w:rsidRDefault="00B751D3" w:rsidP="005A3B4D">
            <w:pPr>
              <w:jc w:val="center"/>
              <w:rPr>
                <w:i/>
                <w:iCs/>
                <w:color w:val="000000"/>
                <w:sz w:val="20"/>
                <w:szCs w:val="20"/>
              </w:rPr>
            </w:pPr>
            <w:r>
              <w:rPr>
                <w:i/>
                <w:iCs/>
                <w:color w:val="000000"/>
                <w:sz w:val="20"/>
                <w:szCs w:val="20"/>
              </w:rPr>
              <w:t>R2</w:t>
            </w:r>
          </w:p>
        </w:tc>
      </w:tr>
      <w:tr w:rsidR="00B751D3" w14:paraId="12941B94"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43091BD5" w14:textId="77777777" w:rsidR="00B751D3" w:rsidRDefault="00B751D3" w:rsidP="005A3B4D">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4F7D8109" w14:textId="77777777" w:rsidR="00B751D3" w:rsidRDefault="00B751D3" w:rsidP="005A3B4D">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1CCC1B20" w14:textId="77777777" w:rsidR="00B751D3" w:rsidRDefault="00B751D3" w:rsidP="005A3B4D">
            <w:pPr>
              <w:jc w:val="right"/>
              <w:rPr>
                <w:color w:val="000000"/>
                <w:sz w:val="20"/>
                <w:szCs w:val="20"/>
              </w:rPr>
            </w:pPr>
            <w:r>
              <w:rPr>
                <w:color w:val="000000"/>
                <w:sz w:val="20"/>
                <w:szCs w:val="20"/>
              </w:rPr>
              <w:t>-0.065</w:t>
            </w:r>
          </w:p>
        </w:tc>
        <w:tc>
          <w:tcPr>
            <w:tcW w:w="864" w:type="dxa"/>
            <w:tcBorders>
              <w:top w:val="single" w:sz="12" w:space="0" w:color="auto"/>
              <w:left w:val="nil"/>
              <w:bottom w:val="nil"/>
              <w:right w:val="nil"/>
            </w:tcBorders>
            <w:shd w:val="clear" w:color="auto" w:fill="auto"/>
            <w:noWrap/>
            <w:vAlign w:val="bottom"/>
            <w:hideMark/>
          </w:tcPr>
          <w:p w14:paraId="5D3960D5" w14:textId="77777777" w:rsidR="00B751D3" w:rsidRDefault="00B751D3" w:rsidP="005A3B4D">
            <w:pPr>
              <w:jc w:val="right"/>
              <w:rPr>
                <w:color w:val="000000"/>
                <w:sz w:val="20"/>
                <w:szCs w:val="20"/>
              </w:rPr>
            </w:pPr>
            <w:r>
              <w:rPr>
                <w:color w:val="000000"/>
                <w:sz w:val="20"/>
                <w:szCs w:val="20"/>
              </w:rPr>
              <w:t>0.432</w:t>
            </w:r>
          </w:p>
        </w:tc>
        <w:tc>
          <w:tcPr>
            <w:tcW w:w="864" w:type="dxa"/>
            <w:tcBorders>
              <w:top w:val="single" w:sz="12" w:space="0" w:color="auto"/>
              <w:left w:val="nil"/>
              <w:bottom w:val="nil"/>
              <w:right w:val="nil"/>
            </w:tcBorders>
            <w:shd w:val="clear" w:color="auto" w:fill="auto"/>
            <w:noWrap/>
            <w:vAlign w:val="bottom"/>
            <w:hideMark/>
          </w:tcPr>
          <w:p w14:paraId="7D44ACC8" w14:textId="77777777" w:rsidR="00B751D3" w:rsidRDefault="00B751D3" w:rsidP="005A3B4D">
            <w:pPr>
              <w:jc w:val="right"/>
              <w:rPr>
                <w:color w:val="000000"/>
                <w:sz w:val="20"/>
                <w:szCs w:val="20"/>
              </w:rPr>
            </w:pPr>
            <w:r>
              <w:rPr>
                <w:color w:val="000000"/>
                <w:sz w:val="20"/>
                <w:szCs w:val="20"/>
              </w:rPr>
              <w:t>0.004</w:t>
            </w:r>
          </w:p>
        </w:tc>
        <w:tc>
          <w:tcPr>
            <w:tcW w:w="864" w:type="dxa"/>
            <w:tcBorders>
              <w:top w:val="single" w:sz="12" w:space="0" w:color="auto"/>
              <w:left w:val="nil"/>
              <w:bottom w:val="nil"/>
              <w:right w:val="nil"/>
            </w:tcBorders>
            <w:shd w:val="clear" w:color="auto" w:fill="auto"/>
            <w:noWrap/>
            <w:vAlign w:val="bottom"/>
            <w:hideMark/>
          </w:tcPr>
          <w:p w14:paraId="4EA579F4" w14:textId="77777777" w:rsidR="00B751D3" w:rsidRDefault="00B751D3" w:rsidP="005A3B4D">
            <w:pPr>
              <w:jc w:val="right"/>
              <w:rPr>
                <w:color w:val="000000"/>
                <w:sz w:val="20"/>
                <w:szCs w:val="20"/>
              </w:rPr>
            </w:pPr>
            <w:r>
              <w:rPr>
                <w:color w:val="000000"/>
                <w:sz w:val="20"/>
                <w:szCs w:val="20"/>
              </w:rPr>
              <w:t>0.028</w:t>
            </w:r>
          </w:p>
        </w:tc>
        <w:tc>
          <w:tcPr>
            <w:tcW w:w="864" w:type="dxa"/>
            <w:gridSpan w:val="2"/>
            <w:tcBorders>
              <w:top w:val="single" w:sz="12" w:space="0" w:color="auto"/>
              <w:left w:val="nil"/>
              <w:bottom w:val="nil"/>
              <w:right w:val="nil"/>
            </w:tcBorders>
            <w:shd w:val="clear" w:color="auto" w:fill="auto"/>
            <w:noWrap/>
            <w:vAlign w:val="bottom"/>
            <w:hideMark/>
          </w:tcPr>
          <w:p w14:paraId="3D4464E0" w14:textId="77777777" w:rsidR="00B751D3" w:rsidRDefault="00B751D3" w:rsidP="005A3B4D">
            <w:pPr>
              <w:jc w:val="right"/>
              <w:rPr>
                <w:color w:val="000000"/>
                <w:sz w:val="20"/>
                <w:szCs w:val="20"/>
              </w:rPr>
            </w:pPr>
            <w:r>
              <w:rPr>
                <w:color w:val="000000"/>
                <w:sz w:val="20"/>
                <w:szCs w:val="20"/>
              </w:rPr>
              <w:t>0.740</w:t>
            </w:r>
          </w:p>
        </w:tc>
        <w:tc>
          <w:tcPr>
            <w:tcW w:w="864" w:type="dxa"/>
            <w:tcBorders>
              <w:top w:val="single" w:sz="12" w:space="0" w:color="auto"/>
              <w:left w:val="nil"/>
              <w:bottom w:val="nil"/>
              <w:right w:val="nil"/>
            </w:tcBorders>
            <w:shd w:val="clear" w:color="auto" w:fill="auto"/>
            <w:noWrap/>
            <w:vAlign w:val="bottom"/>
            <w:hideMark/>
          </w:tcPr>
          <w:p w14:paraId="03DEBA0C" w14:textId="77777777" w:rsidR="00B751D3" w:rsidRDefault="00B751D3" w:rsidP="005A3B4D">
            <w:pPr>
              <w:jc w:val="right"/>
              <w:rPr>
                <w:color w:val="000000"/>
                <w:sz w:val="20"/>
                <w:szCs w:val="20"/>
              </w:rPr>
            </w:pPr>
            <w:r>
              <w:rPr>
                <w:color w:val="000000"/>
                <w:sz w:val="20"/>
                <w:szCs w:val="20"/>
              </w:rPr>
              <w:t>0.001</w:t>
            </w:r>
          </w:p>
        </w:tc>
      </w:tr>
      <w:tr w:rsidR="00B751D3" w14:paraId="2B51EFF9" w14:textId="77777777" w:rsidTr="005A3B4D">
        <w:trPr>
          <w:trHeight w:val="340"/>
        </w:trPr>
        <w:tc>
          <w:tcPr>
            <w:tcW w:w="1152" w:type="dxa"/>
            <w:tcBorders>
              <w:top w:val="nil"/>
              <w:left w:val="nil"/>
              <w:bottom w:val="nil"/>
              <w:right w:val="nil"/>
            </w:tcBorders>
            <w:shd w:val="clear" w:color="auto" w:fill="auto"/>
            <w:noWrap/>
            <w:vAlign w:val="bottom"/>
            <w:hideMark/>
          </w:tcPr>
          <w:p w14:paraId="56F2BF9A"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9AD51AF" w14:textId="77777777" w:rsidR="00B751D3" w:rsidRDefault="00B751D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9237F24" w14:textId="77777777" w:rsidR="00B751D3" w:rsidRDefault="00B751D3"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71D15660" w14:textId="77777777" w:rsidR="00B751D3" w:rsidRDefault="00B751D3" w:rsidP="005A3B4D">
            <w:pPr>
              <w:jc w:val="right"/>
              <w:rPr>
                <w:color w:val="000000"/>
                <w:sz w:val="20"/>
                <w:szCs w:val="20"/>
              </w:rPr>
            </w:pPr>
            <w:r>
              <w:rPr>
                <w:color w:val="000000"/>
                <w:sz w:val="20"/>
                <w:szCs w:val="20"/>
              </w:rPr>
              <w:t>1.000</w:t>
            </w:r>
          </w:p>
        </w:tc>
        <w:tc>
          <w:tcPr>
            <w:tcW w:w="864" w:type="dxa"/>
            <w:tcBorders>
              <w:top w:val="nil"/>
              <w:left w:val="nil"/>
              <w:bottom w:val="nil"/>
              <w:right w:val="nil"/>
            </w:tcBorders>
            <w:shd w:val="clear" w:color="auto" w:fill="auto"/>
            <w:noWrap/>
            <w:vAlign w:val="bottom"/>
            <w:hideMark/>
          </w:tcPr>
          <w:p w14:paraId="06EB99F7"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77E3A3A" w14:textId="77777777" w:rsidR="00B751D3" w:rsidRDefault="00B751D3" w:rsidP="005A3B4D">
            <w:pPr>
              <w:jc w:val="right"/>
              <w:rPr>
                <w:color w:val="000000"/>
                <w:sz w:val="20"/>
                <w:szCs w:val="20"/>
              </w:rPr>
            </w:pPr>
            <w:r>
              <w:rPr>
                <w:color w:val="000000"/>
                <w:sz w:val="20"/>
                <w:szCs w:val="20"/>
              </w:rPr>
              <w:t>-0.010</w:t>
            </w:r>
          </w:p>
        </w:tc>
        <w:tc>
          <w:tcPr>
            <w:tcW w:w="864" w:type="dxa"/>
            <w:gridSpan w:val="2"/>
            <w:tcBorders>
              <w:top w:val="nil"/>
              <w:left w:val="nil"/>
              <w:bottom w:val="nil"/>
              <w:right w:val="nil"/>
            </w:tcBorders>
            <w:shd w:val="clear" w:color="auto" w:fill="auto"/>
            <w:noWrap/>
            <w:vAlign w:val="bottom"/>
            <w:hideMark/>
          </w:tcPr>
          <w:p w14:paraId="608C7DF6" w14:textId="77777777" w:rsidR="00B751D3" w:rsidRDefault="00B751D3" w:rsidP="005A3B4D">
            <w:pPr>
              <w:jc w:val="right"/>
              <w:rPr>
                <w:color w:val="000000"/>
                <w:sz w:val="20"/>
                <w:szCs w:val="20"/>
              </w:rPr>
            </w:pPr>
            <w:r>
              <w:rPr>
                <w:color w:val="000000"/>
                <w:sz w:val="20"/>
                <w:szCs w:val="20"/>
              </w:rPr>
              <w:t>0.937</w:t>
            </w:r>
          </w:p>
        </w:tc>
        <w:tc>
          <w:tcPr>
            <w:tcW w:w="864" w:type="dxa"/>
            <w:tcBorders>
              <w:top w:val="nil"/>
              <w:left w:val="nil"/>
              <w:bottom w:val="nil"/>
              <w:right w:val="nil"/>
            </w:tcBorders>
            <w:shd w:val="clear" w:color="auto" w:fill="auto"/>
            <w:noWrap/>
            <w:vAlign w:val="bottom"/>
            <w:hideMark/>
          </w:tcPr>
          <w:p w14:paraId="08C93DBB" w14:textId="77777777" w:rsidR="00B751D3" w:rsidRDefault="00B751D3" w:rsidP="005A3B4D">
            <w:pPr>
              <w:jc w:val="right"/>
              <w:rPr>
                <w:color w:val="000000"/>
                <w:sz w:val="20"/>
                <w:szCs w:val="20"/>
              </w:rPr>
            </w:pPr>
            <w:r>
              <w:rPr>
                <w:color w:val="000000"/>
                <w:sz w:val="20"/>
                <w:szCs w:val="20"/>
              </w:rPr>
              <w:t>0.000</w:t>
            </w:r>
          </w:p>
        </w:tc>
      </w:tr>
      <w:tr w:rsidR="00B751D3" w14:paraId="7D50C8AD" w14:textId="77777777" w:rsidTr="005A3B4D">
        <w:trPr>
          <w:trHeight w:val="320"/>
        </w:trPr>
        <w:tc>
          <w:tcPr>
            <w:tcW w:w="1152" w:type="dxa"/>
            <w:tcBorders>
              <w:top w:val="nil"/>
              <w:left w:val="nil"/>
              <w:bottom w:val="nil"/>
              <w:right w:val="nil"/>
            </w:tcBorders>
            <w:shd w:val="clear" w:color="auto" w:fill="auto"/>
            <w:noWrap/>
            <w:vAlign w:val="bottom"/>
            <w:hideMark/>
          </w:tcPr>
          <w:p w14:paraId="016FF06A"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E66B487" w14:textId="77777777" w:rsidR="00B751D3" w:rsidRDefault="00B751D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528645B" w14:textId="77777777" w:rsidR="00B751D3" w:rsidRDefault="00B751D3" w:rsidP="005A3B4D">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99EB6AB" w14:textId="77777777" w:rsidR="00B751D3" w:rsidRDefault="00B751D3" w:rsidP="005A3B4D">
            <w:pPr>
              <w:jc w:val="right"/>
              <w:rPr>
                <w:color w:val="000000"/>
                <w:sz w:val="20"/>
                <w:szCs w:val="20"/>
              </w:rPr>
            </w:pPr>
            <w:r>
              <w:rPr>
                <w:color w:val="000000"/>
                <w:sz w:val="20"/>
                <w:szCs w:val="20"/>
              </w:rPr>
              <w:t>1.000</w:t>
            </w:r>
          </w:p>
        </w:tc>
        <w:tc>
          <w:tcPr>
            <w:tcW w:w="864" w:type="dxa"/>
            <w:tcBorders>
              <w:top w:val="nil"/>
              <w:left w:val="nil"/>
              <w:bottom w:val="nil"/>
              <w:right w:val="nil"/>
            </w:tcBorders>
            <w:shd w:val="clear" w:color="auto" w:fill="auto"/>
            <w:noWrap/>
            <w:vAlign w:val="bottom"/>
            <w:hideMark/>
          </w:tcPr>
          <w:p w14:paraId="58D2C67D"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91599BB" w14:textId="77777777" w:rsidR="00B751D3" w:rsidRDefault="00B751D3" w:rsidP="005A3B4D">
            <w:pPr>
              <w:jc w:val="right"/>
              <w:rPr>
                <w:color w:val="000000"/>
                <w:sz w:val="20"/>
                <w:szCs w:val="20"/>
              </w:rPr>
            </w:pPr>
            <w:r>
              <w:rPr>
                <w:color w:val="000000"/>
                <w:sz w:val="20"/>
                <w:szCs w:val="20"/>
              </w:rPr>
              <w:t>0.000</w:t>
            </w:r>
          </w:p>
        </w:tc>
        <w:tc>
          <w:tcPr>
            <w:tcW w:w="864" w:type="dxa"/>
            <w:gridSpan w:val="2"/>
            <w:tcBorders>
              <w:top w:val="nil"/>
              <w:left w:val="nil"/>
              <w:bottom w:val="nil"/>
              <w:right w:val="nil"/>
            </w:tcBorders>
            <w:shd w:val="clear" w:color="auto" w:fill="auto"/>
            <w:noWrap/>
            <w:vAlign w:val="bottom"/>
            <w:hideMark/>
          </w:tcPr>
          <w:p w14:paraId="3CB75920" w14:textId="77777777" w:rsidR="00B751D3" w:rsidRDefault="00B751D3" w:rsidP="005A3B4D">
            <w:pPr>
              <w:jc w:val="right"/>
              <w:rPr>
                <w:color w:val="000000"/>
                <w:sz w:val="20"/>
                <w:szCs w:val="20"/>
              </w:rPr>
            </w:pPr>
            <w:r>
              <w:rPr>
                <w:color w:val="000000"/>
                <w:sz w:val="20"/>
                <w:szCs w:val="20"/>
              </w:rPr>
              <w:t>0.999</w:t>
            </w:r>
          </w:p>
        </w:tc>
        <w:tc>
          <w:tcPr>
            <w:tcW w:w="864" w:type="dxa"/>
            <w:tcBorders>
              <w:top w:val="nil"/>
              <w:left w:val="nil"/>
              <w:bottom w:val="nil"/>
              <w:right w:val="nil"/>
            </w:tcBorders>
            <w:shd w:val="clear" w:color="auto" w:fill="auto"/>
            <w:noWrap/>
            <w:vAlign w:val="bottom"/>
            <w:hideMark/>
          </w:tcPr>
          <w:p w14:paraId="60E2F152" w14:textId="77777777" w:rsidR="00B751D3" w:rsidRDefault="00B751D3" w:rsidP="005A3B4D">
            <w:pPr>
              <w:jc w:val="right"/>
              <w:rPr>
                <w:color w:val="000000"/>
                <w:sz w:val="20"/>
                <w:szCs w:val="20"/>
              </w:rPr>
            </w:pPr>
            <w:r>
              <w:rPr>
                <w:color w:val="000000"/>
                <w:sz w:val="20"/>
                <w:szCs w:val="20"/>
              </w:rPr>
              <w:t>0.000</w:t>
            </w:r>
          </w:p>
        </w:tc>
      </w:tr>
      <w:tr w:rsidR="00B751D3" w14:paraId="0286C2A3" w14:textId="77777777" w:rsidTr="005A3B4D">
        <w:trPr>
          <w:trHeight w:val="320"/>
        </w:trPr>
        <w:tc>
          <w:tcPr>
            <w:tcW w:w="1152" w:type="dxa"/>
            <w:tcBorders>
              <w:top w:val="nil"/>
              <w:left w:val="nil"/>
              <w:bottom w:val="nil"/>
              <w:right w:val="nil"/>
            </w:tcBorders>
            <w:shd w:val="clear" w:color="auto" w:fill="auto"/>
            <w:noWrap/>
            <w:vAlign w:val="bottom"/>
            <w:hideMark/>
          </w:tcPr>
          <w:p w14:paraId="1F2F98A6"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FFFDF42" w14:textId="77777777" w:rsidR="00B751D3" w:rsidRDefault="00B751D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624E7B5" w14:textId="77777777" w:rsidR="00B751D3" w:rsidRDefault="00B751D3" w:rsidP="005A3B4D">
            <w:pPr>
              <w:jc w:val="right"/>
              <w:rPr>
                <w:color w:val="000000"/>
                <w:sz w:val="20"/>
                <w:szCs w:val="20"/>
              </w:rPr>
            </w:pPr>
            <w:r>
              <w:rPr>
                <w:color w:val="000000"/>
                <w:sz w:val="20"/>
                <w:szCs w:val="20"/>
              </w:rPr>
              <w:t>0.178</w:t>
            </w:r>
          </w:p>
        </w:tc>
        <w:tc>
          <w:tcPr>
            <w:tcW w:w="864" w:type="dxa"/>
            <w:tcBorders>
              <w:top w:val="nil"/>
              <w:left w:val="nil"/>
              <w:bottom w:val="nil"/>
              <w:right w:val="nil"/>
            </w:tcBorders>
            <w:shd w:val="clear" w:color="auto" w:fill="auto"/>
            <w:noWrap/>
            <w:vAlign w:val="bottom"/>
            <w:hideMark/>
          </w:tcPr>
          <w:p w14:paraId="20D9C0A1" w14:textId="77777777" w:rsidR="00B751D3" w:rsidRDefault="00B751D3" w:rsidP="005A3B4D">
            <w:pPr>
              <w:jc w:val="right"/>
              <w:rPr>
                <w:color w:val="000000"/>
                <w:sz w:val="20"/>
                <w:szCs w:val="20"/>
              </w:rPr>
            </w:pPr>
            <w:r>
              <w:rPr>
                <w:color w:val="000000"/>
                <w:sz w:val="20"/>
                <w:szCs w:val="20"/>
              </w:rPr>
              <w:t>0.432</w:t>
            </w:r>
          </w:p>
        </w:tc>
        <w:tc>
          <w:tcPr>
            <w:tcW w:w="864" w:type="dxa"/>
            <w:tcBorders>
              <w:top w:val="nil"/>
              <w:left w:val="nil"/>
              <w:bottom w:val="nil"/>
              <w:right w:val="nil"/>
            </w:tcBorders>
            <w:shd w:val="clear" w:color="auto" w:fill="auto"/>
            <w:noWrap/>
            <w:vAlign w:val="bottom"/>
            <w:hideMark/>
          </w:tcPr>
          <w:p w14:paraId="5CBFAAF7" w14:textId="77777777" w:rsidR="00B751D3" w:rsidRDefault="00B751D3" w:rsidP="005A3B4D">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400EB4B3" w14:textId="77777777" w:rsidR="00B751D3" w:rsidRDefault="00B751D3" w:rsidP="005A3B4D">
            <w:pPr>
              <w:jc w:val="right"/>
              <w:rPr>
                <w:color w:val="000000"/>
                <w:sz w:val="20"/>
                <w:szCs w:val="20"/>
              </w:rPr>
            </w:pPr>
            <w:r>
              <w:rPr>
                <w:color w:val="000000"/>
                <w:sz w:val="20"/>
                <w:szCs w:val="20"/>
              </w:rPr>
              <w:t>-0.161</w:t>
            </w:r>
          </w:p>
        </w:tc>
        <w:tc>
          <w:tcPr>
            <w:tcW w:w="864" w:type="dxa"/>
            <w:gridSpan w:val="2"/>
            <w:tcBorders>
              <w:top w:val="nil"/>
              <w:left w:val="nil"/>
              <w:bottom w:val="nil"/>
              <w:right w:val="nil"/>
            </w:tcBorders>
            <w:shd w:val="clear" w:color="auto" w:fill="auto"/>
            <w:noWrap/>
            <w:vAlign w:val="bottom"/>
            <w:hideMark/>
          </w:tcPr>
          <w:p w14:paraId="0F37113F" w14:textId="77777777" w:rsidR="00B751D3" w:rsidRDefault="00B751D3" w:rsidP="005A3B4D">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4E9D45AC" w14:textId="77777777" w:rsidR="00B751D3" w:rsidRDefault="00B751D3" w:rsidP="005A3B4D">
            <w:pPr>
              <w:jc w:val="right"/>
              <w:rPr>
                <w:color w:val="000000"/>
                <w:sz w:val="20"/>
                <w:szCs w:val="20"/>
              </w:rPr>
            </w:pPr>
            <w:r>
              <w:rPr>
                <w:color w:val="000000"/>
                <w:sz w:val="20"/>
                <w:szCs w:val="20"/>
              </w:rPr>
              <w:t>0.026</w:t>
            </w:r>
          </w:p>
        </w:tc>
      </w:tr>
      <w:tr w:rsidR="00B751D3" w14:paraId="0ED1CC18" w14:textId="77777777" w:rsidTr="005A3B4D">
        <w:trPr>
          <w:trHeight w:val="320"/>
        </w:trPr>
        <w:tc>
          <w:tcPr>
            <w:tcW w:w="1152" w:type="dxa"/>
            <w:tcBorders>
              <w:top w:val="nil"/>
              <w:left w:val="nil"/>
              <w:bottom w:val="nil"/>
              <w:right w:val="nil"/>
            </w:tcBorders>
            <w:shd w:val="clear" w:color="auto" w:fill="auto"/>
            <w:noWrap/>
            <w:vAlign w:val="bottom"/>
            <w:hideMark/>
          </w:tcPr>
          <w:p w14:paraId="06E590F4"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FF69ACA" w14:textId="77777777" w:rsidR="00B751D3" w:rsidRDefault="00B751D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29D000E" w14:textId="77777777" w:rsidR="00B751D3" w:rsidRDefault="00B751D3" w:rsidP="005A3B4D">
            <w:pPr>
              <w:jc w:val="right"/>
              <w:rPr>
                <w:color w:val="000000"/>
                <w:sz w:val="20"/>
                <w:szCs w:val="20"/>
              </w:rPr>
            </w:pPr>
            <w:r>
              <w:rPr>
                <w:color w:val="000000"/>
                <w:sz w:val="20"/>
                <w:szCs w:val="20"/>
              </w:rPr>
              <w:t>0.051</w:t>
            </w:r>
          </w:p>
        </w:tc>
        <w:tc>
          <w:tcPr>
            <w:tcW w:w="864" w:type="dxa"/>
            <w:tcBorders>
              <w:top w:val="nil"/>
              <w:left w:val="nil"/>
              <w:bottom w:val="nil"/>
              <w:right w:val="nil"/>
            </w:tcBorders>
            <w:shd w:val="clear" w:color="auto" w:fill="auto"/>
            <w:noWrap/>
            <w:vAlign w:val="bottom"/>
            <w:hideMark/>
          </w:tcPr>
          <w:p w14:paraId="7C17EB04" w14:textId="77777777" w:rsidR="00B751D3" w:rsidRDefault="00B751D3" w:rsidP="005A3B4D">
            <w:pPr>
              <w:jc w:val="right"/>
              <w:rPr>
                <w:color w:val="000000"/>
                <w:sz w:val="20"/>
                <w:szCs w:val="20"/>
              </w:rPr>
            </w:pPr>
            <w:r>
              <w:rPr>
                <w:color w:val="000000"/>
                <w:sz w:val="20"/>
                <w:szCs w:val="20"/>
              </w:rPr>
              <w:t>0.834</w:t>
            </w:r>
          </w:p>
        </w:tc>
        <w:tc>
          <w:tcPr>
            <w:tcW w:w="864" w:type="dxa"/>
            <w:tcBorders>
              <w:top w:val="nil"/>
              <w:left w:val="nil"/>
              <w:bottom w:val="nil"/>
              <w:right w:val="nil"/>
            </w:tcBorders>
            <w:shd w:val="clear" w:color="auto" w:fill="auto"/>
            <w:noWrap/>
            <w:vAlign w:val="bottom"/>
            <w:hideMark/>
          </w:tcPr>
          <w:p w14:paraId="3C9FFD6A" w14:textId="77777777" w:rsidR="00B751D3" w:rsidRDefault="00B751D3"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0C99E9A" w14:textId="77777777" w:rsidR="00B751D3" w:rsidRDefault="00B751D3" w:rsidP="005A3B4D">
            <w:pPr>
              <w:jc w:val="right"/>
              <w:rPr>
                <w:color w:val="000000"/>
                <w:sz w:val="20"/>
                <w:szCs w:val="20"/>
              </w:rPr>
            </w:pPr>
            <w:r>
              <w:rPr>
                <w:color w:val="000000"/>
                <w:sz w:val="20"/>
                <w:szCs w:val="20"/>
              </w:rPr>
              <w:t>-0.108</w:t>
            </w:r>
          </w:p>
        </w:tc>
        <w:tc>
          <w:tcPr>
            <w:tcW w:w="864" w:type="dxa"/>
            <w:gridSpan w:val="2"/>
            <w:tcBorders>
              <w:top w:val="nil"/>
              <w:left w:val="nil"/>
              <w:bottom w:val="nil"/>
              <w:right w:val="nil"/>
            </w:tcBorders>
            <w:shd w:val="clear" w:color="auto" w:fill="auto"/>
            <w:noWrap/>
            <w:vAlign w:val="bottom"/>
            <w:hideMark/>
          </w:tcPr>
          <w:p w14:paraId="31D664A5" w14:textId="77777777" w:rsidR="00B751D3" w:rsidRDefault="00B751D3" w:rsidP="005A3B4D">
            <w:pPr>
              <w:jc w:val="right"/>
              <w:rPr>
                <w:color w:val="000000"/>
                <w:sz w:val="20"/>
                <w:szCs w:val="20"/>
              </w:rPr>
            </w:pPr>
            <w:r>
              <w:rPr>
                <w:color w:val="000000"/>
                <w:sz w:val="20"/>
                <w:szCs w:val="20"/>
              </w:rPr>
              <w:t>0.188</w:t>
            </w:r>
          </w:p>
        </w:tc>
        <w:tc>
          <w:tcPr>
            <w:tcW w:w="864" w:type="dxa"/>
            <w:tcBorders>
              <w:top w:val="nil"/>
              <w:left w:val="nil"/>
              <w:bottom w:val="nil"/>
              <w:right w:val="nil"/>
            </w:tcBorders>
            <w:shd w:val="clear" w:color="auto" w:fill="auto"/>
            <w:noWrap/>
            <w:vAlign w:val="bottom"/>
            <w:hideMark/>
          </w:tcPr>
          <w:p w14:paraId="08DFDA99" w14:textId="77777777" w:rsidR="00B751D3" w:rsidRDefault="00B751D3" w:rsidP="005A3B4D">
            <w:pPr>
              <w:jc w:val="right"/>
              <w:rPr>
                <w:color w:val="000000"/>
                <w:sz w:val="20"/>
                <w:szCs w:val="20"/>
              </w:rPr>
            </w:pPr>
            <w:r>
              <w:rPr>
                <w:color w:val="000000"/>
                <w:sz w:val="20"/>
                <w:szCs w:val="20"/>
              </w:rPr>
              <w:t>0.012</w:t>
            </w:r>
          </w:p>
        </w:tc>
      </w:tr>
      <w:tr w:rsidR="00B751D3" w14:paraId="2CF1E2BC" w14:textId="77777777" w:rsidTr="005A3B4D">
        <w:trPr>
          <w:trHeight w:val="320"/>
        </w:trPr>
        <w:tc>
          <w:tcPr>
            <w:tcW w:w="1152" w:type="dxa"/>
            <w:tcBorders>
              <w:top w:val="nil"/>
              <w:left w:val="nil"/>
              <w:bottom w:val="nil"/>
              <w:right w:val="nil"/>
            </w:tcBorders>
            <w:shd w:val="clear" w:color="auto" w:fill="auto"/>
            <w:noWrap/>
            <w:vAlign w:val="bottom"/>
            <w:hideMark/>
          </w:tcPr>
          <w:p w14:paraId="218F6427"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501DED3" w14:textId="77777777" w:rsidR="00B751D3" w:rsidRDefault="00B751D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3CDF00A" w14:textId="77777777" w:rsidR="00B751D3" w:rsidRDefault="00B751D3"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0E7E69A1" w14:textId="77777777" w:rsidR="00B751D3" w:rsidRDefault="00B751D3" w:rsidP="005A3B4D">
            <w:pPr>
              <w:jc w:val="right"/>
              <w:rPr>
                <w:color w:val="000000"/>
                <w:sz w:val="20"/>
                <w:szCs w:val="20"/>
              </w:rPr>
            </w:pPr>
            <w:r>
              <w:rPr>
                <w:color w:val="000000"/>
                <w:sz w:val="20"/>
                <w:szCs w:val="20"/>
              </w:rPr>
              <w:t>1.000</w:t>
            </w:r>
          </w:p>
        </w:tc>
        <w:tc>
          <w:tcPr>
            <w:tcW w:w="864" w:type="dxa"/>
            <w:tcBorders>
              <w:top w:val="nil"/>
              <w:left w:val="nil"/>
              <w:bottom w:val="nil"/>
              <w:right w:val="nil"/>
            </w:tcBorders>
            <w:shd w:val="clear" w:color="auto" w:fill="auto"/>
            <w:noWrap/>
            <w:vAlign w:val="bottom"/>
            <w:hideMark/>
          </w:tcPr>
          <w:p w14:paraId="22A70F98"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E0E0658" w14:textId="77777777" w:rsidR="00B751D3" w:rsidRDefault="00B751D3" w:rsidP="005A3B4D">
            <w:pPr>
              <w:jc w:val="right"/>
              <w:rPr>
                <w:color w:val="000000"/>
                <w:sz w:val="20"/>
                <w:szCs w:val="20"/>
              </w:rPr>
            </w:pPr>
            <w:r>
              <w:rPr>
                <w:color w:val="000000"/>
                <w:sz w:val="20"/>
                <w:szCs w:val="20"/>
              </w:rPr>
              <w:t>0.034</w:t>
            </w:r>
          </w:p>
        </w:tc>
        <w:tc>
          <w:tcPr>
            <w:tcW w:w="864" w:type="dxa"/>
            <w:gridSpan w:val="2"/>
            <w:tcBorders>
              <w:top w:val="nil"/>
              <w:left w:val="nil"/>
              <w:bottom w:val="nil"/>
              <w:right w:val="nil"/>
            </w:tcBorders>
            <w:shd w:val="clear" w:color="auto" w:fill="auto"/>
            <w:noWrap/>
            <w:vAlign w:val="bottom"/>
            <w:hideMark/>
          </w:tcPr>
          <w:p w14:paraId="7B164CC9" w14:textId="77777777" w:rsidR="00B751D3" w:rsidRDefault="00B751D3" w:rsidP="005A3B4D">
            <w:pPr>
              <w:jc w:val="right"/>
              <w:rPr>
                <w:color w:val="000000"/>
                <w:sz w:val="20"/>
                <w:szCs w:val="20"/>
              </w:rPr>
            </w:pPr>
            <w:r>
              <w:rPr>
                <w:color w:val="000000"/>
                <w:sz w:val="20"/>
                <w:szCs w:val="20"/>
              </w:rPr>
              <w:t>0.740</w:t>
            </w:r>
          </w:p>
        </w:tc>
        <w:tc>
          <w:tcPr>
            <w:tcW w:w="864" w:type="dxa"/>
            <w:tcBorders>
              <w:top w:val="nil"/>
              <w:left w:val="nil"/>
              <w:bottom w:val="nil"/>
              <w:right w:val="nil"/>
            </w:tcBorders>
            <w:shd w:val="clear" w:color="auto" w:fill="auto"/>
            <w:noWrap/>
            <w:vAlign w:val="bottom"/>
            <w:hideMark/>
          </w:tcPr>
          <w:p w14:paraId="218CADBD" w14:textId="77777777" w:rsidR="00B751D3" w:rsidRDefault="00B751D3" w:rsidP="005A3B4D">
            <w:pPr>
              <w:jc w:val="right"/>
              <w:rPr>
                <w:color w:val="000000"/>
                <w:sz w:val="20"/>
                <w:szCs w:val="20"/>
              </w:rPr>
            </w:pPr>
            <w:r>
              <w:rPr>
                <w:color w:val="000000"/>
                <w:sz w:val="20"/>
                <w:szCs w:val="20"/>
              </w:rPr>
              <w:t>0.001</w:t>
            </w:r>
          </w:p>
        </w:tc>
      </w:tr>
      <w:tr w:rsidR="00B751D3" w14:paraId="31AC67A9" w14:textId="77777777" w:rsidTr="005A3B4D">
        <w:trPr>
          <w:trHeight w:val="320"/>
        </w:trPr>
        <w:tc>
          <w:tcPr>
            <w:tcW w:w="1152" w:type="dxa"/>
            <w:tcBorders>
              <w:top w:val="nil"/>
              <w:left w:val="nil"/>
              <w:bottom w:val="nil"/>
              <w:right w:val="nil"/>
            </w:tcBorders>
            <w:shd w:val="clear" w:color="auto" w:fill="auto"/>
            <w:noWrap/>
            <w:vAlign w:val="bottom"/>
            <w:hideMark/>
          </w:tcPr>
          <w:p w14:paraId="56940D2E"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8CA711C" w14:textId="77777777" w:rsidR="00B751D3" w:rsidRDefault="00B751D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961F904" w14:textId="77777777" w:rsidR="00B751D3" w:rsidRDefault="00B751D3" w:rsidP="005A3B4D">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1E9AF0FC" w14:textId="77777777" w:rsidR="00B751D3" w:rsidRDefault="00B751D3" w:rsidP="005A3B4D">
            <w:pPr>
              <w:jc w:val="right"/>
              <w:rPr>
                <w:color w:val="000000"/>
                <w:sz w:val="20"/>
                <w:szCs w:val="20"/>
              </w:rPr>
            </w:pPr>
            <w:r>
              <w:rPr>
                <w:color w:val="000000"/>
                <w:sz w:val="20"/>
                <w:szCs w:val="20"/>
              </w:rPr>
              <w:t>0.834</w:t>
            </w:r>
          </w:p>
        </w:tc>
        <w:tc>
          <w:tcPr>
            <w:tcW w:w="864" w:type="dxa"/>
            <w:tcBorders>
              <w:top w:val="nil"/>
              <w:left w:val="nil"/>
              <w:bottom w:val="nil"/>
              <w:right w:val="nil"/>
            </w:tcBorders>
            <w:shd w:val="clear" w:color="auto" w:fill="auto"/>
            <w:noWrap/>
            <w:vAlign w:val="bottom"/>
            <w:hideMark/>
          </w:tcPr>
          <w:p w14:paraId="391BC7EB" w14:textId="77777777" w:rsidR="00B751D3" w:rsidRDefault="00B751D3"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9D14A13" w14:textId="77777777" w:rsidR="00B751D3" w:rsidRDefault="00B751D3" w:rsidP="005A3B4D">
            <w:pPr>
              <w:jc w:val="right"/>
              <w:rPr>
                <w:color w:val="000000"/>
                <w:sz w:val="20"/>
                <w:szCs w:val="20"/>
              </w:rPr>
            </w:pPr>
            <w:r>
              <w:rPr>
                <w:color w:val="000000"/>
                <w:sz w:val="20"/>
                <w:szCs w:val="20"/>
              </w:rPr>
              <w:t>0.029</w:t>
            </w:r>
          </w:p>
        </w:tc>
        <w:tc>
          <w:tcPr>
            <w:tcW w:w="864" w:type="dxa"/>
            <w:gridSpan w:val="2"/>
            <w:tcBorders>
              <w:top w:val="nil"/>
              <w:left w:val="nil"/>
              <w:bottom w:val="nil"/>
              <w:right w:val="nil"/>
            </w:tcBorders>
            <w:shd w:val="clear" w:color="auto" w:fill="auto"/>
            <w:noWrap/>
            <w:vAlign w:val="bottom"/>
            <w:hideMark/>
          </w:tcPr>
          <w:p w14:paraId="6D13B495" w14:textId="77777777" w:rsidR="00B751D3" w:rsidRDefault="00B751D3" w:rsidP="005A3B4D">
            <w:pPr>
              <w:jc w:val="right"/>
              <w:rPr>
                <w:color w:val="000000"/>
                <w:sz w:val="20"/>
                <w:szCs w:val="20"/>
              </w:rPr>
            </w:pPr>
            <w:r>
              <w:rPr>
                <w:color w:val="000000"/>
                <w:sz w:val="20"/>
                <w:szCs w:val="20"/>
              </w:rPr>
              <w:t>0.740</w:t>
            </w:r>
          </w:p>
        </w:tc>
        <w:tc>
          <w:tcPr>
            <w:tcW w:w="864" w:type="dxa"/>
            <w:tcBorders>
              <w:top w:val="nil"/>
              <w:left w:val="nil"/>
              <w:bottom w:val="nil"/>
              <w:right w:val="nil"/>
            </w:tcBorders>
            <w:shd w:val="clear" w:color="auto" w:fill="auto"/>
            <w:noWrap/>
            <w:vAlign w:val="bottom"/>
            <w:hideMark/>
          </w:tcPr>
          <w:p w14:paraId="2803B7BC" w14:textId="77777777" w:rsidR="00B751D3" w:rsidRDefault="00B751D3" w:rsidP="005A3B4D">
            <w:pPr>
              <w:jc w:val="right"/>
              <w:rPr>
                <w:color w:val="000000"/>
                <w:sz w:val="20"/>
                <w:szCs w:val="20"/>
              </w:rPr>
            </w:pPr>
            <w:r>
              <w:rPr>
                <w:color w:val="000000"/>
                <w:sz w:val="20"/>
                <w:szCs w:val="20"/>
              </w:rPr>
              <w:t>0.001</w:t>
            </w:r>
          </w:p>
        </w:tc>
      </w:tr>
      <w:tr w:rsidR="00B751D3" w14:paraId="6DDB9920"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3E11995C" w14:textId="77777777" w:rsidR="00B751D3" w:rsidRDefault="00B751D3"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4352587" w14:textId="77777777" w:rsidR="00B751D3" w:rsidRDefault="00B751D3"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5ED9458" w14:textId="77777777" w:rsidR="00B751D3" w:rsidRDefault="00B751D3" w:rsidP="005A3B4D">
            <w:pPr>
              <w:jc w:val="right"/>
              <w:rPr>
                <w:color w:val="000000"/>
                <w:sz w:val="20"/>
                <w:szCs w:val="20"/>
              </w:rPr>
            </w:pPr>
            <w:r>
              <w:rPr>
                <w:color w:val="000000"/>
                <w:sz w:val="20"/>
                <w:szCs w:val="20"/>
              </w:rPr>
              <w:t>-0.006</w:t>
            </w:r>
          </w:p>
        </w:tc>
        <w:tc>
          <w:tcPr>
            <w:tcW w:w="864" w:type="dxa"/>
            <w:tcBorders>
              <w:top w:val="nil"/>
              <w:left w:val="nil"/>
              <w:bottom w:val="single" w:sz="4" w:space="0" w:color="auto"/>
              <w:right w:val="nil"/>
            </w:tcBorders>
            <w:shd w:val="clear" w:color="auto" w:fill="auto"/>
            <w:noWrap/>
            <w:vAlign w:val="bottom"/>
            <w:hideMark/>
          </w:tcPr>
          <w:p w14:paraId="4660C7D0" w14:textId="77777777" w:rsidR="00B751D3" w:rsidRDefault="00B751D3" w:rsidP="005A3B4D">
            <w:pPr>
              <w:jc w:val="right"/>
              <w:rPr>
                <w:color w:val="000000"/>
                <w:sz w:val="20"/>
                <w:szCs w:val="20"/>
              </w:rPr>
            </w:pPr>
            <w:r>
              <w:rPr>
                <w:color w:val="000000"/>
                <w:sz w:val="20"/>
                <w:szCs w:val="20"/>
              </w:rPr>
              <w:t>1.000</w:t>
            </w:r>
          </w:p>
        </w:tc>
        <w:tc>
          <w:tcPr>
            <w:tcW w:w="864" w:type="dxa"/>
            <w:tcBorders>
              <w:top w:val="nil"/>
              <w:left w:val="nil"/>
              <w:bottom w:val="single" w:sz="4" w:space="0" w:color="auto"/>
              <w:right w:val="nil"/>
            </w:tcBorders>
            <w:shd w:val="clear" w:color="auto" w:fill="auto"/>
            <w:noWrap/>
            <w:vAlign w:val="bottom"/>
            <w:hideMark/>
          </w:tcPr>
          <w:p w14:paraId="09DE5A39"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3237E026" w14:textId="77777777" w:rsidR="00B751D3" w:rsidRDefault="00B751D3" w:rsidP="005A3B4D">
            <w:pPr>
              <w:jc w:val="right"/>
              <w:rPr>
                <w:color w:val="000000"/>
                <w:sz w:val="20"/>
                <w:szCs w:val="20"/>
              </w:rPr>
            </w:pPr>
            <w:r>
              <w:rPr>
                <w:color w:val="000000"/>
                <w:sz w:val="20"/>
                <w:szCs w:val="20"/>
              </w:rPr>
              <w:t>-0.166</w:t>
            </w:r>
          </w:p>
        </w:tc>
        <w:tc>
          <w:tcPr>
            <w:tcW w:w="864" w:type="dxa"/>
            <w:gridSpan w:val="2"/>
            <w:tcBorders>
              <w:top w:val="nil"/>
              <w:left w:val="nil"/>
              <w:bottom w:val="single" w:sz="4" w:space="0" w:color="auto"/>
              <w:right w:val="nil"/>
            </w:tcBorders>
            <w:shd w:val="clear" w:color="auto" w:fill="auto"/>
            <w:noWrap/>
            <w:vAlign w:val="bottom"/>
            <w:hideMark/>
          </w:tcPr>
          <w:p w14:paraId="249EE86C" w14:textId="77777777" w:rsidR="00B751D3" w:rsidRDefault="00B751D3" w:rsidP="005A3B4D">
            <w:pPr>
              <w:jc w:val="right"/>
              <w:rPr>
                <w:color w:val="000000"/>
                <w:sz w:val="20"/>
                <w:szCs w:val="20"/>
              </w:rPr>
            </w:pPr>
            <w:r>
              <w:rPr>
                <w:color w:val="000000"/>
                <w:sz w:val="20"/>
                <w:szCs w:val="20"/>
              </w:rPr>
              <w:t>0.016</w:t>
            </w:r>
          </w:p>
        </w:tc>
        <w:tc>
          <w:tcPr>
            <w:tcW w:w="864" w:type="dxa"/>
            <w:tcBorders>
              <w:top w:val="nil"/>
              <w:left w:val="nil"/>
              <w:bottom w:val="single" w:sz="4" w:space="0" w:color="auto"/>
              <w:right w:val="nil"/>
            </w:tcBorders>
            <w:shd w:val="clear" w:color="auto" w:fill="auto"/>
            <w:noWrap/>
            <w:vAlign w:val="bottom"/>
            <w:hideMark/>
          </w:tcPr>
          <w:p w14:paraId="7F47502C" w14:textId="77777777" w:rsidR="00B751D3" w:rsidRDefault="00B751D3" w:rsidP="005A3B4D">
            <w:pPr>
              <w:jc w:val="right"/>
              <w:rPr>
                <w:color w:val="000000"/>
                <w:sz w:val="20"/>
                <w:szCs w:val="20"/>
              </w:rPr>
            </w:pPr>
            <w:r>
              <w:rPr>
                <w:color w:val="000000"/>
                <w:sz w:val="20"/>
                <w:szCs w:val="20"/>
              </w:rPr>
              <w:t>0.028</w:t>
            </w:r>
          </w:p>
        </w:tc>
      </w:tr>
      <w:tr w:rsidR="00B751D3" w14:paraId="2087A0D1" w14:textId="77777777" w:rsidTr="005A3B4D">
        <w:trPr>
          <w:trHeight w:val="320"/>
        </w:trPr>
        <w:tc>
          <w:tcPr>
            <w:tcW w:w="1152" w:type="dxa"/>
            <w:tcBorders>
              <w:top w:val="nil"/>
              <w:left w:val="nil"/>
              <w:bottom w:val="nil"/>
              <w:right w:val="nil"/>
            </w:tcBorders>
            <w:shd w:val="clear" w:color="auto" w:fill="auto"/>
            <w:noWrap/>
            <w:vAlign w:val="bottom"/>
            <w:hideMark/>
          </w:tcPr>
          <w:p w14:paraId="1C8E4542" w14:textId="77777777" w:rsidR="00B751D3" w:rsidRDefault="00B751D3" w:rsidP="005A3B4D">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1903A65B" w14:textId="77777777" w:rsidR="00B751D3" w:rsidRDefault="00B751D3"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C11BF6F" w14:textId="77777777" w:rsidR="00B751D3" w:rsidRPr="00E264CA" w:rsidRDefault="00B751D3" w:rsidP="005A3B4D">
            <w:pPr>
              <w:jc w:val="right"/>
              <w:rPr>
                <w:b/>
                <w:bCs/>
                <w:color w:val="000000"/>
                <w:sz w:val="20"/>
                <w:szCs w:val="20"/>
              </w:rPr>
            </w:pPr>
            <w:r w:rsidRPr="00E264CA">
              <w:rPr>
                <w:b/>
                <w:bCs/>
                <w:color w:val="000000"/>
                <w:sz w:val="20"/>
                <w:szCs w:val="20"/>
              </w:rPr>
              <w:t>-0.081</w:t>
            </w:r>
          </w:p>
        </w:tc>
        <w:tc>
          <w:tcPr>
            <w:tcW w:w="864" w:type="dxa"/>
            <w:tcBorders>
              <w:top w:val="nil"/>
              <w:left w:val="nil"/>
              <w:bottom w:val="nil"/>
              <w:right w:val="nil"/>
            </w:tcBorders>
            <w:shd w:val="clear" w:color="auto" w:fill="auto"/>
            <w:noWrap/>
            <w:vAlign w:val="bottom"/>
            <w:hideMark/>
          </w:tcPr>
          <w:p w14:paraId="0FE9DF04" w14:textId="77777777" w:rsidR="00B751D3" w:rsidRPr="00E264CA" w:rsidRDefault="00B751D3" w:rsidP="005A3B4D">
            <w:pPr>
              <w:jc w:val="right"/>
              <w:rPr>
                <w:b/>
                <w:bCs/>
                <w:color w:val="000000"/>
                <w:sz w:val="20"/>
                <w:szCs w:val="20"/>
              </w:rPr>
            </w:pPr>
            <w:r w:rsidRPr="00E264CA">
              <w:rPr>
                <w:b/>
                <w:bCs/>
                <w:color w:val="000000"/>
                <w:sz w:val="20"/>
                <w:szCs w:val="20"/>
              </w:rPr>
              <w:t>0.016</w:t>
            </w:r>
          </w:p>
        </w:tc>
        <w:tc>
          <w:tcPr>
            <w:tcW w:w="864" w:type="dxa"/>
            <w:tcBorders>
              <w:top w:val="nil"/>
              <w:left w:val="nil"/>
              <w:bottom w:val="nil"/>
              <w:right w:val="nil"/>
            </w:tcBorders>
            <w:shd w:val="clear" w:color="auto" w:fill="auto"/>
            <w:noWrap/>
            <w:vAlign w:val="bottom"/>
            <w:hideMark/>
          </w:tcPr>
          <w:p w14:paraId="1A1D6031" w14:textId="77777777" w:rsidR="00B751D3" w:rsidRPr="00E264CA" w:rsidRDefault="00B751D3" w:rsidP="005A3B4D">
            <w:pPr>
              <w:jc w:val="right"/>
              <w:rPr>
                <w:b/>
                <w:bCs/>
                <w:color w:val="000000"/>
                <w:sz w:val="20"/>
                <w:szCs w:val="20"/>
              </w:rPr>
            </w:pPr>
            <w:r w:rsidRPr="00E264CA">
              <w:rPr>
                <w:b/>
                <w:bCs/>
                <w:color w:val="000000"/>
                <w:sz w:val="20"/>
                <w:szCs w:val="20"/>
              </w:rPr>
              <w:t>0.007</w:t>
            </w:r>
          </w:p>
        </w:tc>
        <w:tc>
          <w:tcPr>
            <w:tcW w:w="864" w:type="dxa"/>
            <w:tcBorders>
              <w:top w:val="nil"/>
              <w:left w:val="nil"/>
              <w:bottom w:val="nil"/>
              <w:right w:val="nil"/>
            </w:tcBorders>
            <w:shd w:val="clear" w:color="auto" w:fill="auto"/>
            <w:noWrap/>
            <w:vAlign w:val="bottom"/>
            <w:hideMark/>
          </w:tcPr>
          <w:p w14:paraId="73FFF311" w14:textId="77777777" w:rsidR="00B751D3" w:rsidRDefault="00B751D3" w:rsidP="005A3B4D">
            <w:pPr>
              <w:jc w:val="right"/>
              <w:rPr>
                <w:color w:val="000000"/>
                <w:sz w:val="20"/>
                <w:szCs w:val="20"/>
              </w:rPr>
            </w:pPr>
            <w:r>
              <w:rPr>
                <w:color w:val="000000"/>
                <w:sz w:val="20"/>
                <w:szCs w:val="20"/>
              </w:rPr>
              <w:t>0.037</w:t>
            </w:r>
          </w:p>
        </w:tc>
        <w:tc>
          <w:tcPr>
            <w:tcW w:w="864" w:type="dxa"/>
            <w:gridSpan w:val="2"/>
            <w:tcBorders>
              <w:top w:val="nil"/>
              <w:left w:val="nil"/>
              <w:bottom w:val="nil"/>
              <w:right w:val="nil"/>
            </w:tcBorders>
            <w:shd w:val="clear" w:color="auto" w:fill="auto"/>
            <w:noWrap/>
            <w:vAlign w:val="bottom"/>
            <w:hideMark/>
          </w:tcPr>
          <w:p w14:paraId="3D1CC704" w14:textId="77777777" w:rsidR="00B751D3" w:rsidRDefault="00B751D3" w:rsidP="005A3B4D">
            <w:pPr>
              <w:jc w:val="right"/>
              <w:rPr>
                <w:color w:val="000000"/>
                <w:sz w:val="20"/>
                <w:szCs w:val="20"/>
              </w:rPr>
            </w:pPr>
            <w:r>
              <w:rPr>
                <w:color w:val="000000"/>
                <w:sz w:val="20"/>
                <w:szCs w:val="20"/>
              </w:rPr>
              <w:t>0.377</w:t>
            </w:r>
          </w:p>
        </w:tc>
        <w:tc>
          <w:tcPr>
            <w:tcW w:w="864" w:type="dxa"/>
            <w:tcBorders>
              <w:top w:val="nil"/>
              <w:left w:val="nil"/>
              <w:bottom w:val="nil"/>
              <w:right w:val="nil"/>
            </w:tcBorders>
            <w:shd w:val="clear" w:color="auto" w:fill="auto"/>
            <w:noWrap/>
            <w:vAlign w:val="bottom"/>
            <w:hideMark/>
          </w:tcPr>
          <w:p w14:paraId="140BB767" w14:textId="77777777" w:rsidR="00B751D3" w:rsidRDefault="00B751D3" w:rsidP="005A3B4D">
            <w:pPr>
              <w:jc w:val="right"/>
              <w:rPr>
                <w:color w:val="000000"/>
                <w:sz w:val="20"/>
                <w:szCs w:val="20"/>
              </w:rPr>
            </w:pPr>
            <w:r>
              <w:rPr>
                <w:color w:val="000000"/>
                <w:sz w:val="20"/>
                <w:szCs w:val="20"/>
              </w:rPr>
              <w:t>0.001</w:t>
            </w:r>
          </w:p>
        </w:tc>
      </w:tr>
      <w:tr w:rsidR="00B751D3" w14:paraId="3E298C2F" w14:textId="77777777" w:rsidTr="005A3B4D">
        <w:trPr>
          <w:trHeight w:val="320"/>
        </w:trPr>
        <w:tc>
          <w:tcPr>
            <w:tcW w:w="1152" w:type="dxa"/>
            <w:tcBorders>
              <w:top w:val="nil"/>
              <w:left w:val="nil"/>
              <w:bottom w:val="nil"/>
              <w:right w:val="nil"/>
            </w:tcBorders>
            <w:shd w:val="clear" w:color="auto" w:fill="auto"/>
            <w:noWrap/>
            <w:vAlign w:val="bottom"/>
            <w:hideMark/>
          </w:tcPr>
          <w:p w14:paraId="0E3146D3"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376B86A" w14:textId="77777777" w:rsidR="00B751D3" w:rsidRDefault="00B751D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C8D70FB" w14:textId="77777777" w:rsidR="00B751D3" w:rsidRDefault="00B751D3" w:rsidP="005A3B4D">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6934290B" w14:textId="77777777" w:rsidR="00B751D3" w:rsidRDefault="00B751D3" w:rsidP="005A3B4D">
            <w:pPr>
              <w:jc w:val="right"/>
              <w:rPr>
                <w:color w:val="000000"/>
                <w:sz w:val="20"/>
                <w:szCs w:val="20"/>
              </w:rPr>
            </w:pPr>
            <w:r>
              <w:rPr>
                <w:color w:val="000000"/>
                <w:sz w:val="20"/>
                <w:szCs w:val="20"/>
              </w:rPr>
              <w:t>0.892</w:t>
            </w:r>
          </w:p>
        </w:tc>
        <w:tc>
          <w:tcPr>
            <w:tcW w:w="864" w:type="dxa"/>
            <w:tcBorders>
              <w:top w:val="nil"/>
              <w:left w:val="nil"/>
              <w:bottom w:val="nil"/>
              <w:right w:val="nil"/>
            </w:tcBorders>
            <w:shd w:val="clear" w:color="auto" w:fill="auto"/>
            <w:noWrap/>
            <w:vAlign w:val="bottom"/>
            <w:hideMark/>
          </w:tcPr>
          <w:p w14:paraId="11177F5D"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D7DC9A2" w14:textId="77777777" w:rsidR="00B751D3" w:rsidRDefault="00B751D3" w:rsidP="005A3B4D">
            <w:pPr>
              <w:jc w:val="right"/>
              <w:rPr>
                <w:color w:val="000000"/>
                <w:sz w:val="20"/>
                <w:szCs w:val="20"/>
              </w:rPr>
            </w:pPr>
            <w:r>
              <w:rPr>
                <w:color w:val="000000"/>
                <w:sz w:val="20"/>
                <w:szCs w:val="20"/>
              </w:rPr>
              <w:t>-0.053</w:t>
            </w:r>
          </w:p>
        </w:tc>
        <w:tc>
          <w:tcPr>
            <w:tcW w:w="864" w:type="dxa"/>
            <w:gridSpan w:val="2"/>
            <w:tcBorders>
              <w:top w:val="nil"/>
              <w:left w:val="nil"/>
              <w:bottom w:val="nil"/>
              <w:right w:val="nil"/>
            </w:tcBorders>
            <w:shd w:val="clear" w:color="auto" w:fill="auto"/>
            <w:noWrap/>
            <w:vAlign w:val="bottom"/>
            <w:hideMark/>
          </w:tcPr>
          <w:p w14:paraId="6DAD2431" w14:textId="77777777" w:rsidR="00B751D3" w:rsidRDefault="00B751D3" w:rsidP="005A3B4D">
            <w:pPr>
              <w:jc w:val="right"/>
              <w:rPr>
                <w:color w:val="000000"/>
                <w:sz w:val="20"/>
                <w:szCs w:val="20"/>
              </w:rPr>
            </w:pPr>
            <w:r>
              <w:rPr>
                <w:color w:val="000000"/>
                <w:sz w:val="20"/>
                <w:szCs w:val="20"/>
              </w:rPr>
              <w:t>0.377</w:t>
            </w:r>
          </w:p>
        </w:tc>
        <w:tc>
          <w:tcPr>
            <w:tcW w:w="864" w:type="dxa"/>
            <w:tcBorders>
              <w:top w:val="nil"/>
              <w:left w:val="nil"/>
              <w:bottom w:val="nil"/>
              <w:right w:val="nil"/>
            </w:tcBorders>
            <w:shd w:val="clear" w:color="auto" w:fill="auto"/>
            <w:noWrap/>
            <w:vAlign w:val="bottom"/>
            <w:hideMark/>
          </w:tcPr>
          <w:p w14:paraId="26524B90" w14:textId="77777777" w:rsidR="00B751D3" w:rsidRDefault="00B751D3" w:rsidP="005A3B4D">
            <w:pPr>
              <w:jc w:val="right"/>
              <w:rPr>
                <w:color w:val="000000"/>
                <w:sz w:val="20"/>
                <w:szCs w:val="20"/>
              </w:rPr>
            </w:pPr>
            <w:r>
              <w:rPr>
                <w:color w:val="000000"/>
                <w:sz w:val="20"/>
                <w:szCs w:val="20"/>
              </w:rPr>
              <w:t>0.003</w:t>
            </w:r>
          </w:p>
        </w:tc>
      </w:tr>
      <w:tr w:rsidR="00B751D3" w14:paraId="290D6EE9" w14:textId="77777777" w:rsidTr="005A3B4D">
        <w:trPr>
          <w:trHeight w:val="320"/>
        </w:trPr>
        <w:tc>
          <w:tcPr>
            <w:tcW w:w="1152" w:type="dxa"/>
            <w:tcBorders>
              <w:top w:val="nil"/>
              <w:left w:val="nil"/>
              <w:bottom w:val="nil"/>
              <w:right w:val="nil"/>
            </w:tcBorders>
            <w:shd w:val="clear" w:color="auto" w:fill="auto"/>
            <w:noWrap/>
            <w:vAlign w:val="bottom"/>
            <w:hideMark/>
          </w:tcPr>
          <w:p w14:paraId="5AF3BBBE"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3764B9A" w14:textId="77777777" w:rsidR="00B751D3" w:rsidRDefault="00B751D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C3F3C24" w14:textId="77777777" w:rsidR="00B751D3" w:rsidRDefault="00B751D3" w:rsidP="005A3B4D">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20F3322F" w14:textId="77777777" w:rsidR="00B751D3" w:rsidRDefault="00B751D3" w:rsidP="005A3B4D">
            <w:pPr>
              <w:jc w:val="right"/>
              <w:rPr>
                <w:color w:val="000000"/>
                <w:sz w:val="20"/>
                <w:szCs w:val="20"/>
              </w:rPr>
            </w:pPr>
            <w:r>
              <w:rPr>
                <w:color w:val="000000"/>
                <w:sz w:val="20"/>
                <w:szCs w:val="20"/>
              </w:rPr>
              <w:t>0.892</w:t>
            </w:r>
          </w:p>
        </w:tc>
        <w:tc>
          <w:tcPr>
            <w:tcW w:w="864" w:type="dxa"/>
            <w:tcBorders>
              <w:top w:val="nil"/>
              <w:left w:val="nil"/>
              <w:bottom w:val="nil"/>
              <w:right w:val="nil"/>
            </w:tcBorders>
            <w:shd w:val="clear" w:color="auto" w:fill="auto"/>
            <w:noWrap/>
            <w:vAlign w:val="bottom"/>
            <w:hideMark/>
          </w:tcPr>
          <w:p w14:paraId="2CD8E75A"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8303CF7" w14:textId="77777777" w:rsidR="00B751D3" w:rsidRDefault="00B751D3" w:rsidP="005A3B4D">
            <w:pPr>
              <w:jc w:val="right"/>
              <w:rPr>
                <w:color w:val="000000"/>
                <w:sz w:val="20"/>
                <w:szCs w:val="20"/>
              </w:rPr>
            </w:pPr>
            <w:r>
              <w:rPr>
                <w:color w:val="000000"/>
                <w:sz w:val="20"/>
                <w:szCs w:val="20"/>
              </w:rPr>
              <w:t>0.041</w:t>
            </w:r>
          </w:p>
        </w:tc>
        <w:tc>
          <w:tcPr>
            <w:tcW w:w="864" w:type="dxa"/>
            <w:gridSpan w:val="2"/>
            <w:tcBorders>
              <w:top w:val="nil"/>
              <w:left w:val="nil"/>
              <w:bottom w:val="nil"/>
              <w:right w:val="nil"/>
            </w:tcBorders>
            <w:shd w:val="clear" w:color="auto" w:fill="auto"/>
            <w:noWrap/>
            <w:vAlign w:val="bottom"/>
            <w:hideMark/>
          </w:tcPr>
          <w:p w14:paraId="0D9F9E55" w14:textId="77777777" w:rsidR="00B751D3" w:rsidRDefault="00B751D3" w:rsidP="005A3B4D">
            <w:pPr>
              <w:jc w:val="right"/>
              <w:rPr>
                <w:color w:val="000000"/>
                <w:sz w:val="20"/>
                <w:szCs w:val="20"/>
              </w:rPr>
            </w:pPr>
            <w:r>
              <w:rPr>
                <w:color w:val="000000"/>
                <w:sz w:val="20"/>
                <w:szCs w:val="20"/>
              </w:rPr>
              <w:t>0.377</w:t>
            </w:r>
          </w:p>
        </w:tc>
        <w:tc>
          <w:tcPr>
            <w:tcW w:w="864" w:type="dxa"/>
            <w:tcBorders>
              <w:top w:val="nil"/>
              <w:left w:val="nil"/>
              <w:bottom w:val="nil"/>
              <w:right w:val="nil"/>
            </w:tcBorders>
            <w:shd w:val="clear" w:color="auto" w:fill="auto"/>
            <w:noWrap/>
            <w:vAlign w:val="bottom"/>
            <w:hideMark/>
          </w:tcPr>
          <w:p w14:paraId="3F89EB1C" w14:textId="77777777" w:rsidR="00B751D3" w:rsidRDefault="00B751D3" w:rsidP="005A3B4D">
            <w:pPr>
              <w:jc w:val="right"/>
              <w:rPr>
                <w:color w:val="000000"/>
                <w:sz w:val="20"/>
                <w:szCs w:val="20"/>
              </w:rPr>
            </w:pPr>
            <w:r>
              <w:rPr>
                <w:color w:val="000000"/>
                <w:sz w:val="20"/>
                <w:szCs w:val="20"/>
              </w:rPr>
              <w:t>0.002</w:t>
            </w:r>
          </w:p>
        </w:tc>
      </w:tr>
      <w:tr w:rsidR="00B751D3" w14:paraId="6E824FC0" w14:textId="77777777" w:rsidTr="005A3B4D">
        <w:trPr>
          <w:trHeight w:val="320"/>
        </w:trPr>
        <w:tc>
          <w:tcPr>
            <w:tcW w:w="1152" w:type="dxa"/>
            <w:tcBorders>
              <w:top w:val="nil"/>
              <w:left w:val="nil"/>
              <w:bottom w:val="nil"/>
              <w:right w:val="nil"/>
            </w:tcBorders>
            <w:shd w:val="clear" w:color="auto" w:fill="auto"/>
            <w:noWrap/>
            <w:vAlign w:val="bottom"/>
            <w:hideMark/>
          </w:tcPr>
          <w:p w14:paraId="03649D0A"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5E94B8B" w14:textId="77777777" w:rsidR="00B751D3" w:rsidRDefault="00B751D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203F534" w14:textId="77777777" w:rsidR="00B751D3" w:rsidRDefault="00B751D3"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0CE2A057" w14:textId="77777777" w:rsidR="00B751D3" w:rsidRDefault="00B751D3" w:rsidP="005A3B4D">
            <w:pPr>
              <w:jc w:val="right"/>
              <w:rPr>
                <w:color w:val="000000"/>
                <w:sz w:val="20"/>
                <w:szCs w:val="20"/>
              </w:rPr>
            </w:pPr>
            <w:r>
              <w:rPr>
                <w:color w:val="000000"/>
                <w:sz w:val="20"/>
                <w:szCs w:val="20"/>
              </w:rPr>
              <w:t>0.892</w:t>
            </w:r>
          </w:p>
        </w:tc>
        <w:tc>
          <w:tcPr>
            <w:tcW w:w="864" w:type="dxa"/>
            <w:tcBorders>
              <w:top w:val="nil"/>
              <w:left w:val="nil"/>
              <w:bottom w:val="nil"/>
              <w:right w:val="nil"/>
            </w:tcBorders>
            <w:shd w:val="clear" w:color="auto" w:fill="auto"/>
            <w:noWrap/>
            <w:vAlign w:val="bottom"/>
            <w:hideMark/>
          </w:tcPr>
          <w:p w14:paraId="6D2DD1EA"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1DAF393" w14:textId="77777777" w:rsidR="00B751D3" w:rsidRDefault="00B751D3" w:rsidP="005A3B4D">
            <w:pPr>
              <w:jc w:val="right"/>
              <w:rPr>
                <w:color w:val="000000"/>
                <w:sz w:val="20"/>
                <w:szCs w:val="20"/>
              </w:rPr>
            </w:pPr>
            <w:r>
              <w:rPr>
                <w:color w:val="000000"/>
                <w:sz w:val="20"/>
                <w:szCs w:val="20"/>
              </w:rPr>
              <w:t>-0.018</w:t>
            </w:r>
          </w:p>
        </w:tc>
        <w:tc>
          <w:tcPr>
            <w:tcW w:w="864" w:type="dxa"/>
            <w:gridSpan w:val="2"/>
            <w:tcBorders>
              <w:top w:val="nil"/>
              <w:left w:val="nil"/>
              <w:bottom w:val="nil"/>
              <w:right w:val="nil"/>
            </w:tcBorders>
            <w:shd w:val="clear" w:color="auto" w:fill="auto"/>
            <w:noWrap/>
            <w:vAlign w:val="bottom"/>
            <w:hideMark/>
          </w:tcPr>
          <w:p w14:paraId="17BF01BB" w14:textId="77777777" w:rsidR="00B751D3" w:rsidRDefault="00B751D3" w:rsidP="005A3B4D">
            <w:pPr>
              <w:jc w:val="right"/>
              <w:rPr>
                <w:color w:val="000000"/>
                <w:sz w:val="20"/>
                <w:szCs w:val="20"/>
              </w:rPr>
            </w:pPr>
            <w:r>
              <w:rPr>
                <w:color w:val="000000"/>
                <w:sz w:val="20"/>
                <w:szCs w:val="20"/>
              </w:rPr>
              <w:t>0.690</w:t>
            </w:r>
          </w:p>
        </w:tc>
        <w:tc>
          <w:tcPr>
            <w:tcW w:w="864" w:type="dxa"/>
            <w:tcBorders>
              <w:top w:val="nil"/>
              <w:left w:val="nil"/>
              <w:bottom w:val="nil"/>
              <w:right w:val="nil"/>
            </w:tcBorders>
            <w:shd w:val="clear" w:color="auto" w:fill="auto"/>
            <w:noWrap/>
            <w:vAlign w:val="bottom"/>
            <w:hideMark/>
          </w:tcPr>
          <w:p w14:paraId="15B226AC" w14:textId="77777777" w:rsidR="00B751D3" w:rsidRDefault="00B751D3" w:rsidP="005A3B4D">
            <w:pPr>
              <w:jc w:val="right"/>
              <w:rPr>
                <w:color w:val="000000"/>
                <w:sz w:val="20"/>
                <w:szCs w:val="20"/>
              </w:rPr>
            </w:pPr>
            <w:r>
              <w:rPr>
                <w:color w:val="000000"/>
                <w:sz w:val="20"/>
                <w:szCs w:val="20"/>
              </w:rPr>
              <w:t>0.000</w:t>
            </w:r>
          </w:p>
        </w:tc>
      </w:tr>
      <w:tr w:rsidR="00B751D3" w14:paraId="0292CA9B" w14:textId="77777777" w:rsidTr="005A3B4D">
        <w:trPr>
          <w:trHeight w:val="320"/>
        </w:trPr>
        <w:tc>
          <w:tcPr>
            <w:tcW w:w="1152" w:type="dxa"/>
            <w:tcBorders>
              <w:top w:val="nil"/>
              <w:left w:val="nil"/>
              <w:bottom w:val="nil"/>
              <w:right w:val="nil"/>
            </w:tcBorders>
            <w:shd w:val="clear" w:color="auto" w:fill="auto"/>
            <w:noWrap/>
            <w:vAlign w:val="bottom"/>
            <w:hideMark/>
          </w:tcPr>
          <w:p w14:paraId="183A6C98"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464AFCE" w14:textId="77777777" w:rsidR="00B751D3" w:rsidRDefault="00B751D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5B9283B" w14:textId="77777777" w:rsidR="00B751D3" w:rsidRDefault="00B751D3" w:rsidP="005A3B4D">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5B495AB0" w14:textId="77777777" w:rsidR="00B751D3" w:rsidRDefault="00B751D3" w:rsidP="005A3B4D">
            <w:pPr>
              <w:jc w:val="right"/>
              <w:rPr>
                <w:color w:val="000000"/>
                <w:sz w:val="20"/>
                <w:szCs w:val="20"/>
              </w:rPr>
            </w:pPr>
            <w:r>
              <w:rPr>
                <w:color w:val="000000"/>
                <w:sz w:val="20"/>
                <w:szCs w:val="20"/>
              </w:rPr>
              <w:t>0.892</w:t>
            </w:r>
          </w:p>
        </w:tc>
        <w:tc>
          <w:tcPr>
            <w:tcW w:w="864" w:type="dxa"/>
            <w:tcBorders>
              <w:top w:val="nil"/>
              <w:left w:val="nil"/>
              <w:bottom w:val="nil"/>
              <w:right w:val="nil"/>
            </w:tcBorders>
            <w:shd w:val="clear" w:color="auto" w:fill="auto"/>
            <w:noWrap/>
            <w:vAlign w:val="bottom"/>
            <w:hideMark/>
          </w:tcPr>
          <w:p w14:paraId="28290A80"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9848DF1" w14:textId="77777777" w:rsidR="00B751D3" w:rsidRDefault="00B751D3" w:rsidP="005A3B4D">
            <w:pPr>
              <w:jc w:val="right"/>
              <w:rPr>
                <w:color w:val="000000"/>
                <w:sz w:val="20"/>
                <w:szCs w:val="20"/>
              </w:rPr>
            </w:pPr>
            <w:r>
              <w:rPr>
                <w:color w:val="000000"/>
                <w:sz w:val="20"/>
                <w:szCs w:val="20"/>
              </w:rPr>
              <w:t>-0.064</w:t>
            </w:r>
          </w:p>
        </w:tc>
        <w:tc>
          <w:tcPr>
            <w:tcW w:w="864" w:type="dxa"/>
            <w:gridSpan w:val="2"/>
            <w:tcBorders>
              <w:top w:val="nil"/>
              <w:left w:val="nil"/>
              <w:bottom w:val="nil"/>
              <w:right w:val="nil"/>
            </w:tcBorders>
            <w:shd w:val="clear" w:color="auto" w:fill="auto"/>
            <w:noWrap/>
            <w:vAlign w:val="bottom"/>
            <w:hideMark/>
          </w:tcPr>
          <w:p w14:paraId="7D462E4A" w14:textId="77777777" w:rsidR="00B751D3" w:rsidRDefault="00B751D3" w:rsidP="005A3B4D">
            <w:pPr>
              <w:jc w:val="right"/>
              <w:rPr>
                <w:color w:val="000000"/>
                <w:sz w:val="20"/>
                <w:szCs w:val="20"/>
              </w:rPr>
            </w:pPr>
            <w:r>
              <w:rPr>
                <w:color w:val="000000"/>
                <w:sz w:val="20"/>
                <w:szCs w:val="20"/>
              </w:rPr>
              <w:t>0.377</w:t>
            </w:r>
          </w:p>
        </w:tc>
        <w:tc>
          <w:tcPr>
            <w:tcW w:w="864" w:type="dxa"/>
            <w:tcBorders>
              <w:top w:val="nil"/>
              <w:left w:val="nil"/>
              <w:bottom w:val="nil"/>
              <w:right w:val="nil"/>
            </w:tcBorders>
            <w:shd w:val="clear" w:color="auto" w:fill="auto"/>
            <w:noWrap/>
            <w:vAlign w:val="bottom"/>
            <w:hideMark/>
          </w:tcPr>
          <w:p w14:paraId="086AC1A0" w14:textId="77777777" w:rsidR="00B751D3" w:rsidRDefault="00B751D3" w:rsidP="005A3B4D">
            <w:pPr>
              <w:jc w:val="right"/>
              <w:rPr>
                <w:color w:val="000000"/>
                <w:sz w:val="20"/>
                <w:szCs w:val="20"/>
              </w:rPr>
            </w:pPr>
            <w:r>
              <w:rPr>
                <w:color w:val="000000"/>
                <w:sz w:val="20"/>
                <w:szCs w:val="20"/>
              </w:rPr>
              <w:t>0.004</w:t>
            </w:r>
          </w:p>
        </w:tc>
      </w:tr>
      <w:tr w:rsidR="00B751D3" w14:paraId="2417214B" w14:textId="77777777" w:rsidTr="005A3B4D">
        <w:trPr>
          <w:trHeight w:val="320"/>
        </w:trPr>
        <w:tc>
          <w:tcPr>
            <w:tcW w:w="1152" w:type="dxa"/>
            <w:tcBorders>
              <w:top w:val="nil"/>
              <w:left w:val="nil"/>
              <w:bottom w:val="nil"/>
              <w:right w:val="nil"/>
            </w:tcBorders>
            <w:shd w:val="clear" w:color="auto" w:fill="auto"/>
            <w:noWrap/>
            <w:vAlign w:val="bottom"/>
            <w:hideMark/>
          </w:tcPr>
          <w:p w14:paraId="5473479E"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58F51CA" w14:textId="77777777" w:rsidR="00B751D3" w:rsidRDefault="00B751D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641979C" w14:textId="77777777" w:rsidR="00B751D3" w:rsidRDefault="00B751D3"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5D6224B8" w14:textId="77777777" w:rsidR="00B751D3" w:rsidRDefault="00B751D3" w:rsidP="005A3B4D">
            <w:pPr>
              <w:jc w:val="right"/>
              <w:rPr>
                <w:color w:val="000000"/>
                <w:sz w:val="20"/>
                <w:szCs w:val="20"/>
              </w:rPr>
            </w:pPr>
            <w:r>
              <w:rPr>
                <w:color w:val="000000"/>
                <w:sz w:val="20"/>
                <w:szCs w:val="20"/>
              </w:rPr>
              <w:t>0.892</w:t>
            </w:r>
          </w:p>
        </w:tc>
        <w:tc>
          <w:tcPr>
            <w:tcW w:w="864" w:type="dxa"/>
            <w:tcBorders>
              <w:top w:val="nil"/>
              <w:left w:val="nil"/>
              <w:bottom w:val="nil"/>
              <w:right w:val="nil"/>
            </w:tcBorders>
            <w:shd w:val="clear" w:color="auto" w:fill="auto"/>
            <w:noWrap/>
            <w:vAlign w:val="bottom"/>
            <w:hideMark/>
          </w:tcPr>
          <w:p w14:paraId="19279A03"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F4C1F89" w14:textId="77777777" w:rsidR="00B751D3" w:rsidRDefault="00B751D3" w:rsidP="005A3B4D">
            <w:pPr>
              <w:jc w:val="right"/>
              <w:rPr>
                <w:color w:val="000000"/>
                <w:sz w:val="20"/>
                <w:szCs w:val="20"/>
              </w:rPr>
            </w:pPr>
            <w:r>
              <w:rPr>
                <w:color w:val="000000"/>
                <w:sz w:val="20"/>
                <w:szCs w:val="20"/>
              </w:rPr>
              <w:t>0.037</w:t>
            </w:r>
          </w:p>
        </w:tc>
        <w:tc>
          <w:tcPr>
            <w:tcW w:w="864" w:type="dxa"/>
            <w:gridSpan w:val="2"/>
            <w:tcBorders>
              <w:top w:val="nil"/>
              <w:left w:val="nil"/>
              <w:bottom w:val="nil"/>
              <w:right w:val="nil"/>
            </w:tcBorders>
            <w:shd w:val="clear" w:color="auto" w:fill="auto"/>
            <w:noWrap/>
            <w:vAlign w:val="bottom"/>
            <w:hideMark/>
          </w:tcPr>
          <w:p w14:paraId="46629852" w14:textId="77777777" w:rsidR="00B751D3" w:rsidRDefault="00B751D3" w:rsidP="005A3B4D">
            <w:pPr>
              <w:jc w:val="right"/>
              <w:rPr>
                <w:color w:val="000000"/>
                <w:sz w:val="20"/>
                <w:szCs w:val="20"/>
              </w:rPr>
            </w:pPr>
            <w:r>
              <w:rPr>
                <w:color w:val="000000"/>
                <w:sz w:val="20"/>
                <w:szCs w:val="20"/>
              </w:rPr>
              <w:t>0.377</w:t>
            </w:r>
          </w:p>
        </w:tc>
        <w:tc>
          <w:tcPr>
            <w:tcW w:w="864" w:type="dxa"/>
            <w:tcBorders>
              <w:top w:val="nil"/>
              <w:left w:val="nil"/>
              <w:bottom w:val="nil"/>
              <w:right w:val="nil"/>
            </w:tcBorders>
            <w:shd w:val="clear" w:color="auto" w:fill="auto"/>
            <w:noWrap/>
            <w:vAlign w:val="bottom"/>
            <w:hideMark/>
          </w:tcPr>
          <w:p w14:paraId="4F7A5B8D" w14:textId="77777777" w:rsidR="00B751D3" w:rsidRDefault="00B751D3" w:rsidP="005A3B4D">
            <w:pPr>
              <w:jc w:val="right"/>
              <w:rPr>
                <w:color w:val="000000"/>
                <w:sz w:val="20"/>
                <w:szCs w:val="20"/>
              </w:rPr>
            </w:pPr>
            <w:r>
              <w:rPr>
                <w:color w:val="000000"/>
                <w:sz w:val="20"/>
                <w:szCs w:val="20"/>
              </w:rPr>
              <w:t>0.001</w:t>
            </w:r>
          </w:p>
        </w:tc>
      </w:tr>
      <w:tr w:rsidR="00B751D3" w14:paraId="7237199B" w14:textId="77777777" w:rsidTr="005A3B4D">
        <w:trPr>
          <w:trHeight w:val="320"/>
        </w:trPr>
        <w:tc>
          <w:tcPr>
            <w:tcW w:w="1152" w:type="dxa"/>
            <w:tcBorders>
              <w:top w:val="nil"/>
              <w:left w:val="nil"/>
              <w:bottom w:val="nil"/>
              <w:right w:val="nil"/>
            </w:tcBorders>
            <w:shd w:val="clear" w:color="auto" w:fill="auto"/>
            <w:noWrap/>
            <w:vAlign w:val="bottom"/>
            <w:hideMark/>
          </w:tcPr>
          <w:p w14:paraId="2664F165"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98D7D8C" w14:textId="77777777" w:rsidR="00B751D3" w:rsidRDefault="00B751D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4160CC6" w14:textId="77777777" w:rsidR="00B751D3" w:rsidRDefault="00B751D3" w:rsidP="005A3B4D">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2CF4C227" w14:textId="77777777" w:rsidR="00B751D3" w:rsidRDefault="00B751D3" w:rsidP="005A3B4D">
            <w:pPr>
              <w:jc w:val="right"/>
              <w:rPr>
                <w:color w:val="000000"/>
                <w:sz w:val="20"/>
                <w:szCs w:val="20"/>
              </w:rPr>
            </w:pPr>
            <w:r>
              <w:rPr>
                <w:color w:val="000000"/>
                <w:sz w:val="20"/>
                <w:szCs w:val="20"/>
              </w:rPr>
              <w:t>0.892</w:t>
            </w:r>
          </w:p>
        </w:tc>
        <w:tc>
          <w:tcPr>
            <w:tcW w:w="864" w:type="dxa"/>
            <w:tcBorders>
              <w:top w:val="nil"/>
              <w:left w:val="nil"/>
              <w:bottom w:val="nil"/>
              <w:right w:val="nil"/>
            </w:tcBorders>
            <w:shd w:val="clear" w:color="auto" w:fill="auto"/>
            <w:noWrap/>
            <w:vAlign w:val="bottom"/>
            <w:hideMark/>
          </w:tcPr>
          <w:p w14:paraId="44C90AD0"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FB0B3B0" w14:textId="77777777" w:rsidR="00B751D3" w:rsidRDefault="00B751D3" w:rsidP="005A3B4D">
            <w:pPr>
              <w:jc w:val="right"/>
              <w:rPr>
                <w:color w:val="000000"/>
                <w:sz w:val="20"/>
                <w:szCs w:val="20"/>
              </w:rPr>
            </w:pPr>
            <w:r>
              <w:rPr>
                <w:color w:val="000000"/>
                <w:sz w:val="20"/>
                <w:szCs w:val="20"/>
              </w:rPr>
              <w:t>-0.031</w:t>
            </w:r>
          </w:p>
        </w:tc>
        <w:tc>
          <w:tcPr>
            <w:tcW w:w="864" w:type="dxa"/>
            <w:gridSpan w:val="2"/>
            <w:tcBorders>
              <w:top w:val="nil"/>
              <w:left w:val="nil"/>
              <w:bottom w:val="nil"/>
              <w:right w:val="nil"/>
            </w:tcBorders>
            <w:shd w:val="clear" w:color="auto" w:fill="auto"/>
            <w:noWrap/>
            <w:vAlign w:val="bottom"/>
            <w:hideMark/>
          </w:tcPr>
          <w:p w14:paraId="68EA56E1" w14:textId="77777777" w:rsidR="00B751D3" w:rsidRDefault="00B751D3" w:rsidP="005A3B4D">
            <w:pPr>
              <w:jc w:val="right"/>
              <w:rPr>
                <w:color w:val="000000"/>
                <w:sz w:val="20"/>
                <w:szCs w:val="20"/>
              </w:rPr>
            </w:pPr>
            <w:r>
              <w:rPr>
                <w:color w:val="000000"/>
                <w:sz w:val="20"/>
                <w:szCs w:val="20"/>
              </w:rPr>
              <w:t>0.427</w:t>
            </w:r>
          </w:p>
        </w:tc>
        <w:tc>
          <w:tcPr>
            <w:tcW w:w="864" w:type="dxa"/>
            <w:tcBorders>
              <w:top w:val="nil"/>
              <w:left w:val="nil"/>
              <w:bottom w:val="nil"/>
              <w:right w:val="nil"/>
            </w:tcBorders>
            <w:shd w:val="clear" w:color="auto" w:fill="auto"/>
            <w:noWrap/>
            <w:vAlign w:val="bottom"/>
            <w:hideMark/>
          </w:tcPr>
          <w:p w14:paraId="0113DDF8" w14:textId="77777777" w:rsidR="00B751D3" w:rsidRDefault="00B751D3" w:rsidP="005A3B4D">
            <w:pPr>
              <w:jc w:val="right"/>
              <w:rPr>
                <w:color w:val="000000"/>
                <w:sz w:val="20"/>
                <w:szCs w:val="20"/>
              </w:rPr>
            </w:pPr>
            <w:r>
              <w:rPr>
                <w:color w:val="000000"/>
                <w:sz w:val="20"/>
                <w:szCs w:val="20"/>
              </w:rPr>
              <w:t>0.001</w:t>
            </w:r>
          </w:p>
        </w:tc>
      </w:tr>
      <w:tr w:rsidR="00B751D3" w14:paraId="6EF3C8B0"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46DE3716" w14:textId="77777777" w:rsidR="00B751D3" w:rsidRDefault="00B751D3"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55F41C09" w14:textId="77777777" w:rsidR="00B751D3" w:rsidRDefault="00B751D3"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10E46555" w14:textId="77777777" w:rsidR="00B751D3" w:rsidRDefault="00B751D3" w:rsidP="005A3B4D">
            <w:pPr>
              <w:jc w:val="right"/>
              <w:rPr>
                <w:color w:val="000000"/>
                <w:sz w:val="20"/>
                <w:szCs w:val="20"/>
              </w:rPr>
            </w:pPr>
            <w:r>
              <w:rPr>
                <w:color w:val="000000"/>
                <w:sz w:val="20"/>
                <w:szCs w:val="20"/>
              </w:rPr>
              <w:t>0.006</w:t>
            </w:r>
          </w:p>
        </w:tc>
        <w:tc>
          <w:tcPr>
            <w:tcW w:w="864" w:type="dxa"/>
            <w:tcBorders>
              <w:top w:val="nil"/>
              <w:left w:val="nil"/>
              <w:bottom w:val="single" w:sz="4" w:space="0" w:color="auto"/>
              <w:right w:val="nil"/>
            </w:tcBorders>
            <w:shd w:val="clear" w:color="auto" w:fill="auto"/>
            <w:noWrap/>
            <w:vAlign w:val="bottom"/>
            <w:hideMark/>
          </w:tcPr>
          <w:p w14:paraId="25101C1D" w14:textId="77777777" w:rsidR="00B751D3" w:rsidRDefault="00B751D3" w:rsidP="005A3B4D">
            <w:pPr>
              <w:jc w:val="right"/>
              <w:rPr>
                <w:color w:val="000000"/>
                <w:sz w:val="20"/>
                <w:szCs w:val="20"/>
              </w:rPr>
            </w:pPr>
            <w:r>
              <w:rPr>
                <w:color w:val="000000"/>
                <w:sz w:val="20"/>
                <w:szCs w:val="20"/>
              </w:rPr>
              <w:t>0.892</w:t>
            </w:r>
          </w:p>
        </w:tc>
        <w:tc>
          <w:tcPr>
            <w:tcW w:w="864" w:type="dxa"/>
            <w:tcBorders>
              <w:top w:val="nil"/>
              <w:left w:val="nil"/>
              <w:bottom w:val="single" w:sz="4" w:space="0" w:color="auto"/>
              <w:right w:val="nil"/>
            </w:tcBorders>
            <w:shd w:val="clear" w:color="auto" w:fill="auto"/>
            <w:noWrap/>
            <w:vAlign w:val="bottom"/>
            <w:hideMark/>
          </w:tcPr>
          <w:p w14:paraId="76133AC8"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AC2F7FA" w14:textId="77777777" w:rsidR="00B751D3" w:rsidRDefault="00B751D3" w:rsidP="005A3B4D">
            <w:pPr>
              <w:jc w:val="right"/>
              <w:rPr>
                <w:color w:val="000000"/>
                <w:sz w:val="20"/>
                <w:szCs w:val="20"/>
              </w:rPr>
            </w:pPr>
            <w:r>
              <w:rPr>
                <w:color w:val="000000"/>
                <w:sz w:val="20"/>
                <w:szCs w:val="20"/>
              </w:rPr>
              <w:t>-0.052</w:t>
            </w:r>
          </w:p>
        </w:tc>
        <w:tc>
          <w:tcPr>
            <w:tcW w:w="864" w:type="dxa"/>
            <w:gridSpan w:val="2"/>
            <w:tcBorders>
              <w:top w:val="nil"/>
              <w:left w:val="nil"/>
              <w:bottom w:val="single" w:sz="4" w:space="0" w:color="auto"/>
              <w:right w:val="nil"/>
            </w:tcBorders>
            <w:shd w:val="clear" w:color="auto" w:fill="auto"/>
            <w:noWrap/>
            <w:vAlign w:val="bottom"/>
            <w:hideMark/>
          </w:tcPr>
          <w:p w14:paraId="04B00C43" w14:textId="77777777" w:rsidR="00B751D3" w:rsidRDefault="00B751D3" w:rsidP="005A3B4D">
            <w:pPr>
              <w:jc w:val="right"/>
              <w:rPr>
                <w:color w:val="000000"/>
                <w:sz w:val="20"/>
                <w:szCs w:val="20"/>
              </w:rPr>
            </w:pPr>
            <w:r>
              <w:rPr>
                <w:color w:val="000000"/>
                <w:sz w:val="20"/>
                <w:szCs w:val="20"/>
              </w:rPr>
              <w:t>0.377</w:t>
            </w:r>
          </w:p>
        </w:tc>
        <w:tc>
          <w:tcPr>
            <w:tcW w:w="864" w:type="dxa"/>
            <w:tcBorders>
              <w:top w:val="nil"/>
              <w:left w:val="nil"/>
              <w:bottom w:val="single" w:sz="4" w:space="0" w:color="auto"/>
              <w:right w:val="nil"/>
            </w:tcBorders>
            <w:shd w:val="clear" w:color="auto" w:fill="auto"/>
            <w:noWrap/>
            <w:vAlign w:val="bottom"/>
            <w:hideMark/>
          </w:tcPr>
          <w:p w14:paraId="70D32307" w14:textId="77777777" w:rsidR="00B751D3" w:rsidRDefault="00B751D3" w:rsidP="005A3B4D">
            <w:pPr>
              <w:jc w:val="right"/>
              <w:rPr>
                <w:color w:val="000000"/>
                <w:sz w:val="20"/>
                <w:szCs w:val="20"/>
              </w:rPr>
            </w:pPr>
            <w:r>
              <w:rPr>
                <w:color w:val="000000"/>
                <w:sz w:val="20"/>
                <w:szCs w:val="20"/>
              </w:rPr>
              <w:t>0.003</w:t>
            </w:r>
          </w:p>
        </w:tc>
      </w:tr>
      <w:tr w:rsidR="00B751D3" w14:paraId="78EAA67F" w14:textId="77777777" w:rsidTr="005A3B4D">
        <w:trPr>
          <w:trHeight w:val="320"/>
        </w:trPr>
        <w:tc>
          <w:tcPr>
            <w:tcW w:w="1152" w:type="dxa"/>
            <w:tcBorders>
              <w:top w:val="nil"/>
              <w:left w:val="nil"/>
              <w:bottom w:val="nil"/>
              <w:right w:val="nil"/>
            </w:tcBorders>
            <w:shd w:val="clear" w:color="auto" w:fill="auto"/>
            <w:noWrap/>
            <w:vAlign w:val="bottom"/>
            <w:hideMark/>
          </w:tcPr>
          <w:p w14:paraId="1966FF9A" w14:textId="77777777" w:rsidR="00B751D3" w:rsidRDefault="00B751D3" w:rsidP="005A3B4D">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1F686D92" w14:textId="77777777" w:rsidR="00B751D3" w:rsidRDefault="00B751D3"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4403D7A" w14:textId="77777777" w:rsidR="00B751D3" w:rsidRDefault="00B751D3" w:rsidP="005A3B4D">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2F833714" w14:textId="77777777" w:rsidR="00B751D3" w:rsidRDefault="00B751D3" w:rsidP="005A3B4D">
            <w:pPr>
              <w:jc w:val="right"/>
              <w:rPr>
                <w:color w:val="000000"/>
                <w:sz w:val="20"/>
                <w:szCs w:val="20"/>
              </w:rPr>
            </w:pPr>
            <w:r>
              <w:rPr>
                <w:color w:val="000000"/>
                <w:sz w:val="20"/>
                <w:szCs w:val="20"/>
              </w:rPr>
              <w:t>0.236</w:t>
            </w:r>
          </w:p>
        </w:tc>
        <w:tc>
          <w:tcPr>
            <w:tcW w:w="864" w:type="dxa"/>
            <w:tcBorders>
              <w:top w:val="nil"/>
              <w:left w:val="nil"/>
              <w:bottom w:val="nil"/>
              <w:right w:val="nil"/>
            </w:tcBorders>
            <w:shd w:val="clear" w:color="auto" w:fill="auto"/>
            <w:noWrap/>
            <w:vAlign w:val="bottom"/>
            <w:hideMark/>
          </w:tcPr>
          <w:p w14:paraId="57E4D839" w14:textId="77777777" w:rsidR="00B751D3" w:rsidRDefault="00B751D3"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147FA5F" w14:textId="77777777" w:rsidR="00B751D3" w:rsidRDefault="00B751D3" w:rsidP="005A3B4D">
            <w:pPr>
              <w:jc w:val="right"/>
              <w:rPr>
                <w:color w:val="000000"/>
                <w:sz w:val="20"/>
                <w:szCs w:val="20"/>
              </w:rPr>
            </w:pPr>
            <w:r>
              <w:rPr>
                <w:color w:val="000000"/>
                <w:sz w:val="20"/>
                <w:szCs w:val="20"/>
              </w:rPr>
              <w:t>-0.009</w:t>
            </w:r>
          </w:p>
        </w:tc>
        <w:tc>
          <w:tcPr>
            <w:tcW w:w="864" w:type="dxa"/>
            <w:gridSpan w:val="2"/>
            <w:tcBorders>
              <w:top w:val="nil"/>
              <w:left w:val="nil"/>
              <w:bottom w:val="nil"/>
              <w:right w:val="nil"/>
            </w:tcBorders>
            <w:shd w:val="clear" w:color="auto" w:fill="auto"/>
            <w:noWrap/>
            <w:vAlign w:val="bottom"/>
            <w:hideMark/>
          </w:tcPr>
          <w:p w14:paraId="415CC50F"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1F00B348" w14:textId="77777777" w:rsidR="00B751D3" w:rsidRDefault="00B751D3" w:rsidP="005A3B4D">
            <w:pPr>
              <w:jc w:val="right"/>
              <w:rPr>
                <w:color w:val="000000"/>
                <w:sz w:val="20"/>
                <w:szCs w:val="20"/>
              </w:rPr>
            </w:pPr>
            <w:r>
              <w:rPr>
                <w:color w:val="000000"/>
                <w:sz w:val="20"/>
                <w:szCs w:val="20"/>
              </w:rPr>
              <w:t>0.000</w:t>
            </w:r>
          </w:p>
        </w:tc>
      </w:tr>
      <w:tr w:rsidR="00B751D3" w14:paraId="1C0BA896" w14:textId="77777777" w:rsidTr="005A3B4D">
        <w:trPr>
          <w:trHeight w:val="320"/>
        </w:trPr>
        <w:tc>
          <w:tcPr>
            <w:tcW w:w="1152" w:type="dxa"/>
            <w:tcBorders>
              <w:top w:val="nil"/>
              <w:left w:val="nil"/>
              <w:bottom w:val="nil"/>
              <w:right w:val="nil"/>
            </w:tcBorders>
            <w:shd w:val="clear" w:color="auto" w:fill="auto"/>
            <w:noWrap/>
            <w:vAlign w:val="bottom"/>
            <w:hideMark/>
          </w:tcPr>
          <w:p w14:paraId="5D025211"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D1340CD" w14:textId="77777777" w:rsidR="00B751D3" w:rsidRDefault="00B751D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6A9BE28" w14:textId="77777777" w:rsidR="00B751D3" w:rsidRDefault="00B751D3"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58F0DB86" w14:textId="77777777" w:rsidR="00B751D3" w:rsidRDefault="00B751D3" w:rsidP="005A3B4D">
            <w:pPr>
              <w:jc w:val="right"/>
              <w:rPr>
                <w:color w:val="000000"/>
                <w:sz w:val="20"/>
                <w:szCs w:val="20"/>
              </w:rPr>
            </w:pPr>
            <w:r>
              <w:rPr>
                <w:color w:val="000000"/>
                <w:sz w:val="20"/>
                <w:szCs w:val="20"/>
              </w:rPr>
              <w:t>0.841</w:t>
            </w:r>
          </w:p>
        </w:tc>
        <w:tc>
          <w:tcPr>
            <w:tcW w:w="864" w:type="dxa"/>
            <w:tcBorders>
              <w:top w:val="nil"/>
              <w:left w:val="nil"/>
              <w:bottom w:val="nil"/>
              <w:right w:val="nil"/>
            </w:tcBorders>
            <w:shd w:val="clear" w:color="auto" w:fill="auto"/>
            <w:noWrap/>
            <w:vAlign w:val="bottom"/>
            <w:hideMark/>
          </w:tcPr>
          <w:p w14:paraId="2B227919"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48C909E" w14:textId="77777777" w:rsidR="00B751D3" w:rsidRDefault="00B751D3" w:rsidP="005A3B4D">
            <w:pPr>
              <w:jc w:val="right"/>
              <w:rPr>
                <w:color w:val="000000"/>
                <w:sz w:val="20"/>
                <w:szCs w:val="20"/>
              </w:rPr>
            </w:pPr>
            <w:r>
              <w:rPr>
                <w:color w:val="000000"/>
                <w:sz w:val="20"/>
                <w:szCs w:val="20"/>
              </w:rPr>
              <w:t>-0.012</w:t>
            </w:r>
          </w:p>
        </w:tc>
        <w:tc>
          <w:tcPr>
            <w:tcW w:w="864" w:type="dxa"/>
            <w:gridSpan w:val="2"/>
            <w:tcBorders>
              <w:top w:val="nil"/>
              <w:left w:val="nil"/>
              <w:bottom w:val="nil"/>
              <w:right w:val="nil"/>
            </w:tcBorders>
            <w:shd w:val="clear" w:color="auto" w:fill="auto"/>
            <w:noWrap/>
            <w:vAlign w:val="bottom"/>
            <w:hideMark/>
          </w:tcPr>
          <w:p w14:paraId="7F94E3BF"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0DF21B3D" w14:textId="77777777" w:rsidR="00B751D3" w:rsidRDefault="00B751D3" w:rsidP="005A3B4D">
            <w:pPr>
              <w:jc w:val="right"/>
              <w:rPr>
                <w:color w:val="000000"/>
                <w:sz w:val="20"/>
                <w:szCs w:val="20"/>
              </w:rPr>
            </w:pPr>
            <w:r>
              <w:rPr>
                <w:color w:val="000000"/>
                <w:sz w:val="20"/>
                <w:szCs w:val="20"/>
              </w:rPr>
              <w:t>0.000</w:t>
            </w:r>
          </w:p>
        </w:tc>
      </w:tr>
      <w:tr w:rsidR="00B751D3" w14:paraId="5D533EA0" w14:textId="77777777" w:rsidTr="005A3B4D">
        <w:trPr>
          <w:trHeight w:val="320"/>
        </w:trPr>
        <w:tc>
          <w:tcPr>
            <w:tcW w:w="1152" w:type="dxa"/>
            <w:tcBorders>
              <w:top w:val="nil"/>
              <w:left w:val="nil"/>
              <w:bottom w:val="nil"/>
              <w:right w:val="nil"/>
            </w:tcBorders>
            <w:shd w:val="clear" w:color="auto" w:fill="auto"/>
            <w:noWrap/>
            <w:vAlign w:val="bottom"/>
            <w:hideMark/>
          </w:tcPr>
          <w:p w14:paraId="064F4987"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AC47B03" w14:textId="77777777" w:rsidR="00B751D3" w:rsidRDefault="00B751D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EAFFA0E" w14:textId="77777777" w:rsidR="00B751D3" w:rsidRDefault="00B751D3" w:rsidP="005A3B4D">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5018CE5E" w14:textId="77777777" w:rsidR="00B751D3" w:rsidRDefault="00B751D3" w:rsidP="005A3B4D">
            <w:pPr>
              <w:jc w:val="right"/>
              <w:rPr>
                <w:color w:val="000000"/>
                <w:sz w:val="20"/>
                <w:szCs w:val="20"/>
              </w:rPr>
            </w:pPr>
            <w:r>
              <w:rPr>
                <w:color w:val="000000"/>
                <w:sz w:val="20"/>
                <w:szCs w:val="20"/>
              </w:rPr>
              <w:t>0.808</w:t>
            </w:r>
          </w:p>
        </w:tc>
        <w:tc>
          <w:tcPr>
            <w:tcW w:w="864" w:type="dxa"/>
            <w:tcBorders>
              <w:top w:val="nil"/>
              <w:left w:val="nil"/>
              <w:bottom w:val="nil"/>
              <w:right w:val="nil"/>
            </w:tcBorders>
            <w:shd w:val="clear" w:color="auto" w:fill="auto"/>
            <w:noWrap/>
            <w:vAlign w:val="bottom"/>
            <w:hideMark/>
          </w:tcPr>
          <w:p w14:paraId="62B1B979"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725422E" w14:textId="77777777" w:rsidR="00B751D3" w:rsidRDefault="00B751D3" w:rsidP="005A3B4D">
            <w:pPr>
              <w:jc w:val="right"/>
              <w:rPr>
                <w:color w:val="000000"/>
                <w:sz w:val="20"/>
                <w:szCs w:val="20"/>
              </w:rPr>
            </w:pPr>
            <w:r>
              <w:rPr>
                <w:color w:val="000000"/>
                <w:sz w:val="20"/>
                <w:szCs w:val="20"/>
              </w:rPr>
              <w:t>0.012</w:t>
            </w:r>
          </w:p>
        </w:tc>
        <w:tc>
          <w:tcPr>
            <w:tcW w:w="864" w:type="dxa"/>
            <w:gridSpan w:val="2"/>
            <w:tcBorders>
              <w:top w:val="nil"/>
              <w:left w:val="nil"/>
              <w:bottom w:val="nil"/>
              <w:right w:val="nil"/>
            </w:tcBorders>
            <w:shd w:val="clear" w:color="auto" w:fill="auto"/>
            <w:noWrap/>
            <w:vAlign w:val="bottom"/>
            <w:hideMark/>
          </w:tcPr>
          <w:p w14:paraId="4B68B5C7"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0B126FAF" w14:textId="77777777" w:rsidR="00B751D3" w:rsidRDefault="00B751D3" w:rsidP="005A3B4D">
            <w:pPr>
              <w:jc w:val="right"/>
              <w:rPr>
                <w:color w:val="000000"/>
                <w:sz w:val="20"/>
                <w:szCs w:val="20"/>
              </w:rPr>
            </w:pPr>
            <w:r>
              <w:rPr>
                <w:color w:val="000000"/>
                <w:sz w:val="20"/>
                <w:szCs w:val="20"/>
              </w:rPr>
              <w:t>0.000</w:t>
            </w:r>
          </w:p>
        </w:tc>
      </w:tr>
      <w:tr w:rsidR="00B751D3" w14:paraId="7C3168E5" w14:textId="77777777" w:rsidTr="005A3B4D">
        <w:trPr>
          <w:trHeight w:val="320"/>
        </w:trPr>
        <w:tc>
          <w:tcPr>
            <w:tcW w:w="1152" w:type="dxa"/>
            <w:tcBorders>
              <w:top w:val="nil"/>
              <w:left w:val="nil"/>
              <w:bottom w:val="nil"/>
              <w:right w:val="nil"/>
            </w:tcBorders>
            <w:shd w:val="clear" w:color="auto" w:fill="auto"/>
            <w:noWrap/>
            <w:vAlign w:val="bottom"/>
            <w:hideMark/>
          </w:tcPr>
          <w:p w14:paraId="5D9666DA"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DF49428" w14:textId="77777777" w:rsidR="00B751D3" w:rsidRDefault="00B751D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AE4B000" w14:textId="77777777" w:rsidR="00B751D3" w:rsidRDefault="00B751D3"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1240D861" w14:textId="77777777" w:rsidR="00B751D3" w:rsidRDefault="00B751D3" w:rsidP="005A3B4D">
            <w:pPr>
              <w:jc w:val="right"/>
              <w:rPr>
                <w:color w:val="000000"/>
                <w:sz w:val="20"/>
                <w:szCs w:val="20"/>
              </w:rPr>
            </w:pPr>
            <w:r>
              <w:rPr>
                <w:color w:val="000000"/>
                <w:sz w:val="20"/>
                <w:szCs w:val="20"/>
              </w:rPr>
              <w:t>0.841</w:t>
            </w:r>
          </w:p>
        </w:tc>
        <w:tc>
          <w:tcPr>
            <w:tcW w:w="864" w:type="dxa"/>
            <w:tcBorders>
              <w:top w:val="nil"/>
              <w:left w:val="nil"/>
              <w:bottom w:val="nil"/>
              <w:right w:val="nil"/>
            </w:tcBorders>
            <w:shd w:val="clear" w:color="auto" w:fill="auto"/>
            <w:noWrap/>
            <w:vAlign w:val="bottom"/>
            <w:hideMark/>
          </w:tcPr>
          <w:p w14:paraId="5CB9B5B0"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B7C0078" w14:textId="77777777" w:rsidR="00B751D3" w:rsidRDefault="00B751D3" w:rsidP="005A3B4D">
            <w:pPr>
              <w:jc w:val="right"/>
              <w:rPr>
                <w:color w:val="000000"/>
                <w:sz w:val="20"/>
                <w:szCs w:val="20"/>
              </w:rPr>
            </w:pPr>
            <w:r>
              <w:rPr>
                <w:color w:val="000000"/>
                <w:sz w:val="20"/>
                <w:szCs w:val="20"/>
              </w:rPr>
              <w:t>0.004</w:t>
            </w:r>
          </w:p>
        </w:tc>
        <w:tc>
          <w:tcPr>
            <w:tcW w:w="864" w:type="dxa"/>
            <w:gridSpan w:val="2"/>
            <w:tcBorders>
              <w:top w:val="nil"/>
              <w:left w:val="nil"/>
              <w:bottom w:val="nil"/>
              <w:right w:val="nil"/>
            </w:tcBorders>
            <w:shd w:val="clear" w:color="auto" w:fill="auto"/>
            <w:noWrap/>
            <w:vAlign w:val="bottom"/>
            <w:hideMark/>
          </w:tcPr>
          <w:p w14:paraId="3F2AEC23"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6CB1CDCF" w14:textId="77777777" w:rsidR="00B751D3" w:rsidRDefault="00B751D3" w:rsidP="005A3B4D">
            <w:pPr>
              <w:jc w:val="right"/>
              <w:rPr>
                <w:color w:val="000000"/>
                <w:sz w:val="20"/>
                <w:szCs w:val="20"/>
              </w:rPr>
            </w:pPr>
            <w:r>
              <w:rPr>
                <w:color w:val="000000"/>
                <w:sz w:val="20"/>
                <w:szCs w:val="20"/>
              </w:rPr>
              <w:t>0.000</w:t>
            </w:r>
          </w:p>
        </w:tc>
      </w:tr>
      <w:tr w:rsidR="00B751D3" w14:paraId="77A8A572" w14:textId="77777777" w:rsidTr="005A3B4D">
        <w:trPr>
          <w:trHeight w:val="320"/>
        </w:trPr>
        <w:tc>
          <w:tcPr>
            <w:tcW w:w="1152" w:type="dxa"/>
            <w:tcBorders>
              <w:top w:val="nil"/>
              <w:left w:val="nil"/>
              <w:bottom w:val="nil"/>
              <w:right w:val="nil"/>
            </w:tcBorders>
            <w:shd w:val="clear" w:color="auto" w:fill="auto"/>
            <w:noWrap/>
            <w:vAlign w:val="bottom"/>
            <w:hideMark/>
          </w:tcPr>
          <w:p w14:paraId="0E920C36"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3EB2034" w14:textId="77777777" w:rsidR="00B751D3" w:rsidRDefault="00B751D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E3F214A" w14:textId="77777777" w:rsidR="00B751D3" w:rsidRDefault="00B751D3" w:rsidP="005A3B4D">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16ECE8C8" w14:textId="77777777" w:rsidR="00B751D3" w:rsidRDefault="00B751D3" w:rsidP="005A3B4D">
            <w:pPr>
              <w:jc w:val="right"/>
              <w:rPr>
                <w:color w:val="000000"/>
                <w:sz w:val="20"/>
                <w:szCs w:val="20"/>
              </w:rPr>
            </w:pPr>
            <w:r>
              <w:rPr>
                <w:color w:val="000000"/>
                <w:sz w:val="20"/>
                <w:szCs w:val="20"/>
              </w:rPr>
              <w:t>0.841</w:t>
            </w:r>
          </w:p>
        </w:tc>
        <w:tc>
          <w:tcPr>
            <w:tcW w:w="864" w:type="dxa"/>
            <w:tcBorders>
              <w:top w:val="nil"/>
              <w:left w:val="nil"/>
              <w:bottom w:val="nil"/>
              <w:right w:val="nil"/>
            </w:tcBorders>
            <w:shd w:val="clear" w:color="auto" w:fill="auto"/>
            <w:noWrap/>
            <w:vAlign w:val="bottom"/>
            <w:hideMark/>
          </w:tcPr>
          <w:p w14:paraId="19AAEC6B"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D3C7B58" w14:textId="77777777" w:rsidR="00B751D3" w:rsidRDefault="00B751D3" w:rsidP="005A3B4D">
            <w:pPr>
              <w:jc w:val="right"/>
              <w:rPr>
                <w:color w:val="000000"/>
                <w:sz w:val="20"/>
                <w:szCs w:val="20"/>
              </w:rPr>
            </w:pPr>
            <w:r>
              <w:rPr>
                <w:color w:val="000000"/>
                <w:sz w:val="20"/>
                <w:szCs w:val="20"/>
              </w:rPr>
              <w:t>-0.014</w:t>
            </w:r>
          </w:p>
        </w:tc>
        <w:tc>
          <w:tcPr>
            <w:tcW w:w="864" w:type="dxa"/>
            <w:gridSpan w:val="2"/>
            <w:tcBorders>
              <w:top w:val="nil"/>
              <w:left w:val="nil"/>
              <w:bottom w:val="nil"/>
              <w:right w:val="nil"/>
            </w:tcBorders>
            <w:shd w:val="clear" w:color="auto" w:fill="auto"/>
            <w:noWrap/>
            <w:vAlign w:val="bottom"/>
            <w:hideMark/>
          </w:tcPr>
          <w:p w14:paraId="2454BAD5"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61904B61" w14:textId="77777777" w:rsidR="00B751D3" w:rsidRDefault="00B751D3" w:rsidP="005A3B4D">
            <w:pPr>
              <w:jc w:val="right"/>
              <w:rPr>
                <w:color w:val="000000"/>
                <w:sz w:val="20"/>
                <w:szCs w:val="20"/>
              </w:rPr>
            </w:pPr>
            <w:r>
              <w:rPr>
                <w:color w:val="000000"/>
                <w:sz w:val="20"/>
                <w:szCs w:val="20"/>
              </w:rPr>
              <w:t>0.000</w:t>
            </w:r>
          </w:p>
        </w:tc>
      </w:tr>
      <w:tr w:rsidR="00B751D3" w14:paraId="53EB8704" w14:textId="77777777" w:rsidTr="005A3B4D">
        <w:trPr>
          <w:trHeight w:val="320"/>
        </w:trPr>
        <w:tc>
          <w:tcPr>
            <w:tcW w:w="1152" w:type="dxa"/>
            <w:tcBorders>
              <w:top w:val="nil"/>
              <w:left w:val="nil"/>
              <w:bottom w:val="nil"/>
              <w:right w:val="nil"/>
            </w:tcBorders>
            <w:shd w:val="clear" w:color="auto" w:fill="auto"/>
            <w:noWrap/>
            <w:vAlign w:val="bottom"/>
            <w:hideMark/>
          </w:tcPr>
          <w:p w14:paraId="1BE0051F"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C312FBA" w14:textId="77777777" w:rsidR="00B751D3" w:rsidRDefault="00B751D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600FEFD" w14:textId="77777777" w:rsidR="00B751D3" w:rsidRDefault="00B751D3" w:rsidP="005A3B4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6F42F2AB" w14:textId="77777777" w:rsidR="00B751D3" w:rsidRDefault="00B751D3" w:rsidP="005A3B4D">
            <w:pPr>
              <w:jc w:val="right"/>
              <w:rPr>
                <w:color w:val="000000"/>
                <w:sz w:val="20"/>
                <w:szCs w:val="20"/>
              </w:rPr>
            </w:pPr>
            <w:r>
              <w:rPr>
                <w:color w:val="000000"/>
                <w:sz w:val="20"/>
                <w:szCs w:val="20"/>
              </w:rPr>
              <w:t>0.236</w:t>
            </w:r>
          </w:p>
        </w:tc>
        <w:tc>
          <w:tcPr>
            <w:tcW w:w="864" w:type="dxa"/>
            <w:tcBorders>
              <w:top w:val="nil"/>
              <w:left w:val="nil"/>
              <w:bottom w:val="nil"/>
              <w:right w:val="nil"/>
            </w:tcBorders>
            <w:shd w:val="clear" w:color="auto" w:fill="auto"/>
            <w:noWrap/>
            <w:vAlign w:val="bottom"/>
            <w:hideMark/>
          </w:tcPr>
          <w:p w14:paraId="76648440" w14:textId="77777777" w:rsidR="00B751D3" w:rsidRDefault="00B751D3"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9328E74" w14:textId="77777777" w:rsidR="00B751D3" w:rsidRDefault="00B751D3" w:rsidP="005A3B4D">
            <w:pPr>
              <w:jc w:val="right"/>
              <w:rPr>
                <w:color w:val="000000"/>
                <w:sz w:val="20"/>
                <w:szCs w:val="20"/>
              </w:rPr>
            </w:pPr>
            <w:r>
              <w:rPr>
                <w:color w:val="000000"/>
                <w:sz w:val="20"/>
                <w:szCs w:val="20"/>
              </w:rPr>
              <w:t>0.005</w:t>
            </w:r>
          </w:p>
        </w:tc>
        <w:tc>
          <w:tcPr>
            <w:tcW w:w="864" w:type="dxa"/>
            <w:gridSpan w:val="2"/>
            <w:tcBorders>
              <w:top w:val="nil"/>
              <w:left w:val="nil"/>
              <w:bottom w:val="nil"/>
              <w:right w:val="nil"/>
            </w:tcBorders>
            <w:shd w:val="clear" w:color="auto" w:fill="auto"/>
            <w:noWrap/>
            <w:vAlign w:val="bottom"/>
            <w:hideMark/>
          </w:tcPr>
          <w:p w14:paraId="738FADB6"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6A081A72" w14:textId="77777777" w:rsidR="00B751D3" w:rsidRDefault="00B751D3" w:rsidP="005A3B4D">
            <w:pPr>
              <w:jc w:val="right"/>
              <w:rPr>
                <w:color w:val="000000"/>
                <w:sz w:val="20"/>
                <w:szCs w:val="20"/>
              </w:rPr>
            </w:pPr>
            <w:r>
              <w:rPr>
                <w:color w:val="000000"/>
                <w:sz w:val="20"/>
                <w:szCs w:val="20"/>
              </w:rPr>
              <w:t>0.000</w:t>
            </w:r>
          </w:p>
        </w:tc>
      </w:tr>
      <w:tr w:rsidR="00B751D3" w14:paraId="1A10F906" w14:textId="77777777" w:rsidTr="005A3B4D">
        <w:trPr>
          <w:trHeight w:val="320"/>
        </w:trPr>
        <w:tc>
          <w:tcPr>
            <w:tcW w:w="1152" w:type="dxa"/>
            <w:tcBorders>
              <w:top w:val="nil"/>
              <w:left w:val="nil"/>
              <w:bottom w:val="nil"/>
              <w:right w:val="nil"/>
            </w:tcBorders>
            <w:shd w:val="clear" w:color="auto" w:fill="auto"/>
            <w:noWrap/>
            <w:vAlign w:val="bottom"/>
            <w:hideMark/>
          </w:tcPr>
          <w:p w14:paraId="0DA78B1C"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F905ECD" w14:textId="77777777" w:rsidR="00B751D3" w:rsidRDefault="00B751D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091D011" w14:textId="77777777" w:rsidR="00B751D3" w:rsidRDefault="00B751D3" w:rsidP="005A3B4D">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44E7DDBD" w14:textId="77777777" w:rsidR="00B751D3" w:rsidRDefault="00B751D3" w:rsidP="005A3B4D">
            <w:pPr>
              <w:jc w:val="right"/>
              <w:rPr>
                <w:color w:val="000000"/>
                <w:sz w:val="20"/>
                <w:szCs w:val="20"/>
              </w:rPr>
            </w:pPr>
            <w:r>
              <w:rPr>
                <w:color w:val="000000"/>
                <w:sz w:val="20"/>
                <w:szCs w:val="20"/>
              </w:rPr>
              <w:t>0.841</w:t>
            </w:r>
          </w:p>
        </w:tc>
        <w:tc>
          <w:tcPr>
            <w:tcW w:w="864" w:type="dxa"/>
            <w:tcBorders>
              <w:top w:val="nil"/>
              <w:left w:val="nil"/>
              <w:bottom w:val="nil"/>
              <w:right w:val="nil"/>
            </w:tcBorders>
            <w:shd w:val="clear" w:color="auto" w:fill="auto"/>
            <w:noWrap/>
            <w:vAlign w:val="bottom"/>
            <w:hideMark/>
          </w:tcPr>
          <w:p w14:paraId="0E327308"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073A571" w14:textId="77777777" w:rsidR="00B751D3" w:rsidRDefault="00B751D3" w:rsidP="005A3B4D">
            <w:pPr>
              <w:jc w:val="right"/>
              <w:rPr>
                <w:color w:val="000000"/>
                <w:sz w:val="20"/>
                <w:szCs w:val="20"/>
              </w:rPr>
            </w:pPr>
            <w:r>
              <w:rPr>
                <w:color w:val="000000"/>
                <w:sz w:val="20"/>
                <w:szCs w:val="20"/>
              </w:rPr>
              <w:t>-0.051</w:t>
            </w:r>
          </w:p>
        </w:tc>
        <w:tc>
          <w:tcPr>
            <w:tcW w:w="864" w:type="dxa"/>
            <w:gridSpan w:val="2"/>
            <w:tcBorders>
              <w:top w:val="nil"/>
              <w:left w:val="nil"/>
              <w:bottom w:val="nil"/>
              <w:right w:val="nil"/>
            </w:tcBorders>
            <w:shd w:val="clear" w:color="auto" w:fill="auto"/>
            <w:noWrap/>
            <w:vAlign w:val="bottom"/>
            <w:hideMark/>
          </w:tcPr>
          <w:p w14:paraId="2F9EA7FC"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749F3068" w14:textId="77777777" w:rsidR="00B751D3" w:rsidRDefault="00B751D3" w:rsidP="005A3B4D">
            <w:pPr>
              <w:jc w:val="right"/>
              <w:rPr>
                <w:color w:val="000000"/>
                <w:sz w:val="20"/>
                <w:szCs w:val="20"/>
              </w:rPr>
            </w:pPr>
            <w:r>
              <w:rPr>
                <w:color w:val="000000"/>
                <w:sz w:val="20"/>
                <w:szCs w:val="20"/>
              </w:rPr>
              <w:t>0.003</w:t>
            </w:r>
          </w:p>
        </w:tc>
      </w:tr>
      <w:tr w:rsidR="00B751D3" w14:paraId="54007E12"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182E1CBF" w14:textId="77777777" w:rsidR="00B751D3" w:rsidRDefault="00B751D3"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C117C64" w14:textId="77777777" w:rsidR="00B751D3" w:rsidRDefault="00B751D3"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5DDDA3B" w14:textId="77777777" w:rsidR="00B751D3" w:rsidRDefault="00B751D3" w:rsidP="005A3B4D">
            <w:pPr>
              <w:jc w:val="right"/>
              <w:rPr>
                <w:color w:val="000000"/>
                <w:sz w:val="20"/>
                <w:szCs w:val="20"/>
              </w:rPr>
            </w:pPr>
            <w:r>
              <w:rPr>
                <w:color w:val="000000"/>
                <w:sz w:val="20"/>
                <w:szCs w:val="20"/>
              </w:rPr>
              <w:t>-0.007</w:t>
            </w:r>
          </w:p>
        </w:tc>
        <w:tc>
          <w:tcPr>
            <w:tcW w:w="864" w:type="dxa"/>
            <w:tcBorders>
              <w:top w:val="nil"/>
              <w:left w:val="nil"/>
              <w:bottom w:val="single" w:sz="4" w:space="0" w:color="auto"/>
              <w:right w:val="nil"/>
            </w:tcBorders>
            <w:shd w:val="clear" w:color="auto" w:fill="auto"/>
            <w:noWrap/>
            <w:vAlign w:val="bottom"/>
            <w:hideMark/>
          </w:tcPr>
          <w:p w14:paraId="2B09AB01" w14:textId="77777777" w:rsidR="00B751D3" w:rsidRDefault="00B751D3" w:rsidP="005A3B4D">
            <w:pPr>
              <w:jc w:val="right"/>
              <w:rPr>
                <w:color w:val="000000"/>
                <w:sz w:val="20"/>
                <w:szCs w:val="20"/>
              </w:rPr>
            </w:pPr>
            <w:r>
              <w:rPr>
                <w:color w:val="000000"/>
                <w:sz w:val="20"/>
                <w:szCs w:val="20"/>
              </w:rPr>
              <w:t>0.841</w:t>
            </w:r>
          </w:p>
        </w:tc>
        <w:tc>
          <w:tcPr>
            <w:tcW w:w="864" w:type="dxa"/>
            <w:tcBorders>
              <w:top w:val="nil"/>
              <w:left w:val="nil"/>
              <w:bottom w:val="single" w:sz="4" w:space="0" w:color="auto"/>
              <w:right w:val="nil"/>
            </w:tcBorders>
            <w:shd w:val="clear" w:color="auto" w:fill="auto"/>
            <w:noWrap/>
            <w:vAlign w:val="bottom"/>
            <w:hideMark/>
          </w:tcPr>
          <w:p w14:paraId="2CF2073A"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C0C08F2" w14:textId="77777777" w:rsidR="00B751D3" w:rsidRDefault="00B751D3" w:rsidP="005A3B4D">
            <w:pPr>
              <w:jc w:val="right"/>
              <w:rPr>
                <w:color w:val="000000"/>
                <w:sz w:val="20"/>
                <w:szCs w:val="20"/>
              </w:rPr>
            </w:pPr>
            <w:r>
              <w:rPr>
                <w:color w:val="000000"/>
                <w:sz w:val="20"/>
                <w:szCs w:val="20"/>
              </w:rPr>
              <w:t>-0.045</w:t>
            </w:r>
          </w:p>
        </w:tc>
        <w:tc>
          <w:tcPr>
            <w:tcW w:w="864" w:type="dxa"/>
            <w:gridSpan w:val="2"/>
            <w:tcBorders>
              <w:top w:val="nil"/>
              <w:left w:val="nil"/>
              <w:bottom w:val="single" w:sz="4" w:space="0" w:color="auto"/>
              <w:right w:val="nil"/>
            </w:tcBorders>
            <w:shd w:val="clear" w:color="auto" w:fill="auto"/>
            <w:noWrap/>
            <w:vAlign w:val="bottom"/>
            <w:hideMark/>
          </w:tcPr>
          <w:p w14:paraId="54C013B0"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single" w:sz="4" w:space="0" w:color="auto"/>
              <w:right w:val="nil"/>
            </w:tcBorders>
            <w:shd w:val="clear" w:color="auto" w:fill="auto"/>
            <w:noWrap/>
            <w:vAlign w:val="bottom"/>
            <w:hideMark/>
          </w:tcPr>
          <w:p w14:paraId="67C036BA" w14:textId="77777777" w:rsidR="00B751D3" w:rsidRDefault="00B751D3" w:rsidP="005A3B4D">
            <w:pPr>
              <w:jc w:val="right"/>
              <w:rPr>
                <w:color w:val="000000"/>
                <w:sz w:val="20"/>
                <w:szCs w:val="20"/>
              </w:rPr>
            </w:pPr>
            <w:r>
              <w:rPr>
                <w:color w:val="000000"/>
                <w:sz w:val="20"/>
                <w:szCs w:val="20"/>
              </w:rPr>
              <w:t>0.002</w:t>
            </w:r>
          </w:p>
        </w:tc>
      </w:tr>
      <w:tr w:rsidR="00B751D3" w14:paraId="5E7A8041" w14:textId="77777777" w:rsidTr="005A3B4D">
        <w:trPr>
          <w:trHeight w:val="320"/>
        </w:trPr>
        <w:tc>
          <w:tcPr>
            <w:tcW w:w="1152" w:type="dxa"/>
            <w:tcBorders>
              <w:top w:val="nil"/>
              <w:left w:val="nil"/>
              <w:bottom w:val="nil"/>
              <w:right w:val="nil"/>
            </w:tcBorders>
            <w:shd w:val="clear" w:color="auto" w:fill="auto"/>
            <w:noWrap/>
            <w:vAlign w:val="bottom"/>
            <w:hideMark/>
          </w:tcPr>
          <w:p w14:paraId="31F16616" w14:textId="77777777" w:rsidR="00B751D3" w:rsidRDefault="00B751D3" w:rsidP="005A3B4D">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14E622E6" w14:textId="77777777" w:rsidR="00B751D3" w:rsidRDefault="00B751D3"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5BD5A147" w14:textId="77777777" w:rsidR="00B751D3" w:rsidRDefault="00B751D3" w:rsidP="005A3B4D">
            <w:pPr>
              <w:jc w:val="right"/>
              <w:rPr>
                <w:color w:val="000000"/>
                <w:sz w:val="20"/>
                <w:szCs w:val="20"/>
              </w:rPr>
            </w:pPr>
            <w:r>
              <w:rPr>
                <w:color w:val="000000"/>
                <w:sz w:val="20"/>
                <w:szCs w:val="20"/>
              </w:rPr>
              <w:t>-0.069</w:t>
            </w:r>
          </w:p>
        </w:tc>
        <w:tc>
          <w:tcPr>
            <w:tcW w:w="864" w:type="dxa"/>
            <w:tcBorders>
              <w:top w:val="nil"/>
              <w:left w:val="nil"/>
              <w:bottom w:val="nil"/>
              <w:right w:val="nil"/>
            </w:tcBorders>
            <w:shd w:val="clear" w:color="auto" w:fill="auto"/>
            <w:noWrap/>
            <w:vAlign w:val="bottom"/>
            <w:hideMark/>
          </w:tcPr>
          <w:p w14:paraId="2D9904D3" w14:textId="77777777" w:rsidR="00B751D3" w:rsidRDefault="00B751D3" w:rsidP="005A3B4D">
            <w:pPr>
              <w:jc w:val="right"/>
              <w:rPr>
                <w:color w:val="000000"/>
                <w:sz w:val="20"/>
                <w:szCs w:val="20"/>
              </w:rPr>
            </w:pPr>
            <w:r>
              <w:rPr>
                <w:color w:val="000000"/>
                <w:sz w:val="20"/>
                <w:szCs w:val="20"/>
              </w:rPr>
              <w:t>0.088</w:t>
            </w:r>
          </w:p>
        </w:tc>
        <w:tc>
          <w:tcPr>
            <w:tcW w:w="864" w:type="dxa"/>
            <w:tcBorders>
              <w:top w:val="nil"/>
              <w:left w:val="nil"/>
              <w:bottom w:val="nil"/>
              <w:right w:val="nil"/>
            </w:tcBorders>
            <w:shd w:val="clear" w:color="auto" w:fill="auto"/>
            <w:noWrap/>
            <w:vAlign w:val="bottom"/>
            <w:hideMark/>
          </w:tcPr>
          <w:p w14:paraId="625AD8EF" w14:textId="77777777" w:rsidR="00B751D3" w:rsidRDefault="00B751D3"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52413133" w14:textId="77777777" w:rsidR="00B751D3" w:rsidRDefault="00B751D3" w:rsidP="005A3B4D">
            <w:pPr>
              <w:jc w:val="right"/>
              <w:rPr>
                <w:color w:val="000000"/>
                <w:sz w:val="20"/>
                <w:szCs w:val="20"/>
              </w:rPr>
            </w:pPr>
            <w:r>
              <w:rPr>
                <w:color w:val="000000"/>
                <w:sz w:val="20"/>
                <w:szCs w:val="20"/>
              </w:rPr>
              <w:t>0.017</w:t>
            </w:r>
          </w:p>
        </w:tc>
        <w:tc>
          <w:tcPr>
            <w:tcW w:w="864" w:type="dxa"/>
            <w:gridSpan w:val="2"/>
            <w:tcBorders>
              <w:top w:val="nil"/>
              <w:left w:val="nil"/>
              <w:bottom w:val="nil"/>
              <w:right w:val="nil"/>
            </w:tcBorders>
            <w:shd w:val="clear" w:color="auto" w:fill="auto"/>
            <w:noWrap/>
            <w:vAlign w:val="bottom"/>
            <w:hideMark/>
          </w:tcPr>
          <w:p w14:paraId="2A094C58" w14:textId="77777777" w:rsidR="00B751D3" w:rsidRDefault="00B751D3" w:rsidP="005A3B4D">
            <w:pPr>
              <w:jc w:val="right"/>
              <w:rPr>
                <w:color w:val="000000"/>
                <w:sz w:val="20"/>
                <w:szCs w:val="20"/>
              </w:rPr>
            </w:pPr>
            <w:r>
              <w:rPr>
                <w:color w:val="000000"/>
                <w:sz w:val="20"/>
                <w:szCs w:val="20"/>
              </w:rPr>
              <w:t>0.773</w:t>
            </w:r>
          </w:p>
        </w:tc>
        <w:tc>
          <w:tcPr>
            <w:tcW w:w="864" w:type="dxa"/>
            <w:tcBorders>
              <w:top w:val="nil"/>
              <w:left w:val="nil"/>
              <w:bottom w:val="nil"/>
              <w:right w:val="nil"/>
            </w:tcBorders>
            <w:shd w:val="clear" w:color="auto" w:fill="auto"/>
            <w:noWrap/>
            <w:vAlign w:val="bottom"/>
            <w:hideMark/>
          </w:tcPr>
          <w:p w14:paraId="41C28524" w14:textId="77777777" w:rsidR="00B751D3" w:rsidRDefault="00B751D3" w:rsidP="005A3B4D">
            <w:pPr>
              <w:jc w:val="right"/>
              <w:rPr>
                <w:color w:val="000000"/>
                <w:sz w:val="20"/>
                <w:szCs w:val="20"/>
              </w:rPr>
            </w:pPr>
            <w:r>
              <w:rPr>
                <w:color w:val="000000"/>
                <w:sz w:val="20"/>
                <w:szCs w:val="20"/>
              </w:rPr>
              <w:t>0.000</w:t>
            </w:r>
          </w:p>
        </w:tc>
      </w:tr>
      <w:tr w:rsidR="00B751D3" w14:paraId="09B775F9" w14:textId="77777777" w:rsidTr="005A3B4D">
        <w:trPr>
          <w:trHeight w:val="320"/>
        </w:trPr>
        <w:tc>
          <w:tcPr>
            <w:tcW w:w="1152" w:type="dxa"/>
            <w:tcBorders>
              <w:top w:val="nil"/>
              <w:left w:val="nil"/>
              <w:bottom w:val="nil"/>
              <w:right w:val="nil"/>
            </w:tcBorders>
            <w:shd w:val="clear" w:color="auto" w:fill="auto"/>
            <w:noWrap/>
            <w:vAlign w:val="bottom"/>
            <w:hideMark/>
          </w:tcPr>
          <w:p w14:paraId="1C973713"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028983C" w14:textId="77777777" w:rsidR="00B751D3" w:rsidRDefault="00B751D3"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06528CF" w14:textId="77777777" w:rsidR="00B751D3" w:rsidRDefault="00B751D3" w:rsidP="005A3B4D">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23DB8683" w14:textId="77777777" w:rsidR="00B751D3" w:rsidRDefault="00B751D3" w:rsidP="005A3B4D">
            <w:pPr>
              <w:jc w:val="right"/>
              <w:rPr>
                <w:color w:val="000000"/>
                <w:sz w:val="20"/>
                <w:szCs w:val="20"/>
              </w:rPr>
            </w:pPr>
            <w:r>
              <w:rPr>
                <w:color w:val="000000"/>
                <w:sz w:val="20"/>
                <w:szCs w:val="20"/>
              </w:rPr>
              <w:t>0.672</w:t>
            </w:r>
          </w:p>
        </w:tc>
        <w:tc>
          <w:tcPr>
            <w:tcW w:w="864" w:type="dxa"/>
            <w:tcBorders>
              <w:top w:val="nil"/>
              <w:left w:val="nil"/>
              <w:bottom w:val="nil"/>
              <w:right w:val="nil"/>
            </w:tcBorders>
            <w:shd w:val="clear" w:color="auto" w:fill="auto"/>
            <w:noWrap/>
            <w:vAlign w:val="bottom"/>
            <w:hideMark/>
          </w:tcPr>
          <w:p w14:paraId="37C405FD"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6268FCD" w14:textId="77777777" w:rsidR="00B751D3" w:rsidRDefault="00B751D3" w:rsidP="005A3B4D">
            <w:pPr>
              <w:jc w:val="right"/>
              <w:rPr>
                <w:color w:val="000000"/>
                <w:sz w:val="20"/>
                <w:szCs w:val="20"/>
              </w:rPr>
            </w:pPr>
            <w:r>
              <w:rPr>
                <w:color w:val="000000"/>
                <w:sz w:val="20"/>
                <w:szCs w:val="20"/>
              </w:rPr>
              <w:t>-0.024</w:t>
            </w:r>
          </w:p>
        </w:tc>
        <w:tc>
          <w:tcPr>
            <w:tcW w:w="864" w:type="dxa"/>
            <w:gridSpan w:val="2"/>
            <w:tcBorders>
              <w:top w:val="nil"/>
              <w:left w:val="nil"/>
              <w:bottom w:val="nil"/>
              <w:right w:val="nil"/>
            </w:tcBorders>
            <w:shd w:val="clear" w:color="auto" w:fill="auto"/>
            <w:noWrap/>
            <w:vAlign w:val="bottom"/>
            <w:hideMark/>
          </w:tcPr>
          <w:p w14:paraId="4067A3F5" w14:textId="77777777" w:rsidR="00B751D3" w:rsidRDefault="00B751D3" w:rsidP="005A3B4D">
            <w:pPr>
              <w:jc w:val="right"/>
              <w:rPr>
                <w:color w:val="000000"/>
                <w:sz w:val="20"/>
                <w:szCs w:val="20"/>
              </w:rPr>
            </w:pPr>
            <w:r>
              <w:rPr>
                <w:color w:val="000000"/>
                <w:sz w:val="20"/>
                <w:szCs w:val="20"/>
              </w:rPr>
              <w:t>0.773</w:t>
            </w:r>
          </w:p>
        </w:tc>
        <w:tc>
          <w:tcPr>
            <w:tcW w:w="864" w:type="dxa"/>
            <w:tcBorders>
              <w:top w:val="nil"/>
              <w:left w:val="nil"/>
              <w:bottom w:val="nil"/>
              <w:right w:val="nil"/>
            </w:tcBorders>
            <w:shd w:val="clear" w:color="auto" w:fill="auto"/>
            <w:noWrap/>
            <w:vAlign w:val="bottom"/>
            <w:hideMark/>
          </w:tcPr>
          <w:p w14:paraId="6309CAD7" w14:textId="77777777" w:rsidR="00B751D3" w:rsidRDefault="00B751D3" w:rsidP="005A3B4D">
            <w:pPr>
              <w:jc w:val="right"/>
              <w:rPr>
                <w:color w:val="000000"/>
                <w:sz w:val="20"/>
                <w:szCs w:val="20"/>
              </w:rPr>
            </w:pPr>
            <w:r>
              <w:rPr>
                <w:color w:val="000000"/>
                <w:sz w:val="20"/>
                <w:szCs w:val="20"/>
              </w:rPr>
              <w:t>0.001</w:t>
            </w:r>
          </w:p>
        </w:tc>
      </w:tr>
      <w:tr w:rsidR="00B751D3" w14:paraId="749E32AC" w14:textId="77777777" w:rsidTr="005A3B4D">
        <w:trPr>
          <w:trHeight w:val="320"/>
        </w:trPr>
        <w:tc>
          <w:tcPr>
            <w:tcW w:w="1152" w:type="dxa"/>
            <w:tcBorders>
              <w:top w:val="nil"/>
              <w:left w:val="nil"/>
              <w:bottom w:val="nil"/>
              <w:right w:val="nil"/>
            </w:tcBorders>
            <w:shd w:val="clear" w:color="auto" w:fill="auto"/>
            <w:noWrap/>
            <w:vAlign w:val="bottom"/>
            <w:hideMark/>
          </w:tcPr>
          <w:p w14:paraId="5E357918"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4736AEE" w14:textId="77777777" w:rsidR="00B751D3" w:rsidRDefault="00B751D3"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ADA04CE"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8F70C3B" w14:textId="77777777" w:rsidR="00B751D3" w:rsidRDefault="00B751D3" w:rsidP="005A3B4D">
            <w:pPr>
              <w:jc w:val="right"/>
              <w:rPr>
                <w:color w:val="000000"/>
                <w:sz w:val="20"/>
                <w:szCs w:val="20"/>
              </w:rPr>
            </w:pPr>
            <w:r>
              <w:rPr>
                <w:color w:val="000000"/>
                <w:sz w:val="20"/>
                <w:szCs w:val="20"/>
              </w:rPr>
              <w:t>0.993</w:t>
            </w:r>
          </w:p>
        </w:tc>
        <w:tc>
          <w:tcPr>
            <w:tcW w:w="864" w:type="dxa"/>
            <w:tcBorders>
              <w:top w:val="nil"/>
              <w:left w:val="nil"/>
              <w:bottom w:val="nil"/>
              <w:right w:val="nil"/>
            </w:tcBorders>
            <w:shd w:val="clear" w:color="auto" w:fill="auto"/>
            <w:noWrap/>
            <w:vAlign w:val="bottom"/>
            <w:hideMark/>
          </w:tcPr>
          <w:p w14:paraId="789D1284"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CDC3F0D" w14:textId="77777777" w:rsidR="00B751D3" w:rsidRDefault="00B751D3" w:rsidP="005A3B4D">
            <w:pPr>
              <w:jc w:val="right"/>
              <w:rPr>
                <w:color w:val="000000"/>
                <w:sz w:val="20"/>
                <w:szCs w:val="20"/>
              </w:rPr>
            </w:pPr>
            <w:r>
              <w:rPr>
                <w:color w:val="000000"/>
                <w:sz w:val="20"/>
                <w:szCs w:val="20"/>
              </w:rPr>
              <w:t>0.034</w:t>
            </w:r>
          </w:p>
        </w:tc>
        <w:tc>
          <w:tcPr>
            <w:tcW w:w="864" w:type="dxa"/>
            <w:gridSpan w:val="2"/>
            <w:tcBorders>
              <w:top w:val="nil"/>
              <w:left w:val="nil"/>
              <w:bottom w:val="nil"/>
              <w:right w:val="nil"/>
            </w:tcBorders>
            <w:shd w:val="clear" w:color="auto" w:fill="auto"/>
            <w:noWrap/>
            <w:vAlign w:val="bottom"/>
            <w:hideMark/>
          </w:tcPr>
          <w:p w14:paraId="686B9B2E" w14:textId="77777777" w:rsidR="00B751D3" w:rsidRDefault="00B751D3" w:rsidP="005A3B4D">
            <w:pPr>
              <w:jc w:val="right"/>
              <w:rPr>
                <w:color w:val="000000"/>
                <w:sz w:val="20"/>
                <w:szCs w:val="20"/>
              </w:rPr>
            </w:pPr>
            <w:r>
              <w:rPr>
                <w:color w:val="000000"/>
                <w:sz w:val="20"/>
                <w:szCs w:val="20"/>
              </w:rPr>
              <w:t>0.773</w:t>
            </w:r>
          </w:p>
        </w:tc>
        <w:tc>
          <w:tcPr>
            <w:tcW w:w="864" w:type="dxa"/>
            <w:tcBorders>
              <w:top w:val="nil"/>
              <w:left w:val="nil"/>
              <w:bottom w:val="nil"/>
              <w:right w:val="nil"/>
            </w:tcBorders>
            <w:shd w:val="clear" w:color="auto" w:fill="auto"/>
            <w:noWrap/>
            <w:vAlign w:val="bottom"/>
            <w:hideMark/>
          </w:tcPr>
          <w:p w14:paraId="032D1C2A" w14:textId="77777777" w:rsidR="00B751D3" w:rsidRDefault="00B751D3" w:rsidP="005A3B4D">
            <w:pPr>
              <w:jc w:val="right"/>
              <w:rPr>
                <w:color w:val="000000"/>
                <w:sz w:val="20"/>
                <w:szCs w:val="20"/>
              </w:rPr>
            </w:pPr>
            <w:r>
              <w:rPr>
                <w:color w:val="000000"/>
                <w:sz w:val="20"/>
                <w:szCs w:val="20"/>
              </w:rPr>
              <w:t>0.001</w:t>
            </w:r>
          </w:p>
        </w:tc>
      </w:tr>
      <w:tr w:rsidR="00B751D3" w14:paraId="6AC04956" w14:textId="77777777" w:rsidTr="005A3B4D">
        <w:trPr>
          <w:trHeight w:val="320"/>
        </w:trPr>
        <w:tc>
          <w:tcPr>
            <w:tcW w:w="1152" w:type="dxa"/>
            <w:tcBorders>
              <w:top w:val="nil"/>
              <w:left w:val="nil"/>
              <w:bottom w:val="nil"/>
              <w:right w:val="nil"/>
            </w:tcBorders>
            <w:shd w:val="clear" w:color="auto" w:fill="auto"/>
            <w:noWrap/>
            <w:vAlign w:val="bottom"/>
            <w:hideMark/>
          </w:tcPr>
          <w:p w14:paraId="740AF242"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2FCD5F8" w14:textId="77777777" w:rsidR="00B751D3" w:rsidRDefault="00B751D3"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8A97F03" w14:textId="77777777" w:rsidR="00B751D3" w:rsidRDefault="00B751D3" w:rsidP="005A3B4D">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397A497E" w14:textId="77777777" w:rsidR="00B751D3" w:rsidRDefault="00B751D3" w:rsidP="005A3B4D">
            <w:pPr>
              <w:jc w:val="right"/>
              <w:rPr>
                <w:color w:val="000000"/>
                <w:sz w:val="20"/>
                <w:szCs w:val="20"/>
              </w:rPr>
            </w:pPr>
            <w:r>
              <w:rPr>
                <w:color w:val="000000"/>
                <w:sz w:val="20"/>
                <w:szCs w:val="20"/>
              </w:rPr>
              <w:t>0.136</w:t>
            </w:r>
          </w:p>
        </w:tc>
        <w:tc>
          <w:tcPr>
            <w:tcW w:w="864" w:type="dxa"/>
            <w:tcBorders>
              <w:top w:val="nil"/>
              <w:left w:val="nil"/>
              <w:bottom w:val="nil"/>
              <w:right w:val="nil"/>
            </w:tcBorders>
            <w:shd w:val="clear" w:color="auto" w:fill="auto"/>
            <w:noWrap/>
            <w:vAlign w:val="bottom"/>
            <w:hideMark/>
          </w:tcPr>
          <w:p w14:paraId="2362317B" w14:textId="77777777" w:rsidR="00B751D3" w:rsidRDefault="00B751D3"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910F2D6" w14:textId="77777777" w:rsidR="00B751D3" w:rsidRDefault="00B751D3" w:rsidP="005A3B4D">
            <w:pPr>
              <w:jc w:val="right"/>
              <w:rPr>
                <w:color w:val="000000"/>
                <w:sz w:val="20"/>
                <w:szCs w:val="20"/>
              </w:rPr>
            </w:pPr>
            <w:r>
              <w:rPr>
                <w:color w:val="000000"/>
                <w:sz w:val="20"/>
                <w:szCs w:val="20"/>
              </w:rPr>
              <w:t>0.021</w:t>
            </w:r>
          </w:p>
        </w:tc>
        <w:tc>
          <w:tcPr>
            <w:tcW w:w="864" w:type="dxa"/>
            <w:gridSpan w:val="2"/>
            <w:tcBorders>
              <w:top w:val="nil"/>
              <w:left w:val="nil"/>
              <w:bottom w:val="nil"/>
              <w:right w:val="nil"/>
            </w:tcBorders>
            <w:shd w:val="clear" w:color="auto" w:fill="auto"/>
            <w:noWrap/>
            <w:vAlign w:val="bottom"/>
            <w:hideMark/>
          </w:tcPr>
          <w:p w14:paraId="6A40A33A" w14:textId="77777777" w:rsidR="00B751D3" w:rsidRDefault="00B751D3" w:rsidP="005A3B4D">
            <w:pPr>
              <w:jc w:val="right"/>
              <w:rPr>
                <w:color w:val="000000"/>
                <w:sz w:val="20"/>
                <w:szCs w:val="20"/>
              </w:rPr>
            </w:pPr>
            <w:r>
              <w:rPr>
                <w:color w:val="000000"/>
                <w:sz w:val="20"/>
                <w:szCs w:val="20"/>
              </w:rPr>
              <w:t>0.773</w:t>
            </w:r>
          </w:p>
        </w:tc>
        <w:tc>
          <w:tcPr>
            <w:tcW w:w="864" w:type="dxa"/>
            <w:tcBorders>
              <w:top w:val="nil"/>
              <w:left w:val="nil"/>
              <w:bottom w:val="nil"/>
              <w:right w:val="nil"/>
            </w:tcBorders>
            <w:shd w:val="clear" w:color="auto" w:fill="auto"/>
            <w:noWrap/>
            <w:vAlign w:val="bottom"/>
            <w:hideMark/>
          </w:tcPr>
          <w:p w14:paraId="4CC2DDB5" w14:textId="77777777" w:rsidR="00B751D3" w:rsidRDefault="00B751D3" w:rsidP="005A3B4D">
            <w:pPr>
              <w:jc w:val="right"/>
              <w:rPr>
                <w:color w:val="000000"/>
                <w:sz w:val="20"/>
                <w:szCs w:val="20"/>
              </w:rPr>
            </w:pPr>
            <w:r>
              <w:rPr>
                <w:color w:val="000000"/>
                <w:sz w:val="20"/>
                <w:szCs w:val="20"/>
              </w:rPr>
              <w:t>0.000</w:t>
            </w:r>
          </w:p>
        </w:tc>
      </w:tr>
      <w:tr w:rsidR="00B751D3" w14:paraId="326BBBFD" w14:textId="77777777" w:rsidTr="005A3B4D">
        <w:trPr>
          <w:trHeight w:val="320"/>
        </w:trPr>
        <w:tc>
          <w:tcPr>
            <w:tcW w:w="1152" w:type="dxa"/>
            <w:tcBorders>
              <w:top w:val="nil"/>
              <w:left w:val="nil"/>
              <w:bottom w:val="nil"/>
              <w:right w:val="nil"/>
            </w:tcBorders>
            <w:shd w:val="clear" w:color="auto" w:fill="auto"/>
            <w:noWrap/>
            <w:vAlign w:val="bottom"/>
            <w:hideMark/>
          </w:tcPr>
          <w:p w14:paraId="6DCA4740"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41C4862" w14:textId="77777777" w:rsidR="00B751D3" w:rsidRDefault="00B751D3"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C117AE4" w14:textId="77777777" w:rsidR="00B751D3" w:rsidRDefault="00B751D3" w:rsidP="005A3B4D">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55A46BDF" w14:textId="77777777" w:rsidR="00B751D3" w:rsidRDefault="00B751D3" w:rsidP="005A3B4D">
            <w:pPr>
              <w:jc w:val="right"/>
              <w:rPr>
                <w:color w:val="000000"/>
                <w:sz w:val="20"/>
                <w:szCs w:val="20"/>
              </w:rPr>
            </w:pPr>
            <w:r>
              <w:rPr>
                <w:color w:val="000000"/>
                <w:sz w:val="20"/>
                <w:szCs w:val="20"/>
              </w:rPr>
              <w:t>0.672</w:t>
            </w:r>
          </w:p>
        </w:tc>
        <w:tc>
          <w:tcPr>
            <w:tcW w:w="864" w:type="dxa"/>
            <w:tcBorders>
              <w:top w:val="nil"/>
              <w:left w:val="nil"/>
              <w:bottom w:val="nil"/>
              <w:right w:val="nil"/>
            </w:tcBorders>
            <w:shd w:val="clear" w:color="auto" w:fill="auto"/>
            <w:noWrap/>
            <w:vAlign w:val="bottom"/>
            <w:hideMark/>
          </w:tcPr>
          <w:p w14:paraId="1FCB2B32"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044E731" w14:textId="77777777" w:rsidR="00B751D3" w:rsidRDefault="00B751D3" w:rsidP="005A3B4D">
            <w:pPr>
              <w:jc w:val="right"/>
              <w:rPr>
                <w:color w:val="000000"/>
                <w:sz w:val="20"/>
                <w:szCs w:val="20"/>
              </w:rPr>
            </w:pPr>
            <w:r>
              <w:rPr>
                <w:color w:val="000000"/>
                <w:sz w:val="20"/>
                <w:szCs w:val="20"/>
              </w:rPr>
              <w:t>-0.005</w:t>
            </w:r>
          </w:p>
        </w:tc>
        <w:tc>
          <w:tcPr>
            <w:tcW w:w="864" w:type="dxa"/>
            <w:gridSpan w:val="2"/>
            <w:tcBorders>
              <w:top w:val="nil"/>
              <w:left w:val="nil"/>
              <w:bottom w:val="nil"/>
              <w:right w:val="nil"/>
            </w:tcBorders>
            <w:shd w:val="clear" w:color="auto" w:fill="auto"/>
            <w:noWrap/>
            <w:vAlign w:val="bottom"/>
            <w:hideMark/>
          </w:tcPr>
          <w:p w14:paraId="7E662E52"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310BF2BB" w14:textId="77777777" w:rsidR="00B751D3" w:rsidRDefault="00B751D3" w:rsidP="005A3B4D">
            <w:pPr>
              <w:jc w:val="right"/>
              <w:rPr>
                <w:color w:val="000000"/>
                <w:sz w:val="20"/>
                <w:szCs w:val="20"/>
              </w:rPr>
            </w:pPr>
            <w:r>
              <w:rPr>
                <w:color w:val="000000"/>
                <w:sz w:val="20"/>
                <w:szCs w:val="20"/>
              </w:rPr>
              <w:t>0.000</w:t>
            </w:r>
          </w:p>
        </w:tc>
      </w:tr>
      <w:tr w:rsidR="00B751D3" w14:paraId="1C9472E2" w14:textId="77777777" w:rsidTr="005A3B4D">
        <w:trPr>
          <w:trHeight w:val="320"/>
        </w:trPr>
        <w:tc>
          <w:tcPr>
            <w:tcW w:w="1152" w:type="dxa"/>
            <w:tcBorders>
              <w:top w:val="nil"/>
              <w:left w:val="nil"/>
              <w:bottom w:val="nil"/>
              <w:right w:val="nil"/>
            </w:tcBorders>
            <w:shd w:val="clear" w:color="auto" w:fill="auto"/>
            <w:noWrap/>
            <w:vAlign w:val="bottom"/>
            <w:hideMark/>
          </w:tcPr>
          <w:p w14:paraId="6A179A65"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68B0B74" w14:textId="77777777" w:rsidR="00B751D3" w:rsidRDefault="00B751D3"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F433729" w14:textId="77777777" w:rsidR="00B751D3" w:rsidRDefault="00B751D3" w:rsidP="005A3B4D">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10A7E774" w14:textId="77777777" w:rsidR="00B751D3" w:rsidRDefault="00B751D3" w:rsidP="005A3B4D">
            <w:pPr>
              <w:jc w:val="right"/>
              <w:rPr>
                <w:color w:val="000000"/>
                <w:sz w:val="20"/>
                <w:szCs w:val="20"/>
              </w:rPr>
            </w:pPr>
            <w:r>
              <w:rPr>
                <w:color w:val="000000"/>
                <w:sz w:val="20"/>
                <w:szCs w:val="20"/>
              </w:rPr>
              <w:t>0.272</w:t>
            </w:r>
          </w:p>
        </w:tc>
        <w:tc>
          <w:tcPr>
            <w:tcW w:w="864" w:type="dxa"/>
            <w:tcBorders>
              <w:top w:val="nil"/>
              <w:left w:val="nil"/>
              <w:bottom w:val="nil"/>
              <w:right w:val="nil"/>
            </w:tcBorders>
            <w:shd w:val="clear" w:color="auto" w:fill="auto"/>
            <w:noWrap/>
            <w:vAlign w:val="bottom"/>
            <w:hideMark/>
          </w:tcPr>
          <w:p w14:paraId="14671287" w14:textId="77777777" w:rsidR="00B751D3" w:rsidRDefault="00B751D3"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13E8029" w14:textId="77777777" w:rsidR="00B751D3" w:rsidRDefault="00B751D3" w:rsidP="005A3B4D">
            <w:pPr>
              <w:jc w:val="right"/>
              <w:rPr>
                <w:color w:val="000000"/>
                <w:sz w:val="20"/>
                <w:szCs w:val="20"/>
              </w:rPr>
            </w:pPr>
            <w:r>
              <w:rPr>
                <w:color w:val="000000"/>
                <w:sz w:val="20"/>
                <w:szCs w:val="20"/>
              </w:rPr>
              <w:t>0.005</w:t>
            </w:r>
          </w:p>
        </w:tc>
        <w:tc>
          <w:tcPr>
            <w:tcW w:w="864" w:type="dxa"/>
            <w:gridSpan w:val="2"/>
            <w:tcBorders>
              <w:top w:val="nil"/>
              <w:left w:val="nil"/>
              <w:bottom w:val="nil"/>
              <w:right w:val="nil"/>
            </w:tcBorders>
            <w:shd w:val="clear" w:color="auto" w:fill="auto"/>
            <w:noWrap/>
            <w:vAlign w:val="bottom"/>
            <w:hideMark/>
          </w:tcPr>
          <w:p w14:paraId="65C78ACC" w14:textId="77777777" w:rsidR="00B751D3" w:rsidRDefault="00B751D3"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33248F26" w14:textId="77777777" w:rsidR="00B751D3" w:rsidRDefault="00B751D3" w:rsidP="005A3B4D">
            <w:pPr>
              <w:jc w:val="right"/>
              <w:rPr>
                <w:color w:val="000000"/>
                <w:sz w:val="20"/>
                <w:szCs w:val="20"/>
              </w:rPr>
            </w:pPr>
            <w:r>
              <w:rPr>
                <w:color w:val="000000"/>
                <w:sz w:val="20"/>
                <w:szCs w:val="20"/>
              </w:rPr>
              <w:t>0.000</w:t>
            </w:r>
          </w:p>
        </w:tc>
      </w:tr>
      <w:tr w:rsidR="00B751D3" w14:paraId="29C59055" w14:textId="77777777" w:rsidTr="005A3B4D">
        <w:trPr>
          <w:trHeight w:val="320"/>
        </w:trPr>
        <w:tc>
          <w:tcPr>
            <w:tcW w:w="1152" w:type="dxa"/>
            <w:tcBorders>
              <w:top w:val="nil"/>
              <w:left w:val="nil"/>
              <w:bottom w:val="nil"/>
              <w:right w:val="nil"/>
            </w:tcBorders>
            <w:shd w:val="clear" w:color="auto" w:fill="auto"/>
            <w:noWrap/>
            <w:vAlign w:val="bottom"/>
            <w:hideMark/>
          </w:tcPr>
          <w:p w14:paraId="060805EC" w14:textId="77777777" w:rsidR="00B751D3" w:rsidRDefault="00B751D3"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CD7DC96" w14:textId="77777777" w:rsidR="00B751D3" w:rsidRDefault="00B751D3"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0366CFE" w14:textId="77777777" w:rsidR="00B751D3" w:rsidRDefault="00B751D3" w:rsidP="005A3B4D">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4300018C" w14:textId="77777777" w:rsidR="00B751D3" w:rsidRDefault="00B751D3" w:rsidP="005A3B4D">
            <w:pPr>
              <w:jc w:val="right"/>
              <w:rPr>
                <w:color w:val="000000"/>
                <w:sz w:val="20"/>
                <w:szCs w:val="20"/>
              </w:rPr>
            </w:pPr>
            <w:r>
              <w:rPr>
                <w:color w:val="000000"/>
                <w:sz w:val="20"/>
                <w:szCs w:val="20"/>
              </w:rPr>
              <w:t>0.472</w:t>
            </w:r>
          </w:p>
        </w:tc>
        <w:tc>
          <w:tcPr>
            <w:tcW w:w="864" w:type="dxa"/>
            <w:tcBorders>
              <w:top w:val="nil"/>
              <w:left w:val="nil"/>
              <w:bottom w:val="nil"/>
              <w:right w:val="nil"/>
            </w:tcBorders>
            <w:shd w:val="clear" w:color="auto" w:fill="auto"/>
            <w:noWrap/>
            <w:vAlign w:val="bottom"/>
            <w:hideMark/>
          </w:tcPr>
          <w:p w14:paraId="72483751" w14:textId="77777777" w:rsidR="00B751D3" w:rsidRDefault="00B751D3"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77F1663" w14:textId="77777777" w:rsidR="00B751D3" w:rsidRDefault="00B751D3" w:rsidP="005A3B4D">
            <w:pPr>
              <w:jc w:val="right"/>
              <w:rPr>
                <w:color w:val="000000"/>
                <w:sz w:val="20"/>
                <w:szCs w:val="20"/>
              </w:rPr>
            </w:pPr>
            <w:r>
              <w:rPr>
                <w:color w:val="000000"/>
                <w:sz w:val="20"/>
                <w:szCs w:val="20"/>
              </w:rPr>
              <w:t>-0.055</w:t>
            </w:r>
          </w:p>
        </w:tc>
        <w:tc>
          <w:tcPr>
            <w:tcW w:w="864" w:type="dxa"/>
            <w:gridSpan w:val="2"/>
            <w:tcBorders>
              <w:top w:val="nil"/>
              <w:left w:val="nil"/>
              <w:bottom w:val="nil"/>
              <w:right w:val="nil"/>
            </w:tcBorders>
            <w:shd w:val="clear" w:color="auto" w:fill="auto"/>
            <w:noWrap/>
            <w:vAlign w:val="bottom"/>
            <w:hideMark/>
          </w:tcPr>
          <w:p w14:paraId="418AA676" w14:textId="77777777" w:rsidR="00B751D3" w:rsidRDefault="00B751D3" w:rsidP="005A3B4D">
            <w:pPr>
              <w:jc w:val="right"/>
              <w:rPr>
                <w:color w:val="000000"/>
                <w:sz w:val="20"/>
                <w:szCs w:val="20"/>
              </w:rPr>
            </w:pPr>
            <w:r>
              <w:rPr>
                <w:color w:val="000000"/>
                <w:sz w:val="20"/>
                <w:szCs w:val="20"/>
              </w:rPr>
              <w:t>0.440</w:t>
            </w:r>
          </w:p>
        </w:tc>
        <w:tc>
          <w:tcPr>
            <w:tcW w:w="864" w:type="dxa"/>
            <w:tcBorders>
              <w:top w:val="nil"/>
              <w:left w:val="nil"/>
              <w:bottom w:val="nil"/>
              <w:right w:val="nil"/>
            </w:tcBorders>
            <w:shd w:val="clear" w:color="auto" w:fill="auto"/>
            <w:noWrap/>
            <w:vAlign w:val="bottom"/>
            <w:hideMark/>
          </w:tcPr>
          <w:p w14:paraId="7F20D62E" w14:textId="77777777" w:rsidR="00B751D3" w:rsidRDefault="00B751D3" w:rsidP="005A3B4D">
            <w:pPr>
              <w:jc w:val="right"/>
              <w:rPr>
                <w:color w:val="000000"/>
                <w:sz w:val="20"/>
                <w:szCs w:val="20"/>
              </w:rPr>
            </w:pPr>
            <w:r>
              <w:rPr>
                <w:color w:val="000000"/>
                <w:sz w:val="20"/>
                <w:szCs w:val="20"/>
              </w:rPr>
              <w:t>0.003</w:t>
            </w:r>
          </w:p>
        </w:tc>
      </w:tr>
      <w:tr w:rsidR="00B751D3" w14:paraId="115980C7"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1B3EDCD4" w14:textId="77777777" w:rsidR="00B751D3" w:rsidRDefault="00B751D3" w:rsidP="005A3B4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55AA8396" w14:textId="77777777" w:rsidR="00B751D3" w:rsidRDefault="00B751D3" w:rsidP="005A3B4D">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0986F1C7" w14:textId="77777777" w:rsidR="00B751D3" w:rsidRDefault="00B751D3" w:rsidP="005A3B4D">
            <w:pPr>
              <w:jc w:val="right"/>
              <w:rPr>
                <w:color w:val="000000"/>
                <w:sz w:val="20"/>
                <w:szCs w:val="20"/>
              </w:rPr>
            </w:pPr>
            <w:r>
              <w:rPr>
                <w:color w:val="000000"/>
                <w:sz w:val="20"/>
                <w:szCs w:val="20"/>
              </w:rPr>
              <w:t>0.021</w:t>
            </w:r>
          </w:p>
        </w:tc>
        <w:tc>
          <w:tcPr>
            <w:tcW w:w="864" w:type="dxa"/>
            <w:tcBorders>
              <w:top w:val="nil"/>
              <w:left w:val="nil"/>
              <w:bottom w:val="single" w:sz="12" w:space="0" w:color="auto"/>
              <w:right w:val="nil"/>
            </w:tcBorders>
            <w:shd w:val="clear" w:color="auto" w:fill="auto"/>
            <w:noWrap/>
            <w:vAlign w:val="bottom"/>
            <w:hideMark/>
          </w:tcPr>
          <w:p w14:paraId="18F6226E" w14:textId="77777777" w:rsidR="00B751D3" w:rsidRDefault="00B751D3" w:rsidP="005A3B4D">
            <w:pPr>
              <w:jc w:val="right"/>
              <w:rPr>
                <w:color w:val="000000"/>
                <w:sz w:val="20"/>
                <w:szCs w:val="20"/>
              </w:rPr>
            </w:pPr>
            <w:r>
              <w:rPr>
                <w:color w:val="000000"/>
                <w:sz w:val="20"/>
                <w:szCs w:val="20"/>
              </w:rPr>
              <w:t>0.672</w:t>
            </w:r>
          </w:p>
        </w:tc>
        <w:tc>
          <w:tcPr>
            <w:tcW w:w="864" w:type="dxa"/>
            <w:tcBorders>
              <w:top w:val="nil"/>
              <w:left w:val="nil"/>
              <w:bottom w:val="single" w:sz="12" w:space="0" w:color="auto"/>
              <w:right w:val="nil"/>
            </w:tcBorders>
            <w:shd w:val="clear" w:color="auto" w:fill="auto"/>
            <w:noWrap/>
            <w:vAlign w:val="bottom"/>
            <w:hideMark/>
          </w:tcPr>
          <w:p w14:paraId="3593A636" w14:textId="77777777" w:rsidR="00B751D3" w:rsidRDefault="00B751D3" w:rsidP="005A3B4D">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7C5C2DB2" w14:textId="77777777" w:rsidR="00B751D3" w:rsidRDefault="00B751D3" w:rsidP="005A3B4D">
            <w:pPr>
              <w:jc w:val="right"/>
              <w:rPr>
                <w:color w:val="000000"/>
                <w:sz w:val="20"/>
                <w:szCs w:val="20"/>
              </w:rPr>
            </w:pPr>
            <w:r>
              <w:rPr>
                <w:color w:val="000000"/>
                <w:sz w:val="20"/>
                <w:szCs w:val="20"/>
              </w:rPr>
              <w:t>-0.030</w:t>
            </w:r>
          </w:p>
        </w:tc>
        <w:tc>
          <w:tcPr>
            <w:tcW w:w="864" w:type="dxa"/>
            <w:gridSpan w:val="2"/>
            <w:tcBorders>
              <w:top w:val="nil"/>
              <w:left w:val="nil"/>
              <w:bottom w:val="single" w:sz="12" w:space="0" w:color="auto"/>
              <w:right w:val="nil"/>
            </w:tcBorders>
            <w:shd w:val="clear" w:color="auto" w:fill="auto"/>
            <w:noWrap/>
            <w:vAlign w:val="bottom"/>
            <w:hideMark/>
          </w:tcPr>
          <w:p w14:paraId="7751FBD3" w14:textId="77777777" w:rsidR="00B751D3" w:rsidRDefault="00B751D3" w:rsidP="005A3B4D">
            <w:pPr>
              <w:jc w:val="right"/>
              <w:rPr>
                <w:color w:val="000000"/>
                <w:sz w:val="20"/>
                <w:szCs w:val="20"/>
              </w:rPr>
            </w:pPr>
            <w:r>
              <w:rPr>
                <w:color w:val="000000"/>
                <w:sz w:val="20"/>
                <w:szCs w:val="20"/>
              </w:rPr>
              <w:t>0.773</w:t>
            </w:r>
          </w:p>
        </w:tc>
        <w:tc>
          <w:tcPr>
            <w:tcW w:w="864" w:type="dxa"/>
            <w:tcBorders>
              <w:top w:val="nil"/>
              <w:left w:val="nil"/>
              <w:bottom w:val="single" w:sz="12" w:space="0" w:color="auto"/>
              <w:right w:val="nil"/>
            </w:tcBorders>
            <w:shd w:val="clear" w:color="auto" w:fill="auto"/>
            <w:noWrap/>
            <w:vAlign w:val="bottom"/>
            <w:hideMark/>
          </w:tcPr>
          <w:p w14:paraId="1F36B8BA" w14:textId="77777777" w:rsidR="00B751D3" w:rsidRDefault="00B751D3" w:rsidP="005A3B4D">
            <w:pPr>
              <w:jc w:val="right"/>
              <w:rPr>
                <w:color w:val="000000"/>
                <w:sz w:val="20"/>
                <w:szCs w:val="20"/>
              </w:rPr>
            </w:pPr>
            <w:r>
              <w:rPr>
                <w:color w:val="000000"/>
                <w:sz w:val="20"/>
                <w:szCs w:val="20"/>
              </w:rPr>
              <w:t>0.001</w:t>
            </w:r>
          </w:p>
        </w:tc>
      </w:tr>
      <w:tr w:rsidR="00B751D3" w14:paraId="7CA4E137"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31AE1787" w14:textId="77777777" w:rsidR="00B751D3" w:rsidRDefault="00B751D3" w:rsidP="005A3B4D">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7EC96996"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FE48DA4"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E1A80A7"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9C669B9"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BD2BCFD" w14:textId="77777777" w:rsidR="00B751D3" w:rsidRDefault="00B751D3" w:rsidP="005A3B4D">
            <w:pPr>
              <w:rPr>
                <w:sz w:val="20"/>
                <w:szCs w:val="20"/>
              </w:rPr>
            </w:pPr>
          </w:p>
        </w:tc>
        <w:tc>
          <w:tcPr>
            <w:tcW w:w="864" w:type="dxa"/>
            <w:gridSpan w:val="2"/>
            <w:tcBorders>
              <w:top w:val="single" w:sz="12" w:space="0" w:color="auto"/>
              <w:left w:val="nil"/>
              <w:bottom w:val="nil"/>
              <w:right w:val="nil"/>
            </w:tcBorders>
            <w:shd w:val="clear" w:color="auto" w:fill="auto"/>
            <w:noWrap/>
            <w:vAlign w:val="bottom"/>
            <w:hideMark/>
          </w:tcPr>
          <w:p w14:paraId="5EA92D7F" w14:textId="77777777" w:rsidR="00B751D3" w:rsidRDefault="00B751D3"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B433715" w14:textId="77777777" w:rsidR="00B751D3" w:rsidRDefault="00B751D3" w:rsidP="005A3B4D">
            <w:pPr>
              <w:rPr>
                <w:sz w:val="20"/>
                <w:szCs w:val="20"/>
              </w:rPr>
            </w:pPr>
          </w:p>
        </w:tc>
      </w:tr>
    </w:tbl>
    <w:p w14:paraId="5C60EAD9" w14:textId="77777777" w:rsidR="00B751D3" w:rsidRDefault="00B751D3" w:rsidP="00B751D3">
      <w:pPr>
        <w:rPr>
          <w:rFonts w:ascii="Batang" w:eastAsia="Batang" w:hAnsi="Batang" w:cs="Batang"/>
          <w:color w:val="000000"/>
        </w:rPr>
      </w:pPr>
    </w:p>
    <w:p w14:paraId="0D1E6804" w14:textId="77777777" w:rsidR="00B751D3" w:rsidRDefault="00B751D3" w:rsidP="00B751D3">
      <w:pPr>
        <w:rPr>
          <w:rFonts w:ascii="Batang" w:eastAsia="Batang" w:hAnsi="Batang" w:cs="Batang"/>
          <w:color w:val="000000"/>
        </w:rPr>
      </w:pPr>
      <w:r>
        <w:rPr>
          <w:rFonts w:ascii="Batang" w:eastAsia="Batang" w:hAnsi="Batang" w:cs="Batang"/>
          <w:color w:val="000000"/>
        </w:rPr>
        <w:br w:type="page"/>
      </w:r>
    </w:p>
    <w:p w14:paraId="00026BD9" w14:textId="1312A8C9" w:rsidR="001F52C7" w:rsidRPr="00474DA8" w:rsidRDefault="001F52C7" w:rsidP="001F52C7">
      <w:pPr>
        <w:pStyle w:val="Heading1"/>
        <w:rPr>
          <w:rFonts w:ascii="Times New Roman" w:hAnsi="Times New Roman" w:cs="Times New Roman"/>
          <w:color w:val="000000" w:themeColor="text1"/>
          <w:sz w:val="24"/>
          <w:szCs w:val="24"/>
        </w:rPr>
      </w:pPr>
      <w:bookmarkStart w:id="79" w:name="_Toc155817746"/>
      <w:r w:rsidRPr="00B751D3">
        <w:rPr>
          <w:rFonts w:ascii="Times New Roman" w:hAnsi="Times New Roman" w:cs="Times New Roman"/>
          <w:b/>
          <w:bCs/>
          <w:color w:val="000000" w:themeColor="text1"/>
          <w:sz w:val="24"/>
          <w:szCs w:val="24"/>
        </w:rPr>
        <w:lastRenderedPageBreak/>
        <w:t>Table 2</w:t>
      </w:r>
      <w:r w:rsidR="0036523A" w:rsidRPr="00B751D3">
        <w:rPr>
          <w:rFonts w:ascii="Times New Roman" w:hAnsi="Times New Roman" w:cs="Times New Roman"/>
          <w:b/>
          <w:bCs/>
          <w:color w:val="000000" w:themeColor="text1"/>
          <w:sz w:val="24"/>
          <w:szCs w:val="24"/>
        </w:rPr>
        <w:t>7</w:t>
      </w:r>
      <w:r w:rsidR="00B751D3" w:rsidRPr="00B751D3">
        <w:rPr>
          <w:rFonts w:ascii="Times New Roman" w:hAnsi="Times New Roman" w:cs="Times New Roman"/>
          <w:b/>
          <w:bCs/>
          <w:color w:val="000000" w:themeColor="text1"/>
          <w:sz w:val="24"/>
          <w:szCs w:val="24"/>
        </w:rPr>
        <w:t>p</w:t>
      </w:r>
      <w:r w:rsidRPr="00B751D3">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diameter and neighborhood SES deprivation obtained from bifactor modeling and neighborhood median income during stop signal task</w:t>
      </w:r>
      <w:bookmarkEnd w:id="79"/>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CA4524" w14:paraId="11012EF6"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5398E527" w14:textId="77777777" w:rsidR="00CA4524" w:rsidRDefault="00CA4524">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2B9BE209" w14:textId="77777777" w:rsidR="00CA4524" w:rsidRDefault="00CA4524">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163B3715" w14:textId="77777777" w:rsidR="00CA4524" w:rsidRDefault="00CA4524">
            <w:pPr>
              <w:rPr>
                <w:color w:val="000000"/>
              </w:rPr>
            </w:pPr>
          </w:p>
        </w:tc>
        <w:tc>
          <w:tcPr>
            <w:tcW w:w="864" w:type="dxa"/>
            <w:tcBorders>
              <w:top w:val="nil"/>
              <w:left w:val="nil"/>
              <w:bottom w:val="single" w:sz="12" w:space="0" w:color="auto"/>
              <w:right w:val="nil"/>
            </w:tcBorders>
            <w:shd w:val="clear" w:color="auto" w:fill="auto"/>
            <w:noWrap/>
            <w:vAlign w:val="bottom"/>
            <w:hideMark/>
          </w:tcPr>
          <w:p w14:paraId="78BCE2DD" w14:textId="77777777" w:rsidR="00CA4524" w:rsidRDefault="00CA4524">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1582802" w14:textId="77777777" w:rsidR="00CA4524" w:rsidRDefault="00CA4524">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E03819C" w14:textId="77777777" w:rsidR="00CA4524" w:rsidRDefault="00CA4524">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7900FF1" w14:textId="77777777" w:rsidR="00CA4524" w:rsidRDefault="00CA4524">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CC086D3" w14:textId="77777777" w:rsidR="00CA4524" w:rsidRDefault="00CA4524">
            <w:pPr>
              <w:rPr>
                <w:sz w:val="20"/>
                <w:szCs w:val="20"/>
              </w:rPr>
            </w:pPr>
          </w:p>
        </w:tc>
      </w:tr>
      <w:tr w:rsidR="00CA4524" w14:paraId="6D057BDC"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757352D4" w14:textId="77777777" w:rsidR="00CA4524" w:rsidRDefault="00CA4524">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643D8972" w14:textId="77777777" w:rsidR="00CA4524" w:rsidRDefault="00CA4524">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27CED320" w14:textId="77777777" w:rsidR="00CA4524" w:rsidRDefault="00CA4524">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vAlign w:val="center"/>
            <w:hideMark/>
          </w:tcPr>
          <w:p w14:paraId="44863E01" w14:textId="77777777" w:rsidR="00CA4524" w:rsidRDefault="00CA4524">
            <w:pPr>
              <w:jc w:val="center"/>
              <w:rPr>
                <w:color w:val="000000"/>
                <w:sz w:val="20"/>
                <w:szCs w:val="20"/>
              </w:rPr>
            </w:pPr>
            <w:r>
              <w:rPr>
                <w:color w:val="000000"/>
                <w:sz w:val="20"/>
                <w:szCs w:val="20"/>
              </w:rPr>
              <w:t>Neighborhood Median Income</w:t>
            </w:r>
          </w:p>
        </w:tc>
      </w:tr>
      <w:tr w:rsidR="00CA4524" w14:paraId="5C3F8289"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066D9C6A" w14:textId="77777777" w:rsidR="00CA4524" w:rsidRDefault="00CA4524">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36163ACB" w14:textId="77777777" w:rsidR="00CA4524" w:rsidRDefault="00CA4524">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0DDA3EA3" w14:textId="77777777" w:rsidR="00CA4524" w:rsidRDefault="00CA4524" w:rsidP="00CA4524">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08A1B23C" w14:textId="77777777" w:rsidR="00CA4524" w:rsidRDefault="00CA4524" w:rsidP="00CA452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3E3F520F" w14:textId="7D766741" w:rsidR="00CA4524" w:rsidRDefault="00CA4524" w:rsidP="00CA4524">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1E3BCE03" w14:textId="77777777" w:rsidR="00CA4524" w:rsidRDefault="00CA4524" w:rsidP="00CA4524">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75B0448" w14:textId="77777777" w:rsidR="00CA4524" w:rsidRDefault="00CA4524" w:rsidP="00CA4524">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79C02B06" w14:textId="77777777" w:rsidR="00CA4524" w:rsidRDefault="00CA4524" w:rsidP="00CA4524">
            <w:pPr>
              <w:jc w:val="center"/>
              <w:rPr>
                <w:i/>
                <w:iCs/>
                <w:color w:val="000000"/>
                <w:sz w:val="20"/>
                <w:szCs w:val="20"/>
              </w:rPr>
            </w:pPr>
            <w:r>
              <w:rPr>
                <w:i/>
                <w:iCs/>
                <w:color w:val="000000"/>
                <w:sz w:val="20"/>
                <w:szCs w:val="20"/>
              </w:rPr>
              <w:t>R2</w:t>
            </w:r>
          </w:p>
        </w:tc>
      </w:tr>
      <w:tr w:rsidR="00CA4524" w14:paraId="4CC73142"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B7F9744" w14:textId="77777777" w:rsidR="00CA4524" w:rsidRDefault="00CA4524">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38DAC8D8" w14:textId="77777777" w:rsidR="00CA4524" w:rsidRDefault="00CA4524">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3C57E8B3" w14:textId="77777777" w:rsidR="00CA4524" w:rsidRDefault="00CA4524">
            <w:pPr>
              <w:jc w:val="right"/>
              <w:rPr>
                <w:color w:val="000000"/>
                <w:sz w:val="20"/>
                <w:szCs w:val="20"/>
              </w:rPr>
            </w:pPr>
            <w:r>
              <w:rPr>
                <w:color w:val="000000"/>
                <w:sz w:val="20"/>
                <w:szCs w:val="20"/>
              </w:rPr>
              <w:t>0.019</w:t>
            </w:r>
          </w:p>
        </w:tc>
        <w:tc>
          <w:tcPr>
            <w:tcW w:w="864" w:type="dxa"/>
            <w:tcBorders>
              <w:top w:val="single" w:sz="12" w:space="0" w:color="auto"/>
              <w:left w:val="nil"/>
              <w:bottom w:val="nil"/>
              <w:right w:val="nil"/>
            </w:tcBorders>
            <w:shd w:val="clear" w:color="auto" w:fill="auto"/>
            <w:noWrap/>
            <w:vAlign w:val="bottom"/>
            <w:hideMark/>
          </w:tcPr>
          <w:p w14:paraId="1386F9E4" w14:textId="77777777" w:rsidR="00CA4524" w:rsidRDefault="00CA4524">
            <w:pPr>
              <w:jc w:val="right"/>
              <w:rPr>
                <w:color w:val="000000"/>
                <w:sz w:val="20"/>
                <w:szCs w:val="20"/>
              </w:rPr>
            </w:pPr>
            <w:r>
              <w:rPr>
                <w:color w:val="000000"/>
                <w:sz w:val="20"/>
                <w:szCs w:val="20"/>
              </w:rPr>
              <w:t>0.883</w:t>
            </w:r>
          </w:p>
        </w:tc>
        <w:tc>
          <w:tcPr>
            <w:tcW w:w="864" w:type="dxa"/>
            <w:tcBorders>
              <w:top w:val="single" w:sz="12" w:space="0" w:color="auto"/>
              <w:left w:val="nil"/>
              <w:bottom w:val="nil"/>
              <w:right w:val="nil"/>
            </w:tcBorders>
            <w:shd w:val="clear" w:color="auto" w:fill="auto"/>
            <w:noWrap/>
            <w:vAlign w:val="bottom"/>
            <w:hideMark/>
          </w:tcPr>
          <w:p w14:paraId="3C2D51A8" w14:textId="77777777" w:rsidR="00CA4524" w:rsidRDefault="00CA4524">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31A26BDB" w14:textId="77777777" w:rsidR="00CA4524" w:rsidRDefault="00CA4524">
            <w:pPr>
              <w:jc w:val="right"/>
              <w:rPr>
                <w:color w:val="000000"/>
                <w:sz w:val="20"/>
                <w:szCs w:val="20"/>
              </w:rPr>
            </w:pPr>
            <w:r>
              <w:rPr>
                <w:color w:val="000000"/>
                <w:sz w:val="20"/>
                <w:szCs w:val="20"/>
              </w:rPr>
              <w:t>-0.003</w:t>
            </w:r>
          </w:p>
        </w:tc>
        <w:tc>
          <w:tcPr>
            <w:tcW w:w="864" w:type="dxa"/>
            <w:tcBorders>
              <w:top w:val="single" w:sz="12" w:space="0" w:color="auto"/>
              <w:left w:val="nil"/>
              <w:bottom w:val="nil"/>
              <w:right w:val="nil"/>
            </w:tcBorders>
            <w:shd w:val="clear" w:color="auto" w:fill="auto"/>
            <w:noWrap/>
            <w:vAlign w:val="bottom"/>
            <w:hideMark/>
          </w:tcPr>
          <w:p w14:paraId="3F107186" w14:textId="77777777" w:rsidR="00CA4524" w:rsidRDefault="00CA4524">
            <w:pPr>
              <w:jc w:val="right"/>
              <w:rPr>
                <w:color w:val="000000"/>
                <w:sz w:val="20"/>
                <w:szCs w:val="20"/>
              </w:rPr>
            </w:pPr>
            <w:r>
              <w:rPr>
                <w:color w:val="000000"/>
                <w:sz w:val="20"/>
                <w:szCs w:val="20"/>
              </w:rPr>
              <w:t>0.937</w:t>
            </w:r>
          </w:p>
        </w:tc>
        <w:tc>
          <w:tcPr>
            <w:tcW w:w="864" w:type="dxa"/>
            <w:tcBorders>
              <w:top w:val="single" w:sz="12" w:space="0" w:color="auto"/>
              <w:left w:val="nil"/>
              <w:bottom w:val="nil"/>
              <w:right w:val="nil"/>
            </w:tcBorders>
            <w:shd w:val="clear" w:color="auto" w:fill="auto"/>
            <w:noWrap/>
            <w:vAlign w:val="bottom"/>
            <w:hideMark/>
          </w:tcPr>
          <w:p w14:paraId="74DFE7A9" w14:textId="77777777" w:rsidR="00CA4524" w:rsidRDefault="00CA4524">
            <w:pPr>
              <w:jc w:val="right"/>
              <w:rPr>
                <w:color w:val="000000"/>
                <w:sz w:val="20"/>
                <w:szCs w:val="20"/>
              </w:rPr>
            </w:pPr>
            <w:r>
              <w:rPr>
                <w:color w:val="000000"/>
                <w:sz w:val="20"/>
                <w:szCs w:val="20"/>
              </w:rPr>
              <w:t>0.000</w:t>
            </w:r>
          </w:p>
        </w:tc>
      </w:tr>
      <w:tr w:rsidR="00CA4524" w14:paraId="566E768E" w14:textId="77777777" w:rsidTr="00CA4524">
        <w:trPr>
          <w:trHeight w:val="340"/>
        </w:trPr>
        <w:tc>
          <w:tcPr>
            <w:tcW w:w="1152" w:type="dxa"/>
            <w:tcBorders>
              <w:top w:val="nil"/>
              <w:left w:val="nil"/>
              <w:bottom w:val="nil"/>
              <w:right w:val="nil"/>
            </w:tcBorders>
            <w:shd w:val="clear" w:color="auto" w:fill="auto"/>
            <w:noWrap/>
            <w:vAlign w:val="bottom"/>
            <w:hideMark/>
          </w:tcPr>
          <w:p w14:paraId="10B99C5A"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BAFE756" w14:textId="77777777" w:rsidR="00CA4524" w:rsidRDefault="00CA4524">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64AA262" w14:textId="77777777" w:rsidR="00CA4524" w:rsidRDefault="00CA4524">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58448921" w14:textId="77777777" w:rsidR="00CA4524" w:rsidRDefault="00CA4524">
            <w:pPr>
              <w:jc w:val="right"/>
              <w:rPr>
                <w:color w:val="000000"/>
                <w:sz w:val="20"/>
                <w:szCs w:val="20"/>
              </w:rPr>
            </w:pPr>
            <w:r>
              <w:rPr>
                <w:color w:val="000000"/>
                <w:sz w:val="20"/>
                <w:szCs w:val="20"/>
              </w:rPr>
              <w:t>0.889</w:t>
            </w:r>
          </w:p>
        </w:tc>
        <w:tc>
          <w:tcPr>
            <w:tcW w:w="864" w:type="dxa"/>
            <w:tcBorders>
              <w:top w:val="nil"/>
              <w:left w:val="nil"/>
              <w:bottom w:val="nil"/>
              <w:right w:val="nil"/>
            </w:tcBorders>
            <w:shd w:val="clear" w:color="auto" w:fill="auto"/>
            <w:noWrap/>
            <w:vAlign w:val="bottom"/>
            <w:hideMark/>
          </w:tcPr>
          <w:p w14:paraId="584D96AC"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39A1C9A" w14:textId="77777777" w:rsidR="00CA4524" w:rsidRDefault="00CA4524">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3A480ACD" w14:textId="77777777" w:rsidR="00CA4524" w:rsidRDefault="00CA4524">
            <w:pPr>
              <w:jc w:val="right"/>
              <w:rPr>
                <w:color w:val="000000"/>
                <w:sz w:val="20"/>
                <w:szCs w:val="20"/>
              </w:rPr>
            </w:pPr>
            <w:r>
              <w:rPr>
                <w:color w:val="000000"/>
                <w:sz w:val="20"/>
                <w:szCs w:val="20"/>
              </w:rPr>
              <w:t>0.877</w:t>
            </w:r>
          </w:p>
        </w:tc>
        <w:tc>
          <w:tcPr>
            <w:tcW w:w="864" w:type="dxa"/>
            <w:tcBorders>
              <w:top w:val="nil"/>
              <w:left w:val="nil"/>
              <w:bottom w:val="nil"/>
              <w:right w:val="nil"/>
            </w:tcBorders>
            <w:shd w:val="clear" w:color="auto" w:fill="auto"/>
            <w:noWrap/>
            <w:vAlign w:val="bottom"/>
            <w:hideMark/>
          </w:tcPr>
          <w:p w14:paraId="78D31F8E" w14:textId="77777777" w:rsidR="00CA4524" w:rsidRDefault="00CA4524">
            <w:pPr>
              <w:jc w:val="right"/>
              <w:rPr>
                <w:color w:val="000000"/>
                <w:sz w:val="20"/>
                <w:szCs w:val="20"/>
              </w:rPr>
            </w:pPr>
            <w:r>
              <w:rPr>
                <w:color w:val="000000"/>
                <w:sz w:val="20"/>
                <w:szCs w:val="20"/>
              </w:rPr>
              <w:t>0.000</w:t>
            </w:r>
          </w:p>
        </w:tc>
      </w:tr>
      <w:tr w:rsidR="00CA4524" w14:paraId="1B9F89A8" w14:textId="77777777" w:rsidTr="00CA4524">
        <w:trPr>
          <w:trHeight w:val="320"/>
        </w:trPr>
        <w:tc>
          <w:tcPr>
            <w:tcW w:w="1152" w:type="dxa"/>
            <w:tcBorders>
              <w:top w:val="nil"/>
              <w:left w:val="nil"/>
              <w:bottom w:val="nil"/>
              <w:right w:val="nil"/>
            </w:tcBorders>
            <w:shd w:val="clear" w:color="auto" w:fill="auto"/>
            <w:noWrap/>
            <w:vAlign w:val="bottom"/>
            <w:hideMark/>
          </w:tcPr>
          <w:p w14:paraId="66C71C0C"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F8BD8DD" w14:textId="77777777" w:rsidR="00CA4524" w:rsidRDefault="00CA4524">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30B94B1" w14:textId="77777777" w:rsidR="00CA4524" w:rsidRDefault="00CA4524">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5E540E42" w14:textId="77777777" w:rsidR="00CA4524" w:rsidRDefault="00CA4524">
            <w:pPr>
              <w:jc w:val="right"/>
              <w:rPr>
                <w:color w:val="000000"/>
                <w:sz w:val="20"/>
                <w:szCs w:val="20"/>
              </w:rPr>
            </w:pPr>
            <w:r>
              <w:rPr>
                <w:color w:val="000000"/>
                <w:sz w:val="20"/>
                <w:szCs w:val="20"/>
              </w:rPr>
              <w:t>0.889</w:t>
            </w:r>
          </w:p>
        </w:tc>
        <w:tc>
          <w:tcPr>
            <w:tcW w:w="864" w:type="dxa"/>
            <w:tcBorders>
              <w:top w:val="nil"/>
              <w:left w:val="nil"/>
              <w:bottom w:val="nil"/>
              <w:right w:val="nil"/>
            </w:tcBorders>
            <w:shd w:val="clear" w:color="auto" w:fill="auto"/>
            <w:noWrap/>
            <w:vAlign w:val="bottom"/>
            <w:hideMark/>
          </w:tcPr>
          <w:p w14:paraId="59B3F083"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71EB910" w14:textId="77777777" w:rsidR="00CA4524" w:rsidRDefault="00CA4524">
            <w:pPr>
              <w:jc w:val="right"/>
              <w:rPr>
                <w:color w:val="000000"/>
                <w:sz w:val="20"/>
                <w:szCs w:val="20"/>
              </w:rPr>
            </w:pPr>
            <w:r>
              <w:rPr>
                <w:color w:val="000000"/>
                <w:sz w:val="20"/>
                <w:szCs w:val="20"/>
              </w:rPr>
              <w:t>-0.075</w:t>
            </w:r>
          </w:p>
        </w:tc>
        <w:tc>
          <w:tcPr>
            <w:tcW w:w="864" w:type="dxa"/>
            <w:tcBorders>
              <w:top w:val="nil"/>
              <w:left w:val="nil"/>
              <w:bottom w:val="nil"/>
              <w:right w:val="nil"/>
            </w:tcBorders>
            <w:shd w:val="clear" w:color="auto" w:fill="auto"/>
            <w:noWrap/>
            <w:vAlign w:val="bottom"/>
            <w:hideMark/>
          </w:tcPr>
          <w:p w14:paraId="20AE9519" w14:textId="77777777" w:rsidR="00CA4524" w:rsidRDefault="00CA4524">
            <w:pPr>
              <w:jc w:val="right"/>
              <w:rPr>
                <w:color w:val="000000"/>
                <w:sz w:val="20"/>
                <w:szCs w:val="20"/>
              </w:rPr>
            </w:pPr>
            <w:r>
              <w:rPr>
                <w:color w:val="000000"/>
                <w:sz w:val="20"/>
                <w:szCs w:val="20"/>
              </w:rPr>
              <w:t>0.776</w:t>
            </w:r>
          </w:p>
        </w:tc>
        <w:tc>
          <w:tcPr>
            <w:tcW w:w="864" w:type="dxa"/>
            <w:tcBorders>
              <w:top w:val="nil"/>
              <w:left w:val="nil"/>
              <w:bottom w:val="nil"/>
              <w:right w:val="nil"/>
            </w:tcBorders>
            <w:shd w:val="clear" w:color="auto" w:fill="auto"/>
            <w:noWrap/>
            <w:vAlign w:val="bottom"/>
            <w:hideMark/>
          </w:tcPr>
          <w:p w14:paraId="649AA457" w14:textId="77777777" w:rsidR="00CA4524" w:rsidRDefault="00CA4524">
            <w:pPr>
              <w:jc w:val="right"/>
              <w:rPr>
                <w:color w:val="000000"/>
                <w:sz w:val="20"/>
                <w:szCs w:val="20"/>
              </w:rPr>
            </w:pPr>
            <w:r>
              <w:rPr>
                <w:color w:val="000000"/>
                <w:sz w:val="20"/>
                <w:szCs w:val="20"/>
              </w:rPr>
              <w:t>0.006</w:t>
            </w:r>
          </w:p>
        </w:tc>
      </w:tr>
      <w:tr w:rsidR="00CA4524" w14:paraId="003CBF12" w14:textId="77777777" w:rsidTr="00CA4524">
        <w:trPr>
          <w:trHeight w:val="320"/>
        </w:trPr>
        <w:tc>
          <w:tcPr>
            <w:tcW w:w="1152" w:type="dxa"/>
            <w:tcBorders>
              <w:top w:val="nil"/>
              <w:left w:val="nil"/>
              <w:bottom w:val="nil"/>
              <w:right w:val="nil"/>
            </w:tcBorders>
            <w:shd w:val="clear" w:color="auto" w:fill="auto"/>
            <w:noWrap/>
            <w:vAlign w:val="bottom"/>
            <w:hideMark/>
          </w:tcPr>
          <w:p w14:paraId="5270A2A9"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61D02D0" w14:textId="77777777" w:rsidR="00CA4524" w:rsidRDefault="00CA4524">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201C219" w14:textId="77777777" w:rsidR="00CA4524" w:rsidRDefault="00CA4524">
            <w:pPr>
              <w:jc w:val="right"/>
              <w:rPr>
                <w:color w:val="000000"/>
                <w:sz w:val="20"/>
                <w:szCs w:val="20"/>
              </w:rPr>
            </w:pPr>
            <w:r>
              <w:rPr>
                <w:color w:val="000000"/>
                <w:sz w:val="20"/>
                <w:szCs w:val="20"/>
              </w:rPr>
              <w:t>0.151</w:t>
            </w:r>
          </w:p>
        </w:tc>
        <w:tc>
          <w:tcPr>
            <w:tcW w:w="864" w:type="dxa"/>
            <w:tcBorders>
              <w:top w:val="nil"/>
              <w:left w:val="nil"/>
              <w:bottom w:val="nil"/>
              <w:right w:val="nil"/>
            </w:tcBorders>
            <w:shd w:val="clear" w:color="auto" w:fill="auto"/>
            <w:noWrap/>
            <w:vAlign w:val="bottom"/>
            <w:hideMark/>
          </w:tcPr>
          <w:p w14:paraId="78801F6E" w14:textId="77777777" w:rsidR="00CA4524" w:rsidRDefault="00CA4524">
            <w:pPr>
              <w:jc w:val="right"/>
              <w:rPr>
                <w:color w:val="000000"/>
                <w:sz w:val="20"/>
                <w:szCs w:val="20"/>
              </w:rPr>
            </w:pPr>
            <w:r>
              <w:rPr>
                <w:color w:val="000000"/>
                <w:sz w:val="20"/>
                <w:szCs w:val="20"/>
              </w:rPr>
              <w:t>0.368</w:t>
            </w:r>
          </w:p>
        </w:tc>
        <w:tc>
          <w:tcPr>
            <w:tcW w:w="864" w:type="dxa"/>
            <w:tcBorders>
              <w:top w:val="nil"/>
              <w:left w:val="nil"/>
              <w:bottom w:val="nil"/>
              <w:right w:val="nil"/>
            </w:tcBorders>
            <w:shd w:val="clear" w:color="auto" w:fill="auto"/>
            <w:noWrap/>
            <w:vAlign w:val="bottom"/>
            <w:hideMark/>
          </w:tcPr>
          <w:p w14:paraId="6642C3CF" w14:textId="77777777" w:rsidR="00CA4524" w:rsidRDefault="00CA4524">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2A5EB7FD" w14:textId="77777777" w:rsidR="00CA4524" w:rsidRDefault="00CA4524">
            <w:pPr>
              <w:jc w:val="right"/>
              <w:rPr>
                <w:color w:val="000000"/>
                <w:sz w:val="20"/>
                <w:szCs w:val="20"/>
              </w:rPr>
            </w:pPr>
            <w:r>
              <w:rPr>
                <w:color w:val="000000"/>
                <w:sz w:val="20"/>
                <w:szCs w:val="20"/>
              </w:rPr>
              <w:t>0.134</w:t>
            </w:r>
          </w:p>
        </w:tc>
        <w:tc>
          <w:tcPr>
            <w:tcW w:w="864" w:type="dxa"/>
            <w:tcBorders>
              <w:top w:val="nil"/>
              <w:left w:val="nil"/>
              <w:bottom w:val="nil"/>
              <w:right w:val="nil"/>
            </w:tcBorders>
            <w:shd w:val="clear" w:color="auto" w:fill="auto"/>
            <w:noWrap/>
            <w:vAlign w:val="bottom"/>
            <w:hideMark/>
          </w:tcPr>
          <w:p w14:paraId="0EC52BF2" w14:textId="77777777" w:rsidR="00CA4524" w:rsidRDefault="00CA4524">
            <w:pPr>
              <w:jc w:val="right"/>
              <w:rPr>
                <w:color w:val="000000"/>
                <w:sz w:val="20"/>
                <w:szCs w:val="20"/>
              </w:rPr>
            </w:pPr>
            <w:r>
              <w:rPr>
                <w:color w:val="000000"/>
                <w:sz w:val="20"/>
                <w:szCs w:val="20"/>
              </w:rPr>
              <w:t>0.776</w:t>
            </w:r>
          </w:p>
        </w:tc>
        <w:tc>
          <w:tcPr>
            <w:tcW w:w="864" w:type="dxa"/>
            <w:tcBorders>
              <w:top w:val="nil"/>
              <w:left w:val="nil"/>
              <w:bottom w:val="nil"/>
              <w:right w:val="nil"/>
            </w:tcBorders>
            <w:shd w:val="clear" w:color="auto" w:fill="auto"/>
            <w:noWrap/>
            <w:vAlign w:val="bottom"/>
            <w:hideMark/>
          </w:tcPr>
          <w:p w14:paraId="3D339DE2" w14:textId="77777777" w:rsidR="00CA4524" w:rsidRDefault="00CA4524">
            <w:pPr>
              <w:jc w:val="right"/>
              <w:rPr>
                <w:color w:val="000000"/>
                <w:sz w:val="20"/>
                <w:szCs w:val="20"/>
              </w:rPr>
            </w:pPr>
            <w:r>
              <w:rPr>
                <w:color w:val="000000"/>
                <w:sz w:val="20"/>
                <w:szCs w:val="20"/>
              </w:rPr>
              <w:t>0.018</w:t>
            </w:r>
          </w:p>
        </w:tc>
      </w:tr>
      <w:tr w:rsidR="00CA4524" w14:paraId="558BC81F" w14:textId="77777777" w:rsidTr="00CA4524">
        <w:trPr>
          <w:trHeight w:val="320"/>
        </w:trPr>
        <w:tc>
          <w:tcPr>
            <w:tcW w:w="1152" w:type="dxa"/>
            <w:tcBorders>
              <w:top w:val="nil"/>
              <w:left w:val="nil"/>
              <w:bottom w:val="nil"/>
              <w:right w:val="nil"/>
            </w:tcBorders>
            <w:shd w:val="clear" w:color="auto" w:fill="auto"/>
            <w:noWrap/>
            <w:vAlign w:val="bottom"/>
            <w:hideMark/>
          </w:tcPr>
          <w:p w14:paraId="357AD275"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3E89FD5" w14:textId="77777777" w:rsidR="00CA4524" w:rsidRDefault="00CA4524">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E4881A0" w14:textId="77777777" w:rsidR="00CA4524" w:rsidRDefault="00CA4524">
            <w:pPr>
              <w:jc w:val="right"/>
              <w:rPr>
                <w:color w:val="000000"/>
                <w:sz w:val="20"/>
                <w:szCs w:val="20"/>
              </w:rPr>
            </w:pPr>
            <w:r>
              <w:rPr>
                <w:color w:val="000000"/>
                <w:sz w:val="20"/>
                <w:szCs w:val="20"/>
              </w:rPr>
              <w:t>-0.093</w:t>
            </w:r>
          </w:p>
        </w:tc>
        <w:tc>
          <w:tcPr>
            <w:tcW w:w="864" w:type="dxa"/>
            <w:tcBorders>
              <w:top w:val="nil"/>
              <w:left w:val="nil"/>
              <w:bottom w:val="nil"/>
              <w:right w:val="nil"/>
            </w:tcBorders>
            <w:shd w:val="clear" w:color="auto" w:fill="auto"/>
            <w:noWrap/>
            <w:vAlign w:val="bottom"/>
            <w:hideMark/>
          </w:tcPr>
          <w:p w14:paraId="4EA1A965" w14:textId="77777777" w:rsidR="00CA4524" w:rsidRDefault="00CA4524">
            <w:pPr>
              <w:jc w:val="right"/>
              <w:rPr>
                <w:color w:val="000000"/>
                <w:sz w:val="20"/>
                <w:szCs w:val="20"/>
              </w:rPr>
            </w:pPr>
            <w:r>
              <w:rPr>
                <w:color w:val="000000"/>
                <w:sz w:val="20"/>
                <w:szCs w:val="20"/>
              </w:rPr>
              <w:t>0.388</w:t>
            </w:r>
          </w:p>
        </w:tc>
        <w:tc>
          <w:tcPr>
            <w:tcW w:w="864" w:type="dxa"/>
            <w:tcBorders>
              <w:top w:val="nil"/>
              <w:left w:val="nil"/>
              <w:bottom w:val="nil"/>
              <w:right w:val="nil"/>
            </w:tcBorders>
            <w:shd w:val="clear" w:color="auto" w:fill="auto"/>
            <w:noWrap/>
            <w:vAlign w:val="bottom"/>
            <w:hideMark/>
          </w:tcPr>
          <w:p w14:paraId="2AEC7277" w14:textId="77777777" w:rsidR="00CA4524" w:rsidRDefault="00CA4524">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4BF012DA" w14:textId="77777777" w:rsidR="00CA4524" w:rsidRDefault="00CA4524">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541003F2" w14:textId="77777777" w:rsidR="00CA4524" w:rsidRDefault="00CA4524">
            <w:pPr>
              <w:jc w:val="right"/>
              <w:rPr>
                <w:color w:val="000000"/>
                <w:sz w:val="20"/>
                <w:szCs w:val="20"/>
              </w:rPr>
            </w:pPr>
            <w:r>
              <w:rPr>
                <w:color w:val="000000"/>
                <w:sz w:val="20"/>
                <w:szCs w:val="20"/>
              </w:rPr>
              <w:t>0.776</w:t>
            </w:r>
          </w:p>
        </w:tc>
        <w:tc>
          <w:tcPr>
            <w:tcW w:w="864" w:type="dxa"/>
            <w:tcBorders>
              <w:top w:val="nil"/>
              <w:left w:val="nil"/>
              <w:bottom w:val="nil"/>
              <w:right w:val="nil"/>
            </w:tcBorders>
            <w:shd w:val="clear" w:color="auto" w:fill="auto"/>
            <w:noWrap/>
            <w:vAlign w:val="bottom"/>
            <w:hideMark/>
          </w:tcPr>
          <w:p w14:paraId="05743116" w14:textId="77777777" w:rsidR="00CA4524" w:rsidRDefault="00CA4524">
            <w:pPr>
              <w:jc w:val="right"/>
              <w:rPr>
                <w:color w:val="000000"/>
                <w:sz w:val="20"/>
                <w:szCs w:val="20"/>
              </w:rPr>
            </w:pPr>
            <w:r>
              <w:rPr>
                <w:color w:val="000000"/>
                <w:sz w:val="20"/>
                <w:szCs w:val="20"/>
              </w:rPr>
              <w:t>0.003</w:t>
            </w:r>
          </w:p>
        </w:tc>
      </w:tr>
      <w:tr w:rsidR="00CA4524" w14:paraId="2B38D800" w14:textId="77777777" w:rsidTr="00CA4524">
        <w:trPr>
          <w:trHeight w:val="320"/>
        </w:trPr>
        <w:tc>
          <w:tcPr>
            <w:tcW w:w="1152" w:type="dxa"/>
            <w:tcBorders>
              <w:top w:val="nil"/>
              <w:left w:val="nil"/>
              <w:bottom w:val="nil"/>
              <w:right w:val="nil"/>
            </w:tcBorders>
            <w:shd w:val="clear" w:color="auto" w:fill="auto"/>
            <w:noWrap/>
            <w:vAlign w:val="bottom"/>
            <w:hideMark/>
          </w:tcPr>
          <w:p w14:paraId="6E8930C4"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20B170" w14:textId="77777777" w:rsidR="00CA4524" w:rsidRDefault="00CA4524">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143CE43" w14:textId="77777777" w:rsidR="00CA4524" w:rsidRDefault="00CA4524">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414C9923" w14:textId="77777777" w:rsidR="00CA4524" w:rsidRDefault="00CA4524">
            <w:pPr>
              <w:jc w:val="right"/>
              <w:rPr>
                <w:color w:val="000000"/>
                <w:sz w:val="20"/>
                <w:szCs w:val="20"/>
              </w:rPr>
            </w:pPr>
            <w:r>
              <w:rPr>
                <w:color w:val="000000"/>
                <w:sz w:val="20"/>
                <w:szCs w:val="20"/>
              </w:rPr>
              <w:t>0.889</w:t>
            </w:r>
          </w:p>
        </w:tc>
        <w:tc>
          <w:tcPr>
            <w:tcW w:w="864" w:type="dxa"/>
            <w:tcBorders>
              <w:top w:val="nil"/>
              <w:left w:val="nil"/>
              <w:bottom w:val="nil"/>
              <w:right w:val="nil"/>
            </w:tcBorders>
            <w:shd w:val="clear" w:color="auto" w:fill="auto"/>
            <w:noWrap/>
            <w:vAlign w:val="bottom"/>
            <w:hideMark/>
          </w:tcPr>
          <w:p w14:paraId="329BA16B"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78C4736" w14:textId="77777777" w:rsidR="00CA4524" w:rsidRDefault="00CA4524">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7B94A513" w14:textId="77777777" w:rsidR="00CA4524" w:rsidRDefault="00CA4524">
            <w:pPr>
              <w:jc w:val="right"/>
              <w:rPr>
                <w:color w:val="000000"/>
                <w:sz w:val="20"/>
                <w:szCs w:val="20"/>
              </w:rPr>
            </w:pPr>
            <w:r>
              <w:rPr>
                <w:color w:val="000000"/>
                <w:sz w:val="20"/>
                <w:szCs w:val="20"/>
              </w:rPr>
              <w:t>0.776</w:t>
            </w:r>
          </w:p>
        </w:tc>
        <w:tc>
          <w:tcPr>
            <w:tcW w:w="864" w:type="dxa"/>
            <w:tcBorders>
              <w:top w:val="nil"/>
              <w:left w:val="nil"/>
              <w:bottom w:val="nil"/>
              <w:right w:val="nil"/>
            </w:tcBorders>
            <w:shd w:val="clear" w:color="auto" w:fill="auto"/>
            <w:noWrap/>
            <w:vAlign w:val="bottom"/>
            <w:hideMark/>
          </w:tcPr>
          <w:p w14:paraId="108DCE87" w14:textId="77777777" w:rsidR="00CA4524" w:rsidRDefault="00CA4524">
            <w:pPr>
              <w:jc w:val="right"/>
              <w:rPr>
                <w:color w:val="000000"/>
                <w:sz w:val="20"/>
                <w:szCs w:val="20"/>
              </w:rPr>
            </w:pPr>
            <w:r>
              <w:rPr>
                <w:color w:val="000000"/>
                <w:sz w:val="20"/>
                <w:szCs w:val="20"/>
              </w:rPr>
              <w:t>0.001</w:t>
            </w:r>
          </w:p>
        </w:tc>
      </w:tr>
      <w:tr w:rsidR="00CA4524" w14:paraId="497E571D" w14:textId="77777777" w:rsidTr="00CA4524">
        <w:trPr>
          <w:trHeight w:val="320"/>
        </w:trPr>
        <w:tc>
          <w:tcPr>
            <w:tcW w:w="1152" w:type="dxa"/>
            <w:tcBorders>
              <w:top w:val="nil"/>
              <w:left w:val="nil"/>
              <w:bottom w:val="nil"/>
              <w:right w:val="nil"/>
            </w:tcBorders>
            <w:shd w:val="clear" w:color="auto" w:fill="auto"/>
            <w:noWrap/>
            <w:vAlign w:val="bottom"/>
            <w:hideMark/>
          </w:tcPr>
          <w:p w14:paraId="3EC3525D"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63B95DF" w14:textId="77777777" w:rsidR="00CA4524" w:rsidRDefault="00CA4524">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6F16EEB" w14:textId="77777777" w:rsidR="00CA4524" w:rsidRDefault="00CA4524">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4738FE38" w14:textId="77777777" w:rsidR="00CA4524" w:rsidRDefault="00CA4524">
            <w:pPr>
              <w:jc w:val="right"/>
              <w:rPr>
                <w:color w:val="000000"/>
                <w:sz w:val="20"/>
                <w:szCs w:val="20"/>
              </w:rPr>
            </w:pPr>
            <w:r>
              <w:rPr>
                <w:color w:val="000000"/>
                <w:sz w:val="20"/>
                <w:szCs w:val="20"/>
              </w:rPr>
              <w:t>0.883</w:t>
            </w:r>
          </w:p>
        </w:tc>
        <w:tc>
          <w:tcPr>
            <w:tcW w:w="864" w:type="dxa"/>
            <w:tcBorders>
              <w:top w:val="nil"/>
              <w:left w:val="nil"/>
              <w:bottom w:val="nil"/>
              <w:right w:val="nil"/>
            </w:tcBorders>
            <w:shd w:val="clear" w:color="auto" w:fill="auto"/>
            <w:noWrap/>
            <w:vAlign w:val="bottom"/>
            <w:hideMark/>
          </w:tcPr>
          <w:p w14:paraId="707D83CE"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A367165" w14:textId="77777777" w:rsidR="00CA4524" w:rsidRDefault="00CA4524">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35A8F766" w14:textId="77777777" w:rsidR="00CA4524" w:rsidRDefault="00CA4524">
            <w:pPr>
              <w:jc w:val="right"/>
              <w:rPr>
                <w:color w:val="000000"/>
                <w:sz w:val="20"/>
                <w:szCs w:val="20"/>
              </w:rPr>
            </w:pPr>
            <w:r>
              <w:rPr>
                <w:color w:val="000000"/>
                <w:sz w:val="20"/>
                <w:szCs w:val="20"/>
              </w:rPr>
              <w:t>0.776</w:t>
            </w:r>
          </w:p>
        </w:tc>
        <w:tc>
          <w:tcPr>
            <w:tcW w:w="864" w:type="dxa"/>
            <w:tcBorders>
              <w:top w:val="nil"/>
              <w:left w:val="nil"/>
              <w:bottom w:val="nil"/>
              <w:right w:val="nil"/>
            </w:tcBorders>
            <w:shd w:val="clear" w:color="auto" w:fill="auto"/>
            <w:noWrap/>
            <w:vAlign w:val="bottom"/>
            <w:hideMark/>
          </w:tcPr>
          <w:p w14:paraId="2E27D760" w14:textId="77777777" w:rsidR="00CA4524" w:rsidRDefault="00CA4524">
            <w:pPr>
              <w:jc w:val="right"/>
              <w:rPr>
                <w:color w:val="000000"/>
                <w:sz w:val="20"/>
                <w:szCs w:val="20"/>
              </w:rPr>
            </w:pPr>
            <w:r>
              <w:rPr>
                <w:color w:val="000000"/>
                <w:sz w:val="20"/>
                <w:szCs w:val="20"/>
              </w:rPr>
              <w:t>0.001</w:t>
            </w:r>
          </w:p>
        </w:tc>
      </w:tr>
      <w:tr w:rsidR="00CA4524" w14:paraId="4694E586" w14:textId="77777777" w:rsidTr="00CA4524">
        <w:trPr>
          <w:trHeight w:val="320"/>
        </w:trPr>
        <w:tc>
          <w:tcPr>
            <w:tcW w:w="1152" w:type="dxa"/>
            <w:tcBorders>
              <w:top w:val="nil"/>
              <w:left w:val="nil"/>
              <w:bottom w:val="single" w:sz="4" w:space="0" w:color="auto"/>
              <w:right w:val="nil"/>
            </w:tcBorders>
            <w:shd w:val="clear" w:color="auto" w:fill="auto"/>
            <w:noWrap/>
            <w:vAlign w:val="bottom"/>
            <w:hideMark/>
          </w:tcPr>
          <w:p w14:paraId="0EE0DA31" w14:textId="77777777" w:rsidR="00CA4524" w:rsidRDefault="00CA4524">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31F376E" w14:textId="77777777" w:rsidR="00CA4524" w:rsidRDefault="00CA4524">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F9E688D" w14:textId="77777777" w:rsidR="00CA4524" w:rsidRDefault="00CA4524">
            <w:pPr>
              <w:jc w:val="right"/>
              <w:rPr>
                <w:color w:val="000000"/>
                <w:sz w:val="20"/>
                <w:szCs w:val="20"/>
              </w:rPr>
            </w:pPr>
            <w:r>
              <w:rPr>
                <w:color w:val="000000"/>
                <w:sz w:val="20"/>
                <w:szCs w:val="20"/>
              </w:rPr>
              <w:t>0.053</w:t>
            </w:r>
          </w:p>
        </w:tc>
        <w:tc>
          <w:tcPr>
            <w:tcW w:w="864" w:type="dxa"/>
            <w:tcBorders>
              <w:top w:val="nil"/>
              <w:left w:val="nil"/>
              <w:bottom w:val="single" w:sz="4" w:space="0" w:color="auto"/>
              <w:right w:val="nil"/>
            </w:tcBorders>
            <w:shd w:val="clear" w:color="auto" w:fill="auto"/>
            <w:noWrap/>
            <w:vAlign w:val="bottom"/>
            <w:hideMark/>
          </w:tcPr>
          <w:p w14:paraId="3B1DD126" w14:textId="77777777" w:rsidR="00CA4524" w:rsidRDefault="00CA4524">
            <w:pPr>
              <w:jc w:val="right"/>
              <w:rPr>
                <w:color w:val="000000"/>
                <w:sz w:val="20"/>
                <w:szCs w:val="20"/>
              </w:rPr>
            </w:pPr>
            <w:r>
              <w:rPr>
                <w:color w:val="000000"/>
                <w:sz w:val="20"/>
                <w:szCs w:val="20"/>
              </w:rPr>
              <w:t>0.715</w:t>
            </w:r>
          </w:p>
        </w:tc>
        <w:tc>
          <w:tcPr>
            <w:tcW w:w="864" w:type="dxa"/>
            <w:tcBorders>
              <w:top w:val="nil"/>
              <w:left w:val="nil"/>
              <w:bottom w:val="single" w:sz="4" w:space="0" w:color="auto"/>
              <w:right w:val="nil"/>
            </w:tcBorders>
            <w:shd w:val="clear" w:color="auto" w:fill="auto"/>
            <w:noWrap/>
            <w:vAlign w:val="bottom"/>
            <w:hideMark/>
          </w:tcPr>
          <w:p w14:paraId="01ED762D" w14:textId="77777777" w:rsidR="00CA4524" w:rsidRDefault="00CA4524">
            <w:pPr>
              <w:jc w:val="right"/>
              <w:rPr>
                <w:color w:val="000000"/>
                <w:sz w:val="20"/>
                <w:szCs w:val="20"/>
              </w:rPr>
            </w:pPr>
            <w:r>
              <w:rPr>
                <w:color w:val="000000"/>
                <w:sz w:val="20"/>
                <w:szCs w:val="20"/>
              </w:rPr>
              <w:t>0.003</w:t>
            </w:r>
          </w:p>
        </w:tc>
        <w:tc>
          <w:tcPr>
            <w:tcW w:w="864" w:type="dxa"/>
            <w:tcBorders>
              <w:top w:val="nil"/>
              <w:left w:val="nil"/>
              <w:bottom w:val="single" w:sz="4" w:space="0" w:color="auto"/>
              <w:right w:val="nil"/>
            </w:tcBorders>
            <w:shd w:val="clear" w:color="auto" w:fill="auto"/>
            <w:noWrap/>
            <w:vAlign w:val="bottom"/>
            <w:hideMark/>
          </w:tcPr>
          <w:p w14:paraId="0DDB47E2" w14:textId="77777777" w:rsidR="00CA4524" w:rsidRDefault="00CA4524">
            <w:pPr>
              <w:jc w:val="right"/>
              <w:rPr>
                <w:color w:val="000000"/>
                <w:sz w:val="20"/>
                <w:szCs w:val="20"/>
              </w:rPr>
            </w:pPr>
            <w:r>
              <w:rPr>
                <w:color w:val="000000"/>
                <w:sz w:val="20"/>
                <w:szCs w:val="20"/>
              </w:rPr>
              <w:t>-0.014</w:t>
            </w:r>
          </w:p>
        </w:tc>
        <w:tc>
          <w:tcPr>
            <w:tcW w:w="864" w:type="dxa"/>
            <w:tcBorders>
              <w:top w:val="nil"/>
              <w:left w:val="nil"/>
              <w:bottom w:val="single" w:sz="4" w:space="0" w:color="auto"/>
              <w:right w:val="nil"/>
            </w:tcBorders>
            <w:shd w:val="clear" w:color="auto" w:fill="auto"/>
            <w:noWrap/>
            <w:vAlign w:val="bottom"/>
            <w:hideMark/>
          </w:tcPr>
          <w:p w14:paraId="30617109" w14:textId="77777777" w:rsidR="00CA4524" w:rsidRDefault="00CA4524">
            <w:pPr>
              <w:jc w:val="right"/>
              <w:rPr>
                <w:color w:val="000000"/>
                <w:sz w:val="20"/>
                <w:szCs w:val="20"/>
              </w:rPr>
            </w:pPr>
            <w:r>
              <w:rPr>
                <w:color w:val="000000"/>
                <w:sz w:val="20"/>
                <w:szCs w:val="20"/>
              </w:rPr>
              <w:t>0.877</w:t>
            </w:r>
          </w:p>
        </w:tc>
        <w:tc>
          <w:tcPr>
            <w:tcW w:w="864" w:type="dxa"/>
            <w:tcBorders>
              <w:top w:val="nil"/>
              <w:left w:val="nil"/>
              <w:bottom w:val="single" w:sz="4" w:space="0" w:color="auto"/>
              <w:right w:val="nil"/>
            </w:tcBorders>
            <w:shd w:val="clear" w:color="auto" w:fill="auto"/>
            <w:noWrap/>
            <w:vAlign w:val="bottom"/>
            <w:hideMark/>
          </w:tcPr>
          <w:p w14:paraId="253A3F23" w14:textId="77777777" w:rsidR="00CA4524" w:rsidRDefault="00CA4524">
            <w:pPr>
              <w:jc w:val="right"/>
              <w:rPr>
                <w:color w:val="000000"/>
                <w:sz w:val="20"/>
                <w:szCs w:val="20"/>
              </w:rPr>
            </w:pPr>
            <w:r>
              <w:rPr>
                <w:color w:val="000000"/>
                <w:sz w:val="20"/>
                <w:szCs w:val="20"/>
              </w:rPr>
              <w:t>0.000</w:t>
            </w:r>
          </w:p>
        </w:tc>
      </w:tr>
      <w:tr w:rsidR="00CA4524" w14:paraId="051FE182" w14:textId="77777777" w:rsidTr="00CA4524">
        <w:trPr>
          <w:trHeight w:val="320"/>
        </w:trPr>
        <w:tc>
          <w:tcPr>
            <w:tcW w:w="1152" w:type="dxa"/>
            <w:tcBorders>
              <w:top w:val="nil"/>
              <w:left w:val="nil"/>
              <w:bottom w:val="nil"/>
              <w:right w:val="nil"/>
            </w:tcBorders>
            <w:shd w:val="clear" w:color="auto" w:fill="auto"/>
            <w:noWrap/>
            <w:vAlign w:val="bottom"/>
            <w:hideMark/>
          </w:tcPr>
          <w:p w14:paraId="59362E47" w14:textId="77777777" w:rsidR="00CA4524" w:rsidRDefault="00CA4524">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0E9A4984" w14:textId="77777777" w:rsidR="00CA4524" w:rsidRDefault="00CA4524">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5002F9C2" w14:textId="77777777" w:rsidR="00CA4524" w:rsidRDefault="00CA4524">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1D347925" w14:textId="77777777" w:rsidR="00CA4524" w:rsidRDefault="00CA4524">
            <w:pPr>
              <w:jc w:val="right"/>
              <w:rPr>
                <w:color w:val="000000"/>
                <w:sz w:val="20"/>
                <w:szCs w:val="20"/>
              </w:rPr>
            </w:pPr>
            <w:r>
              <w:rPr>
                <w:color w:val="000000"/>
                <w:sz w:val="20"/>
                <w:szCs w:val="20"/>
              </w:rPr>
              <w:t>0.705</w:t>
            </w:r>
          </w:p>
        </w:tc>
        <w:tc>
          <w:tcPr>
            <w:tcW w:w="864" w:type="dxa"/>
            <w:tcBorders>
              <w:top w:val="nil"/>
              <w:left w:val="nil"/>
              <w:bottom w:val="nil"/>
              <w:right w:val="nil"/>
            </w:tcBorders>
            <w:shd w:val="clear" w:color="auto" w:fill="auto"/>
            <w:noWrap/>
            <w:vAlign w:val="bottom"/>
            <w:hideMark/>
          </w:tcPr>
          <w:p w14:paraId="011848FA"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BB44BB4" w14:textId="77777777" w:rsidR="00CA4524" w:rsidRDefault="00CA4524">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6EC90AA9" w14:textId="77777777" w:rsidR="00CA4524" w:rsidRDefault="00CA4524">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31AAEBAC" w14:textId="77777777" w:rsidR="00CA4524" w:rsidRDefault="00CA4524">
            <w:pPr>
              <w:jc w:val="right"/>
              <w:rPr>
                <w:color w:val="000000"/>
                <w:sz w:val="20"/>
                <w:szCs w:val="20"/>
              </w:rPr>
            </w:pPr>
            <w:r>
              <w:rPr>
                <w:color w:val="000000"/>
                <w:sz w:val="20"/>
                <w:szCs w:val="20"/>
              </w:rPr>
              <w:t>0.000</w:t>
            </w:r>
          </w:p>
        </w:tc>
      </w:tr>
      <w:tr w:rsidR="00CA4524" w14:paraId="607062FD" w14:textId="77777777" w:rsidTr="00CA4524">
        <w:trPr>
          <w:trHeight w:val="320"/>
        </w:trPr>
        <w:tc>
          <w:tcPr>
            <w:tcW w:w="1152" w:type="dxa"/>
            <w:tcBorders>
              <w:top w:val="nil"/>
              <w:left w:val="nil"/>
              <w:bottom w:val="nil"/>
              <w:right w:val="nil"/>
            </w:tcBorders>
            <w:shd w:val="clear" w:color="auto" w:fill="auto"/>
            <w:noWrap/>
            <w:vAlign w:val="bottom"/>
            <w:hideMark/>
          </w:tcPr>
          <w:p w14:paraId="331AD84C"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7E8AB8F" w14:textId="77777777" w:rsidR="00CA4524" w:rsidRDefault="00CA4524">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40A5F86" w14:textId="77777777" w:rsidR="00CA4524" w:rsidRDefault="00CA4524">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3CFF519A" w14:textId="77777777" w:rsidR="00CA4524" w:rsidRDefault="00CA4524">
            <w:pPr>
              <w:jc w:val="right"/>
              <w:rPr>
                <w:color w:val="000000"/>
                <w:sz w:val="20"/>
                <w:szCs w:val="20"/>
              </w:rPr>
            </w:pPr>
            <w:r>
              <w:rPr>
                <w:color w:val="000000"/>
                <w:sz w:val="20"/>
                <w:szCs w:val="20"/>
              </w:rPr>
              <w:t>0.705</w:t>
            </w:r>
          </w:p>
        </w:tc>
        <w:tc>
          <w:tcPr>
            <w:tcW w:w="864" w:type="dxa"/>
            <w:tcBorders>
              <w:top w:val="nil"/>
              <w:left w:val="nil"/>
              <w:bottom w:val="nil"/>
              <w:right w:val="nil"/>
            </w:tcBorders>
            <w:shd w:val="clear" w:color="auto" w:fill="auto"/>
            <w:noWrap/>
            <w:vAlign w:val="bottom"/>
            <w:hideMark/>
          </w:tcPr>
          <w:p w14:paraId="29EA4415" w14:textId="77777777" w:rsidR="00CA4524" w:rsidRDefault="00CA4524">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1B42A9E1" w14:textId="77777777" w:rsidR="00CA4524" w:rsidRDefault="00CA4524">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677BE4D1" w14:textId="77777777" w:rsidR="00CA4524" w:rsidRDefault="00CA4524">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17061C17" w14:textId="77777777" w:rsidR="00CA4524" w:rsidRDefault="00CA4524">
            <w:pPr>
              <w:jc w:val="right"/>
              <w:rPr>
                <w:color w:val="000000"/>
                <w:sz w:val="20"/>
                <w:szCs w:val="20"/>
              </w:rPr>
            </w:pPr>
            <w:r>
              <w:rPr>
                <w:color w:val="000000"/>
                <w:sz w:val="20"/>
                <w:szCs w:val="20"/>
              </w:rPr>
              <w:t>0.000</w:t>
            </w:r>
          </w:p>
        </w:tc>
      </w:tr>
      <w:tr w:rsidR="00CA4524" w14:paraId="5A11AA8C" w14:textId="77777777" w:rsidTr="00CA4524">
        <w:trPr>
          <w:trHeight w:val="320"/>
        </w:trPr>
        <w:tc>
          <w:tcPr>
            <w:tcW w:w="1152" w:type="dxa"/>
            <w:tcBorders>
              <w:top w:val="nil"/>
              <w:left w:val="nil"/>
              <w:bottom w:val="nil"/>
              <w:right w:val="nil"/>
            </w:tcBorders>
            <w:shd w:val="clear" w:color="auto" w:fill="auto"/>
            <w:noWrap/>
            <w:vAlign w:val="bottom"/>
            <w:hideMark/>
          </w:tcPr>
          <w:p w14:paraId="52926C6F"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656C713" w14:textId="77777777" w:rsidR="00CA4524" w:rsidRDefault="00CA4524">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A1FFB31" w14:textId="77777777" w:rsidR="00CA4524" w:rsidRDefault="00CA4524">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17F47818" w14:textId="77777777" w:rsidR="00CA4524" w:rsidRDefault="00CA4524">
            <w:pPr>
              <w:jc w:val="right"/>
              <w:rPr>
                <w:color w:val="000000"/>
                <w:sz w:val="20"/>
                <w:szCs w:val="20"/>
              </w:rPr>
            </w:pPr>
            <w:r>
              <w:rPr>
                <w:color w:val="000000"/>
                <w:sz w:val="20"/>
                <w:szCs w:val="20"/>
              </w:rPr>
              <w:t>0.705</w:t>
            </w:r>
          </w:p>
        </w:tc>
        <w:tc>
          <w:tcPr>
            <w:tcW w:w="864" w:type="dxa"/>
            <w:tcBorders>
              <w:top w:val="nil"/>
              <w:left w:val="nil"/>
              <w:bottom w:val="nil"/>
              <w:right w:val="nil"/>
            </w:tcBorders>
            <w:shd w:val="clear" w:color="auto" w:fill="auto"/>
            <w:noWrap/>
            <w:vAlign w:val="bottom"/>
            <w:hideMark/>
          </w:tcPr>
          <w:p w14:paraId="18AFFCC6"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280F96B" w14:textId="77777777" w:rsidR="00CA4524" w:rsidRDefault="00CA4524">
            <w:pPr>
              <w:jc w:val="right"/>
              <w:rPr>
                <w:color w:val="000000"/>
                <w:sz w:val="20"/>
                <w:szCs w:val="20"/>
              </w:rPr>
            </w:pPr>
            <w:r>
              <w:rPr>
                <w:color w:val="000000"/>
                <w:sz w:val="20"/>
                <w:szCs w:val="20"/>
              </w:rPr>
              <w:t>-0.062</w:t>
            </w:r>
          </w:p>
        </w:tc>
        <w:tc>
          <w:tcPr>
            <w:tcW w:w="864" w:type="dxa"/>
            <w:tcBorders>
              <w:top w:val="nil"/>
              <w:left w:val="nil"/>
              <w:bottom w:val="nil"/>
              <w:right w:val="nil"/>
            </w:tcBorders>
            <w:shd w:val="clear" w:color="auto" w:fill="auto"/>
            <w:noWrap/>
            <w:vAlign w:val="bottom"/>
            <w:hideMark/>
          </w:tcPr>
          <w:p w14:paraId="18ED4E46" w14:textId="77777777" w:rsidR="00CA4524" w:rsidRDefault="00CA4524">
            <w:pPr>
              <w:jc w:val="right"/>
              <w:rPr>
                <w:color w:val="000000"/>
                <w:sz w:val="20"/>
                <w:szCs w:val="20"/>
              </w:rPr>
            </w:pPr>
            <w:r>
              <w:rPr>
                <w:color w:val="000000"/>
                <w:sz w:val="20"/>
                <w:szCs w:val="20"/>
              </w:rPr>
              <w:t>0.896</w:t>
            </w:r>
          </w:p>
        </w:tc>
        <w:tc>
          <w:tcPr>
            <w:tcW w:w="864" w:type="dxa"/>
            <w:tcBorders>
              <w:top w:val="nil"/>
              <w:left w:val="nil"/>
              <w:bottom w:val="nil"/>
              <w:right w:val="nil"/>
            </w:tcBorders>
            <w:shd w:val="clear" w:color="auto" w:fill="auto"/>
            <w:noWrap/>
            <w:vAlign w:val="bottom"/>
            <w:hideMark/>
          </w:tcPr>
          <w:p w14:paraId="62E08315" w14:textId="77777777" w:rsidR="00CA4524" w:rsidRDefault="00CA4524">
            <w:pPr>
              <w:jc w:val="right"/>
              <w:rPr>
                <w:color w:val="000000"/>
                <w:sz w:val="20"/>
                <w:szCs w:val="20"/>
              </w:rPr>
            </w:pPr>
            <w:r>
              <w:rPr>
                <w:color w:val="000000"/>
                <w:sz w:val="20"/>
                <w:szCs w:val="20"/>
              </w:rPr>
              <w:t>0.004</w:t>
            </w:r>
          </w:p>
        </w:tc>
      </w:tr>
      <w:tr w:rsidR="00CA4524" w14:paraId="2BB4ECC8" w14:textId="77777777" w:rsidTr="00CA4524">
        <w:trPr>
          <w:trHeight w:val="320"/>
        </w:trPr>
        <w:tc>
          <w:tcPr>
            <w:tcW w:w="1152" w:type="dxa"/>
            <w:tcBorders>
              <w:top w:val="nil"/>
              <w:left w:val="nil"/>
              <w:bottom w:val="nil"/>
              <w:right w:val="nil"/>
            </w:tcBorders>
            <w:shd w:val="clear" w:color="auto" w:fill="auto"/>
            <w:noWrap/>
            <w:vAlign w:val="bottom"/>
            <w:hideMark/>
          </w:tcPr>
          <w:p w14:paraId="72C8A89A"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6F923CB" w14:textId="77777777" w:rsidR="00CA4524" w:rsidRDefault="00CA4524">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EDEE25C" w14:textId="77777777" w:rsidR="00CA4524" w:rsidRDefault="00CA4524">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779EC56D" w14:textId="77777777" w:rsidR="00CA4524" w:rsidRDefault="00CA4524">
            <w:pPr>
              <w:jc w:val="right"/>
              <w:rPr>
                <w:color w:val="000000"/>
                <w:sz w:val="20"/>
                <w:szCs w:val="20"/>
              </w:rPr>
            </w:pPr>
            <w:r>
              <w:rPr>
                <w:color w:val="000000"/>
                <w:sz w:val="20"/>
                <w:szCs w:val="20"/>
              </w:rPr>
              <w:t>0.705</w:t>
            </w:r>
          </w:p>
        </w:tc>
        <w:tc>
          <w:tcPr>
            <w:tcW w:w="864" w:type="dxa"/>
            <w:tcBorders>
              <w:top w:val="nil"/>
              <w:left w:val="nil"/>
              <w:bottom w:val="nil"/>
              <w:right w:val="nil"/>
            </w:tcBorders>
            <w:shd w:val="clear" w:color="auto" w:fill="auto"/>
            <w:noWrap/>
            <w:vAlign w:val="bottom"/>
            <w:hideMark/>
          </w:tcPr>
          <w:p w14:paraId="2108D6EB" w14:textId="77777777" w:rsidR="00CA4524" w:rsidRDefault="00CA4524">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B29B3A2" w14:textId="77777777" w:rsidR="00CA4524" w:rsidRDefault="00CA4524">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39DD4BE2" w14:textId="77777777" w:rsidR="00CA4524" w:rsidRDefault="00CA4524">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79B4E4A8" w14:textId="77777777" w:rsidR="00CA4524" w:rsidRDefault="00CA4524">
            <w:pPr>
              <w:jc w:val="right"/>
              <w:rPr>
                <w:color w:val="000000"/>
                <w:sz w:val="20"/>
                <w:szCs w:val="20"/>
              </w:rPr>
            </w:pPr>
            <w:r>
              <w:rPr>
                <w:color w:val="000000"/>
                <w:sz w:val="20"/>
                <w:szCs w:val="20"/>
              </w:rPr>
              <w:t>0.000</w:t>
            </w:r>
          </w:p>
        </w:tc>
      </w:tr>
      <w:tr w:rsidR="00CA4524" w14:paraId="4B709D0F" w14:textId="77777777" w:rsidTr="00CA4524">
        <w:trPr>
          <w:trHeight w:val="320"/>
        </w:trPr>
        <w:tc>
          <w:tcPr>
            <w:tcW w:w="1152" w:type="dxa"/>
            <w:tcBorders>
              <w:top w:val="nil"/>
              <w:left w:val="nil"/>
              <w:bottom w:val="nil"/>
              <w:right w:val="nil"/>
            </w:tcBorders>
            <w:shd w:val="clear" w:color="auto" w:fill="auto"/>
            <w:noWrap/>
            <w:vAlign w:val="bottom"/>
            <w:hideMark/>
          </w:tcPr>
          <w:p w14:paraId="56EC6FEC"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78EA493" w14:textId="77777777" w:rsidR="00CA4524" w:rsidRDefault="00CA4524">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64C6E33" w14:textId="77777777" w:rsidR="00CA4524" w:rsidRDefault="00CA4524">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7D2C6959" w14:textId="77777777" w:rsidR="00CA4524" w:rsidRDefault="00CA4524">
            <w:pPr>
              <w:jc w:val="right"/>
              <w:rPr>
                <w:color w:val="000000"/>
                <w:sz w:val="20"/>
                <w:szCs w:val="20"/>
              </w:rPr>
            </w:pPr>
            <w:r>
              <w:rPr>
                <w:color w:val="000000"/>
                <w:sz w:val="20"/>
                <w:szCs w:val="20"/>
              </w:rPr>
              <w:t>0.705</w:t>
            </w:r>
          </w:p>
        </w:tc>
        <w:tc>
          <w:tcPr>
            <w:tcW w:w="864" w:type="dxa"/>
            <w:tcBorders>
              <w:top w:val="nil"/>
              <w:left w:val="nil"/>
              <w:bottom w:val="nil"/>
              <w:right w:val="nil"/>
            </w:tcBorders>
            <w:shd w:val="clear" w:color="auto" w:fill="auto"/>
            <w:noWrap/>
            <w:vAlign w:val="bottom"/>
            <w:hideMark/>
          </w:tcPr>
          <w:p w14:paraId="2BD27ED5"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55882D3" w14:textId="77777777" w:rsidR="00CA4524" w:rsidRDefault="00CA4524">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6F9FC37F" w14:textId="77777777" w:rsidR="00CA4524" w:rsidRDefault="00CA4524">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5F1BE016" w14:textId="77777777" w:rsidR="00CA4524" w:rsidRDefault="00CA4524">
            <w:pPr>
              <w:jc w:val="right"/>
              <w:rPr>
                <w:color w:val="000000"/>
                <w:sz w:val="20"/>
                <w:szCs w:val="20"/>
              </w:rPr>
            </w:pPr>
            <w:r>
              <w:rPr>
                <w:color w:val="000000"/>
                <w:sz w:val="20"/>
                <w:szCs w:val="20"/>
              </w:rPr>
              <w:t>0.000</w:t>
            </w:r>
          </w:p>
        </w:tc>
      </w:tr>
      <w:tr w:rsidR="00CA4524" w14:paraId="06D76840" w14:textId="77777777" w:rsidTr="00CA4524">
        <w:trPr>
          <w:trHeight w:val="320"/>
        </w:trPr>
        <w:tc>
          <w:tcPr>
            <w:tcW w:w="1152" w:type="dxa"/>
            <w:tcBorders>
              <w:top w:val="nil"/>
              <w:left w:val="nil"/>
              <w:bottom w:val="nil"/>
              <w:right w:val="nil"/>
            </w:tcBorders>
            <w:shd w:val="clear" w:color="auto" w:fill="auto"/>
            <w:noWrap/>
            <w:vAlign w:val="bottom"/>
            <w:hideMark/>
          </w:tcPr>
          <w:p w14:paraId="3A4625F6"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02B1C38" w14:textId="77777777" w:rsidR="00CA4524" w:rsidRDefault="00CA4524">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0E65F9F" w14:textId="77777777" w:rsidR="00CA4524" w:rsidRDefault="00CA4524">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20EF10FC" w14:textId="77777777" w:rsidR="00CA4524" w:rsidRDefault="00CA4524">
            <w:pPr>
              <w:jc w:val="right"/>
              <w:rPr>
                <w:color w:val="000000"/>
                <w:sz w:val="20"/>
                <w:szCs w:val="20"/>
              </w:rPr>
            </w:pPr>
            <w:r>
              <w:rPr>
                <w:color w:val="000000"/>
                <w:sz w:val="20"/>
                <w:szCs w:val="20"/>
              </w:rPr>
              <w:t>0.705</w:t>
            </w:r>
          </w:p>
        </w:tc>
        <w:tc>
          <w:tcPr>
            <w:tcW w:w="864" w:type="dxa"/>
            <w:tcBorders>
              <w:top w:val="nil"/>
              <w:left w:val="nil"/>
              <w:bottom w:val="nil"/>
              <w:right w:val="nil"/>
            </w:tcBorders>
            <w:shd w:val="clear" w:color="auto" w:fill="auto"/>
            <w:noWrap/>
            <w:vAlign w:val="bottom"/>
            <w:hideMark/>
          </w:tcPr>
          <w:p w14:paraId="0E6B4C32"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556E56E" w14:textId="77777777" w:rsidR="00CA4524" w:rsidRDefault="00CA4524">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31AC8531" w14:textId="77777777" w:rsidR="00CA4524" w:rsidRDefault="00CA4524">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427E6AE3" w14:textId="77777777" w:rsidR="00CA4524" w:rsidRDefault="00CA4524">
            <w:pPr>
              <w:jc w:val="right"/>
              <w:rPr>
                <w:color w:val="000000"/>
                <w:sz w:val="20"/>
                <w:szCs w:val="20"/>
              </w:rPr>
            </w:pPr>
            <w:r>
              <w:rPr>
                <w:color w:val="000000"/>
                <w:sz w:val="20"/>
                <w:szCs w:val="20"/>
              </w:rPr>
              <w:t>0.000</w:t>
            </w:r>
          </w:p>
        </w:tc>
      </w:tr>
      <w:tr w:rsidR="00CA4524" w14:paraId="7B5914E5" w14:textId="77777777" w:rsidTr="00CA4524">
        <w:trPr>
          <w:trHeight w:val="320"/>
        </w:trPr>
        <w:tc>
          <w:tcPr>
            <w:tcW w:w="1152" w:type="dxa"/>
            <w:tcBorders>
              <w:top w:val="nil"/>
              <w:left w:val="nil"/>
              <w:bottom w:val="nil"/>
              <w:right w:val="nil"/>
            </w:tcBorders>
            <w:shd w:val="clear" w:color="auto" w:fill="auto"/>
            <w:noWrap/>
            <w:vAlign w:val="bottom"/>
            <w:hideMark/>
          </w:tcPr>
          <w:p w14:paraId="10C7144D"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0629887" w14:textId="77777777" w:rsidR="00CA4524" w:rsidRDefault="00CA4524">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182429E" w14:textId="77777777" w:rsidR="00CA4524" w:rsidRDefault="00CA4524">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1D427D7E" w14:textId="77777777" w:rsidR="00CA4524" w:rsidRDefault="00CA4524">
            <w:pPr>
              <w:jc w:val="right"/>
              <w:rPr>
                <w:color w:val="000000"/>
                <w:sz w:val="20"/>
                <w:szCs w:val="20"/>
              </w:rPr>
            </w:pPr>
            <w:r>
              <w:rPr>
                <w:color w:val="000000"/>
                <w:sz w:val="20"/>
                <w:szCs w:val="20"/>
              </w:rPr>
              <w:t>0.735</w:t>
            </w:r>
          </w:p>
        </w:tc>
        <w:tc>
          <w:tcPr>
            <w:tcW w:w="864" w:type="dxa"/>
            <w:tcBorders>
              <w:top w:val="nil"/>
              <w:left w:val="nil"/>
              <w:bottom w:val="nil"/>
              <w:right w:val="nil"/>
            </w:tcBorders>
            <w:shd w:val="clear" w:color="auto" w:fill="auto"/>
            <w:noWrap/>
            <w:vAlign w:val="bottom"/>
            <w:hideMark/>
          </w:tcPr>
          <w:p w14:paraId="1AD5194D"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C38603B" w14:textId="77777777" w:rsidR="00CA4524" w:rsidRDefault="00CA4524">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19D0BFA8" w14:textId="77777777" w:rsidR="00CA4524" w:rsidRDefault="00CA4524">
            <w:pPr>
              <w:jc w:val="right"/>
              <w:rPr>
                <w:color w:val="000000"/>
                <w:sz w:val="20"/>
                <w:szCs w:val="20"/>
              </w:rPr>
            </w:pPr>
            <w:r>
              <w:rPr>
                <w:color w:val="000000"/>
                <w:sz w:val="20"/>
                <w:szCs w:val="20"/>
              </w:rPr>
              <w:t>0.902</w:t>
            </w:r>
          </w:p>
        </w:tc>
        <w:tc>
          <w:tcPr>
            <w:tcW w:w="864" w:type="dxa"/>
            <w:tcBorders>
              <w:top w:val="nil"/>
              <w:left w:val="nil"/>
              <w:bottom w:val="nil"/>
              <w:right w:val="nil"/>
            </w:tcBorders>
            <w:shd w:val="clear" w:color="auto" w:fill="auto"/>
            <w:noWrap/>
            <w:vAlign w:val="bottom"/>
            <w:hideMark/>
          </w:tcPr>
          <w:p w14:paraId="78554C32" w14:textId="77777777" w:rsidR="00CA4524" w:rsidRDefault="00CA4524">
            <w:pPr>
              <w:jc w:val="right"/>
              <w:rPr>
                <w:color w:val="000000"/>
                <w:sz w:val="20"/>
                <w:szCs w:val="20"/>
              </w:rPr>
            </w:pPr>
            <w:r>
              <w:rPr>
                <w:color w:val="000000"/>
                <w:sz w:val="20"/>
                <w:szCs w:val="20"/>
              </w:rPr>
              <w:t>0.000</w:t>
            </w:r>
          </w:p>
        </w:tc>
      </w:tr>
      <w:tr w:rsidR="00CA4524" w14:paraId="6F8F05E8" w14:textId="77777777" w:rsidTr="00CA4524">
        <w:trPr>
          <w:trHeight w:val="320"/>
        </w:trPr>
        <w:tc>
          <w:tcPr>
            <w:tcW w:w="1152" w:type="dxa"/>
            <w:tcBorders>
              <w:top w:val="nil"/>
              <w:left w:val="nil"/>
              <w:bottom w:val="single" w:sz="4" w:space="0" w:color="auto"/>
              <w:right w:val="nil"/>
            </w:tcBorders>
            <w:shd w:val="clear" w:color="auto" w:fill="auto"/>
            <w:noWrap/>
            <w:vAlign w:val="bottom"/>
            <w:hideMark/>
          </w:tcPr>
          <w:p w14:paraId="2383836A" w14:textId="77777777" w:rsidR="00CA4524" w:rsidRDefault="00CA4524">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755347B" w14:textId="77777777" w:rsidR="00CA4524" w:rsidRDefault="00CA4524">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ACB0449" w14:textId="77777777" w:rsidR="00CA4524" w:rsidRDefault="00CA4524">
            <w:pPr>
              <w:jc w:val="right"/>
              <w:rPr>
                <w:color w:val="000000"/>
                <w:sz w:val="20"/>
                <w:szCs w:val="20"/>
              </w:rPr>
            </w:pPr>
            <w:r>
              <w:rPr>
                <w:color w:val="000000"/>
                <w:sz w:val="20"/>
                <w:szCs w:val="20"/>
              </w:rPr>
              <w:t>0.012</w:t>
            </w:r>
          </w:p>
        </w:tc>
        <w:tc>
          <w:tcPr>
            <w:tcW w:w="864" w:type="dxa"/>
            <w:tcBorders>
              <w:top w:val="nil"/>
              <w:left w:val="nil"/>
              <w:bottom w:val="single" w:sz="4" w:space="0" w:color="auto"/>
              <w:right w:val="nil"/>
            </w:tcBorders>
            <w:shd w:val="clear" w:color="auto" w:fill="auto"/>
            <w:noWrap/>
            <w:vAlign w:val="bottom"/>
            <w:hideMark/>
          </w:tcPr>
          <w:p w14:paraId="097047CE" w14:textId="77777777" w:rsidR="00CA4524" w:rsidRDefault="00CA4524">
            <w:pPr>
              <w:jc w:val="right"/>
              <w:rPr>
                <w:color w:val="000000"/>
                <w:sz w:val="20"/>
                <w:szCs w:val="20"/>
              </w:rPr>
            </w:pPr>
            <w:r>
              <w:rPr>
                <w:color w:val="000000"/>
                <w:sz w:val="20"/>
                <w:szCs w:val="20"/>
              </w:rPr>
              <w:t>0.751</w:t>
            </w:r>
          </w:p>
        </w:tc>
        <w:tc>
          <w:tcPr>
            <w:tcW w:w="864" w:type="dxa"/>
            <w:tcBorders>
              <w:top w:val="nil"/>
              <w:left w:val="nil"/>
              <w:bottom w:val="single" w:sz="4" w:space="0" w:color="auto"/>
              <w:right w:val="nil"/>
            </w:tcBorders>
            <w:shd w:val="clear" w:color="auto" w:fill="auto"/>
            <w:noWrap/>
            <w:vAlign w:val="bottom"/>
            <w:hideMark/>
          </w:tcPr>
          <w:p w14:paraId="337F50E0"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364E6D34" w14:textId="77777777" w:rsidR="00CA4524" w:rsidRDefault="00CA4524">
            <w:pPr>
              <w:jc w:val="right"/>
              <w:rPr>
                <w:color w:val="000000"/>
                <w:sz w:val="20"/>
                <w:szCs w:val="20"/>
              </w:rPr>
            </w:pPr>
            <w:r>
              <w:rPr>
                <w:color w:val="000000"/>
                <w:sz w:val="20"/>
                <w:szCs w:val="20"/>
              </w:rPr>
              <w:t>-0.019</w:t>
            </w:r>
          </w:p>
        </w:tc>
        <w:tc>
          <w:tcPr>
            <w:tcW w:w="864" w:type="dxa"/>
            <w:tcBorders>
              <w:top w:val="nil"/>
              <w:left w:val="nil"/>
              <w:bottom w:val="single" w:sz="4" w:space="0" w:color="auto"/>
              <w:right w:val="nil"/>
            </w:tcBorders>
            <w:shd w:val="clear" w:color="auto" w:fill="auto"/>
            <w:noWrap/>
            <w:vAlign w:val="bottom"/>
            <w:hideMark/>
          </w:tcPr>
          <w:p w14:paraId="79C036D5" w14:textId="77777777" w:rsidR="00CA4524" w:rsidRDefault="00CA4524">
            <w:pPr>
              <w:jc w:val="right"/>
              <w:rPr>
                <w:color w:val="000000"/>
                <w:sz w:val="20"/>
                <w:szCs w:val="20"/>
              </w:rPr>
            </w:pPr>
            <w:r>
              <w:rPr>
                <w:color w:val="000000"/>
                <w:sz w:val="20"/>
                <w:szCs w:val="20"/>
              </w:rPr>
              <w:t>0.902</w:t>
            </w:r>
          </w:p>
        </w:tc>
        <w:tc>
          <w:tcPr>
            <w:tcW w:w="864" w:type="dxa"/>
            <w:tcBorders>
              <w:top w:val="nil"/>
              <w:left w:val="nil"/>
              <w:bottom w:val="single" w:sz="4" w:space="0" w:color="auto"/>
              <w:right w:val="nil"/>
            </w:tcBorders>
            <w:shd w:val="clear" w:color="auto" w:fill="auto"/>
            <w:noWrap/>
            <w:vAlign w:val="bottom"/>
            <w:hideMark/>
          </w:tcPr>
          <w:p w14:paraId="5E048C80" w14:textId="77777777" w:rsidR="00CA4524" w:rsidRDefault="00CA4524">
            <w:pPr>
              <w:jc w:val="right"/>
              <w:rPr>
                <w:color w:val="000000"/>
                <w:sz w:val="20"/>
                <w:szCs w:val="20"/>
              </w:rPr>
            </w:pPr>
            <w:r>
              <w:rPr>
                <w:color w:val="000000"/>
                <w:sz w:val="20"/>
                <w:szCs w:val="20"/>
              </w:rPr>
              <w:t>0.000</w:t>
            </w:r>
          </w:p>
        </w:tc>
      </w:tr>
      <w:tr w:rsidR="00CA4524" w14:paraId="56062FCC" w14:textId="77777777" w:rsidTr="00CA4524">
        <w:trPr>
          <w:trHeight w:val="320"/>
        </w:trPr>
        <w:tc>
          <w:tcPr>
            <w:tcW w:w="1152" w:type="dxa"/>
            <w:tcBorders>
              <w:top w:val="nil"/>
              <w:left w:val="nil"/>
              <w:bottom w:val="nil"/>
              <w:right w:val="nil"/>
            </w:tcBorders>
            <w:shd w:val="clear" w:color="auto" w:fill="auto"/>
            <w:noWrap/>
            <w:vAlign w:val="bottom"/>
            <w:hideMark/>
          </w:tcPr>
          <w:p w14:paraId="5CE27557" w14:textId="77777777" w:rsidR="00CA4524" w:rsidRDefault="00CA4524">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76BC5F59" w14:textId="77777777" w:rsidR="00CA4524" w:rsidRDefault="00CA4524">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3A2C3E2" w14:textId="77777777" w:rsidR="00CA4524" w:rsidRDefault="00CA4524">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064173F8" w14:textId="77777777" w:rsidR="00CA4524" w:rsidRDefault="00CA4524">
            <w:pPr>
              <w:jc w:val="right"/>
              <w:rPr>
                <w:color w:val="000000"/>
                <w:sz w:val="20"/>
                <w:szCs w:val="20"/>
              </w:rPr>
            </w:pPr>
            <w:r>
              <w:rPr>
                <w:color w:val="000000"/>
                <w:sz w:val="20"/>
                <w:szCs w:val="20"/>
              </w:rPr>
              <w:t>0.731</w:t>
            </w:r>
          </w:p>
        </w:tc>
        <w:tc>
          <w:tcPr>
            <w:tcW w:w="864" w:type="dxa"/>
            <w:tcBorders>
              <w:top w:val="nil"/>
              <w:left w:val="nil"/>
              <w:bottom w:val="nil"/>
              <w:right w:val="nil"/>
            </w:tcBorders>
            <w:shd w:val="clear" w:color="auto" w:fill="auto"/>
            <w:noWrap/>
            <w:vAlign w:val="bottom"/>
            <w:hideMark/>
          </w:tcPr>
          <w:p w14:paraId="180AB3C8"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D9FCC75" w14:textId="77777777" w:rsidR="00CA4524" w:rsidRDefault="00CA4524">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26738550" w14:textId="77777777" w:rsidR="00CA4524" w:rsidRDefault="00CA4524">
            <w:pPr>
              <w:jc w:val="right"/>
              <w:rPr>
                <w:color w:val="000000"/>
                <w:sz w:val="20"/>
                <w:szCs w:val="20"/>
              </w:rPr>
            </w:pPr>
            <w:r>
              <w:rPr>
                <w:color w:val="000000"/>
                <w:sz w:val="20"/>
                <w:szCs w:val="20"/>
              </w:rPr>
              <w:t>0.717</w:t>
            </w:r>
          </w:p>
        </w:tc>
        <w:tc>
          <w:tcPr>
            <w:tcW w:w="864" w:type="dxa"/>
            <w:tcBorders>
              <w:top w:val="nil"/>
              <w:left w:val="nil"/>
              <w:bottom w:val="nil"/>
              <w:right w:val="nil"/>
            </w:tcBorders>
            <w:shd w:val="clear" w:color="auto" w:fill="auto"/>
            <w:noWrap/>
            <w:vAlign w:val="bottom"/>
            <w:hideMark/>
          </w:tcPr>
          <w:p w14:paraId="38CE1B9D" w14:textId="77777777" w:rsidR="00CA4524" w:rsidRDefault="00CA4524">
            <w:pPr>
              <w:jc w:val="right"/>
              <w:rPr>
                <w:color w:val="000000"/>
                <w:sz w:val="20"/>
                <w:szCs w:val="20"/>
              </w:rPr>
            </w:pPr>
            <w:r>
              <w:rPr>
                <w:color w:val="000000"/>
                <w:sz w:val="20"/>
                <w:szCs w:val="20"/>
              </w:rPr>
              <w:t>0.001</w:t>
            </w:r>
          </w:p>
        </w:tc>
      </w:tr>
      <w:tr w:rsidR="00CA4524" w14:paraId="0E57C873" w14:textId="77777777" w:rsidTr="00CA4524">
        <w:trPr>
          <w:trHeight w:val="320"/>
        </w:trPr>
        <w:tc>
          <w:tcPr>
            <w:tcW w:w="1152" w:type="dxa"/>
            <w:tcBorders>
              <w:top w:val="nil"/>
              <w:left w:val="nil"/>
              <w:bottom w:val="nil"/>
              <w:right w:val="nil"/>
            </w:tcBorders>
            <w:shd w:val="clear" w:color="auto" w:fill="auto"/>
            <w:noWrap/>
            <w:vAlign w:val="bottom"/>
            <w:hideMark/>
          </w:tcPr>
          <w:p w14:paraId="4664962D"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BE219DC" w14:textId="77777777" w:rsidR="00CA4524" w:rsidRDefault="00CA4524">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C06DAC6" w14:textId="77777777" w:rsidR="00CA4524" w:rsidRDefault="00CA4524">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3E03AD34" w14:textId="77777777" w:rsidR="00CA4524" w:rsidRDefault="00CA4524">
            <w:pPr>
              <w:jc w:val="right"/>
              <w:rPr>
                <w:color w:val="000000"/>
                <w:sz w:val="20"/>
                <w:szCs w:val="20"/>
              </w:rPr>
            </w:pPr>
            <w:r>
              <w:rPr>
                <w:color w:val="000000"/>
                <w:sz w:val="20"/>
                <w:szCs w:val="20"/>
              </w:rPr>
              <w:t>0.731</w:t>
            </w:r>
          </w:p>
        </w:tc>
        <w:tc>
          <w:tcPr>
            <w:tcW w:w="864" w:type="dxa"/>
            <w:tcBorders>
              <w:top w:val="nil"/>
              <w:left w:val="nil"/>
              <w:bottom w:val="nil"/>
              <w:right w:val="nil"/>
            </w:tcBorders>
            <w:shd w:val="clear" w:color="auto" w:fill="auto"/>
            <w:noWrap/>
            <w:vAlign w:val="bottom"/>
            <w:hideMark/>
          </w:tcPr>
          <w:p w14:paraId="2E18847A"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D9EF4F6" w14:textId="77777777" w:rsidR="00CA4524" w:rsidRDefault="00CA4524">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56288DDB" w14:textId="77777777" w:rsidR="00CA4524" w:rsidRDefault="00CA4524">
            <w:pPr>
              <w:jc w:val="right"/>
              <w:rPr>
                <w:color w:val="000000"/>
                <w:sz w:val="20"/>
                <w:szCs w:val="20"/>
              </w:rPr>
            </w:pPr>
            <w:r>
              <w:rPr>
                <w:color w:val="000000"/>
                <w:sz w:val="20"/>
                <w:szCs w:val="20"/>
              </w:rPr>
              <w:t>0.717</w:t>
            </w:r>
          </w:p>
        </w:tc>
        <w:tc>
          <w:tcPr>
            <w:tcW w:w="864" w:type="dxa"/>
            <w:tcBorders>
              <w:top w:val="nil"/>
              <w:left w:val="nil"/>
              <w:bottom w:val="nil"/>
              <w:right w:val="nil"/>
            </w:tcBorders>
            <w:shd w:val="clear" w:color="auto" w:fill="auto"/>
            <w:noWrap/>
            <w:vAlign w:val="bottom"/>
            <w:hideMark/>
          </w:tcPr>
          <w:p w14:paraId="6CD6FA93" w14:textId="77777777" w:rsidR="00CA4524" w:rsidRDefault="00CA4524">
            <w:pPr>
              <w:jc w:val="right"/>
              <w:rPr>
                <w:color w:val="000000"/>
                <w:sz w:val="20"/>
                <w:szCs w:val="20"/>
              </w:rPr>
            </w:pPr>
            <w:r>
              <w:rPr>
                <w:color w:val="000000"/>
                <w:sz w:val="20"/>
                <w:szCs w:val="20"/>
              </w:rPr>
              <w:t>0.001</w:t>
            </w:r>
          </w:p>
        </w:tc>
      </w:tr>
      <w:tr w:rsidR="00CA4524" w14:paraId="063F5FF6" w14:textId="77777777" w:rsidTr="00CA4524">
        <w:trPr>
          <w:trHeight w:val="320"/>
        </w:trPr>
        <w:tc>
          <w:tcPr>
            <w:tcW w:w="1152" w:type="dxa"/>
            <w:tcBorders>
              <w:top w:val="nil"/>
              <w:left w:val="nil"/>
              <w:bottom w:val="nil"/>
              <w:right w:val="nil"/>
            </w:tcBorders>
            <w:shd w:val="clear" w:color="auto" w:fill="auto"/>
            <w:noWrap/>
            <w:vAlign w:val="bottom"/>
            <w:hideMark/>
          </w:tcPr>
          <w:p w14:paraId="58B19EBF"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123DD5B" w14:textId="77777777" w:rsidR="00CA4524" w:rsidRDefault="00CA4524">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7EFA8FA" w14:textId="77777777" w:rsidR="00CA4524" w:rsidRDefault="00CA4524">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50324C25" w14:textId="77777777" w:rsidR="00CA4524" w:rsidRDefault="00CA4524">
            <w:pPr>
              <w:jc w:val="right"/>
              <w:rPr>
                <w:color w:val="000000"/>
                <w:sz w:val="20"/>
                <w:szCs w:val="20"/>
              </w:rPr>
            </w:pPr>
            <w:r>
              <w:rPr>
                <w:color w:val="000000"/>
                <w:sz w:val="20"/>
                <w:szCs w:val="20"/>
              </w:rPr>
              <w:t>0.731</w:t>
            </w:r>
          </w:p>
        </w:tc>
        <w:tc>
          <w:tcPr>
            <w:tcW w:w="864" w:type="dxa"/>
            <w:tcBorders>
              <w:top w:val="nil"/>
              <w:left w:val="nil"/>
              <w:bottom w:val="nil"/>
              <w:right w:val="nil"/>
            </w:tcBorders>
            <w:shd w:val="clear" w:color="auto" w:fill="auto"/>
            <w:noWrap/>
            <w:vAlign w:val="bottom"/>
            <w:hideMark/>
          </w:tcPr>
          <w:p w14:paraId="34A012AA"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BF8DAD2" w14:textId="77777777" w:rsidR="00CA4524" w:rsidRDefault="00CA4524">
            <w:pPr>
              <w:jc w:val="right"/>
              <w:rPr>
                <w:color w:val="000000"/>
                <w:sz w:val="20"/>
                <w:szCs w:val="20"/>
              </w:rPr>
            </w:pPr>
            <w:r>
              <w:rPr>
                <w:color w:val="000000"/>
                <w:sz w:val="20"/>
                <w:szCs w:val="20"/>
              </w:rPr>
              <w:t>-0.047</w:t>
            </w:r>
          </w:p>
        </w:tc>
        <w:tc>
          <w:tcPr>
            <w:tcW w:w="864" w:type="dxa"/>
            <w:tcBorders>
              <w:top w:val="nil"/>
              <w:left w:val="nil"/>
              <w:bottom w:val="nil"/>
              <w:right w:val="nil"/>
            </w:tcBorders>
            <w:shd w:val="clear" w:color="auto" w:fill="auto"/>
            <w:noWrap/>
            <w:vAlign w:val="bottom"/>
            <w:hideMark/>
          </w:tcPr>
          <w:p w14:paraId="14EFAD0B" w14:textId="77777777" w:rsidR="00CA4524" w:rsidRDefault="00CA4524">
            <w:pPr>
              <w:jc w:val="right"/>
              <w:rPr>
                <w:color w:val="000000"/>
                <w:sz w:val="20"/>
                <w:szCs w:val="20"/>
              </w:rPr>
            </w:pPr>
            <w:r>
              <w:rPr>
                <w:color w:val="000000"/>
                <w:sz w:val="20"/>
                <w:szCs w:val="20"/>
              </w:rPr>
              <w:t>0.717</w:t>
            </w:r>
          </w:p>
        </w:tc>
        <w:tc>
          <w:tcPr>
            <w:tcW w:w="864" w:type="dxa"/>
            <w:tcBorders>
              <w:top w:val="nil"/>
              <w:left w:val="nil"/>
              <w:bottom w:val="nil"/>
              <w:right w:val="nil"/>
            </w:tcBorders>
            <w:shd w:val="clear" w:color="auto" w:fill="auto"/>
            <w:noWrap/>
            <w:vAlign w:val="bottom"/>
            <w:hideMark/>
          </w:tcPr>
          <w:p w14:paraId="49CE311F" w14:textId="77777777" w:rsidR="00CA4524" w:rsidRDefault="00CA4524">
            <w:pPr>
              <w:jc w:val="right"/>
              <w:rPr>
                <w:color w:val="000000"/>
                <w:sz w:val="20"/>
                <w:szCs w:val="20"/>
              </w:rPr>
            </w:pPr>
            <w:r>
              <w:rPr>
                <w:color w:val="000000"/>
                <w:sz w:val="20"/>
                <w:szCs w:val="20"/>
              </w:rPr>
              <w:t>0.002</w:t>
            </w:r>
          </w:p>
        </w:tc>
      </w:tr>
      <w:tr w:rsidR="00CA4524" w14:paraId="115A975C" w14:textId="77777777" w:rsidTr="00CA4524">
        <w:trPr>
          <w:trHeight w:val="320"/>
        </w:trPr>
        <w:tc>
          <w:tcPr>
            <w:tcW w:w="1152" w:type="dxa"/>
            <w:tcBorders>
              <w:top w:val="nil"/>
              <w:left w:val="nil"/>
              <w:bottom w:val="nil"/>
              <w:right w:val="nil"/>
            </w:tcBorders>
            <w:shd w:val="clear" w:color="auto" w:fill="auto"/>
            <w:noWrap/>
            <w:vAlign w:val="bottom"/>
            <w:hideMark/>
          </w:tcPr>
          <w:p w14:paraId="485110D8"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9001C50" w14:textId="77777777" w:rsidR="00CA4524" w:rsidRDefault="00CA4524">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44B0DD7" w14:textId="77777777" w:rsidR="00CA4524" w:rsidRDefault="00CA4524">
            <w:pPr>
              <w:jc w:val="right"/>
              <w:rPr>
                <w:color w:val="000000"/>
                <w:sz w:val="20"/>
                <w:szCs w:val="20"/>
              </w:rPr>
            </w:pPr>
            <w:r>
              <w:rPr>
                <w:color w:val="000000"/>
                <w:sz w:val="20"/>
                <w:szCs w:val="20"/>
              </w:rPr>
              <w:t>0.054</w:t>
            </w:r>
          </w:p>
        </w:tc>
        <w:tc>
          <w:tcPr>
            <w:tcW w:w="864" w:type="dxa"/>
            <w:tcBorders>
              <w:top w:val="nil"/>
              <w:left w:val="nil"/>
              <w:bottom w:val="nil"/>
              <w:right w:val="nil"/>
            </w:tcBorders>
            <w:shd w:val="clear" w:color="auto" w:fill="auto"/>
            <w:noWrap/>
            <w:vAlign w:val="bottom"/>
            <w:hideMark/>
          </w:tcPr>
          <w:p w14:paraId="0E5ED6B6" w14:textId="77777777" w:rsidR="00CA4524" w:rsidRDefault="00CA4524">
            <w:pPr>
              <w:jc w:val="right"/>
              <w:rPr>
                <w:color w:val="000000"/>
                <w:sz w:val="20"/>
                <w:szCs w:val="20"/>
              </w:rPr>
            </w:pPr>
            <w:r>
              <w:rPr>
                <w:color w:val="000000"/>
                <w:sz w:val="20"/>
                <w:szCs w:val="20"/>
              </w:rPr>
              <w:t>0.396</w:t>
            </w:r>
          </w:p>
        </w:tc>
        <w:tc>
          <w:tcPr>
            <w:tcW w:w="864" w:type="dxa"/>
            <w:tcBorders>
              <w:top w:val="nil"/>
              <w:left w:val="nil"/>
              <w:bottom w:val="nil"/>
              <w:right w:val="nil"/>
            </w:tcBorders>
            <w:shd w:val="clear" w:color="auto" w:fill="auto"/>
            <w:noWrap/>
            <w:vAlign w:val="bottom"/>
            <w:hideMark/>
          </w:tcPr>
          <w:p w14:paraId="675FC348" w14:textId="77777777" w:rsidR="00CA4524" w:rsidRDefault="00CA4524">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FD37FB7" w14:textId="77777777" w:rsidR="00CA4524" w:rsidRDefault="00CA4524">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4FD77229" w14:textId="77777777" w:rsidR="00CA4524" w:rsidRDefault="00CA4524">
            <w:pPr>
              <w:jc w:val="right"/>
              <w:rPr>
                <w:color w:val="000000"/>
                <w:sz w:val="20"/>
                <w:szCs w:val="20"/>
              </w:rPr>
            </w:pPr>
            <w:r>
              <w:rPr>
                <w:color w:val="000000"/>
                <w:sz w:val="20"/>
                <w:szCs w:val="20"/>
              </w:rPr>
              <w:t>0.938</w:t>
            </w:r>
          </w:p>
        </w:tc>
        <w:tc>
          <w:tcPr>
            <w:tcW w:w="864" w:type="dxa"/>
            <w:tcBorders>
              <w:top w:val="nil"/>
              <w:left w:val="nil"/>
              <w:bottom w:val="nil"/>
              <w:right w:val="nil"/>
            </w:tcBorders>
            <w:shd w:val="clear" w:color="auto" w:fill="auto"/>
            <w:noWrap/>
            <w:vAlign w:val="bottom"/>
            <w:hideMark/>
          </w:tcPr>
          <w:p w14:paraId="17437134" w14:textId="77777777" w:rsidR="00CA4524" w:rsidRDefault="00CA4524">
            <w:pPr>
              <w:jc w:val="right"/>
              <w:rPr>
                <w:color w:val="000000"/>
                <w:sz w:val="20"/>
                <w:szCs w:val="20"/>
              </w:rPr>
            </w:pPr>
            <w:r>
              <w:rPr>
                <w:color w:val="000000"/>
                <w:sz w:val="20"/>
                <w:szCs w:val="20"/>
              </w:rPr>
              <w:t>0.000</w:t>
            </w:r>
          </w:p>
        </w:tc>
      </w:tr>
      <w:tr w:rsidR="00CA4524" w14:paraId="44FDFDA4" w14:textId="77777777" w:rsidTr="00CA4524">
        <w:trPr>
          <w:trHeight w:val="320"/>
        </w:trPr>
        <w:tc>
          <w:tcPr>
            <w:tcW w:w="1152" w:type="dxa"/>
            <w:tcBorders>
              <w:top w:val="nil"/>
              <w:left w:val="nil"/>
              <w:bottom w:val="nil"/>
              <w:right w:val="nil"/>
            </w:tcBorders>
            <w:shd w:val="clear" w:color="auto" w:fill="auto"/>
            <w:noWrap/>
            <w:vAlign w:val="bottom"/>
            <w:hideMark/>
          </w:tcPr>
          <w:p w14:paraId="5B6D5220"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BF48E30" w14:textId="77777777" w:rsidR="00CA4524" w:rsidRDefault="00CA4524">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FFF84E1" w14:textId="77777777" w:rsidR="00CA4524" w:rsidRDefault="00CA4524">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4899837B" w14:textId="77777777" w:rsidR="00CA4524" w:rsidRDefault="00CA4524">
            <w:pPr>
              <w:jc w:val="right"/>
              <w:rPr>
                <w:color w:val="000000"/>
                <w:sz w:val="20"/>
                <w:szCs w:val="20"/>
              </w:rPr>
            </w:pPr>
            <w:r>
              <w:rPr>
                <w:color w:val="000000"/>
                <w:sz w:val="20"/>
                <w:szCs w:val="20"/>
              </w:rPr>
              <w:t>0.312</w:t>
            </w:r>
          </w:p>
        </w:tc>
        <w:tc>
          <w:tcPr>
            <w:tcW w:w="864" w:type="dxa"/>
            <w:tcBorders>
              <w:top w:val="nil"/>
              <w:left w:val="nil"/>
              <w:bottom w:val="nil"/>
              <w:right w:val="nil"/>
            </w:tcBorders>
            <w:shd w:val="clear" w:color="auto" w:fill="auto"/>
            <w:noWrap/>
            <w:vAlign w:val="bottom"/>
            <w:hideMark/>
          </w:tcPr>
          <w:p w14:paraId="4455D40F" w14:textId="77777777" w:rsidR="00CA4524" w:rsidRDefault="00CA4524">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BB51D24" w14:textId="77777777" w:rsidR="00CA4524" w:rsidRDefault="00CA4524">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E2BB1D0" w14:textId="77777777" w:rsidR="00CA4524" w:rsidRDefault="00CA4524">
            <w:pPr>
              <w:jc w:val="right"/>
              <w:rPr>
                <w:color w:val="000000"/>
                <w:sz w:val="20"/>
                <w:szCs w:val="20"/>
              </w:rPr>
            </w:pPr>
            <w:r>
              <w:rPr>
                <w:color w:val="000000"/>
                <w:sz w:val="20"/>
                <w:szCs w:val="20"/>
              </w:rPr>
              <w:t>0.952</w:t>
            </w:r>
          </w:p>
        </w:tc>
        <w:tc>
          <w:tcPr>
            <w:tcW w:w="864" w:type="dxa"/>
            <w:tcBorders>
              <w:top w:val="nil"/>
              <w:left w:val="nil"/>
              <w:bottom w:val="nil"/>
              <w:right w:val="nil"/>
            </w:tcBorders>
            <w:shd w:val="clear" w:color="auto" w:fill="auto"/>
            <w:noWrap/>
            <w:vAlign w:val="bottom"/>
            <w:hideMark/>
          </w:tcPr>
          <w:p w14:paraId="4D515A32" w14:textId="77777777" w:rsidR="00CA4524" w:rsidRDefault="00CA4524">
            <w:pPr>
              <w:jc w:val="right"/>
              <w:rPr>
                <w:color w:val="000000"/>
                <w:sz w:val="20"/>
                <w:szCs w:val="20"/>
              </w:rPr>
            </w:pPr>
            <w:r>
              <w:rPr>
                <w:color w:val="000000"/>
                <w:sz w:val="20"/>
                <w:szCs w:val="20"/>
              </w:rPr>
              <w:t>0.000</w:t>
            </w:r>
          </w:p>
        </w:tc>
      </w:tr>
      <w:tr w:rsidR="00CA4524" w14:paraId="07A047A2" w14:textId="77777777" w:rsidTr="00CA4524">
        <w:trPr>
          <w:trHeight w:val="320"/>
        </w:trPr>
        <w:tc>
          <w:tcPr>
            <w:tcW w:w="1152" w:type="dxa"/>
            <w:tcBorders>
              <w:top w:val="nil"/>
              <w:left w:val="nil"/>
              <w:bottom w:val="nil"/>
              <w:right w:val="nil"/>
            </w:tcBorders>
            <w:shd w:val="clear" w:color="auto" w:fill="auto"/>
            <w:noWrap/>
            <w:vAlign w:val="bottom"/>
            <w:hideMark/>
          </w:tcPr>
          <w:p w14:paraId="5EF84F5F"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709E4B2" w14:textId="77777777" w:rsidR="00CA4524" w:rsidRDefault="00CA4524">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197842A" w14:textId="77777777" w:rsidR="00CA4524" w:rsidRDefault="00CA4524">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3CB610B5" w14:textId="77777777" w:rsidR="00CA4524" w:rsidRDefault="00CA4524">
            <w:pPr>
              <w:jc w:val="right"/>
              <w:rPr>
                <w:color w:val="000000"/>
                <w:sz w:val="20"/>
                <w:szCs w:val="20"/>
              </w:rPr>
            </w:pPr>
            <w:r>
              <w:rPr>
                <w:color w:val="000000"/>
                <w:sz w:val="20"/>
                <w:szCs w:val="20"/>
              </w:rPr>
              <w:t>0.731</w:t>
            </w:r>
          </w:p>
        </w:tc>
        <w:tc>
          <w:tcPr>
            <w:tcW w:w="864" w:type="dxa"/>
            <w:tcBorders>
              <w:top w:val="nil"/>
              <w:left w:val="nil"/>
              <w:bottom w:val="nil"/>
              <w:right w:val="nil"/>
            </w:tcBorders>
            <w:shd w:val="clear" w:color="auto" w:fill="auto"/>
            <w:noWrap/>
            <w:vAlign w:val="bottom"/>
            <w:hideMark/>
          </w:tcPr>
          <w:p w14:paraId="2FABB43D"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92E62BF" w14:textId="77777777" w:rsidR="00CA4524" w:rsidRDefault="00CA4524">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338F2A61" w14:textId="77777777" w:rsidR="00CA4524" w:rsidRDefault="00CA4524">
            <w:pPr>
              <w:jc w:val="right"/>
              <w:rPr>
                <w:color w:val="000000"/>
                <w:sz w:val="20"/>
                <w:szCs w:val="20"/>
              </w:rPr>
            </w:pPr>
            <w:r>
              <w:rPr>
                <w:color w:val="000000"/>
                <w:sz w:val="20"/>
                <w:szCs w:val="20"/>
              </w:rPr>
              <w:t>0.717</w:t>
            </w:r>
          </w:p>
        </w:tc>
        <w:tc>
          <w:tcPr>
            <w:tcW w:w="864" w:type="dxa"/>
            <w:tcBorders>
              <w:top w:val="nil"/>
              <w:left w:val="nil"/>
              <w:bottom w:val="nil"/>
              <w:right w:val="nil"/>
            </w:tcBorders>
            <w:shd w:val="clear" w:color="auto" w:fill="auto"/>
            <w:noWrap/>
            <w:vAlign w:val="bottom"/>
            <w:hideMark/>
          </w:tcPr>
          <w:p w14:paraId="1659A1C9" w14:textId="77777777" w:rsidR="00CA4524" w:rsidRDefault="00CA4524">
            <w:pPr>
              <w:jc w:val="right"/>
              <w:rPr>
                <w:color w:val="000000"/>
                <w:sz w:val="20"/>
                <w:szCs w:val="20"/>
              </w:rPr>
            </w:pPr>
            <w:r>
              <w:rPr>
                <w:color w:val="000000"/>
                <w:sz w:val="20"/>
                <w:szCs w:val="20"/>
              </w:rPr>
              <w:t>0.001</w:t>
            </w:r>
          </w:p>
        </w:tc>
      </w:tr>
      <w:tr w:rsidR="00CA4524" w14:paraId="3226AFC5" w14:textId="77777777" w:rsidTr="00CA4524">
        <w:trPr>
          <w:trHeight w:val="320"/>
        </w:trPr>
        <w:tc>
          <w:tcPr>
            <w:tcW w:w="1152" w:type="dxa"/>
            <w:tcBorders>
              <w:top w:val="nil"/>
              <w:left w:val="nil"/>
              <w:bottom w:val="nil"/>
              <w:right w:val="nil"/>
            </w:tcBorders>
            <w:shd w:val="clear" w:color="auto" w:fill="auto"/>
            <w:noWrap/>
            <w:vAlign w:val="bottom"/>
            <w:hideMark/>
          </w:tcPr>
          <w:p w14:paraId="2AE8BA64"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D434C12" w14:textId="77777777" w:rsidR="00CA4524" w:rsidRDefault="00CA4524">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9CA1BCA" w14:textId="77777777" w:rsidR="00CA4524" w:rsidRDefault="00CA4524">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3998F8A3" w14:textId="77777777" w:rsidR="00CA4524" w:rsidRDefault="00CA4524">
            <w:pPr>
              <w:jc w:val="right"/>
              <w:rPr>
                <w:color w:val="000000"/>
                <w:sz w:val="20"/>
                <w:szCs w:val="20"/>
              </w:rPr>
            </w:pPr>
            <w:r>
              <w:rPr>
                <w:color w:val="000000"/>
                <w:sz w:val="20"/>
                <w:szCs w:val="20"/>
              </w:rPr>
              <w:t>0.467</w:t>
            </w:r>
          </w:p>
        </w:tc>
        <w:tc>
          <w:tcPr>
            <w:tcW w:w="864" w:type="dxa"/>
            <w:tcBorders>
              <w:top w:val="nil"/>
              <w:left w:val="nil"/>
              <w:bottom w:val="nil"/>
              <w:right w:val="nil"/>
            </w:tcBorders>
            <w:shd w:val="clear" w:color="auto" w:fill="auto"/>
            <w:noWrap/>
            <w:vAlign w:val="bottom"/>
            <w:hideMark/>
          </w:tcPr>
          <w:p w14:paraId="3C876067" w14:textId="77777777" w:rsidR="00CA4524" w:rsidRDefault="00CA4524">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08A2B6E" w14:textId="77777777" w:rsidR="00CA4524" w:rsidRDefault="00CA4524">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3FB0F6E6" w14:textId="77777777" w:rsidR="00CA4524" w:rsidRDefault="00CA4524">
            <w:pPr>
              <w:jc w:val="right"/>
              <w:rPr>
                <w:color w:val="000000"/>
                <w:sz w:val="20"/>
                <w:szCs w:val="20"/>
              </w:rPr>
            </w:pPr>
            <w:r>
              <w:rPr>
                <w:color w:val="000000"/>
                <w:sz w:val="20"/>
                <w:szCs w:val="20"/>
              </w:rPr>
              <w:t>0.938</w:t>
            </w:r>
          </w:p>
        </w:tc>
        <w:tc>
          <w:tcPr>
            <w:tcW w:w="864" w:type="dxa"/>
            <w:tcBorders>
              <w:top w:val="nil"/>
              <w:left w:val="nil"/>
              <w:bottom w:val="nil"/>
              <w:right w:val="nil"/>
            </w:tcBorders>
            <w:shd w:val="clear" w:color="auto" w:fill="auto"/>
            <w:noWrap/>
            <w:vAlign w:val="bottom"/>
            <w:hideMark/>
          </w:tcPr>
          <w:p w14:paraId="02FCAA87" w14:textId="77777777" w:rsidR="00CA4524" w:rsidRDefault="00CA4524">
            <w:pPr>
              <w:jc w:val="right"/>
              <w:rPr>
                <w:color w:val="000000"/>
                <w:sz w:val="20"/>
                <w:szCs w:val="20"/>
              </w:rPr>
            </w:pPr>
            <w:r>
              <w:rPr>
                <w:color w:val="000000"/>
                <w:sz w:val="20"/>
                <w:szCs w:val="20"/>
              </w:rPr>
              <w:t>0.000</w:t>
            </w:r>
          </w:p>
        </w:tc>
      </w:tr>
      <w:tr w:rsidR="00CA4524" w14:paraId="577EE041" w14:textId="77777777" w:rsidTr="00CA4524">
        <w:trPr>
          <w:trHeight w:val="320"/>
        </w:trPr>
        <w:tc>
          <w:tcPr>
            <w:tcW w:w="1152" w:type="dxa"/>
            <w:tcBorders>
              <w:top w:val="nil"/>
              <w:left w:val="nil"/>
              <w:bottom w:val="single" w:sz="4" w:space="0" w:color="auto"/>
              <w:right w:val="nil"/>
            </w:tcBorders>
            <w:shd w:val="clear" w:color="auto" w:fill="auto"/>
            <w:noWrap/>
            <w:vAlign w:val="bottom"/>
            <w:hideMark/>
          </w:tcPr>
          <w:p w14:paraId="1131F149" w14:textId="77777777" w:rsidR="00CA4524" w:rsidRDefault="00CA4524">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4024A65" w14:textId="77777777" w:rsidR="00CA4524" w:rsidRDefault="00CA4524">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26ECEC78" w14:textId="77777777" w:rsidR="00CA4524" w:rsidRDefault="00CA4524">
            <w:pPr>
              <w:jc w:val="right"/>
              <w:rPr>
                <w:color w:val="000000"/>
                <w:sz w:val="20"/>
                <w:szCs w:val="20"/>
              </w:rPr>
            </w:pPr>
            <w:r>
              <w:rPr>
                <w:color w:val="000000"/>
                <w:sz w:val="20"/>
                <w:szCs w:val="20"/>
              </w:rPr>
              <w:t>-0.014</w:t>
            </w:r>
          </w:p>
        </w:tc>
        <w:tc>
          <w:tcPr>
            <w:tcW w:w="864" w:type="dxa"/>
            <w:tcBorders>
              <w:top w:val="nil"/>
              <w:left w:val="nil"/>
              <w:bottom w:val="single" w:sz="4" w:space="0" w:color="auto"/>
              <w:right w:val="nil"/>
            </w:tcBorders>
            <w:shd w:val="clear" w:color="auto" w:fill="auto"/>
            <w:noWrap/>
            <w:vAlign w:val="bottom"/>
            <w:hideMark/>
          </w:tcPr>
          <w:p w14:paraId="6A388105" w14:textId="77777777" w:rsidR="00CA4524" w:rsidRDefault="00CA4524">
            <w:pPr>
              <w:jc w:val="right"/>
              <w:rPr>
                <w:color w:val="000000"/>
                <w:sz w:val="20"/>
                <w:szCs w:val="20"/>
              </w:rPr>
            </w:pPr>
            <w:r>
              <w:rPr>
                <w:color w:val="000000"/>
                <w:sz w:val="20"/>
                <w:szCs w:val="20"/>
              </w:rPr>
              <w:t>0.731</w:t>
            </w:r>
          </w:p>
        </w:tc>
        <w:tc>
          <w:tcPr>
            <w:tcW w:w="864" w:type="dxa"/>
            <w:tcBorders>
              <w:top w:val="nil"/>
              <w:left w:val="nil"/>
              <w:bottom w:val="single" w:sz="4" w:space="0" w:color="auto"/>
              <w:right w:val="nil"/>
            </w:tcBorders>
            <w:shd w:val="clear" w:color="auto" w:fill="auto"/>
            <w:noWrap/>
            <w:vAlign w:val="bottom"/>
            <w:hideMark/>
          </w:tcPr>
          <w:p w14:paraId="14BA9D52"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63219F8" w14:textId="77777777" w:rsidR="00CA4524" w:rsidRDefault="00CA4524">
            <w:pPr>
              <w:jc w:val="right"/>
              <w:rPr>
                <w:color w:val="000000"/>
                <w:sz w:val="20"/>
                <w:szCs w:val="20"/>
              </w:rPr>
            </w:pPr>
            <w:r>
              <w:rPr>
                <w:color w:val="000000"/>
                <w:sz w:val="20"/>
                <w:szCs w:val="20"/>
              </w:rPr>
              <w:t>0.028</w:t>
            </w:r>
          </w:p>
        </w:tc>
        <w:tc>
          <w:tcPr>
            <w:tcW w:w="864" w:type="dxa"/>
            <w:tcBorders>
              <w:top w:val="nil"/>
              <w:left w:val="nil"/>
              <w:bottom w:val="single" w:sz="4" w:space="0" w:color="auto"/>
              <w:right w:val="nil"/>
            </w:tcBorders>
            <w:shd w:val="clear" w:color="auto" w:fill="auto"/>
            <w:noWrap/>
            <w:vAlign w:val="bottom"/>
            <w:hideMark/>
          </w:tcPr>
          <w:p w14:paraId="5B1B2E5C" w14:textId="77777777" w:rsidR="00CA4524" w:rsidRDefault="00CA4524">
            <w:pPr>
              <w:jc w:val="right"/>
              <w:rPr>
                <w:color w:val="000000"/>
                <w:sz w:val="20"/>
                <w:szCs w:val="20"/>
              </w:rPr>
            </w:pPr>
            <w:r>
              <w:rPr>
                <w:color w:val="000000"/>
                <w:sz w:val="20"/>
                <w:szCs w:val="20"/>
              </w:rPr>
              <w:t>0.717</w:t>
            </w:r>
          </w:p>
        </w:tc>
        <w:tc>
          <w:tcPr>
            <w:tcW w:w="864" w:type="dxa"/>
            <w:tcBorders>
              <w:top w:val="nil"/>
              <w:left w:val="nil"/>
              <w:bottom w:val="single" w:sz="4" w:space="0" w:color="auto"/>
              <w:right w:val="nil"/>
            </w:tcBorders>
            <w:shd w:val="clear" w:color="auto" w:fill="auto"/>
            <w:noWrap/>
            <w:vAlign w:val="bottom"/>
            <w:hideMark/>
          </w:tcPr>
          <w:p w14:paraId="3CCE7582" w14:textId="77777777" w:rsidR="00CA4524" w:rsidRDefault="00CA4524">
            <w:pPr>
              <w:jc w:val="right"/>
              <w:rPr>
                <w:color w:val="000000"/>
                <w:sz w:val="20"/>
                <w:szCs w:val="20"/>
              </w:rPr>
            </w:pPr>
            <w:r>
              <w:rPr>
                <w:color w:val="000000"/>
                <w:sz w:val="20"/>
                <w:szCs w:val="20"/>
              </w:rPr>
              <w:t>0.001</w:t>
            </w:r>
          </w:p>
        </w:tc>
      </w:tr>
      <w:tr w:rsidR="00CA4524" w14:paraId="5204F3C7" w14:textId="77777777" w:rsidTr="00CA4524">
        <w:trPr>
          <w:trHeight w:val="320"/>
        </w:trPr>
        <w:tc>
          <w:tcPr>
            <w:tcW w:w="1152" w:type="dxa"/>
            <w:tcBorders>
              <w:top w:val="nil"/>
              <w:left w:val="nil"/>
              <w:bottom w:val="nil"/>
              <w:right w:val="nil"/>
            </w:tcBorders>
            <w:shd w:val="clear" w:color="auto" w:fill="auto"/>
            <w:noWrap/>
            <w:vAlign w:val="bottom"/>
            <w:hideMark/>
          </w:tcPr>
          <w:p w14:paraId="396E0A43" w14:textId="77777777" w:rsidR="00CA4524" w:rsidRDefault="00CA4524">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4D8C6E5A" w14:textId="77777777" w:rsidR="00CA4524" w:rsidRDefault="00CA4524">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F724D83" w14:textId="77777777" w:rsidR="00CA4524" w:rsidRDefault="00CA4524">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7F1453C2" w14:textId="77777777" w:rsidR="00CA4524" w:rsidRDefault="00CA4524">
            <w:pPr>
              <w:jc w:val="right"/>
              <w:rPr>
                <w:color w:val="000000"/>
                <w:sz w:val="20"/>
                <w:szCs w:val="20"/>
              </w:rPr>
            </w:pPr>
            <w:r>
              <w:rPr>
                <w:color w:val="000000"/>
                <w:sz w:val="20"/>
                <w:szCs w:val="20"/>
              </w:rPr>
              <w:t>0.647</w:t>
            </w:r>
          </w:p>
        </w:tc>
        <w:tc>
          <w:tcPr>
            <w:tcW w:w="864" w:type="dxa"/>
            <w:tcBorders>
              <w:top w:val="nil"/>
              <w:left w:val="nil"/>
              <w:bottom w:val="nil"/>
              <w:right w:val="nil"/>
            </w:tcBorders>
            <w:shd w:val="clear" w:color="auto" w:fill="auto"/>
            <w:noWrap/>
            <w:vAlign w:val="bottom"/>
            <w:hideMark/>
          </w:tcPr>
          <w:p w14:paraId="49DE2A05"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AFED50F" w14:textId="77777777" w:rsidR="00CA4524" w:rsidRDefault="00CA4524">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4D409915" w14:textId="77777777" w:rsidR="00CA4524" w:rsidRDefault="00CA4524">
            <w:pPr>
              <w:jc w:val="right"/>
              <w:rPr>
                <w:color w:val="000000"/>
                <w:sz w:val="20"/>
                <w:szCs w:val="20"/>
              </w:rPr>
            </w:pPr>
            <w:r>
              <w:rPr>
                <w:color w:val="000000"/>
                <w:sz w:val="20"/>
                <w:szCs w:val="20"/>
              </w:rPr>
              <w:t>0.951</w:t>
            </w:r>
          </w:p>
        </w:tc>
        <w:tc>
          <w:tcPr>
            <w:tcW w:w="864" w:type="dxa"/>
            <w:tcBorders>
              <w:top w:val="nil"/>
              <w:left w:val="nil"/>
              <w:bottom w:val="nil"/>
              <w:right w:val="nil"/>
            </w:tcBorders>
            <w:shd w:val="clear" w:color="auto" w:fill="auto"/>
            <w:noWrap/>
            <w:vAlign w:val="bottom"/>
            <w:hideMark/>
          </w:tcPr>
          <w:p w14:paraId="423DA58D" w14:textId="77777777" w:rsidR="00CA4524" w:rsidRDefault="00CA4524">
            <w:pPr>
              <w:jc w:val="right"/>
              <w:rPr>
                <w:color w:val="000000"/>
                <w:sz w:val="20"/>
                <w:szCs w:val="20"/>
              </w:rPr>
            </w:pPr>
            <w:r>
              <w:rPr>
                <w:color w:val="000000"/>
                <w:sz w:val="20"/>
                <w:szCs w:val="20"/>
              </w:rPr>
              <w:t>0.000</w:t>
            </w:r>
          </w:p>
        </w:tc>
      </w:tr>
      <w:tr w:rsidR="00CA4524" w14:paraId="62100C31" w14:textId="77777777" w:rsidTr="00CA4524">
        <w:trPr>
          <w:trHeight w:val="320"/>
        </w:trPr>
        <w:tc>
          <w:tcPr>
            <w:tcW w:w="1152" w:type="dxa"/>
            <w:tcBorders>
              <w:top w:val="nil"/>
              <w:left w:val="nil"/>
              <w:bottom w:val="nil"/>
              <w:right w:val="nil"/>
            </w:tcBorders>
            <w:shd w:val="clear" w:color="auto" w:fill="auto"/>
            <w:noWrap/>
            <w:vAlign w:val="bottom"/>
            <w:hideMark/>
          </w:tcPr>
          <w:p w14:paraId="2309062A"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C3E502D" w14:textId="77777777" w:rsidR="00CA4524" w:rsidRDefault="00CA4524">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D969CCC" w14:textId="77777777" w:rsidR="00CA4524" w:rsidRDefault="00CA4524">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460A1EC4" w14:textId="77777777" w:rsidR="00CA4524" w:rsidRDefault="00CA4524">
            <w:pPr>
              <w:jc w:val="right"/>
              <w:rPr>
                <w:color w:val="000000"/>
                <w:sz w:val="20"/>
                <w:szCs w:val="20"/>
              </w:rPr>
            </w:pPr>
            <w:r>
              <w:rPr>
                <w:color w:val="000000"/>
                <w:sz w:val="20"/>
                <w:szCs w:val="20"/>
              </w:rPr>
              <w:t>0.320</w:t>
            </w:r>
          </w:p>
        </w:tc>
        <w:tc>
          <w:tcPr>
            <w:tcW w:w="864" w:type="dxa"/>
            <w:tcBorders>
              <w:top w:val="nil"/>
              <w:left w:val="nil"/>
              <w:bottom w:val="nil"/>
              <w:right w:val="nil"/>
            </w:tcBorders>
            <w:shd w:val="clear" w:color="auto" w:fill="auto"/>
            <w:noWrap/>
            <w:vAlign w:val="bottom"/>
            <w:hideMark/>
          </w:tcPr>
          <w:p w14:paraId="0D4B2B55" w14:textId="77777777" w:rsidR="00CA4524" w:rsidRDefault="00CA4524">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7CA2576" w14:textId="77777777" w:rsidR="00CA4524" w:rsidRDefault="00CA4524">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410BE194" w14:textId="77777777" w:rsidR="00CA4524" w:rsidRDefault="00CA4524">
            <w:pPr>
              <w:jc w:val="right"/>
              <w:rPr>
                <w:color w:val="000000"/>
                <w:sz w:val="20"/>
                <w:szCs w:val="20"/>
              </w:rPr>
            </w:pPr>
            <w:r>
              <w:rPr>
                <w:color w:val="000000"/>
                <w:sz w:val="20"/>
                <w:szCs w:val="20"/>
              </w:rPr>
              <w:t>0.560</w:t>
            </w:r>
          </w:p>
        </w:tc>
        <w:tc>
          <w:tcPr>
            <w:tcW w:w="864" w:type="dxa"/>
            <w:tcBorders>
              <w:top w:val="nil"/>
              <w:left w:val="nil"/>
              <w:bottom w:val="nil"/>
              <w:right w:val="nil"/>
            </w:tcBorders>
            <w:shd w:val="clear" w:color="auto" w:fill="auto"/>
            <w:noWrap/>
            <w:vAlign w:val="bottom"/>
            <w:hideMark/>
          </w:tcPr>
          <w:p w14:paraId="7FD9D011" w14:textId="77777777" w:rsidR="00CA4524" w:rsidRDefault="00CA4524">
            <w:pPr>
              <w:jc w:val="right"/>
              <w:rPr>
                <w:color w:val="000000"/>
                <w:sz w:val="20"/>
                <w:szCs w:val="20"/>
              </w:rPr>
            </w:pPr>
            <w:r>
              <w:rPr>
                <w:color w:val="000000"/>
                <w:sz w:val="20"/>
                <w:szCs w:val="20"/>
              </w:rPr>
              <w:t>0.001</w:t>
            </w:r>
          </w:p>
        </w:tc>
      </w:tr>
      <w:tr w:rsidR="00CA4524" w14:paraId="14F5775B" w14:textId="77777777" w:rsidTr="00CA4524">
        <w:trPr>
          <w:trHeight w:val="320"/>
        </w:trPr>
        <w:tc>
          <w:tcPr>
            <w:tcW w:w="1152" w:type="dxa"/>
            <w:tcBorders>
              <w:top w:val="nil"/>
              <w:left w:val="nil"/>
              <w:bottom w:val="nil"/>
              <w:right w:val="nil"/>
            </w:tcBorders>
            <w:shd w:val="clear" w:color="auto" w:fill="auto"/>
            <w:noWrap/>
            <w:vAlign w:val="bottom"/>
            <w:hideMark/>
          </w:tcPr>
          <w:p w14:paraId="1CB0A2EC"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F66F986" w14:textId="77777777" w:rsidR="00CA4524" w:rsidRDefault="00CA4524">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C7F4F96" w14:textId="77777777" w:rsidR="00CA4524" w:rsidRDefault="00CA4524">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6B1D1963" w14:textId="77777777" w:rsidR="00CA4524" w:rsidRDefault="00CA4524">
            <w:pPr>
              <w:jc w:val="right"/>
              <w:rPr>
                <w:color w:val="000000"/>
                <w:sz w:val="20"/>
                <w:szCs w:val="20"/>
              </w:rPr>
            </w:pPr>
            <w:r>
              <w:rPr>
                <w:color w:val="000000"/>
                <w:sz w:val="20"/>
                <w:szCs w:val="20"/>
              </w:rPr>
              <w:t>0.424</w:t>
            </w:r>
          </w:p>
        </w:tc>
        <w:tc>
          <w:tcPr>
            <w:tcW w:w="864" w:type="dxa"/>
            <w:tcBorders>
              <w:top w:val="nil"/>
              <w:left w:val="nil"/>
              <w:bottom w:val="nil"/>
              <w:right w:val="nil"/>
            </w:tcBorders>
            <w:shd w:val="clear" w:color="auto" w:fill="auto"/>
            <w:noWrap/>
            <w:vAlign w:val="bottom"/>
            <w:hideMark/>
          </w:tcPr>
          <w:p w14:paraId="5663DA62"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FBDBF56" w14:textId="77777777" w:rsidR="00CA4524" w:rsidRDefault="00CA4524">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3D622900" w14:textId="77777777" w:rsidR="00CA4524" w:rsidRDefault="00CA4524">
            <w:pPr>
              <w:jc w:val="right"/>
              <w:rPr>
                <w:color w:val="000000"/>
                <w:sz w:val="20"/>
                <w:szCs w:val="20"/>
              </w:rPr>
            </w:pPr>
            <w:r>
              <w:rPr>
                <w:color w:val="000000"/>
                <w:sz w:val="20"/>
                <w:szCs w:val="20"/>
              </w:rPr>
              <w:t>0.560</w:t>
            </w:r>
          </w:p>
        </w:tc>
        <w:tc>
          <w:tcPr>
            <w:tcW w:w="864" w:type="dxa"/>
            <w:tcBorders>
              <w:top w:val="nil"/>
              <w:left w:val="nil"/>
              <w:bottom w:val="nil"/>
              <w:right w:val="nil"/>
            </w:tcBorders>
            <w:shd w:val="clear" w:color="auto" w:fill="auto"/>
            <w:noWrap/>
            <w:vAlign w:val="bottom"/>
            <w:hideMark/>
          </w:tcPr>
          <w:p w14:paraId="79CBA7E8" w14:textId="77777777" w:rsidR="00CA4524" w:rsidRDefault="00CA4524">
            <w:pPr>
              <w:jc w:val="right"/>
              <w:rPr>
                <w:color w:val="000000"/>
                <w:sz w:val="20"/>
                <w:szCs w:val="20"/>
              </w:rPr>
            </w:pPr>
            <w:r>
              <w:rPr>
                <w:color w:val="000000"/>
                <w:sz w:val="20"/>
                <w:szCs w:val="20"/>
              </w:rPr>
              <w:t>0.002</w:t>
            </w:r>
          </w:p>
        </w:tc>
      </w:tr>
      <w:tr w:rsidR="00CA4524" w14:paraId="0959A878" w14:textId="77777777" w:rsidTr="00CA4524">
        <w:trPr>
          <w:trHeight w:val="320"/>
        </w:trPr>
        <w:tc>
          <w:tcPr>
            <w:tcW w:w="1152" w:type="dxa"/>
            <w:tcBorders>
              <w:top w:val="nil"/>
              <w:left w:val="nil"/>
              <w:bottom w:val="nil"/>
              <w:right w:val="nil"/>
            </w:tcBorders>
            <w:shd w:val="clear" w:color="auto" w:fill="auto"/>
            <w:noWrap/>
            <w:vAlign w:val="bottom"/>
            <w:hideMark/>
          </w:tcPr>
          <w:p w14:paraId="27F08C24"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3D0FC1" w14:textId="77777777" w:rsidR="00CA4524" w:rsidRDefault="00CA4524">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B922E51" w14:textId="77777777" w:rsidR="00CA4524" w:rsidRDefault="00CA4524">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02078CAE" w14:textId="77777777" w:rsidR="00CA4524" w:rsidRDefault="00CA4524">
            <w:pPr>
              <w:jc w:val="right"/>
              <w:rPr>
                <w:color w:val="000000"/>
                <w:sz w:val="20"/>
                <w:szCs w:val="20"/>
              </w:rPr>
            </w:pPr>
            <w:r>
              <w:rPr>
                <w:color w:val="000000"/>
                <w:sz w:val="20"/>
                <w:szCs w:val="20"/>
              </w:rPr>
              <w:t>0.424</w:t>
            </w:r>
          </w:p>
        </w:tc>
        <w:tc>
          <w:tcPr>
            <w:tcW w:w="864" w:type="dxa"/>
            <w:tcBorders>
              <w:top w:val="nil"/>
              <w:left w:val="nil"/>
              <w:bottom w:val="nil"/>
              <w:right w:val="nil"/>
            </w:tcBorders>
            <w:shd w:val="clear" w:color="auto" w:fill="auto"/>
            <w:noWrap/>
            <w:vAlign w:val="bottom"/>
            <w:hideMark/>
          </w:tcPr>
          <w:p w14:paraId="76ACABFA"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94E7B93" w14:textId="77777777" w:rsidR="00CA4524" w:rsidRDefault="00CA4524">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32E79A95" w14:textId="77777777" w:rsidR="00CA4524" w:rsidRDefault="00CA4524">
            <w:pPr>
              <w:jc w:val="right"/>
              <w:rPr>
                <w:color w:val="000000"/>
                <w:sz w:val="20"/>
                <w:szCs w:val="20"/>
              </w:rPr>
            </w:pPr>
            <w:r>
              <w:rPr>
                <w:color w:val="000000"/>
                <w:sz w:val="20"/>
                <w:szCs w:val="20"/>
              </w:rPr>
              <w:t>0.560</w:t>
            </w:r>
          </w:p>
        </w:tc>
        <w:tc>
          <w:tcPr>
            <w:tcW w:w="864" w:type="dxa"/>
            <w:tcBorders>
              <w:top w:val="nil"/>
              <w:left w:val="nil"/>
              <w:bottom w:val="nil"/>
              <w:right w:val="nil"/>
            </w:tcBorders>
            <w:shd w:val="clear" w:color="auto" w:fill="auto"/>
            <w:noWrap/>
            <w:vAlign w:val="bottom"/>
            <w:hideMark/>
          </w:tcPr>
          <w:p w14:paraId="7A221A58" w14:textId="77777777" w:rsidR="00CA4524" w:rsidRDefault="00CA4524">
            <w:pPr>
              <w:jc w:val="right"/>
              <w:rPr>
                <w:color w:val="000000"/>
                <w:sz w:val="20"/>
                <w:szCs w:val="20"/>
              </w:rPr>
            </w:pPr>
            <w:r>
              <w:rPr>
                <w:color w:val="000000"/>
                <w:sz w:val="20"/>
                <w:szCs w:val="20"/>
              </w:rPr>
              <w:t>0.001</w:t>
            </w:r>
          </w:p>
        </w:tc>
      </w:tr>
      <w:tr w:rsidR="00CA4524" w14:paraId="3BD8F219" w14:textId="77777777" w:rsidTr="00CA4524">
        <w:trPr>
          <w:trHeight w:val="320"/>
        </w:trPr>
        <w:tc>
          <w:tcPr>
            <w:tcW w:w="1152" w:type="dxa"/>
            <w:tcBorders>
              <w:top w:val="nil"/>
              <w:left w:val="nil"/>
              <w:bottom w:val="nil"/>
              <w:right w:val="nil"/>
            </w:tcBorders>
            <w:shd w:val="clear" w:color="auto" w:fill="auto"/>
            <w:noWrap/>
            <w:vAlign w:val="bottom"/>
            <w:hideMark/>
          </w:tcPr>
          <w:p w14:paraId="4FA0B8DE"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3E0FC1B" w14:textId="77777777" w:rsidR="00CA4524" w:rsidRDefault="00CA4524">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9348162" w14:textId="77777777" w:rsidR="00CA4524" w:rsidRDefault="00CA4524">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7E5463D1" w14:textId="77777777" w:rsidR="00CA4524" w:rsidRDefault="00CA4524">
            <w:pPr>
              <w:jc w:val="right"/>
              <w:rPr>
                <w:color w:val="000000"/>
                <w:sz w:val="20"/>
                <w:szCs w:val="20"/>
              </w:rPr>
            </w:pPr>
            <w:r>
              <w:rPr>
                <w:color w:val="000000"/>
                <w:sz w:val="20"/>
                <w:szCs w:val="20"/>
              </w:rPr>
              <w:t>0.424</w:t>
            </w:r>
          </w:p>
        </w:tc>
        <w:tc>
          <w:tcPr>
            <w:tcW w:w="864" w:type="dxa"/>
            <w:tcBorders>
              <w:top w:val="nil"/>
              <w:left w:val="nil"/>
              <w:bottom w:val="nil"/>
              <w:right w:val="nil"/>
            </w:tcBorders>
            <w:shd w:val="clear" w:color="auto" w:fill="auto"/>
            <w:noWrap/>
            <w:vAlign w:val="bottom"/>
            <w:hideMark/>
          </w:tcPr>
          <w:p w14:paraId="06863341"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568EE7F" w14:textId="77777777" w:rsidR="00CA4524" w:rsidRDefault="00CA4524">
            <w:pPr>
              <w:jc w:val="right"/>
              <w:rPr>
                <w:color w:val="000000"/>
                <w:sz w:val="20"/>
                <w:szCs w:val="20"/>
              </w:rPr>
            </w:pPr>
            <w:r>
              <w:rPr>
                <w:color w:val="000000"/>
                <w:sz w:val="20"/>
                <w:szCs w:val="20"/>
              </w:rPr>
              <w:t>0.050</w:t>
            </w:r>
          </w:p>
        </w:tc>
        <w:tc>
          <w:tcPr>
            <w:tcW w:w="864" w:type="dxa"/>
            <w:tcBorders>
              <w:top w:val="nil"/>
              <w:left w:val="nil"/>
              <w:bottom w:val="nil"/>
              <w:right w:val="nil"/>
            </w:tcBorders>
            <w:shd w:val="clear" w:color="auto" w:fill="auto"/>
            <w:noWrap/>
            <w:vAlign w:val="bottom"/>
            <w:hideMark/>
          </w:tcPr>
          <w:p w14:paraId="05926C96" w14:textId="77777777" w:rsidR="00CA4524" w:rsidRDefault="00CA4524">
            <w:pPr>
              <w:jc w:val="right"/>
              <w:rPr>
                <w:color w:val="000000"/>
                <w:sz w:val="20"/>
                <w:szCs w:val="20"/>
              </w:rPr>
            </w:pPr>
            <w:r>
              <w:rPr>
                <w:color w:val="000000"/>
                <w:sz w:val="20"/>
                <w:szCs w:val="20"/>
              </w:rPr>
              <w:t>0.560</w:t>
            </w:r>
          </w:p>
        </w:tc>
        <w:tc>
          <w:tcPr>
            <w:tcW w:w="864" w:type="dxa"/>
            <w:tcBorders>
              <w:top w:val="nil"/>
              <w:left w:val="nil"/>
              <w:bottom w:val="nil"/>
              <w:right w:val="nil"/>
            </w:tcBorders>
            <w:shd w:val="clear" w:color="auto" w:fill="auto"/>
            <w:noWrap/>
            <w:vAlign w:val="bottom"/>
            <w:hideMark/>
          </w:tcPr>
          <w:p w14:paraId="5D5C5FED" w14:textId="77777777" w:rsidR="00CA4524" w:rsidRDefault="00CA4524">
            <w:pPr>
              <w:jc w:val="right"/>
              <w:rPr>
                <w:color w:val="000000"/>
                <w:sz w:val="20"/>
                <w:szCs w:val="20"/>
              </w:rPr>
            </w:pPr>
            <w:r>
              <w:rPr>
                <w:color w:val="000000"/>
                <w:sz w:val="20"/>
                <w:szCs w:val="20"/>
              </w:rPr>
              <w:t>0.003</w:t>
            </w:r>
          </w:p>
        </w:tc>
      </w:tr>
      <w:tr w:rsidR="00CA4524" w14:paraId="0E83729B" w14:textId="77777777" w:rsidTr="00CA4524">
        <w:trPr>
          <w:trHeight w:val="320"/>
        </w:trPr>
        <w:tc>
          <w:tcPr>
            <w:tcW w:w="1152" w:type="dxa"/>
            <w:tcBorders>
              <w:top w:val="nil"/>
              <w:left w:val="nil"/>
              <w:bottom w:val="nil"/>
              <w:right w:val="nil"/>
            </w:tcBorders>
            <w:shd w:val="clear" w:color="auto" w:fill="auto"/>
            <w:noWrap/>
            <w:vAlign w:val="bottom"/>
            <w:hideMark/>
          </w:tcPr>
          <w:p w14:paraId="0CCC6B3F"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93B1247" w14:textId="77777777" w:rsidR="00CA4524" w:rsidRDefault="00CA4524">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A38DEBA" w14:textId="77777777" w:rsidR="00CA4524" w:rsidRDefault="00CA4524">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42C52A23" w14:textId="77777777" w:rsidR="00CA4524" w:rsidRDefault="00CA4524">
            <w:pPr>
              <w:jc w:val="right"/>
              <w:rPr>
                <w:color w:val="000000"/>
                <w:sz w:val="20"/>
                <w:szCs w:val="20"/>
              </w:rPr>
            </w:pPr>
            <w:r>
              <w:rPr>
                <w:color w:val="000000"/>
                <w:sz w:val="20"/>
                <w:szCs w:val="20"/>
              </w:rPr>
              <w:t>0.621</w:t>
            </w:r>
          </w:p>
        </w:tc>
        <w:tc>
          <w:tcPr>
            <w:tcW w:w="864" w:type="dxa"/>
            <w:tcBorders>
              <w:top w:val="nil"/>
              <w:left w:val="nil"/>
              <w:bottom w:val="nil"/>
              <w:right w:val="nil"/>
            </w:tcBorders>
            <w:shd w:val="clear" w:color="auto" w:fill="auto"/>
            <w:noWrap/>
            <w:vAlign w:val="bottom"/>
            <w:hideMark/>
          </w:tcPr>
          <w:p w14:paraId="20EE4CC5" w14:textId="77777777" w:rsidR="00CA4524" w:rsidRDefault="00CA452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103E30D" w14:textId="77777777" w:rsidR="00CA4524" w:rsidRDefault="00CA4524">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D2A607C" w14:textId="77777777" w:rsidR="00CA4524" w:rsidRDefault="00CA4524">
            <w:pPr>
              <w:jc w:val="right"/>
              <w:rPr>
                <w:color w:val="000000"/>
                <w:sz w:val="20"/>
                <w:szCs w:val="20"/>
              </w:rPr>
            </w:pPr>
            <w:r>
              <w:rPr>
                <w:color w:val="000000"/>
                <w:sz w:val="20"/>
                <w:szCs w:val="20"/>
              </w:rPr>
              <w:t>0.951</w:t>
            </w:r>
          </w:p>
        </w:tc>
        <w:tc>
          <w:tcPr>
            <w:tcW w:w="864" w:type="dxa"/>
            <w:tcBorders>
              <w:top w:val="nil"/>
              <w:left w:val="nil"/>
              <w:bottom w:val="nil"/>
              <w:right w:val="nil"/>
            </w:tcBorders>
            <w:shd w:val="clear" w:color="auto" w:fill="auto"/>
            <w:noWrap/>
            <w:vAlign w:val="bottom"/>
            <w:hideMark/>
          </w:tcPr>
          <w:p w14:paraId="1DC44B24" w14:textId="77777777" w:rsidR="00CA4524" w:rsidRDefault="00CA4524">
            <w:pPr>
              <w:jc w:val="right"/>
              <w:rPr>
                <w:color w:val="000000"/>
                <w:sz w:val="20"/>
                <w:szCs w:val="20"/>
              </w:rPr>
            </w:pPr>
            <w:r>
              <w:rPr>
                <w:color w:val="000000"/>
                <w:sz w:val="20"/>
                <w:szCs w:val="20"/>
              </w:rPr>
              <w:t>0.000</w:t>
            </w:r>
          </w:p>
        </w:tc>
      </w:tr>
      <w:tr w:rsidR="00CA4524" w14:paraId="5CC9D3B6" w14:textId="77777777" w:rsidTr="00CA4524">
        <w:trPr>
          <w:trHeight w:val="320"/>
        </w:trPr>
        <w:tc>
          <w:tcPr>
            <w:tcW w:w="1152" w:type="dxa"/>
            <w:tcBorders>
              <w:top w:val="nil"/>
              <w:left w:val="nil"/>
              <w:bottom w:val="nil"/>
              <w:right w:val="nil"/>
            </w:tcBorders>
            <w:shd w:val="clear" w:color="auto" w:fill="auto"/>
            <w:noWrap/>
            <w:vAlign w:val="bottom"/>
            <w:hideMark/>
          </w:tcPr>
          <w:p w14:paraId="63D06592" w14:textId="77777777" w:rsidR="00CA4524" w:rsidRDefault="00CA452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CD573E5" w14:textId="77777777" w:rsidR="00CA4524" w:rsidRDefault="00CA4524">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3CBFA93" w14:textId="77777777" w:rsidR="00CA4524" w:rsidRDefault="00CA4524">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33589FD6" w14:textId="77777777" w:rsidR="00CA4524" w:rsidRDefault="00CA4524">
            <w:pPr>
              <w:jc w:val="right"/>
              <w:rPr>
                <w:color w:val="000000"/>
                <w:sz w:val="20"/>
                <w:szCs w:val="20"/>
              </w:rPr>
            </w:pPr>
            <w:r>
              <w:rPr>
                <w:color w:val="000000"/>
                <w:sz w:val="20"/>
                <w:szCs w:val="20"/>
              </w:rPr>
              <w:t>0.424</w:t>
            </w:r>
          </w:p>
        </w:tc>
        <w:tc>
          <w:tcPr>
            <w:tcW w:w="864" w:type="dxa"/>
            <w:tcBorders>
              <w:top w:val="nil"/>
              <w:left w:val="nil"/>
              <w:bottom w:val="nil"/>
              <w:right w:val="nil"/>
            </w:tcBorders>
            <w:shd w:val="clear" w:color="auto" w:fill="auto"/>
            <w:noWrap/>
            <w:vAlign w:val="bottom"/>
            <w:hideMark/>
          </w:tcPr>
          <w:p w14:paraId="69F8A4B0"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2D2ECE0" w14:textId="77777777" w:rsidR="00CA4524" w:rsidRDefault="00CA4524">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0D6074B" w14:textId="77777777" w:rsidR="00CA4524" w:rsidRDefault="00CA4524">
            <w:pPr>
              <w:jc w:val="right"/>
              <w:rPr>
                <w:color w:val="000000"/>
                <w:sz w:val="20"/>
                <w:szCs w:val="20"/>
              </w:rPr>
            </w:pPr>
            <w:r>
              <w:rPr>
                <w:color w:val="000000"/>
                <w:sz w:val="20"/>
                <w:szCs w:val="20"/>
              </w:rPr>
              <w:t>0.951</w:t>
            </w:r>
          </w:p>
        </w:tc>
        <w:tc>
          <w:tcPr>
            <w:tcW w:w="864" w:type="dxa"/>
            <w:tcBorders>
              <w:top w:val="nil"/>
              <w:left w:val="nil"/>
              <w:bottom w:val="nil"/>
              <w:right w:val="nil"/>
            </w:tcBorders>
            <w:shd w:val="clear" w:color="auto" w:fill="auto"/>
            <w:noWrap/>
            <w:vAlign w:val="bottom"/>
            <w:hideMark/>
          </w:tcPr>
          <w:p w14:paraId="5DE2B1BF" w14:textId="77777777" w:rsidR="00CA4524" w:rsidRDefault="00CA4524">
            <w:pPr>
              <w:jc w:val="right"/>
              <w:rPr>
                <w:color w:val="000000"/>
                <w:sz w:val="20"/>
                <w:szCs w:val="20"/>
              </w:rPr>
            </w:pPr>
            <w:r>
              <w:rPr>
                <w:color w:val="000000"/>
                <w:sz w:val="20"/>
                <w:szCs w:val="20"/>
              </w:rPr>
              <w:t>0.000</w:t>
            </w:r>
          </w:p>
        </w:tc>
      </w:tr>
      <w:tr w:rsidR="00CA4524" w14:paraId="1AE05493"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45CBD977" w14:textId="77777777" w:rsidR="00CA4524" w:rsidRDefault="00CA4524">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386276BC" w14:textId="77777777" w:rsidR="00CA4524" w:rsidRDefault="00CA4524">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3471CF3B" w14:textId="77777777" w:rsidR="00CA4524" w:rsidRDefault="00CA4524">
            <w:pPr>
              <w:jc w:val="right"/>
              <w:rPr>
                <w:color w:val="000000"/>
                <w:sz w:val="20"/>
                <w:szCs w:val="20"/>
              </w:rPr>
            </w:pPr>
            <w:r>
              <w:rPr>
                <w:color w:val="000000"/>
                <w:sz w:val="20"/>
                <w:szCs w:val="20"/>
              </w:rPr>
              <w:t>-0.033</w:t>
            </w:r>
          </w:p>
        </w:tc>
        <w:tc>
          <w:tcPr>
            <w:tcW w:w="864" w:type="dxa"/>
            <w:tcBorders>
              <w:top w:val="nil"/>
              <w:left w:val="nil"/>
              <w:bottom w:val="single" w:sz="12" w:space="0" w:color="auto"/>
              <w:right w:val="nil"/>
            </w:tcBorders>
            <w:shd w:val="clear" w:color="auto" w:fill="auto"/>
            <w:noWrap/>
            <w:vAlign w:val="bottom"/>
            <w:hideMark/>
          </w:tcPr>
          <w:p w14:paraId="0D27E879" w14:textId="77777777" w:rsidR="00CA4524" w:rsidRDefault="00CA4524">
            <w:pPr>
              <w:jc w:val="right"/>
              <w:rPr>
                <w:color w:val="000000"/>
                <w:sz w:val="20"/>
                <w:szCs w:val="20"/>
              </w:rPr>
            </w:pPr>
            <w:r>
              <w:rPr>
                <w:color w:val="000000"/>
                <w:sz w:val="20"/>
                <w:szCs w:val="20"/>
              </w:rPr>
              <w:t>0.424</w:t>
            </w:r>
          </w:p>
        </w:tc>
        <w:tc>
          <w:tcPr>
            <w:tcW w:w="864" w:type="dxa"/>
            <w:tcBorders>
              <w:top w:val="nil"/>
              <w:left w:val="nil"/>
              <w:bottom w:val="single" w:sz="12" w:space="0" w:color="auto"/>
              <w:right w:val="nil"/>
            </w:tcBorders>
            <w:shd w:val="clear" w:color="auto" w:fill="auto"/>
            <w:noWrap/>
            <w:vAlign w:val="bottom"/>
            <w:hideMark/>
          </w:tcPr>
          <w:p w14:paraId="4F0E1BDC" w14:textId="77777777" w:rsidR="00CA4524" w:rsidRDefault="00CA4524">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6B4F9FB6" w14:textId="77777777" w:rsidR="00CA4524" w:rsidRDefault="00CA4524">
            <w:pPr>
              <w:jc w:val="right"/>
              <w:rPr>
                <w:color w:val="000000"/>
                <w:sz w:val="20"/>
                <w:szCs w:val="20"/>
              </w:rPr>
            </w:pPr>
            <w:r>
              <w:rPr>
                <w:color w:val="000000"/>
                <w:sz w:val="20"/>
                <w:szCs w:val="20"/>
              </w:rPr>
              <w:t>0.031</w:t>
            </w:r>
          </w:p>
        </w:tc>
        <w:tc>
          <w:tcPr>
            <w:tcW w:w="864" w:type="dxa"/>
            <w:tcBorders>
              <w:top w:val="nil"/>
              <w:left w:val="nil"/>
              <w:bottom w:val="single" w:sz="12" w:space="0" w:color="auto"/>
              <w:right w:val="nil"/>
            </w:tcBorders>
            <w:shd w:val="clear" w:color="auto" w:fill="auto"/>
            <w:noWrap/>
            <w:vAlign w:val="bottom"/>
            <w:hideMark/>
          </w:tcPr>
          <w:p w14:paraId="68AEEC52" w14:textId="77777777" w:rsidR="00CA4524" w:rsidRDefault="00CA4524">
            <w:pPr>
              <w:jc w:val="right"/>
              <w:rPr>
                <w:color w:val="000000"/>
                <w:sz w:val="20"/>
                <w:szCs w:val="20"/>
              </w:rPr>
            </w:pPr>
            <w:r>
              <w:rPr>
                <w:color w:val="000000"/>
                <w:sz w:val="20"/>
                <w:szCs w:val="20"/>
              </w:rPr>
              <w:t>0.560</w:t>
            </w:r>
          </w:p>
        </w:tc>
        <w:tc>
          <w:tcPr>
            <w:tcW w:w="864" w:type="dxa"/>
            <w:tcBorders>
              <w:top w:val="nil"/>
              <w:left w:val="nil"/>
              <w:bottom w:val="single" w:sz="12" w:space="0" w:color="auto"/>
              <w:right w:val="nil"/>
            </w:tcBorders>
            <w:shd w:val="clear" w:color="auto" w:fill="auto"/>
            <w:noWrap/>
            <w:vAlign w:val="bottom"/>
            <w:hideMark/>
          </w:tcPr>
          <w:p w14:paraId="19ACF283" w14:textId="77777777" w:rsidR="00CA4524" w:rsidRDefault="00CA4524">
            <w:pPr>
              <w:jc w:val="right"/>
              <w:rPr>
                <w:color w:val="000000"/>
                <w:sz w:val="20"/>
                <w:szCs w:val="20"/>
              </w:rPr>
            </w:pPr>
            <w:r>
              <w:rPr>
                <w:color w:val="000000"/>
                <w:sz w:val="20"/>
                <w:szCs w:val="20"/>
              </w:rPr>
              <w:t>0.001</w:t>
            </w:r>
          </w:p>
        </w:tc>
      </w:tr>
      <w:tr w:rsidR="00CA4524" w14:paraId="12C601B5"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2B193BBC" w14:textId="77777777" w:rsidR="00CA4524" w:rsidRDefault="00CA4524">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021554D9" w14:textId="77777777" w:rsidR="00CA4524" w:rsidRDefault="00CA452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764A921" w14:textId="77777777" w:rsidR="00CA4524" w:rsidRDefault="00CA452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BB9157B" w14:textId="77777777" w:rsidR="00CA4524" w:rsidRDefault="00CA452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679ECE3" w14:textId="77777777" w:rsidR="00CA4524" w:rsidRDefault="00CA452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E818985" w14:textId="77777777" w:rsidR="00CA4524" w:rsidRDefault="00CA452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A8590FA" w14:textId="77777777" w:rsidR="00CA4524" w:rsidRDefault="00CA452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117A29B" w14:textId="77777777" w:rsidR="00CA4524" w:rsidRDefault="00CA4524">
            <w:pPr>
              <w:rPr>
                <w:sz w:val="20"/>
                <w:szCs w:val="20"/>
              </w:rPr>
            </w:pPr>
          </w:p>
        </w:tc>
      </w:tr>
    </w:tbl>
    <w:p w14:paraId="50F41292" w14:textId="5546296E" w:rsidR="00CA4524" w:rsidRDefault="00CA4524" w:rsidP="00BC5AB7">
      <w:pPr>
        <w:rPr>
          <w:rFonts w:ascii="Batang" w:eastAsia="Batang" w:hAnsi="Batang" w:cs="Batang"/>
          <w:color w:val="000000"/>
        </w:rPr>
      </w:pPr>
    </w:p>
    <w:p w14:paraId="7FB03481" w14:textId="77777777" w:rsidR="00CA4524" w:rsidRDefault="00CA4524">
      <w:pPr>
        <w:rPr>
          <w:rFonts w:ascii="Batang" w:eastAsia="Batang" w:hAnsi="Batang" w:cs="Batang"/>
          <w:color w:val="000000"/>
        </w:rPr>
      </w:pPr>
      <w:r>
        <w:rPr>
          <w:rFonts w:ascii="Batang" w:eastAsia="Batang" w:hAnsi="Batang" w:cs="Batang"/>
          <w:color w:val="000000"/>
        </w:rPr>
        <w:br w:type="page"/>
      </w:r>
    </w:p>
    <w:p w14:paraId="25DB2703" w14:textId="6FA727DA" w:rsidR="00CA4524" w:rsidRPr="00474DA8" w:rsidRDefault="00CA4524" w:rsidP="00CA4524">
      <w:pPr>
        <w:pStyle w:val="Heading1"/>
        <w:rPr>
          <w:rFonts w:ascii="Times New Roman" w:hAnsi="Times New Roman" w:cs="Times New Roman"/>
          <w:color w:val="000000" w:themeColor="text1"/>
          <w:sz w:val="24"/>
          <w:szCs w:val="24"/>
        </w:rPr>
      </w:pPr>
      <w:bookmarkStart w:id="80" w:name="_Toc155817747"/>
      <w:r w:rsidRPr="00B751D3">
        <w:rPr>
          <w:rFonts w:ascii="Times New Roman" w:hAnsi="Times New Roman" w:cs="Times New Roman"/>
          <w:b/>
          <w:bCs/>
          <w:color w:val="000000" w:themeColor="text1"/>
          <w:sz w:val="24"/>
          <w:szCs w:val="24"/>
        </w:rPr>
        <w:lastRenderedPageBreak/>
        <w:t>Table 2</w:t>
      </w:r>
      <w:r w:rsidR="0036523A" w:rsidRPr="00B751D3">
        <w:rPr>
          <w:rFonts w:ascii="Times New Roman" w:hAnsi="Times New Roman" w:cs="Times New Roman"/>
          <w:b/>
          <w:bCs/>
          <w:color w:val="000000" w:themeColor="text1"/>
          <w:sz w:val="24"/>
          <w:szCs w:val="24"/>
        </w:rPr>
        <w:t>7</w:t>
      </w:r>
      <w:r w:rsidR="00B751D3" w:rsidRPr="00B751D3">
        <w:rPr>
          <w:rFonts w:ascii="Times New Roman" w:hAnsi="Times New Roman" w:cs="Times New Roman"/>
          <w:b/>
          <w:bCs/>
          <w:color w:val="000000" w:themeColor="text1"/>
          <w:sz w:val="24"/>
          <w:szCs w:val="24"/>
        </w:rPr>
        <w:t>q</w:t>
      </w:r>
      <w:r w:rsidRPr="00B751D3">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local efficiency and neighborhood SES deprivation obtained from bifactor modeling and neighborhood median income during stop signal task</w:t>
      </w:r>
      <w:bookmarkEnd w:id="80"/>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597A43" w14:paraId="5A9A4CCD"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0DB6B211" w14:textId="77777777" w:rsidR="00597A43" w:rsidRDefault="00597A43">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34D9F890" w14:textId="77777777" w:rsidR="00597A43" w:rsidRDefault="00597A43">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2921839B" w14:textId="77777777" w:rsidR="00597A43" w:rsidRDefault="00597A43">
            <w:pPr>
              <w:rPr>
                <w:color w:val="000000"/>
              </w:rPr>
            </w:pPr>
          </w:p>
        </w:tc>
        <w:tc>
          <w:tcPr>
            <w:tcW w:w="864" w:type="dxa"/>
            <w:tcBorders>
              <w:top w:val="nil"/>
              <w:left w:val="nil"/>
              <w:bottom w:val="single" w:sz="12" w:space="0" w:color="auto"/>
              <w:right w:val="nil"/>
            </w:tcBorders>
            <w:shd w:val="clear" w:color="auto" w:fill="auto"/>
            <w:noWrap/>
            <w:vAlign w:val="bottom"/>
            <w:hideMark/>
          </w:tcPr>
          <w:p w14:paraId="05C29C3E" w14:textId="77777777" w:rsidR="00597A43" w:rsidRDefault="00597A43">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5F09C37" w14:textId="77777777" w:rsidR="00597A43" w:rsidRDefault="00597A43">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AA5AB78" w14:textId="77777777" w:rsidR="00597A43" w:rsidRDefault="00597A43">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0AFEAFE" w14:textId="77777777" w:rsidR="00597A43" w:rsidRDefault="00597A43">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7D6E84B" w14:textId="77777777" w:rsidR="00597A43" w:rsidRDefault="00597A43">
            <w:pPr>
              <w:rPr>
                <w:sz w:val="20"/>
                <w:szCs w:val="20"/>
              </w:rPr>
            </w:pPr>
          </w:p>
        </w:tc>
      </w:tr>
      <w:tr w:rsidR="00597A43" w14:paraId="3FDCC917"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6C814038" w14:textId="77777777" w:rsidR="00597A43" w:rsidRDefault="00597A43">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358985D4" w14:textId="77777777" w:rsidR="00597A43" w:rsidRDefault="00597A43">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77DFD5A0" w14:textId="77777777" w:rsidR="00597A43" w:rsidRDefault="00597A43">
            <w:pPr>
              <w:jc w:val="center"/>
              <w:rPr>
                <w:color w:val="000000"/>
                <w:sz w:val="20"/>
                <w:szCs w:val="20"/>
              </w:rPr>
            </w:pPr>
            <w:r>
              <w:rPr>
                <w:color w:val="000000"/>
                <w:sz w:val="20"/>
                <w:szCs w:val="20"/>
              </w:rPr>
              <w:t>Neighborhood SES Deprivation</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6113637E" w14:textId="77777777" w:rsidR="00597A43" w:rsidRDefault="00597A43">
            <w:pPr>
              <w:jc w:val="center"/>
              <w:rPr>
                <w:color w:val="000000"/>
                <w:sz w:val="20"/>
                <w:szCs w:val="20"/>
              </w:rPr>
            </w:pPr>
            <w:r>
              <w:rPr>
                <w:color w:val="000000"/>
                <w:sz w:val="20"/>
                <w:szCs w:val="20"/>
              </w:rPr>
              <w:t>Neighborhood Median Income</w:t>
            </w:r>
          </w:p>
        </w:tc>
      </w:tr>
      <w:tr w:rsidR="00597A43" w14:paraId="0AA23955"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141B5BEA" w14:textId="77777777" w:rsidR="00597A43" w:rsidRDefault="00597A43">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78A1CA57" w14:textId="77777777" w:rsidR="00597A43" w:rsidRDefault="00597A43">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71DC5D7E" w14:textId="77777777" w:rsidR="00597A43" w:rsidRDefault="00597A43">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2DFBAE93" w14:textId="77777777" w:rsidR="00597A43" w:rsidRDefault="00597A4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2B65045C" w14:textId="77777777" w:rsidR="00597A43" w:rsidRDefault="00597A43">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5D6517C9" w14:textId="77777777" w:rsidR="00597A43" w:rsidRDefault="00597A43">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0A4E561C" w14:textId="77777777" w:rsidR="00597A43" w:rsidRDefault="00597A43">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7A4A2CB6" w14:textId="77777777" w:rsidR="00597A43" w:rsidRDefault="00597A43">
            <w:pPr>
              <w:jc w:val="center"/>
              <w:rPr>
                <w:i/>
                <w:iCs/>
                <w:color w:val="000000"/>
                <w:sz w:val="20"/>
                <w:szCs w:val="20"/>
              </w:rPr>
            </w:pPr>
            <w:r>
              <w:rPr>
                <w:i/>
                <w:iCs/>
                <w:color w:val="000000"/>
                <w:sz w:val="20"/>
                <w:szCs w:val="20"/>
              </w:rPr>
              <w:t>R2</w:t>
            </w:r>
          </w:p>
        </w:tc>
      </w:tr>
      <w:tr w:rsidR="00597A43" w14:paraId="59175355"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C7E250F" w14:textId="77777777" w:rsidR="00597A43" w:rsidRDefault="00597A43">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5E60663F" w14:textId="77777777" w:rsidR="00597A43" w:rsidRDefault="00597A43">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333F68C3" w14:textId="77777777" w:rsidR="00597A43" w:rsidRDefault="00597A43">
            <w:pPr>
              <w:jc w:val="right"/>
              <w:rPr>
                <w:color w:val="000000"/>
                <w:sz w:val="20"/>
                <w:szCs w:val="20"/>
              </w:rPr>
            </w:pPr>
            <w:r>
              <w:rPr>
                <w:color w:val="000000"/>
                <w:sz w:val="20"/>
                <w:szCs w:val="20"/>
              </w:rPr>
              <w:t>-0.024</w:t>
            </w:r>
          </w:p>
        </w:tc>
        <w:tc>
          <w:tcPr>
            <w:tcW w:w="864" w:type="dxa"/>
            <w:tcBorders>
              <w:top w:val="single" w:sz="12" w:space="0" w:color="auto"/>
              <w:left w:val="nil"/>
              <w:bottom w:val="nil"/>
              <w:right w:val="nil"/>
            </w:tcBorders>
            <w:shd w:val="clear" w:color="auto" w:fill="auto"/>
            <w:noWrap/>
            <w:vAlign w:val="bottom"/>
            <w:hideMark/>
          </w:tcPr>
          <w:p w14:paraId="22A2CD92" w14:textId="77777777" w:rsidR="00597A43" w:rsidRDefault="00597A43">
            <w:pPr>
              <w:jc w:val="right"/>
              <w:rPr>
                <w:color w:val="000000"/>
                <w:sz w:val="20"/>
                <w:szCs w:val="20"/>
              </w:rPr>
            </w:pPr>
            <w:r>
              <w:rPr>
                <w:color w:val="000000"/>
                <w:sz w:val="20"/>
                <w:szCs w:val="20"/>
              </w:rPr>
              <w:t>0.797</w:t>
            </w:r>
          </w:p>
        </w:tc>
        <w:tc>
          <w:tcPr>
            <w:tcW w:w="864" w:type="dxa"/>
            <w:tcBorders>
              <w:top w:val="single" w:sz="12" w:space="0" w:color="auto"/>
              <w:left w:val="nil"/>
              <w:bottom w:val="nil"/>
              <w:right w:val="nil"/>
            </w:tcBorders>
            <w:shd w:val="clear" w:color="auto" w:fill="auto"/>
            <w:noWrap/>
            <w:vAlign w:val="bottom"/>
            <w:hideMark/>
          </w:tcPr>
          <w:p w14:paraId="5AB50D83" w14:textId="77777777" w:rsidR="00597A43" w:rsidRDefault="00597A43">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6ED4529F" w14:textId="77777777" w:rsidR="00597A43" w:rsidRDefault="00597A43">
            <w:pPr>
              <w:jc w:val="right"/>
              <w:rPr>
                <w:color w:val="000000"/>
                <w:sz w:val="20"/>
                <w:szCs w:val="20"/>
              </w:rPr>
            </w:pPr>
            <w:r>
              <w:rPr>
                <w:color w:val="000000"/>
                <w:sz w:val="20"/>
                <w:szCs w:val="20"/>
              </w:rPr>
              <w:t>0.002</w:t>
            </w:r>
          </w:p>
        </w:tc>
        <w:tc>
          <w:tcPr>
            <w:tcW w:w="864" w:type="dxa"/>
            <w:tcBorders>
              <w:top w:val="single" w:sz="12" w:space="0" w:color="auto"/>
              <w:left w:val="nil"/>
              <w:bottom w:val="nil"/>
              <w:right w:val="nil"/>
            </w:tcBorders>
            <w:shd w:val="clear" w:color="auto" w:fill="auto"/>
            <w:noWrap/>
            <w:vAlign w:val="bottom"/>
            <w:hideMark/>
          </w:tcPr>
          <w:p w14:paraId="62729D83" w14:textId="77777777" w:rsidR="00597A43" w:rsidRDefault="00597A43">
            <w:pPr>
              <w:jc w:val="right"/>
              <w:rPr>
                <w:color w:val="000000"/>
                <w:sz w:val="20"/>
                <w:szCs w:val="20"/>
              </w:rPr>
            </w:pPr>
            <w:r>
              <w:rPr>
                <w:color w:val="000000"/>
                <w:sz w:val="20"/>
                <w:szCs w:val="20"/>
              </w:rPr>
              <w:t>0.970</w:t>
            </w:r>
          </w:p>
        </w:tc>
        <w:tc>
          <w:tcPr>
            <w:tcW w:w="864" w:type="dxa"/>
            <w:tcBorders>
              <w:top w:val="single" w:sz="12" w:space="0" w:color="auto"/>
              <w:left w:val="nil"/>
              <w:bottom w:val="nil"/>
              <w:right w:val="nil"/>
            </w:tcBorders>
            <w:shd w:val="clear" w:color="auto" w:fill="auto"/>
            <w:noWrap/>
            <w:vAlign w:val="bottom"/>
            <w:hideMark/>
          </w:tcPr>
          <w:p w14:paraId="62119F40" w14:textId="77777777" w:rsidR="00597A43" w:rsidRDefault="00597A43">
            <w:pPr>
              <w:jc w:val="right"/>
              <w:rPr>
                <w:color w:val="000000"/>
                <w:sz w:val="20"/>
                <w:szCs w:val="20"/>
              </w:rPr>
            </w:pPr>
            <w:r>
              <w:rPr>
                <w:color w:val="000000"/>
                <w:sz w:val="20"/>
                <w:szCs w:val="20"/>
              </w:rPr>
              <w:t>0.000</w:t>
            </w:r>
          </w:p>
        </w:tc>
      </w:tr>
      <w:tr w:rsidR="00597A43" w14:paraId="41CEFE76" w14:textId="77777777" w:rsidTr="00597A43">
        <w:trPr>
          <w:trHeight w:val="340"/>
        </w:trPr>
        <w:tc>
          <w:tcPr>
            <w:tcW w:w="1152" w:type="dxa"/>
            <w:tcBorders>
              <w:top w:val="nil"/>
              <w:left w:val="nil"/>
              <w:bottom w:val="nil"/>
              <w:right w:val="nil"/>
            </w:tcBorders>
            <w:shd w:val="clear" w:color="auto" w:fill="auto"/>
            <w:noWrap/>
            <w:vAlign w:val="bottom"/>
            <w:hideMark/>
          </w:tcPr>
          <w:p w14:paraId="6EE4D219"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B5CEA56" w14:textId="77777777" w:rsidR="00597A43" w:rsidRDefault="00597A4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696DCC1" w14:textId="77777777" w:rsidR="00597A43" w:rsidRDefault="00597A43">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349FA717" w14:textId="77777777" w:rsidR="00597A43" w:rsidRDefault="00597A43">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6BD9E210" w14:textId="77777777" w:rsidR="00597A43" w:rsidRDefault="00597A4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0C26F4F" w14:textId="77777777" w:rsidR="00597A43" w:rsidRDefault="00597A4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E34E7F7" w14:textId="77777777" w:rsidR="00597A43" w:rsidRDefault="00597A43">
            <w:pPr>
              <w:jc w:val="right"/>
              <w:rPr>
                <w:color w:val="000000"/>
                <w:sz w:val="20"/>
                <w:szCs w:val="20"/>
              </w:rPr>
            </w:pPr>
            <w:r>
              <w:rPr>
                <w:color w:val="000000"/>
                <w:sz w:val="20"/>
                <w:szCs w:val="20"/>
              </w:rPr>
              <w:t>0.970</w:t>
            </w:r>
          </w:p>
        </w:tc>
        <w:tc>
          <w:tcPr>
            <w:tcW w:w="864" w:type="dxa"/>
            <w:tcBorders>
              <w:top w:val="nil"/>
              <w:left w:val="nil"/>
              <w:bottom w:val="nil"/>
              <w:right w:val="nil"/>
            </w:tcBorders>
            <w:shd w:val="clear" w:color="auto" w:fill="auto"/>
            <w:noWrap/>
            <w:vAlign w:val="bottom"/>
            <w:hideMark/>
          </w:tcPr>
          <w:p w14:paraId="2EB3C666" w14:textId="77777777" w:rsidR="00597A43" w:rsidRDefault="00597A43">
            <w:pPr>
              <w:jc w:val="right"/>
              <w:rPr>
                <w:color w:val="000000"/>
                <w:sz w:val="20"/>
                <w:szCs w:val="20"/>
              </w:rPr>
            </w:pPr>
            <w:r>
              <w:rPr>
                <w:color w:val="000000"/>
                <w:sz w:val="20"/>
                <w:szCs w:val="20"/>
              </w:rPr>
              <w:t>0.000</w:t>
            </w:r>
          </w:p>
        </w:tc>
      </w:tr>
      <w:tr w:rsidR="00597A43" w14:paraId="406E955B" w14:textId="77777777" w:rsidTr="00597A43">
        <w:trPr>
          <w:trHeight w:val="320"/>
        </w:trPr>
        <w:tc>
          <w:tcPr>
            <w:tcW w:w="1152" w:type="dxa"/>
            <w:tcBorders>
              <w:top w:val="nil"/>
              <w:left w:val="nil"/>
              <w:bottom w:val="nil"/>
              <w:right w:val="nil"/>
            </w:tcBorders>
            <w:shd w:val="clear" w:color="auto" w:fill="auto"/>
            <w:noWrap/>
            <w:vAlign w:val="bottom"/>
            <w:hideMark/>
          </w:tcPr>
          <w:p w14:paraId="3D04D2AE"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D132091" w14:textId="77777777" w:rsidR="00597A43" w:rsidRDefault="00597A4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1D56631" w14:textId="77777777" w:rsidR="00597A43" w:rsidRDefault="00597A43">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52BE4808" w14:textId="77777777" w:rsidR="00597A43" w:rsidRDefault="00597A43">
            <w:pPr>
              <w:jc w:val="right"/>
              <w:rPr>
                <w:color w:val="000000"/>
                <w:sz w:val="20"/>
                <w:szCs w:val="20"/>
              </w:rPr>
            </w:pPr>
            <w:r>
              <w:rPr>
                <w:color w:val="000000"/>
                <w:sz w:val="20"/>
                <w:szCs w:val="20"/>
              </w:rPr>
              <w:t>0.842</w:t>
            </w:r>
          </w:p>
        </w:tc>
        <w:tc>
          <w:tcPr>
            <w:tcW w:w="864" w:type="dxa"/>
            <w:tcBorders>
              <w:top w:val="nil"/>
              <w:left w:val="nil"/>
              <w:bottom w:val="nil"/>
              <w:right w:val="nil"/>
            </w:tcBorders>
            <w:shd w:val="clear" w:color="auto" w:fill="auto"/>
            <w:noWrap/>
            <w:vAlign w:val="bottom"/>
            <w:hideMark/>
          </w:tcPr>
          <w:p w14:paraId="68DE39C3"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05AEC65" w14:textId="77777777" w:rsidR="00597A43" w:rsidRDefault="00597A43">
            <w:pPr>
              <w:jc w:val="right"/>
              <w:rPr>
                <w:color w:val="000000"/>
                <w:sz w:val="20"/>
                <w:szCs w:val="20"/>
              </w:rPr>
            </w:pPr>
            <w:r>
              <w:rPr>
                <w:color w:val="000000"/>
                <w:sz w:val="20"/>
                <w:szCs w:val="20"/>
              </w:rPr>
              <w:t>0.112</w:t>
            </w:r>
          </w:p>
        </w:tc>
        <w:tc>
          <w:tcPr>
            <w:tcW w:w="864" w:type="dxa"/>
            <w:tcBorders>
              <w:top w:val="nil"/>
              <w:left w:val="nil"/>
              <w:bottom w:val="nil"/>
              <w:right w:val="nil"/>
            </w:tcBorders>
            <w:shd w:val="clear" w:color="auto" w:fill="auto"/>
            <w:noWrap/>
            <w:vAlign w:val="bottom"/>
            <w:hideMark/>
          </w:tcPr>
          <w:p w14:paraId="2B2BB084" w14:textId="77777777" w:rsidR="00597A43" w:rsidRDefault="00597A43">
            <w:pPr>
              <w:jc w:val="right"/>
              <w:rPr>
                <w:color w:val="000000"/>
                <w:sz w:val="20"/>
                <w:szCs w:val="20"/>
              </w:rPr>
            </w:pPr>
            <w:r>
              <w:rPr>
                <w:color w:val="000000"/>
                <w:sz w:val="20"/>
                <w:szCs w:val="20"/>
              </w:rPr>
              <w:t>0.477</w:t>
            </w:r>
          </w:p>
        </w:tc>
        <w:tc>
          <w:tcPr>
            <w:tcW w:w="864" w:type="dxa"/>
            <w:tcBorders>
              <w:top w:val="nil"/>
              <w:left w:val="nil"/>
              <w:bottom w:val="nil"/>
              <w:right w:val="nil"/>
            </w:tcBorders>
            <w:shd w:val="clear" w:color="auto" w:fill="auto"/>
            <w:noWrap/>
            <w:vAlign w:val="bottom"/>
            <w:hideMark/>
          </w:tcPr>
          <w:p w14:paraId="461F78EA" w14:textId="77777777" w:rsidR="00597A43" w:rsidRDefault="00597A43">
            <w:pPr>
              <w:jc w:val="right"/>
              <w:rPr>
                <w:color w:val="000000"/>
                <w:sz w:val="20"/>
                <w:szCs w:val="20"/>
              </w:rPr>
            </w:pPr>
            <w:r>
              <w:rPr>
                <w:color w:val="000000"/>
                <w:sz w:val="20"/>
                <w:szCs w:val="20"/>
              </w:rPr>
              <w:t>0.013</w:t>
            </w:r>
          </w:p>
        </w:tc>
      </w:tr>
      <w:tr w:rsidR="00597A43" w14:paraId="6DEA5A0F" w14:textId="77777777" w:rsidTr="00597A43">
        <w:trPr>
          <w:trHeight w:val="320"/>
        </w:trPr>
        <w:tc>
          <w:tcPr>
            <w:tcW w:w="1152" w:type="dxa"/>
            <w:tcBorders>
              <w:top w:val="nil"/>
              <w:left w:val="nil"/>
              <w:bottom w:val="nil"/>
              <w:right w:val="nil"/>
            </w:tcBorders>
            <w:shd w:val="clear" w:color="auto" w:fill="auto"/>
            <w:noWrap/>
            <w:vAlign w:val="bottom"/>
            <w:hideMark/>
          </w:tcPr>
          <w:p w14:paraId="6D64908F"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60AA93F" w14:textId="77777777" w:rsidR="00597A43" w:rsidRDefault="00597A4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20BB3ED" w14:textId="77777777" w:rsidR="00597A43" w:rsidRDefault="00597A43">
            <w:pPr>
              <w:jc w:val="right"/>
              <w:rPr>
                <w:color w:val="000000"/>
                <w:sz w:val="20"/>
                <w:szCs w:val="20"/>
              </w:rPr>
            </w:pPr>
            <w:r>
              <w:rPr>
                <w:color w:val="000000"/>
                <w:sz w:val="20"/>
                <w:szCs w:val="20"/>
              </w:rPr>
              <w:t>0.087</w:t>
            </w:r>
          </w:p>
        </w:tc>
        <w:tc>
          <w:tcPr>
            <w:tcW w:w="864" w:type="dxa"/>
            <w:tcBorders>
              <w:top w:val="nil"/>
              <w:left w:val="nil"/>
              <w:bottom w:val="nil"/>
              <w:right w:val="nil"/>
            </w:tcBorders>
            <w:shd w:val="clear" w:color="auto" w:fill="auto"/>
            <w:noWrap/>
            <w:vAlign w:val="bottom"/>
            <w:hideMark/>
          </w:tcPr>
          <w:p w14:paraId="36023D00" w14:textId="77777777" w:rsidR="00597A43" w:rsidRDefault="00597A43">
            <w:pPr>
              <w:jc w:val="right"/>
              <w:rPr>
                <w:color w:val="000000"/>
                <w:sz w:val="20"/>
                <w:szCs w:val="20"/>
              </w:rPr>
            </w:pPr>
            <w:r>
              <w:rPr>
                <w:color w:val="000000"/>
                <w:sz w:val="20"/>
                <w:szCs w:val="20"/>
              </w:rPr>
              <w:t>0.788</w:t>
            </w:r>
          </w:p>
        </w:tc>
        <w:tc>
          <w:tcPr>
            <w:tcW w:w="864" w:type="dxa"/>
            <w:tcBorders>
              <w:top w:val="nil"/>
              <w:left w:val="nil"/>
              <w:bottom w:val="nil"/>
              <w:right w:val="nil"/>
            </w:tcBorders>
            <w:shd w:val="clear" w:color="auto" w:fill="auto"/>
            <w:noWrap/>
            <w:vAlign w:val="bottom"/>
            <w:hideMark/>
          </w:tcPr>
          <w:p w14:paraId="0EEB01CB" w14:textId="77777777" w:rsidR="00597A43" w:rsidRDefault="00597A43">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68B08596" w14:textId="77777777" w:rsidR="00597A43" w:rsidRDefault="00597A43">
            <w:pPr>
              <w:jc w:val="right"/>
              <w:rPr>
                <w:color w:val="000000"/>
                <w:sz w:val="20"/>
                <w:szCs w:val="20"/>
              </w:rPr>
            </w:pPr>
            <w:r>
              <w:rPr>
                <w:color w:val="000000"/>
                <w:sz w:val="20"/>
                <w:szCs w:val="20"/>
              </w:rPr>
              <w:t>-0.127</w:t>
            </w:r>
          </w:p>
        </w:tc>
        <w:tc>
          <w:tcPr>
            <w:tcW w:w="864" w:type="dxa"/>
            <w:tcBorders>
              <w:top w:val="nil"/>
              <w:left w:val="nil"/>
              <w:bottom w:val="nil"/>
              <w:right w:val="nil"/>
            </w:tcBorders>
            <w:shd w:val="clear" w:color="auto" w:fill="auto"/>
            <w:noWrap/>
            <w:vAlign w:val="bottom"/>
            <w:hideMark/>
          </w:tcPr>
          <w:p w14:paraId="5701B836" w14:textId="77777777" w:rsidR="00597A43" w:rsidRDefault="00597A43">
            <w:pPr>
              <w:jc w:val="right"/>
              <w:rPr>
                <w:color w:val="000000"/>
                <w:sz w:val="20"/>
                <w:szCs w:val="20"/>
              </w:rPr>
            </w:pPr>
            <w:r>
              <w:rPr>
                <w:color w:val="000000"/>
                <w:sz w:val="20"/>
                <w:szCs w:val="20"/>
              </w:rPr>
              <w:t>0.506</w:t>
            </w:r>
          </w:p>
        </w:tc>
        <w:tc>
          <w:tcPr>
            <w:tcW w:w="864" w:type="dxa"/>
            <w:tcBorders>
              <w:top w:val="nil"/>
              <w:left w:val="nil"/>
              <w:bottom w:val="nil"/>
              <w:right w:val="nil"/>
            </w:tcBorders>
            <w:shd w:val="clear" w:color="auto" w:fill="auto"/>
            <w:noWrap/>
            <w:vAlign w:val="bottom"/>
            <w:hideMark/>
          </w:tcPr>
          <w:p w14:paraId="7804DEF5" w14:textId="77777777" w:rsidR="00597A43" w:rsidRDefault="00597A43">
            <w:pPr>
              <w:jc w:val="right"/>
              <w:rPr>
                <w:color w:val="000000"/>
                <w:sz w:val="20"/>
                <w:szCs w:val="20"/>
              </w:rPr>
            </w:pPr>
            <w:r>
              <w:rPr>
                <w:color w:val="000000"/>
                <w:sz w:val="20"/>
                <w:szCs w:val="20"/>
              </w:rPr>
              <w:t>0.016</w:t>
            </w:r>
          </w:p>
        </w:tc>
      </w:tr>
      <w:tr w:rsidR="00597A43" w14:paraId="3849564F" w14:textId="77777777" w:rsidTr="00597A43">
        <w:trPr>
          <w:trHeight w:val="320"/>
        </w:trPr>
        <w:tc>
          <w:tcPr>
            <w:tcW w:w="1152" w:type="dxa"/>
            <w:tcBorders>
              <w:top w:val="nil"/>
              <w:left w:val="nil"/>
              <w:bottom w:val="nil"/>
              <w:right w:val="nil"/>
            </w:tcBorders>
            <w:shd w:val="clear" w:color="auto" w:fill="auto"/>
            <w:noWrap/>
            <w:vAlign w:val="bottom"/>
            <w:hideMark/>
          </w:tcPr>
          <w:p w14:paraId="528DD16E"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5A85D07" w14:textId="77777777" w:rsidR="00597A43" w:rsidRDefault="00597A4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70596E1" w14:textId="77777777" w:rsidR="00597A43" w:rsidRDefault="00597A43">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3C7A1E90" w14:textId="77777777" w:rsidR="00597A43" w:rsidRDefault="00597A43">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33F35893" w14:textId="77777777" w:rsidR="00597A43" w:rsidRDefault="00597A43">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1999C636" w14:textId="77777777" w:rsidR="00597A43" w:rsidRDefault="00597A43">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3B55D20B" w14:textId="77777777" w:rsidR="00597A43" w:rsidRDefault="00597A43">
            <w:pPr>
              <w:jc w:val="right"/>
              <w:rPr>
                <w:color w:val="000000"/>
                <w:sz w:val="20"/>
                <w:szCs w:val="20"/>
              </w:rPr>
            </w:pPr>
            <w:r>
              <w:rPr>
                <w:color w:val="000000"/>
                <w:sz w:val="20"/>
                <w:szCs w:val="20"/>
              </w:rPr>
              <w:t>0.689</w:t>
            </w:r>
          </w:p>
        </w:tc>
        <w:tc>
          <w:tcPr>
            <w:tcW w:w="864" w:type="dxa"/>
            <w:tcBorders>
              <w:top w:val="nil"/>
              <w:left w:val="nil"/>
              <w:bottom w:val="nil"/>
              <w:right w:val="nil"/>
            </w:tcBorders>
            <w:shd w:val="clear" w:color="auto" w:fill="auto"/>
            <w:noWrap/>
            <w:vAlign w:val="bottom"/>
            <w:hideMark/>
          </w:tcPr>
          <w:p w14:paraId="6667D453" w14:textId="77777777" w:rsidR="00597A43" w:rsidRDefault="00597A43">
            <w:pPr>
              <w:jc w:val="right"/>
              <w:rPr>
                <w:color w:val="000000"/>
                <w:sz w:val="20"/>
                <w:szCs w:val="20"/>
              </w:rPr>
            </w:pPr>
            <w:r>
              <w:rPr>
                <w:color w:val="000000"/>
                <w:sz w:val="20"/>
                <w:szCs w:val="20"/>
              </w:rPr>
              <w:t>0.001</w:t>
            </w:r>
          </w:p>
        </w:tc>
      </w:tr>
      <w:tr w:rsidR="00597A43" w14:paraId="422860A6" w14:textId="77777777" w:rsidTr="00597A43">
        <w:trPr>
          <w:trHeight w:val="320"/>
        </w:trPr>
        <w:tc>
          <w:tcPr>
            <w:tcW w:w="1152" w:type="dxa"/>
            <w:tcBorders>
              <w:top w:val="nil"/>
              <w:left w:val="nil"/>
              <w:bottom w:val="nil"/>
              <w:right w:val="nil"/>
            </w:tcBorders>
            <w:shd w:val="clear" w:color="auto" w:fill="auto"/>
            <w:noWrap/>
            <w:vAlign w:val="bottom"/>
            <w:hideMark/>
          </w:tcPr>
          <w:p w14:paraId="7080EC96"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D01392B" w14:textId="77777777" w:rsidR="00597A43" w:rsidRDefault="00597A4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2FAF811" w14:textId="77777777" w:rsidR="00597A43" w:rsidRDefault="00597A43">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010B8F07" w14:textId="77777777" w:rsidR="00597A43" w:rsidRDefault="00597A43">
            <w:pPr>
              <w:jc w:val="right"/>
              <w:rPr>
                <w:color w:val="000000"/>
                <w:sz w:val="20"/>
                <w:szCs w:val="20"/>
              </w:rPr>
            </w:pPr>
            <w:r>
              <w:rPr>
                <w:color w:val="000000"/>
                <w:sz w:val="20"/>
                <w:szCs w:val="20"/>
              </w:rPr>
              <w:t>0.819</w:t>
            </w:r>
          </w:p>
        </w:tc>
        <w:tc>
          <w:tcPr>
            <w:tcW w:w="864" w:type="dxa"/>
            <w:tcBorders>
              <w:top w:val="nil"/>
              <w:left w:val="nil"/>
              <w:bottom w:val="nil"/>
              <w:right w:val="nil"/>
            </w:tcBorders>
            <w:shd w:val="clear" w:color="auto" w:fill="auto"/>
            <w:noWrap/>
            <w:vAlign w:val="bottom"/>
            <w:hideMark/>
          </w:tcPr>
          <w:p w14:paraId="337AB3C5"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54F5733" w14:textId="77777777" w:rsidR="00597A43" w:rsidRDefault="00597A43">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4FD0FB35" w14:textId="77777777" w:rsidR="00597A43" w:rsidRDefault="00597A43">
            <w:pPr>
              <w:jc w:val="right"/>
              <w:rPr>
                <w:color w:val="000000"/>
                <w:sz w:val="20"/>
                <w:szCs w:val="20"/>
              </w:rPr>
            </w:pPr>
            <w:r>
              <w:rPr>
                <w:color w:val="000000"/>
                <w:sz w:val="20"/>
                <w:szCs w:val="20"/>
              </w:rPr>
              <w:t>0.477</w:t>
            </w:r>
          </w:p>
        </w:tc>
        <w:tc>
          <w:tcPr>
            <w:tcW w:w="864" w:type="dxa"/>
            <w:tcBorders>
              <w:top w:val="nil"/>
              <w:left w:val="nil"/>
              <w:bottom w:val="nil"/>
              <w:right w:val="nil"/>
            </w:tcBorders>
            <w:shd w:val="clear" w:color="auto" w:fill="auto"/>
            <w:noWrap/>
            <w:vAlign w:val="bottom"/>
            <w:hideMark/>
          </w:tcPr>
          <w:p w14:paraId="1F4200E0" w14:textId="77777777" w:rsidR="00597A43" w:rsidRDefault="00597A43">
            <w:pPr>
              <w:jc w:val="right"/>
              <w:rPr>
                <w:color w:val="000000"/>
                <w:sz w:val="20"/>
                <w:szCs w:val="20"/>
              </w:rPr>
            </w:pPr>
            <w:r>
              <w:rPr>
                <w:color w:val="000000"/>
                <w:sz w:val="20"/>
                <w:szCs w:val="20"/>
              </w:rPr>
              <w:t>0.003</w:t>
            </w:r>
          </w:p>
        </w:tc>
      </w:tr>
      <w:tr w:rsidR="00597A43" w14:paraId="4776FA68" w14:textId="77777777" w:rsidTr="00597A43">
        <w:trPr>
          <w:trHeight w:val="320"/>
        </w:trPr>
        <w:tc>
          <w:tcPr>
            <w:tcW w:w="1152" w:type="dxa"/>
            <w:tcBorders>
              <w:top w:val="nil"/>
              <w:left w:val="nil"/>
              <w:bottom w:val="nil"/>
              <w:right w:val="nil"/>
            </w:tcBorders>
            <w:shd w:val="clear" w:color="auto" w:fill="auto"/>
            <w:noWrap/>
            <w:vAlign w:val="bottom"/>
            <w:hideMark/>
          </w:tcPr>
          <w:p w14:paraId="2210A0E4"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2F90379" w14:textId="77777777" w:rsidR="00597A43" w:rsidRDefault="00597A4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6071F15" w14:textId="77777777" w:rsidR="00597A43" w:rsidRDefault="00597A43">
            <w:pPr>
              <w:jc w:val="right"/>
              <w:rPr>
                <w:color w:val="000000"/>
                <w:sz w:val="20"/>
                <w:szCs w:val="20"/>
              </w:rPr>
            </w:pPr>
            <w:r>
              <w:rPr>
                <w:color w:val="000000"/>
                <w:sz w:val="20"/>
                <w:szCs w:val="20"/>
              </w:rPr>
              <w:t>-0.097</w:t>
            </w:r>
          </w:p>
        </w:tc>
        <w:tc>
          <w:tcPr>
            <w:tcW w:w="864" w:type="dxa"/>
            <w:tcBorders>
              <w:top w:val="nil"/>
              <w:left w:val="nil"/>
              <w:bottom w:val="nil"/>
              <w:right w:val="nil"/>
            </w:tcBorders>
            <w:shd w:val="clear" w:color="auto" w:fill="auto"/>
            <w:noWrap/>
            <w:vAlign w:val="bottom"/>
            <w:hideMark/>
          </w:tcPr>
          <w:p w14:paraId="6A4058A5" w14:textId="77777777" w:rsidR="00597A43" w:rsidRDefault="00597A43">
            <w:pPr>
              <w:jc w:val="right"/>
              <w:rPr>
                <w:color w:val="000000"/>
                <w:sz w:val="20"/>
                <w:szCs w:val="20"/>
              </w:rPr>
            </w:pPr>
            <w:r>
              <w:rPr>
                <w:color w:val="000000"/>
                <w:sz w:val="20"/>
                <w:szCs w:val="20"/>
              </w:rPr>
              <w:t>0.384</w:t>
            </w:r>
          </w:p>
        </w:tc>
        <w:tc>
          <w:tcPr>
            <w:tcW w:w="864" w:type="dxa"/>
            <w:tcBorders>
              <w:top w:val="nil"/>
              <w:left w:val="nil"/>
              <w:bottom w:val="nil"/>
              <w:right w:val="nil"/>
            </w:tcBorders>
            <w:shd w:val="clear" w:color="auto" w:fill="auto"/>
            <w:noWrap/>
            <w:vAlign w:val="bottom"/>
            <w:hideMark/>
          </w:tcPr>
          <w:p w14:paraId="4195A0FC" w14:textId="77777777" w:rsidR="00597A43" w:rsidRDefault="00597A43">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244DC4BB" w14:textId="77777777" w:rsidR="00597A43" w:rsidRDefault="00597A43">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568103F6" w14:textId="77777777" w:rsidR="00597A43" w:rsidRDefault="00597A43">
            <w:pPr>
              <w:jc w:val="right"/>
              <w:rPr>
                <w:color w:val="000000"/>
                <w:sz w:val="20"/>
                <w:szCs w:val="20"/>
              </w:rPr>
            </w:pPr>
            <w:r>
              <w:rPr>
                <w:color w:val="000000"/>
                <w:sz w:val="20"/>
                <w:szCs w:val="20"/>
              </w:rPr>
              <w:t>0.477</w:t>
            </w:r>
          </w:p>
        </w:tc>
        <w:tc>
          <w:tcPr>
            <w:tcW w:w="864" w:type="dxa"/>
            <w:tcBorders>
              <w:top w:val="nil"/>
              <w:left w:val="nil"/>
              <w:bottom w:val="nil"/>
              <w:right w:val="nil"/>
            </w:tcBorders>
            <w:shd w:val="clear" w:color="auto" w:fill="auto"/>
            <w:noWrap/>
            <w:vAlign w:val="bottom"/>
            <w:hideMark/>
          </w:tcPr>
          <w:p w14:paraId="2E81DFE4" w14:textId="77777777" w:rsidR="00597A43" w:rsidRDefault="00597A43">
            <w:pPr>
              <w:jc w:val="right"/>
              <w:rPr>
                <w:color w:val="000000"/>
                <w:sz w:val="20"/>
                <w:szCs w:val="20"/>
              </w:rPr>
            </w:pPr>
            <w:r>
              <w:rPr>
                <w:color w:val="000000"/>
                <w:sz w:val="20"/>
                <w:szCs w:val="20"/>
              </w:rPr>
              <w:t>0.004</w:t>
            </w:r>
          </w:p>
        </w:tc>
      </w:tr>
      <w:tr w:rsidR="00597A43" w14:paraId="1FDD8551" w14:textId="77777777" w:rsidTr="00597A43">
        <w:trPr>
          <w:trHeight w:val="320"/>
        </w:trPr>
        <w:tc>
          <w:tcPr>
            <w:tcW w:w="1152" w:type="dxa"/>
            <w:tcBorders>
              <w:top w:val="nil"/>
              <w:left w:val="nil"/>
              <w:bottom w:val="single" w:sz="4" w:space="0" w:color="auto"/>
              <w:right w:val="nil"/>
            </w:tcBorders>
            <w:shd w:val="clear" w:color="auto" w:fill="auto"/>
            <w:noWrap/>
            <w:vAlign w:val="bottom"/>
            <w:hideMark/>
          </w:tcPr>
          <w:p w14:paraId="3A7133AF" w14:textId="77777777" w:rsidR="00597A43" w:rsidRDefault="00597A43">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3D89A7D" w14:textId="77777777" w:rsidR="00597A43" w:rsidRDefault="00597A43">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7AB860D" w14:textId="77777777" w:rsidR="00597A43" w:rsidRDefault="00597A43">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1A4275FE" w14:textId="77777777" w:rsidR="00597A43" w:rsidRDefault="00597A43">
            <w:pPr>
              <w:jc w:val="right"/>
              <w:rPr>
                <w:color w:val="000000"/>
                <w:sz w:val="20"/>
                <w:szCs w:val="20"/>
              </w:rPr>
            </w:pPr>
            <w:r>
              <w:rPr>
                <w:color w:val="000000"/>
                <w:sz w:val="20"/>
                <w:szCs w:val="20"/>
              </w:rPr>
              <w:t>0.819</w:t>
            </w:r>
          </w:p>
        </w:tc>
        <w:tc>
          <w:tcPr>
            <w:tcW w:w="864" w:type="dxa"/>
            <w:tcBorders>
              <w:top w:val="nil"/>
              <w:left w:val="nil"/>
              <w:bottom w:val="single" w:sz="4" w:space="0" w:color="auto"/>
              <w:right w:val="nil"/>
            </w:tcBorders>
            <w:shd w:val="clear" w:color="auto" w:fill="auto"/>
            <w:noWrap/>
            <w:vAlign w:val="bottom"/>
            <w:hideMark/>
          </w:tcPr>
          <w:p w14:paraId="02B55FE1"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32BDC9C" w14:textId="77777777" w:rsidR="00597A43" w:rsidRDefault="00597A43">
            <w:pPr>
              <w:jc w:val="right"/>
              <w:rPr>
                <w:color w:val="000000"/>
                <w:sz w:val="20"/>
                <w:szCs w:val="20"/>
              </w:rPr>
            </w:pPr>
            <w:r>
              <w:rPr>
                <w:color w:val="000000"/>
                <w:sz w:val="20"/>
                <w:szCs w:val="20"/>
              </w:rPr>
              <w:t>-0.049</w:t>
            </w:r>
          </w:p>
        </w:tc>
        <w:tc>
          <w:tcPr>
            <w:tcW w:w="864" w:type="dxa"/>
            <w:tcBorders>
              <w:top w:val="nil"/>
              <w:left w:val="nil"/>
              <w:bottom w:val="single" w:sz="4" w:space="0" w:color="auto"/>
              <w:right w:val="nil"/>
            </w:tcBorders>
            <w:shd w:val="clear" w:color="auto" w:fill="auto"/>
            <w:noWrap/>
            <w:vAlign w:val="bottom"/>
            <w:hideMark/>
          </w:tcPr>
          <w:p w14:paraId="44BB040C" w14:textId="77777777" w:rsidR="00597A43" w:rsidRDefault="00597A43">
            <w:pPr>
              <w:jc w:val="right"/>
              <w:rPr>
                <w:color w:val="000000"/>
                <w:sz w:val="20"/>
                <w:szCs w:val="20"/>
              </w:rPr>
            </w:pPr>
            <w:r>
              <w:rPr>
                <w:color w:val="000000"/>
                <w:sz w:val="20"/>
                <w:szCs w:val="20"/>
              </w:rPr>
              <w:t>0.565</w:t>
            </w:r>
          </w:p>
        </w:tc>
        <w:tc>
          <w:tcPr>
            <w:tcW w:w="864" w:type="dxa"/>
            <w:tcBorders>
              <w:top w:val="nil"/>
              <w:left w:val="nil"/>
              <w:bottom w:val="single" w:sz="4" w:space="0" w:color="auto"/>
              <w:right w:val="nil"/>
            </w:tcBorders>
            <w:shd w:val="clear" w:color="auto" w:fill="auto"/>
            <w:noWrap/>
            <w:vAlign w:val="bottom"/>
            <w:hideMark/>
          </w:tcPr>
          <w:p w14:paraId="559713C0" w14:textId="77777777" w:rsidR="00597A43" w:rsidRDefault="00597A43">
            <w:pPr>
              <w:jc w:val="right"/>
              <w:rPr>
                <w:color w:val="000000"/>
                <w:sz w:val="20"/>
                <w:szCs w:val="20"/>
              </w:rPr>
            </w:pPr>
            <w:r>
              <w:rPr>
                <w:color w:val="000000"/>
                <w:sz w:val="20"/>
                <w:szCs w:val="20"/>
              </w:rPr>
              <w:t>0.002</w:t>
            </w:r>
          </w:p>
        </w:tc>
      </w:tr>
      <w:tr w:rsidR="00597A43" w14:paraId="04BD633C" w14:textId="77777777" w:rsidTr="00597A43">
        <w:trPr>
          <w:trHeight w:val="320"/>
        </w:trPr>
        <w:tc>
          <w:tcPr>
            <w:tcW w:w="1152" w:type="dxa"/>
            <w:tcBorders>
              <w:top w:val="nil"/>
              <w:left w:val="nil"/>
              <w:bottom w:val="nil"/>
              <w:right w:val="nil"/>
            </w:tcBorders>
            <w:shd w:val="clear" w:color="auto" w:fill="auto"/>
            <w:noWrap/>
            <w:vAlign w:val="bottom"/>
            <w:hideMark/>
          </w:tcPr>
          <w:p w14:paraId="105042BB" w14:textId="77777777" w:rsidR="00597A43" w:rsidRDefault="00597A43">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721CAC4A" w14:textId="77777777" w:rsidR="00597A43" w:rsidRDefault="00597A43">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510A811A" w14:textId="77777777" w:rsidR="00597A43" w:rsidRDefault="00597A43">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1B07A3C8" w14:textId="77777777" w:rsidR="00597A43" w:rsidRDefault="00597A43">
            <w:pPr>
              <w:jc w:val="right"/>
              <w:rPr>
                <w:color w:val="000000"/>
                <w:sz w:val="20"/>
                <w:szCs w:val="20"/>
              </w:rPr>
            </w:pPr>
            <w:r>
              <w:rPr>
                <w:color w:val="000000"/>
                <w:sz w:val="20"/>
                <w:szCs w:val="20"/>
              </w:rPr>
              <w:t>0.456</w:t>
            </w:r>
          </w:p>
        </w:tc>
        <w:tc>
          <w:tcPr>
            <w:tcW w:w="864" w:type="dxa"/>
            <w:tcBorders>
              <w:top w:val="nil"/>
              <w:left w:val="nil"/>
              <w:bottom w:val="nil"/>
              <w:right w:val="nil"/>
            </w:tcBorders>
            <w:shd w:val="clear" w:color="auto" w:fill="auto"/>
            <w:noWrap/>
            <w:vAlign w:val="bottom"/>
            <w:hideMark/>
          </w:tcPr>
          <w:p w14:paraId="0F22E143" w14:textId="77777777" w:rsidR="00597A43" w:rsidRDefault="00597A4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48288442" w14:textId="77777777" w:rsidR="00597A43" w:rsidRDefault="00597A43">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5566A54D" w14:textId="77777777" w:rsidR="00597A43" w:rsidRDefault="00597A43">
            <w:pPr>
              <w:jc w:val="right"/>
              <w:rPr>
                <w:color w:val="000000"/>
                <w:sz w:val="20"/>
                <w:szCs w:val="20"/>
              </w:rPr>
            </w:pPr>
            <w:r>
              <w:rPr>
                <w:color w:val="000000"/>
                <w:sz w:val="20"/>
                <w:szCs w:val="20"/>
              </w:rPr>
              <w:t>0.552</w:t>
            </w:r>
          </w:p>
        </w:tc>
        <w:tc>
          <w:tcPr>
            <w:tcW w:w="864" w:type="dxa"/>
            <w:tcBorders>
              <w:top w:val="nil"/>
              <w:left w:val="nil"/>
              <w:bottom w:val="nil"/>
              <w:right w:val="nil"/>
            </w:tcBorders>
            <w:shd w:val="clear" w:color="auto" w:fill="auto"/>
            <w:noWrap/>
            <w:vAlign w:val="bottom"/>
            <w:hideMark/>
          </w:tcPr>
          <w:p w14:paraId="5DE06632" w14:textId="77777777" w:rsidR="00597A43" w:rsidRDefault="00597A43">
            <w:pPr>
              <w:jc w:val="right"/>
              <w:rPr>
                <w:color w:val="000000"/>
                <w:sz w:val="20"/>
                <w:szCs w:val="20"/>
              </w:rPr>
            </w:pPr>
            <w:r>
              <w:rPr>
                <w:color w:val="000000"/>
                <w:sz w:val="20"/>
                <w:szCs w:val="20"/>
              </w:rPr>
              <w:t>0.002</w:t>
            </w:r>
          </w:p>
        </w:tc>
      </w:tr>
      <w:tr w:rsidR="00597A43" w14:paraId="60302D93" w14:textId="77777777" w:rsidTr="00597A43">
        <w:trPr>
          <w:trHeight w:val="320"/>
        </w:trPr>
        <w:tc>
          <w:tcPr>
            <w:tcW w:w="1152" w:type="dxa"/>
            <w:tcBorders>
              <w:top w:val="nil"/>
              <w:left w:val="nil"/>
              <w:bottom w:val="nil"/>
              <w:right w:val="nil"/>
            </w:tcBorders>
            <w:shd w:val="clear" w:color="auto" w:fill="auto"/>
            <w:noWrap/>
            <w:vAlign w:val="bottom"/>
            <w:hideMark/>
          </w:tcPr>
          <w:p w14:paraId="7094AAD1"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26A12B5" w14:textId="77777777" w:rsidR="00597A43" w:rsidRDefault="00597A4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A5C6A1F" w14:textId="77777777" w:rsidR="00597A43" w:rsidRDefault="00597A43">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165FDBDD" w14:textId="77777777" w:rsidR="00597A43" w:rsidRDefault="00597A43">
            <w:pPr>
              <w:jc w:val="right"/>
              <w:rPr>
                <w:color w:val="000000"/>
                <w:sz w:val="20"/>
                <w:szCs w:val="20"/>
              </w:rPr>
            </w:pPr>
            <w:r>
              <w:rPr>
                <w:color w:val="000000"/>
                <w:sz w:val="20"/>
                <w:szCs w:val="20"/>
              </w:rPr>
              <w:t>0.904</w:t>
            </w:r>
          </w:p>
        </w:tc>
        <w:tc>
          <w:tcPr>
            <w:tcW w:w="864" w:type="dxa"/>
            <w:tcBorders>
              <w:top w:val="nil"/>
              <w:left w:val="nil"/>
              <w:bottom w:val="nil"/>
              <w:right w:val="nil"/>
            </w:tcBorders>
            <w:shd w:val="clear" w:color="auto" w:fill="auto"/>
            <w:noWrap/>
            <w:vAlign w:val="bottom"/>
            <w:hideMark/>
          </w:tcPr>
          <w:p w14:paraId="76827464" w14:textId="77777777" w:rsidR="00597A43" w:rsidRDefault="00597A4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5B808A2" w14:textId="77777777" w:rsidR="00597A43" w:rsidRDefault="00597A43">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002FDC56" w14:textId="77777777" w:rsidR="00597A43" w:rsidRDefault="00597A43">
            <w:pPr>
              <w:jc w:val="right"/>
              <w:rPr>
                <w:color w:val="000000"/>
                <w:sz w:val="20"/>
                <w:szCs w:val="20"/>
              </w:rPr>
            </w:pPr>
            <w:r>
              <w:rPr>
                <w:color w:val="000000"/>
                <w:sz w:val="20"/>
                <w:szCs w:val="20"/>
              </w:rPr>
              <w:t>0.552</w:t>
            </w:r>
          </w:p>
        </w:tc>
        <w:tc>
          <w:tcPr>
            <w:tcW w:w="864" w:type="dxa"/>
            <w:tcBorders>
              <w:top w:val="nil"/>
              <w:left w:val="nil"/>
              <w:bottom w:val="nil"/>
              <w:right w:val="nil"/>
            </w:tcBorders>
            <w:shd w:val="clear" w:color="auto" w:fill="auto"/>
            <w:noWrap/>
            <w:vAlign w:val="bottom"/>
            <w:hideMark/>
          </w:tcPr>
          <w:p w14:paraId="47248C89" w14:textId="77777777" w:rsidR="00597A43" w:rsidRDefault="00597A43">
            <w:pPr>
              <w:jc w:val="right"/>
              <w:rPr>
                <w:color w:val="000000"/>
                <w:sz w:val="20"/>
                <w:szCs w:val="20"/>
              </w:rPr>
            </w:pPr>
            <w:r>
              <w:rPr>
                <w:color w:val="000000"/>
                <w:sz w:val="20"/>
                <w:szCs w:val="20"/>
              </w:rPr>
              <w:t>0.002</w:t>
            </w:r>
          </w:p>
        </w:tc>
      </w:tr>
      <w:tr w:rsidR="00597A43" w14:paraId="33882C89" w14:textId="77777777" w:rsidTr="00597A43">
        <w:trPr>
          <w:trHeight w:val="320"/>
        </w:trPr>
        <w:tc>
          <w:tcPr>
            <w:tcW w:w="1152" w:type="dxa"/>
            <w:tcBorders>
              <w:top w:val="nil"/>
              <w:left w:val="nil"/>
              <w:bottom w:val="nil"/>
              <w:right w:val="nil"/>
            </w:tcBorders>
            <w:shd w:val="clear" w:color="auto" w:fill="auto"/>
            <w:noWrap/>
            <w:vAlign w:val="bottom"/>
            <w:hideMark/>
          </w:tcPr>
          <w:p w14:paraId="33514568"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FE07AED" w14:textId="77777777" w:rsidR="00597A43" w:rsidRDefault="00597A4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1D8AF42" w14:textId="77777777" w:rsidR="00597A43" w:rsidRDefault="00597A43">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20C87D07" w14:textId="77777777" w:rsidR="00597A43" w:rsidRDefault="00597A43">
            <w:pPr>
              <w:jc w:val="right"/>
              <w:rPr>
                <w:color w:val="000000"/>
                <w:sz w:val="20"/>
                <w:szCs w:val="20"/>
              </w:rPr>
            </w:pPr>
            <w:r>
              <w:rPr>
                <w:color w:val="000000"/>
                <w:sz w:val="20"/>
                <w:szCs w:val="20"/>
              </w:rPr>
              <w:t>0.904</w:t>
            </w:r>
          </w:p>
        </w:tc>
        <w:tc>
          <w:tcPr>
            <w:tcW w:w="864" w:type="dxa"/>
            <w:tcBorders>
              <w:top w:val="nil"/>
              <w:left w:val="nil"/>
              <w:bottom w:val="nil"/>
              <w:right w:val="nil"/>
            </w:tcBorders>
            <w:shd w:val="clear" w:color="auto" w:fill="auto"/>
            <w:noWrap/>
            <w:vAlign w:val="bottom"/>
            <w:hideMark/>
          </w:tcPr>
          <w:p w14:paraId="4671275F"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E003954" w14:textId="77777777" w:rsidR="00597A43" w:rsidRDefault="00597A43">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69A45934" w14:textId="77777777" w:rsidR="00597A43" w:rsidRDefault="00597A43">
            <w:pPr>
              <w:jc w:val="right"/>
              <w:rPr>
                <w:color w:val="000000"/>
                <w:sz w:val="20"/>
                <w:szCs w:val="20"/>
              </w:rPr>
            </w:pPr>
            <w:r>
              <w:rPr>
                <w:color w:val="000000"/>
                <w:sz w:val="20"/>
                <w:szCs w:val="20"/>
              </w:rPr>
              <w:t>0.552</w:t>
            </w:r>
          </w:p>
        </w:tc>
        <w:tc>
          <w:tcPr>
            <w:tcW w:w="864" w:type="dxa"/>
            <w:tcBorders>
              <w:top w:val="nil"/>
              <w:left w:val="nil"/>
              <w:bottom w:val="nil"/>
              <w:right w:val="nil"/>
            </w:tcBorders>
            <w:shd w:val="clear" w:color="auto" w:fill="auto"/>
            <w:noWrap/>
            <w:vAlign w:val="bottom"/>
            <w:hideMark/>
          </w:tcPr>
          <w:p w14:paraId="60FF0C4F" w14:textId="77777777" w:rsidR="00597A43" w:rsidRDefault="00597A43">
            <w:pPr>
              <w:jc w:val="right"/>
              <w:rPr>
                <w:color w:val="000000"/>
                <w:sz w:val="20"/>
                <w:szCs w:val="20"/>
              </w:rPr>
            </w:pPr>
            <w:r>
              <w:rPr>
                <w:color w:val="000000"/>
                <w:sz w:val="20"/>
                <w:szCs w:val="20"/>
              </w:rPr>
              <w:t>0.002</w:t>
            </w:r>
          </w:p>
        </w:tc>
      </w:tr>
      <w:tr w:rsidR="00597A43" w14:paraId="274C21CC" w14:textId="77777777" w:rsidTr="00597A43">
        <w:trPr>
          <w:trHeight w:val="320"/>
        </w:trPr>
        <w:tc>
          <w:tcPr>
            <w:tcW w:w="1152" w:type="dxa"/>
            <w:tcBorders>
              <w:top w:val="nil"/>
              <w:left w:val="nil"/>
              <w:bottom w:val="nil"/>
              <w:right w:val="nil"/>
            </w:tcBorders>
            <w:shd w:val="clear" w:color="auto" w:fill="auto"/>
            <w:noWrap/>
            <w:vAlign w:val="bottom"/>
            <w:hideMark/>
          </w:tcPr>
          <w:p w14:paraId="0A214496"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950E68A" w14:textId="77777777" w:rsidR="00597A43" w:rsidRDefault="00597A4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FA910E0" w14:textId="77777777" w:rsidR="00597A43" w:rsidRDefault="00597A43">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43F94BEC" w14:textId="77777777" w:rsidR="00597A43" w:rsidRDefault="00597A43">
            <w:pPr>
              <w:jc w:val="right"/>
              <w:rPr>
                <w:color w:val="000000"/>
                <w:sz w:val="20"/>
                <w:szCs w:val="20"/>
              </w:rPr>
            </w:pPr>
            <w:r>
              <w:rPr>
                <w:color w:val="000000"/>
                <w:sz w:val="20"/>
                <w:szCs w:val="20"/>
              </w:rPr>
              <w:t>0.904</w:t>
            </w:r>
          </w:p>
        </w:tc>
        <w:tc>
          <w:tcPr>
            <w:tcW w:w="864" w:type="dxa"/>
            <w:tcBorders>
              <w:top w:val="nil"/>
              <w:left w:val="nil"/>
              <w:bottom w:val="nil"/>
              <w:right w:val="nil"/>
            </w:tcBorders>
            <w:shd w:val="clear" w:color="auto" w:fill="auto"/>
            <w:noWrap/>
            <w:vAlign w:val="bottom"/>
            <w:hideMark/>
          </w:tcPr>
          <w:p w14:paraId="4DE281F6" w14:textId="77777777" w:rsidR="00597A43" w:rsidRDefault="00597A4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5A0A36C" w14:textId="77777777" w:rsidR="00597A43" w:rsidRDefault="00597A43">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7EAA0CAB" w14:textId="77777777" w:rsidR="00597A43" w:rsidRDefault="00597A43">
            <w:pPr>
              <w:jc w:val="right"/>
              <w:rPr>
                <w:color w:val="000000"/>
                <w:sz w:val="20"/>
                <w:szCs w:val="20"/>
              </w:rPr>
            </w:pPr>
            <w:r>
              <w:rPr>
                <w:color w:val="000000"/>
                <w:sz w:val="20"/>
                <w:szCs w:val="20"/>
              </w:rPr>
              <w:t>0.784</w:t>
            </w:r>
          </w:p>
        </w:tc>
        <w:tc>
          <w:tcPr>
            <w:tcW w:w="864" w:type="dxa"/>
            <w:tcBorders>
              <w:top w:val="nil"/>
              <w:left w:val="nil"/>
              <w:bottom w:val="nil"/>
              <w:right w:val="nil"/>
            </w:tcBorders>
            <w:shd w:val="clear" w:color="auto" w:fill="auto"/>
            <w:noWrap/>
            <w:vAlign w:val="bottom"/>
            <w:hideMark/>
          </w:tcPr>
          <w:p w14:paraId="5CB5034A" w14:textId="77777777" w:rsidR="00597A43" w:rsidRDefault="00597A43">
            <w:pPr>
              <w:jc w:val="right"/>
              <w:rPr>
                <w:color w:val="000000"/>
                <w:sz w:val="20"/>
                <w:szCs w:val="20"/>
              </w:rPr>
            </w:pPr>
            <w:r>
              <w:rPr>
                <w:color w:val="000000"/>
                <w:sz w:val="20"/>
                <w:szCs w:val="20"/>
              </w:rPr>
              <w:t>0.000</w:t>
            </w:r>
          </w:p>
        </w:tc>
      </w:tr>
      <w:tr w:rsidR="00597A43" w14:paraId="18E987DC" w14:textId="77777777" w:rsidTr="00597A43">
        <w:trPr>
          <w:trHeight w:val="320"/>
        </w:trPr>
        <w:tc>
          <w:tcPr>
            <w:tcW w:w="1152" w:type="dxa"/>
            <w:tcBorders>
              <w:top w:val="nil"/>
              <w:left w:val="nil"/>
              <w:bottom w:val="nil"/>
              <w:right w:val="nil"/>
            </w:tcBorders>
            <w:shd w:val="clear" w:color="auto" w:fill="auto"/>
            <w:noWrap/>
            <w:vAlign w:val="bottom"/>
            <w:hideMark/>
          </w:tcPr>
          <w:p w14:paraId="2EB968E0"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9F92415" w14:textId="77777777" w:rsidR="00597A43" w:rsidRDefault="00597A4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5E9F0C8" w14:textId="77777777" w:rsidR="00597A43" w:rsidRDefault="00597A43">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AC6D024" w14:textId="77777777" w:rsidR="00597A43" w:rsidRDefault="00597A43">
            <w:pPr>
              <w:jc w:val="right"/>
              <w:rPr>
                <w:color w:val="000000"/>
                <w:sz w:val="20"/>
                <w:szCs w:val="20"/>
              </w:rPr>
            </w:pPr>
            <w:r>
              <w:rPr>
                <w:color w:val="000000"/>
                <w:sz w:val="20"/>
                <w:szCs w:val="20"/>
              </w:rPr>
              <w:t>0.904</w:t>
            </w:r>
          </w:p>
        </w:tc>
        <w:tc>
          <w:tcPr>
            <w:tcW w:w="864" w:type="dxa"/>
            <w:tcBorders>
              <w:top w:val="nil"/>
              <w:left w:val="nil"/>
              <w:bottom w:val="nil"/>
              <w:right w:val="nil"/>
            </w:tcBorders>
            <w:shd w:val="clear" w:color="auto" w:fill="auto"/>
            <w:noWrap/>
            <w:vAlign w:val="bottom"/>
            <w:hideMark/>
          </w:tcPr>
          <w:p w14:paraId="382BEAB7"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7D84F37" w14:textId="77777777" w:rsidR="00597A43" w:rsidRDefault="00597A43">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1063B791" w14:textId="77777777" w:rsidR="00597A43" w:rsidRDefault="00597A43">
            <w:pPr>
              <w:jc w:val="right"/>
              <w:rPr>
                <w:color w:val="000000"/>
                <w:sz w:val="20"/>
                <w:szCs w:val="20"/>
              </w:rPr>
            </w:pPr>
            <w:r>
              <w:rPr>
                <w:color w:val="000000"/>
                <w:sz w:val="20"/>
                <w:szCs w:val="20"/>
              </w:rPr>
              <w:t>0.784</w:t>
            </w:r>
          </w:p>
        </w:tc>
        <w:tc>
          <w:tcPr>
            <w:tcW w:w="864" w:type="dxa"/>
            <w:tcBorders>
              <w:top w:val="nil"/>
              <w:left w:val="nil"/>
              <w:bottom w:val="nil"/>
              <w:right w:val="nil"/>
            </w:tcBorders>
            <w:shd w:val="clear" w:color="auto" w:fill="auto"/>
            <w:noWrap/>
            <w:vAlign w:val="bottom"/>
            <w:hideMark/>
          </w:tcPr>
          <w:p w14:paraId="5C85ED32" w14:textId="77777777" w:rsidR="00597A43" w:rsidRDefault="00597A43">
            <w:pPr>
              <w:jc w:val="right"/>
              <w:rPr>
                <w:color w:val="000000"/>
                <w:sz w:val="20"/>
                <w:szCs w:val="20"/>
              </w:rPr>
            </w:pPr>
            <w:r>
              <w:rPr>
                <w:color w:val="000000"/>
                <w:sz w:val="20"/>
                <w:szCs w:val="20"/>
              </w:rPr>
              <w:t>0.001</w:t>
            </w:r>
          </w:p>
        </w:tc>
      </w:tr>
      <w:tr w:rsidR="00597A43" w14:paraId="687A085A" w14:textId="77777777" w:rsidTr="00597A43">
        <w:trPr>
          <w:trHeight w:val="320"/>
        </w:trPr>
        <w:tc>
          <w:tcPr>
            <w:tcW w:w="1152" w:type="dxa"/>
            <w:tcBorders>
              <w:top w:val="nil"/>
              <w:left w:val="nil"/>
              <w:bottom w:val="nil"/>
              <w:right w:val="nil"/>
            </w:tcBorders>
            <w:shd w:val="clear" w:color="auto" w:fill="auto"/>
            <w:noWrap/>
            <w:vAlign w:val="bottom"/>
            <w:hideMark/>
          </w:tcPr>
          <w:p w14:paraId="520DBD97"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42F2C4F" w14:textId="77777777" w:rsidR="00597A43" w:rsidRDefault="00597A4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0C3C676" w14:textId="77777777" w:rsidR="00597A43" w:rsidRDefault="00597A43">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01A18F23" w14:textId="77777777" w:rsidR="00597A43" w:rsidRDefault="00597A43">
            <w:pPr>
              <w:jc w:val="right"/>
              <w:rPr>
                <w:color w:val="000000"/>
                <w:sz w:val="20"/>
                <w:szCs w:val="20"/>
              </w:rPr>
            </w:pPr>
            <w:r>
              <w:rPr>
                <w:color w:val="000000"/>
                <w:sz w:val="20"/>
                <w:szCs w:val="20"/>
              </w:rPr>
              <w:t>0.904</w:t>
            </w:r>
          </w:p>
        </w:tc>
        <w:tc>
          <w:tcPr>
            <w:tcW w:w="864" w:type="dxa"/>
            <w:tcBorders>
              <w:top w:val="nil"/>
              <w:left w:val="nil"/>
              <w:bottom w:val="nil"/>
              <w:right w:val="nil"/>
            </w:tcBorders>
            <w:shd w:val="clear" w:color="auto" w:fill="auto"/>
            <w:noWrap/>
            <w:vAlign w:val="bottom"/>
            <w:hideMark/>
          </w:tcPr>
          <w:p w14:paraId="2DFCE544"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9F43A58" w14:textId="77777777" w:rsidR="00597A43" w:rsidRDefault="00597A43">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096F22BE" w14:textId="77777777" w:rsidR="00597A43" w:rsidRDefault="00597A43">
            <w:pPr>
              <w:jc w:val="right"/>
              <w:rPr>
                <w:color w:val="000000"/>
                <w:sz w:val="20"/>
                <w:szCs w:val="20"/>
              </w:rPr>
            </w:pPr>
            <w:r>
              <w:rPr>
                <w:color w:val="000000"/>
                <w:sz w:val="20"/>
                <w:szCs w:val="20"/>
              </w:rPr>
              <w:t>0.784</w:t>
            </w:r>
          </w:p>
        </w:tc>
        <w:tc>
          <w:tcPr>
            <w:tcW w:w="864" w:type="dxa"/>
            <w:tcBorders>
              <w:top w:val="nil"/>
              <w:left w:val="nil"/>
              <w:bottom w:val="nil"/>
              <w:right w:val="nil"/>
            </w:tcBorders>
            <w:shd w:val="clear" w:color="auto" w:fill="auto"/>
            <w:noWrap/>
            <w:vAlign w:val="bottom"/>
            <w:hideMark/>
          </w:tcPr>
          <w:p w14:paraId="079489E0" w14:textId="77777777" w:rsidR="00597A43" w:rsidRDefault="00597A43">
            <w:pPr>
              <w:jc w:val="right"/>
              <w:rPr>
                <w:color w:val="000000"/>
                <w:sz w:val="20"/>
                <w:szCs w:val="20"/>
              </w:rPr>
            </w:pPr>
            <w:r>
              <w:rPr>
                <w:color w:val="000000"/>
                <w:sz w:val="20"/>
                <w:szCs w:val="20"/>
              </w:rPr>
              <w:t>0.000</w:t>
            </w:r>
          </w:p>
        </w:tc>
      </w:tr>
      <w:tr w:rsidR="00597A43" w14:paraId="34409A9D" w14:textId="77777777" w:rsidTr="00597A43">
        <w:trPr>
          <w:trHeight w:val="320"/>
        </w:trPr>
        <w:tc>
          <w:tcPr>
            <w:tcW w:w="1152" w:type="dxa"/>
            <w:tcBorders>
              <w:top w:val="nil"/>
              <w:left w:val="nil"/>
              <w:bottom w:val="nil"/>
              <w:right w:val="nil"/>
            </w:tcBorders>
            <w:shd w:val="clear" w:color="auto" w:fill="auto"/>
            <w:noWrap/>
            <w:vAlign w:val="bottom"/>
            <w:hideMark/>
          </w:tcPr>
          <w:p w14:paraId="2C9F4475"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511F539" w14:textId="77777777" w:rsidR="00597A43" w:rsidRDefault="00597A4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CF978CD" w14:textId="77777777" w:rsidR="00597A43" w:rsidRDefault="00597A43">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199C3C4C" w14:textId="77777777" w:rsidR="00597A43" w:rsidRDefault="00597A43">
            <w:pPr>
              <w:jc w:val="right"/>
              <w:rPr>
                <w:color w:val="000000"/>
                <w:sz w:val="20"/>
                <w:szCs w:val="20"/>
              </w:rPr>
            </w:pPr>
            <w:r>
              <w:rPr>
                <w:color w:val="000000"/>
                <w:sz w:val="20"/>
                <w:szCs w:val="20"/>
              </w:rPr>
              <w:t>0.904</w:t>
            </w:r>
          </w:p>
        </w:tc>
        <w:tc>
          <w:tcPr>
            <w:tcW w:w="864" w:type="dxa"/>
            <w:tcBorders>
              <w:top w:val="nil"/>
              <w:left w:val="nil"/>
              <w:bottom w:val="nil"/>
              <w:right w:val="nil"/>
            </w:tcBorders>
            <w:shd w:val="clear" w:color="auto" w:fill="auto"/>
            <w:noWrap/>
            <w:vAlign w:val="bottom"/>
            <w:hideMark/>
          </w:tcPr>
          <w:p w14:paraId="19C1F1B3" w14:textId="77777777" w:rsidR="00597A43" w:rsidRDefault="00597A4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0621B72" w14:textId="77777777" w:rsidR="00597A43" w:rsidRDefault="00597A43">
            <w:pPr>
              <w:jc w:val="right"/>
              <w:rPr>
                <w:color w:val="000000"/>
                <w:sz w:val="20"/>
                <w:szCs w:val="20"/>
              </w:rPr>
            </w:pPr>
            <w:r>
              <w:rPr>
                <w:color w:val="000000"/>
                <w:sz w:val="20"/>
                <w:szCs w:val="20"/>
              </w:rPr>
              <w:t>0.047</w:t>
            </w:r>
          </w:p>
        </w:tc>
        <w:tc>
          <w:tcPr>
            <w:tcW w:w="864" w:type="dxa"/>
            <w:tcBorders>
              <w:top w:val="nil"/>
              <w:left w:val="nil"/>
              <w:bottom w:val="nil"/>
              <w:right w:val="nil"/>
            </w:tcBorders>
            <w:shd w:val="clear" w:color="auto" w:fill="auto"/>
            <w:noWrap/>
            <w:vAlign w:val="bottom"/>
            <w:hideMark/>
          </w:tcPr>
          <w:p w14:paraId="0EC3BFD4" w14:textId="77777777" w:rsidR="00597A43" w:rsidRDefault="00597A43">
            <w:pPr>
              <w:jc w:val="right"/>
              <w:rPr>
                <w:color w:val="000000"/>
                <w:sz w:val="20"/>
                <w:szCs w:val="20"/>
              </w:rPr>
            </w:pPr>
            <w:r>
              <w:rPr>
                <w:color w:val="000000"/>
                <w:sz w:val="20"/>
                <w:szCs w:val="20"/>
              </w:rPr>
              <w:t>0.552</w:t>
            </w:r>
          </w:p>
        </w:tc>
        <w:tc>
          <w:tcPr>
            <w:tcW w:w="864" w:type="dxa"/>
            <w:tcBorders>
              <w:top w:val="nil"/>
              <w:left w:val="nil"/>
              <w:bottom w:val="nil"/>
              <w:right w:val="nil"/>
            </w:tcBorders>
            <w:shd w:val="clear" w:color="auto" w:fill="auto"/>
            <w:noWrap/>
            <w:vAlign w:val="bottom"/>
            <w:hideMark/>
          </w:tcPr>
          <w:p w14:paraId="06A2F293" w14:textId="77777777" w:rsidR="00597A43" w:rsidRDefault="00597A43">
            <w:pPr>
              <w:jc w:val="right"/>
              <w:rPr>
                <w:color w:val="000000"/>
                <w:sz w:val="20"/>
                <w:szCs w:val="20"/>
              </w:rPr>
            </w:pPr>
            <w:r>
              <w:rPr>
                <w:color w:val="000000"/>
                <w:sz w:val="20"/>
                <w:szCs w:val="20"/>
              </w:rPr>
              <w:t>0.002</w:t>
            </w:r>
          </w:p>
        </w:tc>
      </w:tr>
      <w:tr w:rsidR="00597A43" w14:paraId="02C54451" w14:textId="77777777" w:rsidTr="00597A43">
        <w:trPr>
          <w:trHeight w:val="320"/>
        </w:trPr>
        <w:tc>
          <w:tcPr>
            <w:tcW w:w="1152" w:type="dxa"/>
            <w:tcBorders>
              <w:top w:val="nil"/>
              <w:left w:val="nil"/>
              <w:bottom w:val="single" w:sz="4" w:space="0" w:color="auto"/>
              <w:right w:val="nil"/>
            </w:tcBorders>
            <w:shd w:val="clear" w:color="auto" w:fill="auto"/>
            <w:noWrap/>
            <w:vAlign w:val="bottom"/>
            <w:hideMark/>
          </w:tcPr>
          <w:p w14:paraId="2D784F21" w14:textId="77777777" w:rsidR="00597A43" w:rsidRDefault="00597A43">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B807383" w14:textId="77777777" w:rsidR="00597A43" w:rsidRDefault="00597A43">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9DC5038" w14:textId="77777777" w:rsidR="00597A43" w:rsidRDefault="00597A43">
            <w:pPr>
              <w:jc w:val="right"/>
              <w:rPr>
                <w:color w:val="000000"/>
                <w:sz w:val="20"/>
                <w:szCs w:val="20"/>
              </w:rPr>
            </w:pPr>
            <w:r>
              <w:rPr>
                <w:color w:val="000000"/>
                <w:sz w:val="20"/>
                <w:szCs w:val="20"/>
              </w:rPr>
              <w:t>-0.014</w:t>
            </w:r>
          </w:p>
        </w:tc>
        <w:tc>
          <w:tcPr>
            <w:tcW w:w="864" w:type="dxa"/>
            <w:tcBorders>
              <w:top w:val="nil"/>
              <w:left w:val="nil"/>
              <w:bottom w:val="single" w:sz="4" w:space="0" w:color="auto"/>
              <w:right w:val="nil"/>
            </w:tcBorders>
            <w:shd w:val="clear" w:color="auto" w:fill="auto"/>
            <w:noWrap/>
            <w:vAlign w:val="bottom"/>
            <w:hideMark/>
          </w:tcPr>
          <w:p w14:paraId="63FE2FE9" w14:textId="77777777" w:rsidR="00597A43" w:rsidRDefault="00597A43">
            <w:pPr>
              <w:jc w:val="right"/>
              <w:rPr>
                <w:color w:val="000000"/>
                <w:sz w:val="20"/>
                <w:szCs w:val="20"/>
              </w:rPr>
            </w:pPr>
            <w:r>
              <w:rPr>
                <w:color w:val="000000"/>
                <w:sz w:val="20"/>
                <w:szCs w:val="20"/>
              </w:rPr>
              <w:t>0.904</w:t>
            </w:r>
          </w:p>
        </w:tc>
        <w:tc>
          <w:tcPr>
            <w:tcW w:w="864" w:type="dxa"/>
            <w:tcBorders>
              <w:top w:val="nil"/>
              <w:left w:val="nil"/>
              <w:bottom w:val="single" w:sz="4" w:space="0" w:color="auto"/>
              <w:right w:val="nil"/>
            </w:tcBorders>
            <w:shd w:val="clear" w:color="auto" w:fill="auto"/>
            <w:noWrap/>
            <w:vAlign w:val="bottom"/>
            <w:hideMark/>
          </w:tcPr>
          <w:p w14:paraId="2980E6FF"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12A86F3" w14:textId="77777777" w:rsidR="00597A43" w:rsidRDefault="00597A43">
            <w:pPr>
              <w:jc w:val="right"/>
              <w:rPr>
                <w:color w:val="000000"/>
                <w:sz w:val="20"/>
                <w:szCs w:val="20"/>
              </w:rPr>
            </w:pPr>
            <w:r>
              <w:rPr>
                <w:color w:val="000000"/>
                <w:sz w:val="20"/>
                <w:szCs w:val="20"/>
              </w:rPr>
              <w:t>-0.011</w:t>
            </w:r>
          </w:p>
        </w:tc>
        <w:tc>
          <w:tcPr>
            <w:tcW w:w="864" w:type="dxa"/>
            <w:tcBorders>
              <w:top w:val="nil"/>
              <w:left w:val="nil"/>
              <w:bottom w:val="single" w:sz="4" w:space="0" w:color="auto"/>
              <w:right w:val="nil"/>
            </w:tcBorders>
            <w:shd w:val="clear" w:color="auto" w:fill="auto"/>
            <w:noWrap/>
            <w:vAlign w:val="bottom"/>
            <w:hideMark/>
          </w:tcPr>
          <w:p w14:paraId="6787E899" w14:textId="77777777" w:rsidR="00597A43" w:rsidRDefault="00597A43">
            <w:pPr>
              <w:jc w:val="right"/>
              <w:rPr>
                <w:color w:val="000000"/>
                <w:sz w:val="20"/>
                <w:szCs w:val="20"/>
              </w:rPr>
            </w:pPr>
            <w:r>
              <w:rPr>
                <w:color w:val="000000"/>
                <w:sz w:val="20"/>
                <w:szCs w:val="20"/>
              </w:rPr>
              <w:t>0.784</w:t>
            </w:r>
          </w:p>
        </w:tc>
        <w:tc>
          <w:tcPr>
            <w:tcW w:w="864" w:type="dxa"/>
            <w:tcBorders>
              <w:top w:val="nil"/>
              <w:left w:val="nil"/>
              <w:bottom w:val="single" w:sz="4" w:space="0" w:color="auto"/>
              <w:right w:val="nil"/>
            </w:tcBorders>
            <w:shd w:val="clear" w:color="auto" w:fill="auto"/>
            <w:noWrap/>
            <w:vAlign w:val="bottom"/>
            <w:hideMark/>
          </w:tcPr>
          <w:p w14:paraId="63F32AFE" w14:textId="77777777" w:rsidR="00597A43" w:rsidRDefault="00597A43">
            <w:pPr>
              <w:jc w:val="right"/>
              <w:rPr>
                <w:color w:val="000000"/>
                <w:sz w:val="20"/>
                <w:szCs w:val="20"/>
              </w:rPr>
            </w:pPr>
            <w:r>
              <w:rPr>
                <w:color w:val="000000"/>
                <w:sz w:val="20"/>
                <w:szCs w:val="20"/>
              </w:rPr>
              <w:t>0.000</w:t>
            </w:r>
          </w:p>
        </w:tc>
      </w:tr>
      <w:tr w:rsidR="00597A43" w14:paraId="62D0438D" w14:textId="77777777" w:rsidTr="00597A43">
        <w:trPr>
          <w:trHeight w:val="320"/>
        </w:trPr>
        <w:tc>
          <w:tcPr>
            <w:tcW w:w="1152" w:type="dxa"/>
            <w:tcBorders>
              <w:top w:val="nil"/>
              <w:left w:val="nil"/>
              <w:bottom w:val="nil"/>
              <w:right w:val="nil"/>
            </w:tcBorders>
            <w:shd w:val="clear" w:color="auto" w:fill="auto"/>
            <w:noWrap/>
            <w:vAlign w:val="bottom"/>
            <w:hideMark/>
          </w:tcPr>
          <w:p w14:paraId="64DA9C6F" w14:textId="77777777" w:rsidR="00597A43" w:rsidRDefault="00597A43">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31B03355" w14:textId="77777777" w:rsidR="00597A43" w:rsidRDefault="00597A43">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FAE08AA" w14:textId="77777777" w:rsidR="00597A43" w:rsidRDefault="00597A43">
            <w:pPr>
              <w:jc w:val="right"/>
              <w:rPr>
                <w:color w:val="000000"/>
                <w:sz w:val="20"/>
                <w:szCs w:val="20"/>
              </w:rPr>
            </w:pPr>
            <w:r>
              <w:rPr>
                <w:color w:val="000000"/>
                <w:sz w:val="20"/>
                <w:szCs w:val="20"/>
              </w:rPr>
              <w:t>-0.066</w:t>
            </w:r>
          </w:p>
        </w:tc>
        <w:tc>
          <w:tcPr>
            <w:tcW w:w="864" w:type="dxa"/>
            <w:tcBorders>
              <w:top w:val="nil"/>
              <w:left w:val="nil"/>
              <w:bottom w:val="nil"/>
              <w:right w:val="nil"/>
            </w:tcBorders>
            <w:shd w:val="clear" w:color="auto" w:fill="auto"/>
            <w:noWrap/>
            <w:vAlign w:val="bottom"/>
            <w:hideMark/>
          </w:tcPr>
          <w:p w14:paraId="628F31DB" w14:textId="77777777" w:rsidR="00597A43" w:rsidRDefault="00597A43">
            <w:pPr>
              <w:jc w:val="right"/>
              <w:rPr>
                <w:color w:val="000000"/>
                <w:sz w:val="20"/>
                <w:szCs w:val="20"/>
              </w:rPr>
            </w:pPr>
            <w:r>
              <w:rPr>
                <w:color w:val="000000"/>
                <w:sz w:val="20"/>
                <w:szCs w:val="20"/>
              </w:rPr>
              <w:t>0.128</w:t>
            </w:r>
          </w:p>
        </w:tc>
        <w:tc>
          <w:tcPr>
            <w:tcW w:w="864" w:type="dxa"/>
            <w:tcBorders>
              <w:top w:val="nil"/>
              <w:left w:val="nil"/>
              <w:bottom w:val="nil"/>
              <w:right w:val="nil"/>
            </w:tcBorders>
            <w:shd w:val="clear" w:color="auto" w:fill="auto"/>
            <w:noWrap/>
            <w:vAlign w:val="bottom"/>
            <w:hideMark/>
          </w:tcPr>
          <w:p w14:paraId="2A787F11" w14:textId="77777777" w:rsidR="00597A43" w:rsidRDefault="00597A43">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6BAF8737" w14:textId="77777777" w:rsidR="00597A43" w:rsidRDefault="00597A43">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47E3333B" w14:textId="77777777" w:rsidR="00597A43" w:rsidRDefault="00597A43">
            <w:pPr>
              <w:jc w:val="right"/>
              <w:rPr>
                <w:color w:val="000000"/>
                <w:sz w:val="20"/>
                <w:szCs w:val="20"/>
              </w:rPr>
            </w:pPr>
            <w:r>
              <w:rPr>
                <w:color w:val="000000"/>
                <w:sz w:val="20"/>
                <w:szCs w:val="20"/>
              </w:rPr>
              <w:t>0.938</w:t>
            </w:r>
          </w:p>
        </w:tc>
        <w:tc>
          <w:tcPr>
            <w:tcW w:w="864" w:type="dxa"/>
            <w:tcBorders>
              <w:top w:val="nil"/>
              <w:left w:val="nil"/>
              <w:bottom w:val="nil"/>
              <w:right w:val="nil"/>
            </w:tcBorders>
            <w:shd w:val="clear" w:color="auto" w:fill="auto"/>
            <w:noWrap/>
            <w:vAlign w:val="bottom"/>
            <w:hideMark/>
          </w:tcPr>
          <w:p w14:paraId="723127C9" w14:textId="77777777" w:rsidR="00597A43" w:rsidRDefault="00597A43">
            <w:pPr>
              <w:jc w:val="right"/>
              <w:rPr>
                <w:color w:val="000000"/>
                <w:sz w:val="20"/>
                <w:szCs w:val="20"/>
              </w:rPr>
            </w:pPr>
            <w:r>
              <w:rPr>
                <w:color w:val="000000"/>
                <w:sz w:val="20"/>
                <w:szCs w:val="20"/>
              </w:rPr>
              <w:t>0.000</w:t>
            </w:r>
          </w:p>
        </w:tc>
      </w:tr>
      <w:tr w:rsidR="00597A43" w14:paraId="5F671FCA" w14:textId="77777777" w:rsidTr="00597A43">
        <w:trPr>
          <w:trHeight w:val="320"/>
        </w:trPr>
        <w:tc>
          <w:tcPr>
            <w:tcW w:w="1152" w:type="dxa"/>
            <w:tcBorders>
              <w:top w:val="nil"/>
              <w:left w:val="nil"/>
              <w:bottom w:val="nil"/>
              <w:right w:val="nil"/>
            </w:tcBorders>
            <w:shd w:val="clear" w:color="auto" w:fill="auto"/>
            <w:noWrap/>
            <w:vAlign w:val="bottom"/>
            <w:hideMark/>
          </w:tcPr>
          <w:p w14:paraId="6ABC6A09"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3CD819" w14:textId="77777777" w:rsidR="00597A43" w:rsidRDefault="00597A4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E3B2874" w14:textId="77777777" w:rsidR="00597A43" w:rsidRDefault="00597A43">
            <w:pPr>
              <w:jc w:val="right"/>
              <w:rPr>
                <w:color w:val="000000"/>
                <w:sz w:val="20"/>
                <w:szCs w:val="20"/>
              </w:rPr>
            </w:pPr>
            <w:r>
              <w:rPr>
                <w:color w:val="000000"/>
                <w:sz w:val="20"/>
                <w:szCs w:val="20"/>
              </w:rPr>
              <w:t>0.059</w:t>
            </w:r>
          </w:p>
        </w:tc>
        <w:tc>
          <w:tcPr>
            <w:tcW w:w="864" w:type="dxa"/>
            <w:tcBorders>
              <w:top w:val="nil"/>
              <w:left w:val="nil"/>
              <w:bottom w:val="nil"/>
              <w:right w:val="nil"/>
            </w:tcBorders>
            <w:shd w:val="clear" w:color="auto" w:fill="auto"/>
            <w:noWrap/>
            <w:vAlign w:val="bottom"/>
            <w:hideMark/>
          </w:tcPr>
          <w:p w14:paraId="0E8B96CD" w14:textId="77777777" w:rsidR="00597A43" w:rsidRDefault="00597A43">
            <w:pPr>
              <w:jc w:val="right"/>
              <w:rPr>
                <w:color w:val="000000"/>
                <w:sz w:val="20"/>
                <w:szCs w:val="20"/>
              </w:rPr>
            </w:pPr>
            <w:r>
              <w:rPr>
                <w:color w:val="000000"/>
                <w:sz w:val="20"/>
                <w:szCs w:val="20"/>
              </w:rPr>
              <w:t>0.128</w:t>
            </w:r>
          </w:p>
        </w:tc>
        <w:tc>
          <w:tcPr>
            <w:tcW w:w="864" w:type="dxa"/>
            <w:tcBorders>
              <w:top w:val="nil"/>
              <w:left w:val="nil"/>
              <w:bottom w:val="nil"/>
              <w:right w:val="nil"/>
            </w:tcBorders>
            <w:shd w:val="clear" w:color="auto" w:fill="auto"/>
            <w:noWrap/>
            <w:vAlign w:val="bottom"/>
            <w:hideMark/>
          </w:tcPr>
          <w:p w14:paraId="1C24F3D7" w14:textId="77777777" w:rsidR="00597A43" w:rsidRDefault="00597A4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0AB4FE1" w14:textId="77777777" w:rsidR="00597A43" w:rsidRDefault="00597A43">
            <w:pPr>
              <w:jc w:val="right"/>
              <w:rPr>
                <w:color w:val="000000"/>
                <w:sz w:val="20"/>
                <w:szCs w:val="20"/>
              </w:rPr>
            </w:pPr>
            <w:r>
              <w:rPr>
                <w:color w:val="000000"/>
                <w:sz w:val="20"/>
                <w:szCs w:val="20"/>
              </w:rPr>
              <w:t>-0.074</w:t>
            </w:r>
          </w:p>
        </w:tc>
        <w:tc>
          <w:tcPr>
            <w:tcW w:w="864" w:type="dxa"/>
            <w:tcBorders>
              <w:top w:val="nil"/>
              <w:left w:val="nil"/>
              <w:bottom w:val="nil"/>
              <w:right w:val="nil"/>
            </w:tcBorders>
            <w:shd w:val="clear" w:color="auto" w:fill="auto"/>
            <w:noWrap/>
            <w:vAlign w:val="bottom"/>
            <w:hideMark/>
          </w:tcPr>
          <w:p w14:paraId="57243D3C" w14:textId="77777777" w:rsidR="00597A43" w:rsidRDefault="00597A43">
            <w:pPr>
              <w:jc w:val="right"/>
              <w:rPr>
                <w:color w:val="000000"/>
                <w:sz w:val="20"/>
                <w:szCs w:val="20"/>
              </w:rPr>
            </w:pPr>
            <w:r>
              <w:rPr>
                <w:color w:val="000000"/>
                <w:sz w:val="20"/>
                <w:szCs w:val="20"/>
              </w:rPr>
              <w:t>0.192</w:t>
            </w:r>
          </w:p>
        </w:tc>
        <w:tc>
          <w:tcPr>
            <w:tcW w:w="864" w:type="dxa"/>
            <w:tcBorders>
              <w:top w:val="nil"/>
              <w:left w:val="nil"/>
              <w:bottom w:val="nil"/>
              <w:right w:val="nil"/>
            </w:tcBorders>
            <w:shd w:val="clear" w:color="auto" w:fill="auto"/>
            <w:noWrap/>
            <w:vAlign w:val="bottom"/>
            <w:hideMark/>
          </w:tcPr>
          <w:p w14:paraId="244E001D" w14:textId="77777777" w:rsidR="00597A43" w:rsidRDefault="00597A43">
            <w:pPr>
              <w:jc w:val="right"/>
              <w:rPr>
                <w:color w:val="000000"/>
                <w:sz w:val="20"/>
                <w:szCs w:val="20"/>
              </w:rPr>
            </w:pPr>
            <w:r>
              <w:rPr>
                <w:color w:val="000000"/>
                <w:sz w:val="20"/>
                <w:szCs w:val="20"/>
              </w:rPr>
              <w:t>0.005</w:t>
            </w:r>
          </w:p>
        </w:tc>
      </w:tr>
      <w:tr w:rsidR="00597A43" w14:paraId="0CE3418B" w14:textId="77777777" w:rsidTr="00597A43">
        <w:trPr>
          <w:trHeight w:val="320"/>
        </w:trPr>
        <w:tc>
          <w:tcPr>
            <w:tcW w:w="1152" w:type="dxa"/>
            <w:tcBorders>
              <w:top w:val="nil"/>
              <w:left w:val="nil"/>
              <w:bottom w:val="nil"/>
              <w:right w:val="nil"/>
            </w:tcBorders>
            <w:shd w:val="clear" w:color="auto" w:fill="auto"/>
            <w:noWrap/>
            <w:vAlign w:val="bottom"/>
            <w:hideMark/>
          </w:tcPr>
          <w:p w14:paraId="123B7E9F"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F75655E" w14:textId="77777777" w:rsidR="00597A43" w:rsidRDefault="00597A4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5BE8531" w14:textId="77777777" w:rsidR="00597A43" w:rsidRDefault="00597A43">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19086B91" w14:textId="77777777" w:rsidR="00597A43" w:rsidRDefault="00597A43">
            <w:pPr>
              <w:jc w:val="right"/>
              <w:rPr>
                <w:color w:val="000000"/>
                <w:sz w:val="20"/>
                <w:szCs w:val="20"/>
              </w:rPr>
            </w:pPr>
            <w:r>
              <w:rPr>
                <w:color w:val="000000"/>
                <w:sz w:val="20"/>
                <w:szCs w:val="20"/>
              </w:rPr>
              <w:t>0.574</w:t>
            </w:r>
          </w:p>
        </w:tc>
        <w:tc>
          <w:tcPr>
            <w:tcW w:w="864" w:type="dxa"/>
            <w:tcBorders>
              <w:top w:val="nil"/>
              <w:left w:val="nil"/>
              <w:bottom w:val="nil"/>
              <w:right w:val="nil"/>
            </w:tcBorders>
            <w:shd w:val="clear" w:color="auto" w:fill="auto"/>
            <w:noWrap/>
            <w:vAlign w:val="bottom"/>
            <w:hideMark/>
          </w:tcPr>
          <w:p w14:paraId="73134714" w14:textId="77777777" w:rsidR="00597A43" w:rsidRDefault="00597A4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59ACD51" w14:textId="77777777" w:rsidR="00597A43" w:rsidRDefault="00597A43">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5EC36A6D" w14:textId="77777777" w:rsidR="00597A43" w:rsidRDefault="00597A43">
            <w:pPr>
              <w:jc w:val="right"/>
              <w:rPr>
                <w:color w:val="000000"/>
                <w:sz w:val="20"/>
                <w:szCs w:val="20"/>
              </w:rPr>
            </w:pPr>
            <w:r>
              <w:rPr>
                <w:color w:val="000000"/>
                <w:sz w:val="20"/>
                <w:szCs w:val="20"/>
              </w:rPr>
              <w:t>0.938</w:t>
            </w:r>
          </w:p>
        </w:tc>
        <w:tc>
          <w:tcPr>
            <w:tcW w:w="864" w:type="dxa"/>
            <w:tcBorders>
              <w:top w:val="nil"/>
              <w:left w:val="nil"/>
              <w:bottom w:val="nil"/>
              <w:right w:val="nil"/>
            </w:tcBorders>
            <w:shd w:val="clear" w:color="auto" w:fill="auto"/>
            <w:noWrap/>
            <w:vAlign w:val="bottom"/>
            <w:hideMark/>
          </w:tcPr>
          <w:p w14:paraId="09D6B4D0" w14:textId="77777777" w:rsidR="00597A43" w:rsidRDefault="00597A43">
            <w:pPr>
              <w:jc w:val="right"/>
              <w:rPr>
                <w:color w:val="000000"/>
                <w:sz w:val="20"/>
                <w:szCs w:val="20"/>
              </w:rPr>
            </w:pPr>
            <w:r>
              <w:rPr>
                <w:color w:val="000000"/>
                <w:sz w:val="20"/>
                <w:szCs w:val="20"/>
              </w:rPr>
              <w:t>0.000</w:t>
            </w:r>
          </w:p>
        </w:tc>
      </w:tr>
      <w:tr w:rsidR="00597A43" w14:paraId="7EA6070C" w14:textId="77777777" w:rsidTr="00597A43">
        <w:trPr>
          <w:trHeight w:val="320"/>
        </w:trPr>
        <w:tc>
          <w:tcPr>
            <w:tcW w:w="1152" w:type="dxa"/>
            <w:tcBorders>
              <w:top w:val="nil"/>
              <w:left w:val="nil"/>
              <w:bottom w:val="nil"/>
              <w:right w:val="nil"/>
            </w:tcBorders>
            <w:shd w:val="clear" w:color="auto" w:fill="auto"/>
            <w:noWrap/>
            <w:vAlign w:val="bottom"/>
            <w:hideMark/>
          </w:tcPr>
          <w:p w14:paraId="05562AE5"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5B84BE9" w14:textId="77777777" w:rsidR="00597A43" w:rsidRDefault="00597A4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A4516BE" w14:textId="77777777" w:rsidR="00597A43" w:rsidRDefault="00597A43">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67863C7B" w14:textId="77777777" w:rsidR="00597A43" w:rsidRDefault="00597A43">
            <w:pPr>
              <w:jc w:val="right"/>
              <w:rPr>
                <w:color w:val="000000"/>
                <w:sz w:val="20"/>
                <w:szCs w:val="20"/>
              </w:rPr>
            </w:pPr>
            <w:r>
              <w:rPr>
                <w:color w:val="000000"/>
                <w:sz w:val="20"/>
                <w:szCs w:val="20"/>
              </w:rPr>
              <w:t>0.784</w:t>
            </w:r>
          </w:p>
        </w:tc>
        <w:tc>
          <w:tcPr>
            <w:tcW w:w="864" w:type="dxa"/>
            <w:tcBorders>
              <w:top w:val="nil"/>
              <w:left w:val="nil"/>
              <w:bottom w:val="nil"/>
              <w:right w:val="nil"/>
            </w:tcBorders>
            <w:shd w:val="clear" w:color="auto" w:fill="auto"/>
            <w:noWrap/>
            <w:vAlign w:val="bottom"/>
            <w:hideMark/>
          </w:tcPr>
          <w:p w14:paraId="23CB2323"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30FB122" w14:textId="77777777" w:rsidR="00597A43" w:rsidRDefault="00597A43">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4C0B40C3" w14:textId="77777777" w:rsidR="00597A43" w:rsidRDefault="00597A43">
            <w:pPr>
              <w:jc w:val="right"/>
              <w:rPr>
                <w:color w:val="000000"/>
                <w:sz w:val="20"/>
                <w:szCs w:val="20"/>
              </w:rPr>
            </w:pPr>
            <w:r>
              <w:rPr>
                <w:color w:val="000000"/>
                <w:sz w:val="20"/>
                <w:szCs w:val="20"/>
              </w:rPr>
              <w:t>0.868</w:t>
            </w:r>
          </w:p>
        </w:tc>
        <w:tc>
          <w:tcPr>
            <w:tcW w:w="864" w:type="dxa"/>
            <w:tcBorders>
              <w:top w:val="nil"/>
              <w:left w:val="nil"/>
              <w:bottom w:val="nil"/>
              <w:right w:val="nil"/>
            </w:tcBorders>
            <w:shd w:val="clear" w:color="auto" w:fill="auto"/>
            <w:noWrap/>
            <w:vAlign w:val="bottom"/>
            <w:hideMark/>
          </w:tcPr>
          <w:p w14:paraId="66C069C1" w14:textId="77777777" w:rsidR="00597A43" w:rsidRDefault="00597A43">
            <w:pPr>
              <w:jc w:val="right"/>
              <w:rPr>
                <w:color w:val="000000"/>
                <w:sz w:val="20"/>
                <w:szCs w:val="20"/>
              </w:rPr>
            </w:pPr>
            <w:r>
              <w:rPr>
                <w:color w:val="000000"/>
                <w:sz w:val="20"/>
                <w:szCs w:val="20"/>
              </w:rPr>
              <w:t>0.002</w:t>
            </w:r>
          </w:p>
        </w:tc>
      </w:tr>
      <w:tr w:rsidR="00597A43" w14:paraId="7E272104" w14:textId="77777777" w:rsidTr="00597A43">
        <w:trPr>
          <w:trHeight w:val="320"/>
        </w:trPr>
        <w:tc>
          <w:tcPr>
            <w:tcW w:w="1152" w:type="dxa"/>
            <w:tcBorders>
              <w:top w:val="nil"/>
              <w:left w:val="nil"/>
              <w:bottom w:val="nil"/>
              <w:right w:val="nil"/>
            </w:tcBorders>
            <w:shd w:val="clear" w:color="auto" w:fill="auto"/>
            <w:noWrap/>
            <w:vAlign w:val="bottom"/>
            <w:hideMark/>
          </w:tcPr>
          <w:p w14:paraId="426953D1"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DC14786" w14:textId="77777777" w:rsidR="00597A43" w:rsidRDefault="00597A4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AE1CE46" w14:textId="77777777" w:rsidR="00597A43" w:rsidRDefault="00597A43">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23B3312B" w14:textId="77777777" w:rsidR="00597A43" w:rsidRDefault="00597A43">
            <w:pPr>
              <w:jc w:val="right"/>
              <w:rPr>
                <w:color w:val="000000"/>
                <w:sz w:val="20"/>
                <w:szCs w:val="20"/>
              </w:rPr>
            </w:pPr>
            <w:r>
              <w:rPr>
                <w:color w:val="000000"/>
                <w:sz w:val="20"/>
                <w:szCs w:val="20"/>
              </w:rPr>
              <w:t>0.784</w:t>
            </w:r>
          </w:p>
        </w:tc>
        <w:tc>
          <w:tcPr>
            <w:tcW w:w="864" w:type="dxa"/>
            <w:tcBorders>
              <w:top w:val="nil"/>
              <w:left w:val="nil"/>
              <w:bottom w:val="nil"/>
              <w:right w:val="nil"/>
            </w:tcBorders>
            <w:shd w:val="clear" w:color="auto" w:fill="auto"/>
            <w:noWrap/>
            <w:vAlign w:val="bottom"/>
            <w:hideMark/>
          </w:tcPr>
          <w:p w14:paraId="2C71FB04"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BB78B5E" w14:textId="77777777" w:rsidR="00597A43" w:rsidRDefault="00597A4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B6A507E" w14:textId="77777777" w:rsidR="00597A43" w:rsidRDefault="00597A43">
            <w:pPr>
              <w:jc w:val="right"/>
              <w:rPr>
                <w:color w:val="000000"/>
                <w:sz w:val="20"/>
                <w:szCs w:val="20"/>
              </w:rPr>
            </w:pPr>
            <w:r>
              <w:rPr>
                <w:color w:val="000000"/>
                <w:sz w:val="20"/>
                <w:szCs w:val="20"/>
              </w:rPr>
              <w:t>0.967</w:t>
            </w:r>
          </w:p>
        </w:tc>
        <w:tc>
          <w:tcPr>
            <w:tcW w:w="864" w:type="dxa"/>
            <w:tcBorders>
              <w:top w:val="nil"/>
              <w:left w:val="nil"/>
              <w:bottom w:val="nil"/>
              <w:right w:val="nil"/>
            </w:tcBorders>
            <w:shd w:val="clear" w:color="auto" w:fill="auto"/>
            <w:noWrap/>
            <w:vAlign w:val="bottom"/>
            <w:hideMark/>
          </w:tcPr>
          <w:p w14:paraId="789EC637" w14:textId="77777777" w:rsidR="00597A43" w:rsidRDefault="00597A43">
            <w:pPr>
              <w:jc w:val="right"/>
              <w:rPr>
                <w:color w:val="000000"/>
                <w:sz w:val="20"/>
                <w:szCs w:val="20"/>
              </w:rPr>
            </w:pPr>
            <w:r>
              <w:rPr>
                <w:color w:val="000000"/>
                <w:sz w:val="20"/>
                <w:szCs w:val="20"/>
              </w:rPr>
              <w:t>0.000</w:t>
            </w:r>
          </w:p>
        </w:tc>
      </w:tr>
      <w:tr w:rsidR="00597A43" w14:paraId="2D49FBB5" w14:textId="77777777" w:rsidTr="00597A43">
        <w:trPr>
          <w:trHeight w:val="320"/>
        </w:trPr>
        <w:tc>
          <w:tcPr>
            <w:tcW w:w="1152" w:type="dxa"/>
            <w:tcBorders>
              <w:top w:val="nil"/>
              <w:left w:val="nil"/>
              <w:bottom w:val="nil"/>
              <w:right w:val="nil"/>
            </w:tcBorders>
            <w:shd w:val="clear" w:color="auto" w:fill="auto"/>
            <w:noWrap/>
            <w:vAlign w:val="bottom"/>
            <w:hideMark/>
          </w:tcPr>
          <w:p w14:paraId="3E2A8C2A"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1500EE3" w14:textId="77777777" w:rsidR="00597A43" w:rsidRDefault="00597A4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757D5F4" w14:textId="77777777" w:rsidR="00597A43" w:rsidRDefault="00597A43">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7FB7FA62" w14:textId="77777777" w:rsidR="00597A43" w:rsidRDefault="00597A43">
            <w:pPr>
              <w:jc w:val="right"/>
              <w:rPr>
                <w:color w:val="000000"/>
                <w:sz w:val="20"/>
                <w:szCs w:val="20"/>
              </w:rPr>
            </w:pPr>
            <w:r>
              <w:rPr>
                <w:color w:val="000000"/>
                <w:sz w:val="20"/>
                <w:szCs w:val="20"/>
              </w:rPr>
              <w:t>0.128</w:t>
            </w:r>
          </w:p>
        </w:tc>
        <w:tc>
          <w:tcPr>
            <w:tcW w:w="864" w:type="dxa"/>
            <w:tcBorders>
              <w:top w:val="nil"/>
              <w:left w:val="nil"/>
              <w:bottom w:val="nil"/>
              <w:right w:val="nil"/>
            </w:tcBorders>
            <w:shd w:val="clear" w:color="auto" w:fill="auto"/>
            <w:noWrap/>
            <w:vAlign w:val="bottom"/>
            <w:hideMark/>
          </w:tcPr>
          <w:p w14:paraId="500D7A03" w14:textId="77777777" w:rsidR="00597A43" w:rsidRDefault="00597A4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300E9B09" w14:textId="77777777" w:rsidR="00597A43" w:rsidRDefault="00597A43">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3B5E68DC" w14:textId="77777777" w:rsidR="00597A43" w:rsidRDefault="00597A43">
            <w:pPr>
              <w:jc w:val="right"/>
              <w:rPr>
                <w:color w:val="000000"/>
                <w:sz w:val="20"/>
                <w:szCs w:val="20"/>
              </w:rPr>
            </w:pPr>
            <w:r>
              <w:rPr>
                <w:color w:val="000000"/>
                <w:sz w:val="20"/>
                <w:szCs w:val="20"/>
              </w:rPr>
              <w:t>0.938</w:t>
            </w:r>
          </w:p>
        </w:tc>
        <w:tc>
          <w:tcPr>
            <w:tcW w:w="864" w:type="dxa"/>
            <w:tcBorders>
              <w:top w:val="nil"/>
              <w:left w:val="nil"/>
              <w:bottom w:val="nil"/>
              <w:right w:val="nil"/>
            </w:tcBorders>
            <w:shd w:val="clear" w:color="auto" w:fill="auto"/>
            <w:noWrap/>
            <w:vAlign w:val="bottom"/>
            <w:hideMark/>
          </w:tcPr>
          <w:p w14:paraId="2FE9896E" w14:textId="77777777" w:rsidR="00597A43" w:rsidRDefault="00597A43">
            <w:pPr>
              <w:jc w:val="right"/>
              <w:rPr>
                <w:color w:val="000000"/>
                <w:sz w:val="20"/>
                <w:szCs w:val="20"/>
              </w:rPr>
            </w:pPr>
            <w:r>
              <w:rPr>
                <w:color w:val="000000"/>
                <w:sz w:val="20"/>
                <w:szCs w:val="20"/>
              </w:rPr>
              <w:t>0.000</w:t>
            </w:r>
          </w:p>
        </w:tc>
      </w:tr>
      <w:tr w:rsidR="00597A43" w14:paraId="0F75A97B" w14:textId="77777777" w:rsidTr="00597A43">
        <w:trPr>
          <w:trHeight w:val="320"/>
        </w:trPr>
        <w:tc>
          <w:tcPr>
            <w:tcW w:w="1152" w:type="dxa"/>
            <w:tcBorders>
              <w:top w:val="nil"/>
              <w:left w:val="nil"/>
              <w:bottom w:val="nil"/>
              <w:right w:val="nil"/>
            </w:tcBorders>
            <w:shd w:val="clear" w:color="auto" w:fill="auto"/>
            <w:noWrap/>
            <w:vAlign w:val="bottom"/>
            <w:hideMark/>
          </w:tcPr>
          <w:p w14:paraId="0A4A11D1"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69A4834" w14:textId="77777777" w:rsidR="00597A43" w:rsidRDefault="00597A4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7D0E574" w14:textId="77777777" w:rsidR="00597A43" w:rsidRDefault="00597A43">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23FF88EE" w14:textId="77777777" w:rsidR="00597A43" w:rsidRDefault="00597A43">
            <w:pPr>
              <w:jc w:val="right"/>
              <w:rPr>
                <w:color w:val="000000"/>
                <w:sz w:val="20"/>
                <w:szCs w:val="20"/>
              </w:rPr>
            </w:pPr>
            <w:r>
              <w:rPr>
                <w:color w:val="000000"/>
                <w:sz w:val="20"/>
                <w:szCs w:val="20"/>
              </w:rPr>
              <w:t>0.784</w:t>
            </w:r>
          </w:p>
        </w:tc>
        <w:tc>
          <w:tcPr>
            <w:tcW w:w="864" w:type="dxa"/>
            <w:tcBorders>
              <w:top w:val="nil"/>
              <w:left w:val="nil"/>
              <w:bottom w:val="nil"/>
              <w:right w:val="nil"/>
            </w:tcBorders>
            <w:shd w:val="clear" w:color="auto" w:fill="auto"/>
            <w:noWrap/>
            <w:vAlign w:val="bottom"/>
            <w:hideMark/>
          </w:tcPr>
          <w:p w14:paraId="1D34DA9F"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FB3B62B" w14:textId="77777777" w:rsidR="00597A43" w:rsidRDefault="00597A43">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7C605022" w14:textId="77777777" w:rsidR="00597A43" w:rsidRDefault="00597A43">
            <w:pPr>
              <w:jc w:val="right"/>
              <w:rPr>
                <w:color w:val="000000"/>
                <w:sz w:val="20"/>
                <w:szCs w:val="20"/>
              </w:rPr>
            </w:pPr>
            <w:r>
              <w:rPr>
                <w:color w:val="000000"/>
                <w:sz w:val="20"/>
                <w:szCs w:val="20"/>
              </w:rPr>
              <w:t>0.938</w:t>
            </w:r>
          </w:p>
        </w:tc>
        <w:tc>
          <w:tcPr>
            <w:tcW w:w="864" w:type="dxa"/>
            <w:tcBorders>
              <w:top w:val="nil"/>
              <w:left w:val="nil"/>
              <w:bottom w:val="nil"/>
              <w:right w:val="nil"/>
            </w:tcBorders>
            <w:shd w:val="clear" w:color="auto" w:fill="auto"/>
            <w:noWrap/>
            <w:vAlign w:val="bottom"/>
            <w:hideMark/>
          </w:tcPr>
          <w:p w14:paraId="15EF1141" w14:textId="77777777" w:rsidR="00597A43" w:rsidRDefault="00597A43">
            <w:pPr>
              <w:jc w:val="right"/>
              <w:rPr>
                <w:color w:val="000000"/>
                <w:sz w:val="20"/>
                <w:szCs w:val="20"/>
              </w:rPr>
            </w:pPr>
            <w:r>
              <w:rPr>
                <w:color w:val="000000"/>
                <w:sz w:val="20"/>
                <w:szCs w:val="20"/>
              </w:rPr>
              <w:t>0.000</w:t>
            </w:r>
          </w:p>
        </w:tc>
      </w:tr>
      <w:tr w:rsidR="00597A43" w14:paraId="5CC13693" w14:textId="77777777" w:rsidTr="00597A43">
        <w:trPr>
          <w:trHeight w:val="320"/>
        </w:trPr>
        <w:tc>
          <w:tcPr>
            <w:tcW w:w="1152" w:type="dxa"/>
            <w:tcBorders>
              <w:top w:val="nil"/>
              <w:left w:val="nil"/>
              <w:bottom w:val="single" w:sz="4" w:space="0" w:color="auto"/>
              <w:right w:val="nil"/>
            </w:tcBorders>
            <w:shd w:val="clear" w:color="auto" w:fill="auto"/>
            <w:noWrap/>
            <w:vAlign w:val="bottom"/>
            <w:hideMark/>
          </w:tcPr>
          <w:p w14:paraId="2FF3965F" w14:textId="77777777" w:rsidR="00597A43" w:rsidRDefault="00597A43">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EDC8751" w14:textId="77777777" w:rsidR="00597A43" w:rsidRDefault="00597A43">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5D3FE8DE" w14:textId="77777777" w:rsidR="00597A43" w:rsidRDefault="00597A43">
            <w:pPr>
              <w:jc w:val="right"/>
              <w:rPr>
                <w:color w:val="000000"/>
                <w:sz w:val="20"/>
                <w:szCs w:val="20"/>
              </w:rPr>
            </w:pPr>
            <w:r>
              <w:rPr>
                <w:color w:val="000000"/>
                <w:sz w:val="20"/>
                <w:szCs w:val="20"/>
              </w:rPr>
              <w:t>-0.005</w:t>
            </w:r>
          </w:p>
        </w:tc>
        <w:tc>
          <w:tcPr>
            <w:tcW w:w="864" w:type="dxa"/>
            <w:tcBorders>
              <w:top w:val="nil"/>
              <w:left w:val="nil"/>
              <w:bottom w:val="single" w:sz="4" w:space="0" w:color="auto"/>
              <w:right w:val="nil"/>
            </w:tcBorders>
            <w:shd w:val="clear" w:color="auto" w:fill="auto"/>
            <w:noWrap/>
            <w:vAlign w:val="bottom"/>
            <w:hideMark/>
          </w:tcPr>
          <w:p w14:paraId="77D5808F" w14:textId="77777777" w:rsidR="00597A43" w:rsidRDefault="00597A43">
            <w:pPr>
              <w:jc w:val="right"/>
              <w:rPr>
                <w:color w:val="000000"/>
                <w:sz w:val="20"/>
                <w:szCs w:val="20"/>
              </w:rPr>
            </w:pPr>
            <w:r>
              <w:rPr>
                <w:color w:val="000000"/>
                <w:sz w:val="20"/>
                <w:szCs w:val="20"/>
              </w:rPr>
              <w:t>0.880</w:t>
            </w:r>
          </w:p>
        </w:tc>
        <w:tc>
          <w:tcPr>
            <w:tcW w:w="864" w:type="dxa"/>
            <w:tcBorders>
              <w:top w:val="nil"/>
              <w:left w:val="nil"/>
              <w:bottom w:val="single" w:sz="4" w:space="0" w:color="auto"/>
              <w:right w:val="nil"/>
            </w:tcBorders>
            <w:shd w:val="clear" w:color="auto" w:fill="auto"/>
            <w:noWrap/>
            <w:vAlign w:val="bottom"/>
            <w:hideMark/>
          </w:tcPr>
          <w:p w14:paraId="54B1EE13"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4907401E" w14:textId="77777777" w:rsidR="00597A43" w:rsidRDefault="00597A43">
            <w:pPr>
              <w:jc w:val="right"/>
              <w:rPr>
                <w:color w:val="000000"/>
                <w:sz w:val="20"/>
                <w:szCs w:val="20"/>
              </w:rPr>
            </w:pPr>
            <w:r>
              <w:rPr>
                <w:color w:val="000000"/>
                <w:sz w:val="20"/>
                <w:szCs w:val="20"/>
              </w:rPr>
              <w:t>-0.016</w:t>
            </w:r>
          </w:p>
        </w:tc>
        <w:tc>
          <w:tcPr>
            <w:tcW w:w="864" w:type="dxa"/>
            <w:tcBorders>
              <w:top w:val="nil"/>
              <w:left w:val="nil"/>
              <w:bottom w:val="single" w:sz="4" w:space="0" w:color="auto"/>
              <w:right w:val="nil"/>
            </w:tcBorders>
            <w:shd w:val="clear" w:color="auto" w:fill="auto"/>
            <w:noWrap/>
            <w:vAlign w:val="bottom"/>
            <w:hideMark/>
          </w:tcPr>
          <w:p w14:paraId="3633AA59" w14:textId="77777777" w:rsidR="00597A43" w:rsidRDefault="00597A43">
            <w:pPr>
              <w:jc w:val="right"/>
              <w:rPr>
                <w:color w:val="000000"/>
                <w:sz w:val="20"/>
                <w:szCs w:val="20"/>
              </w:rPr>
            </w:pPr>
            <w:r>
              <w:rPr>
                <w:color w:val="000000"/>
                <w:sz w:val="20"/>
                <w:szCs w:val="20"/>
              </w:rPr>
              <w:t>0.938</w:t>
            </w:r>
          </w:p>
        </w:tc>
        <w:tc>
          <w:tcPr>
            <w:tcW w:w="864" w:type="dxa"/>
            <w:tcBorders>
              <w:top w:val="nil"/>
              <w:left w:val="nil"/>
              <w:bottom w:val="single" w:sz="4" w:space="0" w:color="auto"/>
              <w:right w:val="nil"/>
            </w:tcBorders>
            <w:shd w:val="clear" w:color="auto" w:fill="auto"/>
            <w:noWrap/>
            <w:vAlign w:val="bottom"/>
            <w:hideMark/>
          </w:tcPr>
          <w:p w14:paraId="771ADDF0" w14:textId="77777777" w:rsidR="00597A43" w:rsidRDefault="00597A43">
            <w:pPr>
              <w:jc w:val="right"/>
              <w:rPr>
                <w:color w:val="000000"/>
                <w:sz w:val="20"/>
                <w:szCs w:val="20"/>
              </w:rPr>
            </w:pPr>
            <w:r>
              <w:rPr>
                <w:color w:val="000000"/>
                <w:sz w:val="20"/>
                <w:szCs w:val="20"/>
              </w:rPr>
              <w:t>0.000</w:t>
            </w:r>
          </w:p>
        </w:tc>
      </w:tr>
      <w:tr w:rsidR="00597A43" w14:paraId="26B4E37B" w14:textId="77777777" w:rsidTr="00597A43">
        <w:trPr>
          <w:trHeight w:val="320"/>
        </w:trPr>
        <w:tc>
          <w:tcPr>
            <w:tcW w:w="1152" w:type="dxa"/>
            <w:tcBorders>
              <w:top w:val="nil"/>
              <w:left w:val="nil"/>
              <w:bottom w:val="nil"/>
              <w:right w:val="nil"/>
            </w:tcBorders>
            <w:shd w:val="clear" w:color="auto" w:fill="auto"/>
            <w:noWrap/>
            <w:vAlign w:val="bottom"/>
            <w:hideMark/>
          </w:tcPr>
          <w:p w14:paraId="7B577EF0" w14:textId="77777777" w:rsidR="00597A43" w:rsidRDefault="00597A43">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66ADBFB6" w14:textId="77777777" w:rsidR="00597A43" w:rsidRDefault="00597A43">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2A09324" w14:textId="77777777" w:rsidR="00597A43" w:rsidRDefault="00597A43">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5539A6BE" w14:textId="77777777" w:rsidR="00597A43" w:rsidRDefault="00597A43">
            <w:pPr>
              <w:jc w:val="right"/>
              <w:rPr>
                <w:color w:val="000000"/>
                <w:sz w:val="20"/>
                <w:szCs w:val="20"/>
              </w:rPr>
            </w:pPr>
            <w:r>
              <w:rPr>
                <w:color w:val="000000"/>
                <w:sz w:val="20"/>
                <w:szCs w:val="20"/>
              </w:rPr>
              <w:t>0.181</w:t>
            </w:r>
          </w:p>
        </w:tc>
        <w:tc>
          <w:tcPr>
            <w:tcW w:w="864" w:type="dxa"/>
            <w:tcBorders>
              <w:top w:val="nil"/>
              <w:left w:val="nil"/>
              <w:bottom w:val="nil"/>
              <w:right w:val="nil"/>
            </w:tcBorders>
            <w:shd w:val="clear" w:color="auto" w:fill="auto"/>
            <w:noWrap/>
            <w:vAlign w:val="bottom"/>
            <w:hideMark/>
          </w:tcPr>
          <w:p w14:paraId="1FBE989F" w14:textId="77777777" w:rsidR="00597A43" w:rsidRDefault="00597A4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DF1DE2E" w14:textId="77777777" w:rsidR="00597A43" w:rsidRDefault="00597A43">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72E5836B" w14:textId="77777777" w:rsidR="00597A43" w:rsidRDefault="00597A43">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69EF91AF" w14:textId="77777777" w:rsidR="00597A43" w:rsidRDefault="00597A43">
            <w:pPr>
              <w:jc w:val="right"/>
              <w:rPr>
                <w:color w:val="000000"/>
                <w:sz w:val="20"/>
                <w:szCs w:val="20"/>
              </w:rPr>
            </w:pPr>
            <w:r>
              <w:rPr>
                <w:color w:val="000000"/>
                <w:sz w:val="20"/>
                <w:szCs w:val="20"/>
              </w:rPr>
              <w:t>0.001</w:t>
            </w:r>
          </w:p>
        </w:tc>
      </w:tr>
      <w:tr w:rsidR="00597A43" w14:paraId="10C570D2" w14:textId="77777777" w:rsidTr="00597A43">
        <w:trPr>
          <w:trHeight w:val="320"/>
        </w:trPr>
        <w:tc>
          <w:tcPr>
            <w:tcW w:w="1152" w:type="dxa"/>
            <w:tcBorders>
              <w:top w:val="nil"/>
              <w:left w:val="nil"/>
              <w:bottom w:val="nil"/>
              <w:right w:val="nil"/>
            </w:tcBorders>
            <w:shd w:val="clear" w:color="auto" w:fill="auto"/>
            <w:noWrap/>
            <w:vAlign w:val="bottom"/>
            <w:hideMark/>
          </w:tcPr>
          <w:p w14:paraId="0487B7A9"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59D76EE" w14:textId="77777777" w:rsidR="00597A43" w:rsidRDefault="00597A43">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4E86C90" w14:textId="77777777" w:rsidR="00597A43" w:rsidRDefault="00597A43">
            <w:pPr>
              <w:jc w:val="right"/>
              <w:rPr>
                <w:b/>
                <w:bCs/>
                <w:color w:val="000000"/>
                <w:sz w:val="20"/>
                <w:szCs w:val="20"/>
              </w:rPr>
            </w:pPr>
            <w:r>
              <w:rPr>
                <w:b/>
                <w:bCs/>
                <w:color w:val="000000"/>
                <w:sz w:val="20"/>
                <w:szCs w:val="20"/>
              </w:rPr>
              <w:t>0.089</w:t>
            </w:r>
          </w:p>
        </w:tc>
        <w:tc>
          <w:tcPr>
            <w:tcW w:w="864" w:type="dxa"/>
            <w:tcBorders>
              <w:top w:val="nil"/>
              <w:left w:val="nil"/>
              <w:bottom w:val="nil"/>
              <w:right w:val="nil"/>
            </w:tcBorders>
            <w:shd w:val="clear" w:color="auto" w:fill="auto"/>
            <w:noWrap/>
            <w:vAlign w:val="bottom"/>
            <w:hideMark/>
          </w:tcPr>
          <w:p w14:paraId="4399C3ED" w14:textId="77777777" w:rsidR="00597A43" w:rsidRDefault="00597A43">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7CFE3F59" w14:textId="77777777" w:rsidR="00597A43" w:rsidRDefault="00597A43">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40D13AE2" w14:textId="77777777" w:rsidR="00597A43" w:rsidRDefault="00597A43">
            <w:pPr>
              <w:jc w:val="right"/>
              <w:rPr>
                <w:color w:val="000000"/>
                <w:sz w:val="20"/>
                <w:szCs w:val="20"/>
              </w:rPr>
            </w:pPr>
            <w:r>
              <w:rPr>
                <w:color w:val="000000"/>
                <w:sz w:val="20"/>
                <w:szCs w:val="20"/>
              </w:rPr>
              <w:t>-0.083</w:t>
            </w:r>
          </w:p>
        </w:tc>
        <w:tc>
          <w:tcPr>
            <w:tcW w:w="864" w:type="dxa"/>
            <w:tcBorders>
              <w:top w:val="nil"/>
              <w:left w:val="nil"/>
              <w:bottom w:val="nil"/>
              <w:right w:val="nil"/>
            </w:tcBorders>
            <w:shd w:val="clear" w:color="auto" w:fill="auto"/>
            <w:noWrap/>
            <w:vAlign w:val="bottom"/>
            <w:hideMark/>
          </w:tcPr>
          <w:p w14:paraId="35CCCC30" w14:textId="77777777" w:rsidR="00597A43" w:rsidRDefault="00597A43">
            <w:pPr>
              <w:jc w:val="right"/>
              <w:rPr>
                <w:color w:val="000000"/>
                <w:sz w:val="20"/>
                <w:szCs w:val="20"/>
              </w:rPr>
            </w:pPr>
            <w:r>
              <w:rPr>
                <w:color w:val="000000"/>
                <w:sz w:val="20"/>
                <w:szCs w:val="20"/>
              </w:rPr>
              <w:t>0.120</w:t>
            </w:r>
          </w:p>
        </w:tc>
        <w:tc>
          <w:tcPr>
            <w:tcW w:w="864" w:type="dxa"/>
            <w:tcBorders>
              <w:top w:val="nil"/>
              <w:left w:val="nil"/>
              <w:bottom w:val="nil"/>
              <w:right w:val="nil"/>
            </w:tcBorders>
            <w:shd w:val="clear" w:color="auto" w:fill="auto"/>
            <w:noWrap/>
            <w:vAlign w:val="bottom"/>
            <w:hideMark/>
          </w:tcPr>
          <w:p w14:paraId="0CC23059" w14:textId="77777777" w:rsidR="00597A43" w:rsidRDefault="00597A43">
            <w:pPr>
              <w:jc w:val="right"/>
              <w:rPr>
                <w:color w:val="000000"/>
                <w:sz w:val="20"/>
                <w:szCs w:val="20"/>
              </w:rPr>
            </w:pPr>
            <w:r>
              <w:rPr>
                <w:color w:val="000000"/>
                <w:sz w:val="20"/>
                <w:szCs w:val="20"/>
              </w:rPr>
              <w:t>0.007</w:t>
            </w:r>
          </w:p>
        </w:tc>
      </w:tr>
      <w:tr w:rsidR="00597A43" w14:paraId="71401EC3" w14:textId="77777777" w:rsidTr="00597A43">
        <w:trPr>
          <w:trHeight w:val="320"/>
        </w:trPr>
        <w:tc>
          <w:tcPr>
            <w:tcW w:w="1152" w:type="dxa"/>
            <w:tcBorders>
              <w:top w:val="nil"/>
              <w:left w:val="nil"/>
              <w:bottom w:val="nil"/>
              <w:right w:val="nil"/>
            </w:tcBorders>
            <w:shd w:val="clear" w:color="auto" w:fill="auto"/>
            <w:noWrap/>
            <w:vAlign w:val="bottom"/>
            <w:hideMark/>
          </w:tcPr>
          <w:p w14:paraId="0185DB65"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3E6086" w14:textId="77777777" w:rsidR="00597A43" w:rsidRDefault="00597A43">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F09BC4F" w14:textId="77777777" w:rsidR="00597A43" w:rsidRDefault="00597A43">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338A20EB" w14:textId="77777777" w:rsidR="00597A43" w:rsidRDefault="00597A43">
            <w:pPr>
              <w:jc w:val="right"/>
              <w:rPr>
                <w:color w:val="000000"/>
                <w:sz w:val="20"/>
                <w:szCs w:val="20"/>
              </w:rPr>
            </w:pPr>
            <w:r>
              <w:rPr>
                <w:color w:val="000000"/>
                <w:sz w:val="20"/>
                <w:szCs w:val="20"/>
              </w:rPr>
              <w:t>0.446</w:t>
            </w:r>
          </w:p>
        </w:tc>
        <w:tc>
          <w:tcPr>
            <w:tcW w:w="864" w:type="dxa"/>
            <w:tcBorders>
              <w:top w:val="nil"/>
              <w:left w:val="nil"/>
              <w:bottom w:val="nil"/>
              <w:right w:val="nil"/>
            </w:tcBorders>
            <w:shd w:val="clear" w:color="auto" w:fill="auto"/>
            <w:noWrap/>
            <w:vAlign w:val="bottom"/>
            <w:hideMark/>
          </w:tcPr>
          <w:p w14:paraId="551D9D21" w14:textId="77777777" w:rsidR="00597A43" w:rsidRDefault="00597A4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C21D8F2" w14:textId="77777777" w:rsidR="00597A43" w:rsidRDefault="00597A43">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98CB393" w14:textId="77777777" w:rsidR="00597A43" w:rsidRDefault="00597A43">
            <w:pPr>
              <w:jc w:val="right"/>
              <w:rPr>
                <w:color w:val="000000"/>
                <w:sz w:val="20"/>
                <w:szCs w:val="20"/>
              </w:rPr>
            </w:pPr>
            <w:r>
              <w:rPr>
                <w:color w:val="000000"/>
                <w:sz w:val="20"/>
                <w:szCs w:val="20"/>
              </w:rPr>
              <w:t>0.934</w:t>
            </w:r>
          </w:p>
        </w:tc>
        <w:tc>
          <w:tcPr>
            <w:tcW w:w="864" w:type="dxa"/>
            <w:tcBorders>
              <w:top w:val="nil"/>
              <w:left w:val="nil"/>
              <w:bottom w:val="nil"/>
              <w:right w:val="nil"/>
            </w:tcBorders>
            <w:shd w:val="clear" w:color="auto" w:fill="auto"/>
            <w:noWrap/>
            <w:vAlign w:val="bottom"/>
            <w:hideMark/>
          </w:tcPr>
          <w:p w14:paraId="55D1EB63" w14:textId="77777777" w:rsidR="00597A43" w:rsidRDefault="00597A43">
            <w:pPr>
              <w:jc w:val="right"/>
              <w:rPr>
                <w:color w:val="000000"/>
                <w:sz w:val="20"/>
                <w:szCs w:val="20"/>
              </w:rPr>
            </w:pPr>
            <w:r>
              <w:rPr>
                <w:color w:val="000000"/>
                <w:sz w:val="20"/>
                <w:szCs w:val="20"/>
              </w:rPr>
              <w:t>0.000</w:t>
            </w:r>
          </w:p>
        </w:tc>
      </w:tr>
      <w:tr w:rsidR="00597A43" w14:paraId="3F7AAD73" w14:textId="77777777" w:rsidTr="00597A43">
        <w:trPr>
          <w:trHeight w:val="320"/>
        </w:trPr>
        <w:tc>
          <w:tcPr>
            <w:tcW w:w="1152" w:type="dxa"/>
            <w:tcBorders>
              <w:top w:val="nil"/>
              <w:left w:val="nil"/>
              <w:bottom w:val="nil"/>
              <w:right w:val="nil"/>
            </w:tcBorders>
            <w:shd w:val="clear" w:color="auto" w:fill="auto"/>
            <w:noWrap/>
            <w:vAlign w:val="bottom"/>
            <w:hideMark/>
          </w:tcPr>
          <w:p w14:paraId="43E90AF6"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E565D67" w14:textId="77777777" w:rsidR="00597A43" w:rsidRDefault="00597A43">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24A10AF" w14:textId="77777777" w:rsidR="00597A43" w:rsidRDefault="00597A43">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5E6EE25D" w14:textId="77777777" w:rsidR="00597A43" w:rsidRDefault="00597A43">
            <w:pPr>
              <w:jc w:val="right"/>
              <w:rPr>
                <w:color w:val="000000"/>
                <w:sz w:val="20"/>
                <w:szCs w:val="20"/>
              </w:rPr>
            </w:pPr>
            <w:r>
              <w:rPr>
                <w:color w:val="000000"/>
                <w:sz w:val="20"/>
                <w:szCs w:val="20"/>
              </w:rPr>
              <w:t>0.834</w:t>
            </w:r>
          </w:p>
        </w:tc>
        <w:tc>
          <w:tcPr>
            <w:tcW w:w="864" w:type="dxa"/>
            <w:tcBorders>
              <w:top w:val="nil"/>
              <w:left w:val="nil"/>
              <w:bottom w:val="nil"/>
              <w:right w:val="nil"/>
            </w:tcBorders>
            <w:shd w:val="clear" w:color="auto" w:fill="auto"/>
            <w:noWrap/>
            <w:vAlign w:val="bottom"/>
            <w:hideMark/>
          </w:tcPr>
          <w:p w14:paraId="5EEEECFD"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F0692A2" w14:textId="77777777" w:rsidR="00597A43" w:rsidRDefault="00597A43">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0A3419D6" w14:textId="77777777" w:rsidR="00597A43" w:rsidRDefault="00597A43">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0BCFD713" w14:textId="77777777" w:rsidR="00597A43" w:rsidRDefault="00597A43">
            <w:pPr>
              <w:jc w:val="right"/>
              <w:rPr>
                <w:color w:val="000000"/>
                <w:sz w:val="20"/>
                <w:szCs w:val="20"/>
              </w:rPr>
            </w:pPr>
            <w:r>
              <w:rPr>
                <w:color w:val="000000"/>
                <w:sz w:val="20"/>
                <w:szCs w:val="20"/>
              </w:rPr>
              <w:t>0.000</w:t>
            </w:r>
          </w:p>
        </w:tc>
      </w:tr>
      <w:tr w:rsidR="00597A43" w14:paraId="2F4CD1D8" w14:textId="77777777" w:rsidTr="00597A43">
        <w:trPr>
          <w:trHeight w:val="320"/>
        </w:trPr>
        <w:tc>
          <w:tcPr>
            <w:tcW w:w="1152" w:type="dxa"/>
            <w:tcBorders>
              <w:top w:val="nil"/>
              <w:left w:val="nil"/>
              <w:bottom w:val="nil"/>
              <w:right w:val="nil"/>
            </w:tcBorders>
            <w:shd w:val="clear" w:color="auto" w:fill="auto"/>
            <w:noWrap/>
            <w:vAlign w:val="bottom"/>
            <w:hideMark/>
          </w:tcPr>
          <w:p w14:paraId="605CDB6F"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55B162D" w14:textId="77777777" w:rsidR="00597A43" w:rsidRDefault="00597A43">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26EA8EA" w14:textId="77777777" w:rsidR="00597A43" w:rsidRDefault="00597A43">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1A5320C8" w14:textId="77777777" w:rsidR="00597A43" w:rsidRDefault="00597A43">
            <w:pPr>
              <w:jc w:val="right"/>
              <w:rPr>
                <w:color w:val="000000"/>
                <w:sz w:val="20"/>
                <w:szCs w:val="20"/>
              </w:rPr>
            </w:pPr>
            <w:r>
              <w:rPr>
                <w:color w:val="000000"/>
                <w:sz w:val="20"/>
                <w:szCs w:val="20"/>
              </w:rPr>
              <w:t>0.861</w:t>
            </w:r>
          </w:p>
        </w:tc>
        <w:tc>
          <w:tcPr>
            <w:tcW w:w="864" w:type="dxa"/>
            <w:tcBorders>
              <w:top w:val="nil"/>
              <w:left w:val="nil"/>
              <w:bottom w:val="nil"/>
              <w:right w:val="nil"/>
            </w:tcBorders>
            <w:shd w:val="clear" w:color="auto" w:fill="auto"/>
            <w:noWrap/>
            <w:vAlign w:val="bottom"/>
            <w:hideMark/>
          </w:tcPr>
          <w:p w14:paraId="021D513B"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9C1FD3B" w14:textId="77777777" w:rsidR="00597A43" w:rsidRDefault="00597A43">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621C8E23" w14:textId="77777777" w:rsidR="00597A43" w:rsidRDefault="00597A43">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7C85AD0D" w14:textId="77777777" w:rsidR="00597A43" w:rsidRDefault="00597A43">
            <w:pPr>
              <w:jc w:val="right"/>
              <w:rPr>
                <w:color w:val="000000"/>
                <w:sz w:val="20"/>
                <w:szCs w:val="20"/>
              </w:rPr>
            </w:pPr>
            <w:r>
              <w:rPr>
                <w:color w:val="000000"/>
                <w:sz w:val="20"/>
                <w:szCs w:val="20"/>
              </w:rPr>
              <w:t>0.000</w:t>
            </w:r>
          </w:p>
        </w:tc>
      </w:tr>
      <w:tr w:rsidR="00597A43" w14:paraId="639B8746" w14:textId="77777777" w:rsidTr="00597A43">
        <w:trPr>
          <w:trHeight w:val="320"/>
        </w:trPr>
        <w:tc>
          <w:tcPr>
            <w:tcW w:w="1152" w:type="dxa"/>
            <w:tcBorders>
              <w:top w:val="nil"/>
              <w:left w:val="nil"/>
              <w:bottom w:val="nil"/>
              <w:right w:val="nil"/>
            </w:tcBorders>
            <w:shd w:val="clear" w:color="auto" w:fill="auto"/>
            <w:noWrap/>
            <w:vAlign w:val="bottom"/>
            <w:hideMark/>
          </w:tcPr>
          <w:p w14:paraId="311B2AB4"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A42100E" w14:textId="77777777" w:rsidR="00597A43" w:rsidRDefault="00597A43">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36EF307" w14:textId="77777777" w:rsidR="00597A43" w:rsidRDefault="00597A43">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626E3CD1" w14:textId="77777777" w:rsidR="00597A43" w:rsidRDefault="00597A43">
            <w:pPr>
              <w:jc w:val="right"/>
              <w:rPr>
                <w:color w:val="000000"/>
                <w:sz w:val="20"/>
                <w:szCs w:val="20"/>
              </w:rPr>
            </w:pPr>
            <w:r>
              <w:rPr>
                <w:color w:val="000000"/>
                <w:sz w:val="20"/>
                <w:szCs w:val="20"/>
              </w:rPr>
              <w:t>0.480</w:t>
            </w:r>
          </w:p>
        </w:tc>
        <w:tc>
          <w:tcPr>
            <w:tcW w:w="864" w:type="dxa"/>
            <w:tcBorders>
              <w:top w:val="nil"/>
              <w:left w:val="nil"/>
              <w:bottom w:val="nil"/>
              <w:right w:val="nil"/>
            </w:tcBorders>
            <w:shd w:val="clear" w:color="auto" w:fill="auto"/>
            <w:noWrap/>
            <w:vAlign w:val="bottom"/>
            <w:hideMark/>
          </w:tcPr>
          <w:p w14:paraId="3A1FFFA2" w14:textId="77777777" w:rsidR="00597A43" w:rsidRDefault="00597A43">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89EBE4B" w14:textId="77777777" w:rsidR="00597A43" w:rsidRDefault="00597A43">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7CF73848" w14:textId="77777777" w:rsidR="00597A43" w:rsidRDefault="00597A43">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333717DF" w14:textId="77777777" w:rsidR="00597A43" w:rsidRDefault="00597A43">
            <w:pPr>
              <w:jc w:val="right"/>
              <w:rPr>
                <w:color w:val="000000"/>
                <w:sz w:val="20"/>
                <w:szCs w:val="20"/>
              </w:rPr>
            </w:pPr>
            <w:r>
              <w:rPr>
                <w:color w:val="000000"/>
                <w:sz w:val="20"/>
                <w:szCs w:val="20"/>
              </w:rPr>
              <w:t>0.001</w:t>
            </w:r>
          </w:p>
        </w:tc>
      </w:tr>
      <w:tr w:rsidR="00597A43" w14:paraId="1244D631" w14:textId="77777777" w:rsidTr="00597A43">
        <w:trPr>
          <w:trHeight w:val="320"/>
        </w:trPr>
        <w:tc>
          <w:tcPr>
            <w:tcW w:w="1152" w:type="dxa"/>
            <w:tcBorders>
              <w:top w:val="nil"/>
              <w:left w:val="nil"/>
              <w:bottom w:val="nil"/>
              <w:right w:val="nil"/>
            </w:tcBorders>
            <w:shd w:val="clear" w:color="auto" w:fill="auto"/>
            <w:noWrap/>
            <w:vAlign w:val="bottom"/>
            <w:hideMark/>
          </w:tcPr>
          <w:p w14:paraId="60A16A49" w14:textId="77777777" w:rsidR="00597A43" w:rsidRDefault="00597A43">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B7754E7" w14:textId="77777777" w:rsidR="00597A43" w:rsidRDefault="00597A43">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C00E85A" w14:textId="77777777" w:rsidR="00597A43" w:rsidRDefault="00597A43">
            <w:pPr>
              <w:jc w:val="right"/>
              <w:rPr>
                <w:color w:val="000000"/>
                <w:sz w:val="20"/>
                <w:szCs w:val="20"/>
              </w:rPr>
            </w:pPr>
            <w:r>
              <w:rPr>
                <w:color w:val="000000"/>
                <w:sz w:val="20"/>
                <w:szCs w:val="20"/>
              </w:rPr>
              <w:t>-0.062</w:t>
            </w:r>
          </w:p>
        </w:tc>
        <w:tc>
          <w:tcPr>
            <w:tcW w:w="864" w:type="dxa"/>
            <w:tcBorders>
              <w:top w:val="nil"/>
              <w:left w:val="nil"/>
              <w:bottom w:val="nil"/>
              <w:right w:val="nil"/>
            </w:tcBorders>
            <w:shd w:val="clear" w:color="auto" w:fill="auto"/>
            <w:noWrap/>
            <w:vAlign w:val="bottom"/>
            <w:hideMark/>
          </w:tcPr>
          <w:p w14:paraId="69DE94A4" w14:textId="77777777" w:rsidR="00597A43" w:rsidRDefault="00597A43">
            <w:pPr>
              <w:jc w:val="right"/>
              <w:rPr>
                <w:color w:val="000000"/>
                <w:sz w:val="20"/>
                <w:szCs w:val="20"/>
              </w:rPr>
            </w:pPr>
            <w:r>
              <w:rPr>
                <w:color w:val="000000"/>
                <w:sz w:val="20"/>
                <w:szCs w:val="20"/>
              </w:rPr>
              <w:t>0.168</w:t>
            </w:r>
          </w:p>
        </w:tc>
        <w:tc>
          <w:tcPr>
            <w:tcW w:w="864" w:type="dxa"/>
            <w:tcBorders>
              <w:top w:val="nil"/>
              <w:left w:val="nil"/>
              <w:bottom w:val="nil"/>
              <w:right w:val="nil"/>
            </w:tcBorders>
            <w:shd w:val="clear" w:color="auto" w:fill="auto"/>
            <w:noWrap/>
            <w:vAlign w:val="bottom"/>
            <w:hideMark/>
          </w:tcPr>
          <w:p w14:paraId="1AF95084" w14:textId="77777777" w:rsidR="00597A43" w:rsidRDefault="00597A43">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699291DF" w14:textId="77777777" w:rsidR="00597A43" w:rsidRDefault="00597A43">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36F30183" w14:textId="77777777" w:rsidR="00597A43" w:rsidRDefault="00597A43">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238DCED7" w14:textId="77777777" w:rsidR="00597A43" w:rsidRDefault="00597A43">
            <w:pPr>
              <w:jc w:val="right"/>
              <w:rPr>
                <w:color w:val="000000"/>
                <w:sz w:val="20"/>
                <w:szCs w:val="20"/>
              </w:rPr>
            </w:pPr>
            <w:r>
              <w:rPr>
                <w:color w:val="000000"/>
                <w:sz w:val="20"/>
                <w:szCs w:val="20"/>
              </w:rPr>
              <w:t>0.000</w:t>
            </w:r>
          </w:p>
        </w:tc>
      </w:tr>
      <w:tr w:rsidR="00597A43" w14:paraId="09B37BB1"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5D9BF3C" w14:textId="77777777" w:rsidR="00597A43" w:rsidRDefault="00597A43">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3D8A4BCC" w14:textId="77777777" w:rsidR="00597A43" w:rsidRDefault="00597A43">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7D8A9345" w14:textId="77777777" w:rsidR="00597A43" w:rsidRDefault="00597A43">
            <w:pPr>
              <w:jc w:val="right"/>
              <w:rPr>
                <w:color w:val="000000"/>
                <w:sz w:val="20"/>
                <w:szCs w:val="20"/>
              </w:rPr>
            </w:pPr>
            <w:r>
              <w:rPr>
                <w:color w:val="000000"/>
                <w:sz w:val="20"/>
                <w:szCs w:val="20"/>
              </w:rPr>
              <w:t>-0.016</w:t>
            </w:r>
          </w:p>
        </w:tc>
        <w:tc>
          <w:tcPr>
            <w:tcW w:w="864" w:type="dxa"/>
            <w:tcBorders>
              <w:top w:val="nil"/>
              <w:left w:val="nil"/>
              <w:bottom w:val="single" w:sz="12" w:space="0" w:color="auto"/>
              <w:right w:val="nil"/>
            </w:tcBorders>
            <w:shd w:val="clear" w:color="auto" w:fill="auto"/>
            <w:noWrap/>
            <w:vAlign w:val="bottom"/>
            <w:hideMark/>
          </w:tcPr>
          <w:p w14:paraId="4840A6D1" w14:textId="77777777" w:rsidR="00597A43" w:rsidRDefault="00597A43">
            <w:pPr>
              <w:jc w:val="right"/>
              <w:rPr>
                <w:color w:val="000000"/>
                <w:sz w:val="20"/>
                <w:szCs w:val="20"/>
              </w:rPr>
            </w:pPr>
            <w:r>
              <w:rPr>
                <w:color w:val="000000"/>
                <w:sz w:val="20"/>
                <w:szCs w:val="20"/>
              </w:rPr>
              <w:t>0.808</w:t>
            </w:r>
          </w:p>
        </w:tc>
        <w:tc>
          <w:tcPr>
            <w:tcW w:w="864" w:type="dxa"/>
            <w:tcBorders>
              <w:top w:val="nil"/>
              <w:left w:val="nil"/>
              <w:bottom w:val="single" w:sz="12" w:space="0" w:color="auto"/>
              <w:right w:val="nil"/>
            </w:tcBorders>
            <w:shd w:val="clear" w:color="auto" w:fill="auto"/>
            <w:noWrap/>
            <w:vAlign w:val="bottom"/>
            <w:hideMark/>
          </w:tcPr>
          <w:p w14:paraId="734C775D" w14:textId="77777777" w:rsidR="00597A43" w:rsidRDefault="00597A43">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578C2A03" w14:textId="77777777" w:rsidR="00597A43" w:rsidRDefault="00597A43">
            <w:pPr>
              <w:jc w:val="right"/>
              <w:rPr>
                <w:color w:val="000000"/>
                <w:sz w:val="20"/>
                <w:szCs w:val="20"/>
              </w:rPr>
            </w:pPr>
            <w:r>
              <w:rPr>
                <w:color w:val="000000"/>
                <w:sz w:val="20"/>
                <w:szCs w:val="20"/>
              </w:rPr>
              <w:t>-0.003</w:t>
            </w:r>
          </w:p>
        </w:tc>
        <w:tc>
          <w:tcPr>
            <w:tcW w:w="864" w:type="dxa"/>
            <w:tcBorders>
              <w:top w:val="nil"/>
              <w:left w:val="nil"/>
              <w:bottom w:val="single" w:sz="12" w:space="0" w:color="auto"/>
              <w:right w:val="nil"/>
            </w:tcBorders>
            <w:shd w:val="clear" w:color="auto" w:fill="auto"/>
            <w:noWrap/>
            <w:vAlign w:val="bottom"/>
            <w:hideMark/>
          </w:tcPr>
          <w:p w14:paraId="37349F6A" w14:textId="77777777" w:rsidR="00597A43" w:rsidRDefault="00597A43">
            <w:pPr>
              <w:jc w:val="right"/>
              <w:rPr>
                <w:color w:val="000000"/>
                <w:sz w:val="20"/>
                <w:szCs w:val="20"/>
              </w:rPr>
            </w:pPr>
            <w:r>
              <w:rPr>
                <w:color w:val="000000"/>
                <w:sz w:val="20"/>
                <w:szCs w:val="20"/>
              </w:rPr>
              <w:t>0.934</w:t>
            </w:r>
          </w:p>
        </w:tc>
        <w:tc>
          <w:tcPr>
            <w:tcW w:w="864" w:type="dxa"/>
            <w:tcBorders>
              <w:top w:val="nil"/>
              <w:left w:val="nil"/>
              <w:bottom w:val="single" w:sz="12" w:space="0" w:color="auto"/>
              <w:right w:val="nil"/>
            </w:tcBorders>
            <w:shd w:val="clear" w:color="auto" w:fill="auto"/>
            <w:noWrap/>
            <w:vAlign w:val="bottom"/>
            <w:hideMark/>
          </w:tcPr>
          <w:p w14:paraId="78D475AE" w14:textId="77777777" w:rsidR="00597A43" w:rsidRDefault="00597A43">
            <w:pPr>
              <w:jc w:val="right"/>
              <w:rPr>
                <w:color w:val="000000"/>
                <w:sz w:val="20"/>
                <w:szCs w:val="20"/>
              </w:rPr>
            </w:pPr>
            <w:r>
              <w:rPr>
                <w:color w:val="000000"/>
                <w:sz w:val="20"/>
                <w:szCs w:val="20"/>
              </w:rPr>
              <w:t>0.000</w:t>
            </w:r>
          </w:p>
        </w:tc>
      </w:tr>
      <w:tr w:rsidR="00597A43" w14:paraId="374E5DA0"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459CE2EF" w14:textId="77777777" w:rsidR="00597A43" w:rsidRDefault="00597A43">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2EBAB60E" w14:textId="77777777" w:rsidR="00597A43" w:rsidRDefault="00597A4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BE6F8A6" w14:textId="77777777" w:rsidR="00597A43" w:rsidRDefault="00597A4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6DDCFAB" w14:textId="77777777" w:rsidR="00597A43" w:rsidRDefault="00597A4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674CB62" w14:textId="77777777" w:rsidR="00597A43" w:rsidRDefault="00597A4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9AB369C" w14:textId="77777777" w:rsidR="00597A43" w:rsidRDefault="00597A4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85AC780" w14:textId="77777777" w:rsidR="00597A43" w:rsidRDefault="00597A43">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DA4689E" w14:textId="77777777" w:rsidR="00597A43" w:rsidRDefault="00597A43">
            <w:pPr>
              <w:rPr>
                <w:sz w:val="20"/>
                <w:szCs w:val="20"/>
              </w:rPr>
            </w:pPr>
          </w:p>
        </w:tc>
      </w:tr>
    </w:tbl>
    <w:p w14:paraId="0A5E0DDA" w14:textId="04EBF38B" w:rsidR="00036330" w:rsidRDefault="00036330" w:rsidP="00BC5AB7">
      <w:pPr>
        <w:rPr>
          <w:rFonts w:ascii="Batang" w:eastAsia="Batang" w:hAnsi="Batang" w:cs="Batang"/>
          <w:color w:val="000000"/>
        </w:rPr>
      </w:pPr>
    </w:p>
    <w:p w14:paraId="6AEAC0BC" w14:textId="77777777" w:rsidR="00036330" w:rsidRDefault="00036330">
      <w:pPr>
        <w:rPr>
          <w:rFonts w:ascii="Batang" w:eastAsia="Batang" w:hAnsi="Batang" w:cs="Batang"/>
          <w:color w:val="000000"/>
        </w:rPr>
      </w:pPr>
      <w:r>
        <w:rPr>
          <w:rFonts w:ascii="Batang" w:eastAsia="Batang" w:hAnsi="Batang" w:cs="Batang"/>
          <w:color w:val="000000"/>
        </w:rPr>
        <w:br w:type="page"/>
      </w:r>
    </w:p>
    <w:p w14:paraId="36B31F4E" w14:textId="6FCDA9D7" w:rsidR="00857B4E" w:rsidRPr="004C58D5" w:rsidRDefault="00857B4E" w:rsidP="00857B4E">
      <w:pPr>
        <w:pStyle w:val="Heading1"/>
        <w:rPr>
          <w:rFonts w:ascii="Times New Roman" w:hAnsi="Times New Roman" w:cs="Times New Roman"/>
          <w:color w:val="000000" w:themeColor="text1"/>
          <w:sz w:val="24"/>
          <w:szCs w:val="24"/>
        </w:rPr>
      </w:pPr>
      <w:bookmarkStart w:id="81" w:name="_Toc155817748"/>
      <w:r w:rsidRPr="00B751D3">
        <w:rPr>
          <w:rFonts w:ascii="Times New Roman" w:hAnsi="Times New Roman" w:cs="Times New Roman"/>
          <w:b/>
          <w:bCs/>
          <w:color w:val="000000" w:themeColor="text1"/>
          <w:sz w:val="24"/>
          <w:szCs w:val="24"/>
        </w:rPr>
        <w:lastRenderedPageBreak/>
        <w:t>Table 2</w:t>
      </w:r>
      <w:r w:rsidR="0036523A" w:rsidRPr="00B751D3">
        <w:rPr>
          <w:rFonts w:ascii="Times New Roman" w:hAnsi="Times New Roman" w:cs="Times New Roman"/>
          <w:b/>
          <w:bCs/>
          <w:color w:val="000000" w:themeColor="text1"/>
          <w:sz w:val="24"/>
          <w:szCs w:val="24"/>
        </w:rPr>
        <w:t>8</w:t>
      </w:r>
      <w:r w:rsidRPr="00B751D3">
        <w:rPr>
          <w:rFonts w:ascii="Times New Roman" w:hAnsi="Times New Roman" w:cs="Times New Roman"/>
          <w:b/>
          <w:bCs/>
          <w:color w:val="000000" w:themeColor="text1"/>
          <w:sz w:val="24"/>
          <w:szCs w:val="24"/>
        </w:rPr>
        <w:t>a.</w:t>
      </w:r>
      <w:r>
        <w:rPr>
          <w:rFonts w:ascii="Times New Roman" w:hAnsi="Times New Roman" w:cs="Times New Roman"/>
          <w:color w:val="000000" w:themeColor="text1"/>
          <w:sz w:val="24"/>
          <w:szCs w:val="24"/>
        </w:rPr>
        <w:t xml:space="preserve"> Results examining the relationship between whole-brain Shen modularity and urbanicity obtained from bifactor modeling and </w:t>
      </w:r>
      <w:r w:rsidR="00CE2A05">
        <w:rPr>
          <w:rFonts w:ascii="Times New Roman" w:hAnsi="Times New Roman" w:cs="Times New Roman"/>
          <w:color w:val="000000" w:themeColor="text1"/>
          <w:sz w:val="24"/>
          <w:szCs w:val="24"/>
        </w:rPr>
        <w:t>pollution (NO2</w:t>
      </w:r>
      <w:r w:rsidR="00DB2FAA">
        <w:rPr>
          <w:rFonts w:ascii="Times New Roman" w:hAnsi="Times New Roman" w:cs="Times New Roman"/>
          <w:color w:val="000000" w:themeColor="text1"/>
          <w:sz w:val="24"/>
          <w:szCs w:val="24"/>
        </w:rPr>
        <w:t xml:space="preserve"> level</w:t>
      </w:r>
      <w:r w:rsidR="00CE2A05">
        <w:rPr>
          <w:rFonts w:ascii="Times New Roman" w:hAnsi="Times New Roman" w:cs="Times New Roman"/>
          <w:color w:val="000000" w:themeColor="text1"/>
          <w:sz w:val="24"/>
          <w:szCs w:val="24"/>
        </w:rPr>
        <w:t>)</w:t>
      </w:r>
      <w:bookmarkEnd w:id="81"/>
    </w:p>
    <w:tbl>
      <w:tblPr>
        <w:tblW w:w="7363" w:type="dxa"/>
        <w:tblLook w:val="04A0" w:firstRow="1" w:lastRow="0" w:firstColumn="1" w:lastColumn="0" w:noHBand="0" w:noVBand="1"/>
      </w:tblPr>
      <w:tblGrid>
        <w:gridCol w:w="1152"/>
        <w:gridCol w:w="1027"/>
        <w:gridCol w:w="864"/>
        <w:gridCol w:w="864"/>
        <w:gridCol w:w="864"/>
        <w:gridCol w:w="864"/>
        <w:gridCol w:w="864"/>
        <w:gridCol w:w="864"/>
      </w:tblGrid>
      <w:tr w:rsidR="003F7D97" w14:paraId="32DFE4C3"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36374B34" w14:textId="77777777" w:rsidR="003F7D97" w:rsidRDefault="003F7D97">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024CCADC" w14:textId="77777777" w:rsidR="003F7D97" w:rsidRDefault="003F7D97">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570EF98A" w14:textId="77777777" w:rsidR="003F7D97" w:rsidRDefault="003F7D97">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748815FF" w14:textId="77777777" w:rsidR="003F7D97" w:rsidRDefault="003F7D97">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23C0D9F0" w14:textId="77777777" w:rsidR="003F7D97" w:rsidRDefault="003F7D97">
            <w:pPr>
              <w:rPr>
                <w:color w:val="000000"/>
                <w:sz w:val="20"/>
                <w:szCs w:val="20"/>
              </w:rPr>
            </w:pPr>
          </w:p>
        </w:tc>
        <w:tc>
          <w:tcPr>
            <w:tcW w:w="864" w:type="dxa"/>
            <w:tcBorders>
              <w:top w:val="nil"/>
              <w:left w:val="nil"/>
              <w:bottom w:val="single" w:sz="12" w:space="0" w:color="auto"/>
              <w:right w:val="nil"/>
            </w:tcBorders>
            <w:shd w:val="clear" w:color="auto" w:fill="auto"/>
            <w:noWrap/>
            <w:vAlign w:val="bottom"/>
            <w:hideMark/>
          </w:tcPr>
          <w:p w14:paraId="3875A13B" w14:textId="77777777" w:rsidR="003F7D97" w:rsidRDefault="003F7D97">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3B7347F" w14:textId="77777777" w:rsidR="003F7D97" w:rsidRDefault="003F7D97">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6659A5D" w14:textId="77777777" w:rsidR="003F7D97" w:rsidRDefault="003F7D97">
            <w:pPr>
              <w:rPr>
                <w:sz w:val="20"/>
                <w:szCs w:val="20"/>
              </w:rPr>
            </w:pPr>
          </w:p>
        </w:tc>
      </w:tr>
      <w:tr w:rsidR="003F7D97" w14:paraId="2E53A3C4" w14:textId="77777777" w:rsidTr="00F132FA">
        <w:trPr>
          <w:trHeight w:val="340"/>
        </w:trPr>
        <w:tc>
          <w:tcPr>
            <w:tcW w:w="1152" w:type="dxa"/>
            <w:tcBorders>
              <w:top w:val="single" w:sz="12" w:space="0" w:color="auto"/>
              <w:left w:val="nil"/>
              <w:bottom w:val="single" w:sz="12" w:space="0" w:color="auto"/>
              <w:right w:val="nil"/>
            </w:tcBorders>
            <w:shd w:val="clear" w:color="auto" w:fill="auto"/>
            <w:noWrap/>
            <w:vAlign w:val="center"/>
            <w:hideMark/>
          </w:tcPr>
          <w:p w14:paraId="5257D3CC" w14:textId="77777777" w:rsidR="003F7D97" w:rsidRDefault="003F7D97" w:rsidP="003F7D97">
            <w:pPr>
              <w:rPr>
                <w:color w:val="000000"/>
                <w:sz w:val="20"/>
                <w:szCs w:val="20"/>
              </w:rPr>
            </w:pPr>
            <w:r>
              <w:rPr>
                <w:color w:val="000000"/>
                <w:sz w:val="20"/>
                <w:szCs w:val="20"/>
              </w:rPr>
              <w:t>Task</w:t>
            </w:r>
          </w:p>
        </w:tc>
        <w:tc>
          <w:tcPr>
            <w:tcW w:w="1027" w:type="dxa"/>
            <w:tcBorders>
              <w:top w:val="single" w:sz="12" w:space="0" w:color="auto"/>
              <w:left w:val="nil"/>
              <w:bottom w:val="single" w:sz="12" w:space="0" w:color="auto"/>
              <w:right w:val="nil"/>
            </w:tcBorders>
            <w:shd w:val="clear" w:color="auto" w:fill="auto"/>
            <w:noWrap/>
            <w:vAlign w:val="center"/>
            <w:hideMark/>
          </w:tcPr>
          <w:p w14:paraId="0E65137A" w14:textId="77777777" w:rsidR="003F7D97" w:rsidRDefault="003F7D97" w:rsidP="003F7D97">
            <w:pPr>
              <w:rPr>
                <w:color w:val="000000"/>
                <w:sz w:val="20"/>
                <w:szCs w:val="20"/>
              </w:rPr>
            </w:pPr>
            <w:r>
              <w:rPr>
                <w:color w:val="000000"/>
                <w:sz w:val="20"/>
                <w:szCs w:val="20"/>
              </w:rPr>
              <w:t>Threshold</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56A8E50B" w14:textId="77777777" w:rsidR="003F7D97" w:rsidRDefault="003F7D97" w:rsidP="003F7D97">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2867B9E7" w14:textId="3E4695D3" w:rsidR="003F7D97" w:rsidRDefault="003F7D97" w:rsidP="003F7D97">
            <w:pPr>
              <w:jc w:val="center"/>
              <w:rPr>
                <w:color w:val="000000"/>
                <w:sz w:val="20"/>
                <w:szCs w:val="20"/>
              </w:rPr>
            </w:pPr>
            <w:r>
              <w:rPr>
                <w:color w:val="000000"/>
                <w:sz w:val="20"/>
                <w:szCs w:val="20"/>
              </w:rPr>
              <w:t>Pollution (NO2</w:t>
            </w:r>
            <w:r w:rsidR="003E40AE">
              <w:rPr>
                <w:color w:val="000000"/>
                <w:sz w:val="20"/>
                <w:szCs w:val="20"/>
              </w:rPr>
              <w:t xml:space="preserve"> level</w:t>
            </w:r>
            <w:r>
              <w:rPr>
                <w:color w:val="000000"/>
                <w:sz w:val="20"/>
                <w:szCs w:val="20"/>
              </w:rPr>
              <w:t>)</w:t>
            </w:r>
          </w:p>
        </w:tc>
      </w:tr>
      <w:tr w:rsidR="003F7D97" w14:paraId="4AA1703E" w14:textId="77777777" w:rsidTr="00F132FA">
        <w:trPr>
          <w:trHeight w:val="340"/>
        </w:trPr>
        <w:tc>
          <w:tcPr>
            <w:tcW w:w="1152" w:type="dxa"/>
            <w:tcBorders>
              <w:top w:val="single" w:sz="12" w:space="0" w:color="auto"/>
              <w:left w:val="nil"/>
              <w:bottom w:val="single" w:sz="12" w:space="0" w:color="auto"/>
              <w:right w:val="nil"/>
            </w:tcBorders>
            <w:shd w:val="clear" w:color="auto" w:fill="auto"/>
            <w:noWrap/>
            <w:vAlign w:val="bottom"/>
            <w:hideMark/>
          </w:tcPr>
          <w:p w14:paraId="59BE6FAB" w14:textId="77777777" w:rsidR="003F7D97" w:rsidRDefault="003F7D97">
            <w:pPr>
              <w:rPr>
                <w:color w:val="000000"/>
                <w:sz w:val="20"/>
                <w:szCs w:val="20"/>
              </w:rPr>
            </w:pPr>
            <w:r>
              <w:rPr>
                <w:color w:val="000000"/>
                <w:sz w:val="20"/>
                <w:szCs w:val="20"/>
              </w:rPr>
              <w:t> </w:t>
            </w:r>
          </w:p>
        </w:tc>
        <w:tc>
          <w:tcPr>
            <w:tcW w:w="1027" w:type="dxa"/>
            <w:tcBorders>
              <w:top w:val="single" w:sz="12" w:space="0" w:color="auto"/>
              <w:left w:val="nil"/>
              <w:bottom w:val="single" w:sz="12" w:space="0" w:color="auto"/>
              <w:right w:val="nil"/>
            </w:tcBorders>
            <w:shd w:val="clear" w:color="auto" w:fill="auto"/>
            <w:noWrap/>
            <w:vAlign w:val="bottom"/>
            <w:hideMark/>
          </w:tcPr>
          <w:p w14:paraId="79CEC850" w14:textId="77777777" w:rsidR="003F7D97" w:rsidRDefault="003F7D97">
            <w:pPr>
              <w:rPr>
                <w:color w:val="000000"/>
                <w:sz w:val="20"/>
                <w:szCs w:val="20"/>
              </w:rPr>
            </w:pPr>
            <w:r>
              <w:rPr>
                <w:color w:val="000000"/>
                <w:sz w:val="20"/>
                <w:szCs w:val="20"/>
              </w:rPr>
              <w:t> </w:t>
            </w:r>
          </w:p>
        </w:tc>
        <w:tc>
          <w:tcPr>
            <w:tcW w:w="864" w:type="dxa"/>
            <w:tcBorders>
              <w:top w:val="single" w:sz="12" w:space="0" w:color="auto"/>
              <w:left w:val="nil"/>
              <w:bottom w:val="single" w:sz="12" w:space="0" w:color="auto"/>
              <w:right w:val="nil"/>
            </w:tcBorders>
            <w:shd w:val="clear" w:color="auto" w:fill="auto"/>
            <w:noWrap/>
            <w:vAlign w:val="bottom"/>
            <w:hideMark/>
          </w:tcPr>
          <w:p w14:paraId="0CE79310" w14:textId="77777777" w:rsidR="003F7D97" w:rsidRDefault="003F7D97">
            <w:pPr>
              <w:jc w:val="center"/>
              <w:rPr>
                <w:color w:val="000000"/>
                <w:sz w:val="20"/>
                <w:szCs w:val="20"/>
              </w:rPr>
            </w:pPr>
            <w:r>
              <w:rPr>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bottom"/>
            <w:hideMark/>
          </w:tcPr>
          <w:p w14:paraId="2B0172CE" w14:textId="77777777" w:rsidR="003F7D97" w:rsidRDefault="003F7D97">
            <w:pPr>
              <w:jc w:val="center"/>
              <w:rPr>
                <w:color w:val="000000"/>
                <w:sz w:val="20"/>
                <w:szCs w:val="20"/>
              </w:rPr>
            </w:pPr>
            <w:r>
              <w:rPr>
                <w:color w:val="000000"/>
                <w:sz w:val="20"/>
                <w:szCs w:val="20"/>
              </w:rPr>
              <w:t>pfdr</w:t>
            </w:r>
          </w:p>
        </w:tc>
        <w:tc>
          <w:tcPr>
            <w:tcW w:w="864" w:type="dxa"/>
            <w:tcBorders>
              <w:top w:val="single" w:sz="12" w:space="0" w:color="auto"/>
              <w:left w:val="nil"/>
              <w:bottom w:val="single" w:sz="12" w:space="0" w:color="auto"/>
              <w:right w:val="nil"/>
            </w:tcBorders>
            <w:shd w:val="clear" w:color="auto" w:fill="auto"/>
            <w:noWrap/>
            <w:vAlign w:val="bottom"/>
            <w:hideMark/>
          </w:tcPr>
          <w:p w14:paraId="719DFFD5" w14:textId="77777777" w:rsidR="003F7D97" w:rsidRDefault="003F7D97">
            <w:pPr>
              <w:jc w:val="center"/>
              <w:rPr>
                <w:color w:val="000000"/>
                <w:sz w:val="20"/>
                <w:szCs w:val="20"/>
              </w:rPr>
            </w:pPr>
            <w:r>
              <w:rPr>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bottom"/>
            <w:hideMark/>
          </w:tcPr>
          <w:p w14:paraId="556C74A8" w14:textId="77777777" w:rsidR="003F7D97" w:rsidRDefault="003F7D97">
            <w:pPr>
              <w:jc w:val="center"/>
              <w:rPr>
                <w:color w:val="000000"/>
                <w:sz w:val="20"/>
                <w:szCs w:val="20"/>
              </w:rPr>
            </w:pPr>
            <w:r>
              <w:rPr>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bottom"/>
            <w:hideMark/>
          </w:tcPr>
          <w:p w14:paraId="3CC4289F" w14:textId="77777777" w:rsidR="003F7D97" w:rsidRDefault="003F7D97">
            <w:pPr>
              <w:jc w:val="center"/>
              <w:rPr>
                <w:color w:val="000000"/>
                <w:sz w:val="20"/>
                <w:szCs w:val="20"/>
              </w:rPr>
            </w:pPr>
            <w:r>
              <w:rPr>
                <w:color w:val="000000"/>
                <w:sz w:val="20"/>
                <w:szCs w:val="20"/>
              </w:rPr>
              <w:t>pfdr</w:t>
            </w:r>
          </w:p>
        </w:tc>
        <w:tc>
          <w:tcPr>
            <w:tcW w:w="864" w:type="dxa"/>
            <w:tcBorders>
              <w:top w:val="single" w:sz="12" w:space="0" w:color="auto"/>
              <w:left w:val="nil"/>
              <w:bottom w:val="single" w:sz="12" w:space="0" w:color="auto"/>
              <w:right w:val="nil"/>
            </w:tcBorders>
            <w:shd w:val="clear" w:color="auto" w:fill="auto"/>
            <w:noWrap/>
            <w:vAlign w:val="bottom"/>
            <w:hideMark/>
          </w:tcPr>
          <w:p w14:paraId="4C574290" w14:textId="77777777" w:rsidR="003F7D97" w:rsidRDefault="003F7D97">
            <w:pPr>
              <w:jc w:val="center"/>
              <w:rPr>
                <w:color w:val="000000"/>
                <w:sz w:val="20"/>
                <w:szCs w:val="20"/>
              </w:rPr>
            </w:pPr>
            <w:r>
              <w:rPr>
                <w:color w:val="000000"/>
                <w:sz w:val="20"/>
                <w:szCs w:val="20"/>
              </w:rPr>
              <w:t>R2</w:t>
            </w:r>
          </w:p>
        </w:tc>
      </w:tr>
      <w:tr w:rsidR="003F7D97" w14:paraId="620D726E"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2E5BE3E0" w14:textId="77777777" w:rsidR="003F7D97" w:rsidRDefault="003F7D97">
            <w:pPr>
              <w:rPr>
                <w:color w:val="000000"/>
                <w:sz w:val="20"/>
                <w:szCs w:val="20"/>
              </w:rPr>
            </w:pPr>
            <w:r>
              <w:rPr>
                <w:color w:val="000000"/>
                <w:sz w:val="20"/>
                <w:szCs w:val="20"/>
              </w:rPr>
              <w:t>Rest</w:t>
            </w:r>
          </w:p>
        </w:tc>
        <w:tc>
          <w:tcPr>
            <w:tcW w:w="1027" w:type="dxa"/>
            <w:tcBorders>
              <w:top w:val="single" w:sz="12" w:space="0" w:color="auto"/>
              <w:left w:val="nil"/>
              <w:bottom w:val="nil"/>
              <w:right w:val="nil"/>
            </w:tcBorders>
            <w:shd w:val="clear" w:color="auto" w:fill="auto"/>
            <w:noWrap/>
            <w:vAlign w:val="bottom"/>
            <w:hideMark/>
          </w:tcPr>
          <w:p w14:paraId="1641CAB0" w14:textId="77777777" w:rsidR="003F7D97" w:rsidRDefault="003F7D97">
            <w:pPr>
              <w:rPr>
                <w:color w:val="000000"/>
                <w:sz w:val="20"/>
                <w:szCs w:val="20"/>
              </w:rPr>
            </w:pPr>
            <w:r>
              <w:rPr>
                <w:color w:val="000000"/>
                <w:sz w:val="20"/>
                <w:szCs w:val="20"/>
              </w:rPr>
              <w:t>10%</w:t>
            </w:r>
          </w:p>
        </w:tc>
        <w:tc>
          <w:tcPr>
            <w:tcW w:w="864" w:type="dxa"/>
            <w:tcBorders>
              <w:top w:val="single" w:sz="12" w:space="0" w:color="auto"/>
              <w:left w:val="nil"/>
              <w:bottom w:val="nil"/>
              <w:right w:val="nil"/>
            </w:tcBorders>
            <w:shd w:val="clear" w:color="auto" w:fill="auto"/>
            <w:noWrap/>
            <w:vAlign w:val="bottom"/>
            <w:hideMark/>
          </w:tcPr>
          <w:p w14:paraId="75099242" w14:textId="77777777" w:rsidR="003F7D97" w:rsidRDefault="003F7D97">
            <w:pPr>
              <w:jc w:val="right"/>
              <w:rPr>
                <w:b/>
                <w:bCs/>
                <w:color w:val="000000"/>
                <w:sz w:val="20"/>
                <w:szCs w:val="20"/>
              </w:rPr>
            </w:pPr>
            <w:r>
              <w:rPr>
                <w:b/>
                <w:bCs/>
                <w:color w:val="000000"/>
                <w:sz w:val="20"/>
                <w:szCs w:val="20"/>
              </w:rPr>
              <w:t>-0.069</w:t>
            </w:r>
          </w:p>
        </w:tc>
        <w:tc>
          <w:tcPr>
            <w:tcW w:w="864" w:type="dxa"/>
            <w:tcBorders>
              <w:top w:val="single" w:sz="12" w:space="0" w:color="auto"/>
              <w:left w:val="nil"/>
              <w:bottom w:val="nil"/>
              <w:right w:val="nil"/>
            </w:tcBorders>
            <w:shd w:val="clear" w:color="auto" w:fill="auto"/>
            <w:noWrap/>
            <w:vAlign w:val="bottom"/>
            <w:hideMark/>
          </w:tcPr>
          <w:p w14:paraId="0B3CE365" w14:textId="77777777" w:rsidR="003F7D97" w:rsidRDefault="003F7D97">
            <w:pPr>
              <w:jc w:val="right"/>
              <w:rPr>
                <w:b/>
                <w:bCs/>
                <w:color w:val="000000"/>
                <w:sz w:val="20"/>
                <w:szCs w:val="20"/>
              </w:rPr>
            </w:pPr>
            <w:r>
              <w:rPr>
                <w:b/>
                <w:bCs/>
                <w:color w:val="000000"/>
                <w:sz w:val="20"/>
                <w:szCs w:val="20"/>
              </w:rPr>
              <w:t>0.004</w:t>
            </w:r>
          </w:p>
        </w:tc>
        <w:tc>
          <w:tcPr>
            <w:tcW w:w="864" w:type="dxa"/>
            <w:tcBorders>
              <w:top w:val="single" w:sz="12" w:space="0" w:color="auto"/>
              <w:left w:val="nil"/>
              <w:bottom w:val="nil"/>
              <w:right w:val="nil"/>
            </w:tcBorders>
            <w:shd w:val="clear" w:color="auto" w:fill="auto"/>
            <w:noWrap/>
            <w:vAlign w:val="bottom"/>
            <w:hideMark/>
          </w:tcPr>
          <w:p w14:paraId="39EC3F15" w14:textId="77777777" w:rsidR="003F7D97" w:rsidRDefault="003F7D97">
            <w:pPr>
              <w:jc w:val="right"/>
              <w:rPr>
                <w:b/>
                <w:bCs/>
                <w:color w:val="000000"/>
                <w:sz w:val="20"/>
                <w:szCs w:val="20"/>
              </w:rPr>
            </w:pPr>
            <w:r>
              <w:rPr>
                <w:b/>
                <w:bCs/>
                <w:color w:val="000000"/>
                <w:sz w:val="20"/>
                <w:szCs w:val="20"/>
              </w:rPr>
              <w:t>0.005</w:t>
            </w:r>
          </w:p>
        </w:tc>
        <w:tc>
          <w:tcPr>
            <w:tcW w:w="864" w:type="dxa"/>
            <w:tcBorders>
              <w:top w:val="single" w:sz="12" w:space="0" w:color="auto"/>
              <w:left w:val="nil"/>
              <w:bottom w:val="nil"/>
              <w:right w:val="nil"/>
            </w:tcBorders>
            <w:shd w:val="clear" w:color="auto" w:fill="auto"/>
            <w:noWrap/>
            <w:vAlign w:val="bottom"/>
            <w:hideMark/>
          </w:tcPr>
          <w:p w14:paraId="373CD49B" w14:textId="77777777" w:rsidR="003F7D97" w:rsidRDefault="003F7D97">
            <w:pPr>
              <w:jc w:val="right"/>
              <w:rPr>
                <w:b/>
                <w:bCs/>
                <w:color w:val="000000"/>
                <w:sz w:val="20"/>
                <w:szCs w:val="20"/>
              </w:rPr>
            </w:pPr>
            <w:r>
              <w:rPr>
                <w:b/>
                <w:bCs/>
                <w:color w:val="000000"/>
                <w:sz w:val="20"/>
                <w:szCs w:val="20"/>
              </w:rPr>
              <w:t>-0.076</w:t>
            </w:r>
          </w:p>
        </w:tc>
        <w:tc>
          <w:tcPr>
            <w:tcW w:w="864" w:type="dxa"/>
            <w:tcBorders>
              <w:top w:val="single" w:sz="12" w:space="0" w:color="auto"/>
              <w:left w:val="nil"/>
              <w:bottom w:val="nil"/>
              <w:right w:val="nil"/>
            </w:tcBorders>
            <w:shd w:val="clear" w:color="auto" w:fill="auto"/>
            <w:noWrap/>
            <w:vAlign w:val="bottom"/>
            <w:hideMark/>
          </w:tcPr>
          <w:p w14:paraId="33B51F31" w14:textId="77777777" w:rsidR="003F7D97" w:rsidRDefault="003F7D97">
            <w:pPr>
              <w:jc w:val="right"/>
              <w:rPr>
                <w:b/>
                <w:bCs/>
                <w:color w:val="000000"/>
                <w:sz w:val="20"/>
                <w:szCs w:val="20"/>
              </w:rPr>
            </w:pPr>
            <w:r>
              <w:rPr>
                <w:b/>
                <w:bCs/>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467A6F52" w14:textId="77777777" w:rsidR="003F7D97" w:rsidRDefault="003F7D97">
            <w:pPr>
              <w:jc w:val="right"/>
              <w:rPr>
                <w:b/>
                <w:bCs/>
                <w:color w:val="000000"/>
                <w:sz w:val="20"/>
                <w:szCs w:val="20"/>
              </w:rPr>
            </w:pPr>
            <w:r>
              <w:rPr>
                <w:b/>
                <w:bCs/>
                <w:color w:val="000000"/>
                <w:sz w:val="20"/>
                <w:szCs w:val="20"/>
              </w:rPr>
              <w:t>0.006</w:t>
            </w:r>
          </w:p>
        </w:tc>
      </w:tr>
      <w:tr w:rsidR="003F7D97" w14:paraId="1FB71EAB" w14:textId="77777777" w:rsidTr="003F7D97">
        <w:trPr>
          <w:trHeight w:val="320"/>
        </w:trPr>
        <w:tc>
          <w:tcPr>
            <w:tcW w:w="1152" w:type="dxa"/>
            <w:tcBorders>
              <w:top w:val="nil"/>
              <w:left w:val="nil"/>
              <w:bottom w:val="nil"/>
              <w:right w:val="nil"/>
            </w:tcBorders>
            <w:shd w:val="clear" w:color="auto" w:fill="auto"/>
            <w:noWrap/>
            <w:vAlign w:val="bottom"/>
            <w:hideMark/>
          </w:tcPr>
          <w:p w14:paraId="38EBD767" w14:textId="77777777" w:rsidR="003F7D97" w:rsidRDefault="003F7D97">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4AB36468" w14:textId="77777777" w:rsidR="003F7D97" w:rsidRDefault="003F7D97">
            <w:pPr>
              <w:rPr>
                <w:color w:val="000000"/>
                <w:sz w:val="20"/>
                <w:szCs w:val="20"/>
              </w:rPr>
            </w:pPr>
            <w:r>
              <w:rPr>
                <w:color w:val="000000"/>
                <w:sz w:val="20"/>
                <w:szCs w:val="20"/>
              </w:rPr>
              <w:t>17%</w:t>
            </w:r>
          </w:p>
        </w:tc>
        <w:tc>
          <w:tcPr>
            <w:tcW w:w="864" w:type="dxa"/>
            <w:tcBorders>
              <w:top w:val="nil"/>
              <w:left w:val="nil"/>
              <w:bottom w:val="nil"/>
              <w:right w:val="nil"/>
            </w:tcBorders>
            <w:shd w:val="clear" w:color="auto" w:fill="auto"/>
            <w:noWrap/>
            <w:vAlign w:val="bottom"/>
            <w:hideMark/>
          </w:tcPr>
          <w:p w14:paraId="5F1FC963" w14:textId="77777777" w:rsidR="003F7D97" w:rsidRDefault="003F7D97">
            <w:pPr>
              <w:jc w:val="right"/>
              <w:rPr>
                <w:b/>
                <w:bCs/>
                <w:color w:val="000000"/>
                <w:sz w:val="20"/>
                <w:szCs w:val="20"/>
              </w:rPr>
            </w:pPr>
            <w:r>
              <w:rPr>
                <w:b/>
                <w:bCs/>
                <w:color w:val="000000"/>
                <w:sz w:val="20"/>
                <w:szCs w:val="20"/>
              </w:rPr>
              <w:t>-0.067</w:t>
            </w:r>
          </w:p>
        </w:tc>
        <w:tc>
          <w:tcPr>
            <w:tcW w:w="864" w:type="dxa"/>
            <w:tcBorders>
              <w:top w:val="nil"/>
              <w:left w:val="nil"/>
              <w:bottom w:val="nil"/>
              <w:right w:val="nil"/>
            </w:tcBorders>
            <w:shd w:val="clear" w:color="auto" w:fill="auto"/>
            <w:noWrap/>
            <w:vAlign w:val="bottom"/>
            <w:hideMark/>
          </w:tcPr>
          <w:p w14:paraId="617DD279" w14:textId="77777777" w:rsidR="003F7D97" w:rsidRDefault="003F7D97">
            <w:pPr>
              <w:jc w:val="right"/>
              <w:rPr>
                <w:b/>
                <w:bCs/>
                <w:color w:val="000000"/>
                <w:sz w:val="20"/>
                <w:szCs w:val="20"/>
              </w:rPr>
            </w:pPr>
            <w:r>
              <w:rPr>
                <w:b/>
                <w:bCs/>
                <w:color w:val="000000"/>
                <w:sz w:val="20"/>
                <w:szCs w:val="20"/>
              </w:rPr>
              <w:t>0.004</w:t>
            </w:r>
          </w:p>
        </w:tc>
        <w:tc>
          <w:tcPr>
            <w:tcW w:w="864" w:type="dxa"/>
            <w:tcBorders>
              <w:top w:val="nil"/>
              <w:left w:val="nil"/>
              <w:bottom w:val="nil"/>
              <w:right w:val="nil"/>
            </w:tcBorders>
            <w:shd w:val="clear" w:color="auto" w:fill="auto"/>
            <w:noWrap/>
            <w:vAlign w:val="bottom"/>
            <w:hideMark/>
          </w:tcPr>
          <w:p w14:paraId="3300614C" w14:textId="77777777" w:rsidR="003F7D97" w:rsidRDefault="003F7D97">
            <w:pPr>
              <w:jc w:val="right"/>
              <w:rPr>
                <w:b/>
                <w:bCs/>
                <w:color w:val="000000"/>
                <w:sz w:val="20"/>
                <w:szCs w:val="20"/>
              </w:rPr>
            </w:pPr>
            <w:r>
              <w:rPr>
                <w:b/>
                <w:bCs/>
                <w:color w:val="000000"/>
                <w:sz w:val="20"/>
                <w:szCs w:val="20"/>
              </w:rPr>
              <w:t>0.004</w:t>
            </w:r>
          </w:p>
        </w:tc>
        <w:tc>
          <w:tcPr>
            <w:tcW w:w="864" w:type="dxa"/>
            <w:tcBorders>
              <w:top w:val="nil"/>
              <w:left w:val="nil"/>
              <w:bottom w:val="nil"/>
              <w:right w:val="nil"/>
            </w:tcBorders>
            <w:shd w:val="clear" w:color="auto" w:fill="auto"/>
            <w:noWrap/>
            <w:vAlign w:val="bottom"/>
            <w:hideMark/>
          </w:tcPr>
          <w:p w14:paraId="30A16552" w14:textId="77777777" w:rsidR="003F7D97" w:rsidRDefault="003F7D97">
            <w:pPr>
              <w:jc w:val="right"/>
              <w:rPr>
                <w:b/>
                <w:bCs/>
                <w:color w:val="000000"/>
                <w:sz w:val="20"/>
                <w:szCs w:val="20"/>
              </w:rPr>
            </w:pPr>
            <w:r>
              <w:rPr>
                <w:b/>
                <w:bCs/>
                <w:color w:val="000000"/>
                <w:sz w:val="20"/>
                <w:szCs w:val="20"/>
              </w:rPr>
              <w:t>-0.076</w:t>
            </w:r>
          </w:p>
        </w:tc>
        <w:tc>
          <w:tcPr>
            <w:tcW w:w="864" w:type="dxa"/>
            <w:tcBorders>
              <w:top w:val="nil"/>
              <w:left w:val="nil"/>
              <w:bottom w:val="nil"/>
              <w:right w:val="nil"/>
            </w:tcBorders>
            <w:shd w:val="clear" w:color="auto" w:fill="auto"/>
            <w:noWrap/>
            <w:vAlign w:val="bottom"/>
            <w:hideMark/>
          </w:tcPr>
          <w:p w14:paraId="3AB8C3EB" w14:textId="77777777" w:rsidR="003F7D97" w:rsidRDefault="003F7D97">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5D40F300" w14:textId="77777777" w:rsidR="003F7D97" w:rsidRDefault="003F7D97">
            <w:pPr>
              <w:jc w:val="right"/>
              <w:rPr>
                <w:b/>
                <w:bCs/>
                <w:color w:val="000000"/>
                <w:sz w:val="20"/>
                <w:szCs w:val="20"/>
              </w:rPr>
            </w:pPr>
            <w:r>
              <w:rPr>
                <w:b/>
                <w:bCs/>
                <w:color w:val="000000"/>
                <w:sz w:val="20"/>
                <w:szCs w:val="20"/>
              </w:rPr>
              <w:t>0.006</w:t>
            </w:r>
          </w:p>
        </w:tc>
      </w:tr>
      <w:tr w:rsidR="003F7D97" w14:paraId="3F9FF2DF" w14:textId="77777777" w:rsidTr="003F7D97">
        <w:trPr>
          <w:trHeight w:val="320"/>
        </w:trPr>
        <w:tc>
          <w:tcPr>
            <w:tcW w:w="1152" w:type="dxa"/>
            <w:tcBorders>
              <w:top w:val="nil"/>
              <w:left w:val="nil"/>
              <w:bottom w:val="nil"/>
              <w:right w:val="nil"/>
            </w:tcBorders>
            <w:shd w:val="clear" w:color="auto" w:fill="auto"/>
            <w:noWrap/>
            <w:vAlign w:val="bottom"/>
            <w:hideMark/>
          </w:tcPr>
          <w:p w14:paraId="4F204D87" w14:textId="77777777" w:rsidR="003F7D97" w:rsidRDefault="003F7D97">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254B11DB" w14:textId="77777777" w:rsidR="003F7D97" w:rsidRDefault="003F7D97">
            <w:pPr>
              <w:rPr>
                <w:color w:val="000000"/>
                <w:sz w:val="20"/>
                <w:szCs w:val="20"/>
              </w:rPr>
            </w:pPr>
            <w:r>
              <w:rPr>
                <w:color w:val="000000"/>
                <w:sz w:val="20"/>
                <w:szCs w:val="20"/>
              </w:rPr>
              <w:t>23%</w:t>
            </w:r>
          </w:p>
        </w:tc>
        <w:tc>
          <w:tcPr>
            <w:tcW w:w="864" w:type="dxa"/>
            <w:tcBorders>
              <w:top w:val="nil"/>
              <w:left w:val="nil"/>
              <w:bottom w:val="nil"/>
              <w:right w:val="nil"/>
            </w:tcBorders>
            <w:shd w:val="clear" w:color="auto" w:fill="auto"/>
            <w:noWrap/>
            <w:vAlign w:val="bottom"/>
            <w:hideMark/>
          </w:tcPr>
          <w:p w14:paraId="4BF8C1EB" w14:textId="77777777" w:rsidR="003F7D97" w:rsidRDefault="003F7D97">
            <w:pPr>
              <w:jc w:val="right"/>
              <w:rPr>
                <w:b/>
                <w:bCs/>
                <w:color w:val="000000"/>
                <w:sz w:val="20"/>
                <w:szCs w:val="20"/>
              </w:rPr>
            </w:pPr>
            <w:r>
              <w:rPr>
                <w:b/>
                <w:bCs/>
                <w:color w:val="000000"/>
                <w:sz w:val="20"/>
                <w:szCs w:val="20"/>
              </w:rPr>
              <w:t>-0.066</w:t>
            </w:r>
          </w:p>
        </w:tc>
        <w:tc>
          <w:tcPr>
            <w:tcW w:w="864" w:type="dxa"/>
            <w:tcBorders>
              <w:top w:val="nil"/>
              <w:left w:val="nil"/>
              <w:bottom w:val="nil"/>
              <w:right w:val="nil"/>
            </w:tcBorders>
            <w:shd w:val="clear" w:color="auto" w:fill="auto"/>
            <w:noWrap/>
            <w:vAlign w:val="bottom"/>
            <w:hideMark/>
          </w:tcPr>
          <w:p w14:paraId="21343987" w14:textId="77777777" w:rsidR="003F7D97" w:rsidRDefault="003F7D97">
            <w:pPr>
              <w:jc w:val="right"/>
              <w:rPr>
                <w:b/>
                <w:bCs/>
                <w:color w:val="000000"/>
                <w:sz w:val="20"/>
                <w:szCs w:val="20"/>
              </w:rPr>
            </w:pPr>
            <w:r>
              <w:rPr>
                <w:b/>
                <w:bCs/>
                <w:color w:val="000000"/>
                <w:sz w:val="20"/>
                <w:szCs w:val="20"/>
              </w:rPr>
              <w:t>0.004</w:t>
            </w:r>
          </w:p>
        </w:tc>
        <w:tc>
          <w:tcPr>
            <w:tcW w:w="864" w:type="dxa"/>
            <w:tcBorders>
              <w:top w:val="nil"/>
              <w:left w:val="nil"/>
              <w:bottom w:val="nil"/>
              <w:right w:val="nil"/>
            </w:tcBorders>
            <w:shd w:val="clear" w:color="auto" w:fill="auto"/>
            <w:noWrap/>
            <w:vAlign w:val="bottom"/>
            <w:hideMark/>
          </w:tcPr>
          <w:p w14:paraId="6B8FABC2" w14:textId="77777777" w:rsidR="003F7D97" w:rsidRDefault="003F7D97">
            <w:pPr>
              <w:jc w:val="right"/>
              <w:rPr>
                <w:b/>
                <w:bCs/>
                <w:color w:val="000000"/>
                <w:sz w:val="20"/>
                <w:szCs w:val="20"/>
              </w:rPr>
            </w:pPr>
            <w:r>
              <w:rPr>
                <w:b/>
                <w:bCs/>
                <w:color w:val="000000"/>
                <w:sz w:val="20"/>
                <w:szCs w:val="20"/>
              </w:rPr>
              <w:t>0.004</w:t>
            </w:r>
          </w:p>
        </w:tc>
        <w:tc>
          <w:tcPr>
            <w:tcW w:w="864" w:type="dxa"/>
            <w:tcBorders>
              <w:top w:val="nil"/>
              <w:left w:val="nil"/>
              <w:bottom w:val="nil"/>
              <w:right w:val="nil"/>
            </w:tcBorders>
            <w:shd w:val="clear" w:color="auto" w:fill="auto"/>
            <w:noWrap/>
            <w:vAlign w:val="bottom"/>
            <w:hideMark/>
          </w:tcPr>
          <w:p w14:paraId="01BD28C4" w14:textId="77777777" w:rsidR="003F7D97" w:rsidRDefault="003F7D97">
            <w:pPr>
              <w:jc w:val="right"/>
              <w:rPr>
                <w:b/>
                <w:bCs/>
                <w:color w:val="000000"/>
                <w:sz w:val="20"/>
                <w:szCs w:val="20"/>
              </w:rPr>
            </w:pPr>
            <w:r>
              <w:rPr>
                <w:b/>
                <w:bCs/>
                <w:color w:val="000000"/>
                <w:sz w:val="20"/>
                <w:szCs w:val="20"/>
              </w:rPr>
              <w:t>-0.076</w:t>
            </w:r>
          </w:p>
        </w:tc>
        <w:tc>
          <w:tcPr>
            <w:tcW w:w="864" w:type="dxa"/>
            <w:tcBorders>
              <w:top w:val="nil"/>
              <w:left w:val="nil"/>
              <w:bottom w:val="nil"/>
              <w:right w:val="nil"/>
            </w:tcBorders>
            <w:shd w:val="clear" w:color="auto" w:fill="auto"/>
            <w:noWrap/>
            <w:vAlign w:val="bottom"/>
            <w:hideMark/>
          </w:tcPr>
          <w:p w14:paraId="50D1A146" w14:textId="77777777" w:rsidR="003F7D97" w:rsidRDefault="003F7D97">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1524CB82" w14:textId="77777777" w:rsidR="003F7D97" w:rsidRDefault="003F7D97">
            <w:pPr>
              <w:jc w:val="right"/>
              <w:rPr>
                <w:b/>
                <w:bCs/>
                <w:color w:val="000000"/>
                <w:sz w:val="20"/>
                <w:szCs w:val="20"/>
              </w:rPr>
            </w:pPr>
            <w:r>
              <w:rPr>
                <w:b/>
                <w:bCs/>
                <w:color w:val="000000"/>
                <w:sz w:val="20"/>
                <w:szCs w:val="20"/>
              </w:rPr>
              <w:t>0.006</w:t>
            </w:r>
          </w:p>
        </w:tc>
      </w:tr>
      <w:tr w:rsidR="003F7D97" w14:paraId="2EE22596"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6353B23" w14:textId="77777777" w:rsidR="003F7D97" w:rsidRDefault="003F7D97">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732A9DA8" w14:textId="77777777" w:rsidR="003F7D97" w:rsidRDefault="003F7D97">
            <w:pPr>
              <w:rPr>
                <w:color w:val="000000"/>
                <w:sz w:val="20"/>
                <w:szCs w:val="20"/>
              </w:rPr>
            </w:pPr>
            <w:r>
              <w:rPr>
                <w:color w:val="000000"/>
                <w:sz w:val="20"/>
                <w:szCs w:val="20"/>
              </w:rPr>
              <w:t>30%</w:t>
            </w:r>
          </w:p>
        </w:tc>
        <w:tc>
          <w:tcPr>
            <w:tcW w:w="864" w:type="dxa"/>
            <w:tcBorders>
              <w:top w:val="nil"/>
              <w:left w:val="nil"/>
              <w:bottom w:val="single" w:sz="12" w:space="0" w:color="auto"/>
              <w:right w:val="nil"/>
            </w:tcBorders>
            <w:shd w:val="clear" w:color="auto" w:fill="auto"/>
            <w:noWrap/>
            <w:vAlign w:val="bottom"/>
            <w:hideMark/>
          </w:tcPr>
          <w:p w14:paraId="44EF1E42" w14:textId="77777777" w:rsidR="003F7D97" w:rsidRDefault="003F7D97">
            <w:pPr>
              <w:jc w:val="right"/>
              <w:rPr>
                <w:b/>
                <w:bCs/>
                <w:color w:val="000000"/>
                <w:sz w:val="20"/>
                <w:szCs w:val="20"/>
              </w:rPr>
            </w:pPr>
            <w:r>
              <w:rPr>
                <w:b/>
                <w:bCs/>
                <w:color w:val="000000"/>
                <w:sz w:val="20"/>
                <w:szCs w:val="20"/>
              </w:rPr>
              <w:t>-0.066</w:t>
            </w:r>
          </w:p>
        </w:tc>
        <w:tc>
          <w:tcPr>
            <w:tcW w:w="864" w:type="dxa"/>
            <w:tcBorders>
              <w:top w:val="nil"/>
              <w:left w:val="nil"/>
              <w:bottom w:val="single" w:sz="12" w:space="0" w:color="auto"/>
              <w:right w:val="nil"/>
            </w:tcBorders>
            <w:shd w:val="clear" w:color="auto" w:fill="auto"/>
            <w:noWrap/>
            <w:vAlign w:val="bottom"/>
            <w:hideMark/>
          </w:tcPr>
          <w:p w14:paraId="246896EE" w14:textId="77777777" w:rsidR="003F7D97" w:rsidRDefault="003F7D97">
            <w:pPr>
              <w:jc w:val="right"/>
              <w:rPr>
                <w:b/>
                <w:bCs/>
                <w:color w:val="000000"/>
                <w:sz w:val="20"/>
                <w:szCs w:val="20"/>
              </w:rPr>
            </w:pPr>
            <w:r>
              <w:rPr>
                <w:b/>
                <w:bCs/>
                <w:color w:val="000000"/>
                <w:sz w:val="20"/>
                <w:szCs w:val="20"/>
              </w:rPr>
              <w:t>0.004</w:t>
            </w:r>
          </w:p>
        </w:tc>
        <w:tc>
          <w:tcPr>
            <w:tcW w:w="864" w:type="dxa"/>
            <w:tcBorders>
              <w:top w:val="nil"/>
              <w:left w:val="nil"/>
              <w:bottom w:val="single" w:sz="12" w:space="0" w:color="auto"/>
              <w:right w:val="nil"/>
            </w:tcBorders>
            <w:shd w:val="clear" w:color="auto" w:fill="auto"/>
            <w:noWrap/>
            <w:vAlign w:val="bottom"/>
            <w:hideMark/>
          </w:tcPr>
          <w:p w14:paraId="5B72F0D7" w14:textId="77777777" w:rsidR="003F7D97" w:rsidRDefault="003F7D97">
            <w:pPr>
              <w:jc w:val="right"/>
              <w:rPr>
                <w:b/>
                <w:bCs/>
                <w:color w:val="000000"/>
                <w:sz w:val="20"/>
                <w:szCs w:val="20"/>
              </w:rPr>
            </w:pPr>
            <w:r>
              <w:rPr>
                <w:b/>
                <w:bCs/>
                <w:color w:val="000000"/>
                <w:sz w:val="20"/>
                <w:szCs w:val="20"/>
              </w:rPr>
              <w:t>0.004</w:t>
            </w:r>
          </w:p>
        </w:tc>
        <w:tc>
          <w:tcPr>
            <w:tcW w:w="864" w:type="dxa"/>
            <w:tcBorders>
              <w:top w:val="nil"/>
              <w:left w:val="nil"/>
              <w:bottom w:val="single" w:sz="12" w:space="0" w:color="auto"/>
              <w:right w:val="nil"/>
            </w:tcBorders>
            <w:shd w:val="clear" w:color="auto" w:fill="auto"/>
            <w:noWrap/>
            <w:vAlign w:val="bottom"/>
            <w:hideMark/>
          </w:tcPr>
          <w:p w14:paraId="638E53C7" w14:textId="77777777" w:rsidR="003F7D97" w:rsidRDefault="003F7D97">
            <w:pPr>
              <w:jc w:val="right"/>
              <w:rPr>
                <w:b/>
                <w:bCs/>
                <w:color w:val="000000"/>
                <w:sz w:val="20"/>
                <w:szCs w:val="20"/>
              </w:rPr>
            </w:pPr>
            <w:r>
              <w:rPr>
                <w:b/>
                <w:bCs/>
                <w:color w:val="000000"/>
                <w:sz w:val="20"/>
                <w:szCs w:val="20"/>
              </w:rPr>
              <w:t>-0.077</w:t>
            </w:r>
          </w:p>
        </w:tc>
        <w:tc>
          <w:tcPr>
            <w:tcW w:w="864" w:type="dxa"/>
            <w:tcBorders>
              <w:top w:val="nil"/>
              <w:left w:val="nil"/>
              <w:bottom w:val="single" w:sz="12" w:space="0" w:color="auto"/>
              <w:right w:val="nil"/>
            </w:tcBorders>
            <w:shd w:val="clear" w:color="auto" w:fill="auto"/>
            <w:noWrap/>
            <w:vAlign w:val="bottom"/>
            <w:hideMark/>
          </w:tcPr>
          <w:p w14:paraId="6630D3CE" w14:textId="77777777" w:rsidR="003F7D97" w:rsidRDefault="003F7D97">
            <w:pPr>
              <w:jc w:val="right"/>
              <w:rPr>
                <w:b/>
                <w:bCs/>
                <w:color w:val="000000"/>
                <w:sz w:val="20"/>
                <w:szCs w:val="20"/>
              </w:rPr>
            </w:pPr>
            <w:r>
              <w:rPr>
                <w:b/>
                <w:bCs/>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7A3A6FDB" w14:textId="77777777" w:rsidR="003F7D97" w:rsidRDefault="003F7D97">
            <w:pPr>
              <w:jc w:val="right"/>
              <w:rPr>
                <w:b/>
                <w:bCs/>
                <w:color w:val="000000"/>
                <w:sz w:val="20"/>
                <w:szCs w:val="20"/>
              </w:rPr>
            </w:pPr>
            <w:r>
              <w:rPr>
                <w:b/>
                <w:bCs/>
                <w:color w:val="000000"/>
                <w:sz w:val="20"/>
                <w:szCs w:val="20"/>
              </w:rPr>
              <w:t>0.006</w:t>
            </w:r>
          </w:p>
        </w:tc>
      </w:tr>
      <w:tr w:rsidR="003F7D97" w14:paraId="2A2EC122"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34C8BD3D" w14:textId="77777777" w:rsidR="003F7D97" w:rsidRDefault="003F7D97">
            <w:pPr>
              <w:rPr>
                <w:color w:val="000000"/>
                <w:sz w:val="20"/>
                <w:szCs w:val="20"/>
              </w:rPr>
            </w:pPr>
            <w:r>
              <w:rPr>
                <w:color w:val="000000"/>
                <w:sz w:val="20"/>
                <w:szCs w:val="20"/>
              </w:rPr>
              <w:t>En-back</w:t>
            </w:r>
          </w:p>
        </w:tc>
        <w:tc>
          <w:tcPr>
            <w:tcW w:w="1027" w:type="dxa"/>
            <w:tcBorders>
              <w:top w:val="single" w:sz="12" w:space="0" w:color="auto"/>
              <w:left w:val="nil"/>
              <w:bottom w:val="nil"/>
              <w:right w:val="nil"/>
            </w:tcBorders>
            <w:shd w:val="clear" w:color="auto" w:fill="auto"/>
            <w:noWrap/>
            <w:vAlign w:val="bottom"/>
            <w:hideMark/>
          </w:tcPr>
          <w:p w14:paraId="1410AD85" w14:textId="77777777" w:rsidR="003F7D97" w:rsidRDefault="003F7D97">
            <w:pPr>
              <w:rPr>
                <w:color w:val="000000"/>
                <w:sz w:val="20"/>
                <w:szCs w:val="20"/>
              </w:rPr>
            </w:pPr>
            <w:r>
              <w:rPr>
                <w:color w:val="000000"/>
                <w:sz w:val="20"/>
                <w:szCs w:val="20"/>
              </w:rPr>
              <w:t>10%</w:t>
            </w:r>
          </w:p>
        </w:tc>
        <w:tc>
          <w:tcPr>
            <w:tcW w:w="864" w:type="dxa"/>
            <w:tcBorders>
              <w:top w:val="single" w:sz="12" w:space="0" w:color="auto"/>
              <w:left w:val="nil"/>
              <w:bottom w:val="nil"/>
              <w:right w:val="nil"/>
            </w:tcBorders>
            <w:shd w:val="clear" w:color="auto" w:fill="auto"/>
            <w:noWrap/>
            <w:vAlign w:val="bottom"/>
            <w:hideMark/>
          </w:tcPr>
          <w:p w14:paraId="5EDD916B" w14:textId="77777777" w:rsidR="003F7D97" w:rsidRDefault="003F7D97">
            <w:pPr>
              <w:jc w:val="right"/>
              <w:rPr>
                <w:color w:val="000000"/>
                <w:sz w:val="20"/>
                <w:szCs w:val="20"/>
              </w:rPr>
            </w:pPr>
            <w:r>
              <w:rPr>
                <w:color w:val="000000"/>
                <w:sz w:val="20"/>
                <w:szCs w:val="20"/>
              </w:rPr>
              <w:t>-0.006</w:t>
            </w:r>
          </w:p>
        </w:tc>
        <w:tc>
          <w:tcPr>
            <w:tcW w:w="864" w:type="dxa"/>
            <w:tcBorders>
              <w:top w:val="single" w:sz="12" w:space="0" w:color="auto"/>
              <w:left w:val="nil"/>
              <w:bottom w:val="nil"/>
              <w:right w:val="nil"/>
            </w:tcBorders>
            <w:shd w:val="clear" w:color="auto" w:fill="auto"/>
            <w:noWrap/>
            <w:vAlign w:val="bottom"/>
            <w:hideMark/>
          </w:tcPr>
          <w:p w14:paraId="7520A85C" w14:textId="77777777" w:rsidR="003F7D97" w:rsidRDefault="003F7D97">
            <w:pPr>
              <w:jc w:val="right"/>
              <w:rPr>
                <w:color w:val="000000"/>
                <w:sz w:val="20"/>
                <w:szCs w:val="20"/>
              </w:rPr>
            </w:pPr>
            <w:r>
              <w:rPr>
                <w:color w:val="000000"/>
                <w:sz w:val="20"/>
                <w:szCs w:val="20"/>
              </w:rPr>
              <w:t>0.875</w:t>
            </w:r>
          </w:p>
        </w:tc>
        <w:tc>
          <w:tcPr>
            <w:tcW w:w="864" w:type="dxa"/>
            <w:tcBorders>
              <w:top w:val="single" w:sz="12" w:space="0" w:color="auto"/>
              <w:left w:val="nil"/>
              <w:bottom w:val="nil"/>
              <w:right w:val="nil"/>
            </w:tcBorders>
            <w:shd w:val="clear" w:color="auto" w:fill="auto"/>
            <w:noWrap/>
            <w:vAlign w:val="bottom"/>
            <w:hideMark/>
          </w:tcPr>
          <w:p w14:paraId="00E7C03F" w14:textId="77777777" w:rsidR="003F7D97" w:rsidRDefault="003F7D97">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55C6D6E0" w14:textId="77777777" w:rsidR="003F7D97" w:rsidRDefault="003F7D97">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482E2CBD" w14:textId="77777777" w:rsidR="003F7D97" w:rsidRDefault="003F7D97">
            <w:pPr>
              <w:jc w:val="right"/>
              <w:rPr>
                <w:color w:val="000000"/>
                <w:sz w:val="20"/>
                <w:szCs w:val="20"/>
              </w:rPr>
            </w:pPr>
            <w:r>
              <w:rPr>
                <w:color w:val="000000"/>
                <w:sz w:val="20"/>
                <w:szCs w:val="20"/>
              </w:rPr>
              <w:t>0.964</w:t>
            </w:r>
          </w:p>
        </w:tc>
        <w:tc>
          <w:tcPr>
            <w:tcW w:w="864" w:type="dxa"/>
            <w:tcBorders>
              <w:top w:val="single" w:sz="12" w:space="0" w:color="auto"/>
              <w:left w:val="nil"/>
              <w:bottom w:val="nil"/>
              <w:right w:val="nil"/>
            </w:tcBorders>
            <w:shd w:val="clear" w:color="auto" w:fill="auto"/>
            <w:noWrap/>
            <w:vAlign w:val="bottom"/>
            <w:hideMark/>
          </w:tcPr>
          <w:p w14:paraId="2E771A0A" w14:textId="77777777" w:rsidR="003F7D97" w:rsidRDefault="003F7D97">
            <w:pPr>
              <w:jc w:val="right"/>
              <w:rPr>
                <w:color w:val="000000"/>
                <w:sz w:val="20"/>
                <w:szCs w:val="20"/>
              </w:rPr>
            </w:pPr>
            <w:r>
              <w:rPr>
                <w:color w:val="000000"/>
                <w:sz w:val="20"/>
                <w:szCs w:val="20"/>
              </w:rPr>
              <w:t>0.000</w:t>
            </w:r>
          </w:p>
        </w:tc>
      </w:tr>
      <w:tr w:rsidR="003F7D97" w14:paraId="053E4D28" w14:textId="77777777" w:rsidTr="003F7D97">
        <w:trPr>
          <w:trHeight w:val="320"/>
        </w:trPr>
        <w:tc>
          <w:tcPr>
            <w:tcW w:w="1152" w:type="dxa"/>
            <w:tcBorders>
              <w:top w:val="nil"/>
              <w:left w:val="nil"/>
              <w:bottom w:val="nil"/>
              <w:right w:val="nil"/>
            </w:tcBorders>
            <w:shd w:val="clear" w:color="auto" w:fill="auto"/>
            <w:noWrap/>
            <w:vAlign w:val="bottom"/>
            <w:hideMark/>
          </w:tcPr>
          <w:p w14:paraId="5EB40479" w14:textId="77777777" w:rsidR="003F7D97" w:rsidRDefault="003F7D97">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3B1C8EF8" w14:textId="77777777" w:rsidR="003F7D97" w:rsidRDefault="003F7D97">
            <w:pPr>
              <w:rPr>
                <w:color w:val="000000"/>
                <w:sz w:val="20"/>
                <w:szCs w:val="20"/>
              </w:rPr>
            </w:pPr>
            <w:r>
              <w:rPr>
                <w:color w:val="000000"/>
                <w:sz w:val="20"/>
                <w:szCs w:val="20"/>
              </w:rPr>
              <w:t>17%</w:t>
            </w:r>
          </w:p>
        </w:tc>
        <w:tc>
          <w:tcPr>
            <w:tcW w:w="864" w:type="dxa"/>
            <w:tcBorders>
              <w:top w:val="nil"/>
              <w:left w:val="nil"/>
              <w:bottom w:val="nil"/>
              <w:right w:val="nil"/>
            </w:tcBorders>
            <w:shd w:val="clear" w:color="auto" w:fill="auto"/>
            <w:noWrap/>
            <w:vAlign w:val="bottom"/>
            <w:hideMark/>
          </w:tcPr>
          <w:p w14:paraId="51A580FB" w14:textId="77777777" w:rsidR="003F7D97" w:rsidRDefault="003F7D97">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55520290" w14:textId="77777777" w:rsidR="003F7D97" w:rsidRDefault="003F7D97">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46391EEF" w14:textId="77777777" w:rsidR="003F7D97" w:rsidRDefault="003F7D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864A1C0" w14:textId="77777777" w:rsidR="003F7D97" w:rsidRDefault="003F7D97">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79DFDF1" w14:textId="77777777" w:rsidR="003F7D97" w:rsidRDefault="003F7D97">
            <w:pPr>
              <w:jc w:val="right"/>
              <w:rPr>
                <w:color w:val="000000"/>
                <w:sz w:val="20"/>
                <w:szCs w:val="20"/>
              </w:rPr>
            </w:pPr>
            <w:r>
              <w:rPr>
                <w:color w:val="000000"/>
                <w:sz w:val="20"/>
                <w:szCs w:val="20"/>
              </w:rPr>
              <w:t>0.964</w:t>
            </w:r>
          </w:p>
        </w:tc>
        <w:tc>
          <w:tcPr>
            <w:tcW w:w="864" w:type="dxa"/>
            <w:tcBorders>
              <w:top w:val="nil"/>
              <w:left w:val="nil"/>
              <w:bottom w:val="nil"/>
              <w:right w:val="nil"/>
            </w:tcBorders>
            <w:shd w:val="clear" w:color="auto" w:fill="auto"/>
            <w:noWrap/>
            <w:vAlign w:val="bottom"/>
            <w:hideMark/>
          </w:tcPr>
          <w:p w14:paraId="3323F36C" w14:textId="77777777" w:rsidR="003F7D97" w:rsidRDefault="003F7D97">
            <w:pPr>
              <w:jc w:val="right"/>
              <w:rPr>
                <w:color w:val="000000"/>
                <w:sz w:val="20"/>
                <w:szCs w:val="20"/>
              </w:rPr>
            </w:pPr>
            <w:r>
              <w:rPr>
                <w:color w:val="000000"/>
                <w:sz w:val="20"/>
                <w:szCs w:val="20"/>
              </w:rPr>
              <w:t>0.000</w:t>
            </w:r>
          </w:p>
        </w:tc>
      </w:tr>
      <w:tr w:rsidR="003F7D97" w14:paraId="752FBDA9" w14:textId="77777777" w:rsidTr="003F7D97">
        <w:trPr>
          <w:trHeight w:val="320"/>
        </w:trPr>
        <w:tc>
          <w:tcPr>
            <w:tcW w:w="1152" w:type="dxa"/>
            <w:tcBorders>
              <w:top w:val="nil"/>
              <w:left w:val="nil"/>
              <w:bottom w:val="nil"/>
              <w:right w:val="nil"/>
            </w:tcBorders>
            <w:shd w:val="clear" w:color="auto" w:fill="auto"/>
            <w:noWrap/>
            <w:vAlign w:val="bottom"/>
            <w:hideMark/>
          </w:tcPr>
          <w:p w14:paraId="42229F9E" w14:textId="77777777" w:rsidR="003F7D97" w:rsidRDefault="003F7D97">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4552510E" w14:textId="77777777" w:rsidR="003F7D97" w:rsidRDefault="003F7D97">
            <w:pPr>
              <w:rPr>
                <w:color w:val="000000"/>
                <w:sz w:val="20"/>
                <w:szCs w:val="20"/>
              </w:rPr>
            </w:pPr>
            <w:r>
              <w:rPr>
                <w:color w:val="000000"/>
                <w:sz w:val="20"/>
                <w:szCs w:val="20"/>
              </w:rPr>
              <w:t>23%</w:t>
            </w:r>
          </w:p>
        </w:tc>
        <w:tc>
          <w:tcPr>
            <w:tcW w:w="864" w:type="dxa"/>
            <w:tcBorders>
              <w:top w:val="nil"/>
              <w:left w:val="nil"/>
              <w:bottom w:val="nil"/>
              <w:right w:val="nil"/>
            </w:tcBorders>
            <w:shd w:val="clear" w:color="auto" w:fill="auto"/>
            <w:noWrap/>
            <w:vAlign w:val="bottom"/>
            <w:hideMark/>
          </w:tcPr>
          <w:p w14:paraId="01FC6C11" w14:textId="77777777" w:rsidR="003F7D97" w:rsidRDefault="003F7D97">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4BCA83D1" w14:textId="77777777" w:rsidR="003F7D97" w:rsidRDefault="003F7D97">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332FD93F" w14:textId="77777777" w:rsidR="003F7D97" w:rsidRDefault="003F7D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DAE1B14" w14:textId="77777777" w:rsidR="003F7D97" w:rsidRDefault="003F7D97">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B51BC43" w14:textId="77777777" w:rsidR="003F7D97" w:rsidRDefault="003F7D97">
            <w:pPr>
              <w:jc w:val="right"/>
              <w:rPr>
                <w:color w:val="000000"/>
                <w:sz w:val="20"/>
                <w:szCs w:val="20"/>
              </w:rPr>
            </w:pPr>
            <w:r>
              <w:rPr>
                <w:color w:val="000000"/>
                <w:sz w:val="20"/>
                <w:szCs w:val="20"/>
              </w:rPr>
              <w:t>0.964</w:t>
            </w:r>
          </w:p>
        </w:tc>
        <w:tc>
          <w:tcPr>
            <w:tcW w:w="864" w:type="dxa"/>
            <w:tcBorders>
              <w:top w:val="nil"/>
              <w:left w:val="nil"/>
              <w:bottom w:val="nil"/>
              <w:right w:val="nil"/>
            </w:tcBorders>
            <w:shd w:val="clear" w:color="auto" w:fill="auto"/>
            <w:noWrap/>
            <w:vAlign w:val="bottom"/>
            <w:hideMark/>
          </w:tcPr>
          <w:p w14:paraId="79B022B0" w14:textId="77777777" w:rsidR="003F7D97" w:rsidRDefault="003F7D97">
            <w:pPr>
              <w:jc w:val="right"/>
              <w:rPr>
                <w:color w:val="000000"/>
                <w:sz w:val="20"/>
                <w:szCs w:val="20"/>
              </w:rPr>
            </w:pPr>
            <w:r>
              <w:rPr>
                <w:color w:val="000000"/>
                <w:sz w:val="20"/>
                <w:szCs w:val="20"/>
              </w:rPr>
              <w:t>0.000</w:t>
            </w:r>
          </w:p>
        </w:tc>
      </w:tr>
      <w:tr w:rsidR="003F7D97" w14:paraId="7345526E"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438BE2D2" w14:textId="77777777" w:rsidR="003F7D97" w:rsidRDefault="003F7D97">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688977D1" w14:textId="77777777" w:rsidR="003F7D97" w:rsidRDefault="003F7D97">
            <w:pPr>
              <w:rPr>
                <w:color w:val="000000"/>
                <w:sz w:val="20"/>
                <w:szCs w:val="20"/>
              </w:rPr>
            </w:pPr>
            <w:r>
              <w:rPr>
                <w:color w:val="000000"/>
                <w:sz w:val="20"/>
                <w:szCs w:val="20"/>
              </w:rPr>
              <w:t>30%</w:t>
            </w:r>
          </w:p>
        </w:tc>
        <w:tc>
          <w:tcPr>
            <w:tcW w:w="864" w:type="dxa"/>
            <w:tcBorders>
              <w:top w:val="nil"/>
              <w:left w:val="nil"/>
              <w:bottom w:val="single" w:sz="12" w:space="0" w:color="auto"/>
              <w:right w:val="nil"/>
            </w:tcBorders>
            <w:shd w:val="clear" w:color="auto" w:fill="auto"/>
            <w:noWrap/>
            <w:vAlign w:val="bottom"/>
            <w:hideMark/>
          </w:tcPr>
          <w:p w14:paraId="7CC66B7B" w14:textId="77777777" w:rsidR="003F7D97" w:rsidRDefault="003F7D97">
            <w:pPr>
              <w:jc w:val="right"/>
              <w:rPr>
                <w:color w:val="000000"/>
                <w:sz w:val="20"/>
                <w:szCs w:val="20"/>
              </w:rPr>
            </w:pPr>
            <w:r>
              <w:rPr>
                <w:color w:val="000000"/>
                <w:sz w:val="20"/>
                <w:szCs w:val="20"/>
              </w:rPr>
              <w:t>-0.009</w:t>
            </w:r>
          </w:p>
        </w:tc>
        <w:tc>
          <w:tcPr>
            <w:tcW w:w="864" w:type="dxa"/>
            <w:tcBorders>
              <w:top w:val="nil"/>
              <w:left w:val="nil"/>
              <w:bottom w:val="single" w:sz="12" w:space="0" w:color="auto"/>
              <w:right w:val="nil"/>
            </w:tcBorders>
            <w:shd w:val="clear" w:color="auto" w:fill="auto"/>
            <w:noWrap/>
            <w:vAlign w:val="bottom"/>
            <w:hideMark/>
          </w:tcPr>
          <w:p w14:paraId="631656BA" w14:textId="77777777" w:rsidR="003F7D97" w:rsidRDefault="003F7D97">
            <w:pPr>
              <w:jc w:val="right"/>
              <w:rPr>
                <w:color w:val="000000"/>
                <w:sz w:val="20"/>
                <w:szCs w:val="20"/>
              </w:rPr>
            </w:pPr>
            <w:r>
              <w:rPr>
                <w:color w:val="000000"/>
                <w:sz w:val="20"/>
                <w:szCs w:val="20"/>
              </w:rPr>
              <w:t>0.875</w:t>
            </w:r>
          </w:p>
        </w:tc>
        <w:tc>
          <w:tcPr>
            <w:tcW w:w="864" w:type="dxa"/>
            <w:tcBorders>
              <w:top w:val="nil"/>
              <w:left w:val="nil"/>
              <w:bottom w:val="single" w:sz="12" w:space="0" w:color="auto"/>
              <w:right w:val="nil"/>
            </w:tcBorders>
            <w:shd w:val="clear" w:color="auto" w:fill="auto"/>
            <w:noWrap/>
            <w:vAlign w:val="bottom"/>
            <w:hideMark/>
          </w:tcPr>
          <w:p w14:paraId="6B09FFF3" w14:textId="77777777" w:rsidR="003F7D97" w:rsidRDefault="003F7D97">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79ACFA12" w14:textId="77777777" w:rsidR="003F7D97" w:rsidRDefault="003F7D97">
            <w:pPr>
              <w:jc w:val="right"/>
              <w:rPr>
                <w:color w:val="000000"/>
                <w:sz w:val="20"/>
                <w:szCs w:val="20"/>
              </w:rPr>
            </w:pPr>
            <w:r>
              <w:rPr>
                <w:color w:val="000000"/>
                <w:sz w:val="20"/>
                <w:szCs w:val="20"/>
              </w:rPr>
              <w:t>-0.005</w:t>
            </w:r>
          </w:p>
        </w:tc>
        <w:tc>
          <w:tcPr>
            <w:tcW w:w="864" w:type="dxa"/>
            <w:tcBorders>
              <w:top w:val="nil"/>
              <w:left w:val="nil"/>
              <w:bottom w:val="single" w:sz="12" w:space="0" w:color="auto"/>
              <w:right w:val="nil"/>
            </w:tcBorders>
            <w:shd w:val="clear" w:color="auto" w:fill="auto"/>
            <w:noWrap/>
            <w:vAlign w:val="bottom"/>
            <w:hideMark/>
          </w:tcPr>
          <w:p w14:paraId="7C027AD9" w14:textId="77777777" w:rsidR="003F7D97" w:rsidRDefault="003F7D97">
            <w:pPr>
              <w:jc w:val="right"/>
              <w:rPr>
                <w:color w:val="000000"/>
                <w:sz w:val="20"/>
                <w:szCs w:val="20"/>
              </w:rPr>
            </w:pPr>
            <w:r>
              <w:rPr>
                <w:color w:val="000000"/>
                <w:sz w:val="20"/>
                <w:szCs w:val="20"/>
              </w:rPr>
              <w:t>0.964</w:t>
            </w:r>
          </w:p>
        </w:tc>
        <w:tc>
          <w:tcPr>
            <w:tcW w:w="864" w:type="dxa"/>
            <w:tcBorders>
              <w:top w:val="nil"/>
              <w:left w:val="nil"/>
              <w:bottom w:val="single" w:sz="12" w:space="0" w:color="auto"/>
              <w:right w:val="nil"/>
            </w:tcBorders>
            <w:shd w:val="clear" w:color="auto" w:fill="auto"/>
            <w:noWrap/>
            <w:vAlign w:val="bottom"/>
            <w:hideMark/>
          </w:tcPr>
          <w:p w14:paraId="062FCFD8" w14:textId="77777777" w:rsidR="003F7D97" w:rsidRDefault="003F7D97">
            <w:pPr>
              <w:jc w:val="right"/>
              <w:rPr>
                <w:color w:val="000000"/>
                <w:sz w:val="20"/>
                <w:szCs w:val="20"/>
              </w:rPr>
            </w:pPr>
            <w:r>
              <w:rPr>
                <w:color w:val="000000"/>
                <w:sz w:val="20"/>
                <w:szCs w:val="20"/>
              </w:rPr>
              <w:t>0.000</w:t>
            </w:r>
          </w:p>
        </w:tc>
      </w:tr>
      <w:tr w:rsidR="003F7D97" w14:paraId="72778E00"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4578324F" w14:textId="77777777" w:rsidR="003F7D97" w:rsidRDefault="003F7D97">
            <w:pPr>
              <w:rPr>
                <w:color w:val="000000"/>
                <w:sz w:val="20"/>
                <w:szCs w:val="20"/>
              </w:rPr>
            </w:pPr>
            <w:r>
              <w:rPr>
                <w:color w:val="000000"/>
                <w:sz w:val="20"/>
                <w:szCs w:val="20"/>
              </w:rPr>
              <w:t>MID</w:t>
            </w:r>
          </w:p>
        </w:tc>
        <w:tc>
          <w:tcPr>
            <w:tcW w:w="1027" w:type="dxa"/>
            <w:tcBorders>
              <w:top w:val="single" w:sz="12" w:space="0" w:color="auto"/>
              <w:left w:val="nil"/>
              <w:bottom w:val="nil"/>
              <w:right w:val="nil"/>
            </w:tcBorders>
            <w:shd w:val="clear" w:color="auto" w:fill="auto"/>
            <w:noWrap/>
            <w:vAlign w:val="bottom"/>
            <w:hideMark/>
          </w:tcPr>
          <w:p w14:paraId="2F2ECD5A" w14:textId="77777777" w:rsidR="003F7D97" w:rsidRDefault="003F7D97">
            <w:pPr>
              <w:rPr>
                <w:color w:val="000000"/>
                <w:sz w:val="20"/>
                <w:szCs w:val="20"/>
              </w:rPr>
            </w:pPr>
            <w:r>
              <w:rPr>
                <w:color w:val="000000"/>
                <w:sz w:val="20"/>
                <w:szCs w:val="20"/>
              </w:rPr>
              <w:t>10%</w:t>
            </w:r>
          </w:p>
        </w:tc>
        <w:tc>
          <w:tcPr>
            <w:tcW w:w="864" w:type="dxa"/>
            <w:tcBorders>
              <w:top w:val="single" w:sz="12" w:space="0" w:color="auto"/>
              <w:left w:val="nil"/>
              <w:bottom w:val="nil"/>
              <w:right w:val="nil"/>
            </w:tcBorders>
            <w:shd w:val="clear" w:color="auto" w:fill="auto"/>
            <w:noWrap/>
            <w:vAlign w:val="bottom"/>
            <w:hideMark/>
          </w:tcPr>
          <w:p w14:paraId="3188C891" w14:textId="77777777" w:rsidR="003F7D97" w:rsidRDefault="003F7D97">
            <w:pPr>
              <w:jc w:val="right"/>
              <w:rPr>
                <w:color w:val="000000"/>
                <w:sz w:val="20"/>
                <w:szCs w:val="20"/>
              </w:rPr>
            </w:pPr>
            <w:r>
              <w:rPr>
                <w:color w:val="000000"/>
                <w:sz w:val="20"/>
                <w:szCs w:val="20"/>
              </w:rPr>
              <w:t>-0.009</w:t>
            </w:r>
          </w:p>
        </w:tc>
        <w:tc>
          <w:tcPr>
            <w:tcW w:w="864" w:type="dxa"/>
            <w:tcBorders>
              <w:top w:val="single" w:sz="12" w:space="0" w:color="auto"/>
              <w:left w:val="nil"/>
              <w:bottom w:val="nil"/>
              <w:right w:val="nil"/>
            </w:tcBorders>
            <w:shd w:val="clear" w:color="auto" w:fill="auto"/>
            <w:noWrap/>
            <w:vAlign w:val="bottom"/>
            <w:hideMark/>
          </w:tcPr>
          <w:p w14:paraId="67833877" w14:textId="77777777" w:rsidR="003F7D97" w:rsidRDefault="003F7D97">
            <w:pPr>
              <w:jc w:val="right"/>
              <w:rPr>
                <w:color w:val="000000"/>
                <w:sz w:val="20"/>
                <w:szCs w:val="20"/>
              </w:rPr>
            </w:pPr>
            <w:r>
              <w:rPr>
                <w:color w:val="000000"/>
                <w:sz w:val="20"/>
                <w:szCs w:val="20"/>
              </w:rPr>
              <w:t>0.787</w:t>
            </w:r>
          </w:p>
        </w:tc>
        <w:tc>
          <w:tcPr>
            <w:tcW w:w="864" w:type="dxa"/>
            <w:tcBorders>
              <w:top w:val="single" w:sz="12" w:space="0" w:color="auto"/>
              <w:left w:val="nil"/>
              <w:bottom w:val="nil"/>
              <w:right w:val="nil"/>
            </w:tcBorders>
            <w:shd w:val="clear" w:color="auto" w:fill="auto"/>
            <w:noWrap/>
            <w:vAlign w:val="bottom"/>
            <w:hideMark/>
          </w:tcPr>
          <w:p w14:paraId="301A2C9C" w14:textId="77777777" w:rsidR="003F7D97" w:rsidRDefault="003F7D97">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772E2E6A" w14:textId="77777777" w:rsidR="003F7D97" w:rsidRDefault="003F7D97">
            <w:pPr>
              <w:jc w:val="right"/>
              <w:rPr>
                <w:color w:val="000000"/>
                <w:sz w:val="20"/>
                <w:szCs w:val="20"/>
              </w:rPr>
            </w:pPr>
            <w:r>
              <w:rPr>
                <w:color w:val="000000"/>
                <w:sz w:val="20"/>
                <w:szCs w:val="20"/>
              </w:rPr>
              <w:t>-0.007</w:t>
            </w:r>
          </w:p>
        </w:tc>
        <w:tc>
          <w:tcPr>
            <w:tcW w:w="864" w:type="dxa"/>
            <w:tcBorders>
              <w:top w:val="single" w:sz="12" w:space="0" w:color="auto"/>
              <w:left w:val="nil"/>
              <w:bottom w:val="nil"/>
              <w:right w:val="nil"/>
            </w:tcBorders>
            <w:shd w:val="clear" w:color="auto" w:fill="auto"/>
            <w:noWrap/>
            <w:vAlign w:val="bottom"/>
            <w:hideMark/>
          </w:tcPr>
          <w:p w14:paraId="41B79F3B" w14:textId="77777777" w:rsidR="003F7D97" w:rsidRDefault="003F7D97">
            <w:pPr>
              <w:jc w:val="right"/>
              <w:rPr>
                <w:color w:val="000000"/>
                <w:sz w:val="20"/>
                <w:szCs w:val="20"/>
              </w:rPr>
            </w:pPr>
            <w:r>
              <w:rPr>
                <w:color w:val="000000"/>
                <w:sz w:val="20"/>
                <w:szCs w:val="20"/>
              </w:rPr>
              <w:t>0.782</w:t>
            </w:r>
          </w:p>
        </w:tc>
        <w:tc>
          <w:tcPr>
            <w:tcW w:w="864" w:type="dxa"/>
            <w:tcBorders>
              <w:top w:val="single" w:sz="12" w:space="0" w:color="auto"/>
              <w:left w:val="nil"/>
              <w:bottom w:val="nil"/>
              <w:right w:val="nil"/>
            </w:tcBorders>
            <w:shd w:val="clear" w:color="auto" w:fill="auto"/>
            <w:noWrap/>
            <w:vAlign w:val="bottom"/>
            <w:hideMark/>
          </w:tcPr>
          <w:p w14:paraId="3C6464B0" w14:textId="77777777" w:rsidR="003F7D97" w:rsidRDefault="003F7D97">
            <w:pPr>
              <w:jc w:val="right"/>
              <w:rPr>
                <w:color w:val="000000"/>
                <w:sz w:val="20"/>
                <w:szCs w:val="20"/>
              </w:rPr>
            </w:pPr>
            <w:r>
              <w:rPr>
                <w:color w:val="000000"/>
                <w:sz w:val="20"/>
                <w:szCs w:val="20"/>
              </w:rPr>
              <w:t>0.000</w:t>
            </w:r>
          </w:p>
        </w:tc>
      </w:tr>
      <w:tr w:rsidR="003F7D97" w14:paraId="4497CC41" w14:textId="77777777" w:rsidTr="003F7D97">
        <w:trPr>
          <w:trHeight w:val="320"/>
        </w:trPr>
        <w:tc>
          <w:tcPr>
            <w:tcW w:w="1152" w:type="dxa"/>
            <w:tcBorders>
              <w:top w:val="nil"/>
              <w:left w:val="nil"/>
              <w:bottom w:val="nil"/>
              <w:right w:val="nil"/>
            </w:tcBorders>
            <w:shd w:val="clear" w:color="auto" w:fill="auto"/>
            <w:noWrap/>
            <w:vAlign w:val="bottom"/>
            <w:hideMark/>
          </w:tcPr>
          <w:p w14:paraId="6F8F7C93" w14:textId="77777777" w:rsidR="003F7D97" w:rsidRDefault="003F7D97">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6EAB06DD" w14:textId="77777777" w:rsidR="003F7D97" w:rsidRDefault="003F7D97">
            <w:pPr>
              <w:rPr>
                <w:color w:val="000000"/>
                <w:sz w:val="20"/>
                <w:szCs w:val="20"/>
              </w:rPr>
            </w:pPr>
            <w:r>
              <w:rPr>
                <w:color w:val="000000"/>
                <w:sz w:val="20"/>
                <w:szCs w:val="20"/>
              </w:rPr>
              <w:t>17%</w:t>
            </w:r>
          </w:p>
        </w:tc>
        <w:tc>
          <w:tcPr>
            <w:tcW w:w="864" w:type="dxa"/>
            <w:tcBorders>
              <w:top w:val="nil"/>
              <w:left w:val="nil"/>
              <w:bottom w:val="nil"/>
              <w:right w:val="nil"/>
            </w:tcBorders>
            <w:shd w:val="clear" w:color="auto" w:fill="auto"/>
            <w:noWrap/>
            <w:vAlign w:val="bottom"/>
            <w:hideMark/>
          </w:tcPr>
          <w:p w14:paraId="3233490B" w14:textId="77777777" w:rsidR="003F7D97" w:rsidRDefault="003F7D97">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7485EF1A" w14:textId="77777777" w:rsidR="003F7D97" w:rsidRDefault="003F7D97">
            <w:pPr>
              <w:jc w:val="right"/>
              <w:rPr>
                <w:color w:val="000000"/>
                <w:sz w:val="20"/>
                <w:szCs w:val="20"/>
              </w:rPr>
            </w:pPr>
            <w:r>
              <w:rPr>
                <w:color w:val="000000"/>
                <w:sz w:val="20"/>
                <w:szCs w:val="20"/>
              </w:rPr>
              <w:t>0.787</w:t>
            </w:r>
          </w:p>
        </w:tc>
        <w:tc>
          <w:tcPr>
            <w:tcW w:w="864" w:type="dxa"/>
            <w:tcBorders>
              <w:top w:val="nil"/>
              <w:left w:val="nil"/>
              <w:bottom w:val="nil"/>
              <w:right w:val="nil"/>
            </w:tcBorders>
            <w:shd w:val="clear" w:color="auto" w:fill="auto"/>
            <w:noWrap/>
            <w:vAlign w:val="bottom"/>
            <w:hideMark/>
          </w:tcPr>
          <w:p w14:paraId="5132BCEB" w14:textId="77777777" w:rsidR="003F7D97" w:rsidRDefault="003F7D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286629B" w14:textId="77777777" w:rsidR="003F7D97" w:rsidRDefault="003F7D97">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1881A8FB" w14:textId="77777777" w:rsidR="003F7D97" w:rsidRDefault="003F7D97">
            <w:pPr>
              <w:jc w:val="right"/>
              <w:rPr>
                <w:color w:val="000000"/>
                <w:sz w:val="20"/>
                <w:szCs w:val="20"/>
              </w:rPr>
            </w:pPr>
            <w:r>
              <w:rPr>
                <w:color w:val="000000"/>
                <w:sz w:val="20"/>
                <w:szCs w:val="20"/>
              </w:rPr>
              <w:t>0.782</w:t>
            </w:r>
          </w:p>
        </w:tc>
        <w:tc>
          <w:tcPr>
            <w:tcW w:w="864" w:type="dxa"/>
            <w:tcBorders>
              <w:top w:val="nil"/>
              <w:left w:val="nil"/>
              <w:bottom w:val="nil"/>
              <w:right w:val="nil"/>
            </w:tcBorders>
            <w:shd w:val="clear" w:color="auto" w:fill="auto"/>
            <w:noWrap/>
            <w:vAlign w:val="bottom"/>
            <w:hideMark/>
          </w:tcPr>
          <w:p w14:paraId="413C6266" w14:textId="77777777" w:rsidR="003F7D97" w:rsidRDefault="003F7D97">
            <w:pPr>
              <w:jc w:val="right"/>
              <w:rPr>
                <w:color w:val="000000"/>
                <w:sz w:val="20"/>
                <w:szCs w:val="20"/>
              </w:rPr>
            </w:pPr>
            <w:r>
              <w:rPr>
                <w:color w:val="000000"/>
                <w:sz w:val="20"/>
                <w:szCs w:val="20"/>
              </w:rPr>
              <w:t>0.000</w:t>
            </w:r>
          </w:p>
        </w:tc>
      </w:tr>
      <w:tr w:rsidR="003F7D97" w14:paraId="48CE854B" w14:textId="77777777" w:rsidTr="003F7D97">
        <w:trPr>
          <w:trHeight w:val="320"/>
        </w:trPr>
        <w:tc>
          <w:tcPr>
            <w:tcW w:w="1152" w:type="dxa"/>
            <w:tcBorders>
              <w:top w:val="nil"/>
              <w:left w:val="nil"/>
              <w:bottom w:val="nil"/>
              <w:right w:val="nil"/>
            </w:tcBorders>
            <w:shd w:val="clear" w:color="auto" w:fill="auto"/>
            <w:noWrap/>
            <w:vAlign w:val="bottom"/>
            <w:hideMark/>
          </w:tcPr>
          <w:p w14:paraId="0E83B45B" w14:textId="77777777" w:rsidR="003F7D97" w:rsidRDefault="003F7D97">
            <w:pPr>
              <w:jc w:val="right"/>
              <w:rPr>
                <w:color w:val="000000"/>
                <w:sz w:val="20"/>
                <w:szCs w:val="20"/>
              </w:rPr>
            </w:pPr>
          </w:p>
        </w:tc>
        <w:tc>
          <w:tcPr>
            <w:tcW w:w="1027" w:type="dxa"/>
            <w:tcBorders>
              <w:top w:val="nil"/>
              <w:left w:val="nil"/>
              <w:bottom w:val="nil"/>
              <w:right w:val="nil"/>
            </w:tcBorders>
            <w:shd w:val="clear" w:color="auto" w:fill="auto"/>
            <w:noWrap/>
            <w:vAlign w:val="bottom"/>
            <w:hideMark/>
          </w:tcPr>
          <w:p w14:paraId="6DAAB942" w14:textId="77777777" w:rsidR="003F7D97" w:rsidRDefault="003F7D97">
            <w:pPr>
              <w:rPr>
                <w:color w:val="000000"/>
                <w:sz w:val="20"/>
                <w:szCs w:val="20"/>
              </w:rPr>
            </w:pPr>
            <w:r>
              <w:rPr>
                <w:color w:val="000000"/>
                <w:sz w:val="20"/>
                <w:szCs w:val="20"/>
              </w:rPr>
              <w:t>23%</w:t>
            </w:r>
          </w:p>
        </w:tc>
        <w:tc>
          <w:tcPr>
            <w:tcW w:w="864" w:type="dxa"/>
            <w:tcBorders>
              <w:top w:val="nil"/>
              <w:left w:val="nil"/>
              <w:bottom w:val="nil"/>
              <w:right w:val="nil"/>
            </w:tcBorders>
            <w:shd w:val="clear" w:color="auto" w:fill="auto"/>
            <w:noWrap/>
            <w:vAlign w:val="bottom"/>
            <w:hideMark/>
          </w:tcPr>
          <w:p w14:paraId="49920DA4" w14:textId="77777777" w:rsidR="003F7D97" w:rsidRDefault="003F7D97">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03221F61" w14:textId="77777777" w:rsidR="003F7D97" w:rsidRDefault="003F7D97">
            <w:pPr>
              <w:jc w:val="right"/>
              <w:rPr>
                <w:color w:val="000000"/>
                <w:sz w:val="20"/>
                <w:szCs w:val="20"/>
              </w:rPr>
            </w:pPr>
            <w:r>
              <w:rPr>
                <w:color w:val="000000"/>
                <w:sz w:val="20"/>
                <w:szCs w:val="20"/>
              </w:rPr>
              <w:t>0.787</w:t>
            </w:r>
          </w:p>
        </w:tc>
        <w:tc>
          <w:tcPr>
            <w:tcW w:w="864" w:type="dxa"/>
            <w:tcBorders>
              <w:top w:val="nil"/>
              <w:left w:val="nil"/>
              <w:bottom w:val="nil"/>
              <w:right w:val="nil"/>
            </w:tcBorders>
            <w:shd w:val="clear" w:color="auto" w:fill="auto"/>
            <w:noWrap/>
            <w:vAlign w:val="bottom"/>
            <w:hideMark/>
          </w:tcPr>
          <w:p w14:paraId="4F1A74B3" w14:textId="77777777" w:rsidR="003F7D97" w:rsidRDefault="003F7D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4FBD42A" w14:textId="77777777" w:rsidR="003F7D97" w:rsidRDefault="003F7D97">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0C0737A3" w14:textId="77777777" w:rsidR="003F7D97" w:rsidRDefault="003F7D97">
            <w:pPr>
              <w:jc w:val="right"/>
              <w:rPr>
                <w:color w:val="000000"/>
                <w:sz w:val="20"/>
                <w:szCs w:val="20"/>
              </w:rPr>
            </w:pPr>
            <w:r>
              <w:rPr>
                <w:color w:val="000000"/>
                <w:sz w:val="20"/>
                <w:szCs w:val="20"/>
              </w:rPr>
              <w:t>0.782</w:t>
            </w:r>
          </w:p>
        </w:tc>
        <w:tc>
          <w:tcPr>
            <w:tcW w:w="864" w:type="dxa"/>
            <w:tcBorders>
              <w:top w:val="nil"/>
              <w:left w:val="nil"/>
              <w:bottom w:val="nil"/>
              <w:right w:val="nil"/>
            </w:tcBorders>
            <w:shd w:val="clear" w:color="auto" w:fill="auto"/>
            <w:noWrap/>
            <w:vAlign w:val="bottom"/>
            <w:hideMark/>
          </w:tcPr>
          <w:p w14:paraId="0BEE1CAB" w14:textId="77777777" w:rsidR="003F7D97" w:rsidRDefault="003F7D97">
            <w:pPr>
              <w:jc w:val="right"/>
              <w:rPr>
                <w:color w:val="000000"/>
                <w:sz w:val="20"/>
                <w:szCs w:val="20"/>
              </w:rPr>
            </w:pPr>
            <w:r>
              <w:rPr>
                <w:color w:val="000000"/>
                <w:sz w:val="20"/>
                <w:szCs w:val="20"/>
              </w:rPr>
              <w:t>0.000</w:t>
            </w:r>
          </w:p>
        </w:tc>
      </w:tr>
      <w:tr w:rsidR="003F7D97" w14:paraId="298F9868"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35DC586D" w14:textId="77777777" w:rsidR="003F7D97" w:rsidRDefault="003F7D97">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613920B1" w14:textId="77777777" w:rsidR="003F7D97" w:rsidRDefault="003F7D97">
            <w:pPr>
              <w:rPr>
                <w:color w:val="000000"/>
                <w:sz w:val="20"/>
                <w:szCs w:val="20"/>
              </w:rPr>
            </w:pPr>
            <w:r>
              <w:rPr>
                <w:color w:val="000000"/>
                <w:sz w:val="20"/>
                <w:szCs w:val="20"/>
              </w:rPr>
              <w:t>30%</w:t>
            </w:r>
          </w:p>
        </w:tc>
        <w:tc>
          <w:tcPr>
            <w:tcW w:w="864" w:type="dxa"/>
            <w:tcBorders>
              <w:top w:val="nil"/>
              <w:left w:val="nil"/>
              <w:bottom w:val="single" w:sz="12" w:space="0" w:color="auto"/>
              <w:right w:val="nil"/>
            </w:tcBorders>
            <w:shd w:val="clear" w:color="auto" w:fill="auto"/>
            <w:noWrap/>
            <w:vAlign w:val="bottom"/>
            <w:hideMark/>
          </w:tcPr>
          <w:p w14:paraId="67A810FF" w14:textId="77777777" w:rsidR="003F7D97" w:rsidRDefault="003F7D97">
            <w:pPr>
              <w:jc w:val="right"/>
              <w:rPr>
                <w:color w:val="000000"/>
                <w:sz w:val="20"/>
                <w:szCs w:val="20"/>
              </w:rPr>
            </w:pPr>
            <w:r>
              <w:rPr>
                <w:color w:val="000000"/>
                <w:sz w:val="20"/>
                <w:szCs w:val="20"/>
              </w:rPr>
              <w:t>-0.013</w:t>
            </w:r>
          </w:p>
        </w:tc>
        <w:tc>
          <w:tcPr>
            <w:tcW w:w="864" w:type="dxa"/>
            <w:tcBorders>
              <w:top w:val="nil"/>
              <w:left w:val="nil"/>
              <w:bottom w:val="single" w:sz="12" w:space="0" w:color="auto"/>
              <w:right w:val="nil"/>
            </w:tcBorders>
            <w:shd w:val="clear" w:color="auto" w:fill="auto"/>
            <w:noWrap/>
            <w:vAlign w:val="bottom"/>
            <w:hideMark/>
          </w:tcPr>
          <w:p w14:paraId="35A0F9A7" w14:textId="77777777" w:rsidR="003F7D97" w:rsidRDefault="003F7D97">
            <w:pPr>
              <w:jc w:val="right"/>
              <w:rPr>
                <w:color w:val="000000"/>
                <w:sz w:val="20"/>
                <w:szCs w:val="20"/>
              </w:rPr>
            </w:pPr>
            <w:r>
              <w:rPr>
                <w:color w:val="000000"/>
                <w:sz w:val="20"/>
                <w:szCs w:val="20"/>
              </w:rPr>
              <w:t>0.787</w:t>
            </w:r>
          </w:p>
        </w:tc>
        <w:tc>
          <w:tcPr>
            <w:tcW w:w="864" w:type="dxa"/>
            <w:tcBorders>
              <w:top w:val="nil"/>
              <w:left w:val="nil"/>
              <w:bottom w:val="single" w:sz="12" w:space="0" w:color="auto"/>
              <w:right w:val="nil"/>
            </w:tcBorders>
            <w:shd w:val="clear" w:color="auto" w:fill="auto"/>
            <w:noWrap/>
            <w:vAlign w:val="bottom"/>
            <w:hideMark/>
          </w:tcPr>
          <w:p w14:paraId="7B964E89" w14:textId="77777777" w:rsidR="003F7D97" w:rsidRDefault="003F7D97">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504FD9ED" w14:textId="77777777" w:rsidR="003F7D97" w:rsidRDefault="003F7D97">
            <w:pPr>
              <w:jc w:val="right"/>
              <w:rPr>
                <w:color w:val="000000"/>
                <w:sz w:val="20"/>
                <w:szCs w:val="20"/>
              </w:rPr>
            </w:pPr>
            <w:r>
              <w:rPr>
                <w:color w:val="000000"/>
                <w:sz w:val="20"/>
                <w:szCs w:val="20"/>
              </w:rPr>
              <w:t>-0.013</w:t>
            </w:r>
          </w:p>
        </w:tc>
        <w:tc>
          <w:tcPr>
            <w:tcW w:w="864" w:type="dxa"/>
            <w:tcBorders>
              <w:top w:val="nil"/>
              <w:left w:val="nil"/>
              <w:bottom w:val="single" w:sz="12" w:space="0" w:color="auto"/>
              <w:right w:val="nil"/>
            </w:tcBorders>
            <w:shd w:val="clear" w:color="auto" w:fill="auto"/>
            <w:noWrap/>
            <w:vAlign w:val="bottom"/>
            <w:hideMark/>
          </w:tcPr>
          <w:p w14:paraId="22683231" w14:textId="77777777" w:rsidR="003F7D97" w:rsidRDefault="003F7D97">
            <w:pPr>
              <w:jc w:val="right"/>
              <w:rPr>
                <w:color w:val="000000"/>
                <w:sz w:val="20"/>
                <w:szCs w:val="20"/>
              </w:rPr>
            </w:pPr>
            <w:r>
              <w:rPr>
                <w:color w:val="000000"/>
                <w:sz w:val="20"/>
                <w:szCs w:val="20"/>
              </w:rPr>
              <w:t>0.782</w:t>
            </w:r>
          </w:p>
        </w:tc>
        <w:tc>
          <w:tcPr>
            <w:tcW w:w="864" w:type="dxa"/>
            <w:tcBorders>
              <w:top w:val="nil"/>
              <w:left w:val="nil"/>
              <w:bottom w:val="single" w:sz="12" w:space="0" w:color="auto"/>
              <w:right w:val="nil"/>
            </w:tcBorders>
            <w:shd w:val="clear" w:color="auto" w:fill="auto"/>
            <w:noWrap/>
            <w:vAlign w:val="bottom"/>
            <w:hideMark/>
          </w:tcPr>
          <w:p w14:paraId="125A3428" w14:textId="77777777" w:rsidR="003F7D97" w:rsidRDefault="003F7D97">
            <w:pPr>
              <w:jc w:val="right"/>
              <w:rPr>
                <w:color w:val="000000"/>
                <w:sz w:val="20"/>
                <w:szCs w:val="20"/>
              </w:rPr>
            </w:pPr>
            <w:r>
              <w:rPr>
                <w:color w:val="000000"/>
                <w:sz w:val="20"/>
                <w:szCs w:val="20"/>
              </w:rPr>
              <w:t>0.000</w:t>
            </w:r>
          </w:p>
        </w:tc>
      </w:tr>
      <w:tr w:rsidR="003F7D97" w14:paraId="21FC2A3D"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4D69844" w14:textId="77777777" w:rsidR="003F7D97" w:rsidRDefault="003F7D97">
            <w:pPr>
              <w:rPr>
                <w:color w:val="000000"/>
                <w:sz w:val="20"/>
                <w:szCs w:val="20"/>
              </w:rPr>
            </w:pPr>
            <w:r>
              <w:rPr>
                <w:color w:val="000000"/>
                <w:sz w:val="20"/>
                <w:szCs w:val="20"/>
              </w:rPr>
              <w:t>SST</w:t>
            </w:r>
          </w:p>
        </w:tc>
        <w:tc>
          <w:tcPr>
            <w:tcW w:w="1027" w:type="dxa"/>
            <w:tcBorders>
              <w:top w:val="single" w:sz="12" w:space="0" w:color="auto"/>
              <w:left w:val="nil"/>
              <w:bottom w:val="nil"/>
              <w:right w:val="nil"/>
            </w:tcBorders>
            <w:shd w:val="clear" w:color="auto" w:fill="auto"/>
            <w:noWrap/>
            <w:vAlign w:val="bottom"/>
            <w:hideMark/>
          </w:tcPr>
          <w:p w14:paraId="379C0AF2" w14:textId="77777777" w:rsidR="003F7D97" w:rsidRDefault="003F7D97">
            <w:pPr>
              <w:rPr>
                <w:color w:val="000000"/>
                <w:sz w:val="20"/>
                <w:szCs w:val="20"/>
              </w:rPr>
            </w:pPr>
            <w:r>
              <w:rPr>
                <w:color w:val="000000"/>
                <w:sz w:val="20"/>
                <w:szCs w:val="20"/>
              </w:rPr>
              <w:t>10%</w:t>
            </w:r>
          </w:p>
        </w:tc>
        <w:tc>
          <w:tcPr>
            <w:tcW w:w="864" w:type="dxa"/>
            <w:tcBorders>
              <w:top w:val="single" w:sz="12" w:space="0" w:color="auto"/>
              <w:left w:val="nil"/>
              <w:bottom w:val="nil"/>
              <w:right w:val="nil"/>
            </w:tcBorders>
            <w:shd w:val="clear" w:color="auto" w:fill="auto"/>
            <w:noWrap/>
            <w:vAlign w:val="bottom"/>
            <w:hideMark/>
          </w:tcPr>
          <w:p w14:paraId="785CC020" w14:textId="77777777" w:rsidR="003F7D97" w:rsidRDefault="003F7D97">
            <w:pPr>
              <w:jc w:val="right"/>
              <w:rPr>
                <w:color w:val="000000"/>
                <w:sz w:val="20"/>
                <w:szCs w:val="20"/>
              </w:rPr>
            </w:pPr>
            <w:r>
              <w:rPr>
                <w:color w:val="000000"/>
                <w:sz w:val="20"/>
                <w:szCs w:val="20"/>
              </w:rPr>
              <w:t>-0.044</w:t>
            </w:r>
          </w:p>
        </w:tc>
        <w:tc>
          <w:tcPr>
            <w:tcW w:w="864" w:type="dxa"/>
            <w:tcBorders>
              <w:top w:val="single" w:sz="12" w:space="0" w:color="auto"/>
              <w:left w:val="nil"/>
              <w:bottom w:val="nil"/>
              <w:right w:val="nil"/>
            </w:tcBorders>
            <w:shd w:val="clear" w:color="auto" w:fill="auto"/>
            <w:noWrap/>
            <w:vAlign w:val="bottom"/>
            <w:hideMark/>
          </w:tcPr>
          <w:p w14:paraId="19438024" w14:textId="77777777" w:rsidR="003F7D97" w:rsidRDefault="003F7D97">
            <w:pPr>
              <w:jc w:val="right"/>
              <w:rPr>
                <w:color w:val="000000"/>
                <w:sz w:val="20"/>
                <w:szCs w:val="20"/>
              </w:rPr>
            </w:pPr>
            <w:r>
              <w:rPr>
                <w:color w:val="000000"/>
                <w:sz w:val="20"/>
                <w:szCs w:val="20"/>
              </w:rPr>
              <w:t>0.187</w:t>
            </w:r>
          </w:p>
        </w:tc>
        <w:tc>
          <w:tcPr>
            <w:tcW w:w="864" w:type="dxa"/>
            <w:tcBorders>
              <w:top w:val="single" w:sz="12" w:space="0" w:color="auto"/>
              <w:left w:val="nil"/>
              <w:bottom w:val="nil"/>
              <w:right w:val="nil"/>
            </w:tcBorders>
            <w:shd w:val="clear" w:color="auto" w:fill="auto"/>
            <w:noWrap/>
            <w:vAlign w:val="bottom"/>
            <w:hideMark/>
          </w:tcPr>
          <w:p w14:paraId="4D97A9F0" w14:textId="77777777" w:rsidR="003F7D97" w:rsidRDefault="003F7D97">
            <w:pPr>
              <w:jc w:val="right"/>
              <w:rPr>
                <w:color w:val="000000"/>
                <w:sz w:val="20"/>
                <w:szCs w:val="20"/>
              </w:rPr>
            </w:pPr>
            <w:r>
              <w:rPr>
                <w:color w:val="000000"/>
                <w:sz w:val="20"/>
                <w:szCs w:val="20"/>
              </w:rPr>
              <w:t>0.002</w:t>
            </w:r>
          </w:p>
        </w:tc>
        <w:tc>
          <w:tcPr>
            <w:tcW w:w="864" w:type="dxa"/>
            <w:tcBorders>
              <w:top w:val="single" w:sz="12" w:space="0" w:color="auto"/>
              <w:left w:val="nil"/>
              <w:bottom w:val="nil"/>
              <w:right w:val="nil"/>
            </w:tcBorders>
            <w:shd w:val="clear" w:color="auto" w:fill="auto"/>
            <w:noWrap/>
            <w:vAlign w:val="bottom"/>
            <w:hideMark/>
          </w:tcPr>
          <w:p w14:paraId="4E5F3341" w14:textId="77777777" w:rsidR="003F7D97" w:rsidRDefault="003F7D97">
            <w:pPr>
              <w:jc w:val="right"/>
              <w:rPr>
                <w:b/>
                <w:bCs/>
                <w:color w:val="000000"/>
                <w:sz w:val="20"/>
                <w:szCs w:val="20"/>
              </w:rPr>
            </w:pPr>
            <w:r>
              <w:rPr>
                <w:b/>
                <w:bCs/>
                <w:color w:val="000000"/>
                <w:sz w:val="20"/>
                <w:szCs w:val="20"/>
              </w:rPr>
              <w:t>-0.060</w:t>
            </w:r>
          </w:p>
        </w:tc>
        <w:tc>
          <w:tcPr>
            <w:tcW w:w="864" w:type="dxa"/>
            <w:tcBorders>
              <w:top w:val="single" w:sz="12" w:space="0" w:color="auto"/>
              <w:left w:val="nil"/>
              <w:bottom w:val="nil"/>
              <w:right w:val="nil"/>
            </w:tcBorders>
            <w:shd w:val="clear" w:color="auto" w:fill="auto"/>
            <w:noWrap/>
            <w:vAlign w:val="bottom"/>
            <w:hideMark/>
          </w:tcPr>
          <w:p w14:paraId="353E2100" w14:textId="77777777" w:rsidR="003F7D97" w:rsidRDefault="003F7D97">
            <w:pPr>
              <w:jc w:val="right"/>
              <w:rPr>
                <w:b/>
                <w:bCs/>
                <w:color w:val="000000"/>
                <w:sz w:val="20"/>
                <w:szCs w:val="20"/>
              </w:rPr>
            </w:pPr>
            <w:r>
              <w:rPr>
                <w:b/>
                <w:bCs/>
                <w:color w:val="000000"/>
                <w:sz w:val="20"/>
                <w:szCs w:val="20"/>
              </w:rPr>
              <w:t>0.044</w:t>
            </w:r>
          </w:p>
        </w:tc>
        <w:tc>
          <w:tcPr>
            <w:tcW w:w="864" w:type="dxa"/>
            <w:tcBorders>
              <w:top w:val="single" w:sz="12" w:space="0" w:color="auto"/>
              <w:left w:val="nil"/>
              <w:bottom w:val="nil"/>
              <w:right w:val="nil"/>
            </w:tcBorders>
            <w:shd w:val="clear" w:color="auto" w:fill="auto"/>
            <w:noWrap/>
            <w:vAlign w:val="bottom"/>
            <w:hideMark/>
          </w:tcPr>
          <w:p w14:paraId="2B84D56B" w14:textId="77777777" w:rsidR="003F7D97" w:rsidRDefault="003F7D97">
            <w:pPr>
              <w:jc w:val="right"/>
              <w:rPr>
                <w:b/>
                <w:bCs/>
                <w:color w:val="000000"/>
                <w:sz w:val="20"/>
                <w:szCs w:val="20"/>
              </w:rPr>
            </w:pPr>
            <w:r>
              <w:rPr>
                <w:b/>
                <w:bCs/>
                <w:color w:val="000000"/>
                <w:sz w:val="20"/>
                <w:szCs w:val="20"/>
              </w:rPr>
              <w:t>0.004</w:t>
            </w:r>
          </w:p>
        </w:tc>
      </w:tr>
      <w:tr w:rsidR="003F7D97" w14:paraId="2C7E834F" w14:textId="77777777" w:rsidTr="003F7D97">
        <w:trPr>
          <w:trHeight w:val="320"/>
        </w:trPr>
        <w:tc>
          <w:tcPr>
            <w:tcW w:w="1152" w:type="dxa"/>
            <w:tcBorders>
              <w:top w:val="nil"/>
              <w:left w:val="nil"/>
              <w:bottom w:val="nil"/>
              <w:right w:val="nil"/>
            </w:tcBorders>
            <w:shd w:val="clear" w:color="auto" w:fill="auto"/>
            <w:noWrap/>
            <w:vAlign w:val="bottom"/>
            <w:hideMark/>
          </w:tcPr>
          <w:p w14:paraId="61ED1AC2" w14:textId="77777777" w:rsidR="003F7D97" w:rsidRDefault="003F7D97">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602871F2" w14:textId="77777777" w:rsidR="003F7D97" w:rsidRDefault="003F7D97">
            <w:pPr>
              <w:rPr>
                <w:color w:val="000000"/>
                <w:sz w:val="20"/>
                <w:szCs w:val="20"/>
              </w:rPr>
            </w:pPr>
            <w:r>
              <w:rPr>
                <w:color w:val="000000"/>
                <w:sz w:val="20"/>
                <w:szCs w:val="20"/>
              </w:rPr>
              <w:t>17%</w:t>
            </w:r>
          </w:p>
        </w:tc>
        <w:tc>
          <w:tcPr>
            <w:tcW w:w="864" w:type="dxa"/>
            <w:tcBorders>
              <w:top w:val="nil"/>
              <w:left w:val="nil"/>
              <w:bottom w:val="nil"/>
              <w:right w:val="nil"/>
            </w:tcBorders>
            <w:shd w:val="clear" w:color="auto" w:fill="auto"/>
            <w:noWrap/>
            <w:vAlign w:val="bottom"/>
            <w:hideMark/>
          </w:tcPr>
          <w:p w14:paraId="0AA83938" w14:textId="77777777" w:rsidR="003F7D97" w:rsidRDefault="003F7D97">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72A7C6D3" w14:textId="77777777" w:rsidR="003F7D97" w:rsidRDefault="003F7D97">
            <w:pPr>
              <w:jc w:val="right"/>
              <w:rPr>
                <w:color w:val="000000"/>
                <w:sz w:val="20"/>
                <w:szCs w:val="20"/>
              </w:rPr>
            </w:pPr>
            <w:r>
              <w:rPr>
                <w:color w:val="000000"/>
                <w:sz w:val="20"/>
                <w:szCs w:val="20"/>
              </w:rPr>
              <w:t>0.187</w:t>
            </w:r>
          </w:p>
        </w:tc>
        <w:tc>
          <w:tcPr>
            <w:tcW w:w="864" w:type="dxa"/>
            <w:tcBorders>
              <w:top w:val="nil"/>
              <w:left w:val="nil"/>
              <w:bottom w:val="nil"/>
              <w:right w:val="nil"/>
            </w:tcBorders>
            <w:shd w:val="clear" w:color="auto" w:fill="auto"/>
            <w:noWrap/>
            <w:vAlign w:val="bottom"/>
            <w:hideMark/>
          </w:tcPr>
          <w:p w14:paraId="2983704F" w14:textId="77777777" w:rsidR="003F7D97" w:rsidRDefault="003F7D97">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27850A8" w14:textId="77777777" w:rsidR="003F7D97" w:rsidRDefault="003F7D97">
            <w:pPr>
              <w:jc w:val="right"/>
              <w:rPr>
                <w:b/>
                <w:bCs/>
                <w:color w:val="000000"/>
                <w:sz w:val="20"/>
                <w:szCs w:val="20"/>
              </w:rPr>
            </w:pPr>
            <w:r>
              <w:rPr>
                <w:b/>
                <w:bCs/>
                <w:color w:val="000000"/>
                <w:sz w:val="20"/>
                <w:szCs w:val="20"/>
              </w:rPr>
              <w:t>-0.058</w:t>
            </w:r>
          </w:p>
        </w:tc>
        <w:tc>
          <w:tcPr>
            <w:tcW w:w="864" w:type="dxa"/>
            <w:tcBorders>
              <w:top w:val="nil"/>
              <w:left w:val="nil"/>
              <w:bottom w:val="nil"/>
              <w:right w:val="nil"/>
            </w:tcBorders>
            <w:shd w:val="clear" w:color="auto" w:fill="auto"/>
            <w:noWrap/>
            <w:vAlign w:val="bottom"/>
            <w:hideMark/>
          </w:tcPr>
          <w:p w14:paraId="4CBAFB39" w14:textId="77777777" w:rsidR="003F7D97" w:rsidRDefault="003F7D97">
            <w:pPr>
              <w:jc w:val="right"/>
              <w:rPr>
                <w:b/>
                <w:bCs/>
                <w:color w:val="000000"/>
                <w:sz w:val="20"/>
                <w:szCs w:val="20"/>
              </w:rPr>
            </w:pPr>
            <w:r>
              <w:rPr>
                <w:b/>
                <w:bCs/>
                <w:color w:val="000000"/>
                <w:sz w:val="20"/>
                <w:szCs w:val="20"/>
              </w:rPr>
              <w:t>0.044</w:t>
            </w:r>
          </w:p>
        </w:tc>
        <w:tc>
          <w:tcPr>
            <w:tcW w:w="864" w:type="dxa"/>
            <w:tcBorders>
              <w:top w:val="nil"/>
              <w:left w:val="nil"/>
              <w:bottom w:val="nil"/>
              <w:right w:val="nil"/>
            </w:tcBorders>
            <w:shd w:val="clear" w:color="auto" w:fill="auto"/>
            <w:noWrap/>
            <w:vAlign w:val="bottom"/>
            <w:hideMark/>
          </w:tcPr>
          <w:p w14:paraId="3C448A68" w14:textId="77777777" w:rsidR="003F7D97" w:rsidRDefault="003F7D97">
            <w:pPr>
              <w:jc w:val="right"/>
              <w:rPr>
                <w:b/>
                <w:bCs/>
                <w:color w:val="000000"/>
                <w:sz w:val="20"/>
                <w:szCs w:val="20"/>
              </w:rPr>
            </w:pPr>
            <w:r>
              <w:rPr>
                <w:b/>
                <w:bCs/>
                <w:color w:val="000000"/>
                <w:sz w:val="20"/>
                <w:szCs w:val="20"/>
              </w:rPr>
              <w:t>0.003</w:t>
            </w:r>
          </w:p>
        </w:tc>
      </w:tr>
      <w:tr w:rsidR="003F7D97" w14:paraId="2D794883" w14:textId="77777777" w:rsidTr="003F7D97">
        <w:trPr>
          <w:trHeight w:val="320"/>
        </w:trPr>
        <w:tc>
          <w:tcPr>
            <w:tcW w:w="1152" w:type="dxa"/>
            <w:tcBorders>
              <w:top w:val="nil"/>
              <w:left w:val="nil"/>
              <w:bottom w:val="nil"/>
              <w:right w:val="nil"/>
            </w:tcBorders>
            <w:shd w:val="clear" w:color="auto" w:fill="auto"/>
            <w:noWrap/>
            <w:vAlign w:val="bottom"/>
            <w:hideMark/>
          </w:tcPr>
          <w:p w14:paraId="0C804B23" w14:textId="77777777" w:rsidR="003F7D97" w:rsidRDefault="003F7D97">
            <w:pPr>
              <w:jc w:val="right"/>
              <w:rPr>
                <w:b/>
                <w:bCs/>
                <w:color w:val="000000"/>
                <w:sz w:val="20"/>
                <w:szCs w:val="20"/>
              </w:rPr>
            </w:pPr>
          </w:p>
        </w:tc>
        <w:tc>
          <w:tcPr>
            <w:tcW w:w="1027" w:type="dxa"/>
            <w:tcBorders>
              <w:top w:val="nil"/>
              <w:left w:val="nil"/>
              <w:bottom w:val="nil"/>
              <w:right w:val="nil"/>
            </w:tcBorders>
            <w:shd w:val="clear" w:color="auto" w:fill="auto"/>
            <w:noWrap/>
            <w:vAlign w:val="bottom"/>
            <w:hideMark/>
          </w:tcPr>
          <w:p w14:paraId="30CF4499" w14:textId="77777777" w:rsidR="003F7D97" w:rsidRDefault="003F7D97">
            <w:pPr>
              <w:rPr>
                <w:color w:val="000000"/>
                <w:sz w:val="20"/>
                <w:szCs w:val="20"/>
              </w:rPr>
            </w:pPr>
            <w:r>
              <w:rPr>
                <w:color w:val="000000"/>
                <w:sz w:val="20"/>
                <w:szCs w:val="20"/>
              </w:rPr>
              <w:t>23%</w:t>
            </w:r>
          </w:p>
        </w:tc>
        <w:tc>
          <w:tcPr>
            <w:tcW w:w="864" w:type="dxa"/>
            <w:tcBorders>
              <w:top w:val="nil"/>
              <w:left w:val="nil"/>
              <w:bottom w:val="nil"/>
              <w:right w:val="nil"/>
            </w:tcBorders>
            <w:shd w:val="clear" w:color="auto" w:fill="auto"/>
            <w:noWrap/>
            <w:vAlign w:val="bottom"/>
            <w:hideMark/>
          </w:tcPr>
          <w:p w14:paraId="1A8774FB" w14:textId="77777777" w:rsidR="003F7D97" w:rsidRDefault="003F7D97">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599F7B07" w14:textId="77777777" w:rsidR="003F7D97" w:rsidRDefault="003F7D97">
            <w:pPr>
              <w:jc w:val="right"/>
              <w:rPr>
                <w:color w:val="000000"/>
                <w:sz w:val="20"/>
                <w:szCs w:val="20"/>
              </w:rPr>
            </w:pPr>
            <w:r>
              <w:rPr>
                <w:color w:val="000000"/>
                <w:sz w:val="20"/>
                <w:szCs w:val="20"/>
              </w:rPr>
              <w:t>0.187</w:t>
            </w:r>
          </w:p>
        </w:tc>
        <w:tc>
          <w:tcPr>
            <w:tcW w:w="864" w:type="dxa"/>
            <w:tcBorders>
              <w:top w:val="nil"/>
              <w:left w:val="nil"/>
              <w:bottom w:val="nil"/>
              <w:right w:val="nil"/>
            </w:tcBorders>
            <w:shd w:val="clear" w:color="auto" w:fill="auto"/>
            <w:noWrap/>
            <w:vAlign w:val="bottom"/>
            <w:hideMark/>
          </w:tcPr>
          <w:p w14:paraId="563F9E13" w14:textId="77777777" w:rsidR="003F7D97" w:rsidRDefault="003F7D97">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1A01345" w14:textId="77777777" w:rsidR="003F7D97" w:rsidRDefault="003F7D97">
            <w:pPr>
              <w:jc w:val="right"/>
              <w:rPr>
                <w:b/>
                <w:bCs/>
                <w:color w:val="000000"/>
                <w:sz w:val="20"/>
                <w:szCs w:val="20"/>
              </w:rPr>
            </w:pPr>
            <w:r>
              <w:rPr>
                <w:b/>
                <w:bCs/>
                <w:color w:val="000000"/>
                <w:sz w:val="20"/>
                <w:szCs w:val="20"/>
              </w:rPr>
              <w:t>-0.061</w:t>
            </w:r>
          </w:p>
        </w:tc>
        <w:tc>
          <w:tcPr>
            <w:tcW w:w="864" w:type="dxa"/>
            <w:tcBorders>
              <w:top w:val="nil"/>
              <w:left w:val="nil"/>
              <w:bottom w:val="nil"/>
              <w:right w:val="nil"/>
            </w:tcBorders>
            <w:shd w:val="clear" w:color="auto" w:fill="auto"/>
            <w:noWrap/>
            <w:vAlign w:val="bottom"/>
            <w:hideMark/>
          </w:tcPr>
          <w:p w14:paraId="55102C23" w14:textId="77777777" w:rsidR="003F7D97" w:rsidRDefault="003F7D97">
            <w:pPr>
              <w:jc w:val="right"/>
              <w:rPr>
                <w:b/>
                <w:bCs/>
                <w:color w:val="000000"/>
                <w:sz w:val="20"/>
                <w:szCs w:val="20"/>
              </w:rPr>
            </w:pPr>
            <w:r>
              <w:rPr>
                <w:b/>
                <w:bCs/>
                <w:color w:val="000000"/>
                <w:sz w:val="20"/>
                <w:szCs w:val="20"/>
              </w:rPr>
              <w:t>0.044</w:t>
            </w:r>
          </w:p>
        </w:tc>
        <w:tc>
          <w:tcPr>
            <w:tcW w:w="864" w:type="dxa"/>
            <w:tcBorders>
              <w:top w:val="nil"/>
              <w:left w:val="nil"/>
              <w:bottom w:val="nil"/>
              <w:right w:val="nil"/>
            </w:tcBorders>
            <w:shd w:val="clear" w:color="auto" w:fill="auto"/>
            <w:noWrap/>
            <w:vAlign w:val="bottom"/>
            <w:hideMark/>
          </w:tcPr>
          <w:p w14:paraId="687A0E08" w14:textId="77777777" w:rsidR="003F7D97" w:rsidRDefault="003F7D97">
            <w:pPr>
              <w:jc w:val="right"/>
              <w:rPr>
                <w:b/>
                <w:bCs/>
                <w:color w:val="000000"/>
                <w:sz w:val="20"/>
                <w:szCs w:val="20"/>
              </w:rPr>
            </w:pPr>
            <w:r>
              <w:rPr>
                <w:b/>
                <w:bCs/>
                <w:color w:val="000000"/>
                <w:sz w:val="20"/>
                <w:szCs w:val="20"/>
              </w:rPr>
              <w:t>0.004</w:t>
            </w:r>
          </w:p>
        </w:tc>
      </w:tr>
      <w:tr w:rsidR="003F7D97" w14:paraId="02B61AEB"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20DF89E1" w14:textId="77777777" w:rsidR="003F7D97" w:rsidRDefault="003F7D97">
            <w:pPr>
              <w:rPr>
                <w:color w:val="000000"/>
                <w:sz w:val="20"/>
                <w:szCs w:val="20"/>
              </w:rPr>
            </w:pPr>
            <w:r>
              <w:rPr>
                <w:color w:val="000000"/>
                <w:sz w:val="20"/>
                <w:szCs w:val="20"/>
              </w:rPr>
              <w:t> </w:t>
            </w:r>
          </w:p>
        </w:tc>
        <w:tc>
          <w:tcPr>
            <w:tcW w:w="1027" w:type="dxa"/>
            <w:tcBorders>
              <w:top w:val="nil"/>
              <w:left w:val="nil"/>
              <w:bottom w:val="single" w:sz="12" w:space="0" w:color="auto"/>
              <w:right w:val="nil"/>
            </w:tcBorders>
            <w:shd w:val="clear" w:color="auto" w:fill="auto"/>
            <w:noWrap/>
            <w:vAlign w:val="bottom"/>
            <w:hideMark/>
          </w:tcPr>
          <w:p w14:paraId="3AB950BC" w14:textId="77777777" w:rsidR="003F7D97" w:rsidRDefault="003F7D97">
            <w:pPr>
              <w:rPr>
                <w:color w:val="000000"/>
                <w:sz w:val="20"/>
                <w:szCs w:val="20"/>
              </w:rPr>
            </w:pPr>
            <w:r>
              <w:rPr>
                <w:color w:val="000000"/>
                <w:sz w:val="20"/>
                <w:szCs w:val="20"/>
              </w:rPr>
              <w:t>30%</w:t>
            </w:r>
          </w:p>
        </w:tc>
        <w:tc>
          <w:tcPr>
            <w:tcW w:w="864" w:type="dxa"/>
            <w:tcBorders>
              <w:top w:val="nil"/>
              <w:left w:val="nil"/>
              <w:bottom w:val="single" w:sz="12" w:space="0" w:color="auto"/>
              <w:right w:val="nil"/>
            </w:tcBorders>
            <w:shd w:val="clear" w:color="auto" w:fill="auto"/>
            <w:noWrap/>
            <w:vAlign w:val="bottom"/>
            <w:hideMark/>
          </w:tcPr>
          <w:p w14:paraId="725B0786" w14:textId="77777777" w:rsidR="003F7D97" w:rsidRDefault="003F7D97">
            <w:pPr>
              <w:jc w:val="right"/>
              <w:rPr>
                <w:color w:val="000000"/>
                <w:sz w:val="20"/>
                <w:szCs w:val="20"/>
              </w:rPr>
            </w:pPr>
            <w:r>
              <w:rPr>
                <w:color w:val="000000"/>
                <w:sz w:val="20"/>
                <w:szCs w:val="20"/>
              </w:rPr>
              <w:t>-0.045</w:t>
            </w:r>
          </w:p>
        </w:tc>
        <w:tc>
          <w:tcPr>
            <w:tcW w:w="864" w:type="dxa"/>
            <w:tcBorders>
              <w:top w:val="nil"/>
              <w:left w:val="nil"/>
              <w:bottom w:val="single" w:sz="12" w:space="0" w:color="auto"/>
              <w:right w:val="nil"/>
            </w:tcBorders>
            <w:shd w:val="clear" w:color="auto" w:fill="auto"/>
            <w:noWrap/>
            <w:vAlign w:val="bottom"/>
            <w:hideMark/>
          </w:tcPr>
          <w:p w14:paraId="293C879B" w14:textId="77777777" w:rsidR="003F7D97" w:rsidRDefault="003F7D97">
            <w:pPr>
              <w:jc w:val="right"/>
              <w:rPr>
                <w:color w:val="000000"/>
                <w:sz w:val="20"/>
                <w:szCs w:val="20"/>
              </w:rPr>
            </w:pPr>
            <w:r>
              <w:rPr>
                <w:color w:val="000000"/>
                <w:sz w:val="20"/>
                <w:szCs w:val="20"/>
              </w:rPr>
              <w:t>0.187</w:t>
            </w:r>
          </w:p>
        </w:tc>
        <w:tc>
          <w:tcPr>
            <w:tcW w:w="864" w:type="dxa"/>
            <w:tcBorders>
              <w:top w:val="nil"/>
              <w:left w:val="nil"/>
              <w:bottom w:val="single" w:sz="12" w:space="0" w:color="auto"/>
              <w:right w:val="nil"/>
            </w:tcBorders>
            <w:shd w:val="clear" w:color="auto" w:fill="auto"/>
            <w:noWrap/>
            <w:vAlign w:val="bottom"/>
            <w:hideMark/>
          </w:tcPr>
          <w:p w14:paraId="122B1CC1" w14:textId="77777777" w:rsidR="003F7D97" w:rsidRDefault="003F7D97">
            <w:pPr>
              <w:jc w:val="right"/>
              <w:rPr>
                <w:color w:val="000000"/>
                <w:sz w:val="20"/>
                <w:szCs w:val="20"/>
              </w:rPr>
            </w:pPr>
            <w:r>
              <w:rPr>
                <w:color w:val="000000"/>
                <w:sz w:val="20"/>
                <w:szCs w:val="20"/>
              </w:rPr>
              <w:t>0.002</w:t>
            </w:r>
          </w:p>
        </w:tc>
        <w:tc>
          <w:tcPr>
            <w:tcW w:w="864" w:type="dxa"/>
            <w:tcBorders>
              <w:top w:val="nil"/>
              <w:left w:val="nil"/>
              <w:bottom w:val="single" w:sz="12" w:space="0" w:color="auto"/>
              <w:right w:val="nil"/>
            </w:tcBorders>
            <w:shd w:val="clear" w:color="auto" w:fill="auto"/>
            <w:noWrap/>
            <w:vAlign w:val="bottom"/>
            <w:hideMark/>
          </w:tcPr>
          <w:p w14:paraId="1AFACA9E" w14:textId="77777777" w:rsidR="003F7D97" w:rsidRDefault="003F7D97">
            <w:pPr>
              <w:jc w:val="right"/>
              <w:rPr>
                <w:b/>
                <w:bCs/>
                <w:color w:val="000000"/>
                <w:sz w:val="20"/>
                <w:szCs w:val="20"/>
              </w:rPr>
            </w:pPr>
            <w:r>
              <w:rPr>
                <w:b/>
                <w:bCs/>
                <w:color w:val="000000"/>
                <w:sz w:val="20"/>
                <w:szCs w:val="20"/>
              </w:rPr>
              <w:t>-0.062</w:t>
            </w:r>
          </w:p>
        </w:tc>
        <w:tc>
          <w:tcPr>
            <w:tcW w:w="864" w:type="dxa"/>
            <w:tcBorders>
              <w:top w:val="nil"/>
              <w:left w:val="nil"/>
              <w:bottom w:val="single" w:sz="12" w:space="0" w:color="auto"/>
              <w:right w:val="nil"/>
            </w:tcBorders>
            <w:shd w:val="clear" w:color="auto" w:fill="auto"/>
            <w:noWrap/>
            <w:vAlign w:val="bottom"/>
            <w:hideMark/>
          </w:tcPr>
          <w:p w14:paraId="223BD336" w14:textId="77777777" w:rsidR="003F7D97" w:rsidRDefault="003F7D97">
            <w:pPr>
              <w:jc w:val="right"/>
              <w:rPr>
                <w:b/>
                <w:bCs/>
                <w:color w:val="000000"/>
                <w:sz w:val="20"/>
                <w:szCs w:val="20"/>
              </w:rPr>
            </w:pPr>
            <w:r>
              <w:rPr>
                <w:b/>
                <w:bCs/>
                <w:color w:val="000000"/>
                <w:sz w:val="20"/>
                <w:szCs w:val="20"/>
              </w:rPr>
              <w:t>0.044</w:t>
            </w:r>
          </w:p>
        </w:tc>
        <w:tc>
          <w:tcPr>
            <w:tcW w:w="864" w:type="dxa"/>
            <w:tcBorders>
              <w:top w:val="nil"/>
              <w:left w:val="nil"/>
              <w:bottom w:val="single" w:sz="12" w:space="0" w:color="auto"/>
              <w:right w:val="nil"/>
            </w:tcBorders>
            <w:shd w:val="clear" w:color="auto" w:fill="auto"/>
            <w:noWrap/>
            <w:vAlign w:val="bottom"/>
            <w:hideMark/>
          </w:tcPr>
          <w:p w14:paraId="6C2280DA" w14:textId="77777777" w:rsidR="003F7D97" w:rsidRDefault="003F7D97">
            <w:pPr>
              <w:jc w:val="right"/>
              <w:rPr>
                <w:b/>
                <w:bCs/>
                <w:color w:val="000000"/>
                <w:sz w:val="20"/>
                <w:szCs w:val="20"/>
              </w:rPr>
            </w:pPr>
            <w:r>
              <w:rPr>
                <w:b/>
                <w:bCs/>
                <w:color w:val="000000"/>
                <w:sz w:val="20"/>
                <w:szCs w:val="20"/>
              </w:rPr>
              <w:t>0.004</w:t>
            </w:r>
          </w:p>
        </w:tc>
      </w:tr>
      <w:tr w:rsidR="003F7D97" w14:paraId="2C13B21C"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1F335641" w14:textId="77777777" w:rsidR="003F7D97" w:rsidRDefault="003F7D97">
            <w:pPr>
              <w:jc w:val="right"/>
              <w:rPr>
                <w:b/>
                <w:bCs/>
                <w:color w:val="000000"/>
                <w:sz w:val="20"/>
                <w:szCs w:val="20"/>
              </w:rPr>
            </w:pPr>
          </w:p>
        </w:tc>
        <w:tc>
          <w:tcPr>
            <w:tcW w:w="1027" w:type="dxa"/>
            <w:tcBorders>
              <w:top w:val="single" w:sz="12" w:space="0" w:color="auto"/>
              <w:left w:val="nil"/>
              <w:bottom w:val="nil"/>
              <w:right w:val="nil"/>
            </w:tcBorders>
            <w:shd w:val="clear" w:color="auto" w:fill="auto"/>
            <w:noWrap/>
            <w:vAlign w:val="bottom"/>
            <w:hideMark/>
          </w:tcPr>
          <w:p w14:paraId="0F80CDE4" w14:textId="77777777" w:rsidR="003F7D97" w:rsidRDefault="003F7D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B6758E0" w14:textId="77777777" w:rsidR="003F7D97" w:rsidRDefault="003F7D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6C97A4B" w14:textId="77777777" w:rsidR="003F7D97" w:rsidRDefault="003F7D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A655ED3" w14:textId="77777777" w:rsidR="003F7D97" w:rsidRDefault="003F7D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DF37462" w14:textId="77777777" w:rsidR="003F7D97" w:rsidRDefault="003F7D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FC4A220" w14:textId="77777777" w:rsidR="003F7D97" w:rsidRDefault="003F7D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58C8D3F" w14:textId="77777777" w:rsidR="003F7D97" w:rsidRDefault="003F7D97">
            <w:pPr>
              <w:rPr>
                <w:sz w:val="20"/>
                <w:szCs w:val="20"/>
              </w:rPr>
            </w:pPr>
          </w:p>
        </w:tc>
      </w:tr>
    </w:tbl>
    <w:p w14:paraId="32C6E619" w14:textId="77777777" w:rsidR="006D0B73" w:rsidRDefault="00EE0A4C" w:rsidP="00A91096">
      <w:pPr>
        <w:rPr>
          <w:color w:val="000000"/>
        </w:rPr>
      </w:pPr>
      <w:r w:rsidRPr="00235E0F">
        <w:rPr>
          <w:bCs/>
          <w:i/>
          <w:iCs/>
          <w:color w:val="000000" w:themeColor="text1"/>
        </w:rPr>
        <w:t>Note</w:t>
      </w:r>
      <w:r w:rsidRPr="00235E0F">
        <w:rPr>
          <w:bCs/>
          <w:color w:val="000000" w:themeColor="text1"/>
        </w:rPr>
        <w:t xml:space="preserve">. </w:t>
      </w:r>
      <w:r>
        <w:rPr>
          <w:bCs/>
          <w:color w:val="000000" w:themeColor="text1"/>
        </w:rPr>
        <w:t>En-Back = emotional n-back task; MID = monetary incentive delay task; SST = stop signal task</w:t>
      </w:r>
      <w:r>
        <w:rPr>
          <w:color w:val="000000"/>
        </w:rPr>
        <w:t xml:space="preserve"> </w:t>
      </w:r>
    </w:p>
    <w:p w14:paraId="36C2DD47" w14:textId="77777777" w:rsidR="006D0B73" w:rsidRDefault="006D0B73">
      <w:pPr>
        <w:rPr>
          <w:rStyle w:val="Heading1Char"/>
          <w:rFonts w:ascii="Times New Roman" w:eastAsia="Times New Roman" w:hAnsi="Times New Roman" w:cs="Times New Roman"/>
          <w:b/>
          <w:bCs/>
          <w:color w:val="auto"/>
          <w:sz w:val="24"/>
          <w:szCs w:val="24"/>
        </w:rPr>
      </w:pPr>
      <w:r>
        <w:rPr>
          <w:rStyle w:val="Heading1Char"/>
          <w:rFonts w:ascii="Times New Roman" w:eastAsia="Times New Roman" w:hAnsi="Times New Roman" w:cs="Times New Roman"/>
          <w:b/>
          <w:bCs/>
          <w:color w:val="auto"/>
          <w:sz w:val="24"/>
          <w:szCs w:val="24"/>
        </w:rPr>
        <w:br w:type="page"/>
      </w:r>
    </w:p>
    <w:p w14:paraId="624D3A12" w14:textId="13762700" w:rsidR="00013F1D" w:rsidRPr="00A91096" w:rsidRDefault="00013F1D" w:rsidP="00A91096">
      <w:pPr>
        <w:rPr>
          <w:color w:val="000000"/>
        </w:rPr>
      </w:pPr>
      <w:bookmarkStart w:id="82" w:name="_Toc155817749"/>
      <w:r w:rsidRPr="006D0B73">
        <w:rPr>
          <w:rStyle w:val="Heading1Char"/>
          <w:rFonts w:ascii="Times New Roman" w:hAnsi="Times New Roman" w:cs="Times New Roman"/>
          <w:b/>
          <w:bCs/>
          <w:color w:val="auto"/>
          <w:sz w:val="24"/>
          <w:szCs w:val="24"/>
        </w:rPr>
        <w:lastRenderedPageBreak/>
        <w:t>Table 2</w:t>
      </w:r>
      <w:r w:rsidR="0036523A" w:rsidRPr="006D0B73">
        <w:rPr>
          <w:rStyle w:val="Heading1Char"/>
          <w:rFonts w:ascii="Times New Roman" w:hAnsi="Times New Roman" w:cs="Times New Roman"/>
          <w:b/>
          <w:bCs/>
          <w:color w:val="auto"/>
          <w:sz w:val="24"/>
          <w:szCs w:val="24"/>
        </w:rPr>
        <w:t>8</w:t>
      </w:r>
      <w:r w:rsidRPr="006D0B73">
        <w:rPr>
          <w:rStyle w:val="Heading1Char"/>
          <w:rFonts w:ascii="Times New Roman" w:hAnsi="Times New Roman" w:cs="Times New Roman"/>
          <w:b/>
          <w:bCs/>
          <w:color w:val="auto"/>
          <w:sz w:val="24"/>
          <w:szCs w:val="24"/>
        </w:rPr>
        <w:t>b.</w:t>
      </w:r>
      <w:r w:rsidRPr="006D0B73">
        <w:rPr>
          <w:rStyle w:val="Heading1Char"/>
          <w:rFonts w:ascii="Times New Roman" w:hAnsi="Times New Roman" w:cs="Times New Roman"/>
          <w:color w:val="auto"/>
          <w:sz w:val="24"/>
          <w:szCs w:val="24"/>
        </w:rPr>
        <w:t xml:space="preserve"> Results examining the relationship between Shen-268 network average shortest path and urbanicity obtained from bifactor modeling and </w:t>
      </w:r>
      <w:r w:rsidR="00BC7CC0" w:rsidRPr="006D0B73">
        <w:rPr>
          <w:rStyle w:val="Heading1Char"/>
          <w:rFonts w:ascii="Times New Roman" w:hAnsi="Times New Roman" w:cs="Times New Roman"/>
          <w:color w:val="auto"/>
          <w:sz w:val="24"/>
          <w:szCs w:val="24"/>
        </w:rPr>
        <w:t>pollution (NO2</w:t>
      </w:r>
      <w:r w:rsidR="001A4885" w:rsidRPr="006D0B73">
        <w:rPr>
          <w:rStyle w:val="Heading1Char"/>
          <w:rFonts w:ascii="Times New Roman" w:hAnsi="Times New Roman" w:cs="Times New Roman"/>
          <w:color w:val="auto"/>
          <w:sz w:val="24"/>
          <w:szCs w:val="24"/>
        </w:rPr>
        <w:t xml:space="preserve"> level</w:t>
      </w:r>
      <w:r w:rsidR="00C67A42" w:rsidRPr="006D0B73">
        <w:rPr>
          <w:rStyle w:val="Heading1Char"/>
          <w:rFonts w:ascii="Times New Roman" w:hAnsi="Times New Roman" w:cs="Times New Roman"/>
          <w:color w:val="auto"/>
          <w:sz w:val="24"/>
          <w:szCs w:val="24"/>
        </w:rPr>
        <w:t>)</w:t>
      </w:r>
      <w:r w:rsidRPr="006D0B73">
        <w:rPr>
          <w:rStyle w:val="Heading1Char"/>
          <w:rFonts w:ascii="Times New Roman" w:hAnsi="Times New Roman" w:cs="Times New Roman"/>
          <w:color w:val="auto"/>
          <w:sz w:val="24"/>
          <w:szCs w:val="24"/>
        </w:rPr>
        <w:t xml:space="preserve"> during rest</w:t>
      </w:r>
      <w:bookmarkEnd w:id="82"/>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CB4D42" w14:paraId="28BA3D95"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29C4C28E" w14:textId="77777777" w:rsidR="00CB4D42" w:rsidRDefault="00CB4D42">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bottom"/>
            <w:hideMark/>
          </w:tcPr>
          <w:p w14:paraId="7C68828C" w14:textId="77777777" w:rsidR="00CB4D42" w:rsidRDefault="00CB4D42">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50652134" w14:textId="77777777" w:rsidR="00CB4D42" w:rsidRDefault="00CB4D42">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52B7BAE8" w14:textId="77777777" w:rsidR="00CB4D42" w:rsidRDefault="00CB4D42">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6D8A2926" w14:textId="77777777" w:rsidR="00CB4D42" w:rsidRDefault="00CB4D42">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685992F5" w14:textId="77777777" w:rsidR="00CB4D42" w:rsidRDefault="00CB4D42">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4F67C075" w14:textId="77777777" w:rsidR="00CB4D42" w:rsidRDefault="00CB4D42">
            <w:pPr>
              <w:rPr>
                <w:color w:val="000000"/>
                <w:sz w:val="20"/>
                <w:szCs w:val="20"/>
              </w:rPr>
            </w:pPr>
            <w:r>
              <w:rPr>
                <w:color w:val="000000"/>
                <w:sz w:val="20"/>
                <w:szCs w:val="20"/>
              </w:rPr>
              <w:t> </w:t>
            </w:r>
          </w:p>
        </w:tc>
        <w:tc>
          <w:tcPr>
            <w:tcW w:w="864" w:type="dxa"/>
            <w:tcBorders>
              <w:top w:val="nil"/>
              <w:left w:val="nil"/>
              <w:bottom w:val="single" w:sz="8" w:space="0" w:color="auto"/>
              <w:right w:val="nil"/>
            </w:tcBorders>
            <w:shd w:val="clear" w:color="auto" w:fill="auto"/>
            <w:noWrap/>
            <w:vAlign w:val="bottom"/>
            <w:hideMark/>
          </w:tcPr>
          <w:p w14:paraId="5A4F2138" w14:textId="77777777" w:rsidR="00CB4D42" w:rsidRDefault="00CB4D42">
            <w:pPr>
              <w:rPr>
                <w:color w:val="000000"/>
                <w:sz w:val="20"/>
                <w:szCs w:val="20"/>
              </w:rPr>
            </w:pPr>
            <w:r>
              <w:rPr>
                <w:color w:val="000000"/>
                <w:sz w:val="20"/>
                <w:szCs w:val="20"/>
              </w:rPr>
              <w:t> </w:t>
            </w:r>
          </w:p>
        </w:tc>
      </w:tr>
      <w:tr w:rsidR="00CB4D42" w14:paraId="0AF5A087"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0BD9479C" w14:textId="77777777" w:rsidR="00CB4D42" w:rsidRDefault="00CB4D42">
            <w:pPr>
              <w:rPr>
                <w:color w:val="000000"/>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299CF447" w14:textId="77777777" w:rsidR="00CB4D42" w:rsidRDefault="00CB4D42">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05542203" w14:textId="77777777" w:rsidR="00CB4D42" w:rsidRDefault="00CB4D42">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8" w:space="0" w:color="auto"/>
              <w:right w:val="nil"/>
            </w:tcBorders>
            <w:shd w:val="clear" w:color="auto" w:fill="auto"/>
            <w:noWrap/>
            <w:vAlign w:val="center"/>
            <w:hideMark/>
          </w:tcPr>
          <w:p w14:paraId="07A974E1" w14:textId="7E53EBF9" w:rsidR="00CB4D42" w:rsidRDefault="00CB4D42">
            <w:pPr>
              <w:jc w:val="center"/>
              <w:rPr>
                <w:color w:val="000000"/>
                <w:sz w:val="20"/>
                <w:szCs w:val="20"/>
              </w:rPr>
            </w:pPr>
            <w:r>
              <w:rPr>
                <w:color w:val="000000"/>
                <w:sz w:val="20"/>
                <w:szCs w:val="20"/>
              </w:rPr>
              <w:t>Pollution (NO2</w:t>
            </w:r>
            <w:r w:rsidR="00EE478D">
              <w:rPr>
                <w:color w:val="000000"/>
                <w:sz w:val="20"/>
                <w:szCs w:val="20"/>
              </w:rPr>
              <w:t xml:space="preserve"> level</w:t>
            </w:r>
            <w:r>
              <w:rPr>
                <w:color w:val="000000"/>
                <w:sz w:val="20"/>
                <w:szCs w:val="20"/>
              </w:rPr>
              <w:t>)</w:t>
            </w:r>
          </w:p>
        </w:tc>
      </w:tr>
      <w:tr w:rsidR="00CB4D42" w14:paraId="69CEEEDE"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0C1C04C8" w14:textId="77777777" w:rsidR="00CB4D42" w:rsidRDefault="00CB4D42">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29F026CD" w14:textId="77777777" w:rsidR="00CB4D42" w:rsidRDefault="00CB4D42">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7D0D5E83" w14:textId="77777777" w:rsidR="00CB4D42" w:rsidRDefault="00CB4D42">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04EFB1D8" w14:textId="77777777" w:rsidR="00CB4D42" w:rsidRDefault="00CB4D42">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bottom"/>
            <w:hideMark/>
          </w:tcPr>
          <w:p w14:paraId="7A864E75" w14:textId="77777777" w:rsidR="00CB4D42" w:rsidRDefault="00CB4D42">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0D7CD80B" w14:textId="77777777" w:rsidR="00CB4D42" w:rsidRDefault="00CB4D42">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0978C317" w14:textId="77777777" w:rsidR="00CB4D42" w:rsidRDefault="00CB4D42">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bottom"/>
            <w:hideMark/>
          </w:tcPr>
          <w:p w14:paraId="78E0F975" w14:textId="77777777" w:rsidR="00CB4D42" w:rsidRDefault="00CB4D42">
            <w:pPr>
              <w:jc w:val="center"/>
              <w:rPr>
                <w:i/>
                <w:iCs/>
                <w:color w:val="000000"/>
                <w:sz w:val="20"/>
                <w:szCs w:val="20"/>
              </w:rPr>
            </w:pPr>
            <w:r>
              <w:rPr>
                <w:i/>
                <w:iCs/>
                <w:color w:val="000000"/>
                <w:sz w:val="20"/>
                <w:szCs w:val="20"/>
              </w:rPr>
              <w:t>R2</w:t>
            </w:r>
          </w:p>
        </w:tc>
      </w:tr>
      <w:tr w:rsidR="00CB4D42" w14:paraId="16B76DB9"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42AEB41B" w14:textId="77777777" w:rsidR="00CB4D42" w:rsidRDefault="00CB4D42">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43405A82" w14:textId="77777777" w:rsidR="00CB4D42" w:rsidRDefault="00CB4D42">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16DCF9E2" w14:textId="77777777" w:rsidR="00CB4D42" w:rsidRDefault="00CB4D42">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366AFF9C" w14:textId="77777777" w:rsidR="00CB4D42" w:rsidRDefault="00CB4D42">
            <w:pPr>
              <w:jc w:val="right"/>
              <w:rPr>
                <w:color w:val="000000"/>
                <w:sz w:val="20"/>
                <w:szCs w:val="20"/>
              </w:rPr>
            </w:pPr>
            <w:r>
              <w:rPr>
                <w:color w:val="000000"/>
                <w:sz w:val="20"/>
                <w:szCs w:val="20"/>
              </w:rPr>
              <w:t>0.976</w:t>
            </w:r>
          </w:p>
        </w:tc>
        <w:tc>
          <w:tcPr>
            <w:tcW w:w="864" w:type="dxa"/>
            <w:tcBorders>
              <w:top w:val="single" w:sz="12" w:space="0" w:color="auto"/>
              <w:left w:val="nil"/>
              <w:bottom w:val="nil"/>
              <w:right w:val="nil"/>
            </w:tcBorders>
            <w:shd w:val="clear" w:color="auto" w:fill="auto"/>
            <w:noWrap/>
            <w:vAlign w:val="bottom"/>
            <w:hideMark/>
          </w:tcPr>
          <w:p w14:paraId="41DCD977" w14:textId="77777777" w:rsidR="00CB4D42" w:rsidRDefault="00CB4D42">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508F833F" w14:textId="77777777" w:rsidR="00CB4D42" w:rsidRDefault="00CB4D42">
            <w:pPr>
              <w:jc w:val="right"/>
              <w:rPr>
                <w:color w:val="000000"/>
                <w:sz w:val="20"/>
                <w:szCs w:val="20"/>
              </w:rPr>
            </w:pPr>
            <w:r>
              <w:rPr>
                <w:color w:val="000000"/>
                <w:sz w:val="20"/>
                <w:szCs w:val="20"/>
              </w:rPr>
              <w:t>0.017</w:t>
            </w:r>
          </w:p>
        </w:tc>
        <w:tc>
          <w:tcPr>
            <w:tcW w:w="864" w:type="dxa"/>
            <w:tcBorders>
              <w:top w:val="single" w:sz="12" w:space="0" w:color="auto"/>
              <w:left w:val="nil"/>
              <w:bottom w:val="nil"/>
              <w:right w:val="nil"/>
            </w:tcBorders>
            <w:shd w:val="clear" w:color="auto" w:fill="auto"/>
            <w:noWrap/>
            <w:vAlign w:val="bottom"/>
            <w:hideMark/>
          </w:tcPr>
          <w:p w14:paraId="2CAAD9A3" w14:textId="77777777" w:rsidR="00CB4D42" w:rsidRDefault="00CB4D42">
            <w:pPr>
              <w:jc w:val="right"/>
              <w:rPr>
                <w:color w:val="000000"/>
                <w:sz w:val="20"/>
                <w:szCs w:val="20"/>
              </w:rPr>
            </w:pPr>
            <w:r>
              <w:rPr>
                <w:color w:val="000000"/>
                <w:sz w:val="20"/>
                <w:szCs w:val="20"/>
              </w:rPr>
              <w:t>0.784</w:t>
            </w:r>
          </w:p>
        </w:tc>
        <w:tc>
          <w:tcPr>
            <w:tcW w:w="864" w:type="dxa"/>
            <w:tcBorders>
              <w:top w:val="single" w:sz="12" w:space="0" w:color="auto"/>
              <w:left w:val="nil"/>
              <w:bottom w:val="nil"/>
              <w:right w:val="nil"/>
            </w:tcBorders>
            <w:shd w:val="clear" w:color="auto" w:fill="auto"/>
            <w:noWrap/>
            <w:vAlign w:val="bottom"/>
            <w:hideMark/>
          </w:tcPr>
          <w:p w14:paraId="316BFC36" w14:textId="77777777" w:rsidR="00CB4D42" w:rsidRDefault="00CB4D42">
            <w:pPr>
              <w:jc w:val="right"/>
              <w:rPr>
                <w:color w:val="000000"/>
                <w:sz w:val="20"/>
                <w:szCs w:val="20"/>
              </w:rPr>
            </w:pPr>
            <w:r>
              <w:rPr>
                <w:color w:val="000000"/>
                <w:sz w:val="20"/>
                <w:szCs w:val="20"/>
              </w:rPr>
              <w:t>0.000</w:t>
            </w:r>
          </w:p>
        </w:tc>
      </w:tr>
      <w:tr w:rsidR="00CB4D42" w14:paraId="56B312B5" w14:textId="77777777" w:rsidTr="00CB4D42">
        <w:trPr>
          <w:trHeight w:val="340"/>
        </w:trPr>
        <w:tc>
          <w:tcPr>
            <w:tcW w:w="1152" w:type="dxa"/>
            <w:tcBorders>
              <w:top w:val="nil"/>
              <w:left w:val="nil"/>
              <w:bottom w:val="nil"/>
              <w:right w:val="nil"/>
            </w:tcBorders>
            <w:shd w:val="clear" w:color="auto" w:fill="auto"/>
            <w:noWrap/>
            <w:vAlign w:val="bottom"/>
            <w:hideMark/>
          </w:tcPr>
          <w:p w14:paraId="15F91E56"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10D91B3" w14:textId="77777777" w:rsidR="00CB4D42" w:rsidRDefault="00CB4D42">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09B4C4E" w14:textId="77777777" w:rsidR="00CB4D42" w:rsidRDefault="00CB4D42">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70CB22BA" w14:textId="77777777" w:rsidR="00CB4D42" w:rsidRDefault="00CB4D42">
            <w:pPr>
              <w:jc w:val="right"/>
              <w:rPr>
                <w:color w:val="000000"/>
                <w:sz w:val="20"/>
                <w:szCs w:val="20"/>
              </w:rPr>
            </w:pPr>
            <w:r>
              <w:rPr>
                <w:color w:val="000000"/>
                <w:sz w:val="20"/>
                <w:szCs w:val="20"/>
              </w:rPr>
              <w:t>0.976</w:t>
            </w:r>
          </w:p>
        </w:tc>
        <w:tc>
          <w:tcPr>
            <w:tcW w:w="864" w:type="dxa"/>
            <w:tcBorders>
              <w:top w:val="nil"/>
              <w:left w:val="nil"/>
              <w:bottom w:val="nil"/>
              <w:right w:val="nil"/>
            </w:tcBorders>
            <w:shd w:val="clear" w:color="auto" w:fill="auto"/>
            <w:noWrap/>
            <w:vAlign w:val="bottom"/>
            <w:hideMark/>
          </w:tcPr>
          <w:p w14:paraId="3C0023F8"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C70B83C" w14:textId="77777777" w:rsidR="00CB4D42" w:rsidRDefault="00CB4D42">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3B58B927" w14:textId="77777777" w:rsidR="00CB4D42" w:rsidRDefault="00CB4D42">
            <w:pPr>
              <w:jc w:val="right"/>
              <w:rPr>
                <w:color w:val="000000"/>
                <w:sz w:val="20"/>
                <w:szCs w:val="20"/>
              </w:rPr>
            </w:pPr>
            <w:r>
              <w:rPr>
                <w:color w:val="000000"/>
                <w:sz w:val="20"/>
                <w:szCs w:val="20"/>
              </w:rPr>
              <w:t>0.618</w:t>
            </w:r>
          </w:p>
        </w:tc>
        <w:tc>
          <w:tcPr>
            <w:tcW w:w="864" w:type="dxa"/>
            <w:tcBorders>
              <w:top w:val="nil"/>
              <w:left w:val="nil"/>
              <w:bottom w:val="nil"/>
              <w:right w:val="nil"/>
            </w:tcBorders>
            <w:shd w:val="clear" w:color="auto" w:fill="auto"/>
            <w:noWrap/>
            <w:vAlign w:val="bottom"/>
            <w:hideMark/>
          </w:tcPr>
          <w:p w14:paraId="55C3E19C" w14:textId="77777777" w:rsidR="00CB4D42" w:rsidRDefault="00CB4D42">
            <w:pPr>
              <w:jc w:val="right"/>
              <w:rPr>
                <w:color w:val="000000"/>
                <w:sz w:val="20"/>
                <w:szCs w:val="20"/>
              </w:rPr>
            </w:pPr>
            <w:r>
              <w:rPr>
                <w:color w:val="000000"/>
                <w:sz w:val="20"/>
                <w:szCs w:val="20"/>
              </w:rPr>
              <w:t>0.001</w:t>
            </w:r>
          </w:p>
        </w:tc>
      </w:tr>
      <w:tr w:rsidR="00CB4D42" w14:paraId="0F02E838" w14:textId="77777777" w:rsidTr="00CB4D42">
        <w:trPr>
          <w:trHeight w:val="320"/>
        </w:trPr>
        <w:tc>
          <w:tcPr>
            <w:tcW w:w="1152" w:type="dxa"/>
            <w:tcBorders>
              <w:top w:val="nil"/>
              <w:left w:val="nil"/>
              <w:bottom w:val="nil"/>
              <w:right w:val="nil"/>
            </w:tcBorders>
            <w:shd w:val="clear" w:color="auto" w:fill="auto"/>
            <w:noWrap/>
            <w:vAlign w:val="bottom"/>
            <w:hideMark/>
          </w:tcPr>
          <w:p w14:paraId="2EE19F51"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A9C00B" w14:textId="77777777" w:rsidR="00CB4D42" w:rsidRDefault="00CB4D42">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B3922C4" w14:textId="77777777" w:rsidR="00CB4D42" w:rsidRDefault="00CB4D42">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9F77898" w14:textId="77777777" w:rsidR="00CB4D42" w:rsidRDefault="00CB4D42">
            <w:pPr>
              <w:jc w:val="right"/>
              <w:rPr>
                <w:color w:val="000000"/>
                <w:sz w:val="20"/>
                <w:szCs w:val="20"/>
              </w:rPr>
            </w:pPr>
            <w:r>
              <w:rPr>
                <w:color w:val="000000"/>
                <w:sz w:val="20"/>
                <w:szCs w:val="20"/>
              </w:rPr>
              <w:t>0.976</w:t>
            </w:r>
          </w:p>
        </w:tc>
        <w:tc>
          <w:tcPr>
            <w:tcW w:w="864" w:type="dxa"/>
            <w:tcBorders>
              <w:top w:val="nil"/>
              <w:left w:val="nil"/>
              <w:bottom w:val="nil"/>
              <w:right w:val="nil"/>
            </w:tcBorders>
            <w:shd w:val="clear" w:color="auto" w:fill="auto"/>
            <w:noWrap/>
            <w:vAlign w:val="bottom"/>
            <w:hideMark/>
          </w:tcPr>
          <w:p w14:paraId="35DA2C52"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DE31C1C" w14:textId="77777777" w:rsidR="00CB4D42" w:rsidRDefault="00CB4D42">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5CBA1B3D" w14:textId="77777777" w:rsidR="00CB4D42" w:rsidRDefault="00CB4D42">
            <w:pPr>
              <w:jc w:val="right"/>
              <w:rPr>
                <w:color w:val="000000"/>
                <w:sz w:val="20"/>
                <w:szCs w:val="20"/>
              </w:rPr>
            </w:pPr>
            <w:r>
              <w:rPr>
                <w:color w:val="000000"/>
                <w:sz w:val="20"/>
                <w:szCs w:val="20"/>
              </w:rPr>
              <w:t>0.965</w:t>
            </w:r>
          </w:p>
        </w:tc>
        <w:tc>
          <w:tcPr>
            <w:tcW w:w="864" w:type="dxa"/>
            <w:tcBorders>
              <w:top w:val="nil"/>
              <w:left w:val="nil"/>
              <w:bottom w:val="nil"/>
              <w:right w:val="nil"/>
            </w:tcBorders>
            <w:shd w:val="clear" w:color="auto" w:fill="auto"/>
            <w:noWrap/>
            <w:vAlign w:val="bottom"/>
            <w:hideMark/>
          </w:tcPr>
          <w:p w14:paraId="6AB3CE6C" w14:textId="77777777" w:rsidR="00CB4D42" w:rsidRDefault="00CB4D42">
            <w:pPr>
              <w:jc w:val="right"/>
              <w:rPr>
                <w:color w:val="000000"/>
                <w:sz w:val="20"/>
                <w:szCs w:val="20"/>
              </w:rPr>
            </w:pPr>
            <w:r>
              <w:rPr>
                <w:color w:val="000000"/>
                <w:sz w:val="20"/>
                <w:szCs w:val="20"/>
              </w:rPr>
              <w:t>0.000</w:t>
            </w:r>
          </w:p>
        </w:tc>
      </w:tr>
      <w:tr w:rsidR="00CB4D42" w14:paraId="67DDBB1B" w14:textId="77777777" w:rsidTr="00CB4D42">
        <w:trPr>
          <w:trHeight w:val="320"/>
        </w:trPr>
        <w:tc>
          <w:tcPr>
            <w:tcW w:w="1152" w:type="dxa"/>
            <w:tcBorders>
              <w:top w:val="nil"/>
              <w:left w:val="nil"/>
              <w:bottom w:val="nil"/>
              <w:right w:val="nil"/>
            </w:tcBorders>
            <w:shd w:val="clear" w:color="auto" w:fill="auto"/>
            <w:noWrap/>
            <w:vAlign w:val="bottom"/>
            <w:hideMark/>
          </w:tcPr>
          <w:p w14:paraId="7D935DCB"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9823075" w14:textId="77777777" w:rsidR="00CB4D42" w:rsidRDefault="00CB4D42">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289A7C9" w14:textId="77777777" w:rsidR="00CB4D42" w:rsidRDefault="00CB4D42">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65F69518" w14:textId="77777777" w:rsidR="00CB4D42" w:rsidRDefault="00CB4D42">
            <w:pPr>
              <w:jc w:val="right"/>
              <w:rPr>
                <w:color w:val="000000"/>
                <w:sz w:val="20"/>
                <w:szCs w:val="20"/>
              </w:rPr>
            </w:pPr>
            <w:r>
              <w:rPr>
                <w:color w:val="000000"/>
                <w:sz w:val="20"/>
                <w:szCs w:val="20"/>
              </w:rPr>
              <w:t>0.976</w:t>
            </w:r>
          </w:p>
        </w:tc>
        <w:tc>
          <w:tcPr>
            <w:tcW w:w="864" w:type="dxa"/>
            <w:tcBorders>
              <w:top w:val="nil"/>
              <w:left w:val="nil"/>
              <w:bottom w:val="nil"/>
              <w:right w:val="nil"/>
            </w:tcBorders>
            <w:shd w:val="clear" w:color="auto" w:fill="auto"/>
            <w:noWrap/>
            <w:vAlign w:val="bottom"/>
            <w:hideMark/>
          </w:tcPr>
          <w:p w14:paraId="3FC2BA12" w14:textId="77777777" w:rsidR="00CB4D42" w:rsidRDefault="00CB4D42">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C692426" w14:textId="77777777" w:rsidR="00CB4D42" w:rsidRDefault="00CB4D42">
            <w:pPr>
              <w:jc w:val="right"/>
              <w:rPr>
                <w:color w:val="000000"/>
                <w:sz w:val="20"/>
                <w:szCs w:val="20"/>
              </w:rPr>
            </w:pPr>
            <w:r>
              <w:rPr>
                <w:color w:val="000000"/>
                <w:sz w:val="20"/>
                <w:szCs w:val="20"/>
              </w:rPr>
              <w:t>0.131</w:t>
            </w:r>
          </w:p>
        </w:tc>
        <w:tc>
          <w:tcPr>
            <w:tcW w:w="864" w:type="dxa"/>
            <w:tcBorders>
              <w:top w:val="nil"/>
              <w:left w:val="nil"/>
              <w:bottom w:val="nil"/>
              <w:right w:val="nil"/>
            </w:tcBorders>
            <w:shd w:val="clear" w:color="auto" w:fill="auto"/>
            <w:noWrap/>
            <w:vAlign w:val="bottom"/>
            <w:hideMark/>
          </w:tcPr>
          <w:p w14:paraId="589C96F3" w14:textId="77777777" w:rsidR="00CB4D42" w:rsidRDefault="00CB4D42">
            <w:pPr>
              <w:jc w:val="right"/>
              <w:rPr>
                <w:color w:val="000000"/>
                <w:sz w:val="20"/>
                <w:szCs w:val="20"/>
              </w:rPr>
            </w:pPr>
            <w:r>
              <w:rPr>
                <w:color w:val="000000"/>
                <w:sz w:val="20"/>
                <w:szCs w:val="20"/>
              </w:rPr>
              <w:t>0.420</w:t>
            </w:r>
          </w:p>
        </w:tc>
        <w:tc>
          <w:tcPr>
            <w:tcW w:w="864" w:type="dxa"/>
            <w:tcBorders>
              <w:top w:val="nil"/>
              <w:left w:val="nil"/>
              <w:bottom w:val="nil"/>
              <w:right w:val="nil"/>
            </w:tcBorders>
            <w:shd w:val="clear" w:color="auto" w:fill="auto"/>
            <w:noWrap/>
            <w:vAlign w:val="bottom"/>
            <w:hideMark/>
          </w:tcPr>
          <w:p w14:paraId="0A57DD9E" w14:textId="77777777" w:rsidR="00CB4D42" w:rsidRDefault="00CB4D42">
            <w:pPr>
              <w:jc w:val="right"/>
              <w:rPr>
                <w:color w:val="000000"/>
                <w:sz w:val="20"/>
                <w:szCs w:val="20"/>
              </w:rPr>
            </w:pPr>
            <w:r>
              <w:rPr>
                <w:color w:val="000000"/>
                <w:sz w:val="20"/>
                <w:szCs w:val="20"/>
              </w:rPr>
              <w:t>0.017</w:t>
            </w:r>
          </w:p>
        </w:tc>
      </w:tr>
      <w:tr w:rsidR="00CB4D42" w14:paraId="4E50FC65" w14:textId="77777777" w:rsidTr="00CB4D42">
        <w:trPr>
          <w:trHeight w:val="320"/>
        </w:trPr>
        <w:tc>
          <w:tcPr>
            <w:tcW w:w="1152" w:type="dxa"/>
            <w:tcBorders>
              <w:top w:val="nil"/>
              <w:left w:val="nil"/>
              <w:bottom w:val="nil"/>
              <w:right w:val="nil"/>
            </w:tcBorders>
            <w:shd w:val="clear" w:color="auto" w:fill="auto"/>
            <w:noWrap/>
            <w:vAlign w:val="bottom"/>
            <w:hideMark/>
          </w:tcPr>
          <w:p w14:paraId="405FEA4D"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AAC709A" w14:textId="77777777" w:rsidR="00CB4D42" w:rsidRDefault="00CB4D42">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4689B9E" w14:textId="77777777" w:rsidR="00CB4D42" w:rsidRDefault="00CB4D42">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3C269D71" w14:textId="77777777" w:rsidR="00CB4D42" w:rsidRDefault="00CB4D42">
            <w:pPr>
              <w:jc w:val="right"/>
              <w:rPr>
                <w:color w:val="000000"/>
                <w:sz w:val="20"/>
                <w:szCs w:val="20"/>
              </w:rPr>
            </w:pPr>
            <w:r>
              <w:rPr>
                <w:color w:val="000000"/>
                <w:sz w:val="20"/>
                <w:szCs w:val="20"/>
              </w:rPr>
              <w:t>0.976</w:t>
            </w:r>
          </w:p>
        </w:tc>
        <w:tc>
          <w:tcPr>
            <w:tcW w:w="864" w:type="dxa"/>
            <w:tcBorders>
              <w:top w:val="nil"/>
              <w:left w:val="nil"/>
              <w:bottom w:val="nil"/>
              <w:right w:val="nil"/>
            </w:tcBorders>
            <w:shd w:val="clear" w:color="auto" w:fill="auto"/>
            <w:noWrap/>
            <w:vAlign w:val="bottom"/>
            <w:hideMark/>
          </w:tcPr>
          <w:p w14:paraId="3072D5DD"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08342A5" w14:textId="77777777" w:rsidR="00CB4D42" w:rsidRDefault="00CB4D42">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06A09919" w14:textId="77777777" w:rsidR="00CB4D42" w:rsidRDefault="00CB4D42">
            <w:pPr>
              <w:jc w:val="right"/>
              <w:rPr>
                <w:color w:val="000000"/>
                <w:sz w:val="20"/>
                <w:szCs w:val="20"/>
              </w:rPr>
            </w:pPr>
            <w:r>
              <w:rPr>
                <w:color w:val="000000"/>
                <w:sz w:val="20"/>
                <w:szCs w:val="20"/>
              </w:rPr>
              <w:t>0.420</w:t>
            </w:r>
          </w:p>
        </w:tc>
        <w:tc>
          <w:tcPr>
            <w:tcW w:w="864" w:type="dxa"/>
            <w:tcBorders>
              <w:top w:val="nil"/>
              <w:left w:val="nil"/>
              <w:bottom w:val="nil"/>
              <w:right w:val="nil"/>
            </w:tcBorders>
            <w:shd w:val="clear" w:color="auto" w:fill="auto"/>
            <w:noWrap/>
            <w:vAlign w:val="bottom"/>
            <w:hideMark/>
          </w:tcPr>
          <w:p w14:paraId="5A1E0FCC" w14:textId="77777777" w:rsidR="00CB4D42" w:rsidRDefault="00CB4D42">
            <w:pPr>
              <w:jc w:val="right"/>
              <w:rPr>
                <w:color w:val="000000"/>
                <w:sz w:val="20"/>
                <w:szCs w:val="20"/>
              </w:rPr>
            </w:pPr>
            <w:r>
              <w:rPr>
                <w:color w:val="000000"/>
                <w:sz w:val="20"/>
                <w:szCs w:val="20"/>
              </w:rPr>
              <w:t>0.003</w:t>
            </w:r>
          </w:p>
        </w:tc>
      </w:tr>
      <w:tr w:rsidR="00CB4D42" w14:paraId="621C4009" w14:textId="77777777" w:rsidTr="00CB4D42">
        <w:trPr>
          <w:trHeight w:val="320"/>
        </w:trPr>
        <w:tc>
          <w:tcPr>
            <w:tcW w:w="1152" w:type="dxa"/>
            <w:tcBorders>
              <w:top w:val="nil"/>
              <w:left w:val="nil"/>
              <w:bottom w:val="nil"/>
              <w:right w:val="nil"/>
            </w:tcBorders>
            <w:shd w:val="clear" w:color="auto" w:fill="auto"/>
            <w:noWrap/>
            <w:vAlign w:val="bottom"/>
            <w:hideMark/>
          </w:tcPr>
          <w:p w14:paraId="13EF8F21"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8528FB2" w14:textId="77777777" w:rsidR="00CB4D42" w:rsidRDefault="00CB4D42">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25F8E09" w14:textId="77777777" w:rsidR="00CB4D42" w:rsidRDefault="00CB4D42">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66D8B819" w14:textId="77777777" w:rsidR="00CB4D42" w:rsidRDefault="00CB4D42">
            <w:pPr>
              <w:jc w:val="right"/>
              <w:rPr>
                <w:color w:val="000000"/>
                <w:sz w:val="20"/>
                <w:szCs w:val="20"/>
              </w:rPr>
            </w:pPr>
            <w:r>
              <w:rPr>
                <w:color w:val="000000"/>
                <w:sz w:val="20"/>
                <w:szCs w:val="20"/>
              </w:rPr>
              <w:t>0.976</w:t>
            </w:r>
          </w:p>
        </w:tc>
        <w:tc>
          <w:tcPr>
            <w:tcW w:w="864" w:type="dxa"/>
            <w:tcBorders>
              <w:top w:val="nil"/>
              <w:left w:val="nil"/>
              <w:bottom w:val="nil"/>
              <w:right w:val="nil"/>
            </w:tcBorders>
            <w:shd w:val="clear" w:color="auto" w:fill="auto"/>
            <w:noWrap/>
            <w:vAlign w:val="bottom"/>
            <w:hideMark/>
          </w:tcPr>
          <w:p w14:paraId="231B8634"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1F83AAD" w14:textId="77777777" w:rsidR="00CB4D42" w:rsidRDefault="00CB4D42">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5AEFEB1E" w14:textId="77777777" w:rsidR="00CB4D42" w:rsidRDefault="00CB4D42">
            <w:pPr>
              <w:jc w:val="right"/>
              <w:rPr>
                <w:color w:val="000000"/>
                <w:sz w:val="20"/>
                <w:szCs w:val="20"/>
              </w:rPr>
            </w:pPr>
            <w:r>
              <w:rPr>
                <w:color w:val="000000"/>
                <w:sz w:val="20"/>
                <w:szCs w:val="20"/>
              </w:rPr>
              <w:t>0.965</w:t>
            </w:r>
          </w:p>
        </w:tc>
        <w:tc>
          <w:tcPr>
            <w:tcW w:w="864" w:type="dxa"/>
            <w:tcBorders>
              <w:top w:val="nil"/>
              <w:left w:val="nil"/>
              <w:bottom w:val="nil"/>
              <w:right w:val="nil"/>
            </w:tcBorders>
            <w:shd w:val="clear" w:color="auto" w:fill="auto"/>
            <w:noWrap/>
            <w:vAlign w:val="bottom"/>
            <w:hideMark/>
          </w:tcPr>
          <w:p w14:paraId="411BC9DF" w14:textId="77777777" w:rsidR="00CB4D42" w:rsidRDefault="00CB4D42">
            <w:pPr>
              <w:jc w:val="right"/>
              <w:rPr>
                <w:color w:val="000000"/>
                <w:sz w:val="20"/>
                <w:szCs w:val="20"/>
              </w:rPr>
            </w:pPr>
            <w:r>
              <w:rPr>
                <w:color w:val="000000"/>
                <w:sz w:val="20"/>
                <w:szCs w:val="20"/>
              </w:rPr>
              <w:t>0.000</w:t>
            </w:r>
          </w:p>
        </w:tc>
      </w:tr>
      <w:tr w:rsidR="00CB4D42" w14:paraId="1855B227" w14:textId="77777777" w:rsidTr="00CB4D42">
        <w:trPr>
          <w:trHeight w:val="320"/>
        </w:trPr>
        <w:tc>
          <w:tcPr>
            <w:tcW w:w="1152" w:type="dxa"/>
            <w:tcBorders>
              <w:top w:val="nil"/>
              <w:left w:val="nil"/>
              <w:bottom w:val="nil"/>
              <w:right w:val="nil"/>
            </w:tcBorders>
            <w:shd w:val="clear" w:color="auto" w:fill="auto"/>
            <w:noWrap/>
            <w:vAlign w:val="bottom"/>
            <w:hideMark/>
          </w:tcPr>
          <w:p w14:paraId="70D172CE"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E2E4B5D" w14:textId="77777777" w:rsidR="00CB4D42" w:rsidRDefault="00CB4D42">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10DF272" w14:textId="77777777" w:rsidR="00CB4D42" w:rsidRDefault="00CB4D42">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4F1ADA14" w14:textId="77777777" w:rsidR="00CB4D42" w:rsidRDefault="00CB4D42">
            <w:pPr>
              <w:jc w:val="right"/>
              <w:rPr>
                <w:color w:val="000000"/>
                <w:sz w:val="20"/>
                <w:szCs w:val="20"/>
              </w:rPr>
            </w:pPr>
            <w:r>
              <w:rPr>
                <w:color w:val="000000"/>
                <w:sz w:val="20"/>
                <w:szCs w:val="20"/>
              </w:rPr>
              <w:t>0.976</w:t>
            </w:r>
          </w:p>
        </w:tc>
        <w:tc>
          <w:tcPr>
            <w:tcW w:w="864" w:type="dxa"/>
            <w:tcBorders>
              <w:top w:val="nil"/>
              <w:left w:val="nil"/>
              <w:bottom w:val="nil"/>
              <w:right w:val="nil"/>
            </w:tcBorders>
            <w:shd w:val="clear" w:color="auto" w:fill="auto"/>
            <w:noWrap/>
            <w:vAlign w:val="bottom"/>
            <w:hideMark/>
          </w:tcPr>
          <w:p w14:paraId="542D02DD"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DD3AAB4" w14:textId="77777777" w:rsidR="00CB4D42" w:rsidRDefault="00CB4D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C48B41A" w14:textId="77777777" w:rsidR="00CB4D42" w:rsidRDefault="00CB4D42">
            <w:pPr>
              <w:jc w:val="right"/>
              <w:rPr>
                <w:color w:val="000000"/>
                <w:sz w:val="20"/>
                <w:szCs w:val="20"/>
              </w:rPr>
            </w:pPr>
            <w:r>
              <w:rPr>
                <w:color w:val="000000"/>
                <w:sz w:val="20"/>
                <w:szCs w:val="20"/>
              </w:rPr>
              <w:t>0.981</w:t>
            </w:r>
          </w:p>
        </w:tc>
        <w:tc>
          <w:tcPr>
            <w:tcW w:w="864" w:type="dxa"/>
            <w:tcBorders>
              <w:top w:val="nil"/>
              <w:left w:val="nil"/>
              <w:bottom w:val="nil"/>
              <w:right w:val="nil"/>
            </w:tcBorders>
            <w:shd w:val="clear" w:color="auto" w:fill="auto"/>
            <w:noWrap/>
            <w:vAlign w:val="bottom"/>
            <w:hideMark/>
          </w:tcPr>
          <w:p w14:paraId="2C3214D3" w14:textId="77777777" w:rsidR="00CB4D42" w:rsidRDefault="00CB4D42">
            <w:pPr>
              <w:jc w:val="right"/>
              <w:rPr>
                <w:color w:val="000000"/>
                <w:sz w:val="20"/>
                <w:szCs w:val="20"/>
              </w:rPr>
            </w:pPr>
            <w:r>
              <w:rPr>
                <w:color w:val="000000"/>
                <w:sz w:val="20"/>
                <w:szCs w:val="20"/>
              </w:rPr>
              <w:t>0.000</w:t>
            </w:r>
          </w:p>
        </w:tc>
      </w:tr>
      <w:tr w:rsidR="00CB4D42" w14:paraId="179A5E7C" w14:textId="77777777" w:rsidTr="00CB4D42">
        <w:trPr>
          <w:trHeight w:val="320"/>
        </w:trPr>
        <w:tc>
          <w:tcPr>
            <w:tcW w:w="1152" w:type="dxa"/>
            <w:tcBorders>
              <w:top w:val="nil"/>
              <w:left w:val="nil"/>
              <w:bottom w:val="single" w:sz="4" w:space="0" w:color="auto"/>
              <w:right w:val="nil"/>
            </w:tcBorders>
            <w:shd w:val="clear" w:color="auto" w:fill="auto"/>
            <w:noWrap/>
            <w:vAlign w:val="bottom"/>
            <w:hideMark/>
          </w:tcPr>
          <w:p w14:paraId="2AA0514B" w14:textId="77777777" w:rsidR="00CB4D42" w:rsidRDefault="00CB4D42">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35B7CE4" w14:textId="77777777" w:rsidR="00CB4D42" w:rsidRDefault="00CB4D42">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7D31E14" w14:textId="77777777" w:rsidR="00CB4D42" w:rsidRDefault="00CB4D42">
            <w:pPr>
              <w:jc w:val="right"/>
              <w:rPr>
                <w:color w:val="000000"/>
                <w:sz w:val="20"/>
                <w:szCs w:val="20"/>
              </w:rPr>
            </w:pPr>
            <w:r>
              <w:rPr>
                <w:color w:val="000000"/>
                <w:sz w:val="20"/>
                <w:szCs w:val="20"/>
              </w:rPr>
              <w:t>0.010</w:t>
            </w:r>
          </w:p>
        </w:tc>
        <w:tc>
          <w:tcPr>
            <w:tcW w:w="864" w:type="dxa"/>
            <w:tcBorders>
              <w:top w:val="nil"/>
              <w:left w:val="nil"/>
              <w:bottom w:val="single" w:sz="4" w:space="0" w:color="auto"/>
              <w:right w:val="nil"/>
            </w:tcBorders>
            <w:shd w:val="clear" w:color="auto" w:fill="auto"/>
            <w:noWrap/>
            <w:vAlign w:val="bottom"/>
            <w:hideMark/>
          </w:tcPr>
          <w:p w14:paraId="0935CAA6" w14:textId="77777777" w:rsidR="00CB4D42" w:rsidRDefault="00CB4D42">
            <w:pPr>
              <w:jc w:val="right"/>
              <w:rPr>
                <w:color w:val="000000"/>
                <w:sz w:val="20"/>
                <w:szCs w:val="20"/>
              </w:rPr>
            </w:pPr>
            <w:r>
              <w:rPr>
                <w:color w:val="000000"/>
                <w:sz w:val="20"/>
                <w:szCs w:val="20"/>
              </w:rPr>
              <w:t>0.976</w:t>
            </w:r>
          </w:p>
        </w:tc>
        <w:tc>
          <w:tcPr>
            <w:tcW w:w="864" w:type="dxa"/>
            <w:tcBorders>
              <w:top w:val="nil"/>
              <w:left w:val="nil"/>
              <w:bottom w:val="single" w:sz="4" w:space="0" w:color="auto"/>
              <w:right w:val="nil"/>
            </w:tcBorders>
            <w:shd w:val="clear" w:color="auto" w:fill="auto"/>
            <w:noWrap/>
            <w:vAlign w:val="bottom"/>
            <w:hideMark/>
          </w:tcPr>
          <w:p w14:paraId="6FABEC90"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319F3B3D" w14:textId="77777777" w:rsidR="00CB4D42" w:rsidRDefault="00CB4D42">
            <w:pPr>
              <w:jc w:val="right"/>
              <w:rPr>
                <w:color w:val="000000"/>
                <w:sz w:val="20"/>
                <w:szCs w:val="20"/>
              </w:rPr>
            </w:pPr>
            <w:r>
              <w:rPr>
                <w:color w:val="000000"/>
                <w:sz w:val="20"/>
                <w:szCs w:val="20"/>
              </w:rPr>
              <w:t>0.037</w:t>
            </w:r>
          </w:p>
        </w:tc>
        <w:tc>
          <w:tcPr>
            <w:tcW w:w="864" w:type="dxa"/>
            <w:tcBorders>
              <w:top w:val="nil"/>
              <w:left w:val="nil"/>
              <w:bottom w:val="single" w:sz="4" w:space="0" w:color="auto"/>
              <w:right w:val="nil"/>
            </w:tcBorders>
            <w:shd w:val="clear" w:color="auto" w:fill="auto"/>
            <w:noWrap/>
            <w:vAlign w:val="bottom"/>
            <w:hideMark/>
          </w:tcPr>
          <w:p w14:paraId="44B04E6E" w14:textId="77777777" w:rsidR="00CB4D42" w:rsidRDefault="00CB4D42">
            <w:pPr>
              <w:jc w:val="right"/>
              <w:rPr>
                <w:color w:val="000000"/>
                <w:sz w:val="20"/>
                <w:szCs w:val="20"/>
              </w:rPr>
            </w:pPr>
            <w:r>
              <w:rPr>
                <w:color w:val="000000"/>
                <w:sz w:val="20"/>
                <w:szCs w:val="20"/>
              </w:rPr>
              <w:t>0.618</w:t>
            </w:r>
          </w:p>
        </w:tc>
        <w:tc>
          <w:tcPr>
            <w:tcW w:w="864" w:type="dxa"/>
            <w:tcBorders>
              <w:top w:val="nil"/>
              <w:left w:val="nil"/>
              <w:bottom w:val="single" w:sz="4" w:space="0" w:color="auto"/>
              <w:right w:val="nil"/>
            </w:tcBorders>
            <w:shd w:val="clear" w:color="auto" w:fill="auto"/>
            <w:noWrap/>
            <w:vAlign w:val="bottom"/>
            <w:hideMark/>
          </w:tcPr>
          <w:p w14:paraId="3ABD9F70" w14:textId="77777777" w:rsidR="00CB4D42" w:rsidRDefault="00CB4D42">
            <w:pPr>
              <w:jc w:val="right"/>
              <w:rPr>
                <w:color w:val="000000"/>
                <w:sz w:val="20"/>
                <w:szCs w:val="20"/>
              </w:rPr>
            </w:pPr>
            <w:r>
              <w:rPr>
                <w:color w:val="000000"/>
                <w:sz w:val="20"/>
                <w:szCs w:val="20"/>
              </w:rPr>
              <w:t>0.001</w:t>
            </w:r>
          </w:p>
        </w:tc>
      </w:tr>
      <w:tr w:rsidR="00CB4D42" w14:paraId="4721FAE8" w14:textId="77777777" w:rsidTr="00CB4D42">
        <w:trPr>
          <w:trHeight w:val="320"/>
        </w:trPr>
        <w:tc>
          <w:tcPr>
            <w:tcW w:w="1152" w:type="dxa"/>
            <w:tcBorders>
              <w:top w:val="nil"/>
              <w:left w:val="nil"/>
              <w:bottom w:val="nil"/>
              <w:right w:val="nil"/>
            </w:tcBorders>
            <w:shd w:val="clear" w:color="auto" w:fill="auto"/>
            <w:noWrap/>
            <w:vAlign w:val="bottom"/>
            <w:hideMark/>
          </w:tcPr>
          <w:p w14:paraId="182789E0" w14:textId="77777777" w:rsidR="00CB4D42" w:rsidRDefault="00CB4D42">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3FE10D26" w14:textId="77777777" w:rsidR="00CB4D42" w:rsidRDefault="00CB4D42">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7C23C2D" w14:textId="77777777" w:rsidR="00CB4D42" w:rsidRDefault="00CB4D42">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318B6E3A" w14:textId="77777777" w:rsidR="00CB4D42" w:rsidRDefault="00CB4D42">
            <w:pPr>
              <w:jc w:val="right"/>
              <w:rPr>
                <w:color w:val="000000"/>
                <w:sz w:val="20"/>
                <w:szCs w:val="20"/>
              </w:rPr>
            </w:pPr>
            <w:r>
              <w:rPr>
                <w:color w:val="000000"/>
                <w:sz w:val="20"/>
                <w:szCs w:val="20"/>
              </w:rPr>
              <w:t>0.855</w:t>
            </w:r>
          </w:p>
        </w:tc>
        <w:tc>
          <w:tcPr>
            <w:tcW w:w="864" w:type="dxa"/>
            <w:tcBorders>
              <w:top w:val="nil"/>
              <w:left w:val="nil"/>
              <w:bottom w:val="nil"/>
              <w:right w:val="nil"/>
            </w:tcBorders>
            <w:shd w:val="clear" w:color="auto" w:fill="auto"/>
            <w:noWrap/>
            <w:vAlign w:val="bottom"/>
            <w:hideMark/>
          </w:tcPr>
          <w:p w14:paraId="4D1085C7"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DE913EA" w14:textId="77777777" w:rsidR="00CB4D42" w:rsidRDefault="00CB4D42">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41ADABB5" w14:textId="77777777" w:rsidR="00CB4D42" w:rsidRDefault="00CB4D42">
            <w:pPr>
              <w:jc w:val="right"/>
              <w:rPr>
                <w:color w:val="000000"/>
                <w:sz w:val="20"/>
                <w:szCs w:val="20"/>
              </w:rPr>
            </w:pPr>
            <w:r>
              <w:rPr>
                <w:color w:val="000000"/>
                <w:sz w:val="20"/>
                <w:szCs w:val="20"/>
              </w:rPr>
              <w:t>0.316</w:t>
            </w:r>
          </w:p>
        </w:tc>
        <w:tc>
          <w:tcPr>
            <w:tcW w:w="864" w:type="dxa"/>
            <w:tcBorders>
              <w:top w:val="nil"/>
              <w:left w:val="nil"/>
              <w:bottom w:val="nil"/>
              <w:right w:val="nil"/>
            </w:tcBorders>
            <w:shd w:val="clear" w:color="auto" w:fill="auto"/>
            <w:noWrap/>
            <w:vAlign w:val="bottom"/>
            <w:hideMark/>
          </w:tcPr>
          <w:p w14:paraId="3EA12555" w14:textId="77777777" w:rsidR="00CB4D42" w:rsidRDefault="00CB4D42">
            <w:pPr>
              <w:jc w:val="right"/>
              <w:rPr>
                <w:color w:val="000000"/>
                <w:sz w:val="20"/>
                <w:szCs w:val="20"/>
              </w:rPr>
            </w:pPr>
            <w:r>
              <w:rPr>
                <w:color w:val="000000"/>
                <w:sz w:val="20"/>
                <w:szCs w:val="20"/>
              </w:rPr>
              <w:t>0.001</w:t>
            </w:r>
          </w:p>
        </w:tc>
      </w:tr>
      <w:tr w:rsidR="00CB4D42" w14:paraId="3103D79C" w14:textId="77777777" w:rsidTr="00CB4D42">
        <w:trPr>
          <w:trHeight w:val="320"/>
        </w:trPr>
        <w:tc>
          <w:tcPr>
            <w:tcW w:w="1152" w:type="dxa"/>
            <w:tcBorders>
              <w:top w:val="nil"/>
              <w:left w:val="nil"/>
              <w:bottom w:val="nil"/>
              <w:right w:val="nil"/>
            </w:tcBorders>
            <w:shd w:val="clear" w:color="auto" w:fill="auto"/>
            <w:noWrap/>
            <w:vAlign w:val="bottom"/>
            <w:hideMark/>
          </w:tcPr>
          <w:p w14:paraId="7DA365A0"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07EB90B" w14:textId="77777777" w:rsidR="00CB4D42" w:rsidRDefault="00CB4D42">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88D8FAC" w14:textId="77777777" w:rsidR="00CB4D42" w:rsidRDefault="00CB4D42">
            <w:pPr>
              <w:jc w:val="right"/>
              <w:rPr>
                <w:b/>
                <w:bCs/>
                <w:color w:val="000000"/>
                <w:sz w:val="20"/>
                <w:szCs w:val="20"/>
              </w:rPr>
            </w:pPr>
            <w:r>
              <w:rPr>
                <w:b/>
                <w:bCs/>
                <w:color w:val="000000"/>
                <w:sz w:val="20"/>
                <w:szCs w:val="20"/>
              </w:rPr>
              <w:t>0.084</w:t>
            </w:r>
          </w:p>
        </w:tc>
        <w:tc>
          <w:tcPr>
            <w:tcW w:w="864" w:type="dxa"/>
            <w:tcBorders>
              <w:top w:val="nil"/>
              <w:left w:val="nil"/>
              <w:bottom w:val="nil"/>
              <w:right w:val="nil"/>
            </w:tcBorders>
            <w:shd w:val="clear" w:color="auto" w:fill="auto"/>
            <w:noWrap/>
            <w:vAlign w:val="bottom"/>
            <w:hideMark/>
          </w:tcPr>
          <w:p w14:paraId="09CD8791" w14:textId="77777777" w:rsidR="00CB4D42" w:rsidRDefault="00CB4D42">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2CD668A2" w14:textId="77777777" w:rsidR="00CB4D42" w:rsidRDefault="00CB4D42">
            <w:pPr>
              <w:jc w:val="right"/>
              <w:rPr>
                <w:b/>
                <w:bCs/>
                <w:color w:val="000000"/>
                <w:sz w:val="20"/>
                <w:szCs w:val="20"/>
              </w:rPr>
            </w:pPr>
            <w:r>
              <w:rPr>
                <w:b/>
                <w:bCs/>
                <w:color w:val="000000"/>
                <w:sz w:val="20"/>
                <w:szCs w:val="20"/>
              </w:rPr>
              <w:t>0.007</w:t>
            </w:r>
          </w:p>
        </w:tc>
        <w:tc>
          <w:tcPr>
            <w:tcW w:w="864" w:type="dxa"/>
            <w:tcBorders>
              <w:top w:val="nil"/>
              <w:left w:val="nil"/>
              <w:bottom w:val="nil"/>
              <w:right w:val="nil"/>
            </w:tcBorders>
            <w:shd w:val="clear" w:color="auto" w:fill="auto"/>
            <w:noWrap/>
            <w:vAlign w:val="bottom"/>
            <w:hideMark/>
          </w:tcPr>
          <w:p w14:paraId="3878CB5B" w14:textId="77777777" w:rsidR="00CB4D42" w:rsidRDefault="00CB4D42">
            <w:pPr>
              <w:jc w:val="right"/>
              <w:rPr>
                <w:b/>
                <w:bCs/>
                <w:color w:val="000000"/>
                <w:sz w:val="20"/>
                <w:szCs w:val="20"/>
              </w:rPr>
            </w:pPr>
            <w:r>
              <w:rPr>
                <w:b/>
                <w:bCs/>
                <w:color w:val="000000"/>
                <w:sz w:val="20"/>
                <w:szCs w:val="20"/>
              </w:rPr>
              <w:t>0.093</w:t>
            </w:r>
          </w:p>
        </w:tc>
        <w:tc>
          <w:tcPr>
            <w:tcW w:w="864" w:type="dxa"/>
            <w:tcBorders>
              <w:top w:val="nil"/>
              <w:left w:val="nil"/>
              <w:bottom w:val="nil"/>
              <w:right w:val="nil"/>
            </w:tcBorders>
            <w:shd w:val="clear" w:color="auto" w:fill="auto"/>
            <w:noWrap/>
            <w:vAlign w:val="bottom"/>
            <w:hideMark/>
          </w:tcPr>
          <w:p w14:paraId="0D1E429B" w14:textId="77777777" w:rsidR="00CB4D42" w:rsidRDefault="00CB4D42">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5CEDFCB0" w14:textId="77777777" w:rsidR="00CB4D42" w:rsidRDefault="00CB4D42">
            <w:pPr>
              <w:jc w:val="right"/>
              <w:rPr>
                <w:b/>
                <w:bCs/>
                <w:color w:val="000000"/>
                <w:sz w:val="20"/>
                <w:szCs w:val="20"/>
              </w:rPr>
            </w:pPr>
            <w:r>
              <w:rPr>
                <w:b/>
                <w:bCs/>
                <w:color w:val="000000"/>
                <w:sz w:val="20"/>
                <w:szCs w:val="20"/>
              </w:rPr>
              <w:t>0.009</w:t>
            </w:r>
          </w:p>
        </w:tc>
      </w:tr>
      <w:tr w:rsidR="00CB4D42" w14:paraId="4F9DE825" w14:textId="77777777" w:rsidTr="00CB4D42">
        <w:trPr>
          <w:trHeight w:val="320"/>
        </w:trPr>
        <w:tc>
          <w:tcPr>
            <w:tcW w:w="1152" w:type="dxa"/>
            <w:tcBorders>
              <w:top w:val="nil"/>
              <w:left w:val="nil"/>
              <w:bottom w:val="nil"/>
              <w:right w:val="nil"/>
            </w:tcBorders>
            <w:shd w:val="clear" w:color="auto" w:fill="auto"/>
            <w:noWrap/>
            <w:vAlign w:val="bottom"/>
            <w:hideMark/>
          </w:tcPr>
          <w:p w14:paraId="7B73562F" w14:textId="77777777" w:rsidR="00CB4D42" w:rsidRDefault="00CB4D42">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12BE331A" w14:textId="77777777" w:rsidR="00CB4D42" w:rsidRDefault="00CB4D42">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5BB20D2" w14:textId="77777777" w:rsidR="00CB4D42" w:rsidRDefault="00CB4D42">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16E6F0DB" w14:textId="77777777" w:rsidR="00CB4D42" w:rsidRDefault="00CB4D42">
            <w:pPr>
              <w:jc w:val="right"/>
              <w:rPr>
                <w:color w:val="000000"/>
                <w:sz w:val="20"/>
                <w:szCs w:val="20"/>
              </w:rPr>
            </w:pPr>
            <w:r>
              <w:rPr>
                <w:color w:val="000000"/>
                <w:sz w:val="20"/>
                <w:szCs w:val="20"/>
              </w:rPr>
              <w:t>0.855</w:t>
            </w:r>
          </w:p>
        </w:tc>
        <w:tc>
          <w:tcPr>
            <w:tcW w:w="864" w:type="dxa"/>
            <w:tcBorders>
              <w:top w:val="nil"/>
              <w:left w:val="nil"/>
              <w:bottom w:val="nil"/>
              <w:right w:val="nil"/>
            </w:tcBorders>
            <w:shd w:val="clear" w:color="auto" w:fill="auto"/>
            <w:noWrap/>
            <w:vAlign w:val="bottom"/>
            <w:hideMark/>
          </w:tcPr>
          <w:p w14:paraId="34B2CFDC" w14:textId="77777777" w:rsidR="00CB4D42" w:rsidRDefault="00CB4D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ADCFDA4" w14:textId="77777777" w:rsidR="00CB4D42" w:rsidRDefault="00CB4D42">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1AFB6ACD" w14:textId="77777777" w:rsidR="00CB4D42" w:rsidRDefault="00CB4D42">
            <w:pPr>
              <w:jc w:val="right"/>
              <w:rPr>
                <w:color w:val="000000"/>
                <w:sz w:val="20"/>
                <w:szCs w:val="20"/>
              </w:rPr>
            </w:pPr>
            <w:r>
              <w:rPr>
                <w:color w:val="000000"/>
                <w:sz w:val="20"/>
                <w:szCs w:val="20"/>
              </w:rPr>
              <w:t>0.115</w:t>
            </w:r>
          </w:p>
        </w:tc>
        <w:tc>
          <w:tcPr>
            <w:tcW w:w="864" w:type="dxa"/>
            <w:tcBorders>
              <w:top w:val="nil"/>
              <w:left w:val="nil"/>
              <w:bottom w:val="nil"/>
              <w:right w:val="nil"/>
            </w:tcBorders>
            <w:shd w:val="clear" w:color="auto" w:fill="auto"/>
            <w:noWrap/>
            <w:vAlign w:val="bottom"/>
            <w:hideMark/>
          </w:tcPr>
          <w:p w14:paraId="3A3CF55E" w14:textId="77777777" w:rsidR="00CB4D42" w:rsidRDefault="00CB4D42">
            <w:pPr>
              <w:jc w:val="right"/>
              <w:rPr>
                <w:color w:val="000000"/>
                <w:sz w:val="20"/>
                <w:szCs w:val="20"/>
              </w:rPr>
            </w:pPr>
            <w:r>
              <w:rPr>
                <w:color w:val="000000"/>
                <w:sz w:val="20"/>
                <w:szCs w:val="20"/>
              </w:rPr>
              <w:t>0.003</w:t>
            </w:r>
          </w:p>
        </w:tc>
      </w:tr>
      <w:tr w:rsidR="00CB4D42" w14:paraId="3A030878" w14:textId="77777777" w:rsidTr="00CB4D42">
        <w:trPr>
          <w:trHeight w:val="320"/>
        </w:trPr>
        <w:tc>
          <w:tcPr>
            <w:tcW w:w="1152" w:type="dxa"/>
            <w:tcBorders>
              <w:top w:val="nil"/>
              <w:left w:val="nil"/>
              <w:bottom w:val="nil"/>
              <w:right w:val="nil"/>
            </w:tcBorders>
            <w:shd w:val="clear" w:color="auto" w:fill="auto"/>
            <w:noWrap/>
            <w:vAlign w:val="bottom"/>
            <w:hideMark/>
          </w:tcPr>
          <w:p w14:paraId="77DFBAD7"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D0FBD6B" w14:textId="77777777" w:rsidR="00CB4D42" w:rsidRDefault="00CB4D42">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FE2A0B1" w14:textId="77777777" w:rsidR="00CB4D42" w:rsidRDefault="00CB4D42">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743B7293" w14:textId="77777777" w:rsidR="00CB4D42" w:rsidRDefault="00CB4D42">
            <w:pPr>
              <w:jc w:val="right"/>
              <w:rPr>
                <w:color w:val="000000"/>
                <w:sz w:val="20"/>
                <w:szCs w:val="20"/>
              </w:rPr>
            </w:pPr>
            <w:r>
              <w:rPr>
                <w:color w:val="000000"/>
                <w:sz w:val="20"/>
                <w:szCs w:val="20"/>
              </w:rPr>
              <w:t>0.855</w:t>
            </w:r>
          </w:p>
        </w:tc>
        <w:tc>
          <w:tcPr>
            <w:tcW w:w="864" w:type="dxa"/>
            <w:tcBorders>
              <w:top w:val="nil"/>
              <w:left w:val="nil"/>
              <w:bottom w:val="nil"/>
              <w:right w:val="nil"/>
            </w:tcBorders>
            <w:shd w:val="clear" w:color="auto" w:fill="auto"/>
            <w:noWrap/>
            <w:vAlign w:val="bottom"/>
            <w:hideMark/>
          </w:tcPr>
          <w:p w14:paraId="27A76E29"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D39DF01" w14:textId="77777777" w:rsidR="00CB4D42" w:rsidRDefault="00CB4D42">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102D077A" w14:textId="77777777" w:rsidR="00CB4D42" w:rsidRDefault="00CB4D42">
            <w:pPr>
              <w:jc w:val="right"/>
              <w:rPr>
                <w:color w:val="000000"/>
                <w:sz w:val="20"/>
                <w:szCs w:val="20"/>
              </w:rPr>
            </w:pPr>
            <w:r>
              <w:rPr>
                <w:color w:val="000000"/>
                <w:sz w:val="20"/>
                <w:szCs w:val="20"/>
              </w:rPr>
              <w:t>0.727</w:t>
            </w:r>
          </w:p>
        </w:tc>
        <w:tc>
          <w:tcPr>
            <w:tcW w:w="864" w:type="dxa"/>
            <w:tcBorders>
              <w:top w:val="nil"/>
              <w:left w:val="nil"/>
              <w:bottom w:val="nil"/>
              <w:right w:val="nil"/>
            </w:tcBorders>
            <w:shd w:val="clear" w:color="auto" w:fill="auto"/>
            <w:noWrap/>
            <w:vAlign w:val="bottom"/>
            <w:hideMark/>
          </w:tcPr>
          <w:p w14:paraId="2A848C31" w14:textId="77777777" w:rsidR="00CB4D42" w:rsidRDefault="00CB4D42">
            <w:pPr>
              <w:jc w:val="right"/>
              <w:rPr>
                <w:color w:val="000000"/>
                <w:sz w:val="20"/>
                <w:szCs w:val="20"/>
              </w:rPr>
            </w:pPr>
            <w:r>
              <w:rPr>
                <w:color w:val="000000"/>
                <w:sz w:val="20"/>
                <w:szCs w:val="20"/>
              </w:rPr>
              <w:t>0.000</w:t>
            </w:r>
          </w:p>
        </w:tc>
      </w:tr>
      <w:tr w:rsidR="00CB4D42" w14:paraId="7C8620D1" w14:textId="77777777" w:rsidTr="00CB4D42">
        <w:trPr>
          <w:trHeight w:val="320"/>
        </w:trPr>
        <w:tc>
          <w:tcPr>
            <w:tcW w:w="1152" w:type="dxa"/>
            <w:tcBorders>
              <w:top w:val="nil"/>
              <w:left w:val="nil"/>
              <w:bottom w:val="nil"/>
              <w:right w:val="nil"/>
            </w:tcBorders>
            <w:shd w:val="clear" w:color="auto" w:fill="auto"/>
            <w:noWrap/>
            <w:vAlign w:val="bottom"/>
            <w:hideMark/>
          </w:tcPr>
          <w:p w14:paraId="2168C72D"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BADCC2F" w14:textId="77777777" w:rsidR="00CB4D42" w:rsidRDefault="00CB4D42">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57F01CF" w14:textId="77777777" w:rsidR="00CB4D42" w:rsidRDefault="00CB4D42">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54756120" w14:textId="77777777" w:rsidR="00CB4D42" w:rsidRDefault="00CB4D42">
            <w:pPr>
              <w:jc w:val="right"/>
              <w:rPr>
                <w:color w:val="000000"/>
                <w:sz w:val="20"/>
                <w:szCs w:val="20"/>
              </w:rPr>
            </w:pPr>
            <w:r>
              <w:rPr>
                <w:color w:val="000000"/>
                <w:sz w:val="20"/>
                <w:szCs w:val="20"/>
              </w:rPr>
              <w:t>0.855</w:t>
            </w:r>
          </w:p>
        </w:tc>
        <w:tc>
          <w:tcPr>
            <w:tcW w:w="864" w:type="dxa"/>
            <w:tcBorders>
              <w:top w:val="nil"/>
              <w:left w:val="nil"/>
              <w:bottom w:val="nil"/>
              <w:right w:val="nil"/>
            </w:tcBorders>
            <w:shd w:val="clear" w:color="auto" w:fill="auto"/>
            <w:noWrap/>
            <w:vAlign w:val="bottom"/>
            <w:hideMark/>
          </w:tcPr>
          <w:p w14:paraId="361BFD4A"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AD0D29A" w14:textId="77777777" w:rsidR="00CB4D42" w:rsidRDefault="00CB4D42">
            <w:pPr>
              <w:jc w:val="right"/>
              <w:rPr>
                <w:color w:val="000000"/>
                <w:sz w:val="20"/>
                <w:szCs w:val="20"/>
              </w:rPr>
            </w:pPr>
            <w:r>
              <w:rPr>
                <w:color w:val="000000"/>
                <w:sz w:val="20"/>
                <w:szCs w:val="20"/>
              </w:rPr>
              <w:t>-0.055</w:t>
            </w:r>
          </w:p>
        </w:tc>
        <w:tc>
          <w:tcPr>
            <w:tcW w:w="864" w:type="dxa"/>
            <w:tcBorders>
              <w:top w:val="nil"/>
              <w:left w:val="nil"/>
              <w:bottom w:val="nil"/>
              <w:right w:val="nil"/>
            </w:tcBorders>
            <w:shd w:val="clear" w:color="auto" w:fill="auto"/>
            <w:noWrap/>
            <w:vAlign w:val="bottom"/>
            <w:hideMark/>
          </w:tcPr>
          <w:p w14:paraId="682C4C2A" w14:textId="77777777" w:rsidR="00CB4D42" w:rsidRDefault="00CB4D42">
            <w:pPr>
              <w:jc w:val="right"/>
              <w:rPr>
                <w:color w:val="000000"/>
                <w:sz w:val="20"/>
                <w:szCs w:val="20"/>
              </w:rPr>
            </w:pPr>
            <w:r>
              <w:rPr>
                <w:color w:val="000000"/>
                <w:sz w:val="20"/>
                <w:szCs w:val="20"/>
              </w:rPr>
              <w:t>0.076</w:t>
            </w:r>
          </w:p>
        </w:tc>
        <w:tc>
          <w:tcPr>
            <w:tcW w:w="864" w:type="dxa"/>
            <w:tcBorders>
              <w:top w:val="nil"/>
              <w:left w:val="nil"/>
              <w:bottom w:val="nil"/>
              <w:right w:val="nil"/>
            </w:tcBorders>
            <w:shd w:val="clear" w:color="auto" w:fill="auto"/>
            <w:noWrap/>
            <w:vAlign w:val="bottom"/>
            <w:hideMark/>
          </w:tcPr>
          <w:p w14:paraId="0672C898" w14:textId="77777777" w:rsidR="00CB4D42" w:rsidRDefault="00CB4D42">
            <w:pPr>
              <w:jc w:val="right"/>
              <w:rPr>
                <w:color w:val="000000"/>
                <w:sz w:val="20"/>
                <w:szCs w:val="20"/>
              </w:rPr>
            </w:pPr>
            <w:r>
              <w:rPr>
                <w:color w:val="000000"/>
                <w:sz w:val="20"/>
                <w:szCs w:val="20"/>
              </w:rPr>
              <w:t>0.003</w:t>
            </w:r>
          </w:p>
        </w:tc>
      </w:tr>
      <w:tr w:rsidR="00CB4D42" w14:paraId="0FF5AAA2" w14:textId="77777777" w:rsidTr="00CB4D42">
        <w:trPr>
          <w:trHeight w:val="320"/>
        </w:trPr>
        <w:tc>
          <w:tcPr>
            <w:tcW w:w="1152" w:type="dxa"/>
            <w:tcBorders>
              <w:top w:val="nil"/>
              <w:left w:val="nil"/>
              <w:bottom w:val="nil"/>
              <w:right w:val="nil"/>
            </w:tcBorders>
            <w:shd w:val="clear" w:color="auto" w:fill="auto"/>
            <w:noWrap/>
            <w:vAlign w:val="bottom"/>
            <w:hideMark/>
          </w:tcPr>
          <w:p w14:paraId="40A5FB92"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AB0DD71" w14:textId="77777777" w:rsidR="00CB4D42" w:rsidRDefault="00CB4D42">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E2C03E1" w14:textId="77777777" w:rsidR="00CB4D42" w:rsidRDefault="00CB4D42">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699DA1AF" w14:textId="77777777" w:rsidR="00CB4D42" w:rsidRDefault="00CB4D42">
            <w:pPr>
              <w:jc w:val="right"/>
              <w:rPr>
                <w:color w:val="000000"/>
                <w:sz w:val="20"/>
                <w:szCs w:val="20"/>
              </w:rPr>
            </w:pPr>
            <w:r>
              <w:rPr>
                <w:color w:val="000000"/>
                <w:sz w:val="20"/>
                <w:szCs w:val="20"/>
              </w:rPr>
              <w:t>0.858</w:t>
            </w:r>
          </w:p>
        </w:tc>
        <w:tc>
          <w:tcPr>
            <w:tcW w:w="864" w:type="dxa"/>
            <w:tcBorders>
              <w:top w:val="nil"/>
              <w:left w:val="nil"/>
              <w:bottom w:val="nil"/>
              <w:right w:val="nil"/>
            </w:tcBorders>
            <w:shd w:val="clear" w:color="auto" w:fill="auto"/>
            <w:noWrap/>
            <w:vAlign w:val="bottom"/>
            <w:hideMark/>
          </w:tcPr>
          <w:p w14:paraId="5F509355"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1311F23" w14:textId="77777777" w:rsidR="00CB4D42" w:rsidRDefault="00CB4D42">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448453D6" w14:textId="77777777" w:rsidR="00CB4D42" w:rsidRDefault="00CB4D42">
            <w:pPr>
              <w:jc w:val="right"/>
              <w:rPr>
                <w:color w:val="000000"/>
                <w:sz w:val="20"/>
                <w:szCs w:val="20"/>
              </w:rPr>
            </w:pPr>
            <w:r>
              <w:rPr>
                <w:color w:val="000000"/>
                <w:sz w:val="20"/>
                <w:szCs w:val="20"/>
              </w:rPr>
              <w:t>0.736</w:t>
            </w:r>
          </w:p>
        </w:tc>
        <w:tc>
          <w:tcPr>
            <w:tcW w:w="864" w:type="dxa"/>
            <w:tcBorders>
              <w:top w:val="nil"/>
              <w:left w:val="nil"/>
              <w:bottom w:val="nil"/>
              <w:right w:val="nil"/>
            </w:tcBorders>
            <w:shd w:val="clear" w:color="auto" w:fill="auto"/>
            <w:noWrap/>
            <w:vAlign w:val="bottom"/>
            <w:hideMark/>
          </w:tcPr>
          <w:p w14:paraId="23911595" w14:textId="77777777" w:rsidR="00CB4D42" w:rsidRDefault="00CB4D42">
            <w:pPr>
              <w:jc w:val="right"/>
              <w:rPr>
                <w:color w:val="000000"/>
                <w:sz w:val="20"/>
                <w:szCs w:val="20"/>
              </w:rPr>
            </w:pPr>
            <w:r>
              <w:rPr>
                <w:color w:val="000000"/>
                <w:sz w:val="20"/>
                <w:szCs w:val="20"/>
              </w:rPr>
              <w:t>0.000</w:t>
            </w:r>
          </w:p>
        </w:tc>
      </w:tr>
      <w:tr w:rsidR="00CB4D42" w14:paraId="53482111" w14:textId="77777777" w:rsidTr="00CB4D42">
        <w:trPr>
          <w:trHeight w:val="320"/>
        </w:trPr>
        <w:tc>
          <w:tcPr>
            <w:tcW w:w="1152" w:type="dxa"/>
            <w:tcBorders>
              <w:top w:val="nil"/>
              <w:left w:val="nil"/>
              <w:bottom w:val="nil"/>
              <w:right w:val="nil"/>
            </w:tcBorders>
            <w:shd w:val="clear" w:color="auto" w:fill="auto"/>
            <w:noWrap/>
            <w:vAlign w:val="bottom"/>
            <w:hideMark/>
          </w:tcPr>
          <w:p w14:paraId="5E9FB07D"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F42889F" w14:textId="77777777" w:rsidR="00CB4D42" w:rsidRDefault="00CB4D42">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680141B" w14:textId="77777777" w:rsidR="00CB4D42" w:rsidRDefault="00CB4D42">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1A900935" w14:textId="77777777" w:rsidR="00CB4D42" w:rsidRDefault="00CB4D42">
            <w:pPr>
              <w:jc w:val="right"/>
              <w:rPr>
                <w:color w:val="000000"/>
                <w:sz w:val="20"/>
                <w:szCs w:val="20"/>
              </w:rPr>
            </w:pPr>
            <w:r>
              <w:rPr>
                <w:color w:val="000000"/>
                <w:sz w:val="20"/>
                <w:szCs w:val="20"/>
              </w:rPr>
              <w:t>0.855</w:t>
            </w:r>
          </w:p>
        </w:tc>
        <w:tc>
          <w:tcPr>
            <w:tcW w:w="864" w:type="dxa"/>
            <w:tcBorders>
              <w:top w:val="nil"/>
              <w:left w:val="nil"/>
              <w:bottom w:val="nil"/>
              <w:right w:val="nil"/>
            </w:tcBorders>
            <w:shd w:val="clear" w:color="auto" w:fill="auto"/>
            <w:noWrap/>
            <w:vAlign w:val="bottom"/>
            <w:hideMark/>
          </w:tcPr>
          <w:p w14:paraId="22BDEEFA"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B85B38D" w14:textId="77777777" w:rsidR="00CB4D42" w:rsidRDefault="00CB4D42">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0346140C" w14:textId="77777777" w:rsidR="00CB4D42" w:rsidRDefault="00CB4D42">
            <w:pPr>
              <w:jc w:val="right"/>
              <w:rPr>
                <w:color w:val="000000"/>
                <w:sz w:val="20"/>
                <w:szCs w:val="20"/>
              </w:rPr>
            </w:pPr>
            <w:r>
              <w:rPr>
                <w:color w:val="000000"/>
                <w:sz w:val="20"/>
                <w:szCs w:val="20"/>
              </w:rPr>
              <w:t>0.798</w:t>
            </w:r>
          </w:p>
        </w:tc>
        <w:tc>
          <w:tcPr>
            <w:tcW w:w="864" w:type="dxa"/>
            <w:tcBorders>
              <w:top w:val="nil"/>
              <w:left w:val="nil"/>
              <w:bottom w:val="nil"/>
              <w:right w:val="nil"/>
            </w:tcBorders>
            <w:shd w:val="clear" w:color="auto" w:fill="auto"/>
            <w:noWrap/>
            <w:vAlign w:val="bottom"/>
            <w:hideMark/>
          </w:tcPr>
          <w:p w14:paraId="327BD286" w14:textId="77777777" w:rsidR="00CB4D42" w:rsidRDefault="00CB4D42">
            <w:pPr>
              <w:jc w:val="right"/>
              <w:rPr>
                <w:color w:val="000000"/>
                <w:sz w:val="20"/>
                <w:szCs w:val="20"/>
              </w:rPr>
            </w:pPr>
            <w:r>
              <w:rPr>
                <w:color w:val="000000"/>
                <w:sz w:val="20"/>
                <w:szCs w:val="20"/>
              </w:rPr>
              <w:t>0.000</w:t>
            </w:r>
          </w:p>
        </w:tc>
      </w:tr>
      <w:tr w:rsidR="00CB4D42" w14:paraId="18DEFE90" w14:textId="77777777" w:rsidTr="00CB4D42">
        <w:trPr>
          <w:trHeight w:val="320"/>
        </w:trPr>
        <w:tc>
          <w:tcPr>
            <w:tcW w:w="1152" w:type="dxa"/>
            <w:tcBorders>
              <w:top w:val="nil"/>
              <w:left w:val="nil"/>
              <w:bottom w:val="single" w:sz="4" w:space="0" w:color="auto"/>
              <w:right w:val="nil"/>
            </w:tcBorders>
            <w:shd w:val="clear" w:color="auto" w:fill="auto"/>
            <w:noWrap/>
            <w:vAlign w:val="bottom"/>
            <w:hideMark/>
          </w:tcPr>
          <w:p w14:paraId="11297779" w14:textId="77777777" w:rsidR="00CB4D42" w:rsidRDefault="00CB4D42">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ED91ED1" w14:textId="77777777" w:rsidR="00CB4D42" w:rsidRDefault="00CB4D42">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A802B2A" w14:textId="77777777" w:rsidR="00CB4D42" w:rsidRDefault="00CB4D42">
            <w:pPr>
              <w:jc w:val="right"/>
              <w:rPr>
                <w:color w:val="000000"/>
                <w:sz w:val="20"/>
                <w:szCs w:val="20"/>
              </w:rPr>
            </w:pPr>
            <w:r>
              <w:rPr>
                <w:color w:val="000000"/>
                <w:sz w:val="20"/>
                <w:szCs w:val="20"/>
              </w:rPr>
              <w:t>0.011</w:t>
            </w:r>
          </w:p>
        </w:tc>
        <w:tc>
          <w:tcPr>
            <w:tcW w:w="864" w:type="dxa"/>
            <w:tcBorders>
              <w:top w:val="nil"/>
              <w:left w:val="nil"/>
              <w:bottom w:val="single" w:sz="4" w:space="0" w:color="auto"/>
              <w:right w:val="nil"/>
            </w:tcBorders>
            <w:shd w:val="clear" w:color="auto" w:fill="auto"/>
            <w:noWrap/>
            <w:vAlign w:val="bottom"/>
            <w:hideMark/>
          </w:tcPr>
          <w:p w14:paraId="5204D22F" w14:textId="77777777" w:rsidR="00CB4D42" w:rsidRDefault="00CB4D42">
            <w:pPr>
              <w:jc w:val="right"/>
              <w:rPr>
                <w:color w:val="000000"/>
                <w:sz w:val="20"/>
                <w:szCs w:val="20"/>
              </w:rPr>
            </w:pPr>
            <w:r>
              <w:rPr>
                <w:color w:val="000000"/>
                <w:sz w:val="20"/>
                <w:szCs w:val="20"/>
              </w:rPr>
              <w:t>0.855</w:t>
            </w:r>
          </w:p>
        </w:tc>
        <w:tc>
          <w:tcPr>
            <w:tcW w:w="864" w:type="dxa"/>
            <w:tcBorders>
              <w:top w:val="nil"/>
              <w:left w:val="nil"/>
              <w:bottom w:val="single" w:sz="4" w:space="0" w:color="auto"/>
              <w:right w:val="nil"/>
            </w:tcBorders>
            <w:shd w:val="clear" w:color="auto" w:fill="auto"/>
            <w:noWrap/>
            <w:vAlign w:val="bottom"/>
            <w:hideMark/>
          </w:tcPr>
          <w:p w14:paraId="1E002C71"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7B5BCF3" w14:textId="77777777" w:rsidR="00CB4D42" w:rsidRDefault="00CB4D42">
            <w:pPr>
              <w:jc w:val="right"/>
              <w:rPr>
                <w:color w:val="000000"/>
                <w:sz w:val="20"/>
                <w:szCs w:val="20"/>
              </w:rPr>
            </w:pPr>
            <w:r>
              <w:rPr>
                <w:color w:val="000000"/>
                <w:sz w:val="20"/>
                <w:szCs w:val="20"/>
              </w:rPr>
              <w:t>0.033</w:t>
            </w:r>
          </w:p>
        </w:tc>
        <w:tc>
          <w:tcPr>
            <w:tcW w:w="864" w:type="dxa"/>
            <w:tcBorders>
              <w:top w:val="nil"/>
              <w:left w:val="nil"/>
              <w:bottom w:val="single" w:sz="4" w:space="0" w:color="auto"/>
              <w:right w:val="nil"/>
            </w:tcBorders>
            <w:shd w:val="clear" w:color="auto" w:fill="auto"/>
            <w:noWrap/>
            <w:vAlign w:val="bottom"/>
            <w:hideMark/>
          </w:tcPr>
          <w:p w14:paraId="621E7E35" w14:textId="77777777" w:rsidR="00CB4D42" w:rsidRDefault="00CB4D42">
            <w:pPr>
              <w:jc w:val="right"/>
              <w:rPr>
                <w:color w:val="000000"/>
                <w:sz w:val="20"/>
                <w:szCs w:val="20"/>
              </w:rPr>
            </w:pPr>
            <w:r>
              <w:rPr>
                <w:color w:val="000000"/>
                <w:sz w:val="20"/>
                <w:szCs w:val="20"/>
              </w:rPr>
              <w:t>0.333</w:t>
            </w:r>
          </w:p>
        </w:tc>
        <w:tc>
          <w:tcPr>
            <w:tcW w:w="864" w:type="dxa"/>
            <w:tcBorders>
              <w:top w:val="nil"/>
              <w:left w:val="nil"/>
              <w:bottom w:val="single" w:sz="4" w:space="0" w:color="auto"/>
              <w:right w:val="nil"/>
            </w:tcBorders>
            <w:shd w:val="clear" w:color="auto" w:fill="auto"/>
            <w:noWrap/>
            <w:vAlign w:val="bottom"/>
            <w:hideMark/>
          </w:tcPr>
          <w:p w14:paraId="46DC9F7B" w14:textId="77777777" w:rsidR="00CB4D42" w:rsidRDefault="00CB4D42">
            <w:pPr>
              <w:jc w:val="right"/>
              <w:rPr>
                <w:color w:val="000000"/>
                <w:sz w:val="20"/>
                <w:szCs w:val="20"/>
              </w:rPr>
            </w:pPr>
            <w:r>
              <w:rPr>
                <w:color w:val="000000"/>
                <w:sz w:val="20"/>
                <w:szCs w:val="20"/>
              </w:rPr>
              <w:t>0.001</w:t>
            </w:r>
          </w:p>
        </w:tc>
      </w:tr>
      <w:tr w:rsidR="00CB4D42" w14:paraId="02E3A711" w14:textId="77777777" w:rsidTr="00CB4D42">
        <w:trPr>
          <w:trHeight w:val="320"/>
        </w:trPr>
        <w:tc>
          <w:tcPr>
            <w:tcW w:w="1152" w:type="dxa"/>
            <w:tcBorders>
              <w:top w:val="nil"/>
              <w:left w:val="nil"/>
              <w:bottom w:val="nil"/>
              <w:right w:val="nil"/>
            </w:tcBorders>
            <w:shd w:val="clear" w:color="auto" w:fill="auto"/>
            <w:noWrap/>
            <w:vAlign w:val="bottom"/>
            <w:hideMark/>
          </w:tcPr>
          <w:p w14:paraId="3DD89BBA" w14:textId="77777777" w:rsidR="00CB4D42" w:rsidRDefault="00CB4D42">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39DAF800" w14:textId="77777777" w:rsidR="00CB4D42" w:rsidRDefault="00CB4D42">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2068F224" w14:textId="77777777" w:rsidR="00CB4D42" w:rsidRDefault="00CB4D42">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751E1642" w14:textId="77777777" w:rsidR="00CB4D42" w:rsidRDefault="00CB4D42">
            <w:pPr>
              <w:jc w:val="right"/>
              <w:rPr>
                <w:color w:val="000000"/>
                <w:sz w:val="20"/>
                <w:szCs w:val="20"/>
              </w:rPr>
            </w:pPr>
            <w:r>
              <w:rPr>
                <w:color w:val="000000"/>
                <w:sz w:val="20"/>
                <w:szCs w:val="20"/>
              </w:rPr>
              <w:t>0.697</w:t>
            </w:r>
          </w:p>
        </w:tc>
        <w:tc>
          <w:tcPr>
            <w:tcW w:w="864" w:type="dxa"/>
            <w:tcBorders>
              <w:top w:val="nil"/>
              <w:left w:val="nil"/>
              <w:bottom w:val="nil"/>
              <w:right w:val="nil"/>
            </w:tcBorders>
            <w:shd w:val="clear" w:color="auto" w:fill="auto"/>
            <w:noWrap/>
            <w:vAlign w:val="bottom"/>
            <w:hideMark/>
          </w:tcPr>
          <w:p w14:paraId="1E48D13F"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A902DAF" w14:textId="77777777" w:rsidR="00CB4D42" w:rsidRDefault="00CB4D42">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38357D93" w14:textId="77777777" w:rsidR="00CB4D42" w:rsidRDefault="00CB4D42">
            <w:pPr>
              <w:jc w:val="right"/>
              <w:rPr>
                <w:color w:val="000000"/>
                <w:sz w:val="20"/>
                <w:szCs w:val="20"/>
              </w:rPr>
            </w:pPr>
            <w:r>
              <w:rPr>
                <w:color w:val="000000"/>
                <w:sz w:val="20"/>
                <w:szCs w:val="20"/>
              </w:rPr>
              <w:t>0.273</w:t>
            </w:r>
          </w:p>
        </w:tc>
        <w:tc>
          <w:tcPr>
            <w:tcW w:w="864" w:type="dxa"/>
            <w:tcBorders>
              <w:top w:val="nil"/>
              <w:left w:val="nil"/>
              <w:bottom w:val="nil"/>
              <w:right w:val="nil"/>
            </w:tcBorders>
            <w:shd w:val="clear" w:color="auto" w:fill="auto"/>
            <w:noWrap/>
            <w:vAlign w:val="bottom"/>
            <w:hideMark/>
          </w:tcPr>
          <w:p w14:paraId="771F3290" w14:textId="77777777" w:rsidR="00CB4D42" w:rsidRDefault="00CB4D42">
            <w:pPr>
              <w:jc w:val="right"/>
              <w:rPr>
                <w:color w:val="000000"/>
                <w:sz w:val="20"/>
                <w:szCs w:val="20"/>
              </w:rPr>
            </w:pPr>
            <w:r>
              <w:rPr>
                <w:color w:val="000000"/>
                <w:sz w:val="20"/>
                <w:szCs w:val="20"/>
              </w:rPr>
              <w:t>0.001</w:t>
            </w:r>
          </w:p>
        </w:tc>
      </w:tr>
      <w:tr w:rsidR="00CB4D42" w14:paraId="3A14D20F" w14:textId="77777777" w:rsidTr="00CB4D42">
        <w:trPr>
          <w:trHeight w:val="320"/>
        </w:trPr>
        <w:tc>
          <w:tcPr>
            <w:tcW w:w="1152" w:type="dxa"/>
            <w:tcBorders>
              <w:top w:val="nil"/>
              <w:left w:val="nil"/>
              <w:bottom w:val="nil"/>
              <w:right w:val="nil"/>
            </w:tcBorders>
            <w:shd w:val="clear" w:color="auto" w:fill="auto"/>
            <w:noWrap/>
            <w:vAlign w:val="bottom"/>
            <w:hideMark/>
          </w:tcPr>
          <w:p w14:paraId="728CE840"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2B6DE7C" w14:textId="77777777" w:rsidR="00CB4D42" w:rsidRDefault="00CB4D42">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C81EF92" w14:textId="77777777" w:rsidR="00CB4D42" w:rsidRDefault="00CB4D42">
            <w:pPr>
              <w:jc w:val="right"/>
              <w:rPr>
                <w:b/>
                <w:bCs/>
                <w:color w:val="000000"/>
                <w:sz w:val="20"/>
                <w:szCs w:val="20"/>
              </w:rPr>
            </w:pPr>
            <w:r>
              <w:rPr>
                <w:b/>
                <w:bCs/>
                <w:color w:val="000000"/>
                <w:sz w:val="20"/>
                <w:szCs w:val="20"/>
              </w:rPr>
              <w:t>0.082</w:t>
            </w:r>
          </w:p>
        </w:tc>
        <w:tc>
          <w:tcPr>
            <w:tcW w:w="864" w:type="dxa"/>
            <w:tcBorders>
              <w:top w:val="nil"/>
              <w:left w:val="nil"/>
              <w:bottom w:val="nil"/>
              <w:right w:val="nil"/>
            </w:tcBorders>
            <w:shd w:val="clear" w:color="auto" w:fill="auto"/>
            <w:noWrap/>
            <w:vAlign w:val="bottom"/>
            <w:hideMark/>
          </w:tcPr>
          <w:p w14:paraId="7FD09A8A" w14:textId="77777777" w:rsidR="00CB4D42" w:rsidRDefault="00CB4D42">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00C58C8F" w14:textId="77777777" w:rsidR="00CB4D42" w:rsidRDefault="00CB4D42">
            <w:pPr>
              <w:jc w:val="right"/>
              <w:rPr>
                <w:b/>
                <w:bCs/>
                <w:color w:val="000000"/>
                <w:sz w:val="20"/>
                <w:szCs w:val="20"/>
              </w:rPr>
            </w:pPr>
            <w:r>
              <w:rPr>
                <w:b/>
                <w:bCs/>
                <w:color w:val="000000"/>
                <w:sz w:val="20"/>
                <w:szCs w:val="20"/>
              </w:rPr>
              <w:t>0.007</w:t>
            </w:r>
          </w:p>
        </w:tc>
        <w:tc>
          <w:tcPr>
            <w:tcW w:w="864" w:type="dxa"/>
            <w:tcBorders>
              <w:top w:val="nil"/>
              <w:left w:val="nil"/>
              <w:bottom w:val="nil"/>
              <w:right w:val="nil"/>
            </w:tcBorders>
            <w:shd w:val="clear" w:color="auto" w:fill="auto"/>
            <w:noWrap/>
            <w:vAlign w:val="bottom"/>
            <w:hideMark/>
          </w:tcPr>
          <w:p w14:paraId="35ADF722" w14:textId="77777777" w:rsidR="00CB4D42" w:rsidRDefault="00CB4D42">
            <w:pPr>
              <w:jc w:val="right"/>
              <w:rPr>
                <w:b/>
                <w:bCs/>
                <w:color w:val="000000"/>
                <w:sz w:val="20"/>
                <w:szCs w:val="20"/>
              </w:rPr>
            </w:pPr>
            <w:r>
              <w:rPr>
                <w:b/>
                <w:bCs/>
                <w:color w:val="000000"/>
                <w:sz w:val="20"/>
                <w:szCs w:val="20"/>
              </w:rPr>
              <w:t>0.096</w:t>
            </w:r>
          </w:p>
        </w:tc>
        <w:tc>
          <w:tcPr>
            <w:tcW w:w="864" w:type="dxa"/>
            <w:tcBorders>
              <w:top w:val="nil"/>
              <w:left w:val="nil"/>
              <w:bottom w:val="nil"/>
              <w:right w:val="nil"/>
            </w:tcBorders>
            <w:shd w:val="clear" w:color="auto" w:fill="auto"/>
            <w:noWrap/>
            <w:vAlign w:val="bottom"/>
            <w:hideMark/>
          </w:tcPr>
          <w:p w14:paraId="6DEE9B22" w14:textId="77777777" w:rsidR="00CB4D42" w:rsidRDefault="00CB4D42">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75C24D1A" w14:textId="77777777" w:rsidR="00CB4D42" w:rsidRDefault="00CB4D42">
            <w:pPr>
              <w:jc w:val="right"/>
              <w:rPr>
                <w:b/>
                <w:bCs/>
                <w:color w:val="000000"/>
                <w:sz w:val="20"/>
                <w:szCs w:val="20"/>
              </w:rPr>
            </w:pPr>
            <w:r>
              <w:rPr>
                <w:b/>
                <w:bCs/>
                <w:color w:val="000000"/>
                <w:sz w:val="20"/>
                <w:szCs w:val="20"/>
              </w:rPr>
              <w:t>0.009</w:t>
            </w:r>
          </w:p>
        </w:tc>
      </w:tr>
      <w:tr w:rsidR="00CB4D42" w14:paraId="5ECF2570" w14:textId="77777777" w:rsidTr="00CB4D42">
        <w:trPr>
          <w:trHeight w:val="320"/>
        </w:trPr>
        <w:tc>
          <w:tcPr>
            <w:tcW w:w="1152" w:type="dxa"/>
            <w:tcBorders>
              <w:top w:val="nil"/>
              <w:left w:val="nil"/>
              <w:bottom w:val="nil"/>
              <w:right w:val="nil"/>
            </w:tcBorders>
            <w:shd w:val="clear" w:color="auto" w:fill="auto"/>
            <w:noWrap/>
            <w:vAlign w:val="bottom"/>
            <w:hideMark/>
          </w:tcPr>
          <w:p w14:paraId="4BCB6DC7" w14:textId="77777777" w:rsidR="00CB4D42" w:rsidRDefault="00CB4D42">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563F4D73" w14:textId="77777777" w:rsidR="00CB4D42" w:rsidRDefault="00CB4D42">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58B0CAB" w14:textId="77777777" w:rsidR="00CB4D42" w:rsidRDefault="00CB4D42">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5271D86F" w14:textId="77777777" w:rsidR="00CB4D42" w:rsidRDefault="00CB4D42">
            <w:pPr>
              <w:jc w:val="right"/>
              <w:rPr>
                <w:color w:val="000000"/>
                <w:sz w:val="20"/>
                <w:szCs w:val="20"/>
              </w:rPr>
            </w:pPr>
            <w:r>
              <w:rPr>
                <w:color w:val="000000"/>
                <w:sz w:val="20"/>
                <w:szCs w:val="20"/>
              </w:rPr>
              <w:t>0.682</w:t>
            </w:r>
          </w:p>
        </w:tc>
        <w:tc>
          <w:tcPr>
            <w:tcW w:w="864" w:type="dxa"/>
            <w:tcBorders>
              <w:top w:val="nil"/>
              <w:left w:val="nil"/>
              <w:bottom w:val="nil"/>
              <w:right w:val="nil"/>
            </w:tcBorders>
            <w:shd w:val="clear" w:color="auto" w:fill="auto"/>
            <w:noWrap/>
            <w:vAlign w:val="bottom"/>
            <w:hideMark/>
          </w:tcPr>
          <w:p w14:paraId="7488EBC5"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3C9CF6A" w14:textId="77777777" w:rsidR="00CB4D42" w:rsidRDefault="00CB4D42">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3026F03F" w14:textId="77777777" w:rsidR="00CB4D42" w:rsidRDefault="00CB4D42">
            <w:pPr>
              <w:jc w:val="right"/>
              <w:rPr>
                <w:color w:val="000000"/>
                <w:sz w:val="20"/>
                <w:szCs w:val="20"/>
              </w:rPr>
            </w:pPr>
            <w:r>
              <w:rPr>
                <w:color w:val="000000"/>
                <w:sz w:val="20"/>
                <w:szCs w:val="20"/>
              </w:rPr>
              <w:t>0.192</w:t>
            </w:r>
          </w:p>
        </w:tc>
        <w:tc>
          <w:tcPr>
            <w:tcW w:w="864" w:type="dxa"/>
            <w:tcBorders>
              <w:top w:val="nil"/>
              <w:left w:val="nil"/>
              <w:bottom w:val="nil"/>
              <w:right w:val="nil"/>
            </w:tcBorders>
            <w:shd w:val="clear" w:color="auto" w:fill="auto"/>
            <w:noWrap/>
            <w:vAlign w:val="bottom"/>
            <w:hideMark/>
          </w:tcPr>
          <w:p w14:paraId="60DB7973" w14:textId="77777777" w:rsidR="00CB4D42" w:rsidRDefault="00CB4D42">
            <w:pPr>
              <w:jc w:val="right"/>
              <w:rPr>
                <w:color w:val="000000"/>
                <w:sz w:val="20"/>
                <w:szCs w:val="20"/>
              </w:rPr>
            </w:pPr>
            <w:r>
              <w:rPr>
                <w:color w:val="000000"/>
                <w:sz w:val="20"/>
                <w:szCs w:val="20"/>
              </w:rPr>
              <w:t>0.001</w:t>
            </w:r>
          </w:p>
        </w:tc>
      </w:tr>
      <w:tr w:rsidR="00CB4D42" w14:paraId="262E4606" w14:textId="77777777" w:rsidTr="00CB4D42">
        <w:trPr>
          <w:trHeight w:val="320"/>
        </w:trPr>
        <w:tc>
          <w:tcPr>
            <w:tcW w:w="1152" w:type="dxa"/>
            <w:tcBorders>
              <w:top w:val="nil"/>
              <w:left w:val="nil"/>
              <w:bottom w:val="nil"/>
              <w:right w:val="nil"/>
            </w:tcBorders>
            <w:shd w:val="clear" w:color="auto" w:fill="auto"/>
            <w:noWrap/>
            <w:vAlign w:val="bottom"/>
            <w:hideMark/>
          </w:tcPr>
          <w:p w14:paraId="4BDC32C5"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949DC9" w14:textId="77777777" w:rsidR="00CB4D42" w:rsidRDefault="00CB4D42">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5760947" w14:textId="77777777" w:rsidR="00CB4D42" w:rsidRDefault="00CB4D42">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0C4EB9CB" w14:textId="77777777" w:rsidR="00CB4D42" w:rsidRDefault="00CB4D42">
            <w:pPr>
              <w:jc w:val="right"/>
              <w:rPr>
                <w:color w:val="000000"/>
                <w:sz w:val="20"/>
                <w:szCs w:val="20"/>
              </w:rPr>
            </w:pPr>
            <w:r>
              <w:rPr>
                <w:color w:val="000000"/>
                <w:sz w:val="20"/>
                <w:szCs w:val="20"/>
              </w:rPr>
              <w:t>0.440</w:t>
            </w:r>
          </w:p>
        </w:tc>
        <w:tc>
          <w:tcPr>
            <w:tcW w:w="864" w:type="dxa"/>
            <w:tcBorders>
              <w:top w:val="nil"/>
              <w:left w:val="nil"/>
              <w:bottom w:val="nil"/>
              <w:right w:val="nil"/>
            </w:tcBorders>
            <w:shd w:val="clear" w:color="auto" w:fill="auto"/>
            <w:noWrap/>
            <w:vAlign w:val="bottom"/>
            <w:hideMark/>
          </w:tcPr>
          <w:p w14:paraId="433A61C9" w14:textId="77777777" w:rsidR="00CB4D42" w:rsidRDefault="00CB4D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1C628F9" w14:textId="77777777" w:rsidR="00CB4D42" w:rsidRPr="00FE559D" w:rsidRDefault="00CB4D42">
            <w:pPr>
              <w:jc w:val="right"/>
              <w:rPr>
                <w:b/>
                <w:bCs/>
                <w:color w:val="000000"/>
                <w:sz w:val="20"/>
                <w:szCs w:val="20"/>
              </w:rPr>
            </w:pPr>
            <w:r w:rsidRPr="00FE559D">
              <w:rPr>
                <w:b/>
                <w:bCs/>
                <w:color w:val="000000"/>
                <w:sz w:val="20"/>
                <w:szCs w:val="20"/>
              </w:rPr>
              <w:t>-0.048</w:t>
            </w:r>
          </w:p>
        </w:tc>
        <w:tc>
          <w:tcPr>
            <w:tcW w:w="864" w:type="dxa"/>
            <w:tcBorders>
              <w:top w:val="nil"/>
              <w:left w:val="nil"/>
              <w:bottom w:val="nil"/>
              <w:right w:val="nil"/>
            </w:tcBorders>
            <w:shd w:val="clear" w:color="auto" w:fill="auto"/>
            <w:noWrap/>
            <w:vAlign w:val="bottom"/>
            <w:hideMark/>
          </w:tcPr>
          <w:p w14:paraId="1A1EA0D7" w14:textId="77777777" w:rsidR="00CB4D42" w:rsidRPr="00FE559D" w:rsidRDefault="00CB4D42">
            <w:pPr>
              <w:jc w:val="right"/>
              <w:rPr>
                <w:b/>
                <w:bCs/>
                <w:color w:val="000000"/>
                <w:sz w:val="20"/>
                <w:szCs w:val="20"/>
              </w:rPr>
            </w:pPr>
            <w:r w:rsidRPr="00FE559D">
              <w:rPr>
                <w:b/>
                <w:bCs/>
                <w:color w:val="000000"/>
                <w:sz w:val="20"/>
                <w:szCs w:val="20"/>
              </w:rPr>
              <w:t>0.040</w:t>
            </w:r>
          </w:p>
        </w:tc>
        <w:tc>
          <w:tcPr>
            <w:tcW w:w="864" w:type="dxa"/>
            <w:tcBorders>
              <w:top w:val="nil"/>
              <w:left w:val="nil"/>
              <w:bottom w:val="nil"/>
              <w:right w:val="nil"/>
            </w:tcBorders>
            <w:shd w:val="clear" w:color="auto" w:fill="auto"/>
            <w:noWrap/>
            <w:vAlign w:val="bottom"/>
            <w:hideMark/>
          </w:tcPr>
          <w:p w14:paraId="240D1D6B" w14:textId="77777777" w:rsidR="00CB4D42" w:rsidRPr="00FE559D" w:rsidRDefault="00CB4D42">
            <w:pPr>
              <w:jc w:val="right"/>
              <w:rPr>
                <w:b/>
                <w:bCs/>
                <w:color w:val="000000"/>
                <w:sz w:val="20"/>
                <w:szCs w:val="20"/>
              </w:rPr>
            </w:pPr>
            <w:r w:rsidRPr="00FE559D">
              <w:rPr>
                <w:b/>
                <w:bCs/>
                <w:color w:val="000000"/>
                <w:sz w:val="20"/>
                <w:szCs w:val="20"/>
              </w:rPr>
              <w:t>0.002</w:t>
            </w:r>
          </w:p>
        </w:tc>
      </w:tr>
      <w:tr w:rsidR="00CB4D42" w14:paraId="39BD0D32" w14:textId="77777777" w:rsidTr="00CB4D42">
        <w:trPr>
          <w:trHeight w:val="320"/>
        </w:trPr>
        <w:tc>
          <w:tcPr>
            <w:tcW w:w="1152" w:type="dxa"/>
            <w:tcBorders>
              <w:top w:val="nil"/>
              <w:left w:val="nil"/>
              <w:bottom w:val="nil"/>
              <w:right w:val="nil"/>
            </w:tcBorders>
            <w:shd w:val="clear" w:color="auto" w:fill="auto"/>
            <w:noWrap/>
            <w:vAlign w:val="bottom"/>
            <w:hideMark/>
          </w:tcPr>
          <w:p w14:paraId="584117D7"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43C6DC5" w14:textId="77777777" w:rsidR="00CB4D42" w:rsidRDefault="00CB4D42">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D4BF02A" w14:textId="77777777" w:rsidR="00CB4D42" w:rsidRDefault="00CB4D42">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55494DAE" w14:textId="77777777" w:rsidR="00CB4D42" w:rsidRDefault="00CB4D42">
            <w:pPr>
              <w:jc w:val="right"/>
              <w:rPr>
                <w:color w:val="000000"/>
                <w:sz w:val="20"/>
                <w:szCs w:val="20"/>
              </w:rPr>
            </w:pPr>
            <w:r>
              <w:rPr>
                <w:color w:val="000000"/>
                <w:sz w:val="20"/>
                <w:szCs w:val="20"/>
              </w:rPr>
              <w:t>0.589</w:t>
            </w:r>
          </w:p>
        </w:tc>
        <w:tc>
          <w:tcPr>
            <w:tcW w:w="864" w:type="dxa"/>
            <w:tcBorders>
              <w:top w:val="nil"/>
              <w:left w:val="nil"/>
              <w:bottom w:val="nil"/>
              <w:right w:val="nil"/>
            </w:tcBorders>
            <w:shd w:val="clear" w:color="auto" w:fill="auto"/>
            <w:noWrap/>
            <w:vAlign w:val="bottom"/>
            <w:hideMark/>
          </w:tcPr>
          <w:p w14:paraId="7835DE8E"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5A7DF54" w14:textId="77777777" w:rsidR="00CB4D42" w:rsidRDefault="00CB4D42">
            <w:pPr>
              <w:jc w:val="right"/>
              <w:rPr>
                <w:b/>
                <w:bCs/>
                <w:color w:val="000000"/>
                <w:sz w:val="20"/>
                <w:szCs w:val="20"/>
              </w:rPr>
            </w:pPr>
            <w:r>
              <w:rPr>
                <w:b/>
                <w:bCs/>
                <w:color w:val="000000"/>
                <w:sz w:val="20"/>
                <w:szCs w:val="20"/>
              </w:rPr>
              <w:t>-0.060</w:t>
            </w:r>
          </w:p>
        </w:tc>
        <w:tc>
          <w:tcPr>
            <w:tcW w:w="864" w:type="dxa"/>
            <w:tcBorders>
              <w:top w:val="nil"/>
              <w:left w:val="nil"/>
              <w:bottom w:val="nil"/>
              <w:right w:val="nil"/>
            </w:tcBorders>
            <w:shd w:val="clear" w:color="auto" w:fill="auto"/>
            <w:noWrap/>
            <w:vAlign w:val="bottom"/>
            <w:hideMark/>
          </w:tcPr>
          <w:p w14:paraId="542F692A" w14:textId="77777777" w:rsidR="00CB4D42" w:rsidRDefault="00CB4D42">
            <w:pPr>
              <w:jc w:val="right"/>
              <w:rPr>
                <w:b/>
                <w:bCs/>
                <w:color w:val="000000"/>
                <w:sz w:val="20"/>
                <w:szCs w:val="20"/>
              </w:rPr>
            </w:pPr>
            <w:r>
              <w:rPr>
                <w:b/>
                <w:bCs/>
                <w:color w:val="000000"/>
                <w:sz w:val="20"/>
                <w:szCs w:val="20"/>
              </w:rPr>
              <w:t>0.013</w:t>
            </w:r>
          </w:p>
        </w:tc>
        <w:tc>
          <w:tcPr>
            <w:tcW w:w="864" w:type="dxa"/>
            <w:tcBorders>
              <w:top w:val="nil"/>
              <w:left w:val="nil"/>
              <w:bottom w:val="nil"/>
              <w:right w:val="nil"/>
            </w:tcBorders>
            <w:shd w:val="clear" w:color="auto" w:fill="auto"/>
            <w:noWrap/>
            <w:vAlign w:val="bottom"/>
            <w:hideMark/>
          </w:tcPr>
          <w:p w14:paraId="39E24D52" w14:textId="77777777" w:rsidR="00CB4D42" w:rsidRDefault="00CB4D42">
            <w:pPr>
              <w:jc w:val="right"/>
              <w:rPr>
                <w:color w:val="000000"/>
                <w:sz w:val="20"/>
                <w:szCs w:val="20"/>
              </w:rPr>
            </w:pPr>
            <w:r>
              <w:rPr>
                <w:color w:val="000000"/>
                <w:sz w:val="20"/>
                <w:szCs w:val="20"/>
              </w:rPr>
              <w:t>0.004</w:t>
            </w:r>
          </w:p>
        </w:tc>
      </w:tr>
      <w:tr w:rsidR="00CB4D42" w14:paraId="4256A6A0" w14:textId="77777777" w:rsidTr="00CB4D42">
        <w:trPr>
          <w:trHeight w:val="320"/>
        </w:trPr>
        <w:tc>
          <w:tcPr>
            <w:tcW w:w="1152" w:type="dxa"/>
            <w:tcBorders>
              <w:top w:val="nil"/>
              <w:left w:val="nil"/>
              <w:bottom w:val="nil"/>
              <w:right w:val="nil"/>
            </w:tcBorders>
            <w:shd w:val="clear" w:color="auto" w:fill="auto"/>
            <w:noWrap/>
            <w:vAlign w:val="bottom"/>
            <w:hideMark/>
          </w:tcPr>
          <w:p w14:paraId="24AFF8CE"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DE8AED0" w14:textId="77777777" w:rsidR="00CB4D42" w:rsidRDefault="00CB4D42">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28708FA" w14:textId="77777777" w:rsidR="00CB4D42" w:rsidRDefault="00CB4D42">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01702721" w14:textId="77777777" w:rsidR="00CB4D42" w:rsidRDefault="00CB4D42">
            <w:pPr>
              <w:jc w:val="right"/>
              <w:rPr>
                <w:color w:val="000000"/>
                <w:sz w:val="20"/>
                <w:szCs w:val="20"/>
              </w:rPr>
            </w:pPr>
            <w:r>
              <w:rPr>
                <w:color w:val="000000"/>
                <w:sz w:val="20"/>
                <w:szCs w:val="20"/>
              </w:rPr>
              <w:t>0.682</w:t>
            </w:r>
          </w:p>
        </w:tc>
        <w:tc>
          <w:tcPr>
            <w:tcW w:w="864" w:type="dxa"/>
            <w:tcBorders>
              <w:top w:val="nil"/>
              <w:left w:val="nil"/>
              <w:bottom w:val="nil"/>
              <w:right w:val="nil"/>
            </w:tcBorders>
            <w:shd w:val="clear" w:color="auto" w:fill="auto"/>
            <w:noWrap/>
            <w:vAlign w:val="bottom"/>
            <w:hideMark/>
          </w:tcPr>
          <w:p w14:paraId="4699DB54"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7800427" w14:textId="77777777" w:rsidR="00CB4D42" w:rsidRDefault="00CB4D42">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252C1AEB" w14:textId="77777777" w:rsidR="00CB4D42" w:rsidRDefault="00CB4D42">
            <w:pPr>
              <w:jc w:val="right"/>
              <w:rPr>
                <w:color w:val="000000"/>
                <w:sz w:val="20"/>
                <w:szCs w:val="20"/>
              </w:rPr>
            </w:pPr>
            <w:r>
              <w:rPr>
                <w:color w:val="000000"/>
                <w:sz w:val="20"/>
                <w:szCs w:val="20"/>
              </w:rPr>
              <w:t>0.538</w:t>
            </w:r>
          </w:p>
        </w:tc>
        <w:tc>
          <w:tcPr>
            <w:tcW w:w="864" w:type="dxa"/>
            <w:tcBorders>
              <w:top w:val="nil"/>
              <w:left w:val="nil"/>
              <w:bottom w:val="nil"/>
              <w:right w:val="nil"/>
            </w:tcBorders>
            <w:shd w:val="clear" w:color="auto" w:fill="auto"/>
            <w:noWrap/>
            <w:vAlign w:val="bottom"/>
            <w:hideMark/>
          </w:tcPr>
          <w:p w14:paraId="28117F8A" w14:textId="77777777" w:rsidR="00CB4D42" w:rsidRDefault="00CB4D42">
            <w:pPr>
              <w:jc w:val="right"/>
              <w:rPr>
                <w:color w:val="000000"/>
                <w:sz w:val="20"/>
                <w:szCs w:val="20"/>
              </w:rPr>
            </w:pPr>
            <w:r>
              <w:rPr>
                <w:color w:val="000000"/>
                <w:sz w:val="20"/>
                <w:szCs w:val="20"/>
              </w:rPr>
              <w:t>0.000</w:t>
            </w:r>
          </w:p>
        </w:tc>
      </w:tr>
      <w:tr w:rsidR="00CB4D42" w14:paraId="5AE39E72" w14:textId="77777777" w:rsidTr="00CB4D42">
        <w:trPr>
          <w:trHeight w:val="320"/>
        </w:trPr>
        <w:tc>
          <w:tcPr>
            <w:tcW w:w="1152" w:type="dxa"/>
            <w:tcBorders>
              <w:top w:val="nil"/>
              <w:left w:val="nil"/>
              <w:bottom w:val="nil"/>
              <w:right w:val="nil"/>
            </w:tcBorders>
            <w:shd w:val="clear" w:color="auto" w:fill="auto"/>
            <w:noWrap/>
            <w:vAlign w:val="bottom"/>
            <w:hideMark/>
          </w:tcPr>
          <w:p w14:paraId="11432BA2"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8EDA1B8" w14:textId="77777777" w:rsidR="00CB4D42" w:rsidRDefault="00CB4D42">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F61EEB4" w14:textId="77777777" w:rsidR="00CB4D42" w:rsidRDefault="00CB4D42">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5B0F4794" w14:textId="77777777" w:rsidR="00CB4D42" w:rsidRDefault="00CB4D42">
            <w:pPr>
              <w:jc w:val="right"/>
              <w:rPr>
                <w:color w:val="000000"/>
                <w:sz w:val="20"/>
                <w:szCs w:val="20"/>
              </w:rPr>
            </w:pPr>
            <w:r>
              <w:rPr>
                <w:color w:val="000000"/>
                <w:sz w:val="20"/>
                <w:szCs w:val="20"/>
              </w:rPr>
              <w:t>0.284</w:t>
            </w:r>
          </w:p>
        </w:tc>
        <w:tc>
          <w:tcPr>
            <w:tcW w:w="864" w:type="dxa"/>
            <w:tcBorders>
              <w:top w:val="nil"/>
              <w:left w:val="nil"/>
              <w:bottom w:val="nil"/>
              <w:right w:val="nil"/>
            </w:tcBorders>
            <w:shd w:val="clear" w:color="auto" w:fill="auto"/>
            <w:noWrap/>
            <w:vAlign w:val="bottom"/>
            <w:hideMark/>
          </w:tcPr>
          <w:p w14:paraId="7439F0F3" w14:textId="77777777" w:rsidR="00CB4D42" w:rsidRDefault="00CB4D42">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DDD819A" w14:textId="77777777" w:rsidR="00CB4D42" w:rsidRPr="00FE559D" w:rsidRDefault="00CB4D42">
            <w:pPr>
              <w:jc w:val="right"/>
              <w:rPr>
                <w:b/>
                <w:bCs/>
                <w:color w:val="000000"/>
                <w:sz w:val="20"/>
                <w:szCs w:val="20"/>
              </w:rPr>
            </w:pPr>
            <w:r w:rsidRPr="00FE559D">
              <w:rPr>
                <w:b/>
                <w:bCs/>
                <w:color w:val="000000"/>
                <w:sz w:val="20"/>
                <w:szCs w:val="20"/>
              </w:rPr>
              <w:t>-0.051</w:t>
            </w:r>
          </w:p>
        </w:tc>
        <w:tc>
          <w:tcPr>
            <w:tcW w:w="864" w:type="dxa"/>
            <w:tcBorders>
              <w:top w:val="nil"/>
              <w:left w:val="nil"/>
              <w:bottom w:val="nil"/>
              <w:right w:val="nil"/>
            </w:tcBorders>
            <w:shd w:val="clear" w:color="auto" w:fill="auto"/>
            <w:noWrap/>
            <w:vAlign w:val="bottom"/>
            <w:hideMark/>
          </w:tcPr>
          <w:p w14:paraId="65C1DD5D" w14:textId="77777777" w:rsidR="00CB4D42" w:rsidRPr="00FE559D" w:rsidRDefault="00CB4D42">
            <w:pPr>
              <w:jc w:val="right"/>
              <w:rPr>
                <w:b/>
                <w:bCs/>
                <w:color w:val="000000"/>
                <w:sz w:val="20"/>
                <w:szCs w:val="20"/>
              </w:rPr>
            </w:pPr>
            <w:r w:rsidRPr="00FE559D">
              <w:rPr>
                <w:b/>
                <w:bCs/>
                <w:color w:val="000000"/>
                <w:sz w:val="20"/>
                <w:szCs w:val="20"/>
              </w:rPr>
              <w:t>0.034</w:t>
            </w:r>
          </w:p>
        </w:tc>
        <w:tc>
          <w:tcPr>
            <w:tcW w:w="864" w:type="dxa"/>
            <w:tcBorders>
              <w:top w:val="nil"/>
              <w:left w:val="nil"/>
              <w:bottom w:val="nil"/>
              <w:right w:val="nil"/>
            </w:tcBorders>
            <w:shd w:val="clear" w:color="auto" w:fill="auto"/>
            <w:noWrap/>
            <w:vAlign w:val="bottom"/>
            <w:hideMark/>
          </w:tcPr>
          <w:p w14:paraId="595632B1" w14:textId="77777777" w:rsidR="00CB4D42" w:rsidRPr="00FE559D" w:rsidRDefault="00CB4D42">
            <w:pPr>
              <w:jc w:val="right"/>
              <w:rPr>
                <w:b/>
                <w:bCs/>
                <w:color w:val="000000"/>
                <w:sz w:val="20"/>
                <w:szCs w:val="20"/>
              </w:rPr>
            </w:pPr>
            <w:r w:rsidRPr="00FE559D">
              <w:rPr>
                <w:b/>
                <w:bCs/>
                <w:color w:val="000000"/>
                <w:sz w:val="20"/>
                <w:szCs w:val="20"/>
              </w:rPr>
              <w:t>0.003</w:t>
            </w:r>
          </w:p>
        </w:tc>
      </w:tr>
      <w:tr w:rsidR="00CB4D42" w14:paraId="2D779D17" w14:textId="77777777" w:rsidTr="00CB4D42">
        <w:trPr>
          <w:trHeight w:val="320"/>
        </w:trPr>
        <w:tc>
          <w:tcPr>
            <w:tcW w:w="1152" w:type="dxa"/>
            <w:tcBorders>
              <w:top w:val="nil"/>
              <w:left w:val="nil"/>
              <w:bottom w:val="single" w:sz="4" w:space="0" w:color="auto"/>
              <w:right w:val="nil"/>
            </w:tcBorders>
            <w:shd w:val="clear" w:color="auto" w:fill="auto"/>
            <w:noWrap/>
            <w:vAlign w:val="bottom"/>
            <w:hideMark/>
          </w:tcPr>
          <w:p w14:paraId="694255B3" w14:textId="77777777" w:rsidR="00CB4D42" w:rsidRDefault="00CB4D42">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0DEAF83" w14:textId="77777777" w:rsidR="00CB4D42" w:rsidRDefault="00CB4D42">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9FFF540" w14:textId="77777777" w:rsidR="00CB4D42" w:rsidRDefault="00CB4D42">
            <w:pPr>
              <w:jc w:val="right"/>
              <w:rPr>
                <w:color w:val="000000"/>
                <w:sz w:val="20"/>
                <w:szCs w:val="20"/>
              </w:rPr>
            </w:pPr>
            <w:r>
              <w:rPr>
                <w:color w:val="000000"/>
                <w:sz w:val="20"/>
                <w:szCs w:val="20"/>
              </w:rPr>
              <w:t>0.037</w:t>
            </w:r>
          </w:p>
        </w:tc>
        <w:tc>
          <w:tcPr>
            <w:tcW w:w="864" w:type="dxa"/>
            <w:tcBorders>
              <w:top w:val="nil"/>
              <w:left w:val="nil"/>
              <w:bottom w:val="single" w:sz="4" w:space="0" w:color="auto"/>
              <w:right w:val="nil"/>
            </w:tcBorders>
            <w:shd w:val="clear" w:color="auto" w:fill="auto"/>
            <w:noWrap/>
            <w:vAlign w:val="bottom"/>
            <w:hideMark/>
          </w:tcPr>
          <w:p w14:paraId="1B708F17" w14:textId="77777777" w:rsidR="00CB4D42" w:rsidRDefault="00CB4D42">
            <w:pPr>
              <w:jc w:val="right"/>
              <w:rPr>
                <w:color w:val="000000"/>
                <w:sz w:val="20"/>
                <w:szCs w:val="20"/>
              </w:rPr>
            </w:pPr>
            <w:r>
              <w:rPr>
                <w:color w:val="000000"/>
                <w:sz w:val="20"/>
                <w:szCs w:val="20"/>
              </w:rPr>
              <w:t>0.339</w:t>
            </w:r>
          </w:p>
        </w:tc>
        <w:tc>
          <w:tcPr>
            <w:tcW w:w="864" w:type="dxa"/>
            <w:tcBorders>
              <w:top w:val="nil"/>
              <w:left w:val="nil"/>
              <w:bottom w:val="single" w:sz="4" w:space="0" w:color="auto"/>
              <w:right w:val="nil"/>
            </w:tcBorders>
            <w:shd w:val="clear" w:color="auto" w:fill="auto"/>
            <w:noWrap/>
            <w:vAlign w:val="bottom"/>
            <w:hideMark/>
          </w:tcPr>
          <w:p w14:paraId="482E1BFA" w14:textId="77777777" w:rsidR="00CB4D42" w:rsidRDefault="00CB4D42">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2BF42F9F" w14:textId="77777777" w:rsidR="00CB4D42" w:rsidRDefault="00CB4D42">
            <w:pPr>
              <w:jc w:val="right"/>
              <w:rPr>
                <w:color w:val="000000"/>
                <w:sz w:val="20"/>
                <w:szCs w:val="20"/>
              </w:rPr>
            </w:pPr>
            <w:r>
              <w:rPr>
                <w:color w:val="000000"/>
                <w:sz w:val="20"/>
                <w:szCs w:val="20"/>
              </w:rPr>
              <w:t>0.060</w:t>
            </w:r>
          </w:p>
        </w:tc>
        <w:tc>
          <w:tcPr>
            <w:tcW w:w="864" w:type="dxa"/>
            <w:tcBorders>
              <w:top w:val="nil"/>
              <w:left w:val="nil"/>
              <w:bottom w:val="single" w:sz="4" w:space="0" w:color="auto"/>
              <w:right w:val="nil"/>
            </w:tcBorders>
            <w:shd w:val="clear" w:color="auto" w:fill="auto"/>
            <w:noWrap/>
            <w:vAlign w:val="bottom"/>
            <w:hideMark/>
          </w:tcPr>
          <w:p w14:paraId="51D3AC85" w14:textId="77777777" w:rsidR="00CB4D42" w:rsidRDefault="00CB4D42">
            <w:pPr>
              <w:jc w:val="right"/>
              <w:rPr>
                <w:color w:val="000000"/>
                <w:sz w:val="20"/>
                <w:szCs w:val="20"/>
              </w:rPr>
            </w:pPr>
            <w:r>
              <w:rPr>
                <w:color w:val="000000"/>
                <w:sz w:val="20"/>
                <w:szCs w:val="20"/>
              </w:rPr>
              <w:t>0.013</w:t>
            </w:r>
          </w:p>
        </w:tc>
        <w:tc>
          <w:tcPr>
            <w:tcW w:w="864" w:type="dxa"/>
            <w:tcBorders>
              <w:top w:val="nil"/>
              <w:left w:val="nil"/>
              <w:bottom w:val="single" w:sz="4" w:space="0" w:color="auto"/>
              <w:right w:val="nil"/>
            </w:tcBorders>
            <w:shd w:val="clear" w:color="auto" w:fill="auto"/>
            <w:noWrap/>
            <w:vAlign w:val="bottom"/>
            <w:hideMark/>
          </w:tcPr>
          <w:p w14:paraId="408E4847" w14:textId="77777777" w:rsidR="00CB4D42" w:rsidRDefault="00CB4D42">
            <w:pPr>
              <w:jc w:val="right"/>
              <w:rPr>
                <w:color w:val="000000"/>
                <w:sz w:val="20"/>
                <w:szCs w:val="20"/>
              </w:rPr>
            </w:pPr>
            <w:r>
              <w:rPr>
                <w:color w:val="000000"/>
                <w:sz w:val="20"/>
                <w:szCs w:val="20"/>
              </w:rPr>
              <w:t>0.004</w:t>
            </w:r>
          </w:p>
        </w:tc>
      </w:tr>
      <w:tr w:rsidR="00CB4D42" w14:paraId="53980E09" w14:textId="77777777" w:rsidTr="00CB4D42">
        <w:trPr>
          <w:trHeight w:val="320"/>
        </w:trPr>
        <w:tc>
          <w:tcPr>
            <w:tcW w:w="1152" w:type="dxa"/>
            <w:tcBorders>
              <w:top w:val="nil"/>
              <w:left w:val="nil"/>
              <w:bottom w:val="nil"/>
              <w:right w:val="nil"/>
            </w:tcBorders>
            <w:shd w:val="clear" w:color="auto" w:fill="auto"/>
            <w:noWrap/>
            <w:vAlign w:val="bottom"/>
            <w:hideMark/>
          </w:tcPr>
          <w:p w14:paraId="60D25844" w14:textId="77777777" w:rsidR="00CB4D42" w:rsidRDefault="00CB4D42">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00910B8A" w14:textId="77777777" w:rsidR="00CB4D42" w:rsidRDefault="00CB4D42">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577450A6" w14:textId="77777777" w:rsidR="00CB4D42" w:rsidRDefault="00CB4D42">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2446CDE5" w14:textId="77777777" w:rsidR="00CB4D42" w:rsidRDefault="00CB4D42">
            <w:pPr>
              <w:jc w:val="right"/>
              <w:rPr>
                <w:color w:val="000000"/>
                <w:sz w:val="20"/>
                <w:szCs w:val="20"/>
              </w:rPr>
            </w:pPr>
            <w:r>
              <w:rPr>
                <w:color w:val="000000"/>
                <w:sz w:val="20"/>
                <w:szCs w:val="20"/>
              </w:rPr>
              <w:t>0.929</w:t>
            </w:r>
          </w:p>
        </w:tc>
        <w:tc>
          <w:tcPr>
            <w:tcW w:w="864" w:type="dxa"/>
            <w:tcBorders>
              <w:top w:val="nil"/>
              <w:left w:val="nil"/>
              <w:bottom w:val="nil"/>
              <w:right w:val="nil"/>
            </w:tcBorders>
            <w:shd w:val="clear" w:color="auto" w:fill="auto"/>
            <w:noWrap/>
            <w:vAlign w:val="bottom"/>
            <w:hideMark/>
          </w:tcPr>
          <w:p w14:paraId="4B55841C"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ABA0FAC" w14:textId="77777777" w:rsidR="00CB4D42" w:rsidRDefault="00CB4D42">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3EF809BC" w14:textId="77777777" w:rsidR="00CB4D42" w:rsidRDefault="00CB4D42">
            <w:pPr>
              <w:jc w:val="right"/>
              <w:rPr>
                <w:color w:val="000000"/>
                <w:sz w:val="20"/>
                <w:szCs w:val="20"/>
              </w:rPr>
            </w:pPr>
            <w:r>
              <w:rPr>
                <w:color w:val="000000"/>
                <w:sz w:val="20"/>
                <w:szCs w:val="20"/>
              </w:rPr>
              <w:t>0.337</w:t>
            </w:r>
          </w:p>
        </w:tc>
        <w:tc>
          <w:tcPr>
            <w:tcW w:w="864" w:type="dxa"/>
            <w:tcBorders>
              <w:top w:val="nil"/>
              <w:left w:val="nil"/>
              <w:bottom w:val="nil"/>
              <w:right w:val="nil"/>
            </w:tcBorders>
            <w:shd w:val="clear" w:color="auto" w:fill="auto"/>
            <w:noWrap/>
            <w:vAlign w:val="bottom"/>
            <w:hideMark/>
          </w:tcPr>
          <w:p w14:paraId="4C9A3961" w14:textId="77777777" w:rsidR="00CB4D42" w:rsidRDefault="00CB4D42">
            <w:pPr>
              <w:jc w:val="right"/>
              <w:rPr>
                <w:color w:val="000000"/>
                <w:sz w:val="20"/>
                <w:szCs w:val="20"/>
              </w:rPr>
            </w:pPr>
            <w:r>
              <w:rPr>
                <w:color w:val="000000"/>
                <w:sz w:val="20"/>
                <w:szCs w:val="20"/>
              </w:rPr>
              <w:t>0.001</w:t>
            </w:r>
          </w:p>
        </w:tc>
      </w:tr>
      <w:tr w:rsidR="00CB4D42" w14:paraId="02C63880" w14:textId="77777777" w:rsidTr="00CB4D42">
        <w:trPr>
          <w:trHeight w:val="320"/>
        </w:trPr>
        <w:tc>
          <w:tcPr>
            <w:tcW w:w="1152" w:type="dxa"/>
            <w:tcBorders>
              <w:top w:val="nil"/>
              <w:left w:val="nil"/>
              <w:bottom w:val="nil"/>
              <w:right w:val="nil"/>
            </w:tcBorders>
            <w:shd w:val="clear" w:color="auto" w:fill="auto"/>
            <w:noWrap/>
            <w:vAlign w:val="bottom"/>
            <w:hideMark/>
          </w:tcPr>
          <w:p w14:paraId="0B5F5A45"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416CB3A" w14:textId="77777777" w:rsidR="00CB4D42" w:rsidRDefault="00CB4D42">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97F58D2" w14:textId="77777777" w:rsidR="00CB4D42" w:rsidRDefault="00CB4D42">
            <w:pPr>
              <w:jc w:val="right"/>
              <w:rPr>
                <w:b/>
                <w:bCs/>
                <w:color w:val="000000"/>
                <w:sz w:val="20"/>
                <w:szCs w:val="20"/>
              </w:rPr>
            </w:pPr>
            <w:r>
              <w:rPr>
                <w:b/>
                <w:bCs/>
                <w:color w:val="000000"/>
                <w:sz w:val="20"/>
                <w:szCs w:val="20"/>
              </w:rPr>
              <w:t>0.078</w:t>
            </w:r>
          </w:p>
        </w:tc>
        <w:tc>
          <w:tcPr>
            <w:tcW w:w="864" w:type="dxa"/>
            <w:tcBorders>
              <w:top w:val="nil"/>
              <w:left w:val="nil"/>
              <w:bottom w:val="nil"/>
              <w:right w:val="nil"/>
            </w:tcBorders>
            <w:shd w:val="clear" w:color="auto" w:fill="auto"/>
            <w:noWrap/>
            <w:vAlign w:val="bottom"/>
            <w:hideMark/>
          </w:tcPr>
          <w:p w14:paraId="057F4796" w14:textId="77777777" w:rsidR="00CB4D42" w:rsidRDefault="00CB4D42">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7EE9EA0E" w14:textId="77777777" w:rsidR="00CB4D42" w:rsidRDefault="00CB4D42">
            <w:pPr>
              <w:jc w:val="right"/>
              <w:rPr>
                <w:b/>
                <w:bCs/>
                <w:color w:val="000000"/>
                <w:sz w:val="20"/>
                <w:szCs w:val="20"/>
              </w:rPr>
            </w:pPr>
            <w:r>
              <w:rPr>
                <w:b/>
                <w:bCs/>
                <w:color w:val="000000"/>
                <w:sz w:val="20"/>
                <w:szCs w:val="20"/>
              </w:rPr>
              <w:t>0.006</w:t>
            </w:r>
          </w:p>
        </w:tc>
        <w:tc>
          <w:tcPr>
            <w:tcW w:w="864" w:type="dxa"/>
            <w:tcBorders>
              <w:top w:val="nil"/>
              <w:left w:val="nil"/>
              <w:bottom w:val="nil"/>
              <w:right w:val="nil"/>
            </w:tcBorders>
            <w:shd w:val="clear" w:color="auto" w:fill="auto"/>
            <w:noWrap/>
            <w:vAlign w:val="bottom"/>
            <w:hideMark/>
          </w:tcPr>
          <w:p w14:paraId="6EC50D80" w14:textId="77777777" w:rsidR="00CB4D42" w:rsidRDefault="00CB4D42">
            <w:pPr>
              <w:jc w:val="right"/>
              <w:rPr>
                <w:b/>
                <w:bCs/>
                <w:color w:val="000000"/>
                <w:sz w:val="20"/>
                <w:szCs w:val="20"/>
              </w:rPr>
            </w:pPr>
            <w:r>
              <w:rPr>
                <w:b/>
                <w:bCs/>
                <w:color w:val="000000"/>
                <w:sz w:val="20"/>
                <w:szCs w:val="20"/>
              </w:rPr>
              <w:t>0.098</w:t>
            </w:r>
          </w:p>
        </w:tc>
        <w:tc>
          <w:tcPr>
            <w:tcW w:w="864" w:type="dxa"/>
            <w:tcBorders>
              <w:top w:val="nil"/>
              <w:left w:val="nil"/>
              <w:bottom w:val="nil"/>
              <w:right w:val="nil"/>
            </w:tcBorders>
            <w:shd w:val="clear" w:color="auto" w:fill="auto"/>
            <w:noWrap/>
            <w:vAlign w:val="bottom"/>
            <w:hideMark/>
          </w:tcPr>
          <w:p w14:paraId="18A3CF6E" w14:textId="77777777" w:rsidR="00CB4D42" w:rsidRDefault="00CB4D42">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5F59600A" w14:textId="77777777" w:rsidR="00CB4D42" w:rsidRDefault="00CB4D42">
            <w:pPr>
              <w:jc w:val="right"/>
              <w:rPr>
                <w:b/>
                <w:bCs/>
                <w:color w:val="000000"/>
                <w:sz w:val="20"/>
                <w:szCs w:val="20"/>
              </w:rPr>
            </w:pPr>
            <w:r>
              <w:rPr>
                <w:b/>
                <w:bCs/>
                <w:color w:val="000000"/>
                <w:sz w:val="20"/>
                <w:szCs w:val="20"/>
              </w:rPr>
              <w:t>0.010</w:t>
            </w:r>
          </w:p>
        </w:tc>
      </w:tr>
      <w:tr w:rsidR="00CB4D42" w14:paraId="5A73BB18" w14:textId="77777777" w:rsidTr="00CB4D42">
        <w:trPr>
          <w:trHeight w:val="320"/>
        </w:trPr>
        <w:tc>
          <w:tcPr>
            <w:tcW w:w="1152" w:type="dxa"/>
            <w:tcBorders>
              <w:top w:val="nil"/>
              <w:left w:val="nil"/>
              <w:bottom w:val="nil"/>
              <w:right w:val="nil"/>
            </w:tcBorders>
            <w:shd w:val="clear" w:color="auto" w:fill="auto"/>
            <w:noWrap/>
            <w:vAlign w:val="bottom"/>
            <w:hideMark/>
          </w:tcPr>
          <w:p w14:paraId="09724A50" w14:textId="77777777" w:rsidR="00CB4D42" w:rsidRDefault="00CB4D42">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0099A14E" w14:textId="77777777" w:rsidR="00CB4D42" w:rsidRDefault="00CB4D42">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0CDE753" w14:textId="77777777" w:rsidR="00CB4D42" w:rsidRDefault="00CB4D42">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16301601" w14:textId="77777777" w:rsidR="00CB4D42" w:rsidRDefault="00CB4D42">
            <w:pPr>
              <w:jc w:val="right"/>
              <w:rPr>
                <w:color w:val="000000"/>
                <w:sz w:val="20"/>
                <w:szCs w:val="20"/>
              </w:rPr>
            </w:pPr>
            <w:r>
              <w:rPr>
                <w:color w:val="000000"/>
                <w:sz w:val="20"/>
                <w:szCs w:val="20"/>
              </w:rPr>
              <w:t>0.929</w:t>
            </w:r>
          </w:p>
        </w:tc>
        <w:tc>
          <w:tcPr>
            <w:tcW w:w="864" w:type="dxa"/>
            <w:tcBorders>
              <w:top w:val="nil"/>
              <w:left w:val="nil"/>
              <w:bottom w:val="nil"/>
              <w:right w:val="nil"/>
            </w:tcBorders>
            <w:shd w:val="clear" w:color="auto" w:fill="auto"/>
            <w:noWrap/>
            <w:vAlign w:val="bottom"/>
            <w:hideMark/>
          </w:tcPr>
          <w:p w14:paraId="4DC8DAF3"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D846F69" w14:textId="77777777" w:rsidR="00CB4D42" w:rsidRDefault="00CB4D42">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4CB2EA1B" w14:textId="77777777" w:rsidR="00CB4D42" w:rsidRDefault="00CB4D42">
            <w:pPr>
              <w:jc w:val="right"/>
              <w:rPr>
                <w:color w:val="000000"/>
                <w:sz w:val="20"/>
                <w:szCs w:val="20"/>
              </w:rPr>
            </w:pPr>
            <w:r>
              <w:rPr>
                <w:color w:val="000000"/>
                <w:sz w:val="20"/>
                <w:szCs w:val="20"/>
              </w:rPr>
              <w:t>0.171</w:t>
            </w:r>
          </w:p>
        </w:tc>
        <w:tc>
          <w:tcPr>
            <w:tcW w:w="864" w:type="dxa"/>
            <w:tcBorders>
              <w:top w:val="nil"/>
              <w:left w:val="nil"/>
              <w:bottom w:val="nil"/>
              <w:right w:val="nil"/>
            </w:tcBorders>
            <w:shd w:val="clear" w:color="auto" w:fill="auto"/>
            <w:noWrap/>
            <w:vAlign w:val="bottom"/>
            <w:hideMark/>
          </w:tcPr>
          <w:p w14:paraId="06CBFB48" w14:textId="77777777" w:rsidR="00CB4D42" w:rsidRDefault="00CB4D42">
            <w:pPr>
              <w:jc w:val="right"/>
              <w:rPr>
                <w:color w:val="000000"/>
                <w:sz w:val="20"/>
                <w:szCs w:val="20"/>
              </w:rPr>
            </w:pPr>
            <w:r>
              <w:rPr>
                <w:color w:val="000000"/>
                <w:sz w:val="20"/>
                <w:szCs w:val="20"/>
              </w:rPr>
              <w:t>0.001</w:t>
            </w:r>
          </w:p>
        </w:tc>
      </w:tr>
      <w:tr w:rsidR="00CB4D42" w14:paraId="0644F789" w14:textId="77777777" w:rsidTr="00CB4D42">
        <w:trPr>
          <w:trHeight w:val="320"/>
        </w:trPr>
        <w:tc>
          <w:tcPr>
            <w:tcW w:w="1152" w:type="dxa"/>
            <w:tcBorders>
              <w:top w:val="nil"/>
              <w:left w:val="nil"/>
              <w:bottom w:val="nil"/>
              <w:right w:val="nil"/>
            </w:tcBorders>
            <w:shd w:val="clear" w:color="auto" w:fill="auto"/>
            <w:noWrap/>
            <w:vAlign w:val="bottom"/>
            <w:hideMark/>
          </w:tcPr>
          <w:p w14:paraId="24DD5B91"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B0E86F7" w14:textId="77777777" w:rsidR="00CB4D42" w:rsidRDefault="00CB4D42">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75CA1E6" w14:textId="77777777" w:rsidR="00CB4D42" w:rsidRDefault="00CB4D42">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17BBCB2D" w14:textId="77777777" w:rsidR="00CB4D42" w:rsidRDefault="00CB4D42">
            <w:pPr>
              <w:jc w:val="right"/>
              <w:rPr>
                <w:color w:val="000000"/>
                <w:sz w:val="20"/>
                <w:szCs w:val="20"/>
              </w:rPr>
            </w:pPr>
            <w:r>
              <w:rPr>
                <w:color w:val="000000"/>
                <w:sz w:val="20"/>
                <w:szCs w:val="20"/>
              </w:rPr>
              <w:t>0.568</w:t>
            </w:r>
          </w:p>
        </w:tc>
        <w:tc>
          <w:tcPr>
            <w:tcW w:w="864" w:type="dxa"/>
            <w:tcBorders>
              <w:top w:val="nil"/>
              <w:left w:val="nil"/>
              <w:bottom w:val="nil"/>
              <w:right w:val="nil"/>
            </w:tcBorders>
            <w:shd w:val="clear" w:color="auto" w:fill="auto"/>
            <w:noWrap/>
            <w:vAlign w:val="bottom"/>
            <w:hideMark/>
          </w:tcPr>
          <w:p w14:paraId="1A6E2FED" w14:textId="77777777" w:rsidR="00CB4D42" w:rsidRDefault="00CB4D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03161E1" w14:textId="77777777" w:rsidR="00CB4D42" w:rsidRDefault="00CB4D42">
            <w:pPr>
              <w:jc w:val="right"/>
              <w:rPr>
                <w:b/>
                <w:bCs/>
                <w:color w:val="000000"/>
                <w:sz w:val="20"/>
                <w:szCs w:val="20"/>
              </w:rPr>
            </w:pPr>
            <w:r>
              <w:rPr>
                <w:b/>
                <w:bCs/>
                <w:color w:val="000000"/>
                <w:sz w:val="20"/>
                <w:szCs w:val="20"/>
              </w:rPr>
              <w:t>-0.049</w:t>
            </w:r>
          </w:p>
        </w:tc>
        <w:tc>
          <w:tcPr>
            <w:tcW w:w="864" w:type="dxa"/>
            <w:tcBorders>
              <w:top w:val="nil"/>
              <w:left w:val="nil"/>
              <w:bottom w:val="nil"/>
              <w:right w:val="nil"/>
            </w:tcBorders>
            <w:shd w:val="clear" w:color="auto" w:fill="auto"/>
            <w:noWrap/>
            <w:vAlign w:val="bottom"/>
            <w:hideMark/>
          </w:tcPr>
          <w:p w14:paraId="5184B2DA" w14:textId="77777777" w:rsidR="00CB4D42" w:rsidRDefault="00CB4D42">
            <w:pPr>
              <w:jc w:val="right"/>
              <w:rPr>
                <w:b/>
                <w:bCs/>
                <w:color w:val="000000"/>
                <w:sz w:val="20"/>
                <w:szCs w:val="20"/>
              </w:rPr>
            </w:pPr>
            <w:r>
              <w:rPr>
                <w:b/>
                <w:bCs/>
                <w:color w:val="000000"/>
                <w:sz w:val="20"/>
                <w:szCs w:val="20"/>
              </w:rPr>
              <w:t>0.045</w:t>
            </w:r>
          </w:p>
        </w:tc>
        <w:tc>
          <w:tcPr>
            <w:tcW w:w="864" w:type="dxa"/>
            <w:tcBorders>
              <w:top w:val="nil"/>
              <w:left w:val="nil"/>
              <w:bottom w:val="nil"/>
              <w:right w:val="nil"/>
            </w:tcBorders>
            <w:shd w:val="clear" w:color="auto" w:fill="auto"/>
            <w:noWrap/>
            <w:vAlign w:val="bottom"/>
            <w:hideMark/>
          </w:tcPr>
          <w:p w14:paraId="6ACE4549" w14:textId="77777777" w:rsidR="00CB4D42" w:rsidRDefault="00CB4D42">
            <w:pPr>
              <w:jc w:val="right"/>
              <w:rPr>
                <w:color w:val="000000"/>
                <w:sz w:val="20"/>
                <w:szCs w:val="20"/>
              </w:rPr>
            </w:pPr>
            <w:r>
              <w:rPr>
                <w:color w:val="000000"/>
                <w:sz w:val="20"/>
                <w:szCs w:val="20"/>
              </w:rPr>
              <w:t>0.002</w:t>
            </w:r>
          </w:p>
        </w:tc>
      </w:tr>
      <w:tr w:rsidR="00CB4D42" w14:paraId="546D995A" w14:textId="77777777" w:rsidTr="00CB4D42">
        <w:trPr>
          <w:trHeight w:val="320"/>
        </w:trPr>
        <w:tc>
          <w:tcPr>
            <w:tcW w:w="1152" w:type="dxa"/>
            <w:tcBorders>
              <w:top w:val="nil"/>
              <w:left w:val="nil"/>
              <w:bottom w:val="nil"/>
              <w:right w:val="nil"/>
            </w:tcBorders>
            <w:shd w:val="clear" w:color="auto" w:fill="auto"/>
            <w:noWrap/>
            <w:vAlign w:val="bottom"/>
            <w:hideMark/>
          </w:tcPr>
          <w:p w14:paraId="1ED8F98B"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4EA1ADF" w14:textId="77777777" w:rsidR="00CB4D42" w:rsidRDefault="00CB4D42">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4159A88" w14:textId="77777777" w:rsidR="00CB4D42" w:rsidRDefault="00CB4D42">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BD60BC0" w14:textId="77777777" w:rsidR="00CB4D42" w:rsidRDefault="00CB4D42">
            <w:pPr>
              <w:jc w:val="right"/>
              <w:rPr>
                <w:color w:val="000000"/>
                <w:sz w:val="20"/>
                <w:szCs w:val="20"/>
              </w:rPr>
            </w:pPr>
            <w:r>
              <w:rPr>
                <w:color w:val="000000"/>
                <w:sz w:val="20"/>
                <w:szCs w:val="20"/>
              </w:rPr>
              <w:t>0.929</w:t>
            </w:r>
          </w:p>
        </w:tc>
        <w:tc>
          <w:tcPr>
            <w:tcW w:w="864" w:type="dxa"/>
            <w:tcBorders>
              <w:top w:val="nil"/>
              <w:left w:val="nil"/>
              <w:bottom w:val="nil"/>
              <w:right w:val="nil"/>
            </w:tcBorders>
            <w:shd w:val="clear" w:color="auto" w:fill="auto"/>
            <w:noWrap/>
            <w:vAlign w:val="bottom"/>
            <w:hideMark/>
          </w:tcPr>
          <w:p w14:paraId="0D8DB55F"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073B14A" w14:textId="77777777" w:rsidR="00CB4D42" w:rsidRDefault="00CB4D42">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41652B11" w14:textId="77777777" w:rsidR="00CB4D42" w:rsidRDefault="00CB4D42">
            <w:pPr>
              <w:jc w:val="right"/>
              <w:rPr>
                <w:color w:val="000000"/>
                <w:sz w:val="20"/>
                <w:szCs w:val="20"/>
              </w:rPr>
            </w:pPr>
            <w:r>
              <w:rPr>
                <w:color w:val="000000"/>
                <w:sz w:val="20"/>
                <w:szCs w:val="20"/>
              </w:rPr>
              <w:t>0.171</w:t>
            </w:r>
          </w:p>
        </w:tc>
        <w:tc>
          <w:tcPr>
            <w:tcW w:w="864" w:type="dxa"/>
            <w:tcBorders>
              <w:top w:val="nil"/>
              <w:left w:val="nil"/>
              <w:bottom w:val="nil"/>
              <w:right w:val="nil"/>
            </w:tcBorders>
            <w:shd w:val="clear" w:color="auto" w:fill="auto"/>
            <w:noWrap/>
            <w:vAlign w:val="bottom"/>
            <w:hideMark/>
          </w:tcPr>
          <w:p w14:paraId="6131F414" w14:textId="77777777" w:rsidR="00CB4D42" w:rsidRDefault="00CB4D42">
            <w:pPr>
              <w:jc w:val="right"/>
              <w:rPr>
                <w:color w:val="000000"/>
                <w:sz w:val="20"/>
                <w:szCs w:val="20"/>
              </w:rPr>
            </w:pPr>
            <w:r>
              <w:rPr>
                <w:color w:val="000000"/>
                <w:sz w:val="20"/>
                <w:szCs w:val="20"/>
              </w:rPr>
              <w:t>0.001</w:t>
            </w:r>
          </w:p>
        </w:tc>
      </w:tr>
      <w:tr w:rsidR="00CB4D42" w14:paraId="4C826605" w14:textId="77777777" w:rsidTr="00CB4D42">
        <w:trPr>
          <w:trHeight w:val="320"/>
        </w:trPr>
        <w:tc>
          <w:tcPr>
            <w:tcW w:w="1152" w:type="dxa"/>
            <w:tcBorders>
              <w:top w:val="nil"/>
              <w:left w:val="nil"/>
              <w:bottom w:val="nil"/>
              <w:right w:val="nil"/>
            </w:tcBorders>
            <w:shd w:val="clear" w:color="auto" w:fill="auto"/>
            <w:noWrap/>
            <w:vAlign w:val="bottom"/>
            <w:hideMark/>
          </w:tcPr>
          <w:p w14:paraId="0BA0F5BA"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8FFA6DB" w14:textId="77777777" w:rsidR="00CB4D42" w:rsidRDefault="00CB4D42">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2B0E192" w14:textId="77777777" w:rsidR="00CB4D42" w:rsidRDefault="00CB4D42">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6CA78DB" w14:textId="77777777" w:rsidR="00CB4D42" w:rsidRDefault="00CB4D42">
            <w:pPr>
              <w:jc w:val="right"/>
              <w:rPr>
                <w:color w:val="000000"/>
                <w:sz w:val="20"/>
                <w:szCs w:val="20"/>
              </w:rPr>
            </w:pPr>
            <w:r>
              <w:rPr>
                <w:color w:val="000000"/>
                <w:sz w:val="20"/>
                <w:szCs w:val="20"/>
              </w:rPr>
              <w:t>0.929</w:t>
            </w:r>
          </w:p>
        </w:tc>
        <w:tc>
          <w:tcPr>
            <w:tcW w:w="864" w:type="dxa"/>
            <w:tcBorders>
              <w:top w:val="nil"/>
              <w:left w:val="nil"/>
              <w:bottom w:val="nil"/>
              <w:right w:val="nil"/>
            </w:tcBorders>
            <w:shd w:val="clear" w:color="auto" w:fill="auto"/>
            <w:noWrap/>
            <w:vAlign w:val="bottom"/>
            <w:hideMark/>
          </w:tcPr>
          <w:p w14:paraId="708B22BA"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4C02A1D" w14:textId="77777777" w:rsidR="00CB4D42" w:rsidRDefault="00CB4D42">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7B1C6DC7" w14:textId="77777777" w:rsidR="00CB4D42" w:rsidRDefault="00CB4D42">
            <w:pPr>
              <w:jc w:val="right"/>
              <w:rPr>
                <w:color w:val="000000"/>
                <w:sz w:val="20"/>
                <w:szCs w:val="20"/>
              </w:rPr>
            </w:pPr>
            <w:r>
              <w:rPr>
                <w:color w:val="000000"/>
                <w:sz w:val="20"/>
                <w:szCs w:val="20"/>
              </w:rPr>
              <w:t>0.615</w:t>
            </w:r>
          </w:p>
        </w:tc>
        <w:tc>
          <w:tcPr>
            <w:tcW w:w="864" w:type="dxa"/>
            <w:tcBorders>
              <w:top w:val="nil"/>
              <w:left w:val="nil"/>
              <w:bottom w:val="nil"/>
              <w:right w:val="nil"/>
            </w:tcBorders>
            <w:shd w:val="clear" w:color="auto" w:fill="auto"/>
            <w:noWrap/>
            <w:vAlign w:val="bottom"/>
            <w:hideMark/>
          </w:tcPr>
          <w:p w14:paraId="0CAC63EE" w14:textId="77777777" w:rsidR="00CB4D42" w:rsidRDefault="00CB4D42">
            <w:pPr>
              <w:jc w:val="right"/>
              <w:rPr>
                <w:color w:val="000000"/>
                <w:sz w:val="20"/>
                <w:szCs w:val="20"/>
              </w:rPr>
            </w:pPr>
            <w:r>
              <w:rPr>
                <w:color w:val="000000"/>
                <w:sz w:val="20"/>
                <w:szCs w:val="20"/>
              </w:rPr>
              <w:t>0.000</w:t>
            </w:r>
          </w:p>
        </w:tc>
      </w:tr>
      <w:tr w:rsidR="00CB4D42" w14:paraId="26426A42" w14:textId="77777777" w:rsidTr="00CB4D42">
        <w:trPr>
          <w:trHeight w:val="320"/>
        </w:trPr>
        <w:tc>
          <w:tcPr>
            <w:tcW w:w="1152" w:type="dxa"/>
            <w:tcBorders>
              <w:top w:val="nil"/>
              <w:left w:val="nil"/>
              <w:bottom w:val="nil"/>
              <w:right w:val="nil"/>
            </w:tcBorders>
            <w:shd w:val="clear" w:color="auto" w:fill="auto"/>
            <w:noWrap/>
            <w:vAlign w:val="bottom"/>
            <w:hideMark/>
          </w:tcPr>
          <w:p w14:paraId="4190AF60" w14:textId="77777777" w:rsidR="00CB4D42" w:rsidRDefault="00CB4D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6A4BC61" w14:textId="77777777" w:rsidR="00CB4D42" w:rsidRDefault="00CB4D42">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8DBD284" w14:textId="77777777" w:rsidR="00CB4D42" w:rsidRDefault="00CB4D42">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042806C5" w14:textId="77777777" w:rsidR="00CB4D42" w:rsidRDefault="00CB4D42">
            <w:pPr>
              <w:jc w:val="right"/>
              <w:rPr>
                <w:color w:val="000000"/>
                <w:sz w:val="20"/>
                <w:szCs w:val="20"/>
              </w:rPr>
            </w:pPr>
            <w:r>
              <w:rPr>
                <w:color w:val="000000"/>
                <w:sz w:val="20"/>
                <w:szCs w:val="20"/>
              </w:rPr>
              <w:t>0.929</w:t>
            </w:r>
          </w:p>
        </w:tc>
        <w:tc>
          <w:tcPr>
            <w:tcW w:w="864" w:type="dxa"/>
            <w:tcBorders>
              <w:top w:val="nil"/>
              <w:left w:val="nil"/>
              <w:bottom w:val="nil"/>
              <w:right w:val="nil"/>
            </w:tcBorders>
            <w:shd w:val="clear" w:color="auto" w:fill="auto"/>
            <w:noWrap/>
            <w:vAlign w:val="bottom"/>
            <w:hideMark/>
          </w:tcPr>
          <w:p w14:paraId="0E986DDD" w14:textId="77777777" w:rsidR="00CB4D42" w:rsidRDefault="00CB4D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8BB76E7" w14:textId="77777777" w:rsidR="00CB4D42" w:rsidRDefault="00CB4D42">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1ACD3790" w14:textId="77777777" w:rsidR="00CB4D42" w:rsidRDefault="00CB4D42">
            <w:pPr>
              <w:jc w:val="right"/>
              <w:rPr>
                <w:color w:val="000000"/>
                <w:sz w:val="20"/>
                <w:szCs w:val="20"/>
              </w:rPr>
            </w:pPr>
            <w:r>
              <w:rPr>
                <w:color w:val="000000"/>
                <w:sz w:val="20"/>
                <w:szCs w:val="20"/>
              </w:rPr>
              <w:t>0.511</w:t>
            </w:r>
          </w:p>
        </w:tc>
        <w:tc>
          <w:tcPr>
            <w:tcW w:w="864" w:type="dxa"/>
            <w:tcBorders>
              <w:top w:val="nil"/>
              <w:left w:val="nil"/>
              <w:bottom w:val="nil"/>
              <w:right w:val="nil"/>
            </w:tcBorders>
            <w:shd w:val="clear" w:color="auto" w:fill="auto"/>
            <w:noWrap/>
            <w:vAlign w:val="bottom"/>
            <w:hideMark/>
          </w:tcPr>
          <w:p w14:paraId="4DD95944" w14:textId="77777777" w:rsidR="00CB4D42" w:rsidRDefault="00CB4D42">
            <w:pPr>
              <w:jc w:val="right"/>
              <w:rPr>
                <w:color w:val="000000"/>
                <w:sz w:val="20"/>
                <w:szCs w:val="20"/>
              </w:rPr>
            </w:pPr>
            <w:r>
              <w:rPr>
                <w:color w:val="000000"/>
                <w:sz w:val="20"/>
                <w:szCs w:val="20"/>
              </w:rPr>
              <w:t>0.000</w:t>
            </w:r>
          </w:p>
        </w:tc>
      </w:tr>
      <w:tr w:rsidR="00CB4D42" w14:paraId="4BA7FE83"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5CF336AC" w14:textId="77777777" w:rsidR="00CB4D42" w:rsidRDefault="00CB4D42">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7985565F" w14:textId="77777777" w:rsidR="00CB4D42" w:rsidRDefault="00CB4D42">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0B4F7E50" w14:textId="77777777" w:rsidR="00CB4D42" w:rsidRDefault="00CB4D42">
            <w:pPr>
              <w:jc w:val="right"/>
              <w:rPr>
                <w:color w:val="000000"/>
                <w:sz w:val="20"/>
                <w:szCs w:val="20"/>
              </w:rPr>
            </w:pPr>
            <w:r>
              <w:rPr>
                <w:color w:val="000000"/>
                <w:sz w:val="20"/>
                <w:szCs w:val="20"/>
              </w:rPr>
              <w:t>0.039</w:t>
            </w:r>
          </w:p>
        </w:tc>
        <w:tc>
          <w:tcPr>
            <w:tcW w:w="864" w:type="dxa"/>
            <w:tcBorders>
              <w:top w:val="nil"/>
              <w:left w:val="nil"/>
              <w:bottom w:val="single" w:sz="12" w:space="0" w:color="auto"/>
              <w:right w:val="nil"/>
            </w:tcBorders>
            <w:shd w:val="clear" w:color="auto" w:fill="auto"/>
            <w:noWrap/>
            <w:vAlign w:val="bottom"/>
            <w:hideMark/>
          </w:tcPr>
          <w:p w14:paraId="03AD8A06" w14:textId="77777777" w:rsidR="00CB4D42" w:rsidRDefault="00CB4D42">
            <w:pPr>
              <w:jc w:val="right"/>
              <w:rPr>
                <w:color w:val="000000"/>
                <w:sz w:val="20"/>
                <w:szCs w:val="20"/>
              </w:rPr>
            </w:pPr>
            <w:r>
              <w:rPr>
                <w:color w:val="000000"/>
                <w:sz w:val="20"/>
                <w:szCs w:val="20"/>
              </w:rPr>
              <w:t>0.444</w:t>
            </w:r>
          </w:p>
        </w:tc>
        <w:tc>
          <w:tcPr>
            <w:tcW w:w="864" w:type="dxa"/>
            <w:tcBorders>
              <w:top w:val="nil"/>
              <w:left w:val="nil"/>
              <w:bottom w:val="single" w:sz="12" w:space="0" w:color="auto"/>
              <w:right w:val="nil"/>
            </w:tcBorders>
            <w:shd w:val="clear" w:color="auto" w:fill="auto"/>
            <w:noWrap/>
            <w:vAlign w:val="bottom"/>
            <w:hideMark/>
          </w:tcPr>
          <w:p w14:paraId="3394BC2E" w14:textId="77777777" w:rsidR="00CB4D42" w:rsidRDefault="00CB4D42">
            <w:pPr>
              <w:jc w:val="right"/>
              <w:rPr>
                <w:color w:val="000000"/>
                <w:sz w:val="20"/>
                <w:szCs w:val="20"/>
              </w:rPr>
            </w:pPr>
            <w:r>
              <w:rPr>
                <w:color w:val="000000"/>
                <w:sz w:val="20"/>
                <w:szCs w:val="20"/>
              </w:rPr>
              <w:t>0.002</w:t>
            </w:r>
          </w:p>
        </w:tc>
        <w:tc>
          <w:tcPr>
            <w:tcW w:w="864" w:type="dxa"/>
            <w:tcBorders>
              <w:top w:val="nil"/>
              <w:left w:val="nil"/>
              <w:bottom w:val="single" w:sz="12" w:space="0" w:color="auto"/>
              <w:right w:val="nil"/>
            </w:tcBorders>
            <w:shd w:val="clear" w:color="auto" w:fill="auto"/>
            <w:noWrap/>
            <w:vAlign w:val="bottom"/>
            <w:hideMark/>
          </w:tcPr>
          <w:p w14:paraId="6C040CCC" w14:textId="77777777" w:rsidR="00CB4D42" w:rsidRPr="00FE559D" w:rsidRDefault="00CB4D42">
            <w:pPr>
              <w:jc w:val="right"/>
              <w:rPr>
                <w:b/>
                <w:bCs/>
                <w:color w:val="000000"/>
                <w:sz w:val="20"/>
                <w:szCs w:val="20"/>
              </w:rPr>
            </w:pPr>
            <w:r w:rsidRPr="00FE559D">
              <w:rPr>
                <w:b/>
                <w:bCs/>
                <w:color w:val="000000"/>
                <w:sz w:val="20"/>
                <w:szCs w:val="20"/>
              </w:rPr>
              <w:t>0.052</w:t>
            </w:r>
          </w:p>
        </w:tc>
        <w:tc>
          <w:tcPr>
            <w:tcW w:w="864" w:type="dxa"/>
            <w:tcBorders>
              <w:top w:val="nil"/>
              <w:left w:val="nil"/>
              <w:bottom w:val="single" w:sz="12" w:space="0" w:color="auto"/>
              <w:right w:val="nil"/>
            </w:tcBorders>
            <w:shd w:val="clear" w:color="auto" w:fill="auto"/>
            <w:noWrap/>
            <w:vAlign w:val="bottom"/>
            <w:hideMark/>
          </w:tcPr>
          <w:p w14:paraId="726BD103" w14:textId="77777777" w:rsidR="00CB4D42" w:rsidRPr="00FE559D" w:rsidRDefault="00CB4D42">
            <w:pPr>
              <w:jc w:val="right"/>
              <w:rPr>
                <w:b/>
                <w:bCs/>
                <w:color w:val="000000"/>
                <w:sz w:val="20"/>
                <w:szCs w:val="20"/>
              </w:rPr>
            </w:pPr>
            <w:r w:rsidRPr="00FE559D">
              <w:rPr>
                <w:b/>
                <w:bCs/>
                <w:color w:val="000000"/>
                <w:sz w:val="20"/>
                <w:szCs w:val="20"/>
              </w:rPr>
              <w:t>0.045</w:t>
            </w:r>
          </w:p>
        </w:tc>
        <w:tc>
          <w:tcPr>
            <w:tcW w:w="864" w:type="dxa"/>
            <w:tcBorders>
              <w:top w:val="nil"/>
              <w:left w:val="nil"/>
              <w:bottom w:val="single" w:sz="12" w:space="0" w:color="auto"/>
              <w:right w:val="nil"/>
            </w:tcBorders>
            <w:shd w:val="clear" w:color="auto" w:fill="auto"/>
            <w:noWrap/>
            <w:vAlign w:val="bottom"/>
            <w:hideMark/>
          </w:tcPr>
          <w:p w14:paraId="2D3E574D" w14:textId="77777777" w:rsidR="00CB4D42" w:rsidRPr="00FE559D" w:rsidRDefault="00CB4D42">
            <w:pPr>
              <w:jc w:val="right"/>
              <w:rPr>
                <w:b/>
                <w:bCs/>
                <w:color w:val="000000"/>
                <w:sz w:val="20"/>
                <w:szCs w:val="20"/>
              </w:rPr>
            </w:pPr>
            <w:r w:rsidRPr="00FE559D">
              <w:rPr>
                <w:b/>
                <w:bCs/>
                <w:color w:val="000000"/>
                <w:sz w:val="20"/>
                <w:szCs w:val="20"/>
              </w:rPr>
              <w:t>0.003</w:t>
            </w:r>
          </w:p>
        </w:tc>
      </w:tr>
      <w:tr w:rsidR="00CB4D42" w14:paraId="2DF20E6A"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6DBC3C1" w14:textId="77777777" w:rsidR="00CB4D42" w:rsidRDefault="00CB4D42">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37F186A0" w14:textId="77777777" w:rsidR="00CB4D42" w:rsidRDefault="00CB4D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7C674DA" w14:textId="77777777" w:rsidR="00CB4D42" w:rsidRDefault="00CB4D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37DA909" w14:textId="77777777" w:rsidR="00CB4D42" w:rsidRDefault="00CB4D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6CA8FF1" w14:textId="77777777" w:rsidR="00CB4D42" w:rsidRDefault="00CB4D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400E9F1" w14:textId="77777777" w:rsidR="00CB4D42" w:rsidRDefault="00CB4D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21B90C6" w14:textId="77777777" w:rsidR="00CB4D42" w:rsidRDefault="00CB4D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68DEE0C" w14:textId="77777777" w:rsidR="00CB4D42" w:rsidRDefault="00CB4D42">
            <w:pPr>
              <w:rPr>
                <w:sz w:val="20"/>
                <w:szCs w:val="20"/>
              </w:rPr>
            </w:pPr>
          </w:p>
        </w:tc>
      </w:tr>
    </w:tbl>
    <w:p w14:paraId="1953F8E7" w14:textId="2A0F8307" w:rsidR="00CC193C" w:rsidRDefault="00CC193C" w:rsidP="00BC5AB7">
      <w:pPr>
        <w:rPr>
          <w:rFonts w:ascii="Batang" w:eastAsia="Batang" w:hAnsi="Batang" w:cs="Batang"/>
          <w:color w:val="000000"/>
        </w:rPr>
      </w:pPr>
    </w:p>
    <w:p w14:paraId="0BAA66FD" w14:textId="23F6079D" w:rsidR="00B751D3" w:rsidRPr="004C58D5" w:rsidRDefault="00CC193C" w:rsidP="00B751D3">
      <w:pPr>
        <w:pStyle w:val="Heading1"/>
        <w:rPr>
          <w:rFonts w:ascii="Times New Roman" w:hAnsi="Times New Roman" w:cs="Times New Roman"/>
          <w:color w:val="000000" w:themeColor="text1"/>
          <w:sz w:val="24"/>
          <w:szCs w:val="24"/>
        </w:rPr>
      </w:pPr>
      <w:r>
        <w:rPr>
          <w:rFonts w:ascii="Batang" w:eastAsia="Batang" w:hAnsi="Batang" w:cs="Batang"/>
          <w:color w:val="000000"/>
        </w:rPr>
        <w:br w:type="page"/>
      </w:r>
      <w:bookmarkStart w:id="83" w:name="_Toc155817750"/>
      <w:r w:rsidR="00B751D3" w:rsidRPr="00B751D3">
        <w:rPr>
          <w:rFonts w:ascii="Times New Roman" w:hAnsi="Times New Roman" w:cs="Times New Roman"/>
          <w:b/>
          <w:bCs/>
          <w:color w:val="000000" w:themeColor="text1"/>
          <w:sz w:val="24"/>
          <w:szCs w:val="24"/>
        </w:rPr>
        <w:lastRenderedPageBreak/>
        <w:t>Table 28c.</w:t>
      </w:r>
      <w:r w:rsidR="00B751D3">
        <w:rPr>
          <w:rFonts w:ascii="Times New Roman" w:hAnsi="Times New Roman" w:cs="Times New Roman"/>
          <w:color w:val="000000" w:themeColor="text1"/>
          <w:sz w:val="24"/>
          <w:szCs w:val="24"/>
        </w:rPr>
        <w:t xml:space="preserve"> Results examining the relationship between Shen-268 network small world omega and urbanicity obtained from bifactor modeling and pollution (NO2 level) during rest</w:t>
      </w:r>
      <w:bookmarkEnd w:id="83"/>
    </w:p>
    <w:tbl>
      <w:tblPr>
        <w:tblW w:w="8002" w:type="dxa"/>
        <w:tblLook w:val="04A0" w:firstRow="1" w:lastRow="0" w:firstColumn="1" w:lastColumn="0" w:noHBand="0" w:noVBand="1"/>
      </w:tblPr>
      <w:tblGrid>
        <w:gridCol w:w="1258"/>
        <w:gridCol w:w="1824"/>
        <w:gridCol w:w="820"/>
        <w:gridCol w:w="820"/>
        <w:gridCol w:w="820"/>
        <w:gridCol w:w="820"/>
        <w:gridCol w:w="820"/>
        <w:gridCol w:w="820"/>
      </w:tblGrid>
      <w:tr w:rsidR="00B751D3" w14:paraId="1C11F6FC" w14:textId="77777777" w:rsidTr="005A3B4D">
        <w:trPr>
          <w:trHeight w:val="340"/>
        </w:trPr>
        <w:tc>
          <w:tcPr>
            <w:tcW w:w="1258" w:type="dxa"/>
            <w:tcBorders>
              <w:top w:val="nil"/>
              <w:left w:val="nil"/>
              <w:bottom w:val="single" w:sz="12" w:space="0" w:color="auto"/>
              <w:right w:val="nil"/>
            </w:tcBorders>
            <w:shd w:val="clear" w:color="auto" w:fill="auto"/>
            <w:noWrap/>
            <w:vAlign w:val="bottom"/>
            <w:hideMark/>
          </w:tcPr>
          <w:p w14:paraId="233DA6F8" w14:textId="77777777" w:rsidR="00B751D3" w:rsidRDefault="00B751D3" w:rsidP="005A3B4D">
            <w:pPr>
              <w:rPr>
                <w:color w:val="000000"/>
              </w:rPr>
            </w:pPr>
            <w:r>
              <w:rPr>
                <w:color w:val="000000"/>
              </w:rPr>
              <w:t> </w:t>
            </w:r>
          </w:p>
        </w:tc>
        <w:tc>
          <w:tcPr>
            <w:tcW w:w="1824" w:type="dxa"/>
            <w:tcBorders>
              <w:top w:val="nil"/>
              <w:left w:val="nil"/>
              <w:bottom w:val="single" w:sz="12" w:space="0" w:color="auto"/>
              <w:right w:val="nil"/>
            </w:tcBorders>
            <w:shd w:val="clear" w:color="auto" w:fill="auto"/>
            <w:noWrap/>
            <w:vAlign w:val="bottom"/>
            <w:hideMark/>
          </w:tcPr>
          <w:p w14:paraId="0F3B2E45" w14:textId="77777777" w:rsidR="00B751D3" w:rsidRDefault="00B751D3" w:rsidP="005A3B4D">
            <w:pPr>
              <w:rPr>
                <w:color w:val="000000"/>
              </w:rPr>
            </w:pPr>
            <w:r>
              <w:rPr>
                <w:color w:val="000000"/>
              </w:rPr>
              <w:t> </w:t>
            </w:r>
          </w:p>
        </w:tc>
        <w:tc>
          <w:tcPr>
            <w:tcW w:w="820" w:type="dxa"/>
            <w:tcBorders>
              <w:top w:val="nil"/>
              <w:left w:val="nil"/>
              <w:bottom w:val="single" w:sz="12" w:space="0" w:color="auto"/>
              <w:right w:val="nil"/>
            </w:tcBorders>
            <w:shd w:val="clear" w:color="auto" w:fill="auto"/>
            <w:noWrap/>
            <w:vAlign w:val="bottom"/>
            <w:hideMark/>
          </w:tcPr>
          <w:p w14:paraId="6C6ACD0E" w14:textId="77777777" w:rsidR="00B751D3" w:rsidRDefault="00B751D3" w:rsidP="005A3B4D">
            <w:pPr>
              <w:rPr>
                <w:color w:val="000000"/>
              </w:rPr>
            </w:pPr>
          </w:p>
        </w:tc>
        <w:tc>
          <w:tcPr>
            <w:tcW w:w="820" w:type="dxa"/>
            <w:tcBorders>
              <w:top w:val="nil"/>
              <w:left w:val="nil"/>
              <w:bottom w:val="single" w:sz="12" w:space="0" w:color="auto"/>
              <w:right w:val="nil"/>
            </w:tcBorders>
            <w:shd w:val="clear" w:color="auto" w:fill="auto"/>
            <w:noWrap/>
            <w:vAlign w:val="bottom"/>
            <w:hideMark/>
          </w:tcPr>
          <w:p w14:paraId="58497092" w14:textId="77777777" w:rsidR="00B751D3" w:rsidRDefault="00B751D3" w:rsidP="005A3B4D">
            <w:pPr>
              <w:rPr>
                <w:sz w:val="20"/>
                <w:szCs w:val="20"/>
              </w:rPr>
            </w:pPr>
          </w:p>
        </w:tc>
        <w:tc>
          <w:tcPr>
            <w:tcW w:w="820" w:type="dxa"/>
            <w:tcBorders>
              <w:top w:val="nil"/>
              <w:left w:val="nil"/>
              <w:bottom w:val="single" w:sz="12" w:space="0" w:color="auto"/>
              <w:right w:val="nil"/>
            </w:tcBorders>
            <w:shd w:val="clear" w:color="auto" w:fill="auto"/>
            <w:noWrap/>
            <w:vAlign w:val="bottom"/>
            <w:hideMark/>
          </w:tcPr>
          <w:p w14:paraId="14706CD4" w14:textId="77777777" w:rsidR="00B751D3" w:rsidRDefault="00B751D3" w:rsidP="005A3B4D">
            <w:pPr>
              <w:rPr>
                <w:sz w:val="20"/>
                <w:szCs w:val="20"/>
              </w:rPr>
            </w:pPr>
          </w:p>
        </w:tc>
        <w:tc>
          <w:tcPr>
            <w:tcW w:w="820" w:type="dxa"/>
            <w:tcBorders>
              <w:top w:val="nil"/>
              <w:left w:val="nil"/>
              <w:bottom w:val="single" w:sz="12" w:space="0" w:color="auto"/>
              <w:right w:val="nil"/>
            </w:tcBorders>
            <w:shd w:val="clear" w:color="auto" w:fill="auto"/>
            <w:noWrap/>
            <w:vAlign w:val="bottom"/>
            <w:hideMark/>
          </w:tcPr>
          <w:p w14:paraId="380BC80C" w14:textId="77777777" w:rsidR="00B751D3" w:rsidRDefault="00B751D3" w:rsidP="005A3B4D">
            <w:pPr>
              <w:rPr>
                <w:sz w:val="20"/>
                <w:szCs w:val="20"/>
              </w:rPr>
            </w:pPr>
          </w:p>
        </w:tc>
        <w:tc>
          <w:tcPr>
            <w:tcW w:w="820" w:type="dxa"/>
            <w:tcBorders>
              <w:top w:val="nil"/>
              <w:left w:val="nil"/>
              <w:bottom w:val="single" w:sz="12" w:space="0" w:color="auto"/>
              <w:right w:val="nil"/>
            </w:tcBorders>
            <w:shd w:val="clear" w:color="auto" w:fill="auto"/>
            <w:noWrap/>
            <w:vAlign w:val="bottom"/>
            <w:hideMark/>
          </w:tcPr>
          <w:p w14:paraId="370655B1" w14:textId="77777777" w:rsidR="00B751D3" w:rsidRDefault="00B751D3" w:rsidP="005A3B4D">
            <w:pPr>
              <w:rPr>
                <w:sz w:val="20"/>
                <w:szCs w:val="20"/>
              </w:rPr>
            </w:pPr>
          </w:p>
        </w:tc>
        <w:tc>
          <w:tcPr>
            <w:tcW w:w="820" w:type="dxa"/>
            <w:tcBorders>
              <w:top w:val="nil"/>
              <w:left w:val="nil"/>
              <w:bottom w:val="single" w:sz="12" w:space="0" w:color="auto"/>
              <w:right w:val="nil"/>
            </w:tcBorders>
            <w:shd w:val="clear" w:color="auto" w:fill="auto"/>
            <w:noWrap/>
            <w:vAlign w:val="bottom"/>
            <w:hideMark/>
          </w:tcPr>
          <w:p w14:paraId="09123F45" w14:textId="77777777" w:rsidR="00B751D3" w:rsidRDefault="00B751D3" w:rsidP="005A3B4D">
            <w:pPr>
              <w:rPr>
                <w:sz w:val="20"/>
                <w:szCs w:val="20"/>
              </w:rPr>
            </w:pPr>
          </w:p>
        </w:tc>
      </w:tr>
      <w:tr w:rsidR="00B751D3" w14:paraId="547C4ACA" w14:textId="77777777" w:rsidTr="005A3B4D">
        <w:trPr>
          <w:trHeight w:val="340"/>
        </w:trPr>
        <w:tc>
          <w:tcPr>
            <w:tcW w:w="1258" w:type="dxa"/>
            <w:tcBorders>
              <w:top w:val="single" w:sz="12" w:space="0" w:color="auto"/>
              <w:left w:val="nil"/>
              <w:bottom w:val="nil"/>
              <w:right w:val="nil"/>
            </w:tcBorders>
            <w:shd w:val="clear" w:color="auto" w:fill="auto"/>
            <w:noWrap/>
            <w:vAlign w:val="bottom"/>
            <w:hideMark/>
          </w:tcPr>
          <w:p w14:paraId="783CEEDF" w14:textId="77777777" w:rsidR="00B751D3" w:rsidRDefault="00B751D3" w:rsidP="005A3B4D">
            <w:pPr>
              <w:rPr>
                <w:sz w:val="20"/>
                <w:szCs w:val="20"/>
              </w:rPr>
            </w:pPr>
          </w:p>
        </w:tc>
        <w:tc>
          <w:tcPr>
            <w:tcW w:w="1824" w:type="dxa"/>
            <w:vMerge w:val="restart"/>
            <w:tcBorders>
              <w:top w:val="single" w:sz="12" w:space="0" w:color="auto"/>
              <w:left w:val="nil"/>
              <w:bottom w:val="single" w:sz="8" w:space="0" w:color="000000"/>
              <w:right w:val="nil"/>
            </w:tcBorders>
            <w:shd w:val="clear" w:color="auto" w:fill="auto"/>
            <w:noWrap/>
            <w:vAlign w:val="center"/>
            <w:hideMark/>
          </w:tcPr>
          <w:p w14:paraId="54A4CC3C" w14:textId="77777777" w:rsidR="00B751D3" w:rsidRDefault="00B751D3" w:rsidP="005A3B4D">
            <w:pPr>
              <w:rPr>
                <w:color w:val="000000"/>
                <w:sz w:val="20"/>
                <w:szCs w:val="20"/>
              </w:rPr>
            </w:pPr>
            <w:r>
              <w:rPr>
                <w:color w:val="000000"/>
                <w:sz w:val="20"/>
                <w:szCs w:val="20"/>
              </w:rPr>
              <w:t>Brain network</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513BF0F0" w14:textId="77777777" w:rsidR="00B751D3" w:rsidRDefault="00B751D3" w:rsidP="005A3B4D">
            <w:pPr>
              <w:jc w:val="center"/>
              <w:rPr>
                <w:color w:val="000000"/>
                <w:sz w:val="20"/>
                <w:szCs w:val="20"/>
              </w:rPr>
            </w:pPr>
            <w:r>
              <w:rPr>
                <w:color w:val="000000"/>
                <w:sz w:val="20"/>
                <w:szCs w:val="20"/>
              </w:rPr>
              <w:t>Urbanicity</w:t>
            </w:r>
          </w:p>
        </w:tc>
        <w:tc>
          <w:tcPr>
            <w:tcW w:w="2460" w:type="dxa"/>
            <w:gridSpan w:val="3"/>
            <w:tcBorders>
              <w:top w:val="single" w:sz="12" w:space="0" w:color="auto"/>
              <w:left w:val="nil"/>
              <w:bottom w:val="single" w:sz="12" w:space="0" w:color="auto"/>
              <w:right w:val="nil"/>
            </w:tcBorders>
            <w:shd w:val="clear" w:color="auto" w:fill="auto"/>
            <w:noWrap/>
            <w:vAlign w:val="center"/>
            <w:hideMark/>
          </w:tcPr>
          <w:p w14:paraId="03970A8C" w14:textId="77777777" w:rsidR="00B751D3" w:rsidRDefault="00B751D3" w:rsidP="005A3B4D">
            <w:pPr>
              <w:jc w:val="center"/>
              <w:rPr>
                <w:color w:val="000000"/>
                <w:sz w:val="20"/>
                <w:szCs w:val="20"/>
              </w:rPr>
            </w:pPr>
            <w:r>
              <w:rPr>
                <w:color w:val="000000"/>
                <w:sz w:val="20"/>
                <w:szCs w:val="20"/>
              </w:rPr>
              <w:t>Pollution (NO2 level)</w:t>
            </w:r>
          </w:p>
        </w:tc>
      </w:tr>
      <w:tr w:rsidR="00B751D3" w14:paraId="3B2D837D" w14:textId="77777777" w:rsidTr="005A3B4D">
        <w:trPr>
          <w:trHeight w:val="360"/>
        </w:trPr>
        <w:tc>
          <w:tcPr>
            <w:tcW w:w="1258" w:type="dxa"/>
            <w:tcBorders>
              <w:top w:val="nil"/>
              <w:left w:val="nil"/>
              <w:bottom w:val="single" w:sz="12" w:space="0" w:color="auto"/>
              <w:right w:val="nil"/>
            </w:tcBorders>
            <w:shd w:val="clear" w:color="auto" w:fill="auto"/>
            <w:noWrap/>
            <w:vAlign w:val="bottom"/>
            <w:hideMark/>
          </w:tcPr>
          <w:p w14:paraId="3F4E0E7C" w14:textId="77777777" w:rsidR="00B751D3" w:rsidRDefault="00B751D3" w:rsidP="005A3B4D">
            <w:pPr>
              <w:rPr>
                <w:color w:val="000000"/>
                <w:sz w:val="20"/>
                <w:szCs w:val="20"/>
              </w:rPr>
            </w:pPr>
            <w:r>
              <w:rPr>
                <w:color w:val="000000"/>
                <w:sz w:val="20"/>
                <w:szCs w:val="20"/>
              </w:rPr>
              <w:t> </w:t>
            </w:r>
          </w:p>
        </w:tc>
        <w:tc>
          <w:tcPr>
            <w:tcW w:w="1824" w:type="dxa"/>
            <w:vMerge/>
            <w:tcBorders>
              <w:top w:val="nil"/>
              <w:left w:val="nil"/>
              <w:bottom w:val="single" w:sz="12" w:space="0" w:color="auto"/>
              <w:right w:val="nil"/>
            </w:tcBorders>
            <w:vAlign w:val="center"/>
            <w:hideMark/>
          </w:tcPr>
          <w:p w14:paraId="308E827D" w14:textId="77777777" w:rsidR="00B751D3" w:rsidRDefault="00B751D3" w:rsidP="005A3B4D">
            <w:pPr>
              <w:rPr>
                <w:color w:val="000000"/>
                <w:sz w:val="20"/>
                <w:szCs w:val="20"/>
              </w:rPr>
            </w:pPr>
          </w:p>
        </w:tc>
        <w:tc>
          <w:tcPr>
            <w:tcW w:w="820" w:type="dxa"/>
            <w:tcBorders>
              <w:top w:val="single" w:sz="12" w:space="0" w:color="auto"/>
              <w:left w:val="nil"/>
              <w:bottom w:val="single" w:sz="12" w:space="0" w:color="auto"/>
              <w:right w:val="nil"/>
            </w:tcBorders>
            <w:shd w:val="clear" w:color="auto" w:fill="auto"/>
            <w:noWrap/>
            <w:vAlign w:val="center"/>
            <w:hideMark/>
          </w:tcPr>
          <w:p w14:paraId="6630CE46" w14:textId="77777777" w:rsidR="00B751D3" w:rsidRDefault="00B751D3" w:rsidP="005A3B4D">
            <w:pPr>
              <w:jc w:val="center"/>
              <w:rPr>
                <w:i/>
                <w:iCs/>
                <w:color w:val="000000"/>
                <w:sz w:val="20"/>
                <w:szCs w:val="20"/>
              </w:rPr>
            </w:pPr>
            <w:r>
              <w:rPr>
                <w:i/>
                <w:iCs/>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79663D9A" w14:textId="77777777" w:rsidR="00B751D3" w:rsidRDefault="00B751D3"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20" w:type="dxa"/>
            <w:tcBorders>
              <w:top w:val="single" w:sz="12" w:space="0" w:color="auto"/>
              <w:left w:val="nil"/>
              <w:bottom w:val="single" w:sz="12" w:space="0" w:color="auto"/>
              <w:right w:val="nil"/>
            </w:tcBorders>
            <w:shd w:val="clear" w:color="auto" w:fill="auto"/>
            <w:noWrap/>
            <w:vAlign w:val="center"/>
            <w:hideMark/>
          </w:tcPr>
          <w:p w14:paraId="6256258B" w14:textId="77777777" w:rsidR="00B751D3" w:rsidRDefault="00B751D3" w:rsidP="005A3B4D">
            <w:pPr>
              <w:jc w:val="center"/>
              <w:rPr>
                <w:i/>
                <w:iCs/>
                <w:color w:val="000000"/>
                <w:sz w:val="20"/>
                <w:szCs w:val="20"/>
              </w:rPr>
            </w:pPr>
            <w:r>
              <w:rPr>
                <w:i/>
                <w:iCs/>
                <w:color w:val="000000"/>
                <w:sz w:val="20"/>
                <w:szCs w:val="20"/>
              </w:rPr>
              <w:t>R2</w:t>
            </w:r>
          </w:p>
        </w:tc>
        <w:tc>
          <w:tcPr>
            <w:tcW w:w="820" w:type="dxa"/>
            <w:tcBorders>
              <w:top w:val="single" w:sz="12" w:space="0" w:color="auto"/>
              <w:left w:val="nil"/>
              <w:bottom w:val="single" w:sz="12" w:space="0" w:color="auto"/>
              <w:right w:val="nil"/>
            </w:tcBorders>
            <w:shd w:val="clear" w:color="auto" w:fill="auto"/>
            <w:noWrap/>
            <w:vAlign w:val="center"/>
            <w:hideMark/>
          </w:tcPr>
          <w:p w14:paraId="1DEB3537" w14:textId="77777777" w:rsidR="00B751D3" w:rsidRDefault="00B751D3" w:rsidP="005A3B4D">
            <w:pPr>
              <w:jc w:val="center"/>
              <w:rPr>
                <w:i/>
                <w:iCs/>
                <w:color w:val="000000"/>
                <w:sz w:val="20"/>
                <w:szCs w:val="20"/>
              </w:rPr>
            </w:pPr>
            <w:r>
              <w:rPr>
                <w:i/>
                <w:iCs/>
                <w:color w:val="000000"/>
                <w:sz w:val="20"/>
                <w:szCs w:val="20"/>
              </w:rPr>
              <w:t>β</w:t>
            </w:r>
          </w:p>
        </w:tc>
        <w:tc>
          <w:tcPr>
            <w:tcW w:w="820" w:type="dxa"/>
            <w:tcBorders>
              <w:top w:val="single" w:sz="12" w:space="0" w:color="auto"/>
              <w:left w:val="nil"/>
              <w:bottom w:val="single" w:sz="12" w:space="0" w:color="auto"/>
              <w:right w:val="nil"/>
            </w:tcBorders>
            <w:shd w:val="clear" w:color="auto" w:fill="auto"/>
            <w:noWrap/>
            <w:vAlign w:val="center"/>
            <w:hideMark/>
          </w:tcPr>
          <w:p w14:paraId="63655226" w14:textId="77777777" w:rsidR="00B751D3" w:rsidRDefault="00B751D3"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20" w:type="dxa"/>
            <w:tcBorders>
              <w:top w:val="single" w:sz="12" w:space="0" w:color="auto"/>
              <w:left w:val="nil"/>
              <w:bottom w:val="single" w:sz="12" w:space="0" w:color="auto"/>
              <w:right w:val="nil"/>
            </w:tcBorders>
            <w:shd w:val="clear" w:color="auto" w:fill="auto"/>
            <w:noWrap/>
            <w:vAlign w:val="center"/>
            <w:hideMark/>
          </w:tcPr>
          <w:p w14:paraId="410D6D79" w14:textId="77777777" w:rsidR="00B751D3" w:rsidRDefault="00B751D3" w:rsidP="005A3B4D">
            <w:pPr>
              <w:jc w:val="center"/>
              <w:rPr>
                <w:i/>
                <w:iCs/>
                <w:color w:val="000000"/>
                <w:sz w:val="20"/>
                <w:szCs w:val="20"/>
              </w:rPr>
            </w:pPr>
            <w:r>
              <w:rPr>
                <w:i/>
                <w:iCs/>
                <w:color w:val="000000"/>
                <w:sz w:val="20"/>
                <w:szCs w:val="20"/>
              </w:rPr>
              <w:t>R2</w:t>
            </w:r>
          </w:p>
        </w:tc>
      </w:tr>
      <w:tr w:rsidR="00B751D3" w14:paraId="7A8DDD5E" w14:textId="77777777" w:rsidTr="005A3B4D">
        <w:trPr>
          <w:trHeight w:val="320"/>
        </w:trPr>
        <w:tc>
          <w:tcPr>
            <w:tcW w:w="1258" w:type="dxa"/>
            <w:tcBorders>
              <w:top w:val="single" w:sz="12" w:space="0" w:color="auto"/>
              <w:left w:val="nil"/>
              <w:bottom w:val="nil"/>
              <w:right w:val="nil"/>
            </w:tcBorders>
            <w:shd w:val="clear" w:color="auto" w:fill="auto"/>
            <w:noWrap/>
            <w:vAlign w:val="bottom"/>
            <w:hideMark/>
          </w:tcPr>
          <w:p w14:paraId="5C1A25A7" w14:textId="77777777" w:rsidR="00B751D3" w:rsidRDefault="00B751D3" w:rsidP="005A3B4D">
            <w:pPr>
              <w:rPr>
                <w:color w:val="000000"/>
                <w:sz w:val="20"/>
                <w:szCs w:val="20"/>
              </w:rPr>
            </w:pPr>
            <w:r>
              <w:rPr>
                <w:color w:val="000000"/>
                <w:sz w:val="20"/>
                <w:szCs w:val="20"/>
              </w:rPr>
              <w:t>Threshold 10%</w:t>
            </w:r>
          </w:p>
        </w:tc>
        <w:tc>
          <w:tcPr>
            <w:tcW w:w="1824" w:type="dxa"/>
            <w:tcBorders>
              <w:top w:val="single" w:sz="12" w:space="0" w:color="auto"/>
              <w:left w:val="nil"/>
              <w:bottom w:val="nil"/>
              <w:right w:val="nil"/>
            </w:tcBorders>
            <w:shd w:val="clear" w:color="auto" w:fill="auto"/>
            <w:noWrap/>
            <w:vAlign w:val="center"/>
            <w:hideMark/>
          </w:tcPr>
          <w:p w14:paraId="7223704D" w14:textId="77777777" w:rsidR="00B751D3" w:rsidRDefault="00B751D3" w:rsidP="005A3B4D">
            <w:pPr>
              <w:rPr>
                <w:color w:val="000000"/>
                <w:sz w:val="20"/>
                <w:szCs w:val="20"/>
              </w:rPr>
            </w:pPr>
            <w:r>
              <w:rPr>
                <w:color w:val="000000"/>
                <w:sz w:val="20"/>
                <w:szCs w:val="20"/>
              </w:rPr>
              <w:t>Subcortical Cerebellar</w:t>
            </w:r>
          </w:p>
        </w:tc>
        <w:tc>
          <w:tcPr>
            <w:tcW w:w="820" w:type="dxa"/>
            <w:tcBorders>
              <w:top w:val="single" w:sz="12" w:space="0" w:color="auto"/>
              <w:left w:val="nil"/>
              <w:bottom w:val="nil"/>
              <w:right w:val="nil"/>
            </w:tcBorders>
            <w:shd w:val="clear" w:color="auto" w:fill="auto"/>
            <w:noWrap/>
            <w:vAlign w:val="bottom"/>
            <w:hideMark/>
          </w:tcPr>
          <w:p w14:paraId="549824BF" w14:textId="77777777" w:rsidR="00B751D3" w:rsidRDefault="00B751D3" w:rsidP="005A3B4D">
            <w:pPr>
              <w:jc w:val="right"/>
              <w:rPr>
                <w:color w:val="000000"/>
                <w:sz w:val="20"/>
                <w:szCs w:val="20"/>
              </w:rPr>
            </w:pPr>
            <w:r>
              <w:rPr>
                <w:color w:val="000000"/>
                <w:sz w:val="20"/>
                <w:szCs w:val="20"/>
              </w:rPr>
              <w:t>0.019</w:t>
            </w:r>
          </w:p>
        </w:tc>
        <w:tc>
          <w:tcPr>
            <w:tcW w:w="820" w:type="dxa"/>
            <w:tcBorders>
              <w:top w:val="single" w:sz="12" w:space="0" w:color="auto"/>
              <w:left w:val="nil"/>
              <w:bottom w:val="nil"/>
              <w:right w:val="nil"/>
            </w:tcBorders>
            <w:shd w:val="clear" w:color="auto" w:fill="auto"/>
            <w:noWrap/>
            <w:vAlign w:val="bottom"/>
            <w:hideMark/>
          </w:tcPr>
          <w:p w14:paraId="6BC68714" w14:textId="77777777" w:rsidR="00B751D3" w:rsidRDefault="00B751D3" w:rsidP="005A3B4D">
            <w:pPr>
              <w:jc w:val="right"/>
              <w:rPr>
                <w:color w:val="000000"/>
                <w:sz w:val="20"/>
                <w:szCs w:val="20"/>
              </w:rPr>
            </w:pPr>
            <w:r>
              <w:rPr>
                <w:color w:val="000000"/>
                <w:sz w:val="20"/>
                <w:szCs w:val="20"/>
              </w:rPr>
              <w:t>0.708</w:t>
            </w:r>
          </w:p>
        </w:tc>
        <w:tc>
          <w:tcPr>
            <w:tcW w:w="820" w:type="dxa"/>
            <w:tcBorders>
              <w:top w:val="single" w:sz="12" w:space="0" w:color="auto"/>
              <w:left w:val="nil"/>
              <w:bottom w:val="nil"/>
              <w:right w:val="nil"/>
            </w:tcBorders>
            <w:shd w:val="clear" w:color="auto" w:fill="auto"/>
            <w:noWrap/>
            <w:vAlign w:val="bottom"/>
            <w:hideMark/>
          </w:tcPr>
          <w:p w14:paraId="3A390659" w14:textId="77777777" w:rsidR="00B751D3" w:rsidRDefault="00B751D3" w:rsidP="005A3B4D">
            <w:pPr>
              <w:jc w:val="right"/>
              <w:rPr>
                <w:color w:val="000000"/>
                <w:sz w:val="20"/>
                <w:szCs w:val="20"/>
              </w:rPr>
            </w:pPr>
            <w:r>
              <w:rPr>
                <w:color w:val="000000"/>
                <w:sz w:val="20"/>
                <w:szCs w:val="20"/>
              </w:rPr>
              <w:t>0.000</w:t>
            </w:r>
          </w:p>
        </w:tc>
        <w:tc>
          <w:tcPr>
            <w:tcW w:w="820" w:type="dxa"/>
            <w:tcBorders>
              <w:top w:val="single" w:sz="12" w:space="0" w:color="auto"/>
              <w:left w:val="nil"/>
              <w:bottom w:val="nil"/>
              <w:right w:val="nil"/>
            </w:tcBorders>
            <w:shd w:val="clear" w:color="auto" w:fill="auto"/>
            <w:noWrap/>
            <w:vAlign w:val="bottom"/>
            <w:hideMark/>
          </w:tcPr>
          <w:p w14:paraId="38B55661" w14:textId="77777777" w:rsidR="00B751D3" w:rsidRDefault="00B751D3" w:rsidP="005A3B4D">
            <w:pPr>
              <w:jc w:val="right"/>
              <w:rPr>
                <w:color w:val="000000"/>
                <w:sz w:val="20"/>
                <w:szCs w:val="20"/>
              </w:rPr>
            </w:pPr>
            <w:r>
              <w:rPr>
                <w:color w:val="000000"/>
                <w:sz w:val="20"/>
                <w:szCs w:val="20"/>
              </w:rPr>
              <w:t>0.006</w:t>
            </w:r>
          </w:p>
        </w:tc>
        <w:tc>
          <w:tcPr>
            <w:tcW w:w="820" w:type="dxa"/>
            <w:tcBorders>
              <w:top w:val="single" w:sz="12" w:space="0" w:color="auto"/>
              <w:left w:val="nil"/>
              <w:bottom w:val="nil"/>
              <w:right w:val="nil"/>
            </w:tcBorders>
            <w:shd w:val="clear" w:color="auto" w:fill="auto"/>
            <w:noWrap/>
            <w:vAlign w:val="bottom"/>
            <w:hideMark/>
          </w:tcPr>
          <w:p w14:paraId="1FBF9D1C" w14:textId="77777777" w:rsidR="00B751D3" w:rsidRDefault="00B751D3" w:rsidP="005A3B4D">
            <w:pPr>
              <w:jc w:val="right"/>
              <w:rPr>
                <w:color w:val="000000"/>
                <w:sz w:val="20"/>
                <w:szCs w:val="20"/>
              </w:rPr>
            </w:pPr>
            <w:r>
              <w:rPr>
                <w:color w:val="000000"/>
                <w:sz w:val="20"/>
                <w:szCs w:val="20"/>
              </w:rPr>
              <w:t>0.976</w:t>
            </w:r>
          </w:p>
        </w:tc>
        <w:tc>
          <w:tcPr>
            <w:tcW w:w="820" w:type="dxa"/>
            <w:tcBorders>
              <w:top w:val="single" w:sz="12" w:space="0" w:color="auto"/>
              <w:left w:val="nil"/>
              <w:bottom w:val="nil"/>
              <w:right w:val="nil"/>
            </w:tcBorders>
            <w:shd w:val="clear" w:color="auto" w:fill="auto"/>
            <w:noWrap/>
            <w:vAlign w:val="bottom"/>
            <w:hideMark/>
          </w:tcPr>
          <w:p w14:paraId="14FAF4CB" w14:textId="77777777" w:rsidR="00B751D3" w:rsidRDefault="00B751D3" w:rsidP="005A3B4D">
            <w:pPr>
              <w:jc w:val="right"/>
              <w:rPr>
                <w:color w:val="000000"/>
                <w:sz w:val="20"/>
                <w:szCs w:val="20"/>
              </w:rPr>
            </w:pPr>
            <w:r>
              <w:rPr>
                <w:color w:val="000000"/>
                <w:sz w:val="20"/>
                <w:szCs w:val="20"/>
              </w:rPr>
              <w:t>0.000</w:t>
            </w:r>
          </w:p>
        </w:tc>
      </w:tr>
      <w:tr w:rsidR="00B751D3" w14:paraId="5E2EAE17" w14:textId="77777777" w:rsidTr="005A3B4D">
        <w:trPr>
          <w:trHeight w:val="340"/>
        </w:trPr>
        <w:tc>
          <w:tcPr>
            <w:tcW w:w="1258" w:type="dxa"/>
            <w:tcBorders>
              <w:top w:val="nil"/>
              <w:left w:val="nil"/>
              <w:bottom w:val="nil"/>
              <w:right w:val="nil"/>
            </w:tcBorders>
            <w:shd w:val="clear" w:color="auto" w:fill="auto"/>
            <w:noWrap/>
            <w:vAlign w:val="bottom"/>
            <w:hideMark/>
          </w:tcPr>
          <w:p w14:paraId="2F72663F"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52C9458B" w14:textId="77777777" w:rsidR="00B751D3" w:rsidRDefault="00B751D3" w:rsidP="005A3B4D">
            <w:pPr>
              <w:rPr>
                <w:color w:val="000000"/>
                <w:sz w:val="20"/>
                <w:szCs w:val="20"/>
              </w:rPr>
            </w:pPr>
            <w:r>
              <w:rPr>
                <w:color w:val="000000"/>
                <w:sz w:val="20"/>
                <w:szCs w:val="20"/>
              </w:rPr>
              <w:t xml:space="preserve">Motor </w:t>
            </w:r>
          </w:p>
        </w:tc>
        <w:tc>
          <w:tcPr>
            <w:tcW w:w="820" w:type="dxa"/>
            <w:tcBorders>
              <w:top w:val="nil"/>
              <w:left w:val="nil"/>
              <w:bottom w:val="nil"/>
              <w:right w:val="nil"/>
            </w:tcBorders>
            <w:shd w:val="clear" w:color="auto" w:fill="auto"/>
            <w:noWrap/>
            <w:vAlign w:val="bottom"/>
            <w:hideMark/>
          </w:tcPr>
          <w:p w14:paraId="0E7DCA5A" w14:textId="77777777" w:rsidR="00B751D3" w:rsidRDefault="00B751D3" w:rsidP="005A3B4D">
            <w:pPr>
              <w:jc w:val="right"/>
              <w:rPr>
                <w:color w:val="000000"/>
                <w:sz w:val="20"/>
                <w:szCs w:val="20"/>
              </w:rPr>
            </w:pPr>
            <w:r>
              <w:rPr>
                <w:color w:val="000000"/>
                <w:sz w:val="20"/>
                <w:szCs w:val="20"/>
              </w:rPr>
              <w:t>0.033</w:t>
            </w:r>
          </w:p>
        </w:tc>
        <w:tc>
          <w:tcPr>
            <w:tcW w:w="820" w:type="dxa"/>
            <w:tcBorders>
              <w:top w:val="nil"/>
              <w:left w:val="nil"/>
              <w:bottom w:val="nil"/>
              <w:right w:val="nil"/>
            </w:tcBorders>
            <w:shd w:val="clear" w:color="auto" w:fill="auto"/>
            <w:noWrap/>
            <w:vAlign w:val="bottom"/>
            <w:hideMark/>
          </w:tcPr>
          <w:p w14:paraId="0AC8A4E8" w14:textId="77777777" w:rsidR="00B751D3" w:rsidRDefault="00B751D3" w:rsidP="005A3B4D">
            <w:pPr>
              <w:jc w:val="right"/>
              <w:rPr>
                <w:color w:val="000000"/>
                <w:sz w:val="20"/>
                <w:szCs w:val="20"/>
              </w:rPr>
            </w:pPr>
            <w:r>
              <w:rPr>
                <w:color w:val="000000"/>
                <w:sz w:val="20"/>
                <w:szCs w:val="20"/>
              </w:rPr>
              <w:t>0.708</w:t>
            </w:r>
          </w:p>
        </w:tc>
        <w:tc>
          <w:tcPr>
            <w:tcW w:w="820" w:type="dxa"/>
            <w:tcBorders>
              <w:top w:val="nil"/>
              <w:left w:val="nil"/>
              <w:bottom w:val="nil"/>
              <w:right w:val="nil"/>
            </w:tcBorders>
            <w:shd w:val="clear" w:color="auto" w:fill="auto"/>
            <w:noWrap/>
            <w:vAlign w:val="bottom"/>
            <w:hideMark/>
          </w:tcPr>
          <w:p w14:paraId="4E6B1353"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7CD13615" w14:textId="77777777" w:rsidR="00B751D3" w:rsidRDefault="00B751D3" w:rsidP="005A3B4D">
            <w:pPr>
              <w:jc w:val="right"/>
              <w:rPr>
                <w:color w:val="000000"/>
                <w:sz w:val="20"/>
                <w:szCs w:val="20"/>
              </w:rPr>
            </w:pPr>
            <w:r>
              <w:rPr>
                <w:color w:val="000000"/>
                <w:sz w:val="20"/>
                <w:szCs w:val="20"/>
              </w:rPr>
              <w:t>-0.009</w:t>
            </w:r>
          </w:p>
        </w:tc>
        <w:tc>
          <w:tcPr>
            <w:tcW w:w="820" w:type="dxa"/>
            <w:tcBorders>
              <w:top w:val="nil"/>
              <w:left w:val="nil"/>
              <w:bottom w:val="nil"/>
              <w:right w:val="nil"/>
            </w:tcBorders>
            <w:shd w:val="clear" w:color="auto" w:fill="auto"/>
            <w:noWrap/>
            <w:vAlign w:val="bottom"/>
            <w:hideMark/>
          </w:tcPr>
          <w:p w14:paraId="0114C928" w14:textId="77777777" w:rsidR="00B751D3" w:rsidRDefault="00B751D3" w:rsidP="005A3B4D">
            <w:pPr>
              <w:jc w:val="right"/>
              <w:rPr>
                <w:color w:val="000000"/>
                <w:sz w:val="20"/>
                <w:szCs w:val="20"/>
              </w:rPr>
            </w:pPr>
            <w:r>
              <w:rPr>
                <w:color w:val="000000"/>
                <w:sz w:val="20"/>
                <w:szCs w:val="20"/>
              </w:rPr>
              <w:t>0.976</w:t>
            </w:r>
          </w:p>
        </w:tc>
        <w:tc>
          <w:tcPr>
            <w:tcW w:w="820" w:type="dxa"/>
            <w:tcBorders>
              <w:top w:val="nil"/>
              <w:left w:val="nil"/>
              <w:bottom w:val="nil"/>
              <w:right w:val="nil"/>
            </w:tcBorders>
            <w:shd w:val="clear" w:color="auto" w:fill="auto"/>
            <w:noWrap/>
            <w:vAlign w:val="bottom"/>
            <w:hideMark/>
          </w:tcPr>
          <w:p w14:paraId="1575AB05" w14:textId="77777777" w:rsidR="00B751D3" w:rsidRDefault="00B751D3" w:rsidP="005A3B4D">
            <w:pPr>
              <w:jc w:val="right"/>
              <w:rPr>
                <w:color w:val="000000"/>
                <w:sz w:val="20"/>
                <w:szCs w:val="20"/>
              </w:rPr>
            </w:pPr>
            <w:r>
              <w:rPr>
                <w:color w:val="000000"/>
                <w:sz w:val="20"/>
                <w:szCs w:val="20"/>
              </w:rPr>
              <w:t>0.000</w:t>
            </w:r>
          </w:p>
        </w:tc>
      </w:tr>
      <w:tr w:rsidR="00B751D3" w14:paraId="7EF64019" w14:textId="77777777" w:rsidTr="005A3B4D">
        <w:trPr>
          <w:trHeight w:val="320"/>
        </w:trPr>
        <w:tc>
          <w:tcPr>
            <w:tcW w:w="1258" w:type="dxa"/>
            <w:tcBorders>
              <w:top w:val="nil"/>
              <w:left w:val="nil"/>
              <w:bottom w:val="nil"/>
              <w:right w:val="nil"/>
            </w:tcBorders>
            <w:shd w:val="clear" w:color="auto" w:fill="auto"/>
            <w:noWrap/>
            <w:vAlign w:val="bottom"/>
            <w:hideMark/>
          </w:tcPr>
          <w:p w14:paraId="3FD99471"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19207A63" w14:textId="77777777" w:rsidR="00B751D3" w:rsidRDefault="00B751D3" w:rsidP="005A3B4D">
            <w:pPr>
              <w:rPr>
                <w:color w:val="000000"/>
                <w:sz w:val="20"/>
                <w:szCs w:val="20"/>
              </w:rPr>
            </w:pPr>
            <w:r>
              <w:rPr>
                <w:color w:val="000000"/>
                <w:sz w:val="20"/>
                <w:szCs w:val="20"/>
              </w:rPr>
              <w:t>Medial Frontal</w:t>
            </w:r>
          </w:p>
        </w:tc>
        <w:tc>
          <w:tcPr>
            <w:tcW w:w="820" w:type="dxa"/>
            <w:tcBorders>
              <w:top w:val="nil"/>
              <w:left w:val="nil"/>
              <w:bottom w:val="nil"/>
              <w:right w:val="nil"/>
            </w:tcBorders>
            <w:shd w:val="clear" w:color="auto" w:fill="auto"/>
            <w:noWrap/>
            <w:vAlign w:val="bottom"/>
            <w:hideMark/>
          </w:tcPr>
          <w:p w14:paraId="0E03D872" w14:textId="77777777" w:rsidR="00B751D3" w:rsidRDefault="00B751D3" w:rsidP="005A3B4D">
            <w:pPr>
              <w:jc w:val="right"/>
              <w:rPr>
                <w:color w:val="000000"/>
                <w:sz w:val="20"/>
                <w:szCs w:val="20"/>
              </w:rPr>
            </w:pPr>
            <w:r>
              <w:rPr>
                <w:color w:val="000000"/>
                <w:sz w:val="20"/>
                <w:szCs w:val="20"/>
              </w:rPr>
              <w:t>-0.036</w:t>
            </w:r>
          </w:p>
        </w:tc>
        <w:tc>
          <w:tcPr>
            <w:tcW w:w="820" w:type="dxa"/>
            <w:tcBorders>
              <w:top w:val="nil"/>
              <w:left w:val="nil"/>
              <w:bottom w:val="nil"/>
              <w:right w:val="nil"/>
            </w:tcBorders>
            <w:shd w:val="clear" w:color="auto" w:fill="auto"/>
            <w:noWrap/>
            <w:vAlign w:val="bottom"/>
            <w:hideMark/>
          </w:tcPr>
          <w:p w14:paraId="449354E5" w14:textId="77777777" w:rsidR="00B751D3" w:rsidRDefault="00B751D3" w:rsidP="005A3B4D">
            <w:pPr>
              <w:jc w:val="right"/>
              <w:rPr>
                <w:color w:val="000000"/>
                <w:sz w:val="20"/>
                <w:szCs w:val="20"/>
              </w:rPr>
            </w:pPr>
            <w:r>
              <w:rPr>
                <w:color w:val="000000"/>
                <w:sz w:val="20"/>
                <w:szCs w:val="20"/>
              </w:rPr>
              <w:t>0.708</w:t>
            </w:r>
          </w:p>
        </w:tc>
        <w:tc>
          <w:tcPr>
            <w:tcW w:w="820" w:type="dxa"/>
            <w:tcBorders>
              <w:top w:val="nil"/>
              <w:left w:val="nil"/>
              <w:bottom w:val="nil"/>
              <w:right w:val="nil"/>
            </w:tcBorders>
            <w:shd w:val="clear" w:color="auto" w:fill="auto"/>
            <w:noWrap/>
            <w:vAlign w:val="bottom"/>
            <w:hideMark/>
          </w:tcPr>
          <w:p w14:paraId="632CB9F8"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45E744B2" w14:textId="77777777" w:rsidR="00B751D3" w:rsidRDefault="00B751D3" w:rsidP="005A3B4D">
            <w:pPr>
              <w:jc w:val="right"/>
              <w:rPr>
                <w:color w:val="000000"/>
                <w:sz w:val="20"/>
                <w:szCs w:val="20"/>
              </w:rPr>
            </w:pPr>
            <w:r>
              <w:rPr>
                <w:color w:val="000000"/>
                <w:sz w:val="20"/>
                <w:szCs w:val="20"/>
              </w:rPr>
              <w:t>-0.036</w:t>
            </w:r>
          </w:p>
        </w:tc>
        <w:tc>
          <w:tcPr>
            <w:tcW w:w="820" w:type="dxa"/>
            <w:tcBorders>
              <w:top w:val="nil"/>
              <w:left w:val="nil"/>
              <w:bottom w:val="nil"/>
              <w:right w:val="nil"/>
            </w:tcBorders>
            <w:shd w:val="clear" w:color="auto" w:fill="auto"/>
            <w:noWrap/>
            <w:vAlign w:val="bottom"/>
            <w:hideMark/>
          </w:tcPr>
          <w:p w14:paraId="54434631" w14:textId="77777777" w:rsidR="00B751D3" w:rsidRDefault="00B751D3" w:rsidP="005A3B4D">
            <w:pPr>
              <w:jc w:val="right"/>
              <w:rPr>
                <w:color w:val="000000"/>
                <w:sz w:val="20"/>
                <w:szCs w:val="20"/>
              </w:rPr>
            </w:pPr>
            <w:r>
              <w:rPr>
                <w:color w:val="000000"/>
                <w:sz w:val="20"/>
                <w:szCs w:val="20"/>
              </w:rPr>
              <w:t>0.976</w:t>
            </w:r>
          </w:p>
        </w:tc>
        <w:tc>
          <w:tcPr>
            <w:tcW w:w="820" w:type="dxa"/>
            <w:tcBorders>
              <w:top w:val="nil"/>
              <w:left w:val="nil"/>
              <w:bottom w:val="nil"/>
              <w:right w:val="nil"/>
            </w:tcBorders>
            <w:shd w:val="clear" w:color="auto" w:fill="auto"/>
            <w:noWrap/>
            <w:vAlign w:val="bottom"/>
            <w:hideMark/>
          </w:tcPr>
          <w:p w14:paraId="33E8A45D" w14:textId="77777777" w:rsidR="00B751D3" w:rsidRDefault="00B751D3" w:rsidP="005A3B4D">
            <w:pPr>
              <w:jc w:val="right"/>
              <w:rPr>
                <w:color w:val="000000"/>
                <w:sz w:val="20"/>
                <w:szCs w:val="20"/>
              </w:rPr>
            </w:pPr>
            <w:r>
              <w:rPr>
                <w:color w:val="000000"/>
                <w:sz w:val="20"/>
                <w:szCs w:val="20"/>
              </w:rPr>
              <w:t>0.001</w:t>
            </w:r>
          </w:p>
        </w:tc>
      </w:tr>
      <w:tr w:rsidR="00B751D3" w14:paraId="219E183C" w14:textId="77777777" w:rsidTr="005A3B4D">
        <w:trPr>
          <w:trHeight w:val="320"/>
        </w:trPr>
        <w:tc>
          <w:tcPr>
            <w:tcW w:w="1258" w:type="dxa"/>
            <w:tcBorders>
              <w:top w:val="nil"/>
              <w:left w:val="nil"/>
              <w:bottom w:val="nil"/>
              <w:right w:val="nil"/>
            </w:tcBorders>
            <w:shd w:val="clear" w:color="auto" w:fill="auto"/>
            <w:noWrap/>
            <w:vAlign w:val="bottom"/>
            <w:hideMark/>
          </w:tcPr>
          <w:p w14:paraId="480607C0"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2A643694" w14:textId="77777777" w:rsidR="00B751D3" w:rsidRDefault="00B751D3" w:rsidP="005A3B4D">
            <w:pPr>
              <w:rPr>
                <w:color w:val="000000"/>
                <w:sz w:val="20"/>
                <w:szCs w:val="20"/>
              </w:rPr>
            </w:pPr>
            <w:r>
              <w:rPr>
                <w:color w:val="000000"/>
                <w:sz w:val="20"/>
                <w:szCs w:val="20"/>
              </w:rPr>
              <w:t>Frontoparietal</w:t>
            </w:r>
          </w:p>
        </w:tc>
        <w:tc>
          <w:tcPr>
            <w:tcW w:w="820" w:type="dxa"/>
            <w:tcBorders>
              <w:top w:val="nil"/>
              <w:left w:val="nil"/>
              <w:bottom w:val="nil"/>
              <w:right w:val="nil"/>
            </w:tcBorders>
            <w:shd w:val="clear" w:color="auto" w:fill="auto"/>
            <w:noWrap/>
            <w:vAlign w:val="bottom"/>
            <w:hideMark/>
          </w:tcPr>
          <w:p w14:paraId="618E9FD5" w14:textId="77777777" w:rsidR="00B751D3" w:rsidRDefault="00B751D3" w:rsidP="005A3B4D">
            <w:pPr>
              <w:jc w:val="right"/>
              <w:rPr>
                <w:color w:val="000000"/>
                <w:sz w:val="20"/>
                <w:szCs w:val="20"/>
              </w:rPr>
            </w:pPr>
            <w:r>
              <w:rPr>
                <w:color w:val="000000"/>
                <w:sz w:val="20"/>
                <w:szCs w:val="20"/>
              </w:rPr>
              <w:t>-0.140</w:t>
            </w:r>
          </w:p>
        </w:tc>
        <w:tc>
          <w:tcPr>
            <w:tcW w:w="820" w:type="dxa"/>
            <w:tcBorders>
              <w:top w:val="nil"/>
              <w:left w:val="nil"/>
              <w:bottom w:val="nil"/>
              <w:right w:val="nil"/>
            </w:tcBorders>
            <w:shd w:val="clear" w:color="auto" w:fill="auto"/>
            <w:noWrap/>
            <w:vAlign w:val="bottom"/>
            <w:hideMark/>
          </w:tcPr>
          <w:p w14:paraId="3796A6F0" w14:textId="77777777" w:rsidR="00B751D3" w:rsidRDefault="00B751D3" w:rsidP="005A3B4D">
            <w:pPr>
              <w:jc w:val="right"/>
              <w:rPr>
                <w:color w:val="000000"/>
                <w:sz w:val="20"/>
                <w:szCs w:val="20"/>
              </w:rPr>
            </w:pPr>
            <w:r>
              <w:rPr>
                <w:color w:val="000000"/>
                <w:sz w:val="20"/>
                <w:szCs w:val="20"/>
              </w:rPr>
              <w:t>0.688</w:t>
            </w:r>
          </w:p>
        </w:tc>
        <w:tc>
          <w:tcPr>
            <w:tcW w:w="820" w:type="dxa"/>
            <w:tcBorders>
              <w:top w:val="nil"/>
              <w:left w:val="nil"/>
              <w:bottom w:val="nil"/>
              <w:right w:val="nil"/>
            </w:tcBorders>
            <w:shd w:val="clear" w:color="auto" w:fill="auto"/>
            <w:noWrap/>
            <w:vAlign w:val="bottom"/>
            <w:hideMark/>
          </w:tcPr>
          <w:p w14:paraId="298F28FE" w14:textId="77777777" w:rsidR="00B751D3" w:rsidRDefault="00B751D3" w:rsidP="005A3B4D">
            <w:pPr>
              <w:jc w:val="right"/>
              <w:rPr>
                <w:color w:val="000000"/>
                <w:sz w:val="20"/>
                <w:szCs w:val="20"/>
              </w:rPr>
            </w:pPr>
            <w:r>
              <w:rPr>
                <w:color w:val="000000"/>
                <w:sz w:val="20"/>
                <w:szCs w:val="20"/>
              </w:rPr>
              <w:t>0.020</w:t>
            </w:r>
          </w:p>
        </w:tc>
        <w:tc>
          <w:tcPr>
            <w:tcW w:w="820" w:type="dxa"/>
            <w:tcBorders>
              <w:top w:val="nil"/>
              <w:left w:val="nil"/>
              <w:bottom w:val="nil"/>
              <w:right w:val="nil"/>
            </w:tcBorders>
            <w:shd w:val="clear" w:color="auto" w:fill="auto"/>
            <w:noWrap/>
            <w:vAlign w:val="bottom"/>
            <w:hideMark/>
          </w:tcPr>
          <w:p w14:paraId="74247003" w14:textId="77777777" w:rsidR="00B751D3" w:rsidRDefault="00B751D3" w:rsidP="005A3B4D">
            <w:pPr>
              <w:jc w:val="right"/>
              <w:rPr>
                <w:color w:val="000000"/>
                <w:sz w:val="20"/>
                <w:szCs w:val="20"/>
              </w:rPr>
            </w:pPr>
            <w:r>
              <w:rPr>
                <w:color w:val="000000"/>
                <w:sz w:val="20"/>
                <w:szCs w:val="20"/>
              </w:rPr>
              <w:t>-0.189</w:t>
            </w:r>
          </w:p>
        </w:tc>
        <w:tc>
          <w:tcPr>
            <w:tcW w:w="820" w:type="dxa"/>
            <w:tcBorders>
              <w:top w:val="nil"/>
              <w:left w:val="nil"/>
              <w:bottom w:val="nil"/>
              <w:right w:val="nil"/>
            </w:tcBorders>
            <w:shd w:val="clear" w:color="auto" w:fill="auto"/>
            <w:noWrap/>
            <w:vAlign w:val="bottom"/>
            <w:hideMark/>
          </w:tcPr>
          <w:p w14:paraId="34EA17D4" w14:textId="77777777" w:rsidR="00B751D3" w:rsidRDefault="00B751D3" w:rsidP="005A3B4D">
            <w:pPr>
              <w:jc w:val="right"/>
              <w:rPr>
                <w:color w:val="000000"/>
                <w:sz w:val="20"/>
                <w:szCs w:val="20"/>
              </w:rPr>
            </w:pPr>
            <w:r>
              <w:rPr>
                <w:color w:val="000000"/>
                <w:sz w:val="20"/>
                <w:szCs w:val="20"/>
              </w:rPr>
              <w:t>0.296</w:t>
            </w:r>
          </w:p>
        </w:tc>
        <w:tc>
          <w:tcPr>
            <w:tcW w:w="820" w:type="dxa"/>
            <w:tcBorders>
              <w:top w:val="nil"/>
              <w:left w:val="nil"/>
              <w:bottom w:val="nil"/>
              <w:right w:val="nil"/>
            </w:tcBorders>
            <w:shd w:val="clear" w:color="auto" w:fill="auto"/>
            <w:noWrap/>
            <w:vAlign w:val="bottom"/>
            <w:hideMark/>
          </w:tcPr>
          <w:p w14:paraId="13A0F9DC" w14:textId="77777777" w:rsidR="00B751D3" w:rsidRDefault="00B751D3" w:rsidP="005A3B4D">
            <w:pPr>
              <w:jc w:val="right"/>
              <w:rPr>
                <w:color w:val="000000"/>
                <w:sz w:val="20"/>
                <w:szCs w:val="20"/>
              </w:rPr>
            </w:pPr>
            <w:r>
              <w:rPr>
                <w:color w:val="000000"/>
                <w:sz w:val="20"/>
                <w:szCs w:val="20"/>
              </w:rPr>
              <w:t>0.036</w:t>
            </w:r>
          </w:p>
        </w:tc>
      </w:tr>
      <w:tr w:rsidR="00B751D3" w14:paraId="1DDCA6D0" w14:textId="77777777" w:rsidTr="005A3B4D">
        <w:trPr>
          <w:trHeight w:val="320"/>
        </w:trPr>
        <w:tc>
          <w:tcPr>
            <w:tcW w:w="1258" w:type="dxa"/>
            <w:tcBorders>
              <w:top w:val="nil"/>
              <w:left w:val="nil"/>
              <w:bottom w:val="nil"/>
              <w:right w:val="nil"/>
            </w:tcBorders>
            <w:shd w:val="clear" w:color="auto" w:fill="auto"/>
            <w:noWrap/>
            <w:vAlign w:val="bottom"/>
            <w:hideMark/>
          </w:tcPr>
          <w:p w14:paraId="491468D3"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2F0634E1" w14:textId="77777777" w:rsidR="00B751D3" w:rsidRDefault="00B751D3" w:rsidP="005A3B4D">
            <w:pPr>
              <w:rPr>
                <w:color w:val="000000"/>
                <w:sz w:val="20"/>
                <w:szCs w:val="20"/>
              </w:rPr>
            </w:pPr>
            <w:r>
              <w:rPr>
                <w:color w:val="000000"/>
                <w:sz w:val="20"/>
                <w:szCs w:val="20"/>
              </w:rPr>
              <w:t>Default Mode</w:t>
            </w:r>
          </w:p>
        </w:tc>
        <w:tc>
          <w:tcPr>
            <w:tcW w:w="820" w:type="dxa"/>
            <w:tcBorders>
              <w:top w:val="nil"/>
              <w:left w:val="nil"/>
              <w:bottom w:val="nil"/>
              <w:right w:val="nil"/>
            </w:tcBorders>
            <w:shd w:val="clear" w:color="auto" w:fill="auto"/>
            <w:noWrap/>
            <w:vAlign w:val="bottom"/>
            <w:hideMark/>
          </w:tcPr>
          <w:p w14:paraId="1C27677E" w14:textId="77777777" w:rsidR="00B751D3" w:rsidRDefault="00B751D3" w:rsidP="005A3B4D">
            <w:pPr>
              <w:jc w:val="right"/>
              <w:rPr>
                <w:color w:val="000000"/>
                <w:sz w:val="20"/>
                <w:szCs w:val="20"/>
              </w:rPr>
            </w:pPr>
            <w:r>
              <w:rPr>
                <w:color w:val="000000"/>
                <w:sz w:val="20"/>
                <w:szCs w:val="20"/>
              </w:rPr>
              <w:t>0.044</w:t>
            </w:r>
          </w:p>
        </w:tc>
        <w:tc>
          <w:tcPr>
            <w:tcW w:w="820" w:type="dxa"/>
            <w:tcBorders>
              <w:top w:val="nil"/>
              <w:left w:val="nil"/>
              <w:bottom w:val="nil"/>
              <w:right w:val="nil"/>
            </w:tcBorders>
            <w:shd w:val="clear" w:color="auto" w:fill="auto"/>
            <w:noWrap/>
            <w:vAlign w:val="bottom"/>
            <w:hideMark/>
          </w:tcPr>
          <w:p w14:paraId="2EBA18C1" w14:textId="77777777" w:rsidR="00B751D3" w:rsidRDefault="00B751D3" w:rsidP="005A3B4D">
            <w:pPr>
              <w:jc w:val="right"/>
              <w:rPr>
                <w:color w:val="000000"/>
                <w:sz w:val="20"/>
                <w:szCs w:val="20"/>
              </w:rPr>
            </w:pPr>
            <w:r>
              <w:rPr>
                <w:color w:val="000000"/>
                <w:sz w:val="20"/>
                <w:szCs w:val="20"/>
              </w:rPr>
              <w:t>0.708</w:t>
            </w:r>
          </w:p>
        </w:tc>
        <w:tc>
          <w:tcPr>
            <w:tcW w:w="820" w:type="dxa"/>
            <w:tcBorders>
              <w:top w:val="nil"/>
              <w:left w:val="nil"/>
              <w:bottom w:val="nil"/>
              <w:right w:val="nil"/>
            </w:tcBorders>
            <w:shd w:val="clear" w:color="auto" w:fill="auto"/>
            <w:noWrap/>
            <w:vAlign w:val="bottom"/>
            <w:hideMark/>
          </w:tcPr>
          <w:p w14:paraId="34545EA2" w14:textId="77777777" w:rsidR="00B751D3" w:rsidRDefault="00B751D3" w:rsidP="005A3B4D">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23BF415F" w14:textId="77777777" w:rsidR="00B751D3" w:rsidRDefault="00B751D3" w:rsidP="005A3B4D">
            <w:pPr>
              <w:jc w:val="right"/>
              <w:rPr>
                <w:color w:val="000000"/>
                <w:sz w:val="20"/>
                <w:szCs w:val="20"/>
              </w:rPr>
            </w:pPr>
            <w:r>
              <w:rPr>
                <w:color w:val="000000"/>
                <w:sz w:val="20"/>
                <w:szCs w:val="20"/>
              </w:rPr>
              <w:t>0.055</w:t>
            </w:r>
          </w:p>
        </w:tc>
        <w:tc>
          <w:tcPr>
            <w:tcW w:w="820" w:type="dxa"/>
            <w:tcBorders>
              <w:top w:val="nil"/>
              <w:left w:val="nil"/>
              <w:bottom w:val="nil"/>
              <w:right w:val="nil"/>
            </w:tcBorders>
            <w:shd w:val="clear" w:color="auto" w:fill="auto"/>
            <w:noWrap/>
            <w:vAlign w:val="bottom"/>
            <w:hideMark/>
          </w:tcPr>
          <w:p w14:paraId="7B3BAF27" w14:textId="77777777" w:rsidR="00B751D3" w:rsidRDefault="00B751D3" w:rsidP="005A3B4D">
            <w:pPr>
              <w:jc w:val="right"/>
              <w:rPr>
                <w:color w:val="000000"/>
                <w:sz w:val="20"/>
                <w:szCs w:val="20"/>
              </w:rPr>
            </w:pPr>
            <w:r>
              <w:rPr>
                <w:color w:val="000000"/>
                <w:sz w:val="20"/>
                <w:szCs w:val="20"/>
              </w:rPr>
              <w:t>0.384</w:t>
            </w:r>
          </w:p>
        </w:tc>
        <w:tc>
          <w:tcPr>
            <w:tcW w:w="820" w:type="dxa"/>
            <w:tcBorders>
              <w:top w:val="nil"/>
              <w:left w:val="nil"/>
              <w:bottom w:val="nil"/>
              <w:right w:val="nil"/>
            </w:tcBorders>
            <w:shd w:val="clear" w:color="auto" w:fill="auto"/>
            <w:noWrap/>
            <w:vAlign w:val="bottom"/>
            <w:hideMark/>
          </w:tcPr>
          <w:p w14:paraId="3BBB5C9C" w14:textId="77777777" w:rsidR="00B751D3" w:rsidRDefault="00B751D3" w:rsidP="005A3B4D">
            <w:pPr>
              <w:jc w:val="right"/>
              <w:rPr>
                <w:color w:val="000000"/>
                <w:sz w:val="20"/>
                <w:szCs w:val="20"/>
              </w:rPr>
            </w:pPr>
            <w:r>
              <w:rPr>
                <w:color w:val="000000"/>
                <w:sz w:val="20"/>
                <w:szCs w:val="20"/>
              </w:rPr>
              <w:t>0.003</w:t>
            </w:r>
          </w:p>
        </w:tc>
      </w:tr>
      <w:tr w:rsidR="00B751D3" w14:paraId="0A099C8C" w14:textId="77777777" w:rsidTr="005A3B4D">
        <w:trPr>
          <w:trHeight w:val="320"/>
        </w:trPr>
        <w:tc>
          <w:tcPr>
            <w:tcW w:w="1258" w:type="dxa"/>
            <w:tcBorders>
              <w:top w:val="nil"/>
              <w:left w:val="nil"/>
              <w:bottom w:val="nil"/>
              <w:right w:val="nil"/>
            </w:tcBorders>
            <w:shd w:val="clear" w:color="auto" w:fill="auto"/>
            <w:noWrap/>
            <w:vAlign w:val="bottom"/>
            <w:hideMark/>
          </w:tcPr>
          <w:p w14:paraId="34F840BF"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32D8A84B" w14:textId="77777777" w:rsidR="00B751D3" w:rsidRDefault="00B751D3" w:rsidP="005A3B4D">
            <w:pPr>
              <w:rPr>
                <w:color w:val="000000"/>
                <w:sz w:val="20"/>
                <w:szCs w:val="20"/>
              </w:rPr>
            </w:pPr>
            <w:r>
              <w:rPr>
                <w:color w:val="000000"/>
                <w:sz w:val="20"/>
                <w:szCs w:val="20"/>
              </w:rPr>
              <w:t>Visual 2</w:t>
            </w:r>
          </w:p>
        </w:tc>
        <w:tc>
          <w:tcPr>
            <w:tcW w:w="820" w:type="dxa"/>
            <w:tcBorders>
              <w:top w:val="nil"/>
              <w:left w:val="nil"/>
              <w:bottom w:val="nil"/>
              <w:right w:val="nil"/>
            </w:tcBorders>
            <w:shd w:val="clear" w:color="auto" w:fill="auto"/>
            <w:noWrap/>
            <w:vAlign w:val="bottom"/>
            <w:hideMark/>
          </w:tcPr>
          <w:p w14:paraId="3CBD14F8" w14:textId="77777777" w:rsidR="00B751D3" w:rsidRDefault="00B751D3" w:rsidP="005A3B4D">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3CDA5220" w14:textId="77777777" w:rsidR="00B751D3" w:rsidRDefault="00B751D3" w:rsidP="005A3B4D">
            <w:pPr>
              <w:jc w:val="right"/>
              <w:rPr>
                <w:color w:val="000000"/>
                <w:sz w:val="20"/>
                <w:szCs w:val="20"/>
              </w:rPr>
            </w:pPr>
            <w:r>
              <w:rPr>
                <w:color w:val="000000"/>
                <w:sz w:val="20"/>
                <w:szCs w:val="20"/>
              </w:rPr>
              <w:t>0.952</w:t>
            </w:r>
          </w:p>
        </w:tc>
        <w:tc>
          <w:tcPr>
            <w:tcW w:w="820" w:type="dxa"/>
            <w:tcBorders>
              <w:top w:val="nil"/>
              <w:left w:val="nil"/>
              <w:bottom w:val="nil"/>
              <w:right w:val="nil"/>
            </w:tcBorders>
            <w:shd w:val="clear" w:color="auto" w:fill="auto"/>
            <w:noWrap/>
            <w:vAlign w:val="bottom"/>
            <w:hideMark/>
          </w:tcPr>
          <w:p w14:paraId="1E8D5BE9"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300BBBA8" w14:textId="77777777" w:rsidR="00B751D3" w:rsidRDefault="00B751D3" w:rsidP="005A3B4D">
            <w:pPr>
              <w:jc w:val="right"/>
              <w:rPr>
                <w:color w:val="000000"/>
                <w:sz w:val="20"/>
                <w:szCs w:val="20"/>
              </w:rPr>
            </w:pPr>
            <w:r>
              <w:rPr>
                <w:color w:val="000000"/>
                <w:sz w:val="20"/>
                <w:szCs w:val="20"/>
              </w:rPr>
              <w:t>-0.004</w:t>
            </w:r>
          </w:p>
        </w:tc>
        <w:tc>
          <w:tcPr>
            <w:tcW w:w="820" w:type="dxa"/>
            <w:tcBorders>
              <w:top w:val="nil"/>
              <w:left w:val="nil"/>
              <w:bottom w:val="nil"/>
              <w:right w:val="nil"/>
            </w:tcBorders>
            <w:shd w:val="clear" w:color="auto" w:fill="auto"/>
            <w:noWrap/>
            <w:vAlign w:val="bottom"/>
            <w:hideMark/>
          </w:tcPr>
          <w:p w14:paraId="4D2AF6D8" w14:textId="77777777" w:rsidR="00B751D3" w:rsidRDefault="00B751D3" w:rsidP="005A3B4D">
            <w:pPr>
              <w:jc w:val="right"/>
              <w:rPr>
                <w:color w:val="000000"/>
                <w:sz w:val="20"/>
                <w:szCs w:val="20"/>
              </w:rPr>
            </w:pPr>
            <w:r>
              <w:rPr>
                <w:color w:val="000000"/>
                <w:sz w:val="20"/>
                <w:szCs w:val="20"/>
              </w:rPr>
              <w:t>0.976</w:t>
            </w:r>
          </w:p>
        </w:tc>
        <w:tc>
          <w:tcPr>
            <w:tcW w:w="820" w:type="dxa"/>
            <w:tcBorders>
              <w:top w:val="nil"/>
              <w:left w:val="nil"/>
              <w:bottom w:val="nil"/>
              <w:right w:val="nil"/>
            </w:tcBorders>
            <w:shd w:val="clear" w:color="auto" w:fill="auto"/>
            <w:noWrap/>
            <w:vAlign w:val="bottom"/>
            <w:hideMark/>
          </w:tcPr>
          <w:p w14:paraId="044C9C02" w14:textId="77777777" w:rsidR="00B751D3" w:rsidRDefault="00B751D3" w:rsidP="005A3B4D">
            <w:pPr>
              <w:jc w:val="right"/>
              <w:rPr>
                <w:color w:val="000000"/>
                <w:sz w:val="20"/>
                <w:szCs w:val="20"/>
              </w:rPr>
            </w:pPr>
            <w:r>
              <w:rPr>
                <w:color w:val="000000"/>
                <w:sz w:val="20"/>
                <w:szCs w:val="20"/>
              </w:rPr>
              <w:t>0.000</w:t>
            </w:r>
          </w:p>
        </w:tc>
      </w:tr>
      <w:tr w:rsidR="00B751D3" w14:paraId="2DE33A94" w14:textId="77777777" w:rsidTr="005A3B4D">
        <w:trPr>
          <w:trHeight w:val="320"/>
        </w:trPr>
        <w:tc>
          <w:tcPr>
            <w:tcW w:w="1258" w:type="dxa"/>
            <w:tcBorders>
              <w:top w:val="nil"/>
              <w:left w:val="nil"/>
              <w:bottom w:val="nil"/>
              <w:right w:val="nil"/>
            </w:tcBorders>
            <w:shd w:val="clear" w:color="auto" w:fill="auto"/>
            <w:noWrap/>
            <w:vAlign w:val="bottom"/>
            <w:hideMark/>
          </w:tcPr>
          <w:p w14:paraId="2DC75398"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52DEB28D" w14:textId="77777777" w:rsidR="00B751D3" w:rsidRDefault="00B751D3" w:rsidP="005A3B4D">
            <w:pPr>
              <w:rPr>
                <w:color w:val="000000"/>
                <w:sz w:val="20"/>
                <w:szCs w:val="20"/>
              </w:rPr>
            </w:pPr>
            <w:r>
              <w:rPr>
                <w:color w:val="000000"/>
                <w:sz w:val="20"/>
                <w:szCs w:val="20"/>
              </w:rPr>
              <w:t>Visual 1</w:t>
            </w:r>
          </w:p>
        </w:tc>
        <w:tc>
          <w:tcPr>
            <w:tcW w:w="820" w:type="dxa"/>
            <w:tcBorders>
              <w:top w:val="nil"/>
              <w:left w:val="nil"/>
              <w:bottom w:val="nil"/>
              <w:right w:val="nil"/>
            </w:tcBorders>
            <w:shd w:val="clear" w:color="auto" w:fill="auto"/>
            <w:noWrap/>
            <w:vAlign w:val="bottom"/>
            <w:hideMark/>
          </w:tcPr>
          <w:p w14:paraId="4474BE3D" w14:textId="77777777" w:rsidR="00B751D3" w:rsidRDefault="00B751D3" w:rsidP="005A3B4D">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4DB2FD08" w14:textId="77777777" w:rsidR="00B751D3" w:rsidRDefault="00B751D3" w:rsidP="005A3B4D">
            <w:pPr>
              <w:jc w:val="right"/>
              <w:rPr>
                <w:color w:val="000000"/>
                <w:sz w:val="20"/>
                <w:szCs w:val="20"/>
              </w:rPr>
            </w:pPr>
            <w:r>
              <w:rPr>
                <w:color w:val="000000"/>
                <w:sz w:val="20"/>
                <w:szCs w:val="20"/>
              </w:rPr>
              <w:t>0.952</w:t>
            </w:r>
          </w:p>
        </w:tc>
        <w:tc>
          <w:tcPr>
            <w:tcW w:w="820" w:type="dxa"/>
            <w:tcBorders>
              <w:top w:val="nil"/>
              <w:left w:val="nil"/>
              <w:bottom w:val="nil"/>
              <w:right w:val="nil"/>
            </w:tcBorders>
            <w:shd w:val="clear" w:color="auto" w:fill="auto"/>
            <w:noWrap/>
            <w:vAlign w:val="bottom"/>
            <w:hideMark/>
          </w:tcPr>
          <w:p w14:paraId="66A1F1B2"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6DC2390A"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4F132CBE" w14:textId="77777777" w:rsidR="00B751D3" w:rsidRDefault="00B751D3" w:rsidP="005A3B4D">
            <w:pPr>
              <w:jc w:val="right"/>
              <w:rPr>
                <w:color w:val="000000"/>
                <w:sz w:val="20"/>
                <w:szCs w:val="20"/>
              </w:rPr>
            </w:pPr>
            <w:r>
              <w:rPr>
                <w:color w:val="000000"/>
                <w:sz w:val="20"/>
                <w:szCs w:val="20"/>
              </w:rPr>
              <w:t>0.976</w:t>
            </w:r>
          </w:p>
        </w:tc>
        <w:tc>
          <w:tcPr>
            <w:tcW w:w="820" w:type="dxa"/>
            <w:tcBorders>
              <w:top w:val="nil"/>
              <w:left w:val="nil"/>
              <w:bottom w:val="nil"/>
              <w:right w:val="nil"/>
            </w:tcBorders>
            <w:shd w:val="clear" w:color="auto" w:fill="auto"/>
            <w:noWrap/>
            <w:vAlign w:val="bottom"/>
            <w:hideMark/>
          </w:tcPr>
          <w:p w14:paraId="2DA85575" w14:textId="77777777" w:rsidR="00B751D3" w:rsidRDefault="00B751D3" w:rsidP="005A3B4D">
            <w:pPr>
              <w:jc w:val="right"/>
              <w:rPr>
                <w:color w:val="000000"/>
                <w:sz w:val="20"/>
                <w:szCs w:val="20"/>
              </w:rPr>
            </w:pPr>
            <w:r>
              <w:rPr>
                <w:color w:val="000000"/>
                <w:sz w:val="20"/>
                <w:szCs w:val="20"/>
              </w:rPr>
              <w:t>0.000</w:t>
            </w:r>
          </w:p>
        </w:tc>
      </w:tr>
      <w:tr w:rsidR="00B751D3" w14:paraId="6683FFB4" w14:textId="77777777" w:rsidTr="005A3B4D">
        <w:trPr>
          <w:trHeight w:val="320"/>
        </w:trPr>
        <w:tc>
          <w:tcPr>
            <w:tcW w:w="1258" w:type="dxa"/>
            <w:tcBorders>
              <w:top w:val="nil"/>
              <w:left w:val="nil"/>
              <w:bottom w:val="single" w:sz="4" w:space="0" w:color="auto"/>
              <w:right w:val="nil"/>
            </w:tcBorders>
            <w:shd w:val="clear" w:color="auto" w:fill="auto"/>
            <w:noWrap/>
            <w:vAlign w:val="bottom"/>
            <w:hideMark/>
          </w:tcPr>
          <w:p w14:paraId="014B07C7" w14:textId="77777777" w:rsidR="00B751D3" w:rsidRDefault="00B751D3" w:rsidP="005A3B4D">
            <w:pPr>
              <w:rPr>
                <w:color w:val="000000"/>
                <w:sz w:val="20"/>
                <w:szCs w:val="20"/>
              </w:rPr>
            </w:pPr>
            <w:r>
              <w:rPr>
                <w:color w:val="000000"/>
                <w:sz w:val="20"/>
                <w:szCs w:val="20"/>
              </w:rPr>
              <w:t> </w:t>
            </w:r>
          </w:p>
        </w:tc>
        <w:tc>
          <w:tcPr>
            <w:tcW w:w="1824" w:type="dxa"/>
            <w:tcBorders>
              <w:top w:val="nil"/>
              <w:left w:val="nil"/>
              <w:bottom w:val="single" w:sz="4" w:space="0" w:color="auto"/>
              <w:right w:val="nil"/>
            </w:tcBorders>
            <w:shd w:val="clear" w:color="auto" w:fill="auto"/>
            <w:noWrap/>
            <w:vAlign w:val="center"/>
            <w:hideMark/>
          </w:tcPr>
          <w:p w14:paraId="3675FFC3" w14:textId="77777777" w:rsidR="00B751D3" w:rsidRDefault="00B751D3" w:rsidP="005A3B4D">
            <w:pPr>
              <w:rPr>
                <w:color w:val="000000"/>
                <w:sz w:val="20"/>
                <w:szCs w:val="20"/>
              </w:rPr>
            </w:pPr>
            <w:r>
              <w:rPr>
                <w:color w:val="000000"/>
                <w:sz w:val="20"/>
                <w:szCs w:val="20"/>
              </w:rPr>
              <w:t>Visual Association</w:t>
            </w:r>
          </w:p>
        </w:tc>
        <w:tc>
          <w:tcPr>
            <w:tcW w:w="820" w:type="dxa"/>
            <w:tcBorders>
              <w:top w:val="nil"/>
              <w:left w:val="nil"/>
              <w:bottom w:val="single" w:sz="4" w:space="0" w:color="auto"/>
              <w:right w:val="nil"/>
            </w:tcBorders>
            <w:shd w:val="clear" w:color="auto" w:fill="auto"/>
            <w:noWrap/>
            <w:vAlign w:val="bottom"/>
            <w:hideMark/>
          </w:tcPr>
          <w:p w14:paraId="67E1A498" w14:textId="77777777" w:rsidR="00B751D3" w:rsidRDefault="00B751D3" w:rsidP="005A3B4D">
            <w:pPr>
              <w:jc w:val="right"/>
              <w:rPr>
                <w:color w:val="000000"/>
                <w:sz w:val="20"/>
                <w:szCs w:val="20"/>
              </w:rPr>
            </w:pPr>
            <w:r>
              <w:rPr>
                <w:color w:val="000000"/>
                <w:sz w:val="20"/>
                <w:szCs w:val="20"/>
              </w:rPr>
              <w:t>0.025</w:t>
            </w:r>
          </w:p>
        </w:tc>
        <w:tc>
          <w:tcPr>
            <w:tcW w:w="820" w:type="dxa"/>
            <w:tcBorders>
              <w:top w:val="nil"/>
              <w:left w:val="nil"/>
              <w:bottom w:val="single" w:sz="4" w:space="0" w:color="auto"/>
              <w:right w:val="nil"/>
            </w:tcBorders>
            <w:shd w:val="clear" w:color="auto" w:fill="auto"/>
            <w:noWrap/>
            <w:vAlign w:val="bottom"/>
            <w:hideMark/>
          </w:tcPr>
          <w:p w14:paraId="56744ED5" w14:textId="77777777" w:rsidR="00B751D3" w:rsidRDefault="00B751D3" w:rsidP="005A3B4D">
            <w:pPr>
              <w:jc w:val="right"/>
              <w:rPr>
                <w:color w:val="000000"/>
                <w:sz w:val="20"/>
                <w:szCs w:val="20"/>
              </w:rPr>
            </w:pPr>
            <w:r>
              <w:rPr>
                <w:color w:val="000000"/>
                <w:sz w:val="20"/>
                <w:szCs w:val="20"/>
              </w:rPr>
              <w:t>0.708</w:t>
            </w:r>
          </w:p>
        </w:tc>
        <w:tc>
          <w:tcPr>
            <w:tcW w:w="820" w:type="dxa"/>
            <w:tcBorders>
              <w:top w:val="nil"/>
              <w:left w:val="nil"/>
              <w:bottom w:val="single" w:sz="4" w:space="0" w:color="auto"/>
              <w:right w:val="nil"/>
            </w:tcBorders>
            <w:shd w:val="clear" w:color="auto" w:fill="auto"/>
            <w:noWrap/>
            <w:vAlign w:val="bottom"/>
            <w:hideMark/>
          </w:tcPr>
          <w:p w14:paraId="470125A2"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single" w:sz="4" w:space="0" w:color="auto"/>
              <w:right w:val="nil"/>
            </w:tcBorders>
            <w:shd w:val="clear" w:color="auto" w:fill="auto"/>
            <w:noWrap/>
            <w:vAlign w:val="bottom"/>
            <w:hideMark/>
          </w:tcPr>
          <w:p w14:paraId="120D930B" w14:textId="77777777" w:rsidR="00B751D3" w:rsidRDefault="00B751D3" w:rsidP="005A3B4D">
            <w:pPr>
              <w:jc w:val="right"/>
              <w:rPr>
                <w:color w:val="000000"/>
                <w:sz w:val="20"/>
                <w:szCs w:val="20"/>
              </w:rPr>
            </w:pPr>
            <w:r>
              <w:rPr>
                <w:color w:val="000000"/>
                <w:sz w:val="20"/>
                <w:szCs w:val="20"/>
              </w:rPr>
              <w:t>-0.017</w:t>
            </w:r>
          </w:p>
        </w:tc>
        <w:tc>
          <w:tcPr>
            <w:tcW w:w="820" w:type="dxa"/>
            <w:tcBorders>
              <w:top w:val="nil"/>
              <w:left w:val="nil"/>
              <w:bottom w:val="single" w:sz="4" w:space="0" w:color="auto"/>
              <w:right w:val="nil"/>
            </w:tcBorders>
            <w:shd w:val="clear" w:color="auto" w:fill="auto"/>
            <w:noWrap/>
            <w:vAlign w:val="bottom"/>
            <w:hideMark/>
          </w:tcPr>
          <w:p w14:paraId="2DCEC2A5" w14:textId="77777777" w:rsidR="00B751D3" w:rsidRDefault="00B751D3" w:rsidP="005A3B4D">
            <w:pPr>
              <w:jc w:val="right"/>
              <w:rPr>
                <w:color w:val="000000"/>
                <w:sz w:val="20"/>
                <w:szCs w:val="20"/>
              </w:rPr>
            </w:pPr>
            <w:r>
              <w:rPr>
                <w:color w:val="000000"/>
                <w:sz w:val="20"/>
                <w:szCs w:val="20"/>
              </w:rPr>
              <w:t>0.976</w:t>
            </w:r>
          </w:p>
        </w:tc>
        <w:tc>
          <w:tcPr>
            <w:tcW w:w="820" w:type="dxa"/>
            <w:tcBorders>
              <w:top w:val="nil"/>
              <w:left w:val="nil"/>
              <w:bottom w:val="single" w:sz="4" w:space="0" w:color="auto"/>
              <w:right w:val="nil"/>
            </w:tcBorders>
            <w:shd w:val="clear" w:color="auto" w:fill="auto"/>
            <w:noWrap/>
            <w:vAlign w:val="bottom"/>
            <w:hideMark/>
          </w:tcPr>
          <w:p w14:paraId="700E0FE0" w14:textId="77777777" w:rsidR="00B751D3" w:rsidRDefault="00B751D3" w:rsidP="005A3B4D">
            <w:pPr>
              <w:jc w:val="right"/>
              <w:rPr>
                <w:color w:val="000000"/>
                <w:sz w:val="20"/>
                <w:szCs w:val="20"/>
              </w:rPr>
            </w:pPr>
            <w:r>
              <w:rPr>
                <w:color w:val="000000"/>
                <w:sz w:val="20"/>
                <w:szCs w:val="20"/>
              </w:rPr>
              <w:t>0.000</w:t>
            </w:r>
          </w:p>
        </w:tc>
      </w:tr>
      <w:tr w:rsidR="00B751D3" w14:paraId="40BCD218" w14:textId="77777777" w:rsidTr="005A3B4D">
        <w:trPr>
          <w:trHeight w:val="320"/>
        </w:trPr>
        <w:tc>
          <w:tcPr>
            <w:tcW w:w="1258" w:type="dxa"/>
            <w:tcBorders>
              <w:top w:val="nil"/>
              <w:left w:val="nil"/>
              <w:bottom w:val="nil"/>
              <w:right w:val="nil"/>
            </w:tcBorders>
            <w:shd w:val="clear" w:color="auto" w:fill="auto"/>
            <w:noWrap/>
            <w:vAlign w:val="bottom"/>
            <w:hideMark/>
          </w:tcPr>
          <w:p w14:paraId="70F59BFE" w14:textId="77777777" w:rsidR="00B751D3" w:rsidRDefault="00B751D3" w:rsidP="005A3B4D">
            <w:pPr>
              <w:rPr>
                <w:color w:val="000000"/>
                <w:sz w:val="20"/>
                <w:szCs w:val="20"/>
              </w:rPr>
            </w:pPr>
            <w:r>
              <w:rPr>
                <w:color w:val="000000"/>
                <w:sz w:val="20"/>
                <w:szCs w:val="20"/>
              </w:rPr>
              <w:t>Threshold 17%</w:t>
            </w:r>
          </w:p>
        </w:tc>
        <w:tc>
          <w:tcPr>
            <w:tcW w:w="1824" w:type="dxa"/>
            <w:tcBorders>
              <w:top w:val="nil"/>
              <w:left w:val="nil"/>
              <w:bottom w:val="nil"/>
              <w:right w:val="nil"/>
            </w:tcBorders>
            <w:shd w:val="clear" w:color="auto" w:fill="auto"/>
            <w:noWrap/>
            <w:vAlign w:val="center"/>
            <w:hideMark/>
          </w:tcPr>
          <w:p w14:paraId="196E45EE" w14:textId="77777777" w:rsidR="00B751D3" w:rsidRDefault="00B751D3" w:rsidP="005A3B4D">
            <w:pPr>
              <w:rPr>
                <w:color w:val="000000"/>
                <w:sz w:val="20"/>
                <w:szCs w:val="20"/>
              </w:rPr>
            </w:pPr>
            <w:r>
              <w:rPr>
                <w:color w:val="000000"/>
                <w:sz w:val="20"/>
                <w:szCs w:val="20"/>
              </w:rPr>
              <w:t>Subcortical Cerebellar</w:t>
            </w:r>
          </w:p>
        </w:tc>
        <w:tc>
          <w:tcPr>
            <w:tcW w:w="820" w:type="dxa"/>
            <w:tcBorders>
              <w:top w:val="nil"/>
              <w:left w:val="nil"/>
              <w:bottom w:val="nil"/>
              <w:right w:val="nil"/>
            </w:tcBorders>
            <w:shd w:val="clear" w:color="auto" w:fill="auto"/>
            <w:noWrap/>
            <w:vAlign w:val="bottom"/>
            <w:hideMark/>
          </w:tcPr>
          <w:p w14:paraId="367D693E" w14:textId="77777777" w:rsidR="00B751D3" w:rsidRDefault="00B751D3" w:rsidP="005A3B4D">
            <w:pPr>
              <w:jc w:val="right"/>
              <w:rPr>
                <w:color w:val="000000"/>
                <w:sz w:val="20"/>
                <w:szCs w:val="20"/>
              </w:rPr>
            </w:pPr>
            <w:r>
              <w:rPr>
                <w:color w:val="000000"/>
                <w:sz w:val="20"/>
                <w:szCs w:val="20"/>
              </w:rPr>
              <w:t>0.021</w:t>
            </w:r>
          </w:p>
        </w:tc>
        <w:tc>
          <w:tcPr>
            <w:tcW w:w="820" w:type="dxa"/>
            <w:tcBorders>
              <w:top w:val="nil"/>
              <w:left w:val="nil"/>
              <w:bottom w:val="nil"/>
              <w:right w:val="nil"/>
            </w:tcBorders>
            <w:shd w:val="clear" w:color="auto" w:fill="auto"/>
            <w:noWrap/>
            <w:vAlign w:val="bottom"/>
            <w:hideMark/>
          </w:tcPr>
          <w:p w14:paraId="043B48B1" w14:textId="77777777" w:rsidR="00B751D3" w:rsidRDefault="00B751D3" w:rsidP="005A3B4D">
            <w:pPr>
              <w:jc w:val="right"/>
              <w:rPr>
                <w:color w:val="000000"/>
                <w:sz w:val="20"/>
                <w:szCs w:val="20"/>
              </w:rPr>
            </w:pPr>
            <w:r>
              <w:rPr>
                <w:color w:val="000000"/>
                <w:sz w:val="20"/>
                <w:szCs w:val="20"/>
              </w:rPr>
              <w:t>0.650</w:t>
            </w:r>
          </w:p>
        </w:tc>
        <w:tc>
          <w:tcPr>
            <w:tcW w:w="820" w:type="dxa"/>
            <w:tcBorders>
              <w:top w:val="nil"/>
              <w:left w:val="nil"/>
              <w:bottom w:val="nil"/>
              <w:right w:val="nil"/>
            </w:tcBorders>
            <w:shd w:val="clear" w:color="auto" w:fill="auto"/>
            <w:noWrap/>
            <w:vAlign w:val="bottom"/>
            <w:hideMark/>
          </w:tcPr>
          <w:p w14:paraId="7160679E"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1A7416E1" w14:textId="77777777" w:rsidR="00B751D3" w:rsidRDefault="00B751D3" w:rsidP="005A3B4D">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729E8097" w14:textId="77777777" w:rsidR="00B751D3" w:rsidRDefault="00B751D3" w:rsidP="005A3B4D">
            <w:pPr>
              <w:jc w:val="right"/>
              <w:rPr>
                <w:color w:val="000000"/>
                <w:sz w:val="20"/>
                <w:szCs w:val="20"/>
              </w:rPr>
            </w:pPr>
            <w:r>
              <w:rPr>
                <w:color w:val="000000"/>
                <w:sz w:val="20"/>
                <w:szCs w:val="20"/>
              </w:rPr>
              <w:t>0.954</w:t>
            </w:r>
          </w:p>
        </w:tc>
        <w:tc>
          <w:tcPr>
            <w:tcW w:w="820" w:type="dxa"/>
            <w:tcBorders>
              <w:top w:val="nil"/>
              <w:left w:val="nil"/>
              <w:bottom w:val="nil"/>
              <w:right w:val="nil"/>
            </w:tcBorders>
            <w:shd w:val="clear" w:color="auto" w:fill="auto"/>
            <w:noWrap/>
            <w:vAlign w:val="bottom"/>
            <w:hideMark/>
          </w:tcPr>
          <w:p w14:paraId="45B80C4D" w14:textId="77777777" w:rsidR="00B751D3" w:rsidRDefault="00B751D3" w:rsidP="005A3B4D">
            <w:pPr>
              <w:jc w:val="right"/>
              <w:rPr>
                <w:color w:val="000000"/>
                <w:sz w:val="20"/>
                <w:szCs w:val="20"/>
              </w:rPr>
            </w:pPr>
            <w:r>
              <w:rPr>
                <w:color w:val="000000"/>
                <w:sz w:val="20"/>
                <w:szCs w:val="20"/>
              </w:rPr>
              <w:t>0.000</w:t>
            </w:r>
          </w:p>
        </w:tc>
      </w:tr>
      <w:tr w:rsidR="00B751D3" w14:paraId="739A613C" w14:textId="77777777" w:rsidTr="005A3B4D">
        <w:trPr>
          <w:trHeight w:val="320"/>
        </w:trPr>
        <w:tc>
          <w:tcPr>
            <w:tcW w:w="1258" w:type="dxa"/>
            <w:tcBorders>
              <w:top w:val="nil"/>
              <w:left w:val="nil"/>
              <w:bottom w:val="nil"/>
              <w:right w:val="nil"/>
            </w:tcBorders>
            <w:shd w:val="clear" w:color="auto" w:fill="auto"/>
            <w:noWrap/>
            <w:vAlign w:val="bottom"/>
            <w:hideMark/>
          </w:tcPr>
          <w:p w14:paraId="26D4C0AE"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4AF0A482" w14:textId="77777777" w:rsidR="00B751D3" w:rsidRDefault="00B751D3" w:rsidP="005A3B4D">
            <w:pPr>
              <w:rPr>
                <w:color w:val="000000"/>
                <w:sz w:val="20"/>
                <w:szCs w:val="20"/>
              </w:rPr>
            </w:pPr>
            <w:r>
              <w:rPr>
                <w:color w:val="000000"/>
                <w:sz w:val="20"/>
                <w:szCs w:val="20"/>
              </w:rPr>
              <w:t xml:space="preserve">Motor </w:t>
            </w:r>
          </w:p>
        </w:tc>
        <w:tc>
          <w:tcPr>
            <w:tcW w:w="820" w:type="dxa"/>
            <w:tcBorders>
              <w:top w:val="nil"/>
              <w:left w:val="nil"/>
              <w:bottom w:val="nil"/>
              <w:right w:val="nil"/>
            </w:tcBorders>
            <w:shd w:val="clear" w:color="auto" w:fill="auto"/>
            <w:noWrap/>
            <w:vAlign w:val="bottom"/>
            <w:hideMark/>
          </w:tcPr>
          <w:p w14:paraId="0CE3EC24" w14:textId="77777777" w:rsidR="00B751D3" w:rsidRDefault="00B751D3" w:rsidP="005A3B4D">
            <w:pPr>
              <w:jc w:val="right"/>
              <w:rPr>
                <w:color w:val="000000"/>
                <w:sz w:val="20"/>
                <w:szCs w:val="20"/>
              </w:rPr>
            </w:pPr>
            <w:r>
              <w:rPr>
                <w:color w:val="000000"/>
                <w:sz w:val="20"/>
                <w:szCs w:val="20"/>
              </w:rPr>
              <w:t>-0.029</w:t>
            </w:r>
          </w:p>
        </w:tc>
        <w:tc>
          <w:tcPr>
            <w:tcW w:w="820" w:type="dxa"/>
            <w:tcBorders>
              <w:top w:val="nil"/>
              <w:left w:val="nil"/>
              <w:bottom w:val="nil"/>
              <w:right w:val="nil"/>
            </w:tcBorders>
            <w:shd w:val="clear" w:color="auto" w:fill="auto"/>
            <w:noWrap/>
            <w:vAlign w:val="bottom"/>
            <w:hideMark/>
          </w:tcPr>
          <w:p w14:paraId="1EE6DD8C" w14:textId="77777777" w:rsidR="00B751D3" w:rsidRDefault="00B751D3" w:rsidP="005A3B4D">
            <w:pPr>
              <w:jc w:val="right"/>
              <w:rPr>
                <w:color w:val="000000"/>
                <w:sz w:val="20"/>
                <w:szCs w:val="20"/>
              </w:rPr>
            </w:pPr>
            <w:r>
              <w:rPr>
                <w:color w:val="000000"/>
                <w:sz w:val="20"/>
                <w:szCs w:val="20"/>
              </w:rPr>
              <w:t>0.650</w:t>
            </w:r>
          </w:p>
        </w:tc>
        <w:tc>
          <w:tcPr>
            <w:tcW w:w="820" w:type="dxa"/>
            <w:tcBorders>
              <w:top w:val="nil"/>
              <w:left w:val="nil"/>
              <w:bottom w:val="nil"/>
              <w:right w:val="nil"/>
            </w:tcBorders>
            <w:shd w:val="clear" w:color="auto" w:fill="auto"/>
            <w:noWrap/>
            <w:vAlign w:val="bottom"/>
            <w:hideMark/>
          </w:tcPr>
          <w:p w14:paraId="19CE0DBE"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10F1E940" w14:textId="77777777" w:rsidR="00B751D3" w:rsidRDefault="00B751D3" w:rsidP="005A3B4D">
            <w:pPr>
              <w:jc w:val="right"/>
              <w:rPr>
                <w:color w:val="000000"/>
                <w:sz w:val="20"/>
                <w:szCs w:val="20"/>
              </w:rPr>
            </w:pPr>
            <w:r>
              <w:rPr>
                <w:color w:val="000000"/>
                <w:sz w:val="20"/>
                <w:szCs w:val="20"/>
              </w:rPr>
              <w:t>-0.060</w:t>
            </w:r>
          </w:p>
        </w:tc>
        <w:tc>
          <w:tcPr>
            <w:tcW w:w="820" w:type="dxa"/>
            <w:tcBorders>
              <w:top w:val="nil"/>
              <w:left w:val="nil"/>
              <w:bottom w:val="nil"/>
              <w:right w:val="nil"/>
            </w:tcBorders>
            <w:shd w:val="clear" w:color="auto" w:fill="auto"/>
            <w:noWrap/>
            <w:vAlign w:val="bottom"/>
            <w:hideMark/>
          </w:tcPr>
          <w:p w14:paraId="2B8DEAB5" w14:textId="77777777" w:rsidR="00B751D3" w:rsidRDefault="00B751D3" w:rsidP="005A3B4D">
            <w:pPr>
              <w:jc w:val="right"/>
              <w:rPr>
                <w:color w:val="000000"/>
                <w:sz w:val="20"/>
                <w:szCs w:val="20"/>
              </w:rPr>
            </w:pPr>
            <w:r>
              <w:rPr>
                <w:color w:val="000000"/>
                <w:sz w:val="20"/>
                <w:szCs w:val="20"/>
              </w:rPr>
              <w:t>0.056</w:t>
            </w:r>
          </w:p>
        </w:tc>
        <w:tc>
          <w:tcPr>
            <w:tcW w:w="820" w:type="dxa"/>
            <w:tcBorders>
              <w:top w:val="nil"/>
              <w:left w:val="nil"/>
              <w:bottom w:val="nil"/>
              <w:right w:val="nil"/>
            </w:tcBorders>
            <w:shd w:val="clear" w:color="auto" w:fill="auto"/>
            <w:noWrap/>
            <w:vAlign w:val="bottom"/>
            <w:hideMark/>
          </w:tcPr>
          <w:p w14:paraId="7E71ECE7" w14:textId="77777777" w:rsidR="00B751D3" w:rsidRDefault="00B751D3" w:rsidP="005A3B4D">
            <w:pPr>
              <w:jc w:val="right"/>
              <w:rPr>
                <w:color w:val="000000"/>
                <w:sz w:val="20"/>
                <w:szCs w:val="20"/>
              </w:rPr>
            </w:pPr>
            <w:r>
              <w:rPr>
                <w:color w:val="000000"/>
                <w:sz w:val="20"/>
                <w:szCs w:val="20"/>
              </w:rPr>
              <w:t>0.004</w:t>
            </w:r>
          </w:p>
        </w:tc>
      </w:tr>
      <w:tr w:rsidR="00B751D3" w14:paraId="462F1C66" w14:textId="77777777" w:rsidTr="005A3B4D">
        <w:trPr>
          <w:trHeight w:val="320"/>
        </w:trPr>
        <w:tc>
          <w:tcPr>
            <w:tcW w:w="1258" w:type="dxa"/>
            <w:tcBorders>
              <w:top w:val="nil"/>
              <w:left w:val="nil"/>
              <w:bottom w:val="nil"/>
              <w:right w:val="nil"/>
            </w:tcBorders>
            <w:shd w:val="clear" w:color="auto" w:fill="auto"/>
            <w:noWrap/>
            <w:vAlign w:val="bottom"/>
            <w:hideMark/>
          </w:tcPr>
          <w:p w14:paraId="04913CCD"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52D63DA4" w14:textId="77777777" w:rsidR="00B751D3" w:rsidRDefault="00B751D3" w:rsidP="005A3B4D">
            <w:pPr>
              <w:rPr>
                <w:color w:val="000000"/>
                <w:sz w:val="20"/>
                <w:szCs w:val="20"/>
              </w:rPr>
            </w:pPr>
            <w:r>
              <w:rPr>
                <w:color w:val="000000"/>
                <w:sz w:val="20"/>
                <w:szCs w:val="20"/>
              </w:rPr>
              <w:t>Medial Frontal</w:t>
            </w:r>
          </w:p>
        </w:tc>
        <w:tc>
          <w:tcPr>
            <w:tcW w:w="820" w:type="dxa"/>
            <w:tcBorders>
              <w:top w:val="nil"/>
              <w:left w:val="nil"/>
              <w:bottom w:val="nil"/>
              <w:right w:val="nil"/>
            </w:tcBorders>
            <w:shd w:val="clear" w:color="auto" w:fill="auto"/>
            <w:noWrap/>
            <w:vAlign w:val="bottom"/>
            <w:hideMark/>
          </w:tcPr>
          <w:p w14:paraId="0007AD20" w14:textId="77777777" w:rsidR="00B751D3" w:rsidRDefault="00B751D3" w:rsidP="005A3B4D">
            <w:pPr>
              <w:jc w:val="right"/>
              <w:rPr>
                <w:color w:val="000000"/>
                <w:sz w:val="20"/>
                <w:szCs w:val="20"/>
              </w:rPr>
            </w:pPr>
            <w:r>
              <w:rPr>
                <w:color w:val="000000"/>
                <w:sz w:val="20"/>
                <w:szCs w:val="20"/>
              </w:rPr>
              <w:t>0.020</w:t>
            </w:r>
          </w:p>
        </w:tc>
        <w:tc>
          <w:tcPr>
            <w:tcW w:w="820" w:type="dxa"/>
            <w:tcBorders>
              <w:top w:val="nil"/>
              <w:left w:val="nil"/>
              <w:bottom w:val="nil"/>
              <w:right w:val="nil"/>
            </w:tcBorders>
            <w:shd w:val="clear" w:color="auto" w:fill="auto"/>
            <w:noWrap/>
            <w:vAlign w:val="bottom"/>
            <w:hideMark/>
          </w:tcPr>
          <w:p w14:paraId="4189515C" w14:textId="77777777" w:rsidR="00B751D3" w:rsidRDefault="00B751D3" w:rsidP="005A3B4D">
            <w:pPr>
              <w:jc w:val="right"/>
              <w:rPr>
                <w:color w:val="000000"/>
                <w:sz w:val="20"/>
                <w:szCs w:val="20"/>
              </w:rPr>
            </w:pPr>
            <w:r>
              <w:rPr>
                <w:color w:val="000000"/>
                <w:sz w:val="20"/>
                <w:szCs w:val="20"/>
              </w:rPr>
              <w:t>0.715</w:t>
            </w:r>
          </w:p>
        </w:tc>
        <w:tc>
          <w:tcPr>
            <w:tcW w:w="820" w:type="dxa"/>
            <w:tcBorders>
              <w:top w:val="nil"/>
              <w:left w:val="nil"/>
              <w:bottom w:val="nil"/>
              <w:right w:val="nil"/>
            </w:tcBorders>
            <w:shd w:val="clear" w:color="auto" w:fill="auto"/>
            <w:noWrap/>
            <w:vAlign w:val="bottom"/>
            <w:hideMark/>
          </w:tcPr>
          <w:p w14:paraId="4C02FAC2"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295ABEC4"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19553A53" w14:textId="77777777" w:rsidR="00B751D3" w:rsidRDefault="00B751D3" w:rsidP="005A3B4D">
            <w:pPr>
              <w:jc w:val="right"/>
              <w:rPr>
                <w:color w:val="000000"/>
                <w:sz w:val="20"/>
                <w:szCs w:val="20"/>
              </w:rPr>
            </w:pPr>
            <w:r>
              <w:rPr>
                <w:color w:val="000000"/>
                <w:sz w:val="20"/>
                <w:szCs w:val="20"/>
              </w:rPr>
              <w:t>0.954</w:t>
            </w:r>
          </w:p>
        </w:tc>
        <w:tc>
          <w:tcPr>
            <w:tcW w:w="820" w:type="dxa"/>
            <w:tcBorders>
              <w:top w:val="nil"/>
              <w:left w:val="nil"/>
              <w:bottom w:val="nil"/>
              <w:right w:val="nil"/>
            </w:tcBorders>
            <w:shd w:val="clear" w:color="auto" w:fill="auto"/>
            <w:noWrap/>
            <w:vAlign w:val="bottom"/>
            <w:hideMark/>
          </w:tcPr>
          <w:p w14:paraId="75AB42D0" w14:textId="77777777" w:rsidR="00B751D3" w:rsidRDefault="00B751D3" w:rsidP="005A3B4D">
            <w:pPr>
              <w:jc w:val="right"/>
              <w:rPr>
                <w:color w:val="000000"/>
                <w:sz w:val="20"/>
                <w:szCs w:val="20"/>
              </w:rPr>
            </w:pPr>
            <w:r>
              <w:rPr>
                <w:color w:val="000000"/>
                <w:sz w:val="20"/>
                <w:szCs w:val="20"/>
              </w:rPr>
              <w:t>0.000</w:t>
            </w:r>
          </w:p>
        </w:tc>
      </w:tr>
      <w:tr w:rsidR="00B751D3" w14:paraId="3663198D" w14:textId="77777777" w:rsidTr="005A3B4D">
        <w:trPr>
          <w:trHeight w:val="320"/>
        </w:trPr>
        <w:tc>
          <w:tcPr>
            <w:tcW w:w="1258" w:type="dxa"/>
            <w:tcBorders>
              <w:top w:val="nil"/>
              <w:left w:val="nil"/>
              <w:bottom w:val="nil"/>
              <w:right w:val="nil"/>
            </w:tcBorders>
            <w:shd w:val="clear" w:color="auto" w:fill="auto"/>
            <w:noWrap/>
            <w:vAlign w:val="bottom"/>
            <w:hideMark/>
          </w:tcPr>
          <w:p w14:paraId="18615231"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689AF32C" w14:textId="77777777" w:rsidR="00B751D3" w:rsidRDefault="00B751D3" w:rsidP="005A3B4D">
            <w:pPr>
              <w:rPr>
                <w:color w:val="000000"/>
                <w:sz w:val="20"/>
                <w:szCs w:val="20"/>
              </w:rPr>
            </w:pPr>
            <w:r>
              <w:rPr>
                <w:color w:val="000000"/>
                <w:sz w:val="20"/>
                <w:szCs w:val="20"/>
              </w:rPr>
              <w:t>Frontoparietal</w:t>
            </w:r>
          </w:p>
        </w:tc>
        <w:tc>
          <w:tcPr>
            <w:tcW w:w="820" w:type="dxa"/>
            <w:tcBorders>
              <w:top w:val="nil"/>
              <w:left w:val="nil"/>
              <w:bottom w:val="nil"/>
              <w:right w:val="nil"/>
            </w:tcBorders>
            <w:shd w:val="clear" w:color="auto" w:fill="auto"/>
            <w:noWrap/>
            <w:vAlign w:val="bottom"/>
            <w:hideMark/>
          </w:tcPr>
          <w:p w14:paraId="1B6FC2DE" w14:textId="77777777" w:rsidR="00B751D3" w:rsidRDefault="00B751D3" w:rsidP="005A3B4D">
            <w:pPr>
              <w:jc w:val="right"/>
              <w:rPr>
                <w:color w:val="000000"/>
                <w:sz w:val="20"/>
                <w:szCs w:val="20"/>
              </w:rPr>
            </w:pPr>
            <w:r>
              <w:rPr>
                <w:color w:val="000000"/>
                <w:sz w:val="20"/>
                <w:szCs w:val="20"/>
              </w:rPr>
              <w:t>0.040</w:t>
            </w:r>
          </w:p>
        </w:tc>
        <w:tc>
          <w:tcPr>
            <w:tcW w:w="820" w:type="dxa"/>
            <w:tcBorders>
              <w:top w:val="nil"/>
              <w:left w:val="nil"/>
              <w:bottom w:val="nil"/>
              <w:right w:val="nil"/>
            </w:tcBorders>
            <w:shd w:val="clear" w:color="auto" w:fill="auto"/>
            <w:noWrap/>
            <w:vAlign w:val="bottom"/>
            <w:hideMark/>
          </w:tcPr>
          <w:p w14:paraId="299376FF" w14:textId="77777777" w:rsidR="00B751D3" w:rsidRDefault="00B751D3" w:rsidP="005A3B4D">
            <w:pPr>
              <w:jc w:val="right"/>
              <w:rPr>
                <w:color w:val="000000"/>
                <w:sz w:val="20"/>
                <w:szCs w:val="20"/>
              </w:rPr>
            </w:pPr>
            <w:r>
              <w:rPr>
                <w:color w:val="000000"/>
                <w:sz w:val="20"/>
                <w:szCs w:val="20"/>
              </w:rPr>
              <w:t>0.650</w:t>
            </w:r>
          </w:p>
        </w:tc>
        <w:tc>
          <w:tcPr>
            <w:tcW w:w="820" w:type="dxa"/>
            <w:tcBorders>
              <w:top w:val="nil"/>
              <w:left w:val="nil"/>
              <w:bottom w:val="nil"/>
              <w:right w:val="nil"/>
            </w:tcBorders>
            <w:shd w:val="clear" w:color="auto" w:fill="auto"/>
            <w:noWrap/>
            <w:vAlign w:val="bottom"/>
            <w:hideMark/>
          </w:tcPr>
          <w:p w14:paraId="1948DEE5" w14:textId="77777777" w:rsidR="00B751D3" w:rsidRDefault="00B751D3" w:rsidP="005A3B4D">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1B9BAAE5" w14:textId="77777777" w:rsidR="00B751D3" w:rsidRDefault="00B751D3" w:rsidP="005A3B4D">
            <w:pPr>
              <w:jc w:val="right"/>
              <w:rPr>
                <w:color w:val="000000"/>
                <w:sz w:val="20"/>
                <w:szCs w:val="20"/>
              </w:rPr>
            </w:pPr>
            <w:r>
              <w:rPr>
                <w:color w:val="000000"/>
                <w:sz w:val="20"/>
                <w:szCs w:val="20"/>
              </w:rPr>
              <w:t>0.029</w:t>
            </w:r>
          </w:p>
        </w:tc>
        <w:tc>
          <w:tcPr>
            <w:tcW w:w="820" w:type="dxa"/>
            <w:tcBorders>
              <w:top w:val="nil"/>
              <w:left w:val="nil"/>
              <w:bottom w:val="nil"/>
              <w:right w:val="nil"/>
            </w:tcBorders>
            <w:shd w:val="clear" w:color="auto" w:fill="auto"/>
            <w:noWrap/>
            <w:vAlign w:val="bottom"/>
            <w:hideMark/>
          </w:tcPr>
          <w:p w14:paraId="3DF7D368" w14:textId="77777777" w:rsidR="00B751D3" w:rsidRDefault="00B751D3" w:rsidP="005A3B4D">
            <w:pPr>
              <w:jc w:val="right"/>
              <w:rPr>
                <w:color w:val="000000"/>
                <w:sz w:val="20"/>
                <w:szCs w:val="20"/>
              </w:rPr>
            </w:pPr>
            <w:r>
              <w:rPr>
                <w:color w:val="000000"/>
                <w:sz w:val="20"/>
                <w:szCs w:val="20"/>
              </w:rPr>
              <w:t>0.821</w:t>
            </w:r>
          </w:p>
        </w:tc>
        <w:tc>
          <w:tcPr>
            <w:tcW w:w="820" w:type="dxa"/>
            <w:tcBorders>
              <w:top w:val="nil"/>
              <w:left w:val="nil"/>
              <w:bottom w:val="nil"/>
              <w:right w:val="nil"/>
            </w:tcBorders>
            <w:shd w:val="clear" w:color="auto" w:fill="auto"/>
            <w:noWrap/>
            <w:vAlign w:val="bottom"/>
            <w:hideMark/>
          </w:tcPr>
          <w:p w14:paraId="677609CE" w14:textId="77777777" w:rsidR="00B751D3" w:rsidRDefault="00B751D3" w:rsidP="005A3B4D">
            <w:pPr>
              <w:jc w:val="right"/>
              <w:rPr>
                <w:color w:val="000000"/>
                <w:sz w:val="20"/>
                <w:szCs w:val="20"/>
              </w:rPr>
            </w:pPr>
            <w:r>
              <w:rPr>
                <w:color w:val="000000"/>
                <w:sz w:val="20"/>
                <w:szCs w:val="20"/>
              </w:rPr>
              <w:t>0.001</w:t>
            </w:r>
          </w:p>
        </w:tc>
      </w:tr>
      <w:tr w:rsidR="00B751D3" w14:paraId="3E8C3127" w14:textId="77777777" w:rsidTr="005A3B4D">
        <w:trPr>
          <w:trHeight w:val="320"/>
        </w:trPr>
        <w:tc>
          <w:tcPr>
            <w:tcW w:w="1258" w:type="dxa"/>
            <w:tcBorders>
              <w:top w:val="nil"/>
              <w:left w:val="nil"/>
              <w:bottom w:val="nil"/>
              <w:right w:val="nil"/>
            </w:tcBorders>
            <w:shd w:val="clear" w:color="auto" w:fill="auto"/>
            <w:noWrap/>
            <w:vAlign w:val="bottom"/>
            <w:hideMark/>
          </w:tcPr>
          <w:p w14:paraId="12D7F76A"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023B5209" w14:textId="77777777" w:rsidR="00B751D3" w:rsidRDefault="00B751D3" w:rsidP="005A3B4D">
            <w:pPr>
              <w:rPr>
                <w:color w:val="000000"/>
                <w:sz w:val="20"/>
                <w:szCs w:val="20"/>
              </w:rPr>
            </w:pPr>
            <w:r>
              <w:rPr>
                <w:color w:val="000000"/>
                <w:sz w:val="20"/>
                <w:szCs w:val="20"/>
              </w:rPr>
              <w:t>Default Mode</w:t>
            </w:r>
          </w:p>
        </w:tc>
        <w:tc>
          <w:tcPr>
            <w:tcW w:w="820" w:type="dxa"/>
            <w:tcBorders>
              <w:top w:val="nil"/>
              <w:left w:val="nil"/>
              <w:bottom w:val="nil"/>
              <w:right w:val="nil"/>
            </w:tcBorders>
            <w:shd w:val="clear" w:color="auto" w:fill="auto"/>
            <w:noWrap/>
            <w:vAlign w:val="bottom"/>
            <w:hideMark/>
          </w:tcPr>
          <w:p w14:paraId="38C6E369" w14:textId="77777777" w:rsidR="00B751D3" w:rsidRDefault="00B751D3" w:rsidP="005A3B4D">
            <w:pPr>
              <w:jc w:val="right"/>
              <w:rPr>
                <w:color w:val="000000"/>
                <w:sz w:val="20"/>
                <w:szCs w:val="20"/>
              </w:rPr>
            </w:pPr>
            <w:r>
              <w:rPr>
                <w:color w:val="000000"/>
                <w:sz w:val="20"/>
                <w:szCs w:val="20"/>
              </w:rPr>
              <w:t>0.026</w:t>
            </w:r>
          </w:p>
        </w:tc>
        <w:tc>
          <w:tcPr>
            <w:tcW w:w="820" w:type="dxa"/>
            <w:tcBorders>
              <w:top w:val="nil"/>
              <w:left w:val="nil"/>
              <w:bottom w:val="nil"/>
              <w:right w:val="nil"/>
            </w:tcBorders>
            <w:shd w:val="clear" w:color="auto" w:fill="auto"/>
            <w:noWrap/>
            <w:vAlign w:val="bottom"/>
            <w:hideMark/>
          </w:tcPr>
          <w:p w14:paraId="410EF935" w14:textId="77777777" w:rsidR="00B751D3" w:rsidRDefault="00B751D3" w:rsidP="005A3B4D">
            <w:pPr>
              <w:jc w:val="right"/>
              <w:rPr>
                <w:color w:val="000000"/>
                <w:sz w:val="20"/>
                <w:szCs w:val="20"/>
              </w:rPr>
            </w:pPr>
            <w:r>
              <w:rPr>
                <w:color w:val="000000"/>
                <w:sz w:val="20"/>
                <w:szCs w:val="20"/>
              </w:rPr>
              <w:t>0.650</w:t>
            </w:r>
          </w:p>
        </w:tc>
        <w:tc>
          <w:tcPr>
            <w:tcW w:w="820" w:type="dxa"/>
            <w:tcBorders>
              <w:top w:val="nil"/>
              <w:left w:val="nil"/>
              <w:bottom w:val="nil"/>
              <w:right w:val="nil"/>
            </w:tcBorders>
            <w:shd w:val="clear" w:color="auto" w:fill="auto"/>
            <w:noWrap/>
            <w:vAlign w:val="bottom"/>
            <w:hideMark/>
          </w:tcPr>
          <w:p w14:paraId="767B2A5C"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6E150FE5" w14:textId="77777777" w:rsidR="00B751D3" w:rsidRDefault="00B751D3" w:rsidP="005A3B4D">
            <w:pPr>
              <w:jc w:val="right"/>
              <w:rPr>
                <w:color w:val="000000"/>
                <w:sz w:val="20"/>
                <w:szCs w:val="20"/>
              </w:rPr>
            </w:pPr>
            <w:r>
              <w:rPr>
                <w:color w:val="000000"/>
                <w:sz w:val="20"/>
                <w:szCs w:val="20"/>
              </w:rPr>
              <w:t>0.047</w:t>
            </w:r>
          </w:p>
        </w:tc>
        <w:tc>
          <w:tcPr>
            <w:tcW w:w="820" w:type="dxa"/>
            <w:tcBorders>
              <w:top w:val="nil"/>
              <w:left w:val="nil"/>
              <w:bottom w:val="nil"/>
              <w:right w:val="nil"/>
            </w:tcBorders>
            <w:shd w:val="clear" w:color="auto" w:fill="auto"/>
            <w:noWrap/>
            <w:vAlign w:val="bottom"/>
            <w:hideMark/>
          </w:tcPr>
          <w:p w14:paraId="390FA36D" w14:textId="77777777" w:rsidR="00B751D3" w:rsidRDefault="00B751D3" w:rsidP="005A3B4D">
            <w:pPr>
              <w:jc w:val="right"/>
              <w:rPr>
                <w:color w:val="000000"/>
                <w:sz w:val="20"/>
                <w:szCs w:val="20"/>
              </w:rPr>
            </w:pPr>
            <w:r>
              <w:rPr>
                <w:color w:val="000000"/>
                <w:sz w:val="20"/>
                <w:szCs w:val="20"/>
              </w:rPr>
              <w:t>0.168</w:t>
            </w:r>
          </w:p>
        </w:tc>
        <w:tc>
          <w:tcPr>
            <w:tcW w:w="820" w:type="dxa"/>
            <w:tcBorders>
              <w:top w:val="nil"/>
              <w:left w:val="nil"/>
              <w:bottom w:val="nil"/>
              <w:right w:val="nil"/>
            </w:tcBorders>
            <w:shd w:val="clear" w:color="auto" w:fill="auto"/>
            <w:noWrap/>
            <w:vAlign w:val="bottom"/>
            <w:hideMark/>
          </w:tcPr>
          <w:p w14:paraId="27FD6158" w14:textId="77777777" w:rsidR="00B751D3" w:rsidRDefault="00B751D3" w:rsidP="005A3B4D">
            <w:pPr>
              <w:jc w:val="right"/>
              <w:rPr>
                <w:color w:val="000000"/>
                <w:sz w:val="20"/>
                <w:szCs w:val="20"/>
              </w:rPr>
            </w:pPr>
            <w:r>
              <w:rPr>
                <w:color w:val="000000"/>
                <w:sz w:val="20"/>
                <w:szCs w:val="20"/>
              </w:rPr>
              <w:t>0.002</w:t>
            </w:r>
          </w:p>
        </w:tc>
      </w:tr>
      <w:tr w:rsidR="00B751D3" w14:paraId="51ECA918" w14:textId="77777777" w:rsidTr="005A3B4D">
        <w:trPr>
          <w:trHeight w:val="320"/>
        </w:trPr>
        <w:tc>
          <w:tcPr>
            <w:tcW w:w="1258" w:type="dxa"/>
            <w:tcBorders>
              <w:top w:val="nil"/>
              <w:left w:val="nil"/>
              <w:bottom w:val="nil"/>
              <w:right w:val="nil"/>
            </w:tcBorders>
            <w:shd w:val="clear" w:color="auto" w:fill="auto"/>
            <w:noWrap/>
            <w:vAlign w:val="bottom"/>
            <w:hideMark/>
          </w:tcPr>
          <w:p w14:paraId="23468A40"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64326DFF" w14:textId="77777777" w:rsidR="00B751D3" w:rsidRDefault="00B751D3" w:rsidP="005A3B4D">
            <w:pPr>
              <w:rPr>
                <w:color w:val="000000"/>
                <w:sz w:val="20"/>
                <w:szCs w:val="20"/>
              </w:rPr>
            </w:pPr>
            <w:r>
              <w:rPr>
                <w:color w:val="000000"/>
                <w:sz w:val="20"/>
                <w:szCs w:val="20"/>
              </w:rPr>
              <w:t>Visual 2</w:t>
            </w:r>
          </w:p>
        </w:tc>
        <w:tc>
          <w:tcPr>
            <w:tcW w:w="820" w:type="dxa"/>
            <w:tcBorders>
              <w:top w:val="nil"/>
              <w:left w:val="nil"/>
              <w:bottom w:val="nil"/>
              <w:right w:val="nil"/>
            </w:tcBorders>
            <w:shd w:val="clear" w:color="auto" w:fill="auto"/>
            <w:noWrap/>
            <w:vAlign w:val="bottom"/>
            <w:hideMark/>
          </w:tcPr>
          <w:p w14:paraId="7DB2CB0A"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4F24450E" w14:textId="77777777" w:rsidR="00B751D3" w:rsidRDefault="00B751D3" w:rsidP="005A3B4D">
            <w:pPr>
              <w:jc w:val="right"/>
              <w:rPr>
                <w:color w:val="000000"/>
                <w:sz w:val="20"/>
                <w:szCs w:val="20"/>
              </w:rPr>
            </w:pPr>
            <w:r>
              <w:rPr>
                <w:color w:val="000000"/>
                <w:sz w:val="20"/>
                <w:szCs w:val="20"/>
              </w:rPr>
              <w:t>0.960</w:t>
            </w:r>
          </w:p>
        </w:tc>
        <w:tc>
          <w:tcPr>
            <w:tcW w:w="820" w:type="dxa"/>
            <w:tcBorders>
              <w:top w:val="nil"/>
              <w:left w:val="nil"/>
              <w:bottom w:val="nil"/>
              <w:right w:val="nil"/>
            </w:tcBorders>
            <w:shd w:val="clear" w:color="auto" w:fill="auto"/>
            <w:noWrap/>
            <w:vAlign w:val="bottom"/>
            <w:hideMark/>
          </w:tcPr>
          <w:p w14:paraId="3D79FED5"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0C31F591" w14:textId="77777777" w:rsidR="00B751D3" w:rsidRDefault="00B751D3" w:rsidP="005A3B4D">
            <w:pPr>
              <w:jc w:val="right"/>
              <w:rPr>
                <w:color w:val="000000"/>
                <w:sz w:val="20"/>
                <w:szCs w:val="20"/>
              </w:rPr>
            </w:pPr>
            <w:r>
              <w:rPr>
                <w:color w:val="000000"/>
                <w:sz w:val="20"/>
                <w:szCs w:val="20"/>
              </w:rPr>
              <w:t>0.005</w:t>
            </w:r>
          </w:p>
        </w:tc>
        <w:tc>
          <w:tcPr>
            <w:tcW w:w="820" w:type="dxa"/>
            <w:tcBorders>
              <w:top w:val="nil"/>
              <w:left w:val="nil"/>
              <w:bottom w:val="nil"/>
              <w:right w:val="nil"/>
            </w:tcBorders>
            <w:shd w:val="clear" w:color="auto" w:fill="auto"/>
            <w:noWrap/>
            <w:vAlign w:val="bottom"/>
            <w:hideMark/>
          </w:tcPr>
          <w:p w14:paraId="73A67A63" w14:textId="77777777" w:rsidR="00B751D3" w:rsidRDefault="00B751D3" w:rsidP="005A3B4D">
            <w:pPr>
              <w:jc w:val="right"/>
              <w:rPr>
                <w:color w:val="000000"/>
                <w:sz w:val="20"/>
                <w:szCs w:val="20"/>
              </w:rPr>
            </w:pPr>
            <w:r>
              <w:rPr>
                <w:color w:val="000000"/>
                <w:sz w:val="20"/>
                <w:szCs w:val="20"/>
              </w:rPr>
              <w:t>0.954</w:t>
            </w:r>
          </w:p>
        </w:tc>
        <w:tc>
          <w:tcPr>
            <w:tcW w:w="820" w:type="dxa"/>
            <w:tcBorders>
              <w:top w:val="nil"/>
              <w:left w:val="nil"/>
              <w:bottom w:val="nil"/>
              <w:right w:val="nil"/>
            </w:tcBorders>
            <w:shd w:val="clear" w:color="auto" w:fill="auto"/>
            <w:noWrap/>
            <w:vAlign w:val="bottom"/>
            <w:hideMark/>
          </w:tcPr>
          <w:p w14:paraId="54B22971" w14:textId="77777777" w:rsidR="00B751D3" w:rsidRDefault="00B751D3" w:rsidP="005A3B4D">
            <w:pPr>
              <w:jc w:val="right"/>
              <w:rPr>
                <w:color w:val="000000"/>
                <w:sz w:val="20"/>
                <w:szCs w:val="20"/>
              </w:rPr>
            </w:pPr>
            <w:r>
              <w:rPr>
                <w:color w:val="000000"/>
                <w:sz w:val="20"/>
                <w:szCs w:val="20"/>
              </w:rPr>
              <w:t>0.000</w:t>
            </w:r>
          </w:p>
        </w:tc>
      </w:tr>
      <w:tr w:rsidR="00B751D3" w14:paraId="3E691284" w14:textId="77777777" w:rsidTr="005A3B4D">
        <w:trPr>
          <w:trHeight w:val="320"/>
        </w:trPr>
        <w:tc>
          <w:tcPr>
            <w:tcW w:w="1258" w:type="dxa"/>
            <w:tcBorders>
              <w:top w:val="nil"/>
              <w:left w:val="nil"/>
              <w:bottom w:val="nil"/>
              <w:right w:val="nil"/>
            </w:tcBorders>
            <w:shd w:val="clear" w:color="auto" w:fill="auto"/>
            <w:noWrap/>
            <w:vAlign w:val="bottom"/>
            <w:hideMark/>
          </w:tcPr>
          <w:p w14:paraId="7F1FDDC6"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048BEFE4" w14:textId="77777777" w:rsidR="00B751D3" w:rsidRDefault="00B751D3" w:rsidP="005A3B4D">
            <w:pPr>
              <w:rPr>
                <w:color w:val="000000"/>
                <w:sz w:val="20"/>
                <w:szCs w:val="20"/>
              </w:rPr>
            </w:pPr>
            <w:r>
              <w:rPr>
                <w:color w:val="000000"/>
                <w:sz w:val="20"/>
                <w:szCs w:val="20"/>
              </w:rPr>
              <w:t>Visual 1</w:t>
            </w:r>
          </w:p>
        </w:tc>
        <w:tc>
          <w:tcPr>
            <w:tcW w:w="820" w:type="dxa"/>
            <w:tcBorders>
              <w:top w:val="nil"/>
              <w:left w:val="nil"/>
              <w:bottom w:val="nil"/>
              <w:right w:val="nil"/>
            </w:tcBorders>
            <w:shd w:val="clear" w:color="auto" w:fill="auto"/>
            <w:noWrap/>
            <w:vAlign w:val="bottom"/>
            <w:hideMark/>
          </w:tcPr>
          <w:p w14:paraId="077EB428" w14:textId="77777777" w:rsidR="00B751D3" w:rsidRDefault="00B751D3" w:rsidP="005A3B4D">
            <w:pPr>
              <w:jc w:val="right"/>
              <w:rPr>
                <w:color w:val="000000"/>
                <w:sz w:val="20"/>
                <w:szCs w:val="20"/>
              </w:rPr>
            </w:pPr>
            <w:r>
              <w:rPr>
                <w:color w:val="000000"/>
                <w:sz w:val="20"/>
                <w:szCs w:val="20"/>
              </w:rPr>
              <w:t>0.032</w:t>
            </w:r>
          </w:p>
        </w:tc>
        <w:tc>
          <w:tcPr>
            <w:tcW w:w="820" w:type="dxa"/>
            <w:tcBorders>
              <w:top w:val="nil"/>
              <w:left w:val="nil"/>
              <w:bottom w:val="nil"/>
              <w:right w:val="nil"/>
            </w:tcBorders>
            <w:shd w:val="clear" w:color="auto" w:fill="auto"/>
            <w:noWrap/>
            <w:vAlign w:val="bottom"/>
            <w:hideMark/>
          </w:tcPr>
          <w:p w14:paraId="22D20A18" w14:textId="77777777" w:rsidR="00B751D3" w:rsidRDefault="00B751D3" w:rsidP="005A3B4D">
            <w:pPr>
              <w:jc w:val="right"/>
              <w:rPr>
                <w:color w:val="000000"/>
                <w:sz w:val="20"/>
                <w:szCs w:val="20"/>
              </w:rPr>
            </w:pPr>
            <w:r>
              <w:rPr>
                <w:color w:val="000000"/>
                <w:sz w:val="20"/>
                <w:szCs w:val="20"/>
              </w:rPr>
              <w:t>0.650</w:t>
            </w:r>
          </w:p>
        </w:tc>
        <w:tc>
          <w:tcPr>
            <w:tcW w:w="820" w:type="dxa"/>
            <w:tcBorders>
              <w:top w:val="nil"/>
              <w:left w:val="nil"/>
              <w:bottom w:val="nil"/>
              <w:right w:val="nil"/>
            </w:tcBorders>
            <w:shd w:val="clear" w:color="auto" w:fill="auto"/>
            <w:noWrap/>
            <w:vAlign w:val="bottom"/>
            <w:hideMark/>
          </w:tcPr>
          <w:p w14:paraId="6EDA10F5"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3EC989D4" w14:textId="77777777" w:rsidR="00B751D3" w:rsidRDefault="00B751D3" w:rsidP="005A3B4D">
            <w:pPr>
              <w:jc w:val="right"/>
              <w:rPr>
                <w:color w:val="000000"/>
                <w:sz w:val="20"/>
                <w:szCs w:val="20"/>
              </w:rPr>
            </w:pPr>
            <w:r>
              <w:rPr>
                <w:color w:val="000000"/>
                <w:sz w:val="20"/>
                <w:szCs w:val="20"/>
              </w:rPr>
              <w:t>0.010</w:t>
            </w:r>
          </w:p>
        </w:tc>
        <w:tc>
          <w:tcPr>
            <w:tcW w:w="820" w:type="dxa"/>
            <w:tcBorders>
              <w:top w:val="nil"/>
              <w:left w:val="nil"/>
              <w:bottom w:val="nil"/>
              <w:right w:val="nil"/>
            </w:tcBorders>
            <w:shd w:val="clear" w:color="auto" w:fill="auto"/>
            <w:noWrap/>
            <w:vAlign w:val="bottom"/>
            <w:hideMark/>
          </w:tcPr>
          <w:p w14:paraId="54B9698C" w14:textId="77777777" w:rsidR="00B751D3" w:rsidRDefault="00B751D3" w:rsidP="005A3B4D">
            <w:pPr>
              <w:jc w:val="right"/>
              <w:rPr>
                <w:color w:val="000000"/>
                <w:sz w:val="20"/>
                <w:szCs w:val="20"/>
              </w:rPr>
            </w:pPr>
            <w:r>
              <w:rPr>
                <w:color w:val="000000"/>
                <w:sz w:val="20"/>
                <w:szCs w:val="20"/>
              </w:rPr>
              <w:t>0.954</w:t>
            </w:r>
          </w:p>
        </w:tc>
        <w:tc>
          <w:tcPr>
            <w:tcW w:w="820" w:type="dxa"/>
            <w:tcBorders>
              <w:top w:val="nil"/>
              <w:left w:val="nil"/>
              <w:bottom w:val="nil"/>
              <w:right w:val="nil"/>
            </w:tcBorders>
            <w:shd w:val="clear" w:color="auto" w:fill="auto"/>
            <w:noWrap/>
            <w:vAlign w:val="bottom"/>
            <w:hideMark/>
          </w:tcPr>
          <w:p w14:paraId="68131066" w14:textId="77777777" w:rsidR="00B751D3" w:rsidRDefault="00B751D3" w:rsidP="005A3B4D">
            <w:pPr>
              <w:jc w:val="right"/>
              <w:rPr>
                <w:color w:val="000000"/>
                <w:sz w:val="20"/>
                <w:szCs w:val="20"/>
              </w:rPr>
            </w:pPr>
            <w:r>
              <w:rPr>
                <w:color w:val="000000"/>
                <w:sz w:val="20"/>
                <w:szCs w:val="20"/>
              </w:rPr>
              <w:t>0.000</w:t>
            </w:r>
          </w:p>
        </w:tc>
      </w:tr>
      <w:tr w:rsidR="00B751D3" w14:paraId="6AEFF38C" w14:textId="77777777" w:rsidTr="005A3B4D">
        <w:trPr>
          <w:trHeight w:val="320"/>
        </w:trPr>
        <w:tc>
          <w:tcPr>
            <w:tcW w:w="1258" w:type="dxa"/>
            <w:tcBorders>
              <w:top w:val="nil"/>
              <w:left w:val="nil"/>
              <w:bottom w:val="single" w:sz="4" w:space="0" w:color="auto"/>
              <w:right w:val="nil"/>
            </w:tcBorders>
            <w:shd w:val="clear" w:color="auto" w:fill="auto"/>
            <w:noWrap/>
            <w:vAlign w:val="bottom"/>
            <w:hideMark/>
          </w:tcPr>
          <w:p w14:paraId="5FF81649" w14:textId="77777777" w:rsidR="00B751D3" w:rsidRDefault="00B751D3" w:rsidP="005A3B4D">
            <w:pPr>
              <w:rPr>
                <w:color w:val="000000"/>
                <w:sz w:val="20"/>
                <w:szCs w:val="20"/>
              </w:rPr>
            </w:pPr>
            <w:r>
              <w:rPr>
                <w:color w:val="000000"/>
                <w:sz w:val="20"/>
                <w:szCs w:val="20"/>
              </w:rPr>
              <w:t> </w:t>
            </w:r>
          </w:p>
        </w:tc>
        <w:tc>
          <w:tcPr>
            <w:tcW w:w="1824" w:type="dxa"/>
            <w:tcBorders>
              <w:top w:val="nil"/>
              <w:left w:val="nil"/>
              <w:bottom w:val="single" w:sz="4" w:space="0" w:color="auto"/>
              <w:right w:val="nil"/>
            </w:tcBorders>
            <w:shd w:val="clear" w:color="auto" w:fill="auto"/>
            <w:noWrap/>
            <w:vAlign w:val="center"/>
            <w:hideMark/>
          </w:tcPr>
          <w:p w14:paraId="4B7BE189" w14:textId="77777777" w:rsidR="00B751D3" w:rsidRDefault="00B751D3" w:rsidP="005A3B4D">
            <w:pPr>
              <w:rPr>
                <w:color w:val="000000"/>
                <w:sz w:val="20"/>
                <w:szCs w:val="20"/>
              </w:rPr>
            </w:pPr>
            <w:r>
              <w:rPr>
                <w:color w:val="000000"/>
                <w:sz w:val="20"/>
                <w:szCs w:val="20"/>
              </w:rPr>
              <w:t>Visual Association</w:t>
            </w:r>
          </w:p>
        </w:tc>
        <w:tc>
          <w:tcPr>
            <w:tcW w:w="820" w:type="dxa"/>
            <w:tcBorders>
              <w:top w:val="nil"/>
              <w:left w:val="nil"/>
              <w:bottom w:val="single" w:sz="4" w:space="0" w:color="auto"/>
              <w:right w:val="nil"/>
            </w:tcBorders>
            <w:shd w:val="clear" w:color="auto" w:fill="auto"/>
            <w:noWrap/>
            <w:vAlign w:val="bottom"/>
            <w:hideMark/>
          </w:tcPr>
          <w:p w14:paraId="6A8817A3" w14:textId="77777777" w:rsidR="00B751D3" w:rsidRDefault="00B751D3" w:rsidP="005A3B4D">
            <w:pPr>
              <w:jc w:val="right"/>
              <w:rPr>
                <w:color w:val="000000"/>
                <w:sz w:val="20"/>
                <w:szCs w:val="20"/>
              </w:rPr>
            </w:pPr>
            <w:r>
              <w:rPr>
                <w:color w:val="000000"/>
                <w:sz w:val="20"/>
                <w:szCs w:val="20"/>
              </w:rPr>
              <w:t>0.005</w:t>
            </w:r>
          </w:p>
        </w:tc>
        <w:tc>
          <w:tcPr>
            <w:tcW w:w="820" w:type="dxa"/>
            <w:tcBorders>
              <w:top w:val="nil"/>
              <w:left w:val="nil"/>
              <w:bottom w:val="single" w:sz="4" w:space="0" w:color="auto"/>
              <w:right w:val="nil"/>
            </w:tcBorders>
            <w:shd w:val="clear" w:color="auto" w:fill="auto"/>
            <w:noWrap/>
            <w:vAlign w:val="bottom"/>
            <w:hideMark/>
          </w:tcPr>
          <w:p w14:paraId="01FFC460" w14:textId="77777777" w:rsidR="00B751D3" w:rsidRDefault="00B751D3" w:rsidP="005A3B4D">
            <w:pPr>
              <w:jc w:val="right"/>
              <w:rPr>
                <w:color w:val="000000"/>
                <w:sz w:val="20"/>
                <w:szCs w:val="20"/>
              </w:rPr>
            </w:pPr>
            <w:r>
              <w:rPr>
                <w:color w:val="000000"/>
                <w:sz w:val="20"/>
                <w:szCs w:val="20"/>
              </w:rPr>
              <w:t>0.960</w:t>
            </w:r>
          </w:p>
        </w:tc>
        <w:tc>
          <w:tcPr>
            <w:tcW w:w="820" w:type="dxa"/>
            <w:tcBorders>
              <w:top w:val="nil"/>
              <w:left w:val="nil"/>
              <w:bottom w:val="single" w:sz="4" w:space="0" w:color="auto"/>
              <w:right w:val="nil"/>
            </w:tcBorders>
            <w:shd w:val="clear" w:color="auto" w:fill="auto"/>
            <w:noWrap/>
            <w:vAlign w:val="bottom"/>
            <w:hideMark/>
          </w:tcPr>
          <w:p w14:paraId="4C1D4987"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single" w:sz="4" w:space="0" w:color="auto"/>
              <w:right w:val="nil"/>
            </w:tcBorders>
            <w:shd w:val="clear" w:color="auto" w:fill="auto"/>
            <w:noWrap/>
            <w:vAlign w:val="bottom"/>
            <w:hideMark/>
          </w:tcPr>
          <w:p w14:paraId="1A9A91CB" w14:textId="77777777" w:rsidR="00B751D3" w:rsidRDefault="00B751D3" w:rsidP="005A3B4D">
            <w:pPr>
              <w:jc w:val="right"/>
              <w:rPr>
                <w:color w:val="000000"/>
                <w:sz w:val="20"/>
                <w:szCs w:val="20"/>
              </w:rPr>
            </w:pPr>
            <w:r>
              <w:rPr>
                <w:color w:val="000000"/>
                <w:sz w:val="20"/>
                <w:szCs w:val="20"/>
              </w:rPr>
              <w:t>-0.010</w:t>
            </w:r>
          </w:p>
        </w:tc>
        <w:tc>
          <w:tcPr>
            <w:tcW w:w="820" w:type="dxa"/>
            <w:tcBorders>
              <w:top w:val="nil"/>
              <w:left w:val="nil"/>
              <w:bottom w:val="single" w:sz="4" w:space="0" w:color="auto"/>
              <w:right w:val="nil"/>
            </w:tcBorders>
            <w:shd w:val="clear" w:color="auto" w:fill="auto"/>
            <w:noWrap/>
            <w:vAlign w:val="bottom"/>
            <w:hideMark/>
          </w:tcPr>
          <w:p w14:paraId="36D7E9BF" w14:textId="77777777" w:rsidR="00B751D3" w:rsidRDefault="00B751D3" w:rsidP="005A3B4D">
            <w:pPr>
              <w:jc w:val="right"/>
              <w:rPr>
                <w:color w:val="000000"/>
                <w:sz w:val="20"/>
                <w:szCs w:val="20"/>
              </w:rPr>
            </w:pPr>
            <w:r>
              <w:rPr>
                <w:color w:val="000000"/>
                <w:sz w:val="20"/>
                <w:szCs w:val="20"/>
              </w:rPr>
              <w:t>0.954</w:t>
            </w:r>
          </w:p>
        </w:tc>
        <w:tc>
          <w:tcPr>
            <w:tcW w:w="820" w:type="dxa"/>
            <w:tcBorders>
              <w:top w:val="nil"/>
              <w:left w:val="nil"/>
              <w:bottom w:val="single" w:sz="4" w:space="0" w:color="auto"/>
              <w:right w:val="nil"/>
            </w:tcBorders>
            <w:shd w:val="clear" w:color="auto" w:fill="auto"/>
            <w:noWrap/>
            <w:vAlign w:val="bottom"/>
            <w:hideMark/>
          </w:tcPr>
          <w:p w14:paraId="142F056D" w14:textId="77777777" w:rsidR="00B751D3" w:rsidRDefault="00B751D3" w:rsidP="005A3B4D">
            <w:pPr>
              <w:jc w:val="right"/>
              <w:rPr>
                <w:color w:val="000000"/>
                <w:sz w:val="20"/>
                <w:szCs w:val="20"/>
              </w:rPr>
            </w:pPr>
            <w:r>
              <w:rPr>
                <w:color w:val="000000"/>
                <w:sz w:val="20"/>
                <w:szCs w:val="20"/>
              </w:rPr>
              <w:t>0.000</w:t>
            </w:r>
          </w:p>
        </w:tc>
      </w:tr>
      <w:tr w:rsidR="00B751D3" w14:paraId="2CD8C342" w14:textId="77777777" w:rsidTr="005A3B4D">
        <w:trPr>
          <w:trHeight w:val="320"/>
        </w:trPr>
        <w:tc>
          <w:tcPr>
            <w:tcW w:w="1258" w:type="dxa"/>
            <w:tcBorders>
              <w:top w:val="nil"/>
              <w:left w:val="nil"/>
              <w:bottom w:val="nil"/>
              <w:right w:val="nil"/>
            </w:tcBorders>
            <w:shd w:val="clear" w:color="auto" w:fill="auto"/>
            <w:noWrap/>
            <w:vAlign w:val="bottom"/>
            <w:hideMark/>
          </w:tcPr>
          <w:p w14:paraId="125F309B" w14:textId="77777777" w:rsidR="00B751D3" w:rsidRDefault="00B751D3" w:rsidP="005A3B4D">
            <w:pPr>
              <w:rPr>
                <w:color w:val="000000"/>
                <w:sz w:val="20"/>
                <w:szCs w:val="20"/>
              </w:rPr>
            </w:pPr>
            <w:r>
              <w:rPr>
                <w:color w:val="000000"/>
                <w:sz w:val="20"/>
                <w:szCs w:val="20"/>
              </w:rPr>
              <w:t>Threshold 23%</w:t>
            </w:r>
          </w:p>
        </w:tc>
        <w:tc>
          <w:tcPr>
            <w:tcW w:w="1824" w:type="dxa"/>
            <w:tcBorders>
              <w:top w:val="nil"/>
              <w:left w:val="nil"/>
              <w:bottom w:val="nil"/>
              <w:right w:val="nil"/>
            </w:tcBorders>
            <w:shd w:val="clear" w:color="auto" w:fill="auto"/>
            <w:noWrap/>
            <w:vAlign w:val="center"/>
            <w:hideMark/>
          </w:tcPr>
          <w:p w14:paraId="68D86FC4" w14:textId="77777777" w:rsidR="00B751D3" w:rsidRDefault="00B751D3" w:rsidP="005A3B4D">
            <w:pPr>
              <w:rPr>
                <w:color w:val="000000"/>
                <w:sz w:val="20"/>
                <w:szCs w:val="20"/>
              </w:rPr>
            </w:pPr>
            <w:r>
              <w:rPr>
                <w:color w:val="000000"/>
                <w:sz w:val="20"/>
                <w:szCs w:val="20"/>
              </w:rPr>
              <w:t>Subcortical Cerebellar</w:t>
            </w:r>
          </w:p>
        </w:tc>
        <w:tc>
          <w:tcPr>
            <w:tcW w:w="820" w:type="dxa"/>
            <w:tcBorders>
              <w:top w:val="nil"/>
              <w:left w:val="nil"/>
              <w:bottom w:val="nil"/>
              <w:right w:val="nil"/>
            </w:tcBorders>
            <w:shd w:val="clear" w:color="auto" w:fill="auto"/>
            <w:noWrap/>
            <w:vAlign w:val="bottom"/>
            <w:hideMark/>
          </w:tcPr>
          <w:p w14:paraId="52449AA7" w14:textId="77777777" w:rsidR="00B751D3" w:rsidRDefault="00B751D3" w:rsidP="005A3B4D">
            <w:pPr>
              <w:jc w:val="right"/>
              <w:rPr>
                <w:color w:val="000000"/>
                <w:sz w:val="20"/>
                <w:szCs w:val="20"/>
              </w:rPr>
            </w:pPr>
            <w:r>
              <w:rPr>
                <w:color w:val="000000"/>
                <w:sz w:val="20"/>
                <w:szCs w:val="20"/>
              </w:rPr>
              <w:t>0.012</w:t>
            </w:r>
          </w:p>
        </w:tc>
        <w:tc>
          <w:tcPr>
            <w:tcW w:w="820" w:type="dxa"/>
            <w:tcBorders>
              <w:top w:val="nil"/>
              <w:left w:val="nil"/>
              <w:bottom w:val="nil"/>
              <w:right w:val="nil"/>
            </w:tcBorders>
            <w:shd w:val="clear" w:color="auto" w:fill="auto"/>
            <w:noWrap/>
            <w:vAlign w:val="bottom"/>
            <w:hideMark/>
          </w:tcPr>
          <w:p w14:paraId="2CEDDA73" w14:textId="77777777" w:rsidR="00B751D3" w:rsidRDefault="00B751D3" w:rsidP="005A3B4D">
            <w:pPr>
              <w:jc w:val="right"/>
              <w:rPr>
                <w:color w:val="000000"/>
                <w:sz w:val="20"/>
                <w:szCs w:val="20"/>
              </w:rPr>
            </w:pPr>
            <w:r>
              <w:rPr>
                <w:color w:val="000000"/>
                <w:sz w:val="20"/>
                <w:szCs w:val="20"/>
              </w:rPr>
              <w:t>0.616</w:t>
            </w:r>
          </w:p>
        </w:tc>
        <w:tc>
          <w:tcPr>
            <w:tcW w:w="820" w:type="dxa"/>
            <w:tcBorders>
              <w:top w:val="nil"/>
              <w:left w:val="nil"/>
              <w:bottom w:val="nil"/>
              <w:right w:val="nil"/>
            </w:tcBorders>
            <w:shd w:val="clear" w:color="auto" w:fill="auto"/>
            <w:noWrap/>
            <w:vAlign w:val="bottom"/>
            <w:hideMark/>
          </w:tcPr>
          <w:p w14:paraId="3BE24931"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731EA75A" w14:textId="77777777" w:rsidR="00B751D3" w:rsidRDefault="00B751D3" w:rsidP="005A3B4D">
            <w:pPr>
              <w:jc w:val="right"/>
              <w:rPr>
                <w:color w:val="000000"/>
                <w:sz w:val="20"/>
                <w:szCs w:val="20"/>
              </w:rPr>
            </w:pPr>
            <w:r>
              <w:rPr>
                <w:color w:val="000000"/>
                <w:sz w:val="20"/>
                <w:szCs w:val="20"/>
              </w:rPr>
              <w:t>0.003</w:t>
            </w:r>
          </w:p>
        </w:tc>
        <w:tc>
          <w:tcPr>
            <w:tcW w:w="820" w:type="dxa"/>
            <w:tcBorders>
              <w:top w:val="nil"/>
              <w:left w:val="nil"/>
              <w:bottom w:val="nil"/>
              <w:right w:val="nil"/>
            </w:tcBorders>
            <w:shd w:val="clear" w:color="auto" w:fill="auto"/>
            <w:noWrap/>
            <w:vAlign w:val="bottom"/>
            <w:hideMark/>
          </w:tcPr>
          <w:p w14:paraId="7A071DA1" w14:textId="77777777" w:rsidR="00B751D3" w:rsidRDefault="00B751D3" w:rsidP="005A3B4D">
            <w:pPr>
              <w:jc w:val="right"/>
              <w:rPr>
                <w:color w:val="000000"/>
                <w:sz w:val="20"/>
                <w:szCs w:val="20"/>
              </w:rPr>
            </w:pPr>
            <w:r>
              <w:rPr>
                <w:color w:val="000000"/>
                <w:sz w:val="20"/>
                <w:szCs w:val="20"/>
              </w:rPr>
              <w:t>0.876</w:t>
            </w:r>
          </w:p>
        </w:tc>
        <w:tc>
          <w:tcPr>
            <w:tcW w:w="820" w:type="dxa"/>
            <w:tcBorders>
              <w:top w:val="nil"/>
              <w:left w:val="nil"/>
              <w:bottom w:val="nil"/>
              <w:right w:val="nil"/>
            </w:tcBorders>
            <w:shd w:val="clear" w:color="auto" w:fill="auto"/>
            <w:noWrap/>
            <w:vAlign w:val="bottom"/>
            <w:hideMark/>
          </w:tcPr>
          <w:p w14:paraId="7E08A617" w14:textId="77777777" w:rsidR="00B751D3" w:rsidRDefault="00B751D3" w:rsidP="005A3B4D">
            <w:pPr>
              <w:jc w:val="right"/>
              <w:rPr>
                <w:color w:val="000000"/>
                <w:sz w:val="20"/>
                <w:szCs w:val="20"/>
              </w:rPr>
            </w:pPr>
            <w:r>
              <w:rPr>
                <w:color w:val="000000"/>
                <w:sz w:val="20"/>
                <w:szCs w:val="20"/>
              </w:rPr>
              <w:t>0.000</w:t>
            </w:r>
          </w:p>
        </w:tc>
      </w:tr>
      <w:tr w:rsidR="00B751D3" w14:paraId="4E80BD32" w14:textId="77777777" w:rsidTr="005A3B4D">
        <w:trPr>
          <w:trHeight w:val="320"/>
        </w:trPr>
        <w:tc>
          <w:tcPr>
            <w:tcW w:w="1258" w:type="dxa"/>
            <w:tcBorders>
              <w:top w:val="nil"/>
              <w:left w:val="nil"/>
              <w:bottom w:val="nil"/>
              <w:right w:val="nil"/>
            </w:tcBorders>
            <w:shd w:val="clear" w:color="auto" w:fill="auto"/>
            <w:noWrap/>
            <w:vAlign w:val="bottom"/>
            <w:hideMark/>
          </w:tcPr>
          <w:p w14:paraId="12C77B0B"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09C81417" w14:textId="77777777" w:rsidR="00B751D3" w:rsidRDefault="00B751D3" w:rsidP="005A3B4D">
            <w:pPr>
              <w:rPr>
                <w:color w:val="000000"/>
                <w:sz w:val="20"/>
                <w:szCs w:val="20"/>
              </w:rPr>
            </w:pPr>
            <w:r>
              <w:rPr>
                <w:color w:val="000000"/>
                <w:sz w:val="20"/>
                <w:szCs w:val="20"/>
              </w:rPr>
              <w:t xml:space="preserve">Motor </w:t>
            </w:r>
          </w:p>
        </w:tc>
        <w:tc>
          <w:tcPr>
            <w:tcW w:w="820" w:type="dxa"/>
            <w:tcBorders>
              <w:top w:val="nil"/>
              <w:left w:val="nil"/>
              <w:bottom w:val="nil"/>
              <w:right w:val="nil"/>
            </w:tcBorders>
            <w:shd w:val="clear" w:color="auto" w:fill="auto"/>
            <w:noWrap/>
            <w:vAlign w:val="bottom"/>
            <w:hideMark/>
          </w:tcPr>
          <w:p w14:paraId="5BB76795" w14:textId="77777777" w:rsidR="00B751D3" w:rsidRDefault="00B751D3" w:rsidP="005A3B4D">
            <w:pPr>
              <w:jc w:val="right"/>
              <w:rPr>
                <w:color w:val="000000"/>
                <w:sz w:val="20"/>
                <w:szCs w:val="20"/>
              </w:rPr>
            </w:pPr>
            <w:r>
              <w:rPr>
                <w:color w:val="000000"/>
                <w:sz w:val="20"/>
                <w:szCs w:val="20"/>
              </w:rPr>
              <w:t>-0.015</w:t>
            </w:r>
          </w:p>
        </w:tc>
        <w:tc>
          <w:tcPr>
            <w:tcW w:w="820" w:type="dxa"/>
            <w:tcBorders>
              <w:top w:val="nil"/>
              <w:left w:val="nil"/>
              <w:bottom w:val="nil"/>
              <w:right w:val="nil"/>
            </w:tcBorders>
            <w:shd w:val="clear" w:color="auto" w:fill="auto"/>
            <w:noWrap/>
            <w:vAlign w:val="bottom"/>
            <w:hideMark/>
          </w:tcPr>
          <w:p w14:paraId="260DA5EF" w14:textId="77777777" w:rsidR="00B751D3" w:rsidRDefault="00B751D3" w:rsidP="005A3B4D">
            <w:pPr>
              <w:jc w:val="right"/>
              <w:rPr>
                <w:color w:val="000000"/>
                <w:sz w:val="20"/>
                <w:szCs w:val="20"/>
              </w:rPr>
            </w:pPr>
            <w:r>
              <w:rPr>
                <w:color w:val="000000"/>
                <w:sz w:val="20"/>
                <w:szCs w:val="20"/>
              </w:rPr>
              <w:t>0.616</w:t>
            </w:r>
          </w:p>
        </w:tc>
        <w:tc>
          <w:tcPr>
            <w:tcW w:w="820" w:type="dxa"/>
            <w:tcBorders>
              <w:top w:val="nil"/>
              <w:left w:val="nil"/>
              <w:bottom w:val="nil"/>
              <w:right w:val="nil"/>
            </w:tcBorders>
            <w:shd w:val="clear" w:color="auto" w:fill="auto"/>
            <w:noWrap/>
            <w:vAlign w:val="bottom"/>
            <w:hideMark/>
          </w:tcPr>
          <w:p w14:paraId="74A37D64"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3F0E4EAD" w14:textId="77777777" w:rsidR="00B751D3" w:rsidRDefault="00B751D3" w:rsidP="005A3B4D">
            <w:pPr>
              <w:jc w:val="right"/>
              <w:rPr>
                <w:color w:val="000000"/>
                <w:sz w:val="20"/>
                <w:szCs w:val="20"/>
              </w:rPr>
            </w:pPr>
            <w:r>
              <w:rPr>
                <w:color w:val="000000"/>
                <w:sz w:val="20"/>
                <w:szCs w:val="20"/>
              </w:rPr>
              <w:t>-0.037</w:t>
            </w:r>
          </w:p>
        </w:tc>
        <w:tc>
          <w:tcPr>
            <w:tcW w:w="820" w:type="dxa"/>
            <w:tcBorders>
              <w:top w:val="nil"/>
              <w:left w:val="nil"/>
              <w:bottom w:val="nil"/>
              <w:right w:val="nil"/>
            </w:tcBorders>
            <w:shd w:val="clear" w:color="auto" w:fill="auto"/>
            <w:noWrap/>
            <w:vAlign w:val="bottom"/>
            <w:hideMark/>
          </w:tcPr>
          <w:p w14:paraId="22ED2BAD" w14:textId="77777777" w:rsidR="00B751D3" w:rsidRDefault="00B751D3" w:rsidP="005A3B4D">
            <w:pPr>
              <w:jc w:val="right"/>
              <w:rPr>
                <w:color w:val="000000"/>
                <w:sz w:val="20"/>
                <w:szCs w:val="20"/>
              </w:rPr>
            </w:pPr>
            <w:r>
              <w:rPr>
                <w:color w:val="000000"/>
                <w:sz w:val="20"/>
                <w:szCs w:val="20"/>
              </w:rPr>
              <w:t>0.126</w:t>
            </w:r>
          </w:p>
        </w:tc>
        <w:tc>
          <w:tcPr>
            <w:tcW w:w="820" w:type="dxa"/>
            <w:tcBorders>
              <w:top w:val="nil"/>
              <w:left w:val="nil"/>
              <w:bottom w:val="nil"/>
              <w:right w:val="nil"/>
            </w:tcBorders>
            <w:shd w:val="clear" w:color="auto" w:fill="auto"/>
            <w:noWrap/>
            <w:vAlign w:val="bottom"/>
            <w:hideMark/>
          </w:tcPr>
          <w:p w14:paraId="7FB143BE" w14:textId="77777777" w:rsidR="00B751D3" w:rsidRDefault="00B751D3" w:rsidP="005A3B4D">
            <w:pPr>
              <w:jc w:val="right"/>
              <w:rPr>
                <w:color w:val="000000"/>
                <w:sz w:val="20"/>
                <w:szCs w:val="20"/>
              </w:rPr>
            </w:pPr>
            <w:r>
              <w:rPr>
                <w:color w:val="000000"/>
                <w:sz w:val="20"/>
                <w:szCs w:val="20"/>
              </w:rPr>
              <w:t>0.001</w:t>
            </w:r>
          </w:p>
        </w:tc>
      </w:tr>
      <w:tr w:rsidR="00B751D3" w14:paraId="7F70A45C" w14:textId="77777777" w:rsidTr="005A3B4D">
        <w:trPr>
          <w:trHeight w:val="320"/>
        </w:trPr>
        <w:tc>
          <w:tcPr>
            <w:tcW w:w="1258" w:type="dxa"/>
            <w:tcBorders>
              <w:top w:val="nil"/>
              <w:left w:val="nil"/>
              <w:bottom w:val="nil"/>
              <w:right w:val="nil"/>
            </w:tcBorders>
            <w:shd w:val="clear" w:color="auto" w:fill="auto"/>
            <w:noWrap/>
            <w:vAlign w:val="bottom"/>
            <w:hideMark/>
          </w:tcPr>
          <w:p w14:paraId="3BE6F3AB"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261EAC0F" w14:textId="77777777" w:rsidR="00B751D3" w:rsidRDefault="00B751D3" w:rsidP="005A3B4D">
            <w:pPr>
              <w:rPr>
                <w:color w:val="000000"/>
                <w:sz w:val="20"/>
                <w:szCs w:val="20"/>
              </w:rPr>
            </w:pPr>
            <w:r>
              <w:rPr>
                <w:color w:val="000000"/>
                <w:sz w:val="20"/>
                <w:szCs w:val="20"/>
              </w:rPr>
              <w:t>Medial Frontal</w:t>
            </w:r>
          </w:p>
        </w:tc>
        <w:tc>
          <w:tcPr>
            <w:tcW w:w="820" w:type="dxa"/>
            <w:tcBorders>
              <w:top w:val="nil"/>
              <w:left w:val="nil"/>
              <w:bottom w:val="nil"/>
              <w:right w:val="nil"/>
            </w:tcBorders>
            <w:shd w:val="clear" w:color="auto" w:fill="auto"/>
            <w:noWrap/>
            <w:vAlign w:val="bottom"/>
            <w:hideMark/>
          </w:tcPr>
          <w:p w14:paraId="01BB7320" w14:textId="77777777" w:rsidR="00B751D3" w:rsidRDefault="00B751D3" w:rsidP="005A3B4D">
            <w:pPr>
              <w:jc w:val="right"/>
              <w:rPr>
                <w:color w:val="000000"/>
                <w:sz w:val="20"/>
                <w:szCs w:val="20"/>
              </w:rPr>
            </w:pPr>
            <w:r>
              <w:rPr>
                <w:color w:val="000000"/>
                <w:sz w:val="20"/>
                <w:szCs w:val="20"/>
              </w:rPr>
              <w:t>0.024</w:t>
            </w:r>
          </w:p>
        </w:tc>
        <w:tc>
          <w:tcPr>
            <w:tcW w:w="820" w:type="dxa"/>
            <w:tcBorders>
              <w:top w:val="nil"/>
              <w:left w:val="nil"/>
              <w:bottom w:val="nil"/>
              <w:right w:val="nil"/>
            </w:tcBorders>
            <w:shd w:val="clear" w:color="auto" w:fill="auto"/>
            <w:noWrap/>
            <w:vAlign w:val="bottom"/>
            <w:hideMark/>
          </w:tcPr>
          <w:p w14:paraId="0F3C4488" w14:textId="77777777" w:rsidR="00B751D3" w:rsidRDefault="00B751D3" w:rsidP="005A3B4D">
            <w:pPr>
              <w:jc w:val="right"/>
              <w:rPr>
                <w:color w:val="000000"/>
                <w:sz w:val="20"/>
                <w:szCs w:val="20"/>
              </w:rPr>
            </w:pPr>
            <w:r>
              <w:rPr>
                <w:color w:val="000000"/>
                <w:sz w:val="20"/>
                <w:szCs w:val="20"/>
              </w:rPr>
              <w:t>0.525</w:t>
            </w:r>
          </w:p>
        </w:tc>
        <w:tc>
          <w:tcPr>
            <w:tcW w:w="820" w:type="dxa"/>
            <w:tcBorders>
              <w:top w:val="nil"/>
              <w:left w:val="nil"/>
              <w:bottom w:val="nil"/>
              <w:right w:val="nil"/>
            </w:tcBorders>
            <w:shd w:val="clear" w:color="auto" w:fill="auto"/>
            <w:noWrap/>
            <w:vAlign w:val="bottom"/>
            <w:hideMark/>
          </w:tcPr>
          <w:p w14:paraId="161DC7D7"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0F883097" w14:textId="77777777" w:rsidR="00B751D3" w:rsidRDefault="00B751D3" w:rsidP="005A3B4D">
            <w:pPr>
              <w:jc w:val="right"/>
              <w:rPr>
                <w:color w:val="000000"/>
                <w:sz w:val="20"/>
                <w:szCs w:val="20"/>
              </w:rPr>
            </w:pPr>
            <w:r>
              <w:rPr>
                <w:color w:val="000000"/>
                <w:sz w:val="20"/>
                <w:szCs w:val="20"/>
              </w:rPr>
              <w:t>-0.010</w:t>
            </w:r>
          </w:p>
        </w:tc>
        <w:tc>
          <w:tcPr>
            <w:tcW w:w="820" w:type="dxa"/>
            <w:tcBorders>
              <w:top w:val="nil"/>
              <w:left w:val="nil"/>
              <w:bottom w:val="nil"/>
              <w:right w:val="nil"/>
            </w:tcBorders>
            <w:shd w:val="clear" w:color="auto" w:fill="auto"/>
            <w:noWrap/>
            <w:vAlign w:val="bottom"/>
            <w:hideMark/>
          </w:tcPr>
          <w:p w14:paraId="76BCCE25" w14:textId="77777777" w:rsidR="00B751D3" w:rsidRDefault="00B751D3" w:rsidP="005A3B4D">
            <w:pPr>
              <w:jc w:val="right"/>
              <w:rPr>
                <w:color w:val="000000"/>
                <w:sz w:val="20"/>
                <w:szCs w:val="20"/>
              </w:rPr>
            </w:pPr>
            <w:r>
              <w:rPr>
                <w:color w:val="000000"/>
                <w:sz w:val="20"/>
                <w:szCs w:val="20"/>
              </w:rPr>
              <w:t>0.852</w:t>
            </w:r>
          </w:p>
        </w:tc>
        <w:tc>
          <w:tcPr>
            <w:tcW w:w="820" w:type="dxa"/>
            <w:tcBorders>
              <w:top w:val="nil"/>
              <w:left w:val="nil"/>
              <w:bottom w:val="nil"/>
              <w:right w:val="nil"/>
            </w:tcBorders>
            <w:shd w:val="clear" w:color="auto" w:fill="auto"/>
            <w:noWrap/>
            <w:vAlign w:val="bottom"/>
            <w:hideMark/>
          </w:tcPr>
          <w:p w14:paraId="443D519C" w14:textId="77777777" w:rsidR="00B751D3" w:rsidRDefault="00B751D3" w:rsidP="005A3B4D">
            <w:pPr>
              <w:jc w:val="right"/>
              <w:rPr>
                <w:color w:val="000000"/>
                <w:sz w:val="20"/>
                <w:szCs w:val="20"/>
              </w:rPr>
            </w:pPr>
            <w:r>
              <w:rPr>
                <w:color w:val="000000"/>
                <w:sz w:val="20"/>
                <w:szCs w:val="20"/>
              </w:rPr>
              <w:t>0.000</w:t>
            </w:r>
          </w:p>
        </w:tc>
      </w:tr>
      <w:tr w:rsidR="00B751D3" w14:paraId="7AA5566E" w14:textId="77777777" w:rsidTr="005A3B4D">
        <w:trPr>
          <w:trHeight w:val="320"/>
        </w:trPr>
        <w:tc>
          <w:tcPr>
            <w:tcW w:w="1258" w:type="dxa"/>
            <w:tcBorders>
              <w:top w:val="nil"/>
              <w:left w:val="nil"/>
              <w:bottom w:val="nil"/>
              <w:right w:val="nil"/>
            </w:tcBorders>
            <w:shd w:val="clear" w:color="auto" w:fill="auto"/>
            <w:noWrap/>
            <w:vAlign w:val="bottom"/>
            <w:hideMark/>
          </w:tcPr>
          <w:p w14:paraId="1F5E63B2"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03236A53" w14:textId="77777777" w:rsidR="00B751D3" w:rsidRDefault="00B751D3" w:rsidP="005A3B4D">
            <w:pPr>
              <w:rPr>
                <w:color w:val="000000"/>
                <w:sz w:val="20"/>
                <w:szCs w:val="20"/>
              </w:rPr>
            </w:pPr>
            <w:r>
              <w:rPr>
                <w:color w:val="000000"/>
                <w:sz w:val="20"/>
                <w:szCs w:val="20"/>
              </w:rPr>
              <w:t>Frontoparietal</w:t>
            </w:r>
          </w:p>
        </w:tc>
        <w:tc>
          <w:tcPr>
            <w:tcW w:w="820" w:type="dxa"/>
            <w:tcBorders>
              <w:top w:val="nil"/>
              <w:left w:val="nil"/>
              <w:bottom w:val="nil"/>
              <w:right w:val="nil"/>
            </w:tcBorders>
            <w:shd w:val="clear" w:color="auto" w:fill="auto"/>
            <w:noWrap/>
            <w:vAlign w:val="bottom"/>
            <w:hideMark/>
          </w:tcPr>
          <w:p w14:paraId="00B2B0A6" w14:textId="77777777" w:rsidR="00B751D3" w:rsidRDefault="00B751D3" w:rsidP="005A3B4D">
            <w:pPr>
              <w:jc w:val="right"/>
              <w:rPr>
                <w:color w:val="000000"/>
                <w:sz w:val="20"/>
                <w:szCs w:val="20"/>
              </w:rPr>
            </w:pPr>
            <w:r>
              <w:rPr>
                <w:color w:val="000000"/>
                <w:sz w:val="20"/>
                <w:szCs w:val="20"/>
              </w:rPr>
              <w:t>0.031</w:t>
            </w:r>
          </w:p>
        </w:tc>
        <w:tc>
          <w:tcPr>
            <w:tcW w:w="820" w:type="dxa"/>
            <w:tcBorders>
              <w:top w:val="nil"/>
              <w:left w:val="nil"/>
              <w:bottom w:val="nil"/>
              <w:right w:val="nil"/>
            </w:tcBorders>
            <w:shd w:val="clear" w:color="auto" w:fill="auto"/>
            <w:noWrap/>
            <w:vAlign w:val="bottom"/>
            <w:hideMark/>
          </w:tcPr>
          <w:p w14:paraId="622F7026" w14:textId="77777777" w:rsidR="00B751D3" w:rsidRDefault="00B751D3" w:rsidP="005A3B4D">
            <w:pPr>
              <w:jc w:val="right"/>
              <w:rPr>
                <w:color w:val="000000"/>
                <w:sz w:val="20"/>
                <w:szCs w:val="20"/>
              </w:rPr>
            </w:pPr>
            <w:r>
              <w:rPr>
                <w:color w:val="000000"/>
                <w:sz w:val="20"/>
                <w:szCs w:val="20"/>
              </w:rPr>
              <w:t>0.525</w:t>
            </w:r>
          </w:p>
        </w:tc>
        <w:tc>
          <w:tcPr>
            <w:tcW w:w="820" w:type="dxa"/>
            <w:tcBorders>
              <w:top w:val="nil"/>
              <w:left w:val="nil"/>
              <w:bottom w:val="nil"/>
              <w:right w:val="nil"/>
            </w:tcBorders>
            <w:shd w:val="clear" w:color="auto" w:fill="auto"/>
            <w:noWrap/>
            <w:vAlign w:val="bottom"/>
            <w:hideMark/>
          </w:tcPr>
          <w:p w14:paraId="50EE5A35"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63078C60" w14:textId="77777777" w:rsidR="00B751D3" w:rsidRDefault="00B751D3" w:rsidP="005A3B4D">
            <w:pPr>
              <w:jc w:val="right"/>
              <w:rPr>
                <w:color w:val="000000"/>
                <w:sz w:val="20"/>
                <w:szCs w:val="20"/>
              </w:rPr>
            </w:pPr>
            <w:r>
              <w:rPr>
                <w:color w:val="000000"/>
                <w:sz w:val="20"/>
                <w:szCs w:val="20"/>
              </w:rPr>
              <w:t>0.048</w:t>
            </w:r>
          </w:p>
        </w:tc>
        <w:tc>
          <w:tcPr>
            <w:tcW w:w="820" w:type="dxa"/>
            <w:tcBorders>
              <w:top w:val="nil"/>
              <w:left w:val="nil"/>
              <w:bottom w:val="nil"/>
              <w:right w:val="nil"/>
            </w:tcBorders>
            <w:shd w:val="clear" w:color="auto" w:fill="auto"/>
            <w:noWrap/>
            <w:vAlign w:val="bottom"/>
            <w:hideMark/>
          </w:tcPr>
          <w:p w14:paraId="33A13902" w14:textId="77777777" w:rsidR="00B751D3" w:rsidRDefault="00B751D3" w:rsidP="005A3B4D">
            <w:pPr>
              <w:jc w:val="right"/>
              <w:rPr>
                <w:color w:val="000000"/>
                <w:sz w:val="20"/>
                <w:szCs w:val="20"/>
              </w:rPr>
            </w:pPr>
            <w:r>
              <w:rPr>
                <w:color w:val="000000"/>
                <w:sz w:val="20"/>
                <w:szCs w:val="20"/>
              </w:rPr>
              <w:t>0.091</w:t>
            </w:r>
          </w:p>
        </w:tc>
        <w:tc>
          <w:tcPr>
            <w:tcW w:w="820" w:type="dxa"/>
            <w:tcBorders>
              <w:top w:val="nil"/>
              <w:left w:val="nil"/>
              <w:bottom w:val="nil"/>
              <w:right w:val="nil"/>
            </w:tcBorders>
            <w:shd w:val="clear" w:color="auto" w:fill="auto"/>
            <w:noWrap/>
            <w:vAlign w:val="bottom"/>
            <w:hideMark/>
          </w:tcPr>
          <w:p w14:paraId="4B14DE6A" w14:textId="77777777" w:rsidR="00B751D3" w:rsidRDefault="00B751D3" w:rsidP="005A3B4D">
            <w:pPr>
              <w:jc w:val="right"/>
              <w:rPr>
                <w:color w:val="000000"/>
                <w:sz w:val="20"/>
                <w:szCs w:val="20"/>
              </w:rPr>
            </w:pPr>
            <w:r>
              <w:rPr>
                <w:color w:val="000000"/>
                <w:sz w:val="20"/>
                <w:szCs w:val="20"/>
              </w:rPr>
              <w:t>0.002</w:t>
            </w:r>
          </w:p>
        </w:tc>
      </w:tr>
      <w:tr w:rsidR="00B751D3" w14:paraId="1662DF78" w14:textId="77777777" w:rsidTr="005A3B4D">
        <w:trPr>
          <w:trHeight w:val="320"/>
        </w:trPr>
        <w:tc>
          <w:tcPr>
            <w:tcW w:w="1258" w:type="dxa"/>
            <w:tcBorders>
              <w:top w:val="nil"/>
              <w:left w:val="nil"/>
              <w:bottom w:val="nil"/>
              <w:right w:val="nil"/>
            </w:tcBorders>
            <w:shd w:val="clear" w:color="auto" w:fill="auto"/>
            <w:noWrap/>
            <w:vAlign w:val="bottom"/>
            <w:hideMark/>
          </w:tcPr>
          <w:p w14:paraId="33F1B691"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5AF5B536" w14:textId="77777777" w:rsidR="00B751D3" w:rsidRDefault="00B751D3" w:rsidP="005A3B4D">
            <w:pPr>
              <w:rPr>
                <w:color w:val="000000"/>
                <w:sz w:val="20"/>
                <w:szCs w:val="20"/>
              </w:rPr>
            </w:pPr>
            <w:r>
              <w:rPr>
                <w:color w:val="000000"/>
                <w:sz w:val="20"/>
                <w:szCs w:val="20"/>
              </w:rPr>
              <w:t>Default Mode</w:t>
            </w:r>
          </w:p>
        </w:tc>
        <w:tc>
          <w:tcPr>
            <w:tcW w:w="820" w:type="dxa"/>
            <w:tcBorders>
              <w:top w:val="nil"/>
              <w:left w:val="nil"/>
              <w:bottom w:val="nil"/>
              <w:right w:val="nil"/>
            </w:tcBorders>
            <w:shd w:val="clear" w:color="auto" w:fill="auto"/>
            <w:noWrap/>
            <w:vAlign w:val="bottom"/>
            <w:hideMark/>
          </w:tcPr>
          <w:p w14:paraId="1F35BEF9" w14:textId="77777777" w:rsidR="00B751D3" w:rsidRDefault="00B751D3" w:rsidP="005A3B4D">
            <w:pPr>
              <w:jc w:val="right"/>
              <w:rPr>
                <w:color w:val="000000"/>
                <w:sz w:val="20"/>
                <w:szCs w:val="20"/>
              </w:rPr>
            </w:pPr>
            <w:r>
              <w:rPr>
                <w:color w:val="000000"/>
                <w:sz w:val="20"/>
                <w:szCs w:val="20"/>
              </w:rPr>
              <w:t>0.053</w:t>
            </w:r>
          </w:p>
        </w:tc>
        <w:tc>
          <w:tcPr>
            <w:tcW w:w="820" w:type="dxa"/>
            <w:tcBorders>
              <w:top w:val="nil"/>
              <w:left w:val="nil"/>
              <w:bottom w:val="nil"/>
              <w:right w:val="nil"/>
            </w:tcBorders>
            <w:shd w:val="clear" w:color="auto" w:fill="auto"/>
            <w:noWrap/>
            <w:vAlign w:val="bottom"/>
            <w:hideMark/>
          </w:tcPr>
          <w:p w14:paraId="6BEC0E93" w14:textId="77777777" w:rsidR="00B751D3" w:rsidRDefault="00B751D3" w:rsidP="005A3B4D">
            <w:pPr>
              <w:jc w:val="right"/>
              <w:rPr>
                <w:color w:val="000000"/>
                <w:sz w:val="20"/>
                <w:szCs w:val="20"/>
              </w:rPr>
            </w:pPr>
            <w:r>
              <w:rPr>
                <w:color w:val="000000"/>
                <w:sz w:val="20"/>
                <w:szCs w:val="20"/>
              </w:rPr>
              <w:t>0.112</w:t>
            </w:r>
          </w:p>
        </w:tc>
        <w:tc>
          <w:tcPr>
            <w:tcW w:w="820" w:type="dxa"/>
            <w:tcBorders>
              <w:top w:val="nil"/>
              <w:left w:val="nil"/>
              <w:bottom w:val="nil"/>
              <w:right w:val="nil"/>
            </w:tcBorders>
            <w:shd w:val="clear" w:color="auto" w:fill="auto"/>
            <w:noWrap/>
            <w:vAlign w:val="bottom"/>
            <w:hideMark/>
          </w:tcPr>
          <w:p w14:paraId="59F81F7A" w14:textId="77777777" w:rsidR="00B751D3" w:rsidRDefault="00B751D3" w:rsidP="005A3B4D">
            <w:pPr>
              <w:jc w:val="right"/>
              <w:rPr>
                <w:color w:val="000000"/>
                <w:sz w:val="20"/>
                <w:szCs w:val="20"/>
              </w:rPr>
            </w:pPr>
            <w:r>
              <w:rPr>
                <w:color w:val="000000"/>
                <w:sz w:val="20"/>
                <w:szCs w:val="20"/>
              </w:rPr>
              <w:t>0.003</w:t>
            </w:r>
          </w:p>
        </w:tc>
        <w:tc>
          <w:tcPr>
            <w:tcW w:w="820" w:type="dxa"/>
            <w:tcBorders>
              <w:top w:val="nil"/>
              <w:left w:val="nil"/>
              <w:bottom w:val="nil"/>
              <w:right w:val="nil"/>
            </w:tcBorders>
            <w:shd w:val="clear" w:color="auto" w:fill="auto"/>
            <w:noWrap/>
            <w:vAlign w:val="bottom"/>
            <w:hideMark/>
          </w:tcPr>
          <w:p w14:paraId="1EDC71C0" w14:textId="77777777" w:rsidR="00B751D3" w:rsidRDefault="00B751D3" w:rsidP="005A3B4D">
            <w:pPr>
              <w:jc w:val="right"/>
              <w:rPr>
                <w:b/>
                <w:bCs/>
                <w:color w:val="000000"/>
                <w:sz w:val="20"/>
                <w:szCs w:val="20"/>
              </w:rPr>
            </w:pPr>
            <w:r>
              <w:rPr>
                <w:b/>
                <w:bCs/>
                <w:color w:val="000000"/>
                <w:sz w:val="20"/>
                <w:szCs w:val="20"/>
              </w:rPr>
              <w:t>0.083</w:t>
            </w:r>
          </w:p>
        </w:tc>
        <w:tc>
          <w:tcPr>
            <w:tcW w:w="820" w:type="dxa"/>
            <w:tcBorders>
              <w:top w:val="nil"/>
              <w:left w:val="nil"/>
              <w:bottom w:val="nil"/>
              <w:right w:val="nil"/>
            </w:tcBorders>
            <w:shd w:val="clear" w:color="auto" w:fill="auto"/>
            <w:noWrap/>
            <w:vAlign w:val="bottom"/>
            <w:hideMark/>
          </w:tcPr>
          <w:p w14:paraId="0A0491D8" w14:textId="77777777" w:rsidR="00B751D3" w:rsidRDefault="00B751D3" w:rsidP="005A3B4D">
            <w:pPr>
              <w:jc w:val="right"/>
              <w:rPr>
                <w:b/>
                <w:bCs/>
                <w:color w:val="000000"/>
                <w:sz w:val="20"/>
                <w:szCs w:val="20"/>
              </w:rPr>
            </w:pPr>
            <w:r>
              <w:rPr>
                <w:b/>
                <w:bCs/>
                <w:color w:val="000000"/>
                <w:sz w:val="20"/>
                <w:szCs w:val="20"/>
              </w:rPr>
              <w:t>0.000</w:t>
            </w:r>
          </w:p>
        </w:tc>
        <w:tc>
          <w:tcPr>
            <w:tcW w:w="820" w:type="dxa"/>
            <w:tcBorders>
              <w:top w:val="nil"/>
              <w:left w:val="nil"/>
              <w:bottom w:val="nil"/>
              <w:right w:val="nil"/>
            </w:tcBorders>
            <w:shd w:val="clear" w:color="auto" w:fill="auto"/>
            <w:noWrap/>
            <w:vAlign w:val="bottom"/>
            <w:hideMark/>
          </w:tcPr>
          <w:p w14:paraId="6C5BBCB2" w14:textId="77777777" w:rsidR="00B751D3" w:rsidRDefault="00B751D3" w:rsidP="005A3B4D">
            <w:pPr>
              <w:jc w:val="right"/>
              <w:rPr>
                <w:b/>
                <w:bCs/>
                <w:color w:val="000000"/>
                <w:sz w:val="20"/>
                <w:szCs w:val="20"/>
              </w:rPr>
            </w:pPr>
            <w:r>
              <w:rPr>
                <w:b/>
                <w:bCs/>
                <w:color w:val="000000"/>
                <w:sz w:val="20"/>
                <w:szCs w:val="20"/>
              </w:rPr>
              <w:t>0.007</w:t>
            </w:r>
          </w:p>
        </w:tc>
      </w:tr>
      <w:tr w:rsidR="00B751D3" w14:paraId="60DF7094" w14:textId="77777777" w:rsidTr="005A3B4D">
        <w:trPr>
          <w:trHeight w:val="320"/>
        </w:trPr>
        <w:tc>
          <w:tcPr>
            <w:tcW w:w="1258" w:type="dxa"/>
            <w:tcBorders>
              <w:top w:val="nil"/>
              <w:left w:val="nil"/>
              <w:bottom w:val="nil"/>
              <w:right w:val="nil"/>
            </w:tcBorders>
            <w:shd w:val="clear" w:color="auto" w:fill="auto"/>
            <w:noWrap/>
            <w:vAlign w:val="bottom"/>
            <w:hideMark/>
          </w:tcPr>
          <w:p w14:paraId="6A23BA29" w14:textId="77777777" w:rsidR="00B751D3" w:rsidRDefault="00B751D3" w:rsidP="005A3B4D">
            <w:pPr>
              <w:jc w:val="right"/>
              <w:rPr>
                <w:b/>
                <w:bCs/>
                <w:color w:val="000000"/>
                <w:sz w:val="20"/>
                <w:szCs w:val="20"/>
              </w:rPr>
            </w:pPr>
          </w:p>
        </w:tc>
        <w:tc>
          <w:tcPr>
            <w:tcW w:w="1824" w:type="dxa"/>
            <w:tcBorders>
              <w:top w:val="nil"/>
              <w:left w:val="nil"/>
              <w:bottom w:val="nil"/>
              <w:right w:val="nil"/>
            </w:tcBorders>
            <w:shd w:val="clear" w:color="auto" w:fill="auto"/>
            <w:noWrap/>
            <w:vAlign w:val="center"/>
            <w:hideMark/>
          </w:tcPr>
          <w:p w14:paraId="77A9A03E" w14:textId="77777777" w:rsidR="00B751D3" w:rsidRDefault="00B751D3" w:rsidP="005A3B4D">
            <w:pPr>
              <w:rPr>
                <w:color w:val="000000"/>
                <w:sz w:val="20"/>
                <w:szCs w:val="20"/>
              </w:rPr>
            </w:pPr>
            <w:r>
              <w:rPr>
                <w:color w:val="000000"/>
                <w:sz w:val="20"/>
                <w:szCs w:val="20"/>
              </w:rPr>
              <w:t>Visual 2</w:t>
            </w:r>
          </w:p>
        </w:tc>
        <w:tc>
          <w:tcPr>
            <w:tcW w:w="820" w:type="dxa"/>
            <w:tcBorders>
              <w:top w:val="nil"/>
              <w:left w:val="nil"/>
              <w:bottom w:val="nil"/>
              <w:right w:val="nil"/>
            </w:tcBorders>
            <w:shd w:val="clear" w:color="auto" w:fill="auto"/>
            <w:noWrap/>
            <w:vAlign w:val="bottom"/>
            <w:hideMark/>
          </w:tcPr>
          <w:p w14:paraId="41755333" w14:textId="77777777" w:rsidR="00B751D3" w:rsidRDefault="00B751D3" w:rsidP="005A3B4D">
            <w:pPr>
              <w:jc w:val="right"/>
              <w:rPr>
                <w:color w:val="000000"/>
                <w:sz w:val="20"/>
                <w:szCs w:val="20"/>
              </w:rPr>
            </w:pPr>
            <w:r>
              <w:rPr>
                <w:color w:val="000000"/>
                <w:sz w:val="20"/>
                <w:szCs w:val="20"/>
              </w:rPr>
              <w:t>-0.025</w:t>
            </w:r>
          </w:p>
        </w:tc>
        <w:tc>
          <w:tcPr>
            <w:tcW w:w="820" w:type="dxa"/>
            <w:tcBorders>
              <w:top w:val="nil"/>
              <w:left w:val="nil"/>
              <w:bottom w:val="nil"/>
              <w:right w:val="nil"/>
            </w:tcBorders>
            <w:shd w:val="clear" w:color="auto" w:fill="auto"/>
            <w:noWrap/>
            <w:vAlign w:val="bottom"/>
            <w:hideMark/>
          </w:tcPr>
          <w:p w14:paraId="4D059BED" w14:textId="77777777" w:rsidR="00B751D3" w:rsidRDefault="00B751D3" w:rsidP="005A3B4D">
            <w:pPr>
              <w:jc w:val="right"/>
              <w:rPr>
                <w:color w:val="000000"/>
                <w:sz w:val="20"/>
                <w:szCs w:val="20"/>
              </w:rPr>
            </w:pPr>
            <w:r>
              <w:rPr>
                <w:color w:val="000000"/>
                <w:sz w:val="20"/>
                <w:szCs w:val="20"/>
              </w:rPr>
              <w:t>0.525</w:t>
            </w:r>
          </w:p>
        </w:tc>
        <w:tc>
          <w:tcPr>
            <w:tcW w:w="820" w:type="dxa"/>
            <w:tcBorders>
              <w:top w:val="nil"/>
              <w:left w:val="nil"/>
              <w:bottom w:val="nil"/>
              <w:right w:val="nil"/>
            </w:tcBorders>
            <w:shd w:val="clear" w:color="auto" w:fill="auto"/>
            <w:noWrap/>
            <w:vAlign w:val="bottom"/>
            <w:hideMark/>
          </w:tcPr>
          <w:p w14:paraId="6B3BA91D"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6AD3AB74" w14:textId="77777777" w:rsidR="00B751D3" w:rsidRDefault="00B751D3" w:rsidP="005A3B4D">
            <w:pPr>
              <w:jc w:val="right"/>
              <w:rPr>
                <w:color w:val="000000"/>
                <w:sz w:val="20"/>
                <w:szCs w:val="20"/>
              </w:rPr>
            </w:pPr>
            <w:r>
              <w:rPr>
                <w:color w:val="000000"/>
                <w:sz w:val="20"/>
                <w:szCs w:val="20"/>
              </w:rPr>
              <w:t>-0.003</w:t>
            </w:r>
          </w:p>
        </w:tc>
        <w:tc>
          <w:tcPr>
            <w:tcW w:w="820" w:type="dxa"/>
            <w:tcBorders>
              <w:top w:val="nil"/>
              <w:left w:val="nil"/>
              <w:bottom w:val="nil"/>
              <w:right w:val="nil"/>
            </w:tcBorders>
            <w:shd w:val="clear" w:color="auto" w:fill="auto"/>
            <w:noWrap/>
            <w:vAlign w:val="bottom"/>
            <w:hideMark/>
          </w:tcPr>
          <w:p w14:paraId="55656CF6" w14:textId="77777777" w:rsidR="00B751D3" w:rsidRDefault="00B751D3" w:rsidP="005A3B4D">
            <w:pPr>
              <w:jc w:val="right"/>
              <w:rPr>
                <w:color w:val="000000"/>
                <w:sz w:val="20"/>
                <w:szCs w:val="20"/>
              </w:rPr>
            </w:pPr>
            <w:r>
              <w:rPr>
                <w:color w:val="000000"/>
                <w:sz w:val="20"/>
                <w:szCs w:val="20"/>
              </w:rPr>
              <w:t>0.876</w:t>
            </w:r>
          </w:p>
        </w:tc>
        <w:tc>
          <w:tcPr>
            <w:tcW w:w="820" w:type="dxa"/>
            <w:tcBorders>
              <w:top w:val="nil"/>
              <w:left w:val="nil"/>
              <w:bottom w:val="nil"/>
              <w:right w:val="nil"/>
            </w:tcBorders>
            <w:shd w:val="clear" w:color="auto" w:fill="auto"/>
            <w:noWrap/>
            <w:vAlign w:val="bottom"/>
            <w:hideMark/>
          </w:tcPr>
          <w:p w14:paraId="2F1201E5" w14:textId="77777777" w:rsidR="00B751D3" w:rsidRDefault="00B751D3" w:rsidP="005A3B4D">
            <w:pPr>
              <w:jc w:val="right"/>
              <w:rPr>
                <w:color w:val="000000"/>
                <w:sz w:val="20"/>
                <w:szCs w:val="20"/>
              </w:rPr>
            </w:pPr>
            <w:r>
              <w:rPr>
                <w:color w:val="000000"/>
                <w:sz w:val="20"/>
                <w:szCs w:val="20"/>
              </w:rPr>
              <w:t>0.000</w:t>
            </w:r>
          </w:p>
        </w:tc>
      </w:tr>
      <w:tr w:rsidR="00B751D3" w14:paraId="02A37FC8" w14:textId="77777777" w:rsidTr="005A3B4D">
        <w:trPr>
          <w:trHeight w:val="320"/>
        </w:trPr>
        <w:tc>
          <w:tcPr>
            <w:tcW w:w="1258" w:type="dxa"/>
            <w:tcBorders>
              <w:top w:val="nil"/>
              <w:left w:val="nil"/>
              <w:bottom w:val="nil"/>
              <w:right w:val="nil"/>
            </w:tcBorders>
            <w:shd w:val="clear" w:color="auto" w:fill="auto"/>
            <w:noWrap/>
            <w:vAlign w:val="bottom"/>
            <w:hideMark/>
          </w:tcPr>
          <w:p w14:paraId="76EEB50E"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3EA4CB61" w14:textId="77777777" w:rsidR="00B751D3" w:rsidRDefault="00B751D3" w:rsidP="005A3B4D">
            <w:pPr>
              <w:rPr>
                <w:color w:val="000000"/>
                <w:sz w:val="20"/>
                <w:szCs w:val="20"/>
              </w:rPr>
            </w:pPr>
            <w:r>
              <w:rPr>
                <w:color w:val="000000"/>
                <w:sz w:val="20"/>
                <w:szCs w:val="20"/>
              </w:rPr>
              <w:t>Visual 1</w:t>
            </w:r>
          </w:p>
        </w:tc>
        <w:tc>
          <w:tcPr>
            <w:tcW w:w="820" w:type="dxa"/>
            <w:tcBorders>
              <w:top w:val="nil"/>
              <w:left w:val="nil"/>
              <w:bottom w:val="nil"/>
              <w:right w:val="nil"/>
            </w:tcBorders>
            <w:shd w:val="clear" w:color="auto" w:fill="auto"/>
            <w:noWrap/>
            <w:vAlign w:val="bottom"/>
            <w:hideMark/>
          </w:tcPr>
          <w:p w14:paraId="531B144A" w14:textId="77777777" w:rsidR="00B751D3" w:rsidRDefault="00B751D3" w:rsidP="005A3B4D">
            <w:pPr>
              <w:jc w:val="right"/>
              <w:rPr>
                <w:b/>
                <w:bCs/>
                <w:color w:val="000000"/>
                <w:sz w:val="20"/>
                <w:szCs w:val="20"/>
              </w:rPr>
            </w:pPr>
            <w:r>
              <w:rPr>
                <w:b/>
                <w:bCs/>
                <w:color w:val="000000"/>
                <w:sz w:val="20"/>
                <w:szCs w:val="20"/>
              </w:rPr>
              <w:t>0.063</w:t>
            </w:r>
          </w:p>
        </w:tc>
        <w:tc>
          <w:tcPr>
            <w:tcW w:w="820" w:type="dxa"/>
            <w:tcBorders>
              <w:top w:val="nil"/>
              <w:left w:val="nil"/>
              <w:bottom w:val="nil"/>
              <w:right w:val="nil"/>
            </w:tcBorders>
            <w:shd w:val="clear" w:color="auto" w:fill="auto"/>
            <w:noWrap/>
            <w:vAlign w:val="bottom"/>
            <w:hideMark/>
          </w:tcPr>
          <w:p w14:paraId="50E642BC" w14:textId="77777777" w:rsidR="00B751D3" w:rsidRDefault="00B751D3" w:rsidP="005A3B4D">
            <w:pPr>
              <w:jc w:val="right"/>
              <w:rPr>
                <w:b/>
                <w:bCs/>
                <w:color w:val="000000"/>
                <w:sz w:val="20"/>
                <w:szCs w:val="20"/>
              </w:rPr>
            </w:pPr>
            <w:r>
              <w:rPr>
                <w:b/>
                <w:bCs/>
                <w:color w:val="000000"/>
                <w:sz w:val="20"/>
                <w:szCs w:val="20"/>
              </w:rPr>
              <w:t>0.032</w:t>
            </w:r>
          </w:p>
        </w:tc>
        <w:tc>
          <w:tcPr>
            <w:tcW w:w="820" w:type="dxa"/>
            <w:tcBorders>
              <w:top w:val="nil"/>
              <w:left w:val="nil"/>
              <w:bottom w:val="nil"/>
              <w:right w:val="nil"/>
            </w:tcBorders>
            <w:shd w:val="clear" w:color="auto" w:fill="auto"/>
            <w:noWrap/>
            <w:vAlign w:val="bottom"/>
            <w:hideMark/>
          </w:tcPr>
          <w:p w14:paraId="2C9AF6B2" w14:textId="77777777" w:rsidR="00B751D3" w:rsidRDefault="00B751D3" w:rsidP="005A3B4D">
            <w:pPr>
              <w:jc w:val="right"/>
              <w:rPr>
                <w:b/>
                <w:bCs/>
                <w:color w:val="000000"/>
                <w:sz w:val="20"/>
                <w:szCs w:val="20"/>
              </w:rPr>
            </w:pPr>
            <w:r>
              <w:rPr>
                <w:b/>
                <w:bCs/>
                <w:color w:val="000000"/>
                <w:sz w:val="20"/>
                <w:szCs w:val="20"/>
              </w:rPr>
              <w:t>0.004</w:t>
            </w:r>
          </w:p>
        </w:tc>
        <w:tc>
          <w:tcPr>
            <w:tcW w:w="820" w:type="dxa"/>
            <w:tcBorders>
              <w:top w:val="nil"/>
              <w:left w:val="nil"/>
              <w:bottom w:val="nil"/>
              <w:right w:val="nil"/>
            </w:tcBorders>
            <w:shd w:val="clear" w:color="auto" w:fill="auto"/>
            <w:noWrap/>
            <w:vAlign w:val="bottom"/>
            <w:hideMark/>
          </w:tcPr>
          <w:p w14:paraId="4FF6E0AE" w14:textId="77777777" w:rsidR="00B751D3" w:rsidRDefault="00B751D3" w:rsidP="005A3B4D">
            <w:pPr>
              <w:jc w:val="right"/>
              <w:rPr>
                <w:color w:val="000000"/>
                <w:sz w:val="20"/>
                <w:szCs w:val="20"/>
              </w:rPr>
            </w:pPr>
            <w:r>
              <w:rPr>
                <w:color w:val="000000"/>
                <w:sz w:val="20"/>
                <w:szCs w:val="20"/>
              </w:rPr>
              <w:t>0.046</w:t>
            </w:r>
          </w:p>
        </w:tc>
        <w:tc>
          <w:tcPr>
            <w:tcW w:w="820" w:type="dxa"/>
            <w:tcBorders>
              <w:top w:val="nil"/>
              <w:left w:val="nil"/>
              <w:bottom w:val="nil"/>
              <w:right w:val="nil"/>
            </w:tcBorders>
            <w:shd w:val="clear" w:color="auto" w:fill="auto"/>
            <w:noWrap/>
            <w:vAlign w:val="bottom"/>
            <w:hideMark/>
          </w:tcPr>
          <w:p w14:paraId="4D166121" w14:textId="77777777" w:rsidR="00B751D3" w:rsidRDefault="00B751D3" w:rsidP="005A3B4D">
            <w:pPr>
              <w:jc w:val="right"/>
              <w:rPr>
                <w:color w:val="000000"/>
                <w:sz w:val="20"/>
                <w:szCs w:val="20"/>
              </w:rPr>
            </w:pPr>
            <w:r>
              <w:rPr>
                <w:color w:val="000000"/>
                <w:sz w:val="20"/>
                <w:szCs w:val="20"/>
              </w:rPr>
              <w:t>0.091</w:t>
            </w:r>
          </w:p>
        </w:tc>
        <w:tc>
          <w:tcPr>
            <w:tcW w:w="820" w:type="dxa"/>
            <w:tcBorders>
              <w:top w:val="nil"/>
              <w:left w:val="nil"/>
              <w:bottom w:val="nil"/>
              <w:right w:val="nil"/>
            </w:tcBorders>
            <w:shd w:val="clear" w:color="auto" w:fill="auto"/>
            <w:noWrap/>
            <w:vAlign w:val="bottom"/>
            <w:hideMark/>
          </w:tcPr>
          <w:p w14:paraId="6E991ABC" w14:textId="77777777" w:rsidR="00B751D3" w:rsidRDefault="00B751D3" w:rsidP="005A3B4D">
            <w:pPr>
              <w:jc w:val="right"/>
              <w:rPr>
                <w:color w:val="000000"/>
                <w:sz w:val="20"/>
                <w:szCs w:val="20"/>
              </w:rPr>
            </w:pPr>
            <w:r>
              <w:rPr>
                <w:color w:val="000000"/>
                <w:sz w:val="20"/>
                <w:szCs w:val="20"/>
              </w:rPr>
              <w:t>0.002</w:t>
            </w:r>
          </w:p>
        </w:tc>
      </w:tr>
      <w:tr w:rsidR="00B751D3" w14:paraId="4C193AAA" w14:textId="77777777" w:rsidTr="005A3B4D">
        <w:trPr>
          <w:trHeight w:val="320"/>
        </w:trPr>
        <w:tc>
          <w:tcPr>
            <w:tcW w:w="1258" w:type="dxa"/>
            <w:tcBorders>
              <w:top w:val="nil"/>
              <w:left w:val="nil"/>
              <w:bottom w:val="single" w:sz="4" w:space="0" w:color="auto"/>
              <w:right w:val="nil"/>
            </w:tcBorders>
            <w:shd w:val="clear" w:color="auto" w:fill="auto"/>
            <w:noWrap/>
            <w:vAlign w:val="bottom"/>
            <w:hideMark/>
          </w:tcPr>
          <w:p w14:paraId="5569DB45" w14:textId="77777777" w:rsidR="00B751D3" w:rsidRDefault="00B751D3" w:rsidP="005A3B4D">
            <w:pPr>
              <w:rPr>
                <w:color w:val="000000"/>
                <w:sz w:val="20"/>
                <w:szCs w:val="20"/>
              </w:rPr>
            </w:pPr>
            <w:r>
              <w:rPr>
                <w:color w:val="000000"/>
                <w:sz w:val="20"/>
                <w:szCs w:val="20"/>
              </w:rPr>
              <w:t> </w:t>
            </w:r>
          </w:p>
        </w:tc>
        <w:tc>
          <w:tcPr>
            <w:tcW w:w="1824" w:type="dxa"/>
            <w:tcBorders>
              <w:top w:val="nil"/>
              <w:left w:val="nil"/>
              <w:bottom w:val="single" w:sz="4" w:space="0" w:color="auto"/>
              <w:right w:val="nil"/>
            </w:tcBorders>
            <w:shd w:val="clear" w:color="auto" w:fill="auto"/>
            <w:noWrap/>
            <w:vAlign w:val="center"/>
            <w:hideMark/>
          </w:tcPr>
          <w:p w14:paraId="590DC813" w14:textId="77777777" w:rsidR="00B751D3" w:rsidRDefault="00B751D3" w:rsidP="005A3B4D">
            <w:pPr>
              <w:rPr>
                <w:color w:val="000000"/>
                <w:sz w:val="20"/>
                <w:szCs w:val="20"/>
              </w:rPr>
            </w:pPr>
            <w:r>
              <w:rPr>
                <w:color w:val="000000"/>
                <w:sz w:val="20"/>
                <w:szCs w:val="20"/>
              </w:rPr>
              <w:t>Visual Association</w:t>
            </w:r>
          </w:p>
        </w:tc>
        <w:tc>
          <w:tcPr>
            <w:tcW w:w="820" w:type="dxa"/>
            <w:tcBorders>
              <w:top w:val="nil"/>
              <w:left w:val="nil"/>
              <w:bottom w:val="single" w:sz="4" w:space="0" w:color="auto"/>
              <w:right w:val="nil"/>
            </w:tcBorders>
            <w:shd w:val="clear" w:color="auto" w:fill="auto"/>
            <w:noWrap/>
            <w:vAlign w:val="bottom"/>
            <w:hideMark/>
          </w:tcPr>
          <w:p w14:paraId="00C161DD" w14:textId="77777777" w:rsidR="00B751D3" w:rsidRDefault="00B751D3" w:rsidP="005A3B4D">
            <w:pPr>
              <w:jc w:val="right"/>
              <w:rPr>
                <w:color w:val="000000"/>
                <w:sz w:val="20"/>
                <w:szCs w:val="20"/>
              </w:rPr>
            </w:pPr>
            <w:r>
              <w:rPr>
                <w:color w:val="000000"/>
                <w:sz w:val="20"/>
                <w:szCs w:val="20"/>
              </w:rPr>
              <w:t>-0.020</w:t>
            </w:r>
          </w:p>
        </w:tc>
        <w:tc>
          <w:tcPr>
            <w:tcW w:w="820" w:type="dxa"/>
            <w:tcBorders>
              <w:top w:val="nil"/>
              <w:left w:val="nil"/>
              <w:bottom w:val="single" w:sz="4" w:space="0" w:color="auto"/>
              <w:right w:val="nil"/>
            </w:tcBorders>
            <w:shd w:val="clear" w:color="auto" w:fill="auto"/>
            <w:noWrap/>
            <w:vAlign w:val="bottom"/>
            <w:hideMark/>
          </w:tcPr>
          <w:p w14:paraId="15D4106A" w14:textId="77777777" w:rsidR="00B751D3" w:rsidRDefault="00B751D3" w:rsidP="005A3B4D">
            <w:pPr>
              <w:jc w:val="right"/>
              <w:rPr>
                <w:color w:val="000000"/>
                <w:sz w:val="20"/>
                <w:szCs w:val="20"/>
              </w:rPr>
            </w:pPr>
            <w:r>
              <w:rPr>
                <w:color w:val="000000"/>
                <w:sz w:val="20"/>
                <w:szCs w:val="20"/>
              </w:rPr>
              <w:t>0.525</w:t>
            </w:r>
          </w:p>
        </w:tc>
        <w:tc>
          <w:tcPr>
            <w:tcW w:w="820" w:type="dxa"/>
            <w:tcBorders>
              <w:top w:val="nil"/>
              <w:left w:val="nil"/>
              <w:bottom w:val="single" w:sz="4" w:space="0" w:color="auto"/>
              <w:right w:val="nil"/>
            </w:tcBorders>
            <w:shd w:val="clear" w:color="auto" w:fill="auto"/>
            <w:noWrap/>
            <w:vAlign w:val="bottom"/>
            <w:hideMark/>
          </w:tcPr>
          <w:p w14:paraId="03865DAC"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single" w:sz="4" w:space="0" w:color="auto"/>
              <w:right w:val="nil"/>
            </w:tcBorders>
            <w:shd w:val="clear" w:color="auto" w:fill="auto"/>
            <w:noWrap/>
            <w:vAlign w:val="bottom"/>
            <w:hideMark/>
          </w:tcPr>
          <w:p w14:paraId="54C44013" w14:textId="77777777" w:rsidR="00B751D3" w:rsidRDefault="00B751D3" w:rsidP="005A3B4D">
            <w:pPr>
              <w:jc w:val="right"/>
              <w:rPr>
                <w:color w:val="000000"/>
                <w:sz w:val="20"/>
                <w:szCs w:val="20"/>
              </w:rPr>
            </w:pPr>
            <w:r>
              <w:rPr>
                <w:color w:val="000000"/>
                <w:sz w:val="20"/>
                <w:szCs w:val="20"/>
              </w:rPr>
              <w:t>-0.036</w:t>
            </w:r>
          </w:p>
        </w:tc>
        <w:tc>
          <w:tcPr>
            <w:tcW w:w="820" w:type="dxa"/>
            <w:tcBorders>
              <w:top w:val="nil"/>
              <w:left w:val="nil"/>
              <w:bottom w:val="single" w:sz="4" w:space="0" w:color="auto"/>
              <w:right w:val="nil"/>
            </w:tcBorders>
            <w:shd w:val="clear" w:color="auto" w:fill="auto"/>
            <w:noWrap/>
            <w:vAlign w:val="bottom"/>
            <w:hideMark/>
          </w:tcPr>
          <w:p w14:paraId="07DAFE06" w14:textId="77777777" w:rsidR="00B751D3" w:rsidRDefault="00B751D3" w:rsidP="005A3B4D">
            <w:pPr>
              <w:jc w:val="right"/>
              <w:rPr>
                <w:color w:val="000000"/>
                <w:sz w:val="20"/>
                <w:szCs w:val="20"/>
              </w:rPr>
            </w:pPr>
            <w:r>
              <w:rPr>
                <w:color w:val="000000"/>
                <w:sz w:val="20"/>
                <w:szCs w:val="20"/>
              </w:rPr>
              <w:t>0.146</w:t>
            </w:r>
          </w:p>
        </w:tc>
        <w:tc>
          <w:tcPr>
            <w:tcW w:w="820" w:type="dxa"/>
            <w:tcBorders>
              <w:top w:val="nil"/>
              <w:left w:val="nil"/>
              <w:bottom w:val="single" w:sz="4" w:space="0" w:color="auto"/>
              <w:right w:val="nil"/>
            </w:tcBorders>
            <w:shd w:val="clear" w:color="auto" w:fill="auto"/>
            <w:noWrap/>
            <w:vAlign w:val="bottom"/>
            <w:hideMark/>
          </w:tcPr>
          <w:p w14:paraId="774FD131" w14:textId="77777777" w:rsidR="00B751D3" w:rsidRDefault="00B751D3" w:rsidP="005A3B4D">
            <w:pPr>
              <w:jc w:val="right"/>
              <w:rPr>
                <w:color w:val="000000"/>
                <w:sz w:val="20"/>
                <w:szCs w:val="20"/>
              </w:rPr>
            </w:pPr>
            <w:r>
              <w:rPr>
                <w:color w:val="000000"/>
                <w:sz w:val="20"/>
                <w:szCs w:val="20"/>
              </w:rPr>
              <w:t>0.001</w:t>
            </w:r>
          </w:p>
        </w:tc>
      </w:tr>
      <w:tr w:rsidR="00B751D3" w14:paraId="0C194A5C" w14:textId="77777777" w:rsidTr="005A3B4D">
        <w:trPr>
          <w:trHeight w:val="320"/>
        </w:trPr>
        <w:tc>
          <w:tcPr>
            <w:tcW w:w="1258" w:type="dxa"/>
            <w:tcBorders>
              <w:top w:val="nil"/>
              <w:left w:val="nil"/>
              <w:bottom w:val="nil"/>
              <w:right w:val="nil"/>
            </w:tcBorders>
            <w:shd w:val="clear" w:color="auto" w:fill="auto"/>
            <w:noWrap/>
            <w:vAlign w:val="bottom"/>
            <w:hideMark/>
          </w:tcPr>
          <w:p w14:paraId="7EEC5AF4" w14:textId="77777777" w:rsidR="00B751D3" w:rsidRDefault="00B751D3" w:rsidP="005A3B4D">
            <w:pPr>
              <w:rPr>
                <w:color w:val="000000"/>
                <w:sz w:val="20"/>
                <w:szCs w:val="20"/>
              </w:rPr>
            </w:pPr>
            <w:r>
              <w:rPr>
                <w:color w:val="000000"/>
                <w:sz w:val="20"/>
                <w:szCs w:val="20"/>
              </w:rPr>
              <w:t>Threshold 30%</w:t>
            </w:r>
          </w:p>
        </w:tc>
        <w:tc>
          <w:tcPr>
            <w:tcW w:w="1824" w:type="dxa"/>
            <w:tcBorders>
              <w:top w:val="nil"/>
              <w:left w:val="nil"/>
              <w:bottom w:val="nil"/>
              <w:right w:val="nil"/>
            </w:tcBorders>
            <w:shd w:val="clear" w:color="auto" w:fill="auto"/>
            <w:noWrap/>
            <w:vAlign w:val="center"/>
            <w:hideMark/>
          </w:tcPr>
          <w:p w14:paraId="4C6A429E" w14:textId="77777777" w:rsidR="00B751D3" w:rsidRDefault="00B751D3" w:rsidP="005A3B4D">
            <w:pPr>
              <w:rPr>
                <w:color w:val="000000"/>
                <w:sz w:val="20"/>
                <w:szCs w:val="20"/>
              </w:rPr>
            </w:pPr>
            <w:r>
              <w:rPr>
                <w:color w:val="000000"/>
                <w:sz w:val="20"/>
                <w:szCs w:val="20"/>
              </w:rPr>
              <w:t>Subcortical Cerebellar</w:t>
            </w:r>
          </w:p>
        </w:tc>
        <w:tc>
          <w:tcPr>
            <w:tcW w:w="820" w:type="dxa"/>
            <w:tcBorders>
              <w:top w:val="nil"/>
              <w:left w:val="nil"/>
              <w:bottom w:val="nil"/>
              <w:right w:val="nil"/>
            </w:tcBorders>
            <w:shd w:val="clear" w:color="auto" w:fill="auto"/>
            <w:noWrap/>
            <w:vAlign w:val="bottom"/>
            <w:hideMark/>
          </w:tcPr>
          <w:p w14:paraId="238A8A88" w14:textId="77777777" w:rsidR="00B751D3" w:rsidRDefault="00B751D3" w:rsidP="005A3B4D">
            <w:pPr>
              <w:jc w:val="right"/>
              <w:rPr>
                <w:color w:val="000000"/>
                <w:sz w:val="20"/>
                <w:szCs w:val="20"/>
              </w:rPr>
            </w:pPr>
            <w:r>
              <w:rPr>
                <w:color w:val="000000"/>
                <w:sz w:val="20"/>
                <w:szCs w:val="20"/>
              </w:rPr>
              <w:t>0.003</w:t>
            </w:r>
          </w:p>
        </w:tc>
        <w:tc>
          <w:tcPr>
            <w:tcW w:w="820" w:type="dxa"/>
            <w:tcBorders>
              <w:top w:val="nil"/>
              <w:left w:val="nil"/>
              <w:bottom w:val="nil"/>
              <w:right w:val="nil"/>
            </w:tcBorders>
            <w:shd w:val="clear" w:color="auto" w:fill="auto"/>
            <w:noWrap/>
            <w:vAlign w:val="bottom"/>
            <w:hideMark/>
          </w:tcPr>
          <w:p w14:paraId="14F142CC" w14:textId="77777777" w:rsidR="00B751D3" w:rsidRDefault="00B751D3" w:rsidP="005A3B4D">
            <w:pPr>
              <w:jc w:val="right"/>
              <w:rPr>
                <w:color w:val="000000"/>
                <w:sz w:val="20"/>
                <w:szCs w:val="20"/>
              </w:rPr>
            </w:pPr>
            <w:r>
              <w:rPr>
                <w:color w:val="000000"/>
                <w:sz w:val="20"/>
                <w:szCs w:val="20"/>
              </w:rPr>
              <w:t>0.911</w:t>
            </w:r>
          </w:p>
        </w:tc>
        <w:tc>
          <w:tcPr>
            <w:tcW w:w="820" w:type="dxa"/>
            <w:tcBorders>
              <w:top w:val="nil"/>
              <w:left w:val="nil"/>
              <w:bottom w:val="nil"/>
              <w:right w:val="nil"/>
            </w:tcBorders>
            <w:shd w:val="clear" w:color="auto" w:fill="auto"/>
            <w:noWrap/>
            <w:vAlign w:val="bottom"/>
            <w:hideMark/>
          </w:tcPr>
          <w:p w14:paraId="069C5937"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371742EF" w14:textId="77777777" w:rsidR="00B751D3" w:rsidRDefault="00B751D3" w:rsidP="005A3B4D">
            <w:pPr>
              <w:jc w:val="right"/>
              <w:rPr>
                <w:color w:val="000000"/>
                <w:sz w:val="20"/>
                <w:szCs w:val="20"/>
              </w:rPr>
            </w:pPr>
            <w:r>
              <w:rPr>
                <w:color w:val="000000"/>
                <w:sz w:val="20"/>
                <w:szCs w:val="20"/>
              </w:rPr>
              <w:t>-0.008</w:t>
            </w:r>
          </w:p>
        </w:tc>
        <w:tc>
          <w:tcPr>
            <w:tcW w:w="820" w:type="dxa"/>
            <w:tcBorders>
              <w:top w:val="nil"/>
              <w:left w:val="nil"/>
              <w:bottom w:val="nil"/>
              <w:right w:val="nil"/>
            </w:tcBorders>
            <w:shd w:val="clear" w:color="auto" w:fill="auto"/>
            <w:noWrap/>
            <w:vAlign w:val="bottom"/>
            <w:hideMark/>
          </w:tcPr>
          <w:p w14:paraId="126FAE42" w14:textId="77777777" w:rsidR="00B751D3" w:rsidRDefault="00B751D3" w:rsidP="005A3B4D">
            <w:pPr>
              <w:jc w:val="right"/>
              <w:rPr>
                <w:color w:val="000000"/>
                <w:sz w:val="20"/>
                <w:szCs w:val="20"/>
              </w:rPr>
            </w:pPr>
            <w:r>
              <w:rPr>
                <w:color w:val="000000"/>
                <w:sz w:val="20"/>
                <w:szCs w:val="20"/>
              </w:rPr>
              <w:t>0.679</w:t>
            </w:r>
          </w:p>
        </w:tc>
        <w:tc>
          <w:tcPr>
            <w:tcW w:w="820" w:type="dxa"/>
            <w:tcBorders>
              <w:top w:val="nil"/>
              <w:left w:val="nil"/>
              <w:bottom w:val="nil"/>
              <w:right w:val="nil"/>
            </w:tcBorders>
            <w:shd w:val="clear" w:color="auto" w:fill="auto"/>
            <w:noWrap/>
            <w:vAlign w:val="bottom"/>
            <w:hideMark/>
          </w:tcPr>
          <w:p w14:paraId="617CCEE0" w14:textId="77777777" w:rsidR="00B751D3" w:rsidRDefault="00B751D3" w:rsidP="005A3B4D">
            <w:pPr>
              <w:jc w:val="right"/>
              <w:rPr>
                <w:color w:val="000000"/>
                <w:sz w:val="20"/>
                <w:szCs w:val="20"/>
              </w:rPr>
            </w:pPr>
            <w:r>
              <w:rPr>
                <w:color w:val="000000"/>
                <w:sz w:val="20"/>
                <w:szCs w:val="20"/>
              </w:rPr>
              <w:t>0.000</w:t>
            </w:r>
          </w:p>
        </w:tc>
      </w:tr>
      <w:tr w:rsidR="00B751D3" w14:paraId="21884689" w14:textId="77777777" w:rsidTr="005A3B4D">
        <w:trPr>
          <w:trHeight w:val="320"/>
        </w:trPr>
        <w:tc>
          <w:tcPr>
            <w:tcW w:w="1258" w:type="dxa"/>
            <w:tcBorders>
              <w:top w:val="nil"/>
              <w:left w:val="nil"/>
              <w:bottom w:val="nil"/>
              <w:right w:val="nil"/>
            </w:tcBorders>
            <w:shd w:val="clear" w:color="auto" w:fill="auto"/>
            <w:noWrap/>
            <w:vAlign w:val="bottom"/>
            <w:hideMark/>
          </w:tcPr>
          <w:p w14:paraId="41465CE0"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4365D2B8" w14:textId="77777777" w:rsidR="00B751D3" w:rsidRDefault="00B751D3" w:rsidP="005A3B4D">
            <w:pPr>
              <w:rPr>
                <w:color w:val="000000"/>
                <w:sz w:val="20"/>
                <w:szCs w:val="20"/>
              </w:rPr>
            </w:pPr>
            <w:r>
              <w:rPr>
                <w:color w:val="000000"/>
                <w:sz w:val="20"/>
                <w:szCs w:val="20"/>
              </w:rPr>
              <w:t xml:space="preserve">Motor </w:t>
            </w:r>
          </w:p>
        </w:tc>
        <w:tc>
          <w:tcPr>
            <w:tcW w:w="820" w:type="dxa"/>
            <w:tcBorders>
              <w:top w:val="nil"/>
              <w:left w:val="nil"/>
              <w:bottom w:val="nil"/>
              <w:right w:val="nil"/>
            </w:tcBorders>
            <w:shd w:val="clear" w:color="auto" w:fill="auto"/>
            <w:noWrap/>
            <w:vAlign w:val="bottom"/>
            <w:hideMark/>
          </w:tcPr>
          <w:p w14:paraId="3451B26A" w14:textId="77777777" w:rsidR="00B751D3" w:rsidRDefault="00B751D3" w:rsidP="005A3B4D">
            <w:pPr>
              <w:jc w:val="right"/>
              <w:rPr>
                <w:color w:val="000000"/>
                <w:sz w:val="20"/>
                <w:szCs w:val="20"/>
              </w:rPr>
            </w:pPr>
            <w:r>
              <w:rPr>
                <w:color w:val="000000"/>
                <w:sz w:val="20"/>
                <w:szCs w:val="20"/>
              </w:rPr>
              <w:t>0.005</w:t>
            </w:r>
          </w:p>
        </w:tc>
        <w:tc>
          <w:tcPr>
            <w:tcW w:w="820" w:type="dxa"/>
            <w:tcBorders>
              <w:top w:val="nil"/>
              <w:left w:val="nil"/>
              <w:bottom w:val="nil"/>
              <w:right w:val="nil"/>
            </w:tcBorders>
            <w:shd w:val="clear" w:color="auto" w:fill="auto"/>
            <w:noWrap/>
            <w:vAlign w:val="bottom"/>
            <w:hideMark/>
          </w:tcPr>
          <w:p w14:paraId="3D36509E" w14:textId="77777777" w:rsidR="00B751D3" w:rsidRDefault="00B751D3" w:rsidP="005A3B4D">
            <w:pPr>
              <w:jc w:val="right"/>
              <w:rPr>
                <w:color w:val="000000"/>
                <w:sz w:val="20"/>
                <w:szCs w:val="20"/>
              </w:rPr>
            </w:pPr>
            <w:r>
              <w:rPr>
                <w:color w:val="000000"/>
                <w:sz w:val="20"/>
                <w:szCs w:val="20"/>
              </w:rPr>
              <w:t>0.911</w:t>
            </w:r>
          </w:p>
        </w:tc>
        <w:tc>
          <w:tcPr>
            <w:tcW w:w="820" w:type="dxa"/>
            <w:tcBorders>
              <w:top w:val="nil"/>
              <w:left w:val="nil"/>
              <w:bottom w:val="nil"/>
              <w:right w:val="nil"/>
            </w:tcBorders>
            <w:shd w:val="clear" w:color="auto" w:fill="auto"/>
            <w:noWrap/>
            <w:vAlign w:val="bottom"/>
            <w:hideMark/>
          </w:tcPr>
          <w:p w14:paraId="67BF9B82"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3CBDA976" w14:textId="77777777" w:rsidR="00B751D3" w:rsidRDefault="00B751D3" w:rsidP="005A3B4D">
            <w:pPr>
              <w:jc w:val="right"/>
              <w:rPr>
                <w:color w:val="000000"/>
                <w:sz w:val="20"/>
                <w:szCs w:val="20"/>
              </w:rPr>
            </w:pPr>
            <w:r>
              <w:rPr>
                <w:color w:val="000000"/>
                <w:sz w:val="20"/>
                <w:szCs w:val="20"/>
              </w:rPr>
              <w:t>-0.024</w:t>
            </w:r>
          </w:p>
        </w:tc>
        <w:tc>
          <w:tcPr>
            <w:tcW w:w="820" w:type="dxa"/>
            <w:tcBorders>
              <w:top w:val="nil"/>
              <w:left w:val="nil"/>
              <w:bottom w:val="nil"/>
              <w:right w:val="nil"/>
            </w:tcBorders>
            <w:shd w:val="clear" w:color="auto" w:fill="auto"/>
            <w:noWrap/>
            <w:vAlign w:val="bottom"/>
            <w:hideMark/>
          </w:tcPr>
          <w:p w14:paraId="531AE889" w14:textId="77777777" w:rsidR="00B751D3" w:rsidRDefault="00B751D3" w:rsidP="005A3B4D">
            <w:pPr>
              <w:jc w:val="right"/>
              <w:rPr>
                <w:color w:val="000000"/>
                <w:sz w:val="20"/>
                <w:szCs w:val="20"/>
              </w:rPr>
            </w:pPr>
            <w:r>
              <w:rPr>
                <w:color w:val="000000"/>
                <w:sz w:val="20"/>
                <w:szCs w:val="20"/>
              </w:rPr>
              <w:t>0.466</w:t>
            </w:r>
          </w:p>
        </w:tc>
        <w:tc>
          <w:tcPr>
            <w:tcW w:w="820" w:type="dxa"/>
            <w:tcBorders>
              <w:top w:val="nil"/>
              <w:left w:val="nil"/>
              <w:bottom w:val="nil"/>
              <w:right w:val="nil"/>
            </w:tcBorders>
            <w:shd w:val="clear" w:color="auto" w:fill="auto"/>
            <w:noWrap/>
            <w:vAlign w:val="bottom"/>
            <w:hideMark/>
          </w:tcPr>
          <w:p w14:paraId="4A57B359" w14:textId="77777777" w:rsidR="00B751D3" w:rsidRDefault="00B751D3" w:rsidP="005A3B4D">
            <w:pPr>
              <w:jc w:val="right"/>
              <w:rPr>
                <w:color w:val="000000"/>
                <w:sz w:val="20"/>
                <w:szCs w:val="20"/>
              </w:rPr>
            </w:pPr>
            <w:r>
              <w:rPr>
                <w:color w:val="000000"/>
                <w:sz w:val="20"/>
                <w:szCs w:val="20"/>
              </w:rPr>
              <w:t>0.001</w:t>
            </w:r>
          </w:p>
        </w:tc>
      </w:tr>
      <w:tr w:rsidR="00B751D3" w14:paraId="314A229F" w14:textId="77777777" w:rsidTr="005A3B4D">
        <w:trPr>
          <w:trHeight w:val="320"/>
        </w:trPr>
        <w:tc>
          <w:tcPr>
            <w:tcW w:w="1258" w:type="dxa"/>
            <w:tcBorders>
              <w:top w:val="nil"/>
              <w:left w:val="nil"/>
              <w:bottom w:val="nil"/>
              <w:right w:val="nil"/>
            </w:tcBorders>
            <w:shd w:val="clear" w:color="auto" w:fill="auto"/>
            <w:noWrap/>
            <w:vAlign w:val="bottom"/>
            <w:hideMark/>
          </w:tcPr>
          <w:p w14:paraId="0406AA26"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0EBA2603" w14:textId="77777777" w:rsidR="00B751D3" w:rsidRDefault="00B751D3" w:rsidP="005A3B4D">
            <w:pPr>
              <w:rPr>
                <w:color w:val="000000"/>
                <w:sz w:val="20"/>
                <w:szCs w:val="20"/>
              </w:rPr>
            </w:pPr>
            <w:r>
              <w:rPr>
                <w:color w:val="000000"/>
                <w:sz w:val="20"/>
                <w:szCs w:val="20"/>
              </w:rPr>
              <w:t>Medial Frontal</w:t>
            </w:r>
          </w:p>
        </w:tc>
        <w:tc>
          <w:tcPr>
            <w:tcW w:w="820" w:type="dxa"/>
            <w:tcBorders>
              <w:top w:val="nil"/>
              <w:left w:val="nil"/>
              <w:bottom w:val="nil"/>
              <w:right w:val="nil"/>
            </w:tcBorders>
            <w:shd w:val="clear" w:color="auto" w:fill="auto"/>
            <w:noWrap/>
            <w:vAlign w:val="bottom"/>
            <w:hideMark/>
          </w:tcPr>
          <w:p w14:paraId="1650E908" w14:textId="77777777" w:rsidR="00B751D3" w:rsidRDefault="00B751D3" w:rsidP="005A3B4D">
            <w:pPr>
              <w:jc w:val="right"/>
              <w:rPr>
                <w:color w:val="000000"/>
                <w:sz w:val="20"/>
                <w:szCs w:val="20"/>
              </w:rPr>
            </w:pPr>
            <w:r>
              <w:rPr>
                <w:color w:val="000000"/>
                <w:sz w:val="20"/>
                <w:szCs w:val="20"/>
              </w:rPr>
              <w:t>0.019</w:t>
            </w:r>
          </w:p>
        </w:tc>
        <w:tc>
          <w:tcPr>
            <w:tcW w:w="820" w:type="dxa"/>
            <w:tcBorders>
              <w:top w:val="nil"/>
              <w:left w:val="nil"/>
              <w:bottom w:val="nil"/>
              <w:right w:val="nil"/>
            </w:tcBorders>
            <w:shd w:val="clear" w:color="auto" w:fill="auto"/>
            <w:noWrap/>
            <w:vAlign w:val="bottom"/>
            <w:hideMark/>
          </w:tcPr>
          <w:p w14:paraId="39088444" w14:textId="77777777" w:rsidR="00B751D3" w:rsidRDefault="00B751D3" w:rsidP="005A3B4D">
            <w:pPr>
              <w:jc w:val="right"/>
              <w:rPr>
                <w:color w:val="000000"/>
                <w:sz w:val="20"/>
                <w:szCs w:val="20"/>
              </w:rPr>
            </w:pPr>
            <w:r>
              <w:rPr>
                <w:color w:val="000000"/>
                <w:sz w:val="20"/>
                <w:szCs w:val="20"/>
              </w:rPr>
              <w:t>0.762</w:t>
            </w:r>
          </w:p>
        </w:tc>
        <w:tc>
          <w:tcPr>
            <w:tcW w:w="820" w:type="dxa"/>
            <w:tcBorders>
              <w:top w:val="nil"/>
              <w:left w:val="nil"/>
              <w:bottom w:val="nil"/>
              <w:right w:val="nil"/>
            </w:tcBorders>
            <w:shd w:val="clear" w:color="auto" w:fill="auto"/>
            <w:noWrap/>
            <w:vAlign w:val="bottom"/>
            <w:hideMark/>
          </w:tcPr>
          <w:p w14:paraId="16C6EC90"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686E0B34" w14:textId="77777777" w:rsidR="00B751D3" w:rsidRDefault="00B751D3" w:rsidP="005A3B4D">
            <w:pPr>
              <w:jc w:val="right"/>
              <w:rPr>
                <w:color w:val="000000"/>
                <w:sz w:val="20"/>
                <w:szCs w:val="20"/>
              </w:rPr>
            </w:pPr>
            <w:r>
              <w:rPr>
                <w:color w:val="000000"/>
                <w:sz w:val="20"/>
                <w:szCs w:val="20"/>
              </w:rPr>
              <w:t>-0.012</w:t>
            </w:r>
          </w:p>
        </w:tc>
        <w:tc>
          <w:tcPr>
            <w:tcW w:w="820" w:type="dxa"/>
            <w:tcBorders>
              <w:top w:val="nil"/>
              <w:left w:val="nil"/>
              <w:bottom w:val="nil"/>
              <w:right w:val="nil"/>
            </w:tcBorders>
            <w:shd w:val="clear" w:color="auto" w:fill="auto"/>
            <w:noWrap/>
            <w:vAlign w:val="bottom"/>
            <w:hideMark/>
          </w:tcPr>
          <w:p w14:paraId="60B0C140" w14:textId="77777777" w:rsidR="00B751D3" w:rsidRDefault="00B751D3" w:rsidP="005A3B4D">
            <w:pPr>
              <w:jc w:val="right"/>
              <w:rPr>
                <w:color w:val="000000"/>
                <w:sz w:val="20"/>
                <w:szCs w:val="20"/>
              </w:rPr>
            </w:pPr>
            <w:r>
              <w:rPr>
                <w:color w:val="000000"/>
                <w:sz w:val="20"/>
                <w:szCs w:val="20"/>
              </w:rPr>
              <w:t>0.679</w:t>
            </w:r>
          </w:p>
        </w:tc>
        <w:tc>
          <w:tcPr>
            <w:tcW w:w="820" w:type="dxa"/>
            <w:tcBorders>
              <w:top w:val="nil"/>
              <w:left w:val="nil"/>
              <w:bottom w:val="nil"/>
              <w:right w:val="nil"/>
            </w:tcBorders>
            <w:shd w:val="clear" w:color="auto" w:fill="auto"/>
            <w:noWrap/>
            <w:vAlign w:val="bottom"/>
            <w:hideMark/>
          </w:tcPr>
          <w:p w14:paraId="77F29BA6" w14:textId="77777777" w:rsidR="00B751D3" w:rsidRDefault="00B751D3" w:rsidP="005A3B4D">
            <w:pPr>
              <w:jc w:val="right"/>
              <w:rPr>
                <w:color w:val="000000"/>
                <w:sz w:val="20"/>
                <w:szCs w:val="20"/>
              </w:rPr>
            </w:pPr>
            <w:r>
              <w:rPr>
                <w:color w:val="000000"/>
                <w:sz w:val="20"/>
                <w:szCs w:val="20"/>
              </w:rPr>
              <w:t>0.000</w:t>
            </w:r>
          </w:p>
        </w:tc>
      </w:tr>
      <w:tr w:rsidR="00B751D3" w14:paraId="6A523B2D" w14:textId="77777777" w:rsidTr="005A3B4D">
        <w:trPr>
          <w:trHeight w:val="320"/>
        </w:trPr>
        <w:tc>
          <w:tcPr>
            <w:tcW w:w="1258" w:type="dxa"/>
            <w:tcBorders>
              <w:top w:val="nil"/>
              <w:left w:val="nil"/>
              <w:bottom w:val="nil"/>
              <w:right w:val="nil"/>
            </w:tcBorders>
            <w:shd w:val="clear" w:color="auto" w:fill="auto"/>
            <w:noWrap/>
            <w:vAlign w:val="bottom"/>
            <w:hideMark/>
          </w:tcPr>
          <w:p w14:paraId="041EF639"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32D88E9F" w14:textId="77777777" w:rsidR="00B751D3" w:rsidRDefault="00B751D3" w:rsidP="005A3B4D">
            <w:pPr>
              <w:rPr>
                <w:color w:val="000000"/>
                <w:sz w:val="20"/>
                <w:szCs w:val="20"/>
              </w:rPr>
            </w:pPr>
            <w:r>
              <w:rPr>
                <w:color w:val="000000"/>
                <w:sz w:val="20"/>
                <w:szCs w:val="20"/>
              </w:rPr>
              <w:t>Frontoparietal</w:t>
            </w:r>
          </w:p>
        </w:tc>
        <w:tc>
          <w:tcPr>
            <w:tcW w:w="820" w:type="dxa"/>
            <w:tcBorders>
              <w:top w:val="nil"/>
              <w:left w:val="nil"/>
              <w:bottom w:val="nil"/>
              <w:right w:val="nil"/>
            </w:tcBorders>
            <w:shd w:val="clear" w:color="auto" w:fill="auto"/>
            <w:noWrap/>
            <w:vAlign w:val="bottom"/>
            <w:hideMark/>
          </w:tcPr>
          <w:p w14:paraId="38E44028" w14:textId="77777777" w:rsidR="00B751D3" w:rsidRDefault="00B751D3" w:rsidP="005A3B4D">
            <w:pPr>
              <w:jc w:val="right"/>
              <w:rPr>
                <w:color w:val="000000"/>
                <w:sz w:val="20"/>
                <w:szCs w:val="20"/>
              </w:rPr>
            </w:pPr>
            <w:r>
              <w:rPr>
                <w:color w:val="000000"/>
                <w:sz w:val="20"/>
                <w:szCs w:val="20"/>
              </w:rPr>
              <w:t>0.045</w:t>
            </w:r>
          </w:p>
        </w:tc>
        <w:tc>
          <w:tcPr>
            <w:tcW w:w="820" w:type="dxa"/>
            <w:tcBorders>
              <w:top w:val="nil"/>
              <w:left w:val="nil"/>
              <w:bottom w:val="nil"/>
              <w:right w:val="nil"/>
            </w:tcBorders>
            <w:shd w:val="clear" w:color="auto" w:fill="auto"/>
            <w:noWrap/>
            <w:vAlign w:val="bottom"/>
            <w:hideMark/>
          </w:tcPr>
          <w:p w14:paraId="277E0291" w14:textId="77777777" w:rsidR="00B751D3" w:rsidRDefault="00B751D3" w:rsidP="005A3B4D">
            <w:pPr>
              <w:jc w:val="right"/>
              <w:rPr>
                <w:color w:val="000000"/>
                <w:sz w:val="20"/>
                <w:szCs w:val="20"/>
              </w:rPr>
            </w:pPr>
            <w:r>
              <w:rPr>
                <w:color w:val="000000"/>
                <w:sz w:val="20"/>
                <w:szCs w:val="20"/>
              </w:rPr>
              <w:t>0.336</w:t>
            </w:r>
          </w:p>
        </w:tc>
        <w:tc>
          <w:tcPr>
            <w:tcW w:w="820" w:type="dxa"/>
            <w:tcBorders>
              <w:top w:val="nil"/>
              <w:left w:val="nil"/>
              <w:bottom w:val="nil"/>
              <w:right w:val="nil"/>
            </w:tcBorders>
            <w:shd w:val="clear" w:color="auto" w:fill="auto"/>
            <w:noWrap/>
            <w:vAlign w:val="bottom"/>
            <w:hideMark/>
          </w:tcPr>
          <w:p w14:paraId="28354BD2" w14:textId="77777777" w:rsidR="00B751D3" w:rsidRDefault="00B751D3" w:rsidP="005A3B4D">
            <w:pPr>
              <w:jc w:val="right"/>
              <w:rPr>
                <w:color w:val="000000"/>
                <w:sz w:val="20"/>
                <w:szCs w:val="20"/>
              </w:rPr>
            </w:pPr>
            <w:r>
              <w:rPr>
                <w:color w:val="000000"/>
                <w:sz w:val="20"/>
                <w:szCs w:val="20"/>
              </w:rPr>
              <w:t>0.002</w:t>
            </w:r>
          </w:p>
        </w:tc>
        <w:tc>
          <w:tcPr>
            <w:tcW w:w="820" w:type="dxa"/>
            <w:tcBorders>
              <w:top w:val="nil"/>
              <w:left w:val="nil"/>
              <w:bottom w:val="nil"/>
              <w:right w:val="nil"/>
            </w:tcBorders>
            <w:shd w:val="clear" w:color="auto" w:fill="auto"/>
            <w:noWrap/>
            <w:vAlign w:val="bottom"/>
            <w:hideMark/>
          </w:tcPr>
          <w:p w14:paraId="1FAA7448" w14:textId="77777777" w:rsidR="00B751D3" w:rsidRDefault="00B751D3" w:rsidP="005A3B4D">
            <w:pPr>
              <w:jc w:val="right"/>
              <w:rPr>
                <w:b/>
                <w:bCs/>
                <w:color w:val="000000"/>
                <w:sz w:val="20"/>
                <w:szCs w:val="20"/>
              </w:rPr>
            </w:pPr>
            <w:r>
              <w:rPr>
                <w:b/>
                <w:bCs/>
                <w:color w:val="000000"/>
                <w:sz w:val="20"/>
                <w:szCs w:val="20"/>
              </w:rPr>
              <w:t>0.060</w:t>
            </w:r>
          </w:p>
        </w:tc>
        <w:tc>
          <w:tcPr>
            <w:tcW w:w="820" w:type="dxa"/>
            <w:tcBorders>
              <w:top w:val="nil"/>
              <w:left w:val="nil"/>
              <w:bottom w:val="nil"/>
              <w:right w:val="nil"/>
            </w:tcBorders>
            <w:shd w:val="clear" w:color="auto" w:fill="auto"/>
            <w:noWrap/>
            <w:vAlign w:val="bottom"/>
            <w:hideMark/>
          </w:tcPr>
          <w:p w14:paraId="693BC273" w14:textId="77777777" w:rsidR="00B751D3" w:rsidRDefault="00B751D3" w:rsidP="005A3B4D">
            <w:pPr>
              <w:jc w:val="right"/>
              <w:rPr>
                <w:b/>
                <w:bCs/>
                <w:color w:val="000000"/>
                <w:sz w:val="20"/>
                <w:szCs w:val="20"/>
              </w:rPr>
            </w:pPr>
            <w:r>
              <w:rPr>
                <w:b/>
                <w:bCs/>
                <w:color w:val="000000"/>
                <w:sz w:val="20"/>
                <w:szCs w:val="20"/>
              </w:rPr>
              <w:t>0.008</w:t>
            </w:r>
          </w:p>
        </w:tc>
        <w:tc>
          <w:tcPr>
            <w:tcW w:w="820" w:type="dxa"/>
            <w:tcBorders>
              <w:top w:val="nil"/>
              <w:left w:val="nil"/>
              <w:bottom w:val="nil"/>
              <w:right w:val="nil"/>
            </w:tcBorders>
            <w:shd w:val="clear" w:color="auto" w:fill="auto"/>
            <w:noWrap/>
            <w:vAlign w:val="bottom"/>
            <w:hideMark/>
          </w:tcPr>
          <w:p w14:paraId="349F9CE1" w14:textId="77777777" w:rsidR="00B751D3" w:rsidRDefault="00B751D3" w:rsidP="005A3B4D">
            <w:pPr>
              <w:jc w:val="right"/>
              <w:rPr>
                <w:b/>
                <w:bCs/>
                <w:color w:val="000000"/>
                <w:sz w:val="20"/>
                <w:szCs w:val="20"/>
              </w:rPr>
            </w:pPr>
            <w:r>
              <w:rPr>
                <w:b/>
                <w:bCs/>
                <w:color w:val="000000"/>
                <w:sz w:val="20"/>
                <w:szCs w:val="20"/>
              </w:rPr>
              <w:t>0.004</w:t>
            </w:r>
          </w:p>
        </w:tc>
      </w:tr>
      <w:tr w:rsidR="00B751D3" w14:paraId="368B02D7" w14:textId="77777777" w:rsidTr="005A3B4D">
        <w:trPr>
          <w:trHeight w:val="320"/>
        </w:trPr>
        <w:tc>
          <w:tcPr>
            <w:tcW w:w="1258" w:type="dxa"/>
            <w:tcBorders>
              <w:top w:val="nil"/>
              <w:left w:val="nil"/>
              <w:bottom w:val="nil"/>
              <w:right w:val="nil"/>
            </w:tcBorders>
            <w:shd w:val="clear" w:color="auto" w:fill="auto"/>
            <w:noWrap/>
            <w:vAlign w:val="bottom"/>
            <w:hideMark/>
          </w:tcPr>
          <w:p w14:paraId="6FB52C93" w14:textId="77777777" w:rsidR="00B751D3" w:rsidRDefault="00B751D3" w:rsidP="005A3B4D">
            <w:pPr>
              <w:jc w:val="right"/>
              <w:rPr>
                <w:b/>
                <w:bCs/>
                <w:color w:val="000000"/>
                <w:sz w:val="20"/>
                <w:szCs w:val="20"/>
              </w:rPr>
            </w:pPr>
          </w:p>
        </w:tc>
        <w:tc>
          <w:tcPr>
            <w:tcW w:w="1824" w:type="dxa"/>
            <w:tcBorders>
              <w:top w:val="nil"/>
              <w:left w:val="nil"/>
              <w:bottom w:val="nil"/>
              <w:right w:val="nil"/>
            </w:tcBorders>
            <w:shd w:val="clear" w:color="auto" w:fill="auto"/>
            <w:noWrap/>
            <w:vAlign w:val="center"/>
            <w:hideMark/>
          </w:tcPr>
          <w:p w14:paraId="147BED94" w14:textId="77777777" w:rsidR="00B751D3" w:rsidRDefault="00B751D3" w:rsidP="005A3B4D">
            <w:pPr>
              <w:rPr>
                <w:color w:val="000000"/>
                <w:sz w:val="20"/>
                <w:szCs w:val="20"/>
              </w:rPr>
            </w:pPr>
            <w:r>
              <w:rPr>
                <w:color w:val="000000"/>
                <w:sz w:val="20"/>
                <w:szCs w:val="20"/>
              </w:rPr>
              <w:t>Default Mode</w:t>
            </w:r>
          </w:p>
        </w:tc>
        <w:tc>
          <w:tcPr>
            <w:tcW w:w="820" w:type="dxa"/>
            <w:tcBorders>
              <w:top w:val="nil"/>
              <w:left w:val="nil"/>
              <w:bottom w:val="nil"/>
              <w:right w:val="nil"/>
            </w:tcBorders>
            <w:shd w:val="clear" w:color="auto" w:fill="auto"/>
            <w:noWrap/>
            <w:vAlign w:val="bottom"/>
            <w:hideMark/>
          </w:tcPr>
          <w:p w14:paraId="71560913" w14:textId="77777777" w:rsidR="00B751D3" w:rsidRDefault="00B751D3" w:rsidP="005A3B4D">
            <w:pPr>
              <w:jc w:val="right"/>
              <w:rPr>
                <w:color w:val="000000"/>
                <w:sz w:val="20"/>
                <w:szCs w:val="20"/>
              </w:rPr>
            </w:pPr>
            <w:r>
              <w:rPr>
                <w:color w:val="000000"/>
                <w:sz w:val="20"/>
                <w:szCs w:val="20"/>
              </w:rPr>
              <w:t>0.030</w:t>
            </w:r>
          </w:p>
        </w:tc>
        <w:tc>
          <w:tcPr>
            <w:tcW w:w="820" w:type="dxa"/>
            <w:tcBorders>
              <w:top w:val="nil"/>
              <w:left w:val="nil"/>
              <w:bottom w:val="nil"/>
              <w:right w:val="nil"/>
            </w:tcBorders>
            <w:shd w:val="clear" w:color="auto" w:fill="auto"/>
            <w:noWrap/>
            <w:vAlign w:val="bottom"/>
            <w:hideMark/>
          </w:tcPr>
          <w:p w14:paraId="0CA71498" w14:textId="77777777" w:rsidR="00B751D3" w:rsidRDefault="00B751D3" w:rsidP="005A3B4D">
            <w:pPr>
              <w:jc w:val="right"/>
              <w:rPr>
                <w:color w:val="000000"/>
                <w:sz w:val="20"/>
                <w:szCs w:val="20"/>
              </w:rPr>
            </w:pPr>
            <w:r>
              <w:rPr>
                <w:color w:val="000000"/>
                <w:sz w:val="20"/>
                <w:szCs w:val="20"/>
              </w:rPr>
              <w:t>0.762</w:t>
            </w:r>
          </w:p>
        </w:tc>
        <w:tc>
          <w:tcPr>
            <w:tcW w:w="820" w:type="dxa"/>
            <w:tcBorders>
              <w:top w:val="nil"/>
              <w:left w:val="nil"/>
              <w:bottom w:val="nil"/>
              <w:right w:val="nil"/>
            </w:tcBorders>
            <w:shd w:val="clear" w:color="auto" w:fill="auto"/>
            <w:noWrap/>
            <w:vAlign w:val="bottom"/>
            <w:hideMark/>
          </w:tcPr>
          <w:p w14:paraId="00CDB3E9" w14:textId="77777777" w:rsidR="00B751D3" w:rsidRDefault="00B751D3" w:rsidP="005A3B4D">
            <w:pPr>
              <w:jc w:val="right"/>
              <w:rPr>
                <w:color w:val="000000"/>
                <w:sz w:val="20"/>
                <w:szCs w:val="20"/>
              </w:rPr>
            </w:pPr>
            <w:r>
              <w:rPr>
                <w:color w:val="000000"/>
                <w:sz w:val="20"/>
                <w:szCs w:val="20"/>
              </w:rPr>
              <w:t>0.001</w:t>
            </w:r>
          </w:p>
        </w:tc>
        <w:tc>
          <w:tcPr>
            <w:tcW w:w="820" w:type="dxa"/>
            <w:tcBorders>
              <w:top w:val="nil"/>
              <w:left w:val="nil"/>
              <w:bottom w:val="nil"/>
              <w:right w:val="nil"/>
            </w:tcBorders>
            <w:shd w:val="clear" w:color="auto" w:fill="auto"/>
            <w:noWrap/>
            <w:vAlign w:val="bottom"/>
            <w:hideMark/>
          </w:tcPr>
          <w:p w14:paraId="6E7B96F5" w14:textId="77777777" w:rsidR="00B751D3" w:rsidRDefault="00B751D3" w:rsidP="005A3B4D">
            <w:pPr>
              <w:jc w:val="right"/>
              <w:rPr>
                <w:b/>
                <w:bCs/>
                <w:color w:val="000000"/>
                <w:sz w:val="20"/>
                <w:szCs w:val="20"/>
              </w:rPr>
            </w:pPr>
            <w:r>
              <w:rPr>
                <w:b/>
                <w:bCs/>
                <w:color w:val="000000"/>
                <w:sz w:val="20"/>
                <w:szCs w:val="20"/>
              </w:rPr>
              <w:t>0.071</w:t>
            </w:r>
          </w:p>
        </w:tc>
        <w:tc>
          <w:tcPr>
            <w:tcW w:w="820" w:type="dxa"/>
            <w:tcBorders>
              <w:top w:val="nil"/>
              <w:left w:val="nil"/>
              <w:bottom w:val="nil"/>
              <w:right w:val="nil"/>
            </w:tcBorders>
            <w:shd w:val="clear" w:color="auto" w:fill="auto"/>
            <w:noWrap/>
            <w:vAlign w:val="bottom"/>
            <w:hideMark/>
          </w:tcPr>
          <w:p w14:paraId="165B2061" w14:textId="77777777" w:rsidR="00B751D3" w:rsidRDefault="00B751D3" w:rsidP="005A3B4D">
            <w:pPr>
              <w:jc w:val="right"/>
              <w:rPr>
                <w:b/>
                <w:bCs/>
                <w:color w:val="000000"/>
                <w:sz w:val="20"/>
                <w:szCs w:val="20"/>
              </w:rPr>
            </w:pPr>
            <w:r>
              <w:rPr>
                <w:b/>
                <w:bCs/>
                <w:color w:val="000000"/>
                <w:sz w:val="20"/>
                <w:szCs w:val="20"/>
              </w:rPr>
              <w:t>0.000</w:t>
            </w:r>
          </w:p>
        </w:tc>
        <w:tc>
          <w:tcPr>
            <w:tcW w:w="820" w:type="dxa"/>
            <w:tcBorders>
              <w:top w:val="nil"/>
              <w:left w:val="nil"/>
              <w:bottom w:val="nil"/>
              <w:right w:val="nil"/>
            </w:tcBorders>
            <w:shd w:val="clear" w:color="auto" w:fill="auto"/>
            <w:noWrap/>
            <w:vAlign w:val="bottom"/>
            <w:hideMark/>
          </w:tcPr>
          <w:p w14:paraId="40F5F37E" w14:textId="77777777" w:rsidR="00B751D3" w:rsidRDefault="00B751D3" w:rsidP="005A3B4D">
            <w:pPr>
              <w:jc w:val="right"/>
              <w:rPr>
                <w:b/>
                <w:bCs/>
                <w:color w:val="000000"/>
                <w:sz w:val="20"/>
                <w:szCs w:val="20"/>
              </w:rPr>
            </w:pPr>
            <w:r>
              <w:rPr>
                <w:b/>
                <w:bCs/>
                <w:color w:val="000000"/>
                <w:sz w:val="20"/>
                <w:szCs w:val="20"/>
              </w:rPr>
              <w:t>0.005</w:t>
            </w:r>
          </w:p>
        </w:tc>
      </w:tr>
      <w:tr w:rsidR="00B751D3" w14:paraId="4C9E38C3" w14:textId="77777777" w:rsidTr="005A3B4D">
        <w:trPr>
          <w:trHeight w:val="320"/>
        </w:trPr>
        <w:tc>
          <w:tcPr>
            <w:tcW w:w="1258" w:type="dxa"/>
            <w:tcBorders>
              <w:top w:val="nil"/>
              <w:left w:val="nil"/>
              <w:bottom w:val="nil"/>
              <w:right w:val="nil"/>
            </w:tcBorders>
            <w:shd w:val="clear" w:color="auto" w:fill="auto"/>
            <w:noWrap/>
            <w:vAlign w:val="bottom"/>
            <w:hideMark/>
          </w:tcPr>
          <w:p w14:paraId="0DF8B253" w14:textId="77777777" w:rsidR="00B751D3" w:rsidRDefault="00B751D3" w:rsidP="005A3B4D">
            <w:pPr>
              <w:jc w:val="right"/>
              <w:rPr>
                <w:b/>
                <w:bCs/>
                <w:color w:val="000000"/>
                <w:sz w:val="20"/>
                <w:szCs w:val="20"/>
              </w:rPr>
            </w:pPr>
          </w:p>
        </w:tc>
        <w:tc>
          <w:tcPr>
            <w:tcW w:w="1824" w:type="dxa"/>
            <w:tcBorders>
              <w:top w:val="nil"/>
              <w:left w:val="nil"/>
              <w:bottom w:val="nil"/>
              <w:right w:val="nil"/>
            </w:tcBorders>
            <w:shd w:val="clear" w:color="auto" w:fill="auto"/>
            <w:noWrap/>
            <w:vAlign w:val="center"/>
            <w:hideMark/>
          </w:tcPr>
          <w:p w14:paraId="18DDC0D1" w14:textId="77777777" w:rsidR="00B751D3" w:rsidRDefault="00B751D3" w:rsidP="005A3B4D">
            <w:pPr>
              <w:rPr>
                <w:color w:val="000000"/>
                <w:sz w:val="20"/>
                <w:szCs w:val="20"/>
              </w:rPr>
            </w:pPr>
            <w:r>
              <w:rPr>
                <w:color w:val="000000"/>
                <w:sz w:val="20"/>
                <w:szCs w:val="20"/>
              </w:rPr>
              <w:t>Visual 2</w:t>
            </w:r>
          </w:p>
        </w:tc>
        <w:tc>
          <w:tcPr>
            <w:tcW w:w="820" w:type="dxa"/>
            <w:tcBorders>
              <w:top w:val="nil"/>
              <w:left w:val="nil"/>
              <w:bottom w:val="nil"/>
              <w:right w:val="nil"/>
            </w:tcBorders>
            <w:shd w:val="clear" w:color="auto" w:fill="auto"/>
            <w:noWrap/>
            <w:vAlign w:val="bottom"/>
            <w:hideMark/>
          </w:tcPr>
          <w:p w14:paraId="0E3AE147" w14:textId="77777777" w:rsidR="00B751D3" w:rsidRDefault="00B751D3" w:rsidP="005A3B4D">
            <w:pPr>
              <w:jc w:val="right"/>
              <w:rPr>
                <w:color w:val="000000"/>
                <w:sz w:val="20"/>
                <w:szCs w:val="20"/>
              </w:rPr>
            </w:pPr>
            <w:r>
              <w:rPr>
                <w:color w:val="000000"/>
                <w:sz w:val="20"/>
                <w:szCs w:val="20"/>
              </w:rPr>
              <w:t>-0.019</w:t>
            </w:r>
          </w:p>
        </w:tc>
        <w:tc>
          <w:tcPr>
            <w:tcW w:w="820" w:type="dxa"/>
            <w:tcBorders>
              <w:top w:val="nil"/>
              <w:left w:val="nil"/>
              <w:bottom w:val="nil"/>
              <w:right w:val="nil"/>
            </w:tcBorders>
            <w:shd w:val="clear" w:color="auto" w:fill="auto"/>
            <w:noWrap/>
            <w:vAlign w:val="bottom"/>
            <w:hideMark/>
          </w:tcPr>
          <w:p w14:paraId="03E121FC" w14:textId="77777777" w:rsidR="00B751D3" w:rsidRDefault="00B751D3" w:rsidP="005A3B4D">
            <w:pPr>
              <w:jc w:val="right"/>
              <w:rPr>
                <w:color w:val="000000"/>
                <w:sz w:val="20"/>
                <w:szCs w:val="20"/>
              </w:rPr>
            </w:pPr>
            <w:r>
              <w:rPr>
                <w:color w:val="000000"/>
                <w:sz w:val="20"/>
                <w:szCs w:val="20"/>
              </w:rPr>
              <w:t>0.762</w:t>
            </w:r>
          </w:p>
        </w:tc>
        <w:tc>
          <w:tcPr>
            <w:tcW w:w="820" w:type="dxa"/>
            <w:tcBorders>
              <w:top w:val="nil"/>
              <w:left w:val="nil"/>
              <w:bottom w:val="nil"/>
              <w:right w:val="nil"/>
            </w:tcBorders>
            <w:shd w:val="clear" w:color="auto" w:fill="auto"/>
            <w:noWrap/>
            <w:vAlign w:val="bottom"/>
            <w:hideMark/>
          </w:tcPr>
          <w:p w14:paraId="6EE17512"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5A551A0A" w14:textId="77777777" w:rsidR="00B751D3" w:rsidRDefault="00B751D3" w:rsidP="005A3B4D">
            <w:pPr>
              <w:jc w:val="right"/>
              <w:rPr>
                <w:color w:val="000000"/>
                <w:sz w:val="20"/>
                <w:szCs w:val="20"/>
              </w:rPr>
            </w:pPr>
            <w:r>
              <w:rPr>
                <w:color w:val="000000"/>
                <w:sz w:val="20"/>
                <w:szCs w:val="20"/>
              </w:rPr>
              <w:t>-0.017</w:t>
            </w:r>
          </w:p>
        </w:tc>
        <w:tc>
          <w:tcPr>
            <w:tcW w:w="820" w:type="dxa"/>
            <w:tcBorders>
              <w:top w:val="nil"/>
              <w:left w:val="nil"/>
              <w:bottom w:val="nil"/>
              <w:right w:val="nil"/>
            </w:tcBorders>
            <w:shd w:val="clear" w:color="auto" w:fill="auto"/>
            <w:noWrap/>
            <w:vAlign w:val="bottom"/>
            <w:hideMark/>
          </w:tcPr>
          <w:p w14:paraId="0DD4DE0F" w14:textId="77777777" w:rsidR="00B751D3" w:rsidRDefault="00B751D3" w:rsidP="005A3B4D">
            <w:pPr>
              <w:jc w:val="right"/>
              <w:rPr>
                <w:color w:val="000000"/>
                <w:sz w:val="20"/>
                <w:szCs w:val="20"/>
              </w:rPr>
            </w:pPr>
            <w:r>
              <w:rPr>
                <w:color w:val="000000"/>
                <w:sz w:val="20"/>
                <w:szCs w:val="20"/>
              </w:rPr>
              <w:t>0.648</w:t>
            </w:r>
          </w:p>
        </w:tc>
        <w:tc>
          <w:tcPr>
            <w:tcW w:w="820" w:type="dxa"/>
            <w:tcBorders>
              <w:top w:val="nil"/>
              <w:left w:val="nil"/>
              <w:bottom w:val="nil"/>
              <w:right w:val="nil"/>
            </w:tcBorders>
            <w:shd w:val="clear" w:color="auto" w:fill="auto"/>
            <w:noWrap/>
            <w:vAlign w:val="bottom"/>
            <w:hideMark/>
          </w:tcPr>
          <w:p w14:paraId="3A57928F" w14:textId="77777777" w:rsidR="00B751D3" w:rsidRDefault="00B751D3" w:rsidP="005A3B4D">
            <w:pPr>
              <w:jc w:val="right"/>
              <w:rPr>
                <w:color w:val="000000"/>
                <w:sz w:val="20"/>
                <w:szCs w:val="20"/>
              </w:rPr>
            </w:pPr>
            <w:r>
              <w:rPr>
                <w:color w:val="000000"/>
                <w:sz w:val="20"/>
                <w:szCs w:val="20"/>
              </w:rPr>
              <w:t>0.000</w:t>
            </w:r>
          </w:p>
        </w:tc>
      </w:tr>
      <w:tr w:rsidR="00B751D3" w14:paraId="67E07095" w14:textId="77777777" w:rsidTr="005A3B4D">
        <w:trPr>
          <w:trHeight w:val="320"/>
        </w:trPr>
        <w:tc>
          <w:tcPr>
            <w:tcW w:w="1258" w:type="dxa"/>
            <w:tcBorders>
              <w:top w:val="nil"/>
              <w:left w:val="nil"/>
              <w:bottom w:val="nil"/>
              <w:right w:val="nil"/>
            </w:tcBorders>
            <w:shd w:val="clear" w:color="auto" w:fill="auto"/>
            <w:noWrap/>
            <w:vAlign w:val="bottom"/>
            <w:hideMark/>
          </w:tcPr>
          <w:p w14:paraId="6CF46F3F" w14:textId="77777777" w:rsidR="00B751D3" w:rsidRDefault="00B751D3" w:rsidP="005A3B4D">
            <w:pPr>
              <w:jc w:val="right"/>
              <w:rPr>
                <w:color w:val="000000"/>
                <w:sz w:val="20"/>
                <w:szCs w:val="20"/>
              </w:rPr>
            </w:pPr>
          </w:p>
        </w:tc>
        <w:tc>
          <w:tcPr>
            <w:tcW w:w="1824" w:type="dxa"/>
            <w:tcBorders>
              <w:top w:val="nil"/>
              <w:left w:val="nil"/>
              <w:bottom w:val="nil"/>
              <w:right w:val="nil"/>
            </w:tcBorders>
            <w:shd w:val="clear" w:color="auto" w:fill="auto"/>
            <w:noWrap/>
            <w:vAlign w:val="center"/>
            <w:hideMark/>
          </w:tcPr>
          <w:p w14:paraId="785CBEFE" w14:textId="77777777" w:rsidR="00B751D3" w:rsidRDefault="00B751D3" w:rsidP="005A3B4D">
            <w:pPr>
              <w:rPr>
                <w:color w:val="000000"/>
                <w:sz w:val="20"/>
                <w:szCs w:val="20"/>
              </w:rPr>
            </w:pPr>
            <w:r>
              <w:rPr>
                <w:color w:val="000000"/>
                <w:sz w:val="20"/>
                <w:szCs w:val="20"/>
              </w:rPr>
              <w:t>Visual 1</w:t>
            </w:r>
          </w:p>
        </w:tc>
        <w:tc>
          <w:tcPr>
            <w:tcW w:w="820" w:type="dxa"/>
            <w:tcBorders>
              <w:top w:val="nil"/>
              <w:left w:val="nil"/>
              <w:bottom w:val="nil"/>
              <w:right w:val="nil"/>
            </w:tcBorders>
            <w:shd w:val="clear" w:color="auto" w:fill="auto"/>
            <w:noWrap/>
            <w:vAlign w:val="bottom"/>
            <w:hideMark/>
          </w:tcPr>
          <w:p w14:paraId="191800E6" w14:textId="77777777" w:rsidR="00B751D3" w:rsidRDefault="00B751D3" w:rsidP="005A3B4D">
            <w:pPr>
              <w:jc w:val="right"/>
              <w:rPr>
                <w:color w:val="000000"/>
                <w:sz w:val="20"/>
                <w:szCs w:val="20"/>
              </w:rPr>
            </w:pPr>
            <w:r>
              <w:rPr>
                <w:color w:val="000000"/>
                <w:sz w:val="20"/>
                <w:szCs w:val="20"/>
              </w:rPr>
              <w:t>-0.009</w:t>
            </w:r>
          </w:p>
        </w:tc>
        <w:tc>
          <w:tcPr>
            <w:tcW w:w="820" w:type="dxa"/>
            <w:tcBorders>
              <w:top w:val="nil"/>
              <w:left w:val="nil"/>
              <w:bottom w:val="nil"/>
              <w:right w:val="nil"/>
            </w:tcBorders>
            <w:shd w:val="clear" w:color="auto" w:fill="auto"/>
            <w:noWrap/>
            <w:vAlign w:val="bottom"/>
            <w:hideMark/>
          </w:tcPr>
          <w:p w14:paraId="48E73D50" w14:textId="77777777" w:rsidR="00B751D3" w:rsidRDefault="00B751D3" w:rsidP="005A3B4D">
            <w:pPr>
              <w:jc w:val="right"/>
              <w:rPr>
                <w:color w:val="000000"/>
                <w:sz w:val="20"/>
                <w:szCs w:val="20"/>
              </w:rPr>
            </w:pPr>
            <w:r>
              <w:rPr>
                <w:color w:val="000000"/>
                <w:sz w:val="20"/>
                <w:szCs w:val="20"/>
              </w:rPr>
              <w:t>0.911</w:t>
            </w:r>
          </w:p>
        </w:tc>
        <w:tc>
          <w:tcPr>
            <w:tcW w:w="820" w:type="dxa"/>
            <w:tcBorders>
              <w:top w:val="nil"/>
              <w:left w:val="nil"/>
              <w:bottom w:val="nil"/>
              <w:right w:val="nil"/>
            </w:tcBorders>
            <w:shd w:val="clear" w:color="auto" w:fill="auto"/>
            <w:noWrap/>
            <w:vAlign w:val="bottom"/>
            <w:hideMark/>
          </w:tcPr>
          <w:p w14:paraId="6A280405"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nil"/>
              <w:right w:val="nil"/>
            </w:tcBorders>
            <w:shd w:val="clear" w:color="auto" w:fill="auto"/>
            <w:noWrap/>
            <w:vAlign w:val="bottom"/>
            <w:hideMark/>
          </w:tcPr>
          <w:p w14:paraId="1C2F2B7B" w14:textId="77777777" w:rsidR="00B751D3" w:rsidRDefault="00B751D3" w:rsidP="005A3B4D">
            <w:pPr>
              <w:jc w:val="right"/>
              <w:rPr>
                <w:color w:val="000000"/>
                <w:sz w:val="20"/>
                <w:szCs w:val="20"/>
              </w:rPr>
            </w:pPr>
            <w:r>
              <w:rPr>
                <w:color w:val="000000"/>
                <w:sz w:val="20"/>
                <w:szCs w:val="20"/>
              </w:rPr>
              <w:t>-0.011</w:t>
            </w:r>
          </w:p>
        </w:tc>
        <w:tc>
          <w:tcPr>
            <w:tcW w:w="820" w:type="dxa"/>
            <w:tcBorders>
              <w:top w:val="nil"/>
              <w:left w:val="nil"/>
              <w:bottom w:val="nil"/>
              <w:right w:val="nil"/>
            </w:tcBorders>
            <w:shd w:val="clear" w:color="auto" w:fill="auto"/>
            <w:noWrap/>
            <w:vAlign w:val="bottom"/>
            <w:hideMark/>
          </w:tcPr>
          <w:p w14:paraId="58A3C43B" w14:textId="77777777" w:rsidR="00B751D3" w:rsidRDefault="00B751D3" w:rsidP="005A3B4D">
            <w:pPr>
              <w:jc w:val="right"/>
              <w:rPr>
                <w:color w:val="000000"/>
                <w:sz w:val="20"/>
                <w:szCs w:val="20"/>
              </w:rPr>
            </w:pPr>
            <w:r>
              <w:rPr>
                <w:color w:val="000000"/>
                <w:sz w:val="20"/>
                <w:szCs w:val="20"/>
              </w:rPr>
              <w:t>0.679</w:t>
            </w:r>
          </w:p>
        </w:tc>
        <w:tc>
          <w:tcPr>
            <w:tcW w:w="820" w:type="dxa"/>
            <w:tcBorders>
              <w:top w:val="nil"/>
              <w:left w:val="nil"/>
              <w:bottom w:val="nil"/>
              <w:right w:val="nil"/>
            </w:tcBorders>
            <w:shd w:val="clear" w:color="auto" w:fill="auto"/>
            <w:noWrap/>
            <w:vAlign w:val="bottom"/>
            <w:hideMark/>
          </w:tcPr>
          <w:p w14:paraId="1DABEE44" w14:textId="77777777" w:rsidR="00B751D3" w:rsidRDefault="00B751D3" w:rsidP="005A3B4D">
            <w:pPr>
              <w:jc w:val="right"/>
              <w:rPr>
                <w:color w:val="000000"/>
                <w:sz w:val="20"/>
                <w:szCs w:val="20"/>
              </w:rPr>
            </w:pPr>
            <w:r>
              <w:rPr>
                <w:color w:val="000000"/>
                <w:sz w:val="20"/>
                <w:szCs w:val="20"/>
              </w:rPr>
              <w:t>0.000</w:t>
            </w:r>
          </w:p>
        </w:tc>
      </w:tr>
      <w:tr w:rsidR="00B751D3" w14:paraId="37EA9CF0" w14:textId="77777777" w:rsidTr="005A3B4D">
        <w:trPr>
          <w:trHeight w:val="340"/>
        </w:trPr>
        <w:tc>
          <w:tcPr>
            <w:tcW w:w="1258" w:type="dxa"/>
            <w:tcBorders>
              <w:top w:val="nil"/>
              <w:left w:val="nil"/>
              <w:bottom w:val="single" w:sz="12" w:space="0" w:color="auto"/>
              <w:right w:val="nil"/>
            </w:tcBorders>
            <w:shd w:val="clear" w:color="auto" w:fill="auto"/>
            <w:noWrap/>
            <w:vAlign w:val="bottom"/>
            <w:hideMark/>
          </w:tcPr>
          <w:p w14:paraId="284BE1B7" w14:textId="77777777" w:rsidR="00B751D3" w:rsidRDefault="00B751D3" w:rsidP="005A3B4D">
            <w:pPr>
              <w:rPr>
                <w:color w:val="000000"/>
                <w:sz w:val="20"/>
                <w:szCs w:val="20"/>
              </w:rPr>
            </w:pPr>
            <w:r>
              <w:rPr>
                <w:color w:val="000000"/>
                <w:sz w:val="20"/>
                <w:szCs w:val="20"/>
              </w:rPr>
              <w:t> </w:t>
            </w:r>
          </w:p>
        </w:tc>
        <w:tc>
          <w:tcPr>
            <w:tcW w:w="1824" w:type="dxa"/>
            <w:tcBorders>
              <w:top w:val="nil"/>
              <w:left w:val="nil"/>
              <w:bottom w:val="single" w:sz="12" w:space="0" w:color="auto"/>
              <w:right w:val="nil"/>
            </w:tcBorders>
            <w:shd w:val="clear" w:color="auto" w:fill="auto"/>
            <w:noWrap/>
            <w:vAlign w:val="center"/>
            <w:hideMark/>
          </w:tcPr>
          <w:p w14:paraId="021EFE4E" w14:textId="77777777" w:rsidR="00B751D3" w:rsidRDefault="00B751D3" w:rsidP="005A3B4D">
            <w:pPr>
              <w:rPr>
                <w:color w:val="000000"/>
                <w:sz w:val="20"/>
                <w:szCs w:val="20"/>
              </w:rPr>
            </w:pPr>
            <w:r>
              <w:rPr>
                <w:color w:val="000000"/>
                <w:sz w:val="20"/>
                <w:szCs w:val="20"/>
              </w:rPr>
              <w:t>Visual Association</w:t>
            </w:r>
          </w:p>
        </w:tc>
        <w:tc>
          <w:tcPr>
            <w:tcW w:w="820" w:type="dxa"/>
            <w:tcBorders>
              <w:top w:val="nil"/>
              <w:left w:val="nil"/>
              <w:bottom w:val="single" w:sz="12" w:space="0" w:color="auto"/>
              <w:right w:val="nil"/>
            </w:tcBorders>
            <w:shd w:val="clear" w:color="auto" w:fill="auto"/>
            <w:noWrap/>
            <w:vAlign w:val="bottom"/>
            <w:hideMark/>
          </w:tcPr>
          <w:p w14:paraId="7A0E9B1F" w14:textId="77777777" w:rsidR="00B751D3" w:rsidRDefault="00B751D3" w:rsidP="005A3B4D">
            <w:pPr>
              <w:jc w:val="right"/>
              <w:rPr>
                <w:color w:val="000000"/>
                <w:sz w:val="20"/>
                <w:szCs w:val="20"/>
              </w:rPr>
            </w:pPr>
            <w:r>
              <w:rPr>
                <w:color w:val="000000"/>
                <w:sz w:val="20"/>
                <w:szCs w:val="20"/>
              </w:rPr>
              <w:t>-0.016</w:t>
            </w:r>
          </w:p>
        </w:tc>
        <w:tc>
          <w:tcPr>
            <w:tcW w:w="820" w:type="dxa"/>
            <w:tcBorders>
              <w:top w:val="nil"/>
              <w:left w:val="nil"/>
              <w:bottom w:val="single" w:sz="12" w:space="0" w:color="auto"/>
              <w:right w:val="nil"/>
            </w:tcBorders>
            <w:shd w:val="clear" w:color="auto" w:fill="auto"/>
            <w:noWrap/>
            <w:vAlign w:val="bottom"/>
            <w:hideMark/>
          </w:tcPr>
          <w:p w14:paraId="1D61FB96" w14:textId="77777777" w:rsidR="00B751D3" w:rsidRDefault="00B751D3" w:rsidP="005A3B4D">
            <w:pPr>
              <w:jc w:val="right"/>
              <w:rPr>
                <w:color w:val="000000"/>
                <w:sz w:val="20"/>
                <w:szCs w:val="20"/>
              </w:rPr>
            </w:pPr>
            <w:r>
              <w:rPr>
                <w:color w:val="000000"/>
                <w:sz w:val="20"/>
                <w:szCs w:val="20"/>
              </w:rPr>
              <w:t>0.762</w:t>
            </w:r>
          </w:p>
        </w:tc>
        <w:tc>
          <w:tcPr>
            <w:tcW w:w="820" w:type="dxa"/>
            <w:tcBorders>
              <w:top w:val="nil"/>
              <w:left w:val="nil"/>
              <w:bottom w:val="single" w:sz="12" w:space="0" w:color="auto"/>
              <w:right w:val="nil"/>
            </w:tcBorders>
            <w:shd w:val="clear" w:color="auto" w:fill="auto"/>
            <w:noWrap/>
            <w:vAlign w:val="bottom"/>
            <w:hideMark/>
          </w:tcPr>
          <w:p w14:paraId="52FD75B2" w14:textId="77777777" w:rsidR="00B751D3" w:rsidRDefault="00B751D3" w:rsidP="005A3B4D">
            <w:pPr>
              <w:jc w:val="right"/>
              <w:rPr>
                <w:color w:val="000000"/>
                <w:sz w:val="20"/>
                <w:szCs w:val="20"/>
              </w:rPr>
            </w:pPr>
            <w:r>
              <w:rPr>
                <w:color w:val="000000"/>
                <w:sz w:val="20"/>
                <w:szCs w:val="20"/>
              </w:rPr>
              <w:t>0.000</w:t>
            </w:r>
          </w:p>
        </w:tc>
        <w:tc>
          <w:tcPr>
            <w:tcW w:w="820" w:type="dxa"/>
            <w:tcBorders>
              <w:top w:val="nil"/>
              <w:left w:val="nil"/>
              <w:bottom w:val="single" w:sz="12" w:space="0" w:color="auto"/>
              <w:right w:val="nil"/>
            </w:tcBorders>
            <w:shd w:val="clear" w:color="auto" w:fill="auto"/>
            <w:noWrap/>
            <w:vAlign w:val="bottom"/>
            <w:hideMark/>
          </w:tcPr>
          <w:p w14:paraId="6098FD16" w14:textId="77777777" w:rsidR="00B751D3" w:rsidRDefault="00B751D3" w:rsidP="005A3B4D">
            <w:pPr>
              <w:jc w:val="right"/>
              <w:rPr>
                <w:color w:val="000000"/>
                <w:sz w:val="20"/>
                <w:szCs w:val="20"/>
              </w:rPr>
            </w:pPr>
            <w:r>
              <w:rPr>
                <w:color w:val="000000"/>
                <w:sz w:val="20"/>
                <w:szCs w:val="20"/>
              </w:rPr>
              <w:t>-0.027</w:t>
            </w:r>
          </w:p>
        </w:tc>
        <w:tc>
          <w:tcPr>
            <w:tcW w:w="820" w:type="dxa"/>
            <w:tcBorders>
              <w:top w:val="nil"/>
              <w:left w:val="nil"/>
              <w:bottom w:val="single" w:sz="12" w:space="0" w:color="auto"/>
              <w:right w:val="nil"/>
            </w:tcBorders>
            <w:shd w:val="clear" w:color="auto" w:fill="auto"/>
            <w:noWrap/>
            <w:vAlign w:val="bottom"/>
            <w:hideMark/>
          </w:tcPr>
          <w:p w14:paraId="68322382" w14:textId="77777777" w:rsidR="00B751D3" w:rsidRDefault="00B751D3" w:rsidP="005A3B4D">
            <w:pPr>
              <w:jc w:val="right"/>
              <w:rPr>
                <w:color w:val="000000"/>
                <w:sz w:val="20"/>
                <w:szCs w:val="20"/>
              </w:rPr>
            </w:pPr>
            <w:r>
              <w:rPr>
                <w:color w:val="000000"/>
                <w:sz w:val="20"/>
                <w:szCs w:val="20"/>
              </w:rPr>
              <w:t>0.466</w:t>
            </w:r>
          </w:p>
        </w:tc>
        <w:tc>
          <w:tcPr>
            <w:tcW w:w="820" w:type="dxa"/>
            <w:tcBorders>
              <w:top w:val="nil"/>
              <w:left w:val="nil"/>
              <w:bottom w:val="single" w:sz="12" w:space="0" w:color="auto"/>
              <w:right w:val="nil"/>
            </w:tcBorders>
            <w:shd w:val="clear" w:color="auto" w:fill="auto"/>
            <w:noWrap/>
            <w:vAlign w:val="bottom"/>
            <w:hideMark/>
          </w:tcPr>
          <w:p w14:paraId="66892F5B" w14:textId="77777777" w:rsidR="00B751D3" w:rsidRDefault="00B751D3" w:rsidP="005A3B4D">
            <w:pPr>
              <w:jc w:val="right"/>
              <w:rPr>
                <w:color w:val="000000"/>
                <w:sz w:val="20"/>
                <w:szCs w:val="20"/>
              </w:rPr>
            </w:pPr>
            <w:r>
              <w:rPr>
                <w:color w:val="000000"/>
                <w:sz w:val="20"/>
                <w:szCs w:val="20"/>
              </w:rPr>
              <w:t>0.001</w:t>
            </w:r>
          </w:p>
        </w:tc>
      </w:tr>
      <w:tr w:rsidR="00B751D3" w14:paraId="71DE22B3" w14:textId="77777777" w:rsidTr="005A3B4D">
        <w:trPr>
          <w:trHeight w:val="320"/>
        </w:trPr>
        <w:tc>
          <w:tcPr>
            <w:tcW w:w="1258" w:type="dxa"/>
            <w:tcBorders>
              <w:top w:val="single" w:sz="12" w:space="0" w:color="auto"/>
              <w:left w:val="nil"/>
              <w:bottom w:val="nil"/>
              <w:right w:val="nil"/>
            </w:tcBorders>
            <w:shd w:val="clear" w:color="auto" w:fill="auto"/>
            <w:noWrap/>
            <w:vAlign w:val="bottom"/>
            <w:hideMark/>
          </w:tcPr>
          <w:p w14:paraId="3E9365B9" w14:textId="77777777" w:rsidR="00B751D3" w:rsidRDefault="00B751D3" w:rsidP="005A3B4D">
            <w:pPr>
              <w:jc w:val="right"/>
              <w:rPr>
                <w:color w:val="000000"/>
                <w:sz w:val="20"/>
                <w:szCs w:val="20"/>
              </w:rPr>
            </w:pPr>
          </w:p>
        </w:tc>
        <w:tc>
          <w:tcPr>
            <w:tcW w:w="1824" w:type="dxa"/>
            <w:tcBorders>
              <w:top w:val="single" w:sz="12" w:space="0" w:color="auto"/>
              <w:left w:val="nil"/>
              <w:bottom w:val="nil"/>
              <w:right w:val="nil"/>
            </w:tcBorders>
            <w:shd w:val="clear" w:color="auto" w:fill="auto"/>
            <w:noWrap/>
            <w:vAlign w:val="bottom"/>
            <w:hideMark/>
          </w:tcPr>
          <w:p w14:paraId="37B24F70" w14:textId="77777777" w:rsidR="00B751D3" w:rsidRDefault="00B751D3" w:rsidP="005A3B4D">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4E9E3E60" w14:textId="77777777" w:rsidR="00B751D3" w:rsidRDefault="00B751D3" w:rsidP="005A3B4D">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7CBB5AE" w14:textId="77777777" w:rsidR="00B751D3" w:rsidRDefault="00B751D3" w:rsidP="005A3B4D">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4D058EA8" w14:textId="77777777" w:rsidR="00B751D3" w:rsidRDefault="00B751D3" w:rsidP="005A3B4D">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693E9094" w14:textId="77777777" w:rsidR="00B751D3" w:rsidRDefault="00B751D3" w:rsidP="005A3B4D">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203D7DE5" w14:textId="77777777" w:rsidR="00B751D3" w:rsidRDefault="00B751D3" w:rsidP="005A3B4D">
            <w:pPr>
              <w:rPr>
                <w:sz w:val="20"/>
                <w:szCs w:val="20"/>
              </w:rPr>
            </w:pPr>
          </w:p>
        </w:tc>
        <w:tc>
          <w:tcPr>
            <w:tcW w:w="820" w:type="dxa"/>
            <w:tcBorders>
              <w:top w:val="single" w:sz="12" w:space="0" w:color="auto"/>
              <w:left w:val="nil"/>
              <w:bottom w:val="nil"/>
              <w:right w:val="nil"/>
            </w:tcBorders>
            <w:shd w:val="clear" w:color="auto" w:fill="auto"/>
            <w:noWrap/>
            <w:vAlign w:val="bottom"/>
            <w:hideMark/>
          </w:tcPr>
          <w:p w14:paraId="721384E4" w14:textId="77777777" w:rsidR="00B751D3" w:rsidRDefault="00B751D3" w:rsidP="005A3B4D">
            <w:pPr>
              <w:rPr>
                <w:sz w:val="20"/>
                <w:szCs w:val="20"/>
              </w:rPr>
            </w:pPr>
          </w:p>
        </w:tc>
      </w:tr>
    </w:tbl>
    <w:p w14:paraId="71E6213D" w14:textId="77777777" w:rsidR="00B751D3" w:rsidRDefault="00B751D3" w:rsidP="00B751D3">
      <w:pPr>
        <w:rPr>
          <w:rFonts w:ascii="Batang" w:eastAsia="Batang" w:hAnsi="Batang" w:cs="Batang"/>
          <w:color w:val="000000"/>
        </w:rPr>
      </w:pPr>
    </w:p>
    <w:p w14:paraId="249616E0" w14:textId="77777777" w:rsidR="00B751D3" w:rsidRDefault="00B751D3" w:rsidP="00B751D3">
      <w:pPr>
        <w:rPr>
          <w:rFonts w:ascii="Batang" w:eastAsia="Batang" w:hAnsi="Batang" w:cs="Batang"/>
          <w:color w:val="000000"/>
        </w:rPr>
      </w:pPr>
      <w:r>
        <w:rPr>
          <w:rFonts w:ascii="Batang" w:eastAsia="Batang" w:hAnsi="Batang" w:cs="Batang"/>
          <w:color w:val="000000"/>
        </w:rPr>
        <w:br w:type="page"/>
      </w:r>
    </w:p>
    <w:p w14:paraId="362B2A88" w14:textId="71333923" w:rsidR="00CC193C" w:rsidRPr="004C58D5" w:rsidRDefault="00CC193C" w:rsidP="00CC193C">
      <w:pPr>
        <w:pStyle w:val="Heading1"/>
        <w:rPr>
          <w:rFonts w:ascii="Times New Roman" w:hAnsi="Times New Roman" w:cs="Times New Roman"/>
          <w:color w:val="000000" w:themeColor="text1"/>
          <w:sz w:val="24"/>
          <w:szCs w:val="24"/>
        </w:rPr>
      </w:pPr>
      <w:bookmarkStart w:id="84" w:name="_Toc155817751"/>
      <w:r w:rsidRPr="00B751D3">
        <w:rPr>
          <w:rFonts w:ascii="Times New Roman" w:hAnsi="Times New Roman" w:cs="Times New Roman"/>
          <w:b/>
          <w:bCs/>
          <w:color w:val="000000" w:themeColor="text1"/>
          <w:sz w:val="24"/>
          <w:szCs w:val="24"/>
        </w:rPr>
        <w:lastRenderedPageBreak/>
        <w:t>Table</w:t>
      </w:r>
      <w:r w:rsidR="0036523A" w:rsidRPr="00B751D3">
        <w:rPr>
          <w:rFonts w:ascii="Times New Roman" w:hAnsi="Times New Roman" w:cs="Times New Roman"/>
          <w:b/>
          <w:bCs/>
          <w:color w:val="000000" w:themeColor="text1"/>
          <w:sz w:val="24"/>
          <w:szCs w:val="24"/>
        </w:rPr>
        <w:t xml:space="preserve"> 28</w:t>
      </w:r>
      <w:r w:rsidR="00B751D3">
        <w:rPr>
          <w:rFonts w:ascii="Times New Roman" w:hAnsi="Times New Roman" w:cs="Times New Roman"/>
          <w:b/>
          <w:bCs/>
          <w:color w:val="000000" w:themeColor="text1"/>
          <w:sz w:val="24"/>
          <w:szCs w:val="24"/>
        </w:rPr>
        <w:t>d</w:t>
      </w:r>
      <w:r w:rsidRPr="00B751D3">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w:t>
      </w:r>
      <w:r w:rsidR="00882F24">
        <w:rPr>
          <w:rFonts w:ascii="Times New Roman" w:hAnsi="Times New Roman" w:cs="Times New Roman"/>
          <w:color w:val="000000" w:themeColor="text1"/>
          <w:sz w:val="24"/>
          <w:szCs w:val="24"/>
        </w:rPr>
        <w:t>diameter</w:t>
      </w:r>
      <w:r>
        <w:rPr>
          <w:rFonts w:ascii="Times New Roman" w:hAnsi="Times New Roman" w:cs="Times New Roman"/>
          <w:color w:val="000000" w:themeColor="text1"/>
          <w:sz w:val="24"/>
          <w:szCs w:val="24"/>
        </w:rPr>
        <w:t xml:space="preserve"> and urbanicity obtained from bifactor modeling and pollution (NO2</w:t>
      </w:r>
      <w:r w:rsidR="00506C8B">
        <w:rPr>
          <w:rFonts w:ascii="Times New Roman" w:hAnsi="Times New Roman" w:cs="Times New Roman"/>
          <w:color w:val="000000" w:themeColor="text1"/>
          <w:sz w:val="24"/>
          <w:szCs w:val="24"/>
        </w:rPr>
        <w:t xml:space="preserve"> level</w:t>
      </w:r>
      <w:r>
        <w:rPr>
          <w:rFonts w:ascii="Times New Roman" w:hAnsi="Times New Roman" w:cs="Times New Roman"/>
          <w:color w:val="000000" w:themeColor="text1"/>
          <w:sz w:val="24"/>
          <w:szCs w:val="24"/>
        </w:rPr>
        <w:t>) during rest</w:t>
      </w:r>
      <w:bookmarkEnd w:id="84"/>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1774C6" w14:paraId="1AB41D56"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27FF0113" w14:textId="77777777" w:rsidR="001774C6" w:rsidRDefault="001774C6">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7CD8EF12" w14:textId="77777777" w:rsidR="001774C6" w:rsidRDefault="001774C6">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29587615" w14:textId="77777777" w:rsidR="001774C6" w:rsidRDefault="001774C6">
            <w:pPr>
              <w:rPr>
                <w:color w:val="000000"/>
              </w:rPr>
            </w:pPr>
          </w:p>
        </w:tc>
        <w:tc>
          <w:tcPr>
            <w:tcW w:w="864" w:type="dxa"/>
            <w:tcBorders>
              <w:top w:val="nil"/>
              <w:left w:val="nil"/>
              <w:bottom w:val="single" w:sz="12" w:space="0" w:color="auto"/>
              <w:right w:val="nil"/>
            </w:tcBorders>
            <w:shd w:val="clear" w:color="auto" w:fill="auto"/>
            <w:noWrap/>
            <w:vAlign w:val="bottom"/>
            <w:hideMark/>
          </w:tcPr>
          <w:p w14:paraId="41B6D6E0" w14:textId="77777777" w:rsidR="001774C6" w:rsidRDefault="001774C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E5E21A6" w14:textId="77777777" w:rsidR="001774C6" w:rsidRDefault="001774C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C3DA1B7" w14:textId="77777777" w:rsidR="001774C6" w:rsidRDefault="001774C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371BD1B" w14:textId="77777777" w:rsidR="001774C6" w:rsidRDefault="001774C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3D705D32" w14:textId="77777777" w:rsidR="001774C6" w:rsidRDefault="001774C6">
            <w:pPr>
              <w:rPr>
                <w:sz w:val="20"/>
                <w:szCs w:val="20"/>
              </w:rPr>
            </w:pPr>
          </w:p>
        </w:tc>
      </w:tr>
      <w:tr w:rsidR="001774C6" w14:paraId="32767084"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0AD61B60" w14:textId="77777777" w:rsidR="001774C6" w:rsidRDefault="001774C6">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52E4EF04" w14:textId="77777777" w:rsidR="001774C6" w:rsidRDefault="001774C6">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33B24EAF" w14:textId="77777777" w:rsidR="001774C6" w:rsidRDefault="001774C6">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5A816E6F" w14:textId="65460E8C" w:rsidR="001774C6" w:rsidRDefault="001774C6">
            <w:pPr>
              <w:jc w:val="center"/>
              <w:rPr>
                <w:color w:val="000000"/>
                <w:sz w:val="20"/>
                <w:szCs w:val="20"/>
              </w:rPr>
            </w:pPr>
            <w:r>
              <w:rPr>
                <w:color w:val="000000"/>
                <w:sz w:val="20"/>
                <w:szCs w:val="20"/>
              </w:rPr>
              <w:t>Pollution (NO2</w:t>
            </w:r>
            <w:r w:rsidR="00C71BC8">
              <w:rPr>
                <w:color w:val="000000"/>
                <w:sz w:val="20"/>
                <w:szCs w:val="20"/>
              </w:rPr>
              <w:t xml:space="preserve"> level</w:t>
            </w:r>
            <w:r>
              <w:rPr>
                <w:color w:val="000000"/>
                <w:sz w:val="20"/>
                <w:szCs w:val="20"/>
              </w:rPr>
              <w:t>)</w:t>
            </w:r>
          </w:p>
        </w:tc>
      </w:tr>
      <w:tr w:rsidR="001774C6" w14:paraId="02F3F69E"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04C749C7" w14:textId="77777777" w:rsidR="001774C6" w:rsidRDefault="001774C6">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6C661841" w14:textId="77777777" w:rsidR="001774C6" w:rsidRDefault="001774C6">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23BD61F6" w14:textId="77777777" w:rsidR="001774C6" w:rsidRDefault="001774C6">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3363E705" w14:textId="77777777" w:rsidR="001774C6" w:rsidRDefault="001774C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1AA27DB1" w14:textId="77777777" w:rsidR="001774C6" w:rsidRDefault="001774C6">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66BC9EBA" w14:textId="77777777" w:rsidR="001774C6" w:rsidRDefault="001774C6">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6D2244F2" w14:textId="77777777" w:rsidR="001774C6" w:rsidRDefault="001774C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56BBF006" w14:textId="77777777" w:rsidR="001774C6" w:rsidRDefault="001774C6">
            <w:pPr>
              <w:jc w:val="center"/>
              <w:rPr>
                <w:i/>
                <w:iCs/>
                <w:color w:val="000000"/>
                <w:sz w:val="20"/>
                <w:szCs w:val="20"/>
              </w:rPr>
            </w:pPr>
            <w:r>
              <w:rPr>
                <w:i/>
                <w:iCs/>
                <w:color w:val="000000"/>
                <w:sz w:val="20"/>
                <w:szCs w:val="20"/>
              </w:rPr>
              <w:t>R2</w:t>
            </w:r>
          </w:p>
        </w:tc>
      </w:tr>
      <w:tr w:rsidR="001774C6" w14:paraId="577188A6"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6448B61B" w14:textId="77777777" w:rsidR="001774C6" w:rsidRDefault="001774C6">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547F182E" w14:textId="77777777" w:rsidR="001774C6" w:rsidRDefault="001774C6">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2ACF7C8C" w14:textId="77777777" w:rsidR="001774C6" w:rsidRDefault="001774C6">
            <w:pPr>
              <w:jc w:val="right"/>
              <w:rPr>
                <w:color w:val="000000"/>
                <w:sz w:val="20"/>
                <w:szCs w:val="20"/>
              </w:rPr>
            </w:pPr>
            <w:r>
              <w:rPr>
                <w:color w:val="000000"/>
                <w:sz w:val="20"/>
                <w:szCs w:val="20"/>
              </w:rPr>
              <w:t>-0.013</w:t>
            </w:r>
          </w:p>
        </w:tc>
        <w:tc>
          <w:tcPr>
            <w:tcW w:w="864" w:type="dxa"/>
            <w:tcBorders>
              <w:top w:val="single" w:sz="12" w:space="0" w:color="auto"/>
              <w:left w:val="nil"/>
              <w:bottom w:val="nil"/>
              <w:right w:val="nil"/>
            </w:tcBorders>
            <w:shd w:val="clear" w:color="auto" w:fill="auto"/>
            <w:noWrap/>
            <w:vAlign w:val="bottom"/>
            <w:hideMark/>
          </w:tcPr>
          <w:p w14:paraId="74E9C68C" w14:textId="77777777" w:rsidR="001774C6" w:rsidRDefault="001774C6">
            <w:pPr>
              <w:jc w:val="right"/>
              <w:rPr>
                <w:color w:val="000000"/>
                <w:sz w:val="20"/>
                <w:szCs w:val="20"/>
              </w:rPr>
            </w:pPr>
            <w:r>
              <w:rPr>
                <w:color w:val="000000"/>
                <w:sz w:val="20"/>
                <w:szCs w:val="20"/>
              </w:rPr>
              <w:t>0.994</w:t>
            </w:r>
          </w:p>
        </w:tc>
        <w:tc>
          <w:tcPr>
            <w:tcW w:w="864" w:type="dxa"/>
            <w:tcBorders>
              <w:top w:val="single" w:sz="12" w:space="0" w:color="auto"/>
              <w:left w:val="nil"/>
              <w:bottom w:val="nil"/>
              <w:right w:val="nil"/>
            </w:tcBorders>
            <w:shd w:val="clear" w:color="auto" w:fill="auto"/>
            <w:noWrap/>
            <w:vAlign w:val="bottom"/>
            <w:hideMark/>
          </w:tcPr>
          <w:p w14:paraId="4772D1D5" w14:textId="77777777" w:rsidR="001774C6" w:rsidRDefault="001774C6">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1AE8C4A7" w14:textId="77777777" w:rsidR="001774C6" w:rsidRDefault="001774C6">
            <w:pPr>
              <w:jc w:val="right"/>
              <w:rPr>
                <w:color w:val="000000"/>
                <w:sz w:val="20"/>
                <w:szCs w:val="20"/>
              </w:rPr>
            </w:pPr>
            <w:r>
              <w:rPr>
                <w:color w:val="000000"/>
                <w:sz w:val="20"/>
                <w:szCs w:val="20"/>
              </w:rPr>
              <w:t>0.010</w:t>
            </w:r>
          </w:p>
        </w:tc>
        <w:tc>
          <w:tcPr>
            <w:tcW w:w="864" w:type="dxa"/>
            <w:tcBorders>
              <w:top w:val="single" w:sz="12" w:space="0" w:color="auto"/>
              <w:left w:val="nil"/>
              <w:bottom w:val="nil"/>
              <w:right w:val="nil"/>
            </w:tcBorders>
            <w:shd w:val="clear" w:color="auto" w:fill="auto"/>
            <w:noWrap/>
            <w:vAlign w:val="bottom"/>
            <w:hideMark/>
          </w:tcPr>
          <w:p w14:paraId="6ECD0033" w14:textId="77777777" w:rsidR="001774C6" w:rsidRDefault="001774C6">
            <w:pPr>
              <w:jc w:val="right"/>
              <w:rPr>
                <w:color w:val="000000"/>
                <w:sz w:val="20"/>
                <w:szCs w:val="20"/>
              </w:rPr>
            </w:pPr>
            <w:r>
              <w:rPr>
                <w:color w:val="000000"/>
                <w:sz w:val="20"/>
                <w:szCs w:val="20"/>
              </w:rPr>
              <w:t>0.947</w:t>
            </w:r>
          </w:p>
        </w:tc>
        <w:tc>
          <w:tcPr>
            <w:tcW w:w="864" w:type="dxa"/>
            <w:tcBorders>
              <w:top w:val="single" w:sz="12" w:space="0" w:color="auto"/>
              <w:left w:val="nil"/>
              <w:bottom w:val="nil"/>
              <w:right w:val="nil"/>
            </w:tcBorders>
            <w:shd w:val="clear" w:color="auto" w:fill="auto"/>
            <w:noWrap/>
            <w:vAlign w:val="bottom"/>
            <w:hideMark/>
          </w:tcPr>
          <w:p w14:paraId="498D93F2" w14:textId="77777777" w:rsidR="001774C6" w:rsidRDefault="001774C6">
            <w:pPr>
              <w:jc w:val="right"/>
              <w:rPr>
                <w:color w:val="000000"/>
                <w:sz w:val="20"/>
                <w:szCs w:val="20"/>
              </w:rPr>
            </w:pPr>
            <w:r>
              <w:rPr>
                <w:color w:val="000000"/>
                <w:sz w:val="20"/>
                <w:szCs w:val="20"/>
              </w:rPr>
              <w:t>0.000</w:t>
            </w:r>
          </w:p>
        </w:tc>
      </w:tr>
      <w:tr w:rsidR="001774C6" w14:paraId="4E0F47A3" w14:textId="77777777" w:rsidTr="001774C6">
        <w:trPr>
          <w:trHeight w:val="340"/>
        </w:trPr>
        <w:tc>
          <w:tcPr>
            <w:tcW w:w="1152" w:type="dxa"/>
            <w:tcBorders>
              <w:top w:val="nil"/>
              <w:left w:val="nil"/>
              <w:bottom w:val="nil"/>
              <w:right w:val="nil"/>
            </w:tcBorders>
            <w:shd w:val="clear" w:color="auto" w:fill="auto"/>
            <w:noWrap/>
            <w:vAlign w:val="bottom"/>
            <w:hideMark/>
          </w:tcPr>
          <w:p w14:paraId="39942B10"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444C7BA" w14:textId="77777777" w:rsidR="001774C6" w:rsidRDefault="001774C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DAEE5E9" w14:textId="77777777" w:rsidR="001774C6" w:rsidRDefault="001774C6">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19B71674" w14:textId="77777777" w:rsidR="001774C6" w:rsidRDefault="001774C6">
            <w:pPr>
              <w:jc w:val="right"/>
              <w:rPr>
                <w:color w:val="000000"/>
                <w:sz w:val="20"/>
                <w:szCs w:val="20"/>
              </w:rPr>
            </w:pPr>
            <w:r>
              <w:rPr>
                <w:color w:val="000000"/>
                <w:sz w:val="20"/>
                <w:szCs w:val="20"/>
              </w:rPr>
              <w:t>0.994</w:t>
            </w:r>
          </w:p>
        </w:tc>
        <w:tc>
          <w:tcPr>
            <w:tcW w:w="864" w:type="dxa"/>
            <w:tcBorders>
              <w:top w:val="nil"/>
              <w:left w:val="nil"/>
              <w:bottom w:val="nil"/>
              <w:right w:val="nil"/>
            </w:tcBorders>
            <w:shd w:val="clear" w:color="auto" w:fill="auto"/>
            <w:noWrap/>
            <w:vAlign w:val="bottom"/>
            <w:hideMark/>
          </w:tcPr>
          <w:p w14:paraId="1FE52ED1"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641D720" w14:textId="77777777" w:rsidR="001774C6" w:rsidRDefault="001774C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16E6C03E" w14:textId="77777777" w:rsidR="001774C6" w:rsidRDefault="001774C6">
            <w:pPr>
              <w:jc w:val="right"/>
              <w:rPr>
                <w:color w:val="000000"/>
                <w:sz w:val="20"/>
                <w:szCs w:val="20"/>
              </w:rPr>
            </w:pPr>
            <w:r>
              <w:rPr>
                <w:color w:val="000000"/>
                <w:sz w:val="20"/>
                <w:szCs w:val="20"/>
              </w:rPr>
              <w:t>0.947</w:t>
            </w:r>
          </w:p>
        </w:tc>
        <w:tc>
          <w:tcPr>
            <w:tcW w:w="864" w:type="dxa"/>
            <w:tcBorders>
              <w:top w:val="nil"/>
              <w:left w:val="nil"/>
              <w:bottom w:val="nil"/>
              <w:right w:val="nil"/>
            </w:tcBorders>
            <w:shd w:val="clear" w:color="auto" w:fill="auto"/>
            <w:noWrap/>
            <w:vAlign w:val="bottom"/>
            <w:hideMark/>
          </w:tcPr>
          <w:p w14:paraId="2D69C74B" w14:textId="77777777" w:rsidR="001774C6" w:rsidRDefault="001774C6">
            <w:pPr>
              <w:jc w:val="right"/>
              <w:rPr>
                <w:color w:val="000000"/>
                <w:sz w:val="20"/>
                <w:szCs w:val="20"/>
              </w:rPr>
            </w:pPr>
            <w:r>
              <w:rPr>
                <w:color w:val="000000"/>
                <w:sz w:val="20"/>
                <w:szCs w:val="20"/>
              </w:rPr>
              <w:t>0.000</w:t>
            </w:r>
          </w:p>
        </w:tc>
      </w:tr>
      <w:tr w:rsidR="001774C6" w14:paraId="293B559A" w14:textId="77777777" w:rsidTr="001774C6">
        <w:trPr>
          <w:trHeight w:val="320"/>
        </w:trPr>
        <w:tc>
          <w:tcPr>
            <w:tcW w:w="1152" w:type="dxa"/>
            <w:tcBorders>
              <w:top w:val="nil"/>
              <w:left w:val="nil"/>
              <w:bottom w:val="nil"/>
              <w:right w:val="nil"/>
            </w:tcBorders>
            <w:shd w:val="clear" w:color="auto" w:fill="auto"/>
            <w:noWrap/>
            <w:vAlign w:val="bottom"/>
            <w:hideMark/>
          </w:tcPr>
          <w:p w14:paraId="3B3C0551"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8A4CABF" w14:textId="77777777" w:rsidR="001774C6" w:rsidRDefault="001774C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502BE74" w14:textId="77777777" w:rsidR="001774C6" w:rsidRDefault="001774C6">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45514367" w14:textId="77777777" w:rsidR="001774C6" w:rsidRDefault="001774C6">
            <w:pPr>
              <w:jc w:val="right"/>
              <w:rPr>
                <w:color w:val="000000"/>
                <w:sz w:val="20"/>
                <w:szCs w:val="20"/>
              </w:rPr>
            </w:pPr>
            <w:r>
              <w:rPr>
                <w:color w:val="000000"/>
                <w:sz w:val="20"/>
                <w:szCs w:val="20"/>
              </w:rPr>
              <w:t>0.980</w:t>
            </w:r>
          </w:p>
        </w:tc>
        <w:tc>
          <w:tcPr>
            <w:tcW w:w="864" w:type="dxa"/>
            <w:tcBorders>
              <w:top w:val="nil"/>
              <w:left w:val="nil"/>
              <w:bottom w:val="nil"/>
              <w:right w:val="nil"/>
            </w:tcBorders>
            <w:shd w:val="clear" w:color="auto" w:fill="auto"/>
            <w:noWrap/>
            <w:vAlign w:val="bottom"/>
            <w:hideMark/>
          </w:tcPr>
          <w:p w14:paraId="5993A966" w14:textId="77777777" w:rsidR="001774C6" w:rsidRDefault="001774C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0D685E0" w14:textId="77777777" w:rsidR="001774C6" w:rsidRDefault="001774C6">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10DA915C" w14:textId="77777777" w:rsidR="001774C6" w:rsidRDefault="001774C6">
            <w:pPr>
              <w:jc w:val="right"/>
              <w:rPr>
                <w:color w:val="000000"/>
                <w:sz w:val="20"/>
                <w:szCs w:val="20"/>
              </w:rPr>
            </w:pPr>
            <w:r>
              <w:rPr>
                <w:color w:val="000000"/>
                <w:sz w:val="20"/>
                <w:szCs w:val="20"/>
              </w:rPr>
              <w:t>0.802</w:t>
            </w:r>
          </w:p>
        </w:tc>
        <w:tc>
          <w:tcPr>
            <w:tcW w:w="864" w:type="dxa"/>
            <w:tcBorders>
              <w:top w:val="nil"/>
              <w:left w:val="nil"/>
              <w:bottom w:val="nil"/>
              <w:right w:val="nil"/>
            </w:tcBorders>
            <w:shd w:val="clear" w:color="auto" w:fill="auto"/>
            <w:noWrap/>
            <w:vAlign w:val="bottom"/>
            <w:hideMark/>
          </w:tcPr>
          <w:p w14:paraId="2C0725A1" w14:textId="77777777" w:rsidR="001774C6" w:rsidRDefault="001774C6">
            <w:pPr>
              <w:jc w:val="right"/>
              <w:rPr>
                <w:color w:val="000000"/>
                <w:sz w:val="20"/>
                <w:szCs w:val="20"/>
              </w:rPr>
            </w:pPr>
            <w:r>
              <w:rPr>
                <w:color w:val="000000"/>
                <w:sz w:val="20"/>
                <w:szCs w:val="20"/>
              </w:rPr>
              <w:t>0.002</w:t>
            </w:r>
          </w:p>
        </w:tc>
      </w:tr>
      <w:tr w:rsidR="001774C6" w14:paraId="36C064B7" w14:textId="77777777" w:rsidTr="001774C6">
        <w:trPr>
          <w:trHeight w:val="320"/>
        </w:trPr>
        <w:tc>
          <w:tcPr>
            <w:tcW w:w="1152" w:type="dxa"/>
            <w:tcBorders>
              <w:top w:val="nil"/>
              <w:left w:val="nil"/>
              <w:bottom w:val="nil"/>
              <w:right w:val="nil"/>
            </w:tcBorders>
            <w:shd w:val="clear" w:color="auto" w:fill="auto"/>
            <w:noWrap/>
            <w:vAlign w:val="bottom"/>
            <w:hideMark/>
          </w:tcPr>
          <w:p w14:paraId="644FACB1"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FA0E188" w14:textId="77777777" w:rsidR="001774C6" w:rsidRDefault="001774C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9F91970" w14:textId="77777777" w:rsidR="001774C6" w:rsidRDefault="001774C6">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2451C145" w14:textId="77777777" w:rsidR="001774C6" w:rsidRDefault="001774C6">
            <w:pPr>
              <w:jc w:val="right"/>
              <w:rPr>
                <w:color w:val="000000"/>
                <w:sz w:val="20"/>
                <w:szCs w:val="20"/>
              </w:rPr>
            </w:pPr>
            <w:r>
              <w:rPr>
                <w:color w:val="000000"/>
                <w:sz w:val="20"/>
                <w:szCs w:val="20"/>
              </w:rPr>
              <w:t>0.994</w:t>
            </w:r>
          </w:p>
        </w:tc>
        <w:tc>
          <w:tcPr>
            <w:tcW w:w="864" w:type="dxa"/>
            <w:tcBorders>
              <w:top w:val="nil"/>
              <w:left w:val="nil"/>
              <w:bottom w:val="nil"/>
              <w:right w:val="nil"/>
            </w:tcBorders>
            <w:shd w:val="clear" w:color="auto" w:fill="auto"/>
            <w:noWrap/>
            <w:vAlign w:val="bottom"/>
            <w:hideMark/>
          </w:tcPr>
          <w:p w14:paraId="6F7036E6"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EF716A8" w14:textId="77777777" w:rsidR="001774C6" w:rsidRDefault="001774C6">
            <w:pPr>
              <w:jc w:val="right"/>
              <w:rPr>
                <w:color w:val="000000"/>
                <w:sz w:val="20"/>
                <w:szCs w:val="20"/>
              </w:rPr>
            </w:pPr>
            <w:r>
              <w:rPr>
                <w:color w:val="000000"/>
                <w:sz w:val="20"/>
                <w:szCs w:val="20"/>
              </w:rPr>
              <w:t>0.125</w:t>
            </w:r>
          </w:p>
        </w:tc>
        <w:tc>
          <w:tcPr>
            <w:tcW w:w="864" w:type="dxa"/>
            <w:tcBorders>
              <w:top w:val="nil"/>
              <w:left w:val="nil"/>
              <w:bottom w:val="nil"/>
              <w:right w:val="nil"/>
            </w:tcBorders>
            <w:shd w:val="clear" w:color="auto" w:fill="auto"/>
            <w:noWrap/>
            <w:vAlign w:val="bottom"/>
            <w:hideMark/>
          </w:tcPr>
          <w:p w14:paraId="282D03AC" w14:textId="77777777" w:rsidR="001774C6" w:rsidRDefault="001774C6">
            <w:pPr>
              <w:jc w:val="right"/>
              <w:rPr>
                <w:color w:val="000000"/>
                <w:sz w:val="20"/>
                <w:szCs w:val="20"/>
              </w:rPr>
            </w:pPr>
            <w:r>
              <w:rPr>
                <w:color w:val="000000"/>
                <w:sz w:val="20"/>
                <w:szCs w:val="20"/>
              </w:rPr>
              <w:t>0.488</w:t>
            </w:r>
          </w:p>
        </w:tc>
        <w:tc>
          <w:tcPr>
            <w:tcW w:w="864" w:type="dxa"/>
            <w:tcBorders>
              <w:top w:val="nil"/>
              <w:left w:val="nil"/>
              <w:bottom w:val="nil"/>
              <w:right w:val="nil"/>
            </w:tcBorders>
            <w:shd w:val="clear" w:color="auto" w:fill="auto"/>
            <w:noWrap/>
            <w:vAlign w:val="bottom"/>
            <w:hideMark/>
          </w:tcPr>
          <w:p w14:paraId="61F2B2C0" w14:textId="77777777" w:rsidR="001774C6" w:rsidRDefault="001774C6">
            <w:pPr>
              <w:jc w:val="right"/>
              <w:rPr>
                <w:color w:val="000000"/>
                <w:sz w:val="20"/>
                <w:szCs w:val="20"/>
              </w:rPr>
            </w:pPr>
            <w:r>
              <w:rPr>
                <w:color w:val="000000"/>
                <w:sz w:val="20"/>
                <w:szCs w:val="20"/>
              </w:rPr>
              <w:t>0.016</w:t>
            </w:r>
          </w:p>
        </w:tc>
      </w:tr>
      <w:tr w:rsidR="001774C6" w14:paraId="32867966" w14:textId="77777777" w:rsidTr="001774C6">
        <w:trPr>
          <w:trHeight w:val="320"/>
        </w:trPr>
        <w:tc>
          <w:tcPr>
            <w:tcW w:w="1152" w:type="dxa"/>
            <w:tcBorders>
              <w:top w:val="nil"/>
              <w:left w:val="nil"/>
              <w:bottom w:val="nil"/>
              <w:right w:val="nil"/>
            </w:tcBorders>
            <w:shd w:val="clear" w:color="auto" w:fill="auto"/>
            <w:noWrap/>
            <w:vAlign w:val="bottom"/>
            <w:hideMark/>
          </w:tcPr>
          <w:p w14:paraId="0DE488B7"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35D8BDB" w14:textId="77777777" w:rsidR="001774C6" w:rsidRDefault="001774C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6CB0CF4" w14:textId="77777777" w:rsidR="001774C6" w:rsidRDefault="001774C6">
            <w:pPr>
              <w:jc w:val="right"/>
              <w:rPr>
                <w:color w:val="000000"/>
                <w:sz w:val="20"/>
                <w:szCs w:val="20"/>
              </w:rPr>
            </w:pPr>
            <w:r>
              <w:rPr>
                <w:color w:val="000000"/>
                <w:sz w:val="20"/>
                <w:szCs w:val="20"/>
              </w:rPr>
              <w:t>-0.055</w:t>
            </w:r>
          </w:p>
        </w:tc>
        <w:tc>
          <w:tcPr>
            <w:tcW w:w="864" w:type="dxa"/>
            <w:tcBorders>
              <w:top w:val="nil"/>
              <w:left w:val="nil"/>
              <w:bottom w:val="nil"/>
              <w:right w:val="nil"/>
            </w:tcBorders>
            <w:shd w:val="clear" w:color="auto" w:fill="auto"/>
            <w:noWrap/>
            <w:vAlign w:val="bottom"/>
            <w:hideMark/>
          </w:tcPr>
          <w:p w14:paraId="36BCAF8D" w14:textId="77777777" w:rsidR="001774C6" w:rsidRDefault="001774C6">
            <w:pPr>
              <w:jc w:val="right"/>
              <w:rPr>
                <w:color w:val="000000"/>
                <w:sz w:val="20"/>
                <w:szCs w:val="20"/>
              </w:rPr>
            </w:pPr>
            <w:r>
              <w:rPr>
                <w:color w:val="000000"/>
                <w:sz w:val="20"/>
                <w:szCs w:val="20"/>
              </w:rPr>
              <w:t>0.980</w:t>
            </w:r>
          </w:p>
        </w:tc>
        <w:tc>
          <w:tcPr>
            <w:tcW w:w="864" w:type="dxa"/>
            <w:tcBorders>
              <w:top w:val="nil"/>
              <w:left w:val="nil"/>
              <w:bottom w:val="nil"/>
              <w:right w:val="nil"/>
            </w:tcBorders>
            <w:shd w:val="clear" w:color="auto" w:fill="auto"/>
            <w:noWrap/>
            <w:vAlign w:val="bottom"/>
            <w:hideMark/>
          </w:tcPr>
          <w:p w14:paraId="7FA795ED" w14:textId="77777777" w:rsidR="001774C6" w:rsidRDefault="001774C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B2F9FE7" w14:textId="77777777" w:rsidR="001774C6" w:rsidRDefault="001774C6">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4D165608" w14:textId="77777777" w:rsidR="001774C6" w:rsidRDefault="001774C6">
            <w:pPr>
              <w:jc w:val="right"/>
              <w:rPr>
                <w:color w:val="000000"/>
                <w:sz w:val="20"/>
                <w:szCs w:val="20"/>
              </w:rPr>
            </w:pPr>
            <w:r>
              <w:rPr>
                <w:color w:val="000000"/>
                <w:sz w:val="20"/>
                <w:szCs w:val="20"/>
              </w:rPr>
              <w:t>0.488</w:t>
            </w:r>
          </w:p>
        </w:tc>
        <w:tc>
          <w:tcPr>
            <w:tcW w:w="864" w:type="dxa"/>
            <w:tcBorders>
              <w:top w:val="nil"/>
              <w:left w:val="nil"/>
              <w:bottom w:val="nil"/>
              <w:right w:val="nil"/>
            </w:tcBorders>
            <w:shd w:val="clear" w:color="auto" w:fill="auto"/>
            <w:noWrap/>
            <w:vAlign w:val="bottom"/>
            <w:hideMark/>
          </w:tcPr>
          <w:p w14:paraId="6CEF4712" w14:textId="77777777" w:rsidR="001774C6" w:rsidRDefault="001774C6">
            <w:pPr>
              <w:jc w:val="right"/>
              <w:rPr>
                <w:color w:val="000000"/>
                <w:sz w:val="20"/>
                <w:szCs w:val="20"/>
              </w:rPr>
            </w:pPr>
            <w:r>
              <w:rPr>
                <w:color w:val="000000"/>
                <w:sz w:val="20"/>
                <w:szCs w:val="20"/>
              </w:rPr>
              <w:t>0.004</w:t>
            </w:r>
          </w:p>
        </w:tc>
      </w:tr>
      <w:tr w:rsidR="001774C6" w14:paraId="30AD33AD" w14:textId="77777777" w:rsidTr="001774C6">
        <w:trPr>
          <w:trHeight w:val="320"/>
        </w:trPr>
        <w:tc>
          <w:tcPr>
            <w:tcW w:w="1152" w:type="dxa"/>
            <w:tcBorders>
              <w:top w:val="nil"/>
              <w:left w:val="nil"/>
              <w:bottom w:val="nil"/>
              <w:right w:val="nil"/>
            </w:tcBorders>
            <w:shd w:val="clear" w:color="auto" w:fill="auto"/>
            <w:noWrap/>
            <w:vAlign w:val="bottom"/>
            <w:hideMark/>
          </w:tcPr>
          <w:p w14:paraId="6BEBFB45"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7136F44" w14:textId="77777777" w:rsidR="001774C6" w:rsidRDefault="001774C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FA05E72"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653ED9D" w14:textId="77777777" w:rsidR="001774C6" w:rsidRDefault="001774C6">
            <w:pPr>
              <w:jc w:val="right"/>
              <w:rPr>
                <w:color w:val="000000"/>
                <w:sz w:val="20"/>
                <w:szCs w:val="20"/>
              </w:rPr>
            </w:pPr>
            <w:r>
              <w:rPr>
                <w:color w:val="000000"/>
                <w:sz w:val="20"/>
                <w:szCs w:val="20"/>
              </w:rPr>
              <w:t>0.994</w:t>
            </w:r>
          </w:p>
        </w:tc>
        <w:tc>
          <w:tcPr>
            <w:tcW w:w="864" w:type="dxa"/>
            <w:tcBorders>
              <w:top w:val="nil"/>
              <w:left w:val="nil"/>
              <w:bottom w:val="nil"/>
              <w:right w:val="nil"/>
            </w:tcBorders>
            <w:shd w:val="clear" w:color="auto" w:fill="auto"/>
            <w:noWrap/>
            <w:vAlign w:val="bottom"/>
            <w:hideMark/>
          </w:tcPr>
          <w:p w14:paraId="3CCF94B3"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28869C1" w14:textId="77777777" w:rsidR="001774C6" w:rsidRDefault="001774C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64DB29B" w14:textId="77777777" w:rsidR="001774C6" w:rsidRDefault="001774C6">
            <w:pPr>
              <w:jc w:val="right"/>
              <w:rPr>
                <w:color w:val="000000"/>
                <w:sz w:val="20"/>
                <w:szCs w:val="20"/>
              </w:rPr>
            </w:pPr>
            <w:r>
              <w:rPr>
                <w:color w:val="000000"/>
                <w:sz w:val="20"/>
                <w:szCs w:val="20"/>
              </w:rPr>
              <w:t>0.947</w:t>
            </w:r>
          </w:p>
        </w:tc>
        <w:tc>
          <w:tcPr>
            <w:tcW w:w="864" w:type="dxa"/>
            <w:tcBorders>
              <w:top w:val="nil"/>
              <w:left w:val="nil"/>
              <w:bottom w:val="nil"/>
              <w:right w:val="nil"/>
            </w:tcBorders>
            <w:shd w:val="clear" w:color="auto" w:fill="auto"/>
            <w:noWrap/>
            <w:vAlign w:val="bottom"/>
            <w:hideMark/>
          </w:tcPr>
          <w:p w14:paraId="2DC9C592" w14:textId="77777777" w:rsidR="001774C6" w:rsidRDefault="001774C6">
            <w:pPr>
              <w:jc w:val="right"/>
              <w:rPr>
                <w:color w:val="000000"/>
                <w:sz w:val="20"/>
                <w:szCs w:val="20"/>
              </w:rPr>
            </w:pPr>
            <w:r>
              <w:rPr>
                <w:color w:val="000000"/>
                <w:sz w:val="20"/>
                <w:szCs w:val="20"/>
              </w:rPr>
              <w:t>0.000</w:t>
            </w:r>
          </w:p>
        </w:tc>
      </w:tr>
      <w:tr w:rsidR="001774C6" w14:paraId="540B7C4A" w14:textId="77777777" w:rsidTr="001774C6">
        <w:trPr>
          <w:trHeight w:val="320"/>
        </w:trPr>
        <w:tc>
          <w:tcPr>
            <w:tcW w:w="1152" w:type="dxa"/>
            <w:tcBorders>
              <w:top w:val="nil"/>
              <w:left w:val="nil"/>
              <w:bottom w:val="nil"/>
              <w:right w:val="nil"/>
            </w:tcBorders>
            <w:shd w:val="clear" w:color="auto" w:fill="auto"/>
            <w:noWrap/>
            <w:vAlign w:val="bottom"/>
            <w:hideMark/>
          </w:tcPr>
          <w:p w14:paraId="7FA4522E"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DF1A2D9" w14:textId="77777777" w:rsidR="001774C6" w:rsidRDefault="001774C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A014DA7" w14:textId="77777777" w:rsidR="001774C6" w:rsidRDefault="001774C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F0CCBF2" w14:textId="77777777" w:rsidR="001774C6" w:rsidRDefault="001774C6">
            <w:pPr>
              <w:jc w:val="right"/>
              <w:rPr>
                <w:color w:val="000000"/>
                <w:sz w:val="20"/>
                <w:szCs w:val="20"/>
              </w:rPr>
            </w:pPr>
            <w:r>
              <w:rPr>
                <w:color w:val="000000"/>
                <w:sz w:val="20"/>
                <w:szCs w:val="20"/>
              </w:rPr>
              <w:t>0.994</w:t>
            </w:r>
          </w:p>
        </w:tc>
        <w:tc>
          <w:tcPr>
            <w:tcW w:w="864" w:type="dxa"/>
            <w:tcBorders>
              <w:top w:val="nil"/>
              <w:left w:val="nil"/>
              <w:bottom w:val="nil"/>
              <w:right w:val="nil"/>
            </w:tcBorders>
            <w:shd w:val="clear" w:color="auto" w:fill="auto"/>
            <w:noWrap/>
            <w:vAlign w:val="bottom"/>
            <w:hideMark/>
          </w:tcPr>
          <w:p w14:paraId="68F8D94E"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DB56FBC" w14:textId="77777777" w:rsidR="001774C6" w:rsidRDefault="001774C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48C5671" w14:textId="77777777" w:rsidR="001774C6" w:rsidRDefault="001774C6">
            <w:pPr>
              <w:jc w:val="right"/>
              <w:rPr>
                <w:color w:val="000000"/>
                <w:sz w:val="20"/>
                <w:szCs w:val="20"/>
              </w:rPr>
            </w:pPr>
            <w:r>
              <w:rPr>
                <w:color w:val="000000"/>
                <w:sz w:val="20"/>
                <w:szCs w:val="20"/>
              </w:rPr>
              <w:t>0.947</w:t>
            </w:r>
          </w:p>
        </w:tc>
        <w:tc>
          <w:tcPr>
            <w:tcW w:w="864" w:type="dxa"/>
            <w:tcBorders>
              <w:top w:val="nil"/>
              <w:left w:val="nil"/>
              <w:bottom w:val="nil"/>
              <w:right w:val="nil"/>
            </w:tcBorders>
            <w:shd w:val="clear" w:color="auto" w:fill="auto"/>
            <w:noWrap/>
            <w:vAlign w:val="bottom"/>
            <w:hideMark/>
          </w:tcPr>
          <w:p w14:paraId="36DCEA0B" w14:textId="77777777" w:rsidR="001774C6" w:rsidRDefault="001774C6">
            <w:pPr>
              <w:jc w:val="right"/>
              <w:rPr>
                <w:color w:val="000000"/>
                <w:sz w:val="20"/>
                <w:szCs w:val="20"/>
              </w:rPr>
            </w:pPr>
            <w:r>
              <w:rPr>
                <w:color w:val="000000"/>
                <w:sz w:val="20"/>
                <w:szCs w:val="20"/>
              </w:rPr>
              <w:t>0.000</w:t>
            </w:r>
          </w:p>
        </w:tc>
      </w:tr>
      <w:tr w:rsidR="001774C6" w14:paraId="5AC934CD" w14:textId="77777777" w:rsidTr="001774C6">
        <w:trPr>
          <w:trHeight w:val="320"/>
        </w:trPr>
        <w:tc>
          <w:tcPr>
            <w:tcW w:w="1152" w:type="dxa"/>
            <w:tcBorders>
              <w:top w:val="nil"/>
              <w:left w:val="nil"/>
              <w:bottom w:val="single" w:sz="4" w:space="0" w:color="auto"/>
              <w:right w:val="nil"/>
            </w:tcBorders>
            <w:shd w:val="clear" w:color="auto" w:fill="auto"/>
            <w:noWrap/>
            <w:vAlign w:val="bottom"/>
            <w:hideMark/>
          </w:tcPr>
          <w:p w14:paraId="57AC09FC" w14:textId="77777777" w:rsidR="001774C6" w:rsidRDefault="001774C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E07DFFC" w14:textId="77777777" w:rsidR="001774C6" w:rsidRDefault="001774C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F28C5C7" w14:textId="77777777" w:rsidR="001774C6" w:rsidRDefault="001774C6">
            <w:pPr>
              <w:jc w:val="right"/>
              <w:rPr>
                <w:color w:val="000000"/>
                <w:sz w:val="20"/>
                <w:szCs w:val="20"/>
              </w:rPr>
            </w:pPr>
            <w:r>
              <w:rPr>
                <w:color w:val="000000"/>
                <w:sz w:val="20"/>
                <w:szCs w:val="20"/>
              </w:rPr>
              <w:t>0.015</w:t>
            </w:r>
          </w:p>
        </w:tc>
        <w:tc>
          <w:tcPr>
            <w:tcW w:w="864" w:type="dxa"/>
            <w:tcBorders>
              <w:top w:val="nil"/>
              <w:left w:val="nil"/>
              <w:bottom w:val="single" w:sz="4" w:space="0" w:color="auto"/>
              <w:right w:val="nil"/>
            </w:tcBorders>
            <w:shd w:val="clear" w:color="auto" w:fill="auto"/>
            <w:noWrap/>
            <w:vAlign w:val="bottom"/>
            <w:hideMark/>
          </w:tcPr>
          <w:p w14:paraId="2A382741" w14:textId="77777777" w:rsidR="001774C6" w:rsidRDefault="001774C6">
            <w:pPr>
              <w:jc w:val="right"/>
              <w:rPr>
                <w:color w:val="000000"/>
                <w:sz w:val="20"/>
                <w:szCs w:val="20"/>
              </w:rPr>
            </w:pPr>
            <w:r>
              <w:rPr>
                <w:color w:val="000000"/>
                <w:sz w:val="20"/>
                <w:szCs w:val="20"/>
              </w:rPr>
              <w:t>0.994</w:t>
            </w:r>
          </w:p>
        </w:tc>
        <w:tc>
          <w:tcPr>
            <w:tcW w:w="864" w:type="dxa"/>
            <w:tcBorders>
              <w:top w:val="nil"/>
              <w:left w:val="nil"/>
              <w:bottom w:val="single" w:sz="4" w:space="0" w:color="auto"/>
              <w:right w:val="nil"/>
            </w:tcBorders>
            <w:shd w:val="clear" w:color="auto" w:fill="auto"/>
            <w:noWrap/>
            <w:vAlign w:val="bottom"/>
            <w:hideMark/>
          </w:tcPr>
          <w:p w14:paraId="4746B8C9"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7F2BDE7E" w14:textId="77777777" w:rsidR="001774C6" w:rsidRDefault="001774C6">
            <w:pPr>
              <w:jc w:val="right"/>
              <w:rPr>
                <w:color w:val="000000"/>
                <w:sz w:val="20"/>
                <w:szCs w:val="20"/>
              </w:rPr>
            </w:pPr>
            <w:r>
              <w:rPr>
                <w:color w:val="000000"/>
                <w:sz w:val="20"/>
                <w:szCs w:val="20"/>
              </w:rPr>
              <w:t>0.049</w:t>
            </w:r>
          </w:p>
        </w:tc>
        <w:tc>
          <w:tcPr>
            <w:tcW w:w="864" w:type="dxa"/>
            <w:tcBorders>
              <w:top w:val="nil"/>
              <w:left w:val="nil"/>
              <w:bottom w:val="single" w:sz="4" w:space="0" w:color="auto"/>
              <w:right w:val="nil"/>
            </w:tcBorders>
            <w:shd w:val="clear" w:color="auto" w:fill="auto"/>
            <w:noWrap/>
            <w:vAlign w:val="bottom"/>
            <w:hideMark/>
          </w:tcPr>
          <w:p w14:paraId="5103820E" w14:textId="77777777" w:rsidR="001774C6" w:rsidRDefault="001774C6">
            <w:pPr>
              <w:jc w:val="right"/>
              <w:rPr>
                <w:color w:val="000000"/>
                <w:sz w:val="20"/>
                <w:szCs w:val="20"/>
              </w:rPr>
            </w:pPr>
            <w:r>
              <w:rPr>
                <w:color w:val="000000"/>
                <w:sz w:val="20"/>
                <w:szCs w:val="20"/>
              </w:rPr>
              <w:t>0.488</w:t>
            </w:r>
          </w:p>
        </w:tc>
        <w:tc>
          <w:tcPr>
            <w:tcW w:w="864" w:type="dxa"/>
            <w:tcBorders>
              <w:top w:val="nil"/>
              <w:left w:val="nil"/>
              <w:bottom w:val="single" w:sz="4" w:space="0" w:color="auto"/>
              <w:right w:val="nil"/>
            </w:tcBorders>
            <w:shd w:val="clear" w:color="auto" w:fill="auto"/>
            <w:noWrap/>
            <w:vAlign w:val="bottom"/>
            <w:hideMark/>
          </w:tcPr>
          <w:p w14:paraId="0EA13DB6" w14:textId="77777777" w:rsidR="001774C6" w:rsidRDefault="001774C6">
            <w:pPr>
              <w:jc w:val="right"/>
              <w:rPr>
                <w:color w:val="000000"/>
                <w:sz w:val="20"/>
                <w:szCs w:val="20"/>
              </w:rPr>
            </w:pPr>
            <w:r>
              <w:rPr>
                <w:color w:val="000000"/>
                <w:sz w:val="20"/>
                <w:szCs w:val="20"/>
              </w:rPr>
              <w:t>0.002</w:t>
            </w:r>
          </w:p>
        </w:tc>
      </w:tr>
      <w:tr w:rsidR="001774C6" w14:paraId="3F09906B" w14:textId="77777777" w:rsidTr="001774C6">
        <w:trPr>
          <w:trHeight w:val="320"/>
        </w:trPr>
        <w:tc>
          <w:tcPr>
            <w:tcW w:w="1152" w:type="dxa"/>
            <w:tcBorders>
              <w:top w:val="nil"/>
              <w:left w:val="nil"/>
              <w:bottom w:val="nil"/>
              <w:right w:val="nil"/>
            </w:tcBorders>
            <w:shd w:val="clear" w:color="auto" w:fill="auto"/>
            <w:noWrap/>
            <w:vAlign w:val="bottom"/>
            <w:hideMark/>
          </w:tcPr>
          <w:p w14:paraId="73FB7376" w14:textId="77777777" w:rsidR="001774C6" w:rsidRDefault="001774C6">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108971A7" w14:textId="77777777" w:rsidR="001774C6" w:rsidRDefault="001774C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3D9C9D8" w14:textId="77777777" w:rsidR="001774C6" w:rsidRDefault="001774C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5212375" w14:textId="77777777" w:rsidR="001774C6" w:rsidRDefault="001774C6">
            <w:pPr>
              <w:jc w:val="right"/>
              <w:rPr>
                <w:color w:val="000000"/>
                <w:sz w:val="20"/>
                <w:szCs w:val="20"/>
              </w:rPr>
            </w:pPr>
            <w:r>
              <w:rPr>
                <w:color w:val="000000"/>
                <w:sz w:val="20"/>
                <w:szCs w:val="20"/>
              </w:rPr>
              <w:t>0.980</w:t>
            </w:r>
          </w:p>
        </w:tc>
        <w:tc>
          <w:tcPr>
            <w:tcW w:w="864" w:type="dxa"/>
            <w:tcBorders>
              <w:top w:val="nil"/>
              <w:left w:val="nil"/>
              <w:bottom w:val="nil"/>
              <w:right w:val="nil"/>
            </w:tcBorders>
            <w:shd w:val="clear" w:color="auto" w:fill="auto"/>
            <w:noWrap/>
            <w:vAlign w:val="bottom"/>
            <w:hideMark/>
          </w:tcPr>
          <w:p w14:paraId="735A1DFC"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33D4E9F" w14:textId="77777777" w:rsidR="001774C6" w:rsidRDefault="001774C6">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41FE1030" w14:textId="77777777" w:rsidR="001774C6" w:rsidRDefault="001774C6">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4ABFE6E4" w14:textId="77777777" w:rsidR="001774C6" w:rsidRDefault="001774C6">
            <w:pPr>
              <w:jc w:val="right"/>
              <w:rPr>
                <w:color w:val="000000"/>
                <w:sz w:val="20"/>
                <w:szCs w:val="20"/>
              </w:rPr>
            </w:pPr>
            <w:r>
              <w:rPr>
                <w:color w:val="000000"/>
                <w:sz w:val="20"/>
                <w:szCs w:val="20"/>
              </w:rPr>
              <w:t>0.000</w:t>
            </w:r>
          </w:p>
        </w:tc>
      </w:tr>
      <w:tr w:rsidR="001774C6" w14:paraId="4CCC4437" w14:textId="77777777" w:rsidTr="001774C6">
        <w:trPr>
          <w:trHeight w:val="320"/>
        </w:trPr>
        <w:tc>
          <w:tcPr>
            <w:tcW w:w="1152" w:type="dxa"/>
            <w:tcBorders>
              <w:top w:val="nil"/>
              <w:left w:val="nil"/>
              <w:bottom w:val="nil"/>
              <w:right w:val="nil"/>
            </w:tcBorders>
            <w:shd w:val="clear" w:color="auto" w:fill="auto"/>
            <w:noWrap/>
            <w:vAlign w:val="bottom"/>
            <w:hideMark/>
          </w:tcPr>
          <w:p w14:paraId="6CF63FAC"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DF58B6B" w14:textId="77777777" w:rsidR="001774C6" w:rsidRDefault="001774C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FF24AEF" w14:textId="77777777" w:rsidR="001774C6" w:rsidRDefault="001774C6">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5D317C1A" w14:textId="77777777" w:rsidR="001774C6" w:rsidRDefault="001774C6">
            <w:pPr>
              <w:jc w:val="right"/>
              <w:rPr>
                <w:color w:val="000000"/>
                <w:sz w:val="20"/>
                <w:szCs w:val="20"/>
              </w:rPr>
            </w:pPr>
            <w:r>
              <w:rPr>
                <w:color w:val="000000"/>
                <w:sz w:val="20"/>
                <w:szCs w:val="20"/>
              </w:rPr>
              <w:t>0.588</w:t>
            </w:r>
          </w:p>
        </w:tc>
        <w:tc>
          <w:tcPr>
            <w:tcW w:w="864" w:type="dxa"/>
            <w:tcBorders>
              <w:top w:val="nil"/>
              <w:left w:val="nil"/>
              <w:bottom w:val="nil"/>
              <w:right w:val="nil"/>
            </w:tcBorders>
            <w:shd w:val="clear" w:color="auto" w:fill="auto"/>
            <w:noWrap/>
            <w:vAlign w:val="bottom"/>
            <w:hideMark/>
          </w:tcPr>
          <w:p w14:paraId="4E72E403" w14:textId="77777777" w:rsidR="001774C6" w:rsidRDefault="001774C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8A21684" w14:textId="77777777" w:rsidR="001774C6" w:rsidRDefault="001774C6">
            <w:pPr>
              <w:jc w:val="right"/>
              <w:rPr>
                <w:color w:val="000000"/>
                <w:sz w:val="20"/>
                <w:szCs w:val="20"/>
              </w:rPr>
            </w:pPr>
            <w:r>
              <w:rPr>
                <w:color w:val="000000"/>
                <w:sz w:val="20"/>
                <w:szCs w:val="20"/>
              </w:rPr>
              <w:t>0.051</w:t>
            </w:r>
          </w:p>
        </w:tc>
        <w:tc>
          <w:tcPr>
            <w:tcW w:w="864" w:type="dxa"/>
            <w:tcBorders>
              <w:top w:val="nil"/>
              <w:left w:val="nil"/>
              <w:bottom w:val="nil"/>
              <w:right w:val="nil"/>
            </w:tcBorders>
            <w:shd w:val="clear" w:color="auto" w:fill="auto"/>
            <w:noWrap/>
            <w:vAlign w:val="bottom"/>
            <w:hideMark/>
          </w:tcPr>
          <w:p w14:paraId="6D468E1B" w14:textId="77777777" w:rsidR="001774C6" w:rsidRDefault="001774C6">
            <w:pPr>
              <w:jc w:val="right"/>
              <w:rPr>
                <w:color w:val="000000"/>
                <w:sz w:val="20"/>
                <w:szCs w:val="20"/>
              </w:rPr>
            </w:pPr>
            <w:r>
              <w:rPr>
                <w:color w:val="000000"/>
                <w:sz w:val="20"/>
                <w:szCs w:val="20"/>
              </w:rPr>
              <w:t>0.076</w:t>
            </w:r>
          </w:p>
        </w:tc>
        <w:tc>
          <w:tcPr>
            <w:tcW w:w="864" w:type="dxa"/>
            <w:tcBorders>
              <w:top w:val="nil"/>
              <w:left w:val="nil"/>
              <w:bottom w:val="nil"/>
              <w:right w:val="nil"/>
            </w:tcBorders>
            <w:shd w:val="clear" w:color="auto" w:fill="auto"/>
            <w:noWrap/>
            <w:vAlign w:val="bottom"/>
            <w:hideMark/>
          </w:tcPr>
          <w:p w14:paraId="46C69EF0" w14:textId="77777777" w:rsidR="001774C6" w:rsidRDefault="001774C6">
            <w:pPr>
              <w:jc w:val="right"/>
              <w:rPr>
                <w:color w:val="000000"/>
                <w:sz w:val="20"/>
                <w:szCs w:val="20"/>
              </w:rPr>
            </w:pPr>
            <w:r>
              <w:rPr>
                <w:color w:val="000000"/>
                <w:sz w:val="20"/>
                <w:szCs w:val="20"/>
              </w:rPr>
              <w:t>0.003</w:t>
            </w:r>
          </w:p>
        </w:tc>
      </w:tr>
      <w:tr w:rsidR="001774C6" w14:paraId="472AEEC4" w14:textId="77777777" w:rsidTr="001774C6">
        <w:trPr>
          <w:trHeight w:val="320"/>
        </w:trPr>
        <w:tc>
          <w:tcPr>
            <w:tcW w:w="1152" w:type="dxa"/>
            <w:tcBorders>
              <w:top w:val="nil"/>
              <w:left w:val="nil"/>
              <w:bottom w:val="nil"/>
              <w:right w:val="nil"/>
            </w:tcBorders>
            <w:shd w:val="clear" w:color="auto" w:fill="auto"/>
            <w:noWrap/>
            <w:vAlign w:val="bottom"/>
            <w:hideMark/>
          </w:tcPr>
          <w:p w14:paraId="5361C274"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86DB920" w14:textId="77777777" w:rsidR="001774C6" w:rsidRDefault="001774C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463EA6C" w14:textId="77777777" w:rsidR="001774C6" w:rsidRDefault="001774C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8251D5C" w14:textId="77777777" w:rsidR="001774C6" w:rsidRDefault="001774C6">
            <w:pPr>
              <w:jc w:val="right"/>
              <w:rPr>
                <w:color w:val="000000"/>
                <w:sz w:val="20"/>
                <w:szCs w:val="20"/>
              </w:rPr>
            </w:pPr>
            <w:r>
              <w:rPr>
                <w:color w:val="000000"/>
                <w:sz w:val="20"/>
                <w:szCs w:val="20"/>
              </w:rPr>
              <w:t>0.980</w:t>
            </w:r>
          </w:p>
        </w:tc>
        <w:tc>
          <w:tcPr>
            <w:tcW w:w="864" w:type="dxa"/>
            <w:tcBorders>
              <w:top w:val="nil"/>
              <w:left w:val="nil"/>
              <w:bottom w:val="nil"/>
              <w:right w:val="nil"/>
            </w:tcBorders>
            <w:shd w:val="clear" w:color="auto" w:fill="auto"/>
            <w:noWrap/>
            <w:vAlign w:val="bottom"/>
            <w:hideMark/>
          </w:tcPr>
          <w:p w14:paraId="62E40A04"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161331D" w14:textId="77777777" w:rsidR="001774C6" w:rsidRDefault="001774C6">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68F2BC72" w14:textId="77777777" w:rsidR="001774C6" w:rsidRDefault="001774C6">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4334443F" w14:textId="77777777" w:rsidR="001774C6" w:rsidRDefault="001774C6">
            <w:pPr>
              <w:jc w:val="right"/>
              <w:rPr>
                <w:color w:val="000000"/>
                <w:sz w:val="20"/>
                <w:szCs w:val="20"/>
              </w:rPr>
            </w:pPr>
            <w:r>
              <w:rPr>
                <w:color w:val="000000"/>
                <w:sz w:val="20"/>
                <w:szCs w:val="20"/>
              </w:rPr>
              <w:t>0.000</w:t>
            </w:r>
          </w:p>
        </w:tc>
      </w:tr>
      <w:tr w:rsidR="001774C6" w14:paraId="06F8043D" w14:textId="77777777" w:rsidTr="001774C6">
        <w:trPr>
          <w:trHeight w:val="320"/>
        </w:trPr>
        <w:tc>
          <w:tcPr>
            <w:tcW w:w="1152" w:type="dxa"/>
            <w:tcBorders>
              <w:top w:val="nil"/>
              <w:left w:val="nil"/>
              <w:bottom w:val="nil"/>
              <w:right w:val="nil"/>
            </w:tcBorders>
            <w:shd w:val="clear" w:color="auto" w:fill="auto"/>
            <w:noWrap/>
            <w:vAlign w:val="bottom"/>
            <w:hideMark/>
          </w:tcPr>
          <w:p w14:paraId="5516B2CA"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2D5C433" w14:textId="77777777" w:rsidR="001774C6" w:rsidRDefault="001774C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DD4CA0B" w14:textId="77777777" w:rsidR="001774C6" w:rsidRDefault="001774C6">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2757E8F5" w14:textId="77777777" w:rsidR="001774C6" w:rsidRDefault="001774C6">
            <w:pPr>
              <w:jc w:val="right"/>
              <w:rPr>
                <w:color w:val="000000"/>
                <w:sz w:val="20"/>
                <w:szCs w:val="20"/>
              </w:rPr>
            </w:pPr>
            <w:r>
              <w:rPr>
                <w:color w:val="000000"/>
                <w:sz w:val="20"/>
                <w:szCs w:val="20"/>
              </w:rPr>
              <w:t>0.980</w:t>
            </w:r>
          </w:p>
        </w:tc>
        <w:tc>
          <w:tcPr>
            <w:tcW w:w="864" w:type="dxa"/>
            <w:tcBorders>
              <w:top w:val="nil"/>
              <w:left w:val="nil"/>
              <w:bottom w:val="nil"/>
              <w:right w:val="nil"/>
            </w:tcBorders>
            <w:shd w:val="clear" w:color="auto" w:fill="auto"/>
            <w:noWrap/>
            <w:vAlign w:val="bottom"/>
            <w:hideMark/>
          </w:tcPr>
          <w:p w14:paraId="7290B420"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45B2783" w14:textId="77777777" w:rsidR="001774C6" w:rsidRDefault="001774C6">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2807980B" w14:textId="77777777" w:rsidR="001774C6" w:rsidRDefault="001774C6">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4660B477" w14:textId="77777777" w:rsidR="001774C6" w:rsidRDefault="001774C6">
            <w:pPr>
              <w:jc w:val="right"/>
              <w:rPr>
                <w:color w:val="000000"/>
                <w:sz w:val="20"/>
                <w:szCs w:val="20"/>
              </w:rPr>
            </w:pPr>
            <w:r>
              <w:rPr>
                <w:color w:val="000000"/>
                <w:sz w:val="20"/>
                <w:szCs w:val="20"/>
              </w:rPr>
              <w:t>0.000</w:t>
            </w:r>
          </w:p>
        </w:tc>
      </w:tr>
      <w:tr w:rsidR="001774C6" w14:paraId="40EFCE5C" w14:textId="77777777" w:rsidTr="001774C6">
        <w:trPr>
          <w:trHeight w:val="320"/>
        </w:trPr>
        <w:tc>
          <w:tcPr>
            <w:tcW w:w="1152" w:type="dxa"/>
            <w:tcBorders>
              <w:top w:val="nil"/>
              <w:left w:val="nil"/>
              <w:bottom w:val="nil"/>
              <w:right w:val="nil"/>
            </w:tcBorders>
            <w:shd w:val="clear" w:color="auto" w:fill="auto"/>
            <w:noWrap/>
            <w:vAlign w:val="bottom"/>
            <w:hideMark/>
          </w:tcPr>
          <w:p w14:paraId="73C744D1"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EA7E9A8" w14:textId="77777777" w:rsidR="001774C6" w:rsidRDefault="001774C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ABBA2E1" w14:textId="77777777" w:rsidR="001774C6" w:rsidRDefault="001774C6">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1B646B35" w14:textId="77777777" w:rsidR="001774C6" w:rsidRDefault="001774C6">
            <w:pPr>
              <w:jc w:val="right"/>
              <w:rPr>
                <w:color w:val="000000"/>
                <w:sz w:val="20"/>
                <w:szCs w:val="20"/>
              </w:rPr>
            </w:pPr>
            <w:r>
              <w:rPr>
                <w:color w:val="000000"/>
                <w:sz w:val="20"/>
                <w:szCs w:val="20"/>
              </w:rPr>
              <w:t>0.588</w:t>
            </w:r>
          </w:p>
        </w:tc>
        <w:tc>
          <w:tcPr>
            <w:tcW w:w="864" w:type="dxa"/>
            <w:tcBorders>
              <w:top w:val="nil"/>
              <w:left w:val="nil"/>
              <w:bottom w:val="nil"/>
              <w:right w:val="nil"/>
            </w:tcBorders>
            <w:shd w:val="clear" w:color="auto" w:fill="auto"/>
            <w:noWrap/>
            <w:vAlign w:val="bottom"/>
            <w:hideMark/>
          </w:tcPr>
          <w:p w14:paraId="76717F15" w14:textId="77777777" w:rsidR="001774C6" w:rsidRDefault="001774C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B25369F" w14:textId="77777777" w:rsidR="001774C6" w:rsidRDefault="001774C6">
            <w:pPr>
              <w:jc w:val="right"/>
              <w:rPr>
                <w:color w:val="000000"/>
                <w:sz w:val="20"/>
                <w:szCs w:val="20"/>
              </w:rPr>
            </w:pPr>
            <w:r>
              <w:rPr>
                <w:color w:val="000000"/>
                <w:sz w:val="20"/>
                <w:szCs w:val="20"/>
              </w:rPr>
              <w:t>-0.060</w:t>
            </w:r>
          </w:p>
        </w:tc>
        <w:tc>
          <w:tcPr>
            <w:tcW w:w="864" w:type="dxa"/>
            <w:tcBorders>
              <w:top w:val="nil"/>
              <w:left w:val="nil"/>
              <w:bottom w:val="nil"/>
              <w:right w:val="nil"/>
            </w:tcBorders>
            <w:shd w:val="clear" w:color="auto" w:fill="auto"/>
            <w:noWrap/>
            <w:vAlign w:val="bottom"/>
            <w:hideMark/>
          </w:tcPr>
          <w:p w14:paraId="5DAD647A" w14:textId="77777777" w:rsidR="001774C6" w:rsidRDefault="001774C6">
            <w:pPr>
              <w:jc w:val="right"/>
              <w:rPr>
                <w:color w:val="000000"/>
                <w:sz w:val="20"/>
                <w:szCs w:val="20"/>
              </w:rPr>
            </w:pPr>
            <w:r>
              <w:rPr>
                <w:color w:val="000000"/>
                <w:sz w:val="20"/>
                <w:szCs w:val="20"/>
              </w:rPr>
              <w:t>0.076</w:t>
            </w:r>
          </w:p>
        </w:tc>
        <w:tc>
          <w:tcPr>
            <w:tcW w:w="864" w:type="dxa"/>
            <w:tcBorders>
              <w:top w:val="nil"/>
              <w:left w:val="nil"/>
              <w:bottom w:val="nil"/>
              <w:right w:val="nil"/>
            </w:tcBorders>
            <w:shd w:val="clear" w:color="auto" w:fill="auto"/>
            <w:noWrap/>
            <w:vAlign w:val="bottom"/>
            <w:hideMark/>
          </w:tcPr>
          <w:p w14:paraId="5FF479C1" w14:textId="77777777" w:rsidR="001774C6" w:rsidRDefault="001774C6">
            <w:pPr>
              <w:jc w:val="right"/>
              <w:rPr>
                <w:color w:val="000000"/>
                <w:sz w:val="20"/>
                <w:szCs w:val="20"/>
              </w:rPr>
            </w:pPr>
            <w:r>
              <w:rPr>
                <w:color w:val="000000"/>
                <w:sz w:val="20"/>
                <w:szCs w:val="20"/>
              </w:rPr>
              <w:t>0.004</w:t>
            </w:r>
          </w:p>
        </w:tc>
      </w:tr>
      <w:tr w:rsidR="001774C6" w14:paraId="15095CF3" w14:textId="77777777" w:rsidTr="001774C6">
        <w:trPr>
          <w:trHeight w:val="320"/>
        </w:trPr>
        <w:tc>
          <w:tcPr>
            <w:tcW w:w="1152" w:type="dxa"/>
            <w:tcBorders>
              <w:top w:val="nil"/>
              <w:left w:val="nil"/>
              <w:bottom w:val="nil"/>
              <w:right w:val="nil"/>
            </w:tcBorders>
            <w:shd w:val="clear" w:color="auto" w:fill="auto"/>
            <w:noWrap/>
            <w:vAlign w:val="bottom"/>
            <w:hideMark/>
          </w:tcPr>
          <w:p w14:paraId="4ACC72D1"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5D9C23" w14:textId="77777777" w:rsidR="001774C6" w:rsidRDefault="001774C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23BA6E2" w14:textId="77777777" w:rsidR="001774C6" w:rsidRDefault="001774C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057E007A" w14:textId="77777777" w:rsidR="001774C6" w:rsidRDefault="001774C6">
            <w:pPr>
              <w:jc w:val="right"/>
              <w:rPr>
                <w:color w:val="000000"/>
                <w:sz w:val="20"/>
                <w:szCs w:val="20"/>
              </w:rPr>
            </w:pPr>
            <w:r>
              <w:rPr>
                <w:color w:val="000000"/>
                <w:sz w:val="20"/>
                <w:szCs w:val="20"/>
              </w:rPr>
              <w:t>0.980</w:t>
            </w:r>
          </w:p>
        </w:tc>
        <w:tc>
          <w:tcPr>
            <w:tcW w:w="864" w:type="dxa"/>
            <w:tcBorders>
              <w:top w:val="nil"/>
              <w:left w:val="nil"/>
              <w:bottom w:val="nil"/>
              <w:right w:val="nil"/>
            </w:tcBorders>
            <w:shd w:val="clear" w:color="auto" w:fill="auto"/>
            <w:noWrap/>
            <w:vAlign w:val="bottom"/>
            <w:hideMark/>
          </w:tcPr>
          <w:p w14:paraId="4DE4E9AA"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1E4F214" w14:textId="77777777" w:rsidR="001774C6" w:rsidRDefault="001774C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727C282" w14:textId="77777777" w:rsidR="001774C6" w:rsidRDefault="001774C6">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3B5DB584" w14:textId="77777777" w:rsidR="001774C6" w:rsidRDefault="001774C6">
            <w:pPr>
              <w:jc w:val="right"/>
              <w:rPr>
                <w:color w:val="000000"/>
                <w:sz w:val="20"/>
                <w:szCs w:val="20"/>
              </w:rPr>
            </w:pPr>
            <w:r>
              <w:rPr>
                <w:color w:val="000000"/>
                <w:sz w:val="20"/>
                <w:szCs w:val="20"/>
              </w:rPr>
              <w:t>0.000</w:t>
            </w:r>
          </w:p>
        </w:tc>
      </w:tr>
      <w:tr w:rsidR="001774C6" w14:paraId="23628C76" w14:textId="77777777" w:rsidTr="001774C6">
        <w:trPr>
          <w:trHeight w:val="320"/>
        </w:trPr>
        <w:tc>
          <w:tcPr>
            <w:tcW w:w="1152" w:type="dxa"/>
            <w:tcBorders>
              <w:top w:val="nil"/>
              <w:left w:val="nil"/>
              <w:bottom w:val="nil"/>
              <w:right w:val="nil"/>
            </w:tcBorders>
            <w:shd w:val="clear" w:color="auto" w:fill="auto"/>
            <w:noWrap/>
            <w:vAlign w:val="bottom"/>
            <w:hideMark/>
          </w:tcPr>
          <w:p w14:paraId="233FA182"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B23B9CA" w14:textId="77777777" w:rsidR="001774C6" w:rsidRDefault="001774C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49B51C1" w14:textId="77777777" w:rsidR="001774C6" w:rsidRDefault="001774C6">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559C04A5" w14:textId="77777777" w:rsidR="001774C6" w:rsidRDefault="001774C6">
            <w:pPr>
              <w:jc w:val="right"/>
              <w:rPr>
                <w:color w:val="000000"/>
                <w:sz w:val="20"/>
                <w:szCs w:val="20"/>
              </w:rPr>
            </w:pPr>
            <w:r>
              <w:rPr>
                <w:color w:val="000000"/>
                <w:sz w:val="20"/>
                <w:szCs w:val="20"/>
              </w:rPr>
              <w:t>0.980</w:t>
            </w:r>
          </w:p>
        </w:tc>
        <w:tc>
          <w:tcPr>
            <w:tcW w:w="864" w:type="dxa"/>
            <w:tcBorders>
              <w:top w:val="nil"/>
              <w:left w:val="nil"/>
              <w:bottom w:val="nil"/>
              <w:right w:val="nil"/>
            </w:tcBorders>
            <w:shd w:val="clear" w:color="auto" w:fill="auto"/>
            <w:noWrap/>
            <w:vAlign w:val="bottom"/>
            <w:hideMark/>
          </w:tcPr>
          <w:p w14:paraId="5D6B1C3C"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1271205" w14:textId="77777777" w:rsidR="001774C6" w:rsidRDefault="001774C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02EB3D0F" w14:textId="77777777" w:rsidR="001774C6" w:rsidRDefault="001774C6">
            <w:pPr>
              <w:jc w:val="right"/>
              <w:rPr>
                <w:color w:val="000000"/>
                <w:sz w:val="20"/>
                <w:szCs w:val="20"/>
              </w:rPr>
            </w:pPr>
            <w:r>
              <w:rPr>
                <w:color w:val="000000"/>
                <w:sz w:val="20"/>
                <w:szCs w:val="20"/>
              </w:rPr>
              <w:t>0.875</w:t>
            </w:r>
          </w:p>
        </w:tc>
        <w:tc>
          <w:tcPr>
            <w:tcW w:w="864" w:type="dxa"/>
            <w:tcBorders>
              <w:top w:val="nil"/>
              <w:left w:val="nil"/>
              <w:bottom w:val="nil"/>
              <w:right w:val="nil"/>
            </w:tcBorders>
            <w:shd w:val="clear" w:color="auto" w:fill="auto"/>
            <w:noWrap/>
            <w:vAlign w:val="bottom"/>
            <w:hideMark/>
          </w:tcPr>
          <w:p w14:paraId="15922A04" w14:textId="77777777" w:rsidR="001774C6" w:rsidRDefault="001774C6">
            <w:pPr>
              <w:jc w:val="right"/>
              <w:rPr>
                <w:color w:val="000000"/>
                <w:sz w:val="20"/>
                <w:szCs w:val="20"/>
              </w:rPr>
            </w:pPr>
            <w:r>
              <w:rPr>
                <w:color w:val="000000"/>
                <w:sz w:val="20"/>
                <w:szCs w:val="20"/>
              </w:rPr>
              <w:t>0.000</w:t>
            </w:r>
          </w:p>
        </w:tc>
      </w:tr>
      <w:tr w:rsidR="001774C6" w14:paraId="77B42CF1" w14:textId="77777777" w:rsidTr="001774C6">
        <w:trPr>
          <w:trHeight w:val="320"/>
        </w:trPr>
        <w:tc>
          <w:tcPr>
            <w:tcW w:w="1152" w:type="dxa"/>
            <w:tcBorders>
              <w:top w:val="nil"/>
              <w:left w:val="nil"/>
              <w:bottom w:val="single" w:sz="4" w:space="0" w:color="auto"/>
              <w:right w:val="nil"/>
            </w:tcBorders>
            <w:shd w:val="clear" w:color="auto" w:fill="auto"/>
            <w:noWrap/>
            <w:vAlign w:val="bottom"/>
            <w:hideMark/>
          </w:tcPr>
          <w:p w14:paraId="16B34D68" w14:textId="77777777" w:rsidR="001774C6" w:rsidRDefault="001774C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7AD4DA5" w14:textId="77777777" w:rsidR="001774C6" w:rsidRDefault="001774C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E889BFE" w14:textId="77777777" w:rsidR="001774C6" w:rsidRDefault="001774C6">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69D52C39" w14:textId="77777777" w:rsidR="001774C6" w:rsidRDefault="001774C6">
            <w:pPr>
              <w:jc w:val="right"/>
              <w:rPr>
                <w:color w:val="000000"/>
                <w:sz w:val="20"/>
                <w:szCs w:val="20"/>
              </w:rPr>
            </w:pPr>
            <w:r>
              <w:rPr>
                <w:color w:val="000000"/>
                <w:sz w:val="20"/>
                <w:szCs w:val="20"/>
              </w:rPr>
              <w:t>0.980</w:t>
            </w:r>
          </w:p>
        </w:tc>
        <w:tc>
          <w:tcPr>
            <w:tcW w:w="864" w:type="dxa"/>
            <w:tcBorders>
              <w:top w:val="nil"/>
              <w:left w:val="nil"/>
              <w:bottom w:val="single" w:sz="4" w:space="0" w:color="auto"/>
              <w:right w:val="nil"/>
            </w:tcBorders>
            <w:shd w:val="clear" w:color="auto" w:fill="auto"/>
            <w:noWrap/>
            <w:vAlign w:val="bottom"/>
            <w:hideMark/>
          </w:tcPr>
          <w:p w14:paraId="320E7574"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6FBCA872" w14:textId="77777777" w:rsidR="001774C6" w:rsidRDefault="001774C6">
            <w:pPr>
              <w:jc w:val="right"/>
              <w:rPr>
                <w:color w:val="000000"/>
                <w:sz w:val="20"/>
                <w:szCs w:val="20"/>
              </w:rPr>
            </w:pPr>
            <w:r>
              <w:rPr>
                <w:color w:val="000000"/>
                <w:sz w:val="20"/>
                <w:szCs w:val="20"/>
              </w:rPr>
              <w:t>0.016</w:t>
            </w:r>
          </w:p>
        </w:tc>
        <w:tc>
          <w:tcPr>
            <w:tcW w:w="864" w:type="dxa"/>
            <w:tcBorders>
              <w:top w:val="nil"/>
              <w:left w:val="nil"/>
              <w:bottom w:val="single" w:sz="4" w:space="0" w:color="auto"/>
              <w:right w:val="nil"/>
            </w:tcBorders>
            <w:shd w:val="clear" w:color="auto" w:fill="auto"/>
            <w:noWrap/>
            <w:vAlign w:val="bottom"/>
            <w:hideMark/>
          </w:tcPr>
          <w:p w14:paraId="33971E4B" w14:textId="77777777" w:rsidR="001774C6" w:rsidRDefault="001774C6">
            <w:pPr>
              <w:jc w:val="right"/>
              <w:rPr>
                <w:color w:val="000000"/>
                <w:sz w:val="20"/>
                <w:szCs w:val="20"/>
              </w:rPr>
            </w:pPr>
            <w:r>
              <w:rPr>
                <w:color w:val="000000"/>
                <w:sz w:val="20"/>
                <w:szCs w:val="20"/>
              </w:rPr>
              <w:t>0.875</w:t>
            </w:r>
          </w:p>
        </w:tc>
        <w:tc>
          <w:tcPr>
            <w:tcW w:w="864" w:type="dxa"/>
            <w:tcBorders>
              <w:top w:val="nil"/>
              <w:left w:val="nil"/>
              <w:bottom w:val="single" w:sz="4" w:space="0" w:color="auto"/>
              <w:right w:val="nil"/>
            </w:tcBorders>
            <w:shd w:val="clear" w:color="auto" w:fill="auto"/>
            <w:noWrap/>
            <w:vAlign w:val="bottom"/>
            <w:hideMark/>
          </w:tcPr>
          <w:p w14:paraId="4771E6E8" w14:textId="77777777" w:rsidR="001774C6" w:rsidRDefault="001774C6">
            <w:pPr>
              <w:jc w:val="right"/>
              <w:rPr>
                <w:color w:val="000000"/>
                <w:sz w:val="20"/>
                <w:szCs w:val="20"/>
              </w:rPr>
            </w:pPr>
            <w:r>
              <w:rPr>
                <w:color w:val="000000"/>
                <w:sz w:val="20"/>
                <w:szCs w:val="20"/>
              </w:rPr>
              <w:t>0.000</w:t>
            </w:r>
          </w:p>
        </w:tc>
      </w:tr>
      <w:tr w:rsidR="001774C6" w14:paraId="42A727DB" w14:textId="77777777" w:rsidTr="001774C6">
        <w:trPr>
          <w:trHeight w:val="320"/>
        </w:trPr>
        <w:tc>
          <w:tcPr>
            <w:tcW w:w="1152" w:type="dxa"/>
            <w:tcBorders>
              <w:top w:val="nil"/>
              <w:left w:val="nil"/>
              <w:bottom w:val="nil"/>
              <w:right w:val="nil"/>
            </w:tcBorders>
            <w:shd w:val="clear" w:color="auto" w:fill="auto"/>
            <w:noWrap/>
            <w:vAlign w:val="bottom"/>
            <w:hideMark/>
          </w:tcPr>
          <w:p w14:paraId="562D1183" w14:textId="77777777" w:rsidR="001774C6" w:rsidRDefault="001774C6">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1A05A117" w14:textId="77777777" w:rsidR="001774C6" w:rsidRDefault="001774C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6501A24E" w14:textId="77777777" w:rsidR="001774C6" w:rsidRDefault="001774C6">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0ABC77F6" w14:textId="77777777" w:rsidR="001774C6" w:rsidRDefault="001774C6">
            <w:pPr>
              <w:jc w:val="right"/>
              <w:rPr>
                <w:color w:val="000000"/>
                <w:sz w:val="20"/>
                <w:szCs w:val="20"/>
              </w:rPr>
            </w:pPr>
            <w:r>
              <w:rPr>
                <w:color w:val="000000"/>
                <w:sz w:val="20"/>
                <w:szCs w:val="20"/>
              </w:rPr>
              <w:t>0.793</w:t>
            </w:r>
          </w:p>
        </w:tc>
        <w:tc>
          <w:tcPr>
            <w:tcW w:w="864" w:type="dxa"/>
            <w:tcBorders>
              <w:top w:val="nil"/>
              <w:left w:val="nil"/>
              <w:bottom w:val="nil"/>
              <w:right w:val="nil"/>
            </w:tcBorders>
            <w:shd w:val="clear" w:color="auto" w:fill="auto"/>
            <w:noWrap/>
            <w:vAlign w:val="bottom"/>
            <w:hideMark/>
          </w:tcPr>
          <w:p w14:paraId="7B52C1E0"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0E4A058" w14:textId="77777777" w:rsidR="001774C6" w:rsidRDefault="001774C6">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4DE80E15" w14:textId="77777777" w:rsidR="001774C6" w:rsidRDefault="001774C6">
            <w:pPr>
              <w:jc w:val="right"/>
              <w:rPr>
                <w:color w:val="000000"/>
                <w:sz w:val="20"/>
                <w:szCs w:val="20"/>
              </w:rPr>
            </w:pPr>
            <w:r>
              <w:rPr>
                <w:color w:val="000000"/>
                <w:sz w:val="20"/>
                <w:szCs w:val="20"/>
              </w:rPr>
              <w:t>0.816</w:t>
            </w:r>
          </w:p>
        </w:tc>
        <w:tc>
          <w:tcPr>
            <w:tcW w:w="864" w:type="dxa"/>
            <w:tcBorders>
              <w:top w:val="nil"/>
              <w:left w:val="nil"/>
              <w:bottom w:val="nil"/>
              <w:right w:val="nil"/>
            </w:tcBorders>
            <w:shd w:val="clear" w:color="auto" w:fill="auto"/>
            <w:noWrap/>
            <w:vAlign w:val="bottom"/>
            <w:hideMark/>
          </w:tcPr>
          <w:p w14:paraId="5A712BB8" w14:textId="77777777" w:rsidR="001774C6" w:rsidRDefault="001774C6">
            <w:pPr>
              <w:jc w:val="right"/>
              <w:rPr>
                <w:color w:val="000000"/>
                <w:sz w:val="20"/>
                <w:szCs w:val="20"/>
              </w:rPr>
            </w:pPr>
            <w:r>
              <w:rPr>
                <w:color w:val="000000"/>
                <w:sz w:val="20"/>
                <w:szCs w:val="20"/>
              </w:rPr>
              <w:t>0.000</w:t>
            </w:r>
          </w:p>
        </w:tc>
      </w:tr>
      <w:tr w:rsidR="001774C6" w14:paraId="3C7EADC5" w14:textId="77777777" w:rsidTr="001774C6">
        <w:trPr>
          <w:trHeight w:val="320"/>
        </w:trPr>
        <w:tc>
          <w:tcPr>
            <w:tcW w:w="1152" w:type="dxa"/>
            <w:tcBorders>
              <w:top w:val="nil"/>
              <w:left w:val="nil"/>
              <w:bottom w:val="nil"/>
              <w:right w:val="nil"/>
            </w:tcBorders>
            <w:shd w:val="clear" w:color="auto" w:fill="auto"/>
            <w:noWrap/>
            <w:vAlign w:val="bottom"/>
            <w:hideMark/>
          </w:tcPr>
          <w:p w14:paraId="21B0D99F"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899732B" w14:textId="77777777" w:rsidR="001774C6" w:rsidRDefault="001774C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1E3FA42" w14:textId="77777777" w:rsidR="001774C6" w:rsidRDefault="001774C6">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32049450" w14:textId="77777777" w:rsidR="001774C6" w:rsidRDefault="001774C6">
            <w:pPr>
              <w:jc w:val="right"/>
              <w:rPr>
                <w:color w:val="000000"/>
                <w:sz w:val="20"/>
                <w:szCs w:val="20"/>
              </w:rPr>
            </w:pPr>
            <w:r>
              <w:rPr>
                <w:color w:val="000000"/>
                <w:sz w:val="20"/>
                <w:szCs w:val="20"/>
              </w:rPr>
              <w:t>0.313</w:t>
            </w:r>
          </w:p>
        </w:tc>
        <w:tc>
          <w:tcPr>
            <w:tcW w:w="864" w:type="dxa"/>
            <w:tcBorders>
              <w:top w:val="nil"/>
              <w:left w:val="nil"/>
              <w:bottom w:val="nil"/>
              <w:right w:val="nil"/>
            </w:tcBorders>
            <w:shd w:val="clear" w:color="auto" w:fill="auto"/>
            <w:noWrap/>
            <w:vAlign w:val="bottom"/>
            <w:hideMark/>
          </w:tcPr>
          <w:p w14:paraId="74BA8ED6" w14:textId="77777777" w:rsidR="001774C6" w:rsidRDefault="001774C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406966A" w14:textId="77777777" w:rsidR="001774C6" w:rsidRDefault="001774C6">
            <w:pPr>
              <w:jc w:val="right"/>
              <w:rPr>
                <w:b/>
                <w:bCs/>
                <w:color w:val="000000"/>
                <w:sz w:val="20"/>
                <w:szCs w:val="20"/>
              </w:rPr>
            </w:pPr>
            <w:r>
              <w:rPr>
                <w:b/>
                <w:bCs/>
                <w:color w:val="000000"/>
                <w:sz w:val="20"/>
                <w:szCs w:val="20"/>
              </w:rPr>
              <w:t>0.050</w:t>
            </w:r>
          </w:p>
        </w:tc>
        <w:tc>
          <w:tcPr>
            <w:tcW w:w="864" w:type="dxa"/>
            <w:tcBorders>
              <w:top w:val="nil"/>
              <w:left w:val="nil"/>
              <w:bottom w:val="nil"/>
              <w:right w:val="nil"/>
            </w:tcBorders>
            <w:shd w:val="clear" w:color="auto" w:fill="auto"/>
            <w:noWrap/>
            <w:vAlign w:val="bottom"/>
            <w:hideMark/>
          </w:tcPr>
          <w:p w14:paraId="7BC51EEB" w14:textId="77777777" w:rsidR="001774C6" w:rsidRDefault="001774C6">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54402956" w14:textId="77777777" w:rsidR="001774C6" w:rsidRDefault="001774C6">
            <w:pPr>
              <w:jc w:val="right"/>
              <w:rPr>
                <w:b/>
                <w:bCs/>
                <w:color w:val="000000"/>
                <w:sz w:val="20"/>
                <w:szCs w:val="20"/>
              </w:rPr>
            </w:pPr>
            <w:r>
              <w:rPr>
                <w:b/>
                <w:bCs/>
                <w:color w:val="000000"/>
                <w:sz w:val="20"/>
                <w:szCs w:val="20"/>
              </w:rPr>
              <w:t>0.003</w:t>
            </w:r>
          </w:p>
        </w:tc>
      </w:tr>
      <w:tr w:rsidR="001774C6" w14:paraId="640DF4FC" w14:textId="77777777" w:rsidTr="001774C6">
        <w:trPr>
          <w:trHeight w:val="320"/>
        </w:trPr>
        <w:tc>
          <w:tcPr>
            <w:tcW w:w="1152" w:type="dxa"/>
            <w:tcBorders>
              <w:top w:val="nil"/>
              <w:left w:val="nil"/>
              <w:bottom w:val="nil"/>
              <w:right w:val="nil"/>
            </w:tcBorders>
            <w:shd w:val="clear" w:color="auto" w:fill="auto"/>
            <w:noWrap/>
            <w:vAlign w:val="bottom"/>
            <w:hideMark/>
          </w:tcPr>
          <w:p w14:paraId="62DD3D20" w14:textId="77777777" w:rsidR="001774C6" w:rsidRDefault="001774C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5C7ED74E" w14:textId="77777777" w:rsidR="001774C6" w:rsidRDefault="001774C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916ADA5" w14:textId="77777777" w:rsidR="001774C6" w:rsidRDefault="001774C6">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46105268" w14:textId="77777777" w:rsidR="001774C6" w:rsidRDefault="001774C6">
            <w:pPr>
              <w:jc w:val="right"/>
              <w:rPr>
                <w:color w:val="000000"/>
                <w:sz w:val="20"/>
                <w:szCs w:val="20"/>
              </w:rPr>
            </w:pPr>
            <w:r>
              <w:rPr>
                <w:color w:val="000000"/>
                <w:sz w:val="20"/>
                <w:szCs w:val="20"/>
              </w:rPr>
              <w:t>0.313</w:t>
            </w:r>
          </w:p>
        </w:tc>
        <w:tc>
          <w:tcPr>
            <w:tcW w:w="864" w:type="dxa"/>
            <w:tcBorders>
              <w:top w:val="nil"/>
              <w:left w:val="nil"/>
              <w:bottom w:val="nil"/>
              <w:right w:val="nil"/>
            </w:tcBorders>
            <w:shd w:val="clear" w:color="auto" w:fill="auto"/>
            <w:noWrap/>
            <w:vAlign w:val="bottom"/>
            <w:hideMark/>
          </w:tcPr>
          <w:p w14:paraId="7B3633D9" w14:textId="77777777" w:rsidR="001774C6" w:rsidRDefault="001774C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9700464" w14:textId="77777777" w:rsidR="001774C6" w:rsidRDefault="001774C6">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09655436" w14:textId="77777777" w:rsidR="001774C6" w:rsidRDefault="001774C6">
            <w:pPr>
              <w:jc w:val="right"/>
              <w:rPr>
                <w:color w:val="000000"/>
                <w:sz w:val="20"/>
                <w:szCs w:val="20"/>
              </w:rPr>
            </w:pPr>
            <w:r>
              <w:rPr>
                <w:color w:val="000000"/>
                <w:sz w:val="20"/>
                <w:szCs w:val="20"/>
              </w:rPr>
              <w:t>0.816</w:t>
            </w:r>
          </w:p>
        </w:tc>
        <w:tc>
          <w:tcPr>
            <w:tcW w:w="864" w:type="dxa"/>
            <w:tcBorders>
              <w:top w:val="nil"/>
              <w:left w:val="nil"/>
              <w:bottom w:val="nil"/>
              <w:right w:val="nil"/>
            </w:tcBorders>
            <w:shd w:val="clear" w:color="auto" w:fill="auto"/>
            <w:noWrap/>
            <w:vAlign w:val="bottom"/>
            <w:hideMark/>
          </w:tcPr>
          <w:p w14:paraId="0F5C53F7" w14:textId="77777777" w:rsidR="001774C6" w:rsidRDefault="001774C6">
            <w:pPr>
              <w:jc w:val="right"/>
              <w:rPr>
                <w:color w:val="000000"/>
                <w:sz w:val="20"/>
                <w:szCs w:val="20"/>
              </w:rPr>
            </w:pPr>
            <w:r>
              <w:rPr>
                <w:color w:val="000000"/>
                <w:sz w:val="20"/>
                <w:szCs w:val="20"/>
              </w:rPr>
              <w:t>0.000</w:t>
            </w:r>
          </w:p>
        </w:tc>
      </w:tr>
      <w:tr w:rsidR="001774C6" w14:paraId="5ADD1D14" w14:textId="77777777" w:rsidTr="001774C6">
        <w:trPr>
          <w:trHeight w:val="320"/>
        </w:trPr>
        <w:tc>
          <w:tcPr>
            <w:tcW w:w="1152" w:type="dxa"/>
            <w:tcBorders>
              <w:top w:val="nil"/>
              <w:left w:val="nil"/>
              <w:bottom w:val="nil"/>
              <w:right w:val="nil"/>
            </w:tcBorders>
            <w:shd w:val="clear" w:color="auto" w:fill="auto"/>
            <w:noWrap/>
            <w:vAlign w:val="bottom"/>
            <w:hideMark/>
          </w:tcPr>
          <w:p w14:paraId="067C419D"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7EDE43F" w14:textId="77777777" w:rsidR="001774C6" w:rsidRDefault="001774C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C5A3847" w14:textId="77777777" w:rsidR="001774C6" w:rsidRDefault="001774C6">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1C2DCB25" w14:textId="77777777" w:rsidR="001774C6" w:rsidRDefault="001774C6">
            <w:pPr>
              <w:jc w:val="right"/>
              <w:rPr>
                <w:color w:val="000000"/>
                <w:sz w:val="20"/>
                <w:szCs w:val="20"/>
              </w:rPr>
            </w:pPr>
            <w:r>
              <w:rPr>
                <w:color w:val="000000"/>
                <w:sz w:val="20"/>
                <w:szCs w:val="20"/>
              </w:rPr>
              <w:t>0.134</w:t>
            </w:r>
          </w:p>
        </w:tc>
        <w:tc>
          <w:tcPr>
            <w:tcW w:w="864" w:type="dxa"/>
            <w:tcBorders>
              <w:top w:val="nil"/>
              <w:left w:val="nil"/>
              <w:bottom w:val="nil"/>
              <w:right w:val="nil"/>
            </w:tcBorders>
            <w:shd w:val="clear" w:color="auto" w:fill="auto"/>
            <w:noWrap/>
            <w:vAlign w:val="bottom"/>
            <w:hideMark/>
          </w:tcPr>
          <w:p w14:paraId="23D70BA2" w14:textId="77777777" w:rsidR="001774C6" w:rsidRDefault="001774C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BE5FA61" w14:textId="77777777" w:rsidR="001774C6" w:rsidRDefault="001774C6">
            <w:pPr>
              <w:jc w:val="right"/>
              <w:rPr>
                <w:b/>
                <w:bCs/>
                <w:color w:val="000000"/>
                <w:sz w:val="20"/>
                <w:szCs w:val="20"/>
              </w:rPr>
            </w:pPr>
            <w:r>
              <w:rPr>
                <w:b/>
                <w:bCs/>
                <w:color w:val="000000"/>
                <w:sz w:val="20"/>
                <w:szCs w:val="20"/>
              </w:rPr>
              <w:t>-0.055</w:t>
            </w:r>
          </w:p>
        </w:tc>
        <w:tc>
          <w:tcPr>
            <w:tcW w:w="864" w:type="dxa"/>
            <w:tcBorders>
              <w:top w:val="nil"/>
              <w:left w:val="nil"/>
              <w:bottom w:val="nil"/>
              <w:right w:val="nil"/>
            </w:tcBorders>
            <w:shd w:val="clear" w:color="auto" w:fill="auto"/>
            <w:noWrap/>
            <w:vAlign w:val="bottom"/>
            <w:hideMark/>
          </w:tcPr>
          <w:p w14:paraId="10C31B61" w14:textId="77777777" w:rsidR="001774C6" w:rsidRDefault="001774C6">
            <w:pPr>
              <w:jc w:val="right"/>
              <w:rPr>
                <w:b/>
                <w:bCs/>
                <w:color w:val="000000"/>
                <w:sz w:val="20"/>
                <w:szCs w:val="20"/>
              </w:rPr>
            </w:pPr>
            <w:r>
              <w:rPr>
                <w:b/>
                <w:bCs/>
                <w:color w:val="000000"/>
                <w:sz w:val="20"/>
                <w:szCs w:val="20"/>
              </w:rPr>
              <w:t>0.022</w:t>
            </w:r>
          </w:p>
        </w:tc>
        <w:tc>
          <w:tcPr>
            <w:tcW w:w="864" w:type="dxa"/>
            <w:tcBorders>
              <w:top w:val="nil"/>
              <w:left w:val="nil"/>
              <w:bottom w:val="nil"/>
              <w:right w:val="nil"/>
            </w:tcBorders>
            <w:shd w:val="clear" w:color="auto" w:fill="auto"/>
            <w:noWrap/>
            <w:vAlign w:val="bottom"/>
            <w:hideMark/>
          </w:tcPr>
          <w:p w14:paraId="27FE1E4C" w14:textId="77777777" w:rsidR="001774C6" w:rsidRDefault="001774C6">
            <w:pPr>
              <w:jc w:val="right"/>
              <w:rPr>
                <w:b/>
                <w:bCs/>
                <w:color w:val="000000"/>
                <w:sz w:val="20"/>
                <w:szCs w:val="20"/>
              </w:rPr>
            </w:pPr>
            <w:r>
              <w:rPr>
                <w:b/>
                <w:bCs/>
                <w:color w:val="000000"/>
                <w:sz w:val="20"/>
                <w:szCs w:val="20"/>
              </w:rPr>
              <w:t>0.003</w:t>
            </w:r>
          </w:p>
        </w:tc>
      </w:tr>
      <w:tr w:rsidR="001774C6" w14:paraId="285B076C" w14:textId="77777777" w:rsidTr="001774C6">
        <w:trPr>
          <w:trHeight w:val="320"/>
        </w:trPr>
        <w:tc>
          <w:tcPr>
            <w:tcW w:w="1152" w:type="dxa"/>
            <w:tcBorders>
              <w:top w:val="nil"/>
              <w:left w:val="nil"/>
              <w:bottom w:val="nil"/>
              <w:right w:val="nil"/>
            </w:tcBorders>
            <w:shd w:val="clear" w:color="auto" w:fill="auto"/>
            <w:noWrap/>
            <w:vAlign w:val="bottom"/>
            <w:hideMark/>
          </w:tcPr>
          <w:p w14:paraId="6FB16F70" w14:textId="77777777" w:rsidR="001774C6" w:rsidRDefault="001774C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050D2077" w14:textId="77777777" w:rsidR="001774C6" w:rsidRDefault="001774C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3A3239C" w14:textId="77777777" w:rsidR="001774C6" w:rsidRDefault="001774C6">
            <w:pPr>
              <w:jc w:val="right"/>
              <w:rPr>
                <w:b/>
                <w:bCs/>
                <w:color w:val="000000"/>
                <w:sz w:val="20"/>
                <w:szCs w:val="20"/>
              </w:rPr>
            </w:pPr>
            <w:r>
              <w:rPr>
                <w:b/>
                <w:bCs/>
                <w:color w:val="000000"/>
                <w:sz w:val="20"/>
                <w:szCs w:val="20"/>
              </w:rPr>
              <w:t>-0.074</w:t>
            </w:r>
          </w:p>
        </w:tc>
        <w:tc>
          <w:tcPr>
            <w:tcW w:w="864" w:type="dxa"/>
            <w:tcBorders>
              <w:top w:val="nil"/>
              <w:left w:val="nil"/>
              <w:bottom w:val="nil"/>
              <w:right w:val="nil"/>
            </w:tcBorders>
            <w:shd w:val="clear" w:color="auto" w:fill="auto"/>
            <w:noWrap/>
            <w:vAlign w:val="bottom"/>
            <w:hideMark/>
          </w:tcPr>
          <w:p w14:paraId="049A0239" w14:textId="77777777" w:rsidR="001774C6" w:rsidRDefault="001774C6">
            <w:pPr>
              <w:jc w:val="right"/>
              <w:rPr>
                <w:b/>
                <w:bCs/>
                <w:color w:val="000000"/>
                <w:sz w:val="20"/>
                <w:szCs w:val="20"/>
              </w:rPr>
            </w:pPr>
            <w:r>
              <w:rPr>
                <w:b/>
                <w:bCs/>
                <w:color w:val="000000"/>
                <w:sz w:val="20"/>
                <w:szCs w:val="20"/>
              </w:rPr>
              <w:t>0.016</w:t>
            </w:r>
          </w:p>
        </w:tc>
        <w:tc>
          <w:tcPr>
            <w:tcW w:w="864" w:type="dxa"/>
            <w:tcBorders>
              <w:top w:val="nil"/>
              <w:left w:val="nil"/>
              <w:bottom w:val="nil"/>
              <w:right w:val="nil"/>
            </w:tcBorders>
            <w:shd w:val="clear" w:color="auto" w:fill="auto"/>
            <w:noWrap/>
            <w:vAlign w:val="bottom"/>
            <w:hideMark/>
          </w:tcPr>
          <w:p w14:paraId="2354036D" w14:textId="77777777" w:rsidR="001774C6" w:rsidRDefault="001774C6">
            <w:pPr>
              <w:jc w:val="right"/>
              <w:rPr>
                <w:b/>
                <w:bCs/>
                <w:color w:val="000000"/>
                <w:sz w:val="20"/>
                <w:szCs w:val="20"/>
              </w:rPr>
            </w:pPr>
            <w:r>
              <w:rPr>
                <w:b/>
                <w:bCs/>
                <w:color w:val="000000"/>
                <w:sz w:val="20"/>
                <w:szCs w:val="20"/>
              </w:rPr>
              <w:t>0.005</w:t>
            </w:r>
          </w:p>
        </w:tc>
        <w:tc>
          <w:tcPr>
            <w:tcW w:w="864" w:type="dxa"/>
            <w:tcBorders>
              <w:top w:val="nil"/>
              <w:left w:val="nil"/>
              <w:bottom w:val="nil"/>
              <w:right w:val="nil"/>
            </w:tcBorders>
            <w:shd w:val="clear" w:color="auto" w:fill="auto"/>
            <w:noWrap/>
            <w:vAlign w:val="bottom"/>
            <w:hideMark/>
          </w:tcPr>
          <w:p w14:paraId="69142158" w14:textId="77777777" w:rsidR="001774C6" w:rsidRDefault="001774C6">
            <w:pPr>
              <w:jc w:val="right"/>
              <w:rPr>
                <w:b/>
                <w:bCs/>
                <w:color w:val="000000"/>
                <w:sz w:val="20"/>
                <w:szCs w:val="20"/>
              </w:rPr>
            </w:pPr>
            <w:r>
              <w:rPr>
                <w:b/>
                <w:bCs/>
                <w:color w:val="000000"/>
                <w:sz w:val="20"/>
                <w:szCs w:val="20"/>
              </w:rPr>
              <w:t>-0.083</w:t>
            </w:r>
          </w:p>
        </w:tc>
        <w:tc>
          <w:tcPr>
            <w:tcW w:w="864" w:type="dxa"/>
            <w:tcBorders>
              <w:top w:val="nil"/>
              <w:left w:val="nil"/>
              <w:bottom w:val="nil"/>
              <w:right w:val="nil"/>
            </w:tcBorders>
            <w:shd w:val="clear" w:color="auto" w:fill="auto"/>
            <w:noWrap/>
            <w:vAlign w:val="bottom"/>
            <w:hideMark/>
          </w:tcPr>
          <w:p w14:paraId="44502860" w14:textId="77777777" w:rsidR="001774C6" w:rsidRDefault="001774C6">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5229CAEF" w14:textId="77777777" w:rsidR="001774C6" w:rsidRDefault="001774C6">
            <w:pPr>
              <w:jc w:val="right"/>
              <w:rPr>
                <w:b/>
                <w:bCs/>
                <w:color w:val="000000"/>
                <w:sz w:val="20"/>
                <w:szCs w:val="20"/>
              </w:rPr>
            </w:pPr>
            <w:r>
              <w:rPr>
                <w:b/>
                <w:bCs/>
                <w:color w:val="000000"/>
                <w:sz w:val="20"/>
                <w:szCs w:val="20"/>
              </w:rPr>
              <w:t>0.007</w:t>
            </w:r>
          </w:p>
        </w:tc>
      </w:tr>
      <w:tr w:rsidR="001774C6" w14:paraId="08D24A26" w14:textId="77777777" w:rsidTr="001774C6">
        <w:trPr>
          <w:trHeight w:val="320"/>
        </w:trPr>
        <w:tc>
          <w:tcPr>
            <w:tcW w:w="1152" w:type="dxa"/>
            <w:tcBorders>
              <w:top w:val="nil"/>
              <w:left w:val="nil"/>
              <w:bottom w:val="nil"/>
              <w:right w:val="nil"/>
            </w:tcBorders>
            <w:shd w:val="clear" w:color="auto" w:fill="auto"/>
            <w:noWrap/>
            <w:vAlign w:val="bottom"/>
            <w:hideMark/>
          </w:tcPr>
          <w:p w14:paraId="4738707B" w14:textId="77777777" w:rsidR="001774C6" w:rsidRDefault="001774C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5B400C01" w14:textId="77777777" w:rsidR="001774C6" w:rsidRDefault="001774C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3195CBA" w14:textId="77777777" w:rsidR="001774C6" w:rsidRDefault="001774C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3F0727A8" w14:textId="77777777" w:rsidR="001774C6" w:rsidRDefault="001774C6">
            <w:pPr>
              <w:jc w:val="right"/>
              <w:rPr>
                <w:color w:val="000000"/>
                <w:sz w:val="20"/>
                <w:szCs w:val="20"/>
              </w:rPr>
            </w:pPr>
            <w:r>
              <w:rPr>
                <w:color w:val="000000"/>
                <w:sz w:val="20"/>
                <w:szCs w:val="20"/>
              </w:rPr>
              <w:t>0.793</w:t>
            </w:r>
          </w:p>
        </w:tc>
        <w:tc>
          <w:tcPr>
            <w:tcW w:w="864" w:type="dxa"/>
            <w:tcBorders>
              <w:top w:val="nil"/>
              <w:left w:val="nil"/>
              <w:bottom w:val="nil"/>
              <w:right w:val="nil"/>
            </w:tcBorders>
            <w:shd w:val="clear" w:color="auto" w:fill="auto"/>
            <w:noWrap/>
            <w:vAlign w:val="bottom"/>
            <w:hideMark/>
          </w:tcPr>
          <w:p w14:paraId="10893AF1"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BA6DA08" w14:textId="77777777" w:rsidR="001774C6" w:rsidRDefault="001774C6">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4B0764BC" w14:textId="77777777" w:rsidR="001774C6" w:rsidRDefault="001774C6">
            <w:pPr>
              <w:jc w:val="right"/>
              <w:rPr>
                <w:color w:val="000000"/>
                <w:sz w:val="20"/>
                <w:szCs w:val="20"/>
              </w:rPr>
            </w:pPr>
            <w:r>
              <w:rPr>
                <w:color w:val="000000"/>
                <w:sz w:val="20"/>
                <w:szCs w:val="20"/>
              </w:rPr>
              <w:t>0.816</w:t>
            </w:r>
          </w:p>
        </w:tc>
        <w:tc>
          <w:tcPr>
            <w:tcW w:w="864" w:type="dxa"/>
            <w:tcBorders>
              <w:top w:val="nil"/>
              <w:left w:val="nil"/>
              <w:bottom w:val="nil"/>
              <w:right w:val="nil"/>
            </w:tcBorders>
            <w:shd w:val="clear" w:color="auto" w:fill="auto"/>
            <w:noWrap/>
            <w:vAlign w:val="bottom"/>
            <w:hideMark/>
          </w:tcPr>
          <w:p w14:paraId="75B055A3" w14:textId="77777777" w:rsidR="001774C6" w:rsidRDefault="001774C6">
            <w:pPr>
              <w:jc w:val="right"/>
              <w:rPr>
                <w:color w:val="000000"/>
                <w:sz w:val="20"/>
                <w:szCs w:val="20"/>
              </w:rPr>
            </w:pPr>
            <w:r>
              <w:rPr>
                <w:color w:val="000000"/>
                <w:sz w:val="20"/>
                <w:szCs w:val="20"/>
              </w:rPr>
              <w:t>0.000</w:t>
            </w:r>
          </w:p>
        </w:tc>
      </w:tr>
      <w:tr w:rsidR="001774C6" w14:paraId="12006B6C" w14:textId="77777777" w:rsidTr="001774C6">
        <w:trPr>
          <w:trHeight w:val="320"/>
        </w:trPr>
        <w:tc>
          <w:tcPr>
            <w:tcW w:w="1152" w:type="dxa"/>
            <w:tcBorders>
              <w:top w:val="nil"/>
              <w:left w:val="nil"/>
              <w:bottom w:val="nil"/>
              <w:right w:val="nil"/>
            </w:tcBorders>
            <w:shd w:val="clear" w:color="auto" w:fill="auto"/>
            <w:noWrap/>
            <w:vAlign w:val="bottom"/>
            <w:hideMark/>
          </w:tcPr>
          <w:p w14:paraId="06735811"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20649DD" w14:textId="77777777" w:rsidR="001774C6" w:rsidRDefault="001774C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64C53EB" w14:textId="77777777" w:rsidR="001774C6" w:rsidRDefault="001774C6">
            <w:pPr>
              <w:jc w:val="right"/>
              <w:rPr>
                <w:b/>
                <w:bCs/>
                <w:color w:val="000000"/>
                <w:sz w:val="20"/>
                <w:szCs w:val="20"/>
              </w:rPr>
            </w:pPr>
            <w:r>
              <w:rPr>
                <w:b/>
                <w:bCs/>
                <w:color w:val="000000"/>
                <w:sz w:val="20"/>
                <w:szCs w:val="20"/>
              </w:rPr>
              <w:t>-0.064</w:t>
            </w:r>
          </w:p>
        </w:tc>
        <w:tc>
          <w:tcPr>
            <w:tcW w:w="864" w:type="dxa"/>
            <w:tcBorders>
              <w:top w:val="nil"/>
              <w:left w:val="nil"/>
              <w:bottom w:val="nil"/>
              <w:right w:val="nil"/>
            </w:tcBorders>
            <w:shd w:val="clear" w:color="auto" w:fill="auto"/>
            <w:noWrap/>
            <w:vAlign w:val="bottom"/>
            <w:hideMark/>
          </w:tcPr>
          <w:p w14:paraId="093C0D6E" w14:textId="77777777" w:rsidR="001774C6" w:rsidRDefault="001774C6">
            <w:pPr>
              <w:jc w:val="right"/>
              <w:rPr>
                <w:b/>
                <w:bCs/>
                <w:color w:val="000000"/>
                <w:sz w:val="20"/>
                <w:szCs w:val="20"/>
              </w:rPr>
            </w:pPr>
            <w:r>
              <w:rPr>
                <w:b/>
                <w:bCs/>
                <w:color w:val="000000"/>
                <w:sz w:val="20"/>
                <w:szCs w:val="20"/>
              </w:rPr>
              <w:t>0.028</w:t>
            </w:r>
          </w:p>
        </w:tc>
        <w:tc>
          <w:tcPr>
            <w:tcW w:w="864" w:type="dxa"/>
            <w:tcBorders>
              <w:top w:val="nil"/>
              <w:left w:val="nil"/>
              <w:bottom w:val="nil"/>
              <w:right w:val="nil"/>
            </w:tcBorders>
            <w:shd w:val="clear" w:color="auto" w:fill="auto"/>
            <w:noWrap/>
            <w:vAlign w:val="bottom"/>
            <w:hideMark/>
          </w:tcPr>
          <w:p w14:paraId="5FDBEB22" w14:textId="77777777" w:rsidR="001774C6" w:rsidRDefault="001774C6">
            <w:pPr>
              <w:jc w:val="right"/>
              <w:rPr>
                <w:b/>
                <w:bCs/>
                <w:color w:val="000000"/>
                <w:sz w:val="20"/>
                <w:szCs w:val="20"/>
              </w:rPr>
            </w:pPr>
            <w:r>
              <w:rPr>
                <w:b/>
                <w:bCs/>
                <w:color w:val="000000"/>
                <w:sz w:val="20"/>
                <w:szCs w:val="20"/>
              </w:rPr>
              <w:t>0.004</w:t>
            </w:r>
          </w:p>
        </w:tc>
        <w:tc>
          <w:tcPr>
            <w:tcW w:w="864" w:type="dxa"/>
            <w:tcBorders>
              <w:top w:val="nil"/>
              <w:left w:val="nil"/>
              <w:bottom w:val="nil"/>
              <w:right w:val="nil"/>
            </w:tcBorders>
            <w:shd w:val="clear" w:color="auto" w:fill="auto"/>
            <w:noWrap/>
            <w:vAlign w:val="bottom"/>
            <w:hideMark/>
          </w:tcPr>
          <w:p w14:paraId="12D85DB5" w14:textId="77777777" w:rsidR="001774C6" w:rsidRDefault="001774C6">
            <w:pPr>
              <w:jc w:val="right"/>
              <w:rPr>
                <w:b/>
                <w:bCs/>
                <w:color w:val="000000"/>
                <w:sz w:val="20"/>
                <w:szCs w:val="20"/>
              </w:rPr>
            </w:pPr>
            <w:r>
              <w:rPr>
                <w:b/>
                <w:bCs/>
                <w:color w:val="000000"/>
                <w:sz w:val="20"/>
                <w:szCs w:val="20"/>
              </w:rPr>
              <w:t>-0.067</w:t>
            </w:r>
          </w:p>
        </w:tc>
        <w:tc>
          <w:tcPr>
            <w:tcW w:w="864" w:type="dxa"/>
            <w:tcBorders>
              <w:top w:val="nil"/>
              <w:left w:val="nil"/>
              <w:bottom w:val="nil"/>
              <w:right w:val="nil"/>
            </w:tcBorders>
            <w:shd w:val="clear" w:color="auto" w:fill="auto"/>
            <w:noWrap/>
            <w:vAlign w:val="bottom"/>
            <w:hideMark/>
          </w:tcPr>
          <w:p w14:paraId="118FA0E1" w14:textId="77777777" w:rsidR="001774C6" w:rsidRDefault="001774C6">
            <w:pPr>
              <w:jc w:val="right"/>
              <w:rPr>
                <w:b/>
                <w:bCs/>
                <w:color w:val="000000"/>
                <w:sz w:val="20"/>
                <w:szCs w:val="20"/>
              </w:rPr>
            </w:pPr>
            <w:r>
              <w:rPr>
                <w:b/>
                <w:bCs/>
                <w:color w:val="000000"/>
                <w:sz w:val="20"/>
                <w:szCs w:val="20"/>
              </w:rPr>
              <w:t>0.005</w:t>
            </w:r>
          </w:p>
        </w:tc>
        <w:tc>
          <w:tcPr>
            <w:tcW w:w="864" w:type="dxa"/>
            <w:tcBorders>
              <w:top w:val="nil"/>
              <w:left w:val="nil"/>
              <w:bottom w:val="nil"/>
              <w:right w:val="nil"/>
            </w:tcBorders>
            <w:shd w:val="clear" w:color="auto" w:fill="auto"/>
            <w:noWrap/>
            <w:vAlign w:val="bottom"/>
            <w:hideMark/>
          </w:tcPr>
          <w:p w14:paraId="4E1B8D16" w14:textId="77777777" w:rsidR="001774C6" w:rsidRDefault="001774C6">
            <w:pPr>
              <w:jc w:val="right"/>
              <w:rPr>
                <w:b/>
                <w:bCs/>
                <w:color w:val="000000"/>
                <w:sz w:val="20"/>
                <w:szCs w:val="20"/>
              </w:rPr>
            </w:pPr>
            <w:r>
              <w:rPr>
                <w:b/>
                <w:bCs/>
                <w:color w:val="000000"/>
                <w:sz w:val="20"/>
                <w:szCs w:val="20"/>
              </w:rPr>
              <w:t>0.004</w:t>
            </w:r>
          </w:p>
        </w:tc>
      </w:tr>
      <w:tr w:rsidR="001774C6" w14:paraId="58C05603" w14:textId="77777777" w:rsidTr="001774C6">
        <w:trPr>
          <w:trHeight w:val="320"/>
        </w:trPr>
        <w:tc>
          <w:tcPr>
            <w:tcW w:w="1152" w:type="dxa"/>
            <w:tcBorders>
              <w:top w:val="nil"/>
              <w:left w:val="nil"/>
              <w:bottom w:val="single" w:sz="4" w:space="0" w:color="auto"/>
              <w:right w:val="nil"/>
            </w:tcBorders>
            <w:shd w:val="clear" w:color="auto" w:fill="auto"/>
            <w:noWrap/>
            <w:vAlign w:val="bottom"/>
            <w:hideMark/>
          </w:tcPr>
          <w:p w14:paraId="3525CD53" w14:textId="77777777" w:rsidR="001774C6" w:rsidRDefault="001774C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642C0BF" w14:textId="77777777" w:rsidR="001774C6" w:rsidRDefault="001774C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9E91FD3" w14:textId="77777777" w:rsidR="001774C6" w:rsidRDefault="001774C6">
            <w:pPr>
              <w:jc w:val="right"/>
              <w:rPr>
                <w:b/>
                <w:bCs/>
                <w:color w:val="000000"/>
                <w:sz w:val="20"/>
                <w:szCs w:val="20"/>
              </w:rPr>
            </w:pPr>
            <w:r>
              <w:rPr>
                <w:b/>
                <w:bCs/>
                <w:color w:val="000000"/>
                <w:sz w:val="20"/>
                <w:szCs w:val="20"/>
              </w:rPr>
              <w:t>0.061</w:t>
            </w:r>
          </w:p>
        </w:tc>
        <w:tc>
          <w:tcPr>
            <w:tcW w:w="864" w:type="dxa"/>
            <w:tcBorders>
              <w:top w:val="nil"/>
              <w:left w:val="nil"/>
              <w:bottom w:val="single" w:sz="4" w:space="0" w:color="auto"/>
              <w:right w:val="nil"/>
            </w:tcBorders>
            <w:shd w:val="clear" w:color="auto" w:fill="auto"/>
            <w:noWrap/>
            <w:vAlign w:val="bottom"/>
            <w:hideMark/>
          </w:tcPr>
          <w:p w14:paraId="0F76C396" w14:textId="77777777" w:rsidR="001774C6" w:rsidRDefault="001774C6">
            <w:pPr>
              <w:jc w:val="right"/>
              <w:rPr>
                <w:b/>
                <w:bCs/>
                <w:color w:val="000000"/>
                <w:sz w:val="20"/>
                <w:szCs w:val="20"/>
              </w:rPr>
            </w:pPr>
            <w:r>
              <w:rPr>
                <w:b/>
                <w:bCs/>
                <w:color w:val="000000"/>
                <w:sz w:val="20"/>
                <w:szCs w:val="20"/>
              </w:rPr>
              <w:t>0.035</w:t>
            </w:r>
          </w:p>
        </w:tc>
        <w:tc>
          <w:tcPr>
            <w:tcW w:w="864" w:type="dxa"/>
            <w:tcBorders>
              <w:top w:val="nil"/>
              <w:left w:val="nil"/>
              <w:bottom w:val="single" w:sz="4" w:space="0" w:color="auto"/>
              <w:right w:val="nil"/>
            </w:tcBorders>
            <w:shd w:val="clear" w:color="auto" w:fill="auto"/>
            <w:noWrap/>
            <w:vAlign w:val="bottom"/>
            <w:hideMark/>
          </w:tcPr>
          <w:p w14:paraId="5A3A147A" w14:textId="77777777" w:rsidR="001774C6" w:rsidRDefault="001774C6">
            <w:pPr>
              <w:jc w:val="right"/>
              <w:rPr>
                <w:b/>
                <w:bCs/>
                <w:color w:val="000000"/>
                <w:sz w:val="20"/>
                <w:szCs w:val="20"/>
              </w:rPr>
            </w:pPr>
            <w:r>
              <w:rPr>
                <w:b/>
                <w:bCs/>
                <w:color w:val="000000"/>
                <w:sz w:val="20"/>
                <w:szCs w:val="20"/>
              </w:rPr>
              <w:t>0.004</w:t>
            </w:r>
          </w:p>
        </w:tc>
        <w:tc>
          <w:tcPr>
            <w:tcW w:w="864" w:type="dxa"/>
            <w:tcBorders>
              <w:top w:val="nil"/>
              <w:left w:val="nil"/>
              <w:bottom w:val="single" w:sz="4" w:space="0" w:color="auto"/>
              <w:right w:val="nil"/>
            </w:tcBorders>
            <w:shd w:val="clear" w:color="auto" w:fill="auto"/>
            <w:noWrap/>
            <w:vAlign w:val="bottom"/>
            <w:hideMark/>
          </w:tcPr>
          <w:p w14:paraId="01307500" w14:textId="77777777" w:rsidR="001774C6" w:rsidRDefault="001774C6">
            <w:pPr>
              <w:jc w:val="right"/>
              <w:rPr>
                <w:b/>
                <w:bCs/>
                <w:color w:val="000000"/>
                <w:sz w:val="20"/>
                <w:szCs w:val="20"/>
              </w:rPr>
            </w:pPr>
            <w:r>
              <w:rPr>
                <w:b/>
                <w:bCs/>
                <w:color w:val="000000"/>
                <w:sz w:val="20"/>
                <w:szCs w:val="20"/>
              </w:rPr>
              <w:t>0.072</w:t>
            </w:r>
          </w:p>
        </w:tc>
        <w:tc>
          <w:tcPr>
            <w:tcW w:w="864" w:type="dxa"/>
            <w:tcBorders>
              <w:top w:val="nil"/>
              <w:left w:val="nil"/>
              <w:bottom w:val="single" w:sz="4" w:space="0" w:color="auto"/>
              <w:right w:val="nil"/>
            </w:tcBorders>
            <w:shd w:val="clear" w:color="auto" w:fill="auto"/>
            <w:noWrap/>
            <w:vAlign w:val="bottom"/>
            <w:hideMark/>
          </w:tcPr>
          <w:p w14:paraId="3B052AF6" w14:textId="77777777" w:rsidR="001774C6" w:rsidRDefault="001774C6">
            <w:pPr>
              <w:jc w:val="right"/>
              <w:rPr>
                <w:b/>
                <w:bCs/>
                <w:color w:val="000000"/>
                <w:sz w:val="20"/>
                <w:szCs w:val="20"/>
              </w:rPr>
            </w:pPr>
            <w:r>
              <w:rPr>
                <w:b/>
                <w:bCs/>
                <w:color w:val="000000"/>
                <w:sz w:val="20"/>
                <w:szCs w:val="20"/>
              </w:rPr>
              <w:t>0.004</w:t>
            </w:r>
          </w:p>
        </w:tc>
        <w:tc>
          <w:tcPr>
            <w:tcW w:w="864" w:type="dxa"/>
            <w:tcBorders>
              <w:top w:val="nil"/>
              <w:left w:val="nil"/>
              <w:bottom w:val="single" w:sz="4" w:space="0" w:color="auto"/>
              <w:right w:val="nil"/>
            </w:tcBorders>
            <w:shd w:val="clear" w:color="auto" w:fill="auto"/>
            <w:noWrap/>
            <w:vAlign w:val="bottom"/>
            <w:hideMark/>
          </w:tcPr>
          <w:p w14:paraId="504DEE6B" w14:textId="77777777" w:rsidR="001774C6" w:rsidRDefault="001774C6">
            <w:pPr>
              <w:jc w:val="right"/>
              <w:rPr>
                <w:b/>
                <w:bCs/>
                <w:color w:val="000000"/>
                <w:sz w:val="20"/>
                <w:szCs w:val="20"/>
              </w:rPr>
            </w:pPr>
            <w:r>
              <w:rPr>
                <w:b/>
                <w:bCs/>
                <w:color w:val="000000"/>
                <w:sz w:val="20"/>
                <w:szCs w:val="20"/>
              </w:rPr>
              <w:t>0.005</w:t>
            </w:r>
          </w:p>
        </w:tc>
      </w:tr>
      <w:tr w:rsidR="001774C6" w14:paraId="0C1EF482" w14:textId="77777777" w:rsidTr="001774C6">
        <w:trPr>
          <w:trHeight w:val="320"/>
        </w:trPr>
        <w:tc>
          <w:tcPr>
            <w:tcW w:w="1152" w:type="dxa"/>
            <w:tcBorders>
              <w:top w:val="nil"/>
              <w:left w:val="nil"/>
              <w:bottom w:val="nil"/>
              <w:right w:val="nil"/>
            </w:tcBorders>
            <w:shd w:val="clear" w:color="auto" w:fill="auto"/>
            <w:noWrap/>
            <w:vAlign w:val="bottom"/>
            <w:hideMark/>
          </w:tcPr>
          <w:p w14:paraId="65B09471" w14:textId="77777777" w:rsidR="001774C6" w:rsidRDefault="001774C6">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423BADB5" w14:textId="77777777" w:rsidR="001774C6" w:rsidRDefault="001774C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683DFDC" w14:textId="77777777" w:rsidR="001774C6" w:rsidRDefault="001774C6">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0C2FAC01" w14:textId="77777777" w:rsidR="001774C6" w:rsidRDefault="001774C6">
            <w:pPr>
              <w:jc w:val="right"/>
              <w:rPr>
                <w:color w:val="000000"/>
                <w:sz w:val="20"/>
                <w:szCs w:val="20"/>
              </w:rPr>
            </w:pPr>
            <w:r>
              <w:rPr>
                <w:color w:val="000000"/>
                <w:sz w:val="20"/>
                <w:szCs w:val="20"/>
              </w:rPr>
              <w:t>0.669</w:t>
            </w:r>
          </w:p>
        </w:tc>
        <w:tc>
          <w:tcPr>
            <w:tcW w:w="864" w:type="dxa"/>
            <w:tcBorders>
              <w:top w:val="nil"/>
              <w:left w:val="nil"/>
              <w:bottom w:val="nil"/>
              <w:right w:val="nil"/>
            </w:tcBorders>
            <w:shd w:val="clear" w:color="auto" w:fill="auto"/>
            <w:noWrap/>
            <w:vAlign w:val="bottom"/>
            <w:hideMark/>
          </w:tcPr>
          <w:p w14:paraId="1BE654DE"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E528C75" w14:textId="77777777" w:rsidR="001774C6" w:rsidRDefault="001774C6">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6FE34D1A" w14:textId="77777777" w:rsidR="001774C6" w:rsidRDefault="001774C6">
            <w:pPr>
              <w:jc w:val="right"/>
              <w:rPr>
                <w:color w:val="000000"/>
                <w:sz w:val="20"/>
                <w:szCs w:val="20"/>
              </w:rPr>
            </w:pPr>
            <w:r>
              <w:rPr>
                <w:color w:val="000000"/>
                <w:sz w:val="20"/>
                <w:szCs w:val="20"/>
              </w:rPr>
              <w:t>0.319</w:t>
            </w:r>
          </w:p>
        </w:tc>
        <w:tc>
          <w:tcPr>
            <w:tcW w:w="864" w:type="dxa"/>
            <w:tcBorders>
              <w:top w:val="nil"/>
              <w:left w:val="nil"/>
              <w:bottom w:val="nil"/>
              <w:right w:val="nil"/>
            </w:tcBorders>
            <w:shd w:val="clear" w:color="auto" w:fill="auto"/>
            <w:noWrap/>
            <w:vAlign w:val="bottom"/>
            <w:hideMark/>
          </w:tcPr>
          <w:p w14:paraId="7E11CE29" w14:textId="77777777" w:rsidR="001774C6" w:rsidRDefault="001774C6">
            <w:pPr>
              <w:jc w:val="right"/>
              <w:rPr>
                <w:color w:val="000000"/>
                <w:sz w:val="20"/>
                <w:szCs w:val="20"/>
              </w:rPr>
            </w:pPr>
            <w:r>
              <w:rPr>
                <w:color w:val="000000"/>
                <w:sz w:val="20"/>
                <w:szCs w:val="20"/>
              </w:rPr>
              <w:t>0.001</w:t>
            </w:r>
          </w:p>
        </w:tc>
      </w:tr>
      <w:tr w:rsidR="001774C6" w14:paraId="25C6CEDB" w14:textId="77777777" w:rsidTr="001774C6">
        <w:trPr>
          <w:trHeight w:val="320"/>
        </w:trPr>
        <w:tc>
          <w:tcPr>
            <w:tcW w:w="1152" w:type="dxa"/>
            <w:tcBorders>
              <w:top w:val="nil"/>
              <w:left w:val="nil"/>
              <w:bottom w:val="nil"/>
              <w:right w:val="nil"/>
            </w:tcBorders>
            <w:shd w:val="clear" w:color="auto" w:fill="auto"/>
            <w:noWrap/>
            <w:vAlign w:val="bottom"/>
            <w:hideMark/>
          </w:tcPr>
          <w:p w14:paraId="1A96CB36"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5FEA1FF" w14:textId="77777777" w:rsidR="001774C6" w:rsidRDefault="001774C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4998323" w14:textId="77777777" w:rsidR="001774C6" w:rsidRDefault="001774C6">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0048A4D8" w14:textId="77777777" w:rsidR="001774C6" w:rsidRDefault="001774C6">
            <w:pPr>
              <w:jc w:val="right"/>
              <w:rPr>
                <w:color w:val="000000"/>
                <w:sz w:val="20"/>
                <w:szCs w:val="20"/>
              </w:rPr>
            </w:pPr>
            <w:r>
              <w:rPr>
                <w:color w:val="000000"/>
                <w:sz w:val="20"/>
                <w:szCs w:val="20"/>
              </w:rPr>
              <w:t>0.803</w:t>
            </w:r>
          </w:p>
        </w:tc>
        <w:tc>
          <w:tcPr>
            <w:tcW w:w="864" w:type="dxa"/>
            <w:tcBorders>
              <w:top w:val="nil"/>
              <w:left w:val="nil"/>
              <w:bottom w:val="nil"/>
              <w:right w:val="nil"/>
            </w:tcBorders>
            <w:shd w:val="clear" w:color="auto" w:fill="auto"/>
            <w:noWrap/>
            <w:vAlign w:val="bottom"/>
            <w:hideMark/>
          </w:tcPr>
          <w:p w14:paraId="7DE89EBF"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01F1300" w14:textId="77777777" w:rsidR="001774C6" w:rsidRDefault="001774C6">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2328DAC4" w14:textId="77777777" w:rsidR="001774C6" w:rsidRDefault="001774C6">
            <w:pPr>
              <w:jc w:val="right"/>
              <w:rPr>
                <w:color w:val="000000"/>
                <w:sz w:val="20"/>
                <w:szCs w:val="20"/>
              </w:rPr>
            </w:pPr>
            <w:r>
              <w:rPr>
                <w:color w:val="000000"/>
                <w:sz w:val="20"/>
                <w:szCs w:val="20"/>
              </w:rPr>
              <w:t>0.162</w:t>
            </w:r>
          </w:p>
        </w:tc>
        <w:tc>
          <w:tcPr>
            <w:tcW w:w="864" w:type="dxa"/>
            <w:tcBorders>
              <w:top w:val="nil"/>
              <w:left w:val="nil"/>
              <w:bottom w:val="nil"/>
              <w:right w:val="nil"/>
            </w:tcBorders>
            <w:shd w:val="clear" w:color="auto" w:fill="auto"/>
            <w:noWrap/>
            <w:vAlign w:val="bottom"/>
            <w:hideMark/>
          </w:tcPr>
          <w:p w14:paraId="715D5D07" w14:textId="77777777" w:rsidR="001774C6" w:rsidRDefault="001774C6">
            <w:pPr>
              <w:jc w:val="right"/>
              <w:rPr>
                <w:color w:val="000000"/>
                <w:sz w:val="20"/>
                <w:szCs w:val="20"/>
              </w:rPr>
            </w:pPr>
            <w:r>
              <w:rPr>
                <w:color w:val="000000"/>
                <w:sz w:val="20"/>
                <w:szCs w:val="20"/>
              </w:rPr>
              <w:t>0.001</w:t>
            </w:r>
          </w:p>
        </w:tc>
      </w:tr>
      <w:tr w:rsidR="001774C6" w14:paraId="69F284FF" w14:textId="77777777" w:rsidTr="001774C6">
        <w:trPr>
          <w:trHeight w:val="320"/>
        </w:trPr>
        <w:tc>
          <w:tcPr>
            <w:tcW w:w="1152" w:type="dxa"/>
            <w:tcBorders>
              <w:top w:val="nil"/>
              <w:left w:val="nil"/>
              <w:bottom w:val="nil"/>
              <w:right w:val="nil"/>
            </w:tcBorders>
            <w:shd w:val="clear" w:color="auto" w:fill="auto"/>
            <w:noWrap/>
            <w:vAlign w:val="bottom"/>
            <w:hideMark/>
          </w:tcPr>
          <w:p w14:paraId="56FA5E08"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DF634C4" w14:textId="77777777" w:rsidR="001774C6" w:rsidRDefault="001774C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9533791" w14:textId="77777777" w:rsidR="001774C6" w:rsidRDefault="001774C6">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188792E4" w14:textId="77777777" w:rsidR="001774C6" w:rsidRDefault="001774C6">
            <w:pPr>
              <w:jc w:val="right"/>
              <w:rPr>
                <w:color w:val="000000"/>
                <w:sz w:val="20"/>
                <w:szCs w:val="20"/>
              </w:rPr>
            </w:pPr>
            <w:r>
              <w:rPr>
                <w:color w:val="000000"/>
                <w:sz w:val="20"/>
                <w:szCs w:val="20"/>
              </w:rPr>
              <w:t>0.703</w:t>
            </w:r>
          </w:p>
        </w:tc>
        <w:tc>
          <w:tcPr>
            <w:tcW w:w="864" w:type="dxa"/>
            <w:tcBorders>
              <w:top w:val="nil"/>
              <w:left w:val="nil"/>
              <w:bottom w:val="nil"/>
              <w:right w:val="nil"/>
            </w:tcBorders>
            <w:shd w:val="clear" w:color="auto" w:fill="auto"/>
            <w:noWrap/>
            <w:vAlign w:val="bottom"/>
            <w:hideMark/>
          </w:tcPr>
          <w:p w14:paraId="241AE6CF"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7154C98" w14:textId="77777777" w:rsidR="001774C6" w:rsidRDefault="001774C6">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4728424D" w14:textId="77777777" w:rsidR="001774C6" w:rsidRDefault="001774C6">
            <w:pPr>
              <w:jc w:val="right"/>
              <w:rPr>
                <w:color w:val="000000"/>
                <w:sz w:val="20"/>
                <w:szCs w:val="20"/>
              </w:rPr>
            </w:pPr>
            <w:r>
              <w:rPr>
                <w:color w:val="000000"/>
                <w:sz w:val="20"/>
                <w:szCs w:val="20"/>
              </w:rPr>
              <w:t>0.567</w:t>
            </w:r>
          </w:p>
        </w:tc>
        <w:tc>
          <w:tcPr>
            <w:tcW w:w="864" w:type="dxa"/>
            <w:tcBorders>
              <w:top w:val="nil"/>
              <w:left w:val="nil"/>
              <w:bottom w:val="nil"/>
              <w:right w:val="nil"/>
            </w:tcBorders>
            <w:shd w:val="clear" w:color="auto" w:fill="auto"/>
            <w:noWrap/>
            <w:vAlign w:val="bottom"/>
            <w:hideMark/>
          </w:tcPr>
          <w:p w14:paraId="6E847111" w14:textId="77777777" w:rsidR="001774C6" w:rsidRDefault="001774C6">
            <w:pPr>
              <w:jc w:val="right"/>
              <w:rPr>
                <w:color w:val="000000"/>
                <w:sz w:val="20"/>
                <w:szCs w:val="20"/>
              </w:rPr>
            </w:pPr>
            <w:r>
              <w:rPr>
                <w:color w:val="000000"/>
                <w:sz w:val="20"/>
                <w:szCs w:val="20"/>
              </w:rPr>
              <w:t>0.000</w:t>
            </w:r>
          </w:p>
        </w:tc>
      </w:tr>
      <w:tr w:rsidR="001774C6" w14:paraId="2C637587" w14:textId="77777777" w:rsidTr="001774C6">
        <w:trPr>
          <w:trHeight w:val="320"/>
        </w:trPr>
        <w:tc>
          <w:tcPr>
            <w:tcW w:w="1152" w:type="dxa"/>
            <w:tcBorders>
              <w:top w:val="nil"/>
              <w:left w:val="nil"/>
              <w:bottom w:val="nil"/>
              <w:right w:val="nil"/>
            </w:tcBorders>
            <w:shd w:val="clear" w:color="auto" w:fill="auto"/>
            <w:noWrap/>
            <w:vAlign w:val="bottom"/>
            <w:hideMark/>
          </w:tcPr>
          <w:p w14:paraId="17E5132A"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A1CF4A5" w14:textId="77777777" w:rsidR="001774C6" w:rsidRDefault="001774C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3E2353B" w14:textId="77777777" w:rsidR="001774C6" w:rsidRDefault="001774C6">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282109BA" w14:textId="77777777" w:rsidR="001774C6" w:rsidRDefault="001774C6">
            <w:pPr>
              <w:jc w:val="right"/>
              <w:rPr>
                <w:color w:val="000000"/>
                <w:sz w:val="20"/>
                <w:szCs w:val="20"/>
              </w:rPr>
            </w:pPr>
            <w:r>
              <w:rPr>
                <w:color w:val="000000"/>
                <w:sz w:val="20"/>
                <w:szCs w:val="20"/>
              </w:rPr>
              <w:t>0.380</w:t>
            </w:r>
          </w:p>
        </w:tc>
        <w:tc>
          <w:tcPr>
            <w:tcW w:w="864" w:type="dxa"/>
            <w:tcBorders>
              <w:top w:val="nil"/>
              <w:left w:val="nil"/>
              <w:bottom w:val="nil"/>
              <w:right w:val="nil"/>
            </w:tcBorders>
            <w:shd w:val="clear" w:color="auto" w:fill="auto"/>
            <w:noWrap/>
            <w:vAlign w:val="bottom"/>
            <w:hideMark/>
          </w:tcPr>
          <w:p w14:paraId="167EF0A0" w14:textId="77777777" w:rsidR="001774C6" w:rsidRDefault="001774C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1EE1EB9D" w14:textId="77777777" w:rsidR="001774C6" w:rsidRDefault="001774C6">
            <w:pPr>
              <w:jc w:val="right"/>
              <w:rPr>
                <w:b/>
                <w:bCs/>
                <w:color w:val="000000"/>
                <w:sz w:val="20"/>
                <w:szCs w:val="20"/>
              </w:rPr>
            </w:pPr>
            <w:r>
              <w:rPr>
                <w:b/>
                <w:bCs/>
                <w:color w:val="000000"/>
                <w:sz w:val="20"/>
                <w:szCs w:val="20"/>
              </w:rPr>
              <w:t>-0.056</w:t>
            </w:r>
          </w:p>
        </w:tc>
        <w:tc>
          <w:tcPr>
            <w:tcW w:w="864" w:type="dxa"/>
            <w:tcBorders>
              <w:top w:val="nil"/>
              <w:left w:val="nil"/>
              <w:bottom w:val="nil"/>
              <w:right w:val="nil"/>
            </w:tcBorders>
            <w:shd w:val="clear" w:color="auto" w:fill="auto"/>
            <w:noWrap/>
            <w:vAlign w:val="bottom"/>
            <w:hideMark/>
          </w:tcPr>
          <w:p w14:paraId="5C18B66F" w14:textId="77777777" w:rsidR="001774C6" w:rsidRDefault="001774C6">
            <w:pPr>
              <w:jc w:val="right"/>
              <w:rPr>
                <w:b/>
                <w:bCs/>
                <w:color w:val="000000"/>
                <w:sz w:val="20"/>
                <w:szCs w:val="20"/>
              </w:rPr>
            </w:pPr>
            <w:r>
              <w:rPr>
                <w:b/>
                <w:bCs/>
                <w:color w:val="000000"/>
                <w:sz w:val="20"/>
                <w:szCs w:val="20"/>
              </w:rPr>
              <w:t>0.028</w:t>
            </w:r>
          </w:p>
        </w:tc>
        <w:tc>
          <w:tcPr>
            <w:tcW w:w="864" w:type="dxa"/>
            <w:tcBorders>
              <w:top w:val="nil"/>
              <w:left w:val="nil"/>
              <w:bottom w:val="nil"/>
              <w:right w:val="nil"/>
            </w:tcBorders>
            <w:shd w:val="clear" w:color="auto" w:fill="auto"/>
            <w:noWrap/>
            <w:vAlign w:val="bottom"/>
            <w:hideMark/>
          </w:tcPr>
          <w:p w14:paraId="3B1B9658" w14:textId="77777777" w:rsidR="001774C6" w:rsidRDefault="001774C6">
            <w:pPr>
              <w:jc w:val="right"/>
              <w:rPr>
                <w:b/>
                <w:bCs/>
                <w:color w:val="000000"/>
                <w:sz w:val="20"/>
                <w:szCs w:val="20"/>
              </w:rPr>
            </w:pPr>
            <w:r>
              <w:rPr>
                <w:b/>
                <w:bCs/>
                <w:color w:val="000000"/>
                <w:sz w:val="20"/>
                <w:szCs w:val="20"/>
              </w:rPr>
              <w:t>0.003</w:t>
            </w:r>
          </w:p>
        </w:tc>
      </w:tr>
      <w:tr w:rsidR="001774C6" w14:paraId="581C832E" w14:textId="77777777" w:rsidTr="001774C6">
        <w:trPr>
          <w:trHeight w:val="320"/>
        </w:trPr>
        <w:tc>
          <w:tcPr>
            <w:tcW w:w="1152" w:type="dxa"/>
            <w:tcBorders>
              <w:top w:val="nil"/>
              <w:left w:val="nil"/>
              <w:bottom w:val="nil"/>
              <w:right w:val="nil"/>
            </w:tcBorders>
            <w:shd w:val="clear" w:color="auto" w:fill="auto"/>
            <w:noWrap/>
            <w:vAlign w:val="bottom"/>
            <w:hideMark/>
          </w:tcPr>
          <w:p w14:paraId="7EA0816C" w14:textId="77777777" w:rsidR="001774C6" w:rsidRDefault="001774C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6E921414" w14:textId="77777777" w:rsidR="001774C6" w:rsidRDefault="001774C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519293D" w14:textId="77777777" w:rsidR="001774C6" w:rsidRDefault="001774C6">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6150119A" w14:textId="77777777" w:rsidR="001774C6" w:rsidRDefault="001774C6">
            <w:pPr>
              <w:jc w:val="right"/>
              <w:rPr>
                <w:color w:val="000000"/>
                <w:sz w:val="20"/>
                <w:szCs w:val="20"/>
              </w:rPr>
            </w:pPr>
            <w:r>
              <w:rPr>
                <w:color w:val="000000"/>
                <w:sz w:val="20"/>
                <w:szCs w:val="20"/>
              </w:rPr>
              <w:t>0.435</w:t>
            </w:r>
          </w:p>
        </w:tc>
        <w:tc>
          <w:tcPr>
            <w:tcW w:w="864" w:type="dxa"/>
            <w:tcBorders>
              <w:top w:val="nil"/>
              <w:left w:val="nil"/>
              <w:bottom w:val="nil"/>
              <w:right w:val="nil"/>
            </w:tcBorders>
            <w:shd w:val="clear" w:color="auto" w:fill="auto"/>
            <w:noWrap/>
            <w:vAlign w:val="bottom"/>
            <w:hideMark/>
          </w:tcPr>
          <w:p w14:paraId="57C0384E" w14:textId="77777777" w:rsidR="001774C6" w:rsidRDefault="001774C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43CEFBE" w14:textId="77777777" w:rsidR="001774C6" w:rsidRDefault="001774C6">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30C5F29D" w14:textId="77777777" w:rsidR="001774C6" w:rsidRDefault="001774C6">
            <w:pPr>
              <w:jc w:val="right"/>
              <w:rPr>
                <w:color w:val="000000"/>
                <w:sz w:val="20"/>
                <w:szCs w:val="20"/>
              </w:rPr>
            </w:pPr>
            <w:r>
              <w:rPr>
                <w:color w:val="000000"/>
                <w:sz w:val="20"/>
                <w:szCs w:val="20"/>
              </w:rPr>
              <w:t>0.162</w:t>
            </w:r>
          </w:p>
        </w:tc>
        <w:tc>
          <w:tcPr>
            <w:tcW w:w="864" w:type="dxa"/>
            <w:tcBorders>
              <w:top w:val="nil"/>
              <w:left w:val="nil"/>
              <w:bottom w:val="nil"/>
              <w:right w:val="nil"/>
            </w:tcBorders>
            <w:shd w:val="clear" w:color="auto" w:fill="auto"/>
            <w:noWrap/>
            <w:vAlign w:val="bottom"/>
            <w:hideMark/>
          </w:tcPr>
          <w:p w14:paraId="34F9396B" w14:textId="77777777" w:rsidR="001774C6" w:rsidRDefault="001774C6">
            <w:pPr>
              <w:jc w:val="right"/>
              <w:rPr>
                <w:color w:val="000000"/>
                <w:sz w:val="20"/>
                <w:szCs w:val="20"/>
              </w:rPr>
            </w:pPr>
            <w:r>
              <w:rPr>
                <w:color w:val="000000"/>
                <w:sz w:val="20"/>
                <w:szCs w:val="20"/>
              </w:rPr>
              <w:t>0.001</w:t>
            </w:r>
          </w:p>
        </w:tc>
      </w:tr>
      <w:tr w:rsidR="001774C6" w14:paraId="26DA75CD" w14:textId="77777777" w:rsidTr="001774C6">
        <w:trPr>
          <w:trHeight w:val="320"/>
        </w:trPr>
        <w:tc>
          <w:tcPr>
            <w:tcW w:w="1152" w:type="dxa"/>
            <w:tcBorders>
              <w:top w:val="nil"/>
              <w:left w:val="nil"/>
              <w:bottom w:val="nil"/>
              <w:right w:val="nil"/>
            </w:tcBorders>
            <w:shd w:val="clear" w:color="auto" w:fill="auto"/>
            <w:noWrap/>
            <w:vAlign w:val="bottom"/>
            <w:hideMark/>
          </w:tcPr>
          <w:p w14:paraId="58E15639"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7B5B2BB" w14:textId="77777777" w:rsidR="001774C6" w:rsidRDefault="001774C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0968A98" w14:textId="77777777" w:rsidR="001774C6" w:rsidRDefault="001774C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A4FE12D" w14:textId="77777777" w:rsidR="001774C6" w:rsidRDefault="001774C6">
            <w:pPr>
              <w:jc w:val="right"/>
              <w:rPr>
                <w:color w:val="000000"/>
                <w:sz w:val="20"/>
                <w:szCs w:val="20"/>
              </w:rPr>
            </w:pPr>
            <w:r>
              <w:rPr>
                <w:color w:val="000000"/>
                <w:sz w:val="20"/>
                <w:szCs w:val="20"/>
              </w:rPr>
              <w:t>0.892</w:t>
            </w:r>
          </w:p>
        </w:tc>
        <w:tc>
          <w:tcPr>
            <w:tcW w:w="864" w:type="dxa"/>
            <w:tcBorders>
              <w:top w:val="nil"/>
              <w:left w:val="nil"/>
              <w:bottom w:val="nil"/>
              <w:right w:val="nil"/>
            </w:tcBorders>
            <w:shd w:val="clear" w:color="auto" w:fill="auto"/>
            <w:noWrap/>
            <w:vAlign w:val="bottom"/>
            <w:hideMark/>
          </w:tcPr>
          <w:p w14:paraId="457E7435" w14:textId="77777777" w:rsidR="001774C6" w:rsidRDefault="001774C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F3CEE92" w14:textId="77777777" w:rsidR="001774C6" w:rsidRDefault="001774C6">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7F991E4B" w14:textId="77777777" w:rsidR="001774C6" w:rsidRDefault="001774C6">
            <w:pPr>
              <w:jc w:val="right"/>
              <w:rPr>
                <w:color w:val="000000"/>
                <w:sz w:val="20"/>
                <w:szCs w:val="20"/>
              </w:rPr>
            </w:pPr>
            <w:r>
              <w:rPr>
                <w:color w:val="000000"/>
                <w:sz w:val="20"/>
                <w:szCs w:val="20"/>
              </w:rPr>
              <w:t>0.423</w:t>
            </w:r>
          </w:p>
        </w:tc>
        <w:tc>
          <w:tcPr>
            <w:tcW w:w="864" w:type="dxa"/>
            <w:tcBorders>
              <w:top w:val="nil"/>
              <w:left w:val="nil"/>
              <w:bottom w:val="nil"/>
              <w:right w:val="nil"/>
            </w:tcBorders>
            <w:shd w:val="clear" w:color="auto" w:fill="auto"/>
            <w:noWrap/>
            <w:vAlign w:val="bottom"/>
            <w:hideMark/>
          </w:tcPr>
          <w:p w14:paraId="302C197C" w14:textId="77777777" w:rsidR="001774C6" w:rsidRDefault="001774C6">
            <w:pPr>
              <w:jc w:val="right"/>
              <w:rPr>
                <w:color w:val="000000"/>
                <w:sz w:val="20"/>
                <w:szCs w:val="20"/>
              </w:rPr>
            </w:pPr>
            <w:r>
              <w:rPr>
                <w:color w:val="000000"/>
                <w:sz w:val="20"/>
                <w:szCs w:val="20"/>
              </w:rPr>
              <w:t>0.000</w:t>
            </w:r>
          </w:p>
        </w:tc>
      </w:tr>
      <w:tr w:rsidR="001774C6" w14:paraId="2FB65924" w14:textId="77777777" w:rsidTr="001774C6">
        <w:trPr>
          <w:trHeight w:val="320"/>
        </w:trPr>
        <w:tc>
          <w:tcPr>
            <w:tcW w:w="1152" w:type="dxa"/>
            <w:tcBorders>
              <w:top w:val="nil"/>
              <w:left w:val="nil"/>
              <w:bottom w:val="nil"/>
              <w:right w:val="nil"/>
            </w:tcBorders>
            <w:shd w:val="clear" w:color="auto" w:fill="auto"/>
            <w:noWrap/>
            <w:vAlign w:val="bottom"/>
            <w:hideMark/>
          </w:tcPr>
          <w:p w14:paraId="25E60574" w14:textId="77777777" w:rsidR="001774C6" w:rsidRDefault="001774C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46BEDAA" w14:textId="77777777" w:rsidR="001774C6" w:rsidRDefault="001774C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B8940EA" w14:textId="77777777" w:rsidR="001774C6" w:rsidRDefault="001774C6">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1B8C26A7" w14:textId="77777777" w:rsidR="001774C6" w:rsidRDefault="001774C6">
            <w:pPr>
              <w:jc w:val="right"/>
              <w:rPr>
                <w:color w:val="000000"/>
                <w:sz w:val="20"/>
                <w:szCs w:val="20"/>
              </w:rPr>
            </w:pPr>
            <w:r>
              <w:rPr>
                <w:color w:val="000000"/>
                <w:sz w:val="20"/>
                <w:szCs w:val="20"/>
              </w:rPr>
              <w:t>0.534</w:t>
            </w:r>
          </w:p>
        </w:tc>
        <w:tc>
          <w:tcPr>
            <w:tcW w:w="864" w:type="dxa"/>
            <w:tcBorders>
              <w:top w:val="nil"/>
              <w:left w:val="nil"/>
              <w:bottom w:val="nil"/>
              <w:right w:val="nil"/>
            </w:tcBorders>
            <w:shd w:val="clear" w:color="auto" w:fill="auto"/>
            <w:noWrap/>
            <w:vAlign w:val="bottom"/>
            <w:hideMark/>
          </w:tcPr>
          <w:p w14:paraId="6AB39FBE" w14:textId="77777777" w:rsidR="001774C6" w:rsidRDefault="001774C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8043C61" w14:textId="77777777" w:rsidR="001774C6" w:rsidRDefault="001774C6">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258D0E7C" w14:textId="77777777" w:rsidR="001774C6" w:rsidRDefault="001774C6">
            <w:pPr>
              <w:jc w:val="right"/>
              <w:rPr>
                <w:color w:val="000000"/>
                <w:sz w:val="20"/>
                <w:szCs w:val="20"/>
              </w:rPr>
            </w:pPr>
            <w:r>
              <w:rPr>
                <w:color w:val="000000"/>
                <w:sz w:val="20"/>
                <w:szCs w:val="20"/>
              </w:rPr>
              <w:t>0.162</w:t>
            </w:r>
          </w:p>
        </w:tc>
        <w:tc>
          <w:tcPr>
            <w:tcW w:w="864" w:type="dxa"/>
            <w:tcBorders>
              <w:top w:val="nil"/>
              <w:left w:val="nil"/>
              <w:bottom w:val="nil"/>
              <w:right w:val="nil"/>
            </w:tcBorders>
            <w:shd w:val="clear" w:color="auto" w:fill="auto"/>
            <w:noWrap/>
            <w:vAlign w:val="bottom"/>
            <w:hideMark/>
          </w:tcPr>
          <w:p w14:paraId="2F717C32" w14:textId="77777777" w:rsidR="001774C6" w:rsidRDefault="001774C6">
            <w:pPr>
              <w:jc w:val="right"/>
              <w:rPr>
                <w:color w:val="000000"/>
                <w:sz w:val="20"/>
                <w:szCs w:val="20"/>
              </w:rPr>
            </w:pPr>
            <w:r>
              <w:rPr>
                <w:color w:val="000000"/>
                <w:sz w:val="20"/>
                <w:szCs w:val="20"/>
              </w:rPr>
              <w:t>0.001</w:t>
            </w:r>
          </w:p>
        </w:tc>
      </w:tr>
      <w:tr w:rsidR="001774C6" w14:paraId="61DAA2AF"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01867ECB" w14:textId="77777777" w:rsidR="001774C6" w:rsidRDefault="001774C6">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1FBAD484" w14:textId="77777777" w:rsidR="001774C6" w:rsidRDefault="001774C6">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5D778A38" w14:textId="77777777" w:rsidR="001774C6" w:rsidRDefault="001774C6">
            <w:pPr>
              <w:jc w:val="right"/>
              <w:rPr>
                <w:b/>
                <w:bCs/>
                <w:color w:val="000000"/>
                <w:sz w:val="20"/>
                <w:szCs w:val="20"/>
              </w:rPr>
            </w:pPr>
            <w:r>
              <w:rPr>
                <w:b/>
                <w:bCs/>
                <w:color w:val="000000"/>
                <w:sz w:val="20"/>
                <w:szCs w:val="20"/>
              </w:rPr>
              <w:t>0.067</w:t>
            </w:r>
          </w:p>
        </w:tc>
        <w:tc>
          <w:tcPr>
            <w:tcW w:w="864" w:type="dxa"/>
            <w:tcBorders>
              <w:top w:val="nil"/>
              <w:left w:val="nil"/>
              <w:bottom w:val="single" w:sz="12" w:space="0" w:color="auto"/>
              <w:right w:val="nil"/>
            </w:tcBorders>
            <w:shd w:val="clear" w:color="auto" w:fill="auto"/>
            <w:noWrap/>
            <w:vAlign w:val="bottom"/>
            <w:hideMark/>
          </w:tcPr>
          <w:p w14:paraId="4DFE6983" w14:textId="77777777" w:rsidR="001774C6" w:rsidRDefault="001774C6">
            <w:pPr>
              <w:jc w:val="right"/>
              <w:rPr>
                <w:b/>
                <w:bCs/>
                <w:color w:val="000000"/>
                <w:sz w:val="20"/>
                <w:szCs w:val="20"/>
              </w:rPr>
            </w:pPr>
            <w:r>
              <w:rPr>
                <w:b/>
                <w:bCs/>
                <w:color w:val="000000"/>
                <w:sz w:val="20"/>
                <w:szCs w:val="20"/>
              </w:rPr>
              <w:t>0.048</w:t>
            </w:r>
          </w:p>
        </w:tc>
        <w:tc>
          <w:tcPr>
            <w:tcW w:w="864" w:type="dxa"/>
            <w:tcBorders>
              <w:top w:val="nil"/>
              <w:left w:val="nil"/>
              <w:bottom w:val="single" w:sz="12" w:space="0" w:color="auto"/>
              <w:right w:val="nil"/>
            </w:tcBorders>
            <w:shd w:val="clear" w:color="auto" w:fill="auto"/>
            <w:noWrap/>
            <w:vAlign w:val="bottom"/>
            <w:hideMark/>
          </w:tcPr>
          <w:p w14:paraId="34229C9C" w14:textId="77777777" w:rsidR="001774C6" w:rsidRDefault="001774C6">
            <w:pPr>
              <w:jc w:val="right"/>
              <w:rPr>
                <w:b/>
                <w:bCs/>
                <w:color w:val="000000"/>
                <w:sz w:val="20"/>
                <w:szCs w:val="20"/>
              </w:rPr>
            </w:pPr>
            <w:r>
              <w:rPr>
                <w:b/>
                <w:bCs/>
                <w:color w:val="000000"/>
                <w:sz w:val="20"/>
                <w:szCs w:val="20"/>
              </w:rPr>
              <w:t>0.004</w:t>
            </w:r>
          </w:p>
        </w:tc>
        <w:tc>
          <w:tcPr>
            <w:tcW w:w="864" w:type="dxa"/>
            <w:tcBorders>
              <w:top w:val="nil"/>
              <w:left w:val="nil"/>
              <w:bottom w:val="single" w:sz="12" w:space="0" w:color="auto"/>
              <w:right w:val="nil"/>
            </w:tcBorders>
            <w:shd w:val="clear" w:color="auto" w:fill="auto"/>
            <w:noWrap/>
            <w:vAlign w:val="bottom"/>
            <w:hideMark/>
          </w:tcPr>
          <w:p w14:paraId="2EDED43B" w14:textId="77777777" w:rsidR="001774C6" w:rsidRDefault="001774C6">
            <w:pPr>
              <w:jc w:val="right"/>
              <w:rPr>
                <w:b/>
                <w:bCs/>
                <w:color w:val="000000"/>
                <w:sz w:val="20"/>
                <w:szCs w:val="20"/>
              </w:rPr>
            </w:pPr>
            <w:r>
              <w:rPr>
                <w:b/>
                <w:bCs/>
                <w:color w:val="000000"/>
                <w:sz w:val="20"/>
                <w:szCs w:val="20"/>
              </w:rPr>
              <w:t>0.061</w:t>
            </w:r>
          </w:p>
        </w:tc>
        <w:tc>
          <w:tcPr>
            <w:tcW w:w="864" w:type="dxa"/>
            <w:tcBorders>
              <w:top w:val="nil"/>
              <w:left w:val="nil"/>
              <w:bottom w:val="single" w:sz="12" w:space="0" w:color="auto"/>
              <w:right w:val="nil"/>
            </w:tcBorders>
            <w:shd w:val="clear" w:color="auto" w:fill="auto"/>
            <w:noWrap/>
            <w:vAlign w:val="bottom"/>
            <w:hideMark/>
          </w:tcPr>
          <w:p w14:paraId="3580A0D1" w14:textId="77777777" w:rsidR="001774C6" w:rsidRDefault="001774C6">
            <w:pPr>
              <w:jc w:val="right"/>
              <w:rPr>
                <w:b/>
                <w:bCs/>
                <w:color w:val="000000"/>
                <w:sz w:val="20"/>
                <w:szCs w:val="20"/>
              </w:rPr>
            </w:pPr>
            <w:r>
              <w:rPr>
                <w:b/>
                <w:bCs/>
                <w:color w:val="000000"/>
                <w:sz w:val="20"/>
                <w:szCs w:val="20"/>
              </w:rPr>
              <w:t>0.028</w:t>
            </w:r>
          </w:p>
        </w:tc>
        <w:tc>
          <w:tcPr>
            <w:tcW w:w="864" w:type="dxa"/>
            <w:tcBorders>
              <w:top w:val="nil"/>
              <w:left w:val="nil"/>
              <w:bottom w:val="single" w:sz="12" w:space="0" w:color="auto"/>
              <w:right w:val="nil"/>
            </w:tcBorders>
            <w:shd w:val="clear" w:color="auto" w:fill="auto"/>
            <w:noWrap/>
            <w:vAlign w:val="bottom"/>
            <w:hideMark/>
          </w:tcPr>
          <w:p w14:paraId="22A65369" w14:textId="77777777" w:rsidR="001774C6" w:rsidRDefault="001774C6">
            <w:pPr>
              <w:jc w:val="right"/>
              <w:rPr>
                <w:b/>
                <w:bCs/>
                <w:color w:val="000000"/>
                <w:sz w:val="20"/>
                <w:szCs w:val="20"/>
              </w:rPr>
            </w:pPr>
            <w:r>
              <w:rPr>
                <w:b/>
                <w:bCs/>
                <w:color w:val="000000"/>
                <w:sz w:val="20"/>
                <w:szCs w:val="20"/>
              </w:rPr>
              <w:t>0.004</w:t>
            </w:r>
          </w:p>
        </w:tc>
      </w:tr>
      <w:tr w:rsidR="001774C6" w14:paraId="2398E0DB"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1B9FEE9D" w14:textId="77777777" w:rsidR="001774C6" w:rsidRDefault="001774C6">
            <w:pPr>
              <w:jc w:val="right"/>
              <w:rPr>
                <w:b/>
                <w:bCs/>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6191CB1C" w14:textId="77777777" w:rsidR="001774C6" w:rsidRDefault="001774C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129D55A" w14:textId="77777777" w:rsidR="001774C6" w:rsidRDefault="001774C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CEAB1EB" w14:textId="77777777" w:rsidR="001774C6" w:rsidRDefault="001774C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2B83E24" w14:textId="77777777" w:rsidR="001774C6" w:rsidRDefault="001774C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134C6A4" w14:textId="77777777" w:rsidR="001774C6" w:rsidRDefault="001774C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0B55A11" w14:textId="77777777" w:rsidR="001774C6" w:rsidRDefault="001774C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84D2BDF" w14:textId="77777777" w:rsidR="001774C6" w:rsidRDefault="001774C6">
            <w:pPr>
              <w:rPr>
                <w:sz w:val="20"/>
                <w:szCs w:val="20"/>
              </w:rPr>
            </w:pPr>
          </w:p>
        </w:tc>
      </w:tr>
    </w:tbl>
    <w:p w14:paraId="1F520ED3" w14:textId="4CAE18D8" w:rsidR="00FC2EAB" w:rsidRDefault="00FC2EAB" w:rsidP="00BC5AB7">
      <w:pPr>
        <w:rPr>
          <w:rFonts w:ascii="Batang" w:eastAsia="Batang" w:hAnsi="Batang" w:cs="Batang"/>
          <w:color w:val="000000"/>
        </w:rPr>
      </w:pPr>
    </w:p>
    <w:p w14:paraId="4DFBEE22" w14:textId="77777777" w:rsidR="00FC2EAB" w:rsidRDefault="00FC2EAB">
      <w:pPr>
        <w:rPr>
          <w:rFonts w:ascii="Batang" w:eastAsia="Batang" w:hAnsi="Batang" w:cs="Batang"/>
          <w:color w:val="000000"/>
        </w:rPr>
      </w:pPr>
      <w:r>
        <w:rPr>
          <w:rFonts w:ascii="Batang" w:eastAsia="Batang" w:hAnsi="Batang" w:cs="Batang"/>
          <w:color w:val="000000"/>
        </w:rPr>
        <w:br w:type="page"/>
      </w:r>
    </w:p>
    <w:p w14:paraId="54EB7C1F" w14:textId="5DE160AC" w:rsidR="00FC2EAB" w:rsidRPr="004C58D5" w:rsidRDefault="00FC2EAB" w:rsidP="00FC2EAB">
      <w:pPr>
        <w:pStyle w:val="Heading1"/>
        <w:rPr>
          <w:rFonts w:ascii="Times New Roman" w:hAnsi="Times New Roman" w:cs="Times New Roman"/>
          <w:color w:val="000000" w:themeColor="text1"/>
          <w:sz w:val="24"/>
          <w:szCs w:val="24"/>
        </w:rPr>
      </w:pPr>
      <w:bookmarkStart w:id="85" w:name="_Toc155817752"/>
      <w:r w:rsidRPr="00B751D3">
        <w:rPr>
          <w:rFonts w:ascii="Times New Roman" w:hAnsi="Times New Roman" w:cs="Times New Roman"/>
          <w:b/>
          <w:bCs/>
          <w:color w:val="000000" w:themeColor="text1"/>
          <w:sz w:val="24"/>
          <w:szCs w:val="24"/>
        </w:rPr>
        <w:lastRenderedPageBreak/>
        <w:t>Table</w:t>
      </w:r>
      <w:r w:rsidR="0036523A" w:rsidRPr="00B751D3">
        <w:rPr>
          <w:rFonts w:ascii="Times New Roman" w:hAnsi="Times New Roman" w:cs="Times New Roman"/>
          <w:b/>
          <w:bCs/>
          <w:color w:val="000000" w:themeColor="text1"/>
          <w:sz w:val="24"/>
          <w:szCs w:val="24"/>
        </w:rPr>
        <w:t xml:space="preserve"> 28</w:t>
      </w:r>
      <w:r w:rsidR="00B751D3">
        <w:rPr>
          <w:rFonts w:ascii="Times New Roman" w:hAnsi="Times New Roman" w:cs="Times New Roman"/>
          <w:b/>
          <w:bCs/>
          <w:color w:val="000000" w:themeColor="text1"/>
          <w:sz w:val="24"/>
          <w:szCs w:val="24"/>
        </w:rPr>
        <w:t>e</w:t>
      </w:r>
      <w:r w:rsidRPr="00B751D3">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local efficiency and urbanicity obtained from bifactor modeling and pollution (NO2</w:t>
      </w:r>
      <w:r w:rsidR="00B82C3B">
        <w:rPr>
          <w:rFonts w:ascii="Times New Roman" w:hAnsi="Times New Roman" w:cs="Times New Roman"/>
          <w:color w:val="000000" w:themeColor="text1"/>
          <w:sz w:val="24"/>
          <w:szCs w:val="24"/>
        </w:rPr>
        <w:t xml:space="preserve"> level</w:t>
      </w:r>
      <w:r>
        <w:rPr>
          <w:rFonts w:ascii="Times New Roman" w:hAnsi="Times New Roman" w:cs="Times New Roman"/>
          <w:color w:val="000000" w:themeColor="text1"/>
          <w:sz w:val="24"/>
          <w:szCs w:val="24"/>
        </w:rPr>
        <w:t>) during rest</w:t>
      </w:r>
      <w:bookmarkEnd w:id="85"/>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036186" w14:paraId="467FB141"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2DA89BDC" w14:textId="77777777" w:rsidR="00036186" w:rsidRDefault="00036186">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3870111A" w14:textId="77777777" w:rsidR="00036186" w:rsidRDefault="00036186">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3E4CE58B" w14:textId="77777777" w:rsidR="00036186" w:rsidRDefault="00036186">
            <w:pPr>
              <w:rPr>
                <w:color w:val="000000"/>
              </w:rPr>
            </w:pPr>
          </w:p>
        </w:tc>
        <w:tc>
          <w:tcPr>
            <w:tcW w:w="864" w:type="dxa"/>
            <w:tcBorders>
              <w:top w:val="nil"/>
              <w:left w:val="nil"/>
              <w:bottom w:val="single" w:sz="12" w:space="0" w:color="auto"/>
              <w:right w:val="nil"/>
            </w:tcBorders>
            <w:shd w:val="clear" w:color="auto" w:fill="auto"/>
            <w:noWrap/>
            <w:vAlign w:val="bottom"/>
            <w:hideMark/>
          </w:tcPr>
          <w:p w14:paraId="270EC9D5" w14:textId="77777777" w:rsidR="00036186" w:rsidRDefault="0003618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D61BD07" w14:textId="77777777" w:rsidR="00036186" w:rsidRDefault="0003618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99DAEC7" w14:textId="77777777" w:rsidR="00036186" w:rsidRDefault="0003618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146DE3D" w14:textId="77777777" w:rsidR="00036186" w:rsidRDefault="0003618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36C88AC0" w14:textId="77777777" w:rsidR="00036186" w:rsidRDefault="00036186">
            <w:pPr>
              <w:rPr>
                <w:sz w:val="20"/>
                <w:szCs w:val="20"/>
              </w:rPr>
            </w:pPr>
          </w:p>
        </w:tc>
      </w:tr>
      <w:tr w:rsidR="00036186" w14:paraId="385FD7F0"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2BBFEBB9" w14:textId="77777777" w:rsidR="00036186" w:rsidRDefault="00036186">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7CC2DB44" w14:textId="77777777" w:rsidR="00036186" w:rsidRDefault="00036186">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5A62AF58" w14:textId="77777777" w:rsidR="00036186" w:rsidRDefault="00036186">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8" w:space="0" w:color="auto"/>
              <w:right w:val="nil"/>
            </w:tcBorders>
            <w:shd w:val="clear" w:color="auto" w:fill="auto"/>
            <w:noWrap/>
            <w:vAlign w:val="center"/>
            <w:hideMark/>
          </w:tcPr>
          <w:p w14:paraId="16EDB5B0" w14:textId="49BD24A2" w:rsidR="00036186" w:rsidRDefault="00036186">
            <w:pPr>
              <w:jc w:val="center"/>
              <w:rPr>
                <w:color w:val="000000"/>
                <w:sz w:val="20"/>
                <w:szCs w:val="20"/>
              </w:rPr>
            </w:pPr>
            <w:r>
              <w:rPr>
                <w:color w:val="000000"/>
                <w:sz w:val="20"/>
                <w:szCs w:val="20"/>
              </w:rPr>
              <w:t>Pollution (NO2</w:t>
            </w:r>
            <w:r w:rsidR="003E1491">
              <w:rPr>
                <w:color w:val="000000"/>
                <w:sz w:val="20"/>
                <w:szCs w:val="20"/>
              </w:rPr>
              <w:t xml:space="preserve"> level</w:t>
            </w:r>
            <w:r>
              <w:rPr>
                <w:color w:val="000000"/>
                <w:sz w:val="20"/>
                <w:szCs w:val="20"/>
              </w:rPr>
              <w:t>)</w:t>
            </w:r>
          </w:p>
        </w:tc>
      </w:tr>
      <w:tr w:rsidR="00036186" w14:paraId="4B24ADD0"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4FEBD21A" w14:textId="77777777" w:rsidR="00036186" w:rsidRDefault="00036186">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24E806F7" w14:textId="77777777" w:rsidR="00036186" w:rsidRDefault="00036186">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745FEB33" w14:textId="77777777" w:rsidR="00036186" w:rsidRDefault="00036186">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1ECEE995" w14:textId="77777777" w:rsidR="00036186" w:rsidRDefault="0003618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02E3BBE5" w14:textId="77777777" w:rsidR="00036186" w:rsidRDefault="00036186">
            <w:pPr>
              <w:jc w:val="center"/>
              <w:rPr>
                <w:i/>
                <w:iCs/>
                <w:color w:val="000000"/>
                <w:sz w:val="20"/>
                <w:szCs w:val="20"/>
              </w:rPr>
            </w:pPr>
            <w:r>
              <w:rPr>
                <w:i/>
                <w:iCs/>
                <w:color w:val="000000"/>
                <w:sz w:val="20"/>
                <w:szCs w:val="20"/>
              </w:rPr>
              <w:t>R2</w:t>
            </w:r>
          </w:p>
        </w:tc>
        <w:tc>
          <w:tcPr>
            <w:tcW w:w="864" w:type="dxa"/>
            <w:tcBorders>
              <w:top w:val="nil"/>
              <w:left w:val="nil"/>
              <w:bottom w:val="single" w:sz="12" w:space="0" w:color="auto"/>
              <w:right w:val="nil"/>
            </w:tcBorders>
            <w:shd w:val="clear" w:color="auto" w:fill="auto"/>
            <w:noWrap/>
            <w:vAlign w:val="center"/>
            <w:hideMark/>
          </w:tcPr>
          <w:p w14:paraId="75ABED98" w14:textId="77777777" w:rsidR="00036186" w:rsidRDefault="00036186">
            <w:pPr>
              <w:jc w:val="center"/>
              <w:rPr>
                <w:i/>
                <w:iCs/>
                <w:color w:val="000000"/>
                <w:sz w:val="20"/>
                <w:szCs w:val="20"/>
              </w:rPr>
            </w:pPr>
            <w:r>
              <w:rPr>
                <w:i/>
                <w:iCs/>
                <w:color w:val="000000"/>
                <w:sz w:val="20"/>
                <w:szCs w:val="20"/>
              </w:rPr>
              <w:t>β</w:t>
            </w:r>
          </w:p>
        </w:tc>
        <w:tc>
          <w:tcPr>
            <w:tcW w:w="864" w:type="dxa"/>
            <w:tcBorders>
              <w:top w:val="nil"/>
              <w:left w:val="nil"/>
              <w:bottom w:val="single" w:sz="12" w:space="0" w:color="auto"/>
              <w:right w:val="nil"/>
            </w:tcBorders>
            <w:shd w:val="clear" w:color="auto" w:fill="auto"/>
            <w:noWrap/>
            <w:vAlign w:val="center"/>
            <w:hideMark/>
          </w:tcPr>
          <w:p w14:paraId="5FC6E345" w14:textId="77777777" w:rsidR="00036186" w:rsidRDefault="0003618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6C09B2FE" w14:textId="77777777" w:rsidR="00036186" w:rsidRDefault="00036186">
            <w:pPr>
              <w:jc w:val="center"/>
              <w:rPr>
                <w:i/>
                <w:iCs/>
                <w:color w:val="000000"/>
                <w:sz w:val="20"/>
                <w:szCs w:val="20"/>
              </w:rPr>
            </w:pPr>
            <w:r>
              <w:rPr>
                <w:i/>
                <w:iCs/>
                <w:color w:val="000000"/>
                <w:sz w:val="20"/>
                <w:szCs w:val="20"/>
              </w:rPr>
              <w:t>R2</w:t>
            </w:r>
          </w:p>
        </w:tc>
      </w:tr>
      <w:tr w:rsidR="00036186" w14:paraId="3B23A17F"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592CE1FF" w14:textId="77777777" w:rsidR="00036186" w:rsidRDefault="00036186">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29E6E0E2" w14:textId="77777777" w:rsidR="00036186" w:rsidRDefault="00036186">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194E1180" w14:textId="77777777" w:rsidR="00036186" w:rsidRDefault="00036186">
            <w:pPr>
              <w:jc w:val="right"/>
              <w:rPr>
                <w:color w:val="000000"/>
                <w:sz w:val="20"/>
                <w:szCs w:val="20"/>
              </w:rPr>
            </w:pPr>
            <w:r>
              <w:rPr>
                <w:color w:val="000000"/>
                <w:sz w:val="20"/>
                <w:szCs w:val="20"/>
              </w:rPr>
              <w:t>-0.037</w:t>
            </w:r>
          </w:p>
        </w:tc>
        <w:tc>
          <w:tcPr>
            <w:tcW w:w="864" w:type="dxa"/>
            <w:tcBorders>
              <w:top w:val="single" w:sz="12" w:space="0" w:color="auto"/>
              <w:left w:val="nil"/>
              <w:bottom w:val="nil"/>
              <w:right w:val="nil"/>
            </w:tcBorders>
            <w:shd w:val="clear" w:color="auto" w:fill="auto"/>
            <w:noWrap/>
            <w:vAlign w:val="bottom"/>
            <w:hideMark/>
          </w:tcPr>
          <w:p w14:paraId="63021558" w14:textId="77777777" w:rsidR="00036186" w:rsidRDefault="00036186">
            <w:pPr>
              <w:jc w:val="right"/>
              <w:rPr>
                <w:color w:val="000000"/>
                <w:sz w:val="20"/>
                <w:szCs w:val="20"/>
              </w:rPr>
            </w:pPr>
            <w:r>
              <w:rPr>
                <w:color w:val="000000"/>
                <w:sz w:val="20"/>
                <w:szCs w:val="20"/>
              </w:rPr>
              <w:t>0.544</w:t>
            </w:r>
          </w:p>
        </w:tc>
        <w:tc>
          <w:tcPr>
            <w:tcW w:w="864" w:type="dxa"/>
            <w:tcBorders>
              <w:top w:val="single" w:sz="12" w:space="0" w:color="auto"/>
              <w:left w:val="nil"/>
              <w:bottom w:val="nil"/>
              <w:right w:val="nil"/>
            </w:tcBorders>
            <w:shd w:val="clear" w:color="auto" w:fill="auto"/>
            <w:noWrap/>
            <w:vAlign w:val="bottom"/>
            <w:hideMark/>
          </w:tcPr>
          <w:p w14:paraId="61F9B37F" w14:textId="77777777" w:rsidR="00036186" w:rsidRDefault="00036186">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436809DF" w14:textId="77777777" w:rsidR="00036186" w:rsidRDefault="00036186">
            <w:pPr>
              <w:jc w:val="right"/>
              <w:rPr>
                <w:color w:val="000000"/>
                <w:sz w:val="20"/>
                <w:szCs w:val="20"/>
              </w:rPr>
            </w:pPr>
            <w:r>
              <w:rPr>
                <w:color w:val="000000"/>
                <w:sz w:val="20"/>
                <w:szCs w:val="20"/>
              </w:rPr>
              <w:t>-0.033</w:t>
            </w:r>
          </w:p>
        </w:tc>
        <w:tc>
          <w:tcPr>
            <w:tcW w:w="864" w:type="dxa"/>
            <w:tcBorders>
              <w:top w:val="single" w:sz="12" w:space="0" w:color="auto"/>
              <w:left w:val="nil"/>
              <w:bottom w:val="nil"/>
              <w:right w:val="nil"/>
            </w:tcBorders>
            <w:shd w:val="clear" w:color="auto" w:fill="auto"/>
            <w:noWrap/>
            <w:vAlign w:val="bottom"/>
            <w:hideMark/>
          </w:tcPr>
          <w:p w14:paraId="094F77B9" w14:textId="77777777" w:rsidR="00036186" w:rsidRDefault="00036186">
            <w:pPr>
              <w:jc w:val="right"/>
              <w:rPr>
                <w:color w:val="000000"/>
                <w:sz w:val="20"/>
                <w:szCs w:val="20"/>
              </w:rPr>
            </w:pPr>
            <w:r>
              <w:rPr>
                <w:color w:val="000000"/>
                <w:sz w:val="20"/>
                <w:szCs w:val="20"/>
              </w:rPr>
              <w:t>0.280</w:t>
            </w:r>
          </w:p>
        </w:tc>
        <w:tc>
          <w:tcPr>
            <w:tcW w:w="864" w:type="dxa"/>
            <w:tcBorders>
              <w:top w:val="single" w:sz="12" w:space="0" w:color="auto"/>
              <w:left w:val="nil"/>
              <w:bottom w:val="nil"/>
              <w:right w:val="nil"/>
            </w:tcBorders>
            <w:shd w:val="clear" w:color="auto" w:fill="auto"/>
            <w:noWrap/>
            <w:vAlign w:val="bottom"/>
            <w:hideMark/>
          </w:tcPr>
          <w:p w14:paraId="48B0A12A" w14:textId="77777777" w:rsidR="00036186" w:rsidRDefault="00036186">
            <w:pPr>
              <w:jc w:val="right"/>
              <w:rPr>
                <w:color w:val="000000"/>
                <w:sz w:val="20"/>
                <w:szCs w:val="20"/>
              </w:rPr>
            </w:pPr>
            <w:r>
              <w:rPr>
                <w:color w:val="000000"/>
                <w:sz w:val="20"/>
                <w:szCs w:val="20"/>
              </w:rPr>
              <w:t>0.001</w:t>
            </w:r>
          </w:p>
        </w:tc>
      </w:tr>
      <w:tr w:rsidR="00036186" w14:paraId="6CFA063D" w14:textId="77777777" w:rsidTr="007C663C">
        <w:trPr>
          <w:trHeight w:val="340"/>
        </w:trPr>
        <w:tc>
          <w:tcPr>
            <w:tcW w:w="1152" w:type="dxa"/>
            <w:tcBorders>
              <w:top w:val="nil"/>
              <w:left w:val="nil"/>
              <w:bottom w:val="nil"/>
              <w:right w:val="nil"/>
            </w:tcBorders>
            <w:shd w:val="clear" w:color="auto" w:fill="auto"/>
            <w:noWrap/>
            <w:vAlign w:val="bottom"/>
            <w:hideMark/>
          </w:tcPr>
          <w:p w14:paraId="60F76BC9"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EEEF861" w14:textId="77777777" w:rsidR="00036186" w:rsidRDefault="0003618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0BB6C78" w14:textId="77777777" w:rsidR="00036186" w:rsidRDefault="00036186">
            <w:pPr>
              <w:jc w:val="right"/>
              <w:rPr>
                <w:color w:val="000000"/>
                <w:sz w:val="20"/>
                <w:szCs w:val="20"/>
              </w:rPr>
            </w:pPr>
            <w:r>
              <w:rPr>
                <w:color w:val="000000"/>
                <w:sz w:val="20"/>
                <w:szCs w:val="20"/>
              </w:rPr>
              <w:t>-0.059</w:t>
            </w:r>
          </w:p>
        </w:tc>
        <w:tc>
          <w:tcPr>
            <w:tcW w:w="864" w:type="dxa"/>
            <w:tcBorders>
              <w:top w:val="nil"/>
              <w:left w:val="nil"/>
              <w:bottom w:val="nil"/>
              <w:right w:val="nil"/>
            </w:tcBorders>
            <w:shd w:val="clear" w:color="auto" w:fill="auto"/>
            <w:noWrap/>
            <w:vAlign w:val="bottom"/>
            <w:hideMark/>
          </w:tcPr>
          <w:p w14:paraId="313CF928" w14:textId="77777777" w:rsidR="00036186" w:rsidRDefault="00036186">
            <w:pPr>
              <w:jc w:val="right"/>
              <w:rPr>
                <w:color w:val="000000"/>
                <w:sz w:val="20"/>
                <w:szCs w:val="20"/>
              </w:rPr>
            </w:pPr>
            <w:r>
              <w:rPr>
                <w:color w:val="000000"/>
                <w:sz w:val="20"/>
                <w:szCs w:val="20"/>
              </w:rPr>
              <w:t>0.372</w:t>
            </w:r>
          </w:p>
        </w:tc>
        <w:tc>
          <w:tcPr>
            <w:tcW w:w="864" w:type="dxa"/>
            <w:tcBorders>
              <w:top w:val="nil"/>
              <w:left w:val="nil"/>
              <w:bottom w:val="nil"/>
              <w:right w:val="nil"/>
            </w:tcBorders>
            <w:shd w:val="clear" w:color="auto" w:fill="auto"/>
            <w:noWrap/>
            <w:vAlign w:val="bottom"/>
            <w:hideMark/>
          </w:tcPr>
          <w:p w14:paraId="0B2F4AE7" w14:textId="77777777" w:rsidR="00036186" w:rsidRDefault="0003618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305936F4" w14:textId="77777777" w:rsidR="00036186" w:rsidRDefault="00036186">
            <w:pPr>
              <w:jc w:val="right"/>
              <w:rPr>
                <w:color w:val="000000"/>
                <w:sz w:val="20"/>
                <w:szCs w:val="20"/>
              </w:rPr>
            </w:pPr>
            <w:r>
              <w:rPr>
                <w:color w:val="000000"/>
                <w:sz w:val="20"/>
                <w:szCs w:val="20"/>
              </w:rPr>
              <w:t>-0.051</w:t>
            </w:r>
          </w:p>
        </w:tc>
        <w:tc>
          <w:tcPr>
            <w:tcW w:w="864" w:type="dxa"/>
            <w:tcBorders>
              <w:top w:val="nil"/>
              <w:left w:val="nil"/>
              <w:bottom w:val="nil"/>
              <w:right w:val="nil"/>
            </w:tcBorders>
            <w:shd w:val="clear" w:color="auto" w:fill="auto"/>
            <w:noWrap/>
            <w:vAlign w:val="bottom"/>
            <w:hideMark/>
          </w:tcPr>
          <w:p w14:paraId="699E0538" w14:textId="77777777" w:rsidR="00036186" w:rsidRDefault="00036186">
            <w:pPr>
              <w:jc w:val="right"/>
              <w:rPr>
                <w:color w:val="000000"/>
                <w:sz w:val="20"/>
                <w:szCs w:val="20"/>
              </w:rPr>
            </w:pPr>
            <w:r>
              <w:rPr>
                <w:color w:val="000000"/>
                <w:sz w:val="20"/>
                <w:szCs w:val="20"/>
              </w:rPr>
              <w:t>0.280</w:t>
            </w:r>
          </w:p>
        </w:tc>
        <w:tc>
          <w:tcPr>
            <w:tcW w:w="864" w:type="dxa"/>
            <w:tcBorders>
              <w:top w:val="nil"/>
              <w:left w:val="nil"/>
              <w:bottom w:val="nil"/>
              <w:right w:val="nil"/>
            </w:tcBorders>
            <w:shd w:val="clear" w:color="auto" w:fill="auto"/>
            <w:noWrap/>
            <w:vAlign w:val="bottom"/>
            <w:hideMark/>
          </w:tcPr>
          <w:p w14:paraId="6E3B1DFB" w14:textId="77777777" w:rsidR="00036186" w:rsidRDefault="00036186">
            <w:pPr>
              <w:jc w:val="right"/>
              <w:rPr>
                <w:color w:val="000000"/>
                <w:sz w:val="20"/>
                <w:szCs w:val="20"/>
              </w:rPr>
            </w:pPr>
            <w:r>
              <w:rPr>
                <w:color w:val="000000"/>
                <w:sz w:val="20"/>
                <w:szCs w:val="20"/>
              </w:rPr>
              <w:t>0.003</w:t>
            </w:r>
          </w:p>
        </w:tc>
      </w:tr>
      <w:tr w:rsidR="00036186" w14:paraId="1C13AD9E" w14:textId="77777777" w:rsidTr="007C663C">
        <w:trPr>
          <w:trHeight w:val="320"/>
        </w:trPr>
        <w:tc>
          <w:tcPr>
            <w:tcW w:w="1152" w:type="dxa"/>
            <w:tcBorders>
              <w:top w:val="nil"/>
              <w:left w:val="nil"/>
              <w:bottom w:val="nil"/>
              <w:right w:val="nil"/>
            </w:tcBorders>
            <w:shd w:val="clear" w:color="auto" w:fill="auto"/>
            <w:noWrap/>
            <w:vAlign w:val="bottom"/>
            <w:hideMark/>
          </w:tcPr>
          <w:p w14:paraId="4ECE4D44"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B771453" w14:textId="77777777" w:rsidR="00036186" w:rsidRDefault="0003618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253A034" w14:textId="77777777" w:rsidR="00036186" w:rsidRDefault="00036186">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5D359B85" w14:textId="77777777" w:rsidR="00036186" w:rsidRDefault="00036186">
            <w:pPr>
              <w:jc w:val="right"/>
              <w:rPr>
                <w:color w:val="000000"/>
                <w:sz w:val="20"/>
                <w:szCs w:val="20"/>
              </w:rPr>
            </w:pPr>
            <w:r>
              <w:rPr>
                <w:color w:val="000000"/>
                <w:sz w:val="20"/>
                <w:szCs w:val="20"/>
              </w:rPr>
              <w:t>0.928</w:t>
            </w:r>
          </w:p>
        </w:tc>
        <w:tc>
          <w:tcPr>
            <w:tcW w:w="864" w:type="dxa"/>
            <w:tcBorders>
              <w:top w:val="nil"/>
              <w:left w:val="nil"/>
              <w:bottom w:val="nil"/>
              <w:right w:val="nil"/>
            </w:tcBorders>
            <w:shd w:val="clear" w:color="auto" w:fill="auto"/>
            <w:noWrap/>
            <w:vAlign w:val="bottom"/>
            <w:hideMark/>
          </w:tcPr>
          <w:p w14:paraId="6C9C12BC"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A87A9D6" w14:textId="77777777" w:rsidR="00036186" w:rsidRDefault="00036186">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018B542F" w14:textId="77777777" w:rsidR="00036186" w:rsidRDefault="00036186">
            <w:pPr>
              <w:jc w:val="right"/>
              <w:rPr>
                <w:color w:val="000000"/>
                <w:sz w:val="20"/>
                <w:szCs w:val="20"/>
              </w:rPr>
            </w:pPr>
            <w:r>
              <w:rPr>
                <w:color w:val="000000"/>
                <w:sz w:val="20"/>
                <w:szCs w:val="20"/>
              </w:rPr>
              <w:t>0.694</w:t>
            </w:r>
          </w:p>
        </w:tc>
        <w:tc>
          <w:tcPr>
            <w:tcW w:w="864" w:type="dxa"/>
            <w:tcBorders>
              <w:top w:val="nil"/>
              <w:left w:val="nil"/>
              <w:bottom w:val="nil"/>
              <w:right w:val="nil"/>
            </w:tcBorders>
            <w:shd w:val="clear" w:color="auto" w:fill="auto"/>
            <w:noWrap/>
            <w:vAlign w:val="bottom"/>
            <w:hideMark/>
          </w:tcPr>
          <w:p w14:paraId="59292F98" w14:textId="77777777" w:rsidR="00036186" w:rsidRDefault="00036186">
            <w:pPr>
              <w:jc w:val="right"/>
              <w:rPr>
                <w:color w:val="000000"/>
                <w:sz w:val="20"/>
                <w:szCs w:val="20"/>
              </w:rPr>
            </w:pPr>
            <w:r>
              <w:rPr>
                <w:color w:val="000000"/>
                <w:sz w:val="20"/>
                <w:szCs w:val="20"/>
              </w:rPr>
              <w:t>0.001</w:t>
            </w:r>
          </w:p>
        </w:tc>
      </w:tr>
      <w:tr w:rsidR="00036186" w14:paraId="3939CE30" w14:textId="77777777" w:rsidTr="007C663C">
        <w:trPr>
          <w:trHeight w:val="320"/>
        </w:trPr>
        <w:tc>
          <w:tcPr>
            <w:tcW w:w="1152" w:type="dxa"/>
            <w:tcBorders>
              <w:top w:val="nil"/>
              <w:left w:val="nil"/>
              <w:bottom w:val="nil"/>
              <w:right w:val="nil"/>
            </w:tcBorders>
            <w:shd w:val="clear" w:color="auto" w:fill="auto"/>
            <w:noWrap/>
            <w:vAlign w:val="bottom"/>
            <w:hideMark/>
          </w:tcPr>
          <w:p w14:paraId="39F84BB5"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57D3945" w14:textId="77777777" w:rsidR="00036186" w:rsidRDefault="0003618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00ACFBA" w14:textId="77777777" w:rsidR="00036186" w:rsidRDefault="00036186">
            <w:pPr>
              <w:jc w:val="right"/>
              <w:rPr>
                <w:color w:val="000000"/>
                <w:sz w:val="20"/>
                <w:szCs w:val="20"/>
              </w:rPr>
            </w:pPr>
            <w:r>
              <w:rPr>
                <w:color w:val="000000"/>
                <w:sz w:val="20"/>
                <w:szCs w:val="20"/>
              </w:rPr>
              <w:t>-0.081</w:t>
            </w:r>
          </w:p>
        </w:tc>
        <w:tc>
          <w:tcPr>
            <w:tcW w:w="864" w:type="dxa"/>
            <w:tcBorders>
              <w:top w:val="nil"/>
              <w:left w:val="nil"/>
              <w:bottom w:val="nil"/>
              <w:right w:val="nil"/>
            </w:tcBorders>
            <w:shd w:val="clear" w:color="auto" w:fill="auto"/>
            <w:noWrap/>
            <w:vAlign w:val="bottom"/>
            <w:hideMark/>
          </w:tcPr>
          <w:p w14:paraId="29CFED3C" w14:textId="77777777" w:rsidR="00036186" w:rsidRDefault="00036186">
            <w:pPr>
              <w:jc w:val="right"/>
              <w:rPr>
                <w:color w:val="000000"/>
                <w:sz w:val="20"/>
                <w:szCs w:val="20"/>
              </w:rPr>
            </w:pPr>
            <w:r>
              <w:rPr>
                <w:color w:val="000000"/>
                <w:sz w:val="20"/>
                <w:szCs w:val="20"/>
              </w:rPr>
              <w:t>0.616</w:t>
            </w:r>
          </w:p>
        </w:tc>
        <w:tc>
          <w:tcPr>
            <w:tcW w:w="864" w:type="dxa"/>
            <w:tcBorders>
              <w:top w:val="nil"/>
              <w:left w:val="nil"/>
              <w:bottom w:val="nil"/>
              <w:right w:val="nil"/>
            </w:tcBorders>
            <w:shd w:val="clear" w:color="auto" w:fill="auto"/>
            <w:noWrap/>
            <w:vAlign w:val="bottom"/>
            <w:hideMark/>
          </w:tcPr>
          <w:p w14:paraId="28CCE865" w14:textId="77777777" w:rsidR="00036186" w:rsidRDefault="00036186">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57FC3D1D" w14:textId="77777777" w:rsidR="00036186" w:rsidRDefault="00036186">
            <w:pPr>
              <w:jc w:val="right"/>
              <w:rPr>
                <w:color w:val="000000"/>
                <w:sz w:val="20"/>
                <w:szCs w:val="20"/>
              </w:rPr>
            </w:pPr>
            <w:r>
              <w:rPr>
                <w:color w:val="000000"/>
                <w:sz w:val="20"/>
                <w:szCs w:val="20"/>
              </w:rPr>
              <w:t>-0.208</w:t>
            </w:r>
          </w:p>
        </w:tc>
        <w:tc>
          <w:tcPr>
            <w:tcW w:w="864" w:type="dxa"/>
            <w:tcBorders>
              <w:top w:val="nil"/>
              <w:left w:val="nil"/>
              <w:bottom w:val="nil"/>
              <w:right w:val="nil"/>
            </w:tcBorders>
            <w:shd w:val="clear" w:color="auto" w:fill="auto"/>
            <w:noWrap/>
            <w:vAlign w:val="bottom"/>
            <w:hideMark/>
          </w:tcPr>
          <w:p w14:paraId="02C153E3" w14:textId="77777777" w:rsidR="00036186" w:rsidRDefault="00036186">
            <w:pPr>
              <w:jc w:val="right"/>
              <w:rPr>
                <w:color w:val="000000"/>
                <w:sz w:val="20"/>
                <w:szCs w:val="20"/>
              </w:rPr>
            </w:pPr>
            <w:r>
              <w:rPr>
                <w:color w:val="000000"/>
                <w:sz w:val="20"/>
                <w:szCs w:val="20"/>
              </w:rPr>
              <w:t>0.096</w:t>
            </w:r>
          </w:p>
        </w:tc>
        <w:tc>
          <w:tcPr>
            <w:tcW w:w="864" w:type="dxa"/>
            <w:tcBorders>
              <w:top w:val="nil"/>
              <w:left w:val="nil"/>
              <w:bottom w:val="nil"/>
              <w:right w:val="nil"/>
            </w:tcBorders>
            <w:shd w:val="clear" w:color="auto" w:fill="auto"/>
            <w:noWrap/>
            <w:vAlign w:val="bottom"/>
            <w:hideMark/>
          </w:tcPr>
          <w:p w14:paraId="4DBBD07B" w14:textId="77777777" w:rsidR="00036186" w:rsidRDefault="00036186">
            <w:pPr>
              <w:jc w:val="right"/>
              <w:rPr>
                <w:color w:val="000000"/>
                <w:sz w:val="20"/>
                <w:szCs w:val="20"/>
              </w:rPr>
            </w:pPr>
            <w:r>
              <w:rPr>
                <w:color w:val="000000"/>
                <w:sz w:val="20"/>
                <w:szCs w:val="20"/>
              </w:rPr>
              <w:t>0.043</w:t>
            </w:r>
          </w:p>
        </w:tc>
      </w:tr>
      <w:tr w:rsidR="00036186" w14:paraId="594378BD" w14:textId="77777777" w:rsidTr="007C663C">
        <w:trPr>
          <w:trHeight w:val="320"/>
        </w:trPr>
        <w:tc>
          <w:tcPr>
            <w:tcW w:w="1152" w:type="dxa"/>
            <w:tcBorders>
              <w:top w:val="nil"/>
              <w:left w:val="nil"/>
              <w:bottom w:val="nil"/>
              <w:right w:val="nil"/>
            </w:tcBorders>
            <w:shd w:val="clear" w:color="auto" w:fill="auto"/>
            <w:noWrap/>
            <w:vAlign w:val="bottom"/>
            <w:hideMark/>
          </w:tcPr>
          <w:p w14:paraId="79A7C733"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491DF79" w14:textId="77777777" w:rsidR="00036186" w:rsidRDefault="0003618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B36E6D1" w14:textId="77777777" w:rsidR="00036186" w:rsidRDefault="00036186">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6441D32A" w14:textId="77777777" w:rsidR="00036186" w:rsidRDefault="00036186">
            <w:pPr>
              <w:jc w:val="right"/>
              <w:rPr>
                <w:color w:val="000000"/>
                <w:sz w:val="20"/>
                <w:szCs w:val="20"/>
              </w:rPr>
            </w:pPr>
            <w:r>
              <w:rPr>
                <w:color w:val="000000"/>
                <w:sz w:val="20"/>
                <w:szCs w:val="20"/>
              </w:rPr>
              <w:t>0.890</w:t>
            </w:r>
          </w:p>
        </w:tc>
        <w:tc>
          <w:tcPr>
            <w:tcW w:w="864" w:type="dxa"/>
            <w:tcBorders>
              <w:top w:val="nil"/>
              <w:left w:val="nil"/>
              <w:bottom w:val="nil"/>
              <w:right w:val="nil"/>
            </w:tcBorders>
            <w:shd w:val="clear" w:color="auto" w:fill="auto"/>
            <w:noWrap/>
            <w:vAlign w:val="bottom"/>
            <w:hideMark/>
          </w:tcPr>
          <w:p w14:paraId="4C4EDA08"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80F54B4" w14:textId="77777777" w:rsidR="00036186" w:rsidRDefault="00036186">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4F31312A" w14:textId="77777777" w:rsidR="00036186" w:rsidRDefault="00036186">
            <w:pPr>
              <w:jc w:val="right"/>
              <w:rPr>
                <w:color w:val="000000"/>
                <w:sz w:val="20"/>
                <w:szCs w:val="20"/>
              </w:rPr>
            </w:pPr>
            <w:r>
              <w:rPr>
                <w:color w:val="000000"/>
                <w:sz w:val="20"/>
                <w:szCs w:val="20"/>
              </w:rPr>
              <w:t>0.293</w:t>
            </w:r>
          </w:p>
        </w:tc>
        <w:tc>
          <w:tcPr>
            <w:tcW w:w="864" w:type="dxa"/>
            <w:tcBorders>
              <w:top w:val="nil"/>
              <w:left w:val="nil"/>
              <w:bottom w:val="nil"/>
              <w:right w:val="nil"/>
            </w:tcBorders>
            <w:shd w:val="clear" w:color="auto" w:fill="auto"/>
            <w:noWrap/>
            <w:vAlign w:val="bottom"/>
            <w:hideMark/>
          </w:tcPr>
          <w:p w14:paraId="2D3805CE" w14:textId="77777777" w:rsidR="00036186" w:rsidRDefault="00036186">
            <w:pPr>
              <w:jc w:val="right"/>
              <w:rPr>
                <w:color w:val="000000"/>
                <w:sz w:val="20"/>
                <w:szCs w:val="20"/>
              </w:rPr>
            </w:pPr>
            <w:r>
              <w:rPr>
                <w:color w:val="000000"/>
                <w:sz w:val="20"/>
                <w:szCs w:val="20"/>
              </w:rPr>
              <w:t>0.002</w:t>
            </w:r>
          </w:p>
        </w:tc>
      </w:tr>
      <w:tr w:rsidR="00036186" w14:paraId="67018272" w14:textId="77777777" w:rsidTr="007C663C">
        <w:trPr>
          <w:trHeight w:val="320"/>
        </w:trPr>
        <w:tc>
          <w:tcPr>
            <w:tcW w:w="1152" w:type="dxa"/>
            <w:tcBorders>
              <w:top w:val="nil"/>
              <w:left w:val="nil"/>
              <w:bottom w:val="nil"/>
              <w:right w:val="nil"/>
            </w:tcBorders>
            <w:shd w:val="clear" w:color="auto" w:fill="auto"/>
            <w:noWrap/>
            <w:vAlign w:val="bottom"/>
            <w:hideMark/>
          </w:tcPr>
          <w:p w14:paraId="0C7BE0C0"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69E36B" w14:textId="77777777" w:rsidR="00036186" w:rsidRDefault="0003618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4464628" w14:textId="77777777" w:rsidR="00036186" w:rsidRDefault="00036186">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16FE2E8C" w14:textId="77777777" w:rsidR="00036186" w:rsidRDefault="00036186">
            <w:pPr>
              <w:jc w:val="right"/>
              <w:rPr>
                <w:color w:val="000000"/>
                <w:sz w:val="20"/>
                <w:szCs w:val="20"/>
              </w:rPr>
            </w:pPr>
            <w:r>
              <w:rPr>
                <w:color w:val="000000"/>
                <w:sz w:val="20"/>
                <w:szCs w:val="20"/>
              </w:rPr>
              <w:t>0.900</w:t>
            </w:r>
          </w:p>
        </w:tc>
        <w:tc>
          <w:tcPr>
            <w:tcW w:w="864" w:type="dxa"/>
            <w:tcBorders>
              <w:top w:val="nil"/>
              <w:left w:val="nil"/>
              <w:bottom w:val="nil"/>
              <w:right w:val="nil"/>
            </w:tcBorders>
            <w:shd w:val="clear" w:color="auto" w:fill="auto"/>
            <w:noWrap/>
            <w:vAlign w:val="bottom"/>
            <w:hideMark/>
          </w:tcPr>
          <w:p w14:paraId="304C654F"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DD7673B"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BA032FA" w14:textId="77777777" w:rsidR="00036186" w:rsidRDefault="00036186">
            <w:pPr>
              <w:jc w:val="right"/>
              <w:rPr>
                <w:color w:val="000000"/>
                <w:sz w:val="20"/>
                <w:szCs w:val="20"/>
              </w:rPr>
            </w:pPr>
            <w:r>
              <w:rPr>
                <w:color w:val="000000"/>
                <w:sz w:val="20"/>
                <w:szCs w:val="20"/>
              </w:rPr>
              <w:t>0.994</w:t>
            </w:r>
          </w:p>
        </w:tc>
        <w:tc>
          <w:tcPr>
            <w:tcW w:w="864" w:type="dxa"/>
            <w:tcBorders>
              <w:top w:val="nil"/>
              <w:left w:val="nil"/>
              <w:bottom w:val="nil"/>
              <w:right w:val="nil"/>
            </w:tcBorders>
            <w:shd w:val="clear" w:color="auto" w:fill="auto"/>
            <w:noWrap/>
            <w:vAlign w:val="bottom"/>
            <w:hideMark/>
          </w:tcPr>
          <w:p w14:paraId="5BD07410" w14:textId="77777777" w:rsidR="00036186" w:rsidRDefault="00036186">
            <w:pPr>
              <w:jc w:val="right"/>
              <w:rPr>
                <w:color w:val="000000"/>
                <w:sz w:val="20"/>
                <w:szCs w:val="20"/>
              </w:rPr>
            </w:pPr>
            <w:r>
              <w:rPr>
                <w:color w:val="000000"/>
                <w:sz w:val="20"/>
                <w:szCs w:val="20"/>
              </w:rPr>
              <w:t>0.000</w:t>
            </w:r>
          </w:p>
        </w:tc>
      </w:tr>
      <w:tr w:rsidR="00036186" w14:paraId="13456C9E" w14:textId="77777777" w:rsidTr="007C663C">
        <w:trPr>
          <w:trHeight w:val="320"/>
        </w:trPr>
        <w:tc>
          <w:tcPr>
            <w:tcW w:w="1152" w:type="dxa"/>
            <w:tcBorders>
              <w:top w:val="nil"/>
              <w:left w:val="nil"/>
              <w:bottom w:val="nil"/>
              <w:right w:val="nil"/>
            </w:tcBorders>
            <w:shd w:val="clear" w:color="auto" w:fill="auto"/>
            <w:noWrap/>
            <w:vAlign w:val="bottom"/>
            <w:hideMark/>
          </w:tcPr>
          <w:p w14:paraId="3FF63A30"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423170E" w14:textId="77777777" w:rsidR="00036186" w:rsidRDefault="0003618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1386933" w14:textId="77777777" w:rsidR="00036186" w:rsidRDefault="00036186">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5C289FB2" w14:textId="77777777" w:rsidR="00036186" w:rsidRDefault="00036186">
            <w:pPr>
              <w:jc w:val="right"/>
              <w:rPr>
                <w:color w:val="000000"/>
                <w:sz w:val="20"/>
                <w:szCs w:val="20"/>
              </w:rPr>
            </w:pPr>
            <w:r>
              <w:rPr>
                <w:color w:val="000000"/>
                <w:sz w:val="20"/>
                <w:szCs w:val="20"/>
              </w:rPr>
              <w:t>0.372</w:t>
            </w:r>
          </w:p>
        </w:tc>
        <w:tc>
          <w:tcPr>
            <w:tcW w:w="864" w:type="dxa"/>
            <w:tcBorders>
              <w:top w:val="nil"/>
              <w:left w:val="nil"/>
              <w:bottom w:val="nil"/>
              <w:right w:val="nil"/>
            </w:tcBorders>
            <w:shd w:val="clear" w:color="auto" w:fill="auto"/>
            <w:noWrap/>
            <w:vAlign w:val="bottom"/>
            <w:hideMark/>
          </w:tcPr>
          <w:p w14:paraId="1D834529" w14:textId="77777777" w:rsidR="00036186" w:rsidRDefault="0003618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000F309" w14:textId="77777777" w:rsidR="00036186" w:rsidRDefault="00036186">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4F788280" w14:textId="77777777" w:rsidR="00036186" w:rsidRDefault="00036186">
            <w:pPr>
              <w:jc w:val="right"/>
              <w:rPr>
                <w:color w:val="000000"/>
                <w:sz w:val="20"/>
                <w:szCs w:val="20"/>
              </w:rPr>
            </w:pPr>
            <w:r>
              <w:rPr>
                <w:color w:val="000000"/>
                <w:sz w:val="20"/>
                <w:szCs w:val="20"/>
              </w:rPr>
              <w:t>0.280</w:t>
            </w:r>
          </w:p>
        </w:tc>
        <w:tc>
          <w:tcPr>
            <w:tcW w:w="864" w:type="dxa"/>
            <w:tcBorders>
              <w:top w:val="nil"/>
              <w:left w:val="nil"/>
              <w:bottom w:val="nil"/>
              <w:right w:val="nil"/>
            </w:tcBorders>
            <w:shd w:val="clear" w:color="auto" w:fill="auto"/>
            <w:noWrap/>
            <w:vAlign w:val="bottom"/>
            <w:hideMark/>
          </w:tcPr>
          <w:p w14:paraId="5D33475C" w14:textId="77777777" w:rsidR="00036186" w:rsidRDefault="00036186">
            <w:pPr>
              <w:jc w:val="right"/>
              <w:rPr>
                <w:color w:val="000000"/>
                <w:sz w:val="20"/>
                <w:szCs w:val="20"/>
              </w:rPr>
            </w:pPr>
            <w:r>
              <w:rPr>
                <w:color w:val="000000"/>
                <w:sz w:val="20"/>
                <w:szCs w:val="20"/>
              </w:rPr>
              <w:t>0.002</w:t>
            </w:r>
          </w:p>
        </w:tc>
      </w:tr>
      <w:tr w:rsidR="00036186" w14:paraId="0400CAD4" w14:textId="77777777" w:rsidTr="007C663C">
        <w:trPr>
          <w:trHeight w:val="320"/>
        </w:trPr>
        <w:tc>
          <w:tcPr>
            <w:tcW w:w="1152" w:type="dxa"/>
            <w:tcBorders>
              <w:top w:val="nil"/>
              <w:left w:val="nil"/>
              <w:bottom w:val="single" w:sz="4" w:space="0" w:color="auto"/>
              <w:right w:val="nil"/>
            </w:tcBorders>
            <w:shd w:val="clear" w:color="auto" w:fill="auto"/>
            <w:noWrap/>
            <w:vAlign w:val="bottom"/>
            <w:hideMark/>
          </w:tcPr>
          <w:p w14:paraId="696494DB" w14:textId="77777777" w:rsidR="00036186" w:rsidRDefault="0003618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52AF7CE2" w14:textId="77777777" w:rsidR="00036186" w:rsidRDefault="0003618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156D673" w14:textId="77777777" w:rsidR="00036186" w:rsidRDefault="00036186">
            <w:pPr>
              <w:jc w:val="right"/>
              <w:rPr>
                <w:color w:val="000000"/>
                <w:sz w:val="20"/>
                <w:szCs w:val="20"/>
              </w:rPr>
            </w:pPr>
            <w:r>
              <w:rPr>
                <w:color w:val="000000"/>
                <w:sz w:val="20"/>
                <w:szCs w:val="20"/>
              </w:rPr>
              <w:t>0.004</w:t>
            </w:r>
          </w:p>
        </w:tc>
        <w:tc>
          <w:tcPr>
            <w:tcW w:w="864" w:type="dxa"/>
            <w:tcBorders>
              <w:top w:val="nil"/>
              <w:left w:val="nil"/>
              <w:bottom w:val="single" w:sz="4" w:space="0" w:color="auto"/>
              <w:right w:val="nil"/>
            </w:tcBorders>
            <w:shd w:val="clear" w:color="auto" w:fill="auto"/>
            <w:noWrap/>
            <w:vAlign w:val="bottom"/>
            <w:hideMark/>
          </w:tcPr>
          <w:p w14:paraId="6B6DC647" w14:textId="77777777" w:rsidR="00036186" w:rsidRDefault="00036186">
            <w:pPr>
              <w:jc w:val="right"/>
              <w:rPr>
                <w:color w:val="000000"/>
                <w:sz w:val="20"/>
                <w:szCs w:val="20"/>
              </w:rPr>
            </w:pPr>
            <w:r>
              <w:rPr>
                <w:color w:val="000000"/>
                <w:sz w:val="20"/>
                <w:szCs w:val="20"/>
              </w:rPr>
              <w:t>0.928</w:t>
            </w:r>
          </w:p>
        </w:tc>
        <w:tc>
          <w:tcPr>
            <w:tcW w:w="864" w:type="dxa"/>
            <w:tcBorders>
              <w:top w:val="nil"/>
              <w:left w:val="nil"/>
              <w:bottom w:val="single" w:sz="4" w:space="0" w:color="auto"/>
              <w:right w:val="nil"/>
            </w:tcBorders>
            <w:shd w:val="clear" w:color="auto" w:fill="auto"/>
            <w:noWrap/>
            <w:vAlign w:val="bottom"/>
            <w:hideMark/>
          </w:tcPr>
          <w:p w14:paraId="6D5C7D16"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1037B965" w14:textId="77777777" w:rsidR="00036186" w:rsidRDefault="00036186">
            <w:pPr>
              <w:jc w:val="right"/>
              <w:rPr>
                <w:color w:val="000000"/>
                <w:sz w:val="20"/>
                <w:szCs w:val="20"/>
              </w:rPr>
            </w:pPr>
            <w:r>
              <w:rPr>
                <w:color w:val="000000"/>
                <w:sz w:val="20"/>
                <w:szCs w:val="20"/>
              </w:rPr>
              <w:t>-0.051</w:t>
            </w:r>
          </w:p>
        </w:tc>
        <w:tc>
          <w:tcPr>
            <w:tcW w:w="864" w:type="dxa"/>
            <w:tcBorders>
              <w:top w:val="nil"/>
              <w:left w:val="nil"/>
              <w:bottom w:val="single" w:sz="4" w:space="0" w:color="auto"/>
              <w:right w:val="nil"/>
            </w:tcBorders>
            <w:shd w:val="clear" w:color="auto" w:fill="auto"/>
            <w:noWrap/>
            <w:vAlign w:val="bottom"/>
            <w:hideMark/>
          </w:tcPr>
          <w:p w14:paraId="44D009AB" w14:textId="77777777" w:rsidR="00036186" w:rsidRDefault="00036186">
            <w:pPr>
              <w:jc w:val="right"/>
              <w:rPr>
                <w:color w:val="000000"/>
                <w:sz w:val="20"/>
                <w:szCs w:val="20"/>
              </w:rPr>
            </w:pPr>
            <w:r>
              <w:rPr>
                <w:color w:val="000000"/>
                <w:sz w:val="20"/>
                <w:szCs w:val="20"/>
              </w:rPr>
              <w:t>0.280</w:t>
            </w:r>
          </w:p>
        </w:tc>
        <w:tc>
          <w:tcPr>
            <w:tcW w:w="864" w:type="dxa"/>
            <w:tcBorders>
              <w:top w:val="nil"/>
              <w:left w:val="nil"/>
              <w:bottom w:val="single" w:sz="4" w:space="0" w:color="auto"/>
              <w:right w:val="nil"/>
            </w:tcBorders>
            <w:shd w:val="clear" w:color="auto" w:fill="auto"/>
            <w:noWrap/>
            <w:vAlign w:val="bottom"/>
            <w:hideMark/>
          </w:tcPr>
          <w:p w14:paraId="7C0FC4E0" w14:textId="77777777" w:rsidR="00036186" w:rsidRDefault="00036186">
            <w:pPr>
              <w:jc w:val="right"/>
              <w:rPr>
                <w:color w:val="000000"/>
                <w:sz w:val="20"/>
                <w:szCs w:val="20"/>
              </w:rPr>
            </w:pPr>
            <w:r>
              <w:rPr>
                <w:color w:val="000000"/>
                <w:sz w:val="20"/>
                <w:szCs w:val="20"/>
              </w:rPr>
              <w:t>0.003</w:t>
            </w:r>
          </w:p>
        </w:tc>
      </w:tr>
      <w:tr w:rsidR="00036186" w14:paraId="59B8C842" w14:textId="77777777" w:rsidTr="007C663C">
        <w:trPr>
          <w:trHeight w:val="320"/>
        </w:trPr>
        <w:tc>
          <w:tcPr>
            <w:tcW w:w="1152" w:type="dxa"/>
            <w:tcBorders>
              <w:top w:val="nil"/>
              <w:left w:val="nil"/>
              <w:bottom w:val="nil"/>
              <w:right w:val="nil"/>
            </w:tcBorders>
            <w:shd w:val="clear" w:color="auto" w:fill="auto"/>
            <w:noWrap/>
            <w:vAlign w:val="bottom"/>
            <w:hideMark/>
          </w:tcPr>
          <w:p w14:paraId="2D71C776" w14:textId="77777777" w:rsidR="00036186" w:rsidRDefault="00036186">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00FDC64C" w14:textId="77777777" w:rsidR="00036186" w:rsidRDefault="0003618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22AD0F94" w14:textId="77777777" w:rsidR="00036186" w:rsidRDefault="00036186">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643B5C8F" w14:textId="77777777" w:rsidR="00036186" w:rsidRDefault="00036186">
            <w:pPr>
              <w:jc w:val="right"/>
              <w:rPr>
                <w:color w:val="000000"/>
                <w:sz w:val="20"/>
                <w:szCs w:val="20"/>
              </w:rPr>
            </w:pPr>
            <w:r>
              <w:rPr>
                <w:color w:val="000000"/>
                <w:sz w:val="20"/>
                <w:szCs w:val="20"/>
              </w:rPr>
              <w:t>0.523</w:t>
            </w:r>
          </w:p>
        </w:tc>
        <w:tc>
          <w:tcPr>
            <w:tcW w:w="864" w:type="dxa"/>
            <w:tcBorders>
              <w:top w:val="nil"/>
              <w:left w:val="nil"/>
              <w:bottom w:val="nil"/>
              <w:right w:val="nil"/>
            </w:tcBorders>
            <w:shd w:val="clear" w:color="auto" w:fill="auto"/>
            <w:noWrap/>
            <w:vAlign w:val="bottom"/>
            <w:hideMark/>
          </w:tcPr>
          <w:p w14:paraId="545ABD57"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81E9D9B" w14:textId="77777777" w:rsidR="00036186" w:rsidRDefault="00036186">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09910579" w14:textId="77777777" w:rsidR="00036186" w:rsidRDefault="00036186">
            <w:pPr>
              <w:jc w:val="right"/>
              <w:rPr>
                <w:color w:val="000000"/>
                <w:sz w:val="20"/>
                <w:szCs w:val="20"/>
              </w:rPr>
            </w:pPr>
            <w:r>
              <w:rPr>
                <w:color w:val="000000"/>
                <w:sz w:val="20"/>
                <w:szCs w:val="20"/>
              </w:rPr>
              <w:t>0.200</w:t>
            </w:r>
          </w:p>
        </w:tc>
        <w:tc>
          <w:tcPr>
            <w:tcW w:w="864" w:type="dxa"/>
            <w:tcBorders>
              <w:top w:val="nil"/>
              <w:left w:val="nil"/>
              <w:bottom w:val="nil"/>
              <w:right w:val="nil"/>
            </w:tcBorders>
            <w:shd w:val="clear" w:color="auto" w:fill="auto"/>
            <w:noWrap/>
            <w:vAlign w:val="bottom"/>
            <w:hideMark/>
          </w:tcPr>
          <w:p w14:paraId="1B8BB559" w14:textId="77777777" w:rsidR="00036186" w:rsidRDefault="00036186">
            <w:pPr>
              <w:jc w:val="right"/>
              <w:rPr>
                <w:color w:val="000000"/>
                <w:sz w:val="20"/>
                <w:szCs w:val="20"/>
              </w:rPr>
            </w:pPr>
            <w:r>
              <w:rPr>
                <w:color w:val="000000"/>
                <w:sz w:val="20"/>
                <w:szCs w:val="20"/>
              </w:rPr>
              <w:t>0.001</w:t>
            </w:r>
          </w:p>
        </w:tc>
      </w:tr>
      <w:tr w:rsidR="00036186" w14:paraId="2AF59DD6" w14:textId="77777777" w:rsidTr="007C663C">
        <w:trPr>
          <w:trHeight w:val="320"/>
        </w:trPr>
        <w:tc>
          <w:tcPr>
            <w:tcW w:w="1152" w:type="dxa"/>
            <w:tcBorders>
              <w:top w:val="nil"/>
              <w:left w:val="nil"/>
              <w:bottom w:val="nil"/>
              <w:right w:val="nil"/>
            </w:tcBorders>
            <w:shd w:val="clear" w:color="auto" w:fill="auto"/>
            <w:noWrap/>
            <w:vAlign w:val="bottom"/>
            <w:hideMark/>
          </w:tcPr>
          <w:p w14:paraId="20E77D45"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BBD8C1E" w14:textId="77777777" w:rsidR="00036186" w:rsidRDefault="0003618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1B542BF" w14:textId="77777777" w:rsidR="00036186" w:rsidRDefault="00036186">
            <w:pPr>
              <w:jc w:val="right"/>
              <w:rPr>
                <w:b/>
                <w:bCs/>
                <w:color w:val="000000"/>
                <w:sz w:val="20"/>
                <w:szCs w:val="20"/>
              </w:rPr>
            </w:pPr>
            <w:r>
              <w:rPr>
                <w:b/>
                <w:bCs/>
                <w:color w:val="000000"/>
                <w:sz w:val="20"/>
                <w:szCs w:val="20"/>
              </w:rPr>
              <w:t>-0.094</w:t>
            </w:r>
          </w:p>
        </w:tc>
        <w:tc>
          <w:tcPr>
            <w:tcW w:w="864" w:type="dxa"/>
            <w:tcBorders>
              <w:top w:val="nil"/>
              <w:left w:val="nil"/>
              <w:bottom w:val="nil"/>
              <w:right w:val="nil"/>
            </w:tcBorders>
            <w:shd w:val="clear" w:color="auto" w:fill="auto"/>
            <w:noWrap/>
            <w:vAlign w:val="bottom"/>
            <w:hideMark/>
          </w:tcPr>
          <w:p w14:paraId="01CE904D" w14:textId="77777777" w:rsidR="00036186" w:rsidRDefault="00036186">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6C829790" w14:textId="77777777" w:rsidR="00036186" w:rsidRDefault="00036186">
            <w:pPr>
              <w:jc w:val="right"/>
              <w:rPr>
                <w:b/>
                <w:bCs/>
                <w:color w:val="000000"/>
                <w:sz w:val="20"/>
                <w:szCs w:val="20"/>
              </w:rPr>
            </w:pPr>
            <w:r>
              <w:rPr>
                <w:b/>
                <w:bCs/>
                <w:color w:val="000000"/>
                <w:sz w:val="20"/>
                <w:szCs w:val="20"/>
              </w:rPr>
              <w:t>0.009</w:t>
            </w:r>
          </w:p>
        </w:tc>
        <w:tc>
          <w:tcPr>
            <w:tcW w:w="864" w:type="dxa"/>
            <w:tcBorders>
              <w:top w:val="nil"/>
              <w:left w:val="nil"/>
              <w:bottom w:val="nil"/>
              <w:right w:val="nil"/>
            </w:tcBorders>
            <w:shd w:val="clear" w:color="auto" w:fill="auto"/>
            <w:noWrap/>
            <w:vAlign w:val="bottom"/>
            <w:hideMark/>
          </w:tcPr>
          <w:p w14:paraId="68FD54FE" w14:textId="77777777" w:rsidR="00036186" w:rsidRDefault="00036186">
            <w:pPr>
              <w:jc w:val="right"/>
              <w:rPr>
                <w:b/>
                <w:bCs/>
                <w:color w:val="000000"/>
                <w:sz w:val="20"/>
                <w:szCs w:val="20"/>
              </w:rPr>
            </w:pPr>
            <w:r>
              <w:rPr>
                <w:b/>
                <w:bCs/>
                <w:color w:val="000000"/>
                <w:sz w:val="20"/>
                <w:szCs w:val="20"/>
              </w:rPr>
              <w:t>-0.096</w:t>
            </w:r>
          </w:p>
        </w:tc>
        <w:tc>
          <w:tcPr>
            <w:tcW w:w="864" w:type="dxa"/>
            <w:tcBorders>
              <w:top w:val="nil"/>
              <w:left w:val="nil"/>
              <w:bottom w:val="nil"/>
              <w:right w:val="nil"/>
            </w:tcBorders>
            <w:shd w:val="clear" w:color="auto" w:fill="auto"/>
            <w:noWrap/>
            <w:vAlign w:val="bottom"/>
            <w:hideMark/>
          </w:tcPr>
          <w:p w14:paraId="59B27168" w14:textId="77777777" w:rsidR="00036186" w:rsidRDefault="00036186">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2DB59A85" w14:textId="77777777" w:rsidR="00036186" w:rsidRDefault="00036186">
            <w:pPr>
              <w:jc w:val="right"/>
              <w:rPr>
                <w:b/>
                <w:bCs/>
                <w:color w:val="000000"/>
                <w:sz w:val="20"/>
                <w:szCs w:val="20"/>
              </w:rPr>
            </w:pPr>
            <w:r>
              <w:rPr>
                <w:b/>
                <w:bCs/>
                <w:color w:val="000000"/>
                <w:sz w:val="20"/>
                <w:szCs w:val="20"/>
              </w:rPr>
              <w:t>0.009</w:t>
            </w:r>
          </w:p>
        </w:tc>
      </w:tr>
      <w:tr w:rsidR="00036186" w14:paraId="21CE0E81" w14:textId="77777777" w:rsidTr="007C663C">
        <w:trPr>
          <w:trHeight w:val="320"/>
        </w:trPr>
        <w:tc>
          <w:tcPr>
            <w:tcW w:w="1152" w:type="dxa"/>
            <w:tcBorders>
              <w:top w:val="nil"/>
              <w:left w:val="nil"/>
              <w:bottom w:val="nil"/>
              <w:right w:val="nil"/>
            </w:tcBorders>
            <w:shd w:val="clear" w:color="auto" w:fill="auto"/>
            <w:noWrap/>
            <w:vAlign w:val="bottom"/>
            <w:hideMark/>
          </w:tcPr>
          <w:p w14:paraId="2BB4D317" w14:textId="77777777" w:rsidR="00036186" w:rsidRDefault="0003618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5312E39C" w14:textId="77777777" w:rsidR="00036186" w:rsidRDefault="0003618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6B2B1BD" w14:textId="77777777" w:rsidR="00036186" w:rsidRDefault="00036186">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60595FDF" w14:textId="77777777" w:rsidR="00036186" w:rsidRDefault="00036186">
            <w:pPr>
              <w:jc w:val="right"/>
              <w:rPr>
                <w:color w:val="000000"/>
                <w:sz w:val="20"/>
                <w:szCs w:val="20"/>
              </w:rPr>
            </w:pPr>
            <w:r>
              <w:rPr>
                <w:color w:val="000000"/>
                <w:sz w:val="20"/>
                <w:szCs w:val="20"/>
              </w:rPr>
              <w:t>0.523</w:t>
            </w:r>
          </w:p>
        </w:tc>
        <w:tc>
          <w:tcPr>
            <w:tcW w:w="864" w:type="dxa"/>
            <w:tcBorders>
              <w:top w:val="nil"/>
              <w:left w:val="nil"/>
              <w:bottom w:val="nil"/>
              <w:right w:val="nil"/>
            </w:tcBorders>
            <w:shd w:val="clear" w:color="auto" w:fill="auto"/>
            <w:noWrap/>
            <w:vAlign w:val="bottom"/>
            <w:hideMark/>
          </w:tcPr>
          <w:p w14:paraId="5FBFE166"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F36FBC4" w14:textId="77777777" w:rsidR="00036186" w:rsidRDefault="00036186">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5B6575C1" w14:textId="77777777" w:rsidR="00036186" w:rsidRDefault="00036186">
            <w:pPr>
              <w:jc w:val="right"/>
              <w:rPr>
                <w:color w:val="000000"/>
                <w:sz w:val="20"/>
                <w:szCs w:val="20"/>
              </w:rPr>
            </w:pPr>
            <w:r>
              <w:rPr>
                <w:color w:val="000000"/>
                <w:sz w:val="20"/>
                <w:szCs w:val="20"/>
              </w:rPr>
              <w:t>0.099</w:t>
            </w:r>
          </w:p>
        </w:tc>
        <w:tc>
          <w:tcPr>
            <w:tcW w:w="864" w:type="dxa"/>
            <w:tcBorders>
              <w:top w:val="nil"/>
              <w:left w:val="nil"/>
              <w:bottom w:val="nil"/>
              <w:right w:val="nil"/>
            </w:tcBorders>
            <w:shd w:val="clear" w:color="auto" w:fill="auto"/>
            <w:noWrap/>
            <w:vAlign w:val="bottom"/>
            <w:hideMark/>
          </w:tcPr>
          <w:p w14:paraId="5E634800" w14:textId="77777777" w:rsidR="00036186" w:rsidRDefault="00036186">
            <w:pPr>
              <w:jc w:val="right"/>
              <w:rPr>
                <w:color w:val="000000"/>
                <w:sz w:val="20"/>
                <w:szCs w:val="20"/>
              </w:rPr>
            </w:pPr>
            <w:r>
              <w:rPr>
                <w:color w:val="000000"/>
                <w:sz w:val="20"/>
                <w:szCs w:val="20"/>
              </w:rPr>
              <w:t>0.003</w:t>
            </w:r>
          </w:p>
        </w:tc>
      </w:tr>
      <w:tr w:rsidR="00036186" w14:paraId="778D5F4E" w14:textId="77777777" w:rsidTr="007C663C">
        <w:trPr>
          <w:trHeight w:val="320"/>
        </w:trPr>
        <w:tc>
          <w:tcPr>
            <w:tcW w:w="1152" w:type="dxa"/>
            <w:tcBorders>
              <w:top w:val="nil"/>
              <w:left w:val="nil"/>
              <w:bottom w:val="nil"/>
              <w:right w:val="nil"/>
            </w:tcBorders>
            <w:shd w:val="clear" w:color="auto" w:fill="auto"/>
            <w:noWrap/>
            <w:vAlign w:val="bottom"/>
            <w:hideMark/>
          </w:tcPr>
          <w:p w14:paraId="790F30EB"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6D4A134" w14:textId="77777777" w:rsidR="00036186" w:rsidRDefault="0003618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6392F38" w14:textId="77777777" w:rsidR="00036186" w:rsidRDefault="00036186">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4AD53D54" w14:textId="77777777" w:rsidR="00036186" w:rsidRDefault="00036186">
            <w:pPr>
              <w:jc w:val="right"/>
              <w:rPr>
                <w:color w:val="000000"/>
                <w:sz w:val="20"/>
                <w:szCs w:val="20"/>
              </w:rPr>
            </w:pPr>
            <w:r>
              <w:rPr>
                <w:color w:val="000000"/>
                <w:sz w:val="20"/>
                <w:szCs w:val="20"/>
              </w:rPr>
              <w:t>0.523</w:t>
            </w:r>
          </w:p>
        </w:tc>
        <w:tc>
          <w:tcPr>
            <w:tcW w:w="864" w:type="dxa"/>
            <w:tcBorders>
              <w:top w:val="nil"/>
              <w:left w:val="nil"/>
              <w:bottom w:val="nil"/>
              <w:right w:val="nil"/>
            </w:tcBorders>
            <w:shd w:val="clear" w:color="auto" w:fill="auto"/>
            <w:noWrap/>
            <w:vAlign w:val="bottom"/>
            <w:hideMark/>
          </w:tcPr>
          <w:p w14:paraId="719E8C04"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A6E60C0" w14:textId="77777777" w:rsidR="00036186" w:rsidRDefault="00036186">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278283C9" w14:textId="77777777" w:rsidR="00036186" w:rsidRDefault="00036186">
            <w:pPr>
              <w:jc w:val="right"/>
              <w:rPr>
                <w:color w:val="000000"/>
                <w:sz w:val="20"/>
                <w:szCs w:val="20"/>
              </w:rPr>
            </w:pPr>
            <w:r>
              <w:rPr>
                <w:color w:val="000000"/>
                <w:sz w:val="20"/>
                <w:szCs w:val="20"/>
              </w:rPr>
              <w:t>0.313</w:t>
            </w:r>
          </w:p>
        </w:tc>
        <w:tc>
          <w:tcPr>
            <w:tcW w:w="864" w:type="dxa"/>
            <w:tcBorders>
              <w:top w:val="nil"/>
              <w:left w:val="nil"/>
              <w:bottom w:val="nil"/>
              <w:right w:val="nil"/>
            </w:tcBorders>
            <w:shd w:val="clear" w:color="auto" w:fill="auto"/>
            <w:noWrap/>
            <w:vAlign w:val="bottom"/>
            <w:hideMark/>
          </w:tcPr>
          <w:p w14:paraId="55068E49" w14:textId="77777777" w:rsidR="00036186" w:rsidRDefault="00036186">
            <w:pPr>
              <w:jc w:val="right"/>
              <w:rPr>
                <w:color w:val="000000"/>
                <w:sz w:val="20"/>
                <w:szCs w:val="20"/>
              </w:rPr>
            </w:pPr>
            <w:r>
              <w:rPr>
                <w:color w:val="000000"/>
                <w:sz w:val="20"/>
                <w:szCs w:val="20"/>
              </w:rPr>
              <w:t>0.001</w:t>
            </w:r>
          </w:p>
        </w:tc>
      </w:tr>
      <w:tr w:rsidR="00036186" w14:paraId="6E4BD2F0" w14:textId="77777777" w:rsidTr="007C663C">
        <w:trPr>
          <w:trHeight w:val="320"/>
        </w:trPr>
        <w:tc>
          <w:tcPr>
            <w:tcW w:w="1152" w:type="dxa"/>
            <w:tcBorders>
              <w:top w:val="nil"/>
              <w:left w:val="nil"/>
              <w:bottom w:val="nil"/>
              <w:right w:val="nil"/>
            </w:tcBorders>
            <w:shd w:val="clear" w:color="auto" w:fill="auto"/>
            <w:noWrap/>
            <w:vAlign w:val="bottom"/>
            <w:hideMark/>
          </w:tcPr>
          <w:p w14:paraId="058E3CE8"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CC356A4" w14:textId="77777777" w:rsidR="00036186" w:rsidRDefault="0003618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CDF9A8F" w14:textId="77777777" w:rsidR="00036186" w:rsidRDefault="00036186">
            <w:pPr>
              <w:jc w:val="right"/>
              <w:rPr>
                <w:b/>
                <w:bCs/>
                <w:color w:val="000000"/>
                <w:sz w:val="20"/>
                <w:szCs w:val="20"/>
              </w:rPr>
            </w:pPr>
            <w:r>
              <w:rPr>
                <w:b/>
                <w:bCs/>
                <w:color w:val="000000"/>
                <w:sz w:val="20"/>
                <w:szCs w:val="20"/>
              </w:rPr>
              <w:t>-0.077</w:t>
            </w:r>
          </w:p>
        </w:tc>
        <w:tc>
          <w:tcPr>
            <w:tcW w:w="864" w:type="dxa"/>
            <w:tcBorders>
              <w:top w:val="nil"/>
              <w:left w:val="nil"/>
              <w:bottom w:val="nil"/>
              <w:right w:val="nil"/>
            </w:tcBorders>
            <w:shd w:val="clear" w:color="auto" w:fill="auto"/>
            <w:noWrap/>
            <w:vAlign w:val="bottom"/>
            <w:hideMark/>
          </w:tcPr>
          <w:p w14:paraId="193936A5" w14:textId="77777777" w:rsidR="00036186" w:rsidRDefault="00036186">
            <w:pPr>
              <w:jc w:val="right"/>
              <w:rPr>
                <w:b/>
                <w:bCs/>
                <w:color w:val="000000"/>
                <w:sz w:val="20"/>
                <w:szCs w:val="20"/>
              </w:rPr>
            </w:pPr>
            <w:r>
              <w:rPr>
                <w:b/>
                <w:bCs/>
                <w:color w:val="000000"/>
                <w:sz w:val="20"/>
                <w:szCs w:val="20"/>
              </w:rPr>
              <w:t>0.020</w:t>
            </w:r>
          </w:p>
        </w:tc>
        <w:tc>
          <w:tcPr>
            <w:tcW w:w="864" w:type="dxa"/>
            <w:tcBorders>
              <w:top w:val="nil"/>
              <w:left w:val="nil"/>
              <w:bottom w:val="nil"/>
              <w:right w:val="nil"/>
            </w:tcBorders>
            <w:shd w:val="clear" w:color="auto" w:fill="auto"/>
            <w:noWrap/>
            <w:vAlign w:val="bottom"/>
            <w:hideMark/>
          </w:tcPr>
          <w:p w14:paraId="42F2117D" w14:textId="77777777" w:rsidR="00036186" w:rsidRDefault="00036186">
            <w:pPr>
              <w:jc w:val="right"/>
              <w:rPr>
                <w:b/>
                <w:bCs/>
                <w:color w:val="000000"/>
                <w:sz w:val="20"/>
                <w:szCs w:val="20"/>
              </w:rPr>
            </w:pPr>
            <w:r>
              <w:rPr>
                <w:b/>
                <w:bCs/>
                <w:color w:val="000000"/>
                <w:sz w:val="20"/>
                <w:szCs w:val="20"/>
              </w:rPr>
              <w:t>0.006</w:t>
            </w:r>
          </w:p>
        </w:tc>
        <w:tc>
          <w:tcPr>
            <w:tcW w:w="864" w:type="dxa"/>
            <w:tcBorders>
              <w:top w:val="nil"/>
              <w:left w:val="nil"/>
              <w:bottom w:val="nil"/>
              <w:right w:val="nil"/>
            </w:tcBorders>
            <w:shd w:val="clear" w:color="auto" w:fill="auto"/>
            <w:noWrap/>
            <w:vAlign w:val="bottom"/>
            <w:hideMark/>
          </w:tcPr>
          <w:p w14:paraId="5B95AF11" w14:textId="77777777" w:rsidR="00036186" w:rsidRDefault="00036186">
            <w:pPr>
              <w:jc w:val="right"/>
              <w:rPr>
                <w:b/>
                <w:bCs/>
                <w:color w:val="000000"/>
                <w:sz w:val="20"/>
                <w:szCs w:val="20"/>
              </w:rPr>
            </w:pPr>
            <w:r>
              <w:rPr>
                <w:b/>
                <w:bCs/>
                <w:color w:val="000000"/>
                <w:sz w:val="20"/>
                <w:szCs w:val="20"/>
              </w:rPr>
              <w:t>-0.078</w:t>
            </w:r>
          </w:p>
        </w:tc>
        <w:tc>
          <w:tcPr>
            <w:tcW w:w="864" w:type="dxa"/>
            <w:tcBorders>
              <w:top w:val="nil"/>
              <w:left w:val="nil"/>
              <w:bottom w:val="nil"/>
              <w:right w:val="nil"/>
            </w:tcBorders>
            <w:shd w:val="clear" w:color="auto" w:fill="auto"/>
            <w:noWrap/>
            <w:vAlign w:val="bottom"/>
            <w:hideMark/>
          </w:tcPr>
          <w:p w14:paraId="186A0408" w14:textId="77777777" w:rsidR="00036186" w:rsidRDefault="00036186">
            <w:pPr>
              <w:jc w:val="right"/>
              <w:rPr>
                <w:b/>
                <w:bCs/>
                <w:color w:val="000000"/>
                <w:sz w:val="20"/>
                <w:szCs w:val="20"/>
              </w:rPr>
            </w:pPr>
            <w:r>
              <w:rPr>
                <w:b/>
                <w:bCs/>
                <w:color w:val="000000"/>
                <w:sz w:val="20"/>
                <w:szCs w:val="20"/>
              </w:rPr>
              <w:t>0.004</w:t>
            </w:r>
          </w:p>
        </w:tc>
        <w:tc>
          <w:tcPr>
            <w:tcW w:w="864" w:type="dxa"/>
            <w:tcBorders>
              <w:top w:val="nil"/>
              <w:left w:val="nil"/>
              <w:bottom w:val="nil"/>
              <w:right w:val="nil"/>
            </w:tcBorders>
            <w:shd w:val="clear" w:color="auto" w:fill="auto"/>
            <w:noWrap/>
            <w:vAlign w:val="bottom"/>
            <w:hideMark/>
          </w:tcPr>
          <w:p w14:paraId="36296D1D" w14:textId="77777777" w:rsidR="00036186" w:rsidRDefault="00036186">
            <w:pPr>
              <w:jc w:val="right"/>
              <w:rPr>
                <w:b/>
                <w:bCs/>
                <w:color w:val="000000"/>
                <w:sz w:val="20"/>
                <w:szCs w:val="20"/>
              </w:rPr>
            </w:pPr>
            <w:r>
              <w:rPr>
                <w:b/>
                <w:bCs/>
                <w:color w:val="000000"/>
                <w:sz w:val="20"/>
                <w:szCs w:val="20"/>
              </w:rPr>
              <w:t>0.006</w:t>
            </w:r>
          </w:p>
        </w:tc>
      </w:tr>
      <w:tr w:rsidR="00036186" w14:paraId="0DC001EE" w14:textId="77777777" w:rsidTr="007C663C">
        <w:trPr>
          <w:trHeight w:val="320"/>
        </w:trPr>
        <w:tc>
          <w:tcPr>
            <w:tcW w:w="1152" w:type="dxa"/>
            <w:tcBorders>
              <w:top w:val="nil"/>
              <w:left w:val="nil"/>
              <w:bottom w:val="nil"/>
              <w:right w:val="nil"/>
            </w:tcBorders>
            <w:shd w:val="clear" w:color="auto" w:fill="auto"/>
            <w:noWrap/>
            <w:vAlign w:val="bottom"/>
            <w:hideMark/>
          </w:tcPr>
          <w:p w14:paraId="6DE8467C" w14:textId="77777777" w:rsidR="00036186" w:rsidRDefault="0003618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02E4E249" w14:textId="77777777" w:rsidR="00036186" w:rsidRDefault="0003618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1C9B8E7" w14:textId="77777777" w:rsidR="00036186" w:rsidRDefault="00036186">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52C73A1B" w14:textId="77777777" w:rsidR="00036186" w:rsidRDefault="00036186">
            <w:pPr>
              <w:jc w:val="right"/>
              <w:rPr>
                <w:color w:val="000000"/>
                <w:sz w:val="20"/>
                <w:szCs w:val="20"/>
              </w:rPr>
            </w:pPr>
            <w:r>
              <w:rPr>
                <w:color w:val="000000"/>
                <w:sz w:val="20"/>
                <w:szCs w:val="20"/>
              </w:rPr>
              <w:t>0.838</w:t>
            </w:r>
          </w:p>
        </w:tc>
        <w:tc>
          <w:tcPr>
            <w:tcW w:w="864" w:type="dxa"/>
            <w:tcBorders>
              <w:top w:val="nil"/>
              <w:left w:val="nil"/>
              <w:bottom w:val="nil"/>
              <w:right w:val="nil"/>
            </w:tcBorders>
            <w:shd w:val="clear" w:color="auto" w:fill="auto"/>
            <w:noWrap/>
            <w:vAlign w:val="bottom"/>
            <w:hideMark/>
          </w:tcPr>
          <w:p w14:paraId="400CF387"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BE75417" w14:textId="77777777" w:rsidR="00036186" w:rsidRDefault="00036186">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0491CC3A" w14:textId="77777777" w:rsidR="00036186" w:rsidRDefault="00036186">
            <w:pPr>
              <w:jc w:val="right"/>
              <w:rPr>
                <w:color w:val="000000"/>
                <w:sz w:val="20"/>
                <w:szCs w:val="20"/>
              </w:rPr>
            </w:pPr>
            <w:r>
              <w:rPr>
                <w:color w:val="000000"/>
                <w:sz w:val="20"/>
                <w:szCs w:val="20"/>
              </w:rPr>
              <w:t>0.657</w:t>
            </w:r>
          </w:p>
        </w:tc>
        <w:tc>
          <w:tcPr>
            <w:tcW w:w="864" w:type="dxa"/>
            <w:tcBorders>
              <w:top w:val="nil"/>
              <w:left w:val="nil"/>
              <w:bottom w:val="nil"/>
              <w:right w:val="nil"/>
            </w:tcBorders>
            <w:shd w:val="clear" w:color="auto" w:fill="auto"/>
            <w:noWrap/>
            <w:vAlign w:val="bottom"/>
            <w:hideMark/>
          </w:tcPr>
          <w:p w14:paraId="685486B0" w14:textId="77777777" w:rsidR="00036186" w:rsidRDefault="00036186">
            <w:pPr>
              <w:jc w:val="right"/>
              <w:rPr>
                <w:color w:val="000000"/>
                <w:sz w:val="20"/>
                <w:szCs w:val="20"/>
              </w:rPr>
            </w:pPr>
            <w:r>
              <w:rPr>
                <w:color w:val="000000"/>
                <w:sz w:val="20"/>
                <w:szCs w:val="20"/>
              </w:rPr>
              <w:t>0.000</w:t>
            </w:r>
          </w:p>
        </w:tc>
      </w:tr>
      <w:tr w:rsidR="00036186" w14:paraId="1B49ADAC" w14:textId="77777777" w:rsidTr="007C663C">
        <w:trPr>
          <w:trHeight w:val="320"/>
        </w:trPr>
        <w:tc>
          <w:tcPr>
            <w:tcW w:w="1152" w:type="dxa"/>
            <w:tcBorders>
              <w:top w:val="nil"/>
              <w:left w:val="nil"/>
              <w:bottom w:val="nil"/>
              <w:right w:val="nil"/>
            </w:tcBorders>
            <w:shd w:val="clear" w:color="auto" w:fill="auto"/>
            <w:noWrap/>
            <w:vAlign w:val="bottom"/>
            <w:hideMark/>
          </w:tcPr>
          <w:p w14:paraId="1A16C1D5"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616CEF5" w14:textId="77777777" w:rsidR="00036186" w:rsidRDefault="0003618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40E9140" w14:textId="77777777" w:rsidR="00036186" w:rsidRDefault="00036186">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1DE73505" w14:textId="77777777" w:rsidR="00036186" w:rsidRDefault="00036186">
            <w:pPr>
              <w:jc w:val="right"/>
              <w:rPr>
                <w:color w:val="000000"/>
                <w:sz w:val="20"/>
                <w:szCs w:val="20"/>
              </w:rPr>
            </w:pPr>
            <w:r>
              <w:rPr>
                <w:color w:val="000000"/>
                <w:sz w:val="20"/>
                <w:szCs w:val="20"/>
              </w:rPr>
              <w:t>0.523</w:t>
            </w:r>
          </w:p>
        </w:tc>
        <w:tc>
          <w:tcPr>
            <w:tcW w:w="864" w:type="dxa"/>
            <w:tcBorders>
              <w:top w:val="nil"/>
              <w:left w:val="nil"/>
              <w:bottom w:val="nil"/>
              <w:right w:val="nil"/>
            </w:tcBorders>
            <w:shd w:val="clear" w:color="auto" w:fill="auto"/>
            <w:noWrap/>
            <w:vAlign w:val="bottom"/>
            <w:hideMark/>
          </w:tcPr>
          <w:p w14:paraId="49E9C274"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7D5BA7A" w14:textId="77777777" w:rsidR="00036186" w:rsidRDefault="00036186">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4D5FA818" w14:textId="77777777" w:rsidR="00036186" w:rsidRDefault="00036186">
            <w:pPr>
              <w:jc w:val="right"/>
              <w:rPr>
                <w:color w:val="000000"/>
                <w:sz w:val="20"/>
                <w:szCs w:val="20"/>
              </w:rPr>
            </w:pPr>
            <w:r>
              <w:rPr>
                <w:color w:val="000000"/>
                <w:sz w:val="20"/>
                <w:szCs w:val="20"/>
              </w:rPr>
              <w:t>0.313</w:t>
            </w:r>
          </w:p>
        </w:tc>
        <w:tc>
          <w:tcPr>
            <w:tcW w:w="864" w:type="dxa"/>
            <w:tcBorders>
              <w:top w:val="nil"/>
              <w:left w:val="nil"/>
              <w:bottom w:val="nil"/>
              <w:right w:val="nil"/>
            </w:tcBorders>
            <w:shd w:val="clear" w:color="auto" w:fill="auto"/>
            <w:noWrap/>
            <w:vAlign w:val="bottom"/>
            <w:hideMark/>
          </w:tcPr>
          <w:p w14:paraId="69C08F63" w14:textId="77777777" w:rsidR="00036186" w:rsidRDefault="00036186">
            <w:pPr>
              <w:jc w:val="right"/>
              <w:rPr>
                <w:color w:val="000000"/>
                <w:sz w:val="20"/>
                <w:szCs w:val="20"/>
              </w:rPr>
            </w:pPr>
            <w:r>
              <w:rPr>
                <w:color w:val="000000"/>
                <w:sz w:val="20"/>
                <w:szCs w:val="20"/>
              </w:rPr>
              <w:t>0.001</w:t>
            </w:r>
          </w:p>
        </w:tc>
      </w:tr>
      <w:tr w:rsidR="00036186" w14:paraId="76BF7481" w14:textId="77777777" w:rsidTr="007C663C">
        <w:trPr>
          <w:trHeight w:val="320"/>
        </w:trPr>
        <w:tc>
          <w:tcPr>
            <w:tcW w:w="1152" w:type="dxa"/>
            <w:tcBorders>
              <w:top w:val="nil"/>
              <w:left w:val="nil"/>
              <w:bottom w:val="single" w:sz="4" w:space="0" w:color="auto"/>
              <w:right w:val="nil"/>
            </w:tcBorders>
            <w:shd w:val="clear" w:color="auto" w:fill="auto"/>
            <w:noWrap/>
            <w:vAlign w:val="bottom"/>
            <w:hideMark/>
          </w:tcPr>
          <w:p w14:paraId="749857C1" w14:textId="77777777" w:rsidR="00036186" w:rsidRDefault="0003618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136B70C4" w14:textId="77777777" w:rsidR="00036186" w:rsidRDefault="0003618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1BD1C72D" w14:textId="77777777" w:rsidR="00036186" w:rsidRDefault="00036186">
            <w:pPr>
              <w:jc w:val="right"/>
              <w:rPr>
                <w:color w:val="000000"/>
                <w:sz w:val="20"/>
                <w:szCs w:val="20"/>
              </w:rPr>
            </w:pPr>
            <w:r>
              <w:rPr>
                <w:color w:val="000000"/>
                <w:sz w:val="20"/>
                <w:szCs w:val="20"/>
              </w:rPr>
              <w:t>-0.008</w:t>
            </w:r>
          </w:p>
        </w:tc>
        <w:tc>
          <w:tcPr>
            <w:tcW w:w="864" w:type="dxa"/>
            <w:tcBorders>
              <w:top w:val="nil"/>
              <w:left w:val="nil"/>
              <w:bottom w:val="single" w:sz="4" w:space="0" w:color="auto"/>
              <w:right w:val="nil"/>
            </w:tcBorders>
            <w:shd w:val="clear" w:color="auto" w:fill="auto"/>
            <w:noWrap/>
            <w:vAlign w:val="bottom"/>
            <w:hideMark/>
          </w:tcPr>
          <w:p w14:paraId="59D2D71F" w14:textId="77777777" w:rsidR="00036186" w:rsidRDefault="00036186">
            <w:pPr>
              <w:jc w:val="right"/>
              <w:rPr>
                <w:color w:val="000000"/>
                <w:sz w:val="20"/>
                <w:szCs w:val="20"/>
              </w:rPr>
            </w:pPr>
            <w:r>
              <w:rPr>
                <w:color w:val="000000"/>
                <w:sz w:val="20"/>
                <w:szCs w:val="20"/>
              </w:rPr>
              <w:t>0.838</w:t>
            </w:r>
          </w:p>
        </w:tc>
        <w:tc>
          <w:tcPr>
            <w:tcW w:w="864" w:type="dxa"/>
            <w:tcBorders>
              <w:top w:val="nil"/>
              <w:left w:val="nil"/>
              <w:bottom w:val="single" w:sz="4" w:space="0" w:color="auto"/>
              <w:right w:val="nil"/>
            </w:tcBorders>
            <w:shd w:val="clear" w:color="auto" w:fill="auto"/>
            <w:noWrap/>
            <w:vAlign w:val="bottom"/>
            <w:hideMark/>
          </w:tcPr>
          <w:p w14:paraId="0893AEEF"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24AAC52B" w14:textId="77777777" w:rsidR="00036186" w:rsidRDefault="00036186">
            <w:pPr>
              <w:jc w:val="right"/>
              <w:rPr>
                <w:color w:val="000000"/>
                <w:sz w:val="20"/>
                <w:szCs w:val="20"/>
              </w:rPr>
            </w:pPr>
            <w:r>
              <w:rPr>
                <w:color w:val="000000"/>
                <w:sz w:val="20"/>
                <w:szCs w:val="20"/>
              </w:rPr>
              <w:t>-0.032</w:t>
            </w:r>
          </w:p>
        </w:tc>
        <w:tc>
          <w:tcPr>
            <w:tcW w:w="864" w:type="dxa"/>
            <w:tcBorders>
              <w:top w:val="nil"/>
              <w:left w:val="nil"/>
              <w:bottom w:val="single" w:sz="4" w:space="0" w:color="auto"/>
              <w:right w:val="nil"/>
            </w:tcBorders>
            <w:shd w:val="clear" w:color="auto" w:fill="auto"/>
            <w:noWrap/>
            <w:vAlign w:val="bottom"/>
            <w:hideMark/>
          </w:tcPr>
          <w:p w14:paraId="465ABAE4" w14:textId="77777777" w:rsidR="00036186" w:rsidRDefault="00036186">
            <w:pPr>
              <w:jc w:val="right"/>
              <w:rPr>
                <w:color w:val="000000"/>
                <w:sz w:val="20"/>
                <w:szCs w:val="20"/>
              </w:rPr>
            </w:pPr>
            <w:r>
              <w:rPr>
                <w:color w:val="000000"/>
                <w:sz w:val="20"/>
                <w:szCs w:val="20"/>
              </w:rPr>
              <w:t>0.313</w:t>
            </w:r>
          </w:p>
        </w:tc>
        <w:tc>
          <w:tcPr>
            <w:tcW w:w="864" w:type="dxa"/>
            <w:tcBorders>
              <w:top w:val="nil"/>
              <w:left w:val="nil"/>
              <w:bottom w:val="single" w:sz="4" w:space="0" w:color="auto"/>
              <w:right w:val="nil"/>
            </w:tcBorders>
            <w:shd w:val="clear" w:color="auto" w:fill="auto"/>
            <w:noWrap/>
            <w:vAlign w:val="bottom"/>
            <w:hideMark/>
          </w:tcPr>
          <w:p w14:paraId="21C0A67B" w14:textId="77777777" w:rsidR="00036186" w:rsidRDefault="00036186">
            <w:pPr>
              <w:jc w:val="right"/>
              <w:rPr>
                <w:color w:val="000000"/>
                <w:sz w:val="20"/>
                <w:szCs w:val="20"/>
              </w:rPr>
            </w:pPr>
            <w:r>
              <w:rPr>
                <w:color w:val="000000"/>
                <w:sz w:val="20"/>
                <w:szCs w:val="20"/>
              </w:rPr>
              <w:t>0.001</w:t>
            </w:r>
          </w:p>
        </w:tc>
      </w:tr>
      <w:tr w:rsidR="00036186" w14:paraId="73C62E28" w14:textId="77777777" w:rsidTr="007C663C">
        <w:trPr>
          <w:trHeight w:val="320"/>
        </w:trPr>
        <w:tc>
          <w:tcPr>
            <w:tcW w:w="1152" w:type="dxa"/>
            <w:tcBorders>
              <w:top w:val="nil"/>
              <w:left w:val="nil"/>
              <w:bottom w:val="nil"/>
              <w:right w:val="nil"/>
            </w:tcBorders>
            <w:shd w:val="clear" w:color="auto" w:fill="auto"/>
            <w:noWrap/>
            <w:vAlign w:val="bottom"/>
            <w:hideMark/>
          </w:tcPr>
          <w:p w14:paraId="29E55F11" w14:textId="77777777" w:rsidR="00036186" w:rsidRDefault="00036186">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5F7CDFB9" w14:textId="77777777" w:rsidR="00036186" w:rsidRDefault="0003618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549FA029" w14:textId="77777777" w:rsidR="00036186" w:rsidRDefault="00036186">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0AD02A93" w14:textId="77777777" w:rsidR="00036186" w:rsidRDefault="00036186">
            <w:pPr>
              <w:jc w:val="right"/>
              <w:rPr>
                <w:color w:val="000000"/>
                <w:sz w:val="20"/>
                <w:szCs w:val="20"/>
              </w:rPr>
            </w:pPr>
            <w:r>
              <w:rPr>
                <w:color w:val="000000"/>
                <w:sz w:val="20"/>
                <w:szCs w:val="20"/>
              </w:rPr>
              <w:t>0.600</w:t>
            </w:r>
          </w:p>
        </w:tc>
        <w:tc>
          <w:tcPr>
            <w:tcW w:w="864" w:type="dxa"/>
            <w:tcBorders>
              <w:top w:val="nil"/>
              <w:left w:val="nil"/>
              <w:bottom w:val="nil"/>
              <w:right w:val="nil"/>
            </w:tcBorders>
            <w:shd w:val="clear" w:color="auto" w:fill="auto"/>
            <w:noWrap/>
            <w:vAlign w:val="bottom"/>
            <w:hideMark/>
          </w:tcPr>
          <w:p w14:paraId="6EFE0F88"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3A6D536" w14:textId="77777777" w:rsidR="00036186" w:rsidRDefault="00036186">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524E3562" w14:textId="77777777" w:rsidR="00036186" w:rsidRDefault="00036186">
            <w:pPr>
              <w:jc w:val="right"/>
              <w:rPr>
                <w:color w:val="000000"/>
                <w:sz w:val="20"/>
                <w:szCs w:val="20"/>
              </w:rPr>
            </w:pPr>
            <w:r>
              <w:rPr>
                <w:color w:val="000000"/>
                <w:sz w:val="20"/>
                <w:szCs w:val="20"/>
              </w:rPr>
              <w:t>0.154</w:t>
            </w:r>
          </w:p>
        </w:tc>
        <w:tc>
          <w:tcPr>
            <w:tcW w:w="864" w:type="dxa"/>
            <w:tcBorders>
              <w:top w:val="nil"/>
              <w:left w:val="nil"/>
              <w:bottom w:val="nil"/>
              <w:right w:val="nil"/>
            </w:tcBorders>
            <w:shd w:val="clear" w:color="auto" w:fill="auto"/>
            <w:noWrap/>
            <w:vAlign w:val="bottom"/>
            <w:hideMark/>
          </w:tcPr>
          <w:p w14:paraId="1D62D65B" w14:textId="77777777" w:rsidR="00036186" w:rsidRDefault="00036186">
            <w:pPr>
              <w:jc w:val="right"/>
              <w:rPr>
                <w:color w:val="000000"/>
                <w:sz w:val="20"/>
                <w:szCs w:val="20"/>
              </w:rPr>
            </w:pPr>
            <w:r>
              <w:rPr>
                <w:color w:val="000000"/>
                <w:sz w:val="20"/>
                <w:szCs w:val="20"/>
              </w:rPr>
              <w:t>0.001</w:t>
            </w:r>
          </w:p>
        </w:tc>
      </w:tr>
      <w:tr w:rsidR="00036186" w14:paraId="71944833" w14:textId="77777777" w:rsidTr="007C663C">
        <w:trPr>
          <w:trHeight w:val="320"/>
        </w:trPr>
        <w:tc>
          <w:tcPr>
            <w:tcW w:w="1152" w:type="dxa"/>
            <w:tcBorders>
              <w:top w:val="nil"/>
              <w:left w:val="nil"/>
              <w:bottom w:val="nil"/>
              <w:right w:val="nil"/>
            </w:tcBorders>
            <w:shd w:val="clear" w:color="auto" w:fill="auto"/>
            <w:noWrap/>
            <w:vAlign w:val="bottom"/>
            <w:hideMark/>
          </w:tcPr>
          <w:p w14:paraId="14E5B137"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ACC480C" w14:textId="77777777" w:rsidR="00036186" w:rsidRDefault="0003618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9F4CFA0" w14:textId="77777777" w:rsidR="00036186" w:rsidRDefault="00036186">
            <w:pPr>
              <w:jc w:val="right"/>
              <w:rPr>
                <w:b/>
                <w:bCs/>
                <w:color w:val="000000"/>
                <w:sz w:val="20"/>
                <w:szCs w:val="20"/>
              </w:rPr>
            </w:pPr>
            <w:r>
              <w:rPr>
                <w:b/>
                <w:bCs/>
                <w:color w:val="000000"/>
                <w:sz w:val="20"/>
                <w:szCs w:val="20"/>
              </w:rPr>
              <w:t>-0.118</w:t>
            </w:r>
          </w:p>
        </w:tc>
        <w:tc>
          <w:tcPr>
            <w:tcW w:w="864" w:type="dxa"/>
            <w:tcBorders>
              <w:top w:val="nil"/>
              <w:left w:val="nil"/>
              <w:bottom w:val="nil"/>
              <w:right w:val="nil"/>
            </w:tcBorders>
            <w:shd w:val="clear" w:color="auto" w:fill="auto"/>
            <w:noWrap/>
            <w:vAlign w:val="bottom"/>
            <w:hideMark/>
          </w:tcPr>
          <w:p w14:paraId="5FCDE9BE" w14:textId="77777777" w:rsidR="00036186" w:rsidRDefault="00036186">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798CF5D6" w14:textId="77777777" w:rsidR="00036186" w:rsidRDefault="00036186">
            <w:pPr>
              <w:jc w:val="right"/>
              <w:rPr>
                <w:b/>
                <w:bCs/>
                <w:color w:val="000000"/>
                <w:sz w:val="20"/>
                <w:szCs w:val="20"/>
              </w:rPr>
            </w:pPr>
            <w:r>
              <w:rPr>
                <w:b/>
                <w:bCs/>
                <w:color w:val="000000"/>
                <w:sz w:val="20"/>
                <w:szCs w:val="20"/>
              </w:rPr>
              <w:t>0.014</w:t>
            </w:r>
          </w:p>
        </w:tc>
        <w:tc>
          <w:tcPr>
            <w:tcW w:w="864" w:type="dxa"/>
            <w:tcBorders>
              <w:top w:val="nil"/>
              <w:left w:val="nil"/>
              <w:bottom w:val="nil"/>
              <w:right w:val="nil"/>
            </w:tcBorders>
            <w:shd w:val="clear" w:color="auto" w:fill="auto"/>
            <w:noWrap/>
            <w:vAlign w:val="bottom"/>
            <w:hideMark/>
          </w:tcPr>
          <w:p w14:paraId="2FC00E73" w14:textId="77777777" w:rsidR="00036186" w:rsidRDefault="00036186">
            <w:pPr>
              <w:jc w:val="right"/>
              <w:rPr>
                <w:b/>
                <w:bCs/>
                <w:color w:val="000000"/>
                <w:sz w:val="20"/>
                <w:szCs w:val="20"/>
              </w:rPr>
            </w:pPr>
            <w:r>
              <w:rPr>
                <w:b/>
                <w:bCs/>
                <w:color w:val="000000"/>
                <w:sz w:val="20"/>
                <w:szCs w:val="20"/>
              </w:rPr>
              <w:t>-0.118</w:t>
            </w:r>
          </w:p>
        </w:tc>
        <w:tc>
          <w:tcPr>
            <w:tcW w:w="864" w:type="dxa"/>
            <w:tcBorders>
              <w:top w:val="nil"/>
              <w:left w:val="nil"/>
              <w:bottom w:val="nil"/>
              <w:right w:val="nil"/>
            </w:tcBorders>
            <w:shd w:val="clear" w:color="auto" w:fill="auto"/>
            <w:noWrap/>
            <w:vAlign w:val="bottom"/>
            <w:hideMark/>
          </w:tcPr>
          <w:p w14:paraId="75F7276B" w14:textId="77777777" w:rsidR="00036186" w:rsidRDefault="00036186">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25B02551" w14:textId="77777777" w:rsidR="00036186" w:rsidRDefault="00036186">
            <w:pPr>
              <w:jc w:val="right"/>
              <w:rPr>
                <w:b/>
                <w:bCs/>
                <w:color w:val="000000"/>
                <w:sz w:val="20"/>
                <w:szCs w:val="20"/>
              </w:rPr>
            </w:pPr>
            <w:r>
              <w:rPr>
                <w:b/>
                <w:bCs/>
                <w:color w:val="000000"/>
                <w:sz w:val="20"/>
                <w:szCs w:val="20"/>
              </w:rPr>
              <w:t>0.014</w:t>
            </w:r>
          </w:p>
        </w:tc>
      </w:tr>
      <w:tr w:rsidR="00036186" w14:paraId="46F22437" w14:textId="77777777" w:rsidTr="007C663C">
        <w:trPr>
          <w:trHeight w:val="320"/>
        </w:trPr>
        <w:tc>
          <w:tcPr>
            <w:tcW w:w="1152" w:type="dxa"/>
            <w:tcBorders>
              <w:top w:val="nil"/>
              <w:left w:val="nil"/>
              <w:bottom w:val="nil"/>
              <w:right w:val="nil"/>
            </w:tcBorders>
            <w:shd w:val="clear" w:color="auto" w:fill="auto"/>
            <w:noWrap/>
            <w:vAlign w:val="bottom"/>
            <w:hideMark/>
          </w:tcPr>
          <w:p w14:paraId="60A2BA12" w14:textId="77777777" w:rsidR="00036186" w:rsidRDefault="0003618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5DC933F5" w14:textId="77777777" w:rsidR="00036186" w:rsidRDefault="0003618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ADB1BAB" w14:textId="77777777" w:rsidR="00036186" w:rsidRDefault="00036186">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12C1248C" w14:textId="77777777" w:rsidR="00036186" w:rsidRDefault="00036186">
            <w:pPr>
              <w:jc w:val="right"/>
              <w:rPr>
                <w:color w:val="000000"/>
                <w:sz w:val="20"/>
                <w:szCs w:val="20"/>
              </w:rPr>
            </w:pPr>
            <w:r>
              <w:rPr>
                <w:color w:val="000000"/>
                <w:sz w:val="20"/>
                <w:szCs w:val="20"/>
              </w:rPr>
              <w:t>0.818</w:t>
            </w:r>
          </w:p>
        </w:tc>
        <w:tc>
          <w:tcPr>
            <w:tcW w:w="864" w:type="dxa"/>
            <w:tcBorders>
              <w:top w:val="nil"/>
              <w:left w:val="nil"/>
              <w:bottom w:val="nil"/>
              <w:right w:val="nil"/>
            </w:tcBorders>
            <w:shd w:val="clear" w:color="auto" w:fill="auto"/>
            <w:noWrap/>
            <w:vAlign w:val="bottom"/>
            <w:hideMark/>
          </w:tcPr>
          <w:p w14:paraId="16A3D5E5"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6516D29" w14:textId="77777777" w:rsidR="00036186" w:rsidRDefault="00036186">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1CD595DD" w14:textId="77777777" w:rsidR="00036186" w:rsidRDefault="00036186">
            <w:pPr>
              <w:jc w:val="right"/>
              <w:rPr>
                <w:color w:val="000000"/>
                <w:sz w:val="20"/>
                <w:szCs w:val="20"/>
              </w:rPr>
            </w:pPr>
            <w:r>
              <w:rPr>
                <w:color w:val="000000"/>
                <w:sz w:val="20"/>
                <w:szCs w:val="20"/>
              </w:rPr>
              <w:t>0.245</w:t>
            </w:r>
          </w:p>
        </w:tc>
        <w:tc>
          <w:tcPr>
            <w:tcW w:w="864" w:type="dxa"/>
            <w:tcBorders>
              <w:top w:val="nil"/>
              <w:left w:val="nil"/>
              <w:bottom w:val="nil"/>
              <w:right w:val="nil"/>
            </w:tcBorders>
            <w:shd w:val="clear" w:color="auto" w:fill="auto"/>
            <w:noWrap/>
            <w:vAlign w:val="bottom"/>
            <w:hideMark/>
          </w:tcPr>
          <w:p w14:paraId="48E2FC34" w14:textId="77777777" w:rsidR="00036186" w:rsidRDefault="00036186">
            <w:pPr>
              <w:jc w:val="right"/>
              <w:rPr>
                <w:color w:val="000000"/>
                <w:sz w:val="20"/>
                <w:szCs w:val="20"/>
              </w:rPr>
            </w:pPr>
            <w:r>
              <w:rPr>
                <w:color w:val="000000"/>
                <w:sz w:val="20"/>
                <w:szCs w:val="20"/>
              </w:rPr>
              <w:t>0.001</w:t>
            </w:r>
          </w:p>
        </w:tc>
      </w:tr>
      <w:tr w:rsidR="00036186" w14:paraId="0238A477" w14:textId="77777777" w:rsidTr="007C663C">
        <w:trPr>
          <w:trHeight w:val="320"/>
        </w:trPr>
        <w:tc>
          <w:tcPr>
            <w:tcW w:w="1152" w:type="dxa"/>
            <w:tcBorders>
              <w:top w:val="nil"/>
              <w:left w:val="nil"/>
              <w:bottom w:val="nil"/>
              <w:right w:val="nil"/>
            </w:tcBorders>
            <w:shd w:val="clear" w:color="auto" w:fill="auto"/>
            <w:noWrap/>
            <w:vAlign w:val="bottom"/>
            <w:hideMark/>
          </w:tcPr>
          <w:p w14:paraId="52643D34"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A8CCAF4" w14:textId="77777777" w:rsidR="00036186" w:rsidRDefault="0003618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652F564" w14:textId="77777777" w:rsidR="00036186" w:rsidRDefault="00036186">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279CD5BF" w14:textId="77777777" w:rsidR="00036186" w:rsidRDefault="00036186">
            <w:pPr>
              <w:jc w:val="right"/>
              <w:rPr>
                <w:color w:val="000000"/>
                <w:sz w:val="20"/>
                <w:szCs w:val="20"/>
              </w:rPr>
            </w:pPr>
            <w:r>
              <w:rPr>
                <w:color w:val="000000"/>
                <w:sz w:val="20"/>
                <w:szCs w:val="20"/>
              </w:rPr>
              <w:t>0.818</w:t>
            </w:r>
          </w:p>
        </w:tc>
        <w:tc>
          <w:tcPr>
            <w:tcW w:w="864" w:type="dxa"/>
            <w:tcBorders>
              <w:top w:val="nil"/>
              <w:left w:val="nil"/>
              <w:bottom w:val="nil"/>
              <w:right w:val="nil"/>
            </w:tcBorders>
            <w:shd w:val="clear" w:color="auto" w:fill="auto"/>
            <w:noWrap/>
            <w:vAlign w:val="bottom"/>
            <w:hideMark/>
          </w:tcPr>
          <w:p w14:paraId="46C0C0C0"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BAF60B6" w14:textId="77777777" w:rsidR="00036186" w:rsidRDefault="00036186">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421E1396" w14:textId="77777777" w:rsidR="00036186" w:rsidRDefault="00036186">
            <w:pPr>
              <w:jc w:val="right"/>
              <w:rPr>
                <w:color w:val="000000"/>
                <w:sz w:val="20"/>
                <w:szCs w:val="20"/>
              </w:rPr>
            </w:pPr>
            <w:r>
              <w:rPr>
                <w:color w:val="000000"/>
                <w:sz w:val="20"/>
                <w:szCs w:val="20"/>
              </w:rPr>
              <w:t>0.827</w:t>
            </w:r>
          </w:p>
        </w:tc>
        <w:tc>
          <w:tcPr>
            <w:tcW w:w="864" w:type="dxa"/>
            <w:tcBorders>
              <w:top w:val="nil"/>
              <w:left w:val="nil"/>
              <w:bottom w:val="nil"/>
              <w:right w:val="nil"/>
            </w:tcBorders>
            <w:shd w:val="clear" w:color="auto" w:fill="auto"/>
            <w:noWrap/>
            <w:vAlign w:val="bottom"/>
            <w:hideMark/>
          </w:tcPr>
          <w:p w14:paraId="16E249DF" w14:textId="77777777" w:rsidR="00036186" w:rsidRDefault="00036186">
            <w:pPr>
              <w:jc w:val="right"/>
              <w:rPr>
                <w:color w:val="000000"/>
                <w:sz w:val="20"/>
                <w:szCs w:val="20"/>
              </w:rPr>
            </w:pPr>
            <w:r>
              <w:rPr>
                <w:color w:val="000000"/>
                <w:sz w:val="20"/>
                <w:szCs w:val="20"/>
              </w:rPr>
              <w:t>0.000</w:t>
            </w:r>
          </w:p>
        </w:tc>
      </w:tr>
      <w:tr w:rsidR="00036186" w14:paraId="509BD2B7" w14:textId="77777777" w:rsidTr="007C663C">
        <w:trPr>
          <w:trHeight w:val="320"/>
        </w:trPr>
        <w:tc>
          <w:tcPr>
            <w:tcW w:w="1152" w:type="dxa"/>
            <w:tcBorders>
              <w:top w:val="nil"/>
              <w:left w:val="nil"/>
              <w:bottom w:val="nil"/>
              <w:right w:val="nil"/>
            </w:tcBorders>
            <w:shd w:val="clear" w:color="auto" w:fill="auto"/>
            <w:noWrap/>
            <w:vAlign w:val="bottom"/>
            <w:hideMark/>
          </w:tcPr>
          <w:p w14:paraId="520A2266"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9D69399" w14:textId="77777777" w:rsidR="00036186" w:rsidRDefault="0003618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7E93EAE" w14:textId="77777777" w:rsidR="00036186" w:rsidRDefault="00036186">
            <w:pPr>
              <w:jc w:val="right"/>
              <w:rPr>
                <w:b/>
                <w:bCs/>
                <w:color w:val="000000"/>
                <w:sz w:val="20"/>
                <w:szCs w:val="20"/>
              </w:rPr>
            </w:pPr>
            <w:r>
              <w:rPr>
                <w:b/>
                <w:bCs/>
                <w:color w:val="000000"/>
                <w:sz w:val="20"/>
                <w:szCs w:val="20"/>
              </w:rPr>
              <w:t>-0.066</w:t>
            </w:r>
          </w:p>
        </w:tc>
        <w:tc>
          <w:tcPr>
            <w:tcW w:w="864" w:type="dxa"/>
            <w:tcBorders>
              <w:top w:val="nil"/>
              <w:left w:val="nil"/>
              <w:bottom w:val="nil"/>
              <w:right w:val="nil"/>
            </w:tcBorders>
            <w:shd w:val="clear" w:color="auto" w:fill="auto"/>
            <w:noWrap/>
            <w:vAlign w:val="bottom"/>
            <w:hideMark/>
          </w:tcPr>
          <w:p w14:paraId="7A167AD7" w14:textId="77777777" w:rsidR="00036186" w:rsidRDefault="00036186">
            <w:pPr>
              <w:jc w:val="right"/>
              <w:rPr>
                <w:b/>
                <w:bCs/>
                <w:color w:val="000000"/>
                <w:sz w:val="20"/>
                <w:szCs w:val="20"/>
              </w:rPr>
            </w:pPr>
            <w:r>
              <w:rPr>
                <w:b/>
                <w:bCs/>
                <w:color w:val="000000"/>
                <w:sz w:val="20"/>
                <w:szCs w:val="20"/>
              </w:rPr>
              <w:t>0.020</w:t>
            </w:r>
          </w:p>
        </w:tc>
        <w:tc>
          <w:tcPr>
            <w:tcW w:w="864" w:type="dxa"/>
            <w:tcBorders>
              <w:top w:val="nil"/>
              <w:left w:val="nil"/>
              <w:bottom w:val="nil"/>
              <w:right w:val="nil"/>
            </w:tcBorders>
            <w:shd w:val="clear" w:color="auto" w:fill="auto"/>
            <w:noWrap/>
            <w:vAlign w:val="bottom"/>
            <w:hideMark/>
          </w:tcPr>
          <w:p w14:paraId="4B737DF2" w14:textId="77777777" w:rsidR="00036186" w:rsidRDefault="00036186">
            <w:pPr>
              <w:jc w:val="right"/>
              <w:rPr>
                <w:b/>
                <w:bCs/>
                <w:color w:val="000000"/>
                <w:sz w:val="20"/>
                <w:szCs w:val="20"/>
              </w:rPr>
            </w:pPr>
            <w:r>
              <w:rPr>
                <w:b/>
                <w:bCs/>
                <w:color w:val="000000"/>
                <w:sz w:val="20"/>
                <w:szCs w:val="20"/>
              </w:rPr>
              <w:t>0.004</w:t>
            </w:r>
          </w:p>
        </w:tc>
        <w:tc>
          <w:tcPr>
            <w:tcW w:w="864" w:type="dxa"/>
            <w:tcBorders>
              <w:top w:val="nil"/>
              <w:left w:val="nil"/>
              <w:bottom w:val="nil"/>
              <w:right w:val="nil"/>
            </w:tcBorders>
            <w:shd w:val="clear" w:color="auto" w:fill="auto"/>
            <w:noWrap/>
            <w:vAlign w:val="bottom"/>
            <w:hideMark/>
          </w:tcPr>
          <w:p w14:paraId="28B37FDD" w14:textId="77777777" w:rsidR="00036186" w:rsidRDefault="00036186">
            <w:pPr>
              <w:jc w:val="right"/>
              <w:rPr>
                <w:b/>
                <w:bCs/>
                <w:color w:val="000000"/>
                <w:sz w:val="20"/>
                <w:szCs w:val="20"/>
              </w:rPr>
            </w:pPr>
            <w:r>
              <w:rPr>
                <w:b/>
                <w:bCs/>
                <w:color w:val="000000"/>
                <w:sz w:val="20"/>
                <w:szCs w:val="20"/>
              </w:rPr>
              <w:t>-0.057</w:t>
            </w:r>
          </w:p>
        </w:tc>
        <w:tc>
          <w:tcPr>
            <w:tcW w:w="864" w:type="dxa"/>
            <w:tcBorders>
              <w:top w:val="nil"/>
              <w:left w:val="nil"/>
              <w:bottom w:val="nil"/>
              <w:right w:val="nil"/>
            </w:tcBorders>
            <w:shd w:val="clear" w:color="auto" w:fill="auto"/>
            <w:noWrap/>
            <w:vAlign w:val="bottom"/>
            <w:hideMark/>
          </w:tcPr>
          <w:p w14:paraId="093CF7B0" w14:textId="77777777" w:rsidR="00036186" w:rsidRDefault="00036186">
            <w:pPr>
              <w:jc w:val="right"/>
              <w:rPr>
                <w:b/>
                <w:bCs/>
                <w:color w:val="000000"/>
                <w:sz w:val="20"/>
                <w:szCs w:val="20"/>
              </w:rPr>
            </w:pPr>
            <w:r>
              <w:rPr>
                <w:b/>
                <w:bCs/>
                <w:color w:val="000000"/>
                <w:sz w:val="20"/>
                <w:szCs w:val="20"/>
              </w:rPr>
              <w:t>0.028</w:t>
            </w:r>
          </w:p>
        </w:tc>
        <w:tc>
          <w:tcPr>
            <w:tcW w:w="864" w:type="dxa"/>
            <w:tcBorders>
              <w:top w:val="nil"/>
              <w:left w:val="nil"/>
              <w:bottom w:val="nil"/>
              <w:right w:val="nil"/>
            </w:tcBorders>
            <w:shd w:val="clear" w:color="auto" w:fill="auto"/>
            <w:noWrap/>
            <w:vAlign w:val="bottom"/>
            <w:hideMark/>
          </w:tcPr>
          <w:p w14:paraId="02F6C979" w14:textId="77777777" w:rsidR="00036186" w:rsidRDefault="00036186">
            <w:pPr>
              <w:jc w:val="right"/>
              <w:rPr>
                <w:b/>
                <w:bCs/>
                <w:color w:val="000000"/>
                <w:sz w:val="20"/>
                <w:szCs w:val="20"/>
              </w:rPr>
            </w:pPr>
            <w:r>
              <w:rPr>
                <w:b/>
                <w:bCs/>
                <w:color w:val="000000"/>
                <w:sz w:val="20"/>
                <w:szCs w:val="20"/>
              </w:rPr>
              <w:t>0.003</w:t>
            </w:r>
          </w:p>
        </w:tc>
      </w:tr>
      <w:tr w:rsidR="00036186" w14:paraId="05926932" w14:textId="77777777" w:rsidTr="007C663C">
        <w:trPr>
          <w:trHeight w:val="320"/>
        </w:trPr>
        <w:tc>
          <w:tcPr>
            <w:tcW w:w="1152" w:type="dxa"/>
            <w:tcBorders>
              <w:top w:val="nil"/>
              <w:left w:val="nil"/>
              <w:bottom w:val="nil"/>
              <w:right w:val="nil"/>
            </w:tcBorders>
            <w:shd w:val="clear" w:color="auto" w:fill="auto"/>
            <w:noWrap/>
            <w:vAlign w:val="bottom"/>
            <w:hideMark/>
          </w:tcPr>
          <w:p w14:paraId="04EF9353" w14:textId="77777777" w:rsidR="00036186" w:rsidRDefault="0003618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75F37D4A" w14:textId="77777777" w:rsidR="00036186" w:rsidRDefault="0003618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91A6B2F" w14:textId="77777777" w:rsidR="00036186" w:rsidRDefault="00036186">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258EA1BF" w14:textId="77777777" w:rsidR="00036186" w:rsidRDefault="00036186">
            <w:pPr>
              <w:jc w:val="right"/>
              <w:rPr>
                <w:color w:val="000000"/>
                <w:sz w:val="20"/>
                <w:szCs w:val="20"/>
              </w:rPr>
            </w:pPr>
            <w:r>
              <w:rPr>
                <w:color w:val="000000"/>
                <w:sz w:val="20"/>
                <w:szCs w:val="20"/>
              </w:rPr>
              <w:t>0.818</w:t>
            </w:r>
          </w:p>
        </w:tc>
        <w:tc>
          <w:tcPr>
            <w:tcW w:w="864" w:type="dxa"/>
            <w:tcBorders>
              <w:top w:val="nil"/>
              <w:left w:val="nil"/>
              <w:bottom w:val="nil"/>
              <w:right w:val="nil"/>
            </w:tcBorders>
            <w:shd w:val="clear" w:color="auto" w:fill="auto"/>
            <w:noWrap/>
            <w:vAlign w:val="bottom"/>
            <w:hideMark/>
          </w:tcPr>
          <w:p w14:paraId="6BDFF4A6"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9B98376" w14:textId="77777777" w:rsidR="00036186" w:rsidRDefault="00036186">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2CF502C9" w14:textId="77777777" w:rsidR="00036186" w:rsidRDefault="00036186">
            <w:pPr>
              <w:jc w:val="right"/>
              <w:rPr>
                <w:color w:val="000000"/>
                <w:sz w:val="20"/>
                <w:szCs w:val="20"/>
              </w:rPr>
            </w:pPr>
            <w:r>
              <w:rPr>
                <w:color w:val="000000"/>
                <w:sz w:val="20"/>
                <w:szCs w:val="20"/>
              </w:rPr>
              <w:t>0.827</w:t>
            </w:r>
          </w:p>
        </w:tc>
        <w:tc>
          <w:tcPr>
            <w:tcW w:w="864" w:type="dxa"/>
            <w:tcBorders>
              <w:top w:val="nil"/>
              <w:left w:val="nil"/>
              <w:bottom w:val="nil"/>
              <w:right w:val="nil"/>
            </w:tcBorders>
            <w:shd w:val="clear" w:color="auto" w:fill="auto"/>
            <w:noWrap/>
            <w:vAlign w:val="bottom"/>
            <w:hideMark/>
          </w:tcPr>
          <w:p w14:paraId="4E78A658" w14:textId="77777777" w:rsidR="00036186" w:rsidRDefault="00036186">
            <w:pPr>
              <w:jc w:val="right"/>
              <w:rPr>
                <w:color w:val="000000"/>
                <w:sz w:val="20"/>
                <w:szCs w:val="20"/>
              </w:rPr>
            </w:pPr>
            <w:r>
              <w:rPr>
                <w:color w:val="000000"/>
                <w:sz w:val="20"/>
                <w:szCs w:val="20"/>
              </w:rPr>
              <w:t>0.000</w:t>
            </w:r>
          </w:p>
        </w:tc>
      </w:tr>
      <w:tr w:rsidR="00036186" w14:paraId="020C6B0D" w14:textId="77777777" w:rsidTr="007C663C">
        <w:trPr>
          <w:trHeight w:val="320"/>
        </w:trPr>
        <w:tc>
          <w:tcPr>
            <w:tcW w:w="1152" w:type="dxa"/>
            <w:tcBorders>
              <w:top w:val="nil"/>
              <w:left w:val="nil"/>
              <w:bottom w:val="nil"/>
              <w:right w:val="nil"/>
            </w:tcBorders>
            <w:shd w:val="clear" w:color="auto" w:fill="auto"/>
            <w:noWrap/>
            <w:vAlign w:val="bottom"/>
            <w:hideMark/>
          </w:tcPr>
          <w:p w14:paraId="5CDA53DE"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ED04809" w14:textId="77777777" w:rsidR="00036186" w:rsidRDefault="0003618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76859AF" w14:textId="77777777" w:rsidR="00036186" w:rsidRDefault="00036186">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5945754D" w14:textId="77777777" w:rsidR="00036186" w:rsidRDefault="00036186">
            <w:pPr>
              <w:jc w:val="right"/>
              <w:rPr>
                <w:color w:val="000000"/>
                <w:sz w:val="20"/>
                <w:szCs w:val="20"/>
              </w:rPr>
            </w:pPr>
            <w:r>
              <w:rPr>
                <w:color w:val="000000"/>
                <w:sz w:val="20"/>
                <w:szCs w:val="20"/>
              </w:rPr>
              <w:t>0.600</w:t>
            </w:r>
          </w:p>
        </w:tc>
        <w:tc>
          <w:tcPr>
            <w:tcW w:w="864" w:type="dxa"/>
            <w:tcBorders>
              <w:top w:val="nil"/>
              <w:left w:val="nil"/>
              <w:bottom w:val="nil"/>
              <w:right w:val="nil"/>
            </w:tcBorders>
            <w:shd w:val="clear" w:color="auto" w:fill="auto"/>
            <w:noWrap/>
            <w:vAlign w:val="bottom"/>
            <w:hideMark/>
          </w:tcPr>
          <w:p w14:paraId="58B1E5EF"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BCEEF4C"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CBEF88D" w14:textId="77777777" w:rsidR="00036186" w:rsidRDefault="00036186">
            <w:pPr>
              <w:jc w:val="right"/>
              <w:rPr>
                <w:color w:val="000000"/>
                <w:sz w:val="20"/>
                <w:szCs w:val="20"/>
              </w:rPr>
            </w:pPr>
            <w:r>
              <w:rPr>
                <w:color w:val="000000"/>
                <w:sz w:val="20"/>
                <w:szCs w:val="20"/>
              </w:rPr>
              <w:t>0.983</w:t>
            </w:r>
          </w:p>
        </w:tc>
        <w:tc>
          <w:tcPr>
            <w:tcW w:w="864" w:type="dxa"/>
            <w:tcBorders>
              <w:top w:val="nil"/>
              <w:left w:val="nil"/>
              <w:bottom w:val="nil"/>
              <w:right w:val="nil"/>
            </w:tcBorders>
            <w:shd w:val="clear" w:color="auto" w:fill="auto"/>
            <w:noWrap/>
            <w:vAlign w:val="bottom"/>
            <w:hideMark/>
          </w:tcPr>
          <w:p w14:paraId="1551E6B5" w14:textId="77777777" w:rsidR="00036186" w:rsidRDefault="00036186">
            <w:pPr>
              <w:jc w:val="right"/>
              <w:rPr>
                <w:color w:val="000000"/>
                <w:sz w:val="20"/>
                <w:szCs w:val="20"/>
              </w:rPr>
            </w:pPr>
            <w:r>
              <w:rPr>
                <w:color w:val="000000"/>
                <w:sz w:val="20"/>
                <w:szCs w:val="20"/>
              </w:rPr>
              <w:t>0.000</w:t>
            </w:r>
          </w:p>
        </w:tc>
      </w:tr>
      <w:tr w:rsidR="00036186" w14:paraId="3809E82F" w14:textId="77777777" w:rsidTr="007C663C">
        <w:trPr>
          <w:trHeight w:val="320"/>
        </w:trPr>
        <w:tc>
          <w:tcPr>
            <w:tcW w:w="1152" w:type="dxa"/>
            <w:tcBorders>
              <w:top w:val="nil"/>
              <w:left w:val="nil"/>
              <w:bottom w:val="single" w:sz="4" w:space="0" w:color="auto"/>
              <w:right w:val="nil"/>
            </w:tcBorders>
            <w:shd w:val="clear" w:color="auto" w:fill="auto"/>
            <w:noWrap/>
            <w:vAlign w:val="bottom"/>
            <w:hideMark/>
          </w:tcPr>
          <w:p w14:paraId="3173752A" w14:textId="77777777" w:rsidR="00036186" w:rsidRDefault="0003618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562A2E1" w14:textId="77777777" w:rsidR="00036186" w:rsidRDefault="0003618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240F5B52" w14:textId="77777777" w:rsidR="00036186" w:rsidRDefault="00036186">
            <w:pPr>
              <w:jc w:val="right"/>
              <w:rPr>
                <w:color w:val="000000"/>
                <w:sz w:val="20"/>
                <w:szCs w:val="20"/>
              </w:rPr>
            </w:pPr>
            <w:r>
              <w:rPr>
                <w:color w:val="000000"/>
                <w:sz w:val="20"/>
                <w:szCs w:val="20"/>
              </w:rPr>
              <w:t>-0.026</w:t>
            </w:r>
          </w:p>
        </w:tc>
        <w:tc>
          <w:tcPr>
            <w:tcW w:w="864" w:type="dxa"/>
            <w:tcBorders>
              <w:top w:val="nil"/>
              <w:left w:val="nil"/>
              <w:bottom w:val="single" w:sz="4" w:space="0" w:color="auto"/>
              <w:right w:val="nil"/>
            </w:tcBorders>
            <w:shd w:val="clear" w:color="auto" w:fill="auto"/>
            <w:noWrap/>
            <w:vAlign w:val="bottom"/>
            <w:hideMark/>
          </w:tcPr>
          <w:p w14:paraId="7C2F1A7F" w14:textId="77777777" w:rsidR="00036186" w:rsidRDefault="00036186">
            <w:pPr>
              <w:jc w:val="right"/>
              <w:rPr>
                <w:color w:val="000000"/>
                <w:sz w:val="20"/>
                <w:szCs w:val="20"/>
              </w:rPr>
            </w:pPr>
            <w:r>
              <w:rPr>
                <w:color w:val="000000"/>
                <w:sz w:val="20"/>
                <w:szCs w:val="20"/>
              </w:rPr>
              <w:t>0.600</w:t>
            </w:r>
          </w:p>
        </w:tc>
        <w:tc>
          <w:tcPr>
            <w:tcW w:w="864" w:type="dxa"/>
            <w:tcBorders>
              <w:top w:val="nil"/>
              <w:left w:val="nil"/>
              <w:bottom w:val="single" w:sz="4" w:space="0" w:color="auto"/>
              <w:right w:val="nil"/>
            </w:tcBorders>
            <w:shd w:val="clear" w:color="auto" w:fill="auto"/>
            <w:noWrap/>
            <w:vAlign w:val="bottom"/>
            <w:hideMark/>
          </w:tcPr>
          <w:p w14:paraId="361885CE"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65D1F97D" w14:textId="77777777" w:rsidR="00036186" w:rsidRDefault="00036186">
            <w:pPr>
              <w:jc w:val="right"/>
              <w:rPr>
                <w:color w:val="000000"/>
                <w:sz w:val="20"/>
                <w:szCs w:val="20"/>
              </w:rPr>
            </w:pPr>
            <w:r>
              <w:rPr>
                <w:color w:val="000000"/>
                <w:sz w:val="20"/>
                <w:szCs w:val="20"/>
              </w:rPr>
              <w:t>-0.048</w:t>
            </w:r>
          </w:p>
        </w:tc>
        <w:tc>
          <w:tcPr>
            <w:tcW w:w="864" w:type="dxa"/>
            <w:tcBorders>
              <w:top w:val="nil"/>
              <w:left w:val="nil"/>
              <w:bottom w:val="single" w:sz="4" w:space="0" w:color="auto"/>
              <w:right w:val="nil"/>
            </w:tcBorders>
            <w:shd w:val="clear" w:color="auto" w:fill="auto"/>
            <w:noWrap/>
            <w:vAlign w:val="bottom"/>
            <w:hideMark/>
          </w:tcPr>
          <w:p w14:paraId="435D1F74" w14:textId="77777777" w:rsidR="00036186" w:rsidRDefault="00036186">
            <w:pPr>
              <w:jc w:val="right"/>
              <w:rPr>
                <w:color w:val="000000"/>
                <w:sz w:val="20"/>
                <w:szCs w:val="20"/>
              </w:rPr>
            </w:pPr>
            <w:r>
              <w:rPr>
                <w:color w:val="000000"/>
                <w:sz w:val="20"/>
                <w:szCs w:val="20"/>
              </w:rPr>
              <w:t>0.080</w:t>
            </w:r>
          </w:p>
        </w:tc>
        <w:tc>
          <w:tcPr>
            <w:tcW w:w="864" w:type="dxa"/>
            <w:tcBorders>
              <w:top w:val="nil"/>
              <w:left w:val="nil"/>
              <w:bottom w:val="single" w:sz="4" w:space="0" w:color="auto"/>
              <w:right w:val="nil"/>
            </w:tcBorders>
            <w:shd w:val="clear" w:color="auto" w:fill="auto"/>
            <w:noWrap/>
            <w:vAlign w:val="bottom"/>
            <w:hideMark/>
          </w:tcPr>
          <w:p w14:paraId="668C8652" w14:textId="77777777" w:rsidR="00036186" w:rsidRDefault="00036186">
            <w:pPr>
              <w:jc w:val="right"/>
              <w:rPr>
                <w:color w:val="000000"/>
                <w:sz w:val="20"/>
                <w:szCs w:val="20"/>
              </w:rPr>
            </w:pPr>
            <w:r>
              <w:rPr>
                <w:color w:val="000000"/>
                <w:sz w:val="20"/>
                <w:szCs w:val="20"/>
              </w:rPr>
              <w:t>0.002</w:t>
            </w:r>
          </w:p>
        </w:tc>
      </w:tr>
      <w:tr w:rsidR="00036186" w14:paraId="12A533B3" w14:textId="77777777" w:rsidTr="007C663C">
        <w:trPr>
          <w:trHeight w:val="320"/>
        </w:trPr>
        <w:tc>
          <w:tcPr>
            <w:tcW w:w="1152" w:type="dxa"/>
            <w:tcBorders>
              <w:top w:val="nil"/>
              <w:left w:val="nil"/>
              <w:bottom w:val="nil"/>
              <w:right w:val="nil"/>
            </w:tcBorders>
            <w:shd w:val="clear" w:color="auto" w:fill="auto"/>
            <w:noWrap/>
            <w:vAlign w:val="bottom"/>
            <w:hideMark/>
          </w:tcPr>
          <w:p w14:paraId="6F1D183B" w14:textId="77777777" w:rsidR="00036186" w:rsidRDefault="00036186">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4A378260" w14:textId="77777777" w:rsidR="00036186" w:rsidRDefault="0003618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E9168ED" w14:textId="77777777" w:rsidR="00036186" w:rsidRDefault="00036186">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3B7333F3" w14:textId="77777777" w:rsidR="00036186" w:rsidRDefault="00036186">
            <w:pPr>
              <w:jc w:val="right"/>
              <w:rPr>
                <w:color w:val="000000"/>
                <w:sz w:val="20"/>
                <w:szCs w:val="20"/>
              </w:rPr>
            </w:pPr>
            <w:r>
              <w:rPr>
                <w:color w:val="000000"/>
                <w:sz w:val="20"/>
                <w:szCs w:val="20"/>
              </w:rPr>
              <w:t>0.820</w:t>
            </w:r>
          </w:p>
        </w:tc>
        <w:tc>
          <w:tcPr>
            <w:tcW w:w="864" w:type="dxa"/>
            <w:tcBorders>
              <w:top w:val="nil"/>
              <w:left w:val="nil"/>
              <w:bottom w:val="nil"/>
              <w:right w:val="nil"/>
            </w:tcBorders>
            <w:shd w:val="clear" w:color="auto" w:fill="auto"/>
            <w:noWrap/>
            <w:vAlign w:val="bottom"/>
            <w:hideMark/>
          </w:tcPr>
          <w:p w14:paraId="4D9CC1AD"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1BEDFDE" w14:textId="77777777" w:rsidR="00036186" w:rsidRDefault="00036186">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629F0F34" w14:textId="77777777" w:rsidR="00036186" w:rsidRDefault="00036186">
            <w:pPr>
              <w:jc w:val="right"/>
              <w:rPr>
                <w:color w:val="000000"/>
                <w:sz w:val="20"/>
                <w:szCs w:val="20"/>
              </w:rPr>
            </w:pPr>
            <w:r>
              <w:rPr>
                <w:color w:val="000000"/>
                <w:sz w:val="20"/>
                <w:szCs w:val="20"/>
              </w:rPr>
              <w:t>0.342</w:t>
            </w:r>
          </w:p>
        </w:tc>
        <w:tc>
          <w:tcPr>
            <w:tcW w:w="864" w:type="dxa"/>
            <w:tcBorders>
              <w:top w:val="nil"/>
              <w:left w:val="nil"/>
              <w:bottom w:val="nil"/>
              <w:right w:val="nil"/>
            </w:tcBorders>
            <w:shd w:val="clear" w:color="auto" w:fill="auto"/>
            <w:noWrap/>
            <w:vAlign w:val="bottom"/>
            <w:hideMark/>
          </w:tcPr>
          <w:p w14:paraId="0B1729A4" w14:textId="77777777" w:rsidR="00036186" w:rsidRDefault="00036186">
            <w:pPr>
              <w:jc w:val="right"/>
              <w:rPr>
                <w:color w:val="000000"/>
                <w:sz w:val="20"/>
                <w:szCs w:val="20"/>
              </w:rPr>
            </w:pPr>
            <w:r>
              <w:rPr>
                <w:color w:val="000000"/>
                <w:sz w:val="20"/>
                <w:szCs w:val="20"/>
              </w:rPr>
              <w:t>0.001</w:t>
            </w:r>
          </w:p>
        </w:tc>
      </w:tr>
      <w:tr w:rsidR="00036186" w14:paraId="426725D1" w14:textId="77777777" w:rsidTr="007C663C">
        <w:trPr>
          <w:trHeight w:val="320"/>
        </w:trPr>
        <w:tc>
          <w:tcPr>
            <w:tcW w:w="1152" w:type="dxa"/>
            <w:tcBorders>
              <w:top w:val="nil"/>
              <w:left w:val="nil"/>
              <w:bottom w:val="nil"/>
              <w:right w:val="nil"/>
            </w:tcBorders>
            <w:shd w:val="clear" w:color="auto" w:fill="auto"/>
            <w:noWrap/>
            <w:vAlign w:val="bottom"/>
            <w:hideMark/>
          </w:tcPr>
          <w:p w14:paraId="66BD1991"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F8AAAB6" w14:textId="77777777" w:rsidR="00036186" w:rsidRDefault="0003618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5C3FC8F" w14:textId="77777777" w:rsidR="00036186" w:rsidRDefault="00036186">
            <w:pPr>
              <w:jc w:val="right"/>
              <w:rPr>
                <w:b/>
                <w:bCs/>
                <w:color w:val="000000"/>
                <w:sz w:val="20"/>
                <w:szCs w:val="20"/>
              </w:rPr>
            </w:pPr>
            <w:r>
              <w:rPr>
                <w:b/>
                <w:bCs/>
                <w:color w:val="000000"/>
                <w:sz w:val="20"/>
                <w:szCs w:val="20"/>
              </w:rPr>
              <w:t>-0.097</w:t>
            </w:r>
          </w:p>
        </w:tc>
        <w:tc>
          <w:tcPr>
            <w:tcW w:w="864" w:type="dxa"/>
            <w:tcBorders>
              <w:top w:val="nil"/>
              <w:left w:val="nil"/>
              <w:bottom w:val="nil"/>
              <w:right w:val="nil"/>
            </w:tcBorders>
            <w:shd w:val="clear" w:color="auto" w:fill="auto"/>
            <w:noWrap/>
            <w:vAlign w:val="bottom"/>
            <w:hideMark/>
          </w:tcPr>
          <w:p w14:paraId="4ABCB7EA" w14:textId="77777777" w:rsidR="00036186" w:rsidRDefault="00036186">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44E86E2A" w14:textId="77777777" w:rsidR="00036186" w:rsidRDefault="00036186">
            <w:pPr>
              <w:jc w:val="right"/>
              <w:rPr>
                <w:b/>
                <w:bCs/>
                <w:color w:val="000000"/>
                <w:sz w:val="20"/>
                <w:szCs w:val="20"/>
              </w:rPr>
            </w:pPr>
            <w:r>
              <w:rPr>
                <w:b/>
                <w:bCs/>
                <w:color w:val="000000"/>
                <w:sz w:val="20"/>
                <w:szCs w:val="20"/>
              </w:rPr>
              <w:t>0.009</w:t>
            </w:r>
          </w:p>
        </w:tc>
        <w:tc>
          <w:tcPr>
            <w:tcW w:w="864" w:type="dxa"/>
            <w:tcBorders>
              <w:top w:val="nil"/>
              <w:left w:val="nil"/>
              <w:bottom w:val="nil"/>
              <w:right w:val="nil"/>
            </w:tcBorders>
            <w:shd w:val="clear" w:color="auto" w:fill="auto"/>
            <w:noWrap/>
            <w:vAlign w:val="bottom"/>
            <w:hideMark/>
          </w:tcPr>
          <w:p w14:paraId="23D71927" w14:textId="77777777" w:rsidR="00036186" w:rsidRDefault="00036186">
            <w:pPr>
              <w:jc w:val="right"/>
              <w:rPr>
                <w:b/>
                <w:bCs/>
                <w:color w:val="000000"/>
                <w:sz w:val="20"/>
                <w:szCs w:val="20"/>
              </w:rPr>
            </w:pPr>
            <w:r>
              <w:rPr>
                <w:b/>
                <w:bCs/>
                <w:color w:val="000000"/>
                <w:sz w:val="20"/>
                <w:szCs w:val="20"/>
              </w:rPr>
              <w:t>-0.106</w:t>
            </w:r>
          </w:p>
        </w:tc>
        <w:tc>
          <w:tcPr>
            <w:tcW w:w="864" w:type="dxa"/>
            <w:tcBorders>
              <w:top w:val="nil"/>
              <w:left w:val="nil"/>
              <w:bottom w:val="nil"/>
              <w:right w:val="nil"/>
            </w:tcBorders>
            <w:shd w:val="clear" w:color="auto" w:fill="auto"/>
            <w:noWrap/>
            <w:vAlign w:val="bottom"/>
            <w:hideMark/>
          </w:tcPr>
          <w:p w14:paraId="0DECA31F" w14:textId="77777777" w:rsidR="00036186" w:rsidRDefault="00036186">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4A3A8758" w14:textId="77777777" w:rsidR="00036186" w:rsidRDefault="00036186">
            <w:pPr>
              <w:jc w:val="right"/>
              <w:rPr>
                <w:b/>
                <w:bCs/>
                <w:color w:val="000000"/>
                <w:sz w:val="20"/>
                <w:szCs w:val="20"/>
              </w:rPr>
            </w:pPr>
            <w:r>
              <w:rPr>
                <w:b/>
                <w:bCs/>
                <w:color w:val="000000"/>
                <w:sz w:val="20"/>
                <w:szCs w:val="20"/>
              </w:rPr>
              <w:t>0.011</w:t>
            </w:r>
          </w:p>
        </w:tc>
      </w:tr>
      <w:tr w:rsidR="00036186" w14:paraId="5D6DA3B9" w14:textId="77777777" w:rsidTr="007C663C">
        <w:trPr>
          <w:trHeight w:val="320"/>
        </w:trPr>
        <w:tc>
          <w:tcPr>
            <w:tcW w:w="1152" w:type="dxa"/>
            <w:tcBorders>
              <w:top w:val="nil"/>
              <w:left w:val="nil"/>
              <w:bottom w:val="nil"/>
              <w:right w:val="nil"/>
            </w:tcBorders>
            <w:shd w:val="clear" w:color="auto" w:fill="auto"/>
            <w:noWrap/>
            <w:vAlign w:val="bottom"/>
            <w:hideMark/>
          </w:tcPr>
          <w:p w14:paraId="0A229D85" w14:textId="77777777" w:rsidR="00036186" w:rsidRDefault="0003618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6D019B94" w14:textId="77777777" w:rsidR="00036186" w:rsidRDefault="0003618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1BA79AB" w14:textId="77777777" w:rsidR="00036186" w:rsidRDefault="0003618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9DA8D89" w14:textId="77777777" w:rsidR="00036186" w:rsidRDefault="00036186">
            <w:pPr>
              <w:jc w:val="right"/>
              <w:rPr>
                <w:color w:val="000000"/>
                <w:sz w:val="20"/>
                <w:szCs w:val="20"/>
              </w:rPr>
            </w:pPr>
            <w:r>
              <w:rPr>
                <w:color w:val="000000"/>
                <w:sz w:val="20"/>
                <w:szCs w:val="20"/>
              </w:rPr>
              <w:t>0.928</w:t>
            </w:r>
          </w:p>
        </w:tc>
        <w:tc>
          <w:tcPr>
            <w:tcW w:w="864" w:type="dxa"/>
            <w:tcBorders>
              <w:top w:val="nil"/>
              <w:left w:val="nil"/>
              <w:bottom w:val="nil"/>
              <w:right w:val="nil"/>
            </w:tcBorders>
            <w:shd w:val="clear" w:color="auto" w:fill="auto"/>
            <w:noWrap/>
            <w:vAlign w:val="bottom"/>
            <w:hideMark/>
          </w:tcPr>
          <w:p w14:paraId="70747059"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E06ED49" w14:textId="77777777" w:rsidR="00036186" w:rsidRDefault="00036186">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2AC9D32D" w14:textId="77777777" w:rsidR="00036186" w:rsidRDefault="00036186">
            <w:pPr>
              <w:jc w:val="right"/>
              <w:rPr>
                <w:color w:val="000000"/>
                <w:sz w:val="20"/>
                <w:szCs w:val="20"/>
              </w:rPr>
            </w:pPr>
            <w:r>
              <w:rPr>
                <w:color w:val="000000"/>
                <w:sz w:val="20"/>
                <w:szCs w:val="20"/>
              </w:rPr>
              <w:t>0.176</w:t>
            </w:r>
          </w:p>
        </w:tc>
        <w:tc>
          <w:tcPr>
            <w:tcW w:w="864" w:type="dxa"/>
            <w:tcBorders>
              <w:top w:val="nil"/>
              <w:left w:val="nil"/>
              <w:bottom w:val="nil"/>
              <w:right w:val="nil"/>
            </w:tcBorders>
            <w:shd w:val="clear" w:color="auto" w:fill="auto"/>
            <w:noWrap/>
            <w:vAlign w:val="bottom"/>
            <w:hideMark/>
          </w:tcPr>
          <w:p w14:paraId="1BB72E08" w14:textId="77777777" w:rsidR="00036186" w:rsidRDefault="00036186">
            <w:pPr>
              <w:jc w:val="right"/>
              <w:rPr>
                <w:color w:val="000000"/>
                <w:sz w:val="20"/>
                <w:szCs w:val="20"/>
              </w:rPr>
            </w:pPr>
            <w:r>
              <w:rPr>
                <w:color w:val="000000"/>
                <w:sz w:val="20"/>
                <w:szCs w:val="20"/>
              </w:rPr>
              <w:t>0.001</w:t>
            </w:r>
          </w:p>
        </w:tc>
      </w:tr>
      <w:tr w:rsidR="00036186" w14:paraId="06BD4D6A" w14:textId="77777777" w:rsidTr="007C663C">
        <w:trPr>
          <w:trHeight w:val="320"/>
        </w:trPr>
        <w:tc>
          <w:tcPr>
            <w:tcW w:w="1152" w:type="dxa"/>
            <w:tcBorders>
              <w:top w:val="nil"/>
              <w:left w:val="nil"/>
              <w:bottom w:val="nil"/>
              <w:right w:val="nil"/>
            </w:tcBorders>
            <w:shd w:val="clear" w:color="auto" w:fill="auto"/>
            <w:noWrap/>
            <w:vAlign w:val="bottom"/>
            <w:hideMark/>
          </w:tcPr>
          <w:p w14:paraId="522EE099"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B6B391A" w14:textId="77777777" w:rsidR="00036186" w:rsidRDefault="0003618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B7A8D64" w14:textId="77777777" w:rsidR="00036186" w:rsidRDefault="0003618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78EDB04" w14:textId="77777777" w:rsidR="00036186" w:rsidRDefault="00036186">
            <w:pPr>
              <w:jc w:val="right"/>
              <w:rPr>
                <w:color w:val="000000"/>
                <w:sz w:val="20"/>
                <w:szCs w:val="20"/>
              </w:rPr>
            </w:pPr>
            <w:r>
              <w:rPr>
                <w:color w:val="000000"/>
                <w:sz w:val="20"/>
                <w:szCs w:val="20"/>
              </w:rPr>
              <w:t>0.928</w:t>
            </w:r>
          </w:p>
        </w:tc>
        <w:tc>
          <w:tcPr>
            <w:tcW w:w="864" w:type="dxa"/>
            <w:tcBorders>
              <w:top w:val="nil"/>
              <w:left w:val="nil"/>
              <w:bottom w:val="nil"/>
              <w:right w:val="nil"/>
            </w:tcBorders>
            <w:shd w:val="clear" w:color="auto" w:fill="auto"/>
            <w:noWrap/>
            <w:vAlign w:val="bottom"/>
            <w:hideMark/>
          </w:tcPr>
          <w:p w14:paraId="3E75104E"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BFF50E3"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CCED20D" w14:textId="77777777" w:rsidR="00036186" w:rsidRDefault="00036186">
            <w:pPr>
              <w:jc w:val="right"/>
              <w:rPr>
                <w:color w:val="000000"/>
                <w:sz w:val="20"/>
                <w:szCs w:val="20"/>
              </w:rPr>
            </w:pPr>
            <w:r>
              <w:rPr>
                <w:color w:val="000000"/>
                <w:sz w:val="20"/>
                <w:szCs w:val="20"/>
              </w:rPr>
              <w:t>0.976</w:t>
            </w:r>
          </w:p>
        </w:tc>
        <w:tc>
          <w:tcPr>
            <w:tcW w:w="864" w:type="dxa"/>
            <w:tcBorders>
              <w:top w:val="nil"/>
              <w:left w:val="nil"/>
              <w:bottom w:val="nil"/>
              <w:right w:val="nil"/>
            </w:tcBorders>
            <w:shd w:val="clear" w:color="auto" w:fill="auto"/>
            <w:noWrap/>
            <w:vAlign w:val="bottom"/>
            <w:hideMark/>
          </w:tcPr>
          <w:p w14:paraId="255D48C4" w14:textId="77777777" w:rsidR="00036186" w:rsidRDefault="00036186">
            <w:pPr>
              <w:jc w:val="right"/>
              <w:rPr>
                <w:color w:val="000000"/>
                <w:sz w:val="20"/>
                <w:szCs w:val="20"/>
              </w:rPr>
            </w:pPr>
            <w:r>
              <w:rPr>
                <w:color w:val="000000"/>
                <w:sz w:val="20"/>
                <w:szCs w:val="20"/>
              </w:rPr>
              <w:t>0.000</w:t>
            </w:r>
          </w:p>
        </w:tc>
      </w:tr>
      <w:tr w:rsidR="00036186" w14:paraId="1DFAFA7E" w14:textId="77777777" w:rsidTr="007C663C">
        <w:trPr>
          <w:trHeight w:val="320"/>
        </w:trPr>
        <w:tc>
          <w:tcPr>
            <w:tcW w:w="1152" w:type="dxa"/>
            <w:tcBorders>
              <w:top w:val="nil"/>
              <w:left w:val="nil"/>
              <w:bottom w:val="nil"/>
              <w:right w:val="nil"/>
            </w:tcBorders>
            <w:shd w:val="clear" w:color="auto" w:fill="auto"/>
            <w:noWrap/>
            <w:vAlign w:val="bottom"/>
            <w:hideMark/>
          </w:tcPr>
          <w:p w14:paraId="274F968E"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34F7E28" w14:textId="77777777" w:rsidR="00036186" w:rsidRDefault="0003618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BA7A3B2" w14:textId="77777777" w:rsidR="00036186" w:rsidRDefault="00036186">
            <w:pPr>
              <w:jc w:val="right"/>
              <w:rPr>
                <w:color w:val="000000"/>
                <w:sz w:val="20"/>
                <w:szCs w:val="20"/>
              </w:rPr>
            </w:pPr>
            <w:r>
              <w:rPr>
                <w:color w:val="000000"/>
                <w:sz w:val="20"/>
                <w:szCs w:val="20"/>
              </w:rPr>
              <w:t>-0.054</w:t>
            </w:r>
          </w:p>
        </w:tc>
        <w:tc>
          <w:tcPr>
            <w:tcW w:w="864" w:type="dxa"/>
            <w:tcBorders>
              <w:top w:val="nil"/>
              <w:left w:val="nil"/>
              <w:bottom w:val="nil"/>
              <w:right w:val="nil"/>
            </w:tcBorders>
            <w:shd w:val="clear" w:color="auto" w:fill="auto"/>
            <w:noWrap/>
            <w:vAlign w:val="bottom"/>
            <w:hideMark/>
          </w:tcPr>
          <w:p w14:paraId="393F8B01" w14:textId="77777777" w:rsidR="00036186" w:rsidRDefault="00036186">
            <w:pPr>
              <w:jc w:val="right"/>
              <w:rPr>
                <w:color w:val="000000"/>
                <w:sz w:val="20"/>
                <w:szCs w:val="20"/>
              </w:rPr>
            </w:pPr>
            <w:r>
              <w:rPr>
                <w:color w:val="000000"/>
                <w:sz w:val="20"/>
                <w:szCs w:val="20"/>
              </w:rPr>
              <w:t>0.080</w:t>
            </w:r>
          </w:p>
        </w:tc>
        <w:tc>
          <w:tcPr>
            <w:tcW w:w="864" w:type="dxa"/>
            <w:tcBorders>
              <w:top w:val="nil"/>
              <w:left w:val="nil"/>
              <w:bottom w:val="nil"/>
              <w:right w:val="nil"/>
            </w:tcBorders>
            <w:shd w:val="clear" w:color="auto" w:fill="auto"/>
            <w:noWrap/>
            <w:vAlign w:val="bottom"/>
            <w:hideMark/>
          </w:tcPr>
          <w:p w14:paraId="55C466B3" w14:textId="77777777" w:rsidR="00036186" w:rsidRDefault="0003618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AA4C9DA" w14:textId="77777777" w:rsidR="00036186" w:rsidRDefault="00036186">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4EE08E74" w14:textId="77777777" w:rsidR="00036186" w:rsidRDefault="00036186">
            <w:pPr>
              <w:jc w:val="right"/>
              <w:rPr>
                <w:color w:val="000000"/>
                <w:sz w:val="20"/>
                <w:szCs w:val="20"/>
              </w:rPr>
            </w:pPr>
            <w:r>
              <w:rPr>
                <w:color w:val="000000"/>
                <w:sz w:val="20"/>
                <w:szCs w:val="20"/>
              </w:rPr>
              <w:t>0.133</w:t>
            </w:r>
          </w:p>
        </w:tc>
        <w:tc>
          <w:tcPr>
            <w:tcW w:w="864" w:type="dxa"/>
            <w:tcBorders>
              <w:top w:val="nil"/>
              <w:left w:val="nil"/>
              <w:bottom w:val="nil"/>
              <w:right w:val="nil"/>
            </w:tcBorders>
            <w:shd w:val="clear" w:color="auto" w:fill="auto"/>
            <w:noWrap/>
            <w:vAlign w:val="bottom"/>
            <w:hideMark/>
          </w:tcPr>
          <w:p w14:paraId="17C5E550" w14:textId="77777777" w:rsidR="00036186" w:rsidRDefault="00036186">
            <w:pPr>
              <w:jc w:val="right"/>
              <w:rPr>
                <w:color w:val="000000"/>
                <w:sz w:val="20"/>
                <w:szCs w:val="20"/>
              </w:rPr>
            </w:pPr>
            <w:r>
              <w:rPr>
                <w:color w:val="000000"/>
                <w:sz w:val="20"/>
                <w:szCs w:val="20"/>
              </w:rPr>
              <w:t>0.002</w:t>
            </w:r>
          </w:p>
        </w:tc>
      </w:tr>
      <w:tr w:rsidR="00036186" w14:paraId="71C1A5B9" w14:textId="77777777" w:rsidTr="007C663C">
        <w:trPr>
          <w:trHeight w:val="320"/>
        </w:trPr>
        <w:tc>
          <w:tcPr>
            <w:tcW w:w="1152" w:type="dxa"/>
            <w:tcBorders>
              <w:top w:val="nil"/>
              <w:left w:val="nil"/>
              <w:bottom w:val="nil"/>
              <w:right w:val="nil"/>
            </w:tcBorders>
            <w:shd w:val="clear" w:color="auto" w:fill="auto"/>
            <w:noWrap/>
            <w:vAlign w:val="bottom"/>
            <w:hideMark/>
          </w:tcPr>
          <w:p w14:paraId="406871BD"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1E041D2" w14:textId="77777777" w:rsidR="00036186" w:rsidRDefault="0003618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349C6D2" w14:textId="77777777" w:rsidR="00036186" w:rsidRDefault="00036186">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105D1C3E" w14:textId="77777777" w:rsidR="00036186" w:rsidRDefault="00036186">
            <w:pPr>
              <w:jc w:val="right"/>
              <w:rPr>
                <w:color w:val="000000"/>
                <w:sz w:val="20"/>
                <w:szCs w:val="20"/>
              </w:rPr>
            </w:pPr>
            <w:r>
              <w:rPr>
                <w:color w:val="000000"/>
                <w:sz w:val="20"/>
                <w:szCs w:val="20"/>
              </w:rPr>
              <w:t>0.820</w:t>
            </w:r>
          </w:p>
        </w:tc>
        <w:tc>
          <w:tcPr>
            <w:tcW w:w="864" w:type="dxa"/>
            <w:tcBorders>
              <w:top w:val="nil"/>
              <w:left w:val="nil"/>
              <w:bottom w:val="nil"/>
              <w:right w:val="nil"/>
            </w:tcBorders>
            <w:shd w:val="clear" w:color="auto" w:fill="auto"/>
            <w:noWrap/>
            <w:vAlign w:val="bottom"/>
            <w:hideMark/>
          </w:tcPr>
          <w:p w14:paraId="5F11389C" w14:textId="77777777" w:rsidR="00036186" w:rsidRDefault="0003618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2B59A74" w14:textId="77777777" w:rsidR="00036186" w:rsidRDefault="00036186">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7BF32F8D" w14:textId="77777777" w:rsidR="00036186" w:rsidRDefault="00036186">
            <w:pPr>
              <w:jc w:val="right"/>
              <w:rPr>
                <w:color w:val="000000"/>
                <w:sz w:val="20"/>
                <w:szCs w:val="20"/>
              </w:rPr>
            </w:pPr>
            <w:r>
              <w:rPr>
                <w:color w:val="000000"/>
                <w:sz w:val="20"/>
                <w:szCs w:val="20"/>
              </w:rPr>
              <w:t>0.928</w:t>
            </w:r>
          </w:p>
        </w:tc>
        <w:tc>
          <w:tcPr>
            <w:tcW w:w="864" w:type="dxa"/>
            <w:tcBorders>
              <w:top w:val="nil"/>
              <w:left w:val="nil"/>
              <w:bottom w:val="nil"/>
              <w:right w:val="nil"/>
            </w:tcBorders>
            <w:shd w:val="clear" w:color="auto" w:fill="auto"/>
            <w:noWrap/>
            <w:vAlign w:val="bottom"/>
            <w:hideMark/>
          </w:tcPr>
          <w:p w14:paraId="3B742524" w14:textId="77777777" w:rsidR="00036186" w:rsidRDefault="00036186">
            <w:pPr>
              <w:jc w:val="right"/>
              <w:rPr>
                <w:color w:val="000000"/>
                <w:sz w:val="20"/>
                <w:szCs w:val="20"/>
              </w:rPr>
            </w:pPr>
            <w:r>
              <w:rPr>
                <w:color w:val="000000"/>
                <w:sz w:val="20"/>
                <w:szCs w:val="20"/>
              </w:rPr>
              <w:t>0.000</w:t>
            </w:r>
          </w:p>
        </w:tc>
      </w:tr>
      <w:tr w:rsidR="00036186" w14:paraId="15DE3B5B" w14:textId="77777777" w:rsidTr="007C663C">
        <w:trPr>
          <w:trHeight w:val="320"/>
        </w:trPr>
        <w:tc>
          <w:tcPr>
            <w:tcW w:w="1152" w:type="dxa"/>
            <w:tcBorders>
              <w:top w:val="nil"/>
              <w:left w:val="nil"/>
              <w:bottom w:val="nil"/>
              <w:right w:val="nil"/>
            </w:tcBorders>
            <w:shd w:val="clear" w:color="auto" w:fill="auto"/>
            <w:noWrap/>
            <w:vAlign w:val="bottom"/>
            <w:hideMark/>
          </w:tcPr>
          <w:p w14:paraId="2CFFADA2" w14:textId="77777777" w:rsidR="00036186" w:rsidRDefault="0003618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7B4EA67" w14:textId="77777777" w:rsidR="00036186" w:rsidRDefault="0003618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291675B" w14:textId="77777777" w:rsidR="00036186" w:rsidRDefault="00036186">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3F36E427" w14:textId="77777777" w:rsidR="00036186" w:rsidRDefault="00036186">
            <w:pPr>
              <w:jc w:val="right"/>
              <w:rPr>
                <w:color w:val="000000"/>
                <w:sz w:val="20"/>
                <w:szCs w:val="20"/>
              </w:rPr>
            </w:pPr>
            <w:r>
              <w:rPr>
                <w:color w:val="000000"/>
                <w:sz w:val="20"/>
                <w:szCs w:val="20"/>
              </w:rPr>
              <w:t>0.634</w:t>
            </w:r>
          </w:p>
        </w:tc>
        <w:tc>
          <w:tcPr>
            <w:tcW w:w="864" w:type="dxa"/>
            <w:tcBorders>
              <w:top w:val="nil"/>
              <w:left w:val="nil"/>
              <w:bottom w:val="nil"/>
              <w:right w:val="nil"/>
            </w:tcBorders>
            <w:shd w:val="clear" w:color="auto" w:fill="auto"/>
            <w:noWrap/>
            <w:vAlign w:val="bottom"/>
            <w:hideMark/>
          </w:tcPr>
          <w:p w14:paraId="37DB7AB2"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9FEBFEC" w14:textId="77777777" w:rsidR="00036186" w:rsidRDefault="00036186">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3D15C8F4" w14:textId="77777777" w:rsidR="00036186" w:rsidRDefault="00036186">
            <w:pPr>
              <w:jc w:val="right"/>
              <w:rPr>
                <w:color w:val="000000"/>
                <w:sz w:val="20"/>
                <w:szCs w:val="20"/>
              </w:rPr>
            </w:pPr>
            <w:r>
              <w:rPr>
                <w:color w:val="000000"/>
                <w:sz w:val="20"/>
                <w:szCs w:val="20"/>
              </w:rPr>
              <w:t>0.860</w:t>
            </w:r>
          </w:p>
        </w:tc>
        <w:tc>
          <w:tcPr>
            <w:tcW w:w="864" w:type="dxa"/>
            <w:tcBorders>
              <w:top w:val="nil"/>
              <w:left w:val="nil"/>
              <w:bottom w:val="nil"/>
              <w:right w:val="nil"/>
            </w:tcBorders>
            <w:shd w:val="clear" w:color="auto" w:fill="auto"/>
            <w:noWrap/>
            <w:vAlign w:val="bottom"/>
            <w:hideMark/>
          </w:tcPr>
          <w:p w14:paraId="07CB1B2D" w14:textId="77777777" w:rsidR="00036186" w:rsidRDefault="00036186">
            <w:pPr>
              <w:jc w:val="right"/>
              <w:rPr>
                <w:color w:val="000000"/>
                <w:sz w:val="20"/>
                <w:szCs w:val="20"/>
              </w:rPr>
            </w:pPr>
            <w:r>
              <w:rPr>
                <w:color w:val="000000"/>
                <w:sz w:val="20"/>
                <w:szCs w:val="20"/>
              </w:rPr>
              <w:t>0.000</w:t>
            </w:r>
          </w:p>
        </w:tc>
      </w:tr>
      <w:tr w:rsidR="00036186" w14:paraId="7AC4F4FF"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0997D9C5" w14:textId="77777777" w:rsidR="00036186" w:rsidRDefault="00036186">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218A0787" w14:textId="77777777" w:rsidR="00036186" w:rsidRDefault="00036186">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474F78EB" w14:textId="77777777" w:rsidR="00036186" w:rsidRDefault="00036186">
            <w:pPr>
              <w:jc w:val="right"/>
              <w:rPr>
                <w:color w:val="000000"/>
                <w:sz w:val="20"/>
                <w:szCs w:val="20"/>
              </w:rPr>
            </w:pPr>
            <w:r>
              <w:rPr>
                <w:color w:val="000000"/>
                <w:sz w:val="20"/>
                <w:szCs w:val="20"/>
              </w:rPr>
              <w:t>-0.025</w:t>
            </w:r>
          </w:p>
        </w:tc>
        <w:tc>
          <w:tcPr>
            <w:tcW w:w="864" w:type="dxa"/>
            <w:tcBorders>
              <w:top w:val="nil"/>
              <w:left w:val="nil"/>
              <w:bottom w:val="single" w:sz="12" w:space="0" w:color="auto"/>
              <w:right w:val="nil"/>
            </w:tcBorders>
            <w:shd w:val="clear" w:color="auto" w:fill="auto"/>
            <w:noWrap/>
            <w:vAlign w:val="bottom"/>
            <w:hideMark/>
          </w:tcPr>
          <w:p w14:paraId="4EDEB606" w14:textId="77777777" w:rsidR="00036186" w:rsidRDefault="00036186">
            <w:pPr>
              <w:jc w:val="right"/>
              <w:rPr>
                <w:color w:val="000000"/>
                <w:sz w:val="20"/>
                <w:szCs w:val="20"/>
              </w:rPr>
            </w:pPr>
            <w:r>
              <w:rPr>
                <w:color w:val="000000"/>
                <w:sz w:val="20"/>
                <w:szCs w:val="20"/>
              </w:rPr>
              <w:t>0.634</w:t>
            </w:r>
          </w:p>
        </w:tc>
        <w:tc>
          <w:tcPr>
            <w:tcW w:w="864" w:type="dxa"/>
            <w:tcBorders>
              <w:top w:val="nil"/>
              <w:left w:val="nil"/>
              <w:bottom w:val="single" w:sz="12" w:space="0" w:color="auto"/>
              <w:right w:val="nil"/>
            </w:tcBorders>
            <w:shd w:val="clear" w:color="auto" w:fill="auto"/>
            <w:noWrap/>
            <w:vAlign w:val="bottom"/>
            <w:hideMark/>
          </w:tcPr>
          <w:p w14:paraId="50F9D82C" w14:textId="77777777" w:rsidR="00036186" w:rsidRDefault="00036186">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1BE70194" w14:textId="77777777" w:rsidR="00036186" w:rsidRDefault="00036186">
            <w:pPr>
              <w:jc w:val="right"/>
              <w:rPr>
                <w:color w:val="000000"/>
                <w:sz w:val="20"/>
                <w:szCs w:val="20"/>
              </w:rPr>
            </w:pPr>
            <w:r>
              <w:rPr>
                <w:color w:val="000000"/>
                <w:sz w:val="20"/>
                <w:szCs w:val="20"/>
              </w:rPr>
              <w:t>-0.047</w:t>
            </w:r>
          </w:p>
        </w:tc>
        <w:tc>
          <w:tcPr>
            <w:tcW w:w="864" w:type="dxa"/>
            <w:tcBorders>
              <w:top w:val="nil"/>
              <w:left w:val="nil"/>
              <w:bottom w:val="single" w:sz="12" w:space="0" w:color="auto"/>
              <w:right w:val="nil"/>
            </w:tcBorders>
            <w:shd w:val="clear" w:color="auto" w:fill="auto"/>
            <w:noWrap/>
            <w:vAlign w:val="bottom"/>
            <w:hideMark/>
          </w:tcPr>
          <w:p w14:paraId="08344C55" w14:textId="77777777" w:rsidR="00036186" w:rsidRDefault="00036186">
            <w:pPr>
              <w:jc w:val="right"/>
              <w:rPr>
                <w:color w:val="000000"/>
                <w:sz w:val="20"/>
                <w:szCs w:val="20"/>
              </w:rPr>
            </w:pPr>
            <w:r>
              <w:rPr>
                <w:color w:val="000000"/>
                <w:sz w:val="20"/>
                <w:szCs w:val="20"/>
              </w:rPr>
              <w:t>0.100</w:t>
            </w:r>
          </w:p>
        </w:tc>
        <w:tc>
          <w:tcPr>
            <w:tcW w:w="864" w:type="dxa"/>
            <w:tcBorders>
              <w:top w:val="nil"/>
              <w:left w:val="nil"/>
              <w:bottom w:val="single" w:sz="12" w:space="0" w:color="auto"/>
              <w:right w:val="nil"/>
            </w:tcBorders>
            <w:shd w:val="clear" w:color="auto" w:fill="auto"/>
            <w:noWrap/>
            <w:vAlign w:val="bottom"/>
            <w:hideMark/>
          </w:tcPr>
          <w:p w14:paraId="596109E1" w14:textId="77777777" w:rsidR="00036186" w:rsidRDefault="00036186">
            <w:pPr>
              <w:jc w:val="right"/>
              <w:rPr>
                <w:color w:val="000000"/>
                <w:sz w:val="20"/>
                <w:szCs w:val="20"/>
              </w:rPr>
            </w:pPr>
            <w:r>
              <w:rPr>
                <w:color w:val="000000"/>
                <w:sz w:val="20"/>
                <w:szCs w:val="20"/>
              </w:rPr>
              <w:t>0.002</w:t>
            </w:r>
          </w:p>
        </w:tc>
      </w:tr>
      <w:tr w:rsidR="00036186" w14:paraId="3D104705"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70F7C8EE" w14:textId="77777777" w:rsidR="00036186" w:rsidRDefault="00036186">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6CE43AAF" w14:textId="77777777" w:rsidR="00036186" w:rsidRDefault="0003618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AAC3EE4" w14:textId="77777777" w:rsidR="00036186" w:rsidRDefault="0003618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CF5794A" w14:textId="77777777" w:rsidR="00036186" w:rsidRDefault="0003618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03AB1CC" w14:textId="77777777" w:rsidR="00036186" w:rsidRDefault="0003618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6C3B581" w14:textId="77777777" w:rsidR="00036186" w:rsidRDefault="0003618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D16D9E6" w14:textId="77777777" w:rsidR="00036186" w:rsidRDefault="0003618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0B223B3" w14:textId="77777777" w:rsidR="00036186" w:rsidRDefault="00036186">
            <w:pPr>
              <w:rPr>
                <w:sz w:val="20"/>
                <w:szCs w:val="20"/>
              </w:rPr>
            </w:pPr>
          </w:p>
        </w:tc>
      </w:tr>
    </w:tbl>
    <w:p w14:paraId="62B173A3" w14:textId="662A1CB6" w:rsidR="0047742A" w:rsidRDefault="0047742A" w:rsidP="00BC5AB7">
      <w:pPr>
        <w:rPr>
          <w:rFonts w:ascii="Batang" w:eastAsia="Batang" w:hAnsi="Batang" w:cs="Batang"/>
          <w:color w:val="000000"/>
        </w:rPr>
      </w:pPr>
    </w:p>
    <w:p w14:paraId="789C6B46" w14:textId="77777777" w:rsidR="0047742A" w:rsidRDefault="0047742A">
      <w:pPr>
        <w:rPr>
          <w:rFonts w:ascii="Batang" w:eastAsia="Batang" w:hAnsi="Batang" w:cs="Batang"/>
          <w:color w:val="000000"/>
        </w:rPr>
      </w:pPr>
      <w:r>
        <w:rPr>
          <w:rFonts w:ascii="Batang" w:eastAsia="Batang" w:hAnsi="Batang" w:cs="Batang"/>
          <w:color w:val="000000"/>
        </w:rPr>
        <w:br w:type="page"/>
      </w:r>
    </w:p>
    <w:p w14:paraId="2EB16E0E" w14:textId="47A686B7" w:rsidR="003E59B0" w:rsidRDefault="003E59B0" w:rsidP="003E59B0">
      <w:pPr>
        <w:pStyle w:val="Heading1"/>
        <w:rPr>
          <w:rFonts w:ascii="Times New Roman" w:hAnsi="Times New Roman" w:cs="Times New Roman"/>
          <w:color w:val="000000" w:themeColor="text1"/>
          <w:sz w:val="24"/>
          <w:szCs w:val="24"/>
        </w:rPr>
      </w:pPr>
      <w:bookmarkStart w:id="86" w:name="_Toc155817753"/>
      <w:r w:rsidRPr="00B81CB5">
        <w:rPr>
          <w:rFonts w:ascii="Times New Roman" w:hAnsi="Times New Roman" w:cs="Times New Roman"/>
          <w:b/>
          <w:bCs/>
          <w:color w:val="000000" w:themeColor="text1"/>
          <w:sz w:val="24"/>
          <w:szCs w:val="24"/>
        </w:rPr>
        <w:lastRenderedPageBreak/>
        <w:t>Table</w:t>
      </w:r>
      <w:r w:rsidR="0036523A" w:rsidRPr="00B81CB5">
        <w:rPr>
          <w:rFonts w:ascii="Times New Roman" w:hAnsi="Times New Roman" w:cs="Times New Roman"/>
          <w:b/>
          <w:bCs/>
          <w:color w:val="000000" w:themeColor="text1"/>
          <w:sz w:val="24"/>
          <w:szCs w:val="24"/>
        </w:rPr>
        <w:t xml:space="preserve"> 28</w:t>
      </w:r>
      <w:r w:rsidRPr="00B81CB5">
        <w:rPr>
          <w:rFonts w:ascii="Times New Roman" w:hAnsi="Times New Roman" w:cs="Times New Roman"/>
          <w:b/>
          <w:bCs/>
          <w:color w:val="000000" w:themeColor="text1"/>
          <w:sz w:val="24"/>
          <w:szCs w:val="24"/>
        </w:rPr>
        <w:t>f.</w:t>
      </w:r>
      <w:r>
        <w:rPr>
          <w:rFonts w:ascii="Times New Roman" w:hAnsi="Times New Roman" w:cs="Times New Roman"/>
          <w:color w:val="000000" w:themeColor="text1"/>
          <w:sz w:val="24"/>
          <w:szCs w:val="24"/>
        </w:rPr>
        <w:t xml:space="preserve"> Results examining the relationship between Shen-268 network average shortest path and urbanicity obtained from bifactor modeling and pollution (NO2 level) during </w:t>
      </w:r>
      <w:r w:rsidR="00720145">
        <w:rPr>
          <w:rFonts w:ascii="Times New Roman" w:hAnsi="Times New Roman" w:cs="Times New Roman"/>
          <w:color w:val="000000" w:themeColor="text1"/>
          <w:sz w:val="24"/>
          <w:szCs w:val="24"/>
        </w:rPr>
        <w:t>emotional n-back task</w:t>
      </w:r>
      <w:bookmarkEnd w:id="86"/>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591469" w14:paraId="11A596E9"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BF892C7" w14:textId="77777777" w:rsidR="00591469" w:rsidRDefault="00591469">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0A23DA1B" w14:textId="77777777" w:rsidR="00591469" w:rsidRDefault="00591469">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1C72E0F4" w14:textId="77777777" w:rsidR="00591469" w:rsidRDefault="00591469">
            <w:pPr>
              <w:rPr>
                <w:color w:val="000000"/>
              </w:rPr>
            </w:pPr>
          </w:p>
        </w:tc>
        <w:tc>
          <w:tcPr>
            <w:tcW w:w="864" w:type="dxa"/>
            <w:tcBorders>
              <w:top w:val="nil"/>
              <w:left w:val="nil"/>
              <w:bottom w:val="single" w:sz="12" w:space="0" w:color="auto"/>
              <w:right w:val="nil"/>
            </w:tcBorders>
            <w:shd w:val="clear" w:color="auto" w:fill="auto"/>
            <w:noWrap/>
            <w:vAlign w:val="bottom"/>
            <w:hideMark/>
          </w:tcPr>
          <w:p w14:paraId="7E2CAB62" w14:textId="77777777" w:rsidR="00591469" w:rsidRDefault="0059146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2B7B807" w14:textId="77777777" w:rsidR="00591469" w:rsidRDefault="0059146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D1BADE6" w14:textId="77777777" w:rsidR="00591469" w:rsidRDefault="0059146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9EB23BA" w14:textId="77777777" w:rsidR="00591469" w:rsidRDefault="0059146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CC661DF" w14:textId="77777777" w:rsidR="00591469" w:rsidRDefault="00591469">
            <w:pPr>
              <w:rPr>
                <w:sz w:val="20"/>
                <w:szCs w:val="20"/>
              </w:rPr>
            </w:pPr>
          </w:p>
        </w:tc>
      </w:tr>
      <w:tr w:rsidR="00591469" w14:paraId="535CB489"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189B1588" w14:textId="77777777" w:rsidR="00591469" w:rsidRDefault="00591469">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1095AE51" w14:textId="77777777" w:rsidR="00591469" w:rsidRDefault="00591469">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594D1DD6" w14:textId="77777777" w:rsidR="00591469" w:rsidRDefault="00591469">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7E7E6E5C" w14:textId="6B3353B9" w:rsidR="00591469" w:rsidRDefault="00591469">
            <w:pPr>
              <w:jc w:val="center"/>
              <w:rPr>
                <w:color w:val="000000"/>
                <w:sz w:val="20"/>
                <w:szCs w:val="20"/>
              </w:rPr>
            </w:pPr>
            <w:r>
              <w:rPr>
                <w:color w:val="000000"/>
                <w:sz w:val="20"/>
                <w:szCs w:val="20"/>
              </w:rPr>
              <w:t>Pollution (NO2 level)</w:t>
            </w:r>
          </w:p>
        </w:tc>
      </w:tr>
      <w:tr w:rsidR="00591469" w14:paraId="68A5E570"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2686C204" w14:textId="77777777" w:rsidR="00591469" w:rsidRDefault="00591469">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1ACDC98E" w14:textId="77777777" w:rsidR="00591469" w:rsidRDefault="00591469">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63BA059B" w14:textId="77777777" w:rsidR="00591469" w:rsidRDefault="00591469">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275EDE9" w14:textId="77777777" w:rsidR="00591469" w:rsidRDefault="00591469">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31350559" w14:textId="77777777" w:rsidR="00591469" w:rsidRDefault="00591469">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5A1AEAFE" w14:textId="77777777" w:rsidR="00591469" w:rsidRDefault="00591469">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55B5ECF0" w14:textId="77777777" w:rsidR="00591469" w:rsidRDefault="00591469">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3F4F84C9" w14:textId="77777777" w:rsidR="00591469" w:rsidRDefault="00591469">
            <w:pPr>
              <w:jc w:val="center"/>
              <w:rPr>
                <w:i/>
                <w:iCs/>
                <w:color w:val="000000"/>
                <w:sz w:val="20"/>
                <w:szCs w:val="20"/>
              </w:rPr>
            </w:pPr>
            <w:r>
              <w:rPr>
                <w:i/>
                <w:iCs/>
                <w:color w:val="000000"/>
                <w:sz w:val="20"/>
                <w:szCs w:val="20"/>
              </w:rPr>
              <w:t>R2</w:t>
            </w:r>
          </w:p>
        </w:tc>
      </w:tr>
      <w:tr w:rsidR="00591469" w14:paraId="2DCF22FF"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3F5FF266" w14:textId="77777777" w:rsidR="00591469" w:rsidRDefault="00591469">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5EE2FE6E" w14:textId="77777777" w:rsidR="00591469" w:rsidRDefault="00591469">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4547B7D3" w14:textId="77777777" w:rsidR="00591469" w:rsidRDefault="00591469">
            <w:pPr>
              <w:jc w:val="right"/>
              <w:rPr>
                <w:color w:val="000000"/>
                <w:sz w:val="20"/>
                <w:szCs w:val="20"/>
              </w:rPr>
            </w:pPr>
            <w:r>
              <w:rPr>
                <w:color w:val="000000"/>
                <w:sz w:val="20"/>
                <w:szCs w:val="20"/>
              </w:rPr>
              <w:t>0.021</w:t>
            </w:r>
          </w:p>
        </w:tc>
        <w:tc>
          <w:tcPr>
            <w:tcW w:w="864" w:type="dxa"/>
            <w:tcBorders>
              <w:top w:val="single" w:sz="12" w:space="0" w:color="auto"/>
              <w:left w:val="nil"/>
              <w:bottom w:val="nil"/>
              <w:right w:val="nil"/>
            </w:tcBorders>
            <w:shd w:val="clear" w:color="auto" w:fill="auto"/>
            <w:noWrap/>
            <w:vAlign w:val="bottom"/>
            <w:hideMark/>
          </w:tcPr>
          <w:p w14:paraId="6B63E8C6" w14:textId="77777777" w:rsidR="00591469" w:rsidRDefault="00591469">
            <w:pPr>
              <w:jc w:val="right"/>
              <w:rPr>
                <w:color w:val="000000"/>
                <w:sz w:val="20"/>
                <w:szCs w:val="20"/>
              </w:rPr>
            </w:pPr>
            <w:r>
              <w:rPr>
                <w:color w:val="000000"/>
                <w:sz w:val="20"/>
                <w:szCs w:val="20"/>
              </w:rPr>
              <w:t>0.971</w:t>
            </w:r>
          </w:p>
        </w:tc>
        <w:tc>
          <w:tcPr>
            <w:tcW w:w="864" w:type="dxa"/>
            <w:tcBorders>
              <w:top w:val="single" w:sz="12" w:space="0" w:color="auto"/>
              <w:left w:val="nil"/>
              <w:bottom w:val="nil"/>
              <w:right w:val="nil"/>
            </w:tcBorders>
            <w:shd w:val="clear" w:color="auto" w:fill="auto"/>
            <w:noWrap/>
            <w:vAlign w:val="bottom"/>
            <w:hideMark/>
          </w:tcPr>
          <w:p w14:paraId="72E5ECF0" w14:textId="77777777" w:rsidR="00591469" w:rsidRDefault="00591469">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79BF9A83" w14:textId="77777777" w:rsidR="00591469" w:rsidRDefault="00591469">
            <w:pPr>
              <w:jc w:val="right"/>
              <w:rPr>
                <w:color w:val="000000"/>
                <w:sz w:val="20"/>
                <w:szCs w:val="20"/>
              </w:rPr>
            </w:pPr>
            <w:r>
              <w:rPr>
                <w:color w:val="000000"/>
                <w:sz w:val="20"/>
                <w:szCs w:val="20"/>
              </w:rPr>
              <w:t>0.020</w:t>
            </w:r>
          </w:p>
        </w:tc>
        <w:tc>
          <w:tcPr>
            <w:tcW w:w="864" w:type="dxa"/>
            <w:tcBorders>
              <w:top w:val="single" w:sz="12" w:space="0" w:color="auto"/>
              <w:left w:val="nil"/>
              <w:bottom w:val="nil"/>
              <w:right w:val="nil"/>
            </w:tcBorders>
            <w:shd w:val="clear" w:color="auto" w:fill="auto"/>
            <w:noWrap/>
            <w:vAlign w:val="bottom"/>
            <w:hideMark/>
          </w:tcPr>
          <w:p w14:paraId="46978003" w14:textId="77777777" w:rsidR="00591469" w:rsidRDefault="00591469">
            <w:pPr>
              <w:jc w:val="right"/>
              <w:rPr>
                <w:color w:val="000000"/>
                <w:sz w:val="20"/>
                <w:szCs w:val="20"/>
              </w:rPr>
            </w:pPr>
            <w:r>
              <w:rPr>
                <w:color w:val="000000"/>
                <w:sz w:val="20"/>
                <w:szCs w:val="20"/>
              </w:rPr>
              <w:t>0.972</w:t>
            </w:r>
          </w:p>
        </w:tc>
        <w:tc>
          <w:tcPr>
            <w:tcW w:w="864" w:type="dxa"/>
            <w:tcBorders>
              <w:top w:val="single" w:sz="12" w:space="0" w:color="auto"/>
              <w:left w:val="nil"/>
              <w:bottom w:val="nil"/>
              <w:right w:val="nil"/>
            </w:tcBorders>
            <w:shd w:val="clear" w:color="auto" w:fill="auto"/>
            <w:noWrap/>
            <w:vAlign w:val="bottom"/>
            <w:hideMark/>
          </w:tcPr>
          <w:p w14:paraId="3D16C6A3" w14:textId="77777777" w:rsidR="00591469" w:rsidRDefault="00591469">
            <w:pPr>
              <w:jc w:val="right"/>
              <w:rPr>
                <w:color w:val="000000"/>
                <w:sz w:val="20"/>
                <w:szCs w:val="20"/>
              </w:rPr>
            </w:pPr>
            <w:r>
              <w:rPr>
                <w:color w:val="000000"/>
                <w:sz w:val="20"/>
                <w:szCs w:val="20"/>
              </w:rPr>
              <w:t>0.000</w:t>
            </w:r>
          </w:p>
        </w:tc>
      </w:tr>
      <w:tr w:rsidR="00591469" w14:paraId="01FA0DF1" w14:textId="77777777" w:rsidTr="008950C7">
        <w:trPr>
          <w:trHeight w:val="340"/>
        </w:trPr>
        <w:tc>
          <w:tcPr>
            <w:tcW w:w="1152" w:type="dxa"/>
            <w:tcBorders>
              <w:top w:val="nil"/>
              <w:left w:val="nil"/>
              <w:bottom w:val="nil"/>
              <w:right w:val="nil"/>
            </w:tcBorders>
            <w:shd w:val="clear" w:color="auto" w:fill="auto"/>
            <w:noWrap/>
            <w:vAlign w:val="bottom"/>
            <w:hideMark/>
          </w:tcPr>
          <w:p w14:paraId="7E7E6AEC"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D8DB37" w14:textId="77777777" w:rsidR="00591469" w:rsidRDefault="0059146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45EB401" w14:textId="77777777" w:rsidR="00591469" w:rsidRDefault="00591469">
            <w:pPr>
              <w:jc w:val="right"/>
              <w:rPr>
                <w:color w:val="000000"/>
                <w:sz w:val="20"/>
                <w:szCs w:val="20"/>
              </w:rPr>
            </w:pPr>
            <w:r>
              <w:rPr>
                <w:color w:val="000000"/>
                <w:sz w:val="20"/>
                <w:szCs w:val="20"/>
              </w:rPr>
              <w:t>0.094</w:t>
            </w:r>
          </w:p>
        </w:tc>
        <w:tc>
          <w:tcPr>
            <w:tcW w:w="864" w:type="dxa"/>
            <w:tcBorders>
              <w:top w:val="nil"/>
              <w:left w:val="nil"/>
              <w:bottom w:val="nil"/>
              <w:right w:val="nil"/>
            </w:tcBorders>
            <w:shd w:val="clear" w:color="auto" w:fill="auto"/>
            <w:noWrap/>
            <w:vAlign w:val="bottom"/>
            <w:hideMark/>
          </w:tcPr>
          <w:p w14:paraId="202C8134" w14:textId="77777777" w:rsidR="00591469" w:rsidRDefault="00591469">
            <w:pPr>
              <w:jc w:val="right"/>
              <w:rPr>
                <w:color w:val="000000"/>
                <w:sz w:val="20"/>
                <w:szCs w:val="20"/>
              </w:rPr>
            </w:pPr>
            <w:r>
              <w:rPr>
                <w:color w:val="000000"/>
                <w:sz w:val="20"/>
                <w:szCs w:val="20"/>
              </w:rPr>
              <w:t>0.312</w:t>
            </w:r>
          </w:p>
        </w:tc>
        <w:tc>
          <w:tcPr>
            <w:tcW w:w="864" w:type="dxa"/>
            <w:tcBorders>
              <w:top w:val="nil"/>
              <w:left w:val="nil"/>
              <w:bottom w:val="nil"/>
              <w:right w:val="nil"/>
            </w:tcBorders>
            <w:shd w:val="clear" w:color="auto" w:fill="auto"/>
            <w:noWrap/>
            <w:vAlign w:val="bottom"/>
            <w:hideMark/>
          </w:tcPr>
          <w:p w14:paraId="66655E83" w14:textId="77777777" w:rsidR="00591469" w:rsidRDefault="00591469">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59E7B163" w14:textId="77777777" w:rsidR="00591469" w:rsidRDefault="00591469">
            <w:pPr>
              <w:jc w:val="right"/>
              <w:rPr>
                <w:color w:val="000000"/>
                <w:sz w:val="20"/>
                <w:szCs w:val="20"/>
              </w:rPr>
            </w:pPr>
            <w:r>
              <w:rPr>
                <w:color w:val="000000"/>
                <w:sz w:val="20"/>
                <w:szCs w:val="20"/>
              </w:rPr>
              <w:t>0.097</w:t>
            </w:r>
          </w:p>
        </w:tc>
        <w:tc>
          <w:tcPr>
            <w:tcW w:w="864" w:type="dxa"/>
            <w:tcBorders>
              <w:top w:val="nil"/>
              <w:left w:val="nil"/>
              <w:bottom w:val="nil"/>
              <w:right w:val="nil"/>
            </w:tcBorders>
            <w:shd w:val="clear" w:color="auto" w:fill="auto"/>
            <w:noWrap/>
            <w:vAlign w:val="bottom"/>
            <w:hideMark/>
          </w:tcPr>
          <w:p w14:paraId="288D0F17" w14:textId="77777777" w:rsidR="00591469" w:rsidRDefault="00591469">
            <w:pPr>
              <w:jc w:val="right"/>
              <w:rPr>
                <w:color w:val="000000"/>
                <w:sz w:val="20"/>
                <w:szCs w:val="20"/>
              </w:rPr>
            </w:pPr>
            <w:r>
              <w:rPr>
                <w:color w:val="000000"/>
                <w:sz w:val="20"/>
                <w:szCs w:val="20"/>
              </w:rPr>
              <w:t>0.128</w:t>
            </w:r>
          </w:p>
        </w:tc>
        <w:tc>
          <w:tcPr>
            <w:tcW w:w="864" w:type="dxa"/>
            <w:tcBorders>
              <w:top w:val="nil"/>
              <w:left w:val="nil"/>
              <w:bottom w:val="nil"/>
              <w:right w:val="nil"/>
            </w:tcBorders>
            <w:shd w:val="clear" w:color="auto" w:fill="auto"/>
            <w:noWrap/>
            <w:vAlign w:val="bottom"/>
            <w:hideMark/>
          </w:tcPr>
          <w:p w14:paraId="46889CF4" w14:textId="77777777" w:rsidR="00591469" w:rsidRDefault="00591469">
            <w:pPr>
              <w:jc w:val="right"/>
              <w:rPr>
                <w:color w:val="000000"/>
                <w:sz w:val="20"/>
                <w:szCs w:val="20"/>
              </w:rPr>
            </w:pPr>
            <w:r>
              <w:rPr>
                <w:color w:val="000000"/>
                <w:sz w:val="20"/>
                <w:szCs w:val="20"/>
              </w:rPr>
              <w:t>0.009</w:t>
            </w:r>
          </w:p>
        </w:tc>
      </w:tr>
      <w:tr w:rsidR="00591469" w14:paraId="6334013A" w14:textId="77777777" w:rsidTr="008950C7">
        <w:trPr>
          <w:trHeight w:val="320"/>
        </w:trPr>
        <w:tc>
          <w:tcPr>
            <w:tcW w:w="1152" w:type="dxa"/>
            <w:tcBorders>
              <w:top w:val="nil"/>
              <w:left w:val="nil"/>
              <w:bottom w:val="nil"/>
              <w:right w:val="nil"/>
            </w:tcBorders>
            <w:shd w:val="clear" w:color="auto" w:fill="auto"/>
            <w:noWrap/>
            <w:vAlign w:val="bottom"/>
            <w:hideMark/>
          </w:tcPr>
          <w:p w14:paraId="70F58D19"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732DAEB" w14:textId="77777777" w:rsidR="00591469" w:rsidRDefault="0059146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50523E5" w14:textId="77777777" w:rsidR="00591469" w:rsidRDefault="00591469">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013EB65A" w14:textId="77777777" w:rsidR="00591469" w:rsidRDefault="00591469">
            <w:pPr>
              <w:jc w:val="right"/>
              <w:rPr>
                <w:color w:val="000000"/>
                <w:sz w:val="20"/>
                <w:szCs w:val="20"/>
              </w:rPr>
            </w:pPr>
            <w:r>
              <w:rPr>
                <w:color w:val="000000"/>
                <w:sz w:val="20"/>
                <w:szCs w:val="20"/>
              </w:rPr>
              <w:t>0.971</w:t>
            </w:r>
          </w:p>
        </w:tc>
        <w:tc>
          <w:tcPr>
            <w:tcW w:w="864" w:type="dxa"/>
            <w:tcBorders>
              <w:top w:val="nil"/>
              <w:left w:val="nil"/>
              <w:bottom w:val="nil"/>
              <w:right w:val="nil"/>
            </w:tcBorders>
            <w:shd w:val="clear" w:color="auto" w:fill="auto"/>
            <w:noWrap/>
            <w:vAlign w:val="bottom"/>
            <w:hideMark/>
          </w:tcPr>
          <w:p w14:paraId="5DE649F9" w14:textId="77777777" w:rsidR="00591469" w:rsidRDefault="0059146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6B0C6E6" w14:textId="77777777" w:rsidR="00591469" w:rsidRDefault="00591469">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6CB4B02" w14:textId="77777777" w:rsidR="00591469" w:rsidRDefault="00591469">
            <w:pPr>
              <w:jc w:val="right"/>
              <w:rPr>
                <w:color w:val="000000"/>
                <w:sz w:val="20"/>
                <w:szCs w:val="20"/>
              </w:rPr>
            </w:pPr>
            <w:r>
              <w:rPr>
                <w:color w:val="000000"/>
                <w:sz w:val="20"/>
                <w:szCs w:val="20"/>
              </w:rPr>
              <w:t>0.972</w:t>
            </w:r>
          </w:p>
        </w:tc>
        <w:tc>
          <w:tcPr>
            <w:tcW w:w="864" w:type="dxa"/>
            <w:tcBorders>
              <w:top w:val="nil"/>
              <w:left w:val="nil"/>
              <w:bottom w:val="nil"/>
              <w:right w:val="nil"/>
            </w:tcBorders>
            <w:shd w:val="clear" w:color="auto" w:fill="auto"/>
            <w:noWrap/>
            <w:vAlign w:val="bottom"/>
            <w:hideMark/>
          </w:tcPr>
          <w:p w14:paraId="60096351" w14:textId="77777777" w:rsidR="00591469" w:rsidRDefault="00591469">
            <w:pPr>
              <w:jc w:val="right"/>
              <w:rPr>
                <w:color w:val="000000"/>
                <w:sz w:val="20"/>
                <w:szCs w:val="20"/>
              </w:rPr>
            </w:pPr>
            <w:r>
              <w:rPr>
                <w:color w:val="000000"/>
                <w:sz w:val="20"/>
                <w:szCs w:val="20"/>
              </w:rPr>
              <w:t>0.000</w:t>
            </w:r>
          </w:p>
        </w:tc>
      </w:tr>
      <w:tr w:rsidR="00591469" w14:paraId="08FA2821" w14:textId="77777777" w:rsidTr="008950C7">
        <w:trPr>
          <w:trHeight w:val="320"/>
        </w:trPr>
        <w:tc>
          <w:tcPr>
            <w:tcW w:w="1152" w:type="dxa"/>
            <w:tcBorders>
              <w:top w:val="nil"/>
              <w:left w:val="nil"/>
              <w:bottom w:val="nil"/>
              <w:right w:val="nil"/>
            </w:tcBorders>
            <w:shd w:val="clear" w:color="auto" w:fill="auto"/>
            <w:noWrap/>
            <w:vAlign w:val="bottom"/>
            <w:hideMark/>
          </w:tcPr>
          <w:p w14:paraId="5D1FF000"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D47195A" w14:textId="77777777" w:rsidR="00591469" w:rsidRDefault="0059146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BA45402" w14:textId="77777777" w:rsidR="00591469" w:rsidRDefault="00591469">
            <w:pPr>
              <w:jc w:val="right"/>
              <w:rPr>
                <w:color w:val="000000"/>
                <w:sz w:val="20"/>
                <w:szCs w:val="20"/>
              </w:rPr>
            </w:pPr>
            <w:r>
              <w:rPr>
                <w:color w:val="000000"/>
                <w:sz w:val="20"/>
                <w:szCs w:val="20"/>
              </w:rPr>
              <w:t>-0.077</w:t>
            </w:r>
          </w:p>
        </w:tc>
        <w:tc>
          <w:tcPr>
            <w:tcW w:w="864" w:type="dxa"/>
            <w:tcBorders>
              <w:top w:val="nil"/>
              <w:left w:val="nil"/>
              <w:bottom w:val="nil"/>
              <w:right w:val="nil"/>
            </w:tcBorders>
            <w:shd w:val="clear" w:color="auto" w:fill="auto"/>
            <w:noWrap/>
            <w:vAlign w:val="bottom"/>
            <w:hideMark/>
          </w:tcPr>
          <w:p w14:paraId="0A37A10E" w14:textId="77777777" w:rsidR="00591469" w:rsidRDefault="00591469">
            <w:pPr>
              <w:jc w:val="right"/>
              <w:rPr>
                <w:color w:val="000000"/>
                <w:sz w:val="20"/>
                <w:szCs w:val="20"/>
              </w:rPr>
            </w:pPr>
            <w:r>
              <w:rPr>
                <w:color w:val="000000"/>
                <w:sz w:val="20"/>
                <w:szCs w:val="20"/>
              </w:rPr>
              <w:t>0.918</w:t>
            </w:r>
          </w:p>
        </w:tc>
        <w:tc>
          <w:tcPr>
            <w:tcW w:w="864" w:type="dxa"/>
            <w:tcBorders>
              <w:top w:val="nil"/>
              <w:left w:val="nil"/>
              <w:bottom w:val="nil"/>
              <w:right w:val="nil"/>
            </w:tcBorders>
            <w:shd w:val="clear" w:color="auto" w:fill="auto"/>
            <w:noWrap/>
            <w:vAlign w:val="bottom"/>
            <w:hideMark/>
          </w:tcPr>
          <w:p w14:paraId="132A3EC6" w14:textId="77777777" w:rsidR="00591469" w:rsidRDefault="00591469">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56B6FD9B" w14:textId="77777777" w:rsidR="00591469" w:rsidRDefault="00591469">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452C0EAE" w14:textId="77777777" w:rsidR="00591469" w:rsidRDefault="00591469">
            <w:pPr>
              <w:jc w:val="right"/>
              <w:rPr>
                <w:color w:val="000000"/>
                <w:sz w:val="20"/>
                <w:szCs w:val="20"/>
              </w:rPr>
            </w:pPr>
            <w:r>
              <w:rPr>
                <w:color w:val="000000"/>
                <w:sz w:val="20"/>
                <w:szCs w:val="20"/>
              </w:rPr>
              <w:t>0.972</w:t>
            </w:r>
          </w:p>
        </w:tc>
        <w:tc>
          <w:tcPr>
            <w:tcW w:w="864" w:type="dxa"/>
            <w:tcBorders>
              <w:top w:val="nil"/>
              <w:left w:val="nil"/>
              <w:bottom w:val="nil"/>
              <w:right w:val="nil"/>
            </w:tcBorders>
            <w:shd w:val="clear" w:color="auto" w:fill="auto"/>
            <w:noWrap/>
            <w:vAlign w:val="bottom"/>
            <w:hideMark/>
          </w:tcPr>
          <w:p w14:paraId="463C0E37" w14:textId="77777777" w:rsidR="00591469" w:rsidRDefault="00591469">
            <w:pPr>
              <w:jc w:val="right"/>
              <w:rPr>
                <w:color w:val="000000"/>
                <w:sz w:val="20"/>
                <w:szCs w:val="20"/>
              </w:rPr>
            </w:pPr>
            <w:r>
              <w:rPr>
                <w:color w:val="000000"/>
                <w:sz w:val="20"/>
                <w:szCs w:val="20"/>
              </w:rPr>
              <w:t>0.000</w:t>
            </w:r>
          </w:p>
        </w:tc>
      </w:tr>
      <w:tr w:rsidR="00591469" w14:paraId="0C278030" w14:textId="77777777" w:rsidTr="008950C7">
        <w:trPr>
          <w:trHeight w:val="320"/>
        </w:trPr>
        <w:tc>
          <w:tcPr>
            <w:tcW w:w="1152" w:type="dxa"/>
            <w:tcBorders>
              <w:top w:val="nil"/>
              <w:left w:val="nil"/>
              <w:bottom w:val="nil"/>
              <w:right w:val="nil"/>
            </w:tcBorders>
            <w:shd w:val="clear" w:color="auto" w:fill="auto"/>
            <w:noWrap/>
            <w:vAlign w:val="bottom"/>
            <w:hideMark/>
          </w:tcPr>
          <w:p w14:paraId="7FE22CC9"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2DD2111" w14:textId="77777777" w:rsidR="00591469" w:rsidRDefault="0059146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84A615E"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88624F8" w14:textId="77777777" w:rsidR="00591469" w:rsidRDefault="00591469">
            <w:pPr>
              <w:jc w:val="right"/>
              <w:rPr>
                <w:color w:val="000000"/>
                <w:sz w:val="20"/>
                <w:szCs w:val="20"/>
              </w:rPr>
            </w:pPr>
            <w:r>
              <w:rPr>
                <w:color w:val="000000"/>
                <w:sz w:val="20"/>
                <w:szCs w:val="20"/>
              </w:rPr>
              <w:t>0.997</w:t>
            </w:r>
          </w:p>
        </w:tc>
        <w:tc>
          <w:tcPr>
            <w:tcW w:w="864" w:type="dxa"/>
            <w:tcBorders>
              <w:top w:val="nil"/>
              <w:left w:val="nil"/>
              <w:bottom w:val="nil"/>
              <w:right w:val="nil"/>
            </w:tcBorders>
            <w:shd w:val="clear" w:color="auto" w:fill="auto"/>
            <w:noWrap/>
            <w:vAlign w:val="bottom"/>
            <w:hideMark/>
          </w:tcPr>
          <w:p w14:paraId="4D45256B"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0B9664A" w14:textId="77777777" w:rsidR="00591469" w:rsidRDefault="00591469">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13961EB8" w14:textId="77777777" w:rsidR="00591469" w:rsidRDefault="00591469">
            <w:pPr>
              <w:jc w:val="right"/>
              <w:rPr>
                <w:color w:val="000000"/>
                <w:sz w:val="20"/>
                <w:szCs w:val="20"/>
              </w:rPr>
            </w:pPr>
            <w:r>
              <w:rPr>
                <w:color w:val="000000"/>
                <w:sz w:val="20"/>
                <w:szCs w:val="20"/>
              </w:rPr>
              <w:t>0.972</w:t>
            </w:r>
          </w:p>
        </w:tc>
        <w:tc>
          <w:tcPr>
            <w:tcW w:w="864" w:type="dxa"/>
            <w:tcBorders>
              <w:top w:val="nil"/>
              <w:left w:val="nil"/>
              <w:bottom w:val="nil"/>
              <w:right w:val="nil"/>
            </w:tcBorders>
            <w:shd w:val="clear" w:color="auto" w:fill="auto"/>
            <w:noWrap/>
            <w:vAlign w:val="bottom"/>
            <w:hideMark/>
          </w:tcPr>
          <w:p w14:paraId="012539D0" w14:textId="77777777" w:rsidR="00591469" w:rsidRDefault="00591469">
            <w:pPr>
              <w:jc w:val="right"/>
              <w:rPr>
                <w:color w:val="000000"/>
                <w:sz w:val="20"/>
                <w:szCs w:val="20"/>
              </w:rPr>
            </w:pPr>
            <w:r>
              <w:rPr>
                <w:color w:val="000000"/>
                <w:sz w:val="20"/>
                <w:szCs w:val="20"/>
              </w:rPr>
              <w:t>0.000</w:t>
            </w:r>
          </w:p>
        </w:tc>
      </w:tr>
      <w:tr w:rsidR="00591469" w14:paraId="211AB332" w14:textId="77777777" w:rsidTr="008950C7">
        <w:trPr>
          <w:trHeight w:val="320"/>
        </w:trPr>
        <w:tc>
          <w:tcPr>
            <w:tcW w:w="1152" w:type="dxa"/>
            <w:tcBorders>
              <w:top w:val="nil"/>
              <w:left w:val="nil"/>
              <w:bottom w:val="nil"/>
              <w:right w:val="nil"/>
            </w:tcBorders>
            <w:shd w:val="clear" w:color="auto" w:fill="auto"/>
            <w:noWrap/>
            <w:vAlign w:val="bottom"/>
            <w:hideMark/>
          </w:tcPr>
          <w:p w14:paraId="626D5793"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7C59934" w14:textId="77777777" w:rsidR="00591469" w:rsidRDefault="0059146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293262D" w14:textId="77777777" w:rsidR="00591469" w:rsidRDefault="00591469">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322C4E5C" w14:textId="77777777" w:rsidR="00591469" w:rsidRDefault="00591469">
            <w:pPr>
              <w:jc w:val="right"/>
              <w:rPr>
                <w:color w:val="000000"/>
                <w:sz w:val="20"/>
                <w:szCs w:val="20"/>
              </w:rPr>
            </w:pPr>
            <w:r>
              <w:rPr>
                <w:color w:val="000000"/>
                <w:sz w:val="20"/>
                <w:szCs w:val="20"/>
              </w:rPr>
              <w:t>0.985</w:t>
            </w:r>
          </w:p>
        </w:tc>
        <w:tc>
          <w:tcPr>
            <w:tcW w:w="864" w:type="dxa"/>
            <w:tcBorders>
              <w:top w:val="nil"/>
              <w:left w:val="nil"/>
              <w:bottom w:val="nil"/>
              <w:right w:val="nil"/>
            </w:tcBorders>
            <w:shd w:val="clear" w:color="auto" w:fill="auto"/>
            <w:noWrap/>
            <w:vAlign w:val="bottom"/>
            <w:hideMark/>
          </w:tcPr>
          <w:p w14:paraId="68C6FA3C"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47AAF55" w14:textId="77777777" w:rsidR="00591469" w:rsidRDefault="00591469">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61A51A0E" w14:textId="77777777" w:rsidR="00591469" w:rsidRDefault="00591469">
            <w:pPr>
              <w:jc w:val="right"/>
              <w:rPr>
                <w:color w:val="000000"/>
                <w:sz w:val="20"/>
                <w:szCs w:val="20"/>
              </w:rPr>
            </w:pPr>
            <w:r>
              <w:rPr>
                <w:color w:val="000000"/>
                <w:sz w:val="20"/>
                <w:szCs w:val="20"/>
              </w:rPr>
              <w:t>0.972</w:t>
            </w:r>
          </w:p>
        </w:tc>
        <w:tc>
          <w:tcPr>
            <w:tcW w:w="864" w:type="dxa"/>
            <w:tcBorders>
              <w:top w:val="nil"/>
              <w:left w:val="nil"/>
              <w:bottom w:val="nil"/>
              <w:right w:val="nil"/>
            </w:tcBorders>
            <w:shd w:val="clear" w:color="auto" w:fill="auto"/>
            <w:noWrap/>
            <w:vAlign w:val="bottom"/>
            <w:hideMark/>
          </w:tcPr>
          <w:p w14:paraId="15E5848C" w14:textId="77777777" w:rsidR="00591469" w:rsidRDefault="00591469">
            <w:pPr>
              <w:jc w:val="right"/>
              <w:rPr>
                <w:color w:val="000000"/>
                <w:sz w:val="20"/>
                <w:szCs w:val="20"/>
              </w:rPr>
            </w:pPr>
            <w:r>
              <w:rPr>
                <w:color w:val="000000"/>
                <w:sz w:val="20"/>
                <w:szCs w:val="20"/>
              </w:rPr>
              <w:t>0.000</w:t>
            </w:r>
          </w:p>
        </w:tc>
      </w:tr>
      <w:tr w:rsidR="00591469" w14:paraId="0CE35FA4" w14:textId="77777777" w:rsidTr="008950C7">
        <w:trPr>
          <w:trHeight w:val="320"/>
        </w:trPr>
        <w:tc>
          <w:tcPr>
            <w:tcW w:w="1152" w:type="dxa"/>
            <w:tcBorders>
              <w:top w:val="nil"/>
              <w:left w:val="nil"/>
              <w:bottom w:val="nil"/>
              <w:right w:val="nil"/>
            </w:tcBorders>
            <w:shd w:val="clear" w:color="auto" w:fill="auto"/>
            <w:noWrap/>
            <w:vAlign w:val="bottom"/>
            <w:hideMark/>
          </w:tcPr>
          <w:p w14:paraId="185951D2"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5A491CC" w14:textId="77777777" w:rsidR="00591469" w:rsidRDefault="0059146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57A14E8" w14:textId="77777777" w:rsidR="00591469" w:rsidRDefault="00591469">
            <w:pPr>
              <w:jc w:val="right"/>
              <w:rPr>
                <w:color w:val="000000"/>
                <w:sz w:val="20"/>
                <w:szCs w:val="20"/>
              </w:rPr>
            </w:pPr>
            <w:r>
              <w:rPr>
                <w:color w:val="000000"/>
                <w:sz w:val="20"/>
                <w:szCs w:val="20"/>
              </w:rPr>
              <w:t>-0.114</w:t>
            </w:r>
          </w:p>
        </w:tc>
        <w:tc>
          <w:tcPr>
            <w:tcW w:w="864" w:type="dxa"/>
            <w:tcBorders>
              <w:top w:val="nil"/>
              <w:left w:val="nil"/>
              <w:bottom w:val="nil"/>
              <w:right w:val="nil"/>
            </w:tcBorders>
            <w:shd w:val="clear" w:color="auto" w:fill="auto"/>
            <w:noWrap/>
            <w:vAlign w:val="bottom"/>
            <w:hideMark/>
          </w:tcPr>
          <w:p w14:paraId="3780BAEF" w14:textId="77777777" w:rsidR="00591469" w:rsidRDefault="00591469">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60903492" w14:textId="77777777" w:rsidR="00591469" w:rsidRDefault="00591469">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173DA566" w14:textId="77777777" w:rsidR="00591469" w:rsidRDefault="00591469">
            <w:pPr>
              <w:jc w:val="right"/>
              <w:rPr>
                <w:color w:val="000000"/>
                <w:sz w:val="20"/>
                <w:szCs w:val="20"/>
              </w:rPr>
            </w:pPr>
            <w:r>
              <w:rPr>
                <w:color w:val="000000"/>
                <w:sz w:val="20"/>
                <w:szCs w:val="20"/>
              </w:rPr>
              <w:t>-0.072</w:t>
            </w:r>
          </w:p>
        </w:tc>
        <w:tc>
          <w:tcPr>
            <w:tcW w:w="864" w:type="dxa"/>
            <w:tcBorders>
              <w:top w:val="nil"/>
              <w:left w:val="nil"/>
              <w:bottom w:val="nil"/>
              <w:right w:val="nil"/>
            </w:tcBorders>
            <w:shd w:val="clear" w:color="auto" w:fill="auto"/>
            <w:noWrap/>
            <w:vAlign w:val="bottom"/>
            <w:hideMark/>
          </w:tcPr>
          <w:p w14:paraId="32FF0429" w14:textId="77777777" w:rsidR="00591469" w:rsidRDefault="00591469">
            <w:pPr>
              <w:jc w:val="right"/>
              <w:rPr>
                <w:color w:val="000000"/>
                <w:sz w:val="20"/>
                <w:szCs w:val="20"/>
              </w:rPr>
            </w:pPr>
            <w:r>
              <w:rPr>
                <w:color w:val="000000"/>
                <w:sz w:val="20"/>
                <w:szCs w:val="20"/>
              </w:rPr>
              <w:t>0.304</w:t>
            </w:r>
          </w:p>
        </w:tc>
        <w:tc>
          <w:tcPr>
            <w:tcW w:w="864" w:type="dxa"/>
            <w:tcBorders>
              <w:top w:val="nil"/>
              <w:left w:val="nil"/>
              <w:bottom w:val="nil"/>
              <w:right w:val="nil"/>
            </w:tcBorders>
            <w:shd w:val="clear" w:color="auto" w:fill="auto"/>
            <w:noWrap/>
            <w:vAlign w:val="bottom"/>
            <w:hideMark/>
          </w:tcPr>
          <w:p w14:paraId="7C4F6505" w14:textId="77777777" w:rsidR="00591469" w:rsidRDefault="00591469">
            <w:pPr>
              <w:jc w:val="right"/>
              <w:rPr>
                <w:color w:val="000000"/>
                <w:sz w:val="20"/>
                <w:szCs w:val="20"/>
              </w:rPr>
            </w:pPr>
            <w:r>
              <w:rPr>
                <w:color w:val="000000"/>
                <w:sz w:val="20"/>
                <w:szCs w:val="20"/>
              </w:rPr>
              <w:t>0.005</w:t>
            </w:r>
          </w:p>
        </w:tc>
      </w:tr>
      <w:tr w:rsidR="00591469" w14:paraId="596A139E" w14:textId="77777777" w:rsidTr="008950C7">
        <w:trPr>
          <w:trHeight w:val="320"/>
        </w:trPr>
        <w:tc>
          <w:tcPr>
            <w:tcW w:w="1152" w:type="dxa"/>
            <w:tcBorders>
              <w:top w:val="nil"/>
              <w:left w:val="nil"/>
              <w:bottom w:val="single" w:sz="4" w:space="0" w:color="auto"/>
              <w:right w:val="nil"/>
            </w:tcBorders>
            <w:shd w:val="clear" w:color="auto" w:fill="auto"/>
            <w:noWrap/>
            <w:vAlign w:val="bottom"/>
            <w:hideMark/>
          </w:tcPr>
          <w:p w14:paraId="09D8BC92" w14:textId="77777777" w:rsidR="00591469" w:rsidRDefault="00591469">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5AC6E409" w14:textId="77777777" w:rsidR="00591469" w:rsidRDefault="00591469">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1B27138D" w14:textId="77777777" w:rsidR="00591469" w:rsidRDefault="00591469">
            <w:pPr>
              <w:jc w:val="right"/>
              <w:rPr>
                <w:color w:val="000000"/>
                <w:sz w:val="20"/>
                <w:szCs w:val="20"/>
              </w:rPr>
            </w:pPr>
            <w:r>
              <w:rPr>
                <w:color w:val="000000"/>
                <w:sz w:val="20"/>
                <w:szCs w:val="20"/>
              </w:rPr>
              <w:t>-0.044</w:t>
            </w:r>
          </w:p>
        </w:tc>
        <w:tc>
          <w:tcPr>
            <w:tcW w:w="864" w:type="dxa"/>
            <w:tcBorders>
              <w:top w:val="nil"/>
              <w:left w:val="nil"/>
              <w:bottom w:val="single" w:sz="4" w:space="0" w:color="auto"/>
              <w:right w:val="nil"/>
            </w:tcBorders>
            <w:shd w:val="clear" w:color="auto" w:fill="auto"/>
            <w:noWrap/>
            <w:vAlign w:val="bottom"/>
            <w:hideMark/>
          </w:tcPr>
          <w:p w14:paraId="4525B960" w14:textId="77777777" w:rsidR="00591469" w:rsidRDefault="00591469">
            <w:pPr>
              <w:jc w:val="right"/>
              <w:rPr>
                <w:color w:val="000000"/>
                <w:sz w:val="20"/>
                <w:szCs w:val="20"/>
              </w:rPr>
            </w:pPr>
            <w:r>
              <w:rPr>
                <w:color w:val="000000"/>
                <w:sz w:val="20"/>
                <w:szCs w:val="20"/>
              </w:rPr>
              <w:t>0.918</w:t>
            </w:r>
          </w:p>
        </w:tc>
        <w:tc>
          <w:tcPr>
            <w:tcW w:w="864" w:type="dxa"/>
            <w:tcBorders>
              <w:top w:val="nil"/>
              <w:left w:val="nil"/>
              <w:bottom w:val="single" w:sz="4" w:space="0" w:color="auto"/>
              <w:right w:val="nil"/>
            </w:tcBorders>
            <w:shd w:val="clear" w:color="auto" w:fill="auto"/>
            <w:noWrap/>
            <w:vAlign w:val="bottom"/>
            <w:hideMark/>
          </w:tcPr>
          <w:p w14:paraId="534577B5" w14:textId="77777777" w:rsidR="00591469" w:rsidRDefault="00591469">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2B0E40CF" w14:textId="77777777" w:rsidR="00591469" w:rsidRDefault="00591469">
            <w:pPr>
              <w:jc w:val="right"/>
              <w:rPr>
                <w:color w:val="000000"/>
                <w:sz w:val="20"/>
                <w:szCs w:val="20"/>
              </w:rPr>
            </w:pPr>
            <w:r>
              <w:rPr>
                <w:color w:val="000000"/>
                <w:sz w:val="20"/>
                <w:szCs w:val="20"/>
              </w:rPr>
              <w:t>-0.044</w:t>
            </w:r>
          </w:p>
        </w:tc>
        <w:tc>
          <w:tcPr>
            <w:tcW w:w="864" w:type="dxa"/>
            <w:tcBorders>
              <w:top w:val="nil"/>
              <w:left w:val="nil"/>
              <w:bottom w:val="single" w:sz="4" w:space="0" w:color="auto"/>
              <w:right w:val="nil"/>
            </w:tcBorders>
            <w:shd w:val="clear" w:color="auto" w:fill="auto"/>
            <w:noWrap/>
            <w:vAlign w:val="bottom"/>
            <w:hideMark/>
          </w:tcPr>
          <w:p w14:paraId="5CD907CF" w14:textId="77777777" w:rsidR="00591469" w:rsidRDefault="00591469">
            <w:pPr>
              <w:jc w:val="right"/>
              <w:rPr>
                <w:color w:val="000000"/>
                <w:sz w:val="20"/>
                <w:szCs w:val="20"/>
              </w:rPr>
            </w:pPr>
            <w:r>
              <w:rPr>
                <w:color w:val="000000"/>
                <w:sz w:val="20"/>
                <w:szCs w:val="20"/>
              </w:rPr>
              <w:t>0.972</w:t>
            </w:r>
          </w:p>
        </w:tc>
        <w:tc>
          <w:tcPr>
            <w:tcW w:w="864" w:type="dxa"/>
            <w:tcBorders>
              <w:top w:val="nil"/>
              <w:left w:val="nil"/>
              <w:bottom w:val="single" w:sz="4" w:space="0" w:color="auto"/>
              <w:right w:val="nil"/>
            </w:tcBorders>
            <w:shd w:val="clear" w:color="auto" w:fill="auto"/>
            <w:noWrap/>
            <w:vAlign w:val="bottom"/>
            <w:hideMark/>
          </w:tcPr>
          <w:p w14:paraId="0D0D7C66" w14:textId="77777777" w:rsidR="00591469" w:rsidRDefault="00591469">
            <w:pPr>
              <w:jc w:val="right"/>
              <w:rPr>
                <w:color w:val="000000"/>
                <w:sz w:val="20"/>
                <w:szCs w:val="20"/>
              </w:rPr>
            </w:pPr>
            <w:r>
              <w:rPr>
                <w:color w:val="000000"/>
                <w:sz w:val="20"/>
                <w:szCs w:val="20"/>
              </w:rPr>
              <w:t>0.002</w:t>
            </w:r>
          </w:p>
        </w:tc>
      </w:tr>
      <w:tr w:rsidR="00591469" w14:paraId="12DF7572" w14:textId="77777777" w:rsidTr="008950C7">
        <w:trPr>
          <w:trHeight w:val="320"/>
        </w:trPr>
        <w:tc>
          <w:tcPr>
            <w:tcW w:w="1152" w:type="dxa"/>
            <w:tcBorders>
              <w:top w:val="nil"/>
              <w:left w:val="nil"/>
              <w:bottom w:val="nil"/>
              <w:right w:val="nil"/>
            </w:tcBorders>
            <w:shd w:val="clear" w:color="auto" w:fill="auto"/>
            <w:noWrap/>
            <w:vAlign w:val="bottom"/>
            <w:hideMark/>
          </w:tcPr>
          <w:p w14:paraId="557F87F0" w14:textId="77777777" w:rsidR="00591469" w:rsidRDefault="00591469">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188EDF7A" w14:textId="77777777" w:rsidR="00591469" w:rsidRDefault="00591469">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C200444" w14:textId="77777777" w:rsidR="00591469" w:rsidRDefault="00591469">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33508057" w14:textId="77777777" w:rsidR="00591469" w:rsidRDefault="00591469">
            <w:pPr>
              <w:jc w:val="right"/>
              <w:rPr>
                <w:color w:val="000000"/>
                <w:sz w:val="20"/>
                <w:szCs w:val="20"/>
              </w:rPr>
            </w:pPr>
            <w:r>
              <w:rPr>
                <w:color w:val="000000"/>
                <w:sz w:val="20"/>
                <w:szCs w:val="20"/>
              </w:rPr>
              <w:t>0.926</w:t>
            </w:r>
          </w:p>
        </w:tc>
        <w:tc>
          <w:tcPr>
            <w:tcW w:w="864" w:type="dxa"/>
            <w:tcBorders>
              <w:top w:val="nil"/>
              <w:left w:val="nil"/>
              <w:bottom w:val="nil"/>
              <w:right w:val="nil"/>
            </w:tcBorders>
            <w:shd w:val="clear" w:color="auto" w:fill="auto"/>
            <w:noWrap/>
            <w:vAlign w:val="bottom"/>
            <w:hideMark/>
          </w:tcPr>
          <w:p w14:paraId="32586911"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4C37464" w14:textId="77777777" w:rsidR="00591469" w:rsidRDefault="00591469">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5954D12E" w14:textId="77777777" w:rsidR="00591469" w:rsidRDefault="00591469">
            <w:pPr>
              <w:jc w:val="right"/>
              <w:rPr>
                <w:color w:val="000000"/>
                <w:sz w:val="20"/>
                <w:szCs w:val="20"/>
              </w:rPr>
            </w:pPr>
            <w:r>
              <w:rPr>
                <w:color w:val="000000"/>
                <w:sz w:val="20"/>
                <w:szCs w:val="20"/>
              </w:rPr>
              <w:t>0.944</w:t>
            </w:r>
          </w:p>
        </w:tc>
        <w:tc>
          <w:tcPr>
            <w:tcW w:w="864" w:type="dxa"/>
            <w:tcBorders>
              <w:top w:val="nil"/>
              <w:left w:val="nil"/>
              <w:bottom w:val="nil"/>
              <w:right w:val="nil"/>
            </w:tcBorders>
            <w:shd w:val="clear" w:color="auto" w:fill="auto"/>
            <w:noWrap/>
            <w:vAlign w:val="bottom"/>
            <w:hideMark/>
          </w:tcPr>
          <w:p w14:paraId="25E9BC09" w14:textId="77777777" w:rsidR="00591469" w:rsidRDefault="00591469">
            <w:pPr>
              <w:jc w:val="right"/>
              <w:rPr>
                <w:color w:val="000000"/>
                <w:sz w:val="20"/>
                <w:szCs w:val="20"/>
              </w:rPr>
            </w:pPr>
            <w:r>
              <w:rPr>
                <w:color w:val="000000"/>
                <w:sz w:val="20"/>
                <w:szCs w:val="20"/>
              </w:rPr>
              <w:t>0.000</w:t>
            </w:r>
          </w:p>
        </w:tc>
      </w:tr>
      <w:tr w:rsidR="00591469" w14:paraId="44D6A8D1" w14:textId="77777777" w:rsidTr="008950C7">
        <w:trPr>
          <w:trHeight w:val="320"/>
        </w:trPr>
        <w:tc>
          <w:tcPr>
            <w:tcW w:w="1152" w:type="dxa"/>
            <w:tcBorders>
              <w:top w:val="nil"/>
              <w:left w:val="nil"/>
              <w:bottom w:val="nil"/>
              <w:right w:val="nil"/>
            </w:tcBorders>
            <w:shd w:val="clear" w:color="auto" w:fill="auto"/>
            <w:noWrap/>
            <w:vAlign w:val="bottom"/>
            <w:hideMark/>
          </w:tcPr>
          <w:p w14:paraId="21A95787"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88FA9F6" w14:textId="77777777" w:rsidR="00591469" w:rsidRDefault="0059146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A782CFE" w14:textId="77777777" w:rsidR="00591469" w:rsidRDefault="00591469">
            <w:pPr>
              <w:jc w:val="right"/>
              <w:rPr>
                <w:color w:val="000000"/>
                <w:sz w:val="20"/>
                <w:szCs w:val="20"/>
              </w:rPr>
            </w:pPr>
            <w:r>
              <w:rPr>
                <w:color w:val="000000"/>
                <w:sz w:val="20"/>
                <w:szCs w:val="20"/>
              </w:rPr>
              <w:t>0.078</w:t>
            </w:r>
          </w:p>
        </w:tc>
        <w:tc>
          <w:tcPr>
            <w:tcW w:w="864" w:type="dxa"/>
            <w:tcBorders>
              <w:top w:val="nil"/>
              <w:left w:val="nil"/>
              <w:bottom w:val="nil"/>
              <w:right w:val="nil"/>
            </w:tcBorders>
            <w:shd w:val="clear" w:color="auto" w:fill="auto"/>
            <w:noWrap/>
            <w:vAlign w:val="bottom"/>
            <w:hideMark/>
          </w:tcPr>
          <w:p w14:paraId="2F62D208" w14:textId="77777777" w:rsidR="00591469" w:rsidRDefault="00591469">
            <w:pPr>
              <w:jc w:val="right"/>
              <w:rPr>
                <w:color w:val="000000"/>
                <w:sz w:val="20"/>
                <w:szCs w:val="20"/>
              </w:rPr>
            </w:pPr>
            <w:r>
              <w:rPr>
                <w:color w:val="000000"/>
                <w:sz w:val="20"/>
                <w:szCs w:val="20"/>
              </w:rPr>
              <w:t>0.248</w:t>
            </w:r>
          </w:p>
        </w:tc>
        <w:tc>
          <w:tcPr>
            <w:tcW w:w="864" w:type="dxa"/>
            <w:tcBorders>
              <w:top w:val="nil"/>
              <w:left w:val="nil"/>
              <w:bottom w:val="nil"/>
              <w:right w:val="nil"/>
            </w:tcBorders>
            <w:shd w:val="clear" w:color="auto" w:fill="auto"/>
            <w:noWrap/>
            <w:vAlign w:val="bottom"/>
            <w:hideMark/>
          </w:tcPr>
          <w:p w14:paraId="7D205ADD" w14:textId="77777777" w:rsidR="00591469" w:rsidRDefault="00591469">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5D4AC7F2" w14:textId="77777777" w:rsidR="00591469" w:rsidRDefault="00591469">
            <w:pPr>
              <w:jc w:val="right"/>
              <w:rPr>
                <w:b/>
                <w:bCs/>
                <w:color w:val="000000"/>
                <w:sz w:val="20"/>
                <w:szCs w:val="20"/>
              </w:rPr>
            </w:pPr>
            <w:r>
              <w:rPr>
                <w:b/>
                <w:bCs/>
                <w:color w:val="000000"/>
                <w:sz w:val="20"/>
                <w:szCs w:val="20"/>
              </w:rPr>
              <w:t>0.098</w:t>
            </w:r>
          </w:p>
        </w:tc>
        <w:tc>
          <w:tcPr>
            <w:tcW w:w="864" w:type="dxa"/>
            <w:tcBorders>
              <w:top w:val="nil"/>
              <w:left w:val="nil"/>
              <w:bottom w:val="nil"/>
              <w:right w:val="nil"/>
            </w:tcBorders>
            <w:shd w:val="clear" w:color="auto" w:fill="auto"/>
            <w:noWrap/>
            <w:vAlign w:val="bottom"/>
            <w:hideMark/>
          </w:tcPr>
          <w:p w14:paraId="18E56BE7" w14:textId="77777777" w:rsidR="00591469" w:rsidRDefault="00591469">
            <w:pPr>
              <w:jc w:val="right"/>
              <w:rPr>
                <w:b/>
                <w:bCs/>
                <w:color w:val="000000"/>
                <w:sz w:val="20"/>
                <w:szCs w:val="20"/>
              </w:rPr>
            </w:pPr>
            <w:r>
              <w:rPr>
                <w:b/>
                <w:bCs/>
                <w:color w:val="000000"/>
                <w:sz w:val="20"/>
                <w:szCs w:val="20"/>
              </w:rPr>
              <w:t>0.016</w:t>
            </w:r>
          </w:p>
        </w:tc>
        <w:tc>
          <w:tcPr>
            <w:tcW w:w="864" w:type="dxa"/>
            <w:tcBorders>
              <w:top w:val="nil"/>
              <w:left w:val="nil"/>
              <w:bottom w:val="nil"/>
              <w:right w:val="nil"/>
            </w:tcBorders>
            <w:shd w:val="clear" w:color="auto" w:fill="auto"/>
            <w:noWrap/>
            <w:vAlign w:val="bottom"/>
            <w:hideMark/>
          </w:tcPr>
          <w:p w14:paraId="3469405B" w14:textId="77777777" w:rsidR="00591469" w:rsidRDefault="00591469">
            <w:pPr>
              <w:jc w:val="right"/>
              <w:rPr>
                <w:b/>
                <w:bCs/>
                <w:color w:val="000000"/>
                <w:sz w:val="20"/>
                <w:szCs w:val="20"/>
              </w:rPr>
            </w:pPr>
            <w:r>
              <w:rPr>
                <w:b/>
                <w:bCs/>
                <w:color w:val="000000"/>
                <w:sz w:val="20"/>
                <w:szCs w:val="20"/>
              </w:rPr>
              <w:t>0.010</w:t>
            </w:r>
          </w:p>
        </w:tc>
      </w:tr>
      <w:tr w:rsidR="00591469" w14:paraId="3C80B1AC" w14:textId="77777777" w:rsidTr="008950C7">
        <w:trPr>
          <w:trHeight w:val="320"/>
        </w:trPr>
        <w:tc>
          <w:tcPr>
            <w:tcW w:w="1152" w:type="dxa"/>
            <w:tcBorders>
              <w:top w:val="nil"/>
              <w:left w:val="nil"/>
              <w:bottom w:val="nil"/>
              <w:right w:val="nil"/>
            </w:tcBorders>
            <w:shd w:val="clear" w:color="auto" w:fill="auto"/>
            <w:noWrap/>
            <w:vAlign w:val="bottom"/>
            <w:hideMark/>
          </w:tcPr>
          <w:p w14:paraId="7A1737E2" w14:textId="77777777" w:rsidR="00591469" w:rsidRDefault="00591469">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67C7D0C3" w14:textId="77777777" w:rsidR="00591469" w:rsidRDefault="0059146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7A0A5D3" w14:textId="77777777" w:rsidR="00591469" w:rsidRDefault="00591469">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69067973" w14:textId="77777777" w:rsidR="00591469" w:rsidRDefault="00591469">
            <w:pPr>
              <w:jc w:val="right"/>
              <w:rPr>
                <w:color w:val="000000"/>
                <w:sz w:val="20"/>
                <w:szCs w:val="20"/>
              </w:rPr>
            </w:pPr>
            <w:r>
              <w:rPr>
                <w:color w:val="000000"/>
                <w:sz w:val="20"/>
                <w:szCs w:val="20"/>
              </w:rPr>
              <w:t>0.534</w:t>
            </w:r>
          </w:p>
        </w:tc>
        <w:tc>
          <w:tcPr>
            <w:tcW w:w="864" w:type="dxa"/>
            <w:tcBorders>
              <w:top w:val="nil"/>
              <w:left w:val="nil"/>
              <w:bottom w:val="nil"/>
              <w:right w:val="nil"/>
            </w:tcBorders>
            <w:shd w:val="clear" w:color="auto" w:fill="auto"/>
            <w:noWrap/>
            <w:vAlign w:val="bottom"/>
            <w:hideMark/>
          </w:tcPr>
          <w:p w14:paraId="386E1CE6" w14:textId="77777777" w:rsidR="00591469" w:rsidRDefault="0059146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73578183" w14:textId="77777777" w:rsidR="00591469" w:rsidRDefault="00591469">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7F10763F" w14:textId="77777777" w:rsidR="00591469" w:rsidRDefault="00591469">
            <w:pPr>
              <w:jc w:val="right"/>
              <w:rPr>
                <w:color w:val="000000"/>
                <w:sz w:val="20"/>
                <w:szCs w:val="20"/>
              </w:rPr>
            </w:pPr>
            <w:r>
              <w:rPr>
                <w:color w:val="000000"/>
                <w:sz w:val="20"/>
                <w:szCs w:val="20"/>
              </w:rPr>
              <w:t>0.538</w:t>
            </w:r>
          </w:p>
        </w:tc>
        <w:tc>
          <w:tcPr>
            <w:tcW w:w="864" w:type="dxa"/>
            <w:tcBorders>
              <w:top w:val="nil"/>
              <w:left w:val="nil"/>
              <w:bottom w:val="nil"/>
              <w:right w:val="nil"/>
            </w:tcBorders>
            <w:shd w:val="clear" w:color="auto" w:fill="auto"/>
            <w:noWrap/>
            <w:vAlign w:val="bottom"/>
            <w:hideMark/>
          </w:tcPr>
          <w:p w14:paraId="3595523D" w14:textId="77777777" w:rsidR="00591469" w:rsidRDefault="00591469">
            <w:pPr>
              <w:jc w:val="right"/>
              <w:rPr>
                <w:color w:val="000000"/>
                <w:sz w:val="20"/>
                <w:szCs w:val="20"/>
              </w:rPr>
            </w:pPr>
            <w:r>
              <w:rPr>
                <w:color w:val="000000"/>
                <w:sz w:val="20"/>
                <w:szCs w:val="20"/>
              </w:rPr>
              <w:t>0.003</w:t>
            </w:r>
          </w:p>
        </w:tc>
      </w:tr>
      <w:tr w:rsidR="00591469" w14:paraId="09E3F702" w14:textId="77777777" w:rsidTr="008950C7">
        <w:trPr>
          <w:trHeight w:val="320"/>
        </w:trPr>
        <w:tc>
          <w:tcPr>
            <w:tcW w:w="1152" w:type="dxa"/>
            <w:tcBorders>
              <w:top w:val="nil"/>
              <w:left w:val="nil"/>
              <w:bottom w:val="nil"/>
              <w:right w:val="nil"/>
            </w:tcBorders>
            <w:shd w:val="clear" w:color="auto" w:fill="auto"/>
            <w:noWrap/>
            <w:vAlign w:val="bottom"/>
            <w:hideMark/>
          </w:tcPr>
          <w:p w14:paraId="302CE036"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4A25175" w14:textId="77777777" w:rsidR="00591469" w:rsidRDefault="0059146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21BC72E" w14:textId="77777777" w:rsidR="00591469" w:rsidRDefault="00591469">
            <w:pPr>
              <w:jc w:val="right"/>
              <w:rPr>
                <w:color w:val="000000"/>
                <w:sz w:val="20"/>
                <w:szCs w:val="20"/>
              </w:rPr>
            </w:pPr>
            <w:r>
              <w:rPr>
                <w:color w:val="000000"/>
                <w:sz w:val="20"/>
                <w:szCs w:val="20"/>
              </w:rPr>
              <w:t>-0.067</w:t>
            </w:r>
          </w:p>
        </w:tc>
        <w:tc>
          <w:tcPr>
            <w:tcW w:w="864" w:type="dxa"/>
            <w:tcBorders>
              <w:top w:val="nil"/>
              <w:left w:val="nil"/>
              <w:bottom w:val="nil"/>
              <w:right w:val="nil"/>
            </w:tcBorders>
            <w:shd w:val="clear" w:color="auto" w:fill="auto"/>
            <w:noWrap/>
            <w:vAlign w:val="bottom"/>
            <w:hideMark/>
          </w:tcPr>
          <w:p w14:paraId="1EB4E2BD" w14:textId="77777777" w:rsidR="00591469" w:rsidRDefault="00591469">
            <w:pPr>
              <w:jc w:val="right"/>
              <w:rPr>
                <w:color w:val="000000"/>
                <w:sz w:val="20"/>
                <w:szCs w:val="20"/>
              </w:rPr>
            </w:pPr>
            <w:r>
              <w:rPr>
                <w:color w:val="000000"/>
                <w:sz w:val="20"/>
                <w:szCs w:val="20"/>
              </w:rPr>
              <w:t>0.408</w:t>
            </w:r>
          </w:p>
        </w:tc>
        <w:tc>
          <w:tcPr>
            <w:tcW w:w="864" w:type="dxa"/>
            <w:tcBorders>
              <w:top w:val="nil"/>
              <w:left w:val="nil"/>
              <w:bottom w:val="nil"/>
              <w:right w:val="nil"/>
            </w:tcBorders>
            <w:shd w:val="clear" w:color="auto" w:fill="auto"/>
            <w:noWrap/>
            <w:vAlign w:val="bottom"/>
            <w:hideMark/>
          </w:tcPr>
          <w:p w14:paraId="1C6B3AE3" w14:textId="77777777" w:rsidR="00591469" w:rsidRDefault="00591469">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58BEE237" w14:textId="77777777" w:rsidR="00591469" w:rsidRDefault="00591469">
            <w:pPr>
              <w:jc w:val="right"/>
              <w:rPr>
                <w:color w:val="000000"/>
                <w:sz w:val="20"/>
                <w:szCs w:val="20"/>
              </w:rPr>
            </w:pPr>
            <w:r>
              <w:rPr>
                <w:color w:val="000000"/>
                <w:sz w:val="20"/>
                <w:szCs w:val="20"/>
              </w:rPr>
              <w:t>-0.083</w:t>
            </w:r>
          </w:p>
        </w:tc>
        <w:tc>
          <w:tcPr>
            <w:tcW w:w="864" w:type="dxa"/>
            <w:tcBorders>
              <w:top w:val="nil"/>
              <w:left w:val="nil"/>
              <w:bottom w:val="nil"/>
              <w:right w:val="nil"/>
            </w:tcBorders>
            <w:shd w:val="clear" w:color="auto" w:fill="auto"/>
            <w:noWrap/>
            <w:vAlign w:val="bottom"/>
            <w:hideMark/>
          </w:tcPr>
          <w:p w14:paraId="2DF94A53" w14:textId="77777777" w:rsidR="00591469" w:rsidRDefault="00591469">
            <w:pPr>
              <w:jc w:val="right"/>
              <w:rPr>
                <w:color w:val="000000"/>
                <w:sz w:val="20"/>
                <w:szCs w:val="20"/>
              </w:rPr>
            </w:pPr>
            <w:r>
              <w:rPr>
                <w:color w:val="000000"/>
                <w:sz w:val="20"/>
                <w:szCs w:val="20"/>
              </w:rPr>
              <w:t>0.184</w:t>
            </w:r>
          </w:p>
        </w:tc>
        <w:tc>
          <w:tcPr>
            <w:tcW w:w="864" w:type="dxa"/>
            <w:tcBorders>
              <w:top w:val="nil"/>
              <w:left w:val="nil"/>
              <w:bottom w:val="nil"/>
              <w:right w:val="nil"/>
            </w:tcBorders>
            <w:shd w:val="clear" w:color="auto" w:fill="auto"/>
            <w:noWrap/>
            <w:vAlign w:val="bottom"/>
            <w:hideMark/>
          </w:tcPr>
          <w:p w14:paraId="4FA50CAC" w14:textId="77777777" w:rsidR="00591469" w:rsidRDefault="00591469">
            <w:pPr>
              <w:jc w:val="right"/>
              <w:rPr>
                <w:color w:val="000000"/>
                <w:sz w:val="20"/>
                <w:szCs w:val="20"/>
              </w:rPr>
            </w:pPr>
            <w:r>
              <w:rPr>
                <w:color w:val="000000"/>
                <w:sz w:val="20"/>
                <w:szCs w:val="20"/>
              </w:rPr>
              <w:t>0.007</w:t>
            </w:r>
          </w:p>
        </w:tc>
      </w:tr>
      <w:tr w:rsidR="00591469" w14:paraId="5BACCF1A" w14:textId="77777777" w:rsidTr="008950C7">
        <w:trPr>
          <w:trHeight w:val="320"/>
        </w:trPr>
        <w:tc>
          <w:tcPr>
            <w:tcW w:w="1152" w:type="dxa"/>
            <w:tcBorders>
              <w:top w:val="nil"/>
              <w:left w:val="nil"/>
              <w:bottom w:val="nil"/>
              <w:right w:val="nil"/>
            </w:tcBorders>
            <w:shd w:val="clear" w:color="auto" w:fill="auto"/>
            <w:noWrap/>
            <w:vAlign w:val="bottom"/>
            <w:hideMark/>
          </w:tcPr>
          <w:p w14:paraId="0987B703"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8492CE" w14:textId="77777777" w:rsidR="00591469" w:rsidRDefault="0059146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700C2D4" w14:textId="77777777" w:rsidR="00591469" w:rsidRDefault="00591469">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133EF844" w14:textId="77777777" w:rsidR="00591469" w:rsidRDefault="00591469">
            <w:pPr>
              <w:jc w:val="right"/>
              <w:rPr>
                <w:color w:val="000000"/>
                <w:sz w:val="20"/>
                <w:szCs w:val="20"/>
              </w:rPr>
            </w:pPr>
            <w:r>
              <w:rPr>
                <w:color w:val="000000"/>
                <w:sz w:val="20"/>
                <w:szCs w:val="20"/>
              </w:rPr>
              <w:t>0.926</w:t>
            </w:r>
          </w:p>
        </w:tc>
        <w:tc>
          <w:tcPr>
            <w:tcW w:w="864" w:type="dxa"/>
            <w:tcBorders>
              <w:top w:val="nil"/>
              <w:left w:val="nil"/>
              <w:bottom w:val="nil"/>
              <w:right w:val="nil"/>
            </w:tcBorders>
            <w:shd w:val="clear" w:color="auto" w:fill="auto"/>
            <w:noWrap/>
            <w:vAlign w:val="bottom"/>
            <w:hideMark/>
          </w:tcPr>
          <w:p w14:paraId="71C6F37C"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877D162" w14:textId="77777777" w:rsidR="00591469" w:rsidRDefault="00591469">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27A887D3" w14:textId="77777777" w:rsidR="00591469" w:rsidRDefault="00591469">
            <w:pPr>
              <w:jc w:val="right"/>
              <w:rPr>
                <w:color w:val="000000"/>
                <w:sz w:val="20"/>
                <w:szCs w:val="20"/>
              </w:rPr>
            </w:pPr>
            <w:r>
              <w:rPr>
                <w:color w:val="000000"/>
                <w:sz w:val="20"/>
                <w:szCs w:val="20"/>
              </w:rPr>
              <w:t>0.944</w:t>
            </w:r>
          </w:p>
        </w:tc>
        <w:tc>
          <w:tcPr>
            <w:tcW w:w="864" w:type="dxa"/>
            <w:tcBorders>
              <w:top w:val="nil"/>
              <w:left w:val="nil"/>
              <w:bottom w:val="nil"/>
              <w:right w:val="nil"/>
            </w:tcBorders>
            <w:shd w:val="clear" w:color="auto" w:fill="auto"/>
            <w:noWrap/>
            <w:vAlign w:val="bottom"/>
            <w:hideMark/>
          </w:tcPr>
          <w:p w14:paraId="076F80CC" w14:textId="77777777" w:rsidR="00591469" w:rsidRDefault="00591469">
            <w:pPr>
              <w:jc w:val="right"/>
              <w:rPr>
                <w:color w:val="000000"/>
                <w:sz w:val="20"/>
                <w:szCs w:val="20"/>
              </w:rPr>
            </w:pPr>
            <w:r>
              <w:rPr>
                <w:color w:val="000000"/>
                <w:sz w:val="20"/>
                <w:szCs w:val="20"/>
              </w:rPr>
              <w:t>0.000</w:t>
            </w:r>
          </w:p>
        </w:tc>
      </w:tr>
      <w:tr w:rsidR="00591469" w14:paraId="2D2E9234" w14:textId="77777777" w:rsidTr="008950C7">
        <w:trPr>
          <w:trHeight w:val="320"/>
        </w:trPr>
        <w:tc>
          <w:tcPr>
            <w:tcW w:w="1152" w:type="dxa"/>
            <w:tcBorders>
              <w:top w:val="nil"/>
              <w:left w:val="nil"/>
              <w:bottom w:val="nil"/>
              <w:right w:val="nil"/>
            </w:tcBorders>
            <w:shd w:val="clear" w:color="auto" w:fill="auto"/>
            <w:noWrap/>
            <w:vAlign w:val="bottom"/>
            <w:hideMark/>
          </w:tcPr>
          <w:p w14:paraId="0F91ECBE"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33F5C2" w14:textId="77777777" w:rsidR="00591469" w:rsidRDefault="0059146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0681149" w14:textId="77777777" w:rsidR="00591469" w:rsidRDefault="0059146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36BD018" w14:textId="77777777" w:rsidR="00591469" w:rsidRDefault="00591469">
            <w:pPr>
              <w:jc w:val="right"/>
              <w:rPr>
                <w:color w:val="000000"/>
                <w:sz w:val="20"/>
                <w:szCs w:val="20"/>
              </w:rPr>
            </w:pPr>
            <w:r>
              <w:rPr>
                <w:color w:val="000000"/>
                <w:sz w:val="20"/>
                <w:szCs w:val="20"/>
              </w:rPr>
              <w:t>0.926</w:t>
            </w:r>
          </w:p>
        </w:tc>
        <w:tc>
          <w:tcPr>
            <w:tcW w:w="864" w:type="dxa"/>
            <w:tcBorders>
              <w:top w:val="nil"/>
              <w:left w:val="nil"/>
              <w:bottom w:val="nil"/>
              <w:right w:val="nil"/>
            </w:tcBorders>
            <w:shd w:val="clear" w:color="auto" w:fill="auto"/>
            <w:noWrap/>
            <w:vAlign w:val="bottom"/>
            <w:hideMark/>
          </w:tcPr>
          <w:p w14:paraId="6A1B19DC"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CBBF167" w14:textId="77777777" w:rsidR="00591469" w:rsidRDefault="0059146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4128C626" w14:textId="77777777" w:rsidR="00591469" w:rsidRDefault="00591469">
            <w:pPr>
              <w:jc w:val="right"/>
              <w:rPr>
                <w:color w:val="000000"/>
                <w:sz w:val="20"/>
                <w:szCs w:val="20"/>
              </w:rPr>
            </w:pPr>
            <w:r>
              <w:rPr>
                <w:color w:val="000000"/>
                <w:sz w:val="20"/>
                <w:szCs w:val="20"/>
              </w:rPr>
              <w:t>0.944</w:t>
            </w:r>
          </w:p>
        </w:tc>
        <w:tc>
          <w:tcPr>
            <w:tcW w:w="864" w:type="dxa"/>
            <w:tcBorders>
              <w:top w:val="nil"/>
              <w:left w:val="nil"/>
              <w:bottom w:val="nil"/>
              <w:right w:val="nil"/>
            </w:tcBorders>
            <w:shd w:val="clear" w:color="auto" w:fill="auto"/>
            <w:noWrap/>
            <w:vAlign w:val="bottom"/>
            <w:hideMark/>
          </w:tcPr>
          <w:p w14:paraId="54466F74" w14:textId="77777777" w:rsidR="00591469" w:rsidRDefault="00591469">
            <w:pPr>
              <w:jc w:val="right"/>
              <w:rPr>
                <w:color w:val="000000"/>
                <w:sz w:val="20"/>
                <w:szCs w:val="20"/>
              </w:rPr>
            </w:pPr>
            <w:r>
              <w:rPr>
                <w:color w:val="000000"/>
                <w:sz w:val="20"/>
                <w:szCs w:val="20"/>
              </w:rPr>
              <w:t>0.000</w:t>
            </w:r>
          </w:p>
        </w:tc>
      </w:tr>
      <w:tr w:rsidR="00591469" w14:paraId="2CB385AE" w14:textId="77777777" w:rsidTr="008950C7">
        <w:trPr>
          <w:trHeight w:val="320"/>
        </w:trPr>
        <w:tc>
          <w:tcPr>
            <w:tcW w:w="1152" w:type="dxa"/>
            <w:tcBorders>
              <w:top w:val="nil"/>
              <w:left w:val="nil"/>
              <w:bottom w:val="nil"/>
              <w:right w:val="nil"/>
            </w:tcBorders>
            <w:shd w:val="clear" w:color="auto" w:fill="auto"/>
            <w:noWrap/>
            <w:vAlign w:val="bottom"/>
            <w:hideMark/>
          </w:tcPr>
          <w:p w14:paraId="6EAB9F4B"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90AE83F" w14:textId="77777777" w:rsidR="00591469" w:rsidRDefault="0059146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27C9739" w14:textId="77777777" w:rsidR="00591469" w:rsidRDefault="00591469">
            <w:pPr>
              <w:jc w:val="right"/>
              <w:rPr>
                <w:color w:val="000000"/>
                <w:sz w:val="20"/>
                <w:szCs w:val="20"/>
              </w:rPr>
            </w:pPr>
            <w:r>
              <w:rPr>
                <w:color w:val="000000"/>
                <w:sz w:val="20"/>
                <w:szCs w:val="20"/>
              </w:rPr>
              <w:t>-0.071</w:t>
            </w:r>
          </w:p>
        </w:tc>
        <w:tc>
          <w:tcPr>
            <w:tcW w:w="864" w:type="dxa"/>
            <w:tcBorders>
              <w:top w:val="nil"/>
              <w:left w:val="nil"/>
              <w:bottom w:val="nil"/>
              <w:right w:val="nil"/>
            </w:tcBorders>
            <w:shd w:val="clear" w:color="auto" w:fill="auto"/>
            <w:noWrap/>
            <w:vAlign w:val="bottom"/>
            <w:hideMark/>
          </w:tcPr>
          <w:p w14:paraId="40C2337C" w14:textId="77777777" w:rsidR="00591469" w:rsidRDefault="00591469">
            <w:pPr>
              <w:jc w:val="right"/>
              <w:rPr>
                <w:color w:val="000000"/>
                <w:sz w:val="20"/>
                <w:szCs w:val="20"/>
              </w:rPr>
            </w:pPr>
            <w:r>
              <w:rPr>
                <w:color w:val="000000"/>
                <w:sz w:val="20"/>
                <w:szCs w:val="20"/>
              </w:rPr>
              <w:t>0.248</w:t>
            </w:r>
          </w:p>
        </w:tc>
        <w:tc>
          <w:tcPr>
            <w:tcW w:w="864" w:type="dxa"/>
            <w:tcBorders>
              <w:top w:val="nil"/>
              <w:left w:val="nil"/>
              <w:bottom w:val="nil"/>
              <w:right w:val="nil"/>
            </w:tcBorders>
            <w:shd w:val="clear" w:color="auto" w:fill="auto"/>
            <w:noWrap/>
            <w:vAlign w:val="bottom"/>
            <w:hideMark/>
          </w:tcPr>
          <w:p w14:paraId="753DE45A" w14:textId="77777777" w:rsidR="00591469" w:rsidRDefault="00591469">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626E3566" w14:textId="77777777" w:rsidR="00591469" w:rsidRDefault="00591469">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390368B1" w14:textId="77777777" w:rsidR="00591469" w:rsidRDefault="00591469">
            <w:pPr>
              <w:jc w:val="right"/>
              <w:rPr>
                <w:color w:val="000000"/>
                <w:sz w:val="20"/>
                <w:szCs w:val="20"/>
              </w:rPr>
            </w:pPr>
            <w:r>
              <w:rPr>
                <w:color w:val="000000"/>
                <w:sz w:val="20"/>
                <w:szCs w:val="20"/>
              </w:rPr>
              <w:t>0.504</w:t>
            </w:r>
          </w:p>
        </w:tc>
        <w:tc>
          <w:tcPr>
            <w:tcW w:w="864" w:type="dxa"/>
            <w:tcBorders>
              <w:top w:val="nil"/>
              <w:left w:val="nil"/>
              <w:bottom w:val="nil"/>
              <w:right w:val="nil"/>
            </w:tcBorders>
            <w:shd w:val="clear" w:color="auto" w:fill="auto"/>
            <w:noWrap/>
            <w:vAlign w:val="bottom"/>
            <w:hideMark/>
          </w:tcPr>
          <w:p w14:paraId="52D41196" w14:textId="77777777" w:rsidR="00591469" w:rsidRDefault="00591469">
            <w:pPr>
              <w:jc w:val="right"/>
              <w:rPr>
                <w:color w:val="000000"/>
                <w:sz w:val="20"/>
                <w:szCs w:val="20"/>
              </w:rPr>
            </w:pPr>
            <w:r>
              <w:rPr>
                <w:color w:val="000000"/>
                <w:sz w:val="20"/>
                <w:szCs w:val="20"/>
              </w:rPr>
              <w:t>0.002</w:t>
            </w:r>
          </w:p>
        </w:tc>
      </w:tr>
      <w:tr w:rsidR="00591469" w14:paraId="2CD706E9" w14:textId="77777777" w:rsidTr="008950C7">
        <w:trPr>
          <w:trHeight w:val="320"/>
        </w:trPr>
        <w:tc>
          <w:tcPr>
            <w:tcW w:w="1152" w:type="dxa"/>
            <w:tcBorders>
              <w:top w:val="nil"/>
              <w:left w:val="nil"/>
              <w:bottom w:val="single" w:sz="4" w:space="0" w:color="auto"/>
              <w:right w:val="nil"/>
            </w:tcBorders>
            <w:shd w:val="clear" w:color="auto" w:fill="auto"/>
            <w:noWrap/>
            <w:vAlign w:val="bottom"/>
            <w:hideMark/>
          </w:tcPr>
          <w:p w14:paraId="7E1C240C" w14:textId="77777777" w:rsidR="00591469" w:rsidRDefault="00591469">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189FD746" w14:textId="77777777" w:rsidR="00591469" w:rsidRDefault="00591469">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7125618" w14:textId="77777777" w:rsidR="00591469" w:rsidRDefault="00591469">
            <w:pPr>
              <w:jc w:val="right"/>
              <w:rPr>
                <w:color w:val="000000"/>
                <w:sz w:val="20"/>
                <w:szCs w:val="20"/>
              </w:rPr>
            </w:pPr>
            <w:r>
              <w:rPr>
                <w:color w:val="000000"/>
                <w:sz w:val="20"/>
                <w:szCs w:val="20"/>
              </w:rPr>
              <w:t>-0.030</w:t>
            </w:r>
          </w:p>
        </w:tc>
        <w:tc>
          <w:tcPr>
            <w:tcW w:w="864" w:type="dxa"/>
            <w:tcBorders>
              <w:top w:val="nil"/>
              <w:left w:val="nil"/>
              <w:bottom w:val="single" w:sz="4" w:space="0" w:color="auto"/>
              <w:right w:val="nil"/>
            </w:tcBorders>
            <w:shd w:val="clear" w:color="auto" w:fill="auto"/>
            <w:noWrap/>
            <w:vAlign w:val="bottom"/>
            <w:hideMark/>
          </w:tcPr>
          <w:p w14:paraId="257DC35E" w14:textId="77777777" w:rsidR="00591469" w:rsidRDefault="00591469">
            <w:pPr>
              <w:jc w:val="right"/>
              <w:rPr>
                <w:color w:val="000000"/>
                <w:sz w:val="20"/>
                <w:szCs w:val="20"/>
              </w:rPr>
            </w:pPr>
            <w:r>
              <w:rPr>
                <w:color w:val="000000"/>
                <w:sz w:val="20"/>
                <w:szCs w:val="20"/>
              </w:rPr>
              <w:t>0.710</w:t>
            </w:r>
          </w:p>
        </w:tc>
        <w:tc>
          <w:tcPr>
            <w:tcW w:w="864" w:type="dxa"/>
            <w:tcBorders>
              <w:top w:val="nil"/>
              <w:left w:val="nil"/>
              <w:bottom w:val="single" w:sz="4" w:space="0" w:color="auto"/>
              <w:right w:val="nil"/>
            </w:tcBorders>
            <w:shd w:val="clear" w:color="auto" w:fill="auto"/>
            <w:noWrap/>
            <w:vAlign w:val="bottom"/>
            <w:hideMark/>
          </w:tcPr>
          <w:p w14:paraId="64BCAF29" w14:textId="77777777" w:rsidR="00591469" w:rsidRDefault="00591469">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359892B5" w14:textId="77777777" w:rsidR="00591469" w:rsidRDefault="00591469">
            <w:pPr>
              <w:jc w:val="right"/>
              <w:rPr>
                <w:color w:val="000000"/>
                <w:sz w:val="20"/>
                <w:szCs w:val="20"/>
              </w:rPr>
            </w:pPr>
            <w:r>
              <w:rPr>
                <w:color w:val="000000"/>
                <w:sz w:val="20"/>
                <w:szCs w:val="20"/>
              </w:rPr>
              <w:t>0.003</w:t>
            </w:r>
          </w:p>
        </w:tc>
        <w:tc>
          <w:tcPr>
            <w:tcW w:w="864" w:type="dxa"/>
            <w:tcBorders>
              <w:top w:val="nil"/>
              <w:left w:val="nil"/>
              <w:bottom w:val="single" w:sz="4" w:space="0" w:color="auto"/>
              <w:right w:val="nil"/>
            </w:tcBorders>
            <w:shd w:val="clear" w:color="auto" w:fill="auto"/>
            <w:noWrap/>
            <w:vAlign w:val="bottom"/>
            <w:hideMark/>
          </w:tcPr>
          <w:p w14:paraId="3941094A" w14:textId="77777777" w:rsidR="00591469" w:rsidRDefault="00591469">
            <w:pPr>
              <w:jc w:val="right"/>
              <w:rPr>
                <w:color w:val="000000"/>
                <w:sz w:val="20"/>
                <w:szCs w:val="20"/>
              </w:rPr>
            </w:pPr>
            <w:r>
              <w:rPr>
                <w:color w:val="000000"/>
                <w:sz w:val="20"/>
                <w:szCs w:val="20"/>
              </w:rPr>
              <w:t>0.944</w:t>
            </w:r>
          </w:p>
        </w:tc>
        <w:tc>
          <w:tcPr>
            <w:tcW w:w="864" w:type="dxa"/>
            <w:tcBorders>
              <w:top w:val="nil"/>
              <w:left w:val="nil"/>
              <w:bottom w:val="single" w:sz="4" w:space="0" w:color="auto"/>
              <w:right w:val="nil"/>
            </w:tcBorders>
            <w:shd w:val="clear" w:color="auto" w:fill="auto"/>
            <w:noWrap/>
            <w:vAlign w:val="bottom"/>
            <w:hideMark/>
          </w:tcPr>
          <w:p w14:paraId="0F0E2611" w14:textId="77777777" w:rsidR="00591469" w:rsidRDefault="00591469">
            <w:pPr>
              <w:jc w:val="right"/>
              <w:rPr>
                <w:color w:val="000000"/>
                <w:sz w:val="20"/>
                <w:szCs w:val="20"/>
              </w:rPr>
            </w:pPr>
            <w:r>
              <w:rPr>
                <w:color w:val="000000"/>
                <w:sz w:val="20"/>
                <w:szCs w:val="20"/>
              </w:rPr>
              <w:t>0.000</w:t>
            </w:r>
          </w:p>
        </w:tc>
      </w:tr>
      <w:tr w:rsidR="00591469" w14:paraId="3B2ECA3F" w14:textId="77777777" w:rsidTr="008950C7">
        <w:trPr>
          <w:trHeight w:val="320"/>
        </w:trPr>
        <w:tc>
          <w:tcPr>
            <w:tcW w:w="1152" w:type="dxa"/>
            <w:tcBorders>
              <w:top w:val="nil"/>
              <w:left w:val="nil"/>
              <w:bottom w:val="nil"/>
              <w:right w:val="nil"/>
            </w:tcBorders>
            <w:shd w:val="clear" w:color="auto" w:fill="auto"/>
            <w:noWrap/>
            <w:vAlign w:val="bottom"/>
            <w:hideMark/>
          </w:tcPr>
          <w:p w14:paraId="5030DCFA" w14:textId="77777777" w:rsidR="00591469" w:rsidRDefault="00591469">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7D9A55D5" w14:textId="77777777" w:rsidR="00591469" w:rsidRDefault="00591469">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24DBC59D" w14:textId="77777777" w:rsidR="00591469" w:rsidRDefault="00591469">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1E38EDFB" w14:textId="77777777" w:rsidR="00591469" w:rsidRDefault="00591469">
            <w:pPr>
              <w:jc w:val="right"/>
              <w:rPr>
                <w:color w:val="000000"/>
                <w:sz w:val="20"/>
                <w:szCs w:val="20"/>
              </w:rPr>
            </w:pPr>
            <w:r>
              <w:rPr>
                <w:color w:val="000000"/>
                <w:sz w:val="20"/>
                <w:szCs w:val="20"/>
              </w:rPr>
              <w:t>0.623</w:t>
            </w:r>
          </w:p>
        </w:tc>
        <w:tc>
          <w:tcPr>
            <w:tcW w:w="864" w:type="dxa"/>
            <w:tcBorders>
              <w:top w:val="nil"/>
              <w:left w:val="nil"/>
              <w:bottom w:val="nil"/>
              <w:right w:val="nil"/>
            </w:tcBorders>
            <w:shd w:val="clear" w:color="auto" w:fill="auto"/>
            <w:noWrap/>
            <w:vAlign w:val="bottom"/>
            <w:hideMark/>
          </w:tcPr>
          <w:p w14:paraId="090E76C7"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AEF5370" w14:textId="77777777" w:rsidR="00591469" w:rsidRDefault="00591469">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1A60AA6F" w14:textId="77777777" w:rsidR="00591469" w:rsidRDefault="00591469">
            <w:pPr>
              <w:jc w:val="right"/>
              <w:rPr>
                <w:color w:val="000000"/>
                <w:sz w:val="20"/>
                <w:szCs w:val="20"/>
              </w:rPr>
            </w:pPr>
            <w:r>
              <w:rPr>
                <w:color w:val="000000"/>
                <w:sz w:val="20"/>
                <w:szCs w:val="20"/>
              </w:rPr>
              <w:t>0.897</w:t>
            </w:r>
          </w:p>
        </w:tc>
        <w:tc>
          <w:tcPr>
            <w:tcW w:w="864" w:type="dxa"/>
            <w:tcBorders>
              <w:top w:val="nil"/>
              <w:left w:val="nil"/>
              <w:bottom w:val="nil"/>
              <w:right w:val="nil"/>
            </w:tcBorders>
            <w:shd w:val="clear" w:color="auto" w:fill="auto"/>
            <w:noWrap/>
            <w:vAlign w:val="bottom"/>
            <w:hideMark/>
          </w:tcPr>
          <w:p w14:paraId="09772764" w14:textId="77777777" w:rsidR="00591469" w:rsidRDefault="00591469">
            <w:pPr>
              <w:jc w:val="right"/>
              <w:rPr>
                <w:color w:val="000000"/>
                <w:sz w:val="20"/>
                <w:szCs w:val="20"/>
              </w:rPr>
            </w:pPr>
            <w:r>
              <w:rPr>
                <w:color w:val="000000"/>
                <w:sz w:val="20"/>
                <w:szCs w:val="20"/>
              </w:rPr>
              <w:t>0.000</w:t>
            </w:r>
          </w:p>
        </w:tc>
      </w:tr>
      <w:tr w:rsidR="00591469" w14:paraId="18EA391B" w14:textId="77777777" w:rsidTr="008950C7">
        <w:trPr>
          <w:trHeight w:val="320"/>
        </w:trPr>
        <w:tc>
          <w:tcPr>
            <w:tcW w:w="1152" w:type="dxa"/>
            <w:tcBorders>
              <w:top w:val="nil"/>
              <w:left w:val="nil"/>
              <w:bottom w:val="nil"/>
              <w:right w:val="nil"/>
            </w:tcBorders>
            <w:shd w:val="clear" w:color="auto" w:fill="auto"/>
            <w:noWrap/>
            <w:vAlign w:val="bottom"/>
            <w:hideMark/>
          </w:tcPr>
          <w:p w14:paraId="0D119F18"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81104C7" w14:textId="77777777" w:rsidR="00591469" w:rsidRDefault="0059146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FF134D0" w14:textId="77777777" w:rsidR="00591469" w:rsidRDefault="00591469">
            <w:pPr>
              <w:jc w:val="right"/>
              <w:rPr>
                <w:color w:val="000000"/>
                <w:sz w:val="20"/>
                <w:szCs w:val="20"/>
              </w:rPr>
            </w:pPr>
            <w:r>
              <w:rPr>
                <w:color w:val="000000"/>
                <w:sz w:val="20"/>
                <w:szCs w:val="20"/>
              </w:rPr>
              <w:t>0.092</w:t>
            </w:r>
          </w:p>
        </w:tc>
        <w:tc>
          <w:tcPr>
            <w:tcW w:w="864" w:type="dxa"/>
            <w:tcBorders>
              <w:top w:val="nil"/>
              <w:left w:val="nil"/>
              <w:bottom w:val="nil"/>
              <w:right w:val="nil"/>
            </w:tcBorders>
            <w:shd w:val="clear" w:color="auto" w:fill="auto"/>
            <w:noWrap/>
            <w:vAlign w:val="bottom"/>
            <w:hideMark/>
          </w:tcPr>
          <w:p w14:paraId="2383E668" w14:textId="77777777" w:rsidR="00591469" w:rsidRDefault="00591469">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162AEB44" w14:textId="77777777" w:rsidR="00591469" w:rsidRDefault="00591469">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07904E1F" w14:textId="77777777" w:rsidR="00591469" w:rsidRDefault="00591469">
            <w:pPr>
              <w:jc w:val="right"/>
              <w:rPr>
                <w:b/>
                <w:bCs/>
                <w:color w:val="000000"/>
                <w:sz w:val="20"/>
                <w:szCs w:val="20"/>
              </w:rPr>
            </w:pPr>
            <w:r>
              <w:rPr>
                <w:b/>
                <w:bCs/>
                <w:color w:val="000000"/>
                <w:sz w:val="20"/>
                <w:szCs w:val="20"/>
              </w:rPr>
              <w:t>0.089</w:t>
            </w:r>
          </w:p>
        </w:tc>
        <w:tc>
          <w:tcPr>
            <w:tcW w:w="864" w:type="dxa"/>
            <w:tcBorders>
              <w:top w:val="nil"/>
              <w:left w:val="nil"/>
              <w:bottom w:val="nil"/>
              <w:right w:val="nil"/>
            </w:tcBorders>
            <w:shd w:val="clear" w:color="auto" w:fill="auto"/>
            <w:noWrap/>
            <w:vAlign w:val="bottom"/>
            <w:hideMark/>
          </w:tcPr>
          <w:p w14:paraId="4611BA80" w14:textId="77777777" w:rsidR="00591469" w:rsidRDefault="00591469">
            <w:pPr>
              <w:jc w:val="right"/>
              <w:rPr>
                <w:b/>
                <w:bCs/>
                <w:color w:val="000000"/>
                <w:sz w:val="20"/>
                <w:szCs w:val="20"/>
              </w:rPr>
            </w:pPr>
            <w:r>
              <w:rPr>
                <w:b/>
                <w:bCs/>
                <w:color w:val="000000"/>
                <w:sz w:val="20"/>
                <w:szCs w:val="20"/>
              </w:rPr>
              <w:t>0.016</w:t>
            </w:r>
          </w:p>
        </w:tc>
        <w:tc>
          <w:tcPr>
            <w:tcW w:w="864" w:type="dxa"/>
            <w:tcBorders>
              <w:top w:val="nil"/>
              <w:left w:val="nil"/>
              <w:bottom w:val="nil"/>
              <w:right w:val="nil"/>
            </w:tcBorders>
            <w:shd w:val="clear" w:color="auto" w:fill="auto"/>
            <w:noWrap/>
            <w:vAlign w:val="bottom"/>
            <w:hideMark/>
          </w:tcPr>
          <w:p w14:paraId="312CA607" w14:textId="77777777" w:rsidR="00591469" w:rsidRDefault="00591469">
            <w:pPr>
              <w:jc w:val="right"/>
              <w:rPr>
                <w:b/>
                <w:bCs/>
                <w:color w:val="000000"/>
                <w:sz w:val="20"/>
                <w:szCs w:val="20"/>
              </w:rPr>
            </w:pPr>
            <w:r>
              <w:rPr>
                <w:b/>
                <w:bCs/>
                <w:color w:val="000000"/>
                <w:sz w:val="20"/>
                <w:szCs w:val="20"/>
              </w:rPr>
              <w:t>0.008</w:t>
            </w:r>
          </w:p>
        </w:tc>
      </w:tr>
      <w:tr w:rsidR="00591469" w14:paraId="5EC7AD62" w14:textId="77777777" w:rsidTr="008950C7">
        <w:trPr>
          <w:trHeight w:val="320"/>
        </w:trPr>
        <w:tc>
          <w:tcPr>
            <w:tcW w:w="1152" w:type="dxa"/>
            <w:tcBorders>
              <w:top w:val="nil"/>
              <w:left w:val="nil"/>
              <w:bottom w:val="nil"/>
              <w:right w:val="nil"/>
            </w:tcBorders>
            <w:shd w:val="clear" w:color="auto" w:fill="auto"/>
            <w:noWrap/>
            <w:vAlign w:val="bottom"/>
            <w:hideMark/>
          </w:tcPr>
          <w:p w14:paraId="6C9D7D20" w14:textId="77777777" w:rsidR="00591469" w:rsidRDefault="00591469">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70D616EE" w14:textId="77777777" w:rsidR="00591469" w:rsidRDefault="0059146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03A8E49" w14:textId="77777777" w:rsidR="00591469" w:rsidRDefault="00591469">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41718107" w14:textId="77777777" w:rsidR="00591469" w:rsidRDefault="00591469">
            <w:pPr>
              <w:jc w:val="right"/>
              <w:rPr>
                <w:color w:val="000000"/>
                <w:sz w:val="20"/>
                <w:szCs w:val="20"/>
              </w:rPr>
            </w:pPr>
            <w:r>
              <w:rPr>
                <w:color w:val="000000"/>
                <w:sz w:val="20"/>
                <w:szCs w:val="20"/>
              </w:rPr>
              <w:t>0.628</w:t>
            </w:r>
          </w:p>
        </w:tc>
        <w:tc>
          <w:tcPr>
            <w:tcW w:w="864" w:type="dxa"/>
            <w:tcBorders>
              <w:top w:val="nil"/>
              <w:left w:val="nil"/>
              <w:bottom w:val="nil"/>
              <w:right w:val="nil"/>
            </w:tcBorders>
            <w:shd w:val="clear" w:color="auto" w:fill="auto"/>
            <w:noWrap/>
            <w:vAlign w:val="bottom"/>
            <w:hideMark/>
          </w:tcPr>
          <w:p w14:paraId="3A6FC2B5"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C8D796F" w14:textId="77777777" w:rsidR="00591469" w:rsidRDefault="00591469">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0A7895CF" w14:textId="77777777" w:rsidR="00591469" w:rsidRDefault="00591469">
            <w:pPr>
              <w:jc w:val="right"/>
              <w:rPr>
                <w:color w:val="000000"/>
                <w:sz w:val="20"/>
                <w:szCs w:val="20"/>
              </w:rPr>
            </w:pPr>
            <w:r>
              <w:rPr>
                <w:color w:val="000000"/>
                <w:sz w:val="20"/>
                <w:szCs w:val="20"/>
              </w:rPr>
              <w:t>0.966</w:t>
            </w:r>
          </w:p>
        </w:tc>
        <w:tc>
          <w:tcPr>
            <w:tcW w:w="864" w:type="dxa"/>
            <w:tcBorders>
              <w:top w:val="nil"/>
              <w:left w:val="nil"/>
              <w:bottom w:val="nil"/>
              <w:right w:val="nil"/>
            </w:tcBorders>
            <w:shd w:val="clear" w:color="auto" w:fill="auto"/>
            <w:noWrap/>
            <w:vAlign w:val="bottom"/>
            <w:hideMark/>
          </w:tcPr>
          <w:p w14:paraId="4F17CAB0" w14:textId="77777777" w:rsidR="00591469" w:rsidRDefault="00591469">
            <w:pPr>
              <w:jc w:val="right"/>
              <w:rPr>
                <w:color w:val="000000"/>
                <w:sz w:val="20"/>
                <w:szCs w:val="20"/>
              </w:rPr>
            </w:pPr>
            <w:r>
              <w:rPr>
                <w:color w:val="000000"/>
                <w:sz w:val="20"/>
                <w:szCs w:val="20"/>
              </w:rPr>
              <w:t>0.000</w:t>
            </w:r>
          </w:p>
        </w:tc>
      </w:tr>
      <w:tr w:rsidR="00591469" w14:paraId="09A423E1" w14:textId="77777777" w:rsidTr="008950C7">
        <w:trPr>
          <w:trHeight w:val="320"/>
        </w:trPr>
        <w:tc>
          <w:tcPr>
            <w:tcW w:w="1152" w:type="dxa"/>
            <w:tcBorders>
              <w:top w:val="nil"/>
              <w:left w:val="nil"/>
              <w:bottom w:val="nil"/>
              <w:right w:val="nil"/>
            </w:tcBorders>
            <w:shd w:val="clear" w:color="auto" w:fill="auto"/>
            <w:noWrap/>
            <w:vAlign w:val="bottom"/>
            <w:hideMark/>
          </w:tcPr>
          <w:p w14:paraId="2D537493"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5ABFB6C" w14:textId="77777777" w:rsidR="00591469" w:rsidRDefault="0059146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1D95E23" w14:textId="77777777" w:rsidR="00591469" w:rsidRDefault="00591469">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6AFD40F3" w14:textId="77777777" w:rsidR="00591469" w:rsidRDefault="00591469">
            <w:pPr>
              <w:jc w:val="right"/>
              <w:rPr>
                <w:color w:val="000000"/>
                <w:sz w:val="20"/>
                <w:szCs w:val="20"/>
              </w:rPr>
            </w:pPr>
            <w:r>
              <w:rPr>
                <w:color w:val="000000"/>
                <w:sz w:val="20"/>
                <w:szCs w:val="20"/>
              </w:rPr>
              <w:t>0.272</w:t>
            </w:r>
          </w:p>
        </w:tc>
        <w:tc>
          <w:tcPr>
            <w:tcW w:w="864" w:type="dxa"/>
            <w:tcBorders>
              <w:top w:val="nil"/>
              <w:left w:val="nil"/>
              <w:bottom w:val="nil"/>
              <w:right w:val="nil"/>
            </w:tcBorders>
            <w:shd w:val="clear" w:color="auto" w:fill="auto"/>
            <w:noWrap/>
            <w:vAlign w:val="bottom"/>
            <w:hideMark/>
          </w:tcPr>
          <w:p w14:paraId="10B19B1F" w14:textId="77777777" w:rsidR="00591469" w:rsidRDefault="0059146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898BD05" w14:textId="77777777" w:rsidR="00591469" w:rsidRDefault="00591469">
            <w:pPr>
              <w:jc w:val="right"/>
              <w:rPr>
                <w:color w:val="000000"/>
                <w:sz w:val="20"/>
                <w:szCs w:val="20"/>
              </w:rPr>
            </w:pPr>
            <w:r>
              <w:rPr>
                <w:color w:val="000000"/>
                <w:sz w:val="20"/>
                <w:szCs w:val="20"/>
              </w:rPr>
              <w:t>-0.065</w:t>
            </w:r>
          </w:p>
        </w:tc>
        <w:tc>
          <w:tcPr>
            <w:tcW w:w="864" w:type="dxa"/>
            <w:tcBorders>
              <w:top w:val="nil"/>
              <w:left w:val="nil"/>
              <w:bottom w:val="nil"/>
              <w:right w:val="nil"/>
            </w:tcBorders>
            <w:shd w:val="clear" w:color="auto" w:fill="auto"/>
            <w:noWrap/>
            <w:vAlign w:val="bottom"/>
            <w:hideMark/>
          </w:tcPr>
          <w:p w14:paraId="66982A9A" w14:textId="77777777" w:rsidR="00591469" w:rsidRDefault="00591469">
            <w:pPr>
              <w:jc w:val="right"/>
              <w:rPr>
                <w:color w:val="000000"/>
                <w:sz w:val="20"/>
                <w:szCs w:val="20"/>
              </w:rPr>
            </w:pPr>
            <w:r>
              <w:rPr>
                <w:color w:val="000000"/>
                <w:sz w:val="20"/>
                <w:szCs w:val="20"/>
              </w:rPr>
              <w:t>0.188</w:t>
            </w:r>
          </w:p>
        </w:tc>
        <w:tc>
          <w:tcPr>
            <w:tcW w:w="864" w:type="dxa"/>
            <w:tcBorders>
              <w:top w:val="nil"/>
              <w:left w:val="nil"/>
              <w:bottom w:val="nil"/>
              <w:right w:val="nil"/>
            </w:tcBorders>
            <w:shd w:val="clear" w:color="auto" w:fill="auto"/>
            <w:noWrap/>
            <w:vAlign w:val="bottom"/>
            <w:hideMark/>
          </w:tcPr>
          <w:p w14:paraId="76A74237" w14:textId="77777777" w:rsidR="00591469" w:rsidRDefault="00591469">
            <w:pPr>
              <w:jc w:val="right"/>
              <w:rPr>
                <w:color w:val="000000"/>
                <w:sz w:val="20"/>
                <w:szCs w:val="20"/>
              </w:rPr>
            </w:pPr>
            <w:r>
              <w:rPr>
                <w:color w:val="000000"/>
                <w:sz w:val="20"/>
                <w:szCs w:val="20"/>
              </w:rPr>
              <w:t>0.004</w:t>
            </w:r>
          </w:p>
        </w:tc>
      </w:tr>
      <w:tr w:rsidR="00591469" w14:paraId="696AB718" w14:textId="77777777" w:rsidTr="008950C7">
        <w:trPr>
          <w:trHeight w:val="320"/>
        </w:trPr>
        <w:tc>
          <w:tcPr>
            <w:tcW w:w="1152" w:type="dxa"/>
            <w:tcBorders>
              <w:top w:val="nil"/>
              <w:left w:val="nil"/>
              <w:bottom w:val="nil"/>
              <w:right w:val="nil"/>
            </w:tcBorders>
            <w:shd w:val="clear" w:color="auto" w:fill="auto"/>
            <w:noWrap/>
            <w:vAlign w:val="bottom"/>
            <w:hideMark/>
          </w:tcPr>
          <w:p w14:paraId="790137CA"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EC64468" w14:textId="77777777" w:rsidR="00591469" w:rsidRDefault="0059146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73B25B8" w14:textId="77777777" w:rsidR="00591469" w:rsidRDefault="00591469">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1322D8D1" w14:textId="77777777" w:rsidR="00591469" w:rsidRDefault="00591469">
            <w:pPr>
              <w:jc w:val="right"/>
              <w:rPr>
                <w:color w:val="000000"/>
                <w:sz w:val="20"/>
                <w:szCs w:val="20"/>
              </w:rPr>
            </w:pPr>
            <w:r>
              <w:rPr>
                <w:color w:val="000000"/>
                <w:sz w:val="20"/>
                <w:szCs w:val="20"/>
              </w:rPr>
              <w:t>0.623</w:t>
            </w:r>
          </w:p>
        </w:tc>
        <w:tc>
          <w:tcPr>
            <w:tcW w:w="864" w:type="dxa"/>
            <w:tcBorders>
              <w:top w:val="nil"/>
              <w:left w:val="nil"/>
              <w:bottom w:val="nil"/>
              <w:right w:val="nil"/>
            </w:tcBorders>
            <w:shd w:val="clear" w:color="auto" w:fill="auto"/>
            <w:noWrap/>
            <w:vAlign w:val="bottom"/>
            <w:hideMark/>
          </w:tcPr>
          <w:p w14:paraId="3AE47CA7"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A8EEB61" w14:textId="77777777" w:rsidR="00591469" w:rsidRDefault="00591469">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07E8EAD8" w14:textId="77777777" w:rsidR="00591469" w:rsidRDefault="00591469">
            <w:pPr>
              <w:jc w:val="right"/>
              <w:rPr>
                <w:color w:val="000000"/>
                <w:sz w:val="20"/>
                <w:szCs w:val="20"/>
              </w:rPr>
            </w:pPr>
            <w:r>
              <w:rPr>
                <w:color w:val="000000"/>
                <w:sz w:val="20"/>
                <w:szCs w:val="20"/>
              </w:rPr>
              <w:t>0.897</w:t>
            </w:r>
          </w:p>
        </w:tc>
        <w:tc>
          <w:tcPr>
            <w:tcW w:w="864" w:type="dxa"/>
            <w:tcBorders>
              <w:top w:val="nil"/>
              <w:left w:val="nil"/>
              <w:bottom w:val="nil"/>
              <w:right w:val="nil"/>
            </w:tcBorders>
            <w:shd w:val="clear" w:color="auto" w:fill="auto"/>
            <w:noWrap/>
            <w:vAlign w:val="bottom"/>
            <w:hideMark/>
          </w:tcPr>
          <w:p w14:paraId="0D860496" w14:textId="77777777" w:rsidR="00591469" w:rsidRDefault="00591469">
            <w:pPr>
              <w:jc w:val="right"/>
              <w:rPr>
                <w:color w:val="000000"/>
                <w:sz w:val="20"/>
                <w:szCs w:val="20"/>
              </w:rPr>
            </w:pPr>
            <w:r>
              <w:rPr>
                <w:color w:val="000000"/>
                <w:sz w:val="20"/>
                <w:szCs w:val="20"/>
              </w:rPr>
              <w:t>0.000</w:t>
            </w:r>
          </w:p>
        </w:tc>
      </w:tr>
      <w:tr w:rsidR="00591469" w14:paraId="368F4605" w14:textId="77777777" w:rsidTr="008950C7">
        <w:trPr>
          <w:trHeight w:val="320"/>
        </w:trPr>
        <w:tc>
          <w:tcPr>
            <w:tcW w:w="1152" w:type="dxa"/>
            <w:tcBorders>
              <w:top w:val="nil"/>
              <w:left w:val="nil"/>
              <w:bottom w:val="nil"/>
              <w:right w:val="nil"/>
            </w:tcBorders>
            <w:shd w:val="clear" w:color="auto" w:fill="auto"/>
            <w:noWrap/>
            <w:vAlign w:val="bottom"/>
            <w:hideMark/>
          </w:tcPr>
          <w:p w14:paraId="3DFF144C"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DBA75C2" w14:textId="77777777" w:rsidR="00591469" w:rsidRDefault="0059146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5447E9F" w14:textId="77777777" w:rsidR="00591469" w:rsidRDefault="00591469">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5FBA905F" w14:textId="77777777" w:rsidR="00591469" w:rsidRDefault="00591469">
            <w:pPr>
              <w:jc w:val="right"/>
              <w:rPr>
                <w:color w:val="000000"/>
                <w:sz w:val="20"/>
                <w:szCs w:val="20"/>
              </w:rPr>
            </w:pPr>
            <w:r>
              <w:rPr>
                <w:color w:val="000000"/>
                <w:sz w:val="20"/>
                <w:szCs w:val="20"/>
              </w:rPr>
              <w:t>0.623</w:t>
            </w:r>
          </w:p>
        </w:tc>
        <w:tc>
          <w:tcPr>
            <w:tcW w:w="864" w:type="dxa"/>
            <w:tcBorders>
              <w:top w:val="nil"/>
              <w:left w:val="nil"/>
              <w:bottom w:val="nil"/>
              <w:right w:val="nil"/>
            </w:tcBorders>
            <w:shd w:val="clear" w:color="auto" w:fill="auto"/>
            <w:noWrap/>
            <w:vAlign w:val="bottom"/>
            <w:hideMark/>
          </w:tcPr>
          <w:p w14:paraId="13417B09" w14:textId="77777777" w:rsidR="00591469" w:rsidRDefault="0059146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219B8AC" w14:textId="77777777" w:rsidR="00591469" w:rsidRDefault="0059146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FCE855C" w14:textId="77777777" w:rsidR="00591469" w:rsidRDefault="00591469">
            <w:pPr>
              <w:jc w:val="right"/>
              <w:rPr>
                <w:color w:val="000000"/>
                <w:sz w:val="20"/>
                <w:szCs w:val="20"/>
              </w:rPr>
            </w:pPr>
            <w:r>
              <w:rPr>
                <w:color w:val="000000"/>
                <w:sz w:val="20"/>
                <w:szCs w:val="20"/>
              </w:rPr>
              <w:t>0.966</w:t>
            </w:r>
          </w:p>
        </w:tc>
        <w:tc>
          <w:tcPr>
            <w:tcW w:w="864" w:type="dxa"/>
            <w:tcBorders>
              <w:top w:val="nil"/>
              <w:left w:val="nil"/>
              <w:bottom w:val="nil"/>
              <w:right w:val="nil"/>
            </w:tcBorders>
            <w:shd w:val="clear" w:color="auto" w:fill="auto"/>
            <w:noWrap/>
            <w:vAlign w:val="bottom"/>
            <w:hideMark/>
          </w:tcPr>
          <w:p w14:paraId="70DF0352" w14:textId="77777777" w:rsidR="00591469" w:rsidRDefault="00591469">
            <w:pPr>
              <w:jc w:val="right"/>
              <w:rPr>
                <w:color w:val="000000"/>
                <w:sz w:val="20"/>
                <w:szCs w:val="20"/>
              </w:rPr>
            </w:pPr>
            <w:r>
              <w:rPr>
                <w:color w:val="000000"/>
                <w:sz w:val="20"/>
                <w:szCs w:val="20"/>
              </w:rPr>
              <w:t>0.000</w:t>
            </w:r>
          </w:p>
        </w:tc>
      </w:tr>
      <w:tr w:rsidR="00591469" w14:paraId="19B8EB4C" w14:textId="77777777" w:rsidTr="008950C7">
        <w:trPr>
          <w:trHeight w:val="320"/>
        </w:trPr>
        <w:tc>
          <w:tcPr>
            <w:tcW w:w="1152" w:type="dxa"/>
            <w:tcBorders>
              <w:top w:val="nil"/>
              <w:left w:val="nil"/>
              <w:bottom w:val="nil"/>
              <w:right w:val="nil"/>
            </w:tcBorders>
            <w:shd w:val="clear" w:color="auto" w:fill="auto"/>
            <w:noWrap/>
            <w:vAlign w:val="bottom"/>
            <w:hideMark/>
          </w:tcPr>
          <w:p w14:paraId="317DF094"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7833189" w14:textId="77777777" w:rsidR="00591469" w:rsidRDefault="0059146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F103176" w14:textId="77777777" w:rsidR="00591469" w:rsidRDefault="00591469">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7B46236D" w14:textId="77777777" w:rsidR="00591469" w:rsidRDefault="00591469">
            <w:pPr>
              <w:jc w:val="right"/>
              <w:rPr>
                <w:color w:val="000000"/>
                <w:sz w:val="20"/>
                <w:szCs w:val="20"/>
              </w:rPr>
            </w:pPr>
            <w:r>
              <w:rPr>
                <w:color w:val="000000"/>
                <w:sz w:val="20"/>
                <w:szCs w:val="20"/>
              </w:rPr>
              <w:t>0.534</w:t>
            </w:r>
          </w:p>
        </w:tc>
        <w:tc>
          <w:tcPr>
            <w:tcW w:w="864" w:type="dxa"/>
            <w:tcBorders>
              <w:top w:val="nil"/>
              <w:left w:val="nil"/>
              <w:bottom w:val="nil"/>
              <w:right w:val="nil"/>
            </w:tcBorders>
            <w:shd w:val="clear" w:color="auto" w:fill="auto"/>
            <w:noWrap/>
            <w:vAlign w:val="bottom"/>
            <w:hideMark/>
          </w:tcPr>
          <w:p w14:paraId="4CCA0934" w14:textId="77777777" w:rsidR="00591469" w:rsidRDefault="0059146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DCFEC6C" w14:textId="77777777" w:rsidR="00591469" w:rsidRDefault="00591469">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2CADF7F4" w14:textId="77777777" w:rsidR="00591469" w:rsidRDefault="00591469">
            <w:pPr>
              <w:jc w:val="right"/>
              <w:rPr>
                <w:color w:val="000000"/>
                <w:sz w:val="20"/>
                <w:szCs w:val="20"/>
              </w:rPr>
            </w:pPr>
            <w:r>
              <w:rPr>
                <w:color w:val="000000"/>
                <w:sz w:val="20"/>
                <w:szCs w:val="20"/>
              </w:rPr>
              <w:t>0.897</w:t>
            </w:r>
          </w:p>
        </w:tc>
        <w:tc>
          <w:tcPr>
            <w:tcW w:w="864" w:type="dxa"/>
            <w:tcBorders>
              <w:top w:val="nil"/>
              <w:left w:val="nil"/>
              <w:bottom w:val="nil"/>
              <w:right w:val="nil"/>
            </w:tcBorders>
            <w:shd w:val="clear" w:color="auto" w:fill="auto"/>
            <w:noWrap/>
            <w:vAlign w:val="bottom"/>
            <w:hideMark/>
          </w:tcPr>
          <w:p w14:paraId="290E03EA" w14:textId="77777777" w:rsidR="00591469" w:rsidRDefault="00591469">
            <w:pPr>
              <w:jc w:val="right"/>
              <w:rPr>
                <w:color w:val="000000"/>
                <w:sz w:val="20"/>
                <w:szCs w:val="20"/>
              </w:rPr>
            </w:pPr>
            <w:r>
              <w:rPr>
                <w:color w:val="000000"/>
                <w:sz w:val="20"/>
                <w:szCs w:val="20"/>
              </w:rPr>
              <w:t>0.000</w:t>
            </w:r>
          </w:p>
        </w:tc>
      </w:tr>
      <w:tr w:rsidR="00591469" w14:paraId="3530A8AF" w14:textId="77777777" w:rsidTr="008950C7">
        <w:trPr>
          <w:trHeight w:val="320"/>
        </w:trPr>
        <w:tc>
          <w:tcPr>
            <w:tcW w:w="1152" w:type="dxa"/>
            <w:tcBorders>
              <w:top w:val="nil"/>
              <w:left w:val="nil"/>
              <w:bottom w:val="single" w:sz="4" w:space="0" w:color="auto"/>
              <w:right w:val="nil"/>
            </w:tcBorders>
            <w:shd w:val="clear" w:color="auto" w:fill="auto"/>
            <w:noWrap/>
            <w:vAlign w:val="bottom"/>
            <w:hideMark/>
          </w:tcPr>
          <w:p w14:paraId="66277A6E" w14:textId="77777777" w:rsidR="00591469" w:rsidRDefault="00591469">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1390B42B" w14:textId="77777777" w:rsidR="00591469" w:rsidRDefault="00591469">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15C7FCF" w14:textId="77777777" w:rsidR="00591469" w:rsidRDefault="00591469">
            <w:pPr>
              <w:jc w:val="right"/>
              <w:rPr>
                <w:color w:val="000000"/>
                <w:sz w:val="20"/>
                <w:szCs w:val="20"/>
              </w:rPr>
            </w:pPr>
            <w:r>
              <w:rPr>
                <w:color w:val="000000"/>
                <w:sz w:val="20"/>
                <w:szCs w:val="20"/>
              </w:rPr>
              <w:t>-0.068</w:t>
            </w:r>
          </w:p>
        </w:tc>
        <w:tc>
          <w:tcPr>
            <w:tcW w:w="864" w:type="dxa"/>
            <w:tcBorders>
              <w:top w:val="nil"/>
              <w:left w:val="nil"/>
              <w:bottom w:val="single" w:sz="4" w:space="0" w:color="auto"/>
              <w:right w:val="nil"/>
            </w:tcBorders>
            <w:shd w:val="clear" w:color="auto" w:fill="auto"/>
            <w:noWrap/>
            <w:vAlign w:val="bottom"/>
            <w:hideMark/>
          </w:tcPr>
          <w:p w14:paraId="449FE5CA" w14:textId="77777777" w:rsidR="00591469" w:rsidRDefault="00591469">
            <w:pPr>
              <w:jc w:val="right"/>
              <w:rPr>
                <w:color w:val="000000"/>
                <w:sz w:val="20"/>
                <w:szCs w:val="20"/>
              </w:rPr>
            </w:pPr>
            <w:r>
              <w:rPr>
                <w:color w:val="000000"/>
                <w:sz w:val="20"/>
                <w:szCs w:val="20"/>
              </w:rPr>
              <w:t>0.240</w:t>
            </w:r>
          </w:p>
        </w:tc>
        <w:tc>
          <w:tcPr>
            <w:tcW w:w="864" w:type="dxa"/>
            <w:tcBorders>
              <w:top w:val="nil"/>
              <w:left w:val="nil"/>
              <w:bottom w:val="single" w:sz="4" w:space="0" w:color="auto"/>
              <w:right w:val="nil"/>
            </w:tcBorders>
            <w:shd w:val="clear" w:color="auto" w:fill="auto"/>
            <w:noWrap/>
            <w:vAlign w:val="bottom"/>
            <w:hideMark/>
          </w:tcPr>
          <w:p w14:paraId="453F5C0F" w14:textId="77777777" w:rsidR="00591469" w:rsidRDefault="00591469">
            <w:pPr>
              <w:jc w:val="right"/>
              <w:rPr>
                <w:color w:val="000000"/>
                <w:sz w:val="20"/>
                <w:szCs w:val="20"/>
              </w:rPr>
            </w:pPr>
            <w:r>
              <w:rPr>
                <w:color w:val="000000"/>
                <w:sz w:val="20"/>
                <w:szCs w:val="20"/>
              </w:rPr>
              <w:t>0.005</w:t>
            </w:r>
          </w:p>
        </w:tc>
        <w:tc>
          <w:tcPr>
            <w:tcW w:w="864" w:type="dxa"/>
            <w:tcBorders>
              <w:top w:val="nil"/>
              <w:left w:val="nil"/>
              <w:bottom w:val="single" w:sz="4" w:space="0" w:color="auto"/>
              <w:right w:val="nil"/>
            </w:tcBorders>
            <w:shd w:val="clear" w:color="auto" w:fill="auto"/>
            <w:noWrap/>
            <w:vAlign w:val="bottom"/>
            <w:hideMark/>
          </w:tcPr>
          <w:p w14:paraId="2ABB97F2" w14:textId="77777777" w:rsidR="00591469" w:rsidRDefault="00591469">
            <w:pPr>
              <w:jc w:val="right"/>
              <w:rPr>
                <w:color w:val="000000"/>
                <w:sz w:val="20"/>
                <w:szCs w:val="20"/>
              </w:rPr>
            </w:pPr>
            <w:r>
              <w:rPr>
                <w:color w:val="000000"/>
                <w:sz w:val="20"/>
                <w:szCs w:val="20"/>
              </w:rPr>
              <w:t>-0.042</w:t>
            </w:r>
          </w:p>
        </w:tc>
        <w:tc>
          <w:tcPr>
            <w:tcW w:w="864" w:type="dxa"/>
            <w:tcBorders>
              <w:top w:val="nil"/>
              <w:left w:val="nil"/>
              <w:bottom w:val="single" w:sz="4" w:space="0" w:color="auto"/>
              <w:right w:val="nil"/>
            </w:tcBorders>
            <w:shd w:val="clear" w:color="auto" w:fill="auto"/>
            <w:noWrap/>
            <w:vAlign w:val="bottom"/>
            <w:hideMark/>
          </w:tcPr>
          <w:p w14:paraId="79C0F959" w14:textId="77777777" w:rsidR="00591469" w:rsidRDefault="00591469">
            <w:pPr>
              <w:jc w:val="right"/>
              <w:rPr>
                <w:color w:val="000000"/>
                <w:sz w:val="20"/>
                <w:szCs w:val="20"/>
              </w:rPr>
            </w:pPr>
            <w:r>
              <w:rPr>
                <w:color w:val="000000"/>
                <w:sz w:val="20"/>
                <w:szCs w:val="20"/>
              </w:rPr>
              <w:t>0.707</w:t>
            </w:r>
          </w:p>
        </w:tc>
        <w:tc>
          <w:tcPr>
            <w:tcW w:w="864" w:type="dxa"/>
            <w:tcBorders>
              <w:top w:val="nil"/>
              <w:left w:val="nil"/>
              <w:bottom w:val="single" w:sz="4" w:space="0" w:color="auto"/>
              <w:right w:val="nil"/>
            </w:tcBorders>
            <w:shd w:val="clear" w:color="auto" w:fill="auto"/>
            <w:noWrap/>
            <w:vAlign w:val="bottom"/>
            <w:hideMark/>
          </w:tcPr>
          <w:p w14:paraId="7B2AD4BF" w14:textId="77777777" w:rsidR="00591469" w:rsidRDefault="00591469">
            <w:pPr>
              <w:jc w:val="right"/>
              <w:rPr>
                <w:color w:val="000000"/>
                <w:sz w:val="20"/>
                <w:szCs w:val="20"/>
              </w:rPr>
            </w:pPr>
            <w:r>
              <w:rPr>
                <w:color w:val="000000"/>
                <w:sz w:val="20"/>
                <w:szCs w:val="20"/>
              </w:rPr>
              <w:t>0.002</w:t>
            </w:r>
          </w:p>
        </w:tc>
      </w:tr>
      <w:tr w:rsidR="00591469" w14:paraId="7E7C1387" w14:textId="77777777" w:rsidTr="008950C7">
        <w:trPr>
          <w:trHeight w:val="320"/>
        </w:trPr>
        <w:tc>
          <w:tcPr>
            <w:tcW w:w="1152" w:type="dxa"/>
            <w:tcBorders>
              <w:top w:val="nil"/>
              <w:left w:val="nil"/>
              <w:bottom w:val="nil"/>
              <w:right w:val="nil"/>
            </w:tcBorders>
            <w:shd w:val="clear" w:color="auto" w:fill="auto"/>
            <w:noWrap/>
            <w:vAlign w:val="bottom"/>
            <w:hideMark/>
          </w:tcPr>
          <w:p w14:paraId="26C420CF" w14:textId="77777777" w:rsidR="00591469" w:rsidRDefault="00591469">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4D2B79DE" w14:textId="77777777" w:rsidR="00591469" w:rsidRDefault="00591469">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7EF1D3B" w14:textId="77777777" w:rsidR="00591469" w:rsidRDefault="00591469">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4B412345" w14:textId="77777777" w:rsidR="00591469" w:rsidRDefault="00591469">
            <w:pPr>
              <w:jc w:val="right"/>
              <w:rPr>
                <w:color w:val="000000"/>
                <w:sz w:val="20"/>
                <w:szCs w:val="20"/>
              </w:rPr>
            </w:pPr>
            <w:r>
              <w:rPr>
                <w:color w:val="000000"/>
                <w:sz w:val="20"/>
                <w:szCs w:val="20"/>
              </w:rPr>
              <w:t>0.620</w:t>
            </w:r>
          </w:p>
        </w:tc>
        <w:tc>
          <w:tcPr>
            <w:tcW w:w="864" w:type="dxa"/>
            <w:tcBorders>
              <w:top w:val="nil"/>
              <w:left w:val="nil"/>
              <w:bottom w:val="nil"/>
              <w:right w:val="nil"/>
            </w:tcBorders>
            <w:shd w:val="clear" w:color="auto" w:fill="auto"/>
            <w:noWrap/>
            <w:vAlign w:val="bottom"/>
            <w:hideMark/>
          </w:tcPr>
          <w:p w14:paraId="1CF2E8CF"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DD9FF67" w14:textId="77777777" w:rsidR="00591469" w:rsidRDefault="00591469">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1F27E0B8" w14:textId="77777777" w:rsidR="00591469" w:rsidRDefault="00591469">
            <w:pPr>
              <w:jc w:val="right"/>
              <w:rPr>
                <w:color w:val="000000"/>
                <w:sz w:val="20"/>
                <w:szCs w:val="20"/>
              </w:rPr>
            </w:pPr>
            <w:r>
              <w:rPr>
                <w:color w:val="000000"/>
                <w:sz w:val="20"/>
                <w:szCs w:val="20"/>
              </w:rPr>
              <w:t>0.907</w:t>
            </w:r>
          </w:p>
        </w:tc>
        <w:tc>
          <w:tcPr>
            <w:tcW w:w="864" w:type="dxa"/>
            <w:tcBorders>
              <w:top w:val="nil"/>
              <w:left w:val="nil"/>
              <w:bottom w:val="nil"/>
              <w:right w:val="nil"/>
            </w:tcBorders>
            <w:shd w:val="clear" w:color="auto" w:fill="auto"/>
            <w:noWrap/>
            <w:vAlign w:val="bottom"/>
            <w:hideMark/>
          </w:tcPr>
          <w:p w14:paraId="57E4C590" w14:textId="77777777" w:rsidR="00591469" w:rsidRDefault="00591469">
            <w:pPr>
              <w:jc w:val="right"/>
              <w:rPr>
                <w:color w:val="000000"/>
                <w:sz w:val="20"/>
                <w:szCs w:val="20"/>
              </w:rPr>
            </w:pPr>
            <w:r>
              <w:rPr>
                <w:color w:val="000000"/>
                <w:sz w:val="20"/>
                <w:szCs w:val="20"/>
              </w:rPr>
              <w:t>0.000</w:t>
            </w:r>
          </w:p>
        </w:tc>
      </w:tr>
      <w:tr w:rsidR="00591469" w14:paraId="0639B0F1" w14:textId="77777777" w:rsidTr="008950C7">
        <w:trPr>
          <w:trHeight w:val="320"/>
        </w:trPr>
        <w:tc>
          <w:tcPr>
            <w:tcW w:w="1152" w:type="dxa"/>
            <w:tcBorders>
              <w:top w:val="nil"/>
              <w:left w:val="nil"/>
              <w:bottom w:val="nil"/>
              <w:right w:val="nil"/>
            </w:tcBorders>
            <w:shd w:val="clear" w:color="auto" w:fill="auto"/>
            <w:noWrap/>
            <w:vAlign w:val="bottom"/>
            <w:hideMark/>
          </w:tcPr>
          <w:p w14:paraId="790629A9"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C792FE7" w14:textId="77777777" w:rsidR="00591469" w:rsidRDefault="0059146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02FA654" w14:textId="77777777" w:rsidR="00591469" w:rsidRDefault="00591469">
            <w:pPr>
              <w:jc w:val="right"/>
              <w:rPr>
                <w:b/>
                <w:bCs/>
                <w:color w:val="000000"/>
                <w:sz w:val="20"/>
                <w:szCs w:val="20"/>
              </w:rPr>
            </w:pPr>
            <w:r>
              <w:rPr>
                <w:b/>
                <w:bCs/>
                <w:color w:val="000000"/>
                <w:sz w:val="20"/>
                <w:szCs w:val="20"/>
              </w:rPr>
              <w:t>0.115</w:t>
            </w:r>
          </w:p>
        </w:tc>
        <w:tc>
          <w:tcPr>
            <w:tcW w:w="864" w:type="dxa"/>
            <w:tcBorders>
              <w:top w:val="nil"/>
              <w:left w:val="nil"/>
              <w:bottom w:val="nil"/>
              <w:right w:val="nil"/>
            </w:tcBorders>
            <w:shd w:val="clear" w:color="auto" w:fill="auto"/>
            <w:noWrap/>
            <w:vAlign w:val="bottom"/>
            <w:hideMark/>
          </w:tcPr>
          <w:p w14:paraId="4F0CD6A1" w14:textId="77777777" w:rsidR="00591469" w:rsidRDefault="00591469">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3A92D0D4" w14:textId="77777777" w:rsidR="00591469" w:rsidRDefault="00591469">
            <w:pPr>
              <w:jc w:val="right"/>
              <w:rPr>
                <w:b/>
                <w:bCs/>
                <w:color w:val="000000"/>
                <w:sz w:val="20"/>
                <w:szCs w:val="20"/>
              </w:rPr>
            </w:pPr>
            <w:r>
              <w:rPr>
                <w:b/>
                <w:bCs/>
                <w:color w:val="000000"/>
                <w:sz w:val="20"/>
                <w:szCs w:val="20"/>
              </w:rPr>
              <w:t>0.013</w:t>
            </w:r>
          </w:p>
        </w:tc>
        <w:tc>
          <w:tcPr>
            <w:tcW w:w="864" w:type="dxa"/>
            <w:tcBorders>
              <w:top w:val="nil"/>
              <w:left w:val="nil"/>
              <w:bottom w:val="nil"/>
              <w:right w:val="nil"/>
            </w:tcBorders>
            <w:shd w:val="clear" w:color="auto" w:fill="auto"/>
            <w:noWrap/>
            <w:vAlign w:val="bottom"/>
            <w:hideMark/>
          </w:tcPr>
          <w:p w14:paraId="2D6235E6" w14:textId="77777777" w:rsidR="00591469" w:rsidRDefault="00591469">
            <w:pPr>
              <w:jc w:val="right"/>
              <w:rPr>
                <w:b/>
                <w:bCs/>
                <w:color w:val="000000"/>
                <w:sz w:val="20"/>
                <w:szCs w:val="20"/>
              </w:rPr>
            </w:pPr>
            <w:r>
              <w:rPr>
                <w:b/>
                <w:bCs/>
                <w:color w:val="000000"/>
                <w:sz w:val="20"/>
                <w:szCs w:val="20"/>
              </w:rPr>
              <w:t>0.110</w:t>
            </w:r>
          </w:p>
        </w:tc>
        <w:tc>
          <w:tcPr>
            <w:tcW w:w="864" w:type="dxa"/>
            <w:tcBorders>
              <w:top w:val="nil"/>
              <w:left w:val="nil"/>
              <w:bottom w:val="nil"/>
              <w:right w:val="nil"/>
            </w:tcBorders>
            <w:shd w:val="clear" w:color="auto" w:fill="auto"/>
            <w:noWrap/>
            <w:vAlign w:val="bottom"/>
            <w:hideMark/>
          </w:tcPr>
          <w:p w14:paraId="2BBA8D13" w14:textId="77777777" w:rsidR="00591469" w:rsidRDefault="00591469">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2EC2E78C" w14:textId="77777777" w:rsidR="00591469" w:rsidRDefault="00591469">
            <w:pPr>
              <w:jc w:val="right"/>
              <w:rPr>
                <w:b/>
                <w:bCs/>
                <w:color w:val="000000"/>
                <w:sz w:val="20"/>
                <w:szCs w:val="20"/>
              </w:rPr>
            </w:pPr>
            <w:r>
              <w:rPr>
                <w:b/>
                <w:bCs/>
                <w:color w:val="000000"/>
                <w:sz w:val="20"/>
                <w:szCs w:val="20"/>
              </w:rPr>
              <w:t>0.012</w:t>
            </w:r>
          </w:p>
        </w:tc>
      </w:tr>
      <w:tr w:rsidR="00591469" w14:paraId="587DDC5D" w14:textId="77777777" w:rsidTr="008950C7">
        <w:trPr>
          <w:trHeight w:val="320"/>
        </w:trPr>
        <w:tc>
          <w:tcPr>
            <w:tcW w:w="1152" w:type="dxa"/>
            <w:tcBorders>
              <w:top w:val="nil"/>
              <w:left w:val="nil"/>
              <w:bottom w:val="nil"/>
              <w:right w:val="nil"/>
            </w:tcBorders>
            <w:shd w:val="clear" w:color="auto" w:fill="auto"/>
            <w:noWrap/>
            <w:vAlign w:val="bottom"/>
            <w:hideMark/>
          </w:tcPr>
          <w:p w14:paraId="6E45C12D" w14:textId="77777777" w:rsidR="00591469" w:rsidRDefault="00591469">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0510BAF6" w14:textId="77777777" w:rsidR="00591469" w:rsidRDefault="0059146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DE11A26" w14:textId="77777777" w:rsidR="00591469" w:rsidRDefault="00591469">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6FB51924" w14:textId="77777777" w:rsidR="00591469" w:rsidRDefault="00591469">
            <w:pPr>
              <w:jc w:val="right"/>
              <w:rPr>
                <w:color w:val="000000"/>
                <w:sz w:val="20"/>
                <w:szCs w:val="20"/>
              </w:rPr>
            </w:pPr>
            <w:r>
              <w:rPr>
                <w:color w:val="000000"/>
                <w:sz w:val="20"/>
                <w:szCs w:val="20"/>
              </w:rPr>
              <w:t>0.514</w:t>
            </w:r>
          </w:p>
        </w:tc>
        <w:tc>
          <w:tcPr>
            <w:tcW w:w="864" w:type="dxa"/>
            <w:tcBorders>
              <w:top w:val="nil"/>
              <w:left w:val="nil"/>
              <w:bottom w:val="nil"/>
              <w:right w:val="nil"/>
            </w:tcBorders>
            <w:shd w:val="clear" w:color="auto" w:fill="auto"/>
            <w:noWrap/>
            <w:vAlign w:val="bottom"/>
            <w:hideMark/>
          </w:tcPr>
          <w:p w14:paraId="1192654E" w14:textId="77777777" w:rsidR="00591469" w:rsidRDefault="0059146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845121D" w14:textId="77777777" w:rsidR="00591469" w:rsidRDefault="00591469">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4CD4C5E4" w14:textId="77777777" w:rsidR="00591469" w:rsidRDefault="00591469">
            <w:pPr>
              <w:jc w:val="right"/>
              <w:rPr>
                <w:color w:val="000000"/>
                <w:sz w:val="20"/>
                <w:szCs w:val="20"/>
              </w:rPr>
            </w:pPr>
            <w:r>
              <w:rPr>
                <w:color w:val="000000"/>
                <w:sz w:val="20"/>
                <w:szCs w:val="20"/>
              </w:rPr>
              <w:t>0.838</w:t>
            </w:r>
          </w:p>
        </w:tc>
        <w:tc>
          <w:tcPr>
            <w:tcW w:w="864" w:type="dxa"/>
            <w:tcBorders>
              <w:top w:val="nil"/>
              <w:left w:val="nil"/>
              <w:bottom w:val="nil"/>
              <w:right w:val="nil"/>
            </w:tcBorders>
            <w:shd w:val="clear" w:color="auto" w:fill="auto"/>
            <w:noWrap/>
            <w:vAlign w:val="bottom"/>
            <w:hideMark/>
          </w:tcPr>
          <w:p w14:paraId="19B89020" w14:textId="77777777" w:rsidR="00591469" w:rsidRDefault="00591469">
            <w:pPr>
              <w:jc w:val="right"/>
              <w:rPr>
                <w:color w:val="000000"/>
                <w:sz w:val="20"/>
                <w:szCs w:val="20"/>
              </w:rPr>
            </w:pPr>
            <w:r>
              <w:rPr>
                <w:color w:val="000000"/>
                <w:sz w:val="20"/>
                <w:szCs w:val="20"/>
              </w:rPr>
              <w:t>0.000</w:t>
            </w:r>
          </w:p>
        </w:tc>
      </w:tr>
      <w:tr w:rsidR="00591469" w14:paraId="18891208" w14:textId="77777777" w:rsidTr="008950C7">
        <w:trPr>
          <w:trHeight w:val="320"/>
        </w:trPr>
        <w:tc>
          <w:tcPr>
            <w:tcW w:w="1152" w:type="dxa"/>
            <w:tcBorders>
              <w:top w:val="nil"/>
              <w:left w:val="nil"/>
              <w:bottom w:val="nil"/>
              <w:right w:val="nil"/>
            </w:tcBorders>
            <w:shd w:val="clear" w:color="auto" w:fill="auto"/>
            <w:noWrap/>
            <w:vAlign w:val="bottom"/>
            <w:hideMark/>
          </w:tcPr>
          <w:p w14:paraId="6F7BB339"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79790EF" w14:textId="77777777" w:rsidR="00591469" w:rsidRDefault="0059146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CA00B27" w14:textId="77777777" w:rsidR="00591469" w:rsidRDefault="00591469">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72D8810D" w14:textId="77777777" w:rsidR="00591469" w:rsidRDefault="00591469">
            <w:pPr>
              <w:jc w:val="right"/>
              <w:rPr>
                <w:color w:val="000000"/>
                <w:sz w:val="20"/>
                <w:szCs w:val="20"/>
              </w:rPr>
            </w:pPr>
            <w:r>
              <w:rPr>
                <w:color w:val="000000"/>
                <w:sz w:val="20"/>
                <w:szCs w:val="20"/>
              </w:rPr>
              <w:t>0.514</w:t>
            </w:r>
          </w:p>
        </w:tc>
        <w:tc>
          <w:tcPr>
            <w:tcW w:w="864" w:type="dxa"/>
            <w:tcBorders>
              <w:top w:val="nil"/>
              <w:left w:val="nil"/>
              <w:bottom w:val="nil"/>
              <w:right w:val="nil"/>
            </w:tcBorders>
            <w:shd w:val="clear" w:color="auto" w:fill="auto"/>
            <w:noWrap/>
            <w:vAlign w:val="bottom"/>
            <w:hideMark/>
          </w:tcPr>
          <w:p w14:paraId="76DBBE2A" w14:textId="77777777" w:rsidR="00591469" w:rsidRDefault="0059146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71B4791" w14:textId="77777777" w:rsidR="00591469" w:rsidRDefault="00591469">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1C957EB0" w14:textId="77777777" w:rsidR="00591469" w:rsidRDefault="00591469">
            <w:pPr>
              <w:jc w:val="right"/>
              <w:rPr>
                <w:color w:val="000000"/>
                <w:sz w:val="20"/>
                <w:szCs w:val="20"/>
              </w:rPr>
            </w:pPr>
            <w:r>
              <w:rPr>
                <w:color w:val="000000"/>
                <w:sz w:val="20"/>
                <w:szCs w:val="20"/>
              </w:rPr>
              <w:t>0.172</w:t>
            </w:r>
          </w:p>
        </w:tc>
        <w:tc>
          <w:tcPr>
            <w:tcW w:w="864" w:type="dxa"/>
            <w:tcBorders>
              <w:top w:val="nil"/>
              <w:left w:val="nil"/>
              <w:bottom w:val="nil"/>
              <w:right w:val="nil"/>
            </w:tcBorders>
            <w:shd w:val="clear" w:color="auto" w:fill="auto"/>
            <w:noWrap/>
            <w:vAlign w:val="bottom"/>
            <w:hideMark/>
          </w:tcPr>
          <w:p w14:paraId="2E29E6D4" w14:textId="77777777" w:rsidR="00591469" w:rsidRDefault="00591469">
            <w:pPr>
              <w:jc w:val="right"/>
              <w:rPr>
                <w:color w:val="000000"/>
                <w:sz w:val="20"/>
                <w:szCs w:val="20"/>
              </w:rPr>
            </w:pPr>
            <w:r>
              <w:rPr>
                <w:color w:val="000000"/>
                <w:sz w:val="20"/>
                <w:szCs w:val="20"/>
              </w:rPr>
              <w:t>0.004</w:t>
            </w:r>
          </w:p>
        </w:tc>
      </w:tr>
      <w:tr w:rsidR="00591469" w14:paraId="4B045169" w14:textId="77777777" w:rsidTr="008950C7">
        <w:trPr>
          <w:trHeight w:val="320"/>
        </w:trPr>
        <w:tc>
          <w:tcPr>
            <w:tcW w:w="1152" w:type="dxa"/>
            <w:tcBorders>
              <w:top w:val="nil"/>
              <w:left w:val="nil"/>
              <w:bottom w:val="nil"/>
              <w:right w:val="nil"/>
            </w:tcBorders>
            <w:shd w:val="clear" w:color="auto" w:fill="auto"/>
            <w:noWrap/>
            <w:vAlign w:val="bottom"/>
            <w:hideMark/>
          </w:tcPr>
          <w:p w14:paraId="5D858D87"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7935EF7" w14:textId="77777777" w:rsidR="00591469" w:rsidRDefault="0059146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BAF0B4A" w14:textId="77777777" w:rsidR="00591469" w:rsidRDefault="00591469">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2550DC64" w14:textId="77777777" w:rsidR="00591469" w:rsidRDefault="00591469">
            <w:pPr>
              <w:jc w:val="right"/>
              <w:rPr>
                <w:color w:val="000000"/>
                <w:sz w:val="20"/>
                <w:szCs w:val="20"/>
              </w:rPr>
            </w:pPr>
            <w:r>
              <w:rPr>
                <w:color w:val="000000"/>
                <w:sz w:val="20"/>
                <w:szCs w:val="20"/>
              </w:rPr>
              <w:t>0.620</w:t>
            </w:r>
          </w:p>
        </w:tc>
        <w:tc>
          <w:tcPr>
            <w:tcW w:w="864" w:type="dxa"/>
            <w:tcBorders>
              <w:top w:val="nil"/>
              <w:left w:val="nil"/>
              <w:bottom w:val="nil"/>
              <w:right w:val="nil"/>
            </w:tcBorders>
            <w:shd w:val="clear" w:color="auto" w:fill="auto"/>
            <w:noWrap/>
            <w:vAlign w:val="bottom"/>
            <w:hideMark/>
          </w:tcPr>
          <w:p w14:paraId="2A23BF3F"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86CA256" w14:textId="77777777" w:rsidR="00591469" w:rsidRDefault="00591469">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3A9C9DE6" w14:textId="77777777" w:rsidR="00591469" w:rsidRDefault="00591469">
            <w:pPr>
              <w:jc w:val="right"/>
              <w:rPr>
                <w:color w:val="000000"/>
                <w:sz w:val="20"/>
                <w:szCs w:val="20"/>
              </w:rPr>
            </w:pPr>
            <w:r>
              <w:rPr>
                <w:color w:val="000000"/>
                <w:sz w:val="20"/>
                <w:szCs w:val="20"/>
              </w:rPr>
              <w:t>0.838</w:t>
            </w:r>
          </w:p>
        </w:tc>
        <w:tc>
          <w:tcPr>
            <w:tcW w:w="864" w:type="dxa"/>
            <w:tcBorders>
              <w:top w:val="nil"/>
              <w:left w:val="nil"/>
              <w:bottom w:val="nil"/>
              <w:right w:val="nil"/>
            </w:tcBorders>
            <w:shd w:val="clear" w:color="auto" w:fill="auto"/>
            <w:noWrap/>
            <w:vAlign w:val="bottom"/>
            <w:hideMark/>
          </w:tcPr>
          <w:p w14:paraId="25626689" w14:textId="77777777" w:rsidR="00591469" w:rsidRDefault="00591469">
            <w:pPr>
              <w:jc w:val="right"/>
              <w:rPr>
                <w:color w:val="000000"/>
                <w:sz w:val="20"/>
                <w:szCs w:val="20"/>
              </w:rPr>
            </w:pPr>
            <w:r>
              <w:rPr>
                <w:color w:val="000000"/>
                <w:sz w:val="20"/>
                <w:szCs w:val="20"/>
              </w:rPr>
              <w:t>0.001</w:t>
            </w:r>
          </w:p>
        </w:tc>
      </w:tr>
      <w:tr w:rsidR="00591469" w14:paraId="31681091" w14:textId="77777777" w:rsidTr="008950C7">
        <w:trPr>
          <w:trHeight w:val="320"/>
        </w:trPr>
        <w:tc>
          <w:tcPr>
            <w:tcW w:w="1152" w:type="dxa"/>
            <w:tcBorders>
              <w:top w:val="nil"/>
              <w:left w:val="nil"/>
              <w:bottom w:val="nil"/>
              <w:right w:val="nil"/>
            </w:tcBorders>
            <w:shd w:val="clear" w:color="auto" w:fill="auto"/>
            <w:noWrap/>
            <w:vAlign w:val="bottom"/>
            <w:hideMark/>
          </w:tcPr>
          <w:p w14:paraId="7FB41975"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B41A86C" w14:textId="77777777" w:rsidR="00591469" w:rsidRDefault="0059146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0E70815" w14:textId="77777777" w:rsidR="00591469" w:rsidRDefault="00591469">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1A2DE719" w14:textId="77777777" w:rsidR="00591469" w:rsidRDefault="00591469">
            <w:pPr>
              <w:jc w:val="right"/>
              <w:rPr>
                <w:color w:val="000000"/>
                <w:sz w:val="20"/>
                <w:szCs w:val="20"/>
              </w:rPr>
            </w:pPr>
            <w:r>
              <w:rPr>
                <w:color w:val="000000"/>
                <w:sz w:val="20"/>
                <w:szCs w:val="20"/>
              </w:rPr>
              <w:t>0.620</w:t>
            </w:r>
          </w:p>
        </w:tc>
        <w:tc>
          <w:tcPr>
            <w:tcW w:w="864" w:type="dxa"/>
            <w:tcBorders>
              <w:top w:val="nil"/>
              <w:left w:val="nil"/>
              <w:bottom w:val="nil"/>
              <w:right w:val="nil"/>
            </w:tcBorders>
            <w:shd w:val="clear" w:color="auto" w:fill="auto"/>
            <w:noWrap/>
            <w:vAlign w:val="bottom"/>
            <w:hideMark/>
          </w:tcPr>
          <w:p w14:paraId="6E0758E9"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AEAD0A4"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D52EFEF" w14:textId="77777777" w:rsidR="00591469" w:rsidRDefault="00591469">
            <w:pPr>
              <w:jc w:val="right"/>
              <w:rPr>
                <w:color w:val="000000"/>
                <w:sz w:val="20"/>
                <w:szCs w:val="20"/>
              </w:rPr>
            </w:pPr>
            <w:r>
              <w:rPr>
                <w:color w:val="000000"/>
                <w:sz w:val="20"/>
                <w:szCs w:val="20"/>
              </w:rPr>
              <w:t>0.989</w:t>
            </w:r>
          </w:p>
        </w:tc>
        <w:tc>
          <w:tcPr>
            <w:tcW w:w="864" w:type="dxa"/>
            <w:tcBorders>
              <w:top w:val="nil"/>
              <w:left w:val="nil"/>
              <w:bottom w:val="nil"/>
              <w:right w:val="nil"/>
            </w:tcBorders>
            <w:shd w:val="clear" w:color="auto" w:fill="auto"/>
            <w:noWrap/>
            <w:vAlign w:val="bottom"/>
            <w:hideMark/>
          </w:tcPr>
          <w:p w14:paraId="41CB5AD2" w14:textId="77777777" w:rsidR="00591469" w:rsidRDefault="00591469">
            <w:pPr>
              <w:jc w:val="right"/>
              <w:rPr>
                <w:color w:val="000000"/>
                <w:sz w:val="20"/>
                <w:szCs w:val="20"/>
              </w:rPr>
            </w:pPr>
            <w:r>
              <w:rPr>
                <w:color w:val="000000"/>
                <w:sz w:val="20"/>
                <w:szCs w:val="20"/>
              </w:rPr>
              <w:t>0.000</w:t>
            </w:r>
          </w:p>
        </w:tc>
      </w:tr>
      <w:tr w:rsidR="00591469" w14:paraId="3CC57590" w14:textId="77777777" w:rsidTr="008950C7">
        <w:trPr>
          <w:trHeight w:val="320"/>
        </w:trPr>
        <w:tc>
          <w:tcPr>
            <w:tcW w:w="1152" w:type="dxa"/>
            <w:tcBorders>
              <w:top w:val="nil"/>
              <w:left w:val="nil"/>
              <w:bottom w:val="nil"/>
              <w:right w:val="nil"/>
            </w:tcBorders>
            <w:shd w:val="clear" w:color="auto" w:fill="auto"/>
            <w:noWrap/>
            <w:vAlign w:val="bottom"/>
            <w:hideMark/>
          </w:tcPr>
          <w:p w14:paraId="00506232" w14:textId="77777777" w:rsidR="00591469" w:rsidRDefault="0059146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6D3D1A3" w14:textId="77777777" w:rsidR="00591469" w:rsidRDefault="0059146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71E19E8" w14:textId="77777777" w:rsidR="00591469" w:rsidRDefault="00591469">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48D4AA47" w14:textId="77777777" w:rsidR="00591469" w:rsidRDefault="00591469">
            <w:pPr>
              <w:jc w:val="right"/>
              <w:rPr>
                <w:color w:val="000000"/>
                <w:sz w:val="20"/>
                <w:szCs w:val="20"/>
              </w:rPr>
            </w:pPr>
            <w:r>
              <w:rPr>
                <w:color w:val="000000"/>
                <w:sz w:val="20"/>
                <w:szCs w:val="20"/>
              </w:rPr>
              <w:t>0.514</w:t>
            </w:r>
          </w:p>
        </w:tc>
        <w:tc>
          <w:tcPr>
            <w:tcW w:w="864" w:type="dxa"/>
            <w:tcBorders>
              <w:top w:val="nil"/>
              <w:left w:val="nil"/>
              <w:bottom w:val="nil"/>
              <w:right w:val="nil"/>
            </w:tcBorders>
            <w:shd w:val="clear" w:color="auto" w:fill="auto"/>
            <w:noWrap/>
            <w:vAlign w:val="bottom"/>
            <w:hideMark/>
          </w:tcPr>
          <w:p w14:paraId="21954D32" w14:textId="77777777" w:rsidR="00591469" w:rsidRDefault="0059146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7BF441D" w14:textId="77777777" w:rsidR="00591469" w:rsidRDefault="00591469">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7FA4FB47" w14:textId="77777777" w:rsidR="00591469" w:rsidRDefault="00591469">
            <w:pPr>
              <w:jc w:val="right"/>
              <w:rPr>
                <w:color w:val="000000"/>
                <w:sz w:val="20"/>
                <w:szCs w:val="20"/>
              </w:rPr>
            </w:pPr>
            <w:r>
              <w:rPr>
                <w:color w:val="000000"/>
                <w:sz w:val="20"/>
                <w:szCs w:val="20"/>
              </w:rPr>
              <w:t>0.838</w:t>
            </w:r>
          </w:p>
        </w:tc>
        <w:tc>
          <w:tcPr>
            <w:tcW w:w="864" w:type="dxa"/>
            <w:tcBorders>
              <w:top w:val="nil"/>
              <w:left w:val="nil"/>
              <w:bottom w:val="nil"/>
              <w:right w:val="nil"/>
            </w:tcBorders>
            <w:shd w:val="clear" w:color="auto" w:fill="auto"/>
            <w:noWrap/>
            <w:vAlign w:val="bottom"/>
            <w:hideMark/>
          </w:tcPr>
          <w:p w14:paraId="7748BE9D" w14:textId="77777777" w:rsidR="00591469" w:rsidRDefault="00591469">
            <w:pPr>
              <w:jc w:val="right"/>
              <w:rPr>
                <w:color w:val="000000"/>
                <w:sz w:val="20"/>
                <w:szCs w:val="20"/>
              </w:rPr>
            </w:pPr>
            <w:r>
              <w:rPr>
                <w:color w:val="000000"/>
                <w:sz w:val="20"/>
                <w:szCs w:val="20"/>
              </w:rPr>
              <w:t>0.001</w:t>
            </w:r>
          </w:p>
        </w:tc>
      </w:tr>
      <w:tr w:rsidR="00591469" w14:paraId="134A1206"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E3BD7C5" w14:textId="77777777" w:rsidR="00591469" w:rsidRDefault="00591469">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58D1A530" w14:textId="77777777" w:rsidR="00591469" w:rsidRDefault="00591469">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7DBB0FC1" w14:textId="77777777" w:rsidR="00591469" w:rsidRDefault="00591469">
            <w:pPr>
              <w:jc w:val="right"/>
              <w:rPr>
                <w:color w:val="000000"/>
                <w:sz w:val="20"/>
                <w:szCs w:val="20"/>
              </w:rPr>
            </w:pPr>
            <w:r>
              <w:rPr>
                <w:color w:val="000000"/>
                <w:sz w:val="20"/>
                <w:szCs w:val="20"/>
              </w:rPr>
              <w:t>-0.018</w:t>
            </w:r>
          </w:p>
        </w:tc>
        <w:tc>
          <w:tcPr>
            <w:tcW w:w="864" w:type="dxa"/>
            <w:tcBorders>
              <w:top w:val="nil"/>
              <w:left w:val="nil"/>
              <w:bottom w:val="single" w:sz="12" w:space="0" w:color="auto"/>
              <w:right w:val="nil"/>
            </w:tcBorders>
            <w:shd w:val="clear" w:color="auto" w:fill="auto"/>
            <w:noWrap/>
            <w:vAlign w:val="bottom"/>
            <w:hideMark/>
          </w:tcPr>
          <w:p w14:paraId="0C585FD8" w14:textId="77777777" w:rsidR="00591469" w:rsidRDefault="00591469">
            <w:pPr>
              <w:jc w:val="right"/>
              <w:rPr>
                <w:color w:val="000000"/>
                <w:sz w:val="20"/>
                <w:szCs w:val="20"/>
              </w:rPr>
            </w:pPr>
            <w:r>
              <w:rPr>
                <w:color w:val="000000"/>
                <w:sz w:val="20"/>
                <w:szCs w:val="20"/>
              </w:rPr>
              <w:t>0.620</w:t>
            </w:r>
          </w:p>
        </w:tc>
        <w:tc>
          <w:tcPr>
            <w:tcW w:w="864" w:type="dxa"/>
            <w:tcBorders>
              <w:top w:val="nil"/>
              <w:left w:val="nil"/>
              <w:bottom w:val="single" w:sz="12" w:space="0" w:color="auto"/>
              <w:right w:val="nil"/>
            </w:tcBorders>
            <w:shd w:val="clear" w:color="auto" w:fill="auto"/>
            <w:noWrap/>
            <w:vAlign w:val="bottom"/>
            <w:hideMark/>
          </w:tcPr>
          <w:p w14:paraId="35619758" w14:textId="77777777" w:rsidR="00591469" w:rsidRDefault="00591469">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7BF7D572" w14:textId="77777777" w:rsidR="00591469" w:rsidRDefault="00591469">
            <w:pPr>
              <w:jc w:val="right"/>
              <w:rPr>
                <w:color w:val="000000"/>
                <w:sz w:val="20"/>
                <w:szCs w:val="20"/>
              </w:rPr>
            </w:pPr>
            <w:r>
              <w:rPr>
                <w:color w:val="000000"/>
                <w:sz w:val="20"/>
                <w:szCs w:val="20"/>
              </w:rPr>
              <w:t>0.003</w:t>
            </w:r>
          </w:p>
        </w:tc>
        <w:tc>
          <w:tcPr>
            <w:tcW w:w="864" w:type="dxa"/>
            <w:tcBorders>
              <w:top w:val="nil"/>
              <w:left w:val="nil"/>
              <w:bottom w:val="single" w:sz="12" w:space="0" w:color="auto"/>
              <w:right w:val="nil"/>
            </w:tcBorders>
            <w:shd w:val="clear" w:color="auto" w:fill="auto"/>
            <w:noWrap/>
            <w:vAlign w:val="bottom"/>
            <w:hideMark/>
          </w:tcPr>
          <w:p w14:paraId="6DC46561" w14:textId="77777777" w:rsidR="00591469" w:rsidRDefault="00591469">
            <w:pPr>
              <w:jc w:val="right"/>
              <w:rPr>
                <w:color w:val="000000"/>
                <w:sz w:val="20"/>
                <w:szCs w:val="20"/>
              </w:rPr>
            </w:pPr>
            <w:r>
              <w:rPr>
                <w:color w:val="000000"/>
                <w:sz w:val="20"/>
                <w:szCs w:val="20"/>
              </w:rPr>
              <w:t>0.989</w:t>
            </w:r>
          </w:p>
        </w:tc>
        <w:tc>
          <w:tcPr>
            <w:tcW w:w="864" w:type="dxa"/>
            <w:tcBorders>
              <w:top w:val="nil"/>
              <w:left w:val="nil"/>
              <w:bottom w:val="single" w:sz="12" w:space="0" w:color="auto"/>
              <w:right w:val="nil"/>
            </w:tcBorders>
            <w:shd w:val="clear" w:color="auto" w:fill="auto"/>
            <w:noWrap/>
            <w:vAlign w:val="bottom"/>
            <w:hideMark/>
          </w:tcPr>
          <w:p w14:paraId="22723AE4" w14:textId="77777777" w:rsidR="00591469" w:rsidRDefault="00591469">
            <w:pPr>
              <w:jc w:val="right"/>
              <w:rPr>
                <w:color w:val="000000"/>
                <w:sz w:val="20"/>
                <w:szCs w:val="20"/>
              </w:rPr>
            </w:pPr>
            <w:r>
              <w:rPr>
                <w:color w:val="000000"/>
                <w:sz w:val="20"/>
                <w:szCs w:val="20"/>
              </w:rPr>
              <w:t>0.000</w:t>
            </w:r>
          </w:p>
        </w:tc>
      </w:tr>
      <w:tr w:rsidR="00591469" w14:paraId="7AC21FEF"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1BA237D0" w14:textId="77777777" w:rsidR="00591469" w:rsidRDefault="00591469">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3943F2EA" w14:textId="77777777" w:rsidR="00591469" w:rsidRDefault="0059146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ECAD85D" w14:textId="77777777" w:rsidR="00591469" w:rsidRDefault="0059146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6DB746D" w14:textId="77777777" w:rsidR="00591469" w:rsidRDefault="0059146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C0E5130" w14:textId="77777777" w:rsidR="00591469" w:rsidRDefault="0059146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C4D853C" w14:textId="77777777" w:rsidR="00591469" w:rsidRDefault="0059146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4FD5717" w14:textId="77777777" w:rsidR="00591469" w:rsidRDefault="0059146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602F6C8" w14:textId="77777777" w:rsidR="00591469" w:rsidRDefault="00591469">
            <w:pPr>
              <w:rPr>
                <w:sz w:val="20"/>
                <w:szCs w:val="20"/>
              </w:rPr>
            </w:pPr>
          </w:p>
        </w:tc>
      </w:tr>
    </w:tbl>
    <w:p w14:paraId="6BD92A47" w14:textId="77777777" w:rsidR="00591469" w:rsidRPr="00591469" w:rsidRDefault="00591469" w:rsidP="00591469"/>
    <w:p w14:paraId="32191493" w14:textId="2629DEDB" w:rsidR="00B81CB5" w:rsidRDefault="004678F8" w:rsidP="00B81CB5">
      <w:pPr>
        <w:pStyle w:val="Heading1"/>
        <w:rPr>
          <w:rFonts w:ascii="Times New Roman" w:hAnsi="Times New Roman" w:cs="Times New Roman"/>
          <w:color w:val="000000" w:themeColor="text1"/>
          <w:sz w:val="24"/>
          <w:szCs w:val="24"/>
        </w:rPr>
      </w:pPr>
      <w:r>
        <w:rPr>
          <w:rFonts w:ascii="Batang" w:eastAsia="Batang" w:hAnsi="Batang" w:cs="Batang"/>
          <w:color w:val="000000"/>
        </w:rPr>
        <w:br w:type="page"/>
      </w:r>
      <w:bookmarkStart w:id="87" w:name="_Toc155817754"/>
      <w:r w:rsidR="00B81CB5" w:rsidRPr="00B81CB5">
        <w:rPr>
          <w:rFonts w:ascii="Times New Roman" w:hAnsi="Times New Roman" w:cs="Times New Roman"/>
          <w:b/>
          <w:bCs/>
          <w:color w:val="000000" w:themeColor="text1"/>
          <w:sz w:val="24"/>
          <w:szCs w:val="24"/>
        </w:rPr>
        <w:lastRenderedPageBreak/>
        <w:t>Table 28g.</w:t>
      </w:r>
      <w:r w:rsidR="00B81CB5">
        <w:rPr>
          <w:rFonts w:ascii="Times New Roman" w:hAnsi="Times New Roman" w:cs="Times New Roman"/>
          <w:color w:val="000000" w:themeColor="text1"/>
          <w:sz w:val="24"/>
          <w:szCs w:val="24"/>
        </w:rPr>
        <w:t xml:space="preserve"> Results examining the relationship between Shen-268 network small world omega and urbanicity obtained from bifactor modeling and pollution (NO2 level) during emotional n-back task</w:t>
      </w:r>
      <w:bookmarkEnd w:id="87"/>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B81CB5" w14:paraId="252F9881"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0737223F"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bottom"/>
            <w:hideMark/>
          </w:tcPr>
          <w:p w14:paraId="6929925E" w14:textId="77777777" w:rsidR="00B81CB5" w:rsidRDefault="00B81CB5" w:rsidP="005A3B4D">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7AE104EC" w14:textId="77777777" w:rsidR="00B81CB5" w:rsidRDefault="00B81CB5" w:rsidP="005A3B4D">
            <w:pPr>
              <w:rPr>
                <w:color w:val="000000"/>
                <w:sz w:val="20"/>
                <w:szCs w:val="20"/>
              </w:rPr>
            </w:pPr>
          </w:p>
        </w:tc>
        <w:tc>
          <w:tcPr>
            <w:tcW w:w="864" w:type="dxa"/>
            <w:tcBorders>
              <w:top w:val="nil"/>
              <w:left w:val="nil"/>
              <w:bottom w:val="single" w:sz="12" w:space="0" w:color="auto"/>
              <w:right w:val="nil"/>
            </w:tcBorders>
            <w:shd w:val="clear" w:color="auto" w:fill="auto"/>
            <w:noWrap/>
            <w:vAlign w:val="bottom"/>
            <w:hideMark/>
          </w:tcPr>
          <w:p w14:paraId="2586DDB4"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1F4018E"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8EC8325"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3470051F"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8815891" w14:textId="77777777" w:rsidR="00B81CB5" w:rsidRDefault="00B81CB5" w:rsidP="005A3B4D">
            <w:pPr>
              <w:rPr>
                <w:sz w:val="20"/>
                <w:szCs w:val="20"/>
              </w:rPr>
            </w:pPr>
          </w:p>
        </w:tc>
      </w:tr>
      <w:tr w:rsidR="00B81CB5" w14:paraId="7B33CC3C" w14:textId="77777777" w:rsidTr="005A3B4D">
        <w:trPr>
          <w:trHeight w:val="340"/>
        </w:trPr>
        <w:tc>
          <w:tcPr>
            <w:tcW w:w="1152" w:type="dxa"/>
            <w:tcBorders>
              <w:top w:val="single" w:sz="12" w:space="0" w:color="auto"/>
              <w:left w:val="nil"/>
              <w:bottom w:val="nil"/>
              <w:right w:val="nil"/>
            </w:tcBorders>
            <w:shd w:val="clear" w:color="auto" w:fill="auto"/>
            <w:noWrap/>
            <w:vAlign w:val="bottom"/>
            <w:hideMark/>
          </w:tcPr>
          <w:p w14:paraId="2DFA60EF" w14:textId="77777777" w:rsidR="00B81CB5" w:rsidRDefault="00B81CB5" w:rsidP="005A3B4D">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79658304" w14:textId="77777777" w:rsidR="00B81CB5" w:rsidRDefault="00B81CB5" w:rsidP="005A3B4D">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46603A9F" w14:textId="77777777" w:rsidR="00B81CB5" w:rsidRDefault="00B81CB5" w:rsidP="005A3B4D">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74B5BD80" w14:textId="77777777" w:rsidR="00B81CB5" w:rsidRDefault="00B81CB5" w:rsidP="005A3B4D">
            <w:pPr>
              <w:jc w:val="center"/>
              <w:rPr>
                <w:color w:val="000000"/>
                <w:sz w:val="20"/>
                <w:szCs w:val="20"/>
              </w:rPr>
            </w:pPr>
            <w:r>
              <w:rPr>
                <w:color w:val="000000"/>
                <w:sz w:val="20"/>
                <w:szCs w:val="20"/>
              </w:rPr>
              <w:t>Pollution Level (NO2)</w:t>
            </w:r>
          </w:p>
        </w:tc>
      </w:tr>
      <w:tr w:rsidR="00B81CB5" w14:paraId="4BA9CB59" w14:textId="77777777" w:rsidTr="005A3B4D">
        <w:trPr>
          <w:trHeight w:val="360"/>
        </w:trPr>
        <w:tc>
          <w:tcPr>
            <w:tcW w:w="1152" w:type="dxa"/>
            <w:tcBorders>
              <w:top w:val="nil"/>
              <w:left w:val="nil"/>
              <w:bottom w:val="single" w:sz="12" w:space="0" w:color="auto"/>
              <w:right w:val="nil"/>
            </w:tcBorders>
            <w:shd w:val="clear" w:color="auto" w:fill="auto"/>
            <w:noWrap/>
            <w:vAlign w:val="bottom"/>
            <w:hideMark/>
          </w:tcPr>
          <w:p w14:paraId="0D2F1A01" w14:textId="77777777" w:rsidR="00B81CB5" w:rsidRDefault="00B81CB5" w:rsidP="005A3B4D">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630543BF" w14:textId="77777777" w:rsidR="00B81CB5" w:rsidRDefault="00B81CB5" w:rsidP="005A3B4D">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5C04D6BE" w14:textId="77777777" w:rsidR="00B81CB5" w:rsidRDefault="00B81CB5"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40AF277E" w14:textId="77777777" w:rsidR="00B81CB5" w:rsidRDefault="00B81CB5"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1A8AD8E7" w14:textId="77777777" w:rsidR="00B81CB5" w:rsidRDefault="00B81CB5" w:rsidP="005A3B4D">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5BAFDE5F" w14:textId="77777777" w:rsidR="00B81CB5" w:rsidRDefault="00B81CB5"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04F2D528" w14:textId="77777777" w:rsidR="00B81CB5" w:rsidRDefault="00B81CB5"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72E80F8F" w14:textId="77777777" w:rsidR="00B81CB5" w:rsidRDefault="00B81CB5" w:rsidP="005A3B4D">
            <w:pPr>
              <w:jc w:val="center"/>
              <w:rPr>
                <w:i/>
                <w:iCs/>
                <w:color w:val="000000"/>
                <w:sz w:val="20"/>
                <w:szCs w:val="20"/>
              </w:rPr>
            </w:pPr>
            <w:r>
              <w:rPr>
                <w:i/>
                <w:iCs/>
                <w:color w:val="000000"/>
                <w:sz w:val="20"/>
                <w:szCs w:val="20"/>
              </w:rPr>
              <w:t>R2</w:t>
            </w:r>
          </w:p>
        </w:tc>
      </w:tr>
      <w:tr w:rsidR="00B81CB5" w14:paraId="73D3FE5F"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4BEAEC79" w14:textId="77777777" w:rsidR="00B81CB5" w:rsidRDefault="00B81CB5" w:rsidP="005A3B4D">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0E7EC151" w14:textId="77777777" w:rsidR="00B81CB5" w:rsidRDefault="00B81CB5" w:rsidP="005A3B4D">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2FCAEE5C" w14:textId="77777777" w:rsidR="00B81CB5" w:rsidRDefault="00B81CB5" w:rsidP="005A3B4D">
            <w:pPr>
              <w:jc w:val="right"/>
              <w:rPr>
                <w:color w:val="000000"/>
                <w:sz w:val="20"/>
                <w:szCs w:val="20"/>
              </w:rPr>
            </w:pPr>
            <w:r>
              <w:rPr>
                <w:color w:val="000000"/>
                <w:sz w:val="20"/>
                <w:szCs w:val="20"/>
              </w:rPr>
              <w:t>0.025</w:t>
            </w:r>
          </w:p>
        </w:tc>
        <w:tc>
          <w:tcPr>
            <w:tcW w:w="864" w:type="dxa"/>
            <w:tcBorders>
              <w:top w:val="single" w:sz="12" w:space="0" w:color="auto"/>
              <w:left w:val="nil"/>
              <w:bottom w:val="nil"/>
              <w:right w:val="nil"/>
            </w:tcBorders>
            <w:shd w:val="clear" w:color="auto" w:fill="auto"/>
            <w:noWrap/>
            <w:vAlign w:val="bottom"/>
            <w:hideMark/>
          </w:tcPr>
          <w:p w14:paraId="1727002A" w14:textId="77777777" w:rsidR="00B81CB5" w:rsidRDefault="00B81CB5" w:rsidP="005A3B4D">
            <w:pPr>
              <w:jc w:val="right"/>
              <w:rPr>
                <w:color w:val="000000"/>
                <w:sz w:val="20"/>
                <w:szCs w:val="20"/>
              </w:rPr>
            </w:pPr>
            <w:r>
              <w:rPr>
                <w:color w:val="000000"/>
                <w:sz w:val="20"/>
                <w:szCs w:val="20"/>
              </w:rPr>
              <w:t>0.617</w:t>
            </w:r>
          </w:p>
        </w:tc>
        <w:tc>
          <w:tcPr>
            <w:tcW w:w="864" w:type="dxa"/>
            <w:tcBorders>
              <w:top w:val="single" w:sz="12" w:space="0" w:color="auto"/>
              <w:left w:val="nil"/>
              <w:bottom w:val="nil"/>
              <w:right w:val="nil"/>
            </w:tcBorders>
            <w:shd w:val="clear" w:color="auto" w:fill="auto"/>
            <w:noWrap/>
            <w:vAlign w:val="bottom"/>
            <w:hideMark/>
          </w:tcPr>
          <w:p w14:paraId="4E3DFC56" w14:textId="77777777" w:rsidR="00B81CB5" w:rsidRDefault="00B81CB5" w:rsidP="005A3B4D">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3B06481C" w14:textId="77777777" w:rsidR="00B81CB5" w:rsidRDefault="00B81CB5" w:rsidP="005A3B4D">
            <w:pPr>
              <w:jc w:val="right"/>
              <w:rPr>
                <w:color w:val="000000"/>
                <w:sz w:val="20"/>
                <w:szCs w:val="20"/>
              </w:rPr>
            </w:pPr>
            <w:r>
              <w:rPr>
                <w:color w:val="000000"/>
                <w:sz w:val="20"/>
                <w:szCs w:val="20"/>
              </w:rPr>
              <w:t>0.008</w:t>
            </w:r>
          </w:p>
        </w:tc>
        <w:tc>
          <w:tcPr>
            <w:tcW w:w="864" w:type="dxa"/>
            <w:tcBorders>
              <w:top w:val="single" w:sz="12" w:space="0" w:color="auto"/>
              <w:left w:val="nil"/>
              <w:bottom w:val="nil"/>
              <w:right w:val="nil"/>
            </w:tcBorders>
            <w:shd w:val="clear" w:color="auto" w:fill="auto"/>
            <w:noWrap/>
            <w:vAlign w:val="bottom"/>
            <w:hideMark/>
          </w:tcPr>
          <w:p w14:paraId="7B091DFB" w14:textId="77777777" w:rsidR="00B81CB5" w:rsidRDefault="00B81CB5" w:rsidP="005A3B4D">
            <w:pPr>
              <w:jc w:val="right"/>
              <w:rPr>
                <w:color w:val="000000"/>
                <w:sz w:val="20"/>
                <w:szCs w:val="20"/>
              </w:rPr>
            </w:pPr>
            <w:r>
              <w:rPr>
                <w:color w:val="000000"/>
                <w:sz w:val="20"/>
                <w:szCs w:val="20"/>
              </w:rPr>
              <w:t>0.823</w:t>
            </w:r>
          </w:p>
        </w:tc>
        <w:tc>
          <w:tcPr>
            <w:tcW w:w="864" w:type="dxa"/>
            <w:tcBorders>
              <w:top w:val="single" w:sz="12" w:space="0" w:color="auto"/>
              <w:left w:val="nil"/>
              <w:bottom w:val="nil"/>
              <w:right w:val="nil"/>
            </w:tcBorders>
            <w:shd w:val="clear" w:color="auto" w:fill="auto"/>
            <w:noWrap/>
            <w:vAlign w:val="bottom"/>
            <w:hideMark/>
          </w:tcPr>
          <w:p w14:paraId="27D00EC9" w14:textId="77777777" w:rsidR="00B81CB5" w:rsidRDefault="00B81CB5" w:rsidP="005A3B4D">
            <w:pPr>
              <w:jc w:val="right"/>
              <w:rPr>
                <w:color w:val="000000"/>
                <w:sz w:val="20"/>
                <w:szCs w:val="20"/>
              </w:rPr>
            </w:pPr>
            <w:r>
              <w:rPr>
                <w:color w:val="000000"/>
                <w:sz w:val="20"/>
                <w:szCs w:val="20"/>
              </w:rPr>
              <w:t>0.000</w:t>
            </w:r>
          </w:p>
        </w:tc>
      </w:tr>
      <w:tr w:rsidR="00B81CB5" w14:paraId="469C147B" w14:textId="77777777" w:rsidTr="005A3B4D">
        <w:trPr>
          <w:trHeight w:val="340"/>
        </w:trPr>
        <w:tc>
          <w:tcPr>
            <w:tcW w:w="1152" w:type="dxa"/>
            <w:tcBorders>
              <w:top w:val="nil"/>
              <w:left w:val="nil"/>
              <w:bottom w:val="nil"/>
              <w:right w:val="nil"/>
            </w:tcBorders>
            <w:shd w:val="clear" w:color="auto" w:fill="auto"/>
            <w:noWrap/>
            <w:vAlign w:val="bottom"/>
            <w:hideMark/>
          </w:tcPr>
          <w:p w14:paraId="26D27C0C"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3EDA3CF"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EB23907" w14:textId="77777777" w:rsidR="00B81CB5" w:rsidRDefault="00B81CB5" w:rsidP="005A3B4D">
            <w:pPr>
              <w:jc w:val="right"/>
              <w:rPr>
                <w:b/>
                <w:bCs/>
                <w:color w:val="000000"/>
                <w:sz w:val="20"/>
                <w:szCs w:val="20"/>
              </w:rPr>
            </w:pPr>
            <w:r>
              <w:rPr>
                <w:b/>
                <w:bCs/>
                <w:color w:val="000000"/>
                <w:sz w:val="20"/>
                <w:szCs w:val="20"/>
              </w:rPr>
              <w:t>-0.141</w:t>
            </w:r>
          </w:p>
        </w:tc>
        <w:tc>
          <w:tcPr>
            <w:tcW w:w="864" w:type="dxa"/>
            <w:tcBorders>
              <w:top w:val="nil"/>
              <w:left w:val="nil"/>
              <w:bottom w:val="nil"/>
              <w:right w:val="nil"/>
            </w:tcBorders>
            <w:shd w:val="clear" w:color="auto" w:fill="auto"/>
            <w:noWrap/>
            <w:vAlign w:val="bottom"/>
            <w:hideMark/>
          </w:tcPr>
          <w:p w14:paraId="1642B310" w14:textId="77777777" w:rsidR="00B81CB5" w:rsidRDefault="00B81CB5" w:rsidP="005A3B4D">
            <w:pPr>
              <w:jc w:val="right"/>
              <w:rPr>
                <w:b/>
                <w:bCs/>
                <w:color w:val="000000"/>
                <w:sz w:val="20"/>
                <w:szCs w:val="20"/>
              </w:rPr>
            </w:pPr>
            <w:r>
              <w:rPr>
                <w:b/>
                <w:bCs/>
                <w:color w:val="000000"/>
                <w:sz w:val="20"/>
                <w:szCs w:val="20"/>
              </w:rPr>
              <w:t>0.011</w:t>
            </w:r>
          </w:p>
        </w:tc>
        <w:tc>
          <w:tcPr>
            <w:tcW w:w="864" w:type="dxa"/>
            <w:tcBorders>
              <w:top w:val="nil"/>
              <w:left w:val="nil"/>
              <w:bottom w:val="nil"/>
              <w:right w:val="nil"/>
            </w:tcBorders>
            <w:shd w:val="clear" w:color="auto" w:fill="auto"/>
            <w:noWrap/>
            <w:vAlign w:val="bottom"/>
            <w:hideMark/>
          </w:tcPr>
          <w:p w14:paraId="17DC277C" w14:textId="77777777" w:rsidR="00B81CB5" w:rsidRDefault="00B81CB5" w:rsidP="005A3B4D">
            <w:pPr>
              <w:jc w:val="right"/>
              <w:rPr>
                <w:b/>
                <w:bCs/>
                <w:color w:val="000000"/>
                <w:sz w:val="20"/>
                <w:szCs w:val="20"/>
              </w:rPr>
            </w:pPr>
            <w:r>
              <w:rPr>
                <w:b/>
                <w:bCs/>
                <w:color w:val="000000"/>
                <w:sz w:val="20"/>
                <w:szCs w:val="20"/>
              </w:rPr>
              <w:t>0.020</w:t>
            </w:r>
          </w:p>
        </w:tc>
        <w:tc>
          <w:tcPr>
            <w:tcW w:w="864" w:type="dxa"/>
            <w:tcBorders>
              <w:top w:val="nil"/>
              <w:left w:val="nil"/>
              <w:bottom w:val="nil"/>
              <w:right w:val="nil"/>
            </w:tcBorders>
            <w:shd w:val="clear" w:color="auto" w:fill="auto"/>
            <w:noWrap/>
            <w:vAlign w:val="bottom"/>
            <w:hideMark/>
          </w:tcPr>
          <w:p w14:paraId="73E37C23" w14:textId="77777777" w:rsidR="00B81CB5" w:rsidRDefault="00B81CB5" w:rsidP="005A3B4D">
            <w:pPr>
              <w:jc w:val="right"/>
              <w:rPr>
                <w:b/>
                <w:bCs/>
                <w:color w:val="000000"/>
                <w:sz w:val="20"/>
                <w:szCs w:val="20"/>
              </w:rPr>
            </w:pPr>
            <w:r>
              <w:rPr>
                <w:b/>
                <w:bCs/>
                <w:color w:val="000000"/>
                <w:sz w:val="20"/>
                <w:szCs w:val="20"/>
              </w:rPr>
              <w:t>-0.137</w:t>
            </w:r>
          </w:p>
        </w:tc>
        <w:tc>
          <w:tcPr>
            <w:tcW w:w="864" w:type="dxa"/>
            <w:tcBorders>
              <w:top w:val="nil"/>
              <w:left w:val="nil"/>
              <w:bottom w:val="nil"/>
              <w:right w:val="nil"/>
            </w:tcBorders>
            <w:shd w:val="clear" w:color="auto" w:fill="auto"/>
            <w:noWrap/>
            <w:vAlign w:val="bottom"/>
            <w:hideMark/>
          </w:tcPr>
          <w:p w14:paraId="791E3E7A" w14:textId="77777777" w:rsidR="00B81CB5" w:rsidRDefault="00B81CB5" w:rsidP="005A3B4D">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184FC097" w14:textId="77777777" w:rsidR="00B81CB5" w:rsidRDefault="00B81CB5" w:rsidP="005A3B4D">
            <w:pPr>
              <w:jc w:val="right"/>
              <w:rPr>
                <w:b/>
                <w:bCs/>
                <w:color w:val="000000"/>
                <w:sz w:val="20"/>
                <w:szCs w:val="20"/>
              </w:rPr>
            </w:pPr>
            <w:r>
              <w:rPr>
                <w:b/>
                <w:bCs/>
                <w:color w:val="000000"/>
                <w:sz w:val="20"/>
                <w:szCs w:val="20"/>
              </w:rPr>
              <w:t>0.019</w:t>
            </w:r>
          </w:p>
        </w:tc>
      </w:tr>
      <w:tr w:rsidR="00B81CB5" w14:paraId="30DBC206" w14:textId="77777777" w:rsidTr="005A3B4D">
        <w:trPr>
          <w:trHeight w:val="320"/>
        </w:trPr>
        <w:tc>
          <w:tcPr>
            <w:tcW w:w="1152" w:type="dxa"/>
            <w:tcBorders>
              <w:top w:val="nil"/>
              <w:left w:val="nil"/>
              <w:bottom w:val="nil"/>
              <w:right w:val="nil"/>
            </w:tcBorders>
            <w:shd w:val="clear" w:color="auto" w:fill="auto"/>
            <w:noWrap/>
            <w:vAlign w:val="bottom"/>
            <w:hideMark/>
          </w:tcPr>
          <w:p w14:paraId="6CCA924A" w14:textId="77777777" w:rsidR="00B81CB5" w:rsidRDefault="00B81CB5" w:rsidP="005A3B4D">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325B1865"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BC3A9BD" w14:textId="77777777" w:rsidR="00B81CB5" w:rsidRDefault="00B81CB5" w:rsidP="005A3B4D">
            <w:pPr>
              <w:jc w:val="right"/>
              <w:rPr>
                <w:b/>
                <w:bCs/>
                <w:color w:val="000000"/>
                <w:sz w:val="20"/>
                <w:szCs w:val="20"/>
              </w:rPr>
            </w:pPr>
            <w:r>
              <w:rPr>
                <w:b/>
                <w:bCs/>
                <w:color w:val="000000"/>
                <w:sz w:val="20"/>
                <w:szCs w:val="20"/>
              </w:rPr>
              <w:t>0.355</w:t>
            </w:r>
          </w:p>
        </w:tc>
        <w:tc>
          <w:tcPr>
            <w:tcW w:w="864" w:type="dxa"/>
            <w:tcBorders>
              <w:top w:val="nil"/>
              <w:left w:val="nil"/>
              <w:bottom w:val="nil"/>
              <w:right w:val="nil"/>
            </w:tcBorders>
            <w:shd w:val="clear" w:color="auto" w:fill="auto"/>
            <w:noWrap/>
            <w:vAlign w:val="bottom"/>
            <w:hideMark/>
          </w:tcPr>
          <w:p w14:paraId="4C53A9B3" w14:textId="77777777" w:rsidR="00B81CB5" w:rsidRDefault="00B81CB5" w:rsidP="005A3B4D">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40A2238D" w14:textId="77777777" w:rsidR="00B81CB5" w:rsidRDefault="00B81CB5" w:rsidP="005A3B4D">
            <w:pPr>
              <w:jc w:val="right"/>
              <w:rPr>
                <w:b/>
                <w:bCs/>
                <w:color w:val="000000"/>
                <w:sz w:val="20"/>
                <w:szCs w:val="20"/>
              </w:rPr>
            </w:pPr>
            <w:r>
              <w:rPr>
                <w:b/>
                <w:bCs/>
                <w:color w:val="000000"/>
                <w:sz w:val="20"/>
                <w:szCs w:val="20"/>
              </w:rPr>
              <w:t>0.126</w:t>
            </w:r>
          </w:p>
        </w:tc>
        <w:tc>
          <w:tcPr>
            <w:tcW w:w="864" w:type="dxa"/>
            <w:tcBorders>
              <w:top w:val="nil"/>
              <w:left w:val="nil"/>
              <w:bottom w:val="nil"/>
              <w:right w:val="nil"/>
            </w:tcBorders>
            <w:shd w:val="clear" w:color="auto" w:fill="auto"/>
            <w:noWrap/>
            <w:vAlign w:val="bottom"/>
            <w:hideMark/>
          </w:tcPr>
          <w:p w14:paraId="273AA4CD" w14:textId="77777777" w:rsidR="00B81CB5" w:rsidRDefault="00B81CB5" w:rsidP="005A3B4D">
            <w:pPr>
              <w:jc w:val="right"/>
              <w:rPr>
                <w:color w:val="000000"/>
                <w:sz w:val="20"/>
                <w:szCs w:val="20"/>
              </w:rPr>
            </w:pPr>
            <w:r>
              <w:rPr>
                <w:color w:val="000000"/>
                <w:sz w:val="20"/>
                <w:szCs w:val="20"/>
              </w:rPr>
              <w:t>0.168</w:t>
            </w:r>
          </w:p>
        </w:tc>
        <w:tc>
          <w:tcPr>
            <w:tcW w:w="864" w:type="dxa"/>
            <w:tcBorders>
              <w:top w:val="nil"/>
              <w:left w:val="nil"/>
              <w:bottom w:val="nil"/>
              <w:right w:val="nil"/>
            </w:tcBorders>
            <w:shd w:val="clear" w:color="auto" w:fill="auto"/>
            <w:noWrap/>
            <w:vAlign w:val="bottom"/>
            <w:hideMark/>
          </w:tcPr>
          <w:p w14:paraId="0FD11861" w14:textId="77777777" w:rsidR="00B81CB5" w:rsidRDefault="00B81CB5" w:rsidP="005A3B4D">
            <w:pPr>
              <w:jc w:val="right"/>
              <w:rPr>
                <w:color w:val="000000"/>
                <w:sz w:val="20"/>
                <w:szCs w:val="20"/>
              </w:rPr>
            </w:pPr>
            <w:r>
              <w:rPr>
                <w:color w:val="000000"/>
                <w:sz w:val="20"/>
                <w:szCs w:val="20"/>
              </w:rPr>
              <w:t>0.181</w:t>
            </w:r>
          </w:p>
        </w:tc>
        <w:tc>
          <w:tcPr>
            <w:tcW w:w="864" w:type="dxa"/>
            <w:tcBorders>
              <w:top w:val="nil"/>
              <w:left w:val="nil"/>
              <w:bottom w:val="nil"/>
              <w:right w:val="nil"/>
            </w:tcBorders>
            <w:shd w:val="clear" w:color="auto" w:fill="auto"/>
            <w:noWrap/>
            <w:vAlign w:val="bottom"/>
            <w:hideMark/>
          </w:tcPr>
          <w:p w14:paraId="63A0F4C9" w14:textId="77777777" w:rsidR="00B81CB5" w:rsidRDefault="00B81CB5" w:rsidP="005A3B4D">
            <w:pPr>
              <w:jc w:val="right"/>
              <w:rPr>
                <w:color w:val="000000"/>
                <w:sz w:val="20"/>
                <w:szCs w:val="20"/>
              </w:rPr>
            </w:pPr>
            <w:r>
              <w:rPr>
                <w:color w:val="000000"/>
                <w:sz w:val="20"/>
                <w:szCs w:val="20"/>
              </w:rPr>
              <w:t>0.028</w:t>
            </w:r>
          </w:p>
        </w:tc>
      </w:tr>
      <w:tr w:rsidR="00B81CB5" w14:paraId="41E1780E" w14:textId="77777777" w:rsidTr="005A3B4D">
        <w:trPr>
          <w:trHeight w:val="320"/>
        </w:trPr>
        <w:tc>
          <w:tcPr>
            <w:tcW w:w="1152" w:type="dxa"/>
            <w:tcBorders>
              <w:top w:val="nil"/>
              <w:left w:val="nil"/>
              <w:bottom w:val="nil"/>
              <w:right w:val="nil"/>
            </w:tcBorders>
            <w:shd w:val="clear" w:color="auto" w:fill="auto"/>
            <w:noWrap/>
            <w:vAlign w:val="bottom"/>
            <w:hideMark/>
          </w:tcPr>
          <w:p w14:paraId="79AF3572"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1A24B60"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A32908B" w14:textId="77777777" w:rsidR="00B81CB5" w:rsidRDefault="00B81CB5" w:rsidP="005A3B4D">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60E00933" w14:textId="77777777" w:rsidR="00B81CB5" w:rsidRDefault="00B81CB5" w:rsidP="005A3B4D">
            <w:pPr>
              <w:jc w:val="right"/>
              <w:rPr>
                <w:color w:val="000000"/>
                <w:sz w:val="20"/>
                <w:szCs w:val="20"/>
              </w:rPr>
            </w:pPr>
            <w:r>
              <w:rPr>
                <w:color w:val="000000"/>
                <w:sz w:val="20"/>
                <w:szCs w:val="20"/>
              </w:rPr>
              <w:t>0.617</w:t>
            </w:r>
          </w:p>
        </w:tc>
        <w:tc>
          <w:tcPr>
            <w:tcW w:w="864" w:type="dxa"/>
            <w:tcBorders>
              <w:top w:val="nil"/>
              <w:left w:val="nil"/>
              <w:bottom w:val="nil"/>
              <w:right w:val="nil"/>
            </w:tcBorders>
            <w:shd w:val="clear" w:color="auto" w:fill="auto"/>
            <w:noWrap/>
            <w:vAlign w:val="bottom"/>
            <w:hideMark/>
          </w:tcPr>
          <w:p w14:paraId="0DCDC82A"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A84B68C" w14:textId="77777777" w:rsidR="00B81CB5" w:rsidRDefault="00B81CB5" w:rsidP="005A3B4D">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405BD0AE" w14:textId="77777777" w:rsidR="00B81CB5" w:rsidRDefault="00B81CB5" w:rsidP="005A3B4D">
            <w:pPr>
              <w:jc w:val="right"/>
              <w:rPr>
                <w:color w:val="000000"/>
                <w:sz w:val="20"/>
                <w:szCs w:val="20"/>
              </w:rPr>
            </w:pPr>
            <w:r>
              <w:rPr>
                <w:color w:val="000000"/>
                <w:sz w:val="20"/>
                <w:szCs w:val="20"/>
              </w:rPr>
              <w:t>0.823</w:t>
            </w:r>
          </w:p>
        </w:tc>
        <w:tc>
          <w:tcPr>
            <w:tcW w:w="864" w:type="dxa"/>
            <w:tcBorders>
              <w:top w:val="nil"/>
              <w:left w:val="nil"/>
              <w:bottom w:val="nil"/>
              <w:right w:val="nil"/>
            </w:tcBorders>
            <w:shd w:val="clear" w:color="auto" w:fill="auto"/>
            <w:noWrap/>
            <w:vAlign w:val="bottom"/>
            <w:hideMark/>
          </w:tcPr>
          <w:p w14:paraId="1D61896A" w14:textId="77777777" w:rsidR="00B81CB5" w:rsidRDefault="00B81CB5" w:rsidP="005A3B4D">
            <w:pPr>
              <w:jc w:val="right"/>
              <w:rPr>
                <w:color w:val="000000"/>
                <w:sz w:val="20"/>
                <w:szCs w:val="20"/>
              </w:rPr>
            </w:pPr>
            <w:r>
              <w:rPr>
                <w:color w:val="000000"/>
                <w:sz w:val="20"/>
                <w:szCs w:val="20"/>
              </w:rPr>
              <w:t>0.001</w:t>
            </w:r>
          </w:p>
        </w:tc>
      </w:tr>
      <w:tr w:rsidR="00B81CB5" w14:paraId="7E9408FA" w14:textId="77777777" w:rsidTr="005A3B4D">
        <w:trPr>
          <w:trHeight w:val="320"/>
        </w:trPr>
        <w:tc>
          <w:tcPr>
            <w:tcW w:w="1152" w:type="dxa"/>
            <w:tcBorders>
              <w:top w:val="nil"/>
              <w:left w:val="nil"/>
              <w:bottom w:val="nil"/>
              <w:right w:val="nil"/>
            </w:tcBorders>
            <w:shd w:val="clear" w:color="auto" w:fill="auto"/>
            <w:noWrap/>
            <w:vAlign w:val="bottom"/>
            <w:hideMark/>
          </w:tcPr>
          <w:p w14:paraId="01C7950B"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0AD864F"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C067132"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E317C9C" w14:textId="77777777" w:rsidR="00B81CB5" w:rsidRDefault="00B81CB5" w:rsidP="005A3B4D">
            <w:pPr>
              <w:jc w:val="right"/>
              <w:rPr>
                <w:color w:val="000000"/>
                <w:sz w:val="20"/>
                <w:szCs w:val="20"/>
              </w:rPr>
            </w:pPr>
            <w:r>
              <w:rPr>
                <w:color w:val="000000"/>
                <w:sz w:val="20"/>
                <w:szCs w:val="20"/>
              </w:rPr>
              <w:t>0.958</w:t>
            </w:r>
          </w:p>
        </w:tc>
        <w:tc>
          <w:tcPr>
            <w:tcW w:w="864" w:type="dxa"/>
            <w:tcBorders>
              <w:top w:val="nil"/>
              <w:left w:val="nil"/>
              <w:bottom w:val="nil"/>
              <w:right w:val="nil"/>
            </w:tcBorders>
            <w:shd w:val="clear" w:color="auto" w:fill="auto"/>
            <w:noWrap/>
            <w:vAlign w:val="bottom"/>
            <w:hideMark/>
          </w:tcPr>
          <w:p w14:paraId="6B862072"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397A2F6" w14:textId="77777777" w:rsidR="00B81CB5" w:rsidRDefault="00B81CB5" w:rsidP="005A3B4D">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3B53806C" w14:textId="77777777" w:rsidR="00B81CB5" w:rsidRDefault="00B81CB5" w:rsidP="005A3B4D">
            <w:pPr>
              <w:jc w:val="right"/>
              <w:rPr>
                <w:color w:val="000000"/>
                <w:sz w:val="20"/>
                <w:szCs w:val="20"/>
              </w:rPr>
            </w:pPr>
            <w:r>
              <w:rPr>
                <w:color w:val="000000"/>
                <w:sz w:val="20"/>
                <w:szCs w:val="20"/>
              </w:rPr>
              <w:t>0.823</w:t>
            </w:r>
          </w:p>
        </w:tc>
        <w:tc>
          <w:tcPr>
            <w:tcW w:w="864" w:type="dxa"/>
            <w:tcBorders>
              <w:top w:val="nil"/>
              <w:left w:val="nil"/>
              <w:bottom w:val="nil"/>
              <w:right w:val="nil"/>
            </w:tcBorders>
            <w:shd w:val="clear" w:color="auto" w:fill="auto"/>
            <w:noWrap/>
            <w:vAlign w:val="bottom"/>
            <w:hideMark/>
          </w:tcPr>
          <w:p w14:paraId="0D728CE6" w14:textId="77777777" w:rsidR="00B81CB5" w:rsidRDefault="00B81CB5" w:rsidP="005A3B4D">
            <w:pPr>
              <w:jc w:val="right"/>
              <w:rPr>
                <w:color w:val="000000"/>
                <w:sz w:val="20"/>
                <w:szCs w:val="20"/>
              </w:rPr>
            </w:pPr>
            <w:r>
              <w:rPr>
                <w:color w:val="000000"/>
                <w:sz w:val="20"/>
                <w:szCs w:val="20"/>
              </w:rPr>
              <w:t>0.000</w:t>
            </w:r>
          </w:p>
        </w:tc>
      </w:tr>
      <w:tr w:rsidR="00B81CB5" w14:paraId="66DE1F4F" w14:textId="77777777" w:rsidTr="005A3B4D">
        <w:trPr>
          <w:trHeight w:val="320"/>
        </w:trPr>
        <w:tc>
          <w:tcPr>
            <w:tcW w:w="1152" w:type="dxa"/>
            <w:tcBorders>
              <w:top w:val="nil"/>
              <w:left w:val="nil"/>
              <w:bottom w:val="nil"/>
              <w:right w:val="nil"/>
            </w:tcBorders>
            <w:shd w:val="clear" w:color="auto" w:fill="auto"/>
            <w:noWrap/>
            <w:vAlign w:val="bottom"/>
            <w:hideMark/>
          </w:tcPr>
          <w:p w14:paraId="10294C38"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B5DBB51"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5E7C406" w14:textId="77777777" w:rsidR="00B81CB5" w:rsidRDefault="00B81CB5" w:rsidP="005A3B4D">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575823D2" w14:textId="77777777" w:rsidR="00B81CB5" w:rsidRDefault="00B81CB5" w:rsidP="005A3B4D">
            <w:pPr>
              <w:jc w:val="right"/>
              <w:rPr>
                <w:color w:val="000000"/>
                <w:sz w:val="20"/>
                <w:szCs w:val="20"/>
              </w:rPr>
            </w:pPr>
            <w:r>
              <w:rPr>
                <w:color w:val="000000"/>
                <w:sz w:val="20"/>
                <w:szCs w:val="20"/>
              </w:rPr>
              <w:t>0.617</w:t>
            </w:r>
          </w:p>
        </w:tc>
        <w:tc>
          <w:tcPr>
            <w:tcW w:w="864" w:type="dxa"/>
            <w:tcBorders>
              <w:top w:val="nil"/>
              <w:left w:val="nil"/>
              <w:bottom w:val="nil"/>
              <w:right w:val="nil"/>
            </w:tcBorders>
            <w:shd w:val="clear" w:color="auto" w:fill="auto"/>
            <w:noWrap/>
            <w:vAlign w:val="bottom"/>
            <w:hideMark/>
          </w:tcPr>
          <w:p w14:paraId="6B63230D"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5449BEA" w14:textId="77777777" w:rsidR="00B81CB5" w:rsidRDefault="00B81CB5" w:rsidP="005A3B4D">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441E32F4" w14:textId="77777777" w:rsidR="00B81CB5" w:rsidRDefault="00B81CB5" w:rsidP="005A3B4D">
            <w:pPr>
              <w:jc w:val="right"/>
              <w:rPr>
                <w:color w:val="000000"/>
                <w:sz w:val="20"/>
                <w:szCs w:val="20"/>
              </w:rPr>
            </w:pPr>
            <w:r>
              <w:rPr>
                <w:color w:val="000000"/>
                <w:sz w:val="20"/>
                <w:szCs w:val="20"/>
              </w:rPr>
              <w:t>0.823</w:t>
            </w:r>
          </w:p>
        </w:tc>
        <w:tc>
          <w:tcPr>
            <w:tcW w:w="864" w:type="dxa"/>
            <w:tcBorders>
              <w:top w:val="nil"/>
              <w:left w:val="nil"/>
              <w:bottom w:val="nil"/>
              <w:right w:val="nil"/>
            </w:tcBorders>
            <w:shd w:val="clear" w:color="auto" w:fill="auto"/>
            <w:noWrap/>
            <w:vAlign w:val="bottom"/>
            <w:hideMark/>
          </w:tcPr>
          <w:p w14:paraId="55959767" w14:textId="77777777" w:rsidR="00B81CB5" w:rsidRDefault="00B81CB5" w:rsidP="005A3B4D">
            <w:pPr>
              <w:jc w:val="right"/>
              <w:rPr>
                <w:color w:val="000000"/>
                <w:sz w:val="20"/>
                <w:szCs w:val="20"/>
              </w:rPr>
            </w:pPr>
            <w:r>
              <w:rPr>
                <w:color w:val="000000"/>
                <w:sz w:val="20"/>
                <w:szCs w:val="20"/>
              </w:rPr>
              <w:t>0.000</w:t>
            </w:r>
          </w:p>
        </w:tc>
      </w:tr>
      <w:tr w:rsidR="00B81CB5" w14:paraId="7CE0218C" w14:textId="77777777" w:rsidTr="005A3B4D">
        <w:trPr>
          <w:trHeight w:val="320"/>
        </w:trPr>
        <w:tc>
          <w:tcPr>
            <w:tcW w:w="1152" w:type="dxa"/>
            <w:tcBorders>
              <w:top w:val="nil"/>
              <w:left w:val="nil"/>
              <w:bottom w:val="nil"/>
              <w:right w:val="nil"/>
            </w:tcBorders>
            <w:shd w:val="clear" w:color="auto" w:fill="auto"/>
            <w:noWrap/>
            <w:vAlign w:val="bottom"/>
            <w:hideMark/>
          </w:tcPr>
          <w:p w14:paraId="7264122E"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41A71EA"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590D396" w14:textId="77777777" w:rsidR="00B81CB5" w:rsidRDefault="00B81CB5" w:rsidP="005A3B4D">
            <w:pPr>
              <w:jc w:val="right"/>
              <w:rPr>
                <w:b/>
                <w:bCs/>
                <w:color w:val="000000"/>
                <w:sz w:val="20"/>
                <w:szCs w:val="20"/>
              </w:rPr>
            </w:pPr>
            <w:r>
              <w:rPr>
                <w:b/>
                <w:bCs/>
                <w:color w:val="000000"/>
                <w:sz w:val="20"/>
                <w:szCs w:val="20"/>
              </w:rPr>
              <w:t>0.113</w:t>
            </w:r>
          </w:p>
        </w:tc>
        <w:tc>
          <w:tcPr>
            <w:tcW w:w="864" w:type="dxa"/>
            <w:tcBorders>
              <w:top w:val="nil"/>
              <w:left w:val="nil"/>
              <w:bottom w:val="nil"/>
              <w:right w:val="nil"/>
            </w:tcBorders>
            <w:shd w:val="clear" w:color="auto" w:fill="auto"/>
            <w:noWrap/>
            <w:vAlign w:val="bottom"/>
            <w:hideMark/>
          </w:tcPr>
          <w:p w14:paraId="2011D01A" w14:textId="77777777" w:rsidR="00B81CB5" w:rsidRDefault="00B81CB5" w:rsidP="005A3B4D">
            <w:pPr>
              <w:jc w:val="right"/>
              <w:rPr>
                <w:b/>
                <w:bCs/>
                <w:color w:val="000000"/>
                <w:sz w:val="20"/>
                <w:szCs w:val="20"/>
              </w:rPr>
            </w:pPr>
            <w:r>
              <w:rPr>
                <w:b/>
                <w:bCs/>
                <w:color w:val="000000"/>
                <w:sz w:val="20"/>
                <w:szCs w:val="20"/>
              </w:rPr>
              <w:t>0.011</w:t>
            </w:r>
          </w:p>
        </w:tc>
        <w:tc>
          <w:tcPr>
            <w:tcW w:w="864" w:type="dxa"/>
            <w:tcBorders>
              <w:top w:val="nil"/>
              <w:left w:val="nil"/>
              <w:bottom w:val="nil"/>
              <w:right w:val="nil"/>
            </w:tcBorders>
            <w:shd w:val="clear" w:color="auto" w:fill="auto"/>
            <w:noWrap/>
            <w:vAlign w:val="bottom"/>
            <w:hideMark/>
          </w:tcPr>
          <w:p w14:paraId="6669282B" w14:textId="77777777" w:rsidR="00B81CB5" w:rsidRDefault="00B81CB5" w:rsidP="005A3B4D">
            <w:pPr>
              <w:jc w:val="right"/>
              <w:rPr>
                <w:b/>
                <w:bCs/>
                <w:color w:val="000000"/>
                <w:sz w:val="20"/>
                <w:szCs w:val="20"/>
              </w:rPr>
            </w:pPr>
            <w:r>
              <w:rPr>
                <w:b/>
                <w:bCs/>
                <w:color w:val="000000"/>
                <w:sz w:val="20"/>
                <w:szCs w:val="20"/>
              </w:rPr>
              <w:t>0.013</w:t>
            </w:r>
          </w:p>
        </w:tc>
        <w:tc>
          <w:tcPr>
            <w:tcW w:w="864" w:type="dxa"/>
            <w:tcBorders>
              <w:top w:val="nil"/>
              <w:left w:val="nil"/>
              <w:bottom w:val="nil"/>
              <w:right w:val="nil"/>
            </w:tcBorders>
            <w:shd w:val="clear" w:color="auto" w:fill="auto"/>
            <w:noWrap/>
            <w:vAlign w:val="bottom"/>
            <w:hideMark/>
          </w:tcPr>
          <w:p w14:paraId="6B36F8B2" w14:textId="77777777" w:rsidR="00B81CB5" w:rsidRDefault="00B81CB5" w:rsidP="005A3B4D">
            <w:pPr>
              <w:jc w:val="right"/>
              <w:rPr>
                <w:color w:val="000000"/>
                <w:sz w:val="20"/>
                <w:szCs w:val="20"/>
              </w:rPr>
            </w:pPr>
            <w:r>
              <w:rPr>
                <w:color w:val="000000"/>
                <w:sz w:val="20"/>
                <w:szCs w:val="20"/>
              </w:rPr>
              <w:t>0.083</w:t>
            </w:r>
          </w:p>
        </w:tc>
        <w:tc>
          <w:tcPr>
            <w:tcW w:w="864" w:type="dxa"/>
            <w:tcBorders>
              <w:top w:val="nil"/>
              <w:left w:val="nil"/>
              <w:bottom w:val="nil"/>
              <w:right w:val="nil"/>
            </w:tcBorders>
            <w:shd w:val="clear" w:color="auto" w:fill="auto"/>
            <w:noWrap/>
            <w:vAlign w:val="bottom"/>
            <w:hideMark/>
          </w:tcPr>
          <w:p w14:paraId="36EFC744" w14:textId="77777777" w:rsidR="00B81CB5" w:rsidRDefault="00B81CB5" w:rsidP="005A3B4D">
            <w:pPr>
              <w:jc w:val="right"/>
              <w:rPr>
                <w:color w:val="000000"/>
                <w:sz w:val="20"/>
                <w:szCs w:val="20"/>
              </w:rPr>
            </w:pPr>
            <w:r>
              <w:rPr>
                <w:color w:val="000000"/>
                <w:sz w:val="20"/>
                <w:szCs w:val="20"/>
              </w:rPr>
              <w:t>0.181</w:t>
            </w:r>
          </w:p>
        </w:tc>
        <w:tc>
          <w:tcPr>
            <w:tcW w:w="864" w:type="dxa"/>
            <w:tcBorders>
              <w:top w:val="nil"/>
              <w:left w:val="nil"/>
              <w:bottom w:val="nil"/>
              <w:right w:val="nil"/>
            </w:tcBorders>
            <w:shd w:val="clear" w:color="auto" w:fill="auto"/>
            <w:noWrap/>
            <w:vAlign w:val="bottom"/>
            <w:hideMark/>
          </w:tcPr>
          <w:p w14:paraId="27BC4642" w14:textId="77777777" w:rsidR="00B81CB5" w:rsidRDefault="00B81CB5" w:rsidP="005A3B4D">
            <w:pPr>
              <w:jc w:val="right"/>
              <w:rPr>
                <w:color w:val="000000"/>
                <w:sz w:val="20"/>
                <w:szCs w:val="20"/>
              </w:rPr>
            </w:pPr>
            <w:r>
              <w:rPr>
                <w:color w:val="000000"/>
                <w:sz w:val="20"/>
                <w:szCs w:val="20"/>
              </w:rPr>
              <w:t>0.007</w:t>
            </w:r>
          </w:p>
        </w:tc>
      </w:tr>
      <w:tr w:rsidR="00B81CB5" w14:paraId="23C21185"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3D73F451"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4709607"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E3852C7" w14:textId="77777777" w:rsidR="00B81CB5" w:rsidRDefault="00B81CB5" w:rsidP="005A3B4D">
            <w:pPr>
              <w:jc w:val="right"/>
              <w:rPr>
                <w:color w:val="000000"/>
                <w:sz w:val="20"/>
                <w:szCs w:val="20"/>
              </w:rPr>
            </w:pPr>
            <w:r>
              <w:rPr>
                <w:color w:val="000000"/>
                <w:sz w:val="20"/>
                <w:szCs w:val="20"/>
              </w:rPr>
              <w:t>0.052</w:t>
            </w:r>
          </w:p>
        </w:tc>
        <w:tc>
          <w:tcPr>
            <w:tcW w:w="864" w:type="dxa"/>
            <w:tcBorders>
              <w:top w:val="nil"/>
              <w:left w:val="nil"/>
              <w:bottom w:val="single" w:sz="4" w:space="0" w:color="auto"/>
              <w:right w:val="nil"/>
            </w:tcBorders>
            <w:shd w:val="clear" w:color="auto" w:fill="auto"/>
            <w:noWrap/>
            <w:vAlign w:val="bottom"/>
            <w:hideMark/>
          </w:tcPr>
          <w:p w14:paraId="21CC53AB" w14:textId="77777777" w:rsidR="00B81CB5" w:rsidRDefault="00B81CB5" w:rsidP="005A3B4D">
            <w:pPr>
              <w:jc w:val="right"/>
              <w:rPr>
                <w:color w:val="000000"/>
                <w:sz w:val="20"/>
                <w:szCs w:val="20"/>
              </w:rPr>
            </w:pPr>
            <w:r>
              <w:rPr>
                <w:color w:val="000000"/>
                <w:sz w:val="20"/>
                <w:szCs w:val="20"/>
              </w:rPr>
              <w:t>0.617</w:t>
            </w:r>
          </w:p>
        </w:tc>
        <w:tc>
          <w:tcPr>
            <w:tcW w:w="864" w:type="dxa"/>
            <w:tcBorders>
              <w:top w:val="nil"/>
              <w:left w:val="nil"/>
              <w:bottom w:val="single" w:sz="4" w:space="0" w:color="auto"/>
              <w:right w:val="nil"/>
            </w:tcBorders>
            <w:shd w:val="clear" w:color="auto" w:fill="auto"/>
            <w:noWrap/>
            <w:vAlign w:val="bottom"/>
            <w:hideMark/>
          </w:tcPr>
          <w:p w14:paraId="36B28384"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single" w:sz="4" w:space="0" w:color="auto"/>
              <w:right w:val="nil"/>
            </w:tcBorders>
            <w:shd w:val="clear" w:color="auto" w:fill="auto"/>
            <w:noWrap/>
            <w:vAlign w:val="bottom"/>
            <w:hideMark/>
          </w:tcPr>
          <w:p w14:paraId="796C21DC" w14:textId="77777777" w:rsidR="00B81CB5" w:rsidRDefault="00B81CB5" w:rsidP="005A3B4D">
            <w:pPr>
              <w:jc w:val="right"/>
              <w:rPr>
                <w:color w:val="000000"/>
                <w:sz w:val="20"/>
                <w:szCs w:val="20"/>
              </w:rPr>
            </w:pPr>
            <w:r>
              <w:rPr>
                <w:color w:val="000000"/>
                <w:sz w:val="20"/>
                <w:szCs w:val="20"/>
              </w:rPr>
              <w:t>0.033</w:t>
            </w:r>
          </w:p>
        </w:tc>
        <w:tc>
          <w:tcPr>
            <w:tcW w:w="864" w:type="dxa"/>
            <w:tcBorders>
              <w:top w:val="nil"/>
              <w:left w:val="nil"/>
              <w:bottom w:val="single" w:sz="4" w:space="0" w:color="auto"/>
              <w:right w:val="nil"/>
            </w:tcBorders>
            <w:shd w:val="clear" w:color="auto" w:fill="auto"/>
            <w:noWrap/>
            <w:vAlign w:val="bottom"/>
            <w:hideMark/>
          </w:tcPr>
          <w:p w14:paraId="445BFCFE" w14:textId="77777777" w:rsidR="00B81CB5" w:rsidRDefault="00B81CB5" w:rsidP="005A3B4D">
            <w:pPr>
              <w:jc w:val="right"/>
              <w:rPr>
                <w:color w:val="000000"/>
                <w:sz w:val="20"/>
                <w:szCs w:val="20"/>
              </w:rPr>
            </w:pPr>
            <w:r>
              <w:rPr>
                <w:color w:val="000000"/>
                <w:sz w:val="20"/>
                <w:szCs w:val="20"/>
              </w:rPr>
              <w:t>0.823</w:t>
            </w:r>
          </w:p>
        </w:tc>
        <w:tc>
          <w:tcPr>
            <w:tcW w:w="864" w:type="dxa"/>
            <w:tcBorders>
              <w:top w:val="nil"/>
              <w:left w:val="nil"/>
              <w:bottom w:val="single" w:sz="4" w:space="0" w:color="auto"/>
              <w:right w:val="nil"/>
            </w:tcBorders>
            <w:shd w:val="clear" w:color="auto" w:fill="auto"/>
            <w:noWrap/>
            <w:vAlign w:val="bottom"/>
            <w:hideMark/>
          </w:tcPr>
          <w:p w14:paraId="180570B8" w14:textId="77777777" w:rsidR="00B81CB5" w:rsidRDefault="00B81CB5" w:rsidP="005A3B4D">
            <w:pPr>
              <w:jc w:val="right"/>
              <w:rPr>
                <w:color w:val="000000"/>
                <w:sz w:val="20"/>
                <w:szCs w:val="20"/>
              </w:rPr>
            </w:pPr>
            <w:r>
              <w:rPr>
                <w:color w:val="000000"/>
                <w:sz w:val="20"/>
                <w:szCs w:val="20"/>
              </w:rPr>
              <w:t>0.001</w:t>
            </w:r>
          </w:p>
        </w:tc>
      </w:tr>
      <w:tr w:rsidR="00B81CB5" w14:paraId="3BC53B4A" w14:textId="77777777" w:rsidTr="005A3B4D">
        <w:trPr>
          <w:trHeight w:val="320"/>
        </w:trPr>
        <w:tc>
          <w:tcPr>
            <w:tcW w:w="1152" w:type="dxa"/>
            <w:tcBorders>
              <w:top w:val="nil"/>
              <w:left w:val="nil"/>
              <w:bottom w:val="nil"/>
              <w:right w:val="nil"/>
            </w:tcBorders>
            <w:shd w:val="clear" w:color="auto" w:fill="auto"/>
            <w:noWrap/>
            <w:vAlign w:val="bottom"/>
            <w:hideMark/>
          </w:tcPr>
          <w:p w14:paraId="6726EA83" w14:textId="77777777" w:rsidR="00B81CB5" w:rsidRDefault="00B81CB5" w:rsidP="005A3B4D">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5AFFA391" w14:textId="77777777" w:rsidR="00B81CB5" w:rsidRDefault="00B81CB5"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C32D4CF"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51AC896" w14:textId="77777777" w:rsidR="00B81CB5" w:rsidRDefault="00B81CB5" w:rsidP="005A3B4D">
            <w:pPr>
              <w:jc w:val="right"/>
              <w:rPr>
                <w:color w:val="000000"/>
                <w:sz w:val="20"/>
                <w:szCs w:val="20"/>
              </w:rPr>
            </w:pPr>
            <w:r>
              <w:rPr>
                <w:color w:val="000000"/>
                <w:sz w:val="20"/>
                <w:szCs w:val="20"/>
              </w:rPr>
              <w:t>0.972</w:t>
            </w:r>
          </w:p>
        </w:tc>
        <w:tc>
          <w:tcPr>
            <w:tcW w:w="864" w:type="dxa"/>
            <w:tcBorders>
              <w:top w:val="nil"/>
              <w:left w:val="nil"/>
              <w:bottom w:val="nil"/>
              <w:right w:val="nil"/>
            </w:tcBorders>
            <w:shd w:val="clear" w:color="auto" w:fill="auto"/>
            <w:noWrap/>
            <w:vAlign w:val="bottom"/>
            <w:hideMark/>
          </w:tcPr>
          <w:p w14:paraId="4F8E15F5"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8ED2E53"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5E16E338" w14:textId="77777777" w:rsidR="00B81CB5" w:rsidRDefault="00B81CB5" w:rsidP="005A3B4D">
            <w:pPr>
              <w:jc w:val="right"/>
              <w:rPr>
                <w:color w:val="000000"/>
                <w:sz w:val="20"/>
                <w:szCs w:val="20"/>
              </w:rPr>
            </w:pPr>
            <w:r>
              <w:rPr>
                <w:color w:val="000000"/>
                <w:sz w:val="20"/>
                <w:szCs w:val="20"/>
              </w:rPr>
              <w:t>0.889</w:t>
            </w:r>
          </w:p>
        </w:tc>
        <w:tc>
          <w:tcPr>
            <w:tcW w:w="864" w:type="dxa"/>
            <w:tcBorders>
              <w:top w:val="nil"/>
              <w:left w:val="nil"/>
              <w:bottom w:val="nil"/>
              <w:right w:val="nil"/>
            </w:tcBorders>
            <w:shd w:val="clear" w:color="auto" w:fill="auto"/>
            <w:noWrap/>
            <w:vAlign w:val="bottom"/>
            <w:hideMark/>
          </w:tcPr>
          <w:p w14:paraId="2F17B69C" w14:textId="77777777" w:rsidR="00B81CB5" w:rsidRDefault="00B81CB5" w:rsidP="005A3B4D">
            <w:pPr>
              <w:jc w:val="right"/>
              <w:rPr>
                <w:color w:val="000000"/>
                <w:sz w:val="20"/>
                <w:szCs w:val="20"/>
              </w:rPr>
            </w:pPr>
            <w:r>
              <w:rPr>
                <w:color w:val="000000"/>
                <w:sz w:val="20"/>
                <w:szCs w:val="20"/>
              </w:rPr>
              <w:t>0.000</w:t>
            </w:r>
          </w:p>
        </w:tc>
      </w:tr>
      <w:tr w:rsidR="00B81CB5" w14:paraId="440FD33B" w14:textId="77777777" w:rsidTr="005A3B4D">
        <w:trPr>
          <w:trHeight w:val="320"/>
        </w:trPr>
        <w:tc>
          <w:tcPr>
            <w:tcW w:w="1152" w:type="dxa"/>
            <w:tcBorders>
              <w:top w:val="nil"/>
              <w:left w:val="nil"/>
              <w:bottom w:val="nil"/>
              <w:right w:val="nil"/>
            </w:tcBorders>
            <w:shd w:val="clear" w:color="auto" w:fill="auto"/>
            <w:noWrap/>
            <w:vAlign w:val="bottom"/>
            <w:hideMark/>
          </w:tcPr>
          <w:p w14:paraId="18805DB4"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F977160"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FE51F15" w14:textId="77777777" w:rsidR="00B81CB5" w:rsidRDefault="00B81CB5" w:rsidP="005A3B4D">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53E62CBD" w14:textId="77777777" w:rsidR="00B81CB5" w:rsidRDefault="00B81CB5" w:rsidP="005A3B4D">
            <w:pPr>
              <w:jc w:val="right"/>
              <w:rPr>
                <w:color w:val="000000"/>
                <w:sz w:val="20"/>
                <w:szCs w:val="20"/>
              </w:rPr>
            </w:pPr>
            <w:r>
              <w:rPr>
                <w:color w:val="000000"/>
                <w:sz w:val="20"/>
                <w:szCs w:val="20"/>
              </w:rPr>
              <w:t>0.710</w:t>
            </w:r>
          </w:p>
        </w:tc>
        <w:tc>
          <w:tcPr>
            <w:tcW w:w="864" w:type="dxa"/>
            <w:tcBorders>
              <w:top w:val="nil"/>
              <w:left w:val="nil"/>
              <w:bottom w:val="nil"/>
              <w:right w:val="nil"/>
            </w:tcBorders>
            <w:shd w:val="clear" w:color="auto" w:fill="auto"/>
            <w:noWrap/>
            <w:vAlign w:val="bottom"/>
            <w:hideMark/>
          </w:tcPr>
          <w:p w14:paraId="404F2CC5"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87560CD" w14:textId="77777777" w:rsidR="00B81CB5" w:rsidRDefault="00B81CB5" w:rsidP="005A3B4D">
            <w:pPr>
              <w:jc w:val="right"/>
              <w:rPr>
                <w:color w:val="000000"/>
                <w:sz w:val="20"/>
                <w:szCs w:val="20"/>
              </w:rPr>
            </w:pPr>
            <w:r>
              <w:rPr>
                <w:color w:val="000000"/>
                <w:sz w:val="20"/>
                <w:szCs w:val="20"/>
              </w:rPr>
              <w:t>-0.088</w:t>
            </w:r>
          </w:p>
        </w:tc>
        <w:tc>
          <w:tcPr>
            <w:tcW w:w="864" w:type="dxa"/>
            <w:tcBorders>
              <w:top w:val="nil"/>
              <w:left w:val="nil"/>
              <w:bottom w:val="nil"/>
              <w:right w:val="nil"/>
            </w:tcBorders>
            <w:shd w:val="clear" w:color="auto" w:fill="auto"/>
            <w:noWrap/>
            <w:vAlign w:val="bottom"/>
            <w:hideMark/>
          </w:tcPr>
          <w:p w14:paraId="0A0F6D25" w14:textId="77777777" w:rsidR="00B81CB5" w:rsidRDefault="00B81CB5" w:rsidP="005A3B4D">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0CDAE1A9" w14:textId="77777777" w:rsidR="00B81CB5" w:rsidRDefault="00B81CB5" w:rsidP="005A3B4D">
            <w:pPr>
              <w:jc w:val="right"/>
              <w:rPr>
                <w:color w:val="000000"/>
                <w:sz w:val="20"/>
                <w:szCs w:val="20"/>
              </w:rPr>
            </w:pPr>
            <w:r>
              <w:rPr>
                <w:color w:val="000000"/>
                <w:sz w:val="20"/>
                <w:szCs w:val="20"/>
              </w:rPr>
              <w:t>0.008</w:t>
            </w:r>
          </w:p>
        </w:tc>
      </w:tr>
      <w:tr w:rsidR="00B81CB5" w14:paraId="75F51E05" w14:textId="77777777" w:rsidTr="005A3B4D">
        <w:trPr>
          <w:trHeight w:val="320"/>
        </w:trPr>
        <w:tc>
          <w:tcPr>
            <w:tcW w:w="1152" w:type="dxa"/>
            <w:tcBorders>
              <w:top w:val="nil"/>
              <w:left w:val="nil"/>
              <w:bottom w:val="nil"/>
              <w:right w:val="nil"/>
            </w:tcBorders>
            <w:shd w:val="clear" w:color="auto" w:fill="auto"/>
            <w:noWrap/>
            <w:vAlign w:val="bottom"/>
            <w:hideMark/>
          </w:tcPr>
          <w:p w14:paraId="2E27592C"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94C58D"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46B8087" w14:textId="77777777" w:rsidR="00B81CB5" w:rsidRDefault="00B81CB5" w:rsidP="005A3B4D">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2B2E6767" w14:textId="77777777" w:rsidR="00B81CB5" w:rsidRDefault="00B81CB5" w:rsidP="005A3B4D">
            <w:pPr>
              <w:jc w:val="right"/>
              <w:rPr>
                <w:color w:val="000000"/>
                <w:sz w:val="20"/>
                <w:szCs w:val="20"/>
              </w:rPr>
            </w:pPr>
            <w:r>
              <w:rPr>
                <w:color w:val="000000"/>
                <w:sz w:val="20"/>
                <w:szCs w:val="20"/>
              </w:rPr>
              <w:t>0.730</w:t>
            </w:r>
          </w:p>
        </w:tc>
        <w:tc>
          <w:tcPr>
            <w:tcW w:w="864" w:type="dxa"/>
            <w:tcBorders>
              <w:top w:val="nil"/>
              <w:left w:val="nil"/>
              <w:bottom w:val="nil"/>
              <w:right w:val="nil"/>
            </w:tcBorders>
            <w:shd w:val="clear" w:color="auto" w:fill="auto"/>
            <w:noWrap/>
            <w:vAlign w:val="bottom"/>
            <w:hideMark/>
          </w:tcPr>
          <w:p w14:paraId="2E41A247"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6FB38B0" w14:textId="77777777" w:rsidR="00B81CB5" w:rsidRDefault="00B81CB5" w:rsidP="005A3B4D">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0EBA88F0" w14:textId="77777777" w:rsidR="00B81CB5" w:rsidRDefault="00B81CB5" w:rsidP="005A3B4D">
            <w:pPr>
              <w:jc w:val="right"/>
              <w:rPr>
                <w:color w:val="000000"/>
                <w:sz w:val="20"/>
                <w:szCs w:val="20"/>
              </w:rPr>
            </w:pPr>
            <w:r>
              <w:rPr>
                <w:color w:val="000000"/>
                <w:sz w:val="20"/>
                <w:szCs w:val="20"/>
              </w:rPr>
              <w:t>0.889</w:t>
            </w:r>
          </w:p>
        </w:tc>
        <w:tc>
          <w:tcPr>
            <w:tcW w:w="864" w:type="dxa"/>
            <w:tcBorders>
              <w:top w:val="nil"/>
              <w:left w:val="nil"/>
              <w:bottom w:val="nil"/>
              <w:right w:val="nil"/>
            </w:tcBorders>
            <w:shd w:val="clear" w:color="auto" w:fill="auto"/>
            <w:noWrap/>
            <w:vAlign w:val="bottom"/>
            <w:hideMark/>
          </w:tcPr>
          <w:p w14:paraId="2524203A" w14:textId="77777777" w:rsidR="00B81CB5" w:rsidRDefault="00B81CB5" w:rsidP="005A3B4D">
            <w:pPr>
              <w:jc w:val="right"/>
              <w:rPr>
                <w:color w:val="000000"/>
                <w:sz w:val="20"/>
                <w:szCs w:val="20"/>
              </w:rPr>
            </w:pPr>
            <w:r>
              <w:rPr>
                <w:color w:val="000000"/>
                <w:sz w:val="20"/>
                <w:szCs w:val="20"/>
              </w:rPr>
              <w:t>0.000</w:t>
            </w:r>
          </w:p>
        </w:tc>
      </w:tr>
      <w:tr w:rsidR="00B81CB5" w14:paraId="4F501E55" w14:textId="77777777" w:rsidTr="005A3B4D">
        <w:trPr>
          <w:trHeight w:val="320"/>
        </w:trPr>
        <w:tc>
          <w:tcPr>
            <w:tcW w:w="1152" w:type="dxa"/>
            <w:tcBorders>
              <w:top w:val="nil"/>
              <w:left w:val="nil"/>
              <w:bottom w:val="nil"/>
              <w:right w:val="nil"/>
            </w:tcBorders>
            <w:shd w:val="clear" w:color="auto" w:fill="auto"/>
            <w:noWrap/>
            <w:vAlign w:val="bottom"/>
            <w:hideMark/>
          </w:tcPr>
          <w:p w14:paraId="578D948F"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D891DC5"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047F704" w14:textId="77777777" w:rsidR="00B81CB5" w:rsidRDefault="00B81CB5" w:rsidP="005A3B4D">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23DC3663" w14:textId="77777777" w:rsidR="00B81CB5" w:rsidRDefault="00B81CB5" w:rsidP="005A3B4D">
            <w:pPr>
              <w:jc w:val="right"/>
              <w:rPr>
                <w:color w:val="000000"/>
                <w:sz w:val="20"/>
                <w:szCs w:val="20"/>
              </w:rPr>
            </w:pPr>
            <w:r>
              <w:rPr>
                <w:color w:val="000000"/>
                <w:sz w:val="20"/>
                <w:szCs w:val="20"/>
              </w:rPr>
              <w:t>0.730</w:t>
            </w:r>
          </w:p>
        </w:tc>
        <w:tc>
          <w:tcPr>
            <w:tcW w:w="864" w:type="dxa"/>
            <w:tcBorders>
              <w:top w:val="nil"/>
              <w:left w:val="nil"/>
              <w:bottom w:val="nil"/>
              <w:right w:val="nil"/>
            </w:tcBorders>
            <w:shd w:val="clear" w:color="auto" w:fill="auto"/>
            <w:noWrap/>
            <w:vAlign w:val="bottom"/>
            <w:hideMark/>
          </w:tcPr>
          <w:p w14:paraId="521F36F3"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28BF0F5" w14:textId="77777777" w:rsidR="00B81CB5" w:rsidRDefault="00B81CB5"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1DA790F7" w14:textId="77777777" w:rsidR="00B81CB5" w:rsidRDefault="00B81CB5" w:rsidP="005A3B4D">
            <w:pPr>
              <w:jc w:val="right"/>
              <w:rPr>
                <w:color w:val="000000"/>
                <w:sz w:val="20"/>
                <w:szCs w:val="20"/>
              </w:rPr>
            </w:pPr>
            <w:r>
              <w:rPr>
                <w:color w:val="000000"/>
                <w:sz w:val="20"/>
                <w:szCs w:val="20"/>
              </w:rPr>
              <w:t>0.889</w:t>
            </w:r>
          </w:p>
        </w:tc>
        <w:tc>
          <w:tcPr>
            <w:tcW w:w="864" w:type="dxa"/>
            <w:tcBorders>
              <w:top w:val="nil"/>
              <w:left w:val="nil"/>
              <w:bottom w:val="nil"/>
              <w:right w:val="nil"/>
            </w:tcBorders>
            <w:shd w:val="clear" w:color="auto" w:fill="auto"/>
            <w:noWrap/>
            <w:vAlign w:val="bottom"/>
            <w:hideMark/>
          </w:tcPr>
          <w:p w14:paraId="407122C8" w14:textId="77777777" w:rsidR="00B81CB5" w:rsidRDefault="00B81CB5" w:rsidP="005A3B4D">
            <w:pPr>
              <w:jc w:val="right"/>
              <w:rPr>
                <w:color w:val="000000"/>
                <w:sz w:val="20"/>
                <w:szCs w:val="20"/>
              </w:rPr>
            </w:pPr>
            <w:r>
              <w:rPr>
                <w:color w:val="000000"/>
                <w:sz w:val="20"/>
                <w:szCs w:val="20"/>
              </w:rPr>
              <w:t>0.000</w:t>
            </w:r>
          </w:p>
        </w:tc>
      </w:tr>
      <w:tr w:rsidR="00B81CB5" w14:paraId="1C6AE80B" w14:textId="77777777" w:rsidTr="005A3B4D">
        <w:trPr>
          <w:trHeight w:val="320"/>
        </w:trPr>
        <w:tc>
          <w:tcPr>
            <w:tcW w:w="1152" w:type="dxa"/>
            <w:tcBorders>
              <w:top w:val="nil"/>
              <w:left w:val="nil"/>
              <w:bottom w:val="nil"/>
              <w:right w:val="nil"/>
            </w:tcBorders>
            <w:shd w:val="clear" w:color="auto" w:fill="auto"/>
            <w:noWrap/>
            <w:vAlign w:val="bottom"/>
            <w:hideMark/>
          </w:tcPr>
          <w:p w14:paraId="4FA88E40"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0661242"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6D71BC2" w14:textId="77777777" w:rsidR="00B81CB5" w:rsidRDefault="00B81CB5" w:rsidP="005A3B4D">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7550BAA3" w14:textId="77777777" w:rsidR="00B81CB5" w:rsidRDefault="00B81CB5" w:rsidP="005A3B4D">
            <w:pPr>
              <w:jc w:val="right"/>
              <w:rPr>
                <w:color w:val="000000"/>
                <w:sz w:val="20"/>
                <w:szCs w:val="20"/>
              </w:rPr>
            </w:pPr>
            <w:r>
              <w:rPr>
                <w:color w:val="000000"/>
                <w:sz w:val="20"/>
                <w:szCs w:val="20"/>
              </w:rPr>
              <w:t>0.710</w:t>
            </w:r>
          </w:p>
        </w:tc>
        <w:tc>
          <w:tcPr>
            <w:tcW w:w="864" w:type="dxa"/>
            <w:tcBorders>
              <w:top w:val="nil"/>
              <w:left w:val="nil"/>
              <w:bottom w:val="nil"/>
              <w:right w:val="nil"/>
            </w:tcBorders>
            <w:shd w:val="clear" w:color="auto" w:fill="auto"/>
            <w:noWrap/>
            <w:vAlign w:val="bottom"/>
            <w:hideMark/>
          </w:tcPr>
          <w:p w14:paraId="35150543"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277B389" w14:textId="77777777" w:rsidR="00B81CB5" w:rsidRDefault="00B81CB5" w:rsidP="005A3B4D">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452F3A3A" w14:textId="77777777" w:rsidR="00B81CB5" w:rsidRDefault="00B81CB5" w:rsidP="005A3B4D">
            <w:pPr>
              <w:jc w:val="right"/>
              <w:rPr>
                <w:color w:val="000000"/>
                <w:sz w:val="20"/>
                <w:szCs w:val="20"/>
              </w:rPr>
            </w:pPr>
            <w:r>
              <w:rPr>
                <w:color w:val="000000"/>
                <w:sz w:val="20"/>
                <w:szCs w:val="20"/>
              </w:rPr>
              <w:t>0.889</w:t>
            </w:r>
          </w:p>
        </w:tc>
        <w:tc>
          <w:tcPr>
            <w:tcW w:w="864" w:type="dxa"/>
            <w:tcBorders>
              <w:top w:val="nil"/>
              <w:left w:val="nil"/>
              <w:bottom w:val="nil"/>
              <w:right w:val="nil"/>
            </w:tcBorders>
            <w:shd w:val="clear" w:color="auto" w:fill="auto"/>
            <w:noWrap/>
            <w:vAlign w:val="bottom"/>
            <w:hideMark/>
          </w:tcPr>
          <w:p w14:paraId="3FD9AA66" w14:textId="77777777" w:rsidR="00B81CB5" w:rsidRDefault="00B81CB5" w:rsidP="005A3B4D">
            <w:pPr>
              <w:jc w:val="right"/>
              <w:rPr>
                <w:color w:val="000000"/>
                <w:sz w:val="20"/>
                <w:szCs w:val="20"/>
              </w:rPr>
            </w:pPr>
            <w:r>
              <w:rPr>
                <w:color w:val="000000"/>
                <w:sz w:val="20"/>
                <w:szCs w:val="20"/>
              </w:rPr>
              <w:t>0.000</w:t>
            </w:r>
          </w:p>
        </w:tc>
      </w:tr>
      <w:tr w:rsidR="00B81CB5" w14:paraId="66DE9C75" w14:textId="77777777" w:rsidTr="005A3B4D">
        <w:trPr>
          <w:trHeight w:val="320"/>
        </w:trPr>
        <w:tc>
          <w:tcPr>
            <w:tcW w:w="1152" w:type="dxa"/>
            <w:tcBorders>
              <w:top w:val="nil"/>
              <w:left w:val="nil"/>
              <w:bottom w:val="nil"/>
              <w:right w:val="nil"/>
            </w:tcBorders>
            <w:shd w:val="clear" w:color="auto" w:fill="auto"/>
            <w:noWrap/>
            <w:vAlign w:val="bottom"/>
            <w:hideMark/>
          </w:tcPr>
          <w:p w14:paraId="4C54B16E"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827B515"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65AC497" w14:textId="77777777" w:rsidR="00B81CB5" w:rsidRDefault="00B81CB5" w:rsidP="005A3B4D">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7334A626" w14:textId="77777777" w:rsidR="00B81CB5" w:rsidRDefault="00B81CB5" w:rsidP="005A3B4D">
            <w:pPr>
              <w:jc w:val="right"/>
              <w:rPr>
                <w:color w:val="000000"/>
                <w:sz w:val="20"/>
                <w:szCs w:val="20"/>
              </w:rPr>
            </w:pPr>
            <w:r>
              <w:rPr>
                <w:color w:val="000000"/>
                <w:sz w:val="20"/>
                <w:szCs w:val="20"/>
              </w:rPr>
              <w:t>0.710</w:t>
            </w:r>
          </w:p>
        </w:tc>
        <w:tc>
          <w:tcPr>
            <w:tcW w:w="864" w:type="dxa"/>
            <w:tcBorders>
              <w:top w:val="nil"/>
              <w:left w:val="nil"/>
              <w:bottom w:val="nil"/>
              <w:right w:val="nil"/>
            </w:tcBorders>
            <w:shd w:val="clear" w:color="auto" w:fill="auto"/>
            <w:noWrap/>
            <w:vAlign w:val="bottom"/>
            <w:hideMark/>
          </w:tcPr>
          <w:p w14:paraId="45D70314"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49DF918" w14:textId="77777777" w:rsidR="00B81CB5" w:rsidRDefault="00B81CB5"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1B69FDF7" w14:textId="77777777" w:rsidR="00B81CB5" w:rsidRDefault="00B81CB5" w:rsidP="005A3B4D">
            <w:pPr>
              <w:jc w:val="right"/>
              <w:rPr>
                <w:color w:val="000000"/>
                <w:sz w:val="20"/>
                <w:szCs w:val="20"/>
              </w:rPr>
            </w:pPr>
            <w:r>
              <w:rPr>
                <w:color w:val="000000"/>
                <w:sz w:val="20"/>
                <w:szCs w:val="20"/>
              </w:rPr>
              <w:t>0.889</w:t>
            </w:r>
          </w:p>
        </w:tc>
        <w:tc>
          <w:tcPr>
            <w:tcW w:w="864" w:type="dxa"/>
            <w:tcBorders>
              <w:top w:val="nil"/>
              <w:left w:val="nil"/>
              <w:bottom w:val="nil"/>
              <w:right w:val="nil"/>
            </w:tcBorders>
            <w:shd w:val="clear" w:color="auto" w:fill="auto"/>
            <w:noWrap/>
            <w:vAlign w:val="bottom"/>
            <w:hideMark/>
          </w:tcPr>
          <w:p w14:paraId="4C40A3F4" w14:textId="77777777" w:rsidR="00B81CB5" w:rsidRDefault="00B81CB5" w:rsidP="005A3B4D">
            <w:pPr>
              <w:jc w:val="right"/>
              <w:rPr>
                <w:color w:val="000000"/>
                <w:sz w:val="20"/>
                <w:szCs w:val="20"/>
              </w:rPr>
            </w:pPr>
            <w:r>
              <w:rPr>
                <w:color w:val="000000"/>
                <w:sz w:val="20"/>
                <w:szCs w:val="20"/>
              </w:rPr>
              <w:t>0.000</w:t>
            </w:r>
          </w:p>
        </w:tc>
      </w:tr>
      <w:tr w:rsidR="00B81CB5" w14:paraId="6E1CF4C9" w14:textId="77777777" w:rsidTr="005A3B4D">
        <w:trPr>
          <w:trHeight w:val="320"/>
        </w:trPr>
        <w:tc>
          <w:tcPr>
            <w:tcW w:w="1152" w:type="dxa"/>
            <w:tcBorders>
              <w:top w:val="nil"/>
              <w:left w:val="nil"/>
              <w:bottom w:val="nil"/>
              <w:right w:val="nil"/>
            </w:tcBorders>
            <w:shd w:val="clear" w:color="auto" w:fill="auto"/>
            <w:noWrap/>
            <w:vAlign w:val="bottom"/>
            <w:hideMark/>
          </w:tcPr>
          <w:p w14:paraId="05252606"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D306EC5"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6167D6B" w14:textId="77777777" w:rsidR="00B81CB5" w:rsidRDefault="00B81CB5" w:rsidP="005A3B4D">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67D64377" w14:textId="77777777" w:rsidR="00B81CB5" w:rsidRDefault="00B81CB5" w:rsidP="005A3B4D">
            <w:pPr>
              <w:jc w:val="right"/>
              <w:rPr>
                <w:color w:val="000000"/>
                <w:sz w:val="20"/>
                <w:szCs w:val="20"/>
              </w:rPr>
            </w:pPr>
            <w:r>
              <w:rPr>
                <w:color w:val="000000"/>
                <w:sz w:val="20"/>
                <w:szCs w:val="20"/>
              </w:rPr>
              <w:t>0.520</w:t>
            </w:r>
          </w:p>
        </w:tc>
        <w:tc>
          <w:tcPr>
            <w:tcW w:w="864" w:type="dxa"/>
            <w:tcBorders>
              <w:top w:val="nil"/>
              <w:left w:val="nil"/>
              <w:bottom w:val="nil"/>
              <w:right w:val="nil"/>
            </w:tcBorders>
            <w:shd w:val="clear" w:color="auto" w:fill="auto"/>
            <w:noWrap/>
            <w:vAlign w:val="bottom"/>
            <w:hideMark/>
          </w:tcPr>
          <w:p w14:paraId="21E72504"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3B83DCCD" w14:textId="77777777" w:rsidR="00B81CB5" w:rsidRDefault="00B81CB5" w:rsidP="005A3B4D">
            <w:pPr>
              <w:jc w:val="right"/>
              <w:rPr>
                <w:color w:val="000000"/>
                <w:sz w:val="20"/>
                <w:szCs w:val="20"/>
              </w:rPr>
            </w:pPr>
            <w:r>
              <w:rPr>
                <w:color w:val="000000"/>
                <w:sz w:val="20"/>
                <w:szCs w:val="20"/>
              </w:rPr>
              <w:t>0.054</w:t>
            </w:r>
          </w:p>
        </w:tc>
        <w:tc>
          <w:tcPr>
            <w:tcW w:w="864" w:type="dxa"/>
            <w:tcBorders>
              <w:top w:val="nil"/>
              <w:left w:val="nil"/>
              <w:bottom w:val="nil"/>
              <w:right w:val="nil"/>
            </w:tcBorders>
            <w:shd w:val="clear" w:color="auto" w:fill="auto"/>
            <w:noWrap/>
            <w:vAlign w:val="bottom"/>
            <w:hideMark/>
          </w:tcPr>
          <w:p w14:paraId="4CBA6FDA" w14:textId="77777777" w:rsidR="00B81CB5" w:rsidRDefault="00B81CB5" w:rsidP="005A3B4D">
            <w:pPr>
              <w:jc w:val="right"/>
              <w:rPr>
                <w:color w:val="000000"/>
                <w:sz w:val="20"/>
                <w:szCs w:val="20"/>
              </w:rPr>
            </w:pPr>
            <w:r>
              <w:rPr>
                <w:color w:val="000000"/>
                <w:sz w:val="20"/>
                <w:szCs w:val="20"/>
              </w:rPr>
              <w:t>0.692</w:t>
            </w:r>
          </w:p>
        </w:tc>
        <w:tc>
          <w:tcPr>
            <w:tcW w:w="864" w:type="dxa"/>
            <w:tcBorders>
              <w:top w:val="nil"/>
              <w:left w:val="nil"/>
              <w:bottom w:val="nil"/>
              <w:right w:val="nil"/>
            </w:tcBorders>
            <w:shd w:val="clear" w:color="auto" w:fill="auto"/>
            <w:noWrap/>
            <w:vAlign w:val="bottom"/>
            <w:hideMark/>
          </w:tcPr>
          <w:p w14:paraId="2761CDB2" w14:textId="77777777" w:rsidR="00B81CB5" w:rsidRDefault="00B81CB5" w:rsidP="005A3B4D">
            <w:pPr>
              <w:jc w:val="right"/>
              <w:rPr>
                <w:color w:val="000000"/>
                <w:sz w:val="20"/>
                <w:szCs w:val="20"/>
              </w:rPr>
            </w:pPr>
            <w:r>
              <w:rPr>
                <w:color w:val="000000"/>
                <w:sz w:val="20"/>
                <w:szCs w:val="20"/>
              </w:rPr>
              <w:t>0.003</w:t>
            </w:r>
          </w:p>
        </w:tc>
      </w:tr>
      <w:tr w:rsidR="00B81CB5" w14:paraId="482FFAF9"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67E7BC07"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0253FDF"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01013FE" w14:textId="77777777" w:rsidR="00B81CB5" w:rsidRDefault="00B81CB5" w:rsidP="005A3B4D">
            <w:pPr>
              <w:jc w:val="right"/>
              <w:rPr>
                <w:color w:val="000000"/>
                <w:sz w:val="20"/>
                <w:szCs w:val="20"/>
              </w:rPr>
            </w:pPr>
            <w:r>
              <w:rPr>
                <w:color w:val="000000"/>
                <w:sz w:val="20"/>
                <w:szCs w:val="20"/>
              </w:rPr>
              <w:t>0.043</w:t>
            </w:r>
          </w:p>
        </w:tc>
        <w:tc>
          <w:tcPr>
            <w:tcW w:w="864" w:type="dxa"/>
            <w:tcBorders>
              <w:top w:val="nil"/>
              <w:left w:val="nil"/>
              <w:bottom w:val="single" w:sz="4" w:space="0" w:color="auto"/>
              <w:right w:val="nil"/>
            </w:tcBorders>
            <w:shd w:val="clear" w:color="auto" w:fill="auto"/>
            <w:noWrap/>
            <w:vAlign w:val="bottom"/>
            <w:hideMark/>
          </w:tcPr>
          <w:p w14:paraId="33DBEA24" w14:textId="77777777" w:rsidR="00B81CB5" w:rsidRDefault="00B81CB5" w:rsidP="005A3B4D">
            <w:pPr>
              <w:jc w:val="right"/>
              <w:rPr>
                <w:color w:val="000000"/>
                <w:sz w:val="20"/>
                <w:szCs w:val="20"/>
              </w:rPr>
            </w:pPr>
            <w:r>
              <w:rPr>
                <w:color w:val="000000"/>
                <w:sz w:val="20"/>
                <w:szCs w:val="20"/>
              </w:rPr>
              <w:t>0.710</w:t>
            </w:r>
          </w:p>
        </w:tc>
        <w:tc>
          <w:tcPr>
            <w:tcW w:w="864" w:type="dxa"/>
            <w:tcBorders>
              <w:top w:val="nil"/>
              <w:left w:val="nil"/>
              <w:bottom w:val="single" w:sz="4" w:space="0" w:color="auto"/>
              <w:right w:val="nil"/>
            </w:tcBorders>
            <w:shd w:val="clear" w:color="auto" w:fill="auto"/>
            <w:noWrap/>
            <w:vAlign w:val="bottom"/>
            <w:hideMark/>
          </w:tcPr>
          <w:p w14:paraId="16B22C17"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4C522CFF" w14:textId="77777777" w:rsidR="00B81CB5" w:rsidRDefault="00B81CB5" w:rsidP="005A3B4D">
            <w:pPr>
              <w:jc w:val="right"/>
              <w:rPr>
                <w:color w:val="000000"/>
                <w:sz w:val="20"/>
                <w:szCs w:val="20"/>
              </w:rPr>
            </w:pPr>
            <w:r>
              <w:rPr>
                <w:color w:val="000000"/>
                <w:sz w:val="20"/>
                <w:szCs w:val="20"/>
              </w:rPr>
              <w:t>0.022</w:t>
            </w:r>
          </w:p>
        </w:tc>
        <w:tc>
          <w:tcPr>
            <w:tcW w:w="864" w:type="dxa"/>
            <w:tcBorders>
              <w:top w:val="nil"/>
              <w:left w:val="nil"/>
              <w:bottom w:val="single" w:sz="4" w:space="0" w:color="auto"/>
              <w:right w:val="nil"/>
            </w:tcBorders>
            <w:shd w:val="clear" w:color="auto" w:fill="auto"/>
            <w:noWrap/>
            <w:vAlign w:val="bottom"/>
            <w:hideMark/>
          </w:tcPr>
          <w:p w14:paraId="079506C9" w14:textId="77777777" w:rsidR="00B81CB5" w:rsidRDefault="00B81CB5" w:rsidP="005A3B4D">
            <w:pPr>
              <w:jc w:val="right"/>
              <w:rPr>
                <w:color w:val="000000"/>
                <w:sz w:val="20"/>
                <w:szCs w:val="20"/>
              </w:rPr>
            </w:pPr>
            <w:r>
              <w:rPr>
                <w:color w:val="000000"/>
                <w:sz w:val="20"/>
                <w:szCs w:val="20"/>
              </w:rPr>
              <w:t>0.889</w:t>
            </w:r>
          </w:p>
        </w:tc>
        <w:tc>
          <w:tcPr>
            <w:tcW w:w="864" w:type="dxa"/>
            <w:tcBorders>
              <w:top w:val="nil"/>
              <w:left w:val="nil"/>
              <w:bottom w:val="single" w:sz="4" w:space="0" w:color="auto"/>
              <w:right w:val="nil"/>
            </w:tcBorders>
            <w:shd w:val="clear" w:color="auto" w:fill="auto"/>
            <w:noWrap/>
            <w:vAlign w:val="bottom"/>
            <w:hideMark/>
          </w:tcPr>
          <w:p w14:paraId="7B31FFD1" w14:textId="77777777" w:rsidR="00B81CB5" w:rsidRDefault="00B81CB5" w:rsidP="005A3B4D">
            <w:pPr>
              <w:jc w:val="right"/>
              <w:rPr>
                <w:color w:val="000000"/>
                <w:sz w:val="20"/>
                <w:szCs w:val="20"/>
              </w:rPr>
            </w:pPr>
            <w:r>
              <w:rPr>
                <w:color w:val="000000"/>
                <w:sz w:val="20"/>
                <w:szCs w:val="20"/>
              </w:rPr>
              <w:t>0.000</w:t>
            </w:r>
          </w:p>
        </w:tc>
      </w:tr>
      <w:tr w:rsidR="00B81CB5" w14:paraId="2694D0AC" w14:textId="77777777" w:rsidTr="005A3B4D">
        <w:trPr>
          <w:trHeight w:val="320"/>
        </w:trPr>
        <w:tc>
          <w:tcPr>
            <w:tcW w:w="1152" w:type="dxa"/>
            <w:tcBorders>
              <w:top w:val="nil"/>
              <w:left w:val="nil"/>
              <w:bottom w:val="nil"/>
              <w:right w:val="nil"/>
            </w:tcBorders>
            <w:shd w:val="clear" w:color="auto" w:fill="auto"/>
            <w:noWrap/>
            <w:vAlign w:val="bottom"/>
            <w:hideMark/>
          </w:tcPr>
          <w:p w14:paraId="73BBFAA5" w14:textId="77777777" w:rsidR="00B81CB5" w:rsidRDefault="00B81CB5" w:rsidP="005A3B4D">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0D8B8421" w14:textId="77777777" w:rsidR="00B81CB5" w:rsidRDefault="00B81CB5"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C58A6F4" w14:textId="77777777" w:rsidR="00B81CB5" w:rsidRDefault="00B81CB5" w:rsidP="005A3B4D">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3009A4A0" w14:textId="77777777" w:rsidR="00B81CB5" w:rsidRDefault="00B81CB5" w:rsidP="005A3B4D">
            <w:pPr>
              <w:jc w:val="right"/>
              <w:rPr>
                <w:color w:val="000000"/>
                <w:sz w:val="20"/>
                <w:szCs w:val="20"/>
              </w:rPr>
            </w:pPr>
            <w:r>
              <w:rPr>
                <w:color w:val="000000"/>
                <w:sz w:val="20"/>
                <w:szCs w:val="20"/>
              </w:rPr>
              <w:t>0.912</w:t>
            </w:r>
          </w:p>
        </w:tc>
        <w:tc>
          <w:tcPr>
            <w:tcW w:w="864" w:type="dxa"/>
            <w:tcBorders>
              <w:top w:val="nil"/>
              <w:left w:val="nil"/>
              <w:bottom w:val="nil"/>
              <w:right w:val="nil"/>
            </w:tcBorders>
            <w:shd w:val="clear" w:color="auto" w:fill="auto"/>
            <w:noWrap/>
            <w:vAlign w:val="bottom"/>
            <w:hideMark/>
          </w:tcPr>
          <w:p w14:paraId="7CFD5AA0"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E8A976D" w14:textId="77777777" w:rsidR="00B81CB5" w:rsidRDefault="00B81CB5" w:rsidP="005A3B4D">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45DFE845" w14:textId="77777777" w:rsidR="00B81CB5" w:rsidRDefault="00B81CB5" w:rsidP="005A3B4D">
            <w:pPr>
              <w:jc w:val="right"/>
              <w:rPr>
                <w:color w:val="000000"/>
                <w:sz w:val="20"/>
                <w:szCs w:val="20"/>
              </w:rPr>
            </w:pPr>
            <w:r>
              <w:rPr>
                <w:color w:val="000000"/>
                <w:sz w:val="20"/>
                <w:szCs w:val="20"/>
              </w:rPr>
              <w:t>0.813</w:t>
            </w:r>
          </w:p>
        </w:tc>
        <w:tc>
          <w:tcPr>
            <w:tcW w:w="864" w:type="dxa"/>
            <w:tcBorders>
              <w:top w:val="nil"/>
              <w:left w:val="nil"/>
              <w:bottom w:val="nil"/>
              <w:right w:val="nil"/>
            </w:tcBorders>
            <w:shd w:val="clear" w:color="auto" w:fill="auto"/>
            <w:noWrap/>
            <w:vAlign w:val="bottom"/>
            <w:hideMark/>
          </w:tcPr>
          <w:p w14:paraId="39DE7755" w14:textId="77777777" w:rsidR="00B81CB5" w:rsidRDefault="00B81CB5" w:rsidP="005A3B4D">
            <w:pPr>
              <w:jc w:val="right"/>
              <w:rPr>
                <w:color w:val="000000"/>
                <w:sz w:val="20"/>
                <w:szCs w:val="20"/>
              </w:rPr>
            </w:pPr>
            <w:r>
              <w:rPr>
                <w:color w:val="000000"/>
                <w:sz w:val="20"/>
                <w:szCs w:val="20"/>
              </w:rPr>
              <w:t>0.000</w:t>
            </w:r>
          </w:p>
        </w:tc>
      </w:tr>
      <w:tr w:rsidR="00B81CB5" w14:paraId="3030CCDD" w14:textId="77777777" w:rsidTr="005A3B4D">
        <w:trPr>
          <w:trHeight w:val="320"/>
        </w:trPr>
        <w:tc>
          <w:tcPr>
            <w:tcW w:w="1152" w:type="dxa"/>
            <w:tcBorders>
              <w:top w:val="nil"/>
              <w:left w:val="nil"/>
              <w:bottom w:val="nil"/>
              <w:right w:val="nil"/>
            </w:tcBorders>
            <w:shd w:val="clear" w:color="auto" w:fill="auto"/>
            <w:noWrap/>
            <w:vAlign w:val="bottom"/>
            <w:hideMark/>
          </w:tcPr>
          <w:p w14:paraId="36161354"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F043E1"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768B15B" w14:textId="77777777" w:rsidR="00B81CB5" w:rsidRDefault="00B81CB5"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7668C6BF" w14:textId="77777777" w:rsidR="00B81CB5" w:rsidRDefault="00B81CB5" w:rsidP="005A3B4D">
            <w:pPr>
              <w:jc w:val="right"/>
              <w:rPr>
                <w:color w:val="000000"/>
                <w:sz w:val="20"/>
                <w:szCs w:val="20"/>
              </w:rPr>
            </w:pPr>
            <w:r>
              <w:rPr>
                <w:color w:val="000000"/>
                <w:sz w:val="20"/>
                <w:szCs w:val="20"/>
              </w:rPr>
              <w:t>0.912</w:t>
            </w:r>
          </w:p>
        </w:tc>
        <w:tc>
          <w:tcPr>
            <w:tcW w:w="864" w:type="dxa"/>
            <w:tcBorders>
              <w:top w:val="nil"/>
              <w:left w:val="nil"/>
              <w:bottom w:val="nil"/>
              <w:right w:val="nil"/>
            </w:tcBorders>
            <w:shd w:val="clear" w:color="auto" w:fill="auto"/>
            <w:noWrap/>
            <w:vAlign w:val="bottom"/>
            <w:hideMark/>
          </w:tcPr>
          <w:p w14:paraId="2C9D93A9"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436810E" w14:textId="77777777" w:rsidR="00B81CB5" w:rsidRDefault="00B81CB5" w:rsidP="005A3B4D">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2A01B494" w14:textId="77777777" w:rsidR="00B81CB5" w:rsidRDefault="00B81CB5" w:rsidP="005A3B4D">
            <w:pPr>
              <w:jc w:val="right"/>
              <w:rPr>
                <w:color w:val="000000"/>
                <w:sz w:val="20"/>
                <w:szCs w:val="20"/>
              </w:rPr>
            </w:pPr>
            <w:r>
              <w:rPr>
                <w:color w:val="000000"/>
                <w:sz w:val="20"/>
                <w:szCs w:val="20"/>
              </w:rPr>
              <w:t>0.813</w:t>
            </w:r>
          </w:p>
        </w:tc>
        <w:tc>
          <w:tcPr>
            <w:tcW w:w="864" w:type="dxa"/>
            <w:tcBorders>
              <w:top w:val="nil"/>
              <w:left w:val="nil"/>
              <w:bottom w:val="nil"/>
              <w:right w:val="nil"/>
            </w:tcBorders>
            <w:shd w:val="clear" w:color="auto" w:fill="auto"/>
            <w:noWrap/>
            <w:vAlign w:val="bottom"/>
            <w:hideMark/>
          </w:tcPr>
          <w:p w14:paraId="1E7957FA" w14:textId="77777777" w:rsidR="00B81CB5" w:rsidRDefault="00B81CB5" w:rsidP="005A3B4D">
            <w:pPr>
              <w:jc w:val="right"/>
              <w:rPr>
                <w:color w:val="000000"/>
                <w:sz w:val="20"/>
                <w:szCs w:val="20"/>
              </w:rPr>
            </w:pPr>
            <w:r>
              <w:rPr>
                <w:color w:val="000000"/>
                <w:sz w:val="20"/>
                <w:szCs w:val="20"/>
              </w:rPr>
              <w:t>0.000</w:t>
            </w:r>
          </w:p>
        </w:tc>
      </w:tr>
      <w:tr w:rsidR="00B81CB5" w14:paraId="300F76CE" w14:textId="77777777" w:rsidTr="005A3B4D">
        <w:trPr>
          <w:trHeight w:val="320"/>
        </w:trPr>
        <w:tc>
          <w:tcPr>
            <w:tcW w:w="1152" w:type="dxa"/>
            <w:tcBorders>
              <w:top w:val="nil"/>
              <w:left w:val="nil"/>
              <w:bottom w:val="nil"/>
              <w:right w:val="nil"/>
            </w:tcBorders>
            <w:shd w:val="clear" w:color="auto" w:fill="auto"/>
            <w:noWrap/>
            <w:vAlign w:val="bottom"/>
            <w:hideMark/>
          </w:tcPr>
          <w:p w14:paraId="5B301938"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F445880"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C041A90"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47BEE04" w14:textId="77777777" w:rsidR="00B81CB5" w:rsidRDefault="00B81CB5" w:rsidP="005A3B4D">
            <w:pPr>
              <w:jc w:val="right"/>
              <w:rPr>
                <w:color w:val="000000"/>
                <w:sz w:val="20"/>
                <w:szCs w:val="20"/>
              </w:rPr>
            </w:pPr>
            <w:r>
              <w:rPr>
                <w:color w:val="000000"/>
                <w:sz w:val="20"/>
                <w:szCs w:val="20"/>
              </w:rPr>
              <w:t>0.912</w:t>
            </w:r>
          </w:p>
        </w:tc>
        <w:tc>
          <w:tcPr>
            <w:tcW w:w="864" w:type="dxa"/>
            <w:tcBorders>
              <w:top w:val="nil"/>
              <w:left w:val="nil"/>
              <w:bottom w:val="nil"/>
              <w:right w:val="nil"/>
            </w:tcBorders>
            <w:shd w:val="clear" w:color="auto" w:fill="auto"/>
            <w:noWrap/>
            <w:vAlign w:val="bottom"/>
            <w:hideMark/>
          </w:tcPr>
          <w:p w14:paraId="4166D1EA"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08FDC45" w14:textId="77777777" w:rsidR="00B81CB5" w:rsidRDefault="00B81CB5" w:rsidP="005A3B4D">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4A0209E0" w14:textId="77777777" w:rsidR="00B81CB5" w:rsidRDefault="00B81CB5" w:rsidP="005A3B4D">
            <w:pPr>
              <w:jc w:val="right"/>
              <w:rPr>
                <w:color w:val="000000"/>
                <w:sz w:val="20"/>
                <w:szCs w:val="20"/>
              </w:rPr>
            </w:pPr>
            <w:r>
              <w:rPr>
                <w:color w:val="000000"/>
                <w:sz w:val="20"/>
                <w:szCs w:val="20"/>
              </w:rPr>
              <w:t>0.813</w:t>
            </w:r>
          </w:p>
        </w:tc>
        <w:tc>
          <w:tcPr>
            <w:tcW w:w="864" w:type="dxa"/>
            <w:tcBorders>
              <w:top w:val="nil"/>
              <w:left w:val="nil"/>
              <w:bottom w:val="nil"/>
              <w:right w:val="nil"/>
            </w:tcBorders>
            <w:shd w:val="clear" w:color="auto" w:fill="auto"/>
            <w:noWrap/>
            <w:vAlign w:val="bottom"/>
            <w:hideMark/>
          </w:tcPr>
          <w:p w14:paraId="4B41A2CD" w14:textId="77777777" w:rsidR="00B81CB5" w:rsidRDefault="00B81CB5" w:rsidP="005A3B4D">
            <w:pPr>
              <w:jc w:val="right"/>
              <w:rPr>
                <w:color w:val="000000"/>
                <w:sz w:val="20"/>
                <w:szCs w:val="20"/>
              </w:rPr>
            </w:pPr>
            <w:r>
              <w:rPr>
                <w:color w:val="000000"/>
                <w:sz w:val="20"/>
                <w:szCs w:val="20"/>
              </w:rPr>
              <w:t>0.000</w:t>
            </w:r>
          </w:p>
        </w:tc>
      </w:tr>
      <w:tr w:rsidR="00B81CB5" w14:paraId="1D998A4C" w14:textId="77777777" w:rsidTr="005A3B4D">
        <w:trPr>
          <w:trHeight w:val="320"/>
        </w:trPr>
        <w:tc>
          <w:tcPr>
            <w:tcW w:w="1152" w:type="dxa"/>
            <w:tcBorders>
              <w:top w:val="nil"/>
              <w:left w:val="nil"/>
              <w:bottom w:val="nil"/>
              <w:right w:val="nil"/>
            </w:tcBorders>
            <w:shd w:val="clear" w:color="auto" w:fill="auto"/>
            <w:noWrap/>
            <w:vAlign w:val="bottom"/>
            <w:hideMark/>
          </w:tcPr>
          <w:p w14:paraId="5C4D78A1"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3199062"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6C4B58D" w14:textId="77777777" w:rsidR="00B81CB5" w:rsidRDefault="00B81CB5"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6375B3AB" w14:textId="77777777" w:rsidR="00B81CB5" w:rsidRDefault="00B81CB5" w:rsidP="005A3B4D">
            <w:pPr>
              <w:jc w:val="right"/>
              <w:rPr>
                <w:color w:val="000000"/>
                <w:sz w:val="20"/>
                <w:szCs w:val="20"/>
              </w:rPr>
            </w:pPr>
            <w:r>
              <w:rPr>
                <w:color w:val="000000"/>
                <w:sz w:val="20"/>
                <w:szCs w:val="20"/>
              </w:rPr>
              <w:t>0.912</w:t>
            </w:r>
          </w:p>
        </w:tc>
        <w:tc>
          <w:tcPr>
            <w:tcW w:w="864" w:type="dxa"/>
            <w:tcBorders>
              <w:top w:val="nil"/>
              <w:left w:val="nil"/>
              <w:bottom w:val="nil"/>
              <w:right w:val="nil"/>
            </w:tcBorders>
            <w:shd w:val="clear" w:color="auto" w:fill="auto"/>
            <w:noWrap/>
            <w:vAlign w:val="bottom"/>
            <w:hideMark/>
          </w:tcPr>
          <w:p w14:paraId="357A91F8"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A3EB1AF" w14:textId="77777777" w:rsidR="00B81CB5" w:rsidRDefault="00B81CB5" w:rsidP="005A3B4D">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12335135" w14:textId="77777777" w:rsidR="00B81CB5" w:rsidRDefault="00B81CB5" w:rsidP="005A3B4D">
            <w:pPr>
              <w:jc w:val="right"/>
              <w:rPr>
                <w:color w:val="000000"/>
                <w:sz w:val="20"/>
                <w:szCs w:val="20"/>
              </w:rPr>
            </w:pPr>
            <w:r>
              <w:rPr>
                <w:color w:val="000000"/>
                <w:sz w:val="20"/>
                <w:szCs w:val="20"/>
              </w:rPr>
              <w:t>0.813</w:t>
            </w:r>
          </w:p>
        </w:tc>
        <w:tc>
          <w:tcPr>
            <w:tcW w:w="864" w:type="dxa"/>
            <w:tcBorders>
              <w:top w:val="nil"/>
              <w:left w:val="nil"/>
              <w:bottom w:val="nil"/>
              <w:right w:val="nil"/>
            </w:tcBorders>
            <w:shd w:val="clear" w:color="auto" w:fill="auto"/>
            <w:noWrap/>
            <w:vAlign w:val="bottom"/>
            <w:hideMark/>
          </w:tcPr>
          <w:p w14:paraId="55BF0E6F" w14:textId="77777777" w:rsidR="00B81CB5" w:rsidRDefault="00B81CB5" w:rsidP="005A3B4D">
            <w:pPr>
              <w:jc w:val="right"/>
              <w:rPr>
                <w:color w:val="000000"/>
                <w:sz w:val="20"/>
                <w:szCs w:val="20"/>
              </w:rPr>
            </w:pPr>
            <w:r>
              <w:rPr>
                <w:color w:val="000000"/>
                <w:sz w:val="20"/>
                <w:szCs w:val="20"/>
              </w:rPr>
              <w:t>0.000</w:t>
            </w:r>
          </w:p>
        </w:tc>
      </w:tr>
      <w:tr w:rsidR="00B81CB5" w14:paraId="6A4C7400" w14:textId="77777777" w:rsidTr="005A3B4D">
        <w:trPr>
          <w:trHeight w:val="320"/>
        </w:trPr>
        <w:tc>
          <w:tcPr>
            <w:tcW w:w="1152" w:type="dxa"/>
            <w:tcBorders>
              <w:top w:val="nil"/>
              <w:left w:val="nil"/>
              <w:bottom w:val="nil"/>
              <w:right w:val="nil"/>
            </w:tcBorders>
            <w:shd w:val="clear" w:color="auto" w:fill="auto"/>
            <w:noWrap/>
            <w:vAlign w:val="bottom"/>
            <w:hideMark/>
          </w:tcPr>
          <w:p w14:paraId="265B5483"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8C5E355"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AAF0120" w14:textId="77777777" w:rsidR="00B81CB5" w:rsidRDefault="00B81CB5" w:rsidP="005A3B4D">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26CB333F" w14:textId="77777777" w:rsidR="00B81CB5" w:rsidRDefault="00B81CB5" w:rsidP="005A3B4D">
            <w:pPr>
              <w:jc w:val="right"/>
              <w:rPr>
                <w:color w:val="000000"/>
                <w:sz w:val="20"/>
                <w:szCs w:val="20"/>
              </w:rPr>
            </w:pPr>
            <w:r>
              <w:rPr>
                <w:color w:val="000000"/>
                <w:sz w:val="20"/>
                <w:szCs w:val="20"/>
              </w:rPr>
              <w:t>0.912</w:t>
            </w:r>
          </w:p>
        </w:tc>
        <w:tc>
          <w:tcPr>
            <w:tcW w:w="864" w:type="dxa"/>
            <w:tcBorders>
              <w:top w:val="nil"/>
              <w:left w:val="nil"/>
              <w:bottom w:val="nil"/>
              <w:right w:val="nil"/>
            </w:tcBorders>
            <w:shd w:val="clear" w:color="auto" w:fill="auto"/>
            <w:noWrap/>
            <w:vAlign w:val="bottom"/>
            <w:hideMark/>
          </w:tcPr>
          <w:p w14:paraId="5C79ACDC"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2E95DDF" w14:textId="77777777" w:rsidR="00B81CB5" w:rsidRDefault="00B81CB5" w:rsidP="005A3B4D">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0DC307B6" w14:textId="77777777" w:rsidR="00B81CB5" w:rsidRDefault="00B81CB5" w:rsidP="005A3B4D">
            <w:pPr>
              <w:jc w:val="right"/>
              <w:rPr>
                <w:color w:val="000000"/>
                <w:sz w:val="20"/>
                <w:szCs w:val="20"/>
              </w:rPr>
            </w:pPr>
            <w:r>
              <w:rPr>
                <w:color w:val="000000"/>
                <w:sz w:val="20"/>
                <w:szCs w:val="20"/>
              </w:rPr>
              <w:t>0.813</w:t>
            </w:r>
          </w:p>
        </w:tc>
        <w:tc>
          <w:tcPr>
            <w:tcW w:w="864" w:type="dxa"/>
            <w:tcBorders>
              <w:top w:val="nil"/>
              <w:left w:val="nil"/>
              <w:bottom w:val="nil"/>
              <w:right w:val="nil"/>
            </w:tcBorders>
            <w:shd w:val="clear" w:color="auto" w:fill="auto"/>
            <w:noWrap/>
            <w:vAlign w:val="bottom"/>
            <w:hideMark/>
          </w:tcPr>
          <w:p w14:paraId="0E0B807A" w14:textId="77777777" w:rsidR="00B81CB5" w:rsidRDefault="00B81CB5" w:rsidP="005A3B4D">
            <w:pPr>
              <w:jc w:val="right"/>
              <w:rPr>
                <w:color w:val="000000"/>
                <w:sz w:val="20"/>
                <w:szCs w:val="20"/>
              </w:rPr>
            </w:pPr>
            <w:r>
              <w:rPr>
                <w:color w:val="000000"/>
                <w:sz w:val="20"/>
                <w:szCs w:val="20"/>
              </w:rPr>
              <w:t>0.000</w:t>
            </w:r>
          </w:p>
        </w:tc>
      </w:tr>
      <w:tr w:rsidR="00B81CB5" w14:paraId="7CA4674D" w14:textId="77777777" w:rsidTr="005A3B4D">
        <w:trPr>
          <w:trHeight w:val="320"/>
        </w:trPr>
        <w:tc>
          <w:tcPr>
            <w:tcW w:w="1152" w:type="dxa"/>
            <w:tcBorders>
              <w:top w:val="nil"/>
              <w:left w:val="nil"/>
              <w:bottom w:val="nil"/>
              <w:right w:val="nil"/>
            </w:tcBorders>
            <w:shd w:val="clear" w:color="auto" w:fill="auto"/>
            <w:noWrap/>
            <w:vAlign w:val="bottom"/>
            <w:hideMark/>
          </w:tcPr>
          <w:p w14:paraId="120B203C"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FE0576B"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C86717F" w14:textId="77777777" w:rsidR="00B81CB5" w:rsidRDefault="00B81CB5"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7CBCF5DE" w14:textId="77777777" w:rsidR="00B81CB5" w:rsidRDefault="00B81CB5" w:rsidP="005A3B4D">
            <w:pPr>
              <w:jc w:val="right"/>
              <w:rPr>
                <w:color w:val="000000"/>
                <w:sz w:val="20"/>
                <w:szCs w:val="20"/>
              </w:rPr>
            </w:pPr>
            <w:r>
              <w:rPr>
                <w:color w:val="000000"/>
                <w:sz w:val="20"/>
                <w:szCs w:val="20"/>
              </w:rPr>
              <w:t>0.912</w:t>
            </w:r>
          </w:p>
        </w:tc>
        <w:tc>
          <w:tcPr>
            <w:tcW w:w="864" w:type="dxa"/>
            <w:tcBorders>
              <w:top w:val="nil"/>
              <w:left w:val="nil"/>
              <w:bottom w:val="nil"/>
              <w:right w:val="nil"/>
            </w:tcBorders>
            <w:shd w:val="clear" w:color="auto" w:fill="auto"/>
            <w:noWrap/>
            <w:vAlign w:val="bottom"/>
            <w:hideMark/>
          </w:tcPr>
          <w:p w14:paraId="783132AA"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271AF0D" w14:textId="77777777" w:rsidR="00B81CB5" w:rsidRDefault="00B81CB5" w:rsidP="005A3B4D">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2E5552FA" w14:textId="77777777" w:rsidR="00B81CB5" w:rsidRDefault="00B81CB5" w:rsidP="005A3B4D">
            <w:pPr>
              <w:jc w:val="right"/>
              <w:rPr>
                <w:color w:val="000000"/>
                <w:sz w:val="20"/>
                <w:szCs w:val="20"/>
              </w:rPr>
            </w:pPr>
            <w:r>
              <w:rPr>
                <w:color w:val="000000"/>
                <w:sz w:val="20"/>
                <w:szCs w:val="20"/>
              </w:rPr>
              <w:t>0.813</w:t>
            </w:r>
          </w:p>
        </w:tc>
        <w:tc>
          <w:tcPr>
            <w:tcW w:w="864" w:type="dxa"/>
            <w:tcBorders>
              <w:top w:val="nil"/>
              <w:left w:val="nil"/>
              <w:bottom w:val="nil"/>
              <w:right w:val="nil"/>
            </w:tcBorders>
            <w:shd w:val="clear" w:color="auto" w:fill="auto"/>
            <w:noWrap/>
            <w:vAlign w:val="bottom"/>
            <w:hideMark/>
          </w:tcPr>
          <w:p w14:paraId="1A5CFEB7" w14:textId="77777777" w:rsidR="00B81CB5" w:rsidRDefault="00B81CB5" w:rsidP="005A3B4D">
            <w:pPr>
              <w:jc w:val="right"/>
              <w:rPr>
                <w:color w:val="000000"/>
                <w:sz w:val="20"/>
                <w:szCs w:val="20"/>
              </w:rPr>
            </w:pPr>
            <w:r>
              <w:rPr>
                <w:color w:val="000000"/>
                <w:sz w:val="20"/>
                <w:szCs w:val="20"/>
              </w:rPr>
              <w:t>0.001</w:t>
            </w:r>
          </w:p>
        </w:tc>
      </w:tr>
      <w:tr w:rsidR="00B81CB5" w14:paraId="1949CD3C" w14:textId="77777777" w:rsidTr="005A3B4D">
        <w:trPr>
          <w:trHeight w:val="320"/>
        </w:trPr>
        <w:tc>
          <w:tcPr>
            <w:tcW w:w="1152" w:type="dxa"/>
            <w:tcBorders>
              <w:top w:val="nil"/>
              <w:left w:val="nil"/>
              <w:bottom w:val="nil"/>
              <w:right w:val="nil"/>
            </w:tcBorders>
            <w:shd w:val="clear" w:color="auto" w:fill="auto"/>
            <w:noWrap/>
            <w:vAlign w:val="bottom"/>
            <w:hideMark/>
          </w:tcPr>
          <w:p w14:paraId="4A1BF759"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DECED45"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5574508" w14:textId="77777777" w:rsidR="00B81CB5" w:rsidRDefault="00B81CB5" w:rsidP="005A3B4D">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3000435C" w14:textId="77777777" w:rsidR="00B81CB5" w:rsidRDefault="00B81CB5" w:rsidP="005A3B4D">
            <w:pPr>
              <w:jc w:val="right"/>
              <w:rPr>
                <w:color w:val="000000"/>
                <w:sz w:val="20"/>
                <w:szCs w:val="20"/>
              </w:rPr>
            </w:pPr>
            <w:r>
              <w:rPr>
                <w:color w:val="000000"/>
                <w:sz w:val="20"/>
                <w:szCs w:val="20"/>
              </w:rPr>
              <w:t>0.488</w:t>
            </w:r>
          </w:p>
        </w:tc>
        <w:tc>
          <w:tcPr>
            <w:tcW w:w="864" w:type="dxa"/>
            <w:tcBorders>
              <w:top w:val="nil"/>
              <w:left w:val="nil"/>
              <w:bottom w:val="nil"/>
              <w:right w:val="nil"/>
            </w:tcBorders>
            <w:shd w:val="clear" w:color="auto" w:fill="auto"/>
            <w:noWrap/>
            <w:vAlign w:val="bottom"/>
            <w:hideMark/>
          </w:tcPr>
          <w:p w14:paraId="1524F937"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46796FD2" w14:textId="77777777" w:rsidR="00B81CB5" w:rsidRDefault="00B81CB5" w:rsidP="005A3B4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3BC3B803" w14:textId="77777777" w:rsidR="00B81CB5" w:rsidRDefault="00B81CB5" w:rsidP="005A3B4D">
            <w:pPr>
              <w:jc w:val="right"/>
              <w:rPr>
                <w:color w:val="000000"/>
                <w:sz w:val="20"/>
                <w:szCs w:val="20"/>
              </w:rPr>
            </w:pPr>
            <w:r>
              <w:rPr>
                <w:color w:val="000000"/>
                <w:sz w:val="20"/>
                <w:szCs w:val="20"/>
              </w:rPr>
              <w:t>0.736</w:t>
            </w:r>
          </w:p>
        </w:tc>
        <w:tc>
          <w:tcPr>
            <w:tcW w:w="864" w:type="dxa"/>
            <w:tcBorders>
              <w:top w:val="nil"/>
              <w:left w:val="nil"/>
              <w:bottom w:val="nil"/>
              <w:right w:val="nil"/>
            </w:tcBorders>
            <w:shd w:val="clear" w:color="auto" w:fill="auto"/>
            <w:noWrap/>
            <w:vAlign w:val="bottom"/>
            <w:hideMark/>
          </w:tcPr>
          <w:p w14:paraId="5E771412" w14:textId="77777777" w:rsidR="00B81CB5" w:rsidRDefault="00B81CB5" w:rsidP="005A3B4D">
            <w:pPr>
              <w:jc w:val="right"/>
              <w:rPr>
                <w:color w:val="000000"/>
                <w:sz w:val="20"/>
                <w:szCs w:val="20"/>
              </w:rPr>
            </w:pPr>
            <w:r>
              <w:rPr>
                <w:color w:val="000000"/>
                <w:sz w:val="20"/>
                <w:szCs w:val="20"/>
              </w:rPr>
              <w:t>0.003</w:t>
            </w:r>
          </w:p>
        </w:tc>
      </w:tr>
      <w:tr w:rsidR="00B81CB5" w14:paraId="5F8AA5E2"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3F533058"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57266A0"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0D7ECFB" w14:textId="77777777" w:rsidR="00B81CB5" w:rsidRDefault="00B81CB5" w:rsidP="005A3B4D">
            <w:pPr>
              <w:jc w:val="right"/>
              <w:rPr>
                <w:color w:val="000000"/>
                <w:sz w:val="20"/>
                <w:szCs w:val="20"/>
              </w:rPr>
            </w:pPr>
            <w:r>
              <w:rPr>
                <w:color w:val="000000"/>
                <w:sz w:val="20"/>
                <w:szCs w:val="20"/>
              </w:rPr>
              <w:t>0.029</w:t>
            </w:r>
          </w:p>
        </w:tc>
        <w:tc>
          <w:tcPr>
            <w:tcW w:w="864" w:type="dxa"/>
            <w:tcBorders>
              <w:top w:val="nil"/>
              <w:left w:val="nil"/>
              <w:bottom w:val="single" w:sz="4" w:space="0" w:color="auto"/>
              <w:right w:val="nil"/>
            </w:tcBorders>
            <w:shd w:val="clear" w:color="auto" w:fill="auto"/>
            <w:noWrap/>
            <w:vAlign w:val="bottom"/>
            <w:hideMark/>
          </w:tcPr>
          <w:p w14:paraId="36AB1F8B" w14:textId="77777777" w:rsidR="00B81CB5" w:rsidRDefault="00B81CB5" w:rsidP="005A3B4D">
            <w:pPr>
              <w:jc w:val="right"/>
              <w:rPr>
                <w:color w:val="000000"/>
                <w:sz w:val="20"/>
                <w:szCs w:val="20"/>
              </w:rPr>
            </w:pPr>
            <w:r>
              <w:rPr>
                <w:color w:val="000000"/>
                <w:sz w:val="20"/>
                <w:szCs w:val="20"/>
              </w:rPr>
              <w:t>0.912</w:t>
            </w:r>
          </w:p>
        </w:tc>
        <w:tc>
          <w:tcPr>
            <w:tcW w:w="864" w:type="dxa"/>
            <w:tcBorders>
              <w:top w:val="nil"/>
              <w:left w:val="nil"/>
              <w:bottom w:val="single" w:sz="4" w:space="0" w:color="auto"/>
              <w:right w:val="nil"/>
            </w:tcBorders>
            <w:shd w:val="clear" w:color="auto" w:fill="auto"/>
            <w:noWrap/>
            <w:vAlign w:val="bottom"/>
            <w:hideMark/>
          </w:tcPr>
          <w:p w14:paraId="5DE5E07A"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56E17F03" w14:textId="77777777" w:rsidR="00B81CB5" w:rsidRDefault="00B81CB5" w:rsidP="005A3B4D">
            <w:pPr>
              <w:jc w:val="right"/>
              <w:rPr>
                <w:color w:val="000000"/>
                <w:sz w:val="20"/>
                <w:szCs w:val="20"/>
              </w:rPr>
            </w:pPr>
            <w:r>
              <w:rPr>
                <w:color w:val="000000"/>
                <w:sz w:val="20"/>
                <w:szCs w:val="20"/>
              </w:rPr>
              <w:t>0.014</w:t>
            </w:r>
          </w:p>
        </w:tc>
        <w:tc>
          <w:tcPr>
            <w:tcW w:w="864" w:type="dxa"/>
            <w:tcBorders>
              <w:top w:val="nil"/>
              <w:left w:val="nil"/>
              <w:bottom w:val="single" w:sz="4" w:space="0" w:color="auto"/>
              <w:right w:val="nil"/>
            </w:tcBorders>
            <w:shd w:val="clear" w:color="auto" w:fill="auto"/>
            <w:noWrap/>
            <w:vAlign w:val="bottom"/>
            <w:hideMark/>
          </w:tcPr>
          <w:p w14:paraId="23D27600" w14:textId="77777777" w:rsidR="00B81CB5" w:rsidRDefault="00B81CB5" w:rsidP="005A3B4D">
            <w:pPr>
              <w:jc w:val="right"/>
              <w:rPr>
                <w:color w:val="000000"/>
                <w:sz w:val="20"/>
                <w:szCs w:val="20"/>
              </w:rPr>
            </w:pPr>
            <w:r>
              <w:rPr>
                <w:color w:val="000000"/>
                <w:sz w:val="20"/>
                <w:szCs w:val="20"/>
              </w:rPr>
              <w:t>0.813</w:t>
            </w:r>
          </w:p>
        </w:tc>
        <w:tc>
          <w:tcPr>
            <w:tcW w:w="864" w:type="dxa"/>
            <w:tcBorders>
              <w:top w:val="nil"/>
              <w:left w:val="nil"/>
              <w:bottom w:val="single" w:sz="4" w:space="0" w:color="auto"/>
              <w:right w:val="nil"/>
            </w:tcBorders>
            <w:shd w:val="clear" w:color="auto" w:fill="auto"/>
            <w:noWrap/>
            <w:vAlign w:val="bottom"/>
            <w:hideMark/>
          </w:tcPr>
          <w:p w14:paraId="5C05A4A8" w14:textId="77777777" w:rsidR="00B81CB5" w:rsidRDefault="00B81CB5" w:rsidP="005A3B4D">
            <w:pPr>
              <w:jc w:val="right"/>
              <w:rPr>
                <w:color w:val="000000"/>
                <w:sz w:val="20"/>
                <w:szCs w:val="20"/>
              </w:rPr>
            </w:pPr>
            <w:r>
              <w:rPr>
                <w:color w:val="000000"/>
                <w:sz w:val="20"/>
                <w:szCs w:val="20"/>
              </w:rPr>
              <w:t>0.000</w:t>
            </w:r>
          </w:p>
        </w:tc>
      </w:tr>
      <w:tr w:rsidR="00B81CB5" w14:paraId="3B10540F" w14:textId="77777777" w:rsidTr="005A3B4D">
        <w:trPr>
          <w:trHeight w:val="320"/>
        </w:trPr>
        <w:tc>
          <w:tcPr>
            <w:tcW w:w="1152" w:type="dxa"/>
            <w:tcBorders>
              <w:top w:val="nil"/>
              <w:left w:val="nil"/>
              <w:bottom w:val="nil"/>
              <w:right w:val="nil"/>
            </w:tcBorders>
            <w:shd w:val="clear" w:color="auto" w:fill="auto"/>
            <w:noWrap/>
            <w:vAlign w:val="bottom"/>
            <w:hideMark/>
          </w:tcPr>
          <w:p w14:paraId="650ABBAC" w14:textId="77777777" w:rsidR="00B81CB5" w:rsidRDefault="00B81CB5" w:rsidP="005A3B4D">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67CE96E4" w14:textId="77777777" w:rsidR="00B81CB5" w:rsidRDefault="00B81CB5"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B7F87C2"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68822FF" w14:textId="77777777" w:rsidR="00B81CB5" w:rsidRDefault="00B81CB5" w:rsidP="005A3B4D">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0FB384DB"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4FC6E77" w14:textId="77777777" w:rsidR="00B81CB5" w:rsidRDefault="00B81CB5"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1326D22E" w14:textId="77777777" w:rsidR="00B81CB5" w:rsidRDefault="00B81CB5" w:rsidP="005A3B4D">
            <w:pPr>
              <w:jc w:val="right"/>
              <w:rPr>
                <w:color w:val="000000"/>
                <w:sz w:val="20"/>
                <w:szCs w:val="20"/>
              </w:rPr>
            </w:pPr>
            <w:r>
              <w:rPr>
                <w:color w:val="000000"/>
                <w:sz w:val="20"/>
                <w:szCs w:val="20"/>
              </w:rPr>
              <w:t>0.956</w:t>
            </w:r>
          </w:p>
        </w:tc>
        <w:tc>
          <w:tcPr>
            <w:tcW w:w="864" w:type="dxa"/>
            <w:tcBorders>
              <w:top w:val="nil"/>
              <w:left w:val="nil"/>
              <w:bottom w:val="nil"/>
              <w:right w:val="nil"/>
            </w:tcBorders>
            <w:shd w:val="clear" w:color="auto" w:fill="auto"/>
            <w:noWrap/>
            <w:vAlign w:val="bottom"/>
            <w:hideMark/>
          </w:tcPr>
          <w:p w14:paraId="5359E76E" w14:textId="77777777" w:rsidR="00B81CB5" w:rsidRDefault="00B81CB5" w:rsidP="005A3B4D">
            <w:pPr>
              <w:jc w:val="right"/>
              <w:rPr>
                <w:color w:val="000000"/>
                <w:sz w:val="20"/>
                <w:szCs w:val="20"/>
              </w:rPr>
            </w:pPr>
            <w:r>
              <w:rPr>
                <w:color w:val="000000"/>
                <w:sz w:val="20"/>
                <w:szCs w:val="20"/>
              </w:rPr>
              <w:t>0.000</w:t>
            </w:r>
          </w:p>
        </w:tc>
      </w:tr>
      <w:tr w:rsidR="00B81CB5" w14:paraId="28E87744" w14:textId="77777777" w:rsidTr="005A3B4D">
        <w:trPr>
          <w:trHeight w:val="320"/>
        </w:trPr>
        <w:tc>
          <w:tcPr>
            <w:tcW w:w="1152" w:type="dxa"/>
            <w:tcBorders>
              <w:top w:val="nil"/>
              <w:left w:val="nil"/>
              <w:bottom w:val="nil"/>
              <w:right w:val="nil"/>
            </w:tcBorders>
            <w:shd w:val="clear" w:color="auto" w:fill="auto"/>
            <w:noWrap/>
            <w:vAlign w:val="bottom"/>
            <w:hideMark/>
          </w:tcPr>
          <w:p w14:paraId="7C7588E8"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41214BB"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4B22BDE" w14:textId="77777777" w:rsidR="00B81CB5" w:rsidRDefault="00B81CB5" w:rsidP="005A3B4D">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4249A6A2" w14:textId="77777777" w:rsidR="00B81CB5" w:rsidRDefault="00B81CB5" w:rsidP="005A3B4D">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1E8A7D87"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1FE745E" w14:textId="77777777" w:rsidR="00B81CB5" w:rsidRDefault="00B81CB5" w:rsidP="005A3B4D">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59C30932" w14:textId="77777777" w:rsidR="00B81CB5" w:rsidRDefault="00B81CB5"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2A44B535" w14:textId="77777777" w:rsidR="00B81CB5" w:rsidRDefault="00B81CB5" w:rsidP="005A3B4D">
            <w:pPr>
              <w:jc w:val="right"/>
              <w:rPr>
                <w:color w:val="000000"/>
                <w:sz w:val="20"/>
                <w:szCs w:val="20"/>
              </w:rPr>
            </w:pPr>
            <w:r>
              <w:rPr>
                <w:color w:val="000000"/>
                <w:sz w:val="20"/>
                <w:szCs w:val="20"/>
              </w:rPr>
              <w:t>0.000</w:t>
            </w:r>
          </w:p>
        </w:tc>
      </w:tr>
      <w:tr w:rsidR="00B81CB5" w14:paraId="3445B063" w14:textId="77777777" w:rsidTr="005A3B4D">
        <w:trPr>
          <w:trHeight w:val="320"/>
        </w:trPr>
        <w:tc>
          <w:tcPr>
            <w:tcW w:w="1152" w:type="dxa"/>
            <w:tcBorders>
              <w:top w:val="nil"/>
              <w:left w:val="nil"/>
              <w:bottom w:val="nil"/>
              <w:right w:val="nil"/>
            </w:tcBorders>
            <w:shd w:val="clear" w:color="auto" w:fill="auto"/>
            <w:noWrap/>
            <w:vAlign w:val="bottom"/>
            <w:hideMark/>
          </w:tcPr>
          <w:p w14:paraId="79342A57"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149461D"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3139FC6"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32E55595" w14:textId="77777777" w:rsidR="00B81CB5" w:rsidRDefault="00B81CB5" w:rsidP="005A3B4D">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23110920"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F97DBDA"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5FDA221F" w14:textId="77777777" w:rsidR="00B81CB5" w:rsidRDefault="00B81CB5" w:rsidP="005A3B4D">
            <w:pPr>
              <w:jc w:val="right"/>
              <w:rPr>
                <w:color w:val="000000"/>
                <w:sz w:val="20"/>
                <w:szCs w:val="20"/>
              </w:rPr>
            </w:pPr>
            <w:r>
              <w:rPr>
                <w:color w:val="000000"/>
                <w:sz w:val="20"/>
                <w:szCs w:val="20"/>
              </w:rPr>
              <w:t>0.956</w:t>
            </w:r>
          </w:p>
        </w:tc>
        <w:tc>
          <w:tcPr>
            <w:tcW w:w="864" w:type="dxa"/>
            <w:tcBorders>
              <w:top w:val="nil"/>
              <w:left w:val="nil"/>
              <w:bottom w:val="nil"/>
              <w:right w:val="nil"/>
            </w:tcBorders>
            <w:shd w:val="clear" w:color="auto" w:fill="auto"/>
            <w:noWrap/>
            <w:vAlign w:val="bottom"/>
            <w:hideMark/>
          </w:tcPr>
          <w:p w14:paraId="4E5BD6A1" w14:textId="77777777" w:rsidR="00B81CB5" w:rsidRDefault="00B81CB5" w:rsidP="005A3B4D">
            <w:pPr>
              <w:jc w:val="right"/>
              <w:rPr>
                <w:color w:val="000000"/>
                <w:sz w:val="20"/>
                <w:szCs w:val="20"/>
              </w:rPr>
            </w:pPr>
            <w:r>
              <w:rPr>
                <w:color w:val="000000"/>
                <w:sz w:val="20"/>
                <w:szCs w:val="20"/>
              </w:rPr>
              <w:t>0.000</w:t>
            </w:r>
          </w:p>
        </w:tc>
      </w:tr>
      <w:tr w:rsidR="00B81CB5" w14:paraId="1A494B74" w14:textId="77777777" w:rsidTr="005A3B4D">
        <w:trPr>
          <w:trHeight w:val="320"/>
        </w:trPr>
        <w:tc>
          <w:tcPr>
            <w:tcW w:w="1152" w:type="dxa"/>
            <w:tcBorders>
              <w:top w:val="nil"/>
              <w:left w:val="nil"/>
              <w:bottom w:val="nil"/>
              <w:right w:val="nil"/>
            </w:tcBorders>
            <w:shd w:val="clear" w:color="auto" w:fill="auto"/>
            <w:noWrap/>
            <w:vAlign w:val="bottom"/>
            <w:hideMark/>
          </w:tcPr>
          <w:p w14:paraId="708C8DE5"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B2C726A"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32E3FD2" w14:textId="77777777" w:rsidR="00B81CB5" w:rsidRDefault="00B81CB5" w:rsidP="005A3B4D">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30534A09" w14:textId="77777777" w:rsidR="00B81CB5" w:rsidRDefault="00B81CB5" w:rsidP="005A3B4D">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064C0095"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CBF0848" w14:textId="77777777" w:rsidR="00B81CB5" w:rsidRDefault="00B81CB5" w:rsidP="005A3B4D">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37AD75D1" w14:textId="77777777" w:rsidR="00B81CB5" w:rsidRDefault="00B81CB5"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148DAD98" w14:textId="77777777" w:rsidR="00B81CB5" w:rsidRDefault="00B81CB5" w:rsidP="005A3B4D">
            <w:pPr>
              <w:jc w:val="right"/>
              <w:rPr>
                <w:color w:val="000000"/>
                <w:sz w:val="20"/>
                <w:szCs w:val="20"/>
              </w:rPr>
            </w:pPr>
            <w:r>
              <w:rPr>
                <w:color w:val="000000"/>
                <w:sz w:val="20"/>
                <w:szCs w:val="20"/>
              </w:rPr>
              <w:t>0.001</w:t>
            </w:r>
          </w:p>
        </w:tc>
      </w:tr>
      <w:tr w:rsidR="00B81CB5" w14:paraId="2552064C" w14:textId="77777777" w:rsidTr="005A3B4D">
        <w:trPr>
          <w:trHeight w:val="320"/>
        </w:trPr>
        <w:tc>
          <w:tcPr>
            <w:tcW w:w="1152" w:type="dxa"/>
            <w:tcBorders>
              <w:top w:val="nil"/>
              <w:left w:val="nil"/>
              <w:bottom w:val="nil"/>
              <w:right w:val="nil"/>
            </w:tcBorders>
            <w:shd w:val="clear" w:color="auto" w:fill="auto"/>
            <w:noWrap/>
            <w:vAlign w:val="bottom"/>
            <w:hideMark/>
          </w:tcPr>
          <w:p w14:paraId="08E07391"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5BE2DA9"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BEA77C7" w14:textId="77777777" w:rsidR="00B81CB5" w:rsidRDefault="00B81CB5"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3D01B66E" w14:textId="77777777" w:rsidR="00B81CB5" w:rsidRDefault="00B81CB5" w:rsidP="005A3B4D">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05C06917"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18C43A3"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D0BAB77" w14:textId="77777777" w:rsidR="00B81CB5" w:rsidRDefault="00B81CB5" w:rsidP="005A3B4D">
            <w:pPr>
              <w:jc w:val="right"/>
              <w:rPr>
                <w:color w:val="000000"/>
                <w:sz w:val="20"/>
                <w:szCs w:val="20"/>
              </w:rPr>
            </w:pPr>
            <w:r>
              <w:rPr>
                <w:color w:val="000000"/>
                <w:sz w:val="20"/>
                <w:szCs w:val="20"/>
              </w:rPr>
              <w:t>0.956</w:t>
            </w:r>
          </w:p>
        </w:tc>
        <w:tc>
          <w:tcPr>
            <w:tcW w:w="864" w:type="dxa"/>
            <w:tcBorders>
              <w:top w:val="nil"/>
              <w:left w:val="nil"/>
              <w:bottom w:val="nil"/>
              <w:right w:val="nil"/>
            </w:tcBorders>
            <w:shd w:val="clear" w:color="auto" w:fill="auto"/>
            <w:noWrap/>
            <w:vAlign w:val="bottom"/>
            <w:hideMark/>
          </w:tcPr>
          <w:p w14:paraId="03BDD99D" w14:textId="77777777" w:rsidR="00B81CB5" w:rsidRDefault="00B81CB5" w:rsidP="005A3B4D">
            <w:pPr>
              <w:jc w:val="right"/>
              <w:rPr>
                <w:color w:val="000000"/>
                <w:sz w:val="20"/>
                <w:szCs w:val="20"/>
              </w:rPr>
            </w:pPr>
            <w:r>
              <w:rPr>
                <w:color w:val="000000"/>
                <w:sz w:val="20"/>
                <w:szCs w:val="20"/>
              </w:rPr>
              <w:t>0.000</w:t>
            </w:r>
          </w:p>
        </w:tc>
      </w:tr>
      <w:tr w:rsidR="00B81CB5" w14:paraId="5DAB712A" w14:textId="77777777" w:rsidTr="005A3B4D">
        <w:trPr>
          <w:trHeight w:val="320"/>
        </w:trPr>
        <w:tc>
          <w:tcPr>
            <w:tcW w:w="1152" w:type="dxa"/>
            <w:tcBorders>
              <w:top w:val="nil"/>
              <w:left w:val="nil"/>
              <w:bottom w:val="nil"/>
              <w:right w:val="nil"/>
            </w:tcBorders>
            <w:shd w:val="clear" w:color="auto" w:fill="auto"/>
            <w:noWrap/>
            <w:vAlign w:val="bottom"/>
            <w:hideMark/>
          </w:tcPr>
          <w:p w14:paraId="56C8562B"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E9E912D"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4345839" w14:textId="77777777" w:rsidR="00B81CB5" w:rsidRDefault="00B81CB5" w:rsidP="005A3B4D">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67293342" w14:textId="77777777" w:rsidR="00B81CB5" w:rsidRDefault="00B81CB5" w:rsidP="005A3B4D">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32A05FCA"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D87A90A" w14:textId="77777777" w:rsidR="00B81CB5" w:rsidRDefault="00B81CB5" w:rsidP="005A3B4D">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686CCA9C" w14:textId="77777777" w:rsidR="00B81CB5" w:rsidRDefault="00B81CB5"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30A5A4AE" w14:textId="77777777" w:rsidR="00B81CB5" w:rsidRDefault="00B81CB5" w:rsidP="005A3B4D">
            <w:pPr>
              <w:jc w:val="right"/>
              <w:rPr>
                <w:color w:val="000000"/>
                <w:sz w:val="20"/>
                <w:szCs w:val="20"/>
              </w:rPr>
            </w:pPr>
            <w:r>
              <w:rPr>
                <w:color w:val="000000"/>
                <w:sz w:val="20"/>
                <w:szCs w:val="20"/>
              </w:rPr>
              <w:t>0.001</w:t>
            </w:r>
          </w:p>
        </w:tc>
      </w:tr>
      <w:tr w:rsidR="00B81CB5" w14:paraId="4E5E5BA4" w14:textId="77777777" w:rsidTr="005A3B4D">
        <w:trPr>
          <w:trHeight w:val="320"/>
        </w:trPr>
        <w:tc>
          <w:tcPr>
            <w:tcW w:w="1152" w:type="dxa"/>
            <w:tcBorders>
              <w:top w:val="nil"/>
              <w:left w:val="nil"/>
              <w:bottom w:val="nil"/>
              <w:right w:val="nil"/>
            </w:tcBorders>
            <w:shd w:val="clear" w:color="auto" w:fill="auto"/>
            <w:noWrap/>
            <w:vAlign w:val="bottom"/>
            <w:hideMark/>
          </w:tcPr>
          <w:p w14:paraId="15213CD1"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726C843"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5DD7DDE" w14:textId="77777777" w:rsidR="00B81CB5" w:rsidRDefault="00B81CB5" w:rsidP="005A3B4D">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7D328B15" w14:textId="77777777" w:rsidR="00B81CB5" w:rsidRDefault="00B81CB5" w:rsidP="005A3B4D">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170E91E1"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4FF11EC" w14:textId="77777777" w:rsidR="00B81CB5" w:rsidRDefault="00B81CB5" w:rsidP="005A3B4D">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685F5283" w14:textId="77777777" w:rsidR="00B81CB5" w:rsidRDefault="00B81CB5" w:rsidP="005A3B4D">
            <w:pPr>
              <w:jc w:val="right"/>
              <w:rPr>
                <w:color w:val="000000"/>
                <w:sz w:val="20"/>
                <w:szCs w:val="20"/>
              </w:rPr>
            </w:pPr>
            <w:r>
              <w:rPr>
                <w:color w:val="000000"/>
                <w:sz w:val="20"/>
                <w:szCs w:val="20"/>
              </w:rPr>
              <w:t>0.950</w:t>
            </w:r>
          </w:p>
        </w:tc>
        <w:tc>
          <w:tcPr>
            <w:tcW w:w="864" w:type="dxa"/>
            <w:tcBorders>
              <w:top w:val="nil"/>
              <w:left w:val="nil"/>
              <w:bottom w:val="nil"/>
              <w:right w:val="nil"/>
            </w:tcBorders>
            <w:shd w:val="clear" w:color="auto" w:fill="auto"/>
            <w:noWrap/>
            <w:vAlign w:val="bottom"/>
            <w:hideMark/>
          </w:tcPr>
          <w:p w14:paraId="2BED6C3E" w14:textId="77777777" w:rsidR="00B81CB5" w:rsidRDefault="00B81CB5" w:rsidP="005A3B4D">
            <w:pPr>
              <w:jc w:val="right"/>
              <w:rPr>
                <w:color w:val="000000"/>
                <w:sz w:val="20"/>
                <w:szCs w:val="20"/>
              </w:rPr>
            </w:pPr>
            <w:r>
              <w:rPr>
                <w:color w:val="000000"/>
                <w:sz w:val="20"/>
                <w:szCs w:val="20"/>
              </w:rPr>
              <w:t>0.000</w:t>
            </w:r>
          </w:p>
        </w:tc>
      </w:tr>
      <w:tr w:rsidR="00B81CB5" w14:paraId="47124823"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14EE899C"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1E21CFC9"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122D08A5" w14:textId="77777777" w:rsidR="00B81CB5" w:rsidRDefault="00B81CB5" w:rsidP="005A3B4D">
            <w:pPr>
              <w:jc w:val="right"/>
              <w:rPr>
                <w:color w:val="000000"/>
                <w:sz w:val="20"/>
                <w:szCs w:val="20"/>
              </w:rPr>
            </w:pPr>
            <w:r>
              <w:rPr>
                <w:color w:val="000000"/>
                <w:sz w:val="20"/>
                <w:szCs w:val="20"/>
              </w:rPr>
              <w:t>0.037</w:t>
            </w:r>
          </w:p>
        </w:tc>
        <w:tc>
          <w:tcPr>
            <w:tcW w:w="864" w:type="dxa"/>
            <w:tcBorders>
              <w:top w:val="nil"/>
              <w:left w:val="nil"/>
              <w:bottom w:val="single" w:sz="12" w:space="0" w:color="auto"/>
              <w:right w:val="nil"/>
            </w:tcBorders>
            <w:shd w:val="clear" w:color="auto" w:fill="auto"/>
            <w:noWrap/>
            <w:vAlign w:val="bottom"/>
            <w:hideMark/>
          </w:tcPr>
          <w:p w14:paraId="64B16560" w14:textId="77777777" w:rsidR="00B81CB5" w:rsidRDefault="00B81CB5" w:rsidP="005A3B4D">
            <w:pPr>
              <w:jc w:val="right"/>
              <w:rPr>
                <w:color w:val="000000"/>
                <w:sz w:val="20"/>
                <w:szCs w:val="20"/>
              </w:rPr>
            </w:pPr>
            <w:r>
              <w:rPr>
                <w:color w:val="000000"/>
                <w:sz w:val="20"/>
                <w:szCs w:val="20"/>
              </w:rPr>
              <w:t>0.984</w:t>
            </w:r>
          </w:p>
        </w:tc>
        <w:tc>
          <w:tcPr>
            <w:tcW w:w="864" w:type="dxa"/>
            <w:tcBorders>
              <w:top w:val="nil"/>
              <w:left w:val="nil"/>
              <w:bottom w:val="single" w:sz="12" w:space="0" w:color="auto"/>
              <w:right w:val="nil"/>
            </w:tcBorders>
            <w:shd w:val="clear" w:color="auto" w:fill="auto"/>
            <w:noWrap/>
            <w:vAlign w:val="bottom"/>
            <w:hideMark/>
          </w:tcPr>
          <w:p w14:paraId="048B0000"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638BB798" w14:textId="77777777" w:rsidR="00B81CB5" w:rsidRDefault="00B81CB5" w:rsidP="005A3B4D">
            <w:pPr>
              <w:jc w:val="right"/>
              <w:rPr>
                <w:color w:val="000000"/>
                <w:sz w:val="20"/>
                <w:szCs w:val="20"/>
              </w:rPr>
            </w:pPr>
            <w:r>
              <w:rPr>
                <w:color w:val="000000"/>
                <w:sz w:val="20"/>
                <w:szCs w:val="20"/>
              </w:rPr>
              <w:t>0.028</w:t>
            </w:r>
          </w:p>
        </w:tc>
        <w:tc>
          <w:tcPr>
            <w:tcW w:w="864" w:type="dxa"/>
            <w:tcBorders>
              <w:top w:val="nil"/>
              <w:left w:val="nil"/>
              <w:bottom w:val="single" w:sz="12" w:space="0" w:color="auto"/>
              <w:right w:val="nil"/>
            </w:tcBorders>
            <w:shd w:val="clear" w:color="auto" w:fill="auto"/>
            <w:noWrap/>
            <w:vAlign w:val="bottom"/>
            <w:hideMark/>
          </w:tcPr>
          <w:p w14:paraId="020F39E2" w14:textId="77777777" w:rsidR="00B81CB5" w:rsidRDefault="00B81CB5" w:rsidP="005A3B4D">
            <w:pPr>
              <w:jc w:val="right"/>
              <w:rPr>
                <w:color w:val="000000"/>
                <w:sz w:val="20"/>
                <w:szCs w:val="20"/>
              </w:rPr>
            </w:pPr>
            <w:r>
              <w:rPr>
                <w:color w:val="000000"/>
                <w:sz w:val="20"/>
                <w:szCs w:val="20"/>
              </w:rPr>
              <w:t>0.950</w:t>
            </w:r>
          </w:p>
        </w:tc>
        <w:tc>
          <w:tcPr>
            <w:tcW w:w="864" w:type="dxa"/>
            <w:tcBorders>
              <w:top w:val="nil"/>
              <w:left w:val="nil"/>
              <w:bottom w:val="single" w:sz="12" w:space="0" w:color="auto"/>
              <w:right w:val="nil"/>
            </w:tcBorders>
            <w:shd w:val="clear" w:color="auto" w:fill="auto"/>
            <w:noWrap/>
            <w:vAlign w:val="bottom"/>
            <w:hideMark/>
          </w:tcPr>
          <w:p w14:paraId="1D2C49A7" w14:textId="77777777" w:rsidR="00B81CB5" w:rsidRDefault="00B81CB5" w:rsidP="005A3B4D">
            <w:pPr>
              <w:jc w:val="right"/>
              <w:rPr>
                <w:color w:val="000000"/>
                <w:sz w:val="20"/>
                <w:szCs w:val="20"/>
              </w:rPr>
            </w:pPr>
            <w:r>
              <w:rPr>
                <w:color w:val="000000"/>
                <w:sz w:val="20"/>
                <w:szCs w:val="20"/>
              </w:rPr>
              <w:t>0.001</w:t>
            </w:r>
          </w:p>
        </w:tc>
      </w:tr>
      <w:tr w:rsidR="00B81CB5" w14:paraId="1097DEEE"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23664799" w14:textId="77777777" w:rsidR="00B81CB5" w:rsidRDefault="00B81CB5" w:rsidP="005A3B4D">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25D58D1A"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C92F418"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CAAE16E"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2973950"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E7E91BF"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8AA2481"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24733B7" w14:textId="77777777" w:rsidR="00B81CB5" w:rsidRDefault="00B81CB5" w:rsidP="005A3B4D">
            <w:pPr>
              <w:rPr>
                <w:sz w:val="20"/>
                <w:szCs w:val="20"/>
              </w:rPr>
            </w:pPr>
          </w:p>
        </w:tc>
      </w:tr>
    </w:tbl>
    <w:p w14:paraId="2D501612" w14:textId="77777777" w:rsidR="00B81CB5" w:rsidRDefault="00B81CB5" w:rsidP="00B81CB5">
      <w:pPr>
        <w:rPr>
          <w:rFonts w:ascii="Batang" w:eastAsia="Batang" w:hAnsi="Batang" w:cs="Batang"/>
          <w:color w:val="000000"/>
        </w:rPr>
      </w:pPr>
    </w:p>
    <w:p w14:paraId="746B808F" w14:textId="77777777" w:rsidR="00B81CB5" w:rsidRDefault="00B81CB5" w:rsidP="00B81CB5">
      <w:pPr>
        <w:rPr>
          <w:rFonts w:ascii="Batang" w:eastAsia="Batang" w:hAnsi="Batang" w:cs="Batang"/>
          <w:color w:val="000000"/>
        </w:rPr>
      </w:pPr>
      <w:r>
        <w:rPr>
          <w:rFonts w:ascii="Batang" w:eastAsia="Batang" w:hAnsi="Batang" w:cs="Batang"/>
          <w:color w:val="000000"/>
        </w:rPr>
        <w:br w:type="page"/>
      </w:r>
    </w:p>
    <w:p w14:paraId="615138BE" w14:textId="40B2CC11" w:rsidR="004678F8" w:rsidRDefault="004678F8" w:rsidP="004678F8">
      <w:pPr>
        <w:pStyle w:val="Heading1"/>
        <w:rPr>
          <w:rFonts w:ascii="Times New Roman" w:hAnsi="Times New Roman" w:cs="Times New Roman"/>
          <w:color w:val="000000" w:themeColor="text1"/>
          <w:sz w:val="24"/>
          <w:szCs w:val="24"/>
        </w:rPr>
      </w:pPr>
      <w:bookmarkStart w:id="88" w:name="_Toc155817755"/>
      <w:r w:rsidRPr="00B81CB5">
        <w:rPr>
          <w:rFonts w:ascii="Times New Roman" w:hAnsi="Times New Roman" w:cs="Times New Roman"/>
          <w:b/>
          <w:bCs/>
          <w:color w:val="000000" w:themeColor="text1"/>
          <w:sz w:val="24"/>
          <w:szCs w:val="24"/>
        </w:rPr>
        <w:lastRenderedPageBreak/>
        <w:t>Table</w:t>
      </w:r>
      <w:r w:rsidR="0036523A" w:rsidRPr="00B81CB5">
        <w:rPr>
          <w:rFonts w:ascii="Times New Roman" w:hAnsi="Times New Roman" w:cs="Times New Roman"/>
          <w:b/>
          <w:bCs/>
          <w:color w:val="000000" w:themeColor="text1"/>
          <w:sz w:val="24"/>
          <w:szCs w:val="24"/>
        </w:rPr>
        <w:t xml:space="preserve"> 28</w:t>
      </w:r>
      <w:r w:rsidR="00B81CB5" w:rsidRPr="00B81CB5">
        <w:rPr>
          <w:rFonts w:ascii="Times New Roman" w:hAnsi="Times New Roman" w:cs="Times New Roman"/>
          <w:b/>
          <w:bCs/>
          <w:color w:val="000000" w:themeColor="text1"/>
          <w:sz w:val="24"/>
          <w:szCs w:val="24"/>
        </w:rPr>
        <w:t>h</w:t>
      </w:r>
      <w:r w:rsidRPr="00B81CB5">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w:t>
      </w:r>
      <w:r w:rsidR="00076401">
        <w:rPr>
          <w:rFonts w:ascii="Times New Roman" w:hAnsi="Times New Roman" w:cs="Times New Roman"/>
          <w:color w:val="000000" w:themeColor="text1"/>
          <w:sz w:val="24"/>
          <w:szCs w:val="24"/>
        </w:rPr>
        <w:t>diameter</w:t>
      </w:r>
      <w:r>
        <w:rPr>
          <w:rFonts w:ascii="Times New Roman" w:hAnsi="Times New Roman" w:cs="Times New Roman"/>
          <w:color w:val="000000" w:themeColor="text1"/>
          <w:sz w:val="24"/>
          <w:szCs w:val="24"/>
        </w:rPr>
        <w:t xml:space="preserve"> and urbanicity obtained from bifactor modeling and pollution (NO2 level) during emotional n-back task</w:t>
      </w:r>
      <w:bookmarkEnd w:id="88"/>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C81D74" w14:paraId="0EA5AE90"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22D39995" w14:textId="77777777" w:rsidR="00C81D74" w:rsidRDefault="00C81D74">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2AB7A898" w14:textId="77777777" w:rsidR="00C81D74" w:rsidRDefault="00C81D74">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62CBA349" w14:textId="77777777" w:rsidR="00C81D74" w:rsidRDefault="00C81D74">
            <w:pPr>
              <w:rPr>
                <w:color w:val="000000"/>
              </w:rPr>
            </w:pPr>
          </w:p>
        </w:tc>
        <w:tc>
          <w:tcPr>
            <w:tcW w:w="864" w:type="dxa"/>
            <w:tcBorders>
              <w:top w:val="nil"/>
              <w:left w:val="nil"/>
              <w:bottom w:val="single" w:sz="12" w:space="0" w:color="auto"/>
              <w:right w:val="nil"/>
            </w:tcBorders>
            <w:shd w:val="clear" w:color="auto" w:fill="auto"/>
            <w:noWrap/>
            <w:vAlign w:val="bottom"/>
            <w:hideMark/>
          </w:tcPr>
          <w:p w14:paraId="39442014" w14:textId="77777777" w:rsidR="00C81D74" w:rsidRDefault="00C81D74">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58F8313" w14:textId="77777777" w:rsidR="00C81D74" w:rsidRDefault="00C81D74">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DA42147" w14:textId="77777777" w:rsidR="00C81D74" w:rsidRDefault="00C81D74">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C9D9588" w14:textId="77777777" w:rsidR="00C81D74" w:rsidRDefault="00C81D74">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47E5C3F" w14:textId="77777777" w:rsidR="00C81D74" w:rsidRDefault="00C81D74">
            <w:pPr>
              <w:rPr>
                <w:sz w:val="20"/>
                <w:szCs w:val="20"/>
              </w:rPr>
            </w:pPr>
          </w:p>
        </w:tc>
      </w:tr>
      <w:tr w:rsidR="00C81D74" w14:paraId="37D83A67"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05267D58" w14:textId="77777777" w:rsidR="00C81D74" w:rsidRDefault="00C81D74">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30A340D5" w14:textId="77777777" w:rsidR="00C81D74" w:rsidRDefault="00C81D74">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01FAF723" w14:textId="77777777" w:rsidR="00C81D74" w:rsidRDefault="00C81D74">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13E79F55" w14:textId="61D68D0F" w:rsidR="00C81D74" w:rsidRDefault="00C81D74">
            <w:pPr>
              <w:jc w:val="center"/>
              <w:rPr>
                <w:color w:val="000000"/>
                <w:sz w:val="20"/>
                <w:szCs w:val="20"/>
              </w:rPr>
            </w:pPr>
            <w:r>
              <w:rPr>
                <w:color w:val="000000"/>
                <w:sz w:val="20"/>
                <w:szCs w:val="20"/>
              </w:rPr>
              <w:t>Pollution (NO2 level)</w:t>
            </w:r>
          </w:p>
        </w:tc>
      </w:tr>
      <w:tr w:rsidR="00C81D74" w14:paraId="259C990B"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7D454693" w14:textId="77777777" w:rsidR="00C81D74" w:rsidRDefault="00C81D74">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65B16857" w14:textId="77777777" w:rsidR="00C81D74" w:rsidRDefault="00C81D74">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61FCC405" w14:textId="77777777" w:rsidR="00C81D74" w:rsidRDefault="00C81D74">
            <w:pP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38F8DBAB" w14:textId="77777777" w:rsidR="00C81D74" w:rsidRDefault="00C81D74">
            <w:pP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3E0FFF85" w14:textId="77777777" w:rsidR="00C81D74" w:rsidRDefault="00C81D74">
            <w:pP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06CA6757" w14:textId="77777777" w:rsidR="00C81D74" w:rsidRDefault="00C81D74">
            <w:pP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1DEB15CD" w14:textId="77777777" w:rsidR="00C81D74" w:rsidRDefault="00C81D74">
            <w:pP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5EB01EDB" w14:textId="77777777" w:rsidR="00C81D74" w:rsidRDefault="00C81D74">
            <w:pPr>
              <w:rPr>
                <w:i/>
                <w:iCs/>
                <w:color w:val="000000"/>
                <w:sz w:val="20"/>
                <w:szCs w:val="20"/>
              </w:rPr>
            </w:pPr>
            <w:r>
              <w:rPr>
                <w:i/>
                <w:iCs/>
                <w:color w:val="000000"/>
                <w:sz w:val="20"/>
                <w:szCs w:val="20"/>
              </w:rPr>
              <w:t>R2</w:t>
            </w:r>
          </w:p>
        </w:tc>
      </w:tr>
      <w:tr w:rsidR="00C81D74" w14:paraId="4D5B5BF9"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3A7FA8A" w14:textId="77777777" w:rsidR="00C81D74" w:rsidRDefault="00C81D74">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5E4334CE" w14:textId="77777777" w:rsidR="00C81D74" w:rsidRDefault="00C81D74">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534DB746" w14:textId="77777777" w:rsidR="00C81D74" w:rsidRDefault="00C81D74">
            <w:pPr>
              <w:jc w:val="right"/>
              <w:rPr>
                <w:color w:val="000000"/>
                <w:sz w:val="20"/>
                <w:szCs w:val="20"/>
              </w:rPr>
            </w:pPr>
            <w:r>
              <w:rPr>
                <w:color w:val="000000"/>
                <w:sz w:val="20"/>
                <w:szCs w:val="20"/>
              </w:rPr>
              <w:t>0.006</w:t>
            </w:r>
          </w:p>
        </w:tc>
        <w:tc>
          <w:tcPr>
            <w:tcW w:w="864" w:type="dxa"/>
            <w:tcBorders>
              <w:top w:val="single" w:sz="12" w:space="0" w:color="auto"/>
              <w:left w:val="nil"/>
              <w:bottom w:val="nil"/>
              <w:right w:val="nil"/>
            </w:tcBorders>
            <w:shd w:val="clear" w:color="auto" w:fill="auto"/>
            <w:noWrap/>
            <w:vAlign w:val="bottom"/>
            <w:hideMark/>
          </w:tcPr>
          <w:p w14:paraId="677CDC9B" w14:textId="77777777" w:rsidR="00C81D74" w:rsidRDefault="00C81D74">
            <w:pPr>
              <w:jc w:val="right"/>
              <w:rPr>
                <w:color w:val="000000"/>
                <w:sz w:val="20"/>
                <w:szCs w:val="20"/>
              </w:rPr>
            </w:pPr>
            <w:r>
              <w:rPr>
                <w:color w:val="000000"/>
                <w:sz w:val="20"/>
                <w:szCs w:val="20"/>
              </w:rPr>
              <w:t>0.893</w:t>
            </w:r>
          </w:p>
        </w:tc>
        <w:tc>
          <w:tcPr>
            <w:tcW w:w="864" w:type="dxa"/>
            <w:tcBorders>
              <w:top w:val="single" w:sz="12" w:space="0" w:color="auto"/>
              <w:left w:val="nil"/>
              <w:bottom w:val="nil"/>
              <w:right w:val="nil"/>
            </w:tcBorders>
            <w:shd w:val="clear" w:color="auto" w:fill="auto"/>
            <w:noWrap/>
            <w:vAlign w:val="bottom"/>
            <w:hideMark/>
          </w:tcPr>
          <w:p w14:paraId="3C2820E4" w14:textId="77777777" w:rsidR="00C81D74" w:rsidRDefault="00C81D74">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6A82AAF5" w14:textId="77777777" w:rsidR="00C81D74" w:rsidRDefault="00C81D74">
            <w:pPr>
              <w:jc w:val="right"/>
              <w:rPr>
                <w:color w:val="000000"/>
                <w:sz w:val="20"/>
                <w:szCs w:val="20"/>
              </w:rPr>
            </w:pPr>
            <w:r>
              <w:rPr>
                <w:color w:val="000000"/>
                <w:sz w:val="20"/>
                <w:szCs w:val="20"/>
              </w:rPr>
              <w:t>-0.004</w:t>
            </w:r>
          </w:p>
        </w:tc>
        <w:tc>
          <w:tcPr>
            <w:tcW w:w="864" w:type="dxa"/>
            <w:tcBorders>
              <w:top w:val="single" w:sz="12" w:space="0" w:color="auto"/>
              <w:left w:val="nil"/>
              <w:bottom w:val="nil"/>
              <w:right w:val="nil"/>
            </w:tcBorders>
            <w:shd w:val="clear" w:color="auto" w:fill="auto"/>
            <w:noWrap/>
            <w:vAlign w:val="bottom"/>
            <w:hideMark/>
          </w:tcPr>
          <w:p w14:paraId="31E57AEE" w14:textId="77777777" w:rsidR="00C81D74" w:rsidRDefault="00C81D74">
            <w:pPr>
              <w:jc w:val="right"/>
              <w:rPr>
                <w:color w:val="000000"/>
                <w:sz w:val="20"/>
                <w:szCs w:val="20"/>
              </w:rPr>
            </w:pPr>
            <w:r>
              <w:rPr>
                <w:color w:val="000000"/>
                <w:sz w:val="20"/>
                <w:szCs w:val="20"/>
              </w:rPr>
              <w:t>0.920</w:t>
            </w:r>
          </w:p>
        </w:tc>
        <w:tc>
          <w:tcPr>
            <w:tcW w:w="864" w:type="dxa"/>
            <w:tcBorders>
              <w:top w:val="single" w:sz="12" w:space="0" w:color="auto"/>
              <w:left w:val="nil"/>
              <w:bottom w:val="nil"/>
              <w:right w:val="nil"/>
            </w:tcBorders>
            <w:shd w:val="clear" w:color="auto" w:fill="auto"/>
            <w:noWrap/>
            <w:vAlign w:val="bottom"/>
            <w:hideMark/>
          </w:tcPr>
          <w:p w14:paraId="4BA9D4F3" w14:textId="77777777" w:rsidR="00C81D74" w:rsidRDefault="00C81D74">
            <w:pPr>
              <w:jc w:val="right"/>
              <w:rPr>
                <w:color w:val="000000"/>
                <w:sz w:val="20"/>
                <w:szCs w:val="20"/>
              </w:rPr>
            </w:pPr>
            <w:r>
              <w:rPr>
                <w:color w:val="000000"/>
                <w:sz w:val="20"/>
                <w:szCs w:val="20"/>
              </w:rPr>
              <w:t>0.000</w:t>
            </w:r>
          </w:p>
        </w:tc>
      </w:tr>
      <w:tr w:rsidR="00C81D74" w14:paraId="1C5622F6" w14:textId="77777777" w:rsidTr="00FC6EA1">
        <w:trPr>
          <w:trHeight w:val="340"/>
        </w:trPr>
        <w:tc>
          <w:tcPr>
            <w:tcW w:w="1152" w:type="dxa"/>
            <w:tcBorders>
              <w:top w:val="nil"/>
              <w:left w:val="nil"/>
              <w:bottom w:val="nil"/>
              <w:right w:val="nil"/>
            </w:tcBorders>
            <w:shd w:val="clear" w:color="auto" w:fill="auto"/>
            <w:noWrap/>
            <w:vAlign w:val="bottom"/>
            <w:hideMark/>
          </w:tcPr>
          <w:p w14:paraId="44E4364D"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203EF75" w14:textId="77777777" w:rsidR="00C81D74" w:rsidRDefault="00C81D74">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C0619EB" w14:textId="77777777" w:rsidR="00C81D74" w:rsidRDefault="00C81D74">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411D31FA" w14:textId="77777777" w:rsidR="00C81D74" w:rsidRDefault="00C81D74">
            <w:pPr>
              <w:jc w:val="right"/>
              <w:rPr>
                <w:color w:val="000000"/>
                <w:sz w:val="20"/>
                <w:szCs w:val="20"/>
              </w:rPr>
            </w:pPr>
            <w:r>
              <w:rPr>
                <w:color w:val="000000"/>
                <w:sz w:val="20"/>
                <w:szCs w:val="20"/>
              </w:rPr>
              <w:t>0.870</w:t>
            </w:r>
          </w:p>
        </w:tc>
        <w:tc>
          <w:tcPr>
            <w:tcW w:w="864" w:type="dxa"/>
            <w:tcBorders>
              <w:top w:val="nil"/>
              <w:left w:val="nil"/>
              <w:bottom w:val="nil"/>
              <w:right w:val="nil"/>
            </w:tcBorders>
            <w:shd w:val="clear" w:color="auto" w:fill="auto"/>
            <w:noWrap/>
            <w:vAlign w:val="bottom"/>
            <w:hideMark/>
          </w:tcPr>
          <w:p w14:paraId="18131A11"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FDBB446" w14:textId="77777777" w:rsidR="00C81D74" w:rsidRDefault="00C81D74">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1A9FC0D1" w14:textId="77777777" w:rsidR="00C81D74" w:rsidRDefault="00C81D74">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7DB4CE2A" w14:textId="77777777" w:rsidR="00C81D74" w:rsidRDefault="00C81D74">
            <w:pPr>
              <w:jc w:val="right"/>
              <w:rPr>
                <w:color w:val="000000"/>
                <w:sz w:val="20"/>
                <w:szCs w:val="20"/>
              </w:rPr>
            </w:pPr>
            <w:r>
              <w:rPr>
                <w:color w:val="000000"/>
                <w:sz w:val="20"/>
                <w:szCs w:val="20"/>
              </w:rPr>
              <w:t>0.000</w:t>
            </w:r>
          </w:p>
        </w:tc>
      </w:tr>
      <w:tr w:rsidR="00C81D74" w14:paraId="5F71EACD" w14:textId="77777777" w:rsidTr="00FC6EA1">
        <w:trPr>
          <w:trHeight w:val="320"/>
        </w:trPr>
        <w:tc>
          <w:tcPr>
            <w:tcW w:w="1152" w:type="dxa"/>
            <w:tcBorders>
              <w:top w:val="nil"/>
              <w:left w:val="nil"/>
              <w:bottom w:val="nil"/>
              <w:right w:val="nil"/>
            </w:tcBorders>
            <w:shd w:val="clear" w:color="auto" w:fill="auto"/>
            <w:noWrap/>
            <w:vAlign w:val="bottom"/>
            <w:hideMark/>
          </w:tcPr>
          <w:p w14:paraId="2F87FB07"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EB61636" w14:textId="77777777" w:rsidR="00C81D74" w:rsidRDefault="00C81D74">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A7EC0D9" w14:textId="77777777" w:rsidR="00C81D74" w:rsidRDefault="00C81D74">
            <w:pPr>
              <w:jc w:val="right"/>
              <w:rPr>
                <w:color w:val="000000"/>
                <w:sz w:val="20"/>
                <w:szCs w:val="20"/>
              </w:rPr>
            </w:pPr>
            <w:r>
              <w:rPr>
                <w:color w:val="000000"/>
                <w:sz w:val="20"/>
                <w:szCs w:val="20"/>
              </w:rPr>
              <w:t>-0.087</w:t>
            </w:r>
          </w:p>
        </w:tc>
        <w:tc>
          <w:tcPr>
            <w:tcW w:w="864" w:type="dxa"/>
            <w:tcBorders>
              <w:top w:val="nil"/>
              <w:left w:val="nil"/>
              <w:bottom w:val="nil"/>
              <w:right w:val="nil"/>
            </w:tcBorders>
            <w:shd w:val="clear" w:color="auto" w:fill="auto"/>
            <w:noWrap/>
            <w:vAlign w:val="bottom"/>
            <w:hideMark/>
          </w:tcPr>
          <w:p w14:paraId="6BB93D9D" w14:textId="77777777" w:rsidR="00C81D74" w:rsidRDefault="00C81D74">
            <w:pPr>
              <w:jc w:val="right"/>
              <w:rPr>
                <w:color w:val="000000"/>
                <w:sz w:val="20"/>
                <w:szCs w:val="20"/>
              </w:rPr>
            </w:pPr>
            <w:r>
              <w:rPr>
                <w:color w:val="000000"/>
                <w:sz w:val="20"/>
                <w:szCs w:val="20"/>
              </w:rPr>
              <w:t>0.862</w:t>
            </w:r>
          </w:p>
        </w:tc>
        <w:tc>
          <w:tcPr>
            <w:tcW w:w="864" w:type="dxa"/>
            <w:tcBorders>
              <w:top w:val="nil"/>
              <w:left w:val="nil"/>
              <w:bottom w:val="nil"/>
              <w:right w:val="nil"/>
            </w:tcBorders>
            <w:shd w:val="clear" w:color="auto" w:fill="auto"/>
            <w:noWrap/>
            <w:vAlign w:val="bottom"/>
            <w:hideMark/>
          </w:tcPr>
          <w:p w14:paraId="3C7DA8BF" w14:textId="77777777" w:rsidR="00C81D74" w:rsidRDefault="00C81D74">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3BBF72D7" w14:textId="77777777" w:rsidR="00C81D74" w:rsidRDefault="00C81D74">
            <w:pPr>
              <w:jc w:val="right"/>
              <w:rPr>
                <w:color w:val="000000"/>
                <w:sz w:val="20"/>
                <w:szCs w:val="20"/>
              </w:rPr>
            </w:pPr>
            <w:r>
              <w:rPr>
                <w:color w:val="000000"/>
                <w:sz w:val="20"/>
                <w:szCs w:val="20"/>
              </w:rPr>
              <w:t>-0.069</w:t>
            </w:r>
          </w:p>
        </w:tc>
        <w:tc>
          <w:tcPr>
            <w:tcW w:w="864" w:type="dxa"/>
            <w:tcBorders>
              <w:top w:val="nil"/>
              <w:left w:val="nil"/>
              <w:bottom w:val="nil"/>
              <w:right w:val="nil"/>
            </w:tcBorders>
            <w:shd w:val="clear" w:color="auto" w:fill="auto"/>
            <w:noWrap/>
            <w:vAlign w:val="bottom"/>
            <w:hideMark/>
          </w:tcPr>
          <w:p w14:paraId="3AA57893" w14:textId="77777777" w:rsidR="00C81D74" w:rsidRDefault="00C81D74">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790F6A67" w14:textId="77777777" w:rsidR="00C81D74" w:rsidRDefault="00C81D74">
            <w:pPr>
              <w:jc w:val="right"/>
              <w:rPr>
                <w:color w:val="000000"/>
                <w:sz w:val="20"/>
                <w:szCs w:val="20"/>
              </w:rPr>
            </w:pPr>
            <w:r>
              <w:rPr>
                <w:color w:val="000000"/>
                <w:sz w:val="20"/>
                <w:szCs w:val="20"/>
              </w:rPr>
              <w:t>0.005</w:t>
            </w:r>
          </w:p>
        </w:tc>
      </w:tr>
      <w:tr w:rsidR="00C81D74" w14:paraId="34775854" w14:textId="77777777" w:rsidTr="00FC6EA1">
        <w:trPr>
          <w:trHeight w:val="320"/>
        </w:trPr>
        <w:tc>
          <w:tcPr>
            <w:tcW w:w="1152" w:type="dxa"/>
            <w:tcBorders>
              <w:top w:val="nil"/>
              <w:left w:val="nil"/>
              <w:bottom w:val="nil"/>
              <w:right w:val="nil"/>
            </w:tcBorders>
            <w:shd w:val="clear" w:color="auto" w:fill="auto"/>
            <w:noWrap/>
            <w:vAlign w:val="bottom"/>
            <w:hideMark/>
          </w:tcPr>
          <w:p w14:paraId="30499E34"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34701AB" w14:textId="77777777" w:rsidR="00C81D74" w:rsidRDefault="00C81D74">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617A941" w14:textId="77777777" w:rsidR="00C81D74" w:rsidRDefault="00C81D74">
            <w:pPr>
              <w:jc w:val="right"/>
              <w:rPr>
                <w:color w:val="000000"/>
                <w:sz w:val="20"/>
                <w:szCs w:val="20"/>
              </w:rPr>
            </w:pPr>
            <w:r>
              <w:rPr>
                <w:color w:val="000000"/>
                <w:sz w:val="20"/>
                <w:szCs w:val="20"/>
              </w:rPr>
              <w:t>-0.162</w:t>
            </w:r>
          </w:p>
        </w:tc>
        <w:tc>
          <w:tcPr>
            <w:tcW w:w="864" w:type="dxa"/>
            <w:tcBorders>
              <w:top w:val="nil"/>
              <w:left w:val="nil"/>
              <w:bottom w:val="nil"/>
              <w:right w:val="nil"/>
            </w:tcBorders>
            <w:shd w:val="clear" w:color="auto" w:fill="auto"/>
            <w:noWrap/>
            <w:vAlign w:val="bottom"/>
            <w:hideMark/>
          </w:tcPr>
          <w:p w14:paraId="74C4FBED" w14:textId="77777777" w:rsidR="00C81D74" w:rsidRDefault="00C81D74">
            <w:pPr>
              <w:jc w:val="right"/>
              <w:rPr>
                <w:color w:val="000000"/>
                <w:sz w:val="20"/>
                <w:szCs w:val="20"/>
              </w:rPr>
            </w:pPr>
            <w:r>
              <w:rPr>
                <w:color w:val="000000"/>
                <w:sz w:val="20"/>
                <w:szCs w:val="20"/>
              </w:rPr>
              <w:t>0.160</w:t>
            </w:r>
          </w:p>
        </w:tc>
        <w:tc>
          <w:tcPr>
            <w:tcW w:w="864" w:type="dxa"/>
            <w:tcBorders>
              <w:top w:val="nil"/>
              <w:left w:val="nil"/>
              <w:bottom w:val="nil"/>
              <w:right w:val="nil"/>
            </w:tcBorders>
            <w:shd w:val="clear" w:color="auto" w:fill="auto"/>
            <w:noWrap/>
            <w:vAlign w:val="bottom"/>
            <w:hideMark/>
          </w:tcPr>
          <w:p w14:paraId="4401A0B8" w14:textId="77777777" w:rsidR="00C81D74" w:rsidRDefault="00C81D74">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0D7F82CC" w14:textId="77777777" w:rsidR="00C81D74" w:rsidRDefault="00C81D74">
            <w:pPr>
              <w:jc w:val="right"/>
              <w:rPr>
                <w:color w:val="000000"/>
                <w:sz w:val="20"/>
                <w:szCs w:val="20"/>
              </w:rPr>
            </w:pPr>
            <w:r>
              <w:rPr>
                <w:color w:val="000000"/>
                <w:sz w:val="20"/>
                <w:szCs w:val="20"/>
              </w:rPr>
              <w:t>-0.094</w:t>
            </w:r>
          </w:p>
        </w:tc>
        <w:tc>
          <w:tcPr>
            <w:tcW w:w="864" w:type="dxa"/>
            <w:tcBorders>
              <w:top w:val="nil"/>
              <w:left w:val="nil"/>
              <w:bottom w:val="nil"/>
              <w:right w:val="nil"/>
            </w:tcBorders>
            <w:shd w:val="clear" w:color="auto" w:fill="auto"/>
            <w:noWrap/>
            <w:vAlign w:val="bottom"/>
            <w:hideMark/>
          </w:tcPr>
          <w:p w14:paraId="6FC97851" w14:textId="77777777" w:rsidR="00C81D74" w:rsidRDefault="00C81D74">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1F199BB6" w14:textId="77777777" w:rsidR="00C81D74" w:rsidRDefault="00C81D74">
            <w:pPr>
              <w:jc w:val="right"/>
              <w:rPr>
                <w:color w:val="000000"/>
                <w:sz w:val="20"/>
                <w:szCs w:val="20"/>
              </w:rPr>
            </w:pPr>
            <w:r>
              <w:rPr>
                <w:color w:val="000000"/>
                <w:sz w:val="20"/>
                <w:szCs w:val="20"/>
              </w:rPr>
              <w:t>0.009</w:t>
            </w:r>
          </w:p>
        </w:tc>
      </w:tr>
      <w:tr w:rsidR="00C81D74" w14:paraId="30BDBF2A" w14:textId="77777777" w:rsidTr="00FC6EA1">
        <w:trPr>
          <w:trHeight w:val="320"/>
        </w:trPr>
        <w:tc>
          <w:tcPr>
            <w:tcW w:w="1152" w:type="dxa"/>
            <w:tcBorders>
              <w:top w:val="nil"/>
              <w:left w:val="nil"/>
              <w:bottom w:val="nil"/>
              <w:right w:val="nil"/>
            </w:tcBorders>
            <w:shd w:val="clear" w:color="auto" w:fill="auto"/>
            <w:noWrap/>
            <w:vAlign w:val="bottom"/>
            <w:hideMark/>
          </w:tcPr>
          <w:p w14:paraId="618465BB"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F3FA142" w14:textId="77777777" w:rsidR="00C81D74" w:rsidRDefault="00C81D74">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71A3127" w14:textId="77777777" w:rsidR="00C81D74" w:rsidRDefault="00C81D74">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02DC6649" w14:textId="77777777" w:rsidR="00C81D74" w:rsidRDefault="00C81D74">
            <w:pPr>
              <w:jc w:val="right"/>
              <w:rPr>
                <w:color w:val="000000"/>
                <w:sz w:val="20"/>
                <w:szCs w:val="20"/>
              </w:rPr>
            </w:pPr>
            <w:r>
              <w:rPr>
                <w:color w:val="000000"/>
                <w:sz w:val="20"/>
                <w:szCs w:val="20"/>
              </w:rPr>
              <w:t>0.893</w:t>
            </w:r>
          </w:p>
        </w:tc>
        <w:tc>
          <w:tcPr>
            <w:tcW w:w="864" w:type="dxa"/>
            <w:tcBorders>
              <w:top w:val="nil"/>
              <w:left w:val="nil"/>
              <w:bottom w:val="nil"/>
              <w:right w:val="nil"/>
            </w:tcBorders>
            <w:shd w:val="clear" w:color="auto" w:fill="auto"/>
            <w:noWrap/>
            <w:vAlign w:val="bottom"/>
            <w:hideMark/>
          </w:tcPr>
          <w:p w14:paraId="5C4CAC13"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4723F88" w14:textId="77777777" w:rsidR="00C81D74" w:rsidRDefault="00C81D74">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2DFBFABB" w14:textId="77777777" w:rsidR="00C81D74" w:rsidRDefault="00C81D74">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36CEA5DC" w14:textId="77777777" w:rsidR="00C81D74" w:rsidRDefault="00C81D74">
            <w:pPr>
              <w:jc w:val="right"/>
              <w:rPr>
                <w:color w:val="000000"/>
                <w:sz w:val="20"/>
                <w:szCs w:val="20"/>
              </w:rPr>
            </w:pPr>
            <w:r>
              <w:rPr>
                <w:color w:val="000000"/>
                <w:sz w:val="20"/>
                <w:szCs w:val="20"/>
              </w:rPr>
              <w:t>0.003</w:t>
            </w:r>
          </w:p>
        </w:tc>
      </w:tr>
      <w:tr w:rsidR="00C81D74" w14:paraId="43E99F3A" w14:textId="77777777" w:rsidTr="00FC6EA1">
        <w:trPr>
          <w:trHeight w:val="320"/>
        </w:trPr>
        <w:tc>
          <w:tcPr>
            <w:tcW w:w="1152" w:type="dxa"/>
            <w:tcBorders>
              <w:top w:val="nil"/>
              <w:left w:val="nil"/>
              <w:bottom w:val="nil"/>
              <w:right w:val="nil"/>
            </w:tcBorders>
            <w:shd w:val="clear" w:color="auto" w:fill="auto"/>
            <w:noWrap/>
            <w:vAlign w:val="bottom"/>
            <w:hideMark/>
          </w:tcPr>
          <w:p w14:paraId="7A5B8AB7"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4E5943B" w14:textId="77777777" w:rsidR="00C81D74" w:rsidRDefault="00C81D74">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67457C1" w14:textId="77777777" w:rsidR="00C81D74" w:rsidRDefault="00C81D74">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0857430F" w14:textId="77777777" w:rsidR="00C81D74" w:rsidRDefault="00C81D74">
            <w:pPr>
              <w:jc w:val="right"/>
              <w:rPr>
                <w:color w:val="000000"/>
                <w:sz w:val="20"/>
                <w:szCs w:val="20"/>
              </w:rPr>
            </w:pPr>
            <w:r>
              <w:rPr>
                <w:color w:val="000000"/>
                <w:sz w:val="20"/>
                <w:szCs w:val="20"/>
              </w:rPr>
              <w:t>0.862</w:t>
            </w:r>
          </w:p>
        </w:tc>
        <w:tc>
          <w:tcPr>
            <w:tcW w:w="864" w:type="dxa"/>
            <w:tcBorders>
              <w:top w:val="nil"/>
              <w:left w:val="nil"/>
              <w:bottom w:val="nil"/>
              <w:right w:val="nil"/>
            </w:tcBorders>
            <w:shd w:val="clear" w:color="auto" w:fill="auto"/>
            <w:noWrap/>
            <w:vAlign w:val="bottom"/>
            <w:hideMark/>
          </w:tcPr>
          <w:p w14:paraId="16B455EB"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F50C614" w14:textId="77777777" w:rsidR="00C81D74" w:rsidRDefault="00C81D74">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78CBBF75" w14:textId="77777777" w:rsidR="00C81D74" w:rsidRDefault="00C81D74">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3B7CF5AC" w14:textId="77777777" w:rsidR="00C81D74" w:rsidRDefault="00C81D74">
            <w:pPr>
              <w:jc w:val="right"/>
              <w:rPr>
                <w:color w:val="000000"/>
                <w:sz w:val="20"/>
                <w:szCs w:val="20"/>
              </w:rPr>
            </w:pPr>
            <w:r>
              <w:rPr>
                <w:color w:val="000000"/>
                <w:sz w:val="20"/>
                <w:szCs w:val="20"/>
              </w:rPr>
              <w:t>0.001</w:t>
            </w:r>
          </w:p>
        </w:tc>
      </w:tr>
      <w:tr w:rsidR="00C81D74" w14:paraId="09231541" w14:textId="77777777" w:rsidTr="00FC6EA1">
        <w:trPr>
          <w:trHeight w:val="320"/>
        </w:trPr>
        <w:tc>
          <w:tcPr>
            <w:tcW w:w="1152" w:type="dxa"/>
            <w:tcBorders>
              <w:top w:val="nil"/>
              <w:left w:val="nil"/>
              <w:bottom w:val="nil"/>
              <w:right w:val="nil"/>
            </w:tcBorders>
            <w:shd w:val="clear" w:color="auto" w:fill="auto"/>
            <w:noWrap/>
            <w:vAlign w:val="bottom"/>
            <w:hideMark/>
          </w:tcPr>
          <w:p w14:paraId="748E4271"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097E91B" w14:textId="77777777" w:rsidR="00C81D74" w:rsidRDefault="00C81D74">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ED6749F" w14:textId="77777777" w:rsidR="00C81D74" w:rsidRDefault="00C81D74">
            <w:pPr>
              <w:jc w:val="right"/>
              <w:rPr>
                <w:color w:val="000000"/>
                <w:sz w:val="20"/>
                <w:szCs w:val="20"/>
              </w:rPr>
            </w:pPr>
            <w:r>
              <w:rPr>
                <w:color w:val="000000"/>
                <w:sz w:val="20"/>
                <w:szCs w:val="20"/>
              </w:rPr>
              <w:t>-0.074</w:t>
            </w:r>
          </w:p>
        </w:tc>
        <w:tc>
          <w:tcPr>
            <w:tcW w:w="864" w:type="dxa"/>
            <w:tcBorders>
              <w:top w:val="nil"/>
              <w:left w:val="nil"/>
              <w:bottom w:val="nil"/>
              <w:right w:val="nil"/>
            </w:tcBorders>
            <w:shd w:val="clear" w:color="auto" w:fill="auto"/>
            <w:noWrap/>
            <w:vAlign w:val="bottom"/>
            <w:hideMark/>
          </w:tcPr>
          <w:p w14:paraId="7444B9FF" w14:textId="77777777" w:rsidR="00C81D74" w:rsidRDefault="00C81D74">
            <w:pPr>
              <w:jc w:val="right"/>
              <w:rPr>
                <w:color w:val="000000"/>
                <w:sz w:val="20"/>
                <w:szCs w:val="20"/>
              </w:rPr>
            </w:pPr>
            <w:r>
              <w:rPr>
                <w:color w:val="000000"/>
                <w:sz w:val="20"/>
                <w:szCs w:val="20"/>
              </w:rPr>
              <w:t>0.284</w:t>
            </w:r>
          </w:p>
        </w:tc>
        <w:tc>
          <w:tcPr>
            <w:tcW w:w="864" w:type="dxa"/>
            <w:tcBorders>
              <w:top w:val="nil"/>
              <w:left w:val="nil"/>
              <w:bottom w:val="nil"/>
              <w:right w:val="nil"/>
            </w:tcBorders>
            <w:shd w:val="clear" w:color="auto" w:fill="auto"/>
            <w:noWrap/>
            <w:vAlign w:val="bottom"/>
            <w:hideMark/>
          </w:tcPr>
          <w:p w14:paraId="0BA05B5C" w14:textId="77777777" w:rsidR="00C81D74" w:rsidRDefault="00C81D74">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21DD854E" w14:textId="77777777" w:rsidR="00C81D74" w:rsidRDefault="00C81D74">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4A4FD39B" w14:textId="77777777" w:rsidR="00C81D74" w:rsidRDefault="00C81D74">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7375CC14" w14:textId="77777777" w:rsidR="00C81D74" w:rsidRDefault="00C81D74">
            <w:pPr>
              <w:jc w:val="right"/>
              <w:rPr>
                <w:color w:val="000000"/>
                <w:sz w:val="20"/>
                <w:szCs w:val="20"/>
              </w:rPr>
            </w:pPr>
            <w:r>
              <w:rPr>
                <w:color w:val="000000"/>
                <w:sz w:val="20"/>
                <w:szCs w:val="20"/>
              </w:rPr>
              <w:t>0.001</w:t>
            </w:r>
          </w:p>
        </w:tc>
      </w:tr>
      <w:tr w:rsidR="00C81D74" w14:paraId="5FC30303" w14:textId="77777777" w:rsidTr="00FC6EA1">
        <w:trPr>
          <w:trHeight w:val="320"/>
        </w:trPr>
        <w:tc>
          <w:tcPr>
            <w:tcW w:w="1152" w:type="dxa"/>
            <w:tcBorders>
              <w:top w:val="nil"/>
              <w:left w:val="nil"/>
              <w:bottom w:val="single" w:sz="4" w:space="0" w:color="auto"/>
              <w:right w:val="nil"/>
            </w:tcBorders>
            <w:shd w:val="clear" w:color="auto" w:fill="auto"/>
            <w:noWrap/>
            <w:vAlign w:val="bottom"/>
            <w:hideMark/>
          </w:tcPr>
          <w:p w14:paraId="21F30700" w14:textId="77777777" w:rsidR="00C81D74" w:rsidRDefault="00C81D74">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360612C" w14:textId="77777777" w:rsidR="00C81D74" w:rsidRDefault="00C81D74">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237C841E" w14:textId="77777777" w:rsidR="00C81D74" w:rsidRDefault="00C81D74">
            <w:pPr>
              <w:jc w:val="right"/>
              <w:rPr>
                <w:color w:val="000000"/>
                <w:sz w:val="20"/>
                <w:szCs w:val="20"/>
              </w:rPr>
            </w:pPr>
            <w:r>
              <w:rPr>
                <w:color w:val="000000"/>
                <w:sz w:val="20"/>
                <w:szCs w:val="20"/>
              </w:rPr>
              <w:t>0.022</w:t>
            </w:r>
          </w:p>
        </w:tc>
        <w:tc>
          <w:tcPr>
            <w:tcW w:w="864" w:type="dxa"/>
            <w:tcBorders>
              <w:top w:val="nil"/>
              <w:left w:val="nil"/>
              <w:bottom w:val="single" w:sz="4" w:space="0" w:color="auto"/>
              <w:right w:val="nil"/>
            </w:tcBorders>
            <w:shd w:val="clear" w:color="auto" w:fill="auto"/>
            <w:noWrap/>
            <w:vAlign w:val="bottom"/>
            <w:hideMark/>
          </w:tcPr>
          <w:p w14:paraId="7AE53009" w14:textId="77777777" w:rsidR="00C81D74" w:rsidRDefault="00C81D74">
            <w:pPr>
              <w:jc w:val="right"/>
              <w:rPr>
                <w:color w:val="000000"/>
                <w:sz w:val="20"/>
                <w:szCs w:val="20"/>
              </w:rPr>
            </w:pPr>
            <w:r>
              <w:rPr>
                <w:color w:val="000000"/>
                <w:sz w:val="20"/>
                <w:szCs w:val="20"/>
              </w:rPr>
              <w:t>0.893</w:t>
            </w:r>
          </w:p>
        </w:tc>
        <w:tc>
          <w:tcPr>
            <w:tcW w:w="864" w:type="dxa"/>
            <w:tcBorders>
              <w:top w:val="nil"/>
              <w:left w:val="nil"/>
              <w:bottom w:val="single" w:sz="4" w:space="0" w:color="auto"/>
              <w:right w:val="nil"/>
            </w:tcBorders>
            <w:shd w:val="clear" w:color="auto" w:fill="auto"/>
            <w:noWrap/>
            <w:vAlign w:val="bottom"/>
            <w:hideMark/>
          </w:tcPr>
          <w:p w14:paraId="4570D1DD"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142FEA39" w14:textId="77777777" w:rsidR="00C81D74" w:rsidRDefault="00C81D74">
            <w:pPr>
              <w:jc w:val="right"/>
              <w:rPr>
                <w:color w:val="000000"/>
                <w:sz w:val="20"/>
                <w:szCs w:val="20"/>
              </w:rPr>
            </w:pPr>
            <w:r>
              <w:rPr>
                <w:color w:val="000000"/>
                <w:sz w:val="20"/>
                <w:szCs w:val="20"/>
              </w:rPr>
              <w:t>-0.020</w:t>
            </w:r>
          </w:p>
        </w:tc>
        <w:tc>
          <w:tcPr>
            <w:tcW w:w="864" w:type="dxa"/>
            <w:tcBorders>
              <w:top w:val="nil"/>
              <w:left w:val="nil"/>
              <w:bottom w:val="single" w:sz="4" w:space="0" w:color="auto"/>
              <w:right w:val="nil"/>
            </w:tcBorders>
            <w:shd w:val="clear" w:color="auto" w:fill="auto"/>
            <w:noWrap/>
            <w:vAlign w:val="bottom"/>
            <w:hideMark/>
          </w:tcPr>
          <w:p w14:paraId="0D394582" w14:textId="77777777" w:rsidR="00C81D74" w:rsidRDefault="00C81D74">
            <w:pPr>
              <w:jc w:val="right"/>
              <w:rPr>
                <w:color w:val="000000"/>
                <w:sz w:val="20"/>
                <w:szCs w:val="20"/>
              </w:rPr>
            </w:pPr>
            <w:r>
              <w:rPr>
                <w:color w:val="000000"/>
                <w:sz w:val="20"/>
                <w:szCs w:val="20"/>
              </w:rPr>
              <w:t>0.838</w:t>
            </w:r>
          </w:p>
        </w:tc>
        <w:tc>
          <w:tcPr>
            <w:tcW w:w="864" w:type="dxa"/>
            <w:tcBorders>
              <w:top w:val="nil"/>
              <w:left w:val="nil"/>
              <w:bottom w:val="single" w:sz="4" w:space="0" w:color="auto"/>
              <w:right w:val="nil"/>
            </w:tcBorders>
            <w:shd w:val="clear" w:color="auto" w:fill="auto"/>
            <w:noWrap/>
            <w:vAlign w:val="bottom"/>
            <w:hideMark/>
          </w:tcPr>
          <w:p w14:paraId="692C3390" w14:textId="77777777" w:rsidR="00C81D74" w:rsidRDefault="00C81D74">
            <w:pPr>
              <w:jc w:val="right"/>
              <w:rPr>
                <w:color w:val="000000"/>
                <w:sz w:val="20"/>
                <w:szCs w:val="20"/>
              </w:rPr>
            </w:pPr>
            <w:r>
              <w:rPr>
                <w:color w:val="000000"/>
                <w:sz w:val="20"/>
                <w:szCs w:val="20"/>
              </w:rPr>
              <w:t>0.000</w:t>
            </w:r>
          </w:p>
        </w:tc>
      </w:tr>
      <w:tr w:rsidR="00C81D74" w14:paraId="30A2F4AC" w14:textId="77777777" w:rsidTr="00FC6EA1">
        <w:trPr>
          <w:trHeight w:val="320"/>
        </w:trPr>
        <w:tc>
          <w:tcPr>
            <w:tcW w:w="1152" w:type="dxa"/>
            <w:tcBorders>
              <w:top w:val="nil"/>
              <w:left w:val="nil"/>
              <w:bottom w:val="nil"/>
              <w:right w:val="nil"/>
            </w:tcBorders>
            <w:shd w:val="clear" w:color="auto" w:fill="auto"/>
            <w:noWrap/>
            <w:vAlign w:val="bottom"/>
            <w:hideMark/>
          </w:tcPr>
          <w:p w14:paraId="575772EA" w14:textId="77777777" w:rsidR="00C81D74" w:rsidRDefault="00C81D74">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50E05944" w14:textId="77777777" w:rsidR="00C81D74" w:rsidRDefault="00C81D74">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9CD72E0" w14:textId="77777777" w:rsidR="00C81D74" w:rsidRDefault="00C81D74">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69BCC7CD" w14:textId="77777777" w:rsidR="00C81D74" w:rsidRDefault="00C81D74">
            <w:pPr>
              <w:jc w:val="right"/>
              <w:rPr>
                <w:color w:val="000000"/>
                <w:sz w:val="20"/>
                <w:szCs w:val="20"/>
              </w:rPr>
            </w:pPr>
            <w:r>
              <w:rPr>
                <w:color w:val="000000"/>
                <w:sz w:val="20"/>
                <w:szCs w:val="20"/>
              </w:rPr>
              <w:t>0.694</w:t>
            </w:r>
          </w:p>
        </w:tc>
        <w:tc>
          <w:tcPr>
            <w:tcW w:w="864" w:type="dxa"/>
            <w:tcBorders>
              <w:top w:val="nil"/>
              <w:left w:val="nil"/>
              <w:bottom w:val="nil"/>
              <w:right w:val="nil"/>
            </w:tcBorders>
            <w:shd w:val="clear" w:color="auto" w:fill="auto"/>
            <w:noWrap/>
            <w:vAlign w:val="bottom"/>
            <w:hideMark/>
          </w:tcPr>
          <w:p w14:paraId="0A49E7CE"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04E85A1" w14:textId="77777777" w:rsidR="00C81D74" w:rsidRDefault="00C81D74">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6F694960" w14:textId="77777777" w:rsidR="00C81D74" w:rsidRDefault="00C81D74">
            <w:pPr>
              <w:jc w:val="right"/>
              <w:rPr>
                <w:color w:val="000000"/>
                <w:sz w:val="20"/>
                <w:szCs w:val="20"/>
              </w:rPr>
            </w:pPr>
            <w:r>
              <w:rPr>
                <w:color w:val="000000"/>
                <w:sz w:val="20"/>
                <w:szCs w:val="20"/>
              </w:rPr>
              <w:t>0.712</w:t>
            </w:r>
          </w:p>
        </w:tc>
        <w:tc>
          <w:tcPr>
            <w:tcW w:w="864" w:type="dxa"/>
            <w:tcBorders>
              <w:top w:val="nil"/>
              <w:left w:val="nil"/>
              <w:bottom w:val="nil"/>
              <w:right w:val="nil"/>
            </w:tcBorders>
            <w:shd w:val="clear" w:color="auto" w:fill="auto"/>
            <w:noWrap/>
            <w:vAlign w:val="bottom"/>
            <w:hideMark/>
          </w:tcPr>
          <w:p w14:paraId="3530EA8D" w14:textId="77777777" w:rsidR="00C81D74" w:rsidRDefault="00C81D74">
            <w:pPr>
              <w:jc w:val="right"/>
              <w:rPr>
                <w:color w:val="000000"/>
                <w:sz w:val="20"/>
                <w:szCs w:val="20"/>
              </w:rPr>
            </w:pPr>
            <w:r>
              <w:rPr>
                <w:color w:val="000000"/>
                <w:sz w:val="20"/>
                <w:szCs w:val="20"/>
              </w:rPr>
              <w:t>0.001</w:t>
            </w:r>
          </w:p>
        </w:tc>
      </w:tr>
      <w:tr w:rsidR="00C81D74" w14:paraId="2F14DEB9" w14:textId="77777777" w:rsidTr="00FC6EA1">
        <w:trPr>
          <w:trHeight w:val="320"/>
        </w:trPr>
        <w:tc>
          <w:tcPr>
            <w:tcW w:w="1152" w:type="dxa"/>
            <w:tcBorders>
              <w:top w:val="nil"/>
              <w:left w:val="nil"/>
              <w:bottom w:val="nil"/>
              <w:right w:val="nil"/>
            </w:tcBorders>
            <w:shd w:val="clear" w:color="auto" w:fill="auto"/>
            <w:noWrap/>
            <w:vAlign w:val="bottom"/>
            <w:hideMark/>
          </w:tcPr>
          <w:p w14:paraId="76912EF7"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AC3BAAF" w14:textId="77777777" w:rsidR="00C81D74" w:rsidRDefault="00C81D74">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1DD9648" w14:textId="77777777" w:rsidR="00C81D74" w:rsidRDefault="00C81D74">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2CDAFF4E" w14:textId="77777777" w:rsidR="00C81D74" w:rsidRDefault="00C81D74">
            <w:pPr>
              <w:jc w:val="right"/>
              <w:rPr>
                <w:color w:val="000000"/>
                <w:sz w:val="20"/>
                <w:szCs w:val="20"/>
              </w:rPr>
            </w:pPr>
            <w:r>
              <w:rPr>
                <w:color w:val="000000"/>
                <w:sz w:val="20"/>
                <w:szCs w:val="20"/>
              </w:rPr>
              <w:t>0.581</w:t>
            </w:r>
          </w:p>
        </w:tc>
        <w:tc>
          <w:tcPr>
            <w:tcW w:w="864" w:type="dxa"/>
            <w:tcBorders>
              <w:top w:val="nil"/>
              <w:left w:val="nil"/>
              <w:bottom w:val="nil"/>
              <w:right w:val="nil"/>
            </w:tcBorders>
            <w:shd w:val="clear" w:color="auto" w:fill="auto"/>
            <w:noWrap/>
            <w:vAlign w:val="bottom"/>
            <w:hideMark/>
          </w:tcPr>
          <w:p w14:paraId="68812130"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CE314B7" w14:textId="77777777" w:rsidR="00C81D74" w:rsidRDefault="00C81D74">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E9E87FF" w14:textId="77777777" w:rsidR="00C81D74" w:rsidRDefault="00C81D74">
            <w:pPr>
              <w:jc w:val="right"/>
              <w:rPr>
                <w:color w:val="000000"/>
                <w:sz w:val="20"/>
                <w:szCs w:val="20"/>
              </w:rPr>
            </w:pPr>
            <w:r>
              <w:rPr>
                <w:color w:val="000000"/>
                <w:sz w:val="20"/>
                <w:szCs w:val="20"/>
              </w:rPr>
              <w:t>0.937</w:t>
            </w:r>
          </w:p>
        </w:tc>
        <w:tc>
          <w:tcPr>
            <w:tcW w:w="864" w:type="dxa"/>
            <w:tcBorders>
              <w:top w:val="nil"/>
              <w:left w:val="nil"/>
              <w:bottom w:val="nil"/>
              <w:right w:val="nil"/>
            </w:tcBorders>
            <w:shd w:val="clear" w:color="auto" w:fill="auto"/>
            <w:noWrap/>
            <w:vAlign w:val="bottom"/>
            <w:hideMark/>
          </w:tcPr>
          <w:p w14:paraId="52D42178" w14:textId="77777777" w:rsidR="00C81D74" w:rsidRDefault="00C81D74">
            <w:pPr>
              <w:jc w:val="right"/>
              <w:rPr>
                <w:color w:val="000000"/>
                <w:sz w:val="20"/>
                <w:szCs w:val="20"/>
              </w:rPr>
            </w:pPr>
            <w:r>
              <w:rPr>
                <w:color w:val="000000"/>
                <w:sz w:val="20"/>
                <w:szCs w:val="20"/>
              </w:rPr>
              <w:t>0.000</w:t>
            </w:r>
          </w:p>
        </w:tc>
      </w:tr>
      <w:tr w:rsidR="00C81D74" w14:paraId="160EFAD8" w14:textId="77777777" w:rsidTr="00FC6EA1">
        <w:trPr>
          <w:trHeight w:val="320"/>
        </w:trPr>
        <w:tc>
          <w:tcPr>
            <w:tcW w:w="1152" w:type="dxa"/>
            <w:tcBorders>
              <w:top w:val="nil"/>
              <w:left w:val="nil"/>
              <w:bottom w:val="nil"/>
              <w:right w:val="nil"/>
            </w:tcBorders>
            <w:shd w:val="clear" w:color="auto" w:fill="auto"/>
            <w:noWrap/>
            <w:vAlign w:val="bottom"/>
            <w:hideMark/>
          </w:tcPr>
          <w:p w14:paraId="4EB128C9"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D768F17" w14:textId="77777777" w:rsidR="00C81D74" w:rsidRDefault="00C81D74">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85C7106" w14:textId="77777777" w:rsidR="00C81D74" w:rsidRDefault="00C81D74">
            <w:pPr>
              <w:jc w:val="right"/>
              <w:rPr>
                <w:color w:val="000000"/>
                <w:sz w:val="20"/>
                <w:szCs w:val="20"/>
              </w:rPr>
            </w:pPr>
            <w:r>
              <w:rPr>
                <w:color w:val="000000"/>
                <w:sz w:val="20"/>
                <w:szCs w:val="20"/>
              </w:rPr>
              <w:t>-0.076</w:t>
            </w:r>
          </w:p>
        </w:tc>
        <w:tc>
          <w:tcPr>
            <w:tcW w:w="864" w:type="dxa"/>
            <w:tcBorders>
              <w:top w:val="nil"/>
              <w:left w:val="nil"/>
              <w:bottom w:val="nil"/>
              <w:right w:val="nil"/>
            </w:tcBorders>
            <w:shd w:val="clear" w:color="auto" w:fill="auto"/>
            <w:noWrap/>
            <w:vAlign w:val="bottom"/>
            <w:hideMark/>
          </w:tcPr>
          <w:p w14:paraId="1D68BCD6" w14:textId="77777777" w:rsidR="00C81D74" w:rsidRDefault="00C81D74">
            <w:pPr>
              <w:jc w:val="right"/>
              <w:rPr>
                <w:color w:val="000000"/>
                <w:sz w:val="20"/>
                <w:szCs w:val="20"/>
              </w:rPr>
            </w:pPr>
            <w:r>
              <w:rPr>
                <w:color w:val="000000"/>
                <w:sz w:val="20"/>
                <w:szCs w:val="20"/>
              </w:rPr>
              <w:t>0.294</w:t>
            </w:r>
          </w:p>
        </w:tc>
        <w:tc>
          <w:tcPr>
            <w:tcW w:w="864" w:type="dxa"/>
            <w:tcBorders>
              <w:top w:val="nil"/>
              <w:left w:val="nil"/>
              <w:bottom w:val="nil"/>
              <w:right w:val="nil"/>
            </w:tcBorders>
            <w:shd w:val="clear" w:color="auto" w:fill="auto"/>
            <w:noWrap/>
            <w:vAlign w:val="bottom"/>
            <w:hideMark/>
          </w:tcPr>
          <w:p w14:paraId="5621266C" w14:textId="77777777" w:rsidR="00C81D74" w:rsidRDefault="00C81D74">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50CBDE6A" w14:textId="77777777" w:rsidR="00C81D74" w:rsidRDefault="00C81D74">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382078E7" w14:textId="77777777" w:rsidR="00C81D74" w:rsidRDefault="00C81D74">
            <w:pPr>
              <w:jc w:val="right"/>
              <w:rPr>
                <w:color w:val="000000"/>
                <w:sz w:val="20"/>
                <w:szCs w:val="20"/>
              </w:rPr>
            </w:pPr>
            <w:r>
              <w:rPr>
                <w:color w:val="000000"/>
                <w:sz w:val="20"/>
                <w:szCs w:val="20"/>
              </w:rPr>
              <w:t>0.477</w:t>
            </w:r>
          </w:p>
        </w:tc>
        <w:tc>
          <w:tcPr>
            <w:tcW w:w="864" w:type="dxa"/>
            <w:tcBorders>
              <w:top w:val="nil"/>
              <w:left w:val="nil"/>
              <w:bottom w:val="nil"/>
              <w:right w:val="nil"/>
            </w:tcBorders>
            <w:shd w:val="clear" w:color="auto" w:fill="auto"/>
            <w:noWrap/>
            <w:vAlign w:val="bottom"/>
            <w:hideMark/>
          </w:tcPr>
          <w:p w14:paraId="50CAFB13" w14:textId="77777777" w:rsidR="00C81D74" w:rsidRDefault="00C81D74">
            <w:pPr>
              <w:jc w:val="right"/>
              <w:rPr>
                <w:color w:val="000000"/>
                <w:sz w:val="20"/>
                <w:szCs w:val="20"/>
              </w:rPr>
            </w:pPr>
            <w:r>
              <w:rPr>
                <w:color w:val="000000"/>
                <w:sz w:val="20"/>
                <w:szCs w:val="20"/>
              </w:rPr>
              <w:t>0.004</w:t>
            </w:r>
          </w:p>
        </w:tc>
      </w:tr>
      <w:tr w:rsidR="00C81D74" w14:paraId="05B5F1B7" w14:textId="77777777" w:rsidTr="00FC6EA1">
        <w:trPr>
          <w:trHeight w:val="320"/>
        </w:trPr>
        <w:tc>
          <w:tcPr>
            <w:tcW w:w="1152" w:type="dxa"/>
            <w:tcBorders>
              <w:top w:val="nil"/>
              <w:left w:val="nil"/>
              <w:bottom w:val="nil"/>
              <w:right w:val="nil"/>
            </w:tcBorders>
            <w:shd w:val="clear" w:color="auto" w:fill="auto"/>
            <w:noWrap/>
            <w:vAlign w:val="bottom"/>
            <w:hideMark/>
          </w:tcPr>
          <w:p w14:paraId="57B9FC5F"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513A26E" w14:textId="77777777" w:rsidR="00C81D74" w:rsidRDefault="00C81D74">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D4B083D" w14:textId="77777777" w:rsidR="00C81D74" w:rsidRDefault="00C81D74">
            <w:pPr>
              <w:jc w:val="right"/>
              <w:rPr>
                <w:color w:val="000000"/>
                <w:sz w:val="20"/>
                <w:szCs w:val="20"/>
              </w:rPr>
            </w:pPr>
            <w:r>
              <w:rPr>
                <w:color w:val="000000"/>
                <w:sz w:val="20"/>
                <w:szCs w:val="20"/>
              </w:rPr>
              <w:t>-0.075</w:t>
            </w:r>
          </w:p>
        </w:tc>
        <w:tc>
          <w:tcPr>
            <w:tcW w:w="864" w:type="dxa"/>
            <w:tcBorders>
              <w:top w:val="nil"/>
              <w:left w:val="nil"/>
              <w:bottom w:val="nil"/>
              <w:right w:val="nil"/>
            </w:tcBorders>
            <w:shd w:val="clear" w:color="auto" w:fill="auto"/>
            <w:noWrap/>
            <w:vAlign w:val="bottom"/>
            <w:hideMark/>
          </w:tcPr>
          <w:p w14:paraId="3287E16E" w14:textId="77777777" w:rsidR="00C81D74" w:rsidRDefault="00C81D74">
            <w:pPr>
              <w:jc w:val="right"/>
              <w:rPr>
                <w:color w:val="000000"/>
                <w:sz w:val="20"/>
                <w:szCs w:val="20"/>
              </w:rPr>
            </w:pPr>
            <w:r>
              <w:rPr>
                <w:color w:val="000000"/>
                <w:sz w:val="20"/>
                <w:szCs w:val="20"/>
              </w:rPr>
              <w:t>0.294</w:t>
            </w:r>
          </w:p>
        </w:tc>
        <w:tc>
          <w:tcPr>
            <w:tcW w:w="864" w:type="dxa"/>
            <w:tcBorders>
              <w:top w:val="nil"/>
              <w:left w:val="nil"/>
              <w:bottom w:val="nil"/>
              <w:right w:val="nil"/>
            </w:tcBorders>
            <w:shd w:val="clear" w:color="auto" w:fill="auto"/>
            <w:noWrap/>
            <w:vAlign w:val="bottom"/>
            <w:hideMark/>
          </w:tcPr>
          <w:p w14:paraId="21E00790" w14:textId="77777777" w:rsidR="00C81D74" w:rsidRDefault="00C81D74">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A8EE78C" w14:textId="77777777" w:rsidR="00C81D74" w:rsidRDefault="00C81D74">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47559D3B" w14:textId="77777777" w:rsidR="00C81D74" w:rsidRDefault="00C81D74">
            <w:pPr>
              <w:jc w:val="right"/>
              <w:rPr>
                <w:color w:val="000000"/>
                <w:sz w:val="20"/>
                <w:szCs w:val="20"/>
              </w:rPr>
            </w:pPr>
            <w:r>
              <w:rPr>
                <w:color w:val="000000"/>
                <w:sz w:val="20"/>
                <w:szCs w:val="20"/>
              </w:rPr>
              <w:t>0.477</w:t>
            </w:r>
          </w:p>
        </w:tc>
        <w:tc>
          <w:tcPr>
            <w:tcW w:w="864" w:type="dxa"/>
            <w:tcBorders>
              <w:top w:val="nil"/>
              <w:left w:val="nil"/>
              <w:bottom w:val="nil"/>
              <w:right w:val="nil"/>
            </w:tcBorders>
            <w:shd w:val="clear" w:color="auto" w:fill="auto"/>
            <w:noWrap/>
            <w:vAlign w:val="bottom"/>
            <w:hideMark/>
          </w:tcPr>
          <w:p w14:paraId="3A7DC331" w14:textId="77777777" w:rsidR="00C81D74" w:rsidRDefault="00C81D74">
            <w:pPr>
              <w:jc w:val="right"/>
              <w:rPr>
                <w:color w:val="000000"/>
                <w:sz w:val="20"/>
                <w:szCs w:val="20"/>
              </w:rPr>
            </w:pPr>
            <w:r>
              <w:rPr>
                <w:color w:val="000000"/>
                <w:sz w:val="20"/>
                <w:szCs w:val="20"/>
              </w:rPr>
              <w:t>0.004</w:t>
            </w:r>
          </w:p>
        </w:tc>
      </w:tr>
      <w:tr w:rsidR="00C81D74" w14:paraId="0E738348" w14:textId="77777777" w:rsidTr="00FC6EA1">
        <w:trPr>
          <w:trHeight w:val="320"/>
        </w:trPr>
        <w:tc>
          <w:tcPr>
            <w:tcW w:w="1152" w:type="dxa"/>
            <w:tcBorders>
              <w:top w:val="nil"/>
              <w:left w:val="nil"/>
              <w:bottom w:val="nil"/>
              <w:right w:val="nil"/>
            </w:tcBorders>
            <w:shd w:val="clear" w:color="auto" w:fill="auto"/>
            <w:noWrap/>
            <w:vAlign w:val="bottom"/>
            <w:hideMark/>
          </w:tcPr>
          <w:p w14:paraId="3006B4D3"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C53D71A" w14:textId="77777777" w:rsidR="00C81D74" w:rsidRDefault="00C81D74">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76FA8C3" w14:textId="77777777" w:rsidR="00C81D74" w:rsidRDefault="00C81D74">
            <w:pPr>
              <w:jc w:val="right"/>
              <w:rPr>
                <w:color w:val="000000"/>
                <w:sz w:val="20"/>
                <w:szCs w:val="20"/>
              </w:rPr>
            </w:pPr>
            <w:r>
              <w:rPr>
                <w:color w:val="000000"/>
                <w:sz w:val="20"/>
                <w:szCs w:val="20"/>
              </w:rPr>
              <w:t>-0.067</w:t>
            </w:r>
          </w:p>
        </w:tc>
        <w:tc>
          <w:tcPr>
            <w:tcW w:w="864" w:type="dxa"/>
            <w:tcBorders>
              <w:top w:val="nil"/>
              <w:left w:val="nil"/>
              <w:bottom w:val="nil"/>
              <w:right w:val="nil"/>
            </w:tcBorders>
            <w:shd w:val="clear" w:color="auto" w:fill="auto"/>
            <w:noWrap/>
            <w:vAlign w:val="bottom"/>
            <w:hideMark/>
          </w:tcPr>
          <w:p w14:paraId="61A9E9AD" w14:textId="77777777" w:rsidR="00C81D74" w:rsidRDefault="00C81D74">
            <w:pPr>
              <w:jc w:val="right"/>
              <w:rPr>
                <w:color w:val="000000"/>
                <w:sz w:val="20"/>
                <w:szCs w:val="20"/>
              </w:rPr>
            </w:pPr>
            <w:r>
              <w:rPr>
                <w:color w:val="000000"/>
                <w:sz w:val="20"/>
                <w:szCs w:val="20"/>
              </w:rPr>
              <w:t>0.294</w:t>
            </w:r>
          </w:p>
        </w:tc>
        <w:tc>
          <w:tcPr>
            <w:tcW w:w="864" w:type="dxa"/>
            <w:tcBorders>
              <w:top w:val="nil"/>
              <w:left w:val="nil"/>
              <w:bottom w:val="nil"/>
              <w:right w:val="nil"/>
            </w:tcBorders>
            <w:shd w:val="clear" w:color="auto" w:fill="auto"/>
            <w:noWrap/>
            <w:vAlign w:val="bottom"/>
            <w:hideMark/>
          </w:tcPr>
          <w:p w14:paraId="4E766B76" w14:textId="77777777" w:rsidR="00C81D74" w:rsidRDefault="00C81D74">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30057100" w14:textId="77777777" w:rsidR="00C81D74" w:rsidRDefault="00C81D74">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5BCCCC63" w14:textId="77777777" w:rsidR="00C81D74" w:rsidRDefault="00C81D74">
            <w:pPr>
              <w:jc w:val="right"/>
              <w:rPr>
                <w:color w:val="000000"/>
                <w:sz w:val="20"/>
                <w:szCs w:val="20"/>
              </w:rPr>
            </w:pPr>
            <w:r>
              <w:rPr>
                <w:color w:val="000000"/>
                <w:sz w:val="20"/>
                <w:szCs w:val="20"/>
              </w:rPr>
              <w:t>0.477</w:t>
            </w:r>
          </w:p>
        </w:tc>
        <w:tc>
          <w:tcPr>
            <w:tcW w:w="864" w:type="dxa"/>
            <w:tcBorders>
              <w:top w:val="nil"/>
              <w:left w:val="nil"/>
              <w:bottom w:val="nil"/>
              <w:right w:val="nil"/>
            </w:tcBorders>
            <w:shd w:val="clear" w:color="auto" w:fill="auto"/>
            <w:noWrap/>
            <w:vAlign w:val="bottom"/>
            <w:hideMark/>
          </w:tcPr>
          <w:p w14:paraId="5AC9E56E" w14:textId="77777777" w:rsidR="00C81D74" w:rsidRDefault="00C81D74">
            <w:pPr>
              <w:jc w:val="right"/>
              <w:rPr>
                <w:color w:val="000000"/>
                <w:sz w:val="20"/>
                <w:szCs w:val="20"/>
              </w:rPr>
            </w:pPr>
            <w:r>
              <w:rPr>
                <w:color w:val="000000"/>
                <w:sz w:val="20"/>
                <w:szCs w:val="20"/>
              </w:rPr>
              <w:t>0.003</w:t>
            </w:r>
          </w:p>
        </w:tc>
      </w:tr>
      <w:tr w:rsidR="00C81D74" w14:paraId="1484287D" w14:textId="77777777" w:rsidTr="00FC6EA1">
        <w:trPr>
          <w:trHeight w:val="320"/>
        </w:trPr>
        <w:tc>
          <w:tcPr>
            <w:tcW w:w="1152" w:type="dxa"/>
            <w:tcBorders>
              <w:top w:val="nil"/>
              <w:left w:val="nil"/>
              <w:bottom w:val="nil"/>
              <w:right w:val="nil"/>
            </w:tcBorders>
            <w:shd w:val="clear" w:color="auto" w:fill="auto"/>
            <w:noWrap/>
            <w:vAlign w:val="bottom"/>
            <w:hideMark/>
          </w:tcPr>
          <w:p w14:paraId="00801E3A"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E144BF8" w14:textId="77777777" w:rsidR="00C81D74" w:rsidRDefault="00C81D74">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BB34C12" w14:textId="77777777" w:rsidR="00C81D74" w:rsidRDefault="00C81D74">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287A582F" w14:textId="77777777" w:rsidR="00C81D74" w:rsidRDefault="00C81D74">
            <w:pPr>
              <w:jc w:val="right"/>
              <w:rPr>
                <w:color w:val="000000"/>
                <w:sz w:val="20"/>
                <w:szCs w:val="20"/>
              </w:rPr>
            </w:pPr>
            <w:r>
              <w:rPr>
                <w:color w:val="000000"/>
                <w:sz w:val="20"/>
                <w:szCs w:val="20"/>
              </w:rPr>
              <w:t>0.581</w:t>
            </w:r>
          </w:p>
        </w:tc>
        <w:tc>
          <w:tcPr>
            <w:tcW w:w="864" w:type="dxa"/>
            <w:tcBorders>
              <w:top w:val="nil"/>
              <w:left w:val="nil"/>
              <w:bottom w:val="nil"/>
              <w:right w:val="nil"/>
            </w:tcBorders>
            <w:shd w:val="clear" w:color="auto" w:fill="auto"/>
            <w:noWrap/>
            <w:vAlign w:val="bottom"/>
            <w:hideMark/>
          </w:tcPr>
          <w:p w14:paraId="7895D079"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66BA426" w14:textId="77777777" w:rsidR="00C81D74" w:rsidRDefault="00C81D74">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0A8518C1" w14:textId="77777777" w:rsidR="00C81D74" w:rsidRDefault="00C81D74">
            <w:pPr>
              <w:jc w:val="right"/>
              <w:rPr>
                <w:color w:val="000000"/>
                <w:sz w:val="20"/>
                <w:szCs w:val="20"/>
              </w:rPr>
            </w:pPr>
            <w:r>
              <w:rPr>
                <w:color w:val="000000"/>
                <w:sz w:val="20"/>
                <w:szCs w:val="20"/>
              </w:rPr>
              <w:t>0.712</w:t>
            </w:r>
          </w:p>
        </w:tc>
        <w:tc>
          <w:tcPr>
            <w:tcW w:w="864" w:type="dxa"/>
            <w:tcBorders>
              <w:top w:val="nil"/>
              <w:left w:val="nil"/>
              <w:bottom w:val="nil"/>
              <w:right w:val="nil"/>
            </w:tcBorders>
            <w:shd w:val="clear" w:color="auto" w:fill="auto"/>
            <w:noWrap/>
            <w:vAlign w:val="bottom"/>
            <w:hideMark/>
          </w:tcPr>
          <w:p w14:paraId="2F135A83" w14:textId="77777777" w:rsidR="00C81D74" w:rsidRDefault="00C81D74">
            <w:pPr>
              <w:jc w:val="right"/>
              <w:rPr>
                <w:color w:val="000000"/>
                <w:sz w:val="20"/>
                <w:szCs w:val="20"/>
              </w:rPr>
            </w:pPr>
            <w:r>
              <w:rPr>
                <w:color w:val="000000"/>
                <w:sz w:val="20"/>
                <w:szCs w:val="20"/>
              </w:rPr>
              <w:t>0.001</w:t>
            </w:r>
          </w:p>
        </w:tc>
      </w:tr>
      <w:tr w:rsidR="00C81D74" w14:paraId="73311C02" w14:textId="77777777" w:rsidTr="00FC6EA1">
        <w:trPr>
          <w:trHeight w:val="320"/>
        </w:trPr>
        <w:tc>
          <w:tcPr>
            <w:tcW w:w="1152" w:type="dxa"/>
            <w:tcBorders>
              <w:top w:val="nil"/>
              <w:left w:val="nil"/>
              <w:bottom w:val="nil"/>
              <w:right w:val="nil"/>
            </w:tcBorders>
            <w:shd w:val="clear" w:color="auto" w:fill="auto"/>
            <w:noWrap/>
            <w:vAlign w:val="bottom"/>
            <w:hideMark/>
          </w:tcPr>
          <w:p w14:paraId="2D11EF2B"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4112176" w14:textId="77777777" w:rsidR="00C81D74" w:rsidRDefault="00C81D74">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03D615E" w14:textId="77777777" w:rsidR="00C81D74" w:rsidRDefault="00C81D74">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0DCD2127" w14:textId="77777777" w:rsidR="00C81D74" w:rsidRDefault="00C81D74">
            <w:pPr>
              <w:jc w:val="right"/>
              <w:rPr>
                <w:color w:val="000000"/>
                <w:sz w:val="20"/>
                <w:szCs w:val="20"/>
              </w:rPr>
            </w:pPr>
            <w:r>
              <w:rPr>
                <w:color w:val="000000"/>
                <w:sz w:val="20"/>
                <w:szCs w:val="20"/>
              </w:rPr>
              <w:t>0.294</w:t>
            </w:r>
          </w:p>
        </w:tc>
        <w:tc>
          <w:tcPr>
            <w:tcW w:w="864" w:type="dxa"/>
            <w:tcBorders>
              <w:top w:val="nil"/>
              <w:left w:val="nil"/>
              <w:bottom w:val="nil"/>
              <w:right w:val="nil"/>
            </w:tcBorders>
            <w:shd w:val="clear" w:color="auto" w:fill="auto"/>
            <w:noWrap/>
            <w:vAlign w:val="bottom"/>
            <w:hideMark/>
          </w:tcPr>
          <w:p w14:paraId="117D8C05" w14:textId="77777777" w:rsidR="00C81D74" w:rsidRDefault="00C81D74">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8714DCC" w14:textId="77777777" w:rsidR="00C81D74" w:rsidRDefault="00C81D74">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4DC24481" w14:textId="77777777" w:rsidR="00C81D74" w:rsidRDefault="00C81D74">
            <w:pPr>
              <w:jc w:val="right"/>
              <w:rPr>
                <w:color w:val="000000"/>
                <w:sz w:val="20"/>
                <w:szCs w:val="20"/>
              </w:rPr>
            </w:pPr>
            <w:r>
              <w:rPr>
                <w:color w:val="000000"/>
                <w:sz w:val="20"/>
                <w:szCs w:val="20"/>
              </w:rPr>
              <w:t>0.712</w:t>
            </w:r>
          </w:p>
        </w:tc>
        <w:tc>
          <w:tcPr>
            <w:tcW w:w="864" w:type="dxa"/>
            <w:tcBorders>
              <w:top w:val="nil"/>
              <w:left w:val="nil"/>
              <w:bottom w:val="nil"/>
              <w:right w:val="nil"/>
            </w:tcBorders>
            <w:shd w:val="clear" w:color="auto" w:fill="auto"/>
            <w:noWrap/>
            <w:vAlign w:val="bottom"/>
            <w:hideMark/>
          </w:tcPr>
          <w:p w14:paraId="30CAE7F3" w14:textId="77777777" w:rsidR="00C81D74" w:rsidRDefault="00C81D74">
            <w:pPr>
              <w:jc w:val="right"/>
              <w:rPr>
                <w:color w:val="000000"/>
                <w:sz w:val="20"/>
                <w:szCs w:val="20"/>
              </w:rPr>
            </w:pPr>
            <w:r>
              <w:rPr>
                <w:color w:val="000000"/>
                <w:sz w:val="20"/>
                <w:szCs w:val="20"/>
              </w:rPr>
              <w:t>0.000</w:t>
            </w:r>
          </w:p>
        </w:tc>
      </w:tr>
      <w:tr w:rsidR="00C81D74" w14:paraId="56728333" w14:textId="77777777" w:rsidTr="00FC6EA1">
        <w:trPr>
          <w:trHeight w:val="320"/>
        </w:trPr>
        <w:tc>
          <w:tcPr>
            <w:tcW w:w="1152" w:type="dxa"/>
            <w:tcBorders>
              <w:top w:val="nil"/>
              <w:left w:val="nil"/>
              <w:bottom w:val="single" w:sz="4" w:space="0" w:color="auto"/>
              <w:right w:val="nil"/>
            </w:tcBorders>
            <w:shd w:val="clear" w:color="auto" w:fill="auto"/>
            <w:noWrap/>
            <w:vAlign w:val="bottom"/>
            <w:hideMark/>
          </w:tcPr>
          <w:p w14:paraId="3E0C648C" w14:textId="77777777" w:rsidR="00C81D74" w:rsidRDefault="00C81D74">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C7A3762" w14:textId="77777777" w:rsidR="00C81D74" w:rsidRDefault="00C81D74">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7AB9359" w14:textId="77777777" w:rsidR="00C81D74" w:rsidRDefault="00C81D74">
            <w:pPr>
              <w:jc w:val="right"/>
              <w:rPr>
                <w:color w:val="000000"/>
                <w:sz w:val="20"/>
                <w:szCs w:val="20"/>
              </w:rPr>
            </w:pPr>
            <w:r>
              <w:rPr>
                <w:color w:val="000000"/>
                <w:sz w:val="20"/>
                <w:szCs w:val="20"/>
              </w:rPr>
              <w:t>0.015</w:t>
            </w:r>
          </w:p>
        </w:tc>
        <w:tc>
          <w:tcPr>
            <w:tcW w:w="864" w:type="dxa"/>
            <w:tcBorders>
              <w:top w:val="nil"/>
              <w:left w:val="nil"/>
              <w:bottom w:val="single" w:sz="4" w:space="0" w:color="auto"/>
              <w:right w:val="nil"/>
            </w:tcBorders>
            <w:shd w:val="clear" w:color="auto" w:fill="auto"/>
            <w:noWrap/>
            <w:vAlign w:val="bottom"/>
            <w:hideMark/>
          </w:tcPr>
          <w:p w14:paraId="0C40BB24" w14:textId="77777777" w:rsidR="00C81D74" w:rsidRDefault="00C81D74">
            <w:pPr>
              <w:jc w:val="right"/>
              <w:rPr>
                <w:color w:val="000000"/>
                <w:sz w:val="20"/>
                <w:szCs w:val="20"/>
              </w:rPr>
            </w:pPr>
            <w:r>
              <w:rPr>
                <w:color w:val="000000"/>
                <w:sz w:val="20"/>
                <w:szCs w:val="20"/>
              </w:rPr>
              <w:t>0.694</w:t>
            </w:r>
          </w:p>
        </w:tc>
        <w:tc>
          <w:tcPr>
            <w:tcW w:w="864" w:type="dxa"/>
            <w:tcBorders>
              <w:top w:val="nil"/>
              <w:left w:val="nil"/>
              <w:bottom w:val="single" w:sz="4" w:space="0" w:color="auto"/>
              <w:right w:val="nil"/>
            </w:tcBorders>
            <w:shd w:val="clear" w:color="auto" w:fill="auto"/>
            <w:noWrap/>
            <w:vAlign w:val="bottom"/>
            <w:hideMark/>
          </w:tcPr>
          <w:p w14:paraId="2A5806A8"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E0425D0" w14:textId="77777777" w:rsidR="00C81D74" w:rsidRDefault="00C81D74">
            <w:pPr>
              <w:jc w:val="right"/>
              <w:rPr>
                <w:color w:val="000000"/>
                <w:sz w:val="20"/>
                <w:szCs w:val="20"/>
              </w:rPr>
            </w:pPr>
            <w:r>
              <w:rPr>
                <w:color w:val="000000"/>
                <w:sz w:val="20"/>
                <w:szCs w:val="20"/>
              </w:rPr>
              <w:t>0.019</w:t>
            </w:r>
          </w:p>
        </w:tc>
        <w:tc>
          <w:tcPr>
            <w:tcW w:w="864" w:type="dxa"/>
            <w:tcBorders>
              <w:top w:val="nil"/>
              <w:left w:val="nil"/>
              <w:bottom w:val="single" w:sz="4" w:space="0" w:color="auto"/>
              <w:right w:val="nil"/>
            </w:tcBorders>
            <w:shd w:val="clear" w:color="auto" w:fill="auto"/>
            <w:noWrap/>
            <w:vAlign w:val="bottom"/>
            <w:hideMark/>
          </w:tcPr>
          <w:p w14:paraId="502B5AAD" w14:textId="77777777" w:rsidR="00C81D74" w:rsidRDefault="00C81D74">
            <w:pPr>
              <w:jc w:val="right"/>
              <w:rPr>
                <w:color w:val="000000"/>
                <w:sz w:val="20"/>
                <w:szCs w:val="20"/>
              </w:rPr>
            </w:pPr>
            <w:r>
              <w:rPr>
                <w:color w:val="000000"/>
                <w:sz w:val="20"/>
                <w:szCs w:val="20"/>
              </w:rPr>
              <w:t>0.723</w:t>
            </w:r>
          </w:p>
        </w:tc>
        <w:tc>
          <w:tcPr>
            <w:tcW w:w="864" w:type="dxa"/>
            <w:tcBorders>
              <w:top w:val="nil"/>
              <w:left w:val="nil"/>
              <w:bottom w:val="single" w:sz="4" w:space="0" w:color="auto"/>
              <w:right w:val="nil"/>
            </w:tcBorders>
            <w:shd w:val="clear" w:color="auto" w:fill="auto"/>
            <w:noWrap/>
            <w:vAlign w:val="bottom"/>
            <w:hideMark/>
          </w:tcPr>
          <w:p w14:paraId="2A428EF1" w14:textId="77777777" w:rsidR="00C81D74" w:rsidRDefault="00C81D74">
            <w:pPr>
              <w:jc w:val="right"/>
              <w:rPr>
                <w:color w:val="000000"/>
                <w:sz w:val="20"/>
                <w:szCs w:val="20"/>
              </w:rPr>
            </w:pPr>
            <w:r>
              <w:rPr>
                <w:color w:val="000000"/>
                <w:sz w:val="20"/>
                <w:szCs w:val="20"/>
              </w:rPr>
              <w:t>0.000</w:t>
            </w:r>
          </w:p>
        </w:tc>
      </w:tr>
      <w:tr w:rsidR="00C81D74" w14:paraId="1D6C08DE" w14:textId="77777777" w:rsidTr="00FC6EA1">
        <w:trPr>
          <w:trHeight w:val="320"/>
        </w:trPr>
        <w:tc>
          <w:tcPr>
            <w:tcW w:w="1152" w:type="dxa"/>
            <w:tcBorders>
              <w:top w:val="nil"/>
              <w:left w:val="nil"/>
              <w:bottom w:val="nil"/>
              <w:right w:val="nil"/>
            </w:tcBorders>
            <w:shd w:val="clear" w:color="auto" w:fill="auto"/>
            <w:noWrap/>
            <w:vAlign w:val="bottom"/>
            <w:hideMark/>
          </w:tcPr>
          <w:p w14:paraId="02201898" w14:textId="77777777" w:rsidR="00C81D74" w:rsidRDefault="00C81D74">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245C2343" w14:textId="77777777" w:rsidR="00C81D74" w:rsidRDefault="00C81D74">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DC182FA" w14:textId="77777777" w:rsidR="00C81D74" w:rsidRDefault="00C81D74">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03CAA629" w14:textId="77777777" w:rsidR="00C81D74" w:rsidRDefault="00C81D74">
            <w:pPr>
              <w:jc w:val="right"/>
              <w:rPr>
                <w:color w:val="000000"/>
                <w:sz w:val="20"/>
                <w:szCs w:val="20"/>
              </w:rPr>
            </w:pPr>
            <w:r>
              <w:rPr>
                <w:color w:val="000000"/>
                <w:sz w:val="20"/>
                <w:szCs w:val="20"/>
              </w:rPr>
              <w:t>0.762</w:t>
            </w:r>
          </w:p>
        </w:tc>
        <w:tc>
          <w:tcPr>
            <w:tcW w:w="864" w:type="dxa"/>
            <w:tcBorders>
              <w:top w:val="nil"/>
              <w:left w:val="nil"/>
              <w:bottom w:val="nil"/>
              <w:right w:val="nil"/>
            </w:tcBorders>
            <w:shd w:val="clear" w:color="auto" w:fill="auto"/>
            <w:noWrap/>
            <w:vAlign w:val="bottom"/>
            <w:hideMark/>
          </w:tcPr>
          <w:p w14:paraId="105537C2"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048BE2E" w14:textId="77777777" w:rsidR="00C81D74" w:rsidRDefault="00C81D74">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1B4C718" w14:textId="77777777" w:rsidR="00C81D74" w:rsidRDefault="00C81D74">
            <w:pPr>
              <w:jc w:val="right"/>
              <w:rPr>
                <w:color w:val="000000"/>
                <w:sz w:val="20"/>
                <w:szCs w:val="20"/>
              </w:rPr>
            </w:pPr>
            <w:r>
              <w:rPr>
                <w:color w:val="000000"/>
                <w:sz w:val="20"/>
                <w:szCs w:val="20"/>
              </w:rPr>
              <w:t>0.829</w:t>
            </w:r>
          </w:p>
        </w:tc>
        <w:tc>
          <w:tcPr>
            <w:tcW w:w="864" w:type="dxa"/>
            <w:tcBorders>
              <w:top w:val="nil"/>
              <w:left w:val="nil"/>
              <w:bottom w:val="nil"/>
              <w:right w:val="nil"/>
            </w:tcBorders>
            <w:shd w:val="clear" w:color="auto" w:fill="auto"/>
            <w:noWrap/>
            <w:vAlign w:val="bottom"/>
            <w:hideMark/>
          </w:tcPr>
          <w:p w14:paraId="3F46E27F" w14:textId="77777777" w:rsidR="00C81D74" w:rsidRDefault="00C81D74">
            <w:pPr>
              <w:jc w:val="right"/>
              <w:rPr>
                <w:color w:val="000000"/>
                <w:sz w:val="20"/>
                <w:szCs w:val="20"/>
              </w:rPr>
            </w:pPr>
            <w:r>
              <w:rPr>
                <w:color w:val="000000"/>
                <w:sz w:val="20"/>
                <w:szCs w:val="20"/>
              </w:rPr>
              <w:t>0.000</w:t>
            </w:r>
          </w:p>
        </w:tc>
      </w:tr>
      <w:tr w:rsidR="00C81D74" w14:paraId="40F8CFEC" w14:textId="77777777" w:rsidTr="00FC6EA1">
        <w:trPr>
          <w:trHeight w:val="320"/>
        </w:trPr>
        <w:tc>
          <w:tcPr>
            <w:tcW w:w="1152" w:type="dxa"/>
            <w:tcBorders>
              <w:top w:val="nil"/>
              <w:left w:val="nil"/>
              <w:bottom w:val="nil"/>
              <w:right w:val="nil"/>
            </w:tcBorders>
            <w:shd w:val="clear" w:color="auto" w:fill="auto"/>
            <w:noWrap/>
            <w:vAlign w:val="bottom"/>
            <w:hideMark/>
          </w:tcPr>
          <w:p w14:paraId="549CE13F"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17A1B5C" w14:textId="77777777" w:rsidR="00C81D74" w:rsidRDefault="00C81D74">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4785A5B" w14:textId="77777777" w:rsidR="00C81D74" w:rsidRDefault="00C81D74">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782F4F43" w14:textId="77777777" w:rsidR="00C81D74" w:rsidRDefault="00C81D74">
            <w:pPr>
              <w:jc w:val="right"/>
              <w:rPr>
                <w:color w:val="000000"/>
                <w:sz w:val="20"/>
                <w:szCs w:val="20"/>
              </w:rPr>
            </w:pPr>
            <w:r>
              <w:rPr>
                <w:color w:val="000000"/>
                <w:sz w:val="20"/>
                <w:szCs w:val="20"/>
              </w:rPr>
              <w:t>0.762</w:t>
            </w:r>
          </w:p>
        </w:tc>
        <w:tc>
          <w:tcPr>
            <w:tcW w:w="864" w:type="dxa"/>
            <w:tcBorders>
              <w:top w:val="nil"/>
              <w:left w:val="nil"/>
              <w:bottom w:val="nil"/>
              <w:right w:val="nil"/>
            </w:tcBorders>
            <w:shd w:val="clear" w:color="auto" w:fill="auto"/>
            <w:noWrap/>
            <w:vAlign w:val="bottom"/>
            <w:hideMark/>
          </w:tcPr>
          <w:p w14:paraId="4A00C75C"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AECDE61" w14:textId="77777777" w:rsidR="00C81D74" w:rsidRDefault="00C81D74">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0C1BED6F" w14:textId="77777777" w:rsidR="00C81D74" w:rsidRDefault="00C81D74">
            <w:pPr>
              <w:jc w:val="right"/>
              <w:rPr>
                <w:color w:val="000000"/>
                <w:sz w:val="20"/>
                <w:szCs w:val="20"/>
              </w:rPr>
            </w:pPr>
            <w:r>
              <w:rPr>
                <w:color w:val="000000"/>
                <w:sz w:val="20"/>
                <w:szCs w:val="20"/>
              </w:rPr>
              <w:t>0.794</w:t>
            </w:r>
          </w:p>
        </w:tc>
        <w:tc>
          <w:tcPr>
            <w:tcW w:w="864" w:type="dxa"/>
            <w:tcBorders>
              <w:top w:val="nil"/>
              <w:left w:val="nil"/>
              <w:bottom w:val="nil"/>
              <w:right w:val="nil"/>
            </w:tcBorders>
            <w:shd w:val="clear" w:color="auto" w:fill="auto"/>
            <w:noWrap/>
            <w:vAlign w:val="bottom"/>
            <w:hideMark/>
          </w:tcPr>
          <w:p w14:paraId="267065A9" w14:textId="77777777" w:rsidR="00C81D74" w:rsidRDefault="00C81D74">
            <w:pPr>
              <w:jc w:val="right"/>
              <w:rPr>
                <w:color w:val="000000"/>
                <w:sz w:val="20"/>
                <w:szCs w:val="20"/>
              </w:rPr>
            </w:pPr>
            <w:r>
              <w:rPr>
                <w:color w:val="000000"/>
                <w:sz w:val="20"/>
                <w:szCs w:val="20"/>
              </w:rPr>
              <w:t>0.000</w:t>
            </w:r>
          </w:p>
        </w:tc>
      </w:tr>
      <w:tr w:rsidR="00C81D74" w14:paraId="002CE92C" w14:textId="77777777" w:rsidTr="00FC6EA1">
        <w:trPr>
          <w:trHeight w:val="320"/>
        </w:trPr>
        <w:tc>
          <w:tcPr>
            <w:tcW w:w="1152" w:type="dxa"/>
            <w:tcBorders>
              <w:top w:val="nil"/>
              <w:left w:val="nil"/>
              <w:bottom w:val="nil"/>
              <w:right w:val="nil"/>
            </w:tcBorders>
            <w:shd w:val="clear" w:color="auto" w:fill="auto"/>
            <w:noWrap/>
            <w:vAlign w:val="bottom"/>
            <w:hideMark/>
          </w:tcPr>
          <w:p w14:paraId="244D6E2C"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98854DE" w14:textId="77777777" w:rsidR="00C81D74" w:rsidRDefault="00C81D74">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E2C9C0C" w14:textId="77777777" w:rsidR="00C81D74" w:rsidRDefault="00C81D74">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606B3234" w14:textId="77777777" w:rsidR="00C81D74" w:rsidRDefault="00C81D74">
            <w:pPr>
              <w:jc w:val="right"/>
              <w:rPr>
                <w:color w:val="000000"/>
                <w:sz w:val="20"/>
                <w:szCs w:val="20"/>
              </w:rPr>
            </w:pPr>
            <w:r>
              <w:rPr>
                <w:color w:val="000000"/>
                <w:sz w:val="20"/>
                <w:szCs w:val="20"/>
              </w:rPr>
              <w:t>0.762</w:t>
            </w:r>
          </w:p>
        </w:tc>
        <w:tc>
          <w:tcPr>
            <w:tcW w:w="864" w:type="dxa"/>
            <w:tcBorders>
              <w:top w:val="nil"/>
              <w:left w:val="nil"/>
              <w:bottom w:val="nil"/>
              <w:right w:val="nil"/>
            </w:tcBorders>
            <w:shd w:val="clear" w:color="auto" w:fill="auto"/>
            <w:noWrap/>
            <w:vAlign w:val="bottom"/>
            <w:hideMark/>
          </w:tcPr>
          <w:p w14:paraId="0B71D76D"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9621E9B" w14:textId="77777777" w:rsidR="00C81D74" w:rsidRDefault="00C81D74">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343CE804" w14:textId="77777777" w:rsidR="00C81D74" w:rsidRDefault="00C81D74">
            <w:pPr>
              <w:jc w:val="right"/>
              <w:rPr>
                <w:color w:val="000000"/>
                <w:sz w:val="20"/>
                <w:szCs w:val="20"/>
              </w:rPr>
            </w:pPr>
            <w:r>
              <w:rPr>
                <w:color w:val="000000"/>
                <w:sz w:val="20"/>
                <w:szCs w:val="20"/>
              </w:rPr>
              <w:t>0.794</w:t>
            </w:r>
          </w:p>
        </w:tc>
        <w:tc>
          <w:tcPr>
            <w:tcW w:w="864" w:type="dxa"/>
            <w:tcBorders>
              <w:top w:val="nil"/>
              <w:left w:val="nil"/>
              <w:bottom w:val="nil"/>
              <w:right w:val="nil"/>
            </w:tcBorders>
            <w:shd w:val="clear" w:color="auto" w:fill="auto"/>
            <w:noWrap/>
            <w:vAlign w:val="bottom"/>
            <w:hideMark/>
          </w:tcPr>
          <w:p w14:paraId="1F9DB4C7" w14:textId="77777777" w:rsidR="00C81D74" w:rsidRDefault="00C81D74">
            <w:pPr>
              <w:jc w:val="right"/>
              <w:rPr>
                <w:color w:val="000000"/>
                <w:sz w:val="20"/>
                <w:szCs w:val="20"/>
              </w:rPr>
            </w:pPr>
            <w:r>
              <w:rPr>
                <w:color w:val="000000"/>
                <w:sz w:val="20"/>
                <w:szCs w:val="20"/>
              </w:rPr>
              <w:t>0.000</w:t>
            </w:r>
          </w:p>
        </w:tc>
      </w:tr>
      <w:tr w:rsidR="00C81D74" w14:paraId="5BC22BB8" w14:textId="77777777" w:rsidTr="00FC6EA1">
        <w:trPr>
          <w:trHeight w:val="320"/>
        </w:trPr>
        <w:tc>
          <w:tcPr>
            <w:tcW w:w="1152" w:type="dxa"/>
            <w:tcBorders>
              <w:top w:val="nil"/>
              <w:left w:val="nil"/>
              <w:bottom w:val="nil"/>
              <w:right w:val="nil"/>
            </w:tcBorders>
            <w:shd w:val="clear" w:color="auto" w:fill="auto"/>
            <w:noWrap/>
            <w:vAlign w:val="bottom"/>
            <w:hideMark/>
          </w:tcPr>
          <w:p w14:paraId="55F9FD46"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2763A6C" w14:textId="77777777" w:rsidR="00C81D74" w:rsidRDefault="00C81D74">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CAC4136" w14:textId="77777777" w:rsidR="00C81D74" w:rsidRDefault="00C81D74">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374E97C0" w14:textId="77777777" w:rsidR="00C81D74" w:rsidRDefault="00C81D74">
            <w:pPr>
              <w:jc w:val="right"/>
              <w:rPr>
                <w:color w:val="000000"/>
                <w:sz w:val="20"/>
                <w:szCs w:val="20"/>
              </w:rPr>
            </w:pPr>
            <w:r>
              <w:rPr>
                <w:color w:val="000000"/>
                <w:sz w:val="20"/>
                <w:szCs w:val="20"/>
              </w:rPr>
              <w:t>0.715</w:t>
            </w:r>
          </w:p>
        </w:tc>
        <w:tc>
          <w:tcPr>
            <w:tcW w:w="864" w:type="dxa"/>
            <w:tcBorders>
              <w:top w:val="nil"/>
              <w:left w:val="nil"/>
              <w:bottom w:val="nil"/>
              <w:right w:val="nil"/>
            </w:tcBorders>
            <w:shd w:val="clear" w:color="auto" w:fill="auto"/>
            <w:noWrap/>
            <w:vAlign w:val="bottom"/>
            <w:hideMark/>
          </w:tcPr>
          <w:p w14:paraId="5D206023" w14:textId="77777777" w:rsidR="00C81D74" w:rsidRDefault="00C81D74">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E15122E" w14:textId="77777777" w:rsidR="00C81D74" w:rsidRDefault="00C81D74">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49674507" w14:textId="77777777" w:rsidR="00C81D74" w:rsidRDefault="00C81D74">
            <w:pPr>
              <w:jc w:val="right"/>
              <w:rPr>
                <w:color w:val="000000"/>
                <w:sz w:val="20"/>
                <w:szCs w:val="20"/>
              </w:rPr>
            </w:pPr>
            <w:r>
              <w:rPr>
                <w:color w:val="000000"/>
                <w:sz w:val="20"/>
                <w:szCs w:val="20"/>
              </w:rPr>
              <w:t>0.584</w:t>
            </w:r>
          </w:p>
        </w:tc>
        <w:tc>
          <w:tcPr>
            <w:tcW w:w="864" w:type="dxa"/>
            <w:tcBorders>
              <w:top w:val="nil"/>
              <w:left w:val="nil"/>
              <w:bottom w:val="nil"/>
              <w:right w:val="nil"/>
            </w:tcBorders>
            <w:shd w:val="clear" w:color="auto" w:fill="auto"/>
            <w:noWrap/>
            <w:vAlign w:val="bottom"/>
            <w:hideMark/>
          </w:tcPr>
          <w:p w14:paraId="19D000FA" w14:textId="77777777" w:rsidR="00C81D74" w:rsidRDefault="00C81D74">
            <w:pPr>
              <w:jc w:val="right"/>
              <w:rPr>
                <w:color w:val="000000"/>
                <w:sz w:val="20"/>
                <w:szCs w:val="20"/>
              </w:rPr>
            </w:pPr>
            <w:r>
              <w:rPr>
                <w:color w:val="000000"/>
                <w:sz w:val="20"/>
                <w:szCs w:val="20"/>
              </w:rPr>
              <w:t>0.002</w:t>
            </w:r>
          </w:p>
        </w:tc>
      </w:tr>
      <w:tr w:rsidR="00C81D74" w14:paraId="33A842F7" w14:textId="77777777" w:rsidTr="00FC6EA1">
        <w:trPr>
          <w:trHeight w:val="320"/>
        </w:trPr>
        <w:tc>
          <w:tcPr>
            <w:tcW w:w="1152" w:type="dxa"/>
            <w:tcBorders>
              <w:top w:val="nil"/>
              <w:left w:val="nil"/>
              <w:bottom w:val="nil"/>
              <w:right w:val="nil"/>
            </w:tcBorders>
            <w:shd w:val="clear" w:color="auto" w:fill="auto"/>
            <w:noWrap/>
            <w:vAlign w:val="bottom"/>
            <w:hideMark/>
          </w:tcPr>
          <w:p w14:paraId="431414D3"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46FBA77" w14:textId="77777777" w:rsidR="00C81D74" w:rsidRDefault="00C81D74">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D5162EF" w14:textId="77777777" w:rsidR="00C81D74" w:rsidRDefault="00C81D74">
            <w:pPr>
              <w:jc w:val="right"/>
              <w:rPr>
                <w:color w:val="000000"/>
                <w:sz w:val="20"/>
                <w:szCs w:val="20"/>
              </w:rPr>
            </w:pPr>
            <w:r>
              <w:rPr>
                <w:color w:val="000000"/>
                <w:sz w:val="20"/>
                <w:szCs w:val="20"/>
              </w:rPr>
              <w:t>-0.082</w:t>
            </w:r>
          </w:p>
        </w:tc>
        <w:tc>
          <w:tcPr>
            <w:tcW w:w="864" w:type="dxa"/>
            <w:tcBorders>
              <w:top w:val="nil"/>
              <w:left w:val="nil"/>
              <w:bottom w:val="nil"/>
              <w:right w:val="nil"/>
            </w:tcBorders>
            <w:shd w:val="clear" w:color="auto" w:fill="auto"/>
            <w:noWrap/>
            <w:vAlign w:val="bottom"/>
            <w:hideMark/>
          </w:tcPr>
          <w:p w14:paraId="364D66D5" w14:textId="77777777" w:rsidR="00C81D74" w:rsidRDefault="00C81D74">
            <w:pPr>
              <w:jc w:val="right"/>
              <w:rPr>
                <w:color w:val="000000"/>
                <w:sz w:val="20"/>
                <w:szCs w:val="20"/>
              </w:rPr>
            </w:pPr>
            <w:r>
              <w:rPr>
                <w:color w:val="000000"/>
                <w:sz w:val="20"/>
                <w:szCs w:val="20"/>
              </w:rPr>
              <w:t>0.136</w:t>
            </w:r>
          </w:p>
        </w:tc>
        <w:tc>
          <w:tcPr>
            <w:tcW w:w="864" w:type="dxa"/>
            <w:tcBorders>
              <w:top w:val="nil"/>
              <w:left w:val="nil"/>
              <w:bottom w:val="nil"/>
              <w:right w:val="nil"/>
            </w:tcBorders>
            <w:shd w:val="clear" w:color="auto" w:fill="auto"/>
            <w:noWrap/>
            <w:vAlign w:val="bottom"/>
            <w:hideMark/>
          </w:tcPr>
          <w:p w14:paraId="526EC488" w14:textId="77777777" w:rsidR="00C81D74" w:rsidRDefault="00C81D74">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E76765C" w14:textId="77777777" w:rsidR="00C81D74" w:rsidRDefault="00C81D74">
            <w:pPr>
              <w:jc w:val="right"/>
              <w:rPr>
                <w:color w:val="000000"/>
                <w:sz w:val="20"/>
                <w:szCs w:val="20"/>
              </w:rPr>
            </w:pPr>
            <w:r>
              <w:rPr>
                <w:color w:val="000000"/>
                <w:sz w:val="20"/>
                <w:szCs w:val="20"/>
              </w:rPr>
              <w:t>-0.073</w:t>
            </w:r>
          </w:p>
        </w:tc>
        <w:tc>
          <w:tcPr>
            <w:tcW w:w="864" w:type="dxa"/>
            <w:tcBorders>
              <w:top w:val="nil"/>
              <w:left w:val="nil"/>
              <w:bottom w:val="nil"/>
              <w:right w:val="nil"/>
            </w:tcBorders>
            <w:shd w:val="clear" w:color="auto" w:fill="auto"/>
            <w:noWrap/>
            <w:vAlign w:val="bottom"/>
            <w:hideMark/>
          </w:tcPr>
          <w:p w14:paraId="21A7A946" w14:textId="77777777" w:rsidR="00C81D74" w:rsidRDefault="00C81D74">
            <w:pPr>
              <w:jc w:val="right"/>
              <w:rPr>
                <w:color w:val="000000"/>
                <w:sz w:val="20"/>
                <w:szCs w:val="20"/>
              </w:rPr>
            </w:pPr>
            <w:r>
              <w:rPr>
                <w:color w:val="000000"/>
                <w:sz w:val="20"/>
                <w:szCs w:val="20"/>
              </w:rPr>
              <w:t>0.200</w:t>
            </w:r>
          </w:p>
        </w:tc>
        <w:tc>
          <w:tcPr>
            <w:tcW w:w="864" w:type="dxa"/>
            <w:tcBorders>
              <w:top w:val="nil"/>
              <w:left w:val="nil"/>
              <w:bottom w:val="nil"/>
              <w:right w:val="nil"/>
            </w:tcBorders>
            <w:shd w:val="clear" w:color="auto" w:fill="auto"/>
            <w:noWrap/>
            <w:vAlign w:val="bottom"/>
            <w:hideMark/>
          </w:tcPr>
          <w:p w14:paraId="3815B407" w14:textId="77777777" w:rsidR="00C81D74" w:rsidRDefault="00C81D74">
            <w:pPr>
              <w:jc w:val="right"/>
              <w:rPr>
                <w:color w:val="000000"/>
                <w:sz w:val="20"/>
                <w:szCs w:val="20"/>
              </w:rPr>
            </w:pPr>
            <w:r>
              <w:rPr>
                <w:color w:val="000000"/>
                <w:sz w:val="20"/>
                <w:szCs w:val="20"/>
              </w:rPr>
              <w:t>0.005</w:t>
            </w:r>
          </w:p>
        </w:tc>
      </w:tr>
      <w:tr w:rsidR="00C81D74" w14:paraId="432AC376" w14:textId="77777777" w:rsidTr="00FC6EA1">
        <w:trPr>
          <w:trHeight w:val="320"/>
        </w:trPr>
        <w:tc>
          <w:tcPr>
            <w:tcW w:w="1152" w:type="dxa"/>
            <w:tcBorders>
              <w:top w:val="nil"/>
              <w:left w:val="nil"/>
              <w:bottom w:val="nil"/>
              <w:right w:val="nil"/>
            </w:tcBorders>
            <w:shd w:val="clear" w:color="auto" w:fill="auto"/>
            <w:noWrap/>
            <w:vAlign w:val="bottom"/>
            <w:hideMark/>
          </w:tcPr>
          <w:p w14:paraId="591DD013"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7C45AA4" w14:textId="77777777" w:rsidR="00C81D74" w:rsidRDefault="00C81D74">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2D63B70" w14:textId="77777777" w:rsidR="00C81D74" w:rsidRDefault="00C81D74">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1FB32D2D" w14:textId="77777777" w:rsidR="00C81D74" w:rsidRDefault="00C81D74">
            <w:pPr>
              <w:jc w:val="right"/>
              <w:rPr>
                <w:color w:val="000000"/>
                <w:sz w:val="20"/>
                <w:szCs w:val="20"/>
              </w:rPr>
            </w:pPr>
            <w:r>
              <w:rPr>
                <w:color w:val="000000"/>
                <w:sz w:val="20"/>
                <w:szCs w:val="20"/>
              </w:rPr>
              <w:t>0.762</w:t>
            </w:r>
          </w:p>
        </w:tc>
        <w:tc>
          <w:tcPr>
            <w:tcW w:w="864" w:type="dxa"/>
            <w:tcBorders>
              <w:top w:val="nil"/>
              <w:left w:val="nil"/>
              <w:bottom w:val="nil"/>
              <w:right w:val="nil"/>
            </w:tcBorders>
            <w:shd w:val="clear" w:color="auto" w:fill="auto"/>
            <w:noWrap/>
            <w:vAlign w:val="bottom"/>
            <w:hideMark/>
          </w:tcPr>
          <w:p w14:paraId="37D8E9FF"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7959C87" w14:textId="77777777" w:rsidR="00C81D74" w:rsidRDefault="00C81D74">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61A2A60E" w14:textId="77777777" w:rsidR="00C81D74" w:rsidRDefault="00C81D74">
            <w:pPr>
              <w:jc w:val="right"/>
              <w:rPr>
                <w:color w:val="000000"/>
                <w:sz w:val="20"/>
                <w:szCs w:val="20"/>
              </w:rPr>
            </w:pPr>
            <w:r>
              <w:rPr>
                <w:color w:val="000000"/>
                <w:sz w:val="20"/>
                <w:szCs w:val="20"/>
              </w:rPr>
              <w:t>0.794</w:t>
            </w:r>
          </w:p>
        </w:tc>
        <w:tc>
          <w:tcPr>
            <w:tcW w:w="864" w:type="dxa"/>
            <w:tcBorders>
              <w:top w:val="nil"/>
              <w:left w:val="nil"/>
              <w:bottom w:val="nil"/>
              <w:right w:val="nil"/>
            </w:tcBorders>
            <w:shd w:val="clear" w:color="auto" w:fill="auto"/>
            <w:noWrap/>
            <w:vAlign w:val="bottom"/>
            <w:hideMark/>
          </w:tcPr>
          <w:p w14:paraId="37C95E13" w14:textId="77777777" w:rsidR="00C81D74" w:rsidRDefault="00C81D74">
            <w:pPr>
              <w:jc w:val="right"/>
              <w:rPr>
                <w:color w:val="000000"/>
                <w:sz w:val="20"/>
                <w:szCs w:val="20"/>
              </w:rPr>
            </w:pPr>
            <w:r>
              <w:rPr>
                <w:color w:val="000000"/>
                <w:sz w:val="20"/>
                <w:szCs w:val="20"/>
              </w:rPr>
              <w:t>0.000</w:t>
            </w:r>
          </w:p>
        </w:tc>
      </w:tr>
      <w:tr w:rsidR="00C81D74" w14:paraId="441267AF" w14:textId="77777777" w:rsidTr="00FC6EA1">
        <w:trPr>
          <w:trHeight w:val="320"/>
        </w:trPr>
        <w:tc>
          <w:tcPr>
            <w:tcW w:w="1152" w:type="dxa"/>
            <w:tcBorders>
              <w:top w:val="nil"/>
              <w:left w:val="nil"/>
              <w:bottom w:val="nil"/>
              <w:right w:val="nil"/>
            </w:tcBorders>
            <w:shd w:val="clear" w:color="auto" w:fill="auto"/>
            <w:noWrap/>
            <w:vAlign w:val="bottom"/>
            <w:hideMark/>
          </w:tcPr>
          <w:p w14:paraId="5A99676C"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A21871B" w14:textId="77777777" w:rsidR="00C81D74" w:rsidRDefault="00C81D74">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348EDBB" w14:textId="77777777" w:rsidR="00C81D74" w:rsidRDefault="00C81D74">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1FD4C706" w14:textId="77777777" w:rsidR="00C81D74" w:rsidRDefault="00C81D74">
            <w:pPr>
              <w:jc w:val="right"/>
              <w:rPr>
                <w:color w:val="000000"/>
                <w:sz w:val="20"/>
                <w:szCs w:val="20"/>
              </w:rPr>
            </w:pPr>
            <w:r>
              <w:rPr>
                <w:color w:val="000000"/>
                <w:sz w:val="20"/>
                <w:szCs w:val="20"/>
              </w:rPr>
              <w:t>0.648</w:t>
            </w:r>
          </w:p>
        </w:tc>
        <w:tc>
          <w:tcPr>
            <w:tcW w:w="864" w:type="dxa"/>
            <w:tcBorders>
              <w:top w:val="nil"/>
              <w:left w:val="nil"/>
              <w:bottom w:val="nil"/>
              <w:right w:val="nil"/>
            </w:tcBorders>
            <w:shd w:val="clear" w:color="auto" w:fill="auto"/>
            <w:noWrap/>
            <w:vAlign w:val="bottom"/>
            <w:hideMark/>
          </w:tcPr>
          <w:p w14:paraId="40E3EB7A" w14:textId="77777777" w:rsidR="00C81D74" w:rsidRDefault="00C81D74">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2CD7DF1" w14:textId="77777777" w:rsidR="00C81D74" w:rsidRDefault="00C81D74">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20653921" w14:textId="77777777" w:rsidR="00C81D74" w:rsidRDefault="00C81D74">
            <w:pPr>
              <w:jc w:val="right"/>
              <w:rPr>
                <w:color w:val="000000"/>
                <w:sz w:val="20"/>
                <w:szCs w:val="20"/>
              </w:rPr>
            </w:pPr>
            <w:r>
              <w:rPr>
                <w:color w:val="000000"/>
                <w:sz w:val="20"/>
                <w:szCs w:val="20"/>
              </w:rPr>
              <w:t>0.794</w:t>
            </w:r>
          </w:p>
        </w:tc>
        <w:tc>
          <w:tcPr>
            <w:tcW w:w="864" w:type="dxa"/>
            <w:tcBorders>
              <w:top w:val="nil"/>
              <w:left w:val="nil"/>
              <w:bottom w:val="nil"/>
              <w:right w:val="nil"/>
            </w:tcBorders>
            <w:shd w:val="clear" w:color="auto" w:fill="auto"/>
            <w:noWrap/>
            <w:vAlign w:val="bottom"/>
            <w:hideMark/>
          </w:tcPr>
          <w:p w14:paraId="664D71C4" w14:textId="77777777" w:rsidR="00C81D74" w:rsidRDefault="00C81D74">
            <w:pPr>
              <w:jc w:val="right"/>
              <w:rPr>
                <w:color w:val="000000"/>
                <w:sz w:val="20"/>
                <w:szCs w:val="20"/>
              </w:rPr>
            </w:pPr>
            <w:r>
              <w:rPr>
                <w:color w:val="000000"/>
                <w:sz w:val="20"/>
                <w:szCs w:val="20"/>
              </w:rPr>
              <w:t>0.001</w:t>
            </w:r>
          </w:p>
        </w:tc>
      </w:tr>
      <w:tr w:rsidR="00C81D74" w14:paraId="2A2801B7" w14:textId="77777777" w:rsidTr="00FC6EA1">
        <w:trPr>
          <w:trHeight w:val="320"/>
        </w:trPr>
        <w:tc>
          <w:tcPr>
            <w:tcW w:w="1152" w:type="dxa"/>
            <w:tcBorders>
              <w:top w:val="nil"/>
              <w:left w:val="nil"/>
              <w:bottom w:val="single" w:sz="4" w:space="0" w:color="auto"/>
              <w:right w:val="nil"/>
            </w:tcBorders>
            <w:shd w:val="clear" w:color="auto" w:fill="auto"/>
            <w:noWrap/>
            <w:vAlign w:val="bottom"/>
            <w:hideMark/>
          </w:tcPr>
          <w:p w14:paraId="11208B9B" w14:textId="77777777" w:rsidR="00C81D74" w:rsidRDefault="00C81D74">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898636C" w14:textId="77777777" w:rsidR="00C81D74" w:rsidRDefault="00C81D74">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92ADCDB" w14:textId="77777777" w:rsidR="00C81D74" w:rsidRDefault="00C81D74">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7C67A75B" w14:textId="77777777" w:rsidR="00C81D74" w:rsidRDefault="00C81D74">
            <w:pPr>
              <w:jc w:val="right"/>
              <w:rPr>
                <w:color w:val="000000"/>
                <w:sz w:val="20"/>
                <w:szCs w:val="20"/>
              </w:rPr>
            </w:pPr>
            <w:r>
              <w:rPr>
                <w:color w:val="000000"/>
                <w:sz w:val="20"/>
                <w:szCs w:val="20"/>
              </w:rPr>
              <w:t>0.762</w:t>
            </w:r>
          </w:p>
        </w:tc>
        <w:tc>
          <w:tcPr>
            <w:tcW w:w="864" w:type="dxa"/>
            <w:tcBorders>
              <w:top w:val="nil"/>
              <w:left w:val="nil"/>
              <w:bottom w:val="single" w:sz="4" w:space="0" w:color="auto"/>
              <w:right w:val="nil"/>
            </w:tcBorders>
            <w:shd w:val="clear" w:color="auto" w:fill="auto"/>
            <w:noWrap/>
            <w:vAlign w:val="bottom"/>
            <w:hideMark/>
          </w:tcPr>
          <w:p w14:paraId="2F8C3A2E"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31A0D4BF" w14:textId="77777777" w:rsidR="00C81D74" w:rsidRDefault="00C81D74">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020E7BA8" w14:textId="77777777" w:rsidR="00C81D74" w:rsidRDefault="00C81D74">
            <w:pPr>
              <w:jc w:val="right"/>
              <w:rPr>
                <w:color w:val="000000"/>
                <w:sz w:val="20"/>
                <w:szCs w:val="20"/>
              </w:rPr>
            </w:pPr>
            <w:r>
              <w:rPr>
                <w:color w:val="000000"/>
                <w:sz w:val="20"/>
                <w:szCs w:val="20"/>
              </w:rPr>
              <w:t>0.794</w:t>
            </w:r>
          </w:p>
        </w:tc>
        <w:tc>
          <w:tcPr>
            <w:tcW w:w="864" w:type="dxa"/>
            <w:tcBorders>
              <w:top w:val="nil"/>
              <w:left w:val="nil"/>
              <w:bottom w:val="single" w:sz="4" w:space="0" w:color="auto"/>
              <w:right w:val="nil"/>
            </w:tcBorders>
            <w:shd w:val="clear" w:color="auto" w:fill="auto"/>
            <w:noWrap/>
            <w:vAlign w:val="bottom"/>
            <w:hideMark/>
          </w:tcPr>
          <w:p w14:paraId="00AA8E76" w14:textId="77777777" w:rsidR="00C81D74" w:rsidRDefault="00C81D74">
            <w:pPr>
              <w:jc w:val="right"/>
              <w:rPr>
                <w:color w:val="000000"/>
                <w:sz w:val="20"/>
                <w:szCs w:val="20"/>
              </w:rPr>
            </w:pPr>
            <w:r>
              <w:rPr>
                <w:color w:val="000000"/>
                <w:sz w:val="20"/>
                <w:szCs w:val="20"/>
              </w:rPr>
              <w:t>0.000</w:t>
            </w:r>
          </w:p>
        </w:tc>
      </w:tr>
      <w:tr w:rsidR="00C81D74" w14:paraId="378FF472" w14:textId="77777777" w:rsidTr="00FC6EA1">
        <w:trPr>
          <w:trHeight w:val="320"/>
        </w:trPr>
        <w:tc>
          <w:tcPr>
            <w:tcW w:w="1152" w:type="dxa"/>
            <w:tcBorders>
              <w:top w:val="nil"/>
              <w:left w:val="nil"/>
              <w:bottom w:val="nil"/>
              <w:right w:val="nil"/>
            </w:tcBorders>
            <w:shd w:val="clear" w:color="auto" w:fill="auto"/>
            <w:noWrap/>
            <w:vAlign w:val="bottom"/>
            <w:hideMark/>
          </w:tcPr>
          <w:p w14:paraId="5BD68078" w14:textId="77777777" w:rsidR="00C81D74" w:rsidRDefault="00C81D74">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4F0B7517" w14:textId="77777777" w:rsidR="00C81D74" w:rsidRDefault="00C81D74">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597CE53" w14:textId="77777777" w:rsidR="00C81D74" w:rsidRDefault="00C81D74">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BD2E6E6" w14:textId="77777777" w:rsidR="00C81D74" w:rsidRDefault="00C81D74">
            <w:pPr>
              <w:jc w:val="right"/>
              <w:rPr>
                <w:color w:val="000000"/>
                <w:sz w:val="20"/>
                <w:szCs w:val="20"/>
              </w:rPr>
            </w:pPr>
            <w:r>
              <w:rPr>
                <w:color w:val="000000"/>
                <w:sz w:val="20"/>
                <w:szCs w:val="20"/>
              </w:rPr>
              <w:t>0.846</w:t>
            </w:r>
          </w:p>
        </w:tc>
        <w:tc>
          <w:tcPr>
            <w:tcW w:w="864" w:type="dxa"/>
            <w:tcBorders>
              <w:top w:val="nil"/>
              <w:left w:val="nil"/>
              <w:bottom w:val="nil"/>
              <w:right w:val="nil"/>
            </w:tcBorders>
            <w:shd w:val="clear" w:color="auto" w:fill="auto"/>
            <w:noWrap/>
            <w:vAlign w:val="bottom"/>
            <w:hideMark/>
          </w:tcPr>
          <w:p w14:paraId="54F0C77E"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422009F" w14:textId="77777777" w:rsidR="00C81D74" w:rsidRDefault="00C81D74">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177E910E" w14:textId="77777777" w:rsidR="00C81D74" w:rsidRDefault="00C81D74">
            <w:pPr>
              <w:jc w:val="right"/>
              <w:rPr>
                <w:color w:val="000000"/>
                <w:sz w:val="20"/>
                <w:szCs w:val="20"/>
              </w:rPr>
            </w:pPr>
            <w:r>
              <w:rPr>
                <w:color w:val="000000"/>
                <w:sz w:val="20"/>
                <w:szCs w:val="20"/>
              </w:rPr>
              <w:t>0.972</w:t>
            </w:r>
          </w:p>
        </w:tc>
        <w:tc>
          <w:tcPr>
            <w:tcW w:w="864" w:type="dxa"/>
            <w:tcBorders>
              <w:top w:val="nil"/>
              <w:left w:val="nil"/>
              <w:bottom w:val="nil"/>
              <w:right w:val="nil"/>
            </w:tcBorders>
            <w:shd w:val="clear" w:color="auto" w:fill="auto"/>
            <w:noWrap/>
            <w:vAlign w:val="bottom"/>
            <w:hideMark/>
          </w:tcPr>
          <w:p w14:paraId="6D8F8FE3" w14:textId="77777777" w:rsidR="00C81D74" w:rsidRDefault="00C81D74">
            <w:pPr>
              <w:jc w:val="right"/>
              <w:rPr>
                <w:color w:val="000000"/>
                <w:sz w:val="20"/>
                <w:szCs w:val="20"/>
              </w:rPr>
            </w:pPr>
            <w:r>
              <w:rPr>
                <w:color w:val="000000"/>
                <w:sz w:val="20"/>
                <w:szCs w:val="20"/>
              </w:rPr>
              <w:t>0.000</w:t>
            </w:r>
          </w:p>
        </w:tc>
      </w:tr>
      <w:tr w:rsidR="00C81D74" w14:paraId="3C2572BB" w14:textId="77777777" w:rsidTr="00FC6EA1">
        <w:trPr>
          <w:trHeight w:val="320"/>
        </w:trPr>
        <w:tc>
          <w:tcPr>
            <w:tcW w:w="1152" w:type="dxa"/>
            <w:tcBorders>
              <w:top w:val="nil"/>
              <w:left w:val="nil"/>
              <w:bottom w:val="nil"/>
              <w:right w:val="nil"/>
            </w:tcBorders>
            <w:shd w:val="clear" w:color="auto" w:fill="auto"/>
            <w:noWrap/>
            <w:vAlign w:val="bottom"/>
            <w:hideMark/>
          </w:tcPr>
          <w:p w14:paraId="28A1925B"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7877D6" w14:textId="77777777" w:rsidR="00C81D74" w:rsidRDefault="00C81D74">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D9A3138" w14:textId="77777777" w:rsidR="00C81D74" w:rsidRDefault="00C81D74">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1F5F2170" w14:textId="77777777" w:rsidR="00C81D74" w:rsidRDefault="00C81D74">
            <w:pPr>
              <w:jc w:val="right"/>
              <w:rPr>
                <w:color w:val="000000"/>
                <w:sz w:val="20"/>
                <w:szCs w:val="20"/>
              </w:rPr>
            </w:pPr>
            <w:r>
              <w:rPr>
                <w:color w:val="000000"/>
                <w:sz w:val="20"/>
                <w:szCs w:val="20"/>
              </w:rPr>
              <w:t>0.846</w:t>
            </w:r>
          </w:p>
        </w:tc>
        <w:tc>
          <w:tcPr>
            <w:tcW w:w="864" w:type="dxa"/>
            <w:tcBorders>
              <w:top w:val="nil"/>
              <w:left w:val="nil"/>
              <w:bottom w:val="nil"/>
              <w:right w:val="nil"/>
            </w:tcBorders>
            <w:shd w:val="clear" w:color="auto" w:fill="auto"/>
            <w:noWrap/>
            <w:vAlign w:val="bottom"/>
            <w:hideMark/>
          </w:tcPr>
          <w:p w14:paraId="1F929557"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577E14D" w14:textId="77777777" w:rsidR="00C81D74" w:rsidRDefault="00C81D74">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730B37BD" w14:textId="77777777" w:rsidR="00C81D74" w:rsidRDefault="00C81D74">
            <w:pPr>
              <w:jc w:val="right"/>
              <w:rPr>
                <w:color w:val="000000"/>
                <w:sz w:val="20"/>
                <w:szCs w:val="20"/>
              </w:rPr>
            </w:pPr>
            <w:r>
              <w:rPr>
                <w:color w:val="000000"/>
                <w:sz w:val="20"/>
                <w:szCs w:val="20"/>
              </w:rPr>
              <w:t>0.972</w:t>
            </w:r>
          </w:p>
        </w:tc>
        <w:tc>
          <w:tcPr>
            <w:tcW w:w="864" w:type="dxa"/>
            <w:tcBorders>
              <w:top w:val="nil"/>
              <w:left w:val="nil"/>
              <w:bottom w:val="nil"/>
              <w:right w:val="nil"/>
            </w:tcBorders>
            <w:shd w:val="clear" w:color="auto" w:fill="auto"/>
            <w:noWrap/>
            <w:vAlign w:val="bottom"/>
            <w:hideMark/>
          </w:tcPr>
          <w:p w14:paraId="106635AA" w14:textId="77777777" w:rsidR="00C81D74" w:rsidRDefault="00C81D74">
            <w:pPr>
              <w:jc w:val="right"/>
              <w:rPr>
                <w:color w:val="000000"/>
                <w:sz w:val="20"/>
                <w:szCs w:val="20"/>
              </w:rPr>
            </w:pPr>
            <w:r>
              <w:rPr>
                <w:color w:val="000000"/>
                <w:sz w:val="20"/>
                <w:szCs w:val="20"/>
              </w:rPr>
              <w:t>0.000</w:t>
            </w:r>
          </w:p>
        </w:tc>
      </w:tr>
      <w:tr w:rsidR="00C81D74" w14:paraId="72F0B47F" w14:textId="77777777" w:rsidTr="00FC6EA1">
        <w:trPr>
          <w:trHeight w:val="320"/>
        </w:trPr>
        <w:tc>
          <w:tcPr>
            <w:tcW w:w="1152" w:type="dxa"/>
            <w:tcBorders>
              <w:top w:val="nil"/>
              <w:left w:val="nil"/>
              <w:bottom w:val="nil"/>
              <w:right w:val="nil"/>
            </w:tcBorders>
            <w:shd w:val="clear" w:color="auto" w:fill="auto"/>
            <w:noWrap/>
            <w:vAlign w:val="bottom"/>
            <w:hideMark/>
          </w:tcPr>
          <w:p w14:paraId="03AF3DB7"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4DF376C" w14:textId="77777777" w:rsidR="00C81D74" w:rsidRDefault="00C81D74">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25E0EF0" w14:textId="77777777" w:rsidR="00C81D74" w:rsidRDefault="00C81D74">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5D6FEBD2" w14:textId="77777777" w:rsidR="00C81D74" w:rsidRDefault="00C81D74">
            <w:pPr>
              <w:jc w:val="right"/>
              <w:rPr>
                <w:color w:val="000000"/>
                <w:sz w:val="20"/>
                <w:szCs w:val="20"/>
              </w:rPr>
            </w:pPr>
            <w:r>
              <w:rPr>
                <w:color w:val="000000"/>
                <w:sz w:val="20"/>
                <w:szCs w:val="20"/>
              </w:rPr>
              <w:t>0.704</w:t>
            </w:r>
          </w:p>
        </w:tc>
        <w:tc>
          <w:tcPr>
            <w:tcW w:w="864" w:type="dxa"/>
            <w:tcBorders>
              <w:top w:val="nil"/>
              <w:left w:val="nil"/>
              <w:bottom w:val="nil"/>
              <w:right w:val="nil"/>
            </w:tcBorders>
            <w:shd w:val="clear" w:color="auto" w:fill="auto"/>
            <w:noWrap/>
            <w:vAlign w:val="bottom"/>
            <w:hideMark/>
          </w:tcPr>
          <w:p w14:paraId="29B6C0F1"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314955F" w14:textId="77777777" w:rsidR="00C81D74" w:rsidRDefault="00C81D74">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27B343B7" w14:textId="77777777" w:rsidR="00C81D74" w:rsidRDefault="00C81D74">
            <w:pPr>
              <w:jc w:val="right"/>
              <w:rPr>
                <w:color w:val="000000"/>
                <w:sz w:val="20"/>
                <w:szCs w:val="20"/>
              </w:rPr>
            </w:pPr>
            <w:r>
              <w:rPr>
                <w:color w:val="000000"/>
                <w:sz w:val="20"/>
                <w:szCs w:val="20"/>
              </w:rPr>
              <w:t>0.972</w:t>
            </w:r>
          </w:p>
        </w:tc>
        <w:tc>
          <w:tcPr>
            <w:tcW w:w="864" w:type="dxa"/>
            <w:tcBorders>
              <w:top w:val="nil"/>
              <w:left w:val="nil"/>
              <w:bottom w:val="nil"/>
              <w:right w:val="nil"/>
            </w:tcBorders>
            <w:shd w:val="clear" w:color="auto" w:fill="auto"/>
            <w:noWrap/>
            <w:vAlign w:val="bottom"/>
            <w:hideMark/>
          </w:tcPr>
          <w:p w14:paraId="23399408" w14:textId="77777777" w:rsidR="00C81D74" w:rsidRDefault="00C81D74">
            <w:pPr>
              <w:jc w:val="right"/>
              <w:rPr>
                <w:color w:val="000000"/>
                <w:sz w:val="20"/>
                <w:szCs w:val="20"/>
              </w:rPr>
            </w:pPr>
            <w:r>
              <w:rPr>
                <w:color w:val="000000"/>
                <w:sz w:val="20"/>
                <w:szCs w:val="20"/>
              </w:rPr>
              <w:t>0.000</w:t>
            </w:r>
          </w:p>
        </w:tc>
      </w:tr>
      <w:tr w:rsidR="00C81D74" w14:paraId="547A37A1" w14:textId="77777777" w:rsidTr="00FC6EA1">
        <w:trPr>
          <w:trHeight w:val="320"/>
        </w:trPr>
        <w:tc>
          <w:tcPr>
            <w:tcW w:w="1152" w:type="dxa"/>
            <w:tcBorders>
              <w:top w:val="nil"/>
              <w:left w:val="nil"/>
              <w:bottom w:val="nil"/>
              <w:right w:val="nil"/>
            </w:tcBorders>
            <w:shd w:val="clear" w:color="auto" w:fill="auto"/>
            <w:noWrap/>
            <w:vAlign w:val="bottom"/>
            <w:hideMark/>
          </w:tcPr>
          <w:p w14:paraId="174951D1"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2D48521" w14:textId="77777777" w:rsidR="00C81D74" w:rsidRDefault="00C81D74">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E044AC2" w14:textId="77777777" w:rsidR="00C81D74" w:rsidRDefault="00C81D74">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65B4D369" w14:textId="77777777" w:rsidR="00C81D74" w:rsidRDefault="00C81D74">
            <w:pPr>
              <w:jc w:val="right"/>
              <w:rPr>
                <w:color w:val="000000"/>
                <w:sz w:val="20"/>
                <w:szCs w:val="20"/>
              </w:rPr>
            </w:pPr>
            <w:r>
              <w:rPr>
                <w:color w:val="000000"/>
                <w:sz w:val="20"/>
                <w:szCs w:val="20"/>
              </w:rPr>
              <w:t>0.704</w:t>
            </w:r>
          </w:p>
        </w:tc>
        <w:tc>
          <w:tcPr>
            <w:tcW w:w="864" w:type="dxa"/>
            <w:tcBorders>
              <w:top w:val="nil"/>
              <w:left w:val="nil"/>
              <w:bottom w:val="nil"/>
              <w:right w:val="nil"/>
            </w:tcBorders>
            <w:shd w:val="clear" w:color="auto" w:fill="auto"/>
            <w:noWrap/>
            <w:vAlign w:val="bottom"/>
            <w:hideMark/>
          </w:tcPr>
          <w:p w14:paraId="651F424D"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B3F7809" w14:textId="77777777" w:rsidR="00C81D74" w:rsidRDefault="00C81D74">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4CECD8F8" w14:textId="77777777" w:rsidR="00C81D74" w:rsidRDefault="00C81D74">
            <w:pPr>
              <w:jc w:val="right"/>
              <w:rPr>
                <w:color w:val="000000"/>
                <w:sz w:val="20"/>
                <w:szCs w:val="20"/>
              </w:rPr>
            </w:pPr>
            <w:r>
              <w:rPr>
                <w:color w:val="000000"/>
                <w:sz w:val="20"/>
                <w:szCs w:val="20"/>
              </w:rPr>
              <w:t>0.580</w:t>
            </w:r>
          </w:p>
        </w:tc>
        <w:tc>
          <w:tcPr>
            <w:tcW w:w="864" w:type="dxa"/>
            <w:tcBorders>
              <w:top w:val="nil"/>
              <w:left w:val="nil"/>
              <w:bottom w:val="nil"/>
              <w:right w:val="nil"/>
            </w:tcBorders>
            <w:shd w:val="clear" w:color="auto" w:fill="auto"/>
            <w:noWrap/>
            <w:vAlign w:val="bottom"/>
            <w:hideMark/>
          </w:tcPr>
          <w:p w14:paraId="354C8AEB" w14:textId="77777777" w:rsidR="00C81D74" w:rsidRDefault="00C81D74">
            <w:pPr>
              <w:jc w:val="right"/>
              <w:rPr>
                <w:color w:val="000000"/>
                <w:sz w:val="20"/>
                <w:szCs w:val="20"/>
              </w:rPr>
            </w:pPr>
            <w:r>
              <w:rPr>
                <w:color w:val="000000"/>
                <w:sz w:val="20"/>
                <w:szCs w:val="20"/>
              </w:rPr>
              <w:t>0.001</w:t>
            </w:r>
          </w:p>
        </w:tc>
      </w:tr>
      <w:tr w:rsidR="00C81D74" w14:paraId="6EED34D4" w14:textId="77777777" w:rsidTr="00FC6EA1">
        <w:trPr>
          <w:trHeight w:val="320"/>
        </w:trPr>
        <w:tc>
          <w:tcPr>
            <w:tcW w:w="1152" w:type="dxa"/>
            <w:tcBorders>
              <w:top w:val="nil"/>
              <w:left w:val="nil"/>
              <w:bottom w:val="nil"/>
              <w:right w:val="nil"/>
            </w:tcBorders>
            <w:shd w:val="clear" w:color="auto" w:fill="auto"/>
            <w:noWrap/>
            <w:vAlign w:val="bottom"/>
            <w:hideMark/>
          </w:tcPr>
          <w:p w14:paraId="6FB508A8"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F1A07D3" w14:textId="77777777" w:rsidR="00C81D74" w:rsidRDefault="00C81D74">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4AAE79D" w14:textId="77777777" w:rsidR="00C81D74" w:rsidRDefault="00C81D74">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5B847A8E" w14:textId="77777777" w:rsidR="00C81D74" w:rsidRDefault="00C81D74">
            <w:pPr>
              <w:jc w:val="right"/>
              <w:rPr>
                <w:color w:val="000000"/>
                <w:sz w:val="20"/>
                <w:szCs w:val="20"/>
              </w:rPr>
            </w:pPr>
            <w:r>
              <w:rPr>
                <w:color w:val="000000"/>
                <w:sz w:val="20"/>
                <w:szCs w:val="20"/>
              </w:rPr>
              <w:t>0.704</w:t>
            </w:r>
          </w:p>
        </w:tc>
        <w:tc>
          <w:tcPr>
            <w:tcW w:w="864" w:type="dxa"/>
            <w:tcBorders>
              <w:top w:val="nil"/>
              <w:left w:val="nil"/>
              <w:bottom w:val="nil"/>
              <w:right w:val="nil"/>
            </w:tcBorders>
            <w:shd w:val="clear" w:color="auto" w:fill="auto"/>
            <w:noWrap/>
            <w:vAlign w:val="bottom"/>
            <w:hideMark/>
          </w:tcPr>
          <w:p w14:paraId="045E71A1"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639F160" w14:textId="77777777" w:rsidR="00C81D74" w:rsidRDefault="00C81D74">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67EDB914" w14:textId="77777777" w:rsidR="00C81D74" w:rsidRDefault="00C81D74">
            <w:pPr>
              <w:jc w:val="right"/>
              <w:rPr>
                <w:color w:val="000000"/>
                <w:sz w:val="20"/>
                <w:szCs w:val="20"/>
              </w:rPr>
            </w:pPr>
            <w:r>
              <w:rPr>
                <w:color w:val="000000"/>
                <w:sz w:val="20"/>
                <w:szCs w:val="20"/>
              </w:rPr>
              <w:t>0.580</w:t>
            </w:r>
          </w:p>
        </w:tc>
        <w:tc>
          <w:tcPr>
            <w:tcW w:w="864" w:type="dxa"/>
            <w:tcBorders>
              <w:top w:val="nil"/>
              <w:left w:val="nil"/>
              <w:bottom w:val="nil"/>
              <w:right w:val="nil"/>
            </w:tcBorders>
            <w:shd w:val="clear" w:color="auto" w:fill="auto"/>
            <w:noWrap/>
            <w:vAlign w:val="bottom"/>
            <w:hideMark/>
          </w:tcPr>
          <w:p w14:paraId="25E21FDD" w14:textId="77777777" w:rsidR="00C81D74" w:rsidRDefault="00C81D74">
            <w:pPr>
              <w:jc w:val="right"/>
              <w:rPr>
                <w:color w:val="000000"/>
                <w:sz w:val="20"/>
                <w:szCs w:val="20"/>
              </w:rPr>
            </w:pPr>
            <w:r>
              <w:rPr>
                <w:color w:val="000000"/>
                <w:sz w:val="20"/>
                <w:szCs w:val="20"/>
              </w:rPr>
              <w:t>0.001</w:t>
            </w:r>
          </w:p>
        </w:tc>
      </w:tr>
      <w:tr w:rsidR="00C81D74" w14:paraId="0E104C96" w14:textId="77777777" w:rsidTr="00FC6EA1">
        <w:trPr>
          <w:trHeight w:val="320"/>
        </w:trPr>
        <w:tc>
          <w:tcPr>
            <w:tcW w:w="1152" w:type="dxa"/>
            <w:tcBorders>
              <w:top w:val="nil"/>
              <w:left w:val="nil"/>
              <w:bottom w:val="nil"/>
              <w:right w:val="nil"/>
            </w:tcBorders>
            <w:shd w:val="clear" w:color="auto" w:fill="auto"/>
            <w:noWrap/>
            <w:vAlign w:val="bottom"/>
            <w:hideMark/>
          </w:tcPr>
          <w:p w14:paraId="1D10972A"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83DA56" w14:textId="77777777" w:rsidR="00C81D74" w:rsidRDefault="00C81D74">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D5BD1EE" w14:textId="77777777" w:rsidR="00C81D74" w:rsidRDefault="00C81D74">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46919C9C" w14:textId="77777777" w:rsidR="00C81D74" w:rsidRDefault="00C81D74">
            <w:pPr>
              <w:jc w:val="right"/>
              <w:rPr>
                <w:color w:val="000000"/>
                <w:sz w:val="20"/>
                <w:szCs w:val="20"/>
              </w:rPr>
            </w:pPr>
            <w:r>
              <w:rPr>
                <w:color w:val="000000"/>
                <w:sz w:val="20"/>
                <w:szCs w:val="20"/>
              </w:rPr>
              <w:t>0.704</w:t>
            </w:r>
          </w:p>
        </w:tc>
        <w:tc>
          <w:tcPr>
            <w:tcW w:w="864" w:type="dxa"/>
            <w:tcBorders>
              <w:top w:val="nil"/>
              <w:left w:val="nil"/>
              <w:bottom w:val="nil"/>
              <w:right w:val="nil"/>
            </w:tcBorders>
            <w:shd w:val="clear" w:color="auto" w:fill="auto"/>
            <w:noWrap/>
            <w:vAlign w:val="bottom"/>
            <w:hideMark/>
          </w:tcPr>
          <w:p w14:paraId="5B31DDF8"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31D5002"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6931932" w14:textId="77777777" w:rsidR="00C81D74" w:rsidRDefault="00C81D74">
            <w:pPr>
              <w:jc w:val="right"/>
              <w:rPr>
                <w:color w:val="000000"/>
                <w:sz w:val="20"/>
                <w:szCs w:val="20"/>
              </w:rPr>
            </w:pPr>
            <w:r>
              <w:rPr>
                <w:color w:val="000000"/>
                <w:sz w:val="20"/>
                <w:szCs w:val="20"/>
              </w:rPr>
              <w:t>0.972</w:t>
            </w:r>
          </w:p>
        </w:tc>
        <w:tc>
          <w:tcPr>
            <w:tcW w:w="864" w:type="dxa"/>
            <w:tcBorders>
              <w:top w:val="nil"/>
              <w:left w:val="nil"/>
              <w:bottom w:val="nil"/>
              <w:right w:val="nil"/>
            </w:tcBorders>
            <w:shd w:val="clear" w:color="auto" w:fill="auto"/>
            <w:noWrap/>
            <w:vAlign w:val="bottom"/>
            <w:hideMark/>
          </w:tcPr>
          <w:p w14:paraId="443A5D0B" w14:textId="77777777" w:rsidR="00C81D74" w:rsidRDefault="00C81D74">
            <w:pPr>
              <w:jc w:val="right"/>
              <w:rPr>
                <w:color w:val="000000"/>
                <w:sz w:val="20"/>
                <w:szCs w:val="20"/>
              </w:rPr>
            </w:pPr>
            <w:r>
              <w:rPr>
                <w:color w:val="000000"/>
                <w:sz w:val="20"/>
                <w:szCs w:val="20"/>
              </w:rPr>
              <w:t>0.000</w:t>
            </w:r>
          </w:p>
        </w:tc>
      </w:tr>
      <w:tr w:rsidR="00C81D74" w14:paraId="30BD6AC1" w14:textId="77777777" w:rsidTr="00FC6EA1">
        <w:trPr>
          <w:trHeight w:val="320"/>
        </w:trPr>
        <w:tc>
          <w:tcPr>
            <w:tcW w:w="1152" w:type="dxa"/>
            <w:tcBorders>
              <w:top w:val="nil"/>
              <w:left w:val="nil"/>
              <w:bottom w:val="nil"/>
              <w:right w:val="nil"/>
            </w:tcBorders>
            <w:shd w:val="clear" w:color="auto" w:fill="auto"/>
            <w:noWrap/>
            <w:vAlign w:val="bottom"/>
            <w:hideMark/>
          </w:tcPr>
          <w:p w14:paraId="2256C4F3" w14:textId="77777777" w:rsidR="00C81D74" w:rsidRDefault="00C81D74">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5CE696D" w14:textId="77777777" w:rsidR="00C81D74" w:rsidRDefault="00C81D74">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AAF81EC" w14:textId="77777777" w:rsidR="00C81D74" w:rsidRDefault="00C81D74">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0A17F003" w14:textId="77777777" w:rsidR="00C81D74" w:rsidRDefault="00C81D74">
            <w:pPr>
              <w:jc w:val="right"/>
              <w:rPr>
                <w:color w:val="000000"/>
                <w:sz w:val="20"/>
                <w:szCs w:val="20"/>
              </w:rPr>
            </w:pPr>
            <w:r>
              <w:rPr>
                <w:color w:val="000000"/>
                <w:sz w:val="20"/>
                <w:szCs w:val="20"/>
              </w:rPr>
              <w:t>0.704</w:t>
            </w:r>
          </w:p>
        </w:tc>
        <w:tc>
          <w:tcPr>
            <w:tcW w:w="864" w:type="dxa"/>
            <w:tcBorders>
              <w:top w:val="nil"/>
              <w:left w:val="nil"/>
              <w:bottom w:val="nil"/>
              <w:right w:val="nil"/>
            </w:tcBorders>
            <w:shd w:val="clear" w:color="auto" w:fill="auto"/>
            <w:noWrap/>
            <w:vAlign w:val="bottom"/>
            <w:hideMark/>
          </w:tcPr>
          <w:p w14:paraId="535F5C2F" w14:textId="77777777" w:rsidR="00C81D74" w:rsidRDefault="00C81D74">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C6060A7" w14:textId="77777777" w:rsidR="00C81D74" w:rsidRDefault="00C81D74">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68689785" w14:textId="77777777" w:rsidR="00C81D74" w:rsidRDefault="00C81D74">
            <w:pPr>
              <w:jc w:val="right"/>
              <w:rPr>
                <w:color w:val="000000"/>
                <w:sz w:val="20"/>
                <w:szCs w:val="20"/>
              </w:rPr>
            </w:pPr>
            <w:r>
              <w:rPr>
                <w:color w:val="000000"/>
                <w:sz w:val="20"/>
                <w:szCs w:val="20"/>
              </w:rPr>
              <w:t>0.580</w:t>
            </w:r>
          </w:p>
        </w:tc>
        <w:tc>
          <w:tcPr>
            <w:tcW w:w="864" w:type="dxa"/>
            <w:tcBorders>
              <w:top w:val="nil"/>
              <w:left w:val="nil"/>
              <w:bottom w:val="nil"/>
              <w:right w:val="nil"/>
            </w:tcBorders>
            <w:shd w:val="clear" w:color="auto" w:fill="auto"/>
            <w:noWrap/>
            <w:vAlign w:val="bottom"/>
            <w:hideMark/>
          </w:tcPr>
          <w:p w14:paraId="0F89B3A5" w14:textId="77777777" w:rsidR="00C81D74" w:rsidRDefault="00C81D74">
            <w:pPr>
              <w:jc w:val="right"/>
              <w:rPr>
                <w:color w:val="000000"/>
                <w:sz w:val="20"/>
                <w:szCs w:val="20"/>
              </w:rPr>
            </w:pPr>
            <w:r>
              <w:rPr>
                <w:color w:val="000000"/>
                <w:sz w:val="20"/>
                <w:szCs w:val="20"/>
              </w:rPr>
              <w:t>0.001</w:t>
            </w:r>
          </w:p>
        </w:tc>
      </w:tr>
      <w:tr w:rsidR="00C81D74" w14:paraId="09D6AB99"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6DB52F39" w14:textId="77777777" w:rsidR="00C81D74" w:rsidRDefault="00C81D74">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5AE197FD" w14:textId="77777777" w:rsidR="00C81D74" w:rsidRDefault="00C81D74">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1B90AF89" w14:textId="77777777" w:rsidR="00C81D74" w:rsidRDefault="00C81D74">
            <w:pPr>
              <w:jc w:val="right"/>
              <w:rPr>
                <w:color w:val="000000"/>
                <w:sz w:val="20"/>
                <w:szCs w:val="20"/>
              </w:rPr>
            </w:pPr>
            <w:r>
              <w:rPr>
                <w:color w:val="000000"/>
                <w:sz w:val="20"/>
                <w:szCs w:val="20"/>
              </w:rPr>
              <w:t>0.021</w:t>
            </w:r>
          </w:p>
        </w:tc>
        <w:tc>
          <w:tcPr>
            <w:tcW w:w="864" w:type="dxa"/>
            <w:tcBorders>
              <w:top w:val="nil"/>
              <w:left w:val="nil"/>
              <w:bottom w:val="single" w:sz="12" w:space="0" w:color="auto"/>
              <w:right w:val="nil"/>
            </w:tcBorders>
            <w:shd w:val="clear" w:color="auto" w:fill="auto"/>
            <w:noWrap/>
            <w:vAlign w:val="bottom"/>
            <w:hideMark/>
          </w:tcPr>
          <w:p w14:paraId="18AAE075" w14:textId="77777777" w:rsidR="00C81D74" w:rsidRDefault="00C81D74">
            <w:pPr>
              <w:jc w:val="right"/>
              <w:rPr>
                <w:color w:val="000000"/>
                <w:sz w:val="20"/>
                <w:szCs w:val="20"/>
              </w:rPr>
            </w:pPr>
            <w:r>
              <w:rPr>
                <w:color w:val="000000"/>
                <w:sz w:val="20"/>
                <w:szCs w:val="20"/>
              </w:rPr>
              <w:t>0.704</w:t>
            </w:r>
          </w:p>
        </w:tc>
        <w:tc>
          <w:tcPr>
            <w:tcW w:w="864" w:type="dxa"/>
            <w:tcBorders>
              <w:top w:val="nil"/>
              <w:left w:val="nil"/>
              <w:bottom w:val="single" w:sz="12" w:space="0" w:color="auto"/>
              <w:right w:val="nil"/>
            </w:tcBorders>
            <w:shd w:val="clear" w:color="auto" w:fill="auto"/>
            <w:noWrap/>
            <w:vAlign w:val="bottom"/>
            <w:hideMark/>
          </w:tcPr>
          <w:p w14:paraId="6E719921" w14:textId="77777777" w:rsidR="00C81D74" w:rsidRDefault="00C81D74">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170C82C6" w14:textId="77777777" w:rsidR="00C81D74" w:rsidRDefault="00C81D74">
            <w:pPr>
              <w:jc w:val="right"/>
              <w:rPr>
                <w:color w:val="000000"/>
                <w:sz w:val="20"/>
                <w:szCs w:val="20"/>
              </w:rPr>
            </w:pPr>
            <w:r>
              <w:rPr>
                <w:color w:val="000000"/>
                <w:sz w:val="20"/>
                <w:szCs w:val="20"/>
              </w:rPr>
              <w:t>0.034</w:t>
            </w:r>
          </w:p>
        </w:tc>
        <w:tc>
          <w:tcPr>
            <w:tcW w:w="864" w:type="dxa"/>
            <w:tcBorders>
              <w:top w:val="nil"/>
              <w:left w:val="nil"/>
              <w:bottom w:val="single" w:sz="12" w:space="0" w:color="auto"/>
              <w:right w:val="nil"/>
            </w:tcBorders>
            <w:shd w:val="clear" w:color="auto" w:fill="auto"/>
            <w:noWrap/>
            <w:vAlign w:val="bottom"/>
            <w:hideMark/>
          </w:tcPr>
          <w:p w14:paraId="56019C1A" w14:textId="77777777" w:rsidR="00C81D74" w:rsidRDefault="00C81D74">
            <w:pPr>
              <w:jc w:val="right"/>
              <w:rPr>
                <w:color w:val="000000"/>
                <w:sz w:val="20"/>
                <w:szCs w:val="20"/>
              </w:rPr>
            </w:pPr>
            <w:r>
              <w:rPr>
                <w:color w:val="000000"/>
                <w:sz w:val="20"/>
                <w:szCs w:val="20"/>
              </w:rPr>
              <w:t>0.580</w:t>
            </w:r>
          </w:p>
        </w:tc>
        <w:tc>
          <w:tcPr>
            <w:tcW w:w="864" w:type="dxa"/>
            <w:tcBorders>
              <w:top w:val="nil"/>
              <w:left w:val="nil"/>
              <w:bottom w:val="single" w:sz="12" w:space="0" w:color="auto"/>
              <w:right w:val="nil"/>
            </w:tcBorders>
            <w:shd w:val="clear" w:color="auto" w:fill="auto"/>
            <w:noWrap/>
            <w:vAlign w:val="bottom"/>
            <w:hideMark/>
          </w:tcPr>
          <w:p w14:paraId="16CE77CD" w14:textId="77777777" w:rsidR="00C81D74" w:rsidRDefault="00C81D74">
            <w:pPr>
              <w:jc w:val="right"/>
              <w:rPr>
                <w:color w:val="000000"/>
                <w:sz w:val="20"/>
                <w:szCs w:val="20"/>
              </w:rPr>
            </w:pPr>
            <w:r>
              <w:rPr>
                <w:color w:val="000000"/>
                <w:sz w:val="20"/>
                <w:szCs w:val="20"/>
              </w:rPr>
              <w:t>0.001</w:t>
            </w:r>
          </w:p>
        </w:tc>
      </w:tr>
      <w:tr w:rsidR="00C81D74" w14:paraId="1BFAA6E2"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B81C1EF" w14:textId="77777777" w:rsidR="00C81D74" w:rsidRDefault="00C81D74">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0BF9ADE4" w14:textId="77777777" w:rsidR="00C81D74" w:rsidRDefault="00C81D7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490C2EC" w14:textId="77777777" w:rsidR="00C81D74" w:rsidRDefault="00C81D7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09288F6" w14:textId="77777777" w:rsidR="00C81D74" w:rsidRDefault="00C81D7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09D2C2B" w14:textId="77777777" w:rsidR="00C81D74" w:rsidRDefault="00C81D7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8B44F8E" w14:textId="77777777" w:rsidR="00C81D74" w:rsidRDefault="00C81D7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85CBD92" w14:textId="77777777" w:rsidR="00C81D74" w:rsidRDefault="00C81D74">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8E172B7" w14:textId="77777777" w:rsidR="00C81D74" w:rsidRDefault="00C81D74">
            <w:pPr>
              <w:rPr>
                <w:sz w:val="20"/>
                <w:szCs w:val="20"/>
              </w:rPr>
            </w:pPr>
          </w:p>
        </w:tc>
      </w:tr>
    </w:tbl>
    <w:p w14:paraId="48B84C3A" w14:textId="3A8527B2" w:rsidR="00C71316" w:rsidRDefault="00C71316" w:rsidP="0047742A">
      <w:pPr>
        <w:rPr>
          <w:rFonts w:ascii="Batang" w:eastAsia="Batang" w:hAnsi="Batang" w:cs="Batang"/>
          <w:color w:val="000000"/>
        </w:rPr>
      </w:pPr>
    </w:p>
    <w:p w14:paraId="2150B1A8" w14:textId="77777777" w:rsidR="00C71316" w:rsidRDefault="00C71316">
      <w:pPr>
        <w:rPr>
          <w:rFonts w:ascii="Batang" w:eastAsia="Batang" w:hAnsi="Batang" w:cs="Batang"/>
          <w:color w:val="000000"/>
        </w:rPr>
      </w:pPr>
      <w:r>
        <w:rPr>
          <w:rFonts w:ascii="Batang" w:eastAsia="Batang" w:hAnsi="Batang" w:cs="Batang"/>
          <w:color w:val="000000"/>
        </w:rPr>
        <w:br w:type="page"/>
      </w:r>
    </w:p>
    <w:p w14:paraId="2FBC3347" w14:textId="3AC7799E" w:rsidR="00C71316" w:rsidRDefault="00C71316" w:rsidP="00C71316">
      <w:pPr>
        <w:pStyle w:val="Heading1"/>
        <w:rPr>
          <w:rFonts w:ascii="Times New Roman" w:hAnsi="Times New Roman" w:cs="Times New Roman"/>
          <w:color w:val="000000" w:themeColor="text1"/>
          <w:sz w:val="24"/>
          <w:szCs w:val="24"/>
        </w:rPr>
      </w:pPr>
      <w:bookmarkStart w:id="89" w:name="_Toc155817756"/>
      <w:r w:rsidRPr="00B81CB5">
        <w:rPr>
          <w:rFonts w:ascii="Times New Roman" w:hAnsi="Times New Roman" w:cs="Times New Roman"/>
          <w:b/>
          <w:bCs/>
          <w:color w:val="000000" w:themeColor="text1"/>
          <w:sz w:val="24"/>
          <w:szCs w:val="24"/>
        </w:rPr>
        <w:lastRenderedPageBreak/>
        <w:t>Table</w:t>
      </w:r>
      <w:r w:rsidR="0036523A" w:rsidRPr="00B81CB5">
        <w:rPr>
          <w:rFonts w:ascii="Times New Roman" w:hAnsi="Times New Roman" w:cs="Times New Roman"/>
          <w:b/>
          <w:bCs/>
          <w:color w:val="000000" w:themeColor="text1"/>
          <w:sz w:val="24"/>
          <w:szCs w:val="24"/>
        </w:rPr>
        <w:t xml:space="preserve"> 28</w:t>
      </w:r>
      <w:r w:rsidR="00B81CB5" w:rsidRPr="00B81CB5">
        <w:rPr>
          <w:rFonts w:ascii="Times New Roman" w:hAnsi="Times New Roman" w:cs="Times New Roman"/>
          <w:b/>
          <w:bCs/>
          <w:color w:val="000000" w:themeColor="text1"/>
          <w:sz w:val="24"/>
          <w:szCs w:val="24"/>
        </w:rPr>
        <w:t>i</w:t>
      </w:r>
      <w:r w:rsidRPr="00B81CB5">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w:t>
      </w:r>
      <w:r w:rsidR="00F71755">
        <w:rPr>
          <w:rFonts w:ascii="Times New Roman" w:hAnsi="Times New Roman" w:cs="Times New Roman"/>
          <w:color w:val="000000" w:themeColor="text1"/>
          <w:sz w:val="24"/>
          <w:szCs w:val="24"/>
        </w:rPr>
        <w:t>local efficiency</w:t>
      </w:r>
      <w:r>
        <w:rPr>
          <w:rFonts w:ascii="Times New Roman" w:hAnsi="Times New Roman" w:cs="Times New Roman"/>
          <w:color w:val="000000" w:themeColor="text1"/>
          <w:sz w:val="24"/>
          <w:szCs w:val="24"/>
        </w:rPr>
        <w:t xml:space="preserve"> and urbanicity obtained from bifactor modeling and pollution (NO2 level) during emotional n-back task</w:t>
      </w:r>
      <w:bookmarkEnd w:id="89"/>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7D6C09" w14:paraId="671D09A8" w14:textId="77777777" w:rsidTr="00F132FA">
        <w:trPr>
          <w:trHeight w:val="280"/>
        </w:trPr>
        <w:tc>
          <w:tcPr>
            <w:tcW w:w="1152" w:type="dxa"/>
            <w:tcBorders>
              <w:top w:val="nil"/>
              <w:left w:val="nil"/>
              <w:bottom w:val="single" w:sz="12" w:space="0" w:color="auto"/>
              <w:right w:val="nil"/>
            </w:tcBorders>
            <w:shd w:val="clear" w:color="auto" w:fill="auto"/>
            <w:noWrap/>
            <w:vAlign w:val="bottom"/>
            <w:hideMark/>
          </w:tcPr>
          <w:p w14:paraId="55EEA174" w14:textId="77777777" w:rsidR="007D6C09" w:rsidRDefault="007D6C09">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bottom"/>
            <w:hideMark/>
          </w:tcPr>
          <w:p w14:paraId="3EB4AFC4" w14:textId="77777777" w:rsidR="007D6C09" w:rsidRDefault="007D6C09">
            <w:pPr>
              <w:rPr>
                <w:color w:val="000000"/>
                <w:sz w:val="20"/>
                <w:szCs w:val="20"/>
              </w:rPr>
            </w:pPr>
            <w:r>
              <w:rPr>
                <w:color w:val="000000"/>
                <w:sz w:val="20"/>
                <w:szCs w:val="20"/>
              </w:rPr>
              <w:t> </w:t>
            </w:r>
          </w:p>
        </w:tc>
        <w:tc>
          <w:tcPr>
            <w:tcW w:w="864" w:type="dxa"/>
            <w:tcBorders>
              <w:top w:val="nil"/>
              <w:left w:val="nil"/>
              <w:bottom w:val="single" w:sz="12" w:space="0" w:color="auto"/>
              <w:right w:val="nil"/>
            </w:tcBorders>
            <w:shd w:val="clear" w:color="auto" w:fill="auto"/>
            <w:noWrap/>
            <w:vAlign w:val="bottom"/>
            <w:hideMark/>
          </w:tcPr>
          <w:p w14:paraId="34C7B6C3" w14:textId="77777777" w:rsidR="007D6C09" w:rsidRDefault="007D6C09">
            <w:pPr>
              <w:rPr>
                <w:color w:val="000000"/>
                <w:sz w:val="20"/>
                <w:szCs w:val="20"/>
              </w:rPr>
            </w:pPr>
          </w:p>
        </w:tc>
        <w:tc>
          <w:tcPr>
            <w:tcW w:w="864" w:type="dxa"/>
            <w:tcBorders>
              <w:top w:val="nil"/>
              <w:left w:val="nil"/>
              <w:bottom w:val="single" w:sz="12" w:space="0" w:color="auto"/>
              <w:right w:val="nil"/>
            </w:tcBorders>
            <w:shd w:val="clear" w:color="auto" w:fill="auto"/>
            <w:noWrap/>
            <w:vAlign w:val="bottom"/>
            <w:hideMark/>
          </w:tcPr>
          <w:p w14:paraId="6CBB3865" w14:textId="77777777" w:rsidR="007D6C09" w:rsidRDefault="007D6C0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56F678F" w14:textId="77777777" w:rsidR="007D6C09" w:rsidRDefault="007D6C0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DE4D64D" w14:textId="77777777" w:rsidR="007D6C09" w:rsidRDefault="007D6C0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EFE43C1" w14:textId="77777777" w:rsidR="007D6C09" w:rsidRDefault="007D6C0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B7A1FA7" w14:textId="77777777" w:rsidR="007D6C09" w:rsidRDefault="007D6C09">
            <w:pPr>
              <w:rPr>
                <w:sz w:val="20"/>
                <w:szCs w:val="20"/>
              </w:rPr>
            </w:pPr>
          </w:p>
        </w:tc>
      </w:tr>
      <w:tr w:rsidR="007D6C09" w14:paraId="4BF521A2"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60085084" w14:textId="77777777" w:rsidR="007D6C09" w:rsidRDefault="007D6C09">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3A05B3AB" w14:textId="77777777" w:rsidR="007D6C09" w:rsidRDefault="007D6C09">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07CA6730" w14:textId="77777777" w:rsidR="007D6C09" w:rsidRDefault="007D6C09">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7AE55B86" w14:textId="27DF53D9" w:rsidR="007D6C09" w:rsidRDefault="007D6C09">
            <w:pPr>
              <w:jc w:val="center"/>
              <w:rPr>
                <w:color w:val="000000"/>
                <w:sz w:val="20"/>
                <w:szCs w:val="20"/>
              </w:rPr>
            </w:pPr>
            <w:r>
              <w:rPr>
                <w:color w:val="000000"/>
                <w:sz w:val="20"/>
                <w:szCs w:val="20"/>
              </w:rPr>
              <w:t>Pollution (NO2 level)</w:t>
            </w:r>
          </w:p>
        </w:tc>
      </w:tr>
      <w:tr w:rsidR="007D6C09" w14:paraId="7CEFF98F"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16182ABB" w14:textId="77777777" w:rsidR="007D6C09" w:rsidRDefault="007D6C09">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382C0A79" w14:textId="77777777" w:rsidR="007D6C09" w:rsidRDefault="007D6C09">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0C9A82D3" w14:textId="77777777" w:rsidR="007D6C09" w:rsidRDefault="007D6C09">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1E999B57" w14:textId="77777777" w:rsidR="007D6C09" w:rsidRDefault="007D6C09">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05E92569" w14:textId="77777777" w:rsidR="007D6C09" w:rsidRDefault="007D6C09">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5C4CE796" w14:textId="77777777" w:rsidR="007D6C09" w:rsidRDefault="007D6C09">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0D5D5969" w14:textId="77777777" w:rsidR="007D6C09" w:rsidRDefault="007D6C09">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513BC48B" w14:textId="77777777" w:rsidR="007D6C09" w:rsidRDefault="007D6C09">
            <w:pPr>
              <w:jc w:val="center"/>
              <w:rPr>
                <w:i/>
                <w:iCs/>
                <w:color w:val="000000"/>
                <w:sz w:val="20"/>
                <w:szCs w:val="20"/>
              </w:rPr>
            </w:pPr>
            <w:r>
              <w:rPr>
                <w:i/>
                <w:iCs/>
                <w:color w:val="000000"/>
                <w:sz w:val="20"/>
                <w:szCs w:val="20"/>
              </w:rPr>
              <w:t>R2</w:t>
            </w:r>
          </w:p>
        </w:tc>
      </w:tr>
      <w:tr w:rsidR="007D6C09" w14:paraId="2A0443DD" w14:textId="77777777" w:rsidTr="00F132FA">
        <w:trPr>
          <w:trHeight w:val="260"/>
        </w:trPr>
        <w:tc>
          <w:tcPr>
            <w:tcW w:w="1152" w:type="dxa"/>
            <w:tcBorders>
              <w:top w:val="single" w:sz="12" w:space="0" w:color="auto"/>
              <w:left w:val="nil"/>
              <w:bottom w:val="nil"/>
              <w:right w:val="nil"/>
            </w:tcBorders>
            <w:shd w:val="clear" w:color="auto" w:fill="auto"/>
            <w:noWrap/>
            <w:vAlign w:val="bottom"/>
            <w:hideMark/>
          </w:tcPr>
          <w:p w14:paraId="1D45E6D3" w14:textId="77777777" w:rsidR="007D6C09" w:rsidRDefault="007D6C09">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1DB4FA81" w14:textId="77777777" w:rsidR="007D6C09" w:rsidRDefault="007D6C09">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42FAF623" w14:textId="77777777" w:rsidR="007D6C09" w:rsidRDefault="007D6C09">
            <w:pPr>
              <w:jc w:val="right"/>
              <w:rPr>
                <w:color w:val="000000"/>
                <w:sz w:val="20"/>
                <w:szCs w:val="20"/>
              </w:rPr>
            </w:pPr>
            <w:r>
              <w:rPr>
                <w:color w:val="000000"/>
                <w:sz w:val="20"/>
                <w:szCs w:val="20"/>
              </w:rPr>
              <w:t>-0.023</w:t>
            </w:r>
          </w:p>
        </w:tc>
        <w:tc>
          <w:tcPr>
            <w:tcW w:w="864" w:type="dxa"/>
            <w:tcBorders>
              <w:top w:val="single" w:sz="12" w:space="0" w:color="auto"/>
              <w:left w:val="nil"/>
              <w:bottom w:val="nil"/>
              <w:right w:val="nil"/>
            </w:tcBorders>
            <w:shd w:val="clear" w:color="auto" w:fill="auto"/>
            <w:noWrap/>
            <w:vAlign w:val="bottom"/>
            <w:hideMark/>
          </w:tcPr>
          <w:p w14:paraId="30C17D4C" w14:textId="77777777" w:rsidR="007D6C09" w:rsidRDefault="007D6C09">
            <w:pPr>
              <w:jc w:val="right"/>
              <w:rPr>
                <w:color w:val="000000"/>
                <w:sz w:val="20"/>
                <w:szCs w:val="20"/>
              </w:rPr>
            </w:pPr>
            <w:r>
              <w:rPr>
                <w:color w:val="000000"/>
                <w:sz w:val="20"/>
                <w:szCs w:val="20"/>
              </w:rPr>
              <w:t>0.760</w:t>
            </w:r>
          </w:p>
        </w:tc>
        <w:tc>
          <w:tcPr>
            <w:tcW w:w="864" w:type="dxa"/>
            <w:tcBorders>
              <w:top w:val="single" w:sz="12" w:space="0" w:color="auto"/>
              <w:left w:val="nil"/>
              <w:bottom w:val="nil"/>
              <w:right w:val="nil"/>
            </w:tcBorders>
            <w:shd w:val="clear" w:color="auto" w:fill="auto"/>
            <w:noWrap/>
            <w:vAlign w:val="bottom"/>
            <w:hideMark/>
          </w:tcPr>
          <w:p w14:paraId="09F0AB9F" w14:textId="77777777" w:rsidR="007D6C09" w:rsidRDefault="007D6C09">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70F4B286" w14:textId="77777777" w:rsidR="007D6C09" w:rsidRDefault="007D6C09">
            <w:pPr>
              <w:jc w:val="right"/>
              <w:rPr>
                <w:color w:val="000000"/>
                <w:sz w:val="20"/>
                <w:szCs w:val="20"/>
              </w:rPr>
            </w:pPr>
            <w:r>
              <w:rPr>
                <w:color w:val="000000"/>
                <w:sz w:val="20"/>
                <w:szCs w:val="20"/>
              </w:rPr>
              <w:t>-0.043</w:t>
            </w:r>
          </w:p>
        </w:tc>
        <w:tc>
          <w:tcPr>
            <w:tcW w:w="864" w:type="dxa"/>
            <w:tcBorders>
              <w:top w:val="single" w:sz="12" w:space="0" w:color="auto"/>
              <w:left w:val="nil"/>
              <w:bottom w:val="nil"/>
              <w:right w:val="nil"/>
            </w:tcBorders>
            <w:shd w:val="clear" w:color="auto" w:fill="auto"/>
            <w:noWrap/>
            <w:vAlign w:val="bottom"/>
            <w:hideMark/>
          </w:tcPr>
          <w:p w14:paraId="7671AE9F" w14:textId="77777777" w:rsidR="007D6C09" w:rsidRDefault="007D6C09">
            <w:pPr>
              <w:jc w:val="right"/>
              <w:rPr>
                <w:color w:val="000000"/>
                <w:sz w:val="20"/>
                <w:szCs w:val="20"/>
              </w:rPr>
            </w:pPr>
            <w:r>
              <w:rPr>
                <w:color w:val="000000"/>
                <w:sz w:val="20"/>
                <w:szCs w:val="20"/>
              </w:rPr>
              <w:t>0.640</w:t>
            </w:r>
          </w:p>
        </w:tc>
        <w:tc>
          <w:tcPr>
            <w:tcW w:w="864" w:type="dxa"/>
            <w:tcBorders>
              <w:top w:val="single" w:sz="12" w:space="0" w:color="auto"/>
              <w:left w:val="nil"/>
              <w:bottom w:val="nil"/>
              <w:right w:val="nil"/>
            </w:tcBorders>
            <w:shd w:val="clear" w:color="auto" w:fill="auto"/>
            <w:noWrap/>
            <w:vAlign w:val="bottom"/>
            <w:hideMark/>
          </w:tcPr>
          <w:p w14:paraId="0244F1FE" w14:textId="77777777" w:rsidR="007D6C09" w:rsidRDefault="007D6C09">
            <w:pPr>
              <w:jc w:val="right"/>
              <w:rPr>
                <w:color w:val="000000"/>
                <w:sz w:val="20"/>
                <w:szCs w:val="20"/>
              </w:rPr>
            </w:pPr>
            <w:r>
              <w:rPr>
                <w:color w:val="000000"/>
                <w:sz w:val="20"/>
                <w:szCs w:val="20"/>
              </w:rPr>
              <w:t>0.002</w:t>
            </w:r>
          </w:p>
        </w:tc>
      </w:tr>
      <w:tr w:rsidR="007D6C09" w14:paraId="4C75428C" w14:textId="77777777" w:rsidTr="00402C19">
        <w:trPr>
          <w:trHeight w:val="340"/>
        </w:trPr>
        <w:tc>
          <w:tcPr>
            <w:tcW w:w="1152" w:type="dxa"/>
            <w:tcBorders>
              <w:top w:val="nil"/>
              <w:left w:val="nil"/>
              <w:bottom w:val="nil"/>
              <w:right w:val="nil"/>
            </w:tcBorders>
            <w:shd w:val="clear" w:color="auto" w:fill="auto"/>
            <w:noWrap/>
            <w:vAlign w:val="bottom"/>
            <w:hideMark/>
          </w:tcPr>
          <w:p w14:paraId="00AC3DAC"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AC6A56E" w14:textId="77777777" w:rsidR="007D6C09" w:rsidRDefault="007D6C0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1C564C5" w14:textId="77777777" w:rsidR="007D6C09" w:rsidRDefault="007D6C09">
            <w:pPr>
              <w:jc w:val="right"/>
              <w:rPr>
                <w:color w:val="000000"/>
                <w:sz w:val="20"/>
                <w:szCs w:val="20"/>
              </w:rPr>
            </w:pPr>
            <w:r>
              <w:rPr>
                <w:color w:val="000000"/>
                <w:sz w:val="20"/>
                <w:szCs w:val="20"/>
              </w:rPr>
              <w:t>-0.073</w:t>
            </w:r>
          </w:p>
        </w:tc>
        <w:tc>
          <w:tcPr>
            <w:tcW w:w="864" w:type="dxa"/>
            <w:tcBorders>
              <w:top w:val="nil"/>
              <w:left w:val="nil"/>
              <w:bottom w:val="nil"/>
              <w:right w:val="nil"/>
            </w:tcBorders>
            <w:shd w:val="clear" w:color="auto" w:fill="auto"/>
            <w:noWrap/>
            <w:vAlign w:val="bottom"/>
            <w:hideMark/>
          </w:tcPr>
          <w:p w14:paraId="6CB7D007" w14:textId="77777777" w:rsidR="007D6C09" w:rsidRDefault="007D6C09">
            <w:pPr>
              <w:jc w:val="right"/>
              <w:rPr>
                <w:color w:val="000000"/>
                <w:sz w:val="20"/>
                <w:szCs w:val="20"/>
              </w:rPr>
            </w:pPr>
            <w:r>
              <w:rPr>
                <w:color w:val="000000"/>
                <w:sz w:val="20"/>
                <w:szCs w:val="20"/>
              </w:rPr>
              <w:t>0.363</w:t>
            </w:r>
          </w:p>
        </w:tc>
        <w:tc>
          <w:tcPr>
            <w:tcW w:w="864" w:type="dxa"/>
            <w:tcBorders>
              <w:top w:val="nil"/>
              <w:left w:val="nil"/>
              <w:bottom w:val="nil"/>
              <w:right w:val="nil"/>
            </w:tcBorders>
            <w:shd w:val="clear" w:color="auto" w:fill="auto"/>
            <w:noWrap/>
            <w:vAlign w:val="bottom"/>
            <w:hideMark/>
          </w:tcPr>
          <w:p w14:paraId="62B47D0C" w14:textId="77777777" w:rsidR="007D6C09" w:rsidRDefault="007D6C09">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412E33C3" w14:textId="77777777" w:rsidR="007D6C09" w:rsidRDefault="007D6C09">
            <w:pPr>
              <w:jc w:val="right"/>
              <w:rPr>
                <w:color w:val="000000"/>
                <w:sz w:val="20"/>
                <w:szCs w:val="20"/>
              </w:rPr>
            </w:pPr>
            <w:r>
              <w:rPr>
                <w:color w:val="000000"/>
                <w:sz w:val="20"/>
                <w:szCs w:val="20"/>
              </w:rPr>
              <w:t>-0.084</w:t>
            </w:r>
          </w:p>
        </w:tc>
        <w:tc>
          <w:tcPr>
            <w:tcW w:w="864" w:type="dxa"/>
            <w:tcBorders>
              <w:top w:val="nil"/>
              <w:left w:val="nil"/>
              <w:bottom w:val="nil"/>
              <w:right w:val="nil"/>
            </w:tcBorders>
            <w:shd w:val="clear" w:color="auto" w:fill="auto"/>
            <w:noWrap/>
            <w:vAlign w:val="bottom"/>
            <w:hideMark/>
          </w:tcPr>
          <w:p w14:paraId="2484AA17" w14:textId="77777777" w:rsidR="007D6C09" w:rsidRDefault="007D6C09">
            <w:pPr>
              <w:jc w:val="right"/>
              <w:rPr>
                <w:color w:val="000000"/>
                <w:sz w:val="20"/>
                <w:szCs w:val="20"/>
              </w:rPr>
            </w:pPr>
            <w:r>
              <w:rPr>
                <w:color w:val="000000"/>
                <w:sz w:val="20"/>
                <w:szCs w:val="20"/>
              </w:rPr>
              <w:t>0.208</w:t>
            </w:r>
          </w:p>
        </w:tc>
        <w:tc>
          <w:tcPr>
            <w:tcW w:w="864" w:type="dxa"/>
            <w:tcBorders>
              <w:top w:val="nil"/>
              <w:left w:val="nil"/>
              <w:bottom w:val="nil"/>
              <w:right w:val="nil"/>
            </w:tcBorders>
            <w:shd w:val="clear" w:color="auto" w:fill="auto"/>
            <w:noWrap/>
            <w:vAlign w:val="bottom"/>
            <w:hideMark/>
          </w:tcPr>
          <w:p w14:paraId="107DFD90" w14:textId="77777777" w:rsidR="007D6C09" w:rsidRDefault="007D6C09">
            <w:pPr>
              <w:jc w:val="right"/>
              <w:rPr>
                <w:color w:val="000000"/>
                <w:sz w:val="20"/>
                <w:szCs w:val="20"/>
              </w:rPr>
            </w:pPr>
            <w:r>
              <w:rPr>
                <w:color w:val="000000"/>
                <w:sz w:val="20"/>
                <w:szCs w:val="20"/>
              </w:rPr>
              <w:t>0.007</w:t>
            </w:r>
          </w:p>
        </w:tc>
      </w:tr>
      <w:tr w:rsidR="007D6C09" w14:paraId="74F963FA" w14:textId="77777777" w:rsidTr="00402C19">
        <w:trPr>
          <w:trHeight w:val="260"/>
        </w:trPr>
        <w:tc>
          <w:tcPr>
            <w:tcW w:w="1152" w:type="dxa"/>
            <w:tcBorders>
              <w:top w:val="nil"/>
              <w:left w:val="nil"/>
              <w:bottom w:val="nil"/>
              <w:right w:val="nil"/>
            </w:tcBorders>
            <w:shd w:val="clear" w:color="auto" w:fill="auto"/>
            <w:noWrap/>
            <w:vAlign w:val="bottom"/>
            <w:hideMark/>
          </w:tcPr>
          <w:p w14:paraId="4986C867"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C30590" w14:textId="77777777" w:rsidR="007D6C09" w:rsidRDefault="007D6C0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EB93F9A" w14:textId="77777777" w:rsidR="007D6C09" w:rsidRDefault="007D6C09">
            <w:pPr>
              <w:jc w:val="right"/>
              <w:rPr>
                <w:color w:val="000000"/>
                <w:sz w:val="20"/>
                <w:szCs w:val="20"/>
              </w:rPr>
            </w:pPr>
            <w:r>
              <w:rPr>
                <w:color w:val="000000"/>
                <w:sz w:val="20"/>
                <w:szCs w:val="20"/>
              </w:rPr>
              <w:t>-0.175</w:t>
            </w:r>
          </w:p>
        </w:tc>
        <w:tc>
          <w:tcPr>
            <w:tcW w:w="864" w:type="dxa"/>
            <w:tcBorders>
              <w:top w:val="nil"/>
              <w:left w:val="nil"/>
              <w:bottom w:val="nil"/>
              <w:right w:val="nil"/>
            </w:tcBorders>
            <w:shd w:val="clear" w:color="auto" w:fill="auto"/>
            <w:noWrap/>
            <w:vAlign w:val="bottom"/>
            <w:hideMark/>
          </w:tcPr>
          <w:p w14:paraId="43C9CC10" w14:textId="77777777" w:rsidR="007D6C09" w:rsidRDefault="007D6C09">
            <w:pPr>
              <w:jc w:val="right"/>
              <w:rPr>
                <w:color w:val="000000"/>
                <w:sz w:val="20"/>
                <w:szCs w:val="20"/>
              </w:rPr>
            </w:pPr>
            <w:r>
              <w:rPr>
                <w:color w:val="000000"/>
                <w:sz w:val="20"/>
                <w:szCs w:val="20"/>
              </w:rPr>
              <w:t>0.363</w:t>
            </w:r>
          </w:p>
        </w:tc>
        <w:tc>
          <w:tcPr>
            <w:tcW w:w="864" w:type="dxa"/>
            <w:tcBorders>
              <w:top w:val="nil"/>
              <w:left w:val="nil"/>
              <w:bottom w:val="nil"/>
              <w:right w:val="nil"/>
            </w:tcBorders>
            <w:shd w:val="clear" w:color="auto" w:fill="auto"/>
            <w:noWrap/>
            <w:vAlign w:val="bottom"/>
            <w:hideMark/>
          </w:tcPr>
          <w:p w14:paraId="2FA668D7" w14:textId="77777777" w:rsidR="007D6C09" w:rsidRDefault="007D6C09">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1E10D095" w14:textId="77777777" w:rsidR="007D6C09" w:rsidRDefault="007D6C09">
            <w:pPr>
              <w:jc w:val="right"/>
              <w:rPr>
                <w:color w:val="000000"/>
                <w:sz w:val="20"/>
                <w:szCs w:val="20"/>
              </w:rPr>
            </w:pPr>
            <w:r>
              <w:rPr>
                <w:color w:val="000000"/>
                <w:sz w:val="20"/>
                <w:szCs w:val="20"/>
              </w:rPr>
              <w:t>-0.306</w:t>
            </w:r>
          </w:p>
        </w:tc>
        <w:tc>
          <w:tcPr>
            <w:tcW w:w="864" w:type="dxa"/>
            <w:tcBorders>
              <w:top w:val="nil"/>
              <w:left w:val="nil"/>
              <w:bottom w:val="nil"/>
              <w:right w:val="nil"/>
            </w:tcBorders>
            <w:shd w:val="clear" w:color="auto" w:fill="auto"/>
            <w:noWrap/>
            <w:vAlign w:val="bottom"/>
            <w:hideMark/>
          </w:tcPr>
          <w:p w14:paraId="061E9AC1" w14:textId="77777777" w:rsidR="007D6C09" w:rsidRDefault="007D6C09">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5F23A18C" w14:textId="77777777" w:rsidR="007D6C09" w:rsidRDefault="007D6C09">
            <w:pPr>
              <w:jc w:val="right"/>
              <w:rPr>
                <w:color w:val="000000"/>
                <w:sz w:val="20"/>
                <w:szCs w:val="20"/>
              </w:rPr>
            </w:pPr>
            <w:r>
              <w:rPr>
                <w:color w:val="000000"/>
                <w:sz w:val="20"/>
                <w:szCs w:val="20"/>
              </w:rPr>
              <w:t>0.094</w:t>
            </w:r>
          </w:p>
        </w:tc>
      </w:tr>
      <w:tr w:rsidR="007D6C09" w14:paraId="3BECBEED" w14:textId="77777777" w:rsidTr="00402C19">
        <w:trPr>
          <w:trHeight w:val="260"/>
        </w:trPr>
        <w:tc>
          <w:tcPr>
            <w:tcW w:w="1152" w:type="dxa"/>
            <w:tcBorders>
              <w:top w:val="nil"/>
              <w:left w:val="nil"/>
              <w:bottom w:val="nil"/>
              <w:right w:val="nil"/>
            </w:tcBorders>
            <w:shd w:val="clear" w:color="auto" w:fill="auto"/>
            <w:noWrap/>
            <w:vAlign w:val="bottom"/>
            <w:hideMark/>
          </w:tcPr>
          <w:p w14:paraId="1E7D7225"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D90C6E3" w14:textId="77777777" w:rsidR="007D6C09" w:rsidRDefault="007D6C0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62ADD50" w14:textId="77777777" w:rsidR="007D6C09" w:rsidRDefault="007D6C09">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757920A6" w14:textId="77777777" w:rsidR="007D6C09" w:rsidRDefault="007D6C09">
            <w:pPr>
              <w:jc w:val="right"/>
              <w:rPr>
                <w:color w:val="000000"/>
                <w:sz w:val="20"/>
                <w:szCs w:val="20"/>
              </w:rPr>
            </w:pPr>
            <w:r>
              <w:rPr>
                <w:color w:val="000000"/>
                <w:sz w:val="20"/>
                <w:szCs w:val="20"/>
              </w:rPr>
              <w:t>0.760</w:t>
            </w:r>
          </w:p>
        </w:tc>
        <w:tc>
          <w:tcPr>
            <w:tcW w:w="864" w:type="dxa"/>
            <w:tcBorders>
              <w:top w:val="nil"/>
              <w:left w:val="nil"/>
              <w:bottom w:val="nil"/>
              <w:right w:val="nil"/>
            </w:tcBorders>
            <w:shd w:val="clear" w:color="auto" w:fill="auto"/>
            <w:noWrap/>
            <w:vAlign w:val="bottom"/>
            <w:hideMark/>
          </w:tcPr>
          <w:p w14:paraId="42E6714C" w14:textId="77777777" w:rsidR="007D6C09" w:rsidRDefault="007D6C0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D954727" w14:textId="77777777" w:rsidR="007D6C09" w:rsidRDefault="007D6C09">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02D77525" w14:textId="77777777" w:rsidR="007D6C09" w:rsidRDefault="007D6C09">
            <w:pPr>
              <w:jc w:val="right"/>
              <w:rPr>
                <w:color w:val="000000"/>
                <w:sz w:val="20"/>
                <w:szCs w:val="20"/>
              </w:rPr>
            </w:pPr>
            <w:r>
              <w:rPr>
                <w:color w:val="000000"/>
                <w:sz w:val="20"/>
                <w:szCs w:val="20"/>
              </w:rPr>
              <w:t>0.752</w:t>
            </w:r>
          </w:p>
        </w:tc>
        <w:tc>
          <w:tcPr>
            <w:tcW w:w="864" w:type="dxa"/>
            <w:tcBorders>
              <w:top w:val="nil"/>
              <w:left w:val="nil"/>
              <w:bottom w:val="nil"/>
              <w:right w:val="nil"/>
            </w:tcBorders>
            <w:shd w:val="clear" w:color="auto" w:fill="auto"/>
            <w:noWrap/>
            <w:vAlign w:val="bottom"/>
            <w:hideMark/>
          </w:tcPr>
          <w:p w14:paraId="1EB5B4FB" w14:textId="77777777" w:rsidR="007D6C09" w:rsidRDefault="007D6C09">
            <w:pPr>
              <w:jc w:val="right"/>
              <w:rPr>
                <w:color w:val="000000"/>
                <w:sz w:val="20"/>
                <w:szCs w:val="20"/>
              </w:rPr>
            </w:pPr>
            <w:r>
              <w:rPr>
                <w:color w:val="000000"/>
                <w:sz w:val="20"/>
                <w:szCs w:val="20"/>
              </w:rPr>
              <w:t>0.003</w:t>
            </w:r>
          </w:p>
        </w:tc>
      </w:tr>
      <w:tr w:rsidR="007D6C09" w14:paraId="4701E456" w14:textId="77777777" w:rsidTr="00402C19">
        <w:trPr>
          <w:trHeight w:val="260"/>
        </w:trPr>
        <w:tc>
          <w:tcPr>
            <w:tcW w:w="1152" w:type="dxa"/>
            <w:tcBorders>
              <w:top w:val="nil"/>
              <w:left w:val="nil"/>
              <w:bottom w:val="nil"/>
              <w:right w:val="nil"/>
            </w:tcBorders>
            <w:shd w:val="clear" w:color="auto" w:fill="auto"/>
            <w:noWrap/>
            <w:vAlign w:val="bottom"/>
            <w:hideMark/>
          </w:tcPr>
          <w:p w14:paraId="04656E5B"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2474DE2" w14:textId="77777777" w:rsidR="007D6C09" w:rsidRDefault="007D6C0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483B31D" w14:textId="77777777" w:rsidR="007D6C09" w:rsidRDefault="007D6C09">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0B7B3B7A" w14:textId="77777777" w:rsidR="007D6C09" w:rsidRDefault="007D6C09">
            <w:pPr>
              <w:jc w:val="right"/>
              <w:rPr>
                <w:color w:val="000000"/>
                <w:sz w:val="20"/>
                <w:szCs w:val="20"/>
              </w:rPr>
            </w:pPr>
            <w:r>
              <w:rPr>
                <w:color w:val="000000"/>
                <w:sz w:val="20"/>
                <w:szCs w:val="20"/>
              </w:rPr>
              <w:t>0.800</w:t>
            </w:r>
          </w:p>
        </w:tc>
        <w:tc>
          <w:tcPr>
            <w:tcW w:w="864" w:type="dxa"/>
            <w:tcBorders>
              <w:top w:val="nil"/>
              <w:left w:val="nil"/>
              <w:bottom w:val="nil"/>
              <w:right w:val="nil"/>
            </w:tcBorders>
            <w:shd w:val="clear" w:color="auto" w:fill="auto"/>
            <w:noWrap/>
            <w:vAlign w:val="bottom"/>
            <w:hideMark/>
          </w:tcPr>
          <w:p w14:paraId="11A565EE"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1440E31" w14:textId="77777777" w:rsidR="007D6C09" w:rsidRDefault="007D6C09">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7AE12026" w14:textId="77777777" w:rsidR="007D6C09" w:rsidRDefault="007D6C09">
            <w:pPr>
              <w:jc w:val="right"/>
              <w:rPr>
                <w:color w:val="000000"/>
                <w:sz w:val="20"/>
                <w:szCs w:val="20"/>
              </w:rPr>
            </w:pPr>
            <w:r>
              <w:rPr>
                <w:color w:val="000000"/>
                <w:sz w:val="20"/>
                <w:szCs w:val="20"/>
              </w:rPr>
              <w:t>0.800</w:t>
            </w:r>
          </w:p>
        </w:tc>
        <w:tc>
          <w:tcPr>
            <w:tcW w:w="864" w:type="dxa"/>
            <w:tcBorders>
              <w:top w:val="nil"/>
              <w:left w:val="nil"/>
              <w:bottom w:val="nil"/>
              <w:right w:val="nil"/>
            </w:tcBorders>
            <w:shd w:val="clear" w:color="auto" w:fill="auto"/>
            <w:noWrap/>
            <w:vAlign w:val="bottom"/>
            <w:hideMark/>
          </w:tcPr>
          <w:p w14:paraId="299B5468" w14:textId="77777777" w:rsidR="007D6C09" w:rsidRDefault="007D6C09">
            <w:pPr>
              <w:jc w:val="right"/>
              <w:rPr>
                <w:color w:val="000000"/>
                <w:sz w:val="20"/>
                <w:szCs w:val="20"/>
              </w:rPr>
            </w:pPr>
            <w:r>
              <w:rPr>
                <w:color w:val="000000"/>
                <w:sz w:val="20"/>
                <w:szCs w:val="20"/>
              </w:rPr>
              <w:t>0.000</w:t>
            </w:r>
          </w:p>
        </w:tc>
      </w:tr>
      <w:tr w:rsidR="007D6C09" w14:paraId="05A6C055" w14:textId="77777777" w:rsidTr="00402C19">
        <w:trPr>
          <w:trHeight w:val="260"/>
        </w:trPr>
        <w:tc>
          <w:tcPr>
            <w:tcW w:w="1152" w:type="dxa"/>
            <w:tcBorders>
              <w:top w:val="nil"/>
              <w:left w:val="nil"/>
              <w:bottom w:val="nil"/>
              <w:right w:val="nil"/>
            </w:tcBorders>
            <w:shd w:val="clear" w:color="auto" w:fill="auto"/>
            <w:noWrap/>
            <w:vAlign w:val="bottom"/>
            <w:hideMark/>
          </w:tcPr>
          <w:p w14:paraId="2EA186D1"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5BDD606" w14:textId="77777777" w:rsidR="007D6C09" w:rsidRDefault="007D6C0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EC84C57" w14:textId="77777777" w:rsidR="007D6C09" w:rsidRDefault="007D6C09">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45258D3B" w14:textId="77777777" w:rsidR="007D6C09" w:rsidRDefault="007D6C09">
            <w:pPr>
              <w:jc w:val="right"/>
              <w:rPr>
                <w:color w:val="000000"/>
                <w:sz w:val="20"/>
                <w:szCs w:val="20"/>
              </w:rPr>
            </w:pPr>
            <w:r>
              <w:rPr>
                <w:color w:val="000000"/>
                <w:sz w:val="20"/>
                <w:szCs w:val="20"/>
              </w:rPr>
              <w:t>0.760</w:t>
            </w:r>
          </w:p>
        </w:tc>
        <w:tc>
          <w:tcPr>
            <w:tcW w:w="864" w:type="dxa"/>
            <w:tcBorders>
              <w:top w:val="nil"/>
              <w:left w:val="nil"/>
              <w:bottom w:val="nil"/>
              <w:right w:val="nil"/>
            </w:tcBorders>
            <w:shd w:val="clear" w:color="auto" w:fill="auto"/>
            <w:noWrap/>
            <w:vAlign w:val="bottom"/>
            <w:hideMark/>
          </w:tcPr>
          <w:p w14:paraId="4CA7F24A" w14:textId="77777777" w:rsidR="007D6C09" w:rsidRDefault="007D6C0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206E343" w14:textId="77777777" w:rsidR="007D6C09" w:rsidRDefault="007D6C09">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3D496E23" w14:textId="77777777" w:rsidR="007D6C09" w:rsidRDefault="007D6C09">
            <w:pPr>
              <w:jc w:val="right"/>
              <w:rPr>
                <w:color w:val="000000"/>
                <w:sz w:val="20"/>
                <w:szCs w:val="20"/>
              </w:rPr>
            </w:pPr>
            <w:r>
              <w:rPr>
                <w:color w:val="000000"/>
                <w:sz w:val="20"/>
                <w:szCs w:val="20"/>
              </w:rPr>
              <w:t>0.752</w:t>
            </w:r>
          </w:p>
        </w:tc>
        <w:tc>
          <w:tcPr>
            <w:tcW w:w="864" w:type="dxa"/>
            <w:tcBorders>
              <w:top w:val="nil"/>
              <w:left w:val="nil"/>
              <w:bottom w:val="nil"/>
              <w:right w:val="nil"/>
            </w:tcBorders>
            <w:shd w:val="clear" w:color="auto" w:fill="auto"/>
            <w:noWrap/>
            <w:vAlign w:val="bottom"/>
            <w:hideMark/>
          </w:tcPr>
          <w:p w14:paraId="451304AA" w14:textId="77777777" w:rsidR="007D6C09" w:rsidRDefault="007D6C09">
            <w:pPr>
              <w:jc w:val="right"/>
              <w:rPr>
                <w:color w:val="000000"/>
                <w:sz w:val="20"/>
                <w:szCs w:val="20"/>
              </w:rPr>
            </w:pPr>
            <w:r>
              <w:rPr>
                <w:color w:val="000000"/>
                <w:sz w:val="20"/>
                <w:szCs w:val="20"/>
              </w:rPr>
              <w:t>0.001</w:t>
            </w:r>
          </w:p>
        </w:tc>
      </w:tr>
      <w:tr w:rsidR="007D6C09" w14:paraId="3B677879" w14:textId="77777777" w:rsidTr="00402C19">
        <w:trPr>
          <w:trHeight w:val="260"/>
        </w:trPr>
        <w:tc>
          <w:tcPr>
            <w:tcW w:w="1152" w:type="dxa"/>
            <w:tcBorders>
              <w:top w:val="nil"/>
              <w:left w:val="nil"/>
              <w:bottom w:val="nil"/>
              <w:right w:val="nil"/>
            </w:tcBorders>
            <w:shd w:val="clear" w:color="auto" w:fill="auto"/>
            <w:noWrap/>
            <w:vAlign w:val="bottom"/>
            <w:hideMark/>
          </w:tcPr>
          <w:p w14:paraId="692D36CC"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69C199D" w14:textId="77777777" w:rsidR="007D6C09" w:rsidRDefault="007D6C0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D8F45EC" w14:textId="77777777" w:rsidR="007D6C09" w:rsidRDefault="007D6C09">
            <w:pPr>
              <w:jc w:val="right"/>
              <w:rPr>
                <w:color w:val="000000"/>
                <w:sz w:val="20"/>
                <w:szCs w:val="20"/>
              </w:rPr>
            </w:pPr>
            <w:r>
              <w:rPr>
                <w:color w:val="000000"/>
                <w:sz w:val="20"/>
                <w:szCs w:val="20"/>
              </w:rPr>
              <w:t>0.090</w:t>
            </w:r>
          </w:p>
        </w:tc>
        <w:tc>
          <w:tcPr>
            <w:tcW w:w="864" w:type="dxa"/>
            <w:tcBorders>
              <w:top w:val="nil"/>
              <w:left w:val="nil"/>
              <w:bottom w:val="nil"/>
              <w:right w:val="nil"/>
            </w:tcBorders>
            <w:shd w:val="clear" w:color="auto" w:fill="auto"/>
            <w:noWrap/>
            <w:vAlign w:val="bottom"/>
            <w:hideMark/>
          </w:tcPr>
          <w:p w14:paraId="6C7A36D0" w14:textId="77777777" w:rsidR="007D6C09" w:rsidRDefault="007D6C09">
            <w:pPr>
              <w:jc w:val="right"/>
              <w:rPr>
                <w:color w:val="000000"/>
                <w:sz w:val="20"/>
                <w:szCs w:val="20"/>
              </w:rPr>
            </w:pPr>
            <w:r>
              <w:rPr>
                <w:color w:val="000000"/>
                <w:sz w:val="20"/>
                <w:szCs w:val="20"/>
              </w:rPr>
              <w:t>0.272</w:t>
            </w:r>
          </w:p>
        </w:tc>
        <w:tc>
          <w:tcPr>
            <w:tcW w:w="864" w:type="dxa"/>
            <w:tcBorders>
              <w:top w:val="nil"/>
              <w:left w:val="nil"/>
              <w:bottom w:val="nil"/>
              <w:right w:val="nil"/>
            </w:tcBorders>
            <w:shd w:val="clear" w:color="auto" w:fill="auto"/>
            <w:noWrap/>
            <w:vAlign w:val="bottom"/>
            <w:hideMark/>
          </w:tcPr>
          <w:p w14:paraId="2795BFBA" w14:textId="77777777" w:rsidR="007D6C09" w:rsidRDefault="007D6C09">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36E90748" w14:textId="77777777" w:rsidR="007D6C09" w:rsidRDefault="007D6C09">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24C91E4A" w14:textId="77777777" w:rsidR="007D6C09" w:rsidRDefault="007D6C09">
            <w:pPr>
              <w:jc w:val="right"/>
              <w:rPr>
                <w:color w:val="000000"/>
                <w:sz w:val="20"/>
                <w:szCs w:val="20"/>
              </w:rPr>
            </w:pPr>
            <w:r>
              <w:rPr>
                <w:color w:val="000000"/>
                <w:sz w:val="20"/>
                <w:szCs w:val="20"/>
              </w:rPr>
              <w:t>0.752</w:t>
            </w:r>
          </w:p>
        </w:tc>
        <w:tc>
          <w:tcPr>
            <w:tcW w:w="864" w:type="dxa"/>
            <w:tcBorders>
              <w:top w:val="nil"/>
              <w:left w:val="nil"/>
              <w:bottom w:val="nil"/>
              <w:right w:val="nil"/>
            </w:tcBorders>
            <w:shd w:val="clear" w:color="auto" w:fill="auto"/>
            <w:noWrap/>
            <w:vAlign w:val="bottom"/>
            <w:hideMark/>
          </w:tcPr>
          <w:p w14:paraId="529BBB26" w14:textId="77777777" w:rsidR="007D6C09" w:rsidRDefault="007D6C09">
            <w:pPr>
              <w:jc w:val="right"/>
              <w:rPr>
                <w:color w:val="000000"/>
                <w:sz w:val="20"/>
                <w:szCs w:val="20"/>
              </w:rPr>
            </w:pPr>
            <w:r>
              <w:rPr>
                <w:color w:val="000000"/>
                <w:sz w:val="20"/>
                <w:szCs w:val="20"/>
              </w:rPr>
              <w:t>0.000</w:t>
            </w:r>
          </w:p>
        </w:tc>
      </w:tr>
      <w:tr w:rsidR="007D6C09" w14:paraId="0E680575" w14:textId="77777777" w:rsidTr="00402C19">
        <w:trPr>
          <w:trHeight w:val="260"/>
        </w:trPr>
        <w:tc>
          <w:tcPr>
            <w:tcW w:w="1152" w:type="dxa"/>
            <w:tcBorders>
              <w:top w:val="nil"/>
              <w:left w:val="nil"/>
              <w:bottom w:val="single" w:sz="4" w:space="0" w:color="auto"/>
              <w:right w:val="nil"/>
            </w:tcBorders>
            <w:shd w:val="clear" w:color="auto" w:fill="auto"/>
            <w:noWrap/>
            <w:vAlign w:val="bottom"/>
            <w:hideMark/>
          </w:tcPr>
          <w:p w14:paraId="0B85815E" w14:textId="77777777" w:rsidR="007D6C09" w:rsidRDefault="007D6C09">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1BC0AA99" w14:textId="77777777" w:rsidR="007D6C09" w:rsidRDefault="007D6C09">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95D72F1" w14:textId="77777777" w:rsidR="007D6C09" w:rsidRDefault="007D6C09">
            <w:pPr>
              <w:jc w:val="right"/>
              <w:rPr>
                <w:color w:val="000000"/>
                <w:sz w:val="20"/>
                <w:szCs w:val="20"/>
              </w:rPr>
            </w:pPr>
            <w:r>
              <w:rPr>
                <w:color w:val="000000"/>
                <w:sz w:val="20"/>
                <w:szCs w:val="20"/>
              </w:rPr>
              <w:t>0.008</w:t>
            </w:r>
          </w:p>
        </w:tc>
        <w:tc>
          <w:tcPr>
            <w:tcW w:w="864" w:type="dxa"/>
            <w:tcBorders>
              <w:top w:val="nil"/>
              <w:left w:val="nil"/>
              <w:bottom w:val="single" w:sz="4" w:space="0" w:color="auto"/>
              <w:right w:val="nil"/>
            </w:tcBorders>
            <w:shd w:val="clear" w:color="auto" w:fill="auto"/>
            <w:noWrap/>
            <w:vAlign w:val="bottom"/>
            <w:hideMark/>
          </w:tcPr>
          <w:p w14:paraId="210F6CB5" w14:textId="77777777" w:rsidR="007D6C09" w:rsidRDefault="007D6C09">
            <w:pPr>
              <w:jc w:val="right"/>
              <w:rPr>
                <w:color w:val="000000"/>
                <w:sz w:val="20"/>
                <w:szCs w:val="20"/>
              </w:rPr>
            </w:pPr>
            <w:r>
              <w:rPr>
                <w:color w:val="000000"/>
                <w:sz w:val="20"/>
                <w:szCs w:val="20"/>
              </w:rPr>
              <w:t>0.892</w:t>
            </w:r>
          </w:p>
        </w:tc>
        <w:tc>
          <w:tcPr>
            <w:tcW w:w="864" w:type="dxa"/>
            <w:tcBorders>
              <w:top w:val="nil"/>
              <w:left w:val="nil"/>
              <w:bottom w:val="single" w:sz="4" w:space="0" w:color="auto"/>
              <w:right w:val="nil"/>
            </w:tcBorders>
            <w:shd w:val="clear" w:color="auto" w:fill="auto"/>
            <w:noWrap/>
            <w:vAlign w:val="bottom"/>
            <w:hideMark/>
          </w:tcPr>
          <w:p w14:paraId="67CA1778"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4EF34DE1" w14:textId="77777777" w:rsidR="007D6C09" w:rsidRDefault="007D6C09">
            <w:pPr>
              <w:jc w:val="right"/>
              <w:rPr>
                <w:color w:val="000000"/>
                <w:sz w:val="20"/>
                <w:szCs w:val="20"/>
              </w:rPr>
            </w:pPr>
            <w:r>
              <w:rPr>
                <w:color w:val="000000"/>
                <w:sz w:val="20"/>
                <w:szCs w:val="20"/>
              </w:rPr>
              <w:t>0.030</w:t>
            </w:r>
          </w:p>
        </w:tc>
        <w:tc>
          <w:tcPr>
            <w:tcW w:w="864" w:type="dxa"/>
            <w:tcBorders>
              <w:top w:val="nil"/>
              <w:left w:val="nil"/>
              <w:bottom w:val="single" w:sz="4" w:space="0" w:color="auto"/>
              <w:right w:val="nil"/>
            </w:tcBorders>
            <w:shd w:val="clear" w:color="auto" w:fill="auto"/>
            <w:noWrap/>
            <w:vAlign w:val="bottom"/>
            <w:hideMark/>
          </w:tcPr>
          <w:p w14:paraId="66FF912B" w14:textId="77777777" w:rsidR="007D6C09" w:rsidRDefault="007D6C09">
            <w:pPr>
              <w:jc w:val="right"/>
              <w:rPr>
                <w:color w:val="000000"/>
                <w:sz w:val="20"/>
                <w:szCs w:val="20"/>
              </w:rPr>
            </w:pPr>
            <w:r>
              <w:rPr>
                <w:color w:val="000000"/>
                <w:sz w:val="20"/>
                <w:szCs w:val="20"/>
              </w:rPr>
              <w:t>0.752</w:t>
            </w:r>
          </w:p>
        </w:tc>
        <w:tc>
          <w:tcPr>
            <w:tcW w:w="864" w:type="dxa"/>
            <w:tcBorders>
              <w:top w:val="nil"/>
              <w:left w:val="nil"/>
              <w:bottom w:val="single" w:sz="4" w:space="0" w:color="auto"/>
              <w:right w:val="nil"/>
            </w:tcBorders>
            <w:shd w:val="clear" w:color="auto" w:fill="auto"/>
            <w:noWrap/>
            <w:vAlign w:val="bottom"/>
            <w:hideMark/>
          </w:tcPr>
          <w:p w14:paraId="7571160E" w14:textId="77777777" w:rsidR="007D6C09" w:rsidRDefault="007D6C09">
            <w:pPr>
              <w:jc w:val="right"/>
              <w:rPr>
                <w:color w:val="000000"/>
                <w:sz w:val="20"/>
                <w:szCs w:val="20"/>
              </w:rPr>
            </w:pPr>
            <w:r>
              <w:rPr>
                <w:color w:val="000000"/>
                <w:sz w:val="20"/>
                <w:szCs w:val="20"/>
              </w:rPr>
              <w:t>0.001</w:t>
            </w:r>
          </w:p>
        </w:tc>
      </w:tr>
      <w:tr w:rsidR="007D6C09" w14:paraId="2246F2FB" w14:textId="77777777" w:rsidTr="00402C19">
        <w:trPr>
          <w:trHeight w:val="260"/>
        </w:trPr>
        <w:tc>
          <w:tcPr>
            <w:tcW w:w="1152" w:type="dxa"/>
            <w:tcBorders>
              <w:top w:val="nil"/>
              <w:left w:val="nil"/>
              <w:bottom w:val="nil"/>
              <w:right w:val="nil"/>
            </w:tcBorders>
            <w:shd w:val="clear" w:color="auto" w:fill="auto"/>
            <w:noWrap/>
            <w:vAlign w:val="bottom"/>
            <w:hideMark/>
          </w:tcPr>
          <w:p w14:paraId="47A62269" w14:textId="77777777" w:rsidR="007D6C09" w:rsidRDefault="007D6C09">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4B82E5DE" w14:textId="77777777" w:rsidR="007D6C09" w:rsidRDefault="007D6C09">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7B959AD" w14:textId="77777777" w:rsidR="007D6C09" w:rsidRDefault="007D6C09">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1CB22E7F" w14:textId="77777777" w:rsidR="007D6C09" w:rsidRDefault="007D6C09">
            <w:pPr>
              <w:jc w:val="right"/>
              <w:rPr>
                <w:color w:val="000000"/>
                <w:sz w:val="20"/>
                <w:szCs w:val="20"/>
              </w:rPr>
            </w:pPr>
            <w:r>
              <w:rPr>
                <w:color w:val="000000"/>
                <w:sz w:val="20"/>
                <w:szCs w:val="20"/>
              </w:rPr>
              <w:t>0.520</w:t>
            </w:r>
          </w:p>
        </w:tc>
        <w:tc>
          <w:tcPr>
            <w:tcW w:w="864" w:type="dxa"/>
            <w:tcBorders>
              <w:top w:val="nil"/>
              <w:left w:val="nil"/>
              <w:bottom w:val="nil"/>
              <w:right w:val="nil"/>
            </w:tcBorders>
            <w:shd w:val="clear" w:color="auto" w:fill="auto"/>
            <w:noWrap/>
            <w:vAlign w:val="bottom"/>
            <w:hideMark/>
          </w:tcPr>
          <w:p w14:paraId="7AAE804C" w14:textId="77777777" w:rsidR="007D6C09" w:rsidRDefault="007D6C0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37CCC5D" w14:textId="77777777" w:rsidR="007D6C09" w:rsidRDefault="007D6C09">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35B8BCDD" w14:textId="77777777" w:rsidR="007D6C09" w:rsidRDefault="007D6C09">
            <w:pPr>
              <w:jc w:val="right"/>
              <w:rPr>
                <w:color w:val="000000"/>
                <w:sz w:val="20"/>
                <w:szCs w:val="20"/>
              </w:rPr>
            </w:pPr>
            <w:r>
              <w:rPr>
                <w:color w:val="000000"/>
                <w:sz w:val="20"/>
                <w:szCs w:val="20"/>
              </w:rPr>
              <w:t>0.374</w:t>
            </w:r>
          </w:p>
        </w:tc>
        <w:tc>
          <w:tcPr>
            <w:tcW w:w="864" w:type="dxa"/>
            <w:tcBorders>
              <w:top w:val="nil"/>
              <w:left w:val="nil"/>
              <w:bottom w:val="nil"/>
              <w:right w:val="nil"/>
            </w:tcBorders>
            <w:shd w:val="clear" w:color="auto" w:fill="auto"/>
            <w:noWrap/>
            <w:vAlign w:val="bottom"/>
            <w:hideMark/>
          </w:tcPr>
          <w:p w14:paraId="0B324327" w14:textId="77777777" w:rsidR="007D6C09" w:rsidRDefault="007D6C09">
            <w:pPr>
              <w:jc w:val="right"/>
              <w:rPr>
                <w:color w:val="000000"/>
                <w:sz w:val="20"/>
                <w:szCs w:val="20"/>
              </w:rPr>
            </w:pPr>
            <w:r>
              <w:rPr>
                <w:color w:val="000000"/>
                <w:sz w:val="20"/>
                <w:szCs w:val="20"/>
              </w:rPr>
              <w:t>0.002</w:t>
            </w:r>
          </w:p>
        </w:tc>
      </w:tr>
      <w:tr w:rsidR="007D6C09" w14:paraId="005016E3" w14:textId="77777777" w:rsidTr="00402C19">
        <w:trPr>
          <w:trHeight w:val="260"/>
        </w:trPr>
        <w:tc>
          <w:tcPr>
            <w:tcW w:w="1152" w:type="dxa"/>
            <w:tcBorders>
              <w:top w:val="nil"/>
              <w:left w:val="nil"/>
              <w:bottom w:val="nil"/>
              <w:right w:val="nil"/>
            </w:tcBorders>
            <w:shd w:val="clear" w:color="auto" w:fill="auto"/>
            <w:noWrap/>
            <w:vAlign w:val="bottom"/>
            <w:hideMark/>
          </w:tcPr>
          <w:p w14:paraId="16E4496C"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EE17D97" w14:textId="77777777" w:rsidR="007D6C09" w:rsidRDefault="007D6C0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B9BDD07" w14:textId="77777777" w:rsidR="007D6C09" w:rsidRDefault="007D6C09">
            <w:pPr>
              <w:jc w:val="right"/>
              <w:rPr>
                <w:b/>
                <w:bCs/>
                <w:color w:val="000000"/>
                <w:sz w:val="20"/>
                <w:szCs w:val="20"/>
              </w:rPr>
            </w:pPr>
            <w:r>
              <w:rPr>
                <w:b/>
                <w:bCs/>
                <w:color w:val="000000"/>
                <w:sz w:val="20"/>
                <w:szCs w:val="20"/>
              </w:rPr>
              <w:t>-0.130</w:t>
            </w:r>
          </w:p>
        </w:tc>
        <w:tc>
          <w:tcPr>
            <w:tcW w:w="864" w:type="dxa"/>
            <w:tcBorders>
              <w:top w:val="nil"/>
              <w:left w:val="nil"/>
              <w:bottom w:val="nil"/>
              <w:right w:val="nil"/>
            </w:tcBorders>
            <w:shd w:val="clear" w:color="auto" w:fill="auto"/>
            <w:noWrap/>
            <w:vAlign w:val="bottom"/>
            <w:hideMark/>
          </w:tcPr>
          <w:p w14:paraId="657B20D8" w14:textId="77777777" w:rsidR="007D6C09" w:rsidRDefault="007D6C09">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3FA7ED5D" w14:textId="77777777" w:rsidR="007D6C09" w:rsidRDefault="007D6C09">
            <w:pPr>
              <w:jc w:val="right"/>
              <w:rPr>
                <w:b/>
                <w:bCs/>
                <w:color w:val="000000"/>
                <w:sz w:val="20"/>
                <w:szCs w:val="20"/>
              </w:rPr>
            </w:pPr>
            <w:r>
              <w:rPr>
                <w:b/>
                <w:bCs/>
                <w:color w:val="000000"/>
                <w:sz w:val="20"/>
                <w:szCs w:val="20"/>
              </w:rPr>
              <w:t>0.017</w:t>
            </w:r>
          </w:p>
        </w:tc>
        <w:tc>
          <w:tcPr>
            <w:tcW w:w="864" w:type="dxa"/>
            <w:tcBorders>
              <w:top w:val="nil"/>
              <w:left w:val="nil"/>
              <w:bottom w:val="nil"/>
              <w:right w:val="nil"/>
            </w:tcBorders>
            <w:shd w:val="clear" w:color="auto" w:fill="auto"/>
            <w:noWrap/>
            <w:vAlign w:val="bottom"/>
            <w:hideMark/>
          </w:tcPr>
          <w:p w14:paraId="2849DC08" w14:textId="77777777" w:rsidR="007D6C09" w:rsidRDefault="007D6C09">
            <w:pPr>
              <w:jc w:val="right"/>
              <w:rPr>
                <w:b/>
                <w:bCs/>
                <w:color w:val="000000"/>
                <w:sz w:val="20"/>
                <w:szCs w:val="20"/>
              </w:rPr>
            </w:pPr>
            <w:r>
              <w:rPr>
                <w:b/>
                <w:bCs/>
                <w:color w:val="000000"/>
                <w:sz w:val="20"/>
                <w:szCs w:val="20"/>
              </w:rPr>
              <w:t>-0.132</w:t>
            </w:r>
          </w:p>
        </w:tc>
        <w:tc>
          <w:tcPr>
            <w:tcW w:w="864" w:type="dxa"/>
            <w:tcBorders>
              <w:top w:val="nil"/>
              <w:left w:val="nil"/>
              <w:bottom w:val="nil"/>
              <w:right w:val="nil"/>
            </w:tcBorders>
            <w:shd w:val="clear" w:color="auto" w:fill="auto"/>
            <w:noWrap/>
            <w:vAlign w:val="bottom"/>
            <w:hideMark/>
          </w:tcPr>
          <w:p w14:paraId="348AF12E" w14:textId="77777777" w:rsidR="007D6C09" w:rsidRDefault="007D6C09">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5153361F" w14:textId="77777777" w:rsidR="007D6C09" w:rsidRDefault="007D6C09">
            <w:pPr>
              <w:jc w:val="right"/>
              <w:rPr>
                <w:b/>
                <w:bCs/>
                <w:color w:val="000000"/>
                <w:sz w:val="20"/>
                <w:szCs w:val="20"/>
              </w:rPr>
            </w:pPr>
            <w:r>
              <w:rPr>
                <w:b/>
                <w:bCs/>
                <w:color w:val="000000"/>
                <w:sz w:val="20"/>
                <w:szCs w:val="20"/>
              </w:rPr>
              <w:t>0.017</w:t>
            </w:r>
          </w:p>
        </w:tc>
      </w:tr>
      <w:tr w:rsidR="007D6C09" w14:paraId="736ECC91" w14:textId="77777777" w:rsidTr="00402C19">
        <w:trPr>
          <w:trHeight w:val="260"/>
        </w:trPr>
        <w:tc>
          <w:tcPr>
            <w:tcW w:w="1152" w:type="dxa"/>
            <w:tcBorders>
              <w:top w:val="nil"/>
              <w:left w:val="nil"/>
              <w:bottom w:val="nil"/>
              <w:right w:val="nil"/>
            </w:tcBorders>
            <w:shd w:val="clear" w:color="auto" w:fill="auto"/>
            <w:noWrap/>
            <w:vAlign w:val="bottom"/>
            <w:hideMark/>
          </w:tcPr>
          <w:p w14:paraId="1B8AAADB" w14:textId="77777777" w:rsidR="007D6C09" w:rsidRDefault="007D6C09">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31C9435E" w14:textId="77777777" w:rsidR="007D6C09" w:rsidRDefault="007D6C0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12A2AAB" w14:textId="77777777" w:rsidR="007D6C09" w:rsidRDefault="007D6C09">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19B39A78" w14:textId="77777777" w:rsidR="007D6C09" w:rsidRDefault="007D6C09">
            <w:pPr>
              <w:jc w:val="right"/>
              <w:rPr>
                <w:color w:val="000000"/>
                <w:sz w:val="20"/>
                <w:szCs w:val="20"/>
              </w:rPr>
            </w:pPr>
            <w:r>
              <w:rPr>
                <w:color w:val="000000"/>
                <w:sz w:val="20"/>
                <w:szCs w:val="20"/>
              </w:rPr>
              <w:t>0.915</w:t>
            </w:r>
          </w:p>
        </w:tc>
        <w:tc>
          <w:tcPr>
            <w:tcW w:w="864" w:type="dxa"/>
            <w:tcBorders>
              <w:top w:val="nil"/>
              <w:left w:val="nil"/>
              <w:bottom w:val="nil"/>
              <w:right w:val="nil"/>
            </w:tcBorders>
            <w:shd w:val="clear" w:color="auto" w:fill="auto"/>
            <w:noWrap/>
            <w:vAlign w:val="bottom"/>
            <w:hideMark/>
          </w:tcPr>
          <w:p w14:paraId="1A39B7DA"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34ED9E6" w14:textId="77777777" w:rsidR="007D6C09" w:rsidRDefault="007D6C09">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730A0CC4" w14:textId="77777777" w:rsidR="007D6C09" w:rsidRDefault="007D6C09">
            <w:pPr>
              <w:jc w:val="right"/>
              <w:rPr>
                <w:color w:val="000000"/>
                <w:sz w:val="20"/>
                <w:szCs w:val="20"/>
              </w:rPr>
            </w:pPr>
            <w:r>
              <w:rPr>
                <w:color w:val="000000"/>
                <w:sz w:val="20"/>
                <w:szCs w:val="20"/>
              </w:rPr>
              <w:t>0.800</w:t>
            </w:r>
          </w:p>
        </w:tc>
        <w:tc>
          <w:tcPr>
            <w:tcW w:w="864" w:type="dxa"/>
            <w:tcBorders>
              <w:top w:val="nil"/>
              <w:left w:val="nil"/>
              <w:bottom w:val="nil"/>
              <w:right w:val="nil"/>
            </w:tcBorders>
            <w:shd w:val="clear" w:color="auto" w:fill="auto"/>
            <w:noWrap/>
            <w:vAlign w:val="bottom"/>
            <w:hideMark/>
          </w:tcPr>
          <w:p w14:paraId="6398AE97" w14:textId="77777777" w:rsidR="007D6C09" w:rsidRDefault="007D6C09">
            <w:pPr>
              <w:jc w:val="right"/>
              <w:rPr>
                <w:color w:val="000000"/>
                <w:sz w:val="20"/>
                <w:szCs w:val="20"/>
              </w:rPr>
            </w:pPr>
            <w:r>
              <w:rPr>
                <w:color w:val="000000"/>
                <w:sz w:val="20"/>
                <w:szCs w:val="20"/>
              </w:rPr>
              <w:t>0.001</w:t>
            </w:r>
          </w:p>
        </w:tc>
      </w:tr>
      <w:tr w:rsidR="007D6C09" w14:paraId="2FD66664" w14:textId="77777777" w:rsidTr="00402C19">
        <w:trPr>
          <w:trHeight w:val="260"/>
        </w:trPr>
        <w:tc>
          <w:tcPr>
            <w:tcW w:w="1152" w:type="dxa"/>
            <w:tcBorders>
              <w:top w:val="nil"/>
              <w:left w:val="nil"/>
              <w:bottom w:val="nil"/>
              <w:right w:val="nil"/>
            </w:tcBorders>
            <w:shd w:val="clear" w:color="auto" w:fill="auto"/>
            <w:noWrap/>
            <w:vAlign w:val="bottom"/>
            <w:hideMark/>
          </w:tcPr>
          <w:p w14:paraId="7CAABE39"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D50921C" w14:textId="77777777" w:rsidR="007D6C09" w:rsidRDefault="007D6C0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7020A52" w14:textId="77777777" w:rsidR="007D6C09" w:rsidRDefault="007D6C09">
            <w:pPr>
              <w:jc w:val="right"/>
              <w:rPr>
                <w:color w:val="000000"/>
                <w:sz w:val="20"/>
                <w:szCs w:val="20"/>
              </w:rPr>
            </w:pPr>
            <w:r>
              <w:rPr>
                <w:color w:val="000000"/>
                <w:sz w:val="20"/>
                <w:szCs w:val="20"/>
              </w:rPr>
              <w:t>0.073</w:t>
            </w:r>
          </w:p>
        </w:tc>
        <w:tc>
          <w:tcPr>
            <w:tcW w:w="864" w:type="dxa"/>
            <w:tcBorders>
              <w:top w:val="nil"/>
              <w:left w:val="nil"/>
              <w:bottom w:val="nil"/>
              <w:right w:val="nil"/>
            </w:tcBorders>
            <w:shd w:val="clear" w:color="auto" w:fill="auto"/>
            <w:noWrap/>
            <w:vAlign w:val="bottom"/>
            <w:hideMark/>
          </w:tcPr>
          <w:p w14:paraId="0452D6F1" w14:textId="77777777" w:rsidR="007D6C09" w:rsidRDefault="007D6C09">
            <w:pPr>
              <w:jc w:val="right"/>
              <w:rPr>
                <w:color w:val="000000"/>
                <w:sz w:val="20"/>
                <w:szCs w:val="20"/>
              </w:rPr>
            </w:pPr>
            <w:r>
              <w:rPr>
                <w:color w:val="000000"/>
                <w:sz w:val="20"/>
                <w:szCs w:val="20"/>
              </w:rPr>
              <w:t>0.309</w:t>
            </w:r>
          </w:p>
        </w:tc>
        <w:tc>
          <w:tcPr>
            <w:tcW w:w="864" w:type="dxa"/>
            <w:tcBorders>
              <w:top w:val="nil"/>
              <w:left w:val="nil"/>
              <w:bottom w:val="nil"/>
              <w:right w:val="nil"/>
            </w:tcBorders>
            <w:shd w:val="clear" w:color="auto" w:fill="auto"/>
            <w:noWrap/>
            <w:vAlign w:val="bottom"/>
            <w:hideMark/>
          </w:tcPr>
          <w:p w14:paraId="790C8548" w14:textId="77777777" w:rsidR="007D6C09" w:rsidRDefault="007D6C09">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70622206" w14:textId="77777777" w:rsidR="007D6C09" w:rsidRDefault="007D6C09">
            <w:pPr>
              <w:jc w:val="right"/>
              <w:rPr>
                <w:color w:val="000000"/>
                <w:sz w:val="20"/>
                <w:szCs w:val="20"/>
              </w:rPr>
            </w:pPr>
            <w:r>
              <w:rPr>
                <w:color w:val="000000"/>
                <w:sz w:val="20"/>
                <w:szCs w:val="20"/>
              </w:rPr>
              <w:t>0.088</w:t>
            </w:r>
          </w:p>
        </w:tc>
        <w:tc>
          <w:tcPr>
            <w:tcW w:w="864" w:type="dxa"/>
            <w:tcBorders>
              <w:top w:val="nil"/>
              <w:left w:val="nil"/>
              <w:bottom w:val="nil"/>
              <w:right w:val="nil"/>
            </w:tcBorders>
            <w:shd w:val="clear" w:color="auto" w:fill="auto"/>
            <w:noWrap/>
            <w:vAlign w:val="bottom"/>
            <w:hideMark/>
          </w:tcPr>
          <w:p w14:paraId="7FC03E95" w14:textId="77777777" w:rsidR="007D6C09" w:rsidRDefault="007D6C09">
            <w:pPr>
              <w:jc w:val="right"/>
              <w:rPr>
                <w:color w:val="000000"/>
                <w:sz w:val="20"/>
                <w:szCs w:val="20"/>
              </w:rPr>
            </w:pPr>
            <w:r>
              <w:rPr>
                <w:color w:val="000000"/>
                <w:sz w:val="20"/>
                <w:szCs w:val="20"/>
              </w:rPr>
              <w:t>0.107</w:t>
            </w:r>
          </w:p>
        </w:tc>
        <w:tc>
          <w:tcPr>
            <w:tcW w:w="864" w:type="dxa"/>
            <w:tcBorders>
              <w:top w:val="nil"/>
              <w:left w:val="nil"/>
              <w:bottom w:val="nil"/>
              <w:right w:val="nil"/>
            </w:tcBorders>
            <w:shd w:val="clear" w:color="auto" w:fill="auto"/>
            <w:noWrap/>
            <w:vAlign w:val="bottom"/>
            <w:hideMark/>
          </w:tcPr>
          <w:p w14:paraId="0D2DC475" w14:textId="77777777" w:rsidR="007D6C09" w:rsidRDefault="007D6C09">
            <w:pPr>
              <w:jc w:val="right"/>
              <w:rPr>
                <w:color w:val="000000"/>
                <w:sz w:val="20"/>
                <w:szCs w:val="20"/>
              </w:rPr>
            </w:pPr>
            <w:r>
              <w:rPr>
                <w:color w:val="000000"/>
                <w:sz w:val="20"/>
                <w:szCs w:val="20"/>
              </w:rPr>
              <w:t>0.008</w:t>
            </w:r>
          </w:p>
        </w:tc>
      </w:tr>
      <w:tr w:rsidR="007D6C09" w14:paraId="1D72CD62" w14:textId="77777777" w:rsidTr="00402C19">
        <w:trPr>
          <w:trHeight w:val="260"/>
        </w:trPr>
        <w:tc>
          <w:tcPr>
            <w:tcW w:w="1152" w:type="dxa"/>
            <w:tcBorders>
              <w:top w:val="nil"/>
              <w:left w:val="nil"/>
              <w:bottom w:val="nil"/>
              <w:right w:val="nil"/>
            </w:tcBorders>
            <w:shd w:val="clear" w:color="auto" w:fill="auto"/>
            <w:noWrap/>
            <w:vAlign w:val="bottom"/>
            <w:hideMark/>
          </w:tcPr>
          <w:p w14:paraId="4F22D269"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5EED5F2" w14:textId="77777777" w:rsidR="007D6C09" w:rsidRDefault="007D6C0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692698D" w14:textId="77777777" w:rsidR="007D6C09" w:rsidRDefault="007D6C09">
            <w:pPr>
              <w:jc w:val="right"/>
              <w:rPr>
                <w:color w:val="000000"/>
                <w:sz w:val="20"/>
                <w:szCs w:val="20"/>
              </w:rPr>
            </w:pPr>
            <w:r>
              <w:rPr>
                <w:color w:val="000000"/>
                <w:sz w:val="20"/>
                <w:szCs w:val="20"/>
              </w:rPr>
              <w:t>-0.085</w:t>
            </w:r>
          </w:p>
        </w:tc>
        <w:tc>
          <w:tcPr>
            <w:tcW w:w="864" w:type="dxa"/>
            <w:tcBorders>
              <w:top w:val="nil"/>
              <w:left w:val="nil"/>
              <w:bottom w:val="nil"/>
              <w:right w:val="nil"/>
            </w:tcBorders>
            <w:shd w:val="clear" w:color="auto" w:fill="auto"/>
            <w:noWrap/>
            <w:vAlign w:val="bottom"/>
            <w:hideMark/>
          </w:tcPr>
          <w:p w14:paraId="29E80863" w14:textId="77777777" w:rsidR="007D6C09" w:rsidRDefault="007D6C09">
            <w:pPr>
              <w:jc w:val="right"/>
              <w:rPr>
                <w:color w:val="000000"/>
                <w:sz w:val="20"/>
                <w:szCs w:val="20"/>
              </w:rPr>
            </w:pPr>
            <w:r>
              <w:rPr>
                <w:color w:val="000000"/>
                <w:sz w:val="20"/>
                <w:szCs w:val="20"/>
              </w:rPr>
              <w:t>0.080</w:t>
            </w:r>
          </w:p>
        </w:tc>
        <w:tc>
          <w:tcPr>
            <w:tcW w:w="864" w:type="dxa"/>
            <w:tcBorders>
              <w:top w:val="nil"/>
              <w:left w:val="nil"/>
              <w:bottom w:val="nil"/>
              <w:right w:val="nil"/>
            </w:tcBorders>
            <w:shd w:val="clear" w:color="auto" w:fill="auto"/>
            <w:noWrap/>
            <w:vAlign w:val="bottom"/>
            <w:hideMark/>
          </w:tcPr>
          <w:p w14:paraId="4596805A" w14:textId="77777777" w:rsidR="007D6C09" w:rsidRDefault="007D6C09">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39C6D3FD" w14:textId="77777777" w:rsidR="007D6C09" w:rsidRDefault="007D6C09">
            <w:pPr>
              <w:jc w:val="right"/>
              <w:rPr>
                <w:color w:val="000000"/>
                <w:sz w:val="20"/>
                <w:szCs w:val="20"/>
              </w:rPr>
            </w:pPr>
            <w:r>
              <w:rPr>
                <w:color w:val="000000"/>
                <w:sz w:val="20"/>
                <w:szCs w:val="20"/>
              </w:rPr>
              <w:t>-0.069</w:t>
            </w:r>
          </w:p>
        </w:tc>
        <w:tc>
          <w:tcPr>
            <w:tcW w:w="864" w:type="dxa"/>
            <w:tcBorders>
              <w:top w:val="nil"/>
              <w:left w:val="nil"/>
              <w:bottom w:val="nil"/>
              <w:right w:val="nil"/>
            </w:tcBorders>
            <w:shd w:val="clear" w:color="auto" w:fill="auto"/>
            <w:noWrap/>
            <w:vAlign w:val="bottom"/>
            <w:hideMark/>
          </w:tcPr>
          <w:p w14:paraId="1BBF5BD7" w14:textId="77777777" w:rsidR="007D6C09" w:rsidRDefault="007D6C09">
            <w:pPr>
              <w:jc w:val="right"/>
              <w:rPr>
                <w:color w:val="000000"/>
                <w:sz w:val="20"/>
                <w:szCs w:val="20"/>
              </w:rPr>
            </w:pPr>
            <w:r>
              <w:rPr>
                <w:color w:val="000000"/>
                <w:sz w:val="20"/>
                <w:szCs w:val="20"/>
              </w:rPr>
              <w:t>0.107</w:t>
            </w:r>
          </w:p>
        </w:tc>
        <w:tc>
          <w:tcPr>
            <w:tcW w:w="864" w:type="dxa"/>
            <w:tcBorders>
              <w:top w:val="nil"/>
              <w:left w:val="nil"/>
              <w:bottom w:val="nil"/>
              <w:right w:val="nil"/>
            </w:tcBorders>
            <w:shd w:val="clear" w:color="auto" w:fill="auto"/>
            <w:noWrap/>
            <w:vAlign w:val="bottom"/>
            <w:hideMark/>
          </w:tcPr>
          <w:p w14:paraId="17331329" w14:textId="77777777" w:rsidR="007D6C09" w:rsidRDefault="007D6C09">
            <w:pPr>
              <w:jc w:val="right"/>
              <w:rPr>
                <w:color w:val="000000"/>
                <w:sz w:val="20"/>
                <w:szCs w:val="20"/>
              </w:rPr>
            </w:pPr>
            <w:r>
              <w:rPr>
                <w:color w:val="000000"/>
                <w:sz w:val="20"/>
                <w:szCs w:val="20"/>
              </w:rPr>
              <w:t>0.005</w:t>
            </w:r>
          </w:p>
        </w:tc>
      </w:tr>
      <w:tr w:rsidR="007D6C09" w14:paraId="49A98AF7" w14:textId="77777777" w:rsidTr="00402C19">
        <w:trPr>
          <w:trHeight w:val="260"/>
        </w:trPr>
        <w:tc>
          <w:tcPr>
            <w:tcW w:w="1152" w:type="dxa"/>
            <w:tcBorders>
              <w:top w:val="nil"/>
              <w:left w:val="nil"/>
              <w:bottom w:val="nil"/>
              <w:right w:val="nil"/>
            </w:tcBorders>
            <w:shd w:val="clear" w:color="auto" w:fill="auto"/>
            <w:noWrap/>
            <w:vAlign w:val="bottom"/>
            <w:hideMark/>
          </w:tcPr>
          <w:p w14:paraId="583DF900"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C864B04" w14:textId="77777777" w:rsidR="007D6C09" w:rsidRDefault="007D6C0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6F8C660" w14:textId="77777777" w:rsidR="007D6C09" w:rsidRDefault="007D6C09">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30DF1643" w14:textId="77777777" w:rsidR="007D6C09" w:rsidRDefault="007D6C09">
            <w:pPr>
              <w:jc w:val="right"/>
              <w:rPr>
                <w:color w:val="000000"/>
                <w:sz w:val="20"/>
                <w:szCs w:val="20"/>
              </w:rPr>
            </w:pPr>
            <w:r>
              <w:rPr>
                <w:color w:val="000000"/>
                <w:sz w:val="20"/>
                <w:szCs w:val="20"/>
              </w:rPr>
              <w:t>0.915</w:t>
            </w:r>
          </w:p>
        </w:tc>
        <w:tc>
          <w:tcPr>
            <w:tcW w:w="864" w:type="dxa"/>
            <w:tcBorders>
              <w:top w:val="nil"/>
              <w:left w:val="nil"/>
              <w:bottom w:val="nil"/>
              <w:right w:val="nil"/>
            </w:tcBorders>
            <w:shd w:val="clear" w:color="auto" w:fill="auto"/>
            <w:noWrap/>
            <w:vAlign w:val="bottom"/>
            <w:hideMark/>
          </w:tcPr>
          <w:p w14:paraId="7965C375"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0084568" w14:textId="77777777" w:rsidR="007D6C09" w:rsidRDefault="007D6C09">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685B81D1" w14:textId="77777777" w:rsidR="007D6C09" w:rsidRDefault="007D6C09">
            <w:pPr>
              <w:jc w:val="right"/>
              <w:rPr>
                <w:color w:val="000000"/>
                <w:sz w:val="20"/>
                <w:szCs w:val="20"/>
              </w:rPr>
            </w:pPr>
            <w:r>
              <w:rPr>
                <w:color w:val="000000"/>
                <w:sz w:val="20"/>
                <w:szCs w:val="20"/>
              </w:rPr>
              <w:t>0.878</w:t>
            </w:r>
          </w:p>
        </w:tc>
        <w:tc>
          <w:tcPr>
            <w:tcW w:w="864" w:type="dxa"/>
            <w:tcBorders>
              <w:top w:val="nil"/>
              <w:left w:val="nil"/>
              <w:bottom w:val="nil"/>
              <w:right w:val="nil"/>
            </w:tcBorders>
            <w:shd w:val="clear" w:color="auto" w:fill="auto"/>
            <w:noWrap/>
            <w:vAlign w:val="bottom"/>
            <w:hideMark/>
          </w:tcPr>
          <w:p w14:paraId="1990235E" w14:textId="77777777" w:rsidR="007D6C09" w:rsidRDefault="007D6C09">
            <w:pPr>
              <w:jc w:val="right"/>
              <w:rPr>
                <w:color w:val="000000"/>
                <w:sz w:val="20"/>
                <w:szCs w:val="20"/>
              </w:rPr>
            </w:pPr>
            <w:r>
              <w:rPr>
                <w:color w:val="000000"/>
                <w:sz w:val="20"/>
                <w:szCs w:val="20"/>
              </w:rPr>
              <w:t>0.000</w:t>
            </w:r>
          </w:p>
        </w:tc>
      </w:tr>
      <w:tr w:rsidR="007D6C09" w14:paraId="478A83FB" w14:textId="77777777" w:rsidTr="00402C19">
        <w:trPr>
          <w:trHeight w:val="260"/>
        </w:trPr>
        <w:tc>
          <w:tcPr>
            <w:tcW w:w="1152" w:type="dxa"/>
            <w:tcBorders>
              <w:top w:val="nil"/>
              <w:left w:val="nil"/>
              <w:bottom w:val="nil"/>
              <w:right w:val="nil"/>
            </w:tcBorders>
            <w:shd w:val="clear" w:color="auto" w:fill="auto"/>
            <w:noWrap/>
            <w:vAlign w:val="bottom"/>
            <w:hideMark/>
          </w:tcPr>
          <w:p w14:paraId="0844F9F4"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35BF69" w14:textId="77777777" w:rsidR="007D6C09" w:rsidRDefault="007D6C0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DFCFAB4" w14:textId="77777777" w:rsidR="007D6C09" w:rsidRDefault="007D6C09">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6D2ACA3E" w14:textId="77777777" w:rsidR="007D6C09" w:rsidRDefault="007D6C09">
            <w:pPr>
              <w:jc w:val="right"/>
              <w:rPr>
                <w:color w:val="000000"/>
                <w:sz w:val="20"/>
                <w:szCs w:val="20"/>
              </w:rPr>
            </w:pPr>
            <w:r>
              <w:rPr>
                <w:color w:val="000000"/>
                <w:sz w:val="20"/>
                <w:szCs w:val="20"/>
              </w:rPr>
              <w:t>0.520</w:t>
            </w:r>
          </w:p>
        </w:tc>
        <w:tc>
          <w:tcPr>
            <w:tcW w:w="864" w:type="dxa"/>
            <w:tcBorders>
              <w:top w:val="nil"/>
              <w:left w:val="nil"/>
              <w:bottom w:val="nil"/>
              <w:right w:val="nil"/>
            </w:tcBorders>
            <w:shd w:val="clear" w:color="auto" w:fill="auto"/>
            <w:noWrap/>
            <w:vAlign w:val="bottom"/>
            <w:hideMark/>
          </w:tcPr>
          <w:p w14:paraId="1D9D9A4C" w14:textId="77777777" w:rsidR="007D6C09" w:rsidRDefault="007D6C0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2350D22" w14:textId="77777777" w:rsidR="007D6C09" w:rsidRDefault="007D6C09">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08459BAF" w14:textId="77777777" w:rsidR="007D6C09" w:rsidRDefault="007D6C09">
            <w:pPr>
              <w:jc w:val="right"/>
              <w:rPr>
                <w:color w:val="000000"/>
                <w:sz w:val="20"/>
                <w:szCs w:val="20"/>
              </w:rPr>
            </w:pPr>
            <w:r>
              <w:rPr>
                <w:color w:val="000000"/>
                <w:sz w:val="20"/>
                <w:szCs w:val="20"/>
              </w:rPr>
              <w:t>0.878</w:t>
            </w:r>
          </w:p>
        </w:tc>
        <w:tc>
          <w:tcPr>
            <w:tcW w:w="864" w:type="dxa"/>
            <w:tcBorders>
              <w:top w:val="nil"/>
              <w:left w:val="nil"/>
              <w:bottom w:val="nil"/>
              <w:right w:val="nil"/>
            </w:tcBorders>
            <w:shd w:val="clear" w:color="auto" w:fill="auto"/>
            <w:noWrap/>
            <w:vAlign w:val="bottom"/>
            <w:hideMark/>
          </w:tcPr>
          <w:p w14:paraId="7172433E" w14:textId="77777777" w:rsidR="007D6C09" w:rsidRDefault="007D6C09">
            <w:pPr>
              <w:jc w:val="right"/>
              <w:rPr>
                <w:color w:val="000000"/>
                <w:sz w:val="20"/>
                <w:szCs w:val="20"/>
              </w:rPr>
            </w:pPr>
            <w:r>
              <w:rPr>
                <w:color w:val="000000"/>
                <w:sz w:val="20"/>
                <w:szCs w:val="20"/>
              </w:rPr>
              <w:t>0.000</w:t>
            </w:r>
          </w:p>
        </w:tc>
      </w:tr>
      <w:tr w:rsidR="007D6C09" w14:paraId="2A316F5B" w14:textId="77777777" w:rsidTr="00402C19">
        <w:trPr>
          <w:trHeight w:val="260"/>
        </w:trPr>
        <w:tc>
          <w:tcPr>
            <w:tcW w:w="1152" w:type="dxa"/>
            <w:tcBorders>
              <w:top w:val="nil"/>
              <w:left w:val="nil"/>
              <w:bottom w:val="single" w:sz="4" w:space="0" w:color="auto"/>
              <w:right w:val="nil"/>
            </w:tcBorders>
            <w:shd w:val="clear" w:color="auto" w:fill="auto"/>
            <w:noWrap/>
            <w:vAlign w:val="bottom"/>
            <w:hideMark/>
          </w:tcPr>
          <w:p w14:paraId="27F601BC" w14:textId="77777777" w:rsidR="007D6C09" w:rsidRDefault="007D6C09">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3AD6310" w14:textId="77777777" w:rsidR="007D6C09" w:rsidRDefault="007D6C09">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DBE2784" w14:textId="77777777" w:rsidR="007D6C09" w:rsidRDefault="007D6C09">
            <w:pPr>
              <w:jc w:val="right"/>
              <w:rPr>
                <w:color w:val="000000"/>
                <w:sz w:val="20"/>
                <w:szCs w:val="20"/>
              </w:rPr>
            </w:pPr>
            <w:r>
              <w:rPr>
                <w:color w:val="000000"/>
                <w:sz w:val="20"/>
                <w:szCs w:val="20"/>
              </w:rPr>
              <w:t>0.026</w:t>
            </w:r>
          </w:p>
        </w:tc>
        <w:tc>
          <w:tcPr>
            <w:tcW w:w="864" w:type="dxa"/>
            <w:tcBorders>
              <w:top w:val="nil"/>
              <w:left w:val="nil"/>
              <w:bottom w:val="single" w:sz="4" w:space="0" w:color="auto"/>
              <w:right w:val="nil"/>
            </w:tcBorders>
            <w:shd w:val="clear" w:color="auto" w:fill="auto"/>
            <w:noWrap/>
            <w:vAlign w:val="bottom"/>
            <w:hideMark/>
          </w:tcPr>
          <w:p w14:paraId="12FED077" w14:textId="77777777" w:rsidR="007D6C09" w:rsidRDefault="007D6C09">
            <w:pPr>
              <w:jc w:val="right"/>
              <w:rPr>
                <w:color w:val="000000"/>
                <w:sz w:val="20"/>
                <w:szCs w:val="20"/>
              </w:rPr>
            </w:pPr>
            <w:r>
              <w:rPr>
                <w:color w:val="000000"/>
                <w:sz w:val="20"/>
                <w:szCs w:val="20"/>
              </w:rPr>
              <w:t>0.687</w:t>
            </w:r>
          </w:p>
        </w:tc>
        <w:tc>
          <w:tcPr>
            <w:tcW w:w="864" w:type="dxa"/>
            <w:tcBorders>
              <w:top w:val="nil"/>
              <w:left w:val="nil"/>
              <w:bottom w:val="single" w:sz="4" w:space="0" w:color="auto"/>
              <w:right w:val="nil"/>
            </w:tcBorders>
            <w:shd w:val="clear" w:color="auto" w:fill="auto"/>
            <w:noWrap/>
            <w:vAlign w:val="bottom"/>
            <w:hideMark/>
          </w:tcPr>
          <w:p w14:paraId="54903314" w14:textId="77777777" w:rsidR="007D6C09" w:rsidRDefault="007D6C09">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3B047BE7" w14:textId="77777777" w:rsidR="007D6C09" w:rsidRDefault="007D6C09">
            <w:pPr>
              <w:jc w:val="right"/>
              <w:rPr>
                <w:color w:val="000000"/>
                <w:sz w:val="20"/>
                <w:szCs w:val="20"/>
              </w:rPr>
            </w:pPr>
            <w:r>
              <w:rPr>
                <w:color w:val="000000"/>
                <w:sz w:val="20"/>
                <w:szCs w:val="20"/>
              </w:rPr>
              <w:t>0.006</w:t>
            </w:r>
          </w:p>
        </w:tc>
        <w:tc>
          <w:tcPr>
            <w:tcW w:w="864" w:type="dxa"/>
            <w:tcBorders>
              <w:top w:val="nil"/>
              <w:left w:val="nil"/>
              <w:bottom w:val="single" w:sz="4" w:space="0" w:color="auto"/>
              <w:right w:val="nil"/>
            </w:tcBorders>
            <w:shd w:val="clear" w:color="auto" w:fill="auto"/>
            <w:noWrap/>
            <w:vAlign w:val="bottom"/>
            <w:hideMark/>
          </w:tcPr>
          <w:p w14:paraId="36122D80" w14:textId="77777777" w:rsidR="007D6C09" w:rsidRDefault="007D6C09">
            <w:pPr>
              <w:jc w:val="right"/>
              <w:rPr>
                <w:color w:val="000000"/>
                <w:sz w:val="20"/>
                <w:szCs w:val="20"/>
              </w:rPr>
            </w:pPr>
            <w:r>
              <w:rPr>
                <w:color w:val="000000"/>
                <w:sz w:val="20"/>
                <w:szCs w:val="20"/>
              </w:rPr>
              <w:t>0.882</w:t>
            </w:r>
          </w:p>
        </w:tc>
        <w:tc>
          <w:tcPr>
            <w:tcW w:w="864" w:type="dxa"/>
            <w:tcBorders>
              <w:top w:val="nil"/>
              <w:left w:val="nil"/>
              <w:bottom w:val="single" w:sz="4" w:space="0" w:color="auto"/>
              <w:right w:val="nil"/>
            </w:tcBorders>
            <w:shd w:val="clear" w:color="auto" w:fill="auto"/>
            <w:noWrap/>
            <w:vAlign w:val="bottom"/>
            <w:hideMark/>
          </w:tcPr>
          <w:p w14:paraId="72686682" w14:textId="77777777" w:rsidR="007D6C09" w:rsidRDefault="007D6C09">
            <w:pPr>
              <w:jc w:val="right"/>
              <w:rPr>
                <w:color w:val="000000"/>
                <w:sz w:val="20"/>
                <w:szCs w:val="20"/>
              </w:rPr>
            </w:pPr>
            <w:r>
              <w:rPr>
                <w:color w:val="000000"/>
                <w:sz w:val="20"/>
                <w:szCs w:val="20"/>
              </w:rPr>
              <w:t>0.000</w:t>
            </w:r>
          </w:p>
        </w:tc>
      </w:tr>
      <w:tr w:rsidR="007D6C09" w14:paraId="03B4AFBF" w14:textId="77777777" w:rsidTr="00402C19">
        <w:trPr>
          <w:trHeight w:val="260"/>
        </w:trPr>
        <w:tc>
          <w:tcPr>
            <w:tcW w:w="1152" w:type="dxa"/>
            <w:tcBorders>
              <w:top w:val="nil"/>
              <w:left w:val="nil"/>
              <w:bottom w:val="nil"/>
              <w:right w:val="nil"/>
            </w:tcBorders>
            <w:shd w:val="clear" w:color="auto" w:fill="auto"/>
            <w:noWrap/>
            <w:vAlign w:val="bottom"/>
            <w:hideMark/>
          </w:tcPr>
          <w:p w14:paraId="4589BFB7" w14:textId="77777777" w:rsidR="007D6C09" w:rsidRDefault="007D6C09">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508C9829" w14:textId="77777777" w:rsidR="007D6C09" w:rsidRDefault="007D6C09">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CB63E14" w14:textId="77777777" w:rsidR="007D6C09" w:rsidRDefault="007D6C09">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36784F4C" w14:textId="77777777" w:rsidR="007D6C09" w:rsidRDefault="007D6C09">
            <w:pPr>
              <w:jc w:val="right"/>
              <w:rPr>
                <w:color w:val="000000"/>
                <w:sz w:val="20"/>
                <w:szCs w:val="20"/>
              </w:rPr>
            </w:pPr>
            <w:r>
              <w:rPr>
                <w:color w:val="000000"/>
                <w:sz w:val="20"/>
                <w:szCs w:val="20"/>
              </w:rPr>
              <w:t>0.860</w:t>
            </w:r>
          </w:p>
        </w:tc>
        <w:tc>
          <w:tcPr>
            <w:tcW w:w="864" w:type="dxa"/>
            <w:tcBorders>
              <w:top w:val="nil"/>
              <w:left w:val="nil"/>
              <w:bottom w:val="nil"/>
              <w:right w:val="nil"/>
            </w:tcBorders>
            <w:shd w:val="clear" w:color="auto" w:fill="auto"/>
            <w:noWrap/>
            <w:vAlign w:val="bottom"/>
            <w:hideMark/>
          </w:tcPr>
          <w:p w14:paraId="4086DBC5"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0A9E125" w14:textId="77777777" w:rsidR="007D6C09" w:rsidRDefault="007D6C09">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602F1458" w14:textId="77777777" w:rsidR="007D6C09" w:rsidRDefault="007D6C09">
            <w:pPr>
              <w:jc w:val="right"/>
              <w:rPr>
                <w:color w:val="000000"/>
                <w:sz w:val="20"/>
                <w:szCs w:val="20"/>
              </w:rPr>
            </w:pPr>
            <w:r>
              <w:rPr>
                <w:color w:val="000000"/>
                <w:sz w:val="20"/>
                <w:szCs w:val="20"/>
              </w:rPr>
              <w:t>0.782</w:t>
            </w:r>
          </w:p>
        </w:tc>
        <w:tc>
          <w:tcPr>
            <w:tcW w:w="864" w:type="dxa"/>
            <w:tcBorders>
              <w:top w:val="nil"/>
              <w:left w:val="nil"/>
              <w:bottom w:val="nil"/>
              <w:right w:val="nil"/>
            </w:tcBorders>
            <w:shd w:val="clear" w:color="auto" w:fill="auto"/>
            <w:noWrap/>
            <w:vAlign w:val="bottom"/>
            <w:hideMark/>
          </w:tcPr>
          <w:p w14:paraId="092C4DE3" w14:textId="77777777" w:rsidR="007D6C09" w:rsidRDefault="007D6C09">
            <w:pPr>
              <w:jc w:val="right"/>
              <w:rPr>
                <w:color w:val="000000"/>
                <w:sz w:val="20"/>
                <w:szCs w:val="20"/>
              </w:rPr>
            </w:pPr>
            <w:r>
              <w:rPr>
                <w:color w:val="000000"/>
                <w:sz w:val="20"/>
                <w:szCs w:val="20"/>
              </w:rPr>
              <w:t>0.000</w:t>
            </w:r>
          </w:p>
        </w:tc>
      </w:tr>
      <w:tr w:rsidR="007D6C09" w14:paraId="6071C0B4" w14:textId="77777777" w:rsidTr="00402C19">
        <w:trPr>
          <w:trHeight w:val="260"/>
        </w:trPr>
        <w:tc>
          <w:tcPr>
            <w:tcW w:w="1152" w:type="dxa"/>
            <w:tcBorders>
              <w:top w:val="nil"/>
              <w:left w:val="nil"/>
              <w:bottom w:val="nil"/>
              <w:right w:val="nil"/>
            </w:tcBorders>
            <w:shd w:val="clear" w:color="auto" w:fill="auto"/>
            <w:noWrap/>
            <w:vAlign w:val="bottom"/>
            <w:hideMark/>
          </w:tcPr>
          <w:p w14:paraId="45C6E14B"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9BDC8D8" w14:textId="77777777" w:rsidR="007D6C09" w:rsidRDefault="007D6C0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0CEF511" w14:textId="77777777" w:rsidR="007D6C09" w:rsidRDefault="007D6C09">
            <w:pPr>
              <w:jc w:val="right"/>
              <w:rPr>
                <w:b/>
                <w:bCs/>
                <w:color w:val="000000"/>
                <w:sz w:val="20"/>
                <w:szCs w:val="20"/>
              </w:rPr>
            </w:pPr>
            <w:r>
              <w:rPr>
                <w:b/>
                <w:bCs/>
                <w:color w:val="000000"/>
                <w:sz w:val="20"/>
                <w:szCs w:val="20"/>
              </w:rPr>
              <w:t>-0.126</w:t>
            </w:r>
          </w:p>
        </w:tc>
        <w:tc>
          <w:tcPr>
            <w:tcW w:w="864" w:type="dxa"/>
            <w:tcBorders>
              <w:top w:val="nil"/>
              <w:left w:val="nil"/>
              <w:bottom w:val="nil"/>
              <w:right w:val="nil"/>
            </w:tcBorders>
            <w:shd w:val="clear" w:color="auto" w:fill="auto"/>
            <w:noWrap/>
            <w:vAlign w:val="bottom"/>
            <w:hideMark/>
          </w:tcPr>
          <w:p w14:paraId="1E9C448D" w14:textId="77777777" w:rsidR="007D6C09" w:rsidRDefault="007D6C09">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6BFE919D" w14:textId="77777777" w:rsidR="007D6C09" w:rsidRDefault="007D6C09">
            <w:pPr>
              <w:jc w:val="right"/>
              <w:rPr>
                <w:b/>
                <w:bCs/>
                <w:color w:val="000000"/>
                <w:sz w:val="20"/>
                <w:szCs w:val="20"/>
              </w:rPr>
            </w:pPr>
            <w:r>
              <w:rPr>
                <w:b/>
                <w:bCs/>
                <w:color w:val="000000"/>
                <w:sz w:val="20"/>
                <w:szCs w:val="20"/>
              </w:rPr>
              <w:t>0.016</w:t>
            </w:r>
          </w:p>
        </w:tc>
        <w:tc>
          <w:tcPr>
            <w:tcW w:w="864" w:type="dxa"/>
            <w:tcBorders>
              <w:top w:val="nil"/>
              <w:left w:val="nil"/>
              <w:bottom w:val="nil"/>
              <w:right w:val="nil"/>
            </w:tcBorders>
            <w:shd w:val="clear" w:color="auto" w:fill="auto"/>
            <w:noWrap/>
            <w:vAlign w:val="bottom"/>
            <w:hideMark/>
          </w:tcPr>
          <w:p w14:paraId="202528D0" w14:textId="77777777" w:rsidR="007D6C09" w:rsidRDefault="007D6C09">
            <w:pPr>
              <w:jc w:val="right"/>
              <w:rPr>
                <w:b/>
                <w:bCs/>
                <w:color w:val="000000"/>
                <w:sz w:val="20"/>
                <w:szCs w:val="20"/>
              </w:rPr>
            </w:pPr>
            <w:r>
              <w:rPr>
                <w:b/>
                <w:bCs/>
                <w:color w:val="000000"/>
                <w:sz w:val="20"/>
                <w:szCs w:val="20"/>
              </w:rPr>
              <w:t>-0.130</w:t>
            </w:r>
          </w:p>
        </w:tc>
        <w:tc>
          <w:tcPr>
            <w:tcW w:w="864" w:type="dxa"/>
            <w:tcBorders>
              <w:top w:val="nil"/>
              <w:left w:val="nil"/>
              <w:bottom w:val="nil"/>
              <w:right w:val="nil"/>
            </w:tcBorders>
            <w:shd w:val="clear" w:color="auto" w:fill="auto"/>
            <w:noWrap/>
            <w:vAlign w:val="bottom"/>
            <w:hideMark/>
          </w:tcPr>
          <w:p w14:paraId="4C9B7DAB" w14:textId="77777777" w:rsidR="007D6C09" w:rsidRDefault="007D6C09">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0430D541" w14:textId="77777777" w:rsidR="007D6C09" w:rsidRDefault="007D6C09">
            <w:pPr>
              <w:jc w:val="right"/>
              <w:rPr>
                <w:b/>
                <w:bCs/>
                <w:color w:val="000000"/>
                <w:sz w:val="20"/>
                <w:szCs w:val="20"/>
              </w:rPr>
            </w:pPr>
            <w:r>
              <w:rPr>
                <w:b/>
                <w:bCs/>
                <w:color w:val="000000"/>
                <w:sz w:val="20"/>
                <w:szCs w:val="20"/>
              </w:rPr>
              <w:t>0.017</w:t>
            </w:r>
          </w:p>
        </w:tc>
      </w:tr>
      <w:tr w:rsidR="007D6C09" w14:paraId="127B4F1E" w14:textId="77777777" w:rsidTr="00402C19">
        <w:trPr>
          <w:trHeight w:val="260"/>
        </w:trPr>
        <w:tc>
          <w:tcPr>
            <w:tcW w:w="1152" w:type="dxa"/>
            <w:tcBorders>
              <w:top w:val="nil"/>
              <w:left w:val="nil"/>
              <w:bottom w:val="nil"/>
              <w:right w:val="nil"/>
            </w:tcBorders>
            <w:shd w:val="clear" w:color="auto" w:fill="auto"/>
            <w:noWrap/>
            <w:vAlign w:val="bottom"/>
            <w:hideMark/>
          </w:tcPr>
          <w:p w14:paraId="06FAAC09" w14:textId="77777777" w:rsidR="007D6C09" w:rsidRDefault="007D6C09">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59A6854C" w14:textId="77777777" w:rsidR="007D6C09" w:rsidRDefault="007D6C0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4549F01" w14:textId="77777777" w:rsidR="007D6C09" w:rsidRDefault="007D6C09">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1D64E6DF" w14:textId="77777777" w:rsidR="007D6C09" w:rsidRDefault="007D6C09">
            <w:pPr>
              <w:jc w:val="right"/>
              <w:rPr>
                <w:color w:val="000000"/>
                <w:sz w:val="20"/>
                <w:szCs w:val="20"/>
              </w:rPr>
            </w:pPr>
            <w:r>
              <w:rPr>
                <w:color w:val="000000"/>
                <w:sz w:val="20"/>
                <w:szCs w:val="20"/>
              </w:rPr>
              <w:t>0.860</w:t>
            </w:r>
          </w:p>
        </w:tc>
        <w:tc>
          <w:tcPr>
            <w:tcW w:w="864" w:type="dxa"/>
            <w:tcBorders>
              <w:top w:val="nil"/>
              <w:left w:val="nil"/>
              <w:bottom w:val="nil"/>
              <w:right w:val="nil"/>
            </w:tcBorders>
            <w:shd w:val="clear" w:color="auto" w:fill="auto"/>
            <w:noWrap/>
            <w:vAlign w:val="bottom"/>
            <w:hideMark/>
          </w:tcPr>
          <w:p w14:paraId="42F9B601"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0C818A9" w14:textId="77777777" w:rsidR="007D6C09" w:rsidRDefault="007D6C09">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1766CC23" w14:textId="77777777" w:rsidR="007D6C09" w:rsidRDefault="007D6C09">
            <w:pPr>
              <w:jc w:val="right"/>
              <w:rPr>
                <w:color w:val="000000"/>
                <w:sz w:val="20"/>
                <w:szCs w:val="20"/>
              </w:rPr>
            </w:pPr>
            <w:r>
              <w:rPr>
                <w:color w:val="000000"/>
                <w:sz w:val="20"/>
                <w:szCs w:val="20"/>
              </w:rPr>
              <w:t>0.578</w:t>
            </w:r>
          </w:p>
        </w:tc>
        <w:tc>
          <w:tcPr>
            <w:tcW w:w="864" w:type="dxa"/>
            <w:tcBorders>
              <w:top w:val="nil"/>
              <w:left w:val="nil"/>
              <w:bottom w:val="nil"/>
              <w:right w:val="nil"/>
            </w:tcBorders>
            <w:shd w:val="clear" w:color="auto" w:fill="auto"/>
            <w:noWrap/>
            <w:vAlign w:val="bottom"/>
            <w:hideMark/>
          </w:tcPr>
          <w:p w14:paraId="5DB20BCB" w14:textId="77777777" w:rsidR="007D6C09" w:rsidRDefault="007D6C09">
            <w:pPr>
              <w:jc w:val="right"/>
              <w:rPr>
                <w:color w:val="000000"/>
                <w:sz w:val="20"/>
                <w:szCs w:val="20"/>
              </w:rPr>
            </w:pPr>
            <w:r>
              <w:rPr>
                <w:color w:val="000000"/>
                <w:sz w:val="20"/>
                <w:szCs w:val="20"/>
              </w:rPr>
              <w:t>0.002</w:t>
            </w:r>
          </w:p>
        </w:tc>
      </w:tr>
      <w:tr w:rsidR="007D6C09" w14:paraId="0F001785" w14:textId="77777777" w:rsidTr="00402C19">
        <w:trPr>
          <w:trHeight w:val="260"/>
        </w:trPr>
        <w:tc>
          <w:tcPr>
            <w:tcW w:w="1152" w:type="dxa"/>
            <w:tcBorders>
              <w:top w:val="nil"/>
              <w:left w:val="nil"/>
              <w:bottom w:val="nil"/>
              <w:right w:val="nil"/>
            </w:tcBorders>
            <w:shd w:val="clear" w:color="auto" w:fill="auto"/>
            <w:noWrap/>
            <w:vAlign w:val="bottom"/>
            <w:hideMark/>
          </w:tcPr>
          <w:p w14:paraId="1F96DDF5"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9CDD259" w14:textId="77777777" w:rsidR="007D6C09" w:rsidRDefault="007D6C0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80B9212" w14:textId="77777777" w:rsidR="007D6C09" w:rsidRDefault="007D6C09">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1EEFB28E" w14:textId="77777777" w:rsidR="007D6C09" w:rsidRDefault="007D6C09">
            <w:pPr>
              <w:jc w:val="right"/>
              <w:rPr>
                <w:color w:val="000000"/>
                <w:sz w:val="20"/>
                <w:szCs w:val="20"/>
              </w:rPr>
            </w:pPr>
            <w:r>
              <w:rPr>
                <w:color w:val="000000"/>
                <w:sz w:val="20"/>
                <w:szCs w:val="20"/>
              </w:rPr>
              <w:t>0.320</w:t>
            </w:r>
          </w:p>
        </w:tc>
        <w:tc>
          <w:tcPr>
            <w:tcW w:w="864" w:type="dxa"/>
            <w:tcBorders>
              <w:top w:val="nil"/>
              <w:left w:val="nil"/>
              <w:bottom w:val="nil"/>
              <w:right w:val="nil"/>
            </w:tcBorders>
            <w:shd w:val="clear" w:color="auto" w:fill="auto"/>
            <w:noWrap/>
            <w:vAlign w:val="bottom"/>
            <w:hideMark/>
          </w:tcPr>
          <w:p w14:paraId="6CA1A848" w14:textId="77777777" w:rsidR="007D6C09" w:rsidRDefault="007D6C0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0C1C2ED" w14:textId="77777777" w:rsidR="007D6C09" w:rsidRDefault="007D6C09">
            <w:pPr>
              <w:jc w:val="right"/>
              <w:rPr>
                <w:color w:val="000000"/>
                <w:sz w:val="20"/>
                <w:szCs w:val="20"/>
              </w:rPr>
            </w:pPr>
            <w:r>
              <w:rPr>
                <w:color w:val="000000"/>
                <w:sz w:val="20"/>
                <w:szCs w:val="20"/>
              </w:rPr>
              <w:t>0.069</w:t>
            </w:r>
          </w:p>
        </w:tc>
        <w:tc>
          <w:tcPr>
            <w:tcW w:w="864" w:type="dxa"/>
            <w:tcBorders>
              <w:top w:val="nil"/>
              <w:left w:val="nil"/>
              <w:bottom w:val="nil"/>
              <w:right w:val="nil"/>
            </w:tcBorders>
            <w:shd w:val="clear" w:color="auto" w:fill="auto"/>
            <w:noWrap/>
            <w:vAlign w:val="bottom"/>
            <w:hideMark/>
          </w:tcPr>
          <w:p w14:paraId="745FBFCF" w14:textId="77777777" w:rsidR="007D6C09" w:rsidRDefault="007D6C09">
            <w:pPr>
              <w:jc w:val="right"/>
              <w:rPr>
                <w:color w:val="000000"/>
                <w:sz w:val="20"/>
                <w:szCs w:val="20"/>
              </w:rPr>
            </w:pPr>
            <w:r>
              <w:rPr>
                <w:color w:val="000000"/>
                <w:sz w:val="20"/>
                <w:szCs w:val="20"/>
              </w:rPr>
              <w:t>0.116</w:t>
            </w:r>
          </w:p>
        </w:tc>
        <w:tc>
          <w:tcPr>
            <w:tcW w:w="864" w:type="dxa"/>
            <w:tcBorders>
              <w:top w:val="nil"/>
              <w:left w:val="nil"/>
              <w:bottom w:val="nil"/>
              <w:right w:val="nil"/>
            </w:tcBorders>
            <w:shd w:val="clear" w:color="auto" w:fill="auto"/>
            <w:noWrap/>
            <w:vAlign w:val="bottom"/>
            <w:hideMark/>
          </w:tcPr>
          <w:p w14:paraId="184E4D81" w14:textId="77777777" w:rsidR="007D6C09" w:rsidRDefault="007D6C09">
            <w:pPr>
              <w:jc w:val="right"/>
              <w:rPr>
                <w:color w:val="000000"/>
                <w:sz w:val="20"/>
                <w:szCs w:val="20"/>
              </w:rPr>
            </w:pPr>
            <w:r>
              <w:rPr>
                <w:color w:val="000000"/>
                <w:sz w:val="20"/>
                <w:szCs w:val="20"/>
              </w:rPr>
              <w:t>0.005</w:t>
            </w:r>
          </w:p>
        </w:tc>
      </w:tr>
      <w:tr w:rsidR="007D6C09" w14:paraId="55555AB7" w14:textId="77777777" w:rsidTr="00402C19">
        <w:trPr>
          <w:trHeight w:val="260"/>
        </w:trPr>
        <w:tc>
          <w:tcPr>
            <w:tcW w:w="1152" w:type="dxa"/>
            <w:tcBorders>
              <w:top w:val="nil"/>
              <w:left w:val="nil"/>
              <w:bottom w:val="nil"/>
              <w:right w:val="nil"/>
            </w:tcBorders>
            <w:shd w:val="clear" w:color="auto" w:fill="auto"/>
            <w:noWrap/>
            <w:vAlign w:val="bottom"/>
            <w:hideMark/>
          </w:tcPr>
          <w:p w14:paraId="11931200"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2644D1" w14:textId="77777777" w:rsidR="007D6C09" w:rsidRDefault="007D6C0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12AF652" w14:textId="77777777" w:rsidR="007D6C09" w:rsidRDefault="007D6C09">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08386CF4" w14:textId="77777777" w:rsidR="007D6C09" w:rsidRDefault="007D6C09">
            <w:pPr>
              <w:jc w:val="right"/>
              <w:rPr>
                <w:color w:val="000000"/>
                <w:sz w:val="20"/>
                <w:szCs w:val="20"/>
              </w:rPr>
            </w:pPr>
            <w:r>
              <w:rPr>
                <w:color w:val="000000"/>
                <w:sz w:val="20"/>
                <w:szCs w:val="20"/>
              </w:rPr>
              <w:t>0.320</w:t>
            </w:r>
          </w:p>
        </w:tc>
        <w:tc>
          <w:tcPr>
            <w:tcW w:w="864" w:type="dxa"/>
            <w:tcBorders>
              <w:top w:val="nil"/>
              <w:left w:val="nil"/>
              <w:bottom w:val="nil"/>
              <w:right w:val="nil"/>
            </w:tcBorders>
            <w:shd w:val="clear" w:color="auto" w:fill="auto"/>
            <w:noWrap/>
            <w:vAlign w:val="bottom"/>
            <w:hideMark/>
          </w:tcPr>
          <w:p w14:paraId="77B872DA" w14:textId="77777777" w:rsidR="007D6C09" w:rsidRDefault="007D6C0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A1B0775" w14:textId="77777777" w:rsidR="007D6C09" w:rsidRDefault="007D6C09">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79FA13DA" w14:textId="77777777" w:rsidR="007D6C09" w:rsidRDefault="007D6C09">
            <w:pPr>
              <w:jc w:val="right"/>
              <w:rPr>
                <w:color w:val="000000"/>
                <w:sz w:val="20"/>
                <w:szCs w:val="20"/>
              </w:rPr>
            </w:pPr>
            <w:r>
              <w:rPr>
                <w:color w:val="000000"/>
                <w:sz w:val="20"/>
                <w:szCs w:val="20"/>
              </w:rPr>
              <w:t>0.578</w:t>
            </w:r>
          </w:p>
        </w:tc>
        <w:tc>
          <w:tcPr>
            <w:tcW w:w="864" w:type="dxa"/>
            <w:tcBorders>
              <w:top w:val="nil"/>
              <w:left w:val="nil"/>
              <w:bottom w:val="nil"/>
              <w:right w:val="nil"/>
            </w:tcBorders>
            <w:shd w:val="clear" w:color="auto" w:fill="auto"/>
            <w:noWrap/>
            <w:vAlign w:val="bottom"/>
            <w:hideMark/>
          </w:tcPr>
          <w:p w14:paraId="09D8983F" w14:textId="77777777" w:rsidR="007D6C09" w:rsidRDefault="007D6C09">
            <w:pPr>
              <w:jc w:val="right"/>
              <w:rPr>
                <w:color w:val="000000"/>
                <w:sz w:val="20"/>
                <w:szCs w:val="20"/>
              </w:rPr>
            </w:pPr>
            <w:r>
              <w:rPr>
                <w:color w:val="000000"/>
                <w:sz w:val="20"/>
                <w:szCs w:val="20"/>
              </w:rPr>
              <w:t>0.001</w:t>
            </w:r>
          </w:p>
        </w:tc>
      </w:tr>
      <w:tr w:rsidR="007D6C09" w14:paraId="657F13A0" w14:textId="77777777" w:rsidTr="00402C19">
        <w:trPr>
          <w:trHeight w:val="260"/>
        </w:trPr>
        <w:tc>
          <w:tcPr>
            <w:tcW w:w="1152" w:type="dxa"/>
            <w:tcBorders>
              <w:top w:val="nil"/>
              <w:left w:val="nil"/>
              <w:bottom w:val="nil"/>
              <w:right w:val="nil"/>
            </w:tcBorders>
            <w:shd w:val="clear" w:color="auto" w:fill="auto"/>
            <w:noWrap/>
            <w:vAlign w:val="bottom"/>
            <w:hideMark/>
          </w:tcPr>
          <w:p w14:paraId="4685F04D"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B60A14D" w14:textId="77777777" w:rsidR="007D6C09" w:rsidRDefault="007D6C0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518CCF4" w14:textId="77777777" w:rsidR="007D6C09" w:rsidRDefault="007D6C09">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037B9F82" w14:textId="77777777" w:rsidR="007D6C09" w:rsidRDefault="007D6C09">
            <w:pPr>
              <w:jc w:val="right"/>
              <w:rPr>
                <w:color w:val="000000"/>
                <w:sz w:val="20"/>
                <w:szCs w:val="20"/>
              </w:rPr>
            </w:pPr>
            <w:r>
              <w:rPr>
                <w:color w:val="000000"/>
                <w:sz w:val="20"/>
                <w:szCs w:val="20"/>
              </w:rPr>
              <w:t>0.735</w:t>
            </w:r>
          </w:p>
        </w:tc>
        <w:tc>
          <w:tcPr>
            <w:tcW w:w="864" w:type="dxa"/>
            <w:tcBorders>
              <w:top w:val="nil"/>
              <w:left w:val="nil"/>
              <w:bottom w:val="nil"/>
              <w:right w:val="nil"/>
            </w:tcBorders>
            <w:shd w:val="clear" w:color="auto" w:fill="auto"/>
            <w:noWrap/>
            <w:vAlign w:val="bottom"/>
            <w:hideMark/>
          </w:tcPr>
          <w:p w14:paraId="38A30329"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0BD19EE" w14:textId="77777777" w:rsidR="007D6C09" w:rsidRDefault="007D6C09">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519897BA" w14:textId="77777777" w:rsidR="007D6C09" w:rsidRDefault="007D6C09">
            <w:pPr>
              <w:jc w:val="right"/>
              <w:rPr>
                <w:color w:val="000000"/>
                <w:sz w:val="20"/>
                <w:szCs w:val="20"/>
              </w:rPr>
            </w:pPr>
            <w:r>
              <w:rPr>
                <w:color w:val="000000"/>
                <w:sz w:val="20"/>
                <w:szCs w:val="20"/>
              </w:rPr>
              <w:t>0.782</w:t>
            </w:r>
          </w:p>
        </w:tc>
        <w:tc>
          <w:tcPr>
            <w:tcW w:w="864" w:type="dxa"/>
            <w:tcBorders>
              <w:top w:val="nil"/>
              <w:left w:val="nil"/>
              <w:bottom w:val="nil"/>
              <w:right w:val="nil"/>
            </w:tcBorders>
            <w:shd w:val="clear" w:color="auto" w:fill="auto"/>
            <w:noWrap/>
            <w:vAlign w:val="bottom"/>
            <w:hideMark/>
          </w:tcPr>
          <w:p w14:paraId="6601935C" w14:textId="77777777" w:rsidR="007D6C09" w:rsidRDefault="007D6C09">
            <w:pPr>
              <w:jc w:val="right"/>
              <w:rPr>
                <w:color w:val="000000"/>
                <w:sz w:val="20"/>
                <w:szCs w:val="20"/>
              </w:rPr>
            </w:pPr>
            <w:r>
              <w:rPr>
                <w:color w:val="000000"/>
                <w:sz w:val="20"/>
                <w:szCs w:val="20"/>
              </w:rPr>
              <w:t>0.000</w:t>
            </w:r>
          </w:p>
        </w:tc>
      </w:tr>
      <w:tr w:rsidR="007D6C09" w14:paraId="183ECA9A" w14:textId="77777777" w:rsidTr="00402C19">
        <w:trPr>
          <w:trHeight w:val="260"/>
        </w:trPr>
        <w:tc>
          <w:tcPr>
            <w:tcW w:w="1152" w:type="dxa"/>
            <w:tcBorders>
              <w:top w:val="nil"/>
              <w:left w:val="nil"/>
              <w:bottom w:val="nil"/>
              <w:right w:val="nil"/>
            </w:tcBorders>
            <w:shd w:val="clear" w:color="auto" w:fill="auto"/>
            <w:noWrap/>
            <w:vAlign w:val="bottom"/>
            <w:hideMark/>
          </w:tcPr>
          <w:p w14:paraId="5720CDD8"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85C6D0" w14:textId="77777777" w:rsidR="007D6C09" w:rsidRDefault="007D6C0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728F041" w14:textId="77777777" w:rsidR="007D6C09" w:rsidRDefault="007D6C09">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0895CD86" w14:textId="77777777" w:rsidR="007D6C09" w:rsidRDefault="007D6C09">
            <w:pPr>
              <w:jc w:val="right"/>
              <w:rPr>
                <w:color w:val="000000"/>
                <w:sz w:val="20"/>
                <w:szCs w:val="20"/>
              </w:rPr>
            </w:pPr>
            <w:r>
              <w:rPr>
                <w:color w:val="000000"/>
                <w:sz w:val="20"/>
                <w:szCs w:val="20"/>
              </w:rPr>
              <w:t>0.429</w:t>
            </w:r>
          </w:p>
        </w:tc>
        <w:tc>
          <w:tcPr>
            <w:tcW w:w="864" w:type="dxa"/>
            <w:tcBorders>
              <w:top w:val="nil"/>
              <w:left w:val="nil"/>
              <w:bottom w:val="nil"/>
              <w:right w:val="nil"/>
            </w:tcBorders>
            <w:shd w:val="clear" w:color="auto" w:fill="auto"/>
            <w:noWrap/>
            <w:vAlign w:val="bottom"/>
            <w:hideMark/>
          </w:tcPr>
          <w:p w14:paraId="75FA5456" w14:textId="77777777" w:rsidR="007D6C09" w:rsidRDefault="007D6C0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1F824C19" w14:textId="77777777" w:rsidR="007D6C09" w:rsidRDefault="007D6C09">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64AE2170" w14:textId="77777777" w:rsidR="007D6C09" w:rsidRDefault="007D6C09">
            <w:pPr>
              <w:jc w:val="right"/>
              <w:rPr>
                <w:color w:val="000000"/>
                <w:sz w:val="20"/>
                <w:szCs w:val="20"/>
              </w:rPr>
            </w:pPr>
            <w:r>
              <w:rPr>
                <w:color w:val="000000"/>
                <w:sz w:val="20"/>
                <w:szCs w:val="20"/>
              </w:rPr>
              <w:t>0.890</w:t>
            </w:r>
          </w:p>
        </w:tc>
        <w:tc>
          <w:tcPr>
            <w:tcW w:w="864" w:type="dxa"/>
            <w:tcBorders>
              <w:top w:val="nil"/>
              <w:left w:val="nil"/>
              <w:bottom w:val="nil"/>
              <w:right w:val="nil"/>
            </w:tcBorders>
            <w:shd w:val="clear" w:color="auto" w:fill="auto"/>
            <w:noWrap/>
            <w:vAlign w:val="bottom"/>
            <w:hideMark/>
          </w:tcPr>
          <w:p w14:paraId="0745B509" w14:textId="77777777" w:rsidR="007D6C09" w:rsidRDefault="007D6C09">
            <w:pPr>
              <w:jc w:val="right"/>
              <w:rPr>
                <w:color w:val="000000"/>
                <w:sz w:val="20"/>
                <w:szCs w:val="20"/>
              </w:rPr>
            </w:pPr>
            <w:r>
              <w:rPr>
                <w:color w:val="000000"/>
                <w:sz w:val="20"/>
                <w:szCs w:val="20"/>
              </w:rPr>
              <w:t>0.000</w:t>
            </w:r>
          </w:p>
        </w:tc>
      </w:tr>
      <w:tr w:rsidR="007D6C09" w14:paraId="1A5D66B7" w14:textId="77777777" w:rsidTr="00402C19">
        <w:trPr>
          <w:trHeight w:val="260"/>
        </w:trPr>
        <w:tc>
          <w:tcPr>
            <w:tcW w:w="1152" w:type="dxa"/>
            <w:tcBorders>
              <w:top w:val="nil"/>
              <w:left w:val="nil"/>
              <w:bottom w:val="single" w:sz="4" w:space="0" w:color="auto"/>
              <w:right w:val="nil"/>
            </w:tcBorders>
            <w:shd w:val="clear" w:color="auto" w:fill="auto"/>
            <w:noWrap/>
            <w:vAlign w:val="bottom"/>
            <w:hideMark/>
          </w:tcPr>
          <w:p w14:paraId="3BEF2F7E" w14:textId="77777777" w:rsidR="007D6C09" w:rsidRDefault="007D6C09">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1FDBB6E" w14:textId="77777777" w:rsidR="007D6C09" w:rsidRDefault="007D6C09">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5E0C4FD0" w14:textId="77777777" w:rsidR="007D6C09" w:rsidRDefault="007D6C09">
            <w:pPr>
              <w:jc w:val="right"/>
              <w:rPr>
                <w:color w:val="000000"/>
                <w:sz w:val="20"/>
                <w:szCs w:val="20"/>
              </w:rPr>
            </w:pPr>
            <w:r>
              <w:rPr>
                <w:color w:val="000000"/>
                <w:sz w:val="20"/>
                <w:szCs w:val="20"/>
              </w:rPr>
              <w:t>0.051</w:t>
            </w:r>
          </w:p>
        </w:tc>
        <w:tc>
          <w:tcPr>
            <w:tcW w:w="864" w:type="dxa"/>
            <w:tcBorders>
              <w:top w:val="nil"/>
              <w:left w:val="nil"/>
              <w:bottom w:val="single" w:sz="4" w:space="0" w:color="auto"/>
              <w:right w:val="nil"/>
            </w:tcBorders>
            <w:shd w:val="clear" w:color="auto" w:fill="auto"/>
            <w:noWrap/>
            <w:vAlign w:val="bottom"/>
            <w:hideMark/>
          </w:tcPr>
          <w:p w14:paraId="195ECB23" w14:textId="77777777" w:rsidR="007D6C09" w:rsidRDefault="007D6C09">
            <w:pPr>
              <w:jc w:val="right"/>
              <w:rPr>
                <w:color w:val="000000"/>
                <w:sz w:val="20"/>
                <w:szCs w:val="20"/>
              </w:rPr>
            </w:pPr>
            <w:r>
              <w:rPr>
                <w:color w:val="000000"/>
                <w:sz w:val="20"/>
                <w:szCs w:val="20"/>
              </w:rPr>
              <w:t>0.320</w:t>
            </w:r>
          </w:p>
        </w:tc>
        <w:tc>
          <w:tcPr>
            <w:tcW w:w="864" w:type="dxa"/>
            <w:tcBorders>
              <w:top w:val="nil"/>
              <w:left w:val="nil"/>
              <w:bottom w:val="single" w:sz="4" w:space="0" w:color="auto"/>
              <w:right w:val="nil"/>
            </w:tcBorders>
            <w:shd w:val="clear" w:color="auto" w:fill="auto"/>
            <w:noWrap/>
            <w:vAlign w:val="bottom"/>
            <w:hideMark/>
          </w:tcPr>
          <w:p w14:paraId="64A3B8C2" w14:textId="77777777" w:rsidR="007D6C09" w:rsidRDefault="007D6C09">
            <w:pPr>
              <w:jc w:val="right"/>
              <w:rPr>
                <w:color w:val="000000"/>
                <w:sz w:val="20"/>
                <w:szCs w:val="20"/>
              </w:rPr>
            </w:pPr>
            <w:r>
              <w:rPr>
                <w:color w:val="000000"/>
                <w:sz w:val="20"/>
                <w:szCs w:val="20"/>
              </w:rPr>
              <w:t>0.003</w:t>
            </w:r>
          </w:p>
        </w:tc>
        <w:tc>
          <w:tcPr>
            <w:tcW w:w="864" w:type="dxa"/>
            <w:tcBorders>
              <w:top w:val="nil"/>
              <w:left w:val="nil"/>
              <w:bottom w:val="single" w:sz="4" w:space="0" w:color="auto"/>
              <w:right w:val="nil"/>
            </w:tcBorders>
            <w:shd w:val="clear" w:color="auto" w:fill="auto"/>
            <w:noWrap/>
            <w:vAlign w:val="bottom"/>
            <w:hideMark/>
          </w:tcPr>
          <w:p w14:paraId="77F3C968" w14:textId="77777777" w:rsidR="007D6C09" w:rsidRDefault="007D6C09">
            <w:pPr>
              <w:jc w:val="right"/>
              <w:rPr>
                <w:color w:val="000000"/>
                <w:sz w:val="20"/>
                <w:szCs w:val="20"/>
              </w:rPr>
            </w:pPr>
            <w:r>
              <w:rPr>
                <w:color w:val="000000"/>
                <w:sz w:val="20"/>
                <w:szCs w:val="20"/>
              </w:rPr>
              <w:t>0.016</w:t>
            </w:r>
          </w:p>
        </w:tc>
        <w:tc>
          <w:tcPr>
            <w:tcW w:w="864" w:type="dxa"/>
            <w:tcBorders>
              <w:top w:val="nil"/>
              <w:left w:val="nil"/>
              <w:bottom w:val="single" w:sz="4" w:space="0" w:color="auto"/>
              <w:right w:val="nil"/>
            </w:tcBorders>
            <w:shd w:val="clear" w:color="auto" w:fill="auto"/>
            <w:noWrap/>
            <w:vAlign w:val="bottom"/>
            <w:hideMark/>
          </w:tcPr>
          <w:p w14:paraId="5E82A04D" w14:textId="77777777" w:rsidR="007D6C09" w:rsidRDefault="007D6C09">
            <w:pPr>
              <w:jc w:val="right"/>
              <w:rPr>
                <w:color w:val="000000"/>
                <w:sz w:val="20"/>
                <w:szCs w:val="20"/>
              </w:rPr>
            </w:pPr>
            <w:r>
              <w:rPr>
                <w:color w:val="000000"/>
                <w:sz w:val="20"/>
                <w:szCs w:val="20"/>
              </w:rPr>
              <w:t>0.782</w:t>
            </w:r>
          </w:p>
        </w:tc>
        <w:tc>
          <w:tcPr>
            <w:tcW w:w="864" w:type="dxa"/>
            <w:tcBorders>
              <w:top w:val="nil"/>
              <w:left w:val="nil"/>
              <w:bottom w:val="single" w:sz="4" w:space="0" w:color="auto"/>
              <w:right w:val="nil"/>
            </w:tcBorders>
            <w:shd w:val="clear" w:color="auto" w:fill="auto"/>
            <w:noWrap/>
            <w:vAlign w:val="bottom"/>
            <w:hideMark/>
          </w:tcPr>
          <w:p w14:paraId="544C9E2F" w14:textId="77777777" w:rsidR="007D6C09" w:rsidRDefault="007D6C09">
            <w:pPr>
              <w:jc w:val="right"/>
              <w:rPr>
                <w:color w:val="000000"/>
                <w:sz w:val="20"/>
                <w:szCs w:val="20"/>
              </w:rPr>
            </w:pPr>
            <w:r>
              <w:rPr>
                <w:color w:val="000000"/>
                <w:sz w:val="20"/>
                <w:szCs w:val="20"/>
              </w:rPr>
              <w:t>0.000</w:t>
            </w:r>
          </w:p>
        </w:tc>
      </w:tr>
      <w:tr w:rsidR="007D6C09" w14:paraId="6B3E2D4F" w14:textId="77777777" w:rsidTr="00402C19">
        <w:trPr>
          <w:trHeight w:val="260"/>
        </w:trPr>
        <w:tc>
          <w:tcPr>
            <w:tcW w:w="1152" w:type="dxa"/>
            <w:tcBorders>
              <w:top w:val="nil"/>
              <w:left w:val="nil"/>
              <w:bottom w:val="nil"/>
              <w:right w:val="nil"/>
            </w:tcBorders>
            <w:shd w:val="clear" w:color="auto" w:fill="auto"/>
            <w:noWrap/>
            <w:vAlign w:val="bottom"/>
            <w:hideMark/>
          </w:tcPr>
          <w:p w14:paraId="0C3A34B4" w14:textId="77777777" w:rsidR="007D6C09" w:rsidRDefault="007D6C09">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3004960A" w14:textId="77777777" w:rsidR="007D6C09" w:rsidRDefault="007D6C09">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AFCBD66" w14:textId="77777777" w:rsidR="007D6C09" w:rsidRDefault="007D6C0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CFABBA3" w14:textId="77777777" w:rsidR="007D6C09" w:rsidRDefault="007D6C09">
            <w:pPr>
              <w:jc w:val="right"/>
              <w:rPr>
                <w:color w:val="000000"/>
                <w:sz w:val="20"/>
                <w:szCs w:val="20"/>
              </w:rPr>
            </w:pPr>
            <w:r>
              <w:rPr>
                <w:color w:val="000000"/>
                <w:sz w:val="20"/>
                <w:szCs w:val="20"/>
              </w:rPr>
              <w:t>0.927</w:t>
            </w:r>
          </w:p>
        </w:tc>
        <w:tc>
          <w:tcPr>
            <w:tcW w:w="864" w:type="dxa"/>
            <w:tcBorders>
              <w:top w:val="nil"/>
              <w:left w:val="nil"/>
              <w:bottom w:val="nil"/>
              <w:right w:val="nil"/>
            </w:tcBorders>
            <w:shd w:val="clear" w:color="auto" w:fill="auto"/>
            <w:noWrap/>
            <w:vAlign w:val="bottom"/>
            <w:hideMark/>
          </w:tcPr>
          <w:p w14:paraId="09FD1DEE"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E71F266" w14:textId="77777777" w:rsidR="007D6C09" w:rsidRDefault="007D6C09">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046D2314" w14:textId="77777777" w:rsidR="007D6C09" w:rsidRDefault="007D6C09">
            <w:pPr>
              <w:jc w:val="right"/>
              <w:rPr>
                <w:color w:val="000000"/>
                <w:sz w:val="20"/>
                <w:szCs w:val="20"/>
              </w:rPr>
            </w:pPr>
            <w:r>
              <w:rPr>
                <w:color w:val="000000"/>
                <w:sz w:val="20"/>
                <w:szCs w:val="20"/>
              </w:rPr>
              <w:t>0.747</w:t>
            </w:r>
          </w:p>
        </w:tc>
        <w:tc>
          <w:tcPr>
            <w:tcW w:w="864" w:type="dxa"/>
            <w:tcBorders>
              <w:top w:val="nil"/>
              <w:left w:val="nil"/>
              <w:bottom w:val="nil"/>
              <w:right w:val="nil"/>
            </w:tcBorders>
            <w:shd w:val="clear" w:color="auto" w:fill="auto"/>
            <w:noWrap/>
            <w:vAlign w:val="bottom"/>
            <w:hideMark/>
          </w:tcPr>
          <w:p w14:paraId="69E75895" w14:textId="77777777" w:rsidR="007D6C09" w:rsidRDefault="007D6C09">
            <w:pPr>
              <w:jc w:val="right"/>
              <w:rPr>
                <w:color w:val="000000"/>
                <w:sz w:val="20"/>
                <w:szCs w:val="20"/>
              </w:rPr>
            </w:pPr>
            <w:r>
              <w:rPr>
                <w:color w:val="000000"/>
                <w:sz w:val="20"/>
                <w:szCs w:val="20"/>
              </w:rPr>
              <w:t>0.000</w:t>
            </w:r>
          </w:p>
        </w:tc>
      </w:tr>
      <w:tr w:rsidR="007D6C09" w14:paraId="7FCE655B" w14:textId="77777777" w:rsidTr="00402C19">
        <w:trPr>
          <w:trHeight w:val="260"/>
        </w:trPr>
        <w:tc>
          <w:tcPr>
            <w:tcW w:w="1152" w:type="dxa"/>
            <w:tcBorders>
              <w:top w:val="nil"/>
              <w:left w:val="nil"/>
              <w:bottom w:val="nil"/>
              <w:right w:val="nil"/>
            </w:tcBorders>
            <w:shd w:val="clear" w:color="auto" w:fill="auto"/>
            <w:noWrap/>
            <w:vAlign w:val="bottom"/>
            <w:hideMark/>
          </w:tcPr>
          <w:p w14:paraId="4B5D2017"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EA4FDE1" w14:textId="77777777" w:rsidR="007D6C09" w:rsidRDefault="007D6C0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AAC6D51" w14:textId="77777777" w:rsidR="007D6C09" w:rsidRDefault="007D6C09">
            <w:pPr>
              <w:jc w:val="right"/>
              <w:rPr>
                <w:b/>
                <w:bCs/>
                <w:color w:val="000000"/>
                <w:sz w:val="20"/>
                <w:szCs w:val="20"/>
              </w:rPr>
            </w:pPr>
            <w:r>
              <w:rPr>
                <w:b/>
                <w:bCs/>
                <w:color w:val="000000"/>
                <w:sz w:val="20"/>
                <w:szCs w:val="20"/>
              </w:rPr>
              <w:t>-0.116</w:t>
            </w:r>
          </w:p>
        </w:tc>
        <w:tc>
          <w:tcPr>
            <w:tcW w:w="864" w:type="dxa"/>
            <w:tcBorders>
              <w:top w:val="nil"/>
              <w:left w:val="nil"/>
              <w:bottom w:val="nil"/>
              <w:right w:val="nil"/>
            </w:tcBorders>
            <w:shd w:val="clear" w:color="auto" w:fill="auto"/>
            <w:noWrap/>
            <w:vAlign w:val="bottom"/>
            <w:hideMark/>
          </w:tcPr>
          <w:p w14:paraId="33EA8854" w14:textId="77777777" w:rsidR="007D6C09" w:rsidRDefault="007D6C09">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477CD86E" w14:textId="77777777" w:rsidR="007D6C09" w:rsidRDefault="007D6C09">
            <w:pPr>
              <w:jc w:val="right"/>
              <w:rPr>
                <w:b/>
                <w:bCs/>
                <w:color w:val="000000"/>
                <w:sz w:val="20"/>
                <w:szCs w:val="20"/>
              </w:rPr>
            </w:pPr>
            <w:r>
              <w:rPr>
                <w:b/>
                <w:bCs/>
                <w:color w:val="000000"/>
                <w:sz w:val="20"/>
                <w:szCs w:val="20"/>
              </w:rPr>
              <w:t>0.013</w:t>
            </w:r>
          </w:p>
        </w:tc>
        <w:tc>
          <w:tcPr>
            <w:tcW w:w="864" w:type="dxa"/>
            <w:tcBorders>
              <w:top w:val="nil"/>
              <w:left w:val="nil"/>
              <w:bottom w:val="nil"/>
              <w:right w:val="nil"/>
            </w:tcBorders>
            <w:shd w:val="clear" w:color="auto" w:fill="auto"/>
            <w:noWrap/>
            <w:vAlign w:val="bottom"/>
            <w:hideMark/>
          </w:tcPr>
          <w:p w14:paraId="1B87CC9B" w14:textId="77777777" w:rsidR="007D6C09" w:rsidRDefault="007D6C09">
            <w:pPr>
              <w:jc w:val="right"/>
              <w:rPr>
                <w:b/>
                <w:bCs/>
                <w:color w:val="000000"/>
                <w:sz w:val="20"/>
                <w:szCs w:val="20"/>
              </w:rPr>
            </w:pPr>
            <w:r>
              <w:rPr>
                <w:b/>
                <w:bCs/>
                <w:color w:val="000000"/>
                <w:sz w:val="20"/>
                <w:szCs w:val="20"/>
              </w:rPr>
              <w:t>-0.112</w:t>
            </w:r>
          </w:p>
        </w:tc>
        <w:tc>
          <w:tcPr>
            <w:tcW w:w="864" w:type="dxa"/>
            <w:tcBorders>
              <w:top w:val="nil"/>
              <w:left w:val="nil"/>
              <w:bottom w:val="nil"/>
              <w:right w:val="nil"/>
            </w:tcBorders>
            <w:shd w:val="clear" w:color="auto" w:fill="auto"/>
            <w:noWrap/>
            <w:vAlign w:val="bottom"/>
            <w:hideMark/>
          </w:tcPr>
          <w:p w14:paraId="43C10537" w14:textId="77777777" w:rsidR="007D6C09" w:rsidRDefault="007D6C09">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5EF1DD94" w14:textId="77777777" w:rsidR="007D6C09" w:rsidRDefault="007D6C09">
            <w:pPr>
              <w:jc w:val="right"/>
              <w:rPr>
                <w:b/>
                <w:bCs/>
                <w:color w:val="000000"/>
                <w:sz w:val="20"/>
                <w:szCs w:val="20"/>
              </w:rPr>
            </w:pPr>
            <w:r>
              <w:rPr>
                <w:b/>
                <w:bCs/>
                <w:color w:val="000000"/>
                <w:sz w:val="20"/>
                <w:szCs w:val="20"/>
              </w:rPr>
              <w:t>0.013</w:t>
            </w:r>
          </w:p>
        </w:tc>
      </w:tr>
      <w:tr w:rsidR="007D6C09" w14:paraId="32E9CB31" w14:textId="77777777" w:rsidTr="00402C19">
        <w:trPr>
          <w:trHeight w:val="260"/>
        </w:trPr>
        <w:tc>
          <w:tcPr>
            <w:tcW w:w="1152" w:type="dxa"/>
            <w:tcBorders>
              <w:top w:val="nil"/>
              <w:left w:val="nil"/>
              <w:bottom w:val="nil"/>
              <w:right w:val="nil"/>
            </w:tcBorders>
            <w:shd w:val="clear" w:color="auto" w:fill="auto"/>
            <w:noWrap/>
            <w:vAlign w:val="bottom"/>
            <w:hideMark/>
          </w:tcPr>
          <w:p w14:paraId="2C135829" w14:textId="77777777" w:rsidR="007D6C09" w:rsidRDefault="007D6C09">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7D29D95C" w14:textId="77777777" w:rsidR="007D6C09" w:rsidRDefault="007D6C0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9848EAA" w14:textId="77777777" w:rsidR="007D6C09" w:rsidRDefault="007D6C09">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D61ED7D" w14:textId="77777777" w:rsidR="007D6C09" w:rsidRDefault="007D6C09">
            <w:pPr>
              <w:jc w:val="right"/>
              <w:rPr>
                <w:color w:val="000000"/>
                <w:sz w:val="20"/>
                <w:szCs w:val="20"/>
              </w:rPr>
            </w:pPr>
            <w:r>
              <w:rPr>
                <w:color w:val="000000"/>
                <w:sz w:val="20"/>
                <w:szCs w:val="20"/>
              </w:rPr>
              <w:t>0.927</w:t>
            </w:r>
          </w:p>
        </w:tc>
        <w:tc>
          <w:tcPr>
            <w:tcW w:w="864" w:type="dxa"/>
            <w:tcBorders>
              <w:top w:val="nil"/>
              <w:left w:val="nil"/>
              <w:bottom w:val="nil"/>
              <w:right w:val="nil"/>
            </w:tcBorders>
            <w:shd w:val="clear" w:color="auto" w:fill="auto"/>
            <w:noWrap/>
            <w:vAlign w:val="bottom"/>
            <w:hideMark/>
          </w:tcPr>
          <w:p w14:paraId="30E0DD88"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D9F6D78" w14:textId="77777777" w:rsidR="007D6C09" w:rsidRDefault="007D6C09">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28375DE0" w14:textId="77777777" w:rsidR="007D6C09" w:rsidRDefault="007D6C09">
            <w:pPr>
              <w:jc w:val="right"/>
              <w:rPr>
                <w:color w:val="000000"/>
                <w:sz w:val="20"/>
                <w:szCs w:val="20"/>
              </w:rPr>
            </w:pPr>
            <w:r>
              <w:rPr>
                <w:color w:val="000000"/>
                <w:sz w:val="20"/>
                <w:szCs w:val="20"/>
              </w:rPr>
              <w:t>0.673</w:t>
            </w:r>
          </w:p>
        </w:tc>
        <w:tc>
          <w:tcPr>
            <w:tcW w:w="864" w:type="dxa"/>
            <w:tcBorders>
              <w:top w:val="nil"/>
              <w:left w:val="nil"/>
              <w:bottom w:val="nil"/>
              <w:right w:val="nil"/>
            </w:tcBorders>
            <w:shd w:val="clear" w:color="auto" w:fill="auto"/>
            <w:noWrap/>
            <w:vAlign w:val="bottom"/>
            <w:hideMark/>
          </w:tcPr>
          <w:p w14:paraId="6F192693" w14:textId="77777777" w:rsidR="007D6C09" w:rsidRDefault="007D6C09">
            <w:pPr>
              <w:jc w:val="right"/>
              <w:rPr>
                <w:color w:val="000000"/>
                <w:sz w:val="20"/>
                <w:szCs w:val="20"/>
              </w:rPr>
            </w:pPr>
            <w:r>
              <w:rPr>
                <w:color w:val="000000"/>
                <w:sz w:val="20"/>
                <w:szCs w:val="20"/>
              </w:rPr>
              <w:t>0.000</w:t>
            </w:r>
          </w:p>
        </w:tc>
      </w:tr>
      <w:tr w:rsidR="007D6C09" w14:paraId="045D5014" w14:textId="77777777" w:rsidTr="00402C19">
        <w:trPr>
          <w:trHeight w:val="260"/>
        </w:trPr>
        <w:tc>
          <w:tcPr>
            <w:tcW w:w="1152" w:type="dxa"/>
            <w:tcBorders>
              <w:top w:val="nil"/>
              <w:left w:val="nil"/>
              <w:bottom w:val="nil"/>
              <w:right w:val="nil"/>
            </w:tcBorders>
            <w:shd w:val="clear" w:color="auto" w:fill="auto"/>
            <w:noWrap/>
            <w:vAlign w:val="bottom"/>
            <w:hideMark/>
          </w:tcPr>
          <w:p w14:paraId="4E24DEF5"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78A33C5" w14:textId="77777777" w:rsidR="007D6C09" w:rsidRDefault="007D6C0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BF0F372" w14:textId="77777777" w:rsidR="007D6C09" w:rsidRDefault="007D6C09">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35B81F07" w14:textId="77777777" w:rsidR="007D6C09" w:rsidRDefault="007D6C09">
            <w:pPr>
              <w:jc w:val="right"/>
              <w:rPr>
                <w:color w:val="000000"/>
                <w:sz w:val="20"/>
                <w:szCs w:val="20"/>
              </w:rPr>
            </w:pPr>
            <w:r>
              <w:rPr>
                <w:color w:val="000000"/>
                <w:sz w:val="20"/>
                <w:szCs w:val="20"/>
              </w:rPr>
              <w:t>0.927</w:t>
            </w:r>
          </w:p>
        </w:tc>
        <w:tc>
          <w:tcPr>
            <w:tcW w:w="864" w:type="dxa"/>
            <w:tcBorders>
              <w:top w:val="nil"/>
              <w:left w:val="nil"/>
              <w:bottom w:val="nil"/>
              <w:right w:val="nil"/>
            </w:tcBorders>
            <w:shd w:val="clear" w:color="auto" w:fill="auto"/>
            <w:noWrap/>
            <w:vAlign w:val="bottom"/>
            <w:hideMark/>
          </w:tcPr>
          <w:p w14:paraId="738B1560"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9BFE8CE" w14:textId="77777777" w:rsidR="007D6C09" w:rsidRDefault="007D6C09">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1252F417" w14:textId="77777777" w:rsidR="007D6C09" w:rsidRDefault="007D6C09">
            <w:pPr>
              <w:jc w:val="right"/>
              <w:rPr>
                <w:color w:val="000000"/>
                <w:sz w:val="20"/>
                <w:szCs w:val="20"/>
              </w:rPr>
            </w:pPr>
            <w:r>
              <w:rPr>
                <w:color w:val="000000"/>
                <w:sz w:val="20"/>
                <w:szCs w:val="20"/>
              </w:rPr>
              <w:t>0.379</w:t>
            </w:r>
          </w:p>
        </w:tc>
        <w:tc>
          <w:tcPr>
            <w:tcW w:w="864" w:type="dxa"/>
            <w:tcBorders>
              <w:top w:val="nil"/>
              <w:left w:val="nil"/>
              <w:bottom w:val="nil"/>
              <w:right w:val="nil"/>
            </w:tcBorders>
            <w:shd w:val="clear" w:color="auto" w:fill="auto"/>
            <w:noWrap/>
            <w:vAlign w:val="bottom"/>
            <w:hideMark/>
          </w:tcPr>
          <w:p w14:paraId="136AD440" w14:textId="77777777" w:rsidR="007D6C09" w:rsidRDefault="007D6C09">
            <w:pPr>
              <w:jc w:val="right"/>
              <w:rPr>
                <w:color w:val="000000"/>
                <w:sz w:val="20"/>
                <w:szCs w:val="20"/>
              </w:rPr>
            </w:pPr>
            <w:r>
              <w:rPr>
                <w:color w:val="000000"/>
                <w:sz w:val="20"/>
                <w:szCs w:val="20"/>
              </w:rPr>
              <w:t>0.002</w:t>
            </w:r>
          </w:p>
        </w:tc>
      </w:tr>
      <w:tr w:rsidR="007D6C09" w14:paraId="135E9622" w14:textId="77777777" w:rsidTr="00402C19">
        <w:trPr>
          <w:trHeight w:val="260"/>
        </w:trPr>
        <w:tc>
          <w:tcPr>
            <w:tcW w:w="1152" w:type="dxa"/>
            <w:tcBorders>
              <w:top w:val="nil"/>
              <w:left w:val="nil"/>
              <w:bottom w:val="nil"/>
              <w:right w:val="nil"/>
            </w:tcBorders>
            <w:shd w:val="clear" w:color="auto" w:fill="auto"/>
            <w:noWrap/>
            <w:vAlign w:val="bottom"/>
            <w:hideMark/>
          </w:tcPr>
          <w:p w14:paraId="0AD5C4EB"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5F020F2" w14:textId="77777777" w:rsidR="007D6C09" w:rsidRDefault="007D6C0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82CB8E2" w14:textId="77777777" w:rsidR="007D6C09" w:rsidRDefault="007D6C09">
            <w:pPr>
              <w:jc w:val="right"/>
              <w:rPr>
                <w:color w:val="000000"/>
                <w:sz w:val="20"/>
                <w:szCs w:val="20"/>
              </w:rPr>
            </w:pPr>
            <w:r>
              <w:rPr>
                <w:color w:val="000000"/>
                <w:sz w:val="20"/>
                <w:szCs w:val="20"/>
              </w:rPr>
              <w:t>-0.078</w:t>
            </w:r>
          </w:p>
        </w:tc>
        <w:tc>
          <w:tcPr>
            <w:tcW w:w="864" w:type="dxa"/>
            <w:tcBorders>
              <w:top w:val="nil"/>
              <w:left w:val="nil"/>
              <w:bottom w:val="nil"/>
              <w:right w:val="nil"/>
            </w:tcBorders>
            <w:shd w:val="clear" w:color="auto" w:fill="auto"/>
            <w:noWrap/>
            <w:vAlign w:val="bottom"/>
            <w:hideMark/>
          </w:tcPr>
          <w:p w14:paraId="56BD8F31" w14:textId="77777777" w:rsidR="007D6C09" w:rsidRDefault="007D6C09">
            <w:pPr>
              <w:jc w:val="right"/>
              <w:rPr>
                <w:color w:val="000000"/>
                <w:sz w:val="20"/>
                <w:szCs w:val="20"/>
              </w:rPr>
            </w:pPr>
            <w:r>
              <w:rPr>
                <w:color w:val="000000"/>
                <w:sz w:val="20"/>
                <w:szCs w:val="20"/>
              </w:rPr>
              <w:t>0.060</w:t>
            </w:r>
          </w:p>
        </w:tc>
        <w:tc>
          <w:tcPr>
            <w:tcW w:w="864" w:type="dxa"/>
            <w:tcBorders>
              <w:top w:val="nil"/>
              <w:left w:val="nil"/>
              <w:bottom w:val="nil"/>
              <w:right w:val="nil"/>
            </w:tcBorders>
            <w:shd w:val="clear" w:color="auto" w:fill="auto"/>
            <w:noWrap/>
            <w:vAlign w:val="bottom"/>
            <w:hideMark/>
          </w:tcPr>
          <w:p w14:paraId="412B2384" w14:textId="77777777" w:rsidR="007D6C09" w:rsidRDefault="007D6C09">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EFE5B31" w14:textId="77777777" w:rsidR="007D6C09" w:rsidRDefault="007D6C09">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6EFD3147" w14:textId="77777777" w:rsidR="007D6C09" w:rsidRDefault="007D6C09">
            <w:pPr>
              <w:jc w:val="right"/>
              <w:rPr>
                <w:color w:val="000000"/>
                <w:sz w:val="20"/>
                <w:szCs w:val="20"/>
              </w:rPr>
            </w:pPr>
            <w:r>
              <w:rPr>
                <w:color w:val="000000"/>
                <w:sz w:val="20"/>
                <w:szCs w:val="20"/>
              </w:rPr>
              <w:t>0.076</w:t>
            </w:r>
          </w:p>
        </w:tc>
        <w:tc>
          <w:tcPr>
            <w:tcW w:w="864" w:type="dxa"/>
            <w:tcBorders>
              <w:top w:val="nil"/>
              <w:left w:val="nil"/>
              <w:bottom w:val="nil"/>
              <w:right w:val="nil"/>
            </w:tcBorders>
            <w:shd w:val="clear" w:color="auto" w:fill="auto"/>
            <w:noWrap/>
            <w:vAlign w:val="bottom"/>
            <w:hideMark/>
          </w:tcPr>
          <w:p w14:paraId="02585FC4" w14:textId="77777777" w:rsidR="007D6C09" w:rsidRDefault="007D6C09">
            <w:pPr>
              <w:jc w:val="right"/>
              <w:rPr>
                <w:color w:val="000000"/>
                <w:sz w:val="20"/>
                <w:szCs w:val="20"/>
              </w:rPr>
            </w:pPr>
            <w:r>
              <w:rPr>
                <w:color w:val="000000"/>
                <w:sz w:val="20"/>
                <w:szCs w:val="20"/>
              </w:rPr>
              <w:t>0.005</w:t>
            </w:r>
          </w:p>
        </w:tc>
      </w:tr>
      <w:tr w:rsidR="007D6C09" w14:paraId="1619E4E3" w14:textId="77777777" w:rsidTr="00402C19">
        <w:trPr>
          <w:trHeight w:val="260"/>
        </w:trPr>
        <w:tc>
          <w:tcPr>
            <w:tcW w:w="1152" w:type="dxa"/>
            <w:tcBorders>
              <w:top w:val="nil"/>
              <w:left w:val="nil"/>
              <w:bottom w:val="nil"/>
              <w:right w:val="nil"/>
            </w:tcBorders>
            <w:shd w:val="clear" w:color="auto" w:fill="auto"/>
            <w:noWrap/>
            <w:vAlign w:val="bottom"/>
            <w:hideMark/>
          </w:tcPr>
          <w:p w14:paraId="2EB2451C"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8121AD7" w14:textId="77777777" w:rsidR="007D6C09" w:rsidRDefault="007D6C0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99C7183" w14:textId="77777777" w:rsidR="007D6C09" w:rsidRDefault="007D6C09">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41BB8C66" w14:textId="77777777" w:rsidR="007D6C09" w:rsidRDefault="007D6C09">
            <w:pPr>
              <w:jc w:val="right"/>
              <w:rPr>
                <w:color w:val="000000"/>
                <w:sz w:val="20"/>
                <w:szCs w:val="20"/>
              </w:rPr>
            </w:pPr>
            <w:r>
              <w:rPr>
                <w:color w:val="000000"/>
                <w:sz w:val="20"/>
                <w:szCs w:val="20"/>
              </w:rPr>
              <w:t>0.462</w:t>
            </w:r>
          </w:p>
        </w:tc>
        <w:tc>
          <w:tcPr>
            <w:tcW w:w="864" w:type="dxa"/>
            <w:tcBorders>
              <w:top w:val="nil"/>
              <w:left w:val="nil"/>
              <w:bottom w:val="nil"/>
              <w:right w:val="nil"/>
            </w:tcBorders>
            <w:shd w:val="clear" w:color="auto" w:fill="auto"/>
            <w:noWrap/>
            <w:vAlign w:val="bottom"/>
            <w:hideMark/>
          </w:tcPr>
          <w:p w14:paraId="53060EC7" w14:textId="77777777" w:rsidR="007D6C09" w:rsidRDefault="007D6C0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A71CD73" w14:textId="77777777" w:rsidR="007D6C09" w:rsidRDefault="007D6C09">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6AE3707E" w14:textId="77777777" w:rsidR="007D6C09" w:rsidRDefault="007D6C09">
            <w:pPr>
              <w:jc w:val="right"/>
              <w:rPr>
                <w:color w:val="000000"/>
                <w:sz w:val="20"/>
                <w:szCs w:val="20"/>
              </w:rPr>
            </w:pPr>
            <w:r>
              <w:rPr>
                <w:color w:val="000000"/>
                <w:sz w:val="20"/>
                <w:szCs w:val="20"/>
              </w:rPr>
              <w:t>0.379</w:t>
            </w:r>
          </w:p>
        </w:tc>
        <w:tc>
          <w:tcPr>
            <w:tcW w:w="864" w:type="dxa"/>
            <w:tcBorders>
              <w:top w:val="nil"/>
              <w:left w:val="nil"/>
              <w:bottom w:val="nil"/>
              <w:right w:val="nil"/>
            </w:tcBorders>
            <w:shd w:val="clear" w:color="auto" w:fill="auto"/>
            <w:noWrap/>
            <w:vAlign w:val="bottom"/>
            <w:hideMark/>
          </w:tcPr>
          <w:p w14:paraId="325F890F" w14:textId="77777777" w:rsidR="007D6C09" w:rsidRDefault="007D6C09">
            <w:pPr>
              <w:jc w:val="right"/>
              <w:rPr>
                <w:color w:val="000000"/>
                <w:sz w:val="20"/>
                <w:szCs w:val="20"/>
              </w:rPr>
            </w:pPr>
            <w:r>
              <w:rPr>
                <w:color w:val="000000"/>
                <w:sz w:val="20"/>
                <w:szCs w:val="20"/>
              </w:rPr>
              <w:t>0.001</w:t>
            </w:r>
          </w:p>
        </w:tc>
      </w:tr>
      <w:tr w:rsidR="007D6C09" w14:paraId="2A731BC8" w14:textId="77777777" w:rsidTr="00402C19">
        <w:trPr>
          <w:trHeight w:val="260"/>
        </w:trPr>
        <w:tc>
          <w:tcPr>
            <w:tcW w:w="1152" w:type="dxa"/>
            <w:tcBorders>
              <w:top w:val="nil"/>
              <w:left w:val="nil"/>
              <w:bottom w:val="nil"/>
              <w:right w:val="nil"/>
            </w:tcBorders>
            <w:shd w:val="clear" w:color="auto" w:fill="auto"/>
            <w:noWrap/>
            <w:vAlign w:val="bottom"/>
            <w:hideMark/>
          </w:tcPr>
          <w:p w14:paraId="7A6E832C" w14:textId="77777777" w:rsidR="007D6C09" w:rsidRDefault="007D6C0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CAB1D5A" w14:textId="77777777" w:rsidR="007D6C09" w:rsidRDefault="007D6C0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B91F4F7" w14:textId="77777777" w:rsidR="007D6C09" w:rsidRDefault="007D6C09">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396F7788" w14:textId="77777777" w:rsidR="007D6C09" w:rsidRDefault="007D6C09">
            <w:pPr>
              <w:jc w:val="right"/>
              <w:rPr>
                <w:color w:val="000000"/>
                <w:sz w:val="20"/>
                <w:szCs w:val="20"/>
              </w:rPr>
            </w:pPr>
            <w:r>
              <w:rPr>
                <w:color w:val="000000"/>
                <w:sz w:val="20"/>
                <w:szCs w:val="20"/>
              </w:rPr>
              <w:t>0.927</w:t>
            </w:r>
          </w:p>
        </w:tc>
        <w:tc>
          <w:tcPr>
            <w:tcW w:w="864" w:type="dxa"/>
            <w:tcBorders>
              <w:top w:val="nil"/>
              <w:left w:val="nil"/>
              <w:bottom w:val="nil"/>
              <w:right w:val="nil"/>
            </w:tcBorders>
            <w:shd w:val="clear" w:color="auto" w:fill="auto"/>
            <w:noWrap/>
            <w:vAlign w:val="bottom"/>
            <w:hideMark/>
          </w:tcPr>
          <w:p w14:paraId="0449610B" w14:textId="77777777" w:rsidR="007D6C09" w:rsidRDefault="007D6C0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E1CA529" w14:textId="77777777" w:rsidR="007D6C09" w:rsidRDefault="007D6C09">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7BF8D847" w14:textId="77777777" w:rsidR="007D6C09" w:rsidRDefault="007D6C09">
            <w:pPr>
              <w:jc w:val="right"/>
              <w:rPr>
                <w:color w:val="000000"/>
                <w:sz w:val="20"/>
                <w:szCs w:val="20"/>
              </w:rPr>
            </w:pPr>
            <w:r>
              <w:rPr>
                <w:color w:val="000000"/>
                <w:sz w:val="20"/>
                <w:szCs w:val="20"/>
              </w:rPr>
              <w:t>0.379</w:t>
            </w:r>
          </w:p>
        </w:tc>
        <w:tc>
          <w:tcPr>
            <w:tcW w:w="864" w:type="dxa"/>
            <w:tcBorders>
              <w:top w:val="nil"/>
              <w:left w:val="nil"/>
              <w:bottom w:val="nil"/>
              <w:right w:val="nil"/>
            </w:tcBorders>
            <w:shd w:val="clear" w:color="auto" w:fill="auto"/>
            <w:noWrap/>
            <w:vAlign w:val="bottom"/>
            <w:hideMark/>
          </w:tcPr>
          <w:p w14:paraId="148E1973" w14:textId="77777777" w:rsidR="007D6C09" w:rsidRDefault="007D6C09">
            <w:pPr>
              <w:jc w:val="right"/>
              <w:rPr>
                <w:color w:val="000000"/>
                <w:sz w:val="20"/>
                <w:szCs w:val="20"/>
              </w:rPr>
            </w:pPr>
            <w:r>
              <w:rPr>
                <w:color w:val="000000"/>
                <w:sz w:val="20"/>
                <w:szCs w:val="20"/>
              </w:rPr>
              <w:t>0.001</w:t>
            </w:r>
          </w:p>
        </w:tc>
      </w:tr>
      <w:tr w:rsidR="007D6C09" w14:paraId="06F1CDC6" w14:textId="77777777" w:rsidTr="00F132FA">
        <w:trPr>
          <w:trHeight w:val="280"/>
        </w:trPr>
        <w:tc>
          <w:tcPr>
            <w:tcW w:w="1152" w:type="dxa"/>
            <w:tcBorders>
              <w:top w:val="nil"/>
              <w:left w:val="nil"/>
              <w:bottom w:val="single" w:sz="12" w:space="0" w:color="auto"/>
              <w:right w:val="nil"/>
            </w:tcBorders>
            <w:shd w:val="clear" w:color="auto" w:fill="auto"/>
            <w:noWrap/>
            <w:vAlign w:val="bottom"/>
            <w:hideMark/>
          </w:tcPr>
          <w:p w14:paraId="1CFD9AAE" w14:textId="77777777" w:rsidR="007D6C09" w:rsidRDefault="007D6C09">
            <w:pPr>
              <w:rPr>
                <w:color w:val="000000"/>
                <w:sz w:val="20"/>
                <w:szCs w:val="20"/>
              </w:rPr>
            </w:pPr>
            <w:r>
              <w:rPr>
                <w:color w:val="000000"/>
                <w:sz w:val="20"/>
                <w:szCs w:val="20"/>
              </w:rPr>
              <w:lastRenderedPageBreak/>
              <w:t> </w:t>
            </w:r>
          </w:p>
        </w:tc>
        <w:tc>
          <w:tcPr>
            <w:tcW w:w="2160" w:type="dxa"/>
            <w:tcBorders>
              <w:top w:val="nil"/>
              <w:left w:val="nil"/>
              <w:bottom w:val="single" w:sz="12" w:space="0" w:color="auto"/>
              <w:right w:val="nil"/>
            </w:tcBorders>
            <w:shd w:val="clear" w:color="auto" w:fill="auto"/>
            <w:noWrap/>
            <w:vAlign w:val="center"/>
            <w:hideMark/>
          </w:tcPr>
          <w:p w14:paraId="4823C294" w14:textId="77777777" w:rsidR="007D6C09" w:rsidRDefault="007D6C09">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1EEC788A" w14:textId="77777777" w:rsidR="007D6C09" w:rsidRDefault="007D6C09">
            <w:pPr>
              <w:jc w:val="right"/>
              <w:rPr>
                <w:color w:val="000000"/>
                <w:sz w:val="20"/>
                <w:szCs w:val="20"/>
              </w:rPr>
            </w:pPr>
            <w:r>
              <w:rPr>
                <w:color w:val="000000"/>
                <w:sz w:val="20"/>
                <w:szCs w:val="20"/>
              </w:rPr>
              <w:t>0.042</w:t>
            </w:r>
          </w:p>
        </w:tc>
        <w:tc>
          <w:tcPr>
            <w:tcW w:w="864" w:type="dxa"/>
            <w:tcBorders>
              <w:top w:val="nil"/>
              <w:left w:val="nil"/>
              <w:bottom w:val="single" w:sz="12" w:space="0" w:color="auto"/>
              <w:right w:val="nil"/>
            </w:tcBorders>
            <w:shd w:val="clear" w:color="auto" w:fill="auto"/>
            <w:noWrap/>
            <w:vAlign w:val="bottom"/>
            <w:hideMark/>
          </w:tcPr>
          <w:p w14:paraId="70D918A0" w14:textId="77777777" w:rsidR="007D6C09" w:rsidRDefault="007D6C09">
            <w:pPr>
              <w:jc w:val="right"/>
              <w:rPr>
                <w:color w:val="000000"/>
                <w:sz w:val="20"/>
                <w:szCs w:val="20"/>
              </w:rPr>
            </w:pPr>
            <w:r>
              <w:rPr>
                <w:color w:val="000000"/>
                <w:sz w:val="20"/>
                <w:szCs w:val="20"/>
              </w:rPr>
              <w:t>0.462</w:t>
            </w:r>
          </w:p>
        </w:tc>
        <w:tc>
          <w:tcPr>
            <w:tcW w:w="864" w:type="dxa"/>
            <w:tcBorders>
              <w:top w:val="nil"/>
              <w:left w:val="nil"/>
              <w:bottom w:val="single" w:sz="12" w:space="0" w:color="auto"/>
              <w:right w:val="nil"/>
            </w:tcBorders>
            <w:shd w:val="clear" w:color="auto" w:fill="auto"/>
            <w:noWrap/>
            <w:vAlign w:val="bottom"/>
            <w:hideMark/>
          </w:tcPr>
          <w:p w14:paraId="5392B1CD" w14:textId="77777777" w:rsidR="007D6C09" w:rsidRDefault="007D6C09">
            <w:pPr>
              <w:jc w:val="right"/>
              <w:rPr>
                <w:color w:val="000000"/>
                <w:sz w:val="20"/>
                <w:szCs w:val="20"/>
              </w:rPr>
            </w:pPr>
            <w:r>
              <w:rPr>
                <w:color w:val="000000"/>
                <w:sz w:val="20"/>
                <w:szCs w:val="20"/>
              </w:rPr>
              <w:t>0.002</w:t>
            </w:r>
          </w:p>
        </w:tc>
        <w:tc>
          <w:tcPr>
            <w:tcW w:w="864" w:type="dxa"/>
            <w:tcBorders>
              <w:top w:val="nil"/>
              <w:left w:val="nil"/>
              <w:bottom w:val="single" w:sz="12" w:space="0" w:color="auto"/>
              <w:right w:val="nil"/>
            </w:tcBorders>
            <w:shd w:val="clear" w:color="auto" w:fill="auto"/>
            <w:noWrap/>
            <w:vAlign w:val="bottom"/>
            <w:hideMark/>
          </w:tcPr>
          <w:p w14:paraId="3DBBF318" w14:textId="77777777" w:rsidR="007D6C09" w:rsidRDefault="007D6C09">
            <w:pPr>
              <w:jc w:val="right"/>
              <w:rPr>
                <w:color w:val="000000"/>
                <w:sz w:val="20"/>
                <w:szCs w:val="20"/>
              </w:rPr>
            </w:pPr>
            <w:r>
              <w:rPr>
                <w:color w:val="000000"/>
                <w:sz w:val="20"/>
                <w:szCs w:val="20"/>
              </w:rPr>
              <w:t>0.036</w:t>
            </w:r>
          </w:p>
        </w:tc>
        <w:tc>
          <w:tcPr>
            <w:tcW w:w="864" w:type="dxa"/>
            <w:tcBorders>
              <w:top w:val="nil"/>
              <w:left w:val="nil"/>
              <w:bottom w:val="single" w:sz="12" w:space="0" w:color="auto"/>
              <w:right w:val="nil"/>
            </w:tcBorders>
            <w:shd w:val="clear" w:color="auto" w:fill="auto"/>
            <w:noWrap/>
            <w:vAlign w:val="bottom"/>
            <w:hideMark/>
          </w:tcPr>
          <w:p w14:paraId="6E69AF97" w14:textId="77777777" w:rsidR="007D6C09" w:rsidRDefault="007D6C09">
            <w:pPr>
              <w:jc w:val="right"/>
              <w:rPr>
                <w:color w:val="000000"/>
                <w:sz w:val="20"/>
                <w:szCs w:val="20"/>
              </w:rPr>
            </w:pPr>
            <w:r>
              <w:rPr>
                <w:color w:val="000000"/>
                <w:sz w:val="20"/>
                <w:szCs w:val="20"/>
              </w:rPr>
              <w:t>0.379</w:t>
            </w:r>
          </w:p>
        </w:tc>
        <w:tc>
          <w:tcPr>
            <w:tcW w:w="864" w:type="dxa"/>
            <w:tcBorders>
              <w:top w:val="nil"/>
              <w:left w:val="nil"/>
              <w:bottom w:val="single" w:sz="12" w:space="0" w:color="auto"/>
              <w:right w:val="nil"/>
            </w:tcBorders>
            <w:shd w:val="clear" w:color="auto" w:fill="auto"/>
            <w:noWrap/>
            <w:vAlign w:val="bottom"/>
            <w:hideMark/>
          </w:tcPr>
          <w:p w14:paraId="678225D2" w14:textId="77777777" w:rsidR="007D6C09" w:rsidRDefault="007D6C09">
            <w:pPr>
              <w:jc w:val="right"/>
              <w:rPr>
                <w:color w:val="000000"/>
                <w:sz w:val="20"/>
                <w:szCs w:val="20"/>
              </w:rPr>
            </w:pPr>
            <w:r>
              <w:rPr>
                <w:color w:val="000000"/>
                <w:sz w:val="20"/>
                <w:szCs w:val="20"/>
              </w:rPr>
              <w:t>0.001</w:t>
            </w:r>
          </w:p>
        </w:tc>
      </w:tr>
      <w:tr w:rsidR="007D6C09" w14:paraId="17D46B84" w14:textId="77777777" w:rsidTr="00F132FA">
        <w:trPr>
          <w:trHeight w:val="260"/>
        </w:trPr>
        <w:tc>
          <w:tcPr>
            <w:tcW w:w="1152" w:type="dxa"/>
            <w:tcBorders>
              <w:top w:val="single" w:sz="12" w:space="0" w:color="auto"/>
              <w:left w:val="nil"/>
              <w:bottom w:val="nil"/>
              <w:right w:val="nil"/>
            </w:tcBorders>
            <w:shd w:val="clear" w:color="auto" w:fill="auto"/>
            <w:noWrap/>
            <w:vAlign w:val="bottom"/>
            <w:hideMark/>
          </w:tcPr>
          <w:p w14:paraId="056FC84D" w14:textId="77777777" w:rsidR="007D6C09" w:rsidRDefault="007D6C09">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2C63DB42" w14:textId="77777777" w:rsidR="007D6C09" w:rsidRDefault="007D6C0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DDF500A" w14:textId="77777777" w:rsidR="007D6C09" w:rsidRDefault="007D6C0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B0E5A09" w14:textId="77777777" w:rsidR="007D6C09" w:rsidRDefault="007D6C0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0A0F346" w14:textId="77777777" w:rsidR="007D6C09" w:rsidRDefault="007D6C0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9A17C67" w14:textId="77777777" w:rsidR="007D6C09" w:rsidRDefault="007D6C0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32E4933" w14:textId="77777777" w:rsidR="007D6C09" w:rsidRDefault="007D6C0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1BAD6F0" w14:textId="77777777" w:rsidR="007D6C09" w:rsidRDefault="007D6C09">
            <w:pPr>
              <w:rPr>
                <w:sz w:val="20"/>
                <w:szCs w:val="20"/>
              </w:rPr>
            </w:pPr>
          </w:p>
        </w:tc>
      </w:tr>
    </w:tbl>
    <w:p w14:paraId="27030936" w14:textId="4E5E3D2C" w:rsidR="00A52BBD" w:rsidRDefault="00A52BBD" w:rsidP="0047742A">
      <w:pPr>
        <w:rPr>
          <w:rFonts w:ascii="Batang" w:eastAsia="Batang" w:hAnsi="Batang" w:cs="Batang"/>
          <w:color w:val="000000"/>
        </w:rPr>
      </w:pPr>
    </w:p>
    <w:p w14:paraId="105D9EB9" w14:textId="77777777" w:rsidR="00A52BBD" w:rsidRDefault="00A52BBD">
      <w:pPr>
        <w:rPr>
          <w:rFonts w:ascii="Batang" w:eastAsia="Batang" w:hAnsi="Batang" w:cs="Batang"/>
          <w:color w:val="000000"/>
        </w:rPr>
      </w:pPr>
      <w:r>
        <w:rPr>
          <w:rFonts w:ascii="Batang" w:eastAsia="Batang" w:hAnsi="Batang" w:cs="Batang"/>
          <w:color w:val="000000"/>
        </w:rPr>
        <w:br w:type="page"/>
      </w:r>
    </w:p>
    <w:p w14:paraId="7D9DA03E" w14:textId="7DD8D0C8" w:rsidR="00FA54D2" w:rsidRDefault="00FA54D2" w:rsidP="00FA54D2">
      <w:pPr>
        <w:pStyle w:val="Heading1"/>
        <w:rPr>
          <w:rFonts w:ascii="Times New Roman" w:hAnsi="Times New Roman" w:cs="Times New Roman"/>
          <w:color w:val="000000" w:themeColor="text1"/>
          <w:sz w:val="24"/>
          <w:szCs w:val="24"/>
        </w:rPr>
      </w:pPr>
      <w:bookmarkStart w:id="90" w:name="_Toc155817757"/>
      <w:r w:rsidRPr="00B81CB5">
        <w:rPr>
          <w:rFonts w:ascii="Times New Roman" w:hAnsi="Times New Roman" w:cs="Times New Roman"/>
          <w:b/>
          <w:bCs/>
          <w:color w:val="000000" w:themeColor="text1"/>
          <w:sz w:val="24"/>
          <w:szCs w:val="24"/>
        </w:rPr>
        <w:lastRenderedPageBreak/>
        <w:t>Table</w:t>
      </w:r>
      <w:r w:rsidR="0036523A" w:rsidRPr="00B81CB5">
        <w:rPr>
          <w:rFonts w:ascii="Times New Roman" w:hAnsi="Times New Roman" w:cs="Times New Roman"/>
          <w:b/>
          <w:bCs/>
          <w:color w:val="000000" w:themeColor="text1"/>
          <w:sz w:val="24"/>
          <w:szCs w:val="24"/>
        </w:rPr>
        <w:t xml:space="preserve"> 28</w:t>
      </w:r>
      <w:r w:rsidRPr="00B81CB5">
        <w:rPr>
          <w:rFonts w:ascii="Times New Roman" w:hAnsi="Times New Roman" w:cs="Times New Roman"/>
          <w:b/>
          <w:bCs/>
          <w:color w:val="000000" w:themeColor="text1"/>
          <w:sz w:val="24"/>
          <w:szCs w:val="24"/>
        </w:rPr>
        <w:t xml:space="preserve">j. </w:t>
      </w:r>
      <w:r>
        <w:rPr>
          <w:rFonts w:ascii="Times New Roman" w:hAnsi="Times New Roman" w:cs="Times New Roman"/>
          <w:color w:val="000000" w:themeColor="text1"/>
          <w:sz w:val="24"/>
          <w:szCs w:val="24"/>
        </w:rPr>
        <w:t>Results examining the relationship between Shen-268 network average shortest path and urbanicity obtained from bifactor modeling and pollution (NO2 level) during monetary incentive delay task</w:t>
      </w:r>
      <w:bookmarkEnd w:id="90"/>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24652D" w14:paraId="0ADC5948"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54171189" w14:textId="77777777" w:rsidR="0024652D" w:rsidRDefault="0024652D">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14089F3F" w14:textId="77777777" w:rsidR="0024652D" w:rsidRDefault="0024652D">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29D1EBA3" w14:textId="77777777" w:rsidR="0024652D" w:rsidRDefault="0024652D">
            <w:pPr>
              <w:rPr>
                <w:color w:val="000000"/>
              </w:rPr>
            </w:pPr>
          </w:p>
        </w:tc>
        <w:tc>
          <w:tcPr>
            <w:tcW w:w="864" w:type="dxa"/>
            <w:tcBorders>
              <w:top w:val="nil"/>
              <w:left w:val="nil"/>
              <w:bottom w:val="single" w:sz="12" w:space="0" w:color="auto"/>
              <w:right w:val="nil"/>
            </w:tcBorders>
            <w:shd w:val="clear" w:color="auto" w:fill="auto"/>
            <w:noWrap/>
            <w:vAlign w:val="bottom"/>
            <w:hideMark/>
          </w:tcPr>
          <w:p w14:paraId="75498515" w14:textId="77777777" w:rsidR="0024652D" w:rsidRDefault="0024652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08371AA" w14:textId="77777777" w:rsidR="0024652D" w:rsidRDefault="0024652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6DAC441F" w14:textId="77777777" w:rsidR="0024652D" w:rsidRDefault="0024652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4BE5067" w14:textId="77777777" w:rsidR="0024652D" w:rsidRDefault="0024652D">
            <w:pPr>
              <w:rPr>
                <w:sz w:val="20"/>
                <w:szCs w:val="20"/>
              </w:rPr>
            </w:pPr>
          </w:p>
        </w:tc>
        <w:tc>
          <w:tcPr>
            <w:tcW w:w="864" w:type="dxa"/>
            <w:tcBorders>
              <w:top w:val="nil"/>
              <w:left w:val="nil"/>
              <w:bottom w:val="nil"/>
              <w:right w:val="nil"/>
            </w:tcBorders>
            <w:shd w:val="clear" w:color="auto" w:fill="auto"/>
            <w:noWrap/>
            <w:vAlign w:val="bottom"/>
            <w:hideMark/>
          </w:tcPr>
          <w:p w14:paraId="141F2BB4" w14:textId="77777777" w:rsidR="0024652D" w:rsidRDefault="0024652D">
            <w:pPr>
              <w:rPr>
                <w:sz w:val="20"/>
                <w:szCs w:val="20"/>
              </w:rPr>
            </w:pPr>
          </w:p>
        </w:tc>
      </w:tr>
      <w:tr w:rsidR="0024652D" w14:paraId="416A01C8"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4259DE2C" w14:textId="77777777" w:rsidR="0024652D" w:rsidRDefault="0024652D">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0CAD0E9C" w14:textId="77777777" w:rsidR="0024652D" w:rsidRDefault="0024652D">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66163B3B" w14:textId="77777777" w:rsidR="0024652D" w:rsidRDefault="0024652D">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7DEB27FD" w14:textId="77777777" w:rsidR="0024652D" w:rsidRDefault="0024652D">
            <w:pPr>
              <w:jc w:val="center"/>
              <w:rPr>
                <w:color w:val="000000"/>
                <w:sz w:val="20"/>
                <w:szCs w:val="20"/>
              </w:rPr>
            </w:pPr>
            <w:r>
              <w:rPr>
                <w:color w:val="000000"/>
                <w:sz w:val="20"/>
                <w:szCs w:val="20"/>
              </w:rPr>
              <w:t>Pollution (NO2 level)</w:t>
            </w:r>
          </w:p>
        </w:tc>
      </w:tr>
      <w:tr w:rsidR="0024652D" w14:paraId="4697FF41"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1AD32CA7" w14:textId="77777777" w:rsidR="0024652D" w:rsidRDefault="0024652D">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3264B1B9" w14:textId="77777777" w:rsidR="0024652D" w:rsidRDefault="0024652D">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5C02E2BE" w14:textId="77777777" w:rsidR="0024652D" w:rsidRDefault="0024652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5C1795F" w14:textId="77777777" w:rsidR="0024652D" w:rsidRDefault="0024652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1A5A365D" w14:textId="77777777" w:rsidR="0024652D" w:rsidRDefault="0024652D">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11E44336" w14:textId="77777777" w:rsidR="0024652D" w:rsidRDefault="0024652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CF335A5" w14:textId="77777777" w:rsidR="0024652D" w:rsidRDefault="0024652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195E02A4" w14:textId="77777777" w:rsidR="0024652D" w:rsidRDefault="0024652D">
            <w:pPr>
              <w:jc w:val="center"/>
              <w:rPr>
                <w:i/>
                <w:iCs/>
                <w:color w:val="000000"/>
                <w:sz w:val="20"/>
                <w:szCs w:val="20"/>
              </w:rPr>
            </w:pPr>
            <w:r>
              <w:rPr>
                <w:i/>
                <w:iCs/>
                <w:color w:val="000000"/>
                <w:sz w:val="20"/>
                <w:szCs w:val="20"/>
              </w:rPr>
              <w:t>R2</w:t>
            </w:r>
          </w:p>
        </w:tc>
      </w:tr>
      <w:tr w:rsidR="0024652D" w14:paraId="7E75FD19"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50284ADC" w14:textId="77777777" w:rsidR="0024652D" w:rsidRDefault="0024652D">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34CCC97E" w14:textId="77777777" w:rsidR="0024652D" w:rsidRDefault="0024652D">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2F5AAC02" w14:textId="77777777" w:rsidR="0024652D" w:rsidRDefault="0024652D">
            <w:pPr>
              <w:jc w:val="right"/>
              <w:rPr>
                <w:color w:val="000000"/>
                <w:sz w:val="20"/>
                <w:szCs w:val="20"/>
              </w:rPr>
            </w:pPr>
            <w:r>
              <w:rPr>
                <w:color w:val="000000"/>
                <w:sz w:val="20"/>
                <w:szCs w:val="20"/>
              </w:rPr>
              <w:t>0.040</w:t>
            </w:r>
          </w:p>
        </w:tc>
        <w:tc>
          <w:tcPr>
            <w:tcW w:w="864" w:type="dxa"/>
            <w:tcBorders>
              <w:top w:val="single" w:sz="12" w:space="0" w:color="auto"/>
              <w:left w:val="nil"/>
              <w:bottom w:val="nil"/>
              <w:right w:val="nil"/>
            </w:tcBorders>
            <w:shd w:val="clear" w:color="auto" w:fill="auto"/>
            <w:noWrap/>
            <w:vAlign w:val="bottom"/>
            <w:hideMark/>
          </w:tcPr>
          <w:p w14:paraId="44859C46" w14:textId="77777777" w:rsidR="0024652D" w:rsidRDefault="0024652D">
            <w:pPr>
              <w:jc w:val="right"/>
              <w:rPr>
                <w:color w:val="000000"/>
                <w:sz w:val="20"/>
                <w:szCs w:val="20"/>
              </w:rPr>
            </w:pPr>
            <w:r>
              <w:rPr>
                <w:color w:val="000000"/>
                <w:sz w:val="20"/>
                <w:szCs w:val="20"/>
              </w:rPr>
              <w:t>0.469</w:t>
            </w:r>
          </w:p>
        </w:tc>
        <w:tc>
          <w:tcPr>
            <w:tcW w:w="864" w:type="dxa"/>
            <w:tcBorders>
              <w:top w:val="single" w:sz="12" w:space="0" w:color="auto"/>
              <w:left w:val="nil"/>
              <w:bottom w:val="nil"/>
              <w:right w:val="nil"/>
            </w:tcBorders>
            <w:shd w:val="clear" w:color="auto" w:fill="auto"/>
            <w:noWrap/>
            <w:vAlign w:val="bottom"/>
            <w:hideMark/>
          </w:tcPr>
          <w:p w14:paraId="54C8F136" w14:textId="77777777" w:rsidR="0024652D" w:rsidRDefault="0024652D">
            <w:pPr>
              <w:jc w:val="right"/>
              <w:rPr>
                <w:color w:val="000000"/>
                <w:sz w:val="20"/>
                <w:szCs w:val="20"/>
              </w:rPr>
            </w:pPr>
            <w:r>
              <w:rPr>
                <w:color w:val="000000"/>
                <w:sz w:val="20"/>
                <w:szCs w:val="20"/>
              </w:rPr>
              <w:t>0.002</w:t>
            </w:r>
          </w:p>
        </w:tc>
        <w:tc>
          <w:tcPr>
            <w:tcW w:w="864" w:type="dxa"/>
            <w:tcBorders>
              <w:top w:val="single" w:sz="12" w:space="0" w:color="auto"/>
              <w:left w:val="nil"/>
              <w:bottom w:val="nil"/>
              <w:right w:val="nil"/>
            </w:tcBorders>
            <w:shd w:val="clear" w:color="auto" w:fill="auto"/>
            <w:noWrap/>
            <w:vAlign w:val="bottom"/>
            <w:hideMark/>
          </w:tcPr>
          <w:p w14:paraId="3BDA7EE8" w14:textId="77777777" w:rsidR="0024652D" w:rsidRDefault="0024652D">
            <w:pPr>
              <w:jc w:val="right"/>
              <w:rPr>
                <w:color w:val="000000"/>
                <w:sz w:val="20"/>
                <w:szCs w:val="20"/>
              </w:rPr>
            </w:pPr>
            <w:r>
              <w:rPr>
                <w:color w:val="000000"/>
                <w:sz w:val="20"/>
                <w:szCs w:val="20"/>
              </w:rPr>
              <w:t>0.073</w:t>
            </w:r>
          </w:p>
        </w:tc>
        <w:tc>
          <w:tcPr>
            <w:tcW w:w="864" w:type="dxa"/>
            <w:tcBorders>
              <w:top w:val="single" w:sz="12" w:space="0" w:color="auto"/>
              <w:left w:val="nil"/>
              <w:bottom w:val="nil"/>
              <w:right w:val="nil"/>
            </w:tcBorders>
            <w:shd w:val="clear" w:color="auto" w:fill="auto"/>
            <w:noWrap/>
            <w:vAlign w:val="bottom"/>
            <w:hideMark/>
          </w:tcPr>
          <w:p w14:paraId="48435F66" w14:textId="77777777" w:rsidR="0024652D" w:rsidRDefault="0024652D">
            <w:pPr>
              <w:jc w:val="right"/>
              <w:rPr>
                <w:color w:val="000000"/>
                <w:sz w:val="20"/>
                <w:szCs w:val="20"/>
              </w:rPr>
            </w:pPr>
            <w:r>
              <w:rPr>
                <w:color w:val="000000"/>
                <w:sz w:val="20"/>
                <w:szCs w:val="20"/>
              </w:rPr>
              <w:t>0.256</w:t>
            </w:r>
          </w:p>
        </w:tc>
        <w:tc>
          <w:tcPr>
            <w:tcW w:w="864" w:type="dxa"/>
            <w:tcBorders>
              <w:top w:val="single" w:sz="12" w:space="0" w:color="auto"/>
              <w:left w:val="nil"/>
              <w:bottom w:val="nil"/>
              <w:right w:val="nil"/>
            </w:tcBorders>
            <w:shd w:val="clear" w:color="auto" w:fill="auto"/>
            <w:noWrap/>
            <w:vAlign w:val="bottom"/>
            <w:hideMark/>
          </w:tcPr>
          <w:p w14:paraId="5BAFB314" w14:textId="77777777" w:rsidR="0024652D" w:rsidRDefault="0024652D">
            <w:pPr>
              <w:jc w:val="right"/>
              <w:rPr>
                <w:color w:val="000000"/>
                <w:sz w:val="20"/>
                <w:szCs w:val="20"/>
              </w:rPr>
            </w:pPr>
            <w:r>
              <w:rPr>
                <w:color w:val="000000"/>
                <w:sz w:val="20"/>
                <w:szCs w:val="20"/>
              </w:rPr>
              <w:t>0.005</w:t>
            </w:r>
          </w:p>
        </w:tc>
      </w:tr>
      <w:tr w:rsidR="0024652D" w14:paraId="237B92C5" w14:textId="77777777" w:rsidTr="0024652D">
        <w:trPr>
          <w:trHeight w:val="340"/>
        </w:trPr>
        <w:tc>
          <w:tcPr>
            <w:tcW w:w="1152" w:type="dxa"/>
            <w:tcBorders>
              <w:top w:val="nil"/>
              <w:left w:val="nil"/>
              <w:bottom w:val="nil"/>
              <w:right w:val="nil"/>
            </w:tcBorders>
            <w:shd w:val="clear" w:color="auto" w:fill="auto"/>
            <w:noWrap/>
            <w:vAlign w:val="bottom"/>
            <w:hideMark/>
          </w:tcPr>
          <w:p w14:paraId="0F7BAB6F"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66C84D6" w14:textId="77777777" w:rsidR="0024652D" w:rsidRDefault="0024652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C30D278" w14:textId="77777777" w:rsidR="0024652D" w:rsidRDefault="0024652D">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58071F6E" w14:textId="77777777" w:rsidR="0024652D" w:rsidRDefault="0024652D">
            <w:pPr>
              <w:jc w:val="right"/>
              <w:rPr>
                <w:color w:val="000000"/>
                <w:sz w:val="20"/>
                <w:szCs w:val="20"/>
              </w:rPr>
            </w:pPr>
            <w:r>
              <w:rPr>
                <w:color w:val="000000"/>
                <w:sz w:val="20"/>
                <w:szCs w:val="20"/>
              </w:rPr>
              <w:t>0.469</w:t>
            </w:r>
          </w:p>
        </w:tc>
        <w:tc>
          <w:tcPr>
            <w:tcW w:w="864" w:type="dxa"/>
            <w:tcBorders>
              <w:top w:val="nil"/>
              <w:left w:val="nil"/>
              <w:bottom w:val="nil"/>
              <w:right w:val="nil"/>
            </w:tcBorders>
            <w:shd w:val="clear" w:color="auto" w:fill="auto"/>
            <w:noWrap/>
            <w:vAlign w:val="bottom"/>
            <w:hideMark/>
          </w:tcPr>
          <w:p w14:paraId="244DB700" w14:textId="77777777" w:rsidR="0024652D" w:rsidRDefault="0024652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54722E06" w14:textId="77777777" w:rsidR="0024652D" w:rsidRDefault="0024652D">
            <w:pPr>
              <w:jc w:val="right"/>
              <w:rPr>
                <w:color w:val="000000"/>
                <w:sz w:val="20"/>
                <w:szCs w:val="20"/>
              </w:rPr>
            </w:pPr>
            <w:r>
              <w:rPr>
                <w:color w:val="000000"/>
                <w:sz w:val="20"/>
                <w:szCs w:val="20"/>
              </w:rPr>
              <w:t>0.074</w:t>
            </w:r>
          </w:p>
        </w:tc>
        <w:tc>
          <w:tcPr>
            <w:tcW w:w="864" w:type="dxa"/>
            <w:tcBorders>
              <w:top w:val="nil"/>
              <w:left w:val="nil"/>
              <w:bottom w:val="nil"/>
              <w:right w:val="nil"/>
            </w:tcBorders>
            <w:shd w:val="clear" w:color="auto" w:fill="auto"/>
            <w:noWrap/>
            <w:vAlign w:val="bottom"/>
            <w:hideMark/>
          </w:tcPr>
          <w:p w14:paraId="3B5C90C5" w14:textId="77777777" w:rsidR="0024652D" w:rsidRDefault="0024652D">
            <w:pPr>
              <w:jc w:val="right"/>
              <w:rPr>
                <w:color w:val="000000"/>
                <w:sz w:val="20"/>
                <w:szCs w:val="20"/>
              </w:rPr>
            </w:pPr>
            <w:r>
              <w:rPr>
                <w:color w:val="000000"/>
                <w:sz w:val="20"/>
                <w:szCs w:val="20"/>
              </w:rPr>
              <w:t>0.256</w:t>
            </w:r>
          </w:p>
        </w:tc>
        <w:tc>
          <w:tcPr>
            <w:tcW w:w="864" w:type="dxa"/>
            <w:tcBorders>
              <w:top w:val="nil"/>
              <w:left w:val="nil"/>
              <w:bottom w:val="nil"/>
              <w:right w:val="nil"/>
            </w:tcBorders>
            <w:shd w:val="clear" w:color="auto" w:fill="auto"/>
            <w:noWrap/>
            <w:vAlign w:val="bottom"/>
            <w:hideMark/>
          </w:tcPr>
          <w:p w14:paraId="692AA151" w14:textId="77777777" w:rsidR="0024652D" w:rsidRDefault="0024652D">
            <w:pPr>
              <w:jc w:val="right"/>
              <w:rPr>
                <w:color w:val="000000"/>
                <w:sz w:val="20"/>
                <w:szCs w:val="20"/>
              </w:rPr>
            </w:pPr>
            <w:r>
              <w:rPr>
                <w:color w:val="000000"/>
                <w:sz w:val="20"/>
                <w:szCs w:val="20"/>
              </w:rPr>
              <w:t>0.005</w:t>
            </w:r>
          </w:p>
        </w:tc>
      </w:tr>
      <w:tr w:rsidR="0024652D" w14:paraId="37AF9757" w14:textId="77777777" w:rsidTr="0024652D">
        <w:trPr>
          <w:trHeight w:val="320"/>
        </w:trPr>
        <w:tc>
          <w:tcPr>
            <w:tcW w:w="1152" w:type="dxa"/>
            <w:tcBorders>
              <w:top w:val="nil"/>
              <w:left w:val="nil"/>
              <w:bottom w:val="nil"/>
              <w:right w:val="nil"/>
            </w:tcBorders>
            <w:shd w:val="clear" w:color="auto" w:fill="auto"/>
            <w:noWrap/>
            <w:vAlign w:val="bottom"/>
            <w:hideMark/>
          </w:tcPr>
          <w:p w14:paraId="56BA4A16"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3B90283" w14:textId="77777777" w:rsidR="0024652D" w:rsidRDefault="0024652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BA2313C" w14:textId="77777777" w:rsidR="0024652D" w:rsidRDefault="0024652D">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084795E1" w14:textId="77777777" w:rsidR="0024652D" w:rsidRDefault="0024652D">
            <w:pPr>
              <w:jc w:val="right"/>
              <w:rPr>
                <w:color w:val="000000"/>
                <w:sz w:val="20"/>
                <w:szCs w:val="20"/>
              </w:rPr>
            </w:pPr>
            <w:r>
              <w:rPr>
                <w:color w:val="000000"/>
                <w:sz w:val="20"/>
                <w:szCs w:val="20"/>
              </w:rPr>
              <w:t>0.637</w:t>
            </w:r>
          </w:p>
        </w:tc>
        <w:tc>
          <w:tcPr>
            <w:tcW w:w="864" w:type="dxa"/>
            <w:tcBorders>
              <w:top w:val="nil"/>
              <w:left w:val="nil"/>
              <w:bottom w:val="nil"/>
              <w:right w:val="nil"/>
            </w:tcBorders>
            <w:shd w:val="clear" w:color="auto" w:fill="auto"/>
            <w:noWrap/>
            <w:vAlign w:val="bottom"/>
            <w:hideMark/>
          </w:tcPr>
          <w:p w14:paraId="3D4D8C5D" w14:textId="77777777" w:rsidR="0024652D" w:rsidRDefault="0024652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30EAB64" w14:textId="77777777" w:rsidR="0024652D" w:rsidRDefault="0024652D">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44D212D7" w14:textId="77777777" w:rsidR="0024652D" w:rsidRDefault="0024652D">
            <w:pPr>
              <w:jc w:val="right"/>
              <w:rPr>
                <w:color w:val="000000"/>
                <w:sz w:val="20"/>
                <w:szCs w:val="20"/>
              </w:rPr>
            </w:pPr>
            <w:r>
              <w:rPr>
                <w:color w:val="000000"/>
                <w:sz w:val="20"/>
                <w:szCs w:val="20"/>
              </w:rPr>
              <w:t>0.589</w:t>
            </w:r>
          </w:p>
        </w:tc>
        <w:tc>
          <w:tcPr>
            <w:tcW w:w="864" w:type="dxa"/>
            <w:tcBorders>
              <w:top w:val="nil"/>
              <w:left w:val="nil"/>
              <w:bottom w:val="nil"/>
              <w:right w:val="nil"/>
            </w:tcBorders>
            <w:shd w:val="clear" w:color="auto" w:fill="auto"/>
            <w:noWrap/>
            <w:vAlign w:val="bottom"/>
            <w:hideMark/>
          </w:tcPr>
          <w:p w14:paraId="4A299114" w14:textId="77777777" w:rsidR="0024652D" w:rsidRDefault="0024652D">
            <w:pPr>
              <w:jc w:val="right"/>
              <w:rPr>
                <w:color w:val="000000"/>
                <w:sz w:val="20"/>
                <w:szCs w:val="20"/>
              </w:rPr>
            </w:pPr>
            <w:r>
              <w:rPr>
                <w:color w:val="000000"/>
                <w:sz w:val="20"/>
                <w:szCs w:val="20"/>
              </w:rPr>
              <w:t>0.002</w:t>
            </w:r>
          </w:p>
        </w:tc>
      </w:tr>
      <w:tr w:rsidR="0024652D" w14:paraId="66C96982" w14:textId="77777777" w:rsidTr="0024652D">
        <w:trPr>
          <w:trHeight w:val="320"/>
        </w:trPr>
        <w:tc>
          <w:tcPr>
            <w:tcW w:w="1152" w:type="dxa"/>
            <w:tcBorders>
              <w:top w:val="nil"/>
              <w:left w:val="nil"/>
              <w:bottom w:val="nil"/>
              <w:right w:val="nil"/>
            </w:tcBorders>
            <w:shd w:val="clear" w:color="auto" w:fill="auto"/>
            <w:noWrap/>
            <w:vAlign w:val="bottom"/>
            <w:hideMark/>
          </w:tcPr>
          <w:p w14:paraId="664DADBC"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D0EE9ED" w14:textId="77777777" w:rsidR="0024652D" w:rsidRDefault="0024652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03100C3" w14:textId="77777777" w:rsidR="0024652D" w:rsidRDefault="0024652D">
            <w:pPr>
              <w:jc w:val="right"/>
              <w:rPr>
                <w:color w:val="000000"/>
                <w:sz w:val="20"/>
                <w:szCs w:val="20"/>
              </w:rPr>
            </w:pPr>
            <w:r>
              <w:rPr>
                <w:color w:val="000000"/>
                <w:sz w:val="20"/>
                <w:szCs w:val="20"/>
              </w:rPr>
              <w:t>0.083</w:t>
            </w:r>
          </w:p>
        </w:tc>
        <w:tc>
          <w:tcPr>
            <w:tcW w:w="864" w:type="dxa"/>
            <w:tcBorders>
              <w:top w:val="nil"/>
              <w:left w:val="nil"/>
              <w:bottom w:val="nil"/>
              <w:right w:val="nil"/>
            </w:tcBorders>
            <w:shd w:val="clear" w:color="auto" w:fill="auto"/>
            <w:noWrap/>
            <w:vAlign w:val="bottom"/>
            <w:hideMark/>
          </w:tcPr>
          <w:p w14:paraId="02F7269D" w14:textId="77777777" w:rsidR="0024652D" w:rsidRDefault="0024652D">
            <w:pPr>
              <w:jc w:val="right"/>
              <w:rPr>
                <w:color w:val="000000"/>
                <w:sz w:val="20"/>
                <w:szCs w:val="20"/>
              </w:rPr>
            </w:pPr>
            <w:r>
              <w:rPr>
                <w:color w:val="000000"/>
                <w:sz w:val="20"/>
                <w:szCs w:val="20"/>
              </w:rPr>
              <w:t>0.469</w:t>
            </w:r>
          </w:p>
        </w:tc>
        <w:tc>
          <w:tcPr>
            <w:tcW w:w="864" w:type="dxa"/>
            <w:tcBorders>
              <w:top w:val="nil"/>
              <w:left w:val="nil"/>
              <w:bottom w:val="nil"/>
              <w:right w:val="nil"/>
            </w:tcBorders>
            <w:shd w:val="clear" w:color="auto" w:fill="auto"/>
            <w:noWrap/>
            <w:vAlign w:val="bottom"/>
            <w:hideMark/>
          </w:tcPr>
          <w:p w14:paraId="5E910C7B" w14:textId="77777777" w:rsidR="0024652D" w:rsidRDefault="0024652D">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D98B468" w14:textId="77777777" w:rsidR="0024652D" w:rsidRDefault="0024652D">
            <w:pPr>
              <w:jc w:val="right"/>
              <w:rPr>
                <w:color w:val="000000"/>
                <w:sz w:val="20"/>
                <w:szCs w:val="20"/>
              </w:rPr>
            </w:pPr>
            <w:r>
              <w:rPr>
                <w:color w:val="000000"/>
                <w:sz w:val="20"/>
                <w:szCs w:val="20"/>
              </w:rPr>
              <w:t>0.097</w:t>
            </w:r>
          </w:p>
        </w:tc>
        <w:tc>
          <w:tcPr>
            <w:tcW w:w="864" w:type="dxa"/>
            <w:tcBorders>
              <w:top w:val="nil"/>
              <w:left w:val="nil"/>
              <w:bottom w:val="nil"/>
              <w:right w:val="nil"/>
            </w:tcBorders>
            <w:shd w:val="clear" w:color="auto" w:fill="auto"/>
            <w:noWrap/>
            <w:vAlign w:val="bottom"/>
            <w:hideMark/>
          </w:tcPr>
          <w:p w14:paraId="664DF5EF" w14:textId="77777777" w:rsidR="0024652D" w:rsidRDefault="0024652D">
            <w:pPr>
              <w:jc w:val="right"/>
              <w:rPr>
                <w:color w:val="000000"/>
                <w:sz w:val="20"/>
                <w:szCs w:val="20"/>
              </w:rPr>
            </w:pPr>
            <w:r>
              <w:rPr>
                <w:color w:val="000000"/>
                <w:sz w:val="20"/>
                <w:szCs w:val="20"/>
              </w:rPr>
              <w:t>0.520</w:t>
            </w:r>
          </w:p>
        </w:tc>
        <w:tc>
          <w:tcPr>
            <w:tcW w:w="864" w:type="dxa"/>
            <w:tcBorders>
              <w:top w:val="nil"/>
              <w:left w:val="nil"/>
              <w:bottom w:val="nil"/>
              <w:right w:val="nil"/>
            </w:tcBorders>
            <w:shd w:val="clear" w:color="auto" w:fill="auto"/>
            <w:noWrap/>
            <w:vAlign w:val="bottom"/>
            <w:hideMark/>
          </w:tcPr>
          <w:p w14:paraId="57E0D147" w14:textId="77777777" w:rsidR="0024652D" w:rsidRDefault="0024652D">
            <w:pPr>
              <w:jc w:val="right"/>
              <w:rPr>
                <w:color w:val="000000"/>
                <w:sz w:val="20"/>
                <w:szCs w:val="20"/>
              </w:rPr>
            </w:pPr>
            <w:r>
              <w:rPr>
                <w:color w:val="000000"/>
                <w:sz w:val="20"/>
                <w:szCs w:val="20"/>
              </w:rPr>
              <w:t>0.009</w:t>
            </w:r>
          </w:p>
        </w:tc>
      </w:tr>
      <w:tr w:rsidR="0024652D" w14:paraId="791E2978" w14:textId="77777777" w:rsidTr="0024652D">
        <w:trPr>
          <w:trHeight w:val="320"/>
        </w:trPr>
        <w:tc>
          <w:tcPr>
            <w:tcW w:w="1152" w:type="dxa"/>
            <w:tcBorders>
              <w:top w:val="nil"/>
              <w:left w:val="nil"/>
              <w:bottom w:val="nil"/>
              <w:right w:val="nil"/>
            </w:tcBorders>
            <w:shd w:val="clear" w:color="auto" w:fill="auto"/>
            <w:noWrap/>
            <w:vAlign w:val="bottom"/>
            <w:hideMark/>
          </w:tcPr>
          <w:p w14:paraId="57E17C76"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070ABB7" w14:textId="77777777" w:rsidR="0024652D" w:rsidRDefault="0024652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D782DB8" w14:textId="77777777" w:rsidR="0024652D" w:rsidRDefault="0024652D">
            <w:pPr>
              <w:jc w:val="right"/>
              <w:rPr>
                <w:color w:val="000000"/>
                <w:sz w:val="20"/>
                <w:szCs w:val="20"/>
              </w:rPr>
            </w:pPr>
            <w:r>
              <w:rPr>
                <w:color w:val="000000"/>
                <w:sz w:val="20"/>
                <w:szCs w:val="20"/>
              </w:rPr>
              <w:t>-0.055</w:t>
            </w:r>
          </w:p>
        </w:tc>
        <w:tc>
          <w:tcPr>
            <w:tcW w:w="864" w:type="dxa"/>
            <w:tcBorders>
              <w:top w:val="nil"/>
              <w:left w:val="nil"/>
              <w:bottom w:val="nil"/>
              <w:right w:val="nil"/>
            </w:tcBorders>
            <w:shd w:val="clear" w:color="auto" w:fill="auto"/>
            <w:noWrap/>
            <w:vAlign w:val="bottom"/>
            <w:hideMark/>
          </w:tcPr>
          <w:p w14:paraId="067EEC6D" w14:textId="77777777" w:rsidR="0024652D" w:rsidRDefault="0024652D">
            <w:pPr>
              <w:jc w:val="right"/>
              <w:rPr>
                <w:color w:val="000000"/>
                <w:sz w:val="20"/>
                <w:szCs w:val="20"/>
              </w:rPr>
            </w:pPr>
            <w:r>
              <w:rPr>
                <w:color w:val="000000"/>
                <w:sz w:val="20"/>
                <w:szCs w:val="20"/>
              </w:rPr>
              <w:t>0.469</w:t>
            </w:r>
          </w:p>
        </w:tc>
        <w:tc>
          <w:tcPr>
            <w:tcW w:w="864" w:type="dxa"/>
            <w:tcBorders>
              <w:top w:val="nil"/>
              <w:left w:val="nil"/>
              <w:bottom w:val="nil"/>
              <w:right w:val="nil"/>
            </w:tcBorders>
            <w:shd w:val="clear" w:color="auto" w:fill="auto"/>
            <w:noWrap/>
            <w:vAlign w:val="bottom"/>
            <w:hideMark/>
          </w:tcPr>
          <w:p w14:paraId="4E40C4EC" w14:textId="77777777" w:rsidR="0024652D" w:rsidRDefault="0024652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5CF7BD6" w14:textId="77777777" w:rsidR="0024652D" w:rsidRDefault="0024652D">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23CE7C03" w14:textId="77777777" w:rsidR="0024652D" w:rsidRDefault="0024652D">
            <w:pPr>
              <w:jc w:val="right"/>
              <w:rPr>
                <w:color w:val="000000"/>
                <w:sz w:val="20"/>
                <w:szCs w:val="20"/>
              </w:rPr>
            </w:pPr>
            <w:r>
              <w:rPr>
                <w:color w:val="000000"/>
                <w:sz w:val="20"/>
                <w:szCs w:val="20"/>
              </w:rPr>
              <w:t>0.448</w:t>
            </w:r>
          </w:p>
        </w:tc>
        <w:tc>
          <w:tcPr>
            <w:tcW w:w="864" w:type="dxa"/>
            <w:tcBorders>
              <w:top w:val="nil"/>
              <w:left w:val="nil"/>
              <w:bottom w:val="nil"/>
              <w:right w:val="nil"/>
            </w:tcBorders>
            <w:shd w:val="clear" w:color="auto" w:fill="auto"/>
            <w:noWrap/>
            <w:vAlign w:val="bottom"/>
            <w:hideMark/>
          </w:tcPr>
          <w:p w14:paraId="43784C91" w14:textId="77777777" w:rsidR="0024652D" w:rsidRDefault="0024652D">
            <w:pPr>
              <w:jc w:val="right"/>
              <w:rPr>
                <w:color w:val="000000"/>
                <w:sz w:val="20"/>
                <w:szCs w:val="20"/>
              </w:rPr>
            </w:pPr>
            <w:r>
              <w:rPr>
                <w:color w:val="000000"/>
                <w:sz w:val="20"/>
                <w:szCs w:val="20"/>
              </w:rPr>
              <w:t>0.003</w:t>
            </w:r>
          </w:p>
        </w:tc>
      </w:tr>
      <w:tr w:rsidR="0024652D" w14:paraId="6A0E5819" w14:textId="77777777" w:rsidTr="0024652D">
        <w:trPr>
          <w:trHeight w:val="320"/>
        </w:trPr>
        <w:tc>
          <w:tcPr>
            <w:tcW w:w="1152" w:type="dxa"/>
            <w:tcBorders>
              <w:top w:val="nil"/>
              <w:left w:val="nil"/>
              <w:bottom w:val="nil"/>
              <w:right w:val="nil"/>
            </w:tcBorders>
            <w:shd w:val="clear" w:color="auto" w:fill="auto"/>
            <w:noWrap/>
            <w:vAlign w:val="bottom"/>
            <w:hideMark/>
          </w:tcPr>
          <w:p w14:paraId="1529D5C9"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0FB36CC" w14:textId="77777777" w:rsidR="0024652D" w:rsidRDefault="0024652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071DB1E" w14:textId="77777777" w:rsidR="0024652D" w:rsidRDefault="0024652D">
            <w:pPr>
              <w:jc w:val="right"/>
              <w:rPr>
                <w:color w:val="000000"/>
                <w:sz w:val="20"/>
                <w:szCs w:val="20"/>
              </w:rPr>
            </w:pPr>
            <w:r>
              <w:rPr>
                <w:color w:val="000000"/>
                <w:sz w:val="20"/>
                <w:szCs w:val="20"/>
              </w:rPr>
              <w:t>-0.087</w:t>
            </w:r>
          </w:p>
        </w:tc>
        <w:tc>
          <w:tcPr>
            <w:tcW w:w="864" w:type="dxa"/>
            <w:tcBorders>
              <w:top w:val="nil"/>
              <w:left w:val="nil"/>
              <w:bottom w:val="nil"/>
              <w:right w:val="nil"/>
            </w:tcBorders>
            <w:shd w:val="clear" w:color="auto" w:fill="auto"/>
            <w:noWrap/>
            <w:vAlign w:val="bottom"/>
            <w:hideMark/>
          </w:tcPr>
          <w:p w14:paraId="6AEFF1C7" w14:textId="77777777" w:rsidR="0024652D" w:rsidRDefault="0024652D">
            <w:pPr>
              <w:jc w:val="right"/>
              <w:rPr>
                <w:color w:val="000000"/>
                <w:sz w:val="20"/>
                <w:szCs w:val="20"/>
              </w:rPr>
            </w:pPr>
            <w:r>
              <w:rPr>
                <w:color w:val="000000"/>
                <w:sz w:val="20"/>
                <w:szCs w:val="20"/>
              </w:rPr>
              <w:t>0.144</w:t>
            </w:r>
          </w:p>
        </w:tc>
        <w:tc>
          <w:tcPr>
            <w:tcW w:w="864" w:type="dxa"/>
            <w:tcBorders>
              <w:top w:val="nil"/>
              <w:left w:val="nil"/>
              <w:bottom w:val="nil"/>
              <w:right w:val="nil"/>
            </w:tcBorders>
            <w:shd w:val="clear" w:color="auto" w:fill="auto"/>
            <w:noWrap/>
            <w:vAlign w:val="bottom"/>
            <w:hideMark/>
          </w:tcPr>
          <w:p w14:paraId="121B4978" w14:textId="77777777" w:rsidR="0024652D" w:rsidRDefault="0024652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3BDE42E8" w14:textId="77777777" w:rsidR="0024652D" w:rsidRDefault="0024652D">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58B98E9A" w14:textId="77777777" w:rsidR="0024652D" w:rsidRDefault="0024652D">
            <w:pPr>
              <w:jc w:val="right"/>
              <w:rPr>
                <w:color w:val="000000"/>
                <w:sz w:val="20"/>
                <w:szCs w:val="20"/>
              </w:rPr>
            </w:pPr>
            <w:r>
              <w:rPr>
                <w:color w:val="000000"/>
                <w:sz w:val="20"/>
                <w:szCs w:val="20"/>
              </w:rPr>
              <w:t>0.448</w:t>
            </w:r>
          </w:p>
        </w:tc>
        <w:tc>
          <w:tcPr>
            <w:tcW w:w="864" w:type="dxa"/>
            <w:tcBorders>
              <w:top w:val="nil"/>
              <w:left w:val="nil"/>
              <w:bottom w:val="nil"/>
              <w:right w:val="nil"/>
            </w:tcBorders>
            <w:shd w:val="clear" w:color="auto" w:fill="auto"/>
            <w:noWrap/>
            <w:vAlign w:val="bottom"/>
            <w:hideMark/>
          </w:tcPr>
          <w:p w14:paraId="61A09F5B" w14:textId="77777777" w:rsidR="0024652D" w:rsidRDefault="0024652D">
            <w:pPr>
              <w:jc w:val="right"/>
              <w:rPr>
                <w:color w:val="000000"/>
                <w:sz w:val="20"/>
                <w:szCs w:val="20"/>
              </w:rPr>
            </w:pPr>
            <w:r>
              <w:rPr>
                <w:color w:val="000000"/>
                <w:sz w:val="20"/>
                <w:szCs w:val="20"/>
              </w:rPr>
              <w:t>0.002</w:t>
            </w:r>
          </w:p>
        </w:tc>
      </w:tr>
      <w:tr w:rsidR="0024652D" w14:paraId="551F5885" w14:textId="77777777" w:rsidTr="0024652D">
        <w:trPr>
          <w:trHeight w:val="320"/>
        </w:trPr>
        <w:tc>
          <w:tcPr>
            <w:tcW w:w="1152" w:type="dxa"/>
            <w:tcBorders>
              <w:top w:val="nil"/>
              <w:left w:val="nil"/>
              <w:bottom w:val="nil"/>
              <w:right w:val="nil"/>
            </w:tcBorders>
            <w:shd w:val="clear" w:color="auto" w:fill="auto"/>
            <w:noWrap/>
            <w:vAlign w:val="bottom"/>
            <w:hideMark/>
          </w:tcPr>
          <w:p w14:paraId="4356A274"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DA32124" w14:textId="77777777" w:rsidR="0024652D" w:rsidRDefault="0024652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63B5C96" w14:textId="77777777" w:rsidR="0024652D" w:rsidRDefault="0024652D">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4E5BBFBB" w14:textId="77777777" w:rsidR="0024652D" w:rsidRDefault="0024652D">
            <w:pPr>
              <w:jc w:val="right"/>
              <w:rPr>
                <w:color w:val="000000"/>
                <w:sz w:val="20"/>
                <w:szCs w:val="20"/>
              </w:rPr>
            </w:pPr>
            <w:r>
              <w:rPr>
                <w:color w:val="000000"/>
                <w:sz w:val="20"/>
                <w:szCs w:val="20"/>
              </w:rPr>
              <w:t>0.637</w:t>
            </w:r>
          </w:p>
        </w:tc>
        <w:tc>
          <w:tcPr>
            <w:tcW w:w="864" w:type="dxa"/>
            <w:tcBorders>
              <w:top w:val="nil"/>
              <w:left w:val="nil"/>
              <w:bottom w:val="nil"/>
              <w:right w:val="nil"/>
            </w:tcBorders>
            <w:shd w:val="clear" w:color="auto" w:fill="auto"/>
            <w:noWrap/>
            <w:vAlign w:val="bottom"/>
            <w:hideMark/>
          </w:tcPr>
          <w:p w14:paraId="30D74F96" w14:textId="77777777" w:rsidR="0024652D" w:rsidRDefault="0024652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F15017C" w14:textId="77777777" w:rsidR="0024652D" w:rsidRDefault="0024652D">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73E6E3A3" w14:textId="77777777" w:rsidR="0024652D" w:rsidRDefault="0024652D">
            <w:pPr>
              <w:jc w:val="right"/>
              <w:rPr>
                <w:color w:val="000000"/>
                <w:sz w:val="20"/>
                <w:szCs w:val="20"/>
              </w:rPr>
            </w:pPr>
            <w:r>
              <w:rPr>
                <w:color w:val="000000"/>
                <w:sz w:val="20"/>
                <w:szCs w:val="20"/>
              </w:rPr>
              <w:t>0.448</w:t>
            </w:r>
          </w:p>
        </w:tc>
        <w:tc>
          <w:tcPr>
            <w:tcW w:w="864" w:type="dxa"/>
            <w:tcBorders>
              <w:top w:val="nil"/>
              <w:left w:val="nil"/>
              <w:bottom w:val="nil"/>
              <w:right w:val="nil"/>
            </w:tcBorders>
            <w:shd w:val="clear" w:color="auto" w:fill="auto"/>
            <w:noWrap/>
            <w:vAlign w:val="bottom"/>
            <w:hideMark/>
          </w:tcPr>
          <w:p w14:paraId="7BB7CC23" w14:textId="77777777" w:rsidR="0024652D" w:rsidRDefault="0024652D">
            <w:pPr>
              <w:jc w:val="right"/>
              <w:rPr>
                <w:color w:val="000000"/>
                <w:sz w:val="20"/>
                <w:szCs w:val="20"/>
              </w:rPr>
            </w:pPr>
            <w:r>
              <w:rPr>
                <w:color w:val="000000"/>
                <w:sz w:val="20"/>
                <w:szCs w:val="20"/>
              </w:rPr>
              <w:t>0.002</w:t>
            </w:r>
          </w:p>
        </w:tc>
      </w:tr>
      <w:tr w:rsidR="0024652D" w14:paraId="33ACB248" w14:textId="77777777" w:rsidTr="0024652D">
        <w:trPr>
          <w:trHeight w:val="320"/>
        </w:trPr>
        <w:tc>
          <w:tcPr>
            <w:tcW w:w="1152" w:type="dxa"/>
            <w:tcBorders>
              <w:top w:val="nil"/>
              <w:left w:val="nil"/>
              <w:bottom w:val="single" w:sz="4" w:space="0" w:color="auto"/>
              <w:right w:val="nil"/>
            </w:tcBorders>
            <w:shd w:val="clear" w:color="auto" w:fill="auto"/>
            <w:noWrap/>
            <w:vAlign w:val="bottom"/>
            <w:hideMark/>
          </w:tcPr>
          <w:p w14:paraId="2E93BF42" w14:textId="77777777" w:rsidR="0024652D" w:rsidRDefault="0024652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751D11C1" w14:textId="77777777" w:rsidR="0024652D" w:rsidRDefault="0024652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73EFD97" w14:textId="77777777" w:rsidR="0024652D" w:rsidRDefault="0024652D">
            <w:pPr>
              <w:jc w:val="right"/>
              <w:rPr>
                <w:color w:val="000000"/>
                <w:sz w:val="20"/>
                <w:szCs w:val="20"/>
              </w:rPr>
            </w:pPr>
            <w:r>
              <w:rPr>
                <w:color w:val="000000"/>
                <w:sz w:val="20"/>
                <w:szCs w:val="20"/>
              </w:rPr>
              <w:t>0.027</w:t>
            </w:r>
          </w:p>
        </w:tc>
        <w:tc>
          <w:tcPr>
            <w:tcW w:w="864" w:type="dxa"/>
            <w:tcBorders>
              <w:top w:val="nil"/>
              <w:left w:val="nil"/>
              <w:bottom w:val="single" w:sz="4" w:space="0" w:color="auto"/>
              <w:right w:val="nil"/>
            </w:tcBorders>
            <w:shd w:val="clear" w:color="auto" w:fill="auto"/>
            <w:noWrap/>
            <w:vAlign w:val="bottom"/>
            <w:hideMark/>
          </w:tcPr>
          <w:p w14:paraId="46937A06" w14:textId="77777777" w:rsidR="0024652D" w:rsidRDefault="0024652D">
            <w:pPr>
              <w:jc w:val="right"/>
              <w:rPr>
                <w:color w:val="000000"/>
                <w:sz w:val="20"/>
                <w:szCs w:val="20"/>
              </w:rPr>
            </w:pPr>
            <w:r>
              <w:rPr>
                <w:color w:val="000000"/>
                <w:sz w:val="20"/>
                <w:szCs w:val="20"/>
              </w:rPr>
              <w:t>0.637</w:t>
            </w:r>
          </w:p>
        </w:tc>
        <w:tc>
          <w:tcPr>
            <w:tcW w:w="864" w:type="dxa"/>
            <w:tcBorders>
              <w:top w:val="nil"/>
              <w:left w:val="nil"/>
              <w:bottom w:val="single" w:sz="4" w:space="0" w:color="auto"/>
              <w:right w:val="nil"/>
            </w:tcBorders>
            <w:shd w:val="clear" w:color="auto" w:fill="auto"/>
            <w:noWrap/>
            <w:vAlign w:val="bottom"/>
            <w:hideMark/>
          </w:tcPr>
          <w:p w14:paraId="22BD0EE0" w14:textId="77777777" w:rsidR="0024652D" w:rsidRDefault="0024652D">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49F060EB" w14:textId="77777777" w:rsidR="0024652D" w:rsidRDefault="0024652D">
            <w:pPr>
              <w:jc w:val="right"/>
              <w:rPr>
                <w:color w:val="000000"/>
                <w:sz w:val="20"/>
                <w:szCs w:val="20"/>
              </w:rPr>
            </w:pPr>
            <w:r>
              <w:rPr>
                <w:color w:val="000000"/>
                <w:sz w:val="20"/>
                <w:szCs w:val="20"/>
              </w:rPr>
              <w:t>0.027</w:t>
            </w:r>
          </w:p>
        </w:tc>
        <w:tc>
          <w:tcPr>
            <w:tcW w:w="864" w:type="dxa"/>
            <w:tcBorders>
              <w:top w:val="nil"/>
              <w:left w:val="nil"/>
              <w:bottom w:val="single" w:sz="4" w:space="0" w:color="auto"/>
              <w:right w:val="nil"/>
            </w:tcBorders>
            <w:shd w:val="clear" w:color="auto" w:fill="auto"/>
            <w:noWrap/>
            <w:vAlign w:val="bottom"/>
            <w:hideMark/>
          </w:tcPr>
          <w:p w14:paraId="25C30465" w14:textId="77777777" w:rsidR="0024652D" w:rsidRDefault="0024652D">
            <w:pPr>
              <w:jc w:val="right"/>
              <w:rPr>
                <w:color w:val="000000"/>
                <w:sz w:val="20"/>
                <w:szCs w:val="20"/>
              </w:rPr>
            </w:pPr>
            <w:r>
              <w:rPr>
                <w:color w:val="000000"/>
                <w:sz w:val="20"/>
                <w:szCs w:val="20"/>
              </w:rPr>
              <w:t>0.617</w:t>
            </w:r>
          </w:p>
        </w:tc>
        <w:tc>
          <w:tcPr>
            <w:tcW w:w="864" w:type="dxa"/>
            <w:tcBorders>
              <w:top w:val="nil"/>
              <w:left w:val="nil"/>
              <w:bottom w:val="single" w:sz="4" w:space="0" w:color="auto"/>
              <w:right w:val="nil"/>
            </w:tcBorders>
            <w:shd w:val="clear" w:color="auto" w:fill="auto"/>
            <w:noWrap/>
            <w:vAlign w:val="bottom"/>
            <w:hideMark/>
          </w:tcPr>
          <w:p w14:paraId="458C552E" w14:textId="77777777" w:rsidR="0024652D" w:rsidRDefault="0024652D">
            <w:pPr>
              <w:jc w:val="right"/>
              <w:rPr>
                <w:color w:val="000000"/>
                <w:sz w:val="20"/>
                <w:szCs w:val="20"/>
              </w:rPr>
            </w:pPr>
            <w:r>
              <w:rPr>
                <w:color w:val="000000"/>
                <w:sz w:val="20"/>
                <w:szCs w:val="20"/>
              </w:rPr>
              <w:t>0.001</w:t>
            </w:r>
          </w:p>
        </w:tc>
      </w:tr>
      <w:tr w:rsidR="0024652D" w14:paraId="05C7B397" w14:textId="77777777" w:rsidTr="0024652D">
        <w:trPr>
          <w:trHeight w:val="320"/>
        </w:trPr>
        <w:tc>
          <w:tcPr>
            <w:tcW w:w="1152" w:type="dxa"/>
            <w:tcBorders>
              <w:top w:val="nil"/>
              <w:left w:val="nil"/>
              <w:bottom w:val="nil"/>
              <w:right w:val="nil"/>
            </w:tcBorders>
            <w:shd w:val="clear" w:color="auto" w:fill="auto"/>
            <w:noWrap/>
            <w:vAlign w:val="bottom"/>
            <w:hideMark/>
          </w:tcPr>
          <w:p w14:paraId="03405591" w14:textId="77777777" w:rsidR="0024652D" w:rsidRDefault="0024652D">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561F543F" w14:textId="77777777" w:rsidR="0024652D" w:rsidRDefault="0024652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AEFD40D" w14:textId="77777777" w:rsidR="0024652D" w:rsidRDefault="0024652D">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2DA6B510" w14:textId="77777777" w:rsidR="0024652D" w:rsidRDefault="0024652D">
            <w:pPr>
              <w:jc w:val="right"/>
              <w:rPr>
                <w:color w:val="000000"/>
                <w:sz w:val="20"/>
                <w:szCs w:val="20"/>
              </w:rPr>
            </w:pPr>
            <w:r>
              <w:rPr>
                <w:color w:val="000000"/>
                <w:sz w:val="20"/>
                <w:szCs w:val="20"/>
              </w:rPr>
              <w:t>0.358</w:t>
            </w:r>
          </w:p>
        </w:tc>
        <w:tc>
          <w:tcPr>
            <w:tcW w:w="864" w:type="dxa"/>
            <w:tcBorders>
              <w:top w:val="nil"/>
              <w:left w:val="nil"/>
              <w:bottom w:val="nil"/>
              <w:right w:val="nil"/>
            </w:tcBorders>
            <w:shd w:val="clear" w:color="auto" w:fill="auto"/>
            <w:noWrap/>
            <w:vAlign w:val="bottom"/>
            <w:hideMark/>
          </w:tcPr>
          <w:p w14:paraId="6F7D0572" w14:textId="77777777" w:rsidR="0024652D" w:rsidRDefault="0024652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A46D011" w14:textId="77777777" w:rsidR="0024652D" w:rsidRDefault="0024652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79A8D425" w14:textId="77777777" w:rsidR="0024652D" w:rsidRDefault="0024652D">
            <w:pPr>
              <w:jc w:val="right"/>
              <w:rPr>
                <w:color w:val="000000"/>
                <w:sz w:val="20"/>
                <w:szCs w:val="20"/>
              </w:rPr>
            </w:pPr>
            <w:r>
              <w:rPr>
                <w:color w:val="000000"/>
                <w:sz w:val="20"/>
                <w:szCs w:val="20"/>
              </w:rPr>
              <w:t>0.163</w:t>
            </w:r>
          </w:p>
        </w:tc>
        <w:tc>
          <w:tcPr>
            <w:tcW w:w="864" w:type="dxa"/>
            <w:tcBorders>
              <w:top w:val="nil"/>
              <w:left w:val="nil"/>
              <w:bottom w:val="nil"/>
              <w:right w:val="nil"/>
            </w:tcBorders>
            <w:shd w:val="clear" w:color="auto" w:fill="auto"/>
            <w:noWrap/>
            <w:vAlign w:val="bottom"/>
            <w:hideMark/>
          </w:tcPr>
          <w:p w14:paraId="5CDF8394" w14:textId="77777777" w:rsidR="0024652D" w:rsidRDefault="0024652D">
            <w:pPr>
              <w:jc w:val="right"/>
              <w:rPr>
                <w:color w:val="000000"/>
                <w:sz w:val="20"/>
                <w:szCs w:val="20"/>
              </w:rPr>
            </w:pPr>
            <w:r>
              <w:rPr>
                <w:color w:val="000000"/>
                <w:sz w:val="20"/>
                <w:szCs w:val="20"/>
              </w:rPr>
              <w:t>0.003</w:t>
            </w:r>
          </w:p>
        </w:tc>
      </w:tr>
      <w:tr w:rsidR="0024652D" w14:paraId="7B1100B2" w14:textId="77777777" w:rsidTr="0024652D">
        <w:trPr>
          <w:trHeight w:val="320"/>
        </w:trPr>
        <w:tc>
          <w:tcPr>
            <w:tcW w:w="1152" w:type="dxa"/>
            <w:tcBorders>
              <w:top w:val="nil"/>
              <w:left w:val="nil"/>
              <w:bottom w:val="nil"/>
              <w:right w:val="nil"/>
            </w:tcBorders>
            <w:shd w:val="clear" w:color="auto" w:fill="auto"/>
            <w:noWrap/>
            <w:vAlign w:val="bottom"/>
            <w:hideMark/>
          </w:tcPr>
          <w:p w14:paraId="59414DC5"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95154F6" w14:textId="77777777" w:rsidR="0024652D" w:rsidRDefault="0024652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0352568" w14:textId="77777777" w:rsidR="0024652D" w:rsidRDefault="0024652D">
            <w:pPr>
              <w:jc w:val="right"/>
              <w:rPr>
                <w:color w:val="000000"/>
                <w:sz w:val="20"/>
                <w:szCs w:val="20"/>
              </w:rPr>
            </w:pPr>
            <w:r>
              <w:rPr>
                <w:color w:val="000000"/>
                <w:sz w:val="20"/>
                <w:szCs w:val="20"/>
              </w:rPr>
              <w:t>0.072</w:t>
            </w:r>
          </w:p>
        </w:tc>
        <w:tc>
          <w:tcPr>
            <w:tcW w:w="864" w:type="dxa"/>
            <w:tcBorders>
              <w:top w:val="nil"/>
              <w:left w:val="nil"/>
              <w:bottom w:val="nil"/>
              <w:right w:val="nil"/>
            </w:tcBorders>
            <w:shd w:val="clear" w:color="auto" w:fill="auto"/>
            <w:noWrap/>
            <w:vAlign w:val="bottom"/>
            <w:hideMark/>
          </w:tcPr>
          <w:p w14:paraId="11E8B790" w14:textId="77777777" w:rsidR="0024652D" w:rsidRDefault="0024652D">
            <w:pPr>
              <w:jc w:val="right"/>
              <w:rPr>
                <w:color w:val="000000"/>
                <w:sz w:val="20"/>
                <w:szCs w:val="20"/>
              </w:rPr>
            </w:pPr>
            <w:r>
              <w:rPr>
                <w:color w:val="000000"/>
                <w:sz w:val="20"/>
                <w:szCs w:val="20"/>
              </w:rPr>
              <w:t>0.140</w:t>
            </w:r>
          </w:p>
        </w:tc>
        <w:tc>
          <w:tcPr>
            <w:tcW w:w="864" w:type="dxa"/>
            <w:tcBorders>
              <w:top w:val="nil"/>
              <w:left w:val="nil"/>
              <w:bottom w:val="nil"/>
              <w:right w:val="nil"/>
            </w:tcBorders>
            <w:shd w:val="clear" w:color="auto" w:fill="auto"/>
            <w:noWrap/>
            <w:vAlign w:val="bottom"/>
            <w:hideMark/>
          </w:tcPr>
          <w:p w14:paraId="27D6CC4F" w14:textId="77777777" w:rsidR="0024652D" w:rsidRDefault="0024652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7668AEFF" w14:textId="77777777" w:rsidR="0024652D" w:rsidRDefault="0024652D">
            <w:pPr>
              <w:jc w:val="right"/>
              <w:rPr>
                <w:color w:val="000000"/>
                <w:sz w:val="20"/>
                <w:szCs w:val="20"/>
              </w:rPr>
            </w:pPr>
            <w:r>
              <w:rPr>
                <w:color w:val="000000"/>
                <w:sz w:val="20"/>
                <w:szCs w:val="20"/>
              </w:rPr>
              <w:t>0.075</w:t>
            </w:r>
          </w:p>
        </w:tc>
        <w:tc>
          <w:tcPr>
            <w:tcW w:w="864" w:type="dxa"/>
            <w:tcBorders>
              <w:top w:val="nil"/>
              <w:left w:val="nil"/>
              <w:bottom w:val="nil"/>
              <w:right w:val="nil"/>
            </w:tcBorders>
            <w:shd w:val="clear" w:color="auto" w:fill="auto"/>
            <w:noWrap/>
            <w:vAlign w:val="bottom"/>
            <w:hideMark/>
          </w:tcPr>
          <w:p w14:paraId="290E56D0" w14:textId="77777777" w:rsidR="0024652D" w:rsidRDefault="0024652D">
            <w:pPr>
              <w:jc w:val="right"/>
              <w:rPr>
                <w:color w:val="000000"/>
                <w:sz w:val="20"/>
                <w:szCs w:val="20"/>
              </w:rPr>
            </w:pPr>
            <w:r>
              <w:rPr>
                <w:color w:val="000000"/>
                <w:sz w:val="20"/>
                <w:szCs w:val="20"/>
              </w:rPr>
              <w:t>0.128</w:t>
            </w:r>
          </w:p>
        </w:tc>
        <w:tc>
          <w:tcPr>
            <w:tcW w:w="864" w:type="dxa"/>
            <w:tcBorders>
              <w:top w:val="nil"/>
              <w:left w:val="nil"/>
              <w:bottom w:val="nil"/>
              <w:right w:val="nil"/>
            </w:tcBorders>
            <w:shd w:val="clear" w:color="auto" w:fill="auto"/>
            <w:noWrap/>
            <w:vAlign w:val="bottom"/>
            <w:hideMark/>
          </w:tcPr>
          <w:p w14:paraId="26252BE0" w14:textId="77777777" w:rsidR="0024652D" w:rsidRDefault="0024652D">
            <w:pPr>
              <w:jc w:val="right"/>
              <w:rPr>
                <w:color w:val="000000"/>
                <w:sz w:val="20"/>
                <w:szCs w:val="20"/>
              </w:rPr>
            </w:pPr>
            <w:r>
              <w:rPr>
                <w:color w:val="000000"/>
                <w:sz w:val="20"/>
                <w:szCs w:val="20"/>
              </w:rPr>
              <w:t>0.006</w:t>
            </w:r>
          </w:p>
        </w:tc>
      </w:tr>
      <w:tr w:rsidR="0024652D" w14:paraId="3D233614" w14:textId="77777777" w:rsidTr="0024652D">
        <w:trPr>
          <w:trHeight w:val="320"/>
        </w:trPr>
        <w:tc>
          <w:tcPr>
            <w:tcW w:w="1152" w:type="dxa"/>
            <w:tcBorders>
              <w:top w:val="nil"/>
              <w:left w:val="nil"/>
              <w:bottom w:val="nil"/>
              <w:right w:val="nil"/>
            </w:tcBorders>
            <w:shd w:val="clear" w:color="auto" w:fill="auto"/>
            <w:noWrap/>
            <w:vAlign w:val="bottom"/>
            <w:hideMark/>
          </w:tcPr>
          <w:p w14:paraId="5654A213"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DAA506" w14:textId="77777777" w:rsidR="0024652D" w:rsidRDefault="0024652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9F97CCB" w14:textId="77777777" w:rsidR="0024652D" w:rsidRDefault="0024652D">
            <w:pPr>
              <w:jc w:val="right"/>
              <w:rPr>
                <w:color w:val="000000"/>
                <w:sz w:val="20"/>
                <w:szCs w:val="20"/>
              </w:rPr>
            </w:pPr>
            <w:r>
              <w:rPr>
                <w:color w:val="000000"/>
                <w:sz w:val="20"/>
                <w:szCs w:val="20"/>
              </w:rPr>
              <w:t>0.097</w:t>
            </w:r>
          </w:p>
        </w:tc>
        <w:tc>
          <w:tcPr>
            <w:tcW w:w="864" w:type="dxa"/>
            <w:tcBorders>
              <w:top w:val="nil"/>
              <w:left w:val="nil"/>
              <w:bottom w:val="nil"/>
              <w:right w:val="nil"/>
            </w:tcBorders>
            <w:shd w:val="clear" w:color="auto" w:fill="auto"/>
            <w:noWrap/>
            <w:vAlign w:val="bottom"/>
            <w:hideMark/>
          </w:tcPr>
          <w:p w14:paraId="233558A1" w14:textId="77777777" w:rsidR="0024652D" w:rsidRDefault="0024652D">
            <w:pPr>
              <w:jc w:val="right"/>
              <w:rPr>
                <w:color w:val="000000"/>
                <w:sz w:val="20"/>
                <w:szCs w:val="20"/>
              </w:rPr>
            </w:pPr>
            <w:r>
              <w:rPr>
                <w:color w:val="000000"/>
                <w:sz w:val="20"/>
                <w:szCs w:val="20"/>
              </w:rPr>
              <w:t>0.157</w:t>
            </w:r>
          </w:p>
        </w:tc>
        <w:tc>
          <w:tcPr>
            <w:tcW w:w="864" w:type="dxa"/>
            <w:tcBorders>
              <w:top w:val="nil"/>
              <w:left w:val="nil"/>
              <w:bottom w:val="nil"/>
              <w:right w:val="nil"/>
            </w:tcBorders>
            <w:shd w:val="clear" w:color="auto" w:fill="auto"/>
            <w:noWrap/>
            <w:vAlign w:val="bottom"/>
            <w:hideMark/>
          </w:tcPr>
          <w:p w14:paraId="5095ED02" w14:textId="77777777" w:rsidR="0024652D" w:rsidRDefault="0024652D">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22B23B5F" w14:textId="77777777" w:rsidR="0024652D" w:rsidRDefault="0024652D">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2A9C7697" w14:textId="77777777" w:rsidR="0024652D" w:rsidRDefault="0024652D">
            <w:pPr>
              <w:jc w:val="right"/>
              <w:rPr>
                <w:color w:val="000000"/>
                <w:sz w:val="20"/>
                <w:szCs w:val="20"/>
              </w:rPr>
            </w:pPr>
            <w:r>
              <w:rPr>
                <w:color w:val="000000"/>
                <w:sz w:val="20"/>
                <w:szCs w:val="20"/>
              </w:rPr>
              <w:t>0.246</w:t>
            </w:r>
          </w:p>
        </w:tc>
        <w:tc>
          <w:tcPr>
            <w:tcW w:w="864" w:type="dxa"/>
            <w:tcBorders>
              <w:top w:val="nil"/>
              <w:left w:val="nil"/>
              <w:bottom w:val="nil"/>
              <w:right w:val="nil"/>
            </w:tcBorders>
            <w:shd w:val="clear" w:color="auto" w:fill="auto"/>
            <w:noWrap/>
            <w:vAlign w:val="bottom"/>
            <w:hideMark/>
          </w:tcPr>
          <w:p w14:paraId="4F7E58D8" w14:textId="77777777" w:rsidR="0024652D" w:rsidRDefault="0024652D">
            <w:pPr>
              <w:jc w:val="right"/>
              <w:rPr>
                <w:color w:val="000000"/>
                <w:sz w:val="20"/>
                <w:szCs w:val="20"/>
              </w:rPr>
            </w:pPr>
            <w:r>
              <w:rPr>
                <w:color w:val="000000"/>
                <w:sz w:val="20"/>
                <w:szCs w:val="20"/>
              </w:rPr>
              <w:t>0.004</w:t>
            </w:r>
          </w:p>
        </w:tc>
      </w:tr>
      <w:tr w:rsidR="0024652D" w14:paraId="784A27A3" w14:textId="77777777" w:rsidTr="0024652D">
        <w:trPr>
          <w:trHeight w:val="320"/>
        </w:trPr>
        <w:tc>
          <w:tcPr>
            <w:tcW w:w="1152" w:type="dxa"/>
            <w:tcBorders>
              <w:top w:val="nil"/>
              <w:left w:val="nil"/>
              <w:bottom w:val="nil"/>
              <w:right w:val="nil"/>
            </w:tcBorders>
            <w:shd w:val="clear" w:color="auto" w:fill="auto"/>
            <w:noWrap/>
            <w:vAlign w:val="bottom"/>
            <w:hideMark/>
          </w:tcPr>
          <w:p w14:paraId="0ADE6E6B"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23EA77C" w14:textId="77777777" w:rsidR="0024652D" w:rsidRDefault="0024652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8AC04C3" w14:textId="77777777" w:rsidR="0024652D" w:rsidRDefault="0024652D">
            <w:pPr>
              <w:jc w:val="right"/>
              <w:rPr>
                <w:color w:val="000000"/>
                <w:sz w:val="20"/>
                <w:szCs w:val="20"/>
              </w:rPr>
            </w:pPr>
            <w:r>
              <w:rPr>
                <w:color w:val="000000"/>
                <w:sz w:val="20"/>
                <w:szCs w:val="20"/>
              </w:rPr>
              <w:t>-0.047</w:t>
            </w:r>
          </w:p>
        </w:tc>
        <w:tc>
          <w:tcPr>
            <w:tcW w:w="864" w:type="dxa"/>
            <w:tcBorders>
              <w:top w:val="nil"/>
              <w:left w:val="nil"/>
              <w:bottom w:val="nil"/>
              <w:right w:val="nil"/>
            </w:tcBorders>
            <w:shd w:val="clear" w:color="auto" w:fill="auto"/>
            <w:noWrap/>
            <w:vAlign w:val="bottom"/>
            <w:hideMark/>
          </w:tcPr>
          <w:p w14:paraId="4A3F4F9B" w14:textId="77777777" w:rsidR="0024652D" w:rsidRDefault="0024652D">
            <w:pPr>
              <w:jc w:val="right"/>
              <w:rPr>
                <w:color w:val="000000"/>
                <w:sz w:val="20"/>
                <w:szCs w:val="20"/>
              </w:rPr>
            </w:pPr>
            <w:r>
              <w:rPr>
                <w:color w:val="000000"/>
                <w:sz w:val="20"/>
                <w:szCs w:val="20"/>
              </w:rPr>
              <w:t>0.402</w:t>
            </w:r>
          </w:p>
        </w:tc>
        <w:tc>
          <w:tcPr>
            <w:tcW w:w="864" w:type="dxa"/>
            <w:tcBorders>
              <w:top w:val="nil"/>
              <w:left w:val="nil"/>
              <w:bottom w:val="nil"/>
              <w:right w:val="nil"/>
            </w:tcBorders>
            <w:shd w:val="clear" w:color="auto" w:fill="auto"/>
            <w:noWrap/>
            <w:vAlign w:val="bottom"/>
            <w:hideMark/>
          </w:tcPr>
          <w:p w14:paraId="79DDD1EF" w14:textId="77777777" w:rsidR="0024652D" w:rsidRDefault="0024652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DCBBBDA" w14:textId="77777777" w:rsidR="0024652D" w:rsidRDefault="0024652D">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1BF2881E" w14:textId="77777777" w:rsidR="0024652D" w:rsidRDefault="0024652D">
            <w:pPr>
              <w:jc w:val="right"/>
              <w:rPr>
                <w:color w:val="000000"/>
                <w:sz w:val="20"/>
                <w:szCs w:val="20"/>
              </w:rPr>
            </w:pPr>
            <w:r>
              <w:rPr>
                <w:color w:val="000000"/>
                <w:sz w:val="20"/>
                <w:szCs w:val="20"/>
              </w:rPr>
              <w:t>0.759</w:t>
            </w:r>
          </w:p>
        </w:tc>
        <w:tc>
          <w:tcPr>
            <w:tcW w:w="864" w:type="dxa"/>
            <w:tcBorders>
              <w:top w:val="nil"/>
              <w:left w:val="nil"/>
              <w:bottom w:val="nil"/>
              <w:right w:val="nil"/>
            </w:tcBorders>
            <w:shd w:val="clear" w:color="auto" w:fill="auto"/>
            <w:noWrap/>
            <w:vAlign w:val="bottom"/>
            <w:hideMark/>
          </w:tcPr>
          <w:p w14:paraId="425CAC48" w14:textId="77777777" w:rsidR="0024652D" w:rsidRDefault="0024652D">
            <w:pPr>
              <w:jc w:val="right"/>
              <w:rPr>
                <w:color w:val="000000"/>
                <w:sz w:val="20"/>
                <w:szCs w:val="20"/>
              </w:rPr>
            </w:pPr>
            <w:r>
              <w:rPr>
                <w:color w:val="000000"/>
                <w:sz w:val="20"/>
                <w:szCs w:val="20"/>
              </w:rPr>
              <w:t>0.000</w:t>
            </w:r>
          </w:p>
        </w:tc>
      </w:tr>
      <w:tr w:rsidR="0024652D" w14:paraId="5ED0F9DC" w14:textId="77777777" w:rsidTr="0024652D">
        <w:trPr>
          <w:trHeight w:val="320"/>
        </w:trPr>
        <w:tc>
          <w:tcPr>
            <w:tcW w:w="1152" w:type="dxa"/>
            <w:tcBorders>
              <w:top w:val="nil"/>
              <w:left w:val="nil"/>
              <w:bottom w:val="nil"/>
              <w:right w:val="nil"/>
            </w:tcBorders>
            <w:shd w:val="clear" w:color="auto" w:fill="auto"/>
            <w:noWrap/>
            <w:vAlign w:val="bottom"/>
            <w:hideMark/>
          </w:tcPr>
          <w:p w14:paraId="4FDF7E1E"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BF61FF0" w14:textId="77777777" w:rsidR="0024652D" w:rsidRDefault="0024652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C340843" w14:textId="77777777" w:rsidR="0024652D" w:rsidRDefault="0024652D">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332DD685" w14:textId="77777777" w:rsidR="0024652D" w:rsidRDefault="0024652D">
            <w:pPr>
              <w:jc w:val="right"/>
              <w:rPr>
                <w:color w:val="000000"/>
                <w:sz w:val="20"/>
                <w:szCs w:val="20"/>
              </w:rPr>
            </w:pPr>
            <w:r>
              <w:rPr>
                <w:color w:val="000000"/>
                <w:sz w:val="20"/>
                <w:szCs w:val="20"/>
              </w:rPr>
              <w:t>0.402</w:t>
            </w:r>
          </w:p>
        </w:tc>
        <w:tc>
          <w:tcPr>
            <w:tcW w:w="864" w:type="dxa"/>
            <w:tcBorders>
              <w:top w:val="nil"/>
              <w:left w:val="nil"/>
              <w:bottom w:val="nil"/>
              <w:right w:val="nil"/>
            </w:tcBorders>
            <w:shd w:val="clear" w:color="auto" w:fill="auto"/>
            <w:noWrap/>
            <w:vAlign w:val="bottom"/>
            <w:hideMark/>
          </w:tcPr>
          <w:p w14:paraId="008B808A" w14:textId="77777777" w:rsidR="0024652D" w:rsidRDefault="0024652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2CEE7E8" w14:textId="77777777" w:rsidR="0024652D" w:rsidRDefault="0024652D">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56A3647B" w14:textId="77777777" w:rsidR="0024652D" w:rsidRDefault="0024652D">
            <w:pPr>
              <w:jc w:val="right"/>
              <w:rPr>
                <w:color w:val="000000"/>
                <w:sz w:val="20"/>
                <w:szCs w:val="20"/>
              </w:rPr>
            </w:pPr>
            <w:r>
              <w:rPr>
                <w:color w:val="000000"/>
                <w:sz w:val="20"/>
                <w:szCs w:val="20"/>
              </w:rPr>
              <w:t>0.807</w:t>
            </w:r>
          </w:p>
        </w:tc>
        <w:tc>
          <w:tcPr>
            <w:tcW w:w="864" w:type="dxa"/>
            <w:tcBorders>
              <w:top w:val="nil"/>
              <w:left w:val="nil"/>
              <w:bottom w:val="nil"/>
              <w:right w:val="nil"/>
            </w:tcBorders>
            <w:shd w:val="clear" w:color="auto" w:fill="auto"/>
            <w:noWrap/>
            <w:vAlign w:val="bottom"/>
            <w:hideMark/>
          </w:tcPr>
          <w:p w14:paraId="5552A6AC" w14:textId="77777777" w:rsidR="0024652D" w:rsidRDefault="0024652D">
            <w:pPr>
              <w:jc w:val="right"/>
              <w:rPr>
                <w:color w:val="000000"/>
                <w:sz w:val="20"/>
                <w:szCs w:val="20"/>
              </w:rPr>
            </w:pPr>
            <w:r>
              <w:rPr>
                <w:color w:val="000000"/>
                <w:sz w:val="20"/>
                <w:szCs w:val="20"/>
              </w:rPr>
              <w:t>0.000</w:t>
            </w:r>
          </w:p>
        </w:tc>
      </w:tr>
      <w:tr w:rsidR="0024652D" w14:paraId="10ADFC6B" w14:textId="77777777" w:rsidTr="0024652D">
        <w:trPr>
          <w:trHeight w:val="320"/>
        </w:trPr>
        <w:tc>
          <w:tcPr>
            <w:tcW w:w="1152" w:type="dxa"/>
            <w:tcBorders>
              <w:top w:val="nil"/>
              <w:left w:val="nil"/>
              <w:bottom w:val="nil"/>
              <w:right w:val="nil"/>
            </w:tcBorders>
            <w:shd w:val="clear" w:color="auto" w:fill="auto"/>
            <w:noWrap/>
            <w:vAlign w:val="bottom"/>
            <w:hideMark/>
          </w:tcPr>
          <w:p w14:paraId="120E63E9"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D1BA634" w14:textId="77777777" w:rsidR="0024652D" w:rsidRDefault="0024652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8C3FA73" w14:textId="77777777" w:rsidR="0024652D" w:rsidRDefault="0024652D">
            <w:pPr>
              <w:jc w:val="right"/>
              <w:rPr>
                <w:color w:val="000000"/>
                <w:sz w:val="20"/>
                <w:szCs w:val="20"/>
              </w:rPr>
            </w:pPr>
            <w:r>
              <w:rPr>
                <w:color w:val="000000"/>
                <w:sz w:val="20"/>
                <w:szCs w:val="20"/>
              </w:rPr>
              <w:t>-0.078</w:t>
            </w:r>
          </w:p>
        </w:tc>
        <w:tc>
          <w:tcPr>
            <w:tcW w:w="864" w:type="dxa"/>
            <w:tcBorders>
              <w:top w:val="nil"/>
              <w:left w:val="nil"/>
              <w:bottom w:val="nil"/>
              <w:right w:val="nil"/>
            </w:tcBorders>
            <w:shd w:val="clear" w:color="auto" w:fill="auto"/>
            <w:noWrap/>
            <w:vAlign w:val="bottom"/>
            <w:hideMark/>
          </w:tcPr>
          <w:p w14:paraId="516BD449" w14:textId="77777777" w:rsidR="0024652D" w:rsidRDefault="0024652D">
            <w:pPr>
              <w:jc w:val="right"/>
              <w:rPr>
                <w:color w:val="000000"/>
                <w:sz w:val="20"/>
                <w:szCs w:val="20"/>
              </w:rPr>
            </w:pPr>
            <w:r>
              <w:rPr>
                <w:color w:val="000000"/>
                <w:sz w:val="20"/>
                <w:szCs w:val="20"/>
              </w:rPr>
              <w:t>0.140</w:t>
            </w:r>
          </w:p>
        </w:tc>
        <w:tc>
          <w:tcPr>
            <w:tcW w:w="864" w:type="dxa"/>
            <w:tcBorders>
              <w:top w:val="nil"/>
              <w:left w:val="nil"/>
              <w:bottom w:val="nil"/>
              <w:right w:val="nil"/>
            </w:tcBorders>
            <w:shd w:val="clear" w:color="auto" w:fill="auto"/>
            <w:noWrap/>
            <w:vAlign w:val="bottom"/>
            <w:hideMark/>
          </w:tcPr>
          <w:p w14:paraId="30BBCB70" w14:textId="77777777" w:rsidR="0024652D" w:rsidRDefault="0024652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F785624" w14:textId="77777777" w:rsidR="0024652D" w:rsidRDefault="0024652D">
            <w:pPr>
              <w:jc w:val="right"/>
              <w:rPr>
                <w:color w:val="000000"/>
                <w:sz w:val="20"/>
                <w:szCs w:val="20"/>
              </w:rPr>
            </w:pPr>
            <w:r>
              <w:rPr>
                <w:color w:val="000000"/>
                <w:sz w:val="20"/>
                <w:szCs w:val="20"/>
              </w:rPr>
              <w:t>-0.050</w:t>
            </w:r>
          </w:p>
        </w:tc>
        <w:tc>
          <w:tcPr>
            <w:tcW w:w="864" w:type="dxa"/>
            <w:tcBorders>
              <w:top w:val="nil"/>
              <w:left w:val="nil"/>
              <w:bottom w:val="nil"/>
              <w:right w:val="nil"/>
            </w:tcBorders>
            <w:shd w:val="clear" w:color="auto" w:fill="auto"/>
            <w:noWrap/>
            <w:vAlign w:val="bottom"/>
            <w:hideMark/>
          </w:tcPr>
          <w:p w14:paraId="368D5D60" w14:textId="77777777" w:rsidR="0024652D" w:rsidRDefault="0024652D">
            <w:pPr>
              <w:jc w:val="right"/>
              <w:rPr>
                <w:color w:val="000000"/>
                <w:sz w:val="20"/>
                <w:szCs w:val="20"/>
              </w:rPr>
            </w:pPr>
            <w:r>
              <w:rPr>
                <w:color w:val="000000"/>
                <w:sz w:val="20"/>
                <w:szCs w:val="20"/>
              </w:rPr>
              <w:t>0.238</w:t>
            </w:r>
          </w:p>
        </w:tc>
        <w:tc>
          <w:tcPr>
            <w:tcW w:w="864" w:type="dxa"/>
            <w:tcBorders>
              <w:top w:val="nil"/>
              <w:left w:val="nil"/>
              <w:bottom w:val="nil"/>
              <w:right w:val="nil"/>
            </w:tcBorders>
            <w:shd w:val="clear" w:color="auto" w:fill="auto"/>
            <w:noWrap/>
            <w:vAlign w:val="bottom"/>
            <w:hideMark/>
          </w:tcPr>
          <w:p w14:paraId="6843EB7D" w14:textId="77777777" w:rsidR="0024652D" w:rsidRDefault="0024652D">
            <w:pPr>
              <w:jc w:val="right"/>
              <w:rPr>
                <w:color w:val="000000"/>
                <w:sz w:val="20"/>
                <w:szCs w:val="20"/>
              </w:rPr>
            </w:pPr>
            <w:r>
              <w:rPr>
                <w:color w:val="000000"/>
                <w:sz w:val="20"/>
                <w:szCs w:val="20"/>
              </w:rPr>
              <w:t>0.003</w:t>
            </w:r>
          </w:p>
        </w:tc>
      </w:tr>
      <w:tr w:rsidR="0024652D" w14:paraId="4751B402" w14:textId="77777777" w:rsidTr="0024652D">
        <w:trPr>
          <w:trHeight w:val="320"/>
        </w:trPr>
        <w:tc>
          <w:tcPr>
            <w:tcW w:w="1152" w:type="dxa"/>
            <w:tcBorders>
              <w:top w:val="nil"/>
              <w:left w:val="nil"/>
              <w:bottom w:val="nil"/>
              <w:right w:val="nil"/>
            </w:tcBorders>
            <w:shd w:val="clear" w:color="auto" w:fill="auto"/>
            <w:noWrap/>
            <w:vAlign w:val="bottom"/>
            <w:hideMark/>
          </w:tcPr>
          <w:p w14:paraId="7DB95ED2"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B77A935" w14:textId="77777777" w:rsidR="0024652D" w:rsidRDefault="0024652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8A3271A" w14:textId="77777777" w:rsidR="0024652D" w:rsidRDefault="0024652D">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361FE9E9" w14:textId="77777777" w:rsidR="0024652D" w:rsidRDefault="0024652D">
            <w:pPr>
              <w:jc w:val="right"/>
              <w:rPr>
                <w:color w:val="000000"/>
                <w:sz w:val="20"/>
                <w:szCs w:val="20"/>
              </w:rPr>
            </w:pPr>
            <w:r>
              <w:rPr>
                <w:color w:val="000000"/>
                <w:sz w:val="20"/>
                <w:szCs w:val="20"/>
              </w:rPr>
              <w:t>0.402</w:t>
            </w:r>
          </w:p>
        </w:tc>
        <w:tc>
          <w:tcPr>
            <w:tcW w:w="864" w:type="dxa"/>
            <w:tcBorders>
              <w:top w:val="nil"/>
              <w:left w:val="nil"/>
              <w:bottom w:val="nil"/>
              <w:right w:val="nil"/>
            </w:tcBorders>
            <w:shd w:val="clear" w:color="auto" w:fill="auto"/>
            <w:noWrap/>
            <w:vAlign w:val="bottom"/>
            <w:hideMark/>
          </w:tcPr>
          <w:p w14:paraId="015D64D8" w14:textId="77777777" w:rsidR="0024652D" w:rsidRDefault="0024652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6F253BC" w14:textId="77777777" w:rsidR="0024652D" w:rsidRDefault="0024652D">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49834603" w14:textId="77777777" w:rsidR="0024652D" w:rsidRDefault="0024652D">
            <w:pPr>
              <w:jc w:val="right"/>
              <w:rPr>
                <w:color w:val="000000"/>
                <w:sz w:val="20"/>
                <w:szCs w:val="20"/>
              </w:rPr>
            </w:pPr>
            <w:r>
              <w:rPr>
                <w:color w:val="000000"/>
                <w:sz w:val="20"/>
                <w:szCs w:val="20"/>
              </w:rPr>
              <w:t>0.163</w:t>
            </w:r>
          </w:p>
        </w:tc>
        <w:tc>
          <w:tcPr>
            <w:tcW w:w="864" w:type="dxa"/>
            <w:tcBorders>
              <w:top w:val="nil"/>
              <w:left w:val="nil"/>
              <w:bottom w:val="nil"/>
              <w:right w:val="nil"/>
            </w:tcBorders>
            <w:shd w:val="clear" w:color="auto" w:fill="auto"/>
            <w:noWrap/>
            <w:vAlign w:val="bottom"/>
            <w:hideMark/>
          </w:tcPr>
          <w:p w14:paraId="4C21CA10" w14:textId="77777777" w:rsidR="0024652D" w:rsidRDefault="0024652D">
            <w:pPr>
              <w:jc w:val="right"/>
              <w:rPr>
                <w:color w:val="000000"/>
                <w:sz w:val="20"/>
                <w:szCs w:val="20"/>
              </w:rPr>
            </w:pPr>
            <w:r>
              <w:rPr>
                <w:color w:val="000000"/>
                <w:sz w:val="20"/>
                <w:szCs w:val="20"/>
              </w:rPr>
              <w:t>0.004</w:t>
            </w:r>
          </w:p>
        </w:tc>
      </w:tr>
      <w:tr w:rsidR="0024652D" w14:paraId="1EDDD327" w14:textId="77777777" w:rsidTr="0024652D">
        <w:trPr>
          <w:trHeight w:val="320"/>
        </w:trPr>
        <w:tc>
          <w:tcPr>
            <w:tcW w:w="1152" w:type="dxa"/>
            <w:tcBorders>
              <w:top w:val="nil"/>
              <w:left w:val="nil"/>
              <w:bottom w:val="single" w:sz="4" w:space="0" w:color="auto"/>
              <w:right w:val="nil"/>
            </w:tcBorders>
            <w:shd w:val="clear" w:color="auto" w:fill="auto"/>
            <w:noWrap/>
            <w:vAlign w:val="bottom"/>
            <w:hideMark/>
          </w:tcPr>
          <w:p w14:paraId="247395A8" w14:textId="77777777" w:rsidR="0024652D" w:rsidRDefault="0024652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1411B36" w14:textId="77777777" w:rsidR="0024652D" w:rsidRDefault="0024652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9BD9D8A" w14:textId="77777777" w:rsidR="0024652D" w:rsidRDefault="0024652D">
            <w:pPr>
              <w:jc w:val="right"/>
              <w:rPr>
                <w:color w:val="000000"/>
                <w:sz w:val="20"/>
                <w:szCs w:val="20"/>
              </w:rPr>
            </w:pPr>
            <w:r>
              <w:rPr>
                <w:color w:val="000000"/>
                <w:sz w:val="20"/>
                <w:szCs w:val="20"/>
              </w:rPr>
              <w:t>0.020</w:t>
            </w:r>
          </w:p>
        </w:tc>
        <w:tc>
          <w:tcPr>
            <w:tcW w:w="864" w:type="dxa"/>
            <w:tcBorders>
              <w:top w:val="nil"/>
              <w:left w:val="nil"/>
              <w:bottom w:val="single" w:sz="4" w:space="0" w:color="auto"/>
              <w:right w:val="nil"/>
            </w:tcBorders>
            <w:shd w:val="clear" w:color="auto" w:fill="auto"/>
            <w:noWrap/>
            <w:vAlign w:val="bottom"/>
            <w:hideMark/>
          </w:tcPr>
          <w:p w14:paraId="3A519672" w14:textId="77777777" w:rsidR="0024652D" w:rsidRDefault="0024652D">
            <w:pPr>
              <w:jc w:val="right"/>
              <w:rPr>
                <w:color w:val="000000"/>
                <w:sz w:val="20"/>
                <w:szCs w:val="20"/>
              </w:rPr>
            </w:pPr>
            <w:r>
              <w:rPr>
                <w:color w:val="000000"/>
                <w:sz w:val="20"/>
                <w:szCs w:val="20"/>
              </w:rPr>
              <w:t>0.648</w:t>
            </w:r>
          </w:p>
        </w:tc>
        <w:tc>
          <w:tcPr>
            <w:tcW w:w="864" w:type="dxa"/>
            <w:tcBorders>
              <w:top w:val="nil"/>
              <w:left w:val="nil"/>
              <w:bottom w:val="single" w:sz="4" w:space="0" w:color="auto"/>
              <w:right w:val="nil"/>
            </w:tcBorders>
            <w:shd w:val="clear" w:color="auto" w:fill="auto"/>
            <w:noWrap/>
            <w:vAlign w:val="bottom"/>
            <w:hideMark/>
          </w:tcPr>
          <w:p w14:paraId="67055426" w14:textId="77777777" w:rsidR="0024652D" w:rsidRDefault="0024652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27A339C" w14:textId="77777777" w:rsidR="0024652D" w:rsidRDefault="0024652D">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351AC08A" w14:textId="77777777" w:rsidR="0024652D" w:rsidRDefault="0024652D">
            <w:pPr>
              <w:jc w:val="right"/>
              <w:rPr>
                <w:color w:val="000000"/>
                <w:sz w:val="20"/>
                <w:szCs w:val="20"/>
              </w:rPr>
            </w:pPr>
            <w:r>
              <w:rPr>
                <w:color w:val="000000"/>
                <w:sz w:val="20"/>
                <w:szCs w:val="20"/>
              </w:rPr>
              <w:t>0.977</w:t>
            </w:r>
          </w:p>
        </w:tc>
        <w:tc>
          <w:tcPr>
            <w:tcW w:w="864" w:type="dxa"/>
            <w:tcBorders>
              <w:top w:val="nil"/>
              <w:left w:val="nil"/>
              <w:bottom w:val="single" w:sz="4" w:space="0" w:color="auto"/>
              <w:right w:val="nil"/>
            </w:tcBorders>
            <w:shd w:val="clear" w:color="auto" w:fill="auto"/>
            <w:noWrap/>
            <w:vAlign w:val="bottom"/>
            <w:hideMark/>
          </w:tcPr>
          <w:p w14:paraId="5E5931F1" w14:textId="77777777" w:rsidR="0024652D" w:rsidRDefault="0024652D">
            <w:pPr>
              <w:jc w:val="right"/>
              <w:rPr>
                <w:color w:val="000000"/>
                <w:sz w:val="20"/>
                <w:szCs w:val="20"/>
              </w:rPr>
            </w:pPr>
            <w:r>
              <w:rPr>
                <w:color w:val="000000"/>
                <w:sz w:val="20"/>
                <w:szCs w:val="20"/>
              </w:rPr>
              <w:t>0.000</w:t>
            </w:r>
          </w:p>
        </w:tc>
      </w:tr>
      <w:tr w:rsidR="0024652D" w14:paraId="0472F32A" w14:textId="77777777" w:rsidTr="0024652D">
        <w:trPr>
          <w:trHeight w:val="320"/>
        </w:trPr>
        <w:tc>
          <w:tcPr>
            <w:tcW w:w="1152" w:type="dxa"/>
            <w:tcBorders>
              <w:top w:val="nil"/>
              <w:left w:val="nil"/>
              <w:bottom w:val="nil"/>
              <w:right w:val="nil"/>
            </w:tcBorders>
            <w:shd w:val="clear" w:color="auto" w:fill="auto"/>
            <w:noWrap/>
            <w:vAlign w:val="bottom"/>
            <w:hideMark/>
          </w:tcPr>
          <w:p w14:paraId="3EFA4886" w14:textId="77777777" w:rsidR="0024652D" w:rsidRDefault="0024652D">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22BD0FDA" w14:textId="77777777" w:rsidR="0024652D" w:rsidRDefault="0024652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A15E97F" w14:textId="77777777" w:rsidR="0024652D" w:rsidRDefault="0024652D">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45AB9C08" w14:textId="77777777" w:rsidR="0024652D" w:rsidRDefault="0024652D">
            <w:pPr>
              <w:jc w:val="right"/>
              <w:rPr>
                <w:color w:val="000000"/>
                <w:sz w:val="20"/>
                <w:szCs w:val="20"/>
              </w:rPr>
            </w:pPr>
            <w:r>
              <w:rPr>
                <w:color w:val="000000"/>
                <w:sz w:val="20"/>
                <w:szCs w:val="20"/>
              </w:rPr>
              <w:t>0.397</w:t>
            </w:r>
          </w:p>
        </w:tc>
        <w:tc>
          <w:tcPr>
            <w:tcW w:w="864" w:type="dxa"/>
            <w:tcBorders>
              <w:top w:val="nil"/>
              <w:left w:val="nil"/>
              <w:bottom w:val="nil"/>
              <w:right w:val="nil"/>
            </w:tcBorders>
            <w:shd w:val="clear" w:color="auto" w:fill="auto"/>
            <w:noWrap/>
            <w:vAlign w:val="bottom"/>
            <w:hideMark/>
          </w:tcPr>
          <w:p w14:paraId="638DB226" w14:textId="77777777" w:rsidR="0024652D" w:rsidRDefault="0024652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DF85470" w14:textId="77777777" w:rsidR="0024652D" w:rsidRDefault="0024652D">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4ACC3776" w14:textId="77777777" w:rsidR="0024652D" w:rsidRDefault="0024652D">
            <w:pPr>
              <w:jc w:val="right"/>
              <w:rPr>
                <w:color w:val="000000"/>
                <w:sz w:val="20"/>
                <w:szCs w:val="20"/>
              </w:rPr>
            </w:pPr>
            <w:r>
              <w:rPr>
                <w:color w:val="000000"/>
                <w:sz w:val="20"/>
                <w:szCs w:val="20"/>
              </w:rPr>
              <w:t>0.291</w:t>
            </w:r>
          </w:p>
        </w:tc>
        <w:tc>
          <w:tcPr>
            <w:tcW w:w="864" w:type="dxa"/>
            <w:tcBorders>
              <w:top w:val="nil"/>
              <w:left w:val="nil"/>
              <w:bottom w:val="nil"/>
              <w:right w:val="nil"/>
            </w:tcBorders>
            <w:shd w:val="clear" w:color="auto" w:fill="auto"/>
            <w:noWrap/>
            <w:vAlign w:val="bottom"/>
            <w:hideMark/>
          </w:tcPr>
          <w:p w14:paraId="17787D7D" w14:textId="77777777" w:rsidR="0024652D" w:rsidRDefault="0024652D">
            <w:pPr>
              <w:jc w:val="right"/>
              <w:rPr>
                <w:color w:val="000000"/>
                <w:sz w:val="20"/>
                <w:szCs w:val="20"/>
              </w:rPr>
            </w:pPr>
            <w:r>
              <w:rPr>
                <w:color w:val="000000"/>
                <w:sz w:val="20"/>
                <w:szCs w:val="20"/>
              </w:rPr>
              <w:t>0.002</w:t>
            </w:r>
          </w:p>
        </w:tc>
      </w:tr>
      <w:tr w:rsidR="0024652D" w14:paraId="42E84391" w14:textId="77777777" w:rsidTr="0024652D">
        <w:trPr>
          <w:trHeight w:val="320"/>
        </w:trPr>
        <w:tc>
          <w:tcPr>
            <w:tcW w:w="1152" w:type="dxa"/>
            <w:tcBorders>
              <w:top w:val="nil"/>
              <w:left w:val="nil"/>
              <w:bottom w:val="nil"/>
              <w:right w:val="nil"/>
            </w:tcBorders>
            <w:shd w:val="clear" w:color="auto" w:fill="auto"/>
            <w:noWrap/>
            <w:vAlign w:val="bottom"/>
            <w:hideMark/>
          </w:tcPr>
          <w:p w14:paraId="48E74210"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ADE354E" w14:textId="77777777" w:rsidR="0024652D" w:rsidRDefault="0024652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69AFD4D7" w14:textId="77777777" w:rsidR="0024652D" w:rsidRDefault="0024652D">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19851E57" w14:textId="77777777" w:rsidR="0024652D" w:rsidRDefault="0024652D">
            <w:pPr>
              <w:jc w:val="right"/>
              <w:rPr>
                <w:color w:val="000000"/>
                <w:sz w:val="20"/>
                <w:szCs w:val="20"/>
              </w:rPr>
            </w:pPr>
            <w:r>
              <w:rPr>
                <w:color w:val="000000"/>
                <w:sz w:val="20"/>
                <w:szCs w:val="20"/>
              </w:rPr>
              <w:t>0.397</w:t>
            </w:r>
          </w:p>
        </w:tc>
        <w:tc>
          <w:tcPr>
            <w:tcW w:w="864" w:type="dxa"/>
            <w:tcBorders>
              <w:top w:val="nil"/>
              <w:left w:val="nil"/>
              <w:bottom w:val="nil"/>
              <w:right w:val="nil"/>
            </w:tcBorders>
            <w:shd w:val="clear" w:color="auto" w:fill="auto"/>
            <w:noWrap/>
            <w:vAlign w:val="bottom"/>
            <w:hideMark/>
          </w:tcPr>
          <w:p w14:paraId="22E9A81A" w14:textId="77777777" w:rsidR="0024652D" w:rsidRDefault="0024652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8E2C5A2" w14:textId="77777777" w:rsidR="0024652D" w:rsidRDefault="0024652D">
            <w:pPr>
              <w:jc w:val="right"/>
              <w:rPr>
                <w:color w:val="000000"/>
                <w:sz w:val="20"/>
                <w:szCs w:val="20"/>
              </w:rPr>
            </w:pPr>
            <w:r>
              <w:rPr>
                <w:color w:val="000000"/>
                <w:sz w:val="20"/>
                <w:szCs w:val="20"/>
              </w:rPr>
              <w:t>0.066</w:t>
            </w:r>
          </w:p>
        </w:tc>
        <w:tc>
          <w:tcPr>
            <w:tcW w:w="864" w:type="dxa"/>
            <w:tcBorders>
              <w:top w:val="nil"/>
              <w:left w:val="nil"/>
              <w:bottom w:val="nil"/>
              <w:right w:val="nil"/>
            </w:tcBorders>
            <w:shd w:val="clear" w:color="auto" w:fill="auto"/>
            <w:noWrap/>
            <w:vAlign w:val="bottom"/>
            <w:hideMark/>
          </w:tcPr>
          <w:p w14:paraId="2EC4D00A" w14:textId="77777777" w:rsidR="0024652D" w:rsidRDefault="0024652D">
            <w:pPr>
              <w:jc w:val="right"/>
              <w:rPr>
                <w:color w:val="000000"/>
                <w:sz w:val="20"/>
                <w:szCs w:val="20"/>
              </w:rPr>
            </w:pPr>
            <w:r>
              <w:rPr>
                <w:color w:val="000000"/>
                <w:sz w:val="20"/>
                <w:szCs w:val="20"/>
              </w:rPr>
              <w:t>0.264</w:t>
            </w:r>
          </w:p>
        </w:tc>
        <w:tc>
          <w:tcPr>
            <w:tcW w:w="864" w:type="dxa"/>
            <w:tcBorders>
              <w:top w:val="nil"/>
              <w:left w:val="nil"/>
              <w:bottom w:val="nil"/>
              <w:right w:val="nil"/>
            </w:tcBorders>
            <w:shd w:val="clear" w:color="auto" w:fill="auto"/>
            <w:noWrap/>
            <w:vAlign w:val="bottom"/>
            <w:hideMark/>
          </w:tcPr>
          <w:p w14:paraId="4F6DD098" w14:textId="77777777" w:rsidR="0024652D" w:rsidRDefault="0024652D">
            <w:pPr>
              <w:jc w:val="right"/>
              <w:rPr>
                <w:color w:val="000000"/>
                <w:sz w:val="20"/>
                <w:szCs w:val="20"/>
              </w:rPr>
            </w:pPr>
            <w:r>
              <w:rPr>
                <w:color w:val="000000"/>
                <w:sz w:val="20"/>
                <w:szCs w:val="20"/>
              </w:rPr>
              <w:t>0.004</w:t>
            </w:r>
          </w:p>
        </w:tc>
      </w:tr>
      <w:tr w:rsidR="0024652D" w14:paraId="0D967A6E" w14:textId="77777777" w:rsidTr="0024652D">
        <w:trPr>
          <w:trHeight w:val="320"/>
        </w:trPr>
        <w:tc>
          <w:tcPr>
            <w:tcW w:w="1152" w:type="dxa"/>
            <w:tcBorders>
              <w:top w:val="nil"/>
              <w:left w:val="nil"/>
              <w:bottom w:val="nil"/>
              <w:right w:val="nil"/>
            </w:tcBorders>
            <w:shd w:val="clear" w:color="auto" w:fill="auto"/>
            <w:noWrap/>
            <w:vAlign w:val="bottom"/>
            <w:hideMark/>
          </w:tcPr>
          <w:p w14:paraId="6374DE2D"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57C4FA6" w14:textId="77777777" w:rsidR="0024652D" w:rsidRDefault="0024652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D084AFA" w14:textId="77777777" w:rsidR="0024652D" w:rsidRDefault="0024652D">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22313117" w14:textId="77777777" w:rsidR="0024652D" w:rsidRDefault="0024652D">
            <w:pPr>
              <w:jc w:val="right"/>
              <w:rPr>
                <w:color w:val="000000"/>
                <w:sz w:val="20"/>
                <w:szCs w:val="20"/>
              </w:rPr>
            </w:pPr>
            <w:r>
              <w:rPr>
                <w:color w:val="000000"/>
                <w:sz w:val="20"/>
                <w:szCs w:val="20"/>
              </w:rPr>
              <w:t>0.446</w:t>
            </w:r>
          </w:p>
        </w:tc>
        <w:tc>
          <w:tcPr>
            <w:tcW w:w="864" w:type="dxa"/>
            <w:tcBorders>
              <w:top w:val="nil"/>
              <w:left w:val="nil"/>
              <w:bottom w:val="nil"/>
              <w:right w:val="nil"/>
            </w:tcBorders>
            <w:shd w:val="clear" w:color="auto" w:fill="auto"/>
            <w:noWrap/>
            <w:vAlign w:val="bottom"/>
            <w:hideMark/>
          </w:tcPr>
          <w:p w14:paraId="5434F1C8" w14:textId="77777777" w:rsidR="0024652D" w:rsidRDefault="0024652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E2C68DD" w14:textId="77777777" w:rsidR="0024652D" w:rsidRDefault="0024652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58BFACA4" w14:textId="77777777" w:rsidR="0024652D" w:rsidRDefault="0024652D">
            <w:pPr>
              <w:jc w:val="right"/>
              <w:rPr>
                <w:color w:val="000000"/>
                <w:sz w:val="20"/>
                <w:szCs w:val="20"/>
              </w:rPr>
            </w:pPr>
            <w:r>
              <w:rPr>
                <w:color w:val="000000"/>
                <w:sz w:val="20"/>
                <w:szCs w:val="20"/>
              </w:rPr>
              <w:t>0.971</w:t>
            </w:r>
          </w:p>
        </w:tc>
        <w:tc>
          <w:tcPr>
            <w:tcW w:w="864" w:type="dxa"/>
            <w:tcBorders>
              <w:top w:val="nil"/>
              <w:left w:val="nil"/>
              <w:bottom w:val="nil"/>
              <w:right w:val="nil"/>
            </w:tcBorders>
            <w:shd w:val="clear" w:color="auto" w:fill="auto"/>
            <w:noWrap/>
            <w:vAlign w:val="bottom"/>
            <w:hideMark/>
          </w:tcPr>
          <w:p w14:paraId="4C4EFEEC" w14:textId="77777777" w:rsidR="0024652D" w:rsidRDefault="0024652D">
            <w:pPr>
              <w:jc w:val="right"/>
              <w:rPr>
                <w:color w:val="000000"/>
                <w:sz w:val="20"/>
                <w:szCs w:val="20"/>
              </w:rPr>
            </w:pPr>
            <w:r>
              <w:rPr>
                <w:color w:val="000000"/>
                <w:sz w:val="20"/>
                <w:szCs w:val="20"/>
              </w:rPr>
              <w:t>0.000</w:t>
            </w:r>
          </w:p>
        </w:tc>
      </w:tr>
      <w:tr w:rsidR="0024652D" w14:paraId="17B0214E" w14:textId="77777777" w:rsidTr="0024652D">
        <w:trPr>
          <w:trHeight w:val="320"/>
        </w:trPr>
        <w:tc>
          <w:tcPr>
            <w:tcW w:w="1152" w:type="dxa"/>
            <w:tcBorders>
              <w:top w:val="nil"/>
              <w:left w:val="nil"/>
              <w:bottom w:val="nil"/>
              <w:right w:val="nil"/>
            </w:tcBorders>
            <w:shd w:val="clear" w:color="auto" w:fill="auto"/>
            <w:noWrap/>
            <w:vAlign w:val="bottom"/>
            <w:hideMark/>
          </w:tcPr>
          <w:p w14:paraId="60E38781"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3D24CE3" w14:textId="77777777" w:rsidR="0024652D" w:rsidRDefault="0024652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5DC5EF5" w14:textId="77777777" w:rsidR="0024652D" w:rsidRDefault="0024652D">
            <w:pPr>
              <w:jc w:val="right"/>
              <w:rPr>
                <w:color w:val="000000"/>
                <w:sz w:val="20"/>
                <w:szCs w:val="20"/>
              </w:rPr>
            </w:pPr>
            <w:r>
              <w:rPr>
                <w:color w:val="000000"/>
                <w:sz w:val="20"/>
                <w:szCs w:val="20"/>
              </w:rPr>
              <w:t>-0.072</w:t>
            </w:r>
          </w:p>
        </w:tc>
        <w:tc>
          <w:tcPr>
            <w:tcW w:w="864" w:type="dxa"/>
            <w:tcBorders>
              <w:top w:val="nil"/>
              <w:left w:val="nil"/>
              <w:bottom w:val="nil"/>
              <w:right w:val="nil"/>
            </w:tcBorders>
            <w:shd w:val="clear" w:color="auto" w:fill="auto"/>
            <w:noWrap/>
            <w:vAlign w:val="bottom"/>
            <w:hideMark/>
          </w:tcPr>
          <w:p w14:paraId="7233A335" w14:textId="77777777" w:rsidR="0024652D" w:rsidRDefault="0024652D">
            <w:pPr>
              <w:jc w:val="right"/>
              <w:rPr>
                <w:color w:val="000000"/>
                <w:sz w:val="20"/>
                <w:szCs w:val="20"/>
              </w:rPr>
            </w:pPr>
            <w:r>
              <w:rPr>
                <w:color w:val="000000"/>
                <w:sz w:val="20"/>
                <w:szCs w:val="20"/>
              </w:rPr>
              <w:t>0.248</w:t>
            </w:r>
          </w:p>
        </w:tc>
        <w:tc>
          <w:tcPr>
            <w:tcW w:w="864" w:type="dxa"/>
            <w:tcBorders>
              <w:top w:val="nil"/>
              <w:left w:val="nil"/>
              <w:bottom w:val="nil"/>
              <w:right w:val="nil"/>
            </w:tcBorders>
            <w:shd w:val="clear" w:color="auto" w:fill="auto"/>
            <w:noWrap/>
            <w:vAlign w:val="bottom"/>
            <w:hideMark/>
          </w:tcPr>
          <w:p w14:paraId="42093006" w14:textId="77777777" w:rsidR="0024652D" w:rsidRDefault="0024652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7584351C" w14:textId="77777777" w:rsidR="0024652D" w:rsidRDefault="0024652D">
            <w:pPr>
              <w:jc w:val="right"/>
              <w:rPr>
                <w:color w:val="000000"/>
                <w:sz w:val="20"/>
                <w:szCs w:val="20"/>
              </w:rPr>
            </w:pPr>
            <w:r>
              <w:rPr>
                <w:color w:val="000000"/>
                <w:sz w:val="20"/>
                <w:szCs w:val="20"/>
              </w:rPr>
              <w:t>-0.059</w:t>
            </w:r>
          </w:p>
        </w:tc>
        <w:tc>
          <w:tcPr>
            <w:tcW w:w="864" w:type="dxa"/>
            <w:tcBorders>
              <w:top w:val="nil"/>
              <w:left w:val="nil"/>
              <w:bottom w:val="nil"/>
              <w:right w:val="nil"/>
            </w:tcBorders>
            <w:shd w:val="clear" w:color="auto" w:fill="auto"/>
            <w:noWrap/>
            <w:vAlign w:val="bottom"/>
            <w:hideMark/>
          </w:tcPr>
          <w:p w14:paraId="6BF678B1" w14:textId="77777777" w:rsidR="0024652D" w:rsidRDefault="0024652D">
            <w:pPr>
              <w:jc w:val="right"/>
              <w:rPr>
                <w:color w:val="000000"/>
                <w:sz w:val="20"/>
                <w:szCs w:val="20"/>
              </w:rPr>
            </w:pPr>
            <w:r>
              <w:rPr>
                <w:color w:val="000000"/>
                <w:sz w:val="20"/>
                <w:szCs w:val="20"/>
              </w:rPr>
              <w:t>0.291</w:t>
            </w:r>
          </w:p>
        </w:tc>
        <w:tc>
          <w:tcPr>
            <w:tcW w:w="864" w:type="dxa"/>
            <w:tcBorders>
              <w:top w:val="nil"/>
              <w:left w:val="nil"/>
              <w:bottom w:val="nil"/>
              <w:right w:val="nil"/>
            </w:tcBorders>
            <w:shd w:val="clear" w:color="auto" w:fill="auto"/>
            <w:noWrap/>
            <w:vAlign w:val="bottom"/>
            <w:hideMark/>
          </w:tcPr>
          <w:p w14:paraId="69811283" w14:textId="77777777" w:rsidR="0024652D" w:rsidRDefault="0024652D">
            <w:pPr>
              <w:jc w:val="right"/>
              <w:rPr>
                <w:color w:val="000000"/>
                <w:sz w:val="20"/>
                <w:szCs w:val="20"/>
              </w:rPr>
            </w:pPr>
            <w:r>
              <w:rPr>
                <w:color w:val="000000"/>
                <w:sz w:val="20"/>
                <w:szCs w:val="20"/>
              </w:rPr>
              <w:t>0.003</w:t>
            </w:r>
          </w:p>
        </w:tc>
      </w:tr>
      <w:tr w:rsidR="0024652D" w14:paraId="29E96C3E" w14:textId="77777777" w:rsidTr="0024652D">
        <w:trPr>
          <w:trHeight w:val="320"/>
        </w:trPr>
        <w:tc>
          <w:tcPr>
            <w:tcW w:w="1152" w:type="dxa"/>
            <w:tcBorders>
              <w:top w:val="nil"/>
              <w:left w:val="nil"/>
              <w:bottom w:val="nil"/>
              <w:right w:val="nil"/>
            </w:tcBorders>
            <w:shd w:val="clear" w:color="auto" w:fill="auto"/>
            <w:noWrap/>
            <w:vAlign w:val="bottom"/>
            <w:hideMark/>
          </w:tcPr>
          <w:p w14:paraId="5AFA6E86"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46EE591" w14:textId="77777777" w:rsidR="0024652D" w:rsidRDefault="0024652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D69D22E" w14:textId="77777777" w:rsidR="0024652D" w:rsidRDefault="0024652D">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1FB0F4C5" w14:textId="77777777" w:rsidR="0024652D" w:rsidRDefault="0024652D">
            <w:pPr>
              <w:jc w:val="right"/>
              <w:rPr>
                <w:color w:val="000000"/>
                <w:sz w:val="20"/>
                <w:szCs w:val="20"/>
              </w:rPr>
            </w:pPr>
            <w:r>
              <w:rPr>
                <w:color w:val="000000"/>
                <w:sz w:val="20"/>
                <w:szCs w:val="20"/>
              </w:rPr>
              <w:t>0.746</w:t>
            </w:r>
          </w:p>
        </w:tc>
        <w:tc>
          <w:tcPr>
            <w:tcW w:w="864" w:type="dxa"/>
            <w:tcBorders>
              <w:top w:val="nil"/>
              <w:left w:val="nil"/>
              <w:bottom w:val="nil"/>
              <w:right w:val="nil"/>
            </w:tcBorders>
            <w:shd w:val="clear" w:color="auto" w:fill="auto"/>
            <w:noWrap/>
            <w:vAlign w:val="bottom"/>
            <w:hideMark/>
          </w:tcPr>
          <w:p w14:paraId="62AAFD09" w14:textId="77777777" w:rsidR="0024652D" w:rsidRDefault="0024652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4BA2972" w14:textId="77777777" w:rsidR="0024652D" w:rsidRDefault="0024652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04D4D8D4" w14:textId="77777777" w:rsidR="0024652D" w:rsidRDefault="0024652D">
            <w:pPr>
              <w:jc w:val="right"/>
              <w:rPr>
                <w:color w:val="000000"/>
                <w:sz w:val="20"/>
                <w:szCs w:val="20"/>
              </w:rPr>
            </w:pPr>
            <w:r>
              <w:rPr>
                <w:color w:val="000000"/>
                <w:sz w:val="20"/>
                <w:szCs w:val="20"/>
              </w:rPr>
              <w:t>0.971</w:t>
            </w:r>
          </w:p>
        </w:tc>
        <w:tc>
          <w:tcPr>
            <w:tcW w:w="864" w:type="dxa"/>
            <w:tcBorders>
              <w:top w:val="nil"/>
              <w:left w:val="nil"/>
              <w:bottom w:val="nil"/>
              <w:right w:val="nil"/>
            </w:tcBorders>
            <w:shd w:val="clear" w:color="auto" w:fill="auto"/>
            <w:noWrap/>
            <w:vAlign w:val="bottom"/>
            <w:hideMark/>
          </w:tcPr>
          <w:p w14:paraId="748EEB65" w14:textId="77777777" w:rsidR="0024652D" w:rsidRDefault="0024652D">
            <w:pPr>
              <w:jc w:val="right"/>
              <w:rPr>
                <w:color w:val="000000"/>
                <w:sz w:val="20"/>
                <w:szCs w:val="20"/>
              </w:rPr>
            </w:pPr>
            <w:r>
              <w:rPr>
                <w:color w:val="000000"/>
                <w:sz w:val="20"/>
                <w:szCs w:val="20"/>
              </w:rPr>
              <w:t>0.000</w:t>
            </w:r>
          </w:p>
        </w:tc>
      </w:tr>
      <w:tr w:rsidR="0024652D" w14:paraId="76E78034" w14:textId="77777777" w:rsidTr="0024652D">
        <w:trPr>
          <w:trHeight w:val="320"/>
        </w:trPr>
        <w:tc>
          <w:tcPr>
            <w:tcW w:w="1152" w:type="dxa"/>
            <w:tcBorders>
              <w:top w:val="nil"/>
              <w:left w:val="nil"/>
              <w:bottom w:val="nil"/>
              <w:right w:val="nil"/>
            </w:tcBorders>
            <w:shd w:val="clear" w:color="auto" w:fill="auto"/>
            <w:noWrap/>
            <w:vAlign w:val="bottom"/>
            <w:hideMark/>
          </w:tcPr>
          <w:p w14:paraId="7AEA4563"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874D005" w14:textId="77777777" w:rsidR="0024652D" w:rsidRDefault="0024652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045CF669" w14:textId="77777777" w:rsidR="0024652D" w:rsidRDefault="0024652D">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7D65BC29" w14:textId="77777777" w:rsidR="0024652D" w:rsidRDefault="0024652D">
            <w:pPr>
              <w:jc w:val="right"/>
              <w:rPr>
                <w:color w:val="000000"/>
                <w:sz w:val="20"/>
                <w:szCs w:val="20"/>
              </w:rPr>
            </w:pPr>
            <w:r>
              <w:rPr>
                <w:color w:val="000000"/>
                <w:sz w:val="20"/>
                <w:szCs w:val="20"/>
              </w:rPr>
              <w:t>0.746</w:t>
            </w:r>
          </w:p>
        </w:tc>
        <w:tc>
          <w:tcPr>
            <w:tcW w:w="864" w:type="dxa"/>
            <w:tcBorders>
              <w:top w:val="nil"/>
              <w:left w:val="nil"/>
              <w:bottom w:val="nil"/>
              <w:right w:val="nil"/>
            </w:tcBorders>
            <w:shd w:val="clear" w:color="auto" w:fill="auto"/>
            <w:noWrap/>
            <w:vAlign w:val="bottom"/>
            <w:hideMark/>
          </w:tcPr>
          <w:p w14:paraId="42F05C91" w14:textId="77777777" w:rsidR="0024652D" w:rsidRDefault="0024652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A1C0144" w14:textId="77777777" w:rsidR="0024652D" w:rsidRDefault="0024652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F695855" w14:textId="77777777" w:rsidR="0024652D" w:rsidRDefault="0024652D">
            <w:pPr>
              <w:jc w:val="right"/>
              <w:rPr>
                <w:color w:val="000000"/>
                <w:sz w:val="20"/>
                <w:szCs w:val="20"/>
              </w:rPr>
            </w:pPr>
            <w:r>
              <w:rPr>
                <w:color w:val="000000"/>
                <w:sz w:val="20"/>
                <w:szCs w:val="20"/>
              </w:rPr>
              <w:t>0.971</w:t>
            </w:r>
          </w:p>
        </w:tc>
        <w:tc>
          <w:tcPr>
            <w:tcW w:w="864" w:type="dxa"/>
            <w:tcBorders>
              <w:top w:val="nil"/>
              <w:left w:val="nil"/>
              <w:bottom w:val="nil"/>
              <w:right w:val="nil"/>
            </w:tcBorders>
            <w:shd w:val="clear" w:color="auto" w:fill="auto"/>
            <w:noWrap/>
            <w:vAlign w:val="bottom"/>
            <w:hideMark/>
          </w:tcPr>
          <w:p w14:paraId="476E8B6C" w14:textId="77777777" w:rsidR="0024652D" w:rsidRDefault="0024652D">
            <w:pPr>
              <w:jc w:val="right"/>
              <w:rPr>
                <w:color w:val="000000"/>
                <w:sz w:val="20"/>
                <w:szCs w:val="20"/>
              </w:rPr>
            </w:pPr>
            <w:r>
              <w:rPr>
                <w:color w:val="000000"/>
                <w:sz w:val="20"/>
                <w:szCs w:val="20"/>
              </w:rPr>
              <w:t>0.000</w:t>
            </w:r>
          </w:p>
        </w:tc>
      </w:tr>
      <w:tr w:rsidR="0024652D" w14:paraId="6DF0DCF5" w14:textId="77777777" w:rsidTr="0024652D">
        <w:trPr>
          <w:trHeight w:val="320"/>
        </w:trPr>
        <w:tc>
          <w:tcPr>
            <w:tcW w:w="1152" w:type="dxa"/>
            <w:tcBorders>
              <w:top w:val="nil"/>
              <w:left w:val="nil"/>
              <w:bottom w:val="nil"/>
              <w:right w:val="nil"/>
            </w:tcBorders>
            <w:shd w:val="clear" w:color="auto" w:fill="auto"/>
            <w:noWrap/>
            <w:vAlign w:val="bottom"/>
            <w:hideMark/>
          </w:tcPr>
          <w:p w14:paraId="2A2E4028"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B5FFC59" w14:textId="77777777" w:rsidR="0024652D" w:rsidRDefault="0024652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C60B68D" w14:textId="77777777" w:rsidR="0024652D" w:rsidRDefault="0024652D">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65481F5B" w14:textId="77777777" w:rsidR="0024652D" w:rsidRDefault="0024652D">
            <w:pPr>
              <w:jc w:val="right"/>
              <w:rPr>
                <w:color w:val="000000"/>
                <w:sz w:val="20"/>
                <w:szCs w:val="20"/>
              </w:rPr>
            </w:pPr>
            <w:r>
              <w:rPr>
                <w:color w:val="000000"/>
                <w:sz w:val="20"/>
                <w:szCs w:val="20"/>
              </w:rPr>
              <w:t>0.746</w:t>
            </w:r>
          </w:p>
        </w:tc>
        <w:tc>
          <w:tcPr>
            <w:tcW w:w="864" w:type="dxa"/>
            <w:tcBorders>
              <w:top w:val="nil"/>
              <w:left w:val="nil"/>
              <w:bottom w:val="nil"/>
              <w:right w:val="nil"/>
            </w:tcBorders>
            <w:shd w:val="clear" w:color="auto" w:fill="auto"/>
            <w:noWrap/>
            <w:vAlign w:val="bottom"/>
            <w:hideMark/>
          </w:tcPr>
          <w:p w14:paraId="1AE7C1A0" w14:textId="77777777" w:rsidR="0024652D" w:rsidRDefault="0024652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7FBC940" w14:textId="77777777" w:rsidR="0024652D" w:rsidRDefault="0024652D">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216489F2" w14:textId="77777777" w:rsidR="0024652D" w:rsidRDefault="0024652D">
            <w:pPr>
              <w:jc w:val="right"/>
              <w:rPr>
                <w:color w:val="000000"/>
                <w:sz w:val="20"/>
                <w:szCs w:val="20"/>
              </w:rPr>
            </w:pPr>
            <w:r>
              <w:rPr>
                <w:color w:val="000000"/>
                <w:sz w:val="20"/>
                <w:szCs w:val="20"/>
              </w:rPr>
              <w:t>0.674</w:t>
            </w:r>
          </w:p>
        </w:tc>
        <w:tc>
          <w:tcPr>
            <w:tcW w:w="864" w:type="dxa"/>
            <w:tcBorders>
              <w:top w:val="nil"/>
              <w:left w:val="nil"/>
              <w:bottom w:val="nil"/>
              <w:right w:val="nil"/>
            </w:tcBorders>
            <w:shd w:val="clear" w:color="auto" w:fill="auto"/>
            <w:noWrap/>
            <w:vAlign w:val="bottom"/>
            <w:hideMark/>
          </w:tcPr>
          <w:p w14:paraId="290CDFC2" w14:textId="77777777" w:rsidR="0024652D" w:rsidRDefault="0024652D">
            <w:pPr>
              <w:jc w:val="right"/>
              <w:rPr>
                <w:color w:val="000000"/>
                <w:sz w:val="20"/>
                <w:szCs w:val="20"/>
              </w:rPr>
            </w:pPr>
            <w:r>
              <w:rPr>
                <w:color w:val="000000"/>
                <w:sz w:val="20"/>
                <w:szCs w:val="20"/>
              </w:rPr>
              <w:t>0.001</w:t>
            </w:r>
          </w:p>
        </w:tc>
      </w:tr>
      <w:tr w:rsidR="0024652D" w14:paraId="32CB43AD" w14:textId="77777777" w:rsidTr="0024652D">
        <w:trPr>
          <w:trHeight w:val="320"/>
        </w:trPr>
        <w:tc>
          <w:tcPr>
            <w:tcW w:w="1152" w:type="dxa"/>
            <w:tcBorders>
              <w:top w:val="nil"/>
              <w:left w:val="nil"/>
              <w:bottom w:val="single" w:sz="4" w:space="0" w:color="auto"/>
              <w:right w:val="nil"/>
            </w:tcBorders>
            <w:shd w:val="clear" w:color="auto" w:fill="auto"/>
            <w:noWrap/>
            <w:vAlign w:val="bottom"/>
            <w:hideMark/>
          </w:tcPr>
          <w:p w14:paraId="4C5987C8" w14:textId="77777777" w:rsidR="0024652D" w:rsidRDefault="0024652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1BAE956" w14:textId="77777777" w:rsidR="0024652D" w:rsidRDefault="0024652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1A964E61" w14:textId="77777777" w:rsidR="0024652D" w:rsidRDefault="0024652D">
            <w:pPr>
              <w:jc w:val="right"/>
              <w:rPr>
                <w:color w:val="000000"/>
                <w:sz w:val="20"/>
                <w:szCs w:val="20"/>
              </w:rPr>
            </w:pPr>
            <w:r>
              <w:rPr>
                <w:color w:val="000000"/>
                <w:sz w:val="20"/>
                <w:szCs w:val="20"/>
              </w:rPr>
              <w:t>-0.007</w:t>
            </w:r>
          </w:p>
        </w:tc>
        <w:tc>
          <w:tcPr>
            <w:tcW w:w="864" w:type="dxa"/>
            <w:tcBorders>
              <w:top w:val="nil"/>
              <w:left w:val="nil"/>
              <w:bottom w:val="single" w:sz="4" w:space="0" w:color="auto"/>
              <w:right w:val="nil"/>
            </w:tcBorders>
            <w:shd w:val="clear" w:color="auto" w:fill="auto"/>
            <w:noWrap/>
            <w:vAlign w:val="bottom"/>
            <w:hideMark/>
          </w:tcPr>
          <w:p w14:paraId="13499351" w14:textId="77777777" w:rsidR="0024652D" w:rsidRDefault="0024652D">
            <w:pPr>
              <w:jc w:val="right"/>
              <w:rPr>
                <w:color w:val="000000"/>
                <w:sz w:val="20"/>
                <w:szCs w:val="20"/>
              </w:rPr>
            </w:pPr>
            <w:r>
              <w:rPr>
                <w:color w:val="000000"/>
                <w:sz w:val="20"/>
                <w:szCs w:val="20"/>
              </w:rPr>
              <w:t>0.855</w:t>
            </w:r>
          </w:p>
        </w:tc>
        <w:tc>
          <w:tcPr>
            <w:tcW w:w="864" w:type="dxa"/>
            <w:tcBorders>
              <w:top w:val="nil"/>
              <w:left w:val="nil"/>
              <w:bottom w:val="single" w:sz="4" w:space="0" w:color="auto"/>
              <w:right w:val="nil"/>
            </w:tcBorders>
            <w:shd w:val="clear" w:color="auto" w:fill="auto"/>
            <w:noWrap/>
            <w:vAlign w:val="bottom"/>
            <w:hideMark/>
          </w:tcPr>
          <w:p w14:paraId="08A5471F" w14:textId="77777777" w:rsidR="0024652D" w:rsidRDefault="0024652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47A628AF" w14:textId="77777777" w:rsidR="0024652D" w:rsidRDefault="0024652D">
            <w:pPr>
              <w:jc w:val="right"/>
              <w:rPr>
                <w:color w:val="000000"/>
                <w:sz w:val="20"/>
                <w:szCs w:val="20"/>
              </w:rPr>
            </w:pPr>
            <w:r>
              <w:rPr>
                <w:color w:val="000000"/>
                <w:sz w:val="20"/>
                <w:szCs w:val="20"/>
              </w:rPr>
              <w:t>-0.017</w:t>
            </w:r>
          </w:p>
        </w:tc>
        <w:tc>
          <w:tcPr>
            <w:tcW w:w="864" w:type="dxa"/>
            <w:tcBorders>
              <w:top w:val="nil"/>
              <w:left w:val="nil"/>
              <w:bottom w:val="single" w:sz="4" w:space="0" w:color="auto"/>
              <w:right w:val="nil"/>
            </w:tcBorders>
            <w:shd w:val="clear" w:color="auto" w:fill="auto"/>
            <w:noWrap/>
            <w:vAlign w:val="bottom"/>
            <w:hideMark/>
          </w:tcPr>
          <w:p w14:paraId="4C7392CC" w14:textId="77777777" w:rsidR="0024652D" w:rsidRDefault="0024652D">
            <w:pPr>
              <w:jc w:val="right"/>
              <w:rPr>
                <w:color w:val="000000"/>
                <w:sz w:val="20"/>
                <w:szCs w:val="20"/>
              </w:rPr>
            </w:pPr>
            <w:r>
              <w:rPr>
                <w:color w:val="000000"/>
                <w:sz w:val="20"/>
                <w:szCs w:val="20"/>
              </w:rPr>
              <w:t>0.971</w:t>
            </w:r>
          </w:p>
        </w:tc>
        <w:tc>
          <w:tcPr>
            <w:tcW w:w="864" w:type="dxa"/>
            <w:tcBorders>
              <w:top w:val="nil"/>
              <w:left w:val="nil"/>
              <w:bottom w:val="single" w:sz="4" w:space="0" w:color="auto"/>
              <w:right w:val="nil"/>
            </w:tcBorders>
            <w:shd w:val="clear" w:color="auto" w:fill="auto"/>
            <w:noWrap/>
            <w:vAlign w:val="bottom"/>
            <w:hideMark/>
          </w:tcPr>
          <w:p w14:paraId="08D3720E" w14:textId="77777777" w:rsidR="0024652D" w:rsidRDefault="0024652D">
            <w:pPr>
              <w:jc w:val="right"/>
              <w:rPr>
                <w:color w:val="000000"/>
                <w:sz w:val="20"/>
                <w:szCs w:val="20"/>
              </w:rPr>
            </w:pPr>
            <w:r>
              <w:rPr>
                <w:color w:val="000000"/>
                <w:sz w:val="20"/>
                <w:szCs w:val="20"/>
              </w:rPr>
              <w:t>0.000</w:t>
            </w:r>
          </w:p>
        </w:tc>
      </w:tr>
      <w:tr w:rsidR="0024652D" w14:paraId="7E7A9062" w14:textId="77777777" w:rsidTr="0024652D">
        <w:trPr>
          <w:trHeight w:val="320"/>
        </w:trPr>
        <w:tc>
          <w:tcPr>
            <w:tcW w:w="1152" w:type="dxa"/>
            <w:tcBorders>
              <w:top w:val="nil"/>
              <w:left w:val="nil"/>
              <w:bottom w:val="nil"/>
              <w:right w:val="nil"/>
            </w:tcBorders>
            <w:shd w:val="clear" w:color="auto" w:fill="auto"/>
            <w:noWrap/>
            <w:vAlign w:val="bottom"/>
            <w:hideMark/>
          </w:tcPr>
          <w:p w14:paraId="3AF00D5A" w14:textId="77777777" w:rsidR="0024652D" w:rsidRDefault="0024652D">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263D16CE" w14:textId="77777777" w:rsidR="0024652D" w:rsidRDefault="0024652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0A09FE6" w14:textId="77777777" w:rsidR="0024652D" w:rsidRDefault="0024652D">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7D2303D5" w14:textId="77777777" w:rsidR="0024652D" w:rsidRDefault="0024652D">
            <w:pPr>
              <w:jc w:val="right"/>
              <w:rPr>
                <w:color w:val="000000"/>
                <w:sz w:val="20"/>
                <w:szCs w:val="20"/>
              </w:rPr>
            </w:pPr>
            <w:r>
              <w:rPr>
                <w:color w:val="000000"/>
                <w:sz w:val="20"/>
                <w:szCs w:val="20"/>
              </w:rPr>
              <w:t>0.389</w:t>
            </w:r>
          </w:p>
        </w:tc>
        <w:tc>
          <w:tcPr>
            <w:tcW w:w="864" w:type="dxa"/>
            <w:tcBorders>
              <w:top w:val="nil"/>
              <w:left w:val="nil"/>
              <w:bottom w:val="nil"/>
              <w:right w:val="nil"/>
            </w:tcBorders>
            <w:shd w:val="clear" w:color="auto" w:fill="auto"/>
            <w:noWrap/>
            <w:vAlign w:val="bottom"/>
            <w:hideMark/>
          </w:tcPr>
          <w:p w14:paraId="4356F4F2" w14:textId="77777777" w:rsidR="0024652D" w:rsidRDefault="0024652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9FFB769" w14:textId="77777777" w:rsidR="0024652D" w:rsidRDefault="0024652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622C2CA1" w14:textId="77777777" w:rsidR="0024652D" w:rsidRDefault="0024652D">
            <w:pPr>
              <w:jc w:val="right"/>
              <w:rPr>
                <w:color w:val="000000"/>
                <w:sz w:val="20"/>
                <w:szCs w:val="20"/>
              </w:rPr>
            </w:pPr>
            <w:r>
              <w:rPr>
                <w:color w:val="000000"/>
                <w:sz w:val="20"/>
                <w:szCs w:val="20"/>
              </w:rPr>
              <w:t>0.157</w:t>
            </w:r>
          </w:p>
        </w:tc>
        <w:tc>
          <w:tcPr>
            <w:tcW w:w="864" w:type="dxa"/>
            <w:tcBorders>
              <w:top w:val="nil"/>
              <w:left w:val="nil"/>
              <w:bottom w:val="nil"/>
              <w:right w:val="nil"/>
            </w:tcBorders>
            <w:shd w:val="clear" w:color="auto" w:fill="auto"/>
            <w:noWrap/>
            <w:vAlign w:val="bottom"/>
            <w:hideMark/>
          </w:tcPr>
          <w:p w14:paraId="53B9157F" w14:textId="77777777" w:rsidR="0024652D" w:rsidRDefault="0024652D">
            <w:pPr>
              <w:jc w:val="right"/>
              <w:rPr>
                <w:color w:val="000000"/>
                <w:sz w:val="20"/>
                <w:szCs w:val="20"/>
              </w:rPr>
            </w:pPr>
            <w:r>
              <w:rPr>
                <w:color w:val="000000"/>
                <w:sz w:val="20"/>
                <w:szCs w:val="20"/>
              </w:rPr>
              <w:t>0.003</w:t>
            </w:r>
          </w:p>
        </w:tc>
      </w:tr>
      <w:tr w:rsidR="0024652D" w14:paraId="18533624" w14:textId="77777777" w:rsidTr="0024652D">
        <w:trPr>
          <w:trHeight w:val="320"/>
        </w:trPr>
        <w:tc>
          <w:tcPr>
            <w:tcW w:w="1152" w:type="dxa"/>
            <w:tcBorders>
              <w:top w:val="nil"/>
              <w:left w:val="nil"/>
              <w:bottom w:val="nil"/>
              <w:right w:val="nil"/>
            </w:tcBorders>
            <w:shd w:val="clear" w:color="auto" w:fill="auto"/>
            <w:noWrap/>
            <w:vAlign w:val="bottom"/>
            <w:hideMark/>
          </w:tcPr>
          <w:p w14:paraId="3F020B58"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C79FFAB" w14:textId="77777777" w:rsidR="0024652D" w:rsidRDefault="0024652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F520EA5" w14:textId="77777777" w:rsidR="0024652D" w:rsidRDefault="0024652D">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0A08D3BE" w14:textId="77777777" w:rsidR="0024652D" w:rsidRDefault="0024652D">
            <w:pPr>
              <w:jc w:val="right"/>
              <w:rPr>
                <w:color w:val="000000"/>
                <w:sz w:val="20"/>
                <w:szCs w:val="20"/>
              </w:rPr>
            </w:pPr>
            <w:r>
              <w:rPr>
                <w:color w:val="000000"/>
                <w:sz w:val="20"/>
                <w:szCs w:val="20"/>
              </w:rPr>
              <w:t>0.300</w:t>
            </w:r>
          </w:p>
        </w:tc>
        <w:tc>
          <w:tcPr>
            <w:tcW w:w="864" w:type="dxa"/>
            <w:tcBorders>
              <w:top w:val="nil"/>
              <w:left w:val="nil"/>
              <w:bottom w:val="nil"/>
              <w:right w:val="nil"/>
            </w:tcBorders>
            <w:shd w:val="clear" w:color="auto" w:fill="auto"/>
            <w:noWrap/>
            <w:vAlign w:val="bottom"/>
            <w:hideMark/>
          </w:tcPr>
          <w:p w14:paraId="0FAFE6FC" w14:textId="77777777" w:rsidR="0024652D" w:rsidRDefault="0024652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A3D058B" w14:textId="77777777" w:rsidR="0024652D" w:rsidRDefault="0024652D">
            <w:pPr>
              <w:jc w:val="right"/>
              <w:rPr>
                <w:color w:val="000000"/>
                <w:sz w:val="20"/>
                <w:szCs w:val="20"/>
              </w:rPr>
            </w:pPr>
            <w:r>
              <w:rPr>
                <w:color w:val="000000"/>
                <w:sz w:val="20"/>
                <w:szCs w:val="20"/>
              </w:rPr>
              <w:t>0.074</w:t>
            </w:r>
          </w:p>
        </w:tc>
        <w:tc>
          <w:tcPr>
            <w:tcW w:w="864" w:type="dxa"/>
            <w:tcBorders>
              <w:top w:val="nil"/>
              <w:left w:val="nil"/>
              <w:bottom w:val="nil"/>
              <w:right w:val="nil"/>
            </w:tcBorders>
            <w:shd w:val="clear" w:color="auto" w:fill="auto"/>
            <w:noWrap/>
            <w:vAlign w:val="bottom"/>
            <w:hideMark/>
          </w:tcPr>
          <w:p w14:paraId="420AA7F2" w14:textId="77777777" w:rsidR="0024652D" w:rsidRDefault="0024652D">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2DD9D1D2" w14:textId="77777777" w:rsidR="0024652D" w:rsidRDefault="0024652D">
            <w:pPr>
              <w:jc w:val="right"/>
              <w:rPr>
                <w:color w:val="000000"/>
                <w:sz w:val="20"/>
                <w:szCs w:val="20"/>
              </w:rPr>
            </w:pPr>
            <w:r>
              <w:rPr>
                <w:color w:val="000000"/>
                <w:sz w:val="20"/>
                <w:szCs w:val="20"/>
              </w:rPr>
              <w:t>0.005</w:t>
            </w:r>
          </w:p>
        </w:tc>
      </w:tr>
      <w:tr w:rsidR="0024652D" w14:paraId="1BFB8726" w14:textId="77777777" w:rsidTr="0024652D">
        <w:trPr>
          <w:trHeight w:val="320"/>
        </w:trPr>
        <w:tc>
          <w:tcPr>
            <w:tcW w:w="1152" w:type="dxa"/>
            <w:tcBorders>
              <w:top w:val="nil"/>
              <w:left w:val="nil"/>
              <w:bottom w:val="nil"/>
              <w:right w:val="nil"/>
            </w:tcBorders>
            <w:shd w:val="clear" w:color="auto" w:fill="auto"/>
            <w:noWrap/>
            <w:vAlign w:val="bottom"/>
            <w:hideMark/>
          </w:tcPr>
          <w:p w14:paraId="4B50B62E"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269D7E7" w14:textId="77777777" w:rsidR="0024652D" w:rsidRDefault="0024652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18CA6E9" w14:textId="77777777" w:rsidR="0024652D" w:rsidRDefault="0024652D">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6BEC2B5B" w14:textId="77777777" w:rsidR="0024652D" w:rsidRDefault="0024652D">
            <w:pPr>
              <w:jc w:val="right"/>
              <w:rPr>
                <w:color w:val="000000"/>
                <w:sz w:val="20"/>
                <w:szCs w:val="20"/>
              </w:rPr>
            </w:pPr>
            <w:r>
              <w:rPr>
                <w:color w:val="000000"/>
                <w:sz w:val="20"/>
                <w:szCs w:val="20"/>
              </w:rPr>
              <w:t>0.836</w:t>
            </w:r>
          </w:p>
        </w:tc>
        <w:tc>
          <w:tcPr>
            <w:tcW w:w="864" w:type="dxa"/>
            <w:tcBorders>
              <w:top w:val="nil"/>
              <w:left w:val="nil"/>
              <w:bottom w:val="nil"/>
              <w:right w:val="nil"/>
            </w:tcBorders>
            <w:shd w:val="clear" w:color="auto" w:fill="auto"/>
            <w:noWrap/>
            <w:vAlign w:val="bottom"/>
            <w:hideMark/>
          </w:tcPr>
          <w:p w14:paraId="5E4845C8" w14:textId="77777777" w:rsidR="0024652D" w:rsidRDefault="0024652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5A9F016" w14:textId="77777777" w:rsidR="0024652D" w:rsidRDefault="0024652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336C3B15" w14:textId="77777777" w:rsidR="0024652D" w:rsidRDefault="0024652D">
            <w:pPr>
              <w:jc w:val="right"/>
              <w:rPr>
                <w:color w:val="000000"/>
                <w:sz w:val="20"/>
                <w:szCs w:val="20"/>
              </w:rPr>
            </w:pPr>
            <w:r>
              <w:rPr>
                <w:color w:val="000000"/>
                <w:sz w:val="20"/>
                <w:szCs w:val="20"/>
              </w:rPr>
              <w:t>0.983</w:t>
            </w:r>
          </w:p>
        </w:tc>
        <w:tc>
          <w:tcPr>
            <w:tcW w:w="864" w:type="dxa"/>
            <w:tcBorders>
              <w:top w:val="nil"/>
              <w:left w:val="nil"/>
              <w:bottom w:val="nil"/>
              <w:right w:val="nil"/>
            </w:tcBorders>
            <w:shd w:val="clear" w:color="auto" w:fill="auto"/>
            <w:noWrap/>
            <w:vAlign w:val="bottom"/>
            <w:hideMark/>
          </w:tcPr>
          <w:p w14:paraId="5A236C38" w14:textId="77777777" w:rsidR="0024652D" w:rsidRDefault="0024652D">
            <w:pPr>
              <w:jc w:val="right"/>
              <w:rPr>
                <w:color w:val="000000"/>
                <w:sz w:val="20"/>
                <w:szCs w:val="20"/>
              </w:rPr>
            </w:pPr>
            <w:r>
              <w:rPr>
                <w:color w:val="000000"/>
                <w:sz w:val="20"/>
                <w:szCs w:val="20"/>
              </w:rPr>
              <w:t>0.000</w:t>
            </w:r>
          </w:p>
        </w:tc>
      </w:tr>
      <w:tr w:rsidR="0024652D" w14:paraId="3E4313DF" w14:textId="77777777" w:rsidTr="0024652D">
        <w:trPr>
          <w:trHeight w:val="320"/>
        </w:trPr>
        <w:tc>
          <w:tcPr>
            <w:tcW w:w="1152" w:type="dxa"/>
            <w:tcBorders>
              <w:top w:val="nil"/>
              <w:left w:val="nil"/>
              <w:bottom w:val="nil"/>
              <w:right w:val="nil"/>
            </w:tcBorders>
            <w:shd w:val="clear" w:color="auto" w:fill="auto"/>
            <w:noWrap/>
            <w:vAlign w:val="bottom"/>
            <w:hideMark/>
          </w:tcPr>
          <w:p w14:paraId="1B7C7860"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122BDDD" w14:textId="77777777" w:rsidR="0024652D" w:rsidRDefault="0024652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7CDA8998" w14:textId="77777777" w:rsidR="0024652D" w:rsidRDefault="0024652D">
            <w:pPr>
              <w:jc w:val="right"/>
              <w:rPr>
                <w:b/>
                <w:bCs/>
                <w:color w:val="000000"/>
                <w:sz w:val="20"/>
                <w:szCs w:val="20"/>
              </w:rPr>
            </w:pPr>
            <w:r>
              <w:rPr>
                <w:b/>
                <w:bCs/>
                <w:color w:val="000000"/>
                <w:sz w:val="20"/>
                <w:szCs w:val="20"/>
              </w:rPr>
              <w:t>-0.091</w:t>
            </w:r>
          </w:p>
        </w:tc>
        <w:tc>
          <w:tcPr>
            <w:tcW w:w="864" w:type="dxa"/>
            <w:tcBorders>
              <w:top w:val="nil"/>
              <w:left w:val="nil"/>
              <w:bottom w:val="nil"/>
              <w:right w:val="nil"/>
            </w:tcBorders>
            <w:shd w:val="clear" w:color="auto" w:fill="auto"/>
            <w:noWrap/>
            <w:vAlign w:val="bottom"/>
            <w:hideMark/>
          </w:tcPr>
          <w:p w14:paraId="66DD82E7" w14:textId="77777777" w:rsidR="0024652D" w:rsidRDefault="0024652D">
            <w:pPr>
              <w:jc w:val="right"/>
              <w:rPr>
                <w:b/>
                <w:bCs/>
                <w:color w:val="000000"/>
                <w:sz w:val="20"/>
                <w:szCs w:val="20"/>
              </w:rPr>
            </w:pPr>
            <w:r>
              <w:rPr>
                <w:b/>
                <w:bCs/>
                <w:color w:val="000000"/>
                <w:sz w:val="20"/>
                <w:szCs w:val="20"/>
              </w:rPr>
              <w:t>0.032</w:t>
            </w:r>
          </w:p>
        </w:tc>
        <w:tc>
          <w:tcPr>
            <w:tcW w:w="864" w:type="dxa"/>
            <w:tcBorders>
              <w:top w:val="nil"/>
              <w:left w:val="nil"/>
              <w:bottom w:val="nil"/>
              <w:right w:val="nil"/>
            </w:tcBorders>
            <w:shd w:val="clear" w:color="auto" w:fill="auto"/>
            <w:noWrap/>
            <w:vAlign w:val="bottom"/>
            <w:hideMark/>
          </w:tcPr>
          <w:p w14:paraId="5AF3CD54" w14:textId="77777777" w:rsidR="0024652D" w:rsidRDefault="0024652D">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5619018E" w14:textId="77777777" w:rsidR="0024652D" w:rsidRDefault="0024652D">
            <w:pPr>
              <w:jc w:val="right"/>
              <w:rPr>
                <w:color w:val="000000"/>
                <w:sz w:val="20"/>
                <w:szCs w:val="20"/>
              </w:rPr>
            </w:pPr>
            <w:r>
              <w:rPr>
                <w:color w:val="000000"/>
                <w:sz w:val="20"/>
                <w:szCs w:val="20"/>
              </w:rPr>
              <w:t>-0.076</w:t>
            </w:r>
          </w:p>
        </w:tc>
        <w:tc>
          <w:tcPr>
            <w:tcW w:w="864" w:type="dxa"/>
            <w:tcBorders>
              <w:top w:val="nil"/>
              <w:left w:val="nil"/>
              <w:bottom w:val="nil"/>
              <w:right w:val="nil"/>
            </w:tcBorders>
            <w:shd w:val="clear" w:color="auto" w:fill="auto"/>
            <w:noWrap/>
            <w:vAlign w:val="bottom"/>
            <w:hideMark/>
          </w:tcPr>
          <w:p w14:paraId="185D8FF6" w14:textId="77777777" w:rsidR="0024652D" w:rsidRDefault="0024652D">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58688F02" w14:textId="77777777" w:rsidR="0024652D" w:rsidRDefault="0024652D">
            <w:pPr>
              <w:jc w:val="right"/>
              <w:rPr>
                <w:color w:val="000000"/>
                <w:sz w:val="20"/>
                <w:szCs w:val="20"/>
              </w:rPr>
            </w:pPr>
            <w:r>
              <w:rPr>
                <w:color w:val="000000"/>
                <w:sz w:val="20"/>
                <w:szCs w:val="20"/>
              </w:rPr>
              <w:t>0.006</w:t>
            </w:r>
          </w:p>
        </w:tc>
      </w:tr>
      <w:tr w:rsidR="0024652D" w14:paraId="44109E3C" w14:textId="77777777" w:rsidTr="0024652D">
        <w:trPr>
          <w:trHeight w:val="320"/>
        </w:trPr>
        <w:tc>
          <w:tcPr>
            <w:tcW w:w="1152" w:type="dxa"/>
            <w:tcBorders>
              <w:top w:val="nil"/>
              <w:left w:val="nil"/>
              <w:bottom w:val="nil"/>
              <w:right w:val="nil"/>
            </w:tcBorders>
            <w:shd w:val="clear" w:color="auto" w:fill="auto"/>
            <w:noWrap/>
            <w:vAlign w:val="bottom"/>
            <w:hideMark/>
          </w:tcPr>
          <w:p w14:paraId="2E5E2B2E"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DAB3D07" w14:textId="77777777" w:rsidR="0024652D" w:rsidRDefault="0024652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D513405" w14:textId="77777777" w:rsidR="0024652D" w:rsidRDefault="0024652D">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0F459509" w14:textId="77777777" w:rsidR="0024652D" w:rsidRDefault="0024652D">
            <w:pPr>
              <w:jc w:val="right"/>
              <w:rPr>
                <w:color w:val="000000"/>
                <w:sz w:val="20"/>
                <w:szCs w:val="20"/>
              </w:rPr>
            </w:pPr>
            <w:r>
              <w:rPr>
                <w:color w:val="000000"/>
                <w:sz w:val="20"/>
                <w:szCs w:val="20"/>
              </w:rPr>
              <w:t>0.891</w:t>
            </w:r>
          </w:p>
        </w:tc>
        <w:tc>
          <w:tcPr>
            <w:tcW w:w="864" w:type="dxa"/>
            <w:tcBorders>
              <w:top w:val="nil"/>
              <w:left w:val="nil"/>
              <w:bottom w:val="nil"/>
              <w:right w:val="nil"/>
            </w:tcBorders>
            <w:shd w:val="clear" w:color="auto" w:fill="auto"/>
            <w:noWrap/>
            <w:vAlign w:val="bottom"/>
            <w:hideMark/>
          </w:tcPr>
          <w:p w14:paraId="7B733F5A" w14:textId="77777777" w:rsidR="0024652D" w:rsidRDefault="0024652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F524BAC" w14:textId="77777777" w:rsidR="0024652D" w:rsidRDefault="0024652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632DAF38" w14:textId="77777777" w:rsidR="0024652D" w:rsidRDefault="0024652D">
            <w:pPr>
              <w:jc w:val="right"/>
              <w:rPr>
                <w:color w:val="000000"/>
                <w:sz w:val="20"/>
                <w:szCs w:val="20"/>
              </w:rPr>
            </w:pPr>
            <w:r>
              <w:rPr>
                <w:color w:val="000000"/>
                <w:sz w:val="20"/>
                <w:szCs w:val="20"/>
              </w:rPr>
              <w:t>0.983</w:t>
            </w:r>
          </w:p>
        </w:tc>
        <w:tc>
          <w:tcPr>
            <w:tcW w:w="864" w:type="dxa"/>
            <w:tcBorders>
              <w:top w:val="nil"/>
              <w:left w:val="nil"/>
              <w:bottom w:val="nil"/>
              <w:right w:val="nil"/>
            </w:tcBorders>
            <w:shd w:val="clear" w:color="auto" w:fill="auto"/>
            <w:noWrap/>
            <w:vAlign w:val="bottom"/>
            <w:hideMark/>
          </w:tcPr>
          <w:p w14:paraId="6AA7D7D9" w14:textId="77777777" w:rsidR="0024652D" w:rsidRDefault="0024652D">
            <w:pPr>
              <w:jc w:val="right"/>
              <w:rPr>
                <w:color w:val="000000"/>
                <w:sz w:val="20"/>
                <w:szCs w:val="20"/>
              </w:rPr>
            </w:pPr>
            <w:r>
              <w:rPr>
                <w:color w:val="000000"/>
                <w:sz w:val="20"/>
                <w:szCs w:val="20"/>
              </w:rPr>
              <w:t>0.000</w:t>
            </w:r>
          </w:p>
        </w:tc>
      </w:tr>
      <w:tr w:rsidR="0024652D" w14:paraId="54C9A5BC" w14:textId="77777777" w:rsidTr="0024652D">
        <w:trPr>
          <w:trHeight w:val="320"/>
        </w:trPr>
        <w:tc>
          <w:tcPr>
            <w:tcW w:w="1152" w:type="dxa"/>
            <w:tcBorders>
              <w:top w:val="nil"/>
              <w:left w:val="nil"/>
              <w:bottom w:val="nil"/>
              <w:right w:val="nil"/>
            </w:tcBorders>
            <w:shd w:val="clear" w:color="auto" w:fill="auto"/>
            <w:noWrap/>
            <w:vAlign w:val="bottom"/>
            <w:hideMark/>
          </w:tcPr>
          <w:p w14:paraId="4C934E0B"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A25EB90" w14:textId="77777777" w:rsidR="0024652D" w:rsidRDefault="0024652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BCADEE9" w14:textId="77777777" w:rsidR="0024652D" w:rsidRDefault="0024652D">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20D66431" w14:textId="77777777" w:rsidR="0024652D" w:rsidRDefault="0024652D">
            <w:pPr>
              <w:jc w:val="right"/>
              <w:rPr>
                <w:color w:val="000000"/>
                <w:sz w:val="20"/>
                <w:szCs w:val="20"/>
              </w:rPr>
            </w:pPr>
            <w:r>
              <w:rPr>
                <w:color w:val="000000"/>
                <w:sz w:val="20"/>
                <w:szCs w:val="20"/>
              </w:rPr>
              <w:t>0.869</w:t>
            </w:r>
          </w:p>
        </w:tc>
        <w:tc>
          <w:tcPr>
            <w:tcW w:w="864" w:type="dxa"/>
            <w:tcBorders>
              <w:top w:val="nil"/>
              <w:left w:val="nil"/>
              <w:bottom w:val="nil"/>
              <w:right w:val="nil"/>
            </w:tcBorders>
            <w:shd w:val="clear" w:color="auto" w:fill="auto"/>
            <w:noWrap/>
            <w:vAlign w:val="bottom"/>
            <w:hideMark/>
          </w:tcPr>
          <w:p w14:paraId="5BCE7395" w14:textId="77777777" w:rsidR="0024652D" w:rsidRDefault="0024652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A34F56C" w14:textId="77777777" w:rsidR="0024652D" w:rsidRDefault="0024652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CB7DEFC" w14:textId="77777777" w:rsidR="0024652D" w:rsidRDefault="0024652D">
            <w:pPr>
              <w:jc w:val="right"/>
              <w:rPr>
                <w:color w:val="000000"/>
                <w:sz w:val="20"/>
                <w:szCs w:val="20"/>
              </w:rPr>
            </w:pPr>
            <w:r>
              <w:rPr>
                <w:color w:val="000000"/>
                <w:sz w:val="20"/>
                <w:szCs w:val="20"/>
              </w:rPr>
              <w:t>0.983</w:t>
            </w:r>
          </w:p>
        </w:tc>
        <w:tc>
          <w:tcPr>
            <w:tcW w:w="864" w:type="dxa"/>
            <w:tcBorders>
              <w:top w:val="nil"/>
              <w:left w:val="nil"/>
              <w:bottom w:val="nil"/>
              <w:right w:val="nil"/>
            </w:tcBorders>
            <w:shd w:val="clear" w:color="auto" w:fill="auto"/>
            <w:noWrap/>
            <w:vAlign w:val="bottom"/>
            <w:hideMark/>
          </w:tcPr>
          <w:p w14:paraId="34F276F0" w14:textId="77777777" w:rsidR="0024652D" w:rsidRDefault="0024652D">
            <w:pPr>
              <w:jc w:val="right"/>
              <w:rPr>
                <w:color w:val="000000"/>
                <w:sz w:val="20"/>
                <w:szCs w:val="20"/>
              </w:rPr>
            </w:pPr>
            <w:r>
              <w:rPr>
                <w:color w:val="000000"/>
                <w:sz w:val="20"/>
                <w:szCs w:val="20"/>
              </w:rPr>
              <w:t>0.000</w:t>
            </w:r>
          </w:p>
        </w:tc>
      </w:tr>
      <w:tr w:rsidR="0024652D" w14:paraId="4F9AE824" w14:textId="77777777" w:rsidTr="0024652D">
        <w:trPr>
          <w:trHeight w:val="320"/>
        </w:trPr>
        <w:tc>
          <w:tcPr>
            <w:tcW w:w="1152" w:type="dxa"/>
            <w:tcBorders>
              <w:top w:val="nil"/>
              <w:left w:val="nil"/>
              <w:bottom w:val="nil"/>
              <w:right w:val="nil"/>
            </w:tcBorders>
            <w:shd w:val="clear" w:color="auto" w:fill="auto"/>
            <w:noWrap/>
            <w:vAlign w:val="bottom"/>
            <w:hideMark/>
          </w:tcPr>
          <w:p w14:paraId="56E80140" w14:textId="77777777" w:rsidR="0024652D" w:rsidRDefault="0024652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D84D9EE" w14:textId="77777777" w:rsidR="0024652D" w:rsidRDefault="0024652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CA94599" w14:textId="77777777" w:rsidR="0024652D" w:rsidRDefault="0024652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54DFB2A8" w14:textId="77777777" w:rsidR="0024652D" w:rsidRDefault="0024652D">
            <w:pPr>
              <w:jc w:val="right"/>
              <w:rPr>
                <w:color w:val="000000"/>
                <w:sz w:val="20"/>
                <w:szCs w:val="20"/>
              </w:rPr>
            </w:pPr>
            <w:r>
              <w:rPr>
                <w:color w:val="000000"/>
                <w:sz w:val="20"/>
                <w:szCs w:val="20"/>
              </w:rPr>
              <w:t>0.910</w:t>
            </w:r>
          </w:p>
        </w:tc>
        <w:tc>
          <w:tcPr>
            <w:tcW w:w="864" w:type="dxa"/>
            <w:tcBorders>
              <w:top w:val="nil"/>
              <w:left w:val="nil"/>
              <w:bottom w:val="nil"/>
              <w:right w:val="nil"/>
            </w:tcBorders>
            <w:shd w:val="clear" w:color="auto" w:fill="auto"/>
            <w:noWrap/>
            <w:vAlign w:val="bottom"/>
            <w:hideMark/>
          </w:tcPr>
          <w:p w14:paraId="24D5BA17" w14:textId="77777777" w:rsidR="0024652D" w:rsidRDefault="0024652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650BCC7" w14:textId="77777777" w:rsidR="0024652D" w:rsidRDefault="0024652D">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5266EF84" w14:textId="77777777" w:rsidR="0024652D" w:rsidRDefault="0024652D">
            <w:pPr>
              <w:jc w:val="right"/>
              <w:rPr>
                <w:color w:val="000000"/>
                <w:sz w:val="20"/>
                <w:szCs w:val="20"/>
              </w:rPr>
            </w:pPr>
            <w:r>
              <w:rPr>
                <w:color w:val="000000"/>
                <w:sz w:val="20"/>
                <w:szCs w:val="20"/>
              </w:rPr>
              <w:t>0.600</w:t>
            </w:r>
          </w:p>
        </w:tc>
        <w:tc>
          <w:tcPr>
            <w:tcW w:w="864" w:type="dxa"/>
            <w:tcBorders>
              <w:top w:val="nil"/>
              <w:left w:val="nil"/>
              <w:bottom w:val="nil"/>
              <w:right w:val="nil"/>
            </w:tcBorders>
            <w:shd w:val="clear" w:color="auto" w:fill="auto"/>
            <w:noWrap/>
            <w:vAlign w:val="bottom"/>
            <w:hideMark/>
          </w:tcPr>
          <w:p w14:paraId="51FF70E5" w14:textId="77777777" w:rsidR="0024652D" w:rsidRDefault="0024652D">
            <w:pPr>
              <w:jc w:val="right"/>
              <w:rPr>
                <w:color w:val="000000"/>
                <w:sz w:val="20"/>
                <w:szCs w:val="20"/>
              </w:rPr>
            </w:pPr>
            <w:r>
              <w:rPr>
                <w:color w:val="000000"/>
                <w:sz w:val="20"/>
                <w:szCs w:val="20"/>
              </w:rPr>
              <w:t>0.001</w:t>
            </w:r>
          </w:p>
        </w:tc>
      </w:tr>
      <w:tr w:rsidR="0024652D" w14:paraId="7960CEC7"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04C89CF3" w14:textId="77777777" w:rsidR="0024652D" w:rsidRDefault="0024652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1F39D106" w14:textId="77777777" w:rsidR="0024652D" w:rsidRDefault="0024652D">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0814963F" w14:textId="77777777" w:rsidR="0024652D" w:rsidRDefault="0024652D">
            <w:pPr>
              <w:jc w:val="right"/>
              <w:rPr>
                <w:color w:val="000000"/>
                <w:sz w:val="20"/>
                <w:szCs w:val="20"/>
              </w:rPr>
            </w:pPr>
            <w:r>
              <w:rPr>
                <w:color w:val="000000"/>
                <w:sz w:val="20"/>
                <w:szCs w:val="20"/>
              </w:rPr>
              <w:t>0.015</w:t>
            </w:r>
          </w:p>
        </w:tc>
        <w:tc>
          <w:tcPr>
            <w:tcW w:w="864" w:type="dxa"/>
            <w:tcBorders>
              <w:top w:val="nil"/>
              <w:left w:val="nil"/>
              <w:bottom w:val="single" w:sz="12" w:space="0" w:color="auto"/>
              <w:right w:val="nil"/>
            </w:tcBorders>
            <w:shd w:val="clear" w:color="auto" w:fill="auto"/>
            <w:noWrap/>
            <w:vAlign w:val="bottom"/>
            <w:hideMark/>
          </w:tcPr>
          <w:p w14:paraId="18D491CE" w14:textId="77777777" w:rsidR="0024652D" w:rsidRDefault="0024652D">
            <w:pPr>
              <w:jc w:val="right"/>
              <w:rPr>
                <w:color w:val="000000"/>
                <w:sz w:val="20"/>
                <w:szCs w:val="20"/>
              </w:rPr>
            </w:pPr>
            <w:r>
              <w:rPr>
                <w:color w:val="000000"/>
                <w:sz w:val="20"/>
                <w:szCs w:val="20"/>
              </w:rPr>
              <w:t>0.889</w:t>
            </w:r>
          </w:p>
        </w:tc>
        <w:tc>
          <w:tcPr>
            <w:tcW w:w="864" w:type="dxa"/>
            <w:tcBorders>
              <w:top w:val="nil"/>
              <w:left w:val="nil"/>
              <w:bottom w:val="single" w:sz="12" w:space="0" w:color="auto"/>
              <w:right w:val="nil"/>
            </w:tcBorders>
            <w:shd w:val="clear" w:color="auto" w:fill="auto"/>
            <w:noWrap/>
            <w:vAlign w:val="bottom"/>
            <w:hideMark/>
          </w:tcPr>
          <w:p w14:paraId="2DEA580A" w14:textId="77777777" w:rsidR="0024652D" w:rsidRDefault="0024652D">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1240470F" w14:textId="77777777" w:rsidR="0024652D" w:rsidRDefault="0024652D">
            <w:pPr>
              <w:jc w:val="right"/>
              <w:rPr>
                <w:color w:val="000000"/>
                <w:sz w:val="20"/>
                <w:szCs w:val="20"/>
              </w:rPr>
            </w:pPr>
            <w:r>
              <w:rPr>
                <w:color w:val="000000"/>
                <w:sz w:val="20"/>
                <w:szCs w:val="20"/>
              </w:rPr>
              <w:t>-0.002</w:t>
            </w:r>
          </w:p>
        </w:tc>
        <w:tc>
          <w:tcPr>
            <w:tcW w:w="864" w:type="dxa"/>
            <w:tcBorders>
              <w:top w:val="nil"/>
              <w:left w:val="nil"/>
              <w:bottom w:val="single" w:sz="12" w:space="0" w:color="auto"/>
              <w:right w:val="nil"/>
            </w:tcBorders>
            <w:shd w:val="clear" w:color="auto" w:fill="auto"/>
            <w:noWrap/>
            <w:vAlign w:val="bottom"/>
            <w:hideMark/>
          </w:tcPr>
          <w:p w14:paraId="46F2D29B" w14:textId="77777777" w:rsidR="0024652D" w:rsidRDefault="0024652D">
            <w:pPr>
              <w:jc w:val="right"/>
              <w:rPr>
                <w:color w:val="000000"/>
                <w:sz w:val="20"/>
                <w:szCs w:val="20"/>
              </w:rPr>
            </w:pPr>
            <w:r>
              <w:rPr>
                <w:color w:val="000000"/>
                <w:sz w:val="20"/>
                <w:szCs w:val="20"/>
              </w:rPr>
              <w:t>0.983</w:t>
            </w:r>
          </w:p>
        </w:tc>
        <w:tc>
          <w:tcPr>
            <w:tcW w:w="864" w:type="dxa"/>
            <w:tcBorders>
              <w:top w:val="nil"/>
              <w:left w:val="nil"/>
              <w:bottom w:val="single" w:sz="12" w:space="0" w:color="auto"/>
              <w:right w:val="nil"/>
            </w:tcBorders>
            <w:shd w:val="clear" w:color="auto" w:fill="auto"/>
            <w:noWrap/>
            <w:vAlign w:val="bottom"/>
            <w:hideMark/>
          </w:tcPr>
          <w:p w14:paraId="6C865B13" w14:textId="77777777" w:rsidR="0024652D" w:rsidRDefault="0024652D">
            <w:pPr>
              <w:jc w:val="right"/>
              <w:rPr>
                <w:color w:val="000000"/>
                <w:sz w:val="20"/>
                <w:szCs w:val="20"/>
              </w:rPr>
            </w:pPr>
            <w:r>
              <w:rPr>
                <w:color w:val="000000"/>
                <w:sz w:val="20"/>
                <w:szCs w:val="20"/>
              </w:rPr>
              <w:t>0.000</w:t>
            </w:r>
          </w:p>
        </w:tc>
      </w:tr>
      <w:tr w:rsidR="0024652D" w14:paraId="0CC05631"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11E99145" w14:textId="77777777" w:rsidR="0024652D" w:rsidRDefault="0024652D">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4876C9F9" w14:textId="77777777" w:rsidR="0024652D" w:rsidRDefault="0024652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02F415B" w14:textId="77777777" w:rsidR="0024652D" w:rsidRDefault="0024652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FEB091C" w14:textId="77777777" w:rsidR="0024652D" w:rsidRDefault="0024652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6C97B31" w14:textId="77777777" w:rsidR="0024652D" w:rsidRDefault="0024652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A88091A" w14:textId="77777777" w:rsidR="0024652D" w:rsidRDefault="0024652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FD1FF7D" w14:textId="77777777" w:rsidR="0024652D" w:rsidRDefault="0024652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6433E77" w14:textId="77777777" w:rsidR="0024652D" w:rsidRDefault="0024652D">
            <w:pPr>
              <w:rPr>
                <w:sz w:val="20"/>
                <w:szCs w:val="20"/>
              </w:rPr>
            </w:pPr>
          </w:p>
        </w:tc>
      </w:tr>
    </w:tbl>
    <w:p w14:paraId="31C49523" w14:textId="2736502C" w:rsidR="00801ACA" w:rsidRDefault="00801ACA" w:rsidP="0047742A">
      <w:pPr>
        <w:rPr>
          <w:rFonts w:ascii="Batang" w:eastAsia="Batang" w:hAnsi="Batang" w:cs="Batang"/>
          <w:color w:val="000000"/>
        </w:rPr>
      </w:pPr>
    </w:p>
    <w:p w14:paraId="261D449B" w14:textId="72492E67" w:rsidR="00B81CB5" w:rsidRDefault="00801ACA" w:rsidP="00B81CB5">
      <w:pPr>
        <w:pStyle w:val="Heading1"/>
        <w:rPr>
          <w:rFonts w:ascii="Times New Roman" w:hAnsi="Times New Roman" w:cs="Times New Roman"/>
          <w:color w:val="000000" w:themeColor="text1"/>
          <w:sz w:val="24"/>
          <w:szCs w:val="24"/>
        </w:rPr>
      </w:pPr>
      <w:r>
        <w:rPr>
          <w:rFonts w:ascii="Batang" w:eastAsia="Batang" w:hAnsi="Batang" w:cs="Batang"/>
          <w:color w:val="000000"/>
        </w:rPr>
        <w:br w:type="page"/>
      </w:r>
      <w:bookmarkStart w:id="91" w:name="_Toc155817758"/>
      <w:r w:rsidR="00B81CB5" w:rsidRPr="00B81CB5">
        <w:rPr>
          <w:rFonts w:ascii="Times New Roman" w:hAnsi="Times New Roman" w:cs="Times New Roman"/>
          <w:b/>
          <w:bCs/>
          <w:color w:val="000000" w:themeColor="text1"/>
          <w:sz w:val="24"/>
          <w:szCs w:val="24"/>
        </w:rPr>
        <w:lastRenderedPageBreak/>
        <w:t>Table 28k.</w:t>
      </w:r>
      <w:r w:rsidR="00B81CB5">
        <w:rPr>
          <w:rFonts w:ascii="Times New Roman" w:hAnsi="Times New Roman" w:cs="Times New Roman"/>
          <w:color w:val="000000" w:themeColor="text1"/>
          <w:sz w:val="24"/>
          <w:szCs w:val="24"/>
        </w:rPr>
        <w:t xml:space="preserve"> Results examining the relationship between Shen-268 network small world omega and urbanicity obtained from bifactor modeling and pollution (NO2 level) during monetary incentive delay task</w:t>
      </w:r>
      <w:bookmarkEnd w:id="91"/>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B81CB5" w14:paraId="1BA67CC4"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4BDDBFFB" w14:textId="77777777" w:rsidR="00B81CB5" w:rsidRDefault="00B81CB5" w:rsidP="005A3B4D">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151AD993" w14:textId="77777777" w:rsidR="00B81CB5" w:rsidRDefault="00B81CB5" w:rsidP="005A3B4D">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4219AAA1" w14:textId="77777777" w:rsidR="00B81CB5" w:rsidRDefault="00B81CB5" w:rsidP="005A3B4D">
            <w:pPr>
              <w:rPr>
                <w:color w:val="000000"/>
              </w:rPr>
            </w:pPr>
          </w:p>
        </w:tc>
        <w:tc>
          <w:tcPr>
            <w:tcW w:w="864" w:type="dxa"/>
            <w:tcBorders>
              <w:top w:val="nil"/>
              <w:left w:val="nil"/>
              <w:bottom w:val="single" w:sz="12" w:space="0" w:color="auto"/>
              <w:right w:val="nil"/>
            </w:tcBorders>
            <w:shd w:val="clear" w:color="auto" w:fill="auto"/>
            <w:noWrap/>
            <w:vAlign w:val="bottom"/>
            <w:hideMark/>
          </w:tcPr>
          <w:p w14:paraId="6DB3AE3D"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1304C81"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4F3AB88"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30862DD"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3C585B0" w14:textId="77777777" w:rsidR="00B81CB5" w:rsidRDefault="00B81CB5" w:rsidP="005A3B4D">
            <w:pPr>
              <w:rPr>
                <w:sz w:val="20"/>
                <w:szCs w:val="20"/>
              </w:rPr>
            </w:pPr>
          </w:p>
        </w:tc>
      </w:tr>
      <w:tr w:rsidR="00B81CB5" w14:paraId="3C03B3BB" w14:textId="77777777" w:rsidTr="005A3B4D">
        <w:trPr>
          <w:trHeight w:val="340"/>
        </w:trPr>
        <w:tc>
          <w:tcPr>
            <w:tcW w:w="1152" w:type="dxa"/>
            <w:tcBorders>
              <w:top w:val="single" w:sz="12" w:space="0" w:color="auto"/>
              <w:left w:val="nil"/>
              <w:bottom w:val="nil"/>
              <w:right w:val="nil"/>
            </w:tcBorders>
            <w:shd w:val="clear" w:color="auto" w:fill="auto"/>
            <w:noWrap/>
            <w:vAlign w:val="bottom"/>
            <w:hideMark/>
          </w:tcPr>
          <w:p w14:paraId="5D0D3E26" w14:textId="77777777" w:rsidR="00B81CB5" w:rsidRDefault="00B81CB5" w:rsidP="005A3B4D">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60161490" w14:textId="77777777" w:rsidR="00B81CB5" w:rsidRDefault="00B81CB5" w:rsidP="005A3B4D">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4A1FD392" w14:textId="77777777" w:rsidR="00B81CB5" w:rsidRDefault="00B81CB5" w:rsidP="005A3B4D">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8" w:space="0" w:color="auto"/>
              <w:right w:val="nil"/>
            </w:tcBorders>
            <w:shd w:val="clear" w:color="auto" w:fill="auto"/>
            <w:noWrap/>
            <w:vAlign w:val="center"/>
            <w:hideMark/>
          </w:tcPr>
          <w:p w14:paraId="42045A29" w14:textId="77777777" w:rsidR="00B81CB5" w:rsidRDefault="00B81CB5" w:rsidP="005A3B4D">
            <w:pPr>
              <w:jc w:val="center"/>
              <w:rPr>
                <w:color w:val="000000"/>
                <w:sz w:val="20"/>
                <w:szCs w:val="20"/>
              </w:rPr>
            </w:pPr>
            <w:r>
              <w:rPr>
                <w:color w:val="000000"/>
                <w:sz w:val="20"/>
                <w:szCs w:val="20"/>
              </w:rPr>
              <w:t>Pollution (NO2 level)</w:t>
            </w:r>
          </w:p>
        </w:tc>
      </w:tr>
      <w:tr w:rsidR="00B81CB5" w14:paraId="0BC2368E" w14:textId="77777777" w:rsidTr="005A3B4D">
        <w:trPr>
          <w:trHeight w:val="360"/>
        </w:trPr>
        <w:tc>
          <w:tcPr>
            <w:tcW w:w="1152" w:type="dxa"/>
            <w:tcBorders>
              <w:top w:val="nil"/>
              <w:left w:val="nil"/>
              <w:bottom w:val="single" w:sz="12" w:space="0" w:color="auto"/>
              <w:right w:val="nil"/>
            </w:tcBorders>
            <w:shd w:val="clear" w:color="auto" w:fill="auto"/>
            <w:noWrap/>
            <w:vAlign w:val="bottom"/>
            <w:hideMark/>
          </w:tcPr>
          <w:p w14:paraId="7512E8CB" w14:textId="77777777" w:rsidR="00B81CB5" w:rsidRDefault="00B81CB5" w:rsidP="005A3B4D">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7179A81B" w14:textId="77777777" w:rsidR="00B81CB5" w:rsidRDefault="00B81CB5" w:rsidP="005A3B4D">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63331775" w14:textId="77777777" w:rsidR="00B81CB5" w:rsidRDefault="00B81CB5" w:rsidP="005A3B4D">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3A17C2E3" w14:textId="77777777" w:rsidR="00B81CB5" w:rsidRDefault="00B81CB5"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3C9C6112" w14:textId="77777777" w:rsidR="00B81CB5" w:rsidRDefault="00B81CB5" w:rsidP="005A3B4D">
            <w:pPr>
              <w:jc w:val="center"/>
              <w:rPr>
                <w:i/>
                <w:iCs/>
                <w:color w:val="000000"/>
                <w:sz w:val="20"/>
                <w:szCs w:val="20"/>
              </w:rPr>
            </w:pPr>
            <w:r>
              <w:rPr>
                <w:i/>
                <w:iCs/>
                <w:color w:val="000000"/>
                <w:sz w:val="20"/>
                <w:szCs w:val="20"/>
              </w:rPr>
              <w:t>R2</w:t>
            </w:r>
          </w:p>
        </w:tc>
        <w:tc>
          <w:tcPr>
            <w:tcW w:w="864" w:type="dxa"/>
            <w:tcBorders>
              <w:top w:val="nil"/>
              <w:left w:val="nil"/>
              <w:bottom w:val="single" w:sz="12" w:space="0" w:color="auto"/>
              <w:right w:val="nil"/>
            </w:tcBorders>
            <w:shd w:val="clear" w:color="auto" w:fill="auto"/>
            <w:noWrap/>
            <w:vAlign w:val="center"/>
            <w:hideMark/>
          </w:tcPr>
          <w:p w14:paraId="5644CAE0" w14:textId="77777777" w:rsidR="00B81CB5" w:rsidRDefault="00B81CB5" w:rsidP="005A3B4D">
            <w:pPr>
              <w:jc w:val="center"/>
              <w:rPr>
                <w:i/>
                <w:iCs/>
                <w:color w:val="000000"/>
                <w:sz w:val="20"/>
                <w:szCs w:val="20"/>
              </w:rPr>
            </w:pPr>
            <w:r>
              <w:rPr>
                <w:i/>
                <w:iCs/>
                <w:color w:val="000000"/>
                <w:sz w:val="20"/>
                <w:szCs w:val="20"/>
              </w:rPr>
              <w:t>β</w:t>
            </w:r>
          </w:p>
        </w:tc>
        <w:tc>
          <w:tcPr>
            <w:tcW w:w="864" w:type="dxa"/>
            <w:tcBorders>
              <w:top w:val="nil"/>
              <w:left w:val="nil"/>
              <w:bottom w:val="single" w:sz="12" w:space="0" w:color="auto"/>
              <w:right w:val="nil"/>
            </w:tcBorders>
            <w:shd w:val="clear" w:color="auto" w:fill="auto"/>
            <w:noWrap/>
            <w:vAlign w:val="center"/>
            <w:hideMark/>
          </w:tcPr>
          <w:p w14:paraId="2827DD53" w14:textId="77777777" w:rsidR="00B81CB5" w:rsidRDefault="00B81CB5" w:rsidP="005A3B4D">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1C628CDA" w14:textId="77777777" w:rsidR="00B81CB5" w:rsidRDefault="00B81CB5" w:rsidP="005A3B4D">
            <w:pPr>
              <w:jc w:val="center"/>
              <w:rPr>
                <w:i/>
                <w:iCs/>
                <w:color w:val="000000"/>
                <w:sz w:val="20"/>
                <w:szCs w:val="20"/>
              </w:rPr>
            </w:pPr>
            <w:r>
              <w:rPr>
                <w:i/>
                <w:iCs/>
                <w:color w:val="000000"/>
                <w:sz w:val="20"/>
                <w:szCs w:val="20"/>
              </w:rPr>
              <w:t>R2</w:t>
            </w:r>
          </w:p>
        </w:tc>
      </w:tr>
      <w:tr w:rsidR="00B81CB5" w14:paraId="5CF62C83"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34B39145" w14:textId="77777777" w:rsidR="00B81CB5" w:rsidRDefault="00B81CB5" w:rsidP="005A3B4D">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67D8D9EF" w14:textId="77777777" w:rsidR="00B81CB5" w:rsidRDefault="00B81CB5" w:rsidP="005A3B4D">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052D85D0" w14:textId="77777777" w:rsidR="00B81CB5" w:rsidRDefault="00B81CB5" w:rsidP="005A3B4D">
            <w:pPr>
              <w:jc w:val="right"/>
              <w:rPr>
                <w:color w:val="000000"/>
                <w:sz w:val="20"/>
                <w:szCs w:val="20"/>
              </w:rPr>
            </w:pPr>
            <w:r>
              <w:rPr>
                <w:color w:val="000000"/>
                <w:sz w:val="20"/>
                <w:szCs w:val="20"/>
              </w:rPr>
              <w:t>-0.018</w:t>
            </w:r>
          </w:p>
        </w:tc>
        <w:tc>
          <w:tcPr>
            <w:tcW w:w="864" w:type="dxa"/>
            <w:tcBorders>
              <w:top w:val="single" w:sz="12" w:space="0" w:color="auto"/>
              <w:left w:val="nil"/>
              <w:bottom w:val="nil"/>
              <w:right w:val="nil"/>
            </w:tcBorders>
            <w:shd w:val="clear" w:color="auto" w:fill="auto"/>
            <w:noWrap/>
            <w:vAlign w:val="bottom"/>
            <w:hideMark/>
          </w:tcPr>
          <w:p w14:paraId="3E7323D3" w14:textId="77777777" w:rsidR="00B81CB5" w:rsidRDefault="00B81CB5" w:rsidP="005A3B4D">
            <w:pPr>
              <w:jc w:val="right"/>
              <w:rPr>
                <w:color w:val="000000"/>
                <w:sz w:val="20"/>
                <w:szCs w:val="20"/>
              </w:rPr>
            </w:pPr>
            <w:r>
              <w:rPr>
                <w:color w:val="000000"/>
                <w:sz w:val="20"/>
                <w:szCs w:val="20"/>
              </w:rPr>
              <w:t>0.856</w:t>
            </w:r>
          </w:p>
        </w:tc>
        <w:tc>
          <w:tcPr>
            <w:tcW w:w="864" w:type="dxa"/>
            <w:tcBorders>
              <w:top w:val="single" w:sz="12" w:space="0" w:color="auto"/>
              <w:left w:val="nil"/>
              <w:bottom w:val="nil"/>
              <w:right w:val="nil"/>
            </w:tcBorders>
            <w:shd w:val="clear" w:color="auto" w:fill="auto"/>
            <w:noWrap/>
            <w:vAlign w:val="bottom"/>
            <w:hideMark/>
          </w:tcPr>
          <w:p w14:paraId="62323662" w14:textId="77777777" w:rsidR="00B81CB5" w:rsidRDefault="00B81CB5" w:rsidP="005A3B4D">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3B5D3A8C" w14:textId="77777777" w:rsidR="00B81CB5" w:rsidRDefault="00B81CB5" w:rsidP="005A3B4D">
            <w:pPr>
              <w:jc w:val="right"/>
              <w:rPr>
                <w:color w:val="000000"/>
                <w:sz w:val="20"/>
                <w:szCs w:val="20"/>
              </w:rPr>
            </w:pPr>
            <w:r>
              <w:rPr>
                <w:color w:val="000000"/>
                <w:sz w:val="20"/>
                <w:szCs w:val="20"/>
              </w:rPr>
              <w:t>-0.052</w:t>
            </w:r>
          </w:p>
        </w:tc>
        <w:tc>
          <w:tcPr>
            <w:tcW w:w="864" w:type="dxa"/>
            <w:tcBorders>
              <w:top w:val="single" w:sz="12" w:space="0" w:color="auto"/>
              <w:left w:val="nil"/>
              <w:bottom w:val="nil"/>
              <w:right w:val="nil"/>
            </w:tcBorders>
            <w:shd w:val="clear" w:color="auto" w:fill="auto"/>
            <w:noWrap/>
            <w:vAlign w:val="bottom"/>
            <w:hideMark/>
          </w:tcPr>
          <w:p w14:paraId="029BEAC0" w14:textId="77777777" w:rsidR="00B81CB5" w:rsidRDefault="00B81CB5" w:rsidP="005A3B4D">
            <w:pPr>
              <w:jc w:val="right"/>
              <w:rPr>
                <w:color w:val="000000"/>
                <w:sz w:val="20"/>
                <w:szCs w:val="20"/>
              </w:rPr>
            </w:pPr>
            <w:r>
              <w:rPr>
                <w:color w:val="000000"/>
                <w:sz w:val="20"/>
                <w:szCs w:val="20"/>
              </w:rPr>
              <w:t>0.469</w:t>
            </w:r>
          </w:p>
        </w:tc>
        <w:tc>
          <w:tcPr>
            <w:tcW w:w="864" w:type="dxa"/>
            <w:tcBorders>
              <w:top w:val="single" w:sz="12" w:space="0" w:color="auto"/>
              <w:left w:val="nil"/>
              <w:bottom w:val="nil"/>
              <w:right w:val="nil"/>
            </w:tcBorders>
            <w:shd w:val="clear" w:color="auto" w:fill="auto"/>
            <w:noWrap/>
            <w:vAlign w:val="bottom"/>
            <w:hideMark/>
          </w:tcPr>
          <w:p w14:paraId="32896BB7" w14:textId="77777777" w:rsidR="00B81CB5" w:rsidRDefault="00B81CB5" w:rsidP="005A3B4D">
            <w:pPr>
              <w:jc w:val="right"/>
              <w:rPr>
                <w:color w:val="000000"/>
                <w:sz w:val="20"/>
                <w:szCs w:val="20"/>
              </w:rPr>
            </w:pPr>
            <w:r>
              <w:rPr>
                <w:color w:val="000000"/>
                <w:sz w:val="20"/>
                <w:szCs w:val="20"/>
              </w:rPr>
              <w:t>0.003</w:t>
            </w:r>
          </w:p>
        </w:tc>
      </w:tr>
      <w:tr w:rsidR="00B81CB5" w14:paraId="690BC58E" w14:textId="77777777" w:rsidTr="005A3B4D">
        <w:trPr>
          <w:trHeight w:val="340"/>
        </w:trPr>
        <w:tc>
          <w:tcPr>
            <w:tcW w:w="1152" w:type="dxa"/>
            <w:tcBorders>
              <w:top w:val="nil"/>
              <w:left w:val="nil"/>
              <w:bottom w:val="nil"/>
              <w:right w:val="nil"/>
            </w:tcBorders>
            <w:shd w:val="clear" w:color="auto" w:fill="auto"/>
            <w:noWrap/>
            <w:vAlign w:val="bottom"/>
            <w:hideMark/>
          </w:tcPr>
          <w:p w14:paraId="6B16970C"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CAD920E"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9C9161B" w14:textId="77777777" w:rsidR="00B81CB5" w:rsidRDefault="00B81CB5" w:rsidP="005A3B4D">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0261B652" w14:textId="77777777" w:rsidR="00B81CB5" w:rsidRDefault="00B81CB5" w:rsidP="005A3B4D">
            <w:pPr>
              <w:jc w:val="right"/>
              <w:rPr>
                <w:color w:val="000000"/>
                <w:sz w:val="20"/>
                <w:szCs w:val="20"/>
              </w:rPr>
            </w:pPr>
            <w:r>
              <w:rPr>
                <w:color w:val="000000"/>
                <w:sz w:val="20"/>
                <w:szCs w:val="20"/>
              </w:rPr>
              <w:t>0.856</w:t>
            </w:r>
          </w:p>
        </w:tc>
        <w:tc>
          <w:tcPr>
            <w:tcW w:w="864" w:type="dxa"/>
            <w:tcBorders>
              <w:top w:val="nil"/>
              <w:left w:val="nil"/>
              <w:bottom w:val="nil"/>
              <w:right w:val="nil"/>
            </w:tcBorders>
            <w:shd w:val="clear" w:color="auto" w:fill="auto"/>
            <w:noWrap/>
            <w:vAlign w:val="bottom"/>
            <w:hideMark/>
          </w:tcPr>
          <w:p w14:paraId="799C1737"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433985C" w14:textId="77777777" w:rsidR="00B81CB5" w:rsidRDefault="00B81CB5" w:rsidP="005A3B4D">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7A68EA3E" w14:textId="77777777" w:rsidR="00B81CB5" w:rsidRDefault="00B81CB5" w:rsidP="005A3B4D">
            <w:pPr>
              <w:jc w:val="right"/>
              <w:rPr>
                <w:color w:val="000000"/>
                <w:sz w:val="20"/>
                <w:szCs w:val="20"/>
              </w:rPr>
            </w:pPr>
            <w:r>
              <w:rPr>
                <w:color w:val="000000"/>
                <w:sz w:val="20"/>
                <w:szCs w:val="20"/>
              </w:rPr>
              <w:t>0.808</w:t>
            </w:r>
          </w:p>
        </w:tc>
        <w:tc>
          <w:tcPr>
            <w:tcW w:w="864" w:type="dxa"/>
            <w:tcBorders>
              <w:top w:val="nil"/>
              <w:left w:val="nil"/>
              <w:bottom w:val="nil"/>
              <w:right w:val="nil"/>
            </w:tcBorders>
            <w:shd w:val="clear" w:color="auto" w:fill="auto"/>
            <w:noWrap/>
            <w:vAlign w:val="bottom"/>
            <w:hideMark/>
          </w:tcPr>
          <w:p w14:paraId="25EF5139" w14:textId="77777777" w:rsidR="00B81CB5" w:rsidRDefault="00B81CB5" w:rsidP="005A3B4D">
            <w:pPr>
              <w:jc w:val="right"/>
              <w:rPr>
                <w:color w:val="000000"/>
                <w:sz w:val="20"/>
                <w:szCs w:val="20"/>
              </w:rPr>
            </w:pPr>
            <w:r>
              <w:rPr>
                <w:color w:val="000000"/>
                <w:sz w:val="20"/>
                <w:szCs w:val="20"/>
              </w:rPr>
              <w:t>0.000</w:t>
            </w:r>
          </w:p>
        </w:tc>
      </w:tr>
      <w:tr w:rsidR="00B81CB5" w14:paraId="69F2F9F8" w14:textId="77777777" w:rsidTr="005A3B4D">
        <w:trPr>
          <w:trHeight w:val="320"/>
        </w:trPr>
        <w:tc>
          <w:tcPr>
            <w:tcW w:w="1152" w:type="dxa"/>
            <w:tcBorders>
              <w:top w:val="nil"/>
              <w:left w:val="nil"/>
              <w:bottom w:val="nil"/>
              <w:right w:val="nil"/>
            </w:tcBorders>
            <w:shd w:val="clear" w:color="auto" w:fill="auto"/>
            <w:noWrap/>
            <w:vAlign w:val="bottom"/>
            <w:hideMark/>
          </w:tcPr>
          <w:p w14:paraId="03A6CE3A"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142414A"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5CF92E4"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17431AF5" w14:textId="77777777" w:rsidR="00B81CB5" w:rsidRDefault="00B81CB5" w:rsidP="005A3B4D">
            <w:pPr>
              <w:jc w:val="right"/>
              <w:rPr>
                <w:color w:val="000000"/>
                <w:sz w:val="20"/>
                <w:szCs w:val="20"/>
              </w:rPr>
            </w:pPr>
            <w:r>
              <w:rPr>
                <w:color w:val="000000"/>
                <w:sz w:val="20"/>
                <w:szCs w:val="20"/>
              </w:rPr>
              <w:t>0.954</w:t>
            </w:r>
          </w:p>
        </w:tc>
        <w:tc>
          <w:tcPr>
            <w:tcW w:w="864" w:type="dxa"/>
            <w:tcBorders>
              <w:top w:val="nil"/>
              <w:left w:val="nil"/>
              <w:bottom w:val="nil"/>
              <w:right w:val="nil"/>
            </w:tcBorders>
            <w:shd w:val="clear" w:color="auto" w:fill="auto"/>
            <w:noWrap/>
            <w:vAlign w:val="bottom"/>
            <w:hideMark/>
          </w:tcPr>
          <w:p w14:paraId="046DF296"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9002635" w14:textId="77777777" w:rsidR="00B81CB5" w:rsidRDefault="00B81CB5" w:rsidP="005A3B4D">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65C67E31" w14:textId="77777777" w:rsidR="00B81CB5" w:rsidRDefault="00B81CB5" w:rsidP="005A3B4D">
            <w:pPr>
              <w:jc w:val="right"/>
              <w:rPr>
                <w:color w:val="000000"/>
                <w:sz w:val="20"/>
                <w:szCs w:val="20"/>
              </w:rPr>
            </w:pPr>
            <w:r>
              <w:rPr>
                <w:color w:val="000000"/>
                <w:sz w:val="20"/>
                <w:szCs w:val="20"/>
              </w:rPr>
              <w:t>0.808</w:t>
            </w:r>
          </w:p>
        </w:tc>
        <w:tc>
          <w:tcPr>
            <w:tcW w:w="864" w:type="dxa"/>
            <w:tcBorders>
              <w:top w:val="nil"/>
              <w:left w:val="nil"/>
              <w:bottom w:val="nil"/>
              <w:right w:val="nil"/>
            </w:tcBorders>
            <w:shd w:val="clear" w:color="auto" w:fill="auto"/>
            <w:noWrap/>
            <w:vAlign w:val="bottom"/>
            <w:hideMark/>
          </w:tcPr>
          <w:p w14:paraId="0AE40DD2" w14:textId="77777777" w:rsidR="00B81CB5" w:rsidRDefault="00B81CB5" w:rsidP="005A3B4D">
            <w:pPr>
              <w:jc w:val="right"/>
              <w:rPr>
                <w:color w:val="000000"/>
                <w:sz w:val="20"/>
                <w:szCs w:val="20"/>
              </w:rPr>
            </w:pPr>
            <w:r>
              <w:rPr>
                <w:color w:val="000000"/>
                <w:sz w:val="20"/>
                <w:szCs w:val="20"/>
              </w:rPr>
              <w:t>0.000</w:t>
            </w:r>
          </w:p>
        </w:tc>
      </w:tr>
      <w:tr w:rsidR="00B81CB5" w14:paraId="50F652CA" w14:textId="77777777" w:rsidTr="005A3B4D">
        <w:trPr>
          <w:trHeight w:val="320"/>
        </w:trPr>
        <w:tc>
          <w:tcPr>
            <w:tcW w:w="1152" w:type="dxa"/>
            <w:tcBorders>
              <w:top w:val="nil"/>
              <w:left w:val="nil"/>
              <w:bottom w:val="nil"/>
              <w:right w:val="nil"/>
            </w:tcBorders>
            <w:shd w:val="clear" w:color="auto" w:fill="auto"/>
            <w:noWrap/>
            <w:vAlign w:val="bottom"/>
            <w:hideMark/>
          </w:tcPr>
          <w:p w14:paraId="296C8047"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281EDD3"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D8D7CD1" w14:textId="77777777" w:rsidR="00B81CB5" w:rsidRDefault="00B81CB5" w:rsidP="005A3B4D">
            <w:pPr>
              <w:jc w:val="right"/>
              <w:rPr>
                <w:color w:val="000000"/>
                <w:sz w:val="20"/>
                <w:szCs w:val="20"/>
              </w:rPr>
            </w:pPr>
            <w:r>
              <w:rPr>
                <w:color w:val="000000"/>
                <w:sz w:val="20"/>
                <w:szCs w:val="20"/>
              </w:rPr>
              <w:t>-0.100</w:t>
            </w:r>
          </w:p>
        </w:tc>
        <w:tc>
          <w:tcPr>
            <w:tcW w:w="864" w:type="dxa"/>
            <w:tcBorders>
              <w:top w:val="nil"/>
              <w:left w:val="nil"/>
              <w:bottom w:val="nil"/>
              <w:right w:val="nil"/>
            </w:tcBorders>
            <w:shd w:val="clear" w:color="auto" w:fill="auto"/>
            <w:noWrap/>
            <w:vAlign w:val="bottom"/>
            <w:hideMark/>
          </w:tcPr>
          <w:p w14:paraId="07FA0425" w14:textId="77777777" w:rsidR="00B81CB5" w:rsidRDefault="00B81CB5" w:rsidP="005A3B4D">
            <w:pPr>
              <w:jc w:val="right"/>
              <w:rPr>
                <w:color w:val="000000"/>
                <w:sz w:val="20"/>
                <w:szCs w:val="20"/>
              </w:rPr>
            </w:pPr>
            <w:r>
              <w:rPr>
                <w:color w:val="000000"/>
                <w:sz w:val="20"/>
                <w:szCs w:val="20"/>
              </w:rPr>
              <w:t>0.651</w:t>
            </w:r>
          </w:p>
        </w:tc>
        <w:tc>
          <w:tcPr>
            <w:tcW w:w="864" w:type="dxa"/>
            <w:tcBorders>
              <w:top w:val="nil"/>
              <w:left w:val="nil"/>
              <w:bottom w:val="nil"/>
              <w:right w:val="nil"/>
            </w:tcBorders>
            <w:shd w:val="clear" w:color="auto" w:fill="auto"/>
            <w:noWrap/>
            <w:vAlign w:val="bottom"/>
            <w:hideMark/>
          </w:tcPr>
          <w:p w14:paraId="1D7DA4FC" w14:textId="77777777" w:rsidR="00B81CB5" w:rsidRDefault="00B81CB5"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782F0B18" w14:textId="77777777" w:rsidR="00B81CB5" w:rsidRDefault="00B81CB5" w:rsidP="005A3B4D">
            <w:pPr>
              <w:jc w:val="right"/>
              <w:rPr>
                <w:color w:val="000000"/>
                <w:sz w:val="20"/>
                <w:szCs w:val="20"/>
              </w:rPr>
            </w:pPr>
            <w:r>
              <w:rPr>
                <w:color w:val="000000"/>
                <w:sz w:val="20"/>
                <w:szCs w:val="20"/>
              </w:rPr>
              <w:t>-0.093</w:t>
            </w:r>
          </w:p>
        </w:tc>
        <w:tc>
          <w:tcPr>
            <w:tcW w:w="864" w:type="dxa"/>
            <w:tcBorders>
              <w:top w:val="nil"/>
              <w:left w:val="nil"/>
              <w:bottom w:val="nil"/>
              <w:right w:val="nil"/>
            </w:tcBorders>
            <w:shd w:val="clear" w:color="auto" w:fill="auto"/>
            <w:noWrap/>
            <w:vAlign w:val="bottom"/>
            <w:hideMark/>
          </w:tcPr>
          <w:p w14:paraId="3FC996B9" w14:textId="77777777" w:rsidR="00B81CB5" w:rsidRDefault="00B81CB5" w:rsidP="005A3B4D">
            <w:pPr>
              <w:jc w:val="right"/>
              <w:rPr>
                <w:color w:val="000000"/>
                <w:sz w:val="20"/>
                <w:szCs w:val="20"/>
              </w:rPr>
            </w:pPr>
            <w:r>
              <w:rPr>
                <w:color w:val="000000"/>
                <w:sz w:val="20"/>
                <w:szCs w:val="20"/>
              </w:rPr>
              <w:t>0.765</w:t>
            </w:r>
          </w:p>
        </w:tc>
        <w:tc>
          <w:tcPr>
            <w:tcW w:w="864" w:type="dxa"/>
            <w:tcBorders>
              <w:top w:val="nil"/>
              <w:left w:val="nil"/>
              <w:bottom w:val="nil"/>
              <w:right w:val="nil"/>
            </w:tcBorders>
            <w:shd w:val="clear" w:color="auto" w:fill="auto"/>
            <w:noWrap/>
            <w:vAlign w:val="bottom"/>
            <w:hideMark/>
          </w:tcPr>
          <w:p w14:paraId="33A80C8D" w14:textId="77777777" w:rsidR="00B81CB5" w:rsidRDefault="00B81CB5" w:rsidP="005A3B4D">
            <w:pPr>
              <w:jc w:val="right"/>
              <w:rPr>
                <w:color w:val="000000"/>
                <w:sz w:val="20"/>
                <w:szCs w:val="20"/>
              </w:rPr>
            </w:pPr>
            <w:r>
              <w:rPr>
                <w:color w:val="000000"/>
                <w:sz w:val="20"/>
                <w:szCs w:val="20"/>
              </w:rPr>
              <w:t>0.009</w:t>
            </w:r>
          </w:p>
        </w:tc>
      </w:tr>
      <w:tr w:rsidR="00B81CB5" w14:paraId="603E134B" w14:textId="77777777" w:rsidTr="005A3B4D">
        <w:trPr>
          <w:trHeight w:val="320"/>
        </w:trPr>
        <w:tc>
          <w:tcPr>
            <w:tcW w:w="1152" w:type="dxa"/>
            <w:tcBorders>
              <w:top w:val="nil"/>
              <w:left w:val="nil"/>
              <w:bottom w:val="nil"/>
              <w:right w:val="nil"/>
            </w:tcBorders>
            <w:shd w:val="clear" w:color="auto" w:fill="auto"/>
            <w:noWrap/>
            <w:vAlign w:val="bottom"/>
            <w:hideMark/>
          </w:tcPr>
          <w:p w14:paraId="14D2F9DC"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CC824AA"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533935B" w14:textId="77777777" w:rsidR="00B81CB5" w:rsidRDefault="00B81CB5" w:rsidP="005A3B4D">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46A8DECD" w14:textId="77777777" w:rsidR="00B81CB5" w:rsidRDefault="00B81CB5" w:rsidP="005A3B4D">
            <w:pPr>
              <w:jc w:val="right"/>
              <w:rPr>
                <w:color w:val="000000"/>
                <w:sz w:val="20"/>
                <w:szCs w:val="20"/>
              </w:rPr>
            </w:pPr>
            <w:r>
              <w:rPr>
                <w:color w:val="000000"/>
                <w:sz w:val="20"/>
                <w:szCs w:val="20"/>
              </w:rPr>
              <w:t>0.852</w:t>
            </w:r>
          </w:p>
        </w:tc>
        <w:tc>
          <w:tcPr>
            <w:tcW w:w="864" w:type="dxa"/>
            <w:tcBorders>
              <w:top w:val="nil"/>
              <w:left w:val="nil"/>
              <w:bottom w:val="nil"/>
              <w:right w:val="nil"/>
            </w:tcBorders>
            <w:shd w:val="clear" w:color="auto" w:fill="auto"/>
            <w:noWrap/>
            <w:vAlign w:val="bottom"/>
            <w:hideMark/>
          </w:tcPr>
          <w:p w14:paraId="57784905"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C9629E5" w14:textId="77777777" w:rsidR="00B81CB5" w:rsidRDefault="00B81CB5" w:rsidP="005A3B4D">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67D2114D" w14:textId="77777777" w:rsidR="00B81CB5" w:rsidRDefault="00B81CB5" w:rsidP="005A3B4D">
            <w:pPr>
              <w:jc w:val="right"/>
              <w:rPr>
                <w:color w:val="000000"/>
                <w:sz w:val="20"/>
                <w:szCs w:val="20"/>
              </w:rPr>
            </w:pPr>
            <w:r>
              <w:rPr>
                <w:color w:val="000000"/>
                <w:sz w:val="20"/>
                <w:szCs w:val="20"/>
              </w:rPr>
              <w:t>0.808</w:t>
            </w:r>
          </w:p>
        </w:tc>
        <w:tc>
          <w:tcPr>
            <w:tcW w:w="864" w:type="dxa"/>
            <w:tcBorders>
              <w:top w:val="nil"/>
              <w:left w:val="nil"/>
              <w:bottom w:val="nil"/>
              <w:right w:val="nil"/>
            </w:tcBorders>
            <w:shd w:val="clear" w:color="auto" w:fill="auto"/>
            <w:noWrap/>
            <w:vAlign w:val="bottom"/>
            <w:hideMark/>
          </w:tcPr>
          <w:p w14:paraId="00EEB262" w14:textId="77777777" w:rsidR="00B81CB5" w:rsidRDefault="00B81CB5" w:rsidP="005A3B4D">
            <w:pPr>
              <w:jc w:val="right"/>
              <w:rPr>
                <w:color w:val="000000"/>
                <w:sz w:val="20"/>
                <w:szCs w:val="20"/>
              </w:rPr>
            </w:pPr>
            <w:r>
              <w:rPr>
                <w:color w:val="000000"/>
                <w:sz w:val="20"/>
                <w:szCs w:val="20"/>
              </w:rPr>
              <w:t>0.000</w:t>
            </w:r>
          </w:p>
        </w:tc>
      </w:tr>
      <w:tr w:rsidR="00B81CB5" w14:paraId="36D9E749" w14:textId="77777777" w:rsidTr="005A3B4D">
        <w:trPr>
          <w:trHeight w:val="320"/>
        </w:trPr>
        <w:tc>
          <w:tcPr>
            <w:tcW w:w="1152" w:type="dxa"/>
            <w:tcBorders>
              <w:top w:val="nil"/>
              <w:left w:val="nil"/>
              <w:bottom w:val="nil"/>
              <w:right w:val="nil"/>
            </w:tcBorders>
            <w:shd w:val="clear" w:color="auto" w:fill="auto"/>
            <w:noWrap/>
            <w:vAlign w:val="bottom"/>
            <w:hideMark/>
          </w:tcPr>
          <w:p w14:paraId="48771F34"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CF4F5F8"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C8CEA08" w14:textId="77777777" w:rsidR="00B81CB5" w:rsidRDefault="00B81CB5" w:rsidP="005A3B4D">
            <w:pPr>
              <w:jc w:val="right"/>
              <w:rPr>
                <w:b/>
                <w:bCs/>
                <w:color w:val="000000"/>
                <w:sz w:val="20"/>
                <w:szCs w:val="20"/>
              </w:rPr>
            </w:pPr>
            <w:r>
              <w:rPr>
                <w:b/>
                <w:bCs/>
                <w:color w:val="000000"/>
                <w:sz w:val="20"/>
                <w:szCs w:val="20"/>
              </w:rPr>
              <w:t>0.111</w:t>
            </w:r>
          </w:p>
        </w:tc>
        <w:tc>
          <w:tcPr>
            <w:tcW w:w="864" w:type="dxa"/>
            <w:tcBorders>
              <w:top w:val="nil"/>
              <w:left w:val="nil"/>
              <w:bottom w:val="nil"/>
              <w:right w:val="nil"/>
            </w:tcBorders>
            <w:shd w:val="clear" w:color="auto" w:fill="auto"/>
            <w:noWrap/>
            <w:vAlign w:val="bottom"/>
            <w:hideMark/>
          </w:tcPr>
          <w:p w14:paraId="44FB24ED" w14:textId="77777777" w:rsidR="00B81CB5" w:rsidRDefault="00B81CB5" w:rsidP="005A3B4D">
            <w:pPr>
              <w:jc w:val="right"/>
              <w:rPr>
                <w:b/>
                <w:bCs/>
                <w:color w:val="000000"/>
                <w:sz w:val="20"/>
                <w:szCs w:val="20"/>
              </w:rPr>
            </w:pPr>
            <w:r>
              <w:rPr>
                <w:b/>
                <w:bCs/>
                <w:color w:val="000000"/>
                <w:sz w:val="20"/>
                <w:szCs w:val="20"/>
              </w:rPr>
              <w:t>0.032</w:t>
            </w:r>
          </w:p>
        </w:tc>
        <w:tc>
          <w:tcPr>
            <w:tcW w:w="864" w:type="dxa"/>
            <w:tcBorders>
              <w:top w:val="nil"/>
              <w:left w:val="nil"/>
              <w:bottom w:val="nil"/>
              <w:right w:val="nil"/>
            </w:tcBorders>
            <w:shd w:val="clear" w:color="auto" w:fill="auto"/>
            <w:noWrap/>
            <w:vAlign w:val="bottom"/>
            <w:hideMark/>
          </w:tcPr>
          <w:p w14:paraId="71C460DA" w14:textId="77777777" w:rsidR="00B81CB5" w:rsidRDefault="00B81CB5" w:rsidP="005A3B4D">
            <w:pPr>
              <w:jc w:val="right"/>
              <w:rPr>
                <w:b/>
                <w:bCs/>
                <w:color w:val="000000"/>
                <w:sz w:val="20"/>
                <w:szCs w:val="20"/>
              </w:rPr>
            </w:pPr>
            <w:r>
              <w:rPr>
                <w:b/>
                <w:bCs/>
                <w:color w:val="000000"/>
                <w:sz w:val="20"/>
                <w:szCs w:val="20"/>
              </w:rPr>
              <w:t>0.012</w:t>
            </w:r>
          </w:p>
        </w:tc>
        <w:tc>
          <w:tcPr>
            <w:tcW w:w="864" w:type="dxa"/>
            <w:tcBorders>
              <w:top w:val="nil"/>
              <w:left w:val="nil"/>
              <w:bottom w:val="nil"/>
              <w:right w:val="nil"/>
            </w:tcBorders>
            <w:shd w:val="clear" w:color="auto" w:fill="auto"/>
            <w:noWrap/>
            <w:vAlign w:val="bottom"/>
            <w:hideMark/>
          </w:tcPr>
          <w:p w14:paraId="15C47359" w14:textId="77777777" w:rsidR="00B81CB5" w:rsidRDefault="00B81CB5" w:rsidP="005A3B4D">
            <w:pPr>
              <w:jc w:val="right"/>
              <w:rPr>
                <w:color w:val="000000"/>
                <w:sz w:val="20"/>
                <w:szCs w:val="20"/>
              </w:rPr>
            </w:pPr>
            <w:r>
              <w:rPr>
                <w:color w:val="000000"/>
                <w:sz w:val="20"/>
                <w:szCs w:val="20"/>
              </w:rPr>
              <w:t>0.084</w:t>
            </w:r>
          </w:p>
        </w:tc>
        <w:tc>
          <w:tcPr>
            <w:tcW w:w="864" w:type="dxa"/>
            <w:tcBorders>
              <w:top w:val="nil"/>
              <w:left w:val="nil"/>
              <w:bottom w:val="nil"/>
              <w:right w:val="nil"/>
            </w:tcBorders>
            <w:shd w:val="clear" w:color="auto" w:fill="auto"/>
            <w:noWrap/>
            <w:vAlign w:val="bottom"/>
            <w:hideMark/>
          </w:tcPr>
          <w:p w14:paraId="2C89E364" w14:textId="77777777" w:rsidR="00B81CB5" w:rsidRDefault="00B81CB5" w:rsidP="005A3B4D">
            <w:pPr>
              <w:jc w:val="right"/>
              <w:rPr>
                <w:color w:val="000000"/>
                <w:sz w:val="20"/>
                <w:szCs w:val="20"/>
              </w:rPr>
            </w:pPr>
            <w:r>
              <w:rPr>
                <w:color w:val="000000"/>
                <w:sz w:val="20"/>
                <w:szCs w:val="20"/>
              </w:rPr>
              <w:t>0.120</w:t>
            </w:r>
          </w:p>
        </w:tc>
        <w:tc>
          <w:tcPr>
            <w:tcW w:w="864" w:type="dxa"/>
            <w:tcBorders>
              <w:top w:val="nil"/>
              <w:left w:val="nil"/>
              <w:bottom w:val="nil"/>
              <w:right w:val="nil"/>
            </w:tcBorders>
            <w:shd w:val="clear" w:color="auto" w:fill="auto"/>
            <w:noWrap/>
            <w:vAlign w:val="bottom"/>
            <w:hideMark/>
          </w:tcPr>
          <w:p w14:paraId="40E546CC" w14:textId="77777777" w:rsidR="00B81CB5" w:rsidRDefault="00B81CB5" w:rsidP="005A3B4D">
            <w:pPr>
              <w:jc w:val="right"/>
              <w:rPr>
                <w:color w:val="000000"/>
                <w:sz w:val="20"/>
                <w:szCs w:val="20"/>
              </w:rPr>
            </w:pPr>
            <w:r>
              <w:rPr>
                <w:color w:val="000000"/>
                <w:sz w:val="20"/>
                <w:szCs w:val="20"/>
              </w:rPr>
              <w:t>0.007</w:t>
            </w:r>
          </w:p>
        </w:tc>
      </w:tr>
      <w:tr w:rsidR="00B81CB5" w14:paraId="340EEC31" w14:textId="77777777" w:rsidTr="005A3B4D">
        <w:trPr>
          <w:trHeight w:val="320"/>
        </w:trPr>
        <w:tc>
          <w:tcPr>
            <w:tcW w:w="1152" w:type="dxa"/>
            <w:tcBorders>
              <w:top w:val="nil"/>
              <w:left w:val="nil"/>
              <w:bottom w:val="nil"/>
              <w:right w:val="nil"/>
            </w:tcBorders>
            <w:shd w:val="clear" w:color="auto" w:fill="auto"/>
            <w:noWrap/>
            <w:vAlign w:val="bottom"/>
            <w:hideMark/>
          </w:tcPr>
          <w:p w14:paraId="608AB9ED"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50BB434"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D0D1970"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A95C2C4" w14:textId="77777777" w:rsidR="00B81CB5" w:rsidRDefault="00B81CB5" w:rsidP="005A3B4D">
            <w:pPr>
              <w:jc w:val="right"/>
              <w:rPr>
                <w:color w:val="000000"/>
                <w:sz w:val="20"/>
                <w:szCs w:val="20"/>
              </w:rPr>
            </w:pPr>
            <w:r>
              <w:rPr>
                <w:color w:val="000000"/>
                <w:sz w:val="20"/>
                <w:szCs w:val="20"/>
              </w:rPr>
              <w:t>0.954</w:t>
            </w:r>
          </w:p>
        </w:tc>
        <w:tc>
          <w:tcPr>
            <w:tcW w:w="864" w:type="dxa"/>
            <w:tcBorders>
              <w:top w:val="nil"/>
              <w:left w:val="nil"/>
              <w:bottom w:val="nil"/>
              <w:right w:val="nil"/>
            </w:tcBorders>
            <w:shd w:val="clear" w:color="auto" w:fill="auto"/>
            <w:noWrap/>
            <w:vAlign w:val="bottom"/>
            <w:hideMark/>
          </w:tcPr>
          <w:p w14:paraId="4E5DB464"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BDE3C56" w14:textId="77777777" w:rsidR="00B81CB5" w:rsidRDefault="00B81CB5" w:rsidP="005A3B4D">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17BDB18C" w14:textId="77777777" w:rsidR="00B81CB5" w:rsidRDefault="00B81CB5" w:rsidP="005A3B4D">
            <w:pPr>
              <w:jc w:val="right"/>
              <w:rPr>
                <w:color w:val="000000"/>
                <w:sz w:val="20"/>
                <w:szCs w:val="20"/>
              </w:rPr>
            </w:pPr>
            <w:r>
              <w:rPr>
                <w:color w:val="000000"/>
                <w:sz w:val="20"/>
                <w:szCs w:val="20"/>
              </w:rPr>
              <w:t>0.765</w:t>
            </w:r>
          </w:p>
        </w:tc>
        <w:tc>
          <w:tcPr>
            <w:tcW w:w="864" w:type="dxa"/>
            <w:tcBorders>
              <w:top w:val="nil"/>
              <w:left w:val="nil"/>
              <w:bottom w:val="nil"/>
              <w:right w:val="nil"/>
            </w:tcBorders>
            <w:shd w:val="clear" w:color="auto" w:fill="auto"/>
            <w:noWrap/>
            <w:vAlign w:val="bottom"/>
            <w:hideMark/>
          </w:tcPr>
          <w:p w14:paraId="6350F68A" w14:textId="77777777" w:rsidR="00B81CB5" w:rsidRDefault="00B81CB5" w:rsidP="005A3B4D">
            <w:pPr>
              <w:jc w:val="right"/>
              <w:rPr>
                <w:color w:val="000000"/>
                <w:sz w:val="20"/>
                <w:szCs w:val="20"/>
              </w:rPr>
            </w:pPr>
            <w:r>
              <w:rPr>
                <w:color w:val="000000"/>
                <w:sz w:val="20"/>
                <w:szCs w:val="20"/>
              </w:rPr>
              <w:t>0.001</w:t>
            </w:r>
          </w:p>
        </w:tc>
      </w:tr>
      <w:tr w:rsidR="00B81CB5" w14:paraId="615FFEE7"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3B87E865"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7EB474D"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81B424B" w14:textId="77777777" w:rsidR="00B81CB5" w:rsidRDefault="00B81CB5" w:rsidP="005A3B4D">
            <w:pPr>
              <w:jc w:val="right"/>
              <w:rPr>
                <w:color w:val="000000"/>
                <w:sz w:val="20"/>
                <w:szCs w:val="20"/>
              </w:rPr>
            </w:pPr>
            <w:r>
              <w:rPr>
                <w:color w:val="000000"/>
                <w:sz w:val="20"/>
                <w:szCs w:val="20"/>
              </w:rPr>
              <w:t>-0.064</w:t>
            </w:r>
          </w:p>
        </w:tc>
        <w:tc>
          <w:tcPr>
            <w:tcW w:w="864" w:type="dxa"/>
            <w:tcBorders>
              <w:top w:val="nil"/>
              <w:left w:val="nil"/>
              <w:bottom w:val="single" w:sz="4" w:space="0" w:color="auto"/>
              <w:right w:val="nil"/>
            </w:tcBorders>
            <w:shd w:val="clear" w:color="auto" w:fill="auto"/>
            <w:noWrap/>
            <w:vAlign w:val="bottom"/>
            <w:hideMark/>
          </w:tcPr>
          <w:p w14:paraId="58CB119C" w14:textId="77777777" w:rsidR="00B81CB5" w:rsidRDefault="00B81CB5" w:rsidP="005A3B4D">
            <w:pPr>
              <w:jc w:val="right"/>
              <w:rPr>
                <w:color w:val="000000"/>
                <w:sz w:val="20"/>
                <w:szCs w:val="20"/>
              </w:rPr>
            </w:pPr>
            <w:r>
              <w:rPr>
                <w:color w:val="000000"/>
                <w:sz w:val="20"/>
                <w:szCs w:val="20"/>
              </w:rPr>
              <w:t>0.320</w:t>
            </w:r>
          </w:p>
        </w:tc>
        <w:tc>
          <w:tcPr>
            <w:tcW w:w="864" w:type="dxa"/>
            <w:tcBorders>
              <w:top w:val="nil"/>
              <w:left w:val="nil"/>
              <w:bottom w:val="single" w:sz="4" w:space="0" w:color="auto"/>
              <w:right w:val="nil"/>
            </w:tcBorders>
            <w:shd w:val="clear" w:color="auto" w:fill="auto"/>
            <w:noWrap/>
            <w:vAlign w:val="bottom"/>
            <w:hideMark/>
          </w:tcPr>
          <w:p w14:paraId="016F69C3"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single" w:sz="4" w:space="0" w:color="auto"/>
              <w:right w:val="nil"/>
            </w:tcBorders>
            <w:shd w:val="clear" w:color="auto" w:fill="auto"/>
            <w:noWrap/>
            <w:vAlign w:val="bottom"/>
            <w:hideMark/>
          </w:tcPr>
          <w:p w14:paraId="2A391A62" w14:textId="77777777" w:rsidR="00B81CB5" w:rsidRDefault="00B81CB5" w:rsidP="005A3B4D">
            <w:pPr>
              <w:jc w:val="right"/>
              <w:rPr>
                <w:color w:val="000000"/>
                <w:sz w:val="20"/>
                <w:szCs w:val="20"/>
              </w:rPr>
            </w:pPr>
            <w:r>
              <w:rPr>
                <w:color w:val="000000"/>
                <w:sz w:val="20"/>
                <w:szCs w:val="20"/>
              </w:rPr>
              <w:t>-0.068</w:t>
            </w:r>
          </w:p>
        </w:tc>
        <w:tc>
          <w:tcPr>
            <w:tcW w:w="864" w:type="dxa"/>
            <w:tcBorders>
              <w:top w:val="nil"/>
              <w:left w:val="nil"/>
              <w:bottom w:val="single" w:sz="4" w:space="0" w:color="auto"/>
              <w:right w:val="nil"/>
            </w:tcBorders>
            <w:shd w:val="clear" w:color="auto" w:fill="auto"/>
            <w:noWrap/>
            <w:vAlign w:val="bottom"/>
            <w:hideMark/>
          </w:tcPr>
          <w:p w14:paraId="6BB5F273" w14:textId="77777777" w:rsidR="00B81CB5" w:rsidRDefault="00B81CB5" w:rsidP="005A3B4D">
            <w:pPr>
              <w:jc w:val="right"/>
              <w:rPr>
                <w:color w:val="000000"/>
                <w:sz w:val="20"/>
                <w:szCs w:val="20"/>
              </w:rPr>
            </w:pPr>
            <w:r>
              <w:rPr>
                <w:color w:val="000000"/>
                <w:sz w:val="20"/>
                <w:szCs w:val="20"/>
              </w:rPr>
              <w:t>0.469</w:t>
            </w:r>
          </w:p>
        </w:tc>
        <w:tc>
          <w:tcPr>
            <w:tcW w:w="864" w:type="dxa"/>
            <w:tcBorders>
              <w:top w:val="nil"/>
              <w:left w:val="nil"/>
              <w:bottom w:val="single" w:sz="4" w:space="0" w:color="auto"/>
              <w:right w:val="nil"/>
            </w:tcBorders>
            <w:shd w:val="clear" w:color="auto" w:fill="auto"/>
            <w:noWrap/>
            <w:vAlign w:val="bottom"/>
            <w:hideMark/>
          </w:tcPr>
          <w:p w14:paraId="3E230ABE" w14:textId="77777777" w:rsidR="00B81CB5" w:rsidRDefault="00B81CB5" w:rsidP="005A3B4D">
            <w:pPr>
              <w:jc w:val="right"/>
              <w:rPr>
                <w:color w:val="000000"/>
                <w:sz w:val="20"/>
                <w:szCs w:val="20"/>
              </w:rPr>
            </w:pPr>
            <w:r>
              <w:rPr>
                <w:color w:val="000000"/>
                <w:sz w:val="20"/>
                <w:szCs w:val="20"/>
              </w:rPr>
              <w:t>0.005</w:t>
            </w:r>
          </w:p>
        </w:tc>
      </w:tr>
      <w:tr w:rsidR="00B81CB5" w14:paraId="46EE8E2E" w14:textId="77777777" w:rsidTr="005A3B4D">
        <w:trPr>
          <w:trHeight w:val="320"/>
        </w:trPr>
        <w:tc>
          <w:tcPr>
            <w:tcW w:w="1152" w:type="dxa"/>
            <w:tcBorders>
              <w:top w:val="nil"/>
              <w:left w:val="nil"/>
              <w:bottom w:val="nil"/>
              <w:right w:val="nil"/>
            </w:tcBorders>
            <w:shd w:val="clear" w:color="auto" w:fill="auto"/>
            <w:noWrap/>
            <w:vAlign w:val="bottom"/>
            <w:hideMark/>
          </w:tcPr>
          <w:p w14:paraId="3AC2C2A1" w14:textId="77777777" w:rsidR="00B81CB5" w:rsidRDefault="00B81CB5" w:rsidP="005A3B4D">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5CB164BE" w14:textId="77777777" w:rsidR="00B81CB5" w:rsidRDefault="00B81CB5"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C72A717" w14:textId="77777777" w:rsidR="00B81CB5" w:rsidRDefault="00B81CB5" w:rsidP="005A3B4D">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7580DD91" w14:textId="77777777" w:rsidR="00B81CB5" w:rsidRDefault="00B81CB5" w:rsidP="005A3B4D">
            <w:pPr>
              <w:jc w:val="right"/>
              <w:rPr>
                <w:color w:val="000000"/>
                <w:sz w:val="20"/>
                <w:szCs w:val="20"/>
              </w:rPr>
            </w:pPr>
            <w:r>
              <w:rPr>
                <w:color w:val="000000"/>
                <w:sz w:val="20"/>
                <w:szCs w:val="20"/>
              </w:rPr>
              <w:t>0.272</w:t>
            </w:r>
          </w:p>
        </w:tc>
        <w:tc>
          <w:tcPr>
            <w:tcW w:w="864" w:type="dxa"/>
            <w:tcBorders>
              <w:top w:val="nil"/>
              <w:left w:val="nil"/>
              <w:bottom w:val="nil"/>
              <w:right w:val="nil"/>
            </w:tcBorders>
            <w:shd w:val="clear" w:color="auto" w:fill="auto"/>
            <w:noWrap/>
            <w:vAlign w:val="bottom"/>
            <w:hideMark/>
          </w:tcPr>
          <w:p w14:paraId="6BC0F710"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4D31686" w14:textId="77777777" w:rsidR="00B81CB5" w:rsidRDefault="00B81CB5" w:rsidP="005A3B4D">
            <w:pPr>
              <w:jc w:val="right"/>
              <w:rPr>
                <w:color w:val="000000"/>
                <w:sz w:val="20"/>
                <w:szCs w:val="20"/>
              </w:rPr>
            </w:pPr>
            <w:r>
              <w:rPr>
                <w:color w:val="000000"/>
                <w:sz w:val="20"/>
                <w:szCs w:val="20"/>
              </w:rPr>
              <w:t>-0.059</w:t>
            </w:r>
          </w:p>
        </w:tc>
        <w:tc>
          <w:tcPr>
            <w:tcW w:w="864" w:type="dxa"/>
            <w:tcBorders>
              <w:top w:val="nil"/>
              <w:left w:val="nil"/>
              <w:bottom w:val="nil"/>
              <w:right w:val="nil"/>
            </w:tcBorders>
            <w:shd w:val="clear" w:color="auto" w:fill="auto"/>
            <w:noWrap/>
            <w:vAlign w:val="bottom"/>
            <w:hideMark/>
          </w:tcPr>
          <w:p w14:paraId="1113FA4F" w14:textId="77777777" w:rsidR="00B81CB5" w:rsidRDefault="00B81CB5" w:rsidP="005A3B4D">
            <w:pPr>
              <w:jc w:val="right"/>
              <w:rPr>
                <w:color w:val="000000"/>
                <w:sz w:val="20"/>
                <w:szCs w:val="20"/>
              </w:rPr>
            </w:pPr>
            <w:r>
              <w:rPr>
                <w:color w:val="000000"/>
                <w:sz w:val="20"/>
                <w:szCs w:val="20"/>
              </w:rPr>
              <w:t>0.245</w:t>
            </w:r>
          </w:p>
        </w:tc>
        <w:tc>
          <w:tcPr>
            <w:tcW w:w="864" w:type="dxa"/>
            <w:tcBorders>
              <w:top w:val="nil"/>
              <w:left w:val="nil"/>
              <w:bottom w:val="nil"/>
              <w:right w:val="nil"/>
            </w:tcBorders>
            <w:shd w:val="clear" w:color="auto" w:fill="auto"/>
            <w:noWrap/>
            <w:vAlign w:val="bottom"/>
            <w:hideMark/>
          </w:tcPr>
          <w:p w14:paraId="46766431" w14:textId="77777777" w:rsidR="00B81CB5" w:rsidRDefault="00B81CB5" w:rsidP="005A3B4D">
            <w:pPr>
              <w:jc w:val="right"/>
              <w:rPr>
                <w:color w:val="000000"/>
                <w:sz w:val="20"/>
                <w:szCs w:val="20"/>
              </w:rPr>
            </w:pPr>
            <w:r>
              <w:rPr>
                <w:color w:val="000000"/>
                <w:sz w:val="20"/>
                <w:szCs w:val="20"/>
              </w:rPr>
              <w:t>0.003</w:t>
            </w:r>
          </w:p>
        </w:tc>
      </w:tr>
      <w:tr w:rsidR="00B81CB5" w14:paraId="64DC03F3" w14:textId="77777777" w:rsidTr="005A3B4D">
        <w:trPr>
          <w:trHeight w:val="320"/>
        </w:trPr>
        <w:tc>
          <w:tcPr>
            <w:tcW w:w="1152" w:type="dxa"/>
            <w:tcBorders>
              <w:top w:val="nil"/>
              <w:left w:val="nil"/>
              <w:bottom w:val="nil"/>
              <w:right w:val="nil"/>
            </w:tcBorders>
            <w:shd w:val="clear" w:color="auto" w:fill="auto"/>
            <w:noWrap/>
            <w:vAlign w:val="bottom"/>
            <w:hideMark/>
          </w:tcPr>
          <w:p w14:paraId="48D16782"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47CB62D"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F65AEEB" w14:textId="77777777" w:rsidR="00B81CB5" w:rsidRDefault="00B81CB5"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5AF44DA7" w14:textId="77777777" w:rsidR="00B81CB5" w:rsidRDefault="00B81CB5" w:rsidP="005A3B4D">
            <w:pPr>
              <w:jc w:val="right"/>
              <w:rPr>
                <w:color w:val="000000"/>
                <w:sz w:val="20"/>
                <w:szCs w:val="20"/>
              </w:rPr>
            </w:pPr>
            <w:r>
              <w:rPr>
                <w:color w:val="000000"/>
                <w:sz w:val="20"/>
                <w:szCs w:val="20"/>
              </w:rPr>
              <w:t>0.603</w:t>
            </w:r>
          </w:p>
        </w:tc>
        <w:tc>
          <w:tcPr>
            <w:tcW w:w="864" w:type="dxa"/>
            <w:tcBorders>
              <w:top w:val="nil"/>
              <w:left w:val="nil"/>
              <w:bottom w:val="nil"/>
              <w:right w:val="nil"/>
            </w:tcBorders>
            <w:shd w:val="clear" w:color="auto" w:fill="auto"/>
            <w:noWrap/>
            <w:vAlign w:val="bottom"/>
            <w:hideMark/>
          </w:tcPr>
          <w:p w14:paraId="6953E92A"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324E6DE" w14:textId="77777777" w:rsidR="00B81CB5" w:rsidRDefault="00B81CB5"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49B9C118" w14:textId="77777777" w:rsidR="00B81CB5" w:rsidRDefault="00B81CB5" w:rsidP="005A3B4D">
            <w:pPr>
              <w:jc w:val="right"/>
              <w:rPr>
                <w:color w:val="000000"/>
                <w:sz w:val="20"/>
                <w:szCs w:val="20"/>
              </w:rPr>
            </w:pPr>
            <w:r>
              <w:rPr>
                <w:color w:val="000000"/>
                <w:sz w:val="20"/>
                <w:szCs w:val="20"/>
              </w:rPr>
              <w:t>0.633</w:t>
            </w:r>
          </w:p>
        </w:tc>
        <w:tc>
          <w:tcPr>
            <w:tcW w:w="864" w:type="dxa"/>
            <w:tcBorders>
              <w:top w:val="nil"/>
              <w:left w:val="nil"/>
              <w:bottom w:val="nil"/>
              <w:right w:val="nil"/>
            </w:tcBorders>
            <w:shd w:val="clear" w:color="auto" w:fill="auto"/>
            <w:noWrap/>
            <w:vAlign w:val="bottom"/>
            <w:hideMark/>
          </w:tcPr>
          <w:p w14:paraId="76318584" w14:textId="77777777" w:rsidR="00B81CB5" w:rsidRDefault="00B81CB5" w:rsidP="005A3B4D">
            <w:pPr>
              <w:jc w:val="right"/>
              <w:rPr>
                <w:color w:val="000000"/>
                <w:sz w:val="20"/>
                <w:szCs w:val="20"/>
              </w:rPr>
            </w:pPr>
            <w:r>
              <w:rPr>
                <w:color w:val="000000"/>
                <w:sz w:val="20"/>
                <w:szCs w:val="20"/>
              </w:rPr>
              <w:t>0.000</w:t>
            </w:r>
          </w:p>
        </w:tc>
      </w:tr>
      <w:tr w:rsidR="00B81CB5" w14:paraId="534352AA" w14:textId="77777777" w:rsidTr="005A3B4D">
        <w:trPr>
          <w:trHeight w:val="320"/>
        </w:trPr>
        <w:tc>
          <w:tcPr>
            <w:tcW w:w="1152" w:type="dxa"/>
            <w:tcBorders>
              <w:top w:val="nil"/>
              <w:left w:val="nil"/>
              <w:bottom w:val="nil"/>
              <w:right w:val="nil"/>
            </w:tcBorders>
            <w:shd w:val="clear" w:color="auto" w:fill="auto"/>
            <w:noWrap/>
            <w:vAlign w:val="bottom"/>
            <w:hideMark/>
          </w:tcPr>
          <w:p w14:paraId="679069CD"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A37C639"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8BC5000" w14:textId="77777777" w:rsidR="00B81CB5" w:rsidRDefault="00B81CB5" w:rsidP="005A3B4D">
            <w:pPr>
              <w:jc w:val="right"/>
              <w:rPr>
                <w:color w:val="000000"/>
                <w:sz w:val="20"/>
                <w:szCs w:val="20"/>
              </w:rPr>
            </w:pPr>
            <w:r>
              <w:rPr>
                <w:color w:val="000000"/>
                <w:sz w:val="20"/>
                <w:szCs w:val="20"/>
              </w:rPr>
              <w:t>-0.090</w:t>
            </w:r>
          </w:p>
        </w:tc>
        <w:tc>
          <w:tcPr>
            <w:tcW w:w="864" w:type="dxa"/>
            <w:tcBorders>
              <w:top w:val="nil"/>
              <w:left w:val="nil"/>
              <w:bottom w:val="nil"/>
              <w:right w:val="nil"/>
            </w:tcBorders>
            <w:shd w:val="clear" w:color="auto" w:fill="auto"/>
            <w:noWrap/>
            <w:vAlign w:val="bottom"/>
            <w:hideMark/>
          </w:tcPr>
          <w:p w14:paraId="2B55DAEE" w14:textId="77777777" w:rsidR="00B81CB5" w:rsidRDefault="00B81CB5" w:rsidP="005A3B4D">
            <w:pPr>
              <w:jc w:val="right"/>
              <w:rPr>
                <w:color w:val="000000"/>
                <w:sz w:val="20"/>
                <w:szCs w:val="20"/>
              </w:rPr>
            </w:pPr>
            <w:r>
              <w:rPr>
                <w:color w:val="000000"/>
                <w:sz w:val="20"/>
                <w:szCs w:val="20"/>
              </w:rPr>
              <w:t>0.200</w:t>
            </w:r>
          </w:p>
        </w:tc>
        <w:tc>
          <w:tcPr>
            <w:tcW w:w="864" w:type="dxa"/>
            <w:tcBorders>
              <w:top w:val="nil"/>
              <w:left w:val="nil"/>
              <w:bottom w:val="nil"/>
              <w:right w:val="nil"/>
            </w:tcBorders>
            <w:shd w:val="clear" w:color="auto" w:fill="auto"/>
            <w:noWrap/>
            <w:vAlign w:val="bottom"/>
            <w:hideMark/>
          </w:tcPr>
          <w:p w14:paraId="17BCA884" w14:textId="77777777" w:rsidR="00B81CB5" w:rsidRDefault="00B81CB5"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3B999171" w14:textId="77777777" w:rsidR="00B81CB5" w:rsidRDefault="00B81CB5" w:rsidP="005A3B4D">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0D6D6C74" w14:textId="77777777" w:rsidR="00B81CB5" w:rsidRDefault="00B81CB5" w:rsidP="005A3B4D">
            <w:pPr>
              <w:jc w:val="right"/>
              <w:rPr>
                <w:color w:val="000000"/>
                <w:sz w:val="20"/>
                <w:szCs w:val="20"/>
              </w:rPr>
            </w:pPr>
            <w:r>
              <w:rPr>
                <w:color w:val="000000"/>
                <w:sz w:val="20"/>
                <w:szCs w:val="20"/>
              </w:rPr>
              <w:t>0.304</w:t>
            </w:r>
          </w:p>
        </w:tc>
        <w:tc>
          <w:tcPr>
            <w:tcW w:w="864" w:type="dxa"/>
            <w:tcBorders>
              <w:top w:val="nil"/>
              <w:left w:val="nil"/>
              <w:bottom w:val="nil"/>
              <w:right w:val="nil"/>
            </w:tcBorders>
            <w:shd w:val="clear" w:color="auto" w:fill="auto"/>
            <w:noWrap/>
            <w:vAlign w:val="bottom"/>
            <w:hideMark/>
          </w:tcPr>
          <w:p w14:paraId="39E64DCC" w14:textId="77777777" w:rsidR="00B81CB5" w:rsidRDefault="00B81CB5" w:rsidP="005A3B4D">
            <w:pPr>
              <w:jc w:val="right"/>
              <w:rPr>
                <w:color w:val="000000"/>
                <w:sz w:val="20"/>
                <w:szCs w:val="20"/>
              </w:rPr>
            </w:pPr>
            <w:r>
              <w:rPr>
                <w:color w:val="000000"/>
                <w:sz w:val="20"/>
                <w:szCs w:val="20"/>
              </w:rPr>
              <w:t>0.004</w:t>
            </w:r>
          </w:p>
        </w:tc>
      </w:tr>
      <w:tr w:rsidR="00B81CB5" w14:paraId="54290354" w14:textId="77777777" w:rsidTr="005A3B4D">
        <w:trPr>
          <w:trHeight w:val="320"/>
        </w:trPr>
        <w:tc>
          <w:tcPr>
            <w:tcW w:w="1152" w:type="dxa"/>
            <w:tcBorders>
              <w:top w:val="nil"/>
              <w:left w:val="nil"/>
              <w:bottom w:val="nil"/>
              <w:right w:val="nil"/>
            </w:tcBorders>
            <w:shd w:val="clear" w:color="auto" w:fill="auto"/>
            <w:noWrap/>
            <w:vAlign w:val="bottom"/>
            <w:hideMark/>
          </w:tcPr>
          <w:p w14:paraId="58C72F81"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C764958"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0E89AE0" w14:textId="77777777" w:rsidR="00B81CB5" w:rsidRDefault="00B81CB5" w:rsidP="005A3B4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468A380D" w14:textId="77777777" w:rsidR="00B81CB5" w:rsidRDefault="00B81CB5" w:rsidP="005A3B4D">
            <w:pPr>
              <w:jc w:val="right"/>
              <w:rPr>
                <w:color w:val="000000"/>
                <w:sz w:val="20"/>
                <w:szCs w:val="20"/>
              </w:rPr>
            </w:pPr>
            <w:r>
              <w:rPr>
                <w:color w:val="000000"/>
                <w:sz w:val="20"/>
                <w:szCs w:val="20"/>
              </w:rPr>
              <w:t>0.272</w:t>
            </w:r>
          </w:p>
        </w:tc>
        <w:tc>
          <w:tcPr>
            <w:tcW w:w="864" w:type="dxa"/>
            <w:tcBorders>
              <w:top w:val="nil"/>
              <w:left w:val="nil"/>
              <w:bottom w:val="nil"/>
              <w:right w:val="nil"/>
            </w:tcBorders>
            <w:shd w:val="clear" w:color="auto" w:fill="auto"/>
            <w:noWrap/>
            <w:vAlign w:val="bottom"/>
            <w:hideMark/>
          </w:tcPr>
          <w:p w14:paraId="3F9518CC"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5E52E4A" w14:textId="77777777" w:rsidR="00B81CB5" w:rsidRDefault="00B81CB5" w:rsidP="005A3B4D">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542DA11A" w14:textId="77777777" w:rsidR="00B81CB5" w:rsidRDefault="00B81CB5" w:rsidP="005A3B4D">
            <w:pPr>
              <w:jc w:val="right"/>
              <w:rPr>
                <w:color w:val="000000"/>
                <w:sz w:val="20"/>
                <w:szCs w:val="20"/>
              </w:rPr>
            </w:pPr>
            <w:r>
              <w:rPr>
                <w:color w:val="000000"/>
                <w:sz w:val="20"/>
                <w:szCs w:val="20"/>
              </w:rPr>
              <w:t>0.548</w:t>
            </w:r>
          </w:p>
        </w:tc>
        <w:tc>
          <w:tcPr>
            <w:tcW w:w="864" w:type="dxa"/>
            <w:tcBorders>
              <w:top w:val="nil"/>
              <w:left w:val="nil"/>
              <w:bottom w:val="nil"/>
              <w:right w:val="nil"/>
            </w:tcBorders>
            <w:shd w:val="clear" w:color="auto" w:fill="auto"/>
            <w:noWrap/>
            <w:vAlign w:val="bottom"/>
            <w:hideMark/>
          </w:tcPr>
          <w:p w14:paraId="758A4293" w14:textId="77777777" w:rsidR="00B81CB5" w:rsidRDefault="00B81CB5" w:rsidP="005A3B4D">
            <w:pPr>
              <w:jc w:val="right"/>
              <w:rPr>
                <w:color w:val="000000"/>
                <w:sz w:val="20"/>
                <w:szCs w:val="20"/>
              </w:rPr>
            </w:pPr>
            <w:r>
              <w:rPr>
                <w:color w:val="000000"/>
                <w:sz w:val="20"/>
                <w:szCs w:val="20"/>
              </w:rPr>
              <w:t>0.001</w:t>
            </w:r>
          </w:p>
        </w:tc>
      </w:tr>
      <w:tr w:rsidR="00B81CB5" w14:paraId="54C6A017" w14:textId="77777777" w:rsidTr="005A3B4D">
        <w:trPr>
          <w:trHeight w:val="320"/>
        </w:trPr>
        <w:tc>
          <w:tcPr>
            <w:tcW w:w="1152" w:type="dxa"/>
            <w:tcBorders>
              <w:top w:val="nil"/>
              <w:left w:val="nil"/>
              <w:bottom w:val="nil"/>
              <w:right w:val="nil"/>
            </w:tcBorders>
            <w:shd w:val="clear" w:color="auto" w:fill="auto"/>
            <w:noWrap/>
            <w:vAlign w:val="bottom"/>
            <w:hideMark/>
          </w:tcPr>
          <w:p w14:paraId="44718628"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3481CD"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3646413" w14:textId="77777777" w:rsidR="00B81CB5" w:rsidRDefault="00B81CB5" w:rsidP="005A3B4D">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7D5FF521" w14:textId="77777777" w:rsidR="00B81CB5" w:rsidRDefault="00B81CB5" w:rsidP="005A3B4D">
            <w:pPr>
              <w:jc w:val="right"/>
              <w:rPr>
                <w:color w:val="000000"/>
                <w:sz w:val="20"/>
                <w:szCs w:val="20"/>
              </w:rPr>
            </w:pPr>
            <w:r>
              <w:rPr>
                <w:color w:val="000000"/>
                <w:sz w:val="20"/>
                <w:szCs w:val="20"/>
              </w:rPr>
              <w:t>0.353</w:t>
            </w:r>
          </w:p>
        </w:tc>
        <w:tc>
          <w:tcPr>
            <w:tcW w:w="864" w:type="dxa"/>
            <w:tcBorders>
              <w:top w:val="nil"/>
              <w:left w:val="nil"/>
              <w:bottom w:val="nil"/>
              <w:right w:val="nil"/>
            </w:tcBorders>
            <w:shd w:val="clear" w:color="auto" w:fill="auto"/>
            <w:noWrap/>
            <w:vAlign w:val="bottom"/>
            <w:hideMark/>
          </w:tcPr>
          <w:p w14:paraId="654BF716"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E52E9D3" w14:textId="77777777" w:rsidR="00B81CB5" w:rsidRDefault="00B81CB5"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3DE10D88" w14:textId="77777777" w:rsidR="00B81CB5" w:rsidRDefault="00B81CB5" w:rsidP="005A3B4D">
            <w:pPr>
              <w:jc w:val="right"/>
              <w:rPr>
                <w:color w:val="000000"/>
                <w:sz w:val="20"/>
                <w:szCs w:val="20"/>
              </w:rPr>
            </w:pPr>
            <w:r>
              <w:rPr>
                <w:color w:val="000000"/>
                <w:sz w:val="20"/>
                <w:szCs w:val="20"/>
              </w:rPr>
              <w:t>0.633</w:t>
            </w:r>
          </w:p>
        </w:tc>
        <w:tc>
          <w:tcPr>
            <w:tcW w:w="864" w:type="dxa"/>
            <w:tcBorders>
              <w:top w:val="nil"/>
              <w:left w:val="nil"/>
              <w:bottom w:val="nil"/>
              <w:right w:val="nil"/>
            </w:tcBorders>
            <w:shd w:val="clear" w:color="auto" w:fill="auto"/>
            <w:noWrap/>
            <w:vAlign w:val="bottom"/>
            <w:hideMark/>
          </w:tcPr>
          <w:p w14:paraId="7DD0F7FD" w14:textId="77777777" w:rsidR="00B81CB5" w:rsidRDefault="00B81CB5" w:rsidP="005A3B4D">
            <w:pPr>
              <w:jc w:val="right"/>
              <w:rPr>
                <w:color w:val="000000"/>
                <w:sz w:val="20"/>
                <w:szCs w:val="20"/>
              </w:rPr>
            </w:pPr>
            <w:r>
              <w:rPr>
                <w:color w:val="000000"/>
                <w:sz w:val="20"/>
                <w:szCs w:val="20"/>
              </w:rPr>
              <w:t>0.000</w:t>
            </w:r>
          </w:p>
        </w:tc>
      </w:tr>
      <w:tr w:rsidR="00B81CB5" w14:paraId="4E0AAAA1" w14:textId="77777777" w:rsidTr="005A3B4D">
        <w:trPr>
          <w:trHeight w:val="320"/>
        </w:trPr>
        <w:tc>
          <w:tcPr>
            <w:tcW w:w="1152" w:type="dxa"/>
            <w:tcBorders>
              <w:top w:val="nil"/>
              <w:left w:val="nil"/>
              <w:bottom w:val="nil"/>
              <w:right w:val="nil"/>
            </w:tcBorders>
            <w:shd w:val="clear" w:color="auto" w:fill="auto"/>
            <w:noWrap/>
            <w:vAlign w:val="bottom"/>
            <w:hideMark/>
          </w:tcPr>
          <w:p w14:paraId="62F883DF"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2E7E2F7"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4FB1F95" w14:textId="77777777" w:rsidR="00B81CB5" w:rsidRDefault="00B81CB5" w:rsidP="005A3B4D">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70F768B9" w14:textId="77777777" w:rsidR="00B81CB5" w:rsidRDefault="00B81CB5" w:rsidP="005A3B4D">
            <w:pPr>
              <w:jc w:val="right"/>
              <w:rPr>
                <w:color w:val="000000"/>
                <w:sz w:val="20"/>
                <w:szCs w:val="20"/>
              </w:rPr>
            </w:pPr>
            <w:r>
              <w:rPr>
                <w:color w:val="000000"/>
                <w:sz w:val="20"/>
                <w:szCs w:val="20"/>
              </w:rPr>
              <w:t>0.200</w:t>
            </w:r>
          </w:p>
        </w:tc>
        <w:tc>
          <w:tcPr>
            <w:tcW w:w="864" w:type="dxa"/>
            <w:tcBorders>
              <w:top w:val="nil"/>
              <w:left w:val="nil"/>
              <w:bottom w:val="nil"/>
              <w:right w:val="nil"/>
            </w:tcBorders>
            <w:shd w:val="clear" w:color="auto" w:fill="auto"/>
            <w:noWrap/>
            <w:vAlign w:val="bottom"/>
            <w:hideMark/>
          </w:tcPr>
          <w:p w14:paraId="5E7979FD"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549D79E" w14:textId="77777777" w:rsidR="00B81CB5" w:rsidRDefault="00B81CB5" w:rsidP="005A3B4D">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2CE1BA24" w14:textId="77777777" w:rsidR="00B81CB5" w:rsidRDefault="00B81CB5" w:rsidP="005A3B4D">
            <w:pPr>
              <w:jc w:val="right"/>
              <w:rPr>
                <w:color w:val="000000"/>
                <w:sz w:val="20"/>
                <w:szCs w:val="20"/>
              </w:rPr>
            </w:pPr>
            <w:r>
              <w:rPr>
                <w:color w:val="000000"/>
                <w:sz w:val="20"/>
                <w:szCs w:val="20"/>
              </w:rPr>
              <w:t>0.245</w:t>
            </w:r>
          </w:p>
        </w:tc>
        <w:tc>
          <w:tcPr>
            <w:tcW w:w="864" w:type="dxa"/>
            <w:tcBorders>
              <w:top w:val="nil"/>
              <w:left w:val="nil"/>
              <w:bottom w:val="nil"/>
              <w:right w:val="nil"/>
            </w:tcBorders>
            <w:shd w:val="clear" w:color="auto" w:fill="auto"/>
            <w:noWrap/>
            <w:vAlign w:val="bottom"/>
            <w:hideMark/>
          </w:tcPr>
          <w:p w14:paraId="6AAEC6BA" w14:textId="77777777" w:rsidR="00B81CB5" w:rsidRDefault="00B81CB5" w:rsidP="005A3B4D">
            <w:pPr>
              <w:jc w:val="right"/>
              <w:rPr>
                <w:color w:val="000000"/>
                <w:sz w:val="20"/>
                <w:szCs w:val="20"/>
              </w:rPr>
            </w:pPr>
            <w:r>
              <w:rPr>
                <w:color w:val="000000"/>
                <w:sz w:val="20"/>
                <w:szCs w:val="20"/>
              </w:rPr>
              <w:t>0.003</w:t>
            </w:r>
          </w:p>
        </w:tc>
      </w:tr>
      <w:tr w:rsidR="00B81CB5" w14:paraId="0C4D064C" w14:textId="77777777" w:rsidTr="005A3B4D">
        <w:trPr>
          <w:trHeight w:val="320"/>
        </w:trPr>
        <w:tc>
          <w:tcPr>
            <w:tcW w:w="1152" w:type="dxa"/>
            <w:tcBorders>
              <w:top w:val="nil"/>
              <w:left w:val="nil"/>
              <w:bottom w:val="nil"/>
              <w:right w:val="nil"/>
            </w:tcBorders>
            <w:shd w:val="clear" w:color="auto" w:fill="auto"/>
            <w:noWrap/>
            <w:vAlign w:val="bottom"/>
            <w:hideMark/>
          </w:tcPr>
          <w:p w14:paraId="0A40D342"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3F54C9C"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489015F" w14:textId="77777777" w:rsidR="00B81CB5" w:rsidRDefault="00B81CB5" w:rsidP="005A3B4D">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3706675D" w14:textId="77777777" w:rsidR="00B81CB5" w:rsidRDefault="00B81CB5" w:rsidP="005A3B4D">
            <w:pPr>
              <w:jc w:val="right"/>
              <w:rPr>
                <w:color w:val="000000"/>
                <w:sz w:val="20"/>
                <w:szCs w:val="20"/>
              </w:rPr>
            </w:pPr>
            <w:r>
              <w:rPr>
                <w:color w:val="000000"/>
                <w:sz w:val="20"/>
                <w:szCs w:val="20"/>
              </w:rPr>
              <w:t>0.272</w:t>
            </w:r>
          </w:p>
        </w:tc>
        <w:tc>
          <w:tcPr>
            <w:tcW w:w="864" w:type="dxa"/>
            <w:tcBorders>
              <w:top w:val="nil"/>
              <w:left w:val="nil"/>
              <w:bottom w:val="nil"/>
              <w:right w:val="nil"/>
            </w:tcBorders>
            <w:shd w:val="clear" w:color="auto" w:fill="auto"/>
            <w:noWrap/>
            <w:vAlign w:val="bottom"/>
            <w:hideMark/>
          </w:tcPr>
          <w:p w14:paraId="0BB82A10"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3326208" w14:textId="77777777" w:rsidR="00B81CB5" w:rsidRDefault="00B81CB5" w:rsidP="005A3B4D">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2EE7ABEB" w14:textId="77777777" w:rsidR="00B81CB5" w:rsidRDefault="00B81CB5" w:rsidP="005A3B4D">
            <w:pPr>
              <w:jc w:val="right"/>
              <w:rPr>
                <w:color w:val="000000"/>
                <w:sz w:val="20"/>
                <w:szCs w:val="20"/>
              </w:rPr>
            </w:pPr>
            <w:r>
              <w:rPr>
                <w:color w:val="000000"/>
                <w:sz w:val="20"/>
                <w:szCs w:val="20"/>
              </w:rPr>
              <w:t>0.245</w:t>
            </w:r>
          </w:p>
        </w:tc>
        <w:tc>
          <w:tcPr>
            <w:tcW w:w="864" w:type="dxa"/>
            <w:tcBorders>
              <w:top w:val="nil"/>
              <w:left w:val="nil"/>
              <w:bottom w:val="nil"/>
              <w:right w:val="nil"/>
            </w:tcBorders>
            <w:shd w:val="clear" w:color="auto" w:fill="auto"/>
            <w:noWrap/>
            <w:vAlign w:val="bottom"/>
            <w:hideMark/>
          </w:tcPr>
          <w:p w14:paraId="08BB1624" w14:textId="77777777" w:rsidR="00B81CB5" w:rsidRDefault="00B81CB5" w:rsidP="005A3B4D">
            <w:pPr>
              <w:jc w:val="right"/>
              <w:rPr>
                <w:color w:val="000000"/>
                <w:sz w:val="20"/>
                <w:szCs w:val="20"/>
              </w:rPr>
            </w:pPr>
            <w:r>
              <w:rPr>
                <w:color w:val="000000"/>
                <w:sz w:val="20"/>
                <w:szCs w:val="20"/>
              </w:rPr>
              <w:t>0.003</w:t>
            </w:r>
          </w:p>
        </w:tc>
      </w:tr>
      <w:tr w:rsidR="00B81CB5" w14:paraId="17897800"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01F75353"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8445619"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0A7A060" w14:textId="77777777" w:rsidR="00B81CB5" w:rsidRDefault="00B81CB5" w:rsidP="005A3B4D">
            <w:pPr>
              <w:jc w:val="right"/>
              <w:rPr>
                <w:color w:val="000000"/>
                <w:sz w:val="20"/>
                <w:szCs w:val="20"/>
              </w:rPr>
            </w:pPr>
            <w:r>
              <w:rPr>
                <w:color w:val="000000"/>
                <w:sz w:val="20"/>
                <w:szCs w:val="20"/>
              </w:rPr>
              <w:t>0.035</w:t>
            </w:r>
          </w:p>
        </w:tc>
        <w:tc>
          <w:tcPr>
            <w:tcW w:w="864" w:type="dxa"/>
            <w:tcBorders>
              <w:top w:val="nil"/>
              <w:left w:val="nil"/>
              <w:bottom w:val="single" w:sz="4" w:space="0" w:color="auto"/>
              <w:right w:val="nil"/>
            </w:tcBorders>
            <w:shd w:val="clear" w:color="auto" w:fill="auto"/>
            <w:noWrap/>
            <w:vAlign w:val="bottom"/>
            <w:hideMark/>
          </w:tcPr>
          <w:p w14:paraId="79C0628C" w14:textId="77777777" w:rsidR="00B81CB5" w:rsidRDefault="00B81CB5" w:rsidP="005A3B4D">
            <w:pPr>
              <w:jc w:val="right"/>
              <w:rPr>
                <w:color w:val="000000"/>
                <w:sz w:val="20"/>
                <w:szCs w:val="20"/>
              </w:rPr>
            </w:pPr>
            <w:r>
              <w:rPr>
                <w:color w:val="000000"/>
                <w:sz w:val="20"/>
                <w:szCs w:val="20"/>
              </w:rPr>
              <w:t>0.478</w:t>
            </w:r>
          </w:p>
        </w:tc>
        <w:tc>
          <w:tcPr>
            <w:tcW w:w="864" w:type="dxa"/>
            <w:tcBorders>
              <w:top w:val="nil"/>
              <w:left w:val="nil"/>
              <w:bottom w:val="single" w:sz="4" w:space="0" w:color="auto"/>
              <w:right w:val="nil"/>
            </w:tcBorders>
            <w:shd w:val="clear" w:color="auto" w:fill="auto"/>
            <w:noWrap/>
            <w:vAlign w:val="bottom"/>
            <w:hideMark/>
          </w:tcPr>
          <w:p w14:paraId="6491840D"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3D83D5D7" w14:textId="77777777" w:rsidR="00B81CB5" w:rsidRDefault="00B81CB5" w:rsidP="005A3B4D">
            <w:pPr>
              <w:jc w:val="right"/>
              <w:rPr>
                <w:color w:val="000000"/>
                <w:sz w:val="20"/>
                <w:szCs w:val="20"/>
              </w:rPr>
            </w:pPr>
            <w:r>
              <w:rPr>
                <w:color w:val="000000"/>
                <w:sz w:val="20"/>
                <w:szCs w:val="20"/>
              </w:rPr>
              <w:t>0.038</w:t>
            </w:r>
          </w:p>
        </w:tc>
        <w:tc>
          <w:tcPr>
            <w:tcW w:w="864" w:type="dxa"/>
            <w:tcBorders>
              <w:top w:val="nil"/>
              <w:left w:val="nil"/>
              <w:bottom w:val="single" w:sz="4" w:space="0" w:color="auto"/>
              <w:right w:val="nil"/>
            </w:tcBorders>
            <w:shd w:val="clear" w:color="auto" w:fill="auto"/>
            <w:noWrap/>
            <w:vAlign w:val="bottom"/>
            <w:hideMark/>
          </w:tcPr>
          <w:p w14:paraId="05AF8142" w14:textId="77777777" w:rsidR="00B81CB5" w:rsidRDefault="00B81CB5" w:rsidP="005A3B4D">
            <w:pPr>
              <w:jc w:val="right"/>
              <w:rPr>
                <w:color w:val="000000"/>
                <w:sz w:val="20"/>
                <w:szCs w:val="20"/>
              </w:rPr>
            </w:pPr>
            <w:r>
              <w:rPr>
                <w:color w:val="000000"/>
                <w:sz w:val="20"/>
                <w:szCs w:val="20"/>
              </w:rPr>
              <w:t>0.483</w:t>
            </w:r>
          </w:p>
        </w:tc>
        <w:tc>
          <w:tcPr>
            <w:tcW w:w="864" w:type="dxa"/>
            <w:tcBorders>
              <w:top w:val="nil"/>
              <w:left w:val="nil"/>
              <w:bottom w:val="single" w:sz="4" w:space="0" w:color="auto"/>
              <w:right w:val="nil"/>
            </w:tcBorders>
            <w:shd w:val="clear" w:color="auto" w:fill="auto"/>
            <w:noWrap/>
            <w:vAlign w:val="bottom"/>
            <w:hideMark/>
          </w:tcPr>
          <w:p w14:paraId="38FE86E3" w14:textId="77777777" w:rsidR="00B81CB5" w:rsidRDefault="00B81CB5" w:rsidP="005A3B4D">
            <w:pPr>
              <w:jc w:val="right"/>
              <w:rPr>
                <w:color w:val="000000"/>
                <w:sz w:val="20"/>
                <w:szCs w:val="20"/>
              </w:rPr>
            </w:pPr>
            <w:r>
              <w:rPr>
                <w:color w:val="000000"/>
                <w:sz w:val="20"/>
                <w:szCs w:val="20"/>
              </w:rPr>
              <w:t>0.001</w:t>
            </w:r>
          </w:p>
        </w:tc>
      </w:tr>
      <w:tr w:rsidR="00B81CB5" w14:paraId="01C591CD" w14:textId="77777777" w:rsidTr="005A3B4D">
        <w:trPr>
          <w:trHeight w:val="320"/>
        </w:trPr>
        <w:tc>
          <w:tcPr>
            <w:tcW w:w="1152" w:type="dxa"/>
            <w:tcBorders>
              <w:top w:val="nil"/>
              <w:left w:val="nil"/>
              <w:bottom w:val="nil"/>
              <w:right w:val="nil"/>
            </w:tcBorders>
            <w:shd w:val="clear" w:color="auto" w:fill="auto"/>
            <w:noWrap/>
            <w:vAlign w:val="bottom"/>
            <w:hideMark/>
          </w:tcPr>
          <w:p w14:paraId="0FCD610F" w14:textId="77777777" w:rsidR="00B81CB5" w:rsidRDefault="00B81CB5" w:rsidP="005A3B4D">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551133BF" w14:textId="77777777" w:rsidR="00B81CB5" w:rsidRDefault="00B81CB5"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FFB022D" w14:textId="77777777" w:rsidR="00B81CB5" w:rsidRDefault="00B81CB5" w:rsidP="005A3B4D">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2B8F3F62" w14:textId="77777777" w:rsidR="00B81CB5" w:rsidRDefault="00B81CB5" w:rsidP="005A3B4D">
            <w:pPr>
              <w:jc w:val="right"/>
              <w:rPr>
                <w:color w:val="000000"/>
                <w:sz w:val="20"/>
                <w:szCs w:val="20"/>
              </w:rPr>
            </w:pPr>
            <w:r>
              <w:rPr>
                <w:color w:val="000000"/>
                <w:sz w:val="20"/>
                <w:szCs w:val="20"/>
              </w:rPr>
              <w:t>0.911</w:t>
            </w:r>
          </w:p>
        </w:tc>
        <w:tc>
          <w:tcPr>
            <w:tcW w:w="864" w:type="dxa"/>
            <w:tcBorders>
              <w:top w:val="nil"/>
              <w:left w:val="nil"/>
              <w:bottom w:val="nil"/>
              <w:right w:val="nil"/>
            </w:tcBorders>
            <w:shd w:val="clear" w:color="auto" w:fill="auto"/>
            <w:noWrap/>
            <w:vAlign w:val="bottom"/>
            <w:hideMark/>
          </w:tcPr>
          <w:p w14:paraId="317F4D92"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BCFB200" w14:textId="77777777" w:rsidR="00B81CB5" w:rsidRDefault="00B81CB5" w:rsidP="005A3B4D">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69ECB3A4" w14:textId="77777777" w:rsidR="00B81CB5" w:rsidRDefault="00B81CB5" w:rsidP="005A3B4D">
            <w:pPr>
              <w:jc w:val="right"/>
              <w:rPr>
                <w:color w:val="000000"/>
                <w:sz w:val="20"/>
                <w:szCs w:val="20"/>
              </w:rPr>
            </w:pPr>
            <w:r>
              <w:rPr>
                <w:color w:val="000000"/>
                <w:sz w:val="20"/>
                <w:szCs w:val="20"/>
              </w:rPr>
              <w:t>0.798</w:t>
            </w:r>
          </w:p>
        </w:tc>
        <w:tc>
          <w:tcPr>
            <w:tcW w:w="864" w:type="dxa"/>
            <w:tcBorders>
              <w:top w:val="nil"/>
              <w:left w:val="nil"/>
              <w:bottom w:val="nil"/>
              <w:right w:val="nil"/>
            </w:tcBorders>
            <w:shd w:val="clear" w:color="auto" w:fill="auto"/>
            <w:noWrap/>
            <w:vAlign w:val="bottom"/>
            <w:hideMark/>
          </w:tcPr>
          <w:p w14:paraId="38B48E58" w14:textId="77777777" w:rsidR="00B81CB5" w:rsidRDefault="00B81CB5" w:rsidP="005A3B4D">
            <w:pPr>
              <w:jc w:val="right"/>
              <w:rPr>
                <w:color w:val="000000"/>
                <w:sz w:val="20"/>
                <w:szCs w:val="20"/>
              </w:rPr>
            </w:pPr>
            <w:r>
              <w:rPr>
                <w:color w:val="000000"/>
                <w:sz w:val="20"/>
                <w:szCs w:val="20"/>
              </w:rPr>
              <w:t>0.001</w:t>
            </w:r>
          </w:p>
        </w:tc>
      </w:tr>
      <w:tr w:rsidR="00B81CB5" w14:paraId="1AF95745" w14:textId="77777777" w:rsidTr="005A3B4D">
        <w:trPr>
          <w:trHeight w:val="320"/>
        </w:trPr>
        <w:tc>
          <w:tcPr>
            <w:tcW w:w="1152" w:type="dxa"/>
            <w:tcBorders>
              <w:top w:val="nil"/>
              <w:left w:val="nil"/>
              <w:bottom w:val="nil"/>
              <w:right w:val="nil"/>
            </w:tcBorders>
            <w:shd w:val="clear" w:color="auto" w:fill="auto"/>
            <w:noWrap/>
            <w:vAlign w:val="bottom"/>
            <w:hideMark/>
          </w:tcPr>
          <w:p w14:paraId="1377120F"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FC7FD9"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6C193BB"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0B4D35FE" w14:textId="77777777" w:rsidR="00B81CB5" w:rsidRDefault="00B81CB5" w:rsidP="005A3B4D">
            <w:pPr>
              <w:jc w:val="right"/>
              <w:rPr>
                <w:color w:val="000000"/>
                <w:sz w:val="20"/>
                <w:szCs w:val="20"/>
              </w:rPr>
            </w:pPr>
            <w:r>
              <w:rPr>
                <w:color w:val="000000"/>
                <w:sz w:val="20"/>
                <w:szCs w:val="20"/>
              </w:rPr>
              <w:t>0.911</w:t>
            </w:r>
          </w:p>
        </w:tc>
        <w:tc>
          <w:tcPr>
            <w:tcW w:w="864" w:type="dxa"/>
            <w:tcBorders>
              <w:top w:val="nil"/>
              <w:left w:val="nil"/>
              <w:bottom w:val="nil"/>
              <w:right w:val="nil"/>
            </w:tcBorders>
            <w:shd w:val="clear" w:color="auto" w:fill="auto"/>
            <w:noWrap/>
            <w:vAlign w:val="bottom"/>
            <w:hideMark/>
          </w:tcPr>
          <w:p w14:paraId="2C1D0892"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0DEA4D3" w14:textId="77777777" w:rsidR="00B81CB5" w:rsidRDefault="00B81CB5" w:rsidP="005A3B4D">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2866200D" w14:textId="77777777" w:rsidR="00B81CB5" w:rsidRDefault="00B81CB5" w:rsidP="005A3B4D">
            <w:pPr>
              <w:jc w:val="right"/>
              <w:rPr>
                <w:color w:val="000000"/>
                <w:sz w:val="20"/>
                <w:szCs w:val="20"/>
              </w:rPr>
            </w:pPr>
            <w:r>
              <w:rPr>
                <w:color w:val="000000"/>
                <w:sz w:val="20"/>
                <w:szCs w:val="20"/>
              </w:rPr>
              <w:t>0.903</w:t>
            </w:r>
          </w:p>
        </w:tc>
        <w:tc>
          <w:tcPr>
            <w:tcW w:w="864" w:type="dxa"/>
            <w:tcBorders>
              <w:top w:val="nil"/>
              <w:left w:val="nil"/>
              <w:bottom w:val="nil"/>
              <w:right w:val="nil"/>
            </w:tcBorders>
            <w:shd w:val="clear" w:color="auto" w:fill="auto"/>
            <w:noWrap/>
            <w:vAlign w:val="bottom"/>
            <w:hideMark/>
          </w:tcPr>
          <w:p w14:paraId="70E84DB0" w14:textId="77777777" w:rsidR="00B81CB5" w:rsidRDefault="00B81CB5" w:rsidP="005A3B4D">
            <w:pPr>
              <w:jc w:val="right"/>
              <w:rPr>
                <w:color w:val="000000"/>
                <w:sz w:val="20"/>
                <w:szCs w:val="20"/>
              </w:rPr>
            </w:pPr>
            <w:r>
              <w:rPr>
                <w:color w:val="000000"/>
                <w:sz w:val="20"/>
                <w:szCs w:val="20"/>
              </w:rPr>
              <w:t>0.000</w:t>
            </w:r>
          </w:p>
        </w:tc>
      </w:tr>
      <w:tr w:rsidR="00B81CB5" w14:paraId="4DED1EFC" w14:textId="77777777" w:rsidTr="005A3B4D">
        <w:trPr>
          <w:trHeight w:val="320"/>
        </w:trPr>
        <w:tc>
          <w:tcPr>
            <w:tcW w:w="1152" w:type="dxa"/>
            <w:tcBorders>
              <w:top w:val="nil"/>
              <w:left w:val="nil"/>
              <w:bottom w:val="nil"/>
              <w:right w:val="nil"/>
            </w:tcBorders>
            <w:shd w:val="clear" w:color="auto" w:fill="auto"/>
            <w:noWrap/>
            <w:vAlign w:val="bottom"/>
            <w:hideMark/>
          </w:tcPr>
          <w:p w14:paraId="6A95AF21"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B6C869E"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D751804" w14:textId="77777777" w:rsidR="00B81CB5" w:rsidRDefault="00B81CB5" w:rsidP="005A3B4D">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70272944" w14:textId="77777777" w:rsidR="00B81CB5" w:rsidRDefault="00B81CB5" w:rsidP="005A3B4D">
            <w:pPr>
              <w:jc w:val="right"/>
              <w:rPr>
                <w:color w:val="000000"/>
                <w:sz w:val="20"/>
                <w:szCs w:val="20"/>
              </w:rPr>
            </w:pPr>
            <w:r>
              <w:rPr>
                <w:color w:val="000000"/>
                <w:sz w:val="20"/>
                <w:szCs w:val="20"/>
              </w:rPr>
              <w:t>0.911</w:t>
            </w:r>
          </w:p>
        </w:tc>
        <w:tc>
          <w:tcPr>
            <w:tcW w:w="864" w:type="dxa"/>
            <w:tcBorders>
              <w:top w:val="nil"/>
              <w:left w:val="nil"/>
              <w:bottom w:val="nil"/>
              <w:right w:val="nil"/>
            </w:tcBorders>
            <w:shd w:val="clear" w:color="auto" w:fill="auto"/>
            <w:noWrap/>
            <w:vAlign w:val="bottom"/>
            <w:hideMark/>
          </w:tcPr>
          <w:p w14:paraId="29671169"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213BEC9" w14:textId="77777777" w:rsidR="00B81CB5" w:rsidRDefault="00B81CB5" w:rsidP="005A3B4D">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7A8B1675" w14:textId="77777777" w:rsidR="00B81CB5" w:rsidRDefault="00B81CB5" w:rsidP="005A3B4D">
            <w:pPr>
              <w:jc w:val="right"/>
              <w:rPr>
                <w:color w:val="000000"/>
                <w:sz w:val="20"/>
                <w:szCs w:val="20"/>
              </w:rPr>
            </w:pPr>
            <w:r>
              <w:rPr>
                <w:color w:val="000000"/>
                <w:sz w:val="20"/>
                <w:szCs w:val="20"/>
              </w:rPr>
              <w:t>0.903</w:t>
            </w:r>
          </w:p>
        </w:tc>
        <w:tc>
          <w:tcPr>
            <w:tcW w:w="864" w:type="dxa"/>
            <w:tcBorders>
              <w:top w:val="nil"/>
              <w:left w:val="nil"/>
              <w:bottom w:val="nil"/>
              <w:right w:val="nil"/>
            </w:tcBorders>
            <w:shd w:val="clear" w:color="auto" w:fill="auto"/>
            <w:noWrap/>
            <w:vAlign w:val="bottom"/>
            <w:hideMark/>
          </w:tcPr>
          <w:p w14:paraId="44E98702" w14:textId="77777777" w:rsidR="00B81CB5" w:rsidRDefault="00B81CB5" w:rsidP="005A3B4D">
            <w:pPr>
              <w:jc w:val="right"/>
              <w:rPr>
                <w:color w:val="000000"/>
                <w:sz w:val="20"/>
                <w:szCs w:val="20"/>
              </w:rPr>
            </w:pPr>
            <w:r>
              <w:rPr>
                <w:color w:val="000000"/>
                <w:sz w:val="20"/>
                <w:szCs w:val="20"/>
              </w:rPr>
              <w:t>0.000</w:t>
            </w:r>
          </w:p>
        </w:tc>
      </w:tr>
      <w:tr w:rsidR="00B81CB5" w14:paraId="6A6A8A93" w14:textId="77777777" w:rsidTr="005A3B4D">
        <w:trPr>
          <w:trHeight w:val="320"/>
        </w:trPr>
        <w:tc>
          <w:tcPr>
            <w:tcW w:w="1152" w:type="dxa"/>
            <w:tcBorders>
              <w:top w:val="nil"/>
              <w:left w:val="nil"/>
              <w:bottom w:val="nil"/>
              <w:right w:val="nil"/>
            </w:tcBorders>
            <w:shd w:val="clear" w:color="auto" w:fill="auto"/>
            <w:noWrap/>
            <w:vAlign w:val="bottom"/>
            <w:hideMark/>
          </w:tcPr>
          <w:p w14:paraId="1CCA796C"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EA0EFD7"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F1DC926" w14:textId="77777777" w:rsidR="00B81CB5" w:rsidRDefault="00B81CB5" w:rsidP="005A3B4D">
            <w:pPr>
              <w:jc w:val="right"/>
              <w:rPr>
                <w:color w:val="000000"/>
                <w:sz w:val="20"/>
                <w:szCs w:val="20"/>
              </w:rPr>
            </w:pPr>
            <w:r>
              <w:rPr>
                <w:color w:val="000000"/>
                <w:sz w:val="20"/>
                <w:szCs w:val="20"/>
              </w:rPr>
              <w:t>0.091</w:t>
            </w:r>
          </w:p>
        </w:tc>
        <w:tc>
          <w:tcPr>
            <w:tcW w:w="864" w:type="dxa"/>
            <w:tcBorders>
              <w:top w:val="nil"/>
              <w:left w:val="nil"/>
              <w:bottom w:val="nil"/>
              <w:right w:val="nil"/>
            </w:tcBorders>
            <w:shd w:val="clear" w:color="auto" w:fill="auto"/>
            <w:noWrap/>
            <w:vAlign w:val="bottom"/>
            <w:hideMark/>
          </w:tcPr>
          <w:p w14:paraId="54BA7991" w14:textId="77777777" w:rsidR="00B81CB5" w:rsidRDefault="00B81CB5" w:rsidP="005A3B4D">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10D68373" w14:textId="77777777" w:rsidR="00B81CB5" w:rsidRDefault="00B81CB5"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107D891B" w14:textId="77777777" w:rsidR="00B81CB5" w:rsidRDefault="00B81CB5" w:rsidP="005A3B4D">
            <w:pPr>
              <w:jc w:val="right"/>
              <w:rPr>
                <w:color w:val="000000"/>
                <w:sz w:val="20"/>
                <w:szCs w:val="20"/>
              </w:rPr>
            </w:pPr>
            <w:r>
              <w:rPr>
                <w:color w:val="000000"/>
                <w:sz w:val="20"/>
                <w:szCs w:val="20"/>
              </w:rPr>
              <w:t>0.074</w:t>
            </w:r>
          </w:p>
        </w:tc>
        <w:tc>
          <w:tcPr>
            <w:tcW w:w="864" w:type="dxa"/>
            <w:tcBorders>
              <w:top w:val="nil"/>
              <w:left w:val="nil"/>
              <w:bottom w:val="nil"/>
              <w:right w:val="nil"/>
            </w:tcBorders>
            <w:shd w:val="clear" w:color="auto" w:fill="auto"/>
            <w:noWrap/>
            <w:vAlign w:val="bottom"/>
            <w:hideMark/>
          </w:tcPr>
          <w:p w14:paraId="3B01785F" w14:textId="77777777" w:rsidR="00B81CB5" w:rsidRDefault="00B81CB5" w:rsidP="005A3B4D">
            <w:pPr>
              <w:jc w:val="right"/>
              <w:rPr>
                <w:color w:val="000000"/>
                <w:sz w:val="20"/>
                <w:szCs w:val="20"/>
              </w:rPr>
            </w:pPr>
            <w:r>
              <w:rPr>
                <w:color w:val="000000"/>
                <w:sz w:val="20"/>
                <w:szCs w:val="20"/>
              </w:rPr>
              <w:t>0.136</w:t>
            </w:r>
          </w:p>
        </w:tc>
        <w:tc>
          <w:tcPr>
            <w:tcW w:w="864" w:type="dxa"/>
            <w:tcBorders>
              <w:top w:val="nil"/>
              <w:left w:val="nil"/>
              <w:bottom w:val="nil"/>
              <w:right w:val="nil"/>
            </w:tcBorders>
            <w:shd w:val="clear" w:color="auto" w:fill="auto"/>
            <w:noWrap/>
            <w:vAlign w:val="bottom"/>
            <w:hideMark/>
          </w:tcPr>
          <w:p w14:paraId="4273AAC1" w14:textId="77777777" w:rsidR="00B81CB5" w:rsidRDefault="00B81CB5" w:rsidP="005A3B4D">
            <w:pPr>
              <w:jc w:val="right"/>
              <w:rPr>
                <w:color w:val="000000"/>
                <w:sz w:val="20"/>
                <w:szCs w:val="20"/>
              </w:rPr>
            </w:pPr>
            <w:r>
              <w:rPr>
                <w:color w:val="000000"/>
                <w:sz w:val="20"/>
                <w:szCs w:val="20"/>
              </w:rPr>
              <w:t>0.005</w:t>
            </w:r>
          </w:p>
        </w:tc>
      </w:tr>
      <w:tr w:rsidR="00B81CB5" w14:paraId="6E648B74" w14:textId="77777777" w:rsidTr="005A3B4D">
        <w:trPr>
          <w:trHeight w:val="320"/>
        </w:trPr>
        <w:tc>
          <w:tcPr>
            <w:tcW w:w="1152" w:type="dxa"/>
            <w:tcBorders>
              <w:top w:val="nil"/>
              <w:left w:val="nil"/>
              <w:bottom w:val="nil"/>
              <w:right w:val="nil"/>
            </w:tcBorders>
            <w:shd w:val="clear" w:color="auto" w:fill="auto"/>
            <w:noWrap/>
            <w:vAlign w:val="bottom"/>
            <w:hideMark/>
          </w:tcPr>
          <w:p w14:paraId="145308CA"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084E9A0"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6037A77" w14:textId="77777777" w:rsidR="00B81CB5" w:rsidRDefault="00B81CB5" w:rsidP="005A3B4D">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1E7DEAD1" w14:textId="77777777" w:rsidR="00B81CB5" w:rsidRDefault="00B81CB5" w:rsidP="005A3B4D">
            <w:pPr>
              <w:jc w:val="right"/>
              <w:rPr>
                <w:color w:val="000000"/>
                <w:sz w:val="20"/>
                <w:szCs w:val="20"/>
              </w:rPr>
            </w:pPr>
            <w:r>
              <w:rPr>
                <w:color w:val="000000"/>
                <w:sz w:val="20"/>
                <w:szCs w:val="20"/>
              </w:rPr>
              <w:t>0.911</w:t>
            </w:r>
          </w:p>
        </w:tc>
        <w:tc>
          <w:tcPr>
            <w:tcW w:w="864" w:type="dxa"/>
            <w:tcBorders>
              <w:top w:val="nil"/>
              <w:left w:val="nil"/>
              <w:bottom w:val="nil"/>
              <w:right w:val="nil"/>
            </w:tcBorders>
            <w:shd w:val="clear" w:color="auto" w:fill="auto"/>
            <w:noWrap/>
            <w:vAlign w:val="bottom"/>
            <w:hideMark/>
          </w:tcPr>
          <w:p w14:paraId="5FA6279E"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44AD47C"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45C644BB" w14:textId="77777777" w:rsidR="00B81CB5" w:rsidRDefault="00B81CB5" w:rsidP="005A3B4D">
            <w:pPr>
              <w:jc w:val="right"/>
              <w:rPr>
                <w:color w:val="000000"/>
                <w:sz w:val="20"/>
                <w:szCs w:val="20"/>
              </w:rPr>
            </w:pPr>
            <w:r>
              <w:rPr>
                <w:color w:val="000000"/>
                <w:sz w:val="20"/>
                <w:szCs w:val="20"/>
              </w:rPr>
              <w:t>0.911</w:t>
            </w:r>
          </w:p>
        </w:tc>
        <w:tc>
          <w:tcPr>
            <w:tcW w:w="864" w:type="dxa"/>
            <w:tcBorders>
              <w:top w:val="nil"/>
              <w:left w:val="nil"/>
              <w:bottom w:val="nil"/>
              <w:right w:val="nil"/>
            </w:tcBorders>
            <w:shd w:val="clear" w:color="auto" w:fill="auto"/>
            <w:noWrap/>
            <w:vAlign w:val="bottom"/>
            <w:hideMark/>
          </w:tcPr>
          <w:p w14:paraId="62478FCD" w14:textId="77777777" w:rsidR="00B81CB5" w:rsidRDefault="00B81CB5" w:rsidP="005A3B4D">
            <w:pPr>
              <w:jc w:val="right"/>
              <w:rPr>
                <w:color w:val="000000"/>
                <w:sz w:val="20"/>
                <w:szCs w:val="20"/>
              </w:rPr>
            </w:pPr>
            <w:r>
              <w:rPr>
                <w:color w:val="000000"/>
                <w:sz w:val="20"/>
                <w:szCs w:val="20"/>
              </w:rPr>
              <w:t>0.000</w:t>
            </w:r>
          </w:p>
        </w:tc>
      </w:tr>
      <w:tr w:rsidR="00B81CB5" w14:paraId="3578D5C3" w14:textId="77777777" w:rsidTr="005A3B4D">
        <w:trPr>
          <w:trHeight w:val="320"/>
        </w:trPr>
        <w:tc>
          <w:tcPr>
            <w:tcW w:w="1152" w:type="dxa"/>
            <w:tcBorders>
              <w:top w:val="nil"/>
              <w:left w:val="nil"/>
              <w:bottom w:val="nil"/>
              <w:right w:val="nil"/>
            </w:tcBorders>
            <w:shd w:val="clear" w:color="auto" w:fill="auto"/>
            <w:noWrap/>
            <w:vAlign w:val="bottom"/>
            <w:hideMark/>
          </w:tcPr>
          <w:p w14:paraId="2246D522"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26B33B9"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5AC06CA" w14:textId="77777777" w:rsidR="00B81CB5" w:rsidRDefault="00B81CB5"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38D5145" w14:textId="77777777" w:rsidR="00B81CB5" w:rsidRDefault="00B81CB5" w:rsidP="005A3B4D">
            <w:pPr>
              <w:jc w:val="right"/>
              <w:rPr>
                <w:color w:val="000000"/>
                <w:sz w:val="20"/>
                <w:szCs w:val="20"/>
              </w:rPr>
            </w:pPr>
            <w:r>
              <w:rPr>
                <w:color w:val="000000"/>
                <w:sz w:val="20"/>
                <w:szCs w:val="20"/>
              </w:rPr>
              <w:t>0.911</w:t>
            </w:r>
          </w:p>
        </w:tc>
        <w:tc>
          <w:tcPr>
            <w:tcW w:w="864" w:type="dxa"/>
            <w:tcBorders>
              <w:top w:val="nil"/>
              <w:left w:val="nil"/>
              <w:bottom w:val="nil"/>
              <w:right w:val="nil"/>
            </w:tcBorders>
            <w:shd w:val="clear" w:color="auto" w:fill="auto"/>
            <w:noWrap/>
            <w:vAlign w:val="bottom"/>
            <w:hideMark/>
          </w:tcPr>
          <w:p w14:paraId="7F738E64"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F2A99BA"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05830BC" w14:textId="77777777" w:rsidR="00B81CB5" w:rsidRDefault="00B81CB5" w:rsidP="005A3B4D">
            <w:pPr>
              <w:jc w:val="right"/>
              <w:rPr>
                <w:color w:val="000000"/>
                <w:sz w:val="20"/>
                <w:szCs w:val="20"/>
              </w:rPr>
            </w:pPr>
            <w:r>
              <w:rPr>
                <w:color w:val="000000"/>
                <w:sz w:val="20"/>
                <w:szCs w:val="20"/>
              </w:rPr>
              <w:t>0.911</w:t>
            </w:r>
          </w:p>
        </w:tc>
        <w:tc>
          <w:tcPr>
            <w:tcW w:w="864" w:type="dxa"/>
            <w:tcBorders>
              <w:top w:val="nil"/>
              <w:left w:val="nil"/>
              <w:bottom w:val="nil"/>
              <w:right w:val="nil"/>
            </w:tcBorders>
            <w:shd w:val="clear" w:color="auto" w:fill="auto"/>
            <w:noWrap/>
            <w:vAlign w:val="bottom"/>
            <w:hideMark/>
          </w:tcPr>
          <w:p w14:paraId="02529709" w14:textId="77777777" w:rsidR="00B81CB5" w:rsidRDefault="00B81CB5" w:rsidP="005A3B4D">
            <w:pPr>
              <w:jc w:val="right"/>
              <w:rPr>
                <w:color w:val="000000"/>
                <w:sz w:val="20"/>
                <w:szCs w:val="20"/>
              </w:rPr>
            </w:pPr>
            <w:r>
              <w:rPr>
                <w:color w:val="000000"/>
                <w:sz w:val="20"/>
                <w:szCs w:val="20"/>
              </w:rPr>
              <w:t>0.000</w:t>
            </w:r>
          </w:p>
        </w:tc>
      </w:tr>
      <w:tr w:rsidR="00B81CB5" w14:paraId="44F29262" w14:textId="77777777" w:rsidTr="005A3B4D">
        <w:trPr>
          <w:trHeight w:val="320"/>
        </w:trPr>
        <w:tc>
          <w:tcPr>
            <w:tcW w:w="1152" w:type="dxa"/>
            <w:tcBorders>
              <w:top w:val="nil"/>
              <w:left w:val="nil"/>
              <w:bottom w:val="nil"/>
              <w:right w:val="nil"/>
            </w:tcBorders>
            <w:shd w:val="clear" w:color="auto" w:fill="auto"/>
            <w:noWrap/>
            <w:vAlign w:val="bottom"/>
            <w:hideMark/>
          </w:tcPr>
          <w:p w14:paraId="77AD7B19"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5585615"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8EB41F7"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344E6E82" w14:textId="77777777" w:rsidR="00B81CB5" w:rsidRDefault="00B81CB5" w:rsidP="005A3B4D">
            <w:pPr>
              <w:jc w:val="right"/>
              <w:rPr>
                <w:color w:val="000000"/>
                <w:sz w:val="20"/>
                <w:szCs w:val="20"/>
              </w:rPr>
            </w:pPr>
            <w:r>
              <w:rPr>
                <w:color w:val="000000"/>
                <w:sz w:val="20"/>
                <w:szCs w:val="20"/>
              </w:rPr>
              <w:t>0.911</w:t>
            </w:r>
          </w:p>
        </w:tc>
        <w:tc>
          <w:tcPr>
            <w:tcW w:w="864" w:type="dxa"/>
            <w:tcBorders>
              <w:top w:val="nil"/>
              <w:left w:val="nil"/>
              <w:bottom w:val="nil"/>
              <w:right w:val="nil"/>
            </w:tcBorders>
            <w:shd w:val="clear" w:color="auto" w:fill="auto"/>
            <w:noWrap/>
            <w:vAlign w:val="bottom"/>
            <w:hideMark/>
          </w:tcPr>
          <w:p w14:paraId="3FF23988"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A95FB1C" w14:textId="77777777" w:rsidR="00B81CB5" w:rsidRDefault="00B81CB5" w:rsidP="005A3B4D">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76CF3FCE" w14:textId="77777777" w:rsidR="00B81CB5" w:rsidRDefault="00B81CB5" w:rsidP="005A3B4D">
            <w:pPr>
              <w:jc w:val="right"/>
              <w:rPr>
                <w:color w:val="000000"/>
                <w:sz w:val="20"/>
                <w:szCs w:val="20"/>
              </w:rPr>
            </w:pPr>
            <w:r>
              <w:rPr>
                <w:color w:val="000000"/>
                <w:sz w:val="20"/>
                <w:szCs w:val="20"/>
              </w:rPr>
              <w:t>0.765</w:t>
            </w:r>
          </w:p>
        </w:tc>
        <w:tc>
          <w:tcPr>
            <w:tcW w:w="864" w:type="dxa"/>
            <w:tcBorders>
              <w:top w:val="nil"/>
              <w:left w:val="nil"/>
              <w:bottom w:val="nil"/>
              <w:right w:val="nil"/>
            </w:tcBorders>
            <w:shd w:val="clear" w:color="auto" w:fill="auto"/>
            <w:noWrap/>
            <w:vAlign w:val="bottom"/>
            <w:hideMark/>
          </w:tcPr>
          <w:p w14:paraId="07CFAB7D" w14:textId="77777777" w:rsidR="00B81CB5" w:rsidRDefault="00B81CB5" w:rsidP="005A3B4D">
            <w:pPr>
              <w:jc w:val="right"/>
              <w:rPr>
                <w:color w:val="000000"/>
                <w:sz w:val="20"/>
                <w:szCs w:val="20"/>
              </w:rPr>
            </w:pPr>
            <w:r>
              <w:rPr>
                <w:color w:val="000000"/>
                <w:sz w:val="20"/>
                <w:szCs w:val="20"/>
              </w:rPr>
              <w:t>0.001</w:t>
            </w:r>
          </w:p>
        </w:tc>
      </w:tr>
      <w:tr w:rsidR="00B81CB5" w14:paraId="5251510A"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28E68761"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EE45C8C"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9BF2534" w14:textId="77777777" w:rsidR="00B81CB5" w:rsidRDefault="00B81CB5" w:rsidP="005A3B4D">
            <w:pPr>
              <w:jc w:val="right"/>
              <w:rPr>
                <w:color w:val="000000"/>
                <w:sz w:val="20"/>
                <w:szCs w:val="20"/>
              </w:rPr>
            </w:pPr>
            <w:r>
              <w:rPr>
                <w:color w:val="000000"/>
                <w:sz w:val="20"/>
                <w:szCs w:val="20"/>
              </w:rPr>
              <w:t>0.036</w:t>
            </w:r>
          </w:p>
        </w:tc>
        <w:tc>
          <w:tcPr>
            <w:tcW w:w="864" w:type="dxa"/>
            <w:tcBorders>
              <w:top w:val="nil"/>
              <w:left w:val="nil"/>
              <w:bottom w:val="single" w:sz="4" w:space="0" w:color="auto"/>
              <w:right w:val="nil"/>
            </w:tcBorders>
            <w:shd w:val="clear" w:color="auto" w:fill="auto"/>
            <w:noWrap/>
            <w:vAlign w:val="bottom"/>
            <w:hideMark/>
          </w:tcPr>
          <w:p w14:paraId="0502F42A" w14:textId="77777777" w:rsidR="00B81CB5" w:rsidRDefault="00B81CB5" w:rsidP="005A3B4D">
            <w:pPr>
              <w:jc w:val="right"/>
              <w:rPr>
                <w:color w:val="000000"/>
                <w:sz w:val="20"/>
                <w:szCs w:val="20"/>
              </w:rPr>
            </w:pPr>
            <w:r>
              <w:rPr>
                <w:color w:val="000000"/>
                <w:sz w:val="20"/>
                <w:szCs w:val="20"/>
              </w:rPr>
              <w:t>0.911</w:t>
            </w:r>
          </w:p>
        </w:tc>
        <w:tc>
          <w:tcPr>
            <w:tcW w:w="864" w:type="dxa"/>
            <w:tcBorders>
              <w:top w:val="nil"/>
              <w:left w:val="nil"/>
              <w:bottom w:val="single" w:sz="4" w:space="0" w:color="auto"/>
              <w:right w:val="nil"/>
            </w:tcBorders>
            <w:shd w:val="clear" w:color="auto" w:fill="auto"/>
            <w:noWrap/>
            <w:vAlign w:val="bottom"/>
            <w:hideMark/>
          </w:tcPr>
          <w:p w14:paraId="5D5DB28B"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6E975CAE" w14:textId="77777777" w:rsidR="00B81CB5" w:rsidRDefault="00B81CB5" w:rsidP="005A3B4D">
            <w:pPr>
              <w:jc w:val="right"/>
              <w:rPr>
                <w:color w:val="000000"/>
                <w:sz w:val="20"/>
                <w:szCs w:val="20"/>
              </w:rPr>
            </w:pPr>
            <w:r>
              <w:rPr>
                <w:color w:val="000000"/>
                <w:sz w:val="20"/>
                <w:szCs w:val="20"/>
              </w:rPr>
              <w:t>0.040</w:t>
            </w:r>
          </w:p>
        </w:tc>
        <w:tc>
          <w:tcPr>
            <w:tcW w:w="864" w:type="dxa"/>
            <w:tcBorders>
              <w:top w:val="nil"/>
              <w:left w:val="nil"/>
              <w:bottom w:val="single" w:sz="4" w:space="0" w:color="auto"/>
              <w:right w:val="nil"/>
            </w:tcBorders>
            <w:shd w:val="clear" w:color="auto" w:fill="auto"/>
            <w:noWrap/>
            <w:vAlign w:val="bottom"/>
            <w:hideMark/>
          </w:tcPr>
          <w:p w14:paraId="3FCB656A" w14:textId="77777777" w:rsidR="00B81CB5" w:rsidRDefault="00B81CB5" w:rsidP="005A3B4D">
            <w:pPr>
              <w:jc w:val="right"/>
              <w:rPr>
                <w:color w:val="000000"/>
                <w:sz w:val="20"/>
                <w:szCs w:val="20"/>
              </w:rPr>
            </w:pPr>
            <w:r>
              <w:rPr>
                <w:color w:val="000000"/>
                <w:sz w:val="20"/>
                <w:szCs w:val="20"/>
              </w:rPr>
              <w:t>0.765</w:t>
            </w:r>
          </w:p>
        </w:tc>
        <w:tc>
          <w:tcPr>
            <w:tcW w:w="864" w:type="dxa"/>
            <w:tcBorders>
              <w:top w:val="nil"/>
              <w:left w:val="nil"/>
              <w:bottom w:val="single" w:sz="4" w:space="0" w:color="auto"/>
              <w:right w:val="nil"/>
            </w:tcBorders>
            <w:shd w:val="clear" w:color="auto" w:fill="auto"/>
            <w:noWrap/>
            <w:vAlign w:val="bottom"/>
            <w:hideMark/>
          </w:tcPr>
          <w:p w14:paraId="78FE640D" w14:textId="77777777" w:rsidR="00B81CB5" w:rsidRDefault="00B81CB5" w:rsidP="005A3B4D">
            <w:pPr>
              <w:jc w:val="right"/>
              <w:rPr>
                <w:color w:val="000000"/>
                <w:sz w:val="20"/>
                <w:szCs w:val="20"/>
              </w:rPr>
            </w:pPr>
            <w:r>
              <w:rPr>
                <w:color w:val="000000"/>
                <w:sz w:val="20"/>
                <w:szCs w:val="20"/>
              </w:rPr>
              <w:t>0.002</w:t>
            </w:r>
          </w:p>
        </w:tc>
      </w:tr>
      <w:tr w:rsidR="00B81CB5" w14:paraId="3E7F2E0C" w14:textId="77777777" w:rsidTr="005A3B4D">
        <w:trPr>
          <w:trHeight w:val="320"/>
        </w:trPr>
        <w:tc>
          <w:tcPr>
            <w:tcW w:w="1152" w:type="dxa"/>
            <w:tcBorders>
              <w:top w:val="nil"/>
              <w:left w:val="nil"/>
              <w:bottom w:val="nil"/>
              <w:right w:val="nil"/>
            </w:tcBorders>
            <w:shd w:val="clear" w:color="auto" w:fill="auto"/>
            <w:noWrap/>
            <w:vAlign w:val="bottom"/>
            <w:hideMark/>
          </w:tcPr>
          <w:p w14:paraId="149ED277" w14:textId="77777777" w:rsidR="00B81CB5" w:rsidRDefault="00B81CB5" w:rsidP="005A3B4D">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2BFCCCF0" w14:textId="77777777" w:rsidR="00B81CB5" w:rsidRDefault="00B81CB5"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C4EE563" w14:textId="77777777" w:rsidR="00B81CB5" w:rsidRDefault="00B81CB5" w:rsidP="005A3B4D">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19C2C469" w14:textId="77777777" w:rsidR="00B81CB5" w:rsidRDefault="00B81CB5" w:rsidP="005A3B4D">
            <w:pPr>
              <w:jc w:val="right"/>
              <w:rPr>
                <w:color w:val="000000"/>
                <w:sz w:val="20"/>
                <w:szCs w:val="20"/>
              </w:rPr>
            </w:pPr>
            <w:r>
              <w:rPr>
                <w:color w:val="000000"/>
                <w:sz w:val="20"/>
                <w:szCs w:val="20"/>
              </w:rPr>
              <w:t>0.397</w:t>
            </w:r>
          </w:p>
        </w:tc>
        <w:tc>
          <w:tcPr>
            <w:tcW w:w="864" w:type="dxa"/>
            <w:tcBorders>
              <w:top w:val="nil"/>
              <w:left w:val="nil"/>
              <w:bottom w:val="nil"/>
              <w:right w:val="nil"/>
            </w:tcBorders>
            <w:shd w:val="clear" w:color="auto" w:fill="auto"/>
            <w:noWrap/>
            <w:vAlign w:val="bottom"/>
            <w:hideMark/>
          </w:tcPr>
          <w:p w14:paraId="5FF5A185"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D42600D" w14:textId="77777777" w:rsidR="00B81CB5" w:rsidRDefault="00B81CB5" w:rsidP="005A3B4D">
            <w:pPr>
              <w:jc w:val="right"/>
              <w:rPr>
                <w:color w:val="000000"/>
                <w:sz w:val="20"/>
                <w:szCs w:val="20"/>
              </w:rPr>
            </w:pPr>
            <w:r>
              <w:rPr>
                <w:color w:val="000000"/>
                <w:sz w:val="20"/>
                <w:szCs w:val="20"/>
              </w:rPr>
              <w:t>-0.050</w:t>
            </w:r>
          </w:p>
        </w:tc>
        <w:tc>
          <w:tcPr>
            <w:tcW w:w="864" w:type="dxa"/>
            <w:tcBorders>
              <w:top w:val="nil"/>
              <w:left w:val="nil"/>
              <w:bottom w:val="nil"/>
              <w:right w:val="nil"/>
            </w:tcBorders>
            <w:shd w:val="clear" w:color="auto" w:fill="auto"/>
            <w:noWrap/>
            <w:vAlign w:val="bottom"/>
            <w:hideMark/>
          </w:tcPr>
          <w:p w14:paraId="266BD2C7" w14:textId="77777777" w:rsidR="00B81CB5" w:rsidRDefault="00B81CB5" w:rsidP="005A3B4D">
            <w:pPr>
              <w:jc w:val="right"/>
              <w:rPr>
                <w:color w:val="000000"/>
                <w:sz w:val="20"/>
                <w:szCs w:val="20"/>
              </w:rPr>
            </w:pPr>
            <w:r>
              <w:rPr>
                <w:color w:val="000000"/>
                <w:sz w:val="20"/>
                <w:szCs w:val="20"/>
              </w:rPr>
              <w:t>0.222</w:t>
            </w:r>
          </w:p>
        </w:tc>
        <w:tc>
          <w:tcPr>
            <w:tcW w:w="864" w:type="dxa"/>
            <w:tcBorders>
              <w:top w:val="nil"/>
              <w:left w:val="nil"/>
              <w:bottom w:val="nil"/>
              <w:right w:val="nil"/>
            </w:tcBorders>
            <w:shd w:val="clear" w:color="auto" w:fill="auto"/>
            <w:noWrap/>
            <w:vAlign w:val="bottom"/>
            <w:hideMark/>
          </w:tcPr>
          <w:p w14:paraId="1181E01B" w14:textId="77777777" w:rsidR="00B81CB5" w:rsidRDefault="00B81CB5" w:rsidP="005A3B4D">
            <w:pPr>
              <w:jc w:val="right"/>
              <w:rPr>
                <w:color w:val="000000"/>
                <w:sz w:val="20"/>
                <w:szCs w:val="20"/>
              </w:rPr>
            </w:pPr>
            <w:r>
              <w:rPr>
                <w:color w:val="000000"/>
                <w:sz w:val="20"/>
                <w:szCs w:val="20"/>
              </w:rPr>
              <w:t>0.003</w:t>
            </w:r>
          </w:p>
        </w:tc>
      </w:tr>
      <w:tr w:rsidR="00B81CB5" w14:paraId="54CB4CFA" w14:textId="77777777" w:rsidTr="005A3B4D">
        <w:trPr>
          <w:trHeight w:val="320"/>
        </w:trPr>
        <w:tc>
          <w:tcPr>
            <w:tcW w:w="1152" w:type="dxa"/>
            <w:tcBorders>
              <w:top w:val="nil"/>
              <w:left w:val="nil"/>
              <w:bottom w:val="nil"/>
              <w:right w:val="nil"/>
            </w:tcBorders>
            <w:shd w:val="clear" w:color="auto" w:fill="auto"/>
            <w:noWrap/>
            <w:vAlign w:val="bottom"/>
            <w:hideMark/>
          </w:tcPr>
          <w:p w14:paraId="30164BB7"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2637EA6"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DFE97F9" w14:textId="77777777" w:rsidR="00B81CB5" w:rsidRDefault="00B81CB5" w:rsidP="005A3B4D">
            <w:pPr>
              <w:jc w:val="right"/>
              <w:rPr>
                <w:color w:val="000000"/>
                <w:sz w:val="20"/>
                <w:szCs w:val="20"/>
              </w:rPr>
            </w:pPr>
            <w:r>
              <w:rPr>
                <w:color w:val="000000"/>
                <w:sz w:val="20"/>
                <w:szCs w:val="20"/>
              </w:rPr>
              <w:t>-0.059</w:t>
            </w:r>
          </w:p>
        </w:tc>
        <w:tc>
          <w:tcPr>
            <w:tcW w:w="864" w:type="dxa"/>
            <w:tcBorders>
              <w:top w:val="nil"/>
              <w:left w:val="nil"/>
              <w:bottom w:val="nil"/>
              <w:right w:val="nil"/>
            </w:tcBorders>
            <w:shd w:val="clear" w:color="auto" w:fill="auto"/>
            <w:noWrap/>
            <w:vAlign w:val="bottom"/>
            <w:hideMark/>
          </w:tcPr>
          <w:p w14:paraId="4B18F3FD" w14:textId="77777777" w:rsidR="00B81CB5" w:rsidRDefault="00B81CB5" w:rsidP="005A3B4D">
            <w:pPr>
              <w:jc w:val="right"/>
              <w:rPr>
                <w:color w:val="000000"/>
                <w:sz w:val="20"/>
                <w:szCs w:val="20"/>
              </w:rPr>
            </w:pPr>
            <w:r>
              <w:rPr>
                <w:color w:val="000000"/>
                <w:sz w:val="20"/>
                <w:szCs w:val="20"/>
              </w:rPr>
              <w:t>0.267</w:t>
            </w:r>
          </w:p>
        </w:tc>
        <w:tc>
          <w:tcPr>
            <w:tcW w:w="864" w:type="dxa"/>
            <w:tcBorders>
              <w:top w:val="nil"/>
              <w:left w:val="nil"/>
              <w:bottom w:val="nil"/>
              <w:right w:val="nil"/>
            </w:tcBorders>
            <w:shd w:val="clear" w:color="auto" w:fill="auto"/>
            <w:noWrap/>
            <w:vAlign w:val="bottom"/>
            <w:hideMark/>
          </w:tcPr>
          <w:p w14:paraId="17550429"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338D44CE" w14:textId="77777777" w:rsidR="00B81CB5" w:rsidRDefault="00B81CB5" w:rsidP="005A3B4D">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4D95573F" w14:textId="77777777" w:rsidR="00B81CB5" w:rsidRDefault="00B81CB5" w:rsidP="005A3B4D">
            <w:pPr>
              <w:jc w:val="right"/>
              <w:rPr>
                <w:color w:val="000000"/>
                <w:sz w:val="20"/>
                <w:szCs w:val="20"/>
              </w:rPr>
            </w:pPr>
            <w:r>
              <w:rPr>
                <w:color w:val="000000"/>
                <w:sz w:val="20"/>
                <w:szCs w:val="20"/>
              </w:rPr>
              <w:t>0.222</w:t>
            </w:r>
          </w:p>
        </w:tc>
        <w:tc>
          <w:tcPr>
            <w:tcW w:w="864" w:type="dxa"/>
            <w:tcBorders>
              <w:top w:val="nil"/>
              <w:left w:val="nil"/>
              <w:bottom w:val="nil"/>
              <w:right w:val="nil"/>
            </w:tcBorders>
            <w:shd w:val="clear" w:color="auto" w:fill="auto"/>
            <w:noWrap/>
            <w:vAlign w:val="bottom"/>
            <w:hideMark/>
          </w:tcPr>
          <w:p w14:paraId="7540DF81" w14:textId="77777777" w:rsidR="00B81CB5" w:rsidRDefault="00B81CB5" w:rsidP="005A3B4D">
            <w:pPr>
              <w:jc w:val="right"/>
              <w:rPr>
                <w:color w:val="000000"/>
                <w:sz w:val="20"/>
                <w:szCs w:val="20"/>
              </w:rPr>
            </w:pPr>
            <w:r>
              <w:rPr>
                <w:color w:val="000000"/>
                <w:sz w:val="20"/>
                <w:szCs w:val="20"/>
              </w:rPr>
              <w:t>0.002</w:t>
            </w:r>
          </w:p>
        </w:tc>
      </w:tr>
      <w:tr w:rsidR="00B81CB5" w14:paraId="50C46C9E" w14:textId="77777777" w:rsidTr="005A3B4D">
        <w:trPr>
          <w:trHeight w:val="320"/>
        </w:trPr>
        <w:tc>
          <w:tcPr>
            <w:tcW w:w="1152" w:type="dxa"/>
            <w:tcBorders>
              <w:top w:val="nil"/>
              <w:left w:val="nil"/>
              <w:bottom w:val="nil"/>
              <w:right w:val="nil"/>
            </w:tcBorders>
            <w:shd w:val="clear" w:color="auto" w:fill="auto"/>
            <w:noWrap/>
            <w:vAlign w:val="bottom"/>
            <w:hideMark/>
          </w:tcPr>
          <w:p w14:paraId="1654E911"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7DE746"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31E47D0" w14:textId="77777777" w:rsidR="00B81CB5" w:rsidRDefault="00B81CB5" w:rsidP="005A3B4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7BB5D92A" w14:textId="77777777" w:rsidR="00B81CB5" w:rsidRDefault="00B81CB5" w:rsidP="005A3B4D">
            <w:pPr>
              <w:jc w:val="right"/>
              <w:rPr>
                <w:color w:val="000000"/>
                <w:sz w:val="20"/>
                <w:szCs w:val="20"/>
              </w:rPr>
            </w:pPr>
            <w:r>
              <w:rPr>
                <w:color w:val="000000"/>
                <w:sz w:val="20"/>
                <w:szCs w:val="20"/>
              </w:rPr>
              <w:t>0.267</w:t>
            </w:r>
          </w:p>
        </w:tc>
        <w:tc>
          <w:tcPr>
            <w:tcW w:w="864" w:type="dxa"/>
            <w:tcBorders>
              <w:top w:val="nil"/>
              <w:left w:val="nil"/>
              <w:bottom w:val="nil"/>
              <w:right w:val="nil"/>
            </w:tcBorders>
            <w:shd w:val="clear" w:color="auto" w:fill="auto"/>
            <w:noWrap/>
            <w:vAlign w:val="bottom"/>
            <w:hideMark/>
          </w:tcPr>
          <w:p w14:paraId="0A5921F6"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8789E08" w14:textId="77777777" w:rsidR="00B81CB5" w:rsidRDefault="00B81CB5" w:rsidP="005A3B4D">
            <w:pPr>
              <w:jc w:val="right"/>
              <w:rPr>
                <w:color w:val="000000"/>
                <w:sz w:val="20"/>
                <w:szCs w:val="20"/>
              </w:rPr>
            </w:pPr>
            <w:r>
              <w:rPr>
                <w:color w:val="000000"/>
                <w:sz w:val="20"/>
                <w:szCs w:val="20"/>
              </w:rPr>
              <w:t>0.055</w:t>
            </w:r>
          </w:p>
        </w:tc>
        <w:tc>
          <w:tcPr>
            <w:tcW w:w="864" w:type="dxa"/>
            <w:tcBorders>
              <w:top w:val="nil"/>
              <w:left w:val="nil"/>
              <w:bottom w:val="nil"/>
              <w:right w:val="nil"/>
            </w:tcBorders>
            <w:shd w:val="clear" w:color="auto" w:fill="auto"/>
            <w:noWrap/>
            <w:vAlign w:val="bottom"/>
            <w:hideMark/>
          </w:tcPr>
          <w:p w14:paraId="66534D34" w14:textId="77777777" w:rsidR="00B81CB5" w:rsidRDefault="00B81CB5" w:rsidP="005A3B4D">
            <w:pPr>
              <w:jc w:val="right"/>
              <w:rPr>
                <w:color w:val="000000"/>
                <w:sz w:val="20"/>
                <w:szCs w:val="20"/>
              </w:rPr>
            </w:pPr>
            <w:r>
              <w:rPr>
                <w:color w:val="000000"/>
                <w:sz w:val="20"/>
                <w:szCs w:val="20"/>
              </w:rPr>
              <w:t>0.222</w:t>
            </w:r>
          </w:p>
        </w:tc>
        <w:tc>
          <w:tcPr>
            <w:tcW w:w="864" w:type="dxa"/>
            <w:tcBorders>
              <w:top w:val="nil"/>
              <w:left w:val="nil"/>
              <w:bottom w:val="nil"/>
              <w:right w:val="nil"/>
            </w:tcBorders>
            <w:shd w:val="clear" w:color="auto" w:fill="auto"/>
            <w:noWrap/>
            <w:vAlign w:val="bottom"/>
            <w:hideMark/>
          </w:tcPr>
          <w:p w14:paraId="24C5BBDA" w14:textId="77777777" w:rsidR="00B81CB5" w:rsidRDefault="00B81CB5" w:rsidP="005A3B4D">
            <w:pPr>
              <w:jc w:val="right"/>
              <w:rPr>
                <w:color w:val="000000"/>
                <w:sz w:val="20"/>
                <w:szCs w:val="20"/>
              </w:rPr>
            </w:pPr>
            <w:r>
              <w:rPr>
                <w:color w:val="000000"/>
                <w:sz w:val="20"/>
                <w:szCs w:val="20"/>
              </w:rPr>
              <w:t>0.003</w:t>
            </w:r>
          </w:p>
        </w:tc>
      </w:tr>
      <w:tr w:rsidR="00B81CB5" w14:paraId="69134201" w14:textId="77777777" w:rsidTr="005A3B4D">
        <w:trPr>
          <w:trHeight w:val="320"/>
        </w:trPr>
        <w:tc>
          <w:tcPr>
            <w:tcW w:w="1152" w:type="dxa"/>
            <w:tcBorders>
              <w:top w:val="nil"/>
              <w:left w:val="nil"/>
              <w:bottom w:val="nil"/>
              <w:right w:val="nil"/>
            </w:tcBorders>
            <w:shd w:val="clear" w:color="auto" w:fill="auto"/>
            <w:noWrap/>
            <w:vAlign w:val="bottom"/>
            <w:hideMark/>
          </w:tcPr>
          <w:p w14:paraId="1A87BBBF"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43A59C3"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D9283B4" w14:textId="77777777" w:rsidR="00B81CB5" w:rsidRDefault="00B81CB5" w:rsidP="005A3B4D">
            <w:pPr>
              <w:jc w:val="right"/>
              <w:rPr>
                <w:b/>
                <w:bCs/>
                <w:color w:val="000000"/>
                <w:sz w:val="20"/>
                <w:szCs w:val="20"/>
              </w:rPr>
            </w:pPr>
            <w:r>
              <w:rPr>
                <w:b/>
                <w:bCs/>
                <w:color w:val="000000"/>
                <w:sz w:val="20"/>
                <w:szCs w:val="20"/>
              </w:rPr>
              <w:t>0.124</w:t>
            </w:r>
          </w:p>
        </w:tc>
        <w:tc>
          <w:tcPr>
            <w:tcW w:w="864" w:type="dxa"/>
            <w:tcBorders>
              <w:top w:val="nil"/>
              <w:left w:val="nil"/>
              <w:bottom w:val="nil"/>
              <w:right w:val="nil"/>
            </w:tcBorders>
            <w:shd w:val="clear" w:color="auto" w:fill="auto"/>
            <w:noWrap/>
            <w:vAlign w:val="bottom"/>
            <w:hideMark/>
          </w:tcPr>
          <w:p w14:paraId="68D35F83" w14:textId="77777777" w:rsidR="00B81CB5" w:rsidRDefault="00B81CB5" w:rsidP="005A3B4D">
            <w:pPr>
              <w:jc w:val="right"/>
              <w:rPr>
                <w:b/>
                <w:bCs/>
                <w:color w:val="000000"/>
                <w:sz w:val="20"/>
                <w:szCs w:val="20"/>
              </w:rPr>
            </w:pPr>
            <w:r>
              <w:rPr>
                <w:b/>
                <w:bCs/>
                <w:color w:val="000000"/>
                <w:sz w:val="20"/>
                <w:szCs w:val="20"/>
              </w:rPr>
              <w:t>0.000</w:t>
            </w:r>
          </w:p>
        </w:tc>
        <w:tc>
          <w:tcPr>
            <w:tcW w:w="864" w:type="dxa"/>
            <w:tcBorders>
              <w:top w:val="nil"/>
              <w:left w:val="nil"/>
              <w:bottom w:val="nil"/>
              <w:right w:val="nil"/>
            </w:tcBorders>
            <w:shd w:val="clear" w:color="auto" w:fill="auto"/>
            <w:noWrap/>
            <w:vAlign w:val="bottom"/>
            <w:hideMark/>
          </w:tcPr>
          <w:p w14:paraId="10041D9A" w14:textId="77777777" w:rsidR="00B81CB5" w:rsidRDefault="00B81CB5" w:rsidP="005A3B4D">
            <w:pPr>
              <w:jc w:val="right"/>
              <w:rPr>
                <w:b/>
                <w:bCs/>
                <w:color w:val="000000"/>
                <w:sz w:val="20"/>
                <w:szCs w:val="20"/>
              </w:rPr>
            </w:pPr>
            <w:r>
              <w:rPr>
                <w:b/>
                <w:bCs/>
                <w:color w:val="000000"/>
                <w:sz w:val="20"/>
                <w:szCs w:val="20"/>
              </w:rPr>
              <w:t>0.015</w:t>
            </w:r>
          </w:p>
        </w:tc>
        <w:tc>
          <w:tcPr>
            <w:tcW w:w="864" w:type="dxa"/>
            <w:tcBorders>
              <w:top w:val="nil"/>
              <w:left w:val="nil"/>
              <w:bottom w:val="nil"/>
              <w:right w:val="nil"/>
            </w:tcBorders>
            <w:shd w:val="clear" w:color="auto" w:fill="auto"/>
            <w:noWrap/>
            <w:vAlign w:val="bottom"/>
            <w:hideMark/>
          </w:tcPr>
          <w:p w14:paraId="08F05DD6" w14:textId="77777777" w:rsidR="00B81CB5" w:rsidRDefault="00B81CB5" w:rsidP="005A3B4D">
            <w:pPr>
              <w:jc w:val="right"/>
              <w:rPr>
                <w:b/>
                <w:bCs/>
                <w:color w:val="000000"/>
                <w:sz w:val="20"/>
                <w:szCs w:val="20"/>
              </w:rPr>
            </w:pPr>
            <w:r>
              <w:rPr>
                <w:b/>
                <w:bCs/>
                <w:color w:val="000000"/>
                <w:sz w:val="20"/>
                <w:szCs w:val="20"/>
              </w:rPr>
              <w:t>0.093</w:t>
            </w:r>
          </w:p>
        </w:tc>
        <w:tc>
          <w:tcPr>
            <w:tcW w:w="864" w:type="dxa"/>
            <w:tcBorders>
              <w:top w:val="nil"/>
              <w:left w:val="nil"/>
              <w:bottom w:val="nil"/>
              <w:right w:val="nil"/>
            </w:tcBorders>
            <w:shd w:val="clear" w:color="auto" w:fill="auto"/>
            <w:noWrap/>
            <w:vAlign w:val="bottom"/>
            <w:hideMark/>
          </w:tcPr>
          <w:p w14:paraId="084C99C3" w14:textId="77777777" w:rsidR="00B81CB5" w:rsidRDefault="00B81CB5" w:rsidP="005A3B4D">
            <w:pPr>
              <w:jc w:val="right"/>
              <w:rPr>
                <w:b/>
                <w:bCs/>
                <w:color w:val="000000"/>
                <w:sz w:val="20"/>
                <w:szCs w:val="20"/>
              </w:rPr>
            </w:pPr>
            <w:r>
              <w:rPr>
                <w:b/>
                <w:bCs/>
                <w:color w:val="000000"/>
                <w:sz w:val="20"/>
                <w:szCs w:val="20"/>
              </w:rPr>
              <w:t>0.016</w:t>
            </w:r>
          </w:p>
        </w:tc>
        <w:tc>
          <w:tcPr>
            <w:tcW w:w="864" w:type="dxa"/>
            <w:tcBorders>
              <w:top w:val="nil"/>
              <w:left w:val="nil"/>
              <w:bottom w:val="nil"/>
              <w:right w:val="nil"/>
            </w:tcBorders>
            <w:shd w:val="clear" w:color="auto" w:fill="auto"/>
            <w:noWrap/>
            <w:vAlign w:val="bottom"/>
            <w:hideMark/>
          </w:tcPr>
          <w:p w14:paraId="7DB37819" w14:textId="77777777" w:rsidR="00B81CB5" w:rsidRDefault="00B81CB5" w:rsidP="005A3B4D">
            <w:pPr>
              <w:jc w:val="right"/>
              <w:rPr>
                <w:b/>
                <w:bCs/>
                <w:color w:val="000000"/>
                <w:sz w:val="20"/>
                <w:szCs w:val="20"/>
              </w:rPr>
            </w:pPr>
            <w:r>
              <w:rPr>
                <w:b/>
                <w:bCs/>
                <w:color w:val="000000"/>
                <w:sz w:val="20"/>
                <w:szCs w:val="20"/>
              </w:rPr>
              <w:t>0.009</w:t>
            </w:r>
          </w:p>
        </w:tc>
      </w:tr>
      <w:tr w:rsidR="00B81CB5" w14:paraId="40CC5A1A" w14:textId="77777777" w:rsidTr="005A3B4D">
        <w:trPr>
          <w:trHeight w:val="320"/>
        </w:trPr>
        <w:tc>
          <w:tcPr>
            <w:tcW w:w="1152" w:type="dxa"/>
            <w:tcBorders>
              <w:top w:val="nil"/>
              <w:left w:val="nil"/>
              <w:bottom w:val="nil"/>
              <w:right w:val="nil"/>
            </w:tcBorders>
            <w:shd w:val="clear" w:color="auto" w:fill="auto"/>
            <w:noWrap/>
            <w:vAlign w:val="bottom"/>
            <w:hideMark/>
          </w:tcPr>
          <w:p w14:paraId="22D801FF" w14:textId="77777777" w:rsidR="00B81CB5" w:rsidRDefault="00B81CB5" w:rsidP="005A3B4D">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53D1611D"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2876855"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3FBA53B4" w14:textId="77777777" w:rsidR="00B81CB5" w:rsidRDefault="00B81CB5" w:rsidP="005A3B4D">
            <w:pPr>
              <w:jc w:val="right"/>
              <w:rPr>
                <w:color w:val="000000"/>
                <w:sz w:val="20"/>
                <w:szCs w:val="20"/>
              </w:rPr>
            </w:pPr>
            <w:r>
              <w:rPr>
                <w:color w:val="000000"/>
                <w:sz w:val="20"/>
                <w:szCs w:val="20"/>
              </w:rPr>
              <w:t>0.991</w:t>
            </w:r>
          </w:p>
        </w:tc>
        <w:tc>
          <w:tcPr>
            <w:tcW w:w="864" w:type="dxa"/>
            <w:tcBorders>
              <w:top w:val="nil"/>
              <w:left w:val="nil"/>
              <w:bottom w:val="nil"/>
              <w:right w:val="nil"/>
            </w:tcBorders>
            <w:shd w:val="clear" w:color="auto" w:fill="auto"/>
            <w:noWrap/>
            <w:vAlign w:val="bottom"/>
            <w:hideMark/>
          </w:tcPr>
          <w:p w14:paraId="6A29FD86"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7EFF56A" w14:textId="77777777" w:rsidR="00B81CB5" w:rsidRDefault="00B81CB5"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7BA6C762" w14:textId="77777777" w:rsidR="00B81CB5" w:rsidRDefault="00B81CB5" w:rsidP="005A3B4D">
            <w:pPr>
              <w:jc w:val="right"/>
              <w:rPr>
                <w:color w:val="000000"/>
                <w:sz w:val="20"/>
                <w:szCs w:val="20"/>
              </w:rPr>
            </w:pPr>
            <w:r>
              <w:rPr>
                <w:color w:val="000000"/>
                <w:sz w:val="20"/>
                <w:szCs w:val="20"/>
              </w:rPr>
              <w:t>0.624</w:t>
            </w:r>
          </w:p>
        </w:tc>
        <w:tc>
          <w:tcPr>
            <w:tcW w:w="864" w:type="dxa"/>
            <w:tcBorders>
              <w:top w:val="nil"/>
              <w:left w:val="nil"/>
              <w:bottom w:val="nil"/>
              <w:right w:val="nil"/>
            </w:tcBorders>
            <w:shd w:val="clear" w:color="auto" w:fill="auto"/>
            <w:noWrap/>
            <w:vAlign w:val="bottom"/>
            <w:hideMark/>
          </w:tcPr>
          <w:p w14:paraId="483BFFAD" w14:textId="77777777" w:rsidR="00B81CB5" w:rsidRDefault="00B81CB5" w:rsidP="005A3B4D">
            <w:pPr>
              <w:jc w:val="right"/>
              <w:rPr>
                <w:color w:val="000000"/>
                <w:sz w:val="20"/>
                <w:szCs w:val="20"/>
              </w:rPr>
            </w:pPr>
            <w:r>
              <w:rPr>
                <w:color w:val="000000"/>
                <w:sz w:val="20"/>
                <w:szCs w:val="20"/>
              </w:rPr>
              <w:t>0.000</w:t>
            </w:r>
          </w:p>
        </w:tc>
      </w:tr>
      <w:tr w:rsidR="00B81CB5" w14:paraId="0B095D17" w14:textId="77777777" w:rsidTr="005A3B4D">
        <w:trPr>
          <w:trHeight w:val="320"/>
        </w:trPr>
        <w:tc>
          <w:tcPr>
            <w:tcW w:w="1152" w:type="dxa"/>
            <w:tcBorders>
              <w:top w:val="nil"/>
              <w:left w:val="nil"/>
              <w:bottom w:val="nil"/>
              <w:right w:val="nil"/>
            </w:tcBorders>
            <w:shd w:val="clear" w:color="auto" w:fill="auto"/>
            <w:noWrap/>
            <w:vAlign w:val="bottom"/>
            <w:hideMark/>
          </w:tcPr>
          <w:p w14:paraId="7AA97182"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1746ECD"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ACBA1EF" w14:textId="77777777" w:rsidR="00B81CB5" w:rsidRDefault="00B81CB5" w:rsidP="005A3B4D">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1104A81" w14:textId="77777777" w:rsidR="00B81CB5" w:rsidRDefault="00B81CB5" w:rsidP="005A3B4D">
            <w:pPr>
              <w:jc w:val="right"/>
              <w:rPr>
                <w:color w:val="000000"/>
                <w:sz w:val="20"/>
                <w:szCs w:val="20"/>
              </w:rPr>
            </w:pPr>
            <w:r>
              <w:rPr>
                <w:color w:val="000000"/>
                <w:sz w:val="20"/>
                <w:szCs w:val="20"/>
              </w:rPr>
              <w:t>0.931</w:t>
            </w:r>
          </w:p>
        </w:tc>
        <w:tc>
          <w:tcPr>
            <w:tcW w:w="864" w:type="dxa"/>
            <w:tcBorders>
              <w:top w:val="nil"/>
              <w:left w:val="nil"/>
              <w:bottom w:val="nil"/>
              <w:right w:val="nil"/>
            </w:tcBorders>
            <w:shd w:val="clear" w:color="auto" w:fill="auto"/>
            <w:noWrap/>
            <w:vAlign w:val="bottom"/>
            <w:hideMark/>
          </w:tcPr>
          <w:p w14:paraId="19071A4C"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0888A95"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51396014" w14:textId="77777777" w:rsidR="00B81CB5" w:rsidRDefault="00B81CB5" w:rsidP="005A3B4D">
            <w:pPr>
              <w:jc w:val="right"/>
              <w:rPr>
                <w:color w:val="000000"/>
                <w:sz w:val="20"/>
                <w:szCs w:val="20"/>
              </w:rPr>
            </w:pPr>
            <w:r>
              <w:rPr>
                <w:color w:val="000000"/>
                <w:sz w:val="20"/>
                <w:szCs w:val="20"/>
              </w:rPr>
              <w:t>0.887</w:t>
            </w:r>
          </w:p>
        </w:tc>
        <w:tc>
          <w:tcPr>
            <w:tcW w:w="864" w:type="dxa"/>
            <w:tcBorders>
              <w:top w:val="nil"/>
              <w:left w:val="nil"/>
              <w:bottom w:val="nil"/>
              <w:right w:val="nil"/>
            </w:tcBorders>
            <w:shd w:val="clear" w:color="auto" w:fill="auto"/>
            <w:noWrap/>
            <w:vAlign w:val="bottom"/>
            <w:hideMark/>
          </w:tcPr>
          <w:p w14:paraId="2127B2F6" w14:textId="77777777" w:rsidR="00B81CB5" w:rsidRDefault="00B81CB5" w:rsidP="005A3B4D">
            <w:pPr>
              <w:jc w:val="right"/>
              <w:rPr>
                <w:color w:val="000000"/>
                <w:sz w:val="20"/>
                <w:szCs w:val="20"/>
              </w:rPr>
            </w:pPr>
            <w:r>
              <w:rPr>
                <w:color w:val="000000"/>
                <w:sz w:val="20"/>
                <w:szCs w:val="20"/>
              </w:rPr>
              <w:t>0.000</w:t>
            </w:r>
          </w:p>
        </w:tc>
      </w:tr>
      <w:tr w:rsidR="00B81CB5" w14:paraId="049CBBFD" w14:textId="77777777" w:rsidTr="005A3B4D">
        <w:trPr>
          <w:trHeight w:val="320"/>
        </w:trPr>
        <w:tc>
          <w:tcPr>
            <w:tcW w:w="1152" w:type="dxa"/>
            <w:tcBorders>
              <w:top w:val="nil"/>
              <w:left w:val="nil"/>
              <w:bottom w:val="nil"/>
              <w:right w:val="nil"/>
            </w:tcBorders>
            <w:shd w:val="clear" w:color="auto" w:fill="auto"/>
            <w:noWrap/>
            <w:vAlign w:val="bottom"/>
            <w:hideMark/>
          </w:tcPr>
          <w:p w14:paraId="0144E70B"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B604080"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6974E7C" w14:textId="77777777" w:rsidR="00B81CB5" w:rsidRDefault="00B81CB5"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35AAC423" w14:textId="77777777" w:rsidR="00B81CB5" w:rsidRDefault="00B81CB5" w:rsidP="005A3B4D">
            <w:pPr>
              <w:jc w:val="right"/>
              <w:rPr>
                <w:color w:val="000000"/>
                <w:sz w:val="20"/>
                <w:szCs w:val="20"/>
              </w:rPr>
            </w:pPr>
            <w:r>
              <w:rPr>
                <w:color w:val="000000"/>
                <w:sz w:val="20"/>
                <w:szCs w:val="20"/>
              </w:rPr>
              <w:t>0.795</w:t>
            </w:r>
          </w:p>
        </w:tc>
        <w:tc>
          <w:tcPr>
            <w:tcW w:w="864" w:type="dxa"/>
            <w:tcBorders>
              <w:top w:val="nil"/>
              <w:left w:val="nil"/>
              <w:bottom w:val="nil"/>
              <w:right w:val="nil"/>
            </w:tcBorders>
            <w:shd w:val="clear" w:color="auto" w:fill="auto"/>
            <w:noWrap/>
            <w:vAlign w:val="bottom"/>
            <w:hideMark/>
          </w:tcPr>
          <w:p w14:paraId="73334B6D"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1E19733" w14:textId="77777777" w:rsidR="00B81CB5" w:rsidRDefault="00B81CB5" w:rsidP="005A3B4D">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16724A15" w14:textId="77777777" w:rsidR="00B81CB5" w:rsidRDefault="00B81CB5" w:rsidP="005A3B4D">
            <w:pPr>
              <w:jc w:val="right"/>
              <w:rPr>
                <w:color w:val="000000"/>
                <w:sz w:val="20"/>
                <w:szCs w:val="20"/>
              </w:rPr>
            </w:pPr>
            <w:r>
              <w:rPr>
                <w:color w:val="000000"/>
                <w:sz w:val="20"/>
                <w:szCs w:val="20"/>
              </w:rPr>
              <w:t>0.275</w:t>
            </w:r>
          </w:p>
        </w:tc>
        <w:tc>
          <w:tcPr>
            <w:tcW w:w="864" w:type="dxa"/>
            <w:tcBorders>
              <w:top w:val="nil"/>
              <w:left w:val="nil"/>
              <w:bottom w:val="nil"/>
              <w:right w:val="nil"/>
            </w:tcBorders>
            <w:shd w:val="clear" w:color="auto" w:fill="auto"/>
            <w:noWrap/>
            <w:vAlign w:val="bottom"/>
            <w:hideMark/>
          </w:tcPr>
          <w:p w14:paraId="3990D734" w14:textId="77777777" w:rsidR="00B81CB5" w:rsidRDefault="00B81CB5" w:rsidP="005A3B4D">
            <w:pPr>
              <w:jc w:val="right"/>
              <w:rPr>
                <w:color w:val="000000"/>
                <w:sz w:val="20"/>
                <w:szCs w:val="20"/>
              </w:rPr>
            </w:pPr>
            <w:r>
              <w:rPr>
                <w:color w:val="000000"/>
                <w:sz w:val="20"/>
                <w:szCs w:val="20"/>
              </w:rPr>
              <w:t>0.002</w:t>
            </w:r>
          </w:p>
        </w:tc>
      </w:tr>
      <w:tr w:rsidR="00B81CB5" w14:paraId="2BDA0B37"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0BE48113"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5838772A"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0940681E" w14:textId="77777777" w:rsidR="00B81CB5" w:rsidRDefault="00B81CB5" w:rsidP="005A3B4D">
            <w:pPr>
              <w:jc w:val="right"/>
              <w:rPr>
                <w:color w:val="000000"/>
                <w:sz w:val="20"/>
                <w:szCs w:val="20"/>
              </w:rPr>
            </w:pPr>
            <w:r>
              <w:rPr>
                <w:color w:val="000000"/>
                <w:sz w:val="20"/>
                <w:szCs w:val="20"/>
              </w:rPr>
              <w:t>0.043</w:t>
            </w:r>
          </w:p>
        </w:tc>
        <w:tc>
          <w:tcPr>
            <w:tcW w:w="864" w:type="dxa"/>
            <w:tcBorders>
              <w:top w:val="nil"/>
              <w:left w:val="nil"/>
              <w:bottom w:val="single" w:sz="12" w:space="0" w:color="auto"/>
              <w:right w:val="nil"/>
            </w:tcBorders>
            <w:shd w:val="clear" w:color="auto" w:fill="auto"/>
            <w:noWrap/>
            <w:vAlign w:val="bottom"/>
            <w:hideMark/>
          </w:tcPr>
          <w:p w14:paraId="06E702EB" w14:textId="77777777" w:rsidR="00B81CB5" w:rsidRDefault="00B81CB5" w:rsidP="005A3B4D">
            <w:pPr>
              <w:jc w:val="right"/>
              <w:rPr>
                <w:color w:val="000000"/>
                <w:sz w:val="20"/>
                <w:szCs w:val="20"/>
              </w:rPr>
            </w:pPr>
            <w:r>
              <w:rPr>
                <w:color w:val="000000"/>
                <w:sz w:val="20"/>
                <w:szCs w:val="20"/>
              </w:rPr>
              <w:t>0.397</w:t>
            </w:r>
          </w:p>
        </w:tc>
        <w:tc>
          <w:tcPr>
            <w:tcW w:w="864" w:type="dxa"/>
            <w:tcBorders>
              <w:top w:val="nil"/>
              <w:left w:val="nil"/>
              <w:bottom w:val="single" w:sz="12" w:space="0" w:color="auto"/>
              <w:right w:val="nil"/>
            </w:tcBorders>
            <w:shd w:val="clear" w:color="auto" w:fill="auto"/>
            <w:noWrap/>
            <w:vAlign w:val="bottom"/>
            <w:hideMark/>
          </w:tcPr>
          <w:p w14:paraId="6767B7CD"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single" w:sz="12" w:space="0" w:color="auto"/>
              <w:right w:val="nil"/>
            </w:tcBorders>
            <w:shd w:val="clear" w:color="auto" w:fill="auto"/>
            <w:noWrap/>
            <w:vAlign w:val="bottom"/>
            <w:hideMark/>
          </w:tcPr>
          <w:p w14:paraId="110329CA" w14:textId="77777777" w:rsidR="00B81CB5" w:rsidRDefault="00B81CB5" w:rsidP="005A3B4D">
            <w:pPr>
              <w:jc w:val="right"/>
              <w:rPr>
                <w:color w:val="000000"/>
                <w:sz w:val="20"/>
                <w:szCs w:val="20"/>
              </w:rPr>
            </w:pPr>
            <w:r>
              <w:rPr>
                <w:color w:val="000000"/>
                <w:sz w:val="20"/>
                <w:szCs w:val="20"/>
              </w:rPr>
              <w:t>0.033</w:t>
            </w:r>
          </w:p>
        </w:tc>
        <w:tc>
          <w:tcPr>
            <w:tcW w:w="864" w:type="dxa"/>
            <w:tcBorders>
              <w:top w:val="nil"/>
              <w:left w:val="nil"/>
              <w:bottom w:val="single" w:sz="12" w:space="0" w:color="auto"/>
              <w:right w:val="nil"/>
            </w:tcBorders>
            <w:shd w:val="clear" w:color="auto" w:fill="auto"/>
            <w:noWrap/>
            <w:vAlign w:val="bottom"/>
            <w:hideMark/>
          </w:tcPr>
          <w:p w14:paraId="4166D697" w14:textId="77777777" w:rsidR="00B81CB5" w:rsidRDefault="00B81CB5" w:rsidP="005A3B4D">
            <w:pPr>
              <w:jc w:val="right"/>
              <w:rPr>
                <w:color w:val="000000"/>
                <w:sz w:val="20"/>
                <w:szCs w:val="20"/>
              </w:rPr>
            </w:pPr>
            <w:r>
              <w:rPr>
                <w:color w:val="000000"/>
                <w:sz w:val="20"/>
                <w:szCs w:val="20"/>
              </w:rPr>
              <w:t>0.424</w:t>
            </w:r>
          </w:p>
        </w:tc>
        <w:tc>
          <w:tcPr>
            <w:tcW w:w="864" w:type="dxa"/>
            <w:tcBorders>
              <w:top w:val="nil"/>
              <w:left w:val="nil"/>
              <w:bottom w:val="single" w:sz="12" w:space="0" w:color="auto"/>
              <w:right w:val="nil"/>
            </w:tcBorders>
            <w:shd w:val="clear" w:color="auto" w:fill="auto"/>
            <w:noWrap/>
            <w:vAlign w:val="bottom"/>
            <w:hideMark/>
          </w:tcPr>
          <w:p w14:paraId="21433F24" w14:textId="77777777" w:rsidR="00B81CB5" w:rsidRDefault="00B81CB5" w:rsidP="005A3B4D">
            <w:pPr>
              <w:jc w:val="right"/>
              <w:rPr>
                <w:color w:val="000000"/>
                <w:sz w:val="20"/>
                <w:szCs w:val="20"/>
              </w:rPr>
            </w:pPr>
            <w:r>
              <w:rPr>
                <w:color w:val="000000"/>
                <w:sz w:val="20"/>
                <w:szCs w:val="20"/>
              </w:rPr>
              <w:t>0.001</w:t>
            </w:r>
          </w:p>
        </w:tc>
      </w:tr>
      <w:tr w:rsidR="00B81CB5" w14:paraId="62F6685F"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66ED0D3A" w14:textId="77777777" w:rsidR="00B81CB5" w:rsidRDefault="00B81CB5" w:rsidP="005A3B4D">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2F215884"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D4D8FC1"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390A3C0"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EE6BEEA"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536D964"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43ECEFD"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8976479" w14:textId="77777777" w:rsidR="00B81CB5" w:rsidRDefault="00B81CB5" w:rsidP="005A3B4D">
            <w:pPr>
              <w:rPr>
                <w:sz w:val="20"/>
                <w:szCs w:val="20"/>
              </w:rPr>
            </w:pPr>
          </w:p>
        </w:tc>
      </w:tr>
    </w:tbl>
    <w:p w14:paraId="220EEC70" w14:textId="77777777" w:rsidR="00B81CB5" w:rsidRDefault="00B81CB5" w:rsidP="00B81CB5">
      <w:pPr>
        <w:rPr>
          <w:rFonts w:ascii="Batang" w:eastAsia="Batang" w:hAnsi="Batang" w:cs="Batang"/>
          <w:color w:val="000000"/>
        </w:rPr>
      </w:pPr>
    </w:p>
    <w:p w14:paraId="31915C0E" w14:textId="77777777" w:rsidR="00B81CB5" w:rsidRDefault="00B81CB5" w:rsidP="00B81CB5">
      <w:pPr>
        <w:rPr>
          <w:rFonts w:ascii="Batang" w:eastAsia="Batang" w:hAnsi="Batang" w:cs="Batang"/>
          <w:color w:val="000000"/>
        </w:rPr>
      </w:pPr>
      <w:r>
        <w:rPr>
          <w:rFonts w:ascii="Batang" w:eastAsia="Batang" w:hAnsi="Batang" w:cs="Batang"/>
          <w:color w:val="000000"/>
        </w:rPr>
        <w:br w:type="page"/>
      </w:r>
    </w:p>
    <w:p w14:paraId="657B1B8C" w14:textId="4274E9E4" w:rsidR="00801ACA" w:rsidRDefault="00801ACA" w:rsidP="00801ACA">
      <w:pPr>
        <w:pStyle w:val="Heading1"/>
        <w:rPr>
          <w:rFonts w:ascii="Times New Roman" w:hAnsi="Times New Roman" w:cs="Times New Roman"/>
          <w:color w:val="000000" w:themeColor="text1"/>
          <w:sz w:val="24"/>
          <w:szCs w:val="24"/>
        </w:rPr>
      </w:pPr>
      <w:bookmarkStart w:id="92" w:name="_Toc155817759"/>
      <w:r w:rsidRPr="00B81CB5">
        <w:rPr>
          <w:rFonts w:ascii="Times New Roman" w:hAnsi="Times New Roman" w:cs="Times New Roman"/>
          <w:b/>
          <w:bCs/>
          <w:color w:val="000000" w:themeColor="text1"/>
          <w:sz w:val="24"/>
          <w:szCs w:val="24"/>
        </w:rPr>
        <w:lastRenderedPageBreak/>
        <w:t>Table</w:t>
      </w:r>
      <w:r w:rsidR="0036523A" w:rsidRPr="00B81CB5">
        <w:rPr>
          <w:rFonts w:ascii="Times New Roman" w:hAnsi="Times New Roman" w:cs="Times New Roman"/>
          <w:b/>
          <w:bCs/>
          <w:color w:val="000000" w:themeColor="text1"/>
          <w:sz w:val="24"/>
          <w:szCs w:val="24"/>
        </w:rPr>
        <w:t xml:space="preserve"> 28</w:t>
      </w:r>
      <w:r w:rsidR="00B81CB5" w:rsidRPr="00B81CB5">
        <w:rPr>
          <w:rFonts w:ascii="Times New Roman" w:hAnsi="Times New Roman" w:cs="Times New Roman"/>
          <w:b/>
          <w:bCs/>
          <w:color w:val="000000" w:themeColor="text1"/>
          <w:sz w:val="24"/>
          <w:szCs w:val="24"/>
        </w:rPr>
        <w:t>l</w:t>
      </w:r>
      <w:r w:rsidRPr="00B81CB5">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diameter and urbanicity obtained from bifactor modeling and pollution (NO2 level) during monetary incentive delay task</w:t>
      </w:r>
      <w:bookmarkEnd w:id="92"/>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9E2AB9" w14:paraId="57E86B9F"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0F07952" w14:textId="77777777" w:rsidR="009E2AB9" w:rsidRDefault="009E2AB9">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546B3600" w14:textId="77777777" w:rsidR="009E2AB9" w:rsidRDefault="009E2AB9">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3003778A" w14:textId="77777777" w:rsidR="009E2AB9" w:rsidRDefault="009E2AB9">
            <w:pPr>
              <w:rPr>
                <w:color w:val="000000"/>
              </w:rPr>
            </w:pPr>
          </w:p>
        </w:tc>
        <w:tc>
          <w:tcPr>
            <w:tcW w:w="864" w:type="dxa"/>
            <w:tcBorders>
              <w:top w:val="nil"/>
              <w:left w:val="nil"/>
              <w:bottom w:val="single" w:sz="12" w:space="0" w:color="auto"/>
              <w:right w:val="nil"/>
            </w:tcBorders>
            <w:shd w:val="clear" w:color="auto" w:fill="auto"/>
            <w:noWrap/>
            <w:vAlign w:val="bottom"/>
            <w:hideMark/>
          </w:tcPr>
          <w:p w14:paraId="100DC54C" w14:textId="77777777" w:rsidR="009E2AB9" w:rsidRDefault="009E2AB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B56B81E" w14:textId="77777777" w:rsidR="009E2AB9" w:rsidRDefault="009E2AB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8E249FD" w14:textId="77777777" w:rsidR="009E2AB9" w:rsidRDefault="009E2AB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C3D48C0" w14:textId="77777777" w:rsidR="009E2AB9" w:rsidRDefault="009E2AB9">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61CBF6C" w14:textId="77777777" w:rsidR="009E2AB9" w:rsidRDefault="009E2AB9">
            <w:pPr>
              <w:rPr>
                <w:sz w:val="20"/>
                <w:szCs w:val="20"/>
              </w:rPr>
            </w:pPr>
          </w:p>
        </w:tc>
      </w:tr>
      <w:tr w:rsidR="009E2AB9" w14:paraId="046A6529"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0A75A75B" w14:textId="77777777" w:rsidR="009E2AB9" w:rsidRDefault="009E2AB9">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5EA1F372" w14:textId="77777777" w:rsidR="009E2AB9" w:rsidRDefault="009E2AB9">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06054EC2" w14:textId="77777777" w:rsidR="009E2AB9" w:rsidRDefault="009E2AB9">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14AB2300" w14:textId="77777777" w:rsidR="009E2AB9" w:rsidRDefault="009E2AB9">
            <w:pPr>
              <w:jc w:val="center"/>
              <w:rPr>
                <w:color w:val="000000"/>
                <w:sz w:val="20"/>
                <w:szCs w:val="20"/>
              </w:rPr>
            </w:pPr>
            <w:r>
              <w:rPr>
                <w:color w:val="000000"/>
                <w:sz w:val="20"/>
                <w:szCs w:val="20"/>
              </w:rPr>
              <w:t>Pollution (NO2 level)</w:t>
            </w:r>
          </w:p>
        </w:tc>
      </w:tr>
      <w:tr w:rsidR="009E2AB9" w14:paraId="5E42F5AF"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00B7852E" w14:textId="77777777" w:rsidR="009E2AB9" w:rsidRDefault="009E2AB9">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1B7CDA6E" w14:textId="77777777" w:rsidR="009E2AB9" w:rsidRDefault="009E2AB9">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1FD46197" w14:textId="77777777" w:rsidR="009E2AB9" w:rsidRDefault="009E2AB9">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31B0A29A" w14:textId="77777777" w:rsidR="009E2AB9" w:rsidRDefault="009E2AB9">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605ACDBD" w14:textId="77777777" w:rsidR="009E2AB9" w:rsidRDefault="009E2AB9">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1693C16A" w14:textId="77777777" w:rsidR="009E2AB9" w:rsidRDefault="009E2AB9">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3D6FB0F6" w14:textId="77777777" w:rsidR="009E2AB9" w:rsidRDefault="009E2AB9">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00E4A2B7" w14:textId="77777777" w:rsidR="009E2AB9" w:rsidRDefault="009E2AB9">
            <w:pPr>
              <w:jc w:val="center"/>
              <w:rPr>
                <w:i/>
                <w:iCs/>
                <w:color w:val="000000"/>
                <w:sz w:val="20"/>
                <w:szCs w:val="20"/>
              </w:rPr>
            </w:pPr>
            <w:r>
              <w:rPr>
                <w:i/>
                <w:iCs/>
                <w:color w:val="000000"/>
                <w:sz w:val="20"/>
                <w:szCs w:val="20"/>
              </w:rPr>
              <w:t>R2</w:t>
            </w:r>
          </w:p>
        </w:tc>
      </w:tr>
      <w:tr w:rsidR="009E2AB9" w14:paraId="1BF0AB72"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49D8250C" w14:textId="77777777" w:rsidR="009E2AB9" w:rsidRDefault="009E2AB9">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041226F0" w14:textId="77777777" w:rsidR="009E2AB9" w:rsidRDefault="009E2AB9">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476C760A" w14:textId="77777777" w:rsidR="009E2AB9" w:rsidRDefault="009E2AB9">
            <w:pPr>
              <w:jc w:val="right"/>
              <w:rPr>
                <w:color w:val="000000"/>
                <w:sz w:val="20"/>
                <w:szCs w:val="20"/>
              </w:rPr>
            </w:pPr>
            <w:r>
              <w:rPr>
                <w:color w:val="000000"/>
                <w:sz w:val="20"/>
                <w:szCs w:val="20"/>
              </w:rPr>
              <w:t>0.082</w:t>
            </w:r>
          </w:p>
        </w:tc>
        <w:tc>
          <w:tcPr>
            <w:tcW w:w="864" w:type="dxa"/>
            <w:tcBorders>
              <w:top w:val="single" w:sz="12" w:space="0" w:color="auto"/>
              <w:left w:val="nil"/>
              <w:bottom w:val="nil"/>
              <w:right w:val="nil"/>
            </w:tcBorders>
            <w:shd w:val="clear" w:color="auto" w:fill="auto"/>
            <w:noWrap/>
            <w:vAlign w:val="bottom"/>
            <w:hideMark/>
          </w:tcPr>
          <w:p w14:paraId="26F947F5" w14:textId="77777777" w:rsidR="009E2AB9" w:rsidRDefault="009E2AB9">
            <w:pPr>
              <w:jc w:val="right"/>
              <w:rPr>
                <w:color w:val="000000"/>
                <w:sz w:val="20"/>
                <w:szCs w:val="20"/>
              </w:rPr>
            </w:pPr>
            <w:r>
              <w:rPr>
                <w:color w:val="000000"/>
                <w:sz w:val="20"/>
                <w:szCs w:val="20"/>
              </w:rPr>
              <w:t>0.224</w:t>
            </w:r>
          </w:p>
        </w:tc>
        <w:tc>
          <w:tcPr>
            <w:tcW w:w="864" w:type="dxa"/>
            <w:tcBorders>
              <w:top w:val="single" w:sz="12" w:space="0" w:color="auto"/>
              <w:left w:val="nil"/>
              <w:bottom w:val="nil"/>
              <w:right w:val="nil"/>
            </w:tcBorders>
            <w:shd w:val="clear" w:color="auto" w:fill="auto"/>
            <w:noWrap/>
            <w:vAlign w:val="bottom"/>
            <w:hideMark/>
          </w:tcPr>
          <w:p w14:paraId="444A522D" w14:textId="77777777" w:rsidR="009E2AB9" w:rsidRDefault="009E2AB9">
            <w:pPr>
              <w:jc w:val="right"/>
              <w:rPr>
                <w:color w:val="000000"/>
                <w:sz w:val="20"/>
                <w:szCs w:val="20"/>
              </w:rPr>
            </w:pPr>
            <w:r>
              <w:rPr>
                <w:color w:val="000000"/>
                <w:sz w:val="20"/>
                <w:szCs w:val="20"/>
              </w:rPr>
              <w:t>0.007</w:t>
            </w:r>
          </w:p>
        </w:tc>
        <w:tc>
          <w:tcPr>
            <w:tcW w:w="864" w:type="dxa"/>
            <w:tcBorders>
              <w:top w:val="single" w:sz="12" w:space="0" w:color="auto"/>
              <w:left w:val="nil"/>
              <w:bottom w:val="nil"/>
              <w:right w:val="nil"/>
            </w:tcBorders>
            <w:shd w:val="clear" w:color="auto" w:fill="auto"/>
            <w:noWrap/>
            <w:vAlign w:val="bottom"/>
            <w:hideMark/>
          </w:tcPr>
          <w:p w14:paraId="723F6FD2" w14:textId="77777777" w:rsidR="009E2AB9" w:rsidRPr="00FE559D" w:rsidRDefault="009E2AB9">
            <w:pPr>
              <w:jc w:val="right"/>
              <w:rPr>
                <w:b/>
                <w:bCs/>
                <w:color w:val="000000"/>
                <w:sz w:val="20"/>
                <w:szCs w:val="20"/>
              </w:rPr>
            </w:pPr>
            <w:r w:rsidRPr="00FE559D">
              <w:rPr>
                <w:b/>
                <w:bCs/>
                <w:color w:val="000000"/>
                <w:sz w:val="20"/>
                <w:szCs w:val="20"/>
              </w:rPr>
              <w:t>0.116</w:t>
            </w:r>
          </w:p>
        </w:tc>
        <w:tc>
          <w:tcPr>
            <w:tcW w:w="864" w:type="dxa"/>
            <w:tcBorders>
              <w:top w:val="single" w:sz="12" w:space="0" w:color="auto"/>
              <w:left w:val="nil"/>
              <w:bottom w:val="nil"/>
              <w:right w:val="nil"/>
            </w:tcBorders>
            <w:shd w:val="clear" w:color="auto" w:fill="auto"/>
            <w:noWrap/>
            <w:vAlign w:val="bottom"/>
            <w:hideMark/>
          </w:tcPr>
          <w:p w14:paraId="06B1C593" w14:textId="77777777" w:rsidR="009E2AB9" w:rsidRPr="00FE559D" w:rsidRDefault="009E2AB9">
            <w:pPr>
              <w:jc w:val="right"/>
              <w:rPr>
                <w:b/>
                <w:bCs/>
                <w:color w:val="000000"/>
                <w:sz w:val="20"/>
                <w:szCs w:val="20"/>
              </w:rPr>
            </w:pPr>
            <w:r w:rsidRPr="00FE559D">
              <w:rPr>
                <w:b/>
                <w:bCs/>
                <w:color w:val="000000"/>
                <w:sz w:val="20"/>
                <w:szCs w:val="20"/>
              </w:rPr>
              <w:t>0.032</w:t>
            </w:r>
          </w:p>
        </w:tc>
        <w:tc>
          <w:tcPr>
            <w:tcW w:w="864" w:type="dxa"/>
            <w:tcBorders>
              <w:top w:val="single" w:sz="12" w:space="0" w:color="auto"/>
              <w:left w:val="nil"/>
              <w:bottom w:val="nil"/>
              <w:right w:val="nil"/>
            </w:tcBorders>
            <w:shd w:val="clear" w:color="auto" w:fill="auto"/>
            <w:noWrap/>
            <w:vAlign w:val="bottom"/>
            <w:hideMark/>
          </w:tcPr>
          <w:p w14:paraId="6CF55CA9" w14:textId="77777777" w:rsidR="009E2AB9" w:rsidRPr="00FE559D" w:rsidRDefault="009E2AB9">
            <w:pPr>
              <w:jc w:val="right"/>
              <w:rPr>
                <w:b/>
                <w:bCs/>
                <w:color w:val="000000"/>
                <w:sz w:val="20"/>
                <w:szCs w:val="20"/>
              </w:rPr>
            </w:pPr>
            <w:r w:rsidRPr="00FE559D">
              <w:rPr>
                <w:b/>
                <w:bCs/>
                <w:color w:val="000000"/>
                <w:sz w:val="20"/>
                <w:szCs w:val="20"/>
              </w:rPr>
              <w:t>0.013</w:t>
            </w:r>
          </w:p>
        </w:tc>
      </w:tr>
      <w:tr w:rsidR="009E2AB9" w14:paraId="3B83933C" w14:textId="77777777" w:rsidTr="004A2B50">
        <w:trPr>
          <w:trHeight w:val="340"/>
        </w:trPr>
        <w:tc>
          <w:tcPr>
            <w:tcW w:w="1152" w:type="dxa"/>
            <w:tcBorders>
              <w:top w:val="nil"/>
              <w:left w:val="nil"/>
              <w:bottom w:val="nil"/>
              <w:right w:val="nil"/>
            </w:tcBorders>
            <w:shd w:val="clear" w:color="auto" w:fill="auto"/>
            <w:noWrap/>
            <w:vAlign w:val="bottom"/>
            <w:hideMark/>
          </w:tcPr>
          <w:p w14:paraId="7AEDE530"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37E6C29" w14:textId="77777777" w:rsidR="009E2AB9" w:rsidRDefault="009E2AB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4080EF9" w14:textId="77777777" w:rsidR="009E2AB9" w:rsidRDefault="009E2AB9">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74335B7E" w14:textId="77777777" w:rsidR="009E2AB9" w:rsidRDefault="009E2AB9">
            <w:pPr>
              <w:jc w:val="right"/>
              <w:rPr>
                <w:color w:val="000000"/>
                <w:sz w:val="20"/>
                <w:szCs w:val="20"/>
              </w:rPr>
            </w:pPr>
            <w:r>
              <w:rPr>
                <w:color w:val="000000"/>
                <w:sz w:val="20"/>
                <w:szCs w:val="20"/>
              </w:rPr>
              <w:t>0.551</w:t>
            </w:r>
          </w:p>
        </w:tc>
        <w:tc>
          <w:tcPr>
            <w:tcW w:w="864" w:type="dxa"/>
            <w:tcBorders>
              <w:top w:val="nil"/>
              <w:left w:val="nil"/>
              <w:bottom w:val="nil"/>
              <w:right w:val="nil"/>
            </w:tcBorders>
            <w:shd w:val="clear" w:color="auto" w:fill="auto"/>
            <w:noWrap/>
            <w:vAlign w:val="bottom"/>
            <w:hideMark/>
          </w:tcPr>
          <w:p w14:paraId="7149E67C" w14:textId="77777777" w:rsidR="009E2AB9" w:rsidRDefault="009E2AB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B1C0AAC" w14:textId="77777777" w:rsidR="009E2AB9" w:rsidRDefault="009E2AB9">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3DD24A6B" w14:textId="77777777" w:rsidR="009E2AB9" w:rsidRDefault="009E2AB9">
            <w:pPr>
              <w:jc w:val="right"/>
              <w:rPr>
                <w:color w:val="000000"/>
                <w:sz w:val="20"/>
                <w:szCs w:val="20"/>
              </w:rPr>
            </w:pPr>
            <w:r>
              <w:rPr>
                <w:color w:val="000000"/>
                <w:sz w:val="20"/>
                <w:szCs w:val="20"/>
              </w:rPr>
              <w:t>0.514</w:t>
            </w:r>
          </w:p>
        </w:tc>
        <w:tc>
          <w:tcPr>
            <w:tcW w:w="864" w:type="dxa"/>
            <w:tcBorders>
              <w:top w:val="nil"/>
              <w:left w:val="nil"/>
              <w:bottom w:val="nil"/>
              <w:right w:val="nil"/>
            </w:tcBorders>
            <w:shd w:val="clear" w:color="auto" w:fill="auto"/>
            <w:noWrap/>
            <w:vAlign w:val="bottom"/>
            <w:hideMark/>
          </w:tcPr>
          <w:p w14:paraId="477DADDB" w14:textId="77777777" w:rsidR="009E2AB9" w:rsidRDefault="009E2AB9">
            <w:pPr>
              <w:jc w:val="right"/>
              <w:rPr>
                <w:color w:val="000000"/>
                <w:sz w:val="20"/>
                <w:szCs w:val="20"/>
              </w:rPr>
            </w:pPr>
            <w:r>
              <w:rPr>
                <w:color w:val="000000"/>
                <w:sz w:val="20"/>
                <w:szCs w:val="20"/>
              </w:rPr>
              <w:t>0.001</w:t>
            </w:r>
          </w:p>
        </w:tc>
      </w:tr>
      <w:tr w:rsidR="009E2AB9" w14:paraId="311B1A81" w14:textId="77777777" w:rsidTr="004A2B50">
        <w:trPr>
          <w:trHeight w:val="320"/>
        </w:trPr>
        <w:tc>
          <w:tcPr>
            <w:tcW w:w="1152" w:type="dxa"/>
            <w:tcBorders>
              <w:top w:val="nil"/>
              <w:left w:val="nil"/>
              <w:bottom w:val="nil"/>
              <w:right w:val="nil"/>
            </w:tcBorders>
            <w:shd w:val="clear" w:color="auto" w:fill="auto"/>
            <w:noWrap/>
            <w:vAlign w:val="bottom"/>
            <w:hideMark/>
          </w:tcPr>
          <w:p w14:paraId="41B4351F"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966B550" w14:textId="77777777" w:rsidR="009E2AB9" w:rsidRDefault="009E2AB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44689BE" w14:textId="77777777" w:rsidR="009E2AB9" w:rsidRDefault="009E2AB9">
            <w:pPr>
              <w:jc w:val="right"/>
              <w:rPr>
                <w:color w:val="000000"/>
                <w:sz w:val="20"/>
                <w:szCs w:val="20"/>
              </w:rPr>
            </w:pPr>
            <w:r>
              <w:rPr>
                <w:color w:val="000000"/>
                <w:sz w:val="20"/>
                <w:szCs w:val="20"/>
              </w:rPr>
              <w:t>-0.050</w:t>
            </w:r>
          </w:p>
        </w:tc>
        <w:tc>
          <w:tcPr>
            <w:tcW w:w="864" w:type="dxa"/>
            <w:tcBorders>
              <w:top w:val="nil"/>
              <w:left w:val="nil"/>
              <w:bottom w:val="nil"/>
              <w:right w:val="nil"/>
            </w:tcBorders>
            <w:shd w:val="clear" w:color="auto" w:fill="auto"/>
            <w:noWrap/>
            <w:vAlign w:val="bottom"/>
            <w:hideMark/>
          </w:tcPr>
          <w:p w14:paraId="111F0309" w14:textId="77777777" w:rsidR="009E2AB9" w:rsidRDefault="009E2AB9">
            <w:pPr>
              <w:jc w:val="right"/>
              <w:rPr>
                <w:color w:val="000000"/>
                <w:sz w:val="20"/>
                <w:szCs w:val="20"/>
              </w:rPr>
            </w:pPr>
            <w:r>
              <w:rPr>
                <w:color w:val="000000"/>
                <w:sz w:val="20"/>
                <w:szCs w:val="20"/>
              </w:rPr>
              <w:t>0.551</w:t>
            </w:r>
          </w:p>
        </w:tc>
        <w:tc>
          <w:tcPr>
            <w:tcW w:w="864" w:type="dxa"/>
            <w:tcBorders>
              <w:top w:val="nil"/>
              <w:left w:val="nil"/>
              <w:bottom w:val="nil"/>
              <w:right w:val="nil"/>
            </w:tcBorders>
            <w:shd w:val="clear" w:color="auto" w:fill="auto"/>
            <w:noWrap/>
            <w:vAlign w:val="bottom"/>
            <w:hideMark/>
          </w:tcPr>
          <w:p w14:paraId="6DC42EE8" w14:textId="77777777" w:rsidR="009E2AB9" w:rsidRDefault="009E2AB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A4874CB" w14:textId="77777777" w:rsidR="009E2AB9" w:rsidRDefault="009E2AB9">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68B5429F" w14:textId="77777777" w:rsidR="009E2AB9" w:rsidRDefault="009E2AB9">
            <w:pPr>
              <w:jc w:val="right"/>
              <w:rPr>
                <w:color w:val="000000"/>
                <w:sz w:val="20"/>
                <w:szCs w:val="20"/>
              </w:rPr>
            </w:pPr>
            <w:r>
              <w:rPr>
                <w:color w:val="000000"/>
                <w:sz w:val="20"/>
                <w:szCs w:val="20"/>
              </w:rPr>
              <w:t>0.749</w:t>
            </w:r>
          </w:p>
        </w:tc>
        <w:tc>
          <w:tcPr>
            <w:tcW w:w="864" w:type="dxa"/>
            <w:tcBorders>
              <w:top w:val="nil"/>
              <w:left w:val="nil"/>
              <w:bottom w:val="nil"/>
              <w:right w:val="nil"/>
            </w:tcBorders>
            <w:shd w:val="clear" w:color="auto" w:fill="auto"/>
            <w:noWrap/>
            <w:vAlign w:val="bottom"/>
            <w:hideMark/>
          </w:tcPr>
          <w:p w14:paraId="0CC9B46B" w14:textId="77777777" w:rsidR="009E2AB9" w:rsidRDefault="009E2AB9">
            <w:pPr>
              <w:jc w:val="right"/>
              <w:rPr>
                <w:color w:val="000000"/>
                <w:sz w:val="20"/>
                <w:szCs w:val="20"/>
              </w:rPr>
            </w:pPr>
            <w:r>
              <w:rPr>
                <w:color w:val="000000"/>
                <w:sz w:val="20"/>
                <w:szCs w:val="20"/>
              </w:rPr>
              <w:t>0.001</w:t>
            </w:r>
          </w:p>
        </w:tc>
      </w:tr>
      <w:tr w:rsidR="009E2AB9" w14:paraId="49416B34" w14:textId="77777777" w:rsidTr="004A2B50">
        <w:trPr>
          <w:trHeight w:val="320"/>
        </w:trPr>
        <w:tc>
          <w:tcPr>
            <w:tcW w:w="1152" w:type="dxa"/>
            <w:tcBorders>
              <w:top w:val="nil"/>
              <w:left w:val="nil"/>
              <w:bottom w:val="nil"/>
              <w:right w:val="nil"/>
            </w:tcBorders>
            <w:shd w:val="clear" w:color="auto" w:fill="auto"/>
            <w:noWrap/>
            <w:vAlign w:val="bottom"/>
            <w:hideMark/>
          </w:tcPr>
          <w:p w14:paraId="77D49217"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0F56448" w14:textId="77777777" w:rsidR="009E2AB9" w:rsidRDefault="009E2AB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114F599" w14:textId="77777777" w:rsidR="009E2AB9" w:rsidRDefault="009E2AB9">
            <w:pPr>
              <w:jc w:val="right"/>
              <w:rPr>
                <w:color w:val="000000"/>
                <w:sz w:val="20"/>
                <w:szCs w:val="20"/>
              </w:rPr>
            </w:pPr>
            <w:r>
              <w:rPr>
                <w:color w:val="000000"/>
                <w:sz w:val="20"/>
                <w:szCs w:val="20"/>
              </w:rPr>
              <w:t>0.090</w:t>
            </w:r>
          </w:p>
        </w:tc>
        <w:tc>
          <w:tcPr>
            <w:tcW w:w="864" w:type="dxa"/>
            <w:tcBorders>
              <w:top w:val="nil"/>
              <w:left w:val="nil"/>
              <w:bottom w:val="nil"/>
              <w:right w:val="nil"/>
            </w:tcBorders>
            <w:shd w:val="clear" w:color="auto" w:fill="auto"/>
            <w:noWrap/>
            <w:vAlign w:val="bottom"/>
            <w:hideMark/>
          </w:tcPr>
          <w:p w14:paraId="2C1EC773" w14:textId="77777777" w:rsidR="009E2AB9" w:rsidRDefault="009E2AB9">
            <w:pPr>
              <w:jc w:val="right"/>
              <w:rPr>
                <w:color w:val="000000"/>
                <w:sz w:val="20"/>
                <w:szCs w:val="20"/>
              </w:rPr>
            </w:pPr>
            <w:r>
              <w:rPr>
                <w:color w:val="000000"/>
                <w:sz w:val="20"/>
                <w:szCs w:val="20"/>
              </w:rPr>
              <w:t>0.551</w:t>
            </w:r>
          </w:p>
        </w:tc>
        <w:tc>
          <w:tcPr>
            <w:tcW w:w="864" w:type="dxa"/>
            <w:tcBorders>
              <w:top w:val="nil"/>
              <w:left w:val="nil"/>
              <w:bottom w:val="nil"/>
              <w:right w:val="nil"/>
            </w:tcBorders>
            <w:shd w:val="clear" w:color="auto" w:fill="auto"/>
            <w:noWrap/>
            <w:vAlign w:val="bottom"/>
            <w:hideMark/>
          </w:tcPr>
          <w:p w14:paraId="33D64A97" w14:textId="77777777" w:rsidR="009E2AB9" w:rsidRDefault="009E2AB9">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3EF84518" w14:textId="77777777" w:rsidR="009E2AB9" w:rsidRDefault="009E2AB9">
            <w:pPr>
              <w:jc w:val="right"/>
              <w:rPr>
                <w:color w:val="000000"/>
                <w:sz w:val="20"/>
                <w:szCs w:val="20"/>
              </w:rPr>
            </w:pPr>
            <w:r>
              <w:rPr>
                <w:color w:val="000000"/>
                <w:sz w:val="20"/>
                <w:szCs w:val="20"/>
              </w:rPr>
              <w:t>0.117</w:t>
            </w:r>
          </w:p>
        </w:tc>
        <w:tc>
          <w:tcPr>
            <w:tcW w:w="864" w:type="dxa"/>
            <w:tcBorders>
              <w:top w:val="nil"/>
              <w:left w:val="nil"/>
              <w:bottom w:val="nil"/>
              <w:right w:val="nil"/>
            </w:tcBorders>
            <w:shd w:val="clear" w:color="auto" w:fill="auto"/>
            <w:noWrap/>
            <w:vAlign w:val="bottom"/>
            <w:hideMark/>
          </w:tcPr>
          <w:p w14:paraId="557F7313" w14:textId="77777777" w:rsidR="009E2AB9" w:rsidRDefault="009E2AB9">
            <w:pPr>
              <w:jc w:val="right"/>
              <w:rPr>
                <w:color w:val="000000"/>
                <w:sz w:val="20"/>
                <w:szCs w:val="20"/>
              </w:rPr>
            </w:pPr>
            <w:r>
              <w:rPr>
                <w:color w:val="000000"/>
                <w:sz w:val="20"/>
                <w:szCs w:val="20"/>
              </w:rPr>
              <w:t>0.514</w:t>
            </w:r>
          </w:p>
        </w:tc>
        <w:tc>
          <w:tcPr>
            <w:tcW w:w="864" w:type="dxa"/>
            <w:tcBorders>
              <w:top w:val="nil"/>
              <w:left w:val="nil"/>
              <w:bottom w:val="nil"/>
              <w:right w:val="nil"/>
            </w:tcBorders>
            <w:shd w:val="clear" w:color="auto" w:fill="auto"/>
            <w:noWrap/>
            <w:vAlign w:val="bottom"/>
            <w:hideMark/>
          </w:tcPr>
          <w:p w14:paraId="156E7313" w14:textId="77777777" w:rsidR="009E2AB9" w:rsidRDefault="009E2AB9">
            <w:pPr>
              <w:jc w:val="right"/>
              <w:rPr>
                <w:color w:val="000000"/>
                <w:sz w:val="20"/>
                <w:szCs w:val="20"/>
              </w:rPr>
            </w:pPr>
            <w:r>
              <w:rPr>
                <w:color w:val="000000"/>
                <w:sz w:val="20"/>
                <w:szCs w:val="20"/>
              </w:rPr>
              <w:t>0.014</w:t>
            </w:r>
          </w:p>
        </w:tc>
      </w:tr>
      <w:tr w:rsidR="009E2AB9" w14:paraId="7990423E" w14:textId="77777777" w:rsidTr="004A2B50">
        <w:trPr>
          <w:trHeight w:val="320"/>
        </w:trPr>
        <w:tc>
          <w:tcPr>
            <w:tcW w:w="1152" w:type="dxa"/>
            <w:tcBorders>
              <w:top w:val="nil"/>
              <w:left w:val="nil"/>
              <w:bottom w:val="nil"/>
              <w:right w:val="nil"/>
            </w:tcBorders>
            <w:shd w:val="clear" w:color="auto" w:fill="auto"/>
            <w:noWrap/>
            <w:vAlign w:val="bottom"/>
            <w:hideMark/>
          </w:tcPr>
          <w:p w14:paraId="6DBA98C8"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A842A44" w14:textId="77777777" w:rsidR="009E2AB9" w:rsidRDefault="009E2AB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B56450D" w14:textId="77777777" w:rsidR="009E2AB9" w:rsidRDefault="009E2AB9">
            <w:pPr>
              <w:jc w:val="right"/>
              <w:rPr>
                <w:color w:val="000000"/>
                <w:sz w:val="20"/>
                <w:szCs w:val="20"/>
              </w:rPr>
            </w:pPr>
            <w:r>
              <w:rPr>
                <w:color w:val="000000"/>
                <w:sz w:val="20"/>
                <w:szCs w:val="20"/>
              </w:rPr>
              <w:t>-0.084</w:t>
            </w:r>
          </w:p>
        </w:tc>
        <w:tc>
          <w:tcPr>
            <w:tcW w:w="864" w:type="dxa"/>
            <w:tcBorders>
              <w:top w:val="nil"/>
              <w:left w:val="nil"/>
              <w:bottom w:val="nil"/>
              <w:right w:val="nil"/>
            </w:tcBorders>
            <w:shd w:val="clear" w:color="auto" w:fill="auto"/>
            <w:noWrap/>
            <w:vAlign w:val="bottom"/>
            <w:hideMark/>
          </w:tcPr>
          <w:p w14:paraId="27A3CF1A" w14:textId="77777777" w:rsidR="009E2AB9" w:rsidRDefault="009E2AB9">
            <w:pPr>
              <w:jc w:val="right"/>
              <w:rPr>
                <w:color w:val="000000"/>
                <w:sz w:val="20"/>
                <w:szCs w:val="20"/>
              </w:rPr>
            </w:pPr>
            <w:r>
              <w:rPr>
                <w:color w:val="000000"/>
                <w:sz w:val="20"/>
                <w:szCs w:val="20"/>
              </w:rPr>
              <w:t>0.400</w:t>
            </w:r>
          </w:p>
        </w:tc>
        <w:tc>
          <w:tcPr>
            <w:tcW w:w="864" w:type="dxa"/>
            <w:tcBorders>
              <w:top w:val="nil"/>
              <w:left w:val="nil"/>
              <w:bottom w:val="nil"/>
              <w:right w:val="nil"/>
            </w:tcBorders>
            <w:shd w:val="clear" w:color="auto" w:fill="auto"/>
            <w:noWrap/>
            <w:vAlign w:val="bottom"/>
            <w:hideMark/>
          </w:tcPr>
          <w:p w14:paraId="524CE7F2" w14:textId="77777777" w:rsidR="009E2AB9" w:rsidRDefault="009E2AB9">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6B6AFE09" w14:textId="77777777" w:rsidR="009E2AB9" w:rsidRDefault="009E2AB9">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02A09848" w14:textId="77777777" w:rsidR="009E2AB9" w:rsidRDefault="009E2AB9">
            <w:pPr>
              <w:jc w:val="right"/>
              <w:rPr>
                <w:color w:val="000000"/>
                <w:sz w:val="20"/>
                <w:szCs w:val="20"/>
              </w:rPr>
            </w:pPr>
            <w:r>
              <w:rPr>
                <w:color w:val="000000"/>
                <w:sz w:val="20"/>
                <w:szCs w:val="20"/>
              </w:rPr>
              <w:t>0.514</w:t>
            </w:r>
          </w:p>
        </w:tc>
        <w:tc>
          <w:tcPr>
            <w:tcW w:w="864" w:type="dxa"/>
            <w:tcBorders>
              <w:top w:val="nil"/>
              <w:left w:val="nil"/>
              <w:bottom w:val="nil"/>
              <w:right w:val="nil"/>
            </w:tcBorders>
            <w:shd w:val="clear" w:color="auto" w:fill="auto"/>
            <w:noWrap/>
            <w:vAlign w:val="bottom"/>
            <w:hideMark/>
          </w:tcPr>
          <w:p w14:paraId="65FEC31E" w14:textId="77777777" w:rsidR="009E2AB9" w:rsidRDefault="009E2AB9">
            <w:pPr>
              <w:jc w:val="right"/>
              <w:rPr>
                <w:color w:val="000000"/>
                <w:sz w:val="20"/>
                <w:szCs w:val="20"/>
              </w:rPr>
            </w:pPr>
            <w:r>
              <w:rPr>
                <w:color w:val="000000"/>
                <w:sz w:val="20"/>
                <w:szCs w:val="20"/>
              </w:rPr>
              <w:t>0.004</w:t>
            </w:r>
          </w:p>
        </w:tc>
      </w:tr>
      <w:tr w:rsidR="009E2AB9" w14:paraId="7DA41680" w14:textId="77777777" w:rsidTr="004A2B50">
        <w:trPr>
          <w:trHeight w:val="320"/>
        </w:trPr>
        <w:tc>
          <w:tcPr>
            <w:tcW w:w="1152" w:type="dxa"/>
            <w:tcBorders>
              <w:top w:val="nil"/>
              <w:left w:val="nil"/>
              <w:bottom w:val="nil"/>
              <w:right w:val="nil"/>
            </w:tcBorders>
            <w:shd w:val="clear" w:color="auto" w:fill="auto"/>
            <w:noWrap/>
            <w:vAlign w:val="bottom"/>
            <w:hideMark/>
          </w:tcPr>
          <w:p w14:paraId="2E4A4E65"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3AE348E" w14:textId="77777777" w:rsidR="009E2AB9" w:rsidRDefault="009E2AB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D2330CE" w14:textId="77777777" w:rsidR="009E2AB9" w:rsidRDefault="009E2AB9">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4A144D8A" w14:textId="77777777" w:rsidR="009E2AB9" w:rsidRDefault="009E2AB9">
            <w:pPr>
              <w:jc w:val="right"/>
              <w:rPr>
                <w:color w:val="000000"/>
                <w:sz w:val="20"/>
                <w:szCs w:val="20"/>
              </w:rPr>
            </w:pPr>
            <w:r>
              <w:rPr>
                <w:color w:val="000000"/>
                <w:sz w:val="20"/>
                <w:szCs w:val="20"/>
              </w:rPr>
              <w:t>0.551</w:t>
            </w:r>
          </w:p>
        </w:tc>
        <w:tc>
          <w:tcPr>
            <w:tcW w:w="864" w:type="dxa"/>
            <w:tcBorders>
              <w:top w:val="nil"/>
              <w:left w:val="nil"/>
              <w:bottom w:val="nil"/>
              <w:right w:val="nil"/>
            </w:tcBorders>
            <w:shd w:val="clear" w:color="auto" w:fill="auto"/>
            <w:noWrap/>
            <w:vAlign w:val="bottom"/>
            <w:hideMark/>
          </w:tcPr>
          <w:p w14:paraId="07EF86F8" w14:textId="77777777" w:rsidR="009E2AB9" w:rsidRDefault="009E2AB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B1997C9" w14:textId="77777777" w:rsidR="009E2AB9" w:rsidRDefault="009E2AB9">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6FE0BCA1" w14:textId="77777777" w:rsidR="009E2AB9" w:rsidRDefault="009E2AB9">
            <w:pPr>
              <w:jc w:val="right"/>
              <w:rPr>
                <w:color w:val="000000"/>
                <w:sz w:val="20"/>
                <w:szCs w:val="20"/>
              </w:rPr>
            </w:pPr>
            <w:r>
              <w:rPr>
                <w:color w:val="000000"/>
                <w:sz w:val="20"/>
                <w:szCs w:val="20"/>
              </w:rPr>
              <w:t>0.679</w:t>
            </w:r>
          </w:p>
        </w:tc>
        <w:tc>
          <w:tcPr>
            <w:tcW w:w="864" w:type="dxa"/>
            <w:tcBorders>
              <w:top w:val="nil"/>
              <w:left w:val="nil"/>
              <w:bottom w:val="nil"/>
              <w:right w:val="nil"/>
            </w:tcBorders>
            <w:shd w:val="clear" w:color="auto" w:fill="auto"/>
            <w:noWrap/>
            <w:vAlign w:val="bottom"/>
            <w:hideMark/>
          </w:tcPr>
          <w:p w14:paraId="1BB158B0" w14:textId="77777777" w:rsidR="009E2AB9" w:rsidRDefault="009E2AB9">
            <w:pPr>
              <w:jc w:val="right"/>
              <w:rPr>
                <w:color w:val="000000"/>
                <w:sz w:val="20"/>
                <w:szCs w:val="20"/>
              </w:rPr>
            </w:pPr>
            <w:r>
              <w:rPr>
                <w:color w:val="000000"/>
                <w:sz w:val="20"/>
                <w:szCs w:val="20"/>
              </w:rPr>
              <w:t>0.000</w:t>
            </w:r>
          </w:p>
        </w:tc>
      </w:tr>
      <w:tr w:rsidR="009E2AB9" w14:paraId="7DA38DEE" w14:textId="77777777" w:rsidTr="004A2B50">
        <w:trPr>
          <w:trHeight w:val="320"/>
        </w:trPr>
        <w:tc>
          <w:tcPr>
            <w:tcW w:w="1152" w:type="dxa"/>
            <w:tcBorders>
              <w:top w:val="nil"/>
              <w:left w:val="nil"/>
              <w:bottom w:val="nil"/>
              <w:right w:val="nil"/>
            </w:tcBorders>
            <w:shd w:val="clear" w:color="auto" w:fill="auto"/>
            <w:noWrap/>
            <w:vAlign w:val="bottom"/>
            <w:hideMark/>
          </w:tcPr>
          <w:p w14:paraId="1B00200B"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ED9FD11" w14:textId="77777777" w:rsidR="009E2AB9" w:rsidRDefault="009E2AB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BCE626C" w14:textId="77777777" w:rsidR="009E2AB9" w:rsidRDefault="009E2AB9">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77A29CC7" w14:textId="77777777" w:rsidR="009E2AB9" w:rsidRDefault="009E2AB9">
            <w:pPr>
              <w:jc w:val="right"/>
              <w:rPr>
                <w:color w:val="000000"/>
                <w:sz w:val="20"/>
                <w:szCs w:val="20"/>
              </w:rPr>
            </w:pPr>
            <w:r>
              <w:rPr>
                <w:color w:val="000000"/>
                <w:sz w:val="20"/>
                <w:szCs w:val="20"/>
              </w:rPr>
              <w:t>0.551</w:t>
            </w:r>
          </w:p>
        </w:tc>
        <w:tc>
          <w:tcPr>
            <w:tcW w:w="864" w:type="dxa"/>
            <w:tcBorders>
              <w:top w:val="nil"/>
              <w:left w:val="nil"/>
              <w:bottom w:val="nil"/>
              <w:right w:val="nil"/>
            </w:tcBorders>
            <w:shd w:val="clear" w:color="auto" w:fill="auto"/>
            <w:noWrap/>
            <w:vAlign w:val="bottom"/>
            <w:hideMark/>
          </w:tcPr>
          <w:p w14:paraId="34656C70" w14:textId="77777777" w:rsidR="009E2AB9" w:rsidRDefault="009E2AB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1FDDF21" w14:textId="77777777" w:rsidR="009E2AB9" w:rsidRDefault="009E2AB9">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7365B1AD" w14:textId="77777777" w:rsidR="009E2AB9" w:rsidRDefault="009E2AB9">
            <w:pPr>
              <w:jc w:val="right"/>
              <w:rPr>
                <w:color w:val="000000"/>
                <w:sz w:val="20"/>
                <w:szCs w:val="20"/>
              </w:rPr>
            </w:pPr>
            <w:r>
              <w:rPr>
                <w:color w:val="000000"/>
                <w:sz w:val="20"/>
                <w:szCs w:val="20"/>
              </w:rPr>
              <w:t>0.514</w:t>
            </w:r>
          </w:p>
        </w:tc>
        <w:tc>
          <w:tcPr>
            <w:tcW w:w="864" w:type="dxa"/>
            <w:tcBorders>
              <w:top w:val="nil"/>
              <w:left w:val="nil"/>
              <w:bottom w:val="nil"/>
              <w:right w:val="nil"/>
            </w:tcBorders>
            <w:shd w:val="clear" w:color="auto" w:fill="auto"/>
            <w:noWrap/>
            <w:vAlign w:val="bottom"/>
            <w:hideMark/>
          </w:tcPr>
          <w:p w14:paraId="1F5E3EFF" w14:textId="77777777" w:rsidR="009E2AB9" w:rsidRDefault="009E2AB9">
            <w:pPr>
              <w:jc w:val="right"/>
              <w:rPr>
                <w:color w:val="000000"/>
                <w:sz w:val="20"/>
                <w:szCs w:val="20"/>
              </w:rPr>
            </w:pPr>
            <w:r>
              <w:rPr>
                <w:color w:val="000000"/>
                <w:sz w:val="20"/>
                <w:szCs w:val="20"/>
              </w:rPr>
              <w:t>0.001</w:t>
            </w:r>
          </w:p>
        </w:tc>
      </w:tr>
      <w:tr w:rsidR="009E2AB9" w14:paraId="2D39EFDE" w14:textId="77777777" w:rsidTr="004A2B50">
        <w:trPr>
          <w:trHeight w:val="320"/>
        </w:trPr>
        <w:tc>
          <w:tcPr>
            <w:tcW w:w="1152" w:type="dxa"/>
            <w:tcBorders>
              <w:top w:val="nil"/>
              <w:left w:val="nil"/>
              <w:bottom w:val="single" w:sz="4" w:space="0" w:color="auto"/>
              <w:right w:val="nil"/>
            </w:tcBorders>
            <w:shd w:val="clear" w:color="auto" w:fill="auto"/>
            <w:noWrap/>
            <w:vAlign w:val="bottom"/>
            <w:hideMark/>
          </w:tcPr>
          <w:p w14:paraId="0688E6BD" w14:textId="77777777" w:rsidR="009E2AB9" w:rsidRDefault="009E2AB9">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D089D20" w14:textId="77777777" w:rsidR="009E2AB9" w:rsidRDefault="009E2AB9">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5E80C4DE" w14:textId="77777777" w:rsidR="009E2AB9" w:rsidRDefault="009E2AB9">
            <w:pPr>
              <w:jc w:val="right"/>
              <w:rPr>
                <w:color w:val="000000"/>
                <w:sz w:val="20"/>
                <w:szCs w:val="20"/>
              </w:rPr>
            </w:pPr>
            <w:r>
              <w:rPr>
                <w:color w:val="000000"/>
                <w:sz w:val="20"/>
                <w:szCs w:val="20"/>
              </w:rPr>
              <w:t>0.040</w:t>
            </w:r>
          </w:p>
        </w:tc>
        <w:tc>
          <w:tcPr>
            <w:tcW w:w="864" w:type="dxa"/>
            <w:tcBorders>
              <w:top w:val="nil"/>
              <w:left w:val="nil"/>
              <w:bottom w:val="single" w:sz="4" w:space="0" w:color="auto"/>
              <w:right w:val="nil"/>
            </w:tcBorders>
            <w:shd w:val="clear" w:color="auto" w:fill="auto"/>
            <w:noWrap/>
            <w:vAlign w:val="bottom"/>
            <w:hideMark/>
          </w:tcPr>
          <w:p w14:paraId="0D0D563D" w14:textId="77777777" w:rsidR="009E2AB9" w:rsidRDefault="009E2AB9">
            <w:pPr>
              <w:jc w:val="right"/>
              <w:rPr>
                <w:color w:val="000000"/>
                <w:sz w:val="20"/>
                <w:szCs w:val="20"/>
              </w:rPr>
            </w:pPr>
            <w:r>
              <w:rPr>
                <w:color w:val="000000"/>
                <w:sz w:val="20"/>
                <w:szCs w:val="20"/>
              </w:rPr>
              <w:t>0.551</w:t>
            </w:r>
          </w:p>
        </w:tc>
        <w:tc>
          <w:tcPr>
            <w:tcW w:w="864" w:type="dxa"/>
            <w:tcBorders>
              <w:top w:val="nil"/>
              <w:left w:val="nil"/>
              <w:bottom w:val="single" w:sz="4" w:space="0" w:color="auto"/>
              <w:right w:val="nil"/>
            </w:tcBorders>
            <w:shd w:val="clear" w:color="auto" w:fill="auto"/>
            <w:noWrap/>
            <w:vAlign w:val="bottom"/>
            <w:hideMark/>
          </w:tcPr>
          <w:p w14:paraId="53B2109D" w14:textId="77777777" w:rsidR="009E2AB9" w:rsidRDefault="009E2AB9">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7134488D" w14:textId="77777777" w:rsidR="009E2AB9" w:rsidRDefault="009E2AB9">
            <w:pPr>
              <w:jc w:val="right"/>
              <w:rPr>
                <w:color w:val="000000"/>
                <w:sz w:val="20"/>
                <w:szCs w:val="20"/>
              </w:rPr>
            </w:pPr>
            <w:r>
              <w:rPr>
                <w:color w:val="000000"/>
                <w:sz w:val="20"/>
                <w:szCs w:val="20"/>
              </w:rPr>
              <w:t>0.033</w:t>
            </w:r>
          </w:p>
        </w:tc>
        <w:tc>
          <w:tcPr>
            <w:tcW w:w="864" w:type="dxa"/>
            <w:tcBorders>
              <w:top w:val="nil"/>
              <w:left w:val="nil"/>
              <w:bottom w:val="single" w:sz="4" w:space="0" w:color="auto"/>
              <w:right w:val="nil"/>
            </w:tcBorders>
            <w:shd w:val="clear" w:color="auto" w:fill="auto"/>
            <w:noWrap/>
            <w:vAlign w:val="bottom"/>
            <w:hideMark/>
          </w:tcPr>
          <w:p w14:paraId="7DD02A2D" w14:textId="77777777" w:rsidR="009E2AB9" w:rsidRDefault="009E2AB9">
            <w:pPr>
              <w:jc w:val="right"/>
              <w:rPr>
                <w:color w:val="000000"/>
                <w:sz w:val="20"/>
                <w:szCs w:val="20"/>
              </w:rPr>
            </w:pPr>
            <w:r>
              <w:rPr>
                <w:color w:val="000000"/>
                <w:sz w:val="20"/>
                <w:szCs w:val="20"/>
              </w:rPr>
              <w:t>0.679</w:t>
            </w:r>
          </w:p>
        </w:tc>
        <w:tc>
          <w:tcPr>
            <w:tcW w:w="864" w:type="dxa"/>
            <w:tcBorders>
              <w:top w:val="nil"/>
              <w:left w:val="nil"/>
              <w:bottom w:val="single" w:sz="4" w:space="0" w:color="auto"/>
              <w:right w:val="nil"/>
            </w:tcBorders>
            <w:shd w:val="clear" w:color="auto" w:fill="auto"/>
            <w:noWrap/>
            <w:vAlign w:val="bottom"/>
            <w:hideMark/>
          </w:tcPr>
          <w:p w14:paraId="35EF0259" w14:textId="77777777" w:rsidR="009E2AB9" w:rsidRDefault="009E2AB9">
            <w:pPr>
              <w:jc w:val="right"/>
              <w:rPr>
                <w:color w:val="000000"/>
                <w:sz w:val="20"/>
                <w:szCs w:val="20"/>
              </w:rPr>
            </w:pPr>
            <w:r>
              <w:rPr>
                <w:color w:val="000000"/>
                <w:sz w:val="20"/>
                <w:szCs w:val="20"/>
              </w:rPr>
              <w:t>0.001</w:t>
            </w:r>
          </w:p>
        </w:tc>
      </w:tr>
      <w:tr w:rsidR="009E2AB9" w14:paraId="4894804B" w14:textId="77777777" w:rsidTr="004A2B50">
        <w:trPr>
          <w:trHeight w:val="320"/>
        </w:trPr>
        <w:tc>
          <w:tcPr>
            <w:tcW w:w="1152" w:type="dxa"/>
            <w:tcBorders>
              <w:top w:val="nil"/>
              <w:left w:val="nil"/>
              <w:bottom w:val="nil"/>
              <w:right w:val="nil"/>
            </w:tcBorders>
            <w:shd w:val="clear" w:color="auto" w:fill="auto"/>
            <w:noWrap/>
            <w:vAlign w:val="bottom"/>
            <w:hideMark/>
          </w:tcPr>
          <w:p w14:paraId="22B3E1D4" w14:textId="77777777" w:rsidR="009E2AB9" w:rsidRDefault="009E2AB9">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69EB551C" w14:textId="77777777" w:rsidR="009E2AB9" w:rsidRDefault="009E2AB9">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42CFDE0" w14:textId="77777777" w:rsidR="009E2AB9" w:rsidRDefault="009E2AB9">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4D1420AA" w14:textId="77777777" w:rsidR="009E2AB9" w:rsidRDefault="009E2AB9">
            <w:pPr>
              <w:jc w:val="right"/>
              <w:rPr>
                <w:color w:val="000000"/>
                <w:sz w:val="20"/>
                <w:szCs w:val="20"/>
              </w:rPr>
            </w:pPr>
            <w:r>
              <w:rPr>
                <w:color w:val="000000"/>
                <w:sz w:val="20"/>
                <w:szCs w:val="20"/>
              </w:rPr>
              <w:t>0.407</w:t>
            </w:r>
          </w:p>
        </w:tc>
        <w:tc>
          <w:tcPr>
            <w:tcW w:w="864" w:type="dxa"/>
            <w:tcBorders>
              <w:top w:val="nil"/>
              <w:left w:val="nil"/>
              <w:bottom w:val="nil"/>
              <w:right w:val="nil"/>
            </w:tcBorders>
            <w:shd w:val="clear" w:color="auto" w:fill="auto"/>
            <w:noWrap/>
            <w:vAlign w:val="bottom"/>
            <w:hideMark/>
          </w:tcPr>
          <w:p w14:paraId="1835ECA2" w14:textId="77777777" w:rsidR="009E2AB9" w:rsidRDefault="009E2AB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7C3B247" w14:textId="77777777" w:rsidR="009E2AB9" w:rsidRDefault="009E2AB9">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599B4D2B" w14:textId="77777777" w:rsidR="009E2AB9" w:rsidRDefault="009E2AB9">
            <w:pPr>
              <w:jc w:val="right"/>
              <w:rPr>
                <w:color w:val="000000"/>
                <w:sz w:val="20"/>
                <w:szCs w:val="20"/>
              </w:rPr>
            </w:pPr>
            <w:r>
              <w:rPr>
                <w:color w:val="000000"/>
                <w:sz w:val="20"/>
                <w:szCs w:val="20"/>
              </w:rPr>
              <w:t>0.480</w:t>
            </w:r>
          </w:p>
        </w:tc>
        <w:tc>
          <w:tcPr>
            <w:tcW w:w="864" w:type="dxa"/>
            <w:tcBorders>
              <w:top w:val="nil"/>
              <w:left w:val="nil"/>
              <w:bottom w:val="nil"/>
              <w:right w:val="nil"/>
            </w:tcBorders>
            <w:shd w:val="clear" w:color="auto" w:fill="auto"/>
            <w:noWrap/>
            <w:vAlign w:val="bottom"/>
            <w:hideMark/>
          </w:tcPr>
          <w:p w14:paraId="35EC62BB" w14:textId="77777777" w:rsidR="009E2AB9" w:rsidRDefault="009E2AB9">
            <w:pPr>
              <w:jc w:val="right"/>
              <w:rPr>
                <w:color w:val="000000"/>
                <w:sz w:val="20"/>
                <w:szCs w:val="20"/>
              </w:rPr>
            </w:pPr>
            <w:r>
              <w:rPr>
                <w:color w:val="000000"/>
                <w:sz w:val="20"/>
                <w:szCs w:val="20"/>
              </w:rPr>
              <w:t>0.002</w:t>
            </w:r>
          </w:p>
        </w:tc>
      </w:tr>
      <w:tr w:rsidR="009E2AB9" w14:paraId="1C9FD7B8" w14:textId="77777777" w:rsidTr="004A2B50">
        <w:trPr>
          <w:trHeight w:val="320"/>
        </w:trPr>
        <w:tc>
          <w:tcPr>
            <w:tcW w:w="1152" w:type="dxa"/>
            <w:tcBorders>
              <w:top w:val="nil"/>
              <w:left w:val="nil"/>
              <w:bottom w:val="nil"/>
              <w:right w:val="nil"/>
            </w:tcBorders>
            <w:shd w:val="clear" w:color="auto" w:fill="auto"/>
            <w:noWrap/>
            <w:vAlign w:val="bottom"/>
            <w:hideMark/>
          </w:tcPr>
          <w:p w14:paraId="040A875B"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2F753D3" w14:textId="77777777" w:rsidR="009E2AB9" w:rsidRDefault="009E2AB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5578E1D" w14:textId="77777777" w:rsidR="009E2AB9" w:rsidRDefault="009E2AB9">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0AF39474" w14:textId="77777777" w:rsidR="009E2AB9" w:rsidRDefault="009E2AB9">
            <w:pPr>
              <w:jc w:val="right"/>
              <w:rPr>
                <w:color w:val="000000"/>
                <w:sz w:val="20"/>
                <w:szCs w:val="20"/>
              </w:rPr>
            </w:pPr>
            <w:r>
              <w:rPr>
                <w:color w:val="000000"/>
                <w:sz w:val="20"/>
                <w:szCs w:val="20"/>
              </w:rPr>
              <w:t>0.407</w:t>
            </w:r>
          </w:p>
        </w:tc>
        <w:tc>
          <w:tcPr>
            <w:tcW w:w="864" w:type="dxa"/>
            <w:tcBorders>
              <w:top w:val="nil"/>
              <w:left w:val="nil"/>
              <w:bottom w:val="nil"/>
              <w:right w:val="nil"/>
            </w:tcBorders>
            <w:shd w:val="clear" w:color="auto" w:fill="auto"/>
            <w:noWrap/>
            <w:vAlign w:val="bottom"/>
            <w:hideMark/>
          </w:tcPr>
          <w:p w14:paraId="3D92D62C" w14:textId="77777777" w:rsidR="009E2AB9" w:rsidRDefault="009E2AB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52F1A05" w14:textId="77777777" w:rsidR="009E2AB9" w:rsidRDefault="009E2AB9">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3B0608F5" w14:textId="77777777" w:rsidR="009E2AB9" w:rsidRDefault="009E2AB9">
            <w:pPr>
              <w:jc w:val="right"/>
              <w:rPr>
                <w:color w:val="000000"/>
                <w:sz w:val="20"/>
                <w:szCs w:val="20"/>
              </w:rPr>
            </w:pPr>
            <w:r>
              <w:rPr>
                <w:color w:val="000000"/>
                <w:sz w:val="20"/>
                <w:szCs w:val="20"/>
              </w:rPr>
              <w:t>0.480</w:t>
            </w:r>
          </w:p>
        </w:tc>
        <w:tc>
          <w:tcPr>
            <w:tcW w:w="864" w:type="dxa"/>
            <w:tcBorders>
              <w:top w:val="nil"/>
              <w:left w:val="nil"/>
              <w:bottom w:val="nil"/>
              <w:right w:val="nil"/>
            </w:tcBorders>
            <w:shd w:val="clear" w:color="auto" w:fill="auto"/>
            <w:noWrap/>
            <w:vAlign w:val="bottom"/>
            <w:hideMark/>
          </w:tcPr>
          <w:p w14:paraId="7192825B" w14:textId="77777777" w:rsidR="009E2AB9" w:rsidRDefault="009E2AB9">
            <w:pPr>
              <w:jc w:val="right"/>
              <w:rPr>
                <w:color w:val="000000"/>
                <w:sz w:val="20"/>
                <w:szCs w:val="20"/>
              </w:rPr>
            </w:pPr>
            <w:r>
              <w:rPr>
                <w:color w:val="000000"/>
                <w:sz w:val="20"/>
                <w:szCs w:val="20"/>
              </w:rPr>
              <w:t>0.002</w:t>
            </w:r>
          </w:p>
        </w:tc>
      </w:tr>
      <w:tr w:rsidR="009E2AB9" w14:paraId="30CE4136" w14:textId="77777777" w:rsidTr="004A2B50">
        <w:trPr>
          <w:trHeight w:val="320"/>
        </w:trPr>
        <w:tc>
          <w:tcPr>
            <w:tcW w:w="1152" w:type="dxa"/>
            <w:tcBorders>
              <w:top w:val="nil"/>
              <w:left w:val="nil"/>
              <w:bottom w:val="nil"/>
              <w:right w:val="nil"/>
            </w:tcBorders>
            <w:shd w:val="clear" w:color="auto" w:fill="auto"/>
            <w:noWrap/>
            <w:vAlign w:val="bottom"/>
            <w:hideMark/>
          </w:tcPr>
          <w:p w14:paraId="3B236EA8"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590171" w14:textId="77777777" w:rsidR="009E2AB9" w:rsidRDefault="009E2AB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469920CB" w14:textId="77777777" w:rsidR="009E2AB9" w:rsidRDefault="009E2AB9">
            <w:pPr>
              <w:jc w:val="right"/>
              <w:rPr>
                <w:color w:val="000000"/>
                <w:sz w:val="20"/>
                <w:szCs w:val="20"/>
              </w:rPr>
            </w:pPr>
            <w:r>
              <w:rPr>
                <w:color w:val="000000"/>
                <w:sz w:val="20"/>
                <w:szCs w:val="20"/>
              </w:rPr>
              <w:t>0.047</w:t>
            </w:r>
          </w:p>
        </w:tc>
        <w:tc>
          <w:tcPr>
            <w:tcW w:w="864" w:type="dxa"/>
            <w:tcBorders>
              <w:top w:val="nil"/>
              <w:left w:val="nil"/>
              <w:bottom w:val="nil"/>
              <w:right w:val="nil"/>
            </w:tcBorders>
            <w:shd w:val="clear" w:color="auto" w:fill="auto"/>
            <w:noWrap/>
            <w:vAlign w:val="bottom"/>
            <w:hideMark/>
          </w:tcPr>
          <w:p w14:paraId="7B8BF64A" w14:textId="77777777" w:rsidR="009E2AB9" w:rsidRDefault="009E2AB9">
            <w:pPr>
              <w:jc w:val="right"/>
              <w:rPr>
                <w:color w:val="000000"/>
                <w:sz w:val="20"/>
                <w:szCs w:val="20"/>
              </w:rPr>
            </w:pPr>
            <w:r>
              <w:rPr>
                <w:color w:val="000000"/>
                <w:sz w:val="20"/>
                <w:szCs w:val="20"/>
              </w:rPr>
              <w:t>0.407</w:t>
            </w:r>
          </w:p>
        </w:tc>
        <w:tc>
          <w:tcPr>
            <w:tcW w:w="864" w:type="dxa"/>
            <w:tcBorders>
              <w:top w:val="nil"/>
              <w:left w:val="nil"/>
              <w:bottom w:val="nil"/>
              <w:right w:val="nil"/>
            </w:tcBorders>
            <w:shd w:val="clear" w:color="auto" w:fill="auto"/>
            <w:noWrap/>
            <w:vAlign w:val="bottom"/>
            <w:hideMark/>
          </w:tcPr>
          <w:p w14:paraId="43748053" w14:textId="77777777" w:rsidR="009E2AB9" w:rsidRDefault="009E2AB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76BCB57" w14:textId="77777777" w:rsidR="009E2AB9" w:rsidRDefault="009E2AB9">
            <w:pPr>
              <w:jc w:val="right"/>
              <w:rPr>
                <w:color w:val="000000"/>
                <w:sz w:val="20"/>
                <w:szCs w:val="20"/>
              </w:rPr>
            </w:pPr>
            <w:r>
              <w:rPr>
                <w:color w:val="000000"/>
                <w:sz w:val="20"/>
                <w:szCs w:val="20"/>
              </w:rPr>
              <w:t>0.047</w:t>
            </w:r>
          </w:p>
        </w:tc>
        <w:tc>
          <w:tcPr>
            <w:tcW w:w="864" w:type="dxa"/>
            <w:tcBorders>
              <w:top w:val="nil"/>
              <w:left w:val="nil"/>
              <w:bottom w:val="nil"/>
              <w:right w:val="nil"/>
            </w:tcBorders>
            <w:shd w:val="clear" w:color="auto" w:fill="auto"/>
            <w:noWrap/>
            <w:vAlign w:val="bottom"/>
            <w:hideMark/>
          </w:tcPr>
          <w:p w14:paraId="2D64A49E" w14:textId="77777777" w:rsidR="009E2AB9" w:rsidRDefault="009E2AB9">
            <w:pPr>
              <w:jc w:val="right"/>
              <w:rPr>
                <w:color w:val="000000"/>
                <w:sz w:val="20"/>
                <w:szCs w:val="20"/>
              </w:rPr>
            </w:pPr>
            <w:r>
              <w:rPr>
                <w:color w:val="000000"/>
                <w:sz w:val="20"/>
                <w:szCs w:val="20"/>
              </w:rPr>
              <w:t>0.640</w:t>
            </w:r>
          </w:p>
        </w:tc>
        <w:tc>
          <w:tcPr>
            <w:tcW w:w="864" w:type="dxa"/>
            <w:tcBorders>
              <w:top w:val="nil"/>
              <w:left w:val="nil"/>
              <w:bottom w:val="nil"/>
              <w:right w:val="nil"/>
            </w:tcBorders>
            <w:shd w:val="clear" w:color="auto" w:fill="auto"/>
            <w:noWrap/>
            <w:vAlign w:val="bottom"/>
            <w:hideMark/>
          </w:tcPr>
          <w:p w14:paraId="090C1D57" w14:textId="77777777" w:rsidR="009E2AB9" w:rsidRDefault="009E2AB9">
            <w:pPr>
              <w:jc w:val="right"/>
              <w:rPr>
                <w:color w:val="000000"/>
                <w:sz w:val="20"/>
                <w:szCs w:val="20"/>
              </w:rPr>
            </w:pPr>
            <w:r>
              <w:rPr>
                <w:color w:val="000000"/>
                <w:sz w:val="20"/>
                <w:szCs w:val="20"/>
              </w:rPr>
              <w:t>0.002</w:t>
            </w:r>
          </w:p>
        </w:tc>
      </w:tr>
      <w:tr w:rsidR="009E2AB9" w14:paraId="214DF9E7" w14:textId="77777777" w:rsidTr="004A2B50">
        <w:trPr>
          <w:trHeight w:val="320"/>
        </w:trPr>
        <w:tc>
          <w:tcPr>
            <w:tcW w:w="1152" w:type="dxa"/>
            <w:tcBorders>
              <w:top w:val="nil"/>
              <w:left w:val="nil"/>
              <w:bottom w:val="nil"/>
              <w:right w:val="nil"/>
            </w:tcBorders>
            <w:shd w:val="clear" w:color="auto" w:fill="auto"/>
            <w:noWrap/>
            <w:vAlign w:val="bottom"/>
            <w:hideMark/>
          </w:tcPr>
          <w:p w14:paraId="73A88DB4"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4513179" w14:textId="77777777" w:rsidR="009E2AB9" w:rsidRDefault="009E2AB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9E3A4D4" w14:textId="77777777" w:rsidR="009E2AB9" w:rsidRDefault="009E2AB9">
            <w:pPr>
              <w:jc w:val="right"/>
              <w:rPr>
                <w:color w:val="000000"/>
                <w:sz w:val="20"/>
                <w:szCs w:val="20"/>
              </w:rPr>
            </w:pPr>
            <w:r>
              <w:rPr>
                <w:color w:val="000000"/>
                <w:sz w:val="20"/>
                <w:szCs w:val="20"/>
              </w:rPr>
              <w:t>-0.051</w:t>
            </w:r>
          </w:p>
        </w:tc>
        <w:tc>
          <w:tcPr>
            <w:tcW w:w="864" w:type="dxa"/>
            <w:tcBorders>
              <w:top w:val="nil"/>
              <w:left w:val="nil"/>
              <w:bottom w:val="nil"/>
              <w:right w:val="nil"/>
            </w:tcBorders>
            <w:shd w:val="clear" w:color="auto" w:fill="auto"/>
            <w:noWrap/>
            <w:vAlign w:val="bottom"/>
            <w:hideMark/>
          </w:tcPr>
          <w:p w14:paraId="0D3749DC" w14:textId="77777777" w:rsidR="009E2AB9" w:rsidRDefault="009E2AB9">
            <w:pPr>
              <w:jc w:val="right"/>
              <w:rPr>
                <w:color w:val="000000"/>
                <w:sz w:val="20"/>
                <w:szCs w:val="20"/>
              </w:rPr>
            </w:pPr>
            <w:r>
              <w:rPr>
                <w:color w:val="000000"/>
                <w:sz w:val="20"/>
                <w:szCs w:val="20"/>
              </w:rPr>
              <w:t>0.407</w:t>
            </w:r>
          </w:p>
        </w:tc>
        <w:tc>
          <w:tcPr>
            <w:tcW w:w="864" w:type="dxa"/>
            <w:tcBorders>
              <w:top w:val="nil"/>
              <w:left w:val="nil"/>
              <w:bottom w:val="nil"/>
              <w:right w:val="nil"/>
            </w:tcBorders>
            <w:shd w:val="clear" w:color="auto" w:fill="auto"/>
            <w:noWrap/>
            <w:vAlign w:val="bottom"/>
            <w:hideMark/>
          </w:tcPr>
          <w:p w14:paraId="1D194588" w14:textId="77777777" w:rsidR="009E2AB9" w:rsidRDefault="009E2AB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6D8D2641" w14:textId="77777777" w:rsidR="009E2AB9" w:rsidRDefault="009E2AB9">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5B018020" w14:textId="77777777" w:rsidR="009E2AB9" w:rsidRDefault="009E2AB9">
            <w:pPr>
              <w:jc w:val="right"/>
              <w:rPr>
                <w:color w:val="000000"/>
                <w:sz w:val="20"/>
                <w:szCs w:val="20"/>
              </w:rPr>
            </w:pPr>
            <w:r>
              <w:rPr>
                <w:color w:val="000000"/>
                <w:sz w:val="20"/>
                <w:szCs w:val="20"/>
              </w:rPr>
              <w:t>0.763</w:t>
            </w:r>
          </w:p>
        </w:tc>
        <w:tc>
          <w:tcPr>
            <w:tcW w:w="864" w:type="dxa"/>
            <w:tcBorders>
              <w:top w:val="nil"/>
              <w:left w:val="nil"/>
              <w:bottom w:val="nil"/>
              <w:right w:val="nil"/>
            </w:tcBorders>
            <w:shd w:val="clear" w:color="auto" w:fill="auto"/>
            <w:noWrap/>
            <w:vAlign w:val="bottom"/>
            <w:hideMark/>
          </w:tcPr>
          <w:p w14:paraId="639D36D8" w14:textId="77777777" w:rsidR="009E2AB9" w:rsidRDefault="009E2AB9">
            <w:pPr>
              <w:jc w:val="right"/>
              <w:rPr>
                <w:color w:val="000000"/>
                <w:sz w:val="20"/>
                <w:szCs w:val="20"/>
              </w:rPr>
            </w:pPr>
            <w:r>
              <w:rPr>
                <w:color w:val="000000"/>
                <w:sz w:val="20"/>
                <w:szCs w:val="20"/>
              </w:rPr>
              <w:t>0.001</w:t>
            </w:r>
          </w:p>
        </w:tc>
      </w:tr>
      <w:tr w:rsidR="009E2AB9" w14:paraId="013E89FB" w14:textId="77777777" w:rsidTr="004A2B50">
        <w:trPr>
          <w:trHeight w:val="320"/>
        </w:trPr>
        <w:tc>
          <w:tcPr>
            <w:tcW w:w="1152" w:type="dxa"/>
            <w:tcBorders>
              <w:top w:val="nil"/>
              <w:left w:val="nil"/>
              <w:bottom w:val="nil"/>
              <w:right w:val="nil"/>
            </w:tcBorders>
            <w:shd w:val="clear" w:color="auto" w:fill="auto"/>
            <w:noWrap/>
            <w:vAlign w:val="bottom"/>
            <w:hideMark/>
          </w:tcPr>
          <w:p w14:paraId="4778C8F1"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FC19DF6" w14:textId="77777777" w:rsidR="009E2AB9" w:rsidRDefault="009E2AB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1D5F375" w14:textId="77777777" w:rsidR="009E2AB9" w:rsidRDefault="009E2AB9">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47E9AA8B" w14:textId="77777777" w:rsidR="009E2AB9" w:rsidRDefault="009E2AB9">
            <w:pPr>
              <w:jc w:val="right"/>
              <w:rPr>
                <w:color w:val="000000"/>
                <w:sz w:val="20"/>
                <w:szCs w:val="20"/>
              </w:rPr>
            </w:pPr>
            <w:r>
              <w:rPr>
                <w:color w:val="000000"/>
                <w:sz w:val="20"/>
                <w:szCs w:val="20"/>
              </w:rPr>
              <w:t>0.407</w:t>
            </w:r>
          </w:p>
        </w:tc>
        <w:tc>
          <w:tcPr>
            <w:tcW w:w="864" w:type="dxa"/>
            <w:tcBorders>
              <w:top w:val="nil"/>
              <w:left w:val="nil"/>
              <w:bottom w:val="nil"/>
              <w:right w:val="nil"/>
            </w:tcBorders>
            <w:shd w:val="clear" w:color="auto" w:fill="auto"/>
            <w:noWrap/>
            <w:vAlign w:val="bottom"/>
            <w:hideMark/>
          </w:tcPr>
          <w:p w14:paraId="6A406492" w14:textId="77777777" w:rsidR="009E2AB9" w:rsidRDefault="009E2AB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35F1938" w14:textId="77777777" w:rsidR="009E2AB9" w:rsidRDefault="009E2AB9">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32574D90" w14:textId="77777777" w:rsidR="009E2AB9" w:rsidRDefault="009E2AB9">
            <w:pPr>
              <w:jc w:val="right"/>
              <w:rPr>
                <w:color w:val="000000"/>
                <w:sz w:val="20"/>
                <w:szCs w:val="20"/>
              </w:rPr>
            </w:pPr>
            <w:r>
              <w:rPr>
                <w:color w:val="000000"/>
                <w:sz w:val="20"/>
                <w:szCs w:val="20"/>
              </w:rPr>
              <w:t>0.895</w:t>
            </w:r>
          </w:p>
        </w:tc>
        <w:tc>
          <w:tcPr>
            <w:tcW w:w="864" w:type="dxa"/>
            <w:tcBorders>
              <w:top w:val="nil"/>
              <w:left w:val="nil"/>
              <w:bottom w:val="nil"/>
              <w:right w:val="nil"/>
            </w:tcBorders>
            <w:shd w:val="clear" w:color="auto" w:fill="auto"/>
            <w:noWrap/>
            <w:vAlign w:val="bottom"/>
            <w:hideMark/>
          </w:tcPr>
          <w:p w14:paraId="5A476D72" w14:textId="77777777" w:rsidR="009E2AB9" w:rsidRDefault="009E2AB9">
            <w:pPr>
              <w:jc w:val="right"/>
              <w:rPr>
                <w:color w:val="000000"/>
                <w:sz w:val="20"/>
                <w:szCs w:val="20"/>
              </w:rPr>
            </w:pPr>
            <w:r>
              <w:rPr>
                <w:color w:val="000000"/>
                <w:sz w:val="20"/>
                <w:szCs w:val="20"/>
              </w:rPr>
              <w:t>0.000</w:t>
            </w:r>
          </w:p>
        </w:tc>
      </w:tr>
      <w:tr w:rsidR="009E2AB9" w14:paraId="258514E0" w14:textId="77777777" w:rsidTr="004A2B50">
        <w:trPr>
          <w:trHeight w:val="320"/>
        </w:trPr>
        <w:tc>
          <w:tcPr>
            <w:tcW w:w="1152" w:type="dxa"/>
            <w:tcBorders>
              <w:top w:val="nil"/>
              <w:left w:val="nil"/>
              <w:bottom w:val="nil"/>
              <w:right w:val="nil"/>
            </w:tcBorders>
            <w:shd w:val="clear" w:color="auto" w:fill="auto"/>
            <w:noWrap/>
            <w:vAlign w:val="bottom"/>
            <w:hideMark/>
          </w:tcPr>
          <w:p w14:paraId="5740144F"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0580865" w14:textId="77777777" w:rsidR="009E2AB9" w:rsidRDefault="009E2AB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C46ECFF" w14:textId="77777777" w:rsidR="009E2AB9" w:rsidRDefault="009E2AB9">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27FED877" w14:textId="77777777" w:rsidR="009E2AB9" w:rsidRDefault="009E2AB9">
            <w:pPr>
              <w:jc w:val="right"/>
              <w:rPr>
                <w:color w:val="000000"/>
                <w:sz w:val="20"/>
                <w:szCs w:val="20"/>
              </w:rPr>
            </w:pPr>
            <w:r>
              <w:rPr>
                <w:color w:val="000000"/>
                <w:sz w:val="20"/>
                <w:szCs w:val="20"/>
              </w:rPr>
              <w:t>0.407</w:t>
            </w:r>
          </w:p>
        </w:tc>
        <w:tc>
          <w:tcPr>
            <w:tcW w:w="864" w:type="dxa"/>
            <w:tcBorders>
              <w:top w:val="nil"/>
              <w:left w:val="nil"/>
              <w:bottom w:val="nil"/>
              <w:right w:val="nil"/>
            </w:tcBorders>
            <w:shd w:val="clear" w:color="auto" w:fill="auto"/>
            <w:noWrap/>
            <w:vAlign w:val="bottom"/>
            <w:hideMark/>
          </w:tcPr>
          <w:p w14:paraId="76C3214C" w14:textId="77777777" w:rsidR="009E2AB9" w:rsidRDefault="009E2AB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6E1592B" w14:textId="77777777" w:rsidR="009E2AB9" w:rsidRDefault="009E2AB9">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7E26AA7F" w14:textId="77777777" w:rsidR="009E2AB9" w:rsidRDefault="009E2AB9">
            <w:pPr>
              <w:jc w:val="right"/>
              <w:rPr>
                <w:color w:val="000000"/>
                <w:sz w:val="20"/>
                <w:szCs w:val="20"/>
              </w:rPr>
            </w:pPr>
            <w:r>
              <w:rPr>
                <w:color w:val="000000"/>
                <w:sz w:val="20"/>
                <w:szCs w:val="20"/>
              </w:rPr>
              <w:t>0.895</w:t>
            </w:r>
          </w:p>
        </w:tc>
        <w:tc>
          <w:tcPr>
            <w:tcW w:w="864" w:type="dxa"/>
            <w:tcBorders>
              <w:top w:val="nil"/>
              <w:left w:val="nil"/>
              <w:bottom w:val="nil"/>
              <w:right w:val="nil"/>
            </w:tcBorders>
            <w:shd w:val="clear" w:color="auto" w:fill="auto"/>
            <w:noWrap/>
            <w:vAlign w:val="bottom"/>
            <w:hideMark/>
          </w:tcPr>
          <w:p w14:paraId="2C67CF36" w14:textId="77777777" w:rsidR="009E2AB9" w:rsidRDefault="009E2AB9">
            <w:pPr>
              <w:jc w:val="right"/>
              <w:rPr>
                <w:color w:val="000000"/>
                <w:sz w:val="20"/>
                <w:szCs w:val="20"/>
              </w:rPr>
            </w:pPr>
            <w:r>
              <w:rPr>
                <w:color w:val="000000"/>
                <w:sz w:val="20"/>
                <w:szCs w:val="20"/>
              </w:rPr>
              <w:t>0.000</w:t>
            </w:r>
          </w:p>
        </w:tc>
      </w:tr>
      <w:tr w:rsidR="009E2AB9" w14:paraId="2B135180" w14:textId="77777777" w:rsidTr="004A2B50">
        <w:trPr>
          <w:trHeight w:val="320"/>
        </w:trPr>
        <w:tc>
          <w:tcPr>
            <w:tcW w:w="1152" w:type="dxa"/>
            <w:tcBorders>
              <w:top w:val="nil"/>
              <w:left w:val="nil"/>
              <w:bottom w:val="nil"/>
              <w:right w:val="nil"/>
            </w:tcBorders>
            <w:shd w:val="clear" w:color="auto" w:fill="auto"/>
            <w:noWrap/>
            <w:vAlign w:val="bottom"/>
            <w:hideMark/>
          </w:tcPr>
          <w:p w14:paraId="7D7E8912"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A5D847A" w14:textId="77777777" w:rsidR="009E2AB9" w:rsidRDefault="009E2AB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0B02FC8" w14:textId="77777777" w:rsidR="009E2AB9" w:rsidRDefault="009E2AB9">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3226086A" w14:textId="77777777" w:rsidR="009E2AB9" w:rsidRDefault="009E2AB9">
            <w:pPr>
              <w:jc w:val="right"/>
              <w:rPr>
                <w:color w:val="000000"/>
                <w:sz w:val="20"/>
                <w:szCs w:val="20"/>
              </w:rPr>
            </w:pPr>
            <w:r>
              <w:rPr>
                <w:color w:val="000000"/>
                <w:sz w:val="20"/>
                <w:szCs w:val="20"/>
              </w:rPr>
              <w:t>0.407</w:t>
            </w:r>
          </w:p>
        </w:tc>
        <w:tc>
          <w:tcPr>
            <w:tcW w:w="864" w:type="dxa"/>
            <w:tcBorders>
              <w:top w:val="nil"/>
              <w:left w:val="nil"/>
              <w:bottom w:val="nil"/>
              <w:right w:val="nil"/>
            </w:tcBorders>
            <w:shd w:val="clear" w:color="auto" w:fill="auto"/>
            <w:noWrap/>
            <w:vAlign w:val="bottom"/>
            <w:hideMark/>
          </w:tcPr>
          <w:p w14:paraId="781D8E9D" w14:textId="77777777" w:rsidR="009E2AB9" w:rsidRDefault="009E2AB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0F52183" w14:textId="77777777" w:rsidR="009E2AB9" w:rsidRDefault="009E2AB9">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77135775" w14:textId="77777777" w:rsidR="009E2AB9" w:rsidRDefault="009E2AB9">
            <w:pPr>
              <w:jc w:val="right"/>
              <w:rPr>
                <w:color w:val="000000"/>
                <w:sz w:val="20"/>
                <w:szCs w:val="20"/>
              </w:rPr>
            </w:pPr>
            <w:r>
              <w:rPr>
                <w:color w:val="000000"/>
                <w:sz w:val="20"/>
                <w:szCs w:val="20"/>
              </w:rPr>
              <w:t>0.480</w:t>
            </w:r>
          </w:p>
        </w:tc>
        <w:tc>
          <w:tcPr>
            <w:tcW w:w="864" w:type="dxa"/>
            <w:tcBorders>
              <w:top w:val="nil"/>
              <w:left w:val="nil"/>
              <w:bottom w:val="nil"/>
              <w:right w:val="nil"/>
            </w:tcBorders>
            <w:shd w:val="clear" w:color="auto" w:fill="auto"/>
            <w:noWrap/>
            <w:vAlign w:val="bottom"/>
            <w:hideMark/>
          </w:tcPr>
          <w:p w14:paraId="3C0F1E89" w14:textId="77777777" w:rsidR="009E2AB9" w:rsidRDefault="009E2AB9">
            <w:pPr>
              <w:jc w:val="right"/>
              <w:rPr>
                <w:color w:val="000000"/>
                <w:sz w:val="20"/>
                <w:szCs w:val="20"/>
              </w:rPr>
            </w:pPr>
            <w:r>
              <w:rPr>
                <w:color w:val="000000"/>
                <w:sz w:val="20"/>
                <w:szCs w:val="20"/>
              </w:rPr>
              <w:t>0.002</w:t>
            </w:r>
          </w:p>
        </w:tc>
      </w:tr>
      <w:tr w:rsidR="009E2AB9" w14:paraId="2B165A9A" w14:textId="77777777" w:rsidTr="004A2B50">
        <w:trPr>
          <w:trHeight w:val="320"/>
        </w:trPr>
        <w:tc>
          <w:tcPr>
            <w:tcW w:w="1152" w:type="dxa"/>
            <w:tcBorders>
              <w:top w:val="nil"/>
              <w:left w:val="nil"/>
              <w:bottom w:val="single" w:sz="4" w:space="0" w:color="auto"/>
              <w:right w:val="nil"/>
            </w:tcBorders>
            <w:shd w:val="clear" w:color="auto" w:fill="auto"/>
            <w:noWrap/>
            <w:vAlign w:val="bottom"/>
            <w:hideMark/>
          </w:tcPr>
          <w:p w14:paraId="1F2A6C46" w14:textId="77777777" w:rsidR="009E2AB9" w:rsidRDefault="009E2AB9">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9888BED" w14:textId="77777777" w:rsidR="009E2AB9" w:rsidRDefault="009E2AB9">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66CDC6A" w14:textId="77777777" w:rsidR="009E2AB9" w:rsidRDefault="009E2AB9">
            <w:pPr>
              <w:jc w:val="right"/>
              <w:rPr>
                <w:color w:val="000000"/>
                <w:sz w:val="20"/>
                <w:szCs w:val="20"/>
              </w:rPr>
            </w:pPr>
            <w:r>
              <w:rPr>
                <w:color w:val="000000"/>
                <w:sz w:val="20"/>
                <w:szCs w:val="20"/>
              </w:rPr>
              <w:t>0.005</w:t>
            </w:r>
          </w:p>
        </w:tc>
        <w:tc>
          <w:tcPr>
            <w:tcW w:w="864" w:type="dxa"/>
            <w:tcBorders>
              <w:top w:val="nil"/>
              <w:left w:val="nil"/>
              <w:bottom w:val="single" w:sz="4" w:space="0" w:color="auto"/>
              <w:right w:val="nil"/>
            </w:tcBorders>
            <w:shd w:val="clear" w:color="auto" w:fill="auto"/>
            <w:noWrap/>
            <w:vAlign w:val="bottom"/>
            <w:hideMark/>
          </w:tcPr>
          <w:p w14:paraId="595095C3" w14:textId="77777777" w:rsidR="009E2AB9" w:rsidRDefault="009E2AB9">
            <w:pPr>
              <w:jc w:val="right"/>
              <w:rPr>
                <w:color w:val="000000"/>
                <w:sz w:val="20"/>
                <w:szCs w:val="20"/>
              </w:rPr>
            </w:pPr>
            <w:r>
              <w:rPr>
                <w:color w:val="000000"/>
                <w:sz w:val="20"/>
                <w:szCs w:val="20"/>
              </w:rPr>
              <w:t>0.898</w:t>
            </w:r>
          </w:p>
        </w:tc>
        <w:tc>
          <w:tcPr>
            <w:tcW w:w="864" w:type="dxa"/>
            <w:tcBorders>
              <w:top w:val="nil"/>
              <w:left w:val="nil"/>
              <w:bottom w:val="single" w:sz="4" w:space="0" w:color="auto"/>
              <w:right w:val="nil"/>
            </w:tcBorders>
            <w:shd w:val="clear" w:color="auto" w:fill="auto"/>
            <w:noWrap/>
            <w:vAlign w:val="bottom"/>
            <w:hideMark/>
          </w:tcPr>
          <w:p w14:paraId="038E5015" w14:textId="77777777" w:rsidR="009E2AB9" w:rsidRDefault="009E2AB9">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5A2DADF" w14:textId="77777777" w:rsidR="009E2AB9" w:rsidRDefault="009E2AB9">
            <w:pPr>
              <w:jc w:val="right"/>
              <w:rPr>
                <w:color w:val="000000"/>
                <w:sz w:val="20"/>
                <w:szCs w:val="20"/>
              </w:rPr>
            </w:pPr>
            <w:r>
              <w:rPr>
                <w:color w:val="000000"/>
                <w:sz w:val="20"/>
                <w:szCs w:val="20"/>
              </w:rPr>
              <w:t>-0.006</w:t>
            </w:r>
          </w:p>
        </w:tc>
        <w:tc>
          <w:tcPr>
            <w:tcW w:w="864" w:type="dxa"/>
            <w:tcBorders>
              <w:top w:val="nil"/>
              <w:left w:val="nil"/>
              <w:bottom w:val="single" w:sz="4" w:space="0" w:color="auto"/>
              <w:right w:val="nil"/>
            </w:tcBorders>
            <w:shd w:val="clear" w:color="auto" w:fill="auto"/>
            <w:noWrap/>
            <w:vAlign w:val="bottom"/>
            <w:hideMark/>
          </w:tcPr>
          <w:p w14:paraId="53B35B0D" w14:textId="77777777" w:rsidR="009E2AB9" w:rsidRDefault="009E2AB9">
            <w:pPr>
              <w:jc w:val="right"/>
              <w:rPr>
                <w:color w:val="000000"/>
                <w:sz w:val="20"/>
                <w:szCs w:val="20"/>
              </w:rPr>
            </w:pPr>
            <w:r>
              <w:rPr>
                <w:color w:val="000000"/>
                <w:sz w:val="20"/>
                <w:szCs w:val="20"/>
              </w:rPr>
              <w:t>0.895</w:t>
            </w:r>
          </w:p>
        </w:tc>
        <w:tc>
          <w:tcPr>
            <w:tcW w:w="864" w:type="dxa"/>
            <w:tcBorders>
              <w:top w:val="nil"/>
              <w:left w:val="nil"/>
              <w:bottom w:val="single" w:sz="4" w:space="0" w:color="auto"/>
              <w:right w:val="nil"/>
            </w:tcBorders>
            <w:shd w:val="clear" w:color="auto" w:fill="auto"/>
            <w:noWrap/>
            <w:vAlign w:val="bottom"/>
            <w:hideMark/>
          </w:tcPr>
          <w:p w14:paraId="22B8EAD9" w14:textId="77777777" w:rsidR="009E2AB9" w:rsidRDefault="009E2AB9">
            <w:pPr>
              <w:jc w:val="right"/>
              <w:rPr>
                <w:color w:val="000000"/>
                <w:sz w:val="20"/>
                <w:szCs w:val="20"/>
              </w:rPr>
            </w:pPr>
            <w:r>
              <w:rPr>
                <w:color w:val="000000"/>
                <w:sz w:val="20"/>
                <w:szCs w:val="20"/>
              </w:rPr>
              <w:t>0.000</w:t>
            </w:r>
          </w:p>
        </w:tc>
      </w:tr>
      <w:tr w:rsidR="009E2AB9" w14:paraId="1D49F64E" w14:textId="77777777" w:rsidTr="004A2B50">
        <w:trPr>
          <w:trHeight w:val="320"/>
        </w:trPr>
        <w:tc>
          <w:tcPr>
            <w:tcW w:w="1152" w:type="dxa"/>
            <w:tcBorders>
              <w:top w:val="nil"/>
              <w:left w:val="nil"/>
              <w:bottom w:val="nil"/>
              <w:right w:val="nil"/>
            </w:tcBorders>
            <w:shd w:val="clear" w:color="auto" w:fill="auto"/>
            <w:noWrap/>
            <w:vAlign w:val="bottom"/>
            <w:hideMark/>
          </w:tcPr>
          <w:p w14:paraId="139EA2A2" w14:textId="77777777" w:rsidR="009E2AB9" w:rsidRDefault="009E2AB9">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47D1EEC7" w14:textId="77777777" w:rsidR="009E2AB9" w:rsidRDefault="009E2AB9">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5BC21E89" w14:textId="77777777" w:rsidR="009E2AB9" w:rsidRDefault="009E2AB9">
            <w:pPr>
              <w:jc w:val="right"/>
              <w:rPr>
                <w:b/>
                <w:bCs/>
                <w:color w:val="000000"/>
                <w:sz w:val="20"/>
                <w:szCs w:val="20"/>
              </w:rPr>
            </w:pPr>
            <w:r>
              <w:rPr>
                <w:b/>
                <w:bCs/>
                <w:color w:val="000000"/>
                <w:sz w:val="20"/>
                <w:szCs w:val="20"/>
              </w:rPr>
              <w:t>0.092</w:t>
            </w:r>
          </w:p>
        </w:tc>
        <w:tc>
          <w:tcPr>
            <w:tcW w:w="864" w:type="dxa"/>
            <w:tcBorders>
              <w:top w:val="nil"/>
              <w:left w:val="nil"/>
              <w:bottom w:val="nil"/>
              <w:right w:val="nil"/>
            </w:tcBorders>
            <w:shd w:val="clear" w:color="auto" w:fill="auto"/>
            <w:noWrap/>
            <w:vAlign w:val="bottom"/>
            <w:hideMark/>
          </w:tcPr>
          <w:p w14:paraId="411A4A3B" w14:textId="77777777" w:rsidR="009E2AB9" w:rsidRDefault="009E2AB9">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289E98D2" w14:textId="77777777" w:rsidR="009E2AB9" w:rsidRDefault="009E2AB9">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67596C88" w14:textId="77777777" w:rsidR="009E2AB9" w:rsidRDefault="009E2AB9">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6CA578BE" w14:textId="77777777" w:rsidR="009E2AB9" w:rsidRDefault="009E2AB9">
            <w:pPr>
              <w:jc w:val="right"/>
              <w:rPr>
                <w:color w:val="000000"/>
                <w:sz w:val="20"/>
                <w:szCs w:val="20"/>
              </w:rPr>
            </w:pPr>
            <w:r>
              <w:rPr>
                <w:color w:val="000000"/>
                <w:sz w:val="20"/>
                <w:szCs w:val="20"/>
              </w:rPr>
              <w:t>0.080</w:t>
            </w:r>
          </w:p>
        </w:tc>
        <w:tc>
          <w:tcPr>
            <w:tcW w:w="864" w:type="dxa"/>
            <w:tcBorders>
              <w:top w:val="nil"/>
              <w:left w:val="nil"/>
              <w:bottom w:val="nil"/>
              <w:right w:val="nil"/>
            </w:tcBorders>
            <w:shd w:val="clear" w:color="auto" w:fill="auto"/>
            <w:noWrap/>
            <w:vAlign w:val="bottom"/>
            <w:hideMark/>
          </w:tcPr>
          <w:p w14:paraId="2315FAF9" w14:textId="77777777" w:rsidR="009E2AB9" w:rsidRDefault="009E2AB9">
            <w:pPr>
              <w:jc w:val="right"/>
              <w:rPr>
                <w:color w:val="000000"/>
                <w:sz w:val="20"/>
                <w:szCs w:val="20"/>
              </w:rPr>
            </w:pPr>
            <w:r>
              <w:rPr>
                <w:color w:val="000000"/>
                <w:sz w:val="20"/>
                <w:szCs w:val="20"/>
              </w:rPr>
              <w:t>0.005</w:t>
            </w:r>
          </w:p>
        </w:tc>
      </w:tr>
      <w:tr w:rsidR="009E2AB9" w14:paraId="1EE629A5" w14:textId="77777777" w:rsidTr="004A2B50">
        <w:trPr>
          <w:trHeight w:val="320"/>
        </w:trPr>
        <w:tc>
          <w:tcPr>
            <w:tcW w:w="1152" w:type="dxa"/>
            <w:tcBorders>
              <w:top w:val="nil"/>
              <w:left w:val="nil"/>
              <w:bottom w:val="nil"/>
              <w:right w:val="nil"/>
            </w:tcBorders>
            <w:shd w:val="clear" w:color="auto" w:fill="auto"/>
            <w:noWrap/>
            <w:vAlign w:val="bottom"/>
            <w:hideMark/>
          </w:tcPr>
          <w:p w14:paraId="397ACBA1"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E2A94B" w14:textId="77777777" w:rsidR="009E2AB9" w:rsidRDefault="009E2AB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08578DD" w14:textId="77777777" w:rsidR="009E2AB9" w:rsidRDefault="009E2AB9">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0B7A8F3B" w14:textId="77777777" w:rsidR="009E2AB9" w:rsidRDefault="009E2AB9">
            <w:pPr>
              <w:jc w:val="right"/>
              <w:rPr>
                <w:color w:val="000000"/>
                <w:sz w:val="20"/>
                <w:szCs w:val="20"/>
              </w:rPr>
            </w:pPr>
            <w:r>
              <w:rPr>
                <w:color w:val="000000"/>
                <w:sz w:val="20"/>
                <w:szCs w:val="20"/>
              </w:rPr>
              <w:t>0.624</w:t>
            </w:r>
          </w:p>
        </w:tc>
        <w:tc>
          <w:tcPr>
            <w:tcW w:w="864" w:type="dxa"/>
            <w:tcBorders>
              <w:top w:val="nil"/>
              <w:left w:val="nil"/>
              <w:bottom w:val="nil"/>
              <w:right w:val="nil"/>
            </w:tcBorders>
            <w:shd w:val="clear" w:color="auto" w:fill="auto"/>
            <w:noWrap/>
            <w:vAlign w:val="bottom"/>
            <w:hideMark/>
          </w:tcPr>
          <w:p w14:paraId="77D56ED8" w14:textId="77777777" w:rsidR="009E2AB9" w:rsidRDefault="009E2AB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20A5F4F" w14:textId="77777777" w:rsidR="009E2AB9" w:rsidRDefault="009E2AB9">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72F749DD" w14:textId="77777777" w:rsidR="009E2AB9" w:rsidRDefault="009E2AB9">
            <w:pPr>
              <w:jc w:val="right"/>
              <w:rPr>
                <w:color w:val="000000"/>
                <w:sz w:val="20"/>
                <w:szCs w:val="20"/>
              </w:rPr>
            </w:pPr>
            <w:r>
              <w:rPr>
                <w:color w:val="000000"/>
                <w:sz w:val="20"/>
                <w:szCs w:val="20"/>
              </w:rPr>
              <w:t>0.517</w:t>
            </w:r>
          </w:p>
        </w:tc>
        <w:tc>
          <w:tcPr>
            <w:tcW w:w="864" w:type="dxa"/>
            <w:tcBorders>
              <w:top w:val="nil"/>
              <w:left w:val="nil"/>
              <w:bottom w:val="nil"/>
              <w:right w:val="nil"/>
            </w:tcBorders>
            <w:shd w:val="clear" w:color="auto" w:fill="auto"/>
            <w:noWrap/>
            <w:vAlign w:val="bottom"/>
            <w:hideMark/>
          </w:tcPr>
          <w:p w14:paraId="13D9A045" w14:textId="77777777" w:rsidR="009E2AB9" w:rsidRDefault="009E2AB9">
            <w:pPr>
              <w:jc w:val="right"/>
              <w:rPr>
                <w:color w:val="000000"/>
                <w:sz w:val="20"/>
                <w:szCs w:val="20"/>
              </w:rPr>
            </w:pPr>
            <w:r>
              <w:rPr>
                <w:color w:val="000000"/>
                <w:sz w:val="20"/>
                <w:szCs w:val="20"/>
              </w:rPr>
              <w:t>0.001</w:t>
            </w:r>
          </w:p>
        </w:tc>
      </w:tr>
      <w:tr w:rsidR="009E2AB9" w14:paraId="69C3CCFF" w14:textId="77777777" w:rsidTr="004A2B50">
        <w:trPr>
          <w:trHeight w:val="320"/>
        </w:trPr>
        <w:tc>
          <w:tcPr>
            <w:tcW w:w="1152" w:type="dxa"/>
            <w:tcBorders>
              <w:top w:val="nil"/>
              <w:left w:val="nil"/>
              <w:bottom w:val="nil"/>
              <w:right w:val="nil"/>
            </w:tcBorders>
            <w:shd w:val="clear" w:color="auto" w:fill="auto"/>
            <w:noWrap/>
            <w:vAlign w:val="bottom"/>
            <w:hideMark/>
          </w:tcPr>
          <w:p w14:paraId="7ED869B7"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F5C9C52" w14:textId="77777777" w:rsidR="009E2AB9" w:rsidRDefault="009E2AB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EE5E5F5" w14:textId="77777777" w:rsidR="009E2AB9" w:rsidRDefault="009E2AB9">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44B3BE9F" w14:textId="77777777" w:rsidR="009E2AB9" w:rsidRDefault="009E2AB9">
            <w:pPr>
              <w:jc w:val="right"/>
              <w:rPr>
                <w:color w:val="000000"/>
                <w:sz w:val="20"/>
                <w:szCs w:val="20"/>
              </w:rPr>
            </w:pPr>
            <w:r>
              <w:rPr>
                <w:color w:val="000000"/>
                <w:sz w:val="20"/>
                <w:szCs w:val="20"/>
              </w:rPr>
              <w:t>0.787</w:t>
            </w:r>
          </w:p>
        </w:tc>
        <w:tc>
          <w:tcPr>
            <w:tcW w:w="864" w:type="dxa"/>
            <w:tcBorders>
              <w:top w:val="nil"/>
              <w:left w:val="nil"/>
              <w:bottom w:val="nil"/>
              <w:right w:val="nil"/>
            </w:tcBorders>
            <w:shd w:val="clear" w:color="auto" w:fill="auto"/>
            <w:noWrap/>
            <w:vAlign w:val="bottom"/>
            <w:hideMark/>
          </w:tcPr>
          <w:p w14:paraId="3EA4B2B4" w14:textId="77777777" w:rsidR="009E2AB9" w:rsidRDefault="009E2AB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F686E2B" w14:textId="77777777" w:rsidR="009E2AB9" w:rsidRDefault="009E2AB9">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74574C19" w14:textId="77777777" w:rsidR="009E2AB9" w:rsidRDefault="009E2AB9">
            <w:pPr>
              <w:jc w:val="right"/>
              <w:rPr>
                <w:color w:val="000000"/>
                <w:sz w:val="20"/>
                <w:szCs w:val="20"/>
              </w:rPr>
            </w:pPr>
            <w:r>
              <w:rPr>
                <w:color w:val="000000"/>
                <w:sz w:val="20"/>
                <w:szCs w:val="20"/>
              </w:rPr>
              <w:t>0.517</w:t>
            </w:r>
          </w:p>
        </w:tc>
        <w:tc>
          <w:tcPr>
            <w:tcW w:w="864" w:type="dxa"/>
            <w:tcBorders>
              <w:top w:val="nil"/>
              <w:left w:val="nil"/>
              <w:bottom w:val="nil"/>
              <w:right w:val="nil"/>
            </w:tcBorders>
            <w:shd w:val="clear" w:color="auto" w:fill="auto"/>
            <w:noWrap/>
            <w:vAlign w:val="bottom"/>
            <w:hideMark/>
          </w:tcPr>
          <w:p w14:paraId="540F4B2D" w14:textId="77777777" w:rsidR="009E2AB9" w:rsidRDefault="009E2AB9">
            <w:pPr>
              <w:jc w:val="right"/>
              <w:rPr>
                <w:color w:val="000000"/>
                <w:sz w:val="20"/>
                <w:szCs w:val="20"/>
              </w:rPr>
            </w:pPr>
            <w:r>
              <w:rPr>
                <w:color w:val="000000"/>
                <w:sz w:val="20"/>
                <w:szCs w:val="20"/>
              </w:rPr>
              <w:t>0.002</w:t>
            </w:r>
          </w:p>
        </w:tc>
      </w:tr>
      <w:tr w:rsidR="009E2AB9" w14:paraId="60CE4675" w14:textId="77777777" w:rsidTr="004A2B50">
        <w:trPr>
          <w:trHeight w:val="320"/>
        </w:trPr>
        <w:tc>
          <w:tcPr>
            <w:tcW w:w="1152" w:type="dxa"/>
            <w:tcBorders>
              <w:top w:val="nil"/>
              <w:left w:val="nil"/>
              <w:bottom w:val="nil"/>
              <w:right w:val="nil"/>
            </w:tcBorders>
            <w:shd w:val="clear" w:color="auto" w:fill="auto"/>
            <w:noWrap/>
            <w:vAlign w:val="bottom"/>
            <w:hideMark/>
          </w:tcPr>
          <w:p w14:paraId="179C2FB3"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DDEB06E" w14:textId="77777777" w:rsidR="009E2AB9" w:rsidRDefault="009E2AB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32353F6" w14:textId="77777777" w:rsidR="009E2AB9" w:rsidRDefault="009E2AB9">
            <w:pPr>
              <w:jc w:val="right"/>
              <w:rPr>
                <w:color w:val="000000"/>
                <w:sz w:val="20"/>
                <w:szCs w:val="20"/>
              </w:rPr>
            </w:pPr>
            <w:r>
              <w:rPr>
                <w:color w:val="000000"/>
                <w:sz w:val="20"/>
                <w:szCs w:val="20"/>
              </w:rPr>
              <w:t>-0.073</w:t>
            </w:r>
          </w:p>
        </w:tc>
        <w:tc>
          <w:tcPr>
            <w:tcW w:w="864" w:type="dxa"/>
            <w:tcBorders>
              <w:top w:val="nil"/>
              <w:left w:val="nil"/>
              <w:bottom w:val="nil"/>
              <w:right w:val="nil"/>
            </w:tcBorders>
            <w:shd w:val="clear" w:color="auto" w:fill="auto"/>
            <w:noWrap/>
            <w:vAlign w:val="bottom"/>
            <w:hideMark/>
          </w:tcPr>
          <w:p w14:paraId="3D58E2B4" w14:textId="77777777" w:rsidR="009E2AB9" w:rsidRDefault="009E2AB9">
            <w:pPr>
              <w:jc w:val="right"/>
              <w:rPr>
                <w:color w:val="000000"/>
                <w:sz w:val="20"/>
                <w:szCs w:val="20"/>
              </w:rPr>
            </w:pPr>
            <w:r>
              <w:rPr>
                <w:color w:val="000000"/>
                <w:sz w:val="20"/>
                <w:szCs w:val="20"/>
              </w:rPr>
              <w:t>0.152</w:t>
            </w:r>
          </w:p>
        </w:tc>
        <w:tc>
          <w:tcPr>
            <w:tcW w:w="864" w:type="dxa"/>
            <w:tcBorders>
              <w:top w:val="nil"/>
              <w:left w:val="nil"/>
              <w:bottom w:val="nil"/>
              <w:right w:val="nil"/>
            </w:tcBorders>
            <w:shd w:val="clear" w:color="auto" w:fill="auto"/>
            <w:noWrap/>
            <w:vAlign w:val="bottom"/>
            <w:hideMark/>
          </w:tcPr>
          <w:p w14:paraId="15FDE12B" w14:textId="77777777" w:rsidR="009E2AB9" w:rsidRDefault="009E2AB9">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47B3F6ED" w14:textId="77777777" w:rsidR="009E2AB9" w:rsidRDefault="009E2AB9">
            <w:pPr>
              <w:jc w:val="right"/>
              <w:rPr>
                <w:color w:val="000000"/>
                <w:sz w:val="20"/>
                <w:szCs w:val="20"/>
              </w:rPr>
            </w:pPr>
            <w:r>
              <w:rPr>
                <w:color w:val="000000"/>
                <w:sz w:val="20"/>
                <w:szCs w:val="20"/>
              </w:rPr>
              <w:t>-0.049</w:t>
            </w:r>
          </w:p>
        </w:tc>
        <w:tc>
          <w:tcPr>
            <w:tcW w:w="864" w:type="dxa"/>
            <w:tcBorders>
              <w:top w:val="nil"/>
              <w:left w:val="nil"/>
              <w:bottom w:val="nil"/>
              <w:right w:val="nil"/>
            </w:tcBorders>
            <w:shd w:val="clear" w:color="auto" w:fill="auto"/>
            <w:noWrap/>
            <w:vAlign w:val="bottom"/>
            <w:hideMark/>
          </w:tcPr>
          <w:p w14:paraId="5E14C6CD" w14:textId="77777777" w:rsidR="009E2AB9" w:rsidRDefault="009E2AB9">
            <w:pPr>
              <w:jc w:val="right"/>
              <w:rPr>
                <w:color w:val="000000"/>
                <w:sz w:val="20"/>
                <w:szCs w:val="20"/>
              </w:rPr>
            </w:pPr>
            <w:r>
              <w:rPr>
                <w:color w:val="000000"/>
                <w:sz w:val="20"/>
                <w:szCs w:val="20"/>
              </w:rPr>
              <w:t>0.517</w:t>
            </w:r>
          </w:p>
        </w:tc>
        <w:tc>
          <w:tcPr>
            <w:tcW w:w="864" w:type="dxa"/>
            <w:tcBorders>
              <w:top w:val="nil"/>
              <w:left w:val="nil"/>
              <w:bottom w:val="nil"/>
              <w:right w:val="nil"/>
            </w:tcBorders>
            <w:shd w:val="clear" w:color="auto" w:fill="auto"/>
            <w:noWrap/>
            <w:vAlign w:val="bottom"/>
            <w:hideMark/>
          </w:tcPr>
          <w:p w14:paraId="5E1B851B" w14:textId="77777777" w:rsidR="009E2AB9" w:rsidRDefault="009E2AB9">
            <w:pPr>
              <w:jc w:val="right"/>
              <w:rPr>
                <w:color w:val="000000"/>
                <w:sz w:val="20"/>
                <w:szCs w:val="20"/>
              </w:rPr>
            </w:pPr>
            <w:r>
              <w:rPr>
                <w:color w:val="000000"/>
                <w:sz w:val="20"/>
                <w:szCs w:val="20"/>
              </w:rPr>
              <w:t>0.002</w:t>
            </w:r>
          </w:p>
        </w:tc>
      </w:tr>
      <w:tr w:rsidR="009E2AB9" w14:paraId="05735EF4" w14:textId="77777777" w:rsidTr="004A2B50">
        <w:trPr>
          <w:trHeight w:val="320"/>
        </w:trPr>
        <w:tc>
          <w:tcPr>
            <w:tcW w:w="1152" w:type="dxa"/>
            <w:tcBorders>
              <w:top w:val="nil"/>
              <w:left w:val="nil"/>
              <w:bottom w:val="nil"/>
              <w:right w:val="nil"/>
            </w:tcBorders>
            <w:shd w:val="clear" w:color="auto" w:fill="auto"/>
            <w:noWrap/>
            <w:vAlign w:val="bottom"/>
            <w:hideMark/>
          </w:tcPr>
          <w:p w14:paraId="6471D4B0"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DF94A23" w14:textId="77777777" w:rsidR="009E2AB9" w:rsidRDefault="009E2AB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F9E17A0" w14:textId="77777777" w:rsidR="009E2AB9" w:rsidRDefault="009E2AB9">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4EFD3927" w14:textId="77777777" w:rsidR="009E2AB9" w:rsidRDefault="009E2AB9">
            <w:pPr>
              <w:jc w:val="right"/>
              <w:rPr>
                <w:color w:val="000000"/>
                <w:sz w:val="20"/>
                <w:szCs w:val="20"/>
              </w:rPr>
            </w:pPr>
            <w:r>
              <w:rPr>
                <w:color w:val="000000"/>
                <w:sz w:val="20"/>
                <w:szCs w:val="20"/>
              </w:rPr>
              <w:t>0.624</w:t>
            </w:r>
          </w:p>
        </w:tc>
        <w:tc>
          <w:tcPr>
            <w:tcW w:w="864" w:type="dxa"/>
            <w:tcBorders>
              <w:top w:val="nil"/>
              <w:left w:val="nil"/>
              <w:bottom w:val="nil"/>
              <w:right w:val="nil"/>
            </w:tcBorders>
            <w:shd w:val="clear" w:color="auto" w:fill="auto"/>
            <w:noWrap/>
            <w:vAlign w:val="bottom"/>
            <w:hideMark/>
          </w:tcPr>
          <w:p w14:paraId="638679D0" w14:textId="77777777" w:rsidR="009E2AB9" w:rsidRDefault="009E2AB9">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8FC08F0" w14:textId="77777777" w:rsidR="009E2AB9" w:rsidRDefault="009E2AB9">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37EFBA00" w14:textId="77777777" w:rsidR="009E2AB9" w:rsidRDefault="009E2AB9">
            <w:pPr>
              <w:jc w:val="right"/>
              <w:rPr>
                <w:color w:val="000000"/>
                <w:sz w:val="20"/>
                <w:szCs w:val="20"/>
              </w:rPr>
            </w:pPr>
            <w:r>
              <w:rPr>
                <w:color w:val="000000"/>
                <w:sz w:val="20"/>
                <w:szCs w:val="20"/>
              </w:rPr>
              <w:t>0.590</w:t>
            </w:r>
          </w:p>
        </w:tc>
        <w:tc>
          <w:tcPr>
            <w:tcW w:w="864" w:type="dxa"/>
            <w:tcBorders>
              <w:top w:val="nil"/>
              <w:left w:val="nil"/>
              <w:bottom w:val="nil"/>
              <w:right w:val="nil"/>
            </w:tcBorders>
            <w:shd w:val="clear" w:color="auto" w:fill="auto"/>
            <w:noWrap/>
            <w:vAlign w:val="bottom"/>
            <w:hideMark/>
          </w:tcPr>
          <w:p w14:paraId="02BF718A" w14:textId="77777777" w:rsidR="009E2AB9" w:rsidRDefault="009E2AB9">
            <w:pPr>
              <w:jc w:val="right"/>
              <w:rPr>
                <w:color w:val="000000"/>
                <w:sz w:val="20"/>
                <w:szCs w:val="20"/>
              </w:rPr>
            </w:pPr>
            <w:r>
              <w:rPr>
                <w:color w:val="000000"/>
                <w:sz w:val="20"/>
                <w:szCs w:val="20"/>
              </w:rPr>
              <w:t>0.000</w:t>
            </w:r>
          </w:p>
        </w:tc>
      </w:tr>
      <w:tr w:rsidR="009E2AB9" w14:paraId="2F4D8094" w14:textId="77777777" w:rsidTr="004A2B50">
        <w:trPr>
          <w:trHeight w:val="320"/>
        </w:trPr>
        <w:tc>
          <w:tcPr>
            <w:tcW w:w="1152" w:type="dxa"/>
            <w:tcBorders>
              <w:top w:val="nil"/>
              <w:left w:val="nil"/>
              <w:bottom w:val="nil"/>
              <w:right w:val="nil"/>
            </w:tcBorders>
            <w:shd w:val="clear" w:color="auto" w:fill="auto"/>
            <w:noWrap/>
            <w:vAlign w:val="bottom"/>
            <w:hideMark/>
          </w:tcPr>
          <w:p w14:paraId="360E6360"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1073534" w14:textId="77777777" w:rsidR="009E2AB9" w:rsidRDefault="009E2AB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C90E68D" w14:textId="77777777" w:rsidR="009E2AB9" w:rsidRDefault="009E2AB9">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0DE9A730" w14:textId="77777777" w:rsidR="009E2AB9" w:rsidRDefault="009E2AB9">
            <w:pPr>
              <w:jc w:val="right"/>
              <w:rPr>
                <w:color w:val="000000"/>
                <w:sz w:val="20"/>
                <w:szCs w:val="20"/>
              </w:rPr>
            </w:pPr>
            <w:r>
              <w:rPr>
                <w:color w:val="000000"/>
                <w:sz w:val="20"/>
                <w:szCs w:val="20"/>
              </w:rPr>
              <w:t>0.883</w:t>
            </w:r>
          </w:p>
        </w:tc>
        <w:tc>
          <w:tcPr>
            <w:tcW w:w="864" w:type="dxa"/>
            <w:tcBorders>
              <w:top w:val="nil"/>
              <w:left w:val="nil"/>
              <w:bottom w:val="nil"/>
              <w:right w:val="nil"/>
            </w:tcBorders>
            <w:shd w:val="clear" w:color="auto" w:fill="auto"/>
            <w:noWrap/>
            <w:vAlign w:val="bottom"/>
            <w:hideMark/>
          </w:tcPr>
          <w:p w14:paraId="57BF8892" w14:textId="77777777" w:rsidR="009E2AB9" w:rsidRDefault="009E2AB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9E7225A" w14:textId="77777777" w:rsidR="009E2AB9" w:rsidRDefault="009E2AB9">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631DC450" w14:textId="77777777" w:rsidR="009E2AB9" w:rsidRDefault="009E2AB9">
            <w:pPr>
              <w:jc w:val="right"/>
              <w:rPr>
                <w:color w:val="000000"/>
                <w:sz w:val="20"/>
                <w:szCs w:val="20"/>
              </w:rPr>
            </w:pPr>
            <w:r>
              <w:rPr>
                <w:color w:val="000000"/>
                <w:sz w:val="20"/>
                <w:szCs w:val="20"/>
              </w:rPr>
              <w:t>0.517</w:t>
            </w:r>
          </w:p>
        </w:tc>
        <w:tc>
          <w:tcPr>
            <w:tcW w:w="864" w:type="dxa"/>
            <w:tcBorders>
              <w:top w:val="nil"/>
              <w:left w:val="nil"/>
              <w:bottom w:val="nil"/>
              <w:right w:val="nil"/>
            </w:tcBorders>
            <w:shd w:val="clear" w:color="auto" w:fill="auto"/>
            <w:noWrap/>
            <w:vAlign w:val="bottom"/>
            <w:hideMark/>
          </w:tcPr>
          <w:p w14:paraId="0801274E" w14:textId="77777777" w:rsidR="009E2AB9" w:rsidRDefault="009E2AB9">
            <w:pPr>
              <w:jc w:val="right"/>
              <w:rPr>
                <w:color w:val="000000"/>
                <w:sz w:val="20"/>
                <w:szCs w:val="20"/>
              </w:rPr>
            </w:pPr>
            <w:r>
              <w:rPr>
                <w:color w:val="000000"/>
                <w:sz w:val="20"/>
                <w:szCs w:val="20"/>
              </w:rPr>
              <w:t>0.001</w:t>
            </w:r>
          </w:p>
        </w:tc>
      </w:tr>
      <w:tr w:rsidR="009E2AB9" w14:paraId="3BB7855E" w14:textId="77777777" w:rsidTr="004A2B50">
        <w:trPr>
          <w:trHeight w:val="320"/>
        </w:trPr>
        <w:tc>
          <w:tcPr>
            <w:tcW w:w="1152" w:type="dxa"/>
            <w:tcBorders>
              <w:top w:val="nil"/>
              <w:left w:val="nil"/>
              <w:bottom w:val="nil"/>
              <w:right w:val="nil"/>
            </w:tcBorders>
            <w:shd w:val="clear" w:color="auto" w:fill="auto"/>
            <w:noWrap/>
            <w:vAlign w:val="bottom"/>
            <w:hideMark/>
          </w:tcPr>
          <w:p w14:paraId="4B4A6BCE"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116A6F7" w14:textId="77777777" w:rsidR="009E2AB9" w:rsidRDefault="009E2AB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D0FFF23" w14:textId="77777777" w:rsidR="009E2AB9" w:rsidRDefault="009E2AB9">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49BBBE67" w14:textId="77777777" w:rsidR="009E2AB9" w:rsidRDefault="009E2AB9">
            <w:pPr>
              <w:jc w:val="right"/>
              <w:rPr>
                <w:color w:val="000000"/>
                <w:sz w:val="20"/>
                <w:szCs w:val="20"/>
              </w:rPr>
            </w:pPr>
            <w:r>
              <w:rPr>
                <w:color w:val="000000"/>
                <w:sz w:val="20"/>
                <w:szCs w:val="20"/>
              </w:rPr>
              <w:t>0.917</w:t>
            </w:r>
          </w:p>
        </w:tc>
        <w:tc>
          <w:tcPr>
            <w:tcW w:w="864" w:type="dxa"/>
            <w:tcBorders>
              <w:top w:val="nil"/>
              <w:left w:val="nil"/>
              <w:bottom w:val="nil"/>
              <w:right w:val="nil"/>
            </w:tcBorders>
            <w:shd w:val="clear" w:color="auto" w:fill="auto"/>
            <w:noWrap/>
            <w:vAlign w:val="bottom"/>
            <w:hideMark/>
          </w:tcPr>
          <w:p w14:paraId="42844ECF" w14:textId="77777777" w:rsidR="009E2AB9" w:rsidRDefault="009E2AB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8D0296C" w14:textId="77777777" w:rsidR="009E2AB9" w:rsidRDefault="009E2AB9">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14D2065A" w14:textId="77777777" w:rsidR="009E2AB9" w:rsidRDefault="009E2AB9">
            <w:pPr>
              <w:jc w:val="right"/>
              <w:rPr>
                <w:color w:val="000000"/>
                <w:sz w:val="20"/>
                <w:szCs w:val="20"/>
              </w:rPr>
            </w:pPr>
            <w:r>
              <w:rPr>
                <w:color w:val="000000"/>
                <w:sz w:val="20"/>
                <w:szCs w:val="20"/>
              </w:rPr>
              <w:t>0.517</w:t>
            </w:r>
          </w:p>
        </w:tc>
        <w:tc>
          <w:tcPr>
            <w:tcW w:w="864" w:type="dxa"/>
            <w:tcBorders>
              <w:top w:val="nil"/>
              <w:left w:val="nil"/>
              <w:bottom w:val="nil"/>
              <w:right w:val="nil"/>
            </w:tcBorders>
            <w:shd w:val="clear" w:color="auto" w:fill="auto"/>
            <w:noWrap/>
            <w:vAlign w:val="bottom"/>
            <w:hideMark/>
          </w:tcPr>
          <w:p w14:paraId="584A76AC" w14:textId="77777777" w:rsidR="009E2AB9" w:rsidRDefault="009E2AB9">
            <w:pPr>
              <w:jc w:val="right"/>
              <w:rPr>
                <w:color w:val="000000"/>
                <w:sz w:val="20"/>
                <w:szCs w:val="20"/>
              </w:rPr>
            </w:pPr>
            <w:r>
              <w:rPr>
                <w:color w:val="000000"/>
                <w:sz w:val="20"/>
                <w:szCs w:val="20"/>
              </w:rPr>
              <w:t>0.001</w:t>
            </w:r>
          </w:p>
        </w:tc>
      </w:tr>
      <w:tr w:rsidR="009E2AB9" w14:paraId="0984C9C9" w14:textId="77777777" w:rsidTr="004A2B50">
        <w:trPr>
          <w:trHeight w:val="320"/>
        </w:trPr>
        <w:tc>
          <w:tcPr>
            <w:tcW w:w="1152" w:type="dxa"/>
            <w:tcBorders>
              <w:top w:val="nil"/>
              <w:left w:val="nil"/>
              <w:bottom w:val="single" w:sz="4" w:space="0" w:color="auto"/>
              <w:right w:val="nil"/>
            </w:tcBorders>
            <w:shd w:val="clear" w:color="auto" w:fill="auto"/>
            <w:noWrap/>
            <w:vAlign w:val="bottom"/>
            <w:hideMark/>
          </w:tcPr>
          <w:p w14:paraId="0A843BAC" w14:textId="77777777" w:rsidR="009E2AB9" w:rsidRDefault="009E2AB9">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DF1E4C4" w14:textId="77777777" w:rsidR="009E2AB9" w:rsidRDefault="009E2AB9">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13E1FE49" w14:textId="77777777" w:rsidR="009E2AB9" w:rsidRDefault="009E2AB9">
            <w:pPr>
              <w:jc w:val="right"/>
              <w:rPr>
                <w:color w:val="000000"/>
                <w:sz w:val="20"/>
                <w:szCs w:val="20"/>
              </w:rPr>
            </w:pPr>
            <w:r>
              <w:rPr>
                <w:color w:val="000000"/>
                <w:sz w:val="20"/>
                <w:szCs w:val="20"/>
              </w:rPr>
              <w:t>0.040</w:t>
            </w:r>
          </w:p>
        </w:tc>
        <w:tc>
          <w:tcPr>
            <w:tcW w:w="864" w:type="dxa"/>
            <w:tcBorders>
              <w:top w:val="nil"/>
              <w:left w:val="nil"/>
              <w:bottom w:val="single" w:sz="4" w:space="0" w:color="auto"/>
              <w:right w:val="nil"/>
            </w:tcBorders>
            <w:shd w:val="clear" w:color="auto" w:fill="auto"/>
            <w:noWrap/>
            <w:vAlign w:val="bottom"/>
            <w:hideMark/>
          </w:tcPr>
          <w:p w14:paraId="5FE4EA25" w14:textId="77777777" w:rsidR="009E2AB9" w:rsidRDefault="009E2AB9">
            <w:pPr>
              <w:jc w:val="right"/>
              <w:rPr>
                <w:color w:val="000000"/>
                <w:sz w:val="20"/>
                <w:szCs w:val="20"/>
              </w:rPr>
            </w:pPr>
            <w:r>
              <w:rPr>
                <w:color w:val="000000"/>
                <w:sz w:val="20"/>
                <w:szCs w:val="20"/>
              </w:rPr>
              <w:t>0.624</w:t>
            </w:r>
          </w:p>
        </w:tc>
        <w:tc>
          <w:tcPr>
            <w:tcW w:w="864" w:type="dxa"/>
            <w:tcBorders>
              <w:top w:val="nil"/>
              <w:left w:val="nil"/>
              <w:bottom w:val="single" w:sz="4" w:space="0" w:color="auto"/>
              <w:right w:val="nil"/>
            </w:tcBorders>
            <w:shd w:val="clear" w:color="auto" w:fill="auto"/>
            <w:noWrap/>
            <w:vAlign w:val="bottom"/>
            <w:hideMark/>
          </w:tcPr>
          <w:p w14:paraId="6BF76D0C" w14:textId="77777777" w:rsidR="009E2AB9" w:rsidRDefault="009E2AB9">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0E1F5CE0" w14:textId="77777777" w:rsidR="009E2AB9" w:rsidRDefault="009E2AB9">
            <w:pPr>
              <w:jc w:val="right"/>
              <w:rPr>
                <w:color w:val="000000"/>
                <w:sz w:val="20"/>
                <w:szCs w:val="20"/>
              </w:rPr>
            </w:pPr>
            <w:r>
              <w:rPr>
                <w:color w:val="000000"/>
                <w:sz w:val="20"/>
                <w:szCs w:val="20"/>
              </w:rPr>
              <w:t>0.023</w:t>
            </w:r>
          </w:p>
        </w:tc>
        <w:tc>
          <w:tcPr>
            <w:tcW w:w="864" w:type="dxa"/>
            <w:tcBorders>
              <w:top w:val="nil"/>
              <w:left w:val="nil"/>
              <w:bottom w:val="single" w:sz="4" w:space="0" w:color="auto"/>
              <w:right w:val="nil"/>
            </w:tcBorders>
            <w:shd w:val="clear" w:color="auto" w:fill="auto"/>
            <w:noWrap/>
            <w:vAlign w:val="bottom"/>
            <w:hideMark/>
          </w:tcPr>
          <w:p w14:paraId="643AA60F" w14:textId="77777777" w:rsidR="009E2AB9" w:rsidRDefault="009E2AB9">
            <w:pPr>
              <w:jc w:val="right"/>
              <w:rPr>
                <w:color w:val="000000"/>
                <w:sz w:val="20"/>
                <w:szCs w:val="20"/>
              </w:rPr>
            </w:pPr>
            <w:r>
              <w:rPr>
                <w:color w:val="000000"/>
                <w:sz w:val="20"/>
                <w:szCs w:val="20"/>
              </w:rPr>
              <w:t>0.590</w:t>
            </w:r>
          </w:p>
        </w:tc>
        <w:tc>
          <w:tcPr>
            <w:tcW w:w="864" w:type="dxa"/>
            <w:tcBorders>
              <w:top w:val="nil"/>
              <w:left w:val="nil"/>
              <w:bottom w:val="single" w:sz="4" w:space="0" w:color="auto"/>
              <w:right w:val="nil"/>
            </w:tcBorders>
            <w:shd w:val="clear" w:color="auto" w:fill="auto"/>
            <w:noWrap/>
            <w:vAlign w:val="bottom"/>
            <w:hideMark/>
          </w:tcPr>
          <w:p w14:paraId="39017F7E" w14:textId="77777777" w:rsidR="009E2AB9" w:rsidRDefault="009E2AB9">
            <w:pPr>
              <w:jc w:val="right"/>
              <w:rPr>
                <w:color w:val="000000"/>
                <w:sz w:val="20"/>
                <w:szCs w:val="20"/>
              </w:rPr>
            </w:pPr>
            <w:r>
              <w:rPr>
                <w:color w:val="000000"/>
                <w:sz w:val="20"/>
                <w:szCs w:val="20"/>
              </w:rPr>
              <w:t>0.001</w:t>
            </w:r>
          </w:p>
        </w:tc>
      </w:tr>
      <w:tr w:rsidR="009E2AB9" w14:paraId="016C2F9C" w14:textId="77777777" w:rsidTr="004A2B50">
        <w:trPr>
          <w:trHeight w:val="320"/>
        </w:trPr>
        <w:tc>
          <w:tcPr>
            <w:tcW w:w="1152" w:type="dxa"/>
            <w:tcBorders>
              <w:top w:val="nil"/>
              <w:left w:val="nil"/>
              <w:bottom w:val="nil"/>
              <w:right w:val="nil"/>
            </w:tcBorders>
            <w:shd w:val="clear" w:color="auto" w:fill="auto"/>
            <w:noWrap/>
            <w:vAlign w:val="bottom"/>
            <w:hideMark/>
          </w:tcPr>
          <w:p w14:paraId="463DE2A9" w14:textId="77777777" w:rsidR="009E2AB9" w:rsidRDefault="009E2AB9">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4F2D418A" w14:textId="77777777" w:rsidR="009E2AB9" w:rsidRDefault="009E2AB9">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638244D" w14:textId="77777777" w:rsidR="009E2AB9" w:rsidRDefault="009E2AB9">
            <w:pPr>
              <w:jc w:val="right"/>
              <w:rPr>
                <w:color w:val="000000"/>
                <w:sz w:val="20"/>
                <w:szCs w:val="20"/>
              </w:rPr>
            </w:pPr>
            <w:r>
              <w:rPr>
                <w:color w:val="000000"/>
                <w:sz w:val="20"/>
                <w:szCs w:val="20"/>
              </w:rPr>
              <w:t>0.055</w:t>
            </w:r>
          </w:p>
        </w:tc>
        <w:tc>
          <w:tcPr>
            <w:tcW w:w="864" w:type="dxa"/>
            <w:tcBorders>
              <w:top w:val="nil"/>
              <w:left w:val="nil"/>
              <w:bottom w:val="nil"/>
              <w:right w:val="nil"/>
            </w:tcBorders>
            <w:shd w:val="clear" w:color="auto" w:fill="auto"/>
            <w:noWrap/>
            <w:vAlign w:val="bottom"/>
            <w:hideMark/>
          </w:tcPr>
          <w:p w14:paraId="02D5574C" w14:textId="77777777" w:rsidR="009E2AB9" w:rsidRDefault="009E2AB9">
            <w:pPr>
              <w:jc w:val="right"/>
              <w:rPr>
                <w:color w:val="000000"/>
                <w:sz w:val="20"/>
                <w:szCs w:val="20"/>
              </w:rPr>
            </w:pPr>
            <w:r>
              <w:rPr>
                <w:color w:val="000000"/>
                <w:sz w:val="20"/>
                <w:szCs w:val="20"/>
              </w:rPr>
              <w:t>0.232</w:t>
            </w:r>
          </w:p>
        </w:tc>
        <w:tc>
          <w:tcPr>
            <w:tcW w:w="864" w:type="dxa"/>
            <w:tcBorders>
              <w:top w:val="nil"/>
              <w:left w:val="nil"/>
              <w:bottom w:val="nil"/>
              <w:right w:val="nil"/>
            </w:tcBorders>
            <w:shd w:val="clear" w:color="auto" w:fill="auto"/>
            <w:noWrap/>
            <w:vAlign w:val="bottom"/>
            <w:hideMark/>
          </w:tcPr>
          <w:p w14:paraId="4D82B05C" w14:textId="77777777" w:rsidR="009E2AB9" w:rsidRDefault="009E2AB9">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9B4AAA4" w14:textId="77777777" w:rsidR="009E2AB9" w:rsidRDefault="009E2AB9">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130331AB" w14:textId="77777777" w:rsidR="009E2AB9" w:rsidRDefault="009E2AB9">
            <w:pPr>
              <w:jc w:val="right"/>
              <w:rPr>
                <w:color w:val="000000"/>
                <w:sz w:val="20"/>
                <w:szCs w:val="20"/>
              </w:rPr>
            </w:pPr>
            <w:r>
              <w:rPr>
                <w:color w:val="000000"/>
                <w:sz w:val="20"/>
                <w:szCs w:val="20"/>
              </w:rPr>
              <w:t>0.072</w:t>
            </w:r>
          </w:p>
        </w:tc>
        <w:tc>
          <w:tcPr>
            <w:tcW w:w="864" w:type="dxa"/>
            <w:tcBorders>
              <w:top w:val="nil"/>
              <w:left w:val="nil"/>
              <w:bottom w:val="nil"/>
              <w:right w:val="nil"/>
            </w:tcBorders>
            <w:shd w:val="clear" w:color="auto" w:fill="auto"/>
            <w:noWrap/>
            <w:vAlign w:val="bottom"/>
            <w:hideMark/>
          </w:tcPr>
          <w:p w14:paraId="7C9529A9" w14:textId="77777777" w:rsidR="009E2AB9" w:rsidRDefault="009E2AB9">
            <w:pPr>
              <w:jc w:val="right"/>
              <w:rPr>
                <w:color w:val="000000"/>
                <w:sz w:val="20"/>
                <w:szCs w:val="20"/>
              </w:rPr>
            </w:pPr>
            <w:r>
              <w:rPr>
                <w:color w:val="000000"/>
                <w:sz w:val="20"/>
                <w:szCs w:val="20"/>
              </w:rPr>
              <w:t>0.005</w:t>
            </w:r>
          </w:p>
        </w:tc>
      </w:tr>
      <w:tr w:rsidR="009E2AB9" w14:paraId="51A9857F" w14:textId="77777777" w:rsidTr="004A2B50">
        <w:trPr>
          <w:trHeight w:val="320"/>
        </w:trPr>
        <w:tc>
          <w:tcPr>
            <w:tcW w:w="1152" w:type="dxa"/>
            <w:tcBorders>
              <w:top w:val="nil"/>
              <w:left w:val="nil"/>
              <w:bottom w:val="nil"/>
              <w:right w:val="nil"/>
            </w:tcBorders>
            <w:shd w:val="clear" w:color="auto" w:fill="auto"/>
            <w:noWrap/>
            <w:vAlign w:val="bottom"/>
            <w:hideMark/>
          </w:tcPr>
          <w:p w14:paraId="2E6B26D9"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FBE2EFE" w14:textId="77777777" w:rsidR="009E2AB9" w:rsidRDefault="009E2AB9">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E1DBBA7" w14:textId="77777777" w:rsidR="009E2AB9" w:rsidRDefault="009E2AB9">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75B4AAB7" w14:textId="77777777" w:rsidR="009E2AB9" w:rsidRDefault="009E2AB9">
            <w:pPr>
              <w:jc w:val="right"/>
              <w:rPr>
                <w:color w:val="000000"/>
                <w:sz w:val="20"/>
                <w:szCs w:val="20"/>
              </w:rPr>
            </w:pPr>
            <w:r>
              <w:rPr>
                <w:color w:val="000000"/>
                <w:sz w:val="20"/>
                <w:szCs w:val="20"/>
              </w:rPr>
              <w:t>0.826</w:t>
            </w:r>
          </w:p>
        </w:tc>
        <w:tc>
          <w:tcPr>
            <w:tcW w:w="864" w:type="dxa"/>
            <w:tcBorders>
              <w:top w:val="nil"/>
              <w:left w:val="nil"/>
              <w:bottom w:val="nil"/>
              <w:right w:val="nil"/>
            </w:tcBorders>
            <w:shd w:val="clear" w:color="auto" w:fill="auto"/>
            <w:noWrap/>
            <w:vAlign w:val="bottom"/>
            <w:hideMark/>
          </w:tcPr>
          <w:p w14:paraId="2F061F66" w14:textId="77777777" w:rsidR="009E2AB9" w:rsidRDefault="009E2AB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8EF5BB5" w14:textId="77777777" w:rsidR="009E2AB9" w:rsidRDefault="009E2AB9">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319DE574" w14:textId="77777777" w:rsidR="009E2AB9" w:rsidRDefault="009E2AB9">
            <w:pPr>
              <w:jc w:val="right"/>
              <w:rPr>
                <w:color w:val="000000"/>
                <w:sz w:val="20"/>
                <w:szCs w:val="20"/>
              </w:rPr>
            </w:pPr>
            <w:r>
              <w:rPr>
                <w:color w:val="000000"/>
                <w:sz w:val="20"/>
                <w:szCs w:val="20"/>
              </w:rPr>
              <w:t>0.463</w:t>
            </w:r>
          </w:p>
        </w:tc>
        <w:tc>
          <w:tcPr>
            <w:tcW w:w="864" w:type="dxa"/>
            <w:tcBorders>
              <w:top w:val="nil"/>
              <w:left w:val="nil"/>
              <w:bottom w:val="nil"/>
              <w:right w:val="nil"/>
            </w:tcBorders>
            <w:shd w:val="clear" w:color="auto" w:fill="auto"/>
            <w:noWrap/>
            <w:vAlign w:val="bottom"/>
            <w:hideMark/>
          </w:tcPr>
          <w:p w14:paraId="11785D8C" w14:textId="77777777" w:rsidR="009E2AB9" w:rsidRDefault="009E2AB9">
            <w:pPr>
              <w:jc w:val="right"/>
              <w:rPr>
                <w:color w:val="000000"/>
                <w:sz w:val="20"/>
                <w:szCs w:val="20"/>
              </w:rPr>
            </w:pPr>
            <w:r>
              <w:rPr>
                <w:color w:val="000000"/>
                <w:sz w:val="20"/>
                <w:szCs w:val="20"/>
              </w:rPr>
              <w:t>0.001</w:t>
            </w:r>
          </w:p>
        </w:tc>
      </w:tr>
      <w:tr w:rsidR="009E2AB9" w14:paraId="635A1FD4" w14:textId="77777777" w:rsidTr="004A2B50">
        <w:trPr>
          <w:trHeight w:val="320"/>
        </w:trPr>
        <w:tc>
          <w:tcPr>
            <w:tcW w:w="1152" w:type="dxa"/>
            <w:tcBorders>
              <w:top w:val="nil"/>
              <w:left w:val="nil"/>
              <w:bottom w:val="nil"/>
              <w:right w:val="nil"/>
            </w:tcBorders>
            <w:shd w:val="clear" w:color="auto" w:fill="auto"/>
            <w:noWrap/>
            <w:vAlign w:val="bottom"/>
            <w:hideMark/>
          </w:tcPr>
          <w:p w14:paraId="6F733778"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223EABC" w14:textId="77777777" w:rsidR="009E2AB9" w:rsidRDefault="009E2AB9">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6F0F6C1" w14:textId="77777777" w:rsidR="009E2AB9" w:rsidRDefault="009E2AB9">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05371665" w14:textId="77777777" w:rsidR="009E2AB9" w:rsidRDefault="009E2AB9">
            <w:pPr>
              <w:jc w:val="right"/>
              <w:rPr>
                <w:color w:val="000000"/>
                <w:sz w:val="20"/>
                <w:szCs w:val="20"/>
              </w:rPr>
            </w:pPr>
            <w:r>
              <w:rPr>
                <w:color w:val="000000"/>
                <w:sz w:val="20"/>
                <w:szCs w:val="20"/>
              </w:rPr>
              <w:t>0.288</w:t>
            </w:r>
          </w:p>
        </w:tc>
        <w:tc>
          <w:tcPr>
            <w:tcW w:w="864" w:type="dxa"/>
            <w:tcBorders>
              <w:top w:val="nil"/>
              <w:left w:val="nil"/>
              <w:bottom w:val="nil"/>
              <w:right w:val="nil"/>
            </w:tcBorders>
            <w:shd w:val="clear" w:color="auto" w:fill="auto"/>
            <w:noWrap/>
            <w:vAlign w:val="bottom"/>
            <w:hideMark/>
          </w:tcPr>
          <w:p w14:paraId="2D62D0B9" w14:textId="77777777" w:rsidR="009E2AB9" w:rsidRDefault="009E2AB9">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2EE0D3E" w14:textId="77777777" w:rsidR="009E2AB9" w:rsidRDefault="009E2AB9">
            <w:pPr>
              <w:jc w:val="right"/>
              <w:rPr>
                <w:color w:val="000000"/>
                <w:sz w:val="20"/>
                <w:szCs w:val="20"/>
              </w:rPr>
            </w:pPr>
            <w:r>
              <w:rPr>
                <w:color w:val="000000"/>
                <w:sz w:val="20"/>
                <w:szCs w:val="20"/>
              </w:rPr>
              <w:t>-0.081</w:t>
            </w:r>
          </w:p>
        </w:tc>
        <w:tc>
          <w:tcPr>
            <w:tcW w:w="864" w:type="dxa"/>
            <w:tcBorders>
              <w:top w:val="nil"/>
              <w:left w:val="nil"/>
              <w:bottom w:val="nil"/>
              <w:right w:val="nil"/>
            </w:tcBorders>
            <w:shd w:val="clear" w:color="auto" w:fill="auto"/>
            <w:noWrap/>
            <w:vAlign w:val="bottom"/>
            <w:hideMark/>
          </w:tcPr>
          <w:p w14:paraId="417EDAAA" w14:textId="77777777" w:rsidR="009E2AB9" w:rsidRDefault="009E2AB9">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3A978F1D" w14:textId="77777777" w:rsidR="009E2AB9" w:rsidRDefault="009E2AB9">
            <w:pPr>
              <w:jc w:val="right"/>
              <w:rPr>
                <w:color w:val="000000"/>
                <w:sz w:val="20"/>
                <w:szCs w:val="20"/>
              </w:rPr>
            </w:pPr>
            <w:r>
              <w:rPr>
                <w:color w:val="000000"/>
                <w:sz w:val="20"/>
                <w:szCs w:val="20"/>
              </w:rPr>
              <w:t>0.007</w:t>
            </w:r>
          </w:p>
        </w:tc>
      </w:tr>
      <w:tr w:rsidR="009E2AB9" w14:paraId="5CF0391C" w14:textId="77777777" w:rsidTr="004A2B50">
        <w:trPr>
          <w:trHeight w:val="320"/>
        </w:trPr>
        <w:tc>
          <w:tcPr>
            <w:tcW w:w="1152" w:type="dxa"/>
            <w:tcBorders>
              <w:top w:val="nil"/>
              <w:left w:val="nil"/>
              <w:bottom w:val="nil"/>
              <w:right w:val="nil"/>
            </w:tcBorders>
            <w:shd w:val="clear" w:color="auto" w:fill="auto"/>
            <w:noWrap/>
            <w:vAlign w:val="bottom"/>
            <w:hideMark/>
          </w:tcPr>
          <w:p w14:paraId="1383EF1F"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7792957" w14:textId="77777777" w:rsidR="009E2AB9" w:rsidRDefault="009E2AB9">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E33C779" w14:textId="77777777" w:rsidR="009E2AB9" w:rsidRDefault="009E2AB9">
            <w:pPr>
              <w:jc w:val="right"/>
              <w:rPr>
                <w:color w:val="000000"/>
                <w:sz w:val="20"/>
                <w:szCs w:val="20"/>
              </w:rPr>
            </w:pPr>
            <w:r>
              <w:rPr>
                <w:color w:val="000000"/>
                <w:sz w:val="20"/>
                <w:szCs w:val="20"/>
              </w:rPr>
              <w:t>-0.075</w:t>
            </w:r>
          </w:p>
        </w:tc>
        <w:tc>
          <w:tcPr>
            <w:tcW w:w="864" w:type="dxa"/>
            <w:tcBorders>
              <w:top w:val="nil"/>
              <w:left w:val="nil"/>
              <w:bottom w:val="nil"/>
              <w:right w:val="nil"/>
            </w:tcBorders>
            <w:shd w:val="clear" w:color="auto" w:fill="auto"/>
            <w:noWrap/>
            <w:vAlign w:val="bottom"/>
            <w:hideMark/>
          </w:tcPr>
          <w:p w14:paraId="737830C4" w14:textId="77777777" w:rsidR="009E2AB9" w:rsidRDefault="009E2AB9">
            <w:pPr>
              <w:jc w:val="right"/>
              <w:rPr>
                <w:color w:val="000000"/>
                <w:sz w:val="20"/>
                <w:szCs w:val="20"/>
              </w:rPr>
            </w:pPr>
            <w:r>
              <w:rPr>
                <w:color w:val="000000"/>
                <w:sz w:val="20"/>
                <w:szCs w:val="20"/>
              </w:rPr>
              <w:t>0.120</w:t>
            </w:r>
          </w:p>
        </w:tc>
        <w:tc>
          <w:tcPr>
            <w:tcW w:w="864" w:type="dxa"/>
            <w:tcBorders>
              <w:top w:val="nil"/>
              <w:left w:val="nil"/>
              <w:bottom w:val="nil"/>
              <w:right w:val="nil"/>
            </w:tcBorders>
            <w:shd w:val="clear" w:color="auto" w:fill="auto"/>
            <w:noWrap/>
            <w:vAlign w:val="bottom"/>
            <w:hideMark/>
          </w:tcPr>
          <w:p w14:paraId="64F3B7CD" w14:textId="77777777" w:rsidR="009E2AB9" w:rsidRDefault="009E2AB9">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74DF2330" w14:textId="77777777" w:rsidR="009E2AB9" w:rsidRDefault="009E2AB9">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2F55E1F9" w14:textId="77777777" w:rsidR="009E2AB9" w:rsidRDefault="009E2AB9">
            <w:pPr>
              <w:jc w:val="right"/>
              <w:rPr>
                <w:color w:val="000000"/>
                <w:sz w:val="20"/>
                <w:szCs w:val="20"/>
              </w:rPr>
            </w:pPr>
            <w:r>
              <w:rPr>
                <w:color w:val="000000"/>
                <w:sz w:val="20"/>
                <w:szCs w:val="20"/>
              </w:rPr>
              <w:t>0.104</w:t>
            </w:r>
          </w:p>
        </w:tc>
        <w:tc>
          <w:tcPr>
            <w:tcW w:w="864" w:type="dxa"/>
            <w:tcBorders>
              <w:top w:val="nil"/>
              <w:left w:val="nil"/>
              <w:bottom w:val="nil"/>
              <w:right w:val="nil"/>
            </w:tcBorders>
            <w:shd w:val="clear" w:color="auto" w:fill="auto"/>
            <w:noWrap/>
            <w:vAlign w:val="bottom"/>
            <w:hideMark/>
          </w:tcPr>
          <w:p w14:paraId="0CCAD8EA" w14:textId="77777777" w:rsidR="009E2AB9" w:rsidRDefault="009E2AB9">
            <w:pPr>
              <w:jc w:val="right"/>
              <w:rPr>
                <w:color w:val="000000"/>
                <w:sz w:val="20"/>
                <w:szCs w:val="20"/>
              </w:rPr>
            </w:pPr>
            <w:r>
              <w:rPr>
                <w:color w:val="000000"/>
                <w:sz w:val="20"/>
                <w:szCs w:val="20"/>
              </w:rPr>
              <w:t>0.004</w:t>
            </w:r>
          </w:p>
        </w:tc>
      </w:tr>
      <w:tr w:rsidR="009E2AB9" w14:paraId="08948AC6" w14:textId="77777777" w:rsidTr="004A2B50">
        <w:trPr>
          <w:trHeight w:val="320"/>
        </w:trPr>
        <w:tc>
          <w:tcPr>
            <w:tcW w:w="1152" w:type="dxa"/>
            <w:tcBorders>
              <w:top w:val="nil"/>
              <w:left w:val="nil"/>
              <w:bottom w:val="nil"/>
              <w:right w:val="nil"/>
            </w:tcBorders>
            <w:shd w:val="clear" w:color="auto" w:fill="auto"/>
            <w:noWrap/>
            <w:vAlign w:val="bottom"/>
            <w:hideMark/>
          </w:tcPr>
          <w:p w14:paraId="06CBD88B"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53EF927" w14:textId="77777777" w:rsidR="009E2AB9" w:rsidRDefault="009E2AB9">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BE930E5" w14:textId="77777777" w:rsidR="009E2AB9" w:rsidRDefault="009E2AB9">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6C05B853" w14:textId="77777777" w:rsidR="009E2AB9" w:rsidRDefault="009E2AB9">
            <w:pPr>
              <w:jc w:val="right"/>
              <w:rPr>
                <w:color w:val="000000"/>
                <w:sz w:val="20"/>
                <w:szCs w:val="20"/>
              </w:rPr>
            </w:pPr>
            <w:r>
              <w:rPr>
                <w:color w:val="000000"/>
                <w:sz w:val="20"/>
                <w:szCs w:val="20"/>
              </w:rPr>
              <w:t>0.826</w:t>
            </w:r>
          </w:p>
        </w:tc>
        <w:tc>
          <w:tcPr>
            <w:tcW w:w="864" w:type="dxa"/>
            <w:tcBorders>
              <w:top w:val="nil"/>
              <w:left w:val="nil"/>
              <w:bottom w:val="nil"/>
              <w:right w:val="nil"/>
            </w:tcBorders>
            <w:shd w:val="clear" w:color="auto" w:fill="auto"/>
            <w:noWrap/>
            <w:vAlign w:val="bottom"/>
            <w:hideMark/>
          </w:tcPr>
          <w:p w14:paraId="327D412A" w14:textId="77777777" w:rsidR="009E2AB9" w:rsidRDefault="009E2AB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A39A939" w14:textId="77777777" w:rsidR="009E2AB9" w:rsidRDefault="009E2AB9">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611DB5B0" w14:textId="77777777" w:rsidR="009E2AB9" w:rsidRDefault="009E2AB9">
            <w:pPr>
              <w:jc w:val="right"/>
              <w:rPr>
                <w:color w:val="000000"/>
                <w:sz w:val="20"/>
                <w:szCs w:val="20"/>
              </w:rPr>
            </w:pPr>
            <w:r>
              <w:rPr>
                <w:color w:val="000000"/>
                <w:sz w:val="20"/>
                <w:szCs w:val="20"/>
              </w:rPr>
              <w:t>0.590</w:t>
            </w:r>
          </w:p>
        </w:tc>
        <w:tc>
          <w:tcPr>
            <w:tcW w:w="864" w:type="dxa"/>
            <w:tcBorders>
              <w:top w:val="nil"/>
              <w:left w:val="nil"/>
              <w:bottom w:val="nil"/>
              <w:right w:val="nil"/>
            </w:tcBorders>
            <w:shd w:val="clear" w:color="auto" w:fill="auto"/>
            <w:noWrap/>
            <w:vAlign w:val="bottom"/>
            <w:hideMark/>
          </w:tcPr>
          <w:p w14:paraId="4BD013CD" w14:textId="77777777" w:rsidR="009E2AB9" w:rsidRDefault="009E2AB9">
            <w:pPr>
              <w:jc w:val="right"/>
              <w:rPr>
                <w:color w:val="000000"/>
                <w:sz w:val="20"/>
                <w:szCs w:val="20"/>
              </w:rPr>
            </w:pPr>
            <w:r>
              <w:rPr>
                <w:color w:val="000000"/>
                <w:sz w:val="20"/>
                <w:szCs w:val="20"/>
              </w:rPr>
              <w:t>0.000</w:t>
            </w:r>
          </w:p>
        </w:tc>
      </w:tr>
      <w:tr w:rsidR="009E2AB9" w14:paraId="2DDFB777" w14:textId="77777777" w:rsidTr="004A2B50">
        <w:trPr>
          <w:trHeight w:val="320"/>
        </w:trPr>
        <w:tc>
          <w:tcPr>
            <w:tcW w:w="1152" w:type="dxa"/>
            <w:tcBorders>
              <w:top w:val="nil"/>
              <w:left w:val="nil"/>
              <w:bottom w:val="nil"/>
              <w:right w:val="nil"/>
            </w:tcBorders>
            <w:shd w:val="clear" w:color="auto" w:fill="auto"/>
            <w:noWrap/>
            <w:vAlign w:val="bottom"/>
            <w:hideMark/>
          </w:tcPr>
          <w:p w14:paraId="459C859A"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BE3D37" w14:textId="77777777" w:rsidR="009E2AB9" w:rsidRDefault="009E2AB9">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D3F1968" w14:textId="77777777" w:rsidR="009E2AB9" w:rsidRDefault="009E2AB9">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38BE8DFD" w14:textId="77777777" w:rsidR="009E2AB9" w:rsidRDefault="009E2AB9">
            <w:pPr>
              <w:jc w:val="right"/>
              <w:rPr>
                <w:color w:val="000000"/>
                <w:sz w:val="20"/>
                <w:szCs w:val="20"/>
              </w:rPr>
            </w:pPr>
            <w:r>
              <w:rPr>
                <w:color w:val="000000"/>
                <w:sz w:val="20"/>
                <w:szCs w:val="20"/>
              </w:rPr>
              <w:t>0.826</w:t>
            </w:r>
          </w:p>
        </w:tc>
        <w:tc>
          <w:tcPr>
            <w:tcW w:w="864" w:type="dxa"/>
            <w:tcBorders>
              <w:top w:val="nil"/>
              <w:left w:val="nil"/>
              <w:bottom w:val="nil"/>
              <w:right w:val="nil"/>
            </w:tcBorders>
            <w:shd w:val="clear" w:color="auto" w:fill="auto"/>
            <w:noWrap/>
            <w:vAlign w:val="bottom"/>
            <w:hideMark/>
          </w:tcPr>
          <w:p w14:paraId="0159E946" w14:textId="77777777" w:rsidR="009E2AB9" w:rsidRDefault="009E2AB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156C50B" w14:textId="77777777" w:rsidR="009E2AB9" w:rsidRDefault="009E2AB9">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28D2340E" w14:textId="77777777" w:rsidR="009E2AB9" w:rsidRDefault="009E2AB9">
            <w:pPr>
              <w:jc w:val="right"/>
              <w:rPr>
                <w:color w:val="000000"/>
                <w:sz w:val="20"/>
                <w:szCs w:val="20"/>
              </w:rPr>
            </w:pPr>
            <w:r>
              <w:rPr>
                <w:color w:val="000000"/>
                <w:sz w:val="20"/>
                <w:szCs w:val="20"/>
              </w:rPr>
              <w:t>0.542</w:t>
            </w:r>
          </w:p>
        </w:tc>
        <w:tc>
          <w:tcPr>
            <w:tcW w:w="864" w:type="dxa"/>
            <w:tcBorders>
              <w:top w:val="nil"/>
              <w:left w:val="nil"/>
              <w:bottom w:val="nil"/>
              <w:right w:val="nil"/>
            </w:tcBorders>
            <w:shd w:val="clear" w:color="auto" w:fill="auto"/>
            <w:noWrap/>
            <w:vAlign w:val="bottom"/>
            <w:hideMark/>
          </w:tcPr>
          <w:p w14:paraId="2323C23F" w14:textId="77777777" w:rsidR="009E2AB9" w:rsidRDefault="009E2AB9">
            <w:pPr>
              <w:jc w:val="right"/>
              <w:rPr>
                <w:color w:val="000000"/>
                <w:sz w:val="20"/>
                <w:szCs w:val="20"/>
              </w:rPr>
            </w:pPr>
            <w:r>
              <w:rPr>
                <w:color w:val="000000"/>
                <w:sz w:val="20"/>
                <w:szCs w:val="20"/>
              </w:rPr>
              <w:t>0.000</w:t>
            </w:r>
          </w:p>
        </w:tc>
      </w:tr>
      <w:tr w:rsidR="009E2AB9" w14:paraId="1301C3A1" w14:textId="77777777" w:rsidTr="004A2B50">
        <w:trPr>
          <w:trHeight w:val="320"/>
        </w:trPr>
        <w:tc>
          <w:tcPr>
            <w:tcW w:w="1152" w:type="dxa"/>
            <w:tcBorders>
              <w:top w:val="nil"/>
              <w:left w:val="nil"/>
              <w:bottom w:val="nil"/>
              <w:right w:val="nil"/>
            </w:tcBorders>
            <w:shd w:val="clear" w:color="auto" w:fill="auto"/>
            <w:noWrap/>
            <w:vAlign w:val="bottom"/>
            <w:hideMark/>
          </w:tcPr>
          <w:p w14:paraId="7A8E1C21" w14:textId="77777777" w:rsidR="009E2AB9" w:rsidRDefault="009E2AB9">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8DA1E44" w14:textId="77777777" w:rsidR="009E2AB9" w:rsidRDefault="009E2AB9">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2C7EF58" w14:textId="77777777" w:rsidR="009E2AB9" w:rsidRDefault="009E2AB9">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6B35D83C" w14:textId="77777777" w:rsidR="009E2AB9" w:rsidRDefault="009E2AB9">
            <w:pPr>
              <w:jc w:val="right"/>
              <w:rPr>
                <w:color w:val="000000"/>
                <w:sz w:val="20"/>
                <w:szCs w:val="20"/>
              </w:rPr>
            </w:pPr>
            <w:r>
              <w:rPr>
                <w:color w:val="000000"/>
                <w:sz w:val="20"/>
                <w:szCs w:val="20"/>
              </w:rPr>
              <w:t>0.826</w:t>
            </w:r>
          </w:p>
        </w:tc>
        <w:tc>
          <w:tcPr>
            <w:tcW w:w="864" w:type="dxa"/>
            <w:tcBorders>
              <w:top w:val="nil"/>
              <w:left w:val="nil"/>
              <w:bottom w:val="nil"/>
              <w:right w:val="nil"/>
            </w:tcBorders>
            <w:shd w:val="clear" w:color="auto" w:fill="auto"/>
            <w:noWrap/>
            <w:vAlign w:val="bottom"/>
            <w:hideMark/>
          </w:tcPr>
          <w:p w14:paraId="0BB56AC3" w14:textId="77777777" w:rsidR="009E2AB9" w:rsidRDefault="009E2AB9">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9CD8325" w14:textId="77777777" w:rsidR="009E2AB9" w:rsidRDefault="009E2AB9">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6C2D0725" w14:textId="77777777" w:rsidR="009E2AB9" w:rsidRDefault="009E2AB9">
            <w:pPr>
              <w:jc w:val="right"/>
              <w:rPr>
                <w:color w:val="000000"/>
                <w:sz w:val="20"/>
                <w:szCs w:val="20"/>
              </w:rPr>
            </w:pPr>
            <w:r>
              <w:rPr>
                <w:color w:val="000000"/>
                <w:sz w:val="20"/>
                <w:szCs w:val="20"/>
              </w:rPr>
              <w:t>0.432</w:t>
            </w:r>
          </w:p>
        </w:tc>
        <w:tc>
          <w:tcPr>
            <w:tcW w:w="864" w:type="dxa"/>
            <w:tcBorders>
              <w:top w:val="nil"/>
              <w:left w:val="nil"/>
              <w:bottom w:val="nil"/>
              <w:right w:val="nil"/>
            </w:tcBorders>
            <w:shd w:val="clear" w:color="auto" w:fill="auto"/>
            <w:noWrap/>
            <w:vAlign w:val="bottom"/>
            <w:hideMark/>
          </w:tcPr>
          <w:p w14:paraId="1677F514" w14:textId="77777777" w:rsidR="009E2AB9" w:rsidRDefault="009E2AB9">
            <w:pPr>
              <w:jc w:val="right"/>
              <w:rPr>
                <w:color w:val="000000"/>
                <w:sz w:val="20"/>
                <w:szCs w:val="20"/>
              </w:rPr>
            </w:pPr>
            <w:r>
              <w:rPr>
                <w:color w:val="000000"/>
                <w:sz w:val="20"/>
                <w:szCs w:val="20"/>
              </w:rPr>
              <w:t>0.001</w:t>
            </w:r>
          </w:p>
        </w:tc>
      </w:tr>
      <w:tr w:rsidR="009E2AB9" w14:paraId="06F3DDA5"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45BAB647" w14:textId="77777777" w:rsidR="009E2AB9" w:rsidRDefault="009E2AB9">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26EFA3E0" w14:textId="77777777" w:rsidR="009E2AB9" w:rsidRDefault="009E2AB9">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526E994C" w14:textId="77777777" w:rsidR="009E2AB9" w:rsidRDefault="009E2AB9">
            <w:pPr>
              <w:jc w:val="right"/>
              <w:rPr>
                <w:color w:val="000000"/>
                <w:sz w:val="20"/>
                <w:szCs w:val="20"/>
              </w:rPr>
            </w:pPr>
            <w:r>
              <w:rPr>
                <w:color w:val="000000"/>
                <w:sz w:val="20"/>
                <w:szCs w:val="20"/>
              </w:rPr>
              <w:t>0.063</w:t>
            </w:r>
          </w:p>
        </w:tc>
        <w:tc>
          <w:tcPr>
            <w:tcW w:w="864" w:type="dxa"/>
            <w:tcBorders>
              <w:top w:val="nil"/>
              <w:left w:val="nil"/>
              <w:bottom w:val="single" w:sz="12" w:space="0" w:color="auto"/>
              <w:right w:val="nil"/>
            </w:tcBorders>
            <w:shd w:val="clear" w:color="auto" w:fill="auto"/>
            <w:noWrap/>
            <w:vAlign w:val="bottom"/>
            <w:hideMark/>
          </w:tcPr>
          <w:p w14:paraId="77FBD90A" w14:textId="77777777" w:rsidR="009E2AB9" w:rsidRDefault="009E2AB9">
            <w:pPr>
              <w:jc w:val="right"/>
              <w:rPr>
                <w:color w:val="000000"/>
                <w:sz w:val="20"/>
                <w:szCs w:val="20"/>
              </w:rPr>
            </w:pPr>
            <w:r>
              <w:rPr>
                <w:color w:val="000000"/>
                <w:sz w:val="20"/>
                <w:szCs w:val="20"/>
              </w:rPr>
              <w:t>0.204</w:t>
            </w:r>
          </w:p>
        </w:tc>
        <w:tc>
          <w:tcPr>
            <w:tcW w:w="864" w:type="dxa"/>
            <w:tcBorders>
              <w:top w:val="nil"/>
              <w:left w:val="nil"/>
              <w:bottom w:val="single" w:sz="12" w:space="0" w:color="auto"/>
              <w:right w:val="nil"/>
            </w:tcBorders>
            <w:shd w:val="clear" w:color="auto" w:fill="auto"/>
            <w:noWrap/>
            <w:vAlign w:val="bottom"/>
            <w:hideMark/>
          </w:tcPr>
          <w:p w14:paraId="13C24C12" w14:textId="77777777" w:rsidR="009E2AB9" w:rsidRDefault="009E2AB9">
            <w:pPr>
              <w:jc w:val="right"/>
              <w:rPr>
                <w:color w:val="000000"/>
                <w:sz w:val="20"/>
                <w:szCs w:val="20"/>
              </w:rPr>
            </w:pPr>
            <w:r>
              <w:rPr>
                <w:color w:val="000000"/>
                <w:sz w:val="20"/>
                <w:szCs w:val="20"/>
              </w:rPr>
              <w:t>0.004</w:t>
            </w:r>
          </w:p>
        </w:tc>
        <w:tc>
          <w:tcPr>
            <w:tcW w:w="864" w:type="dxa"/>
            <w:tcBorders>
              <w:top w:val="nil"/>
              <w:left w:val="nil"/>
              <w:bottom w:val="single" w:sz="12" w:space="0" w:color="auto"/>
              <w:right w:val="nil"/>
            </w:tcBorders>
            <w:shd w:val="clear" w:color="auto" w:fill="auto"/>
            <w:noWrap/>
            <w:vAlign w:val="bottom"/>
            <w:hideMark/>
          </w:tcPr>
          <w:p w14:paraId="1FED16B3" w14:textId="77777777" w:rsidR="009E2AB9" w:rsidRDefault="009E2AB9">
            <w:pPr>
              <w:jc w:val="right"/>
              <w:rPr>
                <w:color w:val="000000"/>
                <w:sz w:val="20"/>
                <w:szCs w:val="20"/>
              </w:rPr>
            </w:pPr>
            <w:r>
              <w:rPr>
                <w:color w:val="000000"/>
                <w:sz w:val="20"/>
                <w:szCs w:val="20"/>
              </w:rPr>
              <w:t>0.070</w:t>
            </w:r>
          </w:p>
        </w:tc>
        <w:tc>
          <w:tcPr>
            <w:tcW w:w="864" w:type="dxa"/>
            <w:tcBorders>
              <w:top w:val="nil"/>
              <w:left w:val="nil"/>
              <w:bottom w:val="single" w:sz="12" w:space="0" w:color="auto"/>
              <w:right w:val="nil"/>
            </w:tcBorders>
            <w:shd w:val="clear" w:color="auto" w:fill="auto"/>
            <w:noWrap/>
            <w:vAlign w:val="bottom"/>
            <w:hideMark/>
          </w:tcPr>
          <w:p w14:paraId="658C816E" w14:textId="77777777" w:rsidR="009E2AB9" w:rsidRDefault="009E2AB9">
            <w:pPr>
              <w:jc w:val="right"/>
              <w:rPr>
                <w:color w:val="000000"/>
                <w:sz w:val="20"/>
                <w:szCs w:val="20"/>
              </w:rPr>
            </w:pPr>
            <w:r>
              <w:rPr>
                <w:color w:val="000000"/>
                <w:sz w:val="20"/>
                <w:szCs w:val="20"/>
              </w:rPr>
              <w:t>0.072</w:t>
            </w:r>
          </w:p>
        </w:tc>
        <w:tc>
          <w:tcPr>
            <w:tcW w:w="864" w:type="dxa"/>
            <w:tcBorders>
              <w:top w:val="nil"/>
              <w:left w:val="nil"/>
              <w:bottom w:val="single" w:sz="12" w:space="0" w:color="auto"/>
              <w:right w:val="nil"/>
            </w:tcBorders>
            <w:shd w:val="clear" w:color="auto" w:fill="auto"/>
            <w:noWrap/>
            <w:vAlign w:val="bottom"/>
            <w:hideMark/>
          </w:tcPr>
          <w:p w14:paraId="5A4E3FD6" w14:textId="77777777" w:rsidR="009E2AB9" w:rsidRDefault="009E2AB9">
            <w:pPr>
              <w:jc w:val="right"/>
              <w:rPr>
                <w:color w:val="000000"/>
                <w:sz w:val="20"/>
                <w:szCs w:val="20"/>
              </w:rPr>
            </w:pPr>
            <w:r>
              <w:rPr>
                <w:color w:val="000000"/>
                <w:sz w:val="20"/>
                <w:szCs w:val="20"/>
              </w:rPr>
              <w:t>0.005</w:t>
            </w:r>
          </w:p>
        </w:tc>
      </w:tr>
      <w:tr w:rsidR="009E2AB9" w14:paraId="571A0AC4"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548AC1CE" w14:textId="77777777" w:rsidR="009E2AB9" w:rsidRDefault="009E2AB9">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6A39E4E2" w14:textId="77777777" w:rsidR="009E2AB9" w:rsidRDefault="009E2AB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A0EA544" w14:textId="77777777" w:rsidR="009E2AB9" w:rsidRDefault="009E2AB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EE70283" w14:textId="77777777" w:rsidR="009E2AB9" w:rsidRDefault="009E2AB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F582923" w14:textId="77777777" w:rsidR="009E2AB9" w:rsidRDefault="009E2AB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42F23D8" w14:textId="77777777" w:rsidR="009E2AB9" w:rsidRDefault="009E2AB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F7EE053" w14:textId="77777777" w:rsidR="009E2AB9" w:rsidRDefault="009E2AB9">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170953E" w14:textId="77777777" w:rsidR="009E2AB9" w:rsidRDefault="009E2AB9">
            <w:pPr>
              <w:rPr>
                <w:sz w:val="20"/>
                <w:szCs w:val="20"/>
              </w:rPr>
            </w:pPr>
          </w:p>
        </w:tc>
      </w:tr>
    </w:tbl>
    <w:p w14:paraId="5B60AF6A" w14:textId="744E1CF4" w:rsidR="000370FE" w:rsidRDefault="000370FE" w:rsidP="0047742A">
      <w:pPr>
        <w:rPr>
          <w:rFonts w:ascii="Batang" w:eastAsia="Batang" w:hAnsi="Batang" w:cs="Batang"/>
          <w:color w:val="000000"/>
        </w:rPr>
      </w:pPr>
    </w:p>
    <w:p w14:paraId="73B9A9CF" w14:textId="77777777" w:rsidR="000370FE" w:rsidRDefault="000370FE">
      <w:pPr>
        <w:rPr>
          <w:rFonts w:ascii="Batang" w:eastAsia="Batang" w:hAnsi="Batang" w:cs="Batang"/>
          <w:color w:val="000000"/>
        </w:rPr>
      </w:pPr>
      <w:r>
        <w:rPr>
          <w:rFonts w:ascii="Batang" w:eastAsia="Batang" w:hAnsi="Batang" w:cs="Batang"/>
          <w:color w:val="000000"/>
        </w:rPr>
        <w:br w:type="page"/>
      </w:r>
    </w:p>
    <w:p w14:paraId="34B45D11" w14:textId="482A733F" w:rsidR="000370FE" w:rsidRDefault="000370FE" w:rsidP="000370FE">
      <w:pPr>
        <w:pStyle w:val="Heading1"/>
        <w:rPr>
          <w:rFonts w:ascii="Times New Roman" w:hAnsi="Times New Roman" w:cs="Times New Roman"/>
          <w:color w:val="000000" w:themeColor="text1"/>
          <w:sz w:val="24"/>
          <w:szCs w:val="24"/>
        </w:rPr>
      </w:pPr>
      <w:bookmarkStart w:id="93" w:name="_Toc155817760"/>
      <w:r w:rsidRPr="00B81CB5">
        <w:rPr>
          <w:rFonts w:ascii="Times New Roman" w:hAnsi="Times New Roman" w:cs="Times New Roman"/>
          <w:b/>
          <w:bCs/>
          <w:color w:val="000000" w:themeColor="text1"/>
          <w:sz w:val="24"/>
          <w:szCs w:val="24"/>
        </w:rPr>
        <w:lastRenderedPageBreak/>
        <w:t>Table</w:t>
      </w:r>
      <w:r w:rsidR="0036523A" w:rsidRPr="00B81CB5">
        <w:rPr>
          <w:rFonts w:ascii="Times New Roman" w:hAnsi="Times New Roman" w:cs="Times New Roman"/>
          <w:b/>
          <w:bCs/>
          <w:color w:val="000000" w:themeColor="text1"/>
          <w:sz w:val="24"/>
          <w:szCs w:val="24"/>
        </w:rPr>
        <w:t xml:space="preserve"> 28</w:t>
      </w:r>
      <w:r w:rsidR="00B81CB5" w:rsidRPr="00B81CB5">
        <w:rPr>
          <w:rFonts w:ascii="Times New Roman" w:hAnsi="Times New Roman" w:cs="Times New Roman"/>
          <w:b/>
          <w:bCs/>
          <w:color w:val="000000" w:themeColor="text1"/>
          <w:sz w:val="24"/>
          <w:szCs w:val="24"/>
        </w:rPr>
        <w:t>m</w:t>
      </w:r>
      <w:r w:rsidRPr="00B81CB5">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w:t>
      </w:r>
      <w:r w:rsidR="00934E39">
        <w:rPr>
          <w:rFonts w:ascii="Times New Roman" w:hAnsi="Times New Roman" w:cs="Times New Roman"/>
          <w:color w:val="000000" w:themeColor="text1"/>
          <w:sz w:val="24"/>
          <w:szCs w:val="24"/>
        </w:rPr>
        <w:t>local efficiency</w:t>
      </w:r>
      <w:r>
        <w:rPr>
          <w:rFonts w:ascii="Times New Roman" w:hAnsi="Times New Roman" w:cs="Times New Roman"/>
          <w:color w:val="000000" w:themeColor="text1"/>
          <w:sz w:val="24"/>
          <w:szCs w:val="24"/>
        </w:rPr>
        <w:t xml:space="preserve"> and urbanicity obtained from bifactor modeling and pollution (NO2 level) during monetary incentive delay task</w:t>
      </w:r>
      <w:bookmarkEnd w:id="93"/>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430C42" w14:paraId="679375AB"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2CBA4CC5" w14:textId="77777777" w:rsidR="00430C42" w:rsidRDefault="00430C42">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021FDEB6" w14:textId="77777777" w:rsidR="00430C42" w:rsidRDefault="00430C42">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1BAFA7FD" w14:textId="77777777" w:rsidR="00430C42" w:rsidRDefault="00430C42">
            <w:pPr>
              <w:rPr>
                <w:color w:val="000000"/>
              </w:rPr>
            </w:pPr>
          </w:p>
        </w:tc>
        <w:tc>
          <w:tcPr>
            <w:tcW w:w="864" w:type="dxa"/>
            <w:tcBorders>
              <w:top w:val="nil"/>
              <w:left w:val="nil"/>
              <w:bottom w:val="single" w:sz="12" w:space="0" w:color="auto"/>
              <w:right w:val="nil"/>
            </w:tcBorders>
            <w:shd w:val="clear" w:color="auto" w:fill="auto"/>
            <w:noWrap/>
            <w:vAlign w:val="bottom"/>
            <w:hideMark/>
          </w:tcPr>
          <w:p w14:paraId="3CCC4D69" w14:textId="77777777" w:rsidR="00430C42" w:rsidRDefault="00430C42">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4C27DFB" w14:textId="77777777" w:rsidR="00430C42" w:rsidRDefault="00430C42">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3467A894" w14:textId="77777777" w:rsidR="00430C42" w:rsidRDefault="00430C42">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7BAF78E" w14:textId="77777777" w:rsidR="00430C42" w:rsidRDefault="00430C42">
            <w:pPr>
              <w:rPr>
                <w:sz w:val="20"/>
                <w:szCs w:val="20"/>
              </w:rPr>
            </w:pPr>
          </w:p>
        </w:tc>
        <w:tc>
          <w:tcPr>
            <w:tcW w:w="864" w:type="dxa"/>
            <w:tcBorders>
              <w:top w:val="nil"/>
              <w:left w:val="nil"/>
              <w:bottom w:val="nil"/>
              <w:right w:val="nil"/>
            </w:tcBorders>
            <w:shd w:val="clear" w:color="auto" w:fill="auto"/>
            <w:noWrap/>
            <w:vAlign w:val="bottom"/>
            <w:hideMark/>
          </w:tcPr>
          <w:p w14:paraId="2AB7C87F" w14:textId="77777777" w:rsidR="00430C42" w:rsidRDefault="00430C42">
            <w:pPr>
              <w:rPr>
                <w:sz w:val="20"/>
                <w:szCs w:val="20"/>
              </w:rPr>
            </w:pPr>
          </w:p>
        </w:tc>
      </w:tr>
      <w:tr w:rsidR="00430C42" w14:paraId="37F175CE"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1F16108B" w14:textId="77777777" w:rsidR="00430C42" w:rsidRDefault="00430C42">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2C855BCB" w14:textId="77777777" w:rsidR="00430C42" w:rsidRDefault="00430C42">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131F5689" w14:textId="77777777" w:rsidR="00430C42" w:rsidRDefault="00430C42">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34478CCD" w14:textId="77777777" w:rsidR="00430C42" w:rsidRDefault="00430C42">
            <w:pPr>
              <w:jc w:val="center"/>
              <w:rPr>
                <w:color w:val="000000"/>
                <w:sz w:val="20"/>
                <w:szCs w:val="20"/>
              </w:rPr>
            </w:pPr>
            <w:r>
              <w:rPr>
                <w:color w:val="000000"/>
                <w:sz w:val="20"/>
                <w:szCs w:val="20"/>
              </w:rPr>
              <w:t>Pollution (NO2 level)</w:t>
            </w:r>
          </w:p>
        </w:tc>
      </w:tr>
      <w:tr w:rsidR="00430C42" w14:paraId="1B9D0FBC"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454137CD" w14:textId="77777777" w:rsidR="00430C42" w:rsidRDefault="00430C42">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720696C0" w14:textId="77777777" w:rsidR="00430C42" w:rsidRDefault="00430C42">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01D23772" w14:textId="77777777" w:rsidR="00430C42" w:rsidRDefault="00430C42">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8A5AEE8" w14:textId="77777777" w:rsidR="00430C42" w:rsidRDefault="00430C42">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0733F7B8" w14:textId="77777777" w:rsidR="00430C42" w:rsidRDefault="00430C42">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6FB2F494" w14:textId="77777777" w:rsidR="00430C42" w:rsidRDefault="00430C42">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3F5DCE72" w14:textId="77777777" w:rsidR="00430C42" w:rsidRDefault="00430C42">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0CC5CED9" w14:textId="77777777" w:rsidR="00430C42" w:rsidRDefault="00430C42">
            <w:pPr>
              <w:jc w:val="center"/>
              <w:rPr>
                <w:i/>
                <w:iCs/>
                <w:color w:val="000000"/>
                <w:sz w:val="20"/>
                <w:szCs w:val="20"/>
              </w:rPr>
            </w:pPr>
            <w:r>
              <w:rPr>
                <w:i/>
                <w:iCs/>
                <w:color w:val="000000"/>
                <w:sz w:val="20"/>
                <w:szCs w:val="20"/>
              </w:rPr>
              <w:t>R2</w:t>
            </w:r>
          </w:p>
        </w:tc>
      </w:tr>
      <w:tr w:rsidR="00430C42" w14:paraId="0345463C"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73715BE9" w14:textId="77777777" w:rsidR="00430C42" w:rsidRDefault="00430C42">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5EDFF7D2" w14:textId="77777777" w:rsidR="00430C42" w:rsidRDefault="00430C42">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51332EFF" w14:textId="77777777" w:rsidR="00430C42" w:rsidRDefault="00430C42">
            <w:pPr>
              <w:jc w:val="right"/>
              <w:rPr>
                <w:color w:val="000000"/>
                <w:sz w:val="20"/>
                <w:szCs w:val="20"/>
              </w:rPr>
            </w:pPr>
            <w:r>
              <w:rPr>
                <w:color w:val="000000"/>
                <w:sz w:val="20"/>
                <w:szCs w:val="20"/>
              </w:rPr>
              <w:t>0.017</w:t>
            </w:r>
          </w:p>
        </w:tc>
        <w:tc>
          <w:tcPr>
            <w:tcW w:w="864" w:type="dxa"/>
            <w:tcBorders>
              <w:top w:val="single" w:sz="12" w:space="0" w:color="auto"/>
              <w:left w:val="nil"/>
              <w:bottom w:val="nil"/>
              <w:right w:val="nil"/>
            </w:tcBorders>
            <w:shd w:val="clear" w:color="auto" w:fill="auto"/>
            <w:noWrap/>
            <w:vAlign w:val="bottom"/>
            <w:hideMark/>
          </w:tcPr>
          <w:p w14:paraId="339EC235" w14:textId="77777777" w:rsidR="00430C42" w:rsidRDefault="00430C42">
            <w:pPr>
              <w:jc w:val="right"/>
              <w:rPr>
                <w:color w:val="000000"/>
                <w:sz w:val="20"/>
                <w:szCs w:val="20"/>
              </w:rPr>
            </w:pPr>
            <w:r>
              <w:rPr>
                <w:color w:val="000000"/>
                <w:sz w:val="20"/>
                <w:szCs w:val="20"/>
              </w:rPr>
              <w:t>0.745</w:t>
            </w:r>
          </w:p>
        </w:tc>
        <w:tc>
          <w:tcPr>
            <w:tcW w:w="864" w:type="dxa"/>
            <w:tcBorders>
              <w:top w:val="single" w:sz="12" w:space="0" w:color="auto"/>
              <w:left w:val="nil"/>
              <w:bottom w:val="nil"/>
              <w:right w:val="nil"/>
            </w:tcBorders>
            <w:shd w:val="clear" w:color="auto" w:fill="auto"/>
            <w:noWrap/>
            <w:vAlign w:val="bottom"/>
            <w:hideMark/>
          </w:tcPr>
          <w:p w14:paraId="6C8D2F5D" w14:textId="77777777" w:rsidR="00430C42" w:rsidRDefault="00430C42">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7F5EE0E4" w14:textId="77777777" w:rsidR="00430C42" w:rsidRDefault="00430C42">
            <w:pPr>
              <w:jc w:val="right"/>
              <w:rPr>
                <w:color w:val="000000"/>
                <w:sz w:val="20"/>
                <w:szCs w:val="20"/>
              </w:rPr>
            </w:pPr>
            <w:r>
              <w:rPr>
                <w:color w:val="000000"/>
                <w:sz w:val="20"/>
                <w:szCs w:val="20"/>
              </w:rPr>
              <w:t>-0.008</w:t>
            </w:r>
          </w:p>
        </w:tc>
        <w:tc>
          <w:tcPr>
            <w:tcW w:w="864" w:type="dxa"/>
            <w:tcBorders>
              <w:top w:val="single" w:sz="12" w:space="0" w:color="auto"/>
              <w:left w:val="nil"/>
              <w:bottom w:val="nil"/>
              <w:right w:val="nil"/>
            </w:tcBorders>
            <w:shd w:val="clear" w:color="auto" w:fill="auto"/>
            <w:noWrap/>
            <w:vAlign w:val="bottom"/>
            <w:hideMark/>
          </w:tcPr>
          <w:p w14:paraId="75E6906C" w14:textId="77777777" w:rsidR="00430C42" w:rsidRDefault="00430C42">
            <w:pPr>
              <w:jc w:val="right"/>
              <w:rPr>
                <w:color w:val="000000"/>
                <w:sz w:val="20"/>
                <w:szCs w:val="20"/>
              </w:rPr>
            </w:pPr>
            <w:r>
              <w:rPr>
                <w:color w:val="000000"/>
                <w:sz w:val="20"/>
                <w:szCs w:val="20"/>
              </w:rPr>
              <w:t>0.920</w:t>
            </w:r>
          </w:p>
        </w:tc>
        <w:tc>
          <w:tcPr>
            <w:tcW w:w="864" w:type="dxa"/>
            <w:tcBorders>
              <w:top w:val="single" w:sz="12" w:space="0" w:color="auto"/>
              <w:left w:val="nil"/>
              <w:bottom w:val="nil"/>
              <w:right w:val="nil"/>
            </w:tcBorders>
            <w:shd w:val="clear" w:color="auto" w:fill="auto"/>
            <w:noWrap/>
            <w:vAlign w:val="bottom"/>
            <w:hideMark/>
          </w:tcPr>
          <w:p w14:paraId="293F7A58" w14:textId="77777777" w:rsidR="00430C42" w:rsidRDefault="00430C42">
            <w:pPr>
              <w:jc w:val="right"/>
              <w:rPr>
                <w:color w:val="000000"/>
                <w:sz w:val="20"/>
                <w:szCs w:val="20"/>
              </w:rPr>
            </w:pPr>
            <w:r>
              <w:rPr>
                <w:color w:val="000000"/>
                <w:sz w:val="20"/>
                <w:szCs w:val="20"/>
              </w:rPr>
              <w:t>0.000</w:t>
            </w:r>
          </w:p>
        </w:tc>
      </w:tr>
      <w:tr w:rsidR="00430C42" w14:paraId="1C435720" w14:textId="77777777" w:rsidTr="00430C42">
        <w:trPr>
          <w:trHeight w:val="340"/>
        </w:trPr>
        <w:tc>
          <w:tcPr>
            <w:tcW w:w="1152" w:type="dxa"/>
            <w:tcBorders>
              <w:top w:val="nil"/>
              <w:left w:val="nil"/>
              <w:bottom w:val="nil"/>
              <w:right w:val="nil"/>
            </w:tcBorders>
            <w:shd w:val="clear" w:color="auto" w:fill="auto"/>
            <w:noWrap/>
            <w:vAlign w:val="bottom"/>
            <w:hideMark/>
          </w:tcPr>
          <w:p w14:paraId="13A40B1F"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74B54E5" w14:textId="77777777" w:rsidR="00430C42" w:rsidRDefault="00430C42">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0049B40" w14:textId="77777777" w:rsidR="00430C42" w:rsidRDefault="00430C42">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0BC4B9B9" w14:textId="77777777" w:rsidR="00430C42" w:rsidRDefault="00430C42">
            <w:pPr>
              <w:jc w:val="right"/>
              <w:rPr>
                <w:color w:val="000000"/>
                <w:sz w:val="20"/>
                <w:szCs w:val="20"/>
              </w:rPr>
            </w:pPr>
            <w:r>
              <w:rPr>
                <w:color w:val="000000"/>
                <w:sz w:val="20"/>
                <w:szCs w:val="20"/>
              </w:rPr>
              <w:t>0.637</w:t>
            </w:r>
          </w:p>
        </w:tc>
        <w:tc>
          <w:tcPr>
            <w:tcW w:w="864" w:type="dxa"/>
            <w:tcBorders>
              <w:top w:val="nil"/>
              <w:left w:val="nil"/>
              <w:bottom w:val="nil"/>
              <w:right w:val="nil"/>
            </w:tcBorders>
            <w:shd w:val="clear" w:color="auto" w:fill="auto"/>
            <w:noWrap/>
            <w:vAlign w:val="bottom"/>
            <w:hideMark/>
          </w:tcPr>
          <w:p w14:paraId="1515AF06" w14:textId="77777777" w:rsidR="00430C42" w:rsidRDefault="00430C42">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BE83139" w14:textId="77777777" w:rsidR="00430C42" w:rsidRDefault="00430C42">
            <w:pPr>
              <w:jc w:val="right"/>
              <w:rPr>
                <w:color w:val="000000"/>
                <w:sz w:val="20"/>
                <w:szCs w:val="20"/>
              </w:rPr>
            </w:pPr>
            <w:r>
              <w:rPr>
                <w:color w:val="000000"/>
                <w:sz w:val="20"/>
                <w:szCs w:val="20"/>
              </w:rPr>
              <w:t>-0.084</w:t>
            </w:r>
          </w:p>
        </w:tc>
        <w:tc>
          <w:tcPr>
            <w:tcW w:w="864" w:type="dxa"/>
            <w:tcBorders>
              <w:top w:val="nil"/>
              <w:left w:val="nil"/>
              <w:bottom w:val="nil"/>
              <w:right w:val="nil"/>
            </w:tcBorders>
            <w:shd w:val="clear" w:color="auto" w:fill="auto"/>
            <w:noWrap/>
            <w:vAlign w:val="bottom"/>
            <w:hideMark/>
          </w:tcPr>
          <w:p w14:paraId="15B552D1" w14:textId="77777777" w:rsidR="00430C42" w:rsidRDefault="00430C42">
            <w:pPr>
              <w:jc w:val="right"/>
              <w:rPr>
                <w:color w:val="000000"/>
                <w:sz w:val="20"/>
                <w:szCs w:val="20"/>
              </w:rPr>
            </w:pPr>
            <w:r>
              <w:rPr>
                <w:color w:val="000000"/>
                <w:sz w:val="20"/>
                <w:szCs w:val="20"/>
              </w:rPr>
              <w:t>0.368</w:t>
            </w:r>
          </w:p>
        </w:tc>
        <w:tc>
          <w:tcPr>
            <w:tcW w:w="864" w:type="dxa"/>
            <w:tcBorders>
              <w:top w:val="nil"/>
              <w:left w:val="nil"/>
              <w:bottom w:val="nil"/>
              <w:right w:val="nil"/>
            </w:tcBorders>
            <w:shd w:val="clear" w:color="auto" w:fill="auto"/>
            <w:noWrap/>
            <w:vAlign w:val="bottom"/>
            <w:hideMark/>
          </w:tcPr>
          <w:p w14:paraId="6836E02F" w14:textId="77777777" w:rsidR="00430C42" w:rsidRDefault="00430C42">
            <w:pPr>
              <w:jc w:val="right"/>
              <w:rPr>
                <w:color w:val="000000"/>
                <w:sz w:val="20"/>
                <w:szCs w:val="20"/>
              </w:rPr>
            </w:pPr>
            <w:r>
              <w:rPr>
                <w:color w:val="000000"/>
                <w:sz w:val="20"/>
                <w:szCs w:val="20"/>
              </w:rPr>
              <w:t>0.007</w:t>
            </w:r>
          </w:p>
        </w:tc>
      </w:tr>
      <w:tr w:rsidR="00430C42" w14:paraId="35130276" w14:textId="77777777" w:rsidTr="00430C42">
        <w:trPr>
          <w:trHeight w:val="320"/>
        </w:trPr>
        <w:tc>
          <w:tcPr>
            <w:tcW w:w="1152" w:type="dxa"/>
            <w:tcBorders>
              <w:top w:val="nil"/>
              <w:left w:val="nil"/>
              <w:bottom w:val="nil"/>
              <w:right w:val="nil"/>
            </w:tcBorders>
            <w:shd w:val="clear" w:color="auto" w:fill="auto"/>
            <w:noWrap/>
            <w:vAlign w:val="bottom"/>
            <w:hideMark/>
          </w:tcPr>
          <w:p w14:paraId="5E721740"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F2EE08" w14:textId="77777777" w:rsidR="00430C42" w:rsidRDefault="00430C42">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7A28571" w14:textId="77777777" w:rsidR="00430C42" w:rsidRDefault="00430C42">
            <w:pPr>
              <w:jc w:val="right"/>
              <w:rPr>
                <w:color w:val="000000"/>
                <w:sz w:val="20"/>
                <w:szCs w:val="20"/>
              </w:rPr>
            </w:pPr>
            <w:r>
              <w:rPr>
                <w:color w:val="000000"/>
                <w:sz w:val="20"/>
                <w:szCs w:val="20"/>
              </w:rPr>
              <w:t>0.088</w:t>
            </w:r>
          </w:p>
        </w:tc>
        <w:tc>
          <w:tcPr>
            <w:tcW w:w="864" w:type="dxa"/>
            <w:tcBorders>
              <w:top w:val="nil"/>
              <w:left w:val="nil"/>
              <w:bottom w:val="nil"/>
              <w:right w:val="nil"/>
            </w:tcBorders>
            <w:shd w:val="clear" w:color="auto" w:fill="auto"/>
            <w:noWrap/>
            <w:vAlign w:val="bottom"/>
            <w:hideMark/>
          </w:tcPr>
          <w:p w14:paraId="10E62668" w14:textId="77777777" w:rsidR="00430C42" w:rsidRDefault="00430C42">
            <w:pPr>
              <w:jc w:val="right"/>
              <w:rPr>
                <w:color w:val="000000"/>
                <w:sz w:val="20"/>
                <w:szCs w:val="20"/>
              </w:rPr>
            </w:pPr>
            <w:r>
              <w:rPr>
                <w:color w:val="000000"/>
                <w:sz w:val="20"/>
                <w:szCs w:val="20"/>
              </w:rPr>
              <w:t>0.637</w:t>
            </w:r>
          </w:p>
        </w:tc>
        <w:tc>
          <w:tcPr>
            <w:tcW w:w="864" w:type="dxa"/>
            <w:tcBorders>
              <w:top w:val="nil"/>
              <w:left w:val="nil"/>
              <w:bottom w:val="nil"/>
              <w:right w:val="nil"/>
            </w:tcBorders>
            <w:shd w:val="clear" w:color="auto" w:fill="auto"/>
            <w:noWrap/>
            <w:vAlign w:val="bottom"/>
            <w:hideMark/>
          </w:tcPr>
          <w:p w14:paraId="685C1BE7" w14:textId="77777777" w:rsidR="00430C42" w:rsidRDefault="00430C42">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30A748A2" w14:textId="77777777" w:rsidR="00430C42" w:rsidRDefault="00430C42">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1C9A2EEB" w14:textId="77777777" w:rsidR="00430C42" w:rsidRDefault="00430C42">
            <w:pPr>
              <w:jc w:val="right"/>
              <w:rPr>
                <w:color w:val="000000"/>
                <w:sz w:val="20"/>
                <w:szCs w:val="20"/>
              </w:rPr>
            </w:pPr>
            <w:r>
              <w:rPr>
                <w:color w:val="000000"/>
                <w:sz w:val="20"/>
                <w:szCs w:val="20"/>
              </w:rPr>
              <w:t>0.920</w:t>
            </w:r>
          </w:p>
        </w:tc>
        <w:tc>
          <w:tcPr>
            <w:tcW w:w="864" w:type="dxa"/>
            <w:tcBorders>
              <w:top w:val="nil"/>
              <w:left w:val="nil"/>
              <w:bottom w:val="nil"/>
              <w:right w:val="nil"/>
            </w:tcBorders>
            <w:shd w:val="clear" w:color="auto" w:fill="auto"/>
            <w:noWrap/>
            <w:vAlign w:val="bottom"/>
            <w:hideMark/>
          </w:tcPr>
          <w:p w14:paraId="6206AC75" w14:textId="77777777" w:rsidR="00430C42" w:rsidRDefault="00430C42">
            <w:pPr>
              <w:jc w:val="right"/>
              <w:rPr>
                <w:color w:val="000000"/>
                <w:sz w:val="20"/>
                <w:szCs w:val="20"/>
              </w:rPr>
            </w:pPr>
            <w:r>
              <w:rPr>
                <w:color w:val="000000"/>
                <w:sz w:val="20"/>
                <w:szCs w:val="20"/>
              </w:rPr>
              <w:t>0.001</w:t>
            </w:r>
          </w:p>
        </w:tc>
      </w:tr>
      <w:tr w:rsidR="00430C42" w14:paraId="37F822CB" w14:textId="77777777" w:rsidTr="00430C42">
        <w:trPr>
          <w:trHeight w:val="320"/>
        </w:trPr>
        <w:tc>
          <w:tcPr>
            <w:tcW w:w="1152" w:type="dxa"/>
            <w:tcBorders>
              <w:top w:val="nil"/>
              <w:left w:val="nil"/>
              <w:bottom w:val="nil"/>
              <w:right w:val="nil"/>
            </w:tcBorders>
            <w:shd w:val="clear" w:color="auto" w:fill="auto"/>
            <w:noWrap/>
            <w:vAlign w:val="bottom"/>
            <w:hideMark/>
          </w:tcPr>
          <w:p w14:paraId="3552294E"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C077745" w14:textId="77777777" w:rsidR="00430C42" w:rsidRDefault="00430C42">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577550E" w14:textId="77777777" w:rsidR="00430C42" w:rsidRDefault="00430C42">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3E06BC66" w14:textId="77777777" w:rsidR="00430C42" w:rsidRDefault="00430C42">
            <w:pPr>
              <w:jc w:val="right"/>
              <w:rPr>
                <w:color w:val="000000"/>
                <w:sz w:val="20"/>
                <w:szCs w:val="20"/>
              </w:rPr>
            </w:pPr>
            <w:r>
              <w:rPr>
                <w:color w:val="000000"/>
                <w:sz w:val="20"/>
                <w:szCs w:val="20"/>
              </w:rPr>
              <w:t>0.637</w:t>
            </w:r>
          </w:p>
        </w:tc>
        <w:tc>
          <w:tcPr>
            <w:tcW w:w="864" w:type="dxa"/>
            <w:tcBorders>
              <w:top w:val="nil"/>
              <w:left w:val="nil"/>
              <w:bottom w:val="nil"/>
              <w:right w:val="nil"/>
            </w:tcBorders>
            <w:shd w:val="clear" w:color="auto" w:fill="auto"/>
            <w:noWrap/>
            <w:vAlign w:val="bottom"/>
            <w:hideMark/>
          </w:tcPr>
          <w:p w14:paraId="23766561" w14:textId="77777777" w:rsidR="00430C42" w:rsidRDefault="00430C42">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101C094A" w14:textId="77777777" w:rsidR="00430C42" w:rsidRDefault="00430C42">
            <w:pPr>
              <w:jc w:val="right"/>
              <w:rPr>
                <w:color w:val="000000"/>
                <w:sz w:val="20"/>
                <w:szCs w:val="20"/>
              </w:rPr>
            </w:pPr>
            <w:r>
              <w:rPr>
                <w:color w:val="000000"/>
                <w:sz w:val="20"/>
                <w:szCs w:val="20"/>
              </w:rPr>
              <w:t>-0.093</w:t>
            </w:r>
          </w:p>
        </w:tc>
        <w:tc>
          <w:tcPr>
            <w:tcW w:w="864" w:type="dxa"/>
            <w:tcBorders>
              <w:top w:val="nil"/>
              <w:left w:val="nil"/>
              <w:bottom w:val="nil"/>
              <w:right w:val="nil"/>
            </w:tcBorders>
            <w:shd w:val="clear" w:color="auto" w:fill="auto"/>
            <w:noWrap/>
            <w:vAlign w:val="bottom"/>
            <w:hideMark/>
          </w:tcPr>
          <w:p w14:paraId="1E9D2790" w14:textId="77777777" w:rsidR="00430C42" w:rsidRDefault="00430C42">
            <w:pPr>
              <w:jc w:val="right"/>
              <w:rPr>
                <w:color w:val="000000"/>
                <w:sz w:val="20"/>
                <w:szCs w:val="20"/>
              </w:rPr>
            </w:pPr>
            <w:r>
              <w:rPr>
                <w:color w:val="000000"/>
                <w:sz w:val="20"/>
                <w:szCs w:val="20"/>
              </w:rPr>
              <w:t>0.920</w:t>
            </w:r>
          </w:p>
        </w:tc>
        <w:tc>
          <w:tcPr>
            <w:tcW w:w="864" w:type="dxa"/>
            <w:tcBorders>
              <w:top w:val="nil"/>
              <w:left w:val="nil"/>
              <w:bottom w:val="nil"/>
              <w:right w:val="nil"/>
            </w:tcBorders>
            <w:shd w:val="clear" w:color="auto" w:fill="auto"/>
            <w:noWrap/>
            <w:vAlign w:val="bottom"/>
            <w:hideMark/>
          </w:tcPr>
          <w:p w14:paraId="0E038453" w14:textId="77777777" w:rsidR="00430C42" w:rsidRDefault="00430C42">
            <w:pPr>
              <w:jc w:val="right"/>
              <w:rPr>
                <w:color w:val="000000"/>
                <w:sz w:val="20"/>
                <w:szCs w:val="20"/>
              </w:rPr>
            </w:pPr>
            <w:r>
              <w:rPr>
                <w:color w:val="000000"/>
                <w:sz w:val="20"/>
                <w:szCs w:val="20"/>
              </w:rPr>
              <w:t>0.009</w:t>
            </w:r>
          </w:p>
        </w:tc>
      </w:tr>
      <w:tr w:rsidR="00430C42" w14:paraId="21722CC8" w14:textId="77777777" w:rsidTr="00430C42">
        <w:trPr>
          <w:trHeight w:val="320"/>
        </w:trPr>
        <w:tc>
          <w:tcPr>
            <w:tcW w:w="1152" w:type="dxa"/>
            <w:tcBorders>
              <w:top w:val="nil"/>
              <w:left w:val="nil"/>
              <w:bottom w:val="nil"/>
              <w:right w:val="nil"/>
            </w:tcBorders>
            <w:shd w:val="clear" w:color="auto" w:fill="auto"/>
            <w:noWrap/>
            <w:vAlign w:val="bottom"/>
            <w:hideMark/>
          </w:tcPr>
          <w:p w14:paraId="455B99E4"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62B98FE" w14:textId="77777777" w:rsidR="00430C42" w:rsidRDefault="00430C42">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19927F5" w14:textId="77777777" w:rsidR="00430C42" w:rsidRDefault="00430C42">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5B9EBA1E" w14:textId="77777777" w:rsidR="00430C42" w:rsidRDefault="00430C42">
            <w:pPr>
              <w:jc w:val="right"/>
              <w:rPr>
                <w:color w:val="000000"/>
                <w:sz w:val="20"/>
                <w:szCs w:val="20"/>
              </w:rPr>
            </w:pPr>
            <w:r>
              <w:rPr>
                <w:color w:val="000000"/>
                <w:sz w:val="20"/>
                <w:szCs w:val="20"/>
              </w:rPr>
              <w:t>0.789</w:t>
            </w:r>
          </w:p>
        </w:tc>
        <w:tc>
          <w:tcPr>
            <w:tcW w:w="864" w:type="dxa"/>
            <w:tcBorders>
              <w:top w:val="nil"/>
              <w:left w:val="nil"/>
              <w:bottom w:val="nil"/>
              <w:right w:val="nil"/>
            </w:tcBorders>
            <w:shd w:val="clear" w:color="auto" w:fill="auto"/>
            <w:noWrap/>
            <w:vAlign w:val="bottom"/>
            <w:hideMark/>
          </w:tcPr>
          <w:p w14:paraId="7357021D" w14:textId="77777777" w:rsidR="00430C42" w:rsidRDefault="00430C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BF8FDFB" w14:textId="77777777" w:rsidR="00430C42" w:rsidRDefault="00430C42">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4A34724E" w14:textId="77777777" w:rsidR="00430C42" w:rsidRDefault="00430C42">
            <w:pPr>
              <w:jc w:val="right"/>
              <w:rPr>
                <w:color w:val="000000"/>
                <w:sz w:val="20"/>
                <w:szCs w:val="20"/>
              </w:rPr>
            </w:pPr>
            <w:r>
              <w:rPr>
                <w:color w:val="000000"/>
                <w:sz w:val="20"/>
                <w:szCs w:val="20"/>
              </w:rPr>
              <w:t>0.920</w:t>
            </w:r>
          </w:p>
        </w:tc>
        <w:tc>
          <w:tcPr>
            <w:tcW w:w="864" w:type="dxa"/>
            <w:tcBorders>
              <w:top w:val="nil"/>
              <w:left w:val="nil"/>
              <w:bottom w:val="nil"/>
              <w:right w:val="nil"/>
            </w:tcBorders>
            <w:shd w:val="clear" w:color="auto" w:fill="auto"/>
            <w:noWrap/>
            <w:vAlign w:val="bottom"/>
            <w:hideMark/>
          </w:tcPr>
          <w:p w14:paraId="5911F85F" w14:textId="77777777" w:rsidR="00430C42" w:rsidRDefault="00430C42">
            <w:pPr>
              <w:jc w:val="right"/>
              <w:rPr>
                <w:color w:val="000000"/>
                <w:sz w:val="20"/>
                <w:szCs w:val="20"/>
              </w:rPr>
            </w:pPr>
            <w:r>
              <w:rPr>
                <w:color w:val="000000"/>
                <w:sz w:val="20"/>
                <w:szCs w:val="20"/>
              </w:rPr>
              <w:t>0.000</w:t>
            </w:r>
          </w:p>
        </w:tc>
      </w:tr>
      <w:tr w:rsidR="00430C42" w14:paraId="28BAA0A4" w14:textId="77777777" w:rsidTr="00430C42">
        <w:trPr>
          <w:trHeight w:val="320"/>
        </w:trPr>
        <w:tc>
          <w:tcPr>
            <w:tcW w:w="1152" w:type="dxa"/>
            <w:tcBorders>
              <w:top w:val="nil"/>
              <w:left w:val="nil"/>
              <w:bottom w:val="nil"/>
              <w:right w:val="nil"/>
            </w:tcBorders>
            <w:shd w:val="clear" w:color="auto" w:fill="auto"/>
            <w:noWrap/>
            <w:vAlign w:val="bottom"/>
            <w:hideMark/>
          </w:tcPr>
          <w:p w14:paraId="342CA716"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012B3D6" w14:textId="77777777" w:rsidR="00430C42" w:rsidRDefault="00430C42">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889DF19" w14:textId="77777777" w:rsidR="00430C42" w:rsidRDefault="00430C42">
            <w:pPr>
              <w:jc w:val="right"/>
              <w:rPr>
                <w:color w:val="000000"/>
                <w:sz w:val="20"/>
                <w:szCs w:val="20"/>
              </w:rPr>
            </w:pPr>
            <w:r>
              <w:rPr>
                <w:color w:val="000000"/>
                <w:sz w:val="20"/>
                <w:szCs w:val="20"/>
              </w:rPr>
              <w:t>0.067</w:t>
            </w:r>
          </w:p>
        </w:tc>
        <w:tc>
          <w:tcPr>
            <w:tcW w:w="864" w:type="dxa"/>
            <w:tcBorders>
              <w:top w:val="nil"/>
              <w:left w:val="nil"/>
              <w:bottom w:val="nil"/>
              <w:right w:val="nil"/>
            </w:tcBorders>
            <w:shd w:val="clear" w:color="auto" w:fill="auto"/>
            <w:noWrap/>
            <w:vAlign w:val="bottom"/>
            <w:hideMark/>
          </w:tcPr>
          <w:p w14:paraId="3C40B16D" w14:textId="77777777" w:rsidR="00430C42" w:rsidRDefault="00430C42">
            <w:pPr>
              <w:jc w:val="right"/>
              <w:rPr>
                <w:color w:val="000000"/>
                <w:sz w:val="20"/>
                <w:szCs w:val="20"/>
              </w:rPr>
            </w:pPr>
            <w:r>
              <w:rPr>
                <w:color w:val="000000"/>
                <w:sz w:val="20"/>
                <w:szCs w:val="20"/>
              </w:rPr>
              <w:t>0.592</w:t>
            </w:r>
          </w:p>
        </w:tc>
        <w:tc>
          <w:tcPr>
            <w:tcW w:w="864" w:type="dxa"/>
            <w:tcBorders>
              <w:top w:val="nil"/>
              <w:left w:val="nil"/>
              <w:bottom w:val="nil"/>
              <w:right w:val="nil"/>
            </w:tcBorders>
            <w:shd w:val="clear" w:color="auto" w:fill="auto"/>
            <w:noWrap/>
            <w:vAlign w:val="bottom"/>
            <w:hideMark/>
          </w:tcPr>
          <w:p w14:paraId="18E3794B" w14:textId="77777777" w:rsidR="00430C42" w:rsidRDefault="00430C42">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69B0EBCA" w14:textId="77777777" w:rsidR="00430C42" w:rsidRDefault="00430C42">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43529167" w14:textId="77777777" w:rsidR="00430C42" w:rsidRDefault="00430C42">
            <w:pPr>
              <w:jc w:val="right"/>
              <w:rPr>
                <w:color w:val="000000"/>
                <w:sz w:val="20"/>
                <w:szCs w:val="20"/>
              </w:rPr>
            </w:pPr>
            <w:r>
              <w:rPr>
                <w:color w:val="000000"/>
                <w:sz w:val="20"/>
                <w:szCs w:val="20"/>
              </w:rPr>
              <w:t>0.920</w:t>
            </w:r>
          </w:p>
        </w:tc>
        <w:tc>
          <w:tcPr>
            <w:tcW w:w="864" w:type="dxa"/>
            <w:tcBorders>
              <w:top w:val="nil"/>
              <w:left w:val="nil"/>
              <w:bottom w:val="nil"/>
              <w:right w:val="nil"/>
            </w:tcBorders>
            <w:shd w:val="clear" w:color="auto" w:fill="auto"/>
            <w:noWrap/>
            <w:vAlign w:val="bottom"/>
            <w:hideMark/>
          </w:tcPr>
          <w:p w14:paraId="51A10145" w14:textId="77777777" w:rsidR="00430C42" w:rsidRDefault="00430C42">
            <w:pPr>
              <w:jc w:val="right"/>
              <w:rPr>
                <w:color w:val="000000"/>
                <w:sz w:val="20"/>
                <w:szCs w:val="20"/>
              </w:rPr>
            </w:pPr>
            <w:r>
              <w:rPr>
                <w:color w:val="000000"/>
                <w:sz w:val="20"/>
                <w:szCs w:val="20"/>
              </w:rPr>
              <w:t>0.002</w:t>
            </w:r>
          </w:p>
        </w:tc>
      </w:tr>
      <w:tr w:rsidR="00430C42" w14:paraId="0FB5E52F" w14:textId="77777777" w:rsidTr="00430C42">
        <w:trPr>
          <w:trHeight w:val="320"/>
        </w:trPr>
        <w:tc>
          <w:tcPr>
            <w:tcW w:w="1152" w:type="dxa"/>
            <w:tcBorders>
              <w:top w:val="nil"/>
              <w:left w:val="nil"/>
              <w:bottom w:val="nil"/>
              <w:right w:val="nil"/>
            </w:tcBorders>
            <w:shd w:val="clear" w:color="auto" w:fill="auto"/>
            <w:noWrap/>
            <w:vAlign w:val="bottom"/>
            <w:hideMark/>
          </w:tcPr>
          <w:p w14:paraId="1AB16EA0"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3EDA8B3" w14:textId="77777777" w:rsidR="00430C42" w:rsidRDefault="00430C42">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6F6D93D2" w14:textId="77777777" w:rsidR="00430C42" w:rsidRDefault="00430C42">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59CCD35A" w14:textId="77777777" w:rsidR="00430C42" w:rsidRDefault="00430C42">
            <w:pPr>
              <w:jc w:val="right"/>
              <w:rPr>
                <w:color w:val="000000"/>
                <w:sz w:val="20"/>
                <w:szCs w:val="20"/>
              </w:rPr>
            </w:pPr>
            <w:r>
              <w:rPr>
                <w:color w:val="000000"/>
                <w:sz w:val="20"/>
                <w:szCs w:val="20"/>
              </w:rPr>
              <w:t>0.637</w:t>
            </w:r>
          </w:p>
        </w:tc>
        <w:tc>
          <w:tcPr>
            <w:tcW w:w="864" w:type="dxa"/>
            <w:tcBorders>
              <w:top w:val="nil"/>
              <w:left w:val="nil"/>
              <w:bottom w:val="nil"/>
              <w:right w:val="nil"/>
            </w:tcBorders>
            <w:shd w:val="clear" w:color="auto" w:fill="auto"/>
            <w:noWrap/>
            <w:vAlign w:val="bottom"/>
            <w:hideMark/>
          </w:tcPr>
          <w:p w14:paraId="21D50B79" w14:textId="77777777" w:rsidR="00430C42" w:rsidRDefault="00430C42">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525EA64" w14:textId="77777777" w:rsidR="00430C42" w:rsidRDefault="00430C42">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1A9DB21B" w14:textId="77777777" w:rsidR="00430C42" w:rsidRDefault="00430C42">
            <w:pPr>
              <w:jc w:val="right"/>
              <w:rPr>
                <w:color w:val="000000"/>
                <w:sz w:val="20"/>
                <w:szCs w:val="20"/>
              </w:rPr>
            </w:pPr>
            <w:r>
              <w:rPr>
                <w:color w:val="000000"/>
                <w:sz w:val="20"/>
                <w:szCs w:val="20"/>
              </w:rPr>
              <w:t>0.920</w:t>
            </w:r>
          </w:p>
        </w:tc>
        <w:tc>
          <w:tcPr>
            <w:tcW w:w="864" w:type="dxa"/>
            <w:tcBorders>
              <w:top w:val="nil"/>
              <w:left w:val="nil"/>
              <w:bottom w:val="nil"/>
              <w:right w:val="nil"/>
            </w:tcBorders>
            <w:shd w:val="clear" w:color="auto" w:fill="auto"/>
            <w:noWrap/>
            <w:vAlign w:val="bottom"/>
            <w:hideMark/>
          </w:tcPr>
          <w:p w14:paraId="2EC67CFE" w14:textId="77777777" w:rsidR="00430C42" w:rsidRDefault="00430C42">
            <w:pPr>
              <w:jc w:val="right"/>
              <w:rPr>
                <w:color w:val="000000"/>
                <w:sz w:val="20"/>
                <w:szCs w:val="20"/>
              </w:rPr>
            </w:pPr>
            <w:r>
              <w:rPr>
                <w:color w:val="000000"/>
                <w:sz w:val="20"/>
                <w:szCs w:val="20"/>
              </w:rPr>
              <w:t>0.000</w:t>
            </w:r>
          </w:p>
        </w:tc>
      </w:tr>
      <w:tr w:rsidR="00430C42" w14:paraId="5A0D3564" w14:textId="77777777" w:rsidTr="00430C42">
        <w:trPr>
          <w:trHeight w:val="320"/>
        </w:trPr>
        <w:tc>
          <w:tcPr>
            <w:tcW w:w="1152" w:type="dxa"/>
            <w:tcBorders>
              <w:top w:val="nil"/>
              <w:left w:val="nil"/>
              <w:bottom w:val="single" w:sz="4" w:space="0" w:color="auto"/>
              <w:right w:val="nil"/>
            </w:tcBorders>
            <w:shd w:val="clear" w:color="auto" w:fill="auto"/>
            <w:noWrap/>
            <w:vAlign w:val="bottom"/>
            <w:hideMark/>
          </w:tcPr>
          <w:p w14:paraId="5025E56F" w14:textId="77777777" w:rsidR="00430C42" w:rsidRDefault="00430C42">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58DFB75A" w14:textId="77777777" w:rsidR="00430C42" w:rsidRDefault="00430C42">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1989E458" w14:textId="77777777" w:rsidR="00430C42" w:rsidRDefault="00430C42">
            <w:pPr>
              <w:jc w:val="right"/>
              <w:rPr>
                <w:color w:val="000000"/>
                <w:sz w:val="20"/>
                <w:szCs w:val="20"/>
              </w:rPr>
            </w:pPr>
            <w:r>
              <w:rPr>
                <w:color w:val="000000"/>
                <w:sz w:val="20"/>
                <w:szCs w:val="20"/>
              </w:rPr>
              <w:t>0.041</w:t>
            </w:r>
          </w:p>
        </w:tc>
        <w:tc>
          <w:tcPr>
            <w:tcW w:w="864" w:type="dxa"/>
            <w:tcBorders>
              <w:top w:val="nil"/>
              <w:left w:val="nil"/>
              <w:bottom w:val="single" w:sz="4" w:space="0" w:color="auto"/>
              <w:right w:val="nil"/>
            </w:tcBorders>
            <w:shd w:val="clear" w:color="auto" w:fill="auto"/>
            <w:noWrap/>
            <w:vAlign w:val="bottom"/>
            <w:hideMark/>
          </w:tcPr>
          <w:p w14:paraId="5A09C5FB" w14:textId="77777777" w:rsidR="00430C42" w:rsidRDefault="00430C42">
            <w:pPr>
              <w:jc w:val="right"/>
              <w:rPr>
                <w:color w:val="000000"/>
                <w:sz w:val="20"/>
                <w:szCs w:val="20"/>
              </w:rPr>
            </w:pPr>
            <w:r>
              <w:rPr>
                <w:color w:val="000000"/>
                <w:sz w:val="20"/>
                <w:szCs w:val="20"/>
              </w:rPr>
              <w:t>0.637</w:t>
            </w:r>
          </w:p>
        </w:tc>
        <w:tc>
          <w:tcPr>
            <w:tcW w:w="864" w:type="dxa"/>
            <w:tcBorders>
              <w:top w:val="nil"/>
              <w:left w:val="nil"/>
              <w:bottom w:val="single" w:sz="4" w:space="0" w:color="auto"/>
              <w:right w:val="nil"/>
            </w:tcBorders>
            <w:shd w:val="clear" w:color="auto" w:fill="auto"/>
            <w:noWrap/>
            <w:vAlign w:val="bottom"/>
            <w:hideMark/>
          </w:tcPr>
          <w:p w14:paraId="43FD08FF" w14:textId="77777777" w:rsidR="00430C42" w:rsidRDefault="00430C42">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5D4EFE2B" w14:textId="77777777" w:rsidR="00430C42" w:rsidRDefault="00430C42">
            <w:pPr>
              <w:jc w:val="right"/>
              <w:rPr>
                <w:color w:val="000000"/>
                <w:sz w:val="20"/>
                <w:szCs w:val="20"/>
              </w:rPr>
            </w:pPr>
            <w:r>
              <w:rPr>
                <w:color w:val="000000"/>
                <w:sz w:val="20"/>
                <w:szCs w:val="20"/>
              </w:rPr>
              <w:t>0.042</w:t>
            </w:r>
          </w:p>
        </w:tc>
        <w:tc>
          <w:tcPr>
            <w:tcW w:w="864" w:type="dxa"/>
            <w:tcBorders>
              <w:top w:val="nil"/>
              <w:left w:val="nil"/>
              <w:bottom w:val="single" w:sz="4" w:space="0" w:color="auto"/>
              <w:right w:val="nil"/>
            </w:tcBorders>
            <w:shd w:val="clear" w:color="auto" w:fill="auto"/>
            <w:noWrap/>
            <w:vAlign w:val="bottom"/>
            <w:hideMark/>
          </w:tcPr>
          <w:p w14:paraId="3A79A82A" w14:textId="77777777" w:rsidR="00430C42" w:rsidRDefault="00430C42">
            <w:pPr>
              <w:jc w:val="right"/>
              <w:rPr>
                <w:color w:val="000000"/>
                <w:sz w:val="20"/>
                <w:szCs w:val="20"/>
              </w:rPr>
            </w:pPr>
            <w:r>
              <w:rPr>
                <w:color w:val="000000"/>
                <w:sz w:val="20"/>
                <w:szCs w:val="20"/>
              </w:rPr>
              <w:t>0.920</w:t>
            </w:r>
          </w:p>
        </w:tc>
        <w:tc>
          <w:tcPr>
            <w:tcW w:w="864" w:type="dxa"/>
            <w:tcBorders>
              <w:top w:val="nil"/>
              <w:left w:val="nil"/>
              <w:bottom w:val="single" w:sz="4" w:space="0" w:color="auto"/>
              <w:right w:val="nil"/>
            </w:tcBorders>
            <w:shd w:val="clear" w:color="auto" w:fill="auto"/>
            <w:noWrap/>
            <w:vAlign w:val="bottom"/>
            <w:hideMark/>
          </w:tcPr>
          <w:p w14:paraId="6835265A" w14:textId="77777777" w:rsidR="00430C42" w:rsidRDefault="00430C42">
            <w:pPr>
              <w:jc w:val="right"/>
              <w:rPr>
                <w:color w:val="000000"/>
                <w:sz w:val="20"/>
                <w:szCs w:val="20"/>
              </w:rPr>
            </w:pPr>
            <w:r>
              <w:rPr>
                <w:color w:val="000000"/>
                <w:sz w:val="20"/>
                <w:szCs w:val="20"/>
              </w:rPr>
              <w:t>0.002</w:t>
            </w:r>
          </w:p>
        </w:tc>
      </w:tr>
      <w:tr w:rsidR="00430C42" w14:paraId="755E4A8E" w14:textId="77777777" w:rsidTr="00430C42">
        <w:trPr>
          <w:trHeight w:val="320"/>
        </w:trPr>
        <w:tc>
          <w:tcPr>
            <w:tcW w:w="1152" w:type="dxa"/>
            <w:tcBorders>
              <w:top w:val="nil"/>
              <w:left w:val="nil"/>
              <w:bottom w:val="nil"/>
              <w:right w:val="nil"/>
            </w:tcBorders>
            <w:shd w:val="clear" w:color="auto" w:fill="auto"/>
            <w:noWrap/>
            <w:vAlign w:val="bottom"/>
            <w:hideMark/>
          </w:tcPr>
          <w:p w14:paraId="47C63058" w14:textId="77777777" w:rsidR="00430C42" w:rsidRDefault="00430C42">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193972D8" w14:textId="77777777" w:rsidR="00430C42" w:rsidRDefault="00430C42">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BF777E6" w14:textId="77777777" w:rsidR="00430C42" w:rsidRDefault="00430C42">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6FBF8B91" w14:textId="77777777" w:rsidR="00430C42" w:rsidRDefault="00430C42">
            <w:pPr>
              <w:jc w:val="right"/>
              <w:rPr>
                <w:color w:val="000000"/>
                <w:sz w:val="20"/>
                <w:szCs w:val="20"/>
              </w:rPr>
            </w:pPr>
            <w:r>
              <w:rPr>
                <w:color w:val="000000"/>
                <w:sz w:val="20"/>
                <w:szCs w:val="20"/>
              </w:rPr>
              <w:t>0.770</w:t>
            </w:r>
          </w:p>
        </w:tc>
        <w:tc>
          <w:tcPr>
            <w:tcW w:w="864" w:type="dxa"/>
            <w:tcBorders>
              <w:top w:val="nil"/>
              <w:left w:val="nil"/>
              <w:bottom w:val="nil"/>
              <w:right w:val="nil"/>
            </w:tcBorders>
            <w:shd w:val="clear" w:color="auto" w:fill="auto"/>
            <w:noWrap/>
            <w:vAlign w:val="bottom"/>
            <w:hideMark/>
          </w:tcPr>
          <w:p w14:paraId="225A31CA" w14:textId="77777777" w:rsidR="00430C42" w:rsidRDefault="00430C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934CC73" w14:textId="77777777" w:rsidR="00430C42" w:rsidRDefault="00430C42">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79944F36" w14:textId="77777777" w:rsidR="00430C42" w:rsidRDefault="00430C42">
            <w:pPr>
              <w:jc w:val="right"/>
              <w:rPr>
                <w:color w:val="000000"/>
                <w:sz w:val="20"/>
                <w:szCs w:val="20"/>
              </w:rPr>
            </w:pPr>
            <w:r>
              <w:rPr>
                <w:color w:val="000000"/>
                <w:sz w:val="20"/>
                <w:szCs w:val="20"/>
              </w:rPr>
              <w:t>0.328</w:t>
            </w:r>
          </w:p>
        </w:tc>
        <w:tc>
          <w:tcPr>
            <w:tcW w:w="864" w:type="dxa"/>
            <w:tcBorders>
              <w:top w:val="nil"/>
              <w:left w:val="nil"/>
              <w:bottom w:val="nil"/>
              <w:right w:val="nil"/>
            </w:tcBorders>
            <w:shd w:val="clear" w:color="auto" w:fill="auto"/>
            <w:noWrap/>
            <w:vAlign w:val="bottom"/>
            <w:hideMark/>
          </w:tcPr>
          <w:p w14:paraId="49AFB923" w14:textId="77777777" w:rsidR="00430C42" w:rsidRDefault="00430C42">
            <w:pPr>
              <w:jc w:val="right"/>
              <w:rPr>
                <w:color w:val="000000"/>
                <w:sz w:val="20"/>
                <w:szCs w:val="20"/>
              </w:rPr>
            </w:pPr>
            <w:r>
              <w:rPr>
                <w:color w:val="000000"/>
                <w:sz w:val="20"/>
                <w:szCs w:val="20"/>
              </w:rPr>
              <w:t>0.002</w:t>
            </w:r>
          </w:p>
        </w:tc>
      </w:tr>
      <w:tr w:rsidR="00430C42" w14:paraId="1497E9EB" w14:textId="77777777" w:rsidTr="00430C42">
        <w:trPr>
          <w:trHeight w:val="320"/>
        </w:trPr>
        <w:tc>
          <w:tcPr>
            <w:tcW w:w="1152" w:type="dxa"/>
            <w:tcBorders>
              <w:top w:val="nil"/>
              <w:left w:val="nil"/>
              <w:bottom w:val="nil"/>
              <w:right w:val="nil"/>
            </w:tcBorders>
            <w:shd w:val="clear" w:color="auto" w:fill="auto"/>
            <w:noWrap/>
            <w:vAlign w:val="bottom"/>
            <w:hideMark/>
          </w:tcPr>
          <w:p w14:paraId="3D5F176E"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412BBE5" w14:textId="77777777" w:rsidR="00430C42" w:rsidRDefault="00430C42">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DBEE701" w14:textId="77777777" w:rsidR="00430C42" w:rsidRDefault="00430C42">
            <w:pPr>
              <w:jc w:val="right"/>
              <w:rPr>
                <w:color w:val="000000"/>
                <w:sz w:val="20"/>
                <w:szCs w:val="20"/>
              </w:rPr>
            </w:pPr>
            <w:r>
              <w:rPr>
                <w:color w:val="000000"/>
                <w:sz w:val="20"/>
                <w:szCs w:val="20"/>
              </w:rPr>
              <w:t>-0.086</w:t>
            </w:r>
          </w:p>
        </w:tc>
        <w:tc>
          <w:tcPr>
            <w:tcW w:w="864" w:type="dxa"/>
            <w:tcBorders>
              <w:top w:val="nil"/>
              <w:left w:val="nil"/>
              <w:bottom w:val="nil"/>
              <w:right w:val="nil"/>
            </w:tcBorders>
            <w:shd w:val="clear" w:color="auto" w:fill="auto"/>
            <w:noWrap/>
            <w:vAlign w:val="bottom"/>
            <w:hideMark/>
          </w:tcPr>
          <w:p w14:paraId="7FB0EEA5" w14:textId="77777777" w:rsidR="00430C42" w:rsidRDefault="00430C42">
            <w:pPr>
              <w:jc w:val="right"/>
              <w:rPr>
                <w:color w:val="000000"/>
                <w:sz w:val="20"/>
                <w:szCs w:val="20"/>
              </w:rPr>
            </w:pPr>
            <w:r>
              <w:rPr>
                <w:color w:val="000000"/>
                <w:sz w:val="20"/>
                <w:szCs w:val="20"/>
              </w:rPr>
              <w:t>0.092</w:t>
            </w:r>
          </w:p>
        </w:tc>
        <w:tc>
          <w:tcPr>
            <w:tcW w:w="864" w:type="dxa"/>
            <w:tcBorders>
              <w:top w:val="nil"/>
              <w:left w:val="nil"/>
              <w:bottom w:val="nil"/>
              <w:right w:val="nil"/>
            </w:tcBorders>
            <w:shd w:val="clear" w:color="auto" w:fill="auto"/>
            <w:noWrap/>
            <w:vAlign w:val="bottom"/>
            <w:hideMark/>
          </w:tcPr>
          <w:p w14:paraId="41C0359D" w14:textId="77777777" w:rsidR="00430C42" w:rsidRDefault="00430C42">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05D5A3AD" w14:textId="77777777" w:rsidR="00430C42" w:rsidRDefault="00430C42">
            <w:pPr>
              <w:jc w:val="right"/>
              <w:rPr>
                <w:b/>
                <w:bCs/>
                <w:color w:val="000000"/>
                <w:sz w:val="20"/>
                <w:szCs w:val="20"/>
              </w:rPr>
            </w:pPr>
            <w:r>
              <w:rPr>
                <w:b/>
                <w:bCs/>
                <w:color w:val="000000"/>
                <w:sz w:val="20"/>
                <w:szCs w:val="20"/>
              </w:rPr>
              <w:t>-0.096</w:t>
            </w:r>
          </w:p>
        </w:tc>
        <w:tc>
          <w:tcPr>
            <w:tcW w:w="864" w:type="dxa"/>
            <w:tcBorders>
              <w:top w:val="nil"/>
              <w:left w:val="nil"/>
              <w:bottom w:val="nil"/>
              <w:right w:val="nil"/>
            </w:tcBorders>
            <w:shd w:val="clear" w:color="auto" w:fill="auto"/>
            <w:noWrap/>
            <w:vAlign w:val="bottom"/>
            <w:hideMark/>
          </w:tcPr>
          <w:p w14:paraId="6FF4DCF1" w14:textId="77777777" w:rsidR="00430C42" w:rsidRDefault="00430C42">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1FCCF321" w14:textId="77777777" w:rsidR="00430C42" w:rsidRDefault="00430C42">
            <w:pPr>
              <w:jc w:val="right"/>
              <w:rPr>
                <w:b/>
                <w:bCs/>
                <w:color w:val="000000"/>
                <w:sz w:val="20"/>
                <w:szCs w:val="20"/>
              </w:rPr>
            </w:pPr>
            <w:r>
              <w:rPr>
                <w:b/>
                <w:bCs/>
                <w:color w:val="000000"/>
                <w:sz w:val="20"/>
                <w:szCs w:val="20"/>
              </w:rPr>
              <w:t>0.009</w:t>
            </w:r>
          </w:p>
        </w:tc>
      </w:tr>
      <w:tr w:rsidR="00430C42" w14:paraId="358301DC" w14:textId="77777777" w:rsidTr="00430C42">
        <w:trPr>
          <w:trHeight w:val="320"/>
        </w:trPr>
        <w:tc>
          <w:tcPr>
            <w:tcW w:w="1152" w:type="dxa"/>
            <w:tcBorders>
              <w:top w:val="nil"/>
              <w:left w:val="nil"/>
              <w:bottom w:val="nil"/>
              <w:right w:val="nil"/>
            </w:tcBorders>
            <w:shd w:val="clear" w:color="auto" w:fill="auto"/>
            <w:noWrap/>
            <w:vAlign w:val="bottom"/>
            <w:hideMark/>
          </w:tcPr>
          <w:p w14:paraId="22F5A74D" w14:textId="77777777" w:rsidR="00430C42" w:rsidRDefault="00430C42">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45200106" w14:textId="77777777" w:rsidR="00430C42" w:rsidRDefault="00430C42">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7D42B07" w14:textId="77777777" w:rsidR="00430C42" w:rsidRDefault="00430C42">
            <w:pPr>
              <w:jc w:val="right"/>
              <w:rPr>
                <w:color w:val="000000"/>
                <w:sz w:val="20"/>
                <w:szCs w:val="20"/>
              </w:rPr>
            </w:pPr>
            <w:r>
              <w:rPr>
                <w:color w:val="000000"/>
                <w:sz w:val="20"/>
                <w:szCs w:val="20"/>
              </w:rPr>
              <w:t>-0.116</w:t>
            </w:r>
          </w:p>
        </w:tc>
        <w:tc>
          <w:tcPr>
            <w:tcW w:w="864" w:type="dxa"/>
            <w:tcBorders>
              <w:top w:val="nil"/>
              <w:left w:val="nil"/>
              <w:bottom w:val="nil"/>
              <w:right w:val="nil"/>
            </w:tcBorders>
            <w:shd w:val="clear" w:color="auto" w:fill="auto"/>
            <w:noWrap/>
            <w:vAlign w:val="bottom"/>
            <w:hideMark/>
          </w:tcPr>
          <w:p w14:paraId="2183A24E" w14:textId="77777777" w:rsidR="00430C42" w:rsidRDefault="00430C42">
            <w:pPr>
              <w:jc w:val="right"/>
              <w:rPr>
                <w:color w:val="000000"/>
                <w:sz w:val="20"/>
                <w:szCs w:val="20"/>
              </w:rPr>
            </w:pPr>
            <w:r>
              <w:rPr>
                <w:color w:val="000000"/>
                <w:sz w:val="20"/>
                <w:szCs w:val="20"/>
              </w:rPr>
              <w:t>0.092</w:t>
            </w:r>
          </w:p>
        </w:tc>
        <w:tc>
          <w:tcPr>
            <w:tcW w:w="864" w:type="dxa"/>
            <w:tcBorders>
              <w:top w:val="nil"/>
              <w:left w:val="nil"/>
              <w:bottom w:val="nil"/>
              <w:right w:val="nil"/>
            </w:tcBorders>
            <w:shd w:val="clear" w:color="auto" w:fill="auto"/>
            <w:noWrap/>
            <w:vAlign w:val="bottom"/>
            <w:hideMark/>
          </w:tcPr>
          <w:p w14:paraId="51F6606E" w14:textId="77777777" w:rsidR="00430C42" w:rsidRDefault="00430C42">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73DE2A7C" w14:textId="77777777" w:rsidR="00430C42" w:rsidRDefault="00430C42">
            <w:pPr>
              <w:jc w:val="right"/>
              <w:rPr>
                <w:color w:val="000000"/>
                <w:sz w:val="20"/>
                <w:szCs w:val="20"/>
              </w:rPr>
            </w:pPr>
            <w:r>
              <w:rPr>
                <w:color w:val="000000"/>
                <w:sz w:val="20"/>
                <w:szCs w:val="20"/>
              </w:rPr>
              <w:t>-0.088</w:t>
            </w:r>
          </w:p>
        </w:tc>
        <w:tc>
          <w:tcPr>
            <w:tcW w:w="864" w:type="dxa"/>
            <w:tcBorders>
              <w:top w:val="nil"/>
              <w:left w:val="nil"/>
              <w:bottom w:val="nil"/>
              <w:right w:val="nil"/>
            </w:tcBorders>
            <w:shd w:val="clear" w:color="auto" w:fill="auto"/>
            <w:noWrap/>
            <w:vAlign w:val="bottom"/>
            <w:hideMark/>
          </w:tcPr>
          <w:p w14:paraId="2D10BEAD" w14:textId="77777777" w:rsidR="00430C42" w:rsidRDefault="00430C42">
            <w:pPr>
              <w:jc w:val="right"/>
              <w:rPr>
                <w:color w:val="000000"/>
                <w:sz w:val="20"/>
                <w:szCs w:val="20"/>
              </w:rPr>
            </w:pPr>
            <w:r>
              <w:rPr>
                <w:color w:val="000000"/>
                <w:sz w:val="20"/>
                <w:szCs w:val="20"/>
              </w:rPr>
              <w:t>0.188</w:t>
            </w:r>
          </w:p>
        </w:tc>
        <w:tc>
          <w:tcPr>
            <w:tcW w:w="864" w:type="dxa"/>
            <w:tcBorders>
              <w:top w:val="nil"/>
              <w:left w:val="nil"/>
              <w:bottom w:val="nil"/>
              <w:right w:val="nil"/>
            </w:tcBorders>
            <w:shd w:val="clear" w:color="auto" w:fill="auto"/>
            <w:noWrap/>
            <w:vAlign w:val="bottom"/>
            <w:hideMark/>
          </w:tcPr>
          <w:p w14:paraId="766FAE6A" w14:textId="77777777" w:rsidR="00430C42" w:rsidRDefault="00430C42">
            <w:pPr>
              <w:jc w:val="right"/>
              <w:rPr>
                <w:color w:val="000000"/>
                <w:sz w:val="20"/>
                <w:szCs w:val="20"/>
              </w:rPr>
            </w:pPr>
            <w:r>
              <w:rPr>
                <w:color w:val="000000"/>
                <w:sz w:val="20"/>
                <w:szCs w:val="20"/>
              </w:rPr>
              <w:t>0.008</w:t>
            </w:r>
          </w:p>
        </w:tc>
      </w:tr>
      <w:tr w:rsidR="00430C42" w14:paraId="32242473" w14:textId="77777777" w:rsidTr="00430C42">
        <w:trPr>
          <w:trHeight w:val="320"/>
        </w:trPr>
        <w:tc>
          <w:tcPr>
            <w:tcW w:w="1152" w:type="dxa"/>
            <w:tcBorders>
              <w:top w:val="nil"/>
              <w:left w:val="nil"/>
              <w:bottom w:val="nil"/>
              <w:right w:val="nil"/>
            </w:tcBorders>
            <w:shd w:val="clear" w:color="auto" w:fill="auto"/>
            <w:noWrap/>
            <w:vAlign w:val="bottom"/>
            <w:hideMark/>
          </w:tcPr>
          <w:p w14:paraId="7DEB1761"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EECE8DD" w14:textId="77777777" w:rsidR="00430C42" w:rsidRDefault="00430C42">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1AE2D3F" w14:textId="77777777" w:rsidR="00430C42" w:rsidRDefault="00430C42">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320A7DE3" w14:textId="77777777" w:rsidR="00430C42" w:rsidRDefault="00430C42">
            <w:pPr>
              <w:jc w:val="right"/>
              <w:rPr>
                <w:color w:val="000000"/>
                <w:sz w:val="20"/>
                <w:szCs w:val="20"/>
              </w:rPr>
            </w:pPr>
            <w:r>
              <w:rPr>
                <w:color w:val="000000"/>
                <w:sz w:val="20"/>
                <w:szCs w:val="20"/>
              </w:rPr>
              <w:t>0.594</w:t>
            </w:r>
          </w:p>
        </w:tc>
        <w:tc>
          <w:tcPr>
            <w:tcW w:w="864" w:type="dxa"/>
            <w:tcBorders>
              <w:top w:val="nil"/>
              <w:left w:val="nil"/>
              <w:bottom w:val="nil"/>
              <w:right w:val="nil"/>
            </w:tcBorders>
            <w:shd w:val="clear" w:color="auto" w:fill="auto"/>
            <w:noWrap/>
            <w:vAlign w:val="bottom"/>
            <w:hideMark/>
          </w:tcPr>
          <w:p w14:paraId="578C498D" w14:textId="77777777" w:rsidR="00430C42" w:rsidRDefault="00430C42">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BEE8921" w14:textId="77777777" w:rsidR="00430C42" w:rsidRDefault="00430C42">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490F87D6" w14:textId="77777777" w:rsidR="00430C42" w:rsidRDefault="00430C42">
            <w:pPr>
              <w:jc w:val="right"/>
              <w:rPr>
                <w:color w:val="000000"/>
                <w:sz w:val="20"/>
                <w:szCs w:val="20"/>
              </w:rPr>
            </w:pPr>
            <w:r>
              <w:rPr>
                <w:color w:val="000000"/>
                <w:sz w:val="20"/>
                <w:szCs w:val="20"/>
              </w:rPr>
              <w:t>0.360</w:t>
            </w:r>
          </w:p>
        </w:tc>
        <w:tc>
          <w:tcPr>
            <w:tcW w:w="864" w:type="dxa"/>
            <w:tcBorders>
              <w:top w:val="nil"/>
              <w:left w:val="nil"/>
              <w:bottom w:val="nil"/>
              <w:right w:val="nil"/>
            </w:tcBorders>
            <w:shd w:val="clear" w:color="auto" w:fill="auto"/>
            <w:noWrap/>
            <w:vAlign w:val="bottom"/>
            <w:hideMark/>
          </w:tcPr>
          <w:p w14:paraId="73DAF634" w14:textId="77777777" w:rsidR="00430C42" w:rsidRDefault="00430C42">
            <w:pPr>
              <w:jc w:val="right"/>
              <w:rPr>
                <w:color w:val="000000"/>
                <w:sz w:val="20"/>
                <w:szCs w:val="20"/>
              </w:rPr>
            </w:pPr>
            <w:r>
              <w:rPr>
                <w:color w:val="000000"/>
                <w:sz w:val="20"/>
                <w:szCs w:val="20"/>
              </w:rPr>
              <w:t>0.002</w:t>
            </w:r>
          </w:p>
        </w:tc>
      </w:tr>
      <w:tr w:rsidR="00430C42" w14:paraId="7CA255EB" w14:textId="77777777" w:rsidTr="00430C42">
        <w:trPr>
          <w:trHeight w:val="320"/>
        </w:trPr>
        <w:tc>
          <w:tcPr>
            <w:tcW w:w="1152" w:type="dxa"/>
            <w:tcBorders>
              <w:top w:val="nil"/>
              <w:left w:val="nil"/>
              <w:bottom w:val="nil"/>
              <w:right w:val="nil"/>
            </w:tcBorders>
            <w:shd w:val="clear" w:color="auto" w:fill="auto"/>
            <w:noWrap/>
            <w:vAlign w:val="bottom"/>
            <w:hideMark/>
          </w:tcPr>
          <w:p w14:paraId="2F97177C"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6CC35E" w14:textId="77777777" w:rsidR="00430C42" w:rsidRDefault="00430C42">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18FC664" w14:textId="77777777" w:rsidR="00430C42" w:rsidRDefault="00430C42">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73BAAA9D" w14:textId="77777777" w:rsidR="00430C42" w:rsidRDefault="00430C42">
            <w:pPr>
              <w:jc w:val="right"/>
              <w:rPr>
                <w:color w:val="000000"/>
                <w:sz w:val="20"/>
                <w:szCs w:val="20"/>
              </w:rPr>
            </w:pPr>
            <w:r>
              <w:rPr>
                <w:color w:val="000000"/>
                <w:sz w:val="20"/>
                <w:szCs w:val="20"/>
              </w:rPr>
              <w:t>0.923</w:t>
            </w:r>
          </w:p>
        </w:tc>
        <w:tc>
          <w:tcPr>
            <w:tcW w:w="864" w:type="dxa"/>
            <w:tcBorders>
              <w:top w:val="nil"/>
              <w:left w:val="nil"/>
              <w:bottom w:val="nil"/>
              <w:right w:val="nil"/>
            </w:tcBorders>
            <w:shd w:val="clear" w:color="auto" w:fill="auto"/>
            <w:noWrap/>
            <w:vAlign w:val="bottom"/>
            <w:hideMark/>
          </w:tcPr>
          <w:p w14:paraId="5B304364" w14:textId="77777777" w:rsidR="00430C42" w:rsidRDefault="00430C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59644FE" w14:textId="77777777" w:rsidR="00430C42" w:rsidRDefault="00430C42">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50E1B32B" w14:textId="77777777" w:rsidR="00430C42" w:rsidRDefault="00430C42">
            <w:pPr>
              <w:jc w:val="right"/>
              <w:rPr>
                <w:color w:val="000000"/>
                <w:sz w:val="20"/>
                <w:szCs w:val="20"/>
              </w:rPr>
            </w:pPr>
            <w:r>
              <w:rPr>
                <w:color w:val="000000"/>
                <w:sz w:val="20"/>
                <w:szCs w:val="20"/>
              </w:rPr>
              <w:t>0.496</w:t>
            </w:r>
          </w:p>
        </w:tc>
        <w:tc>
          <w:tcPr>
            <w:tcW w:w="864" w:type="dxa"/>
            <w:tcBorders>
              <w:top w:val="nil"/>
              <w:left w:val="nil"/>
              <w:bottom w:val="nil"/>
              <w:right w:val="nil"/>
            </w:tcBorders>
            <w:shd w:val="clear" w:color="auto" w:fill="auto"/>
            <w:noWrap/>
            <w:vAlign w:val="bottom"/>
            <w:hideMark/>
          </w:tcPr>
          <w:p w14:paraId="7DA34BDD" w14:textId="77777777" w:rsidR="00430C42" w:rsidRDefault="00430C42">
            <w:pPr>
              <w:jc w:val="right"/>
              <w:rPr>
                <w:color w:val="000000"/>
                <w:sz w:val="20"/>
                <w:szCs w:val="20"/>
              </w:rPr>
            </w:pPr>
            <w:r>
              <w:rPr>
                <w:color w:val="000000"/>
                <w:sz w:val="20"/>
                <w:szCs w:val="20"/>
              </w:rPr>
              <w:t>0.001</w:t>
            </w:r>
          </w:p>
        </w:tc>
      </w:tr>
      <w:tr w:rsidR="00430C42" w14:paraId="39309F3D" w14:textId="77777777" w:rsidTr="00430C42">
        <w:trPr>
          <w:trHeight w:val="320"/>
        </w:trPr>
        <w:tc>
          <w:tcPr>
            <w:tcW w:w="1152" w:type="dxa"/>
            <w:tcBorders>
              <w:top w:val="nil"/>
              <w:left w:val="nil"/>
              <w:bottom w:val="nil"/>
              <w:right w:val="nil"/>
            </w:tcBorders>
            <w:shd w:val="clear" w:color="auto" w:fill="auto"/>
            <w:noWrap/>
            <w:vAlign w:val="bottom"/>
            <w:hideMark/>
          </w:tcPr>
          <w:p w14:paraId="7AC7034A"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FD635E1" w14:textId="77777777" w:rsidR="00430C42" w:rsidRDefault="00430C42">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7DDC64B" w14:textId="77777777" w:rsidR="00430C42" w:rsidRDefault="00430C42">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320CDEA6" w14:textId="77777777" w:rsidR="00430C42" w:rsidRDefault="00430C42">
            <w:pPr>
              <w:jc w:val="right"/>
              <w:rPr>
                <w:color w:val="000000"/>
                <w:sz w:val="20"/>
                <w:szCs w:val="20"/>
              </w:rPr>
            </w:pPr>
            <w:r>
              <w:rPr>
                <w:color w:val="000000"/>
                <w:sz w:val="20"/>
                <w:szCs w:val="20"/>
              </w:rPr>
              <w:t>0.125</w:t>
            </w:r>
          </w:p>
        </w:tc>
        <w:tc>
          <w:tcPr>
            <w:tcW w:w="864" w:type="dxa"/>
            <w:tcBorders>
              <w:top w:val="nil"/>
              <w:left w:val="nil"/>
              <w:bottom w:val="nil"/>
              <w:right w:val="nil"/>
            </w:tcBorders>
            <w:shd w:val="clear" w:color="auto" w:fill="auto"/>
            <w:noWrap/>
            <w:vAlign w:val="bottom"/>
            <w:hideMark/>
          </w:tcPr>
          <w:p w14:paraId="32C65102" w14:textId="77777777" w:rsidR="00430C42" w:rsidRDefault="00430C42">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D1E973C" w14:textId="77777777" w:rsidR="00430C42" w:rsidRDefault="00430C42">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199CCD03" w14:textId="77777777" w:rsidR="00430C42" w:rsidRDefault="00430C42">
            <w:pPr>
              <w:jc w:val="right"/>
              <w:rPr>
                <w:color w:val="000000"/>
                <w:sz w:val="20"/>
                <w:szCs w:val="20"/>
              </w:rPr>
            </w:pPr>
            <w:r>
              <w:rPr>
                <w:color w:val="000000"/>
                <w:sz w:val="20"/>
                <w:szCs w:val="20"/>
              </w:rPr>
              <w:t>0.348</w:t>
            </w:r>
          </w:p>
        </w:tc>
        <w:tc>
          <w:tcPr>
            <w:tcW w:w="864" w:type="dxa"/>
            <w:tcBorders>
              <w:top w:val="nil"/>
              <w:left w:val="nil"/>
              <w:bottom w:val="nil"/>
              <w:right w:val="nil"/>
            </w:tcBorders>
            <w:shd w:val="clear" w:color="auto" w:fill="auto"/>
            <w:noWrap/>
            <w:vAlign w:val="bottom"/>
            <w:hideMark/>
          </w:tcPr>
          <w:p w14:paraId="2F71BB71" w14:textId="77777777" w:rsidR="00430C42" w:rsidRDefault="00430C42">
            <w:pPr>
              <w:jc w:val="right"/>
              <w:rPr>
                <w:color w:val="000000"/>
                <w:sz w:val="20"/>
                <w:szCs w:val="20"/>
              </w:rPr>
            </w:pPr>
            <w:r>
              <w:rPr>
                <w:color w:val="000000"/>
                <w:sz w:val="20"/>
                <w:szCs w:val="20"/>
              </w:rPr>
              <w:t>0.002</w:t>
            </w:r>
          </w:p>
        </w:tc>
      </w:tr>
      <w:tr w:rsidR="00430C42" w14:paraId="0869B699" w14:textId="77777777" w:rsidTr="00430C42">
        <w:trPr>
          <w:trHeight w:val="320"/>
        </w:trPr>
        <w:tc>
          <w:tcPr>
            <w:tcW w:w="1152" w:type="dxa"/>
            <w:tcBorders>
              <w:top w:val="nil"/>
              <w:left w:val="nil"/>
              <w:bottom w:val="nil"/>
              <w:right w:val="nil"/>
            </w:tcBorders>
            <w:shd w:val="clear" w:color="auto" w:fill="auto"/>
            <w:noWrap/>
            <w:vAlign w:val="bottom"/>
            <w:hideMark/>
          </w:tcPr>
          <w:p w14:paraId="1959C20D"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3762CDD" w14:textId="77777777" w:rsidR="00430C42" w:rsidRDefault="00430C42">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7A3E059" w14:textId="77777777" w:rsidR="00430C42" w:rsidRDefault="00430C42">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34E26371" w14:textId="77777777" w:rsidR="00430C42" w:rsidRDefault="00430C42">
            <w:pPr>
              <w:jc w:val="right"/>
              <w:rPr>
                <w:color w:val="000000"/>
                <w:sz w:val="20"/>
                <w:szCs w:val="20"/>
              </w:rPr>
            </w:pPr>
            <w:r>
              <w:rPr>
                <w:color w:val="000000"/>
                <w:sz w:val="20"/>
                <w:szCs w:val="20"/>
              </w:rPr>
              <w:t>0.923</w:t>
            </w:r>
          </w:p>
        </w:tc>
        <w:tc>
          <w:tcPr>
            <w:tcW w:w="864" w:type="dxa"/>
            <w:tcBorders>
              <w:top w:val="nil"/>
              <w:left w:val="nil"/>
              <w:bottom w:val="nil"/>
              <w:right w:val="nil"/>
            </w:tcBorders>
            <w:shd w:val="clear" w:color="auto" w:fill="auto"/>
            <w:noWrap/>
            <w:vAlign w:val="bottom"/>
            <w:hideMark/>
          </w:tcPr>
          <w:p w14:paraId="6C0DA6DD" w14:textId="77777777" w:rsidR="00430C42" w:rsidRDefault="00430C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2C74AB1" w14:textId="77777777" w:rsidR="00430C42" w:rsidRDefault="00430C42">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12896369" w14:textId="77777777" w:rsidR="00430C42" w:rsidRDefault="00430C42">
            <w:pPr>
              <w:jc w:val="right"/>
              <w:rPr>
                <w:color w:val="000000"/>
                <w:sz w:val="20"/>
                <w:szCs w:val="20"/>
              </w:rPr>
            </w:pPr>
            <w:r>
              <w:rPr>
                <w:color w:val="000000"/>
                <w:sz w:val="20"/>
                <w:szCs w:val="20"/>
              </w:rPr>
              <w:t>0.496</w:t>
            </w:r>
          </w:p>
        </w:tc>
        <w:tc>
          <w:tcPr>
            <w:tcW w:w="864" w:type="dxa"/>
            <w:tcBorders>
              <w:top w:val="nil"/>
              <w:left w:val="nil"/>
              <w:bottom w:val="nil"/>
              <w:right w:val="nil"/>
            </w:tcBorders>
            <w:shd w:val="clear" w:color="auto" w:fill="auto"/>
            <w:noWrap/>
            <w:vAlign w:val="bottom"/>
            <w:hideMark/>
          </w:tcPr>
          <w:p w14:paraId="3BB77754" w14:textId="77777777" w:rsidR="00430C42" w:rsidRDefault="00430C42">
            <w:pPr>
              <w:jc w:val="right"/>
              <w:rPr>
                <w:color w:val="000000"/>
                <w:sz w:val="20"/>
                <w:szCs w:val="20"/>
              </w:rPr>
            </w:pPr>
            <w:r>
              <w:rPr>
                <w:color w:val="000000"/>
                <w:sz w:val="20"/>
                <w:szCs w:val="20"/>
              </w:rPr>
              <w:t>0.001</w:t>
            </w:r>
          </w:p>
        </w:tc>
      </w:tr>
      <w:tr w:rsidR="00430C42" w14:paraId="3508C5CB" w14:textId="77777777" w:rsidTr="00430C42">
        <w:trPr>
          <w:trHeight w:val="320"/>
        </w:trPr>
        <w:tc>
          <w:tcPr>
            <w:tcW w:w="1152" w:type="dxa"/>
            <w:tcBorders>
              <w:top w:val="nil"/>
              <w:left w:val="nil"/>
              <w:bottom w:val="single" w:sz="4" w:space="0" w:color="auto"/>
              <w:right w:val="nil"/>
            </w:tcBorders>
            <w:shd w:val="clear" w:color="auto" w:fill="auto"/>
            <w:noWrap/>
            <w:vAlign w:val="bottom"/>
            <w:hideMark/>
          </w:tcPr>
          <w:p w14:paraId="5A8EC055" w14:textId="77777777" w:rsidR="00430C42" w:rsidRDefault="00430C42">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17551EC" w14:textId="77777777" w:rsidR="00430C42" w:rsidRDefault="00430C42">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CD4AACA" w14:textId="77777777" w:rsidR="00430C42" w:rsidRDefault="00430C42">
            <w:pPr>
              <w:jc w:val="right"/>
              <w:rPr>
                <w:color w:val="000000"/>
                <w:sz w:val="20"/>
                <w:szCs w:val="20"/>
              </w:rPr>
            </w:pPr>
            <w:r>
              <w:rPr>
                <w:color w:val="000000"/>
                <w:sz w:val="20"/>
                <w:szCs w:val="20"/>
              </w:rPr>
              <w:t>0.019</w:t>
            </w:r>
          </w:p>
        </w:tc>
        <w:tc>
          <w:tcPr>
            <w:tcW w:w="864" w:type="dxa"/>
            <w:tcBorders>
              <w:top w:val="nil"/>
              <w:left w:val="nil"/>
              <w:bottom w:val="single" w:sz="4" w:space="0" w:color="auto"/>
              <w:right w:val="nil"/>
            </w:tcBorders>
            <w:shd w:val="clear" w:color="auto" w:fill="auto"/>
            <w:noWrap/>
            <w:vAlign w:val="bottom"/>
            <w:hideMark/>
          </w:tcPr>
          <w:p w14:paraId="05A90258" w14:textId="77777777" w:rsidR="00430C42" w:rsidRDefault="00430C42">
            <w:pPr>
              <w:jc w:val="right"/>
              <w:rPr>
                <w:color w:val="000000"/>
                <w:sz w:val="20"/>
                <w:szCs w:val="20"/>
              </w:rPr>
            </w:pPr>
            <w:r>
              <w:rPr>
                <w:color w:val="000000"/>
                <w:sz w:val="20"/>
                <w:szCs w:val="20"/>
              </w:rPr>
              <w:t>0.884</w:t>
            </w:r>
          </w:p>
        </w:tc>
        <w:tc>
          <w:tcPr>
            <w:tcW w:w="864" w:type="dxa"/>
            <w:tcBorders>
              <w:top w:val="nil"/>
              <w:left w:val="nil"/>
              <w:bottom w:val="single" w:sz="4" w:space="0" w:color="auto"/>
              <w:right w:val="nil"/>
            </w:tcBorders>
            <w:shd w:val="clear" w:color="auto" w:fill="auto"/>
            <w:noWrap/>
            <w:vAlign w:val="bottom"/>
            <w:hideMark/>
          </w:tcPr>
          <w:p w14:paraId="3FCBA04B" w14:textId="77777777" w:rsidR="00430C42" w:rsidRDefault="00430C42">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1D12B2D" w14:textId="77777777" w:rsidR="00430C42" w:rsidRDefault="00430C42">
            <w:pPr>
              <w:jc w:val="right"/>
              <w:rPr>
                <w:color w:val="000000"/>
                <w:sz w:val="20"/>
                <w:szCs w:val="20"/>
              </w:rPr>
            </w:pPr>
            <w:r>
              <w:rPr>
                <w:color w:val="000000"/>
                <w:sz w:val="20"/>
                <w:szCs w:val="20"/>
              </w:rPr>
              <w:t>0.028</w:t>
            </w:r>
          </w:p>
        </w:tc>
        <w:tc>
          <w:tcPr>
            <w:tcW w:w="864" w:type="dxa"/>
            <w:tcBorders>
              <w:top w:val="nil"/>
              <w:left w:val="nil"/>
              <w:bottom w:val="single" w:sz="4" w:space="0" w:color="auto"/>
              <w:right w:val="nil"/>
            </w:tcBorders>
            <w:shd w:val="clear" w:color="auto" w:fill="auto"/>
            <w:noWrap/>
            <w:vAlign w:val="bottom"/>
            <w:hideMark/>
          </w:tcPr>
          <w:p w14:paraId="50720D3A" w14:textId="77777777" w:rsidR="00430C42" w:rsidRDefault="00430C42">
            <w:pPr>
              <w:jc w:val="right"/>
              <w:rPr>
                <w:color w:val="000000"/>
                <w:sz w:val="20"/>
                <w:szCs w:val="20"/>
              </w:rPr>
            </w:pPr>
            <w:r>
              <w:rPr>
                <w:color w:val="000000"/>
                <w:sz w:val="20"/>
                <w:szCs w:val="20"/>
              </w:rPr>
              <w:t>0.496</w:t>
            </w:r>
          </w:p>
        </w:tc>
        <w:tc>
          <w:tcPr>
            <w:tcW w:w="864" w:type="dxa"/>
            <w:tcBorders>
              <w:top w:val="nil"/>
              <w:left w:val="nil"/>
              <w:bottom w:val="single" w:sz="4" w:space="0" w:color="auto"/>
              <w:right w:val="nil"/>
            </w:tcBorders>
            <w:shd w:val="clear" w:color="auto" w:fill="auto"/>
            <w:noWrap/>
            <w:vAlign w:val="bottom"/>
            <w:hideMark/>
          </w:tcPr>
          <w:p w14:paraId="42724689" w14:textId="77777777" w:rsidR="00430C42" w:rsidRDefault="00430C42">
            <w:pPr>
              <w:jc w:val="right"/>
              <w:rPr>
                <w:color w:val="000000"/>
                <w:sz w:val="20"/>
                <w:szCs w:val="20"/>
              </w:rPr>
            </w:pPr>
            <w:r>
              <w:rPr>
                <w:color w:val="000000"/>
                <w:sz w:val="20"/>
                <w:szCs w:val="20"/>
              </w:rPr>
              <w:t>0.001</w:t>
            </w:r>
          </w:p>
        </w:tc>
      </w:tr>
      <w:tr w:rsidR="00430C42" w14:paraId="243E1C0D" w14:textId="77777777" w:rsidTr="00430C42">
        <w:trPr>
          <w:trHeight w:val="320"/>
        </w:trPr>
        <w:tc>
          <w:tcPr>
            <w:tcW w:w="1152" w:type="dxa"/>
            <w:tcBorders>
              <w:top w:val="nil"/>
              <w:left w:val="nil"/>
              <w:bottom w:val="nil"/>
              <w:right w:val="nil"/>
            </w:tcBorders>
            <w:shd w:val="clear" w:color="auto" w:fill="auto"/>
            <w:noWrap/>
            <w:vAlign w:val="bottom"/>
            <w:hideMark/>
          </w:tcPr>
          <w:p w14:paraId="2C98D649" w14:textId="77777777" w:rsidR="00430C42" w:rsidRDefault="00430C42">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7E618AAE" w14:textId="77777777" w:rsidR="00430C42" w:rsidRDefault="00430C42">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F121F15" w14:textId="77777777" w:rsidR="00430C42" w:rsidRDefault="00430C42">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753F5BCA" w14:textId="77777777" w:rsidR="00430C42" w:rsidRDefault="00430C42">
            <w:pPr>
              <w:jc w:val="right"/>
              <w:rPr>
                <w:color w:val="000000"/>
                <w:sz w:val="20"/>
                <w:szCs w:val="20"/>
              </w:rPr>
            </w:pPr>
            <w:r>
              <w:rPr>
                <w:color w:val="000000"/>
                <w:sz w:val="20"/>
                <w:szCs w:val="20"/>
              </w:rPr>
              <w:t>0.381</w:t>
            </w:r>
          </w:p>
        </w:tc>
        <w:tc>
          <w:tcPr>
            <w:tcW w:w="864" w:type="dxa"/>
            <w:tcBorders>
              <w:top w:val="nil"/>
              <w:left w:val="nil"/>
              <w:bottom w:val="nil"/>
              <w:right w:val="nil"/>
            </w:tcBorders>
            <w:shd w:val="clear" w:color="auto" w:fill="auto"/>
            <w:noWrap/>
            <w:vAlign w:val="bottom"/>
            <w:hideMark/>
          </w:tcPr>
          <w:p w14:paraId="1AB15BA2" w14:textId="77777777" w:rsidR="00430C42" w:rsidRDefault="00430C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1150416" w14:textId="77777777" w:rsidR="00430C42" w:rsidRDefault="00430C42">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3E4A763E" w14:textId="77777777" w:rsidR="00430C42" w:rsidRDefault="00430C42">
            <w:pPr>
              <w:jc w:val="right"/>
              <w:rPr>
                <w:color w:val="000000"/>
                <w:sz w:val="20"/>
                <w:szCs w:val="20"/>
              </w:rPr>
            </w:pPr>
            <w:r>
              <w:rPr>
                <w:color w:val="000000"/>
                <w:sz w:val="20"/>
                <w:szCs w:val="20"/>
              </w:rPr>
              <w:t>0.389</w:t>
            </w:r>
          </w:p>
        </w:tc>
        <w:tc>
          <w:tcPr>
            <w:tcW w:w="864" w:type="dxa"/>
            <w:tcBorders>
              <w:top w:val="nil"/>
              <w:left w:val="nil"/>
              <w:bottom w:val="nil"/>
              <w:right w:val="nil"/>
            </w:tcBorders>
            <w:shd w:val="clear" w:color="auto" w:fill="auto"/>
            <w:noWrap/>
            <w:vAlign w:val="bottom"/>
            <w:hideMark/>
          </w:tcPr>
          <w:p w14:paraId="49A6EF7B" w14:textId="77777777" w:rsidR="00430C42" w:rsidRDefault="00430C42">
            <w:pPr>
              <w:jc w:val="right"/>
              <w:rPr>
                <w:color w:val="000000"/>
                <w:sz w:val="20"/>
                <w:szCs w:val="20"/>
              </w:rPr>
            </w:pPr>
            <w:r>
              <w:rPr>
                <w:color w:val="000000"/>
                <w:sz w:val="20"/>
                <w:szCs w:val="20"/>
              </w:rPr>
              <w:t>0.002</w:t>
            </w:r>
          </w:p>
        </w:tc>
      </w:tr>
      <w:tr w:rsidR="00430C42" w14:paraId="650DEC6E" w14:textId="77777777" w:rsidTr="00430C42">
        <w:trPr>
          <w:trHeight w:val="320"/>
        </w:trPr>
        <w:tc>
          <w:tcPr>
            <w:tcW w:w="1152" w:type="dxa"/>
            <w:tcBorders>
              <w:top w:val="nil"/>
              <w:left w:val="nil"/>
              <w:bottom w:val="nil"/>
              <w:right w:val="nil"/>
            </w:tcBorders>
            <w:shd w:val="clear" w:color="auto" w:fill="auto"/>
            <w:noWrap/>
            <w:vAlign w:val="bottom"/>
            <w:hideMark/>
          </w:tcPr>
          <w:p w14:paraId="7DC6D471"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FD0FC52" w14:textId="77777777" w:rsidR="00430C42" w:rsidRDefault="00430C42">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F6CA6A4" w14:textId="77777777" w:rsidR="00430C42" w:rsidRDefault="00430C42">
            <w:pPr>
              <w:jc w:val="right"/>
              <w:rPr>
                <w:color w:val="000000"/>
                <w:sz w:val="20"/>
                <w:szCs w:val="20"/>
              </w:rPr>
            </w:pPr>
            <w:r>
              <w:rPr>
                <w:color w:val="000000"/>
                <w:sz w:val="20"/>
                <w:szCs w:val="20"/>
              </w:rPr>
              <w:t>-0.081</w:t>
            </w:r>
          </w:p>
        </w:tc>
        <w:tc>
          <w:tcPr>
            <w:tcW w:w="864" w:type="dxa"/>
            <w:tcBorders>
              <w:top w:val="nil"/>
              <w:left w:val="nil"/>
              <w:bottom w:val="nil"/>
              <w:right w:val="nil"/>
            </w:tcBorders>
            <w:shd w:val="clear" w:color="auto" w:fill="auto"/>
            <w:noWrap/>
            <w:vAlign w:val="bottom"/>
            <w:hideMark/>
          </w:tcPr>
          <w:p w14:paraId="264194AE" w14:textId="77777777" w:rsidR="00430C42" w:rsidRDefault="00430C42">
            <w:pPr>
              <w:jc w:val="right"/>
              <w:rPr>
                <w:color w:val="000000"/>
                <w:sz w:val="20"/>
                <w:szCs w:val="20"/>
              </w:rPr>
            </w:pPr>
            <w:r>
              <w:rPr>
                <w:color w:val="000000"/>
                <w:sz w:val="20"/>
                <w:szCs w:val="20"/>
              </w:rPr>
              <w:t>0.131</w:t>
            </w:r>
          </w:p>
        </w:tc>
        <w:tc>
          <w:tcPr>
            <w:tcW w:w="864" w:type="dxa"/>
            <w:tcBorders>
              <w:top w:val="nil"/>
              <w:left w:val="nil"/>
              <w:bottom w:val="nil"/>
              <w:right w:val="nil"/>
            </w:tcBorders>
            <w:shd w:val="clear" w:color="auto" w:fill="auto"/>
            <w:noWrap/>
            <w:vAlign w:val="bottom"/>
            <w:hideMark/>
          </w:tcPr>
          <w:p w14:paraId="3CF1AC68" w14:textId="77777777" w:rsidR="00430C42" w:rsidRDefault="00430C42">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1E6FD96A" w14:textId="77777777" w:rsidR="00430C42" w:rsidRDefault="00430C42">
            <w:pPr>
              <w:jc w:val="right"/>
              <w:rPr>
                <w:b/>
                <w:bCs/>
                <w:color w:val="000000"/>
                <w:sz w:val="20"/>
                <w:szCs w:val="20"/>
              </w:rPr>
            </w:pPr>
            <w:r>
              <w:rPr>
                <w:b/>
                <w:bCs/>
                <w:color w:val="000000"/>
                <w:sz w:val="20"/>
                <w:szCs w:val="20"/>
              </w:rPr>
              <w:t>-0.084</w:t>
            </w:r>
          </w:p>
        </w:tc>
        <w:tc>
          <w:tcPr>
            <w:tcW w:w="864" w:type="dxa"/>
            <w:tcBorders>
              <w:top w:val="nil"/>
              <w:left w:val="nil"/>
              <w:bottom w:val="nil"/>
              <w:right w:val="nil"/>
            </w:tcBorders>
            <w:shd w:val="clear" w:color="auto" w:fill="auto"/>
            <w:noWrap/>
            <w:vAlign w:val="bottom"/>
            <w:hideMark/>
          </w:tcPr>
          <w:p w14:paraId="43F483DC" w14:textId="77777777" w:rsidR="00430C42" w:rsidRDefault="00430C42">
            <w:pPr>
              <w:jc w:val="right"/>
              <w:rPr>
                <w:b/>
                <w:bCs/>
                <w:color w:val="000000"/>
                <w:sz w:val="20"/>
                <w:szCs w:val="20"/>
              </w:rPr>
            </w:pPr>
            <w:r>
              <w:rPr>
                <w:b/>
                <w:bCs/>
                <w:color w:val="000000"/>
                <w:sz w:val="20"/>
                <w:szCs w:val="20"/>
              </w:rPr>
              <w:t>0.040</w:t>
            </w:r>
          </w:p>
        </w:tc>
        <w:tc>
          <w:tcPr>
            <w:tcW w:w="864" w:type="dxa"/>
            <w:tcBorders>
              <w:top w:val="nil"/>
              <w:left w:val="nil"/>
              <w:bottom w:val="nil"/>
              <w:right w:val="nil"/>
            </w:tcBorders>
            <w:shd w:val="clear" w:color="auto" w:fill="auto"/>
            <w:noWrap/>
            <w:vAlign w:val="bottom"/>
            <w:hideMark/>
          </w:tcPr>
          <w:p w14:paraId="16736C49" w14:textId="77777777" w:rsidR="00430C42" w:rsidRDefault="00430C42">
            <w:pPr>
              <w:jc w:val="right"/>
              <w:rPr>
                <w:b/>
                <w:bCs/>
                <w:color w:val="000000"/>
                <w:sz w:val="20"/>
                <w:szCs w:val="20"/>
              </w:rPr>
            </w:pPr>
            <w:r>
              <w:rPr>
                <w:b/>
                <w:bCs/>
                <w:color w:val="000000"/>
                <w:sz w:val="20"/>
                <w:szCs w:val="20"/>
              </w:rPr>
              <w:t>0.007</w:t>
            </w:r>
          </w:p>
        </w:tc>
      </w:tr>
      <w:tr w:rsidR="00430C42" w14:paraId="699FB32E" w14:textId="77777777" w:rsidTr="00430C42">
        <w:trPr>
          <w:trHeight w:val="320"/>
        </w:trPr>
        <w:tc>
          <w:tcPr>
            <w:tcW w:w="1152" w:type="dxa"/>
            <w:tcBorders>
              <w:top w:val="nil"/>
              <w:left w:val="nil"/>
              <w:bottom w:val="nil"/>
              <w:right w:val="nil"/>
            </w:tcBorders>
            <w:shd w:val="clear" w:color="auto" w:fill="auto"/>
            <w:noWrap/>
            <w:vAlign w:val="bottom"/>
            <w:hideMark/>
          </w:tcPr>
          <w:p w14:paraId="623435D7" w14:textId="77777777" w:rsidR="00430C42" w:rsidRDefault="00430C42">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080258F1" w14:textId="77777777" w:rsidR="00430C42" w:rsidRDefault="00430C42">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D1AD53D" w14:textId="77777777" w:rsidR="00430C42" w:rsidRDefault="00430C42">
            <w:pPr>
              <w:jc w:val="right"/>
              <w:rPr>
                <w:color w:val="000000"/>
                <w:sz w:val="20"/>
                <w:szCs w:val="20"/>
              </w:rPr>
            </w:pPr>
            <w:r>
              <w:rPr>
                <w:color w:val="000000"/>
                <w:sz w:val="20"/>
                <w:szCs w:val="20"/>
              </w:rPr>
              <w:t>-0.082</w:t>
            </w:r>
          </w:p>
        </w:tc>
        <w:tc>
          <w:tcPr>
            <w:tcW w:w="864" w:type="dxa"/>
            <w:tcBorders>
              <w:top w:val="nil"/>
              <w:left w:val="nil"/>
              <w:bottom w:val="nil"/>
              <w:right w:val="nil"/>
            </w:tcBorders>
            <w:shd w:val="clear" w:color="auto" w:fill="auto"/>
            <w:noWrap/>
            <w:vAlign w:val="bottom"/>
            <w:hideMark/>
          </w:tcPr>
          <w:p w14:paraId="69736E22" w14:textId="77777777" w:rsidR="00430C42" w:rsidRDefault="00430C42">
            <w:pPr>
              <w:jc w:val="right"/>
              <w:rPr>
                <w:color w:val="000000"/>
                <w:sz w:val="20"/>
                <w:szCs w:val="20"/>
              </w:rPr>
            </w:pPr>
            <w:r>
              <w:rPr>
                <w:color w:val="000000"/>
                <w:sz w:val="20"/>
                <w:szCs w:val="20"/>
              </w:rPr>
              <w:t>0.131</w:t>
            </w:r>
          </w:p>
        </w:tc>
        <w:tc>
          <w:tcPr>
            <w:tcW w:w="864" w:type="dxa"/>
            <w:tcBorders>
              <w:top w:val="nil"/>
              <w:left w:val="nil"/>
              <w:bottom w:val="nil"/>
              <w:right w:val="nil"/>
            </w:tcBorders>
            <w:shd w:val="clear" w:color="auto" w:fill="auto"/>
            <w:noWrap/>
            <w:vAlign w:val="bottom"/>
            <w:hideMark/>
          </w:tcPr>
          <w:p w14:paraId="0C54FA8D" w14:textId="77777777" w:rsidR="00430C42" w:rsidRDefault="00430C42">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331CB1CA" w14:textId="77777777" w:rsidR="00430C42" w:rsidRDefault="00430C42">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6EDD5F8E" w14:textId="77777777" w:rsidR="00430C42" w:rsidRDefault="00430C42">
            <w:pPr>
              <w:jc w:val="right"/>
              <w:rPr>
                <w:color w:val="000000"/>
                <w:sz w:val="20"/>
                <w:szCs w:val="20"/>
              </w:rPr>
            </w:pPr>
            <w:r>
              <w:rPr>
                <w:color w:val="000000"/>
                <w:sz w:val="20"/>
                <w:szCs w:val="20"/>
              </w:rPr>
              <w:t>0.389</w:t>
            </w:r>
          </w:p>
        </w:tc>
        <w:tc>
          <w:tcPr>
            <w:tcW w:w="864" w:type="dxa"/>
            <w:tcBorders>
              <w:top w:val="nil"/>
              <w:left w:val="nil"/>
              <w:bottom w:val="nil"/>
              <w:right w:val="nil"/>
            </w:tcBorders>
            <w:shd w:val="clear" w:color="auto" w:fill="auto"/>
            <w:noWrap/>
            <w:vAlign w:val="bottom"/>
            <w:hideMark/>
          </w:tcPr>
          <w:p w14:paraId="3DA7CE3C" w14:textId="77777777" w:rsidR="00430C42" w:rsidRDefault="00430C42">
            <w:pPr>
              <w:jc w:val="right"/>
              <w:rPr>
                <w:color w:val="000000"/>
                <w:sz w:val="20"/>
                <w:szCs w:val="20"/>
              </w:rPr>
            </w:pPr>
            <w:r>
              <w:rPr>
                <w:color w:val="000000"/>
                <w:sz w:val="20"/>
                <w:szCs w:val="20"/>
              </w:rPr>
              <w:t>0.001</w:t>
            </w:r>
          </w:p>
        </w:tc>
      </w:tr>
      <w:tr w:rsidR="00430C42" w14:paraId="68F90072" w14:textId="77777777" w:rsidTr="00430C42">
        <w:trPr>
          <w:trHeight w:val="320"/>
        </w:trPr>
        <w:tc>
          <w:tcPr>
            <w:tcW w:w="1152" w:type="dxa"/>
            <w:tcBorders>
              <w:top w:val="nil"/>
              <w:left w:val="nil"/>
              <w:bottom w:val="nil"/>
              <w:right w:val="nil"/>
            </w:tcBorders>
            <w:shd w:val="clear" w:color="auto" w:fill="auto"/>
            <w:noWrap/>
            <w:vAlign w:val="bottom"/>
            <w:hideMark/>
          </w:tcPr>
          <w:p w14:paraId="2EA9CE51"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35CD4C3" w14:textId="77777777" w:rsidR="00430C42" w:rsidRDefault="00430C42">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B5B26C9" w14:textId="77777777" w:rsidR="00430C42" w:rsidRDefault="00430C42">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2EBE714" w14:textId="77777777" w:rsidR="00430C42" w:rsidRDefault="00430C42">
            <w:pPr>
              <w:jc w:val="right"/>
              <w:rPr>
                <w:color w:val="000000"/>
                <w:sz w:val="20"/>
                <w:szCs w:val="20"/>
              </w:rPr>
            </w:pPr>
            <w:r>
              <w:rPr>
                <w:color w:val="000000"/>
                <w:sz w:val="20"/>
                <w:szCs w:val="20"/>
              </w:rPr>
              <w:t>0.923</w:t>
            </w:r>
          </w:p>
        </w:tc>
        <w:tc>
          <w:tcPr>
            <w:tcW w:w="864" w:type="dxa"/>
            <w:tcBorders>
              <w:top w:val="nil"/>
              <w:left w:val="nil"/>
              <w:bottom w:val="nil"/>
              <w:right w:val="nil"/>
            </w:tcBorders>
            <w:shd w:val="clear" w:color="auto" w:fill="auto"/>
            <w:noWrap/>
            <w:vAlign w:val="bottom"/>
            <w:hideMark/>
          </w:tcPr>
          <w:p w14:paraId="3F0CBFFC" w14:textId="77777777" w:rsidR="00430C42" w:rsidRDefault="00430C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72DF897" w14:textId="77777777" w:rsidR="00430C42" w:rsidRDefault="00430C42">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69A6B516" w14:textId="77777777" w:rsidR="00430C42" w:rsidRDefault="00430C42">
            <w:pPr>
              <w:jc w:val="right"/>
              <w:rPr>
                <w:color w:val="000000"/>
                <w:sz w:val="20"/>
                <w:szCs w:val="20"/>
              </w:rPr>
            </w:pPr>
            <w:r>
              <w:rPr>
                <w:color w:val="000000"/>
                <w:sz w:val="20"/>
                <w:szCs w:val="20"/>
              </w:rPr>
              <w:t>0.693</w:t>
            </w:r>
          </w:p>
        </w:tc>
        <w:tc>
          <w:tcPr>
            <w:tcW w:w="864" w:type="dxa"/>
            <w:tcBorders>
              <w:top w:val="nil"/>
              <w:left w:val="nil"/>
              <w:bottom w:val="nil"/>
              <w:right w:val="nil"/>
            </w:tcBorders>
            <w:shd w:val="clear" w:color="auto" w:fill="auto"/>
            <w:noWrap/>
            <w:vAlign w:val="bottom"/>
            <w:hideMark/>
          </w:tcPr>
          <w:p w14:paraId="3B7DECFA" w14:textId="77777777" w:rsidR="00430C42" w:rsidRDefault="00430C42">
            <w:pPr>
              <w:jc w:val="right"/>
              <w:rPr>
                <w:color w:val="000000"/>
                <w:sz w:val="20"/>
                <w:szCs w:val="20"/>
              </w:rPr>
            </w:pPr>
            <w:r>
              <w:rPr>
                <w:color w:val="000000"/>
                <w:sz w:val="20"/>
                <w:szCs w:val="20"/>
              </w:rPr>
              <w:t>0.000</w:t>
            </w:r>
          </w:p>
        </w:tc>
      </w:tr>
      <w:tr w:rsidR="00430C42" w14:paraId="254DA9B5" w14:textId="77777777" w:rsidTr="00430C42">
        <w:trPr>
          <w:trHeight w:val="320"/>
        </w:trPr>
        <w:tc>
          <w:tcPr>
            <w:tcW w:w="1152" w:type="dxa"/>
            <w:tcBorders>
              <w:top w:val="nil"/>
              <w:left w:val="nil"/>
              <w:bottom w:val="nil"/>
              <w:right w:val="nil"/>
            </w:tcBorders>
            <w:shd w:val="clear" w:color="auto" w:fill="auto"/>
            <w:noWrap/>
            <w:vAlign w:val="bottom"/>
            <w:hideMark/>
          </w:tcPr>
          <w:p w14:paraId="3392F626"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7F9D664" w14:textId="77777777" w:rsidR="00430C42" w:rsidRDefault="00430C42">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6A271DA" w14:textId="77777777" w:rsidR="00430C42" w:rsidRDefault="00430C42">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10F68287" w14:textId="77777777" w:rsidR="00430C42" w:rsidRDefault="00430C42">
            <w:pPr>
              <w:jc w:val="right"/>
              <w:rPr>
                <w:color w:val="000000"/>
                <w:sz w:val="20"/>
                <w:szCs w:val="20"/>
              </w:rPr>
            </w:pPr>
            <w:r>
              <w:rPr>
                <w:color w:val="000000"/>
                <w:sz w:val="20"/>
                <w:szCs w:val="20"/>
              </w:rPr>
              <w:t>0.842</w:t>
            </w:r>
          </w:p>
        </w:tc>
        <w:tc>
          <w:tcPr>
            <w:tcW w:w="864" w:type="dxa"/>
            <w:tcBorders>
              <w:top w:val="nil"/>
              <w:left w:val="nil"/>
              <w:bottom w:val="nil"/>
              <w:right w:val="nil"/>
            </w:tcBorders>
            <w:shd w:val="clear" w:color="auto" w:fill="auto"/>
            <w:noWrap/>
            <w:vAlign w:val="bottom"/>
            <w:hideMark/>
          </w:tcPr>
          <w:p w14:paraId="5BFA2FB6" w14:textId="77777777" w:rsidR="00430C42" w:rsidRDefault="00430C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8053B93" w14:textId="77777777" w:rsidR="00430C42" w:rsidRDefault="00430C42">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6BCB43CD" w14:textId="77777777" w:rsidR="00430C42" w:rsidRDefault="00430C42">
            <w:pPr>
              <w:jc w:val="right"/>
              <w:rPr>
                <w:color w:val="000000"/>
                <w:sz w:val="20"/>
                <w:szCs w:val="20"/>
              </w:rPr>
            </w:pPr>
            <w:r>
              <w:rPr>
                <w:color w:val="000000"/>
                <w:sz w:val="20"/>
                <w:szCs w:val="20"/>
              </w:rPr>
              <w:t>0.693</w:t>
            </w:r>
          </w:p>
        </w:tc>
        <w:tc>
          <w:tcPr>
            <w:tcW w:w="864" w:type="dxa"/>
            <w:tcBorders>
              <w:top w:val="nil"/>
              <w:left w:val="nil"/>
              <w:bottom w:val="nil"/>
              <w:right w:val="nil"/>
            </w:tcBorders>
            <w:shd w:val="clear" w:color="auto" w:fill="auto"/>
            <w:noWrap/>
            <w:vAlign w:val="bottom"/>
            <w:hideMark/>
          </w:tcPr>
          <w:p w14:paraId="6FF501A9" w14:textId="77777777" w:rsidR="00430C42" w:rsidRDefault="00430C42">
            <w:pPr>
              <w:jc w:val="right"/>
              <w:rPr>
                <w:color w:val="000000"/>
                <w:sz w:val="20"/>
                <w:szCs w:val="20"/>
              </w:rPr>
            </w:pPr>
            <w:r>
              <w:rPr>
                <w:color w:val="000000"/>
                <w:sz w:val="20"/>
                <w:szCs w:val="20"/>
              </w:rPr>
              <w:t>0.000</w:t>
            </w:r>
          </w:p>
        </w:tc>
      </w:tr>
      <w:tr w:rsidR="00430C42" w14:paraId="559AD171" w14:textId="77777777" w:rsidTr="00430C42">
        <w:trPr>
          <w:trHeight w:val="320"/>
        </w:trPr>
        <w:tc>
          <w:tcPr>
            <w:tcW w:w="1152" w:type="dxa"/>
            <w:tcBorders>
              <w:top w:val="nil"/>
              <w:left w:val="nil"/>
              <w:bottom w:val="nil"/>
              <w:right w:val="nil"/>
            </w:tcBorders>
            <w:shd w:val="clear" w:color="auto" w:fill="auto"/>
            <w:noWrap/>
            <w:vAlign w:val="bottom"/>
            <w:hideMark/>
          </w:tcPr>
          <w:p w14:paraId="2F743B3A"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910FBEF" w14:textId="77777777" w:rsidR="00430C42" w:rsidRDefault="00430C42">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B9DCDD3" w14:textId="77777777" w:rsidR="00430C42" w:rsidRDefault="00430C42">
            <w:pPr>
              <w:jc w:val="right"/>
              <w:rPr>
                <w:color w:val="000000"/>
                <w:sz w:val="20"/>
                <w:szCs w:val="20"/>
              </w:rPr>
            </w:pPr>
            <w:r>
              <w:rPr>
                <w:color w:val="000000"/>
                <w:sz w:val="20"/>
                <w:szCs w:val="20"/>
              </w:rPr>
              <w:t>0.047</w:t>
            </w:r>
          </w:p>
        </w:tc>
        <w:tc>
          <w:tcPr>
            <w:tcW w:w="864" w:type="dxa"/>
            <w:tcBorders>
              <w:top w:val="nil"/>
              <w:left w:val="nil"/>
              <w:bottom w:val="nil"/>
              <w:right w:val="nil"/>
            </w:tcBorders>
            <w:shd w:val="clear" w:color="auto" w:fill="auto"/>
            <w:noWrap/>
            <w:vAlign w:val="bottom"/>
            <w:hideMark/>
          </w:tcPr>
          <w:p w14:paraId="2FEDF4DD" w14:textId="77777777" w:rsidR="00430C42" w:rsidRDefault="00430C42">
            <w:pPr>
              <w:jc w:val="right"/>
              <w:rPr>
                <w:color w:val="000000"/>
                <w:sz w:val="20"/>
                <w:szCs w:val="20"/>
              </w:rPr>
            </w:pPr>
            <w:r>
              <w:rPr>
                <w:color w:val="000000"/>
                <w:sz w:val="20"/>
                <w:szCs w:val="20"/>
              </w:rPr>
              <w:t>0.316</w:t>
            </w:r>
          </w:p>
        </w:tc>
        <w:tc>
          <w:tcPr>
            <w:tcW w:w="864" w:type="dxa"/>
            <w:tcBorders>
              <w:top w:val="nil"/>
              <w:left w:val="nil"/>
              <w:bottom w:val="nil"/>
              <w:right w:val="nil"/>
            </w:tcBorders>
            <w:shd w:val="clear" w:color="auto" w:fill="auto"/>
            <w:noWrap/>
            <w:vAlign w:val="bottom"/>
            <w:hideMark/>
          </w:tcPr>
          <w:p w14:paraId="56D79AA0" w14:textId="77777777" w:rsidR="00430C42" w:rsidRDefault="00430C42">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853CBE3" w14:textId="77777777" w:rsidR="00430C42" w:rsidRDefault="00430C42">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31C17C30" w14:textId="77777777" w:rsidR="00430C42" w:rsidRDefault="00430C42">
            <w:pPr>
              <w:jc w:val="right"/>
              <w:rPr>
                <w:color w:val="000000"/>
                <w:sz w:val="20"/>
                <w:szCs w:val="20"/>
              </w:rPr>
            </w:pPr>
            <w:r>
              <w:rPr>
                <w:color w:val="000000"/>
                <w:sz w:val="20"/>
                <w:szCs w:val="20"/>
              </w:rPr>
              <w:t>0.389</w:t>
            </w:r>
          </w:p>
        </w:tc>
        <w:tc>
          <w:tcPr>
            <w:tcW w:w="864" w:type="dxa"/>
            <w:tcBorders>
              <w:top w:val="nil"/>
              <w:left w:val="nil"/>
              <w:bottom w:val="nil"/>
              <w:right w:val="nil"/>
            </w:tcBorders>
            <w:shd w:val="clear" w:color="auto" w:fill="auto"/>
            <w:noWrap/>
            <w:vAlign w:val="bottom"/>
            <w:hideMark/>
          </w:tcPr>
          <w:p w14:paraId="66C6042B" w14:textId="77777777" w:rsidR="00430C42" w:rsidRDefault="00430C42">
            <w:pPr>
              <w:jc w:val="right"/>
              <w:rPr>
                <w:color w:val="000000"/>
                <w:sz w:val="20"/>
                <w:szCs w:val="20"/>
              </w:rPr>
            </w:pPr>
            <w:r>
              <w:rPr>
                <w:color w:val="000000"/>
                <w:sz w:val="20"/>
                <w:szCs w:val="20"/>
              </w:rPr>
              <w:t>0.001</w:t>
            </w:r>
          </w:p>
        </w:tc>
      </w:tr>
      <w:tr w:rsidR="00430C42" w14:paraId="12FD9365" w14:textId="77777777" w:rsidTr="00430C42">
        <w:trPr>
          <w:trHeight w:val="320"/>
        </w:trPr>
        <w:tc>
          <w:tcPr>
            <w:tcW w:w="1152" w:type="dxa"/>
            <w:tcBorders>
              <w:top w:val="nil"/>
              <w:left w:val="nil"/>
              <w:bottom w:val="nil"/>
              <w:right w:val="nil"/>
            </w:tcBorders>
            <w:shd w:val="clear" w:color="auto" w:fill="auto"/>
            <w:noWrap/>
            <w:vAlign w:val="bottom"/>
            <w:hideMark/>
          </w:tcPr>
          <w:p w14:paraId="2F61C481"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4BC4448" w14:textId="77777777" w:rsidR="00430C42" w:rsidRDefault="00430C42">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5945991" w14:textId="77777777" w:rsidR="00430C42" w:rsidRDefault="00430C42">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373D0098" w14:textId="77777777" w:rsidR="00430C42" w:rsidRDefault="00430C42">
            <w:pPr>
              <w:jc w:val="right"/>
              <w:rPr>
                <w:color w:val="000000"/>
                <w:sz w:val="20"/>
                <w:szCs w:val="20"/>
              </w:rPr>
            </w:pPr>
            <w:r>
              <w:rPr>
                <w:color w:val="000000"/>
                <w:sz w:val="20"/>
                <w:szCs w:val="20"/>
              </w:rPr>
              <w:t>0.131</w:t>
            </w:r>
          </w:p>
        </w:tc>
        <w:tc>
          <w:tcPr>
            <w:tcW w:w="864" w:type="dxa"/>
            <w:tcBorders>
              <w:top w:val="nil"/>
              <w:left w:val="nil"/>
              <w:bottom w:val="nil"/>
              <w:right w:val="nil"/>
            </w:tcBorders>
            <w:shd w:val="clear" w:color="auto" w:fill="auto"/>
            <w:noWrap/>
            <w:vAlign w:val="bottom"/>
            <w:hideMark/>
          </w:tcPr>
          <w:p w14:paraId="3A4C96CB" w14:textId="77777777" w:rsidR="00430C42" w:rsidRDefault="00430C42">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2741BFD7" w14:textId="77777777" w:rsidR="00430C42" w:rsidRDefault="00430C42">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206969A2" w14:textId="77777777" w:rsidR="00430C42" w:rsidRDefault="00430C42">
            <w:pPr>
              <w:jc w:val="right"/>
              <w:rPr>
                <w:color w:val="000000"/>
                <w:sz w:val="20"/>
                <w:szCs w:val="20"/>
              </w:rPr>
            </w:pPr>
            <w:r>
              <w:rPr>
                <w:color w:val="000000"/>
                <w:sz w:val="20"/>
                <w:szCs w:val="20"/>
              </w:rPr>
              <w:t>0.389</w:t>
            </w:r>
          </w:p>
        </w:tc>
        <w:tc>
          <w:tcPr>
            <w:tcW w:w="864" w:type="dxa"/>
            <w:tcBorders>
              <w:top w:val="nil"/>
              <w:left w:val="nil"/>
              <w:bottom w:val="nil"/>
              <w:right w:val="nil"/>
            </w:tcBorders>
            <w:shd w:val="clear" w:color="auto" w:fill="auto"/>
            <w:noWrap/>
            <w:vAlign w:val="bottom"/>
            <w:hideMark/>
          </w:tcPr>
          <w:p w14:paraId="07062D1E" w14:textId="77777777" w:rsidR="00430C42" w:rsidRDefault="00430C42">
            <w:pPr>
              <w:jc w:val="right"/>
              <w:rPr>
                <w:color w:val="000000"/>
                <w:sz w:val="20"/>
                <w:szCs w:val="20"/>
              </w:rPr>
            </w:pPr>
            <w:r>
              <w:rPr>
                <w:color w:val="000000"/>
                <w:sz w:val="20"/>
                <w:szCs w:val="20"/>
              </w:rPr>
              <w:t>0.001</w:t>
            </w:r>
          </w:p>
        </w:tc>
      </w:tr>
      <w:tr w:rsidR="00430C42" w14:paraId="641D51B7" w14:textId="77777777" w:rsidTr="00430C42">
        <w:trPr>
          <w:trHeight w:val="320"/>
        </w:trPr>
        <w:tc>
          <w:tcPr>
            <w:tcW w:w="1152" w:type="dxa"/>
            <w:tcBorders>
              <w:top w:val="nil"/>
              <w:left w:val="nil"/>
              <w:bottom w:val="single" w:sz="4" w:space="0" w:color="auto"/>
              <w:right w:val="nil"/>
            </w:tcBorders>
            <w:shd w:val="clear" w:color="auto" w:fill="auto"/>
            <w:noWrap/>
            <w:vAlign w:val="bottom"/>
            <w:hideMark/>
          </w:tcPr>
          <w:p w14:paraId="250C45B6" w14:textId="77777777" w:rsidR="00430C42" w:rsidRDefault="00430C42">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2DB1D8C" w14:textId="77777777" w:rsidR="00430C42" w:rsidRDefault="00430C42">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B097A2D" w14:textId="77777777" w:rsidR="00430C42" w:rsidRDefault="00430C42">
            <w:pPr>
              <w:jc w:val="right"/>
              <w:rPr>
                <w:color w:val="000000"/>
                <w:sz w:val="20"/>
                <w:szCs w:val="20"/>
              </w:rPr>
            </w:pPr>
            <w:r>
              <w:rPr>
                <w:color w:val="000000"/>
                <w:sz w:val="20"/>
                <w:szCs w:val="20"/>
              </w:rPr>
              <w:t>0.012</w:t>
            </w:r>
          </w:p>
        </w:tc>
        <w:tc>
          <w:tcPr>
            <w:tcW w:w="864" w:type="dxa"/>
            <w:tcBorders>
              <w:top w:val="nil"/>
              <w:left w:val="nil"/>
              <w:bottom w:val="single" w:sz="4" w:space="0" w:color="auto"/>
              <w:right w:val="nil"/>
            </w:tcBorders>
            <w:shd w:val="clear" w:color="auto" w:fill="auto"/>
            <w:noWrap/>
            <w:vAlign w:val="bottom"/>
            <w:hideMark/>
          </w:tcPr>
          <w:p w14:paraId="05A0BC8F" w14:textId="77777777" w:rsidR="00430C42" w:rsidRDefault="00430C42">
            <w:pPr>
              <w:jc w:val="right"/>
              <w:rPr>
                <w:color w:val="000000"/>
                <w:sz w:val="20"/>
                <w:szCs w:val="20"/>
              </w:rPr>
            </w:pPr>
            <w:r>
              <w:rPr>
                <w:color w:val="000000"/>
                <w:sz w:val="20"/>
                <w:szCs w:val="20"/>
              </w:rPr>
              <w:t>0.842</w:t>
            </w:r>
          </w:p>
        </w:tc>
        <w:tc>
          <w:tcPr>
            <w:tcW w:w="864" w:type="dxa"/>
            <w:tcBorders>
              <w:top w:val="nil"/>
              <w:left w:val="nil"/>
              <w:bottom w:val="single" w:sz="4" w:space="0" w:color="auto"/>
              <w:right w:val="nil"/>
            </w:tcBorders>
            <w:shd w:val="clear" w:color="auto" w:fill="auto"/>
            <w:noWrap/>
            <w:vAlign w:val="bottom"/>
            <w:hideMark/>
          </w:tcPr>
          <w:p w14:paraId="026E73DF" w14:textId="77777777" w:rsidR="00430C42" w:rsidRDefault="00430C42">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625FF525" w14:textId="77777777" w:rsidR="00430C42" w:rsidRDefault="00430C42">
            <w:pPr>
              <w:jc w:val="right"/>
              <w:rPr>
                <w:color w:val="000000"/>
                <w:sz w:val="20"/>
                <w:szCs w:val="20"/>
              </w:rPr>
            </w:pPr>
            <w:r>
              <w:rPr>
                <w:color w:val="000000"/>
                <w:sz w:val="20"/>
                <w:szCs w:val="20"/>
              </w:rPr>
              <w:t>0.036</w:t>
            </w:r>
          </w:p>
        </w:tc>
        <w:tc>
          <w:tcPr>
            <w:tcW w:w="864" w:type="dxa"/>
            <w:tcBorders>
              <w:top w:val="nil"/>
              <w:left w:val="nil"/>
              <w:bottom w:val="single" w:sz="4" w:space="0" w:color="auto"/>
              <w:right w:val="nil"/>
            </w:tcBorders>
            <w:shd w:val="clear" w:color="auto" w:fill="auto"/>
            <w:noWrap/>
            <w:vAlign w:val="bottom"/>
            <w:hideMark/>
          </w:tcPr>
          <w:p w14:paraId="164C830F" w14:textId="77777777" w:rsidR="00430C42" w:rsidRDefault="00430C42">
            <w:pPr>
              <w:jc w:val="right"/>
              <w:rPr>
                <w:color w:val="000000"/>
                <w:sz w:val="20"/>
                <w:szCs w:val="20"/>
              </w:rPr>
            </w:pPr>
            <w:r>
              <w:rPr>
                <w:color w:val="000000"/>
                <w:sz w:val="20"/>
                <w:szCs w:val="20"/>
              </w:rPr>
              <w:t>0.389</w:t>
            </w:r>
          </w:p>
        </w:tc>
        <w:tc>
          <w:tcPr>
            <w:tcW w:w="864" w:type="dxa"/>
            <w:tcBorders>
              <w:top w:val="nil"/>
              <w:left w:val="nil"/>
              <w:bottom w:val="single" w:sz="4" w:space="0" w:color="auto"/>
              <w:right w:val="nil"/>
            </w:tcBorders>
            <w:shd w:val="clear" w:color="auto" w:fill="auto"/>
            <w:noWrap/>
            <w:vAlign w:val="bottom"/>
            <w:hideMark/>
          </w:tcPr>
          <w:p w14:paraId="104C8F2C" w14:textId="77777777" w:rsidR="00430C42" w:rsidRDefault="00430C42">
            <w:pPr>
              <w:jc w:val="right"/>
              <w:rPr>
                <w:color w:val="000000"/>
                <w:sz w:val="20"/>
                <w:szCs w:val="20"/>
              </w:rPr>
            </w:pPr>
            <w:r>
              <w:rPr>
                <w:color w:val="000000"/>
                <w:sz w:val="20"/>
                <w:szCs w:val="20"/>
              </w:rPr>
              <w:t>0.001</w:t>
            </w:r>
          </w:p>
        </w:tc>
      </w:tr>
      <w:tr w:rsidR="00430C42" w14:paraId="3AB62A79" w14:textId="77777777" w:rsidTr="00430C42">
        <w:trPr>
          <w:trHeight w:val="320"/>
        </w:trPr>
        <w:tc>
          <w:tcPr>
            <w:tcW w:w="1152" w:type="dxa"/>
            <w:tcBorders>
              <w:top w:val="nil"/>
              <w:left w:val="nil"/>
              <w:bottom w:val="nil"/>
              <w:right w:val="nil"/>
            </w:tcBorders>
            <w:shd w:val="clear" w:color="auto" w:fill="auto"/>
            <w:noWrap/>
            <w:vAlign w:val="bottom"/>
            <w:hideMark/>
          </w:tcPr>
          <w:p w14:paraId="53D4C54D" w14:textId="77777777" w:rsidR="00430C42" w:rsidRDefault="00430C42">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24A2036D" w14:textId="77777777" w:rsidR="00430C42" w:rsidRDefault="00430C42">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66A2803" w14:textId="77777777" w:rsidR="00430C42" w:rsidRDefault="00430C42">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618DFCDD" w14:textId="77777777" w:rsidR="00430C42" w:rsidRDefault="00430C42">
            <w:pPr>
              <w:jc w:val="right"/>
              <w:rPr>
                <w:color w:val="000000"/>
                <w:sz w:val="20"/>
                <w:szCs w:val="20"/>
              </w:rPr>
            </w:pPr>
            <w:r>
              <w:rPr>
                <w:color w:val="000000"/>
                <w:sz w:val="20"/>
                <w:szCs w:val="20"/>
              </w:rPr>
              <w:t>0.480</w:t>
            </w:r>
          </w:p>
        </w:tc>
        <w:tc>
          <w:tcPr>
            <w:tcW w:w="864" w:type="dxa"/>
            <w:tcBorders>
              <w:top w:val="nil"/>
              <w:left w:val="nil"/>
              <w:bottom w:val="nil"/>
              <w:right w:val="nil"/>
            </w:tcBorders>
            <w:shd w:val="clear" w:color="auto" w:fill="auto"/>
            <w:noWrap/>
            <w:vAlign w:val="bottom"/>
            <w:hideMark/>
          </w:tcPr>
          <w:p w14:paraId="1F2A9B34" w14:textId="77777777" w:rsidR="00430C42" w:rsidRDefault="00430C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090E977" w14:textId="77777777" w:rsidR="00430C42" w:rsidRDefault="00430C42">
            <w:pPr>
              <w:jc w:val="right"/>
              <w:rPr>
                <w:color w:val="000000"/>
                <w:sz w:val="20"/>
                <w:szCs w:val="20"/>
              </w:rPr>
            </w:pPr>
            <w:r>
              <w:rPr>
                <w:color w:val="000000"/>
                <w:sz w:val="20"/>
                <w:szCs w:val="20"/>
              </w:rPr>
              <w:t>-0.051</w:t>
            </w:r>
          </w:p>
        </w:tc>
        <w:tc>
          <w:tcPr>
            <w:tcW w:w="864" w:type="dxa"/>
            <w:tcBorders>
              <w:top w:val="nil"/>
              <w:left w:val="nil"/>
              <w:bottom w:val="nil"/>
              <w:right w:val="nil"/>
            </w:tcBorders>
            <w:shd w:val="clear" w:color="auto" w:fill="auto"/>
            <w:noWrap/>
            <w:vAlign w:val="bottom"/>
            <w:hideMark/>
          </w:tcPr>
          <w:p w14:paraId="12595054" w14:textId="77777777" w:rsidR="00430C42" w:rsidRDefault="00430C42">
            <w:pPr>
              <w:jc w:val="right"/>
              <w:rPr>
                <w:color w:val="000000"/>
                <w:sz w:val="20"/>
                <w:szCs w:val="20"/>
              </w:rPr>
            </w:pPr>
            <w:r>
              <w:rPr>
                <w:color w:val="000000"/>
                <w:sz w:val="20"/>
                <w:szCs w:val="20"/>
              </w:rPr>
              <w:t>0.243</w:t>
            </w:r>
          </w:p>
        </w:tc>
        <w:tc>
          <w:tcPr>
            <w:tcW w:w="864" w:type="dxa"/>
            <w:tcBorders>
              <w:top w:val="nil"/>
              <w:left w:val="nil"/>
              <w:bottom w:val="nil"/>
              <w:right w:val="nil"/>
            </w:tcBorders>
            <w:shd w:val="clear" w:color="auto" w:fill="auto"/>
            <w:noWrap/>
            <w:vAlign w:val="bottom"/>
            <w:hideMark/>
          </w:tcPr>
          <w:p w14:paraId="076B4EAE" w14:textId="77777777" w:rsidR="00430C42" w:rsidRDefault="00430C42">
            <w:pPr>
              <w:jc w:val="right"/>
              <w:rPr>
                <w:color w:val="000000"/>
                <w:sz w:val="20"/>
                <w:szCs w:val="20"/>
              </w:rPr>
            </w:pPr>
            <w:r>
              <w:rPr>
                <w:color w:val="000000"/>
                <w:sz w:val="20"/>
                <w:szCs w:val="20"/>
              </w:rPr>
              <w:t>0.003</w:t>
            </w:r>
          </w:p>
        </w:tc>
      </w:tr>
      <w:tr w:rsidR="00430C42" w14:paraId="731E90E3" w14:textId="77777777" w:rsidTr="00430C42">
        <w:trPr>
          <w:trHeight w:val="320"/>
        </w:trPr>
        <w:tc>
          <w:tcPr>
            <w:tcW w:w="1152" w:type="dxa"/>
            <w:tcBorders>
              <w:top w:val="nil"/>
              <w:left w:val="nil"/>
              <w:bottom w:val="nil"/>
              <w:right w:val="nil"/>
            </w:tcBorders>
            <w:shd w:val="clear" w:color="auto" w:fill="auto"/>
            <w:noWrap/>
            <w:vAlign w:val="bottom"/>
            <w:hideMark/>
          </w:tcPr>
          <w:p w14:paraId="798845CF"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BEB1EF1" w14:textId="77777777" w:rsidR="00430C42" w:rsidRDefault="00430C42">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60EF06D" w14:textId="77777777" w:rsidR="00430C42" w:rsidRDefault="00430C42">
            <w:pPr>
              <w:jc w:val="right"/>
              <w:rPr>
                <w:color w:val="000000"/>
                <w:sz w:val="20"/>
                <w:szCs w:val="20"/>
              </w:rPr>
            </w:pPr>
            <w:r>
              <w:rPr>
                <w:color w:val="000000"/>
                <w:sz w:val="20"/>
                <w:szCs w:val="20"/>
              </w:rPr>
              <w:t>-0.079</w:t>
            </w:r>
          </w:p>
        </w:tc>
        <w:tc>
          <w:tcPr>
            <w:tcW w:w="864" w:type="dxa"/>
            <w:tcBorders>
              <w:top w:val="nil"/>
              <w:left w:val="nil"/>
              <w:bottom w:val="nil"/>
              <w:right w:val="nil"/>
            </w:tcBorders>
            <w:shd w:val="clear" w:color="auto" w:fill="auto"/>
            <w:noWrap/>
            <w:vAlign w:val="bottom"/>
            <w:hideMark/>
          </w:tcPr>
          <w:p w14:paraId="062A363B" w14:textId="77777777" w:rsidR="00430C42" w:rsidRDefault="00430C42">
            <w:pPr>
              <w:jc w:val="right"/>
              <w:rPr>
                <w:color w:val="000000"/>
                <w:sz w:val="20"/>
                <w:szCs w:val="20"/>
              </w:rPr>
            </w:pPr>
            <w:r>
              <w:rPr>
                <w:color w:val="000000"/>
                <w:sz w:val="20"/>
                <w:szCs w:val="20"/>
              </w:rPr>
              <w:t>0.072</w:t>
            </w:r>
          </w:p>
        </w:tc>
        <w:tc>
          <w:tcPr>
            <w:tcW w:w="864" w:type="dxa"/>
            <w:tcBorders>
              <w:top w:val="nil"/>
              <w:left w:val="nil"/>
              <w:bottom w:val="nil"/>
              <w:right w:val="nil"/>
            </w:tcBorders>
            <w:shd w:val="clear" w:color="auto" w:fill="auto"/>
            <w:noWrap/>
            <w:vAlign w:val="bottom"/>
            <w:hideMark/>
          </w:tcPr>
          <w:p w14:paraId="1C6F247E" w14:textId="77777777" w:rsidR="00430C42" w:rsidRDefault="00430C42">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6ED7ABF2" w14:textId="77777777" w:rsidR="00430C42" w:rsidRDefault="00430C42">
            <w:pPr>
              <w:jc w:val="right"/>
              <w:rPr>
                <w:b/>
                <w:bCs/>
                <w:color w:val="000000"/>
                <w:sz w:val="20"/>
                <w:szCs w:val="20"/>
              </w:rPr>
            </w:pPr>
            <w:r>
              <w:rPr>
                <w:b/>
                <w:bCs/>
                <w:color w:val="000000"/>
                <w:sz w:val="20"/>
                <w:szCs w:val="20"/>
              </w:rPr>
              <w:t>-0.088</w:t>
            </w:r>
          </w:p>
        </w:tc>
        <w:tc>
          <w:tcPr>
            <w:tcW w:w="864" w:type="dxa"/>
            <w:tcBorders>
              <w:top w:val="nil"/>
              <w:left w:val="nil"/>
              <w:bottom w:val="nil"/>
              <w:right w:val="nil"/>
            </w:tcBorders>
            <w:shd w:val="clear" w:color="auto" w:fill="auto"/>
            <w:noWrap/>
            <w:vAlign w:val="bottom"/>
            <w:hideMark/>
          </w:tcPr>
          <w:p w14:paraId="62EC4944" w14:textId="77777777" w:rsidR="00430C42" w:rsidRDefault="00430C42">
            <w:pPr>
              <w:jc w:val="right"/>
              <w:rPr>
                <w:b/>
                <w:bCs/>
                <w:color w:val="000000"/>
                <w:sz w:val="20"/>
                <w:szCs w:val="20"/>
              </w:rPr>
            </w:pPr>
            <w:r>
              <w:rPr>
                <w:b/>
                <w:bCs/>
                <w:color w:val="000000"/>
                <w:sz w:val="20"/>
                <w:szCs w:val="20"/>
              </w:rPr>
              <w:t>0.032</w:t>
            </w:r>
          </w:p>
        </w:tc>
        <w:tc>
          <w:tcPr>
            <w:tcW w:w="864" w:type="dxa"/>
            <w:tcBorders>
              <w:top w:val="nil"/>
              <w:left w:val="nil"/>
              <w:bottom w:val="nil"/>
              <w:right w:val="nil"/>
            </w:tcBorders>
            <w:shd w:val="clear" w:color="auto" w:fill="auto"/>
            <w:noWrap/>
            <w:vAlign w:val="bottom"/>
            <w:hideMark/>
          </w:tcPr>
          <w:p w14:paraId="1DC39457" w14:textId="77777777" w:rsidR="00430C42" w:rsidRDefault="00430C42">
            <w:pPr>
              <w:jc w:val="right"/>
              <w:rPr>
                <w:b/>
                <w:bCs/>
                <w:color w:val="000000"/>
                <w:sz w:val="20"/>
                <w:szCs w:val="20"/>
              </w:rPr>
            </w:pPr>
            <w:r>
              <w:rPr>
                <w:b/>
                <w:bCs/>
                <w:color w:val="000000"/>
                <w:sz w:val="20"/>
                <w:szCs w:val="20"/>
              </w:rPr>
              <w:t>0.008</w:t>
            </w:r>
          </w:p>
        </w:tc>
      </w:tr>
      <w:tr w:rsidR="00430C42" w14:paraId="5220F791" w14:textId="77777777" w:rsidTr="00430C42">
        <w:trPr>
          <w:trHeight w:val="320"/>
        </w:trPr>
        <w:tc>
          <w:tcPr>
            <w:tcW w:w="1152" w:type="dxa"/>
            <w:tcBorders>
              <w:top w:val="nil"/>
              <w:left w:val="nil"/>
              <w:bottom w:val="nil"/>
              <w:right w:val="nil"/>
            </w:tcBorders>
            <w:shd w:val="clear" w:color="auto" w:fill="auto"/>
            <w:noWrap/>
            <w:vAlign w:val="bottom"/>
            <w:hideMark/>
          </w:tcPr>
          <w:p w14:paraId="76A95903" w14:textId="77777777" w:rsidR="00430C42" w:rsidRDefault="00430C42">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59C8AE5E" w14:textId="77777777" w:rsidR="00430C42" w:rsidRDefault="00430C42">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02D623BE" w14:textId="77777777" w:rsidR="00430C42" w:rsidRDefault="00430C42">
            <w:pPr>
              <w:jc w:val="right"/>
              <w:rPr>
                <w:color w:val="000000"/>
                <w:sz w:val="20"/>
                <w:szCs w:val="20"/>
              </w:rPr>
            </w:pPr>
            <w:r>
              <w:rPr>
                <w:color w:val="000000"/>
                <w:sz w:val="20"/>
                <w:szCs w:val="20"/>
              </w:rPr>
              <w:t>-0.082</w:t>
            </w:r>
          </w:p>
        </w:tc>
        <w:tc>
          <w:tcPr>
            <w:tcW w:w="864" w:type="dxa"/>
            <w:tcBorders>
              <w:top w:val="nil"/>
              <w:left w:val="nil"/>
              <w:bottom w:val="nil"/>
              <w:right w:val="nil"/>
            </w:tcBorders>
            <w:shd w:val="clear" w:color="auto" w:fill="auto"/>
            <w:noWrap/>
            <w:vAlign w:val="bottom"/>
            <w:hideMark/>
          </w:tcPr>
          <w:p w14:paraId="6C25F076" w14:textId="77777777" w:rsidR="00430C42" w:rsidRDefault="00430C42">
            <w:pPr>
              <w:jc w:val="right"/>
              <w:rPr>
                <w:color w:val="000000"/>
                <w:sz w:val="20"/>
                <w:szCs w:val="20"/>
              </w:rPr>
            </w:pPr>
            <w:r>
              <w:rPr>
                <w:color w:val="000000"/>
                <w:sz w:val="20"/>
                <w:szCs w:val="20"/>
              </w:rPr>
              <w:t>0.072</w:t>
            </w:r>
          </w:p>
        </w:tc>
        <w:tc>
          <w:tcPr>
            <w:tcW w:w="864" w:type="dxa"/>
            <w:tcBorders>
              <w:top w:val="nil"/>
              <w:left w:val="nil"/>
              <w:bottom w:val="nil"/>
              <w:right w:val="nil"/>
            </w:tcBorders>
            <w:shd w:val="clear" w:color="auto" w:fill="auto"/>
            <w:noWrap/>
            <w:vAlign w:val="bottom"/>
            <w:hideMark/>
          </w:tcPr>
          <w:p w14:paraId="0686C0CE" w14:textId="77777777" w:rsidR="00430C42" w:rsidRDefault="00430C42">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7A9F5275" w14:textId="77777777" w:rsidR="00430C42" w:rsidRDefault="00430C42">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4D2B587A" w14:textId="77777777" w:rsidR="00430C42" w:rsidRDefault="00430C42">
            <w:pPr>
              <w:jc w:val="right"/>
              <w:rPr>
                <w:color w:val="000000"/>
                <w:sz w:val="20"/>
                <w:szCs w:val="20"/>
              </w:rPr>
            </w:pPr>
            <w:r>
              <w:rPr>
                <w:color w:val="000000"/>
                <w:sz w:val="20"/>
                <w:szCs w:val="20"/>
              </w:rPr>
              <w:t>0.243</w:t>
            </w:r>
          </w:p>
        </w:tc>
        <w:tc>
          <w:tcPr>
            <w:tcW w:w="864" w:type="dxa"/>
            <w:tcBorders>
              <w:top w:val="nil"/>
              <w:left w:val="nil"/>
              <w:bottom w:val="nil"/>
              <w:right w:val="nil"/>
            </w:tcBorders>
            <w:shd w:val="clear" w:color="auto" w:fill="auto"/>
            <w:noWrap/>
            <w:vAlign w:val="bottom"/>
            <w:hideMark/>
          </w:tcPr>
          <w:p w14:paraId="12EE1179" w14:textId="77777777" w:rsidR="00430C42" w:rsidRDefault="00430C42">
            <w:pPr>
              <w:jc w:val="right"/>
              <w:rPr>
                <w:color w:val="000000"/>
                <w:sz w:val="20"/>
                <w:szCs w:val="20"/>
              </w:rPr>
            </w:pPr>
            <w:r>
              <w:rPr>
                <w:color w:val="000000"/>
                <w:sz w:val="20"/>
                <w:szCs w:val="20"/>
              </w:rPr>
              <w:t>0.003</w:t>
            </w:r>
          </w:p>
        </w:tc>
      </w:tr>
      <w:tr w:rsidR="00430C42" w14:paraId="37349BF1" w14:textId="77777777" w:rsidTr="00430C42">
        <w:trPr>
          <w:trHeight w:val="320"/>
        </w:trPr>
        <w:tc>
          <w:tcPr>
            <w:tcW w:w="1152" w:type="dxa"/>
            <w:tcBorders>
              <w:top w:val="nil"/>
              <w:left w:val="nil"/>
              <w:bottom w:val="nil"/>
              <w:right w:val="nil"/>
            </w:tcBorders>
            <w:shd w:val="clear" w:color="auto" w:fill="auto"/>
            <w:noWrap/>
            <w:vAlign w:val="bottom"/>
            <w:hideMark/>
          </w:tcPr>
          <w:p w14:paraId="55C660BF"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7A6EE2" w14:textId="77777777" w:rsidR="00430C42" w:rsidRDefault="00430C42">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1FC925F" w14:textId="77777777" w:rsidR="00430C42" w:rsidRDefault="00430C42">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2187F7D1" w14:textId="77777777" w:rsidR="00430C42" w:rsidRDefault="00430C42">
            <w:pPr>
              <w:jc w:val="right"/>
              <w:rPr>
                <w:color w:val="000000"/>
                <w:sz w:val="20"/>
                <w:szCs w:val="20"/>
              </w:rPr>
            </w:pPr>
            <w:r>
              <w:rPr>
                <w:color w:val="000000"/>
                <w:sz w:val="20"/>
                <w:szCs w:val="20"/>
              </w:rPr>
              <w:t>0.557</w:t>
            </w:r>
          </w:p>
        </w:tc>
        <w:tc>
          <w:tcPr>
            <w:tcW w:w="864" w:type="dxa"/>
            <w:tcBorders>
              <w:top w:val="nil"/>
              <w:left w:val="nil"/>
              <w:bottom w:val="nil"/>
              <w:right w:val="nil"/>
            </w:tcBorders>
            <w:shd w:val="clear" w:color="auto" w:fill="auto"/>
            <w:noWrap/>
            <w:vAlign w:val="bottom"/>
            <w:hideMark/>
          </w:tcPr>
          <w:p w14:paraId="783AD454" w14:textId="77777777" w:rsidR="00430C42" w:rsidRDefault="00430C42">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3F09EB1" w14:textId="77777777" w:rsidR="00430C42" w:rsidRDefault="00430C42">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4104AFA9" w14:textId="77777777" w:rsidR="00430C42" w:rsidRDefault="00430C42">
            <w:pPr>
              <w:jc w:val="right"/>
              <w:rPr>
                <w:color w:val="000000"/>
                <w:sz w:val="20"/>
                <w:szCs w:val="20"/>
              </w:rPr>
            </w:pPr>
            <w:r>
              <w:rPr>
                <w:color w:val="000000"/>
                <w:sz w:val="20"/>
                <w:szCs w:val="20"/>
              </w:rPr>
              <w:t>0.626</w:t>
            </w:r>
          </w:p>
        </w:tc>
        <w:tc>
          <w:tcPr>
            <w:tcW w:w="864" w:type="dxa"/>
            <w:tcBorders>
              <w:top w:val="nil"/>
              <w:left w:val="nil"/>
              <w:bottom w:val="nil"/>
              <w:right w:val="nil"/>
            </w:tcBorders>
            <w:shd w:val="clear" w:color="auto" w:fill="auto"/>
            <w:noWrap/>
            <w:vAlign w:val="bottom"/>
            <w:hideMark/>
          </w:tcPr>
          <w:p w14:paraId="6BD3CB8C" w14:textId="77777777" w:rsidR="00430C42" w:rsidRDefault="00430C42">
            <w:pPr>
              <w:jc w:val="right"/>
              <w:rPr>
                <w:color w:val="000000"/>
                <w:sz w:val="20"/>
                <w:szCs w:val="20"/>
              </w:rPr>
            </w:pPr>
            <w:r>
              <w:rPr>
                <w:color w:val="000000"/>
                <w:sz w:val="20"/>
                <w:szCs w:val="20"/>
              </w:rPr>
              <w:t>0.001</w:t>
            </w:r>
          </w:p>
        </w:tc>
      </w:tr>
      <w:tr w:rsidR="00430C42" w14:paraId="627E2BE8" w14:textId="77777777" w:rsidTr="00430C42">
        <w:trPr>
          <w:trHeight w:val="320"/>
        </w:trPr>
        <w:tc>
          <w:tcPr>
            <w:tcW w:w="1152" w:type="dxa"/>
            <w:tcBorders>
              <w:top w:val="nil"/>
              <w:left w:val="nil"/>
              <w:bottom w:val="nil"/>
              <w:right w:val="nil"/>
            </w:tcBorders>
            <w:shd w:val="clear" w:color="auto" w:fill="auto"/>
            <w:noWrap/>
            <w:vAlign w:val="bottom"/>
            <w:hideMark/>
          </w:tcPr>
          <w:p w14:paraId="784F3D8C"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2F90B43" w14:textId="77777777" w:rsidR="00430C42" w:rsidRDefault="00430C42">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731D64A" w14:textId="77777777" w:rsidR="00430C42" w:rsidRDefault="00430C42">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4DF6C3A0" w14:textId="77777777" w:rsidR="00430C42" w:rsidRDefault="00430C42">
            <w:pPr>
              <w:jc w:val="right"/>
              <w:rPr>
                <w:color w:val="000000"/>
                <w:sz w:val="20"/>
                <w:szCs w:val="20"/>
              </w:rPr>
            </w:pPr>
            <w:r>
              <w:rPr>
                <w:color w:val="000000"/>
                <w:sz w:val="20"/>
                <w:szCs w:val="20"/>
              </w:rPr>
              <w:t>0.557</w:t>
            </w:r>
          </w:p>
        </w:tc>
        <w:tc>
          <w:tcPr>
            <w:tcW w:w="864" w:type="dxa"/>
            <w:tcBorders>
              <w:top w:val="nil"/>
              <w:left w:val="nil"/>
              <w:bottom w:val="nil"/>
              <w:right w:val="nil"/>
            </w:tcBorders>
            <w:shd w:val="clear" w:color="auto" w:fill="auto"/>
            <w:noWrap/>
            <w:vAlign w:val="bottom"/>
            <w:hideMark/>
          </w:tcPr>
          <w:p w14:paraId="0EBBBCF3" w14:textId="77777777" w:rsidR="00430C42" w:rsidRDefault="00430C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34C785D" w14:textId="77777777" w:rsidR="00430C42" w:rsidRDefault="00430C42">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37B26991" w14:textId="77777777" w:rsidR="00430C42" w:rsidRDefault="00430C42">
            <w:pPr>
              <w:jc w:val="right"/>
              <w:rPr>
                <w:color w:val="000000"/>
                <w:sz w:val="20"/>
                <w:szCs w:val="20"/>
              </w:rPr>
            </w:pPr>
            <w:r>
              <w:rPr>
                <w:color w:val="000000"/>
                <w:sz w:val="20"/>
                <w:szCs w:val="20"/>
              </w:rPr>
              <w:t>0.639</w:t>
            </w:r>
          </w:p>
        </w:tc>
        <w:tc>
          <w:tcPr>
            <w:tcW w:w="864" w:type="dxa"/>
            <w:tcBorders>
              <w:top w:val="nil"/>
              <w:left w:val="nil"/>
              <w:bottom w:val="nil"/>
              <w:right w:val="nil"/>
            </w:tcBorders>
            <w:shd w:val="clear" w:color="auto" w:fill="auto"/>
            <w:noWrap/>
            <w:vAlign w:val="bottom"/>
            <w:hideMark/>
          </w:tcPr>
          <w:p w14:paraId="5288BB16" w14:textId="77777777" w:rsidR="00430C42" w:rsidRDefault="00430C42">
            <w:pPr>
              <w:jc w:val="right"/>
              <w:rPr>
                <w:color w:val="000000"/>
                <w:sz w:val="20"/>
                <w:szCs w:val="20"/>
              </w:rPr>
            </w:pPr>
            <w:r>
              <w:rPr>
                <w:color w:val="000000"/>
                <w:sz w:val="20"/>
                <w:szCs w:val="20"/>
              </w:rPr>
              <w:t>0.001</w:t>
            </w:r>
          </w:p>
        </w:tc>
      </w:tr>
      <w:tr w:rsidR="00430C42" w14:paraId="26AC6500" w14:textId="77777777" w:rsidTr="00430C42">
        <w:trPr>
          <w:trHeight w:val="320"/>
        </w:trPr>
        <w:tc>
          <w:tcPr>
            <w:tcW w:w="1152" w:type="dxa"/>
            <w:tcBorders>
              <w:top w:val="nil"/>
              <w:left w:val="nil"/>
              <w:bottom w:val="nil"/>
              <w:right w:val="nil"/>
            </w:tcBorders>
            <w:shd w:val="clear" w:color="auto" w:fill="auto"/>
            <w:noWrap/>
            <w:vAlign w:val="bottom"/>
            <w:hideMark/>
          </w:tcPr>
          <w:p w14:paraId="1D675939"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D68F70" w14:textId="77777777" w:rsidR="00430C42" w:rsidRDefault="00430C42">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2498A36" w14:textId="77777777" w:rsidR="00430C42" w:rsidRDefault="00430C42">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3A48213E" w14:textId="77777777" w:rsidR="00430C42" w:rsidRDefault="00430C42">
            <w:pPr>
              <w:jc w:val="right"/>
              <w:rPr>
                <w:color w:val="000000"/>
                <w:sz w:val="20"/>
                <w:szCs w:val="20"/>
              </w:rPr>
            </w:pPr>
            <w:r>
              <w:rPr>
                <w:color w:val="000000"/>
                <w:sz w:val="20"/>
                <w:szCs w:val="20"/>
              </w:rPr>
              <w:t>0.480</w:t>
            </w:r>
          </w:p>
        </w:tc>
        <w:tc>
          <w:tcPr>
            <w:tcW w:w="864" w:type="dxa"/>
            <w:tcBorders>
              <w:top w:val="nil"/>
              <w:left w:val="nil"/>
              <w:bottom w:val="nil"/>
              <w:right w:val="nil"/>
            </w:tcBorders>
            <w:shd w:val="clear" w:color="auto" w:fill="auto"/>
            <w:noWrap/>
            <w:vAlign w:val="bottom"/>
            <w:hideMark/>
          </w:tcPr>
          <w:p w14:paraId="7C302960" w14:textId="77777777" w:rsidR="00430C42" w:rsidRDefault="00430C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EB0509E" w14:textId="77777777" w:rsidR="00430C42" w:rsidRDefault="00430C42">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2D11AA45" w14:textId="77777777" w:rsidR="00430C42" w:rsidRDefault="00430C42">
            <w:pPr>
              <w:jc w:val="right"/>
              <w:rPr>
                <w:color w:val="000000"/>
                <w:sz w:val="20"/>
                <w:szCs w:val="20"/>
              </w:rPr>
            </w:pPr>
            <w:r>
              <w:rPr>
                <w:color w:val="000000"/>
                <w:sz w:val="20"/>
                <w:szCs w:val="20"/>
              </w:rPr>
              <w:t>0.639</w:t>
            </w:r>
          </w:p>
        </w:tc>
        <w:tc>
          <w:tcPr>
            <w:tcW w:w="864" w:type="dxa"/>
            <w:tcBorders>
              <w:top w:val="nil"/>
              <w:left w:val="nil"/>
              <w:bottom w:val="nil"/>
              <w:right w:val="nil"/>
            </w:tcBorders>
            <w:shd w:val="clear" w:color="auto" w:fill="auto"/>
            <w:noWrap/>
            <w:vAlign w:val="bottom"/>
            <w:hideMark/>
          </w:tcPr>
          <w:p w14:paraId="19BDEFFC" w14:textId="77777777" w:rsidR="00430C42" w:rsidRDefault="00430C42">
            <w:pPr>
              <w:jc w:val="right"/>
              <w:rPr>
                <w:color w:val="000000"/>
                <w:sz w:val="20"/>
                <w:szCs w:val="20"/>
              </w:rPr>
            </w:pPr>
            <w:r>
              <w:rPr>
                <w:color w:val="000000"/>
                <w:sz w:val="20"/>
                <w:szCs w:val="20"/>
              </w:rPr>
              <w:t>0.000</w:t>
            </w:r>
          </w:p>
        </w:tc>
      </w:tr>
      <w:tr w:rsidR="00430C42" w14:paraId="520B94C1" w14:textId="77777777" w:rsidTr="00430C42">
        <w:trPr>
          <w:trHeight w:val="320"/>
        </w:trPr>
        <w:tc>
          <w:tcPr>
            <w:tcW w:w="1152" w:type="dxa"/>
            <w:tcBorders>
              <w:top w:val="nil"/>
              <w:left w:val="nil"/>
              <w:bottom w:val="nil"/>
              <w:right w:val="nil"/>
            </w:tcBorders>
            <w:shd w:val="clear" w:color="auto" w:fill="auto"/>
            <w:noWrap/>
            <w:vAlign w:val="bottom"/>
            <w:hideMark/>
          </w:tcPr>
          <w:p w14:paraId="3EAB6B4B" w14:textId="77777777" w:rsidR="00430C42" w:rsidRDefault="00430C42">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1400239" w14:textId="77777777" w:rsidR="00430C42" w:rsidRDefault="00430C42">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FA226B7" w14:textId="77777777" w:rsidR="00430C42" w:rsidRDefault="00430C42">
            <w:pPr>
              <w:jc w:val="right"/>
              <w:rPr>
                <w:color w:val="000000"/>
                <w:sz w:val="20"/>
                <w:szCs w:val="20"/>
              </w:rPr>
            </w:pPr>
            <w:r>
              <w:rPr>
                <w:color w:val="000000"/>
                <w:sz w:val="20"/>
                <w:szCs w:val="20"/>
              </w:rPr>
              <w:t>-0.032</w:t>
            </w:r>
          </w:p>
        </w:tc>
        <w:tc>
          <w:tcPr>
            <w:tcW w:w="864" w:type="dxa"/>
            <w:tcBorders>
              <w:top w:val="nil"/>
              <w:left w:val="nil"/>
              <w:bottom w:val="nil"/>
              <w:right w:val="nil"/>
            </w:tcBorders>
            <w:shd w:val="clear" w:color="auto" w:fill="auto"/>
            <w:noWrap/>
            <w:vAlign w:val="bottom"/>
            <w:hideMark/>
          </w:tcPr>
          <w:p w14:paraId="2AB40470" w14:textId="77777777" w:rsidR="00430C42" w:rsidRDefault="00430C42">
            <w:pPr>
              <w:jc w:val="right"/>
              <w:rPr>
                <w:color w:val="000000"/>
                <w:sz w:val="20"/>
                <w:szCs w:val="20"/>
              </w:rPr>
            </w:pPr>
            <w:r>
              <w:rPr>
                <w:color w:val="000000"/>
                <w:sz w:val="20"/>
                <w:szCs w:val="20"/>
              </w:rPr>
              <w:t>0.557</w:t>
            </w:r>
          </w:p>
        </w:tc>
        <w:tc>
          <w:tcPr>
            <w:tcW w:w="864" w:type="dxa"/>
            <w:tcBorders>
              <w:top w:val="nil"/>
              <w:left w:val="nil"/>
              <w:bottom w:val="nil"/>
              <w:right w:val="nil"/>
            </w:tcBorders>
            <w:shd w:val="clear" w:color="auto" w:fill="auto"/>
            <w:noWrap/>
            <w:vAlign w:val="bottom"/>
            <w:hideMark/>
          </w:tcPr>
          <w:p w14:paraId="571AFAE0" w14:textId="77777777" w:rsidR="00430C42" w:rsidRDefault="00430C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1175A70" w14:textId="77777777" w:rsidR="00430C42" w:rsidRDefault="00430C42">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7F54637" w14:textId="77777777" w:rsidR="00430C42" w:rsidRDefault="00430C42">
            <w:pPr>
              <w:jc w:val="right"/>
              <w:rPr>
                <w:color w:val="000000"/>
                <w:sz w:val="20"/>
                <w:szCs w:val="20"/>
              </w:rPr>
            </w:pPr>
            <w:r>
              <w:rPr>
                <w:color w:val="000000"/>
                <w:sz w:val="20"/>
                <w:szCs w:val="20"/>
              </w:rPr>
              <w:t>0.975</w:t>
            </w:r>
          </w:p>
        </w:tc>
        <w:tc>
          <w:tcPr>
            <w:tcW w:w="864" w:type="dxa"/>
            <w:tcBorders>
              <w:top w:val="nil"/>
              <w:left w:val="nil"/>
              <w:bottom w:val="nil"/>
              <w:right w:val="nil"/>
            </w:tcBorders>
            <w:shd w:val="clear" w:color="auto" w:fill="auto"/>
            <w:noWrap/>
            <w:vAlign w:val="bottom"/>
            <w:hideMark/>
          </w:tcPr>
          <w:p w14:paraId="5793896A" w14:textId="77777777" w:rsidR="00430C42" w:rsidRDefault="00430C42">
            <w:pPr>
              <w:jc w:val="right"/>
              <w:rPr>
                <w:color w:val="000000"/>
                <w:sz w:val="20"/>
                <w:szCs w:val="20"/>
              </w:rPr>
            </w:pPr>
            <w:r>
              <w:rPr>
                <w:color w:val="000000"/>
                <w:sz w:val="20"/>
                <w:szCs w:val="20"/>
              </w:rPr>
              <w:t>0.000</w:t>
            </w:r>
          </w:p>
        </w:tc>
      </w:tr>
      <w:tr w:rsidR="00430C42" w14:paraId="3C7C3444"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21568383" w14:textId="77777777" w:rsidR="00430C42" w:rsidRDefault="00430C42">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0EFFF270" w14:textId="77777777" w:rsidR="00430C42" w:rsidRDefault="00430C42">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0C046EDC" w14:textId="77777777" w:rsidR="00430C42" w:rsidRDefault="00430C42">
            <w:pPr>
              <w:jc w:val="right"/>
              <w:rPr>
                <w:color w:val="000000"/>
                <w:sz w:val="20"/>
                <w:szCs w:val="20"/>
              </w:rPr>
            </w:pPr>
            <w:r>
              <w:rPr>
                <w:color w:val="000000"/>
                <w:sz w:val="20"/>
                <w:szCs w:val="20"/>
              </w:rPr>
              <w:t>-0.010</w:t>
            </w:r>
          </w:p>
        </w:tc>
        <w:tc>
          <w:tcPr>
            <w:tcW w:w="864" w:type="dxa"/>
            <w:tcBorders>
              <w:top w:val="nil"/>
              <w:left w:val="nil"/>
              <w:bottom w:val="single" w:sz="12" w:space="0" w:color="auto"/>
              <w:right w:val="nil"/>
            </w:tcBorders>
            <w:shd w:val="clear" w:color="auto" w:fill="auto"/>
            <w:noWrap/>
            <w:vAlign w:val="bottom"/>
            <w:hideMark/>
          </w:tcPr>
          <w:p w14:paraId="211D9BEE" w14:textId="77777777" w:rsidR="00430C42" w:rsidRDefault="00430C42">
            <w:pPr>
              <w:jc w:val="right"/>
              <w:rPr>
                <w:color w:val="000000"/>
                <w:sz w:val="20"/>
                <w:szCs w:val="20"/>
              </w:rPr>
            </w:pPr>
            <w:r>
              <w:rPr>
                <w:color w:val="000000"/>
                <w:sz w:val="20"/>
                <w:szCs w:val="20"/>
              </w:rPr>
              <w:t>0.773</w:t>
            </w:r>
          </w:p>
        </w:tc>
        <w:tc>
          <w:tcPr>
            <w:tcW w:w="864" w:type="dxa"/>
            <w:tcBorders>
              <w:top w:val="nil"/>
              <w:left w:val="nil"/>
              <w:bottom w:val="single" w:sz="12" w:space="0" w:color="auto"/>
              <w:right w:val="nil"/>
            </w:tcBorders>
            <w:shd w:val="clear" w:color="auto" w:fill="auto"/>
            <w:noWrap/>
            <w:vAlign w:val="bottom"/>
            <w:hideMark/>
          </w:tcPr>
          <w:p w14:paraId="07F3C12C" w14:textId="77777777" w:rsidR="00430C42" w:rsidRDefault="00430C42">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2D4661F1" w14:textId="77777777" w:rsidR="00430C42" w:rsidRDefault="00430C42">
            <w:pPr>
              <w:jc w:val="right"/>
              <w:rPr>
                <w:color w:val="000000"/>
                <w:sz w:val="20"/>
                <w:szCs w:val="20"/>
              </w:rPr>
            </w:pPr>
            <w:r>
              <w:rPr>
                <w:color w:val="000000"/>
                <w:sz w:val="20"/>
                <w:szCs w:val="20"/>
              </w:rPr>
              <w:t>0.009</w:t>
            </w:r>
          </w:p>
        </w:tc>
        <w:tc>
          <w:tcPr>
            <w:tcW w:w="864" w:type="dxa"/>
            <w:tcBorders>
              <w:top w:val="nil"/>
              <w:left w:val="nil"/>
              <w:bottom w:val="single" w:sz="12" w:space="0" w:color="auto"/>
              <w:right w:val="nil"/>
            </w:tcBorders>
            <w:shd w:val="clear" w:color="auto" w:fill="auto"/>
            <w:noWrap/>
            <w:vAlign w:val="bottom"/>
            <w:hideMark/>
          </w:tcPr>
          <w:p w14:paraId="002833CB" w14:textId="77777777" w:rsidR="00430C42" w:rsidRDefault="00430C42">
            <w:pPr>
              <w:jc w:val="right"/>
              <w:rPr>
                <w:color w:val="000000"/>
                <w:sz w:val="20"/>
                <w:szCs w:val="20"/>
              </w:rPr>
            </w:pPr>
            <w:r>
              <w:rPr>
                <w:color w:val="000000"/>
                <w:sz w:val="20"/>
                <w:szCs w:val="20"/>
              </w:rPr>
              <w:t>0.901</w:t>
            </w:r>
          </w:p>
        </w:tc>
        <w:tc>
          <w:tcPr>
            <w:tcW w:w="864" w:type="dxa"/>
            <w:tcBorders>
              <w:top w:val="nil"/>
              <w:left w:val="nil"/>
              <w:bottom w:val="single" w:sz="12" w:space="0" w:color="auto"/>
              <w:right w:val="nil"/>
            </w:tcBorders>
            <w:shd w:val="clear" w:color="auto" w:fill="auto"/>
            <w:noWrap/>
            <w:vAlign w:val="bottom"/>
            <w:hideMark/>
          </w:tcPr>
          <w:p w14:paraId="2157B309" w14:textId="77777777" w:rsidR="00430C42" w:rsidRDefault="00430C42">
            <w:pPr>
              <w:jc w:val="right"/>
              <w:rPr>
                <w:color w:val="000000"/>
                <w:sz w:val="20"/>
                <w:szCs w:val="20"/>
              </w:rPr>
            </w:pPr>
            <w:r>
              <w:rPr>
                <w:color w:val="000000"/>
                <w:sz w:val="20"/>
                <w:szCs w:val="20"/>
              </w:rPr>
              <w:t>0.000</w:t>
            </w:r>
          </w:p>
        </w:tc>
      </w:tr>
      <w:tr w:rsidR="00430C42" w14:paraId="28D037D2"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3EDEE52" w14:textId="77777777" w:rsidR="00430C42" w:rsidRDefault="00430C42">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59DC7C8E" w14:textId="77777777" w:rsidR="00430C42" w:rsidRDefault="00430C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AA33956" w14:textId="77777777" w:rsidR="00430C42" w:rsidRDefault="00430C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2DB8BB4" w14:textId="77777777" w:rsidR="00430C42" w:rsidRDefault="00430C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B8B7526" w14:textId="77777777" w:rsidR="00430C42" w:rsidRDefault="00430C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019F6D7" w14:textId="77777777" w:rsidR="00430C42" w:rsidRDefault="00430C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F1F6D40" w14:textId="77777777" w:rsidR="00430C42" w:rsidRDefault="00430C42">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3AEED3E" w14:textId="77777777" w:rsidR="00430C42" w:rsidRDefault="00430C42">
            <w:pPr>
              <w:rPr>
                <w:sz w:val="20"/>
                <w:szCs w:val="20"/>
              </w:rPr>
            </w:pPr>
          </w:p>
        </w:tc>
      </w:tr>
    </w:tbl>
    <w:p w14:paraId="0F02AA5B" w14:textId="54D06CC4" w:rsidR="00837360" w:rsidRDefault="00837360" w:rsidP="0047742A">
      <w:pPr>
        <w:rPr>
          <w:rFonts w:ascii="Batang" w:eastAsia="Batang" w:hAnsi="Batang" w:cs="Batang"/>
          <w:color w:val="000000"/>
        </w:rPr>
      </w:pPr>
    </w:p>
    <w:p w14:paraId="5AE98F44" w14:textId="77777777" w:rsidR="00837360" w:rsidRDefault="00837360">
      <w:pPr>
        <w:rPr>
          <w:rFonts w:ascii="Batang" w:eastAsia="Batang" w:hAnsi="Batang" w:cs="Batang"/>
          <w:color w:val="000000"/>
        </w:rPr>
      </w:pPr>
      <w:r>
        <w:rPr>
          <w:rFonts w:ascii="Batang" w:eastAsia="Batang" w:hAnsi="Batang" w:cs="Batang"/>
          <w:color w:val="000000"/>
        </w:rPr>
        <w:br w:type="page"/>
      </w:r>
    </w:p>
    <w:p w14:paraId="00F529EA" w14:textId="7C88CB20" w:rsidR="003443FA" w:rsidRDefault="003443FA" w:rsidP="003443FA">
      <w:pPr>
        <w:pStyle w:val="Heading1"/>
        <w:rPr>
          <w:rFonts w:ascii="Times New Roman" w:hAnsi="Times New Roman" w:cs="Times New Roman"/>
          <w:color w:val="000000" w:themeColor="text1"/>
          <w:sz w:val="24"/>
          <w:szCs w:val="24"/>
        </w:rPr>
      </w:pPr>
      <w:bookmarkStart w:id="94" w:name="_Toc155817761"/>
      <w:r w:rsidRPr="00B81CB5">
        <w:rPr>
          <w:rFonts w:ascii="Times New Roman" w:hAnsi="Times New Roman" w:cs="Times New Roman"/>
          <w:b/>
          <w:bCs/>
          <w:color w:val="000000" w:themeColor="text1"/>
          <w:sz w:val="24"/>
          <w:szCs w:val="24"/>
        </w:rPr>
        <w:lastRenderedPageBreak/>
        <w:t>Table</w:t>
      </w:r>
      <w:r w:rsidR="0036523A" w:rsidRPr="00B81CB5">
        <w:rPr>
          <w:rFonts w:ascii="Times New Roman" w:hAnsi="Times New Roman" w:cs="Times New Roman"/>
          <w:b/>
          <w:bCs/>
          <w:color w:val="000000" w:themeColor="text1"/>
          <w:sz w:val="24"/>
          <w:szCs w:val="24"/>
        </w:rPr>
        <w:t xml:space="preserve"> 28</w:t>
      </w:r>
      <w:r w:rsidR="00F132FA" w:rsidRPr="00B81CB5">
        <w:rPr>
          <w:rFonts w:ascii="Times New Roman" w:hAnsi="Times New Roman" w:cs="Times New Roman"/>
          <w:b/>
          <w:bCs/>
          <w:color w:val="000000" w:themeColor="text1"/>
          <w:sz w:val="24"/>
          <w:szCs w:val="24"/>
        </w:rPr>
        <w:t>n</w:t>
      </w:r>
      <w:r w:rsidRPr="00B81CB5">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Results examining the relationship between Shen-268 network average shortest path and urbanicity obtained from bifactor modeling and pollution (NO2 level) during stop signal task</w:t>
      </w:r>
      <w:bookmarkEnd w:id="94"/>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2C08DF" w14:paraId="358E6B99"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08852747" w14:textId="77777777" w:rsidR="002C08DF" w:rsidRDefault="002C08DF">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7740961F" w14:textId="77777777" w:rsidR="002C08DF" w:rsidRDefault="002C08DF">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03CC2079" w14:textId="77777777" w:rsidR="002C08DF" w:rsidRDefault="002C08DF">
            <w:pPr>
              <w:rPr>
                <w:color w:val="000000"/>
              </w:rPr>
            </w:pPr>
          </w:p>
        </w:tc>
        <w:tc>
          <w:tcPr>
            <w:tcW w:w="864" w:type="dxa"/>
            <w:tcBorders>
              <w:top w:val="nil"/>
              <w:left w:val="nil"/>
              <w:bottom w:val="single" w:sz="12" w:space="0" w:color="auto"/>
              <w:right w:val="nil"/>
            </w:tcBorders>
            <w:shd w:val="clear" w:color="auto" w:fill="auto"/>
            <w:noWrap/>
            <w:vAlign w:val="bottom"/>
            <w:hideMark/>
          </w:tcPr>
          <w:p w14:paraId="49066326" w14:textId="77777777" w:rsidR="002C08DF" w:rsidRDefault="002C08DF">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516948E" w14:textId="77777777" w:rsidR="002C08DF" w:rsidRDefault="002C08DF">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E4DC6B5" w14:textId="77777777" w:rsidR="002C08DF" w:rsidRDefault="002C08DF">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8CCCD4B" w14:textId="77777777" w:rsidR="002C08DF" w:rsidRDefault="002C08DF">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3EC9148" w14:textId="77777777" w:rsidR="002C08DF" w:rsidRDefault="002C08DF">
            <w:pPr>
              <w:rPr>
                <w:sz w:val="20"/>
                <w:szCs w:val="20"/>
              </w:rPr>
            </w:pPr>
          </w:p>
        </w:tc>
      </w:tr>
      <w:tr w:rsidR="002C08DF" w14:paraId="27B8FCDE"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33C28A66" w14:textId="77777777" w:rsidR="002C08DF" w:rsidRDefault="002C08DF">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49443F46" w14:textId="77777777" w:rsidR="002C08DF" w:rsidRDefault="002C08DF">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5A3C4090" w14:textId="77777777" w:rsidR="002C08DF" w:rsidRDefault="002C08DF">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8" w:space="0" w:color="auto"/>
              <w:right w:val="nil"/>
            </w:tcBorders>
            <w:shd w:val="clear" w:color="auto" w:fill="auto"/>
            <w:vAlign w:val="center"/>
            <w:hideMark/>
          </w:tcPr>
          <w:p w14:paraId="5485AFE0" w14:textId="77777777" w:rsidR="002C08DF" w:rsidRDefault="002C08DF">
            <w:pPr>
              <w:jc w:val="center"/>
              <w:rPr>
                <w:color w:val="000000"/>
                <w:sz w:val="20"/>
                <w:szCs w:val="20"/>
              </w:rPr>
            </w:pPr>
            <w:r>
              <w:rPr>
                <w:color w:val="000000"/>
                <w:sz w:val="20"/>
                <w:szCs w:val="20"/>
              </w:rPr>
              <w:t>Pollution (NO2 level)</w:t>
            </w:r>
          </w:p>
        </w:tc>
      </w:tr>
      <w:tr w:rsidR="002C08DF" w14:paraId="34A07D21"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7EC997FA" w14:textId="77777777" w:rsidR="002C08DF" w:rsidRDefault="002C08DF">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16D84F07" w14:textId="77777777" w:rsidR="002C08DF" w:rsidRDefault="002C08DF">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035C871B" w14:textId="77777777" w:rsidR="002C08DF" w:rsidRDefault="002C08DF">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0FB7B5D5" w14:textId="77777777" w:rsidR="002C08DF" w:rsidRDefault="002C08DF">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15C76780" w14:textId="77777777" w:rsidR="002C08DF" w:rsidRDefault="002C08DF">
            <w:pPr>
              <w:jc w:val="center"/>
              <w:rPr>
                <w:i/>
                <w:iCs/>
                <w:color w:val="000000"/>
                <w:sz w:val="20"/>
                <w:szCs w:val="20"/>
              </w:rPr>
            </w:pPr>
            <w:r>
              <w:rPr>
                <w:i/>
                <w:iCs/>
                <w:color w:val="000000"/>
                <w:sz w:val="20"/>
                <w:szCs w:val="20"/>
              </w:rPr>
              <w:t>R2</w:t>
            </w:r>
          </w:p>
        </w:tc>
        <w:tc>
          <w:tcPr>
            <w:tcW w:w="864" w:type="dxa"/>
            <w:tcBorders>
              <w:top w:val="nil"/>
              <w:left w:val="nil"/>
              <w:bottom w:val="single" w:sz="12" w:space="0" w:color="auto"/>
              <w:right w:val="nil"/>
            </w:tcBorders>
            <w:shd w:val="clear" w:color="auto" w:fill="auto"/>
            <w:noWrap/>
            <w:vAlign w:val="center"/>
            <w:hideMark/>
          </w:tcPr>
          <w:p w14:paraId="1DDA590B" w14:textId="77777777" w:rsidR="002C08DF" w:rsidRDefault="002C08DF">
            <w:pPr>
              <w:jc w:val="center"/>
              <w:rPr>
                <w:i/>
                <w:iCs/>
                <w:color w:val="000000"/>
                <w:sz w:val="20"/>
                <w:szCs w:val="20"/>
              </w:rPr>
            </w:pPr>
            <w:r>
              <w:rPr>
                <w:i/>
                <w:iCs/>
                <w:color w:val="000000"/>
                <w:sz w:val="20"/>
                <w:szCs w:val="20"/>
              </w:rPr>
              <w:t>β</w:t>
            </w:r>
          </w:p>
        </w:tc>
        <w:tc>
          <w:tcPr>
            <w:tcW w:w="864" w:type="dxa"/>
            <w:tcBorders>
              <w:top w:val="nil"/>
              <w:left w:val="nil"/>
              <w:bottom w:val="single" w:sz="12" w:space="0" w:color="auto"/>
              <w:right w:val="nil"/>
            </w:tcBorders>
            <w:shd w:val="clear" w:color="auto" w:fill="auto"/>
            <w:noWrap/>
            <w:vAlign w:val="center"/>
            <w:hideMark/>
          </w:tcPr>
          <w:p w14:paraId="5C96AFAB" w14:textId="77777777" w:rsidR="002C08DF" w:rsidRDefault="002C08DF">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nil"/>
              <w:left w:val="nil"/>
              <w:bottom w:val="single" w:sz="12" w:space="0" w:color="auto"/>
              <w:right w:val="nil"/>
            </w:tcBorders>
            <w:shd w:val="clear" w:color="auto" w:fill="auto"/>
            <w:noWrap/>
            <w:vAlign w:val="center"/>
            <w:hideMark/>
          </w:tcPr>
          <w:p w14:paraId="1BDE2790" w14:textId="77777777" w:rsidR="002C08DF" w:rsidRDefault="002C08DF">
            <w:pPr>
              <w:jc w:val="center"/>
              <w:rPr>
                <w:i/>
                <w:iCs/>
                <w:color w:val="000000"/>
                <w:sz w:val="20"/>
                <w:szCs w:val="20"/>
              </w:rPr>
            </w:pPr>
            <w:r>
              <w:rPr>
                <w:i/>
                <w:iCs/>
                <w:color w:val="000000"/>
                <w:sz w:val="20"/>
                <w:szCs w:val="20"/>
              </w:rPr>
              <w:t>R2</w:t>
            </w:r>
          </w:p>
        </w:tc>
      </w:tr>
      <w:tr w:rsidR="002C08DF" w14:paraId="79488AE9"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BED2F36" w14:textId="77777777" w:rsidR="002C08DF" w:rsidRDefault="002C08DF">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2538E464" w14:textId="77777777" w:rsidR="002C08DF" w:rsidRDefault="002C08DF">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129E8588" w14:textId="77777777" w:rsidR="002C08DF" w:rsidRDefault="002C08DF">
            <w:pPr>
              <w:jc w:val="right"/>
              <w:rPr>
                <w:color w:val="000000"/>
                <w:sz w:val="20"/>
                <w:szCs w:val="20"/>
              </w:rPr>
            </w:pPr>
            <w:r>
              <w:rPr>
                <w:color w:val="000000"/>
                <w:sz w:val="20"/>
                <w:szCs w:val="20"/>
              </w:rPr>
              <w:t>-0.006</w:t>
            </w:r>
          </w:p>
        </w:tc>
        <w:tc>
          <w:tcPr>
            <w:tcW w:w="864" w:type="dxa"/>
            <w:tcBorders>
              <w:top w:val="single" w:sz="12" w:space="0" w:color="auto"/>
              <w:left w:val="nil"/>
              <w:bottom w:val="nil"/>
              <w:right w:val="nil"/>
            </w:tcBorders>
            <w:shd w:val="clear" w:color="auto" w:fill="auto"/>
            <w:noWrap/>
            <w:vAlign w:val="bottom"/>
            <w:hideMark/>
          </w:tcPr>
          <w:p w14:paraId="66756488" w14:textId="77777777" w:rsidR="002C08DF" w:rsidRDefault="002C08DF">
            <w:pPr>
              <w:jc w:val="right"/>
              <w:rPr>
                <w:color w:val="000000"/>
                <w:sz w:val="20"/>
                <w:szCs w:val="20"/>
              </w:rPr>
            </w:pPr>
            <w:r>
              <w:rPr>
                <w:color w:val="000000"/>
                <w:sz w:val="20"/>
                <w:szCs w:val="20"/>
              </w:rPr>
              <w:t>0.908</w:t>
            </w:r>
          </w:p>
        </w:tc>
        <w:tc>
          <w:tcPr>
            <w:tcW w:w="864" w:type="dxa"/>
            <w:tcBorders>
              <w:top w:val="single" w:sz="12" w:space="0" w:color="auto"/>
              <w:left w:val="nil"/>
              <w:bottom w:val="nil"/>
              <w:right w:val="nil"/>
            </w:tcBorders>
            <w:shd w:val="clear" w:color="auto" w:fill="auto"/>
            <w:noWrap/>
            <w:vAlign w:val="bottom"/>
            <w:hideMark/>
          </w:tcPr>
          <w:p w14:paraId="409EA31A" w14:textId="77777777" w:rsidR="002C08DF" w:rsidRDefault="002C08DF">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20E3F34A" w14:textId="77777777" w:rsidR="002C08DF" w:rsidRDefault="002C08DF">
            <w:pPr>
              <w:jc w:val="right"/>
              <w:rPr>
                <w:color w:val="000000"/>
                <w:sz w:val="20"/>
                <w:szCs w:val="20"/>
              </w:rPr>
            </w:pPr>
            <w:r>
              <w:rPr>
                <w:color w:val="000000"/>
                <w:sz w:val="20"/>
                <w:szCs w:val="20"/>
              </w:rPr>
              <w:t>-0.002</w:t>
            </w:r>
          </w:p>
        </w:tc>
        <w:tc>
          <w:tcPr>
            <w:tcW w:w="864" w:type="dxa"/>
            <w:tcBorders>
              <w:top w:val="single" w:sz="12" w:space="0" w:color="auto"/>
              <w:left w:val="nil"/>
              <w:bottom w:val="nil"/>
              <w:right w:val="nil"/>
            </w:tcBorders>
            <w:shd w:val="clear" w:color="auto" w:fill="auto"/>
            <w:noWrap/>
            <w:vAlign w:val="bottom"/>
            <w:hideMark/>
          </w:tcPr>
          <w:p w14:paraId="63F9255D" w14:textId="77777777" w:rsidR="002C08DF" w:rsidRDefault="002C08DF">
            <w:pPr>
              <w:jc w:val="right"/>
              <w:rPr>
                <w:color w:val="000000"/>
                <w:sz w:val="20"/>
                <w:szCs w:val="20"/>
              </w:rPr>
            </w:pPr>
            <w:r>
              <w:rPr>
                <w:color w:val="000000"/>
                <w:sz w:val="20"/>
                <w:szCs w:val="20"/>
              </w:rPr>
              <w:t>0.956</w:t>
            </w:r>
          </w:p>
        </w:tc>
        <w:tc>
          <w:tcPr>
            <w:tcW w:w="864" w:type="dxa"/>
            <w:tcBorders>
              <w:top w:val="single" w:sz="12" w:space="0" w:color="auto"/>
              <w:left w:val="nil"/>
              <w:bottom w:val="nil"/>
              <w:right w:val="nil"/>
            </w:tcBorders>
            <w:shd w:val="clear" w:color="auto" w:fill="auto"/>
            <w:noWrap/>
            <w:vAlign w:val="bottom"/>
            <w:hideMark/>
          </w:tcPr>
          <w:p w14:paraId="681B4590" w14:textId="77777777" w:rsidR="002C08DF" w:rsidRDefault="002C08DF">
            <w:pPr>
              <w:jc w:val="right"/>
              <w:rPr>
                <w:color w:val="000000"/>
                <w:sz w:val="20"/>
                <w:szCs w:val="20"/>
              </w:rPr>
            </w:pPr>
            <w:r>
              <w:rPr>
                <w:color w:val="000000"/>
                <w:sz w:val="20"/>
                <w:szCs w:val="20"/>
              </w:rPr>
              <w:t>0.000</w:t>
            </w:r>
          </w:p>
        </w:tc>
      </w:tr>
      <w:tr w:rsidR="002C08DF" w14:paraId="496F6560" w14:textId="77777777" w:rsidTr="002C08DF">
        <w:trPr>
          <w:trHeight w:val="340"/>
        </w:trPr>
        <w:tc>
          <w:tcPr>
            <w:tcW w:w="1152" w:type="dxa"/>
            <w:tcBorders>
              <w:top w:val="nil"/>
              <w:left w:val="nil"/>
              <w:bottom w:val="nil"/>
              <w:right w:val="nil"/>
            </w:tcBorders>
            <w:shd w:val="clear" w:color="auto" w:fill="auto"/>
            <w:noWrap/>
            <w:vAlign w:val="bottom"/>
            <w:hideMark/>
          </w:tcPr>
          <w:p w14:paraId="6F061888"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7E81E67" w14:textId="77777777" w:rsidR="002C08DF" w:rsidRDefault="002C08DF">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EE33F23" w14:textId="77777777" w:rsidR="002C08DF" w:rsidRDefault="002C08DF">
            <w:pPr>
              <w:jc w:val="right"/>
              <w:rPr>
                <w:color w:val="000000"/>
                <w:sz w:val="20"/>
                <w:szCs w:val="20"/>
              </w:rPr>
            </w:pPr>
            <w:r>
              <w:rPr>
                <w:color w:val="000000"/>
                <w:sz w:val="20"/>
                <w:szCs w:val="20"/>
              </w:rPr>
              <w:t>0.092</w:t>
            </w:r>
          </w:p>
        </w:tc>
        <w:tc>
          <w:tcPr>
            <w:tcW w:w="864" w:type="dxa"/>
            <w:tcBorders>
              <w:top w:val="nil"/>
              <w:left w:val="nil"/>
              <w:bottom w:val="nil"/>
              <w:right w:val="nil"/>
            </w:tcBorders>
            <w:shd w:val="clear" w:color="auto" w:fill="auto"/>
            <w:noWrap/>
            <w:vAlign w:val="bottom"/>
            <w:hideMark/>
          </w:tcPr>
          <w:p w14:paraId="6EFA2D3B" w14:textId="77777777" w:rsidR="002C08DF" w:rsidRDefault="002C08DF">
            <w:pPr>
              <w:jc w:val="right"/>
              <w:rPr>
                <w:color w:val="000000"/>
                <w:sz w:val="20"/>
                <w:szCs w:val="20"/>
              </w:rPr>
            </w:pPr>
            <w:r>
              <w:rPr>
                <w:color w:val="000000"/>
                <w:sz w:val="20"/>
                <w:szCs w:val="20"/>
              </w:rPr>
              <w:t>0.560</w:t>
            </w:r>
          </w:p>
        </w:tc>
        <w:tc>
          <w:tcPr>
            <w:tcW w:w="864" w:type="dxa"/>
            <w:tcBorders>
              <w:top w:val="nil"/>
              <w:left w:val="nil"/>
              <w:bottom w:val="nil"/>
              <w:right w:val="nil"/>
            </w:tcBorders>
            <w:shd w:val="clear" w:color="auto" w:fill="auto"/>
            <w:noWrap/>
            <w:vAlign w:val="bottom"/>
            <w:hideMark/>
          </w:tcPr>
          <w:p w14:paraId="0EA612AB" w14:textId="77777777" w:rsidR="002C08DF" w:rsidRDefault="002C08DF">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1426E2B2" w14:textId="77777777" w:rsidR="002C08DF" w:rsidRDefault="002C08DF">
            <w:pPr>
              <w:jc w:val="right"/>
              <w:rPr>
                <w:color w:val="000000"/>
                <w:sz w:val="20"/>
                <w:szCs w:val="20"/>
              </w:rPr>
            </w:pPr>
            <w:r>
              <w:rPr>
                <w:color w:val="000000"/>
                <w:sz w:val="20"/>
                <w:szCs w:val="20"/>
              </w:rPr>
              <w:t>0.103</w:t>
            </w:r>
          </w:p>
        </w:tc>
        <w:tc>
          <w:tcPr>
            <w:tcW w:w="864" w:type="dxa"/>
            <w:tcBorders>
              <w:top w:val="nil"/>
              <w:left w:val="nil"/>
              <w:bottom w:val="nil"/>
              <w:right w:val="nil"/>
            </w:tcBorders>
            <w:shd w:val="clear" w:color="auto" w:fill="auto"/>
            <w:noWrap/>
            <w:vAlign w:val="bottom"/>
            <w:hideMark/>
          </w:tcPr>
          <w:p w14:paraId="32D37F76" w14:textId="77777777" w:rsidR="002C08DF" w:rsidRDefault="002C08DF">
            <w:pPr>
              <w:jc w:val="right"/>
              <w:rPr>
                <w:color w:val="000000"/>
                <w:sz w:val="20"/>
                <w:szCs w:val="20"/>
              </w:rPr>
            </w:pPr>
            <w:r>
              <w:rPr>
                <w:color w:val="000000"/>
                <w:sz w:val="20"/>
                <w:szCs w:val="20"/>
              </w:rPr>
              <w:t>0.136</w:t>
            </w:r>
          </w:p>
        </w:tc>
        <w:tc>
          <w:tcPr>
            <w:tcW w:w="864" w:type="dxa"/>
            <w:tcBorders>
              <w:top w:val="nil"/>
              <w:left w:val="nil"/>
              <w:bottom w:val="nil"/>
              <w:right w:val="nil"/>
            </w:tcBorders>
            <w:shd w:val="clear" w:color="auto" w:fill="auto"/>
            <w:noWrap/>
            <w:vAlign w:val="bottom"/>
            <w:hideMark/>
          </w:tcPr>
          <w:p w14:paraId="76CD9F91" w14:textId="77777777" w:rsidR="002C08DF" w:rsidRDefault="002C08DF">
            <w:pPr>
              <w:jc w:val="right"/>
              <w:rPr>
                <w:color w:val="000000"/>
                <w:sz w:val="20"/>
                <w:szCs w:val="20"/>
              </w:rPr>
            </w:pPr>
            <w:r>
              <w:rPr>
                <w:color w:val="000000"/>
                <w:sz w:val="20"/>
                <w:szCs w:val="20"/>
              </w:rPr>
              <w:t>0.011</w:t>
            </w:r>
          </w:p>
        </w:tc>
      </w:tr>
      <w:tr w:rsidR="002C08DF" w14:paraId="358207DD" w14:textId="77777777" w:rsidTr="002C08DF">
        <w:trPr>
          <w:trHeight w:val="320"/>
        </w:trPr>
        <w:tc>
          <w:tcPr>
            <w:tcW w:w="1152" w:type="dxa"/>
            <w:tcBorders>
              <w:top w:val="nil"/>
              <w:left w:val="nil"/>
              <w:bottom w:val="nil"/>
              <w:right w:val="nil"/>
            </w:tcBorders>
            <w:shd w:val="clear" w:color="auto" w:fill="auto"/>
            <w:noWrap/>
            <w:vAlign w:val="bottom"/>
            <w:hideMark/>
          </w:tcPr>
          <w:p w14:paraId="5190FCB3"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23B3D4A" w14:textId="77777777" w:rsidR="002C08DF" w:rsidRDefault="002C08DF">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5AB06B0" w14:textId="77777777" w:rsidR="002C08DF" w:rsidRDefault="002C08DF">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3D2C80BA" w14:textId="77777777" w:rsidR="002C08DF" w:rsidRDefault="002C08DF">
            <w:pPr>
              <w:jc w:val="right"/>
              <w:rPr>
                <w:color w:val="000000"/>
                <w:sz w:val="20"/>
                <w:szCs w:val="20"/>
              </w:rPr>
            </w:pPr>
            <w:r>
              <w:rPr>
                <w:color w:val="000000"/>
                <w:sz w:val="20"/>
                <w:szCs w:val="20"/>
              </w:rPr>
              <w:t>0.908</w:t>
            </w:r>
          </w:p>
        </w:tc>
        <w:tc>
          <w:tcPr>
            <w:tcW w:w="864" w:type="dxa"/>
            <w:tcBorders>
              <w:top w:val="nil"/>
              <w:left w:val="nil"/>
              <w:bottom w:val="nil"/>
              <w:right w:val="nil"/>
            </w:tcBorders>
            <w:shd w:val="clear" w:color="auto" w:fill="auto"/>
            <w:noWrap/>
            <w:vAlign w:val="bottom"/>
            <w:hideMark/>
          </w:tcPr>
          <w:p w14:paraId="6F5343E6" w14:textId="77777777" w:rsidR="002C08DF" w:rsidRDefault="002C08DF">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860B0B5" w14:textId="77777777" w:rsidR="002C08DF" w:rsidRDefault="002C08DF">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60680E28" w14:textId="77777777" w:rsidR="002C08DF" w:rsidRDefault="002C08DF">
            <w:pPr>
              <w:jc w:val="right"/>
              <w:rPr>
                <w:color w:val="000000"/>
                <w:sz w:val="20"/>
                <w:szCs w:val="20"/>
              </w:rPr>
            </w:pPr>
            <w:r>
              <w:rPr>
                <w:color w:val="000000"/>
                <w:sz w:val="20"/>
                <w:szCs w:val="20"/>
              </w:rPr>
              <w:t>0.764</w:t>
            </w:r>
          </w:p>
        </w:tc>
        <w:tc>
          <w:tcPr>
            <w:tcW w:w="864" w:type="dxa"/>
            <w:tcBorders>
              <w:top w:val="nil"/>
              <w:left w:val="nil"/>
              <w:bottom w:val="nil"/>
              <w:right w:val="nil"/>
            </w:tcBorders>
            <w:shd w:val="clear" w:color="auto" w:fill="auto"/>
            <w:noWrap/>
            <w:vAlign w:val="bottom"/>
            <w:hideMark/>
          </w:tcPr>
          <w:p w14:paraId="12F3FEC8" w14:textId="77777777" w:rsidR="002C08DF" w:rsidRDefault="002C08DF">
            <w:pPr>
              <w:jc w:val="right"/>
              <w:rPr>
                <w:color w:val="000000"/>
                <w:sz w:val="20"/>
                <w:szCs w:val="20"/>
              </w:rPr>
            </w:pPr>
            <w:r>
              <w:rPr>
                <w:color w:val="000000"/>
                <w:sz w:val="20"/>
                <w:szCs w:val="20"/>
              </w:rPr>
              <w:t>0.004</w:t>
            </w:r>
          </w:p>
        </w:tc>
      </w:tr>
      <w:tr w:rsidR="002C08DF" w14:paraId="28496126" w14:textId="77777777" w:rsidTr="002C08DF">
        <w:trPr>
          <w:trHeight w:val="320"/>
        </w:trPr>
        <w:tc>
          <w:tcPr>
            <w:tcW w:w="1152" w:type="dxa"/>
            <w:tcBorders>
              <w:top w:val="nil"/>
              <w:left w:val="nil"/>
              <w:bottom w:val="nil"/>
              <w:right w:val="nil"/>
            </w:tcBorders>
            <w:shd w:val="clear" w:color="auto" w:fill="auto"/>
            <w:noWrap/>
            <w:vAlign w:val="bottom"/>
            <w:hideMark/>
          </w:tcPr>
          <w:p w14:paraId="58746E85"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5C0B7DE" w14:textId="77777777" w:rsidR="002C08DF" w:rsidRDefault="002C08DF">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D5A6111" w14:textId="77777777" w:rsidR="002C08DF" w:rsidRDefault="002C08DF">
            <w:pPr>
              <w:jc w:val="right"/>
              <w:rPr>
                <w:color w:val="000000"/>
                <w:sz w:val="20"/>
                <w:szCs w:val="20"/>
              </w:rPr>
            </w:pPr>
            <w:r>
              <w:rPr>
                <w:color w:val="000000"/>
                <w:sz w:val="20"/>
                <w:szCs w:val="20"/>
              </w:rPr>
              <w:t>0.119</w:t>
            </w:r>
          </w:p>
        </w:tc>
        <w:tc>
          <w:tcPr>
            <w:tcW w:w="864" w:type="dxa"/>
            <w:tcBorders>
              <w:top w:val="nil"/>
              <w:left w:val="nil"/>
              <w:bottom w:val="nil"/>
              <w:right w:val="nil"/>
            </w:tcBorders>
            <w:shd w:val="clear" w:color="auto" w:fill="auto"/>
            <w:noWrap/>
            <w:vAlign w:val="bottom"/>
            <w:hideMark/>
          </w:tcPr>
          <w:p w14:paraId="1F4AA377" w14:textId="77777777" w:rsidR="002C08DF" w:rsidRDefault="002C08DF">
            <w:pPr>
              <w:jc w:val="right"/>
              <w:rPr>
                <w:color w:val="000000"/>
                <w:sz w:val="20"/>
                <w:szCs w:val="20"/>
              </w:rPr>
            </w:pPr>
            <w:r>
              <w:rPr>
                <w:color w:val="000000"/>
                <w:sz w:val="20"/>
                <w:szCs w:val="20"/>
              </w:rPr>
              <w:t>0.560</w:t>
            </w:r>
          </w:p>
        </w:tc>
        <w:tc>
          <w:tcPr>
            <w:tcW w:w="864" w:type="dxa"/>
            <w:tcBorders>
              <w:top w:val="nil"/>
              <w:left w:val="nil"/>
              <w:bottom w:val="nil"/>
              <w:right w:val="nil"/>
            </w:tcBorders>
            <w:shd w:val="clear" w:color="auto" w:fill="auto"/>
            <w:noWrap/>
            <w:vAlign w:val="bottom"/>
            <w:hideMark/>
          </w:tcPr>
          <w:p w14:paraId="0D6DE15A" w14:textId="77777777" w:rsidR="002C08DF" w:rsidRDefault="002C08DF">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4B6AFA5C" w14:textId="77777777" w:rsidR="002C08DF" w:rsidRDefault="002C08DF">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62136BE5" w14:textId="77777777" w:rsidR="002C08DF" w:rsidRDefault="002C08DF">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1E1F0D2E" w14:textId="77777777" w:rsidR="002C08DF" w:rsidRDefault="002C08DF">
            <w:pPr>
              <w:jc w:val="right"/>
              <w:rPr>
                <w:color w:val="000000"/>
                <w:sz w:val="20"/>
                <w:szCs w:val="20"/>
              </w:rPr>
            </w:pPr>
            <w:r>
              <w:rPr>
                <w:color w:val="000000"/>
                <w:sz w:val="20"/>
                <w:szCs w:val="20"/>
              </w:rPr>
              <w:t>0.002</w:t>
            </w:r>
          </w:p>
        </w:tc>
      </w:tr>
      <w:tr w:rsidR="002C08DF" w14:paraId="4910B15E" w14:textId="77777777" w:rsidTr="002C08DF">
        <w:trPr>
          <w:trHeight w:val="320"/>
        </w:trPr>
        <w:tc>
          <w:tcPr>
            <w:tcW w:w="1152" w:type="dxa"/>
            <w:tcBorders>
              <w:top w:val="nil"/>
              <w:left w:val="nil"/>
              <w:bottom w:val="nil"/>
              <w:right w:val="nil"/>
            </w:tcBorders>
            <w:shd w:val="clear" w:color="auto" w:fill="auto"/>
            <w:noWrap/>
            <w:vAlign w:val="bottom"/>
            <w:hideMark/>
          </w:tcPr>
          <w:p w14:paraId="2220B491"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BBBD645" w14:textId="77777777" w:rsidR="002C08DF" w:rsidRDefault="002C08DF">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0180CBA" w14:textId="77777777" w:rsidR="002C08DF" w:rsidRDefault="002C08DF">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45AD187B" w14:textId="77777777" w:rsidR="002C08DF" w:rsidRDefault="002C08DF">
            <w:pPr>
              <w:jc w:val="right"/>
              <w:rPr>
                <w:color w:val="000000"/>
                <w:sz w:val="20"/>
                <w:szCs w:val="20"/>
              </w:rPr>
            </w:pPr>
            <w:r>
              <w:rPr>
                <w:color w:val="000000"/>
                <w:sz w:val="20"/>
                <w:szCs w:val="20"/>
              </w:rPr>
              <w:t>0.908</w:t>
            </w:r>
          </w:p>
        </w:tc>
        <w:tc>
          <w:tcPr>
            <w:tcW w:w="864" w:type="dxa"/>
            <w:tcBorders>
              <w:top w:val="nil"/>
              <w:left w:val="nil"/>
              <w:bottom w:val="nil"/>
              <w:right w:val="nil"/>
            </w:tcBorders>
            <w:shd w:val="clear" w:color="auto" w:fill="auto"/>
            <w:noWrap/>
            <w:vAlign w:val="bottom"/>
            <w:hideMark/>
          </w:tcPr>
          <w:p w14:paraId="1C910984"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326D6D6" w14:textId="77777777" w:rsidR="002C08DF" w:rsidRDefault="002C08DF">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040C86F8" w14:textId="77777777" w:rsidR="002C08DF" w:rsidRDefault="002C08DF">
            <w:pPr>
              <w:jc w:val="right"/>
              <w:rPr>
                <w:color w:val="000000"/>
                <w:sz w:val="20"/>
                <w:szCs w:val="20"/>
              </w:rPr>
            </w:pPr>
            <w:r>
              <w:rPr>
                <w:color w:val="000000"/>
                <w:sz w:val="20"/>
                <w:szCs w:val="20"/>
              </w:rPr>
              <w:t>0.847</w:t>
            </w:r>
          </w:p>
        </w:tc>
        <w:tc>
          <w:tcPr>
            <w:tcW w:w="864" w:type="dxa"/>
            <w:tcBorders>
              <w:top w:val="nil"/>
              <w:left w:val="nil"/>
              <w:bottom w:val="nil"/>
              <w:right w:val="nil"/>
            </w:tcBorders>
            <w:shd w:val="clear" w:color="auto" w:fill="auto"/>
            <w:noWrap/>
            <w:vAlign w:val="bottom"/>
            <w:hideMark/>
          </w:tcPr>
          <w:p w14:paraId="6FA2868D" w14:textId="77777777" w:rsidR="002C08DF" w:rsidRDefault="002C08DF">
            <w:pPr>
              <w:jc w:val="right"/>
              <w:rPr>
                <w:color w:val="000000"/>
                <w:sz w:val="20"/>
                <w:szCs w:val="20"/>
              </w:rPr>
            </w:pPr>
            <w:r>
              <w:rPr>
                <w:color w:val="000000"/>
                <w:sz w:val="20"/>
                <w:szCs w:val="20"/>
              </w:rPr>
              <w:t>0.000</w:t>
            </w:r>
          </w:p>
        </w:tc>
      </w:tr>
      <w:tr w:rsidR="002C08DF" w14:paraId="3EBB861F" w14:textId="77777777" w:rsidTr="002C08DF">
        <w:trPr>
          <w:trHeight w:val="320"/>
        </w:trPr>
        <w:tc>
          <w:tcPr>
            <w:tcW w:w="1152" w:type="dxa"/>
            <w:tcBorders>
              <w:top w:val="nil"/>
              <w:left w:val="nil"/>
              <w:bottom w:val="nil"/>
              <w:right w:val="nil"/>
            </w:tcBorders>
            <w:shd w:val="clear" w:color="auto" w:fill="auto"/>
            <w:noWrap/>
            <w:vAlign w:val="bottom"/>
            <w:hideMark/>
          </w:tcPr>
          <w:p w14:paraId="20715245"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6DE2DB" w14:textId="77777777" w:rsidR="002C08DF" w:rsidRDefault="002C08DF">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0A4B178" w14:textId="77777777" w:rsidR="002C08DF" w:rsidRDefault="002C08DF">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39390E21" w14:textId="77777777" w:rsidR="002C08DF" w:rsidRDefault="002C08DF">
            <w:pPr>
              <w:jc w:val="right"/>
              <w:rPr>
                <w:color w:val="000000"/>
                <w:sz w:val="20"/>
                <w:szCs w:val="20"/>
              </w:rPr>
            </w:pPr>
            <w:r>
              <w:rPr>
                <w:color w:val="000000"/>
                <w:sz w:val="20"/>
                <w:szCs w:val="20"/>
              </w:rPr>
              <w:t>0.908</w:t>
            </w:r>
          </w:p>
        </w:tc>
        <w:tc>
          <w:tcPr>
            <w:tcW w:w="864" w:type="dxa"/>
            <w:tcBorders>
              <w:top w:val="nil"/>
              <w:left w:val="nil"/>
              <w:bottom w:val="nil"/>
              <w:right w:val="nil"/>
            </w:tcBorders>
            <w:shd w:val="clear" w:color="auto" w:fill="auto"/>
            <w:noWrap/>
            <w:vAlign w:val="bottom"/>
            <w:hideMark/>
          </w:tcPr>
          <w:p w14:paraId="5CDFD10B"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16370A9" w14:textId="77777777" w:rsidR="002C08DF" w:rsidRDefault="002C08DF">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2EE5B8D2" w14:textId="77777777" w:rsidR="002C08DF" w:rsidRDefault="002C08DF">
            <w:pPr>
              <w:jc w:val="right"/>
              <w:rPr>
                <w:color w:val="000000"/>
                <w:sz w:val="20"/>
                <w:szCs w:val="20"/>
              </w:rPr>
            </w:pPr>
            <w:r>
              <w:rPr>
                <w:color w:val="000000"/>
                <w:sz w:val="20"/>
                <w:szCs w:val="20"/>
              </w:rPr>
              <w:t>0.764</w:t>
            </w:r>
          </w:p>
        </w:tc>
        <w:tc>
          <w:tcPr>
            <w:tcW w:w="864" w:type="dxa"/>
            <w:tcBorders>
              <w:top w:val="nil"/>
              <w:left w:val="nil"/>
              <w:bottom w:val="nil"/>
              <w:right w:val="nil"/>
            </w:tcBorders>
            <w:shd w:val="clear" w:color="auto" w:fill="auto"/>
            <w:noWrap/>
            <w:vAlign w:val="bottom"/>
            <w:hideMark/>
          </w:tcPr>
          <w:p w14:paraId="3DF01752" w14:textId="77777777" w:rsidR="002C08DF" w:rsidRDefault="002C08DF">
            <w:pPr>
              <w:jc w:val="right"/>
              <w:rPr>
                <w:color w:val="000000"/>
                <w:sz w:val="20"/>
                <w:szCs w:val="20"/>
              </w:rPr>
            </w:pPr>
            <w:r>
              <w:rPr>
                <w:color w:val="000000"/>
                <w:sz w:val="20"/>
                <w:szCs w:val="20"/>
              </w:rPr>
              <w:t>0.001</w:t>
            </w:r>
          </w:p>
        </w:tc>
      </w:tr>
      <w:tr w:rsidR="002C08DF" w14:paraId="6761A0D4" w14:textId="77777777" w:rsidTr="002C08DF">
        <w:trPr>
          <w:trHeight w:val="320"/>
        </w:trPr>
        <w:tc>
          <w:tcPr>
            <w:tcW w:w="1152" w:type="dxa"/>
            <w:tcBorders>
              <w:top w:val="nil"/>
              <w:left w:val="nil"/>
              <w:bottom w:val="nil"/>
              <w:right w:val="nil"/>
            </w:tcBorders>
            <w:shd w:val="clear" w:color="auto" w:fill="auto"/>
            <w:noWrap/>
            <w:vAlign w:val="bottom"/>
            <w:hideMark/>
          </w:tcPr>
          <w:p w14:paraId="3B152B3A"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28335A" w14:textId="77777777" w:rsidR="002C08DF" w:rsidRDefault="002C08DF">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F46D106" w14:textId="77777777" w:rsidR="002C08DF" w:rsidRDefault="002C08DF">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1ACD980B" w14:textId="77777777" w:rsidR="002C08DF" w:rsidRDefault="002C08DF">
            <w:pPr>
              <w:jc w:val="right"/>
              <w:rPr>
                <w:color w:val="000000"/>
                <w:sz w:val="20"/>
                <w:szCs w:val="20"/>
              </w:rPr>
            </w:pPr>
            <w:r>
              <w:rPr>
                <w:color w:val="000000"/>
                <w:sz w:val="20"/>
                <w:szCs w:val="20"/>
              </w:rPr>
              <w:t>0.908</w:t>
            </w:r>
          </w:p>
        </w:tc>
        <w:tc>
          <w:tcPr>
            <w:tcW w:w="864" w:type="dxa"/>
            <w:tcBorders>
              <w:top w:val="nil"/>
              <w:left w:val="nil"/>
              <w:bottom w:val="nil"/>
              <w:right w:val="nil"/>
            </w:tcBorders>
            <w:shd w:val="clear" w:color="auto" w:fill="auto"/>
            <w:noWrap/>
            <w:vAlign w:val="bottom"/>
            <w:hideMark/>
          </w:tcPr>
          <w:p w14:paraId="5C4E8EB3"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CC5456A" w14:textId="77777777" w:rsidR="002C08DF" w:rsidRDefault="002C08DF">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4704CBEC" w14:textId="77777777" w:rsidR="002C08DF" w:rsidRDefault="002C08DF">
            <w:pPr>
              <w:jc w:val="right"/>
              <w:rPr>
                <w:color w:val="000000"/>
                <w:sz w:val="20"/>
                <w:szCs w:val="20"/>
              </w:rPr>
            </w:pPr>
            <w:r>
              <w:rPr>
                <w:color w:val="000000"/>
                <w:sz w:val="20"/>
                <w:szCs w:val="20"/>
              </w:rPr>
              <w:t>0.797</w:t>
            </w:r>
          </w:p>
        </w:tc>
        <w:tc>
          <w:tcPr>
            <w:tcW w:w="864" w:type="dxa"/>
            <w:tcBorders>
              <w:top w:val="nil"/>
              <w:left w:val="nil"/>
              <w:bottom w:val="nil"/>
              <w:right w:val="nil"/>
            </w:tcBorders>
            <w:shd w:val="clear" w:color="auto" w:fill="auto"/>
            <w:noWrap/>
            <w:vAlign w:val="bottom"/>
            <w:hideMark/>
          </w:tcPr>
          <w:p w14:paraId="1E100377" w14:textId="77777777" w:rsidR="002C08DF" w:rsidRDefault="002C08DF">
            <w:pPr>
              <w:jc w:val="right"/>
              <w:rPr>
                <w:color w:val="000000"/>
                <w:sz w:val="20"/>
                <w:szCs w:val="20"/>
              </w:rPr>
            </w:pPr>
            <w:r>
              <w:rPr>
                <w:color w:val="000000"/>
                <w:sz w:val="20"/>
                <w:szCs w:val="20"/>
              </w:rPr>
              <w:t>0.001</w:t>
            </w:r>
          </w:p>
        </w:tc>
      </w:tr>
      <w:tr w:rsidR="002C08DF" w14:paraId="3B92CDA1" w14:textId="77777777" w:rsidTr="002C08DF">
        <w:trPr>
          <w:trHeight w:val="320"/>
        </w:trPr>
        <w:tc>
          <w:tcPr>
            <w:tcW w:w="1152" w:type="dxa"/>
            <w:tcBorders>
              <w:top w:val="nil"/>
              <w:left w:val="nil"/>
              <w:bottom w:val="single" w:sz="4" w:space="0" w:color="auto"/>
              <w:right w:val="nil"/>
            </w:tcBorders>
            <w:shd w:val="clear" w:color="auto" w:fill="auto"/>
            <w:noWrap/>
            <w:vAlign w:val="bottom"/>
            <w:hideMark/>
          </w:tcPr>
          <w:p w14:paraId="2763D27D" w14:textId="77777777" w:rsidR="002C08DF" w:rsidRDefault="002C08DF">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B8EC759" w14:textId="77777777" w:rsidR="002C08DF" w:rsidRDefault="002C08DF">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F82752D" w14:textId="77777777" w:rsidR="002C08DF" w:rsidRDefault="002C08DF">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7AD62300" w14:textId="77777777" w:rsidR="002C08DF" w:rsidRDefault="002C08DF">
            <w:pPr>
              <w:jc w:val="right"/>
              <w:rPr>
                <w:color w:val="000000"/>
                <w:sz w:val="20"/>
                <w:szCs w:val="20"/>
              </w:rPr>
            </w:pPr>
            <w:r>
              <w:rPr>
                <w:color w:val="000000"/>
                <w:sz w:val="20"/>
                <w:szCs w:val="20"/>
              </w:rPr>
              <w:t>0.908</w:t>
            </w:r>
          </w:p>
        </w:tc>
        <w:tc>
          <w:tcPr>
            <w:tcW w:w="864" w:type="dxa"/>
            <w:tcBorders>
              <w:top w:val="nil"/>
              <w:left w:val="nil"/>
              <w:bottom w:val="single" w:sz="4" w:space="0" w:color="auto"/>
              <w:right w:val="nil"/>
            </w:tcBorders>
            <w:shd w:val="clear" w:color="auto" w:fill="auto"/>
            <w:noWrap/>
            <w:vAlign w:val="bottom"/>
            <w:hideMark/>
          </w:tcPr>
          <w:p w14:paraId="0409A752"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164B30F" w14:textId="77777777" w:rsidR="002C08DF" w:rsidRDefault="002C08DF">
            <w:pPr>
              <w:jc w:val="right"/>
              <w:rPr>
                <w:color w:val="000000"/>
                <w:sz w:val="20"/>
                <w:szCs w:val="20"/>
              </w:rPr>
            </w:pPr>
            <w:r>
              <w:rPr>
                <w:color w:val="000000"/>
                <w:sz w:val="20"/>
                <w:szCs w:val="20"/>
              </w:rPr>
              <w:t>0.047</w:t>
            </w:r>
          </w:p>
        </w:tc>
        <w:tc>
          <w:tcPr>
            <w:tcW w:w="864" w:type="dxa"/>
            <w:tcBorders>
              <w:top w:val="nil"/>
              <w:left w:val="nil"/>
              <w:bottom w:val="single" w:sz="4" w:space="0" w:color="auto"/>
              <w:right w:val="nil"/>
            </w:tcBorders>
            <w:shd w:val="clear" w:color="auto" w:fill="auto"/>
            <w:noWrap/>
            <w:vAlign w:val="bottom"/>
            <w:hideMark/>
          </w:tcPr>
          <w:p w14:paraId="0F35F7C1" w14:textId="77777777" w:rsidR="002C08DF" w:rsidRDefault="002C08DF">
            <w:pPr>
              <w:jc w:val="right"/>
              <w:rPr>
                <w:color w:val="000000"/>
                <w:sz w:val="20"/>
                <w:szCs w:val="20"/>
              </w:rPr>
            </w:pPr>
            <w:r>
              <w:rPr>
                <w:color w:val="000000"/>
                <w:sz w:val="20"/>
                <w:szCs w:val="20"/>
              </w:rPr>
              <w:t>0.764</w:t>
            </w:r>
          </w:p>
        </w:tc>
        <w:tc>
          <w:tcPr>
            <w:tcW w:w="864" w:type="dxa"/>
            <w:tcBorders>
              <w:top w:val="nil"/>
              <w:left w:val="nil"/>
              <w:bottom w:val="single" w:sz="4" w:space="0" w:color="auto"/>
              <w:right w:val="nil"/>
            </w:tcBorders>
            <w:shd w:val="clear" w:color="auto" w:fill="auto"/>
            <w:noWrap/>
            <w:vAlign w:val="bottom"/>
            <w:hideMark/>
          </w:tcPr>
          <w:p w14:paraId="246E6E86" w14:textId="77777777" w:rsidR="002C08DF" w:rsidRDefault="002C08DF">
            <w:pPr>
              <w:jc w:val="right"/>
              <w:rPr>
                <w:color w:val="000000"/>
                <w:sz w:val="20"/>
                <w:szCs w:val="20"/>
              </w:rPr>
            </w:pPr>
            <w:r>
              <w:rPr>
                <w:color w:val="000000"/>
                <w:sz w:val="20"/>
                <w:szCs w:val="20"/>
              </w:rPr>
              <w:t>0.002</w:t>
            </w:r>
          </w:p>
        </w:tc>
      </w:tr>
      <w:tr w:rsidR="002C08DF" w14:paraId="2D05851F" w14:textId="77777777" w:rsidTr="002C08DF">
        <w:trPr>
          <w:trHeight w:val="320"/>
        </w:trPr>
        <w:tc>
          <w:tcPr>
            <w:tcW w:w="1152" w:type="dxa"/>
            <w:tcBorders>
              <w:top w:val="nil"/>
              <w:left w:val="nil"/>
              <w:bottom w:val="nil"/>
              <w:right w:val="nil"/>
            </w:tcBorders>
            <w:shd w:val="clear" w:color="auto" w:fill="auto"/>
            <w:noWrap/>
            <w:vAlign w:val="bottom"/>
            <w:hideMark/>
          </w:tcPr>
          <w:p w14:paraId="09E76B80" w14:textId="77777777" w:rsidR="002C08DF" w:rsidRDefault="002C08DF">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0E13CCBE" w14:textId="77777777" w:rsidR="002C08DF" w:rsidRDefault="002C08DF">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28A25431"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68493FE" w14:textId="77777777" w:rsidR="002C08DF" w:rsidRDefault="002C08DF">
            <w:pPr>
              <w:jc w:val="right"/>
              <w:rPr>
                <w:color w:val="000000"/>
                <w:sz w:val="20"/>
                <w:szCs w:val="20"/>
              </w:rPr>
            </w:pPr>
            <w:r>
              <w:rPr>
                <w:color w:val="000000"/>
                <w:sz w:val="20"/>
                <w:szCs w:val="20"/>
              </w:rPr>
              <w:t>0.992</w:t>
            </w:r>
          </w:p>
        </w:tc>
        <w:tc>
          <w:tcPr>
            <w:tcW w:w="864" w:type="dxa"/>
            <w:tcBorders>
              <w:top w:val="nil"/>
              <w:left w:val="nil"/>
              <w:bottom w:val="nil"/>
              <w:right w:val="nil"/>
            </w:tcBorders>
            <w:shd w:val="clear" w:color="auto" w:fill="auto"/>
            <w:noWrap/>
            <w:vAlign w:val="bottom"/>
            <w:hideMark/>
          </w:tcPr>
          <w:p w14:paraId="572E8051"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DFD85CF" w14:textId="77777777" w:rsidR="002C08DF" w:rsidRDefault="002C08DF">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72031CA1" w14:textId="77777777" w:rsidR="002C08DF" w:rsidRDefault="002C08DF">
            <w:pPr>
              <w:jc w:val="right"/>
              <w:rPr>
                <w:color w:val="000000"/>
                <w:sz w:val="20"/>
                <w:szCs w:val="20"/>
              </w:rPr>
            </w:pPr>
            <w:r>
              <w:rPr>
                <w:color w:val="000000"/>
                <w:sz w:val="20"/>
                <w:szCs w:val="20"/>
              </w:rPr>
              <w:t>0.905</w:t>
            </w:r>
          </w:p>
        </w:tc>
        <w:tc>
          <w:tcPr>
            <w:tcW w:w="864" w:type="dxa"/>
            <w:tcBorders>
              <w:top w:val="nil"/>
              <w:left w:val="nil"/>
              <w:bottom w:val="nil"/>
              <w:right w:val="nil"/>
            </w:tcBorders>
            <w:shd w:val="clear" w:color="auto" w:fill="auto"/>
            <w:noWrap/>
            <w:vAlign w:val="bottom"/>
            <w:hideMark/>
          </w:tcPr>
          <w:p w14:paraId="7C6E42CC" w14:textId="77777777" w:rsidR="002C08DF" w:rsidRDefault="002C08DF">
            <w:pPr>
              <w:jc w:val="right"/>
              <w:rPr>
                <w:color w:val="000000"/>
                <w:sz w:val="20"/>
                <w:szCs w:val="20"/>
              </w:rPr>
            </w:pPr>
            <w:r>
              <w:rPr>
                <w:color w:val="000000"/>
                <w:sz w:val="20"/>
                <w:szCs w:val="20"/>
              </w:rPr>
              <w:t>0.000</w:t>
            </w:r>
          </w:p>
        </w:tc>
      </w:tr>
      <w:tr w:rsidR="002C08DF" w14:paraId="2E838FE6" w14:textId="77777777" w:rsidTr="002C08DF">
        <w:trPr>
          <w:trHeight w:val="320"/>
        </w:trPr>
        <w:tc>
          <w:tcPr>
            <w:tcW w:w="1152" w:type="dxa"/>
            <w:tcBorders>
              <w:top w:val="nil"/>
              <w:left w:val="nil"/>
              <w:bottom w:val="nil"/>
              <w:right w:val="nil"/>
            </w:tcBorders>
            <w:shd w:val="clear" w:color="auto" w:fill="auto"/>
            <w:noWrap/>
            <w:vAlign w:val="bottom"/>
            <w:hideMark/>
          </w:tcPr>
          <w:p w14:paraId="47D0B739"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D11F20E" w14:textId="77777777" w:rsidR="002C08DF" w:rsidRDefault="002C08DF">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47FCF97" w14:textId="77777777" w:rsidR="002C08DF" w:rsidRDefault="002C08DF">
            <w:pPr>
              <w:jc w:val="right"/>
              <w:rPr>
                <w:color w:val="000000"/>
                <w:sz w:val="20"/>
                <w:szCs w:val="20"/>
              </w:rPr>
            </w:pPr>
            <w:r>
              <w:rPr>
                <w:color w:val="000000"/>
                <w:sz w:val="20"/>
                <w:szCs w:val="20"/>
              </w:rPr>
              <w:t>0.075</w:t>
            </w:r>
          </w:p>
        </w:tc>
        <w:tc>
          <w:tcPr>
            <w:tcW w:w="864" w:type="dxa"/>
            <w:tcBorders>
              <w:top w:val="nil"/>
              <w:left w:val="nil"/>
              <w:bottom w:val="nil"/>
              <w:right w:val="nil"/>
            </w:tcBorders>
            <w:shd w:val="clear" w:color="auto" w:fill="auto"/>
            <w:noWrap/>
            <w:vAlign w:val="bottom"/>
            <w:hideMark/>
          </w:tcPr>
          <w:p w14:paraId="564B98CA" w14:textId="77777777" w:rsidR="002C08DF" w:rsidRDefault="002C08DF">
            <w:pPr>
              <w:jc w:val="right"/>
              <w:rPr>
                <w:color w:val="000000"/>
                <w:sz w:val="20"/>
                <w:szCs w:val="20"/>
              </w:rPr>
            </w:pPr>
            <w:r>
              <w:rPr>
                <w:color w:val="000000"/>
                <w:sz w:val="20"/>
                <w:szCs w:val="20"/>
              </w:rPr>
              <w:t>0.187</w:t>
            </w:r>
          </w:p>
        </w:tc>
        <w:tc>
          <w:tcPr>
            <w:tcW w:w="864" w:type="dxa"/>
            <w:tcBorders>
              <w:top w:val="nil"/>
              <w:left w:val="nil"/>
              <w:bottom w:val="nil"/>
              <w:right w:val="nil"/>
            </w:tcBorders>
            <w:shd w:val="clear" w:color="auto" w:fill="auto"/>
            <w:noWrap/>
            <w:vAlign w:val="bottom"/>
            <w:hideMark/>
          </w:tcPr>
          <w:p w14:paraId="2D315B6B" w14:textId="77777777" w:rsidR="002C08DF" w:rsidRDefault="002C08DF">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598CF023" w14:textId="77777777" w:rsidR="002C08DF" w:rsidRDefault="002C08DF">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0EE54782" w14:textId="77777777" w:rsidR="002C08DF" w:rsidRDefault="002C08DF">
            <w:pPr>
              <w:jc w:val="right"/>
              <w:rPr>
                <w:color w:val="000000"/>
                <w:sz w:val="20"/>
                <w:szCs w:val="20"/>
              </w:rPr>
            </w:pPr>
            <w:r>
              <w:rPr>
                <w:color w:val="000000"/>
                <w:sz w:val="20"/>
                <w:szCs w:val="20"/>
              </w:rPr>
              <w:t>0.178</w:t>
            </w:r>
          </w:p>
        </w:tc>
        <w:tc>
          <w:tcPr>
            <w:tcW w:w="864" w:type="dxa"/>
            <w:tcBorders>
              <w:top w:val="nil"/>
              <w:left w:val="nil"/>
              <w:bottom w:val="nil"/>
              <w:right w:val="nil"/>
            </w:tcBorders>
            <w:shd w:val="clear" w:color="auto" w:fill="auto"/>
            <w:noWrap/>
            <w:vAlign w:val="bottom"/>
            <w:hideMark/>
          </w:tcPr>
          <w:p w14:paraId="0CF50312" w14:textId="77777777" w:rsidR="002C08DF" w:rsidRDefault="002C08DF">
            <w:pPr>
              <w:jc w:val="right"/>
              <w:rPr>
                <w:color w:val="000000"/>
                <w:sz w:val="20"/>
                <w:szCs w:val="20"/>
              </w:rPr>
            </w:pPr>
            <w:r>
              <w:rPr>
                <w:color w:val="000000"/>
                <w:sz w:val="20"/>
                <w:szCs w:val="20"/>
              </w:rPr>
              <w:t>0.003</w:t>
            </w:r>
          </w:p>
        </w:tc>
      </w:tr>
      <w:tr w:rsidR="002C08DF" w14:paraId="4FB6DECD" w14:textId="77777777" w:rsidTr="002C08DF">
        <w:trPr>
          <w:trHeight w:val="320"/>
        </w:trPr>
        <w:tc>
          <w:tcPr>
            <w:tcW w:w="1152" w:type="dxa"/>
            <w:tcBorders>
              <w:top w:val="nil"/>
              <w:left w:val="nil"/>
              <w:bottom w:val="nil"/>
              <w:right w:val="nil"/>
            </w:tcBorders>
            <w:shd w:val="clear" w:color="auto" w:fill="auto"/>
            <w:noWrap/>
            <w:vAlign w:val="bottom"/>
            <w:hideMark/>
          </w:tcPr>
          <w:p w14:paraId="0834338A"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5A9E576" w14:textId="77777777" w:rsidR="002C08DF" w:rsidRDefault="002C08DF">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1D4BFC6" w14:textId="77777777" w:rsidR="002C08DF" w:rsidRDefault="002C08DF">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09CDFBF4" w14:textId="77777777" w:rsidR="002C08DF" w:rsidRDefault="002C08DF">
            <w:pPr>
              <w:jc w:val="right"/>
              <w:rPr>
                <w:color w:val="000000"/>
                <w:sz w:val="20"/>
                <w:szCs w:val="20"/>
              </w:rPr>
            </w:pPr>
            <w:r>
              <w:rPr>
                <w:color w:val="000000"/>
                <w:sz w:val="20"/>
                <w:szCs w:val="20"/>
              </w:rPr>
              <w:t>0.986</w:t>
            </w:r>
          </w:p>
        </w:tc>
        <w:tc>
          <w:tcPr>
            <w:tcW w:w="864" w:type="dxa"/>
            <w:tcBorders>
              <w:top w:val="nil"/>
              <w:left w:val="nil"/>
              <w:bottom w:val="nil"/>
              <w:right w:val="nil"/>
            </w:tcBorders>
            <w:shd w:val="clear" w:color="auto" w:fill="auto"/>
            <w:noWrap/>
            <w:vAlign w:val="bottom"/>
            <w:hideMark/>
          </w:tcPr>
          <w:p w14:paraId="3E477E35"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7C1846E" w14:textId="77777777" w:rsidR="002C08DF" w:rsidRDefault="002C08DF">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36024D3F" w14:textId="77777777" w:rsidR="002C08DF" w:rsidRDefault="002C08DF">
            <w:pPr>
              <w:jc w:val="right"/>
              <w:rPr>
                <w:color w:val="000000"/>
                <w:sz w:val="20"/>
                <w:szCs w:val="20"/>
              </w:rPr>
            </w:pPr>
            <w:r>
              <w:rPr>
                <w:color w:val="000000"/>
                <w:sz w:val="20"/>
                <w:szCs w:val="20"/>
              </w:rPr>
              <w:t>0.905</w:t>
            </w:r>
          </w:p>
        </w:tc>
        <w:tc>
          <w:tcPr>
            <w:tcW w:w="864" w:type="dxa"/>
            <w:tcBorders>
              <w:top w:val="nil"/>
              <w:left w:val="nil"/>
              <w:bottom w:val="nil"/>
              <w:right w:val="nil"/>
            </w:tcBorders>
            <w:shd w:val="clear" w:color="auto" w:fill="auto"/>
            <w:noWrap/>
            <w:vAlign w:val="bottom"/>
            <w:hideMark/>
          </w:tcPr>
          <w:p w14:paraId="115A4933" w14:textId="77777777" w:rsidR="002C08DF" w:rsidRDefault="002C08DF">
            <w:pPr>
              <w:jc w:val="right"/>
              <w:rPr>
                <w:color w:val="000000"/>
                <w:sz w:val="20"/>
                <w:szCs w:val="20"/>
              </w:rPr>
            </w:pPr>
            <w:r>
              <w:rPr>
                <w:color w:val="000000"/>
                <w:sz w:val="20"/>
                <w:szCs w:val="20"/>
              </w:rPr>
              <w:t>0.000</w:t>
            </w:r>
          </w:p>
        </w:tc>
      </w:tr>
      <w:tr w:rsidR="002C08DF" w14:paraId="03070194" w14:textId="77777777" w:rsidTr="002C08DF">
        <w:trPr>
          <w:trHeight w:val="320"/>
        </w:trPr>
        <w:tc>
          <w:tcPr>
            <w:tcW w:w="1152" w:type="dxa"/>
            <w:tcBorders>
              <w:top w:val="nil"/>
              <w:left w:val="nil"/>
              <w:bottom w:val="nil"/>
              <w:right w:val="nil"/>
            </w:tcBorders>
            <w:shd w:val="clear" w:color="auto" w:fill="auto"/>
            <w:noWrap/>
            <w:vAlign w:val="bottom"/>
            <w:hideMark/>
          </w:tcPr>
          <w:p w14:paraId="358E3DEF"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CEABD09" w14:textId="77777777" w:rsidR="002C08DF" w:rsidRDefault="002C08DF">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462D97C" w14:textId="77777777" w:rsidR="002C08DF" w:rsidRDefault="002C08DF">
            <w:pPr>
              <w:jc w:val="right"/>
              <w:rPr>
                <w:color w:val="000000"/>
                <w:sz w:val="20"/>
                <w:szCs w:val="20"/>
              </w:rPr>
            </w:pPr>
            <w:r>
              <w:rPr>
                <w:color w:val="000000"/>
                <w:sz w:val="20"/>
                <w:szCs w:val="20"/>
              </w:rPr>
              <w:t>-0.092</w:t>
            </w:r>
          </w:p>
        </w:tc>
        <w:tc>
          <w:tcPr>
            <w:tcW w:w="864" w:type="dxa"/>
            <w:tcBorders>
              <w:top w:val="nil"/>
              <w:left w:val="nil"/>
              <w:bottom w:val="nil"/>
              <w:right w:val="nil"/>
            </w:tcBorders>
            <w:shd w:val="clear" w:color="auto" w:fill="auto"/>
            <w:noWrap/>
            <w:vAlign w:val="bottom"/>
            <w:hideMark/>
          </w:tcPr>
          <w:p w14:paraId="1F3E545F" w14:textId="77777777" w:rsidR="002C08DF" w:rsidRDefault="002C08DF">
            <w:pPr>
              <w:jc w:val="right"/>
              <w:rPr>
                <w:color w:val="000000"/>
                <w:sz w:val="20"/>
                <w:szCs w:val="20"/>
              </w:rPr>
            </w:pPr>
            <w:r>
              <w:rPr>
                <w:color w:val="000000"/>
                <w:sz w:val="20"/>
                <w:szCs w:val="20"/>
              </w:rPr>
              <w:t>0.187</w:t>
            </w:r>
          </w:p>
        </w:tc>
        <w:tc>
          <w:tcPr>
            <w:tcW w:w="864" w:type="dxa"/>
            <w:tcBorders>
              <w:top w:val="nil"/>
              <w:left w:val="nil"/>
              <w:bottom w:val="nil"/>
              <w:right w:val="nil"/>
            </w:tcBorders>
            <w:shd w:val="clear" w:color="auto" w:fill="auto"/>
            <w:noWrap/>
            <w:vAlign w:val="bottom"/>
            <w:hideMark/>
          </w:tcPr>
          <w:p w14:paraId="353790B0" w14:textId="77777777" w:rsidR="002C08DF" w:rsidRDefault="002C08DF">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2FB6710D" w14:textId="77777777" w:rsidR="002C08DF" w:rsidRDefault="002C08DF">
            <w:pPr>
              <w:jc w:val="right"/>
              <w:rPr>
                <w:color w:val="000000"/>
                <w:sz w:val="20"/>
                <w:szCs w:val="20"/>
              </w:rPr>
            </w:pPr>
            <w:r>
              <w:rPr>
                <w:color w:val="000000"/>
                <w:sz w:val="20"/>
                <w:szCs w:val="20"/>
              </w:rPr>
              <w:t>-0.077</w:t>
            </w:r>
          </w:p>
        </w:tc>
        <w:tc>
          <w:tcPr>
            <w:tcW w:w="864" w:type="dxa"/>
            <w:tcBorders>
              <w:top w:val="nil"/>
              <w:left w:val="nil"/>
              <w:bottom w:val="nil"/>
              <w:right w:val="nil"/>
            </w:tcBorders>
            <w:shd w:val="clear" w:color="auto" w:fill="auto"/>
            <w:noWrap/>
            <w:vAlign w:val="bottom"/>
            <w:hideMark/>
          </w:tcPr>
          <w:p w14:paraId="051BD3A5" w14:textId="77777777" w:rsidR="002C08DF" w:rsidRDefault="002C08DF">
            <w:pPr>
              <w:jc w:val="right"/>
              <w:rPr>
                <w:color w:val="000000"/>
                <w:sz w:val="20"/>
                <w:szCs w:val="20"/>
              </w:rPr>
            </w:pPr>
            <w:r>
              <w:rPr>
                <w:color w:val="000000"/>
                <w:sz w:val="20"/>
                <w:szCs w:val="20"/>
              </w:rPr>
              <w:t>0.178</w:t>
            </w:r>
          </w:p>
        </w:tc>
        <w:tc>
          <w:tcPr>
            <w:tcW w:w="864" w:type="dxa"/>
            <w:tcBorders>
              <w:top w:val="nil"/>
              <w:left w:val="nil"/>
              <w:bottom w:val="nil"/>
              <w:right w:val="nil"/>
            </w:tcBorders>
            <w:shd w:val="clear" w:color="auto" w:fill="auto"/>
            <w:noWrap/>
            <w:vAlign w:val="bottom"/>
            <w:hideMark/>
          </w:tcPr>
          <w:p w14:paraId="17932534" w14:textId="77777777" w:rsidR="002C08DF" w:rsidRDefault="002C08DF">
            <w:pPr>
              <w:jc w:val="right"/>
              <w:rPr>
                <w:color w:val="000000"/>
                <w:sz w:val="20"/>
                <w:szCs w:val="20"/>
              </w:rPr>
            </w:pPr>
            <w:r>
              <w:rPr>
                <w:color w:val="000000"/>
                <w:sz w:val="20"/>
                <w:szCs w:val="20"/>
              </w:rPr>
              <w:t>0.006</w:t>
            </w:r>
          </w:p>
        </w:tc>
      </w:tr>
      <w:tr w:rsidR="002C08DF" w14:paraId="387D1255" w14:textId="77777777" w:rsidTr="002C08DF">
        <w:trPr>
          <w:trHeight w:val="320"/>
        </w:trPr>
        <w:tc>
          <w:tcPr>
            <w:tcW w:w="1152" w:type="dxa"/>
            <w:tcBorders>
              <w:top w:val="nil"/>
              <w:left w:val="nil"/>
              <w:bottom w:val="nil"/>
              <w:right w:val="nil"/>
            </w:tcBorders>
            <w:shd w:val="clear" w:color="auto" w:fill="auto"/>
            <w:noWrap/>
            <w:vAlign w:val="bottom"/>
            <w:hideMark/>
          </w:tcPr>
          <w:p w14:paraId="3ED43B65"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EF7671C" w14:textId="77777777" w:rsidR="002C08DF" w:rsidRDefault="002C08DF">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43B90B7" w14:textId="77777777" w:rsidR="002C08DF" w:rsidRDefault="002C08DF">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1C2B738E" w14:textId="77777777" w:rsidR="002C08DF" w:rsidRDefault="002C08DF">
            <w:pPr>
              <w:jc w:val="right"/>
              <w:rPr>
                <w:color w:val="000000"/>
                <w:sz w:val="20"/>
                <w:szCs w:val="20"/>
              </w:rPr>
            </w:pPr>
            <w:r>
              <w:rPr>
                <w:color w:val="000000"/>
                <w:sz w:val="20"/>
                <w:szCs w:val="20"/>
              </w:rPr>
              <w:t>0.187</w:t>
            </w:r>
          </w:p>
        </w:tc>
        <w:tc>
          <w:tcPr>
            <w:tcW w:w="864" w:type="dxa"/>
            <w:tcBorders>
              <w:top w:val="nil"/>
              <w:left w:val="nil"/>
              <w:bottom w:val="nil"/>
              <w:right w:val="nil"/>
            </w:tcBorders>
            <w:shd w:val="clear" w:color="auto" w:fill="auto"/>
            <w:noWrap/>
            <w:vAlign w:val="bottom"/>
            <w:hideMark/>
          </w:tcPr>
          <w:p w14:paraId="49FCD578" w14:textId="77777777" w:rsidR="002C08DF" w:rsidRDefault="002C08DF">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03962FFE" w14:textId="77777777" w:rsidR="002C08DF" w:rsidRDefault="002C08DF">
            <w:pPr>
              <w:jc w:val="right"/>
              <w:rPr>
                <w:color w:val="000000"/>
                <w:sz w:val="20"/>
                <w:szCs w:val="20"/>
              </w:rPr>
            </w:pPr>
            <w:r>
              <w:rPr>
                <w:color w:val="000000"/>
                <w:sz w:val="20"/>
                <w:szCs w:val="20"/>
              </w:rPr>
              <w:t>0.074</w:t>
            </w:r>
          </w:p>
        </w:tc>
        <w:tc>
          <w:tcPr>
            <w:tcW w:w="864" w:type="dxa"/>
            <w:tcBorders>
              <w:top w:val="nil"/>
              <w:left w:val="nil"/>
              <w:bottom w:val="nil"/>
              <w:right w:val="nil"/>
            </w:tcBorders>
            <w:shd w:val="clear" w:color="auto" w:fill="auto"/>
            <w:noWrap/>
            <w:vAlign w:val="bottom"/>
            <w:hideMark/>
          </w:tcPr>
          <w:p w14:paraId="33BBDD1F" w14:textId="77777777" w:rsidR="002C08DF" w:rsidRDefault="002C08DF">
            <w:pPr>
              <w:jc w:val="right"/>
              <w:rPr>
                <w:color w:val="000000"/>
                <w:sz w:val="20"/>
                <w:szCs w:val="20"/>
              </w:rPr>
            </w:pPr>
            <w:r>
              <w:rPr>
                <w:color w:val="000000"/>
                <w:sz w:val="20"/>
                <w:szCs w:val="20"/>
              </w:rPr>
              <w:t>0.178</w:t>
            </w:r>
          </w:p>
        </w:tc>
        <w:tc>
          <w:tcPr>
            <w:tcW w:w="864" w:type="dxa"/>
            <w:tcBorders>
              <w:top w:val="nil"/>
              <w:left w:val="nil"/>
              <w:bottom w:val="nil"/>
              <w:right w:val="nil"/>
            </w:tcBorders>
            <w:shd w:val="clear" w:color="auto" w:fill="auto"/>
            <w:noWrap/>
            <w:vAlign w:val="bottom"/>
            <w:hideMark/>
          </w:tcPr>
          <w:p w14:paraId="491EAA6E" w14:textId="77777777" w:rsidR="002C08DF" w:rsidRDefault="002C08DF">
            <w:pPr>
              <w:jc w:val="right"/>
              <w:rPr>
                <w:color w:val="000000"/>
                <w:sz w:val="20"/>
                <w:szCs w:val="20"/>
              </w:rPr>
            </w:pPr>
            <w:r>
              <w:rPr>
                <w:color w:val="000000"/>
                <w:sz w:val="20"/>
                <w:szCs w:val="20"/>
              </w:rPr>
              <w:t>0.005</w:t>
            </w:r>
          </w:p>
        </w:tc>
      </w:tr>
      <w:tr w:rsidR="002C08DF" w14:paraId="617AEBAD" w14:textId="77777777" w:rsidTr="002C08DF">
        <w:trPr>
          <w:trHeight w:val="320"/>
        </w:trPr>
        <w:tc>
          <w:tcPr>
            <w:tcW w:w="1152" w:type="dxa"/>
            <w:tcBorders>
              <w:top w:val="nil"/>
              <w:left w:val="nil"/>
              <w:bottom w:val="nil"/>
              <w:right w:val="nil"/>
            </w:tcBorders>
            <w:shd w:val="clear" w:color="auto" w:fill="auto"/>
            <w:noWrap/>
            <w:vAlign w:val="bottom"/>
            <w:hideMark/>
          </w:tcPr>
          <w:p w14:paraId="31350E96"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B7D63D0" w14:textId="77777777" w:rsidR="002C08DF" w:rsidRDefault="002C08DF">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46AFBCD" w14:textId="77777777" w:rsidR="002C08DF" w:rsidRDefault="002C08DF">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474ACE20" w14:textId="77777777" w:rsidR="002C08DF" w:rsidRDefault="002C08DF">
            <w:pPr>
              <w:jc w:val="right"/>
              <w:rPr>
                <w:color w:val="000000"/>
                <w:sz w:val="20"/>
                <w:szCs w:val="20"/>
              </w:rPr>
            </w:pPr>
            <w:r>
              <w:rPr>
                <w:color w:val="000000"/>
                <w:sz w:val="20"/>
                <w:szCs w:val="20"/>
              </w:rPr>
              <w:t>0.986</w:t>
            </w:r>
          </w:p>
        </w:tc>
        <w:tc>
          <w:tcPr>
            <w:tcW w:w="864" w:type="dxa"/>
            <w:tcBorders>
              <w:top w:val="nil"/>
              <w:left w:val="nil"/>
              <w:bottom w:val="nil"/>
              <w:right w:val="nil"/>
            </w:tcBorders>
            <w:shd w:val="clear" w:color="auto" w:fill="auto"/>
            <w:noWrap/>
            <w:vAlign w:val="bottom"/>
            <w:hideMark/>
          </w:tcPr>
          <w:p w14:paraId="1BD275C6"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3FCDFBA" w14:textId="77777777" w:rsidR="002C08DF" w:rsidRDefault="002C08DF">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471FE89E" w14:textId="77777777" w:rsidR="002C08DF" w:rsidRDefault="002C08DF">
            <w:pPr>
              <w:jc w:val="right"/>
              <w:rPr>
                <w:color w:val="000000"/>
                <w:sz w:val="20"/>
                <w:szCs w:val="20"/>
              </w:rPr>
            </w:pPr>
            <w:r>
              <w:rPr>
                <w:color w:val="000000"/>
                <w:sz w:val="20"/>
                <w:szCs w:val="20"/>
              </w:rPr>
              <w:t>0.905</w:t>
            </w:r>
          </w:p>
        </w:tc>
        <w:tc>
          <w:tcPr>
            <w:tcW w:w="864" w:type="dxa"/>
            <w:tcBorders>
              <w:top w:val="nil"/>
              <w:left w:val="nil"/>
              <w:bottom w:val="nil"/>
              <w:right w:val="nil"/>
            </w:tcBorders>
            <w:shd w:val="clear" w:color="auto" w:fill="auto"/>
            <w:noWrap/>
            <w:vAlign w:val="bottom"/>
            <w:hideMark/>
          </w:tcPr>
          <w:p w14:paraId="2E2BCD97" w14:textId="77777777" w:rsidR="002C08DF" w:rsidRDefault="002C08DF">
            <w:pPr>
              <w:jc w:val="right"/>
              <w:rPr>
                <w:color w:val="000000"/>
                <w:sz w:val="20"/>
                <w:szCs w:val="20"/>
              </w:rPr>
            </w:pPr>
            <w:r>
              <w:rPr>
                <w:color w:val="000000"/>
                <w:sz w:val="20"/>
                <w:szCs w:val="20"/>
              </w:rPr>
              <w:t>0.000</w:t>
            </w:r>
          </w:p>
        </w:tc>
      </w:tr>
      <w:tr w:rsidR="002C08DF" w14:paraId="07AD5F82" w14:textId="77777777" w:rsidTr="002C08DF">
        <w:trPr>
          <w:trHeight w:val="320"/>
        </w:trPr>
        <w:tc>
          <w:tcPr>
            <w:tcW w:w="1152" w:type="dxa"/>
            <w:tcBorders>
              <w:top w:val="nil"/>
              <w:left w:val="nil"/>
              <w:bottom w:val="nil"/>
              <w:right w:val="nil"/>
            </w:tcBorders>
            <w:shd w:val="clear" w:color="auto" w:fill="auto"/>
            <w:noWrap/>
            <w:vAlign w:val="bottom"/>
            <w:hideMark/>
          </w:tcPr>
          <w:p w14:paraId="43B0332D"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9A80B54" w14:textId="77777777" w:rsidR="002C08DF" w:rsidRDefault="002C08DF">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EC78862" w14:textId="77777777" w:rsidR="002C08DF" w:rsidRDefault="002C08DF">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67C7DC89" w14:textId="77777777" w:rsidR="002C08DF" w:rsidRDefault="002C08DF">
            <w:pPr>
              <w:jc w:val="right"/>
              <w:rPr>
                <w:color w:val="000000"/>
                <w:sz w:val="20"/>
                <w:szCs w:val="20"/>
              </w:rPr>
            </w:pPr>
            <w:r>
              <w:rPr>
                <w:color w:val="000000"/>
                <w:sz w:val="20"/>
                <w:szCs w:val="20"/>
              </w:rPr>
              <w:t>0.636</w:t>
            </w:r>
          </w:p>
        </w:tc>
        <w:tc>
          <w:tcPr>
            <w:tcW w:w="864" w:type="dxa"/>
            <w:tcBorders>
              <w:top w:val="nil"/>
              <w:left w:val="nil"/>
              <w:bottom w:val="nil"/>
              <w:right w:val="nil"/>
            </w:tcBorders>
            <w:shd w:val="clear" w:color="auto" w:fill="auto"/>
            <w:noWrap/>
            <w:vAlign w:val="bottom"/>
            <w:hideMark/>
          </w:tcPr>
          <w:p w14:paraId="796451CD" w14:textId="77777777" w:rsidR="002C08DF" w:rsidRDefault="002C08DF">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8A3241B" w14:textId="77777777" w:rsidR="002C08DF" w:rsidRDefault="002C08DF">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45ACD263" w14:textId="77777777" w:rsidR="002C08DF" w:rsidRDefault="002C08DF">
            <w:pPr>
              <w:jc w:val="right"/>
              <w:rPr>
                <w:color w:val="000000"/>
                <w:sz w:val="20"/>
                <w:szCs w:val="20"/>
              </w:rPr>
            </w:pPr>
            <w:r>
              <w:rPr>
                <w:color w:val="000000"/>
                <w:sz w:val="20"/>
                <w:szCs w:val="20"/>
              </w:rPr>
              <w:t>0.905</w:t>
            </w:r>
          </w:p>
        </w:tc>
        <w:tc>
          <w:tcPr>
            <w:tcW w:w="864" w:type="dxa"/>
            <w:tcBorders>
              <w:top w:val="nil"/>
              <w:left w:val="nil"/>
              <w:bottom w:val="nil"/>
              <w:right w:val="nil"/>
            </w:tcBorders>
            <w:shd w:val="clear" w:color="auto" w:fill="auto"/>
            <w:noWrap/>
            <w:vAlign w:val="bottom"/>
            <w:hideMark/>
          </w:tcPr>
          <w:p w14:paraId="120FEABF" w14:textId="77777777" w:rsidR="002C08DF" w:rsidRDefault="002C08DF">
            <w:pPr>
              <w:jc w:val="right"/>
              <w:rPr>
                <w:color w:val="000000"/>
                <w:sz w:val="20"/>
                <w:szCs w:val="20"/>
              </w:rPr>
            </w:pPr>
            <w:r>
              <w:rPr>
                <w:color w:val="000000"/>
                <w:sz w:val="20"/>
                <w:szCs w:val="20"/>
              </w:rPr>
              <w:t>0.000</w:t>
            </w:r>
          </w:p>
        </w:tc>
      </w:tr>
      <w:tr w:rsidR="002C08DF" w14:paraId="3C4E682B" w14:textId="77777777" w:rsidTr="00F132FA">
        <w:trPr>
          <w:trHeight w:val="320"/>
        </w:trPr>
        <w:tc>
          <w:tcPr>
            <w:tcW w:w="1152" w:type="dxa"/>
            <w:tcBorders>
              <w:top w:val="nil"/>
              <w:left w:val="nil"/>
              <w:bottom w:val="single" w:sz="4" w:space="0" w:color="auto"/>
              <w:right w:val="nil"/>
            </w:tcBorders>
            <w:shd w:val="clear" w:color="auto" w:fill="auto"/>
            <w:noWrap/>
            <w:vAlign w:val="bottom"/>
            <w:hideMark/>
          </w:tcPr>
          <w:p w14:paraId="2135A198" w14:textId="77777777" w:rsidR="002C08DF" w:rsidRDefault="002C08DF">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18513DF" w14:textId="77777777" w:rsidR="002C08DF" w:rsidRDefault="002C08DF">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095808B7" w14:textId="77777777" w:rsidR="002C08DF" w:rsidRDefault="002C08DF">
            <w:pPr>
              <w:jc w:val="right"/>
              <w:rPr>
                <w:color w:val="000000"/>
                <w:sz w:val="20"/>
                <w:szCs w:val="20"/>
              </w:rPr>
            </w:pPr>
            <w:r>
              <w:rPr>
                <w:color w:val="000000"/>
                <w:sz w:val="20"/>
                <w:szCs w:val="20"/>
              </w:rPr>
              <w:t>0.023</w:t>
            </w:r>
          </w:p>
        </w:tc>
        <w:tc>
          <w:tcPr>
            <w:tcW w:w="864" w:type="dxa"/>
            <w:tcBorders>
              <w:top w:val="nil"/>
              <w:left w:val="nil"/>
              <w:bottom w:val="single" w:sz="4" w:space="0" w:color="auto"/>
              <w:right w:val="nil"/>
            </w:tcBorders>
            <w:shd w:val="clear" w:color="auto" w:fill="auto"/>
            <w:noWrap/>
            <w:vAlign w:val="bottom"/>
            <w:hideMark/>
          </w:tcPr>
          <w:p w14:paraId="1152F886" w14:textId="77777777" w:rsidR="002C08DF" w:rsidRDefault="002C08DF">
            <w:pPr>
              <w:jc w:val="right"/>
              <w:rPr>
                <w:color w:val="000000"/>
                <w:sz w:val="20"/>
                <w:szCs w:val="20"/>
              </w:rPr>
            </w:pPr>
            <w:r>
              <w:rPr>
                <w:color w:val="000000"/>
                <w:sz w:val="20"/>
                <w:szCs w:val="20"/>
              </w:rPr>
              <w:t>0.888</w:t>
            </w:r>
          </w:p>
        </w:tc>
        <w:tc>
          <w:tcPr>
            <w:tcW w:w="864" w:type="dxa"/>
            <w:tcBorders>
              <w:top w:val="nil"/>
              <w:left w:val="nil"/>
              <w:bottom w:val="single" w:sz="4" w:space="0" w:color="auto"/>
              <w:right w:val="nil"/>
            </w:tcBorders>
            <w:shd w:val="clear" w:color="auto" w:fill="auto"/>
            <w:noWrap/>
            <w:vAlign w:val="bottom"/>
            <w:hideMark/>
          </w:tcPr>
          <w:p w14:paraId="3714EE51" w14:textId="77777777" w:rsidR="002C08DF" w:rsidRDefault="002C08DF">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390777C3" w14:textId="77777777" w:rsidR="002C08DF" w:rsidRDefault="002C08DF">
            <w:pPr>
              <w:jc w:val="right"/>
              <w:rPr>
                <w:color w:val="000000"/>
                <w:sz w:val="20"/>
                <w:szCs w:val="20"/>
              </w:rPr>
            </w:pPr>
            <w:r>
              <w:rPr>
                <w:color w:val="000000"/>
                <w:sz w:val="20"/>
                <w:szCs w:val="20"/>
              </w:rPr>
              <w:t>0.057</w:t>
            </w:r>
          </w:p>
        </w:tc>
        <w:tc>
          <w:tcPr>
            <w:tcW w:w="864" w:type="dxa"/>
            <w:tcBorders>
              <w:top w:val="nil"/>
              <w:left w:val="nil"/>
              <w:bottom w:val="single" w:sz="4" w:space="0" w:color="auto"/>
              <w:right w:val="nil"/>
            </w:tcBorders>
            <w:shd w:val="clear" w:color="auto" w:fill="auto"/>
            <w:noWrap/>
            <w:vAlign w:val="bottom"/>
            <w:hideMark/>
          </w:tcPr>
          <w:p w14:paraId="6E8A419D" w14:textId="77777777" w:rsidR="002C08DF" w:rsidRDefault="002C08DF">
            <w:pPr>
              <w:jc w:val="right"/>
              <w:rPr>
                <w:color w:val="000000"/>
                <w:sz w:val="20"/>
                <w:szCs w:val="20"/>
              </w:rPr>
            </w:pPr>
            <w:r>
              <w:rPr>
                <w:color w:val="000000"/>
                <w:sz w:val="20"/>
                <w:szCs w:val="20"/>
              </w:rPr>
              <w:t>0.178</w:t>
            </w:r>
          </w:p>
        </w:tc>
        <w:tc>
          <w:tcPr>
            <w:tcW w:w="864" w:type="dxa"/>
            <w:tcBorders>
              <w:top w:val="nil"/>
              <w:left w:val="nil"/>
              <w:bottom w:val="single" w:sz="12" w:space="0" w:color="auto"/>
              <w:right w:val="nil"/>
            </w:tcBorders>
            <w:shd w:val="clear" w:color="auto" w:fill="auto"/>
            <w:noWrap/>
            <w:vAlign w:val="bottom"/>
            <w:hideMark/>
          </w:tcPr>
          <w:p w14:paraId="490412B4" w14:textId="77777777" w:rsidR="002C08DF" w:rsidRDefault="002C08DF">
            <w:pPr>
              <w:jc w:val="right"/>
              <w:rPr>
                <w:color w:val="000000"/>
                <w:sz w:val="20"/>
                <w:szCs w:val="20"/>
              </w:rPr>
            </w:pPr>
            <w:r>
              <w:rPr>
                <w:color w:val="000000"/>
                <w:sz w:val="20"/>
                <w:szCs w:val="20"/>
              </w:rPr>
              <w:t>0.003</w:t>
            </w:r>
          </w:p>
        </w:tc>
      </w:tr>
      <w:tr w:rsidR="002C08DF" w14:paraId="2BE07FE5" w14:textId="77777777" w:rsidTr="00F132FA">
        <w:trPr>
          <w:trHeight w:val="320"/>
        </w:trPr>
        <w:tc>
          <w:tcPr>
            <w:tcW w:w="1152" w:type="dxa"/>
            <w:tcBorders>
              <w:top w:val="nil"/>
              <w:left w:val="nil"/>
              <w:bottom w:val="nil"/>
              <w:right w:val="nil"/>
            </w:tcBorders>
            <w:shd w:val="clear" w:color="auto" w:fill="auto"/>
            <w:noWrap/>
            <w:vAlign w:val="bottom"/>
            <w:hideMark/>
          </w:tcPr>
          <w:p w14:paraId="26FF1F3A" w14:textId="77777777" w:rsidR="002C08DF" w:rsidRDefault="002C08DF">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245DB33D" w14:textId="77777777" w:rsidR="002C08DF" w:rsidRDefault="002C08DF">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9B1E35B" w14:textId="77777777" w:rsidR="002C08DF" w:rsidRDefault="002C08DF">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786BFCBC" w14:textId="77777777" w:rsidR="002C08DF" w:rsidRDefault="002C08DF">
            <w:pPr>
              <w:jc w:val="right"/>
              <w:rPr>
                <w:color w:val="000000"/>
                <w:sz w:val="20"/>
                <w:szCs w:val="20"/>
              </w:rPr>
            </w:pPr>
            <w:r>
              <w:rPr>
                <w:color w:val="000000"/>
                <w:sz w:val="20"/>
                <w:szCs w:val="20"/>
              </w:rPr>
              <w:t>0.578</w:t>
            </w:r>
          </w:p>
        </w:tc>
        <w:tc>
          <w:tcPr>
            <w:tcW w:w="864" w:type="dxa"/>
            <w:tcBorders>
              <w:top w:val="nil"/>
              <w:left w:val="nil"/>
              <w:bottom w:val="nil"/>
              <w:right w:val="nil"/>
            </w:tcBorders>
            <w:shd w:val="clear" w:color="auto" w:fill="auto"/>
            <w:noWrap/>
            <w:vAlign w:val="bottom"/>
            <w:hideMark/>
          </w:tcPr>
          <w:p w14:paraId="61CBC0F7"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0B6A98E" w14:textId="77777777" w:rsidR="002C08DF" w:rsidRDefault="002C08DF">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5A93A704" w14:textId="77777777" w:rsidR="002C08DF" w:rsidRDefault="002C08DF">
            <w:pPr>
              <w:jc w:val="right"/>
              <w:rPr>
                <w:color w:val="000000"/>
                <w:sz w:val="20"/>
                <w:szCs w:val="20"/>
              </w:rPr>
            </w:pPr>
            <w:r>
              <w:rPr>
                <w:color w:val="000000"/>
                <w:sz w:val="20"/>
                <w:szCs w:val="20"/>
              </w:rPr>
              <w:t>0.836</w:t>
            </w:r>
          </w:p>
        </w:tc>
        <w:tc>
          <w:tcPr>
            <w:tcW w:w="864" w:type="dxa"/>
            <w:tcBorders>
              <w:top w:val="single" w:sz="12" w:space="0" w:color="auto"/>
              <w:left w:val="nil"/>
              <w:bottom w:val="nil"/>
              <w:right w:val="nil"/>
            </w:tcBorders>
            <w:shd w:val="clear" w:color="auto" w:fill="auto"/>
            <w:noWrap/>
            <w:vAlign w:val="bottom"/>
            <w:hideMark/>
          </w:tcPr>
          <w:p w14:paraId="6D7B3D03" w14:textId="77777777" w:rsidR="002C08DF" w:rsidRDefault="002C08DF">
            <w:pPr>
              <w:jc w:val="right"/>
              <w:rPr>
                <w:color w:val="000000"/>
                <w:sz w:val="20"/>
                <w:szCs w:val="20"/>
              </w:rPr>
            </w:pPr>
            <w:r>
              <w:rPr>
                <w:color w:val="000000"/>
                <w:sz w:val="20"/>
                <w:szCs w:val="20"/>
              </w:rPr>
              <w:t>0.000</w:t>
            </w:r>
          </w:p>
        </w:tc>
      </w:tr>
      <w:tr w:rsidR="002C08DF" w14:paraId="4C0EB806" w14:textId="77777777" w:rsidTr="002C08DF">
        <w:trPr>
          <w:trHeight w:val="320"/>
        </w:trPr>
        <w:tc>
          <w:tcPr>
            <w:tcW w:w="1152" w:type="dxa"/>
            <w:tcBorders>
              <w:top w:val="nil"/>
              <w:left w:val="nil"/>
              <w:bottom w:val="nil"/>
              <w:right w:val="nil"/>
            </w:tcBorders>
            <w:shd w:val="clear" w:color="auto" w:fill="auto"/>
            <w:noWrap/>
            <w:vAlign w:val="bottom"/>
            <w:hideMark/>
          </w:tcPr>
          <w:p w14:paraId="5E974BEE"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D48DE32" w14:textId="77777777" w:rsidR="002C08DF" w:rsidRDefault="002C08DF">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F812438" w14:textId="77777777" w:rsidR="002C08DF" w:rsidRDefault="002C08DF">
            <w:pPr>
              <w:jc w:val="right"/>
              <w:rPr>
                <w:b/>
                <w:bCs/>
                <w:color w:val="000000"/>
                <w:sz w:val="20"/>
                <w:szCs w:val="20"/>
              </w:rPr>
            </w:pPr>
            <w:r>
              <w:rPr>
                <w:b/>
                <w:bCs/>
                <w:color w:val="000000"/>
                <w:sz w:val="20"/>
                <w:szCs w:val="20"/>
              </w:rPr>
              <w:t>0.090</w:t>
            </w:r>
          </w:p>
        </w:tc>
        <w:tc>
          <w:tcPr>
            <w:tcW w:w="864" w:type="dxa"/>
            <w:tcBorders>
              <w:top w:val="nil"/>
              <w:left w:val="nil"/>
              <w:bottom w:val="nil"/>
              <w:right w:val="nil"/>
            </w:tcBorders>
            <w:shd w:val="clear" w:color="auto" w:fill="auto"/>
            <w:noWrap/>
            <w:vAlign w:val="bottom"/>
            <w:hideMark/>
          </w:tcPr>
          <w:p w14:paraId="38573C28" w14:textId="77777777" w:rsidR="002C08DF" w:rsidRDefault="002C08DF">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05AB8CC6" w14:textId="77777777" w:rsidR="002C08DF" w:rsidRPr="00813053" w:rsidRDefault="002C08DF">
            <w:pPr>
              <w:jc w:val="right"/>
              <w:rPr>
                <w:b/>
                <w:bCs/>
                <w:color w:val="000000"/>
                <w:sz w:val="20"/>
                <w:szCs w:val="20"/>
              </w:rPr>
            </w:pPr>
            <w:r w:rsidRPr="00813053">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21442AEC" w14:textId="77777777" w:rsidR="002C08DF" w:rsidRPr="00813053" w:rsidRDefault="002C08DF">
            <w:pPr>
              <w:jc w:val="right"/>
              <w:rPr>
                <w:b/>
                <w:bCs/>
                <w:color w:val="000000"/>
                <w:sz w:val="20"/>
                <w:szCs w:val="20"/>
              </w:rPr>
            </w:pPr>
            <w:r w:rsidRPr="00813053">
              <w:rPr>
                <w:b/>
                <w:bCs/>
                <w:color w:val="000000"/>
                <w:sz w:val="20"/>
                <w:szCs w:val="20"/>
              </w:rPr>
              <w:t>0.075</w:t>
            </w:r>
          </w:p>
        </w:tc>
        <w:tc>
          <w:tcPr>
            <w:tcW w:w="864" w:type="dxa"/>
            <w:tcBorders>
              <w:top w:val="nil"/>
              <w:left w:val="nil"/>
              <w:bottom w:val="nil"/>
              <w:right w:val="nil"/>
            </w:tcBorders>
            <w:shd w:val="clear" w:color="auto" w:fill="auto"/>
            <w:noWrap/>
            <w:vAlign w:val="bottom"/>
            <w:hideMark/>
          </w:tcPr>
          <w:p w14:paraId="4F2F72E7" w14:textId="77777777" w:rsidR="002C08DF" w:rsidRPr="00813053" w:rsidRDefault="002C08DF">
            <w:pPr>
              <w:jc w:val="right"/>
              <w:rPr>
                <w:b/>
                <w:bCs/>
                <w:color w:val="000000"/>
                <w:sz w:val="20"/>
                <w:szCs w:val="20"/>
              </w:rPr>
            </w:pPr>
            <w:r w:rsidRPr="00813053">
              <w:rPr>
                <w:b/>
                <w:bCs/>
                <w:color w:val="000000"/>
                <w:sz w:val="20"/>
                <w:szCs w:val="20"/>
              </w:rPr>
              <w:t>0.036</w:t>
            </w:r>
          </w:p>
        </w:tc>
        <w:tc>
          <w:tcPr>
            <w:tcW w:w="864" w:type="dxa"/>
            <w:tcBorders>
              <w:top w:val="nil"/>
              <w:left w:val="nil"/>
              <w:bottom w:val="nil"/>
              <w:right w:val="nil"/>
            </w:tcBorders>
            <w:shd w:val="clear" w:color="auto" w:fill="auto"/>
            <w:noWrap/>
            <w:vAlign w:val="bottom"/>
            <w:hideMark/>
          </w:tcPr>
          <w:p w14:paraId="6A57F995" w14:textId="77777777" w:rsidR="002C08DF" w:rsidRPr="00813053" w:rsidRDefault="002C08DF">
            <w:pPr>
              <w:jc w:val="right"/>
              <w:rPr>
                <w:b/>
                <w:bCs/>
                <w:color w:val="000000"/>
                <w:sz w:val="20"/>
                <w:szCs w:val="20"/>
              </w:rPr>
            </w:pPr>
            <w:r w:rsidRPr="00813053">
              <w:rPr>
                <w:b/>
                <w:bCs/>
                <w:color w:val="000000"/>
                <w:sz w:val="20"/>
                <w:szCs w:val="20"/>
              </w:rPr>
              <w:t>0.006</w:t>
            </w:r>
          </w:p>
        </w:tc>
      </w:tr>
      <w:tr w:rsidR="002C08DF" w14:paraId="4A6869DF" w14:textId="77777777" w:rsidTr="002C08DF">
        <w:trPr>
          <w:trHeight w:val="320"/>
        </w:trPr>
        <w:tc>
          <w:tcPr>
            <w:tcW w:w="1152" w:type="dxa"/>
            <w:tcBorders>
              <w:top w:val="nil"/>
              <w:left w:val="nil"/>
              <w:bottom w:val="nil"/>
              <w:right w:val="nil"/>
            </w:tcBorders>
            <w:shd w:val="clear" w:color="auto" w:fill="auto"/>
            <w:noWrap/>
            <w:vAlign w:val="bottom"/>
            <w:hideMark/>
          </w:tcPr>
          <w:p w14:paraId="6BB6916C"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5F5D4DE" w14:textId="77777777" w:rsidR="002C08DF" w:rsidRDefault="002C08DF">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2F43392" w14:textId="77777777" w:rsidR="002C08DF" w:rsidRDefault="002C08DF">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7D6B4998" w14:textId="77777777" w:rsidR="002C08DF" w:rsidRDefault="002C08DF">
            <w:pPr>
              <w:jc w:val="right"/>
              <w:rPr>
                <w:color w:val="000000"/>
                <w:sz w:val="20"/>
                <w:szCs w:val="20"/>
              </w:rPr>
            </w:pPr>
            <w:r>
              <w:rPr>
                <w:color w:val="000000"/>
                <w:sz w:val="20"/>
                <w:szCs w:val="20"/>
              </w:rPr>
              <w:t>0.730</w:t>
            </w:r>
          </w:p>
        </w:tc>
        <w:tc>
          <w:tcPr>
            <w:tcW w:w="864" w:type="dxa"/>
            <w:tcBorders>
              <w:top w:val="nil"/>
              <w:left w:val="nil"/>
              <w:bottom w:val="nil"/>
              <w:right w:val="nil"/>
            </w:tcBorders>
            <w:shd w:val="clear" w:color="auto" w:fill="auto"/>
            <w:noWrap/>
            <w:vAlign w:val="bottom"/>
            <w:hideMark/>
          </w:tcPr>
          <w:p w14:paraId="17F33918"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8E1FE58" w14:textId="77777777" w:rsidR="002C08DF" w:rsidRDefault="002C08DF">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40E771C0" w14:textId="77777777" w:rsidR="002C08DF" w:rsidRDefault="002C08DF">
            <w:pPr>
              <w:jc w:val="right"/>
              <w:rPr>
                <w:color w:val="000000"/>
                <w:sz w:val="20"/>
                <w:szCs w:val="20"/>
              </w:rPr>
            </w:pPr>
            <w:r>
              <w:rPr>
                <w:color w:val="000000"/>
                <w:sz w:val="20"/>
                <w:szCs w:val="20"/>
              </w:rPr>
              <w:t>0.836</w:t>
            </w:r>
          </w:p>
        </w:tc>
        <w:tc>
          <w:tcPr>
            <w:tcW w:w="864" w:type="dxa"/>
            <w:tcBorders>
              <w:top w:val="nil"/>
              <w:left w:val="nil"/>
              <w:bottom w:val="nil"/>
              <w:right w:val="nil"/>
            </w:tcBorders>
            <w:shd w:val="clear" w:color="auto" w:fill="auto"/>
            <w:noWrap/>
            <w:vAlign w:val="bottom"/>
            <w:hideMark/>
          </w:tcPr>
          <w:p w14:paraId="0A03AF4A" w14:textId="77777777" w:rsidR="002C08DF" w:rsidRDefault="002C08DF">
            <w:pPr>
              <w:jc w:val="right"/>
              <w:rPr>
                <w:color w:val="000000"/>
                <w:sz w:val="20"/>
                <w:szCs w:val="20"/>
              </w:rPr>
            </w:pPr>
            <w:r>
              <w:rPr>
                <w:color w:val="000000"/>
                <w:sz w:val="20"/>
                <w:szCs w:val="20"/>
              </w:rPr>
              <w:t>0.000</w:t>
            </w:r>
          </w:p>
        </w:tc>
      </w:tr>
      <w:tr w:rsidR="002C08DF" w14:paraId="62D8EDFD" w14:textId="77777777" w:rsidTr="002C08DF">
        <w:trPr>
          <w:trHeight w:val="320"/>
        </w:trPr>
        <w:tc>
          <w:tcPr>
            <w:tcW w:w="1152" w:type="dxa"/>
            <w:tcBorders>
              <w:top w:val="nil"/>
              <w:left w:val="nil"/>
              <w:bottom w:val="nil"/>
              <w:right w:val="nil"/>
            </w:tcBorders>
            <w:shd w:val="clear" w:color="auto" w:fill="auto"/>
            <w:noWrap/>
            <w:vAlign w:val="bottom"/>
            <w:hideMark/>
          </w:tcPr>
          <w:p w14:paraId="22B26E80"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245D9DA" w14:textId="77777777" w:rsidR="002C08DF" w:rsidRDefault="002C08DF">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3CC34042" w14:textId="77777777" w:rsidR="002C08DF" w:rsidRDefault="002C08DF">
            <w:pPr>
              <w:jc w:val="right"/>
              <w:rPr>
                <w:b/>
                <w:bCs/>
                <w:color w:val="000000"/>
                <w:sz w:val="20"/>
                <w:szCs w:val="20"/>
              </w:rPr>
            </w:pPr>
            <w:r>
              <w:rPr>
                <w:b/>
                <w:bCs/>
                <w:color w:val="000000"/>
                <w:sz w:val="20"/>
                <w:szCs w:val="20"/>
              </w:rPr>
              <w:t>-0.089</w:t>
            </w:r>
          </w:p>
        </w:tc>
        <w:tc>
          <w:tcPr>
            <w:tcW w:w="864" w:type="dxa"/>
            <w:tcBorders>
              <w:top w:val="nil"/>
              <w:left w:val="nil"/>
              <w:bottom w:val="nil"/>
              <w:right w:val="nil"/>
            </w:tcBorders>
            <w:shd w:val="clear" w:color="auto" w:fill="auto"/>
            <w:noWrap/>
            <w:vAlign w:val="bottom"/>
            <w:hideMark/>
          </w:tcPr>
          <w:p w14:paraId="2985096E" w14:textId="77777777" w:rsidR="002C08DF" w:rsidRDefault="002C08DF">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6FC7988D" w14:textId="77777777" w:rsidR="002C08DF" w:rsidRPr="00813053" w:rsidRDefault="002C08DF">
            <w:pPr>
              <w:jc w:val="right"/>
              <w:rPr>
                <w:b/>
                <w:bCs/>
                <w:color w:val="000000"/>
                <w:sz w:val="20"/>
                <w:szCs w:val="20"/>
              </w:rPr>
            </w:pPr>
            <w:r w:rsidRPr="00813053">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57344006" w14:textId="77777777" w:rsidR="002C08DF" w:rsidRPr="00813053" w:rsidRDefault="002C08DF">
            <w:pPr>
              <w:jc w:val="right"/>
              <w:rPr>
                <w:b/>
                <w:bCs/>
                <w:color w:val="000000"/>
                <w:sz w:val="20"/>
                <w:szCs w:val="20"/>
              </w:rPr>
            </w:pPr>
            <w:r w:rsidRPr="00813053">
              <w:rPr>
                <w:b/>
                <w:bCs/>
                <w:color w:val="000000"/>
                <w:sz w:val="20"/>
                <w:szCs w:val="20"/>
              </w:rPr>
              <w:t>-0.075</w:t>
            </w:r>
          </w:p>
        </w:tc>
        <w:tc>
          <w:tcPr>
            <w:tcW w:w="864" w:type="dxa"/>
            <w:tcBorders>
              <w:top w:val="nil"/>
              <w:left w:val="nil"/>
              <w:bottom w:val="nil"/>
              <w:right w:val="nil"/>
            </w:tcBorders>
            <w:shd w:val="clear" w:color="auto" w:fill="auto"/>
            <w:noWrap/>
            <w:vAlign w:val="bottom"/>
            <w:hideMark/>
          </w:tcPr>
          <w:p w14:paraId="0A89081D" w14:textId="77777777" w:rsidR="002C08DF" w:rsidRPr="00813053" w:rsidRDefault="002C08DF">
            <w:pPr>
              <w:jc w:val="right"/>
              <w:rPr>
                <w:b/>
                <w:bCs/>
                <w:color w:val="000000"/>
                <w:sz w:val="20"/>
                <w:szCs w:val="20"/>
              </w:rPr>
            </w:pPr>
            <w:r w:rsidRPr="00813053">
              <w:rPr>
                <w:b/>
                <w:bCs/>
                <w:color w:val="000000"/>
                <w:sz w:val="20"/>
                <w:szCs w:val="20"/>
              </w:rPr>
              <w:t>0.040</w:t>
            </w:r>
          </w:p>
        </w:tc>
        <w:tc>
          <w:tcPr>
            <w:tcW w:w="864" w:type="dxa"/>
            <w:tcBorders>
              <w:top w:val="nil"/>
              <w:left w:val="nil"/>
              <w:bottom w:val="nil"/>
              <w:right w:val="nil"/>
            </w:tcBorders>
            <w:shd w:val="clear" w:color="auto" w:fill="auto"/>
            <w:noWrap/>
            <w:vAlign w:val="bottom"/>
            <w:hideMark/>
          </w:tcPr>
          <w:p w14:paraId="46090385" w14:textId="77777777" w:rsidR="002C08DF" w:rsidRPr="00813053" w:rsidRDefault="002C08DF">
            <w:pPr>
              <w:jc w:val="right"/>
              <w:rPr>
                <w:b/>
                <w:bCs/>
                <w:color w:val="000000"/>
                <w:sz w:val="20"/>
                <w:szCs w:val="20"/>
              </w:rPr>
            </w:pPr>
            <w:r w:rsidRPr="00813053">
              <w:rPr>
                <w:b/>
                <w:bCs/>
                <w:color w:val="000000"/>
                <w:sz w:val="20"/>
                <w:szCs w:val="20"/>
              </w:rPr>
              <w:t>0.006</w:t>
            </w:r>
          </w:p>
        </w:tc>
      </w:tr>
      <w:tr w:rsidR="002C08DF" w14:paraId="3D819B61" w14:textId="77777777" w:rsidTr="002C08DF">
        <w:trPr>
          <w:trHeight w:val="320"/>
        </w:trPr>
        <w:tc>
          <w:tcPr>
            <w:tcW w:w="1152" w:type="dxa"/>
            <w:tcBorders>
              <w:top w:val="nil"/>
              <w:left w:val="nil"/>
              <w:bottom w:val="nil"/>
              <w:right w:val="nil"/>
            </w:tcBorders>
            <w:shd w:val="clear" w:color="auto" w:fill="auto"/>
            <w:noWrap/>
            <w:vAlign w:val="bottom"/>
            <w:hideMark/>
          </w:tcPr>
          <w:p w14:paraId="372EF999"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02A31A2" w14:textId="77777777" w:rsidR="002C08DF" w:rsidRDefault="002C08DF">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DBEDF88" w14:textId="77777777" w:rsidR="002C08DF" w:rsidRDefault="002C08DF">
            <w:pPr>
              <w:jc w:val="right"/>
              <w:rPr>
                <w:b/>
                <w:bCs/>
                <w:color w:val="000000"/>
                <w:sz w:val="20"/>
                <w:szCs w:val="20"/>
              </w:rPr>
            </w:pPr>
            <w:r>
              <w:rPr>
                <w:b/>
                <w:bCs/>
                <w:color w:val="000000"/>
                <w:sz w:val="20"/>
                <w:szCs w:val="20"/>
              </w:rPr>
              <w:t>0.088</w:t>
            </w:r>
          </w:p>
        </w:tc>
        <w:tc>
          <w:tcPr>
            <w:tcW w:w="864" w:type="dxa"/>
            <w:tcBorders>
              <w:top w:val="nil"/>
              <w:left w:val="nil"/>
              <w:bottom w:val="nil"/>
              <w:right w:val="nil"/>
            </w:tcBorders>
            <w:shd w:val="clear" w:color="auto" w:fill="auto"/>
            <w:noWrap/>
            <w:vAlign w:val="bottom"/>
            <w:hideMark/>
          </w:tcPr>
          <w:p w14:paraId="6E92296A" w14:textId="77777777" w:rsidR="002C08DF" w:rsidRDefault="002C08DF">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784BAC82" w14:textId="77777777" w:rsidR="002C08DF" w:rsidRPr="00813053" w:rsidRDefault="002C08DF">
            <w:pPr>
              <w:jc w:val="right"/>
              <w:rPr>
                <w:b/>
                <w:bCs/>
                <w:color w:val="000000"/>
                <w:sz w:val="20"/>
                <w:szCs w:val="20"/>
              </w:rPr>
            </w:pPr>
            <w:r w:rsidRPr="00813053">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0A25F1BD" w14:textId="77777777" w:rsidR="002C08DF" w:rsidRPr="00813053" w:rsidRDefault="002C08DF">
            <w:pPr>
              <w:jc w:val="right"/>
              <w:rPr>
                <w:b/>
                <w:bCs/>
                <w:color w:val="000000"/>
                <w:sz w:val="20"/>
                <w:szCs w:val="20"/>
              </w:rPr>
            </w:pPr>
            <w:r w:rsidRPr="00813053">
              <w:rPr>
                <w:b/>
                <w:bCs/>
                <w:color w:val="000000"/>
                <w:sz w:val="20"/>
                <w:szCs w:val="20"/>
              </w:rPr>
              <w:t>0.083</w:t>
            </w:r>
          </w:p>
        </w:tc>
        <w:tc>
          <w:tcPr>
            <w:tcW w:w="864" w:type="dxa"/>
            <w:tcBorders>
              <w:top w:val="nil"/>
              <w:left w:val="nil"/>
              <w:bottom w:val="nil"/>
              <w:right w:val="nil"/>
            </w:tcBorders>
            <w:shd w:val="clear" w:color="auto" w:fill="auto"/>
            <w:noWrap/>
            <w:vAlign w:val="bottom"/>
            <w:hideMark/>
          </w:tcPr>
          <w:p w14:paraId="6CB79289" w14:textId="77777777" w:rsidR="002C08DF" w:rsidRPr="00813053" w:rsidRDefault="002C08DF">
            <w:pPr>
              <w:jc w:val="right"/>
              <w:rPr>
                <w:b/>
                <w:bCs/>
                <w:color w:val="000000"/>
                <w:sz w:val="20"/>
                <w:szCs w:val="20"/>
              </w:rPr>
            </w:pPr>
            <w:r w:rsidRPr="00813053">
              <w:rPr>
                <w:b/>
                <w:bCs/>
                <w:color w:val="000000"/>
                <w:sz w:val="20"/>
                <w:szCs w:val="20"/>
              </w:rPr>
              <w:t>0.036</w:t>
            </w:r>
          </w:p>
        </w:tc>
        <w:tc>
          <w:tcPr>
            <w:tcW w:w="864" w:type="dxa"/>
            <w:tcBorders>
              <w:top w:val="nil"/>
              <w:left w:val="nil"/>
              <w:bottom w:val="nil"/>
              <w:right w:val="nil"/>
            </w:tcBorders>
            <w:shd w:val="clear" w:color="auto" w:fill="auto"/>
            <w:noWrap/>
            <w:vAlign w:val="bottom"/>
            <w:hideMark/>
          </w:tcPr>
          <w:p w14:paraId="597D786C" w14:textId="77777777" w:rsidR="002C08DF" w:rsidRPr="00813053" w:rsidRDefault="002C08DF">
            <w:pPr>
              <w:jc w:val="right"/>
              <w:rPr>
                <w:b/>
                <w:bCs/>
                <w:color w:val="000000"/>
                <w:sz w:val="20"/>
                <w:szCs w:val="20"/>
              </w:rPr>
            </w:pPr>
            <w:r w:rsidRPr="00813053">
              <w:rPr>
                <w:b/>
                <w:bCs/>
                <w:color w:val="000000"/>
                <w:sz w:val="20"/>
                <w:szCs w:val="20"/>
              </w:rPr>
              <w:t>0.007</w:t>
            </w:r>
          </w:p>
        </w:tc>
      </w:tr>
      <w:tr w:rsidR="002C08DF" w14:paraId="07CAB666" w14:textId="77777777" w:rsidTr="002C08DF">
        <w:trPr>
          <w:trHeight w:val="320"/>
        </w:trPr>
        <w:tc>
          <w:tcPr>
            <w:tcW w:w="1152" w:type="dxa"/>
            <w:tcBorders>
              <w:top w:val="nil"/>
              <w:left w:val="nil"/>
              <w:bottom w:val="nil"/>
              <w:right w:val="nil"/>
            </w:tcBorders>
            <w:shd w:val="clear" w:color="auto" w:fill="auto"/>
            <w:noWrap/>
            <w:vAlign w:val="bottom"/>
            <w:hideMark/>
          </w:tcPr>
          <w:p w14:paraId="3032B167"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3CC9C1A" w14:textId="77777777" w:rsidR="002C08DF" w:rsidRDefault="002C08DF">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B8D698F" w14:textId="77777777" w:rsidR="002C08DF" w:rsidRDefault="002C08DF">
            <w:pPr>
              <w:jc w:val="right"/>
              <w:rPr>
                <w:color w:val="000000"/>
                <w:sz w:val="20"/>
                <w:szCs w:val="20"/>
              </w:rPr>
            </w:pPr>
            <w:r>
              <w:rPr>
                <w:color w:val="000000"/>
                <w:sz w:val="20"/>
                <w:szCs w:val="20"/>
              </w:rPr>
              <w:t>0.035</w:t>
            </w:r>
          </w:p>
        </w:tc>
        <w:tc>
          <w:tcPr>
            <w:tcW w:w="864" w:type="dxa"/>
            <w:tcBorders>
              <w:top w:val="nil"/>
              <w:left w:val="nil"/>
              <w:bottom w:val="nil"/>
              <w:right w:val="nil"/>
            </w:tcBorders>
            <w:shd w:val="clear" w:color="auto" w:fill="auto"/>
            <w:noWrap/>
            <w:vAlign w:val="bottom"/>
            <w:hideMark/>
          </w:tcPr>
          <w:p w14:paraId="7B17842A" w14:textId="77777777" w:rsidR="002C08DF" w:rsidRDefault="002C08DF">
            <w:pPr>
              <w:jc w:val="right"/>
              <w:rPr>
                <w:color w:val="000000"/>
                <w:sz w:val="20"/>
                <w:szCs w:val="20"/>
              </w:rPr>
            </w:pPr>
            <w:r>
              <w:rPr>
                <w:color w:val="000000"/>
                <w:sz w:val="20"/>
                <w:szCs w:val="20"/>
              </w:rPr>
              <w:t>0.508</w:t>
            </w:r>
          </w:p>
        </w:tc>
        <w:tc>
          <w:tcPr>
            <w:tcW w:w="864" w:type="dxa"/>
            <w:tcBorders>
              <w:top w:val="nil"/>
              <w:left w:val="nil"/>
              <w:bottom w:val="nil"/>
              <w:right w:val="nil"/>
            </w:tcBorders>
            <w:shd w:val="clear" w:color="auto" w:fill="auto"/>
            <w:noWrap/>
            <w:vAlign w:val="bottom"/>
            <w:hideMark/>
          </w:tcPr>
          <w:p w14:paraId="50362AC7" w14:textId="77777777" w:rsidR="002C08DF" w:rsidRDefault="002C08DF">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914074F" w14:textId="77777777" w:rsidR="002C08DF" w:rsidRDefault="002C08DF">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20693492" w14:textId="77777777" w:rsidR="002C08DF" w:rsidRDefault="002C08DF">
            <w:pPr>
              <w:jc w:val="right"/>
              <w:rPr>
                <w:color w:val="000000"/>
                <w:sz w:val="20"/>
                <w:szCs w:val="20"/>
              </w:rPr>
            </w:pPr>
            <w:r>
              <w:rPr>
                <w:color w:val="000000"/>
                <w:sz w:val="20"/>
                <w:szCs w:val="20"/>
              </w:rPr>
              <w:t>0.491</w:t>
            </w:r>
          </w:p>
        </w:tc>
        <w:tc>
          <w:tcPr>
            <w:tcW w:w="864" w:type="dxa"/>
            <w:tcBorders>
              <w:top w:val="nil"/>
              <w:left w:val="nil"/>
              <w:bottom w:val="nil"/>
              <w:right w:val="nil"/>
            </w:tcBorders>
            <w:shd w:val="clear" w:color="auto" w:fill="auto"/>
            <w:noWrap/>
            <w:vAlign w:val="bottom"/>
            <w:hideMark/>
          </w:tcPr>
          <w:p w14:paraId="7F129AD4" w14:textId="77777777" w:rsidR="002C08DF" w:rsidRDefault="002C08DF">
            <w:pPr>
              <w:jc w:val="right"/>
              <w:rPr>
                <w:color w:val="000000"/>
                <w:sz w:val="20"/>
                <w:szCs w:val="20"/>
              </w:rPr>
            </w:pPr>
            <w:r>
              <w:rPr>
                <w:color w:val="000000"/>
                <w:sz w:val="20"/>
                <w:szCs w:val="20"/>
              </w:rPr>
              <w:t>0.001</w:t>
            </w:r>
          </w:p>
        </w:tc>
      </w:tr>
      <w:tr w:rsidR="002C08DF" w14:paraId="0FD941CB" w14:textId="77777777" w:rsidTr="002C08DF">
        <w:trPr>
          <w:trHeight w:val="320"/>
        </w:trPr>
        <w:tc>
          <w:tcPr>
            <w:tcW w:w="1152" w:type="dxa"/>
            <w:tcBorders>
              <w:top w:val="nil"/>
              <w:left w:val="nil"/>
              <w:bottom w:val="nil"/>
              <w:right w:val="nil"/>
            </w:tcBorders>
            <w:shd w:val="clear" w:color="auto" w:fill="auto"/>
            <w:noWrap/>
            <w:vAlign w:val="bottom"/>
            <w:hideMark/>
          </w:tcPr>
          <w:p w14:paraId="06C41271"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B04330C" w14:textId="77777777" w:rsidR="002C08DF" w:rsidRDefault="002C08DF">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B271D76" w14:textId="77777777" w:rsidR="002C08DF" w:rsidRDefault="002C08DF">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06A22A5D" w14:textId="77777777" w:rsidR="002C08DF" w:rsidRDefault="002C08DF">
            <w:pPr>
              <w:jc w:val="right"/>
              <w:rPr>
                <w:color w:val="000000"/>
                <w:sz w:val="20"/>
                <w:szCs w:val="20"/>
              </w:rPr>
            </w:pPr>
            <w:r>
              <w:rPr>
                <w:color w:val="000000"/>
                <w:sz w:val="20"/>
                <w:szCs w:val="20"/>
              </w:rPr>
              <w:t>0.508</w:t>
            </w:r>
          </w:p>
        </w:tc>
        <w:tc>
          <w:tcPr>
            <w:tcW w:w="864" w:type="dxa"/>
            <w:tcBorders>
              <w:top w:val="nil"/>
              <w:left w:val="nil"/>
              <w:bottom w:val="nil"/>
              <w:right w:val="nil"/>
            </w:tcBorders>
            <w:shd w:val="clear" w:color="auto" w:fill="auto"/>
            <w:noWrap/>
            <w:vAlign w:val="bottom"/>
            <w:hideMark/>
          </w:tcPr>
          <w:p w14:paraId="163FD3E1" w14:textId="77777777" w:rsidR="002C08DF" w:rsidRDefault="002C08DF">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9B02B04" w14:textId="77777777" w:rsidR="002C08DF" w:rsidRDefault="002C08DF">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666F0ED8" w14:textId="77777777" w:rsidR="002C08DF" w:rsidRDefault="002C08DF">
            <w:pPr>
              <w:jc w:val="right"/>
              <w:rPr>
                <w:color w:val="000000"/>
                <w:sz w:val="20"/>
                <w:szCs w:val="20"/>
              </w:rPr>
            </w:pPr>
            <w:r>
              <w:rPr>
                <w:color w:val="000000"/>
                <w:sz w:val="20"/>
                <w:szCs w:val="20"/>
              </w:rPr>
              <w:t>0.491</w:t>
            </w:r>
          </w:p>
        </w:tc>
        <w:tc>
          <w:tcPr>
            <w:tcW w:w="864" w:type="dxa"/>
            <w:tcBorders>
              <w:top w:val="nil"/>
              <w:left w:val="nil"/>
              <w:bottom w:val="nil"/>
              <w:right w:val="nil"/>
            </w:tcBorders>
            <w:shd w:val="clear" w:color="auto" w:fill="auto"/>
            <w:noWrap/>
            <w:vAlign w:val="bottom"/>
            <w:hideMark/>
          </w:tcPr>
          <w:p w14:paraId="4D995EDE" w14:textId="77777777" w:rsidR="002C08DF" w:rsidRDefault="002C08DF">
            <w:pPr>
              <w:jc w:val="right"/>
              <w:rPr>
                <w:color w:val="000000"/>
                <w:sz w:val="20"/>
                <w:szCs w:val="20"/>
              </w:rPr>
            </w:pPr>
            <w:r>
              <w:rPr>
                <w:color w:val="000000"/>
                <w:sz w:val="20"/>
                <w:szCs w:val="20"/>
              </w:rPr>
              <w:t>0.001</w:t>
            </w:r>
          </w:p>
        </w:tc>
      </w:tr>
      <w:tr w:rsidR="002C08DF" w14:paraId="05153C9A" w14:textId="77777777" w:rsidTr="002C08DF">
        <w:trPr>
          <w:trHeight w:val="320"/>
        </w:trPr>
        <w:tc>
          <w:tcPr>
            <w:tcW w:w="1152" w:type="dxa"/>
            <w:tcBorders>
              <w:top w:val="nil"/>
              <w:left w:val="nil"/>
              <w:bottom w:val="single" w:sz="4" w:space="0" w:color="auto"/>
              <w:right w:val="nil"/>
            </w:tcBorders>
            <w:shd w:val="clear" w:color="auto" w:fill="auto"/>
            <w:noWrap/>
            <w:vAlign w:val="bottom"/>
            <w:hideMark/>
          </w:tcPr>
          <w:p w14:paraId="1CBDC5BD" w14:textId="77777777" w:rsidR="002C08DF" w:rsidRDefault="002C08DF">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757B7F5" w14:textId="77777777" w:rsidR="002C08DF" w:rsidRDefault="002C08DF">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B38F2BE" w14:textId="77777777" w:rsidR="002C08DF" w:rsidRDefault="002C08DF">
            <w:pPr>
              <w:jc w:val="right"/>
              <w:rPr>
                <w:color w:val="000000"/>
                <w:sz w:val="20"/>
                <w:szCs w:val="20"/>
              </w:rPr>
            </w:pPr>
            <w:r>
              <w:rPr>
                <w:color w:val="000000"/>
                <w:sz w:val="20"/>
                <w:szCs w:val="20"/>
              </w:rPr>
              <w:t>0.032</w:t>
            </w:r>
          </w:p>
        </w:tc>
        <w:tc>
          <w:tcPr>
            <w:tcW w:w="864" w:type="dxa"/>
            <w:tcBorders>
              <w:top w:val="nil"/>
              <w:left w:val="nil"/>
              <w:bottom w:val="single" w:sz="4" w:space="0" w:color="auto"/>
              <w:right w:val="nil"/>
            </w:tcBorders>
            <w:shd w:val="clear" w:color="auto" w:fill="auto"/>
            <w:noWrap/>
            <w:vAlign w:val="bottom"/>
            <w:hideMark/>
          </w:tcPr>
          <w:p w14:paraId="12C53A78" w14:textId="77777777" w:rsidR="002C08DF" w:rsidRDefault="002C08DF">
            <w:pPr>
              <w:jc w:val="right"/>
              <w:rPr>
                <w:color w:val="000000"/>
                <w:sz w:val="20"/>
                <w:szCs w:val="20"/>
              </w:rPr>
            </w:pPr>
            <w:r>
              <w:rPr>
                <w:color w:val="000000"/>
                <w:sz w:val="20"/>
                <w:szCs w:val="20"/>
              </w:rPr>
              <w:t>0.508</w:t>
            </w:r>
          </w:p>
        </w:tc>
        <w:tc>
          <w:tcPr>
            <w:tcW w:w="864" w:type="dxa"/>
            <w:tcBorders>
              <w:top w:val="nil"/>
              <w:left w:val="nil"/>
              <w:bottom w:val="single" w:sz="4" w:space="0" w:color="auto"/>
              <w:right w:val="nil"/>
            </w:tcBorders>
            <w:shd w:val="clear" w:color="auto" w:fill="auto"/>
            <w:noWrap/>
            <w:vAlign w:val="bottom"/>
            <w:hideMark/>
          </w:tcPr>
          <w:p w14:paraId="3360C019" w14:textId="77777777" w:rsidR="002C08DF" w:rsidRDefault="002C08DF">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21B642E5" w14:textId="77777777" w:rsidR="002C08DF" w:rsidRDefault="002C08DF">
            <w:pPr>
              <w:jc w:val="right"/>
              <w:rPr>
                <w:color w:val="000000"/>
                <w:sz w:val="20"/>
                <w:szCs w:val="20"/>
              </w:rPr>
            </w:pPr>
            <w:r>
              <w:rPr>
                <w:color w:val="000000"/>
                <w:sz w:val="20"/>
                <w:szCs w:val="20"/>
              </w:rPr>
              <w:t>0.058</w:t>
            </w:r>
          </w:p>
        </w:tc>
        <w:tc>
          <w:tcPr>
            <w:tcW w:w="864" w:type="dxa"/>
            <w:tcBorders>
              <w:top w:val="nil"/>
              <w:left w:val="nil"/>
              <w:bottom w:val="single" w:sz="4" w:space="0" w:color="auto"/>
              <w:right w:val="nil"/>
            </w:tcBorders>
            <w:shd w:val="clear" w:color="auto" w:fill="auto"/>
            <w:noWrap/>
            <w:vAlign w:val="bottom"/>
            <w:hideMark/>
          </w:tcPr>
          <w:p w14:paraId="68310D6D" w14:textId="77777777" w:rsidR="002C08DF" w:rsidRDefault="002C08DF">
            <w:pPr>
              <w:jc w:val="right"/>
              <w:rPr>
                <w:color w:val="000000"/>
                <w:sz w:val="20"/>
                <w:szCs w:val="20"/>
              </w:rPr>
            </w:pPr>
            <w:r>
              <w:rPr>
                <w:color w:val="000000"/>
                <w:sz w:val="20"/>
                <w:szCs w:val="20"/>
              </w:rPr>
              <w:t>0.134</w:t>
            </w:r>
          </w:p>
        </w:tc>
        <w:tc>
          <w:tcPr>
            <w:tcW w:w="864" w:type="dxa"/>
            <w:tcBorders>
              <w:top w:val="nil"/>
              <w:left w:val="nil"/>
              <w:bottom w:val="single" w:sz="4" w:space="0" w:color="auto"/>
              <w:right w:val="nil"/>
            </w:tcBorders>
            <w:shd w:val="clear" w:color="auto" w:fill="auto"/>
            <w:noWrap/>
            <w:vAlign w:val="bottom"/>
            <w:hideMark/>
          </w:tcPr>
          <w:p w14:paraId="3CDCFE51" w14:textId="77777777" w:rsidR="002C08DF" w:rsidRDefault="002C08DF">
            <w:pPr>
              <w:jc w:val="right"/>
              <w:rPr>
                <w:color w:val="000000"/>
                <w:sz w:val="20"/>
                <w:szCs w:val="20"/>
              </w:rPr>
            </w:pPr>
            <w:r>
              <w:rPr>
                <w:color w:val="000000"/>
                <w:sz w:val="20"/>
                <w:szCs w:val="20"/>
              </w:rPr>
              <w:t>0.003</w:t>
            </w:r>
          </w:p>
        </w:tc>
      </w:tr>
      <w:tr w:rsidR="002C08DF" w14:paraId="5266ADF0" w14:textId="77777777" w:rsidTr="002C08DF">
        <w:trPr>
          <w:trHeight w:val="320"/>
        </w:trPr>
        <w:tc>
          <w:tcPr>
            <w:tcW w:w="1152" w:type="dxa"/>
            <w:tcBorders>
              <w:top w:val="nil"/>
              <w:left w:val="nil"/>
              <w:bottom w:val="nil"/>
              <w:right w:val="nil"/>
            </w:tcBorders>
            <w:shd w:val="clear" w:color="auto" w:fill="auto"/>
            <w:noWrap/>
            <w:vAlign w:val="bottom"/>
            <w:hideMark/>
          </w:tcPr>
          <w:p w14:paraId="1AC284E3" w14:textId="77777777" w:rsidR="002C08DF" w:rsidRDefault="002C08DF">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3370C0FF" w14:textId="77777777" w:rsidR="002C08DF" w:rsidRDefault="002C08DF">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7A8C9E3" w14:textId="77777777" w:rsidR="002C08DF" w:rsidRDefault="002C08DF">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7155B55F" w14:textId="77777777" w:rsidR="002C08DF" w:rsidRDefault="002C08DF">
            <w:pPr>
              <w:jc w:val="right"/>
              <w:rPr>
                <w:color w:val="000000"/>
                <w:sz w:val="20"/>
                <w:szCs w:val="20"/>
              </w:rPr>
            </w:pPr>
            <w:r>
              <w:rPr>
                <w:color w:val="000000"/>
                <w:sz w:val="20"/>
                <w:szCs w:val="20"/>
              </w:rPr>
              <w:t>0.588</w:t>
            </w:r>
          </w:p>
        </w:tc>
        <w:tc>
          <w:tcPr>
            <w:tcW w:w="864" w:type="dxa"/>
            <w:tcBorders>
              <w:top w:val="nil"/>
              <w:left w:val="nil"/>
              <w:bottom w:val="nil"/>
              <w:right w:val="nil"/>
            </w:tcBorders>
            <w:shd w:val="clear" w:color="auto" w:fill="auto"/>
            <w:noWrap/>
            <w:vAlign w:val="bottom"/>
            <w:hideMark/>
          </w:tcPr>
          <w:p w14:paraId="001BE84A" w14:textId="77777777" w:rsidR="002C08DF" w:rsidRDefault="002C08DF">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9AB0C37" w14:textId="77777777" w:rsidR="002C08DF" w:rsidRDefault="002C08DF">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42006FB3" w14:textId="77777777" w:rsidR="002C08DF" w:rsidRDefault="002C08DF">
            <w:pPr>
              <w:jc w:val="right"/>
              <w:rPr>
                <w:color w:val="000000"/>
                <w:sz w:val="20"/>
                <w:szCs w:val="20"/>
              </w:rPr>
            </w:pPr>
            <w:r>
              <w:rPr>
                <w:color w:val="000000"/>
                <w:sz w:val="20"/>
                <w:szCs w:val="20"/>
              </w:rPr>
              <w:t>0.557</w:t>
            </w:r>
          </w:p>
        </w:tc>
        <w:tc>
          <w:tcPr>
            <w:tcW w:w="864" w:type="dxa"/>
            <w:tcBorders>
              <w:top w:val="nil"/>
              <w:left w:val="nil"/>
              <w:bottom w:val="nil"/>
              <w:right w:val="nil"/>
            </w:tcBorders>
            <w:shd w:val="clear" w:color="auto" w:fill="auto"/>
            <w:noWrap/>
            <w:vAlign w:val="bottom"/>
            <w:hideMark/>
          </w:tcPr>
          <w:p w14:paraId="25CA0676" w14:textId="77777777" w:rsidR="002C08DF" w:rsidRDefault="002C08DF">
            <w:pPr>
              <w:jc w:val="right"/>
              <w:rPr>
                <w:color w:val="000000"/>
                <w:sz w:val="20"/>
                <w:szCs w:val="20"/>
              </w:rPr>
            </w:pPr>
            <w:r>
              <w:rPr>
                <w:color w:val="000000"/>
                <w:sz w:val="20"/>
                <w:szCs w:val="20"/>
              </w:rPr>
              <w:t>0.001</w:t>
            </w:r>
          </w:p>
        </w:tc>
      </w:tr>
      <w:tr w:rsidR="002C08DF" w14:paraId="31D38F6F" w14:textId="77777777" w:rsidTr="002C08DF">
        <w:trPr>
          <w:trHeight w:val="320"/>
        </w:trPr>
        <w:tc>
          <w:tcPr>
            <w:tcW w:w="1152" w:type="dxa"/>
            <w:tcBorders>
              <w:top w:val="nil"/>
              <w:left w:val="nil"/>
              <w:bottom w:val="nil"/>
              <w:right w:val="nil"/>
            </w:tcBorders>
            <w:shd w:val="clear" w:color="auto" w:fill="auto"/>
            <w:noWrap/>
            <w:vAlign w:val="bottom"/>
            <w:hideMark/>
          </w:tcPr>
          <w:p w14:paraId="482BBE8F"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13A3CC7" w14:textId="77777777" w:rsidR="002C08DF" w:rsidRDefault="002C08DF">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23A8D69" w14:textId="77777777" w:rsidR="002C08DF" w:rsidRDefault="002C08DF">
            <w:pPr>
              <w:jc w:val="right"/>
              <w:rPr>
                <w:color w:val="000000"/>
                <w:sz w:val="20"/>
                <w:szCs w:val="20"/>
              </w:rPr>
            </w:pPr>
            <w:r>
              <w:rPr>
                <w:color w:val="000000"/>
                <w:sz w:val="20"/>
                <w:szCs w:val="20"/>
              </w:rPr>
              <w:t>0.087</w:t>
            </w:r>
          </w:p>
        </w:tc>
        <w:tc>
          <w:tcPr>
            <w:tcW w:w="864" w:type="dxa"/>
            <w:tcBorders>
              <w:top w:val="nil"/>
              <w:left w:val="nil"/>
              <w:bottom w:val="nil"/>
              <w:right w:val="nil"/>
            </w:tcBorders>
            <w:shd w:val="clear" w:color="auto" w:fill="auto"/>
            <w:noWrap/>
            <w:vAlign w:val="bottom"/>
            <w:hideMark/>
          </w:tcPr>
          <w:p w14:paraId="5B4FDD4B" w14:textId="77777777" w:rsidR="002C08DF" w:rsidRDefault="002C08DF">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21E97285" w14:textId="77777777" w:rsidR="002C08DF" w:rsidRDefault="002C08DF">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13DB1DDA" w14:textId="77777777" w:rsidR="002C08DF" w:rsidRPr="00813053" w:rsidRDefault="002C08DF">
            <w:pPr>
              <w:jc w:val="right"/>
              <w:rPr>
                <w:b/>
                <w:bCs/>
                <w:color w:val="000000"/>
                <w:sz w:val="20"/>
                <w:szCs w:val="20"/>
              </w:rPr>
            </w:pPr>
            <w:r w:rsidRPr="00813053">
              <w:rPr>
                <w:b/>
                <w:bCs/>
                <w:color w:val="000000"/>
                <w:sz w:val="20"/>
                <w:szCs w:val="20"/>
              </w:rPr>
              <w:t>0.080</w:t>
            </w:r>
          </w:p>
        </w:tc>
        <w:tc>
          <w:tcPr>
            <w:tcW w:w="864" w:type="dxa"/>
            <w:tcBorders>
              <w:top w:val="nil"/>
              <w:left w:val="nil"/>
              <w:bottom w:val="nil"/>
              <w:right w:val="nil"/>
            </w:tcBorders>
            <w:shd w:val="clear" w:color="auto" w:fill="auto"/>
            <w:noWrap/>
            <w:vAlign w:val="bottom"/>
            <w:hideMark/>
          </w:tcPr>
          <w:p w14:paraId="5814FD40" w14:textId="77777777" w:rsidR="002C08DF" w:rsidRPr="00813053" w:rsidRDefault="002C08DF">
            <w:pPr>
              <w:jc w:val="right"/>
              <w:rPr>
                <w:b/>
                <w:bCs/>
                <w:color w:val="000000"/>
                <w:sz w:val="20"/>
                <w:szCs w:val="20"/>
              </w:rPr>
            </w:pPr>
            <w:r w:rsidRPr="00813053">
              <w:rPr>
                <w:b/>
                <w:bCs/>
                <w:color w:val="000000"/>
                <w:sz w:val="20"/>
                <w:szCs w:val="20"/>
              </w:rPr>
              <w:t>0.027</w:t>
            </w:r>
          </w:p>
        </w:tc>
        <w:tc>
          <w:tcPr>
            <w:tcW w:w="864" w:type="dxa"/>
            <w:tcBorders>
              <w:top w:val="nil"/>
              <w:left w:val="nil"/>
              <w:bottom w:val="nil"/>
              <w:right w:val="nil"/>
            </w:tcBorders>
            <w:shd w:val="clear" w:color="auto" w:fill="auto"/>
            <w:noWrap/>
            <w:vAlign w:val="bottom"/>
            <w:hideMark/>
          </w:tcPr>
          <w:p w14:paraId="38445DE9" w14:textId="77777777" w:rsidR="002C08DF" w:rsidRPr="00813053" w:rsidRDefault="002C08DF">
            <w:pPr>
              <w:jc w:val="right"/>
              <w:rPr>
                <w:b/>
                <w:bCs/>
                <w:color w:val="000000"/>
                <w:sz w:val="20"/>
                <w:szCs w:val="20"/>
              </w:rPr>
            </w:pPr>
            <w:r w:rsidRPr="00813053">
              <w:rPr>
                <w:b/>
                <w:bCs/>
                <w:color w:val="000000"/>
                <w:sz w:val="20"/>
                <w:szCs w:val="20"/>
              </w:rPr>
              <w:t>0.006</w:t>
            </w:r>
          </w:p>
        </w:tc>
      </w:tr>
      <w:tr w:rsidR="002C08DF" w14:paraId="1012CEA9" w14:textId="77777777" w:rsidTr="002C08DF">
        <w:trPr>
          <w:trHeight w:val="320"/>
        </w:trPr>
        <w:tc>
          <w:tcPr>
            <w:tcW w:w="1152" w:type="dxa"/>
            <w:tcBorders>
              <w:top w:val="nil"/>
              <w:left w:val="nil"/>
              <w:bottom w:val="nil"/>
              <w:right w:val="nil"/>
            </w:tcBorders>
            <w:shd w:val="clear" w:color="auto" w:fill="auto"/>
            <w:noWrap/>
            <w:vAlign w:val="bottom"/>
            <w:hideMark/>
          </w:tcPr>
          <w:p w14:paraId="1C325C5C"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30DF064" w14:textId="77777777" w:rsidR="002C08DF" w:rsidRDefault="002C08DF">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8CC044B" w14:textId="77777777" w:rsidR="002C08DF" w:rsidRDefault="002C08DF">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25CD9487" w14:textId="77777777" w:rsidR="002C08DF" w:rsidRDefault="002C08DF">
            <w:pPr>
              <w:jc w:val="right"/>
              <w:rPr>
                <w:color w:val="000000"/>
                <w:sz w:val="20"/>
                <w:szCs w:val="20"/>
              </w:rPr>
            </w:pPr>
            <w:r>
              <w:rPr>
                <w:color w:val="000000"/>
                <w:sz w:val="20"/>
                <w:szCs w:val="20"/>
              </w:rPr>
              <w:t>0.620</w:t>
            </w:r>
          </w:p>
        </w:tc>
        <w:tc>
          <w:tcPr>
            <w:tcW w:w="864" w:type="dxa"/>
            <w:tcBorders>
              <w:top w:val="nil"/>
              <w:left w:val="nil"/>
              <w:bottom w:val="nil"/>
              <w:right w:val="nil"/>
            </w:tcBorders>
            <w:shd w:val="clear" w:color="auto" w:fill="auto"/>
            <w:noWrap/>
            <w:vAlign w:val="bottom"/>
            <w:hideMark/>
          </w:tcPr>
          <w:p w14:paraId="5AC7CC5E" w14:textId="77777777" w:rsidR="002C08DF" w:rsidRDefault="002C08DF">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DF81D5F" w14:textId="77777777" w:rsidR="002C08DF" w:rsidRDefault="002C08DF">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728B9C93" w14:textId="77777777" w:rsidR="002C08DF" w:rsidRDefault="002C08DF">
            <w:pPr>
              <w:jc w:val="right"/>
              <w:rPr>
                <w:color w:val="000000"/>
                <w:sz w:val="20"/>
                <w:szCs w:val="20"/>
              </w:rPr>
            </w:pPr>
            <w:r>
              <w:rPr>
                <w:color w:val="000000"/>
                <w:sz w:val="20"/>
                <w:szCs w:val="20"/>
              </w:rPr>
              <w:t>0.790</w:t>
            </w:r>
          </w:p>
        </w:tc>
        <w:tc>
          <w:tcPr>
            <w:tcW w:w="864" w:type="dxa"/>
            <w:tcBorders>
              <w:top w:val="nil"/>
              <w:left w:val="nil"/>
              <w:bottom w:val="nil"/>
              <w:right w:val="nil"/>
            </w:tcBorders>
            <w:shd w:val="clear" w:color="auto" w:fill="auto"/>
            <w:noWrap/>
            <w:vAlign w:val="bottom"/>
            <w:hideMark/>
          </w:tcPr>
          <w:p w14:paraId="7102B626" w14:textId="77777777" w:rsidR="002C08DF" w:rsidRDefault="002C08DF">
            <w:pPr>
              <w:jc w:val="right"/>
              <w:rPr>
                <w:color w:val="000000"/>
                <w:sz w:val="20"/>
                <w:szCs w:val="20"/>
              </w:rPr>
            </w:pPr>
            <w:r>
              <w:rPr>
                <w:color w:val="000000"/>
                <w:sz w:val="20"/>
                <w:szCs w:val="20"/>
              </w:rPr>
              <w:t>0.000</w:t>
            </w:r>
          </w:p>
        </w:tc>
      </w:tr>
      <w:tr w:rsidR="002C08DF" w14:paraId="294D9AE5" w14:textId="77777777" w:rsidTr="002C08DF">
        <w:trPr>
          <w:trHeight w:val="320"/>
        </w:trPr>
        <w:tc>
          <w:tcPr>
            <w:tcW w:w="1152" w:type="dxa"/>
            <w:tcBorders>
              <w:top w:val="nil"/>
              <w:left w:val="nil"/>
              <w:bottom w:val="nil"/>
              <w:right w:val="nil"/>
            </w:tcBorders>
            <w:shd w:val="clear" w:color="auto" w:fill="auto"/>
            <w:noWrap/>
            <w:vAlign w:val="bottom"/>
            <w:hideMark/>
          </w:tcPr>
          <w:p w14:paraId="3C8EF0CD"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2B8C648" w14:textId="77777777" w:rsidR="002C08DF" w:rsidRDefault="002C08DF">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59BA1E2" w14:textId="77777777" w:rsidR="002C08DF" w:rsidRDefault="002C08DF">
            <w:pPr>
              <w:jc w:val="right"/>
              <w:rPr>
                <w:color w:val="000000"/>
                <w:sz w:val="20"/>
                <w:szCs w:val="20"/>
              </w:rPr>
            </w:pPr>
            <w:r>
              <w:rPr>
                <w:color w:val="000000"/>
                <w:sz w:val="20"/>
                <w:szCs w:val="20"/>
              </w:rPr>
              <w:t>-0.079</w:t>
            </w:r>
          </w:p>
        </w:tc>
        <w:tc>
          <w:tcPr>
            <w:tcW w:w="864" w:type="dxa"/>
            <w:tcBorders>
              <w:top w:val="nil"/>
              <w:left w:val="nil"/>
              <w:bottom w:val="nil"/>
              <w:right w:val="nil"/>
            </w:tcBorders>
            <w:shd w:val="clear" w:color="auto" w:fill="auto"/>
            <w:noWrap/>
            <w:vAlign w:val="bottom"/>
            <w:hideMark/>
          </w:tcPr>
          <w:p w14:paraId="0E9E19E5" w14:textId="77777777" w:rsidR="002C08DF" w:rsidRDefault="002C08DF">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625421E8" w14:textId="77777777" w:rsidR="002C08DF" w:rsidRDefault="002C08DF">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50A5B891" w14:textId="77777777" w:rsidR="002C08DF" w:rsidRPr="00813053" w:rsidRDefault="002C08DF">
            <w:pPr>
              <w:jc w:val="right"/>
              <w:rPr>
                <w:b/>
                <w:bCs/>
                <w:color w:val="000000"/>
                <w:sz w:val="20"/>
                <w:szCs w:val="20"/>
              </w:rPr>
            </w:pPr>
            <w:r w:rsidRPr="00813053">
              <w:rPr>
                <w:b/>
                <w:bCs/>
                <w:color w:val="000000"/>
                <w:sz w:val="20"/>
                <w:szCs w:val="20"/>
              </w:rPr>
              <w:t>-0.075</w:t>
            </w:r>
          </w:p>
        </w:tc>
        <w:tc>
          <w:tcPr>
            <w:tcW w:w="864" w:type="dxa"/>
            <w:tcBorders>
              <w:top w:val="nil"/>
              <w:left w:val="nil"/>
              <w:bottom w:val="nil"/>
              <w:right w:val="nil"/>
            </w:tcBorders>
            <w:shd w:val="clear" w:color="auto" w:fill="auto"/>
            <w:noWrap/>
            <w:vAlign w:val="bottom"/>
            <w:hideMark/>
          </w:tcPr>
          <w:p w14:paraId="00A6731D" w14:textId="77777777" w:rsidR="002C08DF" w:rsidRPr="00813053" w:rsidRDefault="002C08DF">
            <w:pPr>
              <w:jc w:val="right"/>
              <w:rPr>
                <w:b/>
                <w:bCs/>
                <w:color w:val="000000"/>
                <w:sz w:val="20"/>
                <w:szCs w:val="20"/>
              </w:rPr>
            </w:pPr>
            <w:r w:rsidRPr="00813053">
              <w:rPr>
                <w:b/>
                <w:bCs/>
                <w:color w:val="000000"/>
                <w:sz w:val="20"/>
                <w:szCs w:val="20"/>
              </w:rPr>
              <w:t>0.027</w:t>
            </w:r>
          </w:p>
        </w:tc>
        <w:tc>
          <w:tcPr>
            <w:tcW w:w="864" w:type="dxa"/>
            <w:tcBorders>
              <w:top w:val="nil"/>
              <w:left w:val="nil"/>
              <w:bottom w:val="nil"/>
              <w:right w:val="nil"/>
            </w:tcBorders>
            <w:shd w:val="clear" w:color="auto" w:fill="auto"/>
            <w:noWrap/>
            <w:vAlign w:val="bottom"/>
            <w:hideMark/>
          </w:tcPr>
          <w:p w14:paraId="0C9ACA3F" w14:textId="77777777" w:rsidR="002C08DF" w:rsidRPr="00813053" w:rsidRDefault="002C08DF">
            <w:pPr>
              <w:jc w:val="right"/>
              <w:rPr>
                <w:b/>
                <w:bCs/>
                <w:color w:val="000000"/>
                <w:sz w:val="20"/>
                <w:szCs w:val="20"/>
              </w:rPr>
            </w:pPr>
            <w:r w:rsidRPr="00813053">
              <w:rPr>
                <w:b/>
                <w:bCs/>
                <w:color w:val="000000"/>
                <w:sz w:val="20"/>
                <w:szCs w:val="20"/>
              </w:rPr>
              <w:t>0.006</w:t>
            </w:r>
          </w:p>
        </w:tc>
      </w:tr>
      <w:tr w:rsidR="002C08DF" w14:paraId="04F1E327" w14:textId="77777777" w:rsidTr="002C08DF">
        <w:trPr>
          <w:trHeight w:val="320"/>
        </w:trPr>
        <w:tc>
          <w:tcPr>
            <w:tcW w:w="1152" w:type="dxa"/>
            <w:tcBorders>
              <w:top w:val="nil"/>
              <w:left w:val="nil"/>
              <w:bottom w:val="nil"/>
              <w:right w:val="nil"/>
            </w:tcBorders>
            <w:shd w:val="clear" w:color="auto" w:fill="auto"/>
            <w:noWrap/>
            <w:vAlign w:val="bottom"/>
            <w:hideMark/>
          </w:tcPr>
          <w:p w14:paraId="213C1787"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95F4716" w14:textId="77777777" w:rsidR="002C08DF" w:rsidRDefault="002C08DF">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7736D930" w14:textId="77777777" w:rsidR="002C08DF" w:rsidRDefault="002C08DF">
            <w:pPr>
              <w:jc w:val="right"/>
              <w:rPr>
                <w:color w:val="000000"/>
                <w:sz w:val="20"/>
                <w:szCs w:val="20"/>
              </w:rPr>
            </w:pPr>
            <w:r>
              <w:rPr>
                <w:color w:val="000000"/>
                <w:sz w:val="20"/>
                <w:szCs w:val="20"/>
              </w:rPr>
              <w:t>0.062</w:t>
            </w:r>
          </w:p>
        </w:tc>
        <w:tc>
          <w:tcPr>
            <w:tcW w:w="864" w:type="dxa"/>
            <w:tcBorders>
              <w:top w:val="nil"/>
              <w:left w:val="nil"/>
              <w:bottom w:val="nil"/>
              <w:right w:val="nil"/>
            </w:tcBorders>
            <w:shd w:val="clear" w:color="auto" w:fill="auto"/>
            <w:noWrap/>
            <w:vAlign w:val="bottom"/>
            <w:hideMark/>
          </w:tcPr>
          <w:p w14:paraId="0E3705DB" w14:textId="77777777" w:rsidR="002C08DF" w:rsidRDefault="002C08DF">
            <w:pPr>
              <w:jc w:val="right"/>
              <w:rPr>
                <w:color w:val="000000"/>
                <w:sz w:val="20"/>
                <w:szCs w:val="20"/>
              </w:rPr>
            </w:pPr>
            <w:r>
              <w:rPr>
                <w:color w:val="000000"/>
                <w:sz w:val="20"/>
                <w:szCs w:val="20"/>
              </w:rPr>
              <w:t>0.139</w:t>
            </w:r>
          </w:p>
        </w:tc>
        <w:tc>
          <w:tcPr>
            <w:tcW w:w="864" w:type="dxa"/>
            <w:tcBorders>
              <w:top w:val="nil"/>
              <w:left w:val="nil"/>
              <w:bottom w:val="nil"/>
              <w:right w:val="nil"/>
            </w:tcBorders>
            <w:shd w:val="clear" w:color="auto" w:fill="auto"/>
            <w:noWrap/>
            <w:vAlign w:val="bottom"/>
            <w:hideMark/>
          </w:tcPr>
          <w:p w14:paraId="6FE864B8" w14:textId="77777777" w:rsidR="002C08DF" w:rsidRDefault="002C08DF">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416CCF98" w14:textId="77777777" w:rsidR="002C08DF" w:rsidRPr="00813053" w:rsidRDefault="002C08DF">
            <w:pPr>
              <w:jc w:val="right"/>
              <w:rPr>
                <w:b/>
                <w:bCs/>
                <w:color w:val="000000"/>
                <w:sz w:val="20"/>
                <w:szCs w:val="20"/>
              </w:rPr>
            </w:pPr>
            <w:r w:rsidRPr="00813053">
              <w:rPr>
                <w:b/>
                <w:bCs/>
                <w:color w:val="000000"/>
                <w:sz w:val="20"/>
                <w:szCs w:val="20"/>
              </w:rPr>
              <w:t>0.076</w:t>
            </w:r>
          </w:p>
        </w:tc>
        <w:tc>
          <w:tcPr>
            <w:tcW w:w="864" w:type="dxa"/>
            <w:tcBorders>
              <w:top w:val="nil"/>
              <w:left w:val="nil"/>
              <w:bottom w:val="nil"/>
              <w:right w:val="nil"/>
            </w:tcBorders>
            <w:shd w:val="clear" w:color="auto" w:fill="auto"/>
            <w:noWrap/>
            <w:vAlign w:val="bottom"/>
            <w:hideMark/>
          </w:tcPr>
          <w:p w14:paraId="0664D1AA" w14:textId="77777777" w:rsidR="002C08DF" w:rsidRPr="00813053" w:rsidRDefault="002C08DF">
            <w:pPr>
              <w:jc w:val="right"/>
              <w:rPr>
                <w:b/>
                <w:bCs/>
                <w:color w:val="000000"/>
                <w:sz w:val="20"/>
                <w:szCs w:val="20"/>
              </w:rPr>
            </w:pPr>
            <w:r w:rsidRPr="00813053">
              <w:rPr>
                <w:b/>
                <w:bCs/>
                <w:color w:val="000000"/>
                <w:sz w:val="20"/>
                <w:szCs w:val="20"/>
              </w:rPr>
              <w:t>0.027</w:t>
            </w:r>
          </w:p>
        </w:tc>
        <w:tc>
          <w:tcPr>
            <w:tcW w:w="864" w:type="dxa"/>
            <w:tcBorders>
              <w:top w:val="nil"/>
              <w:left w:val="nil"/>
              <w:bottom w:val="nil"/>
              <w:right w:val="nil"/>
            </w:tcBorders>
            <w:shd w:val="clear" w:color="auto" w:fill="auto"/>
            <w:noWrap/>
            <w:vAlign w:val="bottom"/>
            <w:hideMark/>
          </w:tcPr>
          <w:p w14:paraId="64CC1942" w14:textId="77777777" w:rsidR="002C08DF" w:rsidRPr="00813053" w:rsidRDefault="002C08DF">
            <w:pPr>
              <w:jc w:val="right"/>
              <w:rPr>
                <w:b/>
                <w:bCs/>
                <w:color w:val="000000"/>
                <w:sz w:val="20"/>
                <w:szCs w:val="20"/>
              </w:rPr>
            </w:pPr>
            <w:r w:rsidRPr="00813053">
              <w:rPr>
                <w:b/>
                <w:bCs/>
                <w:color w:val="000000"/>
                <w:sz w:val="20"/>
                <w:szCs w:val="20"/>
              </w:rPr>
              <w:t>0.006</w:t>
            </w:r>
          </w:p>
        </w:tc>
      </w:tr>
      <w:tr w:rsidR="002C08DF" w14:paraId="6B457C5D" w14:textId="77777777" w:rsidTr="002C08DF">
        <w:trPr>
          <w:trHeight w:val="320"/>
        </w:trPr>
        <w:tc>
          <w:tcPr>
            <w:tcW w:w="1152" w:type="dxa"/>
            <w:tcBorders>
              <w:top w:val="nil"/>
              <w:left w:val="nil"/>
              <w:bottom w:val="nil"/>
              <w:right w:val="nil"/>
            </w:tcBorders>
            <w:shd w:val="clear" w:color="auto" w:fill="auto"/>
            <w:noWrap/>
            <w:vAlign w:val="bottom"/>
            <w:hideMark/>
          </w:tcPr>
          <w:p w14:paraId="4EA41167"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3C8C24" w14:textId="77777777" w:rsidR="002C08DF" w:rsidRDefault="002C08DF">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38D8EDE3" w14:textId="77777777" w:rsidR="002C08DF" w:rsidRDefault="002C08DF">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752AE8C4" w14:textId="77777777" w:rsidR="002C08DF" w:rsidRDefault="002C08DF">
            <w:pPr>
              <w:jc w:val="right"/>
              <w:rPr>
                <w:color w:val="000000"/>
                <w:sz w:val="20"/>
                <w:szCs w:val="20"/>
              </w:rPr>
            </w:pPr>
            <w:r>
              <w:rPr>
                <w:color w:val="000000"/>
                <w:sz w:val="20"/>
                <w:szCs w:val="20"/>
              </w:rPr>
              <w:t>0.620</w:t>
            </w:r>
          </w:p>
        </w:tc>
        <w:tc>
          <w:tcPr>
            <w:tcW w:w="864" w:type="dxa"/>
            <w:tcBorders>
              <w:top w:val="nil"/>
              <w:left w:val="nil"/>
              <w:bottom w:val="nil"/>
              <w:right w:val="nil"/>
            </w:tcBorders>
            <w:shd w:val="clear" w:color="auto" w:fill="auto"/>
            <w:noWrap/>
            <w:vAlign w:val="bottom"/>
            <w:hideMark/>
          </w:tcPr>
          <w:p w14:paraId="0A30961A" w14:textId="77777777" w:rsidR="002C08DF" w:rsidRDefault="002C08DF">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04FB1055" w14:textId="77777777" w:rsidR="002C08DF" w:rsidRDefault="002C08DF">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2EAE38CA" w14:textId="77777777" w:rsidR="002C08DF" w:rsidRDefault="002C08DF">
            <w:pPr>
              <w:jc w:val="right"/>
              <w:rPr>
                <w:color w:val="000000"/>
                <w:sz w:val="20"/>
                <w:szCs w:val="20"/>
              </w:rPr>
            </w:pPr>
            <w:r>
              <w:rPr>
                <w:color w:val="000000"/>
                <w:sz w:val="20"/>
                <w:szCs w:val="20"/>
              </w:rPr>
              <w:t>0.790</w:t>
            </w:r>
          </w:p>
        </w:tc>
        <w:tc>
          <w:tcPr>
            <w:tcW w:w="864" w:type="dxa"/>
            <w:tcBorders>
              <w:top w:val="nil"/>
              <w:left w:val="nil"/>
              <w:bottom w:val="nil"/>
              <w:right w:val="nil"/>
            </w:tcBorders>
            <w:shd w:val="clear" w:color="auto" w:fill="auto"/>
            <w:noWrap/>
            <w:vAlign w:val="bottom"/>
            <w:hideMark/>
          </w:tcPr>
          <w:p w14:paraId="6CC561CA" w14:textId="77777777" w:rsidR="002C08DF" w:rsidRDefault="002C08DF">
            <w:pPr>
              <w:jc w:val="right"/>
              <w:rPr>
                <w:color w:val="000000"/>
                <w:sz w:val="20"/>
                <w:szCs w:val="20"/>
              </w:rPr>
            </w:pPr>
            <w:r>
              <w:rPr>
                <w:color w:val="000000"/>
                <w:sz w:val="20"/>
                <w:szCs w:val="20"/>
              </w:rPr>
              <w:t>0.000</w:t>
            </w:r>
          </w:p>
        </w:tc>
      </w:tr>
      <w:tr w:rsidR="002C08DF" w14:paraId="03230F33" w14:textId="77777777" w:rsidTr="002C08DF">
        <w:trPr>
          <w:trHeight w:val="320"/>
        </w:trPr>
        <w:tc>
          <w:tcPr>
            <w:tcW w:w="1152" w:type="dxa"/>
            <w:tcBorders>
              <w:top w:val="nil"/>
              <w:left w:val="nil"/>
              <w:bottom w:val="nil"/>
              <w:right w:val="nil"/>
            </w:tcBorders>
            <w:shd w:val="clear" w:color="auto" w:fill="auto"/>
            <w:noWrap/>
            <w:vAlign w:val="bottom"/>
            <w:hideMark/>
          </w:tcPr>
          <w:p w14:paraId="63C0F0E5" w14:textId="77777777" w:rsidR="002C08DF" w:rsidRDefault="002C08DF">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BE67DCB" w14:textId="77777777" w:rsidR="002C08DF" w:rsidRDefault="002C08DF">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5474D792" w14:textId="77777777" w:rsidR="002C08DF" w:rsidRDefault="002C08DF">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17EDB93" w14:textId="77777777" w:rsidR="002C08DF" w:rsidRDefault="002C08DF">
            <w:pPr>
              <w:jc w:val="right"/>
              <w:rPr>
                <w:color w:val="000000"/>
                <w:sz w:val="20"/>
                <w:szCs w:val="20"/>
              </w:rPr>
            </w:pPr>
            <w:r>
              <w:rPr>
                <w:color w:val="000000"/>
                <w:sz w:val="20"/>
                <w:szCs w:val="20"/>
              </w:rPr>
              <w:t>0.955</w:t>
            </w:r>
          </w:p>
        </w:tc>
        <w:tc>
          <w:tcPr>
            <w:tcW w:w="864" w:type="dxa"/>
            <w:tcBorders>
              <w:top w:val="nil"/>
              <w:left w:val="nil"/>
              <w:bottom w:val="nil"/>
              <w:right w:val="nil"/>
            </w:tcBorders>
            <w:shd w:val="clear" w:color="auto" w:fill="auto"/>
            <w:noWrap/>
            <w:vAlign w:val="bottom"/>
            <w:hideMark/>
          </w:tcPr>
          <w:p w14:paraId="1ABA6095"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B180739" w14:textId="77777777" w:rsidR="002C08DF" w:rsidRDefault="002C08DF">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63DA0067" w14:textId="77777777" w:rsidR="002C08DF" w:rsidRDefault="002C08DF">
            <w:pPr>
              <w:jc w:val="right"/>
              <w:rPr>
                <w:color w:val="000000"/>
                <w:sz w:val="20"/>
                <w:szCs w:val="20"/>
              </w:rPr>
            </w:pPr>
            <w:r>
              <w:rPr>
                <w:color w:val="000000"/>
                <w:sz w:val="20"/>
                <w:szCs w:val="20"/>
              </w:rPr>
              <w:t>0.790</w:t>
            </w:r>
          </w:p>
        </w:tc>
        <w:tc>
          <w:tcPr>
            <w:tcW w:w="864" w:type="dxa"/>
            <w:tcBorders>
              <w:top w:val="nil"/>
              <w:left w:val="nil"/>
              <w:bottom w:val="nil"/>
              <w:right w:val="nil"/>
            </w:tcBorders>
            <w:shd w:val="clear" w:color="auto" w:fill="auto"/>
            <w:noWrap/>
            <w:vAlign w:val="bottom"/>
            <w:hideMark/>
          </w:tcPr>
          <w:p w14:paraId="3D4E626F" w14:textId="77777777" w:rsidR="002C08DF" w:rsidRDefault="002C08DF">
            <w:pPr>
              <w:jc w:val="right"/>
              <w:rPr>
                <w:color w:val="000000"/>
                <w:sz w:val="20"/>
                <w:szCs w:val="20"/>
              </w:rPr>
            </w:pPr>
            <w:r>
              <w:rPr>
                <w:color w:val="000000"/>
                <w:sz w:val="20"/>
                <w:szCs w:val="20"/>
              </w:rPr>
              <w:t>0.000</w:t>
            </w:r>
          </w:p>
        </w:tc>
      </w:tr>
      <w:tr w:rsidR="002C08DF" w14:paraId="4F3B4186"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730AC6F4" w14:textId="77777777" w:rsidR="002C08DF" w:rsidRDefault="002C08DF">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7F7F7E04" w14:textId="77777777" w:rsidR="002C08DF" w:rsidRDefault="002C08DF">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59126EA4" w14:textId="77777777" w:rsidR="002C08DF" w:rsidRDefault="002C08DF">
            <w:pPr>
              <w:jc w:val="right"/>
              <w:rPr>
                <w:color w:val="000000"/>
                <w:sz w:val="20"/>
                <w:szCs w:val="20"/>
              </w:rPr>
            </w:pPr>
            <w:r>
              <w:rPr>
                <w:color w:val="000000"/>
                <w:sz w:val="20"/>
                <w:szCs w:val="20"/>
              </w:rPr>
              <w:t>0.015</w:t>
            </w:r>
          </w:p>
        </w:tc>
        <w:tc>
          <w:tcPr>
            <w:tcW w:w="864" w:type="dxa"/>
            <w:tcBorders>
              <w:top w:val="nil"/>
              <w:left w:val="nil"/>
              <w:bottom w:val="single" w:sz="12" w:space="0" w:color="auto"/>
              <w:right w:val="nil"/>
            </w:tcBorders>
            <w:shd w:val="clear" w:color="auto" w:fill="auto"/>
            <w:noWrap/>
            <w:vAlign w:val="bottom"/>
            <w:hideMark/>
          </w:tcPr>
          <w:p w14:paraId="332B67EA" w14:textId="77777777" w:rsidR="002C08DF" w:rsidRDefault="002C08DF">
            <w:pPr>
              <w:jc w:val="right"/>
              <w:rPr>
                <w:color w:val="000000"/>
                <w:sz w:val="20"/>
                <w:szCs w:val="20"/>
              </w:rPr>
            </w:pPr>
            <w:r>
              <w:rPr>
                <w:color w:val="000000"/>
                <w:sz w:val="20"/>
                <w:szCs w:val="20"/>
              </w:rPr>
              <w:t>0.741</w:t>
            </w:r>
          </w:p>
        </w:tc>
        <w:tc>
          <w:tcPr>
            <w:tcW w:w="864" w:type="dxa"/>
            <w:tcBorders>
              <w:top w:val="nil"/>
              <w:left w:val="nil"/>
              <w:bottom w:val="single" w:sz="12" w:space="0" w:color="auto"/>
              <w:right w:val="nil"/>
            </w:tcBorders>
            <w:shd w:val="clear" w:color="auto" w:fill="auto"/>
            <w:noWrap/>
            <w:vAlign w:val="bottom"/>
            <w:hideMark/>
          </w:tcPr>
          <w:p w14:paraId="233E49C9" w14:textId="77777777" w:rsidR="002C08DF" w:rsidRDefault="002C08DF">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27A16C54" w14:textId="77777777" w:rsidR="002C08DF" w:rsidRDefault="002C08DF">
            <w:pPr>
              <w:jc w:val="right"/>
              <w:rPr>
                <w:color w:val="000000"/>
                <w:sz w:val="20"/>
                <w:szCs w:val="20"/>
              </w:rPr>
            </w:pPr>
            <w:r>
              <w:rPr>
                <w:color w:val="000000"/>
                <w:sz w:val="20"/>
                <w:szCs w:val="20"/>
              </w:rPr>
              <w:t>0.050</w:t>
            </w:r>
          </w:p>
        </w:tc>
        <w:tc>
          <w:tcPr>
            <w:tcW w:w="864" w:type="dxa"/>
            <w:tcBorders>
              <w:top w:val="nil"/>
              <w:left w:val="nil"/>
              <w:bottom w:val="single" w:sz="12" w:space="0" w:color="auto"/>
              <w:right w:val="nil"/>
            </w:tcBorders>
            <w:shd w:val="clear" w:color="auto" w:fill="auto"/>
            <w:noWrap/>
            <w:vAlign w:val="bottom"/>
            <w:hideMark/>
          </w:tcPr>
          <w:p w14:paraId="76C590DA" w14:textId="77777777" w:rsidR="002C08DF" w:rsidRDefault="002C08DF">
            <w:pPr>
              <w:jc w:val="right"/>
              <w:rPr>
                <w:color w:val="000000"/>
                <w:sz w:val="20"/>
                <w:szCs w:val="20"/>
              </w:rPr>
            </w:pPr>
            <w:r>
              <w:rPr>
                <w:color w:val="000000"/>
                <w:sz w:val="20"/>
                <w:szCs w:val="20"/>
              </w:rPr>
              <w:t>0.200</w:t>
            </w:r>
          </w:p>
        </w:tc>
        <w:tc>
          <w:tcPr>
            <w:tcW w:w="864" w:type="dxa"/>
            <w:tcBorders>
              <w:top w:val="nil"/>
              <w:left w:val="nil"/>
              <w:bottom w:val="single" w:sz="12" w:space="0" w:color="auto"/>
              <w:right w:val="nil"/>
            </w:tcBorders>
            <w:shd w:val="clear" w:color="auto" w:fill="auto"/>
            <w:noWrap/>
            <w:vAlign w:val="bottom"/>
            <w:hideMark/>
          </w:tcPr>
          <w:p w14:paraId="14530032" w14:textId="77777777" w:rsidR="002C08DF" w:rsidRDefault="002C08DF">
            <w:pPr>
              <w:jc w:val="right"/>
              <w:rPr>
                <w:color w:val="000000"/>
                <w:sz w:val="20"/>
                <w:szCs w:val="20"/>
              </w:rPr>
            </w:pPr>
            <w:r>
              <w:rPr>
                <w:color w:val="000000"/>
                <w:sz w:val="20"/>
                <w:szCs w:val="20"/>
              </w:rPr>
              <w:t>0.003</w:t>
            </w:r>
          </w:p>
        </w:tc>
      </w:tr>
      <w:tr w:rsidR="002C08DF" w14:paraId="1D311DEA"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2F4D96D6" w14:textId="77777777" w:rsidR="002C08DF" w:rsidRDefault="002C08DF">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4EA04B76" w14:textId="77777777" w:rsidR="002C08DF" w:rsidRDefault="002C08DF">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67BBEC9" w14:textId="77777777" w:rsidR="002C08DF" w:rsidRDefault="002C08DF">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4532BD2" w14:textId="77777777" w:rsidR="002C08DF" w:rsidRDefault="002C08DF">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5C4C214" w14:textId="77777777" w:rsidR="002C08DF" w:rsidRDefault="002C08DF">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85621E0" w14:textId="77777777" w:rsidR="002C08DF" w:rsidRDefault="002C08DF">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B5E7972" w14:textId="77777777" w:rsidR="002C08DF" w:rsidRDefault="002C08DF">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265F9E9" w14:textId="77777777" w:rsidR="002C08DF" w:rsidRDefault="002C08DF">
            <w:pPr>
              <w:rPr>
                <w:sz w:val="20"/>
                <w:szCs w:val="20"/>
              </w:rPr>
            </w:pPr>
          </w:p>
        </w:tc>
      </w:tr>
    </w:tbl>
    <w:p w14:paraId="242CC429" w14:textId="2B703454" w:rsidR="009F63E1" w:rsidRDefault="009F63E1" w:rsidP="0047742A">
      <w:pPr>
        <w:rPr>
          <w:rFonts w:ascii="Batang" w:eastAsia="Batang" w:hAnsi="Batang" w:cs="Batang"/>
          <w:color w:val="000000"/>
        </w:rPr>
      </w:pPr>
    </w:p>
    <w:p w14:paraId="54646F38" w14:textId="24983754" w:rsidR="00B81CB5" w:rsidRDefault="009F63E1" w:rsidP="00B81CB5">
      <w:pPr>
        <w:pStyle w:val="Heading1"/>
        <w:rPr>
          <w:rFonts w:ascii="Times New Roman" w:hAnsi="Times New Roman" w:cs="Times New Roman"/>
          <w:color w:val="000000" w:themeColor="text1"/>
          <w:sz w:val="24"/>
          <w:szCs w:val="24"/>
        </w:rPr>
      </w:pPr>
      <w:r>
        <w:rPr>
          <w:rFonts w:ascii="Batang" w:eastAsia="Batang" w:hAnsi="Batang" w:cs="Batang"/>
          <w:color w:val="000000"/>
        </w:rPr>
        <w:br w:type="page"/>
      </w:r>
      <w:bookmarkStart w:id="95" w:name="_Toc155817762"/>
      <w:r w:rsidR="00B81CB5" w:rsidRPr="00B81CB5">
        <w:rPr>
          <w:rFonts w:ascii="Times New Roman" w:hAnsi="Times New Roman" w:cs="Times New Roman"/>
          <w:b/>
          <w:bCs/>
          <w:color w:val="000000" w:themeColor="text1"/>
          <w:sz w:val="24"/>
          <w:szCs w:val="24"/>
        </w:rPr>
        <w:lastRenderedPageBreak/>
        <w:t xml:space="preserve">Table 28o. </w:t>
      </w:r>
      <w:r w:rsidR="00B81CB5">
        <w:rPr>
          <w:rFonts w:ascii="Times New Roman" w:hAnsi="Times New Roman" w:cs="Times New Roman"/>
          <w:color w:val="000000" w:themeColor="text1"/>
          <w:sz w:val="24"/>
          <w:szCs w:val="24"/>
        </w:rPr>
        <w:t>Results examining the relationship between Shen-268 network small world omega and urbanicity obtained from bifactor modeling and pollution (NO2 level) during stop signal task</w:t>
      </w:r>
      <w:bookmarkEnd w:id="95"/>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B81CB5" w14:paraId="46347C53"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2C0B8C3D" w14:textId="77777777" w:rsidR="00B81CB5" w:rsidRDefault="00B81CB5" w:rsidP="005A3B4D">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520FD248" w14:textId="77777777" w:rsidR="00B81CB5" w:rsidRDefault="00B81CB5" w:rsidP="005A3B4D">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4402F0FE" w14:textId="77777777" w:rsidR="00B81CB5" w:rsidRDefault="00B81CB5" w:rsidP="005A3B4D">
            <w:pPr>
              <w:rPr>
                <w:color w:val="000000"/>
              </w:rPr>
            </w:pPr>
          </w:p>
        </w:tc>
        <w:tc>
          <w:tcPr>
            <w:tcW w:w="864" w:type="dxa"/>
            <w:tcBorders>
              <w:top w:val="nil"/>
              <w:left w:val="nil"/>
              <w:bottom w:val="single" w:sz="12" w:space="0" w:color="auto"/>
              <w:right w:val="nil"/>
            </w:tcBorders>
            <w:shd w:val="clear" w:color="auto" w:fill="auto"/>
            <w:noWrap/>
            <w:vAlign w:val="bottom"/>
            <w:hideMark/>
          </w:tcPr>
          <w:p w14:paraId="3FE41C23"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2D1838B7"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1544A1B2"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4FBDBA5" w14:textId="77777777" w:rsidR="00B81CB5" w:rsidRDefault="00B81CB5" w:rsidP="005A3B4D">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D260256" w14:textId="77777777" w:rsidR="00B81CB5" w:rsidRDefault="00B81CB5" w:rsidP="005A3B4D">
            <w:pPr>
              <w:rPr>
                <w:sz w:val="20"/>
                <w:szCs w:val="20"/>
              </w:rPr>
            </w:pPr>
          </w:p>
        </w:tc>
      </w:tr>
      <w:tr w:rsidR="00B81CB5" w14:paraId="749DEAE5" w14:textId="77777777" w:rsidTr="005A3B4D">
        <w:trPr>
          <w:trHeight w:val="340"/>
        </w:trPr>
        <w:tc>
          <w:tcPr>
            <w:tcW w:w="1152" w:type="dxa"/>
            <w:tcBorders>
              <w:top w:val="single" w:sz="12" w:space="0" w:color="auto"/>
              <w:left w:val="nil"/>
              <w:bottom w:val="nil"/>
              <w:right w:val="nil"/>
            </w:tcBorders>
            <w:shd w:val="clear" w:color="auto" w:fill="auto"/>
            <w:noWrap/>
            <w:vAlign w:val="bottom"/>
            <w:hideMark/>
          </w:tcPr>
          <w:p w14:paraId="6692693F" w14:textId="77777777" w:rsidR="00B81CB5" w:rsidRDefault="00B81CB5" w:rsidP="005A3B4D">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19DC81B6" w14:textId="77777777" w:rsidR="00B81CB5" w:rsidRDefault="00B81CB5" w:rsidP="005A3B4D">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3B68E534" w14:textId="77777777" w:rsidR="00B81CB5" w:rsidRDefault="00B81CB5" w:rsidP="005A3B4D">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422DDDAC" w14:textId="77777777" w:rsidR="00B81CB5" w:rsidRDefault="00B81CB5" w:rsidP="005A3B4D">
            <w:pPr>
              <w:jc w:val="center"/>
              <w:rPr>
                <w:color w:val="000000"/>
                <w:sz w:val="20"/>
                <w:szCs w:val="20"/>
              </w:rPr>
            </w:pPr>
            <w:r>
              <w:rPr>
                <w:color w:val="000000"/>
                <w:sz w:val="20"/>
                <w:szCs w:val="20"/>
              </w:rPr>
              <w:t>Pollution (NO2 level)</w:t>
            </w:r>
          </w:p>
        </w:tc>
      </w:tr>
      <w:tr w:rsidR="00B81CB5" w14:paraId="279824C2" w14:textId="77777777" w:rsidTr="005A3B4D">
        <w:trPr>
          <w:trHeight w:val="360"/>
        </w:trPr>
        <w:tc>
          <w:tcPr>
            <w:tcW w:w="1152" w:type="dxa"/>
            <w:tcBorders>
              <w:top w:val="nil"/>
              <w:left w:val="nil"/>
              <w:bottom w:val="single" w:sz="12" w:space="0" w:color="auto"/>
              <w:right w:val="nil"/>
            </w:tcBorders>
            <w:shd w:val="clear" w:color="auto" w:fill="auto"/>
            <w:noWrap/>
            <w:vAlign w:val="bottom"/>
            <w:hideMark/>
          </w:tcPr>
          <w:p w14:paraId="6949441B" w14:textId="77777777" w:rsidR="00B81CB5" w:rsidRDefault="00B81CB5" w:rsidP="005A3B4D">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3AC6B5D2" w14:textId="77777777" w:rsidR="00B81CB5" w:rsidRDefault="00B81CB5" w:rsidP="005A3B4D">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743A1659" w14:textId="77777777" w:rsidR="00B81CB5" w:rsidRDefault="00B81CB5" w:rsidP="005A3B4D">
            <w:pP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3784519" w14:textId="77777777" w:rsidR="00B81CB5" w:rsidRDefault="00B81CB5" w:rsidP="005A3B4D">
            <w:pP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67FFB828" w14:textId="77777777" w:rsidR="00B81CB5" w:rsidRDefault="00B81CB5" w:rsidP="005A3B4D">
            <w:pP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5848BBE8" w14:textId="77777777" w:rsidR="00B81CB5" w:rsidRDefault="00B81CB5" w:rsidP="005A3B4D">
            <w:pP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795DAA44" w14:textId="77777777" w:rsidR="00B81CB5" w:rsidRDefault="00B81CB5" w:rsidP="005A3B4D">
            <w:pP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1959DDA1" w14:textId="77777777" w:rsidR="00B81CB5" w:rsidRDefault="00B81CB5" w:rsidP="005A3B4D">
            <w:pPr>
              <w:rPr>
                <w:i/>
                <w:iCs/>
                <w:color w:val="000000"/>
                <w:sz w:val="20"/>
                <w:szCs w:val="20"/>
              </w:rPr>
            </w:pPr>
            <w:r>
              <w:rPr>
                <w:i/>
                <w:iCs/>
                <w:color w:val="000000"/>
                <w:sz w:val="20"/>
                <w:szCs w:val="20"/>
              </w:rPr>
              <w:t>R2</w:t>
            </w:r>
          </w:p>
        </w:tc>
      </w:tr>
      <w:tr w:rsidR="00B81CB5" w14:paraId="5CBF49BA"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12C6F3F5" w14:textId="77777777" w:rsidR="00B81CB5" w:rsidRDefault="00B81CB5" w:rsidP="005A3B4D">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7589AA6F" w14:textId="77777777" w:rsidR="00B81CB5" w:rsidRDefault="00B81CB5" w:rsidP="005A3B4D">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3D5C5983" w14:textId="77777777" w:rsidR="00B81CB5" w:rsidRDefault="00B81CB5" w:rsidP="005A3B4D">
            <w:pPr>
              <w:jc w:val="right"/>
              <w:rPr>
                <w:color w:val="000000"/>
                <w:sz w:val="20"/>
                <w:szCs w:val="20"/>
              </w:rPr>
            </w:pPr>
            <w:r>
              <w:rPr>
                <w:color w:val="000000"/>
                <w:sz w:val="20"/>
                <w:szCs w:val="20"/>
              </w:rPr>
              <w:t>0.018</w:t>
            </w:r>
          </w:p>
        </w:tc>
        <w:tc>
          <w:tcPr>
            <w:tcW w:w="864" w:type="dxa"/>
            <w:tcBorders>
              <w:top w:val="single" w:sz="12" w:space="0" w:color="auto"/>
              <w:left w:val="nil"/>
              <w:bottom w:val="nil"/>
              <w:right w:val="nil"/>
            </w:tcBorders>
            <w:shd w:val="clear" w:color="auto" w:fill="auto"/>
            <w:noWrap/>
            <w:vAlign w:val="bottom"/>
            <w:hideMark/>
          </w:tcPr>
          <w:p w14:paraId="1AE2D3BA" w14:textId="77777777" w:rsidR="00B81CB5" w:rsidRDefault="00B81CB5" w:rsidP="005A3B4D">
            <w:pPr>
              <w:jc w:val="right"/>
              <w:rPr>
                <w:color w:val="000000"/>
                <w:sz w:val="20"/>
                <w:szCs w:val="20"/>
              </w:rPr>
            </w:pPr>
            <w:r>
              <w:rPr>
                <w:color w:val="000000"/>
                <w:sz w:val="20"/>
                <w:szCs w:val="20"/>
              </w:rPr>
              <w:t>0.897</w:t>
            </w:r>
          </w:p>
        </w:tc>
        <w:tc>
          <w:tcPr>
            <w:tcW w:w="864" w:type="dxa"/>
            <w:tcBorders>
              <w:top w:val="single" w:sz="12" w:space="0" w:color="auto"/>
              <w:left w:val="nil"/>
              <w:bottom w:val="nil"/>
              <w:right w:val="nil"/>
            </w:tcBorders>
            <w:shd w:val="clear" w:color="auto" w:fill="auto"/>
            <w:noWrap/>
            <w:vAlign w:val="bottom"/>
            <w:hideMark/>
          </w:tcPr>
          <w:p w14:paraId="0AE157F2" w14:textId="77777777" w:rsidR="00B81CB5" w:rsidRDefault="00B81CB5" w:rsidP="005A3B4D">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01F79C6F" w14:textId="77777777" w:rsidR="00B81CB5" w:rsidRDefault="00B81CB5" w:rsidP="005A3B4D">
            <w:pPr>
              <w:jc w:val="right"/>
              <w:rPr>
                <w:color w:val="000000"/>
                <w:sz w:val="20"/>
                <w:szCs w:val="20"/>
              </w:rPr>
            </w:pPr>
            <w:r>
              <w:rPr>
                <w:color w:val="000000"/>
                <w:sz w:val="20"/>
                <w:szCs w:val="20"/>
              </w:rPr>
              <w:t>0.043</w:t>
            </w:r>
          </w:p>
        </w:tc>
        <w:tc>
          <w:tcPr>
            <w:tcW w:w="864" w:type="dxa"/>
            <w:tcBorders>
              <w:top w:val="single" w:sz="12" w:space="0" w:color="auto"/>
              <w:left w:val="nil"/>
              <w:bottom w:val="nil"/>
              <w:right w:val="nil"/>
            </w:tcBorders>
            <w:shd w:val="clear" w:color="auto" w:fill="auto"/>
            <w:noWrap/>
            <w:vAlign w:val="bottom"/>
            <w:hideMark/>
          </w:tcPr>
          <w:p w14:paraId="133906AC" w14:textId="77777777" w:rsidR="00B81CB5" w:rsidRDefault="00B81CB5" w:rsidP="005A3B4D">
            <w:pPr>
              <w:jc w:val="right"/>
              <w:rPr>
                <w:color w:val="000000"/>
                <w:sz w:val="20"/>
                <w:szCs w:val="20"/>
              </w:rPr>
            </w:pPr>
            <w:r>
              <w:rPr>
                <w:color w:val="000000"/>
                <w:sz w:val="20"/>
                <w:szCs w:val="20"/>
              </w:rPr>
              <w:t>0.761</w:t>
            </w:r>
          </w:p>
        </w:tc>
        <w:tc>
          <w:tcPr>
            <w:tcW w:w="864" w:type="dxa"/>
            <w:tcBorders>
              <w:top w:val="single" w:sz="12" w:space="0" w:color="auto"/>
              <w:left w:val="nil"/>
              <w:bottom w:val="nil"/>
              <w:right w:val="nil"/>
            </w:tcBorders>
            <w:shd w:val="clear" w:color="auto" w:fill="auto"/>
            <w:noWrap/>
            <w:vAlign w:val="bottom"/>
            <w:hideMark/>
          </w:tcPr>
          <w:p w14:paraId="0DC1BEBE" w14:textId="77777777" w:rsidR="00B81CB5" w:rsidRDefault="00B81CB5" w:rsidP="005A3B4D">
            <w:pPr>
              <w:jc w:val="right"/>
              <w:rPr>
                <w:color w:val="000000"/>
                <w:sz w:val="20"/>
                <w:szCs w:val="20"/>
              </w:rPr>
            </w:pPr>
            <w:r>
              <w:rPr>
                <w:color w:val="000000"/>
                <w:sz w:val="20"/>
                <w:szCs w:val="20"/>
              </w:rPr>
              <w:t>0.002</w:t>
            </w:r>
          </w:p>
        </w:tc>
      </w:tr>
      <w:tr w:rsidR="00B81CB5" w14:paraId="751F988D" w14:textId="77777777" w:rsidTr="005A3B4D">
        <w:trPr>
          <w:trHeight w:val="340"/>
        </w:trPr>
        <w:tc>
          <w:tcPr>
            <w:tcW w:w="1152" w:type="dxa"/>
            <w:tcBorders>
              <w:top w:val="nil"/>
              <w:left w:val="nil"/>
              <w:bottom w:val="nil"/>
              <w:right w:val="nil"/>
            </w:tcBorders>
            <w:shd w:val="clear" w:color="auto" w:fill="auto"/>
            <w:noWrap/>
            <w:vAlign w:val="bottom"/>
            <w:hideMark/>
          </w:tcPr>
          <w:p w14:paraId="317C4215"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6FFED7C"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34656F6" w14:textId="77777777" w:rsidR="00B81CB5" w:rsidRDefault="00B81CB5" w:rsidP="005A3B4D">
            <w:pPr>
              <w:jc w:val="right"/>
              <w:rPr>
                <w:color w:val="000000"/>
                <w:sz w:val="20"/>
                <w:szCs w:val="20"/>
              </w:rPr>
            </w:pPr>
            <w:r>
              <w:rPr>
                <w:color w:val="000000"/>
                <w:sz w:val="20"/>
                <w:szCs w:val="20"/>
              </w:rPr>
              <w:t>-0.071</w:t>
            </w:r>
          </w:p>
        </w:tc>
        <w:tc>
          <w:tcPr>
            <w:tcW w:w="864" w:type="dxa"/>
            <w:tcBorders>
              <w:top w:val="nil"/>
              <w:left w:val="nil"/>
              <w:bottom w:val="nil"/>
              <w:right w:val="nil"/>
            </w:tcBorders>
            <w:shd w:val="clear" w:color="auto" w:fill="auto"/>
            <w:noWrap/>
            <w:vAlign w:val="bottom"/>
            <w:hideMark/>
          </w:tcPr>
          <w:p w14:paraId="5C82D596" w14:textId="77777777" w:rsidR="00B81CB5" w:rsidRDefault="00B81CB5" w:rsidP="005A3B4D">
            <w:pPr>
              <w:jc w:val="right"/>
              <w:rPr>
                <w:color w:val="000000"/>
                <w:sz w:val="20"/>
                <w:szCs w:val="20"/>
              </w:rPr>
            </w:pPr>
            <w:r>
              <w:rPr>
                <w:color w:val="000000"/>
                <w:sz w:val="20"/>
                <w:szCs w:val="20"/>
              </w:rPr>
              <w:t>0.540</w:t>
            </w:r>
          </w:p>
        </w:tc>
        <w:tc>
          <w:tcPr>
            <w:tcW w:w="864" w:type="dxa"/>
            <w:tcBorders>
              <w:top w:val="nil"/>
              <w:left w:val="nil"/>
              <w:bottom w:val="nil"/>
              <w:right w:val="nil"/>
            </w:tcBorders>
            <w:shd w:val="clear" w:color="auto" w:fill="auto"/>
            <w:noWrap/>
            <w:vAlign w:val="bottom"/>
            <w:hideMark/>
          </w:tcPr>
          <w:p w14:paraId="2248BA81"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5B27A6A0" w14:textId="77777777" w:rsidR="00B81CB5" w:rsidRDefault="00B81CB5" w:rsidP="005A3B4D">
            <w:pPr>
              <w:jc w:val="right"/>
              <w:rPr>
                <w:color w:val="000000"/>
                <w:sz w:val="20"/>
                <w:szCs w:val="20"/>
              </w:rPr>
            </w:pPr>
            <w:r>
              <w:rPr>
                <w:color w:val="000000"/>
                <w:sz w:val="20"/>
                <w:szCs w:val="20"/>
              </w:rPr>
              <w:t>-0.060</w:t>
            </w:r>
          </w:p>
        </w:tc>
        <w:tc>
          <w:tcPr>
            <w:tcW w:w="864" w:type="dxa"/>
            <w:tcBorders>
              <w:top w:val="nil"/>
              <w:left w:val="nil"/>
              <w:bottom w:val="nil"/>
              <w:right w:val="nil"/>
            </w:tcBorders>
            <w:shd w:val="clear" w:color="auto" w:fill="auto"/>
            <w:noWrap/>
            <w:vAlign w:val="bottom"/>
            <w:hideMark/>
          </w:tcPr>
          <w:p w14:paraId="1B303812" w14:textId="77777777" w:rsidR="00B81CB5" w:rsidRDefault="00B81CB5" w:rsidP="005A3B4D">
            <w:pPr>
              <w:jc w:val="right"/>
              <w:rPr>
                <w:color w:val="000000"/>
                <w:sz w:val="20"/>
                <w:szCs w:val="20"/>
              </w:rPr>
            </w:pPr>
            <w:r>
              <w:rPr>
                <w:color w:val="000000"/>
                <w:sz w:val="20"/>
                <w:szCs w:val="20"/>
              </w:rPr>
              <w:t>0.761</w:t>
            </w:r>
          </w:p>
        </w:tc>
        <w:tc>
          <w:tcPr>
            <w:tcW w:w="864" w:type="dxa"/>
            <w:tcBorders>
              <w:top w:val="nil"/>
              <w:left w:val="nil"/>
              <w:bottom w:val="nil"/>
              <w:right w:val="nil"/>
            </w:tcBorders>
            <w:shd w:val="clear" w:color="auto" w:fill="auto"/>
            <w:noWrap/>
            <w:vAlign w:val="bottom"/>
            <w:hideMark/>
          </w:tcPr>
          <w:p w14:paraId="23E3CC41" w14:textId="77777777" w:rsidR="00B81CB5" w:rsidRDefault="00B81CB5" w:rsidP="005A3B4D">
            <w:pPr>
              <w:jc w:val="right"/>
              <w:rPr>
                <w:color w:val="000000"/>
                <w:sz w:val="20"/>
                <w:szCs w:val="20"/>
              </w:rPr>
            </w:pPr>
            <w:r>
              <w:rPr>
                <w:color w:val="000000"/>
                <w:sz w:val="20"/>
                <w:szCs w:val="20"/>
              </w:rPr>
              <w:t>0.004</w:t>
            </w:r>
          </w:p>
        </w:tc>
      </w:tr>
      <w:tr w:rsidR="00B81CB5" w14:paraId="423F0C54" w14:textId="77777777" w:rsidTr="005A3B4D">
        <w:trPr>
          <w:trHeight w:val="320"/>
        </w:trPr>
        <w:tc>
          <w:tcPr>
            <w:tcW w:w="1152" w:type="dxa"/>
            <w:tcBorders>
              <w:top w:val="nil"/>
              <w:left w:val="nil"/>
              <w:bottom w:val="nil"/>
              <w:right w:val="nil"/>
            </w:tcBorders>
            <w:shd w:val="clear" w:color="auto" w:fill="auto"/>
            <w:noWrap/>
            <w:vAlign w:val="bottom"/>
            <w:hideMark/>
          </w:tcPr>
          <w:p w14:paraId="582C493D"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6029848"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C98C3F2" w14:textId="77777777" w:rsidR="00B81CB5" w:rsidRDefault="00B81CB5"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2BA1E0D3" w14:textId="77777777" w:rsidR="00B81CB5" w:rsidRDefault="00B81CB5" w:rsidP="005A3B4D">
            <w:pPr>
              <w:jc w:val="right"/>
              <w:rPr>
                <w:color w:val="000000"/>
                <w:sz w:val="20"/>
                <w:szCs w:val="20"/>
              </w:rPr>
            </w:pPr>
            <w:r>
              <w:rPr>
                <w:color w:val="000000"/>
                <w:sz w:val="20"/>
                <w:szCs w:val="20"/>
              </w:rPr>
              <w:t>1.000</w:t>
            </w:r>
          </w:p>
        </w:tc>
        <w:tc>
          <w:tcPr>
            <w:tcW w:w="864" w:type="dxa"/>
            <w:tcBorders>
              <w:top w:val="nil"/>
              <w:left w:val="nil"/>
              <w:bottom w:val="nil"/>
              <w:right w:val="nil"/>
            </w:tcBorders>
            <w:shd w:val="clear" w:color="auto" w:fill="auto"/>
            <w:noWrap/>
            <w:vAlign w:val="bottom"/>
            <w:hideMark/>
          </w:tcPr>
          <w:p w14:paraId="7C3AC42F"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5852E7D" w14:textId="77777777" w:rsidR="00B81CB5" w:rsidRDefault="00B81CB5" w:rsidP="005A3B4D">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11557583" w14:textId="77777777" w:rsidR="00B81CB5" w:rsidRDefault="00B81CB5" w:rsidP="005A3B4D">
            <w:pPr>
              <w:jc w:val="right"/>
              <w:rPr>
                <w:color w:val="000000"/>
                <w:sz w:val="20"/>
                <w:szCs w:val="20"/>
              </w:rPr>
            </w:pPr>
            <w:r>
              <w:rPr>
                <w:color w:val="000000"/>
                <w:sz w:val="20"/>
                <w:szCs w:val="20"/>
              </w:rPr>
              <w:t>0.761</w:t>
            </w:r>
          </w:p>
        </w:tc>
        <w:tc>
          <w:tcPr>
            <w:tcW w:w="864" w:type="dxa"/>
            <w:tcBorders>
              <w:top w:val="nil"/>
              <w:left w:val="nil"/>
              <w:bottom w:val="nil"/>
              <w:right w:val="nil"/>
            </w:tcBorders>
            <w:shd w:val="clear" w:color="auto" w:fill="auto"/>
            <w:noWrap/>
            <w:vAlign w:val="bottom"/>
            <w:hideMark/>
          </w:tcPr>
          <w:p w14:paraId="1689DF0F" w14:textId="77777777" w:rsidR="00B81CB5" w:rsidRDefault="00B81CB5" w:rsidP="005A3B4D">
            <w:pPr>
              <w:jc w:val="right"/>
              <w:rPr>
                <w:color w:val="000000"/>
                <w:sz w:val="20"/>
                <w:szCs w:val="20"/>
              </w:rPr>
            </w:pPr>
            <w:r>
              <w:rPr>
                <w:color w:val="000000"/>
                <w:sz w:val="20"/>
                <w:szCs w:val="20"/>
              </w:rPr>
              <w:t>0.002</w:t>
            </w:r>
          </w:p>
        </w:tc>
      </w:tr>
      <w:tr w:rsidR="00B81CB5" w14:paraId="1FC9A249" w14:textId="77777777" w:rsidTr="005A3B4D">
        <w:trPr>
          <w:trHeight w:val="320"/>
        </w:trPr>
        <w:tc>
          <w:tcPr>
            <w:tcW w:w="1152" w:type="dxa"/>
            <w:tcBorders>
              <w:top w:val="nil"/>
              <w:left w:val="nil"/>
              <w:bottom w:val="nil"/>
              <w:right w:val="nil"/>
            </w:tcBorders>
            <w:shd w:val="clear" w:color="auto" w:fill="auto"/>
            <w:noWrap/>
            <w:vAlign w:val="bottom"/>
            <w:hideMark/>
          </w:tcPr>
          <w:p w14:paraId="07C8D01B"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DE44A44"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7A01DDDA" w14:textId="77777777" w:rsidR="00B81CB5" w:rsidRDefault="00B81CB5" w:rsidP="005A3B4D">
            <w:pPr>
              <w:jc w:val="right"/>
              <w:rPr>
                <w:color w:val="000000"/>
                <w:sz w:val="20"/>
                <w:szCs w:val="20"/>
              </w:rPr>
            </w:pPr>
            <w:r>
              <w:rPr>
                <w:color w:val="000000"/>
                <w:sz w:val="20"/>
                <w:szCs w:val="20"/>
              </w:rPr>
              <w:t>-0.107</w:t>
            </w:r>
          </w:p>
        </w:tc>
        <w:tc>
          <w:tcPr>
            <w:tcW w:w="864" w:type="dxa"/>
            <w:tcBorders>
              <w:top w:val="nil"/>
              <w:left w:val="nil"/>
              <w:bottom w:val="nil"/>
              <w:right w:val="nil"/>
            </w:tcBorders>
            <w:shd w:val="clear" w:color="auto" w:fill="auto"/>
            <w:noWrap/>
            <w:vAlign w:val="bottom"/>
            <w:hideMark/>
          </w:tcPr>
          <w:p w14:paraId="34A8FB84" w14:textId="77777777" w:rsidR="00B81CB5" w:rsidRDefault="00B81CB5" w:rsidP="005A3B4D">
            <w:pPr>
              <w:jc w:val="right"/>
              <w:rPr>
                <w:color w:val="000000"/>
                <w:sz w:val="20"/>
                <w:szCs w:val="20"/>
              </w:rPr>
            </w:pPr>
            <w:r>
              <w:rPr>
                <w:color w:val="000000"/>
                <w:sz w:val="20"/>
                <w:szCs w:val="20"/>
              </w:rPr>
              <w:t>0.540</w:t>
            </w:r>
          </w:p>
        </w:tc>
        <w:tc>
          <w:tcPr>
            <w:tcW w:w="864" w:type="dxa"/>
            <w:tcBorders>
              <w:top w:val="nil"/>
              <w:left w:val="nil"/>
              <w:bottom w:val="nil"/>
              <w:right w:val="nil"/>
            </w:tcBorders>
            <w:shd w:val="clear" w:color="auto" w:fill="auto"/>
            <w:noWrap/>
            <w:vAlign w:val="bottom"/>
            <w:hideMark/>
          </w:tcPr>
          <w:p w14:paraId="51C5D297" w14:textId="77777777" w:rsidR="00B81CB5" w:rsidRDefault="00B81CB5" w:rsidP="005A3B4D">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2D2CCA51" w14:textId="77777777" w:rsidR="00B81CB5" w:rsidRDefault="00B81CB5" w:rsidP="005A3B4D">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2A5A48A3" w14:textId="77777777" w:rsidR="00B81CB5" w:rsidRDefault="00B81CB5" w:rsidP="005A3B4D">
            <w:pPr>
              <w:jc w:val="right"/>
              <w:rPr>
                <w:color w:val="000000"/>
                <w:sz w:val="20"/>
                <w:szCs w:val="20"/>
              </w:rPr>
            </w:pPr>
            <w:r>
              <w:rPr>
                <w:color w:val="000000"/>
                <w:sz w:val="20"/>
                <w:szCs w:val="20"/>
              </w:rPr>
              <w:t>0.761</w:t>
            </w:r>
          </w:p>
        </w:tc>
        <w:tc>
          <w:tcPr>
            <w:tcW w:w="864" w:type="dxa"/>
            <w:tcBorders>
              <w:top w:val="nil"/>
              <w:left w:val="nil"/>
              <w:bottom w:val="nil"/>
              <w:right w:val="nil"/>
            </w:tcBorders>
            <w:shd w:val="clear" w:color="auto" w:fill="auto"/>
            <w:noWrap/>
            <w:vAlign w:val="bottom"/>
            <w:hideMark/>
          </w:tcPr>
          <w:p w14:paraId="64A16C6E" w14:textId="77777777" w:rsidR="00B81CB5" w:rsidRDefault="00B81CB5" w:rsidP="005A3B4D">
            <w:pPr>
              <w:jc w:val="right"/>
              <w:rPr>
                <w:color w:val="000000"/>
                <w:sz w:val="20"/>
                <w:szCs w:val="20"/>
              </w:rPr>
            </w:pPr>
            <w:r>
              <w:rPr>
                <w:color w:val="000000"/>
                <w:sz w:val="20"/>
                <w:szCs w:val="20"/>
              </w:rPr>
              <w:t>0.002</w:t>
            </w:r>
          </w:p>
        </w:tc>
      </w:tr>
      <w:tr w:rsidR="00B81CB5" w14:paraId="758EF65C" w14:textId="77777777" w:rsidTr="005A3B4D">
        <w:trPr>
          <w:trHeight w:val="320"/>
        </w:trPr>
        <w:tc>
          <w:tcPr>
            <w:tcW w:w="1152" w:type="dxa"/>
            <w:tcBorders>
              <w:top w:val="nil"/>
              <w:left w:val="nil"/>
              <w:bottom w:val="nil"/>
              <w:right w:val="nil"/>
            </w:tcBorders>
            <w:shd w:val="clear" w:color="auto" w:fill="auto"/>
            <w:noWrap/>
            <w:vAlign w:val="bottom"/>
            <w:hideMark/>
          </w:tcPr>
          <w:p w14:paraId="15639AB2"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9325FC7"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C912937" w14:textId="77777777" w:rsidR="00B81CB5" w:rsidRDefault="00B81CB5" w:rsidP="005A3B4D">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37E6E73E" w14:textId="77777777" w:rsidR="00B81CB5" w:rsidRDefault="00B81CB5" w:rsidP="005A3B4D">
            <w:pPr>
              <w:jc w:val="right"/>
              <w:rPr>
                <w:color w:val="000000"/>
                <w:sz w:val="20"/>
                <w:szCs w:val="20"/>
              </w:rPr>
            </w:pPr>
            <w:r>
              <w:rPr>
                <w:color w:val="000000"/>
                <w:sz w:val="20"/>
                <w:szCs w:val="20"/>
              </w:rPr>
              <w:t>0.897</w:t>
            </w:r>
          </w:p>
        </w:tc>
        <w:tc>
          <w:tcPr>
            <w:tcW w:w="864" w:type="dxa"/>
            <w:tcBorders>
              <w:top w:val="nil"/>
              <w:left w:val="nil"/>
              <w:bottom w:val="nil"/>
              <w:right w:val="nil"/>
            </w:tcBorders>
            <w:shd w:val="clear" w:color="auto" w:fill="auto"/>
            <w:noWrap/>
            <w:vAlign w:val="bottom"/>
            <w:hideMark/>
          </w:tcPr>
          <w:p w14:paraId="3041FB35"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6E4EF73E" w14:textId="77777777" w:rsidR="00B81CB5" w:rsidRDefault="00B81CB5" w:rsidP="005A3B4D">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6670014E" w14:textId="77777777" w:rsidR="00B81CB5" w:rsidRDefault="00B81CB5" w:rsidP="005A3B4D">
            <w:pPr>
              <w:jc w:val="right"/>
              <w:rPr>
                <w:color w:val="000000"/>
                <w:sz w:val="20"/>
                <w:szCs w:val="20"/>
              </w:rPr>
            </w:pPr>
            <w:r>
              <w:rPr>
                <w:color w:val="000000"/>
                <w:sz w:val="20"/>
                <w:szCs w:val="20"/>
              </w:rPr>
              <w:t>0.761</w:t>
            </w:r>
          </w:p>
        </w:tc>
        <w:tc>
          <w:tcPr>
            <w:tcW w:w="864" w:type="dxa"/>
            <w:tcBorders>
              <w:top w:val="nil"/>
              <w:left w:val="nil"/>
              <w:bottom w:val="nil"/>
              <w:right w:val="nil"/>
            </w:tcBorders>
            <w:shd w:val="clear" w:color="auto" w:fill="auto"/>
            <w:noWrap/>
            <w:vAlign w:val="bottom"/>
            <w:hideMark/>
          </w:tcPr>
          <w:p w14:paraId="71EEE9DF" w14:textId="77777777" w:rsidR="00B81CB5" w:rsidRDefault="00B81CB5" w:rsidP="005A3B4D">
            <w:pPr>
              <w:jc w:val="right"/>
              <w:rPr>
                <w:color w:val="000000"/>
                <w:sz w:val="20"/>
                <w:szCs w:val="20"/>
              </w:rPr>
            </w:pPr>
            <w:r>
              <w:rPr>
                <w:color w:val="000000"/>
                <w:sz w:val="20"/>
                <w:szCs w:val="20"/>
              </w:rPr>
              <w:t>0.000</w:t>
            </w:r>
          </w:p>
        </w:tc>
      </w:tr>
      <w:tr w:rsidR="00B81CB5" w14:paraId="49C9D008" w14:textId="77777777" w:rsidTr="005A3B4D">
        <w:trPr>
          <w:trHeight w:val="320"/>
        </w:trPr>
        <w:tc>
          <w:tcPr>
            <w:tcW w:w="1152" w:type="dxa"/>
            <w:tcBorders>
              <w:top w:val="nil"/>
              <w:left w:val="nil"/>
              <w:bottom w:val="nil"/>
              <w:right w:val="nil"/>
            </w:tcBorders>
            <w:shd w:val="clear" w:color="auto" w:fill="auto"/>
            <w:noWrap/>
            <w:vAlign w:val="bottom"/>
            <w:hideMark/>
          </w:tcPr>
          <w:p w14:paraId="088E2C6C"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14AEE98"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2B0225F"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7A237897" w14:textId="77777777" w:rsidR="00B81CB5" w:rsidRDefault="00B81CB5" w:rsidP="005A3B4D">
            <w:pPr>
              <w:jc w:val="right"/>
              <w:rPr>
                <w:color w:val="000000"/>
                <w:sz w:val="20"/>
                <w:szCs w:val="20"/>
              </w:rPr>
            </w:pPr>
            <w:r>
              <w:rPr>
                <w:color w:val="000000"/>
                <w:sz w:val="20"/>
                <w:szCs w:val="20"/>
              </w:rPr>
              <w:t>1.000</w:t>
            </w:r>
          </w:p>
        </w:tc>
        <w:tc>
          <w:tcPr>
            <w:tcW w:w="864" w:type="dxa"/>
            <w:tcBorders>
              <w:top w:val="nil"/>
              <w:left w:val="nil"/>
              <w:bottom w:val="nil"/>
              <w:right w:val="nil"/>
            </w:tcBorders>
            <w:shd w:val="clear" w:color="auto" w:fill="auto"/>
            <w:noWrap/>
            <w:vAlign w:val="bottom"/>
            <w:hideMark/>
          </w:tcPr>
          <w:p w14:paraId="3DD63024"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D01B582" w14:textId="77777777" w:rsidR="00B81CB5" w:rsidRDefault="00B81CB5" w:rsidP="005A3B4D">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259D33AA" w14:textId="77777777" w:rsidR="00B81CB5" w:rsidRDefault="00B81CB5" w:rsidP="005A3B4D">
            <w:pPr>
              <w:jc w:val="right"/>
              <w:rPr>
                <w:color w:val="000000"/>
                <w:sz w:val="20"/>
                <w:szCs w:val="20"/>
              </w:rPr>
            </w:pPr>
            <w:r>
              <w:rPr>
                <w:color w:val="000000"/>
                <w:sz w:val="20"/>
                <w:szCs w:val="20"/>
              </w:rPr>
              <w:t>0.761</w:t>
            </w:r>
          </w:p>
        </w:tc>
        <w:tc>
          <w:tcPr>
            <w:tcW w:w="864" w:type="dxa"/>
            <w:tcBorders>
              <w:top w:val="nil"/>
              <w:left w:val="nil"/>
              <w:bottom w:val="nil"/>
              <w:right w:val="nil"/>
            </w:tcBorders>
            <w:shd w:val="clear" w:color="auto" w:fill="auto"/>
            <w:noWrap/>
            <w:vAlign w:val="bottom"/>
            <w:hideMark/>
          </w:tcPr>
          <w:p w14:paraId="1AD3C8C4" w14:textId="77777777" w:rsidR="00B81CB5" w:rsidRDefault="00B81CB5" w:rsidP="005A3B4D">
            <w:pPr>
              <w:jc w:val="right"/>
              <w:rPr>
                <w:color w:val="000000"/>
                <w:sz w:val="20"/>
                <w:szCs w:val="20"/>
              </w:rPr>
            </w:pPr>
            <w:r>
              <w:rPr>
                <w:color w:val="000000"/>
                <w:sz w:val="20"/>
                <w:szCs w:val="20"/>
              </w:rPr>
              <w:t>0.000</w:t>
            </w:r>
          </w:p>
        </w:tc>
      </w:tr>
      <w:tr w:rsidR="00B81CB5" w14:paraId="0AB222DC" w14:textId="77777777" w:rsidTr="005A3B4D">
        <w:trPr>
          <w:trHeight w:val="320"/>
        </w:trPr>
        <w:tc>
          <w:tcPr>
            <w:tcW w:w="1152" w:type="dxa"/>
            <w:tcBorders>
              <w:top w:val="nil"/>
              <w:left w:val="nil"/>
              <w:bottom w:val="nil"/>
              <w:right w:val="nil"/>
            </w:tcBorders>
            <w:shd w:val="clear" w:color="auto" w:fill="auto"/>
            <w:noWrap/>
            <w:vAlign w:val="bottom"/>
            <w:hideMark/>
          </w:tcPr>
          <w:p w14:paraId="5E3EB206"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6407855"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2551ACA" w14:textId="77777777" w:rsidR="00B81CB5" w:rsidRDefault="00B81CB5" w:rsidP="005A3B4D">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65F17CEA" w14:textId="77777777" w:rsidR="00B81CB5" w:rsidRDefault="00B81CB5" w:rsidP="005A3B4D">
            <w:pPr>
              <w:jc w:val="right"/>
              <w:rPr>
                <w:color w:val="000000"/>
                <w:sz w:val="20"/>
                <w:szCs w:val="20"/>
              </w:rPr>
            </w:pPr>
            <w:r>
              <w:rPr>
                <w:color w:val="000000"/>
                <w:sz w:val="20"/>
                <w:szCs w:val="20"/>
              </w:rPr>
              <w:t>0.540</w:t>
            </w:r>
          </w:p>
        </w:tc>
        <w:tc>
          <w:tcPr>
            <w:tcW w:w="864" w:type="dxa"/>
            <w:tcBorders>
              <w:top w:val="nil"/>
              <w:left w:val="nil"/>
              <w:bottom w:val="nil"/>
              <w:right w:val="nil"/>
            </w:tcBorders>
            <w:shd w:val="clear" w:color="auto" w:fill="auto"/>
            <w:noWrap/>
            <w:vAlign w:val="bottom"/>
            <w:hideMark/>
          </w:tcPr>
          <w:p w14:paraId="7C520C6C"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2B38F41" w14:textId="77777777" w:rsidR="00B81CB5" w:rsidRDefault="00B81CB5" w:rsidP="005A3B4D">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6D8BB2E9" w14:textId="77777777" w:rsidR="00B81CB5" w:rsidRDefault="00B81CB5" w:rsidP="005A3B4D">
            <w:pPr>
              <w:jc w:val="right"/>
              <w:rPr>
                <w:color w:val="000000"/>
                <w:sz w:val="20"/>
                <w:szCs w:val="20"/>
              </w:rPr>
            </w:pPr>
            <w:r>
              <w:rPr>
                <w:color w:val="000000"/>
                <w:sz w:val="20"/>
                <w:szCs w:val="20"/>
              </w:rPr>
              <w:t>0.761</w:t>
            </w:r>
          </w:p>
        </w:tc>
        <w:tc>
          <w:tcPr>
            <w:tcW w:w="864" w:type="dxa"/>
            <w:tcBorders>
              <w:top w:val="nil"/>
              <w:left w:val="nil"/>
              <w:bottom w:val="nil"/>
              <w:right w:val="nil"/>
            </w:tcBorders>
            <w:shd w:val="clear" w:color="auto" w:fill="auto"/>
            <w:noWrap/>
            <w:vAlign w:val="bottom"/>
            <w:hideMark/>
          </w:tcPr>
          <w:p w14:paraId="235B900E" w14:textId="77777777" w:rsidR="00B81CB5" w:rsidRDefault="00B81CB5" w:rsidP="005A3B4D">
            <w:pPr>
              <w:jc w:val="right"/>
              <w:rPr>
                <w:color w:val="000000"/>
                <w:sz w:val="20"/>
                <w:szCs w:val="20"/>
              </w:rPr>
            </w:pPr>
            <w:r>
              <w:rPr>
                <w:color w:val="000000"/>
                <w:sz w:val="20"/>
                <w:szCs w:val="20"/>
              </w:rPr>
              <w:t>0.001</w:t>
            </w:r>
          </w:p>
        </w:tc>
      </w:tr>
      <w:tr w:rsidR="00B81CB5" w14:paraId="1D727EF3"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6EF0071E"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94E08C1"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11B29B86" w14:textId="77777777" w:rsidR="00B81CB5" w:rsidRDefault="00B81CB5" w:rsidP="005A3B4D">
            <w:pPr>
              <w:jc w:val="right"/>
              <w:rPr>
                <w:color w:val="000000"/>
                <w:sz w:val="20"/>
                <w:szCs w:val="20"/>
              </w:rPr>
            </w:pPr>
            <w:r>
              <w:rPr>
                <w:color w:val="000000"/>
                <w:sz w:val="20"/>
                <w:szCs w:val="20"/>
              </w:rPr>
              <w:t>0.073</w:t>
            </w:r>
          </w:p>
        </w:tc>
        <w:tc>
          <w:tcPr>
            <w:tcW w:w="864" w:type="dxa"/>
            <w:tcBorders>
              <w:top w:val="nil"/>
              <w:left w:val="nil"/>
              <w:bottom w:val="single" w:sz="4" w:space="0" w:color="auto"/>
              <w:right w:val="nil"/>
            </w:tcBorders>
            <w:shd w:val="clear" w:color="auto" w:fill="auto"/>
            <w:noWrap/>
            <w:vAlign w:val="bottom"/>
            <w:hideMark/>
          </w:tcPr>
          <w:p w14:paraId="0C051B21" w14:textId="77777777" w:rsidR="00B81CB5" w:rsidRDefault="00B81CB5" w:rsidP="005A3B4D">
            <w:pPr>
              <w:jc w:val="right"/>
              <w:rPr>
                <w:color w:val="000000"/>
                <w:sz w:val="20"/>
                <w:szCs w:val="20"/>
              </w:rPr>
            </w:pPr>
            <w:r>
              <w:rPr>
                <w:color w:val="000000"/>
                <w:sz w:val="20"/>
                <w:szCs w:val="20"/>
              </w:rPr>
              <w:t>0.540</w:t>
            </w:r>
          </w:p>
        </w:tc>
        <w:tc>
          <w:tcPr>
            <w:tcW w:w="864" w:type="dxa"/>
            <w:tcBorders>
              <w:top w:val="nil"/>
              <w:left w:val="nil"/>
              <w:bottom w:val="single" w:sz="4" w:space="0" w:color="auto"/>
              <w:right w:val="nil"/>
            </w:tcBorders>
            <w:shd w:val="clear" w:color="auto" w:fill="auto"/>
            <w:noWrap/>
            <w:vAlign w:val="bottom"/>
            <w:hideMark/>
          </w:tcPr>
          <w:p w14:paraId="3AEE8459"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single" w:sz="4" w:space="0" w:color="auto"/>
              <w:right w:val="nil"/>
            </w:tcBorders>
            <w:shd w:val="clear" w:color="auto" w:fill="auto"/>
            <w:noWrap/>
            <w:vAlign w:val="bottom"/>
            <w:hideMark/>
          </w:tcPr>
          <w:p w14:paraId="6B582F7C" w14:textId="77777777" w:rsidR="00B81CB5" w:rsidRDefault="00B81CB5" w:rsidP="005A3B4D">
            <w:pPr>
              <w:jc w:val="right"/>
              <w:rPr>
                <w:color w:val="000000"/>
                <w:sz w:val="20"/>
                <w:szCs w:val="20"/>
              </w:rPr>
            </w:pPr>
            <w:r>
              <w:rPr>
                <w:color w:val="000000"/>
                <w:sz w:val="20"/>
                <w:szCs w:val="20"/>
              </w:rPr>
              <w:t>0.029</w:t>
            </w:r>
          </w:p>
        </w:tc>
        <w:tc>
          <w:tcPr>
            <w:tcW w:w="864" w:type="dxa"/>
            <w:tcBorders>
              <w:top w:val="nil"/>
              <w:left w:val="nil"/>
              <w:bottom w:val="single" w:sz="4" w:space="0" w:color="auto"/>
              <w:right w:val="nil"/>
            </w:tcBorders>
            <w:shd w:val="clear" w:color="auto" w:fill="auto"/>
            <w:noWrap/>
            <w:vAlign w:val="bottom"/>
            <w:hideMark/>
          </w:tcPr>
          <w:p w14:paraId="31228A21" w14:textId="77777777" w:rsidR="00B81CB5" w:rsidRDefault="00B81CB5" w:rsidP="005A3B4D">
            <w:pPr>
              <w:jc w:val="right"/>
              <w:rPr>
                <w:color w:val="000000"/>
                <w:sz w:val="20"/>
                <w:szCs w:val="20"/>
              </w:rPr>
            </w:pPr>
            <w:r>
              <w:rPr>
                <w:color w:val="000000"/>
                <w:sz w:val="20"/>
                <w:szCs w:val="20"/>
              </w:rPr>
              <w:t>0.761</w:t>
            </w:r>
          </w:p>
        </w:tc>
        <w:tc>
          <w:tcPr>
            <w:tcW w:w="864" w:type="dxa"/>
            <w:tcBorders>
              <w:top w:val="nil"/>
              <w:left w:val="nil"/>
              <w:bottom w:val="single" w:sz="4" w:space="0" w:color="auto"/>
              <w:right w:val="nil"/>
            </w:tcBorders>
            <w:shd w:val="clear" w:color="auto" w:fill="auto"/>
            <w:noWrap/>
            <w:vAlign w:val="bottom"/>
            <w:hideMark/>
          </w:tcPr>
          <w:p w14:paraId="1519E4FD" w14:textId="77777777" w:rsidR="00B81CB5" w:rsidRDefault="00B81CB5" w:rsidP="005A3B4D">
            <w:pPr>
              <w:jc w:val="right"/>
              <w:rPr>
                <w:color w:val="000000"/>
                <w:sz w:val="20"/>
                <w:szCs w:val="20"/>
              </w:rPr>
            </w:pPr>
            <w:r>
              <w:rPr>
                <w:color w:val="000000"/>
                <w:sz w:val="20"/>
                <w:szCs w:val="20"/>
              </w:rPr>
              <w:t>0.001</w:t>
            </w:r>
          </w:p>
        </w:tc>
      </w:tr>
      <w:tr w:rsidR="00B81CB5" w14:paraId="19A14EF9" w14:textId="77777777" w:rsidTr="005A3B4D">
        <w:trPr>
          <w:trHeight w:val="320"/>
        </w:trPr>
        <w:tc>
          <w:tcPr>
            <w:tcW w:w="1152" w:type="dxa"/>
            <w:tcBorders>
              <w:top w:val="nil"/>
              <w:left w:val="nil"/>
              <w:bottom w:val="nil"/>
              <w:right w:val="nil"/>
            </w:tcBorders>
            <w:shd w:val="clear" w:color="auto" w:fill="auto"/>
            <w:noWrap/>
            <w:vAlign w:val="bottom"/>
            <w:hideMark/>
          </w:tcPr>
          <w:p w14:paraId="4C7CFD3A" w14:textId="77777777" w:rsidR="00B81CB5" w:rsidRDefault="00B81CB5" w:rsidP="005A3B4D">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720B88D0" w14:textId="77777777" w:rsidR="00B81CB5" w:rsidRDefault="00B81CB5"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F8C7F3C" w14:textId="77777777" w:rsidR="00B81CB5" w:rsidRDefault="00B81CB5" w:rsidP="005A3B4D">
            <w:pPr>
              <w:jc w:val="right"/>
              <w:rPr>
                <w:color w:val="000000"/>
                <w:sz w:val="20"/>
                <w:szCs w:val="20"/>
              </w:rPr>
            </w:pPr>
            <w:r>
              <w:rPr>
                <w:color w:val="000000"/>
                <w:sz w:val="20"/>
                <w:szCs w:val="20"/>
              </w:rPr>
              <w:t>0.018</w:t>
            </w:r>
          </w:p>
        </w:tc>
        <w:tc>
          <w:tcPr>
            <w:tcW w:w="864" w:type="dxa"/>
            <w:tcBorders>
              <w:top w:val="nil"/>
              <w:left w:val="nil"/>
              <w:bottom w:val="nil"/>
              <w:right w:val="nil"/>
            </w:tcBorders>
            <w:shd w:val="clear" w:color="auto" w:fill="auto"/>
            <w:noWrap/>
            <w:vAlign w:val="bottom"/>
            <w:hideMark/>
          </w:tcPr>
          <w:p w14:paraId="0BF9FB64" w14:textId="77777777" w:rsidR="00B81CB5" w:rsidRDefault="00B81CB5" w:rsidP="005A3B4D">
            <w:pPr>
              <w:jc w:val="right"/>
              <w:rPr>
                <w:color w:val="000000"/>
                <w:sz w:val="20"/>
                <w:szCs w:val="20"/>
              </w:rPr>
            </w:pPr>
            <w:r>
              <w:rPr>
                <w:color w:val="000000"/>
                <w:sz w:val="20"/>
                <w:szCs w:val="20"/>
              </w:rPr>
              <w:t>0.793</w:t>
            </w:r>
          </w:p>
        </w:tc>
        <w:tc>
          <w:tcPr>
            <w:tcW w:w="864" w:type="dxa"/>
            <w:tcBorders>
              <w:top w:val="nil"/>
              <w:left w:val="nil"/>
              <w:bottom w:val="nil"/>
              <w:right w:val="nil"/>
            </w:tcBorders>
            <w:shd w:val="clear" w:color="auto" w:fill="auto"/>
            <w:noWrap/>
            <w:vAlign w:val="bottom"/>
            <w:hideMark/>
          </w:tcPr>
          <w:p w14:paraId="102DCF99"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881D0C3" w14:textId="77777777" w:rsidR="00B81CB5" w:rsidRDefault="00B81CB5" w:rsidP="005A3B4D">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37329AD0" w14:textId="77777777" w:rsidR="00B81CB5" w:rsidRDefault="00B81CB5" w:rsidP="005A3B4D">
            <w:pPr>
              <w:jc w:val="right"/>
              <w:rPr>
                <w:color w:val="000000"/>
                <w:sz w:val="20"/>
                <w:szCs w:val="20"/>
              </w:rPr>
            </w:pPr>
            <w:r>
              <w:rPr>
                <w:color w:val="000000"/>
                <w:sz w:val="20"/>
                <w:szCs w:val="20"/>
              </w:rPr>
              <w:t>0.893</w:t>
            </w:r>
          </w:p>
        </w:tc>
        <w:tc>
          <w:tcPr>
            <w:tcW w:w="864" w:type="dxa"/>
            <w:tcBorders>
              <w:top w:val="nil"/>
              <w:left w:val="nil"/>
              <w:bottom w:val="nil"/>
              <w:right w:val="nil"/>
            </w:tcBorders>
            <w:shd w:val="clear" w:color="auto" w:fill="auto"/>
            <w:noWrap/>
            <w:vAlign w:val="bottom"/>
            <w:hideMark/>
          </w:tcPr>
          <w:p w14:paraId="2B69EC77" w14:textId="77777777" w:rsidR="00B81CB5" w:rsidRDefault="00B81CB5" w:rsidP="005A3B4D">
            <w:pPr>
              <w:jc w:val="right"/>
              <w:rPr>
                <w:color w:val="000000"/>
                <w:sz w:val="20"/>
                <w:szCs w:val="20"/>
              </w:rPr>
            </w:pPr>
            <w:r>
              <w:rPr>
                <w:color w:val="000000"/>
                <w:sz w:val="20"/>
                <w:szCs w:val="20"/>
              </w:rPr>
              <w:t>0.000</w:t>
            </w:r>
          </w:p>
        </w:tc>
      </w:tr>
      <w:tr w:rsidR="00B81CB5" w14:paraId="485CA56E" w14:textId="77777777" w:rsidTr="005A3B4D">
        <w:trPr>
          <w:trHeight w:val="320"/>
        </w:trPr>
        <w:tc>
          <w:tcPr>
            <w:tcW w:w="1152" w:type="dxa"/>
            <w:tcBorders>
              <w:top w:val="nil"/>
              <w:left w:val="nil"/>
              <w:bottom w:val="nil"/>
              <w:right w:val="nil"/>
            </w:tcBorders>
            <w:shd w:val="clear" w:color="auto" w:fill="auto"/>
            <w:noWrap/>
            <w:vAlign w:val="bottom"/>
            <w:hideMark/>
          </w:tcPr>
          <w:p w14:paraId="5C5F73B5"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4E6CB02"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3506E6EA" w14:textId="77777777" w:rsidR="00B81CB5" w:rsidRDefault="00B81CB5" w:rsidP="005A3B4D">
            <w:pPr>
              <w:jc w:val="right"/>
              <w:rPr>
                <w:color w:val="000000"/>
                <w:sz w:val="20"/>
                <w:szCs w:val="20"/>
              </w:rPr>
            </w:pPr>
            <w:r>
              <w:rPr>
                <w:color w:val="000000"/>
                <w:sz w:val="20"/>
                <w:szCs w:val="20"/>
              </w:rPr>
              <w:t>-0.015</w:t>
            </w:r>
          </w:p>
        </w:tc>
        <w:tc>
          <w:tcPr>
            <w:tcW w:w="864" w:type="dxa"/>
            <w:tcBorders>
              <w:top w:val="nil"/>
              <w:left w:val="nil"/>
              <w:bottom w:val="nil"/>
              <w:right w:val="nil"/>
            </w:tcBorders>
            <w:shd w:val="clear" w:color="auto" w:fill="auto"/>
            <w:noWrap/>
            <w:vAlign w:val="bottom"/>
            <w:hideMark/>
          </w:tcPr>
          <w:p w14:paraId="64D57B05" w14:textId="77777777" w:rsidR="00B81CB5" w:rsidRDefault="00B81CB5" w:rsidP="005A3B4D">
            <w:pPr>
              <w:jc w:val="right"/>
              <w:rPr>
                <w:color w:val="000000"/>
                <w:sz w:val="20"/>
                <w:szCs w:val="20"/>
              </w:rPr>
            </w:pPr>
            <w:r>
              <w:rPr>
                <w:color w:val="000000"/>
                <w:sz w:val="20"/>
                <w:szCs w:val="20"/>
              </w:rPr>
              <w:t>0.793</w:t>
            </w:r>
          </w:p>
        </w:tc>
        <w:tc>
          <w:tcPr>
            <w:tcW w:w="864" w:type="dxa"/>
            <w:tcBorders>
              <w:top w:val="nil"/>
              <w:left w:val="nil"/>
              <w:bottom w:val="nil"/>
              <w:right w:val="nil"/>
            </w:tcBorders>
            <w:shd w:val="clear" w:color="auto" w:fill="auto"/>
            <w:noWrap/>
            <w:vAlign w:val="bottom"/>
            <w:hideMark/>
          </w:tcPr>
          <w:p w14:paraId="6CDD4AC0"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089A316"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3B4235DE" w14:textId="77777777" w:rsidR="00B81CB5" w:rsidRDefault="00B81CB5" w:rsidP="005A3B4D">
            <w:pPr>
              <w:jc w:val="right"/>
              <w:rPr>
                <w:color w:val="000000"/>
                <w:sz w:val="20"/>
                <w:szCs w:val="20"/>
              </w:rPr>
            </w:pPr>
            <w:r>
              <w:rPr>
                <w:color w:val="000000"/>
                <w:sz w:val="20"/>
                <w:szCs w:val="20"/>
              </w:rPr>
              <w:t>0.919</w:t>
            </w:r>
          </w:p>
        </w:tc>
        <w:tc>
          <w:tcPr>
            <w:tcW w:w="864" w:type="dxa"/>
            <w:tcBorders>
              <w:top w:val="nil"/>
              <w:left w:val="nil"/>
              <w:bottom w:val="nil"/>
              <w:right w:val="nil"/>
            </w:tcBorders>
            <w:shd w:val="clear" w:color="auto" w:fill="auto"/>
            <w:noWrap/>
            <w:vAlign w:val="bottom"/>
            <w:hideMark/>
          </w:tcPr>
          <w:p w14:paraId="76196C4C" w14:textId="77777777" w:rsidR="00B81CB5" w:rsidRDefault="00B81CB5" w:rsidP="005A3B4D">
            <w:pPr>
              <w:jc w:val="right"/>
              <w:rPr>
                <w:color w:val="000000"/>
                <w:sz w:val="20"/>
                <w:szCs w:val="20"/>
              </w:rPr>
            </w:pPr>
            <w:r>
              <w:rPr>
                <w:color w:val="000000"/>
                <w:sz w:val="20"/>
                <w:szCs w:val="20"/>
              </w:rPr>
              <w:t>0.000</w:t>
            </w:r>
          </w:p>
        </w:tc>
      </w:tr>
      <w:tr w:rsidR="00B81CB5" w14:paraId="3E4A907D" w14:textId="77777777" w:rsidTr="005A3B4D">
        <w:trPr>
          <w:trHeight w:val="320"/>
        </w:trPr>
        <w:tc>
          <w:tcPr>
            <w:tcW w:w="1152" w:type="dxa"/>
            <w:tcBorders>
              <w:top w:val="nil"/>
              <w:left w:val="nil"/>
              <w:bottom w:val="nil"/>
              <w:right w:val="nil"/>
            </w:tcBorders>
            <w:shd w:val="clear" w:color="auto" w:fill="auto"/>
            <w:noWrap/>
            <w:vAlign w:val="bottom"/>
            <w:hideMark/>
          </w:tcPr>
          <w:p w14:paraId="254356B0"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3615CBB"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92F2DA6" w14:textId="77777777" w:rsidR="00B81CB5" w:rsidRDefault="00B81CB5" w:rsidP="005A3B4D">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51F73097" w14:textId="77777777" w:rsidR="00B81CB5" w:rsidRDefault="00B81CB5" w:rsidP="005A3B4D">
            <w:pPr>
              <w:jc w:val="right"/>
              <w:rPr>
                <w:color w:val="000000"/>
                <w:sz w:val="20"/>
                <w:szCs w:val="20"/>
              </w:rPr>
            </w:pPr>
            <w:r>
              <w:rPr>
                <w:color w:val="000000"/>
                <w:sz w:val="20"/>
                <w:szCs w:val="20"/>
              </w:rPr>
              <w:t>0.793</w:t>
            </w:r>
          </w:p>
        </w:tc>
        <w:tc>
          <w:tcPr>
            <w:tcW w:w="864" w:type="dxa"/>
            <w:tcBorders>
              <w:top w:val="nil"/>
              <w:left w:val="nil"/>
              <w:bottom w:val="nil"/>
              <w:right w:val="nil"/>
            </w:tcBorders>
            <w:shd w:val="clear" w:color="auto" w:fill="auto"/>
            <w:noWrap/>
            <w:vAlign w:val="bottom"/>
            <w:hideMark/>
          </w:tcPr>
          <w:p w14:paraId="130FF14B"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5A874F4" w14:textId="77777777" w:rsidR="00B81CB5" w:rsidRDefault="00B81CB5" w:rsidP="005A3B4D">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0A9BA303" w14:textId="77777777" w:rsidR="00B81CB5" w:rsidRDefault="00B81CB5" w:rsidP="005A3B4D">
            <w:pPr>
              <w:jc w:val="right"/>
              <w:rPr>
                <w:color w:val="000000"/>
                <w:sz w:val="20"/>
                <w:szCs w:val="20"/>
              </w:rPr>
            </w:pPr>
            <w:r>
              <w:rPr>
                <w:color w:val="000000"/>
                <w:sz w:val="20"/>
                <w:szCs w:val="20"/>
              </w:rPr>
              <w:t>0.893</w:t>
            </w:r>
          </w:p>
        </w:tc>
        <w:tc>
          <w:tcPr>
            <w:tcW w:w="864" w:type="dxa"/>
            <w:tcBorders>
              <w:top w:val="nil"/>
              <w:left w:val="nil"/>
              <w:bottom w:val="nil"/>
              <w:right w:val="nil"/>
            </w:tcBorders>
            <w:shd w:val="clear" w:color="auto" w:fill="auto"/>
            <w:noWrap/>
            <w:vAlign w:val="bottom"/>
            <w:hideMark/>
          </w:tcPr>
          <w:p w14:paraId="0FC972EC" w14:textId="77777777" w:rsidR="00B81CB5" w:rsidRDefault="00B81CB5" w:rsidP="005A3B4D">
            <w:pPr>
              <w:jc w:val="right"/>
              <w:rPr>
                <w:color w:val="000000"/>
                <w:sz w:val="20"/>
                <w:szCs w:val="20"/>
              </w:rPr>
            </w:pPr>
            <w:r>
              <w:rPr>
                <w:color w:val="000000"/>
                <w:sz w:val="20"/>
                <w:szCs w:val="20"/>
              </w:rPr>
              <w:t>0.001</w:t>
            </w:r>
          </w:p>
        </w:tc>
      </w:tr>
      <w:tr w:rsidR="00B81CB5" w14:paraId="5BA608A4" w14:textId="77777777" w:rsidTr="005A3B4D">
        <w:trPr>
          <w:trHeight w:val="320"/>
        </w:trPr>
        <w:tc>
          <w:tcPr>
            <w:tcW w:w="1152" w:type="dxa"/>
            <w:tcBorders>
              <w:top w:val="nil"/>
              <w:left w:val="nil"/>
              <w:bottom w:val="nil"/>
              <w:right w:val="nil"/>
            </w:tcBorders>
            <w:shd w:val="clear" w:color="auto" w:fill="auto"/>
            <w:noWrap/>
            <w:vAlign w:val="bottom"/>
            <w:hideMark/>
          </w:tcPr>
          <w:p w14:paraId="4D95F38F"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CADA139"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7C0ECD3D" w14:textId="77777777" w:rsidR="00B81CB5" w:rsidRDefault="00B81CB5" w:rsidP="005A3B4D">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5EE48C94" w14:textId="77777777" w:rsidR="00B81CB5" w:rsidRDefault="00B81CB5" w:rsidP="005A3B4D">
            <w:pPr>
              <w:jc w:val="right"/>
              <w:rPr>
                <w:color w:val="000000"/>
                <w:sz w:val="20"/>
                <w:szCs w:val="20"/>
              </w:rPr>
            </w:pPr>
            <w:r>
              <w:rPr>
                <w:color w:val="000000"/>
                <w:sz w:val="20"/>
                <w:szCs w:val="20"/>
              </w:rPr>
              <w:t>0.793</w:t>
            </w:r>
          </w:p>
        </w:tc>
        <w:tc>
          <w:tcPr>
            <w:tcW w:w="864" w:type="dxa"/>
            <w:tcBorders>
              <w:top w:val="nil"/>
              <w:left w:val="nil"/>
              <w:bottom w:val="nil"/>
              <w:right w:val="nil"/>
            </w:tcBorders>
            <w:shd w:val="clear" w:color="auto" w:fill="auto"/>
            <w:noWrap/>
            <w:vAlign w:val="bottom"/>
            <w:hideMark/>
          </w:tcPr>
          <w:p w14:paraId="00F1E781"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B4AFC41" w14:textId="77777777" w:rsidR="00B81CB5" w:rsidRDefault="00B81CB5" w:rsidP="005A3B4D">
            <w:pPr>
              <w:jc w:val="right"/>
              <w:rPr>
                <w:color w:val="000000"/>
                <w:sz w:val="20"/>
                <w:szCs w:val="20"/>
              </w:rPr>
            </w:pPr>
            <w:r>
              <w:rPr>
                <w:color w:val="000000"/>
                <w:sz w:val="20"/>
                <w:szCs w:val="20"/>
              </w:rPr>
              <w:t>0.054</w:t>
            </w:r>
          </w:p>
        </w:tc>
        <w:tc>
          <w:tcPr>
            <w:tcW w:w="864" w:type="dxa"/>
            <w:tcBorders>
              <w:top w:val="nil"/>
              <w:left w:val="nil"/>
              <w:bottom w:val="nil"/>
              <w:right w:val="nil"/>
            </w:tcBorders>
            <w:shd w:val="clear" w:color="auto" w:fill="auto"/>
            <w:noWrap/>
            <w:vAlign w:val="bottom"/>
            <w:hideMark/>
          </w:tcPr>
          <w:p w14:paraId="66BC32E3" w14:textId="77777777" w:rsidR="00B81CB5" w:rsidRDefault="00B81CB5" w:rsidP="005A3B4D">
            <w:pPr>
              <w:jc w:val="right"/>
              <w:rPr>
                <w:color w:val="000000"/>
                <w:sz w:val="20"/>
                <w:szCs w:val="20"/>
              </w:rPr>
            </w:pPr>
            <w:r>
              <w:rPr>
                <w:color w:val="000000"/>
                <w:sz w:val="20"/>
                <w:szCs w:val="20"/>
              </w:rPr>
              <w:t>0.893</w:t>
            </w:r>
          </w:p>
        </w:tc>
        <w:tc>
          <w:tcPr>
            <w:tcW w:w="864" w:type="dxa"/>
            <w:tcBorders>
              <w:top w:val="nil"/>
              <w:left w:val="nil"/>
              <w:bottom w:val="nil"/>
              <w:right w:val="nil"/>
            </w:tcBorders>
            <w:shd w:val="clear" w:color="auto" w:fill="auto"/>
            <w:noWrap/>
            <w:vAlign w:val="bottom"/>
            <w:hideMark/>
          </w:tcPr>
          <w:p w14:paraId="5CF91BA2" w14:textId="77777777" w:rsidR="00B81CB5" w:rsidRDefault="00B81CB5" w:rsidP="005A3B4D">
            <w:pPr>
              <w:jc w:val="right"/>
              <w:rPr>
                <w:color w:val="000000"/>
                <w:sz w:val="20"/>
                <w:szCs w:val="20"/>
              </w:rPr>
            </w:pPr>
            <w:r>
              <w:rPr>
                <w:color w:val="000000"/>
                <w:sz w:val="20"/>
                <w:szCs w:val="20"/>
              </w:rPr>
              <w:t>0.003</w:t>
            </w:r>
          </w:p>
        </w:tc>
      </w:tr>
      <w:tr w:rsidR="00B81CB5" w14:paraId="13B9706B" w14:textId="77777777" w:rsidTr="005A3B4D">
        <w:trPr>
          <w:trHeight w:val="320"/>
        </w:trPr>
        <w:tc>
          <w:tcPr>
            <w:tcW w:w="1152" w:type="dxa"/>
            <w:tcBorders>
              <w:top w:val="nil"/>
              <w:left w:val="nil"/>
              <w:bottom w:val="nil"/>
              <w:right w:val="nil"/>
            </w:tcBorders>
            <w:shd w:val="clear" w:color="auto" w:fill="auto"/>
            <w:noWrap/>
            <w:vAlign w:val="bottom"/>
            <w:hideMark/>
          </w:tcPr>
          <w:p w14:paraId="0BA65FE9"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8BA2971"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68D48594" w14:textId="77777777" w:rsidR="00B81CB5" w:rsidRDefault="00B81CB5" w:rsidP="005A3B4D">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3C155B14" w14:textId="77777777" w:rsidR="00B81CB5" w:rsidRDefault="00B81CB5" w:rsidP="005A3B4D">
            <w:pPr>
              <w:jc w:val="right"/>
              <w:rPr>
                <w:color w:val="000000"/>
                <w:sz w:val="20"/>
                <w:szCs w:val="20"/>
              </w:rPr>
            </w:pPr>
            <w:r>
              <w:rPr>
                <w:color w:val="000000"/>
                <w:sz w:val="20"/>
                <w:szCs w:val="20"/>
              </w:rPr>
              <w:t>0.862</w:t>
            </w:r>
          </w:p>
        </w:tc>
        <w:tc>
          <w:tcPr>
            <w:tcW w:w="864" w:type="dxa"/>
            <w:tcBorders>
              <w:top w:val="nil"/>
              <w:left w:val="nil"/>
              <w:bottom w:val="nil"/>
              <w:right w:val="nil"/>
            </w:tcBorders>
            <w:shd w:val="clear" w:color="auto" w:fill="auto"/>
            <w:noWrap/>
            <w:vAlign w:val="bottom"/>
            <w:hideMark/>
          </w:tcPr>
          <w:p w14:paraId="1A53DFB7"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EBA33F8" w14:textId="77777777" w:rsidR="00B81CB5" w:rsidRDefault="00B81CB5" w:rsidP="005A3B4D">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68686551" w14:textId="77777777" w:rsidR="00B81CB5" w:rsidRDefault="00B81CB5" w:rsidP="005A3B4D">
            <w:pPr>
              <w:jc w:val="right"/>
              <w:rPr>
                <w:color w:val="000000"/>
                <w:sz w:val="20"/>
                <w:szCs w:val="20"/>
              </w:rPr>
            </w:pPr>
            <w:r>
              <w:rPr>
                <w:color w:val="000000"/>
                <w:sz w:val="20"/>
                <w:szCs w:val="20"/>
              </w:rPr>
              <w:t>0.893</w:t>
            </w:r>
          </w:p>
        </w:tc>
        <w:tc>
          <w:tcPr>
            <w:tcW w:w="864" w:type="dxa"/>
            <w:tcBorders>
              <w:top w:val="nil"/>
              <w:left w:val="nil"/>
              <w:bottom w:val="nil"/>
              <w:right w:val="nil"/>
            </w:tcBorders>
            <w:shd w:val="clear" w:color="auto" w:fill="auto"/>
            <w:noWrap/>
            <w:vAlign w:val="bottom"/>
            <w:hideMark/>
          </w:tcPr>
          <w:p w14:paraId="0803C56C" w14:textId="77777777" w:rsidR="00B81CB5" w:rsidRDefault="00B81CB5" w:rsidP="005A3B4D">
            <w:pPr>
              <w:jc w:val="right"/>
              <w:rPr>
                <w:color w:val="000000"/>
                <w:sz w:val="20"/>
                <w:szCs w:val="20"/>
              </w:rPr>
            </w:pPr>
            <w:r>
              <w:rPr>
                <w:color w:val="000000"/>
                <w:sz w:val="20"/>
                <w:szCs w:val="20"/>
              </w:rPr>
              <w:t>0.001</w:t>
            </w:r>
          </w:p>
        </w:tc>
      </w:tr>
      <w:tr w:rsidR="00B81CB5" w14:paraId="108B96FF" w14:textId="77777777" w:rsidTr="005A3B4D">
        <w:trPr>
          <w:trHeight w:val="320"/>
        </w:trPr>
        <w:tc>
          <w:tcPr>
            <w:tcW w:w="1152" w:type="dxa"/>
            <w:tcBorders>
              <w:top w:val="nil"/>
              <w:left w:val="nil"/>
              <w:bottom w:val="nil"/>
              <w:right w:val="nil"/>
            </w:tcBorders>
            <w:shd w:val="clear" w:color="auto" w:fill="auto"/>
            <w:noWrap/>
            <w:vAlign w:val="bottom"/>
            <w:hideMark/>
          </w:tcPr>
          <w:p w14:paraId="4C1A647B"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B8D9196"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116E53B" w14:textId="77777777" w:rsidR="00B81CB5" w:rsidRDefault="00B81CB5" w:rsidP="005A3B4D">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1664FC0D" w14:textId="77777777" w:rsidR="00B81CB5" w:rsidRDefault="00B81CB5" w:rsidP="005A3B4D">
            <w:pPr>
              <w:jc w:val="right"/>
              <w:rPr>
                <w:color w:val="000000"/>
                <w:sz w:val="20"/>
                <w:szCs w:val="20"/>
              </w:rPr>
            </w:pPr>
            <w:r>
              <w:rPr>
                <w:color w:val="000000"/>
                <w:sz w:val="20"/>
                <w:szCs w:val="20"/>
              </w:rPr>
              <w:t>0.793</w:t>
            </w:r>
          </w:p>
        </w:tc>
        <w:tc>
          <w:tcPr>
            <w:tcW w:w="864" w:type="dxa"/>
            <w:tcBorders>
              <w:top w:val="nil"/>
              <w:left w:val="nil"/>
              <w:bottom w:val="nil"/>
              <w:right w:val="nil"/>
            </w:tcBorders>
            <w:shd w:val="clear" w:color="auto" w:fill="auto"/>
            <w:noWrap/>
            <w:vAlign w:val="bottom"/>
            <w:hideMark/>
          </w:tcPr>
          <w:p w14:paraId="3B263CB0"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4F30E18" w14:textId="77777777" w:rsidR="00B81CB5" w:rsidRDefault="00B81CB5"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3B70869C" w14:textId="77777777" w:rsidR="00B81CB5" w:rsidRDefault="00B81CB5" w:rsidP="005A3B4D">
            <w:pPr>
              <w:jc w:val="right"/>
              <w:rPr>
                <w:color w:val="000000"/>
                <w:sz w:val="20"/>
                <w:szCs w:val="20"/>
              </w:rPr>
            </w:pPr>
            <w:r>
              <w:rPr>
                <w:color w:val="000000"/>
                <w:sz w:val="20"/>
                <w:szCs w:val="20"/>
              </w:rPr>
              <w:t>0.919</w:t>
            </w:r>
          </w:p>
        </w:tc>
        <w:tc>
          <w:tcPr>
            <w:tcW w:w="864" w:type="dxa"/>
            <w:tcBorders>
              <w:top w:val="nil"/>
              <w:left w:val="nil"/>
              <w:bottom w:val="nil"/>
              <w:right w:val="nil"/>
            </w:tcBorders>
            <w:shd w:val="clear" w:color="auto" w:fill="auto"/>
            <w:noWrap/>
            <w:vAlign w:val="bottom"/>
            <w:hideMark/>
          </w:tcPr>
          <w:p w14:paraId="66E8EAFB" w14:textId="77777777" w:rsidR="00B81CB5" w:rsidRDefault="00B81CB5" w:rsidP="005A3B4D">
            <w:pPr>
              <w:jc w:val="right"/>
              <w:rPr>
                <w:color w:val="000000"/>
                <w:sz w:val="20"/>
                <w:szCs w:val="20"/>
              </w:rPr>
            </w:pPr>
            <w:r>
              <w:rPr>
                <w:color w:val="000000"/>
                <w:sz w:val="20"/>
                <w:szCs w:val="20"/>
              </w:rPr>
              <w:t>0.000</w:t>
            </w:r>
          </w:p>
        </w:tc>
      </w:tr>
      <w:tr w:rsidR="00B81CB5" w14:paraId="5D9A3959" w14:textId="77777777" w:rsidTr="005A3B4D">
        <w:trPr>
          <w:trHeight w:val="320"/>
        </w:trPr>
        <w:tc>
          <w:tcPr>
            <w:tcW w:w="1152" w:type="dxa"/>
            <w:tcBorders>
              <w:top w:val="nil"/>
              <w:left w:val="nil"/>
              <w:bottom w:val="nil"/>
              <w:right w:val="nil"/>
            </w:tcBorders>
            <w:shd w:val="clear" w:color="auto" w:fill="auto"/>
            <w:noWrap/>
            <w:vAlign w:val="bottom"/>
            <w:hideMark/>
          </w:tcPr>
          <w:p w14:paraId="562C791F"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32F74DB"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EA299D3" w14:textId="77777777" w:rsidR="00B81CB5" w:rsidRDefault="00B81CB5" w:rsidP="005A3B4D">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4EF40A32" w14:textId="77777777" w:rsidR="00B81CB5" w:rsidRDefault="00B81CB5" w:rsidP="005A3B4D">
            <w:pPr>
              <w:jc w:val="right"/>
              <w:rPr>
                <w:color w:val="000000"/>
                <w:sz w:val="20"/>
                <w:szCs w:val="20"/>
              </w:rPr>
            </w:pPr>
            <w:r>
              <w:rPr>
                <w:color w:val="000000"/>
                <w:sz w:val="20"/>
                <w:szCs w:val="20"/>
              </w:rPr>
              <w:t>0.793</w:t>
            </w:r>
          </w:p>
        </w:tc>
        <w:tc>
          <w:tcPr>
            <w:tcW w:w="864" w:type="dxa"/>
            <w:tcBorders>
              <w:top w:val="nil"/>
              <w:left w:val="nil"/>
              <w:bottom w:val="nil"/>
              <w:right w:val="nil"/>
            </w:tcBorders>
            <w:shd w:val="clear" w:color="auto" w:fill="auto"/>
            <w:noWrap/>
            <w:vAlign w:val="bottom"/>
            <w:hideMark/>
          </w:tcPr>
          <w:p w14:paraId="03380925"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7C36FEA"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3FA92293" w14:textId="77777777" w:rsidR="00B81CB5" w:rsidRDefault="00B81CB5" w:rsidP="005A3B4D">
            <w:pPr>
              <w:jc w:val="right"/>
              <w:rPr>
                <w:color w:val="000000"/>
                <w:sz w:val="20"/>
                <w:szCs w:val="20"/>
              </w:rPr>
            </w:pPr>
            <w:r>
              <w:rPr>
                <w:color w:val="000000"/>
                <w:sz w:val="20"/>
                <w:szCs w:val="20"/>
              </w:rPr>
              <w:t>0.919</w:t>
            </w:r>
          </w:p>
        </w:tc>
        <w:tc>
          <w:tcPr>
            <w:tcW w:w="864" w:type="dxa"/>
            <w:tcBorders>
              <w:top w:val="nil"/>
              <w:left w:val="nil"/>
              <w:bottom w:val="nil"/>
              <w:right w:val="nil"/>
            </w:tcBorders>
            <w:shd w:val="clear" w:color="auto" w:fill="auto"/>
            <w:noWrap/>
            <w:vAlign w:val="bottom"/>
            <w:hideMark/>
          </w:tcPr>
          <w:p w14:paraId="56A04595" w14:textId="77777777" w:rsidR="00B81CB5" w:rsidRDefault="00B81CB5" w:rsidP="005A3B4D">
            <w:pPr>
              <w:jc w:val="right"/>
              <w:rPr>
                <w:color w:val="000000"/>
                <w:sz w:val="20"/>
                <w:szCs w:val="20"/>
              </w:rPr>
            </w:pPr>
            <w:r>
              <w:rPr>
                <w:color w:val="000000"/>
                <w:sz w:val="20"/>
                <w:szCs w:val="20"/>
              </w:rPr>
              <w:t>0.000</w:t>
            </w:r>
          </w:p>
        </w:tc>
      </w:tr>
      <w:tr w:rsidR="00B81CB5" w14:paraId="623368CC"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0096EB78"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38D40FCB"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A6EB73D" w14:textId="77777777" w:rsidR="00B81CB5" w:rsidRDefault="00B81CB5" w:rsidP="005A3B4D">
            <w:pPr>
              <w:jc w:val="right"/>
              <w:rPr>
                <w:color w:val="000000"/>
                <w:sz w:val="20"/>
                <w:szCs w:val="20"/>
              </w:rPr>
            </w:pPr>
            <w:r>
              <w:rPr>
                <w:color w:val="000000"/>
                <w:sz w:val="20"/>
                <w:szCs w:val="20"/>
              </w:rPr>
              <w:t>0.017</w:t>
            </w:r>
          </w:p>
        </w:tc>
        <w:tc>
          <w:tcPr>
            <w:tcW w:w="864" w:type="dxa"/>
            <w:tcBorders>
              <w:top w:val="nil"/>
              <w:left w:val="nil"/>
              <w:bottom w:val="single" w:sz="4" w:space="0" w:color="auto"/>
              <w:right w:val="nil"/>
            </w:tcBorders>
            <w:shd w:val="clear" w:color="auto" w:fill="auto"/>
            <w:noWrap/>
            <w:vAlign w:val="bottom"/>
            <w:hideMark/>
          </w:tcPr>
          <w:p w14:paraId="447871F5" w14:textId="77777777" w:rsidR="00B81CB5" w:rsidRDefault="00B81CB5" w:rsidP="005A3B4D">
            <w:pPr>
              <w:jc w:val="right"/>
              <w:rPr>
                <w:color w:val="000000"/>
                <w:sz w:val="20"/>
                <w:szCs w:val="20"/>
              </w:rPr>
            </w:pPr>
            <w:r>
              <w:rPr>
                <w:color w:val="000000"/>
                <w:sz w:val="20"/>
                <w:szCs w:val="20"/>
              </w:rPr>
              <w:t>0.793</w:t>
            </w:r>
          </w:p>
        </w:tc>
        <w:tc>
          <w:tcPr>
            <w:tcW w:w="864" w:type="dxa"/>
            <w:tcBorders>
              <w:top w:val="nil"/>
              <w:left w:val="nil"/>
              <w:bottom w:val="single" w:sz="4" w:space="0" w:color="auto"/>
              <w:right w:val="nil"/>
            </w:tcBorders>
            <w:shd w:val="clear" w:color="auto" w:fill="auto"/>
            <w:noWrap/>
            <w:vAlign w:val="bottom"/>
            <w:hideMark/>
          </w:tcPr>
          <w:p w14:paraId="5BB892D4"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52E5AC27" w14:textId="77777777" w:rsidR="00B81CB5" w:rsidRDefault="00B81CB5" w:rsidP="005A3B4D">
            <w:pPr>
              <w:jc w:val="right"/>
              <w:rPr>
                <w:color w:val="000000"/>
                <w:sz w:val="20"/>
                <w:szCs w:val="20"/>
              </w:rPr>
            </w:pPr>
            <w:r>
              <w:rPr>
                <w:color w:val="000000"/>
                <w:sz w:val="20"/>
                <w:szCs w:val="20"/>
              </w:rPr>
              <w:t>-0.021</w:t>
            </w:r>
          </w:p>
        </w:tc>
        <w:tc>
          <w:tcPr>
            <w:tcW w:w="864" w:type="dxa"/>
            <w:tcBorders>
              <w:top w:val="nil"/>
              <w:left w:val="nil"/>
              <w:bottom w:val="single" w:sz="4" w:space="0" w:color="auto"/>
              <w:right w:val="nil"/>
            </w:tcBorders>
            <w:shd w:val="clear" w:color="auto" w:fill="auto"/>
            <w:noWrap/>
            <w:vAlign w:val="bottom"/>
            <w:hideMark/>
          </w:tcPr>
          <w:p w14:paraId="500A258A" w14:textId="77777777" w:rsidR="00B81CB5" w:rsidRDefault="00B81CB5" w:rsidP="005A3B4D">
            <w:pPr>
              <w:jc w:val="right"/>
              <w:rPr>
                <w:color w:val="000000"/>
                <w:sz w:val="20"/>
                <w:szCs w:val="20"/>
              </w:rPr>
            </w:pPr>
            <w:r>
              <w:rPr>
                <w:color w:val="000000"/>
                <w:sz w:val="20"/>
                <w:szCs w:val="20"/>
              </w:rPr>
              <w:t>0.893</w:t>
            </w:r>
          </w:p>
        </w:tc>
        <w:tc>
          <w:tcPr>
            <w:tcW w:w="864" w:type="dxa"/>
            <w:tcBorders>
              <w:top w:val="nil"/>
              <w:left w:val="nil"/>
              <w:bottom w:val="single" w:sz="4" w:space="0" w:color="auto"/>
              <w:right w:val="nil"/>
            </w:tcBorders>
            <w:shd w:val="clear" w:color="auto" w:fill="auto"/>
            <w:noWrap/>
            <w:vAlign w:val="bottom"/>
            <w:hideMark/>
          </w:tcPr>
          <w:p w14:paraId="304F0303" w14:textId="77777777" w:rsidR="00B81CB5" w:rsidRDefault="00B81CB5" w:rsidP="005A3B4D">
            <w:pPr>
              <w:jc w:val="right"/>
              <w:rPr>
                <w:color w:val="000000"/>
                <w:sz w:val="20"/>
                <w:szCs w:val="20"/>
              </w:rPr>
            </w:pPr>
            <w:r>
              <w:rPr>
                <w:color w:val="000000"/>
                <w:sz w:val="20"/>
                <w:szCs w:val="20"/>
              </w:rPr>
              <w:t>0.000</w:t>
            </w:r>
          </w:p>
        </w:tc>
      </w:tr>
      <w:tr w:rsidR="00B81CB5" w14:paraId="7E60AAFD" w14:textId="77777777" w:rsidTr="005A3B4D">
        <w:trPr>
          <w:trHeight w:val="320"/>
        </w:trPr>
        <w:tc>
          <w:tcPr>
            <w:tcW w:w="1152" w:type="dxa"/>
            <w:tcBorders>
              <w:top w:val="nil"/>
              <w:left w:val="nil"/>
              <w:bottom w:val="nil"/>
              <w:right w:val="nil"/>
            </w:tcBorders>
            <w:shd w:val="clear" w:color="auto" w:fill="auto"/>
            <w:noWrap/>
            <w:vAlign w:val="bottom"/>
            <w:hideMark/>
          </w:tcPr>
          <w:p w14:paraId="69484AB9" w14:textId="77777777" w:rsidR="00B81CB5" w:rsidRDefault="00B81CB5" w:rsidP="005A3B4D">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15679BA3" w14:textId="77777777" w:rsidR="00B81CB5" w:rsidRDefault="00B81CB5"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42CA7C6E" w14:textId="77777777" w:rsidR="00B81CB5" w:rsidRDefault="00B81CB5" w:rsidP="005A3B4D">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6D1454FC" w14:textId="77777777" w:rsidR="00B81CB5" w:rsidRDefault="00B81CB5" w:rsidP="005A3B4D">
            <w:pPr>
              <w:jc w:val="right"/>
              <w:rPr>
                <w:color w:val="000000"/>
                <w:sz w:val="20"/>
                <w:szCs w:val="20"/>
              </w:rPr>
            </w:pPr>
            <w:r>
              <w:rPr>
                <w:color w:val="000000"/>
                <w:sz w:val="20"/>
                <w:szCs w:val="20"/>
              </w:rPr>
              <w:t>0.436</w:t>
            </w:r>
          </w:p>
        </w:tc>
        <w:tc>
          <w:tcPr>
            <w:tcW w:w="864" w:type="dxa"/>
            <w:tcBorders>
              <w:top w:val="nil"/>
              <w:left w:val="nil"/>
              <w:bottom w:val="nil"/>
              <w:right w:val="nil"/>
            </w:tcBorders>
            <w:shd w:val="clear" w:color="auto" w:fill="auto"/>
            <w:noWrap/>
            <w:vAlign w:val="bottom"/>
            <w:hideMark/>
          </w:tcPr>
          <w:p w14:paraId="400D3D42"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56F3F49A" w14:textId="77777777" w:rsidR="00B81CB5" w:rsidRDefault="00B81CB5" w:rsidP="005A3B4D">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67FB99CD" w14:textId="77777777" w:rsidR="00B81CB5" w:rsidRDefault="00B81CB5" w:rsidP="005A3B4D">
            <w:pPr>
              <w:jc w:val="right"/>
              <w:rPr>
                <w:color w:val="000000"/>
                <w:sz w:val="20"/>
                <w:szCs w:val="20"/>
              </w:rPr>
            </w:pPr>
            <w:r>
              <w:rPr>
                <w:color w:val="000000"/>
                <w:sz w:val="20"/>
                <w:szCs w:val="20"/>
              </w:rPr>
              <w:t>0.363</w:t>
            </w:r>
          </w:p>
        </w:tc>
        <w:tc>
          <w:tcPr>
            <w:tcW w:w="864" w:type="dxa"/>
            <w:tcBorders>
              <w:top w:val="nil"/>
              <w:left w:val="nil"/>
              <w:bottom w:val="nil"/>
              <w:right w:val="nil"/>
            </w:tcBorders>
            <w:shd w:val="clear" w:color="auto" w:fill="auto"/>
            <w:noWrap/>
            <w:vAlign w:val="bottom"/>
            <w:hideMark/>
          </w:tcPr>
          <w:p w14:paraId="3A482FDB" w14:textId="77777777" w:rsidR="00B81CB5" w:rsidRDefault="00B81CB5" w:rsidP="005A3B4D">
            <w:pPr>
              <w:jc w:val="right"/>
              <w:rPr>
                <w:color w:val="000000"/>
                <w:sz w:val="20"/>
                <w:szCs w:val="20"/>
              </w:rPr>
            </w:pPr>
            <w:r>
              <w:rPr>
                <w:color w:val="000000"/>
                <w:sz w:val="20"/>
                <w:szCs w:val="20"/>
              </w:rPr>
              <w:t>0.001</w:t>
            </w:r>
          </w:p>
        </w:tc>
      </w:tr>
      <w:tr w:rsidR="00B81CB5" w14:paraId="58372CAB" w14:textId="77777777" w:rsidTr="005A3B4D">
        <w:trPr>
          <w:trHeight w:val="320"/>
        </w:trPr>
        <w:tc>
          <w:tcPr>
            <w:tcW w:w="1152" w:type="dxa"/>
            <w:tcBorders>
              <w:top w:val="nil"/>
              <w:left w:val="nil"/>
              <w:bottom w:val="nil"/>
              <w:right w:val="nil"/>
            </w:tcBorders>
            <w:shd w:val="clear" w:color="auto" w:fill="auto"/>
            <w:noWrap/>
            <w:vAlign w:val="bottom"/>
            <w:hideMark/>
          </w:tcPr>
          <w:p w14:paraId="5D8CA238"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738375A"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2B05EF2"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3374F72" w14:textId="77777777" w:rsidR="00B81CB5" w:rsidRDefault="00B81CB5" w:rsidP="005A3B4D">
            <w:pPr>
              <w:jc w:val="right"/>
              <w:rPr>
                <w:color w:val="000000"/>
                <w:sz w:val="20"/>
                <w:szCs w:val="20"/>
              </w:rPr>
            </w:pPr>
            <w:r>
              <w:rPr>
                <w:color w:val="000000"/>
                <w:sz w:val="20"/>
                <w:szCs w:val="20"/>
              </w:rPr>
              <w:t>0.931</w:t>
            </w:r>
          </w:p>
        </w:tc>
        <w:tc>
          <w:tcPr>
            <w:tcW w:w="864" w:type="dxa"/>
            <w:tcBorders>
              <w:top w:val="nil"/>
              <w:left w:val="nil"/>
              <w:bottom w:val="nil"/>
              <w:right w:val="nil"/>
            </w:tcBorders>
            <w:shd w:val="clear" w:color="auto" w:fill="auto"/>
            <w:noWrap/>
            <w:vAlign w:val="bottom"/>
            <w:hideMark/>
          </w:tcPr>
          <w:p w14:paraId="7BEF809B"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E25C35B" w14:textId="77777777" w:rsidR="00B81CB5" w:rsidRDefault="00B81CB5" w:rsidP="005A3B4D">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79C44D00" w14:textId="77777777" w:rsidR="00B81CB5" w:rsidRDefault="00B81CB5" w:rsidP="005A3B4D">
            <w:pPr>
              <w:jc w:val="right"/>
              <w:rPr>
                <w:color w:val="000000"/>
                <w:sz w:val="20"/>
                <w:szCs w:val="20"/>
              </w:rPr>
            </w:pPr>
            <w:r>
              <w:rPr>
                <w:color w:val="000000"/>
                <w:sz w:val="20"/>
                <w:szCs w:val="20"/>
              </w:rPr>
              <w:t>0.856</w:t>
            </w:r>
          </w:p>
        </w:tc>
        <w:tc>
          <w:tcPr>
            <w:tcW w:w="864" w:type="dxa"/>
            <w:tcBorders>
              <w:top w:val="nil"/>
              <w:left w:val="nil"/>
              <w:bottom w:val="nil"/>
              <w:right w:val="nil"/>
            </w:tcBorders>
            <w:shd w:val="clear" w:color="auto" w:fill="auto"/>
            <w:noWrap/>
            <w:vAlign w:val="bottom"/>
            <w:hideMark/>
          </w:tcPr>
          <w:p w14:paraId="7ACAFC1F" w14:textId="77777777" w:rsidR="00B81CB5" w:rsidRDefault="00B81CB5" w:rsidP="005A3B4D">
            <w:pPr>
              <w:jc w:val="right"/>
              <w:rPr>
                <w:color w:val="000000"/>
                <w:sz w:val="20"/>
                <w:szCs w:val="20"/>
              </w:rPr>
            </w:pPr>
            <w:r>
              <w:rPr>
                <w:color w:val="000000"/>
                <w:sz w:val="20"/>
                <w:szCs w:val="20"/>
              </w:rPr>
              <w:t>0.000</w:t>
            </w:r>
          </w:p>
        </w:tc>
      </w:tr>
      <w:tr w:rsidR="00B81CB5" w14:paraId="5319316F" w14:textId="77777777" w:rsidTr="005A3B4D">
        <w:trPr>
          <w:trHeight w:val="320"/>
        </w:trPr>
        <w:tc>
          <w:tcPr>
            <w:tcW w:w="1152" w:type="dxa"/>
            <w:tcBorders>
              <w:top w:val="nil"/>
              <w:left w:val="nil"/>
              <w:bottom w:val="nil"/>
              <w:right w:val="nil"/>
            </w:tcBorders>
            <w:shd w:val="clear" w:color="auto" w:fill="auto"/>
            <w:noWrap/>
            <w:vAlign w:val="bottom"/>
            <w:hideMark/>
          </w:tcPr>
          <w:p w14:paraId="57B97C41"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1E0A52E"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22D87D7" w14:textId="77777777" w:rsidR="00B81CB5" w:rsidRDefault="00B81CB5" w:rsidP="005A3B4D">
            <w:pPr>
              <w:jc w:val="right"/>
              <w:rPr>
                <w:color w:val="000000"/>
                <w:sz w:val="20"/>
                <w:szCs w:val="20"/>
              </w:rPr>
            </w:pPr>
            <w:r>
              <w:rPr>
                <w:color w:val="000000"/>
                <w:sz w:val="20"/>
                <w:szCs w:val="20"/>
              </w:rPr>
              <w:t>0.053</w:t>
            </w:r>
          </w:p>
        </w:tc>
        <w:tc>
          <w:tcPr>
            <w:tcW w:w="864" w:type="dxa"/>
            <w:tcBorders>
              <w:top w:val="nil"/>
              <w:left w:val="nil"/>
              <w:bottom w:val="nil"/>
              <w:right w:val="nil"/>
            </w:tcBorders>
            <w:shd w:val="clear" w:color="auto" w:fill="auto"/>
            <w:noWrap/>
            <w:vAlign w:val="bottom"/>
            <w:hideMark/>
          </w:tcPr>
          <w:p w14:paraId="47C10A70" w14:textId="77777777" w:rsidR="00B81CB5" w:rsidRDefault="00B81CB5" w:rsidP="005A3B4D">
            <w:pPr>
              <w:jc w:val="right"/>
              <w:rPr>
                <w:color w:val="000000"/>
                <w:sz w:val="20"/>
                <w:szCs w:val="20"/>
              </w:rPr>
            </w:pPr>
            <w:r>
              <w:rPr>
                <w:color w:val="000000"/>
                <w:sz w:val="20"/>
                <w:szCs w:val="20"/>
              </w:rPr>
              <w:t>0.436</w:t>
            </w:r>
          </w:p>
        </w:tc>
        <w:tc>
          <w:tcPr>
            <w:tcW w:w="864" w:type="dxa"/>
            <w:tcBorders>
              <w:top w:val="nil"/>
              <w:left w:val="nil"/>
              <w:bottom w:val="nil"/>
              <w:right w:val="nil"/>
            </w:tcBorders>
            <w:shd w:val="clear" w:color="auto" w:fill="auto"/>
            <w:noWrap/>
            <w:vAlign w:val="bottom"/>
            <w:hideMark/>
          </w:tcPr>
          <w:p w14:paraId="53BA5888"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2EE33E30" w14:textId="77777777" w:rsidR="00B81CB5" w:rsidRDefault="00B81CB5" w:rsidP="005A3B4D">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5ED576AD" w14:textId="77777777" w:rsidR="00B81CB5" w:rsidRDefault="00B81CB5" w:rsidP="005A3B4D">
            <w:pPr>
              <w:jc w:val="right"/>
              <w:rPr>
                <w:color w:val="000000"/>
                <w:sz w:val="20"/>
                <w:szCs w:val="20"/>
              </w:rPr>
            </w:pPr>
            <w:r>
              <w:rPr>
                <w:color w:val="000000"/>
                <w:sz w:val="20"/>
                <w:szCs w:val="20"/>
              </w:rPr>
              <w:t>0.538</w:t>
            </w:r>
          </w:p>
        </w:tc>
        <w:tc>
          <w:tcPr>
            <w:tcW w:w="864" w:type="dxa"/>
            <w:tcBorders>
              <w:top w:val="nil"/>
              <w:left w:val="nil"/>
              <w:bottom w:val="nil"/>
              <w:right w:val="nil"/>
            </w:tcBorders>
            <w:shd w:val="clear" w:color="auto" w:fill="auto"/>
            <w:noWrap/>
            <w:vAlign w:val="bottom"/>
            <w:hideMark/>
          </w:tcPr>
          <w:p w14:paraId="3E36B060" w14:textId="77777777" w:rsidR="00B81CB5" w:rsidRDefault="00B81CB5" w:rsidP="005A3B4D">
            <w:pPr>
              <w:jc w:val="right"/>
              <w:rPr>
                <w:color w:val="000000"/>
                <w:sz w:val="20"/>
                <w:szCs w:val="20"/>
              </w:rPr>
            </w:pPr>
            <w:r>
              <w:rPr>
                <w:color w:val="000000"/>
                <w:sz w:val="20"/>
                <w:szCs w:val="20"/>
              </w:rPr>
              <w:t>0.000</w:t>
            </w:r>
          </w:p>
        </w:tc>
      </w:tr>
      <w:tr w:rsidR="00B81CB5" w14:paraId="3B2A23FC" w14:textId="77777777" w:rsidTr="005A3B4D">
        <w:trPr>
          <w:trHeight w:val="320"/>
        </w:trPr>
        <w:tc>
          <w:tcPr>
            <w:tcW w:w="1152" w:type="dxa"/>
            <w:tcBorders>
              <w:top w:val="nil"/>
              <w:left w:val="nil"/>
              <w:bottom w:val="nil"/>
              <w:right w:val="nil"/>
            </w:tcBorders>
            <w:shd w:val="clear" w:color="auto" w:fill="auto"/>
            <w:noWrap/>
            <w:vAlign w:val="bottom"/>
            <w:hideMark/>
          </w:tcPr>
          <w:p w14:paraId="088A5202"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D78D2AB"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F36CFF2" w14:textId="77777777" w:rsidR="00B81CB5" w:rsidRDefault="00B81CB5" w:rsidP="005A3B4D">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54D47159" w14:textId="77777777" w:rsidR="00B81CB5" w:rsidRDefault="00B81CB5" w:rsidP="005A3B4D">
            <w:pPr>
              <w:jc w:val="right"/>
              <w:rPr>
                <w:color w:val="000000"/>
                <w:sz w:val="20"/>
                <w:szCs w:val="20"/>
              </w:rPr>
            </w:pPr>
            <w:r>
              <w:rPr>
                <w:color w:val="000000"/>
                <w:sz w:val="20"/>
                <w:szCs w:val="20"/>
              </w:rPr>
              <w:t>0.468</w:t>
            </w:r>
          </w:p>
        </w:tc>
        <w:tc>
          <w:tcPr>
            <w:tcW w:w="864" w:type="dxa"/>
            <w:tcBorders>
              <w:top w:val="nil"/>
              <w:left w:val="nil"/>
              <w:bottom w:val="nil"/>
              <w:right w:val="nil"/>
            </w:tcBorders>
            <w:shd w:val="clear" w:color="auto" w:fill="auto"/>
            <w:noWrap/>
            <w:vAlign w:val="bottom"/>
            <w:hideMark/>
          </w:tcPr>
          <w:p w14:paraId="750D3587"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6CB5FDA" w14:textId="77777777" w:rsidR="00B81CB5" w:rsidRDefault="00B81CB5" w:rsidP="005A3B4D">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1328DF93" w14:textId="77777777" w:rsidR="00B81CB5" w:rsidRDefault="00B81CB5" w:rsidP="005A3B4D">
            <w:pPr>
              <w:jc w:val="right"/>
              <w:rPr>
                <w:color w:val="000000"/>
                <w:sz w:val="20"/>
                <w:szCs w:val="20"/>
              </w:rPr>
            </w:pPr>
            <w:r>
              <w:rPr>
                <w:color w:val="000000"/>
                <w:sz w:val="20"/>
                <w:szCs w:val="20"/>
              </w:rPr>
              <w:t>0.363</w:t>
            </w:r>
          </w:p>
        </w:tc>
        <w:tc>
          <w:tcPr>
            <w:tcW w:w="864" w:type="dxa"/>
            <w:tcBorders>
              <w:top w:val="nil"/>
              <w:left w:val="nil"/>
              <w:bottom w:val="nil"/>
              <w:right w:val="nil"/>
            </w:tcBorders>
            <w:shd w:val="clear" w:color="auto" w:fill="auto"/>
            <w:noWrap/>
            <w:vAlign w:val="bottom"/>
            <w:hideMark/>
          </w:tcPr>
          <w:p w14:paraId="2215D8C8" w14:textId="77777777" w:rsidR="00B81CB5" w:rsidRDefault="00B81CB5" w:rsidP="005A3B4D">
            <w:pPr>
              <w:jc w:val="right"/>
              <w:rPr>
                <w:color w:val="000000"/>
                <w:sz w:val="20"/>
                <w:szCs w:val="20"/>
              </w:rPr>
            </w:pPr>
            <w:r>
              <w:rPr>
                <w:color w:val="000000"/>
                <w:sz w:val="20"/>
                <w:szCs w:val="20"/>
              </w:rPr>
              <w:t>0.001</w:t>
            </w:r>
          </w:p>
        </w:tc>
      </w:tr>
      <w:tr w:rsidR="00B81CB5" w14:paraId="08649055" w14:textId="77777777" w:rsidTr="005A3B4D">
        <w:trPr>
          <w:trHeight w:val="320"/>
        </w:trPr>
        <w:tc>
          <w:tcPr>
            <w:tcW w:w="1152" w:type="dxa"/>
            <w:tcBorders>
              <w:top w:val="nil"/>
              <w:left w:val="nil"/>
              <w:bottom w:val="nil"/>
              <w:right w:val="nil"/>
            </w:tcBorders>
            <w:shd w:val="clear" w:color="auto" w:fill="auto"/>
            <w:noWrap/>
            <w:vAlign w:val="bottom"/>
            <w:hideMark/>
          </w:tcPr>
          <w:p w14:paraId="5AB33E48"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96931CA"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43A7DFDC" w14:textId="77777777" w:rsidR="00B81CB5" w:rsidRDefault="00B81CB5" w:rsidP="005A3B4D">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1A43CDB8" w14:textId="77777777" w:rsidR="00B81CB5" w:rsidRDefault="00B81CB5" w:rsidP="005A3B4D">
            <w:pPr>
              <w:jc w:val="right"/>
              <w:rPr>
                <w:color w:val="000000"/>
                <w:sz w:val="20"/>
                <w:szCs w:val="20"/>
              </w:rPr>
            </w:pPr>
            <w:r>
              <w:rPr>
                <w:color w:val="000000"/>
                <w:sz w:val="20"/>
                <w:szCs w:val="20"/>
              </w:rPr>
              <w:t>0.468</w:t>
            </w:r>
          </w:p>
        </w:tc>
        <w:tc>
          <w:tcPr>
            <w:tcW w:w="864" w:type="dxa"/>
            <w:tcBorders>
              <w:top w:val="nil"/>
              <w:left w:val="nil"/>
              <w:bottom w:val="nil"/>
              <w:right w:val="nil"/>
            </w:tcBorders>
            <w:shd w:val="clear" w:color="auto" w:fill="auto"/>
            <w:noWrap/>
            <w:vAlign w:val="bottom"/>
            <w:hideMark/>
          </w:tcPr>
          <w:p w14:paraId="3637DAAB" w14:textId="77777777" w:rsidR="00B81CB5" w:rsidRDefault="00B81CB5" w:rsidP="005A3B4D">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7CCAF42" w14:textId="77777777" w:rsidR="00B81CB5" w:rsidRDefault="00B81CB5" w:rsidP="005A3B4D">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226C485A" w14:textId="77777777" w:rsidR="00B81CB5" w:rsidRDefault="00B81CB5" w:rsidP="005A3B4D">
            <w:pPr>
              <w:jc w:val="right"/>
              <w:rPr>
                <w:color w:val="000000"/>
                <w:sz w:val="20"/>
                <w:szCs w:val="20"/>
              </w:rPr>
            </w:pPr>
            <w:r>
              <w:rPr>
                <w:color w:val="000000"/>
                <w:sz w:val="20"/>
                <w:szCs w:val="20"/>
              </w:rPr>
              <w:t>0.363</w:t>
            </w:r>
          </w:p>
        </w:tc>
        <w:tc>
          <w:tcPr>
            <w:tcW w:w="864" w:type="dxa"/>
            <w:tcBorders>
              <w:top w:val="nil"/>
              <w:left w:val="nil"/>
              <w:bottom w:val="nil"/>
              <w:right w:val="nil"/>
            </w:tcBorders>
            <w:shd w:val="clear" w:color="auto" w:fill="auto"/>
            <w:noWrap/>
            <w:vAlign w:val="bottom"/>
            <w:hideMark/>
          </w:tcPr>
          <w:p w14:paraId="2F206236" w14:textId="77777777" w:rsidR="00B81CB5" w:rsidRDefault="00B81CB5" w:rsidP="005A3B4D">
            <w:pPr>
              <w:jc w:val="right"/>
              <w:rPr>
                <w:color w:val="000000"/>
                <w:sz w:val="20"/>
                <w:szCs w:val="20"/>
              </w:rPr>
            </w:pPr>
            <w:r>
              <w:rPr>
                <w:color w:val="000000"/>
                <w:sz w:val="20"/>
                <w:szCs w:val="20"/>
              </w:rPr>
              <w:t>0.001</w:t>
            </w:r>
          </w:p>
        </w:tc>
      </w:tr>
      <w:tr w:rsidR="00B81CB5" w14:paraId="0000129E" w14:textId="77777777" w:rsidTr="005A3B4D">
        <w:trPr>
          <w:trHeight w:val="320"/>
        </w:trPr>
        <w:tc>
          <w:tcPr>
            <w:tcW w:w="1152" w:type="dxa"/>
            <w:tcBorders>
              <w:top w:val="nil"/>
              <w:left w:val="nil"/>
              <w:bottom w:val="nil"/>
              <w:right w:val="nil"/>
            </w:tcBorders>
            <w:shd w:val="clear" w:color="auto" w:fill="auto"/>
            <w:noWrap/>
            <w:vAlign w:val="bottom"/>
            <w:hideMark/>
          </w:tcPr>
          <w:p w14:paraId="1501B0C6"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CE74FA0"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0E6BA10" w14:textId="77777777" w:rsidR="00B81CB5" w:rsidRDefault="00B81CB5" w:rsidP="005A3B4D">
            <w:pPr>
              <w:jc w:val="right"/>
              <w:rPr>
                <w:color w:val="000000"/>
                <w:sz w:val="20"/>
                <w:szCs w:val="20"/>
              </w:rPr>
            </w:pPr>
            <w:r>
              <w:rPr>
                <w:color w:val="000000"/>
                <w:sz w:val="20"/>
                <w:szCs w:val="20"/>
              </w:rPr>
              <w:t>-0.090</w:t>
            </w:r>
          </w:p>
        </w:tc>
        <w:tc>
          <w:tcPr>
            <w:tcW w:w="864" w:type="dxa"/>
            <w:tcBorders>
              <w:top w:val="nil"/>
              <w:left w:val="nil"/>
              <w:bottom w:val="nil"/>
              <w:right w:val="nil"/>
            </w:tcBorders>
            <w:shd w:val="clear" w:color="auto" w:fill="auto"/>
            <w:noWrap/>
            <w:vAlign w:val="bottom"/>
            <w:hideMark/>
          </w:tcPr>
          <w:p w14:paraId="3E7CEB47" w14:textId="77777777" w:rsidR="00B81CB5" w:rsidRDefault="00B81CB5" w:rsidP="005A3B4D">
            <w:pPr>
              <w:jc w:val="right"/>
              <w:rPr>
                <w:color w:val="000000"/>
                <w:sz w:val="20"/>
                <w:szCs w:val="20"/>
              </w:rPr>
            </w:pPr>
            <w:r>
              <w:rPr>
                <w:color w:val="000000"/>
                <w:sz w:val="20"/>
                <w:szCs w:val="20"/>
              </w:rPr>
              <w:t>0.080</w:t>
            </w:r>
          </w:p>
        </w:tc>
        <w:tc>
          <w:tcPr>
            <w:tcW w:w="864" w:type="dxa"/>
            <w:tcBorders>
              <w:top w:val="nil"/>
              <w:left w:val="nil"/>
              <w:bottom w:val="nil"/>
              <w:right w:val="nil"/>
            </w:tcBorders>
            <w:shd w:val="clear" w:color="auto" w:fill="auto"/>
            <w:noWrap/>
            <w:vAlign w:val="bottom"/>
            <w:hideMark/>
          </w:tcPr>
          <w:p w14:paraId="595AD91C" w14:textId="77777777" w:rsidR="00B81CB5" w:rsidRDefault="00B81CB5"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0D47EA9B" w14:textId="77777777" w:rsidR="00B81CB5" w:rsidRDefault="00B81CB5" w:rsidP="005A3B4D">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1AFFF136" w14:textId="77777777" w:rsidR="00B81CB5" w:rsidRDefault="00B81CB5" w:rsidP="005A3B4D">
            <w:pPr>
              <w:jc w:val="right"/>
              <w:rPr>
                <w:color w:val="000000"/>
                <w:sz w:val="20"/>
                <w:szCs w:val="20"/>
              </w:rPr>
            </w:pPr>
            <w:r>
              <w:rPr>
                <w:color w:val="000000"/>
                <w:sz w:val="20"/>
                <w:szCs w:val="20"/>
              </w:rPr>
              <w:t>0.152</w:t>
            </w:r>
          </w:p>
        </w:tc>
        <w:tc>
          <w:tcPr>
            <w:tcW w:w="864" w:type="dxa"/>
            <w:tcBorders>
              <w:top w:val="nil"/>
              <w:left w:val="nil"/>
              <w:bottom w:val="nil"/>
              <w:right w:val="nil"/>
            </w:tcBorders>
            <w:shd w:val="clear" w:color="auto" w:fill="auto"/>
            <w:noWrap/>
            <w:vAlign w:val="bottom"/>
            <w:hideMark/>
          </w:tcPr>
          <w:p w14:paraId="67D5613B" w14:textId="77777777" w:rsidR="00B81CB5" w:rsidRDefault="00B81CB5" w:rsidP="005A3B4D">
            <w:pPr>
              <w:jc w:val="right"/>
              <w:rPr>
                <w:color w:val="000000"/>
                <w:sz w:val="20"/>
                <w:szCs w:val="20"/>
              </w:rPr>
            </w:pPr>
            <w:r>
              <w:rPr>
                <w:color w:val="000000"/>
                <w:sz w:val="20"/>
                <w:szCs w:val="20"/>
              </w:rPr>
              <w:t>0.005</w:t>
            </w:r>
          </w:p>
        </w:tc>
      </w:tr>
      <w:tr w:rsidR="00B81CB5" w14:paraId="6DF28FA1" w14:textId="77777777" w:rsidTr="005A3B4D">
        <w:trPr>
          <w:trHeight w:val="320"/>
        </w:trPr>
        <w:tc>
          <w:tcPr>
            <w:tcW w:w="1152" w:type="dxa"/>
            <w:tcBorders>
              <w:top w:val="nil"/>
              <w:left w:val="nil"/>
              <w:bottom w:val="nil"/>
              <w:right w:val="nil"/>
            </w:tcBorders>
            <w:shd w:val="clear" w:color="auto" w:fill="auto"/>
            <w:noWrap/>
            <w:vAlign w:val="bottom"/>
            <w:hideMark/>
          </w:tcPr>
          <w:p w14:paraId="1DD6E662"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850ECCE"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3999319" w14:textId="77777777" w:rsidR="00B81CB5" w:rsidRDefault="00B81CB5" w:rsidP="005A3B4D">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25ACEE04" w14:textId="77777777" w:rsidR="00B81CB5" w:rsidRDefault="00B81CB5" w:rsidP="005A3B4D">
            <w:pPr>
              <w:jc w:val="right"/>
              <w:rPr>
                <w:color w:val="000000"/>
                <w:sz w:val="20"/>
                <w:szCs w:val="20"/>
              </w:rPr>
            </w:pPr>
            <w:r>
              <w:rPr>
                <w:color w:val="000000"/>
                <w:sz w:val="20"/>
                <w:szCs w:val="20"/>
              </w:rPr>
              <w:t>0.436</w:t>
            </w:r>
          </w:p>
        </w:tc>
        <w:tc>
          <w:tcPr>
            <w:tcW w:w="864" w:type="dxa"/>
            <w:tcBorders>
              <w:top w:val="nil"/>
              <w:left w:val="nil"/>
              <w:bottom w:val="nil"/>
              <w:right w:val="nil"/>
            </w:tcBorders>
            <w:shd w:val="clear" w:color="auto" w:fill="auto"/>
            <w:noWrap/>
            <w:vAlign w:val="bottom"/>
            <w:hideMark/>
          </w:tcPr>
          <w:p w14:paraId="7633D150"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3CF1DD4E" w14:textId="77777777" w:rsidR="00B81CB5" w:rsidRDefault="00B81CB5" w:rsidP="005A3B4D">
            <w:pPr>
              <w:jc w:val="right"/>
              <w:rPr>
                <w:color w:val="000000"/>
                <w:sz w:val="20"/>
                <w:szCs w:val="20"/>
              </w:rPr>
            </w:pPr>
            <w:r>
              <w:rPr>
                <w:color w:val="000000"/>
                <w:sz w:val="20"/>
                <w:szCs w:val="20"/>
              </w:rPr>
              <w:t>0.051</w:t>
            </w:r>
          </w:p>
        </w:tc>
        <w:tc>
          <w:tcPr>
            <w:tcW w:w="864" w:type="dxa"/>
            <w:tcBorders>
              <w:top w:val="nil"/>
              <w:left w:val="nil"/>
              <w:bottom w:val="nil"/>
              <w:right w:val="nil"/>
            </w:tcBorders>
            <w:shd w:val="clear" w:color="auto" w:fill="auto"/>
            <w:noWrap/>
            <w:vAlign w:val="bottom"/>
            <w:hideMark/>
          </w:tcPr>
          <w:p w14:paraId="25C3BAE6" w14:textId="77777777" w:rsidR="00B81CB5" w:rsidRDefault="00B81CB5" w:rsidP="005A3B4D">
            <w:pPr>
              <w:jc w:val="right"/>
              <w:rPr>
                <w:color w:val="000000"/>
                <w:sz w:val="20"/>
                <w:szCs w:val="20"/>
              </w:rPr>
            </w:pPr>
            <w:r>
              <w:rPr>
                <w:color w:val="000000"/>
                <w:sz w:val="20"/>
                <w:szCs w:val="20"/>
              </w:rPr>
              <w:t>0.363</w:t>
            </w:r>
          </w:p>
        </w:tc>
        <w:tc>
          <w:tcPr>
            <w:tcW w:w="864" w:type="dxa"/>
            <w:tcBorders>
              <w:top w:val="nil"/>
              <w:left w:val="nil"/>
              <w:bottom w:val="nil"/>
              <w:right w:val="nil"/>
            </w:tcBorders>
            <w:shd w:val="clear" w:color="auto" w:fill="auto"/>
            <w:noWrap/>
            <w:vAlign w:val="bottom"/>
            <w:hideMark/>
          </w:tcPr>
          <w:p w14:paraId="60E5E0EB" w14:textId="77777777" w:rsidR="00B81CB5" w:rsidRDefault="00B81CB5" w:rsidP="005A3B4D">
            <w:pPr>
              <w:jc w:val="right"/>
              <w:rPr>
                <w:color w:val="000000"/>
                <w:sz w:val="20"/>
                <w:szCs w:val="20"/>
              </w:rPr>
            </w:pPr>
            <w:r>
              <w:rPr>
                <w:color w:val="000000"/>
                <w:sz w:val="20"/>
                <w:szCs w:val="20"/>
              </w:rPr>
              <w:t>0.003</w:t>
            </w:r>
          </w:p>
        </w:tc>
      </w:tr>
      <w:tr w:rsidR="00B81CB5" w14:paraId="01C3AC4E" w14:textId="77777777" w:rsidTr="005A3B4D">
        <w:trPr>
          <w:trHeight w:val="320"/>
        </w:trPr>
        <w:tc>
          <w:tcPr>
            <w:tcW w:w="1152" w:type="dxa"/>
            <w:tcBorders>
              <w:top w:val="nil"/>
              <w:left w:val="nil"/>
              <w:bottom w:val="single" w:sz="4" w:space="0" w:color="auto"/>
              <w:right w:val="nil"/>
            </w:tcBorders>
            <w:shd w:val="clear" w:color="auto" w:fill="auto"/>
            <w:noWrap/>
            <w:vAlign w:val="bottom"/>
            <w:hideMark/>
          </w:tcPr>
          <w:p w14:paraId="0D7D01C9"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FBA3DE3"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6E4D3FA" w14:textId="77777777" w:rsidR="00B81CB5" w:rsidRDefault="00B81CB5" w:rsidP="005A3B4D">
            <w:pPr>
              <w:jc w:val="right"/>
              <w:rPr>
                <w:color w:val="000000"/>
                <w:sz w:val="20"/>
                <w:szCs w:val="20"/>
              </w:rPr>
            </w:pPr>
            <w:r>
              <w:rPr>
                <w:color w:val="000000"/>
                <w:sz w:val="20"/>
                <w:szCs w:val="20"/>
              </w:rPr>
              <w:t>0.007</w:t>
            </w:r>
          </w:p>
        </w:tc>
        <w:tc>
          <w:tcPr>
            <w:tcW w:w="864" w:type="dxa"/>
            <w:tcBorders>
              <w:top w:val="nil"/>
              <w:left w:val="nil"/>
              <w:bottom w:val="single" w:sz="4" w:space="0" w:color="auto"/>
              <w:right w:val="nil"/>
            </w:tcBorders>
            <w:shd w:val="clear" w:color="auto" w:fill="auto"/>
            <w:noWrap/>
            <w:vAlign w:val="bottom"/>
            <w:hideMark/>
          </w:tcPr>
          <w:p w14:paraId="43A50599" w14:textId="77777777" w:rsidR="00B81CB5" w:rsidRDefault="00B81CB5" w:rsidP="005A3B4D">
            <w:pPr>
              <w:jc w:val="right"/>
              <w:rPr>
                <w:color w:val="000000"/>
                <w:sz w:val="20"/>
                <w:szCs w:val="20"/>
              </w:rPr>
            </w:pPr>
            <w:r>
              <w:rPr>
                <w:color w:val="000000"/>
                <w:sz w:val="20"/>
                <w:szCs w:val="20"/>
              </w:rPr>
              <w:t>0.931</w:t>
            </w:r>
          </w:p>
        </w:tc>
        <w:tc>
          <w:tcPr>
            <w:tcW w:w="864" w:type="dxa"/>
            <w:tcBorders>
              <w:top w:val="nil"/>
              <w:left w:val="nil"/>
              <w:bottom w:val="single" w:sz="4" w:space="0" w:color="auto"/>
              <w:right w:val="nil"/>
            </w:tcBorders>
            <w:shd w:val="clear" w:color="auto" w:fill="auto"/>
            <w:noWrap/>
            <w:vAlign w:val="bottom"/>
            <w:hideMark/>
          </w:tcPr>
          <w:p w14:paraId="2CD48817"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70759519" w14:textId="77777777" w:rsidR="00B81CB5" w:rsidRDefault="00B81CB5" w:rsidP="005A3B4D">
            <w:pPr>
              <w:jc w:val="right"/>
              <w:rPr>
                <w:color w:val="000000"/>
                <w:sz w:val="20"/>
                <w:szCs w:val="20"/>
              </w:rPr>
            </w:pPr>
            <w:r>
              <w:rPr>
                <w:color w:val="000000"/>
                <w:sz w:val="20"/>
                <w:szCs w:val="20"/>
              </w:rPr>
              <w:t>-0.033</w:t>
            </w:r>
          </w:p>
        </w:tc>
        <w:tc>
          <w:tcPr>
            <w:tcW w:w="864" w:type="dxa"/>
            <w:tcBorders>
              <w:top w:val="nil"/>
              <w:left w:val="nil"/>
              <w:bottom w:val="single" w:sz="4" w:space="0" w:color="auto"/>
              <w:right w:val="nil"/>
            </w:tcBorders>
            <w:shd w:val="clear" w:color="auto" w:fill="auto"/>
            <w:noWrap/>
            <w:vAlign w:val="bottom"/>
            <w:hideMark/>
          </w:tcPr>
          <w:p w14:paraId="69E5C981" w14:textId="77777777" w:rsidR="00B81CB5" w:rsidRDefault="00B81CB5" w:rsidP="005A3B4D">
            <w:pPr>
              <w:jc w:val="right"/>
              <w:rPr>
                <w:color w:val="000000"/>
                <w:sz w:val="20"/>
                <w:szCs w:val="20"/>
              </w:rPr>
            </w:pPr>
            <w:r>
              <w:rPr>
                <w:color w:val="000000"/>
                <w:sz w:val="20"/>
                <w:szCs w:val="20"/>
              </w:rPr>
              <w:t>0.404</w:t>
            </w:r>
          </w:p>
        </w:tc>
        <w:tc>
          <w:tcPr>
            <w:tcW w:w="864" w:type="dxa"/>
            <w:tcBorders>
              <w:top w:val="nil"/>
              <w:left w:val="nil"/>
              <w:bottom w:val="single" w:sz="4" w:space="0" w:color="auto"/>
              <w:right w:val="nil"/>
            </w:tcBorders>
            <w:shd w:val="clear" w:color="auto" w:fill="auto"/>
            <w:noWrap/>
            <w:vAlign w:val="bottom"/>
            <w:hideMark/>
          </w:tcPr>
          <w:p w14:paraId="2F704995" w14:textId="77777777" w:rsidR="00B81CB5" w:rsidRDefault="00B81CB5" w:rsidP="005A3B4D">
            <w:pPr>
              <w:jc w:val="right"/>
              <w:rPr>
                <w:color w:val="000000"/>
                <w:sz w:val="20"/>
                <w:szCs w:val="20"/>
              </w:rPr>
            </w:pPr>
            <w:r>
              <w:rPr>
                <w:color w:val="000000"/>
                <w:sz w:val="20"/>
                <w:szCs w:val="20"/>
              </w:rPr>
              <w:t>0.001</w:t>
            </w:r>
          </w:p>
        </w:tc>
      </w:tr>
      <w:tr w:rsidR="00B81CB5" w14:paraId="021050F5" w14:textId="77777777" w:rsidTr="005A3B4D">
        <w:trPr>
          <w:trHeight w:val="320"/>
        </w:trPr>
        <w:tc>
          <w:tcPr>
            <w:tcW w:w="1152" w:type="dxa"/>
            <w:tcBorders>
              <w:top w:val="nil"/>
              <w:left w:val="nil"/>
              <w:bottom w:val="nil"/>
              <w:right w:val="nil"/>
            </w:tcBorders>
            <w:shd w:val="clear" w:color="auto" w:fill="auto"/>
            <w:noWrap/>
            <w:vAlign w:val="bottom"/>
            <w:hideMark/>
          </w:tcPr>
          <w:p w14:paraId="4AB5D146" w14:textId="77777777" w:rsidR="00B81CB5" w:rsidRDefault="00B81CB5" w:rsidP="005A3B4D">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3C2A5954" w14:textId="77777777" w:rsidR="00B81CB5" w:rsidRDefault="00B81CB5" w:rsidP="005A3B4D">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FB1AF67" w14:textId="77777777" w:rsidR="00B81CB5" w:rsidRDefault="00B81CB5" w:rsidP="005A3B4D">
            <w:pPr>
              <w:jc w:val="right"/>
              <w:rPr>
                <w:color w:val="000000"/>
                <w:sz w:val="20"/>
                <w:szCs w:val="20"/>
              </w:rPr>
            </w:pPr>
            <w:r>
              <w:rPr>
                <w:color w:val="000000"/>
                <w:sz w:val="20"/>
                <w:szCs w:val="20"/>
              </w:rPr>
              <w:t>0.050</w:t>
            </w:r>
          </w:p>
        </w:tc>
        <w:tc>
          <w:tcPr>
            <w:tcW w:w="864" w:type="dxa"/>
            <w:tcBorders>
              <w:top w:val="nil"/>
              <w:left w:val="nil"/>
              <w:bottom w:val="nil"/>
              <w:right w:val="nil"/>
            </w:tcBorders>
            <w:shd w:val="clear" w:color="auto" w:fill="auto"/>
            <w:noWrap/>
            <w:vAlign w:val="bottom"/>
            <w:hideMark/>
          </w:tcPr>
          <w:p w14:paraId="1EA2CBA0" w14:textId="77777777" w:rsidR="00B81CB5" w:rsidRDefault="00B81CB5" w:rsidP="005A3B4D">
            <w:pPr>
              <w:jc w:val="right"/>
              <w:rPr>
                <w:color w:val="000000"/>
                <w:sz w:val="20"/>
                <w:szCs w:val="20"/>
              </w:rPr>
            </w:pPr>
            <w:r>
              <w:rPr>
                <w:color w:val="000000"/>
                <w:sz w:val="20"/>
                <w:szCs w:val="20"/>
              </w:rPr>
              <w:t>0.325</w:t>
            </w:r>
          </w:p>
        </w:tc>
        <w:tc>
          <w:tcPr>
            <w:tcW w:w="864" w:type="dxa"/>
            <w:tcBorders>
              <w:top w:val="nil"/>
              <w:left w:val="nil"/>
              <w:bottom w:val="nil"/>
              <w:right w:val="nil"/>
            </w:tcBorders>
            <w:shd w:val="clear" w:color="auto" w:fill="auto"/>
            <w:noWrap/>
            <w:vAlign w:val="bottom"/>
            <w:hideMark/>
          </w:tcPr>
          <w:p w14:paraId="666A7E5B" w14:textId="77777777" w:rsidR="00B81CB5" w:rsidRDefault="00B81CB5" w:rsidP="005A3B4D">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E7E62F8" w14:textId="77777777" w:rsidR="00B81CB5" w:rsidRDefault="00B81CB5" w:rsidP="005A3B4D">
            <w:pPr>
              <w:jc w:val="right"/>
              <w:rPr>
                <w:color w:val="000000"/>
                <w:sz w:val="20"/>
                <w:szCs w:val="20"/>
              </w:rPr>
            </w:pPr>
            <w:r>
              <w:rPr>
                <w:color w:val="000000"/>
                <w:sz w:val="20"/>
                <w:szCs w:val="20"/>
              </w:rPr>
              <w:t>0.046</w:t>
            </w:r>
          </w:p>
        </w:tc>
        <w:tc>
          <w:tcPr>
            <w:tcW w:w="864" w:type="dxa"/>
            <w:tcBorders>
              <w:top w:val="nil"/>
              <w:left w:val="nil"/>
              <w:bottom w:val="nil"/>
              <w:right w:val="nil"/>
            </w:tcBorders>
            <w:shd w:val="clear" w:color="auto" w:fill="auto"/>
            <w:noWrap/>
            <w:vAlign w:val="bottom"/>
            <w:hideMark/>
          </w:tcPr>
          <w:p w14:paraId="71A78BDF" w14:textId="77777777" w:rsidR="00B81CB5" w:rsidRDefault="00B81CB5" w:rsidP="005A3B4D">
            <w:pPr>
              <w:jc w:val="right"/>
              <w:rPr>
                <w:color w:val="000000"/>
                <w:sz w:val="20"/>
                <w:szCs w:val="20"/>
              </w:rPr>
            </w:pPr>
            <w:r>
              <w:rPr>
                <w:color w:val="000000"/>
                <w:sz w:val="20"/>
                <w:szCs w:val="20"/>
              </w:rPr>
              <w:t>0.411</w:t>
            </w:r>
          </w:p>
        </w:tc>
        <w:tc>
          <w:tcPr>
            <w:tcW w:w="864" w:type="dxa"/>
            <w:tcBorders>
              <w:top w:val="nil"/>
              <w:left w:val="nil"/>
              <w:bottom w:val="nil"/>
              <w:right w:val="nil"/>
            </w:tcBorders>
            <w:shd w:val="clear" w:color="auto" w:fill="auto"/>
            <w:noWrap/>
            <w:vAlign w:val="bottom"/>
            <w:hideMark/>
          </w:tcPr>
          <w:p w14:paraId="43ADEAAA" w14:textId="77777777" w:rsidR="00B81CB5" w:rsidRDefault="00B81CB5" w:rsidP="005A3B4D">
            <w:pPr>
              <w:jc w:val="right"/>
              <w:rPr>
                <w:color w:val="000000"/>
                <w:sz w:val="20"/>
                <w:szCs w:val="20"/>
              </w:rPr>
            </w:pPr>
            <w:r>
              <w:rPr>
                <w:color w:val="000000"/>
                <w:sz w:val="20"/>
                <w:szCs w:val="20"/>
              </w:rPr>
              <w:t>0.002</w:t>
            </w:r>
          </w:p>
        </w:tc>
      </w:tr>
      <w:tr w:rsidR="00B81CB5" w14:paraId="42575A9F" w14:textId="77777777" w:rsidTr="005A3B4D">
        <w:trPr>
          <w:trHeight w:val="320"/>
        </w:trPr>
        <w:tc>
          <w:tcPr>
            <w:tcW w:w="1152" w:type="dxa"/>
            <w:tcBorders>
              <w:top w:val="nil"/>
              <w:left w:val="nil"/>
              <w:bottom w:val="nil"/>
              <w:right w:val="nil"/>
            </w:tcBorders>
            <w:shd w:val="clear" w:color="auto" w:fill="auto"/>
            <w:noWrap/>
            <w:vAlign w:val="bottom"/>
            <w:hideMark/>
          </w:tcPr>
          <w:p w14:paraId="46FE6846"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8F311C9" w14:textId="77777777" w:rsidR="00B81CB5" w:rsidRDefault="00B81CB5" w:rsidP="005A3B4D">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FFE1A06" w14:textId="77777777" w:rsidR="00B81CB5" w:rsidRDefault="00B81CB5" w:rsidP="005A3B4D">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22390F08" w14:textId="77777777" w:rsidR="00B81CB5" w:rsidRDefault="00B81CB5" w:rsidP="005A3B4D">
            <w:pPr>
              <w:jc w:val="right"/>
              <w:rPr>
                <w:color w:val="000000"/>
                <w:sz w:val="20"/>
                <w:szCs w:val="20"/>
              </w:rPr>
            </w:pPr>
            <w:r>
              <w:rPr>
                <w:color w:val="000000"/>
                <w:sz w:val="20"/>
                <w:szCs w:val="20"/>
              </w:rPr>
              <w:t>0.713</w:t>
            </w:r>
          </w:p>
        </w:tc>
        <w:tc>
          <w:tcPr>
            <w:tcW w:w="864" w:type="dxa"/>
            <w:tcBorders>
              <w:top w:val="nil"/>
              <w:left w:val="nil"/>
              <w:bottom w:val="nil"/>
              <w:right w:val="nil"/>
            </w:tcBorders>
            <w:shd w:val="clear" w:color="auto" w:fill="auto"/>
            <w:noWrap/>
            <w:vAlign w:val="bottom"/>
            <w:hideMark/>
          </w:tcPr>
          <w:p w14:paraId="020257E3"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EF258DC" w14:textId="77777777" w:rsidR="00B81CB5" w:rsidRDefault="00B81CB5" w:rsidP="005A3B4D">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2247CF03" w14:textId="77777777" w:rsidR="00B81CB5" w:rsidRDefault="00B81CB5" w:rsidP="005A3B4D">
            <w:pPr>
              <w:jc w:val="right"/>
              <w:rPr>
                <w:color w:val="000000"/>
                <w:sz w:val="20"/>
                <w:szCs w:val="20"/>
              </w:rPr>
            </w:pPr>
            <w:r>
              <w:rPr>
                <w:color w:val="000000"/>
                <w:sz w:val="20"/>
                <w:szCs w:val="20"/>
              </w:rPr>
              <w:t>0.784</w:t>
            </w:r>
          </w:p>
        </w:tc>
        <w:tc>
          <w:tcPr>
            <w:tcW w:w="864" w:type="dxa"/>
            <w:tcBorders>
              <w:top w:val="nil"/>
              <w:left w:val="nil"/>
              <w:bottom w:val="nil"/>
              <w:right w:val="nil"/>
            </w:tcBorders>
            <w:shd w:val="clear" w:color="auto" w:fill="auto"/>
            <w:noWrap/>
            <w:vAlign w:val="bottom"/>
            <w:hideMark/>
          </w:tcPr>
          <w:p w14:paraId="37DD5D76" w14:textId="77777777" w:rsidR="00B81CB5" w:rsidRDefault="00B81CB5" w:rsidP="005A3B4D">
            <w:pPr>
              <w:jc w:val="right"/>
              <w:rPr>
                <w:color w:val="000000"/>
                <w:sz w:val="20"/>
                <w:szCs w:val="20"/>
              </w:rPr>
            </w:pPr>
            <w:r>
              <w:rPr>
                <w:color w:val="000000"/>
                <w:sz w:val="20"/>
                <w:szCs w:val="20"/>
              </w:rPr>
              <w:t>0.000</w:t>
            </w:r>
          </w:p>
        </w:tc>
      </w:tr>
      <w:tr w:rsidR="00B81CB5" w14:paraId="2DFA9E93" w14:textId="77777777" w:rsidTr="005A3B4D">
        <w:trPr>
          <w:trHeight w:val="320"/>
        </w:trPr>
        <w:tc>
          <w:tcPr>
            <w:tcW w:w="1152" w:type="dxa"/>
            <w:tcBorders>
              <w:top w:val="nil"/>
              <w:left w:val="nil"/>
              <w:bottom w:val="nil"/>
              <w:right w:val="nil"/>
            </w:tcBorders>
            <w:shd w:val="clear" w:color="auto" w:fill="auto"/>
            <w:noWrap/>
            <w:vAlign w:val="bottom"/>
            <w:hideMark/>
          </w:tcPr>
          <w:p w14:paraId="2C3C6F0A"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57C8DFA" w14:textId="77777777" w:rsidR="00B81CB5" w:rsidRDefault="00B81CB5" w:rsidP="005A3B4D">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65F8444" w14:textId="77777777" w:rsidR="00B81CB5" w:rsidRDefault="00B81CB5" w:rsidP="005A3B4D">
            <w:pPr>
              <w:jc w:val="right"/>
              <w:rPr>
                <w:color w:val="000000"/>
                <w:sz w:val="20"/>
                <w:szCs w:val="20"/>
              </w:rPr>
            </w:pPr>
            <w:r>
              <w:rPr>
                <w:color w:val="000000"/>
                <w:sz w:val="20"/>
                <w:szCs w:val="20"/>
              </w:rPr>
              <w:t>0.066</w:t>
            </w:r>
          </w:p>
        </w:tc>
        <w:tc>
          <w:tcPr>
            <w:tcW w:w="864" w:type="dxa"/>
            <w:tcBorders>
              <w:top w:val="nil"/>
              <w:left w:val="nil"/>
              <w:bottom w:val="nil"/>
              <w:right w:val="nil"/>
            </w:tcBorders>
            <w:shd w:val="clear" w:color="auto" w:fill="auto"/>
            <w:noWrap/>
            <w:vAlign w:val="bottom"/>
            <w:hideMark/>
          </w:tcPr>
          <w:p w14:paraId="0961F362" w14:textId="77777777" w:rsidR="00B81CB5" w:rsidRDefault="00B81CB5" w:rsidP="005A3B4D">
            <w:pPr>
              <w:jc w:val="right"/>
              <w:rPr>
                <w:color w:val="000000"/>
                <w:sz w:val="20"/>
                <w:szCs w:val="20"/>
              </w:rPr>
            </w:pPr>
            <w:r>
              <w:rPr>
                <w:color w:val="000000"/>
                <w:sz w:val="20"/>
                <w:szCs w:val="20"/>
              </w:rPr>
              <w:t>0.284</w:t>
            </w:r>
          </w:p>
        </w:tc>
        <w:tc>
          <w:tcPr>
            <w:tcW w:w="864" w:type="dxa"/>
            <w:tcBorders>
              <w:top w:val="nil"/>
              <w:left w:val="nil"/>
              <w:bottom w:val="nil"/>
              <w:right w:val="nil"/>
            </w:tcBorders>
            <w:shd w:val="clear" w:color="auto" w:fill="auto"/>
            <w:noWrap/>
            <w:vAlign w:val="bottom"/>
            <w:hideMark/>
          </w:tcPr>
          <w:p w14:paraId="0DC29F71"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E6B654C" w14:textId="77777777" w:rsidR="00B81CB5" w:rsidRDefault="00B81CB5" w:rsidP="005A3B4D">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791A1E1A" w14:textId="77777777" w:rsidR="00B81CB5" w:rsidRDefault="00B81CB5" w:rsidP="005A3B4D">
            <w:pPr>
              <w:jc w:val="right"/>
              <w:rPr>
                <w:color w:val="000000"/>
                <w:sz w:val="20"/>
                <w:szCs w:val="20"/>
              </w:rPr>
            </w:pPr>
            <w:r>
              <w:rPr>
                <w:color w:val="000000"/>
                <w:sz w:val="20"/>
                <w:szCs w:val="20"/>
              </w:rPr>
              <w:t>0.424</w:t>
            </w:r>
          </w:p>
        </w:tc>
        <w:tc>
          <w:tcPr>
            <w:tcW w:w="864" w:type="dxa"/>
            <w:tcBorders>
              <w:top w:val="nil"/>
              <w:left w:val="nil"/>
              <w:bottom w:val="nil"/>
              <w:right w:val="nil"/>
            </w:tcBorders>
            <w:shd w:val="clear" w:color="auto" w:fill="auto"/>
            <w:noWrap/>
            <w:vAlign w:val="bottom"/>
            <w:hideMark/>
          </w:tcPr>
          <w:p w14:paraId="7A01B145" w14:textId="77777777" w:rsidR="00B81CB5" w:rsidRDefault="00B81CB5" w:rsidP="005A3B4D">
            <w:pPr>
              <w:jc w:val="right"/>
              <w:rPr>
                <w:color w:val="000000"/>
                <w:sz w:val="20"/>
                <w:szCs w:val="20"/>
              </w:rPr>
            </w:pPr>
            <w:r>
              <w:rPr>
                <w:color w:val="000000"/>
                <w:sz w:val="20"/>
                <w:szCs w:val="20"/>
              </w:rPr>
              <w:t>0.001</w:t>
            </w:r>
          </w:p>
        </w:tc>
      </w:tr>
      <w:tr w:rsidR="00B81CB5" w14:paraId="587EF04F" w14:textId="77777777" w:rsidTr="005A3B4D">
        <w:trPr>
          <w:trHeight w:val="320"/>
        </w:trPr>
        <w:tc>
          <w:tcPr>
            <w:tcW w:w="1152" w:type="dxa"/>
            <w:tcBorders>
              <w:top w:val="nil"/>
              <w:left w:val="nil"/>
              <w:bottom w:val="nil"/>
              <w:right w:val="nil"/>
            </w:tcBorders>
            <w:shd w:val="clear" w:color="auto" w:fill="auto"/>
            <w:noWrap/>
            <w:vAlign w:val="bottom"/>
            <w:hideMark/>
          </w:tcPr>
          <w:p w14:paraId="02A246A5"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67CE83B" w14:textId="77777777" w:rsidR="00B81CB5" w:rsidRDefault="00B81CB5" w:rsidP="005A3B4D">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0E5F36F" w14:textId="77777777" w:rsidR="00B81CB5" w:rsidRDefault="00B81CB5" w:rsidP="005A3B4D">
            <w:pPr>
              <w:jc w:val="right"/>
              <w:rPr>
                <w:color w:val="000000"/>
                <w:sz w:val="20"/>
                <w:szCs w:val="20"/>
              </w:rPr>
            </w:pPr>
            <w:r>
              <w:rPr>
                <w:color w:val="000000"/>
                <w:sz w:val="20"/>
                <w:szCs w:val="20"/>
              </w:rPr>
              <w:t>0.041</w:t>
            </w:r>
          </w:p>
        </w:tc>
        <w:tc>
          <w:tcPr>
            <w:tcW w:w="864" w:type="dxa"/>
            <w:tcBorders>
              <w:top w:val="nil"/>
              <w:left w:val="nil"/>
              <w:bottom w:val="nil"/>
              <w:right w:val="nil"/>
            </w:tcBorders>
            <w:shd w:val="clear" w:color="auto" w:fill="auto"/>
            <w:noWrap/>
            <w:vAlign w:val="bottom"/>
            <w:hideMark/>
          </w:tcPr>
          <w:p w14:paraId="30B8A531" w14:textId="77777777" w:rsidR="00B81CB5" w:rsidRDefault="00B81CB5" w:rsidP="005A3B4D">
            <w:pPr>
              <w:jc w:val="right"/>
              <w:rPr>
                <w:color w:val="000000"/>
                <w:sz w:val="20"/>
                <w:szCs w:val="20"/>
              </w:rPr>
            </w:pPr>
            <w:r>
              <w:rPr>
                <w:color w:val="000000"/>
                <w:sz w:val="20"/>
                <w:szCs w:val="20"/>
              </w:rPr>
              <w:t>0.342</w:t>
            </w:r>
          </w:p>
        </w:tc>
        <w:tc>
          <w:tcPr>
            <w:tcW w:w="864" w:type="dxa"/>
            <w:tcBorders>
              <w:top w:val="nil"/>
              <w:left w:val="nil"/>
              <w:bottom w:val="nil"/>
              <w:right w:val="nil"/>
            </w:tcBorders>
            <w:shd w:val="clear" w:color="auto" w:fill="auto"/>
            <w:noWrap/>
            <w:vAlign w:val="bottom"/>
            <w:hideMark/>
          </w:tcPr>
          <w:p w14:paraId="36A627A9" w14:textId="77777777" w:rsidR="00B81CB5" w:rsidRDefault="00B81CB5" w:rsidP="005A3B4D">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1F4C5696" w14:textId="77777777" w:rsidR="00B81CB5" w:rsidRDefault="00B81CB5" w:rsidP="005A3B4D">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4EA28A50" w14:textId="77777777" w:rsidR="00B81CB5" w:rsidRDefault="00B81CB5" w:rsidP="005A3B4D">
            <w:pPr>
              <w:jc w:val="right"/>
              <w:rPr>
                <w:color w:val="000000"/>
                <w:sz w:val="20"/>
                <w:szCs w:val="20"/>
              </w:rPr>
            </w:pPr>
            <w:r>
              <w:rPr>
                <w:color w:val="000000"/>
                <w:sz w:val="20"/>
                <w:szCs w:val="20"/>
              </w:rPr>
              <w:t>0.411</w:t>
            </w:r>
          </w:p>
        </w:tc>
        <w:tc>
          <w:tcPr>
            <w:tcW w:w="864" w:type="dxa"/>
            <w:tcBorders>
              <w:top w:val="nil"/>
              <w:left w:val="nil"/>
              <w:bottom w:val="nil"/>
              <w:right w:val="nil"/>
            </w:tcBorders>
            <w:shd w:val="clear" w:color="auto" w:fill="auto"/>
            <w:noWrap/>
            <w:vAlign w:val="bottom"/>
            <w:hideMark/>
          </w:tcPr>
          <w:p w14:paraId="4CA10663" w14:textId="77777777" w:rsidR="00B81CB5" w:rsidRDefault="00B81CB5" w:rsidP="005A3B4D">
            <w:pPr>
              <w:jc w:val="right"/>
              <w:rPr>
                <w:color w:val="000000"/>
                <w:sz w:val="20"/>
                <w:szCs w:val="20"/>
              </w:rPr>
            </w:pPr>
            <w:r>
              <w:rPr>
                <w:color w:val="000000"/>
                <w:sz w:val="20"/>
                <w:szCs w:val="20"/>
              </w:rPr>
              <w:t>0.002</w:t>
            </w:r>
          </w:p>
        </w:tc>
      </w:tr>
      <w:tr w:rsidR="00B81CB5" w14:paraId="112F3BB1" w14:textId="77777777" w:rsidTr="005A3B4D">
        <w:trPr>
          <w:trHeight w:val="320"/>
        </w:trPr>
        <w:tc>
          <w:tcPr>
            <w:tcW w:w="1152" w:type="dxa"/>
            <w:tcBorders>
              <w:top w:val="nil"/>
              <w:left w:val="nil"/>
              <w:bottom w:val="nil"/>
              <w:right w:val="nil"/>
            </w:tcBorders>
            <w:shd w:val="clear" w:color="auto" w:fill="auto"/>
            <w:noWrap/>
            <w:vAlign w:val="bottom"/>
            <w:hideMark/>
          </w:tcPr>
          <w:p w14:paraId="18D5F991"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3D3F49C" w14:textId="77777777" w:rsidR="00B81CB5" w:rsidRDefault="00B81CB5" w:rsidP="005A3B4D">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55BE2B5" w14:textId="77777777" w:rsidR="00B81CB5" w:rsidRDefault="00B81CB5" w:rsidP="005A3B4D">
            <w:pPr>
              <w:jc w:val="right"/>
              <w:rPr>
                <w:color w:val="000000"/>
                <w:sz w:val="20"/>
                <w:szCs w:val="20"/>
              </w:rPr>
            </w:pPr>
            <w:r>
              <w:rPr>
                <w:color w:val="000000"/>
                <w:sz w:val="20"/>
                <w:szCs w:val="20"/>
              </w:rPr>
              <w:t>-0.017</w:t>
            </w:r>
          </w:p>
        </w:tc>
        <w:tc>
          <w:tcPr>
            <w:tcW w:w="864" w:type="dxa"/>
            <w:tcBorders>
              <w:top w:val="nil"/>
              <w:left w:val="nil"/>
              <w:bottom w:val="nil"/>
              <w:right w:val="nil"/>
            </w:tcBorders>
            <w:shd w:val="clear" w:color="auto" w:fill="auto"/>
            <w:noWrap/>
            <w:vAlign w:val="bottom"/>
            <w:hideMark/>
          </w:tcPr>
          <w:p w14:paraId="41151205" w14:textId="77777777" w:rsidR="00B81CB5" w:rsidRDefault="00B81CB5" w:rsidP="005A3B4D">
            <w:pPr>
              <w:jc w:val="right"/>
              <w:rPr>
                <w:color w:val="000000"/>
                <w:sz w:val="20"/>
                <w:szCs w:val="20"/>
              </w:rPr>
            </w:pPr>
            <w:r>
              <w:rPr>
                <w:color w:val="000000"/>
                <w:sz w:val="20"/>
                <w:szCs w:val="20"/>
              </w:rPr>
              <w:t>0.713</w:t>
            </w:r>
          </w:p>
        </w:tc>
        <w:tc>
          <w:tcPr>
            <w:tcW w:w="864" w:type="dxa"/>
            <w:tcBorders>
              <w:top w:val="nil"/>
              <w:left w:val="nil"/>
              <w:bottom w:val="nil"/>
              <w:right w:val="nil"/>
            </w:tcBorders>
            <w:shd w:val="clear" w:color="auto" w:fill="auto"/>
            <w:noWrap/>
            <w:vAlign w:val="bottom"/>
            <w:hideMark/>
          </w:tcPr>
          <w:p w14:paraId="6061229B"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9797784" w14:textId="77777777" w:rsidR="00B81CB5" w:rsidRDefault="00B81CB5" w:rsidP="005A3B4D">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13EAC950" w14:textId="77777777" w:rsidR="00B81CB5" w:rsidRDefault="00B81CB5" w:rsidP="005A3B4D">
            <w:pPr>
              <w:jc w:val="right"/>
              <w:rPr>
                <w:color w:val="000000"/>
                <w:sz w:val="20"/>
                <w:szCs w:val="20"/>
              </w:rPr>
            </w:pPr>
            <w:r>
              <w:rPr>
                <w:color w:val="000000"/>
                <w:sz w:val="20"/>
                <w:szCs w:val="20"/>
              </w:rPr>
              <w:t>0.426</w:t>
            </w:r>
          </w:p>
        </w:tc>
        <w:tc>
          <w:tcPr>
            <w:tcW w:w="864" w:type="dxa"/>
            <w:tcBorders>
              <w:top w:val="nil"/>
              <w:left w:val="nil"/>
              <w:bottom w:val="nil"/>
              <w:right w:val="nil"/>
            </w:tcBorders>
            <w:shd w:val="clear" w:color="auto" w:fill="auto"/>
            <w:noWrap/>
            <w:vAlign w:val="bottom"/>
            <w:hideMark/>
          </w:tcPr>
          <w:p w14:paraId="3139CB0B" w14:textId="77777777" w:rsidR="00B81CB5" w:rsidRDefault="00B81CB5" w:rsidP="005A3B4D">
            <w:pPr>
              <w:jc w:val="right"/>
              <w:rPr>
                <w:color w:val="000000"/>
                <w:sz w:val="20"/>
                <w:szCs w:val="20"/>
              </w:rPr>
            </w:pPr>
            <w:r>
              <w:rPr>
                <w:color w:val="000000"/>
                <w:sz w:val="20"/>
                <w:szCs w:val="20"/>
              </w:rPr>
              <w:t>0.001</w:t>
            </w:r>
          </w:p>
        </w:tc>
      </w:tr>
      <w:tr w:rsidR="00B81CB5" w14:paraId="37218734" w14:textId="77777777" w:rsidTr="005A3B4D">
        <w:trPr>
          <w:trHeight w:val="320"/>
        </w:trPr>
        <w:tc>
          <w:tcPr>
            <w:tcW w:w="1152" w:type="dxa"/>
            <w:tcBorders>
              <w:top w:val="nil"/>
              <w:left w:val="nil"/>
              <w:bottom w:val="nil"/>
              <w:right w:val="nil"/>
            </w:tcBorders>
            <w:shd w:val="clear" w:color="auto" w:fill="auto"/>
            <w:noWrap/>
            <w:vAlign w:val="bottom"/>
            <w:hideMark/>
          </w:tcPr>
          <w:p w14:paraId="5C11AED8"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D6D817E" w14:textId="77777777" w:rsidR="00B81CB5" w:rsidRDefault="00B81CB5" w:rsidP="005A3B4D">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D0D7D43" w14:textId="77777777" w:rsidR="00B81CB5" w:rsidRDefault="00B81CB5" w:rsidP="005A3B4D">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698B5FE9" w14:textId="77777777" w:rsidR="00B81CB5" w:rsidRDefault="00B81CB5" w:rsidP="005A3B4D">
            <w:pPr>
              <w:jc w:val="right"/>
              <w:rPr>
                <w:color w:val="000000"/>
                <w:sz w:val="20"/>
                <w:szCs w:val="20"/>
              </w:rPr>
            </w:pPr>
            <w:r>
              <w:rPr>
                <w:color w:val="000000"/>
                <w:sz w:val="20"/>
                <w:szCs w:val="20"/>
              </w:rPr>
              <w:t>0.284</w:t>
            </w:r>
          </w:p>
        </w:tc>
        <w:tc>
          <w:tcPr>
            <w:tcW w:w="864" w:type="dxa"/>
            <w:tcBorders>
              <w:top w:val="nil"/>
              <w:left w:val="nil"/>
              <w:bottom w:val="nil"/>
              <w:right w:val="nil"/>
            </w:tcBorders>
            <w:shd w:val="clear" w:color="auto" w:fill="auto"/>
            <w:noWrap/>
            <w:vAlign w:val="bottom"/>
            <w:hideMark/>
          </w:tcPr>
          <w:p w14:paraId="22EB4F0E" w14:textId="77777777" w:rsidR="00B81CB5" w:rsidRDefault="00B81CB5" w:rsidP="005A3B4D">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384484A8" w14:textId="77777777" w:rsidR="00B81CB5" w:rsidRDefault="00B81CB5" w:rsidP="005A3B4D">
            <w:pPr>
              <w:jc w:val="right"/>
              <w:rPr>
                <w:color w:val="000000"/>
                <w:sz w:val="20"/>
                <w:szCs w:val="20"/>
              </w:rPr>
            </w:pPr>
            <w:r>
              <w:rPr>
                <w:color w:val="000000"/>
                <w:sz w:val="20"/>
                <w:szCs w:val="20"/>
              </w:rPr>
              <w:t>-0.043</w:t>
            </w:r>
          </w:p>
        </w:tc>
        <w:tc>
          <w:tcPr>
            <w:tcW w:w="864" w:type="dxa"/>
            <w:tcBorders>
              <w:top w:val="nil"/>
              <w:left w:val="nil"/>
              <w:bottom w:val="nil"/>
              <w:right w:val="nil"/>
            </w:tcBorders>
            <w:shd w:val="clear" w:color="auto" w:fill="auto"/>
            <w:noWrap/>
            <w:vAlign w:val="bottom"/>
            <w:hideMark/>
          </w:tcPr>
          <w:p w14:paraId="37A20031" w14:textId="77777777" w:rsidR="00B81CB5" w:rsidRDefault="00B81CB5" w:rsidP="005A3B4D">
            <w:pPr>
              <w:jc w:val="right"/>
              <w:rPr>
                <w:color w:val="000000"/>
                <w:sz w:val="20"/>
                <w:szCs w:val="20"/>
              </w:rPr>
            </w:pPr>
            <w:r>
              <w:rPr>
                <w:color w:val="000000"/>
                <w:sz w:val="20"/>
                <w:szCs w:val="20"/>
              </w:rPr>
              <w:t>0.411</w:t>
            </w:r>
          </w:p>
        </w:tc>
        <w:tc>
          <w:tcPr>
            <w:tcW w:w="864" w:type="dxa"/>
            <w:tcBorders>
              <w:top w:val="nil"/>
              <w:left w:val="nil"/>
              <w:bottom w:val="nil"/>
              <w:right w:val="nil"/>
            </w:tcBorders>
            <w:shd w:val="clear" w:color="auto" w:fill="auto"/>
            <w:noWrap/>
            <w:vAlign w:val="bottom"/>
            <w:hideMark/>
          </w:tcPr>
          <w:p w14:paraId="5CEE2580" w14:textId="77777777" w:rsidR="00B81CB5" w:rsidRDefault="00B81CB5" w:rsidP="005A3B4D">
            <w:pPr>
              <w:jc w:val="right"/>
              <w:rPr>
                <w:color w:val="000000"/>
                <w:sz w:val="20"/>
                <w:szCs w:val="20"/>
              </w:rPr>
            </w:pPr>
            <w:r>
              <w:rPr>
                <w:color w:val="000000"/>
                <w:sz w:val="20"/>
                <w:szCs w:val="20"/>
              </w:rPr>
              <w:t>0.002</w:t>
            </w:r>
          </w:p>
        </w:tc>
      </w:tr>
      <w:tr w:rsidR="00B81CB5" w14:paraId="7A56001B" w14:textId="77777777" w:rsidTr="005A3B4D">
        <w:trPr>
          <w:trHeight w:val="320"/>
        </w:trPr>
        <w:tc>
          <w:tcPr>
            <w:tcW w:w="1152" w:type="dxa"/>
            <w:tcBorders>
              <w:top w:val="nil"/>
              <w:left w:val="nil"/>
              <w:bottom w:val="nil"/>
              <w:right w:val="nil"/>
            </w:tcBorders>
            <w:shd w:val="clear" w:color="auto" w:fill="auto"/>
            <w:noWrap/>
            <w:vAlign w:val="bottom"/>
            <w:hideMark/>
          </w:tcPr>
          <w:p w14:paraId="1C4C985B" w14:textId="77777777" w:rsidR="00B81CB5" w:rsidRDefault="00B81CB5" w:rsidP="005A3B4D">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17D92F5" w14:textId="77777777" w:rsidR="00B81CB5" w:rsidRDefault="00B81CB5" w:rsidP="005A3B4D">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097B87D1" w14:textId="77777777" w:rsidR="00B81CB5" w:rsidRDefault="00B81CB5" w:rsidP="005A3B4D">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631602FD" w14:textId="77777777" w:rsidR="00B81CB5" w:rsidRDefault="00B81CB5" w:rsidP="005A3B4D">
            <w:pPr>
              <w:jc w:val="right"/>
              <w:rPr>
                <w:color w:val="000000"/>
                <w:sz w:val="20"/>
                <w:szCs w:val="20"/>
              </w:rPr>
            </w:pPr>
            <w:r>
              <w:rPr>
                <w:color w:val="000000"/>
                <w:sz w:val="20"/>
                <w:szCs w:val="20"/>
              </w:rPr>
              <w:t>0.747</w:t>
            </w:r>
          </w:p>
        </w:tc>
        <w:tc>
          <w:tcPr>
            <w:tcW w:w="864" w:type="dxa"/>
            <w:tcBorders>
              <w:top w:val="nil"/>
              <w:left w:val="nil"/>
              <w:bottom w:val="nil"/>
              <w:right w:val="nil"/>
            </w:tcBorders>
            <w:shd w:val="clear" w:color="auto" w:fill="auto"/>
            <w:noWrap/>
            <w:vAlign w:val="bottom"/>
            <w:hideMark/>
          </w:tcPr>
          <w:p w14:paraId="5E7D883D"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0E06E52" w14:textId="77777777" w:rsidR="00B81CB5" w:rsidRDefault="00B81CB5" w:rsidP="005A3B4D">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0CF4F152" w14:textId="77777777" w:rsidR="00B81CB5" w:rsidRDefault="00B81CB5" w:rsidP="005A3B4D">
            <w:pPr>
              <w:jc w:val="right"/>
              <w:rPr>
                <w:color w:val="000000"/>
                <w:sz w:val="20"/>
                <w:szCs w:val="20"/>
              </w:rPr>
            </w:pPr>
            <w:r>
              <w:rPr>
                <w:color w:val="000000"/>
                <w:sz w:val="20"/>
                <w:szCs w:val="20"/>
              </w:rPr>
              <w:t>0.637</w:t>
            </w:r>
          </w:p>
        </w:tc>
        <w:tc>
          <w:tcPr>
            <w:tcW w:w="864" w:type="dxa"/>
            <w:tcBorders>
              <w:top w:val="nil"/>
              <w:left w:val="nil"/>
              <w:bottom w:val="nil"/>
              <w:right w:val="nil"/>
            </w:tcBorders>
            <w:shd w:val="clear" w:color="auto" w:fill="auto"/>
            <w:noWrap/>
            <w:vAlign w:val="bottom"/>
            <w:hideMark/>
          </w:tcPr>
          <w:p w14:paraId="2BDA8CBD" w14:textId="77777777" w:rsidR="00B81CB5" w:rsidRDefault="00B81CB5" w:rsidP="005A3B4D">
            <w:pPr>
              <w:jc w:val="right"/>
              <w:rPr>
                <w:color w:val="000000"/>
                <w:sz w:val="20"/>
                <w:szCs w:val="20"/>
              </w:rPr>
            </w:pPr>
            <w:r>
              <w:rPr>
                <w:color w:val="000000"/>
                <w:sz w:val="20"/>
                <w:szCs w:val="20"/>
              </w:rPr>
              <w:t>0.000</w:t>
            </w:r>
          </w:p>
        </w:tc>
      </w:tr>
      <w:tr w:rsidR="00B81CB5" w14:paraId="4A597A3E" w14:textId="77777777" w:rsidTr="005A3B4D">
        <w:trPr>
          <w:trHeight w:val="340"/>
        </w:trPr>
        <w:tc>
          <w:tcPr>
            <w:tcW w:w="1152" w:type="dxa"/>
            <w:tcBorders>
              <w:top w:val="nil"/>
              <w:left w:val="nil"/>
              <w:bottom w:val="single" w:sz="12" w:space="0" w:color="auto"/>
              <w:right w:val="nil"/>
            </w:tcBorders>
            <w:shd w:val="clear" w:color="auto" w:fill="auto"/>
            <w:noWrap/>
            <w:vAlign w:val="bottom"/>
            <w:hideMark/>
          </w:tcPr>
          <w:p w14:paraId="504EF6A8" w14:textId="77777777" w:rsidR="00B81CB5" w:rsidRDefault="00B81CB5" w:rsidP="005A3B4D">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005965C6" w14:textId="77777777" w:rsidR="00B81CB5" w:rsidRDefault="00B81CB5" w:rsidP="005A3B4D">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00A20F23" w14:textId="77777777" w:rsidR="00B81CB5" w:rsidRDefault="00B81CB5" w:rsidP="005A3B4D">
            <w:pPr>
              <w:jc w:val="right"/>
              <w:rPr>
                <w:color w:val="000000"/>
                <w:sz w:val="20"/>
                <w:szCs w:val="20"/>
              </w:rPr>
            </w:pPr>
            <w:r>
              <w:rPr>
                <w:color w:val="000000"/>
                <w:sz w:val="20"/>
                <w:szCs w:val="20"/>
              </w:rPr>
              <w:t>0.016</w:t>
            </w:r>
          </w:p>
        </w:tc>
        <w:tc>
          <w:tcPr>
            <w:tcW w:w="864" w:type="dxa"/>
            <w:tcBorders>
              <w:top w:val="nil"/>
              <w:left w:val="nil"/>
              <w:bottom w:val="single" w:sz="12" w:space="0" w:color="auto"/>
              <w:right w:val="nil"/>
            </w:tcBorders>
            <w:shd w:val="clear" w:color="auto" w:fill="auto"/>
            <w:noWrap/>
            <w:vAlign w:val="bottom"/>
            <w:hideMark/>
          </w:tcPr>
          <w:p w14:paraId="642B59A7" w14:textId="77777777" w:rsidR="00B81CB5" w:rsidRDefault="00B81CB5" w:rsidP="005A3B4D">
            <w:pPr>
              <w:jc w:val="right"/>
              <w:rPr>
                <w:color w:val="000000"/>
                <w:sz w:val="20"/>
                <w:szCs w:val="20"/>
              </w:rPr>
            </w:pPr>
            <w:r>
              <w:rPr>
                <w:color w:val="000000"/>
                <w:sz w:val="20"/>
                <w:szCs w:val="20"/>
              </w:rPr>
              <w:t>0.713</w:t>
            </w:r>
          </w:p>
        </w:tc>
        <w:tc>
          <w:tcPr>
            <w:tcW w:w="864" w:type="dxa"/>
            <w:tcBorders>
              <w:top w:val="nil"/>
              <w:left w:val="nil"/>
              <w:bottom w:val="single" w:sz="12" w:space="0" w:color="auto"/>
              <w:right w:val="nil"/>
            </w:tcBorders>
            <w:shd w:val="clear" w:color="auto" w:fill="auto"/>
            <w:noWrap/>
            <w:vAlign w:val="bottom"/>
            <w:hideMark/>
          </w:tcPr>
          <w:p w14:paraId="6E1B3CC2" w14:textId="77777777" w:rsidR="00B81CB5" w:rsidRDefault="00B81CB5" w:rsidP="005A3B4D">
            <w:pPr>
              <w:jc w:val="right"/>
              <w:rPr>
                <w:color w:val="000000"/>
                <w:sz w:val="20"/>
                <w:szCs w:val="20"/>
              </w:rPr>
            </w:pPr>
            <w:r>
              <w:rPr>
                <w:color w:val="000000"/>
                <w:sz w:val="20"/>
                <w:szCs w:val="20"/>
              </w:rPr>
              <w:t>0.000</w:t>
            </w:r>
          </w:p>
        </w:tc>
        <w:tc>
          <w:tcPr>
            <w:tcW w:w="864" w:type="dxa"/>
            <w:tcBorders>
              <w:top w:val="nil"/>
              <w:left w:val="nil"/>
              <w:bottom w:val="single" w:sz="12" w:space="0" w:color="auto"/>
              <w:right w:val="nil"/>
            </w:tcBorders>
            <w:shd w:val="clear" w:color="auto" w:fill="auto"/>
            <w:noWrap/>
            <w:vAlign w:val="bottom"/>
            <w:hideMark/>
          </w:tcPr>
          <w:p w14:paraId="25F6E2E0" w14:textId="77777777" w:rsidR="00B81CB5" w:rsidRDefault="00B81CB5" w:rsidP="005A3B4D">
            <w:pPr>
              <w:jc w:val="right"/>
              <w:rPr>
                <w:color w:val="000000"/>
                <w:sz w:val="20"/>
                <w:szCs w:val="20"/>
              </w:rPr>
            </w:pPr>
            <w:r>
              <w:rPr>
                <w:color w:val="000000"/>
                <w:sz w:val="20"/>
                <w:szCs w:val="20"/>
              </w:rPr>
              <w:t>-0.014</w:t>
            </w:r>
          </w:p>
        </w:tc>
        <w:tc>
          <w:tcPr>
            <w:tcW w:w="864" w:type="dxa"/>
            <w:tcBorders>
              <w:top w:val="nil"/>
              <w:left w:val="nil"/>
              <w:bottom w:val="single" w:sz="12" w:space="0" w:color="auto"/>
              <w:right w:val="nil"/>
            </w:tcBorders>
            <w:shd w:val="clear" w:color="auto" w:fill="auto"/>
            <w:noWrap/>
            <w:vAlign w:val="bottom"/>
            <w:hideMark/>
          </w:tcPr>
          <w:p w14:paraId="0B6A83B8" w14:textId="77777777" w:rsidR="00B81CB5" w:rsidRDefault="00B81CB5" w:rsidP="005A3B4D">
            <w:pPr>
              <w:jc w:val="right"/>
              <w:rPr>
                <w:color w:val="000000"/>
                <w:sz w:val="20"/>
                <w:szCs w:val="20"/>
              </w:rPr>
            </w:pPr>
            <w:r>
              <w:rPr>
                <w:color w:val="000000"/>
                <w:sz w:val="20"/>
                <w:szCs w:val="20"/>
              </w:rPr>
              <w:t>0.725</w:t>
            </w:r>
          </w:p>
        </w:tc>
        <w:tc>
          <w:tcPr>
            <w:tcW w:w="864" w:type="dxa"/>
            <w:tcBorders>
              <w:top w:val="nil"/>
              <w:left w:val="nil"/>
              <w:bottom w:val="single" w:sz="12" w:space="0" w:color="auto"/>
              <w:right w:val="nil"/>
            </w:tcBorders>
            <w:shd w:val="clear" w:color="auto" w:fill="auto"/>
            <w:noWrap/>
            <w:vAlign w:val="bottom"/>
            <w:hideMark/>
          </w:tcPr>
          <w:p w14:paraId="104BE33E" w14:textId="77777777" w:rsidR="00B81CB5" w:rsidRDefault="00B81CB5" w:rsidP="005A3B4D">
            <w:pPr>
              <w:jc w:val="right"/>
              <w:rPr>
                <w:color w:val="000000"/>
                <w:sz w:val="20"/>
                <w:szCs w:val="20"/>
              </w:rPr>
            </w:pPr>
            <w:r>
              <w:rPr>
                <w:color w:val="000000"/>
                <w:sz w:val="20"/>
                <w:szCs w:val="20"/>
              </w:rPr>
              <w:t>0.000</w:t>
            </w:r>
          </w:p>
        </w:tc>
      </w:tr>
      <w:tr w:rsidR="00B81CB5" w14:paraId="22E28D35" w14:textId="77777777" w:rsidTr="005A3B4D">
        <w:trPr>
          <w:trHeight w:val="320"/>
        </w:trPr>
        <w:tc>
          <w:tcPr>
            <w:tcW w:w="1152" w:type="dxa"/>
            <w:tcBorders>
              <w:top w:val="single" w:sz="12" w:space="0" w:color="auto"/>
              <w:left w:val="nil"/>
              <w:bottom w:val="nil"/>
              <w:right w:val="nil"/>
            </w:tcBorders>
            <w:shd w:val="clear" w:color="auto" w:fill="auto"/>
            <w:noWrap/>
            <w:vAlign w:val="bottom"/>
            <w:hideMark/>
          </w:tcPr>
          <w:p w14:paraId="65B3899E" w14:textId="77777777" w:rsidR="00B81CB5" w:rsidRDefault="00B81CB5" w:rsidP="005A3B4D">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33B35E39"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33272CC"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16AB787"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60F9175"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0E4C1710"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81D8753" w14:textId="77777777" w:rsidR="00B81CB5" w:rsidRDefault="00B81CB5" w:rsidP="005A3B4D">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FDD2BB5" w14:textId="77777777" w:rsidR="00B81CB5" w:rsidRDefault="00B81CB5" w:rsidP="005A3B4D">
            <w:pPr>
              <w:rPr>
                <w:sz w:val="20"/>
                <w:szCs w:val="20"/>
              </w:rPr>
            </w:pPr>
          </w:p>
        </w:tc>
      </w:tr>
    </w:tbl>
    <w:p w14:paraId="684FE48C" w14:textId="77777777" w:rsidR="00B81CB5" w:rsidRPr="00F132FA" w:rsidRDefault="00B81CB5" w:rsidP="00B81CB5">
      <w:pPr>
        <w:rPr>
          <w:rStyle w:val="IntenseEmphasis"/>
          <w:rFonts w:eastAsia="Batang"/>
        </w:rPr>
      </w:pPr>
    </w:p>
    <w:p w14:paraId="0A9433B1" w14:textId="10A8E2E6" w:rsidR="00B81CB5" w:rsidRDefault="00B81CB5">
      <w:pPr>
        <w:rPr>
          <w:rFonts w:ascii="Batang" w:eastAsia="Batang" w:hAnsi="Batang" w:cs="Batang"/>
          <w:color w:val="000000"/>
        </w:rPr>
      </w:pPr>
      <w:r>
        <w:rPr>
          <w:rFonts w:ascii="Batang" w:eastAsia="Batang" w:hAnsi="Batang" w:cs="Batang"/>
          <w:color w:val="000000"/>
        </w:rPr>
        <w:br w:type="page"/>
      </w:r>
    </w:p>
    <w:p w14:paraId="728FB11D" w14:textId="5950ED35" w:rsidR="009F63E1" w:rsidRDefault="009F63E1" w:rsidP="009F63E1">
      <w:pPr>
        <w:pStyle w:val="Heading1"/>
        <w:rPr>
          <w:rFonts w:ascii="Times New Roman" w:hAnsi="Times New Roman" w:cs="Times New Roman"/>
          <w:color w:val="000000" w:themeColor="text1"/>
          <w:sz w:val="24"/>
          <w:szCs w:val="24"/>
        </w:rPr>
      </w:pPr>
      <w:bookmarkStart w:id="96" w:name="_Toc155817763"/>
      <w:r w:rsidRPr="00B81CB5">
        <w:rPr>
          <w:rFonts w:ascii="Times New Roman" w:hAnsi="Times New Roman" w:cs="Times New Roman"/>
          <w:b/>
          <w:bCs/>
          <w:color w:val="000000" w:themeColor="text1"/>
          <w:sz w:val="24"/>
          <w:szCs w:val="24"/>
        </w:rPr>
        <w:lastRenderedPageBreak/>
        <w:t>Table</w:t>
      </w:r>
      <w:r w:rsidR="0036523A" w:rsidRPr="00B81CB5">
        <w:rPr>
          <w:rFonts w:ascii="Times New Roman" w:hAnsi="Times New Roman" w:cs="Times New Roman"/>
          <w:b/>
          <w:bCs/>
          <w:color w:val="000000" w:themeColor="text1"/>
          <w:sz w:val="24"/>
          <w:szCs w:val="24"/>
        </w:rPr>
        <w:t xml:space="preserve"> 28</w:t>
      </w:r>
      <w:r w:rsidR="00B81CB5" w:rsidRPr="00B81CB5">
        <w:rPr>
          <w:rFonts w:ascii="Times New Roman" w:hAnsi="Times New Roman" w:cs="Times New Roman"/>
          <w:b/>
          <w:bCs/>
          <w:color w:val="000000" w:themeColor="text1"/>
          <w:sz w:val="24"/>
          <w:szCs w:val="24"/>
        </w:rPr>
        <w:t>p</w:t>
      </w:r>
      <w:r w:rsidRPr="00B81CB5">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w:t>
      </w:r>
      <w:r w:rsidR="00F57A0B">
        <w:rPr>
          <w:rFonts w:ascii="Times New Roman" w:hAnsi="Times New Roman" w:cs="Times New Roman"/>
          <w:color w:val="000000" w:themeColor="text1"/>
          <w:sz w:val="24"/>
          <w:szCs w:val="24"/>
        </w:rPr>
        <w:t>diameter</w:t>
      </w:r>
      <w:r>
        <w:rPr>
          <w:rFonts w:ascii="Times New Roman" w:hAnsi="Times New Roman" w:cs="Times New Roman"/>
          <w:color w:val="000000" w:themeColor="text1"/>
          <w:sz w:val="24"/>
          <w:szCs w:val="24"/>
        </w:rPr>
        <w:t xml:space="preserve"> and urbanicity obtained from bifactor modeling and pollution (NO2 level) during stop signal task</w:t>
      </w:r>
      <w:bookmarkEnd w:id="96"/>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6C7F97" w14:paraId="16F52EDA"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017F158E" w14:textId="77777777" w:rsidR="006C7F97" w:rsidRDefault="006C7F97">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036A8729" w14:textId="77777777" w:rsidR="006C7F97" w:rsidRDefault="006C7F97">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28CFE792" w14:textId="77777777" w:rsidR="006C7F97" w:rsidRDefault="006C7F97">
            <w:pPr>
              <w:rPr>
                <w:color w:val="000000"/>
              </w:rPr>
            </w:pPr>
          </w:p>
        </w:tc>
        <w:tc>
          <w:tcPr>
            <w:tcW w:w="864" w:type="dxa"/>
            <w:tcBorders>
              <w:top w:val="nil"/>
              <w:left w:val="nil"/>
              <w:bottom w:val="single" w:sz="12" w:space="0" w:color="auto"/>
              <w:right w:val="nil"/>
            </w:tcBorders>
            <w:shd w:val="clear" w:color="auto" w:fill="auto"/>
            <w:noWrap/>
            <w:vAlign w:val="bottom"/>
            <w:hideMark/>
          </w:tcPr>
          <w:p w14:paraId="4AF38970" w14:textId="77777777" w:rsidR="006C7F97" w:rsidRDefault="006C7F97">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7BEC6D7B" w14:textId="77777777" w:rsidR="006C7F97" w:rsidRDefault="006C7F97">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3830FD79" w14:textId="77777777" w:rsidR="006C7F97" w:rsidRDefault="006C7F97">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4A78D31D" w14:textId="77777777" w:rsidR="006C7F97" w:rsidRDefault="006C7F97">
            <w:pPr>
              <w:rPr>
                <w:sz w:val="20"/>
                <w:szCs w:val="20"/>
              </w:rPr>
            </w:pPr>
          </w:p>
        </w:tc>
        <w:tc>
          <w:tcPr>
            <w:tcW w:w="864" w:type="dxa"/>
            <w:tcBorders>
              <w:top w:val="nil"/>
              <w:left w:val="nil"/>
              <w:bottom w:val="nil"/>
              <w:right w:val="nil"/>
            </w:tcBorders>
            <w:shd w:val="clear" w:color="auto" w:fill="auto"/>
            <w:noWrap/>
            <w:vAlign w:val="bottom"/>
            <w:hideMark/>
          </w:tcPr>
          <w:p w14:paraId="1847D64E" w14:textId="77777777" w:rsidR="006C7F97" w:rsidRDefault="006C7F97">
            <w:pPr>
              <w:rPr>
                <w:sz w:val="20"/>
                <w:szCs w:val="20"/>
              </w:rPr>
            </w:pPr>
          </w:p>
        </w:tc>
      </w:tr>
      <w:tr w:rsidR="006C7F97" w14:paraId="24027C4A"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571323BB" w14:textId="77777777" w:rsidR="006C7F97" w:rsidRDefault="006C7F97">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144EA22A" w14:textId="77777777" w:rsidR="006C7F97" w:rsidRDefault="006C7F97">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vAlign w:val="center"/>
            <w:hideMark/>
          </w:tcPr>
          <w:p w14:paraId="27AFE7F2" w14:textId="77777777" w:rsidR="006C7F97" w:rsidRDefault="006C7F97">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vAlign w:val="center"/>
            <w:hideMark/>
          </w:tcPr>
          <w:p w14:paraId="2261FBB8" w14:textId="77777777" w:rsidR="006C7F97" w:rsidRDefault="006C7F97">
            <w:pPr>
              <w:jc w:val="center"/>
              <w:rPr>
                <w:color w:val="000000"/>
                <w:sz w:val="20"/>
                <w:szCs w:val="20"/>
              </w:rPr>
            </w:pPr>
            <w:r>
              <w:rPr>
                <w:color w:val="000000"/>
                <w:sz w:val="20"/>
                <w:szCs w:val="20"/>
              </w:rPr>
              <w:t>Pollution (NO2 level)</w:t>
            </w:r>
          </w:p>
        </w:tc>
      </w:tr>
      <w:tr w:rsidR="006C7F97" w14:paraId="0D25E622"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0E66F070" w14:textId="77777777" w:rsidR="006C7F97" w:rsidRDefault="006C7F97">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1E22AC17" w14:textId="77777777" w:rsidR="006C7F97" w:rsidRDefault="006C7F97">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3330B90F" w14:textId="77777777" w:rsidR="006C7F97" w:rsidRDefault="006C7F97" w:rsidP="006C7F97">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6F3851F5" w14:textId="77777777" w:rsidR="006C7F97" w:rsidRDefault="006C7F97" w:rsidP="006C7F97">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5EAD1837" w14:textId="77777777" w:rsidR="006C7F97" w:rsidRDefault="006C7F97" w:rsidP="006C7F97">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3186EBB2" w14:textId="77777777" w:rsidR="006C7F97" w:rsidRDefault="006C7F97" w:rsidP="006C7F97">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200CCCDB" w14:textId="77777777" w:rsidR="006C7F97" w:rsidRDefault="006C7F97" w:rsidP="006C7F97">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261BA216" w14:textId="77777777" w:rsidR="006C7F97" w:rsidRDefault="006C7F97" w:rsidP="006C7F97">
            <w:pPr>
              <w:jc w:val="center"/>
              <w:rPr>
                <w:i/>
                <w:iCs/>
                <w:color w:val="000000"/>
                <w:sz w:val="20"/>
                <w:szCs w:val="20"/>
              </w:rPr>
            </w:pPr>
            <w:r>
              <w:rPr>
                <w:i/>
                <w:iCs/>
                <w:color w:val="000000"/>
                <w:sz w:val="20"/>
                <w:szCs w:val="20"/>
              </w:rPr>
              <w:t>R2</w:t>
            </w:r>
          </w:p>
        </w:tc>
      </w:tr>
      <w:tr w:rsidR="006C7F97" w14:paraId="29E366C9"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01FA6C6A" w14:textId="77777777" w:rsidR="006C7F97" w:rsidRDefault="006C7F97">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7F1DCB9C" w14:textId="77777777" w:rsidR="006C7F97" w:rsidRDefault="006C7F97">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35192D37" w14:textId="77777777" w:rsidR="006C7F97" w:rsidRDefault="006C7F97">
            <w:pPr>
              <w:jc w:val="right"/>
              <w:rPr>
                <w:color w:val="000000"/>
                <w:sz w:val="20"/>
                <w:szCs w:val="20"/>
              </w:rPr>
            </w:pPr>
            <w:r>
              <w:rPr>
                <w:color w:val="000000"/>
                <w:sz w:val="20"/>
                <w:szCs w:val="20"/>
              </w:rPr>
              <w:t>0.034</w:t>
            </w:r>
          </w:p>
        </w:tc>
        <w:tc>
          <w:tcPr>
            <w:tcW w:w="864" w:type="dxa"/>
            <w:tcBorders>
              <w:top w:val="single" w:sz="12" w:space="0" w:color="auto"/>
              <w:left w:val="nil"/>
              <w:bottom w:val="nil"/>
              <w:right w:val="nil"/>
            </w:tcBorders>
            <w:shd w:val="clear" w:color="auto" w:fill="auto"/>
            <w:noWrap/>
            <w:vAlign w:val="bottom"/>
            <w:hideMark/>
          </w:tcPr>
          <w:p w14:paraId="21E86608" w14:textId="77777777" w:rsidR="006C7F97" w:rsidRDefault="006C7F97">
            <w:pPr>
              <w:jc w:val="right"/>
              <w:rPr>
                <w:color w:val="000000"/>
                <w:sz w:val="20"/>
                <w:szCs w:val="20"/>
              </w:rPr>
            </w:pPr>
            <w:r>
              <w:rPr>
                <w:color w:val="000000"/>
                <w:sz w:val="20"/>
                <w:szCs w:val="20"/>
              </w:rPr>
              <w:t>0.622</w:t>
            </w:r>
          </w:p>
        </w:tc>
        <w:tc>
          <w:tcPr>
            <w:tcW w:w="864" w:type="dxa"/>
            <w:tcBorders>
              <w:top w:val="single" w:sz="12" w:space="0" w:color="auto"/>
              <w:left w:val="nil"/>
              <w:bottom w:val="nil"/>
              <w:right w:val="nil"/>
            </w:tcBorders>
            <w:shd w:val="clear" w:color="auto" w:fill="auto"/>
            <w:noWrap/>
            <w:vAlign w:val="bottom"/>
            <w:hideMark/>
          </w:tcPr>
          <w:p w14:paraId="6B9F0C95" w14:textId="77777777" w:rsidR="006C7F97" w:rsidRDefault="006C7F97">
            <w:pPr>
              <w:jc w:val="right"/>
              <w:rPr>
                <w:color w:val="000000"/>
                <w:sz w:val="20"/>
                <w:szCs w:val="20"/>
              </w:rPr>
            </w:pPr>
            <w:r>
              <w:rPr>
                <w:color w:val="000000"/>
                <w:sz w:val="20"/>
                <w:szCs w:val="20"/>
              </w:rPr>
              <w:t>0.001</w:t>
            </w:r>
          </w:p>
        </w:tc>
        <w:tc>
          <w:tcPr>
            <w:tcW w:w="864" w:type="dxa"/>
            <w:tcBorders>
              <w:top w:val="single" w:sz="12" w:space="0" w:color="auto"/>
              <w:left w:val="nil"/>
              <w:bottom w:val="nil"/>
              <w:right w:val="nil"/>
            </w:tcBorders>
            <w:shd w:val="clear" w:color="auto" w:fill="auto"/>
            <w:noWrap/>
            <w:vAlign w:val="bottom"/>
            <w:hideMark/>
          </w:tcPr>
          <w:p w14:paraId="4FB29B80" w14:textId="77777777" w:rsidR="006C7F97" w:rsidRDefault="006C7F97">
            <w:pPr>
              <w:jc w:val="right"/>
              <w:rPr>
                <w:color w:val="000000"/>
                <w:sz w:val="20"/>
                <w:szCs w:val="20"/>
              </w:rPr>
            </w:pPr>
            <w:r>
              <w:rPr>
                <w:color w:val="000000"/>
                <w:sz w:val="20"/>
                <w:szCs w:val="20"/>
              </w:rPr>
              <w:t>0.054</w:t>
            </w:r>
          </w:p>
        </w:tc>
        <w:tc>
          <w:tcPr>
            <w:tcW w:w="864" w:type="dxa"/>
            <w:tcBorders>
              <w:top w:val="single" w:sz="12" w:space="0" w:color="auto"/>
              <w:left w:val="nil"/>
              <w:bottom w:val="nil"/>
              <w:right w:val="nil"/>
            </w:tcBorders>
            <w:shd w:val="clear" w:color="auto" w:fill="auto"/>
            <w:noWrap/>
            <w:vAlign w:val="bottom"/>
            <w:hideMark/>
          </w:tcPr>
          <w:p w14:paraId="12046295" w14:textId="77777777" w:rsidR="006C7F97" w:rsidRDefault="006C7F97">
            <w:pPr>
              <w:jc w:val="right"/>
              <w:rPr>
                <w:color w:val="000000"/>
                <w:sz w:val="20"/>
                <w:szCs w:val="20"/>
              </w:rPr>
            </w:pPr>
            <w:r>
              <w:rPr>
                <w:color w:val="000000"/>
                <w:sz w:val="20"/>
                <w:szCs w:val="20"/>
              </w:rPr>
              <w:t>0.294</w:t>
            </w:r>
          </w:p>
        </w:tc>
        <w:tc>
          <w:tcPr>
            <w:tcW w:w="864" w:type="dxa"/>
            <w:tcBorders>
              <w:top w:val="single" w:sz="12" w:space="0" w:color="auto"/>
              <w:left w:val="nil"/>
              <w:bottom w:val="nil"/>
              <w:right w:val="nil"/>
            </w:tcBorders>
            <w:shd w:val="clear" w:color="auto" w:fill="auto"/>
            <w:noWrap/>
            <w:vAlign w:val="bottom"/>
            <w:hideMark/>
          </w:tcPr>
          <w:p w14:paraId="4D46A2E1" w14:textId="77777777" w:rsidR="006C7F97" w:rsidRDefault="006C7F97">
            <w:pPr>
              <w:jc w:val="right"/>
              <w:rPr>
                <w:color w:val="000000"/>
                <w:sz w:val="20"/>
                <w:szCs w:val="20"/>
              </w:rPr>
            </w:pPr>
            <w:r>
              <w:rPr>
                <w:color w:val="000000"/>
                <w:sz w:val="20"/>
                <w:szCs w:val="20"/>
              </w:rPr>
              <w:t>0.003</w:t>
            </w:r>
          </w:p>
        </w:tc>
      </w:tr>
      <w:tr w:rsidR="006C7F97" w14:paraId="75729D83" w14:textId="77777777" w:rsidTr="006C7F97">
        <w:trPr>
          <w:trHeight w:val="340"/>
        </w:trPr>
        <w:tc>
          <w:tcPr>
            <w:tcW w:w="1152" w:type="dxa"/>
            <w:tcBorders>
              <w:top w:val="nil"/>
              <w:left w:val="nil"/>
              <w:bottom w:val="nil"/>
              <w:right w:val="nil"/>
            </w:tcBorders>
            <w:shd w:val="clear" w:color="auto" w:fill="auto"/>
            <w:noWrap/>
            <w:vAlign w:val="bottom"/>
            <w:hideMark/>
          </w:tcPr>
          <w:p w14:paraId="13EAE6B8"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5A1CF13" w14:textId="77777777" w:rsidR="006C7F97" w:rsidRDefault="006C7F97">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B91E884" w14:textId="77777777" w:rsidR="006C7F97" w:rsidRDefault="006C7F97">
            <w:pPr>
              <w:jc w:val="right"/>
              <w:rPr>
                <w:color w:val="000000"/>
                <w:sz w:val="20"/>
                <w:szCs w:val="20"/>
              </w:rPr>
            </w:pPr>
            <w:r>
              <w:rPr>
                <w:color w:val="000000"/>
                <w:sz w:val="20"/>
                <w:szCs w:val="20"/>
              </w:rPr>
              <w:t>0.081</w:t>
            </w:r>
          </w:p>
        </w:tc>
        <w:tc>
          <w:tcPr>
            <w:tcW w:w="864" w:type="dxa"/>
            <w:tcBorders>
              <w:top w:val="nil"/>
              <w:left w:val="nil"/>
              <w:bottom w:val="nil"/>
              <w:right w:val="nil"/>
            </w:tcBorders>
            <w:shd w:val="clear" w:color="auto" w:fill="auto"/>
            <w:noWrap/>
            <w:vAlign w:val="bottom"/>
            <w:hideMark/>
          </w:tcPr>
          <w:p w14:paraId="4791D6E9" w14:textId="77777777" w:rsidR="006C7F97" w:rsidRDefault="006C7F97">
            <w:pPr>
              <w:jc w:val="right"/>
              <w:rPr>
                <w:color w:val="000000"/>
                <w:sz w:val="20"/>
                <w:szCs w:val="20"/>
              </w:rPr>
            </w:pPr>
            <w:r>
              <w:rPr>
                <w:color w:val="000000"/>
                <w:sz w:val="20"/>
                <w:szCs w:val="20"/>
              </w:rPr>
              <w:t>0.288</w:t>
            </w:r>
          </w:p>
        </w:tc>
        <w:tc>
          <w:tcPr>
            <w:tcW w:w="864" w:type="dxa"/>
            <w:tcBorders>
              <w:top w:val="nil"/>
              <w:left w:val="nil"/>
              <w:bottom w:val="nil"/>
              <w:right w:val="nil"/>
            </w:tcBorders>
            <w:shd w:val="clear" w:color="auto" w:fill="auto"/>
            <w:noWrap/>
            <w:vAlign w:val="bottom"/>
            <w:hideMark/>
          </w:tcPr>
          <w:p w14:paraId="40EE8302" w14:textId="77777777" w:rsidR="006C7F97" w:rsidRDefault="006C7F97">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1924BFD1" w14:textId="77777777" w:rsidR="006C7F97" w:rsidRDefault="006C7F97">
            <w:pPr>
              <w:jc w:val="right"/>
              <w:rPr>
                <w:color w:val="000000"/>
                <w:sz w:val="20"/>
                <w:szCs w:val="20"/>
              </w:rPr>
            </w:pPr>
            <w:r>
              <w:rPr>
                <w:color w:val="000000"/>
                <w:sz w:val="20"/>
                <w:szCs w:val="20"/>
              </w:rPr>
              <w:t>0.092</w:t>
            </w:r>
          </w:p>
        </w:tc>
        <w:tc>
          <w:tcPr>
            <w:tcW w:w="864" w:type="dxa"/>
            <w:tcBorders>
              <w:top w:val="nil"/>
              <w:left w:val="nil"/>
              <w:bottom w:val="nil"/>
              <w:right w:val="nil"/>
            </w:tcBorders>
            <w:shd w:val="clear" w:color="auto" w:fill="auto"/>
            <w:noWrap/>
            <w:vAlign w:val="bottom"/>
            <w:hideMark/>
          </w:tcPr>
          <w:p w14:paraId="31DF7178" w14:textId="77777777" w:rsidR="006C7F97" w:rsidRDefault="006C7F97">
            <w:pPr>
              <w:jc w:val="right"/>
              <w:rPr>
                <w:color w:val="000000"/>
                <w:sz w:val="20"/>
                <w:szCs w:val="20"/>
              </w:rPr>
            </w:pPr>
            <w:r>
              <w:rPr>
                <w:color w:val="000000"/>
                <w:sz w:val="20"/>
                <w:szCs w:val="20"/>
              </w:rPr>
              <w:t>0.184</w:t>
            </w:r>
          </w:p>
        </w:tc>
        <w:tc>
          <w:tcPr>
            <w:tcW w:w="864" w:type="dxa"/>
            <w:tcBorders>
              <w:top w:val="nil"/>
              <w:left w:val="nil"/>
              <w:bottom w:val="nil"/>
              <w:right w:val="nil"/>
            </w:tcBorders>
            <w:shd w:val="clear" w:color="auto" w:fill="auto"/>
            <w:noWrap/>
            <w:vAlign w:val="bottom"/>
            <w:hideMark/>
          </w:tcPr>
          <w:p w14:paraId="6410D971" w14:textId="77777777" w:rsidR="006C7F97" w:rsidRDefault="006C7F97">
            <w:pPr>
              <w:jc w:val="right"/>
              <w:rPr>
                <w:color w:val="000000"/>
                <w:sz w:val="20"/>
                <w:szCs w:val="20"/>
              </w:rPr>
            </w:pPr>
            <w:r>
              <w:rPr>
                <w:color w:val="000000"/>
                <w:sz w:val="20"/>
                <w:szCs w:val="20"/>
              </w:rPr>
              <w:t>0.008</w:t>
            </w:r>
          </w:p>
        </w:tc>
      </w:tr>
      <w:tr w:rsidR="006C7F97" w14:paraId="2E52A320" w14:textId="77777777" w:rsidTr="006C7F97">
        <w:trPr>
          <w:trHeight w:val="320"/>
        </w:trPr>
        <w:tc>
          <w:tcPr>
            <w:tcW w:w="1152" w:type="dxa"/>
            <w:tcBorders>
              <w:top w:val="nil"/>
              <w:left w:val="nil"/>
              <w:bottom w:val="nil"/>
              <w:right w:val="nil"/>
            </w:tcBorders>
            <w:shd w:val="clear" w:color="auto" w:fill="auto"/>
            <w:noWrap/>
            <w:vAlign w:val="bottom"/>
            <w:hideMark/>
          </w:tcPr>
          <w:p w14:paraId="4911A625"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51FC783" w14:textId="77777777" w:rsidR="006C7F97" w:rsidRDefault="006C7F97">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F35BFE8" w14:textId="77777777" w:rsidR="006C7F97" w:rsidRDefault="006C7F97">
            <w:pPr>
              <w:jc w:val="right"/>
              <w:rPr>
                <w:color w:val="000000"/>
                <w:sz w:val="20"/>
                <w:szCs w:val="20"/>
              </w:rPr>
            </w:pPr>
            <w:r>
              <w:rPr>
                <w:color w:val="000000"/>
                <w:sz w:val="20"/>
                <w:szCs w:val="20"/>
              </w:rPr>
              <w:t>0.064</w:t>
            </w:r>
          </w:p>
        </w:tc>
        <w:tc>
          <w:tcPr>
            <w:tcW w:w="864" w:type="dxa"/>
            <w:tcBorders>
              <w:top w:val="nil"/>
              <w:left w:val="nil"/>
              <w:bottom w:val="nil"/>
              <w:right w:val="nil"/>
            </w:tcBorders>
            <w:shd w:val="clear" w:color="auto" w:fill="auto"/>
            <w:noWrap/>
            <w:vAlign w:val="bottom"/>
            <w:hideMark/>
          </w:tcPr>
          <w:p w14:paraId="7C1026E1" w14:textId="77777777" w:rsidR="006C7F97" w:rsidRDefault="006C7F97">
            <w:pPr>
              <w:jc w:val="right"/>
              <w:rPr>
                <w:color w:val="000000"/>
                <w:sz w:val="20"/>
                <w:szCs w:val="20"/>
              </w:rPr>
            </w:pPr>
            <w:r>
              <w:rPr>
                <w:color w:val="000000"/>
                <w:sz w:val="20"/>
                <w:szCs w:val="20"/>
              </w:rPr>
              <w:t>0.622</w:t>
            </w:r>
          </w:p>
        </w:tc>
        <w:tc>
          <w:tcPr>
            <w:tcW w:w="864" w:type="dxa"/>
            <w:tcBorders>
              <w:top w:val="nil"/>
              <w:left w:val="nil"/>
              <w:bottom w:val="nil"/>
              <w:right w:val="nil"/>
            </w:tcBorders>
            <w:shd w:val="clear" w:color="auto" w:fill="auto"/>
            <w:noWrap/>
            <w:vAlign w:val="bottom"/>
            <w:hideMark/>
          </w:tcPr>
          <w:p w14:paraId="12B092D5" w14:textId="77777777" w:rsidR="006C7F97" w:rsidRDefault="006C7F97">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AFDAA0E" w14:textId="77777777" w:rsidR="006C7F97" w:rsidRDefault="006C7F97">
            <w:pPr>
              <w:jc w:val="right"/>
              <w:rPr>
                <w:color w:val="000000"/>
                <w:sz w:val="20"/>
                <w:szCs w:val="20"/>
              </w:rPr>
            </w:pPr>
            <w:r>
              <w:rPr>
                <w:color w:val="000000"/>
                <w:sz w:val="20"/>
                <w:szCs w:val="20"/>
              </w:rPr>
              <w:t>0.113</w:t>
            </w:r>
          </w:p>
        </w:tc>
        <w:tc>
          <w:tcPr>
            <w:tcW w:w="864" w:type="dxa"/>
            <w:tcBorders>
              <w:top w:val="nil"/>
              <w:left w:val="nil"/>
              <w:bottom w:val="nil"/>
              <w:right w:val="nil"/>
            </w:tcBorders>
            <w:shd w:val="clear" w:color="auto" w:fill="auto"/>
            <w:noWrap/>
            <w:vAlign w:val="bottom"/>
            <w:hideMark/>
          </w:tcPr>
          <w:p w14:paraId="1071A92A" w14:textId="77777777" w:rsidR="006C7F97" w:rsidRDefault="006C7F97">
            <w:pPr>
              <w:jc w:val="right"/>
              <w:rPr>
                <w:color w:val="000000"/>
                <w:sz w:val="20"/>
                <w:szCs w:val="20"/>
              </w:rPr>
            </w:pPr>
            <w:r>
              <w:rPr>
                <w:color w:val="000000"/>
                <w:sz w:val="20"/>
                <w:szCs w:val="20"/>
              </w:rPr>
              <w:t>0.294</w:t>
            </w:r>
          </w:p>
        </w:tc>
        <w:tc>
          <w:tcPr>
            <w:tcW w:w="864" w:type="dxa"/>
            <w:tcBorders>
              <w:top w:val="nil"/>
              <w:left w:val="nil"/>
              <w:bottom w:val="nil"/>
              <w:right w:val="nil"/>
            </w:tcBorders>
            <w:shd w:val="clear" w:color="auto" w:fill="auto"/>
            <w:noWrap/>
            <w:vAlign w:val="bottom"/>
            <w:hideMark/>
          </w:tcPr>
          <w:p w14:paraId="73736E12" w14:textId="77777777" w:rsidR="006C7F97" w:rsidRDefault="006C7F97">
            <w:pPr>
              <w:jc w:val="right"/>
              <w:rPr>
                <w:color w:val="000000"/>
                <w:sz w:val="20"/>
                <w:szCs w:val="20"/>
              </w:rPr>
            </w:pPr>
            <w:r>
              <w:rPr>
                <w:color w:val="000000"/>
                <w:sz w:val="20"/>
                <w:szCs w:val="20"/>
              </w:rPr>
              <w:t>0.013</w:t>
            </w:r>
          </w:p>
        </w:tc>
      </w:tr>
      <w:tr w:rsidR="006C7F97" w14:paraId="7BF0A1CA" w14:textId="77777777" w:rsidTr="006C7F97">
        <w:trPr>
          <w:trHeight w:val="320"/>
        </w:trPr>
        <w:tc>
          <w:tcPr>
            <w:tcW w:w="1152" w:type="dxa"/>
            <w:tcBorders>
              <w:top w:val="nil"/>
              <w:left w:val="nil"/>
              <w:bottom w:val="nil"/>
              <w:right w:val="nil"/>
            </w:tcBorders>
            <w:shd w:val="clear" w:color="auto" w:fill="auto"/>
            <w:noWrap/>
            <w:vAlign w:val="bottom"/>
            <w:hideMark/>
          </w:tcPr>
          <w:p w14:paraId="3348BC65"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8704A42" w14:textId="77777777" w:rsidR="006C7F97" w:rsidRDefault="006C7F97">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56DD781A" w14:textId="77777777" w:rsidR="006C7F97" w:rsidRDefault="006C7F97">
            <w:pPr>
              <w:jc w:val="right"/>
              <w:rPr>
                <w:color w:val="000000"/>
                <w:sz w:val="20"/>
                <w:szCs w:val="20"/>
              </w:rPr>
            </w:pPr>
            <w:r>
              <w:rPr>
                <w:color w:val="000000"/>
                <w:sz w:val="20"/>
                <w:szCs w:val="20"/>
              </w:rPr>
              <w:t>0.142</w:t>
            </w:r>
          </w:p>
        </w:tc>
        <w:tc>
          <w:tcPr>
            <w:tcW w:w="864" w:type="dxa"/>
            <w:tcBorders>
              <w:top w:val="nil"/>
              <w:left w:val="nil"/>
              <w:bottom w:val="nil"/>
              <w:right w:val="nil"/>
            </w:tcBorders>
            <w:shd w:val="clear" w:color="auto" w:fill="auto"/>
            <w:noWrap/>
            <w:vAlign w:val="bottom"/>
            <w:hideMark/>
          </w:tcPr>
          <w:p w14:paraId="09556B25" w14:textId="77777777" w:rsidR="006C7F97" w:rsidRDefault="006C7F97">
            <w:pPr>
              <w:jc w:val="right"/>
              <w:rPr>
                <w:color w:val="000000"/>
                <w:sz w:val="20"/>
                <w:szCs w:val="20"/>
              </w:rPr>
            </w:pPr>
            <w:r>
              <w:rPr>
                <w:color w:val="000000"/>
                <w:sz w:val="20"/>
                <w:szCs w:val="20"/>
              </w:rPr>
              <w:t>0.288</w:t>
            </w:r>
          </w:p>
        </w:tc>
        <w:tc>
          <w:tcPr>
            <w:tcW w:w="864" w:type="dxa"/>
            <w:tcBorders>
              <w:top w:val="nil"/>
              <w:left w:val="nil"/>
              <w:bottom w:val="nil"/>
              <w:right w:val="nil"/>
            </w:tcBorders>
            <w:shd w:val="clear" w:color="auto" w:fill="auto"/>
            <w:noWrap/>
            <w:vAlign w:val="bottom"/>
            <w:hideMark/>
          </w:tcPr>
          <w:p w14:paraId="2CFC1AEC" w14:textId="77777777" w:rsidR="006C7F97" w:rsidRDefault="006C7F97">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5EA19737" w14:textId="77777777" w:rsidR="006C7F97" w:rsidRDefault="006C7F97">
            <w:pPr>
              <w:jc w:val="right"/>
              <w:rPr>
                <w:color w:val="000000"/>
                <w:sz w:val="20"/>
                <w:szCs w:val="20"/>
              </w:rPr>
            </w:pPr>
            <w:r>
              <w:rPr>
                <w:color w:val="000000"/>
                <w:sz w:val="20"/>
                <w:szCs w:val="20"/>
              </w:rPr>
              <w:t>-0.070</w:t>
            </w:r>
          </w:p>
        </w:tc>
        <w:tc>
          <w:tcPr>
            <w:tcW w:w="864" w:type="dxa"/>
            <w:tcBorders>
              <w:top w:val="nil"/>
              <w:left w:val="nil"/>
              <w:bottom w:val="nil"/>
              <w:right w:val="nil"/>
            </w:tcBorders>
            <w:shd w:val="clear" w:color="auto" w:fill="auto"/>
            <w:noWrap/>
            <w:vAlign w:val="bottom"/>
            <w:hideMark/>
          </w:tcPr>
          <w:p w14:paraId="7832FDC2" w14:textId="77777777" w:rsidR="006C7F97" w:rsidRDefault="006C7F97">
            <w:pPr>
              <w:jc w:val="right"/>
              <w:rPr>
                <w:color w:val="000000"/>
                <w:sz w:val="20"/>
                <w:szCs w:val="20"/>
              </w:rPr>
            </w:pPr>
            <w:r>
              <w:rPr>
                <w:color w:val="000000"/>
                <w:sz w:val="20"/>
                <w:szCs w:val="20"/>
              </w:rPr>
              <w:t>0.637</w:t>
            </w:r>
          </w:p>
        </w:tc>
        <w:tc>
          <w:tcPr>
            <w:tcW w:w="864" w:type="dxa"/>
            <w:tcBorders>
              <w:top w:val="nil"/>
              <w:left w:val="nil"/>
              <w:bottom w:val="nil"/>
              <w:right w:val="nil"/>
            </w:tcBorders>
            <w:shd w:val="clear" w:color="auto" w:fill="auto"/>
            <w:noWrap/>
            <w:vAlign w:val="bottom"/>
            <w:hideMark/>
          </w:tcPr>
          <w:p w14:paraId="573DE114" w14:textId="77777777" w:rsidR="006C7F97" w:rsidRDefault="006C7F97">
            <w:pPr>
              <w:jc w:val="right"/>
              <w:rPr>
                <w:color w:val="000000"/>
                <w:sz w:val="20"/>
                <w:szCs w:val="20"/>
              </w:rPr>
            </w:pPr>
            <w:r>
              <w:rPr>
                <w:color w:val="000000"/>
                <w:sz w:val="20"/>
                <w:szCs w:val="20"/>
              </w:rPr>
              <w:t>0.005</w:t>
            </w:r>
          </w:p>
        </w:tc>
      </w:tr>
      <w:tr w:rsidR="006C7F97" w14:paraId="16FD21C3" w14:textId="77777777" w:rsidTr="006C7F97">
        <w:trPr>
          <w:trHeight w:val="320"/>
        </w:trPr>
        <w:tc>
          <w:tcPr>
            <w:tcW w:w="1152" w:type="dxa"/>
            <w:tcBorders>
              <w:top w:val="nil"/>
              <w:left w:val="nil"/>
              <w:bottom w:val="nil"/>
              <w:right w:val="nil"/>
            </w:tcBorders>
            <w:shd w:val="clear" w:color="auto" w:fill="auto"/>
            <w:noWrap/>
            <w:vAlign w:val="bottom"/>
            <w:hideMark/>
          </w:tcPr>
          <w:p w14:paraId="597BC74E"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C99DE2A" w14:textId="77777777" w:rsidR="006C7F97" w:rsidRDefault="006C7F97">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35ECE180" w14:textId="77777777" w:rsidR="006C7F97" w:rsidRDefault="006C7F97">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5B93C93C" w14:textId="77777777" w:rsidR="006C7F97" w:rsidRDefault="006C7F97">
            <w:pPr>
              <w:jc w:val="right"/>
              <w:rPr>
                <w:color w:val="000000"/>
                <w:sz w:val="20"/>
                <w:szCs w:val="20"/>
              </w:rPr>
            </w:pPr>
            <w:r>
              <w:rPr>
                <w:color w:val="000000"/>
                <w:sz w:val="20"/>
                <w:szCs w:val="20"/>
              </w:rPr>
              <w:t>0.784</w:t>
            </w:r>
          </w:p>
        </w:tc>
        <w:tc>
          <w:tcPr>
            <w:tcW w:w="864" w:type="dxa"/>
            <w:tcBorders>
              <w:top w:val="nil"/>
              <w:left w:val="nil"/>
              <w:bottom w:val="nil"/>
              <w:right w:val="nil"/>
            </w:tcBorders>
            <w:shd w:val="clear" w:color="auto" w:fill="auto"/>
            <w:noWrap/>
            <w:vAlign w:val="bottom"/>
            <w:hideMark/>
          </w:tcPr>
          <w:p w14:paraId="4F9BE58D" w14:textId="77777777" w:rsidR="006C7F97" w:rsidRDefault="006C7F97">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AC23B80" w14:textId="77777777" w:rsidR="006C7F97" w:rsidRDefault="006C7F97">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787158D7" w14:textId="77777777" w:rsidR="006C7F97" w:rsidRDefault="006C7F97">
            <w:pPr>
              <w:jc w:val="right"/>
              <w:rPr>
                <w:color w:val="000000"/>
                <w:sz w:val="20"/>
                <w:szCs w:val="20"/>
              </w:rPr>
            </w:pPr>
            <w:r>
              <w:rPr>
                <w:color w:val="000000"/>
                <w:sz w:val="20"/>
                <w:szCs w:val="20"/>
              </w:rPr>
              <w:t>0.969</w:t>
            </w:r>
          </w:p>
        </w:tc>
        <w:tc>
          <w:tcPr>
            <w:tcW w:w="864" w:type="dxa"/>
            <w:tcBorders>
              <w:top w:val="nil"/>
              <w:left w:val="nil"/>
              <w:bottom w:val="nil"/>
              <w:right w:val="nil"/>
            </w:tcBorders>
            <w:shd w:val="clear" w:color="auto" w:fill="auto"/>
            <w:noWrap/>
            <w:vAlign w:val="bottom"/>
            <w:hideMark/>
          </w:tcPr>
          <w:p w14:paraId="2F6A2AEA" w14:textId="77777777" w:rsidR="006C7F97" w:rsidRDefault="006C7F97">
            <w:pPr>
              <w:jc w:val="right"/>
              <w:rPr>
                <w:color w:val="000000"/>
                <w:sz w:val="20"/>
                <w:szCs w:val="20"/>
              </w:rPr>
            </w:pPr>
            <w:r>
              <w:rPr>
                <w:color w:val="000000"/>
                <w:sz w:val="20"/>
                <w:szCs w:val="20"/>
              </w:rPr>
              <w:t>0.000</w:t>
            </w:r>
          </w:p>
        </w:tc>
      </w:tr>
      <w:tr w:rsidR="006C7F97" w14:paraId="605EDC45" w14:textId="77777777" w:rsidTr="006C7F97">
        <w:trPr>
          <w:trHeight w:val="320"/>
        </w:trPr>
        <w:tc>
          <w:tcPr>
            <w:tcW w:w="1152" w:type="dxa"/>
            <w:tcBorders>
              <w:top w:val="nil"/>
              <w:left w:val="nil"/>
              <w:bottom w:val="nil"/>
              <w:right w:val="nil"/>
            </w:tcBorders>
            <w:shd w:val="clear" w:color="auto" w:fill="auto"/>
            <w:noWrap/>
            <w:vAlign w:val="bottom"/>
            <w:hideMark/>
          </w:tcPr>
          <w:p w14:paraId="0804E5A6"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EEAC06F" w14:textId="77777777" w:rsidR="006C7F97" w:rsidRDefault="006C7F97">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4EE545D4" w14:textId="77777777" w:rsidR="006C7F97" w:rsidRDefault="006C7F97">
            <w:pPr>
              <w:jc w:val="right"/>
              <w:rPr>
                <w:color w:val="000000"/>
                <w:sz w:val="20"/>
                <w:szCs w:val="20"/>
              </w:rPr>
            </w:pPr>
            <w:r>
              <w:rPr>
                <w:color w:val="000000"/>
                <w:sz w:val="20"/>
                <w:szCs w:val="20"/>
              </w:rPr>
              <w:t>-0.020</w:t>
            </w:r>
          </w:p>
        </w:tc>
        <w:tc>
          <w:tcPr>
            <w:tcW w:w="864" w:type="dxa"/>
            <w:tcBorders>
              <w:top w:val="nil"/>
              <w:left w:val="nil"/>
              <w:bottom w:val="nil"/>
              <w:right w:val="nil"/>
            </w:tcBorders>
            <w:shd w:val="clear" w:color="auto" w:fill="auto"/>
            <w:noWrap/>
            <w:vAlign w:val="bottom"/>
            <w:hideMark/>
          </w:tcPr>
          <w:p w14:paraId="4CB4B83F" w14:textId="77777777" w:rsidR="006C7F97" w:rsidRDefault="006C7F97">
            <w:pPr>
              <w:jc w:val="right"/>
              <w:rPr>
                <w:color w:val="000000"/>
                <w:sz w:val="20"/>
                <w:szCs w:val="20"/>
              </w:rPr>
            </w:pPr>
            <w:r>
              <w:rPr>
                <w:color w:val="000000"/>
                <w:sz w:val="20"/>
                <w:szCs w:val="20"/>
              </w:rPr>
              <w:t>0.784</w:t>
            </w:r>
          </w:p>
        </w:tc>
        <w:tc>
          <w:tcPr>
            <w:tcW w:w="864" w:type="dxa"/>
            <w:tcBorders>
              <w:top w:val="nil"/>
              <w:left w:val="nil"/>
              <w:bottom w:val="nil"/>
              <w:right w:val="nil"/>
            </w:tcBorders>
            <w:shd w:val="clear" w:color="auto" w:fill="auto"/>
            <w:noWrap/>
            <w:vAlign w:val="bottom"/>
            <w:hideMark/>
          </w:tcPr>
          <w:p w14:paraId="4C0D27BF"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FBAA294" w14:textId="77777777" w:rsidR="006C7F97" w:rsidRDefault="006C7F97">
            <w:pPr>
              <w:jc w:val="right"/>
              <w:rPr>
                <w:color w:val="000000"/>
                <w:sz w:val="20"/>
                <w:szCs w:val="20"/>
              </w:rPr>
            </w:pPr>
            <w:r>
              <w:rPr>
                <w:color w:val="000000"/>
                <w:sz w:val="20"/>
                <w:szCs w:val="20"/>
              </w:rPr>
              <w:t>-0.057</w:t>
            </w:r>
          </w:p>
        </w:tc>
        <w:tc>
          <w:tcPr>
            <w:tcW w:w="864" w:type="dxa"/>
            <w:tcBorders>
              <w:top w:val="nil"/>
              <w:left w:val="nil"/>
              <w:bottom w:val="nil"/>
              <w:right w:val="nil"/>
            </w:tcBorders>
            <w:shd w:val="clear" w:color="auto" w:fill="auto"/>
            <w:noWrap/>
            <w:vAlign w:val="bottom"/>
            <w:hideMark/>
          </w:tcPr>
          <w:p w14:paraId="25FBD997" w14:textId="77777777" w:rsidR="006C7F97" w:rsidRDefault="006C7F97">
            <w:pPr>
              <w:jc w:val="right"/>
              <w:rPr>
                <w:color w:val="000000"/>
                <w:sz w:val="20"/>
                <w:szCs w:val="20"/>
              </w:rPr>
            </w:pPr>
            <w:r>
              <w:rPr>
                <w:color w:val="000000"/>
                <w:sz w:val="20"/>
                <w:szCs w:val="20"/>
              </w:rPr>
              <w:t>0.294</w:t>
            </w:r>
          </w:p>
        </w:tc>
        <w:tc>
          <w:tcPr>
            <w:tcW w:w="864" w:type="dxa"/>
            <w:tcBorders>
              <w:top w:val="nil"/>
              <w:left w:val="nil"/>
              <w:bottom w:val="nil"/>
              <w:right w:val="nil"/>
            </w:tcBorders>
            <w:shd w:val="clear" w:color="auto" w:fill="auto"/>
            <w:noWrap/>
            <w:vAlign w:val="bottom"/>
            <w:hideMark/>
          </w:tcPr>
          <w:p w14:paraId="49D736D1" w14:textId="77777777" w:rsidR="006C7F97" w:rsidRDefault="006C7F97">
            <w:pPr>
              <w:jc w:val="right"/>
              <w:rPr>
                <w:color w:val="000000"/>
                <w:sz w:val="20"/>
                <w:szCs w:val="20"/>
              </w:rPr>
            </w:pPr>
            <w:r>
              <w:rPr>
                <w:color w:val="000000"/>
                <w:sz w:val="20"/>
                <w:szCs w:val="20"/>
              </w:rPr>
              <w:t>0.003</w:t>
            </w:r>
          </w:p>
        </w:tc>
      </w:tr>
      <w:tr w:rsidR="006C7F97" w14:paraId="29800554" w14:textId="77777777" w:rsidTr="006C7F97">
        <w:trPr>
          <w:trHeight w:val="320"/>
        </w:trPr>
        <w:tc>
          <w:tcPr>
            <w:tcW w:w="1152" w:type="dxa"/>
            <w:tcBorders>
              <w:top w:val="nil"/>
              <w:left w:val="nil"/>
              <w:bottom w:val="nil"/>
              <w:right w:val="nil"/>
            </w:tcBorders>
            <w:shd w:val="clear" w:color="auto" w:fill="auto"/>
            <w:noWrap/>
            <w:vAlign w:val="bottom"/>
            <w:hideMark/>
          </w:tcPr>
          <w:p w14:paraId="323535EF"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E62D6C2" w14:textId="77777777" w:rsidR="006C7F97" w:rsidRDefault="006C7F97">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70D5AE82" w14:textId="77777777" w:rsidR="006C7F97" w:rsidRDefault="006C7F97">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5094AFDB" w14:textId="77777777" w:rsidR="006C7F97" w:rsidRDefault="006C7F97">
            <w:pPr>
              <w:jc w:val="right"/>
              <w:rPr>
                <w:color w:val="000000"/>
                <w:sz w:val="20"/>
                <w:szCs w:val="20"/>
              </w:rPr>
            </w:pPr>
            <w:r>
              <w:rPr>
                <w:color w:val="000000"/>
                <w:sz w:val="20"/>
                <w:szCs w:val="20"/>
              </w:rPr>
              <w:t>0.811</w:t>
            </w:r>
          </w:p>
        </w:tc>
        <w:tc>
          <w:tcPr>
            <w:tcW w:w="864" w:type="dxa"/>
            <w:tcBorders>
              <w:top w:val="nil"/>
              <w:left w:val="nil"/>
              <w:bottom w:val="nil"/>
              <w:right w:val="nil"/>
            </w:tcBorders>
            <w:shd w:val="clear" w:color="auto" w:fill="auto"/>
            <w:noWrap/>
            <w:vAlign w:val="bottom"/>
            <w:hideMark/>
          </w:tcPr>
          <w:p w14:paraId="732B3D7F"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CE32247" w14:textId="77777777" w:rsidR="006C7F97" w:rsidRDefault="006C7F97">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10A6E26D" w14:textId="77777777" w:rsidR="006C7F97" w:rsidRDefault="006C7F97">
            <w:pPr>
              <w:jc w:val="right"/>
              <w:rPr>
                <w:color w:val="000000"/>
                <w:sz w:val="20"/>
                <w:szCs w:val="20"/>
              </w:rPr>
            </w:pPr>
            <w:r>
              <w:rPr>
                <w:color w:val="000000"/>
                <w:sz w:val="20"/>
                <w:szCs w:val="20"/>
              </w:rPr>
              <w:t>0.969</w:t>
            </w:r>
          </w:p>
        </w:tc>
        <w:tc>
          <w:tcPr>
            <w:tcW w:w="864" w:type="dxa"/>
            <w:tcBorders>
              <w:top w:val="nil"/>
              <w:left w:val="nil"/>
              <w:bottom w:val="nil"/>
              <w:right w:val="nil"/>
            </w:tcBorders>
            <w:shd w:val="clear" w:color="auto" w:fill="auto"/>
            <w:noWrap/>
            <w:vAlign w:val="bottom"/>
            <w:hideMark/>
          </w:tcPr>
          <w:p w14:paraId="6D4920E6" w14:textId="77777777" w:rsidR="006C7F97" w:rsidRDefault="006C7F97">
            <w:pPr>
              <w:jc w:val="right"/>
              <w:rPr>
                <w:color w:val="000000"/>
                <w:sz w:val="20"/>
                <w:szCs w:val="20"/>
              </w:rPr>
            </w:pPr>
            <w:r>
              <w:rPr>
                <w:color w:val="000000"/>
                <w:sz w:val="20"/>
                <w:szCs w:val="20"/>
              </w:rPr>
              <w:t>0.000</w:t>
            </w:r>
          </w:p>
        </w:tc>
      </w:tr>
      <w:tr w:rsidR="006C7F97" w14:paraId="2BC18740" w14:textId="77777777" w:rsidTr="006C7F97">
        <w:trPr>
          <w:trHeight w:val="320"/>
        </w:trPr>
        <w:tc>
          <w:tcPr>
            <w:tcW w:w="1152" w:type="dxa"/>
            <w:tcBorders>
              <w:top w:val="nil"/>
              <w:left w:val="nil"/>
              <w:bottom w:val="single" w:sz="4" w:space="0" w:color="auto"/>
              <w:right w:val="nil"/>
            </w:tcBorders>
            <w:shd w:val="clear" w:color="auto" w:fill="auto"/>
            <w:noWrap/>
            <w:vAlign w:val="bottom"/>
            <w:hideMark/>
          </w:tcPr>
          <w:p w14:paraId="2F591F0A" w14:textId="77777777" w:rsidR="006C7F97" w:rsidRDefault="006C7F97">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9088CF7" w14:textId="77777777" w:rsidR="006C7F97" w:rsidRDefault="006C7F97">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28149A67" w14:textId="77777777" w:rsidR="006C7F97" w:rsidRDefault="006C7F97">
            <w:pPr>
              <w:jc w:val="right"/>
              <w:rPr>
                <w:color w:val="000000"/>
                <w:sz w:val="20"/>
                <w:szCs w:val="20"/>
              </w:rPr>
            </w:pPr>
            <w:r>
              <w:rPr>
                <w:color w:val="000000"/>
                <w:sz w:val="20"/>
                <w:szCs w:val="20"/>
              </w:rPr>
              <w:t>0.049</w:t>
            </w:r>
          </w:p>
        </w:tc>
        <w:tc>
          <w:tcPr>
            <w:tcW w:w="864" w:type="dxa"/>
            <w:tcBorders>
              <w:top w:val="nil"/>
              <w:left w:val="nil"/>
              <w:bottom w:val="single" w:sz="4" w:space="0" w:color="auto"/>
              <w:right w:val="nil"/>
            </w:tcBorders>
            <w:shd w:val="clear" w:color="auto" w:fill="auto"/>
            <w:noWrap/>
            <w:vAlign w:val="bottom"/>
            <w:hideMark/>
          </w:tcPr>
          <w:p w14:paraId="39741D83" w14:textId="77777777" w:rsidR="006C7F97" w:rsidRDefault="006C7F97">
            <w:pPr>
              <w:jc w:val="right"/>
              <w:rPr>
                <w:color w:val="000000"/>
                <w:sz w:val="20"/>
                <w:szCs w:val="20"/>
              </w:rPr>
            </w:pPr>
            <w:r>
              <w:rPr>
                <w:color w:val="000000"/>
                <w:sz w:val="20"/>
                <w:szCs w:val="20"/>
              </w:rPr>
              <w:t>0.622</w:t>
            </w:r>
          </w:p>
        </w:tc>
        <w:tc>
          <w:tcPr>
            <w:tcW w:w="864" w:type="dxa"/>
            <w:tcBorders>
              <w:top w:val="nil"/>
              <w:left w:val="nil"/>
              <w:bottom w:val="single" w:sz="4" w:space="0" w:color="auto"/>
              <w:right w:val="nil"/>
            </w:tcBorders>
            <w:shd w:val="clear" w:color="auto" w:fill="auto"/>
            <w:noWrap/>
            <w:vAlign w:val="bottom"/>
            <w:hideMark/>
          </w:tcPr>
          <w:p w14:paraId="369CF7FE" w14:textId="77777777" w:rsidR="006C7F97" w:rsidRDefault="006C7F97">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3EE2971A" w14:textId="77777777" w:rsidR="006C7F97" w:rsidRDefault="006C7F97">
            <w:pPr>
              <w:jc w:val="right"/>
              <w:rPr>
                <w:color w:val="000000"/>
                <w:sz w:val="20"/>
                <w:szCs w:val="20"/>
              </w:rPr>
            </w:pPr>
            <w:r>
              <w:rPr>
                <w:color w:val="000000"/>
                <w:sz w:val="20"/>
                <w:szCs w:val="20"/>
              </w:rPr>
              <w:t>0.034</w:t>
            </w:r>
          </w:p>
        </w:tc>
        <w:tc>
          <w:tcPr>
            <w:tcW w:w="864" w:type="dxa"/>
            <w:tcBorders>
              <w:top w:val="nil"/>
              <w:left w:val="nil"/>
              <w:bottom w:val="single" w:sz="4" w:space="0" w:color="auto"/>
              <w:right w:val="nil"/>
            </w:tcBorders>
            <w:shd w:val="clear" w:color="auto" w:fill="auto"/>
            <w:noWrap/>
            <w:vAlign w:val="bottom"/>
            <w:hideMark/>
          </w:tcPr>
          <w:p w14:paraId="15CB9365" w14:textId="77777777" w:rsidR="006C7F97" w:rsidRDefault="006C7F97">
            <w:pPr>
              <w:jc w:val="right"/>
              <w:rPr>
                <w:color w:val="000000"/>
                <w:sz w:val="20"/>
                <w:szCs w:val="20"/>
              </w:rPr>
            </w:pPr>
            <w:r>
              <w:rPr>
                <w:color w:val="000000"/>
                <w:sz w:val="20"/>
                <w:szCs w:val="20"/>
              </w:rPr>
              <w:t>0.637</w:t>
            </w:r>
          </w:p>
        </w:tc>
        <w:tc>
          <w:tcPr>
            <w:tcW w:w="864" w:type="dxa"/>
            <w:tcBorders>
              <w:top w:val="nil"/>
              <w:left w:val="nil"/>
              <w:bottom w:val="single" w:sz="4" w:space="0" w:color="auto"/>
              <w:right w:val="nil"/>
            </w:tcBorders>
            <w:shd w:val="clear" w:color="auto" w:fill="auto"/>
            <w:noWrap/>
            <w:vAlign w:val="bottom"/>
            <w:hideMark/>
          </w:tcPr>
          <w:p w14:paraId="3DE24017" w14:textId="77777777" w:rsidR="006C7F97" w:rsidRDefault="006C7F97">
            <w:pPr>
              <w:jc w:val="right"/>
              <w:rPr>
                <w:color w:val="000000"/>
                <w:sz w:val="20"/>
                <w:szCs w:val="20"/>
              </w:rPr>
            </w:pPr>
            <w:r>
              <w:rPr>
                <w:color w:val="000000"/>
                <w:sz w:val="20"/>
                <w:szCs w:val="20"/>
              </w:rPr>
              <w:t>0.001</w:t>
            </w:r>
          </w:p>
        </w:tc>
      </w:tr>
      <w:tr w:rsidR="006C7F97" w14:paraId="0C799916" w14:textId="77777777" w:rsidTr="006C7F97">
        <w:trPr>
          <w:trHeight w:val="320"/>
        </w:trPr>
        <w:tc>
          <w:tcPr>
            <w:tcW w:w="1152" w:type="dxa"/>
            <w:tcBorders>
              <w:top w:val="nil"/>
              <w:left w:val="nil"/>
              <w:bottom w:val="nil"/>
              <w:right w:val="nil"/>
            </w:tcBorders>
            <w:shd w:val="clear" w:color="auto" w:fill="auto"/>
            <w:noWrap/>
            <w:vAlign w:val="bottom"/>
            <w:hideMark/>
          </w:tcPr>
          <w:p w14:paraId="3A6E745F" w14:textId="77777777" w:rsidR="006C7F97" w:rsidRDefault="006C7F97">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3A733D59" w14:textId="77777777" w:rsidR="006C7F97" w:rsidRDefault="006C7F97">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72055B31" w14:textId="77777777" w:rsidR="006C7F97" w:rsidRDefault="006C7F97">
            <w:pPr>
              <w:jc w:val="right"/>
              <w:rPr>
                <w:color w:val="000000"/>
                <w:sz w:val="20"/>
                <w:szCs w:val="20"/>
              </w:rPr>
            </w:pPr>
            <w:r>
              <w:rPr>
                <w:color w:val="000000"/>
                <w:sz w:val="20"/>
                <w:szCs w:val="20"/>
              </w:rPr>
              <w:t>0.075</w:t>
            </w:r>
          </w:p>
        </w:tc>
        <w:tc>
          <w:tcPr>
            <w:tcW w:w="864" w:type="dxa"/>
            <w:tcBorders>
              <w:top w:val="nil"/>
              <w:left w:val="nil"/>
              <w:bottom w:val="nil"/>
              <w:right w:val="nil"/>
            </w:tcBorders>
            <w:shd w:val="clear" w:color="auto" w:fill="auto"/>
            <w:noWrap/>
            <w:vAlign w:val="bottom"/>
            <w:hideMark/>
          </w:tcPr>
          <w:p w14:paraId="52885B2A" w14:textId="77777777" w:rsidR="006C7F97" w:rsidRDefault="006C7F97">
            <w:pPr>
              <w:jc w:val="right"/>
              <w:rPr>
                <w:color w:val="000000"/>
                <w:sz w:val="20"/>
                <w:szCs w:val="20"/>
              </w:rPr>
            </w:pPr>
            <w:r>
              <w:rPr>
                <w:color w:val="000000"/>
                <w:sz w:val="20"/>
                <w:szCs w:val="20"/>
              </w:rPr>
              <w:t>0.116</w:t>
            </w:r>
          </w:p>
        </w:tc>
        <w:tc>
          <w:tcPr>
            <w:tcW w:w="864" w:type="dxa"/>
            <w:tcBorders>
              <w:top w:val="nil"/>
              <w:left w:val="nil"/>
              <w:bottom w:val="nil"/>
              <w:right w:val="nil"/>
            </w:tcBorders>
            <w:shd w:val="clear" w:color="auto" w:fill="auto"/>
            <w:noWrap/>
            <w:vAlign w:val="bottom"/>
            <w:hideMark/>
          </w:tcPr>
          <w:p w14:paraId="541E378B" w14:textId="77777777" w:rsidR="006C7F97" w:rsidRDefault="006C7F97">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645AECF" w14:textId="77777777" w:rsidR="006C7F97" w:rsidRDefault="006C7F97">
            <w:pPr>
              <w:jc w:val="right"/>
              <w:rPr>
                <w:color w:val="000000"/>
                <w:sz w:val="20"/>
                <w:szCs w:val="20"/>
              </w:rPr>
            </w:pPr>
            <w:r>
              <w:rPr>
                <w:color w:val="000000"/>
                <w:sz w:val="20"/>
                <w:szCs w:val="20"/>
              </w:rPr>
              <w:t>0.061</w:t>
            </w:r>
          </w:p>
        </w:tc>
        <w:tc>
          <w:tcPr>
            <w:tcW w:w="864" w:type="dxa"/>
            <w:tcBorders>
              <w:top w:val="nil"/>
              <w:left w:val="nil"/>
              <w:bottom w:val="nil"/>
              <w:right w:val="nil"/>
            </w:tcBorders>
            <w:shd w:val="clear" w:color="auto" w:fill="auto"/>
            <w:noWrap/>
            <w:vAlign w:val="bottom"/>
            <w:hideMark/>
          </w:tcPr>
          <w:p w14:paraId="5A4FF079" w14:textId="77777777" w:rsidR="006C7F97" w:rsidRDefault="006C7F97">
            <w:pPr>
              <w:jc w:val="right"/>
              <w:rPr>
                <w:color w:val="000000"/>
                <w:sz w:val="20"/>
                <w:szCs w:val="20"/>
              </w:rPr>
            </w:pPr>
            <w:r>
              <w:rPr>
                <w:color w:val="000000"/>
                <w:sz w:val="20"/>
                <w:szCs w:val="20"/>
              </w:rPr>
              <w:t>0.304</w:t>
            </w:r>
          </w:p>
        </w:tc>
        <w:tc>
          <w:tcPr>
            <w:tcW w:w="864" w:type="dxa"/>
            <w:tcBorders>
              <w:top w:val="nil"/>
              <w:left w:val="nil"/>
              <w:bottom w:val="nil"/>
              <w:right w:val="nil"/>
            </w:tcBorders>
            <w:shd w:val="clear" w:color="auto" w:fill="auto"/>
            <w:noWrap/>
            <w:vAlign w:val="bottom"/>
            <w:hideMark/>
          </w:tcPr>
          <w:p w14:paraId="47C9316A" w14:textId="77777777" w:rsidR="006C7F97" w:rsidRDefault="006C7F97">
            <w:pPr>
              <w:jc w:val="right"/>
              <w:rPr>
                <w:color w:val="000000"/>
                <w:sz w:val="20"/>
                <w:szCs w:val="20"/>
              </w:rPr>
            </w:pPr>
            <w:r>
              <w:rPr>
                <w:color w:val="000000"/>
                <w:sz w:val="20"/>
                <w:szCs w:val="20"/>
              </w:rPr>
              <w:t>0.004</w:t>
            </w:r>
          </w:p>
        </w:tc>
      </w:tr>
      <w:tr w:rsidR="006C7F97" w14:paraId="17567145" w14:textId="77777777" w:rsidTr="006C7F97">
        <w:trPr>
          <w:trHeight w:val="320"/>
        </w:trPr>
        <w:tc>
          <w:tcPr>
            <w:tcW w:w="1152" w:type="dxa"/>
            <w:tcBorders>
              <w:top w:val="nil"/>
              <w:left w:val="nil"/>
              <w:bottom w:val="nil"/>
              <w:right w:val="nil"/>
            </w:tcBorders>
            <w:shd w:val="clear" w:color="auto" w:fill="auto"/>
            <w:noWrap/>
            <w:vAlign w:val="bottom"/>
            <w:hideMark/>
          </w:tcPr>
          <w:p w14:paraId="2FF291D9"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7D1F5CC" w14:textId="77777777" w:rsidR="006C7F97" w:rsidRDefault="006C7F97">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1CCF3CEC" w14:textId="77777777" w:rsidR="006C7F97" w:rsidRDefault="006C7F97">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560EAD9" w14:textId="77777777" w:rsidR="006C7F97" w:rsidRDefault="006C7F97">
            <w:pPr>
              <w:jc w:val="right"/>
              <w:rPr>
                <w:color w:val="000000"/>
                <w:sz w:val="20"/>
                <w:szCs w:val="20"/>
              </w:rPr>
            </w:pPr>
            <w:r>
              <w:rPr>
                <w:color w:val="000000"/>
                <w:sz w:val="20"/>
                <w:szCs w:val="20"/>
              </w:rPr>
              <w:t>0.952</w:t>
            </w:r>
          </w:p>
        </w:tc>
        <w:tc>
          <w:tcPr>
            <w:tcW w:w="864" w:type="dxa"/>
            <w:tcBorders>
              <w:top w:val="nil"/>
              <w:left w:val="nil"/>
              <w:bottom w:val="nil"/>
              <w:right w:val="nil"/>
            </w:tcBorders>
            <w:shd w:val="clear" w:color="auto" w:fill="auto"/>
            <w:noWrap/>
            <w:vAlign w:val="bottom"/>
            <w:hideMark/>
          </w:tcPr>
          <w:p w14:paraId="021E5AC1"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618C625F" w14:textId="77777777" w:rsidR="006C7F97" w:rsidRDefault="006C7F97">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61A6C28F" w14:textId="77777777" w:rsidR="006C7F97" w:rsidRDefault="006C7F97">
            <w:pPr>
              <w:jc w:val="right"/>
              <w:rPr>
                <w:color w:val="000000"/>
                <w:sz w:val="20"/>
                <w:szCs w:val="20"/>
              </w:rPr>
            </w:pPr>
            <w:r>
              <w:rPr>
                <w:color w:val="000000"/>
                <w:sz w:val="20"/>
                <w:szCs w:val="20"/>
              </w:rPr>
              <w:t>0.712</w:t>
            </w:r>
          </w:p>
        </w:tc>
        <w:tc>
          <w:tcPr>
            <w:tcW w:w="864" w:type="dxa"/>
            <w:tcBorders>
              <w:top w:val="nil"/>
              <w:left w:val="nil"/>
              <w:bottom w:val="nil"/>
              <w:right w:val="nil"/>
            </w:tcBorders>
            <w:shd w:val="clear" w:color="auto" w:fill="auto"/>
            <w:noWrap/>
            <w:vAlign w:val="bottom"/>
            <w:hideMark/>
          </w:tcPr>
          <w:p w14:paraId="5582D5F1" w14:textId="77777777" w:rsidR="006C7F97" w:rsidRDefault="006C7F97">
            <w:pPr>
              <w:jc w:val="right"/>
              <w:rPr>
                <w:color w:val="000000"/>
                <w:sz w:val="20"/>
                <w:szCs w:val="20"/>
              </w:rPr>
            </w:pPr>
            <w:r>
              <w:rPr>
                <w:color w:val="000000"/>
                <w:sz w:val="20"/>
                <w:szCs w:val="20"/>
              </w:rPr>
              <w:t>0.000</w:t>
            </w:r>
          </w:p>
        </w:tc>
      </w:tr>
      <w:tr w:rsidR="006C7F97" w14:paraId="341C0B6B" w14:textId="77777777" w:rsidTr="006C7F97">
        <w:trPr>
          <w:trHeight w:val="320"/>
        </w:trPr>
        <w:tc>
          <w:tcPr>
            <w:tcW w:w="1152" w:type="dxa"/>
            <w:tcBorders>
              <w:top w:val="nil"/>
              <w:left w:val="nil"/>
              <w:bottom w:val="nil"/>
              <w:right w:val="nil"/>
            </w:tcBorders>
            <w:shd w:val="clear" w:color="auto" w:fill="auto"/>
            <w:noWrap/>
            <w:vAlign w:val="bottom"/>
            <w:hideMark/>
          </w:tcPr>
          <w:p w14:paraId="6A441B10"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1CF1B17" w14:textId="77777777" w:rsidR="006C7F97" w:rsidRDefault="006C7F97">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14F18E0" w14:textId="77777777" w:rsidR="006C7F97" w:rsidRDefault="006C7F97">
            <w:pPr>
              <w:jc w:val="right"/>
              <w:rPr>
                <w:color w:val="000000"/>
                <w:sz w:val="20"/>
                <w:szCs w:val="20"/>
              </w:rPr>
            </w:pPr>
            <w:r>
              <w:rPr>
                <w:color w:val="000000"/>
                <w:sz w:val="20"/>
                <w:szCs w:val="20"/>
              </w:rPr>
              <w:t>0.010</w:t>
            </w:r>
          </w:p>
        </w:tc>
        <w:tc>
          <w:tcPr>
            <w:tcW w:w="864" w:type="dxa"/>
            <w:tcBorders>
              <w:top w:val="nil"/>
              <w:left w:val="nil"/>
              <w:bottom w:val="nil"/>
              <w:right w:val="nil"/>
            </w:tcBorders>
            <w:shd w:val="clear" w:color="auto" w:fill="auto"/>
            <w:noWrap/>
            <w:vAlign w:val="bottom"/>
            <w:hideMark/>
          </w:tcPr>
          <w:p w14:paraId="227A02D9" w14:textId="77777777" w:rsidR="006C7F97" w:rsidRDefault="006C7F97">
            <w:pPr>
              <w:jc w:val="right"/>
              <w:rPr>
                <w:color w:val="000000"/>
                <w:sz w:val="20"/>
                <w:szCs w:val="20"/>
              </w:rPr>
            </w:pPr>
            <w:r>
              <w:rPr>
                <w:color w:val="000000"/>
                <w:sz w:val="20"/>
                <w:szCs w:val="20"/>
              </w:rPr>
              <w:t>0.952</w:t>
            </w:r>
          </w:p>
        </w:tc>
        <w:tc>
          <w:tcPr>
            <w:tcW w:w="864" w:type="dxa"/>
            <w:tcBorders>
              <w:top w:val="nil"/>
              <w:left w:val="nil"/>
              <w:bottom w:val="nil"/>
              <w:right w:val="nil"/>
            </w:tcBorders>
            <w:shd w:val="clear" w:color="auto" w:fill="auto"/>
            <w:noWrap/>
            <w:vAlign w:val="bottom"/>
            <w:hideMark/>
          </w:tcPr>
          <w:p w14:paraId="3DCBFE86"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5F01D4A" w14:textId="77777777" w:rsidR="006C7F97" w:rsidRDefault="006C7F97">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77A08C14" w14:textId="77777777" w:rsidR="006C7F97" w:rsidRDefault="006C7F97">
            <w:pPr>
              <w:jc w:val="right"/>
              <w:rPr>
                <w:color w:val="000000"/>
                <w:sz w:val="20"/>
                <w:szCs w:val="20"/>
              </w:rPr>
            </w:pPr>
            <w:r>
              <w:rPr>
                <w:color w:val="000000"/>
                <w:sz w:val="20"/>
                <w:szCs w:val="20"/>
              </w:rPr>
              <w:t>0.712</w:t>
            </w:r>
          </w:p>
        </w:tc>
        <w:tc>
          <w:tcPr>
            <w:tcW w:w="864" w:type="dxa"/>
            <w:tcBorders>
              <w:top w:val="nil"/>
              <w:left w:val="nil"/>
              <w:bottom w:val="nil"/>
              <w:right w:val="nil"/>
            </w:tcBorders>
            <w:shd w:val="clear" w:color="auto" w:fill="auto"/>
            <w:noWrap/>
            <w:vAlign w:val="bottom"/>
            <w:hideMark/>
          </w:tcPr>
          <w:p w14:paraId="652AC031" w14:textId="77777777" w:rsidR="006C7F97" w:rsidRDefault="006C7F97">
            <w:pPr>
              <w:jc w:val="right"/>
              <w:rPr>
                <w:color w:val="000000"/>
                <w:sz w:val="20"/>
                <w:szCs w:val="20"/>
              </w:rPr>
            </w:pPr>
            <w:r>
              <w:rPr>
                <w:color w:val="000000"/>
                <w:sz w:val="20"/>
                <w:szCs w:val="20"/>
              </w:rPr>
              <w:t>0.001</w:t>
            </w:r>
          </w:p>
        </w:tc>
      </w:tr>
      <w:tr w:rsidR="006C7F97" w14:paraId="0E444CAB" w14:textId="77777777" w:rsidTr="006C7F97">
        <w:trPr>
          <w:trHeight w:val="320"/>
        </w:trPr>
        <w:tc>
          <w:tcPr>
            <w:tcW w:w="1152" w:type="dxa"/>
            <w:tcBorders>
              <w:top w:val="nil"/>
              <w:left w:val="nil"/>
              <w:bottom w:val="nil"/>
              <w:right w:val="nil"/>
            </w:tcBorders>
            <w:shd w:val="clear" w:color="auto" w:fill="auto"/>
            <w:noWrap/>
            <w:vAlign w:val="bottom"/>
            <w:hideMark/>
          </w:tcPr>
          <w:p w14:paraId="32EEC5C3"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D25A508" w14:textId="77777777" w:rsidR="006C7F97" w:rsidRDefault="006C7F97">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7838D98D" w14:textId="77777777" w:rsidR="006C7F97" w:rsidRDefault="006C7F97">
            <w:pPr>
              <w:jc w:val="right"/>
              <w:rPr>
                <w:b/>
                <w:bCs/>
                <w:color w:val="000000"/>
                <w:sz w:val="20"/>
                <w:szCs w:val="20"/>
              </w:rPr>
            </w:pPr>
            <w:r>
              <w:rPr>
                <w:b/>
                <w:bCs/>
                <w:color w:val="000000"/>
                <w:sz w:val="20"/>
                <w:szCs w:val="20"/>
              </w:rPr>
              <w:t>-0.137</w:t>
            </w:r>
          </w:p>
        </w:tc>
        <w:tc>
          <w:tcPr>
            <w:tcW w:w="864" w:type="dxa"/>
            <w:tcBorders>
              <w:top w:val="nil"/>
              <w:left w:val="nil"/>
              <w:bottom w:val="nil"/>
              <w:right w:val="nil"/>
            </w:tcBorders>
            <w:shd w:val="clear" w:color="auto" w:fill="auto"/>
            <w:noWrap/>
            <w:vAlign w:val="bottom"/>
            <w:hideMark/>
          </w:tcPr>
          <w:p w14:paraId="37FEF886" w14:textId="77777777" w:rsidR="006C7F97" w:rsidRDefault="006C7F97">
            <w:pPr>
              <w:jc w:val="right"/>
              <w:rPr>
                <w:b/>
                <w:bCs/>
                <w:color w:val="000000"/>
                <w:sz w:val="20"/>
                <w:szCs w:val="20"/>
              </w:rPr>
            </w:pPr>
            <w:r>
              <w:rPr>
                <w:b/>
                <w:bCs/>
                <w:color w:val="000000"/>
                <w:sz w:val="20"/>
                <w:szCs w:val="20"/>
              </w:rPr>
              <w:t>0.032</w:t>
            </w:r>
          </w:p>
        </w:tc>
        <w:tc>
          <w:tcPr>
            <w:tcW w:w="864" w:type="dxa"/>
            <w:tcBorders>
              <w:top w:val="nil"/>
              <w:left w:val="nil"/>
              <w:bottom w:val="nil"/>
              <w:right w:val="nil"/>
            </w:tcBorders>
            <w:shd w:val="clear" w:color="auto" w:fill="auto"/>
            <w:noWrap/>
            <w:vAlign w:val="bottom"/>
            <w:hideMark/>
          </w:tcPr>
          <w:p w14:paraId="4B9101B9" w14:textId="77777777" w:rsidR="006C7F97" w:rsidRDefault="006C7F97">
            <w:pPr>
              <w:jc w:val="right"/>
              <w:rPr>
                <w:b/>
                <w:bCs/>
                <w:color w:val="000000"/>
                <w:sz w:val="20"/>
                <w:szCs w:val="20"/>
              </w:rPr>
            </w:pPr>
            <w:r>
              <w:rPr>
                <w:b/>
                <w:bCs/>
                <w:color w:val="000000"/>
                <w:sz w:val="20"/>
                <w:szCs w:val="20"/>
              </w:rPr>
              <w:t>0.019</w:t>
            </w:r>
          </w:p>
        </w:tc>
        <w:tc>
          <w:tcPr>
            <w:tcW w:w="864" w:type="dxa"/>
            <w:tcBorders>
              <w:top w:val="nil"/>
              <w:left w:val="nil"/>
              <w:bottom w:val="nil"/>
              <w:right w:val="nil"/>
            </w:tcBorders>
            <w:shd w:val="clear" w:color="auto" w:fill="auto"/>
            <w:noWrap/>
            <w:vAlign w:val="bottom"/>
            <w:hideMark/>
          </w:tcPr>
          <w:p w14:paraId="14FBF645" w14:textId="77777777" w:rsidR="006C7F97" w:rsidRDefault="006C7F97">
            <w:pPr>
              <w:jc w:val="right"/>
              <w:rPr>
                <w:color w:val="000000"/>
                <w:sz w:val="20"/>
                <w:szCs w:val="20"/>
              </w:rPr>
            </w:pPr>
            <w:r>
              <w:rPr>
                <w:color w:val="000000"/>
                <w:sz w:val="20"/>
                <w:szCs w:val="20"/>
              </w:rPr>
              <w:t>-0.071</w:t>
            </w:r>
          </w:p>
        </w:tc>
        <w:tc>
          <w:tcPr>
            <w:tcW w:w="864" w:type="dxa"/>
            <w:tcBorders>
              <w:top w:val="nil"/>
              <w:left w:val="nil"/>
              <w:bottom w:val="nil"/>
              <w:right w:val="nil"/>
            </w:tcBorders>
            <w:shd w:val="clear" w:color="auto" w:fill="auto"/>
            <w:noWrap/>
            <w:vAlign w:val="bottom"/>
            <w:hideMark/>
          </w:tcPr>
          <w:p w14:paraId="2123634D" w14:textId="77777777" w:rsidR="006C7F97" w:rsidRDefault="006C7F97">
            <w:pPr>
              <w:jc w:val="right"/>
              <w:rPr>
                <w:color w:val="000000"/>
                <w:sz w:val="20"/>
                <w:szCs w:val="20"/>
              </w:rPr>
            </w:pPr>
            <w:r>
              <w:rPr>
                <w:color w:val="000000"/>
                <w:sz w:val="20"/>
                <w:szCs w:val="20"/>
              </w:rPr>
              <w:t>0.352</w:t>
            </w:r>
          </w:p>
        </w:tc>
        <w:tc>
          <w:tcPr>
            <w:tcW w:w="864" w:type="dxa"/>
            <w:tcBorders>
              <w:top w:val="nil"/>
              <w:left w:val="nil"/>
              <w:bottom w:val="nil"/>
              <w:right w:val="nil"/>
            </w:tcBorders>
            <w:shd w:val="clear" w:color="auto" w:fill="auto"/>
            <w:noWrap/>
            <w:vAlign w:val="bottom"/>
            <w:hideMark/>
          </w:tcPr>
          <w:p w14:paraId="65A53738" w14:textId="77777777" w:rsidR="006C7F97" w:rsidRDefault="006C7F97">
            <w:pPr>
              <w:jc w:val="right"/>
              <w:rPr>
                <w:color w:val="000000"/>
                <w:sz w:val="20"/>
                <w:szCs w:val="20"/>
              </w:rPr>
            </w:pPr>
            <w:r>
              <w:rPr>
                <w:color w:val="000000"/>
                <w:sz w:val="20"/>
                <w:szCs w:val="20"/>
              </w:rPr>
              <w:t>0.005</w:t>
            </w:r>
          </w:p>
        </w:tc>
      </w:tr>
      <w:tr w:rsidR="006C7F97" w14:paraId="13A44156" w14:textId="77777777" w:rsidTr="006C7F97">
        <w:trPr>
          <w:trHeight w:val="320"/>
        </w:trPr>
        <w:tc>
          <w:tcPr>
            <w:tcW w:w="1152" w:type="dxa"/>
            <w:tcBorders>
              <w:top w:val="nil"/>
              <w:left w:val="nil"/>
              <w:bottom w:val="nil"/>
              <w:right w:val="nil"/>
            </w:tcBorders>
            <w:shd w:val="clear" w:color="auto" w:fill="auto"/>
            <w:noWrap/>
            <w:vAlign w:val="bottom"/>
            <w:hideMark/>
          </w:tcPr>
          <w:p w14:paraId="6D3DF01E"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C31B158" w14:textId="77777777" w:rsidR="006C7F97" w:rsidRDefault="006C7F97">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96D8651" w14:textId="77777777" w:rsidR="006C7F97" w:rsidRDefault="006C7F97">
            <w:pPr>
              <w:jc w:val="right"/>
              <w:rPr>
                <w:color w:val="000000"/>
                <w:sz w:val="20"/>
                <w:szCs w:val="20"/>
              </w:rPr>
            </w:pPr>
            <w:r>
              <w:rPr>
                <w:color w:val="000000"/>
                <w:sz w:val="20"/>
                <w:szCs w:val="20"/>
              </w:rPr>
              <w:t>0.037</w:t>
            </w:r>
          </w:p>
        </w:tc>
        <w:tc>
          <w:tcPr>
            <w:tcW w:w="864" w:type="dxa"/>
            <w:tcBorders>
              <w:top w:val="nil"/>
              <w:left w:val="nil"/>
              <w:bottom w:val="nil"/>
              <w:right w:val="nil"/>
            </w:tcBorders>
            <w:shd w:val="clear" w:color="auto" w:fill="auto"/>
            <w:noWrap/>
            <w:vAlign w:val="bottom"/>
            <w:hideMark/>
          </w:tcPr>
          <w:p w14:paraId="19C682F5" w14:textId="77777777" w:rsidR="006C7F97" w:rsidRDefault="006C7F97">
            <w:pPr>
              <w:jc w:val="right"/>
              <w:rPr>
                <w:color w:val="000000"/>
                <w:sz w:val="20"/>
                <w:szCs w:val="20"/>
              </w:rPr>
            </w:pPr>
            <w:r>
              <w:rPr>
                <w:color w:val="000000"/>
                <w:sz w:val="20"/>
                <w:szCs w:val="20"/>
              </w:rPr>
              <w:t>0.827</w:t>
            </w:r>
          </w:p>
        </w:tc>
        <w:tc>
          <w:tcPr>
            <w:tcW w:w="864" w:type="dxa"/>
            <w:tcBorders>
              <w:top w:val="nil"/>
              <w:left w:val="nil"/>
              <w:bottom w:val="nil"/>
              <w:right w:val="nil"/>
            </w:tcBorders>
            <w:shd w:val="clear" w:color="auto" w:fill="auto"/>
            <w:noWrap/>
            <w:vAlign w:val="bottom"/>
            <w:hideMark/>
          </w:tcPr>
          <w:p w14:paraId="6F9AA6F3" w14:textId="77777777" w:rsidR="006C7F97" w:rsidRDefault="006C7F97">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B03B017" w14:textId="77777777" w:rsidR="006C7F97" w:rsidRDefault="006C7F97">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778726E9" w14:textId="77777777" w:rsidR="006C7F97" w:rsidRDefault="006C7F97">
            <w:pPr>
              <w:jc w:val="right"/>
              <w:rPr>
                <w:color w:val="000000"/>
                <w:sz w:val="20"/>
                <w:szCs w:val="20"/>
              </w:rPr>
            </w:pPr>
            <w:r>
              <w:rPr>
                <w:color w:val="000000"/>
                <w:sz w:val="20"/>
                <w:szCs w:val="20"/>
              </w:rPr>
              <w:t>0.712</w:t>
            </w:r>
          </w:p>
        </w:tc>
        <w:tc>
          <w:tcPr>
            <w:tcW w:w="864" w:type="dxa"/>
            <w:tcBorders>
              <w:top w:val="nil"/>
              <w:left w:val="nil"/>
              <w:bottom w:val="nil"/>
              <w:right w:val="nil"/>
            </w:tcBorders>
            <w:shd w:val="clear" w:color="auto" w:fill="auto"/>
            <w:noWrap/>
            <w:vAlign w:val="bottom"/>
            <w:hideMark/>
          </w:tcPr>
          <w:p w14:paraId="16ECC091" w14:textId="77777777" w:rsidR="006C7F97" w:rsidRDefault="006C7F97">
            <w:pPr>
              <w:jc w:val="right"/>
              <w:rPr>
                <w:color w:val="000000"/>
                <w:sz w:val="20"/>
                <w:szCs w:val="20"/>
              </w:rPr>
            </w:pPr>
            <w:r>
              <w:rPr>
                <w:color w:val="000000"/>
                <w:sz w:val="20"/>
                <w:szCs w:val="20"/>
              </w:rPr>
              <w:t>0.001</w:t>
            </w:r>
          </w:p>
        </w:tc>
      </w:tr>
      <w:tr w:rsidR="006C7F97" w14:paraId="64697F6D" w14:textId="77777777" w:rsidTr="006C7F97">
        <w:trPr>
          <w:trHeight w:val="320"/>
        </w:trPr>
        <w:tc>
          <w:tcPr>
            <w:tcW w:w="1152" w:type="dxa"/>
            <w:tcBorders>
              <w:top w:val="nil"/>
              <w:left w:val="nil"/>
              <w:bottom w:val="nil"/>
              <w:right w:val="nil"/>
            </w:tcBorders>
            <w:shd w:val="clear" w:color="auto" w:fill="auto"/>
            <w:noWrap/>
            <w:vAlign w:val="bottom"/>
            <w:hideMark/>
          </w:tcPr>
          <w:p w14:paraId="1F6B3EBC"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0527881" w14:textId="77777777" w:rsidR="006C7F97" w:rsidRDefault="006C7F97">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6E5CE46" w14:textId="77777777" w:rsidR="006C7F97" w:rsidRDefault="006C7F97">
            <w:pPr>
              <w:jc w:val="right"/>
              <w:rPr>
                <w:color w:val="000000"/>
                <w:sz w:val="20"/>
                <w:szCs w:val="20"/>
              </w:rPr>
            </w:pPr>
            <w:r>
              <w:rPr>
                <w:color w:val="000000"/>
                <w:sz w:val="20"/>
                <w:szCs w:val="20"/>
              </w:rPr>
              <w:t>-0.012</w:t>
            </w:r>
          </w:p>
        </w:tc>
        <w:tc>
          <w:tcPr>
            <w:tcW w:w="864" w:type="dxa"/>
            <w:tcBorders>
              <w:top w:val="nil"/>
              <w:left w:val="nil"/>
              <w:bottom w:val="nil"/>
              <w:right w:val="nil"/>
            </w:tcBorders>
            <w:shd w:val="clear" w:color="auto" w:fill="auto"/>
            <w:noWrap/>
            <w:vAlign w:val="bottom"/>
            <w:hideMark/>
          </w:tcPr>
          <w:p w14:paraId="59270C00" w14:textId="77777777" w:rsidR="006C7F97" w:rsidRDefault="006C7F97">
            <w:pPr>
              <w:jc w:val="right"/>
              <w:rPr>
                <w:color w:val="000000"/>
                <w:sz w:val="20"/>
                <w:szCs w:val="20"/>
              </w:rPr>
            </w:pPr>
            <w:r>
              <w:rPr>
                <w:color w:val="000000"/>
                <w:sz w:val="20"/>
                <w:szCs w:val="20"/>
              </w:rPr>
              <w:t>0.952</w:t>
            </w:r>
          </w:p>
        </w:tc>
        <w:tc>
          <w:tcPr>
            <w:tcW w:w="864" w:type="dxa"/>
            <w:tcBorders>
              <w:top w:val="nil"/>
              <w:left w:val="nil"/>
              <w:bottom w:val="nil"/>
              <w:right w:val="nil"/>
            </w:tcBorders>
            <w:shd w:val="clear" w:color="auto" w:fill="auto"/>
            <w:noWrap/>
            <w:vAlign w:val="bottom"/>
            <w:hideMark/>
          </w:tcPr>
          <w:p w14:paraId="4A043B29"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F5E6199" w14:textId="77777777" w:rsidR="006C7F97" w:rsidRDefault="006C7F97">
            <w:pPr>
              <w:jc w:val="right"/>
              <w:rPr>
                <w:color w:val="000000"/>
                <w:sz w:val="20"/>
                <w:szCs w:val="20"/>
              </w:rPr>
            </w:pPr>
            <w:r>
              <w:rPr>
                <w:color w:val="000000"/>
                <w:sz w:val="20"/>
                <w:szCs w:val="20"/>
              </w:rPr>
              <w:t>-0.019</w:t>
            </w:r>
          </w:p>
        </w:tc>
        <w:tc>
          <w:tcPr>
            <w:tcW w:w="864" w:type="dxa"/>
            <w:tcBorders>
              <w:top w:val="nil"/>
              <w:left w:val="nil"/>
              <w:bottom w:val="nil"/>
              <w:right w:val="nil"/>
            </w:tcBorders>
            <w:shd w:val="clear" w:color="auto" w:fill="auto"/>
            <w:noWrap/>
            <w:vAlign w:val="bottom"/>
            <w:hideMark/>
          </w:tcPr>
          <w:p w14:paraId="02D2EBEC" w14:textId="77777777" w:rsidR="006C7F97" w:rsidRDefault="006C7F97">
            <w:pPr>
              <w:jc w:val="right"/>
              <w:rPr>
                <w:color w:val="000000"/>
                <w:sz w:val="20"/>
                <w:szCs w:val="20"/>
              </w:rPr>
            </w:pPr>
            <w:r>
              <w:rPr>
                <w:color w:val="000000"/>
                <w:sz w:val="20"/>
                <w:szCs w:val="20"/>
              </w:rPr>
              <w:t>0.712</w:t>
            </w:r>
          </w:p>
        </w:tc>
        <w:tc>
          <w:tcPr>
            <w:tcW w:w="864" w:type="dxa"/>
            <w:tcBorders>
              <w:top w:val="nil"/>
              <w:left w:val="nil"/>
              <w:bottom w:val="nil"/>
              <w:right w:val="nil"/>
            </w:tcBorders>
            <w:shd w:val="clear" w:color="auto" w:fill="auto"/>
            <w:noWrap/>
            <w:vAlign w:val="bottom"/>
            <w:hideMark/>
          </w:tcPr>
          <w:p w14:paraId="70B17F31" w14:textId="77777777" w:rsidR="006C7F97" w:rsidRDefault="006C7F97">
            <w:pPr>
              <w:jc w:val="right"/>
              <w:rPr>
                <w:color w:val="000000"/>
                <w:sz w:val="20"/>
                <w:szCs w:val="20"/>
              </w:rPr>
            </w:pPr>
            <w:r>
              <w:rPr>
                <w:color w:val="000000"/>
                <w:sz w:val="20"/>
                <w:szCs w:val="20"/>
              </w:rPr>
              <w:t>0.000</w:t>
            </w:r>
          </w:p>
        </w:tc>
      </w:tr>
      <w:tr w:rsidR="006C7F97" w14:paraId="6B509260" w14:textId="77777777" w:rsidTr="006C7F97">
        <w:trPr>
          <w:trHeight w:val="320"/>
        </w:trPr>
        <w:tc>
          <w:tcPr>
            <w:tcW w:w="1152" w:type="dxa"/>
            <w:tcBorders>
              <w:top w:val="nil"/>
              <w:left w:val="nil"/>
              <w:bottom w:val="nil"/>
              <w:right w:val="nil"/>
            </w:tcBorders>
            <w:shd w:val="clear" w:color="auto" w:fill="auto"/>
            <w:noWrap/>
            <w:vAlign w:val="bottom"/>
            <w:hideMark/>
          </w:tcPr>
          <w:p w14:paraId="3E4A567C"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4E49D60" w14:textId="77777777" w:rsidR="006C7F97" w:rsidRDefault="006C7F97">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1764CE9" w14:textId="77777777" w:rsidR="006C7F97" w:rsidRDefault="006C7F97">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027142BE" w14:textId="77777777" w:rsidR="006C7F97" w:rsidRDefault="006C7F97">
            <w:pPr>
              <w:jc w:val="right"/>
              <w:rPr>
                <w:color w:val="000000"/>
                <w:sz w:val="20"/>
                <w:szCs w:val="20"/>
              </w:rPr>
            </w:pPr>
            <w:r>
              <w:rPr>
                <w:color w:val="000000"/>
                <w:sz w:val="20"/>
                <w:szCs w:val="20"/>
              </w:rPr>
              <w:t>0.952</w:t>
            </w:r>
          </w:p>
        </w:tc>
        <w:tc>
          <w:tcPr>
            <w:tcW w:w="864" w:type="dxa"/>
            <w:tcBorders>
              <w:top w:val="nil"/>
              <w:left w:val="nil"/>
              <w:bottom w:val="nil"/>
              <w:right w:val="nil"/>
            </w:tcBorders>
            <w:shd w:val="clear" w:color="auto" w:fill="auto"/>
            <w:noWrap/>
            <w:vAlign w:val="bottom"/>
            <w:hideMark/>
          </w:tcPr>
          <w:p w14:paraId="4E1A1A10"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5A66A3A4" w14:textId="77777777" w:rsidR="006C7F97" w:rsidRDefault="006C7F97">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2EA0B487" w14:textId="77777777" w:rsidR="006C7F97" w:rsidRDefault="006C7F97">
            <w:pPr>
              <w:jc w:val="right"/>
              <w:rPr>
                <w:color w:val="000000"/>
                <w:sz w:val="20"/>
                <w:szCs w:val="20"/>
              </w:rPr>
            </w:pPr>
            <w:r>
              <w:rPr>
                <w:color w:val="000000"/>
                <w:sz w:val="20"/>
                <w:szCs w:val="20"/>
              </w:rPr>
              <w:t>0.712</w:t>
            </w:r>
          </w:p>
        </w:tc>
        <w:tc>
          <w:tcPr>
            <w:tcW w:w="864" w:type="dxa"/>
            <w:tcBorders>
              <w:top w:val="nil"/>
              <w:left w:val="nil"/>
              <w:bottom w:val="nil"/>
              <w:right w:val="nil"/>
            </w:tcBorders>
            <w:shd w:val="clear" w:color="auto" w:fill="auto"/>
            <w:noWrap/>
            <w:vAlign w:val="bottom"/>
            <w:hideMark/>
          </w:tcPr>
          <w:p w14:paraId="663A72BC" w14:textId="77777777" w:rsidR="006C7F97" w:rsidRDefault="006C7F97">
            <w:pPr>
              <w:jc w:val="right"/>
              <w:rPr>
                <w:color w:val="000000"/>
                <w:sz w:val="20"/>
                <w:szCs w:val="20"/>
              </w:rPr>
            </w:pPr>
            <w:r>
              <w:rPr>
                <w:color w:val="000000"/>
                <w:sz w:val="20"/>
                <w:szCs w:val="20"/>
              </w:rPr>
              <w:t>0.000</w:t>
            </w:r>
          </w:p>
        </w:tc>
      </w:tr>
      <w:tr w:rsidR="006C7F97" w14:paraId="5C2A9006" w14:textId="77777777" w:rsidTr="006C7F97">
        <w:trPr>
          <w:trHeight w:val="320"/>
        </w:trPr>
        <w:tc>
          <w:tcPr>
            <w:tcW w:w="1152" w:type="dxa"/>
            <w:tcBorders>
              <w:top w:val="nil"/>
              <w:left w:val="nil"/>
              <w:bottom w:val="single" w:sz="4" w:space="0" w:color="auto"/>
              <w:right w:val="nil"/>
            </w:tcBorders>
            <w:shd w:val="clear" w:color="auto" w:fill="auto"/>
            <w:noWrap/>
            <w:vAlign w:val="bottom"/>
            <w:hideMark/>
          </w:tcPr>
          <w:p w14:paraId="0D0C654A" w14:textId="77777777" w:rsidR="006C7F97" w:rsidRDefault="006C7F97">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2F967777" w14:textId="77777777" w:rsidR="006C7F97" w:rsidRDefault="006C7F97">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3A71D0D2" w14:textId="77777777" w:rsidR="006C7F97" w:rsidRDefault="006C7F97">
            <w:pPr>
              <w:jc w:val="right"/>
              <w:rPr>
                <w:color w:val="000000"/>
                <w:sz w:val="20"/>
                <w:szCs w:val="20"/>
              </w:rPr>
            </w:pPr>
            <w:r>
              <w:rPr>
                <w:color w:val="000000"/>
                <w:sz w:val="20"/>
                <w:szCs w:val="20"/>
              </w:rPr>
              <w:t>0.017</w:t>
            </w:r>
          </w:p>
        </w:tc>
        <w:tc>
          <w:tcPr>
            <w:tcW w:w="864" w:type="dxa"/>
            <w:tcBorders>
              <w:top w:val="nil"/>
              <w:left w:val="nil"/>
              <w:bottom w:val="single" w:sz="4" w:space="0" w:color="auto"/>
              <w:right w:val="nil"/>
            </w:tcBorders>
            <w:shd w:val="clear" w:color="auto" w:fill="auto"/>
            <w:noWrap/>
            <w:vAlign w:val="bottom"/>
            <w:hideMark/>
          </w:tcPr>
          <w:p w14:paraId="3B64D1CB" w14:textId="77777777" w:rsidR="006C7F97" w:rsidRDefault="006C7F97">
            <w:pPr>
              <w:jc w:val="right"/>
              <w:rPr>
                <w:color w:val="000000"/>
                <w:sz w:val="20"/>
                <w:szCs w:val="20"/>
              </w:rPr>
            </w:pPr>
            <w:r>
              <w:rPr>
                <w:color w:val="000000"/>
                <w:sz w:val="20"/>
                <w:szCs w:val="20"/>
              </w:rPr>
              <w:t>0.952</w:t>
            </w:r>
          </w:p>
        </w:tc>
        <w:tc>
          <w:tcPr>
            <w:tcW w:w="864" w:type="dxa"/>
            <w:tcBorders>
              <w:top w:val="nil"/>
              <w:left w:val="nil"/>
              <w:bottom w:val="single" w:sz="4" w:space="0" w:color="auto"/>
              <w:right w:val="nil"/>
            </w:tcBorders>
            <w:shd w:val="clear" w:color="auto" w:fill="auto"/>
            <w:noWrap/>
            <w:vAlign w:val="bottom"/>
            <w:hideMark/>
          </w:tcPr>
          <w:p w14:paraId="25D139DB"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66A5499E" w14:textId="77777777" w:rsidR="006C7F97" w:rsidRDefault="006C7F97">
            <w:pPr>
              <w:jc w:val="right"/>
              <w:rPr>
                <w:color w:val="000000"/>
                <w:sz w:val="20"/>
                <w:szCs w:val="20"/>
              </w:rPr>
            </w:pPr>
            <w:r>
              <w:rPr>
                <w:color w:val="000000"/>
                <w:sz w:val="20"/>
                <w:szCs w:val="20"/>
              </w:rPr>
              <w:t>0.037</w:t>
            </w:r>
          </w:p>
        </w:tc>
        <w:tc>
          <w:tcPr>
            <w:tcW w:w="864" w:type="dxa"/>
            <w:tcBorders>
              <w:top w:val="nil"/>
              <w:left w:val="nil"/>
              <w:bottom w:val="single" w:sz="4" w:space="0" w:color="auto"/>
              <w:right w:val="nil"/>
            </w:tcBorders>
            <w:shd w:val="clear" w:color="auto" w:fill="auto"/>
            <w:noWrap/>
            <w:vAlign w:val="bottom"/>
            <w:hideMark/>
          </w:tcPr>
          <w:p w14:paraId="6E06220A" w14:textId="77777777" w:rsidR="006C7F97" w:rsidRDefault="006C7F97">
            <w:pPr>
              <w:jc w:val="right"/>
              <w:rPr>
                <w:color w:val="000000"/>
                <w:sz w:val="20"/>
                <w:szCs w:val="20"/>
              </w:rPr>
            </w:pPr>
            <w:r>
              <w:rPr>
                <w:color w:val="000000"/>
                <w:sz w:val="20"/>
                <w:szCs w:val="20"/>
              </w:rPr>
              <w:t>0.712</w:t>
            </w:r>
          </w:p>
        </w:tc>
        <w:tc>
          <w:tcPr>
            <w:tcW w:w="864" w:type="dxa"/>
            <w:tcBorders>
              <w:top w:val="nil"/>
              <w:left w:val="nil"/>
              <w:bottom w:val="single" w:sz="4" w:space="0" w:color="auto"/>
              <w:right w:val="nil"/>
            </w:tcBorders>
            <w:shd w:val="clear" w:color="auto" w:fill="auto"/>
            <w:noWrap/>
            <w:vAlign w:val="bottom"/>
            <w:hideMark/>
          </w:tcPr>
          <w:p w14:paraId="7C54CC32" w14:textId="77777777" w:rsidR="006C7F97" w:rsidRDefault="006C7F97">
            <w:pPr>
              <w:jc w:val="right"/>
              <w:rPr>
                <w:color w:val="000000"/>
                <w:sz w:val="20"/>
                <w:szCs w:val="20"/>
              </w:rPr>
            </w:pPr>
            <w:r>
              <w:rPr>
                <w:color w:val="000000"/>
                <w:sz w:val="20"/>
                <w:szCs w:val="20"/>
              </w:rPr>
              <w:t>0.001</w:t>
            </w:r>
          </w:p>
        </w:tc>
      </w:tr>
      <w:tr w:rsidR="006C7F97" w14:paraId="14FE30C5" w14:textId="77777777" w:rsidTr="006C7F97">
        <w:trPr>
          <w:trHeight w:val="320"/>
        </w:trPr>
        <w:tc>
          <w:tcPr>
            <w:tcW w:w="1152" w:type="dxa"/>
            <w:tcBorders>
              <w:top w:val="nil"/>
              <w:left w:val="nil"/>
              <w:bottom w:val="nil"/>
              <w:right w:val="nil"/>
            </w:tcBorders>
            <w:shd w:val="clear" w:color="auto" w:fill="auto"/>
            <w:noWrap/>
            <w:vAlign w:val="bottom"/>
            <w:hideMark/>
          </w:tcPr>
          <w:p w14:paraId="67E42BBD" w14:textId="77777777" w:rsidR="006C7F97" w:rsidRDefault="006C7F97">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376EF1A3" w14:textId="77777777" w:rsidR="006C7F97" w:rsidRDefault="006C7F97">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3638DD59" w14:textId="77777777" w:rsidR="006C7F97" w:rsidRDefault="006C7F97">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3E905EB9" w14:textId="77777777" w:rsidR="006C7F97" w:rsidRDefault="006C7F97">
            <w:pPr>
              <w:jc w:val="right"/>
              <w:rPr>
                <w:color w:val="000000"/>
                <w:sz w:val="20"/>
                <w:szCs w:val="20"/>
              </w:rPr>
            </w:pPr>
            <w:r>
              <w:rPr>
                <w:color w:val="000000"/>
                <w:sz w:val="20"/>
                <w:szCs w:val="20"/>
              </w:rPr>
              <w:t>0.299</w:t>
            </w:r>
          </w:p>
        </w:tc>
        <w:tc>
          <w:tcPr>
            <w:tcW w:w="864" w:type="dxa"/>
            <w:tcBorders>
              <w:top w:val="nil"/>
              <w:left w:val="nil"/>
              <w:bottom w:val="nil"/>
              <w:right w:val="nil"/>
            </w:tcBorders>
            <w:shd w:val="clear" w:color="auto" w:fill="auto"/>
            <w:noWrap/>
            <w:vAlign w:val="bottom"/>
            <w:hideMark/>
          </w:tcPr>
          <w:p w14:paraId="438EAC4F" w14:textId="77777777" w:rsidR="006C7F97" w:rsidRDefault="006C7F97">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3752904" w14:textId="77777777" w:rsidR="006C7F97" w:rsidRDefault="006C7F97">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50B361E2" w14:textId="77777777" w:rsidR="006C7F97" w:rsidRDefault="006C7F97">
            <w:pPr>
              <w:jc w:val="right"/>
              <w:rPr>
                <w:color w:val="000000"/>
                <w:sz w:val="20"/>
                <w:szCs w:val="20"/>
              </w:rPr>
            </w:pPr>
            <w:r>
              <w:rPr>
                <w:color w:val="000000"/>
                <w:sz w:val="20"/>
                <w:szCs w:val="20"/>
              </w:rPr>
              <w:t>0.296</w:t>
            </w:r>
          </w:p>
        </w:tc>
        <w:tc>
          <w:tcPr>
            <w:tcW w:w="864" w:type="dxa"/>
            <w:tcBorders>
              <w:top w:val="nil"/>
              <w:left w:val="nil"/>
              <w:bottom w:val="nil"/>
              <w:right w:val="nil"/>
            </w:tcBorders>
            <w:shd w:val="clear" w:color="auto" w:fill="auto"/>
            <w:noWrap/>
            <w:vAlign w:val="bottom"/>
            <w:hideMark/>
          </w:tcPr>
          <w:p w14:paraId="0CBEF65E" w14:textId="77777777" w:rsidR="006C7F97" w:rsidRDefault="006C7F97">
            <w:pPr>
              <w:jc w:val="right"/>
              <w:rPr>
                <w:color w:val="000000"/>
                <w:sz w:val="20"/>
                <w:szCs w:val="20"/>
              </w:rPr>
            </w:pPr>
            <w:r>
              <w:rPr>
                <w:color w:val="000000"/>
                <w:sz w:val="20"/>
                <w:szCs w:val="20"/>
              </w:rPr>
              <w:t>0.002</w:t>
            </w:r>
          </w:p>
        </w:tc>
      </w:tr>
      <w:tr w:rsidR="006C7F97" w14:paraId="650879EB" w14:textId="77777777" w:rsidTr="006C7F97">
        <w:trPr>
          <w:trHeight w:val="320"/>
        </w:trPr>
        <w:tc>
          <w:tcPr>
            <w:tcW w:w="1152" w:type="dxa"/>
            <w:tcBorders>
              <w:top w:val="nil"/>
              <w:left w:val="nil"/>
              <w:bottom w:val="nil"/>
              <w:right w:val="nil"/>
            </w:tcBorders>
            <w:shd w:val="clear" w:color="auto" w:fill="auto"/>
            <w:noWrap/>
            <w:vAlign w:val="bottom"/>
            <w:hideMark/>
          </w:tcPr>
          <w:p w14:paraId="76A1A704"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2914029" w14:textId="77777777" w:rsidR="006C7F97" w:rsidRDefault="006C7F97">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9573A8B" w14:textId="77777777" w:rsidR="006C7F97" w:rsidRDefault="006C7F97">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26D8B35" w14:textId="77777777" w:rsidR="006C7F97" w:rsidRDefault="006C7F97">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6F82709A"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A26C9FD" w14:textId="77777777" w:rsidR="006C7F97" w:rsidRDefault="006C7F97">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3D1FED77" w14:textId="77777777" w:rsidR="006C7F97" w:rsidRDefault="006C7F97">
            <w:pPr>
              <w:jc w:val="right"/>
              <w:rPr>
                <w:color w:val="000000"/>
                <w:sz w:val="20"/>
                <w:szCs w:val="20"/>
              </w:rPr>
            </w:pPr>
            <w:r>
              <w:rPr>
                <w:color w:val="000000"/>
                <w:sz w:val="20"/>
                <w:szCs w:val="20"/>
              </w:rPr>
              <w:t>0.986</w:t>
            </w:r>
          </w:p>
        </w:tc>
        <w:tc>
          <w:tcPr>
            <w:tcW w:w="864" w:type="dxa"/>
            <w:tcBorders>
              <w:top w:val="nil"/>
              <w:left w:val="nil"/>
              <w:bottom w:val="nil"/>
              <w:right w:val="nil"/>
            </w:tcBorders>
            <w:shd w:val="clear" w:color="auto" w:fill="auto"/>
            <w:noWrap/>
            <w:vAlign w:val="bottom"/>
            <w:hideMark/>
          </w:tcPr>
          <w:p w14:paraId="0CE5C021" w14:textId="77777777" w:rsidR="006C7F97" w:rsidRDefault="006C7F97">
            <w:pPr>
              <w:jc w:val="right"/>
              <w:rPr>
                <w:color w:val="000000"/>
                <w:sz w:val="20"/>
                <w:szCs w:val="20"/>
              </w:rPr>
            </w:pPr>
            <w:r>
              <w:rPr>
                <w:color w:val="000000"/>
                <w:sz w:val="20"/>
                <w:szCs w:val="20"/>
              </w:rPr>
              <w:t>0.000</w:t>
            </w:r>
          </w:p>
        </w:tc>
      </w:tr>
      <w:tr w:rsidR="006C7F97" w14:paraId="67E5425D" w14:textId="77777777" w:rsidTr="006C7F97">
        <w:trPr>
          <w:trHeight w:val="320"/>
        </w:trPr>
        <w:tc>
          <w:tcPr>
            <w:tcW w:w="1152" w:type="dxa"/>
            <w:tcBorders>
              <w:top w:val="nil"/>
              <w:left w:val="nil"/>
              <w:bottom w:val="nil"/>
              <w:right w:val="nil"/>
            </w:tcBorders>
            <w:shd w:val="clear" w:color="auto" w:fill="auto"/>
            <w:noWrap/>
            <w:vAlign w:val="bottom"/>
            <w:hideMark/>
          </w:tcPr>
          <w:p w14:paraId="113A1499"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C34FE75" w14:textId="77777777" w:rsidR="006C7F97" w:rsidRDefault="006C7F97">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1812B648" w14:textId="77777777" w:rsidR="006C7F97" w:rsidRDefault="006C7F97">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20E7B1AA" w14:textId="77777777" w:rsidR="006C7F97" w:rsidRDefault="006C7F97">
            <w:pPr>
              <w:jc w:val="right"/>
              <w:rPr>
                <w:color w:val="000000"/>
                <w:sz w:val="20"/>
                <w:szCs w:val="20"/>
              </w:rPr>
            </w:pPr>
            <w:r>
              <w:rPr>
                <w:color w:val="000000"/>
                <w:sz w:val="20"/>
                <w:szCs w:val="20"/>
              </w:rPr>
              <w:t>0.984</w:t>
            </w:r>
          </w:p>
        </w:tc>
        <w:tc>
          <w:tcPr>
            <w:tcW w:w="864" w:type="dxa"/>
            <w:tcBorders>
              <w:top w:val="nil"/>
              <w:left w:val="nil"/>
              <w:bottom w:val="nil"/>
              <w:right w:val="nil"/>
            </w:tcBorders>
            <w:shd w:val="clear" w:color="auto" w:fill="auto"/>
            <w:noWrap/>
            <w:vAlign w:val="bottom"/>
            <w:hideMark/>
          </w:tcPr>
          <w:p w14:paraId="73978180"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64FF4ED" w14:textId="77777777" w:rsidR="006C7F97" w:rsidRDefault="006C7F97">
            <w:pPr>
              <w:jc w:val="right"/>
              <w:rPr>
                <w:color w:val="000000"/>
                <w:sz w:val="20"/>
                <w:szCs w:val="20"/>
              </w:rPr>
            </w:pPr>
            <w:r>
              <w:rPr>
                <w:color w:val="000000"/>
                <w:sz w:val="20"/>
                <w:szCs w:val="20"/>
              </w:rPr>
              <w:t>-0.005</w:t>
            </w:r>
          </w:p>
        </w:tc>
        <w:tc>
          <w:tcPr>
            <w:tcW w:w="864" w:type="dxa"/>
            <w:tcBorders>
              <w:top w:val="nil"/>
              <w:left w:val="nil"/>
              <w:bottom w:val="nil"/>
              <w:right w:val="nil"/>
            </w:tcBorders>
            <w:shd w:val="clear" w:color="auto" w:fill="auto"/>
            <w:noWrap/>
            <w:vAlign w:val="bottom"/>
            <w:hideMark/>
          </w:tcPr>
          <w:p w14:paraId="1473F175" w14:textId="77777777" w:rsidR="006C7F97" w:rsidRDefault="006C7F97">
            <w:pPr>
              <w:jc w:val="right"/>
              <w:rPr>
                <w:color w:val="000000"/>
                <w:sz w:val="20"/>
                <w:szCs w:val="20"/>
              </w:rPr>
            </w:pPr>
            <w:r>
              <w:rPr>
                <w:color w:val="000000"/>
                <w:sz w:val="20"/>
                <w:szCs w:val="20"/>
              </w:rPr>
              <w:t>0.986</w:t>
            </w:r>
          </w:p>
        </w:tc>
        <w:tc>
          <w:tcPr>
            <w:tcW w:w="864" w:type="dxa"/>
            <w:tcBorders>
              <w:top w:val="nil"/>
              <w:left w:val="nil"/>
              <w:bottom w:val="nil"/>
              <w:right w:val="nil"/>
            </w:tcBorders>
            <w:shd w:val="clear" w:color="auto" w:fill="auto"/>
            <w:noWrap/>
            <w:vAlign w:val="bottom"/>
            <w:hideMark/>
          </w:tcPr>
          <w:p w14:paraId="3F02C250" w14:textId="77777777" w:rsidR="006C7F97" w:rsidRDefault="006C7F97">
            <w:pPr>
              <w:jc w:val="right"/>
              <w:rPr>
                <w:color w:val="000000"/>
                <w:sz w:val="20"/>
                <w:szCs w:val="20"/>
              </w:rPr>
            </w:pPr>
            <w:r>
              <w:rPr>
                <w:color w:val="000000"/>
                <w:sz w:val="20"/>
                <w:szCs w:val="20"/>
              </w:rPr>
              <w:t>0.000</w:t>
            </w:r>
          </w:p>
        </w:tc>
      </w:tr>
      <w:tr w:rsidR="006C7F97" w14:paraId="7AC1C8FA" w14:textId="77777777" w:rsidTr="006C7F97">
        <w:trPr>
          <w:trHeight w:val="320"/>
        </w:trPr>
        <w:tc>
          <w:tcPr>
            <w:tcW w:w="1152" w:type="dxa"/>
            <w:tcBorders>
              <w:top w:val="nil"/>
              <w:left w:val="nil"/>
              <w:bottom w:val="nil"/>
              <w:right w:val="nil"/>
            </w:tcBorders>
            <w:shd w:val="clear" w:color="auto" w:fill="auto"/>
            <w:noWrap/>
            <w:vAlign w:val="bottom"/>
            <w:hideMark/>
          </w:tcPr>
          <w:p w14:paraId="612FD8AD"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3985E76" w14:textId="77777777" w:rsidR="006C7F97" w:rsidRDefault="006C7F97">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076C80C7" w14:textId="77777777" w:rsidR="006C7F97" w:rsidRDefault="006C7F97">
            <w:pPr>
              <w:jc w:val="right"/>
              <w:rPr>
                <w:b/>
                <w:bCs/>
                <w:color w:val="000000"/>
                <w:sz w:val="20"/>
                <w:szCs w:val="20"/>
              </w:rPr>
            </w:pPr>
            <w:r>
              <w:rPr>
                <w:b/>
                <w:bCs/>
                <w:color w:val="000000"/>
                <w:sz w:val="20"/>
                <w:szCs w:val="20"/>
              </w:rPr>
              <w:t>-0.107</w:t>
            </w:r>
          </w:p>
        </w:tc>
        <w:tc>
          <w:tcPr>
            <w:tcW w:w="864" w:type="dxa"/>
            <w:tcBorders>
              <w:top w:val="nil"/>
              <w:left w:val="nil"/>
              <w:bottom w:val="nil"/>
              <w:right w:val="nil"/>
            </w:tcBorders>
            <w:shd w:val="clear" w:color="auto" w:fill="auto"/>
            <w:noWrap/>
            <w:vAlign w:val="bottom"/>
            <w:hideMark/>
          </w:tcPr>
          <w:p w14:paraId="689516B3" w14:textId="77777777" w:rsidR="006C7F97" w:rsidRDefault="006C7F97">
            <w:pPr>
              <w:jc w:val="right"/>
              <w:rPr>
                <w:b/>
                <w:bCs/>
                <w:color w:val="000000"/>
                <w:sz w:val="20"/>
                <w:szCs w:val="20"/>
              </w:rPr>
            </w:pPr>
            <w:r>
              <w:rPr>
                <w:b/>
                <w:bCs/>
                <w:color w:val="000000"/>
                <w:sz w:val="20"/>
                <w:szCs w:val="20"/>
              </w:rPr>
              <w:t>0.008</w:t>
            </w:r>
          </w:p>
        </w:tc>
        <w:tc>
          <w:tcPr>
            <w:tcW w:w="864" w:type="dxa"/>
            <w:tcBorders>
              <w:top w:val="nil"/>
              <w:left w:val="nil"/>
              <w:bottom w:val="nil"/>
              <w:right w:val="nil"/>
            </w:tcBorders>
            <w:shd w:val="clear" w:color="auto" w:fill="auto"/>
            <w:noWrap/>
            <w:vAlign w:val="bottom"/>
            <w:hideMark/>
          </w:tcPr>
          <w:p w14:paraId="3A94CB03" w14:textId="77777777" w:rsidR="006C7F97" w:rsidRDefault="006C7F97">
            <w:pPr>
              <w:jc w:val="right"/>
              <w:rPr>
                <w:b/>
                <w:bCs/>
                <w:color w:val="000000"/>
                <w:sz w:val="20"/>
                <w:szCs w:val="20"/>
              </w:rPr>
            </w:pPr>
            <w:r>
              <w:rPr>
                <w:b/>
                <w:bCs/>
                <w:color w:val="000000"/>
                <w:sz w:val="20"/>
                <w:szCs w:val="20"/>
              </w:rPr>
              <w:t>0.011</w:t>
            </w:r>
          </w:p>
        </w:tc>
        <w:tc>
          <w:tcPr>
            <w:tcW w:w="864" w:type="dxa"/>
            <w:tcBorders>
              <w:top w:val="nil"/>
              <w:left w:val="nil"/>
              <w:bottom w:val="nil"/>
              <w:right w:val="nil"/>
            </w:tcBorders>
            <w:shd w:val="clear" w:color="auto" w:fill="auto"/>
            <w:noWrap/>
            <w:vAlign w:val="bottom"/>
            <w:hideMark/>
          </w:tcPr>
          <w:p w14:paraId="793D00D6" w14:textId="77777777" w:rsidR="006C7F97" w:rsidRDefault="006C7F97">
            <w:pPr>
              <w:jc w:val="right"/>
              <w:rPr>
                <w:b/>
                <w:bCs/>
                <w:color w:val="000000"/>
                <w:sz w:val="20"/>
                <w:szCs w:val="20"/>
              </w:rPr>
            </w:pPr>
            <w:r>
              <w:rPr>
                <w:b/>
                <w:bCs/>
                <w:color w:val="000000"/>
                <w:sz w:val="20"/>
                <w:szCs w:val="20"/>
              </w:rPr>
              <w:t>-0.083</w:t>
            </w:r>
          </w:p>
        </w:tc>
        <w:tc>
          <w:tcPr>
            <w:tcW w:w="864" w:type="dxa"/>
            <w:tcBorders>
              <w:top w:val="nil"/>
              <w:left w:val="nil"/>
              <w:bottom w:val="nil"/>
              <w:right w:val="nil"/>
            </w:tcBorders>
            <w:shd w:val="clear" w:color="auto" w:fill="auto"/>
            <w:noWrap/>
            <w:vAlign w:val="bottom"/>
            <w:hideMark/>
          </w:tcPr>
          <w:p w14:paraId="34560E46" w14:textId="77777777" w:rsidR="006C7F97" w:rsidRDefault="006C7F97">
            <w:pPr>
              <w:jc w:val="right"/>
              <w:rPr>
                <w:b/>
                <w:bCs/>
                <w:color w:val="000000"/>
                <w:sz w:val="20"/>
                <w:szCs w:val="20"/>
              </w:rPr>
            </w:pPr>
            <w:r>
              <w:rPr>
                <w:b/>
                <w:bCs/>
                <w:color w:val="000000"/>
                <w:sz w:val="20"/>
                <w:szCs w:val="20"/>
              </w:rPr>
              <w:t>0.048</w:t>
            </w:r>
          </w:p>
        </w:tc>
        <w:tc>
          <w:tcPr>
            <w:tcW w:w="864" w:type="dxa"/>
            <w:tcBorders>
              <w:top w:val="nil"/>
              <w:left w:val="nil"/>
              <w:bottom w:val="nil"/>
              <w:right w:val="nil"/>
            </w:tcBorders>
            <w:shd w:val="clear" w:color="auto" w:fill="auto"/>
            <w:noWrap/>
            <w:vAlign w:val="bottom"/>
            <w:hideMark/>
          </w:tcPr>
          <w:p w14:paraId="646E6912" w14:textId="77777777" w:rsidR="006C7F97" w:rsidRDefault="006C7F97">
            <w:pPr>
              <w:jc w:val="right"/>
              <w:rPr>
                <w:b/>
                <w:bCs/>
                <w:color w:val="000000"/>
                <w:sz w:val="20"/>
                <w:szCs w:val="20"/>
              </w:rPr>
            </w:pPr>
            <w:r>
              <w:rPr>
                <w:b/>
                <w:bCs/>
                <w:color w:val="000000"/>
                <w:sz w:val="20"/>
                <w:szCs w:val="20"/>
              </w:rPr>
              <w:t>0.007</w:t>
            </w:r>
          </w:p>
        </w:tc>
      </w:tr>
      <w:tr w:rsidR="006C7F97" w14:paraId="23174386" w14:textId="77777777" w:rsidTr="006C7F97">
        <w:trPr>
          <w:trHeight w:val="320"/>
        </w:trPr>
        <w:tc>
          <w:tcPr>
            <w:tcW w:w="1152" w:type="dxa"/>
            <w:tcBorders>
              <w:top w:val="nil"/>
              <w:left w:val="nil"/>
              <w:bottom w:val="nil"/>
              <w:right w:val="nil"/>
            </w:tcBorders>
            <w:shd w:val="clear" w:color="auto" w:fill="auto"/>
            <w:noWrap/>
            <w:vAlign w:val="bottom"/>
            <w:hideMark/>
          </w:tcPr>
          <w:p w14:paraId="77481F2B" w14:textId="77777777" w:rsidR="006C7F97" w:rsidRDefault="006C7F97">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24E0BAAB" w14:textId="77777777" w:rsidR="006C7F97" w:rsidRDefault="006C7F97">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5C660A4F" w14:textId="77777777" w:rsidR="006C7F97" w:rsidRDefault="006C7F97">
            <w:pPr>
              <w:jc w:val="right"/>
              <w:rPr>
                <w:color w:val="000000"/>
                <w:sz w:val="20"/>
                <w:szCs w:val="20"/>
              </w:rPr>
            </w:pPr>
            <w:r>
              <w:rPr>
                <w:color w:val="000000"/>
                <w:sz w:val="20"/>
                <w:szCs w:val="20"/>
              </w:rPr>
              <w:t>0.023</w:t>
            </w:r>
          </w:p>
        </w:tc>
        <w:tc>
          <w:tcPr>
            <w:tcW w:w="864" w:type="dxa"/>
            <w:tcBorders>
              <w:top w:val="nil"/>
              <w:left w:val="nil"/>
              <w:bottom w:val="nil"/>
              <w:right w:val="nil"/>
            </w:tcBorders>
            <w:shd w:val="clear" w:color="auto" w:fill="auto"/>
            <w:noWrap/>
            <w:vAlign w:val="bottom"/>
            <w:hideMark/>
          </w:tcPr>
          <w:p w14:paraId="51A670E2" w14:textId="77777777" w:rsidR="006C7F97" w:rsidRDefault="006C7F97">
            <w:pPr>
              <w:jc w:val="right"/>
              <w:rPr>
                <w:color w:val="000000"/>
                <w:sz w:val="20"/>
                <w:szCs w:val="20"/>
              </w:rPr>
            </w:pPr>
            <w:r>
              <w:rPr>
                <w:color w:val="000000"/>
                <w:sz w:val="20"/>
                <w:szCs w:val="20"/>
              </w:rPr>
              <w:t>0.648</w:t>
            </w:r>
          </w:p>
        </w:tc>
        <w:tc>
          <w:tcPr>
            <w:tcW w:w="864" w:type="dxa"/>
            <w:tcBorders>
              <w:top w:val="nil"/>
              <w:left w:val="nil"/>
              <w:bottom w:val="nil"/>
              <w:right w:val="nil"/>
            </w:tcBorders>
            <w:shd w:val="clear" w:color="auto" w:fill="auto"/>
            <w:noWrap/>
            <w:vAlign w:val="bottom"/>
            <w:hideMark/>
          </w:tcPr>
          <w:p w14:paraId="7945756D" w14:textId="77777777" w:rsidR="006C7F97" w:rsidRDefault="006C7F97">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8B6C2F1" w14:textId="77777777" w:rsidR="006C7F97" w:rsidRDefault="006C7F97">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16618A92" w14:textId="77777777" w:rsidR="006C7F97" w:rsidRDefault="006C7F97">
            <w:pPr>
              <w:jc w:val="right"/>
              <w:rPr>
                <w:color w:val="000000"/>
                <w:sz w:val="20"/>
                <w:szCs w:val="20"/>
              </w:rPr>
            </w:pPr>
            <w:r>
              <w:rPr>
                <w:color w:val="000000"/>
                <w:sz w:val="20"/>
                <w:szCs w:val="20"/>
              </w:rPr>
              <w:t>0.964</w:t>
            </w:r>
          </w:p>
        </w:tc>
        <w:tc>
          <w:tcPr>
            <w:tcW w:w="864" w:type="dxa"/>
            <w:tcBorders>
              <w:top w:val="nil"/>
              <w:left w:val="nil"/>
              <w:bottom w:val="nil"/>
              <w:right w:val="nil"/>
            </w:tcBorders>
            <w:shd w:val="clear" w:color="auto" w:fill="auto"/>
            <w:noWrap/>
            <w:vAlign w:val="bottom"/>
            <w:hideMark/>
          </w:tcPr>
          <w:p w14:paraId="370DAF9F" w14:textId="77777777" w:rsidR="006C7F97" w:rsidRDefault="006C7F97">
            <w:pPr>
              <w:jc w:val="right"/>
              <w:rPr>
                <w:color w:val="000000"/>
                <w:sz w:val="20"/>
                <w:szCs w:val="20"/>
              </w:rPr>
            </w:pPr>
            <w:r>
              <w:rPr>
                <w:color w:val="000000"/>
                <w:sz w:val="20"/>
                <w:szCs w:val="20"/>
              </w:rPr>
              <w:t>0.000</w:t>
            </w:r>
          </w:p>
        </w:tc>
      </w:tr>
      <w:tr w:rsidR="006C7F97" w14:paraId="0B013082" w14:textId="77777777" w:rsidTr="006C7F97">
        <w:trPr>
          <w:trHeight w:val="320"/>
        </w:trPr>
        <w:tc>
          <w:tcPr>
            <w:tcW w:w="1152" w:type="dxa"/>
            <w:tcBorders>
              <w:top w:val="nil"/>
              <w:left w:val="nil"/>
              <w:bottom w:val="nil"/>
              <w:right w:val="nil"/>
            </w:tcBorders>
            <w:shd w:val="clear" w:color="auto" w:fill="auto"/>
            <w:noWrap/>
            <w:vAlign w:val="bottom"/>
            <w:hideMark/>
          </w:tcPr>
          <w:p w14:paraId="4E864093"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F681987" w14:textId="77777777" w:rsidR="006C7F97" w:rsidRDefault="006C7F97">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7A80685" w14:textId="77777777" w:rsidR="006C7F97" w:rsidRDefault="006C7F97">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740ED1D0" w14:textId="77777777" w:rsidR="006C7F97" w:rsidRDefault="006C7F97">
            <w:pPr>
              <w:jc w:val="right"/>
              <w:rPr>
                <w:color w:val="000000"/>
                <w:sz w:val="20"/>
                <w:szCs w:val="20"/>
              </w:rPr>
            </w:pPr>
            <w:r>
              <w:rPr>
                <w:color w:val="000000"/>
                <w:sz w:val="20"/>
                <w:szCs w:val="20"/>
              </w:rPr>
              <w:t>0.299</w:t>
            </w:r>
          </w:p>
        </w:tc>
        <w:tc>
          <w:tcPr>
            <w:tcW w:w="864" w:type="dxa"/>
            <w:tcBorders>
              <w:top w:val="nil"/>
              <w:left w:val="nil"/>
              <w:bottom w:val="nil"/>
              <w:right w:val="nil"/>
            </w:tcBorders>
            <w:shd w:val="clear" w:color="auto" w:fill="auto"/>
            <w:noWrap/>
            <w:vAlign w:val="bottom"/>
            <w:hideMark/>
          </w:tcPr>
          <w:p w14:paraId="77940CEC" w14:textId="77777777" w:rsidR="006C7F97" w:rsidRDefault="006C7F97">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05C0BD63" w14:textId="77777777" w:rsidR="006C7F97" w:rsidRDefault="006C7F97">
            <w:pPr>
              <w:jc w:val="right"/>
              <w:rPr>
                <w:color w:val="000000"/>
                <w:sz w:val="20"/>
                <w:szCs w:val="20"/>
              </w:rPr>
            </w:pPr>
            <w:r>
              <w:rPr>
                <w:color w:val="000000"/>
                <w:sz w:val="20"/>
                <w:szCs w:val="20"/>
              </w:rPr>
              <w:t>0.042</w:t>
            </w:r>
          </w:p>
        </w:tc>
        <w:tc>
          <w:tcPr>
            <w:tcW w:w="864" w:type="dxa"/>
            <w:tcBorders>
              <w:top w:val="nil"/>
              <w:left w:val="nil"/>
              <w:bottom w:val="nil"/>
              <w:right w:val="nil"/>
            </w:tcBorders>
            <w:shd w:val="clear" w:color="auto" w:fill="auto"/>
            <w:noWrap/>
            <w:vAlign w:val="bottom"/>
            <w:hideMark/>
          </w:tcPr>
          <w:p w14:paraId="4E2E37FC" w14:textId="77777777" w:rsidR="006C7F97" w:rsidRDefault="006C7F97">
            <w:pPr>
              <w:jc w:val="right"/>
              <w:rPr>
                <w:color w:val="000000"/>
                <w:sz w:val="20"/>
                <w:szCs w:val="20"/>
              </w:rPr>
            </w:pPr>
            <w:r>
              <w:rPr>
                <w:color w:val="000000"/>
                <w:sz w:val="20"/>
                <w:szCs w:val="20"/>
              </w:rPr>
              <w:t>0.360</w:t>
            </w:r>
          </w:p>
        </w:tc>
        <w:tc>
          <w:tcPr>
            <w:tcW w:w="864" w:type="dxa"/>
            <w:tcBorders>
              <w:top w:val="nil"/>
              <w:left w:val="nil"/>
              <w:bottom w:val="nil"/>
              <w:right w:val="nil"/>
            </w:tcBorders>
            <w:shd w:val="clear" w:color="auto" w:fill="auto"/>
            <w:noWrap/>
            <w:vAlign w:val="bottom"/>
            <w:hideMark/>
          </w:tcPr>
          <w:p w14:paraId="5E26A127" w14:textId="77777777" w:rsidR="006C7F97" w:rsidRDefault="006C7F97">
            <w:pPr>
              <w:jc w:val="right"/>
              <w:rPr>
                <w:color w:val="000000"/>
                <w:sz w:val="20"/>
                <w:szCs w:val="20"/>
              </w:rPr>
            </w:pPr>
            <w:r>
              <w:rPr>
                <w:color w:val="000000"/>
                <w:sz w:val="20"/>
                <w:szCs w:val="20"/>
              </w:rPr>
              <w:t>0.002</w:t>
            </w:r>
          </w:p>
        </w:tc>
      </w:tr>
      <w:tr w:rsidR="006C7F97" w14:paraId="475D7229" w14:textId="77777777" w:rsidTr="006C7F97">
        <w:trPr>
          <w:trHeight w:val="320"/>
        </w:trPr>
        <w:tc>
          <w:tcPr>
            <w:tcW w:w="1152" w:type="dxa"/>
            <w:tcBorders>
              <w:top w:val="nil"/>
              <w:left w:val="nil"/>
              <w:bottom w:val="nil"/>
              <w:right w:val="nil"/>
            </w:tcBorders>
            <w:shd w:val="clear" w:color="auto" w:fill="auto"/>
            <w:noWrap/>
            <w:vAlign w:val="bottom"/>
            <w:hideMark/>
          </w:tcPr>
          <w:p w14:paraId="47AEAED0"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3753543" w14:textId="77777777" w:rsidR="006C7F97" w:rsidRDefault="006C7F97">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288FAB3" w14:textId="77777777" w:rsidR="006C7F97" w:rsidRDefault="006C7F97">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2C0650B6" w14:textId="77777777" w:rsidR="006C7F97" w:rsidRDefault="006C7F97">
            <w:pPr>
              <w:jc w:val="right"/>
              <w:rPr>
                <w:color w:val="000000"/>
                <w:sz w:val="20"/>
                <w:szCs w:val="20"/>
              </w:rPr>
            </w:pPr>
            <w:r>
              <w:rPr>
                <w:color w:val="000000"/>
                <w:sz w:val="20"/>
                <w:szCs w:val="20"/>
              </w:rPr>
              <w:t>0.299</w:t>
            </w:r>
          </w:p>
        </w:tc>
        <w:tc>
          <w:tcPr>
            <w:tcW w:w="864" w:type="dxa"/>
            <w:tcBorders>
              <w:top w:val="nil"/>
              <w:left w:val="nil"/>
              <w:bottom w:val="nil"/>
              <w:right w:val="nil"/>
            </w:tcBorders>
            <w:shd w:val="clear" w:color="auto" w:fill="auto"/>
            <w:noWrap/>
            <w:vAlign w:val="bottom"/>
            <w:hideMark/>
          </w:tcPr>
          <w:p w14:paraId="09532BFD" w14:textId="77777777" w:rsidR="006C7F97" w:rsidRDefault="006C7F97">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6CB4287" w14:textId="77777777" w:rsidR="006C7F97" w:rsidRDefault="006C7F97">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4EC42908" w14:textId="77777777" w:rsidR="006C7F97" w:rsidRDefault="006C7F97">
            <w:pPr>
              <w:jc w:val="right"/>
              <w:rPr>
                <w:color w:val="000000"/>
                <w:sz w:val="20"/>
                <w:szCs w:val="20"/>
              </w:rPr>
            </w:pPr>
            <w:r>
              <w:rPr>
                <w:color w:val="000000"/>
                <w:sz w:val="20"/>
                <w:szCs w:val="20"/>
              </w:rPr>
              <w:t>0.360</w:t>
            </w:r>
          </w:p>
        </w:tc>
        <w:tc>
          <w:tcPr>
            <w:tcW w:w="864" w:type="dxa"/>
            <w:tcBorders>
              <w:top w:val="nil"/>
              <w:left w:val="nil"/>
              <w:bottom w:val="nil"/>
              <w:right w:val="nil"/>
            </w:tcBorders>
            <w:shd w:val="clear" w:color="auto" w:fill="auto"/>
            <w:noWrap/>
            <w:vAlign w:val="bottom"/>
            <w:hideMark/>
          </w:tcPr>
          <w:p w14:paraId="5666F8A3" w14:textId="77777777" w:rsidR="006C7F97" w:rsidRDefault="006C7F97">
            <w:pPr>
              <w:jc w:val="right"/>
              <w:rPr>
                <w:color w:val="000000"/>
                <w:sz w:val="20"/>
                <w:szCs w:val="20"/>
              </w:rPr>
            </w:pPr>
            <w:r>
              <w:rPr>
                <w:color w:val="000000"/>
                <w:sz w:val="20"/>
                <w:szCs w:val="20"/>
              </w:rPr>
              <w:t>0.002</w:t>
            </w:r>
          </w:p>
        </w:tc>
      </w:tr>
      <w:tr w:rsidR="006C7F97" w14:paraId="3A726A7B" w14:textId="77777777" w:rsidTr="006C7F97">
        <w:trPr>
          <w:trHeight w:val="320"/>
        </w:trPr>
        <w:tc>
          <w:tcPr>
            <w:tcW w:w="1152" w:type="dxa"/>
            <w:tcBorders>
              <w:top w:val="nil"/>
              <w:left w:val="nil"/>
              <w:bottom w:val="single" w:sz="4" w:space="0" w:color="auto"/>
              <w:right w:val="nil"/>
            </w:tcBorders>
            <w:shd w:val="clear" w:color="auto" w:fill="auto"/>
            <w:noWrap/>
            <w:vAlign w:val="bottom"/>
            <w:hideMark/>
          </w:tcPr>
          <w:p w14:paraId="66F16CC7" w14:textId="77777777" w:rsidR="006C7F97" w:rsidRDefault="006C7F97">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56E6FEFC" w14:textId="77777777" w:rsidR="006C7F97" w:rsidRDefault="006C7F97">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76D0EA93" w14:textId="77777777" w:rsidR="006C7F97" w:rsidRDefault="006C7F97">
            <w:pPr>
              <w:jc w:val="right"/>
              <w:rPr>
                <w:color w:val="000000"/>
                <w:sz w:val="20"/>
                <w:szCs w:val="20"/>
              </w:rPr>
            </w:pPr>
            <w:r>
              <w:rPr>
                <w:color w:val="000000"/>
                <w:sz w:val="20"/>
                <w:szCs w:val="20"/>
              </w:rPr>
              <w:t>0.049</w:t>
            </w:r>
          </w:p>
        </w:tc>
        <w:tc>
          <w:tcPr>
            <w:tcW w:w="864" w:type="dxa"/>
            <w:tcBorders>
              <w:top w:val="nil"/>
              <w:left w:val="nil"/>
              <w:bottom w:val="single" w:sz="4" w:space="0" w:color="auto"/>
              <w:right w:val="nil"/>
            </w:tcBorders>
            <w:shd w:val="clear" w:color="auto" w:fill="auto"/>
            <w:noWrap/>
            <w:vAlign w:val="bottom"/>
            <w:hideMark/>
          </w:tcPr>
          <w:p w14:paraId="47C41239" w14:textId="77777777" w:rsidR="006C7F97" w:rsidRDefault="006C7F97">
            <w:pPr>
              <w:jc w:val="right"/>
              <w:rPr>
                <w:color w:val="000000"/>
                <w:sz w:val="20"/>
                <w:szCs w:val="20"/>
              </w:rPr>
            </w:pPr>
            <w:r>
              <w:rPr>
                <w:color w:val="000000"/>
                <w:sz w:val="20"/>
                <w:szCs w:val="20"/>
              </w:rPr>
              <w:t>0.299</w:t>
            </w:r>
          </w:p>
        </w:tc>
        <w:tc>
          <w:tcPr>
            <w:tcW w:w="864" w:type="dxa"/>
            <w:tcBorders>
              <w:top w:val="nil"/>
              <w:left w:val="nil"/>
              <w:bottom w:val="single" w:sz="4" w:space="0" w:color="auto"/>
              <w:right w:val="nil"/>
            </w:tcBorders>
            <w:shd w:val="clear" w:color="auto" w:fill="auto"/>
            <w:noWrap/>
            <w:vAlign w:val="bottom"/>
            <w:hideMark/>
          </w:tcPr>
          <w:p w14:paraId="47FBE242" w14:textId="77777777" w:rsidR="006C7F97" w:rsidRDefault="006C7F97">
            <w:pPr>
              <w:jc w:val="right"/>
              <w:rPr>
                <w:color w:val="000000"/>
                <w:sz w:val="20"/>
                <w:szCs w:val="20"/>
              </w:rPr>
            </w:pPr>
            <w:r>
              <w:rPr>
                <w:color w:val="000000"/>
                <w:sz w:val="20"/>
                <w:szCs w:val="20"/>
              </w:rPr>
              <w:t>0.002</w:t>
            </w:r>
          </w:p>
        </w:tc>
        <w:tc>
          <w:tcPr>
            <w:tcW w:w="864" w:type="dxa"/>
            <w:tcBorders>
              <w:top w:val="nil"/>
              <w:left w:val="nil"/>
              <w:bottom w:val="single" w:sz="4" w:space="0" w:color="auto"/>
              <w:right w:val="nil"/>
            </w:tcBorders>
            <w:shd w:val="clear" w:color="auto" w:fill="auto"/>
            <w:noWrap/>
            <w:vAlign w:val="bottom"/>
            <w:hideMark/>
          </w:tcPr>
          <w:p w14:paraId="2523D7BE" w14:textId="77777777" w:rsidR="006C7F97" w:rsidRDefault="006C7F97">
            <w:pPr>
              <w:jc w:val="right"/>
              <w:rPr>
                <w:color w:val="000000"/>
                <w:sz w:val="20"/>
                <w:szCs w:val="20"/>
              </w:rPr>
            </w:pPr>
            <w:r>
              <w:rPr>
                <w:color w:val="000000"/>
                <w:sz w:val="20"/>
                <w:szCs w:val="20"/>
              </w:rPr>
              <w:t>0.035</w:t>
            </w:r>
          </w:p>
        </w:tc>
        <w:tc>
          <w:tcPr>
            <w:tcW w:w="864" w:type="dxa"/>
            <w:tcBorders>
              <w:top w:val="nil"/>
              <w:left w:val="nil"/>
              <w:bottom w:val="single" w:sz="4" w:space="0" w:color="auto"/>
              <w:right w:val="nil"/>
            </w:tcBorders>
            <w:shd w:val="clear" w:color="auto" w:fill="auto"/>
            <w:noWrap/>
            <w:vAlign w:val="bottom"/>
            <w:hideMark/>
          </w:tcPr>
          <w:p w14:paraId="6B185EBA" w14:textId="77777777" w:rsidR="006C7F97" w:rsidRDefault="006C7F97">
            <w:pPr>
              <w:jc w:val="right"/>
              <w:rPr>
                <w:color w:val="000000"/>
                <w:sz w:val="20"/>
                <w:szCs w:val="20"/>
              </w:rPr>
            </w:pPr>
            <w:r>
              <w:rPr>
                <w:color w:val="000000"/>
                <w:sz w:val="20"/>
                <w:szCs w:val="20"/>
              </w:rPr>
              <w:t>0.443</w:t>
            </w:r>
          </w:p>
        </w:tc>
        <w:tc>
          <w:tcPr>
            <w:tcW w:w="864" w:type="dxa"/>
            <w:tcBorders>
              <w:top w:val="nil"/>
              <w:left w:val="nil"/>
              <w:bottom w:val="single" w:sz="4" w:space="0" w:color="auto"/>
              <w:right w:val="nil"/>
            </w:tcBorders>
            <w:shd w:val="clear" w:color="auto" w:fill="auto"/>
            <w:noWrap/>
            <w:vAlign w:val="bottom"/>
            <w:hideMark/>
          </w:tcPr>
          <w:p w14:paraId="20F6E315" w14:textId="77777777" w:rsidR="006C7F97" w:rsidRDefault="006C7F97">
            <w:pPr>
              <w:jc w:val="right"/>
              <w:rPr>
                <w:color w:val="000000"/>
                <w:sz w:val="20"/>
                <w:szCs w:val="20"/>
              </w:rPr>
            </w:pPr>
            <w:r>
              <w:rPr>
                <w:color w:val="000000"/>
                <w:sz w:val="20"/>
                <w:szCs w:val="20"/>
              </w:rPr>
              <w:t>0.001</w:t>
            </w:r>
          </w:p>
        </w:tc>
      </w:tr>
      <w:tr w:rsidR="006C7F97" w14:paraId="6E21A134" w14:textId="77777777" w:rsidTr="006C7F97">
        <w:trPr>
          <w:trHeight w:val="320"/>
        </w:trPr>
        <w:tc>
          <w:tcPr>
            <w:tcW w:w="1152" w:type="dxa"/>
            <w:tcBorders>
              <w:top w:val="nil"/>
              <w:left w:val="nil"/>
              <w:bottom w:val="nil"/>
              <w:right w:val="nil"/>
            </w:tcBorders>
            <w:shd w:val="clear" w:color="auto" w:fill="auto"/>
            <w:noWrap/>
            <w:vAlign w:val="bottom"/>
            <w:hideMark/>
          </w:tcPr>
          <w:p w14:paraId="526BBFF5" w14:textId="77777777" w:rsidR="006C7F97" w:rsidRDefault="006C7F97">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0AAFFA97" w14:textId="77777777" w:rsidR="006C7F97" w:rsidRDefault="006C7F97">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1C2D2B81" w14:textId="77777777" w:rsidR="006C7F97" w:rsidRDefault="006C7F97">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0BEAB3A1" w14:textId="77777777" w:rsidR="006C7F97" w:rsidRDefault="006C7F97">
            <w:pPr>
              <w:jc w:val="right"/>
              <w:rPr>
                <w:color w:val="000000"/>
                <w:sz w:val="20"/>
                <w:szCs w:val="20"/>
              </w:rPr>
            </w:pPr>
            <w:r>
              <w:rPr>
                <w:color w:val="000000"/>
                <w:sz w:val="20"/>
                <w:szCs w:val="20"/>
              </w:rPr>
              <w:t>0.598</w:t>
            </w:r>
          </w:p>
        </w:tc>
        <w:tc>
          <w:tcPr>
            <w:tcW w:w="864" w:type="dxa"/>
            <w:tcBorders>
              <w:top w:val="nil"/>
              <w:left w:val="nil"/>
              <w:bottom w:val="nil"/>
              <w:right w:val="nil"/>
            </w:tcBorders>
            <w:shd w:val="clear" w:color="auto" w:fill="auto"/>
            <w:noWrap/>
            <w:vAlign w:val="bottom"/>
            <w:hideMark/>
          </w:tcPr>
          <w:p w14:paraId="45F9F111"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0A20141" w14:textId="77777777" w:rsidR="006C7F97" w:rsidRDefault="006C7F97">
            <w:pPr>
              <w:jc w:val="right"/>
              <w:rPr>
                <w:color w:val="000000"/>
                <w:sz w:val="20"/>
                <w:szCs w:val="20"/>
              </w:rPr>
            </w:pPr>
            <w:r>
              <w:rPr>
                <w:color w:val="000000"/>
                <w:sz w:val="20"/>
                <w:szCs w:val="20"/>
              </w:rPr>
              <w:t>0.045</w:t>
            </w:r>
          </w:p>
        </w:tc>
        <w:tc>
          <w:tcPr>
            <w:tcW w:w="864" w:type="dxa"/>
            <w:tcBorders>
              <w:top w:val="nil"/>
              <w:left w:val="nil"/>
              <w:bottom w:val="nil"/>
              <w:right w:val="nil"/>
            </w:tcBorders>
            <w:shd w:val="clear" w:color="auto" w:fill="auto"/>
            <w:noWrap/>
            <w:vAlign w:val="bottom"/>
            <w:hideMark/>
          </w:tcPr>
          <w:p w14:paraId="0216D98F" w14:textId="77777777" w:rsidR="006C7F97" w:rsidRDefault="006C7F97">
            <w:pPr>
              <w:jc w:val="right"/>
              <w:rPr>
                <w:color w:val="000000"/>
                <w:sz w:val="20"/>
                <w:szCs w:val="20"/>
              </w:rPr>
            </w:pPr>
            <w:r>
              <w:rPr>
                <w:color w:val="000000"/>
                <w:sz w:val="20"/>
                <w:szCs w:val="20"/>
              </w:rPr>
              <w:t>0.252</w:t>
            </w:r>
          </w:p>
        </w:tc>
        <w:tc>
          <w:tcPr>
            <w:tcW w:w="864" w:type="dxa"/>
            <w:tcBorders>
              <w:top w:val="nil"/>
              <w:left w:val="nil"/>
              <w:bottom w:val="nil"/>
              <w:right w:val="nil"/>
            </w:tcBorders>
            <w:shd w:val="clear" w:color="auto" w:fill="auto"/>
            <w:noWrap/>
            <w:vAlign w:val="bottom"/>
            <w:hideMark/>
          </w:tcPr>
          <w:p w14:paraId="41A4E63E" w14:textId="77777777" w:rsidR="006C7F97" w:rsidRDefault="006C7F97">
            <w:pPr>
              <w:jc w:val="right"/>
              <w:rPr>
                <w:color w:val="000000"/>
                <w:sz w:val="20"/>
                <w:szCs w:val="20"/>
              </w:rPr>
            </w:pPr>
            <w:r>
              <w:rPr>
                <w:color w:val="000000"/>
                <w:sz w:val="20"/>
                <w:szCs w:val="20"/>
              </w:rPr>
              <w:t>0.002</w:t>
            </w:r>
          </w:p>
        </w:tc>
      </w:tr>
      <w:tr w:rsidR="006C7F97" w14:paraId="566FAC55" w14:textId="77777777" w:rsidTr="006C7F97">
        <w:trPr>
          <w:trHeight w:val="320"/>
        </w:trPr>
        <w:tc>
          <w:tcPr>
            <w:tcW w:w="1152" w:type="dxa"/>
            <w:tcBorders>
              <w:top w:val="nil"/>
              <w:left w:val="nil"/>
              <w:bottom w:val="nil"/>
              <w:right w:val="nil"/>
            </w:tcBorders>
            <w:shd w:val="clear" w:color="auto" w:fill="auto"/>
            <w:noWrap/>
            <w:vAlign w:val="bottom"/>
            <w:hideMark/>
          </w:tcPr>
          <w:p w14:paraId="1B324014"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1D1003A" w14:textId="77777777" w:rsidR="006C7F97" w:rsidRDefault="006C7F97">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7A029D6A" w14:textId="77777777" w:rsidR="006C7F97" w:rsidRDefault="006C7F97">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515DDE86" w14:textId="77777777" w:rsidR="006C7F97" w:rsidRDefault="006C7F97">
            <w:pPr>
              <w:jc w:val="right"/>
              <w:rPr>
                <w:color w:val="000000"/>
                <w:sz w:val="20"/>
                <w:szCs w:val="20"/>
              </w:rPr>
            </w:pPr>
            <w:r>
              <w:rPr>
                <w:color w:val="000000"/>
                <w:sz w:val="20"/>
                <w:szCs w:val="20"/>
              </w:rPr>
              <w:t>0.413</w:t>
            </w:r>
          </w:p>
        </w:tc>
        <w:tc>
          <w:tcPr>
            <w:tcW w:w="864" w:type="dxa"/>
            <w:tcBorders>
              <w:top w:val="nil"/>
              <w:left w:val="nil"/>
              <w:bottom w:val="nil"/>
              <w:right w:val="nil"/>
            </w:tcBorders>
            <w:shd w:val="clear" w:color="auto" w:fill="auto"/>
            <w:noWrap/>
            <w:vAlign w:val="bottom"/>
            <w:hideMark/>
          </w:tcPr>
          <w:p w14:paraId="192E8DA1" w14:textId="77777777" w:rsidR="006C7F97" w:rsidRDefault="006C7F97">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29FC0FE3" w14:textId="77777777" w:rsidR="006C7F97" w:rsidRDefault="006C7F97">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45FA4C5C" w14:textId="77777777" w:rsidR="006C7F97" w:rsidRDefault="006C7F97">
            <w:pPr>
              <w:jc w:val="right"/>
              <w:rPr>
                <w:color w:val="000000"/>
                <w:sz w:val="20"/>
                <w:szCs w:val="20"/>
              </w:rPr>
            </w:pPr>
            <w:r>
              <w:rPr>
                <w:color w:val="000000"/>
                <w:sz w:val="20"/>
                <w:szCs w:val="20"/>
              </w:rPr>
              <w:t>0.267</w:t>
            </w:r>
          </w:p>
        </w:tc>
        <w:tc>
          <w:tcPr>
            <w:tcW w:w="864" w:type="dxa"/>
            <w:tcBorders>
              <w:top w:val="nil"/>
              <w:left w:val="nil"/>
              <w:bottom w:val="nil"/>
              <w:right w:val="nil"/>
            </w:tcBorders>
            <w:shd w:val="clear" w:color="auto" w:fill="auto"/>
            <w:noWrap/>
            <w:vAlign w:val="bottom"/>
            <w:hideMark/>
          </w:tcPr>
          <w:p w14:paraId="2E50378B" w14:textId="77777777" w:rsidR="006C7F97" w:rsidRDefault="006C7F97">
            <w:pPr>
              <w:jc w:val="right"/>
              <w:rPr>
                <w:color w:val="000000"/>
                <w:sz w:val="20"/>
                <w:szCs w:val="20"/>
              </w:rPr>
            </w:pPr>
            <w:r>
              <w:rPr>
                <w:color w:val="000000"/>
                <w:sz w:val="20"/>
                <w:szCs w:val="20"/>
              </w:rPr>
              <w:t>0.002</w:t>
            </w:r>
          </w:p>
        </w:tc>
      </w:tr>
      <w:tr w:rsidR="006C7F97" w14:paraId="36B906AF" w14:textId="77777777" w:rsidTr="006C7F97">
        <w:trPr>
          <w:trHeight w:val="320"/>
        </w:trPr>
        <w:tc>
          <w:tcPr>
            <w:tcW w:w="1152" w:type="dxa"/>
            <w:tcBorders>
              <w:top w:val="nil"/>
              <w:left w:val="nil"/>
              <w:bottom w:val="nil"/>
              <w:right w:val="nil"/>
            </w:tcBorders>
            <w:shd w:val="clear" w:color="auto" w:fill="auto"/>
            <w:noWrap/>
            <w:vAlign w:val="bottom"/>
            <w:hideMark/>
          </w:tcPr>
          <w:p w14:paraId="153314BE"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3AF8B06" w14:textId="77777777" w:rsidR="006C7F97" w:rsidRDefault="006C7F97">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60754264" w14:textId="77777777" w:rsidR="006C7F97" w:rsidRDefault="006C7F97">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0D80CEAC" w14:textId="77777777" w:rsidR="006C7F97" w:rsidRDefault="006C7F97">
            <w:pPr>
              <w:jc w:val="right"/>
              <w:rPr>
                <w:color w:val="000000"/>
                <w:sz w:val="20"/>
                <w:szCs w:val="20"/>
              </w:rPr>
            </w:pPr>
            <w:r>
              <w:rPr>
                <w:color w:val="000000"/>
                <w:sz w:val="20"/>
                <w:szCs w:val="20"/>
              </w:rPr>
              <w:t>0.180</w:t>
            </w:r>
          </w:p>
        </w:tc>
        <w:tc>
          <w:tcPr>
            <w:tcW w:w="864" w:type="dxa"/>
            <w:tcBorders>
              <w:top w:val="nil"/>
              <w:left w:val="nil"/>
              <w:bottom w:val="nil"/>
              <w:right w:val="nil"/>
            </w:tcBorders>
            <w:shd w:val="clear" w:color="auto" w:fill="auto"/>
            <w:noWrap/>
            <w:vAlign w:val="bottom"/>
            <w:hideMark/>
          </w:tcPr>
          <w:p w14:paraId="218555E2" w14:textId="77777777" w:rsidR="006C7F97" w:rsidRDefault="006C7F97">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133C77D3" w14:textId="77777777" w:rsidR="006C7F97" w:rsidRDefault="006C7F97">
            <w:pPr>
              <w:jc w:val="right"/>
              <w:rPr>
                <w:color w:val="000000"/>
                <w:sz w:val="20"/>
                <w:szCs w:val="20"/>
              </w:rPr>
            </w:pPr>
            <w:r>
              <w:rPr>
                <w:color w:val="000000"/>
                <w:sz w:val="20"/>
                <w:szCs w:val="20"/>
              </w:rPr>
              <w:t>-0.056</w:t>
            </w:r>
          </w:p>
        </w:tc>
        <w:tc>
          <w:tcPr>
            <w:tcW w:w="864" w:type="dxa"/>
            <w:tcBorders>
              <w:top w:val="nil"/>
              <w:left w:val="nil"/>
              <w:bottom w:val="nil"/>
              <w:right w:val="nil"/>
            </w:tcBorders>
            <w:shd w:val="clear" w:color="auto" w:fill="auto"/>
            <w:noWrap/>
            <w:vAlign w:val="bottom"/>
            <w:hideMark/>
          </w:tcPr>
          <w:p w14:paraId="11CDA063" w14:textId="77777777" w:rsidR="006C7F97" w:rsidRDefault="006C7F97">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188EBB6D" w14:textId="77777777" w:rsidR="006C7F97" w:rsidRDefault="006C7F97">
            <w:pPr>
              <w:jc w:val="right"/>
              <w:rPr>
                <w:color w:val="000000"/>
                <w:sz w:val="20"/>
                <w:szCs w:val="20"/>
              </w:rPr>
            </w:pPr>
            <w:r>
              <w:rPr>
                <w:color w:val="000000"/>
                <w:sz w:val="20"/>
                <w:szCs w:val="20"/>
              </w:rPr>
              <w:t>0.003</w:t>
            </w:r>
          </w:p>
        </w:tc>
      </w:tr>
      <w:tr w:rsidR="006C7F97" w14:paraId="7C387EA8" w14:textId="77777777" w:rsidTr="006C7F97">
        <w:trPr>
          <w:trHeight w:val="320"/>
        </w:trPr>
        <w:tc>
          <w:tcPr>
            <w:tcW w:w="1152" w:type="dxa"/>
            <w:tcBorders>
              <w:top w:val="nil"/>
              <w:left w:val="nil"/>
              <w:bottom w:val="nil"/>
              <w:right w:val="nil"/>
            </w:tcBorders>
            <w:shd w:val="clear" w:color="auto" w:fill="auto"/>
            <w:noWrap/>
            <w:vAlign w:val="bottom"/>
            <w:hideMark/>
          </w:tcPr>
          <w:p w14:paraId="7342495A"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1050378" w14:textId="77777777" w:rsidR="006C7F97" w:rsidRDefault="006C7F97">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8630383" w14:textId="77777777" w:rsidR="006C7F97" w:rsidRDefault="006C7F97">
            <w:pPr>
              <w:jc w:val="right"/>
              <w:rPr>
                <w:b/>
                <w:bCs/>
                <w:color w:val="000000"/>
                <w:sz w:val="20"/>
                <w:szCs w:val="20"/>
              </w:rPr>
            </w:pPr>
            <w:r>
              <w:rPr>
                <w:b/>
                <w:bCs/>
                <w:color w:val="000000"/>
                <w:sz w:val="20"/>
                <w:szCs w:val="20"/>
              </w:rPr>
              <w:t>-0.093</w:t>
            </w:r>
          </w:p>
        </w:tc>
        <w:tc>
          <w:tcPr>
            <w:tcW w:w="864" w:type="dxa"/>
            <w:tcBorders>
              <w:top w:val="nil"/>
              <w:left w:val="nil"/>
              <w:bottom w:val="nil"/>
              <w:right w:val="nil"/>
            </w:tcBorders>
            <w:shd w:val="clear" w:color="auto" w:fill="auto"/>
            <w:noWrap/>
            <w:vAlign w:val="bottom"/>
            <w:hideMark/>
          </w:tcPr>
          <w:p w14:paraId="198A882B" w14:textId="77777777" w:rsidR="006C7F97" w:rsidRDefault="006C7F97">
            <w:pPr>
              <w:jc w:val="right"/>
              <w:rPr>
                <w:b/>
                <w:bCs/>
                <w:color w:val="000000"/>
                <w:sz w:val="20"/>
                <w:szCs w:val="20"/>
              </w:rPr>
            </w:pPr>
            <w:r>
              <w:rPr>
                <w:b/>
                <w:bCs/>
                <w:color w:val="000000"/>
                <w:sz w:val="20"/>
                <w:szCs w:val="20"/>
              </w:rPr>
              <w:t>0.032</w:t>
            </w:r>
          </w:p>
        </w:tc>
        <w:tc>
          <w:tcPr>
            <w:tcW w:w="864" w:type="dxa"/>
            <w:tcBorders>
              <w:top w:val="nil"/>
              <w:left w:val="nil"/>
              <w:bottom w:val="nil"/>
              <w:right w:val="nil"/>
            </w:tcBorders>
            <w:shd w:val="clear" w:color="auto" w:fill="auto"/>
            <w:noWrap/>
            <w:vAlign w:val="bottom"/>
            <w:hideMark/>
          </w:tcPr>
          <w:p w14:paraId="72968959" w14:textId="77777777" w:rsidR="006C7F97" w:rsidRDefault="006C7F97">
            <w:pPr>
              <w:jc w:val="right"/>
              <w:rPr>
                <w:b/>
                <w:bCs/>
                <w:color w:val="000000"/>
                <w:sz w:val="20"/>
                <w:szCs w:val="20"/>
              </w:rPr>
            </w:pPr>
            <w:r>
              <w:rPr>
                <w:b/>
                <w:bCs/>
                <w:color w:val="000000"/>
                <w:sz w:val="20"/>
                <w:szCs w:val="20"/>
              </w:rPr>
              <w:t>0.009</w:t>
            </w:r>
          </w:p>
        </w:tc>
        <w:tc>
          <w:tcPr>
            <w:tcW w:w="864" w:type="dxa"/>
            <w:tcBorders>
              <w:top w:val="nil"/>
              <w:left w:val="nil"/>
              <w:bottom w:val="nil"/>
              <w:right w:val="nil"/>
            </w:tcBorders>
            <w:shd w:val="clear" w:color="auto" w:fill="auto"/>
            <w:noWrap/>
            <w:vAlign w:val="bottom"/>
            <w:hideMark/>
          </w:tcPr>
          <w:p w14:paraId="14201039" w14:textId="77777777" w:rsidR="006C7F97" w:rsidRDefault="006C7F97">
            <w:pPr>
              <w:jc w:val="right"/>
              <w:rPr>
                <w:color w:val="000000"/>
                <w:sz w:val="20"/>
                <w:szCs w:val="20"/>
              </w:rPr>
            </w:pPr>
            <w:r>
              <w:rPr>
                <w:color w:val="000000"/>
                <w:sz w:val="20"/>
                <w:szCs w:val="20"/>
              </w:rPr>
              <w:t>-0.052</w:t>
            </w:r>
          </w:p>
        </w:tc>
        <w:tc>
          <w:tcPr>
            <w:tcW w:w="864" w:type="dxa"/>
            <w:tcBorders>
              <w:top w:val="nil"/>
              <w:left w:val="nil"/>
              <w:bottom w:val="nil"/>
              <w:right w:val="nil"/>
            </w:tcBorders>
            <w:shd w:val="clear" w:color="auto" w:fill="auto"/>
            <w:noWrap/>
            <w:vAlign w:val="bottom"/>
            <w:hideMark/>
          </w:tcPr>
          <w:p w14:paraId="2D1B1BF9" w14:textId="77777777" w:rsidR="006C7F97" w:rsidRDefault="006C7F97">
            <w:pPr>
              <w:jc w:val="right"/>
              <w:rPr>
                <w:color w:val="000000"/>
                <w:sz w:val="20"/>
                <w:szCs w:val="20"/>
              </w:rPr>
            </w:pPr>
            <w:r>
              <w:rPr>
                <w:color w:val="000000"/>
                <w:sz w:val="20"/>
                <w:szCs w:val="20"/>
              </w:rPr>
              <w:t>0.224</w:t>
            </w:r>
          </w:p>
        </w:tc>
        <w:tc>
          <w:tcPr>
            <w:tcW w:w="864" w:type="dxa"/>
            <w:tcBorders>
              <w:top w:val="nil"/>
              <w:left w:val="nil"/>
              <w:bottom w:val="nil"/>
              <w:right w:val="nil"/>
            </w:tcBorders>
            <w:shd w:val="clear" w:color="auto" w:fill="auto"/>
            <w:noWrap/>
            <w:vAlign w:val="bottom"/>
            <w:hideMark/>
          </w:tcPr>
          <w:p w14:paraId="040CDAF4" w14:textId="77777777" w:rsidR="006C7F97" w:rsidRDefault="006C7F97">
            <w:pPr>
              <w:jc w:val="right"/>
              <w:rPr>
                <w:color w:val="000000"/>
                <w:sz w:val="20"/>
                <w:szCs w:val="20"/>
              </w:rPr>
            </w:pPr>
            <w:r>
              <w:rPr>
                <w:color w:val="000000"/>
                <w:sz w:val="20"/>
                <w:szCs w:val="20"/>
              </w:rPr>
              <w:t>0.003</w:t>
            </w:r>
          </w:p>
        </w:tc>
      </w:tr>
      <w:tr w:rsidR="006C7F97" w14:paraId="19C3496A" w14:textId="77777777" w:rsidTr="006C7F97">
        <w:trPr>
          <w:trHeight w:val="320"/>
        </w:trPr>
        <w:tc>
          <w:tcPr>
            <w:tcW w:w="1152" w:type="dxa"/>
            <w:tcBorders>
              <w:top w:val="nil"/>
              <w:left w:val="nil"/>
              <w:bottom w:val="nil"/>
              <w:right w:val="nil"/>
            </w:tcBorders>
            <w:shd w:val="clear" w:color="auto" w:fill="auto"/>
            <w:noWrap/>
            <w:vAlign w:val="bottom"/>
            <w:hideMark/>
          </w:tcPr>
          <w:p w14:paraId="1E5FDFD4"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F1A97F6" w14:textId="77777777" w:rsidR="006C7F97" w:rsidRDefault="006C7F97">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1A44B14E" w14:textId="77777777" w:rsidR="006C7F97" w:rsidRDefault="006C7F97">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5852B741" w14:textId="77777777" w:rsidR="006C7F97" w:rsidRDefault="006C7F97">
            <w:pPr>
              <w:jc w:val="right"/>
              <w:rPr>
                <w:color w:val="000000"/>
                <w:sz w:val="20"/>
                <w:szCs w:val="20"/>
              </w:rPr>
            </w:pPr>
            <w:r>
              <w:rPr>
                <w:color w:val="000000"/>
                <w:sz w:val="20"/>
                <w:szCs w:val="20"/>
              </w:rPr>
              <w:t>0.598</w:t>
            </w:r>
          </w:p>
        </w:tc>
        <w:tc>
          <w:tcPr>
            <w:tcW w:w="864" w:type="dxa"/>
            <w:tcBorders>
              <w:top w:val="nil"/>
              <w:left w:val="nil"/>
              <w:bottom w:val="nil"/>
              <w:right w:val="nil"/>
            </w:tcBorders>
            <w:shd w:val="clear" w:color="auto" w:fill="auto"/>
            <w:noWrap/>
            <w:vAlign w:val="bottom"/>
            <w:hideMark/>
          </w:tcPr>
          <w:p w14:paraId="784D221C" w14:textId="77777777" w:rsidR="006C7F97" w:rsidRDefault="006C7F97">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22282C9" w14:textId="77777777" w:rsidR="006C7F97" w:rsidRDefault="006C7F97">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4100212D" w14:textId="77777777" w:rsidR="006C7F97" w:rsidRDefault="006C7F97">
            <w:pPr>
              <w:jc w:val="right"/>
              <w:rPr>
                <w:color w:val="000000"/>
                <w:sz w:val="20"/>
                <w:szCs w:val="20"/>
              </w:rPr>
            </w:pPr>
            <w:r>
              <w:rPr>
                <w:color w:val="000000"/>
                <w:sz w:val="20"/>
                <w:szCs w:val="20"/>
              </w:rPr>
              <w:t>0.457</w:t>
            </w:r>
          </w:p>
        </w:tc>
        <w:tc>
          <w:tcPr>
            <w:tcW w:w="864" w:type="dxa"/>
            <w:tcBorders>
              <w:top w:val="nil"/>
              <w:left w:val="nil"/>
              <w:bottom w:val="nil"/>
              <w:right w:val="nil"/>
            </w:tcBorders>
            <w:shd w:val="clear" w:color="auto" w:fill="auto"/>
            <w:noWrap/>
            <w:vAlign w:val="bottom"/>
            <w:hideMark/>
          </w:tcPr>
          <w:p w14:paraId="3D05921D" w14:textId="77777777" w:rsidR="006C7F97" w:rsidRDefault="006C7F97">
            <w:pPr>
              <w:jc w:val="right"/>
              <w:rPr>
                <w:color w:val="000000"/>
                <w:sz w:val="20"/>
                <w:szCs w:val="20"/>
              </w:rPr>
            </w:pPr>
            <w:r>
              <w:rPr>
                <w:color w:val="000000"/>
                <w:sz w:val="20"/>
                <w:szCs w:val="20"/>
              </w:rPr>
              <w:t>0.000</w:t>
            </w:r>
          </w:p>
        </w:tc>
      </w:tr>
      <w:tr w:rsidR="006C7F97" w14:paraId="4C31DAA1" w14:textId="77777777" w:rsidTr="006C7F97">
        <w:trPr>
          <w:trHeight w:val="320"/>
        </w:trPr>
        <w:tc>
          <w:tcPr>
            <w:tcW w:w="1152" w:type="dxa"/>
            <w:tcBorders>
              <w:top w:val="nil"/>
              <w:left w:val="nil"/>
              <w:bottom w:val="nil"/>
              <w:right w:val="nil"/>
            </w:tcBorders>
            <w:shd w:val="clear" w:color="auto" w:fill="auto"/>
            <w:noWrap/>
            <w:vAlign w:val="bottom"/>
            <w:hideMark/>
          </w:tcPr>
          <w:p w14:paraId="73E42A0B"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32DCD3A" w14:textId="77777777" w:rsidR="006C7F97" w:rsidRDefault="006C7F97">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5F26ECD4" w14:textId="77777777" w:rsidR="006C7F97" w:rsidRDefault="006C7F97">
            <w:pPr>
              <w:jc w:val="right"/>
              <w:rPr>
                <w:color w:val="000000"/>
                <w:sz w:val="20"/>
                <w:szCs w:val="20"/>
              </w:rPr>
            </w:pPr>
            <w:r>
              <w:rPr>
                <w:color w:val="000000"/>
                <w:sz w:val="20"/>
                <w:szCs w:val="20"/>
              </w:rPr>
              <w:t>0.040</w:t>
            </w:r>
          </w:p>
        </w:tc>
        <w:tc>
          <w:tcPr>
            <w:tcW w:w="864" w:type="dxa"/>
            <w:tcBorders>
              <w:top w:val="nil"/>
              <w:left w:val="nil"/>
              <w:bottom w:val="nil"/>
              <w:right w:val="nil"/>
            </w:tcBorders>
            <w:shd w:val="clear" w:color="auto" w:fill="auto"/>
            <w:noWrap/>
            <w:vAlign w:val="bottom"/>
            <w:hideMark/>
          </w:tcPr>
          <w:p w14:paraId="73587B25" w14:textId="77777777" w:rsidR="006C7F97" w:rsidRDefault="006C7F97">
            <w:pPr>
              <w:jc w:val="right"/>
              <w:rPr>
                <w:color w:val="000000"/>
                <w:sz w:val="20"/>
                <w:szCs w:val="20"/>
              </w:rPr>
            </w:pPr>
            <w:r>
              <w:rPr>
                <w:color w:val="000000"/>
                <w:sz w:val="20"/>
                <w:szCs w:val="20"/>
              </w:rPr>
              <w:t>0.445</w:t>
            </w:r>
          </w:p>
        </w:tc>
        <w:tc>
          <w:tcPr>
            <w:tcW w:w="864" w:type="dxa"/>
            <w:tcBorders>
              <w:top w:val="nil"/>
              <w:left w:val="nil"/>
              <w:bottom w:val="nil"/>
              <w:right w:val="nil"/>
            </w:tcBorders>
            <w:shd w:val="clear" w:color="auto" w:fill="auto"/>
            <w:noWrap/>
            <w:vAlign w:val="bottom"/>
            <w:hideMark/>
          </w:tcPr>
          <w:p w14:paraId="24793D7E" w14:textId="77777777" w:rsidR="006C7F97" w:rsidRDefault="006C7F97">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5A38D8C6" w14:textId="77777777" w:rsidR="006C7F97" w:rsidRDefault="006C7F97">
            <w:pPr>
              <w:jc w:val="right"/>
              <w:rPr>
                <w:color w:val="000000"/>
                <w:sz w:val="20"/>
                <w:szCs w:val="20"/>
              </w:rPr>
            </w:pPr>
            <w:r>
              <w:rPr>
                <w:color w:val="000000"/>
                <w:sz w:val="20"/>
                <w:szCs w:val="20"/>
              </w:rPr>
              <w:t>0.028</w:t>
            </w:r>
          </w:p>
        </w:tc>
        <w:tc>
          <w:tcPr>
            <w:tcW w:w="864" w:type="dxa"/>
            <w:tcBorders>
              <w:top w:val="nil"/>
              <w:left w:val="nil"/>
              <w:bottom w:val="nil"/>
              <w:right w:val="nil"/>
            </w:tcBorders>
            <w:shd w:val="clear" w:color="auto" w:fill="auto"/>
            <w:noWrap/>
            <w:vAlign w:val="bottom"/>
            <w:hideMark/>
          </w:tcPr>
          <w:p w14:paraId="51E10124" w14:textId="77777777" w:rsidR="006C7F97" w:rsidRDefault="006C7F97">
            <w:pPr>
              <w:jc w:val="right"/>
              <w:rPr>
                <w:color w:val="000000"/>
                <w:sz w:val="20"/>
                <w:szCs w:val="20"/>
              </w:rPr>
            </w:pPr>
            <w:r>
              <w:rPr>
                <w:color w:val="000000"/>
                <w:sz w:val="20"/>
                <w:szCs w:val="20"/>
              </w:rPr>
              <w:t>0.457</w:t>
            </w:r>
          </w:p>
        </w:tc>
        <w:tc>
          <w:tcPr>
            <w:tcW w:w="864" w:type="dxa"/>
            <w:tcBorders>
              <w:top w:val="nil"/>
              <w:left w:val="nil"/>
              <w:bottom w:val="nil"/>
              <w:right w:val="nil"/>
            </w:tcBorders>
            <w:shd w:val="clear" w:color="auto" w:fill="auto"/>
            <w:noWrap/>
            <w:vAlign w:val="bottom"/>
            <w:hideMark/>
          </w:tcPr>
          <w:p w14:paraId="3FF59A6B" w14:textId="77777777" w:rsidR="006C7F97" w:rsidRDefault="006C7F97">
            <w:pPr>
              <w:jc w:val="right"/>
              <w:rPr>
                <w:color w:val="000000"/>
                <w:sz w:val="20"/>
                <w:szCs w:val="20"/>
              </w:rPr>
            </w:pPr>
            <w:r>
              <w:rPr>
                <w:color w:val="000000"/>
                <w:sz w:val="20"/>
                <w:szCs w:val="20"/>
              </w:rPr>
              <w:t>0.001</w:t>
            </w:r>
          </w:p>
        </w:tc>
      </w:tr>
      <w:tr w:rsidR="006C7F97" w14:paraId="3F31AB4E" w14:textId="77777777" w:rsidTr="006C7F97">
        <w:trPr>
          <w:trHeight w:val="320"/>
        </w:trPr>
        <w:tc>
          <w:tcPr>
            <w:tcW w:w="1152" w:type="dxa"/>
            <w:tcBorders>
              <w:top w:val="nil"/>
              <w:left w:val="nil"/>
              <w:bottom w:val="nil"/>
              <w:right w:val="nil"/>
            </w:tcBorders>
            <w:shd w:val="clear" w:color="auto" w:fill="auto"/>
            <w:noWrap/>
            <w:vAlign w:val="bottom"/>
            <w:hideMark/>
          </w:tcPr>
          <w:p w14:paraId="2F9D3193" w14:textId="77777777" w:rsidR="006C7F97" w:rsidRDefault="006C7F97">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C839B23" w14:textId="77777777" w:rsidR="006C7F97" w:rsidRDefault="006C7F97">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1FE3532D" w14:textId="77777777" w:rsidR="006C7F97" w:rsidRDefault="006C7F97">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6EFAA76F" w14:textId="77777777" w:rsidR="006C7F97" w:rsidRDefault="006C7F97">
            <w:pPr>
              <w:jc w:val="right"/>
              <w:rPr>
                <w:color w:val="000000"/>
                <w:sz w:val="20"/>
                <w:szCs w:val="20"/>
              </w:rPr>
            </w:pPr>
            <w:r>
              <w:rPr>
                <w:color w:val="000000"/>
                <w:sz w:val="20"/>
                <w:szCs w:val="20"/>
              </w:rPr>
              <w:t>0.735</w:t>
            </w:r>
          </w:p>
        </w:tc>
        <w:tc>
          <w:tcPr>
            <w:tcW w:w="864" w:type="dxa"/>
            <w:tcBorders>
              <w:top w:val="nil"/>
              <w:left w:val="nil"/>
              <w:bottom w:val="nil"/>
              <w:right w:val="nil"/>
            </w:tcBorders>
            <w:shd w:val="clear" w:color="auto" w:fill="auto"/>
            <w:noWrap/>
            <w:vAlign w:val="bottom"/>
            <w:hideMark/>
          </w:tcPr>
          <w:p w14:paraId="20F62F1C" w14:textId="77777777" w:rsidR="006C7F97" w:rsidRDefault="006C7F97">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F79FA4C" w14:textId="77777777" w:rsidR="006C7F97" w:rsidRDefault="006C7F97">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25840722" w14:textId="77777777" w:rsidR="006C7F97" w:rsidRDefault="006C7F97">
            <w:pPr>
              <w:jc w:val="right"/>
              <w:rPr>
                <w:color w:val="000000"/>
                <w:sz w:val="20"/>
                <w:szCs w:val="20"/>
              </w:rPr>
            </w:pPr>
            <w:r>
              <w:rPr>
                <w:color w:val="000000"/>
                <w:sz w:val="20"/>
                <w:szCs w:val="20"/>
              </w:rPr>
              <w:t>0.457</w:t>
            </w:r>
          </w:p>
        </w:tc>
        <w:tc>
          <w:tcPr>
            <w:tcW w:w="864" w:type="dxa"/>
            <w:tcBorders>
              <w:top w:val="nil"/>
              <w:left w:val="nil"/>
              <w:bottom w:val="nil"/>
              <w:right w:val="nil"/>
            </w:tcBorders>
            <w:shd w:val="clear" w:color="auto" w:fill="auto"/>
            <w:noWrap/>
            <w:vAlign w:val="bottom"/>
            <w:hideMark/>
          </w:tcPr>
          <w:p w14:paraId="55126ECE" w14:textId="77777777" w:rsidR="006C7F97" w:rsidRDefault="006C7F97">
            <w:pPr>
              <w:jc w:val="right"/>
              <w:rPr>
                <w:color w:val="000000"/>
                <w:sz w:val="20"/>
                <w:szCs w:val="20"/>
              </w:rPr>
            </w:pPr>
            <w:r>
              <w:rPr>
                <w:color w:val="000000"/>
                <w:sz w:val="20"/>
                <w:szCs w:val="20"/>
              </w:rPr>
              <w:t>0.000</w:t>
            </w:r>
          </w:p>
        </w:tc>
      </w:tr>
      <w:tr w:rsidR="006C7F97" w14:paraId="12A24912"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6F859A56" w14:textId="77777777" w:rsidR="006C7F97" w:rsidRDefault="006C7F97">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737ECEA0" w14:textId="77777777" w:rsidR="006C7F97" w:rsidRDefault="006C7F97">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62C9B3DA" w14:textId="77777777" w:rsidR="006C7F97" w:rsidRDefault="006C7F97">
            <w:pPr>
              <w:jc w:val="right"/>
              <w:rPr>
                <w:color w:val="000000"/>
                <w:sz w:val="20"/>
                <w:szCs w:val="20"/>
              </w:rPr>
            </w:pPr>
            <w:r>
              <w:rPr>
                <w:color w:val="000000"/>
                <w:sz w:val="20"/>
                <w:szCs w:val="20"/>
              </w:rPr>
              <w:t>0.034</w:t>
            </w:r>
          </w:p>
        </w:tc>
        <w:tc>
          <w:tcPr>
            <w:tcW w:w="864" w:type="dxa"/>
            <w:tcBorders>
              <w:top w:val="nil"/>
              <w:left w:val="nil"/>
              <w:bottom w:val="single" w:sz="12" w:space="0" w:color="auto"/>
              <w:right w:val="nil"/>
            </w:tcBorders>
            <w:shd w:val="clear" w:color="auto" w:fill="auto"/>
            <w:noWrap/>
            <w:vAlign w:val="bottom"/>
            <w:hideMark/>
          </w:tcPr>
          <w:p w14:paraId="6F05A967" w14:textId="77777777" w:rsidR="006C7F97" w:rsidRDefault="006C7F97">
            <w:pPr>
              <w:jc w:val="right"/>
              <w:rPr>
                <w:color w:val="000000"/>
                <w:sz w:val="20"/>
                <w:szCs w:val="20"/>
              </w:rPr>
            </w:pPr>
            <w:r>
              <w:rPr>
                <w:color w:val="000000"/>
                <w:sz w:val="20"/>
                <w:szCs w:val="20"/>
              </w:rPr>
              <w:t>0.445</w:t>
            </w:r>
          </w:p>
        </w:tc>
        <w:tc>
          <w:tcPr>
            <w:tcW w:w="864" w:type="dxa"/>
            <w:tcBorders>
              <w:top w:val="nil"/>
              <w:left w:val="nil"/>
              <w:bottom w:val="single" w:sz="12" w:space="0" w:color="auto"/>
              <w:right w:val="nil"/>
            </w:tcBorders>
            <w:shd w:val="clear" w:color="auto" w:fill="auto"/>
            <w:noWrap/>
            <w:vAlign w:val="bottom"/>
            <w:hideMark/>
          </w:tcPr>
          <w:p w14:paraId="4740D43F" w14:textId="77777777" w:rsidR="006C7F97" w:rsidRDefault="006C7F97">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1D1B4A3C" w14:textId="77777777" w:rsidR="006C7F97" w:rsidRDefault="006C7F97">
            <w:pPr>
              <w:jc w:val="right"/>
              <w:rPr>
                <w:color w:val="000000"/>
                <w:sz w:val="20"/>
                <w:szCs w:val="20"/>
              </w:rPr>
            </w:pPr>
            <w:r>
              <w:rPr>
                <w:color w:val="000000"/>
                <w:sz w:val="20"/>
                <w:szCs w:val="20"/>
              </w:rPr>
              <w:t>0.054</w:t>
            </w:r>
          </w:p>
        </w:tc>
        <w:tc>
          <w:tcPr>
            <w:tcW w:w="864" w:type="dxa"/>
            <w:tcBorders>
              <w:top w:val="nil"/>
              <w:left w:val="nil"/>
              <w:bottom w:val="single" w:sz="12" w:space="0" w:color="auto"/>
              <w:right w:val="nil"/>
            </w:tcBorders>
            <w:shd w:val="clear" w:color="auto" w:fill="auto"/>
            <w:noWrap/>
            <w:vAlign w:val="bottom"/>
            <w:hideMark/>
          </w:tcPr>
          <w:p w14:paraId="3AFB8F01" w14:textId="77777777" w:rsidR="006C7F97" w:rsidRDefault="006C7F97">
            <w:pPr>
              <w:jc w:val="right"/>
              <w:rPr>
                <w:color w:val="000000"/>
                <w:sz w:val="20"/>
                <w:szCs w:val="20"/>
              </w:rPr>
            </w:pPr>
            <w:r>
              <w:rPr>
                <w:color w:val="000000"/>
                <w:sz w:val="20"/>
                <w:szCs w:val="20"/>
              </w:rPr>
              <w:t>0.224</w:t>
            </w:r>
          </w:p>
        </w:tc>
        <w:tc>
          <w:tcPr>
            <w:tcW w:w="864" w:type="dxa"/>
            <w:tcBorders>
              <w:top w:val="nil"/>
              <w:left w:val="nil"/>
              <w:bottom w:val="single" w:sz="12" w:space="0" w:color="auto"/>
              <w:right w:val="nil"/>
            </w:tcBorders>
            <w:shd w:val="clear" w:color="auto" w:fill="auto"/>
            <w:noWrap/>
            <w:vAlign w:val="bottom"/>
            <w:hideMark/>
          </w:tcPr>
          <w:p w14:paraId="5FA9DD79" w14:textId="77777777" w:rsidR="006C7F97" w:rsidRDefault="006C7F97">
            <w:pPr>
              <w:jc w:val="right"/>
              <w:rPr>
                <w:color w:val="000000"/>
                <w:sz w:val="20"/>
                <w:szCs w:val="20"/>
              </w:rPr>
            </w:pPr>
            <w:r>
              <w:rPr>
                <w:color w:val="000000"/>
                <w:sz w:val="20"/>
                <w:szCs w:val="20"/>
              </w:rPr>
              <w:t>0.003</w:t>
            </w:r>
          </w:p>
        </w:tc>
      </w:tr>
      <w:tr w:rsidR="006C7F97" w14:paraId="1952C26F"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76D9F068" w14:textId="77777777" w:rsidR="006C7F97" w:rsidRDefault="006C7F97">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21E8C0D1" w14:textId="77777777" w:rsidR="006C7F97" w:rsidRDefault="006C7F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7939CF4A" w14:textId="77777777" w:rsidR="006C7F97" w:rsidRDefault="006C7F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9D24105" w14:textId="77777777" w:rsidR="006C7F97" w:rsidRDefault="006C7F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52152F76" w14:textId="77777777" w:rsidR="006C7F97" w:rsidRDefault="006C7F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11CAA91F" w14:textId="77777777" w:rsidR="006C7F97" w:rsidRDefault="006C7F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6C6C947" w14:textId="77777777" w:rsidR="006C7F97" w:rsidRDefault="006C7F97">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324796B" w14:textId="77777777" w:rsidR="006C7F97" w:rsidRDefault="006C7F97">
            <w:pPr>
              <w:rPr>
                <w:sz w:val="20"/>
                <w:szCs w:val="20"/>
              </w:rPr>
            </w:pPr>
          </w:p>
        </w:tc>
      </w:tr>
    </w:tbl>
    <w:p w14:paraId="187DC160" w14:textId="4304AA13" w:rsidR="00EB36E7" w:rsidRDefault="00EB36E7" w:rsidP="0047742A">
      <w:pPr>
        <w:rPr>
          <w:rFonts w:ascii="Batang" w:eastAsia="Batang" w:hAnsi="Batang" w:cs="Batang"/>
          <w:color w:val="000000"/>
        </w:rPr>
      </w:pPr>
    </w:p>
    <w:p w14:paraId="24FD66F5" w14:textId="77777777" w:rsidR="00EB36E7" w:rsidRDefault="00EB36E7">
      <w:pPr>
        <w:rPr>
          <w:rFonts w:ascii="Batang" w:eastAsia="Batang" w:hAnsi="Batang" w:cs="Batang"/>
          <w:color w:val="000000"/>
        </w:rPr>
      </w:pPr>
      <w:r>
        <w:rPr>
          <w:rFonts w:ascii="Batang" w:eastAsia="Batang" w:hAnsi="Batang" w:cs="Batang"/>
          <w:color w:val="000000"/>
        </w:rPr>
        <w:br w:type="page"/>
      </w:r>
    </w:p>
    <w:p w14:paraId="2863867E" w14:textId="06AF6CD4" w:rsidR="00EB36E7" w:rsidRDefault="00EB36E7" w:rsidP="00EB36E7">
      <w:pPr>
        <w:pStyle w:val="Heading1"/>
        <w:rPr>
          <w:rFonts w:ascii="Times New Roman" w:hAnsi="Times New Roman" w:cs="Times New Roman"/>
          <w:color w:val="000000" w:themeColor="text1"/>
          <w:sz w:val="24"/>
          <w:szCs w:val="24"/>
        </w:rPr>
      </w:pPr>
      <w:bookmarkStart w:id="97" w:name="_Toc155817764"/>
      <w:r w:rsidRPr="00B81CB5">
        <w:rPr>
          <w:rFonts w:ascii="Times New Roman" w:hAnsi="Times New Roman" w:cs="Times New Roman"/>
          <w:b/>
          <w:bCs/>
          <w:color w:val="000000" w:themeColor="text1"/>
          <w:sz w:val="24"/>
          <w:szCs w:val="24"/>
        </w:rPr>
        <w:lastRenderedPageBreak/>
        <w:t>Table</w:t>
      </w:r>
      <w:r w:rsidR="0036523A" w:rsidRPr="00B81CB5">
        <w:rPr>
          <w:rFonts w:ascii="Times New Roman" w:hAnsi="Times New Roman" w:cs="Times New Roman"/>
          <w:b/>
          <w:bCs/>
          <w:color w:val="000000" w:themeColor="text1"/>
          <w:sz w:val="24"/>
          <w:szCs w:val="24"/>
        </w:rPr>
        <w:t xml:space="preserve"> 28</w:t>
      </w:r>
      <w:r w:rsidR="00B81CB5" w:rsidRPr="00B81CB5">
        <w:rPr>
          <w:rFonts w:ascii="Times New Roman" w:hAnsi="Times New Roman" w:cs="Times New Roman"/>
          <w:b/>
          <w:bCs/>
          <w:color w:val="000000" w:themeColor="text1"/>
          <w:sz w:val="24"/>
          <w:szCs w:val="24"/>
        </w:rPr>
        <w:t>q</w:t>
      </w:r>
      <w:r w:rsidRPr="00B81CB5">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Results examining the relationship between Shen-268 network </w:t>
      </w:r>
      <w:r w:rsidR="00DF42D0">
        <w:rPr>
          <w:rFonts w:ascii="Times New Roman" w:hAnsi="Times New Roman" w:cs="Times New Roman"/>
          <w:color w:val="000000" w:themeColor="text1"/>
          <w:sz w:val="24"/>
          <w:szCs w:val="24"/>
        </w:rPr>
        <w:t>local efficiency</w:t>
      </w:r>
      <w:r>
        <w:rPr>
          <w:rFonts w:ascii="Times New Roman" w:hAnsi="Times New Roman" w:cs="Times New Roman"/>
          <w:color w:val="000000" w:themeColor="text1"/>
          <w:sz w:val="24"/>
          <w:szCs w:val="24"/>
        </w:rPr>
        <w:t xml:space="preserve"> and urbanicity obtained from bifactor modeling and pollution (NO2 level) during stop signal task</w:t>
      </w:r>
      <w:bookmarkEnd w:id="97"/>
    </w:p>
    <w:tbl>
      <w:tblPr>
        <w:tblW w:w="8496" w:type="dxa"/>
        <w:tblLook w:val="04A0" w:firstRow="1" w:lastRow="0" w:firstColumn="1" w:lastColumn="0" w:noHBand="0" w:noVBand="1"/>
      </w:tblPr>
      <w:tblGrid>
        <w:gridCol w:w="1152"/>
        <w:gridCol w:w="2160"/>
        <w:gridCol w:w="864"/>
        <w:gridCol w:w="864"/>
        <w:gridCol w:w="864"/>
        <w:gridCol w:w="864"/>
        <w:gridCol w:w="864"/>
        <w:gridCol w:w="864"/>
      </w:tblGrid>
      <w:tr w:rsidR="00061496" w14:paraId="0AF807DB"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21D94702" w14:textId="77777777" w:rsidR="00061496" w:rsidRDefault="00061496">
            <w:pPr>
              <w:rPr>
                <w:color w:val="000000"/>
              </w:rPr>
            </w:pPr>
            <w:r>
              <w:rPr>
                <w:color w:val="000000"/>
              </w:rPr>
              <w:t> </w:t>
            </w:r>
          </w:p>
        </w:tc>
        <w:tc>
          <w:tcPr>
            <w:tcW w:w="2160" w:type="dxa"/>
            <w:tcBorders>
              <w:top w:val="nil"/>
              <w:left w:val="nil"/>
              <w:bottom w:val="single" w:sz="12" w:space="0" w:color="auto"/>
              <w:right w:val="nil"/>
            </w:tcBorders>
            <w:shd w:val="clear" w:color="auto" w:fill="auto"/>
            <w:noWrap/>
            <w:vAlign w:val="bottom"/>
            <w:hideMark/>
          </w:tcPr>
          <w:p w14:paraId="2785E235" w14:textId="77777777" w:rsidR="00061496" w:rsidRDefault="00061496">
            <w:pPr>
              <w:rPr>
                <w:color w:val="000000"/>
              </w:rPr>
            </w:pPr>
            <w:r>
              <w:rPr>
                <w:color w:val="000000"/>
              </w:rPr>
              <w:t> </w:t>
            </w:r>
          </w:p>
        </w:tc>
        <w:tc>
          <w:tcPr>
            <w:tcW w:w="864" w:type="dxa"/>
            <w:tcBorders>
              <w:top w:val="nil"/>
              <w:left w:val="nil"/>
              <w:bottom w:val="single" w:sz="12" w:space="0" w:color="auto"/>
              <w:right w:val="nil"/>
            </w:tcBorders>
            <w:shd w:val="clear" w:color="auto" w:fill="auto"/>
            <w:noWrap/>
            <w:vAlign w:val="bottom"/>
            <w:hideMark/>
          </w:tcPr>
          <w:p w14:paraId="5643D3DC" w14:textId="77777777" w:rsidR="00061496" w:rsidRDefault="00061496">
            <w:pPr>
              <w:rPr>
                <w:color w:val="000000"/>
              </w:rPr>
            </w:pPr>
          </w:p>
        </w:tc>
        <w:tc>
          <w:tcPr>
            <w:tcW w:w="864" w:type="dxa"/>
            <w:tcBorders>
              <w:top w:val="nil"/>
              <w:left w:val="nil"/>
              <w:bottom w:val="single" w:sz="12" w:space="0" w:color="auto"/>
              <w:right w:val="nil"/>
            </w:tcBorders>
            <w:shd w:val="clear" w:color="auto" w:fill="auto"/>
            <w:noWrap/>
            <w:vAlign w:val="bottom"/>
            <w:hideMark/>
          </w:tcPr>
          <w:p w14:paraId="03237924" w14:textId="77777777" w:rsidR="00061496" w:rsidRDefault="0006149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2EB01DE" w14:textId="77777777" w:rsidR="00061496" w:rsidRDefault="0006149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0CB36670" w14:textId="77777777" w:rsidR="00061496" w:rsidRDefault="00061496">
            <w:pPr>
              <w:rPr>
                <w:sz w:val="20"/>
                <w:szCs w:val="20"/>
              </w:rPr>
            </w:pPr>
          </w:p>
        </w:tc>
        <w:tc>
          <w:tcPr>
            <w:tcW w:w="864" w:type="dxa"/>
            <w:tcBorders>
              <w:top w:val="nil"/>
              <w:left w:val="nil"/>
              <w:bottom w:val="single" w:sz="12" w:space="0" w:color="auto"/>
              <w:right w:val="nil"/>
            </w:tcBorders>
            <w:shd w:val="clear" w:color="auto" w:fill="auto"/>
            <w:noWrap/>
            <w:vAlign w:val="bottom"/>
            <w:hideMark/>
          </w:tcPr>
          <w:p w14:paraId="596D976B" w14:textId="77777777" w:rsidR="00061496" w:rsidRDefault="00061496">
            <w:pPr>
              <w:rPr>
                <w:sz w:val="20"/>
                <w:szCs w:val="20"/>
              </w:rPr>
            </w:pPr>
          </w:p>
        </w:tc>
        <w:tc>
          <w:tcPr>
            <w:tcW w:w="864" w:type="dxa"/>
            <w:tcBorders>
              <w:top w:val="nil"/>
              <w:left w:val="nil"/>
              <w:bottom w:val="nil"/>
              <w:right w:val="nil"/>
            </w:tcBorders>
            <w:shd w:val="clear" w:color="auto" w:fill="auto"/>
            <w:noWrap/>
            <w:vAlign w:val="bottom"/>
            <w:hideMark/>
          </w:tcPr>
          <w:p w14:paraId="5C56DA0D" w14:textId="77777777" w:rsidR="00061496" w:rsidRDefault="00061496">
            <w:pPr>
              <w:rPr>
                <w:sz w:val="20"/>
                <w:szCs w:val="20"/>
              </w:rPr>
            </w:pPr>
          </w:p>
        </w:tc>
      </w:tr>
      <w:tr w:rsidR="00061496" w14:paraId="4B4CC8CA" w14:textId="77777777" w:rsidTr="00F132FA">
        <w:trPr>
          <w:trHeight w:val="340"/>
        </w:trPr>
        <w:tc>
          <w:tcPr>
            <w:tcW w:w="1152" w:type="dxa"/>
            <w:tcBorders>
              <w:top w:val="single" w:sz="12" w:space="0" w:color="auto"/>
              <w:left w:val="nil"/>
              <w:bottom w:val="nil"/>
              <w:right w:val="nil"/>
            </w:tcBorders>
            <w:shd w:val="clear" w:color="auto" w:fill="auto"/>
            <w:noWrap/>
            <w:vAlign w:val="bottom"/>
            <w:hideMark/>
          </w:tcPr>
          <w:p w14:paraId="68521BF2" w14:textId="77777777" w:rsidR="00061496" w:rsidRDefault="00061496">
            <w:pPr>
              <w:rPr>
                <w:sz w:val="20"/>
                <w:szCs w:val="20"/>
              </w:rPr>
            </w:pPr>
          </w:p>
        </w:tc>
        <w:tc>
          <w:tcPr>
            <w:tcW w:w="2160" w:type="dxa"/>
            <w:vMerge w:val="restart"/>
            <w:tcBorders>
              <w:top w:val="single" w:sz="12" w:space="0" w:color="auto"/>
              <w:left w:val="nil"/>
              <w:bottom w:val="single" w:sz="8" w:space="0" w:color="000000"/>
              <w:right w:val="nil"/>
            </w:tcBorders>
            <w:shd w:val="clear" w:color="auto" w:fill="auto"/>
            <w:noWrap/>
            <w:vAlign w:val="center"/>
            <w:hideMark/>
          </w:tcPr>
          <w:p w14:paraId="31070661" w14:textId="77777777" w:rsidR="00061496" w:rsidRDefault="00061496">
            <w:pPr>
              <w:rPr>
                <w:color w:val="000000"/>
                <w:sz w:val="20"/>
                <w:szCs w:val="20"/>
              </w:rPr>
            </w:pPr>
            <w:r>
              <w:rPr>
                <w:color w:val="000000"/>
                <w:sz w:val="20"/>
                <w:szCs w:val="20"/>
              </w:rPr>
              <w:t>Brain network</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758C8D8D" w14:textId="77777777" w:rsidR="00061496" w:rsidRDefault="00061496">
            <w:pPr>
              <w:jc w:val="center"/>
              <w:rPr>
                <w:color w:val="000000"/>
                <w:sz w:val="20"/>
                <w:szCs w:val="20"/>
              </w:rPr>
            </w:pPr>
            <w:r>
              <w:rPr>
                <w:color w:val="000000"/>
                <w:sz w:val="20"/>
                <w:szCs w:val="20"/>
              </w:rPr>
              <w:t>Urbanicity</w:t>
            </w:r>
          </w:p>
        </w:tc>
        <w:tc>
          <w:tcPr>
            <w:tcW w:w="2592" w:type="dxa"/>
            <w:gridSpan w:val="3"/>
            <w:tcBorders>
              <w:top w:val="single" w:sz="12" w:space="0" w:color="auto"/>
              <w:left w:val="nil"/>
              <w:bottom w:val="single" w:sz="12" w:space="0" w:color="auto"/>
              <w:right w:val="nil"/>
            </w:tcBorders>
            <w:shd w:val="clear" w:color="auto" w:fill="auto"/>
            <w:noWrap/>
            <w:vAlign w:val="center"/>
            <w:hideMark/>
          </w:tcPr>
          <w:p w14:paraId="2C1F6404" w14:textId="77777777" w:rsidR="00061496" w:rsidRDefault="00061496">
            <w:pPr>
              <w:jc w:val="center"/>
              <w:rPr>
                <w:color w:val="000000"/>
                <w:sz w:val="20"/>
                <w:szCs w:val="20"/>
              </w:rPr>
            </w:pPr>
            <w:r>
              <w:rPr>
                <w:color w:val="000000"/>
                <w:sz w:val="20"/>
                <w:szCs w:val="20"/>
              </w:rPr>
              <w:t>Pollution (NO2 level)</w:t>
            </w:r>
          </w:p>
        </w:tc>
      </w:tr>
      <w:tr w:rsidR="00061496" w14:paraId="119525CF" w14:textId="77777777" w:rsidTr="00F132FA">
        <w:trPr>
          <w:trHeight w:val="360"/>
        </w:trPr>
        <w:tc>
          <w:tcPr>
            <w:tcW w:w="1152" w:type="dxa"/>
            <w:tcBorders>
              <w:top w:val="nil"/>
              <w:left w:val="nil"/>
              <w:bottom w:val="single" w:sz="12" w:space="0" w:color="auto"/>
              <w:right w:val="nil"/>
            </w:tcBorders>
            <w:shd w:val="clear" w:color="auto" w:fill="auto"/>
            <w:noWrap/>
            <w:vAlign w:val="bottom"/>
            <w:hideMark/>
          </w:tcPr>
          <w:p w14:paraId="5BBFD754" w14:textId="77777777" w:rsidR="00061496" w:rsidRDefault="00061496">
            <w:pPr>
              <w:rPr>
                <w:color w:val="000000"/>
                <w:sz w:val="20"/>
                <w:szCs w:val="20"/>
              </w:rPr>
            </w:pPr>
            <w:r>
              <w:rPr>
                <w:color w:val="000000"/>
                <w:sz w:val="20"/>
                <w:szCs w:val="20"/>
              </w:rPr>
              <w:t> </w:t>
            </w:r>
          </w:p>
        </w:tc>
        <w:tc>
          <w:tcPr>
            <w:tcW w:w="2160" w:type="dxa"/>
            <w:vMerge/>
            <w:tcBorders>
              <w:top w:val="nil"/>
              <w:left w:val="nil"/>
              <w:bottom w:val="single" w:sz="12" w:space="0" w:color="auto"/>
              <w:right w:val="nil"/>
            </w:tcBorders>
            <w:vAlign w:val="center"/>
            <w:hideMark/>
          </w:tcPr>
          <w:p w14:paraId="69B4AB92" w14:textId="77777777" w:rsidR="00061496" w:rsidRDefault="00061496">
            <w:pPr>
              <w:rPr>
                <w:color w:val="000000"/>
                <w:sz w:val="20"/>
                <w:szCs w:val="20"/>
              </w:rPr>
            </w:pPr>
          </w:p>
        </w:tc>
        <w:tc>
          <w:tcPr>
            <w:tcW w:w="864" w:type="dxa"/>
            <w:tcBorders>
              <w:top w:val="single" w:sz="12" w:space="0" w:color="auto"/>
              <w:left w:val="nil"/>
              <w:bottom w:val="single" w:sz="12" w:space="0" w:color="auto"/>
              <w:right w:val="nil"/>
            </w:tcBorders>
            <w:shd w:val="clear" w:color="auto" w:fill="auto"/>
            <w:noWrap/>
            <w:vAlign w:val="center"/>
            <w:hideMark/>
          </w:tcPr>
          <w:p w14:paraId="5326FC1F" w14:textId="77777777" w:rsidR="00061496" w:rsidRDefault="00061496">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19A30350" w14:textId="77777777" w:rsidR="00061496" w:rsidRDefault="0006149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1DC2C392" w14:textId="77777777" w:rsidR="00061496" w:rsidRDefault="00061496">
            <w:pPr>
              <w:jc w:val="center"/>
              <w:rPr>
                <w:i/>
                <w:iCs/>
                <w:color w:val="000000"/>
                <w:sz w:val="20"/>
                <w:szCs w:val="20"/>
              </w:rPr>
            </w:pPr>
            <w:r>
              <w:rPr>
                <w:i/>
                <w:iCs/>
                <w:color w:val="000000"/>
                <w:sz w:val="20"/>
                <w:szCs w:val="20"/>
              </w:rPr>
              <w:t>R2</w:t>
            </w:r>
          </w:p>
        </w:tc>
        <w:tc>
          <w:tcPr>
            <w:tcW w:w="864" w:type="dxa"/>
            <w:tcBorders>
              <w:top w:val="single" w:sz="12" w:space="0" w:color="auto"/>
              <w:left w:val="nil"/>
              <w:bottom w:val="single" w:sz="12" w:space="0" w:color="auto"/>
              <w:right w:val="nil"/>
            </w:tcBorders>
            <w:shd w:val="clear" w:color="auto" w:fill="auto"/>
            <w:noWrap/>
            <w:vAlign w:val="center"/>
            <w:hideMark/>
          </w:tcPr>
          <w:p w14:paraId="53D571A8" w14:textId="77777777" w:rsidR="00061496" w:rsidRDefault="00061496">
            <w:pPr>
              <w:jc w:val="center"/>
              <w:rPr>
                <w:i/>
                <w:iCs/>
                <w:color w:val="000000"/>
                <w:sz w:val="20"/>
                <w:szCs w:val="20"/>
              </w:rPr>
            </w:pPr>
            <w:r>
              <w:rPr>
                <w:i/>
                <w:iCs/>
                <w:color w:val="000000"/>
                <w:sz w:val="20"/>
                <w:szCs w:val="20"/>
              </w:rPr>
              <w:t>β</w:t>
            </w:r>
          </w:p>
        </w:tc>
        <w:tc>
          <w:tcPr>
            <w:tcW w:w="864" w:type="dxa"/>
            <w:tcBorders>
              <w:top w:val="single" w:sz="12" w:space="0" w:color="auto"/>
              <w:left w:val="nil"/>
              <w:bottom w:val="single" w:sz="12" w:space="0" w:color="auto"/>
              <w:right w:val="nil"/>
            </w:tcBorders>
            <w:shd w:val="clear" w:color="auto" w:fill="auto"/>
            <w:noWrap/>
            <w:vAlign w:val="center"/>
            <w:hideMark/>
          </w:tcPr>
          <w:p w14:paraId="3E762E05" w14:textId="77777777" w:rsidR="00061496" w:rsidRDefault="00061496">
            <w:pPr>
              <w:jc w:val="center"/>
              <w:rPr>
                <w:i/>
                <w:iCs/>
                <w:color w:val="000000"/>
                <w:sz w:val="20"/>
                <w:szCs w:val="20"/>
              </w:rPr>
            </w:pPr>
            <w:r>
              <w:rPr>
                <w:i/>
                <w:iCs/>
                <w:color w:val="000000"/>
                <w:sz w:val="20"/>
                <w:szCs w:val="20"/>
              </w:rPr>
              <w:t>p</w:t>
            </w:r>
            <w:r>
              <w:rPr>
                <w:i/>
                <w:iCs/>
                <w:color w:val="000000"/>
                <w:sz w:val="20"/>
                <w:szCs w:val="20"/>
                <w:vertAlign w:val="subscript"/>
              </w:rPr>
              <w:t>fdr</w:t>
            </w:r>
          </w:p>
        </w:tc>
        <w:tc>
          <w:tcPr>
            <w:tcW w:w="864" w:type="dxa"/>
            <w:tcBorders>
              <w:top w:val="single" w:sz="12" w:space="0" w:color="auto"/>
              <w:left w:val="nil"/>
              <w:bottom w:val="single" w:sz="12" w:space="0" w:color="auto"/>
              <w:right w:val="nil"/>
            </w:tcBorders>
            <w:shd w:val="clear" w:color="auto" w:fill="auto"/>
            <w:noWrap/>
            <w:vAlign w:val="center"/>
            <w:hideMark/>
          </w:tcPr>
          <w:p w14:paraId="56D0568C" w14:textId="77777777" w:rsidR="00061496" w:rsidRDefault="00061496">
            <w:pPr>
              <w:jc w:val="center"/>
              <w:rPr>
                <w:i/>
                <w:iCs/>
                <w:color w:val="000000"/>
                <w:sz w:val="20"/>
                <w:szCs w:val="20"/>
              </w:rPr>
            </w:pPr>
            <w:r>
              <w:rPr>
                <w:i/>
                <w:iCs/>
                <w:color w:val="000000"/>
                <w:sz w:val="20"/>
                <w:szCs w:val="20"/>
              </w:rPr>
              <w:t>R2</w:t>
            </w:r>
          </w:p>
        </w:tc>
      </w:tr>
      <w:tr w:rsidR="00061496" w14:paraId="764AAE36"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21D82DB9" w14:textId="77777777" w:rsidR="00061496" w:rsidRDefault="00061496">
            <w:pPr>
              <w:rPr>
                <w:color w:val="000000"/>
                <w:sz w:val="20"/>
                <w:szCs w:val="20"/>
              </w:rPr>
            </w:pPr>
            <w:r>
              <w:rPr>
                <w:color w:val="000000"/>
                <w:sz w:val="20"/>
                <w:szCs w:val="20"/>
              </w:rPr>
              <w:t>Threshold 10%</w:t>
            </w:r>
          </w:p>
        </w:tc>
        <w:tc>
          <w:tcPr>
            <w:tcW w:w="2160" w:type="dxa"/>
            <w:tcBorders>
              <w:top w:val="single" w:sz="12" w:space="0" w:color="auto"/>
              <w:left w:val="nil"/>
              <w:bottom w:val="nil"/>
              <w:right w:val="nil"/>
            </w:tcBorders>
            <w:shd w:val="clear" w:color="auto" w:fill="auto"/>
            <w:noWrap/>
            <w:vAlign w:val="center"/>
            <w:hideMark/>
          </w:tcPr>
          <w:p w14:paraId="7D5EDC88" w14:textId="77777777" w:rsidR="00061496" w:rsidRDefault="00061496">
            <w:pPr>
              <w:rPr>
                <w:color w:val="000000"/>
                <w:sz w:val="20"/>
                <w:szCs w:val="20"/>
              </w:rPr>
            </w:pPr>
            <w:r>
              <w:rPr>
                <w:color w:val="000000"/>
                <w:sz w:val="20"/>
                <w:szCs w:val="20"/>
              </w:rPr>
              <w:t>Subcortical Cerebellar</w:t>
            </w:r>
          </w:p>
        </w:tc>
        <w:tc>
          <w:tcPr>
            <w:tcW w:w="864" w:type="dxa"/>
            <w:tcBorders>
              <w:top w:val="single" w:sz="12" w:space="0" w:color="auto"/>
              <w:left w:val="nil"/>
              <w:bottom w:val="nil"/>
              <w:right w:val="nil"/>
            </w:tcBorders>
            <w:shd w:val="clear" w:color="auto" w:fill="auto"/>
            <w:noWrap/>
            <w:vAlign w:val="bottom"/>
            <w:hideMark/>
          </w:tcPr>
          <w:p w14:paraId="3B3F54CD" w14:textId="77777777" w:rsidR="00061496" w:rsidRDefault="00061496">
            <w:pPr>
              <w:jc w:val="right"/>
              <w:rPr>
                <w:color w:val="000000"/>
                <w:sz w:val="20"/>
                <w:szCs w:val="20"/>
              </w:rPr>
            </w:pPr>
            <w:r>
              <w:rPr>
                <w:color w:val="000000"/>
                <w:sz w:val="20"/>
                <w:szCs w:val="20"/>
              </w:rPr>
              <w:t>0.022</w:t>
            </w:r>
          </w:p>
        </w:tc>
        <w:tc>
          <w:tcPr>
            <w:tcW w:w="864" w:type="dxa"/>
            <w:tcBorders>
              <w:top w:val="single" w:sz="12" w:space="0" w:color="auto"/>
              <w:left w:val="nil"/>
              <w:bottom w:val="nil"/>
              <w:right w:val="nil"/>
            </w:tcBorders>
            <w:shd w:val="clear" w:color="auto" w:fill="auto"/>
            <w:noWrap/>
            <w:vAlign w:val="bottom"/>
            <w:hideMark/>
          </w:tcPr>
          <w:p w14:paraId="07A51F02" w14:textId="77777777" w:rsidR="00061496" w:rsidRDefault="00061496">
            <w:pPr>
              <w:jc w:val="right"/>
              <w:rPr>
                <w:color w:val="000000"/>
                <w:sz w:val="20"/>
                <w:szCs w:val="20"/>
              </w:rPr>
            </w:pPr>
            <w:r>
              <w:rPr>
                <w:color w:val="000000"/>
                <w:sz w:val="20"/>
                <w:szCs w:val="20"/>
              </w:rPr>
              <w:t>0.942</w:t>
            </w:r>
          </w:p>
        </w:tc>
        <w:tc>
          <w:tcPr>
            <w:tcW w:w="864" w:type="dxa"/>
            <w:tcBorders>
              <w:top w:val="single" w:sz="12" w:space="0" w:color="auto"/>
              <w:left w:val="nil"/>
              <w:bottom w:val="nil"/>
              <w:right w:val="nil"/>
            </w:tcBorders>
            <w:shd w:val="clear" w:color="auto" w:fill="auto"/>
            <w:noWrap/>
            <w:vAlign w:val="bottom"/>
            <w:hideMark/>
          </w:tcPr>
          <w:p w14:paraId="64A33DBB" w14:textId="77777777" w:rsidR="00061496" w:rsidRDefault="00061496">
            <w:pPr>
              <w:jc w:val="right"/>
              <w:rPr>
                <w:color w:val="000000"/>
                <w:sz w:val="20"/>
                <w:szCs w:val="20"/>
              </w:rPr>
            </w:pPr>
            <w:r>
              <w:rPr>
                <w:color w:val="000000"/>
                <w:sz w:val="20"/>
                <w:szCs w:val="20"/>
              </w:rPr>
              <w:t>0.000</w:t>
            </w:r>
          </w:p>
        </w:tc>
        <w:tc>
          <w:tcPr>
            <w:tcW w:w="864" w:type="dxa"/>
            <w:tcBorders>
              <w:top w:val="single" w:sz="12" w:space="0" w:color="auto"/>
              <w:left w:val="nil"/>
              <w:bottom w:val="nil"/>
              <w:right w:val="nil"/>
            </w:tcBorders>
            <w:shd w:val="clear" w:color="auto" w:fill="auto"/>
            <w:noWrap/>
            <w:vAlign w:val="bottom"/>
            <w:hideMark/>
          </w:tcPr>
          <w:p w14:paraId="65841D00" w14:textId="77777777" w:rsidR="00061496" w:rsidRDefault="00061496">
            <w:pPr>
              <w:jc w:val="right"/>
              <w:rPr>
                <w:color w:val="000000"/>
                <w:sz w:val="20"/>
                <w:szCs w:val="20"/>
              </w:rPr>
            </w:pPr>
            <w:r>
              <w:rPr>
                <w:color w:val="000000"/>
                <w:sz w:val="20"/>
                <w:szCs w:val="20"/>
              </w:rPr>
              <w:t>0.018</w:t>
            </w:r>
          </w:p>
        </w:tc>
        <w:tc>
          <w:tcPr>
            <w:tcW w:w="864" w:type="dxa"/>
            <w:tcBorders>
              <w:top w:val="single" w:sz="12" w:space="0" w:color="auto"/>
              <w:left w:val="nil"/>
              <w:bottom w:val="nil"/>
              <w:right w:val="nil"/>
            </w:tcBorders>
            <w:shd w:val="clear" w:color="auto" w:fill="auto"/>
            <w:noWrap/>
            <w:vAlign w:val="bottom"/>
            <w:hideMark/>
          </w:tcPr>
          <w:p w14:paraId="185982B0" w14:textId="77777777" w:rsidR="00061496" w:rsidRDefault="00061496">
            <w:pPr>
              <w:jc w:val="right"/>
              <w:rPr>
                <w:color w:val="000000"/>
                <w:sz w:val="20"/>
                <w:szCs w:val="20"/>
              </w:rPr>
            </w:pPr>
            <w:r>
              <w:rPr>
                <w:color w:val="000000"/>
                <w:sz w:val="20"/>
                <w:szCs w:val="20"/>
              </w:rPr>
              <w:t>0.723</w:t>
            </w:r>
          </w:p>
        </w:tc>
        <w:tc>
          <w:tcPr>
            <w:tcW w:w="864" w:type="dxa"/>
            <w:tcBorders>
              <w:top w:val="single" w:sz="12" w:space="0" w:color="auto"/>
              <w:left w:val="nil"/>
              <w:bottom w:val="nil"/>
              <w:right w:val="nil"/>
            </w:tcBorders>
            <w:shd w:val="clear" w:color="auto" w:fill="auto"/>
            <w:noWrap/>
            <w:vAlign w:val="bottom"/>
            <w:hideMark/>
          </w:tcPr>
          <w:p w14:paraId="3CF74CD0" w14:textId="77777777" w:rsidR="00061496" w:rsidRDefault="00061496">
            <w:pPr>
              <w:jc w:val="right"/>
              <w:rPr>
                <w:color w:val="000000"/>
                <w:sz w:val="20"/>
                <w:szCs w:val="20"/>
              </w:rPr>
            </w:pPr>
            <w:r>
              <w:rPr>
                <w:color w:val="000000"/>
                <w:sz w:val="20"/>
                <w:szCs w:val="20"/>
              </w:rPr>
              <w:t>0.000</w:t>
            </w:r>
          </w:p>
        </w:tc>
      </w:tr>
      <w:tr w:rsidR="00061496" w14:paraId="6AF28E2F" w14:textId="77777777" w:rsidTr="00061496">
        <w:trPr>
          <w:trHeight w:val="340"/>
        </w:trPr>
        <w:tc>
          <w:tcPr>
            <w:tcW w:w="1152" w:type="dxa"/>
            <w:tcBorders>
              <w:top w:val="nil"/>
              <w:left w:val="nil"/>
              <w:bottom w:val="nil"/>
              <w:right w:val="nil"/>
            </w:tcBorders>
            <w:shd w:val="clear" w:color="auto" w:fill="auto"/>
            <w:noWrap/>
            <w:vAlign w:val="bottom"/>
            <w:hideMark/>
          </w:tcPr>
          <w:p w14:paraId="2A0A47FA"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7780D1F" w14:textId="77777777" w:rsidR="00061496" w:rsidRDefault="0006149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039C4D29" w14:textId="77777777" w:rsidR="00061496" w:rsidRDefault="00061496">
            <w:pPr>
              <w:jc w:val="right"/>
              <w:rPr>
                <w:color w:val="000000"/>
                <w:sz w:val="20"/>
                <w:szCs w:val="20"/>
              </w:rPr>
            </w:pPr>
            <w:r>
              <w:rPr>
                <w:color w:val="000000"/>
                <w:sz w:val="20"/>
                <w:szCs w:val="20"/>
              </w:rPr>
              <w:t>-0.079</w:t>
            </w:r>
          </w:p>
        </w:tc>
        <w:tc>
          <w:tcPr>
            <w:tcW w:w="864" w:type="dxa"/>
            <w:tcBorders>
              <w:top w:val="nil"/>
              <w:left w:val="nil"/>
              <w:bottom w:val="nil"/>
              <w:right w:val="nil"/>
            </w:tcBorders>
            <w:shd w:val="clear" w:color="auto" w:fill="auto"/>
            <w:noWrap/>
            <w:vAlign w:val="bottom"/>
            <w:hideMark/>
          </w:tcPr>
          <w:p w14:paraId="1E48CAC7" w14:textId="77777777" w:rsidR="00061496" w:rsidRDefault="00061496">
            <w:pPr>
              <w:jc w:val="right"/>
              <w:rPr>
                <w:color w:val="000000"/>
                <w:sz w:val="20"/>
                <w:szCs w:val="20"/>
              </w:rPr>
            </w:pPr>
            <w:r>
              <w:rPr>
                <w:color w:val="000000"/>
                <w:sz w:val="20"/>
                <w:szCs w:val="20"/>
              </w:rPr>
              <w:t>0.219</w:t>
            </w:r>
          </w:p>
        </w:tc>
        <w:tc>
          <w:tcPr>
            <w:tcW w:w="864" w:type="dxa"/>
            <w:tcBorders>
              <w:top w:val="nil"/>
              <w:left w:val="nil"/>
              <w:bottom w:val="nil"/>
              <w:right w:val="nil"/>
            </w:tcBorders>
            <w:shd w:val="clear" w:color="auto" w:fill="auto"/>
            <w:noWrap/>
            <w:vAlign w:val="bottom"/>
            <w:hideMark/>
          </w:tcPr>
          <w:p w14:paraId="69980690" w14:textId="77777777" w:rsidR="00061496" w:rsidRDefault="0006149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0840AD17" w14:textId="77777777" w:rsidR="00061496" w:rsidRDefault="00061496">
            <w:pPr>
              <w:jc w:val="right"/>
              <w:rPr>
                <w:color w:val="000000"/>
                <w:sz w:val="20"/>
                <w:szCs w:val="20"/>
              </w:rPr>
            </w:pPr>
            <w:r>
              <w:rPr>
                <w:color w:val="000000"/>
                <w:sz w:val="20"/>
                <w:szCs w:val="20"/>
              </w:rPr>
              <w:t>-0.084</w:t>
            </w:r>
          </w:p>
        </w:tc>
        <w:tc>
          <w:tcPr>
            <w:tcW w:w="864" w:type="dxa"/>
            <w:tcBorders>
              <w:top w:val="nil"/>
              <w:left w:val="nil"/>
              <w:bottom w:val="nil"/>
              <w:right w:val="nil"/>
            </w:tcBorders>
            <w:shd w:val="clear" w:color="auto" w:fill="auto"/>
            <w:noWrap/>
            <w:vAlign w:val="bottom"/>
            <w:hideMark/>
          </w:tcPr>
          <w:p w14:paraId="343CF89D" w14:textId="77777777" w:rsidR="00061496" w:rsidRDefault="00061496">
            <w:pPr>
              <w:jc w:val="right"/>
              <w:rPr>
                <w:color w:val="000000"/>
                <w:sz w:val="20"/>
                <w:szCs w:val="20"/>
              </w:rPr>
            </w:pPr>
            <w:r>
              <w:rPr>
                <w:color w:val="000000"/>
                <w:sz w:val="20"/>
                <w:szCs w:val="20"/>
              </w:rPr>
              <w:t>0.188</w:t>
            </w:r>
          </w:p>
        </w:tc>
        <w:tc>
          <w:tcPr>
            <w:tcW w:w="864" w:type="dxa"/>
            <w:tcBorders>
              <w:top w:val="nil"/>
              <w:left w:val="nil"/>
              <w:bottom w:val="nil"/>
              <w:right w:val="nil"/>
            </w:tcBorders>
            <w:shd w:val="clear" w:color="auto" w:fill="auto"/>
            <w:noWrap/>
            <w:vAlign w:val="bottom"/>
            <w:hideMark/>
          </w:tcPr>
          <w:p w14:paraId="221A6DC9" w14:textId="77777777" w:rsidR="00061496" w:rsidRDefault="00061496">
            <w:pPr>
              <w:jc w:val="right"/>
              <w:rPr>
                <w:color w:val="000000"/>
                <w:sz w:val="20"/>
                <w:szCs w:val="20"/>
              </w:rPr>
            </w:pPr>
            <w:r>
              <w:rPr>
                <w:color w:val="000000"/>
                <w:sz w:val="20"/>
                <w:szCs w:val="20"/>
              </w:rPr>
              <w:t>0.007</w:t>
            </w:r>
          </w:p>
        </w:tc>
      </w:tr>
      <w:tr w:rsidR="00061496" w14:paraId="7EFCC714" w14:textId="77777777" w:rsidTr="00061496">
        <w:trPr>
          <w:trHeight w:val="320"/>
        </w:trPr>
        <w:tc>
          <w:tcPr>
            <w:tcW w:w="1152" w:type="dxa"/>
            <w:tcBorders>
              <w:top w:val="nil"/>
              <w:left w:val="nil"/>
              <w:bottom w:val="nil"/>
              <w:right w:val="nil"/>
            </w:tcBorders>
            <w:shd w:val="clear" w:color="auto" w:fill="auto"/>
            <w:noWrap/>
            <w:vAlign w:val="bottom"/>
            <w:hideMark/>
          </w:tcPr>
          <w:p w14:paraId="76459CED"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7A23A0A" w14:textId="77777777" w:rsidR="00061496" w:rsidRDefault="0006149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55997AE8" w14:textId="77777777" w:rsidR="00061496" w:rsidRDefault="00061496">
            <w:pPr>
              <w:jc w:val="right"/>
              <w:rPr>
                <w:color w:val="000000"/>
                <w:sz w:val="20"/>
                <w:szCs w:val="20"/>
              </w:rPr>
            </w:pPr>
            <w:r>
              <w:rPr>
                <w:color w:val="000000"/>
                <w:sz w:val="20"/>
                <w:szCs w:val="20"/>
              </w:rPr>
              <w:t>-0.024</w:t>
            </w:r>
          </w:p>
        </w:tc>
        <w:tc>
          <w:tcPr>
            <w:tcW w:w="864" w:type="dxa"/>
            <w:tcBorders>
              <w:top w:val="nil"/>
              <w:left w:val="nil"/>
              <w:bottom w:val="nil"/>
              <w:right w:val="nil"/>
            </w:tcBorders>
            <w:shd w:val="clear" w:color="auto" w:fill="auto"/>
            <w:noWrap/>
            <w:vAlign w:val="bottom"/>
            <w:hideMark/>
          </w:tcPr>
          <w:p w14:paraId="7C0CF7FC" w14:textId="77777777" w:rsidR="00061496" w:rsidRDefault="00061496">
            <w:pPr>
              <w:jc w:val="right"/>
              <w:rPr>
                <w:color w:val="000000"/>
                <w:sz w:val="20"/>
                <w:szCs w:val="20"/>
              </w:rPr>
            </w:pPr>
            <w:r>
              <w:rPr>
                <w:color w:val="000000"/>
                <w:sz w:val="20"/>
                <w:szCs w:val="20"/>
              </w:rPr>
              <w:t>0.960</w:t>
            </w:r>
          </w:p>
        </w:tc>
        <w:tc>
          <w:tcPr>
            <w:tcW w:w="864" w:type="dxa"/>
            <w:tcBorders>
              <w:top w:val="nil"/>
              <w:left w:val="nil"/>
              <w:bottom w:val="nil"/>
              <w:right w:val="nil"/>
            </w:tcBorders>
            <w:shd w:val="clear" w:color="auto" w:fill="auto"/>
            <w:noWrap/>
            <w:vAlign w:val="bottom"/>
            <w:hideMark/>
          </w:tcPr>
          <w:p w14:paraId="1892795B"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64666CF" w14:textId="77777777" w:rsidR="00061496" w:rsidRDefault="00061496">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15E2E95F" w14:textId="77777777" w:rsidR="00061496" w:rsidRDefault="00061496">
            <w:pPr>
              <w:jc w:val="right"/>
              <w:rPr>
                <w:color w:val="000000"/>
                <w:sz w:val="20"/>
                <w:szCs w:val="20"/>
              </w:rPr>
            </w:pPr>
            <w:r>
              <w:rPr>
                <w:color w:val="000000"/>
                <w:sz w:val="20"/>
                <w:szCs w:val="20"/>
              </w:rPr>
              <w:t>0.701</w:t>
            </w:r>
          </w:p>
        </w:tc>
        <w:tc>
          <w:tcPr>
            <w:tcW w:w="864" w:type="dxa"/>
            <w:tcBorders>
              <w:top w:val="nil"/>
              <w:left w:val="nil"/>
              <w:bottom w:val="nil"/>
              <w:right w:val="nil"/>
            </w:tcBorders>
            <w:shd w:val="clear" w:color="auto" w:fill="auto"/>
            <w:noWrap/>
            <w:vAlign w:val="bottom"/>
            <w:hideMark/>
          </w:tcPr>
          <w:p w14:paraId="3D1F90A4" w14:textId="77777777" w:rsidR="00061496" w:rsidRDefault="00061496">
            <w:pPr>
              <w:jc w:val="right"/>
              <w:rPr>
                <w:color w:val="000000"/>
                <w:sz w:val="20"/>
                <w:szCs w:val="20"/>
              </w:rPr>
            </w:pPr>
            <w:r>
              <w:rPr>
                <w:color w:val="000000"/>
                <w:sz w:val="20"/>
                <w:szCs w:val="20"/>
              </w:rPr>
              <w:t>0.002</w:t>
            </w:r>
          </w:p>
        </w:tc>
      </w:tr>
      <w:tr w:rsidR="00061496" w14:paraId="11EF7A11" w14:textId="77777777" w:rsidTr="00061496">
        <w:trPr>
          <w:trHeight w:val="320"/>
        </w:trPr>
        <w:tc>
          <w:tcPr>
            <w:tcW w:w="1152" w:type="dxa"/>
            <w:tcBorders>
              <w:top w:val="nil"/>
              <w:left w:val="nil"/>
              <w:bottom w:val="nil"/>
              <w:right w:val="nil"/>
            </w:tcBorders>
            <w:shd w:val="clear" w:color="auto" w:fill="auto"/>
            <w:noWrap/>
            <w:vAlign w:val="bottom"/>
            <w:hideMark/>
          </w:tcPr>
          <w:p w14:paraId="426E52DC"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D6DA0DC" w14:textId="77777777" w:rsidR="00061496" w:rsidRDefault="0006149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11C0D0B8" w14:textId="77777777" w:rsidR="00061496" w:rsidRDefault="00061496">
            <w:pPr>
              <w:jc w:val="right"/>
              <w:rPr>
                <w:color w:val="000000"/>
                <w:sz w:val="20"/>
                <w:szCs w:val="20"/>
              </w:rPr>
            </w:pPr>
            <w:r>
              <w:rPr>
                <w:color w:val="000000"/>
                <w:sz w:val="20"/>
                <w:szCs w:val="20"/>
              </w:rPr>
              <w:t>-0.161</w:t>
            </w:r>
          </w:p>
        </w:tc>
        <w:tc>
          <w:tcPr>
            <w:tcW w:w="864" w:type="dxa"/>
            <w:tcBorders>
              <w:top w:val="nil"/>
              <w:left w:val="nil"/>
              <w:bottom w:val="nil"/>
              <w:right w:val="nil"/>
            </w:tcBorders>
            <w:shd w:val="clear" w:color="auto" w:fill="auto"/>
            <w:noWrap/>
            <w:vAlign w:val="bottom"/>
            <w:hideMark/>
          </w:tcPr>
          <w:p w14:paraId="2D13F08C" w14:textId="77777777" w:rsidR="00061496" w:rsidRDefault="00061496">
            <w:pPr>
              <w:jc w:val="right"/>
              <w:rPr>
                <w:color w:val="000000"/>
                <w:sz w:val="20"/>
                <w:szCs w:val="20"/>
              </w:rPr>
            </w:pPr>
            <w:r>
              <w:rPr>
                <w:color w:val="000000"/>
                <w:sz w:val="20"/>
                <w:szCs w:val="20"/>
              </w:rPr>
              <w:t>0.219</w:t>
            </w:r>
          </w:p>
        </w:tc>
        <w:tc>
          <w:tcPr>
            <w:tcW w:w="864" w:type="dxa"/>
            <w:tcBorders>
              <w:top w:val="nil"/>
              <w:left w:val="nil"/>
              <w:bottom w:val="nil"/>
              <w:right w:val="nil"/>
            </w:tcBorders>
            <w:shd w:val="clear" w:color="auto" w:fill="auto"/>
            <w:noWrap/>
            <w:vAlign w:val="bottom"/>
            <w:hideMark/>
          </w:tcPr>
          <w:p w14:paraId="70FFEC32" w14:textId="77777777" w:rsidR="00061496" w:rsidRDefault="00061496">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251522FE" w14:textId="77777777" w:rsidR="00061496" w:rsidRDefault="00061496">
            <w:pPr>
              <w:jc w:val="right"/>
              <w:rPr>
                <w:color w:val="000000"/>
                <w:sz w:val="20"/>
                <w:szCs w:val="20"/>
              </w:rPr>
            </w:pPr>
            <w:r>
              <w:rPr>
                <w:color w:val="000000"/>
                <w:sz w:val="20"/>
                <w:szCs w:val="20"/>
              </w:rPr>
              <w:t>-0.198</w:t>
            </w:r>
          </w:p>
        </w:tc>
        <w:tc>
          <w:tcPr>
            <w:tcW w:w="864" w:type="dxa"/>
            <w:tcBorders>
              <w:top w:val="nil"/>
              <w:left w:val="nil"/>
              <w:bottom w:val="nil"/>
              <w:right w:val="nil"/>
            </w:tcBorders>
            <w:shd w:val="clear" w:color="auto" w:fill="auto"/>
            <w:noWrap/>
            <w:vAlign w:val="bottom"/>
            <w:hideMark/>
          </w:tcPr>
          <w:p w14:paraId="36EC223F" w14:textId="77777777" w:rsidR="00061496" w:rsidRDefault="00061496">
            <w:pPr>
              <w:jc w:val="right"/>
              <w:rPr>
                <w:color w:val="000000"/>
                <w:sz w:val="20"/>
                <w:szCs w:val="20"/>
              </w:rPr>
            </w:pPr>
            <w:r>
              <w:rPr>
                <w:color w:val="000000"/>
                <w:sz w:val="20"/>
                <w:szCs w:val="20"/>
              </w:rPr>
              <w:t>0.189</w:t>
            </w:r>
          </w:p>
        </w:tc>
        <w:tc>
          <w:tcPr>
            <w:tcW w:w="864" w:type="dxa"/>
            <w:tcBorders>
              <w:top w:val="nil"/>
              <w:left w:val="nil"/>
              <w:bottom w:val="nil"/>
              <w:right w:val="nil"/>
            </w:tcBorders>
            <w:shd w:val="clear" w:color="auto" w:fill="auto"/>
            <w:noWrap/>
            <w:vAlign w:val="bottom"/>
            <w:hideMark/>
          </w:tcPr>
          <w:p w14:paraId="1BEA98AA" w14:textId="77777777" w:rsidR="00061496" w:rsidRDefault="00061496">
            <w:pPr>
              <w:jc w:val="right"/>
              <w:rPr>
                <w:color w:val="000000"/>
                <w:sz w:val="20"/>
                <w:szCs w:val="20"/>
              </w:rPr>
            </w:pPr>
            <w:r>
              <w:rPr>
                <w:color w:val="000000"/>
                <w:sz w:val="20"/>
                <w:szCs w:val="20"/>
              </w:rPr>
              <w:t>0.039</w:t>
            </w:r>
          </w:p>
        </w:tc>
      </w:tr>
      <w:tr w:rsidR="00061496" w14:paraId="15ABB8FA" w14:textId="77777777" w:rsidTr="00061496">
        <w:trPr>
          <w:trHeight w:val="320"/>
        </w:trPr>
        <w:tc>
          <w:tcPr>
            <w:tcW w:w="1152" w:type="dxa"/>
            <w:tcBorders>
              <w:top w:val="nil"/>
              <w:left w:val="nil"/>
              <w:bottom w:val="nil"/>
              <w:right w:val="nil"/>
            </w:tcBorders>
            <w:shd w:val="clear" w:color="auto" w:fill="auto"/>
            <w:noWrap/>
            <w:vAlign w:val="bottom"/>
            <w:hideMark/>
          </w:tcPr>
          <w:p w14:paraId="2B2A9C85"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CC35297" w14:textId="77777777" w:rsidR="00061496" w:rsidRDefault="0006149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C442E25" w14:textId="77777777" w:rsidR="00061496" w:rsidRDefault="00061496">
            <w:pPr>
              <w:jc w:val="right"/>
              <w:rPr>
                <w:color w:val="000000"/>
                <w:sz w:val="20"/>
                <w:szCs w:val="20"/>
              </w:rPr>
            </w:pPr>
            <w:r>
              <w:rPr>
                <w:color w:val="000000"/>
                <w:sz w:val="20"/>
                <w:szCs w:val="20"/>
              </w:rPr>
              <w:t>-0.116</w:t>
            </w:r>
          </w:p>
        </w:tc>
        <w:tc>
          <w:tcPr>
            <w:tcW w:w="864" w:type="dxa"/>
            <w:tcBorders>
              <w:top w:val="nil"/>
              <w:left w:val="nil"/>
              <w:bottom w:val="nil"/>
              <w:right w:val="nil"/>
            </w:tcBorders>
            <w:shd w:val="clear" w:color="auto" w:fill="auto"/>
            <w:noWrap/>
            <w:vAlign w:val="bottom"/>
            <w:hideMark/>
          </w:tcPr>
          <w:p w14:paraId="2EAAF944" w14:textId="77777777" w:rsidR="00061496" w:rsidRDefault="00061496">
            <w:pPr>
              <w:jc w:val="right"/>
              <w:rPr>
                <w:color w:val="000000"/>
                <w:sz w:val="20"/>
                <w:szCs w:val="20"/>
              </w:rPr>
            </w:pPr>
            <w:r>
              <w:rPr>
                <w:color w:val="000000"/>
                <w:sz w:val="20"/>
                <w:szCs w:val="20"/>
              </w:rPr>
              <w:t>0.219</w:t>
            </w:r>
          </w:p>
        </w:tc>
        <w:tc>
          <w:tcPr>
            <w:tcW w:w="864" w:type="dxa"/>
            <w:tcBorders>
              <w:top w:val="nil"/>
              <w:left w:val="nil"/>
              <w:bottom w:val="nil"/>
              <w:right w:val="nil"/>
            </w:tcBorders>
            <w:shd w:val="clear" w:color="auto" w:fill="auto"/>
            <w:noWrap/>
            <w:vAlign w:val="bottom"/>
            <w:hideMark/>
          </w:tcPr>
          <w:p w14:paraId="7029658A" w14:textId="77777777" w:rsidR="00061496" w:rsidRDefault="00061496">
            <w:pPr>
              <w:jc w:val="right"/>
              <w:rPr>
                <w:color w:val="000000"/>
                <w:sz w:val="20"/>
                <w:szCs w:val="20"/>
              </w:rPr>
            </w:pPr>
            <w:r>
              <w:rPr>
                <w:color w:val="000000"/>
                <w:sz w:val="20"/>
                <w:szCs w:val="20"/>
              </w:rPr>
              <w:t>0.013</w:t>
            </w:r>
          </w:p>
        </w:tc>
        <w:tc>
          <w:tcPr>
            <w:tcW w:w="864" w:type="dxa"/>
            <w:tcBorders>
              <w:top w:val="nil"/>
              <w:left w:val="nil"/>
              <w:bottom w:val="nil"/>
              <w:right w:val="nil"/>
            </w:tcBorders>
            <w:shd w:val="clear" w:color="auto" w:fill="auto"/>
            <w:noWrap/>
            <w:vAlign w:val="bottom"/>
            <w:hideMark/>
          </w:tcPr>
          <w:p w14:paraId="7F29560A" w14:textId="77777777" w:rsidR="00061496" w:rsidRDefault="00061496">
            <w:pPr>
              <w:jc w:val="right"/>
              <w:rPr>
                <w:color w:val="000000"/>
                <w:sz w:val="20"/>
                <w:szCs w:val="20"/>
              </w:rPr>
            </w:pPr>
            <w:r>
              <w:rPr>
                <w:color w:val="000000"/>
                <w:sz w:val="20"/>
                <w:szCs w:val="20"/>
              </w:rPr>
              <w:t>-0.130</w:t>
            </w:r>
          </w:p>
        </w:tc>
        <w:tc>
          <w:tcPr>
            <w:tcW w:w="864" w:type="dxa"/>
            <w:tcBorders>
              <w:top w:val="nil"/>
              <w:left w:val="nil"/>
              <w:bottom w:val="nil"/>
              <w:right w:val="nil"/>
            </w:tcBorders>
            <w:shd w:val="clear" w:color="auto" w:fill="auto"/>
            <w:noWrap/>
            <w:vAlign w:val="bottom"/>
            <w:hideMark/>
          </w:tcPr>
          <w:p w14:paraId="6FD6C806" w14:textId="77777777" w:rsidR="00061496" w:rsidRDefault="00061496">
            <w:pPr>
              <w:jc w:val="right"/>
              <w:rPr>
                <w:color w:val="000000"/>
                <w:sz w:val="20"/>
                <w:szCs w:val="20"/>
              </w:rPr>
            </w:pPr>
            <w:r>
              <w:rPr>
                <w:color w:val="000000"/>
                <w:sz w:val="20"/>
                <w:szCs w:val="20"/>
              </w:rPr>
              <w:t>0.104</w:t>
            </w:r>
          </w:p>
        </w:tc>
        <w:tc>
          <w:tcPr>
            <w:tcW w:w="864" w:type="dxa"/>
            <w:tcBorders>
              <w:top w:val="nil"/>
              <w:left w:val="nil"/>
              <w:bottom w:val="nil"/>
              <w:right w:val="nil"/>
            </w:tcBorders>
            <w:shd w:val="clear" w:color="auto" w:fill="auto"/>
            <w:noWrap/>
            <w:vAlign w:val="bottom"/>
            <w:hideMark/>
          </w:tcPr>
          <w:p w14:paraId="1DC47AE7" w14:textId="77777777" w:rsidR="00061496" w:rsidRDefault="00061496">
            <w:pPr>
              <w:jc w:val="right"/>
              <w:rPr>
                <w:color w:val="000000"/>
                <w:sz w:val="20"/>
                <w:szCs w:val="20"/>
              </w:rPr>
            </w:pPr>
            <w:r>
              <w:rPr>
                <w:color w:val="000000"/>
                <w:sz w:val="20"/>
                <w:szCs w:val="20"/>
              </w:rPr>
              <w:t>0.017</w:t>
            </w:r>
          </w:p>
        </w:tc>
      </w:tr>
      <w:tr w:rsidR="00061496" w14:paraId="09324BEC" w14:textId="77777777" w:rsidTr="00061496">
        <w:trPr>
          <w:trHeight w:val="320"/>
        </w:trPr>
        <w:tc>
          <w:tcPr>
            <w:tcW w:w="1152" w:type="dxa"/>
            <w:tcBorders>
              <w:top w:val="nil"/>
              <w:left w:val="nil"/>
              <w:bottom w:val="nil"/>
              <w:right w:val="nil"/>
            </w:tcBorders>
            <w:shd w:val="clear" w:color="auto" w:fill="auto"/>
            <w:noWrap/>
            <w:vAlign w:val="bottom"/>
            <w:hideMark/>
          </w:tcPr>
          <w:p w14:paraId="77E4061D"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1CB88B1" w14:textId="77777777" w:rsidR="00061496" w:rsidRDefault="0006149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78478F0B" w14:textId="77777777" w:rsidR="00061496" w:rsidRDefault="0006149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6C47814C" w14:textId="77777777" w:rsidR="00061496" w:rsidRDefault="00061496">
            <w:pPr>
              <w:jc w:val="right"/>
              <w:rPr>
                <w:color w:val="000000"/>
                <w:sz w:val="20"/>
                <w:szCs w:val="20"/>
              </w:rPr>
            </w:pPr>
            <w:r>
              <w:rPr>
                <w:color w:val="000000"/>
                <w:sz w:val="20"/>
                <w:szCs w:val="20"/>
              </w:rPr>
              <w:t>0.960</w:t>
            </w:r>
          </w:p>
        </w:tc>
        <w:tc>
          <w:tcPr>
            <w:tcW w:w="864" w:type="dxa"/>
            <w:tcBorders>
              <w:top w:val="nil"/>
              <w:left w:val="nil"/>
              <w:bottom w:val="nil"/>
              <w:right w:val="nil"/>
            </w:tcBorders>
            <w:shd w:val="clear" w:color="auto" w:fill="auto"/>
            <w:noWrap/>
            <w:vAlign w:val="bottom"/>
            <w:hideMark/>
          </w:tcPr>
          <w:p w14:paraId="0E382B89" w14:textId="77777777" w:rsidR="00061496" w:rsidRDefault="0006149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BEAE20A" w14:textId="77777777" w:rsidR="00061496" w:rsidRDefault="00061496">
            <w:pPr>
              <w:jc w:val="right"/>
              <w:rPr>
                <w:color w:val="000000"/>
                <w:sz w:val="20"/>
                <w:szCs w:val="20"/>
              </w:rPr>
            </w:pPr>
            <w:r>
              <w:rPr>
                <w:color w:val="000000"/>
                <w:sz w:val="20"/>
                <w:szCs w:val="20"/>
              </w:rPr>
              <w:t>0.033</w:t>
            </w:r>
          </w:p>
        </w:tc>
        <w:tc>
          <w:tcPr>
            <w:tcW w:w="864" w:type="dxa"/>
            <w:tcBorders>
              <w:top w:val="nil"/>
              <w:left w:val="nil"/>
              <w:bottom w:val="nil"/>
              <w:right w:val="nil"/>
            </w:tcBorders>
            <w:shd w:val="clear" w:color="auto" w:fill="auto"/>
            <w:noWrap/>
            <w:vAlign w:val="bottom"/>
            <w:hideMark/>
          </w:tcPr>
          <w:p w14:paraId="1CEE671C" w14:textId="77777777" w:rsidR="00061496" w:rsidRDefault="00061496">
            <w:pPr>
              <w:jc w:val="right"/>
              <w:rPr>
                <w:color w:val="000000"/>
                <w:sz w:val="20"/>
                <w:szCs w:val="20"/>
              </w:rPr>
            </w:pPr>
            <w:r>
              <w:rPr>
                <w:color w:val="000000"/>
                <w:sz w:val="20"/>
                <w:szCs w:val="20"/>
              </w:rPr>
              <w:t>0.598</w:t>
            </w:r>
          </w:p>
        </w:tc>
        <w:tc>
          <w:tcPr>
            <w:tcW w:w="864" w:type="dxa"/>
            <w:tcBorders>
              <w:top w:val="nil"/>
              <w:left w:val="nil"/>
              <w:bottom w:val="nil"/>
              <w:right w:val="nil"/>
            </w:tcBorders>
            <w:shd w:val="clear" w:color="auto" w:fill="auto"/>
            <w:noWrap/>
            <w:vAlign w:val="bottom"/>
            <w:hideMark/>
          </w:tcPr>
          <w:p w14:paraId="00F66FF9" w14:textId="77777777" w:rsidR="00061496" w:rsidRDefault="00061496">
            <w:pPr>
              <w:jc w:val="right"/>
              <w:rPr>
                <w:color w:val="000000"/>
                <w:sz w:val="20"/>
                <w:szCs w:val="20"/>
              </w:rPr>
            </w:pPr>
            <w:r>
              <w:rPr>
                <w:color w:val="000000"/>
                <w:sz w:val="20"/>
                <w:szCs w:val="20"/>
              </w:rPr>
              <w:t>0.001</w:t>
            </w:r>
          </w:p>
        </w:tc>
      </w:tr>
      <w:tr w:rsidR="00061496" w14:paraId="2993B584" w14:textId="77777777" w:rsidTr="00061496">
        <w:trPr>
          <w:trHeight w:val="320"/>
        </w:trPr>
        <w:tc>
          <w:tcPr>
            <w:tcW w:w="1152" w:type="dxa"/>
            <w:tcBorders>
              <w:top w:val="nil"/>
              <w:left w:val="nil"/>
              <w:bottom w:val="nil"/>
              <w:right w:val="nil"/>
            </w:tcBorders>
            <w:shd w:val="clear" w:color="auto" w:fill="auto"/>
            <w:noWrap/>
            <w:vAlign w:val="bottom"/>
            <w:hideMark/>
          </w:tcPr>
          <w:p w14:paraId="69975382"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D6B7F19" w14:textId="77777777" w:rsidR="00061496" w:rsidRDefault="0006149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FF7D492" w14:textId="77777777" w:rsidR="00061496" w:rsidRDefault="00061496">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71A2D3DB" w14:textId="77777777" w:rsidR="00061496" w:rsidRDefault="00061496">
            <w:pPr>
              <w:jc w:val="right"/>
              <w:rPr>
                <w:color w:val="000000"/>
                <w:sz w:val="20"/>
                <w:szCs w:val="20"/>
              </w:rPr>
            </w:pPr>
            <w:r>
              <w:rPr>
                <w:color w:val="000000"/>
                <w:sz w:val="20"/>
                <w:szCs w:val="20"/>
              </w:rPr>
              <w:t>0.960</w:t>
            </w:r>
          </w:p>
        </w:tc>
        <w:tc>
          <w:tcPr>
            <w:tcW w:w="864" w:type="dxa"/>
            <w:tcBorders>
              <w:top w:val="nil"/>
              <w:left w:val="nil"/>
              <w:bottom w:val="nil"/>
              <w:right w:val="nil"/>
            </w:tcBorders>
            <w:shd w:val="clear" w:color="auto" w:fill="auto"/>
            <w:noWrap/>
            <w:vAlign w:val="bottom"/>
            <w:hideMark/>
          </w:tcPr>
          <w:p w14:paraId="0EA66B34" w14:textId="77777777" w:rsidR="00061496" w:rsidRDefault="0006149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16B5A12" w14:textId="77777777" w:rsidR="00061496" w:rsidRDefault="00061496">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2E6B3683" w14:textId="77777777" w:rsidR="00061496" w:rsidRDefault="00061496">
            <w:pPr>
              <w:jc w:val="right"/>
              <w:rPr>
                <w:color w:val="000000"/>
                <w:sz w:val="20"/>
                <w:szCs w:val="20"/>
              </w:rPr>
            </w:pPr>
            <w:r>
              <w:rPr>
                <w:color w:val="000000"/>
                <w:sz w:val="20"/>
                <w:szCs w:val="20"/>
              </w:rPr>
              <w:t>0.845</w:t>
            </w:r>
          </w:p>
        </w:tc>
        <w:tc>
          <w:tcPr>
            <w:tcW w:w="864" w:type="dxa"/>
            <w:tcBorders>
              <w:top w:val="nil"/>
              <w:left w:val="nil"/>
              <w:bottom w:val="nil"/>
              <w:right w:val="nil"/>
            </w:tcBorders>
            <w:shd w:val="clear" w:color="auto" w:fill="auto"/>
            <w:noWrap/>
            <w:vAlign w:val="bottom"/>
            <w:hideMark/>
          </w:tcPr>
          <w:p w14:paraId="62170E7D" w14:textId="77777777" w:rsidR="00061496" w:rsidRDefault="00061496">
            <w:pPr>
              <w:jc w:val="right"/>
              <w:rPr>
                <w:color w:val="000000"/>
                <w:sz w:val="20"/>
                <w:szCs w:val="20"/>
              </w:rPr>
            </w:pPr>
            <w:r>
              <w:rPr>
                <w:color w:val="000000"/>
                <w:sz w:val="20"/>
                <w:szCs w:val="20"/>
              </w:rPr>
              <w:t>0.000</w:t>
            </w:r>
          </w:p>
        </w:tc>
      </w:tr>
      <w:tr w:rsidR="00061496" w14:paraId="6547600E" w14:textId="77777777" w:rsidTr="00061496">
        <w:trPr>
          <w:trHeight w:val="320"/>
        </w:trPr>
        <w:tc>
          <w:tcPr>
            <w:tcW w:w="1152" w:type="dxa"/>
            <w:tcBorders>
              <w:top w:val="nil"/>
              <w:left w:val="nil"/>
              <w:bottom w:val="single" w:sz="4" w:space="0" w:color="auto"/>
              <w:right w:val="nil"/>
            </w:tcBorders>
            <w:shd w:val="clear" w:color="auto" w:fill="auto"/>
            <w:noWrap/>
            <w:vAlign w:val="bottom"/>
            <w:hideMark/>
          </w:tcPr>
          <w:p w14:paraId="22A75635" w14:textId="77777777" w:rsidR="00061496" w:rsidRDefault="0006149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08A2ED26" w14:textId="77777777" w:rsidR="00061496" w:rsidRDefault="0006149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6D707FA0" w14:textId="77777777" w:rsidR="00061496" w:rsidRDefault="00061496">
            <w:pPr>
              <w:jc w:val="right"/>
              <w:rPr>
                <w:color w:val="000000"/>
                <w:sz w:val="20"/>
                <w:szCs w:val="20"/>
              </w:rPr>
            </w:pPr>
            <w:r>
              <w:rPr>
                <w:color w:val="000000"/>
                <w:sz w:val="20"/>
                <w:szCs w:val="20"/>
              </w:rPr>
              <w:t>-0.033</w:t>
            </w:r>
          </w:p>
        </w:tc>
        <w:tc>
          <w:tcPr>
            <w:tcW w:w="864" w:type="dxa"/>
            <w:tcBorders>
              <w:top w:val="nil"/>
              <w:left w:val="nil"/>
              <w:bottom w:val="single" w:sz="4" w:space="0" w:color="auto"/>
              <w:right w:val="nil"/>
            </w:tcBorders>
            <w:shd w:val="clear" w:color="auto" w:fill="auto"/>
            <w:noWrap/>
            <w:vAlign w:val="bottom"/>
            <w:hideMark/>
          </w:tcPr>
          <w:p w14:paraId="0FDD1F81" w14:textId="77777777" w:rsidR="00061496" w:rsidRDefault="00061496">
            <w:pPr>
              <w:jc w:val="right"/>
              <w:rPr>
                <w:color w:val="000000"/>
                <w:sz w:val="20"/>
                <w:szCs w:val="20"/>
              </w:rPr>
            </w:pPr>
            <w:r>
              <w:rPr>
                <w:color w:val="000000"/>
                <w:sz w:val="20"/>
                <w:szCs w:val="20"/>
              </w:rPr>
              <w:t>0.942</w:t>
            </w:r>
          </w:p>
        </w:tc>
        <w:tc>
          <w:tcPr>
            <w:tcW w:w="864" w:type="dxa"/>
            <w:tcBorders>
              <w:top w:val="nil"/>
              <w:left w:val="nil"/>
              <w:bottom w:val="single" w:sz="4" w:space="0" w:color="auto"/>
              <w:right w:val="nil"/>
            </w:tcBorders>
            <w:shd w:val="clear" w:color="auto" w:fill="auto"/>
            <w:noWrap/>
            <w:vAlign w:val="bottom"/>
            <w:hideMark/>
          </w:tcPr>
          <w:p w14:paraId="310E4D70"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0CBD96A9" w14:textId="77777777" w:rsidR="00061496" w:rsidRDefault="00061496">
            <w:pPr>
              <w:jc w:val="right"/>
              <w:rPr>
                <w:color w:val="000000"/>
                <w:sz w:val="20"/>
                <w:szCs w:val="20"/>
              </w:rPr>
            </w:pPr>
            <w:r>
              <w:rPr>
                <w:color w:val="000000"/>
                <w:sz w:val="20"/>
                <w:szCs w:val="20"/>
              </w:rPr>
              <w:t>-0.049</w:t>
            </w:r>
          </w:p>
        </w:tc>
        <w:tc>
          <w:tcPr>
            <w:tcW w:w="864" w:type="dxa"/>
            <w:tcBorders>
              <w:top w:val="nil"/>
              <w:left w:val="nil"/>
              <w:bottom w:val="single" w:sz="4" w:space="0" w:color="auto"/>
              <w:right w:val="nil"/>
            </w:tcBorders>
            <w:shd w:val="clear" w:color="auto" w:fill="auto"/>
            <w:noWrap/>
            <w:vAlign w:val="bottom"/>
            <w:hideMark/>
          </w:tcPr>
          <w:p w14:paraId="6049841F" w14:textId="77777777" w:rsidR="00061496" w:rsidRDefault="00061496">
            <w:pPr>
              <w:jc w:val="right"/>
              <w:rPr>
                <w:color w:val="000000"/>
                <w:sz w:val="20"/>
                <w:szCs w:val="20"/>
              </w:rPr>
            </w:pPr>
            <w:r>
              <w:rPr>
                <w:color w:val="000000"/>
                <w:sz w:val="20"/>
                <w:szCs w:val="20"/>
              </w:rPr>
              <w:t>0.598</w:t>
            </w:r>
          </w:p>
        </w:tc>
        <w:tc>
          <w:tcPr>
            <w:tcW w:w="864" w:type="dxa"/>
            <w:tcBorders>
              <w:top w:val="nil"/>
              <w:left w:val="nil"/>
              <w:bottom w:val="single" w:sz="4" w:space="0" w:color="auto"/>
              <w:right w:val="nil"/>
            </w:tcBorders>
            <w:shd w:val="clear" w:color="auto" w:fill="auto"/>
            <w:noWrap/>
            <w:vAlign w:val="bottom"/>
            <w:hideMark/>
          </w:tcPr>
          <w:p w14:paraId="7F5E71F9" w14:textId="77777777" w:rsidR="00061496" w:rsidRDefault="00061496">
            <w:pPr>
              <w:jc w:val="right"/>
              <w:rPr>
                <w:color w:val="000000"/>
                <w:sz w:val="20"/>
                <w:szCs w:val="20"/>
              </w:rPr>
            </w:pPr>
            <w:r>
              <w:rPr>
                <w:color w:val="000000"/>
                <w:sz w:val="20"/>
                <w:szCs w:val="20"/>
              </w:rPr>
              <w:t>0.002</w:t>
            </w:r>
          </w:p>
        </w:tc>
      </w:tr>
      <w:tr w:rsidR="00061496" w14:paraId="1267EACE" w14:textId="77777777" w:rsidTr="00061496">
        <w:trPr>
          <w:trHeight w:val="320"/>
        </w:trPr>
        <w:tc>
          <w:tcPr>
            <w:tcW w:w="1152" w:type="dxa"/>
            <w:tcBorders>
              <w:top w:val="nil"/>
              <w:left w:val="nil"/>
              <w:bottom w:val="nil"/>
              <w:right w:val="nil"/>
            </w:tcBorders>
            <w:shd w:val="clear" w:color="auto" w:fill="auto"/>
            <w:noWrap/>
            <w:vAlign w:val="bottom"/>
            <w:hideMark/>
          </w:tcPr>
          <w:p w14:paraId="7E3CEA00" w14:textId="77777777" w:rsidR="00061496" w:rsidRDefault="00061496">
            <w:pPr>
              <w:rPr>
                <w:color w:val="000000"/>
                <w:sz w:val="20"/>
                <w:szCs w:val="20"/>
              </w:rPr>
            </w:pPr>
            <w:r>
              <w:rPr>
                <w:color w:val="000000"/>
                <w:sz w:val="20"/>
                <w:szCs w:val="20"/>
              </w:rPr>
              <w:t>Threshold 17%</w:t>
            </w:r>
          </w:p>
        </w:tc>
        <w:tc>
          <w:tcPr>
            <w:tcW w:w="2160" w:type="dxa"/>
            <w:tcBorders>
              <w:top w:val="nil"/>
              <w:left w:val="nil"/>
              <w:bottom w:val="nil"/>
              <w:right w:val="nil"/>
            </w:tcBorders>
            <w:shd w:val="clear" w:color="auto" w:fill="auto"/>
            <w:noWrap/>
            <w:vAlign w:val="center"/>
            <w:hideMark/>
          </w:tcPr>
          <w:p w14:paraId="01E9F7F1" w14:textId="77777777" w:rsidR="00061496" w:rsidRDefault="0006149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7D9886F" w14:textId="77777777" w:rsidR="00061496" w:rsidRDefault="0006149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3F53C06D" w14:textId="77777777" w:rsidR="00061496" w:rsidRDefault="00061496">
            <w:pPr>
              <w:jc w:val="right"/>
              <w:rPr>
                <w:color w:val="000000"/>
                <w:sz w:val="20"/>
                <w:szCs w:val="20"/>
              </w:rPr>
            </w:pPr>
            <w:r>
              <w:rPr>
                <w:color w:val="000000"/>
                <w:sz w:val="20"/>
                <w:szCs w:val="20"/>
              </w:rPr>
              <w:t>0.879</w:t>
            </w:r>
          </w:p>
        </w:tc>
        <w:tc>
          <w:tcPr>
            <w:tcW w:w="864" w:type="dxa"/>
            <w:tcBorders>
              <w:top w:val="nil"/>
              <w:left w:val="nil"/>
              <w:bottom w:val="nil"/>
              <w:right w:val="nil"/>
            </w:tcBorders>
            <w:shd w:val="clear" w:color="auto" w:fill="auto"/>
            <w:noWrap/>
            <w:vAlign w:val="bottom"/>
            <w:hideMark/>
          </w:tcPr>
          <w:p w14:paraId="0B09E59E" w14:textId="77777777" w:rsidR="00061496" w:rsidRDefault="0006149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15BA824B" w14:textId="77777777" w:rsidR="00061496" w:rsidRDefault="0006149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2F252AF3" w14:textId="77777777" w:rsidR="00061496" w:rsidRDefault="00061496">
            <w:pPr>
              <w:jc w:val="right"/>
              <w:rPr>
                <w:color w:val="000000"/>
                <w:sz w:val="20"/>
                <w:szCs w:val="20"/>
              </w:rPr>
            </w:pPr>
            <w:r>
              <w:rPr>
                <w:color w:val="000000"/>
                <w:sz w:val="20"/>
                <w:szCs w:val="20"/>
              </w:rPr>
              <w:t>0.845</w:t>
            </w:r>
          </w:p>
        </w:tc>
        <w:tc>
          <w:tcPr>
            <w:tcW w:w="864" w:type="dxa"/>
            <w:tcBorders>
              <w:top w:val="nil"/>
              <w:left w:val="nil"/>
              <w:bottom w:val="nil"/>
              <w:right w:val="nil"/>
            </w:tcBorders>
            <w:shd w:val="clear" w:color="auto" w:fill="auto"/>
            <w:noWrap/>
            <w:vAlign w:val="bottom"/>
            <w:hideMark/>
          </w:tcPr>
          <w:p w14:paraId="3FED6C7E" w14:textId="77777777" w:rsidR="00061496" w:rsidRDefault="00061496">
            <w:pPr>
              <w:jc w:val="right"/>
              <w:rPr>
                <w:color w:val="000000"/>
                <w:sz w:val="20"/>
                <w:szCs w:val="20"/>
              </w:rPr>
            </w:pPr>
            <w:r>
              <w:rPr>
                <w:color w:val="000000"/>
                <w:sz w:val="20"/>
                <w:szCs w:val="20"/>
              </w:rPr>
              <w:t>0.000</w:t>
            </w:r>
          </w:p>
        </w:tc>
      </w:tr>
      <w:tr w:rsidR="00061496" w14:paraId="4097BEE9" w14:textId="77777777" w:rsidTr="00061496">
        <w:trPr>
          <w:trHeight w:val="320"/>
        </w:trPr>
        <w:tc>
          <w:tcPr>
            <w:tcW w:w="1152" w:type="dxa"/>
            <w:tcBorders>
              <w:top w:val="nil"/>
              <w:left w:val="nil"/>
              <w:bottom w:val="nil"/>
              <w:right w:val="nil"/>
            </w:tcBorders>
            <w:shd w:val="clear" w:color="auto" w:fill="auto"/>
            <w:noWrap/>
            <w:vAlign w:val="bottom"/>
            <w:hideMark/>
          </w:tcPr>
          <w:p w14:paraId="37A789D3"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15F24D7" w14:textId="77777777" w:rsidR="00061496" w:rsidRDefault="0006149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2A1526FF" w14:textId="77777777" w:rsidR="00061496" w:rsidRDefault="00061496">
            <w:pPr>
              <w:jc w:val="right"/>
              <w:rPr>
                <w:color w:val="000000"/>
                <w:sz w:val="20"/>
                <w:szCs w:val="20"/>
              </w:rPr>
            </w:pPr>
            <w:r>
              <w:rPr>
                <w:color w:val="000000"/>
                <w:sz w:val="20"/>
                <w:szCs w:val="20"/>
              </w:rPr>
              <w:t>-0.097</w:t>
            </w:r>
          </w:p>
        </w:tc>
        <w:tc>
          <w:tcPr>
            <w:tcW w:w="864" w:type="dxa"/>
            <w:tcBorders>
              <w:top w:val="nil"/>
              <w:left w:val="nil"/>
              <w:bottom w:val="nil"/>
              <w:right w:val="nil"/>
            </w:tcBorders>
            <w:shd w:val="clear" w:color="auto" w:fill="auto"/>
            <w:noWrap/>
            <w:vAlign w:val="bottom"/>
            <w:hideMark/>
          </w:tcPr>
          <w:p w14:paraId="0885C4C7" w14:textId="77777777" w:rsidR="00061496" w:rsidRDefault="00061496">
            <w:pPr>
              <w:jc w:val="right"/>
              <w:rPr>
                <w:color w:val="000000"/>
                <w:sz w:val="20"/>
                <w:szCs w:val="20"/>
              </w:rPr>
            </w:pPr>
            <w:r>
              <w:rPr>
                <w:color w:val="000000"/>
                <w:sz w:val="20"/>
                <w:szCs w:val="20"/>
              </w:rPr>
              <w:t>0.096</w:t>
            </w:r>
          </w:p>
        </w:tc>
        <w:tc>
          <w:tcPr>
            <w:tcW w:w="864" w:type="dxa"/>
            <w:tcBorders>
              <w:top w:val="nil"/>
              <w:left w:val="nil"/>
              <w:bottom w:val="nil"/>
              <w:right w:val="nil"/>
            </w:tcBorders>
            <w:shd w:val="clear" w:color="auto" w:fill="auto"/>
            <w:noWrap/>
            <w:vAlign w:val="bottom"/>
            <w:hideMark/>
          </w:tcPr>
          <w:p w14:paraId="0EDACC5B" w14:textId="77777777" w:rsidR="00061496" w:rsidRDefault="00061496">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7ADE6C2A" w14:textId="77777777" w:rsidR="00061496" w:rsidRDefault="00061496">
            <w:pPr>
              <w:jc w:val="right"/>
              <w:rPr>
                <w:color w:val="000000"/>
                <w:sz w:val="20"/>
                <w:szCs w:val="20"/>
              </w:rPr>
            </w:pPr>
            <w:r>
              <w:rPr>
                <w:color w:val="000000"/>
                <w:sz w:val="20"/>
                <w:szCs w:val="20"/>
              </w:rPr>
              <w:t>-0.067</w:t>
            </w:r>
          </w:p>
        </w:tc>
        <w:tc>
          <w:tcPr>
            <w:tcW w:w="864" w:type="dxa"/>
            <w:tcBorders>
              <w:top w:val="nil"/>
              <w:left w:val="nil"/>
              <w:bottom w:val="nil"/>
              <w:right w:val="nil"/>
            </w:tcBorders>
            <w:shd w:val="clear" w:color="auto" w:fill="auto"/>
            <w:noWrap/>
            <w:vAlign w:val="bottom"/>
            <w:hideMark/>
          </w:tcPr>
          <w:p w14:paraId="41E86E6F" w14:textId="77777777" w:rsidR="00061496" w:rsidRDefault="00061496">
            <w:pPr>
              <w:jc w:val="right"/>
              <w:rPr>
                <w:color w:val="000000"/>
                <w:sz w:val="20"/>
                <w:szCs w:val="20"/>
              </w:rPr>
            </w:pPr>
            <w:r>
              <w:rPr>
                <w:color w:val="000000"/>
                <w:sz w:val="20"/>
                <w:szCs w:val="20"/>
              </w:rPr>
              <w:t>0.164</w:t>
            </w:r>
          </w:p>
        </w:tc>
        <w:tc>
          <w:tcPr>
            <w:tcW w:w="864" w:type="dxa"/>
            <w:tcBorders>
              <w:top w:val="nil"/>
              <w:left w:val="nil"/>
              <w:bottom w:val="nil"/>
              <w:right w:val="nil"/>
            </w:tcBorders>
            <w:shd w:val="clear" w:color="auto" w:fill="auto"/>
            <w:noWrap/>
            <w:vAlign w:val="bottom"/>
            <w:hideMark/>
          </w:tcPr>
          <w:p w14:paraId="0CE176D0" w14:textId="77777777" w:rsidR="00061496" w:rsidRDefault="00061496">
            <w:pPr>
              <w:jc w:val="right"/>
              <w:rPr>
                <w:color w:val="000000"/>
                <w:sz w:val="20"/>
                <w:szCs w:val="20"/>
              </w:rPr>
            </w:pPr>
            <w:r>
              <w:rPr>
                <w:color w:val="000000"/>
                <w:sz w:val="20"/>
                <w:szCs w:val="20"/>
              </w:rPr>
              <w:t>0.004</w:t>
            </w:r>
          </w:p>
        </w:tc>
      </w:tr>
      <w:tr w:rsidR="00061496" w14:paraId="71DB6A63" w14:textId="77777777" w:rsidTr="00061496">
        <w:trPr>
          <w:trHeight w:val="320"/>
        </w:trPr>
        <w:tc>
          <w:tcPr>
            <w:tcW w:w="1152" w:type="dxa"/>
            <w:tcBorders>
              <w:top w:val="nil"/>
              <w:left w:val="nil"/>
              <w:bottom w:val="nil"/>
              <w:right w:val="nil"/>
            </w:tcBorders>
            <w:shd w:val="clear" w:color="auto" w:fill="auto"/>
            <w:noWrap/>
            <w:vAlign w:val="bottom"/>
            <w:hideMark/>
          </w:tcPr>
          <w:p w14:paraId="1883D713"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4DEB2FF" w14:textId="77777777" w:rsidR="00061496" w:rsidRDefault="0006149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3E8591DD" w14:textId="77777777" w:rsidR="00061496" w:rsidRDefault="00061496">
            <w:pPr>
              <w:jc w:val="right"/>
              <w:rPr>
                <w:color w:val="000000"/>
                <w:sz w:val="20"/>
                <w:szCs w:val="20"/>
              </w:rPr>
            </w:pPr>
            <w:r>
              <w:rPr>
                <w:color w:val="000000"/>
                <w:sz w:val="20"/>
                <w:szCs w:val="20"/>
              </w:rPr>
              <w:t>-0.034</w:t>
            </w:r>
          </w:p>
        </w:tc>
        <w:tc>
          <w:tcPr>
            <w:tcW w:w="864" w:type="dxa"/>
            <w:tcBorders>
              <w:top w:val="nil"/>
              <w:left w:val="nil"/>
              <w:bottom w:val="nil"/>
              <w:right w:val="nil"/>
            </w:tcBorders>
            <w:shd w:val="clear" w:color="auto" w:fill="auto"/>
            <w:noWrap/>
            <w:vAlign w:val="bottom"/>
            <w:hideMark/>
          </w:tcPr>
          <w:p w14:paraId="2539B217" w14:textId="77777777" w:rsidR="00061496" w:rsidRDefault="00061496">
            <w:pPr>
              <w:jc w:val="right"/>
              <w:rPr>
                <w:color w:val="000000"/>
                <w:sz w:val="20"/>
                <w:szCs w:val="20"/>
              </w:rPr>
            </w:pPr>
            <w:r>
              <w:rPr>
                <w:color w:val="000000"/>
                <w:sz w:val="20"/>
                <w:szCs w:val="20"/>
              </w:rPr>
              <w:t>0.879</w:t>
            </w:r>
          </w:p>
        </w:tc>
        <w:tc>
          <w:tcPr>
            <w:tcW w:w="864" w:type="dxa"/>
            <w:tcBorders>
              <w:top w:val="nil"/>
              <w:left w:val="nil"/>
              <w:bottom w:val="nil"/>
              <w:right w:val="nil"/>
            </w:tcBorders>
            <w:shd w:val="clear" w:color="auto" w:fill="auto"/>
            <w:noWrap/>
            <w:vAlign w:val="bottom"/>
            <w:hideMark/>
          </w:tcPr>
          <w:p w14:paraId="3171D7ED"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7756215" w14:textId="77777777" w:rsidR="00061496" w:rsidRDefault="00061496">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6D40A84D" w14:textId="77777777" w:rsidR="00061496" w:rsidRDefault="00061496">
            <w:pPr>
              <w:jc w:val="right"/>
              <w:rPr>
                <w:color w:val="000000"/>
                <w:sz w:val="20"/>
                <w:szCs w:val="20"/>
              </w:rPr>
            </w:pPr>
            <w:r>
              <w:rPr>
                <w:color w:val="000000"/>
                <w:sz w:val="20"/>
                <w:szCs w:val="20"/>
              </w:rPr>
              <w:t>0.845</w:t>
            </w:r>
          </w:p>
        </w:tc>
        <w:tc>
          <w:tcPr>
            <w:tcW w:w="864" w:type="dxa"/>
            <w:tcBorders>
              <w:top w:val="nil"/>
              <w:left w:val="nil"/>
              <w:bottom w:val="nil"/>
              <w:right w:val="nil"/>
            </w:tcBorders>
            <w:shd w:val="clear" w:color="auto" w:fill="auto"/>
            <w:noWrap/>
            <w:vAlign w:val="bottom"/>
            <w:hideMark/>
          </w:tcPr>
          <w:p w14:paraId="648588BB" w14:textId="77777777" w:rsidR="00061496" w:rsidRDefault="00061496">
            <w:pPr>
              <w:jc w:val="right"/>
              <w:rPr>
                <w:color w:val="000000"/>
                <w:sz w:val="20"/>
                <w:szCs w:val="20"/>
              </w:rPr>
            </w:pPr>
            <w:r>
              <w:rPr>
                <w:color w:val="000000"/>
                <w:sz w:val="20"/>
                <w:szCs w:val="20"/>
              </w:rPr>
              <w:t>0.000</w:t>
            </w:r>
          </w:p>
        </w:tc>
      </w:tr>
      <w:tr w:rsidR="00061496" w14:paraId="2F7AF412" w14:textId="77777777" w:rsidTr="00061496">
        <w:trPr>
          <w:trHeight w:val="320"/>
        </w:trPr>
        <w:tc>
          <w:tcPr>
            <w:tcW w:w="1152" w:type="dxa"/>
            <w:tcBorders>
              <w:top w:val="nil"/>
              <w:left w:val="nil"/>
              <w:bottom w:val="nil"/>
              <w:right w:val="nil"/>
            </w:tcBorders>
            <w:shd w:val="clear" w:color="auto" w:fill="auto"/>
            <w:noWrap/>
            <w:vAlign w:val="bottom"/>
            <w:hideMark/>
          </w:tcPr>
          <w:p w14:paraId="098D4CDB"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0CCA2ED3" w14:textId="77777777" w:rsidR="00061496" w:rsidRDefault="0006149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43731025" w14:textId="77777777" w:rsidR="00061496" w:rsidRDefault="00061496">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303F3DD3" w14:textId="77777777" w:rsidR="00061496" w:rsidRDefault="00061496">
            <w:pPr>
              <w:jc w:val="right"/>
              <w:rPr>
                <w:color w:val="000000"/>
                <w:sz w:val="20"/>
                <w:szCs w:val="20"/>
              </w:rPr>
            </w:pPr>
            <w:r>
              <w:rPr>
                <w:color w:val="000000"/>
                <w:sz w:val="20"/>
                <w:szCs w:val="20"/>
              </w:rPr>
              <w:t>0.879</w:t>
            </w:r>
          </w:p>
        </w:tc>
        <w:tc>
          <w:tcPr>
            <w:tcW w:w="864" w:type="dxa"/>
            <w:tcBorders>
              <w:top w:val="nil"/>
              <w:left w:val="nil"/>
              <w:bottom w:val="nil"/>
              <w:right w:val="nil"/>
            </w:tcBorders>
            <w:shd w:val="clear" w:color="auto" w:fill="auto"/>
            <w:noWrap/>
            <w:vAlign w:val="bottom"/>
            <w:hideMark/>
          </w:tcPr>
          <w:p w14:paraId="05338E17"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5DEB1F1" w14:textId="77777777" w:rsidR="00061496" w:rsidRDefault="00061496">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6B5D3D1F" w14:textId="77777777" w:rsidR="00061496" w:rsidRDefault="00061496">
            <w:pPr>
              <w:jc w:val="right"/>
              <w:rPr>
                <w:color w:val="000000"/>
                <w:sz w:val="20"/>
                <w:szCs w:val="20"/>
              </w:rPr>
            </w:pPr>
            <w:r>
              <w:rPr>
                <w:color w:val="000000"/>
                <w:sz w:val="20"/>
                <w:szCs w:val="20"/>
              </w:rPr>
              <w:t>0.845</w:t>
            </w:r>
          </w:p>
        </w:tc>
        <w:tc>
          <w:tcPr>
            <w:tcW w:w="864" w:type="dxa"/>
            <w:tcBorders>
              <w:top w:val="nil"/>
              <w:left w:val="nil"/>
              <w:bottom w:val="nil"/>
              <w:right w:val="nil"/>
            </w:tcBorders>
            <w:shd w:val="clear" w:color="auto" w:fill="auto"/>
            <w:noWrap/>
            <w:vAlign w:val="bottom"/>
            <w:hideMark/>
          </w:tcPr>
          <w:p w14:paraId="72FEAE8B" w14:textId="77777777" w:rsidR="00061496" w:rsidRDefault="00061496">
            <w:pPr>
              <w:jc w:val="right"/>
              <w:rPr>
                <w:color w:val="000000"/>
                <w:sz w:val="20"/>
                <w:szCs w:val="20"/>
              </w:rPr>
            </w:pPr>
            <w:r>
              <w:rPr>
                <w:color w:val="000000"/>
                <w:sz w:val="20"/>
                <w:szCs w:val="20"/>
              </w:rPr>
              <w:t>0.001</w:t>
            </w:r>
          </w:p>
        </w:tc>
      </w:tr>
      <w:tr w:rsidR="00061496" w14:paraId="0D8F844E" w14:textId="77777777" w:rsidTr="00061496">
        <w:trPr>
          <w:trHeight w:val="320"/>
        </w:trPr>
        <w:tc>
          <w:tcPr>
            <w:tcW w:w="1152" w:type="dxa"/>
            <w:tcBorders>
              <w:top w:val="nil"/>
              <w:left w:val="nil"/>
              <w:bottom w:val="nil"/>
              <w:right w:val="nil"/>
            </w:tcBorders>
            <w:shd w:val="clear" w:color="auto" w:fill="auto"/>
            <w:noWrap/>
            <w:vAlign w:val="bottom"/>
            <w:hideMark/>
          </w:tcPr>
          <w:p w14:paraId="1AF22DD5"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57D50F4E" w14:textId="77777777" w:rsidR="00061496" w:rsidRDefault="0006149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3B915C1" w14:textId="77777777" w:rsidR="00061496" w:rsidRDefault="00061496">
            <w:pPr>
              <w:jc w:val="right"/>
              <w:rPr>
                <w:color w:val="000000"/>
                <w:sz w:val="20"/>
                <w:szCs w:val="20"/>
              </w:rPr>
            </w:pPr>
            <w:r>
              <w:rPr>
                <w:color w:val="000000"/>
                <w:sz w:val="20"/>
                <w:szCs w:val="20"/>
              </w:rPr>
              <w:t>-0.082</w:t>
            </w:r>
          </w:p>
        </w:tc>
        <w:tc>
          <w:tcPr>
            <w:tcW w:w="864" w:type="dxa"/>
            <w:tcBorders>
              <w:top w:val="nil"/>
              <w:left w:val="nil"/>
              <w:bottom w:val="nil"/>
              <w:right w:val="nil"/>
            </w:tcBorders>
            <w:shd w:val="clear" w:color="auto" w:fill="auto"/>
            <w:noWrap/>
            <w:vAlign w:val="bottom"/>
            <w:hideMark/>
          </w:tcPr>
          <w:p w14:paraId="0E844E9B" w14:textId="77777777" w:rsidR="00061496" w:rsidRDefault="00061496">
            <w:pPr>
              <w:jc w:val="right"/>
              <w:rPr>
                <w:color w:val="000000"/>
                <w:sz w:val="20"/>
                <w:szCs w:val="20"/>
              </w:rPr>
            </w:pPr>
            <w:r>
              <w:rPr>
                <w:color w:val="000000"/>
                <w:sz w:val="20"/>
                <w:szCs w:val="20"/>
              </w:rPr>
              <w:t>0.112</w:t>
            </w:r>
          </w:p>
        </w:tc>
        <w:tc>
          <w:tcPr>
            <w:tcW w:w="864" w:type="dxa"/>
            <w:tcBorders>
              <w:top w:val="nil"/>
              <w:left w:val="nil"/>
              <w:bottom w:val="nil"/>
              <w:right w:val="nil"/>
            </w:tcBorders>
            <w:shd w:val="clear" w:color="auto" w:fill="auto"/>
            <w:noWrap/>
            <w:vAlign w:val="bottom"/>
            <w:hideMark/>
          </w:tcPr>
          <w:p w14:paraId="04C83A59" w14:textId="77777777" w:rsidR="00061496" w:rsidRDefault="00061496">
            <w:pPr>
              <w:jc w:val="right"/>
              <w:rPr>
                <w:color w:val="000000"/>
                <w:sz w:val="20"/>
                <w:szCs w:val="20"/>
              </w:rPr>
            </w:pPr>
            <w:r>
              <w:rPr>
                <w:color w:val="000000"/>
                <w:sz w:val="20"/>
                <w:szCs w:val="20"/>
              </w:rPr>
              <w:t>0.007</w:t>
            </w:r>
          </w:p>
        </w:tc>
        <w:tc>
          <w:tcPr>
            <w:tcW w:w="864" w:type="dxa"/>
            <w:tcBorders>
              <w:top w:val="nil"/>
              <w:left w:val="nil"/>
              <w:bottom w:val="nil"/>
              <w:right w:val="nil"/>
            </w:tcBorders>
            <w:shd w:val="clear" w:color="auto" w:fill="auto"/>
            <w:noWrap/>
            <w:vAlign w:val="bottom"/>
            <w:hideMark/>
          </w:tcPr>
          <w:p w14:paraId="107317FD" w14:textId="77777777" w:rsidR="00061496" w:rsidRDefault="00061496">
            <w:pPr>
              <w:jc w:val="right"/>
              <w:rPr>
                <w:color w:val="000000"/>
                <w:sz w:val="20"/>
                <w:szCs w:val="20"/>
              </w:rPr>
            </w:pPr>
            <w:r>
              <w:rPr>
                <w:color w:val="000000"/>
                <w:sz w:val="20"/>
                <w:szCs w:val="20"/>
              </w:rPr>
              <w:t>-0.087</w:t>
            </w:r>
          </w:p>
        </w:tc>
        <w:tc>
          <w:tcPr>
            <w:tcW w:w="864" w:type="dxa"/>
            <w:tcBorders>
              <w:top w:val="nil"/>
              <w:left w:val="nil"/>
              <w:bottom w:val="nil"/>
              <w:right w:val="nil"/>
            </w:tcBorders>
            <w:shd w:val="clear" w:color="auto" w:fill="auto"/>
            <w:noWrap/>
            <w:vAlign w:val="bottom"/>
            <w:hideMark/>
          </w:tcPr>
          <w:p w14:paraId="2A6C0C78" w14:textId="77777777" w:rsidR="00061496" w:rsidRDefault="00061496">
            <w:pPr>
              <w:jc w:val="right"/>
              <w:rPr>
                <w:color w:val="000000"/>
                <w:sz w:val="20"/>
                <w:szCs w:val="20"/>
              </w:rPr>
            </w:pPr>
            <w:r>
              <w:rPr>
                <w:color w:val="000000"/>
                <w:sz w:val="20"/>
                <w:szCs w:val="20"/>
              </w:rPr>
              <w:t>0.072</w:t>
            </w:r>
          </w:p>
        </w:tc>
        <w:tc>
          <w:tcPr>
            <w:tcW w:w="864" w:type="dxa"/>
            <w:tcBorders>
              <w:top w:val="nil"/>
              <w:left w:val="nil"/>
              <w:bottom w:val="nil"/>
              <w:right w:val="nil"/>
            </w:tcBorders>
            <w:shd w:val="clear" w:color="auto" w:fill="auto"/>
            <w:noWrap/>
            <w:vAlign w:val="bottom"/>
            <w:hideMark/>
          </w:tcPr>
          <w:p w14:paraId="0E271CFB" w14:textId="77777777" w:rsidR="00061496" w:rsidRDefault="00061496">
            <w:pPr>
              <w:jc w:val="right"/>
              <w:rPr>
                <w:color w:val="000000"/>
                <w:sz w:val="20"/>
                <w:szCs w:val="20"/>
              </w:rPr>
            </w:pPr>
            <w:r>
              <w:rPr>
                <w:color w:val="000000"/>
                <w:sz w:val="20"/>
                <w:szCs w:val="20"/>
              </w:rPr>
              <w:t>0.008</w:t>
            </w:r>
          </w:p>
        </w:tc>
      </w:tr>
      <w:tr w:rsidR="00061496" w14:paraId="43C903B0" w14:textId="77777777" w:rsidTr="00061496">
        <w:trPr>
          <w:trHeight w:val="320"/>
        </w:trPr>
        <w:tc>
          <w:tcPr>
            <w:tcW w:w="1152" w:type="dxa"/>
            <w:tcBorders>
              <w:top w:val="nil"/>
              <w:left w:val="nil"/>
              <w:bottom w:val="nil"/>
              <w:right w:val="nil"/>
            </w:tcBorders>
            <w:shd w:val="clear" w:color="auto" w:fill="auto"/>
            <w:noWrap/>
            <w:vAlign w:val="bottom"/>
            <w:hideMark/>
          </w:tcPr>
          <w:p w14:paraId="55D363E0"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9AB636A" w14:textId="77777777" w:rsidR="00061496" w:rsidRDefault="0006149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2F11A796" w14:textId="77777777" w:rsidR="00061496" w:rsidRDefault="00061496">
            <w:pPr>
              <w:jc w:val="right"/>
              <w:rPr>
                <w:color w:val="000000"/>
                <w:sz w:val="20"/>
                <w:szCs w:val="20"/>
              </w:rPr>
            </w:pPr>
            <w:r>
              <w:rPr>
                <w:color w:val="000000"/>
                <w:sz w:val="20"/>
                <w:szCs w:val="20"/>
              </w:rPr>
              <w:t>-0.011</w:t>
            </w:r>
          </w:p>
        </w:tc>
        <w:tc>
          <w:tcPr>
            <w:tcW w:w="864" w:type="dxa"/>
            <w:tcBorders>
              <w:top w:val="nil"/>
              <w:left w:val="nil"/>
              <w:bottom w:val="nil"/>
              <w:right w:val="nil"/>
            </w:tcBorders>
            <w:shd w:val="clear" w:color="auto" w:fill="auto"/>
            <w:noWrap/>
            <w:vAlign w:val="bottom"/>
            <w:hideMark/>
          </w:tcPr>
          <w:p w14:paraId="5356E34F" w14:textId="77777777" w:rsidR="00061496" w:rsidRDefault="00061496">
            <w:pPr>
              <w:jc w:val="right"/>
              <w:rPr>
                <w:color w:val="000000"/>
                <w:sz w:val="20"/>
                <w:szCs w:val="20"/>
              </w:rPr>
            </w:pPr>
            <w:r>
              <w:rPr>
                <w:color w:val="000000"/>
                <w:sz w:val="20"/>
                <w:szCs w:val="20"/>
              </w:rPr>
              <w:t>0.879</w:t>
            </w:r>
          </w:p>
        </w:tc>
        <w:tc>
          <w:tcPr>
            <w:tcW w:w="864" w:type="dxa"/>
            <w:tcBorders>
              <w:top w:val="nil"/>
              <w:left w:val="nil"/>
              <w:bottom w:val="nil"/>
              <w:right w:val="nil"/>
            </w:tcBorders>
            <w:shd w:val="clear" w:color="auto" w:fill="auto"/>
            <w:noWrap/>
            <w:vAlign w:val="bottom"/>
            <w:hideMark/>
          </w:tcPr>
          <w:p w14:paraId="475B21EB" w14:textId="77777777" w:rsidR="00061496" w:rsidRDefault="0006149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0E311482" w14:textId="77777777" w:rsidR="00061496" w:rsidRDefault="00061496">
            <w:pPr>
              <w:jc w:val="right"/>
              <w:rPr>
                <w:color w:val="000000"/>
                <w:sz w:val="20"/>
                <w:szCs w:val="20"/>
              </w:rPr>
            </w:pPr>
            <w:r>
              <w:rPr>
                <w:color w:val="000000"/>
                <w:sz w:val="20"/>
                <w:szCs w:val="20"/>
              </w:rPr>
              <w:t>-0.009</w:t>
            </w:r>
          </w:p>
        </w:tc>
        <w:tc>
          <w:tcPr>
            <w:tcW w:w="864" w:type="dxa"/>
            <w:tcBorders>
              <w:top w:val="nil"/>
              <w:left w:val="nil"/>
              <w:bottom w:val="nil"/>
              <w:right w:val="nil"/>
            </w:tcBorders>
            <w:shd w:val="clear" w:color="auto" w:fill="auto"/>
            <w:noWrap/>
            <w:vAlign w:val="bottom"/>
            <w:hideMark/>
          </w:tcPr>
          <w:p w14:paraId="0BEC746E" w14:textId="77777777" w:rsidR="00061496" w:rsidRDefault="00061496">
            <w:pPr>
              <w:jc w:val="right"/>
              <w:rPr>
                <w:color w:val="000000"/>
                <w:sz w:val="20"/>
                <w:szCs w:val="20"/>
              </w:rPr>
            </w:pPr>
            <w:r>
              <w:rPr>
                <w:color w:val="000000"/>
                <w:sz w:val="20"/>
                <w:szCs w:val="20"/>
              </w:rPr>
              <w:t>0.845</w:t>
            </w:r>
          </w:p>
        </w:tc>
        <w:tc>
          <w:tcPr>
            <w:tcW w:w="864" w:type="dxa"/>
            <w:tcBorders>
              <w:top w:val="nil"/>
              <w:left w:val="nil"/>
              <w:bottom w:val="nil"/>
              <w:right w:val="nil"/>
            </w:tcBorders>
            <w:shd w:val="clear" w:color="auto" w:fill="auto"/>
            <w:noWrap/>
            <w:vAlign w:val="bottom"/>
            <w:hideMark/>
          </w:tcPr>
          <w:p w14:paraId="093B5217" w14:textId="77777777" w:rsidR="00061496" w:rsidRDefault="00061496">
            <w:pPr>
              <w:jc w:val="right"/>
              <w:rPr>
                <w:color w:val="000000"/>
                <w:sz w:val="20"/>
                <w:szCs w:val="20"/>
              </w:rPr>
            </w:pPr>
            <w:r>
              <w:rPr>
                <w:color w:val="000000"/>
                <w:sz w:val="20"/>
                <w:szCs w:val="20"/>
              </w:rPr>
              <w:t>0.000</w:t>
            </w:r>
          </w:p>
        </w:tc>
      </w:tr>
      <w:tr w:rsidR="00061496" w14:paraId="4F0F91AA" w14:textId="77777777" w:rsidTr="00061496">
        <w:trPr>
          <w:trHeight w:val="320"/>
        </w:trPr>
        <w:tc>
          <w:tcPr>
            <w:tcW w:w="1152" w:type="dxa"/>
            <w:tcBorders>
              <w:top w:val="nil"/>
              <w:left w:val="nil"/>
              <w:bottom w:val="nil"/>
              <w:right w:val="nil"/>
            </w:tcBorders>
            <w:shd w:val="clear" w:color="auto" w:fill="auto"/>
            <w:noWrap/>
            <w:vAlign w:val="bottom"/>
            <w:hideMark/>
          </w:tcPr>
          <w:p w14:paraId="119F4DC8"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2777B924" w14:textId="77777777" w:rsidR="00061496" w:rsidRDefault="0006149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3706587F" w14:textId="77777777" w:rsidR="00061496" w:rsidRDefault="00061496">
            <w:pPr>
              <w:jc w:val="right"/>
              <w:rPr>
                <w:color w:val="000000"/>
                <w:sz w:val="20"/>
                <w:szCs w:val="20"/>
              </w:rPr>
            </w:pPr>
            <w:r>
              <w:rPr>
                <w:color w:val="000000"/>
                <w:sz w:val="20"/>
                <w:szCs w:val="20"/>
              </w:rPr>
              <w:t>0.006</w:t>
            </w:r>
          </w:p>
        </w:tc>
        <w:tc>
          <w:tcPr>
            <w:tcW w:w="864" w:type="dxa"/>
            <w:tcBorders>
              <w:top w:val="nil"/>
              <w:left w:val="nil"/>
              <w:bottom w:val="nil"/>
              <w:right w:val="nil"/>
            </w:tcBorders>
            <w:shd w:val="clear" w:color="auto" w:fill="auto"/>
            <w:noWrap/>
            <w:vAlign w:val="bottom"/>
            <w:hideMark/>
          </w:tcPr>
          <w:p w14:paraId="097DBF61" w14:textId="77777777" w:rsidR="00061496" w:rsidRDefault="00061496">
            <w:pPr>
              <w:jc w:val="right"/>
              <w:rPr>
                <w:color w:val="000000"/>
                <w:sz w:val="20"/>
                <w:szCs w:val="20"/>
              </w:rPr>
            </w:pPr>
            <w:r>
              <w:rPr>
                <w:color w:val="000000"/>
                <w:sz w:val="20"/>
                <w:szCs w:val="20"/>
              </w:rPr>
              <w:t>0.879</w:t>
            </w:r>
          </w:p>
        </w:tc>
        <w:tc>
          <w:tcPr>
            <w:tcW w:w="864" w:type="dxa"/>
            <w:tcBorders>
              <w:top w:val="nil"/>
              <w:left w:val="nil"/>
              <w:bottom w:val="nil"/>
              <w:right w:val="nil"/>
            </w:tcBorders>
            <w:shd w:val="clear" w:color="auto" w:fill="auto"/>
            <w:noWrap/>
            <w:vAlign w:val="bottom"/>
            <w:hideMark/>
          </w:tcPr>
          <w:p w14:paraId="3823AB67" w14:textId="77777777" w:rsidR="00061496" w:rsidRDefault="0006149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4B736CFA" w14:textId="77777777" w:rsidR="00061496" w:rsidRDefault="00061496">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26289581" w14:textId="77777777" w:rsidR="00061496" w:rsidRDefault="00061496">
            <w:pPr>
              <w:jc w:val="right"/>
              <w:rPr>
                <w:color w:val="000000"/>
                <w:sz w:val="20"/>
                <w:szCs w:val="20"/>
              </w:rPr>
            </w:pPr>
            <w:r>
              <w:rPr>
                <w:color w:val="000000"/>
                <w:sz w:val="20"/>
                <w:szCs w:val="20"/>
              </w:rPr>
              <w:t>0.830</w:t>
            </w:r>
          </w:p>
        </w:tc>
        <w:tc>
          <w:tcPr>
            <w:tcW w:w="864" w:type="dxa"/>
            <w:tcBorders>
              <w:top w:val="nil"/>
              <w:left w:val="nil"/>
              <w:bottom w:val="nil"/>
              <w:right w:val="nil"/>
            </w:tcBorders>
            <w:shd w:val="clear" w:color="auto" w:fill="auto"/>
            <w:noWrap/>
            <w:vAlign w:val="bottom"/>
            <w:hideMark/>
          </w:tcPr>
          <w:p w14:paraId="7DFC31CD" w14:textId="77777777" w:rsidR="00061496" w:rsidRDefault="00061496">
            <w:pPr>
              <w:jc w:val="right"/>
              <w:rPr>
                <w:color w:val="000000"/>
                <w:sz w:val="20"/>
                <w:szCs w:val="20"/>
              </w:rPr>
            </w:pPr>
            <w:r>
              <w:rPr>
                <w:color w:val="000000"/>
                <w:sz w:val="20"/>
                <w:szCs w:val="20"/>
              </w:rPr>
              <w:t>0.001</w:t>
            </w:r>
          </w:p>
        </w:tc>
      </w:tr>
      <w:tr w:rsidR="00061496" w14:paraId="06FD0404" w14:textId="77777777" w:rsidTr="00061496">
        <w:trPr>
          <w:trHeight w:val="320"/>
        </w:trPr>
        <w:tc>
          <w:tcPr>
            <w:tcW w:w="1152" w:type="dxa"/>
            <w:tcBorders>
              <w:top w:val="nil"/>
              <w:left w:val="nil"/>
              <w:bottom w:val="single" w:sz="4" w:space="0" w:color="auto"/>
              <w:right w:val="nil"/>
            </w:tcBorders>
            <w:shd w:val="clear" w:color="auto" w:fill="auto"/>
            <w:noWrap/>
            <w:vAlign w:val="bottom"/>
            <w:hideMark/>
          </w:tcPr>
          <w:p w14:paraId="2353FAE8" w14:textId="77777777" w:rsidR="00061496" w:rsidRDefault="0006149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67CD4915" w14:textId="77777777" w:rsidR="00061496" w:rsidRDefault="0006149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49798A50" w14:textId="77777777" w:rsidR="00061496" w:rsidRDefault="00061496">
            <w:pPr>
              <w:jc w:val="right"/>
              <w:rPr>
                <w:color w:val="000000"/>
                <w:sz w:val="20"/>
                <w:szCs w:val="20"/>
              </w:rPr>
            </w:pPr>
            <w:r>
              <w:rPr>
                <w:color w:val="000000"/>
                <w:sz w:val="20"/>
                <w:szCs w:val="20"/>
              </w:rPr>
              <w:t>0.006</w:t>
            </w:r>
          </w:p>
        </w:tc>
        <w:tc>
          <w:tcPr>
            <w:tcW w:w="864" w:type="dxa"/>
            <w:tcBorders>
              <w:top w:val="nil"/>
              <w:left w:val="nil"/>
              <w:bottom w:val="single" w:sz="4" w:space="0" w:color="auto"/>
              <w:right w:val="nil"/>
            </w:tcBorders>
            <w:shd w:val="clear" w:color="auto" w:fill="auto"/>
            <w:noWrap/>
            <w:vAlign w:val="bottom"/>
            <w:hideMark/>
          </w:tcPr>
          <w:p w14:paraId="56BBF72D" w14:textId="77777777" w:rsidR="00061496" w:rsidRDefault="00061496">
            <w:pPr>
              <w:jc w:val="right"/>
              <w:rPr>
                <w:color w:val="000000"/>
                <w:sz w:val="20"/>
                <w:szCs w:val="20"/>
              </w:rPr>
            </w:pPr>
            <w:r>
              <w:rPr>
                <w:color w:val="000000"/>
                <w:sz w:val="20"/>
                <w:szCs w:val="20"/>
              </w:rPr>
              <w:t>0.879</w:t>
            </w:r>
          </w:p>
        </w:tc>
        <w:tc>
          <w:tcPr>
            <w:tcW w:w="864" w:type="dxa"/>
            <w:tcBorders>
              <w:top w:val="nil"/>
              <w:left w:val="nil"/>
              <w:bottom w:val="single" w:sz="4" w:space="0" w:color="auto"/>
              <w:right w:val="nil"/>
            </w:tcBorders>
            <w:shd w:val="clear" w:color="auto" w:fill="auto"/>
            <w:noWrap/>
            <w:vAlign w:val="bottom"/>
            <w:hideMark/>
          </w:tcPr>
          <w:p w14:paraId="04066A91" w14:textId="77777777" w:rsidR="00061496" w:rsidRDefault="00061496">
            <w:pPr>
              <w:jc w:val="right"/>
              <w:rPr>
                <w:color w:val="000000"/>
                <w:sz w:val="20"/>
                <w:szCs w:val="20"/>
              </w:rPr>
            </w:pPr>
            <w:r>
              <w:rPr>
                <w:color w:val="000000"/>
                <w:sz w:val="20"/>
                <w:szCs w:val="20"/>
              </w:rPr>
              <w:t>0.000</w:t>
            </w:r>
          </w:p>
        </w:tc>
        <w:tc>
          <w:tcPr>
            <w:tcW w:w="864" w:type="dxa"/>
            <w:tcBorders>
              <w:top w:val="nil"/>
              <w:left w:val="nil"/>
              <w:bottom w:val="single" w:sz="4" w:space="0" w:color="auto"/>
              <w:right w:val="nil"/>
            </w:tcBorders>
            <w:shd w:val="clear" w:color="auto" w:fill="auto"/>
            <w:noWrap/>
            <w:vAlign w:val="bottom"/>
            <w:hideMark/>
          </w:tcPr>
          <w:p w14:paraId="053301C3" w14:textId="77777777" w:rsidR="00061496" w:rsidRDefault="00061496">
            <w:pPr>
              <w:jc w:val="right"/>
              <w:rPr>
                <w:color w:val="000000"/>
                <w:sz w:val="20"/>
                <w:szCs w:val="20"/>
              </w:rPr>
            </w:pPr>
            <w:r>
              <w:rPr>
                <w:color w:val="000000"/>
                <w:sz w:val="20"/>
                <w:szCs w:val="20"/>
              </w:rPr>
              <w:t>-0.042</w:t>
            </w:r>
          </w:p>
        </w:tc>
        <w:tc>
          <w:tcPr>
            <w:tcW w:w="864" w:type="dxa"/>
            <w:tcBorders>
              <w:top w:val="nil"/>
              <w:left w:val="nil"/>
              <w:bottom w:val="single" w:sz="4" w:space="0" w:color="auto"/>
              <w:right w:val="nil"/>
            </w:tcBorders>
            <w:shd w:val="clear" w:color="auto" w:fill="auto"/>
            <w:noWrap/>
            <w:vAlign w:val="bottom"/>
            <w:hideMark/>
          </w:tcPr>
          <w:p w14:paraId="10D75B74" w14:textId="77777777" w:rsidR="00061496" w:rsidRDefault="00061496">
            <w:pPr>
              <w:jc w:val="right"/>
              <w:rPr>
                <w:color w:val="000000"/>
                <w:sz w:val="20"/>
                <w:szCs w:val="20"/>
              </w:rPr>
            </w:pPr>
            <w:r>
              <w:rPr>
                <w:color w:val="000000"/>
                <w:sz w:val="20"/>
                <w:szCs w:val="20"/>
              </w:rPr>
              <w:t>0.669</w:t>
            </w:r>
          </w:p>
        </w:tc>
        <w:tc>
          <w:tcPr>
            <w:tcW w:w="864" w:type="dxa"/>
            <w:tcBorders>
              <w:top w:val="nil"/>
              <w:left w:val="nil"/>
              <w:bottom w:val="single" w:sz="4" w:space="0" w:color="auto"/>
              <w:right w:val="nil"/>
            </w:tcBorders>
            <w:shd w:val="clear" w:color="auto" w:fill="auto"/>
            <w:noWrap/>
            <w:vAlign w:val="bottom"/>
            <w:hideMark/>
          </w:tcPr>
          <w:p w14:paraId="30DC1ACD" w14:textId="77777777" w:rsidR="00061496" w:rsidRDefault="00061496">
            <w:pPr>
              <w:jc w:val="right"/>
              <w:rPr>
                <w:color w:val="000000"/>
                <w:sz w:val="20"/>
                <w:szCs w:val="20"/>
              </w:rPr>
            </w:pPr>
            <w:r>
              <w:rPr>
                <w:color w:val="000000"/>
                <w:sz w:val="20"/>
                <w:szCs w:val="20"/>
              </w:rPr>
              <w:t>0.002</w:t>
            </w:r>
          </w:p>
        </w:tc>
      </w:tr>
      <w:tr w:rsidR="00061496" w14:paraId="7E39BDD5" w14:textId="77777777" w:rsidTr="00061496">
        <w:trPr>
          <w:trHeight w:val="320"/>
        </w:trPr>
        <w:tc>
          <w:tcPr>
            <w:tcW w:w="1152" w:type="dxa"/>
            <w:tcBorders>
              <w:top w:val="nil"/>
              <w:left w:val="nil"/>
              <w:bottom w:val="nil"/>
              <w:right w:val="nil"/>
            </w:tcBorders>
            <w:shd w:val="clear" w:color="auto" w:fill="auto"/>
            <w:noWrap/>
            <w:vAlign w:val="bottom"/>
            <w:hideMark/>
          </w:tcPr>
          <w:p w14:paraId="338FC341" w14:textId="77777777" w:rsidR="00061496" w:rsidRDefault="00061496">
            <w:pPr>
              <w:rPr>
                <w:color w:val="000000"/>
                <w:sz w:val="20"/>
                <w:szCs w:val="20"/>
              </w:rPr>
            </w:pPr>
            <w:r>
              <w:rPr>
                <w:color w:val="000000"/>
                <w:sz w:val="20"/>
                <w:szCs w:val="20"/>
              </w:rPr>
              <w:t>Threshold 23%</w:t>
            </w:r>
          </w:p>
        </w:tc>
        <w:tc>
          <w:tcPr>
            <w:tcW w:w="2160" w:type="dxa"/>
            <w:tcBorders>
              <w:top w:val="nil"/>
              <w:left w:val="nil"/>
              <w:bottom w:val="nil"/>
              <w:right w:val="nil"/>
            </w:tcBorders>
            <w:shd w:val="clear" w:color="auto" w:fill="auto"/>
            <w:noWrap/>
            <w:vAlign w:val="center"/>
            <w:hideMark/>
          </w:tcPr>
          <w:p w14:paraId="2D425820" w14:textId="77777777" w:rsidR="00061496" w:rsidRDefault="0006149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653B905A" w14:textId="77777777" w:rsidR="00061496" w:rsidRDefault="00061496">
            <w:pPr>
              <w:jc w:val="right"/>
              <w:rPr>
                <w:color w:val="000000"/>
                <w:sz w:val="20"/>
                <w:szCs w:val="20"/>
              </w:rPr>
            </w:pPr>
            <w:r>
              <w:rPr>
                <w:color w:val="000000"/>
                <w:sz w:val="20"/>
                <w:szCs w:val="20"/>
              </w:rPr>
              <w:t>0.025</w:t>
            </w:r>
          </w:p>
        </w:tc>
        <w:tc>
          <w:tcPr>
            <w:tcW w:w="864" w:type="dxa"/>
            <w:tcBorders>
              <w:top w:val="nil"/>
              <w:left w:val="nil"/>
              <w:bottom w:val="nil"/>
              <w:right w:val="nil"/>
            </w:tcBorders>
            <w:shd w:val="clear" w:color="auto" w:fill="auto"/>
            <w:noWrap/>
            <w:vAlign w:val="bottom"/>
            <w:hideMark/>
          </w:tcPr>
          <w:p w14:paraId="391DA689" w14:textId="77777777" w:rsidR="00061496" w:rsidRDefault="00061496">
            <w:pPr>
              <w:jc w:val="right"/>
              <w:rPr>
                <w:color w:val="000000"/>
                <w:sz w:val="20"/>
                <w:szCs w:val="20"/>
              </w:rPr>
            </w:pPr>
            <w:r>
              <w:rPr>
                <w:color w:val="000000"/>
                <w:sz w:val="20"/>
                <w:szCs w:val="20"/>
              </w:rPr>
              <w:t>0.450</w:t>
            </w:r>
          </w:p>
        </w:tc>
        <w:tc>
          <w:tcPr>
            <w:tcW w:w="864" w:type="dxa"/>
            <w:tcBorders>
              <w:top w:val="nil"/>
              <w:left w:val="nil"/>
              <w:bottom w:val="nil"/>
              <w:right w:val="nil"/>
            </w:tcBorders>
            <w:shd w:val="clear" w:color="auto" w:fill="auto"/>
            <w:noWrap/>
            <w:vAlign w:val="bottom"/>
            <w:hideMark/>
          </w:tcPr>
          <w:p w14:paraId="418AA771"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F467370" w14:textId="77777777" w:rsidR="00061496" w:rsidRDefault="00061496">
            <w:pPr>
              <w:jc w:val="right"/>
              <w:rPr>
                <w:color w:val="000000"/>
                <w:sz w:val="20"/>
                <w:szCs w:val="20"/>
              </w:rPr>
            </w:pPr>
            <w:r>
              <w:rPr>
                <w:color w:val="000000"/>
                <w:sz w:val="20"/>
                <w:szCs w:val="20"/>
              </w:rPr>
              <w:t>0.022</w:t>
            </w:r>
          </w:p>
        </w:tc>
        <w:tc>
          <w:tcPr>
            <w:tcW w:w="864" w:type="dxa"/>
            <w:tcBorders>
              <w:top w:val="nil"/>
              <w:left w:val="nil"/>
              <w:bottom w:val="nil"/>
              <w:right w:val="nil"/>
            </w:tcBorders>
            <w:shd w:val="clear" w:color="auto" w:fill="auto"/>
            <w:noWrap/>
            <w:vAlign w:val="bottom"/>
            <w:hideMark/>
          </w:tcPr>
          <w:p w14:paraId="4CC78447" w14:textId="77777777" w:rsidR="00061496" w:rsidRDefault="00061496">
            <w:pPr>
              <w:jc w:val="right"/>
              <w:rPr>
                <w:color w:val="000000"/>
                <w:sz w:val="20"/>
                <w:szCs w:val="20"/>
              </w:rPr>
            </w:pPr>
            <w:r>
              <w:rPr>
                <w:color w:val="000000"/>
                <w:sz w:val="20"/>
                <w:szCs w:val="20"/>
              </w:rPr>
              <w:t>0.521</w:t>
            </w:r>
          </w:p>
        </w:tc>
        <w:tc>
          <w:tcPr>
            <w:tcW w:w="864" w:type="dxa"/>
            <w:tcBorders>
              <w:top w:val="nil"/>
              <w:left w:val="nil"/>
              <w:bottom w:val="nil"/>
              <w:right w:val="nil"/>
            </w:tcBorders>
            <w:shd w:val="clear" w:color="auto" w:fill="auto"/>
            <w:noWrap/>
            <w:vAlign w:val="bottom"/>
            <w:hideMark/>
          </w:tcPr>
          <w:p w14:paraId="1D2A638C" w14:textId="77777777" w:rsidR="00061496" w:rsidRDefault="00061496">
            <w:pPr>
              <w:jc w:val="right"/>
              <w:rPr>
                <w:color w:val="000000"/>
                <w:sz w:val="20"/>
                <w:szCs w:val="20"/>
              </w:rPr>
            </w:pPr>
            <w:r>
              <w:rPr>
                <w:color w:val="000000"/>
                <w:sz w:val="20"/>
                <w:szCs w:val="20"/>
              </w:rPr>
              <w:t>0.000</w:t>
            </w:r>
          </w:p>
        </w:tc>
      </w:tr>
      <w:tr w:rsidR="00061496" w14:paraId="6473078D" w14:textId="77777777" w:rsidTr="00061496">
        <w:trPr>
          <w:trHeight w:val="320"/>
        </w:trPr>
        <w:tc>
          <w:tcPr>
            <w:tcW w:w="1152" w:type="dxa"/>
            <w:tcBorders>
              <w:top w:val="nil"/>
              <w:left w:val="nil"/>
              <w:bottom w:val="nil"/>
              <w:right w:val="nil"/>
            </w:tcBorders>
            <w:shd w:val="clear" w:color="auto" w:fill="auto"/>
            <w:noWrap/>
            <w:vAlign w:val="bottom"/>
            <w:hideMark/>
          </w:tcPr>
          <w:p w14:paraId="08349BA1"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5431DB8" w14:textId="77777777" w:rsidR="00061496" w:rsidRDefault="0006149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5AD7F874" w14:textId="77777777" w:rsidR="00061496" w:rsidRDefault="00061496">
            <w:pPr>
              <w:jc w:val="right"/>
              <w:rPr>
                <w:b/>
                <w:bCs/>
                <w:color w:val="000000"/>
                <w:sz w:val="20"/>
                <w:szCs w:val="20"/>
              </w:rPr>
            </w:pPr>
            <w:r>
              <w:rPr>
                <w:b/>
                <w:bCs/>
                <w:color w:val="000000"/>
                <w:sz w:val="20"/>
                <w:szCs w:val="20"/>
              </w:rPr>
              <w:t>-0.098</w:t>
            </w:r>
          </w:p>
        </w:tc>
        <w:tc>
          <w:tcPr>
            <w:tcW w:w="864" w:type="dxa"/>
            <w:tcBorders>
              <w:top w:val="nil"/>
              <w:left w:val="nil"/>
              <w:bottom w:val="nil"/>
              <w:right w:val="nil"/>
            </w:tcBorders>
            <w:shd w:val="clear" w:color="auto" w:fill="auto"/>
            <w:noWrap/>
            <w:vAlign w:val="bottom"/>
            <w:hideMark/>
          </w:tcPr>
          <w:p w14:paraId="2A636776" w14:textId="77777777" w:rsidR="00061496" w:rsidRDefault="00061496">
            <w:pPr>
              <w:jc w:val="right"/>
              <w:rPr>
                <w:b/>
                <w:bCs/>
                <w:color w:val="000000"/>
                <w:sz w:val="20"/>
                <w:szCs w:val="20"/>
              </w:rPr>
            </w:pPr>
            <w:r>
              <w:rPr>
                <w:b/>
                <w:bCs/>
                <w:color w:val="000000"/>
                <w:sz w:val="20"/>
                <w:szCs w:val="20"/>
              </w:rPr>
              <w:t>0.048</w:t>
            </w:r>
          </w:p>
        </w:tc>
        <w:tc>
          <w:tcPr>
            <w:tcW w:w="864" w:type="dxa"/>
            <w:tcBorders>
              <w:top w:val="nil"/>
              <w:left w:val="nil"/>
              <w:bottom w:val="nil"/>
              <w:right w:val="nil"/>
            </w:tcBorders>
            <w:shd w:val="clear" w:color="auto" w:fill="auto"/>
            <w:noWrap/>
            <w:vAlign w:val="bottom"/>
            <w:hideMark/>
          </w:tcPr>
          <w:p w14:paraId="4284F43B" w14:textId="77777777" w:rsidR="00061496" w:rsidRDefault="00061496">
            <w:pPr>
              <w:jc w:val="right"/>
              <w:rPr>
                <w:b/>
                <w:bCs/>
                <w:color w:val="000000"/>
                <w:sz w:val="20"/>
                <w:szCs w:val="20"/>
              </w:rPr>
            </w:pPr>
            <w:r>
              <w:rPr>
                <w:b/>
                <w:bCs/>
                <w:color w:val="000000"/>
                <w:sz w:val="20"/>
                <w:szCs w:val="20"/>
              </w:rPr>
              <w:t>0.010</w:t>
            </w:r>
          </w:p>
        </w:tc>
        <w:tc>
          <w:tcPr>
            <w:tcW w:w="864" w:type="dxa"/>
            <w:tcBorders>
              <w:top w:val="nil"/>
              <w:left w:val="nil"/>
              <w:bottom w:val="nil"/>
              <w:right w:val="nil"/>
            </w:tcBorders>
            <w:shd w:val="clear" w:color="auto" w:fill="auto"/>
            <w:noWrap/>
            <w:vAlign w:val="bottom"/>
            <w:hideMark/>
          </w:tcPr>
          <w:p w14:paraId="019A5786" w14:textId="77777777" w:rsidR="00061496" w:rsidRDefault="00061496">
            <w:pPr>
              <w:jc w:val="right"/>
              <w:rPr>
                <w:b/>
                <w:bCs/>
                <w:color w:val="000000"/>
                <w:sz w:val="20"/>
                <w:szCs w:val="20"/>
              </w:rPr>
            </w:pPr>
            <w:r>
              <w:rPr>
                <w:b/>
                <w:bCs/>
                <w:color w:val="000000"/>
                <w:sz w:val="20"/>
                <w:szCs w:val="20"/>
              </w:rPr>
              <w:t>-0.074</w:t>
            </w:r>
          </w:p>
        </w:tc>
        <w:tc>
          <w:tcPr>
            <w:tcW w:w="864" w:type="dxa"/>
            <w:tcBorders>
              <w:top w:val="nil"/>
              <w:left w:val="nil"/>
              <w:bottom w:val="nil"/>
              <w:right w:val="nil"/>
            </w:tcBorders>
            <w:shd w:val="clear" w:color="auto" w:fill="auto"/>
            <w:noWrap/>
            <w:vAlign w:val="bottom"/>
            <w:hideMark/>
          </w:tcPr>
          <w:p w14:paraId="191C6C39" w14:textId="77777777" w:rsidR="00061496" w:rsidRDefault="00061496">
            <w:pPr>
              <w:jc w:val="right"/>
              <w:rPr>
                <w:b/>
                <w:bCs/>
                <w:color w:val="000000"/>
                <w:sz w:val="20"/>
                <w:szCs w:val="20"/>
              </w:rPr>
            </w:pPr>
            <w:r>
              <w:rPr>
                <w:b/>
                <w:bCs/>
                <w:color w:val="000000"/>
                <w:sz w:val="20"/>
                <w:szCs w:val="20"/>
              </w:rPr>
              <w:t>0.120</w:t>
            </w:r>
          </w:p>
        </w:tc>
        <w:tc>
          <w:tcPr>
            <w:tcW w:w="864" w:type="dxa"/>
            <w:tcBorders>
              <w:top w:val="nil"/>
              <w:left w:val="nil"/>
              <w:bottom w:val="nil"/>
              <w:right w:val="nil"/>
            </w:tcBorders>
            <w:shd w:val="clear" w:color="auto" w:fill="auto"/>
            <w:noWrap/>
            <w:vAlign w:val="bottom"/>
            <w:hideMark/>
          </w:tcPr>
          <w:p w14:paraId="7270978E" w14:textId="77777777" w:rsidR="00061496" w:rsidRDefault="00061496">
            <w:pPr>
              <w:jc w:val="right"/>
              <w:rPr>
                <w:b/>
                <w:bCs/>
                <w:color w:val="000000"/>
                <w:sz w:val="20"/>
                <w:szCs w:val="20"/>
              </w:rPr>
            </w:pPr>
            <w:r>
              <w:rPr>
                <w:b/>
                <w:bCs/>
                <w:color w:val="000000"/>
                <w:sz w:val="20"/>
                <w:szCs w:val="20"/>
              </w:rPr>
              <w:t>0.005</w:t>
            </w:r>
          </w:p>
        </w:tc>
      </w:tr>
      <w:tr w:rsidR="00061496" w14:paraId="0C0E2D9A" w14:textId="77777777" w:rsidTr="00061496">
        <w:trPr>
          <w:trHeight w:val="320"/>
        </w:trPr>
        <w:tc>
          <w:tcPr>
            <w:tcW w:w="1152" w:type="dxa"/>
            <w:tcBorders>
              <w:top w:val="nil"/>
              <w:left w:val="nil"/>
              <w:bottom w:val="nil"/>
              <w:right w:val="nil"/>
            </w:tcBorders>
            <w:shd w:val="clear" w:color="auto" w:fill="auto"/>
            <w:noWrap/>
            <w:vAlign w:val="bottom"/>
            <w:hideMark/>
          </w:tcPr>
          <w:p w14:paraId="2BF5901B" w14:textId="77777777" w:rsidR="00061496" w:rsidRDefault="0006149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06A61429" w14:textId="77777777" w:rsidR="00061496" w:rsidRDefault="0006149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2C600CC9" w14:textId="77777777" w:rsidR="00061496" w:rsidRDefault="00061496">
            <w:pPr>
              <w:jc w:val="right"/>
              <w:rPr>
                <w:color w:val="000000"/>
                <w:sz w:val="20"/>
                <w:szCs w:val="20"/>
              </w:rPr>
            </w:pPr>
            <w:r>
              <w:rPr>
                <w:color w:val="000000"/>
                <w:sz w:val="20"/>
                <w:szCs w:val="20"/>
              </w:rPr>
              <w:t>-0.036</w:t>
            </w:r>
          </w:p>
        </w:tc>
        <w:tc>
          <w:tcPr>
            <w:tcW w:w="864" w:type="dxa"/>
            <w:tcBorders>
              <w:top w:val="nil"/>
              <w:left w:val="nil"/>
              <w:bottom w:val="nil"/>
              <w:right w:val="nil"/>
            </w:tcBorders>
            <w:shd w:val="clear" w:color="auto" w:fill="auto"/>
            <w:noWrap/>
            <w:vAlign w:val="bottom"/>
            <w:hideMark/>
          </w:tcPr>
          <w:p w14:paraId="7BD75514" w14:textId="77777777" w:rsidR="00061496" w:rsidRDefault="00061496">
            <w:pPr>
              <w:jc w:val="right"/>
              <w:rPr>
                <w:color w:val="000000"/>
                <w:sz w:val="20"/>
                <w:szCs w:val="20"/>
              </w:rPr>
            </w:pPr>
            <w:r>
              <w:rPr>
                <w:color w:val="000000"/>
                <w:sz w:val="20"/>
                <w:szCs w:val="20"/>
              </w:rPr>
              <w:t>0.450</w:t>
            </w:r>
          </w:p>
        </w:tc>
        <w:tc>
          <w:tcPr>
            <w:tcW w:w="864" w:type="dxa"/>
            <w:tcBorders>
              <w:top w:val="nil"/>
              <w:left w:val="nil"/>
              <w:bottom w:val="nil"/>
              <w:right w:val="nil"/>
            </w:tcBorders>
            <w:shd w:val="clear" w:color="auto" w:fill="auto"/>
            <w:noWrap/>
            <w:vAlign w:val="bottom"/>
            <w:hideMark/>
          </w:tcPr>
          <w:p w14:paraId="0EE7ED36"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7283D75A" w14:textId="77777777" w:rsidR="00061496" w:rsidRDefault="00061496">
            <w:pPr>
              <w:jc w:val="right"/>
              <w:rPr>
                <w:color w:val="000000"/>
                <w:sz w:val="20"/>
                <w:szCs w:val="20"/>
              </w:rPr>
            </w:pPr>
            <w:r>
              <w:rPr>
                <w:color w:val="000000"/>
                <w:sz w:val="20"/>
                <w:szCs w:val="20"/>
              </w:rPr>
              <w:t>-0.016</w:t>
            </w:r>
          </w:p>
        </w:tc>
        <w:tc>
          <w:tcPr>
            <w:tcW w:w="864" w:type="dxa"/>
            <w:tcBorders>
              <w:top w:val="nil"/>
              <w:left w:val="nil"/>
              <w:bottom w:val="nil"/>
              <w:right w:val="nil"/>
            </w:tcBorders>
            <w:shd w:val="clear" w:color="auto" w:fill="auto"/>
            <w:noWrap/>
            <w:vAlign w:val="bottom"/>
            <w:hideMark/>
          </w:tcPr>
          <w:p w14:paraId="46E99460" w14:textId="77777777" w:rsidR="00061496" w:rsidRDefault="00061496">
            <w:pPr>
              <w:jc w:val="right"/>
              <w:rPr>
                <w:color w:val="000000"/>
                <w:sz w:val="20"/>
                <w:szCs w:val="20"/>
              </w:rPr>
            </w:pPr>
            <w:r>
              <w:rPr>
                <w:color w:val="000000"/>
                <w:sz w:val="20"/>
                <w:szCs w:val="20"/>
              </w:rPr>
              <w:t>0.647</w:t>
            </w:r>
          </w:p>
        </w:tc>
        <w:tc>
          <w:tcPr>
            <w:tcW w:w="864" w:type="dxa"/>
            <w:tcBorders>
              <w:top w:val="nil"/>
              <w:left w:val="nil"/>
              <w:bottom w:val="nil"/>
              <w:right w:val="nil"/>
            </w:tcBorders>
            <w:shd w:val="clear" w:color="auto" w:fill="auto"/>
            <w:noWrap/>
            <w:vAlign w:val="bottom"/>
            <w:hideMark/>
          </w:tcPr>
          <w:p w14:paraId="09EE0A4F" w14:textId="77777777" w:rsidR="00061496" w:rsidRDefault="00061496">
            <w:pPr>
              <w:jc w:val="right"/>
              <w:rPr>
                <w:color w:val="000000"/>
                <w:sz w:val="20"/>
                <w:szCs w:val="20"/>
              </w:rPr>
            </w:pPr>
            <w:r>
              <w:rPr>
                <w:color w:val="000000"/>
                <w:sz w:val="20"/>
                <w:szCs w:val="20"/>
              </w:rPr>
              <w:t>0.000</w:t>
            </w:r>
          </w:p>
        </w:tc>
      </w:tr>
      <w:tr w:rsidR="00061496" w14:paraId="34901BE3" w14:textId="77777777" w:rsidTr="00061496">
        <w:trPr>
          <w:trHeight w:val="320"/>
        </w:trPr>
        <w:tc>
          <w:tcPr>
            <w:tcW w:w="1152" w:type="dxa"/>
            <w:tcBorders>
              <w:top w:val="nil"/>
              <w:left w:val="nil"/>
              <w:bottom w:val="nil"/>
              <w:right w:val="nil"/>
            </w:tcBorders>
            <w:shd w:val="clear" w:color="auto" w:fill="auto"/>
            <w:noWrap/>
            <w:vAlign w:val="bottom"/>
            <w:hideMark/>
          </w:tcPr>
          <w:p w14:paraId="16F82991"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95F5121" w14:textId="77777777" w:rsidR="00061496" w:rsidRDefault="0006149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68B83454" w14:textId="77777777" w:rsidR="00061496" w:rsidRDefault="00061496">
            <w:pPr>
              <w:jc w:val="right"/>
              <w:rPr>
                <w:color w:val="000000"/>
                <w:sz w:val="20"/>
                <w:szCs w:val="20"/>
              </w:rPr>
            </w:pPr>
            <w:r>
              <w:rPr>
                <w:color w:val="000000"/>
                <w:sz w:val="20"/>
                <w:szCs w:val="20"/>
              </w:rPr>
              <w:t>0.044</w:t>
            </w:r>
          </w:p>
        </w:tc>
        <w:tc>
          <w:tcPr>
            <w:tcW w:w="864" w:type="dxa"/>
            <w:tcBorders>
              <w:top w:val="nil"/>
              <w:left w:val="nil"/>
              <w:bottom w:val="nil"/>
              <w:right w:val="nil"/>
            </w:tcBorders>
            <w:shd w:val="clear" w:color="auto" w:fill="auto"/>
            <w:noWrap/>
            <w:vAlign w:val="bottom"/>
            <w:hideMark/>
          </w:tcPr>
          <w:p w14:paraId="7DBC7672" w14:textId="77777777" w:rsidR="00061496" w:rsidRDefault="00061496">
            <w:pPr>
              <w:jc w:val="right"/>
              <w:rPr>
                <w:color w:val="000000"/>
                <w:sz w:val="20"/>
                <w:szCs w:val="20"/>
              </w:rPr>
            </w:pPr>
            <w:r>
              <w:rPr>
                <w:color w:val="000000"/>
                <w:sz w:val="20"/>
                <w:szCs w:val="20"/>
              </w:rPr>
              <w:t>0.450</w:t>
            </w:r>
          </w:p>
        </w:tc>
        <w:tc>
          <w:tcPr>
            <w:tcW w:w="864" w:type="dxa"/>
            <w:tcBorders>
              <w:top w:val="nil"/>
              <w:left w:val="nil"/>
              <w:bottom w:val="nil"/>
              <w:right w:val="nil"/>
            </w:tcBorders>
            <w:shd w:val="clear" w:color="auto" w:fill="auto"/>
            <w:noWrap/>
            <w:vAlign w:val="bottom"/>
            <w:hideMark/>
          </w:tcPr>
          <w:p w14:paraId="4218DDE3" w14:textId="77777777" w:rsidR="00061496" w:rsidRDefault="0006149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4F052BA6" w14:textId="77777777" w:rsidR="00061496" w:rsidRDefault="00061496">
            <w:pPr>
              <w:jc w:val="right"/>
              <w:rPr>
                <w:color w:val="000000"/>
                <w:sz w:val="20"/>
                <w:szCs w:val="20"/>
              </w:rPr>
            </w:pPr>
            <w:r>
              <w:rPr>
                <w:color w:val="000000"/>
                <w:sz w:val="20"/>
                <w:szCs w:val="20"/>
              </w:rPr>
              <w:t>0.063</w:t>
            </w:r>
          </w:p>
        </w:tc>
        <w:tc>
          <w:tcPr>
            <w:tcW w:w="864" w:type="dxa"/>
            <w:tcBorders>
              <w:top w:val="nil"/>
              <w:left w:val="nil"/>
              <w:bottom w:val="nil"/>
              <w:right w:val="nil"/>
            </w:tcBorders>
            <w:shd w:val="clear" w:color="auto" w:fill="auto"/>
            <w:noWrap/>
            <w:vAlign w:val="bottom"/>
            <w:hideMark/>
          </w:tcPr>
          <w:p w14:paraId="14686583" w14:textId="77777777" w:rsidR="00061496" w:rsidRDefault="00061496">
            <w:pPr>
              <w:jc w:val="right"/>
              <w:rPr>
                <w:color w:val="000000"/>
                <w:sz w:val="20"/>
                <w:szCs w:val="20"/>
              </w:rPr>
            </w:pPr>
            <w:r>
              <w:rPr>
                <w:color w:val="000000"/>
                <w:sz w:val="20"/>
                <w:szCs w:val="20"/>
              </w:rPr>
              <w:t>0.133</w:t>
            </w:r>
          </w:p>
        </w:tc>
        <w:tc>
          <w:tcPr>
            <w:tcW w:w="864" w:type="dxa"/>
            <w:tcBorders>
              <w:top w:val="nil"/>
              <w:left w:val="nil"/>
              <w:bottom w:val="nil"/>
              <w:right w:val="nil"/>
            </w:tcBorders>
            <w:shd w:val="clear" w:color="auto" w:fill="auto"/>
            <w:noWrap/>
            <w:vAlign w:val="bottom"/>
            <w:hideMark/>
          </w:tcPr>
          <w:p w14:paraId="040AFCC7" w14:textId="77777777" w:rsidR="00061496" w:rsidRDefault="00061496">
            <w:pPr>
              <w:jc w:val="right"/>
              <w:rPr>
                <w:color w:val="000000"/>
                <w:sz w:val="20"/>
                <w:szCs w:val="20"/>
              </w:rPr>
            </w:pPr>
            <w:r>
              <w:rPr>
                <w:color w:val="000000"/>
                <w:sz w:val="20"/>
                <w:szCs w:val="20"/>
              </w:rPr>
              <w:t>0.004</w:t>
            </w:r>
          </w:p>
        </w:tc>
      </w:tr>
      <w:tr w:rsidR="00061496" w14:paraId="4026ADEB" w14:textId="77777777" w:rsidTr="00061496">
        <w:trPr>
          <w:trHeight w:val="320"/>
        </w:trPr>
        <w:tc>
          <w:tcPr>
            <w:tcW w:w="1152" w:type="dxa"/>
            <w:tcBorders>
              <w:top w:val="nil"/>
              <w:left w:val="nil"/>
              <w:bottom w:val="nil"/>
              <w:right w:val="nil"/>
            </w:tcBorders>
            <w:shd w:val="clear" w:color="auto" w:fill="auto"/>
            <w:noWrap/>
            <w:vAlign w:val="bottom"/>
            <w:hideMark/>
          </w:tcPr>
          <w:p w14:paraId="178A92C8"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3A2DC8CA" w14:textId="77777777" w:rsidR="00061496" w:rsidRDefault="0006149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097CC7D3" w14:textId="77777777" w:rsidR="00061496" w:rsidRDefault="00061496">
            <w:pPr>
              <w:jc w:val="right"/>
              <w:rPr>
                <w:color w:val="000000"/>
                <w:sz w:val="20"/>
                <w:szCs w:val="20"/>
              </w:rPr>
            </w:pPr>
            <w:r>
              <w:rPr>
                <w:color w:val="000000"/>
                <w:sz w:val="20"/>
                <w:szCs w:val="20"/>
              </w:rPr>
              <w:t>-0.066</w:t>
            </w:r>
          </w:p>
        </w:tc>
        <w:tc>
          <w:tcPr>
            <w:tcW w:w="864" w:type="dxa"/>
            <w:tcBorders>
              <w:top w:val="nil"/>
              <w:left w:val="nil"/>
              <w:bottom w:val="nil"/>
              <w:right w:val="nil"/>
            </w:tcBorders>
            <w:shd w:val="clear" w:color="auto" w:fill="auto"/>
            <w:noWrap/>
            <w:vAlign w:val="bottom"/>
            <w:hideMark/>
          </w:tcPr>
          <w:p w14:paraId="130AA659" w14:textId="77777777" w:rsidR="00061496" w:rsidRDefault="00061496">
            <w:pPr>
              <w:jc w:val="right"/>
              <w:rPr>
                <w:color w:val="000000"/>
                <w:sz w:val="20"/>
                <w:szCs w:val="20"/>
              </w:rPr>
            </w:pPr>
            <w:r>
              <w:rPr>
                <w:color w:val="000000"/>
                <w:sz w:val="20"/>
                <w:szCs w:val="20"/>
              </w:rPr>
              <w:t>0.168</w:t>
            </w:r>
          </w:p>
        </w:tc>
        <w:tc>
          <w:tcPr>
            <w:tcW w:w="864" w:type="dxa"/>
            <w:tcBorders>
              <w:top w:val="nil"/>
              <w:left w:val="nil"/>
              <w:bottom w:val="nil"/>
              <w:right w:val="nil"/>
            </w:tcBorders>
            <w:shd w:val="clear" w:color="auto" w:fill="auto"/>
            <w:noWrap/>
            <w:vAlign w:val="bottom"/>
            <w:hideMark/>
          </w:tcPr>
          <w:p w14:paraId="1A9C5CC1" w14:textId="77777777" w:rsidR="00061496" w:rsidRDefault="00061496">
            <w:pPr>
              <w:jc w:val="right"/>
              <w:rPr>
                <w:color w:val="000000"/>
                <w:sz w:val="20"/>
                <w:szCs w:val="20"/>
              </w:rPr>
            </w:pPr>
            <w:r>
              <w:rPr>
                <w:color w:val="000000"/>
                <w:sz w:val="20"/>
                <w:szCs w:val="20"/>
              </w:rPr>
              <w:t>0.004</w:t>
            </w:r>
          </w:p>
        </w:tc>
        <w:tc>
          <w:tcPr>
            <w:tcW w:w="864" w:type="dxa"/>
            <w:tcBorders>
              <w:top w:val="nil"/>
              <w:left w:val="nil"/>
              <w:bottom w:val="nil"/>
              <w:right w:val="nil"/>
            </w:tcBorders>
            <w:shd w:val="clear" w:color="auto" w:fill="auto"/>
            <w:noWrap/>
            <w:vAlign w:val="bottom"/>
            <w:hideMark/>
          </w:tcPr>
          <w:p w14:paraId="7B9F2955" w14:textId="77777777" w:rsidR="00061496" w:rsidRDefault="00061496">
            <w:pPr>
              <w:jc w:val="right"/>
              <w:rPr>
                <w:color w:val="000000"/>
                <w:sz w:val="20"/>
                <w:szCs w:val="20"/>
              </w:rPr>
            </w:pPr>
            <w:r>
              <w:rPr>
                <w:color w:val="000000"/>
                <w:sz w:val="20"/>
                <w:szCs w:val="20"/>
              </w:rPr>
              <w:t>-0.058</w:t>
            </w:r>
          </w:p>
        </w:tc>
        <w:tc>
          <w:tcPr>
            <w:tcW w:w="864" w:type="dxa"/>
            <w:tcBorders>
              <w:top w:val="nil"/>
              <w:left w:val="nil"/>
              <w:bottom w:val="nil"/>
              <w:right w:val="nil"/>
            </w:tcBorders>
            <w:shd w:val="clear" w:color="auto" w:fill="auto"/>
            <w:noWrap/>
            <w:vAlign w:val="bottom"/>
            <w:hideMark/>
          </w:tcPr>
          <w:p w14:paraId="24019E30" w14:textId="77777777" w:rsidR="00061496" w:rsidRDefault="00061496">
            <w:pPr>
              <w:jc w:val="right"/>
              <w:rPr>
                <w:color w:val="000000"/>
                <w:sz w:val="20"/>
                <w:szCs w:val="20"/>
              </w:rPr>
            </w:pPr>
            <w:r>
              <w:rPr>
                <w:color w:val="000000"/>
                <w:sz w:val="20"/>
                <w:szCs w:val="20"/>
              </w:rPr>
              <w:t>0.133</w:t>
            </w:r>
          </w:p>
        </w:tc>
        <w:tc>
          <w:tcPr>
            <w:tcW w:w="864" w:type="dxa"/>
            <w:tcBorders>
              <w:top w:val="nil"/>
              <w:left w:val="nil"/>
              <w:bottom w:val="nil"/>
              <w:right w:val="nil"/>
            </w:tcBorders>
            <w:shd w:val="clear" w:color="auto" w:fill="auto"/>
            <w:noWrap/>
            <w:vAlign w:val="bottom"/>
            <w:hideMark/>
          </w:tcPr>
          <w:p w14:paraId="6D1E5819" w14:textId="77777777" w:rsidR="00061496" w:rsidRDefault="00061496">
            <w:pPr>
              <w:jc w:val="right"/>
              <w:rPr>
                <w:color w:val="000000"/>
                <w:sz w:val="20"/>
                <w:szCs w:val="20"/>
              </w:rPr>
            </w:pPr>
            <w:r>
              <w:rPr>
                <w:color w:val="000000"/>
                <w:sz w:val="20"/>
                <w:szCs w:val="20"/>
              </w:rPr>
              <w:t>0.003</w:t>
            </w:r>
          </w:p>
        </w:tc>
      </w:tr>
      <w:tr w:rsidR="00061496" w14:paraId="20AFF346" w14:textId="77777777" w:rsidTr="00061496">
        <w:trPr>
          <w:trHeight w:val="320"/>
        </w:trPr>
        <w:tc>
          <w:tcPr>
            <w:tcW w:w="1152" w:type="dxa"/>
            <w:tcBorders>
              <w:top w:val="nil"/>
              <w:left w:val="nil"/>
              <w:bottom w:val="nil"/>
              <w:right w:val="nil"/>
            </w:tcBorders>
            <w:shd w:val="clear" w:color="auto" w:fill="auto"/>
            <w:noWrap/>
            <w:vAlign w:val="bottom"/>
            <w:hideMark/>
          </w:tcPr>
          <w:p w14:paraId="26EAED82"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DA6659A" w14:textId="77777777" w:rsidR="00061496" w:rsidRDefault="0006149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13948277" w14:textId="77777777" w:rsidR="00061496" w:rsidRDefault="00061496">
            <w:pPr>
              <w:jc w:val="right"/>
              <w:rPr>
                <w:color w:val="000000"/>
                <w:sz w:val="20"/>
                <w:szCs w:val="20"/>
              </w:rPr>
            </w:pPr>
            <w:r>
              <w:rPr>
                <w:color w:val="000000"/>
                <w:sz w:val="20"/>
                <w:szCs w:val="20"/>
              </w:rPr>
              <w:t>-0.038</w:t>
            </w:r>
          </w:p>
        </w:tc>
        <w:tc>
          <w:tcPr>
            <w:tcW w:w="864" w:type="dxa"/>
            <w:tcBorders>
              <w:top w:val="nil"/>
              <w:left w:val="nil"/>
              <w:bottom w:val="nil"/>
              <w:right w:val="nil"/>
            </w:tcBorders>
            <w:shd w:val="clear" w:color="auto" w:fill="auto"/>
            <w:noWrap/>
            <w:vAlign w:val="bottom"/>
            <w:hideMark/>
          </w:tcPr>
          <w:p w14:paraId="435DC794" w14:textId="77777777" w:rsidR="00061496" w:rsidRDefault="00061496">
            <w:pPr>
              <w:jc w:val="right"/>
              <w:rPr>
                <w:color w:val="000000"/>
                <w:sz w:val="20"/>
                <w:szCs w:val="20"/>
              </w:rPr>
            </w:pPr>
            <w:r>
              <w:rPr>
                <w:color w:val="000000"/>
                <w:sz w:val="20"/>
                <w:szCs w:val="20"/>
              </w:rPr>
              <w:t>0.450</w:t>
            </w:r>
          </w:p>
        </w:tc>
        <w:tc>
          <w:tcPr>
            <w:tcW w:w="864" w:type="dxa"/>
            <w:tcBorders>
              <w:top w:val="nil"/>
              <w:left w:val="nil"/>
              <w:bottom w:val="nil"/>
              <w:right w:val="nil"/>
            </w:tcBorders>
            <w:shd w:val="clear" w:color="auto" w:fill="auto"/>
            <w:noWrap/>
            <w:vAlign w:val="bottom"/>
            <w:hideMark/>
          </w:tcPr>
          <w:p w14:paraId="7FBE4304"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11DF0E1" w14:textId="77777777" w:rsidR="00061496" w:rsidRDefault="00061496">
            <w:pPr>
              <w:jc w:val="right"/>
              <w:rPr>
                <w:color w:val="000000"/>
                <w:sz w:val="20"/>
                <w:szCs w:val="20"/>
              </w:rPr>
            </w:pPr>
            <w:r>
              <w:rPr>
                <w:color w:val="000000"/>
                <w:sz w:val="20"/>
                <w:szCs w:val="20"/>
              </w:rPr>
              <w:t>-0.031</w:t>
            </w:r>
          </w:p>
        </w:tc>
        <w:tc>
          <w:tcPr>
            <w:tcW w:w="864" w:type="dxa"/>
            <w:tcBorders>
              <w:top w:val="nil"/>
              <w:left w:val="nil"/>
              <w:bottom w:val="nil"/>
              <w:right w:val="nil"/>
            </w:tcBorders>
            <w:shd w:val="clear" w:color="auto" w:fill="auto"/>
            <w:noWrap/>
            <w:vAlign w:val="bottom"/>
            <w:hideMark/>
          </w:tcPr>
          <w:p w14:paraId="34AECE77" w14:textId="77777777" w:rsidR="00061496" w:rsidRDefault="00061496">
            <w:pPr>
              <w:jc w:val="right"/>
              <w:rPr>
                <w:color w:val="000000"/>
                <w:sz w:val="20"/>
                <w:szCs w:val="20"/>
              </w:rPr>
            </w:pPr>
            <w:r>
              <w:rPr>
                <w:color w:val="000000"/>
                <w:sz w:val="20"/>
                <w:szCs w:val="20"/>
              </w:rPr>
              <w:t>0.404</w:t>
            </w:r>
          </w:p>
        </w:tc>
        <w:tc>
          <w:tcPr>
            <w:tcW w:w="864" w:type="dxa"/>
            <w:tcBorders>
              <w:top w:val="nil"/>
              <w:left w:val="nil"/>
              <w:bottom w:val="nil"/>
              <w:right w:val="nil"/>
            </w:tcBorders>
            <w:shd w:val="clear" w:color="auto" w:fill="auto"/>
            <w:noWrap/>
            <w:vAlign w:val="bottom"/>
            <w:hideMark/>
          </w:tcPr>
          <w:p w14:paraId="31338632" w14:textId="77777777" w:rsidR="00061496" w:rsidRDefault="00061496">
            <w:pPr>
              <w:jc w:val="right"/>
              <w:rPr>
                <w:color w:val="000000"/>
                <w:sz w:val="20"/>
                <w:szCs w:val="20"/>
              </w:rPr>
            </w:pPr>
            <w:r>
              <w:rPr>
                <w:color w:val="000000"/>
                <w:sz w:val="20"/>
                <w:szCs w:val="20"/>
              </w:rPr>
              <w:t>0.001</w:t>
            </w:r>
          </w:p>
        </w:tc>
      </w:tr>
      <w:tr w:rsidR="00061496" w14:paraId="4F6FB788" w14:textId="77777777" w:rsidTr="00061496">
        <w:trPr>
          <w:trHeight w:val="320"/>
        </w:trPr>
        <w:tc>
          <w:tcPr>
            <w:tcW w:w="1152" w:type="dxa"/>
            <w:tcBorders>
              <w:top w:val="nil"/>
              <w:left w:val="nil"/>
              <w:bottom w:val="nil"/>
              <w:right w:val="nil"/>
            </w:tcBorders>
            <w:shd w:val="clear" w:color="auto" w:fill="auto"/>
            <w:noWrap/>
            <w:vAlign w:val="bottom"/>
            <w:hideMark/>
          </w:tcPr>
          <w:p w14:paraId="1914865F"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437397FE" w14:textId="77777777" w:rsidR="00061496" w:rsidRDefault="0006149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449ACEEE" w14:textId="77777777" w:rsidR="00061496" w:rsidRDefault="00061496">
            <w:pPr>
              <w:jc w:val="right"/>
              <w:rPr>
                <w:color w:val="000000"/>
                <w:sz w:val="20"/>
                <w:szCs w:val="20"/>
              </w:rPr>
            </w:pPr>
            <w:r>
              <w:rPr>
                <w:color w:val="000000"/>
                <w:sz w:val="20"/>
                <w:szCs w:val="20"/>
              </w:rPr>
              <w:t>-0.029</w:t>
            </w:r>
          </w:p>
        </w:tc>
        <w:tc>
          <w:tcPr>
            <w:tcW w:w="864" w:type="dxa"/>
            <w:tcBorders>
              <w:top w:val="nil"/>
              <w:left w:val="nil"/>
              <w:bottom w:val="nil"/>
              <w:right w:val="nil"/>
            </w:tcBorders>
            <w:shd w:val="clear" w:color="auto" w:fill="auto"/>
            <w:noWrap/>
            <w:vAlign w:val="bottom"/>
            <w:hideMark/>
          </w:tcPr>
          <w:p w14:paraId="02014A45" w14:textId="77777777" w:rsidR="00061496" w:rsidRDefault="00061496">
            <w:pPr>
              <w:jc w:val="right"/>
              <w:rPr>
                <w:color w:val="000000"/>
                <w:sz w:val="20"/>
                <w:szCs w:val="20"/>
              </w:rPr>
            </w:pPr>
            <w:r>
              <w:rPr>
                <w:color w:val="000000"/>
                <w:sz w:val="20"/>
                <w:szCs w:val="20"/>
              </w:rPr>
              <w:t>0.450</w:t>
            </w:r>
          </w:p>
        </w:tc>
        <w:tc>
          <w:tcPr>
            <w:tcW w:w="864" w:type="dxa"/>
            <w:tcBorders>
              <w:top w:val="nil"/>
              <w:left w:val="nil"/>
              <w:bottom w:val="nil"/>
              <w:right w:val="nil"/>
            </w:tcBorders>
            <w:shd w:val="clear" w:color="auto" w:fill="auto"/>
            <w:noWrap/>
            <w:vAlign w:val="bottom"/>
            <w:hideMark/>
          </w:tcPr>
          <w:p w14:paraId="068AE953"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A25C7BC" w14:textId="77777777" w:rsidR="00061496" w:rsidRDefault="00061496">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366C32B5" w14:textId="77777777" w:rsidR="00061496" w:rsidRDefault="00061496">
            <w:pPr>
              <w:jc w:val="right"/>
              <w:rPr>
                <w:color w:val="000000"/>
                <w:sz w:val="20"/>
                <w:szCs w:val="20"/>
              </w:rPr>
            </w:pPr>
            <w:r>
              <w:rPr>
                <w:color w:val="000000"/>
                <w:sz w:val="20"/>
                <w:szCs w:val="20"/>
              </w:rPr>
              <w:t>0.282</w:t>
            </w:r>
          </w:p>
        </w:tc>
        <w:tc>
          <w:tcPr>
            <w:tcW w:w="864" w:type="dxa"/>
            <w:tcBorders>
              <w:top w:val="nil"/>
              <w:left w:val="nil"/>
              <w:bottom w:val="nil"/>
              <w:right w:val="nil"/>
            </w:tcBorders>
            <w:shd w:val="clear" w:color="auto" w:fill="auto"/>
            <w:noWrap/>
            <w:vAlign w:val="bottom"/>
            <w:hideMark/>
          </w:tcPr>
          <w:p w14:paraId="6FE215EA" w14:textId="77777777" w:rsidR="00061496" w:rsidRDefault="00061496">
            <w:pPr>
              <w:jc w:val="right"/>
              <w:rPr>
                <w:color w:val="000000"/>
                <w:sz w:val="20"/>
                <w:szCs w:val="20"/>
              </w:rPr>
            </w:pPr>
            <w:r>
              <w:rPr>
                <w:color w:val="000000"/>
                <w:sz w:val="20"/>
                <w:szCs w:val="20"/>
              </w:rPr>
              <w:t>0.002</w:t>
            </w:r>
          </w:p>
        </w:tc>
      </w:tr>
      <w:tr w:rsidR="00061496" w14:paraId="42F9F8C7" w14:textId="77777777" w:rsidTr="00061496">
        <w:trPr>
          <w:trHeight w:val="320"/>
        </w:trPr>
        <w:tc>
          <w:tcPr>
            <w:tcW w:w="1152" w:type="dxa"/>
            <w:tcBorders>
              <w:top w:val="nil"/>
              <w:left w:val="nil"/>
              <w:bottom w:val="single" w:sz="4" w:space="0" w:color="auto"/>
              <w:right w:val="nil"/>
            </w:tcBorders>
            <w:shd w:val="clear" w:color="auto" w:fill="auto"/>
            <w:noWrap/>
            <w:vAlign w:val="bottom"/>
            <w:hideMark/>
          </w:tcPr>
          <w:p w14:paraId="0BE0AA43" w14:textId="77777777" w:rsidR="00061496" w:rsidRDefault="00061496">
            <w:pPr>
              <w:rPr>
                <w:color w:val="000000"/>
                <w:sz w:val="20"/>
                <w:szCs w:val="20"/>
              </w:rPr>
            </w:pPr>
            <w:r>
              <w:rPr>
                <w:color w:val="000000"/>
                <w:sz w:val="20"/>
                <w:szCs w:val="20"/>
              </w:rPr>
              <w:t> </w:t>
            </w:r>
          </w:p>
        </w:tc>
        <w:tc>
          <w:tcPr>
            <w:tcW w:w="2160" w:type="dxa"/>
            <w:tcBorders>
              <w:top w:val="nil"/>
              <w:left w:val="nil"/>
              <w:bottom w:val="single" w:sz="4" w:space="0" w:color="auto"/>
              <w:right w:val="nil"/>
            </w:tcBorders>
            <w:shd w:val="clear" w:color="auto" w:fill="auto"/>
            <w:noWrap/>
            <w:vAlign w:val="center"/>
            <w:hideMark/>
          </w:tcPr>
          <w:p w14:paraId="44F07540" w14:textId="77777777" w:rsidR="00061496" w:rsidRDefault="00061496">
            <w:pPr>
              <w:rPr>
                <w:color w:val="000000"/>
                <w:sz w:val="20"/>
                <w:szCs w:val="20"/>
              </w:rPr>
            </w:pPr>
            <w:r>
              <w:rPr>
                <w:color w:val="000000"/>
                <w:sz w:val="20"/>
                <w:szCs w:val="20"/>
              </w:rPr>
              <w:t>Visual Association</w:t>
            </w:r>
          </w:p>
        </w:tc>
        <w:tc>
          <w:tcPr>
            <w:tcW w:w="864" w:type="dxa"/>
            <w:tcBorders>
              <w:top w:val="nil"/>
              <w:left w:val="nil"/>
              <w:bottom w:val="single" w:sz="4" w:space="0" w:color="auto"/>
              <w:right w:val="nil"/>
            </w:tcBorders>
            <w:shd w:val="clear" w:color="auto" w:fill="auto"/>
            <w:noWrap/>
            <w:vAlign w:val="bottom"/>
            <w:hideMark/>
          </w:tcPr>
          <w:p w14:paraId="57CEF8D5" w14:textId="77777777" w:rsidR="00061496" w:rsidRDefault="00061496">
            <w:pPr>
              <w:jc w:val="right"/>
              <w:rPr>
                <w:color w:val="000000"/>
                <w:sz w:val="20"/>
                <w:szCs w:val="20"/>
              </w:rPr>
            </w:pPr>
            <w:r>
              <w:rPr>
                <w:color w:val="000000"/>
                <w:sz w:val="20"/>
                <w:szCs w:val="20"/>
              </w:rPr>
              <w:t>-0.027</w:t>
            </w:r>
          </w:p>
        </w:tc>
        <w:tc>
          <w:tcPr>
            <w:tcW w:w="864" w:type="dxa"/>
            <w:tcBorders>
              <w:top w:val="nil"/>
              <w:left w:val="nil"/>
              <w:bottom w:val="single" w:sz="4" w:space="0" w:color="auto"/>
              <w:right w:val="nil"/>
            </w:tcBorders>
            <w:shd w:val="clear" w:color="auto" w:fill="auto"/>
            <w:noWrap/>
            <w:vAlign w:val="bottom"/>
            <w:hideMark/>
          </w:tcPr>
          <w:p w14:paraId="3A2CE263" w14:textId="77777777" w:rsidR="00061496" w:rsidRDefault="00061496">
            <w:pPr>
              <w:jc w:val="right"/>
              <w:rPr>
                <w:color w:val="000000"/>
                <w:sz w:val="20"/>
                <w:szCs w:val="20"/>
              </w:rPr>
            </w:pPr>
            <w:r>
              <w:rPr>
                <w:color w:val="000000"/>
                <w:sz w:val="20"/>
                <w:szCs w:val="20"/>
              </w:rPr>
              <w:t>0.450</w:t>
            </w:r>
          </w:p>
        </w:tc>
        <w:tc>
          <w:tcPr>
            <w:tcW w:w="864" w:type="dxa"/>
            <w:tcBorders>
              <w:top w:val="nil"/>
              <w:left w:val="nil"/>
              <w:bottom w:val="single" w:sz="4" w:space="0" w:color="auto"/>
              <w:right w:val="nil"/>
            </w:tcBorders>
            <w:shd w:val="clear" w:color="auto" w:fill="auto"/>
            <w:noWrap/>
            <w:vAlign w:val="bottom"/>
            <w:hideMark/>
          </w:tcPr>
          <w:p w14:paraId="66F5D617"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single" w:sz="4" w:space="0" w:color="auto"/>
              <w:right w:val="nil"/>
            </w:tcBorders>
            <w:shd w:val="clear" w:color="auto" w:fill="auto"/>
            <w:noWrap/>
            <w:vAlign w:val="bottom"/>
            <w:hideMark/>
          </w:tcPr>
          <w:p w14:paraId="0023204D" w14:textId="77777777" w:rsidR="00061496" w:rsidRDefault="00061496">
            <w:pPr>
              <w:jc w:val="right"/>
              <w:rPr>
                <w:color w:val="000000"/>
                <w:sz w:val="20"/>
                <w:szCs w:val="20"/>
              </w:rPr>
            </w:pPr>
            <w:r>
              <w:rPr>
                <w:color w:val="000000"/>
                <w:sz w:val="20"/>
                <w:szCs w:val="20"/>
              </w:rPr>
              <w:t>-0.043</w:t>
            </w:r>
          </w:p>
        </w:tc>
        <w:tc>
          <w:tcPr>
            <w:tcW w:w="864" w:type="dxa"/>
            <w:tcBorders>
              <w:top w:val="nil"/>
              <w:left w:val="nil"/>
              <w:bottom w:val="single" w:sz="4" w:space="0" w:color="auto"/>
              <w:right w:val="nil"/>
            </w:tcBorders>
            <w:shd w:val="clear" w:color="auto" w:fill="auto"/>
            <w:noWrap/>
            <w:vAlign w:val="bottom"/>
            <w:hideMark/>
          </w:tcPr>
          <w:p w14:paraId="5E9AEBAF" w14:textId="77777777" w:rsidR="00061496" w:rsidRDefault="00061496">
            <w:pPr>
              <w:jc w:val="right"/>
              <w:rPr>
                <w:color w:val="000000"/>
                <w:sz w:val="20"/>
                <w:szCs w:val="20"/>
              </w:rPr>
            </w:pPr>
            <w:r>
              <w:rPr>
                <w:color w:val="000000"/>
                <w:sz w:val="20"/>
                <w:szCs w:val="20"/>
              </w:rPr>
              <w:t>0.312</w:t>
            </w:r>
          </w:p>
        </w:tc>
        <w:tc>
          <w:tcPr>
            <w:tcW w:w="864" w:type="dxa"/>
            <w:tcBorders>
              <w:top w:val="nil"/>
              <w:left w:val="nil"/>
              <w:bottom w:val="single" w:sz="4" w:space="0" w:color="auto"/>
              <w:right w:val="nil"/>
            </w:tcBorders>
            <w:shd w:val="clear" w:color="auto" w:fill="auto"/>
            <w:noWrap/>
            <w:vAlign w:val="bottom"/>
            <w:hideMark/>
          </w:tcPr>
          <w:p w14:paraId="78507DE0" w14:textId="77777777" w:rsidR="00061496" w:rsidRDefault="00061496">
            <w:pPr>
              <w:jc w:val="right"/>
              <w:rPr>
                <w:color w:val="000000"/>
                <w:sz w:val="20"/>
                <w:szCs w:val="20"/>
              </w:rPr>
            </w:pPr>
            <w:r>
              <w:rPr>
                <w:color w:val="000000"/>
                <w:sz w:val="20"/>
                <w:szCs w:val="20"/>
              </w:rPr>
              <w:t>0.002</w:t>
            </w:r>
          </w:p>
        </w:tc>
      </w:tr>
      <w:tr w:rsidR="00061496" w14:paraId="7A798C4F" w14:textId="77777777" w:rsidTr="00061496">
        <w:trPr>
          <w:trHeight w:val="320"/>
        </w:trPr>
        <w:tc>
          <w:tcPr>
            <w:tcW w:w="1152" w:type="dxa"/>
            <w:tcBorders>
              <w:top w:val="nil"/>
              <w:left w:val="nil"/>
              <w:bottom w:val="nil"/>
              <w:right w:val="nil"/>
            </w:tcBorders>
            <w:shd w:val="clear" w:color="auto" w:fill="auto"/>
            <w:noWrap/>
            <w:vAlign w:val="bottom"/>
            <w:hideMark/>
          </w:tcPr>
          <w:p w14:paraId="0AC9D49F" w14:textId="77777777" w:rsidR="00061496" w:rsidRDefault="00061496">
            <w:pPr>
              <w:rPr>
                <w:color w:val="000000"/>
                <w:sz w:val="20"/>
                <w:szCs w:val="20"/>
              </w:rPr>
            </w:pPr>
            <w:r>
              <w:rPr>
                <w:color w:val="000000"/>
                <w:sz w:val="20"/>
                <w:szCs w:val="20"/>
              </w:rPr>
              <w:t>Threshold 30%</w:t>
            </w:r>
          </w:p>
        </w:tc>
        <w:tc>
          <w:tcPr>
            <w:tcW w:w="2160" w:type="dxa"/>
            <w:tcBorders>
              <w:top w:val="nil"/>
              <w:left w:val="nil"/>
              <w:bottom w:val="nil"/>
              <w:right w:val="nil"/>
            </w:tcBorders>
            <w:shd w:val="clear" w:color="auto" w:fill="auto"/>
            <w:noWrap/>
            <w:vAlign w:val="center"/>
            <w:hideMark/>
          </w:tcPr>
          <w:p w14:paraId="7BEE8192" w14:textId="77777777" w:rsidR="00061496" w:rsidRDefault="00061496">
            <w:pPr>
              <w:rPr>
                <w:color w:val="000000"/>
                <w:sz w:val="20"/>
                <w:szCs w:val="20"/>
              </w:rPr>
            </w:pPr>
            <w:r>
              <w:rPr>
                <w:color w:val="000000"/>
                <w:sz w:val="20"/>
                <w:szCs w:val="20"/>
              </w:rPr>
              <w:t>Subcortical Cerebellar</w:t>
            </w:r>
          </w:p>
        </w:tc>
        <w:tc>
          <w:tcPr>
            <w:tcW w:w="864" w:type="dxa"/>
            <w:tcBorders>
              <w:top w:val="nil"/>
              <w:left w:val="nil"/>
              <w:bottom w:val="nil"/>
              <w:right w:val="nil"/>
            </w:tcBorders>
            <w:shd w:val="clear" w:color="auto" w:fill="auto"/>
            <w:noWrap/>
            <w:vAlign w:val="bottom"/>
            <w:hideMark/>
          </w:tcPr>
          <w:p w14:paraId="07EDA585" w14:textId="77777777" w:rsidR="00061496" w:rsidRDefault="00061496">
            <w:pPr>
              <w:jc w:val="right"/>
              <w:rPr>
                <w:color w:val="000000"/>
                <w:sz w:val="20"/>
                <w:szCs w:val="20"/>
              </w:rPr>
            </w:pPr>
            <w:r>
              <w:rPr>
                <w:color w:val="000000"/>
                <w:sz w:val="20"/>
                <w:szCs w:val="20"/>
              </w:rPr>
              <w:t>0.027</w:t>
            </w:r>
          </w:p>
        </w:tc>
        <w:tc>
          <w:tcPr>
            <w:tcW w:w="864" w:type="dxa"/>
            <w:tcBorders>
              <w:top w:val="nil"/>
              <w:left w:val="nil"/>
              <w:bottom w:val="nil"/>
              <w:right w:val="nil"/>
            </w:tcBorders>
            <w:shd w:val="clear" w:color="auto" w:fill="auto"/>
            <w:noWrap/>
            <w:vAlign w:val="bottom"/>
            <w:hideMark/>
          </w:tcPr>
          <w:p w14:paraId="42F38CF3" w14:textId="77777777" w:rsidR="00061496" w:rsidRDefault="00061496">
            <w:pPr>
              <w:jc w:val="right"/>
              <w:rPr>
                <w:color w:val="000000"/>
                <w:sz w:val="20"/>
                <w:szCs w:val="20"/>
              </w:rPr>
            </w:pPr>
            <w:r>
              <w:rPr>
                <w:color w:val="000000"/>
                <w:sz w:val="20"/>
                <w:szCs w:val="20"/>
              </w:rPr>
              <w:t>0.611</w:t>
            </w:r>
          </w:p>
        </w:tc>
        <w:tc>
          <w:tcPr>
            <w:tcW w:w="864" w:type="dxa"/>
            <w:tcBorders>
              <w:top w:val="nil"/>
              <w:left w:val="nil"/>
              <w:bottom w:val="nil"/>
              <w:right w:val="nil"/>
            </w:tcBorders>
            <w:shd w:val="clear" w:color="auto" w:fill="auto"/>
            <w:noWrap/>
            <w:vAlign w:val="bottom"/>
            <w:hideMark/>
          </w:tcPr>
          <w:p w14:paraId="14731182"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1D7369CB" w14:textId="77777777" w:rsidR="00061496" w:rsidRDefault="00061496">
            <w:pPr>
              <w:jc w:val="right"/>
              <w:rPr>
                <w:color w:val="000000"/>
                <w:sz w:val="20"/>
                <w:szCs w:val="20"/>
              </w:rPr>
            </w:pPr>
            <w:r>
              <w:rPr>
                <w:color w:val="000000"/>
                <w:sz w:val="20"/>
                <w:szCs w:val="20"/>
              </w:rPr>
              <w:t>0.021</w:t>
            </w:r>
          </w:p>
        </w:tc>
        <w:tc>
          <w:tcPr>
            <w:tcW w:w="864" w:type="dxa"/>
            <w:tcBorders>
              <w:top w:val="nil"/>
              <w:left w:val="nil"/>
              <w:bottom w:val="nil"/>
              <w:right w:val="nil"/>
            </w:tcBorders>
            <w:shd w:val="clear" w:color="auto" w:fill="auto"/>
            <w:noWrap/>
            <w:vAlign w:val="bottom"/>
            <w:hideMark/>
          </w:tcPr>
          <w:p w14:paraId="6FAE41BF" w14:textId="77777777" w:rsidR="00061496" w:rsidRDefault="00061496">
            <w:pPr>
              <w:jc w:val="right"/>
              <w:rPr>
                <w:color w:val="000000"/>
                <w:sz w:val="20"/>
                <w:szCs w:val="20"/>
              </w:rPr>
            </w:pPr>
            <w:r>
              <w:rPr>
                <w:color w:val="000000"/>
                <w:sz w:val="20"/>
                <w:szCs w:val="20"/>
              </w:rPr>
              <w:t>0.621</w:t>
            </w:r>
          </w:p>
        </w:tc>
        <w:tc>
          <w:tcPr>
            <w:tcW w:w="864" w:type="dxa"/>
            <w:tcBorders>
              <w:top w:val="nil"/>
              <w:left w:val="nil"/>
              <w:bottom w:val="nil"/>
              <w:right w:val="nil"/>
            </w:tcBorders>
            <w:shd w:val="clear" w:color="auto" w:fill="auto"/>
            <w:noWrap/>
            <w:vAlign w:val="bottom"/>
            <w:hideMark/>
          </w:tcPr>
          <w:p w14:paraId="0B1D34A6" w14:textId="77777777" w:rsidR="00061496" w:rsidRDefault="00061496">
            <w:pPr>
              <w:jc w:val="right"/>
              <w:rPr>
                <w:color w:val="000000"/>
                <w:sz w:val="20"/>
                <w:szCs w:val="20"/>
              </w:rPr>
            </w:pPr>
            <w:r>
              <w:rPr>
                <w:color w:val="000000"/>
                <w:sz w:val="20"/>
                <w:szCs w:val="20"/>
              </w:rPr>
              <w:t>0.000</w:t>
            </w:r>
          </w:p>
        </w:tc>
      </w:tr>
      <w:tr w:rsidR="00061496" w14:paraId="1031F169" w14:textId="77777777" w:rsidTr="00061496">
        <w:trPr>
          <w:trHeight w:val="320"/>
        </w:trPr>
        <w:tc>
          <w:tcPr>
            <w:tcW w:w="1152" w:type="dxa"/>
            <w:tcBorders>
              <w:top w:val="nil"/>
              <w:left w:val="nil"/>
              <w:bottom w:val="nil"/>
              <w:right w:val="nil"/>
            </w:tcBorders>
            <w:shd w:val="clear" w:color="auto" w:fill="auto"/>
            <w:noWrap/>
            <w:vAlign w:val="bottom"/>
            <w:hideMark/>
          </w:tcPr>
          <w:p w14:paraId="2408A1E5"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A3796F2" w14:textId="77777777" w:rsidR="00061496" w:rsidRDefault="00061496">
            <w:pPr>
              <w:rPr>
                <w:color w:val="000000"/>
                <w:sz w:val="20"/>
                <w:szCs w:val="20"/>
              </w:rPr>
            </w:pPr>
            <w:r>
              <w:rPr>
                <w:color w:val="000000"/>
                <w:sz w:val="20"/>
                <w:szCs w:val="20"/>
              </w:rPr>
              <w:t xml:space="preserve">Motor </w:t>
            </w:r>
          </w:p>
        </w:tc>
        <w:tc>
          <w:tcPr>
            <w:tcW w:w="864" w:type="dxa"/>
            <w:tcBorders>
              <w:top w:val="nil"/>
              <w:left w:val="nil"/>
              <w:bottom w:val="nil"/>
              <w:right w:val="nil"/>
            </w:tcBorders>
            <w:shd w:val="clear" w:color="auto" w:fill="auto"/>
            <w:noWrap/>
            <w:vAlign w:val="bottom"/>
            <w:hideMark/>
          </w:tcPr>
          <w:p w14:paraId="41A6AA11" w14:textId="77777777" w:rsidR="00061496" w:rsidRDefault="00061496">
            <w:pPr>
              <w:jc w:val="right"/>
              <w:rPr>
                <w:b/>
                <w:bCs/>
                <w:color w:val="000000"/>
                <w:sz w:val="20"/>
                <w:szCs w:val="20"/>
              </w:rPr>
            </w:pPr>
            <w:r>
              <w:rPr>
                <w:b/>
                <w:bCs/>
                <w:color w:val="000000"/>
                <w:sz w:val="20"/>
                <w:szCs w:val="20"/>
              </w:rPr>
              <w:t>-0.103</w:t>
            </w:r>
          </w:p>
        </w:tc>
        <w:tc>
          <w:tcPr>
            <w:tcW w:w="864" w:type="dxa"/>
            <w:tcBorders>
              <w:top w:val="nil"/>
              <w:left w:val="nil"/>
              <w:bottom w:val="nil"/>
              <w:right w:val="nil"/>
            </w:tcBorders>
            <w:shd w:val="clear" w:color="auto" w:fill="auto"/>
            <w:noWrap/>
            <w:vAlign w:val="bottom"/>
            <w:hideMark/>
          </w:tcPr>
          <w:p w14:paraId="31D7143C" w14:textId="77777777" w:rsidR="00061496" w:rsidRDefault="00061496">
            <w:pPr>
              <w:jc w:val="right"/>
              <w:rPr>
                <w:b/>
                <w:bCs/>
                <w:color w:val="000000"/>
                <w:sz w:val="20"/>
                <w:szCs w:val="20"/>
              </w:rPr>
            </w:pPr>
            <w:r>
              <w:rPr>
                <w:b/>
                <w:bCs/>
                <w:color w:val="000000"/>
                <w:sz w:val="20"/>
                <w:szCs w:val="20"/>
              </w:rPr>
              <w:t>0.024</w:t>
            </w:r>
          </w:p>
        </w:tc>
        <w:tc>
          <w:tcPr>
            <w:tcW w:w="864" w:type="dxa"/>
            <w:tcBorders>
              <w:top w:val="nil"/>
              <w:left w:val="nil"/>
              <w:bottom w:val="nil"/>
              <w:right w:val="nil"/>
            </w:tcBorders>
            <w:shd w:val="clear" w:color="auto" w:fill="auto"/>
            <w:noWrap/>
            <w:vAlign w:val="bottom"/>
            <w:hideMark/>
          </w:tcPr>
          <w:p w14:paraId="23301545" w14:textId="77777777" w:rsidR="00061496" w:rsidRDefault="00061496">
            <w:pPr>
              <w:jc w:val="right"/>
              <w:rPr>
                <w:b/>
                <w:bCs/>
                <w:color w:val="000000"/>
                <w:sz w:val="20"/>
                <w:szCs w:val="20"/>
              </w:rPr>
            </w:pPr>
            <w:r>
              <w:rPr>
                <w:b/>
                <w:bCs/>
                <w:color w:val="000000"/>
                <w:sz w:val="20"/>
                <w:szCs w:val="20"/>
              </w:rPr>
              <w:t>0.011</w:t>
            </w:r>
          </w:p>
        </w:tc>
        <w:tc>
          <w:tcPr>
            <w:tcW w:w="864" w:type="dxa"/>
            <w:tcBorders>
              <w:top w:val="nil"/>
              <w:left w:val="nil"/>
              <w:bottom w:val="nil"/>
              <w:right w:val="nil"/>
            </w:tcBorders>
            <w:shd w:val="clear" w:color="auto" w:fill="auto"/>
            <w:noWrap/>
            <w:vAlign w:val="bottom"/>
            <w:hideMark/>
          </w:tcPr>
          <w:p w14:paraId="06ACB8E2" w14:textId="77777777" w:rsidR="00061496" w:rsidRDefault="00061496">
            <w:pPr>
              <w:jc w:val="right"/>
              <w:rPr>
                <w:b/>
                <w:bCs/>
                <w:color w:val="000000"/>
                <w:sz w:val="20"/>
                <w:szCs w:val="20"/>
              </w:rPr>
            </w:pPr>
            <w:r>
              <w:rPr>
                <w:b/>
                <w:bCs/>
                <w:color w:val="000000"/>
                <w:sz w:val="20"/>
                <w:szCs w:val="20"/>
              </w:rPr>
              <w:t>-0.087</w:t>
            </w:r>
          </w:p>
        </w:tc>
        <w:tc>
          <w:tcPr>
            <w:tcW w:w="864" w:type="dxa"/>
            <w:tcBorders>
              <w:top w:val="nil"/>
              <w:left w:val="nil"/>
              <w:bottom w:val="nil"/>
              <w:right w:val="nil"/>
            </w:tcBorders>
            <w:shd w:val="clear" w:color="auto" w:fill="auto"/>
            <w:noWrap/>
            <w:vAlign w:val="bottom"/>
            <w:hideMark/>
          </w:tcPr>
          <w:p w14:paraId="2B3D6E26" w14:textId="77777777" w:rsidR="00061496" w:rsidRDefault="00061496">
            <w:pPr>
              <w:jc w:val="right"/>
              <w:rPr>
                <w:b/>
                <w:bCs/>
                <w:color w:val="000000"/>
                <w:sz w:val="20"/>
                <w:szCs w:val="20"/>
              </w:rPr>
            </w:pPr>
            <w:r>
              <w:rPr>
                <w:b/>
                <w:bCs/>
                <w:color w:val="000000"/>
                <w:sz w:val="20"/>
                <w:szCs w:val="20"/>
              </w:rPr>
              <w:t>0.032</w:t>
            </w:r>
          </w:p>
        </w:tc>
        <w:tc>
          <w:tcPr>
            <w:tcW w:w="864" w:type="dxa"/>
            <w:tcBorders>
              <w:top w:val="nil"/>
              <w:left w:val="nil"/>
              <w:bottom w:val="nil"/>
              <w:right w:val="nil"/>
            </w:tcBorders>
            <w:shd w:val="clear" w:color="auto" w:fill="auto"/>
            <w:noWrap/>
            <w:vAlign w:val="bottom"/>
            <w:hideMark/>
          </w:tcPr>
          <w:p w14:paraId="6EB77C8C" w14:textId="77777777" w:rsidR="00061496" w:rsidRDefault="00061496">
            <w:pPr>
              <w:jc w:val="right"/>
              <w:rPr>
                <w:b/>
                <w:bCs/>
                <w:color w:val="000000"/>
                <w:sz w:val="20"/>
                <w:szCs w:val="20"/>
              </w:rPr>
            </w:pPr>
            <w:r>
              <w:rPr>
                <w:b/>
                <w:bCs/>
                <w:color w:val="000000"/>
                <w:sz w:val="20"/>
                <w:szCs w:val="20"/>
              </w:rPr>
              <w:t>0.008</w:t>
            </w:r>
          </w:p>
        </w:tc>
      </w:tr>
      <w:tr w:rsidR="00061496" w14:paraId="2D574DB6" w14:textId="77777777" w:rsidTr="00061496">
        <w:trPr>
          <w:trHeight w:val="320"/>
        </w:trPr>
        <w:tc>
          <w:tcPr>
            <w:tcW w:w="1152" w:type="dxa"/>
            <w:tcBorders>
              <w:top w:val="nil"/>
              <w:left w:val="nil"/>
              <w:bottom w:val="nil"/>
              <w:right w:val="nil"/>
            </w:tcBorders>
            <w:shd w:val="clear" w:color="auto" w:fill="auto"/>
            <w:noWrap/>
            <w:vAlign w:val="bottom"/>
            <w:hideMark/>
          </w:tcPr>
          <w:p w14:paraId="67070802" w14:textId="77777777" w:rsidR="00061496" w:rsidRDefault="00061496">
            <w:pPr>
              <w:jc w:val="right"/>
              <w:rPr>
                <w:b/>
                <w:bCs/>
                <w:color w:val="000000"/>
                <w:sz w:val="20"/>
                <w:szCs w:val="20"/>
              </w:rPr>
            </w:pPr>
          </w:p>
        </w:tc>
        <w:tc>
          <w:tcPr>
            <w:tcW w:w="2160" w:type="dxa"/>
            <w:tcBorders>
              <w:top w:val="nil"/>
              <w:left w:val="nil"/>
              <w:bottom w:val="nil"/>
              <w:right w:val="nil"/>
            </w:tcBorders>
            <w:shd w:val="clear" w:color="auto" w:fill="auto"/>
            <w:noWrap/>
            <w:vAlign w:val="center"/>
            <w:hideMark/>
          </w:tcPr>
          <w:p w14:paraId="13CB1DC7" w14:textId="77777777" w:rsidR="00061496" w:rsidRDefault="00061496">
            <w:pPr>
              <w:rPr>
                <w:color w:val="000000"/>
                <w:sz w:val="20"/>
                <w:szCs w:val="20"/>
              </w:rPr>
            </w:pPr>
            <w:r>
              <w:rPr>
                <w:color w:val="000000"/>
                <w:sz w:val="20"/>
                <w:szCs w:val="20"/>
              </w:rPr>
              <w:t>Medial Frontal</w:t>
            </w:r>
          </w:p>
        </w:tc>
        <w:tc>
          <w:tcPr>
            <w:tcW w:w="864" w:type="dxa"/>
            <w:tcBorders>
              <w:top w:val="nil"/>
              <w:left w:val="nil"/>
              <w:bottom w:val="nil"/>
              <w:right w:val="nil"/>
            </w:tcBorders>
            <w:shd w:val="clear" w:color="auto" w:fill="auto"/>
            <w:noWrap/>
            <w:vAlign w:val="bottom"/>
            <w:hideMark/>
          </w:tcPr>
          <w:p w14:paraId="72422817" w14:textId="77777777" w:rsidR="00061496" w:rsidRDefault="00061496">
            <w:pPr>
              <w:jc w:val="right"/>
              <w:rPr>
                <w:color w:val="000000"/>
                <w:sz w:val="20"/>
                <w:szCs w:val="20"/>
              </w:rPr>
            </w:pPr>
            <w:r>
              <w:rPr>
                <w:color w:val="000000"/>
                <w:sz w:val="20"/>
                <w:szCs w:val="20"/>
              </w:rPr>
              <w:t>-0.014</w:t>
            </w:r>
          </w:p>
        </w:tc>
        <w:tc>
          <w:tcPr>
            <w:tcW w:w="864" w:type="dxa"/>
            <w:tcBorders>
              <w:top w:val="nil"/>
              <w:left w:val="nil"/>
              <w:bottom w:val="nil"/>
              <w:right w:val="nil"/>
            </w:tcBorders>
            <w:shd w:val="clear" w:color="auto" w:fill="auto"/>
            <w:noWrap/>
            <w:vAlign w:val="bottom"/>
            <w:hideMark/>
          </w:tcPr>
          <w:p w14:paraId="6F090186" w14:textId="77777777" w:rsidR="00061496" w:rsidRDefault="00061496">
            <w:pPr>
              <w:jc w:val="right"/>
              <w:rPr>
                <w:color w:val="000000"/>
                <w:sz w:val="20"/>
                <w:szCs w:val="20"/>
              </w:rPr>
            </w:pPr>
            <w:r>
              <w:rPr>
                <w:color w:val="000000"/>
                <w:sz w:val="20"/>
                <w:szCs w:val="20"/>
              </w:rPr>
              <w:t>0.778</w:t>
            </w:r>
          </w:p>
        </w:tc>
        <w:tc>
          <w:tcPr>
            <w:tcW w:w="864" w:type="dxa"/>
            <w:tcBorders>
              <w:top w:val="nil"/>
              <w:left w:val="nil"/>
              <w:bottom w:val="nil"/>
              <w:right w:val="nil"/>
            </w:tcBorders>
            <w:shd w:val="clear" w:color="auto" w:fill="auto"/>
            <w:noWrap/>
            <w:vAlign w:val="bottom"/>
            <w:hideMark/>
          </w:tcPr>
          <w:p w14:paraId="478C6598" w14:textId="77777777" w:rsidR="00061496" w:rsidRDefault="0006149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7022520E" w14:textId="77777777" w:rsidR="00061496" w:rsidRDefault="00061496">
            <w:pPr>
              <w:jc w:val="right"/>
              <w:rPr>
                <w:color w:val="000000"/>
                <w:sz w:val="20"/>
                <w:szCs w:val="20"/>
              </w:rPr>
            </w:pPr>
            <w:r>
              <w:rPr>
                <w:color w:val="000000"/>
                <w:sz w:val="20"/>
                <w:szCs w:val="20"/>
              </w:rPr>
              <w:t>-0.008</w:t>
            </w:r>
          </w:p>
        </w:tc>
        <w:tc>
          <w:tcPr>
            <w:tcW w:w="864" w:type="dxa"/>
            <w:tcBorders>
              <w:top w:val="nil"/>
              <w:left w:val="nil"/>
              <w:bottom w:val="nil"/>
              <w:right w:val="nil"/>
            </w:tcBorders>
            <w:shd w:val="clear" w:color="auto" w:fill="auto"/>
            <w:noWrap/>
            <w:vAlign w:val="bottom"/>
            <w:hideMark/>
          </w:tcPr>
          <w:p w14:paraId="6FB2DB1E" w14:textId="77777777" w:rsidR="00061496" w:rsidRDefault="00061496">
            <w:pPr>
              <w:jc w:val="right"/>
              <w:rPr>
                <w:color w:val="000000"/>
                <w:sz w:val="20"/>
                <w:szCs w:val="20"/>
              </w:rPr>
            </w:pPr>
            <w:r>
              <w:rPr>
                <w:color w:val="000000"/>
                <w:sz w:val="20"/>
                <w:szCs w:val="20"/>
              </w:rPr>
              <w:t>0.907</w:t>
            </w:r>
          </w:p>
        </w:tc>
        <w:tc>
          <w:tcPr>
            <w:tcW w:w="864" w:type="dxa"/>
            <w:tcBorders>
              <w:top w:val="nil"/>
              <w:left w:val="nil"/>
              <w:bottom w:val="nil"/>
              <w:right w:val="nil"/>
            </w:tcBorders>
            <w:shd w:val="clear" w:color="auto" w:fill="auto"/>
            <w:noWrap/>
            <w:vAlign w:val="bottom"/>
            <w:hideMark/>
          </w:tcPr>
          <w:p w14:paraId="3B8D0DCD" w14:textId="77777777" w:rsidR="00061496" w:rsidRDefault="00061496">
            <w:pPr>
              <w:jc w:val="right"/>
              <w:rPr>
                <w:color w:val="000000"/>
                <w:sz w:val="20"/>
                <w:szCs w:val="20"/>
              </w:rPr>
            </w:pPr>
            <w:r>
              <w:rPr>
                <w:color w:val="000000"/>
                <w:sz w:val="20"/>
                <w:szCs w:val="20"/>
              </w:rPr>
              <w:t>0.000</w:t>
            </w:r>
          </w:p>
        </w:tc>
      </w:tr>
      <w:tr w:rsidR="00061496" w14:paraId="18A593D8" w14:textId="77777777" w:rsidTr="00061496">
        <w:trPr>
          <w:trHeight w:val="320"/>
        </w:trPr>
        <w:tc>
          <w:tcPr>
            <w:tcW w:w="1152" w:type="dxa"/>
            <w:tcBorders>
              <w:top w:val="nil"/>
              <w:left w:val="nil"/>
              <w:bottom w:val="nil"/>
              <w:right w:val="nil"/>
            </w:tcBorders>
            <w:shd w:val="clear" w:color="auto" w:fill="auto"/>
            <w:noWrap/>
            <w:vAlign w:val="bottom"/>
            <w:hideMark/>
          </w:tcPr>
          <w:p w14:paraId="094D0999"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B75FB2F" w14:textId="77777777" w:rsidR="00061496" w:rsidRDefault="00061496">
            <w:pPr>
              <w:rPr>
                <w:color w:val="000000"/>
                <w:sz w:val="20"/>
                <w:szCs w:val="20"/>
              </w:rPr>
            </w:pPr>
            <w:r>
              <w:rPr>
                <w:color w:val="000000"/>
                <w:sz w:val="20"/>
                <w:szCs w:val="20"/>
              </w:rPr>
              <w:t>Frontoparietal</w:t>
            </w:r>
          </w:p>
        </w:tc>
        <w:tc>
          <w:tcPr>
            <w:tcW w:w="864" w:type="dxa"/>
            <w:tcBorders>
              <w:top w:val="nil"/>
              <w:left w:val="nil"/>
              <w:bottom w:val="nil"/>
              <w:right w:val="nil"/>
            </w:tcBorders>
            <w:shd w:val="clear" w:color="auto" w:fill="auto"/>
            <w:noWrap/>
            <w:vAlign w:val="bottom"/>
            <w:hideMark/>
          </w:tcPr>
          <w:p w14:paraId="28323AA7" w14:textId="77777777" w:rsidR="00061496" w:rsidRDefault="00061496">
            <w:pPr>
              <w:jc w:val="right"/>
              <w:rPr>
                <w:color w:val="000000"/>
                <w:sz w:val="20"/>
                <w:szCs w:val="20"/>
              </w:rPr>
            </w:pPr>
            <w:r>
              <w:rPr>
                <w:color w:val="000000"/>
                <w:sz w:val="20"/>
                <w:szCs w:val="20"/>
              </w:rPr>
              <w:t>0.030</w:t>
            </w:r>
          </w:p>
        </w:tc>
        <w:tc>
          <w:tcPr>
            <w:tcW w:w="864" w:type="dxa"/>
            <w:tcBorders>
              <w:top w:val="nil"/>
              <w:left w:val="nil"/>
              <w:bottom w:val="nil"/>
              <w:right w:val="nil"/>
            </w:tcBorders>
            <w:shd w:val="clear" w:color="auto" w:fill="auto"/>
            <w:noWrap/>
            <w:vAlign w:val="bottom"/>
            <w:hideMark/>
          </w:tcPr>
          <w:p w14:paraId="2A00E6D2" w14:textId="77777777" w:rsidR="00061496" w:rsidRDefault="00061496">
            <w:pPr>
              <w:jc w:val="right"/>
              <w:rPr>
                <w:color w:val="000000"/>
                <w:sz w:val="20"/>
                <w:szCs w:val="20"/>
              </w:rPr>
            </w:pPr>
            <w:r>
              <w:rPr>
                <w:color w:val="000000"/>
                <w:sz w:val="20"/>
                <w:szCs w:val="20"/>
              </w:rPr>
              <w:t>0.611</w:t>
            </w:r>
          </w:p>
        </w:tc>
        <w:tc>
          <w:tcPr>
            <w:tcW w:w="864" w:type="dxa"/>
            <w:tcBorders>
              <w:top w:val="nil"/>
              <w:left w:val="nil"/>
              <w:bottom w:val="nil"/>
              <w:right w:val="nil"/>
            </w:tcBorders>
            <w:shd w:val="clear" w:color="auto" w:fill="auto"/>
            <w:noWrap/>
            <w:vAlign w:val="bottom"/>
            <w:hideMark/>
          </w:tcPr>
          <w:p w14:paraId="7FA3CB12"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49B26800" w14:textId="77777777" w:rsidR="00061496" w:rsidRDefault="00061496">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5C4CA895" w14:textId="77777777" w:rsidR="00061496" w:rsidRDefault="00061496">
            <w:pPr>
              <w:jc w:val="right"/>
              <w:rPr>
                <w:color w:val="000000"/>
                <w:sz w:val="20"/>
                <w:szCs w:val="20"/>
              </w:rPr>
            </w:pPr>
            <w:r>
              <w:rPr>
                <w:color w:val="000000"/>
                <w:sz w:val="20"/>
                <w:szCs w:val="20"/>
              </w:rPr>
              <w:t>0.288</w:t>
            </w:r>
          </w:p>
        </w:tc>
        <w:tc>
          <w:tcPr>
            <w:tcW w:w="864" w:type="dxa"/>
            <w:tcBorders>
              <w:top w:val="nil"/>
              <w:left w:val="nil"/>
              <w:bottom w:val="nil"/>
              <w:right w:val="nil"/>
            </w:tcBorders>
            <w:shd w:val="clear" w:color="auto" w:fill="auto"/>
            <w:noWrap/>
            <w:vAlign w:val="bottom"/>
            <w:hideMark/>
          </w:tcPr>
          <w:p w14:paraId="03EC3B24" w14:textId="77777777" w:rsidR="00061496" w:rsidRDefault="00061496">
            <w:pPr>
              <w:jc w:val="right"/>
              <w:rPr>
                <w:color w:val="000000"/>
                <w:sz w:val="20"/>
                <w:szCs w:val="20"/>
              </w:rPr>
            </w:pPr>
            <w:r>
              <w:rPr>
                <w:color w:val="000000"/>
                <w:sz w:val="20"/>
                <w:szCs w:val="20"/>
              </w:rPr>
              <w:t>0.002</w:t>
            </w:r>
          </w:p>
        </w:tc>
      </w:tr>
      <w:tr w:rsidR="00061496" w14:paraId="13D6E159" w14:textId="77777777" w:rsidTr="00061496">
        <w:trPr>
          <w:trHeight w:val="320"/>
        </w:trPr>
        <w:tc>
          <w:tcPr>
            <w:tcW w:w="1152" w:type="dxa"/>
            <w:tcBorders>
              <w:top w:val="nil"/>
              <w:left w:val="nil"/>
              <w:bottom w:val="nil"/>
              <w:right w:val="nil"/>
            </w:tcBorders>
            <w:shd w:val="clear" w:color="auto" w:fill="auto"/>
            <w:noWrap/>
            <w:vAlign w:val="bottom"/>
            <w:hideMark/>
          </w:tcPr>
          <w:p w14:paraId="23258F0D"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72EDA76F" w14:textId="77777777" w:rsidR="00061496" w:rsidRDefault="00061496">
            <w:pPr>
              <w:rPr>
                <w:color w:val="000000"/>
                <w:sz w:val="20"/>
                <w:szCs w:val="20"/>
              </w:rPr>
            </w:pPr>
            <w:r>
              <w:rPr>
                <w:color w:val="000000"/>
                <w:sz w:val="20"/>
                <w:szCs w:val="20"/>
              </w:rPr>
              <w:t>Default Mode</w:t>
            </w:r>
          </w:p>
        </w:tc>
        <w:tc>
          <w:tcPr>
            <w:tcW w:w="864" w:type="dxa"/>
            <w:tcBorders>
              <w:top w:val="nil"/>
              <w:left w:val="nil"/>
              <w:bottom w:val="nil"/>
              <w:right w:val="nil"/>
            </w:tcBorders>
            <w:shd w:val="clear" w:color="auto" w:fill="auto"/>
            <w:noWrap/>
            <w:vAlign w:val="bottom"/>
            <w:hideMark/>
          </w:tcPr>
          <w:p w14:paraId="223D32A1" w14:textId="77777777" w:rsidR="00061496" w:rsidRDefault="00061496">
            <w:pPr>
              <w:jc w:val="right"/>
              <w:rPr>
                <w:color w:val="000000"/>
                <w:sz w:val="20"/>
                <w:szCs w:val="20"/>
              </w:rPr>
            </w:pPr>
            <w:r>
              <w:rPr>
                <w:color w:val="000000"/>
                <w:sz w:val="20"/>
                <w:szCs w:val="20"/>
              </w:rPr>
              <w:t>-0.039</w:t>
            </w:r>
          </w:p>
        </w:tc>
        <w:tc>
          <w:tcPr>
            <w:tcW w:w="864" w:type="dxa"/>
            <w:tcBorders>
              <w:top w:val="nil"/>
              <w:left w:val="nil"/>
              <w:bottom w:val="nil"/>
              <w:right w:val="nil"/>
            </w:tcBorders>
            <w:shd w:val="clear" w:color="auto" w:fill="auto"/>
            <w:noWrap/>
            <w:vAlign w:val="bottom"/>
            <w:hideMark/>
          </w:tcPr>
          <w:p w14:paraId="20CC1425" w14:textId="77777777" w:rsidR="00061496" w:rsidRDefault="00061496">
            <w:pPr>
              <w:jc w:val="right"/>
              <w:rPr>
                <w:color w:val="000000"/>
                <w:sz w:val="20"/>
                <w:szCs w:val="20"/>
              </w:rPr>
            </w:pPr>
            <w:r>
              <w:rPr>
                <w:color w:val="000000"/>
                <w:sz w:val="20"/>
                <w:szCs w:val="20"/>
              </w:rPr>
              <w:t>0.611</w:t>
            </w:r>
          </w:p>
        </w:tc>
        <w:tc>
          <w:tcPr>
            <w:tcW w:w="864" w:type="dxa"/>
            <w:tcBorders>
              <w:top w:val="nil"/>
              <w:left w:val="nil"/>
              <w:bottom w:val="nil"/>
              <w:right w:val="nil"/>
            </w:tcBorders>
            <w:shd w:val="clear" w:color="auto" w:fill="auto"/>
            <w:noWrap/>
            <w:vAlign w:val="bottom"/>
            <w:hideMark/>
          </w:tcPr>
          <w:p w14:paraId="502D981F" w14:textId="77777777" w:rsidR="00061496" w:rsidRDefault="00061496">
            <w:pPr>
              <w:jc w:val="right"/>
              <w:rPr>
                <w:color w:val="000000"/>
                <w:sz w:val="20"/>
                <w:szCs w:val="20"/>
              </w:rPr>
            </w:pPr>
            <w:r>
              <w:rPr>
                <w:color w:val="000000"/>
                <w:sz w:val="20"/>
                <w:szCs w:val="20"/>
              </w:rPr>
              <w:t>0.002</w:t>
            </w:r>
          </w:p>
        </w:tc>
        <w:tc>
          <w:tcPr>
            <w:tcW w:w="864" w:type="dxa"/>
            <w:tcBorders>
              <w:top w:val="nil"/>
              <w:left w:val="nil"/>
              <w:bottom w:val="nil"/>
              <w:right w:val="nil"/>
            </w:tcBorders>
            <w:shd w:val="clear" w:color="auto" w:fill="auto"/>
            <w:noWrap/>
            <w:vAlign w:val="bottom"/>
            <w:hideMark/>
          </w:tcPr>
          <w:p w14:paraId="0031BE73" w14:textId="77777777" w:rsidR="00061496" w:rsidRDefault="00061496">
            <w:pPr>
              <w:jc w:val="right"/>
              <w:rPr>
                <w:color w:val="000000"/>
                <w:sz w:val="20"/>
                <w:szCs w:val="20"/>
              </w:rPr>
            </w:pPr>
            <w:r>
              <w:rPr>
                <w:color w:val="000000"/>
                <w:sz w:val="20"/>
                <w:szCs w:val="20"/>
              </w:rPr>
              <w:t>-0.048</w:t>
            </w:r>
          </w:p>
        </w:tc>
        <w:tc>
          <w:tcPr>
            <w:tcW w:w="864" w:type="dxa"/>
            <w:tcBorders>
              <w:top w:val="nil"/>
              <w:left w:val="nil"/>
              <w:bottom w:val="nil"/>
              <w:right w:val="nil"/>
            </w:tcBorders>
            <w:shd w:val="clear" w:color="auto" w:fill="auto"/>
            <w:noWrap/>
            <w:vAlign w:val="bottom"/>
            <w:hideMark/>
          </w:tcPr>
          <w:p w14:paraId="0F63E572" w14:textId="77777777" w:rsidR="00061496" w:rsidRDefault="00061496">
            <w:pPr>
              <w:jc w:val="right"/>
              <w:rPr>
                <w:color w:val="000000"/>
                <w:sz w:val="20"/>
                <w:szCs w:val="20"/>
              </w:rPr>
            </w:pPr>
            <w:r>
              <w:rPr>
                <w:color w:val="000000"/>
                <w:sz w:val="20"/>
                <w:szCs w:val="20"/>
              </w:rPr>
              <w:t>0.288</w:t>
            </w:r>
          </w:p>
        </w:tc>
        <w:tc>
          <w:tcPr>
            <w:tcW w:w="864" w:type="dxa"/>
            <w:tcBorders>
              <w:top w:val="nil"/>
              <w:left w:val="nil"/>
              <w:bottom w:val="nil"/>
              <w:right w:val="nil"/>
            </w:tcBorders>
            <w:shd w:val="clear" w:color="auto" w:fill="auto"/>
            <w:noWrap/>
            <w:vAlign w:val="bottom"/>
            <w:hideMark/>
          </w:tcPr>
          <w:p w14:paraId="06660B94" w14:textId="77777777" w:rsidR="00061496" w:rsidRDefault="00061496">
            <w:pPr>
              <w:jc w:val="right"/>
              <w:rPr>
                <w:color w:val="000000"/>
                <w:sz w:val="20"/>
                <w:szCs w:val="20"/>
              </w:rPr>
            </w:pPr>
            <w:r>
              <w:rPr>
                <w:color w:val="000000"/>
                <w:sz w:val="20"/>
                <w:szCs w:val="20"/>
              </w:rPr>
              <w:t>0.002</w:t>
            </w:r>
          </w:p>
        </w:tc>
      </w:tr>
      <w:tr w:rsidR="00061496" w14:paraId="72D460CF" w14:textId="77777777" w:rsidTr="00061496">
        <w:trPr>
          <w:trHeight w:val="320"/>
        </w:trPr>
        <w:tc>
          <w:tcPr>
            <w:tcW w:w="1152" w:type="dxa"/>
            <w:tcBorders>
              <w:top w:val="nil"/>
              <w:left w:val="nil"/>
              <w:bottom w:val="nil"/>
              <w:right w:val="nil"/>
            </w:tcBorders>
            <w:shd w:val="clear" w:color="auto" w:fill="auto"/>
            <w:noWrap/>
            <w:vAlign w:val="bottom"/>
            <w:hideMark/>
          </w:tcPr>
          <w:p w14:paraId="358FE24A"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6BE8FD70" w14:textId="77777777" w:rsidR="00061496" w:rsidRDefault="00061496">
            <w:pPr>
              <w:rPr>
                <w:color w:val="000000"/>
                <w:sz w:val="20"/>
                <w:szCs w:val="20"/>
              </w:rPr>
            </w:pPr>
            <w:r>
              <w:rPr>
                <w:color w:val="000000"/>
                <w:sz w:val="20"/>
                <w:szCs w:val="20"/>
              </w:rPr>
              <w:t>Visual 2</w:t>
            </w:r>
          </w:p>
        </w:tc>
        <w:tc>
          <w:tcPr>
            <w:tcW w:w="864" w:type="dxa"/>
            <w:tcBorders>
              <w:top w:val="nil"/>
              <w:left w:val="nil"/>
              <w:bottom w:val="nil"/>
              <w:right w:val="nil"/>
            </w:tcBorders>
            <w:shd w:val="clear" w:color="auto" w:fill="auto"/>
            <w:noWrap/>
            <w:vAlign w:val="bottom"/>
            <w:hideMark/>
          </w:tcPr>
          <w:p w14:paraId="644FABD2" w14:textId="77777777" w:rsidR="00061496" w:rsidRDefault="0006149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5F7F7420" w14:textId="77777777" w:rsidR="00061496" w:rsidRDefault="00061496">
            <w:pPr>
              <w:jc w:val="right"/>
              <w:rPr>
                <w:color w:val="000000"/>
                <w:sz w:val="20"/>
                <w:szCs w:val="20"/>
              </w:rPr>
            </w:pPr>
            <w:r>
              <w:rPr>
                <w:color w:val="000000"/>
                <w:sz w:val="20"/>
                <w:szCs w:val="20"/>
              </w:rPr>
              <w:t>0.929</w:t>
            </w:r>
          </w:p>
        </w:tc>
        <w:tc>
          <w:tcPr>
            <w:tcW w:w="864" w:type="dxa"/>
            <w:tcBorders>
              <w:top w:val="nil"/>
              <w:left w:val="nil"/>
              <w:bottom w:val="nil"/>
              <w:right w:val="nil"/>
            </w:tcBorders>
            <w:shd w:val="clear" w:color="auto" w:fill="auto"/>
            <w:noWrap/>
            <w:vAlign w:val="bottom"/>
            <w:hideMark/>
          </w:tcPr>
          <w:p w14:paraId="3796CB7D" w14:textId="77777777" w:rsidR="00061496" w:rsidRDefault="00061496">
            <w:pPr>
              <w:jc w:val="right"/>
              <w:rPr>
                <w:color w:val="000000"/>
                <w:sz w:val="20"/>
                <w:szCs w:val="20"/>
              </w:rPr>
            </w:pPr>
            <w:r>
              <w:rPr>
                <w:color w:val="000000"/>
                <w:sz w:val="20"/>
                <w:szCs w:val="20"/>
              </w:rPr>
              <w:t>0.000</w:t>
            </w:r>
          </w:p>
        </w:tc>
        <w:tc>
          <w:tcPr>
            <w:tcW w:w="864" w:type="dxa"/>
            <w:tcBorders>
              <w:top w:val="nil"/>
              <w:left w:val="nil"/>
              <w:bottom w:val="nil"/>
              <w:right w:val="nil"/>
            </w:tcBorders>
            <w:shd w:val="clear" w:color="auto" w:fill="auto"/>
            <w:noWrap/>
            <w:vAlign w:val="bottom"/>
            <w:hideMark/>
          </w:tcPr>
          <w:p w14:paraId="2F094869" w14:textId="77777777" w:rsidR="00061496" w:rsidRDefault="00061496">
            <w:pPr>
              <w:jc w:val="right"/>
              <w:rPr>
                <w:color w:val="000000"/>
                <w:sz w:val="20"/>
                <w:szCs w:val="20"/>
              </w:rPr>
            </w:pPr>
            <w:r>
              <w:rPr>
                <w:color w:val="000000"/>
                <w:sz w:val="20"/>
                <w:szCs w:val="20"/>
              </w:rPr>
              <w:t>-0.003</w:t>
            </w:r>
          </w:p>
        </w:tc>
        <w:tc>
          <w:tcPr>
            <w:tcW w:w="864" w:type="dxa"/>
            <w:tcBorders>
              <w:top w:val="nil"/>
              <w:left w:val="nil"/>
              <w:bottom w:val="nil"/>
              <w:right w:val="nil"/>
            </w:tcBorders>
            <w:shd w:val="clear" w:color="auto" w:fill="auto"/>
            <w:noWrap/>
            <w:vAlign w:val="bottom"/>
            <w:hideMark/>
          </w:tcPr>
          <w:p w14:paraId="122BC15C" w14:textId="77777777" w:rsidR="00061496" w:rsidRDefault="00061496">
            <w:pPr>
              <w:jc w:val="right"/>
              <w:rPr>
                <w:color w:val="000000"/>
                <w:sz w:val="20"/>
                <w:szCs w:val="20"/>
              </w:rPr>
            </w:pPr>
            <w:r>
              <w:rPr>
                <w:color w:val="000000"/>
                <w:sz w:val="20"/>
                <w:szCs w:val="20"/>
              </w:rPr>
              <w:t>0.908</w:t>
            </w:r>
          </w:p>
        </w:tc>
        <w:tc>
          <w:tcPr>
            <w:tcW w:w="864" w:type="dxa"/>
            <w:tcBorders>
              <w:top w:val="nil"/>
              <w:left w:val="nil"/>
              <w:bottom w:val="nil"/>
              <w:right w:val="nil"/>
            </w:tcBorders>
            <w:shd w:val="clear" w:color="auto" w:fill="auto"/>
            <w:noWrap/>
            <w:vAlign w:val="bottom"/>
            <w:hideMark/>
          </w:tcPr>
          <w:p w14:paraId="33A59866" w14:textId="77777777" w:rsidR="00061496" w:rsidRDefault="00061496">
            <w:pPr>
              <w:jc w:val="right"/>
              <w:rPr>
                <w:color w:val="000000"/>
                <w:sz w:val="20"/>
                <w:szCs w:val="20"/>
              </w:rPr>
            </w:pPr>
            <w:r>
              <w:rPr>
                <w:color w:val="000000"/>
                <w:sz w:val="20"/>
                <w:szCs w:val="20"/>
              </w:rPr>
              <w:t>0.000</w:t>
            </w:r>
          </w:p>
        </w:tc>
      </w:tr>
      <w:tr w:rsidR="00061496" w14:paraId="424174F9" w14:textId="77777777" w:rsidTr="00061496">
        <w:trPr>
          <w:trHeight w:val="320"/>
        </w:trPr>
        <w:tc>
          <w:tcPr>
            <w:tcW w:w="1152" w:type="dxa"/>
            <w:tcBorders>
              <w:top w:val="nil"/>
              <w:left w:val="nil"/>
              <w:bottom w:val="nil"/>
              <w:right w:val="nil"/>
            </w:tcBorders>
            <w:shd w:val="clear" w:color="auto" w:fill="auto"/>
            <w:noWrap/>
            <w:vAlign w:val="bottom"/>
            <w:hideMark/>
          </w:tcPr>
          <w:p w14:paraId="5892EAA5" w14:textId="77777777" w:rsidR="00061496" w:rsidRDefault="00061496">
            <w:pPr>
              <w:jc w:val="right"/>
              <w:rPr>
                <w:color w:val="000000"/>
                <w:sz w:val="20"/>
                <w:szCs w:val="20"/>
              </w:rPr>
            </w:pPr>
          </w:p>
        </w:tc>
        <w:tc>
          <w:tcPr>
            <w:tcW w:w="2160" w:type="dxa"/>
            <w:tcBorders>
              <w:top w:val="nil"/>
              <w:left w:val="nil"/>
              <w:bottom w:val="nil"/>
              <w:right w:val="nil"/>
            </w:tcBorders>
            <w:shd w:val="clear" w:color="auto" w:fill="auto"/>
            <w:noWrap/>
            <w:vAlign w:val="center"/>
            <w:hideMark/>
          </w:tcPr>
          <w:p w14:paraId="1740A91D" w14:textId="77777777" w:rsidR="00061496" w:rsidRDefault="00061496">
            <w:pPr>
              <w:rPr>
                <w:color w:val="000000"/>
                <w:sz w:val="20"/>
                <w:szCs w:val="20"/>
              </w:rPr>
            </w:pPr>
            <w:r>
              <w:rPr>
                <w:color w:val="000000"/>
                <w:sz w:val="20"/>
                <w:szCs w:val="20"/>
              </w:rPr>
              <w:t>Visual 1</w:t>
            </w:r>
          </w:p>
        </w:tc>
        <w:tc>
          <w:tcPr>
            <w:tcW w:w="864" w:type="dxa"/>
            <w:tcBorders>
              <w:top w:val="nil"/>
              <w:left w:val="nil"/>
              <w:bottom w:val="nil"/>
              <w:right w:val="nil"/>
            </w:tcBorders>
            <w:shd w:val="clear" w:color="auto" w:fill="auto"/>
            <w:noWrap/>
            <w:vAlign w:val="bottom"/>
            <w:hideMark/>
          </w:tcPr>
          <w:p w14:paraId="26A489F7" w14:textId="77777777" w:rsidR="00061496" w:rsidRDefault="00061496">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114D86B3" w14:textId="77777777" w:rsidR="00061496" w:rsidRDefault="00061496">
            <w:pPr>
              <w:jc w:val="right"/>
              <w:rPr>
                <w:color w:val="000000"/>
                <w:sz w:val="20"/>
                <w:szCs w:val="20"/>
              </w:rPr>
            </w:pPr>
            <w:r>
              <w:rPr>
                <w:color w:val="000000"/>
                <w:sz w:val="20"/>
                <w:szCs w:val="20"/>
              </w:rPr>
              <w:t>0.611</w:t>
            </w:r>
          </w:p>
        </w:tc>
        <w:tc>
          <w:tcPr>
            <w:tcW w:w="864" w:type="dxa"/>
            <w:tcBorders>
              <w:top w:val="nil"/>
              <w:left w:val="nil"/>
              <w:bottom w:val="nil"/>
              <w:right w:val="nil"/>
            </w:tcBorders>
            <w:shd w:val="clear" w:color="auto" w:fill="auto"/>
            <w:noWrap/>
            <w:vAlign w:val="bottom"/>
            <w:hideMark/>
          </w:tcPr>
          <w:p w14:paraId="66353CD1"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nil"/>
              <w:right w:val="nil"/>
            </w:tcBorders>
            <w:shd w:val="clear" w:color="auto" w:fill="auto"/>
            <w:noWrap/>
            <w:vAlign w:val="bottom"/>
            <w:hideMark/>
          </w:tcPr>
          <w:p w14:paraId="236B1C2F" w14:textId="77777777" w:rsidR="00061496" w:rsidRDefault="00061496">
            <w:pPr>
              <w:jc w:val="right"/>
              <w:rPr>
                <w:color w:val="000000"/>
                <w:sz w:val="20"/>
                <w:szCs w:val="20"/>
              </w:rPr>
            </w:pPr>
            <w:r>
              <w:rPr>
                <w:color w:val="000000"/>
                <w:sz w:val="20"/>
                <w:szCs w:val="20"/>
              </w:rPr>
              <w:t>-0.026</w:t>
            </w:r>
          </w:p>
        </w:tc>
        <w:tc>
          <w:tcPr>
            <w:tcW w:w="864" w:type="dxa"/>
            <w:tcBorders>
              <w:top w:val="nil"/>
              <w:left w:val="nil"/>
              <w:bottom w:val="nil"/>
              <w:right w:val="nil"/>
            </w:tcBorders>
            <w:shd w:val="clear" w:color="auto" w:fill="auto"/>
            <w:noWrap/>
            <w:vAlign w:val="bottom"/>
            <w:hideMark/>
          </w:tcPr>
          <w:p w14:paraId="5F24ED05" w14:textId="77777777" w:rsidR="00061496" w:rsidRDefault="00061496">
            <w:pPr>
              <w:jc w:val="right"/>
              <w:rPr>
                <w:color w:val="000000"/>
                <w:sz w:val="20"/>
                <w:szCs w:val="20"/>
              </w:rPr>
            </w:pPr>
            <w:r>
              <w:rPr>
                <w:color w:val="000000"/>
                <w:sz w:val="20"/>
                <w:szCs w:val="20"/>
              </w:rPr>
              <w:t>0.610</w:t>
            </w:r>
          </w:p>
        </w:tc>
        <w:tc>
          <w:tcPr>
            <w:tcW w:w="864" w:type="dxa"/>
            <w:tcBorders>
              <w:top w:val="nil"/>
              <w:left w:val="nil"/>
              <w:bottom w:val="nil"/>
              <w:right w:val="nil"/>
            </w:tcBorders>
            <w:shd w:val="clear" w:color="auto" w:fill="auto"/>
            <w:noWrap/>
            <w:vAlign w:val="bottom"/>
            <w:hideMark/>
          </w:tcPr>
          <w:p w14:paraId="26A5D0A1" w14:textId="77777777" w:rsidR="00061496" w:rsidRDefault="00061496">
            <w:pPr>
              <w:jc w:val="right"/>
              <w:rPr>
                <w:color w:val="000000"/>
                <w:sz w:val="20"/>
                <w:szCs w:val="20"/>
              </w:rPr>
            </w:pPr>
            <w:r>
              <w:rPr>
                <w:color w:val="000000"/>
                <w:sz w:val="20"/>
                <w:szCs w:val="20"/>
              </w:rPr>
              <w:t>0.001</w:t>
            </w:r>
          </w:p>
        </w:tc>
      </w:tr>
      <w:tr w:rsidR="00061496" w14:paraId="6B2A1C32" w14:textId="77777777" w:rsidTr="00F132FA">
        <w:trPr>
          <w:trHeight w:val="340"/>
        </w:trPr>
        <w:tc>
          <w:tcPr>
            <w:tcW w:w="1152" w:type="dxa"/>
            <w:tcBorders>
              <w:top w:val="nil"/>
              <w:left w:val="nil"/>
              <w:bottom w:val="single" w:sz="12" w:space="0" w:color="auto"/>
              <w:right w:val="nil"/>
            </w:tcBorders>
            <w:shd w:val="clear" w:color="auto" w:fill="auto"/>
            <w:noWrap/>
            <w:vAlign w:val="bottom"/>
            <w:hideMark/>
          </w:tcPr>
          <w:p w14:paraId="64314F0B" w14:textId="77777777" w:rsidR="00061496" w:rsidRDefault="00061496">
            <w:pPr>
              <w:rPr>
                <w:color w:val="000000"/>
                <w:sz w:val="20"/>
                <w:szCs w:val="20"/>
              </w:rPr>
            </w:pPr>
            <w:r>
              <w:rPr>
                <w:color w:val="000000"/>
                <w:sz w:val="20"/>
                <w:szCs w:val="20"/>
              </w:rPr>
              <w:t> </w:t>
            </w:r>
          </w:p>
        </w:tc>
        <w:tc>
          <w:tcPr>
            <w:tcW w:w="2160" w:type="dxa"/>
            <w:tcBorders>
              <w:top w:val="nil"/>
              <w:left w:val="nil"/>
              <w:bottom w:val="single" w:sz="12" w:space="0" w:color="auto"/>
              <w:right w:val="nil"/>
            </w:tcBorders>
            <w:shd w:val="clear" w:color="auto" w:fill="auto"/>
            <w:noWrap/>
            <w:vAlign w:val="center"/>
            <w:hideMark/>
          </w:tcPr>
          <w:p w14:paraId="52B249FD" w14:textId="77777777" w:rsidR="00061496" w:rsidRDefault="00061496">
            <w:pPr>
              <w:rPr>
                <w:color w:val="000000"/>
                <w:sz w:val="20"/>
                <w:szCs w:val="20"/>
              </w:rPr>
            </w:pPr>
            <w:r>
              <w:rPr>
                <w:color w:val="000000"/>
                <w:sz w:val="20"/>
                <w:szCs w:val="20"/>
              </w:rPr>
              <w:t>Visual Association</w:t>
            </w:r>
          </w:p>
        </w:tc>
        <w:tc>
          <w:tcPr>
            <w:tcW w:w="864" w:type="dxa"/>
            <w:tcBorders>
              <w:top w:val="nil"/>
              <w:left w:val="nil"/>
              <w:bottom w:val="single" w:sz="12" w:space="0" w:color="auto"/>
              <w:right w:val="nil"/>
            </w:tcBorders>
            <w:shd w:val="clear" w:color="auto" w:fill="auto"/>
            <w:noWrap/>
            <w:vAlign w:val="bottom"/>
            <w:hideMark/>
          </w:tcPr>
          <w:p w14:paraId="1CCD4574" w14:textId="77777777" w:rsidR="00061496" w:rsidRDefault="00061496">
            <w:pPr>
              <w:jc w:val="right"/>
              <w:rPr>
                <w:color w:val="000000"/>
                <w:sz w:val="20"/>
                <w:szCs w:val="20"/>
              </w:rPr>
            </w:pPr>
            <w:r>
              <w:rPr>
                <w:color w:val="000000"/>
                <w:sz w:val="20"/>
                <w:szCs w:val="20"/>
              </w:rPr>
              <w:t>-0.030</w:t>
            </w:r>
          </w:p>
        </w:tc>
        <w:tc>
          <w:tcPr>
            <w:tcW w:w="864" w:type="dxa"/>
            <w:tcBorders>
              <w:top w:val="nil"/>
              <w:left w:val="nil"/>
              <w:bottom w:val="single" w:sz="12" w:space="0" w:color="auto"/>
              <w:right w:val="nil"/>
            </w:tcBorders>
            <w:shd w:val="clear" w:color="auto" w:fill="auto"/>
            <w:noWrap/>
            <w:vAlign w:val="bottom"/>
            <w:hideMark/>
          </w:tcPr>
          <w:p w14:paraId="09EE451E" w14:textId="77777777" w:rsidR="00061496" w:rsidRDefault="00061496">
            <w:pPr>
              <w:jc w:val="right"/>
              <w:rPr>
                <w:color w:val="000000"/>
                <w:sz w:val="20"/>
                <w:szCs w:val="20"/>
              </w:rPr>
            </w:pPr>
            <w:r>
              <w:rPr>
                <w:color w:val="000000"/>
                <w:sz w:val="20"/>
                <w:szCs w:val="20"/>
              </w:rPr>
              <w:t>0.611</w:t>
            </w:r>
          </w:p>
        </w:tc>
        <w:tc>
          <w:tcPr>
            <w:tcW w:w="864" w:type="dxa"/>
            <w:tcBorders>
              <w:top w:val="nil"/>
              <w:left w:val="nil"/>
              <w:bottom w:val="single" w:sz="12" w:space="0" w:color="auto"/>
              <w:right w:val="nil"/>
            </w:tcBorders>
            <w:shd w:val="clear" w:color="auto" w:fill="auto"/>
            <w:noWrap/>
            <w:vAlign w:val="bottom"/>
            <w:hideMark/>
          </w:tcPr>
          <w:p w14:paraId="14DE3870" w14:textId="77777777" w:rsidR="00061496" w:rsidRDefault="00061496">
            <w:pPr>
              <w:jc w:val="right"/>
              <w:rPr>
                <w:color w:val="000000"/>
                <w:sz w:val="20"/>
                <w:szCs w:val="20"/>
              </w:rPr>
            </w:pPr>
            <w:r>
              <w:rPr>
                <w:color w:val="000000"/>
                <w:sz w:val="20"/>
                <w:szCs w:val="20"/>
              </w:rPr>
              <w:t>0.001</w:t>
            </w:r>
          </w:p>
        </w:tc>
        <w:tc>
          <w:tcPr>
            <w:tcW w:w="864" w:type="dxa"/>
            <w:tcBorders>
              <w:top w:val="nil"/>
              <w:left w:val="nil"/>
              <w:bottom w:val="single" w:sz="12" w:space="0" w:color="auto"/>
              <w:right w:val="nil"/>
            </w:tcBorders>
            <w:shd w:val="clear" w:color="auto" w:fill="auto"/>
            <w:noWrap/>
            <w:vAlign w:val="bottom"/>
            <w:hideMark/>
          </w:tcPr>
          <w:p w14:paraId="2C27DE6E" w14:textId="77777777" w:rsidR="00061496" w:rsidRDefault="00061496">
            <w:pPr>
              <w:jc w:val="right"/>
              <w:rPr>
                <w:color w:val="000000"/>
                <w:sz w:val="20"/>
                <w:szCs w:val="20"/>
              </w:rPr>
            </w:pPr>
            <w:r>
              <w:rPr>
                <w:color w:val="000000"/>
                <w:sz w:val="20"/>
                <w:szCs w:val="20"/>
              </w:rPr>
              <w:t>-0.037</w:t>
            </w:r>
          </w:p>
        </w:tc>
        <w:tc>
          <w:tcPr>
            <w:tcW w:w="864" w:type="dxa"/>
            <w:tcBorders>
              <w:top w:val="nil"/>
              <w:left w:val="nil"/>
              <w:bottom w:val="single" w:sz="12" w:space="0" w:color="auto"/>
              <w:right w:val="nil"/>
            </w:tcBorders>
            <w:shd w:val="clear" w:color="auto" w:fill="auto"/>
            <w:noWrap/>
            <w:vAlign w:val="bottom"/>
            <w:hideMark/>
          </w:tcPr>
          <w:p w14:paraId="108CEF37" w14:textId="77777777" w:rsidR="00061496" w:rsidRDefault="00061496">
            <w:pPr>
              <w:jc w:val="right"/>
              <w:rPr>
                <w:color w:val="000000"/>
                <w:sz w:val="20"/>
                <w:szCs w:val="20"/>
              </w:rPr>
            </w:pPr>
            <w:r>
              <w:rPr>
                <w:color w:val="000000"/>
                <w:sz w:val="20"/>
                <w:szCs w:val="20"/>
              </w:rPr>
              <w:t>0.464</w:t>
            </w:r>
          </w:p>
        </w:tc>
        <w:tc>
          <w:tcPr>
            <w:tcW w:w="864" w:type="dxa"/>
            <w:tcBorders>
              <w:top w:val="nil"/>
              <w:left w:val="nil"/>
              <w:bottom w:val="single" w:sz="12" w:space="0" w:color="auto"/>
              <w:right w:val="nil"/>
            </w:tcBorders>
            <w:shd w:val="clear" w:color="auto" w:fill="auto"/>
            <w:noWrap/>
            <w:vAlign w:val="bottom"/>
            <w:hideMark/>
          </w:tcPr>
          <w:p w14:paraId="09C1CEE0" w14:textId="77777777" w:rsidR="00061496" w:rsidRDefault="00061496">
            <w:pPr>
              <w:jc w:val="right"/>
              <w:rPr>
                <w:color w:val="000000"/>
                <w:sz w:val="20"/>
                <w:szCs w:val="20"/>
              </w:rPr>
            </w:pPr>
            <w:r>
              <w:rPr>
                <w:color w:val="000000"/>
                <w:sz w:val="20"/>
                <w:szCs w:val="20"/>
              </w:rPr>
              <w:t>0.001</w:t>
            </w:r>
          </w:p>
        </w:tc>
      </w:tr>
      <w:tr w:rsidR="00061496" w14:paraId="5BF141AD" w14:textId="77777777" w:rsidTr="00F132FA">
        <w:trPr>
          <w:trHeight w:val="320"/>
        </w:trPr>
        <w:tc>
          <w:tcPr>
            <w:tcW w:w="1152" w:type="dxa"/>
            <w:tcBorders>
              <w:top w:val="single" w:sz="12" w:space="0" w:color="auto"/>
              <w:left w:val="nil"/>
              <w:bottom w:val="nil"/>
              <w:right w:val="nil"/>
            </w:tcBorders>
            <w:shd w:val="clear" w:color="auto" w:fill="auto"/>
            <w:noWrap/>
            <w:vAlign w:val="bottom"/>
            <w:hideMark/>
          </w:tcPr>
          <w:p w14:paraId="4988AC8A" w14:textId="77777777" w:rsidR="00061496" w:rsidRDefault="00061496">
            <w:pPr>
              <w:jc w:val="right"/>
              <w:rPr>
                <w:color w:val="000000"/>
                <w:sz w:val="20"/>
                <w:szCs w:val="20"/>
              </w:rPr>
            </w:pPr>
          </w:p>
        </w:tc>
        <w:tc>
          <w:tcPr>
            <w:tcW w:w="2160" w:type="dxa"/>
            <w:tcBorders>
              <w:top w:val="single" w:sz="12" w:space="0" w:color="auto"/>
              <w:left w:val="nil"/>
              <w:bottom w:val="nil"/>
              <w:right w:val="nil"/>
            </w:tcBorders>
            <w:shd w:val="clear" w:color="auto" w:fill="auto"/>
            <w:noWrap/>
            <w:vAlign w:val="bottom"/>
            <w:hideMark/>
          </w:tcPr>
          <w:p w14:paraId="1B500613" w14:textId="77777777" w:rsidR="00061496" w:rsidRDefault="0006149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6805B581" w14:textId="77777777" w:rsidR="00061496" w:rsidRDefault="0006149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E111551" w14:textId="77777777" w:rsidR="00061496" w:rsidRDefault="0006149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306B9D24" w14:textId="77777777" w:rsidR="00061496" w:rsidRDefault="0006149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2B784A51" w14:textId="77777777" w:rsidR="00061496" w:rsidRDefault="0006149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0C7CFE8" w14:textId="77777777" w:rsidR="00061496" w:rsidRDefault="00061496">
            <w:pPr>
              <w:rPr>
                <w:sz w:val="20"/>
                <w:szCs w:val="20"/>
              </w:rPr>
            </w:pPr>
          </w:p>
        </w:tc>
        <w:tc>
          <w:tcPr>
            <w:tcW w:w="864" w:type="dxa"/>
            <w:tcBorders>
              <w:top w:val="single" w:sz="12" w:space="0" w:color="auto"/>
              <w:left w:val="nil"/>
              <w:bottom w:val="nil"/>
              <w:right w:val="nil"/>
            </w:tcBorders>
            <w:shd w:val="clear" w:color="auto" w:fill="auto"/>
            <w:noWrap/>
            <w:vAlign w:val="bottom"/>
            <w:hideMark/>
          </w:tcPr>
          <w:p w14:paraId="4C7FBFE3" w14:textId="77777777" w:rsidR="00061496" w:rsidRDefault="00061496">
            <w:pPr>
              <w:rPr>
                <w:sz w:val="20"/>
                <w:szCs w:val="20"/>
              </w:rPr>
            </w:pPr>
          </w:p>
        </w:tc>
      </w:tr>
    </w:tbl>
    <w:p w14:paraId="5A607F68" w14:textId="2CEEABB9" w:rsidR="00585287" w:rsidRDefault="00585287" w:rsidP="0047742A">
      <w:pPr>
        <w:rPr>
          <w:rFonts w:ascii="Batang" w:eastAsia="Batang" w:hAnsi="Batang" w:cs="Batang"/>
          <w:color w:val="000000"/>
        </w:rPr>
      </w:pPr>
    </w:p>
    <w:p w14:paraId="5B3E908D" w14:textId="12EEB864" w:rsidR="00585287" w:rsidRDefault="00585287">
      <w:pPr>
        <w:rPr>
          <w:rFonts w:ascii="Batang" w:eastAsia="Batang" w:hAnsi="Batang" w:cs="Batang"/>
          <w:color w:val="000000"/>
        </w:rPr>
      </w:pPr>
    </w:p>
    <w:sectPr w:rsidR="00585287" w:rsidSect="00F4634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E6B9" w14:textId="77777777" w:rsidR="00F46342" w:rsidRDefault="00F46342">
      <w:r>
        <w:separator/>
      </w:r>
    </w:p>
  </w:endnote>
  <w:endnote w:type="continuationSeparator" w:id="0">
    <w:p w14:paraId="6CD5D333" w14:textId="77777777" w:rsidR="00F46342" w:rsidRDefault="00F4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ÍníÕ˛">
    <w:altName w:val="Calibri"/>
    <w:panose1 w:val="020B0604020202020204"/>
    <w:charset w:val="4D"/>
    <w:family w:val="auto"/>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48D6" w14:textId="77777777" w:rsidR="00F46342" w:rsidRDefault="00F46342">
      <w:r>
        <w:separator/>
      </w:r>
    </w:p>
  </w:footnote>
  <w:footnote w:type="continuationSeparator" w:id="0">
    <w:p w14:paraId="1D524C07" w14:textId="77777777" w:rsidR="00F46342" w:rsidRDefault="00F4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FA"/>
    <w:rsid w:val="000006AA"/>
    <w:rsid w:val="00002260"/>
    <w:rsid w:val="00006BD8"/>
    <w:rsid w:val="00007D35"/>
    <w:rsid w:val="00010243"/>
    <w:rsid w:val="000102A7"/>
    <w:rsid w:val="000123CC"/>
    <w:rsid w:val="00013A99"/>
    <w:rsid w:val="00013F1D"/>
    <w:rsid w:val="000147A0"/>
    <w:rsid w:val="00014A56"/>
    <w:rsid w:val="00014F1C"/>
    <w:rsid w:val="00016A9C"/>
    <w:rsid w:val="00017729"/>
    <w:rsid w:val="0002076E"/>
    <w:rsid w:val="000240BE"/>
    <w:rsid w:val="00024164"/>
    <w:rsid w:val="00024DF4"/>
    <w:rsid w:val="00025325"/>
    <w:rsid w:val="00026862"/>
    <w:rsid w:val="00026E6F"/>
    <w:rsid w:val="00030824"/>
    <w:rsid w:val="00030CDD"/>
    <w:rsid w:val="00030D95"/>
    <w:rsid w:val="000322F2"/>
    <w:rsid w:val="0003615E"/>
    <w:rsid w:val="00036186"/>
    <w:rsid w:val="00036330"/>
    <w:rsid w:val="000370FE"/>
    <w:rsid w:val="00043B64"/>
    <w:rsid w:val="00045F32"/>
    <w:rsid w:val="00052D4D"/>
    <w:rsid w:val="00053066"/>
    <w:rsid w:val="00055C8D"/>
    <w:rsid w:val="00057841"/>
    <w:rsid w:val="00057DDB"/>
    <w:rsid w:val="000604B1"/>
    <w:rsid w:val="00060E33"/>
    <w:rsid w:val="00061496"/>
    <w:rsid w:val="00061D6E"/>
    <w:rsid w:val="00063E84"/>
    <w:rsid w:val="00067B37"/>
    <w:rsid w:val="000702D3"/>
    <w:rsid w:val="00070D4C"/>
    <w:rsid w:val="0007125D"/>
    <w:rsid w:val="000748CD"/>
    <w:rsid w:val="000750DC"/>
    <w:rsid w:val="00075A5C"/>
    <w:rsid w:val="00075A77"/>
    <w:rsid w:val="00076401"/>
    <w:rsid w:val="00076540"/>
    <w:rsid w:val="00081FDF"/>
    <w:rsid w:val="0008236A"/>
    <w:rsid w:val="000838BA"/>
    <w:rsid w:val="0008467C"/>
    <w:rsid w:val="00091CD0"/>
    <w:rsid w:val="00092E7C"/>
    <w:rsid w:val="0009432F"/>
    <w:rsid w:val="0009441E"/>
    <w:rsid w:val="0009629D"/>
    <w:rsid w:val="00096CB8"/>
    <w:rsid w:val="00097E80"/>
    <w:rsid w:val="00097E8D"/>
    <w:rsid w:val="000A0703"/>
    <w:rsid w:val="000A1A87"/>
    <w:rsid w:val="000A5AC4"/>
    <w:rsid w:val="000A61F2"/>
    <w:rsid w:val="000A6848"/>
    <w:rsid w:val="000A6C7B"/>
    <w:rsid w:val="000A78EA"/>
    <w:rsid w:val="000A7DE8"/>
    <w:rsid w:val="000B2066"/>
    <w:rsid w:val="000B4054"/>
    <w:rsid w:val="000B6E5A"/>
    <w:rsid w:val="000C3840"/>
    <w:rsid w:val="000C3B53"/>
    <w:rsid w:val="000C5D9F"/>
    <w:rsid w:val="000D2E77"/>
    <w:rsid w:val="000E2E33"/>
    <w:rsid w:val="000E3823"/>
    <w:rsid w:val="000E3F4D"/>
    <w:rsid w:val="000E5DB5"/>
    <w:rsid w:val="000E7451"/>
    <w:rsid w:val="000F74B0"/>
    <w:rsid w:val="000F7A5A"/>
    <w:rsid w:val="0010058B"/>
    <w:rsid w:val="001030DB"/>
    <w:rsid w:val="001049D2"/>
    <w:rsid w:val="00104A33"/>
    <w:rsid w:val="00105D78"/>
    <w:rsid w:val="00107408"/>
    <w:rsid w:val="001144B2"/>
    <w:rsid w:val="00121C9D"/>
    <w:rsid w:val="00121F4D"/>
    <w:rsid w:val="00122AC4"/>
    <w:rsid w:val="0012465B"/>
    <w:rsid w:val="0012524F"/>
    <w:rsid w:val="0012560B"/>
    <w:rsid w:val="00130F5E"/>
    <w:rsid w:val="00136037"/>
    <w:rsid w:val="00137EC8"/>
    <w:rsid w:val="00141E90"/>
    <w:rsid w:val="001530B0"/>
    <w:rsid w:val="00153340"/>
    <w:rsid w:val="00153680"/>
    <w:rsid w:val="0015598B"/>
    <w:rsid w:val="00156098"/>
    <w:rsid w:val="00157867"/>
    <w:rsid w:val="001617D3"/>
    <w:rsid w:val="001665E4"/>
    <w:rsid w:val="0017179F"/>
    <w:rsid w:val="00171FF0"/>
    <w:rsid w:val="00173F69"/>
    <w:rsid w:val="00174348"/>
    <w:rsid w:val="001774C6"/>
    <w:rsid w:val="00183549"/>
    <w:rsid w:val="00183BB5"/>
    <w:rsid w:val="00184735"/>
    <w:rsid w:val="00185105"/>
    <w:rsid w:val="0019071A"/>
    <w:rsid w:val="00192D02"/>
    <w:rsid w:val="0019423C"/>
    <w:rsid w:val="0019576E"/>
    <w:rsid w:val="00195B9F"/>
    <w:rsid w:val="00197128"/>
    <w:rsid w:val="001A0D61"/>
    <w:rsid w:val="001A18EF"/>
    <w:rsid w:val="001A197C"/>
    <w:rsid w:val="001A2242"/>
    <w:rsid w:val="001A33F6"/>
    <w:rsid w:val="001A4885"/>
    <w:rsid w:val="001A6E21"/>
    <w:rsid w:val="001B57AC"/>
    <w:rsid w:val="001C6477"/>
    <w:rsid w:val="001C6A22"/>
    <w:rsid w:val="001C7F8C"/>
    <w:rsid w:val="001D129C"/>
    <w:rsid w:val="001D213F"/>
    <w:rsid w:val="001D3F0F"/>
    <w:rsid w:val="001E1751"/>
    <w:rsid w:val="001E3674"/>
    <w:rsid w:val="001E498C"/>
    <w:rsid w:val="001E5184"/>
    <w:rsid w:val="001E56D0"/>
    <w:rsid w:val="001F0252"/>
    <w:rsid w:val="001F02BE"/>
    <w:rsid w:val="001F0F1B"/>
    <w:rsid w:val="001F11F5"/>
    <w:rsid w:val="001F18DB"/>
    <w:rsid w:val="001F40F0"/>
    <w:rsid w:val="001F52C7"/>
    <w:rsid w:val="001F6768"/>
    <w:rsid w:val="001F746E"/>
    <w:rsid w:val="001F7F24"/>
    <w:rsid w:val="0020053A"/>
    <w:rsid w:val="00202C52"/>
    <w:rsid w:val="00202E64"/>
    <w:rsid w:val="00206BF8"/>
    <w:rsid w:val="00207551"/>
    <w:rsid w:val="002124D4"/>
    <w:rsid w:val="002125FE"/>
    <w:rsid w:val="00212897"/>
    <w:rsid w:val="00212A70"/>
    <w:rsid w:val="00214A79"/>
    <w:rsid w:val="0022212F"/>
    <w:rsid w:val="00222ADD"/>
    <w:rsid w:val="0022307A"/>
    <w:rsid w:val="00223294"/>
    <w:rsid w:val="00226DF8"/>
    <w:rsid w:val="00231287"/>
    <w:rsid w:val="0024268D"/>
    <w:rsid w:val="0024652D"/>
    <w:rsid w:val="002514FD"/>
    <w:rsid w:val="002528D4"/>
    <w:rsid w:val="002555F0"/>
    <w:rsid w:val="00256CD5"/>
    <w:rsid w:val="00256EA4"/>
    <w:rsid w:val="00262BF0"/>
    <w:rsid w:val="00264E78"/>
    <w:rsid w:val="002665CF"/>
    <w:rsid w:val="00267EEF"/>
    <w:rsid w:val="002702D3"/>
    <w:rsid w:val="00272023"/>
    <w:rsid w:val="00273EA3"/>
    <w:rsid w:val="00277A7F"/>
    <w:rsid w:val="00285605"/>
    <w:rsid w:val="00285A4A"/>
    <w:rsid w:val="00285FEC"/>
    <w:rsid w:val="0028740C"/>
    <w:rsid w:val="00292A6A"/>
    <w:rsid w:val="002939EB"/>
    <w:rsid w:val="00296882"/>
    <w:rsid w:val="002A16C5"/>
    <w:rsid w:val="002A281B"/>
    <w:rsid w:val="002A3FE1"/>
    <w:rsid w:val="002A4247"/>
    <w:rsid w:val="002B066B"/>
    <w:rsid w:val="002B1350"/>
    <w:rsid w:val="002B46B4"/>
    <w:rsid w:val="002B7BAC"/>
    <w:rsid w:val="002B7D9A"/>
    <w:rsid w:val="002C08DF"/>
    <w:rsid w:val="002C0CFB"/>
    <w:rsid w:val="002C45E1"/>
    <w:rsid w:val="002C740D"/>
    <w:rsid w:val="002C78E1"/>
    <w:rsid w:val="002D1027"/>
    <w:rsid w:val="002D77C4"/>
    <w:rsid w:val="002E02DC"/>
    <w:rsid w:val="002E2DC8"/>
    <w:rsid w:val="002E484C"/>
    <w:rsid w:val="002E48A6"/>
    <w:rsid w:val="002E4D47"/>
    <w:rsid w:val="002E55DE"/>
    <w:rsid w:val="002E5DD5"/>
    <w:rsid w:val="002F1817"/>
    <w:rsid w:val="002F3023"/>
    <w:rsid w:val="002F598C"/>
    <w:rsid w:val="003046B2"/>
    <w:rsid w:val="00305778"/>
    <w:rsid w:val="003057BF"/>
    <w:rsid w:val="00307E35"/>
    <w:rsid w:val="00312A75"/>
    <w:rsid w:val="0031427C"/>
    <w:rsid w:val="00322252"/>
    <w:rsid w:val="00326A29"/>
    <w:rsid w:val="00327563"/>
    <w:rsid w:val="00327BBA"/>
    <w:rsid w:val="00331E1E"/>
    <w:rsid w:val="003322B4"/>
    <w:rsid w:val="00332F7A"/>
    <w:rsid w:val="003332E4"/>
    <w:rsid w:val="0033418F"/>
    <w:rsid w:val="003356CA"/>
    <w:rsid w:val="003368C2"/>
    <w:rsid w:val="00337206"/>
    <w:rsid w:val="00342861"/>
    <w:rsid w:val="003443FA"/>
    <w:rsid w:val="003514A7"/>
    <w:rsid w:val="003525BA"/>
    <w:rsid w:val="00361A99"/>
    <w:rsid w:val="0036523A"/>
    <w:rsid w:val="00366A0D"/>
    <w:rsid w:val="00367089"/>
    <w:rsid w:val="003707DA"/>
    <w:rsid w:val="00370884"/>
    <w:rsid w:val="003716F4"/>
    <w:rsid w:val="00382E72"/>
    <w:rsid w:val="00384B20"/>
    <w:rsid w:val="0039188C"/>
    <w:rsid w:val="00391C91"/>
    <w:rsid w:val="003964DF"/>
    <w:rsid w:val="00396C46"/>
    <w:rsid w:val="003A09C4"/>
    <w:rsid w:val="003A2692"/>
    <w:rsid w:val="003A372D"/>
    <w:rsid w:val="003A428B"/>
    <w:rsid w:val="003A5B6F"/>
    <w:rsid w:val="003A61C9"/>
    <w:rsid w:val="003A70DC"/>
    <w:rsid w:val="003B1223"/>
    <w:rsid w:val="003B286C"/>
    <w:rsid w:val="003B3F76"/>
    <w:rsid w:val="003B7B68"/>
    <w:rsid w:val="003B7E29"/>
    <w:rsid w:val="003C0D04"/>
    <w:rsid w:val="003C0E68"/>
    <w:rsid w:val="003C1356"/>
    <w:rsid w:val="003C1A8D"/>
    <w:rsid w:val="003C1A94"/>
    <w:rsid w:val="003D0A36"/>
    <w:rsid w:val="003D34E3"/>
    <w:rsid w:val="003D47B5"/>
    <w:rsid w:val="003D68E2"/>
    <w:rsid w:val="003D6DCA"/>
    <w:rsid w:val="003E130F"/>
    <w:rsid w:val="003E1491"/>
    <w:rsid w:val="003E3E8F"/>
    <w:rsid w:val="003E40AE"/>
    <w:rsid w:val="003E53EF"/>
    <w:rsid w:val="003E59B0"/>
    <w:rsid w:val="003F03FD"/>
    <w:rsid w:val="003F050F"/>
    <w:rsid w:val="003F124D"/>
    <w:rsid w:val="003F1B09"/>
    <w:rsid w:val="003F1D2C"/>
    <w:rsid w:val="003F7D97"/>
    <w:rsid w:val="00402C19"/>
    <w:rsid w:val="004036CD"/>
    <w:rsid w:val="00404833"/>
    <w:rsid w:val="004076F2"/>
    <w:rsid w:val="00407722"/>
    <w:rsid w:val="00417C53"/>
    <w:rsid w:val="00420294"/>
    <w:rsid w:val="0042372D"/>
    <w:rsid w:val="00424208"/>
    <w:rsid w:val="00424661"/>
    <w:rsid w:val="00427678"/>
    <w:rsid w:val="00430C42"/>
    <w:rsid w:val="00432927"/>
    <w:rsid w:val="00432B71"/>
    <w:rsid w:val="004345C0"/>
    <w:rsid w:val="0043591E"/>
    <w:rsid w:val="00436824"/>
    <w:rsid w:val="00440941"/>
    <w:rsid w:val="00441987"/>
    <w:rsid w:val="00442ECA"/>
    <w:rsid w:val="00442F93"/>
    <w:rsid w:val="00445FEB"/>
    <w:rsid w:val="00446231"/>
    <w:rsid w:val="00446B7F"/>
    <w:rsid w:val="00446FB1"/>
    <w:rsid w:val="00450E85"/>
    <w:rsid w:val="0045192E"/>
    <w:rsid w:val="00452DF8"/>
    <w:rsid w:val="00452F8B"/>
    <w:rsid w:val="0045495B"/>
    <w:rsid w:val="0045590D"/>
    <w:rsid w:val="004561CB"/>
    <w:rsid w:val="00461778"/>
    <w:rsid w:val="0046261A"/>
    <w:rsid w:val="004664A9"/>
    <w:rsid w:val="004673D8"/>
    <w:rsid w:val="004678F8"/>
    <w:rsid w:val="00471C1A"/>
    <w:rsid w:val="00471F73"/>
    <w:rsid w:val="004721EA"/>
    <w:rsid w:val="00474DA8"/>
    <w:rsid w:val="0047742A"/>
    <w:rsid w:val="004821CD"/>
    <w:rsid w:val="00482F8E"/>
    <w:rsid w:val="004845D4"/>
    <w:rsid w:val="004851BA"/>
    <w:rsid w:val="00492983"/>
    <w:rsid w:val="0049548A"/>
    <w:rsid w:val="004A061B"/>
    <w:rsid w:val="004A2648"/>
    <w:rsid w:val="004A2B50"/>
    <w:rsid w:val="004A2C40"/>
    <w:rsid w:val="004A4C33"/>
    <w:rsid w:val="004A5F54"/>
    <w:rsid w:val="004A6883"/>
    <w:rsid w:val="004B008C"/>
    <w:rsid w:val="004B0A3B"/>
    <w:rsid w:val="004B17F1"/>
    <w:rsid w:val="004B2F80"/>
    <w:rsid w:val="004B339A"/>
    <w:rsid w:val="004B4A71"/>
    <w:rsid w:val="004B4CE9"/>
    <w:rsid w:val="004B7E02"/>
    <w:rsid w:val="004C00ED"/>
    <w:rsid w:val="004C16B4"/>
    <w:rsid w:val="004C3DB6"/>
    <w:rsid w:val="004C58D5"/>
    <w:rsid w:val="004C5BC4"/>
    <w:rsid w:val="004D5F91"/>
    <w:rsid w:val="004E0C0D"/>
    <w:rsid w:val="004E4841"/>
    <w:rsid w:val="004E5FB5"/>
    <w:rsid w:val="004E637F"/>
    <w:rsid w:val="004E7A14"/>
    <w:rsid w:val="004F601D"/>
    <w:rsid w:val="004F7215"/>
    <w:rsid w:val="00500A3C"/>
    <w:rsid w:val="00503216"/>
    <w:rsid w:val="00506C8B"/>
    <w:rsid w:val="00507EB2"/>
    <w:rsid w:val="00510396"/>
    <w:rsid w:val="00513C1D"/>
    <w:rsid w:val="005151FA"/>
    <w:rsid w:val="00517C29"/>
    <w:rsid w:val="005226D9"/>
    <w:rsid w:val="00526EAF"/>
    <w:rsid w:val="005277D6"/>
    <w:rsid w:val="00532536"/>
    <w:rsid w:val="00533103"/>
    <w:rsid w:val="005349DB"/>
    <w:rsid w:val="0053537E"/>
    <w:rsid w:val="005367B7"/>
    <w:rsid w:val="00537A52"/>
    <w:rsid w:val="00542710"/>
    <w:rsid w:val="0054272A"/>
    <w:rsid w:val="00542A14"/>
    <w:rsid w:val="00546786"/>
    <w:rsid w:val="005477CD"/>
    <w:rsid w:val="00553D8E"/>
    <w:rsid w:val="00557228"/>
    <w:rsid w:val="00565393"/>
    <w:rsid w:val="00566BD9"/>
    <w:rsid w:val="0056762F"/>
    <w:rsid w:val="00570F63"/>
    <w:rsid w:val="00572FD5"/>
    <w:rsid w:val="00573CF5"/>
    <w:rsid w:val="0057439F"/>
    <w:rsid w:val="005803CA"/>
    <w:rsid w:val="005808AB"/>
    <w:rsid w:val="00581853"/>
    <w:rsid w:val="005833B9"/>
    <w:rsid w:val="00585287"/>
    <w:rsid w:val="005858A2"/>
    <w:rsid w:val="00586F14"/>
    <w:rsid w:val="00587B4A"/>
    <w:rsid w:val="00591469"/>
    <w:rsid w:val="00591B48"/>
    <w:rsid w:val="0059414D"/>
    <w:rsid w:val="00594F32"/>
    <w:rsid w:val="00597A43"/>
    <w:rsid w:val="00597DA0"/>
    <w:rsid w:val="005A0399"/>
    <w:rsid w:val="005A070B"/>
    <w:rsid w:val="005A3040"/>
    <w:rsid w:val="005A4C5A"/>
    <w:rsid w:val="005A4D1D"/>
    <w:rsid w:val="005A6A80"/>
    <w:rsid w:val="005B3177"/>
    <w:rsid w:val="005B371D"/>
    <w:rsid w:val="005B694E"/>
    <w:rsid w:val="005B6CD6"/>
    <w:rsid w:val="005B7329"/>
    <w:rsid w:val="005C0A30"/>
    <w:rsid w:val="005C1B96"/>
    <w:rsid w:val="005C1D44"/>
    <w:rsid w:val="005C2E2F"/>
    <w:rsid w:val="005C382C"/>
    <w:rsid w:val="005C465B"/>
    <w:rsid w:val="005C5A9B"/>
    <w:rsid w:val="005E112E"/>
    <w:rsid w:val="005E400E"/>
    <w:rsid w:val="005F42D3"/>
    <w:rsid w:val="005F5C83"/>
    <w:rsid w:val="00601BA0"/>
    <w:rsid w:val="00603E87"/>
    <w:rsid w:val="0060508C"/>
    <w:rsid w:val="0060607A"/>
    <w:rsid w:val="00612F62"/>
    <w:rsid w:val="00614C94"/>
    <w:rsid w:val="006170D0"/>
    <w:rsid w:val="006216D2"/>
    <w:rsid w:val="006223E8"/>
    <w:rsid w:val="00623346"/>
    <w:rsid w:val="00625B27"/>
    <w:rsid w:val="0062677D"/>
    <w:rsid w:val="006268FD"/>
    <w:rsid w:val="00634EE2"/>
    <w:rsid w:val="00636EF4"/>
    <w:rsid w:val="006373D0"/>
    <w:rsid w:val="00640C63"/>
    <w:rsid w:val="0064282F"/>
    <w:rsid w:val="00642A6D"/>
    <w:rsid w:val="00645E92"/>
    <w:rsid w:val="00646B49"/>
    <w:rsid w:val="00646D40"/>
    <w:rsid w:val="00650B63"/>
    <w:rsid w:val="00652C69"/>
    <w:rsid w:val="00653231"/>
    <w:rsid w:val="006542EA"/>
    <w:rsid w:val="00657975"/>
    <w:rsid w:val="006601F7"/>
    <w:rsid w:val="00660E36"/>
    <w:rsid w:val="006610EC"/>
    <w:rsid w:val="006628A7"/>
    <w:rsid w:val="00663F9F"/>
    <w:rsid w:val="00672332"/>
    <w:rsid w:val="0067374C"/>
    <w:rsid w:val="00675C41"/>
    <w:rsid w:val="00680585"/>
    <w:rsid w:val="006909E3"/>
    <w:rsid w:val="00690E42"/>
    <w:rsid w:val="00690F5E"/>
    <w:rsid w:val="00691004"/>
    <w:rsid w:val="006910CA"/>
    <w:rsid w:val="006937EA"/>
    <w:rsid w:val="006A0E4D"/>
    <w:rsid w:val="006A10C0"/>
    <w:rsid w:val="006A4703"/>
    <w:rsid w:val="006B4E58"/>
    <w:rsid w:val="006B6D3A"/>
    <w:rsid w:val="006C1EE3"/>
    <w:rsid w:val="006C4083"/>
    <w:rsid w:val="006C7F97"/>
    <w:rsid w:val="006D0B73"/>
    <w:rsid w:val="006D2BED"/>
    <w:rsid w:val="006D49A9"/>
    <w:rsid w:val="006E0859"/>
    <w:rsid w:val="006E3CB6"/>
    <w:rsid w:val="006E601A"/>
    <w:rsid w:val="006E6295"/>
    <w:rsid w:val="006E63B2"/>
    <w:rsid w:val="006E7F0A"/>
    <w:rsid w:val="006F2510"/>
    <w:rsid w:val="006F2D26"/>
    <w:rsid w:val="006F54CF"/>
    <w:rsid w:val="006F5CB6"/>
    <w:rsid w:val="006F689F"/>
    <w:rsid w:val="006F78CC"/>
    <w:rsid w:val="006F7D26"/>
    <w:rsid w:val="00700B97"/>
    <w:rsid w:val="0070196F"/>
    <w:rsid w:val="00703939"/>
    <w:rsid w:val="00704A67"/>
    <w:rsid w:val="00705E53"/>
    <w:rsid w:val="00710703"/>
    <w:rsid w:val="00710BCB"/>
    <w:rsid w:val="007129B6"/>
    <w:rsid w:val="00714104"/>
    <w:rsid w:val="007167C7"/>
    <w:rsid w:val="00720145"/>
    <w:rsid w:val="007212FF"/>
    <w:rsid w:val="00723FA6"/>
    <w:rsid w:val="00730BF2"/>
    <w:rsid w:val="00731940"/>
    <w:rsid w:val="00732BD0"/>
    <w:rsid w:val="00735358"/>
    <w:rsid w:val="00736719"/>
    <w:rsid w:val="0073750B"/>
    <w:rsid w:val="00742B65"/>
    <w:rsid w:val="00743ED6"/>
    <w:rsid w:val="00744C94"/>
    <w:rsid w:val="007463DD"/>
    <w:rsid w:val="00746C96"/>
    <w:rsid w:val="007517E4"/>
    <w:rsid w:val="007531EC"/>
    <w:rsid w:val="007564AC"/>
    <w:rsid w:val="00761ACF"/>
    <w:rsid w:val="00762A0C"/>
    <w:rsid w:val="00762EEC"/>
    <w:rsid w:val="00764617"/>
    <w:rsid w:val="00764BDA"/>
    <w:rsid w:val="007655B6"/>
    <w:rsid w:val="0076795D"/>
    <w:rsid w:val="00773C6E"/>
    <w:rsid w:val="00774270"/>
    <w:rsid w:val="00774967"/>
    <w:rsid w:val="00777672"/>
    <w:rsid w:val="007810AE"/>
    <w:rsid w:val="0078540D"/>
    <w:rsid w:val="00785FFC"/>
    <w:rsid w:val="00793B01"/>
    <w:rsid w:val="00796E68"/>
    <w:rsid w:val="007A0B3B"/>
    <w:rsid w:val="007A0BDB"/>
    <w:rsid w:val="007A48E4"/>
    <w:rsid w:val="007B0979"/>
    <w:rsid w:val="007B4E14"/>
    <w:rsid w:val="007B6027"/>
    <w:rsid w:val="007B6696"/>
    <w:rsid w:val="007B6AC8"/>
    <w:rsid w:val="007C047B"/>
    <w:rsid w:val="007C1C43"/>
    <w:rsid w:val="007C294A"/>
    <w:rsid w:val="007C5295"/>
    <w:rsid w:val="007C609B"/>
    <w:rsid w:val="007C6137"/>
    <w:rsid w:val="007C663C"/>
    <w:rsid w:val="007D0EBD"/>
    <w:rsid w:val="007D2BB6"/>
    <w:rsid w:val="007D30BE"/>
    <w:rsid w:val="007D3A5D"/>
    <w:rsid w:val="007D6C09"/>
    <w:rsid w:val="007E03D0"/>
    <w:rsid w:val="007E529E"/>
    <w:rsid w:val="007E55D2"/>
    <w:rsid w:val="007E7556"/>
    <w:rsid w:val="007F0835"/>
    <w:rsid w:val="007F1C4C"/>
    <w:rsid w:val="007F2850"/>
    <w:rsid w:val="007F3877"/>
    <w:rsid w:val="007F4C4C"/>
    <w:rsid w:val="007F53E4"/>
    <w:rsid w:val="007F558C"/>
    <w:rsid w:val="007F5B99"/>
    <w:rsid w:val="007F5C75"/>
    <w:rsid w:val="007F5D13"/>
    <w:rsid w:val="007F6AC7"/>
    <w:rsid w:val="007F7443"/>
    <w:rsid w:val="00801ACA"/>
    <w:rsid w:val="008035B1"/>
    <w:rsid w:val="00804294"/>
    <w:rsid w:val="00805452"/>
    <w:rsid w:val="008059BB"/>
    <w:rsid w:val="00806532"/>
    <w:rsid w:val="00810BF2"/>
    <w:rsid w:val="00812044"/>
    <w:rsid w:val="00813053"/>
    <w:rsid w:val="008143A4"/>
    <w:rsid w:val="00814638"/>
    <w:rsid w:val="008157AB"/>
    <w:rsid w:val="00816958"/>
    <w:rsid w:val="00821EE3"/>
    <w:rsid w:val="00823575"/>
    <w:rsid w:val="0082473F"/>
    <w:rsid w:val="00826D15"/>
    <w:rsid w:val="008318F1"/>
    <w:rsid w:val="00832DBF"/>
    <w:rsid w:val="00833C56"/>
    <w:rsid w:val="008343F4"/>
    <w:rsid w:val="0083523F"/>
    <w:rsid w:val="008353AD"/>
    <w:rsid w:val="00837360"/>
    <w:rsid w:val="008378D4"/>
    <w:rsid w:val="00843648"/>
    <w:rsid w:val="00845C8D"/>
    <w:rsid w:val="00847EB0"/>
    <w:rsid w:val="00850202"/>
    <w:rsid w:val="00851700"/>
    <w:rsid w:val="00851BEE"/>
    <w:rsid w:val="00852B14"/>
    <w:rsid w:val="00857015"/>
    <w:rsid w:val="00857B4E"/>
    <w:rsid w:val="00861887"/>
    <w:rsid w:val="0086270A"/>
    <w:rsid w:val="00862F37"/>
    <w:rsid w:val="008635E8"/>
    <w:rsid w:val="0087057D"/>
    <w:rsid w:val="00872FD2"/>
    <w:rsid w:val="008734A4"/>
    <w:rsid w:val="00874F60"/>
    <w:rsid w:val="00875542"/>
    <w:rsid w:val="00876730"/>
    <w:rsid w:val="00877A00"/>
    <w:rsid w:val="00882F24"/>
    <w:rsid w:val="0088361F"/>
    <w:rsid w:val="008858D1"/>
    <w:rsid w:val="00885D04"/>
    <w:rsid w:val="008860B8"/>
    <w:rsid w:val="00887F59"/>
    <w:rsid w:val="00890D3D"/>
    <w:rsid w:val="00891CDB"/>
    <w:rsid w:val="008947FA"/>
    <w:rsid w:val="008950C7"/>
    <w:rsid w:val="008956D2"/>
    <w:rsid w:val="00896509"/>
    <w:rsid w:val="00896EAB"/>
    <w:rsid w:val="008975AB"/>
    <w:rsid w:val="008A3848"/>
    <w:rsid w:val="008A5530"/>
    <w:rsid w:val="008A6A84"/>
    <w:rsid w:val="008A72C2"/>
    <w:rsid w:val="008B4A7C"/>
    <w:rsid w:val="008B5123"/>
    <w:rsid w:val="008C0BDB"/>
    <w:rsid w:val="008C1423"/>
    <w:rsid w:val="008C14E4"/>
    <w:rsid w:val="008C7CD1"/>
    <w:rsid w:val="008C7D8D"/>
    <w:rsid w:val="008D0F73"/>
    <w:rsid w:val="008D3735"/>
    <w:rsid w:val="008E27DC"/>
    <w:rsid w:val="008E38EF"/>
    <w:rsid w:val="008E41AC"/>
    <w:rsid w:val="008E4B10"/>
    <w:rsid w:val="008E6C09"/>
    <w:rsid w:val="008E724A"/>
    <w:rsid w:val="008F1E16"/>
    <w:rsid w:val="008F1EEC"/>
    <w:rsid w:val="008F3B4D"/>
    <w:rsid w:val="008F3DD0"/>
    <w:rsid w:val="008F7411"/>
    <w:rsid w:val="00901537"/>
    <w:rsid w:val="00906DFA"/>
    <w:rsid w:val="00911428"/>
    <w:rsid w:val="00913201"/>
    <w:rsid w:val="0091462D"/>
    <w:rsid w:val="009154E2"/>
    <w:rsid w:val="009160C0"/>
    <w:rsid w:val="00921030"/>
    <w:rsid w:val="00922AB3"/>
    <w:rsid w:val="00923FCE"/>
    <w:rsid w:val="0092461E"/>
    <w:rsid w:val="009257E8"/>
    <w:rsid w:val="00926183"/>
    <w:rsid w:val="00926BE7"/>
    <w:rsid w:val="00930594"/>
    <w:rsid w:val="00931367"/>
    <w:rsid w:val="009348E1"/>
    <w:rsid w:val="00934E39"/>
    <w:rsid w:val="00940193"/>
    <w:rsid w:val="009446D5"/>
    <w:rsid w:val="00945079"/>
    <w:rsid w:val="00947D9C"/>
    <w:rsid w:val="00950D61"/>
    <w:rsid w:val="009512C7"/>
    <w:rsid w:val="00951C8B"/>
    <w:rsid w:val="00954D06"/>
    <w:rsid w:val="00955692"/>
    <w:rsid w:val="00961266"/>
    <w:rsid w:val="0096347A"/>
    <w:rsid w:val="00963662"/>
    <w:rsid w:val="00964DCF"/>
    <w:rsid w:val="00966A65"/>
    <w:rsid w:val="0097049E"/>
    <w:rsid w:val="0097057E"/>
    <w:rsid w:val="00970660"/>
    <w:rsid w:val="00971C94"/>
    <w:rsid w:val="00973EB0"/>
    <w:rsid w:val="00975512"/>
    <w:rsid w:val="0098083E"/>
    <w:rsid w:val="0098143E"/>
    <w:rsid w:val="009815CD"/>
    <w:rsid w:val="00983E09"/>
    <w:rsid w:val="00985D82"/>
    <w:rsid w:val="00986088"/>
    <w:rsid w:val="00993685"/>
    <w:rsid w:val="00994E15"/>
    <w:rsid w:val="00995EA5"/>
    <w:rsid w:val="009A12D3"/>
    <w:rsid w:val="009A1526"/>
    <w:rsid w:val="009A5E9C"/>
    <w:rsid w:val="009A6D3C"/>
    <w:rsid w:val="009A7008"/>
    <w:rsid w:val="009A7A37"/>
    <w:rsid w:val="009B078F"/>
    <w:rsid w:val="009B540B"/>
    <w:rsid w:val="009C186D"/>
    <w:rsid w:val="009C18A1"/>
    <w:rsid w:val="009C2134"/>
    <w:rsid w:val="009C4CA6"/>
    <w:rsid w:val="009C51AE"/>
    <w:rsid w:val="009C530D"/>
    <w:rsid w:val="009C5B9C"/>
    <w:rsid w:val="009D3AEA"/>
    <w:rsid w:val="009D4CDB"/>
    <w:rsid w:val="009D7245"/>
    <w:rsid w:val="009E2A20"/>
    <w:rsid w:val="009E2AB9"/>
    <w:rsid w:val="009E40DF"/>
    <w:rsid w:val="009E45F8"/>
    <w:rsid w:val="009E6B6D"/>
    <w:rsid w:val="009E7144"/>
    <w:rsid w:val="009F1017"/>
    <w:rsid w:val="009F30BE"/>
    <w:rsid w:val="009F3704"/>
    <w:rsid w:val="009F3D1D"/>
    <w:rsid w:val="009F63E1"/>
    <w:rsid w:val="009F7C69"/>
    <w:rsid w:val="00A00922"/>
    <w:rsid w:val="00A00CCD"/>
    <w:rsid w:val="00A04309"/>
    <w:rsid w:val="00A06453"/>
    <w:rsid w:val="00A1200B"/>
    <w:rsid w:val="00A12915"/>
    <w:rsid w:val="00A13F73"/>
    <w:rsid w:val="00A24C91"/>
    <w:rsid w:val="00A27233"/>
    <w:rsid w:val="00A31CF9"/>
    <w:rsid w:val="00A33477"/>
    <w:rsid w:val="00A33B44"/>
    <w:rsid w:val="00A35CCC"/>
    <w:rsid w:val="00A41DFC"/>
    <w:rsid w:val="00A4230A"/>
    <w:rsid w:val="00A4374E"/>
    <w:rsid w:val="00A5290E"/>
    <w:rsid w:val="00A52BBD"/>
    <w:rsid w:val="00A53CD7"/>
    <w:rsid w:val="00A54B6C"/>
    <w:rsid w:val="00A552F0"/>
    <w:rsid w:val="00A57DD9"/>
    <w:rsid w:val="00A60C9F"/>
    <w:rsid w:val="00A6285E"/>
    <w:rsid w:val="00A66030"/>
    <w:rsid w:val="00A66060"/>
    <w:rsid w:val="00A6687D"/>
    <w:rsid w:val="00A67D1A"/>
    <w:rsid w:val="00A73F30"/>
    <w:rsid w:val="00A7539C"/>
    <w:rsid w:val="00A84CCC"/>
    <w:rsid w:val="00A905BB"/>
    <w:rsid w:val="00A91096"/>
    <w:rsid w:val="00A9334A"/>
    <w:rsid w:val="00A93919"/>
    <w:rsid w:val="00A95DBD"/>
    <w:rsid w:val="00A96018"/>
    <w:rsid w:val="00A96F57"/>
    <w:rsid w:val="00AA2951"/>
    <w:rsid w:val="00AA3295"/>
    <w:rsid w:val="00AA5A5C"/>
    <w:rsid w:val="00AA7D55"/>
    <w:rsid w:val="00AB411A"/>
    <w:rsid w:val="00AB48B3"/>
    <w:rsid w:val="00AB548D"/>
    <w:rsid w:val="00AC28AE"/>
    <w:rsid w:val="00AC30E5"/>
    <w:rsid w:val="00AC6E34"/>
    <w:rsid w:val="00AC7EA8"/>
    <w:rsid w:val="00AD3708"/>
    <w:rsid w:val="00AD454D"/>
    <w:rsid w:val="00AD4B60"/>
    <w:rsid w:val="00AE42C3"/>
    <w:rsid w:val="00AF0669"/>
    <w:rsid w:val="00AF1024"/>
    <w:rsid w:val="00AF352C"/>
    <w:rsid w:val="00AF3C75"/>
    <w:rsid w:val="00AF42E1"/>
    <w:rsid w:val="00AF4787"/>
    <w:rsid w:val="00AF49F7"/>
    <w:rsid w:val="00AF595B"/>
    <w:rsid w:val="00AF66C0"/>
    <w:rsid w:val="00AF6B96"/>
    <w:rsid w:val="00AF7E5D"/>
    <w:rsid w:val="00B0324E"/>
    <w:rsid w:val="00B036CB"/>
    <w:rsid w:val="00B03BC6"/>
    <w:rsid w:val="00B04F8E"/>
    <w:rsid w:val="00B0527A"/>
    <w:rsid w:val="00B07FC6"/>
    <w:rsid w:val="00B11CEA"/>
    <w:rsid w:val="00B13307"/>
    <w:rsid w:val="00B1453F"/>
    <w:rsid w:val="00B209E0"/>
    <w:rsid w:val="00B20ED2"/>
    <w:rsid w:val="00B23446"/>
    <w:rsid w:val="00B237EE"/>
    <w:rsid w:val="00B23DFC"/>
    <w:rsid w:val="00B24EDE"/>
    <w:rsid w:val="00B26DCA"/>
    <w:rsid w:val="00B274CE"/>
    <w:rsid w:val="00B27616"/>
    <w:rsid w:val="00B313B2"/>
    <w:rsid w:val="00B329B8"/>
    <w:rsid w:val="00B32BD7"/>
    <w:rsid w:val="00B3465F"/>
    <w:rsid w:val="00B34B87"/>
    <w:rsid w:val="00B3508E"/>
    <w:rsid w:val="00B354C1"/>
    <w:rsid w:val="00B35D06"/>
    <w:rsid w:val="00B35D1F"/>
    <w:rsid w:val="00B36D16"/>
    <w:rsid w:val="00B40204"/>
    <w:rsid w:val="00B4226A"/>
    <w:rsid w:val="00B46026"/>
    <w:rsid w:val="00B46A29"/>
    <w:rsid w:val="00B477F6"/>
    <w:rsid w:val="00B5084D"/>
    <w:rsid w:val="00B50D71"/>
    <w:rsid w:val="00B5298E"/>
    <w:rsid w:val="00B52BA9"/>
    <w:rsid w:val="00B55F0B"/>
    <w:rsid w:val="00B578D6"/>
    <w:rsid w:val="00B57FDA"/>
    <w:rsid w:val="00B60662"/>
    <w:rsid w:val="00B61604"/>
    <w:rsid w:val="00B65F70"/>
    <w:rsid w:val="00B66FFA"/>
    <w:rsid w:val="00B6758E"/>
    <w:rsid w:val="00B751D3"/>
    <w:rsid w:val="00B75B3E"/>
    <w:rsid w:val="00B75E6B"/>
    <w:rsid w:val="00B81CB5"/>
    <w:rsid w:val="00B823CB"/>
    <w:rsid w:val="00B82C3B"/>
    <w:rsid w:val="00B82E9C"/>
    <w:rsid w:val="00B83D78"/>
    <w:rsid w:val="00B84B80"/>
    <w:rsid w:val="00B900FB"/>
    <w:rsid w:val="00B9768A"/>
    <w:rsid w:val="00BA2392"/>
    <w:rsid w:val="00BA272F"/>
    <w:rsid w:val="00BA2821"/>
    <w:rsid w:val="00BA3066"/>
    <w:rsid w:val="00BA39EA"/>
    <w:rsid w:val="00BA3AF4"/>
    <w:rsid w:val="00BA5024"/>
    <w:rsid w:val="00BB12E4"/>
    <w:rsid w:val="00BB1BC7"/>
    <w:rsid w:val="00BB4E36"/>
    <w:rsid w:val="00BB4FA9"/>
    <w:rsid w:val="00BB673B"/>
    <w:rsid w:val="00BB725E"/>
    <w:rsid w:val="00BB7805"/>
    <w:rsid w:val="00BC0FB2"/>
    <w:rsid w:val="00BC241F"/>
    <w:rsid w:val="00BC5AB7"/>
    <w:rsid w:val="00BC7CC0"/>
    <w:rsid w:val="00BD2180"/>
    <w:rsid w:val="00BD229F"/>
    <w:rsid w:val="00BD2FE5"/>
    <w:rsid w:val="00BD4DC0"/>
    <w:rsid w:val="00BD59E5"/>
    <w:rsid w:val="00BE0AE0"/>
    <w:rsid w:val="00BE2A32"/>
    <w:rsid w:val="00BE2FE2"/>
    <w:rsid w:val="00BE4194"/>
    <w:rsid w:val="00BE5340"/>
    <w:rsid w:val="00BF0BDF"/>
    <w:rsid w:val="00BF1BA6"/>
    <w:rsid w:val="00BF2C36"/>
    <w:rsid w:val="00BF52C4"/>
    <w:rsid w:val="00C00F22"/>
    <w:rsid w:val="00C0146E"/>
    <w:rsid w:val="00C01CEB"/>
    <w:rsid w:val="00C0228E"/>
    <w:rsid w:val="00C03329"/>
    <w:rsid w:val="00C07EDF"/>
    <w:rsid w:val="00C07F0E"/>
    <w:rsid w:val="00C12164"/>
    <w:rsid w:val="00C2073E"/>
    <w:rsid w:val="00C20747"/>
    <w:rsid w:val="00C238B1"/>
    <w:rsid w:val="00C24C2E"/>
    <w:rsid w:val="00C25F0D"/>
    <w:rsid w:val="00C275F3"/>
    <w:rsid w:val="00C317B3"/>
    <w:rsid w:val="00C32B79"/>
    <w:rsid w:val="00C35BCB"/>
    <w:rsid w:val="00C35C78"/>
    <w:rsid w:val="00C37492"/>
    <w:rsid w:val="00C4050E"/>
    <w:rsid w:val="00C45B14"/>
    <w:rsid w:val="00C465EE"/>
    <w:rsid w:val="00C46B55"/>
    <w:rsid w:val="00C46D1F"/>
    <w:rsid w:val="00C51478"/>
    <w:rsid w:val="00C52592"/>
    <w:rsid w:val="00C52E84"/>
    <w:rsid w:val="00C561D1"/>
    <w:rsid w:val="00C569BB"/>
    <w:rsid w:val="00C5717D"/>
    <w:rsid w:val="00C60FBA"/>
    <w:rsid w:val="00C63718"/>
    <w:rsid w:val="00C663E8"/>
    <w:rsid w:val="00C67A42"/>
    <w:rsid w:val="00C70ABC"/>
    <w:rsid w:val="00C71316"/>
    <w:rsid w:val="00C71BC8"/>
    <w:rsid w:val="00C81D74"/>
    <w:rsid w:val="00C833BF"/>
    <w:rsid w:val="00C85899"/>
    <w:rsid w:val="00C85BC3"/>
    <w:rsid w:val="00C86D26"/>
    <w:rsid w:val="00C8702F"/>
    <w:rsid w:val="00C91C7D"/>
    <w:rsid w:val="00C9380C"/>
    <w:rsid w:val="00C947A1"/>
    <w:rsid w:val="00C96AFD"/>
    <w:rsid w:val="00C975CD"/>
    <w:rsid w:val="00C97995"/>
    <w:rsid w:val="00CA0248"/>
    <w:rsid w:val="00CA3FC4"/>
    <w:rsid w:val="00CA4524"/>
    <w:rsid w:val="00CA46E7"/>
    <w:rsid w:val="00CA7C9D"/>
    <w:rsid w:val="00CB0ED3"/>
    <w:rsid w:val="00CB1810"/>
    <w:rsid w:val="00CB2096"/>
    <w:rsid w:val="00CB34BF"/>
    <w:rsid w:val="00CB3EDA"/>
    <w:rsid w:val="00CB4AD8"/>
    <w:rsid w:val="00CB4D42"/>
    <w:rsid w:val="00CB761E"/>
    <w:rsid w:val="00CC0115"/>
    <w:rsid w:val="00CC0222"/>
    <w:rsid w:val="00CC193C"/>
    <w:rsid w:val="00CC2214"/>
    <w:rsid w:val="00CC34E0"/>
    <w:rsid w:val="00CC7AEC"/>
    <w:rsid w:val="00CD1B8A"/>
    <w:rsid w:val="00CD1D09"/>
    <w:rsid w:val="00CD215E"/>
    <w:rsid w:val="00CD3E58"/>
    <w:rsid w:val="00CD3FE7"/>
    <w:rsid w:val="00CD586B"/>
    <w:rsid w:val="00CD5A50"/>
    <w:rsid w:val="00CD63FF"/>
    <w:rsid w:val="00CE2A05"/>
    <w:rsid w:val="00CE5AC0"/>
    <w:rsid w:val="00CF1D2D"/>
    <w:rsid w:val="00CF3004"/>
    <w:rsid w:val="00CF3F1A"/>
    <w:rsid w:val="00CF6C1A"/>
    <w:rsid w:val="00D01A7B"/>
    <w:rsid w:val="00D01AE4"/>
    <w:rsid w:val="00D02FFA"/>
    <w:rsid w:val="00D07C35"/>
    <w:rsid w:val="00D12063"/>
    <w:rsid w:val="00D12302"/>
    <w:rsid w:val="00D12A74"/>
    <w:rsid w:val="00D135ED"/>
    <w:rsid w:val="00D174A1"/>
    <w:rsid w:val="00D2098B"/>
    <w:rsid w:val="00D27BB2"/>
    <w:rsid w:val="00D311ED"/>
    <w:rsid w:val="00D424A0"/>
    <w:rsid w:val="00D44C4C"/>
    <w:rsid w:val="00D4650B"/>
    <w:rsid w:val="00D47863"/>
    <w:rsid w:val="00D51833"/>
    <w:rsid w:val="00D51E73"/>
    <w:rsid w:val="00D5246D"/>
    <w:rsid w:val="00D53CD1"/>
    <w:rsid w:val="00D54125"/>
    <w:rsid w:val="00D5414D"/>
    <w:rsid w:val="00D55220"/>
    <w:rsid w:val="00D55CD0"/>
    <w:rsid w:val="00D56BB9"/>
    <w:rsid w:val="00D57549"/>
    <w:rsid w:val="00D57B6E"/>
    <w:rsid w:val="00D63DAC"/>
    <w:rsid w:val="00D664B9"/>
    <w:rsid w:val="00D6762E"/>
    <w:rsid w:val="00D7124F"/>
    <w:rsid w:val="00D720BF"/>
    <w:rsid w:val="00D74DFF"/>
    <w:rsid w:val="00D80775"/>
    <w:rsid w:val="00D84032"/>
    <w:rsid w:val="00D85B63"/>
    <w:rsid w:val="00D876F6"/>
    <w:rsid w:val="00D90BEF"/>
    <w:rsid w:val="00D93564"/>
    <w:rsid w:val="00D95513"/>
    <w:rsid w:val="00D9681E"/>
    <w:rsid w:val="00D96D7E"/>
    <w:rsid w:val="00DA0D5D"/>
    <w:rsid w:val="00DA2010"/>
    <w:rsid w:val="00DA2627"/>
    <w:rsid w:val="00DA5A16"/>
    <w:rsid w:val="00DA68C8"/>
    <w:rsid w:val="00DA7A30"/>
    <w:rsid w:val="00DB2FAA"/>
    <w:rsid w:val="00DB3D91"/>
    <w:rsid w:val="00DB44C3"/>
    <w:rsid w:val="00DB518C"/>
    <w:rsid w:val="00DB5A2E"/>
    <w:rsid w:val="00DB78FD"/>
    <w:rsid w:val="00DC4BF6"/>
    <w:rsid w:val="00DC5E59"/>
    <w:rsid w:val="00DC6266"/>
    <w:rsid w:val="00DC74C4"/>
    <w:rsid w:val="00DD19D0"/>
    <w:rsid w:val="00DD1B5C"/>
    <w:rsid w:val="00DD2D13"/>
    <w:rsid w:val="00DD4284"/>
    <w:rsid w:val="00DE156A"/>
    <w:rsid w:val="00DE3CC4"/>
    <w:rsid w:val="00DE6EE0"/>
    <w:rsid w:val="00DE7859"/>
    <w:rsid w:val="00DF0C07"/>
    <w:rsid w:val="00DF1BE8"/>
    <w:rsid w:val="00DF344B"/>
    <w:rsid w:val="00DF42D0"/>
    <w:rsid w:val="00DF638A"/>
    <w:rsid w:val="00E01EA5"/>
    <w:rsid w:val="00E02C09"/>
    <w:rsid w:val="00E04F2D"/>
    <w:rsid w:val="00E14C52"/>
    <w:rsid w:val="00E158CD"/>
    <w:rsid w:val="00E16D9F"/>
    <w:rsid w:val="00E221DF"/>
    <w:rsid w:val="00E22F32"/>
    <w:rsid w:val="00E2436E"/>
    <w:rsid w:val="00E24BBF"/>
    <w:rsid w:val="00E24D67"/>
    <w:rsid w:val="00E264CA"/>
    <w:rsid w:val="00E2652E"/>
    <w:rsid w:val="00E26FBB"/>
    <w:rsid w:val="00E36045"/>
    <w:rsid w:val="00E3739F"/>
    <w:rsid w:val="00E3759B"/>
    <w:rsid w:val="00E40C46"/>
    <w:rsid w:val="00E426DC"/>
    <w:rsid w:val="00E4407E"/>
    <w:rsid w:val="00E44E7F"/>
    <w:rsid w:val="00E45F4C"/>
    <w:rsid w:val="00E471B8"/>
    <w:rsid w:val="00E47889"/>
    <w:rsid w:val="00E50D90"/>
    <w:rsid w:val="00E5121E"/>
    <w:rsid w:val="00E528FA"/>
    <w:rsid w:val="00E548CF"/>
    <w:rsid w:val="00E55A7D"/>
    <w:rsid w:val="00E565B1"/>
    <w:rsid w:val="00E57877"/>
    <w:rsid w:val="00E60A27"/>
    <w:rsid w:val="00E60DD1"/>
    <w:rsid w:val="00E61467"/>
    <w:rsid w:val="00E646F3"/>
    <w:rsid w:val="00E65E84"/>
    <w:rsid w:val="00E70699"/>
    <w:rsid w:val="00E70C26"/>
    <w:rsid w:val="00E722CA"/>
    <w:rsid w:val="00E72CFA"/>
    <w:rsid w:val="00E735DC"/>
    <w:rsid w:val="00E76140"/>
    <w:rsid w:val="00E84C4F"/>
    <w:rsid w:val="00E864E4"/>
    <w:rsid w:val="00E93C2C"/>
    <w:rsid w:val="00E96701"/>
    <w:rsid w:val="00E96B2B"/>
    <w:rsid w:val="00EA55D1"/>
    <w:rsid w:val="00EA6C5D"/>
    <w:rsid w:val="00EB1C05"/>
    <w:rsid w:val="00EB2242"/>
    <w:rsid w:val="00EB36E7"/>
    <w:rsid w:val="00EB5C24"/>
    <w:rsid w:val="00EB6B5E"/>
    <w:rsid w:val="00EB73A3"/>
    <w:rsid w:val="00EB7E5A"/>
    <w:rsid w:val="00EC03E9"/>
    <w:rsid w:val="00EC377F"/>
    <w:rsid w:val="00EC463F"/>
    <w:rsid w:val="00ED268F"/>
    <w:rsid w:val="00ED77A6"/>
    <w:rsid w:val="00EE0A4C"/>
    <w:rsid w:val="00EE2610"/>
    <w:rsid w:val="00EE478D"/>
    <w:rsid w:val="00EE5BBF"/>
    <w:rsid w:val="00EE5F27"/>
    <w:rsid w:val="00EF1BFD"/>
    <w:rsid w:val="00EF3347"/>
    <w:rsid w:val="00EF357B"/>
    <w:rsid w:val="00EF3920"/>
    <w:rsid w:val="00EF3DD9"/>
    <w:rsid w:val="00EF4816"/>
    <w:rsid w:val="00EF507A"/>
    <w:rsid w:val="00EF583A"/>
    <w:rsid w:val="00EF6BA0"/>
    <w:rsid w:val="00EF7ED8"/>
    <w:rsid w:val="00F01804"/>
    <w:rsid w:val="00F02202"/>
    <w:rsid w:val="00F04F5A"/>
    <w:rsid w:val="00F06719"/>
    <w:rsid w:val="00F10CE2"/>
    <w:rsid w:val="00F1159E"/>
    <w:rsid w:val="00F131F7"/>
    <w:rsid w:val="00F132FA"/>
    <w:rsid w:val="00F13FA6"/>
    <w:rsid w:val="00F17EF6"/>
    <w:rsid w:val="00F212B9"/>
    <w:rsid w:val="00F2383A"/>
    <w:rsid w:val="00F23F4D"/>
    <w:rsid w:val="00F33DC8"/>
    <w:rsid w:val="00F33E6C"/>
    <w:rsid w:val="00F35277"/>
    <w:rsid w:val="00F371CF"/>
    <w:rsid w:val="00F41225"/>
    <w:rsid w:val="00F41F3E"/>
    <w:rsid w:val="00F446FB"/>
    <w:rsid w:val="00F46342"/>
    <w:rsid w:val="00F4681E"/>
    <w:rsid w:val="00F50B1A"/>
    <w:rsid w:val="00F524E4"/>
    <w:rsid w:val="00F5306B"/>
    <w:rsid w:val="00F540C7"/>
    <w:rsid w:val="00F54FAC"/>
    <w:rsid w:val="00F57546"/>
    <w:rsid w:val="00F57A0B"/>
    <w:rsid w:val="00F60587"/>
    <w:rsid w:val="00F61D04"/>
    <w:rsid w:val="00F67789"/>
    <w:rsid w:val="00F67AE0"/>
    <w:rsid w:val="00F71755"/>
    <w:rsid w:val="00F72F33"/>
    <w:rsid w:val="00F73AF9"/>
    <w:rsid w:val="00F74B7A"/>
    <w:rsid w:val="00F75246"/>
    <w:rsid w:val="00F76153"/>
    <w:rsid w:val="00F823C1"/>
    <w:rsid w:val="00F832D2"/>
    <w:rsid w:val="00F83F6F"/>
    <w:rsid w:val="00F87199"/>
    <w:rsid w:val="00F871A7"/>
    <w:rsid w:val="00F87F87"/>
    <w:rsid w:val="00F90D63"/>
    <w:rsid w:val="00F91023"/>
    <w:rsid w:val="00F92D22"/>
    <w:rsid w:val="00F92E5A"/>
    <w:rsid w:val="00F950C5"/>
    <w:rsid w:val="00F95C6E"/>
    <w:rsid w:val="00F9638D"/>
    <w:rsid w:val="00FA0CA6"/>
    <w:rsid w:val="00FA1B5C"/>
    <w:rsid w:val="00FA23A3"/>
    <w:rsid w:val="00FA3646"/>
    <w:rsid w:val="00FA3A9A"/>
    <w:rsid w:val="00FA4838"/>
    <w:rsid w:val="00FA54D2"/>
    <w:rsid w:val="00FA7C35"/>
    <w:rsid w:val="00FB0437"/>
    <w:rsid w:val="00FB3019"/>
    <w:rsid w:val="00FB3542"/>
    <w:rsid w:val="00FB47F0"/>
    <w:rsid w:val="00FB4B94"/>
    <w:rsid w:val="00FB5291"/>
    <w:rsid w:val="00FB7E18"/>
    <w:rsid w:val="00FC2EAB"/>
    <w:rsid w:val="00FC67C1"/>
    <w:rsid w:val="00FC6EA1"/>
    <w:rsid w:val="00FC7A79"/>
    <w:rsid w:val="00FD256A"/>
    <w:rsid w:val="00FD39C5"/>
    <w:rsid w:val="00FD5355"/>
    <w:rsid w:val="00FE13F8"/>
    <w:rsid w:val="00FE2233"/>
    <w:rsid w:val="00FE559D"/>
    <w:rsid w:val="00FE6B12"/>
    <w:rsid w:val="00FE7732"/>
    <w:rsid w:val="00FF096E"/>
    <w:rsid w:val="00FF1AB2"/>
    <w:rsid w:val="00FF29E6"/>
    <w:rsid w:val="00FF4A9B"/>
    <w:rsid w:val="00FF4E8D"/>
    <w:rsid w:val="00FF52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2CAD"/>
  <w15:docId w15:val="{315D7AF9-E70F-DC46-BFD5-9F322223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D06"/>
    <w:rPr>
      <w:rFonts w:ascii="Times New Roman" w:eastAsia="Times New Roman" w:hAnsi="Times New Roman" w:cs="Times New Roman"/>
    </w:rPr>
  </w:style>
  <w:style w:type="paragraph" w:styleId="Heading1">
    <w:name w:val="heading 1"/>
    <w:basedOn w:val="Normal"/>
    <w:next w:val="Normal"/>
    <w:link w:val="Heading1Char"/>
    <w:uiPriority w:val="9"/>
    <w:qFormat/>
    <w:rsid w:val="003716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3368C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6F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73F30"/>
    <w:rPr>
      <w:sz w:val="16"/>
      <w:szCs w:val="16"/>
    </w:rPr>
  </w:style>
  <w:style w:type="paragraph" w:styleId="CommentText">
    <w:name w:val="annotation text"/>
    <w:basedOn w:val="Normal"/>
    <w:link w:val="CommentTextChar"/>
    <w:uiPriority w:val="99"/>
    <w:semiHidden/>
    <w:unhideWhenUsed/>
    <w:rsid w:val="00A73F30"/>
    <w:rPr>
      <w:sz w:val="20"/>
      <w:szCs w:val="20"/>
    </w:rPr>
  </w:style>
  <w:style w:type="character" w:customStyle="1" w:styleId="CommentTextChar">
    <w:name w:val="Comment Text Char"/>
    <w:basedOn w:val="DefaultParagraphFont"/>
    <w:link w:val="CommentText"/>
    <w:uiPriority w:val="99"/>
    <w:semiHidden/>
    <w:rsid w:val="00A73F30"/>
    <w:rPr>
      <w:sz w:val="20"/>
      <w:szCs w:val="20"/>
    </w:rPr>
  </w:style>
  <w:style w:type="paragraph" w:styleId="CommentSubject">
    <w:name w:val="annotation subject"/>
    <w:basedOn w:val="CommentText"/>
    <w:next w:val="CommentText"/>
    <w:link w:val="CommentSubjectChar"/>
    <w:uiPriority w:val="99"/>
    <w:semiHidden/>
    <w:unhideWhenUsed/>
    <w:rsid w:val="00A73F30"/>
    <w:rPr>
      <w:b/>
      <w:bCs/>
    </w:rPr>
  </w:style>
  <w:style w:type="character" w:customStyle="1" w:styleId="CommentSubjectChar">
    <w:name w:val="Comment Subject Char"/>
    <w:basedOn w:val="CommentTextChar"/>
    <w:link w:val="CommentSubject"/>
    <w:uiPriority w:val="99"/>
    <w:semiHidden/>
    <w:rsid w:val="00A73F30"/>
    <w:rPr>
      <w:b/>
      <w:bCs/>
      <w:sz w:val="20"/>
      <w:szCs w:val="20"/>
    </w:rPr>
  </w:style>
  <w:style w:type="character" w:styleId="PlaceholderText">
    <w:name w:val="Placeholder Text"/>
    <w:basedOn w:val="DefaultParagraphFont"/>
    <w:uiPriority w:val="99"/>
    <w:semiHidden/>
    <w:rsid w:val="00614C94"/>
    <w:rPr>
      <w:color w:val="808080"/>
    </w:rPr>
  </w:style>
  <w:style w:type="paragraph" w:styleId="TOCHeading">
    <w:name w:val="TOC Heading"/>
    <w:basedOn w:val="Heading1"/>
    <w:next w:val="Normal"/>
    <w:uiPriority w:val="39"/>
    <w:unhideWhenUsed/>
    <w:qFormat/>
    <w:rsid w:val="0053537E"/>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D74DFF"/>
    <w:pPr>
      <w:tabs>
        <w:tab w:val="right" w:leader="dot" w:pos="9350"/>
      </w:tabs>
      <w:spacing w:before="120" w:after="120"/>
    </w:pPr>
    <w:rPr>
      <w:b/>
      <w:bCs/>
      <w:caps/>
      <w:noProof/>
      <w:sz w:val="20"/>
      <w:szCs w:val="20"/>
    </w:rPr>
  </w:style>
  <w:style w:type="character" w:styleId="Hyperlink">
    <w:name w:val="Hyperlink"/>
    <w:basedOn w:val="DefaultParagraphFont"/>
    <w:uiPriority w:val="99"/>
    <w:unhideWhenUsed/>
    <w:rsid w:val="0053537E"/>
    <w:rPr>
      <w:color w:val="0563C1" w:themeColor="hyperlink"/>
      <w:u w:val="single"/>
    </w:rPr>
  </w:style>
  <w:style w:type="paragraph" w:styleId="TOC2">
    <w:name w:val="toc 2"/>
    <w:basedOn w:val="Normal"/>
    <w:next w:val="Normal"/>
    <w:autoRedefine/>
    <w:uiPriority w:val="39"/>
    <w:unhideWhenUsed/>
    <w:rsid w:val="0053537E"/>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53537E"/>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53537E"/>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53537E"/>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53537E"/>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53537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53537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53537E"/>
    <w:pPr>
      <w:ind w:left="1920"/>
    </w:pPr>
    <w:rPr>
      <w:rFonts w:asciiTheme="minorHAnsi" w:hAnsiTheme="minorHAnsi" w:cstheme="minorHAnsi"/>
      <w:sz w:val="18"/>
      <w:szCs w:val="18"/>
    </w:rPr>
  </w:style>
  <w:style w:type="paragraph" w:styleId="Revision">
    <w:name w:val="Revision"/>
    <w:hidden/>
    <w:uiPriority w:val="99"/>
    <w:semiHidden/>
    <w:rsid w:val="00173F69"/>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368C2"/>
    <w:rPr>
      <w:rFonts w:ascii="Times New Roman" w:eastAsia="Times New Roman" w:hAnsi="Times New Roman" w:cs="Times New Roman"/>
      <w:b/>
      <w:bCs/>
    </w:rPr>
  </w:style>
  <w:style w:type="paragraph" w:styleId="NormalWeb">
    <w:name w:val="Normal (Web)"/>
    <w:basedOn w:val="Normal"/>
    <w:uiPriority w:val="99"/>
    <w:semiHidden/>
    <w:unhideWhenUsed/>
    <w:rsid w:val="003368C2"/>
    <w:pPr>
      <w:spacing w:before="100" w:beforeAutospacing="1" w:after="100" w:afterAutospacing="1"/>
    </w:pPr>
  </w:style>
  <w:style w:type="character" w:customStyle="1" w:styleId="ng-binding">
    <w:name w:val="ng-binding"/>
    <w:basedOn w:val="DefaultParagraphFont"/>
    <w:rsid w:val="003368C2"/>
  </w:style>
  <w:style w:type="character" w:styleId="UnresolvedMention">
    <w:name w:val="Unresolved Mention"/>
    <w:basedOn w:val="DefaultParagraphFont"/>
    <w:uiPriority w:val="99"/>
    <w:semiHidden/>
    <w:unhideWhenUsed/>
    <w:rsid w:val="00E3759B"/>
    <w:rPr>
      <w:color w:val="605E5C"/>
      <w:shd w:val="clear" w:color="auto" w:fill="E1DFDD"/>
    </w:rPr>
  </w:style>
  <w:style w:type="paragraph" w:styleId="Header">
    <w:name w:val="header"/>
    <w:basedOn w:val="Normal"/>
    <w:link w:val="HeaderChar"/>
    <w:uiPriority w:val="99"/>
    <w:unhideWhenUsed/>
    <w:rsid w:val="00FC2EAB"/>
    <w:pPr>
      <w:tabs>
        <w:tab w:val="center" w:pos="4680"/>
        <w:tab w:val="right" w:pos="9360"/>
      </w:tabs>
    </w:pPr>
  </w:style>
  <w:style w:type="character" w:customStyle="1" w:styleId="HeaderChar">
    <w:name w:val="Header Char"/>
    <w:basedOn w:val="DefaultParagraphFont"/>
    <w:link w:val="Header"/>
    <w:uiPriority w:val="99"/>
    <w:rsid w:val="00FC2EAB"/>
    <w:rPr>
      <w:rFonts w:ascii="Times New Roman" w:eastAsia="Times New Roman" w:hAnsi="Times New Roman" w:cs="Times New Roman"/>
    </w:rPr>
  </w:style>
  <w:style w:type="paragraph" w:styleId="Footer">
    <w:name w:val="footer"/>
    <w:basedOn w:val="Normal"/>
    <w:link w:val="FooterChar"/>
    <w:uiPriority w:val="99"/>
    <w:unhideWhenUsed/>
    <w:rsid w:val="00FC2EAB"/>
    <w:pPr>
      <w:tabs>
        <w:tab w:val="center" w:pos="4680"/>
        <w:tab w:val="right" w:pos="9360"/>
      </w:tabs>
    </w:pPr>
  </w:style>
  <w:style w:type="character" w:customStyle="1" w:styleId="FooterChar">
    <w:name w:val="Footer Char"/>
    <w:basedOn w:val="DefaultParagraphFont"/>
    <w:link w:val="Footer"/>
    <w:uiPriority w:val="99"/>
    <w:rsid w:val="00FC2EAB"/>
    <w:rPr>
      <w:rFonts w:ascii="Times New Roman" w:eastAsia="Times New Roman" w:hAnsi="Times New Roman" w:cs="Times New Roman"/>
    </w:rPr>
  </w:style>
  <w:style w:type="character" w:styleId="IntenseEmphasis">
    <w:name w:val="Intense Emphasis"/>
    <w:basedOn w:val="DefaultParagraphFont"/>
    <w:uiPriority w:val="21"/>
    <w:qFormat/>
    <w:rsid w:val="00F132F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11">
      <w:bodyDiv w:val="1"/>
      <w:marLeft w:val="0"/>
      <w:marRight w:val="0"/>
      <w:marTop w:val="0"/>
      <w:marBottom w:val="0"/>
      <w:divBdr>
        <w:top w:val="none" w:sz="0" w:space="0" w:color="auto"/>
        <w:left w:val="none" w:sz="0" w:space="0" w:color="auto"/>
        <w:bottom w:val="none" w:sz="0" w:space="0" w:color="auto"/>
        <w:right w:val="none" w:sz="0" w:space="0" w:color="auto"/>
      </w:divBdr>
    </w:div>
    <w:div w:id="14700700">
      <w:bodyDiv w:val="1"/>
      <w:marLeft w:val="0"/>
      <w:marRight w:val="0"/>
      <w:marTop w:val="0"/>
      <w:marBottom w:val="0"/>
      <w:divBdr>
        <w:top w:val="none" w:sz="0" w:space="0" w:color="auto"/>
        <w:left w:val="none" w:sz="0" w:space="0" w:color="auto"/>
        <w:bottom w:val="none" w:sz="0" w:space="0" w:color="auto"/>
        <w:right w:val="none" w:sz="0" w:space="0" w:color="auto"/>
      </w:divBdr>
    </w:div>
    <w:div w:id="33239114">
      <w:bodyDiv w:val="1"/>
      <w:marLeft w:val="0"/>
      <w:marRight w:val="0"/>
      <w:marTop w:val="0"/>
      <w:marBottom w:val="0"/>
      <w:divBdr>
        <w:top w:val="none" w:sz="0" w:space="0" w:color="auto"/>
        <w:left w:val="none" w:sz="0" w:space="0" w:color="auto"/>
        <w:bottom w:val="none" w:sz="0" w:space="0" w:color="auto"/>
        <w:right w:val="none" w:sz="0" w:space="0" w:color="auto"/>
      </w:divBdr>
    </w:div>
    <w:div w:id="37243313">
      <w:bodyDiv w:val="1"/>
      <w:marLeft w:val="0"/>
      <w:marRight w:val="0"/>
      <w:marTop w:val="0"/>
      <w:marBottom w:val="0"/>
      <w:divBdr>
        <w:top w:val="none" w:sz="0" w:space="0" w:color="auto"/>
        <w:left w:val="none" w:sz="0" w:space="0" w:color="auto"/>
        <w:bottom w:val="none" w:sz="0" w:space="0" w:color="auto"/>
        <w:right w:val="none" w:sz="0" w:space="0" w:color="auto"/>
      </w:divBdr>
    </w:div>
    <w:div w:id="51122201">
      <w:bodyDiv w:val="1"/>
      <w:marLeft w:val="0"/>
      <w:marRight w:val="0"/>
      <w:marTop w:val="0"/>
      <w:marBottom w:val="0"/>
      <w:divBdr>
        <w:top w:val="none" w:sz="0" w:space="0" w:color="auto"/>
        <w:left w:val="none" w:sz="0" w:space="0" w:color="auto"/>
        <w:bottom w:val="none" w:sz="0" w:space="0" w:color="auto"/>
        <w:right w:val="none" w:sz="0" w:space="0" w:color="auto"/>
      </w:divBdr>
    </w:div>
    <w:div w:id="76677628">
      <w:bodyDiv w:val="1"/>
      <w:marLeft w:val="0"/>
      <w:marRight w:val="0"/>
      <w:marTop w:val="0"/>
      <w:marBottom w:val="0"/>
      <w:divBdr>
        <w:top w:val="none" w:sz="0" w:space="0" w:color="auto"/>
        <w:left w:val="none" w:sz="0" w:space="0" w:color="auto"/>
        <w:bottom w:val="none" w:sz="0" w:space="0" w:color="auto"/>
        <w:right w:val="none" w:sz="0" w:space="0" w:color="auto"/>
      </w:divBdr>
    </w:div>
    <w:div w:id="87117155">
      <w:bodyDiv w:val="1"/>
      <w:marLeft w:val="0"/>
      <w:marRight w:val="0"/>
      <w:marTop w:val="0"/>
      <w:marBottom w:val="0"/>
      <w:divBdr>
        <w:top w:val="none" w:sz="0" w:space="0" w:color="auto"/>
        <w:left w:val="none" w:sz="0" w:space="0" w:color="auto"/>
        <w:bottom w:val="none" w:sz="0" w:space="0" w:color="auto"/>
        <w:right w:val="none" w:sz="0" w:space="0" w:color="auto"/>
      </w:divBdr>
    </w:div>
    <w:div w:id="101153291">
      <w:bodyDiv w:val="1"/>
      <w:marLeft w:val="0"/>
      <w:marRight w:val="0"/>
      <w:marTop w:val="0"/>
      <w:marBottom w:val="0"/>
      <w:divBdr>
        <w:top w:val="none" w:sz="0" w:space="0" w:color="auto"/>
        <w:left w:val="none" w:sz="0" w:space="0" w:color="auto"/>
        <w:bottom w:val="none" w:sz="0" w:space="0" w:color="auto"/>
        <w:right w:val="none" w:sz="0" w:space="0" w:color="auto"/>
      </w:divBdr>
    </w:div>
    <w:div w:id="138809388">
      <w:bodyDiv w:val="1"/>
      <w:marLeft w:val="0"/>
      <w:marRight w:val="0"/>
      <w:marTop w:val="0"/>
      <w:marBottom w:val="0"/>
      <w:divBdr>
        <w:top w:val="none" w:sz="0" w:space="0" w:color="auto"/>
        <w:left w:val="none" w:sz="0" w:space="0" w:color="auto"/>
        <w:bottom w:val="none" w:sz="0" w:space="0" w:color="auto"/>
        <w:right w:val="none" w:sz="0" w:space="0" w:color="auto"/>
      </w:divBdr>
    </w:div>
    <w:div w:id="144780732">
      <w:bodyDiv w:val="1"/>
      <w:marLeft w:val="0"/>
      <w:marRight w:val="0"/>
      <w:marTop w:val="0"/>
      <w:marBottom w:val="0"/>
      <w:divBdr>
        <w:top w:val="none" w:sz="0" w:space="0" w:color="auto"/>
        <w:left w:val="none" w:sz="0" w:space="0" w:color="auto"/>
        <w:bottom w:val="none" w:sz="0" w:space="0" w:color="auto"/>
        <w:right w:val="none" w:sz="0" w:space="0" w:color="auto"/>
      </w:divBdr>
      <w:divsChild>
        <w:div w:id="687172569">
          <w:marLeft w:val="0"/>
          <w:marRight w:val="0"/>
          <w:marTop w:val="0"/>
          <w:marBottom w:val="0"/>
          <w:divBdr>
            <w:top w:val="single" w:sz="2" w:space="0" w:color="E5E7EB"/>
            <w:left w:val="single" w:sz="2" w:space="0" w:color="E5E7EB"/>
            <w:bottom w:val="single" w:sz="2" w:space="0" w:color="E5E7EB"/>
            <w:right w:val="single" w:sz="2" w:space="0" w:color="E5E7EB"/>
          </w:divBdr>
          <w:divsChild>
            <w:div w:id="1291325272">
              <w:marLeft w:val="0"/>
              <w:marRight w:val="0"/>
              <w:marTop w:val="0"/>
              <w:marBottom w:val="0"/>
              <w:divBdr>
                <w:top w:val="single" w:sz="2" w:space="0" w:color="E5E7EB"/>
                <w:left w:val="single" w:sz="2" w:space="0" w:color="E5E7EB"/>
                <w:bottom w:val="single" w:sz="2" w:space="0" w:color="E5E7EB"/>
                <w:right w:val="single" w:sz="2" w:space="0" w:color="E5E7EB"/>
              </w:divBdr>
              <w:divsChild>
                <w:div w:id="4855090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5269489">
      <w:bodyDiv w:val="1"/>
      <w:marLeft w:val="0"/>
      <w:marRight w:val="0"/>
      <w:marTop w:val="0"/>
      <w:marBottom w:val="0"/>
      <w:divBdr>
        <w:top w:val="none" w:sz="0" w:space="0" w:color="auto"/>
        <w:left w:val="none" w:sz="0" w:space="0" w:color="auto"/>
        <w:bottom w:val="none" w:sz="0" w:space="0" w:color="auto"/>
        <w:right w:val="none" w:sz="0" w:space="0" w:color="auto"/>
      </w:divBdr>
    </w:div>
    <w:div w:id="183902666">
      <w:bodyDiv w:val="1"/>
      <w:marLeft w:val="0"/>
      <w:marRight w:val="0"/>
      <w:marTop w:val="0"/>
      <w:marBottom w:val="0"/>
      <w:divBdr>
        <w:top w:val="none" w:sz="0" w:space="0" w:color="auto"/>
        <w:left w:val="none" w:sz="0" w:space="0" w:color="auto"/>
        <w:bottom w:val="none" w:sz="0" w:space="0" w:color="auto"/>
        <w:right w:val="none" w:sz="0" w:space="0" w:color="auto"/>
      </w:divBdr>
    </w:div>
    <w:div w:id="242574278">
      <w:bodyDiv w:val="1"/>
      <w:marLeft w:val="0"/>
      <w:marRight w:val="0"/>
      <w:marTop w:val="0"/>
      <w:marBottom w:val="0"/>
      <w:divBdr>
        <w:top w:val="none" w:sz="0" w:space="0" w:color="auto"/>
        <w:left w:val="none" w:sz="0" w:space="0" w:color="auto"/>
        <w:bottom w:val="none" w:sz="0" w:space="0" w:color="auto"/>
        <w:right w:val="none" w:sz="0" w:space="0" w:color="auto"/>
      </w:divBdr>
    </w:div>
    <w:div w:id="253127295">
      <w:bodyDiv w:val="1"/>
      <w:marLeft w:val="0"/>
      <w:marRight w:val="0"/>
      <w:marTop w:val="0"/>
      <w:marBottom w:val="0"/>
      <w:divBdr>
        <w:top w:val="none" w:sz="0" w:space="0" w:color="auto"/>
        <w:left w:val="none" w:sz="0" w:space="0" w:color="auto"/>
        <w:bottom w:val="none" w:sz="0" w:space="0" w:color="auto"/>
        <w:right w:val="none" w:sz="0" w:space="0" w:color="auto"/>
      </w:divBdr>
      <w:divsChild>
        <w:div w:id="1733310104">
          <w:marLeft w:val="0"/>
          <w:marRight w:val="0"/>
          <w:marTop w:val="0"/>
          <w:marBottom w:val="0"/>
          <w:divBdr>
            <w:top w:val="single" w:sz="2" w:space="0" w:color="E5E7EB"/>
            <w:left w:val="single" w:sz="2" w:space="0" w:color="E5E7EB"/>
            <w:bottom w:val="single" w:sz="2" w:space="0" w:color="E5E7EB"/>
            <w:right w:val="single" w:sz="2" w:space="0" w:color="E5E7EB"/>
          </w:divBdr>
          <w:divsChild>
            <w:div w:id="1860584702">
              <w:marLeft w:val="0"/>
              <w:marRight w:val="0"/>
              <w:marTop w:val="0"/>
              <w:marBottom w:val="0"/>
              <w:divBdr>
                <w:top w:val="single" w:sz="2" w:space="0" w:color="E5E7EB"/>
                <w:left w:val="single" w:sz="2" w:space="0" w:color="E5E7EB"/>
                <w:bottom w:val="single" w:sz="2" w:space="0" w:color="E5E7EB"/>
                <w:right w:val="single" w:sz="2" w:space="0" w:color="E5E7EB"/>
              </w:divBdr>
              <w:divsChild>
                <w:div w:id="1824000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64386641">
      <w:bodyDiv w:val="1"/>
      <w:marLeft w:val="0"/>
      <w:marRight w:val="0"/>
      <w:marTop w:val="0"/>
      <w:marBottom w:val="0"/>
      <w:divBdr>
        <w:top w:val="none" w:sz="0" w:space="0" w:color="auto"/>
        <w:left w:val="none" w:sz="0" w:space="0" w:color="auto"/>
        <w:bottom w:val="none" w:sz="0" w:space="0" w:color="auto"/>
        <w:right w:val="none" w:sz="0" w:space="0" w:color="auto"/>
      </w:divBdr>
    </w:div>
    <w:div w:id="270935728">
      <w:bodyDiv w:val="1"/>
      <w:marLeft w:val="0"/>
      <w:marRight w:val="0"/>
      <w:marTop w:val="0"/>
      <w:marBottom w:val="0"/>
      <w:divBdr>
        <w:top w:val="none" w:sz="0" w:space="0" w:color="auto"/>
        <w:left w:val="none" w:sz="0" w:space="0" w:color="auto"/>
        <w:bottom w:val="none" w:sz="0" w:space="0" w:color="auto"/>
        <w:right w:val="none" w:sz="0" w:space="0" w:color="auto"/>
      </w:divBdr>
      <w:divsChild>
        <w:div w:id="1789229959">
          <w:marLeft w:val="0"/>
          <w:marRight w:val="0"/>
          <w:marTop w:val="0"/>
          <w:marBottom w:val="0"/>
          <w:divBdr>
            <w:top w:val="single" w:sz="2" w:space="0" w:color="E5E7EB"/>
            <w:left w:val="single" w:sz="2" w:space="0" w:color="E5E7EB"/>
            <w:bottom w:val="single" w:sz="2" w:space="0" w:color="E5E7EB"/>
            <w:right w:val="single" w:sz="2" w:space="0" w:color="E5E7EB"/>
          </w:divBdr>
          <w:divsChild>
            <w:div w:id="1424495083">
              <w:marLeft w:val="0"/>
              <w:marRight w:val="0"/>
              <w:marTop w:val="0"/>
              <w:marBottom w:val="0"/>
              <w:divBdr>
                <w:top w:val="single" w:sz="2" w:space="0" w:color="E5E7EB"/>
                <w:left w:val="single" w:sz="2" w:space="0" w:color="E5E7EB"/>
                <w:bottom w:val="single" w:sz="2" w:space="0" w:color="E5E7EB"/>
                <w:right w:val="single" w:sz="2" w:space="0" w:color="E5E7EB"/>
              </w:divBdr>
              <w:divsChild>
                <w:div w:id="780223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88585378">
      <w:bodyDiv w:val="1"/>
      <w:marLeft w:val="0"/>
      <w:marRight w:val="0"/>
      <w:marTop w:val="0"/>
      <w:marBottom w:val="0"/>
      <w:divBdr>
        <w:top w:val="none" w:sz="0" w:space="0" w:color="auto"/>
        <w:left w:val="none" w:sz="0" w:space="0" w:color="auto"/>
        <w:bottom w:val="none" w:sz="0" w:space="0" w:color="auto"/>
        <w:right w:val="none" w:sz="0" w:space="0" w:color="auto"/>
      </w:divBdr>
    </w:div>
    <w:div w:id="289825932">
      <w:bodyDiv w:val="1"/>
      <w:marLeft w:val="0"/>
      <w:marRight w:val="0"/>
      <w:marTop w:val="0"/>
      <w:marBottom w:val="0"/>
      <w:divBdr>
        <w:top w:val="none" w:sz="0" w:space="0" w:color="auto"/>
        <w:left w:val="none" w:sz="0" w:space="0" w:color="auto"/>
        <w:bottom w:val="none" w:sz="0" w:space="0" w:color="auto"/>
        <w:right w:val="none" w:sz="0" w:space="0" w:color="auto"/>
      </w:divBdr>
      <w:divsChild>
        <w:div w:id="357317513">
          <w:marLeft w:val="0"/>
          <w:marRight w:val="0"/>
          <w:marTop w:val="0"/>
          <w:marBottom w:val="0"/>
          <w:divBdr>
            <w:top w:val="single" w:sz="2" w:space="0" w:color="E5E7EB"/>
            <w:left w:val="single" w:sz="2" w:space="0" w:color="E5E7EB"/>
            <w:bottom w:val="single" w:sz="2" w:space="0" w:color="E5E7EB"/>
            <w:right w:val="single" w:sz="2" w:space="0" w:color="E5E7EB"/>
          </w:divBdr>
          <w:divsChild>
            <w:div w:id="1225876114">
              <w:marLeft w:val="0"/>
              <w:marRight w:val="0"/>
              <w:marTop w:val="0"/>
              <w:marBottom w:val="0"/>
              <w:divBdr>
                <w:top w:val="single" w:sz="2" w:space="0" w:color="E5E7EB"/>
                <w:left w:val="single" w:sz="2" w:space="0" w:color="E5E7EB"/>
                <w:bottom w:val="single" w:sz="2" w:space="0" w:color="E5E7EB"/>
                <w:right w:val="single" w:sz="2" w:space="0" w:color="E5E7EB"/>
              </w:divBdr>
              <w:divsChild>
                <w:div w:id="160779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92097002">
      <w:bodyDiv w:val="1"/>
      <w:marLeft w:val="0"/>
      <w:marRight w:val="0"/>
      <w:marTop w:val="0"/>
      <w:marBottom w:val="0"/>
      <w:divBdr>
        <w:top w:val="none" w:sz="0" w:space="0" w:color="auto"/>
        <w:left w:val="none" w:sz="0" w:space="0" w:color="auto"/>
        <w:bottom w:val="none" w:sz="0" w:space="0" w:color="auto"/>
        <w:right w:val="none" w:sz="0" w:space="0" w:color="auto"/>
      </w:divBdr>
    </w:div>
    <w:div w:id="293406958">
      <w:bodyDiv w:val="1"/>
      <w:marLeft w:val="0"/>
      <w:marRight w:val="0"/>
      <w:marTop w:val="0"/>
      <w:marBottom w:val="0"/>
      <w:divBdr>
        <w:top w:val="none" w:sz="0" w:space="0" w:color="auto"/>
        <w:left w:val="none" w:sz="0" w:space="0" w:color="auto"/>
        <w:bottom w:val="none" w:sz="0" w:space="0" w:color="auto"/>
        <w:right w:val="none" w:sz="0" w:space="0" w:color="auto"/>
      </w:divBdr>
      <w:divsChild>
        <w:div w:id="17321109">
          <w:marLeft w:val="0"/>
          <w:marRight w:val="0"/>
          <w:marTop w:val="0"/>
          <w:marBottom w:val="0"/>
          <w:divBdr>
            <w:top w:val="single" w:sz="2" w:space="0" w:color="E5E7EB"/>
            <w:left w:val="single" w:sz="2" w:space="0" w:color="E5E7EB"/>
            <w:bottom w:val="single" w:sz="2" w:space="0" w:color="E5E7EB"/>
            <w:right w:val="single" w:sz="2" w:space="0" w:color="E5E7EB"/>
          </w:divBdr>
          <w:divsChild>
            <w:div w:id="768278595">
              <w:marLeft w:val="0"/>
              <w:marRight w:val="0"/>
              <w:marTop w:val="0"/>
              <w:marBottom w:val="0"/>
              <w:divBdr>
                <w:top w:val="single" w:sz="2" w:space="0" w:color="E5E7EB"/>
                <w:left w:val="single" w:sz="2" w:space="0" w:color="E5E7EB"/>
                <w:bottom w:val="single" w:sz="2" w:space="0" w:color="E5E7EB"/>
                <w:right w:val="single" w:sz="2" w:space="0" w:color="E5E7EB"/>
              </w:divBdr>
              <w:divsChild>
                <w:div w:id="919024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13874223">
      <w:bodyDiv w:val="1"/>
      <w:marLeft w:val="0"/>
      <w:marRight w:val="0"/>
      <w:marTop w:val="0"/>
      <w:marBottom w:val="0"/>
      <w:divBdr>
        <w:top w:val="none" w:sz="0" w:space="0" w:color="auto"/>
        <w:left w:val="none" w:sz="0" w:space="0" w:color="auto"/>
        <w:bottom w:val="none" w:sz="0" w:space="0" w:color="auto"/>
        <w:right w:val="none" w:sz="0" w:space="0" w:color="auto"/>
      </w:divBdr>
      <w:divsChild>
        <w:div w:id="1219315774">
          <w:marLeft w:val="0"/>
          <w:marRight w:val="0"/>
          <w:marTop w:val="0"/>
          <w:marBottom w:val="0"/>
          <w:divBdr>
            <w:top w:val="single" w:sz="2" w:space="0" w:color="E5E7EB"/>
            <w:left w:val="single" w:sz="2" w:space="0" w:color="E5E7EB"/>
            <w:bottom w:val="single" w:sz="2" w:space="0" w:color="E5E7EB"/>
            <w:right w:val="single" w:sz="2" w:space="0" w:color="E5E7EB"/>
          </w:divBdr>
          <w:divsChild>
            <w:div w:id="160706759">
              <w:marLeft w:val="0"/>
              <w:marRight w:val="0"/>
              <w:marTop w:val="0"/>
              <w:marBottom w:val="0"/>
              <w:divBdr>
                <w:top w:val="single" w:sz="2" w:space="0" w:color="E5E7EB"/>
                <w:left w:val="single" w:sz="2" w:space="0" w:color="E5E7EB"/>
                <w:bottom w:val="single" w:sz="2" w:space="0" w:color="E5E7EB"/>
                <w:right w:val="single" w:sz="2" w:space="0" w:color="E5E7EB"/>
              </w:divBdr>
              <w:divsChild>
                <w:div w:id="195655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34890460">
      <w:bodyDiv w:val="1"/>
      <w:marLeft w:val="0"/>
      <w:marRight w:val="0"/>
      <w:marTop w:val="0"/>
      <w:marBottom w:val="0"/>
      <w:divBdr>
        <w:top w:val="none" w:sz="0" w:space="0" w:color="auto"/>
        <w:left w:val="none" w:sz="0" w:space="0" w:color="auto"/>
        <w:bottom w:val="none" w:sz="0" w:space="0" w:color="auto"/>
        <w:right w:val="none" w:sz="0" w:space="0" w:color="auto"/>
      </w:divBdr>
    </w:div>
    <w:div w:id="339502444">
      <w:bodyDiv w:val="1"/>
      <w:marLeft w:val="0"/>
      <w:marRight w:val="0"/>
      <w:marTop w:val="0"/>
      <w:marBottom w:val="0"/>
      <w:divBdr>
        <w:top w:val="none" w:sz="0" w:space="0" w:color="auto"/>
        <w:left w:val="none" w:sz="0" w:space="0" w:color="auto"/>
        <w:bottom w:val="none" w:sz="0" w:space="0" w:color="auto"/>
        <w:right w:val="none" w:sz="0" w:space="0" w:color="auto"/>
      </w:divBdr>
      <w:divsChild>
        <w:div w:id="1252856397">
          <w:marLeft w:val="0"/>
          <w:marRight w:val="0"/>
          <w:marTop w:val="0"/>
          <w:marBottom w:val="0"/>
          <w:divBdr>
            <w:top w:val="single" w:sz="2" w:space="0" w:color="E5E7EB"/>
            <w:left w:val="single" w:sz="2" w:space="0" w:color="E5E7EB"/>
            <w:bottom w:val="single" w:sz="2" w:space="0" w:color="E5E7EB"/>
            <w:right w:val="single" w:sz="2" w:space="0" w:color="E5E7EB"/>
          </w:divBdr>
          <w:divsChild>
            <w:div w:id="1374505581">
              <w:marLeft w:val="0"/>
              <w:marRight w:val="0"/>
              <w:marTop w:val="0"/>
              <w:marBottom w:val="0"/>
              <w:divBdr>
                <w:top w:val="single" w:sz="2" w:space="0" w:color="E5E7EB"/>
                <w:left w:val="single" w:sz="2" w:space="0" w:color="E5E7EB"/>
                <w:bottom w:val="single" w:sz="2" w:space="0" w:color="E5E7EB"/>
                <w:right w:val="single" w:sz="2" w:space="0" w:color="E5E7EB"/>
              </w:divBdr>
              <w:divsChild>
                <w:div w:id="290021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87459192">
      <w:bodyDiv w:val="1"/>
      <w:marLeft w:val="0"/>
      <w:marRight w:val="0"/>
      <w:marTop w:val="0"/>
      <w:marBottom w:val="0"/>
      <w:divBdr>
        <w:top w:val="none" w:sz="0" w:space="0" w:color="auto"/>
        <w:left w:val="none" w:sz="0" w:space="0" w:color="auto"/>
        <w:bottom w:val="none" w:sz="0" w:space="0" w:color="auto"/>
        <w:right w:val="none" w:sz="0" w:space="0" w:color="auto"/>
      </w:divBdr>
      <w:divsChild>
        <w:div w:id="1405682729">
          <w:marLeft w:val="0"/>
          <w:marRight w:val="0"/>
          <w:marTop w:val="0"/>
          <w:marBottom w:val="0"/>
          <w:divBdr>
            <w:top w:val="single" w:sz="2" w:space="0" w:color="E5E7EB"/>
            <w:left w:val="single" w:sz="2" w:space="0" w:color="E5E7EB"/>
            <w:bottom w:val="single" w:sz="2" w:space="0" w:color="E5E7EB"/>
            <w:right w:val="single" w:sz="2" w:space="0" w:color="E5E7EB"/>
          </w:divBdr>
          <w:divsChild>
            <w:div w:id="79571823">
              <w:marLeft w:val="0"/>
              <w:marRight w:val="0"/>
              <w:marTop w:val="0"/>
              <w:marBottom w:val="0"/>
              <w:divBdr>
                <w:top w:val="single" w:sz="2" w:space="0" w:color="E5E7EB"/>
                <w:left w:val="single" w:sz="2" w:space="0" w:color="E5E7EB"/>
                <w:bottom w:val="single" w:sz="2" w:space="0" w:color="E5E7EB"/>
                <w:right w:val="single" w:sz="2" w:space="0" w:color="E5E7EB"/>
              </w:divBdr>
              <w:divsChild>
                <w:div w:id="777525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88772454">
      <w:bodyDiv w:val="1"/>
      <w:marLeft w:val="0"/>
      <w:marRight w:val="0"/>
      <w:marTop w:val="0"/>
      <w:marBottom w:val="0"/>
      <w:divBdr>
        <w:top w:val="none" w:sz="0" w:space="0" w:color="auto"/>
        <w:left w:val="none" w:sz="0" w:space="0" w:color="auto"/>
        <w:bottom w:val="none" w:sz="0" w:space="0" w:color="auto"/>
        <w:right w:val="none" w:sz="0" w:space="0" w:color="auto"/>
      </w:divBdr>
      <w:divsChild>
        <w:div w:id="301548522">
          <w:marLeft w:val="0"/>
          <w:marRight w:val="0"/>
          <w:marTop w:val="0"/>
          <w:marBottom w:val="0"/>
          <w:divBdr>
            <w:top w:val="single" w:sz="2" w:space="0" w:color="E5E7EB"/>
            <w:left w:val="single" w:sz="2" w:space="0" w:color="E5E7EB"/>
            <w:bottom w:val="single" w:sz="2" w:space="0" w:color="E5E7EB"/>
            <w:right w:val="single" w:sz="2" w:space="0" w:color="E5E7EB"/>
          </w:divBdr>
          <w:divsChild>
            <w:div w:id="807863220">
              <w:marLeft w:val="0"/>
              <w:marRight w:val="0"/>
              <w:marTop w:val="0"/>
              <w:marBottom w:val="0"/>
              <w:divBdr>
                <w:top w:val="single" w:sz="2" w:space="0" w:color="E5E7EB"/>
                <w:left w:val="single" w:sz="2" w:space="0" w:color="E5E7EB"/>
                <w:bottom w:val="single" w:sz="2" w:space="0" w:color="E5E7EB"/>
                <w:right w:val="single" w:sz="2" w:space="0" w:color="E5E7EB"/>
              </w:divBdr>
              <w:divsChild>
                <w:div w:id="1453665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11854466">
      <w:bodyDiv w:val="1"/>
      <w:marLeft w:val="0"/>
      <w:marRight w:val="0"/>
      <w:marTop w:val="0"/>
      <w:marBottom w:val="0"/>
      <w:divBdr>
        <w:top w:val="none" w:sz="0" w:space="0" w:color="auto"/>
        <w:left w:val="none" w:sz="0" w:space="0" w:color="auto"/>
        <w:bottom w:val="none" w:sz="0" w:space="0" w:color="auto"/>
        <w:right w:val="none" w:sz="0" w:space="0" w:color="auto"/>
      </w:divBdr>
      <w:divsChild>
        <w:div w:id="89013066">
          <w:marLeft w:val="0"/>
          <w:marRight w:val="0"/>
          <w:marTop w:val="0"/>
          <w:marBottom w:val="0"/>
          <w:divBdr>
            <w:top w:val="none" w:sz="0" w:space="0" w:color="auto"/>
            <w:left w:val="none" w:sz="0" w:space="0" w:color="auto"/>
            <w:bottom w:val="none" w:sz="0" w:space="0" w:color="auto"/>
            <w:right w:val="none" w:sz="0" w:space="0" w:color="auto"/>
          </w:divBdr>
        </w:div>
      </w:divsChild>
    </w:div>
    <w:div w:id="429548123">
      <w:bodyDiv w:val="1"/>
      <w:marLeft w:val="0"/>
      <w:marRight w:val="0"/>
      <w:marTop w:val="0"/>
      <w:marBottom w:val="0"/>
      <w:divBdr>
        <w:top w:val="none" w:sz="0" w:space="0" w:color="auto"/>
        <w:left w:val="none" w:sz="0" w:space="0" w:color="auto"/>
        <w:bottom w:val="none" w:sz="0" w:space="0" w:color="auto"/>
        <w:right w:val="none" w:sz="0" w:space="0" w:color="auto"/>
      </w:divBdr>
      <w:divsChild>
        <w:div w:id="201985549">
          <w:marLeft w:val="0"/>
          <w:marRight w:val="0"/>
          <w:marTop w:val="0"/>
          <w:marBottom w:val="0"/>
          <w:divBdr>
            <w:top w:val="single" w:sz="2" w:space="0" w:color="E5E7EB"/>
            <w:left w:val="single" w:sz="2" w:space="0" w:color="E5E7EB"/>
            <w:bottom w:val="single" w:sz="2" w:space="0" w:color="E5E7EB"/>
            <w:right w:val="single" w:sz="2" w:space="0" w:color="E5E7EB"/>
          </w:divBdr>
          <w:divsChild>
            <w:div w:id="855000539">
              <w:marLeft w:val="0"/>
              <w:marRight w:val="0"/>
              <w:marTop w:val="0"/>
              <w:marBottom w:val="0"/>
              <w:divBdr>
                <w:top w:val="single" w:sz="2" w:space="0" w:color="E5E7EB"/>
                <w:left w:val="single" w:sz="2" w:space="0" w:color="E5E7EB"/>
                <w:bottom w:val="single" w:sz="2" w:space="0" w:color="E5E7EB"/>
                <w:right w:val="single" w:sz="2" w:space="0" w:color="E5E7EB"/>
              </w:divBdr>
              <w:divsChild>
                <w:div w:id="1623539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44733682">
      <w:bodyDiv w:val="1"/>
      <w:marLeft w:val="0"/>
      <w:marRight w:val="0"/>
      <w:marTop w:val="0"/>
      <w:marBottom w:val="0"/>
      <w:divBdr>
        <w:top w:val="none" w:sz="0" w:space="0" w:color="auto"/>
        <w:left w:val="none" w:sz="0" w:space="0" w:color="auto"/>
        <w:bottom w:val="none" w:sz="0" w:space="0" w:color="auto"/>
        <w:right w:val="none" w:sz="0" w:space="0" w:color="auto"/>
      </w:divBdr>
    </w:div>
    <w:div w:id="472136794">
      <w:bodyDiv w:val="1"/>
      <w:marLeft w:val="0"/>
      <w:marRight w:val="0"/>
      <w:marTop w:val="0"/>
      <w:marBottom w:val="0"/>
      <w:divBdr>
        <w:top w:val="none" w:sz="0" w:space="0" w:color="auto"/>
        <w:left w:val="none" w:sz="0" w:space="0" w:color="auto"/>
        <w:bottom w:val="none" w:sz="0" w:space="0" w:color="auto"/>
        <w:right w:val="none" w:sz="0" w:space="0" w:color="auto"/>
      </w:divBdr>
    </w:div>
    <w:div w:id="480081461">
      <w:bodyDiv w:val="1"/>
      <w:marLeft w:val="0"/>
      <w:marRight w:val="0"/>
      <w:marTop w:val="0"/>
      <w:marBottom w:val="0"/>
      <w:divBdr>
        <w:top w:val="none" w:sz="0" w:space="0" w:color="auto"/>
        <w:left w:val="none" w:sz="0" w:space="0" w:color="auto"/>
        <w:bottom w:val="none" w:sz="0" w:space="0" w:color="auto"/>
        <w:right w:val="none" w:sz="0" w:space="0" w:color="auto"/>
      </w:divBdr>
      <w:divsChild>
        <w:div w:id="657341428">
          <w:marLeft w:val="0"/>
          <w:marRight w:val="0"/>
          <w:marTop w:val="0"/>
          <w:marBottom w:val="0"/>
          <w:divBdr>
            <w:top w:val="single" w:sz="2" w:space="0" w:color="E5E7EB"/>
            <w:left w:val="single" w:sz="2" w:space="0" w:color="E5E7EB"/>
            <w:bottom w:val="single" w:sz="2" w:space="0" w:color="E5E7EB"/>
            <w:right w:val="single" w:sz="2" w:space="0" w:color="E5E7EB"/>
          </w:divBdr>
          <w:divsChild>
            <w:div w:id="952055346">
              <w:marLeft w:val="0"/>
              <w:marRight w:val="0"/>
              <w:marTop w:val="0"/>
              <w:marBottom w:val="0"/>
              <w:divBdr>
                <w:top w:val="single" w:sz="2" w:space="0" w:color="E5E7EB"/>
                <w:left w:val="single" w:sz="2" w:space="0" w:color="E5E7EB"/>
                <w:bottom w:val="single" w:sz="2" w:space="0" w:color="E5E7EB"/>
                <w:right w:val="single" w:sz="2" w:space="0" w:color="E5E7EB"/>
              </w:divBdr>
              <w:divsChild>
                <w:div w:id="2060858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892403">
      <w:bodyDiv w:val="1"/>
      <w:marLeft w:val="0"/>
      <w:marRight w:val="0"/>
      <w:marTop w:val="0"/>
      <w:marBottom w:val="0"/>
      <w:divBdr>
        <w:top w:val="none" w:sz="0" w:space="0" w:color="auto"/>
        <w:left w:val="none" w:sz="0" w:space="0" w:color="auto"/>
        <w:bottom w:val="none" w:sz="0" w:space="0" w:color="auto"/>
        <w:right w:val="none" w:sz="0" w:space="0" w:color="auto"/>
      </w:divBdr>
    </w:div>
    <w:div w:id="506478885">
      <w:bodyDiv w:val="1"/>
      <w:marLeft w:val="0"/>
      <w:marRight w:val="0"/>
      <w:marTop w:val="0"/>
      <w:marBottom w:val="0"/>
      <w:divBdr>
        <w:top w:val="none" w:sz="0" w:space="0" w:color="auto"/>
        <w:left w:val="none" w:sz="0" w:space="0" w:color="auto"/>
        <w:bottom w:val="none" w:sz="0" w:space="0" w:color="auto"/>
        <w:right w:val="none" w:sz="0" w:space="0" w:color="auto"/>
      </w:divBdr>
      <w:divsChild>
        <w:div w:id="1128166422">
          <w:marLeft w:val="0"/>
          <w:marRight w:val="0"/>
          <w:marTop w:val="0"/>
          <w:marBottom w:val="0"/>
          <w:divBdr>
            <w:top w:val="single" w:sz="2" w:space="0" w:color="E5E7EB"/>
            <w:left w:val="single" w:sz="2" w:space="0" w:color="E5E7EB"/>
            <w:bottom w:val="single" w:sz="2" w:space="0" w:color="E5E7EB"/>
            <w:right w:val="single" w:sz="2" w:space="0" w:color="E5E7EB"/>
          </w:divBdr>
          <w:divsChild>
            <w:div w:id="901871436">
              <w:marLeft w:val="0"/>
              <w:marRight w:val="0"/>
              <w:marTop w:val="0"/>
              <w:marBottom w:val="0"/>
              <w:divBdr>
                <w:top w:val="single" w:sz="2" w:space="0" w:color="E5E7EB"/>
                <w:left w:val="single" w:sz="2" w:space="0" w:color="E5E7EB"/>
                <w:bottom w:val="single" w:sz="2" w:space="0" w:color="E5E7EB"/>
                <w:right w:val="single" w:sz="2" w:space="0" w:color="E5E7EB"/>
              </w:divBdr>
              <w:divsChild>
                <w:div w:id="1925458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07215692">
      <w:bodyDiv w:val="1"/>
      <w:marLeft w:val="0"/>
      <w:marRight w:val="0"/>
      <w:marTop w:val="0"/>
      <w:marBottom w:val="0"/>
      <w:divBdr>
        <w:top w:val="none" w:sz="0" w:space="0" w:color="auto"/>
        <w:left w:val="none" w:sz="0" w:space="0" w:color="auto"/>
        <w:bottom w:val="none" w:sz="0" w:space="0" w:color="auto"/>
        <w:right w:val="none" w:sz="0" w:space="0" w:color="auto"/>
      </w:divBdr>
      <w:divsChild>
        <w:div w:id="1834374187">
          <w:marLeft w:val="0"/>
          <w:marRight w:val="0"/>
          <w:marTop w:val="0"/>
          <w:marBottom w:val="0"/>
          <w:divBdr>
            <w:top w:val="single" w:sz="2" w:space="0" w:color="E5E7EB"/>
            <w:left w:val="single" w:sz="2" w:space="0" w:color="E5E7EB"/>
            <w:bottom w:val="single" w:sz="2" w:space="0" w:color="E5E7EB"/>
            <w:right w:val="single" w:sz="2" w:space="0" w:color="E5E7EB"/>
          </w:divBdr>
          <w:divsChild>
            <w:div w:id="1450508401">
              <w:marLeft w:val="0"/>
              <w:marRight w:val="0"/>
              <w:marTop w:val="0"/>
              <w:marBottom w:val="0"/>
              <w:divBdr>
                <w:top w:val="single" w:sz="2" w:space="0" w:color="E5E7EB"/>
                <w:left w:val="single" w:sz="2" w:space="0" w:color="E5E7EB"/>
                <w:bottom w:val="single" w:sz="2" w:space="0" w:color="E5E7EB"/>
                <w:right w:val="single" w:sz="2" w:space="0" w:color="E5E7EB"/>
              </w:divBdr>
              <w:divsChild>
                <w:div w:id="475802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30341134">
      <w:bodyDiv w:val="1"/>
      <w:marLeft w:val="0"/>
      <w:marRight w:val="0"/>
      <w:marTop w:val="0"/>
      <w:marBottom w:val="0"/>
      <w:divBdr>
        <w:top w:val="none" w:sz="0" w:space="0" w:color="auto"/>
        <w:left w:val="none" w:sz="0" w:space="0" w:color="auto"/>
        <w:bottom w:val="none" w:sz="0" w:space="0" w:color="auto"/>
        <w:right w:val="none" w:sz="0" w:space="0" w:color="auto"/>
      </w:divBdr>
      <w:divsChild>
        <w:div w:id="1908493028">
          <w:marLeft w:val="0"/>
          <w:marRight w:val="0"/>
          <w:marTop w:val="0"/>
          <w:marBottom w:val="0"/>
          <w:divBdr>
            <w:top w:val="single" w:sz="2" w:space="0" w:color="E5E7EB"/>
            <w:left w:val="single" w:sz="2" w:space="0" w:color="E5E7EB"/>
            <w:bottom w:val="single" w:sz="2" w:space="0" w:color="E5E7EB"/>
            <w:right w:val="single" w:sz="2" w:space="0" w:color="E5E7EB"/>
          </w:divBdr>
          <w:divsChild>
            <w:div w:id="946084098">
              <w:marLeft w:val="0"/>
              <w:marRight w:val="0"/>
              <w:marTop w:val="0"/>
              <w:marBottom w:val="0"/>
              <w:divBdr>
                <w:top w:val="single" w:sz="2" w:space="0" w:color="E5E7EB"/>
                <w:left w:val="single" w:sz="2" w:space="0" w:color="E5E7EB"/>
                <w:bottom w:val="single" w:sz="2" w:space="0" w:color="E5E7EB"/>
                <w:right w:val="single" w:sz="2" w:space="0" w:color="E5E7EB"/>
              </w:divBdr>
              <w:divsChild>
                <w:div w:id="67459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55360592">
      <w:bodyDiv w:val="1"/>
      <w:marLeft w:val="0"/>
      <w:marRight w:val="0"/>
      <w:marTop w:val="0"/>
      <w:marBottom w:val="0"/>
      <w:divBdr>
        <w:top w:val="none" w:sz="0" w:space="0" w:color="auto"/>
        <w:left w:val="none" w:sz="0" w:space="0" w:color="auto"/>
        <w:bottom w:val="none" w:sz="0" w:space="0" w:color="auto"/>
        <w:right w:val="none" w:sz="0" w:space="0" w:color="auto"/>
      </w:divBdr>
      <w:divsChild>
        <w:div w:id="850485572">
          <w:marLeft w:val="0"/>
          <w:marRight w:val="0"/>
          <w:marTop w:val="0"/>
          <w:marBottom w:val="0"/>
          <w:divBdr>
            <w:top w:val="single" w:sz="2" w:space="0" w:color="E5E7EB"/>
            <w:left w:val="single" w:sz="2" w:space="0" w:color="E5E7EB"/>
            <w:bottom w:val="single" w:sz="2" w:space="0" w:color="E5E7EB"/>
            <w:right w:val="single" w:sz="2" w:space="0" w:color="E5E7EB"/>
          </w:divBdr>
          <w:divsChild>
            <w:div w:id="838741033">
              <w:marLeft w:val="0"/>
              <w:marRight w:val="0"/>
              <w:marTop w:val="0"/>
              <w:marBottom w:val="0"/>
              <w:divBdr>
                <w:top w:val="single" w:sz="2" w:space="0" w:color="E5E7EB"/>
                <w:left w:val="single" w:sz="2" w:space="0" w:color="E5E7EB"/>
                <w:bottom w:val="single" w:sz="2" w:space="0" w:color="E5E7EB"/>
                <w:right w:val="single" w:sz="2" w:space="0" w:color="E5E7EB"/>
              </w:divBdr>
              <w:divsChild>
                <w:div w:id="9190959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8441301">
      <w:bodyDiv w:val="1"/>
      <w:marLeft w:val="0"/>
      <w:marRight w:val="0"/>
      <w:marTop w:val="0"/>
      <w:marBottom w:val="0"/>
      <w:divBdr>
        <w:top w:val="none" w:sz="0" w:space="0" w:color="auto"/>
        <w:left w:val="none" w:sz="0" w:space="0" w:color="auto"/>
        <w:bottom w:val="none" w:sz="0" w:space="0" w:color="auto"/>
        <w:right w:val="none" w:sz="0" w:space="0" w:color="auto"/>
      </w:divBdr>
    </w:div>
    <w:div w:id="590698308">
      <w:bodyDiv w:val="1"/>
      <w:marLeft w:val="0"/>
      <w:marRight w:val="0"/>
      <w:marTop w:val="0"/>
      <w:marBottom w:val="0"/>
      <w:divBdr>
        <w:top w:val="none" w:sz="0" w:space="0" w:color="auto"/>
        <w:left w:val="none" w:sz="0" w:space="0" w:color="auto"/>
        <w:bottom w:val="none" w:sz="0" w:space="0" w:color="auto"/>
        <w:right w:val="none" w:sz="0" w:space="0" w:color="auto"/>
      </w:divBdr>
    </w:div>
    <w:div w:id="604384724">
      <w:bodyDiv w:val="1"/>
      <w:marLeft w:val="0"/>
      <w:marRight w:val="0"/>
      <w:marTop w:val="0"/>
      <w:marBottom w:val="0"/>
      <w:divBdr>
        <w:top w:val="none" w:sz="0" w:space="0" w:color="auto"/>
        <w:left w:val="none" w:sz="0" w:space="0" w:color="auto"/>
        <w:bottom w:val="none" w:sz="0" w:space="0" w:color="auto"/>
        <w:right w:val="none" w:sz="0" w:space="0" w:color="auto"/>
      </w:divBdr>
    </w:div>
    <w:div w:id="609704522">
      <w:bodyDiv w:val="1"/>
      <w:marLeft w:val="0"/>
      <w:marRight w:val="0"/>
      <w:marTop w:val="0"/>
      <w:marBottom w:val="0"/>
      <w:divBdr>
        <w:top w:val="none" w:sz="0" w:space="0" w:color="auto"/>
        <w:left w:val="none" w:sz="0" w:space="0" w:color="auto"/>
        <w:bottom w:val="none" w:sz="0" w:space="0" w:color="auto"/>
        <w:right w:val="none" w:sz="0" w:space="0" w:color="auto"/>
      </w:divBdr>
    </w:div>
    <w:div w:id="611286039">
      <w:bodyDiv w:val="1"/>
      <w:marLeft w:val="0"/>
      <w:marRight w:val="0"/>
      <w:marTop w:val="0"/>
      <w:marBottom w:val="0"/>
      <w:divBdr>
        <w:top w:val="none" w:sz="0" w:space="0" w:color="auto"/>
        <w:left w:val="none" w:sz="0" w:space="0" w:color="auto"/>
        <w:bottom w:val="none" w:sz="0" w:space="0" w:color="auto"/>
        <w:right w:val="none" w:sz="0" w:space="0" w:color="auto"/>
      </w:divBdr>
    </w:div>
    <w:div w:id="678704735">
      <w:bodyDiv w:val="1"/>
      <w:marLeft w:val="0"/>
      <w:marRight w:val="0"/>
      <w:marTop w:val="0"/>
      <w:marBottom w:val="0"/>
      <w:divBdr>
        <w:top w:val="none" w:sz="0" w:space="0" w:color="auto"/>
        <w:left w:val="none" w:sz="0" w:space="0" w:color="auto"/>
        <w:bottom w:val="none" w:sz="0" w:space="0" w:color="auto"/>
        <w:right w:val="none" w:sz="0" w:space="0" w:color="auto"/>
      </w:divBdr>
    </w:div>
    <w:div w:id="693116544">
      <w:bodyDiv w:val="1"/>
      <w:marLeft w:val="0"/>
      <w:marRight w:val="0"/>
      <w:marTop w:val="0"/>
      <w:marBottom w:val="0"/>
      <w:divBdr>
        <w:top w:val="none" w:sz="0" w:space="0" w:color="auto"/>
        <w:left w:val="none" w:sz="0" w:space="0" w:color="auto"/>
        <w:bottom w:val="none" w:sz="0" w:space="0" w:color="auto"/>
        <w:right w:val="none" w:sz="0" w:space="0" w:color="auto"/>
      </w:divBdr>
    </w:div>
    <w:div w:id="693965897">
      <w:bodyDiv w:val="1"/>
      <w:marLeft w:val="0"/>
      <w:marRight w:val="0"/>
      <w:marTop w:val="0"/>
      <w:marBottom w:val="0"/>
      <w:divBdr>
        <w:top w:val="none" w:sz="0" w:space="0" w:color="auto"/>
        <w:left w:val="none" w:sz="0" w:space="0" w:color="auto"/>
        <w:bottom w:val="none" w:sz="0" w:space="0" w:color="auto"/>
        <w:right w:val="none" w:sz="0" w:space="0" w:color="auto"/>
      </w:divBdr>
    </w:div>
    <w:div w:id="694427839">
      <w:bodyDiv w:val="1"/>
      <w:marLeft w:val="0"/>
      <w:marRight w:val="0"/>
      <w:marTop w:val="0"/>
      <w:marBottom w:val="0"/>
      <w:divBdr>
        <w:top w:val="none" w:sz="0" w:space="0" w:color="auto"/>
        <w:left w:val="none" w:sz="0" w:space="0" w:color="auto"/>
        <w:bottom w:val="none" w:sz="0" w:space="0" w:color="auto"/>
        <w:right w:val="none" w:sz="0" w:space="0" w:color="auto"/>
      </w:divBdr>
      <w:divsChild>
        <w:div w:id="1189490849">
          <w:marLeft w:val="0"/>
          <w:marRight w:val="0"/>
          <w:marTop w:val="0"/>
          <w:marBottom w:val="0"/>
          <w:divBdr>
            <w:top w:val="single" w:sz="2" w:space="0" w:color="E5E7EB"/>
            <w:left w:val="single" w:sz="2" w:space="0" w:color="E5E7EB"/>
            <w:bottom w:val="single" w:sz="2" w:space="0" w:color="E5E7EB"/>
            <w:right w:val="single" w:sz="2" w:space="0" w:color="E5E7EB"/>
          </w:divBdr>
          <w:divsChild>
            <w:div w:id="1738431700">
              <w:marLeft w:val="0"/>
              <w:marRight w:val="0"/>
              <w:marTop w:val="0"/>
              <w:marBottom w:val="0"/>
              <w:divBdr>
                <w:top w:val="single" w:sz="2" w:space="0" w:color="E5E7EB"/>
                <w:left w:val="single" w:sz="2" w:space="0" w:color="E5E7EB"/>
                <w:bottom w:val="single" w:sz="2" w:space="0" w:color="E5E7EB"/>
                <w:right w:val="single" w:sz="2" w:space="0" w:color="E5E7EB"/>
              </w:divBdr>
              <w:divsChild>
                <w:div w:id="945425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08915883">
      <w:bodyDiv w:val="1"/>
      <w:marLeft w:val="0"/>
      <w:marRight w:val="0"/>
      <w:marTop w:val="0"/>
      <w:marBottom w:val="0"/>
      <w:divBdr>
        <w:top w:val="none" w:sz="0" w:space="0" w:color="auto"/>
        <w:left w:val="none" w:sz="0" w:space="0" w:color="auto"/>
        <w:bottom w:val="none" w:sz="0" w:space="0" w:color="auto"/>
        <w:right w:val="none" w:sz="0" w:space="0" w:color="auto"/>
      </w:divBdr>
      <w:divsChild>
        <w:div w:id="1282615737">
          <w:marLeft w:val="0"/>
          <w:marRight w:val="0"/>
          <w:marTop w:val="0"/>
          <w:marBottom w:val="0"/>
          <w:divBdr>
            <w:top w:val="single" w:sz="2" w:space="0" w:color="E5E7EB"/>
            <w:left w:val="single" w:sz="2" w:space="0" w:color="E5E7EB"/>
            <w:bottom w:val="single" w:sz="2" w:space="0" w:color="E5E7EB"/>
            <w:right w:val="single" w:sz="2" w:space="0" w:color="E5E7EB"/>
          </w:divBdr>
          <w:divsChild>
            <w:div w:id="1622610013">
              <w:marLeft w:val="0"/>
              <w:marRight w:val="0"/>
              <w:marTop w:val="0"/>
              <w:marBottom w:val="0"/>
              <w:divBdr>
                <w:top w:val="single" w:sz="2" w:space="0" w:color="E5E7EB"/>
                <w:left w:val="single" w:sz="2" w:space="0" w:color="E5E7EB"/>
                <w:bottom w:val="single" w:sz="2" w:space="0" w:color="E5E7EB"/>
                <w:right w:val="single" w:sz="2" w:space="0" w:color="E5E7EB"/>
              </w:divBdr>
              <w:divsChild>
                <w:div w:id="1351566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30351832">
      <w:bodyDiv w:val="1"/>
      <w:marLeft w:val="0"/>
      <w:marRight w:val="0"/>
      <w:marTop w:val="0"/>
      <w:marBottom w:val="0"/>
      <w:divBdr>
        <w:top w:val="none" w:sz="0" w:space="0" w:color="auto"/>
        <w:left w:val="none" w:sz="0" w:space="0" w:color="auto"/>
        <w:bottom w:val="none" w:sz="0" w:space="0" w:color="auto"/>
        <w:right w:val="none" w:sz="0" w:space="0" w:color="auto"/>
      </w:divBdr>
      <w:divsChild>
        <w:div w:id="1463234367">
          <w:marLeft w:val="0"/>
          <w:marRight w:val="0"/>
          <w:marTop w:val="0"/>
          <w:marBottom w:val="0"/>
          <w:divBdr>
            <w:top w:val="single" w:sz="2" w:space="0" w:color="E5E7EB"/>
            <w:left w:val="single" w:sz="2" w:space="0" w:color="E5E7EB"/>
            <w:bottom w:val="single" w:sz="2" w:space="0" w:color="E5E7EB"/>
            <w:right w:val="single" w:sz="2" w:space="0" w:color="E5E7EB"/>
          </w:divBdr>
          <w:divsChild>
            <w:div w:id="891770555">
              <w:marLeft w:val="0"/>
              <w:marRight w:val="0"/>
              <w:marTop w:val="0"/>
              <w:marBottom w:val="0"/>
              <w:divBdr>
                <w:top w:val="single" w:sz="2" w:space="0" w:color="E5E7EB"/>
                <w:left w:val="single" w:sz="2" w:space="0" w:color="E5E7EB"/>
                <w:bottom w:val="single" w:sz="2" w:space="0" w:color="E5E7EB"/>
                <w:right w:val="single" w:sz="2" w:space="0" w:color="E5E7EB"/>
              </w:divBdr>
              <w:divsChild>
                <w:div w:id="227765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3958671">
      <w:bodyDiv w:val="1"/>
      <w:marLeft w:val="0"/>
      <w:marRight w:val="0"/>
      <w:marTop w:val="0"/>
      <w:marBottom w:val="0"/>
      <w:divBdr>
        <w:top w:val="none" w:sz="0" w:space="0" w:color="auto"/>
        <w:left w:val="none" w:sz="0" w:space="0" w:color="auto"/>
        <w:bottom w:val="none" w:sz="0" w:space="0" w:color="auto"/>
        <w:right w:val="none" w:sz="0" w:space="0" w:color="auto"/>
      </w:divBdr>
    </w:div>
    <w:div w:id="771630704">
      <w:bodyDiv w:val="1"/>
      <w:marLeft w:val="0"/>
      <w:marRight w:val="0"/>
      <w:marTop w:val="0"/>
      <w:marBottom w:val="0"/>
      <w:divBdr>
        <w:top w:val="none" w:sz="0" w:space="0" w:color="auto"/>
        <w:left w:val="none" w:sz="0" w:space="0" w:color="auto"/>
        <w:bottom w:val="none" w:sz="0" w:space="0" w:color="auto"/>
        <w:right w:val="none" w:sz="0" w:space="0" w:color="auto"/>
      </w:divBdr>
    </w:div>
    <w:div w:id="780152010">
      <w:bodyDiv w:val="1"/>
      <w:marLeft w:val="0"/>
      <w:marRight w:val="0"/>
      <w:marTop w:val="0"/>
      <w:marBottom w:val="0"/>
      <w:divBdr>
        <w:top w:val="none" w:sz="0" w:space="0" w:color="auto"/>
        <w:left w:val="none" w:sz="0" w:space="0" w:color="auto"/>
        <w:bottom w:val="none" w:sz="0" w:space="0" w:color="auto"/>
        <w:right w:val="none" w:sz="0" w:space="0" w:color="auto"/>
      </w:divBdr>
    </w:div>
    <w:div w:id="784736236">
      <w:bodyDiv w:val="1"/>
      <w:marLeft w:val="0"/>
      <w:marRight w:val="0"/>
      <w:marTop w:val="0"/>
      <w:marBottom w:val="0"/>
      <w:divBdr>
        <w:top w:val="none" w:sz="0" w:space="0" w:color="auto"/>
        <w:left w:val="none" w:sz="0" w:space="0" w:color="auto"/>
        <w:bottom w:val="none" w:sz="0" w:space="0" w:color="auto"/>
        <w:right w:val="none" w:sz="0" w:space="0" w:color="auto"/>
      </w:divBdr>
      <w:divsChild>
        <w:div w:id="1819029105">
          <w:marLeft w:val="0"/>
          <w:marRight w:val="0"/>
          <w:marTop w:val="0"/>
          <w:marBottom w:val="0"/>
          <w:divBdr>
            <w:top w:val="single" w:sz="2" w:space="0" w:color="E5E7EB"/>
            <w:left w:val="single" w:sz="2" w:space="0" w:color="E5E7EB"/>
            <w:bottom w:val="single" w:sz="2" w:space="0" w:color="E5E7EB"/>
            <w:right w:val="single" w:sz="2" w:space="0" w:color="E5E7EB"/>
          </w:divBdr>
          <w:divsChild>
            <w:div w:id="1623153156">
              <w:marLeft w:val="0"/>
              <w:marRight w:val="0"/>
              <w:marTop w:val="0"/>
              <w:marBottom w:val="0"/>
              <w:divBdr>
                <w:top w:val="single" w:sz="2" w:space="0" w:color="E5E7EB"/>
                <w:left w:val="single" w:sz="2" w:space="0" w:color="E5E7EB"/>
                <w:bottom w:val="single" w:sz="2" w:space="0" w:color="E5E7EB"/>
                <w:right w:val="single" w:sz="2" w:space="0" w:color="E5E7EB"/>
              </w:divBdr>
              <w:divsChild>
                <w:div w:id="801537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90785195">
      <w:bodyDiv w:val="1"/>
      <w:marLeft w:val="0"/>
      <w:marRight w:val="0"/>
      <w:marTop w:val="0"/>
      <w:marBottom w:val="0"/>
      <w:divBdr>
        <w:top w:val="none" w:sz="0" w:space="0" w:color="auto"/>
        <w:left w:val="none" w:sz="0" w:space="0" w:color="auto"/>
        <w:bottom w:val="none" w:sz="0" w:space="0" w:color="auto"/>
        <w:right w:val="none" w:sz="0" w:space="0" w:color="auto"/>
      </w:divBdr>
    </w:div>
    <w:div w:id="792093473">
      <w:bodyDiv w:val="1"/>
      <w:marLeft w:val="0"/>
      <w:marRight w:val="0"/>
      <w:marTop w:val="0"/>
      <w:marBottom w:val="0"/>
      <w:divBdr>
        <w:top w:val="none" w:sz="0" w:space="0" w:color="auto"/>
        <w:left w:val="none" w:sz="0" w:space="0" w:color="auto"/>
        <w:bottom w:val="none" w:sz="0" w:space="0" w:color="auto"/>
        <w:right w:val="none" w:sz="0" w:space="0" w:color="auto"/>
      </w:divBdr>
    </w:div>
    <w:div w:id="808742738">
      <w:bodyDiv w:val="1"/>
      <w:marLeft w:val="0"/>
      <w:marRight w:val="0"/>
      <w:marTop w:val="0"/>
      <w:marBottom w:val="0"/>
      <w:divBdr>
        <w:top w:val="none" w:sz="0" w:space="0" w:color="auto"/>
        <w:left w:val="none" w:sz="0" w:space="0" w:color="auto"/>
        <w:bottom w:val="none" w:sz="0" w:space="0" w:color="auto"/>
        <w:right w:val="none" w:sz="0" w:space="0" w:color="auto"/>
      </w:divBdr>
      <w:divsChild>
        <w:div w:id="516239488">
          <w:marLeft w:val="0"/>
          <w:marRight w:val="0"/>
          <w:marTop w:val="0"/>
          <w:marBottom w:val="0"/>
          <w:divBdr>
            <w:top w:val="single" w:sz="2" w:space="0" w:color="E5E7EB"/>
            <w:left w:val="single" w:sz="2" w:space="0" w:color="E5E7EB"/>
            <w:bottom w:val="single" w:sz="2" w:space="0" w:color="E5E7EB"/>
            <w:right w:val="single" w:sz="2" w:space="0" w:color="E5E7EB"/>
          </w:divBdr>
          <w:divsChild>
            <w:div w:id="1195967579">
              <w:marLeft w:val="0"/>
              <w:marRight w:val="0"/>
              <w:marTop w:val="0"/>
              <w:marBottom w:val="0"/>
              <w:divBdr>
                <w:top w:val="single" w:sz="2" w:space="0" w:color="E5E7EB"/>
                <w:left w:val="single" w:sz="2" w:space="0" w:color="E5E7EB"/>
                <w:bottom w:val="single" w:sz="2" w:space="0" w:color="E5E7EB"/>
                <w:right w:val="single" w:sz="2" w:space="0" w:color="E5E7EB"/>
              </w:divBdr>
              <w:divsChild>
                <w:div w:id="558831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0608401">
      <w:bodyDiv w:val="1"/>
      <w:marLeft w:val="0"/>
      <w:marRight w:val="0"/>
      <w:marTop w:val="0"/>
      <w:marBottom w:val="0"/>
      <w:divBdr>
        <w:top w:val="none" w:sz="0" w:space="0" w:color="auto"/>
        <w:left w:val="none" w:sz="0" w:space="0" w:color="auto"/>
        <w:bottom w:val="none" w:sz="0" w:space="0" w:color="auto"/>
        <w:right w:val="none" w:sz="0" w:space="0" w:color="auto"/>
      </w:divBdr>
    </w:div>
    <w:div w:id="831677983">
      <w:bodyDiv w:val="1"/>
      <w:marLeft w:val="0"/>
      <w:marRight w:val="0"/>
      <w:marTop w:val="0"/>
      <w:marBottom w:val="0"/>
      <w:divBdr>
        <w:top w:val="none" w:sz="0" w:space="0" w:color="auto"/>
        <w:left w:val="none" w:sz="0" w:space="0" w:color="auto"/>
        <w:bottom w:val="none" w:sz="0" w:space="0" w:color="auto"/>
        <w:right w:val="none" w:sz="0" w:space="0" w:color="auto"/>
      </w:divBdr>
    </w:div>
    <w:div w:id="836118945">
      <w:bodyDiv w:val="1"/>
      <w:marLeft w:val="0"/>
      <w:marRight w:val="0"/>
      <w:marTop w:val="0"/>
      <w:marBottom w:val="0"/>
      <w:divBdr>
        <w:top w:val="none" w:sz="0" w:space="0" w:color="auto"/>
        <w:left w:val="none" w:sz="0" w:space="0" w:color="auto"/>
        <w:bottom w:val="none" w:sz="0" w:space="0" w:color="auto"/>
        <w:right w:val="none" w:sz="0" w:space="0" w:color="auto"/>
      </w:divBdr>
    </w:div>
    <w:div w:id="838500203">
      <w:bodyDiv w:val="1"/>
      <w:marLeft w:val="0"/>
      <w:marRight w:val="0"/>
      <w:marTop w:val="0"/>
      <w:marBottom w:val="0"/>
      <w:divBdr>
        <w:top w:val="none" w:sz="0" w:space="0" w:color="auto"/>
        <w:left w:val="none" w:sz="0" w:space="0" w:color="auto"/>
        <w:bottom w:val="none" w:sz="0" w:space="0" w:color="auto"/>
        <w:right w:val="none" w:sz="0" w:space="0" w:color="auto"/>
      </w:divBdr>
    </w:div>
    <w:div w:id="845556019">
      <w:bodyDiv w:val="1"/>
      <w:marLeft w:val="0"/>
      <w:marRight w:val="0"/>
      <w:marTop w:val="0"/>
      <w:marBottom w:val="0"/>
      <w:divBdr>
        <w:top w:val="none" w:sz="0" w:space="0" w:color="auto"/>
        <w:left w:val="none" w:sz="0" w:space="0" w:color="auto"/>
        <w:bottom w:val="none" w:sz="0" w:space="0" w:color="auto"/>
        <w:right w:val="none" w:sz="0" w:space="0" w:color="auto"/>
      </w:divBdr>
    </w:div>
    <w:div w:id="858395713">
      <w:bodyDiv w:val="1"/>
      <w:marLeft w:val="0"/>
      <w:marRight w:val="0"/>
      <w:marTop w:val="0"/>
      <w:marBottom w:val="0"/>
      <w:divBdr>
        <w:top w:val="none" w:sz="0" w:space="0" w:color="auto"/>
        <w:left w:val="none" w:sz="0" w:space="0" w:color="auto"/>
        <w:bottom w:val="none" w:sz="0" w:space="0" w:color="auto"/>
        <w:right w:val="none" w:sz="0" w:space="0" w:color="auto"/>
      </w:divBdr>
    </w:div>
    <w:div w:id="877551044">
      <w:bodyDiv w:val="1"/>
      <w:marLeft w:val="0"/>
      <w:marRight w:val="0"/>
      <w:marTop w:val="0"/>
      <w:marBottom w:val="0"/>
      <w:divBdr>
        <w:top w:val="none" w:sz="0" w:space="0" w:color="auto"/>
        <w:left w:val="none" w:sz="0" w:space="0" w:color="auto"/>
        <w:bottom w:val="none" w:sz="0" w:space="0" w:color="auto"/>
        <w:right w:val="none" w:sz="0" w:space="0" w:color="auto"/>
      </w:divBdr>
    </w:div>
    <w:div w:id="912815451">
      <w:bodyDiv w:val="1"/>
      <w:marLeft w:val="0"/>
      <w:marRight w:val="0"/>
      <w:marTop w:val="0"/>
      <w:marBottom w:val="0"/>
      <w:divBdr>
        <w:top w:val="none" w:sz="0" w:space="0" w:color="auto"/>
        <w:left w:val="none" w:sz="0" w:space="0" w:color="auto"/>
        <w:bottom w:val="none" w:sz="0" w:space="0" w:color="auto"/>
        <w:right w:val="none" w:sz="0" w:space="0" w:color="auto"/>
      </w:divBdr>
      <w:divsChild>
        <w:div w:id="906839737">
          <w:marLeft w:val="0"/>
          <w:marRight w:val="0"/>
          <w:marTop w:val="0"/>
          <w:marBottom w:val="0"/>
          <w:divBdr>
            <w:top w:val="single" w:sz="2" w:space="0" w:color="E5E7EB"/>
            <w:left w:val="single" w:sz="2" w:space="0" w:color="E5E7EB"/>
            <w:bottom w:val="single" w:sz="2" w:space="0" w:color="E5E7EB"/>
            <w:right w:val="single" w:sz="2" w:space="0" w:color="E5E7EB"/>
          </w:divBdr>
          <w:divsChild>
            <w:div w:id="696811383">
              <w:marLeft w:val="0"/>
              <w:marRight w:val="0"/>
              <w:marTop w:val="0"/>
              <w:marBottom w:val="0"/>
              <w:divBdr>
                <w:top w:val="single" w:sz="2" w:space="0" w:color="E5E7EB"/>
                <w:left w:val="single" w:sz="2" w:space="0" w:color="E5E7EB"/>
                <w:bottom w:val="single" w:sz="2" w:space="0" w:color="E5E7EB"/>
                <w:right w:val="single" w:sz="2" w:space="0" w:color="E5E7EB"/>
              </w:divBdr>
              <w:divsChild>
                <w:div w:id="126155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28344641">
      <w:bodyDiv w:val="1"/>
      <w:marLeft w:val="0"/>
      <w:marRight w:val="0"/>
      <w:marTop w:val="0"/>
      <w:marBottom w:val="0"/>
      <w:divBdr>
        <w:top w:val="none" w:sz="0" w:space="0" w:color="auto"/>
        <w:left w:val="none" w:sz="0" w:space="0" w:color="auto"/>
        <w:bottom w:val="none" w:sz="0" w:space="0" w:color="auto"/>
        <w:right w:val="none" w:sz="0" w:space="0" w:color="auto"/>
      </w:divBdr>
      <w:divsChild>
        <w:div w:id="1242330565">
          <w:marLeft w:val="0"/>
          <w:marRight w:val="0"/>
          <w:marTop w:val="0"/>
          <w:marBottom w:val="0"/>
          <w:divBdr>
            <w:top w:val="single" w:sz="2" w:space="0" w:color="E5E7EB"/>
            <w:left w:val="single" w:sz="2" w:space="0" w:color="E5E7EB"/>
            <w:bottom w:val="single" w:sz="2" w:space="0" w:color="E5E7EB"/>
            <w:right w:val="single" w:sz="2" w:space="0" w:color="E5E7EB"/>
          </w:divBdr>
          <w:divsChild>
            <w:div w:id="1615483485">
              <w:marLeft w:val="0"/>
              <w:marRight w:val="0"/>
              <w:marTop w:val="0"/>
              <w:marBottom w:val="0"/>
              <w:divBdr>
                <w:top w:val="single" w:sz="2" w:space="0" w:color="E5E7EB"/>
                <w:left w:val="single" w:sz="2" w:space="0" w:color="E5E7EB"/>
                <w:bottom w:val="single" w:sz="2" w:space="0" w:color="E5E7EB"/>
                <w:right w:val="single" w:sz="2" w:space="0" w:color="E5E7EB"/>
              </w:divBdr>
              <w:divsChild>
                <w:div w:id="627584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29120540">
      <w:bodyDiv w:val="1"/>
      <w:marLeft w:val="0"/>
      <w:marRight w:val="0"/>
      <w:marTop w:val="0"/>
      <w:marBottom w:val="0"/>
      <w:divBdr>
        <w:top w:val="none" w:sz="0" w:space="0" w:color="auto"/>
        <w:left w:val="none" w:sz="0" w:space="0" w:color="auto"/>
        <w:bottom w:val="none" w:sz="0" w:space="0" w:color="auto"/>
        <w:right w:val="none" w:sz="0" w:space="0" w:color="auto"/>
      </w:divBdr>
    </w:div>
    <w:div w:id="933199098">
      <w:bodyDiv w:val="1"/>
      <w:marLeft w:val="0"/>
      <w:marRight w:val="0"/>
      <w:marTop w:val="0"/>
      <w:marBottom w:val="0"/>
      <w:divBdr>
        <w:top w:val="none" w:sz="0" w:space="0" w:color="auto"/>
        <w:left w:val="none" w:sz="0" w:space="0" w:color="auto"/>
        <w:bottom w:val="none" w:sz="0" w:space="0" w:color="auto"/>
        <w:right w:val="none" w:sz="0" w:space="0" w:color="auto"/>
      </w:divBdr>
    </w:div>
    <w:div w:id="938952766">
      <w:bodyDiv w:val="1"/>
      <w:marLeft w:val="0"/>
      <w:marRight w:val="0"/>
      <w:marTop w:val="0"/>
      <w:marBottom w:val="0"/>
      <w:divBdr>
        <w:top w:val="none" w:sz="0" w:space="0" w:color="auto"/>
        <w:left w:val="none" w:sz="0" w:space="0" w:color="auto"/>
        <w:bottom w:val="none" w:sz="0" w:space="0" w:color="auto"/>
        <w:right w:val="none" w:sz="0" w:space="0" w:color="auto"/>
      </w:divBdr>
      <w:divsChild>
        <w:div w:id="816341547">
          <w:marLeft w:val="0"/>
          <w:marRight w:val="0"/>
          <w:marTop w:val="0"/>
          <w:marBottom w:val="0"/>
          <w:divBdr>
            <w:top w:val="single" w:sz="2" w:space="0" w:color="E5E7EB"/>
            <w:left w:val="single" w:sz="2" w:space="0" w:color="E5E7EB"/>
            <w:bottom w:val="single" w:sz="2" w:space="0" w:color="E5E7EB"/>
            <w:right w:val="single" w:sz="2" w:space="0" w:color="E5E7EB"/>
          </w:divBdr>
          <w:divsChild>
            <w:div w:id="1534926174">
              <w:marLeft w:val="0"/>
              <w:marRight w:val="0"/>
              <w:marTop w:val="0"/>
              <w:marBottom w:val="0"/>
              <w:divBdr>
                <w:top w:val="single" w:sz="2" w:space="0" w:color="E5E7EB"/>
                <w:left w:val="single" w:sz="2" w:space="0" w:color="E5E7EB"/>
                <w:bottom w:val="single" w:sz="2" w:space="0" w:color="E5E7EB"/>
                <w:right w:val="single" w:sz="2" w:space="0" w:color="E5E7EB"/>
              </w:divBdr>
              <w:divsChild>
                <w:div w:id="1691906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55210545">
      <w:bodyDiv w:val="1"/>
      <w:marLeft w:val="0"/>
      <w:marRight w:val="0"/>
      <w:marTop w:val="0"/>
      <w:marBottom w:val="0"/>
      <w:divBdr>
        <w:top w:val="none" w:sz="0" w:space="0" w:color="auto"/>
        <w:left w:val="none" w:sz="0" w:space="0" w:color="auto"/>
        <w:bottom w:val="none" w:sz="0" w:space="0" w:color="auto"/>
        <w:right w:val="none" w:sz="0" w:space="0" w:color="auto"/>
      </w:divBdr>
    </w:div>
    <w:div w:id="955260023">
      <w:bodyDiv w:val="1"/>
      <w:marLeft w:val="0"/>
      <w:marRight w:val="0"/>
      <w:marTop w:val="0"/>
      <w:marBottom w:val="0"/>
      <w:divBdr>
        <w:top w:val="none" w:sz="0" w:space="0" w:color="auto"/>
        <w:left w:val="none" w:sz="0" w:space="0" w:color="auto"/>
        <w:bottom w:val="none" w:sz="0" w:space="0" w:color="auto"/>
        <w:right w:val="none" w:sz="0" w:space="0" w:color="auto"/>
      </w:divBdr>
    </w:div>
    <w:div w:id="973172594">
      <w:bodyDiv w:val="1"/>
      <w:marLeft w:val="0"/>
      <w:marRight w:val="0"/>
      <w:marTop w:val="0"/>
      <w:marBottom w:val="0"/>
      <w:divBdr>
        <w:top w:val="none" w:sz="0" w:space="0" w:color="auto"/>
        <w:left w:val="none" w:sz="0" w:space="0" w:color="auto"/>
        <w:bottom w:val="none" w:sz="0" w:space="0" w:color="auto"/>
        <w:right w:val="none" w:sz="0" w:space="0" w:color="auto"/>
      </w:divBdr>
      <w:divsChild>
        <w:div w:id="445078025">
          <w:marLeft w:val="0"/>
          <w:marRight w:val="0"/>
          <w:marTop w:val="0"/>
          <w:marBottom w:val="0"/>
          <w:divBdr>
            <w:top w:val="single" w:sz="2" w:space="0" w:color="E5E7EB"/>
            <w:left w:val="single" w:sz="2" w:space="0" w:color="E5E7EB"/>
            <w:bottom w:val="single" w:sz="2" w:space="0" w:color="E5E7EB"/>
            <w:right w:val="single" w:sz="2" w:space="0" w:color="E5E7EB"/>
          </w:divBdr>
          <w:divsChild>
            <w:div w:id="1131824540">
              <w:marLeft w:val="0"/>
              <w:marRight w:val="0"/>
              <w:marTop w:val="0"/>
              <w:marBottom w:val="0"/>
              <w:divBdr>
                <w:top w:val="single" w:sz="2" w:space="0" w:color="E5E7EB"/>
                <w:left w:val="single" w:sz="2" w:space="0" w:color="E5E7EB"/>
                <w:bottom w:val="single" w:sz="2" w:space="0" w:color="E5E7EB"/>
                <w:right w:val="single" w:sz="2" w:space="0" w:color="E5E7EB"/>
              </w:divBdr>
              <w:divsChild>
                <w:div w:id="746464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5354936">
      <w:bodyDiv w:val="1"/>
      <w:marLeft w:val="0"/>
      <w:marRight w:val="0"/>
      <w:marTop w:val="0"/>
      <w:marBottom w:val="0"/>
      <w:divBdr>
        <w:top w:val="none" w:sz="0" w:space="0" w:color="auto"/>
        <w:left w:val="none" w:sz="0" w:space="0" w:color="auto"/>
        <w:bottom w:val="none" w:sz="0" w:space="0" w:color="auto"/>
        <w:right w:val="none" w:sz="0" w:space="0" w:color="auto"/>
      </w:divBdr>
      <w:divsChild>
        <w:div w:id="545025647">
          <w:marLeft w:val="0"/>
          <w:marRight w:val="0"/>
          <w:marTop w:val="0"/>
          <w:marBottom w:val="0"/>
          <w:divBdr>
            <w:top w:val="single" w:sz="2" w:space="0" w:color="E5E7EB"/>
            <w:left w:val="single" w:sz="2" w:space="0" w:color="E5E7EB"/>
            <w:bottom w:val="single" w:sz="2" w:space="0" w:color="E5E7EB"/>
            <w:right w:val="single" w:sz="2" w:space="0" w:color="E5E7EB"/>
          </w:divBdr>
          <w:divsChild>
            <w:div w:id="109976485">
              <w:marLeft w:val="0"/>
              <w:marRight w:val="0"/>
              <w:marTop w:val="0"/>
              <w:marBottom w:val="0"/>
              <w:divBdr>
                <w:top w:val="single" w:sz="2" w:space="0" w:color="E5E7EB"/>
                <w:left w:val="single" w:sz="2" w:space="0" w:color="E5E7EB"/>
                <w:bottom w:val="single" w:sz="2" w:space="0" w:color="E5E7EB"/>
                <w:right w:val="single" w:sz="2" w:space="0" w:color="E5E7EB"/>
              </w:divBdr>
              <w:divsChild>
                <w:div w:id="5143436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91449050">
      <w:bodyDiv w:val="1"/>
      <w:marLeft w:val="0"/>
      <w:marRight w:val="0"/>
      <w:marTop w:val="0"/>
      <w:marBottom w:val="0"/>
      <w:divBdr>
        <w:top w:val="none" w:sz="0" w:space="0" w:color="auto"/>
        <w:left w:val="none" w:sz="0" w:space="0" w:color="auto"/>
        <w:bottom w:val="none" w:sz="0" w:space="0" w:color="auto"/>
        <w:right w:val="none" w:sz="0" w:space="0" w:color="auto"/>
      </w:divBdr>
      <w:divsChild>
        <w:div w:id="1423986828">
          <w:marLeft w:val="0"/>
          <w:marRight w:val="0"/>
          <w:marTop w:val="0"/>
          <w:marBottom w:val="0"/>
          <w:divBdr>
            <w:top w:val="single" w:sz="2" w:space="0" w:color="E5E7EB"/>
            <w:left w:val="single" w:sz="2" w:space="0" w:color="E5E7EB"/>
            <w:bottom w:val="single" w:sz="2" w:space="0" w:color="E5E7EB"/>
            <w:right w:val="single" w:sz="2" w:space="0" w:color="E5E7EB"/>
          </w:divBdr>
          <w:divsChild>
            <w:div w:id="477579551">
              <w:marLeft w:val="0"/>
              <w:marRight w:val="0"/>
              <w:marTop w:val="0"/>
              <w:marBottom w:val="0"/>
              <w:divBdr>
                <w:top w:val="single" w:sz="2" w:space="0" w:color="E5E7EB"/>
                <w:left w:val="single" w:sz="2" w:space="0" w:color="E5E7EB"/>
                <w:bottom w:val="single" w:sz="2" w:space="0" w:color="E5E7EB"/>
                <w:right w:val="single" w:sz="2" w:space="0" w:color="E5E7EB"/>
              </w:divBdr>
              <w:divsChild>
                <w:div w:id="13812498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96761716">
      <w:bodyDiv w:val="1"/>
      <w:marLeft w:val="0"/>
      <w:marRight w:val="0"/>
      <w:marTop w:val="0"/>
      <w:marBottom w:val="0"/>
      <w:divBdr>
        <w:top w:val="none" w:sz="0" w:space="0" w:color="auto"/>
        <w:left w:val="none" w:sz="0" w:space="0" w:color="auto"/>
        <w:bottom w:val="none" w:sz="0" w:space="0" w:color="auto"/>
        <w:right w:val="none" w:sz="0" w:space="0" w:color="auto"/>
      </w:divBdr>
    </w:div>
    <w:div w:id="997729455">
      <w:bodyDiv w:val="1"/>
      <w:marLeft w:val="0"/>
      <w:marRight w:val="0"/>
      <w:marTop w:val="0"/>
      <w:marBottom w:val="0"/>
      <w:divBdr>
        <w:top w:val="none" w:sz="0" w:space="0" w:color="auto"/>
        <w:left w:val="none" w:sz="0" w:space="0" w:color="auto"/>
        <w:bottom w:val="none" w:sz="0" w:space="0" w:color="auto"/>
        <w:right w:val="none" w:sz="0" w:space="0" w:color="auto"/>
      </w:divBdr>
      <w:divsChild>
        <w:div w:id="2121143085">
          <w:marLeft w:val="0"/>
          <w:marRight w:val="0"/>
          <w:marTop w:val="0"/>
          <w:marBottom w:val="0"/>
          <w:divBdr>
            <w:top w:val="single" w:sz="2" w:space="0" w:color="E5E7EB"/>
            <w:left w:val="single" w:sz="2" w:space="0" w:color="E5E7EB"/>
            <w:bottom w:val="single" w:sz="2" w:space="0" w:color="E5E7EB"/>
            <w:right w:val="single" w:sz="2" w:space="0" w:color="E5E7EB"/>
          </w:divBdr>
          <w:divsChild>
            <w:div w:id="1858158907">
              <w:marLeft w:val="0"/>
              <w:marRight w:val="0"/>
              <w:marTop w:val="0"/>
              <w:marBottom w:val="0"/>
              <w:divBdr>
                <w:top w:val="single" w:sz="2" w:space="0" w:color="E5E7EB"/>
                <w:left w:val="single" w:sz="2" w:space="0" w:color="E5E7EB"/>
                <w:bottom w:val="single" w:sz="2" w:space="0" w:color="E5E7EB"/>
                <w:right w:val="single" w:sz="2" w:space="0" w:color="E5E7EB"/>
              </w:divBdr>
              <w:divsChild>
                <w:div w:id="28385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07445228">
      <w:bodyDiv w:val="1"/>
      <w:marLeft w:val="0"/>
      <w:marRight w:val="0"/>
      <w:marTop w:val="0"/>
      <w:marBottom w:val="0"/>
      <w:divBdr>
        <w:top w:val="none" w:sz="0" w:space="0" w:color="auto"/>
        <w:left w:val="none" w:sz="0" w:space="0" w:color="auto"/>
        <w:bottom w:val="none" w:sz="0" w:space="0" w:color="auto"/>
        <w:right w:val="none" w:sz="0" w:space="0" w:color="auto"/>
      </w:divBdr>
    </w:div>
    <w:div w:id="1012685872">
      <w:bodyDiv w:val="1"/>
      <w:marLeft w:val="0"/>
      <w:marRight w:val="0"/>
      <w:marTop w:val="0"/>
      <w:marBottom w:val="0"/>
      <w:divBdr>
        <w:top w:val="none" w:sz="0" w:space="0" w:color="auto"/>
        <w:left w:val="none" w:sz="0" w:space="0" w:color="auto"/>
        <w:bottom w:val="none" w:sz="0" w:space="0" w:color="auto"/>
        <w:right w:val="none" w:sz="0" w:space="0" w:color="auto"/>
      </w:divBdr>
      <w:divsChild>
        <w:div w:id="911161590">
          <w:marLeft w:val="0"/>
          <w:marRight w:val="0"/>
          <w:marTop w:val="0"/>
          <w:marBottom w:val="0"/>
          <w:divBdr>
            <w:top w:val="single" w:sz="2" w:space="0" w:color="E5E7EB"/>
            <w:left w:val="single" w:sz="2" w:space="0" w:color="E5E7EB"/>
            <w:bottom w:val="single" w:sz="2" w:space="0" w:color="E5E7EB"/>
            <w:right w:val="single" w:sz="2" w:space="0" w:color="E5E7EB"/>
          </w:divBdr>
          <w:divsChild>
            <w:div w:id="1725372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6565790">
      <w:bodyDiv w:val="1"/>
      <w:marLeft w:val="0"/>
      <w:marRight w:val="0"/>
      <w:marTop w:val="0"/>
      <w:marBottom w:val="0"/>
      <w:divBdr>
        <w:top w:val="none" w:sz="0" w:space="0" w:color="auto"/>
        <w:left w:val="none" w:sz="0" w:space="0" w:color="auto"/>
        <w:bottom w:val="none" w:sz="0" w:space="0" w:color="auto"/>
        <w:right w:val="none" w:sz="0" w:space="0" w:color="auto"/>
      </w:divBdr>
    </w:div>
    <w:div w:id="1038815449">
      <w:bodyDiv w:val="1"/>
      <w:marLeft w:val="0"/>
      <w:marRight w:val="0"/>
      <w:marTop w:val="0"/>
      <w:marBottom w:val="0"/>
      <w:divBdr>
        <w:top w:val="none" w:sz="0" w:space="0" w:color="auto"/>
        <w:left w:val="none" w:sz="0" w:space="0" w:color="auto"/>
        <w:bottom w:val="none" w:sz="0" w:space="0" w:color="auto"/>
        <w:right w:val="none" w:sz="0" w:space="0" w:color="auto"/>
      </w:divBdr>
    </w:div>
    <w:div w:id="1039627502">
      <w:bodyDiv w:val="1"/>
      <w:marLeft w:val="0"/>
      <w:marRight w:val="0"/>
      <w:marTop w:val="0"/>
      <w:marBottom w:val="0"/>
      <w:divBdr>
        <w:top w:val="none" w:sz="0" w:space="0" w:color="auto"/>
        <w:left w:val="none" w:sz="0" w:space="0" w:color="auto"/>
        <w:bottom w:val="none" w:sz="0" w:space="0" w:color="auto"/>
        <w:right w:val="none" w:sz="0" w:space="0" w:color="auto"/>
      </w:divBdr>
    </w:div>
    <w:div w:id="1075709193">
      <w:bodyDiv w:val="1"/>
      <w:marLeft w:val="0"/>
      <w:marRight w:val="0"/>
      <w:marTop w:val="0"/>
      <w:marBottom w:val="0"/>
      <w:divBdr>
        <w:top w:val="none" w:sz="0" w:space="0" w:color="auto"/>
        <w:left w:val="none" w:sz="0" w:space="0" w:color="auto"/>
        <w:bottom w:val="none" w:sz="0" w:space="0" w:color="auto"/>
        <w:right w:val="none" w:sz="0" w:space="0" w:color="auto"/>
      </w:divBdr>
      <w:divsChild>
        <w:div w:id="1870413430">
          <w:marLeft w:val="0"/>
          <w:marRight w:val="0"/>
          <w:marTop w:val="0"/>
          <w:marBottom w:val="0"/>
          <w:divBdr>
            <w:top w:val="single" w:sz="2" w:space="0" w:color="E5E7EB"/>
            <w:left w:val="single" w:sz="2" w:space="0" w:color="E5E7EB"/>
            <w:bottom w:val="single" w:sz="2" w:space="0" w:color="E5E7EB"/>
            <w:right w:val="single" w:sz="2" w:space="0" w:color="E5E7EB"/>
          </w:divBdr>
          <w:divsChild>
            <w:div w:id="983510012">
              <w:marLeft w:val="0"/>
              <w:marRight w:val="0"/>
              <w:marTop w:val="0"/>
              <w:marBottom w:val="0"/>
              <w:divBdr>
                <w:top w:val="single" w:sz="2" w:space="0" w:color="E5E7EB"/>
                <w:left w:val="single" w:sz="2" w:space="0" w:color="E5E7EB"/>
                <w:bottom w:val="single" w:sz="2" w:space="0" w:color="E5E7EB"/>
                <w:right w:val="single" w:sz="2" w:space="0" w:color="E5E7EB"/>
              </w:divBdr>
              <w:divsChild>
                <w:div w:id="1194659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83068348">
      <w:bodyDiv w:val="1"/>
      <w:marLeft w:val="0"/>
      <w:marRight w:val="0"/>
      <w:marTop w:val="0"/>
      <w:marBottom w:val="0"/>
      <w:divBdr>
        <w:top w:val="none" w:sz="0" w:space="0" w:color="auto"/>
        <w:left w:val="none" w:sz="0" w:space="0" w:color="auto"/>
        <w:bottom w:val="none" w:sz="0" w:space="0" w:color="auto"/>
        <w:right w:val="none" w:sz="0" w:space="0" w:color="auto"/>
      </w:divBdr>
      <w:divsChild>
        <w:div w:id="607547355">
          <w:marLeft w:val="0"/>
          <w:marRight w:val="0"/>
          <w:marTop w:val="0"/>
          <w:marBottom w:val="0"/>
          <w:divBdr>
            <w:top w:val="single" w:sz="2" w:space="0" w:color="E5E7EB"/>
            <w:left w:val="single" w:sz="2" w:space="0" w:color="E5E7EB"/>
            <w:bottom w:val="single" w:sz="2" w:space="0" w:color="E5E7EB"/>
            <w:right w:val="single" w:sz="2" w:space="0" w:color="E5E7EB"/>
          </w:divBdr>
          <w:divsChild>
            <w:div w:id="144856861">
              <w:marLeft w:val="0"/>
              <w:marRight w:val="0"/>
              <w:marTop w:val="0"/>
              <w:marBottom w:val="0"/>
              <w:divBdr>
                <w:top w:val="single" w:sz="2" w:space="0" w:color="E5E7EB"/>
                <w:left w:val="single" w:sz="2" w:space="0" w:color="E5E7EB"/>
                <w:bottom w:val="single" w:sz="2" w:space="0" w:color="E5E7EB"/>
                <w:right w:val="single" w:sz="2" w:space="0" w:color="E5E7EB"/>
              </w:divBdr>
              <w:divsChild>
                <w:div w:id="405566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84910376">
      <w:bodyDiv w:val="1"/>
      <w:marLeft w:val="0"/>
      <w:marRight w:val="0"/>
      <w:marTop w:val="0"/>
      <w:marBottom w:val="0"/>
      <w:divBdr>
        <w:top w:val="none" w:sz="0" w:space="0" w:color="auto"/>
        <w:left w:val="none" w:sz="0" w:space="0" w:color="auto"/>
        <w:bottom w:val="none" w:sz="0" w:space="0" w:color="auto"/>
        <w:right w:val="none" w:sz="0" w:space="0" w:color="auto"/>
      </w:divBdr>
    </w:div>
    <w:div w:id="1085032862">
      <w:bodyDiv w:val="1"/>
      <w:marLeft w:val="0"/>
      <w:marRight w:val="0"/>
      <w:marTop w:val="0"/>
      <w:marBottom w:val="0"/>
      <w:divBdr>
        <w:top w:val="none" w:sz="0" w:space="0" w:color="auto"/>
        <w:left w:val="none" w:sz="0" w:space="0" w:color="auto"/>
        <w:bottom w:val="none" w:sz="0" w:space="0" w:color="auto"/>
        <w:right w:val="none" w:sz="0" w:space="0" w:color="auto"/>
      </w:divBdr>
    </w:div>
    <w:div w:id="1093353381">
      <w:bodyDiv w:val="1"/>
      <w:marLeft w:val="0"/>
      <w:marRight w:val="0"/>
      <w:marTop w:val="0"/>
      <w:marBottom w:val="0"/>
      <w:divBdr>
        <w:top w:val="none" w:sz="0" w:space="0" w:color="auto"/>
        <w:left w:val="none" w:sz="0" w:space="0" w:color="auto"/>
        <w:bottom w:val="none" w:sz="0" w:space="0" w:color="auto"/>
        <w:right w:val="none" w:sz="0" w:space="0" w:color="auto"/>
      </w:divBdr>
      <w:divsChild>
        <w:div w:id="154613142">
          <w:marLeft w:val="0"/>
          <w:marRight w:val="0"/>
          <w:marTop w:val="0"/>
          <w:marBottom w:val="0"/>
          <w:divBdr>
            <w:top w:val="single" w:sz="2" w:space="0" w:color="E5E7EB"/>
            <w:left w:val="single" w:sz="2" w:space="0" w:color="E5E7EB"/>
            <w:bottom w:val="single" w:sz="2" w:space="0" w:color="E5E7EB"/>
            <w:right w:val="single" w:sz="2" w:space="0" w:color="E5E7EB"/>
          </w:divBdr>
          <w:divsChild>
            <w:div w:id="467091577">
              <w:marLeft w:val="0"/>
              <w:marRight w:val="0"/>
              <w:marTop w:val="0"/>
              <w:marBottom w:val="0"/>
              <w:divBdr>
                <w:top w:val="single" w:sz="2" w:space="0" w:color="E5E7EB"/>
                <w:left w:val="single" w:sz="2" w:space="0" w:color="E5E7EB"/>
                <w:bottom w:val="single" w:sz="2" w:space="0" w:color="E5E7EB"/>
                <w:right w:val="single" w:sz="2" w:space="0" w:color="E5E7EB"/>
              </w:divBdr>
              <w:divsChild>
                <w:div w:id="1291545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95437063">
      <w:bodyDiv w:val="1"/>
      <w:marLeft w:val="0"/>
      <w:marRight w:val="0"/>
      <w:marTop w:val="0"/>
      <w:marBottom w:val="0"/>
      <w:divBdr>
        <w:top w:val="none" w:sz="0" w:space="0" w:color="auto"/>
        <w:left w:val="none" w:sz="0" w:space="0" w:color="auto"/>
        <w:bottom w:val="none" w:sz="0" w:space="0" w:color="auto"/>
        <w:right w:val="none" w:sz="0" w:space="0" w:color="auto"/>
      </w:divBdr>
      <w:divsChild>
        <w:div w:id="1642537171">
          <w:marLeft w:val="0"/>
          <w:marRight w:val="0"/>
          <w:marTop w:val="0"/>
          <w:marBottom w:val="0"/>
          <w:divBdr>
            <w:top w:val="single" w:sz="2" w:space="0" w:color="E5E7EB"/>
            <w:left w:val="single" w:sz="2" w:space="0" w:color="E5E7EB"/>
            <w:bottom w:val="single" w:sz="2" w:space="0" w:color="E5E7EB"/>
            <w:right w:val="single" w:sz="2" w:space="0" w:color="E5E7EB"/>
          </w:divBdr>
          <w:divsChild>
            <w:div w:id="530383871">
              <w:marLeft w:val="0"/>
              <w:marRight w:val="0"/>
              <w:marTop w:val="0"/>
              <w:marBottom w:val="0"/>
              <w:divBdr>
                <w:top w:val="single" w:sz="2" w:space="0" w:color="E5E7EB"/>
                <w:left w:val="single" w:sz="2" w:space="0" w:color="E5E7EB"/>
                <w:bottom w:val="single" w:sz="2" w:space="0" w:color="E5E7EB"/>
                <w:right w:val="single" w:sz="2" w:space="0" w:color="E5E7EB"/>
              </w:divBdr>
              <w:divsChild>
                <w:div w:id="88694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03917253">
      <w:bodyDiv w:val="1"/>
      <w:marLeft w:val="0"/>
      <w:marRight w:val="0"/>
      <w:marTop w:val="0"/>
      <w:marBottom w:val="0"/>
      <w:divBdr>
        <w:top w:val="none" w:sz="0" w:space="0" w:color="auto"/>
        <w:left w:val="none" w:sz="0" w:space="0" w:color="auto"/>
        <w:bottom w:val="none" w:sz="0" w:space="0" w:color="auto"/>
        <w:right w:val="none" w:sz="0" w:space="0" w:color="auto"/>
      </w:divBdr>
    </w:div>
    <w:div w:id="1104230455">
      <w:bodyDiv w:val="1"/>
      <w:marLeft w:val="0"/>
      <w:marRight w:val="0"/>
      <w:marTop w:val="0"/>
      <w:marBottom w:val="0"/>
      <w:divBdr>
        <w:top w:val="none" w:sz="0" w:space="0" w:color="auto"/>
        <w:left w:val="none" w:sz="0" w:space="0" w:color="auto"/>
        <w:bottom w:val="none" w:sz="0" w:space="0" w:color="auto"/>
        <w:right w:val="none" w:sz="0" w:space="0" w:color="auto"/>
      </w:divBdr>
      <w:divsChild>
        <w:div w:id="1021278728">
          <w:marLeft w:val="0"/>
          <w:marRight w:val="0"/>
          <w:marTop w:val="0"/>
          <w:marBottom w:val="0"/>
          <w:divBdr>
            <w:top w:val="single" w:sz="2" w:space="0" w:color="E5E7EB"/>
            <w:left w:val="single" w:sz="2" w:space="0" w:color="E5E7EB"/>
            <w:bottom w:val="single" w:sz="2" w:space="0" w:color="E5E7EB"/>
            <w:right w:val="single" w:sz="2" w:space="0" w:color="E5E7EB"/>
          </w:divBdr>
          <w:divsChild>
            <w:div w:id="1766419438">
              <w:marLeft w:val="0"/>
              <w:marRight w:val="0"/>
              <w:marTop w:val="0"/>
              <w:marBottom w:val="0"/>
              <w:divBdr>
                <w:top w:val="single" w:sz="2" w:space="0" w:color="E5E7EB"/>
                <w:left w:val="single" w:sz="2" w:space="0" w:color="E5E7EB"/>
                <w:bottom w:val="single" w:sz="2" w:space="0" w:color="E5E7EB"/>
                <w:right w:val="single" w:sz="2" w:space="0" w:color="E5E7EB"/>
              </w:divBdr>
              <w:divsChild>
                <w:div w:id="113061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24350169">
      <w:bodyDiv w:val="1"/>
      <w:marLeft w:val="0"/>
      <w:marRight w:val="0"/>
      <w:marTop w:val="0"/>
      <w:marBottom w:val="0"/>
      <w:divBdr>
        <w:top w:val="none" w:sz="0" w:space="0" w:color="auto"/>
        <w:left w:val="none" w:sz="0" w:space="0" w:color="auto"/>
        <w:bottom w:val="none" w:sz="0" w:space="0" w:color="auto"/>
        <w:right w:val="none" w:sz="0" w:space="0" w:color="auto"/>
      </w:divBdr>
      <w:divsChild>
        <w:div w:id="3479986">
          <w:marLeft w:val="0"/>
          <w:marRight w:val="0"/>
          <w:marTop w:val="0"/>
          <w:marBottom w:val="0"/>
          <w:divBdr>
            <w:top w:val="single" w:sz="2" w:space="0" w:color="E5E7EB"/>
            <w:left w:val="single" w:sz="2" w:space="0" w:color="E5E7EB"/>
            <w:bottom w:val="single" w:sz="2" w:space="0" w:color="E5E7EB"/>
            <w:right w:val="single" w:sz="2" w:space="0" w:color="E5E7EB"/>
          </w:divBdr>
          <w:divsChild>
            <w:div w:id="124735647">
              <w:marLeft w:val="0"/>
              <w:marRight w:val="0"/>
              <w:marTop w:val="0"/>
              <w:marBottom w:val="0"/>
              <w:divBdr>
                <w:top w:val="single" w:sz="2" w:space="0" w:color="E5E7EB"/>
                <w:left w:val="single" w:sz="2" w:space="0" w:color="E5E7EB"/>
                <w:bottom w:val="single" w:sz="2" w:space="0" w:color="E5E7EB"/>
                <w:right w:val="single" w:sz="2" w:space="0" w:color="E5E7EB"/>
              </w:divBdr>
              <w:divsChild>
                <w:div w:id="729303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5777594">
      <w:bodyDiv w:val="1"/>
      <w:marLeft w:val="0"/>
      <w:marRight w:val="0"/>
      <w:marTop w:val="0"/>
      <w:marBottom w:val="0"/>
      <w:divBdr>
        <w:top w:val="none" w:sz="0" w:space="0" w:color="auto"/>
        <w:left w:val="none" w:sz="0" w:space="0" w:color="auto"/>
        <w:bottom w:val="none" w:sz="0" w:space="0" w:color="auto"/>
        <w:right w:val="none" w:sz="0" w:space="0" w:color="auto"/>
      </w:divBdr>
    </w:div>
    <w:div w:id="1174227884">
      <w:bodyDiv w:val="1"/>
      <w:marLeft w:val="0"/>
      <w:marRight w:val="0"/>
      <w:marTop w:val="0"/>
      <w:marBottom w:val="0"/>
      <w:divBdr>
        <w:top w:val="none" w:sz="0" w:space="0" w:color="auto"/>
        <w:left w:val="none" w:sz="0" w:space="0" w:color="auto"/>
        <w:bottom w:val="none" w:sz="0" w:space="0" w:color="auto"/>
        <w:right w:val="none" w:sz="0" w:space="0" w:color="auto"/>
      </w:divBdr>
    </w:div>
    <w:div w:id="1182012847">
      <w:bodyDiv w:val="1"/>
      <w:marLeft w:val="0"/>
      <w:marRight w:val="0"/>
      <w:marTop w:val="0"/>
      <w:marBottom w:val="0"/>
      <w:divBdr>
        <w:top w:val="none" w:sz="0" w:space="0" w:color="auto"/>
        <w:left w:val="none" w:sz="0" w:space="0" w:color="auto"/>
        <w:bottom w:val="none" w:sz="0" w:space="0" w:color="auto"/>
        <w:right w:val="none" w:sz="0" w:space="0" w:color="auto"/>
      </w:divBdr>
    </w:div>
    <w:div w:id="1201087878">
      <w:bodyDiv w:val="1"/>
      <w:marLeft w:val="0"/>
      <w:marRight w:val="0"/>
      <w:marTop w:val="0"/>
      <w:marBottom w:val="0"/>
      <w:divBdr>
        <w:top w:val="none" w:sz="0" w:space="0" w:color="auto"/>
        <w:left w:val="none" w:sz="0" w:space="0" w:color="auto"/>
        <w:bottom w:val="none" w:sz="0" w:space="0" w:color="auto"/>
        <w:right w:val="none" w:sz="0" w:space="0" w:color="auto"/>
      </w:divBdr>
      <w:divsChild>
        <w:div w:id="2017534620">
          <w:marLeft w:val="0"/>
          <w:marRight w:val="0"/>
          <w:marTop w:val="0"/>
          <w:marBottom w:val="0"/>
          <w:divBdr>
            <w:top w:val="single" w:sz="2" w:space="0" w:color="E5E7EB"/>
            <w:left w:val="single" w:sz="2" w:space="0" w:color="E5E7EB"/>
            <w:bottom w:val="single" w:sz="2" w:space="0" w:color="E5E7EB"/>
            <w:right w:val="single" w:sz="2" w:space="0" w:color="E5E7EB"/>
          </w:divBdr>
          <w:divsChild>
            <w:div w:id="2003505743">
              <w:marLeft w:val="0"/>
              <w:marRight w:val="0"/>
              <w:marTop w:val="0"/>
              <w:marBottom w:val="0"/>
              <w:divBdr>
                <w:top w:val="single" w:sz="2" w:space="0" w:color="E5E7EB"/>
                <w:left w:val="single" w:sz="2" w:space="0" w:color="E5E7EB"/>
                <w:bottom w:val="single" w:sz="2" w:space="0" w:color="E5E7EB"/>
                <w:right w:val="single" w:sz="2" w:space="0" w:color="E5E7EB"/>
              </w:divBdr>
              <w:divsChild>
                <w:div w:id="1365791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01555655">
      <w:bodyDiv w:val="1"/>
      <w:marLeft w:val="0"/>
      <w:marRight w:val="0"/>
      <w:marTop w:val="0"/>
      <w:marBottom w:val="0"/>
      <w:divBdr>
        <w:top w:val="none" w:sz="0" w:space="0" w:color="auto"/>
        <w:left w:val="none" w:sz="0" w:space="0" w:color="auto"/>
        <w:bottom w:val="none" w:sz="0" w:space="0" w:color="auto"/>
        <w:right w:val="none" w:sz="0" w:space="0" w:color="auto"/>
      </w:divBdr>
    </w:div>
    <w:div w:id="1249997037">
      <w:bodyDiv w:val="1"/>
      <w:marLeft w:val="0"/>
      <w:marRight w:val="0"/>
      <w:marTop w:val="0"/>
      <w:marBottom w:val="0"/>
      <w:divBdr>
        <w:top w:val="none" w:sz="0" w:space="0" w:color="auto"/>
        <w:left w:val="none" w:sz="0" w:space="0" w:color="auto"/>
        <w:bottom w:val="none" w:sz="0" w:space="0" w:color="auto"/>
        <w:right w:val="none" w:sz="0" w:space="0" w:color="auto"/>
      </w:divBdr>
    </w:div>
    <w:div w:id="1254976419">
      <w:bodyDiv w:val="1"/>
      <w:marLeft w:val="0"/>
      <w:marRight w:val="0"/>
      <w:marTop w:val="0"/>
      <w:marBottom w:val="0"/>
      <w:divBdr>
        <w:top w:val="none" w:sz="0" w:space="0" w:color="auto"/>
        <w:left w:val="none" w:sz="0" w:space="0" w:color="auto"/>
        <w:bottom w:val="none" w:sz="0" w:space="0" w:color="auto"/>
        <w:right w:val="none" w:sz="0" w:space="0" w:color="auto"/>
      </w:divBdr>
    </w:div>
    <w:div w:id="1256548976">
      <w:bodyDiv w:val="1"/>
      <w:marLeft w:val="0"/>
      <w:marRight w:val="0"/>
      <w:marTop w:val="0"/>
      <w:marBottom w:val="0"/>
      <w:divBdr>
        <w:top w:val="none" w:sz="0" w:space="0" w:color="auto"/>
        <w:left w:val="none" w:sz="0" w:space="0" w:color="auto"/>
        <w:bottom w:val="none" w:sz="0" w:space="0" w:color="auto"/>
        <w:right w:val="none" w:sz="0" w:space="0" w:color="auto"/>
      </w:divBdr>
    </w:div>
    <w:div w:id="1274821737">
      <w:bodyDiv w:val="1"/>
      <w:marLeft w:val="0"/>
      <w:marRight w:val="0"/>
      <w:marTop w:val="0"/>
      <w:marBottom w:val="0"/>
      <w:divBdr>
        <w:top w:val="none" w:sz="0" w:space="0" w:color="auto"/>
        <w:left w:val="none" w:sz="0" w:space="0" w:color="auto"/>
        <w:bottom w:val="none" w:sz="0" w:space="0" w:color="auto"/>
        <w:right w:val="none" w:sz="0" w:space="0" w:color="auto"/>
      </w:divBdr>
    </w:div>
    <w:div w:id="1281838201">
      <w:bodyDiv w:val="1"/>
      <w:marLeft w:val="0"/>
      <w:marRight w:val="0"/>
      <w:marTop w:val="0"/>
      <w:marBottom w:val="0"/>
      <w:divBdr>
        <w:top w:val="none" w:sz="0" w:space="0" w:color="auto"/>
        <w:left w:val="none" w:sz="0" w:space="0" w:color="auto"/>
        <w:bottom w:val="none" w:sz="0" w:space="0" w:color="auto"/>
        <w:right w:val="none" w:sz="0" w:space="0" w:color="auto"/>
      </w:divBdr>
    </w:div>
    <w:div w:id="1290626660">
      <w:bodyDiv w:val="1"/>
      <w:marLeft w:val="0"/>
      <w:marRight w:val="0"/>
      <w:marTop w:val="0"/>
      <w:marBottom w:val="0"/>
      <w:divBdr>
        <w:top w:val="none" w:sz="0" w:space="0" w:color="auto"/>
        <w:left w:val="none" w:sz="0" w:space="0" w:color="auto"/>
        <w:bottom w:val="none" w:sz="0" w:space="0" w:color="auto"/>
        <w:right w:val="none" w:sz="0" w:space="0" w:color="auto"/>
      </w:divBdr>
    </w:div>
    <w:div w:id="1323042872">
      <w:bodyDiv w:val="1"/>
      <w:marLeft w:val="0"/>
      <w:marRight w:val="0"/>
      <w:marTop w:val="0"/>
      <w:marBottom w:val="0"/>
      <w:divBdr>
        <w:top w:val="none" w:sz="0" w:space="0" w:color="auto"/>
        <w:left w:val="none" w:sz="0" w:space="0" w:color="auto"/>
        <w:bottom w:val="none" w:sz="0" w:space="0" w:color="auto"/>
        <w:right w:val="none" w:sz="0" w:space="0" w:color="auto"/>
      </w:divBdr>
    </w:div>
    <w:div w:id="1328634038">
      <w:bodyDiv w:val="1"/>
      <w:marLeft w:val="0"/>
      <w:marRight w:val="0"/>
      <w:marTop w:val="0"/>
      <w:marBottom w:val="0"/>
      <w:divBdr>
        <w:top w:val="none" w:sz="0" w:space="0" w:color="auto"/>
        <w:left w:val="none" w:sz="0" w:space="0" w:color="auto"/>
        <w:bottom w:val="none" w:sz="0" w:space="0" w:color="auto"/>
        <w:right w:val="none" w:sz="0" w:space="0" w:color="auto"/>
      </w:divBdr>
    </w:div>
    <w:div w:id="1331717419">
      <w:bodyDiv w:val="1"/>
      <w:marLeft w:val="0"/>
      <w:marRight w:val="0"/>
      <w:marTop w:val="0"/>
      <w:marBottom w:val="0"/>
      <w:divBdr>
        <w:top w:val="none" w:sz="0" w:space="0" w:color="auto"/>
        <w:left w:val="none" w:sz="0" w:space="0" w:color="auto"/>
        <w:bottom w:val="none" w:sz="0" w:space="0" w:color="auto"/>
        <w:right w:val="none" w:sz="0" w:space="0" w:color="auto"/>
      </w:divBdr>
    </w:div>
    <w:div w:id="1335455880">
      <w:bodyDiv w:val="1"/>
      <w:marLeft w:val="0"/>
      <w:marRight w:val="0"/>
      <w:marTop w:val="0"/>
      <w:marBottom w:val="0"/>
      <w:divBdr>
        <w:top w:val="none" w:sz="0" w:space="0" w:color="auto"/>
        <w:left w:val="none" w:sz="0" w:space="0" w:color="auto"/>
        <w:bottom w:val="none" w:sz="0" w:space="0" w:color="auto"/>
        <w:right w:val="none" w:sz="0" w:space="0" w:color="auto"/>
      </w:divBdr>
    </w:div>
    <w:div w:id="1343555808">
      <w:bodyDiv w:val="1"/>
      <w:marLeft w:val="0"/>
      <w:marRight w:val="0"/>
      <w:marTop w:val="0"/>
      <w:marBottom w:val="0"/>
      <w:divBdr>
        <w:top w:val="none" w:sz="0" w:space="0" w:color="auto"/>
        <w:left w:val="none" w:sz="0" w:space="0" w:color="auto"/>
        <w:bottom w:val="none" w:sz="0" w:space="0" w:color="auto"/>
        <w:right w:val="none" w:sz="0" w:space="0" w:color="auto"/>
      </w:divBdr>
    </w:div>
    <w:div w:id="1366100034">
      <w:bodyDiv w:val="1"/>
      <w:marLeft w:val="0"/>
      <w:marRight w:val="0"/>
      <w:marTop w:val="0"/>
      <w:marBottom w:val="0"/>
      <w:divBdr>
        <w:top w:val="none" w:sz="0" w:space="0" w:color="auto"/>
        <w:left w:val="none" w:sz="0" w:space="0" w:color="auto"/>
        <w:bottom w:val="none" w:sz="0" w:space="0" w:color="auto"/>
        <w:right w:val="none" w:sz="0" w:space="0" w:color="auto"/>
      </w:divBdr>
      <w:divsChild>
        <w:div w:id="1379476668">
          <w:marLeft w:val="0"/>
          <w:marRight w:val="0"/>
          <w:marTop w:val="0"/>
          <w:marBottom w:val="0"/>
          <w:divBdr>
            <w:top w:val="single" w:sz="2" w:space="0" w:color="E5E7EB"/>
            <w:left w:val="single" w:sz="2" w:space="0" w:color="E5E7EB"/>
            <w:bottom w:val="single" w:sz="2" w:space="0" w:color="E5E7EB"/>
            <w:right w:val="single" w:sz="2" w:space="0" w:color="E5E7EB"/>
          </w:divBdr>
          <w:divsChild>
            <w:div w:id="435977093">
              <w:marLeft w:val="0"/>
              <w:marRight w:val="0"/>
              <w:marTop w:val="0"/>
              <w:marBottom w:val="0"/>
              <w:divBdr>
                <w:top w:val="single" w:sz="2" w:space="0" w:color="E5E7EB"/>
                <w:left w:val="single" w:sz="2" w:space="0" w:color="E5E7EB"/>
                <w:bottom w:val="single" w:sz="2" w:space="0" w:color="E5E7EB"/>
                <w:right w:val="single" w:sz="2" w:space="0" w:color="E5E7EB"/>
              </w:divBdr>
              <w:divsChild>
                <w:div w:id="13158424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80325491">
      <w:bodyDiv w:val="1"/>
      <w:marLeft w:val="0"/>
      <w:marRight w:val="0"/>
      <w:marTop w:val="0"/>
      <w:marBottom w:val="0"/>
      <w:divBdr>
        <w:top w:val="none" w:sz="0" w:space="0" w:color="auto"/>
        <w:left w:val="none" w:sz="0" w:space="0" w:color="auto"/>
        <w:bottom w:val="none" w:sz="0" w:space="0" w:color="auto"/>
        <w:right w:val="none" w:sz="0" w:space="0" w:color="auto"/>
      </w:divBdr>
    </w:div>
    <w:div w:id="1388526799">
      <w:bodyDiv w:val="1"/>
      <w:marLeft w:val="0"/>
      <w:marRight w:val="0"/>
      <w:marTop w:val="0"/>
      <w:marBottom w:val="0"/>
      <w:divBdr>
        <w:top w:val="none" w:sz="0" w:space="0" w:color="auto"/>
        <w:left w:val="none" w:sz="0" w:space="0" w:color="auto"/>
        <w:bottom w:val="none" w:sz="0" w:space="0" w:color="auto"/>
        <w:right w:val="none" w:sz="0" w:space="0" w:color="auto"/>
      </w:divBdr>
      <w:divsChild>
        <w:div w:id="308218492">
          <w:marLeft w:val="0"/>
          <w:marRight w:val="0"/>
          <w:marTop w:val="0"/>
          <w:marBottom w:val="0"/>
          <w:divBdr>
            <w:top w:val="single" w:sz="2" w:space="0" w:color="E5E7EB"/>
            <w:left w:val="single" w:sz="2" w:space="0" w:color="E5E7EB"/>
            <w:bottom w:val="single" w:sz="2" w:space="0" w:color="E5E7EB"/>
            <w:right w:val="single" w:sz="2" w:space="0" w:color="E5E7EB"/>
          </w:divBdr>
          <w:divsChild>
            <w:div w:id="1087459377">
              <w:marLeft w:val="0"/>
              <w:marRight w:val="0"/>
              <w:marTop w:val="0"/>
              <w:marBottom w:val="0"/>
              <w:divBdr>
                <w:top w:val="single" w:sz="2" w:space="0" w:color="E5E7EB"/>
                <w:left w:val="single" w:sz="2" w:space="0" w:color="E5E7EB"/>
                <w:bottom w:val="single" w:sz="2" w:space="0" w:color="E5E7EB"/>
                <w:right w:val="single" w:sz="2" w:space="0" w:color="E5E7EB"/>
              </w:divBdr>
              <w:divsChild>
                <w:div w:id="1253397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01055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1008">
          <w:marLeft w:val="0"/>
          <w:marRight w:val="0"/>
          <w:marTop w:val="0"/>
          <w:marBottom w:val="0"/>
          <w:divBdr>
            <w:top w:val="single" w:sz="2" w:space="0" w:color="E5E7EB"/>
            <w:left w:val="single" w:sz="2" w:space="0" w:color="E5E7EB"/>
            <w:bottom w:val="single" w:sz="2" w:space="0" w:color="E5E7EB"/>
            <w:right w:val="single" w:sz="2" w:space="0" w:color="E5E7EB"/>
          </w:divBdr>
          <w:divsChild>
            <w:div w:id="1573537402">
              <w:marLeft w:val="0"/>
              <w:marRight w:val="0"/>
              <w:marTop w:val="0"/>
              <w:marBottom w:val="0"/>
              <w:divBdr>
                <w:top w:val="single" w:sz="2" w:space="0" w:color="E5E7EB"/>
                <w:left w:val="single" w:sz="2" w:space="0" w:color="E5E7EB"/>
                <w:bottom w:val="single" w:sz="2" w:space="0" w:color="E5E7EB"/>
                <w:right w:val="single" w:sz="2" w:space="0" w:color="E5E7EB"/>
              </w:divBdr>
              <w:divsChild>
                <w:div w:id="1605844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02170692">
      <w:bodyDiv w:val="1"/>
      <w:marLeft w:val="0"/>
      <w:marRight w:val="0"/>
      <w:marTop w:val="0"/>
      <w:marBottom w:val="0"/>
      <w:divBdr>
        <w:top w:val="none" w:sz="0" w:space="0" w:color="auto"/>
        <w:left w:val="none" w:sz="0" w:space="0" w:color="auto"/>
        <w:bottom w:val="none" w:sz="0" w:space="0" w:color="auto"/>
        <w:right w:val="none" w:sz="0" w:space="0" w:color="auto"/>
      </w:divBdr>
      <w:divsChild>
        <w:div w:id="201283322">
          <w:marLeft w:val="0"/>
          <w:marRight w:val="0"/>
          <w:marTop w:val="0"/>
          <w:marBottom w:val="0"/>
          <w:divBdr>
            <w:top w:val="single" w:sz="2" w:space="0" w:color="E5E7EB"/>
            <w:left w:val="single" w:sz="2" w:space="0" w:color="E5E7EB"/>
            <w:bottom w:val="single" w:sz="2" w:space="0" w:color="E5E7EB"/>
            <w:right w:val="single" w:sz="2" w:space="0" w:color="E5E7EB"/>
          </w:divBdr>
          <w:divsChild>
            <w:div w:id="197591671">
              <w:marLeft w:val="0"/>
              <w:marRight w:val="0"/>
              <w:marTop w:val="0"/>
              <w:marBottom w:val="0"/>
              <w:divBdr>
                <w:top w:val="single" w:sz="2" w:space="0" w:color="E5E7EB"/>
                <w:left w:val="single" w:sz="2" w:space="0" w:color="E5E7EB"/>
                <w:bottom w:val="single" w:sz="2" w:space="0" w:color="E5E7EB"/>
                <w:right w:val="single" w:sz="2" w:space="0" w:color="E5E7EB"/>
              </w:divBdr>
              <w:divsChild>
                <w:div w:id="1392735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04181497">
      <w:bodyDiv w:val="1"/>
      <w:marLeft w:val="0"/>
      <w:marRight w:val="0"/>
      <w:marTop w:val="0"/>
      <w:marBottom w:val="0"/>
      <w:divBdr>
        <w:top w:val="none" w:sz="0" w:space="0" w:color="auto"/>
        <w:left w:val="none" w:sz="0" w:space="0" w:color="auto"/>
        <w:bottom w:val="none" w:sz="0" w:space="0" w:color="auto"/>
        <w:right w:val="none" w:sz="0" w:space="0" w:color="auto"/>
      </w:divBdr>
    </w:div>
    <w:div w:id="1423990548">
      <w:bodyDiv w:val="1"/>
      <w:marLeft w:val="0"/>
      <w:marRight w:val="0"/>
      <w:marTop w:val="0"/>
      <w:marBottom w:val="0"/>
      <w:divBdr>
        <w:top w:val="none" w:sz="0" w:space="0" w:color="auto"/>
        <w:left w:val="none" w:sz="0" w:space="0" w:color="auto"/>
        <w:bottom w:val="none" w:sz="0" w:space="0" w:color="auto"/>
        <w:right w:val="none" w:sz="0" w:space="0" w:color="auto"/>
      </w:divBdr>
      <w:divsChild>
        <w:div w:id="17244738">
          <w:marLeft w:val="0"/>
          <w:marRight w:val="0"/>
          <w:marTop w:val="0"/>
          <w:marBottom w:val="0"/>
          <w:divBdr>
            <w:top w:val="single" w:sz="2" w:space="0" w:color="E5E7EB"/>
            <w:left w:val="single" w:sz="2" w:space="0" w:color="E5E7EB"/>
            <w:bottom w:val="single" w:sz="2" w:space="0" w:color="E5E7EB"/>
            <w:right w:val="single" w:sz="2" w:space="0" w:color="E5E7EB"/>
          </w:divBdr>
          <w:divsChild>
            <w:div w:id="1341663922">
              <w:marLeft w:val="0"/>
              <w:marRight w:val="0"/>
              <w:marTop w:val="0"/>
              <w:marBottom w:val="0"/>
              <w:divBdr>
                <w:top w:val="single" w:sz="2" w:space="0" w:color="E5E7EB"/>
                <w:left w:val="single" w:sz="2" w:space="0" w:color="E5E7EB"/>
                <w:bottom w:val="single" w:sz="2" w:space="0" w:color="E5E7EB"/>
                <w:right w:val="single" w:sz="2" w:space="0" w:color="E5E7EB"/>
              </w:divBdr>
              <w:divsChild>
                <w:div w:id="16709115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37746180">
      <w:bodyDiv w:val="1"/>
      <w:marLeft w:val="0"/>
      <w:marRight w:val="0"/>
      <w:marTop w:val="0"/>
      <w:marBottom w:val="0"/>
      <w:divBdr>
        <w:top w:val="none" w:sz="0" w:space="0" w:color="auto"/>
        <w:left w:val="none" w:sz="0" w:space="0" w:color="auto"/>
        <w:bottom w:val="none" w:sz="0" w:space="0" w:color="auto"/>
        <w:right w:val="none" w:sz="0" w:space="0" w:color="auto"/>
      </w:divBdr>
      <w:divsChild>
        <w:div w:id="103352339">
          <w:marLeft w:val="0"/>
          <w:marRight w:val="0"/>
          <w:marTop w:val="0"/>
          <w:marBottom w:val="0"/>
          <w:divBdr>
            <w:top w:val="single" w:sz="2" w:space="0" w:color="E5E7EB"/>
            <w:left w:val="single" w:sz="2" w:space="0" w:color="E5E7EB"/>
            <w:bottom w:val="single" w:sz="2" w:space="0" w:color="E5E7EB"/>
            <w:right w:val="single" w:sz="2" w:space="0" w:color="E5E7EB"/>
          </w:divBdr>
          <w:divsChild>
            <w:div w:id="309020737">
              <w:marLeft w:val="0"/>
              <w:marRight w:val="0"/>
              <w:marTop w:val="0"/>
              <w:marBottom w:val="0"/>
              <w:divBdr>
                <w:top w:val="single" w:sz="2" w:space="0" w:color="E5E7EB"/>
                <w:left w:val="single" w:sz="2" w:space="0" w:color="E5E7EB"/>
                <w:bottom w:val="single" w:sz="2" w:space="0" w:color="E5E7EB"/>
                <w:right w:val="single" w:sz="2" w:space="0" w:color="E5E7EB"/>
              </w:divBdr>
              <w:divsChild>
                <w:div w:id="1038048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46388967">
      <w:bodyDiv w:val="1"/>
      <w:marLeft w:val="0"/>
      <w:marRight w:val="0"/>
      <w:marTop w:val="0"/>
      <w:marBottom w:val="0"/>
      <w:divBdr>
        <w:top w:val="none" w:sz="0" w:space="0" w:color="auto"/>
        <w:left w:val="none" w:sz="0" w:space="0" w:color="auto"/>
        <w:bottom w:val="none" w:sz="0" w:space="0" w:color="auto"/>
        <w:right w:val="none" w:sz="0" w:space="0" w:color="auto"/>
      </w:divBdr>
    </w:div>
    <w:div w:id="1518233594">
      <w:bodyDiv w:val="1"/>
      <w:marLeft w:val="0"/>
      <w:marRight w:val="0"/>
      <w:marTop w:val="0"/>
      <w:marBottom w:val="0"/>
      <w:divBdr>
        <w:top w:val="none" w:sz="0" w:space="0" w:color="auto"/>
        <w:left w:val="none" w:sz="0" w:space="0" w:color="auto"/>
        <w:bottom w:val="none" w:sz="0" w:space="0" w:color="auto"/>
        <w:right w:val="none" w:sz="0" w:space="0" w:color="auto"/>
      </w:divBdr>
    </w:div>
    <w:div w:id="1524900911">
      <w:bodyDiv w:val="1"/>
      <w:marLeft w:val="0"/>
      <w:marRight w:val="0"/>
      <w:marTop w:val="0"/>
      <w:marBottom w:val="0"/>
      <w:divBdr>
        <w:top w:val="none" w:sz="0" w:space="0" w:color="auto"/>
        <w:left w:val="none" w:sz="0" w:space="0" w:color="auto"/>
        <w:bottom w:val="none" w:sz="0" w:space="0" w:color="auto"/>
        <w:right w:val="none" w:sz="0" w:space="0" w:color="auto"/>
      </w:divBdr>
    </w:div>
    <w:div w:id="1529829142">
      <w:bodyDiv w:val="1"/>
      <w:marLeft w:val="0"/>
      <w:marRight w:val="0"/>
      <w:marTop w:val="0"/>
      <w:marBottom w:val="0"/>
      <w:divBdr>
        <w:top w:val="none" w:sz="0" w:space="0" w:color="auto"/>
        <w:left w:val="none" w:sz="0" w:space="0" w:color="auto"/>
        <w:bottom w:val="none" w:sz="0" w:space="0" w:color="auto"/>
        <w:right w:val="none" w:sz="0" w:space="0" w:color="auto"/>
      </w:divBdr>
    </w:div>
    <w:div w:id="1547794118">
      <w:bodyDiv w:val="1"/>
      <w:marLeft w:val="0"/>
      <w:marRight w:val="0"/>
      <w:marTop w:val="0"/>
      <w:marBottom w:val="0"/>
      <w:divBdr>
        <w:top w:val="none" w:sz="0" w:space="0" w:color="auto"/>
        <w:left w:val="none" w:sz="0" w:space="0" w:color="auto"/>
        <w:bottom w:val="none" w:sz="0" w:space="0" w:color="auto"/>
        <w:right w:val="none" w:sz="0" w:space="0" w:color="auto"/>
      </w:divBdr>
    </w:div>
    <w:div w:id="1553346669">
      <w:bodyDiv w:val="1"/>
      <w:marLeft w:val="0"/>
      <w:marRight w:val="0"/>
      <w:marTop w:val="0"/>
      <w:marBottom w:val="0"/>
      <w:divBdr>
        <w:top w:val="none" w:sz="0" w:space="0" w:color="auto"/>
        <w:left w:val="none" w:sz="0" w:space="0" w:color="auto"/>
        <w:bottom w:val="none" w:sz="0" w:space="0" w:color="auto"/>
        <w:right w:val="none" w:sz="0" w:space="0" w:color="auto"/>
      </w:divBdr>
    </w:div>
    <w:div w:id="1573465809">
      <w:bodyDiv w:val="1"/>
      <w:marLeft w:val="0"/>
      <w:marRight w:val="0"/>
      <w:marTop w:val="0"/>
      <w:marBottom w:val="0"/>
      <w:divBdr>
        <w:top w:val="none" w:sz="0" w:space="0" w:color="auto"/>
        <w:left w:val="none" w:sz="0" w:space="0" w:color="auto"/>
        <w:bottom w:val="none" w:sz="0" w:space="0" w:color="auto"/>
        <w:right w:val="none" w:sz="0" w:space="0" w:color="auto"/>
      </w:divBdr>
    </w:div>
    <w:div w:id="1623608186">
      <w:bodyDiv w:val="1"/>
      <w:marLeft w:val="0"/>
      <w:marRight w:val="0"/>
      <w:marTop w:val="0"/>
      <w:marBottom w:val="0"/>
      <w:divBdr>
        <w:top w:val="none" w:sz="0" w:space="0" w:color="auto"/>
        <w:left w:val="none" w:sz="0" w:space="0" w:color="auto"/>
        <w:bottom w:val="none" w:sz="0" w:space="0" w:color="auto"/>
        <w:right w:val="none" w:sz="0" w:space="0" w:color="auto"/>
      </w:divBdr>
      <w:divsChild>
        <w:div w:id="1237863468">
          <w:marLeft w:val="0"/>
          <w:marRight w:val="0"/>
          <w:marTop w:val="0"/>
          <w:marBottom w:val="0"/>
          <w:divBdr>
            <w:top w:val="single" w:sz="2" w:space="0" w:color="E5E7EB"/>
            <w:left w:val="single" w:sz="2" w:space="0" w:color="E5E7EB"/>
            <w:bottom w:val="single" w:sz="2" w:space="0" w:color="E5E7EB"/>
            <w:right w:val="single" w:sz="2" w:space="0" w:color="E5E7EB"/>
          </w:divBdr>
          <w:divsChild>
            <w:div w:id="259992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0285078">
      <w:bodyDiv w:val="1"/>
      <w:marLeft w:val="0"/>
      <w:marRight w:val="0"/>
      <w:marTop w:val="0"/>
      <w:marBottom w:val="0"/>
      <w:divBdr>
        <w:top w:val="none" w:sz="0" w:space="0" w:color="auto"/>
        <w:left w:val="none" w:sz="0" w:space="0" w:color="auto"/>
        <w:bottom w:val="none" w:sz="0" w:space="0" w:color="auto"/>
        <w:right w:val="none" w:sz="0" w:space="0" w:color="auto"/>
      </w:divBdr>
      <w:divsChild>
        <w:div w:id="305626527">
          <w:marLeft w:val="0"/>
          <w:marRight w:val="0"/>
          <w:marTop w:val="0"/>
          <w:marBottom w:val="0"/>
          <w:divBdr>
            <w:top w:val="single" w:sz="2" w:space="0" w:color="E5E7EB"/>
            <w:left w:val="single" w:sz="2" w:space="0" w:color="E5E7EB"/>
            <w:bottom w:val="single" w:sz="2" w:space="0" w:color="E5E7EB"/>
            <w:right w:val="single" w:sz="2" w:space="0" w:color="E5E7EB"/>
          </w:divBdr>
          <w:divsChild>
            <w:div w:id="1163354146">
              <w:marLeft w:val="0"/>
              <w:marRight w:val="0"/>
              <w:marTop w:val="0"/>
              <w:marBottom w:val="0"/>
              <w:divBdr>
                <w:top w:val="single" w:sz="2" w:space="0" w:color="E5E7EB"/>
                <w:left w:val="single" w:sz="2" w:space="0" w:color="E5E7EB"/>
                <w:bottom w:val="single" w:sz="2" w:space="0" w:color="E5E7EB"/>
                <w:right w:val="single" w:sz="2" w:space="0" w:color="E5E7EB"/>
              </w:divBdr>
              <w:divsChild>
                <w:div w:id="1173184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3269018">
      <w:bodyDiv w:val="1"/>
      <w:marLeft w:val="0"/>
      <w:marRight w:val="0"/>
      <w:marTop w:val="0"/>
      <w:marBottom w:val="0"/>
      <w:divBdr>
        <w:top w:val="none" w:sz="0" w:space="0" w:color="auto"/>
        <w:left w:val="none" w:sz="0" w:space="0" w:color="auto"/>
        <w:bottom w:val="none" w:sz="0" w:space="0" w:color="auto"/>
        <w:right w:val="none" w:sz="0" w:space="0" w:color="auto"/>
      </w:divBdr>
      <w:divsChild>
        <w:div w:id="1237351809">
          <w:marLeft w:val="0"/>
          <w:marRight w:val="0"/>
          <w:marTop w:val="0"/>
          <w:marBottom w:val="0"/>
          <w:divBdr>
            <w:top w:val="single" w:sz="2" w:space="0" w:color="E5E7EB"/>
            <w:left w:val="single" w:sz="2" w:space="0" w:color="E5E7EB"/>
            <w:bottom w:val="single" w:sz="2" w:space="0" w:color="E5E7EB"/>
            <w:right w:val="single" w:sz="2" w:space="0" w:color="E5E7EB"/>
          </w:divBdr>
          <w:divsChild>
            <w:div w:id="1174416332">
              <w:marLeft w:val="0"/>
              <w:marRight w:val="0"/>
              <w:marTop w:val="0"/>
              <w:marBottom w:val="0"/>
              <w:divBdr>
                <w:top w:val="single" w:sz="2" w:space="0" w:color="E5E7EB"/>
                <w:left w:val="single" w:sz="2" w:space="0" w:color="E5E7EB"/>
                <w:bottom w:val="single" w:sz="2" w:space="0" w:color="E5E7EB"/>
                <w:right w:val="single" w:sz="2" w:space="0" w:color="E5E7EB"/>
              </w:divBdr>
              <w:divsChild>
                <w:div w:id="1615791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7317238">
      <w:bodyDiv w:val="1"/>
      <w:marLeft w:val="0"/>
      <w:marRight w:val="0"/>
      <w:marTop w:val="0"/>
      <w:marBottom w:val="0"/>
      <w:divBdr>
        <w:top w:val="none" w:sz="0" w:space="0" w:color="auto"/>
        <w:left w:val="none" w:sz="0" w:space="0" w:color="auto"/>
        <w:bottom w:val="none" w:sz="0" w:space="0" w:color="auto"/>
        <w:right w:val="none" w:sz="0" w:space="0" w:color="auto"/>
      </w:divBdr>
    </w:div>
    <w:div w:id="1660452402">
      <w:bodyDiv w:val="1"/>
      <w:marLeft w:val="0"/>
      <w:marRight w:val="0"/>
      <w:marTop w:val="0"/>
      <w:marBottom w:val="0"/>
      <w:divBdr>
        <w:top w:val="none" w:sz="0" w:space="0" w:color="auto"/>
        <w:left w:val="none" w:sz="0" w:space="0" w:color="auto"/>
        <w:bottom w:val="none" w:sz="0" w:space="0" w:color="auto"/>
        <w:right w:val="none" w:sz="0" w:space="0" w:color="auto"/>
      </w:divBdr>
    </w:div>
    <w:div w:id="1675836702">
      <w:bodyDiv w:val="1"/>
      <w:marLeft w:val="0"/>
      <w:marRight w:val="0"/>
      <w:marTop w:val="0"/>
      <w:marBottom w:val="0"/>
      <w:divBdr>
        <w:top w:val="none" w:sz="0" w:space="0" w:color="auto"/>
        <w:left w:val="none" w:sz="0" w:space="0" w:color="auto"/>
        <w:bottom w:val="none" w:sz="0" w:space="0" w:color="auto"/>
        <w:right w:val="none" w:sz="0" w:space="0" w:color="auto"/>
      </w:divBdr>
    </w:div>
    <w:div w:id="1677683996">
      <w:bodyDiv w:val="1"/>
      <w:marLeft w:val="0"/>
      <w:marRight w:val="0"/>
      <w:marTop w:val="0"/>
      <w:marBottom w:val="0"/>
      <w:divBdr>
        <w:top w:val="none" w:sz="0" w:space="0" w:color="auto"/>
        <w:left w:val="none" w:sz="0" w:space="0" w:color="auto"/>
        <w:bottom w:val="none" w:sz="0" w:space="0" w:color="auto"/>
        <w:right w:val="none" w:sz="0" w:space="0" w:color="auto"/>
      </w:divBdr>
    </w:div>
    <w:div w:id="1705862629">
      <w:bodyDiv w:val="1"/>
      <w:marLeft w:val="0"/>
      <w:marRight w:val="0"/>
      <w:marTop w:val="0"/>
      <w:marBottom w:val="0"/>
      <w:divBdr>
        <w:top w:val="none" w:sz="0" w:space="0" w:color="auto"/>
        <w:left w:val="none" w:sz="0" w:space="0" w:color="auto"/>
        <w:bottom w:val="none" w:sz="0" w:space="0" w:color="auto"/>
        <w:right w:val="none" w:sz="0" w:space="0" w:color="auto"/>
      </w:divBdr>
    </w:div>
    <w:div w:id="1708261718">
      <w:bodyDiv w:val="1"/>
      <w:marLeft w:val="0"/>
      <w:marRight w:val="0"/>
      <w:marTop w:val="0"/>
      <w:marBottom w:val="0"/>
      <w:divBdr>
        <w:top w:val="none" w:sz="0" w:space="0" w:color="auto"/>
        <w:left w:val="none" w:sz="0" w:space="0" w:color="auto"/>
        <w:bottom w:val="none" w:sz="0" w:space="0" w:color="auto"/>
        <w:right w:val="none" w:sz="0" w:space="0" w:color="auto"/>
      </w:divBdr>
      <w:divsChild>
        <w:div w:id="427695075">
          <w:marLeft w:val="0"/>
          <w:marRight w:val="0"/>
          <w:marTop w:val="0"/>
          <w:marBottom w:val="0"/>
          <w:divBdr>
            <w:top w:val="single" w:sz="2" w:space="0" w:color="E5E7EB"/>
            <w:left w:val="single" w:sz="2" w:space="0" w:color="E5E7EB"/>
            <w:bottom w:val="single" w:sz="2" w:space="0" w:color="E5E7EB"/>
            <w:right w:val="single" w:sz="2" w:space="0" w:color="E5E7EB"/>
          </w:divBdr>
          <w:divsChild>
            <w:div w:id="598831870">
              <w:marLeft w:val="0"/>
              <w:marRight w:val="0"/>
              <w:marTop w:val="0"/>
              <w:marBottom w:val="0"/>
              <w:divBdr>
                <w:top w:val="single" w:sz="2" w:space="0" w:color="E5E7EB"/>
                <w:left w:val="single" w:sz="2" w:space="0" w:color="E5E7EB"/>
                <w:bottom w:val="single" w:sz="2" w:space="0" w:color="E5E7EB"/>
                <w:right w:val="single" w:sz="2" w:space="0" w:color="E5E7EB"/>
              </w:divBdr>
              <w:divsChild>
                <w:div w:id="15490252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0597392">
      <w:bodyDiv w:val="1"/>
      <w:marLeft w:val="0"/>
      <w:marRight w:val="0"/>
      <w:marTop w:val="0"/>
      <w:marBottom w:val="0"/>
      <w:divBdr>
        <w:top w:val="none" w:sz="0" w:space="0" w:color="auto"/>
        <w:left w:val="none" w:sz="0" w:space="0" w:color="auto"/>
        <w:bottom w:val="none" w:sz="0" w:space="0" w:color="auto"/>
        <w:right w:val="none" w:sz="0" w:space="0" w:color="auto"/>
      </w:divBdr>
    </w:div>
    <w:div w:id="1744796646">
      <w:bodyDiv w:val="1"/>
      <w:marLeft w:val="0"/>
      <w:marRight w:val="0"/>
      <w:marTop w:val="0"/>
      <w:marBottom w:val="0"/>
      <w:divBdr>
        <w:top w:val="none" w:sz="0" w:space="0" w:color="auto"/>
        <w:left w:val="none" w:sz="0" w:space="0" w:color="auto"/>
        <w:bottom w:val="none" w:sz="0" w:space="0" w:color="auto"/>
        <w:right w:val="none" w:sz="0" w:space="0" w:color="auto"/>
      </w:divBdr>
      <w:divsChild>
        <w:div w:id="1109205370">
          <w:marLeft w:val="0"/>
          <w:marRight w:val="0"/>
          <w:marTop w:val="0"/>
          <w:marBottom w:val="0"/>
          <w:divBdr>
            <w:top w:val="single" w:sz="2" w:space="0" w:color="E5E7EB"/>
            <w:left w:val="single" w:sz="2" w:space="0" w:color="E5E7EB"/>
            <w:bottom w:val="single" w:sz="2" w:space="0" w:color="E5E7EB"/>
            <w:right w:val="single" w:sz="2" w:space="0" w:color="E5E7EB"/>
          </w:divBdr>
          <w:divsChild>
            <w:div w:id="454374946">
              <w:marLeft w:val="0"/>
              <w:marRight w:val="0"/>
              <w:marTop w:val="0"/>
              <w:marBottom w:val="0"/>
              <w:divBdr>
                <w:top w:val="single" w:sz="2" w:space="0" w:color="E5E7EB"/>
                <w:left w:val="single" w:sz="2" w:space="0" w:color="E5E7EB"/>
                <w:bottom w:val="single" w:sz="2" w:space="0" w:color="E5E7EB"/>
                <w:right w:val="single" w:sz="2" w:space="0" w:color="E5E7EB"/>
              </w:divBdr>
              <w:divsChild>
                <w:div w:id="1870102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73236972">
      <w:bodyDiv w:val="1"/>
      <w:marLeft w:val="0"/>
      <w:marRight w:val="0"/>
      <w:marTop w:val="0"/>
      <w:marBottom w:val="0"/>
      <w:divBdr>
        <w:top w:val="none" w:sz="0" w:space="0" w:color="auto"/>
        <w:left w:val="none" w:sz="0" w:space="0" w:color="auto"/>
        <w:bottom w:val="none" w:sz="0" w:space="0" w:color="auto"/>
        <w:right w:val="none" w:sz="0" w:space="0" w:color="auto"/>
      </w:divBdr>
      <w:divsChild>
        <w:div w:id="686296067">
          <w:marLeft w:val="0"/>
          <w:marRight w:val="0"/>
          <w:marTop w:val="0"/>
          <w:marBottom w:val="0"/>
          <w:divBdr>
            <w:top w:val="single" w:sz="2" w:space="0" w:color="E5E7EB"/>
            <w:left w:val="single" w:sz="2" w:space="0" w:color="E5E7EB"/>
            <w:bottom w:val="single" w:sz="2" w:space="0" w:color="E5E7EB"/>
            <w:right w:val="single" w:sz="2" w:space="0" w:color="E5E7EB"/>
          </w:divBdr>
          <w:divsChild>
            <w:div w:id="1340499970">
              <w:marLeft w:val="0"/>
              <w:marRight w:val="0"/>
              <w:marTop w:val="0"/>
              <w:marBottom w:val="0"/>
              <w:divBdr>
                <w:top w:val="single" w:sz="2" w:space="0" w:color="E5E7EB"/>
                <w:left w:val="single" w:sz="2" w:space="0" w:color="E5E7EB"/>
                <w:bottom w:val="single" w:sz="2" w:space="0" w:color="E5E7EB"/>
                <w:right w:val="single" w:sz="2" w:space="0" w:color="E5E7EB"/>
              </w:divBdr>
              <w:divsChild>
                <w:div w:id="1883053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83105369">
      <w:bodyDiv w:val="1"/>
      <w:marLeft w:val="0"/>
      <w:marRight w:val="0"/>
      <w:marTop w:val="0"/>
      <w:marBottom w:val="0"/>
      <w:divBdr>
        <w:top w:val="none" w:sz="0" w:space="0" w:color="auto"/>
        <w:left w:val="none" w:sz="0" w:space="0" w:color="auto"/>
        <w:bottom w:val="none" w:sz="0" w:space="0" w:color="auto"/>
        <w:right w:val="none" w:sz="0" w:space="0" w:color="auto"/>
      </w:divBdr>
    </w:div>
    <w:div w:id="1818954824">
      <w:bodyDiv w:val="1"/>
      <w:marLeft w:val="0"/>
      <w:marRight w:val="0"/>
      <w:marTop w:val="0"/>
      <w:marBottom w:val="0"/>
      <w:divBdr>
        <w:top w:val="none" w:sz="0" w:space="0" w:color="auto"/>
        <w:left w:val="none" w:sz="0" w:space="0" w:color="auto"/>
        <w:bottom w:val="none" w:sz="0" w:space="0" w:color="auto"/>
        <w:right w:val="none" w:sz="0" w:space="0" w:color="auto"/>
      </w:divBdr>
    </w:div>
    <w:div w:id="1873304480">
      <w:bodyDiv w:val="1"/>
      <w:marLeft w:val="0"/>
      <w:marRight w:val="0"/>
      <w:marTop w:val="0"/>
      <w:marBottom w:val="0"/>
      <w:divBdr>
        <w:top w:val="none" w:sz="0" w:space="0" w:color="auto"/>
        <w:left w:val="none" w:sz="0" w:space="0" w:color="auto"/>
        <w:bottom w:val="none" w:sz="0" w:space="0" w:color="auto"/>
        <w:right w:val="none" w:sz="0" w:space="0" w:color="auto"/>
      </w:divBdr>
    </w:div>
    <w:div w:id="1884252055">
      <w:bodyDiv w:val="1"/>
      <w:marLeft w:val="0"/>
      <w:marRight w:val="0"/>
      <w:marTop w:val="0"/>
      <w:marBottom w:val="0"/>
      <w:divBdr>
        <w:top w:val="none" w:sz="0" w:space="0" w:color="auto"/>
        <w:left w:val="none" w:sz="0" w:space="0" w:color="auto"/>
        <w:bottom w:val="none" w:sz="0" w:space="0" w:color="auto"/>
        <w:right w:val="none" w:sz="0" w:space="0" w:color="auto"/>
      </w:divBdr>
    </w:div>
    <w:div w:id="1887447611">
      <w:bodyDiv w:val="1"/>
      <w:marLeft w:val="0"/>
      <w:marRight w:val="0"/>
      <w:marTop w:val="0"/>
      <w:marBottom w:val="0"/>
      <w:divBdr>
        <w:top w:val="none" w:sz="0" w:space="0" w:color="auto"/>
        <w:left w:val="none" w:sz="0" w:space="0" w:color="auto"/>
        <w:bottom w:val="none" w:sz="0" w:space="0" w:color="auto"/>
        <w:right w:val="none" w:sz="0" w:space="0" w:color="auto"/>
      </w:divBdr>
    </w:div>
    <w:div w:id="1894271109">
      <w:bodyDiv w:val="1"/>
      <w:marLeft w:val="0"/>
      <w:marRight w:val="0"/>
      <w:marTop w:val="0"/>
      <w:marBottom w:val="0"/>
      <w:divBdr>
        <w:top w:val="none" w:sz="0" w:space="0" w:color="auto"/>
        <w:left w:val="none" w:sz="0" w:space="0" w:color="auto"/>
        <w:bottom w:val="none" w:sz="0" w:space="0" w:color="auto"/>
        <w:right w:val="none" w:sz="0" w:space="0" w:color="auto"/>
      </w:divBdr>
    </w:div>
    <w:div w:id="1900440335">
      <w:bodyDiv w:val="1"/>
      <w:marLeft w:val="0"/>
      <w:marRight w:val="0"/>
      <w:marTop w:val="0"/>
      <w:marBottom w:val="0"/>
      <w:divBdr>
        <w:top w:val="none" w:sz="0" w:space="0" w:color="auto"/>
        <w:left w:val="none" w:sz="0" w:space="0" w:color="auto"/>
        <w:bottom w:val="none" w:sz="0" w:space="0" w:color="auto"/>
        <w:right w:val="none" w:sz="0" w:space="0" w:color="auto"/>
      </w:divBdr>
      <w:divsChild>
        <w:div w:id="1240754570">
          <w:marLeft w:val="0"/>
          <w:marRight w:val="0"/>
          <w:marTop w:val="0"/>
          <w:marBottom w:val="0"/>
          <w:divBdr>
            <w:top w:val="single" w:sz="2" w:space="0" w:color="E5E7EB"/>
            <w:left w:val="single" w:sz="2" w:space="0" w:color="E5E7EB"/>
            <w:bottom w:val="single" w:sz="2" w:space="0" w:color="E5E7EB"/>
            <w:right w:val="single" w:sz="2" w:space="0" w:color="E5E7EB"/>
          </w:divBdr>
          <w:divsChild>
            <w:div w:id="1352686887">
              <w:marLeft w:val="0"/>
              <w:marRight w:val="0"/>
              <w:marTop w:val="0"/>
              <w:marBottom w:val="0"/>
              <w:divBdr>
                <w:top w:val="single" w:sz="2" w:space="0" w:color="E5E7EB"/>
                <w:left w:val="single" w:sz="2" w:space="0" w:color="E5E7EB"/>
                <w:bottom w:val="single" w:sz="2" w:space="0" w:color="E5E7EB"/>
                <w:right w:val="single" w:sz="2" w:space="0" w:color="E5E7EB"/>
              </w:divBdr>
              <w:divsChild>
                <w:div w:id="707989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2516619">
      <w:bodyDiv w:val="1"/>
      <w:marLeft w:val="0"/>
      <w:marRight w:val="0"/>
      <w:marTop w:val="0"/>
      <w:marBottom w:val="0"/>
      <w:divBdr>
        <w:top w:val="none" w:sz="0" w:space="0" w:color="auto"/>
        <w:left w:val="none" w:sz="0" w:space="0" w:color="auto"/>
        <w:bottom w:val="none" w:sz="0" w:space="0" w:color="auto"/>
        <w:right w:val="none" w:sz="0" w:space="0" w:color="auto"/>
      </w:divBdr>
    </w:div>
    <w:div w:id="1903984621">
      <w:bodyDiv w:val="1"/>
      <w:marLeft w:val="0"/>
      <w:marRight w:val="0"/>
      <w:marTop w:val="0"/>
      <w:marBottom w:val="0"/>
      <w:divBdr>
        <w:top w:val="none" w:sz="0" w:space="0" w:color="auto"/>
        <w:left w:val="none" w:sz="0" w:space="0" w:color="auto"/>
        <w:bottom w:val="none" w:sz="0" w:space="0" w:color="auto"/>
        <w:right w:val="none" w:sz="0" w:space="0" w:color="auto"/>
      </w:divBdr>
    </w:div>
    <w:div w:id="1904246541">
      <w:bodyDiv w:val="1"/>
      <w:marLeft w:val="0"/>
      <w:marRight w:val="0"/>
      <w:marTop w:val="0"/>
      <w:marBottom w:val="0"/>
      <w:divBdr>
        <w:top w:val="none" w:sz="0" w:space="0" w:color="auto"/>
        <w:left w:val="none" w:sz="0" w:space="0" w:color="auto"/>
        <w:bottom w:val="none" w:sz="0" w:space="0" w:color="auto"/>
        <w:right w:val="none" w:sz="0" w:space="0" w:color="auto"/>
      </w:divBdr>
    </w:div>
    <w:div w:id="1910068370">
      <w:bodyDiv w:val="1"/>
      <w:marLeft w:val="0"/>
      <w:marRight w:val="0"/>
      <w:marTop w:val="0"/>
      <w:marBottom w:val="0"/>
      <w:divBdr>
        <w:top w:val="none" w:sz="0" w:space="0" w:color="auto"/>
        <w:left w:val="none" w:sz="0" w:space="0" w:color="auto"/>
        <w:bottom w:val="none" w:sz="0" w:space="0" w:color="auto"/>
        <w:right w:val="none" w:sz="0" w:space="0" w:color="auto"/>
      </w:divBdr>
    </w:div>
    <w:div w:id="1914659535">
      <w:bodyDiv w:val="1"/>
      <w:marLeft w:val="0"/>
      <w:marRight w:val="0"/>
      <w:marTop w:val="0"/>
      <w:marBottom w:val="0"/>
      <w:divBdr>
        <w:top w:val="none" w:sz="0" w:space="0" w:color="auto"/>
        <w:left w:val="none" w:sz="0" w:space="0" w:color="auto"/>
        <w:bottom w:val="none" w:sz="0" w:space="0" w:color="auto"/>
        <w:right w:val="none" w:sz="0" w:space="0" w:color="auto"/>
      </w:divBdr>
      <w:divsChild>
        <w:div w:id="859468617">
          <w:marLeft w:val="0"/>
          <w:marRight w:val="0"/>
          <w:marTop w:val="0"/>
          <w:marBottom w:val="0"/>
          <w:divBdr>
            <w:top w:val="single" w:sz="2" w:space="0" w:color="E5E7EB"/>
            <w:left w:val="single" w:sz="2" w:space="0" w:color="E5E7EB"/>
            <w:bottom w:val="single" w:sz="2" w:space="0" w:color="E5E7EB"/>
            <w:right w:val="single" w:sz="2" w:space="0" w:color="E5E7EB"/>
          </w:divBdr>
          <w:divsChild>
            <w:div w:id="454912459">
              <w:marLeft w:val="0"/>
              <w:marRight w:val="0"/>
              <w:marTop w:val="0"/>
              <w:marBottom w:val="0"/>
              <w:divBdr>
                <w:top w:val="single" w:sz="2" w:space="0" w:color="E5E7EB"/>
                <w:left w:val="single" w:sz="2" w:space="0" w:color="E5E7EB"/>
                <w:bottom w:val="single" w:sz="2" w:space="0" w:color="E5E7EB"/>
                <w:right w:val="single" w:sz="2" w:space="0" w:color="E5E7EB"/>
              </w:divBdr>
              <w:divsChild>
                <w:div w:id="3479524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38126588">
      <w:bodyDiv w:val="1"/>
      <w:marLeft w:val="0"/>
      <w:marRight w:val="0"/>
      <w:marTop w:val="0"/>
      <w:marBottom w:val="0"/>
      <w:divBdr>
        <w:top w:val="none" w:sz="0" w:space="0" w:color="auto"/>
        <w:left w:val="none" w:sz="0" w:space="0" w:color="auto"/>
        <w:bottom w:val="none" w:sz="0" w:space="0" w:color="auto"/>
        <w:right w:val="none" w:sz="0" w:space="0" w:color="auto"/>
      </w:divBdr>
      <w:divsChild>
        <w:div w:id="1615675129">
          <w:marLeft w:val="0"/>
          <w:marRight w:val="0"/>
          <w:marTop w:val="0"/>
          <w:marBottom w:val="0"/>
          <w:divBdr>
            <w:top w:val="single" w:sz="2" w:space="0" w:color="E5E7EB"/>
            <w:left w:val="single" w:sz="2" w:space="0" w:color="E5E7EB"/>
            <w:bottom w:val="single" w:sz="2" w:space="0" w:color="E5E7EB"/>
            <w:right w:val="single" w:sz="2" w:space="0" w:color="E5E7EB"/>
          </w:divBdr>
          <w:divsChild>
            <w:div w:id="1827236403">
              <w:marLeft w:val="0"/>
              <w:marRight w:val="0"/>
              <w:marTop w:val="0"/>
              <w:marBottom w:val="0"/>
              <w:divBdr>
                <w:top w:val="single" w:sz="2" w:space="0" w:color="E5E7EB"/>
                <w:left w:val="single" w:sz="2" w:space="0" w:color="E5E7EB"/>
                <w:bottom w:val="single" w:sz="2" w:space="0" w:color="E5E7EB"/>
                <w:right w:val="single" w:sz="2" w:space="0" w:color="E5E7EB"/>
              </w:divBdr>
              <w:divsChild>
                <w:div w:id="954024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57103264">
      <w:bodyDiv w:val="1"/>
      <w:marLeft w:val="0"/>
      <w:marRight w:val="0"/>
      <w:marTop w:val="0"/>
      <w:marBottom w:val="0"/>
      <w:divBdr>
        <w:top w:val="none" w:sz="0" w:space="0" w:color="auto"/>
        <w:left w:val="none" w:sz="0" w:space="0" w:color="auto"/>
        <w:bottom w:val="none" w:sz="0" w:space="0" w:color="auto"/>
        <w:right w:val="none" w:sz="0" w:space="0" w:color="auto"/>
      </w:divBdr>
    </w:div>
    <w:div w:id="1964459651">
      <w:bodyDiv w:val="1"/>
      <w:marLeft w:val="0"/>
      <w:marRight w:val="0"/>
      <w:marTop w:val="0"/>
      <w:marBottom w:val="0"/>
      <w:divBdr>
        <w:top w:val="none" w:sz="0" w:space="0" w:color="auto"/>
        <w:left w:val="none" w:sz="0" w:space="0" w:color="auto"/>
        <w:bottom w:val="none" w:sz="0" w:space="0" w:color="auto"/>
        <w:right w:val="none" w:sz="0" w:space="0" w:color="auto"/>
      </w:divBdr>
    </w:div>
    <w:div w:id="1987473007">
      <w:bodyDiv w:val="1"/>
      <w:marLeft w:val="0"/>
      <w:marRight w:val="0"/>
      <w:marTop w:val="0"/>
      <w:marBottom w:val="0"/>
      <w:divBdr>
        <w:top w:val="none" w:sz="0" w:space="0" w:color="auto"/>
        <w:left w:val="none" w:sz="0" w:space="0" w:color="auto"/>
        <w:bottom w:val="none" w:sz="0" w:space="0" w:color="auto"/>
        <w:right w:val="none" w:sz="0" w:space="0" w:color="auto"/>
      </w:divBdr>
    </w:div>
    <w:div w:id="1992172852">
      <w:bodyDiv w:val="1"/>
      <w:marLeft w:val="0"/>
      <w:marRight w:val="0"/>
      <w:marTop w:val="0"/>
      <w:marBottom w:val="0"/>
      <w:divBdr>
        <w:top w:val="none" w:sz="0" w:space="0" w:color="auto"/>
        <w:left w:val="none" w:sz="0" w:space="0" w:color="auto"/>
        <w:bottom w:val="none" w:sz="0" w:space="0" w:color="auto"/>
        <w:right w:val="none" w:sz="0" w:space="0" w:color="auto"/>
      </w:divBdr>
    </w:div>
    <w:div w:id="1998261743">
      <w:bodyDiv w:val="1"/>
      <w:marLeft w:val="0"/>
      <w:marRight w:val="0"/>
      <w:marTop w:val="0"/>
      <w:marBottom w:val="0"/>
      <w:divBdr>
        <w:top w:val="none" w:sz="0" w:space="0" w:color="auto"/>
        <w:left w:val="none" w:sz="0" w:space="0" w:color="auto"/>
        <w:bottom w:val="none" w:sz="0" w:space="0" w:color="auto"/>
        <w:right w:val="none" w:sz="0" w:space="0" w:color="auto"/>
      </w:divBdr>
      <w:divsChild>
        <w:div w:id="847907590">
          <w:marLeft w:val="0"/>
          <w:marRight w:val="0"/>
          <w:marTop w:val="0"/>
          <w:marBottom w:val="0"/>
          <w:divBdr>
            <w:top w:val="single" w:sz="2" w:space="0" w:color="E5E7EB"/>
            <w:left w:val="single" w:sz="2" w:space="0" w:color="E5E7EB"/>
            <w:bottom w:val="single" w:sz="2" w:space="0" w:color="E5E7EB"/>
            <w:right w:val="single" w:sz="2" w:space="0" w:color="E5E7EB"/>
          </w:divBdr>
          <w:divsChild>
            <w:div w:id="1459566967">
              <w:marLeft w:val="0"/>
              <w:marRight w:val="0"/>
              <w:marTop w:val="0"/>
              <w:marBottom w:val="0"/>
              <w:divBdr>
                <w:top w:val="single" w:sz="2" w:space="0" w:color="E5E7EB"/>
                <w:left w:val="single" w:sz="2" w:space="0" w:color="E5E7EB"/>
                <w:bottom w:val="single" w:sz="2" w:space="0" w:color="E5E7EB"/>
                <w:right w:val="single" w:sz="2" w:space="0" w:color="E5E7EB"/>
              </w:divBdr>
              <w:divsChild>
                <w:div w:id="1913083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23437188">
      <w:bodyDiv w:val="1"/>
      <w:marLeft w:val="0"/>
      <w:marRight w:val="0"/>
      <w:marTop w:val="0"/>
      <w:marBottom w:val="0"/>
      <w:divBdr>
        <w:top w:val="none" w:sz="0" w:space="0" w:color="auto"/>
        <w:left w:val="none" w:sz="0" w:space="0" w:color="auto"/>
        <w:bottom w:val="none" w:sz="0" w:space="0" w:color="auto"/>
        <w:right w:val="none" w:sz="0" w:space="0" w:color="auto"/>
      </w:divBdr>
      <w:divsChild>
        <w:div w:id="1668748503">
          <w:marLeft w:val="0"/>
          <w:marRight w:val="0"/>
          <w:marTop w:val="0"/>
          <w:marBottom w:val="0"/>
          <w:divBdr>
            <w:top w:val="single" w:sz="2" w:space="0" w:color="E5E7EB"/>
            <w:left w:val="single" w:sz="2" w:space="0" w:color="E5E7EB"/>
            <w:bottom w:val="single" w:sz="2" w:space="0" w:color="E5E7EB"/>
            <w:right w:val="single" w:sz="2" w:space="0" w:color="E5E7EB"/>
          </w:divBdr>
          <w:divsChild>
            <w:div w:id="2044478374">
              <w:marLeft w:val="0"/>
              <w:marRight w:val="0"/>
              <w:marTop w:val="0"/>
              <w:marBottom w:val="0"/>
              <w:divBdr>
                <w:top w:val="single" w:sz="2" w:space="0" w:color="E5E7EB"/>
                <w:left w:val="single" w:sz="2" w:space="0" w:color="E5E7EB"/>
                <w:bottom w:val="single" w:sz="2" w:space="0" w:color="E5E7EB"/>
                <w:right w:val="single" w:sz="2" w:space="0" w:color="E5E7EB"/>
              </w:divBdr>
              <w:divsChild>
                <w:div w:id="282660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6074430">
      <w:bodyDiv w:val="1"/>
      <w:marLeft w:val="0"/>
      <w:marRight w:val="0"/>
      <w:marTop w:val="0"/>
      <w:marBottom w:val="0"/>
      <w:divBdr>
        <w:top w:val="none" w:sz="0" w:space="0" w:color="auto"/>
        <w:left w:val="none" w:sz="0" w:space="0" w:color="auto"/>
        <w:bottom w:val="none" w:sz="0" w:space="0" w:color="auto"/>
        <w:right w:val="none" w:sz="0" w:space="0" w:color="auto"/>
      </w:divBdr>
      <w:divsChild>
        <w:div w:id="1867594572">
          <w:marLeft w:val="0"/>
          <w:marRight w:val="0"/>
          <w:marTop w:val="0"/>
          <w:marBottom w:val="0"/>
          <w:divBdr>
            <w:top w:val="single" w:sz="2" w:space="0" w:color="E5E7EB"/>
            <w:left w:val="single" w:sz="2" w:space="0" w:color="E5E7EB"/>
            <w:bottom w:val="single" w:sz="2" w:space="0" w:color="E5E7EB"/>
            <w:right w:val="single" w:sz="2" w:space="0" w:color="E5E7EB"/>
          </w:divBdr>
          <w:divsChild>
            <w:div w:id="272443508">
              <w:marLeft w:val="0"/>
              <w:marRight w:val="0"/>
              <w:marTop w:val="0"/>
              <w:marBottom w:val="0"/>
              <w:divBdr>
                <w:top w:val="single" w:sz="2" w:space="0" w:color="E5E7EB"/>
                <w:left w:val="single" w:sz="2" w:space="0" w:color="E5E7EB"/>
                <w:bottom w:val="single" w:sz="2" w:space="0" w:color="E5E7EB"/>
                <w:right w:val="single" w:sz="2" w:space="0" w:color="E5E7EB"/>
              </w:divBdr>
              <w:divsChild>
                <w:div w:id="539629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42854512">
      <w:bodyDiv w:val="1"/>
      <w:marLeft w:val="0"/>
      <w:marRight w:val="0"/>
      <w:marTop w:val="0"/>
      <w:marBottom w:val="0"/>
      <w:divBdr>
        <w:top w:val="none" w:sz="0" w:space="0" w:color="auto"/>
        <w:left w:val="none" w:sz="0" w:space="0" w:color="auto"/>
        <w:bottom w:val="none" w:sz="0" w:space="0" w:color="auto"/>
        <w:right w:val="none" w:sz="0" w:space="0" w:color="auto"/>
      </w:divBdr>
    </w:div>
    <w:div w:id="2044330078">
      <w:bodyDiv w:val="1"/>
      <w:marLeft w:val="0"/>
      <w:marRight w:val="0"/>
      <w:marTop w:val="0"/>
      <w:marBottom w:val="0"/>
      <w:divBdr>
        <w:top w:val="none" w:sz="0" w:space="0" w:color="auto"/>
        <w:left w:val="none" w:sz="0" w:space="0" w:color="auto"/>
        <w:bottom w:val="none" w:sz="0" w:space="0" w:color="auto"/>
        <w:right w:val="none" w:sz="0" w:space="0" w:color="auto"/>
      </w:divBdr>
    </w:div>
    <w:div w:id="2049336012">
      <w:bodyDiv w:val="1"/>
      <w:marLeft w:val="0"/>
      <w:marRight w:val="0"/>
      <w:marTop w:val="0"/>
      <w:marBottom w:val="0"/>
      <w:divBdr>
        <w:top w:val="none" w:sz="0" w:space="0" w:color="auto"/>
        <w:left w:val="none" w:sz="0" w:space="0" w:color="auto"/>
        <w:bottom w:val="none" w:sz="0" w:space="0" w:color="auto"/>
        <w:right w:val="none" w:sz="0" w:space="0" w:color="auto"/>
      </w:divBdr>
    </w:div>
    <w:div w:id="2064981345">
      <w:bodyDiv w:val="1"/>
      <w:marLeft w:val="0"/>
      <w:marRight w:val="0"/>
      <w:marTop w:val="0"/>
      <w:marBottom w:val="0"/>
      <w:divBdr>
        <w:top w:val="none" w:sz="0" w:space="0" w:color="auto"/>
        <w:left w:val="none" w:sz="0" w:space="0" w:color="auto"/>
        <w:bottom w:val="none" w:sz="0" w:space="0" w:color="auto"/>
        <w:right w:val="none" w:sz="0" w:space="0" w:color="auto"/>
      </w:divBdr>
    </w:div>
    <w:div w:id="2090227988">
      <w:bodyDiv w:val="1"/>
      <w:marLeft w:val="0"/>
      <w:marRight w:val="0"/>
      <w:marTop w:val="0"/>
      <w:marBottom w:val="0"/>
      <w:divBdr>
        <w:top w:val="none" w:sz="0" w:space="0" w:color="auto"/>
        <w:left w:val="none" w:sz="0" w:space="0" w:color="auto"/>
        <w:bottom w:val="none" w:sz="0" w:space="0" w:color="auto"/>
        <w:right w:val="none" w:sz="0" w:space="0" w:color="auto"/>
      </w:divBdr>
    </w:div>
    <w:div w:id="2092120578">
      <w:bodyDiv w:val="1"/>
      <w:marLeft w:val="0"/>
      <w:marRight w:val="0"/>
      <w:marTop w:val="0"/>
      <w:marBottom w:val="0"/>
      <w:divBdr>
        <w:top w:val="none" w:sz="0" w:space="0" w:color="auto"/>
        <w:left w:val="none" w:sz="0" w:space="0" w:color="auto"/>
        <w:bottom w:val="none" w:sz="0" w:space="0" w:color="auto"/>
        <w:right w:val="none" w:sz="0" w:space="0" w:color="auto"/>
      </w:divBdr>
    </w:div>
    <w:div w:id="2099256024">
      <w:bodyDiv w:val="1"/>
      <w:marLeft w:val="0"/>
      <w:marRight w:val="0"/>
      <w:marTop w:val="0"/>
      <w:marBottom w:val="0"/>
      <w:divBdr>
        <w:top w:val="none" w:sz="0" w:space="0" w:color="auto"/>
        <w:left w:val="none" w:sz="0" w:space="0" w:color="auto"/>
        <w:bottom w:val="none" w:sz="0" w:space="0" w:color="auto"/>
        <w:right w:val="none" w:sz="0" w:space="0" w:color="auto"/>
      </w:divBdr>
    </w:div>
    <w:div w:id="2101247226">
      <w:bodyDiv w:val="1"/>
      <w:marLeft w:val="0"/>
      <w:marRight w:val="0"/>
      <w:marTop w:val="0"/>
      <w:marBottom w:val="0"/>
      <w:divBdr>
        <w:top w:val="none" w:sz="0" w:space="0" w:color="auto"/>
        <w:left w:val="none" w:sz="0" w:space="0" w:color="auto"/>
        <w:bottom w:val="none" w:sz="0" w:space="0" w:color="auto"/>
        <w:right w:val="none" w:sz="0" w:space="0" w:color="auto"/>
      </w:divBdr>
      <w:divsChild>
        <w:div w:id="1921671011">
          <w:marLeft w:val="0"/>
          <w:marRight w:val="0"/>
          <w:marTop w:val="0"/>
          <w:marBottom w:val="0"/>
          <w:divBdr>
            <w:top w:val="single" w:sz="2" w:space="0" w:color="E5E7EB"/>
            <w:left w:val="single" w:sz="2" w:space="0" w:color="E5E7EB"/>
            <w:bottom w:val="single" w:sz="2" w:space="0" w:color="E5E7EB"/>
            <w:right w:val="single" w:sz="2" w:space="0" w:color="E5E7EB"/>
          </w:divBdr>
          <w:divsChild>
            <w:div w:id="1642273984">
              <w:marLeft w:val="0"/>
              <w:marRight w:val="0"/>
              <w:marTop w:val="0"/>
              <w:marBottom w:val="0"/>
              <w:divBdr>
                <w:top w:val="single" w:sz="2" w:space="0" w:color="E5E7EB"/>
                <w:left w:val="single" w:sz="2" w:space="0" w:color="E5E7EB"/>
                <w:bottom w:val="single" w:sz="2" w:space="0" w:color="E5E7EB"/>
                <w:right w:val="single" w:sz="2" w:space="0" w:color="E5E7EB"/>
              </w:divBdr>
              <w:divsChild>
                <w:div w:id="1525745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2738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mriprep.readthedocs.i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47976-3062-AF4C-9098-68D52C77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187</Pages>
  <Words>67482</Words>
  <Characters>384650</Characters>
  <Application>Microsoft Office Word</Application>
  <DocSecurity>0</DocSecurity>
  <Lines>3205</Lines>
  <Paragraphs>902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 Hee Jung</dc:creator>
  <cp:keywords/>
  <dc:description/>
  <cp:lastModifiedBy>Kaczkurkin, Antonia</cp:lastModifiedBy>
  <cp:revision>7</cp:revision>
  <dcterms:created xsi:type="dcterms:W3CDTF">2024-01-10T20:28:00Z</dcterms:created>
  <dcterms:modified xsi:type="dcterms:W3CDTF">2024-01-11T04:22:00Z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c969da03-440e-3005-bac4-324ad7cc0245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http://www.zotero.org/styles/biological-psychiatry</vt:lpwstr>
  </property>
  <property fmtid="{D5CDD505-2E9C-101B-9397-08002B2CF9AE}" pid="10" name="Mendeley Recent Style Name 2_1">
    <vt:lpwstr>Biological Psychiatry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http://www.zotero.org/styles/molecular-psychiatry</vt:lpwstr>
  </property>
  <property fmtid="{D5CDD505-2E9C-101B-9397-08002B2CF9AE}" pid="14" name="Mendeley Recent Style Name 4_1">
    <vt:lpwstr>Molecular Psychiatry</vt:lpwstr>
  </property>
  <property fmtid="{D5CDD505-2E9C-101B-9397-08002B2CF9AE}" pid="15" name="Mendeley Recent Style Id 5_1">
    <vt:lpwstr>http://www.zotero.org/styles/national-library-of-medicine</vt:lpwstr>
  </property>
  <property fmtid="{D5CDD505-2E9C-101B-9397-08002B2CF9AE}" pid="16" name="Mendeley Recent Style Name 5_1">
    <vt:lpwstr>National Library of Medicine</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http://www.zotero.org/styles/the-american-journal-of-psychiatry</vt:lpwstr>
  </property>
  <property fmtid="{D5CDD505-2E9C-101B-9397-08002B2CF9AE}" pid="20" name="Mendeley Recent Style Name 7_1">
    <vt:lpwstr>The American Journal of Psychiatry</vt:lpwstr>
  </property>
  <property fmtid="{D5CDD505-2E9C-101B-9397-08002B2CF9AE}" pid="21" name="Mendeley Recent Style Id 8_1">
    <vt:lpwstr>http://www.zotero.org/styles/translational-psychiatry</vt:lpwstr>
  </property>
  <property fmtid="{D5CDD505-2E9C-101B-9397-08002B2CF9AE}" pid="22" name="Mendeley Recent Style Name 8_1">
    <vt:lpwstr>Translational Psychiatry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